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FC6854"/>
    <w:p w14:paraId="3DE2337A"/>
    <w:p w14:paraId="6BADE053">
      <w:pPr>
        <w:spacing w:line="1000" w:lineRule="exact"/>
        <w:jc w:val="center"/>
        <w:rPr>
          <w:rFonts w:eastAsia="华文新魏"/>
          <w:sz w:val="72"/>
        </w:rPr>
      </w:pPr>
    </w:p>
    <w:p w14:paraId="4D0ADFFC">
      <w:pPr>
        <w:spacing w:before="120" w:beforeLines="50"/>
        <w:jc w:val="center"/>
        <w:rPr>
          <w:rFonts w:ascii="楷体" w:hAnsi="楷体" w:eastAsia="楷体"/>
          <w:b/>
          <w:sz w:val="64"/>
          <w:szCs w:val="64"/>
        </w:rPr>
      </w:pPr>
      <w:r>
        <w:rPr>
          <w:rFonts w:hint="eastAsia" w:ascii="楷体" w:hAnsi="楷体" w:eastAsia="楷体" w:cs="宋体"/>
          <w:b/>
          <w:sz w:val="64"/>
          <w:szCs w:val="64"/>
        </w:rPr>
        <w:t>宿州市埇</w:t>
      </w:r>
      <w:r>
        <w:rPr>
          <w:rFonts w:hint="eastAsia" w:ascii="楷体" w:hAnsi="楷体" w:eastAsia="楷体" w:cs="华文新魏"/>
          <w:b/>
          <w:sz w:val="64"/>
          <w:szCs w:val="64"/>
        </w:rPr>
        <w:t>桥区</w:t>
      </w:r>
      <w:r>
        <w:rPr>
          <w:rFonts w:ascii="楷体" w:hAnsi="楷体" w:eastAsia="楷体"/>
          <w:b/>
          <w:sz w:val="64"/>
          <w:szCs w:val="64"/>
        </w:rPr>
        <w:t>乡镇土地定级与</w:t>
      </w:r>
    </w:p>
    <w:p w14:paraId="613F14B8">
      <w:pPr>
        <w:spacing w:before="120" w:beforeLines="50"/>
        <w:jc w:val="center"/>
        <w:rPr>
          <w:rFonts w:ascii="楷体" w:hAnsi="楷体" w:eastAsia="楷体"/>
          <w:b/>
          <w:sz w:val="64"/>
          <w:szCs w:val="64"/>
        </w:rPr>
      </w:pPr>
      <w:r>
        <w:rPr>
          <w:rFonts w:ascii="楷体" w:hAnsi="楷体" w:eastAsia="楷体"/>
          <w:b/>
          <w:sz w:val="64"/>
          <w:szCs w:val="64"/>
        </w:rPr>
        <w:t>基准地价更新技术报告</w:t>
      </w:r>
    </w:p>
    <w:p w14:paraId="70CE2F43">
      <w:pPr>
        <w:spacing w:before="120" w:beforeLines="50"/>
        <w:jc w:val="center"/>
        <w:rPr>
          <w:rFonts w:hint="eastAsia" w:ascii="楷体" w:hAnsi="楷体" w:eastAsia="楷体"/>
          <w:b/>
          <w:sz w:val="64"/>
          <w:szCs w:val="64"/>
          <w:lang w:eastAsia="zh-CN"/>
        </w:rPr>
      </w:pPr>
      <w:r>
        <w:rPr>
          <w:rFonts w:hint="eastAsia" w:ascii="楷体" w:hAnsi="楷体" w:eastAsia="楷体"/>
          <w:b/>
          <w:sz w:val="64"/>
          <w:szCs w:val="64"/>
          <w:lang w:eastAsia="zh-CN"/>
        </w:rPr>
        <w:t>（征求意见稿）</w:t>
      </w:r>
    </w:p>
    <w:p w14:paraId="3B829B9A"/>
    <w:p w14:paraId="6CCA9423"/>
    <w:p w14:paraId="67232B36"/>
    <w:p w14:paraId="2A346C03"/>
    <w:p w14:paraId="3BA6B726"/>
    <w:p w14:paraId="6052E6C3"/>
    <w:p w14:paraId="22A7945F"/>
    <w:p w14:paraId="7DA3AB3A"/>
    <w:p w14:paraId="4A2FC40A"/>
    <w:p w14:paraId="5FC040DA"/>
    <w:p w14:paraId="7AA91084"/>
    <w:p w14:paraId="0D1C5FF8"/>
    <w:p w14:paraId="4F7FC26C"/>
    <w:p w14:paraId="7387754C"/>
    <w:p w14:paraId="23722967"/>
    <w:p w14:paraId="66321CC8"/>
    <w:p w14:paraId="48CA5518"/>
    <w:p w14:paraId="00DBD698"/>
    <w:p w14:paraId="1B0B9A32"/>
    <w:p w14:paraId="2E559AB3"/>
    <w:p w14:paraId="17C41FE1"/>
    <w:p w14:paraId="4BCA2F71"/>
    <w:p w14:paraId="75CD67A0"/>
    <w:p w14:paraId="373D0211"/>
    <w:p w14:paraId="1ECA485D"/>
    <w:p w14:paraId="6DF88F46"/>
    <w:p w14:paraId="60ED6B9E"/>
    <w:p w14:paraId="55610D05"/>
    <w:p w14:paraId="2F86BB37"/>
    <w:p w14:paraId="3256A474"/>
    <w:p w14:paraId="017C5EA9">
      <w:pPr>
        <w:spacing w:line="0" w:lineRule="atLeast"/>
        <w:jc w:val="center"/>
        <w:rPr>
          <w:rFonts w:eastAsia="楷体_GB2312"/>
          <w:spacing w:val="6"/>
          <w:sz w:val="32"/>
          <w:szCs w:val="32"/>
        </w:rPr>
      </w:pPr>
    </w:p>
    <w:p w14:paraId="2C20D5DE">
      <w:pPr>
        <w:widowControl w:val="0"/>
        <w:spacing w:before="50"/>
        <w:ind w:left="-2" w:leftChars="-98" w:hanging="204" w:hangingChars="64"/>
        <w:jc w:val="center"/>
        <w:rPr>
          <w:rFonts w:ascii="楷体" w:hAnsi="楷体" w:eastAsia="楷体"/>
          <w:sz w:val="32"/>
          <w:szCs w:val="32"/>
        </w:rPr>
      </w:pPr>
      <w:r>
        <w:rPr>
          <w:rFonts w:hint="eastAsia" w:ascii="楷体" w:hAnsi="楷体" w:eastAsia="楷体" w:cs="宋体"/>
          <w:sz w:val="32"/>
          <w:szCs w:val="32"/>
        </w:rPr>
        <w:t>宿州市埇桥区自然资源和规划局</w:t>
      </w:r>
    </w:p>
    <w:p w14:paraId="0181D5CA">
      <w:pPr>
        <w:widowControl w:val="0"/>
        <w:spacing w:before="50"/>
        <w:ind w:left="-2" w:leftChars="-98" w:hanging="204" w:hangingChars="64"/>
        <w:jc w:val="center"/>
        <w:rPr>
          <w:rFonts w:ascii="楷体" w:hAnsi="楷体" w:eastAsia="楷体"/>
          <w:sz w:val="32"/>
          <w:szCs w:val="32"/>
        </w:rPr>
      </w:pPr>
      <w:r>
        <w:rPr>
          <w:rFonts w:ascii="楷体" w:hAnsi="楷体" w:eastAsia="楷体"/>
          <w:sz w:val="32"/>
          <w:szCs w:val="32"/>
        </w:rPr>
        <w:t>安徽博源房地产土地资产评估有限公司</w:t>
      </w:r>
    </w:p>
    <w:p w14:paraId="44D41B08">
      <w:pPr>
        <w:widowControl w:val="0"/>
        <w:spacing w:before="50"/>
        <w:jc w:val="center"/>
        <w:rPr>
          <w:rFonts w:ascii="楷体" w:hAnsi="楷体" w:eastAsia="楷体"/>
          <w:spacing w:val="6"/>
          <w:sz w:val="32"/>
          <w:szCs w:val="32"/>
        </w:rPr>
      </w:pPr>
      <w:r>
        <w:rPr>
          <w:rFonts w:ascii="楷体" w:hAnsi="楷体" w:eastAsia="楷体"/>
          <w:spacing w:val="6"/>
          <w:sz w:val="32"/>
          <w:szCs w:val="32"/>
        </w:rPr>
        <w:t>二〇二</w:t>
      </w:r>
      <w:r>
        <w:rPr>
          <w:rFonts w:hint="eastAsia" w:ascii="楷体" w:hAnsi="楷体" w:eastAsia="楷体"/>
          <w:spacing w:val="6"/>
          <w:sz w:val="32"/>
          <w:szCs w:val="32"/>
        </w:rPr>
        <w:t>二</w:t>
      </w:r>
      <w:r>
        <w:rPr>
          <w:rFonts w:ascii="楷体" w:hAnsi="楷体" w:eastAsia="楷体"/>
          <w:spacing w:val="6"/>
          <w:sz w:val="32"/>
          <w:szCs w:val="32"/>
        </w:rPr>
        <w:t>年</w:t>
      </w:r>
      <w:r>
        <w:rPr>
          <w:rFonts w:hint="eastAsia" w:ascii="楷体" w:hAnsi="楷体" w:eastAsia="楷体"/>
          <w:spacing w:val="6"/>
          <w:sz w:val="32"/>
          <w:szCs w:val="32"/>
        </w:rPr>
        <w:t>三</w:t>
      </w:r>
      <w:r>
        <w:rPr>
          <w:rFonts w:ascii="楷体" w:hAnsi="楷体" w:eastAsia="楷体"/>
          <w:spacing w:val="6"/>
          <w:sz w:val="32"/>
          <w:szCs w:val="32"/>
        </w:rPr>
        <w:t>月</w:t>
      </w:r>
    </w:p>
    <w:p w14:paraId="37C97DB9">
      <w:pPr>
        <w:spacing w:before="50"/>
        <w:ind w:left="-2" w:leftChars="-98" w:hanging="204" w:hangingChars="64"/>
        <w:jc w:val="center"/>
        <w:rPr>
          <w:rFonts w:eastAsia="楷体_GB2312"/>
          <w:sz w:val="32"/>
          <w:szCs w:val="32"/>
        </w:rPr>
        <w:sectPr>
          <w:footerReference r:id="rId5" w:type="first"/>
          <w:footerReference r:id="rId3" w:type="default"/>
          <w:footerReference r:id="rId4" w:type="even"/>
          <w:pgSz w:w="11906" w:h="16838"/>
          <w:pgMar w:top="1701" w:right="1418" w:bottom="1418" w:left="1701" w:header="1134" w:footer="992" w:gutter="0"/>
          <w:cols w:space="720" w:num="1"/>
          <w:titlePg/>
          <w:docGrid w:linePitch="12" w:charSpace="0"/>
        </w:sectPr>
      </w:pPr>
    </w:p>
    <w:p w14:paraId="49917031">
      <w:pPr>
        <w:spacing w:line="0" w:lineRule="atLeast"/>
        <w:jc w:val="center"/>
        <w:rPr>
          <w:rFonts w:eastAsia="楷体_GB2312"/>
          <w:sz w:val="48"/>
          <w:szCs w:val="32"/>
        </w:rPr>
      </w:pPr>
    </w:p>
    <w:p w14:paraId="753F8049">
      <w:pPr>
        <w:jc w:val="center"/>
        <w:rPr>
          <w:sz w:val="48"/>
        </w:rPr>
        <w:sectPr>
          <w:pgSz w:w="11906" w:h="16838"/>
          <w:pgMar w:top="1701" w:right="1418" w:bottom="1418" w:left="1701" w:header="1134" w:footer="992" w:gutter="0"/>
          <w:cols w:space="720" w:num="1"/>
          <w:titlePg/>
          <w:docGrid w:linePitch="12" w:charSpace="0"/>
        </w:sectPr>
      </w:pPr>
    </w:p>
    <w:p w14:paraId="5F38DD80">
      <w:pPr>
        <w:jc w:val="center"/>
        <w:rPr>
          <w:b/>
          <w:bCs/>
          <w:sz w:val="44"/>
        </w:rPr>
      </w:pPr>
      <w:r>
        <w:rPr>
          <w:b/>
          <w:bCs/>
          <w:sz w:val="44"/>
        </w:rPr>
        <w:t>目   录</w:t>
      </w:r>
    </w:p>
    <w:p w14:paraId="49684B5F"/>
    <w:p w14:paraId="2E2BC066">
      <w:pPr>
        <w:pStyle w:val="27"/>
        <w:tabs>
          <w:tab w:val="right" w:leader="dot" w:pos="9059"/>
        </w:tabs>
        <w:spacing w:line="360" w:lineRule="auto"/>
        <w:rPr>
          <w:rFonts w:ascii="Times New Roman" w:hAnsi="Times New Roman" w:eastAsia="宋体"/>
          <w:b w:val="0"/>
          <w:bCs w:val="0"/>
          <w:caps w:val="0"/>
          <w:sz w:val="21"/>
          <w:szCs w:val="22"/>
          <w:lang w:val="en-US" w:eastAsia="zh-CN"/>
        </w:rPr>
      </w:pPr>
      <w:bookmarkStart w:id="0" w:name="_Toc124427271"/>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r>
        <w:rPr>
          <w:rStyle w:val="45"/>
          <w:rFonts w:ascii="Times New Roman" w:hAnsi="Times New Roman"/>
          <w:color w:val="auto"/>
        </w:rPr>
        <w:fldChar w:fldCharType="begin"/>
      </w:r>
      <w:r>
        <w:rPr>
          <w:rStyle w:val="45"/>
          <w:rFonts w:ascii="Times New Roman" w:hAnsi="Times New Roman"/>
          <w:color w:val="auto"/>
        </w:rPr>
        <w:instrText xml:space="preserve"> </w:instrText>
      </w:r>
      <w:r>
        <w:rPr>
          <w:rFonts w:ascii="Times New Roman" w:hAnsi="Times New Roman"/>
        </w:rPr>
        <w:instrText xml:space="preserve">HYPERLINK \l "_Toc62563643"</w:instrText>
      </w:r>
      <w:r>
        <w:rPr>
          <w:rStyle w:val="45"/>
          <w:rFonts w:ascii="Times New Roman" w:hAnsi="Times New Roman"/>
          <w:color w:val="auto"/>
        </w:rPr>
        <w:instrText xml:space="preserve"> </w:instrText>
      </w:r>
      <w:r>
        <w:rPr>
          <w:rStyle w:val="45"/>
          <w:rFonts w:ascii="Times New Roman" w:hAnsi="Times New Roman"/>
          <w:color w:val="auto"/>
        </w:rPr>
        <w:fldChar w:fldCharType="separate"/>
      </w:r>
      <w:r>
        <w:rPr>
          <w:rStyle w:val="45"/>
          <w:rFonts w:ascii="Times New Roman" w:hAnsi="Times New Roman"/>
          <w:color w:val="auto"/>
        </w:rPr>
        <w:t>第一篇　土地定级技术报告</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_Toc62563643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Style w:val="45"/>
          <w:rFonts w:ascii="Times New Roman" w:hAnsi="Times New Roman"/>
          <w:color w:val="auto"/>
        </w:rPr>
        <w:fldChar w:fldCharType="end"/>
      </w:r>
    </w:p>
    <w:p w14:paraId="68CC88D2">
      <w:pPr>
        <w:pStyle w:val="32"/>
        <w:tabs>
          <w:tab w:val="right" w:leader="dot" w:pos="9059"/>
        </w:tabs>
        <w:spacing w:line="360" w:lineRule="auto"/>
        <w:rPr>
          <w:rFonts w:ascii="Times New Roman" w:hAnsi="Times New Roman" w:eastAsia="宋体"/>
          <w:b w:val="0"/>
          <w:smallCaps w:val="0"/>
          <w:sz w:val="21"/>
          <w:szCs w:val="22"/>
          <w:lang w:val="en-US" w:eastAsia="zh-CN"/>
        </w:rPr>
      </w:pPr>
      <w:r>
        <w:rPr>
          <w:rStyle w:val="45"/>
          <w:rFonts w:ascii="Times New Roman" w:hAnsi="Times New Roman"/>
          <w:color w:val="auto"/>
        </w:rPr>
        <w:fldChar w:fldCharType="begin"/>
      </w:r>
      <w:r>
        <w:rPr>
          <w:rStyle w:val="45"/>
          <w:rFonts w:ascii="Times New Roman" w:hAnsi="Times New Roman"/>
          <w:color w:val="auto"/>
        </w:rPr>
        <w:instrText xml:space="preserve"> </w:instrText>
      </w:r>
      <w:r>
        <w:rPr>
          <w:rFonts w:ascii="Times New Roman" w:hAnsi="Times New Roman"/>
        </w:rPr>
        <w:instrText xml:space="preserve">HYPERLINK \l "_Toc62563644"</w:instrText>
      </w:r>
      <w:r>
        <w:rPr>
          <w:rStyle w:val="45"/>
          <w:rFonts w:ascii="Times New Roman" w:hAnsi="Times New Roman"/>
          <w:color w:val="auto"/>
        </w:rPr>
        <w:instrText xml:space="preserve"> </w:instrText>
      </w:r>
      <w:r>
        <w:rPr>
          <w:rStyle w:val="45"/>
          <w:rFonts w:ascii="Times New Roman" w:hAnsi="Times New Roman"/>
          <w:color w:val="auto"/>
        </w:rPr>
        <w:fldChar w:fldCharType="separate"/>
      </w:r>
      <w:r>
        <w:rPr>
          <w:rStyle w:val="45"/>
          <w:rFonts w:ascii="Times New Roman" w:hAnsi="Times New Roman" w:eastAsia="宋体"/>
          <w:color w:val="auto"/>
        </w:rPr>
        <w:t>第一章  土地定级技术路线和技术方法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_Toc62563644 \h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Style w:val="45"/>
          <w:rFonts w:ascii="Times New Roman" w:hAnsi="Times New Roman"/>
          <w:color w:val="auto"/>
        </w:rPr>
        <w:fldChar w:fldCharType="end"/>
      </w:r>
    </w:p>
    <w:p w14:paraId="5E5D83D1">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"_Toc62563645" </w:instrText>
      </w:r>
      <w:r>
        <w:rPr>
          <w:rStyle w:val="45"/>
          <w:rFonts w:ascii="Times New Roman"/>
          <w:color w:val="auto"/>
        </w:rPr>
        <w:fldChar w:fldCharType="separate"/>
      </w:r>
      <w:r>
        <w:rPr>
          <w:rStyle w:val="45"/>
          <w:rFonts w:ascii="Times New Roman"/>
          <w:color w:val="auto"/>
        </w:rPr>
        <w:t>第一节  土地定级原则</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_Toc62563645 \h </w:instrText>
      </w:r>
      <w:r>
        <w:rPr>
          <w:rStyle w:val="45"/>
          <w:rFonts w:ascii="Times New Roman"/>
          <w:color w:val="auto"/>
        </w:rPr>
        <w:fldChar w:fldCharType="separate"/>
      </w:r>
      <w:r>
        <w:rPr>
          <w:rStyle w:val="45"/>
          <w:rFonts w:ascii="Times New Roman"/>
          <w:color w:val="auto"/>
        </w:rPr>
        <w:t>1</w:t>
      </w:r>
      <w:r>
        <w:rPr>
          <w:rStyle w:val="45"/>
          <w:rFonts w:ascii="Times New Roman"/>
          <w:color w:val="auto"/>
        </w:rPr>
        <w:fldChar w:fldCharType="end"/>
      </w:r>
      <w:r>
        <w:rPr>
          <w:rStyle w:val="45"/>
          <w:rFonts w:ascii="Times New Roman"/>
          <w:color w:val="auto"/>
        </w:rPr>
        <w:fldChar w:fldCharType="end"/>
      </w:r>
    </w:p>
    <w:p w14:paraId="1F7120AB">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"_Toc62563646" </w:instrText>
      </w:r>
      <w:r>
        <w:rPr>
          <w:rStyle w:val="45"/>
          <w:rFonts w:ascii="Times New Roman"/>
          <w:color w:val="auto"/>
        </w:rPr>
        <w:fldChar w:fldCharType="separate"/>
      </w:r>
      <w:r>
        <w:rPr>
          <w:rStyle w:val="45"/>
          <w:rFonts w:ascii="Times New Roman"/>
          <w:color w:val="auto"/>
        </w:rPr>
        <w:t>第二节  土地定级的技术路线和技术方法</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_Toc62563646 \h </w:instrText>
      </w:r>
      <w:r>
        <w:rPr>
          <w:rStyle w:val="45"/>
          <w:rFonts w:ascii="Times New Roman"/>
          <w:color w:val="auto"/>
        </w:rPr>
        <w:fldChar w:fldCharType="separate"/>
      </w:r>
      <w:r>
        <w:rPr>
          <w:rStyle w:val="45"/>
          <w:rFonts w:ascii="Times New Roman"/>
          <w:color w:val="auto"/>
        </w:rPr>
        <w:t>2</w:t>
      </w:r>
      <w:r>
        <w:rPr>
          <w:rStyle w:val="45"/>
          <w:rFonts w:ascii="Times New Roman"/>
          <w:color w:val="auto"/>
        </w:rPr>
        <w:fldChar w:fldCharType="end"/>
      </w:r>
      <w:r>
        <w:rPr>
          <w:rStyle w:val="45"/>
          <w:rFonts w:ascii="Times New Roman"/>
          <w:color w:val="auto"/>
        </w:rPr>
        <w:fldChar w:fldCharType="end"/>
      </w:r>
    </w:p>
    <w:p w14:paraId="737C38B2">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"_Toc62563647" </w:instrText>
      </w:r>
      <w:r>
        <w:rPr>
          <w:rStyle w:val="45"/>
          <w:rFonts w:ascii="Times New Roman"/>
          <w:color w:val="auto"/>
        </w:rPr>
        <w:fldChar w:fldCharType="separate"/>
      </w:r>
      <w:r>
        <w:rPr>
          <w:rStyle w:val="45"/>
          <w:rFonts w:ascii="Times New Roman"/>
          <w:color w:val="auto"/>
        </w:rPr>
        <w:t>第三节  土地定级的技术程序和技术内容</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_Toc62563647 \h </w:instrText>
      </w:r>
      <w:r>
        <w:rPr>
          <w:rStyle w:val="45"/>
          <w:rFonts w:ascii="Times New Roman"/>
          <w:color w:val="auto"/>
        </w:rPr>
        <w:fldChar w:fldCharType="separate"/>
      </w:r>
      <w:r>
        <w:rPr>
          <w:rStyle w:val="45"/>
          <w:rFonts w:ascii="Times New Roman"/>
          <w:color w:val="auto"/>
        </w:rPr>
        <w:t>3</w:t>
      </w:r>
      <w:r>
        <w:rPr>
          <w:rStyle w:val="45"/>
          <w:rFonts w:ascii="Times New Roman"/>
          <w:color w:val="auto"/>
        </w:rPr>
        <w:fldChar w:fldCharType="end"/>
      </w:r>
      <w:r>
        <w:rPr>
          <w:rStyle w:val="45"/>
          <w:rFonts w:ascii="Times New Roman"/>
          <w:color w:val="auto"/>
        </w:rPr>
        <w:fldChar w:fldCharType="end"/>
      </w:r>
    </w:p>
    <w:p w14:paraId="63DC198F">
      <w:pPr>
        <w:pStyle w:val="32"/>
        <w:tabs>
          <w:tab w:val="right" w:leader="dot" w:pos="9059"/>
        </w:tabs>
        <w:spacing w:line="360" w:lineRule="auto"/>
        <w:rPr>
          <w:rFonts w:ascii="Times New Roman" w:hAnsi="Times New Roman" w:eastAsia="宋体"/>
          <w:b w:val="0"/>
          <w:smallCaps w:val="0"/>
          <w:sz w:val="21"/>
          <w:szCs w:val="22"/>
          <w:lang w:val="en-US" w:eastAsia="zh-CN"/>
        </w:rPr>
      </w:pPr>
      <w:r>
        <w:rPr>
          <w:rStyle w:val="45"/>
          <w:rFonts w:ascii="Times New Roman" w:hAnsi="Times New Roman"/>
          <w:color w:val="auto"/>
        </w:rPr>
        <w:fldChar w:fldCharType="begin"/>
      </w:r>
      <w:r>
        <w:rPr>
          <w:rStyle w:val="45"/>
          <w:rFonts w:ascii="Times New Roman" w:hAnsi="Times New Roman"/>
          <w:color w:val="auto"/>
        </w:rPr>
        <w:instrText xml:space="preserve"> </w:instrText>
      </w:r>
      <w:r>
        <w:rPr>
          <w:rFonts w:ascii="Times New Roman" w:hAnsi="Times New Roman"/>
        </w:rPr>
        <w:instrText xml:space="preserve">HYPERLINK \l "_Toc62563648"</w:instrText>
      </w:r>
      <w:r>
        <w:rPr>
          <w:rStyle w:val="45"/>
          <w:rFonts w:ascii="Times New Roman" w:hAnsi="Times New Roman"/>
          <w:color w:val="auto"/>
        </w:rPr>
        <w:instrText xml:space="preserve"> </w:instrText>
      </w:r>
      <w:r>
        <w:rPr>
          <w:rStyle w:val="45"/>
          <w:rFonts w:ascii="Times New Roman" w:hAnsi="Times New Roman"/>
          <w:color w:val="auto"/>
        </w:rPr>
        <w:fldChar w:fldCharType="separate"/>
      </w:r>
      <w:r>
        <w:rPr>
          <w:rStyle w:val="45"/>
          <w:rFonts w:ascii="Times New Roman" w:hAnsi="Times New Roman" w:eastAsia="宋体"/>
          <w:color w:val="auto"/>
        </w:rPr>
        <w:t>第二章  土地定级范围与因素因子及其权重的确定</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_Toc62563648 \h </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r>
        <w:rPr>
          <w:rStyle w:val="45"/>
          <w:rFonts w:ascii="Times New Roman" w:hAnsi="Times New Roman"/>
          <w:color w:val="auto"/>
        </w:rPr>
        <w:fldChar w:fldCharType="end"/>
      </w:r>
    </w:p>
    <w:p w14:paraId="34477CF3">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"_Toc62563649" </w:instrText>
      </w:r>
      <w:r>
        <w:rPr>
          <w:rStyle w:val="45"/>
          <w:rFonts w:ascii="Times New Roman"/>
          <w:color w:val="auto"/>
        </w:rPr>
        <w:fldChar w:fldCharType="separate"/>
      </w:r>
      <w:r>
        <w:rPr>
          <w:rStyle w:val="45"/>
          <w:rFonts w:ascii="Times New Roman"/>
          <w:color w:val="auto"/>
        </w:rPr>
        <w:t>第一节  土地定级范围的</w:t>
      </w:r>
      <w:bookmarkStart w:id="1" w:name="_Hlt74230813"/>
      <w:r>
        <w:rPr>
          <w:rStyle w:val="45"/>
          <w:rFonts w:ascii="Times New Roman"/>
          <w:color w:val="auto"/>
        </w:rPr>
        <w:t>确</w:t>
      </w:r>
      <w:bookmarkEnd w:id="1"/>
      <w:r>
        <w:rPr>
          <w:rStyle w:val="45"/>
          <w:rFonts w:ascii="Times New Roman"/>
          <w:color w:val="auto"/>
        </w:rPr>
        <w:t>定</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_Toc62563649 \h </w:instrText>
      </w:r>
      <w:r>
        <w:rPr>
          <w:rStyle w:val="45"/>
          <w:rFonts w:ascii="Times New Roman"/>
          <w:color w:val="auto"/>
        </w:rPr>
        <w:fldChar w:fldCharType="separate"/>
      </w:r>
      <w:r>
        <w:rPr>
          <w:rStyle w:val="45"/>
          <w:rFonts w:ascii="Times New Roman"/>
          <w:color w:val="auto"/>
        </w:rPr>
        <w:t>7</w:t>
      </w:r>
      <w:r>
        <w:rPr>
          <w:rStyle w:val="45"/>
          <w:rFonts w:ascii="Times New Roman"/>
          <w:color w:val="auto"/>
        </w:rPr>
        <w:fldChar w:fldCharType="end"/>
      </w:r>
      <w:r>
        <w:rPr>
          <w:rStyle w:val="45"/>
          <w:rFonts w:ascii="Times New Roman"/>
          <w:color w:val="auto"/>
        </w:rPr>
        <w:fldChar w:fldCharType="end"/>
      </w:r>
    </w:p>
    <w:p w14:paraId="3151A868">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"_Toc62563650" </w:instrText>
      </w:r>
      <w:r>
        <w:rPr>
          <w:rStyle w:val="45"/>
          <w:rFonts w:ascii="Times New Roman"/>
          <w:color w:val="auto"/>
        </w:rPr>
        <w:fldChar w:fldCharType="separate"/>
      </w:r>
      <w:r>
        <w:rPr>
          <w:rStyle w:val="45"/>
          <w:rFonts w:ascii="Times New Roman"/>
          <w:color w:val="auto"/>
        </w:rPr>
        <w:t>第二节  土地定级因素因子的筛选和确定</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_Toc62563650 \h </w:instrText>
      </w:r>
      <w:r>
        <w:rPr>
          <w:rStyle w:val="45"/>
          <w:rFonts w:ascii="Times New Roman"/>
          <w:color w:val="auto"/>
        </w:rPr>
        <w:fldChar w:fldCharType="separate"/>
      </w:r>
      <w:r>
        <w:rPr>
          <w:rStyle w:val="45"/>
          <w:rFonts w:ascii="Times New Roman"/>
          <w:color w:val="auto"/>
        </w:rPr>
        <w:t>25</w:t>
      </w:r>
      <w:r>
        <w:rPr>
          <w:rStyle w:val="45"/>
          <w:rFonts w:ascii="Times New Roman"/>
          <w:color w:val="auto"/>
        </w:rPr>
        <w:fldChar w:fldCharType="end"/>
      </w:r>
      <w:r>
        <w:rPr>
          <w:rStyle w:val="45"/>
          <w:rFonts w:ascii="Times New Roman"/>
          <w:color w:val="auto"/>
        </w:rPr>
        <w:fldChar w:fldCharType="end"/>
      </w:r>
    </w:p>
    <w:p w14:paraId="5DBD072D">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"_Toc62563651" </w:instrText>
      </w:r>
      <w:r>
        <w:rPr>
          <w:rStyle w:val="45"/>
          <w:rFonts w:ascii="Times New Roman"/>
          <w:color w:val="auto"/>
        </w:rPr>
        <w:fldChar w:fldCharType="separate"/>
      </w:r>
      <w:r>
        <w:rPr>
          <w:rStyle w:val="45"/>
          <w:rFonts w:ascii="Times New Roman"/>
          <w:color w:val="auto"/>
        </w:rPr>
        <w:t>第三节  土地定级指标体系的建立</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_Toc62563651 \h </w:instrText>
      </w:r>
      <w:r>
        <w:rPr>
          <w:rStyle w:val="45"/>
          <w:rFonts w:ascii="Times New Roman"/>
          <w:color w:val="auto"/>
        </w:rPr>
        <w:fldChar w:fldCharType="separate"/>
      </w:r>
      <w:r>
        <w:rPr>
          <w:rStyle w:val="45"/>
          <w:rFonts w:ascii="Times New Roman"/>
          <w:color w:val="auto"/>
        </w:rPr>
        <w:t>28</w:t>
      </w:r>
      <w:r>
        <w:rPr>
          <w:rStyle w:val="45"/>
          <w:rFonts w:ascii="Times New Roman"/>
          <w:color w:val="auto"/>
        </w:rPr>
        <w:fldChar w:fldCharType="end"/>
      </w:r>
      <w:r>
        <w:rPr>
          <w:rStyle w:val="45"/>
          <w:rFonts w:ascii="Times New Roman"/>
          <w:color w:val="auto"/>
        </w:rPr>
        <w:fldChar w:fldCharType="end"/>
      </w:r>
    </w:p>
    <w:p w14:paraId="2C683EF3">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"_Toc62563652" </w:instrText>
      </w:r>
      <w:r>
        <w:rPr>
          <w:rStyle w:val="45"/>
          <w:rFonts w:ascii="Times New Roman"/>
          <w:color w:val="auto"/>
        </w:rPr>
        <w:fldChar w:fldCharType="separate"/>
      </w:r>
      <w:r>
        <w:rPr>
          <w:rStyle w:val="45"/>
          <w:rFonts w:ascii="Times New Roman"/>
          <w:color w:val="auto"/>
        </w:rPr>
        <w:t>第四节  综合定级因素因</w:t>
      </w:r>
      <w:bookmarkStart w:id="2" w:name="_Hlt69142509"/>
      <w:r>
        <w:rPr>
          <w:rStyle w:val="45"/>
          <w:rFonts w:ascii="Times New Roman"/>
          <w:color w:val="auto"/>
        </w:rPr>
        <w:t>子</w:t>
      </w:r>
      <w:bookmarkEnd w:id="2"/>
      <w:r>
        <w:rPr>
          <w:rStyle w:val="45"/>
          <w:rFonts w:ascii="Times New Roman"/>
          <w:color w:val="auto"/>
        </w:rPr>
        <w:t>及其权重的确定结果</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_Toc62563652 \h </w:instrText>
      </w:r>
      <w:r>
        <w:rPr>
          <w:rStyle w:val="45"/>
          <w:rFonts w:ascii="Times New Roman"/>
          <w:color w:val="auto"/>
        </w:rPr>
        <w:fldChar w:fldCharType="separate"/>
      </w:r>
      <w:r>
        <w:rPr>
          <w:rStyle w:val="45"/>
          <w:rFonts w:ascii="Times New Roman"/>
          <w:color w:val="auto"/>
        </w:rPr>
        <w:t>29</w:t>
      </w:r>
      <w:r>
        <w:rPr>
          <w:rStyle w:val="45"/>
          <w:rFonts w:ascii="Times New Roman"/>
          <w:color w:val="auto"/>
        </w:rPr>
        <w:fldChar w:fldCharType="end"/>
      </w:r>
      <w:r>
        <w:rPr>
          <w:rStyle w:val="45"/>
          <w:rFonts w:ascii="Times New Roman"/>
          <w:color w:val="auto"/>
        </w:rPr>
        <w:fldChar w:fldCharType="end"/>
      </w:r>
    </w:p>
    <w:p w14:paraId="1EB4D812">
      <w:pPr>
        <w:pStyle w:val="32"/>
        <w:tabs>
          <w:tab w:val="right" w:leader="dot" w:pos="9059"/>
        </w:tabs>
        <w:spacing w:line="360" w:lineRule="auto"/>
        <w:rPr>
          <w:rFonts w:ascii="Times New Roman" w:hAnsi="Times New Roman" w:eastAsia="宋体"/>
          <w:b w:val="0"/>
          <w:smallCaps w:val="0"/>
          <w:sz w:val="21"/>
          <w:szCs w:val="22"/>
          <w:lang w:val="en-US" w:eastAsia="zh-CN"/>
        </w:rPr>
      </w:pPr>
      <w:r>
        <w:rPr>
          <w:rStyle w:val="45"/>
          <w:rFonts w:ascii="Times New Roman" w:hAnsi="Times New Roman"/>
          <w:color w:val="auto"/>
        </w:rPr>
        <w:fldChar w:fldCharType="begin"/>
      </w:r>
      <w:r>
        <w:rPr>
          <w:rStyle w:val="45"/>
          <w:rFonts w:ascii="Times New Roman" w:hAnsi="Times New Roman"/>
          <w:color w:val="auto"/>
        </w:rPr>
        <w:instrText xml:space="preserve"> </w:instrText>
      </w:r>
      <w:r>
        <w:rPr>
          <w:rFonts w:ascii="Times New Roman" w:hAnsi="Times New Roman"/>
        </w:rPr>
        <w:instrText xml:space="preserve">HYPERLINK \l "_Toc62563653"</w:instrText>
      </w:r>
      <w:r>
        <w:rPr>
          <w:rStyle w:val="45"/>
          <w:rFonts w:ascii="Times New Roman" w:hAnsi="Times New Roman"/>
          <w:color w:val="auto"/>
        </w:rPr>
        <w:instrText xml:space="preserve"> </w:instrText>
      </w:r>
      <w:r>
        <w:rPr>
          <w:rStyle w:val="45"/>
          <w:rFonts w:ascii="Times New Roman" w:hAnsi="Times New Roman"/>
          <w:color w:val="auto"/>
        </w:rPr>
        <w:fldChar w:fldCharType="separate"/>
      </w:r>
      <w:r>
        <w:rPr>
          <w:rStyle w:val="45"/>
          <w:rFonts w:ascii="Times New Roman" w:hAnsi="Times New Roman" w:eastAsia="宋体"/>
          <w:color w:val="auto"/>
        </w:rPr>
        <w:t>第三章  综合定级因素因子定量化处理</w:t>
      </w:r>
      <w:r>
        <w:rPr>
          <w:rFonts w:ascii="Times New Roman" w:hAnsi="Times New Roman"/>
        </w:rPr>
        <w:tab/>
      </w:r>
      <w:bookmarkStart w:id="3" w:name="_Hlt62563770"/>
      <w:r>
        <w:rPr>
          <w:rFonts w:ascii="Times New Roman" w:hAnsi="Times New Roman"/>
        </w:rPr>
        <w:fldChar w:fldCharType="begin"/>
      </w:r>
      <w:r>
        <w:rPr>
          <w:rFonts w:ascii="Times New Roman" w:hAnsi="Times New Roman"/>
        </w:rPr>
        <w:instrText xml:space="preserve"> PAGEREF _Toc62563653 \h </w:instrText>
      </w:r>
      <w:r>
        <w:rPr>
          <w:rFonts w:ascii="Times New Roman" w:hAnsi="Times New Roman"/>
        </w:rPr>
        <w:fldChar w:fldCharType="separate"/>
      </w:r>
      <w:r>
        <w:rPr>
          <w:rFonts w:ascii="Times New Roman" w:hAnsi="Times New Roman"/>
        </w:rPr>
        <w:t>36</w:t>
      </w:r>
      <w:r>
        <w:rPr>
          <w:rFonts w:ascii="Times New Roman" w:hAnsi="Times New Roman"/>
        </w:rPr>
        <w:fldChar w:fldCharType="end"/>
      </w:r>
      <w:bookmarkEnd w:id="3"/>
      <w:r>
        <w:rPr>
          <w:rStyle w:val="45"/>
          <w:rFonts w:ascii="Times New Roman" w:hAnsi="Times New Roman"/>
          <w:color w:val="auto"/>
        </w:rPr>
        <w:fldChar w:fldCharType="end"/>
      </w:r>
    </w:p>
    <w:p w14:paraId="1BA8A707">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"_Toc62563654" </w:instrText>
      </w:r>
      <w:r>
        <w:rPr>
          <w:rStyle w:val="45"/>
          <w:rFonts w:ascii="Times New Roman"/>
          <w:color w:val="auto"/>
        </w:rPr>
        <w:fldChar w:fldCharType="separate"/>
      </w:r>
      <w:r>
        <w:rPr>
          <w:rStyle w:val="45"/>
          <w:rFonts w:ascii="Times New Roman"/>
          <w:color w:val="auto"/>
        </w:rPr>
        <w:t>第一节  商服繁华影响</w:t>
      </w:r>
      <w:bookmarkStart w:id="4" w:name="_Hlt69142867"/>
      <w:bookmarkStart w:id="5" w:name="_Hlt68267338"/>
      <w:bookmarkStart w:id="6" w:name="_Hlt68267337"/>
      <w:r>
        <w:rPr>
          <w:rStyle w:val="45"/>
          <w:rFonts w:ascii="Times New Roman"/>
          <w:color w:val="auto"/>
        </w:rPr>
        <w:t>度</w:t>
      </w:r>
      <w:bookmarkEnd w:id="4"/>
      <w:bookmarkEnd w:id="5"/>
      <w:bookmarkEnd w:id="6"/>
      <w:r>
        <w:rPr>
          <w:rStyle w:val="45"/>
          <w:rFonts w:ascii="Times New Roman"/>
          <w:color w:val="auto"/>
        </w:rPr>
        <w:t>定量化处理</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_Toc62563654 \h </w:instrText>
      </w:r>
      <w:r>
        <w:rPr>
          <w:rStyle w:val="45"/>
          <w:rFonts w:ascii="Times New Roman"/>
          <w:color w:val="auto"/>
        </w:rPr>
        <w:fldChar w:fldCharType="separate"/>
      </w:r>
      <w:r>
        <w:rPr>
          <w:rStyle w:val="45"/>
          <w:rFonts w:ascii="Times New Roman"/>
          <w:color w:val="auto"/>
        </w:rPr>
        <w:t>36</w:t>
      </w:r>
      <w:r>
        <w:rPr>
          <w:rStyle w:val="45"/>
          <w:rFonts w:ascii="Times New Roman"/>
          <w:color w:val="auto"/>
        </w:rPr>
        <w:fldChar w:fldCharType="end"/>
      </w:r>
      <w:r>
        <w:rPr>
          <w:rStyle w:val="45"/>
          <w:rFonts w:ascii="Times New Roman"/>
          <w:color w:val="auto"/>
        </w:rPr>
        <w:fldChar w:fldCharType="end"/>
      </w:r>
    </w:p>
    <w:p w14:paraId="43FE35A6">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"_Toc62563655" </w:instrText>
      </w:r>
      <w:r>
        <w:rPr>
          <w:rStyle w:val="45"/>
          <w:rFonts w:ascii="Times New Roman"/>
          <w:color w:val="auto"/>
        </w:rPr>
        <w:fldChar w:fldCharType="separate"/>
      </w:r>
      <w:r>
        <w:rPr>
          <w:rStyle w:val="45"/>
          <w:rFonts w:ascii="Times New Roman"/>
          <w:color w:val="auto"/>
        </w:rPr>
        <w:t>第二节  道路通达度定量化处理</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_Toc62563655 \h </w:instrText>
      </w:r>
      <w:r>
        <w:rPr>
          <w:rStyle w:val="45"/>
          <w:rFonts w:ascii="Times New Roman"/>
          <w:color w:val="auto"/>
        </w:rPr>
        <w:fldChar w:fldCharType="separate"/>
      </w:r>
      <w:r>
        <w:rPr>
          <w:rStyle w:val="45"/>
          <w:rFonts w:ascii="Times New Roman"/>
          <w:color w:val="auto"/>
        </w:rPr>
        <w:t>42</w:t>
      </w:r>
      <w:r>
        <w:rPr>
          <w:rStyle w:val="45"/>
          <w:rFonts w:ascii="Times New Roman"/>
          <w:color w:val="auto"/>
        </w:rPr>
        <w:fldChar w:fldCharType="end"/>
      </w:r>
      <w:r>
        <w:rPr>
          <w:rStyle w:val="45"/>
          <w:rFonts w:ascii="Times New Roman"/>
          <w:color w:val="auto"/>
        </w:rPr>
        <w:fldChar w:fldCharType="end"/>
      </w:r>
    </w:p>
    <w:p w14:paraId="64891FCB">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"_Toc62563656" </w:instrText>
      </w:r>
      <w:r>
        <w:rPr>
          <w:rStyle w:val="45"/>
          <w:rFonts w:ascii="Times New Roman"/>
          <w:color w:val="auto"/>
        </w:rPr>
        <w:fldChar w:fldCharType="separate"/>
      </w:r>
      <w:r>
        <w:rPr>
          <w:rStyle w:val="45"/>
          <w:rFonts w:ascii="Times New Roman"/>
          <w:color w:val="auto"/>
        </w:rPr>
        <w:t>第三节  对外交通便利度定量处理</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_Toc62563656 \h </w:instrText>
      </w:r>
      <w:r>
        <w:rPr>
          <w:rStyle w:val="45"/>
          <w:rFonts w:ascii="Times New Roman"/>
          <w:color w:val="auto"/>
        </w:rPr>
        <w:fldChar w:fldCharType="separate"/>
      </w:r>
      <w:r>
        <w:rPr>
          <w:rStyle w:val="45"/>
          <w:rFonts w:ascii="Times New Roman"/>
          <w:color w:val="auto"/>
        </w:rPr>
        <w:t>59</w:t>
      </w:r>
      <w:r>
        <w:rPr>
          <w:rStyle w:val="45"/>
          <w:rFonts w:ascii="Times New Roman"/>
          <w:color w:val="auto"/>
        </w:rPr>
        <w:fldChar w:fldCharType="end"/>
      </w:r>
      <w:r>
        <w:rPr>
          <w:rStyle w:val="45"/>
          <w:rFonts w:ascii="Times New Roman"/>
          <w:color w:val="auto"/>
        </w:rPr>
        <w:fldChar w:fldCharType="end"/>
      </w:r>
    </w:p>
    <w:p w14:paraId="2E73FDC5">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"_Toc62563657" </w:instrText>
      </w:r>
      <w:r>
        <w:rPr>
          <w:rStyle w:val="45"/>
          <w:rFonts w:ascii="Times New Roman"/>
          <w:color w:val="auto"/>
        </w:rPr>
        <w:fldChar w:fldCharType="separate"/>
      </w:r>
      <w:r>
        <w:rPr>
          <w:rStyle w:val="45"/>
          <w:rFonts w:ascii="Times New Roman"/>
          <w:color w:val="auto"/>
        </w:rPr>
        <w:t>第四节  基础设施完善度定量化处理</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_Toc62563657 \h </w:instrText>
      </w:r>
      <w:r>
        <w:rPr>
          <w:rStyle w:val="45"/>
          <w:rFonts w:ascii="Times New Roman"/>
          <w:color w:val="auto"/>
        </w:rPr>
        <w:fldChar w:fldCharType="separate"/>
      </w:r>
      <w:r>
        <w:rPr>
          <w:rStyle w:val="45"/>
          <w:rFonts w:ascii="Times New Roman"/>
          <w:color w:val="auto"/>
        </w:rPr>
        <w:t>62</w:t>
      </w:r>
      <w:r>
        <w:rPr>
          <w:rStyle w:val="45"/>
          <w:rFonts w:ascii="Times New Roman"/>
          <w:color w:val="auto"/>
        </w:rPr>
        <w:fldChar w:fldCharType="end"/>
      </w:r>
      <w:r>
        <w:rPr>
          <w:rStyle w:val="45"/>
          <w:rFonts w:ascii="Times New Roman"/>
          <w:color w:val="auto"/>
        </w:rPr>
        <w:fldChar w:fldCharType="end"/>
      </w:r>
    </w:p>
    <w:p w14:paraId="16583FCF">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"_Toc62563658" </w:instrText>
      </w:r>
      <w:r>
        <w:rPr>
          <w:rStyle w:val="45"/>
          <w:rFonts w:ascii="Times New Roman"/>
          <w:color w:val="auto"/>
        </w:rPr>
        <w:fldChar w:fldCharType="separate"/>
      </w:r>
      <w:r>
        <w:rPr>
          <w:rStyle w:val="45"/>
          <w:rFonts w:ascii="Times New Roman"/>
          <w:color w:val="auto"/>
        </w:rPr>
        <w:t>第五节  公用设施完备度定量化处理</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_Toc62563658 \h </w:instrText>
      </w:r>
      <w:r>
        <w:rPr>
          <w:rStyle w:val="45"/>
          <w:rFonts w:ascii="Times New Roman"/>
          <w:color w:val="auto"/>
        </w:rPr>
        <w:fldChar w:fldCharType="separate"/>
      </w:r>
      <w:r>
        <w:rPr>
          <w:rStyle w:val="45"/>
          <w:rFonts w:ascii="Times New Roman"/>
          <w:color w:val="auto"/>
        </w:rPr>
        <w:t>74</w:t>
      </w:r>
      <w:r>
        <w:rPr>
          <w:rStyle w:val="45"/>
          <w:rFonts w:ascii="Times New Roman"/>
          <w:color w:val="auto"/>
        </w:rPr>
        <w:fldChar w:fldCharType="end"/>
      </w:r>
      <w:r>
        <w:rPr>
          <w:rStyle w:val="45"/>
          <w:rFonts w:ascii="Times New Roman"/>
          <w:color w:val="auto"/>
        </w:rPr>
        <w:fldChar w:fldCharType="end"/>
      </w:r>
    </w:p>
    <w:p w14:paraId="34D1DAEF">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"_Toc62563659" </w:instrText>
      </w:r>
      <w:r>
        <w:rPr>
          <w:rStyle w:val="45"/>
          <w:rFonts w:ascii="Times New Roman"/>
          <w:color w:val="auto"/>
        </w:rPr>
        <w:fldChar w:fldCharType="separate"/>
      </w:r>
      <w:r>
        <w:rPr>
          <w:rStyle w:val="45"/>
          <w:rFonts w:ascii="Times New Roman"/>
          <w:color w:val="auto"/>
        </w:rPr>
        <w:t>第六节  环境质量优劣度定量化处理</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_Toc62563659 \h </w:instrText>
      </w:r>
      <w:r>
        <w:rPr>
          <w:rStyle w:val="45"/>
          <w:rFonts w:ascii="Times New Roman"/>
          <w:color w:val="auto"/>
        </w:rPr>
        <w:fldChar w:fldCharType="separate"/>
      </w:r>
      <w:r>
        <w:rPr>
          <w:rStyle w:val="45"/>
          <w:rFonts w:ascii="Times New Roman"/>
          <w:color w:val="auto"/>
        </w:rPr>
        <w:t>84</w:t>
      </w:r>
      <w:r>
        <w:rPr>
          <w:rStyle w:val="45"/>
          <w:rFonts w:ascii="Times New Roman"/>
          <w:color w:val="auto"/>
        </w:rPr>
        <w:fldChar w:fldCharType="end"/>
      </w:r>
      <w:r>
        <w:rPr>
          <w:rStyle w:val="45"/>
          <w:rFonts w:ascii="Times New Roman"/>
          <w:color w:val="auto"/>
        </w:rPr>
        <w:fldChar w:fldCharType="end"/>
      </w:r>
    </w:p>
    <w:p w14:paraId="39957149">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"_Toc62563660" </w:instrText>
      </w:r>
      <w:r>
        <w:rPr>
          <w:rStyle w:val="45"/>
          <w:rFonts w:ascii="Times New Roman"/>
          <w:color w:val="auto"/>
        </w:rPr>
        <w:fldChar w:fldCharType="separate"/>
      </w:r>
      <w:r>
        <w:rPr>
          <w:rStyle w:val="45"/>
          <w:rFonts w:ascii="Times New Roman"/>
          <w:color w:val="auto"/>
        </w:rPr>
        <w:t>第七节  自然条件优劣度定量化处理</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_Toc62563660 \h </w:instrText>
      </w:r>
      <w:r>
        <w:rPr>
          <w:rStyle w:val="45"/>
          <w:rFonts w:ascii="Times New Roman"/>
          <w:color w:val="auto"/>
        </w:rPr>
        <w:fldChar w:fldCharType="separate"/>
      </w:r>
      <w:r>
        <w:rPr>
          <w:rStyle w:val="45"/>
          <w:rFonts w:ascii="Times New Roman"/>
          <w:color w:val="auto"/>
        </w:rPr>
        <w:t>88</w:t>
      </w:r>
      <w:r>
        <w:rPr>
          <w:rStyle w:val="45"/>
          <w:rFonts w:ascii="Times New Roman"/>
          <w:color w:val="auto"/>
        </w:rPr>
        <w:fldChar w:fldCharType="end"/>
      </w:r>
      <w:r>
        <w:rPr>
          <w:rStyle w:val="45"/>
          <w:rFonts w:ascii="Times New Roman"/>
          <w:color w:val="auto"/>
        </w:rPr>
        <w:fldChar w:fldCharType="end"/>
      </w:r>
    </w:p>
    <w:p w14:paraId="38F91055">
      <w:pPr>
        <w:pStyle w:val="32"/>
        <w:tabs>
          <w:tab w:val="right" w:leader="dot" w:pos="9059"/>
        </w:tabs>
        <w:spacing w:line="360" w:lineRule="auto"/>
        <w:rPr>
          <w:rFonts w:ascii="Times New Roman" w:hAnsi="Times New Roman" w:eastAsia="宋体"/>
          <w:b w:val="0"/>
          <w:smallCaps w:val="0"/>
          <w:sz w:val="21"/>
          <w:szCs w:val="22"/>
          <w:lang w:val="en-US" w:eastAsia="zh-CN"/>
        </w:rPr>
      </w:pPr>
      <w:r>
        <w:rPr>
          <w:rStyle w:val="45"/>
          <w:rFonts w:ascii="Times New Roman" w:hAnsi="Times New Roman"/>
          <w:color w:val="auto"/>
        </w:rPr>
        <w:fldChar w:fldCharType="begin"/>
      </w:r>
      <w:r>
        <w:rPr>
          <w:rStyle w:val="45"/>
          <w:rFonts w:ascii="Times New Roman" w:hAnsi="Times New Roman"/>
          <w:color w:val="auto"/>
        </w:rPr>
        <w:instrText xml:space="preserve"> </w:instrText>
      </w:r>
      <w:r>
        <w:rPr>
          <w:rFonts w:ascii="Times New Roman" w:hAnsi="Times New Roman"/>
        </w:rPr>
        <w:instrText xml:space="preserve">HYPERLINK \l "_Toc62563661"</w:instrText>
      </w:r>
      <w:r>
        <w:rPr>
          <w:rStyle w:val="45"/>
          <w:rFonts w:ascii="Times New Roman" w:hAnsi="Times New Roman"/>
          <w:color w:val="auto"/>
        </w:rPr>
        <w:instrText xml:space="preserve"> </w:instrText>
      </w:r>
      <w:r>
        <w:rPr>
          <w:rStyle w:val="45"/>
          <w:rFonts w:ascii="Times New Roman" w:hAnsi="Times New Roman"/>
          <w:color w:val="auto"/>
        </w:rPr>
        <w:fldChar w:fldCharType="separate"/>
      </w:r>
      <w:r>
        <w:rPr>
          <w:rStyle w:val="45"/>
          <w:rFonts w:ascii="Times New Roman" w:hAnsi="Times New Roman" w:eastAsia="宋体"/>
          <w:color w:val="auto"/>
        </w:rPr>
        <w:t>第四章  土地定级单元分值计算与作用分值图编制</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_Toc62563661 \h </w:instrText>
      </w:r>
      <w:r>
        <w:rPr>
          <w:rFonts w:ascii="Times New Roman" w:hAnsi="Times New Roman"/>
        </w:rPr>
        <w:fldChar w:fldCharType="separate"/>
      </w:r>
      <w:r>
        <w:rPr>
          <w:rFonts w:ascii="Times New Roman" w:hAnsi="Times New Roman"/>
        </w:rPr>
        <w:t>91</w:t>
      </w:r>
      <w:r>
        <w:rPr>
          <w:rFonts w:ascii="Times New Roman" w:hAnsi="Times New Roman"/>
        </w:rPr>
        <w:fldChar w:fldCharType="end"/>
      </w:r>
      <w:r>
        <w:rPr>
          <w:rStyle w:val="45"/>
          <w:rFonts w:ascii="Times New Roman" w:hAnsi="Times New Roman"/>
          <w:color w:val="auto"/>
        </w:rPr>
        <w:fldChar w:fldCharType="end"/>
      </w:r>
    </w:p>
    <w:p w14:paraId="54796A1C">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"_Toc62563662" </w:instrText>
      </w:r>
      <w:r>
        <w:rPr>
          <w:rStyle w:val="45"/>
          <w:rFonts w:ascii="Times New Roman"/>
          <w:color w:val="auto"/>
        </w:rPr>
        <w:fldChar w:fldCharType="separate"/>
      </w:r>
      <w:r>
        <w:rPr>
          <w:rStyle w:val="45"/>
          <w:rFonts w:ascii="Times New Roman"/>
          <w:color w:val="auto"/>
        </w:rPr>
        <w:t>第一节  土地定级单元划分</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_Toc62563662 \h </w:instrText>
      </w:r>
      <w:r>
        <w:rPr>
          <w:rStyle w:val="45"/>
          <w:rFonts w:ascii="Times New Roman"/>
          <w:color w:val="auto"/>
        </w:rPr>
        <w:fldChar w:fldCharType="separate"/>
      </w:r>
      <w:r>
        <w:rPr>
          <w:rStyle w:val="45"/>
          <w:rFonts w:ascii="Times New Roman"/>
          <w:color w:val="auto"/>
        </w:rPr>
        <w:t>91</w:t>
      </w:r>
      <w:r>
        <w:rPr>
          <w:rStyle w:val="45"/>
          <w:rFonts w:ascii="Times New Roman"/>
          <w:color w:val="auto"/>
        </w:rPr>
        <w:fldChar w:fldCharType="end"/>
      </w:r>
      <w:r>
        <w:rPr>
          <w:rStyle w:val="45"/>
          <w:rFonts w:ascii="Times New Roman"/>
          <w:color w:val="auto"/>
        </w:rPr>
        <w:fldChar w:fldCharType="end"/>
      </w:r>
    </w:p>
    <w:p w14:paraId="502F3361">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"_Toc62563663" </w:instrText>
      </w:r>
      <w:r>
        <w:rPr>
          <w:rStyle w:val="45"/>
          <w:rFonts w:ascii="Times New Roman"/>
          <w:color w:val="auto"/>
        </w:rPr>
        <w:fldChar w:fldCharType="separate"/>
      </w:r>
      <w:r>
        <w:rPr>
          <w:rStyle w:val="45"/>
          <w:rFonts w:ascii="Times New Roman"/>
          <w:color w:val="auto"/>
        </w:rPr>
        <w:t>第二节  障碍物及障碍物通行点的设置</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_Toc62563663 \h </w:instrText>
      </w:r>
      <w:r>
        <w:rPr>
          <w:rStyle w:val="45"/>
          <w:rFonts w:ascii="Times New Roman"/>
          <w:color w:val="auto"/>
        </w:rPr>
        <w:fldChar w:fldCharType="separate"/>
      </w:r>
      <w:r>
        <w:rPr>
          <w:rStyle w:val="45"/>
          <w:rFonts w:ascii="Times New Roman"/>
          <w:color w:val="auto"/>
        </w:rPr>
        <w:t>92</w:t>
      </w:r>
      <w:r>
        <w:rPr>
          <w:rStyle w:val="45"/>
          <w:rFonts w:ascii="Times New Roman"/>
          <w:color w:val="auto"/>
        </w:rPr>
        <w:fldChar w:fldCharType="end"/>
      </w:r>
      <w:r>
        <w:rPr>
          <w:rStyle w:val="45"/>
          <w:rFonts w:ascii="Times New Roman"/>
          <w:color w:val="auto"/>
        </w:rPr>
        <w:fldChar w:fldCharType="end"/>
      </w:r>
    </w:p>
    <w:p w14:paraId="5ABECCAB">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"_Toc62563664" </w:instrText>
      </w:r>
      <w:r>
        <w:rPr>
          <w:rStyle w:val="45"/>
          <w:rFonts w:ascii="Times New Roman"/>
          <w:color w:val="auto"/>
        </w:rPr>
        <w:fldChar w:fldCharType="separate"/>
      </w:r>
      <w:r>
        <w:rPr>
          <w:rStyle w:val="45"/>
          <w:rFonts w:ascii="Times New Roman"/>
          <w:color w:val="auto"/>
        </w:rPr>
        <w:t>第三节  土地定级单元内定级因素作用分值计算与作用分值图编制</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_Toc62563664 \h </w:instrText>
      </w:r>
      <w:r>
        <w:rPr>
          <w:rStyle w:val="45"/>
          <w:rFonts w:ascii="Times New Roman"/>
          <w:color w:val="auto"/>
        </w:rPr>
        <w:fldChar w:fldCharType="separate"/>
      </w:r>
      <w:r>
        <w:rPr>
          <w:rStyle w:val="45"/>
          <w:rFonts w:ascii="Times New Roman"/>
          <w:color w:val="auto"/>
        </w:rPr>
        <w:t>93</w:t>
      </w:r>
      <w:r>
        <w:rPr>
          <w:rStyle w:val="45"/>
          <w:rFonts w:ascii="Times New Roman"/>
          <w:color w:val="auto"/>
        </w:rPr>
        <w:fldChar w:fldCharType="end"/>
      </w:r>
      <w:r>
        <w:rPr>
          <w:rStyle w:val="45"/>
          <w:rFonts w:ascii="Times New Roman"/>
          <w:color w:val="auto"/>
        </w:rPr>
        <w:fldChar w:fldCharType="end"/>
      </w:r>
    </w:p>
    <w:p w14:paraId="56E39C82">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"_Toc62563665" </w:instrText>
      </w:r>
      <w:r>
        <w:rPr>
          <w:rStyle w:val="45"/>
          <w:rFonts w:ascii="Times New Roman"/>
          <w:color w:val="auto"/>
        </w:rPr>
        <w:fldChar w:fldCharType="separate"/>
      </w:r>
      <w:r>
        <w:rPr>
          <w:rStyle w:val="45"/>
          <w:rFonts w:ascii="Times New Roman"/>
          <w:color w:val="auto"/>
        </w:rPr>
        <w:t>第四节  土地定级单元内总分值的计算与定级因素作用总分值图编制</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_Toc62563665 \h </w:instrText>
      </w:r>
      <w:r>
        <w:rPr>
          <w:rStyle w:val="45"/>
          <w:rFonts w:ascii="Times New Roman"/>
          <w:color w:val="auto"/>
        </w:rPr>
        <w:fldChar w:fldCharType="separate"/>
      </w:r>
      <w:r>
        <w:rPr>
          <w:rStyle w:val="45"/>
          <w:rFonts w:ascii="Times New Roman"/>
          <w:color w:val="auto"/>
        </w:rPr>
        <w:t>98</w:t>
      </w:r>
      <w:r>
        <w:rPr>
          <w:rStyle w:val="45"/>
          <w:rFonts w:ascii="Times New Roman"/>
          <w:color w:val="auto"/>
        </w:rPr>
        <w:fldChar w:fldCharType="end"/>
      </w:r>
      <w:r>
        <w:rPr>
          <w:rStyle w:val="45"/>
          <w:rFonts w:ascii="Times New Roman"/>
          <w:color w:val="auto"/>
        </w:rPr>
        <w:fldChar w:fldCharType="end"/>
      </w:r>
    </w:p>
    <w:p w14:paraId="3A588807">
      <w:pPr>
        <w:pStyle w:val="32"/>
        <w:tabs>
          <w:tab w:val="right" w:leader="dot" w:pos="9059"/>
        </w:tabs>
        <w:spacing w:line="360" w:lineRule="auto"/>
        <w:rPr>
          <w:rFonts w:ascii="Times New Roman" w:hAnsi="Times New Roman" w:eastAsia="宋体"/>
          <w:b w:val="0"/>
          <w:smallCaps w:val="0"/>
          <w:sz w:val="21"/>
          <w:szCs w:val="22"/>
          <w:lang w:val="en-US" w:eastAsia="zh-CN"/>
        </w:rPr>
      </w:pPr>
      <w:r>
        <w:rPr>
          <w:rStyle w:val="45"/>
          <w:rFonts w:ascii="Times New Roman" w:hAnsi="Times New Roman"/>
          <w:color w:val="auto"/>
        </w:rPr>
        <w:fldChar w:fldCharType="begin"/>
      </w:r>
      <w:r>
        <w:rPr>
          <w:rStyle w:val="45"/>
          <w:rFonts w:ascii="Times New Roman" w:hAnsi="Times New Roman"/>
          <w:color w:val="auto"/>
        </w:rPr>
        <w:instrText xml:space="preserve"> </w:instrText>
      </w:r>
      <w:r>
        <w:rPr>
          <w:rFonts w:ascii="Times New Roman" w:hAnsi="Times New Roman"/>
        </w:rPr>
        <w:instrText xml:space="preserve">HYPERLINK \l "_Toc62563666"</w:instrText>
      </w:r>
      <w:r>
        <w:rPr>
          <w:rStyle w:val="45"/>
          <w:rFonts w:ascii="Times New Roman" w:hAnsi="Times New Roman"/>
          <w:color w:val="auto"/>
        </w:rPr>
        <w:instrText xml:space="preserve"> </w:instrText>
      </w:r>
      <w:r>
        <w:rPr>
          <w:rStyle w:val="45"/>
          <w:rFonts w:ascii="Times New Roman" w:hAnsi="Times New Roman"/>
          <w:color w:val="auto"/>
        </w:rPr>
        <w:fldChar w:fldCharType="separate"/>
      </w:r>
      <w:r>
        <w:rPr>
          <w:rStyle w:val="45"/>
          <w:rFonts w:ascii="Times New Roman" w:hAnsi="Times New Roman" w:eastAsia="宋体"/>
          <w:color w:val="auto"/>
        </w:rPr>
        <w:t>第五章  土地级别的划分与确定</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_Toc62563666 \h </w:instrText>
      </w:r>
      <w:r>
        <w:rPr>
          <w:rFonts w:ascii="Times New Roman" w:hAnsi="Times New Roman"/>
        </w:rPr>
        <w:fldChar w:fldCharType="separate"/>
      </w:r>
      <w:r>
        <w:rPr>
          <w:rFonts w:ascii="Times New Roman" w:hAnsi="Times New Roman"/>
        </w:rPr>
        <w:t>108</w:t>
      </w:r>
      <w:r>
        <w:rPr>
          <w:rFonts w:ascii="Times New Roman" w:hAnsi="Times New Roman"/>
        </w:rPr>
        <w:fldChar w:fldCharType="end"/>
      </w:r>
      <w:r>
        <w:rPr>
          <w:rStyle w:val="45"/>
          <w:rFonts w:ascii="Times New Roman" w:hAnsi="Times New Roman"/>
          <w:color w:val="auto"/>
        </w:rPr>
        <w:fldChar w:fldCharType="end"/>
      </w:r>
    </w:p>
    <w:p w14:paraId="044A1412">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"_Toc62563667" </w:instrText>
      </w:r>
      <w:r>
        <w:rPr>
          <w:rStyle w:val="45"/>
          <w:rFonts w:ascii="Times New Roman"/>
          <w:color w:val="auto"/>
        </w:rPr>
        <w:fldChar w:fldCharType="separate"/>
      </w:r>
      <w:r>
        <w:rPr>
          <w:rStyle w:val="45"/>
          <w:rFonts w:ascii="Times New Roman"/>
          <w:color w:val="auto"/>
        </w:rPr>
        <w:t>第一节  土地级别的初步划分</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_Toc62563667 \h </w:instrText>
      </w:r>
      <w:r>
        <w:rPr>
          <w:rStyle w:val="45"/>
          <w:rFonts w:ascii="Times New Roman"/>
          <w:color w:val="auto"/>
        </w:rPr>
        <w:fldChar w:fldCharType="separate"/>
      </w:r>
      <w:r>
        <w:rPr>
          <w:rStyle w:val="45"/>
          <w:rFonts w:ascii="Times New Roman"/>
          <w:color w:val="auto"/>
        </w:rPr>
        <w:t>108</w:t>
      </w:r>
      <w:r>
        <w:rPr>
          <w:rStyle w:val="45"/>
          <w:rFonts w:ascii="Times New Roman"/>
          <w:color w:val="auto"/>
        </w:rPr>
        <w:fldChar w:fldCharType="end"/>
      </w:r>
      <w:r>
        <w:rPr>
          <w:rStyle w:val="45"/>
          <w:rFonts w:ascii="Times New Roman"/>
          <w:color w:val="auto"/>
        </w:rPr>
        <w:fldChar w:fldCharType="end"/>
      </w:r>
    </w:p>
    <w:p w14:paraId="6846F547">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"_Toc62563668" </w:instrText>
      </w:r>
      <w:r>
        <w:rPr>
          <w:rStyle w:val="45"/>
          <w:rFonts w:ascii="Times New Roman"/>
          <w:color w:val="auto"/>
        </w:rPr>
        <w:fldChar w:fldCharType="separate"/>
      </w:r>
      <w:r>
        <w:rPr>
          <w:rStyle w:val="45"/>
          <w:rFonts w:ascii="Times New Roman"/>
          <w:color w:val="auto"/>
        </w:rPr>
        <w:t>第二节  土地级别的验证与确定</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_Toc62563668 \h </w:instrText>
      </w:r>
      <w:r>
        <w:rPr>
          <w:rStyle w:val="45"/>
          <w:rFonts w:ascii="Times New Roman"/>
          <w:color w:val="auto"/>
        </w:rPr>
        <w:fldChar w:fldCharType="separate"/>
      </w:r>
      <w:r>
        <w:rPr>
          <w:rStyle w:val="45"/>
          <w:rFonts w:ascii="Times New Roman"/>
          <w:color w:val="auto"/>
        </w:rPr>
        <w:t>121</w:t>
      </w:r>
      <w:r>
        <w:rPr>
          <w:rStyle w:val="45"/>
          <w:rFonts w:ascii="Times New Roman"/>
          <w:color w:val="auto"/>
        </w:rPr>
        <w:fldChar w:fldCharType="end"/>
      </w:r>
      <w:r>
        <w:rPr>
          <w:rStyle w:val="45"/>
          <w:rFonts w:ascii="Times New Roman"/>
          <w:color w:val="auto"/>
        </w:rPr>
        <w:fldChar w:fldCharType="end"/>
      </w:r>
    </w:p>
    <w:p w14:paraId="5B4D165F">
      <w:pPr>
        <w:pStyle w:val="32"/>
        <w:tabs>
          <w:tab w:val="right" w:leader="dot" w:pos="9059"/>
        </w:tabs>
        <w:spacing w:line="360" w:lineRule="auto"/>
        <w:rPr>
          <w:rFonts w:ascii="Times New Roman" w:hAnsi="Times New Roman" w:eastAsia="宋体"/>
          <w:b w:val="0"/>
          <w:smallCaps w:val="0"/>
          <w:sz w:val="21"/>
          <w:szCs w:val="22"/>
          <w:lang w:val="en-US" w:eastAsia="zh-CN"/>
        </w:rPr>
      </w:pPr>
      <w:r>
        <w:rPr>
          <w:rStyle w:val="45"/>
          <w:rFonts w:ascii="Times New Roman" w:hAnsi="Times New Roman"/>
          <w:color w:val="auto"/>
        </w:rPr>
        <w:fldChar w:fldCharType="begin"/>
      </w:r>
      <w:r>
        <w:rPr>
          <w:rStyle w:val="45"/>
          <w:rFonts w:ascii="Times New Roman" w:hAnsi="Times New Roman"/>
          <w:color w:val="auto"/>
        </w:rPr>
        <w:instrText xml:space="preserve"> </w:instrText>
      </w:r>
      <w:r>
        <w:rPr>
          <w:rFonts w:ascii="Times New Roman" w:hAnsi="Times New Roman"/>
        </w:rPr>
        <w:instrText xml:space="preserve">HYPERLINK \l "_Toc62563669"</w:instrText>
      </w:r>
      <w:r>
        <w:rPr>
          <w:rStyle w:val="45"/>
          <w:rFonts w:ascii="Times New Roman" w:hAnsi="Times New Roman"/>
          <w:color w:val="auto"/>
        </w:rPr>
        <w:instrText xml:space="preserve"> </w:instrText>
      </w:r>
      <w:r>
        <w:rPr>
          <w:rStyle w:val="45"/>
          <w:rFonts w:ascii="Times New Roman" w:hAnsi="Times New Roman"/>
          <w:color w:val="auto"/>
        </w:rPr>
        <w:fldChar w:fldCharType="separate"/>
      </w:r>
      <w:r>
        <w:rPr>
          <w:rStyle w:val="45"/>
          <w:rFonts w:ascii="Times New Roman" w:hAnsi="Times New Roman" w:eastAsia="宋体"/>
          <w:color w:val="auto"/>
        </w:rPr>
        <w:t>第六章  土地定级成果整理与分析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_Toc62563669 \h </w:instrText>
      </w:r>
      <w:r>
        <w:rPr>
          <w:rFonts w:ascii="Times New Roman" w:hAnsi="Times New Roman"/>
        </w:rPr>
        <w:fldChar w:fldCharType="separate"/>
      </w:r>
      <w:r>
        <w:rPr>
          <w:rFonts w:ascii="Times New Roman" w:hAnsi="Times New Roman"/>
        </w:rPr>
        <w:t>125</w:t>
      </w:r>
      <w:r>
        <w:rPr>
          <w:rFonts w:ascii="Times New Roman" w:hAnsi="Times New Roman"/>
        </w:rPr>
        <w:fldChar w:fldCharType="end"/>
      </w:r>
      <w:r>
        <w:rPr>
          <w:rStyle w:val="45"/>
          <w:rFonts w:ascii="Times New Roman" w:hAnsi="Times New Roman"/>
          <w:color w:val="auto"/>
        </w:rPr>
        <w:fldChar w:fldCharType="end"/>
      </w:r>
    </w:p>
    <w:p w14:paraId="039F95C5">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"_Toc62563670" </w:instrText>
      </w:r>
      <w:r>
        <w:rPr>
          <w:rStyle w:val="45"/>
          <w:rFonts w:ascii="Times New Roman"/>
          <w:color w:val="auto"/>
        </w:rPr>
        <w:fldChar w:fldCharType="separate"/>
      </w:r>
      <w:r>
        <w:rPr>
          <w:rStyle w:val="45"/>
          <w:rFonts w:ascii="Times New Roman"/>
          <w:color w:val="auto"/>
        </w:rPr>
        <w:t>第一节  土地定级成果图件编制及土地级别面积量算</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_Toc62563670 \h </w:instrText>
      </w:r>
      <w:r>
        <w:rPr>
          <w:rStyle w:val="45"/>
          <w:rFonts w:ascii="Times New Roman"/>
          <w:color w:val="auto"/>
        </w:rPr>
        <w:fldChar w:fldCharType="separate"/>
      </w:r>
      <w:r>
        <w:rPr>
          <w:rStyle w:val="45"/>
          <w:rFonts w:ascii="Times New Roman"/>
          <w:color w:val="auto"/>
        </w:rPr>
        <w:t>125</w:t>
      </w:r>
      <w:r>
        <w:rPr>
          <w:rStyle w:val="45"/>
          <w:rFonts w:ascii="Times New Roman"/>
          <w:color w:val="auto"/>
        </w:rPr>
        <w:fldChar w:fldCharType="end"/>
      </w:r>
      <w:r>
        <w:rPr>
          <w:rStyle w:val="45"/>
          <w:rFonts w:ascii="Times New Roman"/>
          <w:color w:val="auto"/>
        </w:rPr>
        <w:fldChar w:fldCharType="end"/>
      </w:r>
    </w:p>
    <w:p w14:paraId="78C631DE">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"_Toc62563671" </w:instrText>
      </w:r>
      <w:r>
        <w:rPr>
          <w:rStyle w:val="45"/>
          <w:rFonts w:ascii="Times New Roman"/>
          <w:color w:val="auto"/>
        </w:rPr>
        <w:fldChar w:fldCharType="separate"/>
      </w:r>
      <w:r>
        <w:rPr>
          <w:rStyle w:val="45"/>
          <w:rFonts w:ascii="Times New Roman"/>
          <w:color w:val="auto"/>
        </w:rPr>
        <w:t>第二节  土地级别落界及土地级别分布范围描述</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_Toc62563671 \h </w:instrText>
      </w:r>
      <w:r>
        <w:rPr>
          <w:rStyle w:val="45"/>
          <w:rFonts w:ascii="Times New Roman"/>
          <w:color w:val="auto"/>
        </w:rPr>
        <w:fldChar w:fldCharType="separate"/>
      </w:r>
      <w:r>
        <w:rPr>
          <w:rStyle w:val="45"/>
          <w:rFonts w:ascii="Times New Roman"/>
          <w:color w:val="auto"/>
        </w:rPr>
        <w:t>126</w:t>
      </w:r>
      <w:r>
        <w:rPr>
          <w:rStyle w:val="45"/>
          <w:rFonts w:ascii="Times New Roman"/>
          <w:color w:val="auto"/>
        </w:rPr>
        <w:fldChar w:fldCharType="end"/>
      </w:r>
      <w:r>
        <w:rPr>
          <w:rStyle w:val="45"/>
          <w:rFonts w:ascii="Times New Roman"/>
          <w:color w:val="auto"/>
        </w:rPr>
        <w:fldChar w:fldCharType="end"/>
      </w:r>
    </w:p>
    <w:p w14:paraId="620E0C02">
      <w:pPr>
        <w:pStyle w:val="27"/>
        <w:tabs>
          <w:tab w:val="right" w:leader="dot" w:pos="9059"/>
        </w:tabs>
        <w:spacing w:line="360" w:lineRule="auto"/>
        <w:rPr>
          <w:rFonts w:ascii="Times New Roman" w:hAnsi="Times New Roman" w:eastAsia="宋体"/>
          <w:b w:val="0"/>
          <w:bCs w:val="0"/>
          <w:caps w:val="0"/>
          <w:sz w:val="21"/>
          <w:szCs w:val="22"/>
          <w:lang w:val="en-US" w:eastAsia="zh-CN"/>
        </w:rPr>
      </w:pPr>
      <w:r>
        <w:rPr>
          <w:rStyle w:val="45"/>
          <w:rFonts w:ascii="Times New Roman" w:hAnsi="Times New Roman"/>
          <w:color w:val="auto"/>
        </w:rPr>
        <w:fldChar w:fldCharType="begin"/>
      </w:r>
      <w:r>
        <w:rPr>
          <w:rStyle w:val="45"/>
          <w:rFonts w:ascii="Times New Roman" w:hAnsi="Times New Roman"/>
          <w:color w:val="auto"/>
        </w:rPr>
        <w:instrText xml:space="preserve"> </w:instrText>
      </w:r>
      <w:r>
        <w:rPr>
          <w:rFonts w:ascii="Times New Roman" w:hAnsi="Times New Roman"/>
        </w:rPr>
        <w:instrText xml:space="preserve">HYPERLINK \l "_Toc62563672"</w:instrText>
      </w:r>
      <w:r>
        <w:rPr>
          <w:rStyle w:val="45"/>
          <w:rFonts w:ascii="Times New Roman" w:hAnsi="Times New Roman"/>
          <w:color w:val="auto"/>
        </w:rPr>
        <w:instrText xml:space="preserve"> </w:instrText>
      </w:r>
      <w:r>
        <w:rPr>
          <w:rStyle w:val="45"/>
          <w:rFonts w:ascii="Times New Roman" w:hAnsi="Times New Roman"/>
          <w:color w:val="auto"/>
        </w:rPr>
        <w:fldChar w:fldCharType="separate"/>
      </w:r>
      <w:r>
        <w:rPr>
          <w:rStyle w:val="45"/>
          <w:rFonts w:ascii="Times New Roman" w:hAnsi="Times New Roman"/>
          <w:color w:val="auto"/>
        </w:rPr>
        <w:t>第二篇　基准地价更新技术报告</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_Toc62563672 \h </w:instrText>
      </w:r>
      <w:r>
        <w:rPr>
          <w:rFonts w:ascii="Times New Roman" w:hAnsi="Times New Roman"/>
        </w:rPr>
        <w:fldChar w:fldCharType="separate"/>
      </w:r>
      <w:r>
        <w:rPr>
          <w:rFonts w:ascii="Times New Roman" w:hAnsi="Times New Roman"/>
        </w:rPr>
        <w:t>129</w:t>
      </w:r>
      <w:r>
        <w:rPr>
          <w:rFonts w:ascii="Times New Roman" w:hAnsi="Times New Roman"/>
        </w:rPr>
        <w:fldChar w:fldCharType="end"/>
      </w:r>
      <w:r>
        <w:rPr>
          <w:rStyle w:val="45"/>
          <w:rFonts w:ascii="Times New Roman" w:hAnsi="Times New Roman"/>
          <w:color w:val="auto"/>
        </w:rPr>
        <w:fldChar w:fldCharType="end"/>
      </w:r>
    </w:p>
    <w:p w14:paraId="31B51E91">
      <w:pPr>
        <w:pStyle w:val="32"/>
        <w:tabs>
          <w:tab w:val="right" w:leader="dot" w:pos="9059"/>
        </w:tabs>
        <w:spacing w:line="360" w:lineRule="auto"/>
        <w:rPr>
          <w:rFonts w:ascii="Times New Roman" w:hAnsi="Times New Roman" w:eastAsia="宋体"/>
          <w:b w:val="0"/>
          <w:smallCaps w:val="0"/>
          <w:sz w:val="21"/>
          <w:szCs w:val="22"/>
          <w:lang w:val="en-US" w:eastAsia="zh-CN"/>
        </w:rPr>
      </w:pPr>
      <w:r>
        <w:rPr>
          <w:rStyle w:val="45"/>
          <w:rFonts w:ascii="Times New Roman" w:hAnsi="Times New Roman"/>
          <w:color w:val="auto"/>
        </w:rPr>
        <w:fldChar w:fldCharType="begin"/>
      </w:r>
      <w:r>
        <w:rPr>
          <w:rStyle w:val="45"/>
          <w:rFonts w:ascii="Times New Roman" w:hAnsi="Times New Roman"/>
          <w:color w:val="auto"/>
        </w:rPr>
        <w:instrText xml:space="preserve"> </w:instrText>
      </w:r>
      <w:r>
        <w:rPr>
          <w:rFonts w:ascii="Times New Roman" w:hAnsi="Times New Roman"/>
        </w:rPr>
        <w:instrText xml:space="preserve">HYPERLINK \l "_Toc62563673"</w:instrText>
      </w:r>
      <w:r>
        <w:rPr>
          <w:rStyle w:val="45"/>
          <w:rFonts w:ascii="Times New Roman" w:hAnsi="Times New Roman"/>
          <w:color w:val="auto"/>
        </w:rPr>
        <w:instrText xml:space="preserve"> </w:instrText>
      </w:r>
      <w:r>
        <w:rPr>
          <w:rStyle w:val="45"/>
          <w:rFonts w:ascii="Times New Roman" w:hAnsi="Times New Roman"/>
          <w:color w:val="auto"/>
        </w:rPr>
        <w:fldChar w:fldCharType="separate"/>
      </w:r>
      <w:r>
        <w:rPr>
          <w:rStyle w:val="45"/>
          <w:rFonts w:ascii="Times New Roman" w:hAnsi="Times New Roman" w:eastAsia="宋体"/>
          <w:color w:val="auto"/>
        </w:rPr>
        <w:t>第一章  基准地价更新技术路线和技术方法</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_Toc62563673 \h </w:instrText>
      </w:r>
      <w:r>
        <w:rPr>
          <w:rFonts w:ascii="Times New Roman" w:hAnsi="Times New Roman"/>
        </w:rPr>
        <w:fldChar w:fldCharType="separate"/>
      </w:r>
      <w:r>
        <w:rPr>
          <w:rFonts w:ascii="Times New Roman" w:hAnsi="Times New Roman"/>
        </w:rPr>
        <w:t>129</w:t>
      </w:r>
      <w:r>
        <w:rPr>
          <w:rFonts w:ascii="Times New Roman" w:hAnsi="Times New Roman"/>
        </w:rPr>
        <w:fldChar w:fldCharType="end"/>
      </w:r>
      <w:r>
        <w:rPr>
          <w:rStyle w:val="45"/>
          <w:rFonts w:ascii="Times New Roman" w:hAnsi="Times New Roman"/>
          <w:color w:val="auto"/>
        </w:rPr>
        <w:fldChar w:fldCharType="end"/>
      </w:r>
    </w:p>
    <w:p w14:paraId="0DF7545A">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"_Toc62563674" </w:instrText>
      </w:r>
      <w:r>
        <w:rPr>
          <w:rStyle w:val="45"/>
          <w:rFonts w:ascii="Times New Roman"/>
          <w:color w:val="auto"/>
        </w:rPr>
        <w:fldChar w:fldCharType="separate"/>
      </w:r>
      <w:r>
        <w:rPr>
          <w:rStyle w:val="45"/>
          <w:rFonts w:ascii="Times New Roman"/>
          <w:color w:val="auto"/>
        </w:rPr>
        <w:t>第一节  基准地价更新原则</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_Toc62563674 \h </w:instrText>
      </w:r>
      <w:r>
        <w:rPr>
          <w:rStyle w:val="45"/>
          <w:rFonts w:ascii="Times New Roman"/>
          <w:color w:val="auto"/>
        </w:rPr>
        <w:fldChar w:fldCharType="separate"/>
      </w:r>
      <w:r>
        <w:rPr>
          <w:rStyle w:val="45"/>
          <w:rFonts w:ascii="Times New Roman"/>
          <w:color w:val="auto"/>
        </w:rPr>
        <w:t>129</w:t>
      </w:r>
      <w:r>
        <w:rPr>
          <w:rStyle w:val="45"/>
          <w:rFonts w:ascii="Times New Roman"/>
          <w:color w:val="auto"/>
        </w:rPr>
        <w:fldChar w:fldCharType="end"/>
      </w:r>
      <w:r>
        <w:rPr>
          <w:rStyle w:val="45"/>
          <w:rFonts w:ascii="Times New Roman"/>
          <w:color w:val="auto"/>
        </w:rPr>
        <w:fldChar w:fldCharType="end"/>
      </w:r>
    </w:p>
    <w:p w14:paraId="5A0049CA">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"_Toc62563675" </w:instrText>
      </w:r>
      <w:r>
        <w:rPr>
          <w:rStyle w:val="45"/>
          <w:rFonts w:ascii="Times New Roman"/>
          <w:color w:val="auto"/>
        </w:rPr>
        <w:fldChar w:fldCharType="separate"/>
      </w:r>
      <w:r>
        <w:rPr>
          <w:rStyle w:val="45"/>
          <w:rFonts w:ascii="Times New Roman"/>
          <w:color w:val="auto"/>
        </w:rPr>
        <w:t>第二节  基准地价更新的技术路线和技术方法</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_Toc62563675 \h </w:instrText>
      </w:r>
      <w:r>
        <w:rPr>
          <w:rStyle w:val="45"/>
          <w:rFonts w:ascii="Times New Roman"/>
          <w:color w:val="auto"/>
        </w:rPr>
        <w:fldChar w:fldCharType="separate"/>
      </w:r>
      <w:r>
        <w:rPr>
          <w:rStyle w:val="45"/>
          <w:rFonts w:ascii="Times New Roman"/>
          <w:color w:val="auto"/>
        </w:rPr>
        <w:t>133</w:t>
      </w:r>
      <w:r>
        <w:rPr>
          <w:rStyle w:val="45"/>
          <w:rFonts w:ascii="Times New Roman"/>
          <w:color w:val="auto"/>
        </w:rPr>
        <w:fldChar w:fldCharType="end"/>
      </w:r>
      <w:r>
        <w:rPr>
          <w:rStyle w:val="45"/>
          <w:rFonts w:ascii="Times New Roman"/>
          <w:color w:val="auto"/>
        </w:rPr>
        <w:fldChar w:fldCharType="end"/>
      </w:r>
    </w:p>
    <w:p w14:paraId="71A001D8">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"_Toc62563676" </w:instrText>
      </w:r>
      <w:r>
        <w:rPr>
          <w:rStyle w:val="45"/>
          <w:rFonts w:ascii="Times New Roman"/>
          <w:color w:val="auto"/>
        </w:rPr>
        <w:fldChar w:fldCharType="separate"/>
      </w:r>
      <w:r>
        <w:rPr>
          <w:rStyle w:val="45"/>
          <w:rFonts w:ascii="Times New Roman"/>
          <w:color w:val="auto"/>
        </w:rPr>
        <w:t>第三节  基准地价更新的技术程序和技术内容</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_Toc62563676 \h </w:instrText>
      </w:r>
      <w:r>
        <w:rPr>
          <w:rStyle w:val="45"/>
          <w:rFonts w:ascii="Times New Roman"/>
          <w:color w:val="auto"/>
        </w:rPr>
        <w:fldChar w:fldCharType="separate"/>
      </w:r>
      <w:r>
        <w:rPr>
          <w:rStyle w:val="45"/>
          <w:rFonts w:ascii="Times New Roman"/>
          <w:color w:val="auto"/>
        </w:rPr>
        <w:t>134</w:t>
      </w:r>
      <w:r>
        <w:rPr>
          <w:rStyle w:val="45"/>
          <w:rFonts w:ascii="Times New Roman"/>
          <w:color w:val="auto"/>
        </w:rPr>
        <w:fldChar w:fldCharType="end"/>
      </w:r>
      <w:r>
        <w:rPr>
          <w:rStyle w:val="45"/>
          <w:rFonts w:ascii="Times New Roman"/>
          <w:color w:val="auto"/>
        </w:rPr>
        <w:fldChar w:fldCharType="end"/>
      </w:r>
    </w:p>
    <w:p w14:paraId="0F6FD61B">
      <w:pPr>
        <w:pStyle w:val="32"/>
        <w:tabs>
          <w:tab w:val="right" w:leader="dot" w:pos="9059"/>
        </w:tabs>
        <w:spacing w:line="360" w:lineRule="auto"/>
        <w:rPr>
          <w:rFonts w:ascii="Times New Roman" w:hAnsi="Times New Roman" w:eastAsia="宋体"/>
          <w:b w:val="0"/>
          <w:smallCaps w:val="0"/>
          <w:sz w:val="21"/>
          <w:szCs w:val="22"/>
          <w:lang w:val="en-US" w:eastAsia="zh-CN"/>
        </w:rPr>
      </w:pPr>
      <w:r>
        <w:rPr>
          <w:rStyle w:val="45"/>
          <w:rFonts w:ascii="Times New Roman" w:hAnsi="Times New Roman"/>
          <w:color w:val="auto"/>
        </w:rPr>
        <w:fldChar w:fldCharType="begin"/>
      </w:r>
      <w:r>
        <w:rPr>
          <w:rStyle w:val="45"/>
          <w:rFonts w:ascii="Times New Roman" w:hAnsi="Times New Roman"/>
          <w:color w:val="auto"/>
        </w:rPr>
        <w:instrText xml:space="preserve"> </w:instrText>
      </w:r>
      <w:r>
        <w:rPr>
          <w:rFonts w:ascii="Times New Roman" w:hAnsi="Times New Roman"/>
        </w:rPr>
        <w:instrText xml:space="preserve">HYPERLINK \l "_Toc62563677"</w:instrText>
      </w:r>
      <w:r>
        <w:rPr>
          <w:rStyle w:val="45"/>
          <w:rFonts w:ascii="Times New Roman" w:hAnsi="Times New Roman"/>
          <w:color w:val="auto"/>
        </w:rPr>
        <w:instrText xml:space="preserve"> </w:instrText>
      </w:r>
      <w:r>
        <w:rPr>
          <w:rStyle w:val="45"/>
          <w:rFonts w:ascii="Times New Roman" w:hAnsi="Times New Roman"/>
          <w:color w:val="auto"/>
        </w:rPr>
        <w:fldChar w:fldCharType="separate"/>
      </w:r>
      <w:r>
        <w:rPr>
          <w:rStyle w:val="45"/>
          <w:rFonts w:ascii="Times New Roman" w:hAnsi="Times New Roman" w:eastAsia="宋体"/>
          <w:color w:val="auto"/>
        </w:rPr>
        <w:t>第二章  基准地价内涵与土地估价参数的确定</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_Toc62563677 \h </w:instrText>
      </w:r>
      <w:r>
        <w:rPr>
          <w:rFonts w:ascii="Times New Roman" w:hAnsi="Times New Roman"/>
        </w:rPr>
        <w:fldChar w:fldCharType="separate"/>
      </w:r>
      <w:r>
        <w:rPr>
          <w:rFonts w:ascii="Times New Roman" w:hAnsi="Times New Roman"/>
        </w:rPr>
        <w:t>136</w:t>
      </w:r>
      <w:r>
        <w:rPr>
          <w:rFonts w:ascii="Times New Roman" w:hAnsi="Times New Roman"/>
        </w:rPr>
        <w:fldChar w:fldCharType="end"/>
      </w:r>
      <w:r>
        <w:rPr>
          <w:rStyle w:val="45"/>
          <w:rFonts w:ascii="Times New Roman" w:hAnsi="Times New Roman"/>
          <w:color w:val="auto"/>
        </w:rPr>
        <w:fldChar w:fldCharType="end"/>
      </w:r>
    </w:p>
    <w:p w14:paraId="2B30A503">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"_Toc62563678" </w:instrText>
      </w:r>
      <w:r>
        <w:rPr>
          <w:rStyle w:val="45"/>
          <w:rFonts w:ascii="Times New Roman"/>
          <w:color w:val="auto"/>
        </w:rPr>
        <w:fldChar w:fldCharType="separate"/>
      </w:r>
      <w:r>
        <w:rPr>
          <w:rStyle w:val="45"/>
          <w:rFonts w:ascii="Times New Roman"/>
          <w:color w:val="auto"/>
        </w:rPr>
        <w:t>第一节  基准地价内涵</w:t>
      </w:r>
      <w:bookmarkStart w:id="7" w:name="_Hlt77000355"/>
      <w:bookmarkStart w:id="8" w:name="_Hlt77000356"/>
      <w:r>
        <w:rPr>
          <w:rStyle w:val="45"/>
          <w:rFonts w:ascii="Times New Roman"/>
          <w:color w:val="auto"/>
        </w:rPr>
        <w:t>的</w:t>
      </w:r>
      <w:bookmarkEnd w:id="7"/>
      <w:bookmarkEnd w:id="8"/>
      <w:r>
        <w:rPr>
          <w:rStyle w:val="45"/>
          <w:rFonts w:ascii="Times New Roman"/>
          <w:color w:val="auto"/>
        </w:rPr>
        <w:t>设定</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_Toc62563678 \h </w:instrText>
      </w:r>
      <w:r>
        <w:rPr>
          <w:rStyle w:val="45"/>
          <w:rFonts w:ascii="Times New Roman"/>
          <w:color w:val="auto"/>
        </w:rPr>
        <w:fldChar w:fldCharType="separate"/>
      </w:r>
      <w:r>
        <w:rPr>
          <w:rStyle w:val="45"/>
          <w:rFonts w:ascii="Times New Roman"/>
          <w:color w:val="auto"/>
        </w:rPr>
        <w:t>136</w:t>
      </w:r>
      <w:r>
        <w:rPr>
          <w:rStyle w:val="45"/>
          <w:rFonts w:ascii="Times New Roman"/>
          <w:color w:val="auto"/>
        </w:rPr>
        <w:fldChar w:fldCharType="end"/>
      </w:r>
      <w:r>
        <w:rPr>
          <w:rStyle w:val="45"/>
          <w:rFonts w:ascii="Times New Roman"/>
          <w:color w:val="auto"/>
        </w:rPr>
        <w:fldChar w:fldCharType="end"/>
      </w:r>
    </w:p>
    <w:p w14:paraId="26E770BC">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"_Toc62563679" </w:instrText>
      </w:r>
      <w:r>
        <w:rPr>
          <w:rStyle w:val="45"/>
          <w:rFonts w:ascii="Times New Roman"/>
          <w:color w:val="auto"/>
        </w:rPr>
        <w:fldChar w:fldCharType="separate"/>
      </w:r>
      <w:r>
        <w:rPr>
          <w:rStyle w:val="45"/>
          <w:rFonts w:ascii="Times New Roman"/>
          <w:color w:val="auto"/>
        </w:rPr>
        <w:t>第二节  还原率的测算与确定</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_Toc62563679 \h </w:instrText>
      </w:r>
      <w:r>
        <w:rPr>
          <w:rStyle w:val="45"/>
          <w:rFonts w:ascii="Times New Roman"/>
          <w:color w:val="auto"/>
        </w:rPr>
        <w:fldChar w:fldCharType="separate"/>
      </w:r>
      <w:r>
        <w:rPr>
          <w:rStyle w:val="45"/>
          <w:rFonts w:ascii="Times New Roman"/>
          <w:color w:val="auto"/>
        </w:rPr>
        <w:t>138</w:t>
      </w:r>
      <w:r>
        <w:rPr>
          <w:rStyle w:val="45"/>
          <w:rFonts w:ascii="Times New Roman"/>
          <w:color w:val="auto"/>
        </w:rPr>
        <w:fldChar w:fldCharType="end"/>
      </w:r>
      <w:r>
        <w:rPr>
          <w:rStyle w:val="45"/>
          <w:rFonts w:ascii="Times New Roman"/>
          <w:color w:val="auto"/>
        </w:rPr>
        <w:fldChar w:fldCharType="end"/>
      </w:r>
    </w:p>
    <w:p w14:paraId="66EB8D0B">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"_Toc62563680" </w:instrText>
      </w:r>
      <w:r>
        <w:rPr>
          <w:rStyle w:val="45"/>
          <w:rFonts w:ascii="Times New Roman"/>
          <w:color w:val="auto"/>
        </w:rPr>
        <w:fldChar w:fldCharType="separate"/>
      </w:r>
      <w:r>
        <w:rPr>
          <w:rStyle w:val="45"/>
          <w:rFonts w:ascii="Times New Roman"/>
          <w:color w:val="auto"/>
        </w:rPr>
        <w:t>第三节  房屋重置价的确定</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_Toc62563680 \h </w:instrText>
      </w:r>
      <w:r>
        <w:rPr>
          <w:rStyle w:val="45"/>
          <w:rFonts w:ascii="Times New Roman"/>
          <w:color w:val="auto"/>
        </w:rPr>
        <w:fldChar w:fldCharType="separate"/>
      </w:r>
      <w:r>
        <w:rPr>
          <w:rStyle w:val="45"/>
          <w:rFonts w:ascii="Times New Roman"/>
          <w:color w:val="auto"/>
        </w:rPr>
        <w:t>140</w:t>
      </w:r>
      <w:r>
        <w:rPr>
          <w:rStyle w:val="45"/>
          <w:rFonts w:ascii="Times New Roman"/>
          <w:color w:val="auto"/>
        </w:rPr>
        <w:fldChar w:fldCharType="end"/>
      </w:r>
      <w:r>
        <w:rPr>
          <w:rStyle w:val="45"/>
          <w:rFonts w:ascii="Times New Roman"/>
          <w:color w:val="auto"/>
        </w:rPr>
        <w:fldChar w:fldCharType="end"/>
      </w:r>
    </w:p>
    <w:p w14:paraId="36DD2E94">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"_Toc62563681" </w:instrText>
      </w:r>
      <w:r>
        <w:rPr>
          <w:rStyle w:val="45"/>
          <w:rFonts w:ascii="Times New Roman"/>
          <w:color w:val="auto"/>
        </w:rPr>
        <w:fldChar w:fldCharType="separate"/>
      </w:r>
      <w:r>
        <w:rPr>
          <w:rStyle w:val="45"/>
          <w:rFonts w:ascii="Times New Roman"/>
          <w:color w:val="auto"/>
        </w:rPr>
        <w:t>第四节  容积率修正系数的测算与确定</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_Toc62563681 \h </w:instrText>
      </w:r>
      <w:r>
        <w:rPr>
          <w:rStyle w:val="45"/>
          <w:rFonts w:ascii="Times New Roman"/>
          <w:color w:val="auto"/>
        </w:rPr>
        <w:fldChar w:fldCharType="separate"/>
      </w:r>
      <w:r>
        <w:rPr>
          <w:rStyle w:val="45"/>
          <w:rFonts w:ascii="Times New Roman"/>
          <w:color w:val="auto"/>
        </w:rPr>
        <w:t>141</w:t>
      </w:r>
      <w:r>
        <w:rPr>
          <w:rStyle w:val="45"/>
          <w:rFonts w:ascii="Times New Roman"/>
          <w:color w:val="auto"/>
        </w:rPr>
        <w:fldChar w:fldCharType="end"/>
      </w:r>
      <w:r>
        <w:rPr>
          <w:rStyle w:val="45"/>
          <w:rFonts w:ascii="Times New Roman"/>
          <w:color w:val="auto"/>
        </w:rPr>
        <w:fldChar w:fldCharType="end"/>
      </w:r>
    </w:p>
    <w:p w14:paraId="12C81AC4">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"_Toc62563682" </w:instrText>
      </w:r>
      <w:r>
        <w:rPr>
          <w:rStyle w:val="45"/>
          <w:rFonts w:ascii="Times New Roman"/>
          <w:color w:val="auto"/>
        </w:rPr>
        <w:fldChar w:fldCharType="separate"/>
      </w:r>
      <w:r>
        <w:rPr>
          <w:rStyle w:val="45"/>
          <w:rFonts w:ascii="Times New Roman"/>
          <w:color w:val="auto"/>
        </w:rPr>
        <w:t>第五节  土地开发水平修正值的确定</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_Toc62563682 \h </w:instrText>
      </w:r>
      <w:r>
        <w:rPr>
          <w:rStyle w:val="45"/>
          <w:rFonts w:ascii="Times New Roman"/>
          <w:color w:val="auto"/>
        </w:rPr>
        <w:fldChar w:fldCharType="separate"/>
      </w:r>
      <w:r>
        <w:rPr>
          <w:rStyle w:val="45"/>
          <w:rFonts w:ascii="Times New Roman"/>
          <w:color w:val="auto"/>
        </w:rPr>
        <w:t>146</w:t>
      </w:r>
      <w:r>
        <w:rPr>
          <w:rStyle w:val="45"/>
          <w:rFonts w:ascii="Times New Roman"/>
          <w:color w:val="auto"/>
        </w:rPr>
        <w:fldChar w:fldCharType="end"/>
      </w:r>
      <w:r>
        <w:rPr>
          <w:rStyle w:val="45"/>
          <w:rFonts w:ascii="Times New Roman"/>
          <w:color w:val="auto"/>
        </w:rPr>
        <w:fldChar w:fldCharType="end"/>
      </w:r>
    </w:p>
    <w:p w14:paraId="290F2F1A">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"_Toc62563683" </w:instrText>
      </w:r>
      <w:r>
        <w:rPr>
          <w:rStyle w:val="45"/>
          <w:rFonts w:ascii="Times New Roman"/>
          <w:color w:val="auto"/>
        </w:rPr>
        <w:fldChar w:fldCharType="separate"/>
      </w:r>
      <w:r>
        <w:rPr>
          <w:rStyle w:val="45"/>
          <w:rFonts w:ascii="Times New Roman"/>
          <w:color w:val="auto"/>
        </w:rPr>
        <w:t>第六节  其它土地估价参数的确定</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_Toc62563683 \h </w:instrText>
      </w:r>
      <w:r>
        <w:rPr>
          <w:rStyle w:val="45"/>
          <w:rFonts w:ascii="Times New Roman"/>
          <w:color w:val="auto"/>
        </w:rPr>
        <w:fldChar w:fldCharType="separate"/>
      </w:r>
      <w:r>
        <w:rPr>
          <w:rStyle w:val="45"/>
          <w:rFonts w:ascii="Times New Roman"/>
          <w:color w:val="auto"/>
        </w:rPr>
        <w:t>147</w:t>
      </w:r>
      <w:r>
        <w:rPr>
          <w:rStyle w:val="45"/>
          <w:rFonts w:ascii="Times New Roman"/>
          <w:color w:val="auto"/>
        </w:rPr>
        <w:fldChar w:fldCharType="end"/>
      </w:r>
      <w:r>
        <w:rPr>
          <w:rStyle w:val="45"/>
          <w:rFonts w:ascii="Times New Roman"/>
          <w:color w:val="auto"/>
        </w:rPr>
        <w:fldChar w:fldCharType="end"/>
      </w:r>
    </w:p>
    <w:p w14:paraId="4105125B">
      <w:pPr>
        <w:pStyle w:val="32"/>
        <w:tabs>
          <w:tab w:val="right" w:leader="dot" w:pos="9059"/>
        </w:tabs>
        <w:spacing w:line="360" w:lineRule="auto"/>
        <w:rPr>
          <w:rFonts w:ascii="Times New Roman" w:hAnsi="Times New Roman" w:eastAsia="宋体"/>
          <w:b w:val="0"/>
          <w:smallCaps w:val="0"/>
          <w:sz w:val="21"/>
          <w:szCs w:val="22"/>
          <w:lang w:val="en-US" w:eastAsia="zh-CN"/>
        </w:rPr>
      </w:pPr>
      <w:r>
        <w:rPr>
          <w:rStyle w:val="45"/>
          <w:rFonts w:ascii="Times New Roman" w:hAnsi="Times New Roman"/>
          <w:color w:val="auto"/>
        </w:rPr>
        <w:fldChar w:fldCharType="begin"/>
      </w:r>
      <w:r>
        <w:rPr>
          <w:rStyle w:val="45"/>
          <w:rFonts w:ascii="Times New Roman" w:hAnsi="Times New Roman"/>
          <w:color w:val="auto"/>
        </w:rPr>
        <w:instrText xml:space="preserve"> </w:instrText>
      </w:r>
      <w:r>
        <w:rPr>
          <w:rFonts w:ascii="Times New Roman" w:hAnsi="Times New Roman"/>
        </w:rPr>
        <w:instrText xml:space="preserve">HYPERLINK \l "_Toc62563684"</w:instrText>
      </w:r>
      <w:r>
        <w:rPr>
          <w:rStyle w:val="45"/>
          <w:rFonts w:ascii="Times New Roman" w:hAnsi="Times New Roman"/>
          <w:color w:val="auto"/>
        </w:rPr>
        <w:instrText xml:space="preserve"> </w:instrText>
      </w:r>
      <w:r>
        <w:rPr>
          <w:rStyle w:val="45"/>
          <w:rFonts w:ascii="Times New Roman" w:hAnsi="Times New Roman"/>
          <w:color w:val="auto"/>
        </w:rPr>
        <w:fldChar w:fldCharType="separate"/>
      </w:r>
      <w:r>
        <w:rPr>
          <w:rStyle w:val="45"/>
          <w:rFonts w:ascii="Times New Roman" w:hAnsi="Times New Roman" w:eastAsia="宋体"/>
          <w:color w:val="auto"/>
        </w:rPr>
        <w:t>第三章   样点地价资料整理、分析及其工作数据库的建立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_Toc62563684 \h </w:instrText>
      </w:r>
      <w:r>
        <w:rPr>
          <w:rFonts w:ascii="Times New Roman" w:hAnsi="Times New Roman"/>
        </w:rPr>
        <w:fldChar w:fldCharType="separate"/>
      </w:r>
      <w:r>
        <w:rPr>
          <w:rFonts w:ascii="Times New Roman" w:hAnsi="Times New Roman"/>
        </w:rPr>
        <w:t>148</w:t>
      </w:r>
      <w:r>
        <w:rPr>
          <w:rFonts w:ascii="Times New Roman" w:hAnsi="Times New Roman"/>
        </w:rPr>
        <w:fldChar w:fldCharType="end"/>
      </w:r>
      <w:r>
        <w:rPr>
          <w:rStyle w:val="45"/>
          <w:rFonts w:ascii="Times New Roman" w:hAnsi="Times New Roman"/>
          <w:color w:val="auto"/>
        </w:rPr>
        <w:fldChar w:fldCharType="end"/>
      </w:r>
    </w:p>
    <w:p w14:paraId="53DC4052">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"_Toc62563685" </w:instrText>
      </w:r>
      <w:r>
        <w:rPr>
          <w:rStyle w:val="45"/>
          <w:rFonts w:ascii="Times New Roman"/>
          <w:color w:val="auto"/>
        </w:rPr>
        <w:fldChar w:fldCharType="separate"/>
      </w:r>
      <w:r>
        <w:rPr>
          <w:rStyle w:val="45"/>
          <w:rFonts w:ascii="Times New Roman"/>
          <w:color w:val="auto"/>
        </w:rPr>
        <w:t>第一节  房地出租资料的整理及其工作数据库的建立</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_Toc62563685 \h </w:instrText>
      </w:r>
      <w:r>
        <w:rPr>
          <w:rStyle w:val="45"/>
          <w:rFonts w:ascii="Times New Roman"/>
          <w:color w:val="auto"/>
        </w:rPr>
        <w:fldChar w:fldCharType="separate"/>
      </w:r>
      <w:r>
        <w:rPr>
          <w:rStyle w:val="45"/>
          <w:rFonts w:ascii="Times New Roman"/>
          <w:color w:val="auto"/>
        </w:rPr>
        <w:t>148</w:t>
      </w:r>
      <w:r>
        <w:rPr>
          <w:rStyle w:val="45"/>
          <w:rFonts w:ascii="Times New Roman"/>
          <w:color w:val="auto"/>
        </w:rPr>
        <w:fldChar w:fldCharType="end"/>
      </w:r>
      <w:r>
        <w:rPr>
          <w:rStyle w:val="45"/>
          <w:rFonts w:ascii="Times New Roman"/>
          <w:color w:val="auto"/>
        </w:rPr>
        <w:fldChar w:fldCharType="end"/>
      </w:r>
    </w:p>
    <w:p w14:paraId="4773FCCD">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"_Toc62563686" </w:instrText>
      </w:r>
      <w:r>
        <w:rPr>
          <w:rStyle w:val="45"/>
          <w:rFonts w:ascii="Times New Roman"/>
          <w:color w:val="auto"/>
        </w:rPr>
        <w:fldChar w:fldCharType="separate"/>
      </w:r>
      <w:r>
        <w:rPr>
          <w:rStyle w:val="45"/>
          <w:rFonts w:ascii="Times New Roman"/>
          <w:color w:val="auto"/>
        </w:rPr>
        <w:t>第二节  房屋买卖资料的整理及其工作数据库的建立</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_Toc62563686 \h </w:instrText>
      </w:r>
      <w:r>
        <w:rPr>
          <w:rStyle w:val="45"/>
          <w:rFonts w:ascii="Times New Roman"/>
          <w:color w:val="auto"/>
        </w:rPr>
        <w:fldChar w:fldCharType="separate"/>
      </w:r>
      <w:r>
        <w:rPr>
          <w:rStyle w:val="45"/>
          <w:rFonts w:ascii="Times New Roman"/>
          <w:color w:val="auto"/>
        </w:rPr>
        <w:t>150</w:t>
      </w:r>
      <w:r>
        <w:rPr>
          <w:rStyle w:val="45"/>
          <w:rFonts w:ascii="Times New Roman"/>
          <w:color w:val="auto"/>
        </w:rPr>
        <w:fldChar w:fldCharType="end"/>
      </w:r>
      <w:r>
        <w:rPr>
          <w:rStyle w:val="45"/>
          <w:rFonts w:ascii="Times New Roman"/>
          <w:color w:val="auto"/>
        </w:rPr>
        <w:fldChar w:fldCharType="end"/>
      </w:r>
    </w:p>
    <w:p w14:paraId="346F48DF">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"_Toc62563687" </w:instrText>
      </w:r>
      <w:r>
        <w:rPr>
          <w:rStyle w:val="45"/>
          <w:rFonts w:ascii="Times New Roman"/>
          <w:color w:val="auto"/>
        </w:rPr>
        <w:fldChar w:fldCharType="separate"/>
      </w:r>
      <w:r>
        <w:rPr>
          <w:rStyle w:val="45"/>
          <w:rFonts w:ascii="Times New Roman"/>
          <w:color w:val="auto"/>
        </w:rPr>
        <w:t>第三节  土地使用权出让样点地价资料整理</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_Toc62563687 \h </w:instrText>
      </w:r>
      <w:r>
        <w:rPr>
          <w:rStyle w:val="45"/>
          <w:rFonts w:ascii="Times New Roman"/>
          <w:color w:val="auto"/>
        </w:rPr>
        <w:fldChar w:fldCharType="separate"/>
      </w:r>
      <w:r>
        <w:rPr>
          <w:rStyle w:val="45"/>
          <w:rFonts w:ascii="Times New Roman"/>
          <w:color w:val="auto"/>
        </w:rPr>
        <w:t>152</w:t>
      </w:r>
      <w:r>
        <w:rPr>
          <w:rStyle w:val="45"/>
          <w:rFonts w:ascii="Times New Roman"/>
          <w:color w:val="auto"/>
        </w:rPr>
        <w:fldChar w:fldCharType="end"/>
      </w:r>
      <w:r>
        <w:rPr>
          <w:rStyle w:val="45"/>
          <w:rFonts w:ascii="Times New Roman"/>
          <w:color w:val="auto"/>
        </w:rPr>
        <w:fldChar w:fldCharType="end"/>
      </w:r>
    </w:p>
    <w:p w14:paraId="7297C708">
      <w:pPr>
        <w:pStyle w:val="32"/>
        <w:tabs>
          <w:tab w:val="right" w:leader="dot" w:pos="9059"/>
        </w:tabs>
        <w:spacing w:line="360" w:lineRule="auto"/>
        <w:rPr>
          <w:rFonts w:ascii="Times New Roman" w:hAnsi="Times New Roman" w:eastAsia="宋体"/>
          <w:b w:val="0"/>
          <w:smallCaps w:val="0"/>
          <w:sz w:val="21"/>
          <w:szCs w:val="22"/>
          <w:lang w:val="en-US" w:eastAsia="zh-CN"/>
        </w:rPr>
      </w:pPr>
      <w:r>
        <w:rPr>
          <w:rStyle w:val="45"/>
          <w:rFonts w:ascii="Times New Roman" w:hAnsi="Times New Roman"/>
          <w:color w:val="auto"/>
        </w:rPr>
        <w:fldChar w:fldCharType="begin"/>
      </w:r>
      <w:r>
        <w:rPr>
          <w:rStyle w:val="45"/>
          <w:rFonts w:ascii="Times New Roman" w:hAnsi="Times New Roman"/>
          <w:color w:val="auto"/>
        </w:rPr>
        <w:instrText xml:space="preserve"> </w:instrText>
      </w:r>
      <w:r>
        <w:rPr>
          <w:rFonts w:ascii="Times New Roman" w:hAnsi="Times New Roman"/>
        </w:rPr>
        <w:instrText xml:space="preserve">HYPERLINK \l "_Toc62563688"</w:instrText>
      </w:r>
      <w:r>
        <w:rPr>
          <w:rStyle w:val="45"/>
          <w:rFonts w:ascii="Times New Roman" w:hAnsi="Times New Roman"/>
          <w:color w:val="auto"/>
        </w:rPr>
        <w:instrText xml:space="preserve"> </w:instrText>
      </w:r>
      <w:r>
        <w:rPr>
          <w:rStyle w:val="45"/>
          <w:rFonts w:ascii="Times New Roman" w:hAnsi="Times New Roman"/>
          <w:color w:val="auto"/>
        </w:rPr>
        <w:fldChar w:fldCharType="separate"/>
      </w:r>
      <w:r>
        <w:rPr>
          <w:rStyle w:val="45"/>
          <w:rFonts w:ascii="Times New Roman" w:hAnsi="Times New Roman" w:eastAsia="宋体"/>
          <w:color w:val="auto"/>
        </w:rPr>
        <w:t>第四章  样点地价测算、修正与地价样点数据检验</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_Toc62563688 \h </w:instrText>
      </w:r>
      <w:r>
        <w:rPr>
          <w:rFonts w:ascii="Times New Roman" w:hAnsi="Times New Roman"/>
        </w:rPr>
        <w:fldChar w:fldCharType="separate"/>
      </w:r>
      <w:r>
        <w:rPr>
          <w:rFonts w:ascii="Times New Roman" w:hAnsi="Times New Roman"/>
        </w:rPr>
        <w:t>154</w:t>
      </w:r>
      <w:r>
        <w:rPr>
          <w:rFonts w:ascii="Times New Roman" w:hAnsi="Times New Roman"/>
        </w:rPr>
        <w:fldChar w:fldCharType="end"/>
      </w:r>
      <w:r>
        <w:rPr>
          <w:rStyle w:val="45"/>
          <w:rFonts w:ascii="Times New Roman" w:hAnsi="Times New Roman"/>
          <w:color w:val="auto"/>
        </w:rPr>
        <w:fldChar w:fldCharType="end"/>
      </w:r>
    </w:p>
    <w:p w14:paraId="6BD56B9B">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"_Toc62563689" </w:instrText>
      </w:r>
      <w:r>
        <w:rPr>
          <w:rStyle w:val="45"/>
          <w:rFonts w:ascii="Times New Roman"/>
          <w:color w:val="auto"/>
        </w:rPr>
        <w:fldChar w:fldCharType="separate"/>
      </w:r>
      <w:r>
        <w:rPr>
          <w:rStyle w:val="45"/>
          <w:rFonts w:ascii="Times New Roman"/>
          <w:color w:val="auto"/>
        </w:rPr>
        <w:t>第一节  样点地价测算</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_Toc62563689 \h </w:instrText>
      </w:r>
      <w:r>
        <w:rPr>
          <w:rStyle w:val="45"/>
          <w:rFonts w:ascii="Times New Roman"/>
          <w:color w:val="auto"/>
        </w:rPr>
        <w:fldChar w:fldCharType="separate"/>
      </w:r>
      <w:r>
        <w:rPr>
          <w:rStyle w:val="45"/>
          <w:rFonts w:ascii="Times New Roman"/>
          <w:color w:val="auto"/>
        </w:rPr>
        <w:t>154</w:t>
      </w:r>
      <w:r>
        <w:rPr>
          <w:rStyle w:val="45"/>
          <w:rFonts w:ascii="Times New Roman"/>
          <w:color w:val="auto"/>
        </w:rPr>
        <w:fldChar w:fldCharType="end"/>
      </w:r>
      <w:r>
        <w:rPr>
          <w:rStyle w:val="45"/>
          <w:rFonts w:ascii="Times New Roman"/>
          <w:color w:val="auto"/>
        </w:rPr>
        <w:fldChar w:fldCharType="end"/>
      </w:r>
    </w:p>
    <w:p w14:paraId="7BF66CA7">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"_Toc62563690" </w:instrText>
      </w:r>
      <w:r>
        <w:rPr>
          <w:rStyle w:val="45"/>
          <w:rFonts w:ascii="Times New Roman"/>
          <w:color w:val="auto"/>
        </w:rPr>
        <w:fldChar w:fldCharType="separate"/>
      </w:r>
      <w:r>
        <w:rPr>
          <w:rStyle w:val="45"/>
          <w:rFonts w:ascii="Times New Roman"/>
          <w:color w:val="auto"/>
        </w:rPr>
        <w:t>第二节  样点地价修正与样点地价分布图图形工作数据库的建立</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_Toc62563690 \h </w:instrText>
      </w:r>
      <w:r>
        <w:rPr>
          <w:rStyle w:val="45"/>
          <w:rFonts w:ascii="Times New Roman"/>
          <w:color w:val="auto"/>
        </w:rPr>
        <w:fldChar w:fldCharType="separate"/>
      </w:r>
      <w:r>
        <w:rPr>
          <w:rStyle w:val="45"/>
          <w:rFonts w:ascii="Times New Roman"/>
          <w:color w:val="auto"/>
        </w:rPr>
        <w:t>157</w:t>
      </w:r>
      <w:r>
        <w:rPr>
          <w:rStyle w:val="45"/>
          <w:rFonts w:ascii="Times New Roman"/>
          <w:color w:val="auto"/>
        </w:rPr>
        <w:fldChar w:fldCharType="end"/>
      </w:r>
      <w:r>
        <w:rPr>
          <w:rStyle w:val="45"/>
          <w:rFonts w:ascii="Times New Roman"/>
          <w:color w:val="auto"/>
        </w:rPr>
        <w:fldChar w:fldCharType="end"/>
      </w:r>
    </w:p>
    <w:p w14:paraId="2AAAFEB7">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"_Toc62563691" </w:instrText>
      </w:r>
      <w:r>
        <w:rPr>
          <w:rStyle w:val="45"/>
          <w:rFonts w:ascii="Times New Roman"/>
          <w:color w:val="auto"/>
        </w:rPr>
        <w:fldChar w:fldCharType="separate"/>
      </w:r>
      <w:r>
        <w:rPr>
          <w:rStyle w:val="45"/>
          <w:rFonts w:ascii="Times New Roman"/>
          <w:color w:val="auto"/>
        </w:rPr>
        <w:t>第三节  地价样点数据检验</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_Toc62563691 \h </w:instrText>
      </w:r>
      <w:r>
        <w:rPr>
          <w:rStyle w:val="45"/>
          <w:rFonts w:ascii="Times New Roman"/>
          <w:color w:val="auto"/>
        </w:rPr>
        <w:fldChar w:fldCharType="separate"/>
      </w:r>
      <w:r>
        <w:rPr>
          <w:rStyle w:val="45"/>
          <w:rFonts w:ascii="Times New Roman"/>
          <w:color w:val="auto"/>
        </w:rPr>
        <w:t>159</w:t>
      </w:r>
      <w:r>
        <w:rPr>
          <w:rStyle w:val="45"/>
          <w:rFonts w:ascii="Times New Roman"/>
          <w:color w:val="auto"/>
        </w:rPr>
        <w:fldChar w:fldCharType="end"/>
      </w:r>
      <w:r>
        <w:rPr>
          <w:rStyle w:val="45"/>
          <w:rFonts w:ascii="Times New Roman"/>
          <w:color w:val="auto"/>
        </w:rPr>
        <w:fldChar w:fldCharType="end"/>
      </w:r>
    </w:p>
    <w:p w14:paraId="3D808F30">
      <w:pPr>
        <w:pStyle w:val="32"/>
        <w:tabs>
          <w:tab w:val="right" w:leader="dot" w:pos="9059"/>
        </w:tabs>
        <w:spacing w:line="360" w:lineRule="auto"/>
        <w:rPr>
          <w:rFonts w:ascii="Times New Roman" w:hAnsi="Times New Roman" w:eastAsia="宋体"/>
          <w:b w:val="0"/>
          <w:smallCaps w:val="0"/>
          <w:sz w:val="21"/>
          <w:szCs w:val="22"/>
          <w:lang w:val="en-US" w:eastAsia="zh-CN"/>
        </w:rPr>
      </w:pPr>
      <w:r>
        <w:rPr>
          <w:rStyle w:val="45"/>
          <w:rFonts w:ascii="Times New Roman" w:hAnsi="Times New Roman"/>
          <w:color w:val="auto"/>
        </w:rPr>
        <w:fldChar w:fldCharType="begin"/>
      </w:r>
      <w:r>
        <w:rPr>
          <w:rStyle w:val="45"/>
          <w:rFonts w:ascii="Times New Roman" w:hAnsi="Times New Roman"/>
          <w:color w:val="auto"/>
        </w:rPr>
        <w:instrText xml:space="preserve"> </w:instrText>
      </w:r>
      <w:r>
        <w:rPr>
          <w:rFonts w:ascii="Times New Roman" w:hAnsi="Times New Roman"/>
        </w:rPr>
        <w:instrText xml:space="preserve">HYPERLINK \l "_Toc62563692"</w:instrText>
      </w:r>
      <w:r>
        <w:rPr>
          <w:rStyle w:val="45"/>
          <w:rFonts w:ascii="Times New Roman" w:hAnsi="Times New Roman"/>
          <w:color w:val="auto"/>
        </w:rPr>
        <w:instrText xml:space="preserve"> </w:instrText>
      </w:r>
      <w:r>
        <w:rPr>
          <w:rStyle w:val="45"/>
          <w:rFonts w:ascii="Times New Roman" w:hAnsi="Times New Roman"/>
          <w:color w:val="auto"/>
        </w:rPr>
        <w:fldChar w:fldCharType="separate"/>
      </w:r>
      <w:r>
        <w:rPr>
          <w:rStyle w:val="45"/>
          <w:rFonts w:ascii="Times New Roman" w:hAnsi="Times New Roman" w:eastAsia="宋体"/>
          <w:color w:val="auto"/>
        </w:rPr>
        <w:t>第五章  利用市场交易资料评估基准地价</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_Toc62563692 \h </w:instrText>
      </w:r>
      <w:r>
        <w:rPr>
          <w:rFonts w:ascii="Times New Roman" w:hAnsi="Times New Roman"/>
        </w:rPr>
        <w:fldChar w:fldCharType="separate"/>
      </w:r>
      <w:r>
        <w:rPr>
          <w:rFonts w:ascii="Times New Roman" w:hAnsi="Times New Roman"/>
        </w:rPr>
        <w:t>162</w:t>
      </w:r>
      <w:r>
        <w:rPr>
          <w:rFonts w:ascii="Times New Roman" w:hAnsi="Times New Roman"/>
        </w:rPr>
        <w:fldChar w:fldCharType="end"/>
      </w:r>
      <w:r>
        <w:rPr>
          <w:rStyle w:val="45"/>
          <w:rFonts w:ascii="Times New Roman" w:hAnsi="Times New Roman"/>
          <w:color w:val="auto"/>
        </w:rPr>
        <w:fldChar w:fldCharType="end"/>
      </w:r>
    </w:p>
    <w:p w14:paraId="0F423F72">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"_Toc62563693" </w:instrText>
      </w:r>
      <w:r>
        <w:rPr>
          <w:rStyle w:val="45"/>
          <w:rFonts w:ascii="Times New Roman"/>
          <w:color w:val="auto"/>
        </w:rPr>
        <w:fldChar w:fldCharType="separate"/>
      </w:r>
      <w:r>
        <w:rPr>
          <w:rStyle w:val="45"/>
          <w:rFonts w:ascii="Times New Roman"/>
          <w:color w:val="auto"/>
        </w:rPr>
        <w:t>第一节  利用样点地价评估各乡镇区各级别平均地价</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_Toc62563693 \h </w:instrText>
      </w:r>
      <w:r>
        <w:rPr>
          <w:rStyle w:val="45"/>
          <w:rFonts w:ascii="Times New Roman"/>
          <w:color w:val="auto"/>
        </w:rPr>
        <w:fldChar w:fldCharType="separate"/>
      </w:r>
      <w:r>
        <w:rPr>
          <w:rStyle w:val="45"/>
          <w:rFonts w:ascii="Times New Roman"/>
          <w:color w:val="auto"/>
        </w:rPr>
        <w:t>162</w:t>
      </w:r>
      <w:r>
        <w:rPr>
          <w:rStyle w:val="45"/>
          <w:rFonts w:ascii="Times New Roman"/>
          <w:color w:val="auto"/>
        </w:rPr>
        <w:fldChar w:fldCharType="end"/>
      </w:r>
      <w:r>
        <w:rPr>
          <w:rStyle w:val="45"/>
          <w:rFonts w:ascii="Times New Roman"/>
          <w:color w:val="auto"/>
        </w:rPr>
        <w:fldChar w:fldCharType="end"/>
      </w:r>
    </w:p>
    <w:p w14:paraId="42E49DDC">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"_Toc62563694" </w:instrText>
      </w:r>
      <w:r>
        <w:rPr>
          <w:rStyle w:val="45"/>
          <w:rFonts w:ascii="Times New Roman"/>
          <w:color w:val="auto"/>
        </w:rPr>
        <w:fldChar w:fldCharType="separate"/>
      </w:r>
      <w:r>
        <w:rPr>
          <w:rStyle w:val="45"/>
          <w:rFonts w:ascii="Times New Roman"/>
          <w:color w:val="auto"/>
        </w:rPr>
        <w:t>第二节  样点地价与土地级别和定级单元总分值模型评估级别基准地价</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_Toc62563694 \h </w:instrText>
      </w:r>
      <w:r>
        <w:rPr>
          <w:rStyle w:val="45"/>
          <w:rFonts w:ascii="Times New Roman"/>
          <w:color w:val="auto"/>
        </w:rPr>
        <w:fldChar w:fldCharType="separate"/>
      </w:r>
      <w:r>
        <w:rPr>
          <w:rStyle w:val="45"/>
          <w:rFonts w:ascii="Times New Roman"/>
          <w:color w:val="auto"/>
        </w:rPr>
        <w:t>165</w:t>
      </w:r>
      <w:r>
        <w:rPr>
          <w:rStyle w:val="45"/>
          <w:rFonts w:ascii="Times New Roman"/>
          <w:color w:val="auto"/>
        </w:rPr>
        <w:fldChar w:fldCharType="end"/>
      </w:r>
      <w:r>
        <w:rPr>
          <w:rStyle w:val="45"/>
          <w:rFonts w:ascii="Times New Roman"/>
          <w:color w:val="auto"/>
        </w:rPr>
        <w:fldChar w:fldCharType="end"/>
      </w:r>
    </w:p>
    <w:p w14:paraId="4387B686">
      <w:pPr>
        <w:pStyle w:val="32"/>
        <w:tabs>
          <w:tab w:val="right" w:leader="dot" w:pos="9059"/>
        </w:tabs>
        <w:spacing w:line="360" w:lineRule="auto"/>
        <w:rPr>
          <w:rFonts w:ascii="Times New Roman" w:hAnsi="Times New Roman" w:eastAsia="宋体"/>
          <w:b w:val="0"/>
          <w:smallCaps w:val="0"/>
          <w:sz w:val="21"/>
          <w:szCs w:val="22"/>
          <w:lang w:val="en-US" w:eastAsia="zh-CN"/>
        </w:rPr>
      </w:pPr>
      <w:r>
        <w:rPr>
          <w:rStyle w:val="45"/>
          <w:rFonts w:ascii="Times New Roman" w:hAnsi="Times New Roman"/>
          <w:color w:val="auto"/>
        </w:rPr>
        <w:fldChar w:fldCharType="begin"/>
      </w:r>
      <w:r>
        <w:rPr>
          <w:rStyle w:val="45"/>
          <w:rFonts w:ascii="Times New Roman" w:hAnsi="Times New Roman"/>
          <w:color w:val="auto"/>
        </w:rPr>
        <w:instrText xml:space="preserve"> </w:instrText>
      </w:r>
      <w:r>
        <w:rPr>
          <w:rFonts w:ascii="Times New Roman" w:hAnsi="Times New Roman"/>
        </w:rPr>
        <w:instrText xml:space="preserve">HYPERLINK \l "_Toc62563695"</w:instrText>
      </w:r>
      <w:r>
        <w:rPr>
          <w:rStyle w:val="45"/>
          <w:rFonts w:ascii="Times New Roman" w:hAnsi="Times New Roman"/>
          <w:color w:val="auto"/>
        </w:rPr>
        <w:instrText xml:space="preserve"> </w:instrText>
      </w:r>
      <w:r>
        <w:rPr>
          <w:rStyle w:val="45"/>
          <w:rFonts w:ascii="Times New Roman" w:hAnsi="Times New Roman"/>
          <w:color w:val="auto"/>
        </w:rPr>
        <w:fldChar w:fldCharType="separate"/>
      </w:r>
      <w:r>
        <w:rPr>
          <w:rStyle w:val="45"/>
          <w:rFonts w:ascii="Times New Roman" w:hAnsi="Times New Roman" w:eastAsia="宋体"/>
          <w:color w:val="auto"/>
        </w:rPr>
        <w:t>第六章  公共管理与公共服务用地价格评估</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_Toc62563695 \h </w:instrText>
      </w:r>
      <w:r>
        <w:rPr>
          <w:rFonts w:ascii="Times New Roman" w:hAnsi="Times New Roman"/>
        </w:rPr>
        <w:fldChar w:fldCharType="separate"/>
      </w:r>
      <w:r>
        <w:rPr>
          <w:rFonts w:ascii="Times New Roman" w:hAnsi="Times New Roman"/>
        </w:rPr>
        <w:t>180</w:t>
      </w:r>
      <w:r>
        <w:rPr>
          <w:rFonts w:ascii="Times New Roman" w:hAnsi="Times New Roman"/>
        </w:rPr>
        <w:fldChar w:fldCharType="end"/>
      </w:r>
      <w:r>
        <w:rPr>
          <w:rStyle w:val="45"/>
          <w:rFonts w:ascii="Times New Roman" w:hAnsi="Times New Roman"/>
          <w:color w:val="auto"/>
        </w:rPr>
        <w:fldChar w:fldCharType="end"/>
      </w:r>
    </w:p>
    <w:p w14:paraId="6DF426CA">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"_Toc62563696" </w:instrText>
      </w:r>
      <w:r>
        <w:rPr>
          <w:rStyle w:val="45"/>
          <w:rFonts w:ascii="Times New Roman"/>
          <w:color w:val="auto"/>
        </w:rPr>
        <w:fldChar w:fldCharType="separate"/>
      </w:r>
      <w:r>
        <w:rPr>
          <w:rStyle w:val="45"/>
          <w:rFonts w:ascii="Times New Roman"/>
          <w:color w:val="auto"/>
        </w:rPr>
        <w:t>第一节  公共管理与公共服务用地的特征</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_Toc62563696 \h </w:instrText>
      </w:r>
      <w:r>
        <w:rPr>
          <w:rStyle w:val="45"/>
          <w:rFonts w:ascii="Times New Roman"/>
          <w:color w:val="auto"/>
        </w:rPr>
        <w:fldChar w:fldCharType="separate"/>
      </w:r>
      <w:r>
        <w:rPr>
          <w:rStyle w:val="45"/>
          <w:rFonts w:ascii="Times New Roman"/>
          <w:color w:val="auto"/>
        </w:rPr>
        <w:t>180</w:t>
      </w:r>
      <w:r>
        <w:rPr>
          <w:rStyle w:val="45"/>
          <w:rFonts w:ascii="Times New Roman"/>
          <w:color w:val="auto"/>
        </w:rPr>
        <w:fldChar w:fldCharType="end"/>
      </w:r>
      <w:r>
        <w:rPr>
          <w:rStyle w:val="45"/>
          <w:rFonts w:ascii="Times New Roman"/>
          <w:color w:val="auto"/>
        </w:rPr>
        <w:fldChar w:fldCharType="end"/>
      </w:r>
    </w:p>
    <w:p w14:paraId="39B368AC">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"_Toc62563697" </w:instrText>
      </w:r>
      <w:r>
        <w:rPr>
          <w:rStyle w:val="45"/>
          <w:rFonts w:ascii="Times New Roman"/>
          <w:color w:val="auto"/>
        </w:rPr>
        <w:fldChar w:fldCharType="separate"/>
      </w:r>
      <w:r>
        <w:rPr>
          <w:rStyle w:val="45"/>
          <w:rFonts w:ascii="Times New Roman"/>
          <w:color w:val="auto"/>
        </w:rPr>
        <w:t>第二节  公共管理与公共服务用地的评估方法</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_Toc62563697 \h </w:instrText>
      </w:r>
      <w:r>
        <w:rPr>
          <w:rStyle w:val="45"/>
          <w:rFonts w:ascii="Times New Roman"/>
          <w:color w:val="auto"/>
        </w:rPr>
        <w:fldChar w:fldCharType="separate"/>
      </w:r>
      <w:r>
        <w:rPr>
          <w:rStyle w:val="45"/>
          <w:rFonts w:ascii="Times New Roman"/>
          <w:color w:val="auto"/>
        </w:rPr>
        <w:t>181</w:t>
      </w:r>
      <w:r>
        <w:rPr>
          <w:rStyle w:val="45"/>
          <w:rFonts w:ascii="Times New Roman"/>
          <w:color w:val="auto"/>
        </w:rPr>
        <w:fldChar w:fldCharType="end"/>
      </w:r>
      <w:r>
        <w:rPr>
          <w:rStyle w:val="45"/>
          <w:rFonts w:ascii="Times New Roman"/>
          <w:color w:val="auto"/>
        </w:rPr>
        <w:fldChar w:fldCharType="end"/>
      </w:r>
    </w:p>
    <w:p w14:paraId="3FCF3695">
      <w:pPr>
        <w:pStyle w:val="32"/>
        <w:tabs>
          <w:tab w:val="right" w:leader="dot" w:pos="9059"/>
        </w:tabs>
        <w:spacing w:line="360" w:lineRule="auto"/>
        <w:rPr>
          <w:rFonts w:ascii="Times New Roman" w:hAnsi="Times New Roman" w:eastAsia="宋体"/>
          <w:b w:val="0"/>
          <w:smallCaps w:val="0"/>
          <w:sz w:val="21"/>
          <w:szCs w:val="22"/>
          <w:lang w:val="en-US" w:eastAsia="zh-CN"/>
        </w:rPr>
      </w:pPr>
      <w:r>
        <w:rPr>
          <w:rStyle w:val="45"/>
          <w:rFonts w:ascii="Times New Roman" w:hAnsi="Times New Roman"/>
          <w:color w:val="auto"/>
        </w:rPr>
        <w:fldChar w:fldCharType="begin"/>
      </w:r>
      <w:r>
        <w:rPr>
          <w:rStyle w:val="45"/>
          <w:rFonts w:ascii="Times New Roman" w:hAnsi="Times New Roman"/>
          <w:color w:val="auto"/>
        </w:rPr>
        <w:instrText xml:space="preserve"> </w:instrText>
      </w:r>
      <w:r>
        <w:rPr>
          <w:rFonts w:ascii="Times New Roman" w:hAnsi="Times New Roman"/>
        </w:rPr>
        <w:instrText xml:space="preserve">HYPERLINK \l "_Toc62563698"</w:instrText>
      </w:r>
      <w:r>
        <w:rPr>
          <w:rStyle w:val="45"/>
          <w:rFonts w:ascii="Times New Roman" w:hAnsi="Times New Roman"/>
          <w:color w:val="auto"/>
        </w:rPr>
        <w:instrText xml:space="preserve"> </w:instrText>
      </w:r>
      <w:r>
        <w:rPr>
          <w:rStyle w:val="45"/>
          <w:rFonts w:ascii="Times New Roman" w:hAnsi="Times New Roman"/>
          <w:color w:val="auto"/>
        </w:rPr>
        <w:fldChar w:fldCharType="separate"/>
      </w:r>
      <w:r>
        <w:rPr>
          <w:rStyle w:val="45"/>
          <w:rFonts w:ascii="Times New Roman" w:hAnsi="Times New Roman" w:eastAsia="宋体"/>
          <w:color w:val="auto"/>
        </w:rPr>
        <w:t>第七章  基准地价</w:t>
      </w:r>
      <w:bookmarkStart w:id="9" w:name="_Hlt77000466"/>
      <w:r>
        <w:rPr>
          <w:rStyle w:val="45"/>
          <w:rFonts w:ascii="Times New Roman" w:hAnsi="Times New Roman" w:eastAsia="宋体"/>
          <w:color w:val="auto"/>
        </w:rPr>
        <w:t>的</w:t>
      </w:r>
      <w:bookmarkEnd w:id="9"/>
      <w:r>
        <w:rPr>
          <w:rStyle w:val="45"/>
          <w:rFonts w:ascii="Times New Roman" w:hAnsi="Times New Roman" w:eastAsia="宋体"/>
          <w:color w:val="auto"/>
        </w:rPr>
        <w:t>确定</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_Toc62563698 \h </w:instrText>
      </w:r>
      <w:r>
        <w:rPr>
          <w:rFonts w:ascii="Times New Roman" w:hAnsi="Times New Roman"/>
        </w:rPr>
        <w:fldChar w:fldCharType="separate"/>
      </w:r>
      <w:r>
        <w:rPr>
          <w:rFonts w:ascii="Times New Roman" w:hAnsi="Times New Roman"/>
        </w:rPr>
        <w:t>200</w:t>
      </w:r>
      <w:r>
        <w:rPr>
          <w:rFonts w:ascii="Times New Roman" w:hAnsi="Times New Roman"/>
        </w:rPr>
        <w:fldChar w:fldCharType="end"/>
      </w:r>
      <w:r>
        <w:rPr>
          <w:rStyle w:val="45"/>
          <w:rFonts w:ascii="Times New Roman" w:hAnsi="Times New Roman"/>
          <w:color w:val="auto"/>
        </w:rPr>
        <w:fldChar w:fldCharType="end"/>
      </w:r>
    </w:p>
    <w:p w14:paraId="1846C48F">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"_Toc62563699" </w:instrText>
      </w:r>
      <w:r>
        <w:rPr>
          <w:rStyle w:val="45"/>
          <w:rFonts w:ascii="Times New Roman"/>
          <w:color w:val="auto"/>
        </w:rPr>
        <w:fldChar w:fldCharType="separate"/>
      </w:r>
      <w:r>
        <w:rPr>
          <w:rStyle w:val="45"/>
          <w:rFonts w:ascii="Times New Roman"/>
          <w:color w:val="auto"/>
        </w:rPr>
        <w:t>第一节  基准地价确定的原则和方法</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_Toc62563699 \h </w:instrText>
      </w:r>
      <w:r>
        <w:rPr>
          <w:rStyle w:val="45"/>
          <w:rFonts w:ascii="Times New Roman"/>
          <w:color w:val="auto"/>
        </w:rPr>
        <w:fldChar w:fldCharType="separate"/>
      </w:r>
      <w:r>
        <w:rPr>
          <w:rStyle w:val="45"/>
          <w:rFonts w:ascii="Times New Roman"/>
          <w:color w:val="auto"/>
        </w:rPr>
        <w:t>200</w:t>
      </w:r>
      <w:r>
        <w:rPr>
          <w:rStyle w:val="45"/>
          <w:rFonts w:ascii="Times New Roman"/>
          <w:color w:val="auto"/>
        </w:rPr>
        <w:fldChar w:fldCharType="end"/>
      </w:r>
      <w:r>
        <w:rPr>
          <w:rStyle w:val="45"/>
          <w:rFonts w:ascii="Times New Roman"/>
          <w:color w:val="auto"/>
        </w:rPr>
        <w:fldChar w:fldCharType="end"/>
      </w:r>
    </w:p>
    <w:p w14:paraId="22240F8A">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"_Toc62563700" </w:instrText>
      </w:r>
      <w:r>
        <w:rPr>
          <w:rStyle w:val="45"/>
          <w:rFonts w:ascii="Times New Roman"/>
          <w:color w:val="auto"/>
        </w:rPr>
        <w:fldChar w:fldCharType="separate"/>
      </w:r>
      <w:r>
        <w:rPr>
          <w:rStyle w:val="45"/>
          <w:rFonts w:ascii="Times New Roman"/>
          <w:color w:val="auto"/>
        </w:rPr>
        <w:t>第二节  各乡镇区级别基准地价的确定</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_Toc62563700 \h </w:instrText>
      </w:r>
      <w:r>
        <w:rPr>
          <w:rStyle w:val="45"/>
          <w:rFonts w:ascii="Times New Roman"/>
          <w:color w:val="auto"/>
        </w:rPr>
        <w:fldChar w:fldCharType="separate"/>
      </w:r>
      <w:r>
        <w:rPr>
          <w:rStyle w:val="45"/>
          <w:rFonts w:ascii="Times New Roman"/>
          <w:color w:val="auto"/>
        </w:rPr>
        <w:t>201</w:t>
      </w:r>
      <w:r>
        <w:rPr>
          <w:rStyle w:val="45"/>
          <w:rFonts w:ascii="Times New Roman"/>
          <w:color w:val="auto"/>
        </w:rPr>
        <w:fldChar w:fldCharType="end"/>
      </w:r>
      <w:r>
        <w:rPr>
          <w:rStyle w:val="45"/>
          <w:rFonts w:ascii="Times New Roman"/>
          <w:color w:val="auto"/>
        </w:rPr>
        <w:fldChar w:fldCharType="end"/>
      </w:r>
    </w:p>
    <w:p w14:paraId="2065104C">
      <w:pPr>
        <w:pStyle w:val="32"/>
        <w:tabs>
          <w:tab w:val="right" w:leader="dot" w:pos="9059"/>
        </w:tabs>
        <w:spacing w:line="360" w:lineRule="auto"/>
        <w:rPr>
          <w:rFonts w:ascii="Times New Roman" w:hAnsi="Times New Roman" w:eastAsia="宋体"/>
          <w:b w:val="0"/>
          <w:smallCaps w:val="0"/>
          <w:sz w:val="21"/>
          <w:szCs w:val="22"/>
          <w:lang w:val="en-US" w:eastAsia="zh-CN"/>
        </w:rPr>
      </w:pPr>
      <w:r>
        <w:rPr>
          <w:rStyle w:val="45"/>
          <w:rFonts w:ascii="Times New Roman" w:hAnsi="Times New Roman"/>
          <w:color w:val="auto"/>
        </w:rPr>
        <w:fldChar w:fldCharType="begin"/>
      </w:r>
      <w:r>
        <w:rPr>
          <w:rStyle w:val="45"/>
          <w:rFonts w:ascii="Times New Roman" w:hAnsi="Times New Roman"/>
          <w:color w:val="auto"/>
        </w:rPr>
        <w:instrText xml:space="preserve"> </w:instrText>
      </w:r>
      <w:r>
        <w:rPr>
          <w:rFonts w:ascii="Times New Roman" w:hAnsi="Times New Roman"/>
        </w:rPr>
        <w:instrText xml:space="preserve">HYPERLINK \l "_Toc62563701"</w:instrText>
      </w:r>
      <w:r>
        <w:rPr>
          <w:rStyle w:val="45"/>
          <w:rFonts w:ascii="Times New Roman" w:hAnsi="Times New Roman"/>
          <w:color w:val="auto"/>
        </w:rPr>
        <w:instrText xml:space="preserve"> </w:instrText>
      </w:r>
      <w:r>
        <w:rPr>
          <w:rStyle w:val="45"/>
          <w:rFonts w:ascii="Times New Roman" w:hAnsi="Times New Roman"/>
          <w:color w:val="auto"/>
        </w:rPr>
        <w:fldChar w:fldCharType="separate"/>
      </w:r>
      <w:r>
        <w:rPr>
          <w:rStyle w:val="45"/>
          <w:rFonts w:ascii="Times New Roman" w:hAnsi="Times New Roman" w:eastAsia="宋体"/>
          <w:color w:val="auto"/>
        </w:rPr>
        <w:t>第八章  基准地价水平分析</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_Toc62563701 \h </w:instrText>
      </w:r>
      <w:r>
        <w:rPr>
          <w:rFonts w:ascii="Times New Roman" w:hAnsi="Times New Roman"/>
        </w:rPr>
        <w:fldChar w:fldCharType="separate"/>
      </w:r>
      <w:r>
        <w:rPr>
          <w:rFonts w:ascii="Times New Roman" w:hAnsi="Times New Roman"/>
        </w:rPr>
        <w:t>211</w:t>
      </w:r>
      <w:r>
        <w:rPr>
          <w:rFonts w:ascii="Times New Roman" w:hAnsi="Times New Roman"/>
        </w:rPr>
        <w:fldChar w:fldCharType="end"/>
      </w:r>
      <w:r>
        <w:rPr>
          <w:rStyle w:val="45"/>
          <w:rFonts w:ascii="Times New Roman" w:hAnsi="Times New Roman"/>
          <w:color w:val="auto"/>
        </w:rPr>
        <w:fldChar w:fldCharType="end"/>
      </w:r>
    </w:p>
    <w:p w14:paraId="698C9611">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"_Toc62563702" </w:instrText>
      </w:r>
      <w:r>
        <w:rPr>
          <w:rStyle w:val="45"/>
          <w:rFonts w:ascii="Times New Roman"/>
          <w:color w:val="auto"/>
        </w:rPr>
        <w:fldChar w:fldCharType="separate"/>
      </w:r>
      <w:r>
        <w:rPr>
          <w:rStyle w:val="45"/>
          <w:rFonts w:ascii="Times New Roman"/>
          <w:color w:val="auto"/>
        </w:rPr>
        <w:t>第一节  总体基准地价水平分析</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_Toc62563702 \h </w:instrText>
      </w:r>
      <w:r>
        <w:rPr>
          <w:rStyle w:val="45"/>
          <w:rFonts w:ascii="Times New Roman"/>
          <w:color w:val="auto"/>
        </w:rPr>
        <w:fldChar w:fldCharType="separate"/>
      </w:r>
      <w:r>
        <w:rPr>
          <w:rStyle w:val="45"/>
          <w:rFonts w:ascii="Times New Roman"/>
          <w:color w:val="auto"/>
        </w:rPr>
        <w:t>211</w:t>
      </w:r>
      <w:r>
        <w:rPr>
          <w:rStyle w:val="45"/>
          <w:rFonts w:ascii="Times New Roman"/>
          <w:color w:val="auto"/>
        </w:rPr>
        <w:fldChar w:fldCharType="end"/>
      </w:r>
      <w:r>
        <w:rPr>
          <w:rStyle w:val="45"/>
          <w:rFonts w:ascii="Times New Roman"/>
          <w:color w:val="auto"/>
        </w:rPr>
        <w:fldChar w:fldCharType="end"/>
      </w:r>
    </w:p>
    <w:p w14:paraId="5EF83F22">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"_Toc62563703" </w:instrText>
      </w:r>
      <w:r>
        <w:rPr>
          <w:rStyle w:val="45"/>
          <w:rFonts w:ascii="Times New Roman"/>
          <w:color w:val="auto"/>
        </w:rPr>
        <w:fldChar w:fldCharType="separate"/>
      </w:r>
      <w:r>
        <w:rPr>
          <w:rStyle w:val="45"/>
          <w:rFonts w:ascii="Times New Roman"/>
          <w:color w:val="auto"/>
        </w:rPr>
        <w:t>第二节  两轮基准地价对比分析</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_Toc62563703 \h </w:instrText>
      </w:r>
      <w:r>
        <w:rPr>
          <w:rStyle w:val="45"/>
          <w:rFonts w:ascii="Times New Roman"/>
          <w:color w:val="auto"/>
        </w:rPr>
        <w:fldChar w:fldCharType="separate"/>
      </w:r>
      <w:r>
        <w:rPr>
          <w:rStyle w:val="45"/>
          <w:rFonts w:ascii="Times New Roman"/>
          <w:color w:val="auto"/>
        </w:rPr>
        <w:t>216</w:t>
      </w:r>
      <w:r>
        <w:rPr>
          <w:rStyle w:val="45"/>
          <w:rFonts w:ascii="Times New Roman"/>
          <w:color w:val="auto"/>
        </w:rPr>
        <w:fldChar w:fldCharType="end"/>
      </w:r>
      <w:r>
        <w:rPr>
          <w:rStyle w:val="45"/>
          <w:rFonts w:ascii="Times New Roman"/>
          <w:color w:val="auto"/>
        </w:rPr>
        <w:fldChar w:fldCharType="end"/>
      </w:r>
    </w:p>
    <w:p w14:paraId="038F6AC8">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"_Toc62563704" </w:instrText>
      </w:r>
      <w:r>
        <w:rPr>
          <w:rStyle w:val="45"/>
          <w:rFonts w:ascii="Times New Roman"/>
          <w:color w:val="auto"/>
        </w:rPr>
        <w:fldChar w:fldCharType="separate"/>
      </w:r>
      <w:r>
        <w:rPr>
          <w:rStyle w:val="45"/>
          <w:rFonts w:ascii="Times New Roman"/>
          <w:color w:val="auto"/>
        </w:rPr>
        <w:t>第三节  乡镇间基准地价水平分析</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_Toc62563704 \h </w:instrText>
      </w:r>
      <w:r>
        <w:rPr>
          <w:rStyle w:val="45"/>
          <w:rFonts w:ascii="Times New Roman"/>
          <w:color w:val="auto"/>
        </w:rPr>
        <w:fldChar w:fldCharType="separate"/>
      </w:r>
      <w:r>
        <w:rPr>
          <w:rStyle w:val="45"/>
          <w:rFonts w:ascii="Times New Roman"/>
          <w:color w:val="auto"/>
        </w:rPr>
        <w:t>221</w:t>
      </w:r>
      <w:r>
        <w:rPr>
          <w:rStyle w:val="45"/>
          <w:rFonts w:ascii="Times New Roman"/>
          <w:color w:val="auto"/>
        </w:rPr>
        <w:fldChar w:fldCharType="end"/>
      </w:r>
      <w:r>
        <w:rPr>
          <w:rStyle w:val="45"/>
          <w:rFonts w:ascii="Times New Roman"/>
          <w:color w:val="auto"/>
        </w:rPr>
        <w:fldChar w:fldCharType="end"/>
      </w:r>
    </w:p>
    <w:p w14:paraId="431C4906">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"_Toc62563705" </w:instrText>
      </w:r>
      <w:r>
        <w:rPr>
          <w:rStyle w:val="45"/>
          <w:rFonts w:ascii="Times New Roman"/>
          <w:color w:val="auto"/>
        </w:rPr>
        <w:fldChar w:fldCharType="separate"/>
      </w:r>
      <w:r>
        <w:rPr>
          <w:rStyle w:val="45"/>
          <w:rFonts w:ascii="Times New Roman"/>
          <w:color w:val="auto"/>
        </w:rPr>
        <w:t>第三节  房地产相关政策对基准地价的影响分析</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_Toc62563705 \h </w:instrText>
      </w:r>
      <w:r>
        <w:rPr>
          <w:rStyle w:val="45"/>
          <w:rFonts w:ascii="Times New Roman"/>
          <w:color w:val="auto"/>
        </w:rPr>
        <w:fldChar w:fldCharType="separate"/>
      </w:r>
      <w:r>
        <w:rPr>
          <w:rStyle w:val="45"/>
          <w:rFonts w:ascii="Times New Roman"/>
          <w:color w:val="auto"/>
        </w:rPr>
        <w:t>224</w:t>
      </w:r>
      <w:r>
        <w:rPr>
          <w:rStyle w:val="45"/>
          <w:rFonts w:ascii="Times New Roman"/>
          <w:color w:val="auto"/>
        </w:rPr>
        <w:fldChar w:fldCharType="end"/>
      </w:r>
      <w:r>
        <w:rPr>
          <w:rStyle w:val="45"/>
          <w:rFonts w:ascii="Times New Roman"/>
          <w:color w:val="auto"/>
        </w:rPr>
        <w:fldChar w:fldCharType="end"/>
      </w:r>
    </w:p>
    <w:p w14:paraId="0E2CCDE7">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"_Toc62563706" </w:instrText>
      </w:r>
      <w:r>
        <w:rPr>
          <w:rStyle w:val="45"/>
          <w:rFonts w:ascii="Times New Roman"/>
          <w:color w:val="auto"/>
        </w:rPr>
        <w:fldChar w:fldCharType="separate"/>
      </w:r>
      <w:r>
        <w:rPr>
          <w:rStyle w:val="45"/>
          <w:rFonts w:ascii="Times New Roman"/>
          <w:color w:val="auto"/>
        </w:rPr>
        <w:t>第四节  分用途基准地价水平分析</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_Toc62563706 \h </w:instrText>
      </w:r>
      <w:r>
        <w:rPr>
          <w:rStyle w:val="45"/>
          <w:rFonts w:ascii="Times New Roman"/>
          <w:color w:val="auto"/>
        </w:rPr>
        <w:fldChar w:fldCharType="separate"/>
      </w:r>
      <w:r>
        <w:rPr>
          <w:rStyle w:val="45"/>
          <w:rFonts w:ascii="Times New Roman"/>
          <w:color w:val="auto"/>
        </w:rPr>
        <w:t>227</w:t>
      </w:r>
      <w:r>
        <w:rPr>
          <w:rStyle w:val="45"/>
          <w:rFonts w:ascii="Times New Roman"/>
          <w:color w:val="auto"/>
        </w:rPr>
        <w:fldChar w:fldCharType="end"/>
      </w:r>
      <w:r>
        <w:rPr>
          <w:rStyle w:val="45"/>
          <w:rFonts w:ascii="Times New Roman"/>
          <w:color w:val="auto"/>
        </w:rPr>
        <w:fldChar w:fldCharType="end"/>
      </w:r>
    </w:p>
    <w:p w14:paraId="0FA770C3">
      <w:pPr>
        <w:pStyle w:val="32"/>
        <w:tabs>
          <w:tab w:val="right" w:leader="dot" w:pos="9059"/>
        </w:tabs>
        <w:spacing w:line="360" w:lineRule="auto"/>
        <w:rPr>
          <w:rFonts w:ascii="Times New Roman" w:hAnsi="Times New Roman" w:eastAsia="宋体"/>
          <w:b w:val="0"/>
          <w:smallCaps w:val="0"/>
          <w:sz w:val="21"/>
          <w:szCs w:val="22"/>
          <w:lang w:val="en-US" w:eastAsia="zh-CN"/>
        </w:rPr>
      </w:pPr>
      <w:r>
        <w:rPr>
          <w:rStyle w:val="45"/>
          <w:rFonts w:ascii="Times New Roman" w:hAnsi="Times New Roman"/>
          <w:color w:val="auto"/>
        </w:rPr>
        <w:fldChar w:fldCharType="begin"/>
      </w:r>
      <w:r>
        <w:rPr>
          <w:rStyle w:val="45"/>
          <w:rFonts w:ascii="Times New Roman" w:hAnsi="Times New Roman"/>
          <w:color w:val="auto"/>
        </w:rPr>
        <w:instrText xml:space="preserve"> </w:instrText>
      </w:r>
      <w:r>
        <w:rPr>
          <w:rFonts w:ascii="Times New Roman" w:hAnsi="Times New Roman"/>
        </w:rPr>
        <w:instrText xml:space="preserve">HYPERLINK \l "_Toc62563707"</w:instrText>
      </w:r>
      <w:r>
        <w:rPr>
          <w:rStyle w:val="45"/>
          <w:rFonts w:ascii="Times New Roman" w:hAnsi="Times New Roman"/>
          <w:color w:val="auto"/>
        </w:rPr>
        <w:instrText xml:space="preserve"> </w:instrText>
      </w:r>
      <w:r>
        <w:rPr>
          <w:rStyle w:val="45"/>
          <w:rFonts w:ascii="Times New Roman" w:hAnsi="Times New Roman"/>
          <w:color w:val="auto"/>
        </w:rPr>
        <w:fldChar w:fldCharType="separate"/>
      </w:r>
      <w:r>
        <w:rPr>
          <w:rStyle w:val="45"/>
          <w:rFonts w:ascii="Times New Roman" w:hAnsi="Times New Roman" w:eastAsia="宋体"/>
          <w:color w:val="auto"/>
        </w:rPr>
        <w:t>第九章  基准地价修正体系的建立</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_Toc62563707 \h </w:instrText>
      </w:r>
      <w:r>
        <w:rPr>
          <w:rFonts w:ascii="Times New Roman" w:hAnsi="Times New Roman"/>
        </w:rPr>
        <w:fldChar w:fldCharType="separate"/>
      </w:r>
      <w:r>
        <w:rPr>
          <w:rFonts w:ascii="Times New Roman" w:hAnsi="Times New Roman"/>
        </w:rPr>
        <w:t>228</w:t>
      </w:r>
      <w:r>
        <w:rPr>
          <w:rFonts w:ascii="Times New Roman" w:hAnsi="Times New Roman"/>
        </w:rPr>
        <w:fldChar w:fldCharType="end"/>
      </w:r>
      <w:r>
        <w:rPr>
          <w:rStyle w:val="45"/>
          <w:rFonts w:ascii="Times New Roman" w:hAnsi="Times New Roman"/>
          <w:color w:val="auto"/>
        </w:rPr>
        <w:fldChar w:fldCharType="end"/>
      </w:r>
    </w:p>
    <w:p w14:paraId="507415F1">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"_Toc62563708" </w:instrText>
      </w:r>
      <w:r>
        <w:rPr>
          <w:rStyle w:val="45"/>
          <w:rFonts w:ascii="Times New Roman"/>
          <w:color w:val="auto"/>
        </w:rPr>
        <w:fldChar w:fldCharType="separate"/>
      </w:r>
      <w:r>
        <w:rPr>
          <w:rStyle w:val="45"/>
          <w:rFonts w:ascii="Times New Roman"/>
          <w:color w:val="auto"/>
        </w:rPr>
        <w:t>第一节  基准地价修正体系的建立</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_Toc62563708 \h </w:instrText>
      </w:r>
      <w:r>
        <w:rPr>
          <w:rStyle w:val="45"/>
          <w:rFonts w:ascii="Times New Roman"/>
          <w:color w:val="auto"/>
        </w:rPr>
        <w:fldChar w:fldCharType="separate"/>
      </w:r>
      <w:r>
        <w:rPr>
          <w:rStyle w:val="45"/>
          <w:rFonts w:ascii="Times New Roman"/>
          <w:color w:val="auto"/>
        </w:rPr>
        <w:t>228</w:t>
      </w:r>
      <w:r>
        <w:rPr>
          <w:rStyle w:val="45"/>
          <w:rFonts w:ascii="Times New Roman"/>
          <w:color w:val="auto"/>
        </w:rPr>
        <w:fldChar w:fldCharType="end"/>
      </w:r>
      <w:r>
        <w:rPr>
          <w:rStyle w:val="45"/>
          <w:rFonts w:ascii="Times New Roman"/>
          <w:color w:val="auto"/>
        </w:rPr>
        <w:fldChar w:fldCharType="end"/>
      </w:r>
    </w:p>
    <w:p w14:paraId="1A691279">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"_Toc62563709" </w:instrText>
      </w:r>
      <w:r>
        <w:rPr>
          <w:rStyle w:val="45"/>
          <w:rFonts w:ascii="Times New Roman"/>
          <w:color w:val="auto"/>
        </w:rPr>
        <w:fldChar w:fldCharType="separate"/>
      </w:r>
      <w:r>
        <w:rPr>
          <w:rStyle w:val="45"/>
          <w:rFonts w:ascii="Times New Roman"/>
          <w:color w:val="auto"/>
        </w:rPr>
        <w:t>第二节  其他修正体系的建立</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_Toc62563709 \h </w:instrText>
      </w:r>
      <w:r>
        <w:rPr>
          <w:rStyle w:val="45"/>
          <w:rFonts w:ascii="Times New Roman"/>
          <w:color w:val="auto"/>
        </w:rPr>
        <w:fldChar w:fldCharType="separate"/>
      </w:r>
      <w:r>
        <w:rPr>
          <w:rStyle w:val="45"/>
          <w:rFonts w:ascii="Times New Roman"/>
          <w:color w:val="auto"/>
        </w:rPr>
        <w:t>241</w:t>
      </w:r>
      <w:r>
        <w:rPr>
          <w:rStyle w:val="45"/>
          <w:rFonts w:ascii="Times New Roman"/>
          <w:color w:val="auto"/>
        </w:rPr>
        <w:fldChar w:fldCharType="end"/>
      </w:r>
      <w:r>
        <w:rPr>
          <w:rStyle w:val="45"/>
          <w:rFonts w:ascii="Times New Roman"/>
          <w:color w:val="auto"/>
        </w:rPr>
        <w:fldChar w:fldCharType="end"/>
      </w:r>
    </w:p>
    <w:p w14:paraId="59F3D1E1">
      <w:pPr>
        <w:pStyle w:val="32"/>
        <w:tabs>
          <w:tab w:val="right" w:leader="dot" w:pos="9059"/>
        </w:tabs>
        <w:spacing w:line="360" w:lineRule="auto"/>
        <w:rPr>
          <w:rFonts w:ascii="Times New Roman" w:hAnsi="Times New Roman" w:eastAsia="宋体"/>
          <w:b w:val="0"/>
          <w:smallCaps w:val="0"/>
          <w:sz w:val="21"/>
          <w:szCs w:val="22"/>
          <w:lang w:val="en-US" w:eastAsia="zh-CN"/>
        </w:rPr>
      </w:pPr>
      <w:r>
        <w:rPr>
          <w:rStyle w:val="45"/>
          <w:rFonts w:ascii="Times New Roman" w:hAnsi="Times New Roman"/>
          <w:color w:val="auto"/>
        </w:rPr>
        <w:fldChar w:fldCharType="begin"/>
      </w:r>
      <w:r>
        <w:rPr>
          <w:rStyle w:val="45"/>
          <w:rFonts w:ascii="Times New Roman" w:hAnsi="Times New Roman"/>
          <w:color w:val="auto"/>
        </w:rPr>
        <w:instrText xml:space="preserve"> </w:instrText>
      </w:r>
      <w:r>
        <w:rPr>
          <w:rFonts w:ascii="Times New Roman" w:hAnsi="Times New Roman"/>
        </w:rPr>
        <w:instrText xml:space="preserve">HYPERLINK \l "_Toc62563710"</w:instrText>
      </w:r>
      <w:r>
        <w:rPr>
          <w:rStyle w:val="45"/>
          <w:rFonts w:ascii="Times New Roman" w:hAnsi="Times New Roman"/>
          <w:color w:val="auto"/>
        </w:rPr>
        <w:instrText xml:space="preserve"> </w:instrText>
      </w:r>
      <w:r>
        <w:rPr>
          <w:rStyle w:val="45"/>
          <w:rFonts w:ascii="Times New Roman" w:hAnsi="Times New Roman"/>
          <w:color w:val="auto"/>
        </w:rPr>
        <w:fldChar w:fldCharType="separate"/>
      </w:r>
      <w:r>
        <w:rPr>
          <w:rStyle w:val="45"/>
          <w:rFonts w:ascii="Times New Roman" w:hAnsi="Times New Roman" w:eastAsia="宋体"/>
          <w:color w:val="auto"/>
        </w:rPr>
        <w:t>第十章  成果应用建议</w:t>
      </w:r>
      <w:r>
        <w:rPr>
          <w:rFonts w:ascii="Times New Roman" w:hAnsi="Times New Roman"/>
        </w:rPr>
        <w:tab/>
      </w:r>
      <w:r>
        <w:rPr>
          <w:rFonts w:ascii="Times New Roman" w:hAnsi="Times New Roman"/>
        </w:rPr>
        <w:fldChar w:fldCharType="begin"/>
      </w:r>
      <w:r>
        <w:rPr>
          <w:rFonts w:ascii="Times New Roman" w:hAnsi="Times New Roman"/>
        </w:rPr>
        <w:instrText xml:space="preserve"> PAGEREF _Toc62563710 \h </w:instrText>
      </w:r>
      <w:r>
        <w:rPr>
          <w:rFonts w:ascii="Times New Roman" w:hAnsi="Times New Roman"/>
        </w:rPr>
        <w:fldChar w:fldCharType="separate"/>
      </w:r>
      <w:r>
        <w:rPr>
          <w:rFonts w:ascii="Times New Roman" w:hAnsi="Times New Roman"/>
        </w:rPr>
        <w:t>242</w:t>
      </w:r>
      <w:r>
        <w:rPr>
          <w:rFonts w:ascii="Times New Roman" w:hAnsi="Times New Roman"/>
        </w:rPr>
        <w:fldChar w:fldCharType="end"/>
      </w:r>
      <w:r>
        <w:rPr>
          <w:rStyle w:val="45"/>
          <w:rFonts w:ascii="Times New Roman" w:hAnsi="Times New Roman"/>
          <w:color w:val="auto"/>
        </w:rPr>
        <w:fldChar w:fldCharType="end"/>
      </w:r>
    </w:p>
    <w:p w14:paraId="20BF8FF6">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"_Toc62563711" </w:instrText>
      </w:r>
      <w:r>
        <w:rPr>
          <w:rStyle w:val="45"/>
          <w:rFonts w:ascii="Times New Roman"/>
          <w:color w:val="auto"/>
        </w:rPr>
        <w:fldChar w:fldCharType="separate"/>
      </w:r>
      <w:r>
        <w:rPr>
          <w:rStyle w:val="45"/>
          <w:rFonts w:ascii="Times New Roman"/>
          <w:color w:val="auto"/>
        </w:rPr>
        <w:t>第一节  成果说明</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_Toc62563711 \h </w:instrText>
      </w:r>
      <w:r>
        <w:rPr>
          <w:rStyle w:val="45"/>
          <w:rFonts w:ascii="Times New Roman"/>
          <w:color w:val="auto"/>
        </w:rPr>
        <w:fldChar w:fldCharType="separate"/>
      </w:r>
      <w:r>
        <w:rPr>
          <w:rStyle w:val="45"/>
          <w:rFonts w:ascii="Times New Roman"/>
          <w:color w:val="auto"/>
        </w:rPr>
        <w:t>242</w:t>
      </w:r>
      <w:r>
        <w:rPr>
          <w:rStyle w:val="45"/>
          <w:rFonts w:ascii="Times New Roman"/>
          <w:color w:val="auto"/>
        </w:rPr>
        <w:fldChar w:fldCharType="end"/>
      </w:r>
      <w:r>
        <w:rPr>
          <w:rStyle w:val="45"/>
          <w:rFonts w:ascii="Times New Roman"/>
          <w:color w:val="auto"/>
        </w:rPr>
        <w:fldChar w:fldCharType="end"/>
      </w:r>
    </w:p>
    <w:p w14:paraId="192E66EE">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"_Toc62563712" </w:instrText>
      </w:r>
      <w:r>
        <w:rPr>
          <w:rStyle w:val="45"/>
          <w:rFonts w:ascii="Times New Roman"/>
          <w:color w:val="auto"/>
        </w:rPr>
        <w:fldChar w:fldCharType="separate"/>
      </w:r>
      <w:r>
        <w:rPr>
          <w:rStyle w:val="45"/>
          <w:rFonts w:ascii="Times New Roman"/>
          <w:color w:val="auto"/>
        </w:rPr>
        <w:t>第二节  成果应用范围</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_Toc62563712 \h </w:instrText>
      </w:r>
      <w:r>
        <w:rPr>
          <w:rStyle w:val="45"/>
          <w:rFonts w:ascii="Times New Roman"/>
          <w:color w:val="auto"/>
        </w:rPr>
        <w:fldChar w:fldCharType="separate"/>
      </w:r>
      <w:r>
        <w:rPr>
          <w:rStyle w:val="45"/>
          <w:rFonts w:ascii="Times New Roman"/>
          <w:color w:val="auto"/>
        </w:rPr>
        <w:t>242</w:t>
      </w:r>
      <w:r>
        <w:rPr>
          <w:rStyle w:val="45"/>
          <w:rFonts w:ascii="Times New Roman"/>
          <w:color w:val="auto"/>
        </w:rPr>
        <w:fldChar w:fldCharType="end"/>
      </w:r>
      <w:r>
        <w:rPr>
          <w:rStyle w:val="45"/>
          <w:rFonts w:ascii="Times New Roman"/>
          <w:color w:val="auto"/>
        </w:rPr>
        <w:fldChar w:fldCharType="end"/>
      </w:r>
    </w:p>
    <w:p w14:paraId="71C55202">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"_Toc62563713" </w:instrText>
      </w:r>
      <w:r>
        <w:rPr>
          <w:rStyle w:val="45"/>
          <w:rFonts w:ascii="Times New Roman"/>
          <w:color w:val="auto"/>
        </w:rPr>
        <w:fldChar w:fldCharType="separate"/>
      </w:r>
      <w:r>
        <w:rPr>
          <w:rStyle w:val="45"/>
          <w:rFonts w:ascii="Times New Roman"/>
          <w:color w:val="auto"/>
        </w:rPr>
        <w:t>第三节  成果应用说明</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_Toc62563713 \h </w:instrText>
      </w:r>
      <w:r>
        <w:rPr>
          <w:rStyle w:val="45"/>
          <w:rFonts w:ascii="Times New Roman"/>
          <w:color w:val="auto"/>
        </w:rPr>
        <w:fldChar w:fldCharType="separate"/>
      </w:r>
      <w:r>
        <w:rPr>
          <w:rStyle w:val="45"/>
          <w:rFonts w:ascii="Times New Roman"/>
          <w:color w:val="auto"/>
        </w:rPr>
        <w:t>246</w:t>
      </w:r>
      <w:r>
        <w:rPr>
          <w:rStyle w:val="45"/>
          <w:rFonts w:ascii="Times New Roman"/>
          <w:color w:val="auto"/>
        </w:rPr>
        <w:fldChar w:fldCharType="end"/>
      </w:r>
      <w:r>
        <w:rPr>
          <w:rStyle w:val="45"/>
          <w:rFonts w:ascii="Times New Roman"/>
          <w:color w:val="auto"/>
        </w:rPr>
        <w:fldChar w:fldCharType="end"/>
      </w:r>
    </w:p>
    <w:p w14:paraId="08CC9E33">
      <w:pPr>
        <w:pStyle w:val="19"/>
        <w:tabs>
          <w:tab w:val="right" w:leader="dot" w:pos="9059"/>
          <w:tab w:val="clear" w:pos="9060"/>
        </w:tabs>
        <w:spacing w:line="360" w:lineRule="auto"/>
        <w:rPr>
          <w:rStyle w:val="45"/>
          <w:rFonts w:ascii="Times New Roman"/>
          <w:color w:val="auto"/>
        </w:rPr>
      </w:pPr>
      <w:r>
        <w:rPr>
          <w:rStyle w:val="45"/>
          <w:rFonts w:ascii="Times New Roman"/>
          <w:color w:val="auto"/>
        </w:rPr>
        <w:fldChar w:fldCharType="begin"/>
      </w:r>
      <w:r>
        <w:rPr>
          <w:rStyle w:val="45"/>
          <w:rFonts w:ascii="Times New Roman"/>
          <w:color w:val="auto"/>
        </w:rPr>
        <w:instrText xml:space="preserve"> HYPERLINK \l "_Toc62563714" </w:instrText>
      </w:r>
      <w:r>
        <w:rPr>
          <w:rStyle w:val="45"/>
          <w:rFonts w:ascii="Times New Roman"/>
          <w:color w:val="auto"/>
        </w:rPr>
        <w:fldChar w:fldCharType="separate"/>
      </w:r>
      <w:r>
        <w:rPr>
          <w:rStyle w:val="45"/>
          <w:rFonts w:ascii="Times New Roman"/>
          <w:color w:val="auto"/>
        </w:rPr>
        <w:t>第四节  成果应用建议</w:t>
      </w:r>
      <w:r>
        <w:rPr>
          <w:rStyle w:val="45"/>
          <w:rFonts w:ascii="Times New Roman"/>
          <w:color w:val="auto"/>
        </w:rPr>
        <w:tab/>
      </w:r>
      <w:r>
        <w:rPr>
          <w:rStyle w:val="45"/>
          <w:rFonts w:ascii="Times New Roman"/>
          <w:color w:val="auto"/>
        </w:rPr>
        <w:fldChar w:fldCharType="begin"/>
      </w:r>
      <w:r>
        <w:rPr>
          <w:rStyle w:val="45"/>
          <w:rFonts w:ascii="Times New Roman"/>
          <w:color w:val="auto"/>
        </w:rPr>
        <w:instrText xml:space="preserve"> PAGEREF _Toc62563714 \h </w:instrText>
      </w:r>
      <w:r>
        <w:rPr>
          <w:rStyle w:val="45"/>
          <w:rFonts w:ascii="Times New Roman"/>
          <w:color w:val="auto"/>
        </w:rPr>
        <w:fldChar w:fldCharType="separate"/>
      </w:r>
      <w:r>
        <w:rPr>
          <w:rStyle w:val="45"/>
          <w:rFonts w:ascii="Times New Roman"/>
          <w:color w:val="auto"/>
        </w:rPr>
        <w:t>249</w:t>
      </w:r>
      <w:r>
        <w:rPr>
          <w:rStyle w:val="45"/>
          <w:rFonts w:ascii="Times New Roman"/>
          <w:color w:val="auto"/>
        </w:rPr>
        <w:fldChar w:fldCharType="end"/>
      </w:r>
      <w:r>
        <w:rPr>
          <w:rStyle w:val="45"/>
          <w:rFonts w:ascii="Times New Roman"/>
          <w:color w:val="auto"/>
        </w:rPr>
        <w:fldChar w:fldCharType="end"/>
      </w:r>
    </w:p>
    <w:p w14:paraId="4F05C538">
      <w:pPr>
        <w:tabs>
          <w:tab w:val="right" w:leader="dot" w:pos="9059"/>
        </w:tabs>
        <w:spacing w:line="360" w:lineRule="auto"/>
        <w:jc w:val="center"/>
        <w:sectPr>
          <w:footerReference r:id="rId6" w:type="default"/>
          <w:pgSz w:w="11906" w:h="16838"/>
          <w:pgMar w:top="1701" w:right="1418" w:bottom="1418" w:left="1701" w:header="1134" w:footer="992" w:gutter="0"/>
          <w:pgNumType w:start="1"/>
          <w:cols w:space="720" w:num="1"/>
          <w:docGrid w:linePitch="12" w:charSpace="0"/>
        </w:sectPr>
      </w:pPr>
      <w:r>
        <w:rPr>
          <w:rFonts w:eastAsia="黑体"/>
          <w:sz w:val="36"/>
          <w:szCs w:val="36"/>
        </w:rPr>
        <w:fldChar w:fldCharType="end"/>
      </w:r>
      <w:bookmarkEnd w:id="0"/>
      <w:bookmarkStart w:id="10" w:name="_Toc382132525"/>
    </w:p>
    <w:p w14:paraId="1A6DD098">
      <w:pPr>
        <w:pStyle w:val="2"/>
        <w:widowControl w:val="0"/>
        <w:spacing w:line="240" w:lineRule="auto"/>
        <w:jc w:val="center"/>
      </w:pPr>
      <w:bookmarkStart w:id="11" w:name="_Toc62563643"/>
      <w:r>
        <w:t>第一篇　土地定级技术报告</w:t>
      </w:r>
      <w:bookmarkEnd w:id="10"/>
      <w:bookmarkEnd w:id="11"/>
    </w:p>
    <w:p w14:paraId="067184B0">
      <w:pPr>
        <w:pStyle w:val="20"/>
        <w:spacing w:line="480" w:lineRule="exact"/>
        <w:ind w:firstLine="560" w:firstLineChars="200"/>
        <w:jc w:val="both"/>
        <w:rPr>
          <w:rFonts w:ascii="楷体" w:hAnsi="楷体" w:eastAsia="楷体" w:cs="Times New Roman"/>
          <w:sz w:val="28"/>
        </w:rPr>
      </w:pPr>
      <w:r>
        <w:rPr>
          <w:rFonts w:ascii="楷体" w:hAnsi="楷体" w:eastAsia="楷体" w:cs="Times New Roman"/>
          <w:sz w:val="28"/>
        </w:rPr>
        <w:t>依据中华人民共和国国家质量监督检验检疫总局和中国国家标准化管理委员会联合发布的国家标准《城镇土地分等定级规程》（GB/T18507-2014）和《城镇土地估价规程》（GB/T18508-2014），</w:t>
      </w:r>
      <w:r>
        <w:rPr>
          <w:rFonts w:hint="eastAsia" w:ascii="楷体" w:hAnsi="楷体" w:eastAsia="楷体" w:cs="Times New Roman"/>
          <w:sz w:val="28"/>
        </w:rPr>
        <w:t>宿州市</w:t>
      </w:r>
      <w:r>
        <w:rPr>
          <w:rFonts w:hint="eastAsia" w:ascii="楷体" w:hAnsi="楷体" w:eastAsia="楷体" w:cs="宋体"/>
          <w:sz w:val="28"/>
        </w:rPr>
        <w:t>埇</w:t>
      </w:r>
      <w:r>
        <w:rPr>
          <w:rFonts w:hint="eastAsia" w:ascii="楷体" w:hAnsi="楷体" w:eastAsia="楷体" w:cs="Times New Roman"/>
          <w:sz w:val="28"/>
        </w:rPr>
        <w:t>桥区自然资源和规划局、安徽博源房地产土地资产评估有限公司共同编制了《宿州市</w:t>
      </w:r>
      <w:r>
        <w:rPr>
          <w:rFonts w:hint="eastAsia" w:ascii="楷体" w:hAnsi="楷体" w:eastAsia="楷体" w:cs="宋体"/>
          <w:sz w:val="28"/>
        </w:rPr>
        <w:t>埇</w:t>
      </w:r>
      <w:r>
        <w:rPr>
          <w:rFonts w:hint="eastAsia" w:ascii="楷体" w:hAnsi="楷体" w:eastAsia="楷体" w:cs="楷体_GB2312"/>
          <w:sz w:val="28"/>
        </w:rPr>
        <w:t>桥区</w:t>
      </w:r>
      <w:r>
        <w:rPr>
          <w:rFonts w:hint="eastAsia" w:ascii="楷体" w:hAnsi="楷体" w:eastAsia="楷体" w:cs="Times New Roman"/>
          <w:sz w:val="28"/>
        </w:rPr>
        <w:t>乡镇土地定级及基准地价更新定工作方案》和《宿州市</w:t>
      </w:r>
      <w:r>
        <w:rPr>
          <w:rFonts w:hint="eastAsia" w:ascii="楷体" w:hAnsi="楷体" w:eastAsia="楷体" w:cs="宋体"/>
          <w:sz w:val="28"/>
        </w:rPr>
        <w:t>埇</w:t>
      </w:r>
      <w:r>
        <w:rPr>
          <w:rFonts w:hint="eastAsia" w:ascii="楷体" w:hAnsi="楷体" w:eastAsia="楷体" w:cs="楷体_GB2312"/>
          <w:sz w:val="28"/>
        </w:rPr>
        <w:t>桥区</w:t>
      </w:r>
      <w:r>
        <w:rPr>
          <w:rFonts w:hint="eastAsia" w:ascii="楷体" w:hAnsi="楷体" w:eastAsia="楷体" w:cs="Times New Roman"/>
          <w:sz w:val="28"/>
        </w:rPr>
        <w:t>乡镇土地定级及基准地价更新技术方案》，通过对土地定级指标体系的建立、各土地定级因素因子对土地质量影响的分析、土地级别的初步划分与论证、土地级别的确定与土地定级成果的整理等技术处理过程，完成</w:t>
      </w:r>
      <w:r>
        <w:rPr>
          <w:rFonts w:hint="eastAsia" w:ascii="楷体" w:hAnsi="楷体" w:eastAsia="楷体" w:cs="宋体"/>
          <w:sz w:val="28"/>
        </w:rPr>
        <w:t>埇</w:t>
      </w:r>
      <w:r>
        <w:rPr>
          <w:rFonts w:hint="eastAsia" w:ascii="楷体" w:hAnsi="楷体" w:eastAsia="楷体" w:cs="楷体_GB2312"/>
          <w:sz w:val="28"/>
        </w:rPr>
        <w:t>桥区</w:t>
      </w:r>
      <w:r>
        <w:rPr>
          <w:rFonts w:ascii="楷体" w:hAnsi="楷体" w:eastAsia="楷体" w:cs="Times New Roman"/>
          <w:sz w:val="28"/>
        </w:rPr>
        <w:t>各乡镇的土地定级工作。</w:t>
      </w:r>
    </w:p>
    <w:p w14:paraId="6C4EF87E">
      <w:pPr>
        <w:spacing w:line="440" w:lineRule="exact"/>
        <w:jc w:val="center"/>
        <w:rPr>
          <w:rFonts w:eastAsia="楷体_GB2312"/>
          <w:sz w:val="36"/>
        </w:rPr>
      </w:pPr>
    </w:p>
    <w:p w14:paraId="0CAB1CC3">
      <w:pPr>
        <w:pStyle w:val="3"/>
        <w:spacing w:line="400" w:lineRule="exact"/>
        <w:jc w:val="center"/>
        <w:rPr>
          <w:rFonts w:ascii="Times New Roman" w:hAnsi="Times New Roman"/>
          <w:sz w:val="36"/>
        </w:rPr>
      </w:pPr>
      <w:bookmarkStart w:id="12" w:name="_Toc62563644"/>
      <w:r>
        <w:rPr>
          <w:rFonts w:ascii="Times New Roman" w:hAnsi="Times New Roman" w:eastAsia="宋体"/>
          <w:sz w:val="36"/>
        </w:rPr>
        <w:t>第一章  土地定级技术路线和技术方法</w:t>
      </w:r>
      <w:bookmarkEnd w:id="12"/>
    </w:p>
    <w:p w14:paraId="2D997215">
      <w:pPr>
        <w:pStyle w:val="4"/>
        <w:numPr>
          <w:ilvl w:val="0"/>
          <w:numId w:val="0"/>
        </w:numPr>
        <w:spacing w:line="380" w:lineRule="exact"/>
        <w:jc w:val="center"/>
        <w:rPr>
          <w:rFonts w:eastAsia="仿宋_GB2312"/>
          <w:szCs w:val="21"/>
        </w:rPr>
      </w:pPr>
      <w:bookmarkStart w:id="13" w:name="_Toc62563645"/>
      <w:r>
        <w:rPr>
          <w:rFonts w:eastAsia="仿宋_GB2312"/>
          <w:bCs w:val="0"/>
        </w:rPr>
        <w:t>第一节  土地定级原则</w:t>
      </w:r>
      <w:bookmarkEnd w:id="13"/>
    </w:p>
    <w:p w14:paraId="54458A0C">
      <w:pPr>
        <w:pStyle w:val="20"/>
        <w:spacing w:line="480" w:lineRule="exact"/>
        <w:ind w:firstLine="560" w:firstLineChars="200"/>
        <w:rPr>
          <w:rFonts w:ascii="楷体" w:hAnsi="楷体" w:eastAsia="楷体" w:cs="Times New Roman"/>
          <w:sz w:val="28"/>
        </w:rPr>
      </w:pPr>
      <w:r>
        <w:rPr>
          <w:rFonts w:ascii="楷体" w:hAnsi="楷体" w:eastAsia="楷体" w:cs="Times New Roman"/>
          <w:sz w:val="28"/>
        </w:rPr>
        <w:t>参照国家标准《城镇土地分等定级规程》（</w:t>
      </w:r>
      <w:r>
        <w:rPr>
          <w:rFonts w:ascii="Times New Roman" w:hAnsi="Times New Roman" w:eastAsia="楷体" w:cs="Times New Roman"/>
          <w:sz w:val="28"/>
        </w:rPr>
        <w:t>GB/T 18507-2014</w:t>
      </w:r>
      <w:r>
        <w:rPr>
          <w:rFonts w:ascii="楷体" w:hAnsi="楷体" w:eastAsia="楷体" w:cs="Times New Roman"/>
          <w:sz w:val="28"/>
        </w:rPr>
        <w:t>）要求以及</w:t>
      </w:r>
      <w:r>
        <w:rPr>
          <w:rFonts w:hint="eastAsia" w:ascii="楷体" w:hAnsi="楷体" w:eastAsia="楷体" w:cs="宋体"/>
          <w:sz w:val="28"/>
        </w:rPr>
        <w:t>埇</w:t>
      </w:r>
      <w:r>
        <w:rPr>
          <w:rFonts w:hint="eastAsia" w:ascii="楷体" w:hAnsi="楷体" w:eastAsia="楷体" w:cs="楷体_GB2312"/>
          <w:sz w:val="28"/>
        </w:rPr>
        <w:t>桥区</w:t>
      </w:r>
      <w:r>
        <w:rPr>
          <w:rFonts w:ascii="楷体" w:hAnsi="楷体" w:eastAsia="楷体" w:cs="Times New Roman"/>
          <w:sz w:val="28"/>
        </w:rPr>
        <w:t>各乡镇的实际情况，本次采取综合定级，在土地定级过程中，主要遵循以下基本原则：</w:t>
      </w:r>
    </w:p>
    <w:p w14:paraId="52F5B918">
      <w:pPr>
        <w:pStyle w:val="20"/>
        <w:spacing w:line="480" w:lineRule="exact"/>
        <w:rPr>
          <w:rFonts w:ascii="Times New Roman" w:hAnsi="Times New Roman" w:cs="Times New Roman"/>
          <w:b/>
          <w:sz w:val="28"/>
        </w:rPr>
      </w:pPr>
      <w:r>
        <w:rPr>
          <w:rFonts w:ascii="Times New Roman" w:hAnsi="Times New Roman" w:cs="Times New Roman"/>
          <w:b/>
          <w:sz w:val="28"/>
        </w:rPr>
        <w:t>一、综合分析与主导因素原则</w:t>
      </w:r>
    </w:p>
    <w:p w14:paraId="5803D315">
      <w:pPr>
        <w:pStyle w:val="20"/>
        <w:spacing w:line="480" w:lineRule="exact"/>
        <w:ind w:firstLine="560" w:firstLineChars="200"/>
        <w:rPr>
          <w:rFonts w:ascii="楷体" w:hAnsi="楷体" w:eastAsia="楷体" w:cs="Times New Roman"/>
          <w:sz w:val="28"/>
        </w:rPr>
      </w:pPr>
      <w:r>
        <w:rPr>
          <w:rFonts w:ascii="楷体" w:hAnsi="楷体" w:eastAsia="楷体" w:cs="Times New Roman"/>
          <w:sz w:val="28"/>
        </w:rPr>
        <w:t>城镇土地质量的优劣是由自然、社会、经济等各方面的因素综合作用造成的。因此，土地定级必须综合考虑各种自然、社会、经济因素，对这些因素进行综合分析后划分土地级别；另一方面，各种因素对土地质量的影响强度存在着较大差异，所以在土地定级中既要考虑各因素的综合影响，更要考虑对土地质量起主导作用的因素，突出主导因素的影响。</w:t>
      </w:r>
    </w:p>
    <w:p w14:paraId="169A04B4">
      <w:pPr>
        <w:pStyle w:val="20"/>
        <w:spacing w:line="480" w:lineRule="exact"/>
        <w:rPr>
          <w:rFonts w:ascii="Times New Roman" w:hAnsi="Times New Roman" w:cs="Times New Roman"/>
          <w:b/>
          <w:sz w:val="28"/>
        </w:rPr>
      </w:pPr>
      <w:r>
        <w:rPr>
          <w:rFonts w:ascii="Times New Roman" w:hAnsi="Times New Roman" w:cs="Times New Roman"/>
          <w:b/>
          <w:sz w:val="28"/>
        </w:rPr>
        <w:t>二、地域分异原则</w:t>
      </w:r>
    </w:p>
    <w:p w14:paraId="2B75547F">
      <w:pPr>
        <w:pStyle w:val="20"/>
        <w:spacing w:line="480" w:lineRule="exact"/>
        <w:ind w:firstLine="560" w:firstLineChars="200"/>
        <w:rPr>
          <w:rFonts w:ascii="楷体" w:hAnsi="楷体" w:eastAsia="楷体" w:cs="Times New Roman"/>
          <w:sz w:val="28"/>
        </w:rPr>
      </w:pPr>
      <w:r>
        <w:rPr>
          <w:rFonts w:ascii="楷体" w:hAnsi="楷体" w:eastAsia="楷体" w:cs="Times New Roman"/>
          <w:sz w:val="28"/>
        </w:rPr>
        <w:t>城镇土地区位的不同，使得同类经济活动的收益大不相同，它从本质上反映了土地质量的差异。城镇土地定级应掌握土地区位条件和土地特性的分布与组合规律，分析由于区位条件不同形成的土地质量差异，将类似地域划归同一土地级别。</w:t>
      </w:r>
    </w:p>
    <w:p w14:paraId="37AAE8CB">
      <w:pPr>
        <w:pStyle w:val="20"/>
        <w:spacing w:line="480" w:lineRule="exact"/>
        <w:rPr>
          <w:rFonts w:ascii="Times New Roman" w:hAnsi="Times New Roman" w:cs="Times New Roman"/>
          <w:b/>
          <w:sz w:val="28"/>
        </w:rPr>
      </w:pPr>
      <w:r>
        <w:rPr>
          <w:rFonts w:ascii="Times New Roman" w:hAnsi="Times New Roman" w:cs="Times New Roman"/>
          <w:b/>
          <w:sz w:val="28"/>
        </w:rPr>
        <w:t>三、土地收益差异原则</w:t>
      </w:r>
    </w:p>
    <w:p w14:paraId="00735E10">
      <w:pPr>
        <w:pStyle w:val="20"/>
        <w:spacing w:line="480" w:lineRule="exact"/>
        <w:ind w:firstLine="560" w:firstLineChars="200"/>
        <w:rPr>
          <w:rFonts w:ascii="楷体" w:hAnsi="楷体" w:eastAsia="楷体" w:cs="Times New Roman"/>
          <w:sz w:val="28"/>
        </w:rPr>
      </w:pPr>
      <w:r>
        <w:rPr>
          <w:rFonts w:ascii="楷体" w:hAnsi="楷体" w:eastAsia="楷体" w:cs="Times New Roman"/>
          <w:sz w:val="28"/>
        </w:rPr>
        <w:t>城镇土地级别应明显揭示土地收益的空间分布规律，各个土地级别之间应存在着明显的收益差异。因此，在土地级别初步划分后，应根据不同类型交易资料测算不同级别的土地收益，进一步验证土地级别划分的合理性。</w:t>
      </w:r>
    </w:p>
    <w:p w14:paraId="01B3CC65">
      <w:pPr>
        <w:pStyle w:val="20"/>
        <w:spacing w:line="480" w:lineRule="exact"/>
        <w:rPr>
          <w:rFonts w:ascii="Times New Roman" w:hAnsi="Times New Roman" w:cs="Times New Roman"/>
          <w:b/>
          <w:sz w:val="28"/>
        </w:rPr>
      </w:pPr>
      <w:r>
        <w:rPr>
          <w:rFonts w:ascii="Times New Roman" w:hAnsi="Times New Roman" w:cs="Times New Roman"/>
          <w:b/>
          <w:sz w:val="28"/>
        </w:rPr>
        <w:t>四、定量与定性分析结合原则</w:t>
      </w:r>
    </w:p>
    <w:p w14:paraId="6A79E324">
      <w:pPr>
        <w:pStyle w:val="20"/>
        <w:spacing w:line="480" w:lineRule="exact"/>
        <w:ind w:firstLine="560" w:firstLineChars="200"/>
        <w:rPr>
          <w:rFonts w:ascii="楷体" w:hAnsi="楷体" w:eastAsia="楷体" w:cs="Times New Roman"/>
          <w:sz w:val="28"/>
        </w:rPr>
      </w:pPr>
      <w:r>
        <w:rPr>
          <w:rFonts w:ascii="楷体" w:hAnsi="楷体" w:eastAsia="楷体" w:cs="Times New Roman"/>
          <w:sz w:val="28"/>
        </w:rPr>
        <w:t>为使土地定级的结果与实际情况基本一致，必须对能够量化的因素加以定量化，某些难以定量的社会、经济与环境因素因子先定性分析，然后量化，以定量分析为主，尽量减少土地定级分析的主观性，提高土地定级的精度。另外，在确定土地级别的初步方案时以定量分析为主，土地级别的调整和最终定案以定性分析为主。</w:t>
      </w:r>
    </w:p>
    <w:p w14:paraId="16761613">
      <w:pPr>
        <w:pStyle w:val="20"/>
        <w:spacing w:line="480" w:lineRule="exact"/>
        <w:rPr>
          <w:rFonts w:ascii="Times New Roman" w:hAnsi="Times New Roman" w:cs="Times New Roman"/>
          <w:b/>
          <w:sz w:val="28"/>
        </w:rPr>
      </w:pPr>
      <w:r>
        <w:rPr>
          <w:rFonts w:ascii="Times New Roman" w:hAnsi="Times New Roman" w:cs="Times New Roman"/>
          <w:b/>
          <w:sz w:val="28"/>
        </w:rPr>
        <w:t>五、定级与估价相结合的原则</w:t>
      </w:r>
    </w:p>
    <w:p w14:paraId="716B3779">
      <w:pPr>
        <w:pStyle w:val="20"/>
        <w:spacing w:line="480" w:lineRule="exact"/>
        <w:ind w:firstLine="560" w:firstLineChars="200"/>
        <w:rPr>
          <w:rFonts w:ascii="楷体" w:hAnsi="楷体" w:eastAsia="楷体" w:cs="Times New Roman"/>
          <w:sz w:val="28"/>
        </w:rPr>
      </w:pPr>
      <w:r>
        <w:rPr>
          <w:rFonts w:ascii="楷体" w:hAnsi="楷体" w:eastAsia="楷体" w:cs="Times New Roman"/>
          <w:sz w:val="28"/>
        </w:rPr>
        <w:t>以土地定级结果为基础，一方面大幅度简化地价均质区域的评价与划分，另一方面充分利用收集到的地价样点资料，评估出各土地级别基准地价，再以基准地价验证、校核土地定级成果。</w:t>
      </w:r>
    </w:p>
    <w:p w14:paraId="5E8D2DC1">
      <w:pPr>
        <w:pStyle w:val="20"/>
        <w:spacing w:line="480" w:lineRule="exact"/>
        <w:rPr>
          <w:rFonts w:ascii="Times New Roman" w:hAnsi="Times New Roman" w:cs="Times New Roman"/>
          <w:b/>
          <w:sz w:val="28"/>
        </w:rPr>
      </w:pPr>
      <w:r>
        <w:rPr>
          <w:rFonts w:ascii="Times New Roman" w:hAnsi="Times New Roman" w:cs="Times New Roman"/>
          <w:b/>
          <w:sz w:val="28"/>
        </w:rPr>
        <w:t>六、因地制宜原则</w:t>
      </w:r>
    </w:p>
    <w:p w14:paraId="08C2ACE1">
      <w:pPr>
        <w:pStyle w:val="20"/>
        <w:spacing w:line="480" w:lineRule="exact"/>
        <w:ind w:firstLine="560" w:firstLineChars="200"/>
        <w:rPr>
          <w:rFonts w:ascii="楷体" w:hAnsi="楷体" w:eastAsia="楷体" w:cs="Times New Roman"/>
          <w:sz w:val="28"/>
        </w:rPr>
      </w:pPr>
      <w:r>
        <w:rPr>
          <w:rFonts w:ascii="楷体" w:hAnsi="楷体" w:eastAsia="楷体" w:cs="Times New Roman"/>
          <w:sz w:val="28"/>
        </w:rPr>
        <w:t>土地定级既要遵循国家规定的技术程序和作业规范，又要结合评价区的实际情况，以确保土地定级成果的客观性和实用性。</w:t>
      </w:r>
    </w:p>
    <w:p w14:paraId="3629345B">
      <w:pPr>
        <w:pStyle w:val="20"/>
        <w:spacing w:line="480" w:lineRule="exact"/>
        <w:ind w:firstLine="560" w:firstLineChars="200"/>
        <w:rPr>
          <w:rFonts w:ascii="Times New Roman" w:hAnsi="Times New Roman" w:eastAsia="仿宋_GB2312" w:cs="Times New Roman"/>
          <w:sz w:val="28"/>
        </w:rPr>
      </w:pPr>
    </w:p>
    <w:p w14:paraId="6A565909">
      <w:pPr>
        <w:pStyle w:val="4"/>
        <w:numPr>
          <w:ilvl w:val="0"/>
          <w:numId w:val="0"/>
        </w:numPr>
        <w:spacing w:line="380" w:lineRule="exact"/>
        <w:jc w:val="center"/>
        <w:rPr>
          <w:rFonts w:eastAsia="仿宋_GB2312"/>
          <w:bCs w:val="0"/>
        </w:rPr>
      </w:pPr>
      <w:bookmarkStart w:id="14" w:name="_Toc62563646"/>
      <w:r>
        <w:rPr>
          <w:rFonts w:eastAsia="仿宋_GB2312"/>
          <w:bCs w:val="0"/>
        </w:rPr>
        <w:t>第二节  土地定级的技术路线和技术方法</w:t>
      </w:r>
      <w:bookmarkEnd w:id="14"/>
    </w:p>
    <w:p w14:paraId="66AC9AE8">
      <w:pPr>
        <w:pStyle w:val="20"/>
        <w:spacing w:line="480" w:lineRule="exact"/>
        <w:rPr>
          <w:rFonts w:ascii="Times New Roman" w:hAnsi="Times New Roman" w:cs="Times New Roman"/>
          <w:b/>
          <w:sz w:val="28"/>
        </w:rPr>
      </w:pPr>
      <w:r>
        <w:rPr>
          <w:rFonts w:ascii="Times New Roman" w:hAnsi="Times New Roman" w:cs="Times New Roman"/>
          <w:b/>
          <w:sz w:val="28"/>
        </w:rPr>
        <w:t>一、技术路线</w:t>
      </w:r>
    </w:p>
    <w:p w14:paraId="792425E9">
      <w:pPr>
        <w:pStyle w:val="20"/>
        <w:spacing w:line="480" w:lineRule="exact"/>
        <w:ind w:firstLine="560" w:firstLineChars="200"/>
        <w:rPr>
          <w:rFonts w:ascii="楷体" w:hAnsi="楷体" w:eastAsia="楷体" w:cs="Times New Roman"/>
          <w:sz w:val="28"/>
        </w:rPr>
      </w:pPr>
      <w:r>
        <w:rPr>
          <w:rFonts w:ascii="楷体" w:hAnsi="楷体" w:eastAsia="楷体" w:cs="Times New Roman"/>
          <w:sz w:val="28"/>
        </w:rPr>
        <w:t>本次土地定级的技术路线可概括为：在全面收集影响各乡镇镇区土地质量的因素因子资料的基础上，应用LD软件技术和方法，建立上述各乡镇镇区土地定级工作数据库。然后，运用多因素多因子综合评价方法，根据影响土地级别的因素因子的相似性和差异性分别评定出各乡镇的镇区土地级别。最后根据土地市场交易资料测算和专家评议等多种方法相互验证、相互补充，确定土地级别。</w:t>
      </w:r>
    </w:p>
    <w:p w14:paraId="75AF5F1C">
      <w:pPr>
        <w:pStyle w:val="20"/>
        <w:spacing w:line="480" w:lineRule="exact"/>
        <w:rPr>
          <w:rFonts w:ascii="Times New Roman" w:hAnsi="Times New Roman" w:cs="Times New Roman"/>
          <w:b/>
          <w:sz w:val="28"/>
        </w:rPr>
      </w:pPr>
      <w:r>
        <w:rPr>
          <w:rFonts w:ascii="Times New Roman" w:hAnsi="Times New Roman" w:cs="Times New Roman"/>
          <w:b/>
          <w:sz w:val="28"/>
        </w:rPr>
        <w:t>二、技术方法</w:t>
      </w:r>
    </w:p>
    <w:p w14:paraId="405955CF">
      <w:pPr>
        <w:pStyle w:val="20"/>
        <w:spacing w:line="480" w:lineRule="exact"/>
        <w:ind w:firstLine="560" w:firstLineChars="200"/>
        <w:rPr>
          <w:rFonts w:ascii="Times New Roman" w:hAnsi="Times New Roman" w:eastAsia="楷体" w:cs="Times New Roman"/>
          <w:sz w:val="28"/>
        </w:rPr>
      </w:pPr>
      <w:r>
        <w:rPr>
          <w:rFonts w:ascii="Times New Roman" w:hAnsi="Times New Roman" w:eastAsia="楷体" w:cs="Times New Roman"/>
          <w:sz w:val="28"/>
        </w:rPr>
        <w:t>1、应用LD软件技术和方法，分别建立埇桥区各乡镇镇区土地定级工作数据库。本次定级采用 “城镇土地定级与基准地价更新工作数据库”。建立的土地定级工作数据库不仅是本次土地定级的数据和技术支撑，也是今后土地定级成果更新的基础。</w:t>
      </w:r>
    </w:p>
    <w:p w14:paraId="05B5492E">
      <w:pPr>
        <w:pStyle w:val="20"/>
        <w:spacing w:line="480" w:lineRule="exact"/>
        <w:ind w:firstLine="560" w:firstLineChars="200"/>
        <w:rPr>
          <w:rFonts w:ascii="Times New Roman" w:hAnsi="Times New Roman" w:eastAsia="楷体" w:cs="Times New Roman"/>
          <w:sz w:val="28"/>
        </w:rPr>
      </w:pPr>
      <w:r>
        <w:rPr>
          <w:rFonts w:ascii="Times New Roman" w:hAnsi="Times New Roman" w:eastAsia="楷体" w:cs="Times New Roman"/>
          <w:sz w:val="28"/>
        </w:rPr>
        <w:t>2、根据国家标准《城镇土地分等定级规程》（GB/T 18507-2014）中规定的因素因子体系，采用特尔菲测定法，确定影响土地定级的因素因子及其权重。</w:t>
      </w:r>
    </w:p>
    <w:p w14:paraId="5A841A70">
      <w:pPr>
        <w:pStyle w:val="20"/>
        <w:spacing w:line="480" w:lineRule="exact"/>
        <w:ind w:firstLine="560" w:firstLineChars="200"/>
        <w:rPr>
          <w:rFonts w:ascii="Times New Roman" w:hAnsi="Times New Roman" w:eastAsia="楷体" w:cs="Times New Roman"/>
          <w:sz w:val="28"/>
        </w:rPr>
      </w:pPr>
      <w:r>
        <w:rPr>
          <w:rFonts w:ascii="Times New Roman" w:hAnsi="Times New Roman" w:eastAsia="楷体" w:cs="Times New Roman"/>
          <w:sz w:val="28"/>
        </w:rPr>
        <w:t>3、采用相对值法和距离递减法计算土地定级因素的作用分，按[0-100]区间赋分，因素指标优劣与作用分的关系按正相关设置，因素条件越好，作用分越高。</w:t>
      </w:r>
    </w:p>
    <w:p w14:paraId="470972F6">
      <w:pPr>
        <w:pStyle w:val="20"/>
        <w:spacing w:line="480" w:lineRule="exact"/>
        <w:ind w:firstLine="560" w:firstLineChars="200"/>
        <w:rPr>
          <w:rFonts w:ascii="Times New Roman" w:hAnsi="Times New Roman" w:eastAsia="楷体" w:cs="Times New Roman"/>
          <w:sz w:val="28"/>
        </w:rPr>
      </w:pPr>
      <w:r>
        <w:rPr>
          <w:rFonts w:ascii="Times New Roman" w:hAnsi="Times New Roman" w:eastAsia="楷体" w:cs="Times New Roman"/>
          <w:sz w:val="28"/>
        </w:rPr>
        <w:t>4、采用网格法将评价区划分为若干土地定级单元。</w:t>
      </w:r>
    </w:p>
    <w:p w14:paraId="16729570">
      <w:pPr>
        <w:pStyle w:val="20"/>
        <w:spacing w:line="480" w:lineRule="exact"/>
        <w:ind w:firstLine="560" w:firstLineChars="200"/>
        <w:rPr>
          <w:rFonts w:ascii="Times New Roman" w:hAnsi="Times New Roman" w:eastAsia="楷体" w:cs="Times New Roman"/>
          <w:sz w:val="28"/>
        </w:rPr>
      </w:pPr>
      <w:r>
        <w:rPr>
          <w:rFonts w:ascii="Times New Roman" w:hAnsi="Times New Roman" w:eastAsia="楷体" w:cs="Times New Roman"/>
          <w:sz w:val="28"/>
        </w:rPr>
        <w:t>5、采用空间数字叠置技术，进行多因素多因子分值加权求和，计算定级因素总分值和定级单元总分值。</w:t>
      </w:r>
    </w:p>
    <w:p w14:paraId="2CD94828">
      <w:pPr>
        <w:pStyle w:val="20"/>
        <w:spacing w:line="480" w:lineRule="exact"/>
        <w:ind w:firstLine="560" w:firstLineChars="200"/>
        <w:rPr>
          <w:rFonts w:ascii="Times New Roman" w:hAnsi="Times New Roman" w:eastAsia="楷体" w:cs="Times New Roman"/>
          <w:sz w:val="28"/>
        </w:rPr>
      </w:pPr>
      <w:r>
        <w:rPr>
          <w:rFonts w:ascii="Times New Roman" w:hAnsi="Times New Roman" w:eastAsia="楷体" w:cs="Times New Roman"/>
          <w:sz w:val="28"/>
        </w:rPr>
        <w:t>6、根据总分频率直方图，分析土地定级因素因子综合影响强度的空间分布和分异规律，初步划分出土地级别。</w:t>
      </w:r>
    </w:p>
    <w:p w14:paraId="29BF1401">
      <w:pPr>
        <w:pStyle w:val="20"/>
        <w:spacing w:line="480" w:lineRule="exact"/>
        <w:ind w:firstLine="560" w:firstLineChars="200"/>
        <w:rPr>
          <w:rFonts w:ascii="Times New Roman" w:hAnsi="Times New Roman" w:eastAsia="楷体" w:cs="Times New Roman"/>
          <w:sz w:val="28"/>
        </w:rPr>
      </w:pPr>
      <w:r>
        <w:rPr>
          <w:rFonts w:ascii="Times New Roman" w:hAnsi="Times New Roman" w:eastAsia="楷体" w:cs="Times New Roman"/>
          <w:sz w:val="28"/>
        </w:rPr>
        <w:t>7、采用土地市场交易资料测算法测算各类土地的级别基准地价，进行理论验证，并通过专家评议的方法确定所划分的土地级别。</w:t>
      </w:r>
    </w:p>
    <w:p w14:paraId="7DBD7050">
      <w:pPr>
        <w:pStyle w:val="20"/>
        <w:spacing w:line="480" w:lineRule="exact"/>
        <w:ind w:firstLine="560" w:firstLineChars="200"/>
        <w:rPr>
          <w:rFonts w:ascii="Times New Roman" w:hAnsi="Times New Roman" w:eastAsia="楷体" w:cs="Times New Roman"/>
          <w:sz w:val="28"/>
        </w:rPr>
      </w:pPr>
      <w:r>
        <w:rPr>
          <w:rFonts w:ascii="Times New Roman" w:hAnsi="Times New Roman" w:eastAsia="楷体" w:cs="Times New Roman"/>
          <w:sz w:val="28"/>
        </w:rPr>
        <w:t>8、采用等值线法、晕线法等计算机制图技术，自动绘制土地定级因素因子作用分值图、总分图和土地级别图。</w:t>
      </w:r>
    </w:p>
    <w:p w14:paraId="2615C270">
      <w:pPr>
        <w:pStyle w:val="20"/>
        <w:spacing w:line="480" w:lineRule="exact"/>
        <w:ind w:firstLine="560" w:firstLineChars="200"/>
        <w:rPr>
          <w:rFonts w:ascii="Times New Roman" w:hAnsi="Times New Roman" w:eastAsia="楷体_GB2312" w:cs="Times New Roman"/>
          <w:sz w:val="28"/>
        </w:rPr>
      </w:pPr>
    </w:p>
    <w:p w14:paraId="280809E6">
      <w:pPr>
        <w:pStyle w:val="4"/>
        <w:numPr>
          <w:ilvl w:val="0"/>
          <w:numId w:val="0"/>
        </w:numPr>
        <w:spacing w:line="380" w:lineRule="exact"/>
        <w:jc w:val="center"/>
        <w:rPr>
          <w:rFonts w:eastAsia="仿宋_GB2312"/>
          <w:bCs w:val="0"/>
        </w:rPr>
      </w:pPr>
      <w:bookmarkStart w:id="15" w:name="_Toc62563647"/>
      <w:r>
        <w:rPr>
          <w:rFonts w:eastAsia="仿宋_GB2312"/>
          <w:bCs w:val="0"/>
        </w:rPr>
        <w:t>第三节  土地定级的技术程序和技术内容</w:t>
      </w:r>
      <w:bookmarkEnd w:id="15"/>
    </w:p>
    <w:p w14:paraId="45C41718">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参照国家标准《城镇土地分等定级规程》（GB/T 18507-2014），土地定级的技术程序和技术内容为：</w:t>
      </w:r>
    </w:p>
    <w:p w14:paraId="0211A67D">
      <w:pPr>
        <w:pStyle w:val="20"/>
        <w:spacing w:line="480" w:lineRule="exact"/>
        <w:ind w:firstLine="560" w:firstLineChars="200"/>
        <w:rPr>
          <w:rFonts w:ascii="Times New Roman" w:hAnsi="Times New Roman" w:eastAsia="楷体_GB2312" w:cs="Times New Roman"/>
          <w:sz w:val="28"/>
        </w:rPr>
      </w:pPr>
    </w:p>
    <w:p w14:paraId="0AB88144">
      <w:pPr>
        <w:pStyle w:val="20"/>
        <w:spacing w:line="480" w:lineRule="exact"/>
        <w:rPr>
          <w:rFonts w:ascii="Times New Roman" w:hAnsi="Times New Roman" w:cs="Times New Roman"/>
          <w:b/>
          <w:sz w:val="28"/>
        </w:rPr>
      </w:pPr>
      <w:r>
        <w:rPr>
          <w:rFonts w:ascii="Times New Roman" w:hAnsi="Times New Roman" w:cs="Times New Roman"/>
          <w:b/>
          <w:sz w:val="28"/>
        </w:rPr>
        <w:t>一、编制工作底图</w:t>
      </w:r>
    </w:p>
    <w:p w14:paraId="620EEEBE">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利用评价区现势性强的城镇地籍图、城镇规划图等图件资料，经实地调绘、修补测</w:t>
      </w:r>
      <w:r>
        <w:rPr>
          <w:rFonts w:hint="eastAsia" w:ascii="Times New Roman" w:hAnsi="Times New Roman" w:eastAsia="楷体_GB2312" w:cs="Times New Roman"/>
          <w:sz w:val="28"/>
        </w:rPr>
        <w:t>量</w:t>
      </w:r>
      <w:r>
        <w:rPr>
          <w:rFonts w:ascii="Times New Roman" w:hAnsi="Times New Roman" w:eastAsia="楷体_GB2312" w:cs="Times New Roman"/>
          <w:sz w:val="28"/>
        </w:rPr>
        <w:t>，分别编制工作底图。利用数字化方式建立其图形工作数据库。各乡镇成果图件出图图纸型号、出图比例见下表1-1-1：</w:t>
      </w:r>
    </w:p>
    <w:p w14:paraId="73E75BC2">
      <w:pPr>
        <w:pStyle w:val="20"/>
        <w:spacing w:line="480" w:lineRule="exact"/>
        <w:jc w:val="center"/>
        <w:rPr>
          <w:rFonts w:ascii="Times New Roman" w:hAnsi="Times New Roman" w:eastAsia="黑体" w:cs="Times New Roman"/>
          <w:sz w:val="28"/>
        </w:rPr>
      </w:pPr>
      <w:r>
        <w:rPr>
          <w:rFonts w:ascii="Times New Roman" w:hAnsi="Times New Roman" w:eastAsia="黑体" w:cs="Times New Roman"/>
          <w:sz w:val="28"/>
        </w:rPr>
        <w:t>表1-1-1  埇桥区各乡镇土地定级与基准地价更新工作底图</w:t>
      </w:r>
    </w:p>
    <w:p w14:paraId="31754760">
      <w:pPr>
        <w:pStyle w:val="20"/>
        <w:spacing w:line="0" w:lineRule="atLeast"/>
        <w:jc w:val="center"/>
        <w:rPr>
          <w:rFonts w:ascii="Times New Roman" w:hAnsi="Times New Roman" w:eastAsia="仿宋_GB2312" w:cs="Times New Roman"/>
          <w:sz w:val="28"/>
        </w:rPr>
      </w:pPr>
      <w:r>
        <w:rPr>
          <w:rFonts w:ascii="Times New Roman" w:hAnsi="Times New Roman" w:eastAsia="黑体" w:cs="Times New Roman"/>
          <w:sz w:val="28"/>
        </w:rPr>
        <w:t>图纸型号与比例尺一览表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8"/>
        <w:gridCol w:w="1905"/>
        <w:gridCol w:w="2845"/>
        <w:gridCol w:w="2845"/>
      </w:tblGrid>
      <w:tr w14:paraId="1DE5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vMerge w:val="restart"/>
            <w:noWrap w:val="0"/>
            <w:vAlign w:val="center"/>
          </w:tcPr>
          <w:p w14:paraId="29BF1BF1">
            <w:pPr>
              <w:spacing w:line="320" w:lineRule="exact"/>
              <w:jc w:val="center"/>
              <w:rPr>
                <w:rFonts w:eastAsia="楷体_GB2312"/>
                <w:spacing w:val="-20"/>
                <w:sz w:val="24"/>
              </w:rPr>
            </w:pPr>
            <w:r>
              <w:rPr>
                <w:rFonts w:eastAsia="楷体_GB2312"/>
                <w:spacing w:val="-20"/>
                <w:sz w:val="24"/>
              </w:rPr>
              <w:t>城镇编号</w:t>
            </w:r>
          </w:p>
        </w:tc>
        <w:tc>
          <w:tcPr>
            <w:tcW w:w="1058" w:type="pct"/>
            <w:vMerge w:val="restart"/>
            <w:noWrap w:val="0"/>
            <w:vAlign w:val="center"/>
          </w:tcPr>
          <w:p w14:paraId="5EA3D144">
            <w:pPr>
              <w:spacing w:line="320" w:lineRule="exact"/>
              <w:jc w:val="center"/>
              <w:rPr>
                <w:rFonts w:eastAsia="楷体_GB2312"/>
                <w:spacing w:val="-20"/>
                <w:sz w:val="24"/>
              </w:rPr>
            </w:pPr>
            <w:r>
              <w:rPr>
                <w:rFonts w:eastAsia="楷体_GB2312"/>
                <w:spacing w:val="-20"/>
                <w:sz w:val="24"/>
              </w:rPr>
              <w:t>乡镇名称</w:t>
            </w:r>
          </w:p>
        </w:tc>
        <w:tc>
          <w:tcPr>
            <w:tcW w:w="3160" w:type="pct"/>
            <w:gridSpan w:val="2"/>
            <w:noWrap w:val="0"/>
            <w:vAlign w:val="center"/>
          </w:tcPr>
          <w:p w14:paraId="088E037F">
            <w:pPr>
              <w:spacing w:line="320" w:lineRule="exact"/>
              <w:jc w:val="center"/>
              <w:rPr>
                <w:rFonts w:eastAsia="楷体_GB2312"/>
                <w:spacing w:val="-20"/>
                <w:sz w:val="24"/>
              </w:rPr>
            </w:pPr>
            <w:r>
              <w:rPr>
                <w:rFonts w:eastAsia="楷体_GB2312"/>
                <w:spacing w:val="-20"/>
                <w:sz w:val="24"/>
              </w:rPr>
              <w:t>出图比例尺</w:t>
            </w:r>
          </w:p>
        </w:tc>
      </w:tr>
      <w:tr w14:paraId="00FE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vMerge w:val="continue"/>
            <w:noWrap w:val="0"/>
            <w:vAlign w:val="center"/>
          </w:tcPr>
          <w:p w14:paraId="0522007D">
            <w:pPr>
              <w:spacing w:line="320" w:lineRule="exact"/>
              <w:jc w:val="center"/>
              <w:rPr>
                <w:rFonts w:eastAsia="楷体_GB2312"/>
                <w:spacing w:val="-20"/>
                <w:sz w:val="24"/>
              </w:rPr>
            </w:pPr>
          </w:p>
        </w:tc>
        <w:tc>
          <w:tcPr>
            <w:tcW w:w="1058" w:type="pct"/>
            <w:vMerge w:val="continue"/>
            <w:noWrap w:val="0"/>
            <w:vAlign w:val="center"/>
          </w:tcPr>
          <w:p w14:paraId="7CB68F91">
            <w:pPr>
              <w:spacing w:line="320" w:lineRule="exact"/>
              <w:jc w:val="center"/>
              <w:rPr>
                <w:rFonts w:eastAsia="楷体_GB2312"/>
                <w:spacing w:val="-20"/>
                <w:sz w:val="24"/>
              </w:rPr>
            </w:pPr>
          </w:p>
        </w:tc>
        <w:tc>
          <w:tcPr>
            <w:tcW w:w="1580" w:type="pct"/>
            <w:noWrap w:val="0"/>
            <w:vAlign w:val="center"/>
          </w:tcPr>
          <w:p w14:paraId="04E0D1E7">
            <w:pPr>
              <w:spacing w:line="320" w:lineRule="exact"/>
              <w:jc w:val="center"/>
              <w:rPr>
                <w:rFonts w:eastAsia="楷体_GB2312"/>
                <w:sz w:val="24"/>
              </w:rPr>
            </w:pPr>
            <w:r>
              <w:rPr>
                <w:rFonts w:eastAsia="楷体_GB2312"/>
                <w:sz w:val="24"/>
              </w:rPr>
              <w:t>A1型号图纸</w:t>
            </w:r>
          </w:p>
        </w:tc>
        <w:tc>
          <w:tcPr>
            <w:tcW w:w="1580" w:type="pct"/>
            <w:noWrap w:val="0"/>
            <w:vAlign w:val="center"/>
          </w:tcPr>
          <w:p w14:paraId="08F9BD02">
            <w:pPr>
              <w:spacing w:line="320" w:lineRule="exact"/>
              <w:jc w:val="center"/>
              <w:rPr>
                <w:rFonts w:eastAsia="楷体_GB2312"/>
                <w:sz w:val="24"/>
              </w:rPr>
            </w:pPr>
            <w:r>
              <w:rPr>
                <w:rFonts w:eastAsia="楷体_GB2312"/>
                <w:sz w:val="24"/>
              </w:rPr>
              <w:t>A3型号图纸</w:t>
            </w:r>
          </w:p>
        </w:tc>
      </w:tr>
      <w:tr w14:paraId="5B4B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041EE66A">
            <w:pPr>
              <w:spacing w:line="320" w:lineRule="exact"/>
              <w:jc w:val="center"/>
              <w:rPr>
                <w:rFonts w:eastAsia="楷体_GB2312"/>
                <w:spacing w:val="-20"/>
                <w:sz w:val="24"/>
              </w:rPr>
            </w:pPr>
            <w:r>
              <w:rPr>
                <w:rFonts w:eastAsia="楷体_GB2312"/>
                <w:spacing w:val="-20"/>
                <w:sz w:val="24"/>
              </w:rPr>
              <w:t>1</w:t>
            </w:r>
          </w:p>
        </w:tc>
        <w:tc>
          <w:tcPr>
            <w:tcW w:w="1058" w:type="pct"/>
            <w:noWrap w:val="0"/>
            <w:vAlign w:val="center"/>
          </w:tcPr>
          <w:p w14:paraId="484870B7">
            <w:pPr>
              <w:pStyle w:val="20"/>
              <w:jc w:val="center"/>
              <w:rPr>
                <w:rFonts w:ascii="Times New Roman" w:hAnsi="Times New Roman" w:eastAsia="楷体_GB2312"/>
                <w:sz w:val="24"/>
                <w:szCs w:val="24"/>
              </w:rPr>
            </w:pPr>
            <w:r>
              <w:rPr>
                <w:rFonts w:ascii="Times New Roman" w:hAnsi="Times New Roman" w:eastAsia="楷体_GB2312"/>
                <w:sz w:val="24"/>
                <w:szCs w:val="24"/>
              </w:rPr>
              <w:t>符离镇</w:t>
            </w:r>
          </w:p>
        </w:tc>
        <w:tc>
          <w:tcPr>
            <w:tcW w:w="1580" w:type="pct"/>
            <w:noWrap w:val="0"/>
            <w:vAlign w:val="center"/>
          </w:tcPr>
          <w:p w14:paraId="6B3499D6">
            <w:pPr>
              <w:spacing w:line="320" w:lineRule="exact"/>
              <w:jc w:val="center"/>
              <w:rPr>
                <w:rFonts w:eastAsia="楷体_GB2312"/>
                <w:spacing w:val="-20"/>
                <w:sz w:val="24"/>
              </w:rPr>
            </w:pPr>
            <w:r>
              <w:rPr>
                <w:rFonts w:hint="eastAsia" w:eastAsia="楷体_GB2312"/>
                <w:spacing w:val="-20"/>
                <w:sz w:val="24"/>
              </w:rPr>
              <w:t>1:13000</w:t>
            </w:r>
          </w:p>
        </w:tc>
        <w:tc>
          <w:tcPr>
            <w:tcW w:w="1580" w:type="pct"/>
            <w:noWrap w:val="0"/>
            <w:vAlign w:val="center"/>
          </w:tcPr>
          <w:p w14:paraId="7A6FB255">
            <w:pPr>
              <w:spacing w:line="320" w:lineRule="exact"/>
              <w:jc w:val="center"/>
              <w:rPr>
                <w:rFonts w:eastAsia="楷体_GB2312"/>
                <w:spacing w:val="-20"/>
                <w:sz w:val="24"/>
              </w:rPr>
            </w:pPr>
            <w:r>
              <w:rPr>
                <w:rFonts w:hint="eastAsia" w:eastAsia="楷体_GB2312"/>
                <w:spacing w:val="-20"/>
                <w:sz w:val="24"/>
              </w:rPr>
              <w:t>1:26000</w:t>
            </w:r>
          </w:p>
        </w:tc>
      </w:tr>
      <w:tr w14:paraId="7F3BA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77EE7030">
            <w:pPr>
              <w:spacing w:line="320" w:lineRule="exact"/>
              <w:jc w:val="center"/>
              <w:rPr>
                <w:rFonts w:eastAsia="楷体_GB2312"/>
                <w:spacing w:val="-20"/>
                <w:sz w:val="24"/>
              </w:rPr>
            </w:pPr>
            <w:r>
              <w:rPr>
                <w:rFonts w:eastAsia="楷体_GB2312"/>
                <w:spacing w:val="-20"/>
                <w:sz w:val="24"/>
              </w:rPr>
              <w:t>2</w:t>
            </w:r>
          </w:p>
        </w:tc>
        <w:tc>
          <w:tcPr>
            <w:tcW w:w="1058" w:type="pct"/>
            <w:noWrap w:val="0"/>
            <w:vAlign w:val="center"/>
          </w:tcPr>
          <w:p w14:paraId="6E1F5C6C">
            <w:pPr>
              <w:pStyle w:val="20"/>
              <w:jc w:val="center"/>
              <w:rPr>
                <w:rFonts w:ascii="Times New Roman" w:hAnsi="Times New Roman" w:eastAsia="楷体_GB2312"/>
                <w:sz w:val="24"/>
                <w:szCs w:val="24"/>
              </w:rPr>
            </w:pPr>
            <w:r>
              <w:rPr>
                <w:rFonts w:ascii="Times New Roman" w:hAnsi="Times New Roman" w:eastAsia="楷体_GB2312"/>
                <w:sz w:val="24"/>
                <w:szCs w:val="24"/>
              </w:rPr>
              <w:t>朱仙庄镇</w:t>
            </w:r>
          </w:p>
        </w:tc>
        <w:tc>
          <w:tcPr>
            <w:tcW w:w="1580" w:type="pct"/>
            <w:noWrap w:val="0"/>
            <w:vAlign w:val="center"/>
          </w:tcPr>
          <w:p w14:paraId="256309F2">
            <w:pPr>
              <w:spacing w:line="320" w:lineRule="exact"/>
              <w:jc w:val="center"/>
              <w:rPr>
                <w:rFonts w:eastAsia="楷体_GB2312"/>
                <w:spacing w:val="-20"/>
                <w:sz w:val="24"/>
              </w:rPr>
            </w:pPr>
            <w:r>
              <w:rPr>
                <w:rFonts w:hint="eastAsia" w:eastAsia="楷体_GB2312"/>
                <w:spacing w:val="-20"/>
                <w:sz w:val="24"/>
              </w:rPr>
              <w:t>1:15000</w:t>
            </w:r>
          </w:p>
        </w:tc>
        <w:tc>
          <w:tcPr>
            <w:tcW w:w="1580" w:type="pct"/>
            <w:noWrap w:val="0"/>
            <w:vAlign w:val="center"/>
          </w:tcPr>
          <w:p w14:paraId="23B252D0">
            <w:pPr>
              <w:spacing w:line="320" w:lineRule="exact"/>
              <w:jc w:val="center"/>
              <w:rPr>
                <w:rFonts w:eastAsia="楷体_GB2312"/>
                <w:spacing w:val="-20"/>
                <w:sz w:val="24"/>
              </w:rPr>
            </w:pPr>
            <w:r>
              <w:rPr>
                <w:rFonts w:hint="eastAsia" w:eastAsia="楷体_GB2312"/>
                <w:spacing w:val="-20"/>
                <w:sz w:val="24"/>
              </w:rPr>
              <w:t>1:30000</w:t>
            </w:r>
          </w:p>
        </w:tc>
      </w:tr>
      <w:tr w14:paraId="6545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18743086">
            <w:pPr>
              <w:spacing w:line="320" w:lineRule="exact"/>
              <w:jc w:val="center"/>
              <w:rPr>
                <w:rFonts w:eastAsia="楷体_GB2312"/>
                <w:spacing w:val="-20"/>
                <w:sz w:val="24"/>
              </w:rPr>
            </w:pPr>
            <w:r>
              <w:rPr>
                <w:rFonts w:eastAsia="楷体_GB2312"/>
                <w:spacing w:val="-20"/>
                <w:sz w:val="24"/>
              </w:rPr>
              <w:t>3</w:t>
            </w:r>
          </w:p>
        </w:tc>
        <w:tc>
          <w:tcPr>
            <w:tcW w:w="1058" w:type="pct"/>
            <w:noWrap w:val="0"/>
            <w:vAlign w:val="center"/>
          </w:tcPr>
          <w:p w14:paraId="0E2554F9">
            <w:pPr>
              <w:pStyle w:val="20"/>
              <w:jc w:val="center"/>
              <w:rPr>
                <w:rFonts w:ascii="Times New Roman" w:hAnsi="Times New Roman" w:eastAsia="楷体_GB2312"/>
                <w:sz w:val="24"/>
                <w:szCs w:val="24"/>
              </w:rPr>
            </w:pPr>
            <w:r>
              <w:rPr>
                <w:rFonts w:ascii="Times New Roman" w:hAnsi="Times New Roman" w:eastAsia="楷体_GB2312"/>
                <w:sz w:val="24"/>
                <w:szCs w:val="24"/>
              </w:rPr>
              <w:t>蕲县镇</w:t>
            </w:r>
          </w:p>
        </w:tc>
        <w:tc>
          <w:tcPr>
            <w:tcW w:w="1580" w:type="pct"/>
            <w:noWrap w:val="0"/>
            <w:vAlign w:val="center"/>
          </w:tcPr>
          <w:p w14:paraId="1DFD5B2A">
            <w:pPr>
              <w:spacing w:line="320" w:lineRule="exact"/>
              <w:jc w:val="center"/>
              <w:rPr>
                <w:rFonts w:eastAsia="楷体_GB2312"/>
                <w:spacing w:val="-20"/>
                <w:sz w:val="24"/>
              </w:rPr>
            </w:pPr>
            <w:r>
              <w:rPr>
                <w:rFonts w:hint="eastAsia" w:eastAsia="楷体_GB2312"/>
                <w:spacing w:val="-20"/>
                <w:sz w:val="24"/>
              </w:rPr>
              <w:t>1:7000</w:t>
            </w:r>
          </w:p>
        </w:tc>
        <w:tc>
          <w:tcPr>
            <w:tcW w:w="1580" w:type="pct"/>
            <w:noWrap w:val="0"/>
            <w:vAlign w:val="center"/>
          </w:tcPr>
          <w:p w14:paraId="18A44914">
            <w:pPr>
              <w:spacing w:line="320" w:lineRule="exact"/>
              <w:jc w:val="center"/>
              <w:rPr>
                <w:rFonts w:eastAsia="楷体_GB2312"/>
                <w:spacing w:val="-20"/>
                <w:sz w:val="24"/>
              </w:rPr>
            </w:pPr>
            <w:r>
              <w:rPr>
                <w:rFonts w:hint="eastAsia" w:eastAsia="楷体_GB2312"/>
                <w:spacing w:val="-20"/>
                <w:sz w:val="24"/>
              </w:rPr>
              <w:t>1:14000</w:t>
            </w:r>
          </w:p>
        </w:tc>
      </w:tr>
      <w:tr w14:paraId="34B4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18988B40">
            <w:pPr>
              <w:spacing w:line="320" w:lineRule="exact"/>
              <w:jc w:val="center"/>
              <w:rPr>
                <w:rFonts w:eastAsia="楷体_GB2312"/>
                <w:spacing w:val="-20"/>
                <w:sz w:val="24"/>
              </w:rPr>
            </w:pPr>
            <w:r>
              <w:rPr>
                <w:rFonts w:eastAsia="楷体_GB2312"/>
                <w:spacing w:val="-20"/>
                <w:sz w:val="24"/>
              </w:rPr>
              <w:t>4</w:t>
            </w:r>
          </w:p>
        </w:tc>
        <w:tc>
          <w:tcPr>
            <w:tcW w:w="1058" w:type="pct"/>
            <w:noWrap w:val="0"/>
            <w:vAlign w:val="center"/>
          </w:tcPr>
          <w:p w14:paraId="251906A4">
            <w:pPr>
              <w:pStyle w:val="20"/>
              <w:jc w:val="center"/>
              <w:rPr>
                <w:rFonts w:ascii="Times New Roman" w:hAnsi="Times New Roman" w:eastAsia="楷体_GB2312"/>
                <w:sz w:val="24"/>
                <w:szCs w:val="24"/>
              </w:rPr>
            </w:pPr>
            <w:r>
              <w:rPr>
                <w:rFonts w:ascii="Times New Roman" w:hAnsi="Times New Roman" w:eastAsia="楷体_GB2312"/>
                <w:sz w:val="24"/>
                <w:szCs w:val="24"/>
              </w:rPr>
              <w:t>芦岭镇</w:t>
            </w:r>
          </w:p>
        </w:tc>
        <w:tc>
          <w:tcPr>
            <w:tcW w:w="1580" w:type="pct"/>
            <w:noWrap w:val="0"/>
            <w:vAlign w:val="center"/>
          </w:tcPr>
          <w:p w14:paraId="4B9AD3B2">
            <w:pPr>
              <w:spacing w:line="320" w:lineRule="exact"/>
              <w:jc w:val="center"/>
              <w:rPr>
                <w:rFonts w:eastAsia="楷体_GB2312"/>
                <w:spacing w:val="-20"/>
                <w:sz w:val="24"/>
              </w:rPr>
            </w:pPr>
            <w:r>
              <w:rPr>
                <w:rFonts w:hint="eastAsia" w:eastAsia="楷体_GB2312"/>
                <w:spacing w:val="-20"/>
                <w:sz w:val="24"/>
              </w:rPr>
              <w:t>1:6000</w:t>
            </w:r>
          </w:p>
        </w:tc>
        <w:tc>
          <w:tcPr>
            <w:tcW w:w="1580" w:type="pct"/>
            <w:noWrap w:val="0"/>
            <w:vAlign w:val="center"/>
          </w:tcPr>
          <w:p w14:paraId="3855AC6C">
            <w:pPr>
              <w:spacing w:line="320" w:lineRule="exact"/>
              <w:jc w:val="center"/>
              <w:rPr>
                <w:rFonts w:eastAsia="楷体_GB2312"/>
                <w:spacing w:val="-20"/>
                <w:sz w:val="24"/>
              </w:rPr>
            </w:pPr>
            <w:r>
              <w:rPr>
                <w:rFonts w:hint="eastAsia" w:eastAsia="楷体_GB2312"/>
                <w:spacing w:val="-20"/>
                <w:sz w:val="24"/>
              </w:rPr>
              <w:t>1:12000</w:t>
            </w:r>
          </w:p>
        </w:tc>
      </w:tr>
      <w:tr w14:paraId="58D4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3F4F099B">
            <w:pPr>
              <w:spacing w:line="320" w:lineRule="exact"/>
              <w:jc w:val="center"/>
              <w:rPr>
                <w:rFonts w:eastAsia="楷体_GB2312"/>
                <w:spacing w:val="-20"/>
                <w:sz w:val="24"/>
              </w:rPr>
            </w:pPr>
            <w:r>
              <w:rPr>
                <w:rFonts w:eastAsia="楷体_GB2312"/>
                <w:spacing w:val="-20"/>
                <w:sz w:val="24"/>
              </w:rPr>
              <w:t>5</w:t>
            </w:r>
          </w:p>
        </w:tc>
        <w:tc>
          <w:tcPr>
            <w:tcW w:w="1058" w:type="pct"/>
            <w:noWrap w:val="0"/>
            <w:vAlign w:val="center"/>
          </w:tcPr>
          <w:p w14:paraId="375F2D01">
            <w:pPr>
              <w:pStyle w:val="20"/>
              <w:jc w:val="center"/>
              <w:rPr>
                <w:rFonts w:ascii="Times New Roman" w:hAnsi="Times New Roman" w:eastAsia="楷体_GB2312"/>
                <w:sz w:val="24"/>
                <w:szCs w:val="24"/>
              </w:rPr>
            </w:pPr>
            <w:r>
              <w:rPr>
                <w:rFonts w:ascii="Times New Roman" w:hAnsi="Times New Roman" w:eastAsia="楷体_GB2312"/>
                <w:sz w:val="24"/>
                <w:szCs w:val="24"/>
              </w:rPr>
              <w:t>大店镇</w:t>
            </w:r>
          </w:p>
        </w:tc>
        <w:tc>
          <w:tcPr>
            <w:tcW w:w="1580" w:type="pct"/>
            <w:noWrap w:val="0"/>
            <w:vAlign w:val="center"/>
          </w:tcPr>
          <w:p w14:paraId="00F7CF1D">
            <w:pPr>
              <w:spacing w:line="320" w:lineRule="exact"/>
              <w:jc w:val="center"/>
              <w:rPr>
                <w:rFonts w:eastAsia="楷体_GB2312"/>
                <w:spacing w:val="-20"/>
                <w:sz w:val="24"/>
              </w:rPr>
            </w:pPr>
            <w:r>
              <w:rPr>
                <w:rFonts w:hint="eastAsia" w:eastAsia="楷体_GB2312"/>
                <w:spacing w:val="-20"/>
                <w:sz w:val="24"/>
              </w:rPr>
              <w:t>1:5000</w:t>
            </w:r>
          </w:p>
        </w:tc>
        <w:tc>
          <w:tcPr>
            <w:tcW w:w="1580" w:type="pct"/>
            <w:noWrap w:val="0"/>
            <w:vAlign w:val="center"/>
          </w:tcPr>
          <w:p w14:paraId="6ECEF08E">
            <w:pPr>
              <w:spacing w:line="320" w:lineRule="exact"/>
              <w:jc w:val="center"/>
              <w:rPr>
                <w:rFonts w:eastAsia="楷体_GB2312"/>
                <w:spacing w:val="-20"/>
                <w:sz w:val="24"/>
              </w:rPr>
            </w:pPr>
            <w:r>
              <w:rPr>
                <w:rFonts w:hint="eastAsia" w:eastAsia="楷体_GB2312"/>
                <w:spacing w:val="-20"/>
                <w:sz w:val="24"/>
              </w:rPr>
              <w:t>1:10000</w:t>
            </w:r>
          </w:p>
        </w:tc>
      </w:tr>
      <w:tr w14:paraId="71BD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730A2F47">
            <w:pPr>
              <w:spacing w:line="320" w:lineRule="exact"/>
              <w:jc w:val="center"/>
              <w:rPr>
                <w:rFonts w:eastAsia="楷体_GB2312"/>
                <w:spacing w:val="-20"/>
                <w:sz w:val="24"/>
              </w:rPr>
            </w:pPr>
            <w:r>
              <w:rPr>
                <w:rFonts w:eastAsia="楷体_GB2312"/>
                <w:spacing w:val="-20"/>
                <w:sz w:val="24"/>
              </w:rPr>
              <w:t>6</w:t>
            </w:r>
          </w:p>
        </w:tc>
        <w:tc>
          <w:tcPr>
            <w:tcW w:w="1058" w:type="pct"/>
            <w:noWrap w:val="0"/>
            <w:vAlign w:val="center"/>
          </w:tcPr>
          <w:p w14:paraId="62D69612">
            <w:pPr>
              <w:pStyle w:val="20"/>
              <w:jc w:val="center"/>
              <w:rPr>
                <w:rFonts w:ascii="Times New Roman" w:hAnsi="Times New Roman" w:eastAsia="楷体_GB2312"/>
                <w:sz w:val="24"/>
                <w:szCs w:val="24"/>
              </w:rPr>
            </w:pPr>
            <w:r>
              <w:rPr>
                <w:rFonts w:ascii="Times New Roman" w:hAnsi="Times New Roman" w:eastAsia="楷体_GB2312"/>
                <w:sz w:val="24"/>
                <w:szCs w:val="24"/>
              </w:rPr>
              <w:t>栏杆镇</w:t>
            </w:r>
          </w:p>
        </w:tc>
        <w:tc>
          <w:tcPr>
            <w:tcW w:w="1580" w:type="pct"/>
            <w:noWrap w:val="0"/>
            <w:vAlign w:val="center"/>
          </w:tcPr>
          <w:p w14:paraId="0AA27749">
            <w:pPr>
              <w:spacing w:line="320" w:lineRule="exact"/>
              <w:jc w:val="center"/>
              <w:rPr>
                <w:rFonts w:eastAsia="楷体_GB2312"/>
                <w:spacing w:val="-20"/>
                <w:sz w:val="24"/>
              </w:rPr>
            </w:pPr>
            <w:r>
              <w:rPr>
                <w:rFonts w:hint="eastAsia" w:eastAsia="楷体_GB2312"/>
                <w:spacing w:val="-20"/>
                <w:sz w:val="24"/>
              </w:rPr>
              <w:t>1:5000</w:t>
            </w:r>
          </w:p>
        </w:tc>
        <w:tc>
          <w:tcPr>
            <w:tcW w:w="1580" w:type="pct"/>
            <w:noWrap w:val="0"/>
            <w:vAlign w:val="center"/>
          </w:tcPr>
          <w:p w14:paraId="3C3344C0">
            <w:pPr>
              <w:spacing w:line="320" w:lineRule="exact"/>
              <w:jc w:val="center"/>
              <w:rPr>
                <w:rFonts w:eastAsia="楷体_GB2312"/>
                <w:spacing w:val="-20"/>
                <w:sz w:val="24"/>
              </w:rPr>
            </w:pPr>
            <w:r>
              <w:rPr>
                <w:rFonts w:hint="eastAsia" w:eastAsia="楷体_GB2312"/>
                <w:spacing w:val="-20"/>
                <w:sz w:val="24"/>
              </w:rPr>
              <w:t>1:10000</w:t>
            </w:r>
          </w:p>
        </w:tc>
      </w:tr>
      <w:tr w14:paraId="1A886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122D1C40">
            <w:pPr>
              <w:spacing w:line="320" w:lineRule="exact"/>
              <w:jc w:val="center"/>
              <w:rPr>
                <w:rFonts w:eastAsia="楷体_GB2312"/>
                <w:spacing w:val="-20"/>
                <w:sz w:val="24"/>
              </w:rPr>
            </w:pPr>
            <w:r>
              <w:rPr>
                <w:rFonts w:eastAsia="楷体_GB2312"/>
                <w:spacing w:val="-20"/>
                <w:sz w:val="24"/>
              </w:rPr>
              <w:t>7</w:t>
            </w:r>
          </w:p>
        </w:tc>
        <w:tc>
          <w:tcPr>
            <w:tcW w:w="1058" w:type="pct"/>
            <w:noWrap w:val="0"/>
            <w:vAlign w:val="center"/>
          </w:tcPr>
          <w:p w14:paraId="6E96F0D4">
            <w:pPr>
              <w:pStyle w:val="20"/>
              <w:jc w:val="center"/>
              <w:rPr>
                <w:rFonts w:ascii="Times New Roman" w:hAnsi="Times New Roman" w:eastAsia="楷体_GB2312"/>
                <w:sz w:val="24"/>
                <w:szCs w:val="24"/>
              </w:rPr>
            </w:pPr>
            <w:r>
              <w:rPr>
                <w:rFonts w:ascii="Times New Roman" w:hAnsi="Times New Roman" w:eastAsia="楷体_GB2312"/>
                <w:sz w:val="24"/>
                <w:szCs w:val="24"/>
              </w:rPr>
              <w:t>时村镇</w:t>
            </w:r>
          </w:p>
        </w:tc>
        <w:tc>
          <w:tcPr>
            <w:tcW w:w="1580" w:type="pct"/>
            <w:noWrap w:val="0"/>
            <w:vAlign w:val="center"/>
          </w:tcPr>
          <w:p w14:paraId="349796CF">
            <w:pPr>
              <w:spacing w:line="320" w:lineRule="exact"/>
              <w:jc w:val="center"/>
              <w:rPr>
                <w:rFonts w:eastAsia="楷体_GB2312"/>
                <w:spacing w:val="-20"/>
                <w:sz w:val="24"/>
              </w:rPr>
            </w:pPr>
            <w:r>
              <w:rPr>
                <w:rFonts w:hint="eastAsia" w:eastAsia="楷体_GB2312"/>
                <w:spacing w:val="-20"/>
                <w:sz w:val="24"/>
              </w:rPr>
              <w:t>1:5000</w:t>
            </w:r>
          </w:p>
        </w:tc>
        <w:tc>
          <w:tcPr>
            <w:tcW w:w="1580" w:type="pct"/>
            <w:noWrap w:val="0"/>
            <w:vAlign w:val="center"/>
          </w:tcPr>
          <w:p w14:paraId="6884DF4E">
            <w:pPr>
              <w:spacing w:line="320" w:lineRule="exact"/>
              <w:jc w:val="center"/>
              <w:rPr>
                <w:rFonts w:eastAsia="楷体_GB2312"/>
                <w:spacing w:val="-20"/>
                <w:sz w:val="24"/>
              </w:rPr>
            </w:pPr>
            <w:r>
              <w:rPr>
                <w:rFonts w:hint="eastAsia" w:eastAsia="楷体_GB2312"/>
                <w:spacing w:val="-20"/>
                <w:sz w:val="24"/>
              </w:rPr>
              <w:t>1:10000</w:t>
            </w:r>
          </w:p>
        </w:tc>
      </w:tr>
      <w:tr w14:paraId="1FFA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358F6FCF">
            <w:pPr>
              <w:spacing w:line="320" w:lineRule="exact"/>
              <w:jc w:val="center"/>
              <w:rPr>
                <w:rFonts w:eastAsia="楷体_GB2312"/>
                <w:spacing w:val="-20"/>
                <w:sz w:val="24"/>
              </w:rPr>
            </w:pPr>
            <w:r>
              <w:rPr>
                <w:rFonts w:eastAsia="楷体_GB2312"/>
                <w:spacing w:val="-20"/>
                <w:sz w:val="24"/>
              </w:rPr>
              <w:t>8</w:t>
            </w:r>
          </w:p>
        </w:tc>
        <w:tc>
          <w:tcPr>
            <w:tcW w:w="1058" w:type="pct"/>
            <w:noWrap w:val="0"/>
            <w:vAlign w:val="center"/>
          </w:tcPr>
          <w:p w14:paraId="370BCD6D">
            <w:pPr>
              <w:pStyle w:val="20"/>
              <w:jc w:val="center"/>
              <w:rPr>
                <w:rFonts w:ascii="Times New Roman" w:hAnsi="Times New Roman" w:eastAsia="楷体_GB2312"/>
                <w:sz w:val="24"/>
                <w:szCs w:val="24"/>
              </w:rPr>
            </w:pPr>
            <w:r>
              <w:rPr>
                <w:rFonts w:ascii="Times New Roman" w:hAnsi="Times New Roman" w:eastAsia="楷体_GB2312"/>
                <w:sz w:val="24"/>
                <w:szCs w:val="24"/>
              </w:rPr>
              <w:t>夹沟镇</w:t>
            </w:r>
          </w:p>
        </w:tc>
        <w:tc>
          <w:tcPr>
            <w:tcW w:w="1580" w:type="pct"/>
            <w:noWrap w:val="0"/>
            <w:vAlign w:val="center"/>
          </w:tcPr>
          <w:p w14:paraId="4FE093E3">
            <w:pPr>
              <w:spacing w:line="320" w:lineRule="exact"/>
              <w:jc w:val="center"/>
              <w:rPr>
                <w:rFonts w:eastAsia="楷体_GB2312"/>
                <w:spacing w:val="-20"/>
                <w:sz w:val="24"/>
              </w:rPr>
            </w:pPr>
            <w:r>
              <w:rPr>
                <w:rFonts w:hint="eastAsia" w:eastAsia="楷体_GB2312"/>
                <w:spacing w:val="-20"/>
                <w:sz w:val="24"/>
              </w:rPr>
              <w:t>1:5000</w:t>
            </w:r>
          </w:p>
        </w:tc>
        <w:tc>
          <w:tcPr>
            <w:tcW w:w="1580" w:type="pct"/>
            <w:noWrap w:val="0"/>
            <w:vAlign w:val="center"/>
          </w:tcPr>
          <w:p w14:paraId="6E3784E4">
            <w:pPr>
              <w:spacing w:line="320" w:lineRule="exact"/>
              <w:jc w:val="center"/>
              <w:rPr>
                <w:rFonts w:eastAsia="楷体_GB2312"/>
                <w:spacing w:val="-20"/>
                <w:sz w:val="24"/>
              </w:rPr>
            </w:pPr>
            <w:r>
              <w:rPr>
                <w:rFonts w:hint="eastAsia" w:eastAsia="楷体_GB2312"/>
                <w:spacing w:val="-20"/>
                <w:sz w:val="24"/>
              </w:rPr>
              <w:t>1:10000</w:t>
            </w:r>
          </w:p>
        </w:tc>
      </w:tr>
      <w:tr w14:paraId="46C6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35E5E287">
            <w:pPr>
              <w:spacing w:line="320" w:lineRule="exact"/>
              <w:jc w:val="center"/>
              <w:rPr>
                <w:rFonts w:eastAsia="楷体_GB2312"/>
                <w:spacing w:val="-20"/>
                <w:sz w:val="24"/>
              </w:rPr>
            </w:pPr>
            <w:r>
              <w:rPr>
                <w:rFonts w:eastAsia="楷体_GB2312"/>
                <w:spacing w:val="-20"/>
                <w:sz w:val="24"/>
              </w:rPr>
              <w:t>9</w:t>
            </w:r>
          </w:p>
        </w:tc>
        <w:tc>
          <w:tcPr>
            <w:tcW w:w="1058" w:type="pct"/>
            <w:noWrap w:val="0"/>
            <w:vAlign w:val="center"/>
          </w:tcPr>
          <w:p w14:paraId="5A74889D">
            <w:pPr>
              <w:pStyle w:val="20"/>
              <w:jc w:val="center"/>
              <w:rPr>
                <w:rFonts w:ascii="Times New Roman" w:hAnsi="Times New Roman" w:eastAsia="楷体_GB2312"/>
                <w:sz w:val="24"/>
                <w:szCs w:val="24"/>
              </w:rPr>
            </w:pPr>
            <w:r>
              <w:rPr>
                <w:rFonts w:ascii="Times New Roman" w:hAnsi="Times New Roman" w:eastAsia="楷体_GB2312"/>
                <w:sz w:val="24"/>
                <w:szCs w:val="24"/>
              </w:rPr>
              <w:t>西二铺乡</w:t>
            </w:r>
          </w:p>
        </w:tc>
        <w:tc>
          <w:tcPr>
            <w:tcW w:w="1580" w:type="pct"/>
            <w:noWrap w:val="0"/>
            <w:vAlign w:val="center"/>
          </w:tcPr>
          <w:p w14:paraId="1C54E20D">
            <w:pPr>
              <w:spacing w:line="320" w:lineRule="exact"/>
              <w:jc w:val="center"/>
              <w:rPr>
                <w:rFonts w:eastAsia="楷体_GB2312"/>
                <w:spacing w:val="-20"/>
                <w:sz w:val="24"/>
              </w:rPr>
            </w:pPr>
            <w:r>
              <w:rPr>
                <w:rFonts w:hint="eastAsia" w:eastAsia="楷体_GB2312"/>
                <w:spacing w:val="-20"/>
                <w:sz w:val="24"/>
              </w:rPr>
              <w:t>1:4000</w:t>
            </w:r>
          </w:p>
        </w:tc>
        <w:tc>
          <w:tcPr>
            <w:tcW w:w="1580" w:type="pct"/>
            <w:noWrap w:val="0"/>
            <w:vAlign w:val="center"/>
          </w:tcPr>
          <w:p w14:paraId="1E008B7E">
            <w:pPr>
              <w:spacing w:line="320" w:lineRule="exact"/>
              <w:jc w:val="center"/>
              <w:rPr>
                <w:rFonts w:eastAsia="楷体_GB2312"/>
                <w:spacing w:val="-20"/>
                <w:sz w:val="24"/>
              </w:rPr>
            </w:pPr>
            <w:r>
              <w:rPr>
                <w:rFonts w:hint="eastAsia" w:eastAsia="楷体_GB2312"/>
                <w:spacing w:val="-20"/>
                <w:sz w:val="24"/>
              </w:rPr>
              <w:t>1:8000</w:t>
            </w:r>
          </w:p>
        </w:tc>
      </w:tr>
      <w:tr w14:paraId="0EB44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435489AF">
            <w:pPr>
              <w:spacing w:line="320" w:lineRule="exact"/>
              <w:jc w:val="center"/>
              <w:rPr>
                <w:rFonts w:eastAsia="楷体_GB2312"/>
                <w:spacing w:val="-20"/>
                <w:sz w:val="24"/>
              </w:rPr>
            </w:pPr>
            <w:r>
              <w:rPr>
                <w:rFonts w:eastAsia="楷体_GB2312"/>
                <w:spacing w:val="-20"/>
                <w:sz w:val="24"/>
              </w:rPr>
              <w:t>10</w:t>
            </w:r>
          </w:p>
        </w:tc>
        <w:tc>
          <w:tcPr>
            <w:tcW w:w="1058" w:type="pct"/>
            <w:noWrap w:val="0"/>
            <w:vAlign w:val="center"/>
          </w:tcPr>
          <w:p w14:paraId="768A3F0C">
            <w:pPr>
              <w:pStyle w:val="20"/>
              <w:jc w:val="center"/>
              <w:rPr>
                <w:rFonts w:ascii="Times New Roman" w:hAnsi="Times New Roman" w:eastAsia="楷体_GB2312"/>
                <w:sz w:val="24"/>
                <w:szCs w:val="24"/>
              </w:rPr>
            </w:pPr>
            <w:r>
              <w:rPr>
                <w:rFonts w:ascii="Times New Roman" w:hAnsi="Times New Roman" w:eastAsia="楷体_GB2312"/>
                <w:sz w:val="24"/>
                <w:szCs w:val="24"/>
              </w:rPr>
              <w:t>桃园镇</w:t>
            </w:r>
          </w:p>
        </w:tc>
        <w:tc>
          <w:tcPr>
            <w:tcW w:w="1580" w:type="pct"/>
            <w:noWrap w:val="0"/>
            <w:vAlign w:val="center"/>
          </w:tcPr>
          <w:p w14:paraId="3AB0289D">
            <w:pPr>
              <w:spacing w:line="320" w:lineRule="exact"/>
              <w:jc w:val="center"/>
              <w:rPr>
                <w:rFonts w:eastAsia="楷体_GB2312"/>
                <w:spacing w:val="-20"/>
                <w:sz w:val="24"/>
              </w:rPr>
            </w:pPr>
            <w:r>
              <w:rPr>
                <w:rFonts w:hint="eastAsia" w:eastAsia="楷体_GB2312"/>
                <w:spacing w:val="-20"/>
                <w:sz w:val="24"/>
              </w:rPr>
              <w:t>1:6000</w:t>
            </w:r>
          </w:p>
        </w:tc>
        <w:tc>
          <w:tcPr>
            <w:tcW w:w="1580" w:type="pct"/>
            <w:noWrap w:val="0"/>
            <w:vAlign w:val="center"/>
          </w:tcPr>
          <w:p w14:paraId="16D1373C">
            <w:pPr>
              <w:spacing w:line="320" w:lineRule="exact"/>
              <w:jc w:val="center"/>
              <w:rPr>
                <w:rFonts w:eastAsia="楷体_GB2312"/>
                <w:spacing w:val="-20"/>
                <w:sz w:val="24"/>
              </w:rPr>
            </w:pPr>
            <w:r>
              <w:rPr>
                <w:rFonts w:hint="eastAsia" w:eastAsia="楷体_GB2312"/>
                <w:spacing w:val="-20"/>
                <w:sz w:val="24"/>
              </w:rPr>
              <w:t>1:12000</w:t>
            </w:r>
          </w:p>
        </w:tc>
      </w:tr>
      <w:tr w14:paraId="59DEB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6AE87BB4">
            <w:pPr>
              <w:spacing w:line="320" w:lineRule="exact"/>
              <w:jc w:val="center"/>
              <w:rPr>
                <w:rFonts w:eastAsia="楷体_GB2312"/>
                <w:spacing w:val="-20"/>
                <w:sz w:val="24"/>
              </w:rPr>
            </w:pPr>
            <w:r>
              <w:rPr>
                <w:rFonts w:hint="eastAsia" w:eastAsia="楷体_GB2312"/>
                <w:spacing w:val="-20"/>
                <w:sz w:val="24"/>
              </w:rPr>
              <w:t>11</w:t>
            </w:r>
          </w:p>
        </w:tc>
        <w:tc>
          <w:tcPr>
            <w:tcW w:w="1058" w:type="pct"/>
            <w:noWrap w:val="0"/>
            <w:vAlign w:val="center"/>
          </w:tcPr>
          <w:p w14:paraId="338A54C5">
            <w:pPr>
              <w:pStyle w:val="20"/>
              <w:jc w:val="center"/>
              <w:rPr>
                <w:rFonts w:ascii="Times New Roman" w:hAnsi="Times New Roman" w:eastAsia="楷体_GB2312"/>
                <w:sz w:val="24"/>
                <w:szCs w:val="24"/>
              </w:rPr>
            </w:pPr>
            <w:r>
              <w:rPr>
                <w:rFonts w:ascii="Times New Roman" w:hAnsi="Times New Roman" w:eastAsia="楷体_GB2312"/>
                <w:sz w:val="24"/>
                <w:szCs w:val="24"/>
              </w:rPr>
              <w:t>曹村镇</w:t>
            </w:r>
          </w:p>
        </w:tc>
        <w:tc>
          <w:tcPr>
            <w:tcW w:w="1580" w:type="pct"/>
            <w:noWrap w:val="0"/>
            <w:vAlign w:val="center"/>
          </w:tcPr>
          <w:p w14:paraId="2A0DFCF8">
            <w:pPr>
              <w:spacing w:line="320" w:lineRule="exact"/>
              <w:jc w:val="center"/>
              <w:rPr>
                <w:rFonts w:eastAsia="楷体_GB2312"/>
                <w:spacing w:val="-20"/>
                <w:sz w:val="24"/>
              </w:rPr>
            </w:pPr>
            <w:r>
              <w:rPr>
                <w:rFonts w:hint="eastAsia" w:eastAsia="楷体_GB2312"/>
                <w:spacing w:val="-20"/>
                <w:sz w:val="24"/>
              </w:rPr>
              <w:t>1:6000</w:t>
            </w:r>
          </w:p>
        </w:tc>
        <w:tc>
          <w:tcPr>
            <w:tcW w:w="1580" w:type="pct"/>
            <w:noWrap w:val="0"/>
            <w:vAlign w:val="center"/>
          </w:tcPr>
          <w:p w14:paraId="3B143FE2">
            <w:pPr>
              <w:spacing w:line="320" w:lineRule="exact"/>
              <w:jc w:val="center"/>
              <w:rPr>
                <w:rFonts w:eastAsia="楷体_GB2312"/>
                <w:spacing w:val="-20"/>
                <w:sz w:val="24"/>
              </w:rPr>
            </w:pPr>
            <w:r>
              <w:rPr>
                <w:rFonts w:hint="eastAsia" w:eastAsia="楷体_GB2312"/>
                <w:spacing w:val="-20"/>
                <w:sz w:val="24"/>
              </w:rPr>
              <w:t>1:12000</w:t>
            </w:r>
          </w:p>
        </w:tc>
      </w:tr>
      <w:tr w14:paraId="1A65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60C304C7">
            <w:pPr>
              <w:spacing w:line="320" w:lineRule="exact"/>
              <w:jc w:val="center"/>
              <w:rPr>
                <w:rFonts w:eastAsia="楷体_GB2312"/>
                <w:spacing w:val="-20"/>
                <w:sz w:val="24"/>
              </w:rPr>
            </w:pPr>
            <w:r>
              <w:rPr>
                <w:rFonts w:hint="eastAsia" w:eastAsia="楷体_GB2312"/>
                <w:spacing w:val="-20"/>
                <w:sz w:val="24"/>
              </w:rPr>
              <w:t>12</w:t>
            </w:r>
          </w:p>
        </w:tc>
        <w:tc>
          <w:tcPr>
            <w:tcW w:w="1058" w:type="pct"/>
            <w:noWrap w:val="0"/>
            <w:vAlign w:val="center"/>
          </w:tcPr>
          <w:p w14:paraId="02AB9CB6">
            <w:pPr>
              <w:pStyle w:val="20"/>
              <w:jc w:val="center"/>
              <w:rPr>
                <w:rFonts w:ascii="Times New Roman" w:hAnsi="Times New Roman" w:eastAsia="楷体_GB2312"/>
                <w:sz w:val="24"/>
                <w:szCs w:val="24"/>
              </w:rPr>
            </w:pPr>
            <w:r>
              <w:rPr>
                <w:rFonts w:ascii="Times New Roman" w:hAnsi="Times New Roman" w:eastAsia="楷体_GB2312"/>
                <w:sz w:val="24"/>
                <w:szCs w:val="24"/>
              </w:rPr>
              <w:t>大营镇</w:t>
            </w:r>
          </w:p>
        </w:tc>
        <w:tc>
          <w:tcPr>
            <w:tcW w:w="1580" w:type="pct"/>
            <w:noWrap w:val="0"/>
            <w:vAlign w:val="center"/>
          </w:tcPr>
          <w:p w14:paraId="63750873">
            <w:pPr>
              <w:spacing w:line="320" w:lineRule="exact"/>
              <w:jc w:val="center"/>
              <w:rPr>
                <w:rFonts w:eastAsia="楷体_GB2312"/>
                <w:spacing w:val="-20"/>
                <w:sz w:val="24"/>
              </w:rPr>
            </w:pPr>
            <w:r>
              <w:rPr>
                <w:rFonts w:hint="eastAsia" w:eastAsia="楷体_GB2312"/>
                <w:spacing w:val="-20"/>
                <w:sz w:val="24"/>
              </w:rPr>
              <w:t>1:5000</w:t>
            </w:r>
          </w:p>
        </w:tc>
        <w:tc>
          <w:tcPr>
            <w:tcW w:w="1580" w:type="pct"/>
            <w:noWrap w:val="0"/>
            <w:vAlign w:val="center"/>
          </w:tcPr>
          <w:p w14:paraId="7AFDACBA">
            <w:pPr>
              <w:spacing w:line="320" w:lineRule="exact"/>
              <w:jc w:val="center"/>
              <w:rPr>
                <w:rFonts w:eastAsia="楷体_GB2312"/>
                <w:spacing w:val="-20"/>
                <w:sz w:val="24"/>
              </w:rPr>
            </w:pPr>
            <w:r>
              <w:rPr>
                <w:rFonts w:hint="eastAsia" w:eastAsia="楷体_GB2312"/>
                <w:spacing w:val="-20"/>
                <w:sz w:val="24"/>
              </w:rPr>
              <w:t>1:10000</w:t>
            </w:r>
          </w:p>
        </w:tc>
      </w:tr>
      <w:tr w14:paraId="2B770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0538FAC6">
            <w:pPr>
              <w:spacing w:line="320" w:lineRule="exact"/>
              <w:jc w:val="center"/>
              <w:rPr>
                <w:rFonts w:eastAsia="楷体_GB2312"/>
                <w:spacing w:val="-20"/>
                <w:sz w:val="24"/>
              </w:rPr>
            </w:pPr>
            <w:r>
              <w:rPr>
                <w:rFonts w:hint="eastAsia" w:eastAsia="楷体_GB2312"/>
                <w:spacing w:val="-20"/>
                <w:sz w:val="24"/>
              </w:rPr>
              <w:t>13</w:t>
            </w:r>
          </w:p>
        </w:tc>
        <w:tc>
          <w:tcPr>
            <w:tcW w:w="1058" w:type="pct"/>
            <w:noWrap w:val="0"/>
            <w:vAlign w:val="center"/>
          </w:tcPr>
          <w:p w14:paraId="57C0077A">
            <w:pPr>
              <w:pStyle w:val="20"/>
              <w:jc w:val="center"/>
              <w:rPr>
                <w:rFonts w:ascii="Times New Roman" w:hAnsi="Times New Roman" w:eastAsia="楷体_GB2312"/>
                <w:sz w:val="24"/>
                <w:szCs w:val="24"/>
              </w:rPr>
            </w:pPr>
            <w:r>
              <w:rPr>
                <w:rFonts w:ascii="Times New Roman" w:hAnsi="Times New Roman" w:eastAsia="楷体_GB2312"/>
                <w:sz w:val="24"/>
                <w:szCs w:val="24"/>
              </w:rPr>
              <w:t>褚兰镇</w:t>
            </w:r>
          </w:p>
        </w:tc>
        <w:tc>
          <w:tcPr>
            <w:tcW w:w="1580" w:type="pct"/>
            <w:noWrap w:val="0"/>
            <w:vAlign w:val="center"/>
          </w:tcPr>
          <w:p w14:paraId="455762D8">
            <w:pPr>
              <w:spacing w:line="320" w:lineRule="exact"/>
              <w:jc w:val="center"/>
              <w:rPr>
                <w:rFonts w:eastAsia="楷体_GB2312"/>
                <w:spacing w:val="-20"/>
                <w:sz w:val="24"/>
              </w:rPr>
            </w:pPr>
            <w:r>
              <w:rPr>
                <w:rFonts w:hint="eastAsia" w:eastAsia="楷体_GB2312"/>
                <w:spacing w:val="-20"/>
                <w:sz w:val="24"/>
              </w:rPr>
              <w:t>1:4000</w:t>
            </w:r>
          </w:p>
        </w:tc>
        <w:tc>
          <w:tcPr>
            <w:tcW w:w="1580" w:type="pct"/>
            <w:noWrap w:val="0"/>
            <w:vAlign w:val="center"/>
          </w:tcPr>
          <w:p w14:paraId="749B890F">
            <w:pPr>
              <w:spacing w:line="320" w:lineRule="exact"/>
              <w:jc w:val="center"/>
              <w:rPr>
                <w:rFonts w:eastAsia="楷体_GB2312"/>
                <w:spacing w:val="-20"/>
                <w:sz w:val="24"/>
              </w:rPr>
            </w:pPr>
            <w:r>
              <w:rPr>
                <w:rFonts w:hint="eastAsia" w:eastAsia="楷体_GB2312"/>
                <w:spacing w:val="-20"/>
                <w:sz w:val="24"/>
              </w:rPr>
              <w:t>1:8000</w:t>
            </w:r>
          </w:p>
        </w:tc>
      </w:tr>
      <w:tr w14:paraId="374A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71D16F14">
            <w:pPr>
              <w:spacing w:line="320" w:lineRule="exact"/>
              <w:jc w:val="center"/>
              <w:rPr>
                <w:rFonts w:eastAsia="楷体_GB2312"/>
                <w:spacing w:val="-20"/>
                <w:sz w:val="24"/>
              </w:rPr>
            </w:pPr>
            <w:r>
              <w:rPr>
                <w:rFonts w:hint="eastAsia" w:eastAsia="楷体_GB2312"/>
                <w:spacing w:val="-20"/>
                <w:sz w:val="24"/>
              </w:rPr>
              <w:t>14</w:t>
            </w:r>
          </w:p>
        </w:tc>
        <w:tc>
          <w:tcPr>
            <w:tcW w:w="1058" w:type="pct"/>
            <w:noWrap w:val="0"/>
            <w:vAlign w:val="center"/>
          </w:tcPr>
          <w:p w14:paraId="4E53ABC5">
            <w:pPr>
              <w:pStyle w:val="20"/>
              <w:jc w:val="center"/>
              <w:rPr>
                <w:rFonts w:ascii="Times New Roman" w:hAnsi="Times New Roman" w:eastAsia="楷体_GB2312"/>
                <w:sz w:val="24"/>
                <w:szCs w:val="24"/>
              </w:rPr>
            </w:pPr>
            <w:r>
              <w:rPr>
                <w:rFonts w:ascii="Times New Roman" w:hAnsi="Times New Roman" w:eastAsia="楷体_GB2312"/>
                <w:sz w:val="24"/>
                <w:szCs w:val="24"/>
              </w:rPr>
              <w:t>顺河镇</w:t>
            </w:r>
          </w:p>
        </w:tc>
        <w:tc>
          <w:tcPr>
            <w:tcW w:w="1580" w:type="pct"/>
            <w:noWrap w:val="0"/>
            <w:vAlign w:val="center"/>
          </w:tcPr>
          <w:p w14:paraId="20482B07">
            <w:pPr>
              <w:spacing w:line="320" w:lineRule="exact"/>
              <w:jc w:val="center"/>
              <w:rPr>
                <w:rFonts w:eastAsia="楷体_GB2312"/>
                <w:spacing w:val="-20"/>
                <w:sz w:val="24"/>
              </w:rPr>
            </w:pPr>
            <w:r>
              <w:rPr>
                <w:rFonts w:hint="eastAsia" w:eastAsia="楷体_GB2312"/>
                <w:spacing w:val="-20"/>
                <w:sz w:val="24"/>
              </w:rPr>
              <w:t>1:7000</w:t>
            </w:r>
          </w:p>
        </w:tc>
        <w:tc>
          <w:tcPr>
            <w:tcW w:w="1580" w:type="pct"/>
            <w:noWrap w:val="0"/>
            <w:vAlign w:val="center"/>
          </w:tcPr>
          <w:p w14:paraId="3256E8F6">
            <w:pPr>
              <w:spacing w:line="320" w:lineRule="exact"/>
              <w:jc w:val="center"/>
              <w:rPr>
                <w:rFonts w:eastAsia="楷体_GB2312"/>
                <w:spacing w:val="-20"/>
                <w:sz w:val="24"/>
              </w:rPr>
            </w:pPr>
            <w:r>
              <w:rPr>
                <w:rFonts w:hint="eastAsia" w:eastAsia="楷体_GB2312"/>
                <w:spacing w:val="-20"/>
                <w:sz w:val="24"/>
              </w:rPr>
              <w:t>1:14000</w:t>
            </w:r>
          </w:p>
        </w:tc>
      </w:tr>
      <w:tr w14:paraId="2FFE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640235EB">
            <w:pPr>
              <w:spacing w:line="320" w:lineRule="exact"/>
              <w:jc w:val="center"/>
              <w:rPr>
                <w:rFonts w:eastAsia="楷体_GB2312"/>
                <w:spacing w:val="-20"/>
                <w:sz w:val="24"/>
              </w:rPr>
            </w:pPr>
            <w:r>
              <w:rPr>
                <w:rFonts w:hint="eastAsia" w:eastAsia="楷体_GB2312"/>
                <w:spacing w:val="-20"/>
                <w:sz w:val="24"/>
              </w:rPr>
              <w:t>15</w:t>
            </w:r>
          </w:p>
        </w:tc>
        <w:tc>
          <w:tcPr>
            <w:tcW w:w="1058" w:type="pct"/>
            <w:noWrap w:val="0"/>
            <w:vAlign w:val="center"/>
          </w:tcPr>
          <w:p w14:paraId="39659040">
            <w:pPr>
              <w:pStyle w:val="20"/>
              <w:jc w:val="center"/>
              <w:rPr>
                <w:rFonts w:ascii="Times New Roman" w:hAnsi="Times New Roman" w:eastAsia="楷体_GB2312"/>
                <w:sz w:val="24"/>
                <w:szCs w:val="24"/>
              </w:rPr>
            </w:pPr>
            <w:r>
              <w:rPr>
                <w:rFonts w:ascii="Times New Roman" w:hAnsi="Times New Roman" w:eastAsia="楷体_GB2312"/>
                <w:sz w:val="24"/>
                <w:szCs w:val="24"/>
              </w:rPr>
              <w:t>杨庄镇</w:t>
            </w:r>
          </w:p>
        </w:tc>
        <w:tc>
          <w:tcPr>
            <w:tcW w:w="1580" w:type="pct"/>
            <w:noWrap w:val="0"/>
            <w:vAlign w:val="center"/>
          </w:tcPr>
          <w:p w14:paraId="4EA34F9A">
            <w:pPr>
              <w:spacing w:line="320" w:lineRule="exact"/>
              <w:jc w:val="center"/>
              <w:rPr>
                <w:rFonts w:eastAsia="楷体_GB2312"/>
                <w:spacing w:val="-20"/>
                <w:sz w:val="24"/>
              </w:rPr>
            </w:pPr>
            <w:r>
              <w:rPr>
                <w:rFonts w:hint="eastAsia" w:eastAsia="楷体_GB2312"/>
                <w:spacing w:val="-20"/>
                <w:sz w:val="24"/>
              </w:rPr>
              <w:t>1:4000</w:t>
            </w:r>
          </w:p>
        </w:tc>
        <w:tc>
          <w:tcPr>
            <w:tcW w:w="1580" w:type="pct"/>
            <w:noWrap w:val="0"/>
            <w:vAlign w:val="center"/>
          </w:tcPr>
          <w:p w14:paraId="0D8C0E84">
            <w:pPr>
              <w:spacing w:line="320" w:lineRule="exact"/>
              <w:jc w:val="center"/>
              <w:rPr>
                <w:rFonts w:eastAsia="楷体_GB2312"/>
                <w:spacing w:val="-20"/>
                <w:sz w:val="24"/>
              </w:rPr>
            </w:pPr>
            <w:r>
              <w:rPr>
                <w:rFonts w:hint="eastAsia" w:eastAsia="楷体_GB2312"/>
                <w:spacing w:val="-20"/>
                <w:sz w:val="24"/>
              </w:rPr>
              <w:t>1:8000</w:t>
            </w:r>
          </w:p>
        </w:tc>
      </w:tr>
      <w:tr w14:paraId="3DE57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38CC903F">
            <w:pPr>
              <w:spacing w:line="320" w:lineRule="exact"/>
              <w:jc w:val="center"/>
              <w:rPr>
                <w:rFonts w:eastAsia="楷体_GB2312"/>
                <w:spacing w:val="-20"/>
                <w:sz w:val="24"/>
              </w:rPr>
            </w:pPr>
            <w:r>
              <w:rPr>
                <w:rFonts w:hint="eastAsia" w:eastAsia="楷体_GB2312"/>
                <w:spacing w:val="-20"/>
                <w:sz w:val="24"/>
              </w:rPr>
              <w:t>16</w:t>
            </w:r>
          </w:p>
        </w:tc>
        <w:tc>
          <w:tcPr>
            <w:tcW w:w="1058" w:type="pct"/>
            <w:noWrap w:val="0"/>
            <w:vAlign w:val="center"/>
          </w:tcPr>
          <w:p w14:paraId="76437A0F">
            <w:pPr>
              <w:pStyle w:val="20"/>
              <w:jc w:val="center"/>
              <w:rPr>
                <w:rFonts w:ascii="Times New Roman" w:hAnsi="Times New Roman" w:eastAsia="楷体_GB2312"/>
                <w:sz w:val="24"/>
                <w:szCs w:val="24"/>
              </w:rPr>
            </w:pPr>
            <w:r>
              <w:rPr>
                <w:rFonts w:ascii="Times New Roman" w:hAnsi="Times New Roman" w:eastAsia="楷体_GB2312"/>
                <w:sz w:val="24"/>
                <w:szCs w:val="24"/>
              </w:rPr>
              <w:t>永镇乡</w:t>
            </w:r>
          </w:p>
        </w:tc>
        <w:tc>
          <w:tcPr>
            <w:tcW w:w="1580" w:type="pct"/>
            <w:noWrap w:val="0"/>
            <w:vAlign w:val="center"/>
          </w:tcPr>
          <w:p w14:paraId="10CFCCB9">
            <w:pPr>
              <w:spacing w:line="320" w:lineRule="exact"/>
              <w:jc w:val="center"/>
              <w:rPr>
                <w:rFonts w:eastAsia="楷体_GB2312"/>
                <w:spacing w:val="-20"/>
                <w:sz w:val="24"/>
              </w:rPr>
            </w:pPr>
            <w:r>
              <w:rPr>
                <w:rFonts w:hint="eastAsia" w:eastAsia="楷体_GB2312"/>
                <w:spacing w:val="-20"/>
                <w:sz w:val="24"/>
              </w:rPr>
              <w:t>1:4000</w:t>
            </w:r>
          </w:p>
        </w:tc>
        <w:tc>
          <w:tcPr>
            <w:tcW w:w="1580" w:type="pct"/>
            <w:noWrap w:val="0"/>
            <w:vAlign w:val="center"/>
          </w:tcPr>
          <w:p w14:paraId="7D3217C2">
            <w:pPr>
              <w:spacing w:line="320" w:lineRule="exact"/>
              <w:jc w:val="center"/>
              <w:rPr>
                <w:rFonts w:eastAsia="楷体_GB2312"/>
                <w:spacing w:val="-20"/>
                <w:sz w:val="24"/>
              </w:rPr>
            </w:pPr>
            <w:r>
              <w:rPr>
                <w:rFonts w:hint="eastAsia" w:eastAsia="楷体_GB2312"/>
                <w:spacing w:val="-20"/>
                <w:sz w:val="24"/>
              </w:rPr>
              <w:t>1:8000</w:t>
            </w:r>
          </w:p>
        </w:tc>
      </w:tr>
      <w:tr w14:paraId="36D4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7A001621">
            <w:pPr>
              <w:spacing w:line="320" w:lineRule="exact"/>
              <w:jc w:val="center"/>
              <w:rPr>
                <w:rFonts w:eastAsia="楷体_GB2312"/>
                <w:spacing w:val="-20"/>
                <w:sz w:val="24"/>
              </w:rPr>
            </w:pPr>
            <w:r>
              <w:rPr>
                <w:rFonts w:hint="eastAsia" w:eastAsia="楷体_GB2312"/>
                <w:spacing w:val="-20"/>
                <w:sz w:val="24"/>
              </w:rPr>
              <w:t>17</w:t>
            </w:r>
          </w:p>
        </w:tc>
        <w:tc>
          <w:tcPr>
            <w:tcW w:w="1058" w:type="pct"/>
            <w:noWrap w:val="0"/>
            <w:vAlign w:val="center"/>
          </w:tcPr>
          <w:p w14:paraId="63236243">
            <w:pPr>
              <w:pStyle w:val="20"/>
              <w:jc w:val="center"/>
              <w:rPr>
                <w:rFonts w:ascii="Times New Roman" w:hAnsi="Times New Roman" w:eastAsia="楷体_GB2312"/>
                <w:sz w:val="24"/>
                <w:szCs w:val="24"/>
              </w:rPr>
            </w:pPr>
            <w:r>
              <w:rPr>
                <w:rFonts w:ascii="Times New Roman" w:hAnsi="Times New Roman" w:eastAsia="楷体_GB2312"/>
                <w:sz w:val="24"/>
                <w:szCs w:val="24"/>
              </w:rPr>
              <w:t>解集镇</w:t>
            </w:r>
          </w:p>
        </w:tc>
        <w:tc>
          <w:tcPr>
            <w:tcW w:w="1580" w:type="pct"/>
            <w:noWrap w:val="0"/>
            <w:vAlign w:val="center"/>
          </w:tcPr>
          <w:p w14:paraId="4A2A473C">
            <w:pPr>
              <w:spacing w:line="320" w:lineRule="exact"/>
              <w:jc w:val="center"/>
              <w:rPr>
                <w:rFonts w:eastAsia="楷体_GB2312"/>
                <w:spacing w:val="-20"/>
                <w:sz w:val="24"/>
              </w:rPr>
            </w:pPr>
            <w:r>
              <w:rPr>
                <w:rFonts w:hint="eastAsia" w:eastAsia="楷体_GB2312"/>
                <w:spacing w:val="-20"/>
                <w:sz w:val="24"/>
              </w:rPr>
              <w:t>1:4000</w:t>
            </w:r>
          </w:p>
        </w:tc>
        <w:tc>
          <w:tcPr>
            <w:tcW w:w="1580" w:type="pct"/>
            <w:noWrap w:val="0"/>
            <w:vAlign w:val="center"/>
          </w:tcPr>
          <w:p w14:paraId="0D9EAB4B">
            <w:pPr>
              <w:spacing w:line="320" w:lineRule="exact"/>
              <w:jc w:val="center"/>
              <w:rPr>
                <w:rFonts w:eastAsia="楷体_GB2312"/>
                <w:spacing w:val="-20"/>
                <w:sz w:val="24"/>
              </w:rPr>
            </w:pPr>
            <w:r>
              <w:rPr>
                <w:rFonts w:hint="eastAsia" w:eastAsia="楷体_GB2312"/>
                <w:spacing w:val="-20"/>
                <w:sz w:val="24"/>
              </w:rPr>
              <w:t>1:8000</w:t>
            </w:r>
          </w:p>
        </w:tc>
      </w:tr>
      <w:tr w14:paraId="16DF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034B7542">
            <w:pPr>
              <w:spacing w:line="320" w:lineRule="exact"/>
              <w:jc w:val="center"/>
              <w:rPr>
                <w:rFonts w:eastAsia="楷体_GB2312"/>
                <w:spacing w:val="-20"/>
                <w:sz w:val="24"/>
              </w:rPr>
            </w:pPr>
            <w:r>
              <w:rPr>
                <w:rFonts w:hint="eastAsia" w:eastAsia="楷体_GB2312"/>
                <w:spacing w:val="-20"/>
                <w:sz w:val="24"/>
              </w:rPr>
              <w:t>18</w:t>
            </w:r>
          </w:p>
        </w:tc>
        <w:tc>
          <w:tcPr>
            <w:tcW w:w="1058" w:type="pct"/>
            <w:noWrap w:val="0"/>
            <w:vAlign w:val="center"/>
          </w:tcPr>
          <w:p w14:paraId="745A345C">
            <w:pPr>
              <w:pStyle w:val="20"/>
              <w:jc w:val="center"/>
              <w:rPr>
                <w:rFonts w:ascii="Times New Roman" w:hAnsi="Times New Roman" w:eastAsia="楷体_GB2312"/>
                <w:sz w:val="24"/>
                <w:szCs w:val="24"/>
              </w:rPr>
            </w:pPr>
            <w:r>
              <w:rPr>
                <w:rFonts w:ascii="Times New Roman" w:hAnsi="Times New Roman" w:eastAsia="楷体_GB2312"/>
                <w:sz w:val="24"/>
                <w:szCs w:val="24"/>
              </w:rPr>
              <w:t>大泽乡镇</w:t>
            </w:r>
          </w:p>
        </w:tc>
        <w:tc>
          <w:tcPr>
            <w:tcW w:w="1580" w:type="pct"/>
            <w:noWrap w:val="0"/>
            <w:vAlign w:val="center"/>
          </w:tcPr>
          <w:p w14:paraId="4A15DDC4">
            <w:pPr>
              <w:spacing w:line="320" w:lineRule="exact"/>
              <w:jc w:val="center"/>
              <w:rPr>
                <w:rFonts w:eastAsia="楷体_GB2312"/>
                <w:spacing w:val="-20"/>
                <w:sz w:val="24"/>
              </w:rPr>
            </w:pPr>
            <w:r>
              <w:rPr>
                <w:rFonts w:hint="eastAsia" w:eastAsia="楷体_GB2312"/>
                <w:spacing w:val="-20"/>
                <w:sz w:val="24"/>
              </w:rPr>
              <w:t>1:5000</w:t>
            </w:r>
          </w:p>
        </w:tc>
        <w:tc>
          <w:tcPr>
            <w:tcW w:w="1580" w:type="pct"/>
            <w:noWrap w:val="0"/>
            <w:vAlign w:val="center"/>
          </w:tcPr>
          <w:p w14:paraId="682C1596">
            <w:pPr>
              <w:spacing w:line="320" w:lineRule="exact"/>
              <w:jc w:val="center"/>
              <w:rPr>
                <w:rFonts w:eastAsia="楷体_GB2312"/>
                <w:spacing w:val="-20"/>
                <w:sz w:val="24"/>
              </w:rPr>
            </w:pPr>
            <w:r>
              <w:rPr>
                <w:rFonts w:hint="eastAsia" w:eastAsia="楷体_GB2312"/>
                <w:spacing w:val="-20"/>
                <w:sz w:val="24"/>
              </w:rPr>
              <w:t>1:10000</w:t>
            </w:r>
          </w:p>
        </w:tc>
      </w:tr>
      <w:tr w14:paraId="346C1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36EAFAF5">
            <w:pPr>
              <w:spacing w:line="320" w:lineRule="exact"/>
              <w:jc w:val="center"/>
              <w:rPr>
                <w:rFonts w:eastAsia="楷体_GB2312"/>
                <w:spacing w:val="-20"/>
                <w:sz w:val="24"/>
              </w:rPr>
            </w:pPr>
            <w:r>
              <w:rPr>
                <w:rFonts w:hint="eastAsia" w:eastAsia="楷体_GB2312"/>
                <w:spacing w:val="-20"/>
                <w:sz w:val="24"/>
              </w:rPr>
              <w:t>19</w:t>
            </w:r>
          </w:p>
        </w:tc>
        <w:tc>
          <w:tcPr>
            <w:tcW w:w="1058" w:type="pct"/>
            <w:noWrap w:val="0"/>
            <w:vAlign w:val="center"/>
          </w:tcPr>
          <w:p w14:paraId="66B961EE">
            <w:pPr>
              <w:pStyle w:val="20"/>
              <w:jc w:val="center"/>
              <w:rPr>
                <w:rFonts w:ascii="Times New Roman" w:hAnsi="Times New Roman" w:eastAsia="楷体_GB2312"/>
                <w:sz w:val="24"/>
                <w:szCs w:val="24"/>
              </w:rPr>
            </w:pPr>
            <w:r>
              <w:rPr>
                <w:rFonts w:ascii="Times New Roman" w:hAnsi="Times New Roman" w:eastAsia="楷体_GB2312"/>
                <w:sz w:val="24"/>
                <w:szCs w:val="24"/>
              </w:rPr>
              <w:t>永安镇</w:t>
            </w:r>
          </w:p>
        </w:tc>
        <w:tc>
          <w:tcPr>
            <w:tcW w:w="1580" w:type="pct"/>
            <w:noWrap w:val="0"/>
            <w:vAlign w:val="center"/>
          </w:tcPr>
          <w:p w14:paraId="56D0A99D">
            <w:pPr>
              <w:spacing w:line="320" w:lineRule="exact"/>
              <w:jc w:val="center"/>
              <w:rPr>
                <w:rFonts w:eastAsia="楷体_GB2312"/>
                <w:spacing w:val="-20"/>
                <w:sz w:val="24"/>
              </w:rPr>
            </w:pPr>
            <w:r>
              <w:rPr>
                <w:rFonts w:hint="eastAsia" w:eastAsia="楷体_GB2312"/>
                <w:spacing w:val="-20"/>
                <w:sz w:val="24"/>
              </w:rPr>
              <w:t>1:6000</w:t>
            </w:r>
          </w:p>
        </w:tc>
        <w:tc>
          <w:tcPr>
            <w:tcW w:w="1580" w:type="pct"/>
            <w:noWrap w:val="0"/>
            <w:vAlign w:val="center"/>
          </w:tcPr>
          <w:p w14:paraId="17CE1DA8">
            <w:pPr>
              <w:spacing w:line="320" w:lineRule="exact"/>
              <w:jc w:val="center"/>
              <w:rPr>
                <w:rFonts w:eastAsia="楷体_GB2312"/>
                <w:spacing w:val="-20"/>
                <w:sz w:val="24"/>
              </w:rPr>
            </w:pPr>
            <w:r>
              <w:rPr>
                <w:rFonts w:hint="eastAsia" w:eastAsia="楷体_GB2312"/>
                <w:spacing w:val="-20"/>
                <w:sz w:val="24"/>
              </w:rPr>
              <w:t>1:12000</w:t>
            </w:r>
          </w:p>
        </w:tc>
      </w:tr>
      <w:tr w14:paraId="6B66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400D4A07">
            <w:pPr>
              <w:spacing w:line="320" w:lineRule="exact"/>
              <w:jc w:val="center"/>
              <w:rPr>
                <w:rFonts w:eastAsia="楷体_GB2312"/>
                <w:spacing w:val="-20"/>
                <w:sz w:val="24"/>
              </w:rPr>
            </w:pPr>
            <w:r>
              <w:rPr>
                <w:rFonts w:hint="eastAsia" w:eastAsia="楷体_GB2312"/>
                <w:spacing w:val="-20"/>
                <w:sz w:val="24"/>
              </w:rPr>
              <w:t>20</w:t>
            </w:r>
          </w:p>
        </w:tc>
        <w:tc>
          <w:tcPr>
            <w:tcW w:w="1058" w:type="pct"/>
            <w:noWrap w:val="0"/>
            <w:vAlign w:val="center"/>
          </w:tcPr>
          <w:p w14:paraId="4189559B">
            <w:pPr>
              <w:pStyle w:val="20"/>
              <w:jc w:val="center"/>
              <w:rPr>
                <w:rFonts w:ascii="Times New Roman" w:hAnsi="Times New Roman" w:eastAsia="楷体_GB2312"/>
                <w:sz w:val="24"/>
                <w:szCs w:val="24"/>
              </w:rPr>
            </w:pPr>
            <w:r>
              <w:rPr>
                <w:rFonts w:ascii="Times New Roman" w:hAnsi="Times New Roman" w:eastAsia="楷体_GB2312"/>
                <w:sz w:val="24"/>
                <w:szCs w:val="24"/>
              </w:rPr>
              <w:t>支河乡</w:t>
            </w:r>
          </w:p>
        </w:tc>
        <w:tc>
          <w:tcPr>
            <w:tcW w:w="1580" w:type="pct"/>
            <w:noWrap w:val="0"/>
            <w:vAlign w:val="center"/>
          </w:tcPr>
          <w:p w14:paraId="4F7580ED">
            <w:pPr>
              <w:spacing w:line="320" w:lineRule="exact"/>
              <w:jc w:val="center"/>
              <w:rPr>
                <w:rFonts w:eastAsia="楷体_GB2312"/>
                <w:spacing w:val="-20"/>
                <w:sz w:val="24"/>
              </w:rPr>
            </w:pPr>
            <w:r>
              <w:rPr>
                <w:rFonts w:hint="eastAsia" w:eastAsia="楷体_GB2312"/>
                <w:spacing w:val="-20"/>
                <w:sz w:val="24"/>
              </w:rPr>
              <w:t>1:4000</w:t>
            </w:r>
          </w:p>
        </w:tc>
        <w:tc>
          <w:tcPr>
            <w:tcW w:w="1580" w:type="pct"/>
            <w:noWrap w:val="0"/>
            <w:vAlign w:val="center"/>
          </w:tcPr>
          <w:p w14:paraId="0F874774">
            <w:pPr>
              <w:spacing w:line="320" w:lineRule="exact"/>
              <w:jc w:val="center"/>
              <w:rPr>
                <w:rFonts w:eastAsia="楷体_GB2312"/>
                <w:spacing w:val="-20"/>
                <w:sz w:val="24"/>
              </w:rPr>
            </w:pPr>
            <w:r>
              <w:rPr>
                <w:rFonts w:hint="eastAsia" w:eastAsia="楷体_GB2312"/>
                <w:spacing w:val="-20"/>
                <w:sz w:val="24"/>
              </w:rPr>
              <w:t>1:8000</w:t>
            </w:r>
          </w:p>
        </w:tc>
      </w:tr>
      <w:tr w14:paraId="51CB7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2B1BB2C3">
            <w:pPr>
              <w:spacing w:line="320" w:lineRule="exact"/>
              <w:jc w:val="center"/>
              <w:rPr>
                <w:rFonts w:eastAsia="楷体_GB2312"/>
                <w:spacing w:val="-20"/>
                <w:sz w:val="24"/>
              </w:rPr>
            </w:pPr>
            <w:r>
              <w:rPr>
                <w:rFonts w:hint="eastAsia" w:eastAsia="楷体_GB2312"/>
                <w:spacing w:val="-20"/>
                <w:sz w:val="24"/>
              </w:rPr>
              <w:t>21</w:t>
            </w:r>
          </w:p>
        </w:tc>
        <w:tc>
          <w:tcPr>
            <w:tcW w:w="1058" w:type="pct"/>
            <w:noWrap w:val="0"/>
            <w:vAlign w:val="center"/>
          </w:tcPr>
          <w:p w14:paraId="2AD0CF97">
            <w:pPr>
              <w:pStyle w:val="20"/>
              <w:jc w:val="center"/>
              <w:rPr>
                <w:rFonts w:ascii="Times New Roman" w:hAnsi="Times New Roman" w:eastAsia="楷体_GB2312"/>
                <w:sz w:val="24"/>
                <w:szCs w:val="24"/>
              </w:rPr>
            </w:pPr>
            <w:r>
              <w:rPr>
                <w:rFonts w:ascii="Times New Roman" w:hAnsi="Times New Roman" w:eastAsia="楷体_GB2312"/>
                <w:sz w:val="24"/>
                <w:szCs w:val="24"/>
              </w:rPr>
              <w:t>灰古镇</w:t>
            </w:r>
          </w:p>
        </w:tc>
        <w:tc>
          <w:tcPr>
            <w:tcW w:w="1580" w:type="pct"/>
            <w:noWrap w:val="0"/>
            <w:vAlign w:val="center"/>
          </w:tcPr>
          <w:p w14:paraId="7719A803">
            <w:pPr>
              <w:spacing w:line="320" w:lineRule="exact"/>
              <w:jc w:val="center"/>
              <w:rPr>
                <w:rFonts w:eastAsia="楷体_GB2312"/>
                <w:spacing w:val="-20"/>
                <w:sz w:val="24"/>
              </w:rPr>
            </w:pPr>
            <w:r>
              <w:rPr>
                <w:rFonts w:hint="eastAsia" w:eastAsia="楷体_GB2312"/>
                <w:spacing w:val="-20"/>
                <w:sz w:val="24"/>
              </w:rPr>
              <w:t>1:3000</w:t>
            </w:r>
          </w:p>
        </w:tc>
        <w:tc>
          <w:tcPr>
            <w:tcW w:w="1580" w:type="pct"/>
            <w:noWrap w:val="0"/>
            <w:vAlign w:val="center"/>
          </w:tcPr>
          <w:p w14:paraId="6AEEB957">
            <w:pPr>
              <w:spacing w:line="320" w:lineRule="exact"/>
              <w:jc w:val="center"/>
              <w:rPr>
                <w:rFonts w:eastAsia="楷体_GB2312"/>
                <w:spacing w:val="-20"/>
                <w:sz w:val="24"/>
              </w:rPr>
            </w:pPr>
            <w:r>
              <w:rPr>
                <w:rFonts w:hint="eastAsia" w:eastAsia="楷体_GB2312"/>
                <w:spacing w:val="-20"/>
                <w:sz w:val="24"/>
              </w:rPr>
              <w:t>1:6000</w:t>
            </w:r>
          </w:p>
        </w:tc>
      </w:tr>
      <w:tr w14:paraId="43AD1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1A1ECB6A">
            <w:pPr>
              <w:spacing w:line="320" w:lineRule="exact"/>
              <w:jc w:val="center"/>
              <w:rPr>
                <w:rFonts w:eastAsia="楷体_GB2312"/>
                <w:spacing w:val="-20"/>
                <w:sz w:val="24"/>
              </w:rPr>
            </w:pPr>
            <w:r>
              <w:rPr>
                <w:rFonts w:hint="eastAsia" w:eastAsia="楷体_GB2312"/>
                <w:spacing w:val="-20"/>
                <w:sz w:val="24"/>
              </w:rPr>
              <w:t>22</w:t>
            </w:r>
          </w:p>
        </w:tc>
        <w:tc>
          <w:tcPr>
            <w:tcW w:w="1058" w:type="pct"/>
            <w:noWrap w:val="0"/>
            <w:vAlign w:val="center"/>
          </w:tcPr>
          <w:p w14:paraId="1D212DF7">
            <w:pPr>
              <w:pStyle w:val="20"/>
              <w:jc w:val="center"/>
              <w:rPr>
                <w:rFonts w:ascii="Times New Roman" w:hAnsi="Times New Roman" w:eastAsia="楷体_GB2312"/>
                <w:sz w:val="24"/>
                <w:szCs w:val="24"/>
              </w:rPr>
            </w:pPr>
            <w:r>
              <w:rPr>
                <w:rFonts w:ascii="Times New Roman" w:hAnsi="Times New Roman" w:eastAsia="楷体_GB2312"/>
                <w:sz w:val="24"/>
                <w:szCs w:val="24"/>
              </w:rPr>
              <w:t>桃沟乡</w:t>
            </w:r>
          </w:p>
        </w:tc>
        <w:tc>
          <w:tcPr>
            <w:tcW w:w="1580" w:type="pct"/>
            <w:noWrap w:val="0"/>
            <w:vAlign w:val="center"/>
          </w:tcPr>
          <w:p w14:paraId="4F978062">
            <w:pPr>
              <w:spacing w:line="320" w:lineRule="exact"/>
              <w:jc w:val="center"/>
              <w:rPr>
                <w:rFonts w:eastAsia="楷体_GB2312"/>
                <w:spacing w:val="-20"/>
                <w:sz w:val="24"/>
              </w:rPr>
            </w:pPr>
            <w:r>
              <w:rPr>
                <w:rFonts w:hint="eastAsia" w:eastAsia="楷体_GB2312"/>
                <w:spacing w:val="-20"/>
                <w:sz w:val="24"/>
              </w:rPr>
              <w:t>1:3000</w:t>
            </w:r>
          </w:p>
        </w:tc>
        <w:tc>
          <w:tcPr>
            <w:tcW w:w="1580" w:type="pct"/>
            <w:noWrap w:val="0"/>
            <w:vAlign w:val="center"/>
          </w:tcPr>
          <w:p w14:paraId="57E5757F">
            <w:pPr>
              <w:spacing w:line="320" w:lineRule="exact"/>
              <w:jc w:val="center"/>
              <w:rPr>
                <w:rFonts w:eastAsia="楷体_GB2312"/>
                <w:spacing w:val="-20"/>
                <w:sz w:val="24"/>
              </w:rPr>
            </w:pPr>
            <w:r>
              <w:rPr>
                <w:rFonts w:hint="eastAsia" w:eastAsia="楷体_GB2312"/>
                <w:spacing w:val="-20"/>
                <w:sz w:val="24"/>
              </w:rPr>
              <w:t>1:6000</w:t>
            </w:r>
          </w:p>
        </w:tc>
      </w:tr>
      <w:tr w14:paraId="64B64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1A3F004D">
            <w:pPr>
              <w:spacing w:line="320" w:lineRule="exact"/>
              <w:jc w:val="center"/>
              <w:rPr>
                <w:rFonts w:eastAsia="楷体_GB2312"/>
                <w:spacing w:val="-20"/>
                <w:sz w:val="24"/>
              </w:rPr>
            </w:pPr>
            <w:r>
              <w:rPr>
                <w:rFonts w:hint="eastAsia" w:eastAsia="楷体_GB2312"/>
                <w:spacing w:val="-20"/>
                <w:sz w:val="24"/>
              </w:rPr>
              <w:t>23</w:t>
            </w:r>
          </w:p>
        </w:tc>
        <w:tc>
          <w:tcPr>
            <w:tcW w:w="1058" w:type="pct"/>
            <w:noWrap w:val="0"/>
            <w:vAlign w:val="center"/>
          </w:tcPr>
          <w:p w14:paraId="0D1E82CA">
            <w:pPr>
              <w:pStyle w:val="20"/>
              <w:jc w:val="center"/>
              <w:rPr>
                <w:rFonts w:ascii="Times New Roman" w:hAnsi="Times New Roman" w:eastAsia="楷体_GB2312"/>
                <w:sz w:val="24"/>
                <w:szCs w:val="24"/>
              </w:rPr>
            </w:pPr>
            <w:r>
              <w:rPr>
                <w:rFonts w:ascii="Times New Roman" w:hAnsi="Times New Roman" w:eastAsia="楷体_GB2312"/>
                <w:sz w:val="24"/>
                <w:szCs w:val="24"/>
              </w:rPr>
              <w:t>曹村开发区</w:t>
            </w:r>
          </w:p>
        </w:tc>
        <w:tc>
          <w:tcPr>
            <w:tcW w:w="1580" w:type="pct"/>
            <w:noWrap w:val="0"/>
            <w:vAlign w:val="center"/>
          </w:tcPr>
          <w:p w14:paraId="6F13B335">
            <w:pPr>
              <w:spacing w:line="320" w:lineRule="exact"/>
              <w:jc w:val="center"/>
              <w:rPr>
                <w:rFonts w:eastAsia="楷体_GB2312"/>
                <w:spacing w:val="-20"/>
                <w:sz w:val="24"/>
              </w:rPr>
            </w:pPr>
            <w:r>
              <w:rPr>
                <w:rFonts w:hint="eastAsia" w:eastAsia="楷体_GB2312"/>
                <w:spacing w:val="-20"/>
                <w:sz w:val="24"/>
              </w:rPr>
              <w:t>1:8000</w:t>
            </w:r>
          </w:p>
        </w:tc>
        <w:tc>
          <w:tcPr>
            <w:tcW w:w="1580" w:type="pct"/>
            <w:noWrap w:val="0"/>
            <w:vAlign w:val="center"/>
          </w:tcPr>
          <w:p w14:paraId="0BB60597">
            <w:pPr>
              <w:spacing w:line="320" w:lineRule="exact"/>
              <w:jc w:val="center"/>
              <w:rPr>
                <w:rFonts w:eastAsia="楷体_GB2312"/>
                <w:spacing w:val="-20"/>
                <w:sz w:val="24"/>
              </w:rPr>
            </w:pPr>
            <w:r>
              <w:rPr>
                <w:rFonts w:hint="eastAsia" w:eastAsia="楷体_GB2312"/>
                <w:spacing w:val="-20"/>
                <w:sz w:val="24"/>
              </w:rPr>
              <w:t>1:16000</w:t>
            </w:r>
          </w:p>
        </w:tc>
      </w:tr>
      <w:tr w14:paraId="747C2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46F6E7A3">
            <w:pPr>
              <w:spacing w:line="320" w:lineRule="exact"/>
              <w:jc w:val="center"/>
              <w:rPr>
                <w:rFonts w:eastAsia="楷体_GB2312"/>
                <w:spacing w:val="-20"/>
                <w:sz w:val="24"/>
              </w:rPr>
            </w:pPr>
            <w:r>
              <w:rPr>
                <w:rFonts w:hint="eastAsia" w:eastAsia="楷体_GB2312"/>
                <w:spacing w:val="-20"/>
                <w:sz w:val="24"/>
              </w:rPr>
              <w:t>24</w:t>
            </w:r>
          </w:p>
        </w:tc>
        <w:tc>
          <w:tcPr>
            <w:tcW w:w="1058" w:type="pct"/>
            <w:noWrap w:val="0"/>
            <w:vAlign w:val="center"/>
          </w:tcPr>
          <w:p w14:paraId="1FEAC12E">
            <w:pPr>
              <w:pStyle w:val="20"/>
              <w:jc w:val="center"/>
              <w:rPr>
                <w:rFonts w:ascii="Times New Roman" w:hAnsi="Times New Roman" w:eastAsia="楷体_GB2312"/>
                <w:sz w:val="24"/>
                <w:szCs w:val="24"/>
              </w:rPr>
            </w:pPr>
            <w:r>
              <w:rPr>
                <w:rFonts w:ascii="Times New Roman" w:hAnsi="Times New Roman" w:eastAsia="楷体_GB2312"/>
                <w:sz w:val="24"/>
                <w:szCs w:val="24"/>
              </w:rPr>
              <w:t>家具产业园区</w:t>
            </w:r>
          </w:p>
        </w:tc>
        <w:tc>
          <w:tcPr>
            <w:tcW w:w="1580" w:type="pct"/>
            <w:noWrap w:val="0"/>
            <w:vAlign w:val="center"/>
          </w:tcPr>
          <w:p w14:paraId="65E7F09D">
            <w:pPr>
              <w:spacing w:line="320" w:lineRule="exact"/>
              <w:jc w:val="center"/>
              <w:rPr>
                <w:rFonts w:eastAsia="楷体_GB2312"/>
                <w:spacing w:val="-20"/>
                <w:sz w:val="24"/>
              </w:rPr>
            </w:pPr>
            <w:r>
              <w:rPr>
                <w:rFonts w:hint="eastAsia" w:eastAsia="楷体_GB2312"/>
                <w:spacing w:val="-20"/>
                <w:sz w:val="24"/>
              </w:rPr>
              <w:t>1:5000</w:t>
            </w:r>
          </w:p>
        </w:tc>
        <w:tc>
          <w:tcPr>
            <w:tcW w:w="1580" w:type="pct"/>
            <w:noWrap w:val="0"/>
            <w:vAlign w:val="center"/>
          </w:tcPr>
          <w:p w14:paraId="309397B2">
            <w:pPr>
              <w:spacing w:line="320" w:lineRule="exact"/>
              <w:jc w:val="center"/>
              <w:rPr>
                <w:rFonts w:eastAsia="楷体_GB2312"/>
                <w:spacing w:val="-20"/>
                <w:sz w:val="24"/>
              </w:rPr>
            </w:pPr>
            <w:r>
              <w:rPr>
                <w:rFonts w:hint="eastAsia" w:eastAsia="楷体_GB2312"/>
                <w:spacing w:val="-20"/>
                <w:sz w:val="24"/>
              </w:rPr>
              <w:t>1:10000</w:t>
            </w:r>
          </w:p>
        </w:tc>
      </w:tr>
      <w:tr w14:paraId="34A0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82" w:type="pct"/>
            <w:noWrap w:val="0"/>
            <w:vAlign w:val="center"/>
          </w:tcPr>
          <w:p w14:paraId="45849E39">
            <w:pPr>
              <w:spacing w:line="320" w:lineRule="exact"/>
              <w:jc w:val="center"/>
              <w:rPr>
                <w:rFonts w:eastAsia="楷体_GB2312"/>
                <w:spacing w:val="-20"/>
                <w:sz w:val="24"/>
              </w:rPr>
            </w:pPr>
            <w:r>
              <w:rPr>
                <w:rFonts w:hint="eastAsia" w:eastAsia="楷体_GB2312"/>
                <w:spacing w:val="-20"/>
                <w:sz w:val="24"/>
              </w:rPr>
              <w:t>25</w:t>
            </w:r>
          </w:p>
        </w:tc>
        <w:tc>
          <w:tcPr>
            <w:tcW w:w="1058" w:type="pct"/>
            <w:noWrap w:val="0"/>
            <w:vAlign w:val="center"/>
          </w:tcPr>
          <w:p w14:paraId="1F5CFBA6">
            <w:pPr>
              <w:pStyle w:val="20"/>
              <w:jc w:val="center"/>
              <w:rPr>
                <w:rFonts w:ascii="Times New Roman" w:hAnsi="Times New Roman" w:eastAsia="楷体_GB2312"/>
                <w:sz w:val="24"/>
                <w:szCs w:val="24"/>
              </w:rPr>
            </w:pPr>
            <w:r>
              <w:rPr>
                <w:rFonts w:ascii="Times New Roman" w:hAnsi="Times New Roman" w:eastAsia="楷体_GB2312"/>
                <w:sz w:val="24"/>
                <w:szCs w:val="24"/>
              </w:rPr>
              <w:t>农业示范园区</w:t>
            </w:r>
          </w:p>
        </w:tc>
        <w:tc>
          <w:tcPr>
            <w:tcW w:w="1580" w:type="pct"/>
            <w:noWrap w:val="0"/>
            <w:vAlign w:val="center"/>
          </w:tcPr>
          <w:p w14:paraId="05873975">
            <w:pPr>
              <w:spacing w:line="320" w:lineRule="exact"/>
              <w:jc w:val="center"/>
              <w:rPr>
                <w:rFonts w:eastAsia="楷体_GB2312"/>
                <w:spacing w:val="-20"/>
                <w:sz w:val="24"/>
              </w:rPr>
            </w:pPr>
            <w:r>
              <w:rPr>
                <w:rFonts w:hint="eastAsia" w:eastAsia="楷体_GB2312"/>
                <w:spacing w:val="-20"/>
                <w:sz w:val="24"/>
              </w:rPr>
              <w:t>1:10000</w:t>
            </w:r>
          </w:p>
        </w:tc>
        <w:tc>
          <w:tcPr>
            <w:tcW w:w="1580" w:type="pct"/>
            <w:noWrap w:val="0"/>
            <w:vAlign w:val="center"/>
          </w:tcPr>
          <w:p w14:paraId="01293925">
            <w:pPr>
              <w:spacing w:line="320" w:lineRule="exact"/>
              <w:jc w:val="center"/>
              <w:rPr>
                <w:rFonts w:eastAsia="楷体_GB2312"/>
                <w:spacing w:val="-20"/>
                <w:sz w:val="24"/>
              </w:rPr>
            </w:pPr>
            <w:r>
              <w:rPr>
                <w:rFonts w:hint="eastAsia" w:eastAsia="楷体_GB2312"/>
                <w:spacing w:val="-20"/>
                <w:sz w:val="24"/>
              </w:rPr>
              <w:t>1:20000</w:t>
            </w:r>
          </w:p>
        </w:tc>
      </w:tr>
    </w:tbl>
    <w:p w14:paraId="0B0C43FD">
      <w:pPr>
        <w:pStyle w:val="20"/>
        <w:spacing w:line="480" w:lineRule="exact"/>
        <w:rPr>
          <w:rFonts w:ascii="Times New Roman" w:hAnsi="Times New Roman" w:cs="Times New Roman"/>
          <w:b/>
          <w:sz w:val="28"/>
        </w:rPr>
      </w:pPr>
      <w:r>
        <w:rPr>
          <w:rFonts w:ascii="Times New Roman" w:hAnsi="Times New Roman" w:cs="Times New Roman"/>
          <w:b/>
          <w:sz w:val="28"/>
        </w:rPr>
        <w:t>二、建立土地定级评价指标体系</w:t>
      </w:r>
    </w:p>
    <w:p w14:paraId="7EEAC5AC">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由</w:t>
      </w:r>
      <w:r>
        <w:rPr>
          <w:rFonts w:hint="eastAsia" w:ascii="楷体" w:hAnsi="楷体" w:eastAsia="楷体" w:cs="宋体"/>
          <w:sz w:val="28"/>
          <w:szCs w:val="24"/>
        </w:rPr>
        <w:t>埇桥区国有建设用地基准地价更新调整工作领导小组</w:t>
      </w:r>
      <w:r>
        <w:rPr>
          <w:rFonts w:ascii="Times New Roman" w:hAnsi="Times New Roman" w:eastAsia="楷体_GB2312" w:cs="Times New Roman"/>
          <w:sz w:val="28"/>
          <w:szCs w:val="24"/>
        </w:rPr>
        <w:t>（以下简称“工作领导小组”）</w:t>
      </w:r>
      <w:r>
        <w:rPr>
          <w:rFonts w:ascii="Times New Roman" w:hAnsi="Times New Roman" w:eastAsia="楷体_GB2312" w:cs="Times New Roman"/>
          <w:sz w:val="28"/>
        </w:rPr>
        <w:t>邀请专家征询组，采用特尔菲测定法确定影响土地级别的因素因子及其权重。</w:t>
      </w:r>
    </w:p>
    <w:p w14:paraId="46C6EBC9">
      <w:pPr>
        <w:pStyle w:val="20"/>
        <w:spacing w:line="480" w:lineRule="exact"/>
        <w:rPr>
          <w:rFonts w:ascii="Times New Roman" w:hAnsi="Times New Roman" w:cs="Times New Roman"/>
          <w:b/>
          <w:sz w:val="28"/>
        </w:rPr>
      </w:pPr>
      <w:r>
        <w:rPr>
          <w:rFonts w:ascii="Times New Roman" w:hAnsi="Times New Roman" w:cs="Times New Roman"/>
          <w:b/>
          <w:sz w:val="28"/>
        </w:rPr>
        <w:t>三、土地定级资料调查</w:t>
      </w:r>
    </w:p>
    <w:p w14:paraId="3E7815D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全面收集评价区内定级资料。定级资料主要包括：商服繁华程度、道路通达度、对外交通便利度、基础设施完善度、公用设施完备度、环境质量优劣度、自然条件优劣度等资料。</w:t>
      </w:r>
    </w:p>
    <w:p w14:paraId="2ECB6A9D">
      <w:pPr>
        <w:pStyle w:val="20"/>
        <w:spacing w:line="480" w:lineRule="exact"/>
        <w:rPr>
          <w:rFonts w:ascii="Times New Roman" w:hAnsi="Times New Roman" w:cs="Times New Roman"/>
          <w:b/>
          <w:sz w:val="28"/>
        </w:rPr>
      </w:pPr>
      <w:r>
        <w:rPr>
          <w:rFonts w:ascii="Times New Roman" w:hAnsi="Times New Roman" w:cs="Times New Roman"/>
          <w:b/>
          <w:sz w:val="28"/>
        </w:rPr>
        <w:t>四、建立土地定级工作数据库</w:t>
      </w:r>
    </w:p>
    <w:p w14:paraId="5784012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在土地定级工作数据库的支持下，将土地定级因素因子分布图（样本图）和调查表（属性说明表）输入计算机，建立土地定级因素因子工作数据库。</w:t>
      </w:r>
    </w:p>
    <w:p w14:paraId="3F38BE49">
      <w:pPr>
        <w:pStyle w:val="20"/>
        <w:spacing w:line="480" w:lineRule="exact"/>
        <w:rPr>
          <w:rFonts w:ascii="Times New Roman" w:hAnsi="Times New Roman" w:cs="Times New Roman"/>
          <w:b/>
          <w:sz w:val="28"/>
        </w:rPr>
      </w:pPr>
      <w:r>
        <w:rPr>
          <w:rFonts w:ascii="Times New Roman" w:hAnsi="Times New Roman" w:cs="Times New Roman"/>
          <w:b/>
          <w:sz w:val="28"/>
        </w:rPr>
        <w:t>五、土地定级资料整理及定量化处理</w:t>
      </w:r>
    </w:p>
    <w:p w14:paraId="08D6FA9C">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土地定级因素因子调查表数据和图件，参照《城镇土地分等定级规程》规定的方法对定级因素因子进行量化，并确定其作用分，对其中的点、线状因素因子根据其影响方式和强度，确定其服务半径。编制各土地定级因素因子作用分值表。</w:t>
      </w:r>
    </w:p>
    <w:p w14:paraId="4CB24F8E">
      <w:pPr>
        <w:pStyle w:val="20"/>
        <w:spacing w:line="480" w:lineRule="exact"/>
        <w:rPr>
          <w:rFonts w:ascii="Times New Roman" w:hAnsi="Times New Roman" w:cs="Times New Roman"/>
          <w:b/>
          <w:sz w:val="28"/>
        </w:rPr>
      </w:pPr>
      <w:r>
        <w:rPr>
          <w:rFonts w:ascii="Times New Roman" w:hAnsi="Times New Roman" w:cs="Times New Roman"/>
          <w:b/>
          <w:sz w:val="28"/>
        </w:rPr>
        <w:t>六、土地定级单元的划分</w:t>
      </w:r>
    </w:p>
    <w:p w14:paraId="5CA3727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采用网格化方法，由计算机自动划分土地定级单元。</w:t>
      </w:r>
    </w:p>
    <w:p w14:paraId="1014109B">
      <w:pPr>
        <w:pStyle w:val="20"/>
        <w:spacing w:line="480" w:lineRule="exact"/>
        <w:rPr>
          <w:rFonts w:ascii="Times New Roman" w:hAnsi="Times New Roman" w:cs="Times New Roman"/>
          <w:b/>
          <w:sz w:val="28"/>
        </w:rPr>
      </w:pPr>
      <w:r>
        <w:rPr>
          <w:rFonts w:ascii="Times New Roman" w:hAnsi="Times New Roman" w:cs="Times New Roman"/>
          <w:b/>
          <w:sz w:val="28"/>
        </w:rPr>
        <w:t>七、土地定级单元内作用分值计算</w:t>
      </w:r>
    </w:p>
    <w:p w14:paraId="7B5F8B90">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在土地定级工作数据库的支持下，采用缓冲区分析技术，按各因素因子对土地质量的影响方式，分别选择指数扩散、线性扩散和区域赋值方法，由计算机自动计算所有因子对定级单元的作用分值，并建立其工作数据库。采用数字叠置技术，即加权求和的方法，自动进行土地定级因素作用分值和综合作用总分值的计算。</w:t>
      </w:r>
    </w:p>
    <w:p w14:paraId="79886623">
      <w:pPr>
        <w:pStyle w:val="20"/>
        <w:spacing w:line="480" w:lineRule="exact"/>
        <w:rPr>
          <w:rFonts w:ascii="Times New Roman" w:hAnsi="Times New Roman" w:cs="Times New Roman"/>
          <w:b/>
          <w:sz w:val="28"/>
        </w:rPr>
      </w:pPr>
      <w:r>
        <w:rPr>
          <w:rFonts w:ascii="Times New Roman" w:hAnsi="Times New Roman" w:cs="Times New Roman"/>
          <w:b/>
          <w:sz w:val="28"/>
        </w:rPr>
        <w:t>八、土地级别的初步划分</w:t>
      </w:r>
    </w:p>
    <w:p w14:paraId="6AFC840B">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绘制总分频率直方图，按土地优劣的实际情况，选择总分频率曲线分布突变处作为级间分界。运用等值线法，自动绘制理论土地级别界线。对照土地利用现状图、地籍图和样点地价分布图，进行土地级别界线初步落界，形成初步的土地级别图图形工作数据库，并绘制土地级别图。</w:t>
      </w:r>
    </w:p>
    <w:p w14:paraId="49CACB4F">
      <w:pPr>
        <w:pStyle w:val="20"/>
        <w:spacing w:line="480" w:lineRule="exact"/>
        <w:rPr>
          <w:rFonts w:ascii="Times New Roman" w:hAnsi="Times New Roman" w:cs="Times New Roman"/>
          <w:b/>
          <w:sz w:val="28"/>
        </w:rPr>
      </w:pPr>
      <w:r>
        <w:rPr>
          <w:rFonts w:ascii="Times New Roman" w:hAnsi="Times New Roman" w:cs="Times New Roman"/>
          <w:b/>
          <w:sz w:val="28"/>
        </w:rPr>
        <w:t>九、土地级别的验证与确定</w:t>
      </w:r>
    </w:p>
    <w:p w14:paraId="46C4DE30">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采用市场交易资料测算法和专家论证法对初步划分的土地级别进行验证、调整，并进行实地踏勘校正，最终确定土地级别及其界线。</w:t>
      </w:r>
    </w:p>
    <w:p w14:paraId="5303B017">
      <w:pPr>
        <w:pStyle w:val="20"/>
        <w:spacing w:line="480" w:lineRule="exact"/>
        <w:rPr>
          <w:rFonts w:ascii="Times New Roman" w:hAnsi="Times New Roman" w:cs="Times New Roman"/>
          <w:b/>
          <w:sz w:val="28"/>
        </w:rPr>
      </w:pPr>
      <w:r>
        <w:rPr>
          <w:rFonts w:ascii="Times New Roman" w:hAnsi="Times New Roman" w:cs="Times New Roman"/>
          <w:b/>
          <w:sz w:val="28"/>
        </w:rPr>
        <w:t>十、土地定级成果的整理</w:t>
      </w:r>
    </w:p>
    <w:p w14:paraId="7CEE045D">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参照《城镇土地分等定级规程》的技术要求，利用计算机技术编制土地定级因素作用分值图及总分值图、土地级别图。</w:t>
      </w:r>
    </w:p>
    <w:p w14:paraId="2DF2D324">
      <w:pPr>
        <w:pStyle w:val="20"/>
        <w:spacing w:line="480" w:lineRule="exact"/>
        <w:rPr>
          <w:rFonts w:ascii="Times New Roman" w:hAnsi="Times New Roman" w:cs="Times New Roman"/>
          <w:b/>
          <w:sz w:val="28"/>
        </w:rPr>
      </w:pPr>
      <w:r>
        <w:rPr>
          <w:rFonts w:ascii="Times New Roman" w:hAnsi="Times New Roman" w:cs="Times New Roman"/>
          <w:b/>
          <w:sz w:val="28"/>
        </w:rPr>
        <w:t>十一、土地级别面积量算</w:t>
      </w:r>
    </w:p>
    <w:p w14:paraId="1A8B0EF0">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在编制完成的土地级别电子图上，由计算机自动跟踪量算各土地级别面积，分别对各乡镇各级别的土地面积进行统计。</w:t>
      </w:r>
    </w:p>
    <w:p w14:paraId="2981B64A">
      <w:pPr>
        <w:pStyle w:val="20"/>
        <w:spacing w:line="480" w:lineRule="exact"/>
        <w:rPr>
          <w:rFonts w:ascii="Times New Roman" w:hAnsi="Times New Roman" w:cs="Times New Roman"/>
          <w:b/>
          <w:sz w:val="28"/>
        </w:rPr>
      </w:pPr>
      <w:r>
        <w:rPr>
          <w:rFonts w:ascii="Times New Roman" w:hAnsi="Times New Roman" w:cs="Times New Roman"/>
          <w:b/>
          <w:sz w:val="28"/>
        </w:rPr>
        <w:t>十二、编写土地定级报告</w:t>
      </w:r>
    </w:p>
    <w:p w14:paraId="462D8AAE">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编写土地定级工作报告和技术报告。</w:t>
      </w:r>
    </w:p>
    <w:p w14:paraId="7129DDAA">
      <w:pPr>
        <w:pStyle w:val="20"/>
        <w:spacing w:line="480" w:lineRule="exact"/>
        <w:ind w:firstLine="560" w:firstLineChars="200"/>
        <w:rPr>
          <w:rFonts w:ascii="Times New Roman" w:hAnsi="Times New Roman" w:eastAsia="楷体_GB2312" w:cs="Times New Roman"/>
          <w:sz w:val="28"/>
        </w:rPr>
        <w:sectPr>
          <w:footerReference r:id="rId7" w:type="default"/>
          <w:pgSz w:w="11906" w:h="16838"/>
          <w:pgMar w:top="1701" w:right="1418" w:bottom="1418" w:left="1701" w:header="1134" w:footer="992" w:gutter="0"/>
          <w:pgNumType w:start="1"/>
          <w:cols w:space="720" w:num="1"/>
          <w:docGrid w:linePitch="12" w:charSpace="0"/>
        </w:sectPr>
      </w:pPr>
    </w:p>
    <w:p w14:paraId="58175722">
      <w:pPr>
        <w:pStyle w:val="3"/>
        <w:spacing w:before="0" w:after="0" w:line="480" w:lineRule="exact"/>
        <w:jc w:val="center"/>
        <w:rPr>
          <w:rFonts w:ascii="Times New Roman" w:hAnsi="Times New Roman" w:eastAsia="宋体"/>
          <w:sz w:val="36"/>
        </w:rPr>
      </w:pPr>
      <w:bookmarkStart w:id="16" w:name="_Toc62563648"/>
      <w:r>
        <w:rPr>
          <w:rFonts w:ascii="Times New Roman" w:hAnsi="Times New Roman" w:eastAsia="宋体"/>
          <w:sz w:val="36"/>
        </w:rPr>
        <w:t>第二章  土地定级范围与因素因子及其权重的确定</w:t>
      </w:r>
      <w:bookmarkEnd w:id="16"/>
    </w:p>
    <w:p w14:paraId="6238F6BD">
      <w:pPr>
        <w:pStyle w:val="4"/>
        <w:numPr>
          <w:ilvl w:val="0"/>
          <w:numId w:val="0"/>
        </w:numPr>
        <w:spacing w:line="380" w:lineRule="exact"/>
        <w:jc w:val="center"/>
        <w:rPr>
          <w:rFonts w:eastAsia="仿宋_GB2312"/>
          <w:bCs w:val="0"/>
        </w:rPr>
      </w:pPr>
      <w:bookmarkStart w:id="17" w:name="_Toc62563649"/>
      <w:r>
        <w:rPr>
          <w:rFonts w:eastAsia="仿宋_GB2312"/>
          <w:bCs w:val="0"/>
        </w:rPr>
        <w:t>第一节  土地定级范围的确定</w:t>
      </w:r>
      <w:bookmarkEnd w:id="17"/>
    </w:p>
    <w:p w14:paraId="3E9D8C80">
      <w:pPr>
        <w:pStyle w:val="20"/>
        <w:spacing w:line="480" w:lineRule="exact"/>
        <w:rPr>
          <w:rFonts w:ascii="Times New Roman" w:hAnsi="Times New Roman" w:cs="Times New Roman"/>
          <w:b/>
          <w:sz w:val="28"/>
        </w:rPr>
      </w:pPr>
      <w:r>
        <w:rPr>
          <w:rFonts w:ascii="Times New Roman" w:hAnsi="Times New Roman" w:cs="Times New Roman"/>
          <w:b/>
          <w:sz w:val="28"/>
        </w:rPr>
        <w:t>一、定级范围确定原则</w:t>
      </w:r>
    </w:p>
    <w:p w14:paraId="53428EB1">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1、根据中华人民共和国国家标准《城镇土地分等定级规程》（GB/T 18507-2014），“城镇土地定级对象是土地利用总体规划确定的可作为城镇建设用地使用的土地”。</w:t>
      </w:r>
    </w:p>
    <w:p w14:paraId="2FF1D16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2、根据自然资源和规划部门对该类型项目的验收标准：</w:t>
      </w:r>
      <w:r>
        <w:rPr>
          <w:rFonts w:hint="eastAsia" w:hAnsi="宋体" w:cs="宋体"/>
          <w:sz w:val="28"/>
        </w:rPr>
        <w:t>①</w:t>
      </w:r>
      <w:r>
        <w:rPr>
          <w:rFonts w:ascii="Times New Roman" w:hAnsi="Times New Roman" w:eastAsia="楷体_GB2312" w:cs="Times New Roman"/>
          <w:sz w:val="28"/>
        </w:rPr>
        <w:t>不得超出土地利用总体规划的允许建设区及有条件建设区；</w:t>
      </w:r>
      <w:r>
        <w:rPr>
          <w:rFonts w:hint="eastAsia" w:hAnsi="宋体" w:cs="宋体"/>
          <w:sz w:val="28"/>
        </w:rPr>
        <w:t>②</w:t>
      </w:r>
      <w:r>
        <w:rPr>
          <w:rFonts w:ascii="Times New Roman" w:hAnsi="Times New Roman" w:eastAsia="楷体_GB2312" w:cs="Times New Roman"/>
          <w:sz w:val="28"/>
        </w:rPr>
        <w:t>因城镇土地定级与基准地价成果需三年更新一次，自估价期日起，满足城市未来三年土地使用范围；</w:t>
      </w:r>
      <w:r>
        <w:rPr>
          <w:rFonts w:hint="eastAsia" w:hAnsi="宋体" w:cs="宋体"/>
          <w:sz w:val="28"/>
        </w:rPr>
        <w:t>③</w:t>
      </w:r>
      <w:r>
        <w:rPr>
          <w:rFonts w:ascii="Times New Roman" w:hAnsi="Times New Roman" w:eastAsia="楷体_GB2312" w:cs="Times New Roman"/>
          <w:sz w:val="28"/>
        </w:rPr>
        <w:t>工作范围应集中连片，相隔距离远的应分割进行处理；</w:t>
      </w:r>
      <w:r>
        <w:rPr>
          <w:rFonts w:hint="eastAsia" w:hAnsi="宋体" w:cs="宋体"/>
          <w:sz w:val="28"/>
        </w:rPr>
        <w:t>④</w:t>
      </w:r>
      <w:r>
        <w:rPr>
          <w:rFonts w:ascii="Times New Roman" w:hAnsi="Times New Roman" w:eastAsia="楷体_GB2312" w:cs="Times New Roman"/>
          <w:sz w:val="28"/>
        </w:rPr>
        <w:t>应以现状或规划的明显地物为边界，如道路、铁路、水系、山体等。</w:t>
      </w:r>
    </w:p>
    <w:p w14:paraId="0AAA87C3">
      <w:pPr>
        <w:pStyle w:val="20"/>
        <w:spacing w:line="480" w:lineRule="exact"/>
        <w:rPr>
          <w:rFonts w:ascii="Times New Roman" w:hAnsi="Times New Roman" w:cs="Times New Roman"/>
          <w:b/>
          <w:sz w:val="28"/>
        </w:rPr>
      </w:pPr>
      <w:r>
        <w:rPr>
          <w:rFonts w:ascii="Times New Roman" w:hAnsi="Times New Roman" w:cs="Times New Roman"/>
          <w:b/>
          <w:sz w:val="28"/>
        </w:rPr>
        <w:t>二、定级范围确定依据</w:t>
      </w:r>
    </w:p>
    <w:p w14:paraId="197F46A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按《城镇土地分等定级规程》的技术要求，本次</w:t>
      </w:r>
      <w:r>
        <w:rPr>
          <w:rFonts w:hint="eastAsia" w:ascii="楷体" w:hAnsi="楷体" w:eastAsia="楷体" w:cs="宋体"/>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乡镇土地定级与基准地价更新定级范围的确定主要依据有：</w:t>
      </w:r>
    </w:p>
    <w:p w14:paraId="1BD5FEE0">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1、由外业调查中从</w:t>
      </w:r>
      <w:r>
        <w:rPr>
          <w:rFonts w:hint="eastAsia" w:ascii="Times New Roman" w:hAnsi="Times New Roman" w:eastAsia="楷体_GB2312" w:cs="Times New Roman"/>
          <w:sz w:val="28"/>
        </w:rPr>
        <w:t>宿州市</w:t>
      </w:r>
      <w:r>
        <w:rPr>
          <w:rFonts w:hint="eastAsia" w:ascii="楷体" w:hAnsi="楷体" w:eastAsia="楷体" w:cs="楷体_GB2312"/>
          <w:sz w:val="28"/>
        </w:rPr>
        <w:t>埇</w:t>
      </w:r>
      <w:r>
        <w:rPr>
          <w:rFonts w:hint="eastAsia" w:ascii="楷体_GB2312" w:hAnsi="楷体_GB2312" w:eastAsia="楷体_GB2312" w:cs="楷体_GB2312"/>
          <w:sz w:val="28"/>
        </w:rPr>
        <w:t>桥区</w:t>
      </w:r>
      <w:r>
        <w:rPr>
          <w:rFonts w:hint="eastAsia" w:ascii="Times New Roman" w:hAnsi="Times New Roman" w:eastAsia="楷体_GB2312" w:cs="Times New Roman"/>
          <w:sz w:val="28"/>
        </w:rPr>
        <w:t>自然资源和规划局</w:t>
      </w:r>
      <w:r>
        <w:rPr>
          <w:rFonts w:ascii="Times New Roman" w:hAnsi="Times New Roman" w:eastAsia="楷体_GB2312" w:cs="Times New Roman"/>
          <w:sz w:val="28"/>
        </w:rPr>
        <w:t>取得的各乡镇土地利用总体规划图中的允许建设区和有条件建设区。</w:t>
      </w:r>
    </w:p>
    <w:p w14:paraId="7CAF96C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2、由外业调查中从</w:t>
      </w:r>
      <w:r>
        <w:rPr>
          <w:rFonts w:hint="eastAsia" w:ascii="Times New Roman" w:hAnsi="Times New Roman" w:eastAsia="楷体_GB2312" w:cs="Times New Roman"/>
          <w:sz w:val="28"/>
        </w:rPr>
        <w:t>宿州市</w:t>
      </w:r>
      <w:r>
        <w:rPr>
          <w:rFonts w:hint="eastAsia" w:ascii="楷体" w:hAnsi="楷体" w:eastAsia="楷体" w:cs="Times New Roman"/>
          <w:sz w:val="28"/>
        </w:rPr>
        <w:t>埇</w:t>
      </w:r>
      <w:r>
        <w:rPr>
          <w:rFonts w:hint="eastAsia" w:ascii="Times New Roman" w:hAnsi="Times New Roman" w:eastAsia="楷体_GB2312" w:cs="Times New Roman"/>
          <w:sz w:val="28"/>
        </w:rPr>
        <w:t>桥区自然资源和规划局</w:t>
      </w:r>
      <w:r>
        <w:rPr>
          <w:rFonts w:ascii="Times New Roman" w:hAnsi="Times New Roman" w:eastAsia="楷体_GB2312" w:cs="Times New Roman"/>
          <w:sz w:val="28"/>
        </w:rPr>
        <w:t>取得的各乡镇集镇总体规划。</w:t>
      </w:r>
    </w:p>
    <w:p w14:paraId="0841849C">
      <w:pPr>
        <w:pStyle w:val="20"/>
        <w:spacing w:line="480" w:lineRule="exact"/>
        <w:rPr>
          <w:rFonts w:ascii="Times New Roman" w:hAnsi="Times New Roman" w:cs="Times New Roman"/>
          <w:b/>
          <w:sz w:val="28"/>
        </w:rPr>
      </w:pPr>
      <w:r>
        <w:rPr>
          <w:rFonts w:ascii="Times New Roman" w:hAnsi="Times New Roman" w:cs="Times New Roman"/>
          <w:b/>
          <w:sz w:val="28"/>
        </w:rPr>
        <w:t>三、各乡镇定级范围的确定</w:t>
      </w:r>
    </w:p>
    <w:p w14:paraId="63C2223C">
      <w:pPr>
        <w:pStyle w:val="20"/>
        <w:spacing w:line="480" w:lineRule="exact"/>
        <w:ind w:firstLine="560" w:firstLineChars="200"/>
        <w:rPr>
          <w:rFonts w:ascii="Times New Roman" w:hAnsi="Times New Roman" w:cs="Times New Roman"/>
        </w:rPr>
      </w:pPr>
      <w:r>
        <w:rPr>
          <w:rFonts w:ascii="Times New Roman" w:hAnsi="Times New Roman" w:eastAsia="楷体_GB2312" w:cs="Times New Roman"/>
          <w:sz w:val="28"/>
        </w:rPr>
        <w:t>将</w:t>
      </w:r>
      <w:r>
        <w:rPr>
          <w:rFonts w:ascii="Times New Roman" w:hAnsi="Times New Roman" w:eastAsia="楷体_GB2312" w:cs="Times New Roman"/>
          <w:spacing w:val="-8"/>
          <w:sz w:val="28"/>
        </w:rPr>
        <w:t>根据外业调查组取得的</w:t>
      </w:r>
      <w:r>
        <w:rPr>
          <w:rFonts w:hint="eastAsia" w:ascii="楷体" w:hAnsi="楷体" w:eastAsia="楷体" w:cs="楷体_GB2312"/>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各乡镇集镇总体规划</w:t>
      </w:r>
      <w:r>
        <w:rPr>
          <w:rFonts w:ascii="Times New Roman" w:hAnsi="Times New Roman" w:eastAsia="楷体_GB2312" w:cs="Times New Roman"/>
          <w:spacing w:val="-8"/>
          <w:sz w:val="28"/>
        </w:rPr>
        <w:t>（JPG格式）、</w:t>
      </w:r>
      <w:r>
        <w:rPr>
          <w:rFonts w:hint="eastAsia" w:ascii="楷体" w:hAnsi="楷体" w:eastAsia="楷体" w:cs="宋体"/>
          <w:sz w:val="28"/>
        </w:rPr>
        <w:t>埇</w:t>
      </w:r>
      <w:r>
        <w:rPr>
          <w:rFonts w:hint="eastAsia" w:ascii="楷体" w:hAnsi="楷体" w:eastAsia="楷体" w:cs="楷体_GB2312"/>
          <w:sz w:val="28"/>
        </w:rPr>
        <w:t>桥</w:t>
      </w:r>
      <w:r>
        <w:rPr>
          <w:rFonts w:hint="eastAsia" w:ascii="楷体_GB2312" w:hAnsi="楷体_GB2312" w:eastAsia="楷体_GB2312" w:cs="楷体_GB2312"/>
          <w:sz w:val="28"/>
        </w:rPr>
        <w:t>区</w:t>
      </w:r>
      <w:r>
        <w:rPr>
          <w:rFonts w:ascii="Times New Roman" w:hAnsi="Times New Roman" w:eastAsia="楷体_GB2312" w:cs="Times New Roman"/>
          <w:sz w:val="28"/>
        </w:rPr>
        <w:t>各乡镇土地利用总体规划</w:t>
      </w:r>
      <w:r>
        <w:rPr>
          <w:rFonts w:ascii="Times New Roman" w:hAnsi="Times New Roman" w:eastAsia="楷体_GB2312" w:cs="Times New Roman"/>
          <w:spacing w:val="-8"/>
          <w:sz w:val="28"/>
        </w:rPr>
        <w:t>（JPG格式）</w:t>
      </w:r>
      <w:r>
        <w:rPr>
          <w:rFonts w:hint="eastAsia" w:ascii="Times New Roman" w:hAnsi="Times New Roman" w:eastAsia="楷体_GB2312" w:cs="Times New Roman"/>
          <w:spacing w:val="-8"/>
          <w:sz w:val="28"/>
        </w:rPr>
        <w:t>、</w:t>
      </w:r>
      <w:r>
        <w:rPr>
          <w:rFonts w:hint="eastAsia" w:ascii="楷体" w:hAnsi="楷体" w:eastAsia="楷体" w:cs="楷体_GB2312"/>
          <w:sz w:val="28"/>
        </w:rPr>
        <w:t>埇</w:t>
      </w:r>
      <w:r>
        <w:rPr>
          <w:rFonts w:hint="eastAsia" w:ascii="楷体_GB2312" w:hAnsi="楷体_GB2312" w:eastAsia="楷体_GB2312" w:cs="楷体_GB2312"/>
          <w:sz w:val="28"/>
        </w:rPr>
        <w:t>桥区生态红线（shp格式）</w:t>
      </w:r>
      <w:r>
        <w:rPr>
          <w:rFonts w:ascii="Times New Roman" w:hAnsi="Times New Roman" w:eastAsia="楷体_GB2312" w:cs="Times New Roman"/>
          <w:spacing w:val="-8"/>
          <w:sz w:val="28"/>
        </w:rPr>
        <w:t>等图件资料叠加编绘工作底图</w:t>
      </w:r>
      <w:r>
        <w:rPr>
          <w:rFonts w:ascii="Times New Roman" w:hAnsi="Times New Roman" w:eastAsia="楷体_GB2312" w:cs="Times New Roman"/>
          <w:sz w:val="28"/>
        </w:rPr>
        <w:t>，画出各乡镇土地利用总体规划</w:t>
      </w:r>
      <w:bookmarkStart w:id="18" w:name="OLE_LINK9"/>
      <w:r>
        <w:rPr>
          <w:rFonts w:ascii="Times New Roman" w:hAnsi="Times New Roman" w:eastAsia="楷体_GB2312" w:cs="Times New Roman"/>
          <w:sz w:val="28"/>
        </w:rPr>
        <w:t>范围</w:t>
      </w:r>
      <w:bookmarkEnd w:id="18"/>
      <w:r>
        <w:rPr>
          <w:rFonts w:ascii="Times New Roman" w:hAnsi="Times New Roman" w:eastAsia="楷体_GB2312" w:cs="Times New Roman"/>
          <w:sz w:val="28"/>
        </w:rPr>
        <w:t>、集镇总体规划范围，再上报工作领导小组，最终确定各乡镇定级范围。各乡镇</w:t>
      </w:r>
      <w:r>
        <w:rPr>
          <w:rFonts w:hint="eastAsia" w:ascii="Times New Roman" w:hAnsi="Times New Roman" w:eastAsia="楷体_GB2312" w:cs="Times New Roman"/>
          <w:sz w:val="28"/>
        </w:rPr>
        <w:t>四</w:t>
      </w:r>
      <w:r>
        <w:rPr>
          <w:rFonts w:ascii="Times New Roman" w:hAnsi="Times New Roman" w:eastAsia="楷体_GB2312" w:cs="Times New Roman"/>
          <w:sz w:val="28"/>
        </w:rPr>
        <w:t>线合一图如下（蓝色线为土地利用总体规划范围线、红色线为集镇总体规划范围线、</w:t>
      </w:r>
      <w:r>
        <w:rPr>
          <w:rFonts w:hint="eastAsia" w:ascii="Times New Roman" w:hAnsi="Times New Roman" w:eastAsia="楷体_GB2312" w:cs="Times New Roman"/>
          <w:sz w:val="28"/>
        </w:rPr>
        <w:t>绿色区域为生态红线范围、</w:t>
      </w:r>
      <w:r>
        <w:rPr>
          <w:rFonts w:ascii="Times New Roman" w:hAnsi="Times New Roman" w:eastAsia="楷体_GB2312" w:cs="Times New Roman"/>
          <w:sz w:val="28"/>
        </w:rPr>
        <w:t>黑色线为本轮定级范围线）：</w:t>
      </w:r>
    </w:p>
    <w:p w14:paraId="64352152">
      <w:pPr>
        <w:pStyle w:val="20"/>
        <w:jc w:val="center"/>
        <w:rPr>
          <w:rFonts w:ascii="Times New Roman" w:hAnsi="Times New Roman" w:cs="Times New Roman"/>
        </w:rPr>
      </w:pPr>
      <w:r>
        <w:rPr>
          <w:rFonts w:ascii="Times New Roman" w:hAnsi="Times New Roman" w:cs="Times New Roman"/>
        </w:rPr>
        <w:br w:type="page"/>
      </w:r>
      <w:r>
        <w:rPr>
          <w:rFonts w:ascii="Times New Roman" w:hAnsi="Times New Roman" w:cs="Times New Roman"/>
        </w:rPr>
        <w:drawing>
          <wp:inline distT="0" distB="0" distL="114300" distR="114300">
            <wp:extent cx="5405120" cy="3816985"/>
            <wp:effectExtent l="0" t="0" r="5080" b="12065"/>
            <wp:docPr id="17" name="图片 1" descr="1符离镇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1符离镇三线合一图"/>
                    <pic:cNvPicPr>
                      <a:picLocks noChangeAspect="1"/>
                    </pic:cNvPicPr>
                  </pic:nvPicPr>
                  <pic:blipFill>
                    <a:blip r:embed="rId10"/>
                    <a:stretch>
                      <a:fillRect/>
                    </a:stretch>
                  </pic:blipFill>
                  <pic:spPr>
                    <a:xfrm>
                      <a:off x="0" y="0"/>
                      <a:ext cx="5405120" cy="3816985"/>
                    </a:xfrm>
                    <a:prstGeom prst="rect">
                      <a:avLst/>
                    </a:prstGeom>
                    <a:noFill/>
                    <a:ln>
                      <a:noFill/>
                    </a:ln>
                  </pic:spPr>
                </pic:pic>
              </a:graphicData>
            </a:graphic>
          </wp:inline>
        </w:drawing>
      </w:r>
    </w:p>
    <w:p w14:paraId="57D93263">
      <w:pPr>
        <w:jc w:val="center"/>
        <w:rPr>
          <w:rFonts w:eastAsia="黑体"/>
          <w:sz w:val="28"/>
        </w:rPr>
      </w:pPr>
      <w:r>
        <w:rPr>
          <w:rFonts w:eastAsia="黑体"/>
          <w:sz w:val="28"/>
        </w:rPr>
        <w:t xml:space="preserve">图1-2-1 </w:t>
      </w:r>
      <w:r>
        <w:rPr>
          <w:rFonts w:hint="eastAsia" w:eastAsia="黑体"/>
          <w:sz w:val="28"/>
        </w:rPr>
        <w:t>符离镇</w:t>
      </w:r>
      <w:r>
        <w:rPr>
          <w:rFonts w:eastAsia="黑体"/>
          <w:sz w:val="28"/>
        </w:rPr>
        <w:t>定级范围及两规</w:t>
      </w:r>
      <w:r>
        <w:rPr>
          <w:rFonts w:hint="eastAsia" w:eastAsia="黑体"/>
          <w:sz w:val="28"/>
        </w:rPr>
        <w:t>一线</w:t>
      </w:r>
      <w:r>
        <w:rPr>
          <w:rFonts w:eastAsia="黑体"/>
          <w:sz w:val="28"/>
        </w:rPr>
        <w:t>对比示意图</w:t>
      </w:r>
    </w:p>
    <w:p w14:paraId="457E4F79">
      <w:pPr>
        <w:pStyle w:val="20"/>
        <w:jc w:val="center"/>
        <w:rPr>
          <w:rFonts w:ascii="Times New Roman" w:hAnsi="Times New Roman" w:eastAsia="仿宋_GB2312" w:cs="Times New Roman"/>
          <w:sz w:val="28"/>
          <w:szCs w:val="24"/>
        </w:rPr>
      </w:pPr>
      <w:r>
        <w:rPr>
          <w:rFonts w:ascii="Times New Roman" w:hAnsi="Times New Roman" w:eastAsia="仿宋_GB2312" w:cs="Times New Roman"/>
          <w:sz w:val="28"/>
          <w:szCs w:val="24"/>
        </w:rPr>
        <w:drawing>
          <wp:inline distT="0" distB="0" distL="114300" distR="114300">
            <wp:extent cx="2801620" cy="3966845"/>
            <wp:effectExtent l="0" t="0" r="17780" b="14605"/>
            <wp:docPr id="18" name="图片 10" descr="2朱仙庄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2朱仙庄三线合一图"/>
                    <pic:cNvPicPr>
                      <a:picLocks noChangeAspect="1"/>
                    </pic:cNvPicPr>
                  </pic:nvPicPr>
                  <pic:blipFill>
                    <a:blip r:embed="rId11"/>
                    <a:stretch>
                      <a:fillRect/>
                    </a:stretch>
                  </pic:blipFill>
                  <pic:spPr>
                    <a:xfrm>
                      <a:off x="0" y="0"/>
                      <a:ext cx="2801620" cy="3966845"/>
                    </a:xfrm>
                    <a:prstGeom prst="rect">
                      <a:avLst/>
                    </a:prstGeom>
                    <a:noFill/>
                    <a:ln>
                      <a:noFill/>
                    </a:ln>
                  </pic:spPr>
                </pic:pic>
              </a:graphicData>
            </a:graphic>
          </wp:inline>
        </w:drawing>
      </w:r>
    </w:p>
    <w:p w14:paraId="7FBF0D83">
      <w:pPr>
        <w:pStyle w:val="20"/>
        <w:jc w:val="center"/>
        <w:rPr>
          <w:rFonts w:ascii="Times New Roman" w:hAnsi="Times New Roman" w:eastAsia="仿宋_GB2312" w:cs="Times New Roman"/>
          <w:sz w:val="28"/>
          <w:szCs w:val="24"/>
        </w:rPr>
      </w:pPr>
      <w:r>
        <w:rPr>
          <w:rFonts w:ascii="Times New Roman" w:hAnsi="Times New Roman" w:eastAsia="黑体" w:cs="Times New Roman"/>
          <w:sz w:val="28"/>
        </w:rPr>
        <w:t xml:space="preserve">图1-2-2 </w:t>
      </w:r>
      <w:r>
        <w:rPr>
          <w:rFonts w:hint="eastAsia" w:ascii="Times New Roman" w:hAnsi="Times New Roman" w:eastAsia="黑体" w:cs="Times New Roman"/>
          <w:sz w:val="28"/>
        </w:rPr>
        <w:t>朱仙庄</w:t>
      </w:r>
      <w:r>
        <w:rPr>
          <w:rFonts w:ascii="Times New Roman" w:hAnsi="Times New Roman" w:eastAsia="黑体" w:cs="Times New Roman"/>
          <w:sz w:val="28"/>
        </w:rPr>
        <w:t>镇定级范围及两规</w:t>
      </w:r>
      <w:r>
        <w:rPr>
          <w:rFonts w:hint="eastAsia" w:ascii="Times New Roman" w:hAnsi="Times New Roman" w:eastAsia="黑体" w:cs="Times New Roman"/>
          <w:sz w:val="28"/>
        </w:rPr>
        <w:t>一线</w:t>
      </w:r>
      <w:r>
        <w:rPr>
          <w:rFonts w:ascii="Times New Roman" w:hAnsi="Times New Roman" w:eastAsia="黑体" w:cs="Times New Roman"/>
          <w:sz w:val="28"/>
        </w:rPr>
        <w:t>对比示意图</w:t>
      </w:r>
    </w:p>
    <w:p w14:paraId="569219C4">
      <w:pPr>
        <w:pStyle w:val="20"/>
        <w:jc w:val="center"/>
        <w:rPr>
          <w:rFonts w:ascii="Times New Roman" w:hAnsi="Times New Roman" w:cs="Times New Roman"/>
        </w:rPr>
      </w:pPr>
      <w:r>
        <w:rPr>
          <w:rFonts w:ascii="Times New Roman" w:hAnsi="Times New Roman" w:cs="Times New Roman"/>
        </w:rPr>
        <w:drawing>
          <wp:inline distT="0" distB="0" distL="114300" distR="114300">
            <wp:extent cx="2790825" cy="3966845"/>
            <wp:effectExtent l="0" t="0" r="9525" b="14605"/>
            <wp:docPr id="19" name="图片 11" descr="3蕲县镇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3蕲县镇三线合一图"/>
                    <pic:cNvPicPr>
                      <a:picLocks noChangeAspect="1"/>
                    </pic:cNvPicPr>
                  </pic:nvPicPr>
                  <pic:blipFill>
                    <a:blip r:embed="rId12"/>
                    <a:stretch>
                      <a:fillRect/>
                    </a:stretch>
                  </pic:blipFill>
                  <pic:spPr>
                    <a:xfrm>
                      <a:off x="0" y="0"/>
                      <a:ext cx="2790825" cy="3966845"/>
                    </a:xfrm>
                    <a:prstGeom prst="rect">
                      <a:avLst/>
                    </a:prstGeom>
                    <a:noFill/>
                    <a:ln>
                      <a:noFill/>
                    </a:ln>
                  </pic:spPr>
                </pic:pic>
              </a:graphicData>
            </a:graphic>
          </wp:inline>
        </w:drawing>
      </w:r>
    </w:p>
    <w:p w14:paraId="17AA5976">
      <w:pPr>
        <w:pStyle w:val="20"/>
        <w:jc w:val="center"/>
        <w:rPr>
          <w:rFonts w:ascii="Times New Roman" w:hAnsi="Times New Roman" w:cs="Times New Roman"/>
        </w:rPr>
      </w:pPr>
      <w:r>
        <w:rPr>
          <w:rFonts w:ascii="Times New Roman" w:hAnsi="Times New Roman" w:eastAsia="黑体" w:cs="Times New Roman"/>
          <w:sz w:val="28"/>
        </w:rPr>
        <w:t xml:space="preserve">图1-2-3 </w:t>
      </w:r>
      <w:r>
        <w:rPr>
          <w:rFonts w:hint="eastAsia" w:ascii="Times New Roman" w:hAnsi="Times New Roman" w:eastAsia="黑体" w:cs="Times New Roman"/>
          <w:sz w:val="28"/>
        </w:rPr>
        <w:t>蕲县镇</w:t>
      </w:r>
      <w:r>
        <w:rPr>
          <w:rFonts w:ascii="Times New Roman" w:hAnsi="Times New Roman" w:eastAsia="黑体" w:cs="Times New Roman"/>
          <w:sz w:val="28"/>
        </w:rPr>
        <w:t>定级范围及两规一线对比示意图</w:t>
      </w:r>
    </w:p>
    <w:p w14:paraId="7E3EEEFD">
      <w:pPr>
        <w:pStyle w:val="20"/>
        <w:jc w:val="center"/>
        <w:rPr>
          <w:rFonts w:ascii="Times New Roman" w:hAnsi="Times New Roman" w:cs="Times New Roman"/>
        </w:rPr>
      </w:pPr>
      <w:r>
        <w:rPr>
          <w:rFonts w:ascii="Times New Roman" w:hAnsi="Times New Roman" w:cs="Times New Roman"/>
        </w:rPr>
        <w:drawing>
          <wp:inline distT="0" distB="0" distL="114300" distR="114300">
            <wp:extent cx="5601970" cy="3956050"/>
            <wp:effectExtent l="0" t="0" r="17780" b="6350"/>
            <wp:docPr id="20" name="图片 12" descr="4芦岭镇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4芦岭镇三线合一图"/>
                    <pic:cNvPicPr>
                      <a:picLocks noChangeAspect="1"/>
                    </pic:cNvPicPr>
                  </pic:nvPicPr>
                  <pic:blipFill>
                    <a:blip r:embed="rId13"/>
                    <a:stretch>
                      <a:fillRect/>
                    </a:stretch>
                  </pic:blipFill>
                  <pic:spPr>
                    <a:xfrm>
                      <a:off x="0" y="0"/>
                      <a:ext cx="5601970" cy="3956050"/>
                    </a:xfrm>
                    <a:prstGeom prst="rect">
                      <a:avLst/>
                    </a:prstGeom>
                    <a:noFill/>
                    <a:ln>
                      <a:noFill/>
                    </a:ln>
                  </pic:spPr>
                </pic:pic>
              </a:graphicData>
            </a:graphic>
          </wp:inline>
        </w:drawing>
      </w:r>
    </w:p>
    <w:p w14:paraId="286F6A89">
      <w:pPr>
        <w:pStyle w:val="20"/>
        <w:jc w:val="center"/>
        <w:rPr>
          <w:rFonts w:ascii="Times New Roman" w:hAnsi="Times New Roman" w:cs="Times New Roman"/>
        </w:rPr>
      </w:pPr>
      <w:r>
        <w:rPr>
          <w:rFonts w:ascii="Times New Roman" w:hAnsi="Times New Roman" w:eastAsia="黑体" w:cs="Times New Roman"/>
          <w:sz w:val="28"/>
        </w:rPr>
        <w:t xml:space="preserve">图1-2-4 </w:t>
      </w:r>
      <w:r>
        <w:rPr>
          <w:rFonts w:hint="eastAsia" w:ascii="Times New Roman" w:hAnsi="Times New Roman" w:eastAsia="黑体" w:cs="Times New Roman"/>
          <w:sz w:val="28"/>
        </w:rPr>
        <w:t>芦岭镇</w:t>
      </w:r>
      <w:r>
        <w:rPr>
          <w:rFonts w:ascii="Times New Roman" w:hAnsi="Times New Roman" w:eastAsia="黑体" w:cs="Times New Roman"/>
          <w:sz w:val="28"/>
        </w:rPr>
        <w:t>定级范围及两规一线对比示意图</w:t>
      </w:r>
    </w:p>
    <w:p w14:paraId="0C0BB7F8">
      <w:pPr>
        <w:pStyle w:val="20"/>
        <w:jc w:val="center"/>
        <w:rPr>
          <w:rFonts w:ascii="Times New Roman" w:hAnsi="Times New Roman" w:cs="Times New Roman"/>
        </w:rPr>
      </w:pPr>
      <w:r>
        <w:rPr>
          <w:rFonts w:ascii="Times New Roman" w:hAnsi="Times New Roman" w:cs="Times New Roman"/>
        </w:rPr>
        <w:drawing>
          <wp:inline distT="0" distB="0" distL="114300" distR="114300">
            <wp:extent cx="5601970" cy="3956050"/>
            <wp:effectExtent l="0" t="0" r="17780" b="6350"/>
            <wp:docPr id="21" name="图片 13" descr="5大店镇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5大店镇三线合一图"/>
                    <pic:cNvPicPr>
                      <a:picLocks noChangeAspect="1"/>
                    </pic:cNvPicPr>
                  </pic:nvPicPr>
                  <pic:blipFill>
                    <a:blip r:embed="rId14"/>
                    <a:stretch>
                      <a:fillRect/>
                    </a:stretch>
                  </pic:blipFill>
                  <pic:spPr>
                    <a:xfrm>
                      <a:off x="0" y="0"/>
                      <a:ext cx="5601970" cy="3956050"/>
                    </a:xfrm>
                    <a:prstGeom prst="rect">
                      <a:avLst/>
                    </a:prstGeom>
                    <a:noFill/>
                    <a:ln>
                      <a:noFill/>
                    </a:ln>
                  </pic:spPr>
                </pic:pic>
              </a:graphicData>
            </a:graphic>
          </wp:inline>
        </w:drawing>
      </w:r>
    </w:p>
    <w:p w14:paraId="6B1550F1">
      <w:pPr>
        <w:tabs>
          <w:tab w:val="left" w:pos="2930"/>
        </w:tabs>
        <w:jc w:val="center"/>
      </w:pPr>
      <w:r>
        <w:rPr>
          <w:rFonts w:eastAsia="黑体"/>
          <w:sz w:val="28"/>
        </w:rPr>
        <w:t xml:space="preserve">图1-2-5 </w:t>
      </w:r>
      <w:r>
        <w:rPr>
          <w:rFonts w:hint="eastAsia" w:eastAsia="黑体"/>
          <w:sz w:val="28"/>
        </w:rPr>
        <w:t>大店镇</w:t>
      </w:r>
      <w:r>
        <w:rPr>
          <w:rFonts w:eastAsia="黑体"/>
          <w:sz w:val="28"/>
        </w:rPr>
        <w:t>定级范围及两规一线对比示意图</w:t>
      </w:r>
    </w:p>
    <w:p w14:paraId="601CD0B9">
      <w:pPr>
        <w:pStyle w:val="20"/>
        <w:jc w:val="center"/>
        <w:rPr>
          <w:rFonts w:ascii="Times New Roman" w:hAnsi="Times New Roman" w:cs="Times New Roman"/>
        </w:rPr>
      </w:pPr>
      <w:r>
        <w:rPr>
          <w:rFonts w:ascii="Times New Roman" w:hAnsi="Times New Roman" w:cs="Times New Roman"/>
        </w:rPr>
        <w:drawing>
          <wp:inline distT="0" distB="0" distL="114300" distR="114300">
            <wp:extent cx="5601970" cy="3956050"/>
            <wp:effectExtent l="0" t="0" r="17780" b="6350"/>
            <wp:docPr id="22" name="图片 14" descr="6栏杆镇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6栏杆镇三线合一图"/>
                    <pic:cNvPicPr>
                      <a:picLocks noChangeAspect="1"/>
                    </pic:cNvPicPr>
                  </pic:nvPicPr>
                  <pic:blipFill>
                    <a:blip r:embed="rId15"/>
                    <a:stretch>
                      <a:fillRect/>
                    </a:stretch>
                  </pic:blipFill>
                  <pic:spPr>
                    <a:xfrm>
                      <a:off x="0" y="0"/>
                      <a:ext cx="5601970" cy="3956050"/>
                    </a:xfrm>
                    <a:prstGeom prst="rect">
                      <a:avLst/>
                    </a:prstGeom>
                    <a:noFill/>
                    <a:ln>
                      <a:noFill/>
                    </a:ln>
                  </pic:spPr>
                </pic:pic>
              </a:graphicData>
            </a:graphic>
          </wp:inline>
        </w:drawing>
      </w:r>
    </w:p>
    <w:p w14:paraId="27B1040D">
      <w:pPr>
        <w:pStyle w:val="20"/>
        <w:jc w:val="center"/>
        <w:rPr>
          <w:rFonts w:ascii="Times New Roman" w:hAnsi="Times New Roman" w:eastAsia="黑体" w:cs="Times New Roman"/>
          <w:sz w:val="28"/>
        </w:rPr>
      </w:pPr>
      <w:r>
        <w:rPr>
          <w:rFonts w:ascii="Times New Roman" w:hAnsi="Times New Roman" w:eastAsia="黑体" w:cs="Times New Roman"/>
          <w:sz w:val="28"/>
        </w:rPr>
        <w:t xml:space="preserve">图1-2-6 </w:t>
      </w:r>
      <w:r>
        <w:rPr>
          <w:rFonts w:hint="eastAsia" w:ascii="Times New Roman" w:hAnsi="Times New Roman" w:eastAsia="黑体" w:cs="Times New Roman"/>
          <w:sz w:val="28"/>
        </w:rPr>
        <w:t>栏杆镇</w:t>
      </w:r>
      <w:r>
        <w:rPr>
          <w:rFonts w:ascii="Times New Roman" w:hAnsi="Times New Roman" w:eastAsia="黑体" w:cs="Times New Roman"/>
          <w:sz w:val="28"/>
        </w:rPr>
        <w:t>定级范围及两规一线对比示意图</w:t>
      </w:r>
    </w:p>
    <w:p w14:paraId="1B303BF3">
      <w:pPr>
        <w:pStyle w:val="20"/>
        <w:jc w:val="center"/>
        <w:rPr>
          <w:rFonts w:ascii="Times New Roman" w:hAnsi="Times New Roman" w:cs="Times New Roman"/>
        </w:rPr>
      </w:pPr>
      <w:r>
        <w:rPr>
          <w:rFonts w:ascii="Times New Roman" w:hAnsi="Times New Roman" w:cs="Times New Roman"/>
        </w:rPr>
        <w:drawing>
          <wp:inline distT="0" distB="0" distL="114300" distR="114300">
            <wp:extent cx="2801620" cy="3966210"/>
            <wp:effectExtent l="0" t="0" r="17780" b="15240"/>
            <wp:docPr id="23" name="图片 15" descr="7时村镇四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7时村镇四线合一图"/>
                    <pic:cNvPicPr>
                      <a:picLocks noChangeAspect="1"/>
                    </pic:cNvPicPr>
                  </pic:nvPicPr>
                  <pic:blipFill>
                    <a:blip r:embed="rId16"/>
                    <a:stretch>
                      <a:fillRect/>
                    </a:stretch>
                  </pic:blipFill>
                  <pic:spPr>
                    <a:xfrm>
                      <a:off x="0" y="0"/>
                      <a:ext cx="2801620" cy="3966210"/>
                    </a:xfrm>
                    <a:prstGeom prst="rect">
                      <a:avLst/>
                    </a:prstGeom>
                    <a:noFill/>
                    <a:ln>
                      <a:noFill/>
                    </a:ln>
                  </pic:spPr>
                </pic:pic>
              </a:graphicData>
            </a:graphic>
          </wp:inline>
        </w:drawing>
      </w:r>
    </w:p>
    <w:p w14:paraId="3BF9A187">
      <w:pPr>
        <w:jc w:val="center"/>
      </w:pPr>
      <w:r>
        <w:rPr>
          <w:rFonts w:eastAsia="黑体"/>
          <w:sz w:val="28"/>
        </w:rPr>
        <w:t xml:space="preserve">图1-2-7 </w:t>
      </w:r>
      <w:r>
        <w:rPr>
          <w:rFonts w:hint="eastAsia" w:eastAsia="黑体"/>
          <w:sz w:val="28"/>
        </w:rPr>
        <w:t>时村镇</w:t>
      </w:r>
      <w:r>
        <w:rPr>
          <w:rFonts w:eastAsia="黑体"/>
          <w:sz w:val="28"/>
        </w:rPr>
        <w:t>定级范围及两规一线对比示意图</w:t>
      </w:r>
    </w:p>
    <w:p w14:paraId="4F4F929C">
      <w:pPr>
        <w:pStyle w:val="20"/>
        <w:jc w:val="center"/>
        <w:rPr>
          <w:rFonts w:ascii="Times New Roman" w:hAnsi="Times New Roman" w:eastAsia="黑体" w:cs="Times New Roman"/>
          <w:sz w:val="28"/>
        </w:rPr>
      </w:pPr>
      <w:r>
        <w:rPr>
          <w:rFonts w:ascii="Times New Roman" w:hAnsi="Times New Roman" w:eastAsia="黑体" w:cs="Times New Roman"/>
          <w:sz w:val="28"/>
        </w:rPr>
        <w:drawing>
          <wp:inline distT="0" distB="0" distL="114300" distR="114300">
            <wp:extent cx="5601970" cy="3956050"/>
            <wp:effectExtent l="0" t="0" r="17780" b="6350"/>
            <wp:docPr id="24" name="图片 16" descr="8夹沟镇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8夹沟镇三线合一图"/>
                    <pic:cNvPicPr>
                      <a:picLocks noChangeAspect="1"/>
                    </pic:cNvPicPr>
                  </pic:nvPicPr>
                  <pic:blipFill>
                    <a:blip r:embed="rId17"/>
                    <a:stretch>
                      <a:fillRect/>
                    </a:stretch>
                  </pic:blipFill>
                  <pic:spPr>
                    <a:xfrm>
                      <a:off x="0" y="0"/>
                      <a:ext cx="5601970" cy="3956050"/>
                    </a:xfrm>
                    <a:prstGeom prst="rect">
                      <a:avLst/>
                    </a:prstGeom>
                    <a:noFill/>
                    <a:ln>
                      <a:noFill/>
                    </a:ln>
                  </pic:spPr>
                </pic:pic>
              </a:graphicData>
            </a:graphic>
          </wp:inline>
        </w:drawing>
      </w:r>
    </w:p>
    <w:p w14:paraId="1AC493AC">
      <w:pPr>
        <w:pStyle w:val="20"/>
        <w:jc w:val="center"/>
        <w:rPr>
          <w:rFonts w:ascii="Times New Roman" w:hAnsi="Times New Roman" w:cs="Times New Roman"/>
        </w:rPr>
      </w:pPr>
      <w:r>
        <w:rPr>
          <w:rFonts w:ascii="Times New Roman" w:hAnsi="Times New Roman" w:eastAsia="黑体" w:cs="Times New Roman"/>
          <w:sz w:val="28"/>
        </w:rPr>
        <w:t xml:space="preserve">图1-2-8 </w:t>
      </w:r>
      <w:r>
        <w:rPr>
          <w:rFonts w:hint="eastAsia" w:ascii="Times New Roman" w:hAnsi="Times New Roman" w:eastAsia="黑体" w:cs="Times New Roman"/>
          <w:sz w:val="28"/>
        </w:rPr>
        <w:t>夹沟镇</w:t>
      </w:r>
      <w:r>
        <w:rPr>
          <w:rFonts w:ascii="Times New Roman" w:hAnsi="Times New Roman" w:eastAsia="黑体" w:cs="Times New Roman"/>
          <w:sz w:val="28"/>
        </w:rPr>
        <w:t>定级范围及两规一线对比示意图</w:t>
      </w:r>
    </w:p>
    <w:p w14:paraId="66264FCD">
      <w:pPr>
        <w:pStyle w:val="20"/>
        <w:jc w:val="center"/>
        <w:rPr>
          <w:rFonts w:ascii="Times New Roman" w:hAnsi="Times New Roman" w:eastAsia="黑体" w:cs="Times New Roman"/>
          <w:sz w:val="28"/>
        </w:rPr>
      </w:pPr>
      <w:r>
        <w:rPr>
          <w:rFonts w:ascii="Times New Roman" w:hAnsi="Times New Roman" w:eastAsia="黑体" w:cs="Times New Roman"/>
          <w:sz w:val="28"/>
        </w:rPr>
        <w:drawing>
          <wp:inline distT="0" distB="0" distL="114300" distR="114300">
            <wp:extent cx="5601970" cy="3956050"/>
            <wp:effectExtent l="0" t="0" r="17780" b="6350"/>
            <wp:docPr id="25" name="图片 17" descr="9西二铺乡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9西二铺乡三线合一图"/>
                    <pic:cNvPicPr>
                      <a:picLocks noChangeAspect="1"/>
                    </pic:cNvPicPr>
                  </pic:nvPicPr>
                  <pic:blipFill>
                    <a:blip r:embed="rId18"/>
                    <a:stretch>
                      <a:fillRect/>
                    </a:stretch>
                  </pic:blipFill>
                  <pic:spPr>
                    <a:xfrm>
                      <a:off x="0" y="0"/>
                      <a:ext cx="5601970" cy="3956050"/>
                    </a:xfrm>
                    <a:prstGeom prst="rect">
                      <a:avLst/>
                    </a:prstGeom>
                    <a:noFill/>
                    <a:ln>
                      <a:noFill/>
                    </a:ln>
                  </pic:spPr>
                </pic:pic>
              </a:graphicData>
            </a:graphic>
          </wp:inline>
        </w:drawing>
      </w:r>
    </w:p>
    <w:p w14:paraId="0DAE1369">
      <w:pPr>
        <w:pStyle w:val="20"/>
        <w:jc w:val="center"/>
        <w:rPr>
          <w:rFonts w:ascii="Times New Roman" w:hAnsi="Times New Roman" w:eastAsia="黑体" w:cs="Times New Roman"/>
          <w:sz w:val="28"/>
        </w:rPr>
      </w:pPr>
      <w:r>
        <w:rPr>
          <w:rFonts w:ascii="Times New Roman" w:hAnsi="Times New Roman" w:eastAsia="黑体" w:cs="Times New Roman"/>
          <w:sz w:val="28"/>
        </w:rPr>
        <w:t xml:space="preserve">图1-2-9 </w:t>
      </w:r>
      <w:r>
        <w:rPr>
          <w:rFonts w:hint="eastAsia" w:ascii="Times New Roman" w:hAnsi="Times New Roman" w:eastAsia="黑体" w:cs="Times New Roman"/>
          <w:sz w:val="28"/>
        </w:rPr>
        <w:t>西二铺乡</w:t>
      </w:r>
      <w:r>
        <w:rPr>
          <w:rFonts w:ascii="Times New Roman" w:hAnsi="Times New Roman" w:eastAsia="黑体" w:cs="Times New Roman"/>
          <w:sz w:val="28"/>
        </w:rPr>
        <w:t>定级范围及两规一线对比示意图</w:t>
      </w:r>
    </w:p>
    <w:p w14:paraId="5A09C4B3">
      <w:pPr>
        <w:pStyle w:val="20"/>
        <w:jc w:val="center"/>
        <w:rPr>
          <w:rFonts w:ascii="Times New Roman" w:hAnsi="Times New Roman" w:cs="Times New Roman"/>
        </w:rPr>
      </w:pPr>
      <w:r>
        <w:rPr>
          <w:rFonts w:ascii="Times New Roman" w:hAnsi="Times New Roman" w:cs="Times New Roman"/>
        </w:rPr>
        <w:drawing>
          <wp:inline distT="0" distB="0" distL="114300" distR="114300">
            <wp:extent cx="2790825" cy="3966845"/>
            <wp:effectExtent l="0" t="0" r="9525" b="14605"/>
            <wp:docPr id="26" name="图片 18" descr="10桃园镇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descr="10桃园镇三线合一图"/>
                    <pic:cNvPicPr>
                      <a:picLocks noChangeAspect="1"/>
                    </pic:cNvPicPr>
                  </pic:nvPicPr>
                  <pic:blipFill>
                    <a:blip r:embed="rId19"/>
                    <a:stretch>
                      <a:fillRect/>
                    </a:stretch>
                  </pic:blipFill>
                  <pic:spPr>
                    <a:xfrm>
                      <a:off x="0" y="0"/>
                      <a:ext cx="2790825" cy="3966845"/>
                    </a:xfrm>
                    <a:prstGeom prst="rect">
                      <a:avLst/>
                    </a:prstGeom>
                    <a:noFill/>
                    <a:ln>
                      <a:noFill/>
                    </a:ln>
                  </pic:spPr>
                </pic:pic>
              </a:graphicData>
            </a:graphic>
          </wp:inline>
        </w:drawing>
      </w:r>
    </w:p>
    <w:p w14:paraId="22080048">
      <w:pPr>
        <w:pStyle w:val="20"/>
        <w:jc w:val="center"/>
        <w:rPr>
          <w:rFonts w:hint="eastAsia" w:ascii="Times New Roman" w:hAnsi="Times New Roman" w:eastAsia="黑体" w:cs="Times New Roman"/>
          <w:sz w:val="28"/>
        </w:rPr>
      </w:pPr>
      <w:r>
        <w:rPr>
          <w:rFonts w:ascii="Times New Roman" w:hAnsi="Times New Roman" w:eastAsia="黑体" w:cs="Times New Roman"/>
          <w:sz w:val="28"/>
        </w:rPr>
        <w:t xml:space="preserve">图1-2-10 </w:t>
      </w:r>
      <w:r>
        <w:rPr>
          <w:rFonts w:hint="eastAsia" w:ascii="Times New Roman" w:hAnsi="Times New Roman" w:eastAsia="黑体" w:cs="Times New Roman"/>
          <w:sz w:val="28"/>
        </w:rPr>
        <w:t>桃园镇</w:t>
      </w:r>
      <w:r>
        <w:rPr>
          <w:rFonts w:ascii="Times New Roman" w:hAnsi="Times New Roman" w:eastAsia="黑体" w:cs="Times New Roman"/>
          <w:sz w:val="28"/>
        </w:rPr>
        <w:t>定级范围及两规一线对比示意图</w:t>
      </w:r>
    </w:p>
    <w:p w14:paraId="765F0C1B">
      <w:pPr>
        <w:pStyle w:val="20"/>
        <w:jc w:val="center"/>
        <w:rPr>
          <w:rFonts w:ascii="Times New Roman" w:hAnsi="Times New Roman" w:cs="Times New Roman"/>
        </w:rPr>
      </w:pPr>
      <w:r>
        <w:rPr>
          <w:rFonts w:ascii="Times New Roman" w:hAnsi="Times New Roman" w:cs="Times New Roman"/>
        </w:rPr>
        <w:drawing>
          <wp:inline distT="0" distB="0" distL="114300" distR="114300">
            <wp:extent cx="2790825" cy="3966845"/>
            <wp:effectExtent l="0" t="0" r="9525" b="14605"/>
            <wp:docPr id="27" name="图片 19" descr="11曹村镇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descr="11曹村镇三线合一图"/>
                    <pic:cNvPicPr>
                      <a:picLocks noChangeAspect="1"/>
                    </pic:cNvPicPr>
                  </pic:nvPicPr>
                  <pic:blipFill>
                    <a:blip r:embed="rId20"/>
                    <a:stretch>
                      <a:fillRect/>
                    </a:stretch>
                  </pic:blipFill>
                  <pic:spPr>
                    <a:xfrm>
                      <a:off x="0" y="0"/>
                      <a:ext cx="2790825" cy="3966845"/>
                    </a:xfrm>
                    <a:prstGeom prst="rect">
                      <a:avLst/>
                    </a:prstGeom>
                    <a:noFill/>
                    <a:ln>
                      <a:noFill/>
                    </a:ln>
                  </pic:spPr>
                </pic:pic>
              </a:graphicData>
            </a:graphic>
          </wp:inline>
        </w:drawing>
      </w:r>
    </w:p>
    <w:p w14:paraId="0A202B8C">
      <w:pPr>
        <w:jc w:val="center"/>
        <w:rPr>
          <w:rFonts w:eastAsia="黑体"/>
          <w:sz w:val="28"/>
        </w:rPr>
      </w:pPr>
      <w:r>
        <w:rPr>
          <w:rFonts w:eastAsia="黑体"/>
          <w:sz w:val="28"/>
        </w:rPr>
        <w:t>图1-2-1</w:t>
      </w:r>
      <w:r>
        <w:rPr>
          <w:rFonts w:hint="eastAsia" w:eastAsia="黑体"/>
          <w:sz w:val="28"/>
        </w:rPr>
        <w:t>1</w:t>
      </w:r>
      <w:r>
        <w:rPr>
          <w:rFonts w:eastAsia="黑体"/>
          <w:sz w:val="28"/>
        </w:rPr>
        <w:t xml:space="preserve"> </w:t>
      </w:r>
      <w:r>
        <w:rPr>
          <w:rFonts w:hint="eastAsia" w:eastAsia="黑体"/>
          <w:sz w:val="28"/>
        </w:rPr>
        <w:t>曹村镇</w:t>
      </w:r>
      <w:r>
        <w:rPr>
          <w:rFonts w:eastAsia="黑体"/>
          <w:sz w:val="28"/>
        </w:rPr>
        <w:t>定级范围及两规</w:t>
      </w:r>
      <w:r>
        <w:rPr>
          <w:rFonts w:hint="eastAsia" w:eastAsia="黑体"/>
          <w:sz w:val="28"/>
        </w:rPr>
        <w:t>一线</w:t>
      </w:r>
      <w:r>
        <w:rPr>
          <w:rFonts w:eastAsia="黑体"/>
          <w:sz w:val="28"/>
        </w:rPr>
        <w:t>对比示意图</w:t>
      </w:r>
    </w:p>
    <w:p w14:paraId="6408E202">
      <w:pPr>
        <w:pStyle w:val="20"/>
        <w:jc w:val="center"/>
        <w:rPr>
          <w:rFonts w:ascii="Times New Roman" w:hAnsi="Times New Roman" w:eastAsia="仿宋_GB2312" w:cs="Times New Roman"/>
          <w:sz w:val="28"/>
          <w:szCs w:val="24"/>
        </w:rPr>
      </w:pPr>
      <w:r>
        <w:rPr>
          <w:rFonts w:ascii="Times New Roman" w:hAnsi="Times New Roman" w:eastAsia="仿宋_GB2312" w:cs="Times New Roman"/>
          <w:sz w:val="28"/>
          <w:szCs w:val="24"/>
        </w:rPr>
        <w:drawing>
          <wp:inline distT="0" distB="0" distL="114300" distR="114300">
            <wp:extent cx="2790825" cy="3966845"/>
            <wp:effectExtent l="0" t="0" r="9525" b="14605"/>
            <wp:docPr id="28" name="图片 20" descr="12大营镇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descr="12大营镇三线合一图"/>
                    <pic:cNvPicPr>
                      <a:picLocks noChangeAspect="1"/>
                    </pic:cNvPicPr>
                  </pic:nvPicPr>
                  <pic:blipFill>
                    <a:blip r:embed="rId21"/>
                    <a:stretch>
                      <a:fillRect/>
                    </a:stretch>
                  </pic:blipFill>
                  <pic:spPr>
                    <a:xfrm>
                      <a:off x="0" y="0"/>
                      <a:ext cx="2790825" cy="3966845"/>
                    </a:xfrm>
                    <a:prstGeom prst="rect">
                      <a:avLst/>
                    </a:prstGeom>
                    <a:noFill/>
                    <a:ln>
                      <a:noFill/>
                    </a:ln>
                  </pic:spPr>
                </pic:pic>
              </a:graphicData>
            </a:graphic>
          </wp:inline>
        </w:drawing>
      </w:r>
    </w:p>
    <w:p w14:paraId="36B45614">
      <w:pPr>
        <w:pStyle w:val="20"/>
        <w:jc w:val="center"/>
        <w:rPr>
          <w:rFonts w:ascii="Times New Roman" w:hAnsi="Times New Roman" w:eastAsia="仿宋_GB2312" w:cs="Times New Roman"/>
          <w:sz w:val="28"/>
          <w:szCs w:val="24"/>
        </w:rPr>
      </w:pPr>
      <w:r>
        <w:rPr>
          <w:rFonts w:ascii="Times New Roman" w:hAnsi="Times New Roman" w:eastAsia="黑体" w:cs="Times New Roman"/>
          <w:sz w:val="28"/>
        </w:rPr>
        <w:t>图1-2-</w:t>
      </w:r>
      <w:r>
        <w:rPr>
          <w:rFonts w:hint="eastAsia" w:ascii="Times New Roman" w:hAnsi="Times New Roman" w:eastAsia="黑体" w:cs="Times New Roman"/>
          <w:sz w:val="28"/>
        </w:rPr>
        <w:t>1</w:t>
      </w:r>
      <w:r>
        <w:rPr>
          <w:rFonts w:ascii="Times New Roman" w:hAnsi="Times New Roman" w:eastAsia="黑体" w:cs="Times New Roman"/>
          <w:sz w:val="28"/>
        </w:rPr>
        <w:t xml:space="preserve">2 </w:t>
      </w:r>
      <w:r>
        <w:rPr>
          <w:rFonts w:hint="eastAsia" w:ascii="Times New Roman" w:hAnsi="Times New Roman" w:eastAsia="黑体" w:cs="Times New Roman"/>
          <w:sz w:val="28"/>
        </w:rPr>
        <w:t>大营镇</w:t>
      </w:r>
      <w:r>
        <w:rPr>
          <w:rFonts w:ascii="Times New Roman" w:hAnsi="Times New Roman" w:eastAsia="黑体" w:cs="Times New Roman"/>
          <w:sz w:val="28"/>
        </w:rPr>
        <w:t>定级范围及两规</w:t>
      </w:r>
      <w:r>
        <w:rPr>
          <w:rFonts w:hint="eastAsia" w:ascii="Times New Roman" w:hAnsi="Times New Roman" w:eastAsia="黑体" w:cs="Times New Roman"/>
          <w:sz w:val="28"/>
        </w:rPr>
        <w:t>一线</w:t>
      </w:r>
      <w:r>
        <w:rPr>
          <w:rFonts w:ascii="Times New Roman" w:hAnsi="Times New Roman" w:eastAsia="黑体" w:cs="Times New Roman"/>
          <w:sz w:val="28"/>
        </w:rPr>
        <w:t>对比示意图</w:t>
      </w:r>
    </w:p>
    <w:p w14:paraId="3B338A36">
      <w:pPr>
        <w:pStyle w:val="20"/>
        <w:jc w:val="center"/>
        <w:rPr>
          <w:rFonts w:ascii="Times New Roman" w:hAnsi="Times New Roman" w:cs="Times New Roman"/>
        </w:rPr>
      </w:pPr>
      <w:r>
        <w:rPr>
          <w:rFonts w:ascii="Times New Roman" w:hAnsi="Times New Roman" w:cs="Times New Roman"/>
        </w:rPr>
        <w:drawing>
          <wp:inline distT="0" distB="0" distL="114300" distR="114300">
            <wp:extent cx="5601970" cy="3956050"/>
            <wp:effectExtent l="0" t="0" r="17780" b="6350"/>
            <wp:docPr id="29" name="图片 21" descr="13褚兰镇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descr="13褚兰镇三线合一图"/>
                    <pic:cNvPicPr>
                      <a:picLocks noChangeAspect="1"/>
                    </pic:cNvPicPr>
                  </pic:nvPicPr>
                  <pic:blipFill>
                    <a:blip r:embed="rId22"/>
                    <a:stretch>
                      <a:fillRect/>
                    </a:stretch>
                  </pic:blipFill>
                  <pic:spPr>
                    <a:xfrm>
                      <a:off x="0" y="0"/>
                      <a:ext cx="5601970" cy="3956050"/>
                    </a:xfrm>
                    <a:prstGeom prst="rect">
                      <a:avLst/>
                    </a:prstGeom>
                    <a:noFill/>
                    <a:ln>
                      <a:noFill/>
                    </a:ln>
                  </pic:spPr>
                </pic:pic>
              </a:graphicData>
            </a:graphic>
          </wp:inline>
        </w:drawing>
      </w:r>
    </w:p>
    <w:p w14:paraId="41434708">
      <w:pPr>
        <w:pStyle w:val="20"/>
        <w:jc w:val="center"/>
        <w:rPr>
          <w:rFonts w:ascii="Times New Roman" w:hAnsi="Times New Roman" w:cs="Times New Roman"/>
        </w:rPr>
      </w:pPr>
      <w:r>
        <w:rPr>
          <w:rFonts w:ascii="Times New Roman" w:hAnsi="Times New Roman" w:eastAsia="黑体" w:cs="Times New Roman"/>
          <w:sz w:val="28"/>
        </w:rPr>
        <w:t>图1-2-</w:t>
      </w:r>
      <w:r>
        <w:rPr>
          <w:rFonts w:hint="eastAsia" w:ascii="Times New Roman" w:hAnsi="Times New Roman" w:eastAsia="黑体" w:cs="Times New Roman"/>
          <w:sz w:val="28"/>
        </w:rPr>
        <w:t>1</w:t>
      </w:r>
      <w:r>
        <w:rPr>
          <w:rFonts w:ascii="Times New Roman" w:hAnsi="Times New Roman" w:eastAsia="黑体" w:cs="Times New Roman"/>
          <w:sz w:val="28"/>
        </w:rPr>
        <w:t xml:space="preserve">3 </w:t>
      </w:r>
      <w:r>
        <w:rPr>
          <w:rFonts w:hint="eastAsia" w:ascii="Times New Roman" w:hAnsi="Times New Roman" w:eastAsia="黑体" w:cs="Times New Roman"/>
          <w:sz w:val="28"/>
        </w:rPr>
        <w:t>褚兰镇</w:t>
      </w:r>
      <w:r>
        <w:rPr>
          <w:rFonts w:ascii="Times New Roman" w:hAnsi="Times New Roman" w:eastAsia="黑体" w:cs="Times New Roman"/>
          <w:sz w:val="28"/>
        </w:rPr>
        <w:t>定级范围及两规一线对比示意图</w:t>
      </w:r>
    </w:p>
    <w:p w14:paraId="3F11EC39">
      <w:pPr>
        <w:pStyle w:val="20"/>
        <w:jc w:val="center"/>
        <w:rPr>
          <w:rFonts w:ascii="Times New Roman" w:hAnsi="Times New Roman" w:cs="Times New Roman"/>
        </w:rPr>
      </w:pPr>
      <w:r>
        <w:rPr>
          <w:rFonts w:ascii="Times New Roman" w:hAnsi="Times New Roman" w:cs="Times New Roman"/>
        </w:rPr>
        <w:drawing>
          <wp:inline distT="0" distB="0" distL="114300" distR="114300">
            <wp:extent cx="5601970" cy="3956050"/>
            <wp:effectExtent l="0" t="0" r="17780" b="6350"/>
            <wp:docPr id="30" name="图片 22" descr="14顺河镇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14顺河镇三线合一图"/>
                    <pic:cNvPicPr>
                      <a:picLocks noChangeAspect="1"/>
                    </pic:cNvPicPr>
                  </pic:nvPicPr>
                  <pic:blipFill>
                    <a:blip r:embed="rId23"/>
                    <a:stretch>
                      <a:fillRect/>
                    </a:stretch>
                  </pic:blipFill>
                  <pic:spPr>
                    <a:xfrm>
                      <a:off x="0" y="0"/>
                      <a:ext cx="5601970" cy="3956050"/>
                    </a:xfrm>
                    <a:prstGeom prst="rect">
                      <a:avLst/>
                    </a:prstGeom>
                    <a:noFill/>
                    <a:ln>
                      <a:noFill/>
                    </a:ln>
                  </pic:spPr>
                </pic:pic>
              </a:graphicData>
            </a:graphic>
          </wp:inline>
        </w:drawing>
      </w:r>
    </w:p>
    <w:p w14:paraId="7DF7303F">
      <w:pPr>
        <w:pStyle w:val="20"/>
        <w:jc w:val="center"/>
        <w:rPr>
          <w:rFonts w:ascii="Times New Roman" w:hAnsi="Times New Roman" w:cs="Times New Roman"/>
        </w:rPr>
      </w:pPr>
      <w:r>
        <w:rPr>
          <w:rFonts w:ascii="Times New Roman" w:hAnsi="Times New Roman" w:eastAsia="黑体" w:cs="Times New Roman"/>
          <w:sz w:val="28"/>
        </w:rPr>
        <w:t>图1-2-</w:t>
      </w:r>
      <w:r>
        <w:rPr>
          <w:rFonts w:hint="eastAsia" w:ascii="Times New Roman" w:hAnsi="Times New Roman" w:eastAsia="黑体" w:cs="Times New Roman"/>
          <w:sz w:val="28"/>
        </w:rPr>
        <w:t>1</w:t>
      </w:r>
      <w:r>
        <w:rPr>
          <w:rFonts w:ascii="Times New Roman" w:hAnsi="Times New Roman" w:eastAsia="黑体" w:cs="Times New Roman"/>
          <w:sz w:val="28"/>
        </w:rPr>
        <w:t xml:space="preserve">4 </w:t>
      </w:r>
      <w:r>
        <w:rPr>
          <w:rFonts w:hint="eastAsia" w:ascii="Times New Roman" w:hAnsi="Times New Roman" w:eastAsia="黑体" w:cs="Times New Roman"/>
          <w:sz w:val="28"/>
        </w:rPr>
        <w:t>顺河镇</w:t>
      </w:r>
      <w:r>
        <w:rPr>
          <w:rFonts w:ascii="Times New Roman" w:hAnsi="Times New Roman" w:eastAsia="黑体" w:cs="Times New Roman"/>
          <w:sz w:val="28"/>
        </w:rPr>
        <w:t>定级范围及两规一线对比示意图</w:t>
      </w:r>
    </w:p>
    <w:p w14:paraId="6AD87834">
      <w:pPr>
        <w:pStyle w:val="20"/>
        <w:jc w:val="center"/>
        <w:rPr>
          <w:rFonts w:ascii="Times New Roman" w:hAnsi="Times New Roman" w:cs="Times New Roman"/>
        </w:rPr>
      </w:pPr>
      <w:r>
        <w:rPr>
          <w:rFonts w:ascii="Times New Roman" w:hAnsi="Times New Roman" w:cs="Times New Roman"/>
        </w:rPr>
        <w:drawing>
          <wp:inline distT="0" distB="0" distL="114300" distR="114300">
            <wp:extent cx="5601970" cy="3956050"/>
            <wp:effectExtent l="0" t="0" r="17780" b="6350"/>
            <wp:docPr id="31" name="图片 23" descr="15杨庄乡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descr="15杨庄乡三线合一图"/>
                    <pic:cNvPicPr>
                      <a:picLocks noChangeAspect="1"/>
                    </pic:cNvPicPr>
                  </pic:nvPicPr>
                  <pic:blipFill>
                    <a:blip r:embed="rId24"/>
                    <a:stretch>
                      <a:fillRect/>
                    </a:stretch>
                  </pic:blipFill>
                  <pic:spPr>
                    <a:xfrm>
                      <a:off x="0" y="0"/>
                      <a:ext cx="5601970" cy="3956050"/>
                    </a:xfrm>
                    <a:prstGeom prst="rect">
                      <a:avLst/>
                    </a:prstGeom>
                    <a:noFill/>
                    <a:ln>
                      <a:noFill/>
                    </a:ln>
                  </pic:spPr>
                </pic:pic>
              </a:graphicData>
            </a:graphic>
          </wp:inline>
        </w:drawing>
      </w:r>
    </w:p>
    <w:p w14:paraId="37F4150E">
      <w:pPr>
        <w:tabs>
          <w:tab w:val="left" w:pos="2930"/>
        </w:tabs>
        <w:jc w:val="center"/>
      </w:pPr>
      <w:r>
        <w:rPr>
          <w:rFonts w:eastAsia="黑体"/>
          <w:sz w:val="28"/>
        </w:rPr>
        <w:t>图1-2-</w:t>
      </w:r>
      <w:r>
        <w:rPr>
          <w:rFonts w:hint="eastAsia" w:eastAsia="黑体"/>
          <w:sz w:val="28"/>
        </w:rPr>
        <w:t>1</w:t>
      </w:r>
      <w:r>
        <w:rPr>
          <w:rFonts w:eastAsia="黑体"/>
          <w:sz w:val="28"/>
        </w:rPr>
        <w:t xml:space="preserve">5 </w:t>
      </w:r>
      <w:r>
        <w:rPr>
          <w:rFonts w:hint="eastAsia" w:eastAsia="黑体"/>
          <w:sz w:val="28"/>
        </w:rPr>
        <w:t>杨庄镇</w:t>
      </w:r>
      <w:r>
        <w:rPr>
          <w:rFonts w:eastAsia="黑体"/>
          <w:sz w:val="28"/>
        </w:rPr>
        <w:t>定级范围及两规一线对比示意图</w:t>
      </w:r>
    </w:p>
    <w:p w14:paraId="37C26020">
      <w:pPr>
        <w:pStyle w:val="20"/>
        <w:jc w:val="center"/>
        <w:rPr>
          <w:rFonts w:ascii="Times New Roman" w:hAnsi="Times New Roman" w:cs="Times New Roman"/>
        </w:rPr>
      </w:pPr>
      <w:r>
        <w:rPr>
          <w:rFonts w:ascii="Times New Roman" w:hAnsi="Times New Roman" w:cs="Times New Roman"/>
        </w:rPr>
        <w:drawing>
          <wp:inline distT="0" distB="0" distL="114300" distR="114300">
            <wp:extent cx="2790825" cy="3966845"/>
            <wp:effectExtent l="0" t="0" r="0" b="0"/>
            <wp:docPr id="32" name="图片 24" descr="16永镇乡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4" descr="16永镇乡三线合一图"/>
                    <pic:cNvPicPr>
                      <a:picLocks noChangeAspect="1"/>
                    </pic:cNvPicPr>
                  </pic:nvPicPr>
                  <pic:blipFill>
                    <a:blip r:embed="rId25"/>
                    <a:stretch>
                      <a:fillRect/>
                    </a:stretch>
                  </pic:blipFill>
                  <pic:spPr>
                    <a:xfrm>
                      <a:off x="0" y="0"/>
                      <a:ext cx="2790825" cy="3966845"/>
                    </a:xfrm>
                    <a:prstGeom prst="rect">
                      <a:avLst/>
                    </a:prstGeom>
                    <a:noFill/>
                    <a:ln>
                      <a:noFill/>
                    </a:ln>
                  </pic:spPr>
                </pic:pic>
              </a:graphicData>
            </a:graphic>
          </wp:inline>
        </w:drawing>
      </w:r>
    </w:p>
    <w:p w14:paraId="7E10CD00">
      <w:pPr>
        <w:pStyle w:val="20"/>
        <w:jc w:val="center"/>
        <w:rPr>
          <w:rFonts w:ascii="Times New Roman" w:hAnsi="Times New Roman" w:eastAsia="黑体" w:cs="Times New Roman"/>
          <w:sz w:val="28"/>
        </w:rPr>
      </w:pPr>
      <w:r>
        <w:rPr>
          <w:rFonts w:ascii="Times New Roman" w:hAnsi="Times New Roman" w:eastAsia="黑体" w:cs="Times New Roman"/>
          <w:sz w:val="28"/>
        </w:rPr>
        <w:t>图1-2-</w:t>
      </w:r>
      <w:r>
        <w:rPr>
          <w:rFonts w:hint="eastAsia" w:ascii="Times New Roman" w:hAnsi="Times New Roman" w:eastAsia="黑体" w:cs="Times New Roman"/>
          <w:sz w:val="28"/>
        </w:rPr>
        <w:t>1</w:t>
      </w:r>
      <w:r>
        <w:rPr>
          <w:rFonts w:ascii="Times New Roman" w:hAnsi="Times New Roman" w:eastAsia="黑体" w:cs="Times New Roman"/>
          <w:sz w:val="28"/>
        </w:rPr>
        <w:t xml:space="preserve">6 </w:t>
      </w:r>
      <w:r>
        <w:rPr>
          <w:rFonts w:hint="eastAsia" w:ascii="Times New Roman" w:hAnsi="Times New Roman" w:eastAsia="黑体" w:cs="Times New Roman"/>
          <w:sz w:val="28"/>
        </w:rPr>
        <w:t>永镇乡</w:t>
      </w:r>
      <w:r>
        <w:rPr>
          <w:rFonts w:ascii="Times New Roman" w:hAnsi="Times New Roman" w:eastAsia="黑体" w:cs="Times New Roman"/>
          <w:sz w:val="28"/>
        </w:rPr>
        <w:t>定级范围及两规一线对比示意图</w:t>
      </w:r>
    </w:p>
    <w:p w14:paraId="184E7BD7">
      <w:pPr>
        <w:pStyle w:val="20"/>
        <w:jc w:val="center"/>
        <w:rPr>
          <w:rFonts w:ascii="Times New Roman" w:hAnsi="Times New Roman" w:cs="Times New Roman"/>
        </w:rPr>
      </w:pPr>
      <w:r>
        <w:rPr>
          <w:rFonts w:ascii="Times New Roman" w:hAnsi="Times New Roman" w:cs="Times New Roman"/>
        </w:rPr>
        <w:drawing>
          <wp:inline distT="0" distB="0" distL="114300" distR="114300">
            <wp:extent cx="5601970" cy="3956050"/>
            <wp:effectExtent l="0" t="0" r="17780" b="6350"/>
            <wp:docPr id="33" name="图片 25" descr="17解集乡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5" descr="17解集乡三线合一图"/>
                    <pic:cNvPicPr>
                      <a:picLocks noChangeAspect="1"/>
                    </pic:cNvPicPr>
                  </pic:nvPicPr>
                  <pic:blipFill>
                    <a:blip r:embed="rId26"/>
                    <a:stretch>
                      <a:fillRect/>
                    </a:stretch>
                  </pic:blipFill>
                  <pic:spPr>
                    <a:xfrm>
                      <a:off x="0" y="0"/>
                      <a:ext cx="5601970" cy="3956050"/>
                    </a:xfrm>
                    <a:prstGeom prst="rect">
                      <a:avLst/>
                    </a:prstGeom>
                    <a:noFill/>
                    <a:ln>
                      <a:noFill/>
                    </a:ln>
                  </pic:spPr>
                </pic:pic>
              </a:graphicData>
            </a:graphic>
          </wp:inline>
        </w:drawing>
      </w:r>
    </w:p>
    <w:p w14:paraId="03555CD4">
      <w:pPr>
        <w:jc w:val="center"/>
      </w:pPr>
      <w:r>
        <w:rPr>
          <w:rFonts w:eastAsia="黑体"/>
          <w:sz w:val="28"/>
        </w:rPr>
        <w:t>图1-2-</w:t>
      </w:r>
      <w:r>
        <w:rPr>
          <w:rFonts w:hint="eastAsia" w:eastAsia="黑体"/>
          <w:sz w:val="28"/>
        </w:rPr>
        <w:t>1</w:t>
      </w:r>
      <w:r>
        <w:rPr>
          <w:rFonts w:eastAsia="黑体"/>
          <w:sz w:val="28"/>
        </w:rPr>
        <w:t xml:space="preserve">7 </w:t>
      </w:r>
      <w:r>
        <w:rPr>
          <w:rFonts w:hint="eastAsia" w:eastAsia="黑体"/>
          <w:sz w:val="28"/>
        </w:rPr>
        <w:t>解集镇</w:t>
      </w:r>
      <w:r>
        <w:rPr>
          <w:rFonts w:eastAsia="黑体"/>
          <w:sz w:val="28"/>
        </w:rPr>
        <w:t>定级范围及两规一线对比示意图</w:t>
      </w:r>
    </w:p>
    <w:p w14:paraId="7665F429">
      <w:pPr>
        <w:pStyle w:val="20"/>
        <w:jc w:val="center"/>
        <w:rPr>
          <w:rFonts w:ascii="Times New Roman" w:hAnsi="Times New Roman" w:eastAsia="黑体" w:cs="Times New Roman"/>
          <w:sz w:val="28"/>
        </w:rPr>
      </w:pPr>
      <w:r>
        <w:rPr>
          <w:rFonts w:ascii="Times New Roman" w:hAnsi="Times New Roman" w:eastAsia="黑体" w:cs="Times New Roman"/>
          <w:sz w:val="28"/>
        </w:rPr>
        <w:drawing>
          <wp:inline distT="0" distB="0" distL="114300" distR="114300">
            <wp:extent cx="5601970" cy="3956050"/>
            <wp:effectExtent l="0" t="0" r="17780" b="6350"/>
            <wp:docPr id="34" name="图片 26" descr="18大泽乡镇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6" descr="18大泽乡镇三线合一图"/>
                    <pic:cNvPicPr>
                      <a:picLocks noChangeAspect="1"/>
                    </pic:cNvPicPr>
                  </pic:nvPicPr>
                  <pic:blipFill>
                    <a:blip r:embed="rId27"/>
                    <a:stretch>
                      <a:fillRect/>
                    </a:stretch>
                  </pic:blipFill>
                  <pic:spPr>
                    <a:xfrm>
                      <a:off x="0" y="0"/>
                      <a:ext cx="5601970" cy="3956050"/>
                    </a:xfrm>
                    <a:prstGeom prst="rect">
                      <a:avLst/>
                    </a:prstGeom>
                    <a:noFill/>
                    <a:ln>
                      <a:noFill/>
                    </a:ln>
                  </pic:spPr>
                </pic:pic>
              </a:graphicData>
            </a:graphic>
          </wp:inline>
        </w:drawing>
      </w:r>
    </w:p>
    <w:p w14:paraId="5750B1F5">
      <w:pPr>
        <w:pStyle w:val="20"/>
        <w:jc w:val="center"/>
        <w:rPr>
          <w:rFonts w:ascii="Times New Roman" w:hAnsi="Times New Roman" w:cs="Times New Roman"/>
        </w:rPr>
      </w:pPr>
      <w:r>
        <w:rPr>
          <w:rFonts w:ascii="Times New Roman" w:hAnsi="Times New Roman" w:eastAsia="黑体" w:cs="Times New Roman"/>
          <w:sz w:val="28"/>
        </w:rPr>
        <w:t>图1-2-</w:t>
      </w:r>
      <w:r>
        <w:rPr>
          <w:rFonts w:hint="eastAsia" w:ascii="Times New Roman" w:hAnsi="Times New Roman" w:eastAsia="黑体" w:cs="Times New Roman"/>
          <w:sz w:val="28"/>
        </w:rPr>
        <w:t>1</w:t>
      </w:r>
      <w:r>
        <w:rPr>
          <w:rFonts w:ascii="Times New Roman" w:hAnsi="Times New Roman" w:eastAsia="黑体" w:cs="Times New Roman"/>
          <w:sz w:val="28"/>
        </w:rPr>
        <w:t xml:space="preserve">8 </w:t>
      </w:r>
      <w:r>
        <w:rPr>
          <w:rFonts w:hint="eastAsia" w:ascii="Times New Roman" w:hAnsi="Times New Roman" w:eastAsia="黑体" w:cs="Times New Roman"/>
          <w:sz w:val="28"/>
        </w:rPr>
        <w:t>大泽乡镇</w:t>
      </w:r>
      <w:r>
        <w:rPr>
          <w:rFonts w:ascii="Times New Roman" w:hAnsi="Times New Roman" w:eastAsia="黑体" w:cs="Times New Roman"/>
          <w:sz w:val="28"/>
        </w:rPr>
        <w:t>定级范围及两规一线对比示意图</w:t>
      </w:r>
    </w:p>
    <w:p w14:paraId="2CD02567">
      <w:pPr>
        <w:pStyle w:val="20"/>
        <w:jc w:val="center"/>
        <w:rPr>
          <w:rFonts w:ascii="Times New Roman" w:hAnsi="Times New Roman" w:eastAsia="黑体" w:cs="Times New Roman"/>
          <w:sz w:val="28"/>
        </w:rPr>
      </w:pPr>
      <w:r>
        <w:rPr>
          <w:rFonts w:ascii="Times New Roman" w:hAnsi="Times New Roman" w:eastAsia="黑体" w:cs="Times New Roman"/>
          <w:sz w:val="28"/>
        </w:rPr>
        <w:drawing>
          <wp:inline distT="0" distB="0" distL="114300" distR="114300">
            <wp:extent cx="2790825" cy="3966845"/>
            <wp:effectExtent l="0" t="0" r="9525" b="14605"/>
            <wp:docPr id="35" name="图片 27" descr="19永安镇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7" descr="19永安镇三线合一图"/>
                    <pic:cNvPicPr>
                      <a:picLocks noChangeAspect="1"/>
                    </pic:cNvPicPr>
                  </pic:nvPicPr>
                  <pic:blipFill>
                    <a:blip r:embed="rId28"/>
                    <a:stretch>
                      <a:fillRect/>
                    </a:stretch>
                  </pic:blipFill>
                  <pic:spPr>
                    <a:xfrm>
                      <a:off x="0" y="0"/>
                      <a:ext cx="2790825" cy="3966845"/>
                    </a:xfrm>
                    <a:prstGeom prst="rect">
                      <a:avLst/>
                    </a:prstGeom>
                    <a:noFill/>
                    <a:ln>
                      <a:noFill/>
                    </a:ln>
                  </pic:spPr>
                </pic:pic>
              </a:graphicData>
            </a:graphic>
          </wp:inline>
        </w:drawing>
      </w:r>
    </w:p>
    <w:p w14:paraId="0D5DE312">
      <w:pPr>
        <w:pStyle w:val="20"/>
        <w:jc w:val="center"/>
        <w:rPr>
          <w:rFonts w:ascii="Times New Roman" w:hAnsi="Times New Roman" w:eastAsia="黑体" w:cs="Times New Roman"/>
          <w:sz w:val="28"/>
        </w:rPr>
      </w:pPr>
      <w:r>
        <w:rPr>
          <w:rFonts w:ascii="Times New Roman" w:hAnsi="Times New Roman" w:eastAsia="黑体" w:cs="Times New Roman"/>
          <w:sz w:val="28"/>
        </w:rPr>
        <w:t>图1-2-</w:t>
      </w:r>
      <w:r>
        <w:rPr>
          <w:rFonts w:hint="eastAsia" w:ascii="Times New Roman" w:hAnsi="Times New Roman" w:eastAsia="黑体" w:cs="Times New Roman"/>
          <w:sz w:val="28"/>
        </w:rPr>
        <w:t>1</w:t>
      </w:r>
      <w:r>
        <w:rPr>
          <w:rFonts w:ascii="Times New Roman" w:hAnsi="Times New Roman" w:eastAsia="黑体" w:cs="Times New Roman"/>
          <w:sz w:val="28"/>
        </w:rPr>
        <w:t xml:space="preserve">9 </w:t>
      </w:r>
      <w:r>
        <w:rPr>
          <w:rFonts w:hint="eastAsia" w:ascii="Times New Roman" w:hAnsi="Times New Roman" w:eastAsia="黑体" w:cs="Times New Roman"/>
          <w:sz w:val="28"/>
        </w:rPr>
        <w:t>永安镇</w:t>
      </w:r>
      <w:r>
        <w:rPr>
          <w:rFonts w:ascii="Times New Roman" w:hAnsi="Times New Roman" w:eastAsia="黑体" w:cs="Times New Roman"/>
          <w:sz w:val="28"/>
        </w:rPr>
        <w:t>定级范围及两规一线对比示意图</w:t>
      </w:r>
    </w:p>
    <w:p w14:paraId="6BED7F5A">
      <w:pPr>
        <w:pStyle w:val="20"/>
        <w:jc w:val="center"/>
        <w:rPr>
          <w:rFonts w:ascii="Times New Roman" w:hAnsi="Times New Roman" w:cs="Times New Roman"/>
        </w:rPr>
      </w:pPr>
      <w:r>
        <w:rPr>
          <w:rFonts w:ascii="Times New Roman" w:hAnsi="Times New Roman" w:cs="Times New Roman"/>
        </w:rPr>
        <w:drawing>
          <wp:inline distT="0" distB="0" distL="114300" distR="114300">
            <wp:extent cx="5601970" cy="3956050"/>
            <wp:effectExtent l="0" t="0" r="17780" b="6350"/>
            <wp:docPr id="36" name="图片 28" descr="20支河乡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8" descr="20支河乡三线合一图"/>
                    <pic:cNvPicPr>
                      <a:picLocks noChangeAspect="1"/>
                    </pic:cNvPicPr>
                  </pic:nvPicPr>
                  <pic:blipFill>
                    <a:blip r:embed="rId29"/>
                    <a:stretch>
                      <a:fillRect/>
                    </a:stretch>
                  </pic:blipFill>
                  <pic:spPr>
                    <a:xfrm>
                      <a:off x="0" y="0"/>
                      <a:ext cx="5601970" cy="3956050"/>
                    </a:xfrm>
                    <a:prstGeom prst="rect">
                      <a:avLst/>
                    </a:prstGeom>
                    <a:noFill/>
                    <a:ln>
                      <a:noFill/>
                    </a:ln>
                  </pic:spPr>
                </pic:pic>
              </a:graphicData>
            </a:graphic>
          </wp:inline>
        </w:drawing>
      </w:r>
    </w:p>
    <w:p w14:paraId="5DB2CA3E">
      <w:pPr>
        <w:pStyle w:val="20"/>
        <w:jc w:val="center"/>
        <w:rPr>
          <w:rFonts w:hint="eastAsia" w:ascii="Times New Roman" w:hAnsi="Times New Roman" w:eastAsia="黑体" w:cs="Times New Roman"/>
          <w:sz w:val="28"/>
        </w:rPr>
      </w:pPr>
      <w:r>
        <w:rPr>
          <w:rFonts w:ascii="Times New Roman" w:hAnsi="Times New Roman" w:eastAsia="黑体" w:cs="Times New Roman"/>
          <w:sz w:val="28"/>
        </w:rPr>
        <w:t>图1-2-</w:t>
      </w:r>
      <w:r>
        <w:rPr>
          <w:rFonts w:hint="eastAsia" w:ascii="Times New Roman" w:hAnsi="Times New Roman" w:eastAsia="黑体" w:cs="Times New Roman"/>
          <w:sz w:val="28"/>
        </w:rPr>
        <w:t>2</w:t>
      </w:r>
      <w:r>
        <w:rPr>
          <w:rFonts w:ascii="Times New Roman" w:hAnsi="Times New Roman" w:eastAsia="黑体" w:cs="Times New Roman"/>
          <w:sz w:val="28"/>
        </w:rPr>
        <w:t xml:space="preserve">0 </w:t>
      </w:r>
      <w:r>
        <w:rPr>
          <w:rFonts w:hint="eastAsia" w:ascii="Times New Roman" w:hAnsi="Times New Roman" w:eastAsia="黑体" w:cs="Times New Roman"/>
          <w:sz w:val="28"/>
        </w:rPr>
        <w:t>支河乡</w:t>
      </w:r>
      <w:r>
        <w:rPr>
          <w:rFonts w:ascii="Times New Roman" w:hAnsi="Times New Roman" w:eastAsia="黑体" w:cs="Times New Roman"/>
          <w:sz w:val="28"/>
        </w:rPr>
        <w:t>定级范围及两规一线对比示意图</w:t>
      </w:r>
    </w:p>
    <w:p w14:paraId="554AA95D">
      <w:pPr>
        <w:pStyle w:val="20"/>
        <w:jc w:val="center"/>
        <w:rPr>
          <w:rFonts w:ascii="Times New Roman" w:hAnsi="Times New Roman" w:cs="Times New Roman"/>
        </w:rPr>
      </w:pPr>
      <w:r>
        <w:rPr>
          <w:rFonts w:ascii="Times New Roman" w:hAnsi="Times New Roman" w:cs="Times New Roman"/>
        </w:rPr>
        <w:drawing>
          <wp:inline distT="0" distB="0" distL="114300" distR="114300">
            <wp:extent cx="5601970" cy="3956050"/>
            <wp:effectExtent l="0" t="0" r="17780" b="6350"/>
            <wp:docPr id="37" name="图片 29" descr="21灰古镇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9" descr="21灰古镇三线合一图"/>
                    <pic:cNvPicPr>
                      <a:picLocks noChangeAspect="1"/>
                    </pic:cNvPicPr>
                  </pic:nvPicPr>
                  <pic:blipFill>
                    <a:blip r:embed="rId30"/>
                    <a:stretch>
                      <a:fillRect/>
                    </a:stretch>
                  </pic:blipFill>
                  <pic:spPr>
                    <a:xfrm>
                      <a:off x="0" y="0"/>
                      <a:ext cx="5601970" cy="3956050"/>
                    </a:xfrm>
                    <a:prstGeom prst="rect">
                      <a:avLst/>
                    </a:prstGeom>
                    <a:noFill/>
                    <a:ln>
                      <a:noFill/>
                    </a:ln>
                  </pic:spPr>
                </pic:pic>
              </a:graphicData>
            </a:graphic>
          </wp:inline>
        </w:drawing>
      </w:r>
    </w:p>
    <w:p w14:paraId="70BB6398">
      <w:pPr>
        <w:pStyle w:val="20"/>
        <w:jc w:val="center"/>
        <w:rPr>
          <w:rFonts w:ascii="Times New Roman" w:hAnsi="Times New Roman" w:eastAsia="黑体" w:cs="Times New Roman"/>
          <w:sz w:val="28"/>
        </w:rPr>
      </w:pPr>
      <w:r>
        <w:rPr>
          <w:rFonts w:ascii="Times New Roman" w:hAnsi="Times New Roman" w:eastAsia="黑体" w:cs="Times New Roman"/>
          <w:sz w:val="28"/>
        </w:rPr>
        <w:t>图1-2-</w:t>
      </w:r>
      <w:r>
        <w:rPr>
          <w:rFonts w:hint="eastAsia" w:ascii="Times New Roman" w:hAnsi="Times New Roman" w:eastAsia="黑体" w:cs="Times New Roman"/>
          <w:sz w:val="28"/>
        </w:rPr>
        <w:t>21</w:t>
      </w:r>
      <w:r>
        <w:rPr>
          <w:rFonts w:ascii="Times New Roman" w:hAnsi="Times New Roman" w:eastAsia="黑体" w:cs="Times New Roman"/>
          <w:sz w:val="28"/>
        </w:rPr>
        <w:t xml:space="preserve"> </w:t>
      </w:r>
      <w:r>
        <w:rPr>
          <w:rFonts w:hint="eastAsia" w:ascii="Times New Roman" w:hAnsi="Times New Roman" w:eastAsia="黑体" w:cs="Times New Roman"/>
          <w:sz w:val="28"/>
        </w:rPr>
        <w:t>灰古镇</w:t>
      </w:r>
      <w:r>
        <w:rPr>
          <w:rFonts w:ascii="Times New Roman" w:hAnsi="Times New Roman" w:eastAsia="黑体" w:cs="Times New Roman"/>
          <w:sz w:val="28"/>
        </w:rPr>
        <w:t>定级范围及两规一线对比示意图</w:t>
      </w:r>
    </w:p>
    <w:p w14:paraId="24016F13">
      <w:pPr>
        <w:pStyle w:val="20"/>
        <w:jc w:val="center"/>
        <w:rPr>
          <w:rFonts w:ascii="Times New Roman" w:hAnsi="Times New Roman" w:cs="Times New Roman"/>
        </w:rPr>
      </w:pPr>
      <w:r>
        <w:rPr>
          <w:rFonts w:ascii="Times New Roman" w:hAnsi="Times New Roman" w:cs="Times New Roman"/>
        </w:rPr>
        <w:drawing>
          <wp:inline distT="0" distB="0" distL="114300" distR="114300">
            <wp:extent cx="2790825" cy="3966845"/>
            <wp:effectExtent l="0" t="0" r="9525" b="14605"/>
            <wp:docPr id="38" name="图片 30" descr="22桃沟乡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0" descr="22桃沟乡三线合一图"/>
                    <pic:cNvPicPr>
                      <a:picLocks noChangeAspect="1"/>
                    </pic:cNvPicPr>
                  </pic:nvPicPr>
                  <pic:blipFill>
                    <a:blip r:embed="rId31"/>
                    <a:stretch>
                      <a:fillRect/>
                    </a:stretch>
                  </pic:blipFill>
                  <pic:spPr>
                    <a:xfrm>
                      <a:off x="0" y="0"/>
                      <a:ext cx="2790825" cy="3966845"/>
                    </a:xfrm>
                    <a:prstGeom prst="rect">
                      <a:avLst/>
                    </a:prstGeom>
                    <a:noFill/>
                    <a:ln>
                      <a:noFill/>
                    </a:ln>
                  </pic:spPr>
                </pic:pic>
              </a:graphicData>
            </a:graphic>
          </wp:inline>
        </w:drawing>
      </w:r>
    </w:p>
    <w:p w14:paraId="45C13569">
      <w:pPr>
        <w:jc w:val="center"/>
      </w:pPr>
      <w:r>
        <w:rPr>
          <w:rFonts w:eastAsia="黑体"/>
          <w:sz w:val="28"/>
        </w:rPr>
        <w:t>图1-2-</w:t>
      </w:r>
      <w:r>
        <w:rPr>
          <w:rFonts w:hint="eastAsia" w:eastAsia="黑体"/>
          <w:sz w:val="28"/>
        </w:rPr>
        <w:t>22</w:t>
      </w:r>
      <w:r>
        <w:rPr>
          <w:rFonts w:eastAsia="黑体"/>
          <w:sz w:val="28"/>
        </w:rPr>
        <w:t xml:space="preserve"> </w:t>
      </w:r>
      <w:r>
        <w:rPr>
          <w:rFonts w:hint="eastAsia" w:eastAsia="黑体"/>
          <w:sz w:val="28"/>
        </w:rPr>
        <w:t>桃沟乡</w:t>
      </w:r>
      <w:r>
        <w:rPr>
          <w:rFonts w:eastAsia="黑体"/>
          <w:sz w:val="28"/>
        </w:rPr>
        <w:t>定级范围及两规一线对比示意图</w:t>
      </w:r>
    </w:p>
    <w:p w14:paraId="30E0DAEE">
      <w:pPr>
        <w:pStyle w:val="20"/>
        <w:jc w:val="center"/>
        <w:rPr>
          <w:rFonts w:ascii="Times New Roman" w:hAnsi="Times New Roman" w:eastAsia="黑体" w:cs="Times New Roman"/>
          <w:sz w:val="28"/>
        </w:rPr>
      </w:pPr>
      <w:r>
        <w:rPr>
          <w:rFonts w:ascii="Times New Roman" w:hAnsi="Times New Roman" w:eastAsia="黑体" w:cs="Times New Roman"/>
          <w:sz w:val="28"/>
        </w:rPr>
        <w:drawing>
          <wp:inline distT="0" distB="0" distL="114300" distR="114300">
            <wp:extent cx="2790825" cy="3966845"/>
            <wp:effectExtent l="0" t="0" r="9525" b="14605"/>
            <wp:docPr id="39" name="图片 31" descr="23曹村开发区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1" descr="23曹村开发区三线合一图"/>
                    <pic:cNvPicPr>
                      <a:picLocks noChangeAspect="1"/>
                    </pic:cNvPicPr>
                  </pic:nvPicPr>
                  <pic:blipFill>
                    <a:blip r:embed="rId32"/>
                    <a:stretch>
                      <a:fillRect/>
                    </a:stretch>
                  </pic:blipFill>
                  <pic:spPr>
                    <a:xfrm>
                      <a:off x="0" y="0"/>
                      <a:ext cx="2790825" cy="3966845"/>
                    </a:xfrm>
                    <a:prstGeom prst="rect">
                      <a:avLst/>
                    </a:prstGeom>
                    <a:noFill/>
                    <a:ln>
                      <a:noFill/>
                    </a:ln>
                  </pic:spPr>
                </pic:pic>
              </a:graphicData>
            </a:graphic>
          </wp:inline>
        </w:drawing>
      </w:r>
    </w:p>
    <w:p w14:paraId="72DC2839">
      <w:pPr>
        <w:pStyle w:val="20"/>
        <w:jc w:val="center"/>
        <w:rPr>
          <w:rFonts w:ascii="Times New Roman" w:hAnsi="Times New Roman" w:cs="Times New Roman"/>
        </w:rPr>
      </w:pPr>
      <w:r>
        <w:rPr>
          <w:rFonts w:ascii="Times New Roman" w:hAnsi="Times New Roman" w:eastAsia="黑体" w:cs="Times New Roman"/>
          <w:sz w:val="28"/>
        </w:rPr>
        <w:t>图1-2-</w:t>
      </w:r>
      <w:r>
        <w:rPr>
          <w:rFonts w:hint="eastAsia" w:ascii="Times New Roman" w:hAnsi="Times New Roman" w:eastAsia="黑体" w:cs="Times New Roman"/>
          <w:sz w:val="28"/>
        </w:rPr>
        <w:t>23</w:t>
      </w:r>
      <w:r>
        <w:rPr>
          <w:rFonts w:ascii="Times New Roman" w:hAnsi="Times New Roman" w:eastAsia="黑体" w:cs="Times New Roman"/>
          <w:sz w:val="28"/>
        </w:rPr>
        <w:t xml:space="preserve"> </w:t>
      </w:r>
      <w:r>
        <w:rPr>
          <w:rFonts w:hint="eastAsia" w:ascii="Times New Roman" w:hAnsi="Times New Roman" w:eastAsia="黑体" w:cs="Times New Roman"/>
          <w:sz w:val="28"/>
        </w:rPr>
        <w:t>曹村开发区估价</w:t>
      </w:r>
      <w:r>
        <w:rPr>
          <w:rFonts w:ascii="Times New Roman" w:hAnsi="Times New Roman" w:eastAsia="黑体" w:cs="Times New Roman"/>
          <w:sz w:val="28"/>
        </w:rPr>
        <w:t>范围及两规一线对比示意图</w:t>
      </w:r>
    </w:p>
    <w:p w14:paraId="3771051B">
      <w:pPr>
        <w:pStyle w:val="20"/>
        <w:jc w:val="center"/>
        <w:rPr>
          <w:rFonts w:ascii="Times New Roman" w:hAnsi="Times New Roman" w:eastAsia="黑体" w:cs="Times New Roman"/>
          <w:sz w:val="28"/>
        </w:rPr>
      </w:pPr>
      <w:r>
        <w:rPr>
          <w:rFonts w:ascii="Times New Roman" w:hAnsi="Times New Roman" w:eastAsia="黑体" w:cs="Times New Roman"/>
          <w:sz w:val="28"/>
        </w:rPr>
        <w:drawing>
          <wp:inline distT="0" distB="0" distL="114300" distR="114300">
            <wp:extent cx="5601970" cy="3956050"/>
            <wp:effectExtent l="0" t="0" r="17780" b="6350"/>
            <wp:docPr id="40" name="图片 32" descr="24家具产业园区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2" descr="24家具产业园区三线合一图"/>
                    <pic:cNvPicPr>
                      <a:picLocks noChangeAspect="1"/>
                    </pic:cNvPicPr>
                  </pic:nvPicPr>
                  <pic:blipFill>
                    <a:blip r:embed="rId33"/>
                    <a:stretch>
                      <a:fillRect/>
                    </a:stretch>
                  </pic:blipFill>
                  <pic:spPr>
                    <a:xfrm>
                      <a:off x="0" y="0"/>
                      <a:ext cx="5601970" cy="3956050"/>
                    </a:xfrm>
                    <a:prstGeom prst="rect">
                      <a:avLst/>
                    </a:prstGeom>
                    <a:noFill/>
                    <a:ln>
                      <a:noFill/>
                    </a:ln>
                  </pic:spPr>
                </pic:pic>
              </a:graphicData>
            </a:graphic>
          </wp:inline>
        </w:drawing>
      </w:r>
    </w:p>
    <w:p w14:paraId="08C89123">
      <w:pPr>
        <w:pStyle w:val="20"/>
        <w:jc w:val="center"/>
        <w:rPr>
          <w:rFonts w:ascii="Times New Roman" w:hAnsi="Times New Roman" w:eastAsia="黑体" w:cs="Times New Roman"/>
          <w:sz w:val="28"/>
        </w:rPr>
      </w:pPr>
      <w:r>
        <w:rPr>
          <w:rFonts w:ascii="Times New Roman" w:hAnsi="Times New Roman" w:eastAsia="黑体" w:cs="Times New Roman"/>
          <w:sz w:val="28"/>
        </w:rPr>
        <w:t>图1-2-</w:t>
      </w:r>
      <w:r>
        <w:rPr>
          <w:rFonts w:hint="eastAsia" w:ascii="Times New Roman" w:hAnsi="Times New Roman" w:eastAsia="黑体" w:cs="Times New Roman"/>
          <w:sz w:val="28"/>
        </w:rPr>
        <w:t>24</w:t>
      </w:r>
      <w:r>
        <w:rPr>
          <w:rFonts w:ascii="Times New Roman" w:hAnsi="Times New Roman" w:eastAsia="黑体" w:cs="Times New Roman"/>
          <w:sz w:val="28"/>
        </w:rPr>
        <w:t xml:space="preserve"> </w:t>
      </w:r>
      <w:r>
        <w:rPr>
          <w:rFonts w:hint="eastAsia" w:ascii="Times New Roman" w:hAnsi="Times New Roman" w:eastAsia="黑体" w:cs="Times New Roman"/>
          <w:sz w:val="28"/>
        </w:rPr>
        <w:t>家具产业园区估价</w:t>
      </w:r>
      <w:r>
        <w:rPr>
          <w:rFonts w:ascii="Times New Roman" w:hAnsi="Times New Roman" w:eastAsia="黑体" w:cs="Times New Roman"/>
          <w:sz w:val="28"/>
        </w:rPr>
        <w:t>范围及两规一线对比示意图</w:t>
      </w:r>
    </w:p>
    <w:p w14:paraId="0BF42387">
      <w:pPr>
        <w:pStyle w:val="20"/>
        <w:jc w:val="center"/>
        <w:rPr>
          <w:rFonts w:ascii="Times New Roman" w:hAnsi="Times New Roman" w:cs="Times New Roman"/>
        </w:rPr>
      </w:pPr>
      <w:r>
        <w:rPr>
          <w:rFonts w:ascii="Times New Roman" w:hAnsi="Times New Roman" w:cs="Times New Roman"/>
        </w:rPr>
        <w:drawing>
          <wp:inline distT="0" distB="0" distL="114300" distR="114300">
            <wp:extent cx="5601970" cy="3956050"/>
            <wp:effectExtent l="0" t="0" r="17780" b="6350"/>
            <wp:docPr id="41" name="图片 33" descr="25农业示范园区三线合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3" descr="25农业示范园区三线合一图"/>
                    <pic:cNvPicPr>
                      <a:picLocks noChangeAspect="1"/>
                    </pic:cNvPicPr>
                  </pic:nvPicPr>
                  <pic:blipFill>
                    <a:blip r:embed="rId34"/>
                    <a:stretch>
                      <a:fillRect/>
                    </a:stretch>
                  </pic:blipFill>
                  <pic:spPr>
                    <a:xfrm>
                      <a:off x="0" y="0"/>
                      <a:ext cx="5601970" cy="3956050"/>
                    </a:xfrm>
                    <a:prstGeom prst="rect">
                      <a:avLst/>
                    </a:prstGeom>
                    <a:noFill/>
                    <a:ln>
                      <a:noFill/>
                    </a:ln>
                  </pic:spPr>
                </pic:pic>
              </a:graphicData>
            </a:graphic>
          </wp:inline>
        </w:drawing>
      </w:r>
    </w:p>
    <w:p w14:paraId="1E63C64E">
      <w:pPr>
        <w:pStyle w:val="20"/>
        <w:jc w:val="center"/>
        <w:rPr>
          <w:rFonts w:ascii="Times New Roman" w:hAnsi="Times New Roman" w:cs="Times New Roman"/>
        </w:rPr>
      </w:pPr>
      <w:r>
        <w:rPr>
          <w:rFonts w:ascii="Times New Roman" w:hAnsi="Times New Roman" w:eastAsia="黑体" w:cs="Times New Roman"/>
          <w:sz w:val="28"/>
        </w:rPr>
        <w:t>图1-2-</w:t>
      </w:r>
      <w:r>
        <w:rPr>
          <w:rFonts w:hint="eastAsia" w:ascii="Times New Roman" w:hAnsi="Times New Roman" w:eastAsia="黑体" w:cs="Times New Roman"/>
          <w:sz w:val="28"/>
        </w:rPr>
        <w:t>25</w:t>
      </w:r>
      <w:r>
        <w:rPr>
          <w:rFonts w:ascii="Times New Roman" w:hAnsi="Times New Roman" w:eastAsia="黑体" w:cs="Times New Roman"/>
          <w:sz w:val="28"/>
        </w:rPr>
        <w:t xml:space="preserve"> </w:t>
      </w:r>
      <w:r>
        <w:rPr>
          <w:rFonts w:hint="eastAsia" w:ascii="Times New Roman" w:hAnsi="Times New Roman" w:eastAsia="黑体" w:cs="Times New Roman"/>
          <w:sz w:val="28"/>
        </w:rPr>
        <w:t>农业示范园区估价</w:t>
      </w:r>
      <w:r>
        <w:rPr>
          <w:rFonts w:ascii="Times New Roman" w:hAnsi="Times New Roman" w:eastAsia="黑体" w:cs="Times New Roman"/>
          <w:sz w:val="28"/>
        </w:rPr>
        <w:t>范围及两规一线对比示意图</w:t>
      </w:r>
    </w:p>
    <w:p w14:paraId="5D42E7E9">
      <w:pPr>
        <w:spacing w:line="480" w:lineRule="exact"/>
        <w:ind w:firstLine="560" w:firstLineChars="200"/>
        <w:rPr>
          <w:rFonts w:eastAsia="楷体_GB2312"/>
          <w:sz w:val="28"/>
          <w:szCs w:val="21"/>
        </w:rPr>
      </w:pPr>
      <w:r>
        <w:rPr>
          <w:rFonts w:eastAsia="楷体_GB2312"/>
          <w:sz w:val="28"/>
          <w:szCs w:val="21"/>
        </w:rPr>
        <w:t>由各乡镇四线合一图可以看出，</w:t>
      </w:r>
      <w:r>
        <w:rPr>
          <w:rFonts w:hint="eastAsia" w:eastAsia="楷体_GB2312"/>
          <w:sz w:val="28"/>
          <w:szCs w:val="21"/>
        </w:rPr>
        <w:t>仅有时村镇</w:t>
      </w:r>
      <w:r>
        <w:rPr>
          <w:rFonts w:eastAsia="楷体_GB2312"/>
          <w:sz w:val="28"/>
          <w:szCs w:val="21"/>
        </w:rPr>
        <w:t>定级范围超出集镇规划范围</w:t>
      </w:r>
      <w:r>
        <w:rPr>
          <w:rFonts w:hint="eastAsia" w:eastAsia="楷体_GB2312"/>
          <w:sz w:val="28"/>
          <w:szCs w:val="21"/>
        </w:rPr>
        <w:t>，经过现场勘查，超出区域为防护绿地，通过上报领导小组，同意将该区域划入定级范围。各</w:t>
      </w:r>
      <w:r>
        <w:rPr>
          <w:rFonts w:eastAsia="楷体_GB2312"/>
          <w:sz w:val="28"/>
          <w:szCs w:val="21"/>
        </w:rPr>
        <w:t>乡镇定级范围均未超出土地利用</w:t>
      </w:r>
      <w:r>
        <w:rPr>
          <w:rFonts w:hint="eastAsia" w:eastAsia="楷体_GB2312"/>
          <w:sz w:val="28"/>
          <w:szCs w:val="21"/>
        </w:rPr>
        <w:t>总体</w:t>
      </w:r>
      <w:r>
        <w:rPr>
          <w:rFonts w:eastAsia="楷体_GB2312"/>
          <w:sz w:val="28"/>
          <w:szCs w:val="21"/>
        </w:rPr>
        <w:t>规划允许建设区和有条件建设区范围，</w:t>
      </w:r>
      <w:r>
        <w:rPr>
          <w:rFonts w:hint="eastAsia" w:eastAsia="楷体_GB2312"/>
          <w:sz w:val="28"/>
          <w:szCs w:val="21"/>
        </w:rPr>
        <w:t>各</w:t>
      </w:r>
      <w:r>
        <w:rPr>
          <w:rFonts w:eastAsia="楷体_GB2312"/>
          <w:sz w:val="28"/>
          <w:szCs w:val="21"/>
        </w:rPr>
        <w:t>乡镇定级范围均</w:t>
      </w:r>
      <w:r>
        <w:rPr>
          <w:rFonts w:hint="eastAsia" w:eastAsia="楷体_GB2312"/>
          <w:sz w:val="28"/>
          <w:szCs w:val="21"/>
        </w:rPr>
        <w:t>未与生态红线重叠。</w:t>
      </w:r>
      <w:r>
        <w:rPr>
          <w:rFonts w:eastAsia="楷体_GB2312"/>
          <w:sz w:val="28"/>
          <w:szCs w:val="21"/>
        </w:rPr>
        <w:t>另外，考虑定级范围边界沿道路、水系的规则性和宗地不可拆分性，将各乡镇范围有稍作调整。</w:t>
      </w:r>
    </w:p>
    <w:p w14:paraId="3C424D7C">
      <w:pPr>
        <w:pStyle w:val="20"/>
        <w:spacing w:line="480" w:lineRule="exact"/>
        <w:rPr>
          <w:rFonts w:ascii="Times New Roman" w:hAnsi="Times New Roman" w:cs="Times New Roman"/>
          <w:b/>
          <w:sz w:val="28"/>
        </w:rPr>
      </w:pPr>
      <w:r>
        <w:rPr>
          <w:rFonts w:ascii="Times New Roman" w:hAnsi="Times New Roman" w:cs="Times New Roman"/>
          <w:b/>
          <w:sz w:val="28"/>
        </w:rPr>
        <w:br w:type="page"/>
      </w:r>
      <w:r>
        <w:rPr>
          <w:rFonts w:ascii="Times New Roman" w:hAnsi="Times New Roman" w:cs="Times New Roman"/>
          <w:b/>
          <w:sz w:val="28"/>
        </w:rPr>
        <w:t>四、</w:t>
      </w:r>
      <w:r>
        <w:rPr>
          <w:rFonts w:hint="eastAsia" w:ascii="Times New Roman" w:hAnsi="Times New Roman" w:cs="Times New Roman"/>
          <w:b/>
          <w:sz w:val="28"/>
        </w:rPr>
        <w:t>定级</w:t>
      </w:r>
      <w:r>
        <w:rPr>
          <w:rFonts w:ascii="Times New Roman" w:hAnsi="Times New Roman" w:cs="Times New Roman"/>
          <w:b/>
          <w:sz w:val="28"/>
        </w:rPr>
        <w:t>范围</w:t>
      </w:r>
      <w:r>
        <w:rPr>
          <w:rFonts w:hint="eastAsia" w:ascii="Times New Roman" w:hAnsi="Times New Roman" w:cs="Times New Roman"/>
          <w:b/>
          <w:sz w:val="28"/>
        </w:rPr>
        <w:t>与相关规划</w:t>
      </w:r>
      <w:r>
        <w:rPr>
          <w:rFonts w:ascii="Times New Roman" w:hAnsi="Times New Roman" w:cs="Times New Roman"/>
          <w:b/>
          <w:sz w:val="28"/>
        </w:rPr>
        <w:t>面积对比说明</w:t>
      </w:r>
    </w:p>
    <w:p w14:paraId="0D9B6E6F">
      <w:pPr>
        <w:spacing w:line="480" w:lineRule="exact"/>
        <w:jc w:val="center"/>
        <w:rPr>
          <w:rFonts w:eastAsia="黑体"/>
          <w:sz w:val="28"/>
          <w:szCs w:val="21"/>
        </w:rPr>
      </w:pPr>
      <w:r>
        <w:rPr>
          <w:rFonts w:eastAsia="黑体"/>
          <w:sz w:val="28"/>
          <w:szCs w:val="21"/>
        </w:rPr>
        <w:t>表1-2-1  埇桥区各乡镇</w:t>
      </w:r>
      <w:r>
        <w:rPr>
          <w:rFonts w:hint="eastAsia" w:eastAsia="黑体"/>
          <w:sz w:val="28"/>
          <w:szCs w:val="21"/>
        </w:rPr>
        <w:t>及园区</w:t>
      </w:r>
      <w:r>
        <w:rPr>
          <w:rFonts w:eastAsia="黑体"/>
          <w:sz w:val="28"/>
          <w:szCs w:val="21"/>
        </w:rPr>
        <w:t>定级范围</w:t>
      </w:r>
      <w:r>
        <w:rPr>
          <w:rFonts w:hint="eastAsia" w:eastAsia="黑体"/>
          <w:sz w:val="28"/>
          <w:szCs w:val="21"/>
        </w:rPr>
        <w:t>与</w:t>
      </w:r>
      <w:r>
        <w:rPr>
          <w:rFonts w:eastAsia="黑体"/>
          <w:sz w:val="28"/>
          <w:szCs w:val="21"/>
        </w:rPr>
        <w:t>土地利用总体规划范围</w:t>
      </w:r>
      <w:r>
        <w:rPr>
          <w:rFonts w:hint="eastAsia" w:eastAsia="黑体"/>
          <w:sz w:val="28"/>
          <w:szCs w:val="21"/>
        </w:rPr>
        <w:t>、集镇总体规划范围</w:t>
      </w:r>
      <w:r>
        <w:rPr>
          <w:rFonts w:eastAsia="黑体"/>
          <w:sz w:val="28"/>
          <w:szCs w:val="21"/>
        </w:rPr>
        <w:t>面积对比说明表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716"/>
        <w:gridCol w:w="2268"/>
        <w:gridCol w:w="2126"/>
        <w:gridCol w:w="2408"/>
      </w:tblGrid>
      <w:tr w14:paraId="09C7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tblHeader/>
          <w:jc w:val="center"/>
        </w:trPr>
        <w:tc>
          <w:tcPr>
            <w:tcW w:w="305" w:type="pct"/>
            <w:noWrap w:val="0"/>
            <w:vAlign w:val="center"/>
          </w:tcPr>
          <w:p w14:paraId="0DC54D29">
            <w:pPr>
              <w:widowControl w:val="0"/>
              <w:jc w:val="center"/>
              <w:rPr>
                <w:rFonts w:eastAsia="楷体_GB2312"/>
                <w:spacing w:val="-20"/>
                <w:sz w:val="24"/>
              </w:rPr>
            </w:pPr>
            <w:r>
              <w:rPr>
                <w:rFonts w:eastAsia="楷体_GB2312"/>
                <w:spacing w:val="-20"/>
                <w:sz w:val="24"/>
              </w:rPr>
              <w:t>编号</w:t>
            </w:r>
          </w:p>
        </w:tc>
        <w:tc>
          <w:tcPr>
            <w:tcW w:w="946" w:type="pct"/>
            <w:noWrap w:val="0"/>
            <w:vAlign w:val="center"/>
          </w:tcPr>
          <w:p w14:paraId="3A106C63">
            <w:pPr>
              <w:widowControl w:val="0"/>
              <w:jc w:val="center"/>
              <w:rPr>
                <w:rFonts w:eastAsia="楷体_GB2312"/>
                <w:spacing w:val="-20"/>
                <w:sz w:val="24"/>
              </w:rPr>
            </w:pPr>
            <w:r>
              <w:rPr>
                <w:rFonts w:eastAsia="楷体_GB2312"/>
                <w:spacing w:val="-20"/>
                <w:sz w:val="24"/>
              </w:rPr>
              <w:t>乡镇名称</w:t>
            </w:r>
          </w:p>
        </w:tc>
        <w:tc>
          <w:tcPr>
            <w:tcW w:w="1250" w:type="pct"/>
            <w:noWrap w:val="0"/>
            <w:vAlign w:val="center"/>
          </w:tcPr>
          <w:p w14:paraId="51375ED8">
            <w:pPr>
              <w:widowControl w:val="0"/>
              <w:jc w:val="center"/>
              <w:rPr>
                <w:rFonts w:hint="eastAsia" w:eastAsia="楷体_GB2312"/>
                <w:spacing w:val="-20"/>
                <w:sz w:val="24"/>
              </w:rPr>
            </w:pPr>
            <w:r>
              <w:rPr>
                <w:rFonts w:eastAsia="楷体_GB2312"/>
                <w:spacing w:val="-20"/>
                <w:sz w:val="24"/>
              </w:rPr>
              <w:t>定级范围面积</w:t>
            </w:r>
          </w:p>
          <w:p w14:paraId="2A3ED802">
            <w:pPr>
              <w:widowControl w:val="0"/>
              <w:jc w:val="center"/>
              <w:rPr>
                <w:rFonts w:eastAsia="楷体_GB2312"/>
                <w:spacing w:val="-20"/>
                <w:sz w:val="24"/>
              </w:rPr>
            </w:pPr>
            <w:r>
              <w:rPr>
                <w:rFonts w:eastAsia="楷体_GB2312"/>
                <w:spacing w:val="-20"/>
                <w:sz w:val="24"/>
              </w:rPr>
              <w:t>（</w:t>
            </w:r>
            <w:r>
              <w:rPr>
                <w:rFonts w:hint="eastAsia" w:eastAsia="楷体_GB2312"/>
                <w:spacing w:val="-20"/>
                <w:sz w:val="24"/>
              </w:rPr>
              <w:t>km</w:t>
            </w:r>
            <w:r>
              <w:rPr>
                <w:rFonts w:hint="eastAsia" w:eastAsia="楷体_GB2312"/>
                <w:spacing w:val="-20"/>
                <w:sz w:val="24"/>
                <w:vertAlign w:val="superscript"/>
              </w:rPr>
              <w:t>2</w:t>
            </w:r>
            <w:r>
              <w:rPr>
                <w:rFonts w:eastAsia="楷体_GB2312"/>
                <w:spacing w:val="-20"/>
                <w:sz w:val="24"/>
              </w:rPr>
              <w:t>）</w:t>
            </w:r>
          </w:p>
        </w:tc>
        <w:tc>
          <w:tcPr>
            <w:tcW w:w="1172" w:type="pct"/>
            <w:noWrap w:val="0"/>
            <w:vAlign w:val="center"/>
          </w:tcPr>
          <w:p w14:paraId="03339B1A">
            <w:pPr>
              <w:widowControl w:val="0"/>
              <w:jc w:val="center"/>
              <w:rPr>
                <w:rFonts w:eastAsia="楷体_GB2312"/>
                <w:spacing w:val="-20"/>
                <w:sz w:val="24"/>
              </w:rPr>
            </w:pPr>
            <w:r>
              <w:rPr>
                <w:rFonts w:eastAsia="楷体_GB2312"/>
                <w:spacing w:val="-20"/>
                <w:sz w:val="24"/>
              </w:rPr>
              <w:t>土地利用总体规划范围面积（</w:t>
            </w:r>
            <w:r>
              <w:rPr>
                <w:rFonts w:hint="eastAsia" w:eastAsia="楷体_GB2312"/>
                <w:spacing w:val="-20"/>
                <w:sz w:val="24"/>
              </w:rPr>
              <w:t>km</w:t>
            </w:r>
            <w:r>
              <w:rPr>
                <w:rFonts w:hint="eastAsia" w:eastAsia="楷体_GB2312"/>
                <w:spacing w:val="-20"/>
                <w:sz w:val="24"/>
                <w:vertAlign w:val="superscript"/>
              </w:rPr>
              <w:t>2</w:t>
            </w:r>
            <w:r>
              <w:rPr>
                <w:rFonts w:eastAsia="楷体_GB2312"/>
                <w:spacing w:val="-20"/>
                <w:sz w:val="24"/>
              </w:rPr>
              <w:t>）</w:t>
            </w:r>
          </w:p>
        </w:tc>
        <w:tc>
          <w:tcPr>
            <w:tcW w:w="1327" w:type="pct"/>
            <w:noWrap w:val="0"/>
            <w:vAlign w:val="top"/>
          </w:tcPr>
          <w:p w14:paraId="22922F8A">
            <w:pPr>
              <w:widowControl w:val="0"/>
              <w:jc w:val="center"/>
              <w:rPr>
                <w:rFonts w:hint="eastAsia" w:eastAsia="楷体_GB2312"/>
                <w:spacing w:val="-20"/>
                <w:sz w:val="24"/>
              </w:rPr>
            </w:pPr>
            <w:r>
              <w:rPr>
                <w:rFonts w:hint="eastAsia" w:eastAsia="楷体_GB2312"/>
                <w:spacing w:val="-20"/>
                <w:sz w:val="24"/>
              </w:rPr>
              <w:t>集镇总体规划范围面积</w:t>
            </w:r>
          </w:p>
          <w:p w14:paraId="1F95075F">
            <w:pPr>
              <w:widowControl w:val="0"/>
              <w:jc w:val="center"/>
              <w:rPr>
                <w:rFonts w:eastAsia="楷体_GB2312"/>
                <w:spacing w:val="-20"/>
                <w:sz w:val="24"/>
              </w:rPr>
            </w:pPr>
            <w:r>
              <w:rPr>
                <w:rFonts w:eastAsia="楷体_GB2312"/>
                <w:spacing w:val="-20"/>
                <w:sz w:val="24"/>
              </w:rPr>
              <w:t>（</w:t>
            </w:r>
            <w:r>
              <w:rPr>
                <w:rFonts w:hint="eastAsia" w:eastAsia="楷体_GB2312"/>
                <w:spacing w:val="-20"/>
                <w:sz w:val="24"/>
              </w:rPr>
              <w:t>km</w:t>
            </w:r>
            <w:r>
              <w:rPr>
                <w:rFonts w:hint="eastAsia" w:eastAsia="楷体_GB2312"/>
                <w:spacing w:val="-20"/>
                <w:sz w:val="24"/>
                <w:vertAlign w:val="superscript"/>
              </w:rPr>
              <w:t>2</w:t>
            </w:r>
            <w:r>
              <w:rPr>
                <w:rFonts w:eastAsia="楷体_GB2312"/>
                <w:spacing w:val="-20"/>
                <w:sz w:val="24"/>
              </w:rPr>
              <w:t>）</w:t>
            </w:r>
          </w:p>
        </w:tc>
      </w:tr>
      <w:tr w14:paraId="0ACD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05" w:type="pct"/>
            <w:noWrap w:val="0"/>
            <w:vAlign w:val="center"/>
          </w:tcPr>
          <w:p w14:paraId="2CEA608C">
            <w:pPr>
              <w:spacing w:line="320" w:lineRule="exact"/>
              <w:jc w:val="center"/>
              <w:rPr>
                <w:rFonts w:eastAsia="楷体_GB2312"/>
                <w:spacing w:val="-20"/>
                <w:sz w:val="24"/>
              </w:rPr>
            </w:pPr>
            <w:r>
              <w:rPr>
                <w:rFonts w:eastAsia="楷体_GB2312"/>
                <w:spacing w:val="-20"/>
                <w:sz w:val="24"/>
              </w:rPr>
              <w:t>1</w:t>
            </w:r>
          </w:p>
        </w:tc>
        <w:tc>
          <w:tcPr>
            <w:tcW w:w="946" w:type="pct"/>
            <w:noWrap w:val="0"/>
            <w:vAlign w:val="center"/>
          </w:tcPr>
          <w:p w14:paraId="6DE61DE3">
            <w:pPr>
              <w:pStyle w:val="20"/>
              <w:jc w:val="center"/>
              <w:rPr>
                <w:rFonts w:ascii="Times New Roman" w:hAnsi="Times New Roman" w:eastAsia="楷体_GB2312"/>
                <w:sz w:val="24"/>
                <w:szCs w:val="24"/>
              </w:rPr>
            </w:pPr>
            <w:r>
              <w:rPr>
                <w:rFonts w:ascii="Times New Roman" w:hAnsi="Times New Roman" w:eastAsia="楷体_GB2312"/>
                <w:sz w:val="24"/>
                <w:szCs w:val="24"/>
              </w:rPr>
              <w:t>符离镇</w:t>
            </w:r>
          </w:p>
        </w:tc>
        <w:tc>
          <w:tcPr>
            <w:tcW w:w="1250" w:type="pct"/>
            <w:noWrap w:val="0"/>
            <w:vAlign w:val="center"/>
          </w:tcPr>
          <w:p w14:paraId="01BCAF2E">
            <w:pPr>
              <w:jc w:val="center"/>
              <w:rPr>
                <w:sz w:val="24"/>
              </w:rPr>
            </w:pPr>
            <w:r>
              <w:rPr>
                <w:rFonts w:hint="eastAsia"/>
                <w:sz w:val="24"/>
              </w:rPr>
              <w:t>17.12</w:t>
            </w:r>
          </w:p>
        </w:tc>
        <w:tc>
          <w:tcPr>
            <w:tcW w:w="1172" w:type="pct"/>
            <w:noWrap w:val="0"/>
            <w:vAlign w:val="center"/>
          </w:tcPr>
          <w:p w14:paraId="71011FA9">
            <w:pPr>
              <w:widowControl w:val="0"/>
              <w:jc w:val="center"/>
              <w:rPr>
                <w:rFonts w:eastAsia="楷体_GB2312"/>
                <w:sz w:val="24"/>
              </w:rPr>
            </w:pPr>
            <w:r>
              <w:rPr>
                <w:rFonts w:hint="eastAsia" w:eastAsia="楷体_GB2312"/>
                <w:sz w:val="24"/>
              </w:rPr>
              <w:t>36.47</w:t>
            </w:r>
          </w:p>
        </w:tc>
        <w:tc>
          <w:tcPr>
            <w:tcW w:w="1327" w:type="pct"/>
            <w:noWrap w:val="0"/>
            <w:vAlign w:val="top"/>
          </w:tcPr>
          <w:p w14:paraId="2B624E33">
            <w:pPr>
              <w:widowControl w:val="0"/>
              <w:jc w:val="center"/>
              <w:rPr>
                <w:rFonts w:hint="eastAsia" w:eastAsia="楷体_GB2312"/>
                <w:sz w:val="24"/>
              </w:rPr>
            </w:pPr>
            <w:r>
              <w:rPr>
                <w:rFonts w:hint="eastAsia" w:eastAsia="楷体_GB2312"/>
                <w:sz w:val="24"/>
              </w:rPr>
              <w:t>24.08</w:t>
            </w:r>
          </w:p>
        </w:tc>
      </w:tr>
      <w:tr w14:paraId="2649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5" w:type="pct"/>
            <w:noWrap w:val="0"/>
            <w:vAlign w:val="center"/>
          </w:tcPr>
          <w:p w14:paraId="2747A3F6">
            <w:pPr>
              <w:spacing w:line="320" w:lineRule="exact"/>
              <w:jc w:val="center"/>
              <w:rPr>
                <w:rFonts w:eastAsia="楷体_GB2312"/>
                <w:spacing w:val="-20"/>
                <w:sz w:val="24"/>
              </w:rPr>
            </w:pPr>
            <w:r>
              <w:rPr>
                <w:rFonts w:eastAsia="楷体_GB2312"/>
                <w:spacing w:val="-20"/>
                <w:sz w:val="24"/>
              </w:rPr>
              <w:t>2</w:t>
            </w:r>
          </w:p>
        </w:tc>
        <w:tc>
          <w:tcPr>
            <w:tcW w:w="946" w:type="pct"/>
            <w:noWrap w:val="0"/>
            <w:vAlign w:val="center"/>
          </w:tcPr>
          <w:p w14:paraId="57F4B17B">
            <w:pPr>
              <w:pStyle w:val="20"/>
              <w:jc w:val="center"/>
              <w:rPr>
                <w:rFonts w:ascii="Times New Roman" w:hAnsi="Times New Roman" w:eastAsia="楷体_GB2312"/>
                <w:sz w:val="24"/>
                <w:szCs w:val="24"/>
              </w:rPr>
            </w:pPr>
            <w:r>
              <w:rPr>
                <w:rFonts w:ascii="Times New Roman" w:hAnsi="Times New Roman" w:eastAsia="楷体_GB2312"/>
                <w:sz w:val="24"/>
                <w:szCs w:val="24"/>
              </w:rPr>
              <w:t>朱仙庄镇</w:t>
            </w:r>
          </w:p>
        </w:tc>
        <w:tc>
          <w:tcPr>
            <w:tcW w:w="1250" w:type="pct"/>
            <w:noWrap w:val="0"/>
            <w:vAlign w:val="center"/>
          </w:tcPr>
          <w:p w14:paraId="109B70C3">
            <w:pPr>
              <w:widowControl w:val="0"/>
              <w:jc w:val="center"/>
              <w:rPr>
                <w:rFonts w:eastAsia="楷体_GB2312"/>
                <w:spacing w:val="-20"/>
                <w:sz w:val="24"/>
              </w:rPr>
            </w:pPr>
            <w:r>
              <w:rPr>
                <w:rFonts w:hint="eastAsia" w:eastAsia="楷体_GB2312"/>
                <w:spacing w:val="-20"/>
                <w:sz w:val="24"/>
              </w:rPr>
              <w:t>21.49</w:t>
            </w:r>
          </w:p>
        </w:tc>
        <w:tc>
          <w:tcPr>
            <w:tcW w:w="1172" w:type="pct"/>
            <w:noWrap w:val="0"/>
            <w:vAlign w:val="center"/>
          </w:tcPr>
          <w:p w14:paraId="10FE2F58">
            <w:pPr>
              <w:jc w:val="center"/>
              <w:rPr>
                <w:rFonts w:eastAsia="楷体_GB2312"/>
                <w:sz w:val="24"/>
              </w:rPr>
            </w:pPr>
            <w:r>
              <w:rPr>
                <w:rFonts w:hint="eastAsia" w:eastAsia="楷体_GB2312"/>
                <w:sz w:val="24"/>
              </w:rPr>
              <w:t>49.83</w:t>
            </w:r>
          </w:p>
        </w:tc>
        <w:tc>
          <w:tcPr>
            <w:tcW w:w="1327" w:type="pct"/>
            <w:noWrap w:val="0"/>
            <w:vAlign w:val="top"/>
          </w:tcPr>
          <w:p w14:paraId="01198737">
            <w:pPr>
              <w:jc w:val="center"/>
              <w:rPr>
                <w:rFonts w:hint="eastAsia" w:eastAsia="楷体_GB2312"/>
                <w:sz w:val="24"/>
              </w:rPr>
            </w:pPr>
            <w:r>
              <w:rPr>
                <w:rFonts w:hint="eastAsia" w:eastAsia="楷体_GB2312"/>
                <w:sz w:val="24"/>
              </w:rPr>
              <w:t>44.05</w:t>
            </w:r>
          </w:p>
        </w:tc>
      </w:tr>
      <w:tr w14:paraId="3D2E7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5" w:type="pct"/>
            <w:noWrap w:val="0"/>
            <w:vAlign w:val="center"/>
          </w:tcPr>
          <w:p w14:paraId="049C3D56">
            <w:pPr>
              <w:spacing w:line="320" w:lineRule="exact"/>
              <w:jc w:val="center"/>
              <w:rPr>
                <w:rFonts w:eastAsia="楷体_GB2312"/>
                <w:spacing w:val="-20"/>
                <w:sz w:val="24"/>
              </w:rPr>
            </w:pPr>
            <w:r>
              <w:rPr>
                <w:rFonts w:eastAsia="楷体_GB2312"/>
                <w:spacing w:val="-20"/>
                <w:sz w:val="24"/>
              </w:rPr>
              <w:t>3</w:t>
            </w:r>
          </w:p>
        </w:tc>
        <w:tc>
          <w:tcPr>
            <w:tcW w:w="946" w:type="pct"/>
            <w:noWrap w:val="0"/>
            <w:vAlign w:val="center"/>
          </w:tcPr>
          <w:p w14:paraId="35C78F83">
            <w:pPr>
              <w:pStyle w:val="20"/>
              <w:jc w:val="center"/>
              <w:rPr>
                <w:rFonts w:ascii="Times New Roman" w:hAnsi="Times New Roman" w:eastAsia="楷体_GB2312"/>
                <w:sz w:val="24"/>
                <w:szCs w:val="24"/>
              </w:rPr>
            </w:pPr>
            <w:r>
              <w:rPr>
                <w:rFonts w:ascii="Times New Roman" w:hAnsi="Times New Roman" w:eastAsia="楷体_GB2312"/>
                <w:sz w:val="24"/>
                <w:szCs w:val="24"/>
              </w:rPr>
              <w:t>蕲县镇</w:t>
            </w:r>
          </w:p>
        </w:tc>
        <w:tc>
          <w:tcPr>
            <w:tcW w:w="1250" w:type="pct"/>
            <w:noWrap w:val="0"/>
            <w:vAlign w:val="center"/>
          </w:tcPr>
          <w:p w14:paraId="6F7FB39F">
            <w:pPr>
              <w:jc w:val="center"/>
              <w:rPr>
                <w:sz w:val="24"/>
              </w:rPr>
            </w:pPr>
            <w:r>
              <w:rPr>
                <w:rFonts w:hint="eastAsia"/>
                <w:sz w:val="24"/>
              </w:rPr>
              <w:t>5.59</w:t>
            </w:r>
          </w:p>
        </w:tc>
        <w:tc>
          <w:tcPr>
            <w:tcW w:w="1172" w:type="pct"/>
            <w:noWrap w:val="0"/>
            <w:vAlign w:val="center"/>
          </w:tcPr>
          <w:p w14:paraId="46FBFFEC">
            <w:pPr>
              <w:jc w:val="center"/>
              <w:rPr>
                <w:rFonts w:eastAsia="楷体_GB2312"/>
                <w:sz w:val="24"/>
              </w:rPr>
            </w:pPr>
            <w:r>
              <w:rPr>
                <w:rFonts w:hint="eastAsia" w:eastAsia="楷体_GB2312"/>
                <w:sz w:val="24"/>
              </w:rPr>
              <w:t>8.54</w:t>
            </w:r>
          </w:p>
        </w:tc>
        <w:tc>
          <w:tcPr>
            <w:tcW w:w="1327" w:type="pct"/>
            <w:noWrap w:val="0"/>
            <w:vAlign w:val="top"/>
          </w:tcPr>
          <w:p w14:paraId="757CDC9A">
            <w:pPr>
              <w:jc w:val="center"/>
              <w:rPr>
                <w:rFonts w:hint="eastAsia" w:eastAsia="楷体_GB2312"/>
                <w:sz w:val="24"/>
              </w:rPr>
            </w:pPr>
            <w:r>
              <w:rPr>
                <w:rFonts w:hint="eastAsia" w:eastAsia="楷体_GB2312"/>
                <w:sz w:val="24"/>
              </w:rPr>
              <w:t>10.14</w:t>
            </w:r>
          </w:p>
        </w:tc>
      </w:tr>
      <w:tr w14:paraId="783C2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5" w:type="pct"/>
            <w:noWrap w:val="0"/>
            <w:vAlign w:val="center"/>
          </w:tcPr>
          <w:p w14:paraId="11C51BC9">
            <w:pPr>
              <w:spacing w:line="320" w:lineRule="exact"/>
              <w:jc w:val="center"/>
              <w:rPr>
                <w:rFonts w:eastAsia="楷体_GB2312"/>
                <w:spacing w:val="-20"/>
                <w:sz w:val="24"/>
              </w:rPr>
            </w:pPr>
            <w:r>
              <w:rPr>
                <w:rFonts w:eastAsia="楷体_GB2312"/>
                <w:spacing w:val="-20"/>
                <w:sz w:val="24"/>
              </w:rPr>
              <w:t>4</w:t>
            </w:r>
          </w:p>
        </w:tc>
        <w:tc>
          <w:tcPr>
            <w:tcW w:w="946" w:type="pct"/>
            <w:noWrap w:val="0"/>
            <w:vAlign w:val="center"/>
          </w:tcPr>
          <w:p w14:paraId="63E0E1FD">
            <w:pPr>
              <w:pStyle w:val="20"/>
              <w:jc w:val="center"/>
              <w:rPr>
                <w:rFonts w:ascii="Times New Roman" w:hAnsi="Times New Roman" w:eastAsia="楷体_GB2312"/>
                <w:sz w:val="24"/>
                <w:szCs w:val="24"/>
              </w:rPr>
            </w:pPr>
            <w:r>
              <w:rPr>
                <w:rFonts w:ascii="Times New Roman" w:hAnsi="Times New Roman" w:eastAsia="楷体_GB2312"/>
                <w:sz w:val="24"/>
                <w:szCs w:val="24"/>
              </w:rPr>
              <w:t>芦岭镇</w:t>
            </w:r>
          </w:p>
        </w:tc>
        <w:tc>
          <w:tcPr>
            <w:tcW w:w="1250" w:type="pct"/>
            <w:noWrap w:val="0"/>
            <w:vAlign w:val="center"/>
          </w:tcPr>
          <w:p w14:paraId="5F155126">
            <w:pPr>
              <w:widowControl w:val="0"/>
              <w:jc w:val="center"/>
              <w:rPr>
                <w:rFonts w:eastAsia="楷体_GB2312"/>
                <w:sz w:val="24"/>
              </w:rPr>
            </w:pPr>
            <w:r>
              <w:rPr>
                <w:rFonts w:hint="eastAsia" w:eastAsia="楷体_GB2312"/>
                <w:sz w:val="24"/>
              </w:rPr>
              <w:t>3.65</w:t>
            </w:r>
          </w:p>
        </w:tc>
        <w:tc>
          <w:tcPr>
            <w:tcW w:w="1172" w:type="pct"/>
            <w:noWrap w:val="0"/>
            <w:vAlign w:val="center"/>
          </w:tcPr>
          <w:p w14:paraId="67A1EA69">
            <w:pPr>
              <w:jc w:val="center"/>
              <w:rPr>
                <w:rFonts w:eastAsia="楷体_GB2312"/>
                <w:kern w:val="0"/>
                <w:sz w:val="24"/>
              </w:rPr>
            </w:pPr>
            <w:r>
              <w:rPr>
                <w:rFonts w:hint="eastAsia" w:eastAsia="楷体_GB2312"/>
                <w:kern w:val="0"/>
                <w:sz w:val="24"/>
              </w:rPr>
              <w:t>4.79</w:t>
            </w:r>
          </w:p>
        </w:tc>
        <w:tc>
          <w:tcPr>
            <w:tcW w:w="1327" w:type="pct"/>
            <w:noWrap w:val="0"/>
            <w:vAlign w:val="top"/>
          </w:tcPr>
          <w:p w14:paraId="2FEE5BF3">
            <w:pPr>
              <w:jc w:val="center"/>
              <w:rPr>
                <w:rFonts w:hint="eastAsia" w:eastAsia="楷体_GB2312"/>
                <w:kern w:val="0"/>
                <w:sz w:val="24"/>
              </w:rPr>
            </w:pPr>
            <w:r>
              <w:rPr>
                <w:rFonts w:hint="eastAsia" w:eastAsia="楷体_GB2312"/>
                <w:kern w:val="0"/>
                <w:sz w:val="24"/>
              </w:rPr>
              <w:t>6.43</w:t>
            </w:r>
          </w:p>
        </w:tc>
      </w:tr>
      <w:tr w14:paraId="53EED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5" w:type="pct"/>
            <w:noWrap w:val="0"/>
            <w:vAlign w:val="center"/>
          </w:tcPr>
          <w:p w14:paraId="05103617">
            <w:pPr>
              <w:spacing w:line="320" w:lineRule="exact"/>
              <w:jc w:val="center"/>
              <w:rPr>
                <w:rFonts w:eastAsia="楷体_GB2312"/>
                <w:spacing w:val="-20"/>
                <w:sz w:val="24"/>
              </w:rPr>
            </w:pPr>
            <w:r>
              <w:rPr>
                <w:rFonts w:eastAsia="楷体_GB2312"/>
                <w:spacing w:val="-20"/>
                <w:sz w:val="24"/>
              </w:rPr>
              <w:t>5</w:t>
            </w:r>
          </w:p>
        </w:tc>
        <w:tc>
          <w:tcPr>
            <w:tcW w:w="946" w:type="pct"/>
            <w:noWrap w:val="0"/>
            <w:vAlign w:val="center"/>
          </w:tcPr>
          <w:p w14:paraId="6E1154CF">
            <w:pPr>
              <w:pStyle w:val="20"/>
              <w:jc w:val="center"/>
              <w:rPr>
                <w:rFonts w:ascii="Times New Roman" w:hAnsi="Times New Roman" w:eastAsia="楷体_GB2312"/>
                <w:sz w:val="24"/>
                <w:szCs w:val="24"/>
              </w:rPr>
            </w:pPr>
            <w:r>
              <w:rPr>
                <w:rFonts w:ascii="Times New Roman" w:hAnsi="Times New Roman" w:eastAsia="楷体_GB2312"/>
                <w:sz w:val="24"/>
                <w:szCs w:val="24"/>
              </w:rPr>
              <w:t>大店镇</w:t>
            </w:r>
          </w:p>
        </w:tc>
        <w:tc>
          <w:tcPr>
            <w:tcW w:w="1250" w:type="pct"/>
            <w:noWrap w:val="0"/>
            <w:vAlign w:val="center"/>
          </w:tcPr>
          <w:p w14:paraId="668CDC86">
            <w:pPr>
              <w:widowControl w:val="0"/>
              <w:jc w:val="center"/>
              <w:rPr>
                <w:rFonts w:eastAsia="楷体_GB2312"/>
                <w:sz w:val="24"/>
              </w:rPr>
            </w:pPr>
            <w:r>
              <w:rPr>
                <w:rFonts w:hint="eastAsia" w:eastAsia="楷体_GB2312"/>
                <w:sz w:val="24"/>
              </w:rPr>
              <w:t>2.01</w:t>
            </w:r>
          </w:p>
        </w:tc>
        <w:tc>
          <w:tcPr>
            <w:tcW w:w="1172" w:type="pct"/>
            <w:noWrap w:val="0"/>
            <w:vAlign w:val="center"/>
          </w:tcPr>
          <w:p w14:paraId="18423DFB">
            <w:pPr>
              <w:jc w:val="center"/>
              <w:rPr>
                <w:rFonts w:eastAsia="楷体_GB2312"/>
                <w:kern w:val="0"/>
                <w:sz w:val="24"/>
              </w:rPr>
            </w:pPr>
            <w:r>
              <w:rPr>
                <w:rFonts w:hint="eastAsia" w:eastAsia="楷体_GB2312"/>
                <w:kern w:val="0"/>
                <w:sz w:val="24"/>
              </w:rPr>
              <w:t>3.59</w:t>
            </w:r>
          </w:p>
        </w:tc>
        <w:tc>
          <w:tcPr>
            <w:tcW w:w="1327" w:type="pct"/>
            <w:noWrap w:val="0"/>
            <w:vAlign w:val="top"/>
          </w:tcPr>
          <w:p w14:paraId="3CEA1A4E">
            <w:pPr>
              <w:jc w:val="center"/>
              <w:rPr>
                <w:rFonts w:hint="eastAsia" w:eastAsia="楷体_GB2312"/>
                <w:kern w:val="0"/>
                <w:sz w:val="24"/>
              </w:rPr>
            </w:pPr>
            <w:r>
              <w:rPr>
                <w:rFonts w:hint="eastAsia" w:eastAsia="楷体_GB2312"/>
                <w:kern w:val="0"/>
                <w:sz w:val="24"/>
              </w:rPr>
              <w:t>3.70</w:t>
            </w:r>
          </w:p>
        </w:tc>
      </w:tr>
      <w:tr w14:paraId="771B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5" w:type="pct"/>
            <w:noWrap w:val="0"/>
            <w:vAlign w:val="center"/>
          </w:tcPr>
          <w:p w14:paraId="15AB0D59">
            <w:pPr>
              <w:spacing w:line="320" w:lineRule="exact"/>
              <w:jc w:val="center"/>
              <w:rPr>
                <w:rFonts w:eastAsia="楷体_GB2312"/>
                <w:spacing w:val="-20"/>
                <w:sz w:val="24"/>
              </w:rPr>
            </w:pPr>
            <w:r>
              <w:rPr>
                <w:rFonts w:eastAsia="楷体_GB2312"/>
                <w:spacing w:val="-20"/>
                <w:sz w:val="24"/>
              </w:rPr>
              <w:t>6</w:t>
            </w:r>
          </w:p>
        </w:tc>
        <w:tc>
          <w:tcPr>
            <w:tcW w:w="946" w:type="pct"/>
            <w:noWrap w:val="0"/>
            <w:vAlign w:val="center"/>
          </w:tcPr>
          <w:p w14:paraId="2D71E98D">
            <w:pPr>
              <w:pStyle w:val="20"/>
              <w:jc w:val="center"/>
              <w:rPr>
                <w:rFonts w:ascii="Times New Roman" w:hAnsi="Times New Roman" w:eastAsia="楷体_GB2312"/>
                <w:sz w:val="24"/>
                <w:szCs w:val="24"/>
              </w:rPr>
            </w:pPr>
            <w:r>
              <w:rPr>
                <w:rFonts w:ascii="Times New Roman" w:hAnsi="Times New Roman" w:eastAsia="楷体_GB2312"/>
                <w:sz w:val="24"/>
                <w:szCs w:val="24"/>
              </w:rPr>
              <w:t>栏杆镇</w:t>
            </w:r>
          </w:p>
        </w:tc>
        <w:tc>
          <w:tcPr>
            <w:tcW w:w="1250" w:type="pct"/>
            <w:noWrap w:val="0"/>
            <w:vAlign w:val="center"/>
          </w:tcPr>
          <w:p w14:paraId="0404869D">
            <w:pPr>
              <w:widowControl w:val="0"/>
              <w:jc w:val="center"/>
              <w:rPr>
                <w:rFonts w:eastAsia="楷体_GB2312"/>
                <w:sz w:val="24"/>
              </w:rPr>
            </w:pPr>
            <w:r>
              <w:rPr>
                <w:rFonts w:hint="eastAsia" w:eastAsia="楷体_GB2312"/>
                <w:sz w:val="24"/>
              </w:rPr>
              <w:t>2.35</w:t>
            </w:r>
          </w:p>
        </w:tc>
        <w:tc>
          <w:tcPr>
            <w:tcW w:w="1172" w:type="pct"/>
            <w:noWrap w:val="0"/>
            <w:vAlign w:val="center"/>
          </w:tcPr>
          <w:p w14:paraId="0C196A20">
            <w:pPr>
              <w:jc w:val="center"/>
              <w:rPr>
                <w:rFonts w:eastAsia="楷体_GB2312"/>
                <w:kern w:val="0"/>
                <w:sz w:val="24"/>
              </w:rPr>
            </w:pPr>
            <w:r>
              <w:rPr>
                <w:rFonts w:hint="eastAsia" w:eastAsia="楷体_GB2312"/>
                <w:kern w:val="0"/>
                <w:sz w:val="24"/>
              </w:rPr>
              <w:t>3.36</w:t>
            </w:r>
          </w:p>
        </w:tc>
        <w:tc>
          <w:tcPr>
            <w:tcW w:w="1327" w:type="pct"/>
            <w:noWrap w:val="0"/>
            <w:vAlign w:val="top"/>
          </w:tcPr>
          <w:p w14:paraId="30B631C5">
            <w:pPr>
              <w:jc w:val="center"/>
              <w:rPr>
                <w:rFonts w:hint="eastAsia" w:eastAsia="楷体_GB2312"/>
                <w:kern w:val="0"/>
                <w:sz w:val="24"/>
              </w:rPr>
            </w:pPr>
            <w:r>
              <w:rPr>
                <w:rFonts w:hint="eastAsia" w:eastAsia="楷体_GB2312"/>
                <w:kern w:val="0"/>
                <w:sz w:val="24"/>
              </w:rPr>
              <w:t>4.30</w:t>
            </w:r>
          </w:p>
        </w:tc>
      </w:tr>
      <w:tr w14:paraId="2E3CF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5" w:type="pct"/>
            <w:noWrap w:val="0"/>
            <w:vAlign w:val="center"/>
          </w:tcPr>
          <w:p w14:paraId="5C55915E">
            <w:pPr>
              <w:spacing w:line="320" w:lineRule="exact"/>
              <w:jc w:val="center"/>
              <w:rPr>
                <w:rFonts w:eastAsia="楷体_GB2312"/>
                <w:spacing w:val="-20"/>
                <w:sz w:val="24"/>
              </w:rPr>
            </w:pPr>
            <w:r>
              <w:rPr>
                <w:rFonts w:eastAsia="楷体_GB2312"/>
                <w:spacing w:val="-20"/>
                <w:sz w:val="24"/>
              </w:rPr>
              <w:t>7</w:t>
            </w:r>
          </w:p>
        </w:tc>
        <w:tc>
          <w:tcPr>
            <w:tcW w:w="946" w:type="pct"/>
            <w:noWrap w:val="0"/>
            <w:vAlign w:val="center"/>
          </w:tcPr>
          <w:p w14:paraId="57A9C44E">
            <w:pPr>
              <w:pStyle w:val="20"/>
              <w:jc w:val="center"/>
              <w:rPr>
                <w:rFonts w:ascii="Times New Roman" w:hAnsi="Times New Roman" w:eastAsia="楷体_GB2312"/>
                <w:sz w:val="24"/>
                <w:szCs w:val="24"/>
              </w:rPr>
            </w:pPr>
            <w:r>
              <w:rPr>
                <w:rFonts w:ascii="Times New Roman" w:hAnsi="Times New Roman" w:eastAsia="楷体_GB2312"/>
                <w:sz w:val="24"/>
                <w:szCs w:val="24"/>
              </w:rPr>
              <w:t>时村镇</w:t>
            </w:r>
          </w:p>
        </w:tc>
        <w:tc>
          <w:tcPr>
            <w:tcW w:w="1250" w:type="pct"/>
            <w:noWrap w:val="0"/>
            <w:vAlign w:val="center"/>
          </w:tcPr>
          <w:p w14:paraId="7F03D738">
            <w:pPr>
              <w:widowControl w:val="0"/>
              <w:jc w:val="center"/>
              <w:rPr>
                <w:rFonts w:eastAsia="楷体_GB2312"/>
                <w:sz w:val="24"/>
              </w:rPr>
            </w:pPr>
            <w:r>
              <w:rPr>
                <w:rFonts w:hint="eastAsia" w:eastAsia="楷体_GB2312"/>
                <w:sz w:val="24"/>
              </w:rPr>
              <w:t>4.00</w:t>
            </w:r>
          </w:p>
        </w:tc>
        <w:tc>
          <w:tcPr>
            <w:tcW w:w="1172" w:type="pct"/>
            <w:noWrap w:val="0"/>
            <w:vAlign w:val="center"/>
          </w:tcPr>
          <w:p w14:paraId="7532C3F5">
            <w:pPr>
              <w:jc w:val="center"/>
              <w:rPr>
                <w:rFonts w:eastAsia="楷体_GB2312"/>
                <w:kern w:val="0"/>
                <w:sz w:val="24"/>
              </w:rPr>
            </w:pPr>
            <w:r>
              <w:rPr>
                <w:rFonts w:hint="eastAsia" w:eastAsia="楷体_GB2312"/>
                <w:kern w:val="0"/>
                <w:sz w:val="24"/>
              </w:rPr>
              <w:t>4.74</w:t>
            </w:r>
          </w:p>
        </w:tc>
        <w:tc>
          <w:tcPr>
            <w:tcW w:w="1327" w:type="pct"/>
            <w:noWrap w:val="0"/>
            <w:vAlign w:val="top"/>
          </w:tcPr>
          <w:p w14:paraId="11BB9214">
            <w:pPr>
              <w:jc w:val="center"/>
              <w:rPr>
                <w:rFonts w:hint="eastAsia" w:eastAsia="楷体_GB2312"/>
                <w:kern w:val="0"/>
                <w:sz w:val="24"/>
              </w:rPr>
            </w:pPr>
            <w:r>
              <w:rPr>
                <w:rFonts w:hint="eastAsia" w:eastAsia="楷体_GB2312"/>
                <w:kern w:val="0"/>
                <w:sz w:val="24"/>
              </w:rPr>
              <w:t>4.24</w:t>
            </w:r>
          </w:p>
        </w:tc>
      </w:tr>
      <w:tr w14:paraId="25C8F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5" w:type="pct"/>
            <w:noWrap w:val="0"/>
            <w:vAlign w:val="center"/>
          </w:tcPr>
          <w:p w14:paraId="5DF5B879">
            <w:pPr>
              <w:spacing w:line="320" w:lineRule="exact"/>
              <w:jc w:val="center"/>
              <w:rPr>
                <w:rFonts w:eastAsia="楷体_GB2312"/>
                <w:spacing w:val="-20"/>
                <w:sz w:val="24"/>
              </w:rPr>
            </w:pPr>
            <w:r>
              <w:rPr>
                <w:rFonts w:eastAsia="楷体_GB2312"/>
                <w:spacing w:val="-20"/>
                <w:sz w:val="24"/>
              </w:rPr>
              <w:t>8</w:t>
            </w:r>
          </w:p>
        </w:tc>
        <w:tc>
          <w:tcPr>
            <w:tcW w:w="946" w:type="pct"/>
            <w:noWrap w:val="0"/>
            <w:vAlign w:val="center"/>
          </w:tcPr>
          <w:p w14:paraId="475EDC1C">
            <w:pPr>
              <w:pStyle w:val="20"/>
              <w:jc w:val="center"/>
              <w:rPr>
                <w:rFonts w:ascii="Times New Roman" w:hAnsi="Times New Roman" w:eastAsia="楷体_GB2312"/>
                <w:sz w:val="24"/>
                <w:szCs w:val="24"/>
              </w:rPr>
            </w:pPr>
            <w:r>
              <w:rPr>
                <w:rFonts w:ascii="Times New Roman" w:hAnsi="Times New Roman" w:eastAsia="楷体_GB2312"/>
                <w:sz w:val="24"/>
                <w:szCs w:val="24"/>
              </w:rPr>
              <w:t>夹沟镇</w:t>
            </w:r>
          </w:p>
        </w:tc>
        <w:tc>
          <w:tcPr>
            <w:tcW w:w="1250" w:type="pct"/>
            <w:noWrap w:val="0"/>
            <w:vAlign w:val="center"/>
          </w:tcPr>
          <w:p w14:paraId="73131ED6">
            <w:pPr>
              <w:widowControl w:val="0"/>
              <w:jc w:val="center"/>
              <w:rPr>
                <w:rFonts w:eastAsia="楷体_GB2312"/>
                <w:sz w:val="24"/>
              </w:rPr>
            </w:pPr>
            <w:r>
              <w:rPr>
                <w:rFonts w:hint="eastAsia" w:eastAsia="楷体_GB2312"/>
                <w:sz w:val="24"/>
              </w:rPr>
              <w:t>2.20</w:t>
            </w:r>
          </w:p>
        </w:tc>
        <w:tc>
          <w:tcPr>
            <w:tcW w:w="1172" w:type="pct"/>
            <w:noWrap w:val="0"/>
            <w:vAlign w:val="center"/>
          </w:tcPr>
          <w:p w14:paraId="4CE6C4B6">
            <w:pPr>
              <w:jc w:val="center"/>
              <w:rPr>
                <w:rFonts w:eastAsia="楷体_GB2312"/>
                <w:kern w:val="0"/>
                <w:sz w:val="24"/>
              </w:rPr>
            </w:pPr>
            <w:r>
              <w:rPr>
                <w:rFonts w:hint="eastAsia" w:eastAsia="楷体_GB2312"/>
                <w:kern w:val="0"/>
                <w:sz w:val="24"/>
              </w:rPr>
              <w:t>6.05</w:t>
            </w:r>
          </w:p>
        </w:tc>
        <w:tc>
          <w:tcPr>
            <w:tcW w:w="1327" w:type="pct"/>
            <w:noWrap w:val="0"/>
            <w:vAlign w:val="top"/>
          </w:tcPr>
          <w:p w14:paraId="551D8AD6">
            <w:pPr>
              <w:jc w:val="center"/>
              <w:rPr>
                <w:rFonts w:hint="eastAsia" w:eastAsia="楷体_GB2312"/>
                <w:kern w:val="0"/>
                <w:sz w:val="24"/>
              </w:rPr>
            </w:pPr>
            <w:r>
              <w:rPr>
                <w:rFonts w:hint="eastAsia" w:eastAsia="楷体_GB2312"/>
                <w:kern w:val="0"/>
                <w:sz w:val="24"/>
              </w:rPr>
              <w:t>2.63</w:t>
            </w:r>
          </w:p>
        </w:tc>
      </w:tr>
      <w:tr w14:paraId="334D6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5" w:type="pct"/>
            <w:noWrap w:val="0"/>
            <w:vAlign w:val="center"/>
          </w:tcPr>
          <w:p w14:paraId="1CCF7374">
            <w:pPr>
              <w:spacing w:line="320" w:lineRule="exact"/>
              <w:jc w:val="center"/>
              <w:rPr>
                <w:rFonts w:eastAsia="楷体_GB2312"/>
                <w:spacing w:val="-20"/>
                <w:sz w:val="24"/>
              </w:rPr>
            </w:pPr>
            <w:r>
              <w:rPr>
                <w:rFonts w:eastAsia="楷体_GB2312"/>
                <w:spacing w:val="-20"/>
                <w:sz w:val="24"/>
              </w:rPr>
              <w:t>9</w:t>
            </w:r>
          </w:p>
        </w:tc>
        <w:tc>
          <w:tcPr>
            <w:tcW w:w="946" w:type="pct"/>
            <w:noWrap w:val="0"/>
            <w:vAlign w:val="center"/>
          </w:tcPr>
          <w:p w14:paraId="14246C2F">
            <w:pPr>
              <w:pStyle w:val="20"/>
              <w:jc w:val="center"/>
              <w:rPr>
                <w:rFonts w:ascii="Times New Roman" w:hAnsi="Times New Roman" w:eastAsia="楷体_GB2312"/>
                <w:sz w:val="24"/>
                <w:szCs w:val="24"/>
              </w:rPr>
            </w:pPr>
            <w:r>
              <w:rPr>
                <w:rFonts w:ascii="Times New Roman" w:hAnsi="Times New Roman" w:eastAsia="楷体_GB2312"/>
                <w:sz w:val="24"/>
                <w:szCs w:val="24"/>
              </w:rPr>
              <w:t>西二铺乡</w:t>
            </w:r>
          </w:p>
        </w:tc>
        <w:tc>
          <w:tcPr>
            <w:tcW w:w="1250" w:type="pct"/>
            <w:noWrap w:val="0"/>
            <w:vAlign w:val="center"/>
          </w:tcPr>
          <w:p w14:paraId="4E865F4D">
            <w:pPr>
              <w:widowControl w:val="0"/>
              <w:jc w:val="center"/>
              <w:rPr>
                <w:rFonts w:eastAsia="楷体_GB2312"/>
                <w:sz w:val="24"/>
              </w:rPr>
            </w:pPr>
            <w:r>
              <w:rPr>
                <w:rFonts w:hint="eastAsia" w:eastAsia="楷体_GB2312"/>
                <w:sz w:val="24"/>
              </w:rPr>
              <w:t>1.32</w:t>
            </w:r>
          </w:p>
        </w:tc>
        <w:tc>
          <w:tcPr>
            <w:tcW w:w="1172" w:type="pct"/>
            <w:noWrap w:val="0"/>
            <w:vAlign w:val="center"/>
          </w:tcPr>
          <w:p w14:paraId="64D42958">
            <w:pPr>
              <w:jc w:val="center"/>
              <w:rPr>
                <w:rFonts w:eastAsia="楷体_GB2312"/>
                <w:kern w:val="0"/>
                <w:sz w:val="24"/>
              </w:rPr>
            </w:pPr>
            <w:r>
              <w:rPr>
                <w:rFonts w:hint="eastAsia" w:eastAsia="楷体_GB2312"/>
                <w:kern w:val="0"/>
                <w:sz w:val="24"/>
              </w:rPr>
              <w:t>4.03</w:t>
            </w:r>
          </w:p>
        </w:tc>
        <w:tc>
          <w:tcPr>
            <w:tcW w:w="1327" w:type="pct"/>
            <w:noWrap w:val="0"/>
            <w:vAlign w:val="top"/>
          </w:tcPr>
          <w:p w14:paraId="1B2636C6">
            <w:pPr>
              <w:jc w:val="center"/>
              <w:rPr>
                <w:rFonts w:hint="eastAsia" w:eastAsia="楷体_GB2312"/>
                <w:kern w:val="0"/>
                <w:sz w:val="24"/>
              </w:rPr>
            </w:pPr>
            <w:r>
              <w:rPr>
                <w:rFonts w:hint="eastAsia" w:eastAsia="楷体_GB2312"/>
                <w:kern w:val="0"/>
                <w:sz w:val="24"/>
              </w:rPr>
              <w:t>1.39</w:t>
            </w:r>
          </w:p>
        </w:tc>
      </w:tr>
      <w:tr w14:paraId="0F099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5" w:type="pct"/>
            <w:noWrap w:val="0"/>
            <w:vAlign w:val="center"/>
          </w:tcPr>
          <w:p w14:paraId="03B7234F">
            <w:pPr>
              <w:spacing w:line="320" w:lineRule="exact"/>
              <w:jc w:val="center"/>
              <w:rPr>
                <w:rFonts w:eastAsia="楷体_GB2312"/>
                <w:spacing w:val="-20"/>
                <w:sz w:val="24"/>
              </w:rPr>
            </w:pPr>
            <w:r>
              <w:rPr>
                <w:rFonts w:eastAsia="楷体_GB2312"/>
                <w:spacing w:val="-20"/>
                <w:sz w:val="24"/>
              </w:rPr>
              <w:t>10</w:t>
            </w:r>
          </w:p>
        </w:tc>
        <w:tc>
          <w:tcPr>
            <w:tcW w:w="946" w:type="pct"/>
            <w:noWrap w:val="0"/>
            <w:vAlign w:val="center"/>
          </w:tcPr>
          <w:p w14:paraId="754EB03C">
            <w:pPr>
              <w:pStyle w:val="20"/>
              <w:jc w:val="center"/>
              <w:rPr>
                <w:rFonts w:ascii="Times New Roman" w:hAnsi="Times New Roman" w:eastAsia="楷体_GB2312"/>
                <w:sz w:val="24"/>
                <w:szCs w:val="24"/>
              </w:rPr>
            </w:pPr>
            <w:r>
              <w:rPr>
                <w:rFonts w:ascii="Times New Roman" w:hAnsi="Times New Roman" w:eastAsia="楷体_GB2312"/>
                <w:sz w:val="24"/>
                <w:szCs w:val="24"/>
              </w:rPr>
              <w:t>桃园镇</w:t>
            </w:r>
          </w:p>
        </w:tc>
        <w:tc>
          <w:tcPr>
            <w:tcW w:w="1250" w:type="pct"/>
            <w:noWrap w:val="0"/>
            <w:vAlign w:val="center"/>
          </w:tcPr>
          <w:p w14:paraId="5B2D7358">
            <w:pPr>
              <w:widowControl w:val="0"/>
              <w:jc w:val="center"/>
              <w:rPr>
                <w:rFonts w:eastAsia="楷体_GB2312"/>
                <w:sz w:val="24"/>
              </w:rPr>
            </w:pPr>
            <w:r>
              <w:rPr>
                <w:rFonts w:hint="eastAsia" w:eastAsia="楷体_GB2312"/>
                <w:sz w:val="24"/>
              </w:rPr>
              <w:t>3.70</w:t>
            </w:r>
          </w:p>
        </w:tc>
        <w:tc>
          <w:tcPr>
            <w:tcW w:w="1172" w:type="pct"/>
            <w:noWrap w:val="0"/>
            <w:vAlign w:val="center"/>
          </w:tcPr>
          <w:p w14:paraId="7DBBDEE0">
            <w:pPr>
              <w:jc w:val="center"/>
              <w:rPr>
                <w:rFonts w:eastAsia="楷体_GB2312"/>
                <w:kern w:val="0"/>
                <w:sz w:val="24"/>
              </w:rPr>
            </w:pPr>
            <w:r>
              <w:rPr>
                <w:rFonts w:hint="eastAsia" w:eastAsia="楷体_GB2312"/>
                <w:kern w:val="0"/>
                <w:sz w:val="24"/>
              </w:rPr>
              <w:t>7.78</w:t>
            </w:r>
          </w:p>
        </w:tc>
        <w:tc>
          <w:tcPr>
            <w:tcW w:w="1327" w:type="pct"/>
            <w:noWrap w:val="0"/>
            <w:vAlign w:val="top"/>
          </w:tcPr>
          <w:p w14:paraId="6D779796">
            <w:pPr>
              <w:jc w:val="center"/>
              <w:rPr>
                <w:rFonts w:hint="eastAsia" w:eastAsia="楷体_GB2312"/>
                <w:kern w:val="0"/>
                <w:sz w:val="24"/>
              </w:rPr>
            </w:pPr>
            <w:r>
              <w:rPr>
                <w:rFonts w:hint="eastAsia" w:eastAsia="楷体_GB2312"/>
                <w:kern w:val="0"/>
                <w:sz w:val="24"/>
              </w:rPr>
              <w:t>4.00</w:t>
            </w:r>
          </w:p>
        </w:tc>
      </w:tr>
      <w:tr w14:paraId="621C5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5" w:type="pct"/>
            <w:noWrap w:val="0"/>
            <w:vAlign w:val="center"/>
          </w:tcPr>
          <w:p w14:paraId="1098810E">
            <w:pPr>
              <w:spacing w:line="320" w:lineRule="exact"/>
              <w:jc w:val="center"/>
              <w:rPr>
                <w:rFonts w:eastAsia="楷体_GB2312"/>
                <w:spacing w:val="-20"/>
                <w:sz w:val="24"/>
              </w:rPr>
            </w:pPr>
            <w:r>
              <w:rPr>
                <w:rFonts w:hint="eastAsia" w:eastAsia="楷体_GB2312"/>
                <w:spacing w:val="-20"/>
                <w:sz w:val="24"/>
              </w:rPr>
              <w:t>11</w:t>
            </w:r>
          </w:p>
        </w:tc>
        <w:tc>
          <w:tcPr>
            <w:tcW w:w="946" w:type="pct"/>
            <w:noWrap w:val="0"/>
            <w:vAlign w:val="center"/>
          </w:tcPr>
          <w:p w14:paraId="3B9B4C99">
            <w:pPr>
              <w:pStyle w:val="20"/>
              <w:jc w:val="center"/>
              <w:rPr>
                <w:rFonts w:ascii="Times New Roman" w:hAnsi="Times New Roman" w:eastAsia="楷体_GB2312"/>
                <w:sz w:val="24"/>
                <w:szCs w:val="24"/>
              </w:rPr>
            </w:pPr>
            <w:r>
              <w:rPr>
                <w:rFonts w:ascii="Times New Roman" w:hAnsi="Times New Roman" w:eastAsia="楷体_GB2312"/>
                <w:sz w:val="24"/>
                <w:szCs w:val="24"/>
              </w:rPr>
              <w:t>曹村镇</w:t>
            </w:r>
          </w:p>
        </w:tc>
        <w:tc>
          <w:tcPr>
            <w:tcW w:w="1250" w:type="pct"/>
            <w:noWrap w:val="0"/>
            <w:vAlign w:val="center"/>
          </w:tcPr>
          <w:p w14:paraId="22B36640">
            <w:pPr>
              <w:widowControl w:val="0"/>
              <w:jc w:val="center"/>
              <w:rPr>
                <w:rFonts w:eastAsia="楷体_GB2312"/>
                <w:sz w:val="24"/>
              </w:rPr>
            </w:pPr>
            <w:r>
              <w:rPr>
                <w:rFonts w:hint="eastAsia" w:eastAsia="楷体_GB2312"/>
                <w:sz w:val="24"/>
              </w:rPr>
              <w:t>2.79</w:t>
            </w:r>
          </w:p>
        </w:tc>
        <w:tc>
          <w:tcPr>
            <w:tcW w:w="1172" w:type="pct"/>
            <w:noWrap w:val="0"/>
            <w:vAlign w:val="center"/>
          </w:tcPr>
          <w:p w14:paraId="0D6D6AB3">
            <w:pPr>
              <w:jc w:val="center"/>
              <w:rPr>
                <w:rFonts w:eastAsia="楷体_GB2312"/>
                <w:kern w:val="0"/>
                <w:sz w:val="24"/>
              </w:rPr>
            </w:pPr>
            <w:r>
              <w:rPr>
                <w:rFonts w:hint="eastAsia" w:eastAsia="楷体_GB2312"/>
                <w:kern w:val="0"/>
                <w:sz w:val="24"/>
              </w:rPr>
              <w:t>6.70</w:t>
            </w:r>
          </w:p>
        </w:tc>
        <w:tc>
          <w:tcPr>
            <w:tcW w:w="1327" w:type="pct"/>
            <w:noWrap w:val="0"/>
            <w:vAlign w:val="top"/>
          </w:tcPr>
          <w:p w14:paraId="1D4FD34C">
            <w:pPr>
              <w:jc w:val="center"/>
              <w:rPr>
                <w:rFonts w:hint="eastAsia" w:eastAsia="楷体_GB2312"/>
                <w:kern w:val="0"/>
                <w:sz w:val="24"/>
              </w:rPr>
            </w:pPr>
            <w:r>
              <w:rPr>
                <w:rFonts w:hint="eastAsia" w:eastAsia="楷体_GB2312"/>
                <w:kern w:val="0"/>
                <w:sz w:val="24"/>
              </w:rPr>
              <w:t>2.96</w:t>
            </w:r>
          </w:p>
        </w:tc>
      </w:tr>
      <w:tr w14:paraId="5C04D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5" w:type="pct"/>
            <w:noWrap w:val="0"/>
            <w:vAlign w:val="center"/>
          </w:tcPr>
          <w:p w14:paraId="45D52F99">
            <w:pPr>
              <w:spacing w:line="320" w:lineRule="exact"/>
              <w:jc w:val="center"/>
              <w:rPr>
                <w:rFonts w:eastAsia="楷体_GB2312"/>
                <w:spacing w:val="-20"/>
                <w:sz w:val="24"/>
              </w:rPr>
            </w:pPr>
            <w:r>
              <w:rPr>
                <w:rFonts w:hint="eastAsia" w:eastAsia="楷体_GB2312"/>
                <w:spacing w:val="-20"/>
                <w:sz w:val="24"/>
              </w:rPr>
              <w:t>12</w:t>
            </w:r>
          </w:p>
        </w:tc>
        <w:tc>
          <w:tcPr>
            <w:tcW w:w="946" w:type="pct"/>
            <w:noWrap w:val="0"/>
            <w:vAlign w:val="center"/>
          </w:tcPr>
          <w:p w14:paraId="119218E5">
            <w:pPr>
              <w:pStyle w:val="20"/>
              <w:jc w:val="center"/>
              <w:rPr>
                <w:rFonts w:ascii="Times New Roman" w:hAnsi="Times New Roman" w:eastAsia="楷体_GB2312"/>
                <w:sz w:val="24"/>
                <w:szCs w:val="24"/>
              </w:rPr>
            </w:pPr>
            <w:r>
              <w:rPr>
                <w:rFonts w:ascii="Times New Roman" w:hAnsi="Times New Roman" w:eastAsia="楷体_GB2312"/>
                <w:sz w:val="24"/>
                <w:szCs w:val="24"/>
              </w:rPr>
              <w:t>大营镇</w:t>
            </w:r>
          </w:p>
        </w:tc>
        <w:tc>
          <w:tcPr>
            <w:tcW w:w="1250" w:type="pct"/>
            <w:noWrap w:val="0"/>
            <w:vAlign w:val="center"/>
          </w:tcPr>
          <w:p w14:paraId="24AEABC2">
            <w:pPr>
              <w:widowControl w:val="0"/>
              <w:jc w:val="center"/>
              <w:rPr>
                <w:rFonts w:eastAsia="楷体_GB2312"/>
                <w:sz w:val="24"/>
              </w:rPr>
            </w:pPr>
            <w:r>
              <w:rPr>
                <w:rFonts w:hint="eastAsia" w:eastAsia="楷体_GB2312"/>
                <w:sz w:val="24"/>
              </w:rPr>
              <w:t>3.86</w:t>
            </w:r>
          </w:p>
        </w:tc>
        <w:tc>
          <w:tcPr>
            <w:tcW w:w="1172" w:type="pct"/>
            <w:noWrap w:val="0"/>
            <w:vAlign w:val="center"/>
          </w:tcPr>
          <w:p w14:paraId="25FB274B">
            <w:pPr>
              <w:jc w:val="center"/>
              <w:rPr>
                <w:rFonts w:eastAsia="楷体_GB2312"/>
                <w:kern w:val="0"/>
                <w:sz w:val="24"/>
              </w:rPr>
            </w:pPr>
            <w:r>
              <w:rPr>
                <w:rFonts w:hint="eastAsia" w:eastAsia="楷体_GB2312"/>
                <w:kern w:val="0"/>
                <w:sz w:val="24"/>
              </w:rPr>
              <w:t>5.28</w:t>
            </w:r>
          </w:p>
        </w:tc>
        <w:tc>
          <w:tcPr>
            <w:tcW w:w="1327" w:type="pct"/>
            <w:noWrap w:val="0"/>
            <w:vAlign w:val="top"/>
          </w:tcPr>
          <w:p w14:paraId="68EDEE45">
            <w:pPr>
              <w:jc w:val="center"/>
              <w:rPr>
                <w:rFonts w:hint="eastAsia" w:eastAsia="楷体_GB2312"/>
                <w:kern w:val="0"/>
                <w:sz w:val="24"/>
              </w:rPr>
            </w:pPr>
            <w:r>
              <w:rPr>
                <w:rFonts w:hint="eastAsia" w:eastAsia="楷体_GB2312"/>
                <w:kern w:val="0"/>
                <w:sz w:val="24"/>
              </w:rPr>
              <w:t>4.57</w:t>
            </w:r>
          </w:p>
        </w:tc>
      </w:tr>
      <w:tr w14:paraId="466CB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5" w:type="pct"/>
            <w:noWrap w:val="0"/>
            <w:vAlign w:val="center"/>
          </w:tcPr>
          <w:p w14:paraId="08812012">
            <w:pPr>
              <w:spacing w:line="320" w:lineRule="exact"/>
              <w:jc w:val="center"/>
              <w:rPr>
                <w:rFonts w:eastAsia="楷体_GB2312"/>
                <w:spacing w:val="-20"/>
                <w:sz w:val="24"/>
              </w:rPr>
            </w:pPr>
            <w:r>
              <w:rPr>
                <w:rFonts w:hint="eastAsia" w:eastAsia="楷体_GB2312"/>
                <w:spacing w:val="-20"/>
                <w:sz w:val="24"/>
              </w:rPr>
              <w:t>13</w:t>
            </w:r>
          </w:p>
        </w:tc>
        <w:tc>
          <w:tcPr>
            <w:tcW w:w="946" w:type="pct"/>
            <w:noWrap w:val="0"/>
            <w:vAlign w:val="center"/>
          </w:tcPr>
          <w:p w14:paraId="596FEEEF">
            <w:pPr>
              <w:pStyle w:val="20"/>
              <w:jc w:val="center"/>
              <w:rPr>
                <w:rFonts w:ascii="Times New Roman" w:hAnsi="Times New Roman" w:eastAsia="楷体_GB2312"/>
                <w:sz w:val="24"/>
                <w:szCs w:val="24"/>
              </w:rPr>
            </w:pPr>
            <w:r>
              <w:rPr>
                <w:rFonts w:ascii="Times New Roman" w:hAnsi="Times New Roman" w:eastAsia="楷体_GB2312"/>
                <w:sz w:val="24"/>
                <w:szCs w:val="24"/>
              </w:rPr>
              <w:t>褚兰镇</w:t>
            </w:r>
          </w:p>
        </w:tc>
        <w:tc>
          <w:tcPr>
            <w:tcW w:w="1250" w:type="pct"/>
            <w:noWrap w:val="0"/>
            <w:vAlign w:val="center"/>
          </w:tcPr>
          <w:p w14:paraId="3C16FE96">
            <w:pPr>
              <w:widowControl w:val="0"/>
              <w:jc w:val="center"/>
              <w:rPr>
                <w:rFonts w:eastAsia="楷体_GB2312"/>
                <w:sz w:val="24"/>
              </w:rPr>
            </w:pPr>
            <w:r>
              <w:rPr>
                <w:rFonts w:hint="eastAsia" w:eastAsia="楷体_GB2312"/>
                <w:sz w:val="24"/>
              </w:rPr>
              <w:t>2.19</w:t>
            </w:r>
          </w:p>
        </w:tc>
        <w:tc>
          <w:tcPr>
            <w:tcW w:w="1172" w:type="pct"/>
            <w:noWrap w:val="0"/>
            <w:vAlign w:val="center"/>
          </w:tcPr>
          <w:p w14:paraId="174C24FC">
            <w:pPr>
              <w:jc w:val="center"/>
              <w:rPr>
                <w:rFonts w:eastAsia="楷体_GB2312"/>
                <w:kern w:val="0"/>
                <w:sz w:val="24"/>
              </w:rPr>
            </w:pPr>
            <w:r>
              <w:rPr>
                <w:rFonts w:hint="eastAsia" w:eastAsia="楷体_GB2312"/>
                <w:kern w:val="0"/>
                <w:sz w:val="24"/>
              </w:rPr>
              <w:t>3.20</w:t>
            </w:r>
          </w:p>
        </w:tc>
        <w:tc>
          <w:tcPr>
            <w:tcW w:w="1327" w:type="pct"/>
            <w:noWrap w:val="0"/>
            <w:vAlign w:val="top"/>
          </w:tcPr>
          <w:p w14:paraId="4DCDDC5E">
            <w:pPr>
              <w:jc w:val="center"/>
              <w:rPr>
                <w:rFonts w:hint="eastAsia" w:eastAsia="楷体_GB2312"/>
                <w:kern w:val="0"/>
                <w:sz w:val="24"/>
              </w:rPr>
            </w:pPr>
            <w:r>
              <w:rPr>
                <w:rFonts w:hint="eastAsia" w:eastAsia="楷体_GB2312"/>
                <w:kern w:val="0"/>
                <w:sz w:val="24"/>
              </w:rPr>
              <w:t>2.92</w:t>
            </w:r>
          </w:p>
        </w:tc>
      </w:tr>
      <w:tr w14:paraId="0ECBF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5" w:type="pct"/>
            <w:noWrap w:val="0"/>
            <w:vAlign w:val="center"/>
          </w:tcPr>
          <w:p w14:paraId="24BDB994">
            <w:pPr>
              <w:spacing w:line="320" w:lineRule="exact"/>
              <w:jc w:val="center"/>
              <w:rPr>
                <w:rFonts w:eastAsia="楷体_GB2312"/>
                <w:spacing w:val="-20"/>
                <w:sz w:val="24"/>
              </w:rPr>
            </w:pPr>
            <w:r>
              <w:rPr>
                <w:rFonts w:hint="eastAsia" w:eastAsia="楷体_GB2312"/>
                <w:spacing w:val="-20"/>
                <w:sz w:val="24"/>
              </w:rPr>
              <w:t>14</w:t>
            </w:r>
          </w:p>
        </w:tc>
        <w:tc>
          <w:tcPr>
            <w:tcW w:w="946" w:type="pct"/>
            <w:noWrap w:val="0"/>
            <w:vAlign w:val="center"/>
          </w:tcPr>
          <w:p w14:paraId="3EAC65AD">
            <w:pPr>
              <w:pStyle w:val="20"/>
              <w:jc w:val="center"/>
              <w:rPr>
                <w:rFonts w:ascii="Times New Roman" w:hAnsi="Times New Roman" w:eastAsia="楷体_GB2312"/>
                <w:sz w:val="24"/>
                <w:szCs w:val="24"/>
              </w:rPr>
            </w:pPr>
            <w:r>
              <w:rPr>
                <w:rFonts w:ascii="Times New Roman" w:hAnsi="Times New Roman" w:eastAsia="楷体_GB2312"/>
                <w:sz w:val="24"/>
                <w:szCs w:val="24"/>
              </w:rPr>
              <w:t>顺河镇</w:t>
            </w:r>
          </w:p>
        </w:tc>
        <w:tc>
          <w:tcPr>
            <w:tcW w:w="1250" w:type="pct"/>
            <w:noWrap w:val="0"/>
            <w:vAlign w:val="center"/>
          </w:tcPr>
          <w:p w14:paraId="13D457C3">
            <w:pPr>
              <w:widowControl w:val="0"/>
              <w:jc w:val="center"/>
              <w:rPr>
                <w:rFonts w:eastAsia="楷体_GB2312"/>
                <w:sz w:val="24"/>
              </w:rPr>
            </w:pPr>
            <w:r>
              <w:rPr>
                <w:rFonts w:hint="eastAsia" w:eastAsia="楷体_GB2312"/>
                <w:sz w:val="24"/>
              </w:rPr>
              <w:t>4.68</w:t>
            </w:r>
          </w:p>
        </w:tc>
        <w:tc>
          <w:tcPr>
            <w:tcW w:w="1172" w:type="pct"/>
            <w:noWrap w:val="0"/>
            <w:vAlign w:val="center"/>
          </w:tcPr>
          <w:p w14:paraId="7390C01C">
            <w:pPr>
              <w:jc w:val="center"/>
              <w:rPr>
                <w:rFonts w:eastAsia="楷体_GB2312"/>
                <w:kern w:val="0"/>
                <w:sz w:val="24"/>
              </w:rPr>
            </w:pPr>
            <w:r>
              <w:rPr>
                <w:rFonts w:hint="eastAsia" w:eastAsia="楷体_GB2312"/>
                <w:kern w:val="0"/>
                <w:sz w:val="24"/>
              </w:rPr>
              <w:t>6.42</w:t>
            </w:r>
          </w:p>
        </w:tc>
        <w:tc>
          <w:tcPr>
            <w:tcW w:w="1327" w:type="pct"/>
            <w:noWrap w:val="0"/>
            <w:vAlign w:val="top"/>
          </w:tcPr>
          <w:p w14:paraId="484F0C24">
            <w:pPr>
              <w:jc w:val="center"/>
              <w:rPr>
                <w:rFonts w:hint="eastAsia" w:eastAsia="楷体_GB2312"/>
                <w:kern w:val="0"/>
                <w:sz w:val="24"/>
              </w:rPr>
            </w:pPr>
            <w:r>
              <w:rPr>
                <w:rFonts w:hint="eastAsia" w:eastAsia="楷体_GB2312"/>
                <w:kern w:val="0"/>
                <w:sz w:val="24"/>
              </w:rPr>
              <w:t>5.45</w:t>
            </w:r>
          </w:p>
        </w:tc>
      </w:tr>
      <w:tr w14:paraId="6D004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5" w:type="pct"/>
            <w:noWrap w:val="0"/>
            <w:vAlign w:val="center"/>
          </w:tcPr>
          <w:p w14:paraId="3BF0FE16">
            <w:pPr>
              <w:spacing w:line="320" w:lineRule="exact"/>
              <w:jc w:val="center"/>
              <w:rPr>
                <w:rFonts w:eastAsia="楷体_GB2312"/>
                <w:spacing w:val="-20"/>
                <w:sz w:val="24"/>
              </w:rPr>
            </w:pPr>
            <w:r>
              <w:rPr>
                <w:rFonts w:hint="eastAsia" w:eastAsia="楷体_GB2312"/>
                <w:spacing w:val="-20"/>
                <w:sz w:val="24"/>
              </w:rPr>
              <w:t>15</w:t>
            </w:r>
          </w:p>
        </w:tc>
        <w:tc>
          <w:tcPr>
            <w:tcW w:w="946" w:type="pct"/>
            <w:noWrap w:val="0"/>
            <w:vAlign w:val="center"/>
          </w:tcPr>
          <w:p w14:paraId="0A065A53">
            <w:pPr>
              <w:pStyle w:val="20"/>
              <w:jc w:val="center"/>
              <w:rPr>
                <w:rFonts w:ascii="Times New Roman" w:hAnsi="Times New Roman" w:eastAsia="楷体_GB2312"/>
                <w:sz w:val="24"/>
                <w:szCs w:val="24"/>
              </w:rPr>
            </w:pPr>
            <w:r>
              <w:rPr>
                <w:rFonts w:ascii="Times New Roman" w:hAnsi="Times New Roman" w:eastAsia="楷体_GB2312"/>
                <w:sz w:val="24"/>
                <w:szCs w:val="24"/>
              </w:rPr>
              <w:t>杨庄镇</w:t>
            </w:r>
          </w:p>
        </w:tc>
        <w:tc>
          <w:tcPr>
            <w:tcW w:w="1250" w:type="pct"/>
            <w:noWrap w:val="0"/>
            <w:vAlign w:val="center"/>
          </w:tcPr>
          <w:p w14:paraId="6C26BAFB">
            <w:pPr>
              <w:widowControl w:val="0"/>
              <w:jc w:val="center"/>
              <w:rPr>
                <w:rFonts w:eastAsia="楷体_GB2312"/>
                <w:sz w:val="24"/>
              </w:rPr>
            </w:pPr>
            <w:r>
              <w:rPr>
                <w:rFonts w:hint="eastAsia" w:eastAsia="楷体_GB2312"/>
                <w:sz w:val="24"/>
              </w:rPr>
              <w:t>1.33</w:t>
            </w:r>
          </w:p>
        </w:tc>
        <w:tc>
          <w:tcPr>
            <w:tcW w:w="1172" w:type="pct"/>
            <w:noWrap w:val="0"/>
            <w:vAlign w:val="center"/>
          </w:tcPr>
          <w:p w14:paraId="0FF80D58">
            <w:pPr>
              <w:jc w:val="center"/>
              <w:rPr>
                <w:rFonts w:eastAsia="楷体_GB2312"/>
                <w:kern w:val="0"/>
                <w:sz w:val="24"/>
              </w:rPr>
            </w:pPr>
            <w:r>
              <w:rPr>
                <w:rFonts w:hint="eastAsia" w:eastAsia="楷体_GB2312"/>
                <w:kern w:val="0"/>
                <w:sz w:val="24"/>
              </w:rPr>
              <w:t>2.29</w:t>
            </w:r>
          </w:p>
        </w:tc>
        <w:tc>
          <w:tcPr>
            <w:tcW w:w="1327" w:type="pct"/>
            <w:noWrap w:val="0"/>
            <w:vAlign w:val="top"/>
          </w:tcPr>
          <w:p w14:paraId="7F73FE8A">
            <w:pPr>
              <w:jc w:val="center"/>
              <w:rPr>
                <w:rFonts w:hint="eastAsia" w:eastAsia="楷体_GB2312"/>
                <w:kern w:val="0"/>
                <w:sz w:val="24"/>
              </w:rPr>
            </w:pPr>
            <w:r>
              <w:rPr>
                <w:rFonts w:hint="eastAsia" w:eastAsia="楷体_GB2312"/>
                <w:kern w:val="0"/>
                <w:sz w:val="24"/>
              </w:rPr>
              <w:t>1.48</w:t>
            </w:r>
          </w:p>
        </w:tc>
      </w:tr>
      <w:tr w14:paraId="0FF15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5" w:type="pct"/>
            <w:noWrap w:val="0"/>
            <w:vAlign w:val="center"/>
          </w:tcPr>
          <w:p w14:paraId="17DE645D">
            <w:pPr>
              <w:spacing w:line="320" w:lineRule="exact"/>
              <w:jc w:val="center"/>
              <w:rPr>
                <w:rFonts w:eastAsia="楷体_GB2312"/>
                <w:spacing w:val="-20"/>
                <w:sz w:val="24"/>
              </w:rPr>
            </w:pPr>
            <w:r>
              <w:rPr>
                <w:rFonts w:hint="eastAsia" w:eastAsia="楷体_GB2312"/>
                <w:spacing w:val="-20"/>
                <w:sz w:val="24"/>
              </w:rPr>
              <w:t>16</w:t>
            </w:r>
          </w:p>
        </w:tc>
        <w:tc>
          <w:tcPr>
            <w:tcW w:w="946" w:type="pct"/>
            <w:noWrap w:val="0"/>
            <w:vAlign w:val="center"/>
          </w:tcPr>
          <w:p w14:paraId="15806BA4">
            <w:pPr>
              <w:pStyle w:val="20"/>
              <w:jc w:val="center"/>
              <w:rPr>
                <w:rFonts w:ascii="Times New Roman" w:hAnsi="Times New Roman" w:eastAsia="楷体_GB2312"/>
                <w:sz w:val="24"/>
                <w:szCs w:val="24"/>
              </w:rPr>
            </w:pPr>
            <w:r>
              <w:rPr>
                <w:rFonts w:ascii="Times New Roman" w:hAnsi="Times New Roman" w:eastAsia="楷体_GB2312"/>
                <w:sz w:val="24"/>
                <w:szCs w:val="24"/>
              </w:rPr>
              <w:t>永镇乡</w:t>
            </w:r>
          </w:p>
        </w:tc>
        <w:tc>
          <w:tcPr>
            <w:tcW w:w="1250" w:type="pct"/>
            <w:noWrap w:val="0"/>
            <w:vAlign w:val="center"/>
          </w:tcPr>
          <w:p w14:paraId="6ED1DB9F">
            <w:pPr>
              <w:widowControl w:val="0"/>
              <w:jc w:val="center"/>
              <w:rPr>
                <w:rFonts w:eastAsia="楷体_GB2312"/>
                <w:sz w:val="24"/>
              </w:rPr>
            </w:pPr>
            <w:r>
              <w:rPr>
                <w:rFonts w:hint="eastAsia" w:eastAsia="楷体_GB2312"/>
                <w:sz w:val="24"/>
              </w:rPr>
              <w:t>1.38</w:t>
            </w:r>
          </w:p>
        </w:tc>
        <w:tc>
          <w:tcPr>
            <w:tcW w:w="1172" w:type="pct"/>
            <w:noWrap w:val="0"/>
            <w:vAlign w:val="center"/>
          </w:tcPr>
          <w:p w14:paraId="7339F2C2">
            <w:pPr>
              <w:jc w:val="center"/>
              <w:rPr>
                <w:rFonts w:eastAsia="楷体_GB2312"/>
                <w:kern w:val="0"/>
                <w:sz w:val="24"/>
              </w:rPr>
            </w:pPr>
            <w:r>
              <w:rPr>
                <w:rFonts w:hint="eastAsia" w:eastAsia="楷体_GB2312"/>
                <w:kern w:val="0"/>
                <w:sz w:val="24"/>
              </w:rPr>
              <w:t>1.57</w:t>
            </w:r>
          </w:p>
        </w:tc>
        <w:tc>
          <w:tcPr>
            <w:tcW w:w="1327" w:type="pct"/>
            <w:noWrap w:val="0"/>
            <w:vAlign w:val="top"/>
          </w:tcPr>
          <w:p w14:paraId="237C908B">
            <w:pPr>
              <w:jc w:val="center"/>
              <w:rPr>
                <w:rFonts w:hint="eastAsia" w:eastAsia="楷体_GB2312"/>
                <w:kern w:val="0"/>
                <w:sz w:val="24"/>
              </w:rPr>
            </w:pPr>
            <w:r>
              <w:rPr>
                <w:rFonts w:hint="eastAsia" w:eastAsia="楷体_GB2312"/>
                <w:kern w:val="0"/>
                <w:sz w:val="24"/>
              </w:rPr>
              <w:t>2.17</w:t>
            </w:r>
          </w:p>
        </w:tc>
      </w:tr>
      <w:tr w14:paraId="6841A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5" w:type="pct"/>
            <w:noWrap w:val="0"/>
            <w:vAlign w:val="center"/>
          </w:tcPr>
          <w:p w14:paraId="0AE412C7">
            <w:pPr>
              <w:spacing w:line="320" w:lineRule="exact"/>
              <w:jc w:val="center"/>
              <w:rPr>
                <w:rFonts w:eastAsia="楷体_GB2312"/>
                <w:spacing w:val="-20"/>
                <w:sz w:val="24"/>
              </w:rPr>
            </w:pPr>
            <w:r>
              <w:rPr>
                <w:rFonts w:hint="eastAsia" w:eastAsia="楷体_GB2312"/>
                <w:spacing w:val="-20"/>
                <w:sz w:val="24"/>
              </w:rPr>
              <w:t>17</w:t>
            </w:r>
          </w:p>
        </w:tc>
        <w:tc>
          <w:tcPr>
            <w:tcW w:w="946" w:type="pct"/>
            <w:noWrap w:val="0"/>
            <w:vAlign w:val="center"/>
          </w:tcPr>
          <w:p w14:paraId="6A8E37A8">
            <w:pPr>
              <w:pStyle w:val="20"/>
              <w:jc w:val="center"/>
              <w:rPr>
                <w:rFonts w:ascii="Times New Roman" w:hAnsi="Times New Roman" w:eastAsia="楷体_GB2312"/>
                <w:sz w:val="24"/>
                <w:szCs w:val="24"/>
              </w:rPr>
            </w:pPr>
            <w:r>
              <w:rPr>
                <w:rFonts w:ascii="Times New Roman" w:hAnsi="Times New Roman" w:eastAsia="楷体_GB2312"/>
                <w:sz w:val="24"/>
                <w:szCs w:val="24"/>
              </w:rPr>
              <w:t>解集镇</w:t>
            </w:r>
          </w:p>
        </w:tc>
        <w:tc>
          <w:tcPr>
            <w:tcW w:w="1250" w:type="pct"/>
            <w:noWrap w:val="0"/>
            <w:vAlign w:val="center"/>
          </w:tcPr>
          <w:p w14:paraId="004643D8">
            <w:pPr>
              <w:widowControl w:val="0"/>
              <w:jc w:val="center"/>
              <w:rPr>
                <w:rFonts w:eastAsia="楷体_GB2312"/>
                <w:sz w:val="24"/>
              </w:rPr>
            </w:pPr>
            <w:r>
              <w:rPr>
                <w:rFonts w:hint="eastAsia" w:eastAsia="楷体_GB2312"/>
                <w:sz w:val="24"/>
              </w:rPr>
              <w:t>1.36</w:t>
            </w:r>
          </w:p>
        </w:tc>
        <w:tc>
          <w:tcPr>
            <w:tcW w:w="1172" w:type="pct"/>
            <w:noWrap w:val="0"/>
            <w:vAlign w:val="center"/>
          </w:tcPr>
          <w:p w14:paraId="6E233C2A">
            <w:pPr>
              <w:jc w:val="center"/>
              <w:rPr>
                <w:rFonts w:eastAsia="楷体_GB2312"/>
                <w:kern w:val="0"/>
                <w:sz w:val="24"/>
              </w:rPr>
            </w:pPr>
            <w:r>
              <w:rPr>
                <w:rFonts w:hint="eastAsia" w:eastAsia="楷体_GB2312"/>
                <w:kern w:val="0"/>
                <w:sz w:val="24"/>
              </w:rPr>
              <w:t>2.26</w:t>
            </w:r>
          </w:p>
        </w:tc>
        <w:tc>
          <w:tcPr>
            <w:tcW w:w="1327" w:type="pct"/>
            <w:noWrap w:val="0"/>
            <w:vAlign w:val="top"/>
          </w:tcPr>
          <w:p w14:paraId="07935C30">
            <w:pPr>
              <w:jc w:val="center"/>
              <w:rPr>
                <w:rFonts w:hint="eastAsia" w:eastAsia="楷体_GB2312"/>
                <w:kern w:val="0"/>
                <w:sz w:val="24"/>
              </w:rPr>
            </w:pPr>
            <w:r>
              <w:rPr>
                <w:rFonts w:hint="eastAsia" w:eastAsia="楷体_GB2312"/>
                <w:kern w:val="0"/>
                <w:sz w:val="24"/>
              </w:rPr>
              <w:t>2.71</w:t>
            </w:r>
          </w:p>
        </w:tc>
      </w:tr>
      <w:tr w14:paraId="43A6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5" w:type="pct"/>
            <w:noWrap w:val="0"/>
            <w:vAlign w:val="center"/>
          </w:tcPr>
          <w:p w14:paraId="3260EDA6">
            <w:pPr>
              <w:spacing w:line="320" w:lineRule="exact"/>
              <w:jc w:val="center"/>
              <w:rPr>
                <w:rFonts w:eastAsia="楷体_GB2312"/>
                <w:spacing w:val="-20"/>
                <w:sz w:val="24"/>
              </w:rPr>
            </w:pPr>
            <w:r>
              <w:rPr>
                <w:rFonts w:hint="eastAsia" w:eastAsia="楷体_GB2312"/>
                <w:spacing w:val="-20"/>
                <w:sz w:val="24"/>
              </w:rPr>
              <w:t>18</w:t>
            </w:r>
          </w:p>
        </w:tc>
        <w:tc>
          <w:tcPr>
            <w:tcW w:w="946" w:type="pct"/>
            <w:noWrap w:val="0"/>
            <w:vAlign w:val="center"/>
          </w:tcPr>
          <w:p w14:paraId="626F3B44">
            <w:pPr>
              <w:pStyle w:val="20"/>
              <w:jc w:val="center"/>
              <w:rPr>
                <w:rFonts w:ascii="Times New Roman" w:hAnsi="Times New Roman" w:eastAsia="楷体_GB2312"/>
                <w:sz w:val="24"/>
                <w:szCs w:val="24"/>
              </w:rPr>
            </w:pPr>
            <w:r>
              <w:rPr>
                <w:rFonts w:ascii="Times New Roman" w:hAnsi="Times New Roman" w:eastAsia="楷体_GB2312"/>
                <w:sz w:val="24"/>
                <w:szCs w:val="24"/>
              </w:rPr>
              <w:t>大泽乡镇</w:t>
            </w:r>
          </w:p>
        </w:tc>
        <w:tc>
          <w:tcPr>
            <w:tcW w:w="1250" w:type="pct"/>
            <w:noWrap w:val="0"/>
            <w:vAlign w:val="center"/>
          </w:tcPr>
          <w:p w14:paraId="7D697E94">
            <w:pPr>
              <w:widowControl w:val="0"/>
              <w:jc w:val="center"/>
              <w:rPr>
                <w:rFonts w:eastAsia="楷体_GB2312"/>
                <w:sz w:val="24"/>
              </w:rPr>
            </w:pPr>
            <w:r>
              <w:rPr>
                <w:rFonts w:hint="eastAsia" w:eastAsia="楷体_GB2312"/>
                <w:sz w:val="24"/>
              </w:rPr>
              <w:t>2.63</w:t>
            </w:r>
          </w:p>
        </w:tc>
        <w:tc>
          <w:tcPr>
            <w:tcW w:w="1172" w:type="pct"/>
            <w:noWrap w:val="0"/>
            <w:vAlign w:val="center"/>
          </w:tcPr>
          <w:p w14:paraId="024433E8">
            <w:pPr>
              <w:jc w:val="center"/>
              <w:rPr>
                <w:rFonts w:eastAsia="楷体_GB2312"/>
                <w:kern w:val="0"/>
                <w:sz w:val="24"/>
              </w:rPr>
            </w:pPr>
            <w:r>
              <w:rPr>
                <w:rFonts w:hint="eastAsia" w:eastAsia="楷体_GB2312"/>
                <w:kern w:val="0"/>
                <w:sz w:val="24"/>
              </w:rPr>
              <w:t>3.28</w:t>
            </w:r>
          </w:p>
        </w:tc>
        <w:tc>
          <w:tcPr>
            <w:tcW w:w="1327" w:type="pct"/>
            <w:noWrap w:val="0"/>
            <w:vAlign w:val="top"/>
          </w:tcPr>
          <w:p w14:paraId="75BC8841">
            <w:pPr>
              <w:jc w:val="center"/>
              <w:rPr>
                <w:rFonts w:hint="eastAsia" w:eastAsia="楷体_GB2312"/>
                <w:kern w:val="0"/>
                <w:sz w:val="24"/>
              </w:rPr>
            </w:pPr>
            <w:r>
              <w:rPr>
                <w:rFonts w:hint="eastAsia" w:eastAsia="楷体_GB2312"/>
                <w:kern w:val="0"/>
                <w:sz w:val="24"/>
              </w:rPr>
              <w:t>3.81</w:t>
            </w:r>
          </w:p>
        </w:tc>
      </w:tr>
      <w:tr w14:paraId="75393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5" w:type="pct"/>
            <w:noWrap w:val="0"/>
            <w:vAlign w:val="center"/>
          </w:tcPr>
          <w:p w14:paraId="60FFC389">
            <w:pPr>
              <w:spacing w:line="320" w:lineRule="exact"/>
              <w:jc w:val="center"/>
              <w:rPr>
                <w:rFonts w:eastAsia="楷体_GB2312"/>
                <w:spacing w:val="-20"/>
                <w:sz w:val="24"/>
              </w:rPr>
            </w:pPr>
            <w:r>
              <w:rPr>
                <w:rFonts w:hint="eastAsia" w:eastAsia="楷体_GB2312"/>
                <w:spacing w:val="-20"/>
                <w:sz w:val="24"/>
              </w:rPr>
              <w:t>19</w:t>
            </w:r>
          </w:p>
        </w:tc>
        <w:tc>
          <w:tcPr>
            <w:tcW w:w="946" w:type="pct"/>
            <w:noWrap w:val="0"/>
            <w:vAlign w:val="center"/>
          </w:tcPr>
          <w:p w14:paraId="6356B288">
            <w:pPr>
              <w:pStyle w:val="20"/>
              <w:jc w:val="center"/>
              <w:rPr>
                <w:rFonts w:ascii="Times New Roman" w:hAnsi="Times New Roman" w:eastAsia="楷体_GB2312"/>
                <w:sz w:val="24"/>
                <w:szCs w:val="24"/>
              </w:rPr>
            </w:pPr>
            <w:r>
              <w:rPr>
                <w:rFonts w:ascii="Times New Roman" w:hAnsi="Times New Roman" w:eastAsia="楷体_GB2312"/>
                <w:sz w:val="24"/>
                <w:szCs w:val="24"/>
              </w:rPr>
              <w:t>永安镇</w:t>
            </w:r>
          </w:p>
        </w:tc>
        <w:tc>
          <w:tcPr>
            <w:tcW w:w="1250" w:type="pct"/>
            <w:noWrap w:val="0"/>
            <w:vAlign w:val="center"/>
          </w:tcPr>
          <w:p w14:paraId="4DAA4A43">
            <w:pPr>
              <w:widowControl w:val="0"/>
              <w:jc w:val="center"/>
              <w:rPr>
                <w:rFonts w:eastAsia="楷体_GB2312"/>
                <w:sz w:val="24"/>
              </w:rPr>
            </w:pPr>
            <w:r>
              <w:rPr>
                <w:rFonts w:hint="eastAsia" w:eastAsia="楷体_GB2312"/>
                <w:sz w:val="24"/>
              </w:rPr>
              <w:t>2.66</w:t>
            </w:r>
          </w:p>
        </w:tc>
        <w:tc>
          <w:tcPr>
            <w:tcW w:w="1172" w:type="pct"/>
            <w:noWrap w:val="0"/>
            <w:vAlign w:val="center"/>
          </w:tcPr>
          <w:p w14:paraId="38349320">
            <w:pPr>
              <w:jc w:val="center"/>
              <w:rPr>
                <w:rFonts w:eastAsia="楷体_GB2312"/>
                <w:kern w:val="0"/>
                <w:sz w:val="24"/>
              </w:rPr>
            </w:pPr>
            <w:r>
              <w:rPr>
                <w:rFonts w:hint="eastAsia" w:eastAsia="楷体_GB2312"/>
                <w:kern w:val="0"/>
                <w:sz w:val="24"/>
              </w:rPr>
              <w:t>9.46</w:t>
            </w:r>
          </w:p>
        </w:tc>
        <w:tc>
          <w:tcPr>
            <w:tcW w:w="1327" w:type="pct"/>
            <w:noWrap w:val="0"/>
            <w:vAlign w:val="top"/>
          </w:tcPr>
          <w:p w14:paraId="6AA49AEF">
            <w:pPr>
              <w:jc w:val="center"/>
              <w:rPr>
                <w:rFonts w:hint="eastAsia" w:eastAsia="楷体_GB2312"/>
                <w:kern w:val="0"/>
                <w:sz w:val="24"/>
              </w:rPr>
            </w:pPr>
            <w:r>
              <w:rPr>
                <w:rFonts w:hint="eastAsia" w:eastAsia="楷体_GB2312"/>
                <w:kern w:val="0"/>
                <w:sz w:val="24"/>
              </w:rPr>
              <w:t>2.73</w:t>
            </w:r>
          </w:p>
        </w:tc>
      </w:tr>
      <w:tr w14:paraId="6ABFC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5" w:type="pct"/>
            <w:noWrap w:val="0"/>
            <w:vAlign w:val="center"/>
          </w:tcPr>
          <w:p w14:paraId="1E057FC9">
            <w:pPr>
              <w:spacing w:line="320" w:lineRule="exact"/>
              <w:jc w:val="center"/>
              <w:rPr>
                <w:rFonts w:eastAsia="楷体_GB2312"/>
                <w:spacing w:val="-20"/>
                <w:sz w:val="24"/>
              </w:rPr>
            </w:pPr>
            <w:r>
              <w:rPr>
                <w:rFonts w:hint="eastAsia" w:eastAsia="楷体_GB2312"/>
                <w:spacing w:val="-20"/>
                <w:sz w:val="24"/>
              </w:rPr>
              <w:t>20</w:t>
            </w:r>
          </w:p>
        </w:tc>
        <w:tc>
          <w:tcPr>
            <w:tcW w:w="946" w:type="pct"/>
            <w:noWrap w:val="0"/>
            <w:vAlign w:val="center"/>
          </w:tcPr>
          <w:p w14:paraId="71E1C185">
            <w:pPr>
              <w:pStyle w:val="20"/>
              <w:jc w:val="center"/>
              <w:rPr>
                <w:rFonts w:ascii="Times New Roman" w:hAnsi="Times New Roman" w:eastAsia="楷体_GB2312"/>
                <w:sz w:val="24"/>
                <w:szCs w:val="24"/>
              </w:rPr>
            </w:pPr>
            <w:r>
              <w:rPr>
                <w:rFonts w:ascii="Times New Roman" w:hAnsi="Times New Roman" w:eastAsia="楷体_GB2312"/>
                <w:sz w:val="24"/>
                <w:szCs w:val="24"/>
              </w:rPr>
              <w:t>支河乡</w:t>
            </w:r>
          </w:p>
        </w:tc>
        <w:tc>
          <w:tcPr>
            <w:tcW w:w="1250" w:type="pct"/>
            <w:noWrap w:val="0"/>
            <w:vAlign w:val="center"/>
          </w:tcPr>
          <w:p w14:paraId="78F86F8E">
            <w:pPr>
              <w:widowControl w:val="0"/>
              <w:jc w:val="center"/>
              <w:rPr>
                <w:rFonts w:eastAsia="楷体_GB2312"/>
                <w:sz w:val="24"/>
              </w:rPr>
            </w:pPr>
            <w:r>
              <w:rPr>
                <w:rFonts w:hint="eastAsia" w:eastAsia="楷体_GB2312"/>
                <w:sz w:val="24"/>
              </w:rPr>
              <w:t>1.72</w:t>
            </w:r>
          </w:p>
        </w:tc>
        <w:tc>
          <w:tcPr>
            <w:tcW w:w="1172" w:type="pct"/>
            <w:noWrap w:val="0"/>
            <w:vAlign w:val="center"/>
          </w:tcPr>
          <w:p w14:paraId="1BBD16F4">
            <w:pPr>
              <w:jc w:val="center"/>
              <w:rPr>
                <w:rFonts w:eastAsia="楷体_GB2312"/>
                <w:kern w:val="0"/>
                <w:sz w:val="24"/>
              </w:rPr>
            </w:pPr>
            <w:r>
              <w:rPr>
                <w:rFonts w:hint="eastAsia" w:eastAsia="楷体_GB2312"/>
                <w:kern w:val="0"/>
                <w:sz w:val="24"/>
              </w:rPr>
              <w:t>1.93</w:t>
            </w:r>
          </w:p>
        </w:tc>
        <w:tc>
          <w:tcPr>
            <w:tcW w:w="1327" w:type="pct"/>
            <w:noWrap w:val="0"/>
            <w:vAlign w:val="top"/>
          </w:tcPr>
          <w:p w14:paraId="6E768D0E">
            <w:pPr>
              <w:jc w:val="center"/>
              <w:rPr>
                <w:rFonts w:hint="eastAsia" w:eastAsia="楷体_GB2312"/>
                <w:kern w:val="0"/>
                <w:sz w:val="24"/>
              </w:rPr>
            </w:pPr>
            <w:r>
              <w:rPr>
                <w:rFonts w:hint="eastAsia" w:eastAsia="楷体_GB2312"/>
                <w:kern w:val="0"/>
                <w:sz w:val="24"/>
              </w:rPr>
              <w:t>2.74</w:t>
            </w:r>
          </w:p>
        </w:tc>
      </w:tr>
      <w:tr w14:paraId="5C85B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5" w:type="pct"/>
            <w:noWrap w:val="0"/>
            <w:vAlign w:val="center"/>
          </w:tcPr>
          <w:p w14:paraId="653FA053">
            <w:pPr>
              <w:spacing w:line="320" w:lineRule="exact"/>
              <w:jc w:val="center"/>
              <w:rPr>
                <w:rFonts w:eastAsia="楷体_GB2312"/>
                <w:spacing w:val="-20"/>
                <w:sz w:val="24"/>
              </w:rPr>
            </w:pPr>
            <w:r>
              <w:rPr>
                <w:rFonts w:hint="eastAsia" w:eastAsia="楷体_GB2312"/>
                <w:spacing w:val="-20"/>
                <w:sz w:val="24"/>
              </w:rPr>
              <w:t>21</w:t>
            </w:r>
          </w:p>
        </w:tc>
        <w:tc>
          <w:tcPr>
            <w:tcW w:w="946" w:type="pct"/>
            <w:noWrap w:val="0"/>
            <w:vAlign w:val="center"/>
          </w:tcPr>
          <w:p w14:paraId="35AAA636">
            <w:pPr>
              <w:pStyle w:val="20"/>
              <w:jc w:val="center"/>
              <w:rPr>
                <w:rFonts w:ascii="Times New Roman" w:hAnsi="Times New Roman" w:eastAsia="楷体_GB2312"/>
                <w:sz w:val="24"/>
                <w:szCs w:val="24"/>
              </w:rPr>
            </w:pPr>
            <w:r>
              <w:rPr>
                <w:rFonts w:ascii="Times New Roman" w:hAnsi="Times New Roman" w:eastAsia="楷体_GB2312"/>
                <w:sz w:val="24"/>
                <w:szCs w:val="24"/>
              </w:rPr>
              <w:t>灰古镇</w:t>
            </w:r>
          </w:p>
        </w:tc>
        <w:tc>
          <w:tcPr>
            <w:tcW w:w="1250" w:type="pct"/>
            <w:noWrap w:val="0"/>
            <w:vAlign w:val="center"/>
          </w:tcPr>
          <w:p w14:paraId="6AEB303B">
            <w:pPr>
              <w:widowControl w:val="0"/>
              <w:jc w:val="center"/>
              <w:rPr>
                <w:rFonts w:eastAsia="楷体_GB2312"/>
                <w:sz w:val="24"/>
              </w:rPr>
            </w:pPr>
            <w:r>
              <w:rPr>
                <w:rFonts w:hint="eastAsia" w:eastAsia="楷体_GB2312"/>
                <w:sz w:val="24"/>
              </w:rPr>
              <w:t>1.42</w:t>
            </w:r>
          </w:p>
        </w:tc>
        <w:tc>
          <w:tcPr>
            <w:tcW w:w="1172" w:type="pct"/>
            <w:noWrap w:val="0"/>
            <w:vAlign w:val="center"/>
          </w:tcPr>
          <w:p w14:paraId="1E053B53">
            <w:pPr>
              <w:jc w:val="center"/>
              <w:rPr>
                <w:rFonts w:eastAsia="楷体_GB2312"/>
                <w:kern w:val="0"/>
                <w:sz w:val="24"/>
              </w:rPr>
            </w:pPr>
            <w:r>
              <w:rPr>
                <w:rFonts w:hint="eastAsia" w:eastAsia="楷体_GB2312"/>
                <w:kern w:val="0"/>
                <w:sz w:val="24"/>
              </w:rPr>
              <w:t>2.02</w:t>
            </w:r>
          </w:p>
        </w:tc>
        <w:tc>
          <w:tcPr>
            <w:tcW w:w="1327" w:type="pct"/>
            <w:noWrap w:val="0"/>
            <w:vAlign w:val="top"/>
          </w:tcPr>
          <w:p w14:paraId="6E2573F7">
            <w:pPr>
              <w:jc w:val="center"/>
              <w:rPr>
                <w:rFonts w:hint="eastAsia" w:eastAsia="楷体_GB2312"/>
                <w:kern w:val="0"/>
                <w:sz w:val="24"/>
              </w:rPr>
            </w:pPr>
            <w:r>
              <w:rPr>
                <w:rFonts w:hint="eastAsia" w:eastAsia="楷体_GB2312"/>
                <w:kern w:val="0"/>
                <w:sz w:val="24"/>
              </w:rPr>
              <w:t>1.72</w:t>
            </w:r>
          </w:p>
        </w:tc>
      </w:tr>
      <w:tr w14:paraId="5D6F7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5" w:type="pct"/>
            <w:noWrap w:val="0"/>
            <w:vAlign w:val="center"/>
          </w:tcPr>
          <w:p w14:paraId="3655CDDE">
            <w:pPr>
              <w:spacing w:line="320" w:lineRule="exact"/>
              <w:jc w:val="center"/>
              <w:rPr>
                <w:rFonts w:eastAsia="楷体_GB2312"/>
                <w:spacing w:val="-20"/>
                <w:sz w:val="24"/>
              </w:rPr>
            </w:pPr>
            <w:r>
              <w:rPr>
                <w:rFonts w:hint="eastAsia" w:eastAsia="楷体_GB2312"/>
                <w:spacing w:val="-20"/>
                <w:sz w:val="24"/>
              </w:rPr>
              <w:t>22</w:t>
            </w:r>
          </w:p>
        </w:tc>
        <w:tc>
          <w:tcPr>
            <w:tcW w:w="946" w:type="pct"/>
            <w:noWrap w:val="0"/>
            <w:vAlign w:val="center"/>
          </w:tcPr>
          <w:p w14:paraId="2E83107F">
            <w:pPr>
              <w:pStyle w:val="20"/>
              <w:jc w:val="center"/>
              <w:rPr>
                <w:rFonts w:ascii="Times New Roman" w:hAnsi="Times New Roman" w:eastAsia="楷体_GB2312"/>
                <w:sz w:val="24"/>
                <w:szCs w:val="24"/>
              </w:rPr>
            </w:pPr>
            <w:r>
              <w:rPr>
                <w:rFonts w:ascii="Times New Roman" w:hAnsi="Times New Roman" w:eastAsia="楷体_GB2312"/>
                <w:sz w:val="24"/>
                <w:szCs w:val="24"/>
              </w:rPr>
              <w:t>桃沟乡</w:t>
            </w:r>
          </w:p>
        </w:tc>
        <w:tc>
          <w:tcPr>
            <w:tcW w:w="1250" w:type="pct"/>
            <w:noWrap w:val="0"/>
            <w:vAlign w:val="center"/>
          </w:tcPr>
          <w:p w14:paraId="6F66A656">
            <w:pPr>
              <w:widowControl w:val="0"/>
              <w:jc w:val="center"/>
              <w:rPr>
                <w:rFonts w:eastAsia="楷体_GB2312"/>
                <w:sz w:val="24"/>
              </w:rPr>
            </w:pPr>
            <w:r>
              <w:rPr>
                <w:rFonts w:hint="eastAsia" w:eastAsia="楷体_GB2312"/>
                <w:sz w:val="24"/>
              </w:rPr>
              <w:t>1.19</w:t>
            </w:r>
          </w:p>
        </w:tc>
        <w:tc>
          <w:tcPr>
            <w:tcW w:w="1172" w:type="pct"/>
            <w:noWrap w:val="0"/>
            <w:vAlign w:val="center"/>
          </w:tcPr>
          <w:p w14:paraId="6028E9B6">
            <w:pPr>
              <w:jc w:val="center"/>
              <w:rPr>
                <w:rFonts w:eastAsia="楷体_GB2312"/>
                <w:kern w:val="0"/>
                <w:sz w:val="24"/>
              </w:rPr>
            </w:pPr>
            <w:r>
              <w:rPr>
                <w:rFonts w:hint="eastAsia" w:eastAsia="楷体_GB2312"/>
                <w:kern w:val="0"/>
                <w:sz w:val="24"/>
              </w:rPr>
              <w:t>1.90</w:t>
            </w:r>
          </w:p>
        </w:tc>
        <w:tc>
          <w:tcPr>
            <w:tcW w:w="1327" w:type="pct"/>
            <w:noWrap w:val="0"/>
            <w:vAlign w:val="top"/>
          </w:tcPr>
          <w:p w14:paraId="455942B8">
            <w:pPr>
              <w:jc w:val="center"/>
              <w:rPr>
                <w:rFonts w:hint="eastAsia" w:eastAsia="楷体_GB2312"/>
                <w:kern w:val="0"/>
                <w:sz w:val="24"/>
              </w:rPr>
            </w:pPr>
            <w:r>
              <w:rPr>
                <w:rFonts w:hint="eastAsia" w:eastAsia="楷体_GB2312"/>
                <w:kern w:val="0"/>
                <w:sz w:val="24"/>
              </w:rPr>
              <w:t>1.65</w:t>
            </w:r>
          </w:p>
        </w:tc>
      </w:tr>
      <w:tr w14:paraId="09CF5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5" w:type="pct"/>
            <w:noWrap w:val="0"/>
            <w:vAlign w:val="center"/>
          </w:tcPr>
          <w:p w14:paraId="4C194B53">
            <w:pPr>
              <w:spacing w:line="320" w:lineRule="exact"/>
              <w:jc w:val="center"/>
              <w:rPr>
                <w:rFonts w:hint="eastAsia" w:eastAsia="楷体_GB2312"/>
                <w:spacing w:val="-20"/>
                <w:sz w:val="24"/>
              </w:rPr>
            </w:pPr>
            <w:r>
              <w:rPr>
                <w:rFonts w:hint="eastAsia" w:eastAsia="楷体_GB2312"/>
                <w:spacing w:val="-20"/>
                <w:sz w:val="24"/>
              </w:rPr>
              <w:t>23</w:t>
            </w:r>
          </w:p>
        </w:tc>
        <w:tc>
          <w:tcPr>
            <w:tcW w:w="946" w:type="pct"/>
            <w:noWrap w:val="0"/>
            <w:vAlign w:val="center"/>
          </w:tcPr>
          <w:p w14:paraId="0F5CBF9F">
            <w:pPr>
              <w:pStyle w:val="20"/>
              <w:jc w:val="center"/>
              <w:rPr>
                <w:rFonts w:ascii="Times New Roman" w:hAnsi="Times New Roman" w:eastAsia="楷体_GB2312"/>
                <w:sz w:val="24"/>
                <w:szCs w:val="24"/>
              </w:rPr>
            </w:pPr>
            <w:r>
              <w:rPr>
                <w:rFonts w:ascii="Times New Roman" w:hAnsi="Times New Roman" w:eastAsia="楷体_GB2312"/>
                <w:sz w:val="24"/>
                <w:szCs w:val="24"/>
              </w:rPr>
              <w:t>曹村开发区</w:t>
            </w:r>
          </w:p>
        </w:tc>
        <w:tc>
          <w:tcPr>
            <w:tcW w:w="1250" w:type="pct"/>
            <w:noWrap w:val="0"/>
            <w:vAlign w:val="center"/>
          </w:tcPr>
          <w:p w14:paraId="6D0C26A2">
            <w:pPr>
              <w:widowControl w:val="0"/>
              <w:jc w:val="center"/>
              <w:rPr>
                <w:rFonts w:hint="eastAsia" w:eastAsia="楷体_GB2312"/>
                <w:sz w:val="24"/>
              </w:rPr>
            </w:pPr>
            <w:r>
              <w:rPr>
                <w:rFonts w:hint="eastAsia" w:eastAsia="楷体_GB2312"/>
                <w:sz w:val="24"/>
              </w:rPr>
              <w:t>11.45（指导价范围）</w:t>
            </w:r>
          </w:p>
        </w:tc>
        <w:tc>
          <w:tcPr>
            <w:tcW w:w="1172" w:type="pct"/>
            <w:noWrap w:val="0"/>
            <w:vAlign w:val="center"/>
          </w:tcPr>
          <w:p w14:paraId="2C813446">
            <w:pPr>
              <w:jc w:val="center"/>
              <w:rPr>
                <w:rFonts w:hint="eastAsia" w:eastAsia="楷体_GB2312"/>
                <w:kern w:val="0"/>
                <w:sz w:val="24"/>
              </w:rPr>
            </w:pPr>
            <w:r>
              <w:rPr>
                <w:rFonts w:hint="eastAsia" w:eastAsia="楷体_GB2312"/>
                <w:kern w:val="0"/>
                <w:sz w:val="24"/>
              </w:rPr>
              <w:t>13.57</w:t>
            </w:r>
          </w:p>
        </w:tc>
        <w:tc>
          <w:tcPr>
            <w:tcW w:w="1327" w:type="pct"/>
            <w:noWrap w:val="0"/>
            <w:vAlign w:val="top"/>
          </w:tcPr>
          <w:p w14:paraId="46EEA9E1">
            <w:pPr>
              <w:jc w:val="center"/>
              <w:rPr>
                <w:rFonts w:hint="eastAsia" w:eastAsia="楷体_GB2312"/>
                <w:kern w:val="0"/>
                <w:sz w:val="24"/>
              </w:rPr>
            </w:pPr>
            <w:r>
              <w:rPr>
                <w:rFonts w:hint="eastAsia" w:eastAsia="楷体_GB2312"/>
                <w:kern w:val="0"/>
                <w:sz w:val="24"/>
              </w:rPr>
              <w:t>12.28</w:t>
            </w:r>
          </w:p>
        </w:tc>
      </w:tr>
      <w:tr w14:paraId="31DA5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5" w:type="pct"/>
            <w:noWrap w:val="0"/>
            <w:vAlign w:val="center"/>
          </w:tcPr>
          <w:p w14:paraId="3598D875">
            <w:pPr>
              <w:spacing w:line="320" w:lineRule="exact"/>
              <w:jc w:val="center"/>
              <w:rPr>
                <w:rFonts w:hint="eastAsia" w:eastAsia="楷体_GB2312"/>
                <w:spacing w:val="-20"/>
                <w:sz w:val="24"/>
              </w:rPr>
            </w:pPr>
            <w:r>
              <w:rPr>
                <w:rFonts w:hint="eastAsia" w:eastAsia="楷体_GB2312"/>
                <w:spacing w:val="-20"/>
                <w:sz w:val="24"/>
              </w:rPr>
              <w:t>24</w:t>
            </w:r>
          </w:p>
        </w:tc>
        <w:tc>
          <w:tcPr>
            <w:tcW w:w="946" w:type="pct"/>
            <w:noWrap w:val="0"/>
            <w:vAlign w:val="center"/>
          </w:tcPr>
          <w:p w14:paraId="34E54BD9">
            <w:pPr>
              <w:pStyle w:val="20"/>
              <w:jc w:val="center"/>
              <w:rPr>
                <w:rFonts w:ascii="Times New Roman" w:hAnsi="Times New Roman" w:eastAsia="楷体_GB2312"/>
                <w:sz w:val="24"/>
                <w:szCs w:val="24"/>
              </w:rPr>
            </w:pPr>
            <w:r>
              <w:rPr>
                <w:rFonts w:ascii="Times New Roman" w:hAnsi="Times New Roman" w:eastAsia="楷体_GB2312"/>
                <w:sz w:val="24"/>
                <w:szCs w:val="24"/>
              </w:rPr>
              <w:t>家具产业园区</w:t>
            </w:r>
          </w:p>
        </w:tc>
        <w:tc>
          <w:tcPr>
            <w:tcW w:w="1250" w:type="pct"/>
            <w:noWrap w:val="0"/>
            <w:vAlign w:val="center"/>
          </w:tcPr>
          <w:p w14:paraId="7CA6FF45">
            <w:pPr>
              <w:widowControl w:val="0"/>
              <w:jc w:val="center"/>
              <w:rPr>
                <w:rFonts w:hint="eastAsia" w:eastAsia="楷体_GB2312"/>
                <w:sz w:val="24"/>
              </w:rPr>
            </w:pPr>
            <w:r>
              <w:rPr>
                <w:rFonts w:hint="eastAsia" w:eastAsia="楷体_GB2312"/>
                <w:sz w:val="24"/>
              </w:rPr>
              <w:t>4.71（指导价范围）</w:t>
            </w:r>
          </w:p>
        </w:tc>
        <w:tc>
          <w:tcPr>
            <w:tcW w:w="1172" w:type="pct"/>
            <w:noWrap w:val="0"/>
            <w:vAlign w:val="center"/>
          </w:tcPr>
          <w:p w14:paraId="40EC3B73">
            <w:pPr>
              <w:jc w:val="center"/>
              <w:rPr>
                <w:rFonts w:hint="eastAsia" w:eastAsia="楷体_GB2312"/>
                <w:kern w:val="0"/>
                <w:sz w:val="24"/>
              </w:rPr>
            </w:pPr>
            <w:r>
              <w:rPr>
                <w:rFonts w:hint="eastAsia" w:eastAsia="楷体_GB2312"/>
                <w:kern w:val="0"/>
                <w:sz w:val="24"/>
              </w:rPr>
              <w:t>12.72</w:t>
            </w:r>
          </w:p>
        </w:tc>
        <w:tc>
          <w:tcPr>
            <w:tcW w:w="1327" w:type="pct"/>
            <w:noWrap w:val="0"/>
            <w:vAlign w:val="top"/>
          </w:tcPr>
          <w:p w14:paraId="369D4A77">
            <w:pPr>
              <w:jc w:val="center"/>
              <w:rPr>
                <w:rFonts w:hint="eastAsia" w:eastAsia="楷体_GB2312"/>
                <w:kern w:val="0"/>
                <w:sz w:val="24"/>
              </w:rPr>
            </w:pPr>
            <w:r>
              <w:rPr>
                <w:rFonts w:hint="eastAsia" w:eastAsia="楷体_GB2312"/>
                <w:kern w:val="0"/>
                <w:sz w:val="24"/>
              </w:rPr>
              <w:t>6.17</w:t>
            </w:r>
          </w:p>
        </w:tc>
      </w:tr>
      <w:tr w14:paraId="5B902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305" w:type="pct"/>
            <w:noWrap w:val="0"/>
            <w:vAlign w:val="center"/>
          </w:tcPr>
          <w:p w14:paraId="302EAA72">
            <w:pPr>
              <w:spacing w:line="320" w:lineRule="exact"/>
              <w:jc w:val="center"/>
              <w:rPr>
                <w:rFonts w:hint="eastAsia" w:eastAsia="楷体_GB2312"/>
                <w:spacing w:val="-20"/>
                <w:sz w:val="24"/>
              </w:rPr>
            </w:pPr>
            <w:r>
              <w:rPr>
                <w:rFonts w:hint="eastAsia" w:eastAsia="楷体_GB2312"/>
                <w:spacing w:val="-20"/>
                <w:sz w:val="24"/>
              </w:rPr>
              <w:t>24</w:t>
            </w:r>
          </w:p>
        </w:tc>
        <w:tc>
          <w:tcPr>
            <w:tcW w:w="946" w:type="pct"/>
            <w:noWrap w:val="0"/>
            <w:vAlign w:val="center"/>
          </w:tcPr>
          <w:p w14:paraId="1A82224B">
            <w:pPr>
              <w:pStyle w:val="20"/>
              <w:jc w:val="center"/>
              <w:rPr>
                <w:rFonts w:ascii="Times New Roman" w:hAnsi="Times New Roman" w:eastAsia="楷体_GB2312"/>
                <w:sz w:val="24"/>
                <w:szCs w:val="24"/>
              </w:rPr>
            </w:pPr>
            <w:r>
              <w:rPr>
                <w:rFonts w:ascii="Times New Roman" w:hAnsi="Times New Roman" w:eastAsia="楷体_GB2312"/>
                <w:sz w:val="24"/>
                <w:szCs w:val="24"/>
              </w:rPr>
              <w:t>农业示范园区</w:t>
            </w:r>
          </w:p>
        </w:tc>
        <w:tc>
          <w:tcPr>
            <w:tcW w:w="1250" w:type="pct"/>
            <w:noWrap w:val="0"/>
            <w:vAlign w:val="center"/>
          </w:tcPr>
          <w:p w14:paraId="40B32E29">
            <w:pPr>
              <w:widowControl w:val="0"/>
              <w:jc w:val="center"/>
              <w:rPr>
                <w:rFonts w:hint="eastAsia" w:eastAsia="楷体_GB2312"/>
                <w:sz w:val="24"/>
              </w:rPr>
            </w:pPr>
            <w:r>
              <w:rPr>
                <w:rFonts w:hint="eastAsia" w:eastAsia="楷体_GB2312"/>
                <w:sz w:val="24"/>
              </w:rPr>
              <w:t>9.13（指导价范围）</w:t>
            </w:r>
          </w:p>
        </w:tc>
        <w:tc>
          <w:tcPr>
            <w:tcW w:w="1172" w:type="pct"/>
            <w:noWrap w:val="0"/>
            <w:vAlign w:val="center"/>
          </w:tcPr>
          <w:p w14:paraId="3071CCF7">
            <w:pPr>
              <w:jc w:val="center"/>
              <w:rPr>
                <w:rFonts w:hint="eastAsia" w:eastAsia="楷体_GB2312"/>
                <w:kern w:val="0"/>
                <w:sz w:val="24"/>
              </w:rPr>
            </w:pPr>
            <w:r>
              <w:rPr>
                <w:rFonts w:hint="eastAsia" w:eastAsia="楷体_GB2312"/>
                <w:kern w:val="0"/>
                <w:sz w:val="24"/>
              </w:rPr>
              <w:t>13.64</w:t>
            </w:r>
          </w:p>
        </w:tc>
        <w:tc>
          <w:tcPr>
            <w:tcW w:w="1327" w:type="pct"/>
            <w:noWrap w:val="0"/>
            <w:vAlign w:val="top"/>
          </w:tcPr>
          <w:p w14:paraId="12A2A85B">
            <w:pPr>
              <w:jc w:val="center"/>
              <w:rPr>
                <w:rFonts w:hint="eastAsia" w:eastAsia="楷体_GB2312"/>
                <w:kern w:val="0"/>
                <w:sz w:val="24"/>
              </w:rPr>
            </w:pPr>
            <w:r>
              <w:rPr>
                <w:rFonts w:hint="eastAsia" w:eastAsia="楷体_GB2312"/>
                <w:kern w:val="0"/>
                <w:sz w:val="24"/>
              </w:rPr>
              <w:t>19.50</w:t>
            </w:r>
          </w:p>
        </w:tc>
      </w:tr>
    </w:tbl>
    <w:p w14:paraId="21C44598">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由各乡镇土地利用总体规划范围与定级范围对比说明表可以看出，所有乡镇的土地利用规划允许建设区和有条件建设区范围面积</w:t>
      </w:r>
      <w:r>
        <w:rPr>
          <w:rFonts w:hint="eastAsia" w:ascii="Times New Roman" w:hAnsi="Times New Roman" w:eastAsia="楷体_GB2312" w:cs="Times New Roman"/>
          <w:sz w:val="28"/>
        </w:rPr>
        <w:t>、集镇总体规划范围面积</w:t>
      </w:r>
      <w:r>
        <w:rPr>
          <w:rFonts w:ascii="Times New Roman" w:hAnsi="Times New Roman" w:eastAsia="楷体_GB2312" w:cs="Times New Roman"/>
          <w:sz w:val="28"/>
        </w:rPr>
        <w:t>均大于或等于定级范围的面积。</w:t>
      </w:r>
    </w:p>
    <w:p w14:paraId="00032FFA">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综上所述，本次</w:t>
      </w:r>
      <w:r>
        <w:rPr>
          <w:rFonts w:hint="eastAsia" w:ascii="楷体" w:hAnsi="楷体" w:eastAsia="楷体" w:cs="楷体_GB2312"/>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各乡镇土地定级范围的确定位于土地利用规划允许建设区和有条件建设区范围区域内。</w:t>
      </w:r>
    </w:p>
    <w:p w14:paraId="6663764F">
      <w:pPr>
        <w:pStyle w:val="20"/>
        <w:spacing w:line="480" w:lineRule="exact"/>
        <w:rPr>
          <w:rFonts w:hint="eastAsia" w:ascii="Times New Roman" w:hAnsi="Times New Roman" w:cs="Times New Roman"/>
          <w:b/>
          <w:sz w:val="28"/>
        </w:rPr>
      </w:pPr>
    </w:p>
    <w:p w14:paraId="47243E5B">
      <w:pPr>
        <w:pStyle w:val="20"/>
        <w:spacing w:line="480" w:lineRule="exact"/>
        <w:rPr>
          <w:rFonts w:ascii="Times New Roman" w:hAnsi="Times New Roman" w:cs="Times New Roman"/>
          <w:b/>
          <w:sz w:val="28"/>
        </w:rPr>
      </w:pPr>
      <w:r>
        <w:rPr>
          <w:rFonts w:ascii="Times New Roman" w:hAnsi="Times New Roman" w:cs="Times New Roman"/>
          <w:b/>
          <w:sz w:val="28"/>
        </w:rPr>
        <w:t>五、各乡镇土地定级范围</w:t>
      </w:r>
    </w:p>
    <w:p w14:paraId="09472CE0">
      <w:pPr>
        <w:pStyle w:val="20"/>
        <w:widowControl w:val="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本次</w:t>
      </w:r>
      <w:r>
        <w:rPr>
          <w:rFonts w:hint="eastAsia" w:ascii="楷体" w:hAnsi="楷体" w:eastAsia="楷体" w:cs="楷体_GB2312"/>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乡镇土地定级与基准地价更新工作范围的确定主要依据：各乡镇土地利用总体规划中建设用地的范围、集镇规划区范围</w:t>
      </w:r>
      <w:r>
        <w:rPr>
          <w:rFonts w:hint="eastAsia" w:ascii="Times New Roman" w:hAnsi="Times New Roman" w:eastAsia="楷体_GB2312" w:cs="Times New Roman"/>
          <w:sz w:val="28"/>
        </w:rPr>
        <w:t>、生态红线范围</w:t>
      </w:r>
      <w:r>
        <w:rPr>
          <w:rFonts w:ascii="Times New Roman" w:hAnsi="Times New Roman" w:eastAsia="楷体_GB2312" w:cs="Times New Roman"/>
          <w:sz w:val="28"/>
        </w:rPr>
        <w:t>，同时结合当地实际情况，由工作领导小组讨论，最终确定了各乡镇土地定级范围，定级范围满足各乡镇未来3年内的用地需要。</w:t>
      </w:r>
    </w:p>
    <w:p w14:paraId="29331B5A">
      <w:pPr>
        <w:spacing w:line="480" w:lineRule="exact"/>
        <w:jc w:val="center"/>
        <w:rPr>
          <w:sz w:val="36"/>
        </w:rPr>
      </w:pPr>
      <w:r>
        <w:rPr>
          <w:rFonts w:eastAsia="黑体"/>
          <w:sz w:val="28"/>
          <w:szCs w:val="21"/>
        </w:rPr>
        <w:t>表1-2-2  埇桥区各乡镇</w:t>
      </w:r>
      <w:r>
        <w:rPr>
          <w:rFonts w:hint="eastAsia" w:eastAsia="黑体"/>
          <w:sz w:val="28"/>
          <w:szCs w:val="21"/>
        </w:rPr>
        <w:t>及园区</w:t>
      </w:r>
      <w:r>
        <w:rPr>
          <w:rFonts w:eastAsia="黑体"/>
          <w:sz w:val="28"/>
          <w:szCs w:val="21"/>
        </w:rPr>
        <w:t>土地综合定级范围一览表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1108"/>
        <w:gridCol w:w="6323"/>
        <w:gridCol w:w="1132"/>
      </w:tblGrid>
      <w:tr w14:paraId="595F0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09" w:type="dxa"/>
            <w:noWrap w:val="0"/>
            <w:vAlign w:val="center"/>
          </w:tcPr>
          <w:p w14:paraId="5F1A83D0">
            <w:pPr>
              <w:widowControl w:val="0"/>
              <w:jc w:val="center"/>
              <w:rPr>
                <w:rFonts w:eastAsia="楷体_GB2312"/>
                <w:spacing w:val="-20"/>
                <w:szCs w:val="21"/>
              </w:rPr>
            </w:pPr>
            <w:r>
              <w:rPr>
                <w:rFonts w:eastAsia="楷体_GB2312"/>
                <w:spacing w:val="-20"/>
                <w:szCs w:val="21"/>
              </w:rPr>
              <w:t>编号</w:t>
            </w:r>
          </w:p>
        </w:tc>
        <w:tc>
          <w:tcPr>
            <w:tcW w:w="1108" w:type="dxa"/>
            <w:noWrap w:val="0"/>
            <w:vAlign w:val="center"/>
          </w:tcPr>
          <w:p w14:paraId="00F4043F">
            <w:pPr>
              <w:widowControl w:val="0"/>
              <w:jc w:val="center"/>
              <w:rPr>
                <w:rFonts w:eastAsia="楷体_GB2312"/>
                <w:spacing w:val="-20"/>
                <w:szCs w:val="21"/>
              </w:rPr>
            </w:pPr>
            <w:r>
              <w:rPr>
                <w:rFonts w:eastAsia="楷体_GB2312"/>
                <w:spacing w:val="-20"/>
                <w:szCs w:val="21"/>
              </w:rPr>
              <w:t>乡镇名称</w:t>
            </w:r>
          </w:p>
        </w:tc>
        <w:tc>
          <w:tcPr>
            <w:tcW w:w="6323" w:type="dxa"/>
            <w:noWrap w:val="0"/>
            <w:vAlign w:val="center"/>
          </w:tcPr>
          <w:p w14:paraId="738EB871">
            <w:pPr>
              <w:widowControl w:val="0"/>
              <w:jc w:val="center"/>
              <w:rPr>
                <w:rFonts w:eastAsia="楷体_GB2312"/>
                <w:spacing w:val="-20"/>
                <w:szCs w:val="21"/>
              </w:rPr>
            </w:pPr>
            <w:r>
              <w:rPr>
                <w:rFonts w:eastAsia="楷体_GB2312"/>
                <w:spacing w:val="-20"/>
                <w:szCs w:val="21"/>
              </w:rPr>
              <w:t>分布范围</w:t>
            </w:r>
          </w:p>
        </w:tc>
        <w:tc>
          <w:tcPr>
            <w:tcW w:w="1132" w:type="dxa"/>
            <w:noWrap w:val="0"/>
            <w:vAlign w:val="center"/>
          </w:tcPr>
          <w:p w14:paraId="6316C10E">
            <w:pPr>
              <w:widowControl w:val="0"/>
              <w:ind w:left="-105" w:leftChars="-50" w:right="-105" w:rightChars="-50"/>
              <w:jc w:val="center"/>
              <w:rPr>
                <w:rFonts w:eastAsia="楷体_GB2312"/>
                <w:spacing w:val="-20"/>
                <w:szCs w:val="21"/>
              </w:rPr>
            </w:pPr>
            <w:r>
              <w:rPr>
                <w:rFonts w:eastAsia="楷体_GB2312"/>
                <w:spacing w:val="-20"/>
                <w:szCs w:val="21"/>
              </w:rPr>
              <w:t>面积</w:t>
            </w:r>
          </w:p>
          <w:p w14:paraId="100B7403">
            <w:pPr>
              <w:widowControl w:val="0"/>
              <w:ind w:left="-105" w:leftChars="-50" w:right="-105" w:rightChars="-50"/>
              <w:jc w:val="center"/>
              <w:rPr>
                <w:rFonts w:eastAsia="楷体_GB2312"/>
                <w:spacing w:val="-20"/>
                <w:szCs w:val="21"/>
              </w:rPr>
            </w:pPr>
            <w:r>
              <w:rPr>
                <w:rFonts w:eastAsia="楷体_GB2312"/>
                <w:spacing w:val="-20"/>
                <w:szCs w:val="21"/>
              </w:rPr>
              <w:t>（平方公里）</w:t>
            </w:r>
          </w:p>
        </w:tc>
      </w:tr>
      <w:tr w14:paraId="75FE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1169B093">
            <w:pPr>
              <w:jc w:val="center"/>
              <w:rPr>
                <w:kern w:val="0"/>
                <w:szCs w:val="21"/>
              </w:rPr>
            </w:pPr>
            <w:r>
              <w:rPr>
                <w:kern w:val="0"/>
                <w:szCs w:val="21"/>
              </w:rPr>
              <w:t>1</w:t>
            </w:r>
          </w:p>
        </w:tc>
        <w:tc>
          <w:tcPr>
            <w:tcW w:w="1108" w:type="dxa"/>
            <w:noWrap w:val="0"/>
            <w:vAlign w:val="center"/>
          </w:tcPr>
          <w:p w14:paraId="247157C1">
            <w:pPr>
              <w:pStyle w:val="20"/>
              <w:jc w:val="center"/>
              <w:rPr>
                <w:rFonts w:ascii="Times New Roman" w:hAnsi="Times New Roman" w:eastAsia="楷体_GB2312"/>
              </w:rPr>
            </w:pPr>
            <w:r>
              <w:rPr>
                <w:rFonts w:ascii="Times New Roman" w:hAnsi="Times New Roman" w:eastAsia="楷体_GB2312"/>
              </w:rPr>
              <w:t>符离镇</w:t>
            </w:r>
          </w:p>
        </w:tc>
        <w:tc>
          <w:tcPr>
            <w:tcW w:w="6323" w:type="dxa"/>
            <w:noWrap w:val="0"/>
            <w:vAlign w:val="center"/>
          </w:tcPr>
          <w:p w14:paraId="57ECA9DC">
            <w:pPr>
              <w:pStyle w:val="20"/>
              <w:rPr>
                <w:rFonts w:ascii="Times New Roman" w:hAnsi="Times New Roman" w:eastAsia="楷体_GB2312"/>
              </w:rPr>
            </w:pPr>
            <w:r>
              <w:rPr>
                <w:rFonts w:ascii="Times New Roman" w:hAnsi="Times New Roman" w:eastAsia="楷体_GB2312"/>
              </w:rPr>
              <w:t>东至206国道，南至滨河路，西至拂晓大道，北至北环路、山前路、铁路线</w:t>
            </w:r>
          </w:p>
        </w:tc>
        <w:tc>
          <w:tcPr>
            <w:tcW w:w="1132" w:type="dxa"/>
            <w:noWrap w:val="0"/>
            <w:vAlign w:val="center"/>
          </w:tcPr>
          <w:p w14:paraId="30B5A457">
            <w:pPr>
              <w:pStyle w:val="20"/>
              <w:jc w:val="center"/>
              <w:rPr>
                <w:rFonts w:ascii="Times New Roman" w:hAnsi="Times New Roman" w:eastAsia="楷体_GB2312"/>
              </w:rPr>
            </w:pPr>
            <w:r>
              <w:rPr>
                <w:rFonts w:ascii="Times New Roman" w:hAnsi="Times New Roman" w:eastAsia="楷体_GB2312"/>
              </w:rPr>
              <w:t>17.12</w:t>
            </w:r>
          </w:p>
        </w:tc>
      </w:tr>
      <w:tr w14:paraId="36C87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2366783E">
            <w:pPr>
              <w:jc w:val="center"/>
              <w:rPr>
                <w:kern w:val="0"/>
                <w:szCs w:val="21"/>
              </w:rPr>
            </w:pPr>
            <w:r>
              <w:rPr>
                <w:kern w:val="0"/>
                <w:szCs w:val="21"/>
              </w:rPr>
              <w:t>2</w:t>
            </w:r>
          </w:p>
        </w:tc>
        <w:tc>
          <w:tcPr>
            <w:tcW w:w="1108" w:type="dxa"/>
            <w:noWrap w:val="0"/>
            <w:vAlign w:val="center"/>
          </w:tcPr>
          <w:p w14:paraId="13AD5416">
            <w:pPr>
              <w:pStyle w:val="20"/>
              <w:jc w:val="center"/>
              <w:rPr>
                <w:rFonts w:ascii="Times New Roman" w:hAnsi="Times New Roman" w:eastAsia="楷体_GB2312"/>
              </w:rPr>
            </w:pPr>
            <w:r>
              <w:rPr>
                <w:rFonts w:ascii="Times New Roman" w:hAnsi="Times New Roman" w:eastAsia="楷体_GB2312"/>
              </w:rPr>
              <w:t>朱仙庄镇</w:t>
            </w:r>
          </w:p>
        </w:tc>
        <w:tc>
          <w:tcPr>
            <w:tcW w:w="6323" w:type="dxa"/>
            <w:noWrap w:val="0"/>
            <w:vAlign w:val="center"/>
          </w:tcPr>
          <w:p w14:paraId="0C1925C8">
            <w:pPr>
              <w:pStyle w:val="20"/>
              <w:rPr>
                <w:rFonts w:ascii="Times New Roman" w:hAnsi="Times New Roman" w:eastAsia="楷体_GB2312"/>
              </w:rPr>
            </w:pPr>
            <w:r>
              <w:rPr>
                <w:rFonts w:ascii="Times New Roman" w:hAnsi="Times New Roman" w:eastAsia="楷体_GB2312"/>
              </w:rPr>
              <w:t>东至滨湖路、环湖路、东外环，南至汴河东路、金江路，西至二徐路，北至和顺路</w:t>
            </w:r>
          </w:p>
        </w:tc>
        <w:tc>
          <w:tcPr>
            <w:tcW w:w="1132" w:type="dxa"/>
            <w:noWrap w:val="0"/>
            <w:vAlign w:val="center"/>
          </w:tcPr>
          <w:p w14:paraId="2FE4381C">
            <w:pPr>
              <w:pStyle w:val="20"/>
              <w:jc w:val="center"/>
              <w:rPr>
                <w:rFonts w:ascii="Times New Roman" w:hAnsi="Times New Roman" w:eastAsia="楷体_GB2312"/>
              </w:rPr>
            </w:pPr>
            <w:r>
              <w:rPr>
                <w:rFonts w:ascii="Times New Roman" w:hAnsi="Times New Roman" w:eastAsia="楷体_GB2312"/>
              </w:rPr>
              <w:t>21.49</w:t>
            </w:r>
          </w:p>
        </w:tc>
      </w:tr>
      <w:tr w14:paraId="1CBDD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114475ED">
            <w:pPr>
              <w:jc w:val="center"/>
              <w:rPr>
                <w:kern w:val="0"/>
                <w:szCs w:val="21"/>
              </w:rPr>
            </w:pPr>
            <w:r>
              <w:rPr>
                <w:kern w:val="0"/>
                <w:szCs w:val="21"/>
              </w:rPr>
              <w:t>3</w:t>
            </w:r>
          </w:p>
        </w:tc>
        <w:tc>
          <w:tcPr>
            <w:tcW w:w="1108" w:type="dxa"/>
            <w:noWrap w:val="0"/>
            <w:vAlign w:val="center"/>
          </w:tcPr>
          <w:p w14:paraId="045790C8">
            <w:pPr>
              <w:pStyle w:val="20"/>
              <w:jc w:val="center"/>
              <w:rPr>
                <w:rFonts w:ascii="Times New Roman" w:hAnsi="Times New Roman" w:eastAsia="楷体_GB2312"/>
              </w:rPr>
            </w:pPr>
            <w:r>
              <w:rPr>
                <w:rFonts w:ascii="Times New Roman" w:hAnsi="Times New Roman" w:eastAsia="楷体_GB2312"/>
              </w:rPr>
              <w:t>蕲县镇</w:t>
            </w:r>
          </w:p>
        </w:tc>
        <w:tc>
          <w:tcPr>
            <w:tcW w:w="6323" w:type="dxa"/>
            <w:noWrap w:val="0"/>
            <w:vAlign w:val="center"/>
          </w:tcPr>
          <w:p w14:paraId="49CCFE83">
            <w:pPr>
              <w:pStyle w:val="20"/>
              <w:rPr>
                <w:rFonts w:ascii="Times New Roman" w:hAnsi="Times New Roman" w:eastAsia="楷体_GB2312"/>
              </w:rPr>
            </w:pPr>
            <w:r>
              <w:rPr>
                <w:rFonts w:ascii="Times New Roman" w:hAnsi="Times New Roman" w:eastAsia="楷体_GB2312"/>
              </w:rPr>
              <w:t>东至城东路，南至沿浍路、厂矿路，西至浍河、文苑路、老街路、206国道，北至金浍路、鸿鹄路北侧</w:t>
            </w:r>
          </w:p>
        </w:tc>
        <w:tc>
          <w:tcPr>
            <w:tcW w:w="1132" w:type="dxa"/>
            <w:noWrap w:val="0"/>
            <w:vAlign w:val="center"/>
          </w:tcPr>
          <w:p w14:paraId="225EF8E8">
            <w:pPr>
              <w:pStyle w:val="20"/>
              <w:jc w:val="center"/>
              <w:rPr>
                <w:rFonts w:ascii="Times New Roman" w:hAnsi="Times New Roman" w:eastAsia="楷体_GB2312"/>
              </w:rPr>
            </w:pPr>
            <w:r>
              <w:rPr>
                <w:rFonts w:ascii="Times New Roman" w:hAnsi="Times New Roman" w:eastAsia="楷体_GB2312"/>
              </w:rPr>
              <w:t>5.59</w:t>
            </w:r>
          </w:p>
        </w:tc>
      </w:tr>
      <w:tr w14:paraId="331C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61F917C9">
            <w:pPr>
              <w:jc w:val="center"/>
              <w:rPr>
                <w:kern w:val="0"/>
                <w:szCs w:val="21"/>
              </w:rPr>
            </w:pPr>
            <w:r>
              <w:rPr>
                <w:kern w:val="0"/>
                <w:szCs w:val="21"/>
              </w:rPr>
              <w:t>4</w:t>
            </w:r>
          </w:p>
        </w:tc>
        <w:tc>
          <w:tcPr>
            <w:tcW w:w="1108" w:type="dxa"/>
            <w:noWrap w:val="0"/>
            <w:vAlign w:val="center"/>
          </w:tcPr>
          <w:p w14:paraId="64B32B1D">
            <w:pPr>
              <w:pStyle w:val="20"/>
              <w:jc w:val="center"/>
              <w:rPr>
                <w:rFonts w:ascii="Times New Roman" w:hAnsi="Times New Roman" w:eastAsia="楷体_GB2312"/>
              </w:rPr>
            </w:pPr>
            <w:r>
              <w:rPr>
                <w:rFonts w:ascii="Times New Roman" w:hAnsi="Times New Roman" w:eastAsia="楷体_GB2312"/>
              </w:rPr>
              <w:t>芦岭镇</w:t>
            </w:r>
          </w:p>
        </w:tc>
        <w:tc>
          <w:tcPr>
            <w:tcW w:w="6323" w:type="dxa"/>
            <w:noWrap w:val="0"/>
            <w:vAlign w:val="center"/>
          </w:tcPr>
          <w:p w14:paraId="499D882E">
            <w:pPr>
              <w:pStyle w:val="20"/>
              <w:rPr>
                <w:rFonts w:ascii="Times New Roman" w:hAnsi="Times New Roman" w:eastAsia="楷体_GB2312"/>
              </w:rPr>
            </w:pPr>
            <w:r>
              <w:rPr>
                <w:rFonts w:ascii="Times New Roman" w:hAnsi="Times New Roman" w:eastAsia="楷体_GB2312"/>
              </w:rPr>
              <w:t>东至东城路、工人街，南至陵园路、市场路、罗岭路，西至西环路、文明路，北至滨河路</w:t>
            </w:r>
          </w:p>
        </w:tc>
        <w:tc>
          <w:tcPr>
            <w:tcW w:w="1132" w:type="dxa"/>
            <w:noWrap w:val="0"/>
            <w:vAlign w:val="center"/>
          </w:tcPr>
          <w:p w14:paraId="223475C2">
            <w:pPr>
              <w:pStyle w:val="20"/>
              <w:jc w:val="center"/>
              <w:rPr>
                <w:rFonts w:ascii="Times New Roman" w:hAnsi="Times New Roman" w:eastAsia="楷体_GB2312"/>
              </w:rPr>
            </w:pPr>
            <w:r>
              <w:rPr>
                <w:rFonts w:ascii="Times New Roman" w:hAnsi="Times New Roman" w:eastAsia="楷体_GB2312"/>
              </w:rPr>
              <w:t>3.65</w:t>
            </w:r>
          </w:p>
        </w:tc>
      </w:tr>
      <w:tr w14:paraId="4F3B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659B0D4E">
            <w:pPr>
              <w:jc w:val="center"/>
              <w:rPr>
                <w:kern w:val="0"/>
                <w:szCs w:val="21"/>
              </w:rPr>
            </w:pPr>
            <w:r>
              <w:rPr>
                <w:kern w:val="0"/>
                <w:szCs w:val="21"/>
              </w:rPr>
              <w:t>5</w:t>
            </w:r>
          </w:p>
        </w:tc>
        <w:tc>
          <w:tcPr>
            <w:tcW w:w="1108" w:type="dxa"/>
            <w:noWrap w:val="0"/>
            <w:vAlign w:val="center"/>
          </w:tcPr>
          <w:p w14:paraId="50FEC6E9">
            <w:pPr>
              <w:pStyle w:val="20"/>
              <w:jc w:val="center"/>
              <w:rPr>
                <w:rFonts w:ascii="Times New Roman" w:hAnsi="Times New Roman" w:eastAsia="楷体_GB2312"/>
              </w:rPr>
            </w:pPr>
            <w:r>
              <w:rPr>
                <w:rFonts w:ascii="Times New Roman" w:hAnsi="Times New Roman" w:eastAsia="楷体_GB2312"/>
              </w:rPr>
              <w:t>大店镇</w:t>
            </w:r>
          </w:p>
        </w:tc>
        <w:tc>
          <w:tcPr>
            <w:tcW w:w="6323" w:type="dxa"/>
            <w:noWrap w:val="0"/>
            <w:vAlign w:val="center"/>
          </w:tcPr>
          <w:p w14:paraId="7D3B9B51">
            <w:pPr>
              <w:pStyle w:val="20"/>
              <w:rPr>
                <w:rFonts w:ascii="Times New Roman" w:hAnsi="Times New Roman" w:eastAsia="楷体_GB2312"/>
              </w:rPr>
            </w:pPr>
            <w:r>
              <w:rPr>
                <w:rFonts w:ascii="Times New Roman" w:hAnsi="Times New Roman" w:eastAsia="楷体_GB2312"/>
              </w:rPr>
              <w:t>东至东环路，南至南环路、工业南路，西至西公路、幸福路、西昌路，北至303省道</w:t>
            </w:r>
          </w:p>
        </w:tc>
        <w:tc>
          <w:tcPr>
            <w:tcW w:w="1132" w:type="dxa"/>
            <w:noWrap w:val="0"/>
            <w:vAlign w:val="center"/>
          </w:tcPr>
          <w:p w14:paraId="0E860CDB">
            <w:pPr>
              <w:pStyle w:val="20"/>
              <w:jc w:val="center"/>
              <w:rPr>
                <w:rFonts w:ascii="Times New Roman" w:hAnsi="Times New Roman" w:eastAsia="楷体_GB2312"/>
              </w:rPr>
            </w:pPr>
            <w:r>
              <w:rPr>
                <w:rFonts w:ascii="Times New Roman" w:hAnsi="Times New Roman" w:eastAsia="楷体_GB2312"/>
              </w:rPr>
              <w:t>2.01</w:t>
            </w:r>
          </w:p>
        </w:tc>
      </w:tr>
      <w:tr w14:paraId="6A425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3F64713C">
            <w:pPr>
              <w:jc w:val="center"/>
              <w:rPr>
                <w:kern w:val="0"/>
                <w:szCs w:val="21"/>
              </w:rPr>
            </w:pPr>
            <w:r>
              <w:rPr>
                <w:kern w:val="0"/>
                <w:szCs w:val="21"/>
              </w:rPr>
              <w:t>6</w:t>
            </w:r>
          </w:p>
        </w:tc>
        <w:tc>
          <w:tcPr>
            <w:tcW w:w="1108" w:type="dxa"/>
            <w:noWrap w:val="0"/>
            <w:vAlign w:val="center"/>
          </w:tcPr>
          <w:p w14:paraId="20A97299">
            <w:pPr>
              <w:pStyle w:val="20"/>
              <w:jc w:val="center"/>
              <w:rPr>
                <w:rFonts w:ascii="Times New Roman" w:hAnsi="Times New Roman" w:eastAsia="楷体_GB2312"/>
              </w:rPr>
            </w:pPr>
            <w:r>
              <w:rPr>
                <w:rFonts w:ascii="Times New Roman" w:hAnsi="Times New Roman" w:eastAsia="楷体_GB2312"/>
              </w:rPr>
              <w:t>栏杆镇</w:t>
            </w:r>
          </w:p>
        </w:tc>
        <w:tc>
          <w:tcPr>
            <w:tcW w:w="6323" w:type="dxa"/>
            <w:noWrap w:val="0"/>
            <w:vAlign w:val="center"/>
          </w:tcPr>
          <w:p w14:paraId="701E356F">
            <w:pPr>
              <w:pStyle w:val="20"/>
              <w:rPr>
                <w:rFonts w:ascii="Times New Roman" w:hAnsi="Times New Roman" w:eastAsia="楷体_GB2312"/>
              </w:rPr>
            </w:pPr>
            <w:r>
              <w:rPr>
                <w:rFonts w:ascii="Times New Roman" w:hAnsi="Times New Roman" w:eastAsia="楷体_GB2312"/>
              </w:rPr>
              <w:t>区域一：东至东外环、文明路、功成路，南至科技大道南侧，西至滨河东路，北至德高路、北环路</w:t>
            </w:r>
          </w:p>
          <w:p w14:paraId="090FD401">
            <w:pPr>
              <w:pStyle w:val="20"/>
              <w:rPr>
                <w:rFonts w:ascii="Times New Roman" w:hAnsi="Times New Roman" w:eastAsia="楷体_GB2312"/>
              </w:rPr>
            </w:pPr>
            <w:r>
              <w:rPr>
                <w:rFonts w:ascii="Times New Roman" w:hAnsi="Times New Roman" w:eastAsia="楷体_GB2312"/>
              </w:rPr>
              <w:t>区域二：东至滨河西路，南至科技大道，西至幸福路，北至北环路、040乡道</w:t>
            </w:r>
          </w:p>
        </w:tc>
        <w:tc>
          <w:tcPr>
            <w:tcW w:w="1132" w:type="dxa"/>
            <w:noWrap w:val="0"/>
            <w:vAlign w:val="center"/>
          </w:tcPr>
          <w:p w14:paraId="11FDC958">
            <w:pPr>
              <w:pStyle w:val="20"/>
              <w:jc w:val="center"/>
              <w:rPr>
                <w:rFonts w:ascii="Times New Roman" w:hAnsi="Times New Roman" w:eastAsia="楷体_GB2312"/>
              </w:rPr>
            </w:pPr>
            <w:r>
              <w:rPr>
                <w:rFonts w:ascii="Times New Roman" w:hAnsi="Times New Roman" w:eastAsia="楷体_GB2312"/>
              </w:rPr>
              <w:t>2.35</w:t>
            </w:r>
          </w:p>
        </w:tc>
      </w:tr>
      <w:tr w14:paraId="2616F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2735154D">
            <w:pPr>
              <w:jc w:val="center"/>
              <w:rPr>
                <w:kern w:val="0"/>
                <w:szCs w:val="21"/>
              </w:rPr>
            </w:pPr>
            <w:r>
              <w:rPr>
                <w:kern w:val="0"/>
                <w:szCs w:val="21"/>
              </w:rPr>
              <w:t>7</w:t>
            </w:r>
          </w:p>
        </w:tc>
        <w:tc>
          <w:tcPr>
            <w:tcW w:w="1108" w:type="dxa"/>
            <w:noWrap w:val="0"/>
            <w:vAlign w:val="center"/>
          </w:tcPr>
          <w:p w14:paraId="52D88A4C">
            <w:pPr>
              <w:pStyle w:val="20"/>
              <w:jc w:val="center"/>
              <w:rPr>
                <w:rFonts w:ascii="Times New Roman" w:hAnsi="Times New Roman" w:eastAsia="楷体_GB2312"/>
              </w:rPr>
            </w:pPr>
            <w:r>
              <w:rPr>
                <w:rFonts w:ascii="Times New Roman" w:hAnsi="Times New Roman" w:eastAsia="楷体_GB2312"/>
              </w:rPr>
              <w:t>时村镇</w:t>
            </w:r>
          </w:p>
        </w:tc>
        <w:tc>
          <w:tcPr>
            <w:tcW w:w="6323" w:type="dxa"/>
            <w:noWrap w:val="0"/>
            <w:vAlign w:val="center"/>
          </w:tcPr>
          <w:p w14:paraId="7A3D9DBB">
            <w:pPr>
              <w:pStyle w:val="20"/>
              <w:rPr>
                <w:rFonts w:ascii="Times New Roman" w:hAnsi="Times New Roman" w:eastAsia="楷体_GB2312"/>
              </w:rPr>
            </w:pPr>
            <w:r>
              <w:rPr>
                <w:rFonts w:ascii="Times New Roman" w:hAnsi="Times New Roman" w:eastAsia="楷体_GB2312"/>
              </w:rPr>
              <w:t>东至环城东路，南至302省道、环城南路，西至富强路、环城西路，北至环城北路</w:t>
            </w:r>
            <w:r>
              <w:rPr>
                <w:rFonts w:hint="eastAsia" w:ascii="Times New Roman" w:hAnsi="Times New Roman" w:eastAsia="楷体_GB2312"/>
              </w:rPr>
              <w:t>、奎河南岸</w:t>
            </w:r>
          </w:p>
        </w:tc>
        <w:tc>
          <w:tcPr>
            <w:tcW w:w="1132" w:type="dxa"/>
            <w:noWrap w:val="0"/>
            <w:vAlign w:val="center"/>
          </w:tcPr>
          <w:p w14:paraId="5D844CFF">
            <w:pPr>
              <w:pStyle w:val="20"/>
              <w:jc w:val="center"/>
              <w:rPr>
                <w:rFonts w:ascii="Times New Roman" w:hAnsi="Times New Roman" w:eastAsia="楷体_GB2312"/>
              </w:rPr>
            </w:pPr>
            <w:r>
              <w:rPr>
                <w:rFonts w:hint="eastAsia" w:ascii="Times New Roman" w:hAnsi="Times New Roman" w:eastAsia="楷体_GB2312"/>
              </w:rPr>
              <w:t>4.00</w:t>
            </w:r>
          </w:p>
        </w:tc>
      </w:tr>
      <w:tr w14:paraId="42954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350C0121">
            <w:pPr>
              <w:jc w:val="center"/>
              <w:rPr>
                <w:kern w:val="0"/>
                <w:szCs w:val="21"/>
              </w:rPr>
            </w:pPr>
            <w:r>
              <w:rPr>
                <w:kern w:val="0"/>
                <w:szCs w:val="21"/>
              </w:rPr>
              <w:t>8</w:t>
            </w:r>
          </w:p>
        </w:tc>
        <w:tc>
          <w:tcPr>
            <w:tcW w:w="1108" w:type="dxa"/>
            <w:noWrap w:val="0"/>
            <w:vAlign w:val="center"/>
          </w:tcPr>
          <w:p w14:paraId="676D4449">
            <w:pPr>
              <w:pStyle w:val="20"/>
              <w:jc w:val="center"/>
              <w:rPr>
                <w:rFonts w:ascii="Times New Roman" w:hAnsi="Times New Roman" w:eastAsia="楷体_GB2312"/>
              </w:rPr>
            </w:pPr>
            <w:r>
              <w:rPr>
                <w:rFonts w:ascii="Times New Roman" w:hAnsi="Times New Roman" w:eastAsia="楷体_GB2312"/>
              </w:rPr>
              <w:t>夹沟镇</w:t>
            </w:r>
          </w:p>
        </w:tc>
        <w:tc>
          <w:tcPr>
            <w:tcW w:w="6323" w:type="dxa"/>
            <w:noWrap w:val="0"/>
            <w:vAlign w:val="center"/>
          </w:tcPr>
          <w:p w14:paraId="1424F5E2">
            <w:pPr>
              <w:pStyle w:val="20"/>
              <w:rPr>
                <w:rFonts w:ascii="Times New Roman" w:hAnsi="Times New Roman" w:eastAsia="楷体_GB2312"/>
              </w:rPr>
            </w:pPr>
            <w:r>
              <w:rPr>
                <w:rFonts w:ascii="Times New Roman" w:hAnsi="Times New Roman" w:eastAsia="楷体_GB2312"/>
              </w:rPr>
              <w:t>东至东三路、东一路东侧，南至环镇路，西至津浦铁路，北至沿河路、206国道北侧</w:t>
            </w:r>
          </w:p>
        </w:tc>
        <w:tc>
          <w:tcPr>
            <w:tcW w:w="1132" w:type="dxa"/>
            <w:noWrap w:val="0"/>
            <w:vAlign w:val="center"/>
          </w:tcPr>
          <w:p w14:paraId="39DCDB9F">
            <w:pPr>
              <w:pStyle w:val="20"/>
              <w:jc w:val="center"/>
              <w:rPr>
                <w:rFonts w:ascii="Times New Roman" w:hAnsi="Times New Roman" w:eastAsia="楷体_GB2312"/>
              </w:rPr>
            </w:pPr>
            <w:r>
              <w:rPr>
                <w:rFonts w:hint="eastAsia" w:ascii="Times New Roman" w:hAnsi="Times New Roman" w:eastAsia="楷体_GB2312"/>
              </w:rPr>
              <w:t>2.20</w:t>
            </w:r>
          </w:p>
        </w:tc>
      </w:tr>
      <w:tr w14:paraId="361C3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2140AF8E">
            <w:pPr>
              <w:jc w:val="center"/>
              <w:rPr>
                <w:kern w:val="0"/>
                <w:szCs w:val="21"/>
              </w:rPr>
            </w:pPr>
            <w:r>
              <w:rPr>
                <w:kern w:val="0"/>
                <w:szCs w:val="21"/>
              </w:rPr>
              <w:t>9</w:t>
            </w:r>
          </w:p>
        </w:tc>
        <w:tc>
          <w:tcPr>
            <w:tcW w:w="1108" w:type="dxa"/>
            <w:noWrap w:val="0"/>
            <w:vAlign w:val="center"/>
          </w:tcPr>
          <w:p w14:paraId="7E9B123F">
            <w:pPr>
              <w:pStyle w:val="20"/>
              <w:jc w:val="center"/>
              <w:rPr>
                <w:rFonts w:ascii="Times New Roman" w:hAnsi="Times New Roman" w:eastAsia="楷体_GB2312"/>
              </w:rPr>
            </w:pPr>
            <w:r>
              <w:rPr>
                <w:rFonts w:ascii="Times New Roman" w:hAnsi="Times New Roman" w:eastAsia="楷体_GB2312"/>
              </w:rPr>
              <w:t>西二铺乡</w:t>
            </w:r>
          </w:p>
        </w:tc>
        <w:tc>
          <w:tcPr>
            <w:tcW w:w="6323" w:type="dxa"/>
            <w:noWrap w:val="0"/>
            <w:vAlign w:val="center"/>
          </w:tcPr>
          <w:p w14:paraId="7CF79BA5">
            <w:pPr>
              <w:pStyle w:val="20"/>
              <w:rPr>
                <w:rFonts w:ascii="Times New Roman" w:hAnsi="Times New Roman" w:eastAsia="楷体_GB2312"/>
              </w:rPr>
            </w:pPr>
            <w:r>
              <w:rPr>
                <w:rFonts w:ascii="Times New Roman" w:hAnsi="Times New Roman" w:eastAsia="楷体_GB2312"/>
              </w:rPr>
              <w:t>东至盛大路，南至福顺路，西至薛堂路，北至吕黄路</w:t>
            </w:r>
          </w:p>
        </w:tc>
        <w:tc>
          <w:tcPr>
            <w:tcW w:w="1132" w:type="dxa"/>
            <w:noWrap w:val="0"/>
            <w:vAlign w:val="center"/>
          </w:tcPr>
          <w:p w14:paraId="6C98C1D8">
            <w:pPr>
              <w:pStyle w:val="20"/>
              <w:jc w:val="center"/>
              <w:rPr>
                <w:rFonts w:ascii="Times New Roman" w:hAnsi="Times New Roman" w:eastAsia="楷体_GB2312"/>
              </w:rPr>
            </w:pPr>
            <w:r>
              <w:rPr>
                <w:rFonts w:ascii="Times New Roman" w:hAnsi="Times New Roman" w:eastAsia="楷体_GB2312"/>
              </w:rPr>
              <w:t>1.32</w:t>
            </w:r>
          </w:p>
        </w:tc>
      </w:tr>
      <w:tr w14:paraId="2935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7F5613F4">
            <w:pPr>
              <w:jc w:val="center"/>
              <w:rPr>
                <w:kern w:val="0"/>
                <w:szCs w:val="21"/>
              </w:rPr>
            </w:pPr>
            <w:r>
              <w:rPr>
                <w:kern w:val="0"/>
                <w:szCs w:val="21"/>
              </w:rPr>
              <w:t>10</w:t>
            </w:r>
          </w:p>
        </w:tc>
        <w:tc>
          <w:tcPr>
            <w:tcW w:w="1108" w:type="dxa"/>
            <w:noWrap w:val="0"/>
            <w:vAlign w:val="center"/>
          </w:tcPr>
          <w:p w14:paraId="027F536A">
            <w:pPr>
              <w:pStyle w:val="20"/>
              <w:jc w:val="center"/>
              <w:rPr>
                <w:rFonts w:ascii="Times New Roman" w:hAnsi="Times New Roman" w:eastAsia="楷体_GB2312"/>
              </w:rPr>
            </w:pPr>
            <w:r>
              <w:rPr>
                <w:rFonts w:ascii="Times New Roman" w:hAnsi="Times New Roman" w:eastAsia="楷体_GB2312"/>
              </w:rPr>
              <w:t>桃园镇</w:t>
            </w:r>
          </w:p>
        </w:tc>
        <w:tc>
          <w:tcPr>
            <w:tcW w:w="6323" w:type="dxa"/>
            <w:noWrap w:val="0"/>
            <w:vAlign w:val="center"/>
          </w:tcPr>
          <w:p w14:paraId="6494898B">
            <w:pPr>
              <w:pStyle w:val="20"/>
              <w:rPr>
                <w:rFonts w:ascii="Times New Roman" w:hAnsi="Times New Roman" w:eastAsia="楷体_GB2312"/>
              </w:rPr>
            </w:pPr>
            <w:r>
              <w:rPr>
                <w:rFonts w:ascii="Times New Roman" w:hAnsi="Times New Roman" w:eastAsia="楷体_GB2312"/>
              </w:rPr>
              <w:t>区域一：东至宿怀南路，南至孙寨路，西至运西路，北至新园路</w:t>
            </w:r>
          </w:p>
          <w:p w14:paraId="5409AACC">
            <w:pPr>
              <w:pStyle w:val="20"/>
              <w:rPr>
                <w:rFonts w:ascii="Times New Roman" w:hAnsi="Times New Roman" w:eastAsia="楷体_GB2312"/>
              </w:rPr>
            </w:pPr>
            <w:r>
              <w:rPr>
                <w:rFonts w:ascii="Times New Roman" w:hAnsi="Times New Roman" w:eastAsia="楷体_GB2312"/>
              </w:rPr>
              <w:t>区域二：东至杨寨路、临水路，南至交通路，西至广场路，北至桃北路</w:t>
            </w:r>
          </w:p>
        </w:tc>
        <w:tc>
          <w:tcPr>
            <w:tcW w:w="1132" w:type="dxa"/>
            <w:noWrap w:val="0"/>
            <w:vAlign w:val="center"/>
          </w:tcPr>
          <w:p w14:paraId="5E8ABB7F">
            <w:pPr>
              <w:pStyle w:val="20"/>
              <w:jc w:val="center"/>
              <w:rPr>
                <w:rFonts w:ascii="Times New Roman" w:hAnsi="Times New Roman" w:eastAsia="楷体_GB2312"/>
              </w:rPr>
            </w:pPr>
            <w:r>
              <w:rPr>
                <w:rFonts w:ascii="Times New Roman" w:hAnsi="Times New Roman" w:eastAsia="楷体_GB2312"/>
              </w:rPr>
              <w:t>3.70</w:t>
            </w:r>
          </w:p>
        </w:tc>
      </w:tr>
      <w:tr w14:paraId="0E13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71DDF1D5">
            <w:pPr>
              <w:jc w:val="center"/>
              <w:rPr>
                <w:kern w:val="0"/>
                <w:szCs w:val="21"/>
              </w:rPr>
            </w:pPr>
            <w:r>
              <w:rPr>
                <w:kern w:val="0"/>
                <w:szCs w:val="21"/>
              </w:rPr>
              <w:t>11</w:t>
            </w:r>
          </w:p>
        </w:tc>
        <w:tc>
          <w:tcPr>
            <w:tcW w:w="1108" w:type="dxa"/>
            <w:noWrap w:val="0"/>
            <w:vAlign w:val="center"/>
          </w:tcPr>
          <w:p w14:paraId="4D4CC6AF">
            <w:pPr>
              <w:pStyle w:val="20"/>
              <w:jc w:val="center"/>
              <w:rPr>
                <w:rFonts w:ascii="Times New Roman" w:hAnsi="Times New Roman" w:eastAsia="楷体_GB2312"/>
              </w:rPr>
            </w:pPr>
            <w:r>
              <w:rPr>
                <w:rFonts w:ascii="Times New Roman" w:hAnsi="Times New Roman" w:eastAsia="楷体_GB2312"/>
              </w:rPr>
              <w:t>曹村镇</w:t>
            </w:r>
          </w:p>
        </w:tc>
        <w:tc>
          <w:tcPr>
            <w:tcW w:w="6323" w:type="dxa"/>
            <w:noWrap w:val="0"/>
            <w:vAlign w:val="center"/>
          </w:tcPr>
          <w:p w14:paraId="7857F2D6">
            <w:pPr>
              <w:pStyle w:val="20"/>
              <w:rPr>
                <w:rFonts w:ascii="Times New Roman" w:hAnsi="Times New Roman" w:eastAsia="楷体_GB2312"/>
              </w:rPr>
            </w:pPr>
            <w:r>
              <w:rPr>
                <w:rFonts w:ascii="Times New Roman" w:hAnsi="Times New Roman" w:eastAsia="楷体_GB2312"/>
              </w:rPr>
              <w:t>区域一：东至镇东路、环东路，南至环南路，西至京沪铁路，北至环北路</w:t>
            </w:r>
          </w:p>
          <w:p w14:paraId="441CB0CB">
            <w:pPr>
              <w:pStyle w:val="20"/>
              <w:rPr>
                <w:rFonts w:ascii="Times New Roman" w:hAnsi="Times New Roman" w:eastAsia="楷体_GB2312"/>
              </w:rPr>
            </w:pPr>
            <w:r>
              <w:rPr>
                <w:rFonts w:ascii="Times New Roman" w:hAnsi="Times New Roman" w:eastAsia="楷体_GB2312"/>
              </w:rPr>
              <w:t>区域二：东至宏远加油站东侧，南至海螺水泥公司，西至京沪铁路东侧水系，北至曹村人民法庭南侧</w:t>
            </w:r>
          </w:p>
        </w:tc>
        <w:tc>
          <w:tcPr>
            <w:tcW w:w="1132" w:type="dxa"/>
            <w:noWrap w:val="0"/>
            <w:vAlign w:val="center"/>
          </w:tcPr>
          <w:p w14:paraId="0D879186">
            <w:pPr>
              <w:pStyle w:val="20"/>
              <w:jc w:val="center"/>
              <w:rPr>
                <w:rFonts w:ascii="Times New Roman" w:hAnsi="Times New Roman" w:eastAsia="楷体_GB2312"/>
              </w:rPr>
            </w:pPr>
            <w:r>
              <w:rPr>
                <w:rFonts w:ascii="Times New Roman" w:hAnsi="Times New Roman" w:eastAsia="楷体_GB2312"/>
              </w:rPr>
              <w:t>2.76</w:t>
            </w:r>
          </w:p>
        </w:tc>
      </w:tr>
      <w:tr w14:paraId="2CFD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646F8B4C">
            <w:pPr>
              <w:jc w:val="center"/>
              <w:rPr>
                <w:kern w:val="0"/>
                <w:szCs w:val="21"/>
              </w:rPr>
            </w:pPr>
            <w:r>
              <w:rPr>
                <w:kern w:val="0"/>
                <w:szCs w:val="21"/>
              </w:rPr>
              <w:t>12</w:t>
            </w:r>
          </w:p>
        </w:tc>
        <w:tc>
          <w:tcPr>
            <w:tcW w:w="1108" w:type="dxa"/>
            <w:noWrap w:val="0"/>
            <w:vAlign w:val="center"/>
          </w:tcPr>
          <w:p w14:paraId="13792DEC">
            <w:pPr>
              <w:pStyle w:val="20"/>
              <w:jc w:val="center"/>
              <w:rPr>
                <w:rFonts w:ascii="Times New Roman" w:hAnsi="Times New Roman" w:eastAsia="楷体_GB2312"/>
              </w:rPr>
            </w:pPr>
            <w:r>
              <w:rPr>
                <w:rFonts w:ascii="Times New Roman" w:hAnsi="Times New Roman" w:eastAsia="楷体_GB2312"/>
              </w:rPr>
              <w:t>大营镇</w:t>
            </w:r>
          </w:p>
        </w:tc>
        <w:tc>
          <w:tcPr>
            <w:tcW w:w="6323" w:type="dxa"/>
            <w:noWrap w:val="0"/>
            <w:vAlign w:val="center"/>
          </w:tcPr>
          <w:p w14:paraId="707A96D7">
            <w:pPr>
              <w:pStyle w:val="20"/>
              <w:rPr>
                <w:rFonts w:ascii="Times New Roman" w:hAnsi="Times New Roman" w:eastAsia="楷体_GB2312"/>
              </w:rPr>
            </w:pPr>
            <w:r>
              <w:rPr>
                <w:rFonts w:ascii="Times New Roman" w:hAnsi="Times New Roman" w:eastAsia="楷体_GB2312"/>
              </w:rPr>
              <w:t>东至兴大路、解放沟，南至南环路、滨河路，西至双龙沟，北至汾洪江、福田路南侧</w:t>
            </w:r>
          </w:p>
        </w:tc>
        <w:tc>
          <w:tcPr>
            <w:tcW w:w="1132" w:type="dxa"/>
            <w:noWrap w:val="0"/>
            <w:vAlign w:val="center"/>
          </w:tcPr>
          <w:p w14:paraId="3342DDA1">
            <w:pPr>
              <w:pStyle w:val="20"/>
              <w:jc w:val="center"/>
              <w:rPr>
                <w:rFonts w:ascii="Times New Roman" w:hAnsi="Times New Roman" w:eastAsia="楷体_GB2312"/>
              </w:rPr>
            </w:pPr>
            <w:r>
              <w:rPr>
                <w:rFonts w:ascii="Times New Roman" w:hAnsi="Times New Roman" w:eastAsia="楷体_GB2312"/>
              </w:rPr>
              <w:t>3.86</w:t>
            </w:r>
          </w:p>
        </w:tc>
      </w:tr>
      <w:tr w14:paraId="5B621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384ABFCA">
            <w:pPr>
              <w:jc w:val="center"/>
              <w:rPr>
                <w:kern w:val="0"/>
                <w:szCs w:val="21"/>
              </w:rPr>
            </w:pPr>
            <w:r>
              <w:rPr>
                <w:kern w:val="0"/>
                <w:szCs w:val="21"/>
              </w:rPr>
              <w:t>13</w:t>
            </w:r>
          </w:p>
        </w:tc>
        <w:tc>
          <w:tcPr>
            <w:tcW w:w="1108" w:type="dxa"/>
            <w:noWrap w:val="0"/>
            <w:vAlign w:val="center"/>
          </w:tcPr>
          <w:p w14:paraId="7C9820CC">
            <w:pPr>
              <w:pStyle w:val="20"/>
              <w:jc w:val="center"/>
              <w:rPr>
                <w:rFonts w:ascii="Times New Roman" w:hAnsi="Times New Roman" w:eastAsia="楷体_GB2312"/>
              </w:rPr>
            </w:pPr>
            <w:r>
              <w:rPr>
                <w:rFonts w:ascii="Times New Roman" w:hAnsi="Times New Roman" w:eastAsia="楷体_GB2312"/>
              </w:rPr>
              <w:t>褚兰镇</w:t>
            </w:r>
          </w:p>
        </w:tc>
        <w:tc>
          <w:tcPr>
            <w:tcW w:w="6323" w:type="dxa"/>
            <w:noWrap w:val="0"/>
            <w:vAlign w:val="center"/>
          </w:tcPr>
          <w:p w14:paraId="655104B7">
            <w:pPr>
              <w:pStyle w:val="20"/>
              <w:rPr>
                <w:rFonts w:ascii="Times New Roman" w:hAnsi="Times New Roman" w:eastAsia="楷体_GB2312"/>
              </w:rPr>
            </w:pPr>
            <w:r>
              <w:rPr>
                <w:rFonts w:ascii="Times New Roman" w:hAnsi="Times New Roman" w:eastAsia="楷体_GB2312"/>
              </w:rPr>
              <w:t>东至东外环，南至南外环、政府大街，西至西外环，北至北外环</w:t>
            </w:r>
          </w:p>
        </w:tc>
        <w:tc>
          <w:tcPr>
            <w:tcW w:w="1132" w:type="dxa"/>
            <w:noWrap w:val="0"/>
            <w:vAlign w:val="center"/>
          </w:tcPr>
          <w:p w14:paraId="458D06BA">
            <w:pPr>
              <w:pStyle w:val="20"/>
              <w:jc w:val="center"/>
              <w:rPr>
                <w:rFonts w:ascii="Times New Roman" w:hAnsi="Times New Roman" w:eastAsia="楷体_GB2312"/>
              </w:rPr>
            </w:pPr>
            <w:r>
              <w:rPr>
                <w:rFonts w:ascii="Times New Roman" w:hAnsi="Times New Roman" w:eastAsia="楷体_GB2312"/>
              </w:rPr>
              <w:t>2.19</w:t>
            </w:r>
          </w:p>
        </w:tc>
      </w:tr>
      <w:tr w14:paraId="3329B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37BD1E9F">
            <w:pPr>
              <w:jc w:val="center"/>
              <w:rPr>
                <w:kern w:val="0"/>
                <w:szCs w:val="21"/>
              </w:rPr>
            </w:pPr>
            <w:r>
              <w:rPr>
                <w:kern w:val="0"/>
                <w:szCs w:val="21"/>
              </w:rPr>
              <w:t>14</w:t>
            </w:r>
          </w:p>
        </w:tc>
        <w:tc>
          <w:tcPr>
            <w:tcW w:w="1108" w:type="dxa"/>
            <w:noWrap w:val="0"/>
            <w:vAlign w:val="center"/>
          </w:tcPr>
          <w:p w14:paraId="4B550259">
            <w:pPr>
              <w:pStyle w:val="20"/>
              <w:jc w:val="center"/>
              <w:rPr>
                <w:rFonts w:ascii="Times New Roman" w:hAnsi="Times New Roman" w:eastAsia="楷体_GB2312"/>
              </w:rPr>
            </w:pPr>
            <w:r>
              <w:rPr>
                <w:rFonts w:ascii="Times New Roman" w:hAnsi="Times New Roman" w:eastAsia="楷体_GB2312"/>
              </w:rPr>
              <w:t>顺河镇</w:t>
            </w:r>
          </w:p>
        </w:tc>
        <w:tc>
          <w:tcPr>
            <w:tcW w:w="6323" w:type="dxa"/>
            <w:noWrap w:val="0"/>
            <w:vAlign w:val="center"/>
          </w:tcPr>
          <w:p w14:paraId="3F0CE131">
            <w:pPr>
              <w:pStyle w:val="20"/>
              <w:rPr>
                <w:rFonts w:ascii="Times New Roman" w:hAnsi="Times New Roman" w:eastAsia="楷体_GB2312"/>
              </w:rPr>
            </w:pPr>
            <w:r>
              <w:rPr>
                <w:rFonts w:ascii="Times New Roman" w:hAnsi="Times New Roman" w:eastAsia="楷体_GB2312"/>
              </w:rPr>
              <w:t>东至万顺路，南至濉河北侧河堤，西至经八路西侧，北至302省道</w:t>
            </w:r>
          </w:p>
        </w:tc>
        <w:tc>
          <w:tcPr>
            <w:tcW w:w="1132" w:type="dxa"/>
            <w:noWrap w:val="0"/>
            <w:vAlign w:val="center"/>
          </w:tcPr>
          <w:p w14:paraId="0E241F31">
            <w:pPr>
              <w:pStyle w:val="20"/>
              <w:jc w:val="center"/>
              <w:rPr>
                <w:rFonts w:ascii="Times New Roman" w:hAnsi="Times New Roman" w:eastAsia="楷体_GB2312"/>
              </w:rPr>
            </w:pPr>
            <w:r>
              <w:rPr>
                <w:rFonts w:ascii="Times New Roman" w:hAnsi="Times New Roman" w:eastAsia="楷体_GB2312"/>
              </w:rPr>
              <w:t>4.68</w:t>
            </w:r>
          </w:p>
        </w:tc>
      </w:tr>
      <w:tr w14:paraId="2CBD8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22292D9A">
            <w:pPr>
              <w:jc w:val="center"/>
              <w:rPr>
                <w:kern w:val="0"/>
                <w:szCs w:val="21"/>
              </w:rPr>
            </w:pPr>
            <w:r>
              <w:rPr>
                <w:kern w:val="0"/>
                <w:szCs w:val="21"/>
              </w:rPr>
              <w:t>15</w:t>
            </w:r>
          </w:p>
        </w:tc>
        <w:tc>
          <w:tcPr>
            <w:tcW w:w="1108" w:type="dxa"/>
            <w:noWrap w:val="0"/>
            <w:vAlign w:val="center"/>
          </w:tcPr>
          <w:p w14:paraId="69E18CD2">
            <w:pPr>
              <w:pStyle w:val="20"/>
              <w:jc w:val="center"/>
              <w:rPr>
                <w:rFonts w:ascii="Times New Roman" w:hAnsi="Times New Roman" w:eastAsia="楷体_GB2312"/>
              </w:rPr>
            </w:pPr>
            <w:r>
              <w:rPr>
                <w:rFonts w:ascii="Times New Roman" w:hAnsi="Times New Roman" w:eastAsia="楷体_GB2312"/>
              </w:rPr>
              <w:t>杨庄镇</w:t>
            </w:r>
          </w:p>
        </w:tc>
        <w:tc>
          <w:tcPr>
            <w:tcW w:w="6323" w:type="dxa"/>
            <w:noWrap w:val="0"/>
            <w:vAlign w:val="center"/>
          </w:tcPr>
          <w:p w14:paraId="5447A903">
            <w:pPr>
              <w:pStyle w:val="20"/>
              <w:rPr>
                <w:rFonts w:ascii="Times New Roman" w:hAnsi="Times New Roman" w:eastAsia="楷体_GB2312"/>
              </w:rPr>
            </w:pPr>
            <w:r>
              <w:rPr>
                <w:rFonts w:ascii="Times New Roman" w:hAnsi="Times New Roman" w:eastAsia="楷体_GB2312"/>
              </w:rPr>
              <w:t>东至丰泰路、科技大道，南至人民路、曹褚路，西至西外环路，北至北外环路</w:t>
            </w:r>
          </w:p>
        </w:tc>
        <w:tc>
          <w:tcPr>
            <w:tcW w:w="1132" w:type="dxa"/>
            <w:noWrap w:val="0"/>
            <w:vAlign w:val="center"/>
          </w:tcPr>
          <w:p w14:paraId="03BD81FC">
            <w:pPr>
              <w:pStyle w:val="20"/>
              <w:jc w:val="center"/>
              <w:rPr>
                <w:rFonts w:ascii="Times New Roman" w:hAnsi="Times New Roman" w:eastAsia="楷体_GB2312"/>
              </w:rPr>
            </w:pPr>
            <w:r>
              <w:rPr>
                <w:rFonts w:ascii="Times New Roman" w:hAnsi="Times New Roman" w:eastAsia="楷体_GB2312"/>
              </w:rPr>
              <w:t>1.33</w:t>
            </w:r>
          </w:p>
        </w:tc>
      </w:tr>
      <w:tr w14:paraId="4FFA1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18E40988">
            <w:pPr>
              <w:jc w:val="center"/>
              <w:rPr>
                <w:kern w:val="0"/>
                <w:szCs w:val="21"/>
              </w:rPr>
            </w:pPr>
            <w:r>
              <w:rPr>
                <w:kern w:val="0"/>
                <w:szCs w:val="21"/>
              </w:rPr>
              <w:t>16</w:t>
            </w:r>
          </w:p>
        </w:tc>
        <w:tc>
          <w:tcPr>
            <w:tcW w:w="1108" w:type="dxa"/>
            <w:noWrap w:val="0"/>
            <w:vAlign w:val="center"/>
          </w:tcPr>
          <w:p w14:paraId="584A8BAA">
            <w:pPr>
              <w:pStyle w:val="20"/>
              <w:jc w:val="center"/>
              <w:rPr>
                <w:rFonts w:ascii="Times New Roman" w:hAnsi="Times New Roman" w:eastAsia="楷体_GB2312"/>
              </w:rPr>
            </w:pPr>
            <w:r>
              <w:rPr>
                <w:rFonts w:ascii="Times New Roman" w:hAnsi="Times New Roman" w:eastAsia="楷体_GB2312"/>
              </w:rPr>
              <w:t>永镇乡</w:t>
            </w:r>
          </w:p>
        </w:tc>
        <w:tc>
          <w:tcPr>
            <w:tcW w:w="6323" w:type="dxa"/>
            <w:noWrap w:val="0"/>
            <w:vAlign w:val="center"/>
          </w:tcPr>
          <w:p w14:paraId="363DDA6F">
            <w:pPr>
              <w:pStyle w:val="20"/>
              <w:rPr>
                <w:rFonts w:ascii="Times New Roman" w:hAnsi="Times New Roman" w:eastAsia="楷体_GB2312"/>
              </w:rPr>
            </w:pPr>
            <w:r>
              <w:rPr>
                <w:rFonts w:ascii="Times New Roman" w:hAnsi="Times New Roman" w:eastAsia="楷体_GB2312"/>
              </w:rPr>
              <w:t>东至永安路、永宜路，南至永荣路、永乐路，西至206国道、卫生院西侧，北至永胜路、永镇路、永尚路、永湖路</w:t>
            </w:r>
          </w:p>
        </w:tc>
        <w:tc>
          <w:tcPr>
            <w:tcW w:w="1132" w:type="dxa"/>
            <w:noWrap w:val="0"/>
            <w:vAlign w:val="center"/>
          </w:tcPr>
          <w:p w14:paraId="086D3E3F">
            <w:pPr>
              <w:pStyle w:val="20"/>
              <w:jc w:val="center"/>
              <w:rPr>
                <w:rFonts w:ascii="Times New Roman" w:hAnsi="Times New Roman" w:eastAsia="楷体_GB2312"/>
              </w:rPr>
            </w:pPr>
            <w:r>
              <w:rPr>
                <w:rFonts w:ascii="Times New Roman" w:hAnsi="Times New Roman" w:eastAsia="楷体_GB2312"/>
              </w:rPr>
              <w:t>1.38</w:t>
            </w:r>
          </w:p>
        </w:tc>
      </w:tr>
      <w:tr w14:paraId="107D8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7F8E21B4">
            <w:pPr>
              <w:jc w:val="center"/>
              <w:rPr>
                <w:kern w:val="0"/>
                <w:szCs w:val="21"/>
              </w:rPr>
            </w:pPr>
            <w:r>
              <w:rPr>
                <w:kern w:val="0"/>
                <w:szCs w:val="21"/>
              </w:rPr>
              <w:t>17</w:t>
            </w:r>
          </w:p>
        </w:tc>
        <w:tc>
          <w:tcPr>
            <w:tcW w:w="1108" w:type="dxa"/>
            <w:noWrap w:val="0"/>
            <w:vAlign w:val="center"/>
          </w:tcPr>
          <w:p w14:paraId="43B82B6A">
            <w:pPr>
              <w:pStyle w:val="20"/>
              <w:jc w:val="center"/>
              <w:rPr>
                <w:rFonts w:ascii="Times New Roman" w:hAnsi="Times New Roman" w:eastAsia="楷体_GB2312"/>
              </w:rPr>
            </w:pPr>
            <w:r>
              <w:rPr>
                <w:rFonts w:ascii="Times New Roman" w:hAnsi="Times New Roman" w:eastAsia="楷体_GB2312"/>
              </w:rPr>
              <w:t>解集镇</w:t>
            </w:r>
          </w:p>
        </w:tc>
        <w:tc>
          <w:tcPr>
            <w:tcW w:w="6323" w:type="dxa"/>
            <w:noWrap w:val="0"/>
            <w:vAlign w:val="center"/>
          </w:tcPr>
          <w:p w14:paraId="179F18B0">
            <w:pPr>
              <w:pStyle w:val="20"/>
              <w:rPr>
                <w:rFonts w:ascii="Times New Roman" w:hAnsi="Times New Roman" w:eastAsia="楷体_GB2312"/>
              </w:rPr>
            </w:pPr>
            <w:r>
              <w:rPr>
                <w:rFonts w:ascii="Times New Roman" w:hAnsi="Times New Roman" w:eastAsia="楷体_GB2312"/>
              </w:rPr>
              <w:t>东至东外环，南至新大街南侧、南外环北侧，西至河西路、拖尾河，北至山闵路</w:t>
            </w:r>
          </w:p>
        </w:tc>
        <w:tc>
          <w:tcPr>
            <w:tcW w:w="1132" w:type="dxa"/>
            <w:noWrap w:val="0"/>
            <w:vAlign w:val="center"/>
          </w:tcPr>
          <w:p w14:paraId="1D18170A">
            <w:pPr>
              <w:pStyle w:val="20"/>
              <w:jc w:val="center"/>
              <w:rPr>
                <w:rFonts w:ascii="Times New Roman" w:hAnsi="Times New Roman" w:eastAsia="楷体_GB2312"/>
              </w:rPr>
            </w:pPr>
            <w:r>
              <w:rPr>
                <w:rFonts w:ascii="Times New Roman" w:hAnsi="Times New Roman" w:eastAsia="楷体_GB2312"/>
              </w:rPr>
              <w:t>1.36</w:t>
            </w:r>
          </w:p>
        </w:tc>
      </w:tr>
      <w:tr w14:paraId="4517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77A00848">
            <w:pPr>
              <w:jc w:val="center"/>
              <w:rPr>
                <w:kern w:val="0"/>
                <w:szCs w:val="21"/>
              </w:rPr>
            </w:pPr>
            <w:r>
              <w:rPr>
                <w:kern w:val="0"/>
                <w:szCs w:val="21"/>
              </w:rPr>
              <w:t>18</w:t>
            </w:r>
          </w:p>
        </w:tc>
        <w:tc>
          <w:tcPr>
            <w:tcW w:w="1108" w:type="dxa"/>
            <w:noWrap w:val="0"/>
            <w:vAlign w:val="center"/>
          </w:tcPr>
          <w:p w14:paraId="60074B49">
            <w:pPr>
              <w:pStyle w:val="20"/>
              <w:jc w:val="center"/>
              <w:rPr>
                <w:rFonts w:ascii="Times New Roman" w:hAnsi="Times New Roman" w:eastAsia="楷体_GB2312"/>
              </w:rPr>
            </w:pPr>
            <w:r>
              <w:rPr>
                <w:rFonts w:ascii="Times New Roman" w:hAnsi="Times New Roman" w:eastAsia="楷体_GB2312"/>
              </w:rPr>
              <w:t>大泽乡镇</w:t>
            </w:r>
          </w:p>
        </w:tc>
        <w:tc>
          <w:tcPr>
            <w:tcW w:w="6323" w:type="dxa"/>
            <w:noWrap w:val="0"/>
            <w:vAlign w:val="center"/>
          </w:tcPr>
          <w:p w14:paraId="2013A678">
            <w:pPr>
              <w:pStyle w:val="20"/>
              <w:rPr>
                <w:rFonts w:ascii="Times New Roman" w:hAnsi="Times New Roman" w:eastAsia="楷体_GB2312"/>
              </w:rPr>
            </w:pPr>
            <w:r>
              <w:rPr>
                <w:rFonts w:ascii="Times New Roman" w:hAnsi="Times New Roman" w:eastAsia="楷体_GB2312"/>
              </w:rPr>
              <w:t>东至亲民路，南至南外环，西至滨河东路、西外环，北至南二环路、344国道</w:t>
            </w:r>
          </w:p>
        </w:tc>
        <w:tc>
          <w:tcPr>
            <w:tcW w:w="1132" w:type="dxa"/>
            <w:noWrap w:val="0"/>
            <w:vAlign w:val="center"/>
          </w:tcPr>
          <w:p w14:paraId="1F5FA91F">
            <w:pPr>
              <w:pStyle w:val="20"/>
              <w:jc w:val="center"/>
              <w:rPr>
                <w:rFonts w:ascii="Times New Roman" w:hAnsi="Times New Roman" w:eastAsia="楷体_GB2312"/>
              </w:rPr>
            </w:pPr>
            <w:r>
              <w:rPr>
                <w:rFonts w:ascii="Times New Roman" w:hAnsi="Times New Roman" w:eastAsia="楷体_GB2312"/>
              </w:rPr>
              <w:t>2.63</w:t>
            </w:r>
          </w:p>
        </w:tc>
      </w:tr>
      <w:tr w14:paraId="40CD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26D49491">
            <w:pPr>
              <w:jc w:val="center"/>
              <w:rPr>
                <w:kern w:val="0"/>
                <w:szCs w:val="21"/>
              </w:rPr>
            </w:pPr>
            <w:r>
              <w:rPr>
                <w:kern w:val="0"/>
                <w:szCs w:val="21"/>
              </w:rPr>
              <w:t>19</w:t>
            </w:r>
          </w:p>
        </w:tc>
        <w:tc>
          <w:tcPr>
            <w:tcW w:w="1108" w:type="dxa"/>
            <w:noWrap w:val="0"/>
            <w:vAlign w:val="center"/>
          </w:tcPr>
          <w:p w14:paraId="2CD2CA26">
            <w:pPr>
              <w:pStyle w:val="20"/>
              <w:jc w:val="center"/>
              <w:rPr>
                <w:rFonts w:ascii="Times New Roman" w:hAnsi="Times New Roman" w:eastAsia="楷体_GB2312"/>
              </w:rPr>
            </w:pPr>
            <w:r>
              <w:rPr>
                <w:rFonts w:ascii="Times New Roman" w:hAnsi="Times New Roman" w:eastAsia="楷体_GB2312"/>
              </w:rPr>
              <w:t>永安镇</w:t>
            </w:r>
          </w:p>
        </w:tc>
        <w:tc>
          <w:tcPr>
            <w:tcW w:w="6323" w:type="dxa"/>
            <w:noWrap w:val="0"/>
            <w:vAlign w:val="center"/>
          </w:tcPr>
          <w:p w14:paraId="322F35F1">
            <w:pPr>
              <w:pStyle w:val="20"/>
              <w:rPr>
                <w:rFonts w:ascii="Times New Roman" w:hAnsi="Times New Roman" w:eastAsia="楷体_GB2312"/>
              </w:rPr>
            </w:pPr>
            <w:r>
              <w:rPr>
                <w:rFonts w:ascii="Times New Roman" w:hAnsi="Times New Roman" w:eastAsia="楷体_GB2312"/>
              </w:rPr>
              <w:t>区域一：东至振兴路，南至纬五路，西至二徐路，北至永兴路、镇北路</w:t>
            </w:r>
          </w:p>
          <w:p w14:paraId="055871AF">
            <w:pPr>
              <w:pStyle w:val="20"/>
              <w:rPr>
                <w:rFonts w:ascii="Times New Roman" w:hAnsi="Times New Roman" w:eastAsia="楷体_GB2312"/>
              </w:rPr>
            </w:pPr>
            <w:r>
              <w:rPr>
                <w:rFonts w:ascii="Times New Roman" w:hAnsi="Times New Roman" w:eastAsia="楷体_GB2312"/>
              </w:rPr>
              <w:t>区域二：东至振兴路，南至纬一路北侧，西至永三路，北至纬三路</w:t>
            </w:r>
          </w:p>
        </w:tc>
        <w:tc>
          <w:tcPr>
            <w:tcW w:w="1132" w:type="dxa"/>
            <w:noWrap w:val="0"/>
            <w:vAlign w:val="center"/>
          </w:tcPr>
          <w:p w14:paraId="5FBEDCA0">
            <w:pPr>
              <w:pStyle w:val="20"/>
              <w:jc w:val="center"/>
              <w:rPr>
                <w:rFonts w:ascii="Times New Roman" w:hAnsi="Times New Roman" w:eastAsia="楷体_GB2312"/>
              </w:rPr>
            </w:pPr>
            <w:r>
              <w:rPr>
                <w:rFonts w:ascii="Times New Roman" w:hAnsi="Times New Roman" w:eastAsia="楷体_GB2312"/>
              </w:rPr>
              <w:t>2.66</w:t>
            </w:r>
          </w:p>
        </w:tc>
      </w:tr>
      <w:tr w14:paraId="78EFB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20E05808">
            <w:pPr>
              <w:jc w:val="center"/>
              <w:rPr>
                <w:kern w:val="0"/>
                <w:szCs w:val="21"/>
              </w:rPr>
            </w:pPr>
            <w:r>
              <w:rPr>
                <w:kern w:val="0"/>
                <w:szCs w:val="21"/>
              </w:rPr>
              <w:t>20</w:t>
            </w:r>
          </w:p>
        </w:tc>
        <w:tc>
          <w:tcPr>
            <w:tcW w:w="1108" w:type="dxa"/>
            <w:noWrap w:val="0"/>
            <w:vAlign w:val="center"/>
          </w:tcPr>
          <w:p w14:paraId="3D23E14D">
            <w:pPr>
              <w:pStyle w:val="20"/>
              <w:jc w:val="center"/>
              <w:rPr>
                <w:rFonts w:ascii="Times New Roman" w:hAnsi="Times New Roman" w:eastAsia="楷体_GB2312"/>
              </w:rPr>
            </w:pPr>
            <w:r>
              <w:rPr>
                <w:rFonts w:ascii="Times New Roman" w:hAnsi="Times New Roman" w:eastAsia="楷体_GB2312"/>
              </w:rPr>
              <w:t>支河乡</w:t>
            </w:r>
          </w:p>
        </w:tc>
        <w:tc>
          <w:tcPr>
            <w:tcW w:w="6323" w:type="dxa"/>
            <w:noWrap w:val="0"/>
            <w:vAlign w:val="center"/>
          </w:tcPr>
          <w:p w14:paraId="106F19CA">
            <w:pPr>
              <w:pStyle w:val="20"/>
              <w:rPr>
                <w:rFonts w:ascii="Times New Roman" w:hAnsi="Times New Roman" w:eastAsia="楷体_GB2312"/>
              </w:rPr>
            </w:pPr>
            <w:r>
              <w:rPr>
                <w:rFonts w:ascii="Times New Roman" w:hAnsi="Times New Roman" w:eastAsia="楷体_GB2312"/>
              </w:rPr>
              <w:t>东至外环东路，南至外环南路，西至外环西路、振兴路，北至外环北路、富民路、幸福大道</w:t>
            </w:r>
          </w:p>
        </w:tc>
        <w:tc>
          <w:tcPr>
            <w:tcW w:w="1132" w:type="dxa"/>
            <w:noWrap w:val="0"/>
            <w:vAlign w:val="center"/>
          </w:tcPr>
          <w:p w14:paraId="3C870529">
            <w:pPr>
              <w:pStyle w:val="20"/>
              <w:jc w:val="center"/>
              <w:rPr>
                <w:rFonts w:ascii="Times New Roman" w:hAnsi="Times New Roman" w:eastAsia="楷体_GB2312"/>
              </w:rPr>
            </w:pPr>
            <w:r>
              <w:rPr>
                <w:rFonts w:ascii="Times New Roman" w:hAnsi="Times New Roman" w:eastAsia="楷体_GB2312"/>
              </w:rPr>
              <w:t>1.72</w:t>
            </w:r>
          </w:p>
        </w:tc>
      </w:tr>
      <w:tr w14:paraId="4959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6EA002DF">
            <w:pPr>
              <w:jc w:val="center"/>
              <w:rPr>
                <w:kern w:val="0"/>
                <w:szCs w:val="21"/>
              </w:rPr>
            </w:pPr>
            <w:r>
              <w:rPr>
                <w:kern w:val="0"/>
                <w:szCs w:val="21"/>
              </w:rPr>
              <w:t>21</w:t>
            </w:r>
          </w:p>
        </w:tc>
        <w:tc>
          <w:tcPr>
            <w:tcW w:w="1108" w:type="dxa"/>
            <w:noWrap w:val="0"/>
            <w:vAlign w:val="center"/>
          </w:tcPr>
          <w:p w14:paraId="4CB16C24">
            <w:pPr>
              <w:pStyle w:val="20"/>
              <w:jc w:val="center"/>
              <w:rPr>
                <w:rFonts w:ascii="Times New Roman" w:hAnsi="Times New Roman" w:eastAsia="楷体_GB2312"/>
              </w:rPr>
            </w:pPr>
            <w:r>
              <w:rPr>
                <w:rFonts w:ascii="Times New Roman" w:hAnsi="Times New Roman" w:eastAsia="楷体_GB2312"/>
              </w:rPr>
              <w:t>灰古镇</w:t>
            </w:r>
          </w:p>
        </w:tc>
        <w:tc>
          <w:tcPr>
            <w:tcW w:w="6323" w:type="dxa"/>
            <w:noWrap w:val="0"/>
            <w:vAlign w:val="center"/>
          </w:tcPr>
          <w:p w14:paraId="4B0A0A3F">
            <w:pPr>
              <w:pStyle w:val="20"/>
              <w:rPr>
                <w:rFonts w:ascii="Times New Roman" w:hAnsi="Times New Roman" w:eastAsia="楷体_GB2312"/>
              </w:rPr>
            </w:pPr>
            <w:r>
              <w:rPr>
                <w:rFonts w:ascii="Times New Roman" w:hAnsi="Times New Roman" w:eastAsia="楷体_GB2312"/>
              </w:rPr>
              <w:t>东至东外环路，南至灰南路，西至朱徐路，北至沿河路</w:t>
            </w:r>
          </w:p>
        </w:tc>
        <w:tc>
          <w:tcPr>
            <w:tcW w:w="1132" w:type="dxa"/>
            <w:noWrap w:val="0"/>
            <w:vAlign w:val="center"/>
          </w:tcPr>
          <w:p w14:paraId="1C852FA5">
            <w:pPr>
              <w:pStyle w:val="20"/>
              <w:jc w:val="center"/>
              <w:rPr>
                <w:rFonts w:ascii="Times New Roman" w:hAnsi="Times New Roman" w:eastAsia="楷体_GB2312"/>
              </w:rPr>
            </w:pPr>
            <w:r>
              <w:rPr>
                <w:rFonts w:ascii="Times New Roman" w:hAnsi="Times New Roman" w:eastAsia="楷体_GB2312"/>
              </w:rPr>
              <w:t>1.42</w:t>
            </w:r>
          </w:p>
        </w:tc>
      </w:tr>
      <w:tr w14:paraId="0BBD8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52F780E3">
            <w:pPr>
              <w:jc w:val="center"/>
              <w:rPr>
                <w:kern w:val="0"/>
                <w:szCs w:val="21"/>
              </w:rPr>
            </w:pPr>
            <w:r>
              <w:rPr>
                <w:kern w:val="0"/>
                <w:szCs w:val="21"/>
              </w:rPr>
              <w:t>22</w:t>
            </w:r>
          </w:p>
        </w:tc>
        <w:tc>
          <w:tcPr>
            <w:tcW w:w="1108" w:type="dxa"/>
            <w:noWrap w:val="0"/>
            <w:vAlign w:val="center"/>
          </w:tcPr>
          <w:p w14:paraId="4E4C7309">
            <w:pPr>
              <w:pStyle w:val="20"/>
              <w:jc w:val="center"/>
              <w:rPr>
                <w:rFonts w:ascii="Times New Roman" w:hAnsi="Times New Roman" w:eastAsia="楷体_GB2312"/>
              </w:rPr>
            </w:pPr>
            <w:r>
              <w:rPr>
                <w:rFonts w:ascii="Times New Roman" w:hAnsi="Times New Roman" w:eastAsia="楷体_GB2312"/>
              </w:rPr>
              <w:t>桃沟乡</w:t>
            </w:r>
          </w:p>
        </w:tc>
        <w:tc>
          <w:tcPr>
            <w:tcW w:w="6323" w:type="dxa"/>
            <w:noWrap w:val="0"/>
            <w:vAlign w:val="center"/>
          </w:tcPr>
          <w:p w14:paraId="1487F7EC">
            <w:pPr>
              <w:pStyle w:val="20"/>
              <w:rPr>
                <w:rFonts w:ascii="Times New Roman" w:hAnsi="Times New Roman" w:eastAsia="楷体_GB2312"/>
              </w:rPr>
            </w:pPr>
            <w:r>
              <w:rPr>
                <w:rFonts w:ascii="Times New Roman" w:hAnsi="Times New Roman" w:eastAsia="楷体_GB2312"/>
              </w:rPr>
              <w:t>东至东外环、世纪大道，南至南外环，西至西外环，北至北外环</w:t>
            </w:r>
          </w:p>
        </w:tc>
        <w:tc>
          <w:tcPr>
            <w:tcW w:w="1132" w:type="dxa"/>
            <w:noWrap w:val="0"/>
            <w:vAlign w:val="center"/>
          </w:tcPr>
          <w:p w14:paraId="50AD8C5A">
            <w:pPr>
              <w:pStyle w:val="20"/>
              <w:jc w:val="center"/>
              <w:rPr>
                <w:rFonts w:ascii="Times New Roman" w:hAnsi="Times New Roman" w:eastAsia="楷体_GB2312"/>
              </w:rPr>
            </w:pPr>
            <w:r>
              <w:rPr>
                <w:rFonts w:ascii="Times New Roman" w:hAnsi="Times New Roman" w:eastAsia="楷体_GB2312"/>
              </w:rPr>
              <w:t>1.19</w:t>
            </w:r>
          </w:p>
        </w:tc>
      </w:tr>
      <w:tr w14:paraId="5484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4BEB9668">
            <w:pPr>
              <w:jc w:val="center"/>
              <w:rPr>
                <w:kern w:val="0"/>
                <w:szCs w:val="21"/>
              </w:rPr>
            </w:pPr>
            <w:r>
              <w:rPr>
                <w:kern w:val="0"/>
                <w:szCs w:val="21"/>
              </w:rPr>
              <w:t>23</w:t>
            </w:r>
          </w:p>
        </w:tc>
        <w:tc>
          <w:tcPr>
            <w:tcW w:w="1108" w:type="dxa"/>
            <w:noWrap w:val="0"/>
            <w:vAlign w:val="center"/>
          </w:tcPr>
          <w:p w14:paraId="76B4D315">
            <w:pPr>
              <w:pStyle w:val="20"/>
              <w:jc w:val="center"/>
              <w:rPr>
                <w:rFonts w:ascii="Times New Roman" w:hAnsi="Times New Roman" w:eastAsia="楷体_GB2312"/>
              </w:rPr>
            </w:pPr>
            <w:r>
              <w:rPr>
                <w:rFonts w:ascii="Times New Roman" w:hAnsi="Times New Roman" w:eastAsia="楷体_GB2312"/>
              </w:rPr>
              <w:t>曹村开发区</w:t>
            </w:r>
            <w:r>
              <w:rPr>
                <w:rFonts w:hint="eastAsia" w:eastAsia="楷体_GB2312"/>
              </w:rPr>
              <w:t>（指导价范围）</w:t>
            </w:r>
          </w:p>
        </w:tc>
        <w:tc>
          <w:tcPr>
            <w:tcW w:w="6323" w:type="dxa"/>
            <w:noWrap w:val="0"/>
            <w:vAlign w:val="center"/>
          </w:tcPr>
          <w:p w14:paraId="15CA46AE">
            <w:pPr>
              <w:pStyle w:val="20"/>
              <w:rPr>
                <w:rFonts w:ascii="Times New Roman" w:hAnsi="Times New Roman" w:eastAsia="楷体_GB2312"/>
              </w:rPr>
            </w:pPr>
            <w:r>
              <w:rPr>
                <w:rFonts w:ascii="Times New Roman" w:hAnsi="Times New Roman" w:eastAsia="楷体_GB2312"/>
              </w:rPr>
              <w:t>区域一：东至迎宾大道，南至顺河路，西至京沪铁路，北至淮海西路北侧、淮海东路</w:t>
            </w:r>
          </w:p>
          <w:p w14:paraId="172EE6DC">
            <w:pPr>
              <w:pStyle w:val="20"/>
              <w:rPr>
                <w:rFonts w:ascii="Times New Roman" w:hAnsi="Times New Roman" w:eastAsia="楷体_GB2312"/>
              </w:rPr>
            </w:pPr>
            <w:r>
              <w:rPr>
                <w:rFonts w:ascii="Times New Roman" w:hAnsi="Times New Roman" w:eastAsia="楷体_GB2312"/>
              </w:rPr>
              <w:t>区域二：东至铁西路，南至拂晓路、拂晓路南侧规划道路，西至404省道，北至301省道</w:t>
            </w:r>
          </w:p>
        </w:tc>
        <w:tc>
          <w:tcPr>
            <w:tcW w:w="1132" w:type="dxa"/>
            <w:noWrap w:val="0"/>
            <w:vAlign w:val="center"/>
          </w:tcPr>
          <w:p w14:paraId="7EB18C15">
            <w:pPr>
              <w:pStyle w:val="20"/>
              <w:jc w:val="center"/>
              <w:rPr>
                <w:rFonts w:ascii="Times New Roman" w:hAnsi="Times New Roman" w:eastAsia="楷体_GB2312"/>
              </w:rPr>
            </w:pPr>
            <w:r>
              <w:rPr>
                <w:rFonts w:ascii="Times New Roman" w:hAnsi="Times New Roman" w:eastAsia="楷体_GB2312"/>
              </w:rPr>
              <w:t>11.45</w:t>
            </w:r>
          </w:p>
        </w:tc>
      </w:tr>
      <w:tr w14:paraId="31B6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26B1E3A2">
            <w:pPr>
              <w:jc w:val="center"/>
              <w:rPr>
                <w:kern w:val="0"/>
                <w:szCs w:val="21"/>
              </w:rPr>
            </w:pPr>
            <w:r>
              <w:rPr>
                <w:kern w:val="0"/>
                <w:szCs w:val="21"/>
              </w:rPr>
              <w:t>24</w:t>
            </w:r>
          </w:p>
        </w:tc>
        <w:tc>
          <w:tcPr>
            <w:tcW w:w="1108" w:type="dxa"/>
            <w:noWrap w:val="0"/>
            <w:vAlign w:val="center"/>
          </w:tcPr>
          <w:p w14:paraId="71ECE605">
            <w:pPr>
              <w:pStyle w:val="20"/>
              <w:jc w:val="center"/>
              <w:rPr>
                <w:rFonts w:ascii="Times New Roman" w:hAnsi="Times New Roman" w:eastAsia="楷体_GB2312"/>
              </w:rPr>
            </w:pPr>
            <w:r>
              <w:rPr>
                <w:rFonts w:ascii="Times New Roman" w:hAnsi="Times New Roman" w:eastAsia="楷体_GB2312"/>
              </w:rPr>
              <w:t>家具产业园区</w:t>
            </w:r>
            <w:r>
              <w:rPr>
                <w:rFonts w:hint="eastAsia" w:eastAsia="楷体_GB2312"/>
              </w:rPr>
              <w:t>（指导价范围）</w:t>
            </w:r>
          </w:p>
        </w:tc>
        <w:tc>
          <w:tcPr>
            <w:tcW w:w="6323" w:type="dxa"/>
            <w:noWrap w:val="0"/>
            <w:vAlign w:val="center"/>
          </w:tcPr>
          <w:p w14:paraId="4B948F60">
            <w:pPr>
              <w:pStyle w:val="20"/>
              <w:rPr>
                <w:rFonts w:ascii="Times New Roman" w:hAnsi="Times New Roman" w:eastAsia="楷体_GB2312"/>
              </w:rPr>
            </w:pPr>
            <w:r>
              <w:rPr>
                <w:rFonts w:ascii="Times New Roman" w:hAnsi="Times New Roman" w:eastAsia="楷体_GB2312"/>
              </w:rPr>
              <w:t>东至滨河西路，南至唐河路，西至港口路，北至北外环路</w:t>
            </w:r>
          </w:p>
        </w:tc>
        <w:tc>
          <w:tcPr>
            <w:tcW w:w="1132" w:type="dxa"/>
            <w:noWrap w:val="0"/>
            <w:vAlign w:val="center"/>
          </w:tcPr>
          <w:p w14:paraId="6693BE73">
            <w:pPr>
              <w:pStyle w:val="20"/>
              <w:jc w:val="center"/>
              <w:rPr>
                <w:rFonts w:ascii="Times New Roman" w:hAnsi="Times New Roman" w:eastAsia="楷体_GB2312"/>
              </w:rPr>
            </w:pPr>
            <w:r>
              <w:rPr>
                <w:rFonts w:ascii="Times New Roman" w:hAnsi="Times New Roman" w:eastAsia="楷体_GB2312"/>
              </w:rPr>
              <w:t>4.71</w:t>
            </w:r>
          </w:p>
        </w:tc>
      </w:tr>
      <w:tr w14:paraId="4E587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09" w:type="dxa"/>
            <w:noWrap w:val="0"/>
            <w:vAlign w:val="center"/>
          </w:tcPr>
          <w:p w14:paraId="37FB6BA1">
            <w:pPr>
              <w:jc w:val="center"/>
              <w:rPr>
                <w:kern w:val="0"/>
                <w:szCs w:val="21"/>
              </w:rPr>
            </w:pPr>
            <w:r>
              <w:rPr>
                <w:kern w:val="0"/>
                <w:szCs w:val="21"/>
              </w:rPr>
              <w:t>25</w:t>
            </w:r>
          </w:p>
        </w:tc>
        <w:tc>
          <w:tcPr>
            <w:tcW w:w="1108" w:type="dxa"/>
            <w:noWrap w:val="0"/>
            <w:vAlign w:val="center"/>
          </w:tcPr>
          <w:p w14:paraId="2FC99E1F">
            <w:pPr>
              <w:pStyle w:val="20"/>
              <w:jc w:val="center"/>
              <w:rPr>
                <w:rFonts w:ascii="Times New Roman" w:hAnsi="Times New Roman" w:eastAsia="楷体_GB2312"/>
              </w:rPr>
            </w:pPr>
            <w:r>
              <w:rPr>
                <w:rFonts w:ascii="Times New Roman" w:hAnsi="Times New Roman" w:eastAsia="楷体_GB2312"/>
              </w:rPr>
              <w:t>农业示范园区</w:t>
            </w:r>
            <w:r>
              <w:rPr>
                <w:rFonts w:hint="eastAsia" w:eastAsia="楷体_GB2312"/>
              </w:rPr>
              <w:t>（指导价范围）</w:t>
            </w:r>
          </w:p>
        </w:tc>
        <w:tc>
          <w:tcPr>
            <w:tcW w:w="6323" w:type="dxa"/>
            <w:noWrap w:val="0"/>
            <w:vAlign w:val="center"/>
          </w:tcPr>
          <w:p w14:paraId="1D891DE3">
            <w:pPr>
              <w:pStyle w:val="20"/>
              <w:rPr>
                <w:rFonts w:ascii="Times New Roman" w:hAnsi="Times New Roman" w:eastAsia="楷体_GB2312"/>
              </w:rPr>
            </w:pPr>
            <w:r>
              <w:rPr>
                <w:rFonts w:ascii="Times New Roman" w:hAnsi="Times New Roman" w:eastAsia="楷体_GB2312"/>
              </w:rPr>
              <w:t>东至026县道、东外环、东外环东侧道路，南至新汴河北侧河堤、滨河路，西至206国道</w:t>
            </w:r>
            <w:r>
              <w:rPr>
                <w:rFonts w:hint="eastAsia" w:ascii="Times New Roman" w:hAnsi="Times New Roman" w:eastAsia="楷体_GB2312"/>
              </w:rPr>
              <w:t>，</w:t>
            </w:r>
            <w:r>
              <w:rPr>
                <w:rFonts w:ascii="Times New Roman" w:hAnsi="Times New Roman" w:eastAsia="楷体_GB2312"/>
              </w:rPr>
              <w:t>206国道</w:t>
            </w:r>
            <w:r>
              <w:rPr>
                <w:rFonts w:hint="eastAsia" w:ascii="Times New Roman" w:hAnsi="Times New Roman" w:eastAsia="楷体_GB2312"/>
              </w:rPr>
              <w:t>西侧规划道路</w:t>
            </w:r>
            <w:r>
              <w:rPr>
                <w:rFonts w:ascii="Times New Roman" w:hAnsi="Times New Roman" w:eastAsia="楷体_GB2312"/>
              </w:rPr>
              <w:t>，北至北外环路、泗许高速</w:t>
            </w:r>
          </w:p>
        </w:tc>
        <w:tc>
          <w:tcPr>
            <w:tcW w:w="1132" w:type="dxa"/>
            <w:noWrap w:val="0"/>
            <w:vAlign w:val="center"/>
          </w:tcPr>
          <w:p w14:paraId="2232A6DF">
            <w:pPr>
              <w:pStyle w:val="20"/>
              <w:jc w:val="center"/>
              <w:rPr>
                <w:rFonts w:ascii="Times New Roman" w:hAnsi="Times New Roman" w:eastAsia="楷体_GB2312"/>
              </w:rPr>
            </w:pPr>
            <w:r>
              <w:rPr>
                <w:rFonts w:hint="eastAsia" w:ascii="Times New Roman" w:hAnsi="Times New Roman" w:eastAsia="楷体_GB2312"/>
              </w:rPr>
              <w:t>9.13</w:t>
            </w:r>
          </w:p>
        </w:tc>
      </w:tr>
    </w:tbl>
    <w:p w14:paraId="11A680B9">
      <w:pPr>
        <w:pStyle w:val="20"/>
        <w:spacing w:line="480" w:lineRule="exact"/>
        <w:rPr>
          <w:rFonts w:ascii="Times New Roman" w:hAnsi="Times New Roman" w:cs="Times New Roman"/>
          <w:b/>
          <w:sz w:val="28"/>
        </w:rPr>
      </w:pPr>
      <w:r>
        <w:rPr>
          <w:rFonts w:ascii="Times New Roman" w:hAnsi="Times New Roman" w:cs="Times New Roman"/>
          <w:b/>
          <w:sz w:val="28"/>
        </w:rPr>
        <w:br w:type="page"/>
      </w:r>
      <w:r>
        <w:rPr>
          <w:rFonts w:ascii="Times New Roman" w:hAnsi="Times New Roman" w:cs="Times New Roman"/>
          <w:b/>
          <w:sz w:val="28"/>
        </w:rPr>
        <w:t>六、两轮定级范围对比分析</w:t>
      </w:r>
    </w:p>
    <w:p w14:paraId="44051C11">
      <w:pPr>
        <w:widowControl w:val="0"/>
        <w:tabs>
          <w:tab w:val="left" w:pos="4860"/>
          <w:tab w:val="left" w:pos="6480"/>
        </w:tabs>
        <w:spacing w:line="400" w:lineRule="exact"/>
        <w:jc w:val="center"/>
        <w:rPr>
          <w:rFonts w:eastAsia="黑体"/>
          <w:sz w:val="28"/>
          <w:szCs w:val="28"/>
        </w:rPr>
      </w:pPr>
      <w:r>
        <w:rPr>
          <w:rFonts w:eastAsia="黑体"/>
          <w:sz w:val="28"/>
          <w:szCs w:val="21"/>
        </w:rPr>
        <w:t>表1-2-3</w:t>
      </w:r>
      <w:r>
        <w:rPr>
          <w:rFonts w:eastAsia="黑体"/>
          <w:sz w:val="28"/>
          <w:szCs w:val="28"/>
        </w:rPr>
        <w:t xml:space="preserve">  埇桥区各乡镇两轮基准地价面积对比表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1682"/>
        <w:gridCol w:w="3306"/>
        <w:gridCol w:w="3306"/>
      </w:tblGrid>
      <w:tr w14:paraId="7CADD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blHeader/>
          <w:jc w:val="center"/>
        </w:trPr>
        <w:tc>
          <w:tcPr>
            <w:tcW w:w="429" w:type="pct"/>
            <w:noWrap w:val="0"/>
            <w:vAlign w:val="center"/>
          </w:tcPr>
          <w:p w14:paraId="461905EF">
            <w:pPr>
              <w:jc w:val="center"/>
              <w:rPr>
                <w:rFonts w:eastAsia="楷体_GB2312"/>
                <w:kern w:val="0"/>
                <w:sz w:val="24"/>
              </w:rPr>
            </w:pPr>
            <w:r>
              <w:rPr>
                <w:rFonts w:eastAsia="楷体_GB2312"/>
                <w:kern w:val="0"/>
                <w:sz w:val="24"/>
              </w:rPr>
              <w:t>编号</w:t>
            </w:r>
          </w:p>
        </w:tc>
        <w:tc>
          <w:tcPr>
            <w:tcW w:w="927" w:type="pct"/>
            <w:noWrap w:val="0"/>
            <w:vAlign w:val="center"/>
          </w:tcPr>
          <w:p w14:paraId="178C8B73">
            <w:pPr>
              <w:jc w:val="center"/>
              <w:rPr>
                <w:rFonts w:eastAsia="楷体_GB2312"/>
                <w:kern w:val="0"/>
                <w:sz w:val="24"/>
              </w:rPr>
            </w:pPr>
            <w:r>
              <w:rPr>
                <w:rFonts w:eastAsia="楷体_GB2312"/>
                <w:kern w:val="0"/>
                <w:sz w:val="24"/>
              </w:rPr>
              <w:t>乡镇名称</w:t>
            </w:r>
          </w:p>
        </w:tc>
        <w:tc>
          <w:tcPr>
            <w:tcW w:w="1822" w:type="pct"/>
            <w:noWrap w:val="0"/>
            <w:vAlign w:val="center"/>
          </w:tcPr>
          <w:p w14:paraId="793AB44B">
            <w:pPr>
              <w:jc w:val="center"/>
              <w:rPr>
                <w:rFonts w:eastAsia="楷体_GB2312"/>
                <w:kern w:val="0"/>
                <w:sz w:val="24"/>
              </w:rPr>
            </w:pPr>
            <w:r>
              <w:rPr>
                <w:rFonts w:eastAsia="楷体_GB2312"/>
                <w:kern w:val="0"/>
                <w:sz w:val="24"/>
              </w:rPr>
              <w:t>本轮定级范围面积</w:t>
            </w:r>
          </w:p>
          <w:p w14:paraId="74FC2DD0">
            <w:pPr>
              <w:jc w:val="center"/>
              <w:rPr>
                <w:rFonts w:eastAsia="楷体_GB2312"/>
                <w:kern w:val="0"/>
                <w:sz w:val="24"/>
              </w:rPr>
            </w:pPr>
            <w:r>
              <w:rPr>
                <w:rFonts w:eastAsia="楷体_GB2312"/>
                <w:kern w:val="0"/>
                <w:sz w:val="24"/>
              </w:rPr>
              <w:t>（平方公里）</w:t>
            </w:r>
          </w:p>
        </w:tc>
        <w:tc>
          <w:tcPr>
            <w:tcW w:w="1822" w:type="pct"/>
            <w:noWrap w:val="0"/>
            <w:vAlign w:val="center"/>
          </w:tcPr>
          <w:p w14:paraId="2C859582">
            <w:pPr>
              <w:jc w:val="center"/>
              <w:rPr>
                <w:rFonts w:eastAsia="楷体_GB2312"/>
                <w:kern w:val="0"/>
                <w:sz w:val="24"/>
              </w:rPr>
            </w:pPr>
            <w:r>
              <w:rPr>
                <w:rFonts w:eastAsia="楷体_GB2312"/>
                <w:kern w:val="0"/>
                <w:sz w:val="24"/>
              </w:rPr>
              <w:t>上轮定级范围面积</w:t>
            </w:r>
          </w:p>
          <w:p w14:paraId="24BB82C1">
            <w:pPr>
              <w:jc w:val="center"/>
              <w:rPr>
                <w:rFonts w:eastAsia="楷体_GB2312"/>
                <w:kern w:val="0"/>
                <w:sz w:val="24"/>
              </w:rPr>
            </w:pPr>
            <w:r>
              <w:rPr>
                <w:rFonts w:eastAsia="楷体_GB2312"/>
                <w:kern w:val="0"/>
                <w:sz w:val="24"/>
              </w:rPr>
              <w:t>（平方公里）</w:t>
            </w:r>
          </w:p>
        </w:tc>
      </w:tr>
      <w:tr w14:paraId="4C01C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429" w:type="pct"/>
            <w:noWrap w:val="0"/>
            <w:vAlign w:val="center"/>
          </w:tcPr>
          <w:p w14:paraId="752321D9">
            <w:pPr>
              <w:spacing w:line="320" w:lineRule="exact"/>
              <w:jc w:val="center"/>
              <w:rPr>
                <w:rFonts w:eastAsia="楷体_GB2312"/>
                <w:spacing w:val="-20"/>
                <w:sz w:val="24"/>
              </w:rPr>
            </w:pPr>
            <w:r>
              <w:rPr>
                <w:rFonts w:eastAsia="楷体_GB2312"/>
                <w:spacing w:val="-20"/>
                <w:sz w:val="24"/>
              </w:rPr>
              <w:t>1</w:t>
            </w:r>
          </w:p>
        </w:tc>
        <w:tc>
          <w:tcPr>
            <w:tcW w:w="927" w:type="pct"/>
            <w:noWrap w:val="0"/>
            <w:vAlign w:val="center"/>
          </w:tcPr>
          <w:p w14:paraId="4A6F6D3D">
            <w:pPr>
              <w:pStyle w:val="20"/>
              <w:jc w:val="center"/>
              <w:rPr>
                <w:rFonts w:ascii="Times New Roman" w:hAnsi="Times New Roman" w:eastAsia="楷体_GB2312"/>
                <w:sz w:val="24"/>
                <w:szCs w:val="24"/>
              </w:rPr>
            </w:pPr>
            <w:r>
              <w:rPr>
                <w:rFonts w:ascii="Times New Roman" w:hAnsi="Times New Roman" w:eastAsia="楷体_GB2312"/>
                <w:sz w:val="24"/>
                <w:szCs w:val="24"/>
              </w:rPr>
              <w:t>符离镇</w:t>
            </w:r>
          </w:p>
        </w:tc>
        <w:tc>
          <w:tcPr>
            <w:tcW w:w="1822" w:type="pct"/>
            <w:noWrap w:val="0"/>
            <w:vAlign w:val="center"/>
          </w:tcPr>
          <w:p w14:paraId="1EC19AAB">
            <w:pPr>
              <w:jc w:val="center"/>
              <w:rPr>
                <w:sz w:val="24"/>
              </w:rPr>
            </w:pPr>
            <w:r>
              <w:rPr>
                <w:rFonts w:hint="eastAsia"/>
                <w:sz w:val="24"/>
              </w:rPr>
              <w:t>17.12</w:t>
            </w:r>
          </w:p>
        </w:tc>
        <w:tc>
          <w:tcPr>
            <w:tcW w:w="1822" w:type="pct"/>
            <w:noWrap w:val="0"/>
            <w:vAlign w:val="center"/>
          </w:tcPr>
          <w:p w14:paraId="4C95E7CA">
            <w:pPr>
              <w:widowControl w:val="0"/>
              <w:jc w:val="center"/>
              <w:rPr>
                <w:rFonts w:eastAsia="楷体_GB2312"/>
                <w:sz w:val="24"/>
              </w:rPr>
            </w:pPr>
            <w:r>
              <w:rPr>
                <w:rFonts w:hint="eastAsia" w:eastAsia="楷体_GB2312"/>
                <w:sz w:val="24"/>
              </w:rPr>
              <w:t>22.80</w:t>
            </w:r>
          </w:p>
        </w:tc>
      </w:tr>
      <w:tr w14:paraId="5697A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9" w:type="pct"/>
            <w:noWrap w:val="0"/>
            <w:vAlign w:val="center"/>
          </w:tcPr>
          <w:p w14:paraId="3EA12812">
            <w:pPr>
              <w:spacing w:line="320" w:lineRule="exact"/>
              <w:jc w:val="center"/>
              <w:rPr>
                <w:rFonts w:eastAsia="楷体_GB2312"/>
                <w:spacing w:val="-20"/>
                <w:sz w:val="24"/>
              </w:rPr>
            </w:pPr>
            <w:r>
              <w:rPr>
                <w:rFonts w:eastAsia="楷体_GB2312"/>
                <w:spacing w:val="-20"/>
                <w:sz w:val="24"/>
              </w:rPr>
              <w:t>2</w:t>
            </w:r>
          </w:p>
        </w:tc>
        <w:tc>
          <w:tcPr>
            <w:tcW w:w="927" w:type="pct"/>
            <w:noWrap w:val="0"/>
            <w:vAlign w:val="center"/>
          </w:tcPr>
          <w:p w14:paraId="717722F0">
            <w:pPr>
              <w:pStyle w:val="20"/>
              <w:jc w:val="center"/>
              <w:rPr>
                <w:rFonts w:ascii="Times New Roman" w:hAnsi="Times New Roman" w:eastAsia="楷体_GB2312"/>
                <w:sz w:val="24"/>
                <w:szCs w:val="24"/>
              </w:rPr>
            </w:pPr>
            <w:r>
              <w:rPr>
                <w:rFonts w:ascii="Times New Roman" w:hAnsi="Times New Roman" w:eastAsia="楷体_GB2312"/>
                <w:sz w:val="24"/>
                <w:szCs w:val="24"/>
              </w:rPr>
              <w:t>朱仙庄镇</w:t>
            </w:r>
          </w:p>
        </w:tc>
        <w:tc>
          <w:tcPr>
            <w:tcW w:w="1822" w:type="pct"/>
            <w:noWrap w:val="0"/>
            <w:vAlign w:val="center"/>
          </w:tcPr>
          <w:p w14:paraId="7ACC2E47">
            <w:pPr>
              <w:widowControl w:val="0"/>
              <w:jc w:val="center"/>
              <w:rPr>
                <w:rFonts w:eastAsia="楷体_GB2312"/>
                <w:spacing w:val="-20"/>
                <w:sz w:val="24"/>
              </w:rPr>
            </w:pPr>
            <w:r>
              <w:rPr>
                <w:rFonts w:hint="eastAsia" w:eastAsia="楷体_GB2312"/>
                <w:spacing w:val="-20"/>
                <w:sz w:val="24"/>
              </w:rPr>
              <w:t>21.49</w:t>
            </w:r>
          </w:p>
        </w:tc>
        <w:tc>
          <w:tcPr>
            <w:tcW w:w="1822" w:type="pct"/>
            <w:noWrap w:val="0"/>
            <w:vAlign w:val="center"/>
          </w:tcPr>
          <w:p w14:paraId="0118D716">
            <w:pPr>
              <w:widowControl w:val="0"/>
              <w:jc w:val="center"/>
              <w:rPr>
                <w:rFonts w:eastAsia="楷体_GB2312"/>
                <w:sz w:val="24"/>
              </w:rPr>
            </w:pPr>
            <w:r>
              <w:rPr>
                <w:rFonts w:hint="eastAsia" w:eastAsia="楷体_GB2312"/>
                <w:sz w:val="24"/>
              </w:rPr>
              <w:t>24.05</w:t>
            </w:r>
          </w:p>
        </w:tc>
      </w:tr>
      <w:tr w14:paraId="3E17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9" w:type="pct"/>
            <w:noWrap w:val="0"/>
            <w:vAlign w:val="center"/>
          </w:tcPr>
          <w:p w14:paraId="349CFDC9">
            <w:pPr>
              <w:spacing w:line="320" w:lineRule="exact"/>
              <w:jc w:val="center"/>
              <w:rPr>
                <w:rFonts w:eastAsia="楷体_GB2312"/>
                <w:spacing w:val="-20"/>
                <w:sz w:val="24"/>
              </w:rPr>
            </w:pPr>
            <w:r>
              <w:rPr>
                <w:rFonts w:eastAsia="楷体_GB2312"/>
                <w:spacing w:val="-20"/>
                <w:sz w:val="24"/>
              </w:rPr>
              <w:t>3</w:t>
            </w:r>
          </w:p>
        </w:tc>
        <w:tc>
          <w:tcPr>
            <w:tcW w:w="927" w:type="pct"/>
            <w:noWrap w:val="0"/>
            <w:vAlign w:val="center"/>
          </w:tcPr>
          <w:p w14:paraId="79AA7064">
            <w:pPr>
              <w:pStyle w:val="20"/>
              <w:jc w:val="center"/>
              <w:rPr>
                <w:rFonts w:ascii="Times New Roman" w:hAnsi="Times New Roman" w:eastAsia="楷体_GB2312"/>
                <w:sz w:val="24"/>
                <w:szCs w:val="24"/>
              </w:rPr>
            </w:pPr>
            <w:r>
              <w:rPr>
                <w:rFonts w:ascii="Times New Roman" w:hAnsi="Times New Roman" w:eastAsia="楷体_GB2312"/>
                <w:sz w:val="24"/>
                <w:szCs w:val="24"/>
              </w:rPr>
              <w:t>蕲县镇</w:t>
            </w:r>
          </w:p>
        </w:tc>
        <w:tc>
          <w:tcPr>
            <w:tcW w:w="1822" w:type="pct"/>
            <w:noWrap w:val="0"/>
            <w:vAlign w:val="center"/>
          </w:tcPr>
          <w:p w14:paraId="5AF6342C">
            <w:pPr>
              <w:jc w:val="center"/>
              <w:rPr>
                <w:sz w:val="24"/>
              </w:rPr>
            </w:pPr>
            <w:r>
              <w:rPr>
                <w:rFonts w:hint="eastAsia"/>
                <w:sz w:val="24"/>
              </w:rPr>
              <w:t>5.59</w:t>
            </w:r>
          </w:p>
        </w:tc>
        <w:tc>
          <w:tcPr>
            <w:tcW w:w="1822" w:type="pct"/>
            <w:noWrap w:val="0"/>
            <w:vAlign w:val="center"/>
          </w:tcPr>
          <w:p w14:paraId="4EC95687">
            <w:pPr>
              <w:widowControl w:val="0"/>
              <w:jc w:val="center"/>
              <w:rPr>
                <w:rFonts w:eastAsia="楷体_GB2312"/>
                <w:sz w:val="24"/>
              </w:rPr>
            </w:pPr>
            <w:r>
              <w:rPr>
                <w:rFonts w:hint="eastAsia" w:eastAsia="楷体_GB2312"/>
                <w:sz w:val="24"/>
              </w:rPr>
              <w:t>15.46</w:t>
            </w:r>
          </w:p>
        </w:tc>
      </w:tr>
      <w:tr w14:paraId="7200B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9" w:type="pct"/>
            <w:noWrap w:val="0"/>
            <w:vAlign w:val="center"/>
          </w:tcPr>
          <w:p w14:paraId="7A14D78B">
            <w:pPr>
              <w:spacing w:line="320" w:lineRule="exact"/>
              <w:jc w:val="center"/>
              <w:rPr>
                <w:rFonts w:eastAsia="楷体_GB2312"/>
                <w:spacing w:val="-20"/>
                <w:sz w:val="24"/>
              </w:rPr>
            </w:pPr>
            <w:r>
              <w:rPr>
                <w:rFonts w:eastAsia="楷体_GB2312"/>
                <w:spacing w:val="-20"/>
                <w:sz w:val="24"/>
              </w:rPr>
              <w:t>4</w:t>
            </w:r>
          </w:p>
        </w:tc>
        <w:tc>
          <w:tcPr>
            <w:tcW w:w="927" w:type="pct"/>
            <w:noWrap w:val="0"/>
            <w:vAlign w:val="center"/>
          </w:tcPr>
          <w:p w14:paraId="41EABA9E">
            <w:pPr>
              <w:pStyle w:val="20"/>
              <w:jc w:val="center"/>
              <w:rPr>
                <w:rFonts w:ascii="Times New Roman" w:hAnsi="Times New Roman" w:eastAsia="楷体_GB2312"/>
                <w:sz w:val="24"/>
                <w:szCs w:val="24"/>
              </w:rPr>
            </w:pPr>
            <w:r>
              <w:rPr>
                <w:rFonts w:ascii="Times New Roman" w:hAnsi="Times New Roman" w:eastAsia="楷体_GB2312"/>
                <w:sz w:val="24"/>
                <w:szCs w:val="24"/>
              </w:rPr>
              <w:t>芦岭镇</w:t>
            </w:r>
          </w:p>
        </w:tc>
        <w:tc>
          <w:tcPr>
            <w:tcW w:w="1822" w:type="pct"/>
            <w:noWrap w:val="0"/>
            <w:vAlign w:val="center"/>
          </w:tcPr>
          <w:p w14:paraId="6C38FB2F">
            <w:pPr>
              <w:widowControl w:val="0"/>
              <w:jc w:val="center"/>
              <w:rPr>
                <w:rFonts w:eastAsia="楷体_GB2312"/>
                <w:sz w:val="24"/>
              </w:rPr>
            </w:pPr>
            <w:r>
              <w:rPr>
                <w:rFonts w:hint="eastAsia" w:eastAsia="楷体_GB2312"/>
                <w:sz w:val="24"/>
              </w:rPr>
              <w:t>3.65</w:t>
            </w:r>
          </w:p>
        </w:tc>
        <w:tc>
          <w:tcPr>
            <w:tcW w:w="1822" w:type="pct"/>
            <w:noWrap w:val="0"/>
            <w:vAlign w:val="center"/>
          </w:tcPr>
          <w:p w14:paraId="1B953FDC">
            <w:pPr>
              <w:widowControl w:val="0"/>
              <w:jc w:val="center"/>
              <w:rPr>
                <w:rFonts w:eastAsia="楷体_GB2312"/>
                <w:sz w:val="24"/>
              </w:rPr>
            </w:pPr>
            <w:r>
              <w:rPr>
                <w:rFonts w:hint="eastAsia" w:eastAsia="楷体_GB2312"/>
                <w:sz w:val="24"/>
              </w:rPr>
              <w:t>4.57</w:t>
            </w:r>
          </w:p>
        </w:tc>
      </w:tr>
      <w:tr w14:paraId="7AE4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9" w:type="pct"/>
            <w:noWrap w:val="0"/>
            <w:vAlign w:val="center"/>
          </w:tcPr>
          <w:p w14:paraId="1864980A">
            <w:pPr>
              <w:spacing w:line="320" w:lineRule="exact"/>
              <w:jc w:val="center"/>
              <w:rPr>
                <w:rFonts w:eastAsia="楷体_GB2312"/>
                <w:spacing w:val="-20"/>
                <w:sz w:val="24"/>
              </w:rPr>
            </w:pPr>
            <w:r>
              <w:rPr>
                <w:rFonts w:eastAsia="楷体_GB2312"/>
                <w:spacing w:val="-20"/>
                <w:sz w:val="24"/>
              </w:rPr>
              <w:t>5</w:t>
            </w:r>
          </w:p>
        </w:tc>
        <w:tc>
          <w:tcPr>
            <w:tcW w:w="927" w:type="pct"/>
            <w:noWrap w:val="0"/>
            <w:vAlign w:val="center"/>
          </w:tcPr>
          <w:p w14:paraId="5EA65868">
            <w:pPr>
              <w:pStyle w:val="20"/>
              <w:jc w:val="center"/>
              <w:rPr>
                <w:rFonts w:ascii="Times New Roman" w:hAnsi="Times New Roman" w:eastAsia="楷体_GB2312"/>
                <w:sz w:val="24"/>
                <w:szCs w:val="24"/>
              </w:rPr>
            </w:pPr>
            <w:r>
              <w:rPr>
                <w:rFonts w:ascii="Times New Roman" w:hAnsi="Times New Roman" w:eastAsia="楷体_GB2312"/>
                <w:sz w:val="24"/>
                <w:szCs w:val="24"/>
              </w:rPr>
              <w:t>大店镇</w:t>
            </w:r>
          </w:p>
        </w:tc>
        <w:tc>
          <w:tcPr>
            <w:tcW w:w="1822" w:type="pct"/>
            <w:noWrap w:val="0"/>
            <w:vAlign w:val="center"/>
          </w:tcPr>
          <w:p w14:paraId="70D12570">
            <w:pPr>
              <w:widowControl w:val="0"/>
              <w:jc w:val="center"/>
              <w:rPr>
                <w:rFonts w:eastAsia="楷体_GB2312"/>
                <w:sz w:val="24"/>
              </w:rPr>
            </w:pPr>
            <w:r>
              <w:rPr>
                <w:rFonts w:hint="eastAsia" w:eastAsia="楷体_GB2312"/>
                <w:sz w:val="24"/>
              </w:rPr>
              <w:t>2.01</w:t>
            </w:r>
          </w:p>
        </w:tc>
        <w:tc>
          <w:tcPr>
            <w:tcW w:w="1822" w:type="pct"/>
            <w:noWrap w:val="0"/>
            <w:vAlign w:val="center"/>
          </w:tcPr>
          <w:p w14:paraId="68E3F2DB">
            <w:pPr>
              <w:widowControl w:val="0"/>
              <w:jc w:val="center"/>
              <w:rPr>
                <w:rFonts w:eastAsia="楷体_GB2312"/>
                <w:sz w:val="24"/>
              </w:rPr>
            </w:pPr>
            <w:r>
              <w:rPr>
                <w:rFonts w:hint="eastAsia" w:eastAsia="楷体_GB2312"/>
                <w:sz w:val="24"/>
              </w:rPr>
              <w:t>6.23</w:t>
            </w:r>
          </w:p>
        </w:tc>
      </w:tr>
      <w:tr w14:paraId="21444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9" w:type="pct"/>
            <w:noWrap w:val="0"/>
            <w:vAlign w:val="center"/>
          </w:tcPr>
          <w:p w14:paraId="7865F7EF">
            <w:pPr>
              <w:spacing w:line="320" w:lineRule="exact"/>
              <w:jc w:val="center"/>
              <w:rPr>
                <w:rFonts w:eastAsia="楷体_GB2312"/>
                <w:spacing w:val="-20"/>
                <w:sz w:val="24"/>
              </w:rPr>
            </w:pPr>
            <w:r>
              <w:rPr>
                <w:rFonts w:eastAsia="楷体_GB2312"/>
                <w:spacing w:val="-20"/>
                <w:sz w:val="24"/>
              </w:rPr>
              <w:t>6</w:t>
            </w:r>
          </w:p>
        </w:tc>
        <w:tc>
          <w:tcPr>
            <w:tcW w:w="927" w:type="pct"/>
            <w:noWrap w:val="0"/>
            <w:vAlign w:val="center"/>
          </w:tcPr>
          <w:p w14:paraId="73900FAF">
            <w:pPr>
              <w:pStyle w:val="20"/>
              <w:jc w:val="center"/>
              <w:rPr>
                <w:rFonts w:ascii="Times New Roman" w:hAnsi="Times New Roman" w:eastAsia="楷体_GB2312"/>
                <w:sz w:val="24"/>
                <w:szCs w:val="24"/>
              </w:rPr>
            </w:pPr>
            <w:r>
              <w:rPr>
                <w:rFonts w:ascii="Times New Roman" w:hAnsi="Times New Roman" w:eastAsia="楷体_GB2312"/>
                <w:sz w:val="24"/>
                <w:szCs w:val="24"/>
              </w:rPr>
              <w:t>栏杆镇</w:t>
            </w:r>
          </w:p>
        </w:tc>
        <w:tc>
          <w:tcPr>
            <w:tcW w:w="1822" w:type="pct"/>
            <w:noWrap w:val="0"/>
            <w:vAlign w:val="center"/>
          </w:tcPr>
          <w:p w14:paraId="1CFAEAF1">
            <w:pPr>
              <w:widowControl w:val="0"/>
              <w:jc w:val="center"/>
              <w:rPr>
                <w:rFonts w:eastAsia="楷体_GB2312"/>
                <w:sz w:val="24"/>
              </w:rPr>
            </w:pPr>
            <w:r>
              <w:rPr>
                <w:rFonts w:hint="eastAsia" w:eastAsia="楷体_GB2312"/>
                <w:sz w:val="24"/>
              </w:rPr>
              <w:t>2.35</w:t>
            </w:r>
          </w:p>
        </w:tc>
        <w:tc>
          <w:tcPr>
            <w:tcW w:w="1822" w:type="pct"/>
            <w:noWrap w:val="0"/>
            <w:vAlign w:val="center"/>
          </w:tcPr>
          <w:p w14:paraId="4C30A7C8">
            <w:pPr>
              <w:widowControl w:val="0"/>
              <w:jc w:val="center"/>
              <w:rPr>
                <w:rFonts w:eastAsia="楷体_GB2312"/>
                <w:sz w:val="24"/>
              </w:rPr>
            </w:pPr>
            <w:r>
              <w:rPr>
                <w:rFonts w:hint="eastAsia" w:eastAsia="楷体_GB2312"/>
                <w:sz w:val="24"/>
              </w:rPr>
              <w:t>7.56</w:t>
            </w:r>
          </w:p>
        </w:tc>
      </w:tr>
      <w:tr w14:paraId="02281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9" w:type="pct"/>
            <w:noWrap w:val="0"/>
            <w:vAlign w:val="center"/>
          </w:tcPr>
          <w:p w14:paraId="7F265FB8">
            <w:pPr>
              <w:spacing w:line="320" w:lineRule="exact"/>
              <w:jc w:val="center"/>
              <w:rPr>
                <w:rFonts w:eastAsia="楷体_GB2312"/>
                <w:spacing w:val="-20"/>
                <w:sz w:val="24"/>
              </w:rPr>
            </w:pPr>
            <w:r>
              <w:rPr>
                <w:rFonts w:eastAsia="楷体_GB2312"/>
                <w:spacing w:val="-20"/>
                <w:sz w:val="24"/>
              </w:rPr>
              <w:t>7</w:t>
            </w:r>
          </w:p>
        </w:tc>
        <w:tc>
          <w:tcPr>
            <w:tcW w:w="927" w:type="pct"/>
            <w:noWrap w:val="0"/>
            <w:vAlign w:val="center"/>
          </w:tcPr>
          <w:p w14:paraId="24DE8676">
            <w:pPr>
              <w:pStyle w:val="20"/>
              <w:jc w:val="center"/>
              <w:rPr>
                <w:rFonts w:ascii="Times New Roman" w:hAnsi="Times New Roman" w:eastAsia="楷体_GB2312"/>
                <w:sz w:val="24"/>
                <w:szCs w:val="24"/>
              </w:rPr>
            </w:pPr>
            <w:r>
              <w:rPr>
                <w:rFonts w:ascii="Times New Roman" w:hAnsi="Times New Roman" w:eastAsia="楷体_GB2312"/>
                <w:sz w:val="24"/>
                <w:szCs w:val="24"/>
              </w:rPr>
              <w:t>时村镇</w:t>
            </w:r>
          </w:p>
        </w:tc>
        <w:tc>
          <w:tcPr>
            <w:tcW w:w="1822" w:type="pct"/>
            <w:noWrap w:val="0"/>
            <w:vAlign w:val="center"/>
          </w:tcPr>
          <w:p w14:paraId="6F90CE2F">
            <w:pPr>
              <w:widowControl w:val="0"/>
              <w:jc w:val="center"/>
              <w:rPr>
                <w:rFonts w:eastAsia="楷体_GB2312"/>
                <w:sz w:val="24"/>
              </w:rPr>
            </w:pPr>
            <w:r>
              <w:rPr>
                <w:rFonts w:hint="eastAsia" w:eastAsia="楷体_GB2312"/>
                <w:sz w:val="24"/>
              </w:rPr>
              <w:t>4.00</w:t>
            </w:r>
          </w:p>
        </w:tc>
        <w:tc>
          <w:tcPr>
            <w:tcW w:w="1822" w:type="pct"/>
            <w:noWrap w:val="0"/>
            <w:vAlign w:val="center"/>
          </w:tcPr>
          <w:p w14:paraId="56466E2B">
            <w:pPr>
              <w:widowControl w:val="0"/>
              <w:jc w:val="center"/>
              <w:rPr>
                <w:rFonts w:eastAsia="楷体_GB2312"/>
                <w:sz w:val="24"/>
              </w:rPr>
            </w:pPr>
            <w:r>
              <w:rPr>
                <w:rFonts w:hint="eastAsia" w:eastAsia="楷体_GB2312"/>
                <w:sz w:val="24"/>
              </w:rPr>
              <w:t>4.16</w:t>
            </w:r>
          </w:p>
        </w:tc>
      </w:tr>
      <w:tr w14:paraId="1408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9" w:type="pct"/>
            <w:noWrap w:val="0"/>
            <w:vAlign w:val="center"/>
          </w:tcPr>
          <w:p w14:paraId="2A932E3D">
            <w:pPr>
              <w:spacing w:line="320" w:lineRule="exact"/>
              <w:jc w:val="center"/>
              <w:rPr>
                <w:rFonts w:eastAsia="楷体_GB2312"/>
                <w:spacing w:val="-20"/>
                <w:sz w:val="24"/>
              </w:rPr>
            </w:pPr>
            <w:r>
              <w:rPr>
                <w:rFonts w:eastAsia="楷体_GB2312"/>
                <w:spacing w:val="-20"/>
                <w:sz w:val="24"/>
              </w:rPr>
              <w:t>8</w:t>
            </w:r>
          </w:p>
        </w:tc>
        <w:tc>
          <w:tcPr>
            <w:tcW w:w="927" w:type="pct"/>
            <w:noWrap w:val="0"/>
            <w:vAlign w:val="center"/>
          </w:tcPr>
          <w:p w14:paraId="570FDF72">
            <w:pPr>
              <w:pStyle w:val="20"/>
              <w:jc w:val="center"/>
              <w:rPr>
                <w:rFonts w:ascii="Times New Roman" w:hAnsi="Times New Roman" w:eastAsia="楷体_GB2312"/>
                <w:sz w:val="24"/>
                <w:szCs w:val="24"/>
              </w:rPr>
            </w:pPr>
            <w:r>
              <w:rPr>
                <w:rFonts w:ascii="Times New Roman" w:hAnsi="Times New Roman" w:eastAsia="楷体_GB2312"/>
                <w:sz w:val="24"/>
                <w:szCs w:val="24"/>
              </w:rPr>
              <w:t>夹沟镇</w:t>
            </w:r>
          </w:p>
        </w:tc>
        <w:tc>
          <w:tcPr>
            <w:tcW w:w="1822" w:type="pct"/>
            <w:noWrap w:val="0"/>
            <w:vAlign w:val="center"/>
          </w:tcPr>
          <w:p w14:paraId="4D7F591C">
            <w:pPr>
              <w:widowControl w:val="0"/>
              <w:jc w:val="center"/>
              <w:rPr>
                <w:rFonts w:eastAsia="楷体_GB2312"/>
                <w:sz w:val="24"/>
              </w:rPr>
            </w:pPr>
            <w:r>
              <w:rPr>
                <w:rFonts w:hint="eastAsia" w:eastAsia="楷体_GB2312"/>
                <w:sz w:val="24"/>
              </w:rPr>
              <w:t>2.20</w:t>
            </w:r>
          </w:p>
        </w:tc>
        <w:tc>
          <w:tcPr>
            <w:tcW w:w="1822" w:type="pct"/>
            <w:noWrap w:val="0"/>
            <w:vAlign w:val="center"/>
          </w:tcPr>
          <w:p w14:paraId="20AA3B40">
            <w:pPr>
              <w:widowControl w:val="0"/>
              <w:jc w:val="center"/>
              <w:rPr>
                <w:rFonts w:eastAsia="楷体_GB2312"/>
                <w:sz w:val="24"/>
              </w:rPr>
            </w:pPr>
            <w:r>
              <w:rPr>
                <w:rFonts w:hint="eastAsia" w:eastAsia="楷体_GB2312"/>
                <w:sz w:val="24"/>
              </w:rPr>
              <w:t>9.61</w:t>
            </w:r>
          </w:p>
        </w:tc>
      </w:tr>
      <w:tr w14:paraId="3CDA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9" w:type="pct"/>
            <w:noWrap w:val="0"/>
            <w:vAlign w:val="center"/>
          </w:tcPr>
          <w:p w14:paraId="7B53D061">
            <w:pPr>
              <w:spacing w:line="320" w:lineRule="exact"/>
              <w:jc w:val="center"/>
              <w:rPr>
                <w:rFonts w:eastAsia="楷体_GB2312"/>
                <w:spacing w:val="-20"/>
                <w:sz w:val="24"/>
              </w:rPr>
            </w:pPr>
            <w:r>
              <w:rPr>
                <w:rFonts w:eastAsia="楷体_GB2312"/>
                <w:spacing w:val="-20"/>
                <w:sz w:val="24"/>
              </w:rPr>
              <w:t>9</w:t>
            </w:r>
          </w:p>
        </w:tc>
        <w:tc>
          <w:tcPr>
            <w:tcW w:w="927" w:type="pct"/>
            <w:noWrap w:val="0"/>
            <w:vAlign w:val="center"/>
          </w:tcPr>
          <w:p w14:paraId="0F28B331">
            <w:pPr>
              <w:pStyle w:val="20"/>
              <w:jc w:val="center"/>
              <w:rPr>
                <w:rFonts w:ascii="Times New Roman" w:hAnsi="Times New Roman" w:eastAsia="楷体_GB2312"/>
                <w:sz w:val="24"/>
                <w:szCs w:val="24"/>
              </w:rPr>
            </w:pPr>
            <w:r>
              <w:rPr>
                <w:rFonts w:ascii="Times New Roman" w:hAnsi="Times New Roman" w:eastAsia="楷体_GB2312"/>
                <w:sz w:val="24"/>
                <w:szCs w:val="24"/>
              </w:rPr>
              <w:t>西二铺乡</w:t>
            </w:r>
          </w:p>
        </w:tc>
        <w:tc>
          <w:tcPr>
            <w:tcW w:w="1822" w:type="pct"/>
            <w:noWrap w:val="0"/>
            <w:vAlign w:val="center"/>
          </w:tcPr>
          <w:p w14:paraId="435BD8C8">
            <w:pPr>
              <w:widowControl w:val="0"/>
              <w:jc w:val="center"/>
              <w:rPr>
                <w:rFonts w:eastAsia="楷体_GB2312"/>
                <w:sz w:val="24"/>
              </w:rPr>
            </w:pPr>
            <w:r>
              <w:rPr>
                <w:rFonts w:hint="eastAsia" w:eastAsia="楷体_GB2312"/>
                <w:sz w:val="24"/>
              </w:rPr>
              <w:t>1.32</w:t>
            </w:r>
          </w:p>
        </w:tc>
        <w:tc>
          <w:tcPr>
            <w:tcW w:w="1822" w:type="pct"/>
            <w:noWrap w:val="0"/>
            <w:vAlign w:val="center"/>
          </w:tcPr>
          <w:p w14:paraId="0EC97D88">
            <w:pPr>
              <w:widowControl w:val="0"/>
              <w:jc w:val="center"/>
              <w:rPr>
                <w:rFonts w:eastAsia="楷体_GB2312"/>
                <w:sz w:val="24"/>
              </w:rPr>
            </w:pPr>
            <w:r>
              <w:rPr>
                <w:rFonts w:hint="eastAsia" w:eastAsia="楷体_GB2312"/>
                <w:sz w:val="24"/>
              </w:rPr>
              <w:t>2.39</w:t>
            </w:r>
          </w:p>
        </w:tc>
      </w:tr>
      <w:tr w14:paraId="246D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9" w:type="pct"/>
            <w:noWrap w:val="0"/>
            <w:vAlign w:val="center"/>
          </w:tcPr>
          <w:p w14:paraId="060EE804">
            <w:pPr>
              <w:spacing w:line="320" w:lineRule="exact"/>
              <w:jc w:val="center"/>
              <w:rPr>
                <w:rFonts w:eastAsia="楷体_GB2312"/>
                <w:spacing w:val="-20"/>
                <w:sz w:val="24"/>
              </w:rPr>
            </w:pPr>
            <w:r>
              <w:rPr>
                <w:rFonts w:eastAsia="楷体_GB2312"/>
                <w:spacing w:val="-20"/>
                <w:sz w:val="24"/>
              </w:rPr>
              <w:t>10</w:t>
            </w:r>
          </w:p>
        </w:tc>
        <w:tc>
          <w:tcPr>
            <w:tcW w:w="927" w:type="pct"/>
            <w:noWrap w:val="0"/>
            <w:vAlign w:val="center"/>
          </w:tcPr>
          <w:p w14:paraId="32EF2C52">
            <w:pPr>
              <w:pStyle w:val="20"/>
              <w:jc w:val="center"/>
              <w:rPr>
                <w:rFonts w:ascii="Times New Roman" w:hAnsi="Times New Roman" w:eastAsia="楷体_GB2312"/>
                <w:sz w:val="24"/>
                <w:szCs w:val="24"/>
              </w:rPr>
            </w:pPr>
            <w:r>
              <w:rPr>
                <w:rFonts w:ascii="Times New Roman" w:hAnsi="Times New Roman" w:eastAsia="楷体_GB2312"/>
                <w:sz w:val="24"/>
                <w:szCs w:val="24"/>
              </w:rPr>
              <w:t>桃园镇</w:t>
            </w:r>
          </w:p>
        </w:tc>
        <w:tc>
          <w:tcPr>
            <w:tcW w:w="1822" w:type="pct"/>
            <w:noWrap w:val="0"/>
            <w:vAlign w:val="center"/>
          </w:tcPr>
          <w:p w14:paraId="207F65FB">
            <w:pPr>
              <w:widowControl w:val="0"/>
              <w:jc w:val="center"/>
              <w:rPr>
                <w:rFonts w:eastAsia="楷体_GB2312"/>
                <w:sz w:val="24"/>
              </w:rPr>
            </w:pPr>
            <w:r>
              <w:rPr>
                <w:rFonts w:hint="eastAsia" w:eastAsia="楷体_GB2312"/>
                <w:sz w:val="24"/>
              </w:rPr>
              <w:t>3.70</w:t>
            </w:r>
          </w:p>
        </w:tc>
        <w:tc>
          <w:tcPr>
            <w:tcW w:w="1822" w:type="pct"/>
            <w:noWrap w:val="0"/>
            <w:vAlign w:val="center"/>
          </w:tcPr>
          <w:p w14:paraId="7DC0190C">
            <w:pPr>
              <w:widowControl w:val="0"/>
              <w:jc w:val="center"/>
              <w:rPr>
                <w:rFonts w:eastAsia="楷体_GB2312"/>
                <w:sz w:val="24"/>
              </w:rPr>
            </w:pPr>
            <w:r>
              <w:rPr>
                <w:rFonts w:hint="eastAsia" w:eastAsia="楷体_GB2312"/>
                <w:sz w:val="24"/>
              </w:rPr>
              <w:t>7.91</w:t>
            </w:r>
          </w:p>
        </w:tc>
      </w:tr>
      <w:tr w14:paraId="72029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9" w:type="pct"/>
            <w:noWrap w:val="0"/>
            <w:vAlign w:val="center"/>
          </w:tcPr>
          <w:p w14:paraId="26ACDADE">
            <w:pPr>
              <w:spacing w:line="320" w:lineRule="exact"/>
              <w:jc w:val="center"/>
              <w:rPr>
                <w:rFonts w:eastAsia="楷体_GB2312"/>
                <w:spacing w:val="-20"/>
                <w:sz w:val="24"/>
              </w:rPr>
            </w:pPr>
            <w:r>
              <w:rPr>
                <w:rFonts w:hint="eastAsia" w:eastAsia="楷体_GB2312"/>
                <w:spacing w:val="-20"/>
                <w:sz w:val="24"/>
              </w:rPr>
              <w:t>11</w:t>
            </w:r>
          </w:p>
        </w:tc>
        <w:tc>
          <w:tcPr>
            <w:tcW w:w="927" w:type="pct"/>
            <w:noWrap w:val="0"/>
            <w:vAlign w:val="center"/>
          </w:tcPr>
          <w:p w14:paraId="046BE8D3">
            <w:pPr>
              <w:pStyle w:val="20"/>
              <w:jc w:val="center"/>
              <w:rPr>
                <w:rFonts w:ascii="Times New Roman" w:hAnsi="Times New Roman" w:eastAsia="楷体_GB2312"/>
                <w:sz w:val="24"/>
                <w:szCs w:val="24"/>
              </w:rPr>
            </w:pPr>
            <w:r>
              <w:rPr>
                <w:rFonts w:ascii="Times New Roman" w:hAnsi="Times New Roman" w:eastAsia="楷体_GB2312"/>
                <w:sz w:val="24"/>
                <w:szCs w:val="24"/>
              </w:rPr>
              <w:t>曹村镇</w:t>
            </w:r>
          </w:p>
        </w:tc>
        <w:tc>
          <w:tcPr>
            <w:tcW w:w="1822" w:type="pct"/>
            <w:noWrap w:val="0"/>
            <w:vAlign w:val="center"/>
          </w:tcPr>
          <w:p w14:paraId="74863DF9">
            <w:pPr>
              <w:widowControl w:val="0"/>
              <w:jc w:val="center"/>
              <w:rPr>
                <w:rFonts w:eastAsia="楷体_GB2312"/>
                <w:sz w:val="24"/>
              </w:rPr>
            </w:pPr>
            <w:r>
              <w:rPr>
                <w:rFonts w:hint="eastAsia" w:eastAsia="楷体_GB2312"/>
                <w:sz w:val="24"/>
              </w:rPr>
              <w:t>2.79</w:t>
            </w:r>
          </w:p>
        </w:tc>
        <w:tc>
          <w:tcPr>
            <w:tcW w:w="1822" w:type="pct"/>
            <w:noWrap w:val="0"/>
            <w:vAlign w:val="center"/>
          </w:tcPr>
          <w:p w14:paraId="38653CAA">
            <w:pPr>
              <w:widowControl w:val="0"/>
              <w:jc w:val="center"/>
              <w:rPr>
                <w:rFonts w:eastAsia="楷体_GB2312"/>
                <w:sz w:val="24"/>
              </w:rPr>
            </w:pPr>
            <w:r>
              <w:rPr>
                <w:rFonts w:hint="eastAsia" w:eastAsia="楷体_GB2312"/>
                <w:sz w:val="24"/>
              </w:rPr>
              <w:t>4.80</w:t>
            </w:r>
          </w:p>
        </w:tc>
      </w:tr>
      <w:tr w14:paraId="72663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9" w:type="pct"/>
            <w:noWrap w:val="0"/>
            <w:vAlign w:val="center"/>
          </w:tcPr>
          <w:p w14:paraId="1ABEDADE">
            <w:pPr>
              <w:spacing w:line="320" w:lineRule="exact"/>
              <w:jc w:val="center"/>
              <w:rPr>
                <w:rFonts w:eastAsia="楷体_GB2312"/>
                <w:spacing w:val="-20"/>
                <w:sz w:val="24"/>
              </w:rPr>
            </w:pPr>
            <w:r>
              <w:rPr>
                <w:rFonts w:hint="eastAsia" w:eastAsia="楷体_GB2312"/>
                <w:spacing w:val="-20"/>
                <w:sz w:val="24"/>
              </w:rPr>
              <w:t>12</w:t>
            </w:r>
          </w:p>
        </w:tc>
        <w:tc>
          <w:tcPr>
            <w:tcW w:w="927" w:type="pct"/>
            <w:noWrap w:val="0"/>
            <w:vAlign w:val="center"/>
          </w:tcPr>
          <w:p w14:paraId="5C1A833A">
            <w:pPr>
              <w:pStyle w:val="20"/>
              <w:jc w:val="center"/>
              <w:rPr>
                <w:rFonts w:ascii="Times New Roman" w:hAnsi="Times New Roman" w:eastAsia="楷体_GB2312"/>
                <w:sz w:val="24"/>
                <w:szCs w:val="24"/>
              </w:rPr>
            </w:pPr>
            <w:r>
              <w:rPr>
                <w:rFonts w:ascii="Times New Roman" w:hAnsi="Times New Roman" w:eastAsia="楷体_GB2312"/>
                <w:sz w:val="24"/>
                <w:szCs w:val="24"/>
              </w:rPr>
              <w:t>大营镇</w:t>
            </w:r>
          </w:p>
        </w:tc>
        <w:tc>
          <w:tcPr>
            <w:tcW w:w="1822" w:type="pct"/>
            <w:noWrap w:val="0"/>
            <w:vAlign w:val="center"/>
          </w:tcPr>
          <w:p w14:paraId="16B1A382">
            <w:pPr>
              <w:widowControl w:val="0"/>
              <w:jc w:val="center"/>
              <w:rPr>
                <w:rFonts w:eastAsia="楷体_GB2312"/>
                <w:sz w:val="24"/>
              </w:rPr>
            </w:pPr>
            <w:r>
              <w:rPr>
                <w:rFonts w:hint="eastAsia" w:eastAsia="楷体_GB2312"/>
                <w:sz w:val="24"/>
              </w:rPr>
              <w:t>3.86</w:t>
            </w:r>
          </w:p>
        </w:tc>
        <w:tc>
          <w:tcPr>
            <w:tcW w:w="1822" w:type="pct"/>
            <w:noWrap w:val="0"/>
            <w:vAlign w:val="center"/>
          </w:tcPr>
          <w:p w14:paraId="13C0BFD2">
            <w:pPr>
              <w:widowControl w:val="0"/>
              <w:jc w:val="center"/>
              <w:rPr>
                <w:rFonts w:eastAsia="楷体_GB2312"/>
                <w:sz w:val="24"/>
              </w:rPr>
            </w:pPr>
            <w:r>
              <w:rPr>
                <w:rFonts w:hint="eastAsia" w:eastAsia="楷体_GB2312"/>
                <w:sz w:val="24"/>
              </w:rPr>
              <w:t>4.10</w:t>
            </w:r>
          </w:p>
        </w:tc>
      </w:tr>
      <w:tr w14:paraId="1912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9" w:type="pct"/>
            <w:noWrap w:val="0"/>
            <w:vAlign w:val="center"/>
          </w:tcPr>
          <w:p w14:paraId="791551D0">
            <w:pPr>
              <w:spacing w:line="320" w:lineRule="exact"/>
              <w:jc w:val="center"/>
              <w:rPr>
                <w:rFonts w:eastAsia="楷体_GB2312"/>
                <w:spacing w:val="-20"/>
                <w:sz w:val="24"/>
              </w:rPr>
            </w:pPr>
            <w:r>
              <w:rPr>
                <w:rFonts w:hint="eastAsia" w:eastAsia="楷体_GB2312"/>
                <w:spacing w:val="-20"/>
                <w:sz w:val="24"/>
              </w:rPr>
              <w:t>13</w:t>
            </w:r>
          </w:p>
        </w:tc>
        <w:tc>
          <w:tcPr>
            <w:tcW w:w="927" w:type="pct"/>
            <w:noWrap w:val="0"/>
            <w:vAlign w:val="center"/>
          </w:tcPr>
          <w:p w14:paraId="03D43D99">
            <w:pPr>
              <w:pStyle w:val="20"/>
              <w:jc w:val="center"/>
              <w:rPr>
                <w:rFonts w:ascii="Times New Roman" w:hAnsi="Times New Roman" w:eastAsia="楷体_GB2312"/>
                <w:sz w:val="24"/>
                <w:szCs w:val="24"/>
              </w:rPr>
            </w:pPr>
            <w:r>
              <w:rPr>
                <w:rFonts w:ascii="Times New Roman" w:hAnsi="Times New Roman" w:eastAsia="楷体_GB2312"/>
                <w:sz w:val="24"/>
                <w:szCs w:val="24"/>
              </w:rPr>
              <w:t>褚兰镇</w:t>
            </w:r>
          </w:p>
        </w:tc>
        <w:tc>
          <w:tcPr>
            <w:tcW w:w="1822" w:type="pct"/>
            <w:noWrap w:val="0"/>
            <w:vAlign w:val="center"/>
          </w:tcPr>
          <w:p w14:paraId="6F17FF0E">
            <w:pPr>
              <w:widowControl w:val="0"/>
              <w:jc w:val="center"/>
              <w:rPr>
                <w:rFonts w:eastAsia="楷体_GB2312"/>
                <w:sz w:val="24"/>
              </w:rPr>
            </w:pPr>
            <w:r>
              <w:rPr>
                <w:rFonts w:hint="eastAsia" w:eastAsia="楷体_GB2312"/>
                <w:sz w:val="24"/>
              </w:rPr>
              <w:t>2.19</w:t>
            </w:r>
          </w:p>
        </w:tc>
        <w:tc>
          <w:tcPr>
            <w:tcW w:w="1822" w:type="pct"/>
            <w:noWrap w:val="0"/>
            <w:vAlign w:val="center"/>
          </w:tcPr>
          <w:p w14:paraId="7A3AA76A">
            <w:pPr>
              <w:widowControl w:val="0"/>
              <w:jc w:val="center"/>
              <w:rPr>
                <w:rFonts w:eastAsia="楷体_GB2312"/>
                <w:sz w:val="24"/>
              </w:rPr>
            </w:pPr>
            <w:r>
              <w:rPr>
                <w:rFonts w:hint="eastAsia" w:eastAsia="楷体_GB2312"/>
                <w:sz w:val="24"/>
              </w:rPr>
              <w:t>2.66</w:t>
            </w:r>
          </w:p>
        </w:tc>
      </w:tr>
      <w:tr w14:paraId="22BCB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9" w:type="pct"/>
            <w:noWrap w:val="0"/>
            <w:vAlign w:val="center"/>
          </w:tcPr>
          <w:p w14:paraId="017A5A44">
            <w:pPr>
              <w:spacing w:line="320" w:lineRule="exact"/>
              <w:jc w:val="center"/>
              <w:rPr>
                <w:rFonts w:eastAsia="楷体_GB2312"/>
                <w:spacing w:val="-20"/>
                <w:sz w:val="24"/>
              </w:rPr>
            </w:pPr>
            <w:r>
              <w:rPr>
                <w:rFonts w:hint="eastAsia" w:eastAsia="楷体_GB2312"/>
                <w:spacing w:val="-20"/>
                <w:sz w:val="24"/>
              </w:rPr>
              <w:t>14</w:t>
            </w:r>
          </w:p>
        </w:tc>
        <w:tc>
          <w:tcPr>
            <w:tcW w:w="927" w:type="pct"/>
            <w:noWrap w:val="0"/>
            <w:vAlign w:val="center"/>
          </w:tcPr>
          <w:p w14:paraId="6CD4F1AB">
            <w:pPr>
              <w:pStyle w:val="20"/>
              <w:jc w:val="center"/>
              <w:rPr>
                <w:rFonts w:ascii="Times New Roman" w:hAnsi="Times New Roman" w:eastAsia="楷体_GB2312"/>
                <w:sz w:val="24"/>
                <w:szCs w:val="24"/>
              </w:rPr>
            </w:pPr>
            <w:r>
              <w:rPr>
                <w:rFonts w:ascii="Times New Roman" w:hAnsi="Times New Roman" w:eastAsia="楷体_GB2312"/>
                <w:sz w:val="24"/>
                <w:szCs w:val="24"/>
              </w:rPr>
              <w:t>顺河镇</w:t>
            </w:r>
          </w:p>
        </w:tc>
        <w:tc>
          <w:tcPr>
            <w:tcW w:w="1822" w:type="pct"/>
            <w:noWrap w:val="0"/>
            <w:vAlign w:val="center"/>
          </w:tcPr>
          <w:p w14:paraId="776FA27D">
            <w:pPr>
              <w:widowControl w:val="0"/>
              <w:jc w:val="center"/>
              <w:rPr>
                <w:rFonts w:eastAsia="楷体_GB2312"/>
                <w:sz w:val="24"/>
              </w:rPr>
            </w:pPr>
            <w:r>
              <w:rPr>
                <w:rFonts w:hint="eastAsia" w:eastAsia="楷体_GB2312"/>
                <w:sz w:val="24"/>
              </w:rPr>
              <w:t>4.68</w:t>
            </w:r>
          </w:p>
        </w:tc>
        <w:tc>
          <w:tcPr>
            <w:tcW w:w="1822" w:type="pct"/>
            <w:noWrap w:val="0"/>
            <w:vAlign w:val="center"/>
          </w:tcPr>
          <w:p w14:paraId="72F020DC">
            <w:pPr>
              <w:widowControl w:val="0"/>
              <w:jc w:val="center"/>
              <w:rPr>
                <w:rFonts w:eastAsia="楷体_GB2312"/>
                <w:sz w:val="24"/>
              </w:rPr>
            </w:pPr>
            <w:r>
              <w:rPr>
                <w:rFonts w:hint="eastAsia" w:eastAsia="楷体_GB2312"/>
                <w:sz w:val="24"/>
              </w:rPr>
              <w:t>4.44</w:t>
            </w:r>
          </w:p>
        </w:tc>
      </w:tr>
      <w:tr w14:paraId="1329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9" w:type="pct"/>
            <w:noWrap w:val="0"/>
            <w:vAlign w:val="center"/>
          </w:tcPr>
          <w:p w14:paraId="58EAFAB6">
            <w:pPr>
              <w:spacing w:line="320" w:lineRule="exact"/>
              <w:jc w:val="center"/>
              <w:rPr>
                <w:rFonts w:eastAsia="楷体_GB2312"/>
                <w:spacing w:val="-20"/>
                <w:sz w:val="24"/>
              </w:rPr>
            </w:pPr>
            <w:r>
              <w:rPr>
                <w:rFonts w:hint="eastAsia" w:eastAsia="楷体_GB2312"/>
                <w:spacing w:val="-20"/>
                <w:sz w:val="24"/>
              </w:rPr>
              <w:t>15</w:t>
            </w:r>
          </w:p>
        </w:tc>
        <w:tc>
          <w:tcPr>
            <w:tcW w:w="927" w:type="pct"/>
            <w:noWrap w:val="0"/>
            <w:vAlign w:val="center"/>
          </w:tcPr>
          <w:p w14:paraId="3AD442B7">
            <w:pPr>
              <w:pStyle w:val="20"/>
              <w:jc w:val="center"/>
              <w:rPr>
                <w:rFonts w:ascii="Times New Roman" w:hAnsi="Times New Roman" w:eastAsia="楷体_GB2312"/>
                <w:sz w:val="24"/>
                <w:szCs w:val="24"/>
              </w:rPr>
            </w:pPr>
            <w:r>
              <w:rPr>
                <w:rFonts w:ascii="Times New Roman" w:hAnsi="Times New Roman" w:eastAsia="楷体_GB2312"/>
                <w:sz w:val="24"/>
                <w:szCs w:val="24"/>
              </w:rPr>
              <w:t>杨庄镇</w:t>
            </w:r>
          </w:p>
        </w:tc>
        <w:tc>
          <w:tcPr>
            <w:tcW w:w="1822" w:type="pct"/>
            <w:noWrap w:val="0"/>
            <w:vAlign w:val="center"/>
          </w:tcPr>
          <w:p w14:paraId="5607DDCC">
            <w:pPr>
              <w:widowControl w:val="0"/>
              <w:jc w:val="center"/>
              <w:rPr>
                <w:rFonts w:eastAsia="楷体_GB2312"/>
                <w:sz w:val="24"/>
              </w:rPr>
            </w:pPr>
            <w:r>
              <w:rPr>
                <w:rFonts w:hint="eastAsia" w:eastAsia="楷体_GB2312"/>
                <w:sz w:val="24"/>
              </w:rPr>
              <w:t>1.33</w:t>
            </w:r>
          </w:p>
        </w:tc>
        <w:tc>
          <w:tcPr>
            <w:tcW w:w="1822" w:type="pct"/>
            <w:noWrap w:val="0"/>
            <w:vAlign w:val="center"/>
          </w:tcPr>
          <w:p w14:paraId="4189104F">
            <w:pPr>
              <w:widowControl w:val="0"/>
              <w:jc w:val="center"/>
              <w:rPr>
                <w:rFonts w:eastAsia="楷体_GB2312"/>
                <w:sz w:val="24"/>
              </w:rPr>
            </w:pPr>
            <w:r>
              <w:rPr>
                <w:rFonts w:hint="eastAsia" w:eastAsia="楷体_GB2312"/>
                <w:sz w:val="24"/>
              </w:rPr>
              <w:t>2.23</w:t>
            </w:r>
          </w:p>
        </w:tc>
      </w:tr>
      <w:tr w14:paraId="0F05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9" w:type="pct"/>
            <w:noWrap w:val="0"/>
            <w:vAlign w:val="center"/>
          </w:tcPr>
          <w:p w14:paraId="13F37C13">
            <w:pPr>
              <w:spacing w:line="320" w:lineRule="exact"/>
              <w:jc w:val="center"/>
              <w:rPr>
                <w:rFonts w:eastAsia="楷体_GB2312"/>
                <w:spacing w:val="-20"/>
                <w:sz w:val="24"/>
              </w:rPr>
            </w:pPr>
            <w:r>
              <w:rPr>
                <w:rFonts w:hint="eastAsia" w:eastAsia="楷体_GB2312"/>
                <w:spacing w:val="-20"/>
                <w:sz w:val="24"/>
              </w:rPr>
              <w:t>16</w:t>
            </w:r>
          </w:p>
        </w:tc>
        <w:tc>
          <w:tcPr>
            <w:tcW w:w="927" w:type="pct"/>
            <w:noWrap w:val="0"/>
            <w:vAlign w:val="center"/>
          </w:tcPr>
          <w:p w14:paraId="4D3D1B61">
            <w:pPr>
              <w:pStyle w:val="20"/>
              <w:jc w:val="center"/>
              <w:rPr>
                <w:rFonts w:ascii="Times New Roman" w:hAnsi="Times New Roman" w:eastAsia="楷体_GB2312"/>
                <w:sz w:val="24"/>
                <w:szCs w:val="24"/>
              </w:rPr>
            </w:pPr>
            <w:r>
              <w:rPr>
                <w:rFonts w:ascii="Times New Roman" w:hAnsi="Times New Roman" w:eastAsia="楷体_GB2312"/>
                <w:sz w:val="24"/>
                <w:szCs w:val="24"/>
              </w:rPr>
              <w:t>永镇乡</w:t>
            </w:r>
          </w:p>
        </w:tc>
        <w:tc>
          <w:tcPr>
            <w:tcW w:w="1822" w:type="pct"/>
            <w:noWrap w:val="0"/>
            <w:vAlign w:val="center"/>
          </w:tcPr>
          <w:p w14:paraId="5A15DE81">
            <w:pPr>
              <w:widowControl w:val="0"/>
              <w:jc w:val="center"/>
              <w:rPr>
                <w:rFonts w:eastAsia="楷体_GB2312"/>
                <w:sz w:val="24"/>
              </w:rPr>
            </w:pPr>
            <w:r>
              <w:rPr>
                <w:rFonts w:hint="eastAsia" w:eastAsia="楷体_GB2312"/>
                <w:sz w:val="24"/>
              </w:rPr>
              <w:t>1.38</w:t>
            </w:r>
          </w:p>
        </w:tc>
        <w:tc>
          <w:tcPr>
            <w:tcW w:w="1822" w:type="pct"/>
            <w:noWrap w:val="0"/>
            <w:vAlign w:val="center"/>
          </w:tcPr>
          <w:p w14:paraId="1FCF0B6D">
            <w:pPr>
              <w:widowControl w:val="0"/>
              <w:jc w:val="center"/>
              <w:rPr>
                <w:rFonts w:eastAsia="楷体_GB2312"/>
                <w:sz w:val="24"/>
              </w:rPr>
            </w:pPr>
            <w:r>
              <w:rPr>
                <w:rFonts w:hint="eastAsia" w:eastAsia="楷体_GB2312"/>
                <w:sz w:val="24"/>
              </w:rPr>
              <w:t>6.51</w:t>
            </w:r>
          </w:p>
        </w:tc>
      </w:tr>
      <w:tr w14:paraId="55A7D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9" w:type="pct"/>
            <w:noWrap w:val="0"/>
            <w:vAlign w:val="center"/>
          </w:tcPr>
          <w:p w14:paraId="3BD69F8E">
            <w:pPr>
              <w:spacing w:line="320" w:lineRule="exact"/>
              <w:jc w:val="center"/>
              <w:rPr>
                <w:rFonts w:eastAsia="楷体_GB2312"/>
                <w:spacing w:val="-20"/>
                <w:sz w:val="24"/>
              </w:rPr>
            </w:pPr>
            <w:r>
              <w:rPr>
                <w:rFonts w:hint="eastAsia" w:eastAsia="楷体_GB2312"/>
                <w:spacing w:val="-20"/>
                <w:sz w:val="24"/>
              </w:rPr>
              <w:t>17</w:t>
            </w:r>
          </w:p>
        </w:tc>
        <w:tc>
          <w:tcPr>
            <w:tcW w:w="927" w:type="pct"/>
            <w:noWrap w:val="0"/>
            <w:vAlign w:val="center"/>
          </w:tcPr>
          <w:p w14:paraId="185DA7AB">
            <w:pPr>
              <w:pStyle w:val="20"/>
              <w:jc w:val="center"/>
              <w:rPr>
                <w:rFonts w:ascii="Times New Roman" w:hAnsi="Times New Roman" w:eastAsia="楷体_GB2312"/>
                <w:sz w:val="24"/>
                <w:szCs w:val="24"/>
              </w:rPr>
            </w:pPr>
            <w:r>
              <w:rPr>
                <w:rFonts w:ascii="Times New Roman" w:hAnsi="Times New Roman" w:eastAsia="楷体_GB2312"/>
                <w:sz w:val="24"/>
                <w:szCs w:val="24"/>
              </w:rPr>
              <w:t>解集镇</w:t>
            </w:r>
          </w:p>
        </w:tc>
        <w:tc>
          <w:tcPr>
            <w:tcW w:w="1822" w:type="pct"/>
            <w:noWrap w:val="0"/>
            <w:vAlign w:val="center"/>
          </w:tcPr>
          <w:p w14:paraId="79939A40">
            <w:pPr>
              <w:widowControl w:val="0"/>
              <w:jc w:val="center"/>
              <w:rPr>
                <w:rFonts w:eastAsia="楷体_GB2312"/>
                <w:sz w:val="24"/>
              </w:rPr>
            </w:pPr>
            <w:r>
              <w:rPr>
                <w:rFonts w:hint="eastAsia" w:eastAsia="楷体_GB2312"/>
                <w:sz w:val="24"/>
              </w:rPr>
              <w:t>1.36</w:t>
            </w:r>
          </w:p>
        </w:tc>
        <w:tc>
          <w:tcPr>
            <w:tcW w:w="1822" w:type="pct"/>
            <w:noWrap w:val="0"/>
            <w:vAlign w:val="center"/>
          </w:tcPr>
          <w:p w14:paraId="50021DE9">
            <w:pPr>
              <w:widowControl w:val="0"/>
              <w:jc w:val="center"/>
              <w:rPr>
                <w:rFonts w:eastAsia="楷体_GB2312"/>
                <w:sz w:val="24"/>
              </w:rPr>
            </w:pPr>
            <w:r>
              <w:rPr>
                <w:rFonts w:hint="eastAsia" w:eastAsia="楷体_GB2312"/>
                <w:sz w:val="24"/>
              </w:rPr>
              <w:t>2.90</w:t>
            </w:r>
          </w:p>
        </w:tc>
      </w:tr>
      <w:tr w14:paraId="2982A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9" w:type="pct"/>
            <w:noWrap w:val="0"/>
            <w:vAlign w:val="center"/>
          </w:tcPr>
          <w:p w14:paraId="3B558054">
            <w:pPr>
              <w:spacing w:line="320" w:lineRule="exact"/>
              <w:jc w:val="center"/>
              <w:rPr>
                <w:rFonts w:eastAsia="楷体_GB2312"/>
                <w:spacing w:val="-20"/>
                <w:sz w:val="24"/>
              </w:rPr>
            </w:pPr>
            <w:r>
              <w:rPr>
                <w:rFonts w:hint="eastAsia" w:eastAsia="楷体_GB2312"/>
                <w:spacing w:val="-20"/>
                <w:sz w:val="24"/>
              </w:rPr>
              <w:t>18</w:t>
            </w:r>
          </w:p>
        </w:tc>
        <w:tc>
          <w:tcPr>
            <w:tcW w:w="927" w:type="pct"/>
            <w:noWrap w:val="0"/>
            <w:vAlign w:val="center"/>
          </w:tcPr>
          <w:p w14:paraId="54FD2A80">
            <w:pPr>
              <w:pStyle w:val="20"/>
              <w:jc w:val="center"/>
              <w:rPr>
                <w:rFonts w:ascii="Times New Roman" w:hAnsi="Times New Roman" w:eastAsia="楷体_GB2312"/>
                <w:sz w:val="24"/>
                <w:szCs w:val="24"/>
              </w:rPr>
            </w:pPr>
            <w:r>
              <w:rPr>
                <w:rFonts w:ascii="Times New Roman" w:hAnsi="Times New Roman" w:eastAsia="楷体_GB2312"/>
                <w:sz w:val="24"/>
                <w:szCs w:val="24"/>
              </w:rPr>
              <w:t>大泽乡镇</w:t>
            </w:r>
          </w:p>
        </w:tc>
        <w:tc>
          <w:tcPr>
            <w:tcW w:w="1822" w:type="pct"/>
            <w:noWrap w:val="0"/>
            <w:vAlign w:val="center"/>
          </w:tcPr>
          <w:p w14:paraId="1C51FF17">
            <w:pPr>
              <w:widowControl w:val="0"/>
              <w:jc w:val="center"/>
              <w:rPr>
                <w:rFonts w:eastAsia="楷体_GB2312"/>
                <w:sz w:val="24"/>
              </w:rPr>
            </w:pPr>
            <w:r>
              <w:rPr>
                <w:rFonts w:hint="eastAsia" w:eastAsia="楷体_GB2312"/>
                <w:sz w:val="24"/>
              </w:rPr>
              <w:t>2.63</w:t>
            </w:r>
          </w:p>
        </w:tc>
        <w:tc>
          <w:tcPr>
            <w:tcW w:w="1822" w:type="pct"/>
            <w:noWrap w:val="0"/>
            <w:vAlign w:val="center"/>
          </w:tcPr>
          <w:p w14:paraId="59E3FEF1">
            <w:pPr>
              <w:widowControl w:val="0"/>
              <w:jc w:val="center"/>
              <w:rPr>
                <w:rFonts w:eastAsia="楷体_GB2312"/>
                <w:sz w:val="24"/>
              </w:rPr>
            </w:pPr>
            <w:r>
              <w:rPr>
                <w:rFonts w:hint="eastAsia" w:eastAsia="楷体_GB2312"/>
                <w:sz w:val="24"/>
              </w:rPr>
              <w:t>4.63</w:t>
            </w:r>
          </w:p>
        </w:tc>
      </w:tr>
      <w:tr w14:paraId="76C1A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9" w:type="pct"/>
            <w:noWrap w:val="0"/>
            <w:vAlign w:val="center"/>
          </w:tcPr>
          <w:p w14:paraId="6B764E68">
            <w:pPr>
              <w:spacing w:line="320" w:lineRule="exact"/>
              <w:jc w:val="center"/>
              <w:rPr>
                <w:rFonts w:eastAsia="楷体_GB2312"/>
                <w:spacing w:val="-20"/>
                <w:sz w:val="24"/>
              </w:rPr>
            </w:pPr>
            <w:r>
              <w:rPr>
                <w:rFonts w:hint="eastAsia" w:eastAsia="楷体_GB2312"/>
                <w:spacing w:val="-20"/>
                <w:sz w:val="24"/>
              </w:rPr>
              <w:t>19</w:t>
            </w:r>
          </w:p>
        </w:tc>
        <w:tc>
          <w:tcPr>
            <w:tcW w:w="927" w:type="pct"/>
            <w:noWrap w:val="0"/>
            <w:vAlign w:val="center"/>
          </w:tcPr>
          <w:p w14:paraId="5D0925E6">
            <w:pPr>
              <w:pStyle w:val="20"/>
              <w:jc w:val="center"/>
              <w:rPr>
                <w:rFonts w:ascii="Times New Roman" w:hAnsi="Times New Roman" w:eastAsia="楷体_GB2312"/>
                <w:sz w:val="24"/>
                <w:szCs w:val="24"/>
              </w:rPr>
            </w:pPr>
            <w:r>
              <w:rPr>
                <w:rFonts w:ascii="Times New Roman" w:hAnsi="Times New Roman" w:eastAsia="楷体_GB2312"/>
                <w:sz w:val="24"/>
                <w:szCs w:val="24"/>
              </w:rPr>
              <w:t>永安镇</w:t>
            </w:r>
          </w:p>
        </w:tc>
        <w:tc>
          <w:tcPr>
            <w:tcW w:w="1822" w:type="pct"/>
            <w:noWrap w:val="0"/>
            <w:vAlign w:val="center"/>
          </w:tcPr>
          <w:p w14:paraId="5DD8512A">
            <w:pPr>
              <w:widowControl w:val="0"/>
              <w:jc w:val="center"/>
              <w:rPr>
                <w:rFonts w:eastAsia="楷体_GB2312"/>
                <w:sz w:val="24"/>
              </w:rPr>
            </w:pPr>
            <w:r>
              <w:rPr>
                <w:rFonts w:hint="eastAsia" w:eastAsia="楷体_GB2312"/>
                <w:sz w:val="24"/>
              </w:rPr>
              <w:t>2.66</w:t>
            </w:r>
          </w:p>
        </w:tc>
        <w:tc>
          <w:tcPr>
            <w:tcW w:w="1822" w:type="pct"/>
            <w:noWrap w:val="0"/>
            <w:vAlign w:val="center"/>
          </w:tcPr>
          <w:p w14:paraId="0609CB63">
            <w:pPr>
              <w:widowControl w:val="0"/>
              <w:jc w:val="center"/>
              <w:rPr>
                <w:rFonts w:eastAsia="楷体_GB2312"/>
                <w:sz w:val="24"/>
              </w:rPr>
            </w:pPr>
            <w:r>
              <w:rPr>
                <w:rFonts w:hint="eastAsia" w:eastAsia="楷体_GB2312"/>
                <w:sz w:val="24"/>
              </w:rPr>
              <w:t>5.41</w:t>
            </w:r>
          </w:p>
        </w:tc>
      </w:tr>
      <w:tr w14:paraId="0B906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9" w:type="pct"/>
            <w:noWrap w:val="0"/>
            <w:vAlign w:val="center"/>
          </w:tcPr>
          <w:p w14:paraId="3174BAEE">
            <w:pPr>
              <w:spacing w:line="320" w:lineRule="exact"/>
              <w:jc w:val="center"/>
              <w:rPr>
                <w:rFonts w:eastAsia="楷体_GB2312"/>
                <w:spacing w:val="-20"/>
                <w:sz w:val="24"/>
              </w:rPr>
            </w:pPr>
            <w:r>
              <w:rPr>
                <w:rFonts w:hint="eastAsia" w:eastAsia="楷体_GB2312"/>
                <w:spacing w:val="-20"/>
                <w:sz w:val="24"/>
              </w:rPr>
              <w:t>20</w:t>
            </w:r>
          </w:p>
        </w:tc>
        <w:tc>
          <w:tcPr>
            <w:tcW w:w="927" w:type="pct"/>
            <w:noWrap w:val="0"/>
            <w:vAlign w:val="center"/>
          </w:tcPr>
          <w:p w14:paraId="2A913068">
            <w:pPr>
              <w:pStyle w:val="20"/>
              <w:jc w:val="center"/>
              <w:rPr>
                <w:rFonts w:ascii="Times New Roman" w:hAnsi="Times New Roman" w:eastAsia="楷体_GB2312"/>
                <w:sz w:val="24"/>
                <w:szCs w:val="24"/>
              </w:rPr>
            </w:pPr>
            <w:r>
              <w:rPr>
                <w:rFonts w:ascii="Times New Roman" w:hAnsi="Times New Roman" w:eastAsia="楷体_GB2312"/>
                <w:sz w:val="24"/>
                <w:szCs w:val="24"/>
              </w:rPr>
              <w:t>支河乡</w:t>
            </w:r>
          </w:p>
        </w:tc>
        <w:tc>
          <w:tcPr>
            <w:tcW w:w="1822" w:type="pct"/>
            <w:noWrap w:val="0"/>
            <w:vAlign w:val="center"/>
          </w:tcPr>
          <w:p w14:paraId="7217AADF">
            <w:pPr>
              <w:widowControl w:val="0"/>
              <w:jc w:val="center"/>
              <w:rPr>
                <w:rFonts w:eastAsia="楷体_GB2312"/>
                <w:sz w:val="24"/>
              </w:rPr>
            </w:pPr>
            <w:r>
              <w:rPr>
                <w:rFonts w:hint="eastAsia" w:eastAsia="楷体_GB2312"/>
                <w:sz w:val="24"/>
              </w:rPr>
              <w:t>1.72</w:t>
            </w:r>
          </w:p>
        </w:tc>
        <w:tc>
          <w:tcPr>
            <w:tcW w:w="1822" w:type="pct"/>
            <w:noWrap w:val="0"/>
            <w:vAlign w:val="center"/>
          </w:tcPr>
          <w:p w14:paraId="33A6ABB3">
            <w:pPr>
              <w:widowControl w:val="0"/>
              <w:jc w:val="center"/>
              <w:rPr>
                <w:rFonts w:eastAsia="楷体_GB2312"/>
                <w:sz w:val="24"/>
              </w:rPr>
            </w:pPr>
            <w:r>
              <w:rPr>
                <w:rFonts w:hint="eastAsia" w:eastAsia="楷体_GB2312"/>
                <w:sz w:val="24"/>
              </w:rPr>
              <w:t>2.41</w:t>
            </w:r>
          </w:p>
        </w:tc>
      </w:tr>
      <w:tr w14:paraId="4A76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9" w:type="pct"/>
            <w:noWrap w:val="0"/>
            <w:vAlign w:val="center"/>
          </w:tcPr>
          <w:p w14:paraId="164D9FD7">
            <w:pPr>
              <w:spacing w:line="320" w:lineRule="exact"/>
              <w:jc w:val="center"/>
              <w:rPr>
                <w:rFonts w:eastAsia="楷体_GB2312"/>
                <w:spacing w:val="-20"/>
                <w:sz w:val="24"/>
              </w:rPr>
            </w:pPr>
            <w:r>
              <w:rPr>
                <w:rFonts w:hint="eastAsia" w:eastAsia="楷体_GB2312"/>
                <w:spacing w:val="-20"/>
                <w:sz w:val="24"/>
              </w:rPr>
              <w:t>21</w:t>
            </w:r>
          </w:p>
        </w:tc>
        <w:tc>
          <w:tcPr>
            <w:tcW w:w="927" w:type="pct"/>
            <w:noWrap w:val="0"/>
            <w:vAlign w:val="center"/>
          </w:tcPr>
          <w:p w14:paraId="569BC871">
            <w:pPr>
              <w:pStyle w:val="20"/>
              <w:jc w:val="center"/>
              <w:rPr>
                <w:rFonts w:ascii="Times New Roman" w:hAnsi="Times New Roman" w:eastAsia="楷体_GB2312"/>
                <w:sz w:val="24"/>
                <w:szCs w:val="24"/>
              </w:rPr>
            </w:pPr>
            <w:r>
              <w:rPr>
                <w:rFonts w:ascii="Times New Roman" w:hAnsi="Times New Roman" w:eastAsia="楷体_GB2312"/>
                <w:sz w:val="24"/>
                <w:szCs w:val="24"/>
              </w:rPr>
              <w:t>灰古镇</w:t>
            </w:r>
          </w:p>
        </w:tc>
        <w:tc>
          <w:tcPr>
            <w:tcW w:w="1822" w:type="pct"/>
            <w:noWrap w:val="0"/>
            <w:vAlign w:val="center"/>
          </w:tcPr>
          <w:p w14:paraId="75733558">
            <w:pPr>
              <w:widowControl w:val="0"/>
              <w:jc w:val="center"/>
              <w:rPr>
                <w:rFonts w:eastAsia="楷体_GB2312"/>
                <w:sz w:val="24"/>
              </w:rPr>
            </w:pPr>
            <w:r>
              <w:rPr>
                <w:rFonts w:hint="eastAsia" w:eastAsia="楷体_GB2312"/>
                <w:sz w:val="24"/>
              </w:rPr>
              <w:t>1.42</w:t>
            </w:r>
          </w:p>
        </w:tc>
        <w:tc>
          <w:tcPr>
            <w:tcW w:w="1822" w:type="pct"/>
            <w:noWrap w:val="0"/>
            <w:vAlign w:val="center"/>
          </w:tcPr>
          <w:p w14:paraId="7F833397">
            <w:pPr>
              <w:widowControl w:val="0"/>
              <w:jc w:val="center"/>
              <w:rPr>
                <w:rFonts w:eastAsia="楷体_GB2312"/>
                <w:sz w:val="24"/>
              </w:rPr>
            </w:pPr>
            <w:r>
              <w:rPr>
                <w:rFonts w:hint="eastAsia" w:eastAsia="楷体_GB2312"/>
                <w:sz w:val="24"/>
              </w:rPr>
              <w:t>3.01</w:t>
            </w:r>
          </w:p>
        </w:tc>
      </w:tr>
      <w:tr w14:paraId="006D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429" w:type="pct"/>
            <w:noWrap w:val="0"/>
            <w:vAlign w:val="center"/>
          </w:tcPr>
          <w:p w14:paraId="598F2C5C">
            <w:pPr>
              <w:spacing w:line="320" w:lineRule="exact"/>
              <w:jc w:val="center"/>
              <w:rPr>
                <w:rFonts w:eastAsia="楷体_GB2312"/>
                <w:spacing w:val="-20"/>
                <w:sz w:val="24"/>
              </w:rPr>
            </w:pPr>
            <w:r>
              <w:rPr>
                <w:rFonts w:hint="eastAsia" w:eastAsia="楷体_GB2312"/>
                <w:spacing w:val="-20"/>
                <w:sz w:val="24"/>
              </w:rPr>
              <w:t>22</w:t>
            </w:r>
          </w:p>
        </w:tc>
        <w:tc>
          <w:tcPr>
            <w:tcW w:w="927" w:type="pct"/>
            <w:noWrap w:val="0"/>
            <w:vAlign w:val="center"/>
          </w:tcPr>
          <w:p w14:paraId="07DA42AD">
            <w:pPr>
              <w:pStyle w:val="20"/>
              <w:jc w:val="center"/>
              <w:rPr>
                <w:rFonts w:ascii="Times New Roman" w:hAnsi="Times New Roman" w:eastAsia="楷体_GB2312"/>
                <w:sz w:val="24"/>
                <w:szCs w:val="24"/>
              </w:rPr>
            </w:pPr>
            <w:r>
              <w:rPr>
                <w:rFonts w:ascii="Times New Roman" w:hAnsi="Times New Roman" w:eastAsia="楷体_GB2312"/>
                <w:sz w:val="24"/>
                <w:szCs w:val="24"/>
              </w:rPr>
              <w:t>桃沟乡</w:t>
            </w:r>
          </w:p>
        </w:tc>
        <w:tc>
          <w:tcPr>
            <w:tcW w:w="1822" w:type="pct"/>
            <w:noWrap w:val="0"/>
            <w:vAlign w:val="center"/>
          </w:tcPr>
          <w:p w14:paraId="70C85D2B">
            <w:pPr>
              <w:widowControl w:val="0"/>
              <w:jc w:val="center"/>
              <w:rPr>
                <w:rFonts w:eastAsia="楷体_GB2312"/>
                <w:sz w:val="24"/>
              </w:rPr>
            </w:pPr>
            <w:r>
              <w:rPr>
                <w:rFonts w:hint="eastAsia" w:eastAsia="楷体_GB2312"/>
                <w:sz w:val="24"/>
              </w:rPr>
              <w:t>1.19</w:t>
            </w:r>
          </w:p>
        </w:tc>
        <w:tc>
          <w:tcPr>
            <w:tcW w:w="1822" w:type="pct"/>
            <w:noWrap w:val="0"/>
            <w:vAlign w:val="center"/>
          </w:tcPr>
          <w:p w14:paraId="098850F6">
            <w:pPr>
              <w:widowControl w:val="0"/>
              <w:jc w:val="center"/>
              <w:rPr>
                <w:rFonts w:eastAsia="楷体_GB2312"/>
                <w:sz w:val="24"/>
              </w:rPr>
            </w:pPr>
            <w:r>
              <w:rPr>
                <w:rFonts w:hint="eastAsia" w:eastAsia="楷体_GB2312"/>
                <w:sz w:val="24"/>
              </w:rPr>
              <w:t>1.22</w:t>
            </w:r>
          </w:p>
        </w:tc>
      </w:tr>
    </w:tbl>
    <w:p w14:paraId="09B63890">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由各乡镇两轮定级范围面积对比可以看出，部分乡镇本轮定级范围较上轮定级范围面积有所减少，减少的主要原因是</w:t>
      </w:r>
      <w:bookmarkStart w:id="136" w:name="_GoBack"/>
      <w:bookmarkEnd w:id="136"/>
      <w:r>
        <w:rPr>
          <w:rFonts w:ascii="Times New Roman" w:hAnsi="Times New Roman" w:eastAsia="楷体_GB2312" w:cs="Times New Roman"/>
          <w:sz w:val="28"/>
        </w:rPr>
        <w:t>乡镇集镇总体规划的调整，在不突破土地利用总体规划范围的前提下，并结合国土空间规划，经上报“工作领导小组”，最终将本轮定级范围做了调整。本轮定级范围面积较上轮定级范围面积有所减小。</w:t>
      </w:r>
    </w:p>
    <w:p w14:paraId="2087EC6E">
      <w:pPr>
        <w:pStyle w:val="20"/>
        <w:jc w:val="center"/>
        <w:rPr>
          <w:rFonts w:ascii="Times New Roman" w:hAnsi="Times New Roman" w:eastAsia="黑体" w:cs="Times New Roman"/>
          <w:sz w:val="28"/>
        </w:rPr>
      </w:pPr>
    </w:p>
    <w:p w14:paraId="6CD25647">
      <w:pPr>
        <w:pStyle w:val="4"/>
        <w:numPr>
          <w:ilvl w:val="0"/>
          <w:numId w:val="0"/>
        </w:numPr>
        <w:spacing w:line="380" w:lineRule="exact"/>
        <w:jc w:val="center"/>
        <w:rPr>
          <w:rFonts w:eastAsia="仿宋_GB2312"/>
          <w:bCs w:val="0"/>
        </w:rPr>
      </w:pPr>
      <w:bookmarkStart w:id="19" w:name="_Toc446487129"/>
      <w:bookmarkStart w:id="20" w:name="_Toc62563650"/>
      <w:bookmarkStart w:id="21" w:name="_Toc474862578"/>
      <w:r>
        <w:rPr>
          <w:rFonts w:eastAsia="仿宋_GB2312"/>
          <w:bCs w:val="0"/>
        </w:rPr>
        <w:br w:type="page"/>
      </w:r>
      <w:r>
        <w:rPr>
          <w:rFonts w:eastAsia="仿宋_GB2312"/>
          <w:bCs w:val="0"/>
        </w:rPr>
        <w:t>第二节  土地定级因素因子的筛选和确定</w:t>
      </w:r>
      <w:bookmarkEnd w:id="19"/>
      <w:bookmarkEnd w:id="20"/>
      <w:bookmarkEnd w:id="21"/>
    </w:p>
    <w:p w14:paraId="39B7220D">
      <w:pPr>
        <w:pStyle w:val="20"/>
        <w:spacing w:line="480" w:lineRule="exact"/>
        <w:rPr>
          <w:rFonts w:ascii="Times New Roman" w:hAnsi="Times New Roman" w:cs="Times New Roman"/>
          <w:b/>
          <w:sz w:val="28"/>
        </w:rPr>
      </w:pPr>
      <w:r>
        <w:rPr>
          <w:rFonts w:ascii="Times New Roman" w:hAnsi="Times New Roman" w:cs="Times New Roman"/>
          <w:b/>
          <w:sz w:val="28"/>
        </w:rPr>
        <w:t>一、土地定级因素的确定</w:t>
      </w:r>
    </w:p>
    <w:p w14:paraId="50FB64B1">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本次</w:t>
      </w:r>
      <w:r>
        <w:rPr>
          <w:rFonts w:hint="eastAsia" w:ascii="楷体" w:hAnsi="楷体" w:eastAsia="楷体" w:cs="楷体_GB2312"/>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各乡镇土地定级采用综合定级的方式。根据《城镇土地分等定级规程》（GB/T 18507-2014）综合定级的因素选择范围包括繁华程度、交通条件、基本设施状况及环境条件四个方面。其中繁华程度有商服繁华影响度，交通条件有道路通达度、公交便捷度、对外交通便利度，基本设施状况有基础设施完善度和公用设施完备度，环境条件有环境质量优劣度、绿地覆盖度、自然条件优劣度和景观条件优劣度。</w:t>
      </w:r>
    </w:p>
    <w:p w14:paraId="33FA582D">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工作领导小组结合各乡镇实际情况对土地定级的因素进行了筛选：</w:t>
      </w:r>
    </w:p>
    <w:p w14:paraId="7BBD649E">
      <w:pPr>
        <w:widowControl w:val="0"/>
        <w:spacing w:line="480" w:lineRule="exact"/>
        <w:jc w:val="center"/>
        <w:rPr>
          <w:rFonts w:eastAsia="黑体"/>
          <w:sz w:val="28"/>
          <w:szCs w:val="21"/>
        </w:rPr>
      </w:pPr>
      <w:r>
        <w:rPr>
          <w:rFonts w:eastAsia="黑体"/>
          <w:sz w:val="28"/>
          <w:szCs w:val="21"/>
        </w:rPr>
        <w:t>表1-2-4  埇桥区乡镇土地定级因素因子筛选表</w:t>
      </w:r>
    </w:p>
    <w:tbl>
      <w:tblPr>
        <w:tblStyle w:val="38"/>
        <w:tblW w:w="86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1842"/>
        <w:gridCol w:w="1753"/>
        <w:gridCol w:w="2019"/>
        <w:gridCol w:w="2515"/>
      </w:tblGrid>
      <w:tr w14:paraId="1A8F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blHeader/>
          <w:jc w:val="center"/>
        </w:trPr>
        <w:tc>
          <w:tcPr>
            <w:tcW w:w="569" w:type="dxa"/>
            <w:vMerge w:val="restart"/>
            <w:noWrap w:val="0"/>
            <w:vAlign w:val="center"/>
          </w:tcPr>
          <w:p w14:paraId="72BD3283">
            <w:pPr>
              <w:widowControl w:val="0"/>
              <w:spacing w:line="300" w:lineRule="exact"/>
              <w:jc w:val="center"/>
              <w:rPr>
                <w:rFonts w:eastAsia="楷体_GB2312"/>
                <w:spacing w:val="-8"/>
                <w:szCs w:val="21"/>
              </w:rPr>
            </w:pPr>
            <w:r>
              <w:rPr>
                <w:rFonts w:eastAsia="楷体_GB2312"/>
                <w:spacing w:val="-8"/>
                <w:szCs w:val="21"/>
              </w:rPr>
              <w:t>序号</w:t>
            </w:r>
          </w:p>
        </w:tc>
        <w:tc>
          <w:tcPr>
            <w:tcW w:w="3595" w:type="dxa"/>
            <w:gridSpan w:val="2"/>
            <w:noWrap w:val="0"/>
            <w:vAlign w:val="center"/>
          </w:tcPr>
          <w:p w14:paraId="6B8639AE">
            <w:pPr>
              <w:widowControl w:val="0"/>
              <w:spacing w:line="300" w:lineRule="exact"/>
              <w:jc w:val="center"/>
              <w:rPr>
                <w:rFonts w:eastAsia="楷体_GB2312"/>
                <w:spacing w:val="-8"/>
                <w:szCs w:val="21"/>
              </w:rPr>
            </w:pPr>
            <w:r>
              <w:rPr>
                <w:rFonts w:eastAsia="楷体_GB2312"/>
                <w:spacing w:val="-8"/>
                <w:szCs w:val="21"/>
              </w:rPr>
              <w:t>规程中规定可供选择的因素因子</w:t>
            </w:r>
          </w:p>
        </w:tc>
        <w:tc>
          <w:tcPr>
            <w:tcW w:w="2019" w:type="dxa"/>
            <w:vMerge w:val="restart"/>
            <w:noWrap w:val="0"/>
            <w:vAlign w:val="center"/>
          </w:tcPr>
          <w:p w14:paraId="06EBEBC4">
            <w:pPr>
              <w:widowControl w:val="0"/>
              <w:spacing w:line="300" w:lineRule="exact"/>
              <w:jc w:val="center"/>
              <w:rPr>
                <w:rFonts w:eastAsia="楷体_GB2312"/>
                <w:spacing w:val="-8"/>
                <w:szCs w:val="21"/>
              </w:rPr>
            </w:pPr>
            <w:r>
              <w:rPr>
                <w:rFonts w:eastAsia="楷体_GB2312"/>
                <w:spacing w:val="-8"/>
                <w:szCs w:val="21"/>
              </w:rPr>
              <w:t>乡镇土地定级因素因子筛选情况</w:t>
            </w:r>
          </w:p>
        </w:tc>
        <w:tc>
          <w:tcPr>
            <w:tcW w:w="2515" w:type="dxa"/>
            <w:vMerge w:val="restart"/>
            <w:noWrap w:val="0"/>
            <w:vAlign w:val="center"/>
          </w:tcPr>
          <w:p w14:paraId="2D9FFEAB">
            <w:pPr>
              <w:widowControl w:val="0"/>
              <w:spacing w:line="300" w:lineRule="exact"/>
              <w:jc w:val="center"/>
              <w:rPr>
                <w:rFonts w:eastAsia="楷体_GB2312"/>
                <w:spacing w:val="-8"/>
                <w:szCs w:val="21"/>
              </w:rPr>
            </w:pPr>
            <w:r>
              <w:rPr>
                <w:rFonts w:eastAsia="楷体_GB2312"/>
                <w:spacing w:val="-8"/>
                <w:szCs w:val="21"/>
              </w:rPr>
              <w:t>特殊说明</w:t>
            </w:r>
          </w:p>
        </w:tc>
      </w:tr>
      <w:tr w14:paraId="6F12A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jc w:val="center"/>
        </w:trPr>
        <w:tc>
          <w:tcPr>
            <w:tcW w:w="569" w:type="dxa"/>
            <w:vMerge w:val="continue"/>
            <w:noWrap w:val="0"/>
            <w:vAlign w:val="center"/>
          </w:tcPr>
          <w:p w14:paraId="4E78BF1D">
            <w:pPr>
              <w:widowControl w:val="0"/>
              <w:spacing w:line="300" w:lineRule="exact"/>
              <w:jc w:val="center"/>
              <w:rPr>
                <w:rFonts w:eastAsia="楷体_GB2312"/>
                <w:spacing w:val="-8"/>
                <w:szCs w:val="21"/>
              </w:rPr>
            </w:pPr>
          </w:p>
        </w:tc>
        <w:tc>
          <w:tcPr>
            <w:tcW w:w="1842" w:type="dxa"/>
            <w:noWrap w:val="0"/>
            <w:vAlign w:val="center"/>
          </w:tcPr>
          <w:p w14:paraId="6618FD7A">
            <w:pPr>
              <w:widowControl w:val="0"/>
              <w:spacing w:line="300" w:lineRule="exact"/>
              <w:jc w:val="center"/>
              <w:rPr>
                <w:rFonts w:eastAsia="楷体_GB2312"/>
                <w:spacing w:val="-8"/>
                <w:szCs w:val="21"/>
              </w:rPr>
            </w:pPr>
            <w:r>
              <w:rPr>
                <w:rFonts w:eastAsia="楷体_GB2312"/>
                <w:spacing w:val="-8"/>
                <w:szCs w:val="21"/>
              </w:rPr>
              <w:t>因素</w:t>
            </w:r>
          </w:p>
        </w:tc>
        <w:tc>
          <w:tcPr>
            <w:tcW w:w="1753" w:type="dxa"/>
            <w:noWrap w:val="0"/>
            <w:vAlign w:val="center"/>
          </w:tcPr>
          <w:p w14:paraId="18314D49">
            <w:pPr>
              <w:widowControl w:val="0"/>
              <w:spacing w:line="300" w:lineRule="exact"/>
              <w:jc w:val="center"/>
              <w:rPr>
                <w:rFonts w:eastAsia="楷体_GB2312"/>
                <w:spacing w:val="-8"/>
                <w:szCs w:val="21"/>
              </w:rPr>
            </w:pPr>
            <w:r>
              <w:rPr>
                <w:rFonts w:eastAsia="楷体_GB2312"/>
                <w:spacing w:val="-8"/>
                <w:szCs w:val="21"/>
              </w:rPr>
              <w:t>因子</w:t>
            </w:r>
          </w:p>
        </w:tc>
        <w:tc>
          <w:tcPr>
            <w:tcW w:w="2019" w:type="dxa"/>
            <w:vMerge w:val="continue"/>
            <w:noWrap w:val="0"/>
            <w:vAlign w:val="center"/>
          </w:tcPr>
          <w:p w14:paraId="73EFE4B1">
            <w:pPr>
              <w:widowControl w:val="0"/>
              <w:spacing w:line="300" w:lineRule="exact"/>
              <w:jc w:val="center"/>
              <w:rPr>
                <w:rFonts w:eastAsia="楷体_GB2312"/>
                <w:spacing w:val="-8"/>
                <w:szCs w:val="21"/>
              </w:rPr>
            </w:pPr>
          </w:p>
        </w:tc>
        <w:tc>
          <w:tcPr>
            <w:tcW w:w="2515" w:type="dxa"/>
            <w:vMerge w:val="continue"/>
            <w:noWrap w:val="0"/>
            <w:vAlign w:val="center"/>
          </w:tcPr>
          <w:p w14:paraId="5E169FA4">
            <w:pPr>
              <w:widowControl w:val="0"/>
              <w:spacing w:line="300" w:lineRule="exact"/>
              <w:jc w:val="center"/>
              <w:rPr>
                <w:rFonts w:eastAsia="楷体_GB2312"/>
                <w:spacing w:val="-8"/>
                <w:szCs w:val="21"/>
              </w:rPr>
            </w:pPr>
          </w:p>
        </w:tc>
      </w:tr>
      <w:tr w14:paraId="28AF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noWrap w:val="0"/>
            <w:vAlign w:val="center"/>
          </w:tcPr>
          <w:p w14:paraId="3B4B7078">
            <w:pPr>
              <w:widowControl w:val="0"/>
              <w:spacing w:line="300" w:lineRule="exact"/>
              <w:jc w:val="center"/>
              <w:rPr>
                <w:rFonts w:eastAsia="楷体_GB2312"/>
                <w:spacing w:val="-8"/>
                <w:szCs w:val="21"/>
              </w:rPr>
            </w:pPr>
            <w:r>
              <w:rPr>
                <w:rFonts w:eastAsia="楷体_GB2312"/>
                <w:spacing w:val="-8"/>
                <w:szCs w:val="21"/>
              </w:rPr>
              <w:t>1</w:t>
            </w:r>
          </w:p>
        </w:tc>
        <w:tc>
          <w:tcPr>
            <w:tcW w:w="1842" w:type="dxa"/>
            <w:noWrap w:val="0"/>
            <w:vAlign w:val="center"/>
          </w:tcPr>
          <w:p w14:paraId="3F3C2508">
            <w:pPr>
              <w:widowControl w:val="0"/>
              <w:spacing w:line="300" w:lineRule="exact"/>
              <w:jc w:val="center"/>
              <w:rPr>
                <w:rFonts w:eastAsia="楷体_GB2312"/>
                <w:spacing w:val="-8"/>
                <w:szCs w:val="21"/>
              </w:rPr>
            </w:pPr>
            <w:r>
              <w:rPr>
                <w:rFonts w:eastAsia="楷体_GB2312"/>
                <w:spacing w:val="-8"/>
                <w:szCs w:val="21"/>
              </w:rPr>
              <w:t>商服繁华影响度</w:t>
            </w:r>
          </w:p>
        </w:tc>
        <w:tc>
          <w:tcPr>
            <w:tcW w:w="1753" w:type="dxa"/>
            <w:noWrap w:val="0"/>
            <w:vAlign w:val="center"/>
          </w:tcPr>
          <w:p w14:paraId="668882DF">
            <w:pPr>
              <w:widowControl w:val="0"/>
              <w:spacing w:line="300" w:lineRule="exact"/>
              <w:jc w:val="center"/>
              <w:rPr>
                <w:rFonts w:eastAsia="楷体_GB2312"/>
                <w:spacing w:val="-8"/>
                <w:szCs w:val="21"/>
              </w:rPr>
            </w:pPr>
            <w:r>
              <w:rPr>
                <w:rFonts w:eastAsia="楷体_GB2312"/>
                <w:spacing w:val="-8"/>
                <w:szCs w:val="21"/>
              </w:rPr>
              <w:t>/</w:t>
            </w:r>
          </w:p>
        </w:tc>
        <w:tc>
          <w:tcPr>
            <w:tcW w:w="2019" w:type="dxa"/>
            <w:noWrap w:val="0"/>
            <w:vAlign w:val="center"/>
          </w:tcPr>
          <w:p w14:paraId="73CE02AA">
            <w:pPr>
              <w:widowControl w:val="0"/>
              <w:spacing w:line="300" w:lineRule="exact"/>
              <w:jc w:val="center"/>
              <w:rPr>
                <w:rFonts w:eastAsia="楷体_GB2312"/>
                <w:spacing w:val="-8"/>
                <w:szCs w:val="21"/>
              </w:rPr>
            </w:pPr>
            <w:r>
              <w:rPr>
                <w:rFonts w:eastAsia="楷体_GB2312"/>
                <w:spacing w:val="-8"/>
                <w:szCs w:val="21"/>
              </w:rPr>
              <w:t>√</w:t>
            </w:r>
          </w:p>
        </w:tc>
        <w:tc>
          <w:tcPr>
            <w:tcW w:w="2515" w:type="dxa"/>
            <w:noWrap w:val="0"/>
            <w:vAlign w:val="center"/>
          </w:tcPr>
          <w:p w14:paraId="1C26322F">
            <w:pPr>
              <w:widowControl w:val="0"/>
              <w:spacing w:line="300" w:lineRule="exact"/>
              <w:jc w:val="center"/>
              <w:rPr>
                <w:rFonts w:eastAsia="楷体_GB2312"/>
                <w:spacing w:val="-8"/>
                <w:szCs w:val="21"/>
              </w:rPr>
            </w:pPr>
            <w:r>
              <w:rPr>
                <w:rFonts w:eastAsia="楷体_GB2312"/>
                <w:spacing w:val="-8"/>
                <w:szCs w:val="21"/>
              </w:rPr>
              <w:t>必选因素</w:t>
            </w:r>
          </w:p>
        </w:tc>
      </w:tr>
      <w:tr w14:paraId="56276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noWrap w:val="0"/>
            <w:vAlign w:val="center"/>
          </w:tcPr>
          <w:p w14:paraId="242BCAA0">
            <w:pPr>
              <w:widowControl w:val="0"/>
              <w:spacing w:line="300" w:lineRule="exact"/>
              <w:jc w:val="center"/>
              <w:rPr>
                <w:rFonts w:eastAsia="楷体_GB2312"/>
                <w:spacing w:val="-8"/>
                <w:szCs w:val="21"/>
              </w:rPr>
            </w:pPr>
            <w:r>
              <w:rPr>
                <w:rFonts w:eastAsia="楷体_GB2312"/>
                <w:spacing w:val="-8"/>
                <w:szCs w:val="21"/>
              </w:rPr>
              <w:t>2</w:t>
            </w:r>
          </w:p>
        </w:tc>
        <w:tc>
          <w:tcPr>
            <w:tcW w:w="1842" w:type="dxa"/>
            <w:noWrap w:val="0"/>
            <w:vAlign w:val="center"/>
          </w:tcPr>
          <w:p w14:paraId="6BF3EE3B">
            <w:pPr>
              <w:widowControl w:val="0"/>
              <w:spacing w:line="300" w:lineRule="exact"/>
              <w:jc w:val="center"/>
              <w:rPr>
                <w:rFonts w:eastAsia="楷体_GB2312"/>
                <w:spacing w:val="-8"/>
                <w:szCs w:val="21"/>
              </w:rPr>
            </w:pPr>
            <w:r>
              <w:rPr>
                <w:rFonts w:eastAsia="楷体_GB2312"/>
                <w:spacing w:val="-8"/>
                <w:szCs w:val="21"/>
              </w:rPr>
              <w:t>道路通达度</w:t>
            </w:r>
          </w:p>
        </w:tc>
        <w:tc>
          <w:tcPr>
            <w:tcW w:w="1753" w:type="dxa"/>
            <w:noWrap w:val="0"/>
            <w:vAlign w:val="center"/>
          </w:tcPr>
          <w:p w14:paraId="213C8F07">
            <w:pPr>
              <w:widowControl w:val="0"/>
              <w:spacing w:line="300" w:lineRule="exact"/>
              <w:jc w:val="center"/>
              <w:rPr>
                <w:rFonts w:eastAsia="楷体_GB2312"/>
                <w:spacing w:val="-8"/>
                <w:szCs w:val="21"/>
              </w:rPr>
            </w:pPr>
            <w:r>
              <w:rPr>
                <w:rFonts w:eastAsia="楷体_GB2312"/>
                <w:spacing w:val="-8"/>
                <w:szCs w:val="21"/>
              </w:rPr>
              <w:t>/</w:t>
            </w:r>
          </w:p>
        </w:tc>
        <w:tc>
          <w:tcPr>
            <w:tcW w:w="2019" w:type="dxa"/>
            <w:noWrap w:val="0"/>
            <w:vAlign w:val="center"/>
          </w:tcPr>
          <w:p w14:paraId="4C5AD184">
            <w:pPr>
              <w:widowControl w:val="0"/>
              <w:spacing w:line="300" w:lineRule="exact"/>
              <w:jc w:val="center"/>
              <w:rPr>
                <w:rFonts w:eastAsia="楷体_GB2312"/>
                <w:spacing w:val="-8"/>
                <w:szCs w:val="21"/>
              </w:rPr>
            </w:pPr>
            <w:r>
              <w:rPr>
                <w:rFonts w:eastAsia="楷体_GB2312"/>
                <w:spacing w:val="-8"/>
                <w:szCs w:val="21"/>
              </w:rPr>
              <w:t>√</w:t>
            </w:r>
          </w:p>
        </w:tc>
        <w:tc>
          <w:tcPr>
            <w:tcW w:w="2515" w:type="dxa"/>
            <w:noWrap w:val="0"/>
            <w:vAlign w:val="center"/>
          </w:tcPr>
          <w:p w14:paraId="03B56FCC">
            <w:pPr>
              <w:widowControl w:val="0"/>
              <w:spacing w:line="300" w:lineRule="exact"/>
              <w:jc w:val="center"/>
              <w:rPr>
                <w:rFonts w:eastAsia="楷体_GB2312"/>
                <w:spacing w:val="-8"/>
                <w:szCs w:val="21"/>
              </w:rPr>
            </w:pPr>
            <w:r>
              <w:rPr>
                <w:rFonts w:eastAsia="楷体_GB2312"/>
                <w:spacing w:val="-8"/>
                <w:szCs w:val="21"/>
              </w:rPr>
              <w:t>/</w:t>
            </w:r>
          </w:p>
        </w:tc>
      </w:tr>
      <w:tr w14:paraId="012F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noWrap w:val="0"/>
            <w:vAlign w:val="center"/>
          </w:tcPr>
          <w:p w14:paraId="6C9954B7">
            <w:pPr>
              <w:widowControl w:val="0"/>
              <w:spacing w:line="300" w:lineRule="exact"/>
              <w:jc w:val="center"/>
              <w:rPr>
                <w:rFonts w:eastAsia="楷体_GB2312"/>
                <w:spacing w:val="-8"/>
                <w:szCs w:val="21"/>
              </w:rPr>
            </w:pPr>
            <w:r>
              <w:rPr>
                <w:rFonts w:eastAsia="楷体_GB2312"/>
                <w:spacing w:val="-8"/>
                <w:szCs w:val="21"/>
              </w:rPr>
              <w:t>3</w:t>
            </w:r>
          </w:p>
        </w:tc>
        <w:tc>
          <w:tcPr>
            <w:tcW w:w="1842" w:type="dxa"/>
            <w:noWrap w:val="0"/>
            <w:vAlign w:val="center"/>
          </w:tcPr>
          <w:p w14:paraId="5DCF44CE">
            <w:pPr>
              <w:widowControl w:val="0"/>
              <w:spacing w:line="300" w:lineRule="exact"/>
              <w:jc w:val="center"/>
              <w:rPr>
                <w:rFonts w:eastAsia="楷体_GB2312"/>
                <w:spacing w:val="-8"/>
                <w:szCs w:val="21"/>
              </w:rPr>
            </w:pPr>
            <w:r>
              <w:rPr>
                <w:rFonts w:eastAsia="楷体_GB2312"/>
                <w:spacing w:val="-8"/>
                <w:szCs w:val="21"/>
              </w:rPr>
              <w:t>公交便捷度</w:t>
            </w:r>
          </w:p>
        </w:tc>
        <w:tc>
          <w:tcPr>
            <w:tcW w:w="1753" w:type="dxa"/>
            <w:noWrap w:val="0"/>
            <w:vAlign w:val="center"/>
          </w:tcPr>
          <w:p w14:paraId="020217E6">
            <w:pPr>
              <w:widowControl w:val="0"/>
              <w:spacing w:line="300" w:lineRule="exact"/>
              <w:jc w:val="center"/>
              <w:rPr>
                <w:rFonts w:eastAsia="楷体_GB2312"/>
                <w:spacing w:val="-8"/>
                <w:szCs w:val="21"/>
              </w:rPr>
            </w:pPr>
            <w:r>
              <w:rPr>
                <w:rFonts w:eastAsia="楷体_GB2312"/>
                <w:spacing w:val="-8"/>
                <w:szCs w:val="21"/>
              </w:rPr>
              <w:t>/</w:t>
            </w:r>
          </w:p>
        </w:tc>
        <w:tc>
          <w:tcPr>
            <w:tcW w:w="2019" w:type="dxa"/>
            <w:noWrap w:val="0"/>
            <w:vAlign w:val="center"/>
          </w:tcPr>
          <w:p w14:paraId="5CFF7EE6">
            <w:pPr>
              <w:widowControl w:val="0"/>
              <w:spacing w:line="300" w:lineRule="exact"/>
              <w:jc w:val="center"/>
              <w:rPr>
                <w:rFonts w:eastAsia="楷体_GB2312"/>
                <w:spacing w:val="-8"/>
                <w:szCs w:val="21"/>
              </w:rPr>
            </w:pPr>
            <w:r>
              <w:rPr>
                <w:rFonts w:eastAsia="楷体_GB2312"/>
                <w:spacing w:val="-8"/>
                <w:szCs w:val="21"/>
              </w:rPr>
              <w:t>×</w:t>
            </w:r>
          </w:p>
        </w:tc>
        <w:tc>
          <w:tcPr>
            <w:tcW w:w="2515" w:type="dxa"/>
            <w:noWrap w:val="0"/>
            <w:vAlign w:val="center"/>
          </w:tcPr>
          <w:p w14:paraId="32B6495C">
            <w:pPr>
              <w:widowControl w:val="0"/>
              <w:spacing w:line="300" w:lineRule="exact"/>
              <w:jc w:val="center"/>
              <w:rPr>
                <w:rFonts w:eastAsia="楷体_GB2312"/>
                <w:spacing w:val="-8"/>
                <w:szCs w:val="21"/>
              </w:rPr>
            </w:pPr>
            <w:r>
              <w:rPr>
                <w:rFonts w:eastAsia="楷体_GB2312"/>
                <w:spacing w:val="-8"/>
                <w:szCs w:val="21"/>
              </w:rPr>
              <w:t>无公交</w:t>
            </w:r>
            <w:r>
              <w:rPr>
                <w:rFonts w:hint="eastAsia" w:eastAsia="楷体_GB2312"/>
                <w:spacing w:val="-8"/>
                <w:szCs w:val="21"/>
              </w:rPr>
              <w:t>线路网</w:t>
            </w:r>
          </w:p>
        </w:tc>
      </w:tr>
      <w:tr w14:paraId="4F08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569" w:type="dxa"/>
            <w:vMerge w:val="restart"/>
            <w:noWrap w:val="0"/>
            <w:vAlign w:val="center"/>
          </w:tcPr>
          <w:p w14:paraId="201FACAC">
            <w:pPr>
              <w:widowControl w:val="0"/>
              <w:spacing w:line="300" w:lineRule="exact"/>
              <w:jc w:val="center"/>
              <w:rPr>
                <w:rFonts w:eastAsia="楷体_GB2312"/>
                <w:spacing w:val="-8"/>
                <w:szCs w:val="21"/>
              </w:rPr>
            </w:pPr>
            <w:r>
              <w:rPr>
                <w:rFonts w:eastAsia="楷体_GB2312"/>
                <w:spacing w:val="-8"/>
                <w:szCs w:val="21"/>
              </w:rPr>
              <w:t>4</w:t>
            </w:r>
          </w:p>
        </w:tc>
        <w:tc>
          <w:tcPr>
            <w:tcW w:w="1842" w:type="dxa"/>
            <w:vMerge w:val="restart"/>
            <w:noWrap w:val="0"/>
            <w:vAlign w:val="center"/>
          </w:tcPr>
          <w:p w14:paraId="7F3D98C5">
            <w:pPr>
              <w:widowControl w:val="0"/>
              <w:spacing w:line="300" w:lineRule="exact"/>
              <w:jc w:val="center"/>
              <w:rPr>
                <w:rFonts w:eastAsia="楷体_GB2312"/>
                <w:spacing w:val="-8"/>
                <w:szCs w:val="21"/>
              </w:rPr>
            </w:pPr>
            <w:r>
              <w:rPr>
                <w:rFonts w:eastAsia="楷体_GB2312"/>
                <w:spacing w:val="-8"/>
                <w:szCs w:val="21"/>
              </w:rPr>
              <w:t>对外交通便利度</w:t>
            </w:r>
          </w:p>
        </w:tc>
        <w:tc>
          <w:tcPr>
            <w:tcW w:w="1753" w:type="dxa"/>
            <w:noWrap w:val="0"/>
            <w:vAlign w:val="center"/>
          </w:tcPr>
          <w:p w14:paraId="03BC3E55">
            <w:pPr>
              <w:widowControl w:val="0"/>
              <w:spacing w:line="300" w:lineRule="exact"/>
              <w:jc w:val="center"/>
              <w:rPr>
                <w:rFonts w:eastAsia="楷体_GB2312"/>
                <w:spacing w:val="-8"/>
                <w:szCs w:val="21"/>
              </w:rPr>
            </w:pPr>
            <w:r>
              <w:rPr>
                <w:rFonts w:eastAsia="楷体_GB2312"/>
                <w:spacing w:val="-8"/>
                <w:szCs w:val="21"/>
              </w:rPr>
              <w:t>火车站</w:t>
            </w:r>
          </w:p>
        </w:tc>
        <w:tc>
          <w:tcPr>
            <w:tcW w:w="2019" w:type="dxa"/>
            <w:noWrap w:val="0"/>
            <w:vAlign w:val="center"/>
          </w:tcPr>
          <w:p w14:paraId="57BB3D3A">
            <w:pPr>
              <w:widowControl w:val="0"/>
              <w:spacing w:line="300" w:lineRule="exact"/>
              <w:jc w:val="center"/>
              <w:rPr>
                <w:rFonts w:eastAsia="楷体_GB2312"/>
                <w:spacing w:val="-8"/>
                <w:szCs w:val="21"/>
              </w:rPr>
            </w:pPr>
            <w:r>
              <w:rPr>
                <w:rFonts w:eastAsia="楷体_GB2312"/>
                <w:spacing w:val="-8"/>
                <w:szCs w:val="21"/>
              </w:rPr>
              <w:t>√</w:t>
            </w:r>
          </w:p>
        </w:tc>
        <w:tc>
          <w:tcPr>
            <w:tcW w:w="2515" w:type="dxa"/>
            <w:vMerge w:val="restart"/>
            <w:noWrap w:val="0"/>
            <w:vAlign w:val="center"/>
          </w:tcPr>
          <w:p w14:paraId="1798B7D5">
            <w:pPr>
              <w:widowControl w:val="0"/>
              <w:spacing w:line="300" w:lineRule="exact"/>
              <w:jc w:val="center"/>
              <w:rPr>
                <w:rFonts w:eastAsia="楷体_GB2312"/>
                <w:spacing w:val="-8"/>
                <w:szCs w:val="21"/>
              </w:rPr>
            </w:pPr>
            <w:r>
              <w:rPr>
                <w:rFonts w:hint="eastAsia" w:eastAsia="楷体_GB2312"/>
                <w:spacing w:val="-8"/>
                <w:szCs w:val="21"/>
              </w:rPr>
              <w:t>符离镇、大泽乡镇、曹村镇各有一个火车站；</w:t>
            </w:r>
            <w:r>
              <w:rPr>
                <w:rFonts w:eastAsia="楷体_GB2312"/>
                <w:spacing w:val="-8"/>
                <w:szCs w:val="21"/>
              </w:rPr>
              <w:t>各乡镇仅有一个汽车站或汽车停靠点</w:t>
            </w:r>
          </w:p>
        </w:tc>
      </w:tr>
      <w:tr w14:paraId="5F166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569" w:type="dxa"/>
            <w:vMerge w:val="continue"/>
            <w:noWrap w:val="0"/>
            <w:vAlign w:val="center"/>
          </w:tcPr>
          <w:p w14:paraId="5A235A8E">
            <w:pPr>
              <w:widowControl w:val="0"/>
              <w:spacing w:line="300" w:lineRule="exact"/>
              <w:jc w:val="center"/>
              <w:rPr>
                <w:rFonts w:eastAsia="楷体_GB2312"/>
                <w:spacing w:val="-8"/>
                <w:szCs w:val="21"/>
              </w:rPr>
            </w:pPr>
          </w:p>
        </w:tc>
        <w:tc>
          <w:tcPr>
            <w:tcW w:w="1842" w:type="dxa"/>
            <w:vMerge w:val="continue"/>
            <w:noWrap w:val="0"/>
            <w:vAlign w:val="center"/>
          </w:tcPr>
          <w:p w14:paraId="336EC5D6">
            <w:pPr>
              <w:widowControl w:val="0"/>
              <w:spacing w:line="300" w:lineRule="exact"/>
              <w:jc w:val="center"/>
              <w:rPr>
                <w:rFonts w:eastAsia="楷体_GB2312"/>
                <w:spacing w:val="-8"/>
                <w:szCs w:val="21"/>
              </w:rPr>
            </w:pPr>
          </w:p>
        </w:tc>
        <w:tc>
          <w:tcPr>
            <w:tcW w:w="1753" w:type="dxa"/>
            <w:noWrap w:val="0"/>
            <w:vAlign w:val="center"/>
          </w:tcPr>
          <w:p w14:paraId="372668C7">
            <w:pPr>
              <w:widowControl w:val="0"/>
              <w:spacing w:line="300" w:lineRule="exact"/>
              <w:jc w:val="center"/>
              <w:rPr>
                <w:rFonts w:eastAsia="楷体_GB2312"/>
                <w:spacing w:val="-8"/>
                <w:szCs w:val="21"/>
              </w:rPr>
            </w:pPr>
            <w:r>
              <w:rPr>
                <w:rFonts w:eastAsia="楷体_GB2312"/>
                <w:spacing w:val="-8"/>
                <w:szCs w:val="21"/>
              </w:rPr>
              <w:t>港口</w:t>
            </w:r>
          </w:p>
        </w:tc>
        <w:tc>
          <w:tcPr>
            <w:tcW w:w="2019" w:type="dxa"/>
            <w:noWrap w:val="0"/>
            <w:vAlign w:val="center"/>
          </w:tcPr>
          <w:p w14:paraId="75C77BC4">
            <w:pPr>
              <w:widowControl w:val="0"/>
              <w:spacing w:line="300" w:lineRule="exact"/>
              <w:jc w:val="center"/>
              <w:rPr>
                <w:rFonts w:eastAsia="楷体_GB2312"/>
                <w:spacing w:val="-8"/>
                <w:szCs w:val="21"/>
              </w:rPr>
            </w:pPr>
            <w:r>
              <w:rPr>
                <w:rFonts w:eastAsia="楷体_GB2312"/>
                <w:spacing w:val="-8"/>
                <w:szCs w:val="21"/>
              </w:rPr>
              <w:t>×</w:t>
            </w:r>
          </w:p>
        </w:tc>
        <w:tc>
          <w:tcPr>
            <w:tcW w:w="2515" w:type="dxa"/>
            <w:vMerge w:val="continue"/>
            <w:noWrap w:val="0"/>
            <w:vAlign w:val="center"/>
          </w:tcPr>
          <w:p w14:paraId="70B18BF1">
            <w:pPr>
              <w:widowControl w:val="0"/>
              <w:spacing w:line="300" w:lineRule="exact"/>
              <w:jc w:val="center"/>
              <w:rPr>
                <w:rFonts w:eastAsia="楷体_GB2312"/>
                <w:spacing w:val="-8"/>
                <w:szCs w:val="21"/>
              </w:rPr>
            </w:pPr>
          </w:p>
        </w:tc>
      </w:tr>
      <w:tr w14:paraId="0F25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69" w:type="dxa"/>
            <w:vMerge w:val="continue"/>
            <w:noWrap w:val="0"/>
            <w:vAlign w:val="center"/>
          </w:tcPr>
          <w:p w14:paraId="34B9A8EC">
            <w:pPr>
              <w:widowControl w:val="0"/>
              <w:spacing w:line="300" w:lineRule="exact"/>
              <w:jc w:val="center"/>
              <w:rPr>
                <w:rFonts w:eastAsia="楷体_GB2312"/>
                <w:spacing w:val="-8"/>
                <w:szCs w:val="21"/>
              </w:rPr>
            </w:pPr>
          </w:p>
        </w:tc>
        <w:tc>
          <w:tcPr>
            <w:tcW w:w="1842" w:type="dxa"/>
            <w:vMerge w:val="continue"/>
            <w:noWrap w:val="0"/>
            <w:vAlign w:val="center"/>
          </w:tcPr>
          <w:p w14:paraId="073B7694">
            <w:pPr>
              <w:widowControl w:val="0"/>
              <w:spacing w:line="300" w:lineRule="exact"/>
              <w:jc w:val="center"/>
              <w:rPr>
                <w:rFonts w:eastAsia="楷体_GB2312"/>
                <w:spacing w:val="-8"/>
                <w:szCs w:val="21"/>
              </w:rPr>
            </w:pPr>
          </w:p>
        </w:tc>
        <w:tc>
          <w:tcPr>
            <w:tcW w:w="1753" w:type="dxa"/>
            <w:noWrap w:val="0"/>
            <w:vAlign w:val="center"/>
          </w:tcPr>
          <w:p w14:paraId="676031DA">
            <w:pPr>
              <w:widowControl w:val="0"/>
              <w:spacing w:line="300" w:lineRule="exact"/>
              <w:jc w:val="center"/>
              <w:rPr>
                <w:rFonts w:eastAsia="楷体_GB2312"/>
                <w:spacing w:val="-8"/>
                <w:szCs w:val="21"/>
              </w:rPr>
            </w:pPr>
            <w:r>
              <w:rPr>
                <w:rFonts w:eastAsia="楷体_GB2312"/>
                <w:spacing w:val="-8"/>
                <w:szCs w:val="21"/>
              </w:rPr>
              <w:t>汽车站</w:t>
            </w:r>
          </w:p>
        </w:tc>
        <w:tc>
          <w:tcPr>
            <w:tcW w:w="2019" w:type="dxa"/>
            <w:noWrap w:val="0"/>
            <w:vAlign w:val="center"/>
          </w:tcPr>
          <w:p w14:paraId="7DF94CCF">
            <w:pPr>
              <w:widowControl w:val="0"/>
              <w:spacing w:line="300" w:lineRule="exact"/>
              <w:jc w:val="center"/>
              <w:rPr>
                <w:rFonts w:eastAsia="楷体_GB2312"/>
                <w:spacing w:val="-8"/>
                <w:szCs w:val="21"/>
              </w:rPr>
            </w:pPr>
            <w:r>
              <w:rPr>
                <w:rFonts w:eastAsia="楷体_GB2312"/>
                <w:spacing w:val="-8"/>
                <w:szCs w:val="21"/>
              </w:rPr>
              <w:t>√</w:t>
            </w:r>
          </w:p>
        </w:tc>
        <w:tc>
          <w:tcPr>
            <w:tcW w:w="2515" w:type="dxa"/>
            <w:vMerge w:val="continue"/>
            <w:noWrap w:val="0"/>
            <w:vAlign w:val="center"/>
          </w:tcPr>
          <w:p w14:paraId="21CFF277">
            <w:pPr>
              <w:widowControl w:val="0"/>
              <w:spacing w:line="300" w:lineRule="exact"/>
              <w:jc w:val="center"/>
              <w:rPr>
                <w:rFonts w:eastAsia="楷体_GB2312"/>
                <w:spacing w:val="-8"/>
                <w:szCs w:val="21"/>
              </w:rPr>
            </w:pPr>
          </w:p>
        </w:tc>
      </w:tr>
      <w:tr w14:paraId="6F43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569" w:type="dxa"/>
            <w:vMerge w:val="continue"/>
            <w:noWrap w:val="0"/>
            <w:vAlign w:val="center"/>
          </w:tcPr>
          <w:p w14:paraId="2895B4AE">
            <w:pPr>
              <w:widowControl w:val="0"/>
              <w:spacing w:line="300" w:lineRule="exact"/>
              <w:jc w:val="center"/>
              <w:rPr>
                <w:rFonts w:eastAsia="楷体_GB2312"/>
                <w:spacing w:val="-8"/>
                <w:szCs w:val="21"/>
              </w:rPr>
            </w:pPr>
          </w:p>
        </w:tc>
        <w:tc>
          <w:tcPr>
            <w:tcW w:w="1842" w:type="dxa"/>
            <w:vMerge w:val="continue"/>
            <w:noWrap w:val="0"/>
            <w:vAlign w:val="center"/>
          </w:tcPr>
          <w:p w14:paraId="01E99F5A">
            <w:pPr>
              <w:widowControl w:val="0"/>
              <w:spacing w:line="300" w:lineRule="exact"/>
              <w:jc w:val="center"/>
              <w:rPr>
                <w:rFonts w:eastAsia="楷体_GB2312"/>
                <w:spacing w:val="-8"/>
                <w:szCs w:val="21"/>
              </w:rPr>
            </w:pPr>
          </w:p>
        </w:tc>
        <w:tc>
          <w:tcPr>
            <w:tcW w:w="1753" w:type="dxa"/>
            <w:noWrap w:val="0"/>
            <w:vAlign w:val="center"/>
          </w:tcPr>
          <w:p w14:paraId="5A0839F4">
            <w:pPr>
              <w:widowControl w:val="0"/>
              <w:spacing w:line="300" w:lineRule="exact"/>
              <w:jc w:val="center"/>
              <w:rPr>
                <w:rFonts w:eastAsia="楷体_GB2312"/>
                <w:spacing w:val="-8"/>
                <w:szCs w:val="21"/>
              </w:rPr>
            </w:pPr>
            <w:r>
              <w:rPr>
                <w:rFonts w:eastAsia="楷体_GB2312"/>
                <w:spacing w:val="-8"/>
                <w:szCs w:val="21"/>
              </w:rPr>
              <w:t>机场</w:t>
            </w:r>
          </w:p>
        </w:tc>
        <w:tc>
          <w:tcPr>
            <w:tcW w:w="2019" w:type="dxa"/>
            <w:noWrap w:val="0"/>
            <w:vAlign w:val="center"/>
          </w:tcPr>
          <w:p w14:paraId="31258890">
            <w:pPr>
              <w:widowControl w:val="0"/>
              <w:spacing w:line="300" w:lineRule="exact"/>
              <w:jc w:val="center"/>
              <w:rPr>
                <w:rFonts w:eastAsia="楷体_GB2312"/>
                <w:spacing w:val="-8"/>
                <w:szCs w:val="21"/>
              </w:rPr>
            </w:pPr>
            <w:r>
              <w:rPr>
                <w:rFonts w:eastAsia="楷体_GB2312"/>
                <w:spacing w:val="-8"/>
                <w:szCs w:val="21"/>
              </w:rPr>
              <w:t>×</w:t>
            </w:r>
          </w:p>
        </w:tc>
        <w:tc>
          <w:tcPr>
            <w:tcW w:w="2515" w:type="dxa"/>
            <w:vMerge w:val="continue"/>
            <w:noWrap w:val="0"/>
            <w:vAlign w:val="center"/>
          </w:tcPr>
          <w:p w14:paraId="69036D87">
            <w:pPr>
              <w:widowControl w:val="0"/>
              <w:spacing w:line="300" w:lineRule="exact"/>
              <w:jc w:val="center"/>
              <w:rPr>
                <w:rFonts w:eastAsia="楷体_GB2312"/>
                <w:spacing w:val="-8"/>
                <w:szCs w:val="21"/>
              </w:rPr>
            </w:pPr>
          </w:p>
        </w:tc>
      </w:tr>
      <w:tr w14:paraId="61C53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569" w:type="dxa"/>
            <w:vMerge w:val="continue"/>
            <w:noWrap w:val="0"/>
            <w:vAlign w:val="center"/>
          </w:tcPr>
          <w:p w14:paraId="26C7C0F5">
            <w:pPr>
              <w:widowControl w:val="0"/>
              <w:spacing w:line="300" w:lineRule="exact"/>
              <w:jc w:val="center"/>
              <w:rPr>
                <w:rFonts w:eastAsia="楷体_GB2312"/>
                <w:spacing w:val="-8"/>
                <w:szCs w:val="21"/>
              </w:rPr>
            </w:pPr>
          </w:p>
        </w:tc>
        <w:tc>
          <w:tcPr>
            <w:tcW w:w="1842" w:type="dxa"/>
            <w:vMerge w:val="continue"/>
            <w:noWrap w:val="0"/>
            <w:vAlign w:val="center"/>
          </w:tcPr>
          <w:p w14:paraId="63E4E444">
            <w:pPr>
              <w:widowControl w:val="0"/>
              <w:spacing w:line="300" w:lineRule="exact"/>
              <w:jc w:val="center"/>
              <w:rPr>
                <w:rFonts w:eastAsia="楷体_GB2312"/>
                <w:spacing w:val="-8"/>
                <w:szCs w:val="21"/>
              </w:rPr>
            </w:pPr>
          </w:p>
        </w:tc>
        <w:tc>
          <w:tcPr>
            <w:tcW w:w="1753" w:type="dxa"/>
            <w:noWrap w:val="0"/>
            <w:vAlign w:val="center"/>
          </w:tcPr>
          <w:p w14:paraId="2E0D8338">
            <w:pPr>
              <w:widowControl w:val="0"/>
              <w:spacing w:line="300" w:lineRule="exact"/>
              <w:jc w:val="center"/>
              <w:rPr>
                <w:rFonts w:eastAsia="楷体_GB2312"/>
                <w:spacing w:val="-8"/>
                <w:szCs w:val="21"/>
              </w:rPr>
            </w:pPr>
            <w:r>
              <w:rPr>
                <w:rFonts w:eastAsia="楷体_GB2312"/>
                <w:spacing w:val="-8"/>
                <w:szCs w:val="21"/>
              </w:rPr>
              <w:t>高速公路出入口</w:t>
            </w:r>
          </w:p>
        </w:tc>
        <w:tc>
          <w:tcPr>
            <w:tcW w:w="2019" w:type="dxa"/>
            <w:noWrap w:val="0"/>
            <w:vAlign w:val="center"/>
          </w:tcPr>
          <w:p w14:paraId="64848517">
            <w:pPr>
              <w:widowControl w:val="0"/>
              <w:spacing w:line="300" w:lineRule="exact"/>
              <w:jc w:val="center"/>
              <w:rPr>
                <w:rFonts w:eastAsia="楷体_GB2312"/>
                <w:spacing w:val="-8"/>
                <w:szCs w:val="21"/>
              </w:rPr>
            </w:pPr>
            <w:r>
              <w:rPr>
                <w:rFonts w:eastAsia="楷体_GB2312"/>
                <w:spacing w:val="-8"/>
                <w:szCs w:val="21"/>
              </w:rPr>
              <w:t>×</w:t>
            </w:r>
          </w:p>
        </w:tc>
        <w:tc>
          <w:tcPr>
            <w:tcW w:w="2515" w:type="dxa"/>
            <w:vMerge w:val="continue"/>
            <w:noWrap w:val="0"/>
            <w:vAlign w:val="center"/>
          </w:tcPr>
          <w:p w14:paraId="330540C1">
            <w:pPr>
              <w:widowControl w:val="0"/>
              <w:spacing w:line="300" w:lineRule="exact"/>
              <w:jc w:val="center"/>
              <w:rPr>
                <w:rFonts w:eastAsia="楷体_GB2312"/>
                <w:spacing w:val="-8"/>
                <w:szCs w:val="21"/>
              </w:rPr>
            </w:pPr>
          </w:p>
        </w:tc>
      </w:tr>
      <w:tr w14:paraId="45021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569" w:type="dxa"/>
            <w:vMerge w:val="restart"/>
            <w:noWrap w:val="0"/>
            <w:vAlign w:val="center"/>
          </w:tcPr>
          <w:p w14:paraId="056E58D1">
            <w:pPr>
              <w:widowControl w:val="0"/>
              <w:spacing w:line="300" w:lineRule="exact"/>
              <w:jc w:val="center"/>
              <w:rPr>
                <w:rFonts w:eastAsia="楷体_GB2312"/>
                <w:spacing w:val="-8"/>
                <w:szCs w:val="21"/>
              </w:rPr>
            </w:pPr>
            <w:r>
              <w:rPr>
                <w:rFonts w:eastAsia="楷体_GB2312"/>
                <w:spacing w:val="-8"/>
                <w:szCs w:val="21"/>
              </w:rPr>
              <w:t>5</w:t>
            </w:r>
          </w:p>
        </w:tc>
        <w:tc>
          <w:tcPr>
            <w:tcW w:w="1842" w:type="dxa"/>
            <w:vMerge w:val="restart"/>
            <w:noWrap w:val="0"/>
            <w:vAlign w:val="center"/>
          </w:tcPr>
          <w:p w14:paraId="2D7E9714">
            <w:pPr>
              <w:widowControl w:val="0"/>
              <w:spacing w:line="300" w:lineRule="exact"/>
              <w:jc w:val="center"/>
              <w:rPr>
                <w:rFonts w:eastAsia="楷体_GB2312"/>
                <w:spacing w:val="-8"/>
                <w:szCs w:val="21"/>
              </w:rPr>
            </w:pPr>
            <w:r>
              <w:rPr>
                <w:rFonts w:eastAsia="楷体_GB2312"/>
                <w:spacing w:val="-8"/>
                <w:szCs w:val="21"/>
              </w:rPr>
              <w:t>基础设施完善度</w:t>
            </w:r>
          </w:p>
        </w:tc>
        <w:tc>
          <w:tcPr>
            <w:tcW w:w="1753" w:type="dxa"/>
            <w:noWrap w:val="0"/>
            <w:vAlign w:val="center"/>
          </w:tcPr>
          <w:p w14:paraId="260DE7F5">
            <w:pPr>
              <w:widowControl w:val="0"/>
              <w:spacing w:line="300" w:lineRule="exact"/>
              <w:jc w:val="center"/>
              <w:rPr>
                <w:rFonts w:eastAsia="楷体_GB2312"/>
                <w:spacing w:val="-8"/>
                <w:szCs w:val="21"/>
              </w:rPr>
            </w:pPr>
            <w:r>
              <w:rPr>
                <w:rFonts w:eastAsia="楷体_GB2312"/>
                <w:spacing w:val="-8"/>
                <w:szCs w:val="21"/>
              </w:rPr>
              <w:t>供电</w:t>
            </w:r>
          </w:p>
        </w:tc>
        <w:tc>
          <w:tcPr>
            <w:tcW w:w="2019" w:type="dxa"/>
            <w:noWrap w:val="0"/>
            <w:vAlign w:val="center"/>
          </w:tcPr>
          <w:p w14:paraId="25CB716F">
            <w:pPr>
              <w:widowControl w:val="0"/>
              <w:spacing w:line="300" w:lineRule="exact"/>
              <w:jc w:val="center"/>
              <w:rPr>
                <w:rFonts w:eastAsia="楷体_GB2312"/>
                <w:spacing w:val="-8"/>
                <w:szCs w:val="21"/>
              </w:rPr>
            </w:pPr>
            <w:r>
              <w:rPr>
                <w:rFonts w:eastAsia="楷体_GB2312"/>
                <w:spacing w:val="-8"/>
                <w:szCs w:val="21"/>
              </w:rPr>
              <w:t>√</w:t>
            </w:r>
          </w:p>
        </w:tc>
        <w:tc>
          <w:tcPr>
            <w:tcW w:w="2515" w:type="dxa"/>
            <w:vMerge w:val="restart"/>
            <w:noWrap w:val="0"/>
            <w:vAlign w:val="center"/>
          </w:tcPr>
          <w:p w14:paraId="6063BF09">
            <w:pPr>
              <w:widowControl w:val="0"/>
              <w:spacing w:line="300" w:lineRule="exact"/>
              <w:jc w:val="center"/>
              <w:rPr>
                <w:rFonts w:eastAsia="楷体_GB2312"/>
                <w:spacing w:val="-8"/>
                <w:szCs w:val="21"/>
              </w:rPr>
            </w:pPr>
            <w:r>
              <w:rPr>
                <w:rFonts w:eastAsia="楷体_GB2312"/>
                <w:spacing w:val="-8"/>
                <w:szCs w:val="21"/>
              </w:rPr>
              <w:t>各乡镇内通讯全覆盖,</w:t>
            </w:r>
            <w:r>
              <w:rPr>
                <w:rFonts w:hint="eastAsia" w:eastAsia="楷体_GB2312"/>
                <w:spacing w:val="-8"/>
                <w:szCs w:val="21"/>
              </w:rPr>
              <w:t>无差异，</w:t>
            </w:r>
            <w:r>
              <w:rPr>
                <w:rFonts w:eastAsia="楷体_GB2312"/>
                <w:spacing w:val="-8"/>
                <w:szCs w:val="21"/>
              </w:rPr>
              <w:t>无供气、供热</w:t>
            </w:r>
          </w:p>
        </w:tc>
      </w:tr>
      <w:tr w14:paraId="2F24D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569" w:type="dxa"/>
            <w:vMerge w:val="continue"/>
            <w:noWrap w:val="0"/>
            <w:vAlign w:val="center"/>
          </w:tcPr>
          <w:p w14:paraId="20BB1FEB">
            <w:pPr>
              <w:widowControl w:val="0"/>
              <w:spacing w:line="300" w:lineRule="exact"/>
              <w:jc w:val="center"/>
              <w:rPr>
                <w:rFonts w:eastAsia="楷体_GB2312"/>
                <w:spacing w:val="-8"/>
                <w:szCs w:val="21"/>
              </w:rPr>
            </w:pPr>
          </w:p>
        </w:tc>
        <w:tc>
          <w:tcPr>
            <w:tcW w:w="1842" w:type="dxa"/>
            <w:vMerge w:val="continue"/>
            <w:noWrap w:val="0"/>
            <w:vAlign w:val="center"/>
          </w:tcPr>
          <w:p w14:paraId="0973346F">
            <w:pPr>
              <w:widowControl w:val="0"/>
              <w:spacing w:line="300" w:lineRule="exact"/>
              <w:jc w:val="center"/>
              <w:rPr>
                <w:rFonts w:eastAsia="楷体_GB2312"/>
                <w:spacing w:val="-8"/>
                <w:szCs w:val="21"/>
              </w:rPr>
            </w:pPr>
          </w:p>
        </w:tc>
        <w:tc>
          <w:tcPr>
            <w:tcW w:w="1753" w:type="dxa"/>
            <w:noWrap w:val="0"/>
            <w:vAlign w:val="center"/>
          </w:tcPr>
          <w:p w14:paraId="0193FF08">
            <w:pPr>
              <w:widowControl w:val="0"/>
              <w:spacing w:line="300" w:lineRule="exact"/>
              <w:jc w:val="center"/>
              <w:rPr>
                <w:rFonts w:eastAsia="楷体_GB2312"/>
                <w:spacing w:val="-8"/>
                <w:szCs w:val="21"/>
              </w:rPr>
            </w:pPr>
            <w:r>
              <w:rPr>
                <w:rFonts w:eastAsia="楷体_GB2312"/>
                <w:spacing w:val="-8"/>
                <w:szCs w:val="21"/>
              </w:rPr>
              <w:t>供水</w:t>
            </w:r>
          </w:p>
        </w:tc>
        <w:tc>
          <w:tcPr>
            <w:tcW w:w="2019" w:type="dxa"/>
            <w:noWrap w:val="0"/>
            <w:vAlign w:val="center"/>
          </w:tcPr>
          <w:p w14:paraId="6D3F8DE5">
            <w:pPr>
              <w:widowControl w:val="0"/>
              <w:spacing w:line="300" w:lineRule="exact"/>
              <w:jc w:val="center"/>
              <w:rPr>
                <w:rFonts w:eastAsia="楷体_GB2312"/>
                <w:spacing w:val="-8"/>
                <w:szCs w:val="21"/>
              </w:rPr>
            </w:pPr>
            <w:r>
              <w:rPr>
                <w:rFonts w:eastAsia="楷体_GB2312"/>
                <w:spacing w:val="-8"/>
                <w:szCs w:val="21"/>
              </w:rPr>
              <w:t>√</w:t>
            </w:r>
          </w:p>
        </w:tc>
        <w:tc>
          <w:tcPr>
            <w:tcW w:w="2515" w:type="dxa"/>
            <w:vMerge w:val="continue"/>
            <w:noWrap w:val="0"/>
            <w:vAlign w:val="center"/>
          </w:tcPr>
          <w:p w14:paraId="41BD17F5">
            <w:pPr>
              <w:widowControl w:val="0"/>
              <w:spacing w:line="300" w:lineRule="exact"/>
              <w:jc w:val="center"/>
              <w:rPr>
                <w:rFonts w:eastAsia="楷体_GB2312"/>
                <w:spacing w:val="-8"/>
                <w:szCs w:val="21"/>
              </w:rPr>
            </w:pPr>
          </w:p>
        </w:tc>
      </w:tr>
      <w:tr w14:paraId="457A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569" w:type="dxa"/>
            <w:vMerge w:val="continue"/>
            <w:noWrap w:val="0"/>
            <w:vAlign w:val="center"/>
          </w:tcPr>
          <w:p w14:paraId="059F81A2">
            <w:pPr>
              <w:widowControl w:val="0"/>
              <w:spacing w:line="300" w:lineRule="exact"/>
              <w:jc w:val="center"/>
              <w:rPr>
                <w:rFonts w:eastAsia="楷体_GB2312"/>
                <w:spacing w:val="-8"/>
                <w:szCs w:val="21"/>
              </w:rPr>
            </w:pPr>
          </w:p>
        </w:tc>
        <w:tc>
          <w:tcPr>
            <w:tcW w:w="1842" w:type="dxa"/>
            <w:vMerge w:val="continue"/>
            <w:noWrap w:val="0"/>
            <w:vAlign w:val="center"/>
          </w:tcPr>
          <w:p w14:paraId="12412948">
            <w:pPr>
              <w:widowControl w:val="0"/>
              <w:spacing w:line="300" w:lineRule="exact"/>
              <w:jc w:val="center"/>
              <w:rPr>
                <w:rFonts w:eastAsia="楷体_GB2312"/>
                <w:spacing w:val="-8"/>
                <w:szCs w:val="21"/>
              </w:rPr>
            </w:pPr>
          </w:p>
        </w:tc>
        <w:tc>
          <w:tcPr>
            <w:tcW w:w="1753" w:type="dxa"/>
            <w:noWrap w:val="0"/>
            <w:vAlign w:val="center"/>
          </w:tcPr>
          <w:p w14:paraId="7074DEC5">
            <w:pPr>
              <w:widowControl w:val="0"/>
              <w:spacing w:line="300" w:lineRule="exact"/>
              <w:jc w:val="center"/>
              <w:rPr>
                <w:rFonts w:eastAsia="楷体_GB2312"/>
                <w:spacing w:val="-8"/>
                <w:szCs w:val="21"/>
              </w:rPr>
            </w:pPr>
            <w:r>
              <w:rPr>
                <w:rFonts w:eastAsia="楷体_GB2312"/>
                <w:spacing w:val="-8"/>
                <w:szCs w:val="21"/>
              </w:rPr>
              <w:t>通讯</w:t>
            </w:r>
          </w:p>
        </w:tc>
        <w:tc>
          <w:tcPr>
            <w:tcW w:w="2019" w:type="dxa"/>
            <w:noWrap w:val="0"/>
            <w:vAlign w:val="center"/>
          </w:tcPr>
          <w:p w14:paraId="7863892C">
            <w:pPr>
              <w:widowControl w:val="0"/>
              <w:spacing w:line="300" w:lineRule="exact"/>
              <w:jc w:val="center"/>
              <w:rPr>
                <w:rFonts w:eastAsia="楷体_GB2312"/>
                <w:spacing w:val="-8"/>
                <w:szCs w:val="21"/>
              </w:rPr>
            </w:pPr>
            <w:r>
              <w:rPr>
                <w:rFonts w:eastAsia="楷体_GB2312"/>
                <w:spacing w:val="-8"/>
                <w:szCs w:val="21"/>
              </w:rPr>
              <w:t>×</w:t>
            </w:r>
          </w:p>
        </w:tc>
        <w:tc>
          <w:tcPr>
            <w:tcW w:w="2515" w:type="dxa"/>
            <w:vMerge w:val="continue"/>
            <w:noWrap w:val="0"/>
            <w:vAlign w:val="center"/>
          </w:tcPr>
          <w:p w14:paraId="3C11672C">
            <w:pPr>
              <w:widowControl w:val="0"/>
              <w:spacing w:line="300" w:lineRule="exact"/>
              <w:jc w:val="center"/>
              <w:rPr>
                <w:rFonts w:eastAsia="楷体_GB2312"/>
                <w:spacing w:val="-8"/>
                <w:szCs w:val="21"/>
              </w:rPr>
            </w:pPr>
          </w:p>
        </w:tc>
      </w:tr>
      <w:tr w14:paraId="69206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69" w:type="dxa"/>
            <w:vMerge w:val="continue"/>
            <w:noWrap w:val="0"/>
            <w:vAlign w:val="center"/>
          </w:tcPr>
          <w:p w14:paraId="37DE6C72">
            <w:pPr>
              <w:widowControl w:val="0"/>
              <w:spacing w:line="300" w:lineRule="exact"/>
              <w:jc w:val="center"/>
              <w:rPr>
                <w:rFonts w:eastAsia="楷体_GB2312"/>
                <w:spacing w:val="-8"/>
                <w:szCs w:val="21"/>
              </w:rPr>
            </w:pPr>
          </w:p>
        </w:tc>
        <w:tc>
          <w:tcPr>
            <w:tcW w:w="1842" w:type="dxa"/>
            <w:vMerge w:val="continue"/>
            <w:noWrap w:val="0"/>
            <w:vAlign w:val="center"/>
          </w:tcPr>
          <w:p w14:paraId="539AAB2C">
            <w:pPr>
              <w:widowControl w:val="0"/>
              <w:spacing w:line="300" w:lineRule="exact"/>
              <w:jc w:val="center"/>
              <w:rPr>
                <w:rFonts w:eastAsia="楷体_GB2312"/>
                <w:spacing w:val="-8"/>
                <w:szCs w:val="21"/>
              </w:rPr>
            </w:pPr>
          </w:p>
        </w:tc>
        <w:tc>
          <w:tcPr>
            <w:tcW w:w="1753" w:type="dxa"/>
            <w:noWrap w:val="0"/>
            <w:vAlign w:val="center"/>
          </w:tcPr>
          <w:p w14:paraId="11A93415">
            <w:pPr>
              <w:widowControl w:val="0"/>
              <w:spacing w:line="300" w:lineRule="exact"/>
              <w:jc w:val="center"/>
              <w:rPr>
                <w:rFonts w:eastAsia="楷体_GB2312"/>
                <w:spacing w:val="-8"/>
                <w:szCs w:val="21"/>
              </w:rPr>
            </w:pPr>
            <w:r>
              <w:rPr>
                <w:rFonts w:eastAsia="楷体_GB2312"/>
                <w:spacing w:val="-8"/>
                <w:szCs w:val="21"/>
              </w:rPr>
              <w:t>排水</w:t>
            </w:r>
          </w:p>
        </w:tc>
        <w:tc>
          <w:tcPr>
            <w:tcW w:w="2019" w:type="dxa"/>
            <w:noWrap w:val="0"/>
            <w:vAlign w:val="center"/>
          </w:tcPr>
          <w:p w14:paraId="1C132F25">
            <w:pPr>
              <w:widowControl w:val="0"/>
              <w:spacing w:line="300" w:lineRule="exact"/>
              <w:jc w:val="center"/>
              <w:rPr>
                <w:rFonts w:eastAsia="楷体_GB2312"/>
                <w:spacing w:val="-8"/>
                <w:szCs w:val="21"/>
              </w:rPr>
            </w:pPr>
            <w:r>
              <w:rPr>
                <w:rFonts w:eastAsia="楷体_GB2312"/>
                <w:spacing w:val="-8"/>
                <w:szCs w:val="21"/>
              </w:rPr>
              <w:t>√</w:t>
            </w:r>
          </w:p>
        </w:tc>
        <w:tc>
          <w:tcPr>
            <w:tcW w:w="2515" w:type="dxa"/>
            <w:vMerge w:val="continue"/>
            <w:noWrap w:val="0"/>
            <w:vAlign w:val="center"/>
          </w:tcPr>
          <w:p w14:paraId="1A207826">
            <w:pPr>
              <w:widowControl w:val="0"/>
              <w:spacing w:line="300" w:lineRule="exact"/>
              <w:jc w:val="center"/>
              <w:rPr>
                <w:rFonts w:eastAsia="楷体_GB2312"/>
                <w:spacing w:val="-8"/>
                <w:szCs w:val="21"/>
              </w:rPr>
            </w:pPr>
          </w:p>
        </w:tc>
      </w:tr>
      <w:tr w14:paraId="64DAD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69" w:type="dxa"/>
            <w:vMerge w:val="continue"/>
            <w:noWrap w:val="0"/>
            <w:vAlign w:val="center"/>
          </w:tcPr>
          <w:p w14:paraId="5D432F3F">
            <w:pPr>
              <w:widowControl w:val="0"/>
              <w:spacing w:line="300" w:lineRule="exact"/>
              <w:jc w:val="center"/>
              <w:rPr>
                <w:rFonts w:eastAsia="楷体_GB2312"/>
                <w:spacing w:val="-8"/>
                <w:szCs w:val="21"/>
              </w:rPr>
            </w:pPr>
          </w:p>
        </w:tc>
        <w:tc>
          <w:tcPr>
            <w:tcW w:w="1842" w:type="dxa"/>
            <w:vMerge w:val="continue"/>
            <w:noWrap w:val="0"/>
            <w:vAlign w:val="center"/>
          </w:tcPr>
          <w:p w14:paraId="568C33C1">
            <w:pPr>
              <w:widowControl w:val="0"/>
              <w:spacing w:line="300" w:lineRule="exact"/>
              <w:jc w:val="center"/>
              <w:rPr>
                <w:rFonts w:eastAsia="楷体_GB2312"/>
                <w:spacing w:val="-8"/>
                <w:szCs w:val="21"/>
              </w:rPr>
            </w:pPr>
          </w:p>
        </w:tc>
        <w:tc>
          <w:tcPr>
            <w:tcW w:w="1753" w:type="dxa"/>
            <w:noWrap w:val="0"/>
            <w:vAlign w:val="center"/>
          </w:tcPr>
          <w:p w14:paraId="3AED50A0">
            <w:pPr>
              <w:widowControl w:val="0"/>
              <w:spacing w:line="300" w:lineRule="exact"/>
              <w:jc w:val="center"/>
              <w:rPr>
                <w:rFonts w:eastAsia="楷体_GB2312"/>
                <w:spacing w:val="-8"/>
                <w:szCs w:val="21"/>
              </w:rPr>
            </w:pPr>
            <w:r>
              <w:rPr>
                <w:rFonts w:eastAsia="楷体_GB2312"/>
                <w:spacing w:val="-8"/>
                <w:szCs w:val="21"/>
              </w:rPr>
              <w:t>供气</w:t>
            </w:r>
          </w:p>
        </w:tc>
        <w:tc>
          <w:tcPr>
            <w:tcW w:w="2019" w:type="dxa"/>
            <w:noWrap w:val="0"/>
            <w:vAlign w:val="center"/>
          </w:tcPr>
          <w:p w14:paraId="02435530">
            <w:pPr>
              <w:widowControl w:val="0"/>
              <w:spacing w:line="300" w:lineRule="exact"/>
              <w:jc w:val="center"/>
              <w:rPr>
                <w:rFonts w:eastAsia="楷体_GB2312"/>
                <w:spacing w:val="-8"/>
                <w:szCs w:val="21"/>
              </w:rPr>
            </w:pPr>
            <w:r>
              <w:rPr>
                <w:rFonts w:eastAsia="楷体_GB2312"/>
                <w:spacing w:val="-8"/>
                <w:szCs w:val="21"/>
              </w:rPr>
              <w:t>×</w:t>
            </w:r>
          </w:p>
        </w:tc>
        <w:tc>
          <w:tcPr>
            <w:tcW w:w="2515" w:type="dxa"/>
            <w:vMerge w:val="continue"/>
            <w:noWrap w:val="0"/>
            <w:vAlign w:val="center"/>
          </w:tcPr>
          <w:p w14:paraId="1AE3F92A">
            <w:pPr>
              <w:widowControl w:val="0"/>
              <w:spacing w:line="300" w:lineRule="exact"/>
              <w:jc w:val="center"/>
              <w:rPr>
                <w:rFonts w:eastAsia="楷体_GB2312"/>
                <w:spacing w:val="-8"/>
                <w:szCs w:val="21"/>
              </w:rPr>
            </w:pPr>
          </w:p>
        </w:tc>
      </w:tr>
      <w:tr w14:paraId="3AFC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569" w:type="dxa"/>
            <w:vMerge w:val="continue"/>
            <w:noWrap w:val="0"/>
            <w:vAlign w:val="center"/>
          </w:tcPr>
          <w:p w14:paraId="19BECCBD">
            <w:pPr>
              <w:widowControl w:val="0"/>
              <w:spacing w:line="300" w:lineRule="exact"/>
              <w:jc w:val="center"/>
              <w:rPr>
                <w:rFonts w:eastAsia="楷体_GB2312"/>
                <w:spacing w:val="-8"/>
                <w:szCs w:val="21"/>
              </w:rPr>
            </w:pPr>
          </w:p>
        </w:tc>
        <w:tc>
          <w:tcPr>
            <w:tcW w:w="1842" w:type="dxa"/>
            <w:vMerge w:val="continue"/>
            <w:noWrap w:val="0"/>
            <w:vAlign w:val="center"/>
          </w:tcPr>
          <w:p w14:paraId="333979BB">
            <w:pPr>
              <w:widowControl w:val="0"/>
              <w:spacing w:line="300" w:lineRule="exact"/>
              <w:jc w:val="center"/>
              <w:rPr>
                <w:rFonts w:eastAsia="楷体_GB2312"/>
                <w:spacing w:val="-8"/>
                <w:szCs w:val="21"/>
              </w:rPr>
            </w:pPr>
          </w:p>
        </w:tc>
        <w:tc>
          <w:tcPr>
            <w:tcW w:w="1753" w:type="dxa"/>
            <w:noWrap w:val="0"/>
            <w:vAlign w:val="center"/>
          </w:tcPr>
          <w:p w14:paraId="72D2CE84">
            <w:pPr>
              <w:widowControl w:val="0"/>
              <w:spacing w:line="300" w:lineRule="exact"/>
              <w:jc w:val="center"/>
              <w:rPr>
                <w:rFonts w:eastAsia="楷体_GB2312"/>
                <w:spacing w:val="-8"/>
                <w:szCs w:val="21"/>
              </w:rPr>
            </w:pPr>
            <w:r>
              <w:rPr>
                <w:rFonts w:eastAsia="楷体_GB2312"/>
                <w:spacing w:val="-8"/>
                <w:szCs w:val="21"/>
              </w:rPr>
              <w:t>供热</w:t>
            </w:r>
          </w:p>
        </w:tc>
        <w:tc>
          <w:tcPr>
            <w:tcW w:w="2019" w:type="dxa"/>
            <w:noWrap w:val="0"/>
            <w:vAlign w:val="center"/>
          </w:tcPr>
          <w:p w14:paraId="326B5DE7">
            <w:pPr>
              <w:widowControl w:val="0"/>
              <w:spacing w:line="300" w:lineRule="exact"/>
              <w:jc w:val="center"/>
              <w:rPr>
                <w:rFonts w:eastAsia="楷体_GB2312"/>
                <w:spacing w:val="-8"/>
                <w:szCs w:val="21"/>
              </w:rPr>
            </w:pPr>
            <w:r>
              <w:rPr>
                <w:rFonts w:eastAsia="楷体_GB2312"/>
                <w:spacing w:val="-8"/>
                <w:szCs w:val="21"/>
              </w:rPr>
              <w:t>×</w:t>
            </w:r>
          </w:p>
        </w:tc>
        <w:tc>
          <w:tcPr>
            <w:tcW w:w="2515" w:type="dxa"/>
            <w:vMerge w:val="continue"/>
            <w:noWrap w:val="0"/>
            <w:vAlign w:val="center"/>
          </w:tcPr>
          <w:p w14:paraId="54F28277">
            <w:pPr>
              <w:widowControl w:val="0"/>
              <w:spacing w:line="300" w:lineRule="exact"/>
              <w:jc w:val="center"/>
              <w:rPr>
                <w:rFonts w:eastAsia="楷体_GB2312"/>
                <w:spacing w:val="-8"/>
                <w:szCs w:val="21"/>
              </w:rPr>
            </w:pPr>
          </w:p>
        </w:tc>
      </w:tr>
      <w:tr w14:paraId="42BA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569" w:type="dxa"/>
            <w:vMerge w:val="restart"/>
            <w:noWrap w:val="0"/>
            <w:vAlign w:val="center"/>
          </w:tcPr>
          <w:p w14:paraId="7A2B003E">
            <w:pPr>
              <w:widowControl w:val="0"/>
              <w:spacing w:line="300" w:lineRule="exact"/>
              <w:jc w:val="center"/>
              <w:rPr>
                <w:rFonts w:eastAsia="楷体_GB2312"/>
                <w:spacing w:val="-8"/>
                <w:szCs w:val="21"/>
              </w:rPr>
            </w:pPr>
            <w:r>
              <w:rPr>
                <w:rFonts w:eastAsia="楷体_GB2312"/>
                <w:spacing w:val="-8"/>
                <w:szCs w:val="21"/>
              </w:rPr>
              <w:t>6</w:t>
            </w:r>
          </w:p>
        </w:tc>
        <w:tc>
          <w:tcPr>
            <w:tcW w:w="1842" w:type="dxa"/>
            <w:vMerge w:val="restart"/>
            <w:noWrap w:val="0"/>
            <w:vAlign w:val="center"/>
          </w:tcPr>
          <w:p w14:paraId="289525B8">
            <w:pPr>
              <w:widowControl w:val="0"/>
              <w:spacing w:line="300" w:lineRule="exact"/>
              <w:jc w:val="center"/>
              <w:rPr>
                <w:rFonts w:eastAsia="楷体_GB2312"/>
                <w:spacing w:val="-8"/>
                <w:szCs w:val="21"/>
              </w:rPr>
            </w:pPr>
            <w:r>
              <w:rPr>
                <w:rFonts w:eastAsia="楷体_GB2312"/>
                <w:spacing w:val="-8"/>
                <w:szCs w:val="21"/>
              </w:rPr>
              <w:t>公用设施完备度</w:t>
            </w:r>
          </w:p>
        </w:tc>
        <w:tc>
          <w:tcPr>
            <w:tcW w:w="1753" w:type="dxa"/>
            <w:noWrap w:val="0"/>
            <w:vAlign w:val="center"/>
          </w:tcPr>
          <w:p w14:paraId="79C40DC9">
            <w:pPr>
              <w:widowControl w:val="0"/>
              <w:spacing w:line="300" w:lineRule="exact"/>
              <w:jc w:val="center"/>
              <w:rPr>
                <w:rFonts w:eastAsia="楷体_GB2312"/>
                <w:spacing w:val="-8"/>
                <w:szCs w:val="21"/>
              </w:rPr>
            </w:pPr>
            <w:r>
              <w:rPr>
                <w:rFonts w:eastAsia="楷体_GB2312"/>
                <w:spacing w:val="-8"/>
                <w:szCs w:val="21"/>
              </w:rPr>
              <w:t>中学</w:t>
            </w:r>
          </w:p>
        </w:tc>
        <w:tc>
          <w:tcPr>
            <w:tcW w:w="2019" w:type="dxa"/>
            <w:noWrap w:val="0"/>
            <w:vAlign w:val="center"/>
          </w:tcPr>
          <w:p w14:paraId="754BFFDD">
            <w:pPr>
              <w:widowControl w:val="0"/>
              <w:spacing w:line="300" w:lineRule="exact"/>
              <w:jc w:val="center"/>
              <w:rPr>
                <w:rFonts w:eastAsia="楷体_GB2312"/>
                <w:spacing w:val="-8"/>
                <w:szCs w:val="21"/>
              </w:rPr>
            </w:pPr>
            <w:r>
              <w:rPr>
                <w:rFonts w:eastAsia="楷体_GB2312"/>
                <w:spacing w:val="-8"/>
                <w:szCs w:val="21"/>
              </w:rPr>
              <w:t>√</w:t>
            </w:r>
          </w:p>
        </w:tc>
        <w:tc>
          <w:tcPr>
            <w:tcW w:w="2515" w:type="dxa"/>
            <w:vMerge w:val="restart"/>
            <w:noWrap w:val="0"/>
            <w:vAlign w:val="center"/>
          </w:tcPr>
          <w:p w14:paraId="2D66DB60">
            <w:pPr>
              <w:widowControl w:val="0"/>
              <w:spacing w:line="300" w:lineRule="exact"/>
              <w:jc w:val="center"/>
              <w:rPr>
                <w:rFonts w:eastAsia="楷体_GB2312"/>
                <w:spacing w:val="-8"/>
                <w:szCs w:val="21"/>
              </w:rPr>
            </w:pPr>
            <w:r>
              <w:rPr>
                <w:rFonts w:eastAsia="楷体_GB2312"/>
                <w:spacing w:val="-8"/>
                <w:szCs w:val="21"/>
              </w:rPr>
              <w:t>各乡镇内大型超市在商服繁华影响度部分已做了考虑，邮局影响程度较小，各乡镇无大型体育场、文化馆、影剧院、公园广场故此</w:t>
            </w:r>
            <w:r>
              <w:rPr>
                <w:rFonts w:hint="eastAsia" w:eastAsia="楷体_GB2312"/>
                <w:spacing w:val="-8"/>
                <w:szCs w:val="21"/>
              </w:rPr>
              <w:t>四</w:t>
            </w:r>
            <w:r>
              <w:rPr>
                <w:rFonts w:eastAsia="楷体_GB2312"/>
                <w:spacing w:val="-8"/>
                <w:szCs w:val="21"/>
              </w:rPr>
              <w:t>项未选择。</w:t>
            </w:r>
            <w:r>
              <w:rPr>
                <w:rFonts w:hint="eastAsia" w:eastAsia="楷体_GB2312"/>
                <w:spacing w:val="-8"/>
                <w:szCs w:val="21"/>
              </w:rPr>
              <w:t>由于民营快递产业发展迅速，使得邮局的影响力越来越小，故均不作考虑。</w:t>
            </w:r>
            <w:r>
              <w:rPr>
                <w:rFonts w:eastAsia="楷体_GB2312"/>
                <w:spacing w:val="-8"/>
                <w:szCs w:val="21"/>
              </w:rPr>
              <w:t>增加农贸市场、银行等公用设施</w:t>
            </w:r>
          </w:p>
        </w:tc>
      </w:tr>
      <w:tr w14:paraId="0E36C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569" w:type="dxa"/>
            <w:vMerge w:val="continue"/>
            <w:noWrap w:val="0"/>
            <w:vAlign w:val="center"/>
          </w:tcPr>
          <w:p w14:paraId="0960D5EF">
            <w:pPr>
              <w:widowControl w:val="0"/>
              <w:spacing w:line="300" w:lineRule="exact"/>
              <w:jc w:val="center"/>
              <w:rPr>
                <w:rFonts w:eastAsia="楷体_GB2312"/>
                <w:spacing w:val="-8"/>
                <w:szCs w:val="21"/>
              </w:rPr>
            </w:pPr>
          </w:p>
        </w:tc>
        <w:tc>
          <w:tcPr>
            <w:tcW w:w="1842" w:type="dxa"/>
            <w:vMerge w:val="continue"/>
            <w:noWrap w:val="0"/>
            <w:vAlign w:val="center"/>
          </w:tcPr>
          <w:p w14:paraId="56902988">
            <w:pPr>
              <w:widowControl w:val="0"/>
              <w:spacing w:line="300" w:lineRule="exact"/>
              <w:jc w:val="center"/>
              <w:rPr>
                <w:rFonts w:eastAsia="楷体_GB2312"/>
                <w:spacing w:val="-8"/>
                <w:szCs w:val="21"/>
              </w:rPr>
            </w:pPr>
          </w:p>
        </w:tc>
        <w:tc>
          <w:tcPr>
            <w:tcW w:w="1753" w:type="dxa"/>
            <w:noWrap w:val="0"/>
            <w:vAlign w:val="center"/>
          </w:tcPr>
          <w:p w14:paraId="2FEA9087">
            <w:pPr>
              <w:widowControl w:val="0"/>
              <w:spacing w:line="300" w:lineRule="exact"/>
              <w:jc w:val="center"/>
              <w:rPr>
                <w:rFonts w:eastAsia="楷体_GB2312"/>
                <w:spacing w:val="-8"/>
                <w:szCs w:val="21"/>
              </w:rPr>
            </w:pPr>
            <w:r>
              <w:rPr>
                <w:rFonts w:eastAsia="楷体_GB2312"/>
                <w:spacing w:val="-8"/>
                <w:szCs w:val="21"/>
              </w:rPr>
              <w:t>小学</w:t>
            </w:r>
          </w:p>
        </w:tc>
        <w:tc>
          <w:tcPr>
            <w:tcW w:w="2019" w:type="dxa"/>
            <w:noWrap w:val="0"/>
            <w:vAlign w:val="center"/>
          </w:tcPr>
          <w:p w14:paraId="114CCCAC">
            <w:pPr>
              <w:widowControl w:val="0"/>
              <w:spacing w:line="300" w:lineRule="exact"/>
              <w:jc w:val="center"/>
              <w:rPr>
                <w:rFonts w:eastAsia="楷体_GB2312"/>
                <w:spacing w:val="-8"/>
                <w:szCs w:val="21"/>
              </w:rPr>
            </w:pPr>
            <w:r>
              <w:rPr>
                <w:rFonts w:eastAsia="楷体_GB2312"/>
                <w:spacing w:val="-8"/>
                <w:szCs w:val="21"/>
              </w:rPr>
              <w:t>√</w:t>
            </w:r>
          </w:p>
        </w:tc>
        <w:tc>
          <w:tcPr>
            <w:tcW w:w="2515" w:type="dxa"/>
            <w:vMerge w:val="continue"/>
            <w:noWrap w:val="0"/>
            <w:vAlign w:val="center"/>
          </w:tcPr>
          <w:p w14:paraId="5281FF75">
            <w:pPr>
              <w:widowControl w:val="0"/>
              <w:spacing w:line="300" w:lineRule="exact"/>
              <w:jc w:val="center"/>
              <w:rPr>
                <w:rFonts w:eastAsia="楷体_GB2312"/>
                <w:spacing w:val="-8"/>
                <w:szCs w:val="21"/>
              </w:rPr>
            </w:pPr>
          </w:p>
        </w:tc>
      </w:tr>
      <w:tr w14:paraId="722E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569" w:type="dxa"/>
            <w:vMerge w:val="continue"/>
            <w:noWrap w:val="0"/>
            <w:vAlign w:val="center"/>
          </w:tcPr>
          <w:p w14:paraId="5B5B3CCA">
            <w:pPr>
              <w:widowControl w:val="0"/>
              <w:spacing w:line="300" w:lineRule="exact"/>
              <w:jc w:val="center"/>
              <w:rPr>
                <w:rFonts w:eastAsia="楷体_GB2312"/>
                <w:spacing w:val="-8"/>
                <w:szCs w:val="21"/>
              </w:rPr>
            </w:pPr>
          </w:p>
        </w:tc>
        <w:tc>
          <w:tcPr>
            <w:tcW w:w="1842" w:type="dxa"/>
            <w:vMerge w:val="continue"/>
            <w:noWrap w:val="0"/>
            <w:vAlign w:val="center"/>
          </w:tcPr>
          <w:p w14:paraId="18D8C515">
            <w:pPr>
              <w:widowControl w:val="0"/>
              <w:spacing w:line="300" w:lineRule="exact"/>
              <w:jc w:val="center"/>
              <w:rPr>
                <w:rFonts w:eastAsia="楷体_GB2312"/>
                <w:spacing w:val="-8"/>
                <w:szCs w:val="21"/>
              </w:rPr>
            </w:pPr>
          </w:p>
        </w:tc>
        <w:tc>
          <w:tcPr>
            <w:tcW w:w="1753" w:type="dxa"/>
            <w:noWrap w:val="0"/>
            <w:vAlign w:val="center"/>
          </w:tcPr>
          <w:p w14:paraId="2DF95CB0">
            <w:pPr>
              <w:widowControl w:val="0"/>
              <w:spacing w:line="300" w:lineRule="exact"/>
              <w:jc w:val="center"/>
              <w:rPr>
                <w:rFonts w:eastAsia="楷体_GB2312"/>
                <w:spacing w:val="-8"/>
                <w:szCs w:val="21"/>
              </w:rPr>
            </w:pPr>
            <w:r>
              <w:rPr>
                <w:rFonts w:eastAsia="楷体_GB2312"/>
                <w:spacing w:val="-8"/>
                <w:szCs w:val="21"/>
              </w:rPr>
              <w:t>幼儿园</w:t>
            </w:r>
          </w:p>
        </w:tc>
        <w:tc>
          <w:tcPr>
            <w:tcW w:w="2019" w:type="dxa"/>
            <w:noWrap w:val="0"/>
            <w:vAlign w:val="center"/>
          </w:tcPr>
          <w:p w14:paraId="35806E30">
            <w:pPr>
              <w:widowControl w:val="0"/>
              <w:spacing w:line="300" w:lineRule="exact"/>
              <w:jc w:val="center"/>
              <w:rPr>
                <w:rFonts w:eastAsia="楷体_GB2312"/>
                <w:spacing w:val="-8"/>
                <w:szCs w:val="21"/>
              </w:rPr>
            </w:pPr>
            <w:r>
              <w:rPr>
                <w:rFonts w:eastAsia="楷体_GB2312"/>
                <w:spacing w:val="-8"/>
                <w:szCs w:val="21"/>
              </w:rPr>
              <w:t>√</w:t>
            </w:r>
          </w:p>
        </w:tc>
        <w:tc>
          <w:tcPr>
            <w:tcW w:w="2515" w:type="dxa"/>
            <w:vMerge w:val="continue"/>
            <w:noWrap w:val="0"/>
            <w:vAlign w:val="center"/>
          </w:tcPr>
          <w:p w14:paraId="1846E1BE">
            <w:pPr>
              <w:widowControl w:val="0"/>
              <w:spacing w:line="300" w:lineRule="exact"/>
              <w:jc w:val="center"/>
              <w:rPr>
                <w:rFonts w:eastAsia="楷体_GB2312"/>
                <w:spacing w:val="-8"/>
                <w:szCs w:val="21"/>
              </w:rPr>
            </w:pPr>
          </w:p>
        </w:tc>
      </w:tr>
      <w:tr w14:paraId="6DBE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569" w:type="dxa"/>
            <w:vMerge w:val="continue"/>
            <w:noWrap w:val="0"/>
            <w:vAlign w:val="center"/>
          </w:tcPr>
          <w:p w14:paraId="4C6648E3">
            <w:pPr>
              <w:widowControl w:val="0"/>
              <w:spacing w:line="300" w:lineRule="exact"/>
              <w:jc w:val="center"/>
              <w:rPr>
                <w:rFonts w:eastAsia="楷体_GB2312"/>
                <w:spacing w:val="-8"/>
                <w:szCs w:val="21"/>
              </w:rPr>
            </w:pPr>
          </w:p>
        </w:tc>
        <w:tc>
          <w:tcPr>
            <w:tcW w:w="1842" w:type="dxa"/>
            <w:vMerge w:val="continue"/>
            <w:noWrap w:val="0"/>
            <w:vAlign w:val="center"/>
          </w:tcPr>
          <w:p w14:paraId="37F67A03">
            <w:pPr>
              <w:widowControl w:val="0"/>
              <w:spacing w:line="300" w:lineRule="exact"/>
              <w:jc w:val="center"/>
              <w:rPr>
                <w:rFonts w:eastAsia="楷体_GB2312"/>
                <w:spacing w:val="-8"/>
                <w:szCs w:val="21"/>
              </w:rPr>
            </w:pPr>
          </w:p>
        </w:tc>
        <w:tc>
          <w:tcPr>
            <w:tcW w:w="1753" w:type="dxa"/>
            <w:noWrap w:val="0"/>
            <w:vAlign w:val="center"/>
          </w:tcPr>
          <w:p w14:paraId="37BD44E9">
            <w:pPr>
              <w:widowControl w:val="0"/>
              <w:spacing w:line="300" w:lineRule="exact"/>
              <w:jc w:val="center"/>
              <w:rPr>
                <w:rFonts w:eastAsia="楷体_GB2312"/>
                <w:spacing w:val="-8"/>
                <w:szCs w:val="21"/>
              </w:rPr>
            </w:pPr>
            <w:r>
              <w:rPr>
                <w:rFonts w:eastAsia="楷体_GB2312"/>
                <w:spacing w:val="-8"/>
                <w:szCs w:val="21"/>
              </w:rPr>
              <w:t>医院</w:t>
            </w:r>
          </w:p>
        </w:tc>
        <w:tc>
          <w:tcPr>
            <w:tcW w:w="2019" w:type="dxa"/>
            <w:noWrap w:val="0"/>
            <w:vAlign w:val="center"/>
          </w:tcPr>
          <w:p w14:paraId="656AA3A5">
            <w:pPr>
              <w:widowControl w:val="0"/>
              <w:spacing w:line="300" w:lineRule="exact"/>
              <w:jc w:val="center"/>
              <w:rPr>
                <w:rFonts w:eastAsia="楷体_GB2312"/>
                <w:spacing w:val="-8"/>
                <w:szCs w:val="21"/>
              </w:rPr>
            </w:pPr>
            <w:r>
              <w:rPr>
                <w:rFonts w:eastAsia="楷体_GB2312"/>
                <w:spacing w:val="-8"/>
                <w:szCs w:val="21"/>
              </w:rPr>
              <w:t>√</w:t>
            </w:r>
          </w:p>
        </w:tc>
        <w:tc>
          <w:tcPr>
            <w:tcW w:w="2515" w:type="dxa"/>
            <w:vMerge w:val="continue"/>
            <w:noWrap w:val="0"/>
            <w:vAlign w:val="center"/>
          </w:tcPr>
          <w:p w14:paraId="60B5374E">
            <w:pPr>
              <w:widowControl w:val="0"/>
              <w:spacing w:line="300" w:lineRule="exact"/>
              <w:jc w:val="center"/>
              <w:rPr>
                <w:rFonts w:eastAsia="楷体_GB2312"/>
                <w:spacing w:val="-8"/>
                <w:szCs w:val="21"/>
              </w:rPr>
            </w:pPr>
          </w:p>
        </w:tc>
      </w:tr>
      <w:tr w14:paraId="570DA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69" w:type="dxa"/>
            <w:vMerge w:val="continue"/>
            <w:noWrap w:val="0"/>
            <w:vAlign w:val="center"/>
          </w:tcPr>
          <w:p w14:paraId="66832B61">
            <w:pPr>
              <w:widowControl w:val="0"/>
              <w:spacing w:line="300" w:lineRule="exact"/>
              <w:jc w:val="center"/>
              <w:rPr>
                <w:rFonts w:eastAsia="楷体_GB2312"/>
                <w:spacing w:val="-8"/>
                <w:szCs w:val="21"/>
              </w:rPr>
            </w:pPr>
          </w:p>
        </w:tc>
        <w:tc>
          <w:tcPr>
            <w:tcW w:w="1842" w:type="dxa"/>
            <w:vMerge w:val="continue"/>
            <w:noWrap w:val="0"/>
            <w:vAlign w:val="center"/>
          </w:tcPr>
          <w:p w14:paraId="2480C6E8">
            <w:pPr>
              <w:widowControl w:val="0"/>
              <w:spacing w:line="300" w:lineRule="exact"/>
              <w:jc w:val="center"/>
              <w:rPr>
                <w:rFonts w:eastAsia="楷体_GB2312"/>
                <w:spacing w:val="-8"/>
                <w:szCs w:val="21"/>
              </w:rPr>
            </w:pPr>
          </w:p>
        </w:tc>
        <w:tc>
          <w:tcPr>
            <w:tcW w:w="1753" w:type="dxa"/>
            <w:noWrap w:val="0"/>
            <w:vAlign w:val="center"/>
          </w:tcPr>
          <w:p w14:paraId="26351AA7">
            <w:pPr>
              <w:widowControl w:val="0"/>
              <w:spacing w:line="300" w:lineRule="exact"/>
              <w:jc w:val="center"/>
              <w:rPr>
                <w:rFonts w:eastAsia="楷体_GB2312"/>
                <w:spacing w:val="-8"/>
                <w:szCs w:val="21"/>
              </w:rPr>
            </w:pPr>
            <w:r>
              <w:rPr>
                <w:rFonts w:eastAsia="楷体_GB2312"/>
                <w:spacing w:val="-8"/>
                <w:szCs w:val="21"/>
              </w:rPr>
              <w:t>体育场馆</w:t>
            </w:r>
          </w:p>
        </w:tc>
        <w:tc>
          <w:tcPr>
            <w:tcW w:w="2019" w:type="dxa"/>
            <w:noWrap w:val="0"/>
            <w:vAlign w:val="center"/>
          </w:tcPr>
          <w:p w14:paraId="62ECD9DA">
            <w:pPr>
              <w:widowControl w:val="0"/>
              <w:spacing w:line="300" w:lineRule="exact"/>
              <w:jc w:val="center"/>
              <w:rPr>
                <w:rFonts w:eastAsia="楷体_GB2312"/>
                <w:spacing w:val="-8"/>
                <w:szCs w:val="21"/>
              </w:rPr>
            </w:pPr>
            <w:r>
              <w:rPr>
                <w:rFonts w:eastAsia="楷体_GB2312"/>
                <w:spacing w:val="-8"/>
                <w:szCs w:val="21"/>
              </w:rPr>
              <w:t>×</w:t>
            </w:r>
          </w:p>
        </w:tc>
        <w:tc>
          <w:tcPr>
            <w:tcW w:w="2515" w:type="dxa"/>
            <w:vMerge w:val="continue"/>
            <w:noWrap w:val="0"/>
            <w:vAlign w:val="center"/>
          </w:tcPr>
          <w:p w14:paraId="606D5E97">
            <w:pPr>
              <w:widowControl w:val="0"/>
              <w:spacing w:line="300" w:lineRule="exact"/>
              <w:jc w:val="center"/>
              <w:rPr>
                <w:rFonts w:eastAsia="楷体_GB2312"/>
                <w:spacing w:val="-8"/>
                <w:szCs w:val="21"/>
              </w:rPr>
            </w:pPr>
          </w:p>
        </w:tc>
      </w:tr>
      <w:tr w14:paraId="0BA6B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69" w:type="dxa"/>
            <w:vMerge w:val="continue"/>
            <w:noWrap w:val="0"/>
            <w:vAlign w:val="center"/>
          </w:tcPr>
          <w:p w14:paraId="65BB4BCF">
            <w:pPr>
              <w:widowControl w:val="0"/>
              <w:spacing w:line="300" w:lineRule="exact"/>
              <w:jc w:val="center"/>
              <w:rPr>
                <w:rFonts w:eastAsia="楷体_GB2312"/>
                <w:spacing w:val="-8"/>
                <w:szCs w:val="21"/>
              </w:rPr>
            </w:pPr>
          </w:p>
        </w:tc>
        <w:tc>
          <w:tcPr>
            <w:tcW w:w="1842" w:type="dxa"/>
            <w:vMerge w:val="continue"/>
            <w:noWrap w:val="0"/>
            <w:vAlign w:val="center"/>
          </w:tcPr>
          <w:p w14:paraId="3110F600">
            <w:pPr>
              <w:widowControl w:val="0"/>
              <w:spacing w:line="300" w:lineRule="exact"/>
              <w:jc w:val="center"/>
              <w:rPr>
                <w:rFonts w:eastAsia="楷体_GB2312"/>
                <w:spacing w:val="-8"/>
                <w:szCs w:val="21"/>
              </w:rPr>
            </w:pPr>
          </w:p>
        </w:tc>
        <w:tc>
          <w:tcPr>
            <w:tcW w:w="1753" w:type="dxa"/>
            <w:noWrap w:val="0"/>
            <w:vAlign w:val="center"/>
          </w:tcPr>
          <w:p w14:paraId="4C73B308">
            <w:pPr>
              <w:widowControl w:val="0"/>
              <w:spacing w:line="300" w:lineRule="exact"/>
              <w:jc w:val="center"/>
              <w:rPr>
                <w:rFonts w:eastAsia="楷体_GB2312"/>
                <w:spacing w:val="-8"/>
                <w:szCs w:val="21"/>
              </w:rPr>
            </w:pPr>
            <w:r>
              <w:rPr>
                <w:rFonts w:eastAsia="楷体_GB2312"/>
                <w:spacing w:val="-8"/>
                <w:szCs w:val="21"/>
              </w:rPr>
              <w:t>文化馆</w:t>
            </w:r>
          </w:p>
        </w:tc>
        <w:tc>
          <w:tcPr>
            <w:tcW w:w="2019" w:type="dxa"/>
            <w:noWrap w:val="0"/>
            <w:vAlign w:val="center"/>
          </w:tcPr>
          <w:p w14:paraId="29213912">
            <w:pPr>
              <w:widowControl w:val="0"/>
              <w:spacing w:line="300" w:lineRule="exact"/>
              <w:jc w:val="center"/>
              <w:rPr>
                <w:rFonts w:eastAsia="楷体_GB2312"/>
                <w:spacing w:val="-8"/>
                <w:szCs w:val="21"/>
              </w:rPr>
            </w:pPr>
            <w:r>
              <w:rPr>
                <w:rFonts w:eastAsia="楷体_GB2312"/>
                <w:spacing w:val="-8"/>
                <w:szCs w:val="21"/>
              </w:rPr>
              <w:t>×</w:t>
            </w:r>
          </w:p>
        </w:tc>
        <w:tc>
          <w:tcPr>
            <w:tcW w:w="2515" w:type="dxa"/>
            <w:vMerge w:val="continue"/>
            <w:noWrap w:val="0"/>
            <w:vAlign w:val="center"/>
          </w:tcPr>
          <w:p w14:paraId="4BB75FAB">
            <w:pPr>
              <w:widowControl w:val="0"/>
              <w:spacing w:line="300" w:lineRule="exact"/>
              <w:jc w:val="center"/>
              <w:rPr>
                <w:rFonts w:eastAsia="楷体_GB2312"/>
                <w:spacing w:val="-8"/>
                <w:szCs w:val="21"/>
              </w:rPr>
            </w:pPr>
          </w:p>
        </w:tc>
      </w:tr>
      <w:tr w14:paraId="1E66D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569" w:type="dxa"/>
            <w:vMerge w:val="continue"/>
            <w:noWrap w:val="0"/>
            <w:vAlign w:val="center"/>
          </w:tcPr>
          <w:p w14:paraId="64FE8ED1">
            <w:pPr>
              <w:widowControl w:val="0"/>
              <w:spacing w:line="300" w:lineRule="exact"/>
              <w:jc w:val="center"/>
              <w:rPr>
                <w:rFonts w:eastAsia="楷体_GB2312"/>
                <w:spacing w:val="-8"/>
                <w:szCs w:val="21"/>
              </w:rPr>
            </w:pPr>
          </w:p>
        </w:tc>
        <w:tc>
          <w:tcPr>
            <w:tcW w:w="1842" w:type="dxa"/>
            <w:vMerge w:val="continue"/>
            <w:noWrap w:val="0"/>
            <w:vAlign w:val="center"/>
          </w:tcPr>
          <w:p w14:paraId="73748F60">
            <w:pPr>
              <w:widowControl w:val="0"/>
              <w:spacing w:line="300" w:lineRule="exact"/>
              <w:jc w:val="center"/>
              <w:rPr>
                <w:rFonts w:eastAsia="楷体_GB2312"/>
                <w:spacing w:val="-8"/>
                <w:szCs w:val="21"/>
              </w:rPr>
            </w:pPr>
          </w:p>
        </w:tc>
        <w:tc>
          <w:tcPr>
            <w:tcW w:w="1753" w:type="dxa"/>
            <w:noWrap w:val="0"/>
            <w:vAlign w:val="center"/>
          </w:tcPr>
          <w:p w14:paraId="270C344F">
            <w:pPr>
              <w:widowControl w:val="0"/>
              <w:spacing w:line="300" w:lineRule="exact"/>
              <w:jc w:val="center"/>
              <w:rPr>
                <w:rFonts w:eastAsia="楷体_GB2312"/>
                <w:spacing w:val="-8"/>
                <w:szCs w:val="21"/>
              </w:rPr>
            </w:pPr>
            <w:r>
              <w:rPr>
                <w:rFonts w:eastAsia="楷体_GB2312"/>
                <w:spacing w:val="-8"/>
                <w:szCs w:val="21"/>
              </w:rPr>
              <w:t>大型超市</w:t>
            </w:r>
          </w:p>
        </w:tc>
        <w:tc>
          <w:tcPr>
            <w:tcW w:w="2019" w:type="dxa"/>
            <w:noWrap w:val="0"/>
            <w:vAlign w:val="center"/>
          </w:tcPr>
          <w:p w14:paraId="6B7ADC6B">
            <w:pPr>
              <w:widowControl w:val="0"/>
              <w:spacing w:line="300" w:lineRule="exact"/>
              <w:jc w:val="center"/>
              <w:rPr>
                <w:rFonts w:eastAsia="楷体_GB2312"/>
                <w:spacing w:val="-8"/>
                <w:szCs w:val="21"/>
              </w:rPr>
            </w:pPr>
            <w:r>
              <w:rPr>
                <w:rFonts w:eastAsia="楷体_GB2312"/>
                <w:spacing w:val="-8"/>
                <w:szCs w:val="21"/>
              </w:rPr>
              <w:t>×</w:t>
            </w:r>
          </w:p>
        </w:tc>
        <w:tc>
          <w:tcPr>
            <w:tcW w:w="2515" w:type="dxa"/>
            <w:vMerge w:val="continue"/>
            <w:noWrap w:val="0"/>
            <w:vAlign w:val="center"/>
          </w:tcPr>
          <w:p w14:paraId="7A273CBC">
            <w:pPr>
              <w:widowControl w:val="0"/>
              <w:spacing w:line="300" w:lineRule="exact"/>
              <w:jc w:val="center"/>
              <w:rPr>
                <w:rFonts w:eastAsia="楷体_GB2312"/>
                <w:spacing w:val="-8"/>
                <w:szCs w:val="21"/>
              </w:rPr>
            </w:pPr>
          </w:p>
        </w:tc>
      </w:tr>
      <w:tr w14:paraId="49EA4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569" w:type="dxa"/>
            <w:vMerge w:val="continue"/>
            <w:noWrap w:val="0"/>
            <w:vAlign w:val="center"/>
          </w:tcPr>
          <w:p w14:paraId="21A7C5D1">
            <w:pPr>
              <w:widowControl w:val="0"/>
              <w:spacing w:line="300" w:lineRule="exact"/>
              <w:jc w:val="center"/>
              <w:rPr>
                <w:rFonts w:eastAsia="楷体_GB2312"/>
                <w:spacing w:val="-8"/>
                <w:szCs w:val="21"/>
              </w:rPr>
            </w:pPr>
          </w:p>
        </w:tc>
        <w:tc>
          <w:tcPr>
            <w:tcW w:w="1842" w:type="dxa"/>
            <w:vMerge w:val="continue"/>
            <w:noWrap w:val="0"/>
            <w:vAlign w:val="center"/>
          </w:tcPr>
          <w:p w14:paraId="6D19315D">
            <w:pPr>
              <w:widowControl w:val="0"/>
              <w:spacing w:line="300" w:lineRule="exact"/>
              <w:jc w:val="center"/>
              <w:rPr>
                <w:rFonts w:eastAsia="楷体_GB2312"/>
                <w:spacing w:val="-8"/>
                <w:szCs w:val="21"/>
              </w:rPr>
            </w:pPr>
          </w:p>
        </w:tc>
        <w:tc>
          <w:tcPr>
            <w:tcW w:w="1753" w:type="dxa"/>
            <w:noWrap w:val="0"/>
            <w:vAlign w:val="center"/>
          </w:tcPr>
          <w:p w14:paraId="7BC15A63">
            <w:pPr>
              <w:widowControl w:val="0"/>
              <w:spacing w:line="300" w:lineRule="exact"/>
              <w:jc w:val="center"/>
              <w:rPr>
                <w:rFonts w:eastAsia="楷体_GB2312"/>
                <w:spacing w:val="-8"/>
                <w:szCs w:val="21"/>
              </w:rPr>
            </w:pPr>
            <w:r>
              <w:rPr>
                <w:rFonts w:eastAsia="楷体_GB2312"/>
                <w:spacing w:val="-8"/>
                <w:szCs w:val="21"/>
              </w:rPr>
              <w:t>影剧院</w:t>
            </w:r>
          </w:p>
        </w:tc>
        <w:tc>
          <w:tcPr>
            <w:tcW w:w="2019" w:type="dxa"/>
            <w:noWrap w:val="0"/>
            <w:vAlign w:val="center"/>
          </w:tcPr>
          <w:p w14:paraId="3D16FDC3">
            <w:pPr>
              <w:widowControl w:val="0"/>
              <w:spacing w:line="300" w:lineRule="exact"/>
              <w:jc w:val="center"/>
              <w:rPr>
                <w:rFonts w:eastAsia="楷体_GB2312"/>
                <w:spacing w:val="-8"/>
                <w:szCs w:val="21"/>
              </w:rPr>
            </w:pPr>
            <w:r>
              <w:rPr>
                <w:rFonts w:eastAsia="楷体_GB2312"/>
                <w:spacing w:val="-8"/>
                <w:szCs w:val="21"/>
              </w:rPr>
              <w:t>×</w:t>
            </w:r>
          </w:p>
        </w:tc>
        <w:tc>
          <w:tcPr>
            <w:tcW w:w="2515" w:type="dxa"/>
            <w:vMerge w:val="continue"/>
            <w:noWrap w:val="0"/>
            <w:vAlign w:val="center"/>
          </w:tcPr>
          <w:p w14:paraId="6AD68B92">
            <w:pPr>
              <w:widowControl w:val="0"/>
              <w:spacing w:line="300" w:lineRule="exact"/>
              <w:jc w:val="center"/>
              <w:rPr>
                <w:rFonts w:eastAsia="楷体_GB2312"/>
                <w:spacing w:val="-8"/>
                <w:szCs w:val="21"/>
              </w:rPr>
            </w:pPr>
          </w:p>
        </w:tc>
      </w:tr>
      <w:tr w14:paraId="7F66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569" w:type="dxa"/>
            <w:vMerge w:val="continue"/>
            <w:noWrap w:val="0"/>
            <w:vAlign w:val="center"/>
          </w:tcPr>
          <w:p w14:paraId="4AB2D530">
            <w:pPr>
              <w:widowControl w:val="0"/>
              <w:spacing w:line="300" w:lineRule="exact"/>
              <w:jc w:val="center"/>
              <w:rPr>
                <w:rFonts w:eastAsia="楷体_GB2312"/>
                <w:spacing w:val="-8"/>
                <w:szCs w:val="21"/>
              </w:rPr>
            </w:pPr>
          </w:p>
        </w:tc>
        <w:tc>
          <w:tcPr>
            <w:tcW w:w="1842" w:type="dxa"/>
            <w:vMerge w:val="continue"/>
            <w:noWrap w:val="0"/>
            <w:vAlign w:val="center"/>
          </w:tcPr>
          <w:p w14:paraId="0201FE05">
            <w:pPr>
              <w:widowControl w:val="0"/>
              <w:spacing w:line="300" w:lineRule="exact"/>
              <w:jc w:val="center"/>
              <w:rPr>
                <w:rFonts w:eastAsia="楷体_GB2312"/>
                <w:spacing w:val="-8"/>
                <w:szCs w:val="21"/>
              </w:rPr>
            </w:pPr>
          </w:p>
        </w:tc>
        <w:tc>
          <w:tcPr>
            <w:tcW w:w="1753" w:type="dxa"/>
            <w:noWrap w:val="0"/>
            <w:vAlign w:val="center"/>
          </w:tcPr>
          <w:p w14:paraId="5A443E4F">
            <w:pPr>
              <w:widowControl w:val="0"/>
              <w:spacing w:line="300" w:lineRule="exact"/>
              <w:jc w:val="center"/>
              <w:rPr>
                <w:rFonts w:eastAsia="楷体_GB2312"/>
                <w:spacing w:val="-8"/>
                <w:szCs w:val="21"/>
              </w:rPr>
            </w:pPr>
            <w:r>
              <w:rPr>
                <w:rFonts w:eastAsia="楷体_GB2312"/>
                <w:spacing w:val="-8"/>
                <w:szCs w:val="21"/>
              </w:rPr>
              <w:t>公园广场</w:t>
            </w:r>
          </w:p>
        </w:tc>
        <w:tc>
          <w:tcPr>
            <w:tcW w:w="2019" w:type="dxa"/>
            <w:noWrap w:val="0"/>
            <w:vAlign w:val="center"/>
          </w:tcPr>
          <w:p w14:paraId="7CF7079E">
            <w:pPr>
              <w:widowControl w:val="0"/>
              <w:spacing w:line="300" w:lineRule="exact"/>
              <w:jc w:val="center"/>
              <w:rPr>
                <w:rFonts w:eastAsia="楷体_GB2312"/>
                <w:spacing w:val="-8"/>
                <w:szCs w:val="21"/>
              </w:rPr>
            </w:pPr>
            <w:r>
              <w:rPr>
                <w:rFonts w:eastAsia="楷体_GB2312"/>
                <w:spacing w:val="-8"/>
                <w:szCs w:val="21"/>
              </w:rPr>
              <w:t>×</w:t>
            </w:r>
          </w:p>
        </w:tc>
        <w:tc>
          <w:tcPr>
            <w:tcW w:w="2515" w:type="dxa"/>
            <w:vMerge w:val="continue"/>
            <w:noWrap w:val="0"/>
            <w:vAlign w:val="center"/>
          </w:tcPr>
          <w:p w14:paraId="2D622CA4">
            <w:pPr>
              <w:widowControl w:val="0"/>
              <w:spacing w:line="300" w:lineRule="exact"/>
              <w:jc w:val="center"/>
              <w:rPr>
                <w:rFonts w:eastAsia="楷体_GB2312"/>
                <w:spacing w:val="-8"/>
                <w:szCs w:val="21"/>
              </w:rPr>
            </w:pPr>
          </w:p>
        </w:tc>
      </w:tr>
      <w:tr w14:paraId="4D7F5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569" w:type="dxa"/>
            <w:vMerge w:val="continue"/>
            <w:noWrap w:val="0"/>
            <w:vAlign w:val="center"/>
          </w:tcPr>
          <w:p w14:paraId="10AF52AD">
            <w:pPr>
              <w:widowControl w:val="0"/>
              <w:spacing w:line="300" w:lineRule="exact"/>
              <w:jc w:val="center"/>
              <w:rPr>
                <w:rFonts w:eastAsia="楷体_GB2312"/>
                <w:spacing w:val="-8"/>
                <w:szCs w:val="21"/>
              </w:rPr>
            </w:pPr>
          </w:p>
        </w:tc>
        <w:tc>
          <w:tcPr>
            <w:tcW w:w="1842" w:type="dxa"/>
            <w:vMerge w:val="continue"/>
            <w:noWrap w:val="0"/>
            <w:vAlign w:val="center"/>
          </w:tcPr>
          <w:p w14:paraId="0D447790">
            <w:pPr>
              <w:widowControl w:val="0"/>
              <w:spacing w:line="300" w:lineRule="exact"/>
              <w:jc w:val="center"/>
              <w:rPr>
                <w:rFonts w:eastAsia="楷体_GB2312"/>
                <w:spacing w:val="-8"/>
                <w:szCs w:val="21"/>
              </w:rPr>
            </w:pPr>
          </w:p>
        </w:tc>
        <w:tc>
          <w:tcPr>
            <w:tcW w:w="1753" w:type="dxa"/>
            <w:noWrap w:val="0"/>
            <w:vAlign w:val="center"/>
          </w:tcPr>
          <w:p w14:paraId="0609B6CE">
            <w:pPr>
              <w:widowControl w:val="0"/>
              <w:spacing w:line="300" w:lineRule="exact"/>
              <w:jc w:val="center"/>
              <w:rPr>
                <w:rFonts w:eastAsia="楷体_GB2312"/>
                <w:spacing w:val="-8"/>
                <w:szCs w:val="21"/>
              </w:rPr>
            </w:pPr>
            <w:r>
              <w:rPr>
                <w:rFonts w:eastAsia="楷体_GB2312"/>
                <w:spacing w:val="-8"/>
                <w:szCs w:val="21"/>
              </w:rPr>
              <w:t>邮局</w:t>
            </w:r>
          </w:p>
        </w:tc>
        <w:tc>
          <w:tcPr>
            <w:tcW w:w="2019" w:type="dxa"/>
            <w:noWrap w:val="0"/>
            <w:vAlign w:val="center"/>
          </w:tcPr>
          <w:p w14:paraId="1E5AD6B8">
            <w:pPr>
              <w:widowControl w:val="0"/>
              <w:spacing w:line="300" w:lineRule="exact"/>
              <w:jc w:val="center"/>
              <w:rPr>
                <w:rFonts w:eastAsia="楷体_GB2312"/>
                <w:spacing w:val="-8"/>
                <w:szCs w:val="21"/>
              </w:rPr>
            </w:pPr>
            <w:r>
              <w:rPr>
                <w:rFonts w:eastAsia="楷体_GB2312"/>
                <w:spacing w:val="-8"/>
                <w:szCs w:val="21"/>
              </w:rPr>
              <w:t>×</w:t>
            </w:r>
          </w:p>
        </w:tc>
        <w:tc>
          <w:tcPr>
            <w:tcW w:w="2515" w:type="dxa"/>
            <w:vMerge w:val="continue"/>
            <w:noWrap w:val="0"/>
            <w:vAlign w:val="center"/>
          </w:tcPr>
          <w:p w14:paraId="2F9A3E29">
            <w:pPr>
              <w:widowControl w:val="0"/>
              <w:spacing w:line="300" w:lineRule="exact"/>
              <w:jc w:val="center"/>
              <w:rPr>
                <w:rFonts w:eastAsia="楷体_GB2312"/>
                <w:spacing w:val="-8"/>
                <w:szCs w:val="21"/>
              </w:rPr>
            </w:pPr>
          </w:p>
        </w:tc>
      </w:tr>
      <w:tr w14:paraId="0CD97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569" w:type="dxa"/>
            <w:vMerge w:val="continue"/>
            <w:noWrap w:val="0"/>
            <w:vAlign w:val="center"/>
          </w:tcPr>
          <w:p w14:paraId="2323FC84">
            <w:pPr>
              <w:widowControl w:val="0"/>
              <w:spacing w:line="300" w:lineRule="exact"/>
              <w:jc w:val="center"/>
              <w:rPr>
                <w:rFonts w:eastAsia="楷体_GB2312"/>
                <w:spacing w:val="-8"/>
                <w:szCs w:val="21"/>
              </w:rPr>
            </w:pPr>
          </w:p>
        </w:tc>
        <w:tc>
          <w:tcPr>
            <w:tcW w:w="1842" w:type="dxa"/>
            <w:vMerge w:val="continue"/>
            <w:noWrap w:val="0"/>
            <w:vAlign w:val="center"/>
          </w:tcPr>
          <w:p w14:paraId="4A6F2975">
            <w:pPr>
              <w:widowControl w:val="0"/>
              <w:spacing w:line="300" w:lineRule="exact"/>
              <w:jc w:val="center"/>
              <w:rPr>
                <w:rFonts w:eastAsia="楷体_GB2312"/>
                <w:spacing w:val="-8"/>
                <w:szCs w:val="21"/>
              </w:rPr>
            </w:pPr>
          </w:p>
        </w:tc>
        <w:tc>
          <w:tcPr>
            <w:tcW w:w="1753" w:type="dxa"/>
            <w:noWrap w:val="0"/>
            <w:vAlign w:val="center"/>
          </w:tcPr>
          <w:p w14:paraId="709CB57B">
            <w:pPr>
              <w:widowControl w:val="0"/>
              <w:spacing w:line="300" w:lineRule="exact"/>
              <w:jc w:val="center"/>
              <w:rPr>
                <w:rFonts w:eastAsia="楷体_GB2312"/>
                <w:spacing w:val="-8"/>
                <w:szCs w:val="21"/>
              </w:rPr>
            </w:pPr>
            <w:r>
              <w:rPr>
                <w:rFonts w:eastAsia="楷体_GB2312"/>
                <w:spacing w:val="-8"/>
                <w:szCs w:val="21"/>
              </w:rPr>
              <w:t>农贸市场</w:t>
            </w:r>
          </w:p>
        </w:tc>
        <w:tc>
          <w:tcPr>
            <w:tcW w:w="2019" w:type="dxa"/>
            <w:noWrap w:val="0"/>
            <w:vAlign w:val="center"/>
          </w:tcPr>
          <w:p w14:paraId="40880E53">
            <w:pPr>
              <w:widowControl w:val="0"/>
              <w:spacing w:line="300" w:lineRule="exact"/>
              <w:jc w:val="center"/>
              <w:rPr>
                <w:rFonts w:eastAsia="楷体_GB2312"/>
                <w:spacing w:val="-8"/>
                <w:szCs w:val="21"/>
              </w:rPr>
            </w:pPr>
            <w:r>
              <w:rPr>
                <w:rFonts w:eastAsia="楷体_GB2312"/>
                <w:spacing w:val="-8"/>
                <w:szCs w:val="21"/>
              </w:rPr>
              <w:t>√</w:t>
            </w:r>
          </w:p>
        </w:tc>
        <w:tc>
          <w:tcPr>
            <w:tcW w:w="2515" w:type="dxa"/>
            <w:vMerge w:val="continue"/>
            <w:noWrap w:val="0"/>
            <w:vAlign w:val="center"/>
          </w:tcPr>
          <w:p w14:paraId="4FD090A4">
            <w:pPr>
              <w:widowControl w:val="0"/>
              <w:spacing w:line="300" w:lineRule="exact"/>
              <w:jc w:val="center"/>
              <w:rPr>
                <w:rFonts w:eastAsia="楷体_GB2312"/>
                <w:spacing w:val="-8"/>
                <w:szCs w:val="21"/>
              </w:rPr>
            </w:pPr>
          </w:p>
        </w:tc>
      </w:tr>
      <w:tr w14:paraId="2A3CE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569" w:type="dxa"/>
            <w:vMerge w:val="continue"/>
            <w:noWrap w:val="0"/>
            <w:vAlign w:val="center"/>
          </w:tcPr>
          <w:p w14:paraId="75294EBC">
            <w:pPr>
              <w:widowControl w:val="0"/>
              <w:spacing w:line="300" w:lineRule="exact"/>
              <w:jc w:val="center"/>
              <w:rPr>
                <w:rFonts w:eastAsia="楷体_GB2312"/>
                <w:spacing w:val="-8"/>
                <w:szCs w:val="21"/>
              </w:rPr>
            </w:pPr>
          </w:p>
        </w:tc>
        <w:tc>
          <w:tcPr>
            <w:tcW w:w="1842" w:type="dxa"/>
            <w:vMerge w:val="continue"/>
            <w:noWrap w:val="0"/>
            <w:vAlign w:val="center"/>
          </w:tcPr>
          <w:p w14:paraId="647EF85E">
            <w:pPr>
              <w:widowControl w:val="0"/>
              <w:spacing w:line="300" w:lineRule="exact"/>
              <w:jc w:val="center"/>
              <w:rPr>
                <w:rFonts w:eastAsia="楷体_GB2312"/>
                <w:spacing w:val="-8"/>
                <w:szCs w:val="21"/>
              </w:rPr>
            </w:pPr>
          </w:p>
        </w:tc>
        <w:tc>
          <w:tcPr>
            <w:tcW w:w="1753" w:type="dxa"/>
            <w:noWrap w:val="0"/>
            <w:vAlign w:val="center"/>
          </w:tcPr>
          <w:p w14:paraId="416D8ECA">
            <w:pPr>
              <w:widowControl w:val="0"/>
              <w:spacing w:line="300" w:lineRule="exact"/>
              <w:jc w:val="center"/>
              <w:rPr>
                <w:rFonts w:eastAsia="楷体_GB2312"/>
                <w:spacing w:val="-8"/>
                <w:szCs w:val="21"/>
              </w:rPr>
            </w:pPr>
            <w:r>
              <w:rPr>
                <w:rFonts w:eastAsia="楷体_GB2312"/>
                <w:spacing w:val="-8"/>
                <w:szCs w:val="21"/>
              </w:rPr>
              <w:t>银行</w:t>
            </w:r>
          </w:p>
        </w:tc>
        <w:tc>
          <w:tcPr>
            <w:tcW w:w="2019" w:type="dxa"/>
            <w:noWrap w:val="0"/>
            <w:vAlign w:val="center"/>
          </w:tcPr>
          <w:p w14:paraId="4136EF5C">
            <w:pPr>
              <w:widowControl w:val="0"/>
              <w:spacing w:line="300" w:lineRule="exact"/>
              <w:jc w:val="center"/>
              <w:rPr>
                <w:rFonts w:eastAsia="楷体_GB2312"/>
                <w:spacing w:val="-8"/>
                <w:szCs w:val="21"/>
              </w:rPr>
            </w:pPr>
            <w:r>
              <w:rPr>
                <w:rFonts w:eastAsia="楷体_GB2312"/>
                <w:spacing w:val="-8"/>
                <w:szCs w:val="21"/>
              </w:rPr>
              <w:t>√</w:t>
            </w:r>
          </w:p>
        </w:tc>
        <w:tc>
          <w:tcPr>
            <w:tcW w:w="2515" w:type="dxa"/>
            <w:vMerge w:val="continue"/>
            <w:noWrap w:val="0"/>
            <w:vAlign w:val="center"/>
          </w:tcPr>
          <w:p w14:paraId="6F116E44">
            <w:pPr>
              <w:widowControl w:val="0"/>
              <w:spacing w:line="300" w:lineRule="exact"/>
              <w:jc w:val="center"/>
              <w:rPr>
                <w:rFonts w:eastAsia="楷体_GB2312"/>
                <w:spacing w:val="-8"/>
                <w:szCs w:val="21"/>
              </w:rPr>
            </w:pPr>
          </w:p>
        </w:tc>
      </w:tr>
      <w:tr w14:paraId="1E369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569" w:type="dxa"/>
            <w:noWrap w:val="0"/>
            <w:vAlign w:val="center"/>
          </w:tcPr>
          <w:p w14:paraId="17CD8D09">
            <w:pPr>
              <w:widowControl w:val="0"/>
              <w:spacing w:line="300" w:lineRule="exact"/>
              <w:jc w:val="center"/>
              <w:rPr>
                <w:rFonts w:eastAsia="楷体_GB2312"/>
                <w:spacing w:val="-8"/>
                <w:szCs w:val="21"/>
              </w:rPr>
            </w:pPr>
            <w:r>
              <w:rPr>
                <w:rFonts w:eastAsia="楷体_GB2312"/>
                <w:spacing w:val="-8"/>
                <w:szCs w:val="21"/>
              </w:rPr>
              <w:t>7</w:t>
            </w:r>
          </w:p>
        </w:tc>
        <w:tc>
          <w:tcPr>
            <w:tcW w:w="1842" w:type="dxa"/>
            <w:noWrap w:val="0"/>
            <w:vAlign w:val="center"/>
          </w:tcPr>
          <w:p w14:paraId="3270F39B">
            <w:pPr>
              <w:widowControl w:val="0"/>
              <w:spacing w:line="300" w:lineRule="exact"/>
              <w:jc w:val="center"/>
              <w:rPr>
                <w:rFonts w:eastAsia="楷体_GB2312"/>
                <w:spacing w:val="-8"/>
                <w:szCs w:val="21"/>
              </w:rPr>
            </w:pPr>
            <w:r>
              <w:rPr>
                <w:rFonts w:eastAsia="楷体_GB2312"/>
                <w:spacing w:val="-8"/>
                <w:szCs w:val="21"/>
              </w:rPr>
              <w:t>环境质量优劣度</w:t>
            </w:r>
          </w:p>
        </w:tc>
        <w:tc>
          <w:tcPr>
            <w:tcW w:w="1753" w:type="dxa"/>
            <w:noWrap w:val="0"/>
            <w:vAlign w:val="center"/>
          </w:tcPr>
          <w:p w14:paraId="04945300">
            <w:pPr>
              <w:widowControl w:val="0"/>
              <w:spacing w:line="300" w:lineRule="exact"/>
              <w:jc w:val="center"/>
              <w:rPr>
                <w:rFonts w:eastAsia="楷体_GB2312"/>
                <w:spacing w:val="-8"/>
                <w:szCs w:val="21"/>
              </w:rPr>
            </w:pPr>
            <w:r>
              <w:rPr>
                <w:rFonts w:eastAsia="楷体_GB2312"/>
                <w:spacing w:val="-8"/>
                <w:szCs w:val="21"/>
              </w:rPr>
              <w:t>/</w:t>
            </w:r>
          </w:p>
        </w:tc>
        <w:tc>
          <w:tcPr>
            <w:tcW w:w="2019" w:type="dxa"/>
            <w:noWrap w:val="0"/>
            <w:vAlign w:val="center"/>
          </w:tcPr>
          <w:p w14:paraId="174182F0">
            <w:pPr>
              <w:widowControl w:val="0"/>
              <w:spacing w:line="300" w:lineRule="exact"/>
              <w:jc w:val="center"/>
              <w:rPr>
                <w:rFonts w:eastAsia="楷体_GB2312"/>
                <w:spacing w:val="-8"/>
                <w:szCs w:val="21"/>
              </w:rPr>
            </w:pPr>
            <w:r>
              <w:rPr>
                <w:rFonts w:eastAsia="楷体_GB2312"/>
                <w:spacing w:val="-8"/>
                <w:szCs w:val="21"/>
              </w:rPr>
              <w:t>√</w:t>
            </w:r>
          </w:p>
        </w:tc>
        <w:tc>
          <w:tcPr>
            <w:tcW w:w="2515" w:type="dxa"/>
            <w:noWrap w:val="0"/>
            <w:vAlign w:val="center"/>
          </w:tcPr>
          <w:p w14:paraId="0F0C3679">
            <w:pPr>
              <w:widowControl w:val="0"/>
              <w:spacing w:line="300" w:lineRule="exact"/>
              <w:jc w:val="center"/>
              <w:rPr>
                <w:rFonts w:eastAsia="楷体_GB2312"/>
                <w:spacing w:val="-8"/>
                <w:szCs w:val="21"/>
              </w:rPr>
            </w:pPr>
            <w:r>
              <w:rPr>
                <w:rFonts w:eastAsia="楷体_GB2312"/>
                <w:spacing w:val="-8"/>
                <w:szCs w:val="21"/>
              </w:rPr>
              <w:t>选择综合环境质量优劣度</w:t>
            </w:r>
          </w:p>
        </w:tc>
      </w:tr>
      <w:tr w14:paraId="7C49C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noWrap w:val="0"/>
            <w:vAlign w:val="center"/>
          </w:tcPr>
          <w:p w14:paraId="2E7DC23A">
            <w:pPr>
              <w:widowControl w:val="0"/>
              <w:spacing w:line="300" w:lineRule="exact"/>
              <w:jc w:val="center"/>
              <w:rPr>
                <w:rFonts w:eastAsia="楷体_GB2312"/>
                <w:spacing w:val="-8"/>
                <w:szCs w:val="21"/>
              </w:rPr>
            </w:pPr>
            <w:r>
              <w:rPr>
                <w:rFonts w:eastAsia="楷体_GB2312"/>
                <w:spacing w:val="-8"/>
                <w:szCs w:val="21"/>
              </w:rPr>
              <w:t>8</w:t>
            </w:r>
          </w:p>
        </w:tc>
        <w:tc>
          <w:tcPr>
            <w:tcW w:w="1842" w:type="dxa"/>
            <w:noWrap w:val="0"/>
            <w:vAlign w:val="center"/>
          </w:tcPr>
          <w:p w14:paraId="3782C692">
            <w:pPr>
              <w:widowControl w:val="0"/>
              <w:spacing w:line="300" w:lineRule="exact"/>
              <w:jc w:val="center"/>
              <w:rPr>
                <w:rFonts w:eastAsia="楷体_GB2312"/>
                <w:spacing w:val="-8"/>
                <w:szCs w:val="21"/>
              </w:rPr>
            </w:pPr>
            <w:r>
              <w:rPr>
                <w:rFonts w:eastAsia="楷体_GB2312"/>
                <w:spacing w:val="-8"/>
                <w:szCs w:val="21"/>
              </w:rPr>
              <w:t>绿地覆盖度</w:t>
            </w:r>
          </w:p>
        </w:tc>
        <w:tc>
          <w:tcPr>
            <w:tcW w:w="1753" w:type="dxa"/>
            <w:noWrap w:val="0"/>
            <w:vAlign w:val="center"/>
          </w:tcPr>
          <w:p w14:paraId="3EDF9B09">
            <w:pPr>
              <w:widowControl w:val="0"/>
              <w:spacing w:line="300" w:lineRule="exact"/>
              <w:jc w:val="center"/>
              <w:rPr>
                <w:rFonts w:eastAsia="楷体_GB2312"/>
                <w:spacing w:val="-8"/>
                <w:szCs w:val="21"/>
              </w:rPr>
            </w:pPr>
            <w:r>
              <w:rPr>
                <w:rFonts w:eastAsia="楷体_GB2312"/>
                <w:spacing w:val="-8"/>
                <w:szCs w:val="21"/>
              </w:rPr>
              <w:t>/</w:t>
            </w:r>
          </w:p>
        </w:tc>
        <w:tc>
          <w:tcPr>
            <w:tcW w:w="2019" w:type="dxa"/>
            <w:noWrap w:val="0"/>
            <w:vAlign w:val="center"/>
          </w:tcPr>
          <w:p w14:paraId="0FE02734">
            <w:pPr>
              <w:widowControl w:val="0"/>
              <w:spacing w:line="300" w:lineRule="exact"/>
              <w:jc w:val="center"/>
              <w:rPr>
                <w:rFonts w:eastAsia="楷体_GB2312"/>
                <w:spacing w:val="-8"/>
                <w:szCs w:val="21"/>
              </w:rPr>
            </w:pPr>
            <w:r>
              <w:rPr>
                <w:rFonts w:eastAsia="楷体_GB2312"/>
                <w:spacing w:val="-8"/>
                <w:szCs w:val="21"/>
              </w:rPr>
              <w:t>×</w:t>
            </w:r>
          </w:p>
        </w:tc>
        <w:tc>
          <w:tcPr>
            <w:tcW w:w="2515" w:type="dxa"/>
            <w:noWrap w:val="0"/>
            <w:vAlign w:val="center"/>
          </w:tcPr>
          <w:p w14:paraId="7D829186">
            <w:pPr>
              <w:widowControl w:val="0"/>
              <w:spacing w:line="300" w:lineRule="exact"/>
              <w:jc w:val="center"/>
              <w:rPr>
                <w:rFonts w:eastAsia="楷体_GB2312"/>
                <w:spacing w:val="-8"/>
                <w:szCs w:val="21"/>
              </w:rPr>
            </w:pPr>
            <w:r>
              <w:rPr>
                <w:rFonts w:eastAsia="楷体_GB2312"/>
                <w:spacing w:val="-8"/>
                <w:szCs w:val="21"/>
              </w:rPr>
              <w:t>各乡镇镇区内部绿地覆盖差异不大</w:t>
            </w:r>
          </w:p>
        </w:tc>
      </w:tr>
      <w:tr w14:paraId="14514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9" w:type="dxa"/>
            <w:noWrap w:val="0"/>
            <w:vAlign w:val="center"/>
          </w:tcPr>
          <w:p w14:paraId="2067D27D">
            <w:pPr>
              <w:widowControl w:val="0"/>
              <w:spacing w:line="300" w:lineRule="exact"/>
              <w:jc w:val="center"/>
              <w:rPr>
                <w:rFonts w:eastAsia="楷体_GB2312"/>
                <w:spacing w:val="-8"/>
                <w:szCs w:val="21"/>
              </w:rPr>
            </w:pPr>
            <w:r>
              <w:rPr>
                <w:rFonts w:eastAsia="楷体_GB2312"/>
                <w:spacing w:val="-8"/>
                <w:szCs w:val="21"/>
              </w:rPr>
              <w:t>9</w:t>
            </w:r>
          </w:p>
        </w:tc>
        <w:tc>
          <w:tcPr>
            <w:tcW w:w="1842" w:type="dxa"/>
            <w:noWrap w:val="0"/>
            <w:vAlign w:val="center"/>
          </w:tcPr>
          <w:p w14:paraId="10063F6B">
            <w:pPr>
              <w:widowControl w:val="0"/>
              <w:spacing w:line="300" w:lineRule="exact"/>
              <w:jc w:val="center"/>
              <w:rPr>
                <w:rFonts w:eastAsia="楷体_GB2312"/>
                <w:spacing w:val="-8"/>
                <w:szCs w:val="21"/>
              </w:rPr>
            </w:pPr>
            <w:r>
              <w:rPr>
                <w:rFonts w:eastAsia="楷体_GB2312"/>
                <w:spacing w:val="-8"/>
                <w:szCs w:val="21"/>
              </w:rPr>
              <w:t>自然条件优劣度</w:t>
            </w:r>
          </w:p>
        </w:tc>
        <w:tc>
          <w:tcPr>
            <w:tcW w:w="1753" w:type="dxa"/>
            <w:noWrap w:val="0"/>
            <w:vAlign w:val="center"/>
          </w:tcPr>
          <w:p w14:paraId="4DBC16D3">
            <w:pPr>
              <w:widowControl w:val="0"/>
              <w:spacing w:line="300" w:lineRule="exact"/>
              <w:jc w:val="center"/>
              <w:rPr>
                <w:rFonts w:eastAsia="楷体_GB2312"/>
                <w:spacing w:val="-8"/>
                <w:szCs w:val="21"/>
              </w:rPr>
            </w:pPr>
            <w:r>
              <w:rPr>
                <w:rFonts w:eastAsia="楷体_GB2312"/>
                <w:spacing w:val="-8"/>
                <w:szCs w:val="21"/>
              </w:rPr>
              <w:t>/</w:t>
            </w:r>
          </w:p>
        </w:tc>
        <w:tc>
          <w:tcPr>
            <w:tcW w:w="2019" w:type="dxa"/>
            <w:noWrap w:val="0"/>
            <w:vAlign w:val="center"/>
          </w:tcPr>
          <w:p w14:paraId="0ECDD2A6">
            <w:pPr>
              <w:widowControl w:val="0"/>
              <w:spacing w:line="300" w:lineRule="exact"/>
              <w:jc w:val="center"/>
              <w:rPr>
                <w:rFonts w:eastAsia="楷体_GB2312"/>
                <w:spacing w:val="-8"/>
                <w:szCs w:val="21"/>
              </w:rPr>
            </w:pPr>
            <w:r>
              <w:rPr>
                <w:rFonts w:eastAsia="楷体_GB2312"/>
                <w:spacing w:val="-8"/>
                <w:szCs w:val="21"/>
              </w:rPr>
              <w:t>√</w:t>
            </w:r>
          </w:p>
        </w:tc>
        <w:tc>
          <w:tcPr>
            <w:tcW w:w="2515" w:type="dxa"/>
            <w:noWrap w:val="0"/>
            <w:vAlign w:val="center"/>
          </w:tcPr>
          <w:p w14:paraId="30CBD6B3">
            <w:pPr>
              <w:widowControl w:val="0"/>
              <w:spacing w:line="300" w:lineRule="exact"/>
              <w:jc w:val="center"/>
              <w:rPr>
                <w:rFonts w:eastAsia="楷体_GB2312"/>
                <w:spacing w:val="-8"/>
                <w:szCs w:val="21"/>
              </w:rPr>
            </w:pPr>
            <w:r>
              <w:rPr>
                <w:rFonts w:eastAsia="楷体_GB2312"/>
                <w:spacing w:val="-8"/>
                <w:szCs w:val="21"/>
              </w:rPr>
              <w:t>选择综合自然条件优劣度</w:t>
            </w:r>
          </w:p>
        </w:tc>
      </w:tr>
      <w:tr w14:paraId="40C1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69" w:type="dxa"/>
            <w:noWrap w:val="0"/>
            <w:vAlign w:val="center"/>
          </w:tcPr>
          <w:p w14:paraId="30021B71">
            <w:pPr>
              <w:widowControl w:val="0"/>
              <w:spacing w:line="300" w:lineRule="exact"/>
              <w:jc w:val="center"/>
              <w:rPr>
                <w:rFonts w:eastAsia="楷体_GB2312"/>
                <w:spacing w:val="-8"/>
                <w:szCs w:val="21"/>
              </w:rPr>
            </w:pPr>
            <w:r>
              <w:rPr>
                <w:rFonts w:eastAsia="楷体_GB2312"/>
                <w:spacing w:val="-8"/>
                <w:szCs w:val="21"/>
              </w:rPr>
              <w:t>10</w:t>
            </w:r>
          </w:p>
        </w:tc>
        <w:tc>
          <w:tcPr>
            <w:tcW w:w="1842" w:type="dxa"/>
            <w:noWrap w:val="0"/>
            <w:vAlign w:val="center"/>
          </w:tcPr>
          <w:p w14:paraId="38A9F626">
            <w:pPr>
              <w:widowControl w:val="0"/>
              <w:spacing w:line="300" w:lineRule="exact"/>
              <w:jc w:val="center"/>
              <w:rPr>
                <w:rFonts w:eastAsia="楷体_GB2312"/>
                <w:spacing w:val="-8"/>
                <w:szCs w:val="21"/>
              </w:rPr>
            </w:pPr>
            <w:r>
              <w:rPr>
                <w:rFonts w:eastAsia="楷体_GB2312"/>
                <w:spacing w:val="-8"/>
                <w:szCs w:val="21"/>
              </w:rPr>
              <w:t>景观条件优劣度</w:t>
            </w:r>
          </w:p>
        </w:tc>
        <w:tc>
          <w:tcPr>
            <w:tcW w:w="1753" w:type="dxa"/>
            <w:noWrap w:val="0"/>
            <w:vAlign w:val="center"/>
          </w:tcPr>
          <w:p w14:paraId="28D12DFD">
            <w:pPr>
              <w:widowControl w:val="0"/>
              <w:spacing w:line="300" w:lineRule="exact"/>
              <w:jc w:val="center"/>
              <w:rPr>
                <w:rFonts w:eastAsia="楷体_GB2312"/>
                <w:spacing w:val="-8"/>
                <w:szCs w:val="21"/>
              </w:rPr>
            </w:pPr>
            <w:r>
              <w:rPr>
                <w:rFonts w:eastAsia="楷体_GB2312"/>
                <w:spacing w:val="-8"/>
                <w:szCs w:val="21"/>
              </w:rPr>
              <w:t>/</w:t>
            </w:r>
          </w:p>
        </w:tc>
        <w:tc>
          <w:tcPr>
            <w:tcW w:w="2019" w:type="dxa"/>
            <w:noWrap w:val="0"/>
            <w:vAlign w:val="center"/>
          </w:tcPr>
          <w:p w14:paraId="70E65FB2">
            <w:pPr>
              <w:widowControl w:val="0"/>
              <w:spacing w:line="300" w:lineRule="exact"/>
              <w:jc w:val="center"/>
              <w:rPr>
                <w:rFonts w:eastAsia="楷体_GB2312"/>
                <w:spacing w:val="-8"/>
                <w:szCs w:val="21"/>
              </w:rPr>
            </w:pPr>
            <w:r>
              <w:rPr>
                <w:rFonts w:eastAsia="楷体_GB2312"/>
                <w:spacing w:val="-8"/>
                <w:szCs w:val="21"/>
              </w:rPr>
              <w:t>×</w:t>
            </w:r>
          </w:p>
        </w:tc>
        <w:tc>
          <w:tcPr>
            <w:tcW w:w="2515" w:type="dxa"/>
            <w:noWrap w:val="0"/>
            <w:vAlign w:val="center"/>
          </w:tcPr>
          <w:p w14:paraId="090121B7">
            <w:pPr>
              <w:widowControl w:val="0"/>
              <w:spacing w:line="300" w:lineRule="exact"/>
              <w:jc w:val="center"/>
              <w:rPr>
                <w:rFonts w:eastAsia="楷体_GB2312"/>
                <w:spacing w:val="-8"/>
                <w:szCs w:val="21"/>
              </w:rPr>
            </w:pPr>
            <w:r>
              <w:rPr>
                <w:rFonts w:eastAsia="楷体_GB2312"/>
                <w:spacing w:val="-8"/>
                <w:szCs w:val="21"/>
              </w:rPr>
              <w:t>各乡镇镇区内部景观条件差异不大</w:t>
            </w:r>
          </w:p>
        </w:tc>
      </w:tr>
    </w:tbl>
    <w:p w14:paraId="5628488A">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1、繁华程度</w:t>
      </w:r>
    </w:p>
    <w:p w14:paraId="69167EC8">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选取了商服繁华影响度，并在各乡镇分别确定了1处商服中心。</w:t>
      </w:r>
    </w:p>
    <w:p w14:paraId="61AC8A44">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2、交通条件</w:t>
      </w:r>
    </w:p>
    <w:p w14:paraId="3B8C862C">
      <w:pPr>
        <w:pStyle w:val="20"/>
        <w:spacing w:line="480" w:lineRule="exact"/>
        <w:ind w:firstLine="560" w:firstLineChars="200"/>
        <w:rPr>
          <w:rFonts w:hint="eastAsia" w:ascii="Times New Roman" w:hAnsi="Times New Roman" w:eastAsia="楷体_GB2312" w:cs="Times New Roman"/>
          <w:sz w:val="28"/>
        </w:rPr>
      </w:pPr>
      <w:r>
        <w:rPr>
          <w:rFonts w:hint="eastAsia" w:ascii="Times New Roman" w:hAnsi="Times New Roman" w:eastAsia="楷体_GB2312" w:cs="Times New Roman"/>
          <w:sz w:val="28"/>
        </w:rPr>
        <w:t>（1）符离镇、大泽乡镇、曹村镇各有一个火车站，是重要的对外交通设施。</w:t>
      </w:r>
    </w:p>
    <w:p w14:paraId="1DEA4150">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w:t>
      </w:r>
      <w:r>
        <w:rPr>
          <w:rFonts w:hint="eastAsia" w:ascii="Times New Roman" w:hAnsi="Times New Roman" w:eastAsia="楷体_GB2312" w:cs="Times New Roman"/>
          <w:sz w:val="28"/>
        </w:rPr>
        <w:t>2</w:t>
      </w:r>
      <w:r>
        <w:rPr>
          <w:rFonts w:ascii="Times New Roman" w:hAnsi="Times New Roman" w:eastAsia="楷体_GB2312" w:cs="Times New Roman"/>
          <w:sz w:val="28"/>
        </w:rPr>
        <w:t>）道路通达度作为交通条件中最重要的因素被重点调查；</w:t>
      </w:r>
    </w:p>
    <w:p w14:paraId="7D1A9B4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w:t>
      </w:r>
      <w:r>
        <w:rPr>
          <w:rFonts w:hint="eastAsia" w:ascii="Times New Roman" w:hAnsi="Times New Roman" w:eastAsia="楷体_GB2312" w:cs="Times New Roman"/>
          <w:sz w:val="28"/>
        </w:rPr>
        <w:t>3</w:t>
      </w:r>
      <w:r>
        <w:rPr>
          <w:rFonts w:ascii="Times New Roman" w:hAnsi="Times New Roman" w:eastAsia="楷体_GB2312" w:cs="Times New Roman"/>
          <w:sz w:val="28"/>
        </w:rPr>
        <w:t>）各乡镇建成区范围内均有1处汽车站或汽车临时停靠点，是各乡镇人们出行的重要交通枢纽，所以选取了对外交通便利度；</w:t>
      </w:r>
    </w:p>
    <w:p w14:paraId="53555D9B">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w:t>
      </w:r>
      <w:r>
        <w:rPr>
          <w:rFonts w:hint="eastAsia" w:ascii="Times New Roman" w:hAnsi="Times New Roman" w:eastAsia="楷体_GB2312" w:cs="Times New Roman"/>
          <w:sz w:val="28"/>
        </w:rPr>
        <w:t>4</w:t>
      </w:r>
      <w:r>
        <w:rPr>
          <w:rFonts w:ascii="Times New Roman" w:hAnsi="Times New Roman" w:eastAsia="楷体_GB2312" w:cs="Times New Roman"/>
          <w:sz w:val="28"/>
        </w:rPr>
        <w:t>）由于各乡镇无公交线路网，因此对公交便捷度不作考虑。</w:t>
      </w:r>
    </w:p>
    <w:p w14:paraId="168A5272">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3、基本设施状况</w:t>
      </w:r>
    </w:p>
    <w:p w14:paraId="73ED2A7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基本设施状况中包含的两个因素的内容在各个乡镇都有不同程度的体现，所以选取基础设施完善度和公用设施完备度作为定级的因素。</w:t>
      </w:r>
    </w:p>
    <w:p w14:paraId="31F51E00">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4、环境条件</w:t>
      </w:r>
    </w:p>
    <w:p w14:paraId="3ED13E2C">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 xml:space="preserve">（1）考虑到各乡镇建成区规模较小，绿地覆盖度差异较小，定级范围内对土地质量的影响无差异，因此绿地覆盖度未做考虑； </w:t>
      </w:r>
    </w:p>
    <w:p w14:paraId="4682652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（2）各乡镇景观资源均不在本次土地定级范围内，距各乡镇中心镇区都较远，对本次定级范围内土地质量影响较小或无影响，因此景观条件优劣度也未选取；</w:t>
      </w:r>
    </w:p>
    <w:p w14:paraId="33F650A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（3）各乡镇受过境道路、生活污水排放、工业生产等因素的影响，存在一定程度的噪声、水质、大气污染源，不同区域环境条件存在差异，因此选取了环境质量优劣度作为定级的因素；</w:t>
      </w:r>
    </w:p>
    <w:p w14:paraId="14CFFA93">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 xml:space="preserve">（4）各乡镇受水系、山体等地理环境的影响，不同区域自然条件存在差异，因此选取了自然条件优劣度作为定级的因素   </w:t>
      </w:r>
    </w:p>
    <w:p w14:paraId="396C94E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 xml:space="preserve">综上所述，根据《城镇土地分等定级规程》并结合各乡镇当地的实际情况，本次土地综合定级选取了商服繁华影响度、道路通达度、对外交通便利度、基础设施完善度、公用设施完备度、环境质量优劣度和自然条件优劣度作7个因素。 </w:t>
      </w:r>
    </w:p>
    <w:p w14:paraId="75100F60">
      <w:pPr>
        <w:pStyle w:val="20"/>
        <w:spacing w:line="480" w:lineRule="exact"/>
        <w:rPr>
          <w:rFonts w:ascii="Times New Roman" w:hAnsi="Times New Roman" w:cs="Times New Roman"/>
          <w:b/>
          <w:sz w:val="28"/>
        </w:rPr>
      </w:pPr>
      <w:r>
        <w:rPr>
          <w:rFonts w:ascii="Times New Roman" w:hAnsi="Times New Roman" w:cs="Times New Roman"/>
          <w:b/>
          <w:sz w:val="28"/>
        </w:rPr>
        <w:t>二、土地定级因子的确定</w:t>
      </w:r>
    </w:p>
    <w:p w14:paraId="2A7A3BFB">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部分因素内只包含一个因子，如商服繁华影响度、道路通达度等，其他因素中因子确定状况如下：</w:t>
      </w:r>
    </w:p>
    <w:p w14:paraId="09C0DE00">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1、对外交通便利度</w:t>
      </w:r>
    </w:p>
    <w:p w14:paraId="2511D95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对外交通便利度包括汽车站、火车站、码头、飞机场、高速公路出入口，</w:t>
      </w:r>
      <w:r>
        <w:rPr>
          <w:rFonts w:hint="eastAsia" w:ascii="Times New Roman" w:hAnsi="Times New Roman" w:eastAsia="楷体_GB2312" w:cs="Times New Roman"/>
          <w:sz w:val="28"/>
        </w:rPr>
        <w:t>符离镇、大泽乡镇、曹村镇各有一个火车站，</w:t>
      </w:r>
      <w:r>
        <w:rPr>
          <w:rFonts w:ascii="Times New Roman" w:hAnsi="Times New Roman" w:eastAsia="楷体_GB2312" w:cs="Times New Roman"/>
          <w:sz w:val="28"/>
        </w:rPr>
        <w:t>各乡镇均有一个汽车站或汽车站停靠点，因此选取了</w:t>
      </w:r>
      <w:r>
        <w:rPr>
          <w:rFonts w:hint="eastAsia" w:ascii="Times New Roman" w:hAnsi="Times New Roman" w:eastAsia="楷体_GB2312" w:cs="Times New Roman"/>
          <w:sz w:val="28"/>
        </w:rPr>
        <w:t>火车站、</w:t>
      </w:r>
      <w:r>
        <w:rPr>
          <w:rFonts w:ascii="Times New Roman" w:hAnsi="Times New Roman" w:eastAsia="楷体_GB2312" w:cs="Times New Roman"/>
          <w:sz w:val="28"/>
        </w:rPr>
        <w:t>汽车站这个因子。</w:t>
      </w:r>
    </w:p>
    <w:p w14:paraId="43DA95AD">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2、基础设施完善度因子的确定</w:t>
      </w:r>
    </w:p>
    <w:p w14:paraId="461C64A3">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基础设施完善度中包括供电、供水、排水、供气、供热和电讯六个因子。在</w:t>
      </w:r>
      <w:r>
        <w:rPr>
          <w:rFonts w:hint="eastAsia" w:ascii="楷体" w:hAnsi="楷体" w:eastAsia="楷体" w:cs="楷体_GB2312"/>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各乡镇均无供气管网，无供热设施，所以未选取供气、供热因子；因移动通讯的发展，区域内通讯覆盖度高，通讯状况好，致使通讯因子在乡镇的差异性较小，所以也未选取电讯因子。各乡镇建成区内供电、供水、排水设施已经完善，但保证率在不同区域仍存在差异，故不同区域供电、供水、排水设施完善度存在差异。综上所述，基础设施完善度最终选择了供电、供水、排水三个因子。</w:t>
      </w:r>
    </w:p>
    <w:p w14:paraId="72AD902D">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3、公用设施完备度因子的确定</w:t>
      </w:r>
    </w:p>
    <w:p w14:paraId="3C5E6EB1">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公用设施完备度中包含的因子有中学、小学、幼儿园、医院、体育场、文化宫、影剧院、公园、邮局、图书馆、博物馆、农贸市场、银行等。由于各乡镇无体育场、文化宫、影剧院、公园、图书馆、博物馆，且近年来由于民营快递产业发展迅速，使得邮局的影响力越来越小，对地价影响程度大大降低，故均不作考虑。在</w:t>
      </w:r>
      <w:r>
        <w:rPr>
          <w:rFonts w:hint="eastAsia" w:ascii="楷体" w:hAnsi="楷体" w:eastAsia="楷体" w:cs="楷体_GB2312"/>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各乡镇中能够得到体现的有中学、小学、幼儿园、医院、银行、农贸市场，因此在公用设施完备度中，最终选择了中学、小学、幼儿园、医院、银行、农贸市场这6个因子。</w:t>
      </w:r>
    </w:p>
    <w:p w14:paraId="19E5E15A">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4、环境质量优劣度</w:t>
      </w:r>
    </w:p>
    <w:p w14:paraId="625C0578">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由于环境质量优劣度中的三个因子（大气污染、水污染、噪声污染）在调查数据时难以细化和量化，根据现场实地调查和相关部门提供的资料，在定级中将这一因素作为整体考虑。</w:t>
      </w:r>
    </w:p>
    <w:p w14:paraId="428DEDAC">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5、自然条件优劣度</w:t>
      </w:r>
    </w:p>
    <w:p w14:paraId="583532FB">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由于自然条件优劣度中的四个因子（边坡稳定、地基承载、洪水淹没、地面坡度）在调查数据时难以细化和量化，根据现场实地调查和相关部门提供的资料，在定级中将这一因素作为整体考虑。</w:t>
      </w:r>
    </w:p>
    <w:p w14:paraId="42A1FDC7">
      <w:pPr>
        <w:pStyle w:val="20"/>
        <w:spacing w:line="480" w:lineRule="exact"/>
        <w:ind w:firstLine="420" w:firstLineChars="200"/>
        <w:rPr>
          <w:rFonts w:ascii="Times New Roman" w:hAnsi="Times New Roman" w:eastAsia="仿宋_GB2312" w:cs="Times New Roman"/>
          <w:bCs/>
        </w:rPr>
      </w:pPr>
    </w:p>
    <w:p w14:paraId="05AB1D86">
      <w:pPr>
        <w:pStyle w:val="4"/>
        <w:numPr>
          <w:ilvl w:val="0"/>
          <w:numId w:val="0"/>
        </w:numPr>
        <w:spacing w:line="380" w:lineRule="exact"/>
        <w:jc w:val="center"/>
        <w:rPr>
          <w:rFonts w:eastAsia="仿宋_GB2312"/>
          <w:bCs w:val="0"/>
        </w:rPr>
      </w:pPr>
      <w:bookmarkStart w:id="22" w:name="_Toc62563651"/>
      <w:r>
        <w:rPr>
          <w:rFonts w:eastAsia="仿宋_GB2312"/>
          <w:bCs w:val="0"/>
        </w:rPr>
        <w:t>第三节  土地定级指标体系的建立</w:t>
      </w:r>
      <w:bookmarkEnd w:id="22"/>
    </w:p>
    <w:p w14:paraId="0B809A6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土地定级指标体系建立的实质是进行土地定级因素因子的选择及其权重的确定，它是土地定级的一项基础工作。土地定级因素因子选择及权重确定的合理与否，直接关系到整个土地定级成果客观、实用与否。</w:t>
      </w:r>
    </w:p>
    <w:p w14:paraId="2FC4139A">
      <w:pPr>
        <w:pStyle w:val="20"/>
        <w:spacing w:line="480" w:lineRule="exact"/>
        <w:rPr>
          <w:rFonts w:ascii="Times New Roman" w:hAnsi="Times New Roman" w:cs="Times New Roman"/>
          <w:b/>
          <w:sz w:val="28"/>
        </w:rPr>
      </w:pPr>
      <w:r>
        <w:rPr>
          <w:rFonts w:ascii="Times New Roman" w:hAnsi="Times New Roman" w:cs="Times New Roman"/>
          <w:b/>
          <w:sz w:val="28"/>
        </w:rPr>
        <w:t>一、准备工作</w:t>
      </w:r>
    </w:p>
    <w:p w14:paraId="23ABE790">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各乡镇区总体规划和社会经济等方面的资料，结合其现状和发展情况，参照《城镇土地分等定级规程》有关特尔菲测定法的规定以及土地定级因素因子选择的原则主要进行以下两方面的准备工作。第一，建立镇区土地定级参评因素因子层次体系。第二，设计镇区土地定级因素因子选择及权重征询表，并提供有关文字说明材料。</w:t>
      </w:r>
    </w:p>
    <w:p w14:paraId="2180B226">
      <w:pPr>
        <w:pStyle w:val="20"/>
        <w:spacing w:line="480" w:lineRule="exact"/>
        <w:rPr>
          <w:rFonts w:ascii="Times New Roman" w:hAnsi="Times New Roman" w:cs="Times New Roman"/>
          <w:b/>
          <w:sz w:val="28"/>
        </w:rPr>
      </w:pPr>
      <w:r>
        <w:rPr>
          <w:rFonts w:ascii="Times New Roman" w:hAnsi="Times New Roman" w:cs="Times New Roman"/>
          <w:b/>
          <w:sz w:val="28"/>
        </w:rPr>
        <w:t>二、专家征询</w:t>
      </w:r>
    </w:p>
    <w:p w14:paraId="41842966">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专家打分会于2020年</w:t>
      </w:r>
      <w:r>
        <w:rPr>
          <w:rFonts w:hint="eastAsia" w:ascii="Times New Roman" w:hAnsi="Times New Roman" w:eastAsia="楷体_GB2312" w:cs="Times New Roman"/>
          <w:sz w:val="28"/>
        </w:rPr>
        <w:t>12</w:t>
      </w:r>
      <w:r>
        <w:rPr>
          <w:rFonts w:ascii="Times New Roman" w:hAnsi="Times New Roman" w:eastAsia="楷体_GB2312" w:cs="Times New Roman"/>
          <w:sz w:val="28"/>
        </w:rPr>
        <w:t>月</w:t>
      </w:r>
      <w:r>
        <w:rPr>
          <w:rFonts w:hint="eastAsia" w:ascii="Times New Roman" w:hAnsi="Times New Roman" w:eastAsia="楷体_GB2312" w:cs="Times New Roman"/>
          <w:sz w:val="28"/>
        </w:rPr>
        <w:t>14</w:t>
      </w:r>
      <w:r>
        <w:rPr>
          <w:rFonts w:ascii="Times New Roman" w:hAnsi="Times New Roman" w:eastAsia="楷体_GB2312" w:cs="Times New Roman"/>
          <w:sz w:val="28"/>
        </w:rPr>
        <w:t>日在区自然资源和规划局会议室举行，专家构成为</w:t>
      </w:r>
      <w:r>
        <w:rPr>
          <w:rFonts w:hint="eastAsia" w:eastAsia="楷体_GB2312"/>
          <w:sz w:val="28"/>
        </w:rPr>
        <w:t>区交通运输局、区住房和城乡建设局、区教育体育局、区卫生健康委、区统计局等区直</w:t>
      </w:r>
      <w:r>
        <w:rPr>
          <w:rFonts w:eastAsia="楷体_GB2312"/>
          <w:sz w:val="28"/>
        </w:rPr>
        <w:t>单位人员</w:t>
      </w:r>
      <w:r>
        <w:rPr>
          <w:rFonts w:ascii="Times New Roman" w:hAnsi="Times New Roman" w:eastAsia="楷体_GB2312" w:cs="Times New Roman"/>
          <w:sz w:val="28"/>
        </w:rPr>
        <w:t>9人，各乡镇政府及园区管委会25人。会议采用单独征询的方法，在打分前向各专家说明本次土地定级的任务、基本内容，土地定级因素因子的含义，专家打分的技术规定等内容，然后由专家填写调查表格。</w:t>
      </w:r>
    </w:p>
    <w:p w14:paraId="56ADBAD7">
      <w:pPr>
        <w:pStyle w:val="20"/>
        <w:spacing w:line="480" w:lineRule="exact"/>
        <w:rPr>
          <w:rFonts w:ascii="Times New Roman" w:hAnsi="Times New Roman" w:cs="Times New Roman"/>
          <w:b/>
          <w:sz w:val="28"/>
        </w:rPr>
      </w:pPr>
      <w:r>
        <w:rPr>
          <w:rFonts w:ascii="Times New Roman" w:hAnsi="Times New Roman" w:cs="Times New Roman"/>
          <w:b/>
          <w:sz w:val="28"/>
        </w:rPr>
        <w:t>三、数据处理</w:t>
      </w:r>
    </w:p>
    <w:p w14:paraId="0C5AEE11">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收回专家填写的表格后，采用特尔菲测定法对表格按因素、因子进行汇总，整理分析。对整理后的资料按下式计算专家打分的均值和标准差。</w:t>
      </w:r>
    </w:p>
    <w:p w14:paraId="3ABD686F">
      <w:pPr>
        <w:pStyle w:val="20"/>
        <w:spacing w:line="1000" w:lineRule="exact"/>
        <w:ind w:firstLine="560" w:firstLineChars="200"/>
        <w:rPr>
          <w:rFonts w:ascii="Times New Roman" w:hAnsi="Times New Roman" w:eastAsia="楷体_GB2312" w:cs="Times New Roman"/>
          <w:sz w:val="24"/>
        </w:rPr>
      </w:pPr>
      <w:r>
        <w:rPr>
          <w:rFonts w:ascii="Times New Roman" w:hAnsi="Times New Roman" w:eastAsia="楷体_GB2312" w:cs="Times New Roman"/>
          <w:sz w:val="28"/>
        </w:rPr>
        <w:t>公式：</w:t>
      </w:r>
      <w:r>
        <w:rPr>
          <w:rFonts w:ascii="Times New Roman" w:hAnsi="Times New Roman" w:eastAsia="楷体_GB2312" w:cs="Times New Roman"/>
          <w:position w:val="-24"/>
        </w:rPr>
        <w:object>
          <v:shape id="_x0000_i1025" o:spt="75" type="#_x0000_t75" style="height:48pt;width:51pt;" o:ole="t" filled="f" stroked="f" coordsize="21600,21600">
            <v:path/>
            <v:fill on="f" alignshape="1" focussize="0,0"/>
            <v:stroke on="f"/>
            <v:imagedata r:id="rId36" o:title=""/>
            <o:lock v:ext="edit" aspectratio="t"/>
            <w10:wrap type="none"/>
            <w10:anchorlock/>
          </v:shape>
          <o:OLEObject Type="Embed" ProgID="Equation.3" ShapeID="_x0000_i1025" DrawAspect="Content" ObjectID="_1468075725" r:id="rId35">
            <o:LockedField>false</o:LockedField>
          </o:OLEObject>
        </w:object>
      </w:r>
      <w:r>
        <w:rPr>
          <w:rFonts w:ascii="Times New Roman" w:hAnsi="Times New Roman" w:eastAsia="楷体_GB2312" w:cs="Times New Roman"/>
          <w:sz w:val="24"/>
        </w:rPr>
        <w:t xml:space="preserve">；          </w:t>
      </w:r>
      <w:r>
        <w:rPr>
          <w:rFonts w:ascii="Times New Roman" w:hAnsi="Times New Roman" w:eastAsia="楷体_GB2312" w:cs="Times New Roman"/>
          <w:sz w:val="24"/>
        </w:rPr>
        <w:object>
          <v:shape id="_x0000_i1026" o:spt="75" type="#_x0000_t75" style="height:17pt;width:9pt;" o:ole="t" filled="f" stroked="f" coordsize="21600,21600">
            <v:path/>
            <v:fill on="f" alignshape="1" focussize="0,0"/>
            <v:stroke on="f"/>
            <v:imagedata r:id="rId38" o:title=""/>
            <o:lock v:ext="edit" aspectratio="t"/>
            <w10:wrap type="none"/>
            <w10:anchorlock/>
          </v:shape>
          <o:OLEObject Type="Embed" ProgID="Equation.3" ShapeID="_x0000_i1026" DrawAspect="Content" ObjectID="_1468075726" r:id="rId37">
            <o:LockedField>false</o:LockedField>
          </o:OLEObject>
        </w:object>
      </w:r>
      <w:r>
        <w:rPr>
          <w:rFonts w:ascii="Times New Roman" w:hAnsi="Times New Roman" w:eastAsia="楷体_GB2312" w:cs="Times New Roman"/>
          <w:position w:val="-28"/>
        </w:rPr>
        <w:object>
          <v:shape id="_x0000_i1027" o:spt="75" type="#_x0000_t75" style="height:53pt;width:102pt;" o:ole="t" filled="f" stroked="f" coordsize="21600,21600">
            <v:path/>
            <v:fill on="f" alignshape="1" focussize="0,0"/>
            <v:stroke on="f"/>
            <v:imagedata r:id="rId40" o:title=""/>
            <o:lock v:ext="edit" aspectratio="t"/>
            <w10:wrap type="none"/>
            <w10:anchorlock/>
          </v:shape>
          <o:OLEObject Type="Embed" ProgID="Equation.3" ShapeID="_x0000_i1027" DrawAspect="Content" ObjectID="_1468075727" r:id="rId39">
            <o:LockedField>false</o:LockedField>
          </o:OLEObject>
        </w:object>
      </w:r>
    </w:p>
    <w:p w14:paraId="3B9081E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式中E—某因素因子均值，δ—某因素因子的标准差，n—打分的专家人数，a</w:t>
      </w:r>
      <w:r>
        <w:rPr>
          <w:rFonts w:ascii="Times New Roman" w:hAnsi="Times New Roman" w:eastAsia="楷体_GB2312" w:cs="Times New Roman"/>
          <w:sz w:val="28"/>
          <w:vertAlign w:val="subscript"/>
        </w:rPr>
        <w:t>i</w:t>
      </w:r>
      <w:r>
        <w:rPr>
          <w:rFonts w:ascii="Times New Roman" w:hAnsi="Times New Roman" w:eastAsia="楷体_GB2312" w:cs="Times New Roman"/>
          <w:sz w:val="28"/>
        </w:rPr>
        <w:t>—第i位专家打分的权重。</w:t>
      </w:r>
    </w:p>
    <w:p w14:paraId="7078103C">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均值反映各位专家总体意见的倾向，标准差反映专家意见的离散程度，标准差越小，表明专家意见分歧越小，即专家意见越趋于一致。</w:t>
      </w:r>
    </w:p>
    <w:p w14:paraId="6059C324">
      <w:pPr>
        <w:widowControl w:val="0"/>
        <w:tabs>
          <w:tab w:val="left" w:pos="4120"/>
        </w:tabs>
        <w:spacing w:line="480" w:lineRule="exact"/>
        <w:ind w:firstLine="560" w:firstLineChars="200"/>
        <w:jc w:val="both"/>
        <w:rPr>
          <w:rFonts w:eastAsia="楷体_GB2312"/>
          <w:sz w:val="28"/>
          <w:szCs w:val="21"/>
        </w:rPr>
      </w:pPr>
      <w:r>
        <w:rPr>
          <w:rFonts w:eastAsia="楷体_GB2312"/>
          <w:sz w:val="28"/>
          <w:szCs w:val="21"/>
        </w:rPr>
        <w:t>判断专家打分是否有效，关键在于分析标准差。打分会开始前，经过各位专家讨论一致决定，认为打分结果的标准差大于2.0时，说明分歧较大，打分结果的标准差在2.0以内，说明专家意见比较一致。即可停止打分。</w:t>
      </w:r>
    </w:p>
    <w:p w14:paraId="1342E443">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通过第一轮专家打分结果的标准差分析大于2</w:t>
      </w:r>
      <w:r>
        <w:rPr>
          <w:rFonts w:hint="eastAsia" w:ascii="Times New Roman" w:hAnsi="Times New Roman" w:eastAsia="楷体_GB2312" w:cs="Times New Roman"/>
          <w:sz w:val="28"/>
        </w:rPr>
        <w:t>.0</w:t>
      </w:r>
      <w:r>
        <w:rPr>
          <w:rFonts w:ascii="Times New Roman" w:hAnsi="Times New Roman" w:eastAsia="楷体_GB2312" w:cs="Times New Roman"/>
          <w:sz w:val="28"/>
        </w:rPr>
        <w:t>，表明第一轮征询的权重值分歧较大，故进行第二轮打分。经处理分析，第二轮打分的权重标准差处于限差0-2范围内，说明专家意见已比较一致。</w:t>
      </w:r>
    </w:p>
    <w:p w14:paraId="4BBF82E3">
      <w:pPr>
        <w:pStyle w:val="20"/>
        <w:spacing w:line="480" w:lineRule="exact"/>
        <w:ind w:firstLine="560" w:firstLineChars="200"/>
        <w:rPr>
          <w:rFonts w:ascii="Times New Roman" w:hAnsi="Times New Roman" w:eastAsia="仿宋_GB2312" w:cs="Times New Roman"/>
          <w:sz w:val="28"/>
        </w:rPr>
      </w:pPr>
    </w:p>
    <w:p w14:paraId="693C2380">
      <w:pPr>
        <w:pStyle w:val="4"/>
        <w:numPr>
          <w:ilvl w:val="0"/>
          <w:numId w:val="0"/>
        </w:numPr>
        <w:spacing w:line="380" w:lineRule="exact"/>
        <w:jc w:val="center"/>
        <w:rPr>
          <w:rFonts w:eastAsia="仿宋_GB2312"/>
          <w:bCs w:val="0"/>
        </w:rPr>
      </w:pPr>
      <w:bookmarkStart w:id="23" w:name="_Toc62563652"/>
      <w:r>
        <w:rPr>
          <w:rFonts w:eastAsia="仿宋_GB2312"/>
          <w:bCs w:val="0"/>
        </w:rPr>
        <w:t>第四节  综合定级因素因子及其权重的确定结果</w:t>
      </w:r>
      <w:bookmarkEnd w:id="23"/>
    </w:p>
    <w:p w14:paraId="0423A92C">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镇区土地定级受多种因素影响，通过专家打分，使其构成一个多层次、相互联系的定级因素因子指标体系。权重值的高低说明了各土地定级指标对土地级别影响的大小。</w:t>
      </w:r>
    </w:p>
    <w:p w14:paraId="488C320D">
      <w:pPr>
        <w:pStyle w:val="20"/>
        <w:spacing w:line="480" w:lineRule="exact"/>
        <w:rPr>
          <w:rFonts w:ascii="Times New Roman" w:hAnsi="Times New Roman" w:cs="Times New Roman"/>
          <w:b/>
          <w:sz w:val="28"/>
        </w:rPr>
      </w:pPr>
      <w:r>
        <w:rPr>
          <w:rFonts w:ascii="Times New Roman" w:hAnsi="Times New Roman" w:cs="Times New Roman"/>
          <w:b/>
          <w:sz w:val="28"/>
        </w:rPr>
        <w:t>一、综合定级指标体系层次结构图</w:t>
      </w:r>
    </w:p>
    <w:p w14:paraId="522C4968">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1、将各乡镇所涉及的定级因素因子统一列出，具体的综合指标体系层次结构见图1-2-</w:t>
      </w:r>
      <w:r>
        <w:rPr>
          <w:rFonts w:hint="eastAsia" w:ascii="Times New Roman" w:hAnsi="Times New Roman" w:eastAsia="楷体_GB2312" w:cs="Times New Roman"/>
          <w:sz w:val="28"/>
        </w:rPr>
        <w:t>26至</w:t>
      </w:r>
      <w:r>
        <w:rPr>
          <w:rFonts w:ascii="Times New Roman" w:hAnsi="Times New Roman" w:eastAsia="楷体_GB2312" w:cs="Times New Roman"/>
          <w:sz w:val="28"/>
        </w:rPr>
        <w:t>图1-2-</w:t>
      </w:r>
      <w:r>
        <w:rPr>
          <w:rFonts w:hint="eastAsia" w:ascii="Times New Roman" w:hAnsi="Times New Roman" w:eastAsia="楷体_GB2312" w:cs="Times New Roman"/>
          <w:sz w:val="28"/>
        </w:rPr>
        <w:t>27</w:t>
      </w:r>
      <w:r>
        <w:rPr>
          <w:rFonts w:ascii="Times New Roman" w:hAnsi="Times New Roman" w:eastAsia="楷体_GB2312" w:cs="Times New Roman"/>
          <w:sz w:val="28"/>
        </w:rPr>
        <w:t>。</w:t>
      </w:r>
    </w:p>
    <w:p w14:paraId="1568BAFE">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考虑到</w:t>
      </w:r>
      <w:r>
        <w:rPr>
          <w:rFonts w:hint="eastAsia" w:ascii="楷体" w:hAnsi="楷体" w:eastAsia="楷体" w:cs="楷体_GB2312"/>
          <w:sz w:val="28"/>
        </w:rPr>
        <w:t>埇</w:t>
      </w:r>
      <w:r>
        <w:rPr>
          <w:rFonts w:hint="eastAsia" w:ascii="楷体_GB2312" w:hAnsi="楷体_GB2312" w:eastAsia="楷体_GB2312" w:cs="楷体_GB2312"/>
          <w:sz w:val="28"/>
        </w:rPr>
        <w:t>桥区符离镇、大泽乡镇、曹村镇有火车站，</w:t>
      </w:r>
      <w:r>
        <w:rPr>
          <w:rFonts w:hint="eastAsia" w:ascii="Times New Roman" w:hAnsi="Times New Roman" w:eastAsia="楷体_GB2312" w:cs="Times New Roman"/>
          <w:sz w:val="28"/>
        </w:rPr>
        <w:t>其他乡镇没有火车站或火车站距离定级范围较远</w:t>
      </w:r>
      <w:r>
        <w:rPr>
          <w:rFonts w:ascii="Times New Roman" w:hAnsi="Times New Roman" w:eastAsia="楷体_GB2312" w:cs="Times New Roman"/>
          <w:sz w:val="28"/>
        </w:rPr>
        <w:t>，故在此</w:t>
      </w:r>
      <w:r>
        <w:rPr>
          <w:rFonts w:hint="eastAsia" w:ascii="Times New Roman" w:hAnsi="Times New Roman" w:eastAsia="楷体_GB2312" w:cs="Times New Roman"/>
          <w:sz w:val="28"/>
        </w:rPr>
        <w:t>将各乡镇根据</w:t>
      </w:r>
      <w:r>
        <w:rPr>
          <w:rFonts w:ascii="Times New Roman" w:hAnsi="Times New Roman" w:eastAsia="楷体_GB2312" w:cs="Times New Roman"/>
          <w:sz w:val="28"/>
        </w:rPr>
        <w:t>定级</w:t>
      </w:r>
      <w:r>
        <w:rPr>
          <w:rFonts w:hint="eastAsia" w:ascii="Times New Roman" w:hAnsi="Times New Roman" w:eastAsia="楷体_GB2312" w:cs="Times New Roman"/>
          <w:sz w:val="28"/>
        </w:rPr>
        <w:t>因素因子选取情况进行分类</w:t>
      </w:r>
      <w:r>
        <w:rPr>
          <w:rFonts w:ascii="Times New Roman" w:hAnsi="Times New Roman" w:eastAsia="楷体_GB2312" w:cs="Times New Roman"/>
          <w:sz w:val="28"/>
        </w:rPr>
        <w:t>。</w:t>
      </w:r>
    </w:p>
    <w:p w14:paraId="51476DA1">
      <w:pPr>
        <w:jc w:val="center"/>
        <w:rPr>
          <w:rFonts w:hint="eastAsia"/>
        </w:rPr>
      </w:pPr>
      <w:r>
        <w:object>
          <v:shape id="_x0000_i1028" o:spt="75" type="#_x0000_t75" style="height:429.35pt;width:329.8pt;" o:ole="t" filled="f" o:preferrelative="t" stroked="f" coordsize="21600,21600">
            <v:path/>
            <v:fill on="f" alignshape="1" focussize="0,0"/>
            <v:stroke on="f"/>
            <v:imagedata r:id="rId42" o:title=""/>
            <o:lock v:ext="edit" aspectratio="t"/>
            <w10:wrap type="none"/>
            <w10:anchorlock/>
          </v:shape>
          <o:OLEObject Type="Embed" ProgID="Visio.Drawing.11" ShapeID="_x0000_i1028" DrawAspect="Content" ObjectID="_1468075728" r:id="rId41">
            <o:LockedField>false</o:LockedField>
          </o:OLEObject>
        </w:object>
      </w:r>
    </w:p>
    <w:p w14:paraId="660D9CBA">
      <w:pPr>
        <w:jc w:val="center"/>
        <w:rPr>
          <w:rFonts w:eastAsia="黑体"/>
          <w:bCs/>
          <w:szCs w:val="28"/>
        </w:rPr>
      </w:pPr>
      <w:r>
        <w:rPr>
          <w:rFonts w:eastAsia="黑体"/>
          <w:bCs/>
          <w:sz w:val="28"/>
          <w:szCs w:val="28"/>
        </w:rPr>
        <w:t>图1-2-</w:t>
      </w:r>
      <w:r>
        <w:rPr>
          <w:rFonts w:hint="eastAsia" w:eastAsia="黑体"/>
          <w:bCs/>
          <w:sz w:val="28"/>
          <w:szCs w:val="28"/>
        </w:rPr>
        <w:t>26</w:t>
      </w:r>
      <w:r>
        <w:rPr>
          <w:rFonts w:eastAsia="黑体"/>
          <w:bCs/>
          <w:sz w:val="28"/>
          <w:szCs w:val="28"/>
        </w:rPr>
        <w:t xml:space="preserve">  埇桥区</w:t>
      </w:r>
      <w:r>
        <w:rPr>
          <w:rFonts w:hint="eastAsia" w:eastAsia="黑体"/>
          <w:bCs/>
          <w:sz w:val="28"/>
          <w:szCs w:val="28"/>
        </w:rPr>
        <w:t>符离镇、大泽乡镇、曹村镇</w:t>
      </w:r>
      <w:r>
        <w:rPr>
          <w:rFonts w:eastAsia="黑体"/>
          <w:bCs/>
          <w:sz w:val="28"/>
          <w:szCs w:val="28"/>
        </w:rPr>
        <w:t>定级指标体系层次结构图</w:t>
      </w:r>
    </w:p>
    <w:p w14:paraId="1CF88B5A">
      <w:pPr>
        <w:jc w:val="center"/>
        <w:rPr>
          <w:rFonts w:hint="eastAsia"/>
        </w:rPr>
      </w:pPr>
      <w:r>
        <w:object>
          <v:shape id="_x0000_i1029" o:spt="75" type="#_x0000_t75" style="height:417.95pt;width:329.8pt;" o:ole="t" filled="f" o:preferrelative="t" stroked="f" coordsize="21600,21600">
            <v:path/>
            <v:fill on="f" alignshape="1" focussize="0,0"/>
            <v:stroke on="f"/>
            <v:imagedata r:id="rId44" o:title=""/>
            <o:lock v:ext="edit" aspectratio="t"/>
            <w10:wrap type="none"/>
            <w10:anchorlock/>
          </v:shape>
          <o:OLEObject Type="Embed" ProgID="Visio.Drawing.11" ShapeID="_x0000_i1029" DrawAspect="Content" ObjectID="_1468075729" r:id="rId43">
            <o:LockedField>false</o:LockedField>
          </o:OLEObject>
        </w:object>
      </w:r>
    </w:p>
    <w:p w14:paraId="4912D2C9">
      <w:pPr>
        <w:jc w:val="center"/>
        <w:rPr>
          <w:rFonts w:eastAsia="黑体"/>
          <w:bCs/>
          <w:szCs w:val="28"/>
        </w:rPr>
      </w:pPr>
      <w:r>
        <w:rPr>
          <w:rFonts w:eastAsia="黑体"/>
          <w:bCs/>
          <w:sz w:val="28"/>
          <w:szCs w:val="28"/>
        </w:rPr>
        <w:t>图1-2-</w:t>
      </w:r>
      <w:r>
        <w:rPr>
          <w:rFonts w:hint="eastAsia" w:eastAsia="黑体"/>
          <w:bCs/>
          <w:sz w:val="28"/>
          <w:szCs w:val="28"/>
        </w:rPr>
        <w:t>27</w:t>
      </w:r>
      <w:r>
        <w:rPr>
          <w:rFonts w:eastAsia="黑体"/>
          <w:bCs/>
          <w:sz w:val="28"/>
          <w:szCs w:val="28"/>
        </w:rPr>
        <w:t xml:space="preserve">  埇桥区</w:t>
      </w:r>
      <w:r>
        <w:rPr>
          <w:rFonts w:hint="eastAsia" w:eastAsia="黑体"/>
          <w:bCs/>
          <w:sz w:val="28"/>
          <w:szCs w:val="28"/>
        </w:rPr>
        <w:t>朱仙庄镇等19个乡镇</w:t>
      </w:r>
      <w:r>
        <w:rPr>
          <w:rFonts w:eastAsia="黑体"/>
          <w:bCs/>
          <w:sz w:val="28"/>
          <w:szCs w:val="28"/>
        </w:rPr>
        <w:t>定级指标体系层次结构图</w:t>
      </w:r>
    </w:p>
    <w:p w14:paraId="67F8FA48">
      <w:pPr>
        <w:pStyle w:val="20"/>
        <w:spacing w:line="480" w:lineRule="exact"/>
        <w:rPr>
          <w:rFonts w:ascii="Times New Roman" w:hAnsi="Times New Roman" w:cs="Times New Roman"/>
          <w:b/>
          <w:sz w:val="28"/>
        </w:rPr>
      </w:pPr>
      <w:r>
        <w:rPr>
          <w:rFonts w:ascii="Times New Roman" w:hAnsi="Times New Roman" w:cs="Times New Roman"/>
          <w:b/>
          <w:sz w:val="28"/>
        </w:rPr>
        <w:t>二、综合定级因素因子权重（第一轮）</w:t>
      </w:r>
    </w:p>
    <w:p w14:paraId="11034C31">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采用《技术方案》所确定的技术方法，分乡镇计算各土地定级因素、因子的权重和标准差。</w:t>
      </w:r>
    </w:p>
    <w:p w14:paraId="0103DC68">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符离镇、大泽乡镇、曹村镇第一轮专家打分结果见表1-2-5至1-2-</w:t>
      </w:r>
      <w:r>
        <w:rPr>
          <w:rFonts w:hint="eastAsia" w:ascii="Times New Roman" w:hAnsi="Times New Roman" w:eastAsia="楷体_GB2312" w:cs="Times New Roman"/>
          <w:sz w:val="28"/>
        </w:rPr>
        <w:t>8</w:t>
      </w:r>
      <w:r>
        <w:rPr>
          <w:rFonts w:ascii="Times New Roman" w:hAnsi="Times New Roman" w:eastAsia="楷体_GB2312" w:cs="Times New Roman"/>
          <w:sz w:val="28"/>
        </w:rPr>
        <w:t>：</w:t>
      </w:r>
    </w:p>
    <w:p w14:paraId="54569D15">
      <w:pPr>
        <w:pStyle w:val="20"/>
        <w:spacing w:before="120" w:beforeLines="50"/>
        <w:jc w:val="center"/>
        <w:rPr>
          <w:rFonts w:ascii="Times New Roman" w:hAnsi="Times New Roman" w:eastAsia="黑体" w:cs="Times New Roman"/>
          <w:sz w:val="28"/>
        </w:rPr>
      </w:pPr>
      <w:r>
        <w:rPr>
          <w:rFonts w:ascii="Times New Roman" w:hAnsi="Times New Roman" w:eastAsia="黑体" w:cs="Times New Roman"/>
          <w:sz w:val="28"/>
        </w:rPr>
        <w:t>表1-2-5  埇桥区符离镇、大泽乡镇、曹村镇镇区综合定级因素权重表（第一轮打分结果）</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150"/>
        <w:gridCol w:w="879"/>
        <w:gridCol w:w="1081"/>
        <w:gridCol w:w="1116"/>
        <w:gridCol w:w="1116"/>
        <w:gridCol w:w="1116"/>
        <w:gridCol w:w="1116"/>
        <w:gridCol w:w="700"/>
      </w:tblGrid>
      <w:tr w14:paraId="5BAFB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8" w:type="dxa"/>
            <w:vMerge w:val="restart"/>
            <w:noWrap w:val="0"/>
            <w:vAlign w:val="center"/>
          </w:tcPr>
          <w:p w14:paraId="5A20BB57">
            <w:pPr>
              <w:jc w:val="center"/>
              <w:rPr>
                <w:rFonts w:eastAsia="楷体_GB2312"/>
                <w:spacing w:val="-20"/>
              </w:rPr>
            </w:pPr>
            <w:r>
              <w:rPr>
                <w:rFonts w:eastAsia="楷体_GB2312"/>
                <w:spacing w:val="-20"/>
              </w:rPr>
              <w:t>因素</w:t>
            </w:r>
          </w:p>
        </w:tc>
        <w:tc>
          <w:tcPr>
            <w:tcW w:w="1150" w:type="dxa"/>
            <w:noWrap w:val="0"/>
            <w:vAlign w:val="center"/>
          </w:tcPr>
          <w:p w14:paraId="6A0FE844">
            <w:pPr>
              <w:jc w:val="center"/>
              <w:rPr>
                <w:rFonts w:eastAsia="楷体_GB2312"/>
              </w:rPr>
            </w:pPr>
            <w:r>
              <w:rPr>
                <w:rFonts w:eastAsia="楷体_GB2312"/>
                <w:spacing w:val="-24"/>
              </w:rPr>
              <w:t>繁华程度</w:t>
            </w:r>
          </w:p>
        </w:tc>
        <w:tc>
          <w:tcPr>
            <w:tcW w:w="1960" w:type="dxa"/>
            <w:gridSpan w:val="2"/>
            <w:noWrap w:val="0"/>
            <w:vAlign w:val="center"/>
          </w:tcPr>
          <w:p w14:paraId="5FA06A88">
            <w:pPr>
              <w:jc w:val="center"/>
              <w:rPr>
                <w:rFonts w:eastAsia="楷体_GB2312"/>
              </w:rPr>
            </w:pPr>
            <w:r>
              <w:rPr>
                <w:rFonts w:eastAsia="楷体_GB2312"/>
              </w:rPr>
              <w:t>交通条件</w:t>
            </w:r>
          </w:p>
        </w:tc>
        <w:tc>
          <w:tcPr>
            <w:tcW w:w="2232" w:type="dxa"/>
            <w:gridSpan w:val="2"/>
            <w:noWrap w:val="0"/>
            <w:vAlign w:val="center"/>
          </w:tcPr>
          <w:p w14:paraId="307EA17D">
            <w:pPr>
              <w:jc w:val="center"/>
              <w:rPr>
                <w:rFonts w:eastAsia="楷体_GB2312"/>
              </w:rPr>
            </w:pPr>
            <w:r>
              <w:rPr>
                <w:rFonts w:eastAsia="楷体_GB2312"/>
              </w:rPr>
              <w:t>基本设施状况</w:t>
            </w:r>
          </w:p>
        </w:tc>
        <w:tc>
          <w:tcPr>
            <w:tcW w:w="2232" w:type="dxa"/>
            <w:gridSpan w:val="2"/>
            <w:noWrap w:val="0"/>
            <w:vAlign w:val="center"/>
          </w:tcPr>
          <w:p w14:paraId="57657506">
            <w:pPr>
              <w:jc w:val="center"/>
              <w:rPr>
                <w:rFonts w:eastAsia="楷体_GB2312"/>
                <w:spacing w:val="-24"/>
              </w:rPr>
            </w:pPr>
            <w:r>
              <w:rPr>
                <w:rFonts w:eastAsia="楷体_GB2312"/>
              </w:rPr>
              <w:t>环境条件</w:t>
            </w:r>
          </w:p>
        </w:tc>
        <w:tc>
          <w:tcPr>
            <w:tcW w:w="700" w:type="dxa"/>
            <w:vMerge w:val="restart"/>
            <w:noWrap w:val="0"/>
            <w:vAlign w:val="center"/>
          </w:tcPr>
          <w:p w14:paraId="60EAE834">
            <w:pPr>
              <w:jc w:val="center"/>
              <w:rPr>
                <w:rFonts w:eastAsia="楷体_GB2312"/>
                <w:spacing w:val="-20"/>
              </w:rPr>
            </w:pPr>
            <w:r>
              <w:rPr>
                <w:rFonts w:eastAsia="楷体_GB2312"/>
                <w:spacing w:val="-20"/>
              </w:rPr>
              <w:t>合计</w:t>
            </w:r>
          </w:p>
        </w:tc>
      </w:tr>
      <w:tr w14:paraId="4A01E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8" w:type="dxa"/>
            <w:vMerge w:val="continue"/>
            <w:noWrap w:val="0"/>
            <w:vAlign w:val="center"/>
          </w:tcPr>
          <w:p w14:paraId="47D19DA4">
            <w:pPr>
              <w:jc w:val="center"/>
              <w:rPr>
                <w:rFonts w:eastAsia="楷体_GB2312"/>
                <w:spacing w:val="-20"/>
              </w:rPr>
            </w:pPr>
          </w:p>
        </w:tc>
        <w:tc>
          <w:tcPr>
            <w:tcW w:w="1150" w:type="dxa"/>
            <w:noWrap w:val="0"/>
            <w:vAlign w:val="center"/>
          </w:tcPr>
          <w:p w14:paraId="45CAD188">
            <w:pPr>
              <w:jc w:val="center"/>
              <w:rPr>
                <w:rFonts w:eastAsia="楷体_GB2312"/>
              </w:rPr>
            </w:pPr>
            <w:r>
              <w:rPr>
                <w:rFonts w:eastAsia="楷体_GB2312"/>
              </w:rPr>
              <w:t>商服繁华影响度</w:t>
            </w:r>
          </w:p>
        </w:tc>
        <w:tc>
          <w:tcPr>
            <w:tcW w:w="879" w:type="dxa"/>
            <w:noWrap w:val="0"/>
            <w:vAlign w:val="center"/>
          </w:tcPr>
          <w:p w14:paraId="00C9FF53">
            <w:pPr>
              <w:jc w:val="center"/>
              <w:rPr>
                <w:rFonts w:eastAsia="楷体_GB2312"/>
              </w:rPr>
            </w:pPr>
            <w:r>
              <w:rPr>
                <w:rFonts w:eastAsia="楷体_GB2312"/>
              </w:rPr>
              <w:t>道路通达度</w:t>
            </w:r>
          </w:p>
        </w:tc>
        <w:tc>
          <w:tcPr>
            <w:tcW w:w="1081" w:type="dxa"/>
            <w:noWrap w:val="0"/>
            <w:vAlign w:val="center"/>
          </w:tcPr>
          <w:p w14:paraId="790AF966">
            <w:pPr>
              <w:jc w:val="center"/>
              <w:rPr>
                <w:rFonts w:eastAsia="楷体_GB2312"/>
              </w:rPr>
            </w:pPr>
            <w:r>
              <w:rPr>
                <w:rFonts w:eastAsia="楷体_GB2312"/>
              </w:rPr>
              <w:t>对外交通便利度</w:t>
            </w:r>
          </w:p>
        </w:tc>
        <w:tc>
          <w:tcPr>
            <w:tcW w:w="1116" w:type="dxa"/>
            <w:noWrap w:val="0"/>
            <w:vAlign w:val="center"/>
          </w:tcPr>
          <w:p w14:paraId="6A7EA84F">
            <w:pPr>
              <w:jc w:val="center"/>
              <w:rPr>
                <w:rFonts w:eastAsia="楷体_GB2312"/>
              </w:rPr>
            </w:pPr>
            <w:r>
              <w:rPr>
                <w:rFonts w:eastAsia="楷体_GB2312"/>
              </w:rPr>
              <w:t>基础设施完善度</w:t>
            </w:r>
          </w:p>
        </w:tc>
        <w:tc>
          <w:tcPr>
            <w:tcW w:w="1116" w:type="dxa"/>
            <w:noWrap w:val="0"/>
            <w:vAlign w:val="center"/>
          </w:tcPr>
          <w:p w14:paraId="0467DD1A">
            <w:pPr>
              <w:jc w:val="center"/>
              <w:rPr>
                <w:rFonts w:eastAsia="楷体_GB2312"/>
              </w:rPr>
            </w:pPr>
            <w:r>
              <w:rPr>
                <w:rFonts w:eastAsia="楷体_GB2312"/>
              </w:rPr>
              <w:t>公用设施完备度</w:t>
            </w:r>
          </w:p>
        </w:tc>
        <w:tc>
          <w:tcPr>
            <w:tcW w:w="1116" w:type="dxa"/>
            <w:noWrap w:val="0"/>
            <w:vAlign w:val="center"/>
          </w:tcPr>
          <w:p w14:paraId="4E7E0E54">
            <w:pPr>
              <w:spacing w:line="300" w:lineRule="exact"/>
              <w:jc w:val="center"/>
              <w:rPr>
                <w:rFonts w:eastAsia="楷体_GB2312"/>
                <w:spacing w:val="-8"/>
                <w:szCs w:val="21"/>
              </w:rPr>
            </w:pPr>
            <w:r>
              <w:rPr>
                <w:rFonts w:eastAsia="楷体_GB2312"/>
                <w:spacing w:val="-8"/>
                <w:szCs w:val="21"/>
              </w:rPr>
              <w:t>环境质量优劣度</w:t>
            </w:r>
          </w:p>
        </w:tc>
        <w:tc>
          <w:tcPr>
            <w:tcW w:w="1116" w:type="dxa"/>
            <w:noWrap w:val="0"/>
            <w:vAlign w:val="center"/>
          </w:tcPr>
          <w:p w14:paraId="75818085">
            <w:pPr>
              <w:spacing w:line="300" w:lineRule="exact"/>
              <w:jc w:val="center"/>
              <w:rPr>
                <w:rFonts w:eastAsia="楷体_GB2312"/>
                <w:spacing w:val="-8"/>
                <w:szCs w:val="21"/>
              </w:rPr>
            </w:pPr>
            <w:r>
              <w:rPr>
                <w:rFonts w:eastAsia="楷体_GB2312"/>
                <w:spacing w:val="-8"/>
                <w:szCs w:val="21"/>
              </w:rPr>
              <w:t>自然条件优劣度</w:t>
            </w:r>
          </w:p>
        </w:tc>
        <w:tc>
          <w:tcPr>
            <w:tcW w:w="700" w:type="dxa"/>
            <w:vMerge w:val="continue"/>
            <w:noWrap w:val="0"/>
            <w:vAlign w:val="center"/>
          </w:tcPr>
          <w:p w14:paraId="5D8F73A8">
            <w:pPr>
              <w:jc w:val="center"/>
              <w:rPr>
                <w:rFonts w:eastAsia="楷体_GB2312"/>
                <w:spacing w:val="-20"/>
              </w:rPr>
            </w:pPr>
          </w:p>
        </w:tc>
      </w:tr>
      <w:tr w14:paraId="2977F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8" w:type="dxa"/>
            <w:vMerge w:val="restart"/>
            <w:noWrap w:val="0"/>
            <w:vAlign w:val="center"/>
          </w:tcPr>
          <w:p w14:paraId="7A7BFDF8">
            <w:pPr>
              <w:jc w:val="center"/>
              <w:rPr>
                <w:rFonts w:eastAsia="楷体_GB2312"/>
                <w:spacing w:val="-20"/>
              </w:rPr>
            </w:pPr>
            <w:r>
              <w:rPr>
                <w:rFonts w:eastAsia="楷体_GB2312"/>
                <w:spacing w:val="-20"/>
              </w:rPr>
              <w:t>平均值</w:t>
            </w:r>
          </w:p>
        </w:tc>
        <w:tc>
          <w:tcPr>
            <w:tcW w:w="1150" w:type="dxa"/>
            <w:noWrap w:val="0"/>
            <w:vAlign w:val="center"/>
          </w:tcPr>
          <w:p w14:paraId="5C03F869">
            <w:pPr>
              <w:jc w:val="center"/>
              <w:rPr>
                <w:szCs w:val="21"/>
              </w:rPr>
            </w:pPr>
            <w:r>
              <w:rPr>
                <w:szCs w:val="21"/>
              </w:rPr>
              <w:t>36.43</w:t>
            </w:r>
          </w:p>
        </w:tc>
        <w:tc>
          <w:tcPr>
            <w:tcW w:w="1960" w:type="dxa"/>
            <w:gridSpan w:val="2"/>
            <w:noWrap w:val="0"/>
            <w:vAlign w:val="center"/>
          </w:tcPr>
          <w:p w14:paraId="5498EE1F">
            <w:pPr>
              <w:jc w:val="center"/>
              <w:rPr>
                <w:szCs w:val="21"/>
              </w:rPr>
            </w:pPr>
            <w:r>
              <w:rPr>
                <w:szCs w:val="21"/>
              </w:rPr>
              <w:t>24.4</w:t>
            </w:r>
            <w:r>
              <w:rPr>
                <w:rFonts w:hint="eastAsia"/>
                <w:szCs w:val="21"/>
              </w:rPr>
              <w:t>7</w:t>
            </w:r>
          </w:p>
        </w:tc>
        <w:tc>
          <w:tcPr>
            <w:tcW w:w="2232" w:type="dxa"/>
            <w:gridSpan w:val="2"/>
            <w:noWrap w:val="0"/>
            <w:vAlign w:val="center"/>
          </w:tcPr>
          <w:p w14:paraId="096B30B8">
            <w:pPr>
              <w:jc w:val="center"/>
              <w:rPr>
                <w:szCs w:val="21"/>
              </w:rPr>
            </w:pPr>
            <w:r>
              <w:rPr>
                <w:szCs w:val="21"/>
              </w:rPr>
              <w:t>23.24</w:t>
            </w:r>
          </w:p>
        </w:tc>
        <w:tc>
          <w:tcPr>
            <w:tcW w:w="2232" w:type="dxa"/>
            <w:gridSpan w:val="2"/>
            <w:noWrap w:val="0"/>
            <w:vAlign w:val="center"/>
          </w:tcPr>
          <w:p w14:paraId="2159CEA1">
            <w:pPr>
              <w:jc w:val="center"/>
              <w:rPr>
                <w:szCs w:val="21"/>
              </w:rPr>
            </w:pPr>
            <w:r>
              <w:rPr>
                <w:szCs w:val="21"/>
              </w:rPr>
              <w:t>15.86</w:t>
            </w:r>
          </w:p>
        </w:tc>
        <w:tc>
          <w:tcPr>
            <w:tcW w:w="700" w:type="dxa"/>
            <w:noWrap w:val="0"/>
            <w:vAlign w:val="center"/>
          </w:tcPr>
          <w:p w14:paraId="3B1EBCB6">
            <w:pPr>
              <w:jc w:val="center"/>
              <w:rPr>
                <w:rFonts w:eastAsia="楷体_GB2312"/>
              </w:rPr>
            </w:pPr>
            <w:r>
              <w:rPr>
                <w:rFonts w:eastAsia="楷体_GB2312"/>
              </w:rPr>
              <w:t>100</w:t>
            </w:r>
          </w:p>
        </w:tc>
      </w:tr>
      <w:tr w14:paraId="1BABF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8" w:type="dxa"/>
            <w:vMerge w:val="continue"/>
            <w:noWrap w:val="0"/>
            <w:vAlign w:val="center"/>
          </w:tcPr>
          <w:p w14:paraId="2247E0B1">
            <w:pPr>
              <w:jc w:val="center"/>
              <w:rPr>
                <w:rFonts w:eastAsia="楷体_GB2312"/>
                <w:spacing w:val="-20"/>
              </w:rPr>
            </w:pPr>
          </w:p>
        </w:tc>
        <w:tc>
          <w:tcPr>
            <w:tcW w:w="1150" w:type="dxa"/>
            <w:noWrap w:val="0"/>
            <w:vAlign w:val="center"/>
          </w:tcPr>
          <w:p w14:paraId="34855516">
            <w:pPr>
              <w:jc w:val="center"/>
              <w:rPr>
                <w:szCs w:val="21"/>
              </w:rPr>
            </w:pPr>
            <w:r>
              <w:rPr>
                <w:szCs w:val="21"/>
              </w:rPr>
              <w:t>36.43</w:t>
            </w:r>
          </w:p>
        </w:tc>
        <w:tc>
          <w:tcPr>
            <w:tcW w:w="879" w:type="dxa"/>
            <w:noWrap w:val="0"/>
            <w:vAlign w:val="center"/>
          </w:tcPr>
          <w:p w14:paraId="137C5060">
            <w:pPr>
              <w:jc w:val="center"/>
              <w:rPr>
                <w:szCs w:val="21"/>
              </w:rPr>
            </w:pPr>
            <w:r>
              <w:rPr>
                <w:szCs w:val="21"/>
              </w:rPr>
              <w:t>12.71</w:t>
            </w:r>
          </w:p>
        </w:tc>
        <w:tc>
          <w:tcPr>
            <w:tcW w:w="1081" w:type="dxa"/>
            <w:noWrap w:val="0"/>
            <w:vAlign w:val="center"/>
          </w:tcPr>
          <w:p w14:paraId="5C99507F">
            <w:pPr>
              <w:jc w:val="center"/>
              <w:rPr>
                <w:szCs w:val="21"/>
              </w:rPr>
            </w:pPr>
            <w:r>
              <w:rPr>
                <w:szCs w:val="21"/>
              </w:rPr>
              <w:t>11.76</w:t>
            </w:r>
          </w:p>
        </w:tc>
        <w:tc>
          <w:tcPr>
            <w:tcW w:w="1116" w:type="dxa"/>
            <w:noWrap w:val="0"/>
            <w:vAlign w:val="center"/>
          </w:tcPr>
          <w:p w14:paraId="7F4B87A6">
            <w:pPr>
              <w:jc w:val="center"/>
              <w:rPr>
                <w:szCs w:val="21"/>
              </w:rPr>
            </w:pPr>
            <w:r>
              <w:rPr>
                <w:szCs w:val="21"/>
              </w:rPr>
              <w:t>11.48</w:t>
            </w:r>
          </w:p>
        </w:tc>
        <w:tc>
          <w:tcPr>
            <w:tcW w:w="1116" w:type="dxa"/>
            <w:noWrap w:val="0"/>
            <w:vAlign w:val="center"/>
          </w:tcPr>
          <w:p w14:paraId="55BEC578">
            <w:pPr>
              <w:jc w:val="center"/>
              <w:rPr>
                <w:szCs w:val="21"/>
              </w:rPr>
            </w:pPr>
            <w:r>
              <w:rPr>
                <w:szCs w:val="21"/>
              </w:rPr>
              <w:t>11.76</w:t>
            </w:r>
          </w:p>
        </w:tc>
        <w:tc>
          <w:tcPr>
            <w:tcW w:w="1116" w:type="dxa"/>
            <w:noWrap w:val="0"/>
            <w:vAlign w:val="center"/>
          </w:tcPr>
          <w:p w14:paraId="69488952">
            <w:pPr>
              <w:jc w:val="center"/>
              <w:rPr>
                <w:szCs w:val="21"/>
              </w:rPr>
            </w:pPr>
            <w:r>
              <w:rPr>
                <w:szCs w:val="21"/>
              </w:rPr>
              <w:t>8.19</w:t>
            </w:r>
          </w:p>
        </w:tc>
        <w:tc>
          <w:tcPr>
            <w:tcW w:w="1116" w:type="dxa"/>
            <w:noWrap w:val="0"/>
            <w:vAlign w:val="center"/>
          </w:tcPr>
          <w:p w14:paraId="7512893F">
            <w:pPr>
              <w:jc w:val="center"/>
              <w:rPr>
                <w:szCs w:val="21"/>
              </w:rPr>
            </w:pPr>
            <w:r>
              <w:rPr>
                <w:szCs w:val="21"/>
              </w:rPr>
              <w:t>7.67</w:t>
            </w:r>
          </w:p>
        </w:tc>
        <w:tc>
          <w:tcPr>
            <w:tcW w:w="700" w:type="dxa"/>
            <w:noWrap w:val="0"/>
            <w:vAlign w:val="center"/>
          </w:tcPr>
          <w:p w14:paraId="4E953573">
            <w:pPr>
              <w:jc w:val="center"/>
              <w:rPr>
                <w:rFonts w:eastAsia="楷体_GB2312"/>
              </w:rPr>
            </w:pPr>
            <w:r>
              <w:rPr>
                <w:rFonts w:eastAsia="楷体_GB2312"/>
              </w:rPr>
              <w:fldChar w:fldCharType="begin"/>
            </w:r>
            <w:r>
              <w:rPr>
                <w:rFonts w:eastAsia="楷体_GB2312"/>
              </w:rPr>
              <w:instrText xml:space="preserve"> =SUM(ABOVE) </w:instrText>
            </w:r>
            <w:r>
              <w:rPr>
                <w:rFonts w:eastAsia="楷体_GB2312"/>
              </w:rPr>
              <w:fldChar w:fldCharType="separate"/>
            </w:r>
            <w:r>
              <w:rPr>
                <w:rFonts w:eastAsia="楷体_GB2312"/>
              </w:rPr>
              <w:t>100</w:t>
            </w:r>
            <w:r>
              <w:rPr>
                <w:rFonts w:eastAsia="楷体_GB2312"/>
              </w:rPr>
              <w:fldChar w:fldCharType="end"/>
            </w:r>
          </w:p>
        </w:tc>
      </w:tr>
      <w:tr w14:paraId="50A81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8" w:type="dxa"/>
            <w:noWrap w:val="0"/>
            <w:vAlign w:val="center"/>
          </w:tcPr>
          <w:p w14:paraId="4A166E9E">
            <w:pPr>
              <w:jc w:val="center"/>
              <w:rPr>
                <w:rFonts w:eastAsia="楷体_GB2312"/>
                <w:spacing w:val="-20"/>
              </w:rPr>
            </w:pPr>
            <w:r>
              <w:rPr>
                <w:rFonts w:eastAsia="楷体_GB2312"/>
                <w:spacing w:val="-20"/>
              </w:rPr>
              <w:t>标准差</w:t>
            </w:r>
          </w:p>
        </w:tc>
        <w:tc>
          <w:tcPr>
            <w:tcW w:w="1150" w:type="dxa"/>
            <w:noWrap w:val="0"/>
            <w:vAlign w:val="center"/>
          </w:tcPr>
          <w:p w14:paraId="71EA58DF">
            <w:pPr>
              <w:jc w:val="center"/>
              <w:rPr>
                <w:szCs w:val="21"/>
              </w:rPr>
            </w:pPr>
            <w:r>
              <w:rPr>
                <w:szCs w:val="21"/>
              </w:rPr>
              <w:t>3.22</w:t>
            </w:r>
          </w:p>
        </w:tc>
        <w:tc>
          <w:tcPr>
            <w:tcW w:w="879" w:type="dxa"/>
            <w:noWrap w:val="0"/>
            <w:vAlign w:val="center"/>
          </w:tcPr>
          <w:p w14:paraId="27E2C540">
            <w:pPr>
              <w:jc w:val="center"/>
              <w:rPr>
                <w:szCs w:val="21"/>
              </w:rPr>
            </w:pPr>
            <w:r>
              <w:rPr>
                <w:szCs w:val="21"/>
              </w:rPr>
              <w:t>2.00</w:t>
            </w:r>
          </w:p>
        </w:tc>
        <w:tc>
          <w:tcPr>
            <w:tcW w:w="1081" w:type="dxa"/>
            <w:noWrap w:val="0"/>
            <w:vAlign w:val="center"/>
          </w:tcPr>
          <w:p w14:paraId="0EBF5791">
            <w:pPr>
              <w:jc w:val="center"/>
              <w:rPr>
                <w:szCs w:val="21"/>
              </w:rPr>
            </w:pPr>
            <w:r>
              <w:rPr>
                <w:szCs w:val="21"/>
              </w:rPr>
              <w:t>2.64</w:t>
            </w:r>
          </w:p>
        </w:tc>
        <w:tc>
          <w:tcPr>
            <w:tcW w:w="1116" w:type="dxa"/>
            <w:noWrap w:val="0"/>
            <w:vAlign w:val="center"/>
          </w:tcPr>
          <w:p w14:paraId="6001AAFE">
            <w:pPr>
              <w:jc w:val="center"/>
              <w:rPr>
                <w:szCs w:val="21"/>
              </w:rPr>
            </w:pPr>
            <w:r>
              <w:rPr>
                <w:szCs w:val="21"/>
              </w:rPr>
              <w:t>2.48</w:t>
            </w:r>
          </w:p>
        </w:tc>
        <w:tc>
          <w:tcPr>
            <w:tcW w:w="1116" w:type="dxa"/>
            <w:noWrap w:val="0"/>
            <w:vAlign w:val="center"/>
          </w:tcPr>
          <w:p w14:paraId="1324331C">
            <w:pPr>
              <w:jc w:val="center"/>
              <w:rPr>
                <w:szCs w:val="21"/>
              </w:rPr>
            </w:pPr>
            <w:r>
              <w:rPr>
                <w:szCs w:val="21"/>
              </w:rPr>
              <w:t>2.62</w:t>
            </w:r>
          </w:p>
        </w:tc>
        <w:tc>
          <w:tcPr>
            <w:tcW w:w="1116" w:type="dxa"/>
            <w:noWrap w:val="0"/>
            <w:vAlign w:val="center"/>
          </w:tcPr>
          <w:p w14:paraId="3909FFDB">
            <w:pPr>
              <w:jc w:val="center"/>
              <w:rPr>
                <w:szCs w:val="21"/>
              </w:rPr>
            </w:pPr>
            <w:r>
              <w:rPr>
                <w:szCs w:val="21"/>
              </w:rPr>
              <w:t>2.56</w:t>
            </w:r>
          </w:p>
        </w:tc>
        <w:tc>
          <w:tcPr>
            <w:tcW w:w="1116" w:type="dxa"/>
            <w:noWrap w:val="0"/>
            <w:vAlign w:val="center"/>
          </w:tcPr>
          <w:p w14:paraId="357D22E8">
            <w:pPr>
              <w:jc w:val="center"/>
              <w:rPr>
                <w:szCs w:val="21"/>
              </w:rPr>
            </w:pPr>
            <w:r>
              <w:rPr>
                <w:szCs w:val="21"/>
              </w:rPr>
              <w:t>1.65</w:t>
            </w:r>
          </w:p>
        </w:tc>
        <w:tc>
          <w:tcPr>
            <w:tcW w:w="700" w:type="dxa"/>
            <w:noWrap w:val="0"/>
            <w:vAlign w:val="center"/>
          </w:tcPr>
          <w:p w14:paraId="1FEA2062">
            <w:pPr>
              <w:jc w:val="center"/>
              <w:rPr>
                <w:rFonts w:eastAsia="楷体_GB2312"/>
              </w:rPr>
            </w:pPr>
            <w:r>
              <w:rPr>
                <w:rFonts w:eastAsia="楷体_GB2312"/>
              </w:rPr>
              <w:t>/</w:t>
            </w:r>
          </w:p>
        </w:tc>
      </w:tr>
    </w:tbl>
    <w:p w14:paraId="0496228A">
      <w:pPr>
        <w:pStyle w:val="20"/>
        <w:spacing w:before="120" w:beforeLines="50"/>
        <w:jc w:val="center"/>
        <w:rPr>
          <w:rFonts w:ascii="Times New Roman" w:hAnsi="Times New Roman" w:eastAsia="黑体" w:cs="Times New Roman"/>
          <w:sz w:val="28"/>
        </w:rPr>
      </w:pPr>
    </w:p>
    <w:p w14:paraId="7E5A0F12">
      <w:pPr>
        <w:pStyle w:val="20"/>
        <w:spacing w:before="120" w:beforeLines="50"/>
        <w:jc w:val="center"/>
        <w:rPr>
          <w:rFonts w:ascii="Times New Roman" w:hAnsi="Times New Roman" w:eastAsia="黑体" w:cs="Times New Roman"/>
          <w:sz w:val="28"/>
        </w:rPr>
      </w:pPr>
      <w:r>
        <w:rPr>
          <w:rFonts w:ascii="Times New Roman" w:hAnsi="Times New Roman" w:eastAsia="黑体" w:cs="Times New Roman"/>
          <w:sz w:val="28"/>
        </w:rPr>
        <w:br w:type="page"/>
      </w:r>
      <w:r>
        <w:rPr>
          <w:rFonts w:ascii="Times New Roman" w:hAnsi="Times New Roman" w:eastAsia="黑体" w:cs="Times New Roman"/>
          <w:sz w:val="28"/>
        </w:rPr>
        <w:t>表1-2-6  埇桥区符离镇、大泽乡镇、曹村镇镇区综合定级</w:t>
      </w:r>
      <w:r>
        <w:rPr>
          <w:rFonts w:hint="eastAsia" w:ascii="Times New Roman" w:hAnsi="Times New Roman" w:eastAsia="黑体" w:cs="Times New Roman"/>
          <w:sz w:val="28"/>
        </w:rPr>
        <w:t>对外交通便利度</w:t>
      </w:r>
      <w:r>
        <w:rPr>
          <w:rFonts w:ascii="Times New Roman" w:hAnsi="Times New Roman" w:eastAsia="黑体" w:cs="Times New Roman"/>
          <w:sz w:val="28"/>
        </w:rPr>
        <w:t>因子权重表（第一轮打分结果）</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3"/>
        <w:gridCol w:w="2736"/>
        <w:gridCol w:w="2734"/>
        <w:gridCol w:w="1149"/>
      </w:tblGrid>
      <w:tr w14:paraId="589D8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352" w:type="pct"/>
            <w:noWrap w:val="0"/>
            <w:vAlign w:val="center"/>
          </w:tcPr>
          <w:p w14:paraId="35413571">
            <w:pPr>
              <w:jc w:val="center"/>
              <w:rPr>
                <w:rFonts w:eastAsia="楷体_GB2312"/>
                <w:szCs w:val="21"/>
              </w:rPr>
            </w:pPr>
            <w:r>
              <w:rPr>
                <w:rFonts w:eastAsia="楷体_GB2312"/>
                <w:szCs w:val="21"/>
              </w:rPr>
              <w:t>因子名称</w:t>
            </w:r>
          </w:p>
        </w:tc>
        <w:tc>
          <w:tcPr>
            <w:tcW w:w="1508" w:type="pct"/>
            <w:noWrap w:val="0"/>
            <w:vAlign w:val="center"/>
          </w:tcPr>
          <w:p w14:paraId="5E420E4D">
            <w:pPr>
              <w:jc w:val="center"/>
              <w:rPr>
                <w:rFonts w:eastAsia="楷体_GB2312"/>
                <w:szCs w:val="21"/>
              </w:rPr>
            </w:pPr>
            <w:r>
              <w:rPr>
                <w:rFonts w:hint="eastAsia" w:eastAsia="楷体_GB2312"/>
                <w:szCs w:val="21"/>
              </w:rPr>
              <w:t>火车站</w:t>
            </w:r>
          </w:p>
        </w:tc>
        <w:tc>
          <w:tcPr>
            <w:tcW w:w="1507" w:type="pct"/>
            <w:noWrap w:val="0"/>
            <w:vAlign w:val="center"/>
          </w:tcPr>
          <w:p w14:paraId="0D320946">
            <w:pPr>
              <w:jc w:val="center"/>
              <w:rPr>
                <w:rFonts w:eastAsia="楷体_GB2312"/>
                <w:szCs w:val="21"/>
              </w:rPr>
            </w:pPr>
            <w:r>
              <w:rPr>
                <w:rFonts w:hint="eastAsia" w:eastAsia="楷体_GB2312"/>
                <w:szCs w:val="21"/>
              </w:rPr>
              <w:t>汽车站</w:t>
            </w:r>
          </w:p>
        </w:tc>
        <w:tc>
          <w:tcPr>
            <w:tcW w:w="633" w:type="pct"/>
            <w:noWrap w:val="0"/>
            <w:vAlign w:val="center"/>
          </w:tcPr>
          <w:p w14:paraId="74C140DB">
            <w:pPr>
              <w:jc w:val="center"/>
              <w:rPr>
                <w:rFonts w:eastAsia="楷体_GB2312"/>
                <w:szCs w:val="21"/>
              </w:rPr>
            </w:pPr>
            <w:r>
              <w:rPr>
                <w:rFonts w:eastAsia="楷体_GB2312"/>
                <w:szCs w:val="21"/>
              </w:rPr>
              <w:t>合计</w:t>
            </w:r>
          </w:p>
        </w:tc>
      </w:tr>
      <w:tr w14:paraId="45346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 w:hRule="atLeast"/>
          <w:jc w:val="center"/>
        </w:trPr>
        <w:tc>
          <w:tcPr>
            <w:tcW w:w="1352" w:type="pct"/>
            <w:noWrap w:val="0"/>
            <w:vAlign w:val="center"/>
          </w:tcPr>
          <w:p w14:paraId="6BF4AD31">
            <w:pPr>
              <w:jc w:val="center"/>
              <w:rPr>
                <w:rFonts w:eastAsia="楷体_GB2312"/>
                <w:szCs w:val="21"/>
              </w:rPr>
            </w:pPr>
            <w:r>
              <w:rPr>
                <w:rFonts w:eastAsia="楷体_GB2312"/>
                <w:szCs w:val="21"/>
              </w:rPr>
              <w:t>平均值</w:t>
            </w:r>
          </w:p>
        </w:tc>
        <w:tc>
          <w:tcPr>
            <w:tcW w:w="1508" w:type="pct"/>
            <w:noWrap w:val="0"/>
            <w:vAlign w:val="center"/>
          </w:tcPr>
          <w:p w14:paraId="21F32337">
            <w:pPr>
              <w:jc w:val="center"/>
              <w:rPr>
                <w:szCs w:val="21"/>
              </w:rPr>
            </w:pPr>
            <w:r>
              <w:rPr>
                <w:rFonts w:hint="eastAsia"/>
                <w:szCs w:val="21"/>
              </w:rPr>
              <w:t>39.52</w:t>
            </w:r>
          </w:p>
        </w:tc>
        <w:tc>
          <w:tcPr>
            <w:tcW w:w="1507" w:type="pct"/>
            <w:noWrap w:val="0"/>
            <w:vAlign w:val="center"/>
          </w:tcPr>
          <w:p w14:paraId="5E45D430">
            <w:pPr>
              <w:jc w:val="center"/>
              <w:rPr>
                <w:szCs w:val="21"/>
              </w:rPr>
            </w:pPr>
            <w:r>
              <w:rPr>
                <w:rFonts w:hint="eastAsia"/>
                <w:szCs w:val="21"/>
              </w:rPr>
              <w:t>60.48</w:t>
            </w:r>
          </w:p>
        </w:tc>
        <w:tc>
          <w:tcPr>
            <w:tcW w:w="633" w:type="pct"/>
            <w:noWrap w:val="0"/>
            <w:vAlign w:val="center"/>
          </w:tcPr>
          <w:p w14:paraId="679242C3">
            <w:pPr>
              <w:jc w:val="center"/>
              <w:rPr>
                <w:rFonts w:eastAsia="楷体_GB2312"/>
              </w:rPr>
            </w:pPr>
            <w:r>
              <w:rPr>
                <w:rFonts w:eastAsia="楷体_GB2312"/>
              </w:rPr>
              <w:t>100</w:t>
            </w:r>
          </w:p>
        </w:tc>
      </w:tr>
      <w:tr w14:paraId="5C160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1352" w:type="pct"/>
            <w:noWrap w:val="0"/>
            <w:vAlign w:val="center"/>
          </w:tcPr>
          <w:p w14:paraId="43356BDA">
            <w:pPr>
              <w:jc w:val="center"/>
              <w:rPr>
                <w:rFonts w:eastAsia="楷体_GB2312"/>
                <w:szCs w:val="21"/>
              </w:rPr>
            </w:pPr>
            <w:r>
              <w:rPr>
                <w:rFonts w:eastAsia="楷体_GB2312"/>
                <w:szCs w:val="21"/>
              </w:rPr>
              <w:t>标准差</w:t>
            </w:r>
          </w:p>
        </w:tc>
        <w:tc>
          <w:tcPr>
            <w:tcW w:w="1508" w:type="pct"/>
            <w:noWrap w:val="0"/>
            <w:vAlign w:val="center"/>
          </w:tcPr>
          <w:p w14:paraId="1831B569">
            <w:pPr>
              <w:jc w:val="center"/>
              <w:rPr>
                <w:szCs w:val="21"/>
              </w:rPr>
            </w:pPr>
            <w:r>
              <w:rPr>
                <w:rFonts w:hint="eastAsia"/>
                <w:szCs w:val="21"/>
              </w:rPr>
              <w:t>3.58</w:t>
            </w:r>
          </w:p>
        </w:tc>
        <w:tc>
          <w:tcPr>
            <w:tcW w:w="1507" w:type="pct"/>
            <w:noWrap w:val="0"/>
            <w:vAlign w:val="center"/>
          </w:tcPr>
          <w:p w14:paraId="0B0D921E">
            <w:pPr>
              <w:jc w:val="center"/>
              <w:rPr>
                <w:szCs w:val="21"/>
              </w:rPr>
            </w:pPr>
            <w:r>
              <w:rPr>
                <w:rFonts w:hint="eastAsia"/>
                <w:szCs w:val="21"/>
              </w:rPr>
              <w:t>3.58</w:t>
            </w:r>
          </w:p>
        </w:tc>
        <w:tc>
          <w:tcPr>
            <w:tcW w:w="633" w:type="pct"/>
            <w:noWrap w:val="0"/>
            <w:vAlign w:val="center"/>
          </w:tcPr>
          <w:p w14:paraId="36DC846E">
            <w:pPr>
              <w:jc w:val="center"/>
              <w:rPr>
                <w:rFonts w:eastAsia="楷体_GB2312"/>
              </w:rPr>
            </w:pPr>
            <w:r>
              <w:rPr>
                <w:rFonts w:eastAsia="楷体_GB2312"/>
              </w:rPr>
              <w:t>——</w:t>
            </w:r>
          </w:p>
        </w:tc>
      </w:tr>
    </w:tbl>
    <w:p w14:paraId="10ABBA2E">
      <w:pPr>
        <w:pStyle w:val="20"/>
        <w:spacing w:before="120" w:beforeLines="50"/>
        <w:jc w:val="center"/>
        <w:rPr>
          <w:rFonts w:ascii="Times New Roman" w:hAnsi="Times New Roman" w:eastAsia="黑体" w:cs="Times New Roman"/>
          <w:sz w:val="28"/>
        </w:rPr>
      </w:pPr>
      <w:r>
        <w:rPr>
          <w:rFonts w:ascii="Times New Roman" w:hAnsi="Times New Roman" w:eastAsia="黑体" w:cs="Times New Roman"/>
          <w:sz w:val="28"/>
        </w:rPr>
        <w:t>表1-2-</w:t>
      </w:r>
      <w:r>
        <w:rPr>
          <w:rFonts w:hint="eastAsia" w:ascii="Times New Roman" w:hAnsi="Times New Roman" w:eastAsia="黑体" w:cs="Times New Roman"/>
          <w:sz w:val="28"/>
        </w:rPr>
        <w:t>7</w:t>
      </w:r>
      <w:r>
        <w:rPr>
          <w:rFonts w:ascii="Times New Roman" w:hAnsi="Times New Roman" w:eastAsia="黑体" w:cs="Times New Roman"/>
          <w:sz w:val="28"/>
        </w:rPr>
        <w:t xml:space="preserve">  埇桥区符离镇、大泽乡镇、曹村镇镇区综合定级基础设施完善度因子权重表（第一轮打分结果）</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5"/>
        <w:gridCol w:w="2103"/>
        <w:gridCol w:w="2101"/>
        <w:gridCol w:w="2101"/>
        <w:gridCol w:w="882"/>
      </w:tblGrid>
      <w:tr w14:paraId="15A3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039" w:type="pct"/>
            <w:noWrap w:val="0"/>
            <w:vAlign w:val="center"/>
          </w:tcPr>
          <w:p w14:paraId="6FB62783">
            <w:pPr>
              <w:jc w:val="center"/>
              <w:rPr>
                <w:rFonts w:eastAsia="楷体_GB2312"/>
                <w:szCs w:val="21"/>
              </w:rPr>
            </w:pPr>
            <w:r>
              <w:rPr>
                <w:rFonts w:eastAsia="楷体_GB2312"/>
                <w:szCs w:val="21"/>
              </w:rPr>
              <w:t>因子名称</w:t>
            </w:r>
          </w:p>
        </w:tc>
        <w:tc>
          <w:tcPr>
            <w:tcW w:w="1159" w:type="pct"/>
            <w:noWrap w:val="0"/>
            <w:vAlign w:val="center"/>
          </w:tcPr>
          <w:p w14:paraId="03BCF22E">
            <w:pPr>
              <w:jc w:val="center"/>
              <w:rPr>
                <w:rFonts w:eastAsia="楷体_GB2312"/>
                <w:szCs w:val="21"/>
              </w:rPr>
            </w:pPr>
            <w:r>
              <w:rPr>
                <w:rFonts w:eastAsia="楷体_GB2312"/>
                <w:szCs w:val="21"/>
              </w:rPr>
              <w:t>供电</w:t>
            </w:r>
          </w:p>
        </w:tc>
        <w:tc>
          <w:tcPr>
            <w:tcW w:w="1158" w:type="pct"/>
            <w:noWrap w:val="0"/>
            <w:vAlign w:val="center"/>
          </w:tcPr>
          <w:p w14:paraId="0D35BF50">
            <w:pPr>
              <w:jc w:val="center"/>
              <w:rPr>
                <w:rFonts w:eastAsia="楷体_GB2312"/>
                <w:szCs w:val="21"/>
              </w:rPr>
            </w:pPr>
            <w:r>
              <w:rPr>
                <w:rFonts w:eastAsia="楷体_GB2312"/>
                <w:szCs w:val="21"/>
              </w:rPr>
              <w:t>供水</w:t>
            </w:r>
          </w:p>
        </w:tc>
        <w:tc>
          <w:tcPr>
            <w:tcW w:w="1158" w:type="pct"/>
            <w:noWrap w:val="0"/>
            <w:vAlign w:val="center"/>
          </w:tcPr>
          <w:p w14:paraId="26AA4EFD">
            <w:pPr>
              <w:jc w:val="center"/>
              <w:rPr>
                <w:rFonts w:eastAsia="楷体_GB2312"/>
                <w:szCs w:val="21"/>
              </w:rPr>
            </w:pPr>
            <w:r>
              <w:rPr>
                <w:rFonts w:eastAsia="楷体_GB2312"/>
                <w:szCs w:val="21"/>
              </w:rPr>
              <w:t>排水</w:t>
            </w:r>
          </w:p>
        </w:tc>
        <w:tc>
          <w:tcPr>
            <w:tcW w:w="486" w:type="pct"/>
            <w:noWrap w:val="0"/>
            <w:vAlign w:val="center"/>
          </w:tcPr>
          <w:p w14:paraId="7B877978">
            <w:pPr>
              <w:jc w:val="center"/>
              <w:rPr>
                <w:rFonts w:eastAsia="楷体_GB2312"/>
                <w:szCs w:val="21"/>
              </w:rPr>
            </w:pPr>
            <w:r>
              <w:rPr>
                <w:rFonts w:eastAsia="楷体_GB2312"/>
                <w:szCs w:val="21"/>
              </w:rPr>
              <w:t>合计</w:t>
            </w:r>
          </w:p>
        </w:tc>
      </w:tr>
      <w:tr w14:paraId="69E4D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 w:hRule="atLeast"/>
          <w:jc w:val="center"/>
        </w:trPr>
        <w:tc>
          <w:tcPr>
            <w:tcW w:w="1039" w:type="pct"/>
            <w:noWrap w:val="0"/>
            <w:vAlign w:val="center"/>
          </w:tcPr>
          <w:p w14:paraId="00604764">
            <w:pPr>
              <w:jc w:val="center"/>
              <w:rPr>
                <w:rFonts w:eastAsia="楷体_GB2312"/>
                <w:szCs w:val="21"/>
              </w:rPr>
            </w:pPr>
            <w:r>
              <w:rPr>
                <w:rFonts w:eastAsia="楷体_GB2312"/>
                <w:szCs w:val="21"/>
              </w:rPr>
              <w:t>平均值</w:t>
            </w:r>
          </w:p>
        </w:tc>
        <w:tc>
          <w:tcPr>
            <w:tcW w:w="1159" w:type="pct"/>
            <w:noWrap w:val="0"/>
            <w:vAlign w:val="center"/>
          </w:tcPr>
          <w:p w14:paraId="3782A8E5">
            <w:pPr>
              <w:jc w:val="center"/>
              <w:rPr>
                <w:szCs w:val="21"/>
              </w:rPr>
            </w:pPr>
            <w:r>
              <w:rPr>
                <w:szCs w:val="21"/>
              </w:rPr>
              <w:t>36.95</w:t>
            </w:r>
          </w:p>
        </w:tc>
        <w:tc>
          <w:tcPr>
            <w:tcW w:w="1158" w:type="pct"/>
            <w:noWrap w:val="0"/>
            <w:vAlign w:val="center"/>
          </w:tcPr>
          <w:p w14:paraId="0DBA3398">
            <w:pPr>
              <w:jc w:val="center"/>
              <w:rPr>
                <w:szCs w:val="21"/>
              </w:rPr>
            </w:pPr>
            <w:r>
              <w:rPr>
                <w:szCs w:val="21"/>
              </w:rPr>
              <w:t>37.33</w:t>
            </w:r>
          </w:p>
        </w:tc>
        <w:tc>
          <w:tcPr>
            <w:tcW w:w="1158" w:type="pct"/>
            <w:noWrap w:val="0"/>
            <w:vAlign w:val="center"/>
          </w:tcPr>
          <w:p w14:paraId="221C0BC4">
            <w:pPr>
              <w:jc w:val="center"/>
              <w:rPr>
                <w:szCs w:val="21"/>
              </w:rPr>
            </w:pPr>
            <w:r>
              <w:rPr>
                <w:szCs w:val="21"/>
              </w:rPr>
              <w:t>25.72</w:t>
            </w:r>
          </w:p>
        </w:tc>
        <w:tc>
          <w:tcPr>
            <w:tcW w:w="486" w:type="pct"/>
            <w:noWrap w:val="0"/>
            <w:vAlign w:val="center"/>
          </w:tcPr>
          <w:p w14:paraId="5F3F3664">
            <w:pPr>
              <w:jc w:val="center"/>
              <w:rPr>
                <w:rFonts w:eastAsia="楷体_GB2312"/>
              </w:rPr>
            </w:pPr>
            <w:r>
              <w:rPr>
                <w:rFonts w:eastAsia="楷体_GB2312"/>
              </w:rPr>
              <w:t>100</w:t>
            </w:r>
          </w:p>
        </w:tc>
      </w:tr>
      <w:tr w14:paraId="0E79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1039" w:type="pct"/>
            <w:noWrap w:val="0"/>
            <w:vAlign w:val="center"/>
          </w:tcPr>
          <w:p w14:paraId="7289FF83">
            <w:pPr>
              <w:jc w:val="center"/>
              <w:rPr>
                <w:rFonts w:eastAsia="楷体_GB2312"/>
                <w:szCs w:val="21"/>
              </w:rPr>
            </w:pPr>
            <w:r>
              <w:rPr>
                <w:rFonts w:eastAsia="楷体_GB2312"/>
                <w:szCs w:val="21"/>
              </w:rPr>
              <w:t>标准差</w:t>
            </w:r>
          </w:p>
        </w:tc>
        <w:tc>
          <w:tcPr>
            <w:tcW w:w="1159" w:type="pct"/>
            <w:noWrap w:val="0"/>
            <w:vAlign w:val="center"/>
          </w:tcPr>
          <w:p w14:paraId="4C40EAC5">
            <w:pPr>
              <w:jc w:val="center"/>
              <w:rPr>
                <w:szCs w:val="21"/>
              </w:rPr>
            </w:pPr>
            <w:r>
              <w:rPr>
                <w:szCs w:val="21"/>
              </w:rPr>
              <w:t>1.63</w:t>
            </w:r>
          </w:p>
        </w:tc>
        <w:tc>
          <w:tcPr>
            <w:tcW w:w="1158" w:type="pct"/>
            <w:noWrap w:val="0"/>
            <w:vAlign w:val="center"/>
          </w:tcPr>
          <w:p w14:paraId="1C8CE750">
            <w:pPr>
              <w:jc w:val="center"/>
              <w:rPr>
                <w:szCs w:val="21"/>
              </w:rPr>
            </w:pPr>
            <w:r>
              <w:rPr>
                <w:szCs w:val="21"/>
              </w:rPr>
              <w:t>2.37</w:t>
            </w:r>
          </w:p>
        </w:tc>
        <w:tc>
          <w:tcPr>
            <w:tcW w:w="1158" w:type="pct"/>
            <w:noWrap w:val="0"/>
            <w:vAlign w:val="center"/>
          </w:tcPr>
          <w:p w14:paraId="61582375">
            <w:pPr>
              <w:jc w:val="center"/>
              <w:rPr>
                <w:szCs w:val="21"/>
              </w:rPr>
            </w:pPr>
            <w:r>
              <w:rPr>
                <w:szCs w:val="21"/>
              </w:rPr>
              <w:t>2.31</w:t>
            </w:r>
          </w:p>
        </w:tc>
        <w:tc>
          <w:tcPr>
            <w:tcW w:w="486" w:type="pct"/>
            <w:noWrap w:val="0"/>
            <w:vAlign w:val="center"/>
          </w:tcPr>
          <w:p w14:paraId="22AE5837">
            <w:pPr>
              <w:jc w:val="center"/>
              <w:rPr>
                <w:rFonts w:eastAsia="楷体_GB2312"/>
              </w:rPr>
            </w:pPr>
            <w:r>
              <w:rPr>
                <w:rFonts w:eastAsia="楷体_GB2312"/>
              </w:rPr>
              <w:t>——</w:t>
            </w:r>
          </w:p>
        </w:tc>
      </w:tr>
    </w:tbl>
    <w:p w14:paraId="73052872">
      <w:pPr>
        <w:pStyle w:val="20"/>
        <w:spacing w:before="120" w:beforeLines="50"/>
        <w:jc w:val="center"/>
        <w:rPr>
          <w:rFonts w:ascii="Times New Roman" w:hAnsi="Times New Roman" w:eastAsia="黑体" w:cs="Times New Roman"/>
          <w:sz w:val="28"/>
        </w:rPr>
      </w:pPr>
      <w:r>
        <w:rPr>
          <w:rFonts w:ascii="Times New Roman" w:hAnsi="Times New Roman" w:eastAsia="黑体" w:cs="Times New Roman"/>
          <w:sz w:val="28"/>
        </w:rPr>
        <w:t>表1-2-</w:t>
      </w:r>
      <w:r>
        <w:rPr>
          <w:rFonts w:hint="eastAsia" w:ascii="Times New Roman" w:hAnsi="Times New Roman" w:eastAsia="黑体" w:cs="Times New Roman"/>
          <w:sz w:val="28"/>
        </w:rPr>
        <w:t>8</w:t>
      </w:r>
      <w:r>
        <w:rPr>
          <w:rFonts w:ascii="Times New Roman" w:hAnsi="Times New Roman" w:eastAsia="黑体" w:cs="Times New Roman"/>
          <w:sz w:val="28"/>
        </w:rPr>
        <w:t xml:space="preserve">  埇桥区符离镇、大泽乡镇、曹村镇镇区综合定级公用设施完备度因子权重确定表（第一轮打分结果）</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960"/>
        <w:gridCol w:w="1067"/>
        <w:gridCol w:w="1170"/>
        <w:gridCol w:w="956"/>
        <w:gridCol w:w="1119"/>
        <w:gridCol w:w="1049"/>
        <w:gridCol w:w="1281"/>
      </w:tblGrid>
      <w:tr w14:paraId="0F38D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0" w:type="pct"/>
            <w:noWrap w:val="0"/>
            <w:vAlign w:val="center"/>
          </w:tcPr>
          <w:p w14:paraId="316366C2">
            <w:pPr>
              <w:jc w:val="center"/>
              <w:rPr>
                <w:rFonts w:eastAsia="楷体_GB2312"/>
              </w:rPr>
            </w:pPr>
            <w:r>
              <w:rPr>
                <w:rFonts w:eastAsia="楷体_GB2312"/>
              </w:rPr>
              <w:t>因子名称</w:t>
            </w:r>
          </w:p>
        </w:tc>
        <w:tc>
          <w:tcPr>
            <w:tcW w:w="529" w:type="pct"/>
            <w:noWrap w:val="0"/>
            <w:vAlign w:val="center"/>
          </w:tcPr>
          <w:p w14:paraId="5F91F453">
            <w:pPr>
              <w:jc w:val="center"/>
              <w:rPr>
                <w:rFonts w:eastAsia="楷体_GB2312"/>
              </w:rPr>
            </w:pPr>
            <w:r>
              <w:rPr>
                <w:rFonts w:eastAsia="楷体_GB2312"/>
              </w:rPr>
              <w:t>中学</w:t>
            </w:r>
          </w:p>
        </w:tc>
        <w:tc>
          <w:tcPr>
            <w:tcW w:w="588" w:type="pct"/>
            <w:noWrap w:val="0"/>
            <w:vAlign w:val="center"/>
          </w:tcPr>
          <w:p w14:paraId="39F4C08E">
            <w:pPr>
              <w:jc w:val="center"/>
              <w:rPr>
                <w:rFonts w:eastAsia="楷体_GB2312"/>
              </w:rPr>
            </w:pPr>
            <w:r>
              <w:rPr>
                <w:rFonts w:eastAsia="楷体_GB2312"/>
              </w:rPr>
              <w:t>小学</w:t>
            </w:r>
          </w:p>
        </w:tc>
        <w:tc>
          <w:tcPr>
            <w:tcW w:w="645" w:type="pct"/>
            <w:noWrap w:val="0"/>
            <w:vAlign w:val="center"/>
          </w:tcPr>
          <w:p w14:paraId="006947E2">
            <w:pPr>
              <w:ind w:left="-63" w:leftChars="-30" w:right="-40" w:rightChars="-19"/>
              <w:jc w:val="center"/>
              <w:rPr>
                <w:rFonts w:eastAsia="楷体_GB2312"/>
              </w:rPr>
            </w:pPr>
            <w:r>
              <w:rPr>
                <w:rFonts w:eastAsia="楷体_GB2312"/>
              </w:rPr>
              <w:t>幼儿园</w:t>
            </w:r>
          </w:p>
        </w:tc>
        <w:tc>
          <w:tcPr>
            <w:tcW w:w="527" w:type="pct"/>
            <w:noWrap w:val="0"/>
            <w:vAlign w:val="center"/>
          </w:tcPr>
          <w:p w14:paraId="36542A13">
            <w:pPr>
              <w:pStyle w:val="150"/>
              <w:spacing w:line="240" w:lineRule="auto"/>
              <w:rPr>
                <w:rFonts w:eastAsia="楷体_GB2312"/>
              </w:rPr>
            </w:pPr>
            <w:r>
              <w:rPr>
                <w:rFonts w:eastAsia="楷体_GB2312"/>
              </w:rPr>
              <w:t>医院</w:t>
            </w:r>
          </w:p>
        </w:tc>
        <w:tc>
          <w:tcPr>
            <w:tcW w:w="617" w:type="pct"/>
            <w:noWrap w:val="0"/>
            <w:vAlign w:val="center"/>
          </w:tcPr>
          <w:p w14:paraId="2693808E">
            <w:pPr>
              <w:jc w:val="center"/>
              <w:rPr>
                <w:rFonts w:eastAsia="楷体_GB2312"/>
              </w:rPr>
            </w:pPr>
            <w:r>
              <w:rPr>
                <w:rFonts w:eastAsia="楷体_GB2312"/>
              </w:rPr>
              <w:t>农贸市场</w:t>
            </w:r>
          </w:p>
        </w:tc>
        <w:tc>
          <w:tcPr>
            <w:tcW w:w="578" w:type="pct"/>
            <w:noWrap w:val="0"/>
            <w:vAlign w:val="center"/>
          </w:tcPr>
          <w:p w14:paraId="03BC7E04">
            <w:pPr>
              <w:jc w:val="center"/>
              <w:rPr>
                <w:rFonts w:eastAsia="楷体_GB2312"/>
              </w:rPr>
            </w:pPr>
            <w:r>
              <w:rPr>
                <w:rFonts w:eastAsia="楷体_GB2312"/>
              </w:rPr>
              <w:t>银行</w:t>
            </w:r>
          </w:p>
        </w:tc>
        <w:tc>
          <w:tcPr>
            <w:tcW w:w="706" w:type="pct"/>
            <w:noWrap w:val="0"/>
            <w:vAlign w:val="center"/>
          </w:tcPr>
          <w:p w14:paraId="502355F2">
            <w:pPr>
              <w:jc w:val="center"/>
              <w:rPr>
                <w:rFonts w:eastAsia="楷体_GB2312"/>
              </w:rPr>
            </w:pPr>
            <w:r>
              <w:rPr>
                <w:rFonts w:eastAsia="楷体_GB2312"/>
              </w:rPr>
              <w:t>合 计</w:t>
            </w:r>
          </w:p>
        </w:tc>
      </w:tr>
      <w:tr w14:paraId="0439B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810" w:type="pct"/>
            <w:noWrap w:val="0"/>
            <w:vAlign w:val="center"/>
          </w:tcPr>
          <w:p w14:paraId="4AFC972F">
            <w:pPr>
              <w:jc w:val="center"/>
              <w:rPr>
                <w:rFonts w:eastAsia="楷体_GB2312"/>
              </w:rPr>
            </w:pPr>
            <w:r>
              <w:rPr>
                <w:rFonts w:eastAsia="楷体_GB2312"/>
              </w:rPr>
              <w:t>平均值</w:t>
            </w:r>
          </w:p>
        </w:tc>
        <w:tc>
          <w:tcPr>
            <w:tcW w:w="529" w:type="pct"/>
            <w:noWrap w:val="0"/>
            <w:vAlign w:val="center"/>
          </w:tcPr>
          <w:p w14:paraId="48CD3E05">
            <w:pPr>
              <w:jc w:val="center"/>
              <w:rPr>
                <w:szCs w:val="21"/>
              </w:rPr>
            </w:pPr>
            <w:r>
              <w:rPr>
                <w:szCs w:val="21"/>
              </w:rPr>
              <w:t>20.55</w:t>
            </w:r>
          </w:p>
        </w:tc>
        <w:tc>
          <w:tcPr>
            <w:tcW w:w="588" w:type="pct"/>
            <w:noWrap w:val="0"/>
            <w:vAlign w:val="center"/>
          </w:tcPr>
          <w:p w14:paraId="074A449E">
            <w:pPr>
              <w:jc w:val="center"/>
              <w:rPr>
                <w:szCs w:val="21"/>
              </w:rPr>
            </w:pPr>
            <w:r>
              <w:rPr>
                <w:szCs w:val="21"/>
              </w:rPr>
              <w:t>19.04</w:t>
            </w:r>
          </w:p>
        </w:tc>
        <w:tc>
          <w:tcPr>
            <w:tcW w:w="645" w:type="pct"/>
            <w:noWrap w:val="0"/>
            <w:vAlign w:val="center"/>
          </w:tcPr>
          <w:p w14:paraId="7DCEC187">
            <w:pPr>
              <w:jc w:val="center"/>
              <w:rPr>
                <w:szCs w:val="21"/>
              </w:rPr>
            </w:pPr>
            <w:r>
              <w:rPr>
                <w:szCs w:val="21"/>
              </w:rPr>
              <w:t>17.65</w:t>
            </w:r>
          </w:p>
        </w:tc>
        <w:tc>
          <w:tcPr>
            <w:tcW w:w="527" w:type="pct"/>
            <w:noWrap w:val="0"/>
            <w:vAlign w:val="center"/>
          </w:tcPr>
          <w:p w14:paraId="5B0DE58E">
            <w:pPr>
              <w:jc w:val="center"/>
              <w:rPr>
                <w:szCs w:val="21"/>
              </w:rPr>
            </w:pPr>
            <w:r>
              <w:rPr>
                <w:szCs w:val="21"/>
              </w:rPr>
              <w:t>17.49</w:t>
            </w:r>
          </w:p>
        </w:tc>
        <w:tc>
          <w:tcPr>
            <w:tcW w:w="617" w:type="pct"/>
            <w:noWrap w:val="0"/>
            <w:vAlign w:val="center"/>
          </w:tcPr>
          <w:p w14:paraId="1D8A8EA7">
            <w:pPr>
              <w:jc w:val="center"/>
              <w:rPr>
                <w:szCs w:val="21"/>
              </w:rPr>
            </w:pPr>
            <w:r>
              <w:rPr>
                <w:szCs w:val="21"/>
              </w:rPr>
              <w:t>13.46</w:t>
            </w:r>
          </w:p>
        </w:tc>
        <w:tc>
          <w:tcPr>
            <w:tcW w:w="578" w:type="pct"/>
            <w:noWrap w:val="0"/>
            <w:vAlign w:val="center"/>
          </w:tcPr>
          <w:p w14:paraId="5FE11E21">
            <w:pPr>
              <w:jc w:val="center"/>
              <w:rPr>
                <w:szCs w:val="21"/>
              </w:rPr>
            </w:pPr>
            <w:r>
              <w:rPr>
                <w:szCs w:val="21"/>
              </w:rPr>
              <w:t>11.81</w:t>
            </w:r>
          </w:p>
        </w:tc>
        <w:tc>
          <w:tcPr>
            <w:tcW w:w="706" w:type="pct"/>
            <w:noWrap w:val="0"/>
            <w:vAlign w:val="center"/>
          </w:tcPr>
          <w:p w14:paraId="457DEEC6">
            <w:pPr>
              <w:jc w:val="center"/>
              <w:rPr>
                <w:rFonts w:eastAsia="楷体_GB2312"/>
              </w:rPr>
            </w:pPr>
            <w:r>
              <w:rPr>
                <w:rFonts w:eastAsia="楷体_GB2312"/>
              </w:rPr>
              <w:fldChar w:fldCharType="begin"/>
            </w:r>
            <w:r>
              <w:rPr>
                <w:rFonts w:eastAsia="楷体_GB2312"/>
              </w:rPr>
              <w:instrText xml:space="preserve"> =SUM(LEFT) </w:instrText>
            </w:r>
            <w:r>
              <w:rPr>
                <w:rFonts w:eastAsia="楷体_GB2312"/>
              </w:rPr>
              <w:fldChar w:fldCharType="separate"/>
            </w:r>
            <w:r>
              <w:rPr>
                <w:rFonts w:eastAsia="楷体_GB2312"/>
              </w:rPr>
              <w:t>100</w:t>
            </w:r>
            <w:r>
              <w:rPr>
                <w:rFonts w:eastAsia="楷体_GB2312"/>
              </w:rPr>
              <w:fldChar w:fldCharType="end"/>
            </w:r>
          </w:p>
        </w:tc>
      </w:tr>
      <w:tr w14:paraId="79A7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10" w:type="pct"/>
            <w:noWrap w:val="0"/>
            <w:vAlign w:val="center"/>
          </w:tcPr>
          <w:p w14:paraId="2754CBDB">
            <w:pPr>
              <w:jc w:val="center"/>
              <w:rPr>
                <w:rFonts w:eastAsia="楷体_GB2312"/>
              </w:rPr>
            </w:pPr>
            <w:r>
              <w:rPr>
                <w:rFonts w:eastAsia="楷体_GB2312"/>
              </w:rPr>
              <w:t>标准差</w:t>
            </w:r>
          </w:p>
        </w:tc>
        <w:tc>
          <w:tcPr>
            <w:tcW w:w="529" w:type="pct"/>
            <w:noWrap w:val="0"/>
            <w:vAlign w:val="center"/>
          </w:tcPr>
          <w:p w14:paraId="1360CE16">
            <w:pPr>
              <w:jc w:val="center"/>
              <w:rPr>
                <w:szCs w:val="21"/>
              </w:rPr>
            </w:pPr>
            <w:r>
              <w:rPr>
                <w:szCs w:val="21"/>
              </w:rPr>
              <w:t>3.36</w:t>
            </w:r>
          </w:p>
        </w:tc>
        <w:tc>
          <w:tcPr>
            <w:tcW w:w="588" w:type="pct"/>
            <w:noWrap w:val="0"/>
            <w:vAlign w:val="center"/>
          </w:tcPr>
          <w:p w14:paraId="2156C674">
            <w:pPr>
              <w:jc w:val="center"/>
              <w:rPr>
                <w:szCs w:val="21"/>
              </w:rPr>
            </w:pPr>
            <w:r>
              <w:rPr>
                <w:szCs w:val="21"/>
              </w:rPr>
              <w:t>2.60</w:t>
            </w:r>
          </w:p>
        </w:tc>
        <w:tc>
          <w:tcPr>
            <w:tcW w:w="645" w:type="pct"/>
            <w:noWrap w:val="0"/>
            <w:vAlign w:val="center"/>
          </w:tcPr>
          <w:p w14:paraId="34EE22AF">
            <w:pPr>
              <w:jc w:val="center"/>
              <w:rPr>
                <w:szCs w:val="21"/>
              </w:rPr>
            </w:pPr>
            <w:r>
              <w:rPr>
                <w:szCs w:val="21"/>
              </w:rPr>
              <w:t>2.82</w:t>
            </w:r>
          </w:p>
        </w:tc>
        <w:tc>
          <w:tcPr>
            <w:tcW w:w="527" w:type="pct"/>
            <w:noWrap w:val="0"/>
            <w:vAlign w:val="center"/>
          </w:tcPr>
          <w:p w14:paraId="42C41D5F">
            <w:pPr>
              <w:jc w:val="center"/>
              <w:rPr>
                <w:szCs w:val="21"/>
              </w:rPr>
            </w:pPr>
            <w:r>
              <w:rPr>
                <w:szCs w:val="21"/>
              </w:rPr>
              <w:t>2.88</w:t>
            </w:r>
          </w:p>
        </w:tc>
        <w:tc>
          <w:tcPr>
            <w:tcW w:w="617" w:type="pct"/>
            <w:noWrap w:val="0"/>
            <w:vAlign w:val="center"/>
          </w:tcPr>
          <w:p w14:paraId="47401BF1">
            <w:pPr>
              <w:jc w:val="center"/>
              <w:rPr>
                <w:szCs w:val="21"/>
              </w:rPr>
            </w:pPr>
            <w:r>
              <w:rPr>
                <w:szCs w:val="21"/>
              </w:rPr>
              <w:t>2.42</w:t>
            </w:r>
          </w:p>
        </w:tc>
        <w:tc>
          <w:tcPr>
            <w:tcW w:w="578" w:type="pct"/>
            <w:noWrap w:val="0"/>
            <w:vAlign w:val="center"/>
          </w:tcPr>
          <w:p w14:paraId="6C0B98B0">
            <w:pPr>
              <w:jc w:val="center"/>
              <w:rPr>
                <w:szCs w:val="21"/>
              </w:rPr>
            </w:pPr>
            <w:r>
              <w:rPr>
                <w:szCs w:val="21"/>
              </w:rPr>
              <w:t>2.73</w:t>
            </w:r>
          </w:p>
        </w:tc>
        <w:tc>
          <w:tcPr>
            <w:tcW w:w="706" w:type="pct"/>
            <w:noWrap w:val="0"/>
            <w:vAlign w:val="center"/>
          </w:tcPr>
          <w:p w14:paraId="64DD6D95">
            <w:pPr>
              <w:jc w:val="center"/>
              <w:rPr>
                <w:rFonts w:eastAsia="楷体_GB2312"/>
              </w:rPr>
            </w:pPr>
            <w:r>
              <w:rPr>
                <w:rFonts w:eastAsia="楷体_GB2312"/>
              </w:rPr>
              <w:t>——</w:t>
            </w:r>
          </w:p>
        </w:tc>
      </w:tr>
    </w:tbl>
    <w:p w14:paraId="26B344DA">
      <w:pPr>
        <w:pStyle w:val="20"/>
        <w:spacing w:line="480" w:lineRule="exact"/>
        <w:ind w:firstLine="560" w:firstLineChars="200"/>
        <w:rPr>
          <w:rFonts w:ascii="Times New Roman" w:hAnsi="Times New Roman" w:eastAsia="楷体_GB2312" w:cs="Times New Roman"/>
          <w:sz w:val="28"/>
        </w:rPr>
      </w:pPr>
      <w:r>
        <w:rPr>
          <w:rFonts w:hint="eastAsia" w:ascii="楷体" w:hAnsi="楷体" w:eastAsia="楷体" w:cs="楷体_GB2312"/>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朱仙庄镇等19个乡镇第一轮专家打分结果见表1-2-</w:t>
      </w:r>
      <w:r>
        <w:rPr>
          <w:rFonts w:hint="eastAsia" w:ascii="Times New Roman" w:hAnsi="Times New Roman" w:eastAsia="楷体_GB2312" w:cs="Times New Roman"/>
          <w:sz w:val="28"/>
        </w:rPr>
        <w:t>9</w:t>
      </w:r>
      <w:r>
        <w:rPr>
          <w:rFonts w:ascii="Times New Roman" w:hAnsi="Times New Roman" w:eastAsia="楷体_GB2312" w:cs="Times New Roman"/>
          <w:sz w:val="28"/>
        </w:rPr>
        <w:t>至1-2-</w:t>
      </w:r>
      <w:r>
        <w:rPr>
          <w:rFonts w:hint="eastAsia" w:ascii="Times New Roman" w:hAnsi="Times New Roman" w:eastAsia="楷体_GB2312" w:cs="Times New Roman"/>
          <w:sz w:val="28"/>
        </w:rPr>
        <w:t>11</w:t>
      </w:r>
      <w:r>
        <w:rPr>
          <w:rFonts w:ascii="Times New Roman" w:hAnsi="Times New Roman" w:eastAsia="楷体_GB2312" w:cs="Times New Roman"/>
          <w:sz w:val="28"/>
        </w:rPr>
        <w:t>：</w:t>
      </w:r>
    </w:p>
    <w:p w14:paraId="61AA2F2D">
      <w:pPr>
        <w:pStyle w:val="20"/>
        <w:spacing w:before="120" w:beforeLines="50"/>
        <w:jc w:val="center"/>
        <w:rPr>
          <w:rFonts w:ascii="Times New Roman" w:hAnsi="Times New Roman" w:eastAsia="黑体" w:cs="Times New Roman"/>
          <w:sz w:val="28"/>
        </w:rPr>
      </w:pPr>
      <w:r>
        <w:rPr>
          <w:rFonts w:ascii="Times New Roman" w:hAnsi="Times New Roman" w:eastAsia="黑体" w:cs="Times New Roman"/>
          <w:sz w:val="28"/>
        </w:rPr>
        <w:t>表1-2-</w:t>
      </w:r>
      <w:r>
        <w:rPr>
          <w:rFonts w:hint="eastAsia" w:ascii="Times New Roman" w:hAnsi="Times New Roman" w:eastAsia="黑体" w:cs="Times New Roman"/>
          <w:sz w:val="28"/>
        </w:rPr>
        <w:t>9</w:t>
      </w:r>
      <w:r>
        <w:rPr>
          <w:rFonts w:ascii="Times New Roman" w:hAnsi="Times New Roman" w:eastAsia="黑体" w:cs="Times New Roman"/>
          <w:sz w:val="28"/>
        </w:rPr>
        <w:t xml:space="preserve">  埇桥区</w:t>
      </w:r>
      <w:r>
        <w:rPr>
          <w:rFonts w:hint="eastAsia" w:ascii="Times New Roman" w:hAnsi="Times New Roman" w:eastAsia="黑体" w:cs="Times New Roman"/>
          <w:sz w:val="28"/>
        </w:rPr>
        <w:t>朱仙庄镇等19个乡镇</w:t>
      </w:r>
      <w:r>
        <w:rPr>
          <w:rFonts w:ascii="Times New Roman" w:hAnsi="Times New Roman" w:eastAsia="黑体" w:cs="Times New Roman"/>
          <w:sz w:val="28"/>
        </w:rPr>
        <w:t>镇区综合定级因素权重表（第一轮打分结果）</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150"/>
        <w:gridCol w:w="879"/>
        <w:gridCol w:w="1081"/>
        <w:gridCol w:w="1116"/>
        <w:gridCol w:w="1116"/>
        <w:gridCol w:w="1116"/>
        <w:gridCol w:w="1116"/>
        <w:gridCol w:w="700"/>
      </w:tblGrid>
      <w:tr w14:paraId="0C15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8" w:type="dxa"/>
            <w:vMerge w:val="restart"/>
            <w:noWrap w:val="0"/>
            <w:vAlign w:val="center"/>
          </w:tcPr>
          <w:p w14:paraId="2AC3949B">
            <w:pPr>
              <w:jc w:val="center"/>
              <w:rPr>
                <w:rFonts w:eastAsia="楷体_GB2312"/>
                <w:spacing w:val="-20"/>
              </w:rPr>
            </w:pPr>
            <w:r>
              <w:rPr>
                <w:rFonts w:eastAsia="楷体_GB2312"/>
                <w:spacing w:val="-20"/>
              </w:rPr>
              <w:t>因素</w:t>
            </w:r>
          </w:p>
        </w:tc>
        <w:tc>
          <w:tcPr>
            <w:tcW w:w="1150" w:type="dxa"/>
            <w:noWrap w:val="0"/>
            <w:vAlign w:val="center"/>
          </w:tcPr>
          <w:p w14:paraId="66A3A5FB">
            <w:pPr>
              <w:jc w:val="center"/>
              <w:rPr>
                <w:rFonts w:eastAsia="楷体_GB2312"/>
              </w:rPr>
            </w:pPr>
            <w:r>
              <w:rPr>
                <w:rFonts w:eastAsia="楷体_GB2312"/>
                <w:spacing w:val="-24"/>
              </w:rPr>
              <w:t>繁华程度</w:t>
            </w:r>
          </w:p>
        </w:tc>
        <w:tc>
          <w:tcPr>
            <w:tcW w:w="1960" w:type="dxa"/>
            <w:gridSpan w:val="2"/>
            <w:noWrap w:val="0"/>
            <w:vAlign w:val="center"/>
          </w:tcPr>
          <w:p w14:paraId="712BF9C5">
            <w:pPr>
              <w:jc w:val="center"/>
              <w:rPr>
                <w:rFonts w:eastAsia="楷体_GB2312"/>
              </w:rPr>
            </w:pPr>
            <w:r>
              <w:rPr>
                <w:rFonts w:eastAsia="楷体_GB2312"/>
              </w:rPr>
              <w:t>交通条件</w:t>
            </w:r>
          </w:p>
        </w:tc>
        <w:tc>
          <w:tcPr>
            <w:tcW w:w="2232" w:type="dxa"/>
            <w:gridSpan w:val="2"/>
            <w:noWrap w:val="0"/>
            <w:vAlign w:val="center"/>
          </w:tcPr>
          <w:p w14:paraId="27477A5B">
            <w:pPr>
              <w:jc w:val="center"/>
              <w:rPr>
                <w:rFonts w:eastAsia="楷体_GB2312"/>
              </w:rPr>
            </w:pPr>
            <w:r>
              <w:rPr>
                <w:rFonts w:eastAsia="楷体_GB2312"/>
              </w:rPr>
              <w:t>基本设施状况</w:t>
            </w:r>
          </w:p>
        </w:tc>
        <w:tc>
          <w:tcPr>
            <w:tcW w:w="2232" w:type="dxa"/>
            <w:gridSpan w:val="2"/>
            <w:noWrap w:val="0"/>
            <w:vAlign w:val="center"/>
          </w:tcPr>
          <w:p w14:paraId="686D0029">
            <w:pPr>
              <w:jc w:val="center"/>
              <w:rPr>
                <w:rFonts w:eastAsia="楷体_GB2312"/>
                <w:spacing w:val="-24"/>
              </w:rPr>
            </w:pPr>
            <w:r>
              <w:rPr>
                <w:rFonts w:eastAsia="楷体_GB2312"/>
              </w:rPr>
              <w:t>环境条件</w:t>
            </w:r>
          </w:p>
        </w:tc>
        <w:tc>
          <w:tcPr>
            <w:tcW w:w="700" w:type="dxa"/>
            <w:vMerge w:val="restart"/>
            <w:noWrap w:val="0"/>
            <w:vAlign w:val="center"/>
          </w:tcPr>
          <w:p w14:paraId="65933E62">
            <w:pPr>
              <w:jc w:val="center"/>
              <w:rPr>
                <w:rFonts w:eastAsia="楷体_GB2312"/>
                <w:spacing w:val="-20"/>
              </w:rPr>
            </w:pPr>
            <w:r>
              <w:rPr>
                <w:rFonts w:eastAsia="楷体_GB2312"/>
                <w:spacing w:val="-20"/>
              </w:rPr>
              <w:t>合计</w:t>
            </w:r>
          </w:p>
        </w:tc>
      </w:tr>
      <w:tr w14:paraId="53AA7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8" w:type="dxa"/>
            <w:vMerge w:val="continue"/>
            <w:noWrap w:val="0"/>
            <w:vAlign w:val="center"/>
          </w:tcPr>
          <w:p w14:paraId="50468DA6">
            <w:pPr>
              <w:jc w:val="center"/>
              <w:rPr>
                <w:rFonts w:eastAsia="楷体_GB2312"/>
                <w:spacing w:val="-20"/>
              </w:rPr>
            </w:pPr>
          </w:p>
        </w:tc>
        <w:tc>
          <w:tcPr>
            <w:tcW w:w="1150" w:type="dxa"/>
            <w:noWrap w:val="0"/>
            <w:vAlign w:val="center"/>
          </w:tcPr>
          <w:p w14:paraId="1FC4768A">
            <w:pPr>
              <w:jc w:val="center"/>
              <w:rPr>
                <w:rFonts w:eastAsia="楷体_GB2312"/>
              </w:rPr>
            </w:pPr>
            <w:r>
              <w:rPr>
                <w:rFonts w:eastAsia="楷体_GB2312"/>
              </w:rPr>
              <w:t>商服繁华影响度</w:t>
            </w:r>
          </w:p>
        </w:tc>
        <w:tc>
          <w:tcPr>
            <w:tcW w:w="879" w:type="dxa"/>
            <w:noWrap w:val="0"/>
            <w:vAlign w:val="center"/>
          </w:tcPr>
          <w:p w14:paraId="75152C25">
            <w:pPr>
              <w:jc w:val="center"/>
              <w:rPr>
                <w:rFonts w:eastAsia="楷体_GB2312"/>
              </w:rPr>
            </w:pPr>
            <w:r>
              <w:rPr>
                <w:rFonts w:eastAsia="楷体_GB2312"/>
              </w:rPr>
              <w:t>道路通达度</w:t>
            </w:r>
          </w:p>
        </w:tc>
        <w:tc>
          <w:tcPr>
            <w:tcW w:w="1081" w:type="dxa"/>
            <w:noWrap w:val="0"/>
            <w:vAlign w:val="center"/>
          </w:tcPr>
          <w:p w14:paraId="2BB4A3A5">
            <w:pPr>
              <w:jc w:val="center"/>
              <w:rPr>
                <w:rFonts w:eastAsia="楷体_GB2312"/>
              </w:rPr>
            </w:pPr>
            <w:r>
              <w:rPr>
                <w:rFonts w:eastAsia="楷体_GB2312"/>
              </w:rPr>
              <w:t>对外交通便利度</w:t>
            </w:r>
          </w:p>
        </w:tc>
        <w:tc>
          <w:tcPr>
            <w:tcW w:w="1116" w:type="dxa"/>
            <w:noWrap w:val="0"/>
            <w:vAlign w:val="center"/>
          </w:tcPr>
          <w:p w14:paraId="4C1F2364">
            <w:pPr>
              <w:jc w:val="center"/>
              <w:rPr>
                <w:rFonts w:eastAsia="楷体_GB2312"/>
              </w:rPr>
            </w:pPr>
            <w:r>
              <w:rPr>
                <w:rFonts w:eastAsia="楷体_GB2312"/>
              </w:rPr>
              <w:t>基础设施完善度</w:t>
            </w:r>
          </w:p>
        </w:tc>
        <w:tc>
          <w:tcPr>
            <w:tcW w:w="1116" w:type="dxa"/>
            <w:noWrap w:val="0"/>
            <w:vAlign w:val="center"/>
          </w:tcPr>
          <w:p w14:paraId="2C2B81F5">
            <w:pPr>
              <w:jc w:val="center"/>
              <w:rPr>
                <w:rFonts w:eastAsia="楷体_GB2312"/>
              </w:rPr>
            </w:pPr>
            <w:r>
              <w:rPr>
                <w:rFonts w:eastAsia="楷体_GB2312"/>
              </w:rPr>
              <w:t>公用设施完备度</w:t>
            </w:r>
          </w:p>
        </w:tc>
        <w:tc>
          <w:tcPr>
            <w:tcW w:w="1116" w:type="dxa"/>
            <w:noWrap w:val="0"/>
            <w:vAlign w:val="center"/>
          </w:tcPr>
          <w:p w14:paraId="2BE13858">
            <w:pPr>
              <w:spacing w:line="300" w:lineRule="exact"/>
              <w:jc w:val="center"/>
              <w:rPr>
                <w:rFonts w:eastAsia="楷体_GB2312"/>
                <w:spacing w:val="-8"/>
                <w:szCs w:val="21"/>
              </w:rPr>
            </w:pPr>
            <w:r>
              <w:rPr>
                <w:rFonts w:eastAsia="楷体_GB2312"/>
                <w:spacing w:val="-8"/>
                <w:szCs w:val="21"/>
              </w:rPr>
              <w:t>环境质量优劣度</w:t>
            </w:r>
          </w:p>
        </w:tc>
        <w:tc>
          <w:tcPr>
            <w:tcW w:w="1116" w:type="dxa"/>
            <w:noWrap w:val="0"/>
            <w:vAlign w:val="center"/>
          </w:tcPr>
          <w:p w14:paraId="023B14F2">
            <w:pPr>
              <w:spacing w:line="300" w:lineRule="exact"/>
              <w:jc w:val="center"/>
              <w:rPr>
                <w:rFonts w:eastAsia="楷体_GB2312"/>
                <w:spacing w:val="-8"/>
                <w:szCs w:val="21"/>
              </w:rPr>
            </w:pPr>
            <w:r>
              <w:rPr>
                <w:rFonts w:eastAsia="楷体_GB2312"/>
                <w:spacing w:val="-8"/>
                <w:szCs w:val="21"/>
              </w:rPr>
              <w:t>自然条件优劣度</w:t>
            </w:r>
          </w:p>
        </w:tc>
        <w:tc>
          <w:tcPr>
            <w:tcW w:w="700" w:type="dxa"/>
            <w:vMerge w:val="continue"/>
            <w:noWrap w:val="0"/>
            <w:vAlign w:val="center"/>
          </w:tcPr>
          <w:p w14:paraId="471EC8CF">
            <w:pPr>
              <w:jc w:val="center"/>
              <w:rPr>
                <w:rFonts w:eastAsia="楷体_GB2312"/>
                <w:spacing w:val="-20"/>
              </w:rPr>
            </w:pPr>
          </w:p>
        </w:tc>
      </w:tr>
      <w:tr w14:paraId="60B63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8" w:type="dxa"/>
            <w:vMerge w:val="restart"/>
            <w:noWrap w:val="0"/>
            <w:vAlign w:val="center"/>
          </w:tcPr>
          <w:p w14:paraId="17E0DD8F">
            <w:pPr>
              <w:jc w:val="center"/>
              <w:rPr>
                <w:rFonts w:eastAsia="楷体_GB2312"/>
                <w:spacing w:val="-20"/>
              </w:rPr>
            </w:pPr>
            <w:r>
              <w:rPr>
                <w:rFonts w:eastAsia="楷体_GB2312"/>
                <w:spacing w:val="-20"/>
              </w:rPr>
              <w:t>平均值</w:t>
            </w:r>
          </w:p>
        </w:tc>
        <w:tc>
          <w:tcPr>
            <w:tcW w:w="1150" w:type="dxa"/>
            <w:noWrap w:val="0"/>
            <w:vAlign w:val="center"/>
          </w:tcPr>
          <w:p w14:paraId="21F96525">
            <w:pPr>
              <w:jc w:val="center"/>
              <w:rPr>
                <w:szCs w:val="21"/>
              </w:rPr>
            </w:pPr>
            <w:r>
              <w:rPr>
                <w:szCs w:val="21"/>
              </w:rPr>
              <w:t>37.29</w:t>
            </w:r>
          </w:p>
        </w:tc>
        <w:tc>
          <w:tcPr>
            <w:tcW w:w="1960" w:type="dxa"/>
            <w:gridSpan w:val="2"/>
            <w:noWrap w:val="0"/>
            <w:vAlign w:val="center"/>
          </w:tcPr>
          <w:p w14:paraId="5BCC1B22">
            <w:pPr>
              <w:jc w:val="center"/>
              <w:rPr>
                <w:szCs w:val="21"/>
              </w:rPr>
            </w:pPr>
            <w:r>
              <w:rPr>
                <w:szCs w:val="21"/>
              </w:rPr>
              <w:t>23.85</w:t>
            </w:r>
          </w:p>
        </w:tc>
        <w:tc>
          <w:tcPr>
            <w:tcW w:w="2232" w:type="dxa"/>
            <w:gridSpan w:val="2"/>
            <w:noWrap w:val="0"/>
            <w:vAlign w:val="center"/>
          </w:tcPr>
          <w:p w14:paraId="0A85A390">
            <w:pPr>
              <w:jc w:val="center"/>
              <w:rPr>
                <w:szCs w:val="21"/>
              </w:rPr>
            </w:pPr>
            <w:r>
              <w:rPr>
                <w:szCs w:val="21"/>
              </w:rPr>
              <w:t>23.48</w:t>
            </w:r>
          </w:p>
        </w:tc>
        <w:tc>
          <w:tcPr>
            <w:tcW w:w="2232" w:type="dxa"/>
            <w:gridSpan w:val="2"/>
            <w:noWrap w:val="0"/>
            <w:vAlign w:val="center"/>
          </w:tcPr>
          <w:p w14:paraId="1542C99A">
            <w:pPr>
              <w:jc w:val="center"/>
              <w:rPr>
                <w:szCs w:val="21"/>
              </w:rPr>
            </w:pPr>
            <w:r>
              <w:rPr>
                <w:szCs w:val="21"/>
              </w:rPr>
              <w:t>15.38</w:t>
            </w:r>
          </w:p>
        </w:tc>
        <w:tc>
          <w:tcPr>
            <w:tcW w:w="700" w:type="dxa"/>
            <w:noWrap w:val="0"/>
            <w:vAlign w:val="center"/>
          </w:tcPr>
          <w:p w14:paraId="0BA845C3">
            <w:pPr>
              <w:jc w:val="center"/>
              <w:rPr>
                <w:rFonts w:eastAsia="楷体_GB2312"/>
              </w:rPr>
            </w:pPr>
            <w:r>
              <w:rPr>
                <w:rFonts w:eastAsia="楷体_GB2312"/>
              </w:rPr>
              <w:t>100</w:t>
            </w:r>
          </w:p>
        </w:tc>
      </w:tr>
      <w:tr w14:paraId="3E0A2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8" w:type="dxa"/>
            <w:vMerge w:val="continue"/>
            <w:noWrap w:val="0"/>
            <w:vAlign w:val="center"/>
          </w:tcPr>
          <w:p w14:paraId="7EEA6CCE">
            <w:pPr>
              <w:jc w:val="center"/>
              <w:rPr>
                <w:rFonts w:eastAsia="楷体_GB2312"/>
                <w:spacing w:val="-20"/>
              </w:rPr>
            </w:pPr>
          </w:p>
        </w:tc>
        <w:tc>
          <w:tcPr>
            <w:tcW w:w="1150" w:type="dxa"/>
            <w:noWrap w:val="0"/>
            <w:vAlign w:val="center"/>
          </w:tcPr>
          <w:p w14:paraId="2EBA9A0C">
            <w:pPr>
              <w:jc w:val="center"/>
              <w:rPr>
                <w:szCs w:val="21"/>
              </w:rPr>
            </w:pPr>
            <w:r>
              <w:rPr>
                <w:szCs w:val="21"/>
              </w:rPr>
              <w:t>37.29</w:t>
            </w:r>
          </w:p>
        </w:tc>
        <w:tc>
          <w:tcPr>
            <w:tcW w:w="879" w:type="dxa"/>
            <w:noWrap w:val="0"/>
            <w:vAlign w:val="center"/>
          </w:tcPr>
          <w:p w14:paraId="00DDEA0D">
            <w:pPr>
              <w:jc w:val="center"/>
              <w:rPr>
                <w:szCs w:val="21"/>
              </w:rPr>
            </w:pPr>
            <w:r>
              <w:rPr>
                <w:szCs w:val="21"/>
              </w:rPr>
              <w:t>11.33</w:t>
            </w:r>
          </w:p>
        </w:tc>
        <w:tc>
          <w:tcPr>
            <w:tcW w:w="1081" w:type="dxa"/>
            <w:noWrap w:val="0"/>
            <w:vAlign w:val="center"/>
          </w:tcPr>
          <w:p w14:paraId="7F98C7EB">
            <w:pPr>
              <w:jc w:val="center"/>
              <w:rPr>
                <w:szCs w:val="21"/>
              </w:rPr>
            </w:pPr>
            <w:r>
              <w:rPr>
                <w:szCs w:val="21"/>
              </w:rPr>
              <w:t>12.52</w:t>
            </w:r>
          </w:p>
        </w:tc>
        <w:tc>
          <w:tcPr>
            <w:tcW w:w="1116" w:type="dxa"/>
            <w:noWrap w:val="0"/>
            <w:vAlign w:val="center"/>
          </w:tcPr>
          <w:p w14:paraId="0D190BE6">
            <w:pPr>
              <w:jc w:val="center"/>
              <w:rPr>
                <w:szCs w:val="21"/>
              </w:rPr>
            </w:pPr>
            <w:r>
              <w:rPr>
                <w:szCs w:val="21"/>
              </w:rPr>
              <w:t>11.91</w:t>
            </w:r>
          </w:p>
        </w:tc>
        <w:tc>
          <w:tcPr>
            <w:tcW w:w="1116" w:type="dxa"/>
            <w:noWrap w:val="0"/>
            <w:vAlign w:val="center"/>
          </w:tcPr>
          <w:p w14:paraId="66BAC350">
            <w:pPr>
              <w:jc w:val="center"/>
              <w:rPr>
                <w:szCs w:val="21"/>
              </w:rPr>
            </w:pPr>
            <w:r>
              <w:rPr>
                <w:szCs w:val="21"/>
              </w:rPr>
              <w:t>11.57</w:t>
            </w:r>
          </w:p>
        </w:tc>
        <w:tc>
          <w:tcPr>
            <w:tcW w:w="1116" w:type="dxa"/>
            <w:noWrap w:val="0"/>
            <w:vAlign w:val="center"/>
          </w:tcPr>
          <w:p w14:paraId="6F146B74">
            <w:pPr>
              <w:jc w:val="center"/>
              <w:rPr>
                <w:szCs w:val="21"/>
              </w:rPr>
            </w:pPr>
            <w:r>
              <w:rPr>
                <w:szCs w:val="21"/>
              </w:rPr>
              <w:t>7.81</w:t>
            </w:r>
          </w:p>
        </w:tc>
        <w:tc>
          <w:tcPr>
            <w:tcW w:w="1116" w:type="dxa"/>
            <w:noWrap w:val="0"/>
            <w:vAlign w:val="center"/>
          </w:tcPr>
          <w:p w14:paraId="32D521CE">
            <w:pPr>
              <w:jc w:val="center"/>
              <w:rPr>
                <w:szCs w:val="21"/>
              </w:rPr>
            </w:pPr>
            <w:r>
              <w:rPr>
                <w:szCs w:val="21"/>
              </w:rPr>
              <w:t>7.57</w:t>
            </w:r>
          </w:p>
        </w:tc>
        <w:tc>
          <w:tcPr>
            <w:tcW w:w="700" w:type="dxa"/>
            <w:noWrap w:val="0"/>
            <w:vAlign w:val="center"/>
          </w:tcPr>
          <w:p w14:paraId="162AB5B3">
            <w:pPr>
              <w:jc w:val="center"/>
              <w:rPr>
                <w:rFonts w:eastAsia="楷体_GB2312"/>
              </w:rPr>
            </w:pPr>
            <w:r>
              <w:rPr>
                <w:rFonts w:eastAsia="楷体_GB2312"/>
              </w:rPr>
              <w:fldChar w:fldCharType="begin"/>
            </w:r>
            <w:r>
              <w:rPr>
                <w:rFonts w:eastAsia="楷体_GB2312"/>
              </w:rPr>
              <w:instrText xml:space="preserve"> =SUM(ABOVE) </w:instrText>
            </w:r>
            <w:r>
              <w:rPr>
                <w:rFonts w:eastAsia="楷体_GB2312"/>
              </w:rPr>
              <w:fldChar w:fldCharType="separate"/>
            </w:r>
            <w:r>
              <w:rPr>
                <w:rFonts w:eastAsia="楷体_GB2312"/>
              </w:rPr>
              <w:t>100</w:t>
            </w:r>
            <w:r>
              <w:rPr>
                <w:rFonts w:eastAsia="楷体_GB2312"/>
              </w:rPr>
              <w:fldChar w:fldCharType="end"/>
            </w:r>
          </w:p>
        </w:tc>
      </w:tr>
      <w:tr w14:paraId="2BB04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8" w:type="dxa"/>
            <w:noWrap w:val="0"/>
            <w:vAlign w:val="center"/>
          </w:tcPr>
          <w:p w14:paraId="64ADC9A8">
            <w:pPr>
              <w:jc w:val="center"/>
              <w:rPr>
                <w:rFonts w:eastAsia="楷体_GB2312"/>
                <w:spacing w:val="-20"/>
              </w:rPr>
            </w:pPr>
            <w:r>
              <w:rPr>
                <w:rFonts w:eastAsia="楷体_GB2312"/>
                <w:spacing w:val="-20"/>
              </w:rPr>
              <w:t>标准差</w:t>
            </w:r>
          </w:p>
        </w:tc>
        <w:tc>
          <w:tcPr>
            <w:tcW w:w="1150" w:type="dxa"/>
            <w:noWrap w:val="0"/>
            <w:vAlign w:val="center"/>
          </w:tcPr>
          <w:p w14:paraId="4B5DA96F">
            <w:pPr>
              <w:jc w:val="center"/>
              <w:rPr>
                <w:szCs w:val="21"/>
              </w:rPr>
            </w:pPr>
            <w:r>
              <w:rPr>
                <w:szCs w:val="21"/>
              </w:rPr>
              <w:t>2.47</w:t>
            </w:r>
          </w:p>
        </w:tc>
        <w:tc>
          <w:tcPr>
            <w:tcW w:w="879" w:type="dxa"/>
            <w:noWrap w:val="0"/>
            <w:vAlign w:val="center"/>
          </w:tcPr>
          <w:p w14:paraId="3B8BF83E">
            <w:pPr>
              <w:jc w:val="center"/>
              <w:rPr>
                <w:szCs w:val="21"/>
              </w:rPr>
            </w:pPr>
            <w:r>
              <w:rPr>
                <w:szCs w:val="21"/>
              </w:rPr>
              <w:t>3.38</w:t>
            </w:r>
          </w:p>
        </w:tc>
        <w:tc>
          <w:tcPr>
            <w:tcW w:w="1081" w:type="dxa"/>
            <w:noWrap w:val="0"/>
            <w:vAlign w:val="center"/>
          </w:tcPr>
          <w:p w14:paraId="0D1223EB">
            <w:pPr>
              <w:jc w:val="center"/>
              <w:rPr>
                <w:szCs w:val="21"/>
              </w:rPr>
            </w:pPr>
            <w:r>
              <w:rPr>
                <w:szCs w:val="21"/>
              </w:rPr>
              <w:t>1.78</w:t>
            </w:r>
          </w:p>
        </w:tc>
        <w:tc>
          <w:tcPr>
            <w:tcW w:w="1116" w:type="dxa"/>
            <w:noWrap w:val="0"/>
            <w:vAlign w:val="center"/>
          </w:tcPr>
          <w:p w14:paraId="0FB1B6DE">
            <w:pPr>
              <w:jc w:val="center"/>
              <w:rPr>
                <w:szCs w:val="21"/>
              </w:rPr>
            </w:pPr>
            <w:r>
              <w:rPr>
                <w:szCs w:val="21"/>
              </w:rPr>
              <w:t>2.81</w:t>
            </w:r>
          </w:p>
        </w:tc>
        <w:tc>
          <w:tcPr>
            <w:tcW w:w="1116" w:type="dxa"/>
            <w:noWrap w:val="0"/>
            <w:vAlign w:val="center"/>
          </w:tcPr>
          <w:p w14:paraId="6AB57CE5">
            <w:pPr>
              <w:jc w:val="center"/>
              <w:rPr>
                <w:szCs w:val="21"/>
              </w:rPr>
            </w:pPr>
            <w:r>
              <w:rPr>
                <w:szCs w:val="21"/>
              </w:rPr>
              <w:t>3.33</w:t>
            </w:r>
          </w:p>
        </w:tc>
        <w:tc>
          <w:tcPr>
            <w:tcW w:w="1116" w:type="dxa"/>
            <w:noWrap w:val="0"/>
            <w:vAlign w:val="center"/>
          </w:tcPr>
          <w:p w14:paraId="43D6DC9D">
            <w:pPr>
              <w:jc w:val="center"/>
              <w:rPr>
                <w:szCs w:val="21"/>
              </w:rPr>
            </w:pPr>
            <w:r>
              <w:rPr>
                <w:szCs w:val="21"/>
              </w:rPr>
              <w:t>2.20</w:t>
            </w:r>
          </w:p>
        </w:tc>
        <w:tc>
          <w:tcPr>
            <w:tcW w:w="1116" w:type="dxa"/>
            <w:noWrap w:val="0"/>
            <w:vAlign w:val="center"/>
          </w:tcPr>
          <w:p w14:paraId="167165D1">
            <w:pPr>
              <w:jc w:val="center"/>
              <w:rPr>
                <w:szCs w:val="21"/>
              </w:rPr>
            </w:pPr>
            <w:r>
              <w:rPr>
                <w:szCs w:val="21"/>
              </w:rPr>
              <w:t>2.11</w:t>
            </w:r>
          </w:p>
        </w:tc>
        <w:tc>
          <w:tcPr>
            <w:tcW w:w="700" w:type="dxa"/>
            <w:noWrap w:val="0"/>
            <w:vAlign w:val="center"/>
          </w:tcPr>
          <w:p w14:paraId="376B8D90">
            <w:pPr>
              <w:jc w:val="center"/>
              <w:rPr>
                <w:rFonts w:eastAsia="楷体_GB2312"/>
              </w:rPr>
            </w:pPr>
            <w:r>
              <w:rPr>
                <w:rFonts w:eastAsia="楷体_GB2312"/>
              </w:rPr>
              <w:t>/</w:t>
            </w:r>
          </w:p>
        </w:tc>
      </w:tr>
    </w:tbl>
    <w:p w14:paraId="76CF3C8A">
      <w:pPr>
        <w:pStyle w:val="20"/>
        <w:spacing w:before="120" w:beforeLines="50"/>
        <w:jc w:val="center"/>
        <w:rPr>
          <w:rFonts w:ascii="Times New Roman" w:hAnsi="Times New Roman" w:eastAsia="黑体" w:cs="Times New Roman"/>
          <w:sz w:val="28"/>
        </w:rPr>
      </w:pPr>
      <w:r>
        <w:rPr>
          <w:rFonts w:ascii="Times New Roman" w:hAnsi="Times New Roman" w:eastAsia="黑体" w:cs="Times New Roman"/>
          <w:sz w:val="28"/>
        </w:rPr>
        <w:t>表1-2-</w:t>
      </w:r>
      <w:r>
        <w:rPr>
          <w:rFonts w:hint="eastAsia" w:ascii="Times New Roman" w:hAnsi="Times New Roman" w:eastAsia="黑体" w:cs="Times New Roman"/>
          <w:sz w:val="28"/>
        </w:rPr>
        <w:t>10</w:t>
      </w:r>
      <w:r>
        <w:rPr>
          <w:rFonts w:ascii="Times New Roman" w:hAnsi="Times New Roman" w:eastAsia="黑体" w:cs="Times New Roman"/>
          <w:sz w:val="28"/>
        </w:rPr>
        <w:t xml:space="preserve"> 埇桥区朱仙庄镇等19个乡镇镇区综合定级基础设施完善度因子权重表（第一轮打分结果）</w:t>
      </w:r>
    </w:p>
    <w:tbl>
      <w:tblPr>
        <w:tblStyle w:val="38"/>
        <w:tblW w:w="9072"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1815"/>
        <w:gridCol w:w="1814"/>
        <w:gridCol w:w="1814"/>
        <w:gridCol w:w="1814"/>
      </w:tblGrid>
      <w:tr w14:paraId="319AB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815" w:type="dxa"/>
            <w:noWrap w:val="0"/>
            <w:vAlign w:val="center"/>
          </w:tcPr>
          <w:p w14:paraId="063D4B72">
            <w:pPr>
              <w:jc w:val="center"/>
              <w:rPr>
                <w:rFonts w:eastAsia="楷体_GB2312"/>
              </w:rPr>
            </w:pPr>
            <w:r>
              <w:rPr>
                <w:rFonts w:eastAsia="楷体_GB2312"/>
              </w:rPr>
              <w:t>因子名称</w:t>
            </w:r>
          </w:p>
        </w:tc>
        <w:tc>
          <w:tcPr>
            <w:tcW w:w="1815" w:type="dxa"/>
            <w:noWrap w:val="0"/>
            <w:vAlign w:val="top"/>
          </w:tcPr>
          <w:p w14:paraId="1671580B">
            <w:pPr>
              <w:jc w:val="center"/>
              <w:rPr>
                <w:rFonts w:eastAsia="楷体_GB2312"/>
              </w:rPr>
            </w:pPr>
            <w:r>
              <w:rPr>
                <w:rFonts w:eastAsia="楷体_GB2312"/>
              </w:rPr>
              <w:t>供电</w:t>
            </w:r>
          </w:p>
        </w:tc>
        <w:tc>
          <w:tcPr>
            <w:tcW w:w="1814" w:type="dxa"/>
            <w:noWrap w:val="0"/>
            <w:vAlign w:val="center"/>
          </w:tcPr>
          <w:p w14:paraId="390ED415">
            <w:pPr>
              <w:jc w:val="center"/>
              <w:rPr>
                <w:rFonts w:eastAsia="楷体_GB2312"/>
              </w:rPr>
            </w:pPr>
            <w:r>
              <w:rPr>
                <w:rFonts w:eastAsia="楷体_GB2312"/>
              </w:rPr>
              <w:t>供水</w:t>
            </w:r>
          </w:p>
        </w:tc>
        <w:tc>
          <w:tcPr>
            <w:tcW w:w="1814" w:type="dxa"/>
            <w:noWrap w:val="0"/>
            <w:vAlign w:val="center"/>
          </w:tcPr>
          <w:p w14:paraId="215C8681">
            <w:pPr>
              <w:jc w:val="center"/>
              <w:rPr>
                <w:rFonts w:eastAsia="楷体_GB2312"/>
              </w:rPr>
            </w:pPr>
            <w:r>
              <w:rPr>
                <w:rFonts w:eastAsia="楷体_GB2312"/>
              </w:rPr>
              <w:t>排水</w:t>
            </w:r>
          </w:p>
        </w:tc>
        <w:tc>
          <w:tcPr>
            <w:tcW w:w="1814" w:type="dxa"/>
            <w:noWrap w:val="0"/>
            <w:vAlign w:val="center"/>
          </w:tcPr>
          <w:p w14:paraId="3D28B185">
            <w:pPr>
              <w:jc w:val="center"/>
              <w:rPr>
                <w:rFonts w:eastAsia="楷体_GB2312"/>
              </w:rPr>
            </w:pPr>
            <w:r>
              <w:rPr>
                <w:rFonts w:eastAsia="楷体_GB2312"/>
              </w:rPr>
              <w:t>合计</w:t>
            </w:r>
          </w:p>
        </w:tc>
      </w:tr>
      <w:tr w14:paraId="430B7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815" w:type="dxa"/>
            <w:noWrap w:val="0"/>
            <w:vAlign w:val="center"/>
          </w:tcPr>
          <w:p w14:paraId="4CAEBEAF">
            <w:pPr>
              <w:jc w:val="center"/>
              <w:rPr>
                <w:rFonts w:eastAsia="楷体_GB2312"/>
              </w:rPr>
            </w:pPr>
            <w:r>
              <w:rPr>
                <w:rFonts w:eastAsia="楷体_GB2312"/>
              </w:rPr>
              <w:t>平均值</w:t>
            </w:r>
          </w:p>
        </w:tc>
        <w:tc>
          <w:tcPr>
            <w:tcW w:w="1815" w:type="dxa"/>
            <w:noWrap w:val="0"/>
            <w:vAlign w:val="center"/>
          </w:tcPr>
          <w:p w14:paraId="1C128562">
            <w:pPr>
              <w:jc w:val="center"/>
              <w:rPr>
                <w:szCs w:val="21"/>
              </w:rPr>
            </w:pPr>
            <w:r>
              <w:rPr>
                <w:szCs w:val="21"/>
              </w:rPr>
              <w:t>36.86</w:t>
            </w:r>
          </w:p>
        </w:tc>
        <w:tc>
          <w:tcPr>
            <w:tcW w:w="1814" w:type="dxa"/>
            <w:noWrap w:val="0"/>
            <w:vAlign w:val="center"/>
          </w:tcPr>
          <w:p w14:paraId="5C563FDA">
            <w:pPr>
              <w:jc w:val="center"/>
              <w:rPr>
                <w:szCs w:val="21"/>
              </w:rPr>
            </w:pPr>
            <w:r>
              <w:rPr>
                <w:szCs w:val="21"/>
              </w:rPr>
              <w:t>36.76</w:t>
            </w:r>
          </w:p>
        </w:tc>
        <w:tc>
          <w:tcPr>
            <w:tcW w:w="1814" w:type="dxa"/>
            <w:noWrap w:val="0"/>
            <w:vAlign w:val="center"/>
          </w:tcPr>
          <w:p w14:paraId="727D1700">
            <w:pPr>
              <w:jc w:val="center"/>
              <w:rPr>
                <w:szCs w:val="21"/>
              </w:rPr>
            </w:pPr>
            <w:r>
              <w:rPr>
                <w:szCs w:val="21"/>
              </w:rPr>
              <w:t>26.38</w:t>
            </w:r>
          </w:p>
        </w:tc>
        <w:tc>
          <w:tcPr>
            <w:tcW w:w="1814" w:type="dxa"/>
            <w:noWrap w:val="0"/>
            <w:vAlign w:val="center"/>
          </w:tcPr>
          <w:p w14:paraId="258A8EB9">
            <w:pPr>
              <w:jc w:val="center"/>
              <w:rPr>
                <w:rFonts w:eastAsia="楷体_GB2312"/>
              </w:rPr>
            </w:pPr>
            <w:r>
              <w:rPr>
                <w:rFonts w:eastAsia="楷体_GB2312"/>
              </w:rPr>
              <w:t>100</w:t>
            </w:r>
          </w:p>
        </w:tc>
      </w:tr>
      <w:tr w14:paraId="24059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815" w:type="dxa"/>
            <w:noWrap w:val="0"/>
            <w:vAlign w:val="center"/>
          </w:tcPr>
          <w:p w14:paraId="73FDC1BB">
            <w:pPr>
              <w:jc w:val="center"/>
              <w:rPr>
                <w:rFonts w:eastAsia="楷体_GB2312"/>
              </w:rPr>
            </w:pPr>
            <w:r>
              <w:rPr>
                <w:rFonts w:eastAsia="楷体_GB2312"/>
              </w:rPr>
              <w:t>标准差</w:t>
            </w:r>
          </w:p>
        </w:tc>
        <w:tc>
          <w:tcPr>
            <w:tcW w:w="1815" w:type="dxa"/>
            <w:noWrap w:val="0"/>
            <w:vAlign w:val="center"/>
          </w:tcPr>
          <w:p w14:paraId="3AD5A3CE">
            <w:pPr>
              <w:jc w:val="center"/>
              <w:rPr>
                <w:szCs w:val="21"/>
              </w:rPr>
            </w:pPr>
            <w:r>
              <w:rPr>
                <w:szCs w:val="21"/>
              </w:rPr>
              <w:t>2.41</w:t>
            </w:r>
          </w:p>
        </w:tc>
        <w:tc>
          <w:tcPr>
            <w:tcW w:w="1814" w:type="dxa"/>
            <w:noWrap w:val="0"/>
            <w:vAlign w:val="center"/>
          </w:tcPr>
          <w:p w14:paraId="1407C4FB">
            <w:pPr>
              <w:jc w:val="center"/>
              <w:rPr>
                <w:szCs w:val="21"/>
              </w:rPr>
            </w:pPr>
            <w:r>
              <w:rPr>
                <w:szCs w:val="21"/>
              </w:rPr>
              <w:t>2.92</w:t>
            </w:r>
          </w:p>
        </w:tc>
        <w:tc>
          <w:tcPr>
            <w:tcW w:w="1814" w:type="dxa"/>
            <w:noWrap w:val="0"/>
            <w:vAlign w:val="center"/>
          </w:tcPr>
          <w:p w14:paraId="124CCB7E">
            <w:pPr>
              <w:jc w:val="center"/>
              <w:rPr>
                <w:szCs w:val="21"/>
              </w:rPr>
            </w:pPr>
            <w:r>
              <w:rPr>
                <w:szCs w:val="21"/>
              </w:rPr>
              <w:t>2.44</w:t>
            </w:r>
          </w:p>
        </w:tc>
        <w:tc>
          <w:tcPr>
            <w:tcW w:w="1814" w:type="dxa"/>
            <w:noWrap w:val="0"/>
            <w:vAlign w:val="center"/>
          </w:tcPr>
          <w:p w14:paraId="1EBE7D3C">
            <w:pPr>
              <w:jc w:val="center"/>
              <w:rPr>
                <w:rFonts w:eastAsia="楷体_GB2312"/>
              </w:rPr>
            </w:pPr>
            <w:r>
              <w:rPr>
                <w:rFonts w:eastAsia="楷体_GB2312"/>
              </w:rPr>
              <w:t>——</w:t>
            </w:r>
          </w:p>
        </w:tc>
      </w:tr>
    </w:tbl>
    <w:p w14:paraId="4B24E6B1">
      <w:pPr>
        <w:pStyle w:val="20"/>
        <w:spacing w:before="120" w:beforeLines="50"/>
        <w:jc w:val="center"/>
        <w:rPr>
          <w:rFonts w:ascii="Times New Roman" w:hAnsi="Times New Roman" w:eastAsia="黑体" w:cs="Times New Roman"/>
          <w:sz w:val="28"/>
        </w:rPr>
      </w:pPr>
      <w:r>
        <w:rPr>
          <w:rFonts w:ascii="Times New Roman" w:hAnsi="Times New Roman" w:eastAsia="黑体" w:cs="Times New Roman"/>
          <w:sz w:val="28"/>
        </w:rPr>
        <w:t>表1-2-1</w:t>
      </w:r>
      <w:r>
        <w:rPr>
          <w:rFonts w:hint="eastAsia" w:ascii="Times New Roman" w:hAnsi="Times New Roman" w:eastAsia="黑体" w:cs="Times New Roman"/>
          <w:sz w:val="28"/>
        </w:rPr>
        <w:t>1</w:t>
      </w:r>
      <w:r>
        <w:rPr>
          <w:rFonts w:ascii="Times New Roman" w:hAnsi="Times New Roman" w:eastAsia="黑体" w:cs="Times New Roman"/>
          <w:sz w:val="28"/>
        </w:rPr>
        <w:t xml:space="preserve">  埇桥区朱仙庄镇等19个乡镇镇区综合定级公用设施完备度因子权重表（第一轮打分结果）</w:t>
      </w:r>
    </w:p>
    <w:tbl>
      <w:tblPr>
        <w:tblStyle w:val="38"/>
        <w:tblW w:w="9072"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5092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4" w:type="dxa"/>
            <w:noWrap w:val="0"/>
            <w:vAlign w:val="center"/>
          </w:tcPr>
          <w:p w14:paraId="11043FC2">
            <w:pPr>
              <w:jc w:val="center"/>
              <w:rPr>
                <w:rFonts w:eastAsia="楷体_GB2312"/>
              </w:rPr>
            </w:pPr>
            <w:r>
              <w:rPr>
                <w:rFonts w:eastAsia="楷体_GB2312"/>
              </w:rPr>
              <w:t>因子名称</w:t>
            </w:r>
          </w:p>
        </w:tc>
        <w:tc>
          <w:tcPr>
            <w:tcW w:w="1134" w:type="dxa"/>
            <w:noWrap w:val="0"/>
            <w:vAlign w:val="center"/>
          </w:tcPr>
          <w:p w14:paraId="6E49A9AB">
            <w:pPr>
              <w:jc w:val="center"/>
              <w:rPr>
                <w:rFonts w:eastAsia="楷体_GB2312"/>
              </w:rPr>
            </w:pPr>
            <w:r>
              <w:rPr>
                <w:rFonts w:eastAsia="楷体_GB2312"/>
              </w:rPr>
              <w:t>中学</w:t>
            </w:r>
          </w:p>
        </w:tc>
        <w:tc>
          <w:tcPr>
            <w:tcW w:w="1134" w:type="dxa"/>
            <w:noWrap w:val="0"/>
            <w:vAlign w:val="center"/>
          </w:tcPr>
          <w:p w14:paraId="26219FFC">
            <w:pPr>
              <w:jc w:val="center"/>
              <w:rPr>
                <w:rFonts w:eastAsia="楷体_GB2312"/>
              </w:rPr>
            </w:pPr>
            <w:r>
              <w:rPr>
                <w:rFonts w:eastAsia="楷体_GB2312"/>
              </w:rPr>
              <w:t>小学</w:t>
            </w:r>
          </w:p>
        </w:tc>
        <w:tc>
          <w:tcPr>
            <w:tcW w:w="1134" w:type="dxa"/>
            <w:noWrap w:val="0"/>
            <w:vAlign w:val="center"/>
          </w:tcPr>
          <w:p w14:paraId="165589A4">
            <w:pPr>
              <w:jc w:val="center"/>
              <w:rPr>
                <w:rFonts w:eastAsia="楷体_GB2312"/>
              </w:rPr>
            </w:pPr>
            <w:r>
              <w:rPr>
                <w:rFonts w:eastAsia="楷体_GB2312"/>
              </w:rPr>
              <w:t>幼儿园</w:t>
            </w:r>
          </w:p>
        </w:tc>
        <w:tc>
          <w:tcPr>
            <w:tcW w:w="1134" w:type="dxa"/>
            <w:noWrap w:val="0"/>
            <w:vAlign w:val="center"/>
          </w:tcPr>
          <w:p w14:paraId="3C39D66D">
            <w:pPr>
              <w:jc w:val="center"/>
              <w:rPr>
                <w:rFonts w:eastAsia="楷体_GB2312"/>
              </w:rPr>
            </w:pPr>
            <w:r>
              <w:rPr>
                <w:rFonts w:eastAsia="楷体_GB2312"/>
              </w:rPr>
              <w:t>医院</w:t>
            </w:r>
          </w:p>
        </w:tc>
        <w:tc>
          <w:tcPr>
            <w:tcW w:w="1134" w:type="dxa"/>
            <w:noWrap w:val="0"/>
            <w:vAlign w:val="center"/>
          </w:tcPr>
          <w:p w14:paraId="12381910">
            <w:pPr>
              <w:jc w:val="center"/>
              <w:rPr>
                <w:rFonts w:eastAsia="楷体_GB2312"/>
              </w:rPr>
            </w:pPr>
            <w:r>
              <w:rPr>
                <w:rFonts w:eastAsia="楷体_GB2312"/>
              </w:rPr>
              <w:t>农贸市场</w:t>
            </w:r>
          </w:p>
        </w:tc>
        <w:tc>
          <w:tcPr>
            <w:tcW w:w="1134" w:type="dxa"/>
            <w:noWrap w:val="0"/>
            <w:vAlign w:val="center"/>
          </w:tcPr>
          <w:p w14:paraId="2C50102F">
            <w:pPr>
              <w:jc w:val="center"/>
              <w:rPr>
                <w:rFonts w:eastAsia="楷体_GB2312"/>
              </w:rPr>
            </w:pPr>
            <w:r>
              <w:rPr>
                <w:rFonts w:eastAsia="楷体_GB2312"/>
              </w:rPr>
              <w:t>银行</w:t>
            </w:r>
          </w:p>
        </w:tc>
        <w:tc>
          <w:tcPr>
            <w:tcW w:w="1134" w:type="dxa"/>
            <w:noWrap w:val="0"/>
            <w:vAlign w:val="center"/>
          </w:tcPr>
          <w:p w14:paraId="00FC5139">
            <w:pPr>
              <w:jc w:val="center"/>
              <w:rPr>
                <w:rFonts w:eastAsia="楷体_GB2312"/>
              </w:rPr>
            </w:pPr>
            <w:r>
              <w:rPr>
                <w:rFonts w:eastAsia="楷体_GB2312"/>
              </w:rPr>
              <w:t>合 计</w:t>
            </w:r>
          </w:p>
        </w:tc>
      </w:tr>
      <w:tr w14:paraId="04DC0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4" w:type="dxa"/>
            <w:noWrap w:val="0"/>
            <w:vAlign w:val="center"/>
          </w:tcPr>
          <w:p w14:paraId="44FFF8D2">
            <w:pPr>
              <w:jc w:val="center"/>
              <w:rPr>
                <w:rFonts w:eastAsia="楷体_GB2312"/>
              </w:rPr>
            </w:pPr>
            <w:r>
              <w:rPr>
                <w:rFonts w:eastAsia="楷体_GB2312"/>
              </w:rPr>
              <w:t>平均值</w:t>
            </w:r>
          </w:p>
        </w:tc>
        <w:tc>
          <w:tcPr>
            <w:tcW w:w="1134" w:type="dxa"/>
            <w:noWrap w:val="0"/>
            <w:vAlign w:val="center"/>
          </w:tcPr>
          <w:p w14:paraId="73F55B2B">
            <w:pPr>
              <w:jc w:val="center"/>
              <w:rPr>
                <w:szCs w:val="21"/>
              </w:rPr>
            </w:pPr>
            <w:r>
              <w:rPr>
                <w:szCs w:val="21"/>
              </w:rPr>
              <w:t>21.48</w:t>
            </w:r>
          </w:p>
        </w:tc>
        <w:tc>
          <w:tcPr>
            <w:tcW w:w="1134" w:type="dxa"/>
            <w:noWrap w:val="0"/>
            <w:vAlign w:val="center"/>
          </w:tcPr>
          <w:p w14:paraId="30FC1EBD">
            <w:pPr>
              <w:jc w:val="center"/>
              <w:rPr>
                <w:szCs w:val="21"/>
              </w:rPr>
            </w:pPr>
            <w:r>
              <w:rPr>
                <w:szCs w:val="21"/>
              </w:rPr>
              <w:t>19.62</w:t>
            </w:r>
          </w:p>
        </w:tc>
        <w:tc>
          <w:tcPr>
            <w:tcW w:w="1134" w:type="dxa"/>
            <w:noWrap w:val="0"/>
            <w:vAlign w:val="center"/>
          </w:tcPr>
          <w:p w14:paraId="1EF2020A">
            <w:pPr>
              <w:jc w:val="center"/>
              <w:rPr>
                <w:szCs w:val="21"/>
              </w:rPr>
            </w:pPr>
            <w:r>
              <w:rPr>
                <w:szCs w:val="21"/>
              </w:rPr>
              <w:t>16.54</w:t>
            </w:r>
          </w:p>
        </w:tc>
        <w:tc>
          <w:tcPr>
            <w:tcW w:w="1134" w:type="dxa"/>
            <w:noWrap w:val="0"/>
            <w:vAlign w:val="center"/>
          </w:tcPr>
          <w:p w14:paraId="4FC71C09">
            <w:pPr>
              <w:jc w:val="center"/>
              <w:rPr>
                <w:szCs w:val="21"/>
              </w:rPr>
            </w:pPr>
            <w:r>
              <w:rPr>
                <w:szCs w:val="21"/>
              </w:rPr>
              <w:t>17.18</w:t>
            </w:r>
          </w:p>
        </w:tc>
        <w:tc>
          <w:tcPr>
            <w:tcW w:w="1134" w:type="dxa"/>
            <w:noWrap w:val="0"/>
            <w:vAlign w:val="center"/>
          </w:tcPr>
          <w:p w14:paraId="19B8740C">
            <w:pPr>
              <w:jc w:val="center"/>
              <w:rPr>
                <w:szCs w:val="21"/>
              </w:rPr>
            </w:pPr>
            <w:r>
              <w:rPr>
                <w:szCs w:val="21"/>
              </w:rPr>
              <w:t>13.85</w:t>
            </w:r>
          </w:p>
        </w:tc>
        <w:tc>
          <w:tcPr>
            <w:tcW w:w="1134" w:type="dxa"/>
            <w:noWrap w:val="0"/>
            <w:vAlign w:val="center"/>
          </w:tcPr>
          <w:p w14:paraId="42F51928">
            <w:pPr>
              <w:jc w:val="center"/>
              <w:rPr>
                <w:szCs w:val="21"/>
              </w:rPr>
            </w:pPr>
            <w:r>
              <w:rPr>
                <w:szCs w:val="21"/>
              </w:rPr>
              <w:t>11.33</w:t>
            </w:r>
          </w:p>
        </w:tc>
        <w:tc>
          <w:tcPr>
            <w:tcW w:w="1134" w:type="dxa"/>
            <w:noWrap w:val="0"/>
            <w:vAlign w:val="center"/>
          </w:tcPr>
          <w:p w14:paraId="47ECF450">
            <w:pPr>
              <w:jc w:val="center"/>
              <w:rPr>
                <w:rFonts w:eastAsia="楷体_GB2312"/>
              </w:rPr>
            </w:pPr>
            <w:r>
              <w:rPr>
                <w:rFonts w:eastAsia="楷体_GB2312"/>
              </w:rPr>
              <w:t>100</w:t>
            </w:r>
          </w:p>
        </w:tc>
      </w:tr>
      <w:tr w14:paraId="3E11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4" w:type="dxa"/>
            <w:noWrap w:val="0"/>
            <w:vAlign w:val="center"/>
          </w:tcPr>
          <w:p w14:paraId="51E0CEC4">
            <w:pPr>
              <w:jc w:val="center"/>
              <w:rPr>
                <w:rFonts w:eastAsia="楷体_GB2312"/>
              </w:rPr>
            </w:pPr>
            <w:r>
              <w:rPr>
                <w:rFonts w:eastAsia="楷体_GB2312"/>
              </w:rPr>
              <w:t>标准差</w:t>
            </w:r>
          </w:p>
        </w:tc>
        <w:tc>
          <w:tcPr>
            <w:tcW w:w="1134" w:type="dxa"/>
            <w:noWrap w:val="0"/>
            <w:vAlign w:val="center"/>
          </w:tcPr>
          <w:p w14:paraId="356A64A9">
            <w:pPr>
              <w:jc w:val="center"/>
              <w:rPr>
                <w:szCs w:val="21"/>
              </w:rPr>
            </w:pPr>
            <w:r>
              <w:rPr>
                <w:szCs w:val="21"/>
              </w:rPr>
              <w:t>3.12</w:t>
            </w:r>
          </w:p>
        </w:tc>
        <w:tc>
          <w:tcPr>
            <w:tcW w:w="1134" w:type="dxa"/>
            <w:noWrap w:val="0"/>
            <w:vAlign w:val="center"/>
          </w:tcPr>
          <w:p w14:paraId="37E4E9CB">
            <w:pPr>
              <w:jc w:val="center"/>
              <w:rPr>
                <w:szCs w:val="21"/>
              </w:rPr>
            </w:pPr>
            <w:r>
              <w:rPr>
                <w:szCs w:val="21"/>
              </w:rPr>
              <w:t>2.94</w:t>
            </w:r>
          </w:p>
        </w:tc>
        <w:tc>
          <w:tcPr>
            <w:tcW w:w="1134" w:type="dxa"/>
            <w:noWrap w:val="0"/>
            <w:vAlign w:val="center"/>
          </w:tcPr>
          <w:p w14:paraId="10AAC1EE">
            <w:pPr>
              <w:jc w:val="center"/>
              <w:rPr>
                <w:szCs w:val="21"/>
              </w:rPr>
            </w:pPr>
            <w:r>
              <w:rPr>
                <w:szCs w:val="21"/>
              </w:rPr>
              <w:t>2.45</w:t>
            </w:r>
          </w:p>
        </w:tc>
        <w:tc>
          <w:tcPr>
            <w:tcW w:w="1134" w:type="dxa"/>
            <w:noWrap w:val="0"/>
            <w:vAlign w:val="center"/>
          </w:tcPr>
          <w:p w14:paraId="04C13060">
            <w:pPr>
              <w:jc w:val="center"/>
              <w:rPr>
                <w:szCs w:val="21"/>
              </w:rPr>
            </w:pPr>
            <w:r>
              <w:rPr>
                <w:szCs w:val="21"/>
              </w:rPr>
              <w:t>3.06</w:t>
            </w:r>
          </w:p>
        </w:tc>
        <w:tc>
          <w:tcPr>
            <w:tcW w:w="1134" w:type="dxa"/>
            <w:noWrap w:val="0"/>
            <w:vAlign w:val="center"/>
          </w:tcPr>
          <w:p w14:paraId="10C844F1">
            <w:pPr>
              <w:jc w:val="center"/>
              <w:rPr>
                <w:szCs w:val="21"/>
              </w:rPr>
            </w:pPr>
            <w:r>
              <w:rPr>
                <w:szCs w:val="21"/>
              </w:rPr>
              <w:t>1.95</w:t>
            </w:r>
          </w:p>
        </w:tc>
        <w:tc>
          <w:tcPr>
            <w:tcW w:w="1134" w:type="dxa"/>
            <w:noWrap w:val="0"/>
            <w:vAlign w:val="center"/>
          </w:tcPr>
          <w:p w14:paraId="603E5579">
            <w:pPr>
              <w:jc w:val="center"/>
              <w:rPr>
                <w:szCs w:val="21"/>
              </w:rPr>
            </w:pPr>
            <w:r>
              <w:rPr>
                <w:szCs w:val="21"/>
              </w:rPr>
              <w:t>2.93</w:t>
            </w:r>
          </w:p>
        </w:tc>
        <w:tc>
          <w:tcPr>
            <w:tcW w:w="1134" w:type="dxa"/>
            <w:noWrap w:val="0"/>
            <w:vAlign w:val="center"/>
          </w:tcPr>
          <w:p w14:paraId="092137BC">
            <w:pPr>
              <w:jc w:val="center"/>
              <w:rPr>
                <w:rFonts w:eastAsia="楷体_GB2312"/>
              </w:rPr>
            </w:pPr>
            <w:r>
              <w:rPr>
                <w:rFonts w:eastAsia="楷体_GB2312"/>
              </w:rPr>
              <w:t>——</w:t>
            </w:r>
          </w:p>
        </w:tc>
      </w:tr>
    </w:tbl>
    <w:p w14:paraId="373A4D1B">
      <w:pPr>
        <w:pStyle w:val="20"/>
        <w:spacing w:line="480" w:lineRule="exact"/>
        <w:rPr>
          <w:rFonts w:ascii="Times New Roman" w:hAnsi="Times New Roman" w:cs="Times New Roman"/>
          <w:b/>
          <w:sz w:val="28"/>
        </w:rPr>
      </w:pPr>
      <w:r>
        <w:rPr>
          <w:rFonts w:ascii="Times New Roman" w:hAnsi="Times New Roman" w:cs="Times New Roman"/>
          <w:b/>
          <w:sz w:val="28"/>
        </w:rPr>
        <w:t>三、综合定级因素因子权重（第二轮）</w:t>
      </w:r>
    </w:p>
    <w:p w14:paraId="644B0549">
      <w:pPr>
        <w:widowControl w:val="0"/>
        <w:spacing w:line="480" w:lineRule="exact"/>
        <w:ind w:firstLine="560" w:firstLineChars="200"/>
        <w:jc w:val="both"/>
        <w:rPr>
          <w:rFonts w:eastAsia="楷体_GB2312"/>
          <w:sz w:val="28"/>
          <w:szCs w:val="21"/>
        </w:rPr>
      </w:pPr>
      <w:r>
        <w:rPr>
          <w:rFonts w:eastAsia="楷体_GB2312"/>
          <w:sz w:val="28"/>
          <w:szCs w:val="21"/>
        </w:rPr>
        <w:t>通过第一轮专家打分结果的标准差分析，</w:t>
      </w:r>
      <w:r>
        <w:rPr>
          <w:rFonts w:hint="eastAsia" w:eastAsia="楷体_GB2312"/>
          <w:sz w:val="28"/>
          <w:szCs w:val="21"/>
        </w:rPr>
        <w:t>绝大多数因素因子</w:t>
      </w:r>
      <w:r>
        <w:rPr>
          <w:rFonts w:eastAsia="楷体_GB2312"/>
          <w:sz w:val="28"/>
          <w:szCs w:val="21"/>
        </w:rPr>
        <w:t>标准差大于2.0，表明第一轮征询的权重值分歧较大，考虑到因素因子打分的整体性，将这些因子也纳入第二轮打分，故进行第二轮打分。</w:t>
      </w:r>
    </w:p>
    <w:p w14:paraId="4A423D7F">
      <w:pPr>
        <w:widowControl w:val="0"/>
        <w:spacing w:line="480" w:lineRule="exact"/>
        <w:ind w:firstLine="560" w:firstLineChars="200"/>
        <w:jc w:val="both"/>
        <w:rPr>
          <w:rFonts w:eastAsia="楷体_GB2312"/>
          <w:sz w:val="28"/>
          <w:szCs w:val="21"/>
        </w:rPr>
      </w:pPr>
      <w:r>
        <w:rPr>
          <w:rFonts w:eastAsia="楷体_GB2312"/>
          <w:sz w:val="28"/>
          <w:szCs w:val="21"/>
        </w:rPr>
        <w:t>专家通过第一轮打分会后，通过对第一轮成果进行了深入探讨与分析，并且对各项因素因子的重要性程度有了一定的了解，故在第一轮打分会结束一小时后，我们对打分结果进行了统计计算，将第一轮打分会形成的标准差告知打分会专家，由专家在第一轮打分的基础上，进行第二轮打分，所选专家均未发生变化。</w:t>
      </w:r>
    </w:p>
    <w:p w14:paraId="2E60C4C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符离镇、大泽乡镇、曹村镇第二轮专家打分结果见表1-2-1</w:t>
      </w:r>
      <w:r>
        <w:rPr>
          <w:rFonts w:hint="eastAsia" w:ascii="Times New Roman" w:hAnsi="Times New Roman" w:eastAsia="楷体_GB2312" w:cs="Times New Roman"/>
          <w:sz w:val="28"/>
        </w:rPr>
        <w:t>2</w:t>
      </w:r>
      <w:r>
        <w:rPr>
          <w:rFonts w:ascii="Times New Roman" w:hAnsi="Times New Roman" w:eastAsia="楷体_GB2312" w:cs="Times New Roman"/>
          <w:sz w:val="28"/>
        </w:rPr>
        <w:t>至1-2-1</w:t>
      </w:r>
      <w:r>
        <w:rPr>
          <w:rFonts w:hint="eastAsia" w:ascii="Times New Roman" w:hAnsi="Times New Roman" w:eastAsia="楷体_GB2312" w:cs="Times New Roman"/>
          <w:sz w:val="28"/>
        </w:rPr>
        <w:t>5</w:t>
      </w:r>
      <w:r>
        <w:rPr>
          <w:rFonts w:ascii="Times New Roman" w:hAnsi="Times New Roman" w:eastAsia="楷体_GB2312" w:cs="Times New Roman"/>
          <w:sz w:val="28"/>
        </w:rPr>
        <w:t>：</w:t>
      </w:r>
    </w:p>
    <w:p w14:paraId="39885AB9">
      <w:pPr>
        <w:pStyle w:val="20"/>
        <w:spacing w:before="120" w:beforeLines="50"/>
        <w:jc w:val="center"/>
        <w:rPr>
          <w:rFonts w:ascii="Times New Roman" w:hAnsi="Times New Roman" w:eastAsia="黑体" w:cs="Times New Roman"/>
          <w:sz w:val="28"/>
        </w:rPr>
      </w:pPr>
      <w:r>
        <w:rPr>
          <w:rFonts w:ascii="Times New Roman" w:hAnsi="Times New Roman" w:eastAsia="黑体" w:cs="Times New Roman"/>
          <w:sz w:val="28"/>
        </w:rPr>
        <w:t>表1-2-1</w:t>
      </w:r>
      <w:r>
        <w:rPr>
          <w:rFonts w:hint="eastAsia" w:ascii="Times New Roman" w:hAnsi="Times New Roman" w:eastAsia="黑体" w:cs="Times New Roman"/>
          <w:sz w:val="28"/>
        </w:rPr>
        <w:t>2</w:t>
      </w:r>
      <w:r>
        <w:rPr>
          <w:rFonts w:ascii="Times New Roman" w:hAnsi="Times New Roman" w:eastAsia="黑体" w:cs="Times New Roman"/>
          <w:sz w:val="28"/>
        </w:rPr>
        <w:t xml:space="preserve">  埇桥区符离镇、大泽乡镇、曹村镇镇区综合定级因素权重表（第二轮打分结果）</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150"/>
        <w:gridCol w:w="879"/>
        <w:gridCol w:w="1081"/>
        <w:gridCol w:w="1116"/>
        <w:gridCol w:w="1116"/>
        <w:gridCol w:w="1116"/>
        <w:gridCol w:w="1116"/>
        <w:gridCol w:w="700"/>
      </w:tblGrid>
      <w:tr w14:paraId="1198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8" w:type="dxa"/>
            <w:vMerge w:val="restart"/>
            <w:noWrap w:val="0"/>
            <w:vAlign w:val="center"/>
          </w:tcPr>
          <w:p w14:paraId="5DFAF09D">
            <w:pPr>
              <w:jc w:val="center"/>
              <w:rPr>
                <w:rFonts w:eastAsia="楷体_GB2312"/>
                <w:spacing w:val="-20"/>
              </w:rPr>
            </w:pPr>
            <w:r>
              <w:rPr>
                <w:rFonts w:eastAsia="楷体_GB2312"/>
                <w:spacing w:val="-20"/>
              </w:rPr>
              <w:t>因素</w:t>
            </w:r>
          </w:p>
        </w:tc>
        <w:tc>
          <w:tcPr>
            <w:tcW w:w="1150" w:type="dxa"/>
            <w:noWrap w:val="0"/>
            <w:vAlign w:val="center"/>
          </w:tcPr>
          <w:p w14:paraId="29A85CE0">
            <w:pPr>
              <w:jc w:val="center"/>
              <w:rPr>
                <w:rFonts w:eastAsia="楷体_GB2312"/>
              </w:rPr>
            </w:pPr>
            <w:r>
              <w:rPr>
                <w:rFonts w:eastAsia="楷体_GB2312"/>
                <w:spacing w:val="-24"/>
              </w:rPr>
              <w:t>繁华程度</w:t>
            </w:r>
          </w:p>
        </w:tc>
        <w:tc>
          <w:tcPr>
            <w:tcW w:w="1960" w:type="dxa"/>
            <w:gridSpan w:val="2"/>
            <w:noWrap w:val="0"/>
            <w:vAlign w:val="center"/>
          </w:tcPr>
          <w:p w14:paraId="5A094C26">
            <w:pPr>
              <w:jc w:val="center"/>
              <w:rPr>
                <w:rFonts w:eastAsia="楷体_GB2312"/>
              </w:rPr>
            </w:pPr>
            <w:r>
              <w:rPr>
                <w:rFonts w:eastAsia="楷体_GB2312"/>
              </w:rPr>
              <w:t>交通条件</w:t>
            </w:r>
          </w:p>
        </w:tc>
        <w:tc>
          <w:tcPr>
            <w:tcW w:w="2232" w:type="dxa"/>
            <w:gridSpan w:val="2"/>
            <w:noWrap w:val="0"/>
            <w:vAlign w:val="center"/>
          </w:tcPr>
          <w:p w14:paraId="0A7E7146">
            <w:pPr>
              <w:jc w:val="center"/>
              <w:rPr>
                <w:rFonts w:eastAsia="楷体_GB2312"/>
              </w:rPr>
            </w:pPr>
            <w:r>
              <w:rPr>
                <w:rFonts w:eastAsia="楷体_GB2312"/>
              </w:rPr>
              <w:t>基本设施状况</w:t>
            </w:r>
          </w:p>
        </w:tc>
        <w:tc>
          <w:tcPr>
            <w:tcW w:w="2232" w:type="dxa"/>
            <w:gridSpan w:val="2"/>
            <w:noWrap w:val="0"/>
            <w:vAlign w:val="center"/>
          </w:tcPr>
          <w:p w14:paraId="79052A82">
            <w:pPr>
              <w:jc w:val="center"/>
              <w:rPr>
                <w:rFonts w:eastAsia="楷体_GB2312"/>
                <w:spacing w:val="-24"/>
              </w:rPr>
            </w:pPr>
            <w:r>
              <w:rPr>
                <w:rFonts w:eastAsia="楷体_GB2312"/>
              </w:rPr>
              <w:t>环境条件</w:t>
            </w:r>
          </w:p>
        </w:tc>
        <w:tc>
          <w:tcPr>
            <w:tcW w:w="700" w:type="dxa"/>
            <w:vMerge w:val="restart"/>
            <w:noWrap w:val="0"/>
            <w:vAlign w:val="center"/>
          </w:tcPr>
          <w:p w14:paraId="43CB5CD8">
            <w:pPr>
              <w:jc w:val="center"/>
              <w:rPr>
                <w:rFonts w:eastAsia="楷体_GB2312"/>
                <w:spacing w:val="-20"/>
              </w:rPr>
            </w:pPr>
            <w:r>
              <w:rPr>
                <w:rFonts w:eastAsia="楷体_GB2312"/>
                <w:spacing w:val="-20"/>
              </w:rPr>
              <w:t>合计</w:t>
            </w:r>
          </w:p>
        </w:tc>
      </w:tr>
      <w:tr w14:paraId="39A00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8" w:type="dxa"/>
            <w:vMerge w:val="continue"/>
            <w:noWrap w:val="0"/>
            <w:vAlign w:val="center"/>
          </w:tcPr>
          <w:p w14:paraId="79031EE3">
            <w:pPr>
              <w:jc w:val="center"/>
              <w:rPr>
                <w:rFonts w:eastAsia="楷体_GB2312"/>
                <w:spacing w:val="-20"/>
              </w:rPr>
            </w:pPr>
          </w:p>
        </w:tc>
        <w:tc>
          <w:tcPr>
            <w:tcW w:w="1150" w:type="dxa"/>
            <w:noWrap w:val="0"/>
            <w:vAlign w:val="center"/>
          </w:tcPr>
          <w:p w14:paraId="1B1A69D8">
            <w:pPr>
              <w:jc w:val="center"/>
              <w:rPr>
                <w:rFonts w:eastAsia="楷体_GB2312"/>
              </w:rPr>
            </w:pPr>
            <w:r>
              <w:rPr>
                <w:rFonts w:eastAsia="楷体_GB2312"/>
              </w:rPr>
              <w:t>商服繁华影响度</w:t>
            </w:r>
          </w:p>
        </w:tc>
        <w:tc>
          <w:tcPr>
            <w:tcW w:w="879" w:type="dxa"/>
            <w:noWrap w:val="0"/>
            <w:vAlign w:val="center"/>
          </w:tcPr>
          <w:p w14:paraId="6ADAF806">
            <w:pPr>
              <w:jc w:val="center"/>
              <w:rPr>
                <w:rFonts w:eastAsia="楷体_GB2312"/>
              </w:rPr>
            </w:pPr>
            <w:r>
              <w:rPr>
                <w:rFonts w:eastAsia="楷体_GB2312"/>
              </w:rPr>
              <w:t>道路通达度</w:t>
            </w:r>
          </w:p>
        </w:tc>
        <w:tc>
          <w:tcPr>
            <w:tcW w:w="1081" w:type="dxa"/>
            <w:noWrap w:val="0"/>
            <w:vAlign w:val="center"/>
          </w:tcPr>
          <w:p w14:paraId="7A6FC250">
            <w:pPr>
              <w:jc w:val="center"/>
              <w:rPr>
                <w:rFonts w:eastAsia="楷体_GB2312"/>
              </w:rPr>
            </w:pPr>
            <w:r>
              <w:rPr>
                <w:rFonts w:eastAsia="楷体_GB2312"/>
              </w:rPr>
              <w:t>对外交通便利度</w:t>
            </w:r>
          </w:p>
        </w:tc>
        <w:tc>
          <w:tcPr>
            <w:tcW w:w="1116" w:type="dxa"/>
            <w:noWrap w:val="0"/>
            <w:vAlign w:val="center"/>
          </w:tcPr>
          <w:p w14:paraId="510729C7">
            <w:pPr>
              <w:jc w:val="center"/>
              <w:rPr>
                <w:rFonts w:eastAsia="楷体_GB2312"/>
              </w:rPr>
            </w:pPr>
            <w:r>
              <w:rPr>
                <w:rFonts w:eastAsia="楷体_GB2312"/>
              </w:rPr>
              <w:t>基础设施完善度</w:t>
            </w:r>
          </w:p>
        </w:tc>
        <w:tc>
          <w:tcPr>
            <w:tcW w:w="1116" w:type="dxa"/>
            <w:noWrap w:val="0"/>
            <w:vAlign w:val="center"/>
          </w:tcPr>
          <w:p w14:paraId="155EF0BE">
            <w:pPr>
              <w:jc w:val="center"/>
              <w:rPr>
                <w:rFonts w:eastAsia="楷体_GB2312"/>
              </w:rPr>
            </w:pPr>
            <w:r>
              <w:rPr>
                <w:rFonts w:eastAsia="楷体_GB2312"/>
              </w:rPr>
              <w:t>公用设施完备度</w:t>
            </w:r>
          </w:p>
        </w:tc>
        <w:tc>
          <w:tcPr>
            <w:tcW w:w="1116" w:type="dxa"/>
            <w:noWrap w:val="0"/>
            <w:vAlign w:val="center"/>
          </w:tcPr>
          <w:p w14:paraId="54A19F0A">
            <w:pPr>
              <w:spacing w:line="300" w:lineRule="exact"/>
              <w:jc w:val="center"/>
              <w:rPr>
                <w:rFonts w:eastAsia="楷体_GB2312"/>
                <w:spacing w:val="-8"/>
                <w:szCs w:val="21"/>
              </w:rPr>
            </w:pPr>
            <w:r>
              <w:rPr>
                <w:rFonts w:eastAsia="楷体_GB2312"/>
                <w:spacing w:val="-8"/>
                <w:szCs w:val="21"/>
              </w:rPr>
              <w:t>环境质量优劣度</w:t>
            </w:r>
          </w:p>
        </w:tc>
        <w:tc>
          <w:tcPr>
            <w:tcW w:w="1116" w:type="dxa"/>
            <w:noWrap w:val="0"/>
            <w:vAlign w:val="center"/>
          </w:tcPr>
          <w:p w14:paraId="7AAF26F8">
            <w:pPr>
              <w:spacing w:line="300" w:lineRule="exact"/>
              <w:jc w:val="center"/>
              <w:rPr>
                <w:rFonts w:eastAsia="楷体_GB2312"/>
                <w:spacing w:val="-8"/>
                <w:szCs w:val="21"/>
              </w:rPr>
            </w:pPr>
            <w:r>
              <w:rPr>
                <w:rFonts w:eastAsia="楷体_GB2312"/>
                <w:spacing w:val="-8"/>
                <w:szCs w:val="21"/>
              </w:rPr>
              <w:t>自然条件优劣度</w:t>
            </w:r>
          </w:p>
        </w:tc>
        <w:tc>
          <w:tcPr>
            <w:tcW w:w="700" w:type="dxa"/>
            <w:vMerge w:val="continue"/>
            <w:noWrap w:val="0"/>
            <w:vAlign w:val="center"/>
          </w:tcPr>
          <w:p w14:paraId="53F547C7">
            <w:pPr>
              <w:jc w:val="center"/>
              <w:rPr>
                <w:rFonts w:eastAsia="楷体_GB2312"/>
                <w:spacing w:val="-20"/>
              </w:rPr>
            </w:pPr>
          </w:p>
        </w:tc>
      </w:tr>
      <w:tr w14:paraId="791A9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8" w:type="dxa"/>
            <w:vMerge w:val="restart"/>
            <w:noWrap w:val="0"/>
            <w:vAlign w:val="center"/>
          </w:tcPr>
          <w:p w14:paraId="1C833843">
            <w:pPr>
              <w:jc w:val="center"/>
              <w:rPr>
                <w:rFonts w:eastAsia="楷体_GB2312"/>
                <w:spacing w:val="-20"/>
              </w:rPr>
            </w:pPr>
            <w:r>
              <w:rPr>
                <w:rFonts w:eastAsia="楷体_GB2312"/>
                <w:spacing w:val="-20"/>
              </w:rPr>
              <w:t>平均值</w:t>
            </w:r>
          </w:p>
        </w:tc>
        <w:tc>
          <w:tcPr>
            <w:tcW w:w="1150" w:type="dxa"/>
            <w:noWrap w:val="0"/>
            <w:vAlign w:val="center"/>
          </w:tcPr>
          <w:p w14:paraId="46C985E0">
            <w:pPr>
              <w:jc w:val="center"/>
              <w:rPr>
                <w:szCs w:val="21"/>
              </w:rPr>
            </w:pPr>
            <w:r>
              <w:rPr>
                <w:szCs w:val="21"/>
              </w:rPr>
              <w:t>29.54</w:t>
            </w:r>
          </w:p>
        </w:tc>
        <w:tc>
          <w:tcPr>
            <w:tcW w:w="1960" w:type="dxa"/>
            <w:gridSpan w:val="2"/>
            <w:noWrap w:val="0"/>
            <w:vAlign w:val="center"/>
          </w:tcPr>
          <w:p w14:paraId="515C29D5">
            <w:pPr>
              <w:jc w:val="center"/>
              <w:rPr>
                <w:szCs w:val="21"/>
              </w:rPr>
            </w:pPr>
            <w:r>
              <w:rPr>
                <w:szCs w:val="21"/>
              </w:rPr>
              <w:t>26.98</w:t>
            </w:r>
          </w:p>
        </w:tc>
        <w:tc>
          <w:tcPr>
            <w:tcW w:w="2232" w:type="dxa"/>
            <w:gridSpan w:val="2"/>
            <w:noWrap w:val="0"/>
            <w:vAlign w:val="center"/>
          </w:tcPr>
          <w:p w14:paraId="7724625C">
            <w:pPr>
              <w:jc w:val="center"/>
              <w:rPr>
                <w:szCs w:val="21"/>
              </w:rPr>
            </w:pPr>
            <w:r>
              <w:rPr>
                <w:szCs w:val="21"/>
              </w:rPr>
              <w:t>24.59</w:t>
            </w:r>
          </w:p>
        </w:tc>
        <w:tc>
          <w:tcPr>
            <w:tcW w:w="2232" w:type="dxa"/>
            <w:gridSpan w:val="2"/>
            <w:noWrap w:val="0"/>
            <w:vAlign w:val="center"/>
          </w:tcPr>
          <w:p w14:paraId="2C0194E6">
            <w:pPr>
              <w:jc w:val="center"/>
              <w:rPr>
                <w:szCs w:val="21"/>
              </w:rPr>
            </w:pPr>
            <w:r>
              <w:rPr>
                <w:szCs w:val="21"/>
              </w:rPr>
              <w:t>18.89</w:t>
            </w:r>
          </w:p>
        </w:tc>
        <w:tc>
          <w:tcPr>
            <w:tcW w:w="700" w:type="dxa"/>
            <w:noWrap w:val="0"/>
            <w:vAlign w:val="center"/>
          </w:tcPr>
          <w:p w14:paraId="4153F781">
            <w:pPr>
              <w:jc w:val="center"/>
              <w:rPr>
                <w:rFonts w:eastAsia="楷体_GB2312"/>
              </w:rPr>
            </w:pPr>
            <w:r>
              <w:rPr>
                <w:rFonts w:eastAsia="楷体_GB2312"/>
              </w:rPr>
              <w:t>100</w:t>
            </w:r>
          </w:p>
        </w:tc>
      </w:tr>
      <w:tr w14:paraId="1F2B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8" w:type="dxa"/>
            <w:vMerge w:val="continue"/>
            <w:noWrap w:val="0"/>
            <w:vAlign w:val="center"/>
          </w:tcPr>
          <w:p w14:paraId="3722C37F">
            <w:pPr>
              <w:jc w:val="center"/>
              <w:rPr>
                <w:rFonts w:eastAsia="楷体_GB2312"/>
                <w:spacing w:val="-20"/>
              </w:rPr>
            </w:pPr>
          </w:p>
        </w:tc>
        <w:tc>
          <w:tcPr>
            <w:tcW w:w="1150" w:type="dxa"/>
            <w:noWrap w:val="0"/>
            <w:vAlign w:val="center"/>
          </w:tcPr>
          <w:p w14:paraId="50D7F4B9">
            <w:pPr>
              <w:jc w:val="center"/>
              <w:rPr>
                <w:szCs w:val="21"/>
              </w:rPr>
            </w:pPr>
            <w:r>
              <w:rPr>
                <w:szCs w:val="21"/>
              </w:rPr>
              <w:t>29.54</w:t>
            </w:r>
          </w:p>
        </w:tc>
        <w:tc>
          <w:tcPr>
            <w:tcW w:w="879" w:type="dxa"/>
            <w:noWrap w:val="0"/>
            <w:vAlign w:val="center"/>
          </w:tcPr>
          <w:p w14:paraId="16059E01">
            <w:pPr>
              <w:jc w:val="center"/>
              <w:rPr>
                <w:szCs w:val="21"/>
              </w:rPr>
            </w:pPr>
            <w:r>
              <w:rPr>
                <w:szCs w:val="21"/>
              </w:rPr>
              <w:t>14.12</w:t>
            </w:r>
          </w:p>
        </w:tc>
        <w:tc>
          <w:tcPr>
            <w:tcW w:w="1081" w:type="dxa"/>
            <w:noWrap w:val="0"/>
            <w:vAlign w:val="center"/>
          </w:tcPr>
          <w:p w14:paraId="32D7BFA6">
            <w:pPr>
              <w:jc w:val="center"/>
              <w:rPr>
                <w:szCs w:val="21"/>
              </w:rPr>
            </w:pPr>
            <w:r>
              <w:rPr>
                <w:szCs w:val="21"/>
              </w:rPr>
              <w:t>12.86</w:t>
            </w:r>
          </w:p>
        </w:tc>
        <w:tc>
          <w:tcPr>
            <w:tcW w:w="1116" w:type="dxa"/>
            <w:noWrap w:val="0"/>
            <w:vAlign w:val="center"/>
          </w:tcPr>
          <w:p w14:paraId="293DB0E9">
            <w:pPr>
              <w:jc w:val="center"/>
              <w:rPr>
                <w:szCs w:val="21"/>
              </w:rPr>
            </w:pPr>
            <w:r>
              <w:rPr>
                <w:szCs w:val="21"/>
              </w:rPr>
              <w:t>13.54</w:t>
            </w:r>
          </w:p>
        </w:tc>
        <w:tc>
          <w:tcPr>
            <w:tcW w:w="1116" w:type="dxa"/>
            <w:noWrap w:val="0"/>
            <w:vAlign w:val="center"/>
          </w:tcPr>
          <w:p w14:paraId="171E0D5A">
            <w:pPr>
              <w:jc w:val="center"/>
              <w:rPr>
                <w:szCs w:val="21"/>
              </w:rPr>
            </w:pPr>
            <w:r>
              <w:rPr>
                <w:szCs w:val="21"/>
              </w:rPr>
              <w:t>11.05</w:t>
            </w:r>
          </w:p>
        </w:tc>
        <w:tc>
          <w:tcPr>
            <w:tcW w:w="1116" w:type="dxa"/>
            <w:noWrap w:val="0"/>
            <w:vAlign w:val="center"/>
          </w:tcPr>
          <w:p w14:paraId="606DA003">
            <w:pPr>
              <w:jc w:val="center"/>
              <w:rPr>
                <w:szCs w:val="21"/>
              </w:rPr>
            </w:pPr>
            <w:r>
              <w:rPr>
                <w:szCs w:val="21"/>
              </w:rPr>
              <w:t>10.24</w:t>
            </w:r>
          </w:p>
        </w:tc>
        <w:tc>
          <w:tcPr>
            <w:tcW w:w="1116" w:type="dxa"/>
            <w:noWrap w:val="0"/>
            <w:vAlign w:val="center"/>
          </w:tcPr>
          <w:p w14:paraId="2B531E03">
            <w:pPr>
              <w:jc w:val="center"/>
              <w:rPr>
                <w:szCs w:val="21"/>
              </w:rPr>
            </w:pPr>
            <w:r>
              <w:rPr>
                <w:szCs w:val="21"/>
              </w:rPr>
              <w:t>8.65</w:t>
            </w:r>
          </w:p>
        </w:tc>
        <w:tc>
          <w:tcPr>
            <w:tcW w:w="700" w:type="dxa"/>
            <w:noWrap w:val="0"/>
            <w:vAlign w:val="center"/>
          </w:tcPr>
          <w:p w14:paraId="7115918E">
            <w:pPr>
              <w:jc w:val="center"/>
              <w:rPr>
                <w:rFonts w:eastAsia="楷体_GB2312"/>
              </w:rPr>
            </w:pPr>
            <w:r>
              <w:rPr>
                <w:rFonts w:eastAsia="楷体_GB2312"/>
              </w:rPr>
              <w:fldChar w:fldCharType="begin"/>
            </w:r>
            <w:r>
              <w:rPr>
                <w:rFonts w:eastAsia="楷体_GB2312"/>
              </w:rPr>
              <w:instrText xml:space="preserve"> =SUM(ABOVE) </w:instrText>
            </w:r>
            <w:r>
              <w:rPr>
                <w:rFonts w:eastAsia="楷体_GB2312"/>
              </w:rPr>
              <w:fldChar w:fldCharType="separate"/>
            </w:r>
            <w:r>
              <w:rPr>
                <w:rFonts w:eastAsia="楷体_GB2312"/>
              </w:rPr>
              <w:t>100</w:t>
            </w:r>
            <w:r>
              <w:rPr>
                <w:rFonts w:eastAsia="楷体_GB2312"/>
              </w:rPr>
              <w:fldChar w:fldCharType="end"/>
            </w:r>
          </w:p>
        </w:tc>
      </w:tr>
      <w:tr w14:paraId="75D44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8" w:type="dxa"/>
            <w:noWrap w:val="0"/>
            <w:vAlign w:val="center"/>
          </w:tcPr>
          <w:p w14:paraId="78843F55">
            <w:pPr>
              <w:jc w:val="center"/>
              <w:rPr>
                <w:rFonts w:eastAsia="楷体_GB2312"/>
                <w:spacing w:val="-20"/>
              </w:rPr>
            </w:pPr>
            <w:r>
              <w:rPr>
                <w:rFonts w:eastAsia="楷体_GB2312"/>
                <w:spacing w:val="-20"/>
              </w:rPr>
              <w:t>标准差</w:t>
            </w:r>
          </w:p>
        </w:tc>
        <w:tc>
          <w:tcPr>
            <w:tcW w:w="1150" w:type="dxa"/>
            <w:noWrap w:val="0"/>
            <w:vAlign w:val="center"/>
          </w:tcPr>
          <w:p w14:paraId="011F3821">
            <w:pPr>
              <w:jc w:val="center"/>
              <w:rPr>
                <w:szCs w:val="21"/>
              </w:rPr>
            </w:pPr>
            <w:r>
              <w:rPr>
                <w:szCs w:val="21"/>
              </w:rPr>
              <w:t>1.80</w:t>
            </w:r>
          </w:p>
        </w:tc>
        <w:tc>
          <w:tcPr>
            <w:tcW w:w="879" w:type="dxa"/>
            <w:noWrap w:val="0"/>
            <w:vAlign w:val="center"/>
          </w:tcPr>
          <w:p w14:paraId="691B0F73">
            <w:pPr>
              <w:jc w:val="center"/>
              <w:rPr>
                <w:szCs w:val="21"/>
              </w:rPr>
            </w:pPr>
            <w:r>
              <w:rPr>
                <w:szCs w:val="21"/>
              </w:rPr>
              <w:t>1.60</w:t>
            </w:r>
          </w:p>
        </w:tc>
        <w:tc>
          <w:tcPr>
            <w:tcW w:w="1081" w:type="dxa"/>
            <w:noWrap w:val="0"/>
            <w:vAlign w:val="center"/>
          </w:tcPr>
          <w:p w14:paraId="1212908A">
            <w:pPr>
              <w:jc w:val="center"/>
              <w:rPr>
                <w:szCs w:val="21"/>
              </w:rPr>
            </w:pPr>
            <w:r>
              <w:rPr>
                <w:szCs w:val="21"/>
              </w:rPr>
              <w:t>1.71</w:t>
            </w:r>
          </w:p>
        </w:tc>
        <w:tc>
          <w:tcPr>
            <w:tcW w:w="1116" w:type="dxa"/>
            <w:noWrap w:val="0"/>
            <w:vAlign w:val="center"/>
          </w:tcPr>
          <w:p w14:paraId="246BD6FD">
            <w:pPr>
              <w:jc w:val="center"/>
              <w:rPr>
                <w:szCs w:val="21"/>
              </w:rPr>
            </w:pPr>
            <w:r>
              <w:rPr>
                <w:szCs w:val="21"/>
              </w:rPr>
              <w:t>1.73</w:t>
            </w:r>
          </w:p>
        </w:tc>
        <w:tc>
          <w:tcPr>
            <w:tcW w:w="1116" w:type="dxa"/>
            <w:noWrap w:val="0"/>
            <w:vAlign w:val="center"/>
          </w:tcPr>
          <w:p w14:paraId="73566563">
            <w:pPr>
              <w:jc w:val="center"/>
              <w:rPr>
                <w:szCs w:val="21"/>
              </w:rPr>
            </w:pPr>
            <w:r>
              <w:rPr>
                <w:szCs w:val="21"/>
              </w:rPr>
              <w:t>1.33</w:t>
            </w:r>
          </w:p>
        </w:tc>
        <w:tc>
          <w:tcPr>
            <w:tcW w:w="1116" w:type="dxa"/>
            <w:noWrap w:val="0"/>
            <w:vAlign w:val="center"/>
          </w:tcPr>
          <w:p w14:paraId="01C5E7BD">
            <w:pPr>
              <w:jc w:val="center"/>
              <w:rPr>
                <w:szCs w:val="21"/>
              </w:rPr>
            </w:pPr>
            <w:r>
              <w:rPr>
                <w:szCs w:val="21"/>
              </w:rPr>
              <w:t>1.32</w:t>
            </w:r>
          </w:p>
        </w:tc>
        <w:tc>
          <w:tcPr>
            <w:tcW w:w="1116" w:type="dxa"/>
            <w:noWrap w:val="0"/>
            <w:vAlign w:val="center"/>
          </w:tcPr>
          <w:p w14:paraId="3AB0692E">
            <w:pPr>
              <w:jc w:val="center"/>
              <w:rPr>
                <w:szCs w:val="21"/>
              </w:rPr>
            </w:pPr>
            <w:r>
              <w:rPr>
                <w:szCs w:val="21"/>
              </w:rPr>
              <w:t>1.20</w:t>
            </w:r>
          </w:p>
        </w:tc>
        <w:tc>
          <w:tcPr>
            <w:tcW w:w="700" w:type="dxa"/>
            <w:noWrap w:val="0"/>
            <w:vAlign w:val="center"/>
          </w:tcPr>
          <w:p w14:paraId="634CE7E7">
            <w:pPr>
              <w:jc w:val="center"/>
              <w:rPr>
                <w:rFonts w:eastAsia="楷体_GB2312"/>
              </w:rPr>
            </w:pPr>
            <w:r>
              <w:rPr>
                <w:rFonts w:eastAsia="楷体_GB2312"/>
              </w:rPr>
              <w:t>/</w:t>
            </w:r>
          </w:p>
        </w:tc>
      </w:tr>
    </w:tbl>
    <w:p w14:paraId="36F2681C">
      <w:pPr>
        <w:pStyle w:val="20"/>
        <w:spacing w:before="120" w:beforeLines="50"/>
        <w:jc w:val="center"/>
        <w:rPr>
          <w:rFonts w:ascii="Times New Roman" w:hAnsi="Times New Roman" w:eastAsia="黑体" w:cs="Times New Roman"/>
          <w:sz w:val="28"/>
        </w:rPr>
      </w:pPr>
      <w:r>
        <w:rPr>
          <w:rFonts w:ascii="Times New Roman" w:hAnsi="Times New Roman" w:eastAsia="黑体" w:cs="Times New Roman"/>
          <w:sz w:val="28"/>
        </w:rPr>
        <w:t>表1-2-</w:t>
      </w:r>
      <w:r>
        <w:rPr>
          <w:rFonts w:hint="eastAsia" w:ascii="Times New Roman" w:hAnsi="Times New Roman" w:eastAsia="黑体" w:cs="Times New Roman"/>
          <w:sz w:val="28"/>
        </w:rPr>
        <w:t>13</w:t>
      </w:r>
      <w:r>
        <w:rPr>
          <w:rFonts w:ascii="Times New Roman" w:hAnsi="Times New Roman" w:eastAsia="黑体" w:cs="Times New Roman"/>
          <w:sz w:val="28"/>
        </w:rPr>
        <w:t xml:space="preserve">  埇桥区符离镇、大泽乡镇、曹村镇镇区综合定级</w:t>
      </w:r>
      <w:r>
        <w:rPr>
          <w:rFonts w:hint="eastAsia" w:ascii="Times New Roman" w:hAnsi="Times New Roman" w:eastAsia="黑体" w:cs="Times New Roman"/>
          <w:sz w:val="28"/>
        </w:rPr>
        <w:t>对外交通便利度</w:t>
      </w:r>
      <w:r>
        <w:rPr>
          <w:rFonts w:ascii="Times New Roman" w:hAnsi="Times New Roman" w:eastAsia="黑体" w:cs="Times New Roman"/>
          <w:sz w:val="28"/>
        </w:rPr>
        <w:t>因子权重表（第</w:t>
      </w:r>
      <w:r>
        <w:rPr>
          <w:rFonts w:hint="eastAsia" w:ascii="Times New Roman" w:hAnsi="Times New Roman" w:eastAsia="黑体" w:cs="Times New Roman"/>
          <w:sz w:val="28"/>
        </w:rPr>
        <w:t>二</w:t>
      </w:r>
      <w:r>
        <w:rPr>
          <w:rFonts w:ascii="Times New Roman" w:hAnsi="Times New Roman" w:eastAsia="黑体" w:cs="Times New Roman"/>
          <w:sz w:val="28"/>
        </w:rPr>
        <w:t>轮打分结果）</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3"/>
        <w:gridCol w:w="2736"/>
        <w:gridCol w:w="2734"/>
        <w:gridCol w:w="1149"/>
      </w:tblGrid>
      <w:tr w14:paraId="5A42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352" w:type="pct"/>
            <w:noWrap w:val="0"/>
            <w:vAlign w:val="center"/>
          </w:tcPr>
          <w:p w14:paraId="79290DA2">
            <w:pPr>
              <w:jc w:val="center"/>
              <w:rPr>
                <w:rFonts w:eastAsia="楷体_GB2312"/>
                <w:szCs w:val="21"/>
              </w:rPr>
            </w:pPr>
            <w:r>
              <w:rPr>
                <w:rFonts w:eastAsia="楷体_GB2312"/>
                <w:szCs w:val="21"/>
              </w:rPr>
              <w:t>因子名称</w:t>
            </w:r>
          </w:p>
        </w:tc>
        <w:tc>
          <w:tcPr>
            <w:tcW w:w="1508" w:type="pct"/>
            <w:noWrap w:val="0"/>
            <w:vAlign w:val="center"/>
          </w:tcPr>
          <w:p w14:paraId="06B3511A">
            <w:pPr>
              <w:jc w:val="center"/>
              <w:rPr>
                <w:rFonts w:eastAsia="楷体_GB2312"/>
                <w:szCs w:val="21"/>
              </w:rPr>
            </w:pPr>
            <w:r>
              <w:rPr>
                <w:rFonts w:hint="eastAsia" w:eastAsia="楷体_GB2312"/>
                <w:szCs w:val="21"/>
              </w:rPr>
              <w:t>火车站</w:t>
            </w:r>
          </w:p>
        </w:tc>
        <w:tc>
          <w:tcPr>
            <w:tcW w:w="1507" w:type="pct"/>
            <w:noWrap w:val="0"/>
            <w:vAlign w:val="center"/>
          </w:tcPr>
          <w:p w14:paraId="112A0751">
            <w:pPr>
              <w:jc w:val="center"/>
              <w:rPr>
                <w:rFonts w:eastAsia="楷体_GB2312"/>
                <w:szCs w:val="21"/>
              </w:rPr>
            </w:pPr>
            <w:r>
              <w:rPr>
                <w:rFonts w:hint="eastAsia" w:eastAsia="楷体_GB2312"/>
                <w:szCs w:val="21"/>
              </w:rPr>
              <w:t>汽车站</w:t>
            </w:r>
          </w:p>
        </w:tc>
        <w:tc>
          <w:tcPr>
            <w:tcW w:w="633" w:type="pct"/>
            <w:noWrap w:val="0"/>
            <w:vAlign w:val="center"/>
          </w:tcPr>
          <w:p w14:paraId="5A8E5762">
            <w:pPr>
              <w:jc w:val="center"/>
              <w:rPr>
                <w:rFonts w:eastAsia="楷体_GB2312"/>
                <w:szCs w:val="21"/>
              </w:rPr>
            </w:pPr>
            <w:r>
              <w:rPr>
                <w:rFonts w:eastAsia="楷体_GB2312"/>
                <w:szCs w:val="21"/>
              </w:rPr>
              <w:t>合计</w:t>
            </w:r>
          </w:p>
        </w:tc>
      </w:tr>
      <w:tr w14:paraId="26817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 w:hRule="atLeast"/>
          <w:jc w:val="center"/>
        </w:trPr>
        <w:tc>
          <w:tcPr>
            <w:tcW w:w="1352" w:type="pct"/>
            <w:noWrap w:val="0"/>
            <w:vAlign w:val="center"/>
          </w:tcPr>
          <w:p w14:paraId="63E2E250">
            <w:pPr>
              <w:jc w:val="center"/>
              <w:rPr>
                <w:rFonts w:eastAsia="楷体_GB2312"/>
                <w:szCs w:val="21"/>
              </w:rPr>
            </w:pPr>
            <w:r>
              <w:rPr>
                <w:rFonts w:eastAsia="楷体_GB2312"/>
                <w:szCs w:val="21"/>
              </w:rPr>
              <w:t>平均值</w:t>
            </w:r>
          </w:p>
        </w:tc>
        <w:tc>
          <w:tcPr>
            <w:tcW w:w="1508" w:type="pct"/>
            <w:noWrap w:val="0"/>
            <w:vAlign w:val="center"/>
          </w:tcPr>
          <w:p w14:paraId="275A283C">
            <w:pPr>
              <w:jc w:val="center"/>
              <w:rPr>
                <w:szCs w:val="21"/>
              </w:rPr>
            </w:pPr>
            <w:r>
              <w:rPr>
                <w:rFonts w:hint="eastAsia"/>
                <w:szCs w:val="21"/>
              </w:rPr>
              <w:t>40.10</w:t>
            </w:r>
          </w:p>
        </w:tc>
        <w:tc>
          <w:tcPr>
            <w:tcW w:w="1507" w:type="pct"/>
            <w:noWrap w:val="0"/>
            <w:vAlign w:val="center"/>
          </w:tcPr>
          <w:p w14:paraId="117BF200">
            <w:pPr>
              <w:jc w:val="center"/>
              <w:rPr>
                <w:szCs w:val="21"/>
              </w:rPr>
            </w:pPr>
            <w:r>
              <w:rPr>
                <w:rFonts w:hint="eastAsia"/>
                <w:szCs w:val="21"/>
              </w:rPr>
              <w:t>59.90</w:t>
            </w:r>
          </w:p>
        </w:tc>
        <w:tc>
          <w:tcPr>
            <w:tcW w:w="633" w:type="pct"/>
            <w:noWrap w:val="0"/>
            <w:vAlign w:val="center"/>
          </w:tcPr>
          <w:p w14:paraId="5121D89C">
            <w:pPr>
              <w:jc w:val="center"/>
              <w:rPr>
                <w:rFonts w:eastAsia="楷体_GB2312"/>
              </w:rPr>
            </w:pPr>
            <w:r>
              <w:rPr>
                <w:rFonts w:eastAsia="楷体_GB2312"/>
              </w:rPr>
              <w:t>100</w:t>
            </w:r>
          </w:p>
        </w:tc>
      </w:tr>
      <w:tr w14:paraId="5615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1352" w:type="pct"/>
            <w:noWrap w:val="0"/>
            <w:vAlign w:val="center"/>
          </w:tcPr>
          <w:p w14:paraId="613AD78E">
            <w:pPr>
              <w:jc w:val="center"/>
              <w:rPr>
                <w:rFonts w:eastAsia="楷体_GB2312"/>
                <w:szCs w:val="21"/>
              </w:rPr>
            </w:pPr>
            <w:r>
              <w:rPr>
                <w:rFonts w:eastAsia="楷体_GB2312"/>
                <w:szCs w:val="21"/>
              </w:rPr>
              <w:t>标准差</w:t>
            </w:r>
          </w:p>
        </w:tc>
        <w:tc>
          <w:tcPr>
            <w:tcW w:w="1508" w:type="pct"/>
            <w:noWrap w:val="0"/>
            <w:vAlign w:val="center"/>
          </w:tcPr>
          <w:p w14:paraId="3A7FEB68">
            <w:pPr>
              <w:jc w:val="center"/>
              <w:rPr>
                <w:szCs w:val="21"/>
              </w:rPr>
            </w:pPr>
            <w:r>
              <w:rPr>
                <w:rFonts w:hint="eastAsia"/>
                <w:szCs w:val="21"/>
              </w:rPr>
              <w:t>1.88</w:t>
            </w:r>
          </w:p>
        </w:tc>
        <w:tc>
          <w:tcPr>
            <w:tcW w:w="1507" w:type="pct"/>
            <w:noWrap w:val="0"/>
            <w:vAlign w:val="center"/>
          </w:tcPr>
          <w:p w14:paraId="5468F176">
            <w:pPr>
              <w:jc w:val="center"/>
              <w:rPr>
                <w:szCs w:val="21"/>
              </w:rPr>
            </w:pPr>
            <w:r>
              <w:rPr>
                <w:rFonts w:hint="eastAsia"/>
                <w:szCs w:val="21"/>
              </w:rPr>
              <w:t>1.88</w:t>
            </w:r>
          </w:p>
        </w:tc>
        <w:tc>
          <w:tcPr>
            <w:tcW w:w="633" w:type="pct"/>
            <w:noWrap w:val="0"/>
            <w:vAlign w:val="center"/>
          </w:tcPr>
          <w:p w14:paraId="2C1E33E8">
            <w:pPr>
              <w:jc w:val="center"/>
              <w:rPr>
                <w:rFonts w:eastAsia="楷体_GB2312"/>
              </w:rPr>
            </w:pPr>
            <w:r>
              <w:rPr>
                <w:rFonts w:eastAsia="楷体_GB2312"/>
              </w:rPr>
              <w:t>——</w:t>
            </w:r>
          </w:p>
        </w:tc>
      </w:tr>
    </w:tbl>
    <w:p w14:paraId="3345B45B">
      <w:pPr>
        <w:pStyle w:val="20"/>
        <w:spacing w:before="120" w:beforeLines="50"/>
        <w:jc w:val="center"/>
        <w:rPr>
          <w:rFonts w:ascii="Times New Roman" w:hAnsi="Times New Roman" w:eastAsia="黑体" w:cs="Times New Roman"/>
          <w:sz w:val="28"/>
        </w:rPr>
      </w:pPr>
      <w:r>
        <w:rPr>
          <w:rFonts w:ascii="Times New Roman" w:hAnsi="Times New Roman" w:eastAsia="黑体" w:cs="Times New Roman"/>
          <w:sz w:val="28"/>
        </w:rPr>
        <w:t>表1-2-1</w:t>
      </w:r>
      <w:r>
        <w:rPr>
          <w:rFonts w:hint="eastAsia" w:ascii="Times New Roman" w:hAnsi="Times New Roman" w:eastAsia="黑体" w:cs="Times New Roman"/>
          <w:sz w:val="28"/>
        </w:rPr>
        <w:t>4</w:t>
      </w:r>
      <w:r>
        <w:rPr>
          <w:rFonts w:ascii="Times New Roman" w:hAnsi="Times New Roman" w:eastAsia="黑体" w:cs="Times New Roman"/>
          <w:sz w:val="28"/>
        </w:rPr>
        <w:t xml:space="preserve">  埇桥区符离镇、大泽乡镇、曹村镇镇区综合定级基础设施完善度因子权重表（第二轮打分结果）</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5"/>
        <w:gridCol w:w="2103"/>
        <w:gridCol w:w="2101"/>
        <w:gridCol w:w="2101"/>
        <w:gridCol w:w="882"/>
      </w:tblGrid>
      <w:tr w14:paraId="1E8A4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1039" w:type="pct"/>
            <w:noWrap w:val="0"/>
            <w:vAlign w:val="center"/>
          </w:tcPr>
          <w:p w14:paraId="2677134A">
            <w:pPr>
              <w:jc w:val="center"/>
              <w:rPr>
                <w:rFonts w:eastAsia="楷体_GB2312"/>
                <w:szCs w:val="21"/>
              </w:rPr>
            </w:pPr>
            <w:r>
              <w:rPr>
                <w:rFonts w:eastAsia="楷体_GB2312"/>
                <w:szCs w:val="21"/>
              </w:rPr>
              <w:t>因子名称</w:t>
            </w:r>
          </w:p>
        </w:tc>
        <w:tc>
          <w:tcPr>
            <w:tcW w:w="1159" w:type="pct"/>
            <w:noWrap w:val="0"/>
            <w:vAlign w:val="center"/>
          </w:tcPr>
          <w:p w14:paraId="1D2C6098">
            <w:pPr>
              <w:jc w:val="center"/>
              <w:rPr>
                <w:rFonts w:eastAsia="楷体_GB2312"/>
                <w:szCs w:val="21"/>
              </w:rPr>
            </w:pPr>
            <w:r>
              <w:rPr>
                <w:rFonts w:eastAsia="楷体_GB2312"/>
                <w:szCs w:val="21"/>
              </w:rPr>
              <w:t>供电</w:t>
            </w:r>
          </w:p>
        </w:tc>
        <w:tc>
          <w:tcPr>
            <w:tcW w:w="1158" w:type="pct"/>
            <w:noWrap w:val="0"/>
            <w:vAlign w:val="center"/>
          </w:tcPr>
          <w:p w14:paraId="44A9451B">
            <w:pPr>
              <w:jc w:val="center"/>
              <w:rPr>
                <w:rFonts w:eastAsia="楷体_GB2312"/>
                <w:szCs w:val="21"/>
              </w:rPr>
            </w:pPr>
            <w:r>
              <w:rPr>
                <w:rFonts w:eastAsia="楷体_GB2312"/>
                <w:szCs w:val="21"/>
              </w:rPr>
              <w:t>供水</w:t>
            </w:r>
          </w:p>
        </w:tc>
        <w:tc>
          <w:tcPr>
            <w:tcW w:w="1158" w:type="pct"/>
            <w:noWrap w:val="0"/>
            <w:vAlign w:val="center"/>
          </w:tcPr>
          <w:p w14:paraId="711045C7">
            <w:pPr>
              <w:jc w:val="center"/>
              <w:rPr>
                <w:rFonts w:eastAsia="楷体_GB2312"/>
                <w:szCs w:val="21"/>
              </w:rPr>
            </w:pPr>
            <w:r>
              <w:rPr>
                <w:rFonts w:eastAsia="楷体_GB2312"/>
                <w:szCs w:val="21"/>
              </w:rPr>
              <w:t>排水</w:t>
            </w:r>
          </w:p>
        </w:tc>
        <w:tc>
          <w:tcPr>
            <w:tcW w:w="486" w:type="pct"/>
            <w:noWrap w:val="0"/>
            <w:vAlign w:val="center"/>
          </w:tcPr>
          <w:p w14:paraId="05541F59">
            <w:pPr>
              <w:jc w:val="center"/>
              <w:rPr>
                <w:rFonts w:eastAsia="楷体_GB2312"/>
                <w:szCs w:val="21"/>
              </w:rPr>
            </w:pPr>
            <w:r>
              <w:rPr>
                <w:rFonts w:eastAsia="楷体_GB2312"/>
                <w:szCs w:val="21"/>
              </w:rPr>
              <w:t>合计</w:t>
            </w:r>
          </w:p>
        </w:tc>
      </w:tr>
      <w:tr w14:paraId="764C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 w:hRule="atLeast"/>
          <w:jc w:val="center"/>
        </w:trPr>
        <w:tc>
          <w:tcPr>
            <w:tcW w:w="1039" w:type="pct"/>
            <w:noWrap w:val="0"/>
            <w:vAlign w:val="center"/>
          </w:tcPr>
          <w:p w14:paraId="7E7C0000">
            <w:pPr>
              <w:jc w:val="center"/>
              <w:rPr>
                <w:rFonts w:eastAsia="楷体_GB2312"/>
                <w:szCs w:val="21"/>
              </w:rPr>
            </w:pPr>
            <w:r>
              <w:rPr>
                <w:rFonts w:eastAsia="楷体_GB2312"/>
                <w:szCs w:val="21"/>
              </w:rPr>
              <w:t>平均值</w:t>
            </w:r>
          </w:p>
        </w:tc>
        <w:tc>
          <w:tcPr>
            <w:tcW w:w="1159" w:type="pct"/>
            <w:noWrap w:val="0"/>
            <w:vAlign w:val="center"/>
          </w:tcPr>
          <w:p w14:paraId="66CDCF25">
            <w:pPr>
              <w:jc w:val="center"/>
              <w:rPr>
                <w:szCs w:val="21"/>
              </w:rPr>
            </w:pPr>
            <w:r>
              <w:rPr>
                <w:szCs w:val="21"/>
              </w:rPr>
              <w:t>35.14</w:t>
            </w:r>
          </w:p>
        </w:tc>
        <w:tc>
          <w:tcPr>
            <w:tcW w:w="1158" w:type="pct"/>
            <w:noWrap w:val="0"/>
            <w:vAlign w:val="center"/>
          </w:tcPr>
          <w:p w14:paraId="6114568F">
            <w:pPr>
              <w:jc w:val="center"/>
              <w:rPr>
                <w:szCs w:val="21"/>
              </w:rPr>
            </w:pPr>
            <w:r>
              <w:rPr>
                <w:szCs w:val="21"/>
              </w:rPr>
              <w:t>34.12</w:t>
            </w:r>
          </w:p>
        </w:tc>
        <w:tc>
          <w:tcPr>
            <w:tcW w:w="1158" w:type="pct"/>
            <w:noWrap w:val="0"/>
            <w:vAlign w:val="center"/>
          </w:tcPr>
          <w:p w14:paraId="1AEFFE86">
            <w:pPr>
              <w:jc w:val="center"/>
              <w:rPr>
                <w:szCs w:val="21"/>
              </w:rPr>
            </w:pPr>
            <w:r>
              <w:rPr>
                <w:szCs w:val="21"/>
              </w:rPr>
              <w:t>30.74</w:t>
            </w:r>
          </w:p>
        </w:tc>
        <w:tc>
          <w:tcPr>
            <w:tcW w:w="486" w:type="pct"/>
            <w:noWrap w:val="0"/>
            <w:vAlign w:val="center"/>
          </w:tcPr>
          <w:p w14:paraId="088B778A">
            <w:pPr>
              <w:jc w:val="center"/>
              <w:rPr>
                <w:rFonts w:eastAsia="楷体_GB2312"/>
              </w:rPr>
            </w:pPr>
            <w:r>
              <w:rPr>
                <w:rFonts w:eastAsia="楷体_GB2312"/>
              </w:rPr>
              <w:t>100</w:t>
            </w:r>
          </w:p>
        </w:tc>
      </w:tr>
      <w:tr w14:paraId="401B9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039" w:type="pct"/>
            <w:noWrap w:val="0"/>
            <w:vAlign w:val="center"/>
          </w:tcPr>
          <w:p w14:paraId="18B9B951">
            <w:pPr>
              <w:jc w:val="center"/>
              <w:rPr>
                <w:rFonts w:eastAsia="楷体_GB2312"/>
                <w:szCs w:val="21"/>
              </w:rPr>
            </w:pPr>
            <w:r>
              <w:rPr>
                <w:rFonts w:eastAsia="楷体_GB2312"/>
                <w:szCs w:val="21"/>
              </w:rPr>
              <w:t>标准差</w:t>
            </w:r>
          </w:p>
        </w:tc>
        <w:tc>
          <w:tcPr>
            <w:tcW w:w="1159" w:type="pct"/>
            <w:noWrap w:val="0"/>
            <w:vAlign w:val="center"/>
          </w:tcPr>
          <w:p w14:paraId="287DC4C6">
            <w:pPr>
              <w:jc w:val="center"/>
              <w:rPr>
                <w:szCs w:val="21"/>
              </w:rPr>
            </w:pPr>
            <w:r>
              <w:rPr>
                <w:szCs w:val="21"/>
              </w:rPr>
              <w:t>0.80</w:t>
            </w:r>
          </w:p>
        </w:tc>
        <w:tc>
          <w:tcPr>
            <w:tcW w:w="1158" w:type="pct"/>
            <w:noWrap w:val="0"/>
            <w:vAlign w:val="center"/>
          </w:tcPr>
          <w:p w14:paraId="75490D82">
            <w:pPr>
              <w:jc w:val="center"/>
              <w:rPr>
                <w:szCs w:val="21"/>
              </w:rPr>
            </w:pPr>
            <w:r>
              <w:rPr>
                <w:szCs w:val="21"/>
              </w:rPr>
              <w:t>0.75</w:t>
            </w:r>
          </w:p>
        </w:tc>
        <w:tc>
          <w:tcPr>
            <w:tcW w:w="1158" w:type="pct"/>
            <w:noWrap w:val="0"/>
            <w:vAlign w:val="center"/>
          </w:tcPr>
          <w:p w14:paraId="00B4E2B9">
            <w:pPr>
              <w:jc w:val="center"/>
              <w:rPr>
                <w:szCs w:val="21"/>
              </w:rPr>
            </w:pPr>
            <w:r>
              <w:rPr>
                <w:szCs w:val="21"/>
              </w:rPr>
              <w:t>0.87</w:t>
            </w:r>
          </w:p>
        </w:tc>
        <w:tc>
          <w:tcPr>
            <w:tcW w:w="486" w:type="pct"/>
            <w:noWrap w:val="0"/>
            <w:vAlign w:val="center"/>
          </w:tcPr>
          <w:p w14:paraId="7119C835">
            <w:pPr>
              <w:jc w:val="center"/>
              <w:rPr>
                <w:rFonts w:eastAsia="楷体_GB2312"/>
              </w:rPr>
            </w:pPr>
            <w:r>
              <w:rPr>
                <w:rFonts w:eastAsia="楷体_GB2312"/>
              </w:rPr>
              <w:t>——</w:t>
            </w:r>
          </w:p>
        </w:tc>
      </w:tr>
    </w:tbl>
    <w:p w14:paraId="4F1D711A">
      <w:pPr>
        <w:pStyle w:val="20"/>
        <w:spacing w:before="120" w:beforeLines="50"/>
        <w:jc w:val="center"/>
        <w:rPr>
          <w:rFonts w:ascii="Times New Roman" w:hAnsi="Times New Roman" w:eastAsia="黑体" w:cs="Times New Roman"/>
          <w:sz w:val="28"/>
        </w:rPr>
      </w:pPr>
      <w:r>
        <w:rPr>
          <w:rFonts w:ascii="Times New Roman" w:hAnsi="Times New Roman" w:eastAsia="黑体" w:cs="Times New Roman"/>
          <w:sz w:val="28"/>
        </w:rPr>
        <w:t>表1-2-1</w:t>
      </w:r>
      <w:r>
        <w:rPr>
          <w:rFonts w:hint="eastAsia" w:ascii="Times New Roman" w:hAnsi="Times New Roman" w:eastAsia="黑体" w:cs="Times New Roman"/>
          <w:sz w:val="28"/>
        </w:rPr>
        <w:t>5</w:t>
      </w:r>
      <w:r>
        <w:rPr>
          <w:rFonts w:ascii="Times New Roman" w:hAnsi="Times New Roman" w:eastAsia="黑体" w:cs="Times New Roman"/>
          <w:sz w:val="28"/>
        </w:rPr>
        <w:t xml:space="preserve">  埇桥区符离镇、大泽乡镇、曹村镇镇区综合定级公用设施完备度因子权重确定表（第二轮打分结果）</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960"/>
        <w:gridCol w:w="1067"/>
        <w:gridCol w:w="1170"/>
        <w:gridCol w:w="956"/>
        <w:gridCol w:w="1119"/>
        <w:gridCol w:w="1049"/>
        <w:gridCol w:w="1281"/>
      </w:tblGrid>
      <w:tr w14:paraId="2F09D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10" w:type="pct"/>
            <w:noWrap w:val="0"/>
            <w:vAlign w:val="center"/>
          </w:tcPr>
          <w:p w14:paraId="700A587C">
            <w:pPr>
              <w:jc w:val="center"/>
              <w:rPr>
                <w:rFonts w:eastAsia="楷体_GB2312"/>
              </w:rPr>
            </w:pPr>
            <w:r>
              <w:rPr>
                <w:rFonts w:eastAsia="楷体_GB2312"/>
              </w:rPr>
              <w:t>因子名称</w:t>
            </w:r>
          </w:p>
        </w:tc>
        <w:tc>
          <w:tcPr>
            <w:tcW w:w="529" w:type="pct"/>
            <w:noWrap w:val="0"/>
            <w:vAlign w:val="center"/>
          </w:tcPr>
          <w:p w14:paraId="2DA57102">
            <w:pPr>
              <w:jc w:val="center"/>
              <w:rPr>
                <w:rFonts w:eastAsia="楷体_GB2312"/>
              </w:rPr>
            </w:pPr>
            <w:r>
              <w:rPr>
                <w:rFonts w:eastAsia="楷体_GB2312"/>
              </w:rPr>
              <w:t>中学</w:t>
            </w:r>
          </w:p>
        </w:tc>
        <w:tc>
          <w:tcPr>
            <w:tcW w:w="588" w:type="pct"/>
            <w:noWrap w:val="0"/>
            <w:vAlign w:val="center"/>
          </w:tcPr>
          <w:p w14:paraId="0124296C">
            <w:pPr>
              <w:jc w:val="center"/>
              <w:rPr>
                <w:rFonts w:eastAsia="楷体_GB2312"/>
              </w:rPr>
            </w:pPr>
            <w:r>
              <w:rPr>
                <w:rFonts w:eastAsia="楷体_GB2312"/>
              </w:rPr>
              <w:t>小学</w:t>
            </w:r>
          </w:p>
        </w:tc>
        <w:tc>
          <w:tcPr>
            <w:tcW w:w="645" w:type="pct"/>
            <w:noWrap w:val="0"/>
            <w:vAlign w:val="center"/>
          </w:tcPr>
          <w:p w14:paraId="4DE26B65">
            <w:pPr>
              <w:ind w:left="-63" w:leftChars="-30" w:right="-40" w:rightChars="-19"/>
              <w:jc w:val="center"/>
              <w:rPr>
                <w:rFonts w:eastAsia="楷体_GB2312"/>
              </w:rPr>
            </w:pPr>
            <w:r>
              <w:rPr>
                <w:rFonts w:eastAsia="楷体_GB2312"/>
              </w:rPr>
              <w:t>幼儿园</w:t>
            </w:r>
          </w:p>
        </w:tc>
        <w:tc>
          <w:tcPr>
            <w:tcW w:w="527" w:type="pct"/>
            <w:noWrap w:val="0"/>
            <w:vAlign w:val="center"/>
          </w:tcPr>
          <w:p w14:paraId="017AF8C0">
            <w:pPr>
              <w:pStyle w:val="150"/>
              <w:spacing w:line="240" w:lineRule="auto"/>
              <w:rPr>
                <w:rFonts w:eastAsia="楷体_GB2312"/>
              </w:rPr>
            </w:pPr>
            <w:r>
              <w:rPr>
                <w:rFonts w:eastAsia="楷体_GB2312"/>
              </w:rPr>
              <w:t>医院</w:t>
            </w:r>
          </w:p>
        </w:tc>
        <w:tc>
          <w:tcPr>
            <w:tcW w:w="617" w:type="pct"/>
            <w:noWrap w:val="0"/>
            <w:vAlign w:val="center"/>
          </w:tcPr>
          <w:p w14:paraId="4DCD64BF">
            <w:pPr>
              <w:jc w:val="center"/>
              <w:rPr>
                <w:rFonts w:eastAsia="楷体_GB2312"/>
              </w:rPr>
            </w:pPr>
            <w:r>
              <w:rPr>
                <w:rFonts w:eastAsia="楷体_GB2312"/>
              </w:rPr>
              <w:t>农贸市场</w:t>
            </w:r>
          </w:p>
        </w:tc>
        <w:tc>
          <w:tcPr>
            <w:tcW w:w="578" w:type="pct"/>
            <w:noWrap w:val="0"/>
            <w:vAlign w:val="center"/>
          </w:tcPr>
          <w:p w14:paraId="06286865">
            <w:pPr>
              <w:jc w:val="center"/>
              <w:rPr>
                <w:rFonts w:eastAsia="楷体_GB2312"/>
              </w:rPr>
            </w:pPr>
            <w:r>
              <w:rPr>
                <w:rFonts w:eastAsia="楷体_GB2312"/>
              </w:rPr>
              <w:t>银行</w:t>
            </w:r>
          </w:p>
        </w:tc>
        <w:tc>
          <w:tcPr>
            <w:tcW w:w="706" w:type="pct"/>
            <w:noWrap w:val="0"/>
            <w:vAlign w:val="center"/>
          </w:tcPr>
          <w:p w14:paraId="21357F7D">
            <w:pPr>
              <w:jc w:val="center"/>
              <w:rPr>
                <w:rFonts w:eastAsia="楷体_GB2312"/>
              </w:rPr>
            </w:pPr>
            <w:r>
              <w:rPr>
                <w:rFonts w:eastAsia="楷体_GB2312"/>
              </w:rPr>
              <w:t>合 计</w:t>
            </w:r>
          </w:p>
        </w:tc>
      </w:tr>
      <w:tr w14:paraId="1378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810" w:type="pct"/>
            <w:noWrap w:val="0"/>
            <w:vAlign w:val="center"/>
          </w:tcPr>
          <w:p w14:paraId="085D8BF8">
            <w:pPr>
              <w:jc w:val="center"/>
              <w:rPr>
                <w:rFonts w:eastAsia="楷体_GB2312"/>
              </w:rPr>
            </w:pPr>
            <w:r>
              <w:rPr>
                <w:rFonts w:eastAsia="楷体_GB2312"/>
              </w:rPr>
              <w:t>平均值</w:t>
            </w:r>
          </w:p>
        </w:tc>
        <w:tc>
          <w:tcPr>
            <w:tcW w:w="529" w:type="pct"/>
            <w:noWrap w:val="0"/>
            <w:vAlign w:val="center"/>
          </w:tcPr>
          <w:p w14:paraId="262CF272">
            <w:pPr>
              <w:jc w:val="center"/>
              <w:rPr>
                <w:szCs w:val="21"/>
              </w:rPr>
            </w:pPr>
            <w:r>
              <w:rPr>
                <w:szCs w:val="21"/>
              </w:rPr>
              <w:t>20.55</w:t>
            </w:r>
          </w:p>
        </w:tc>
        <w:tc>
          <w:tcPr>
            <w:tcW w:w="588" w:type="pct"/>
            <w:noWrap w:val="0"/>
            <w:vAlign w:val="center"/>
          </w:tcPr>
          <w:p w14:paraId="7037C95C">
            <w:pPr>
              <w:jc w:val="center"/>
              <w:rPr>
                <w:szCs w:val="21"/>
              </w:rPr>
            </w:pPr>
            <w:r>
              <w:rPr>
                <w:szCs w:val="21"/>
              </w:rPr>
              <w:t>19.04</w:t>
            </w:r>
          </w:p>
        </w:tc>
        <w:tc>
          <w:tcPr>
            <w:tcW w:w="645" w:type="pct"/>
            <w:noWrap w:val="0"/>
            <w:vAlign w:val="center"/>
          </w:tcPr>
          <w:p w14:paraId="21A81A43">
            <w:pPr>
              <w:jc w:val="center"/>
              <w:rPr>
                <w:szCs w:val="21"/>
              </w:rPr>
            </w:pPr>
            <w:r>
              <w:rPr>
                <w:szCs w:val="21"/>
              </w:rPr>
              <w:t>17.65</w:t>
            </w:r>
          </w:p>
        </w:tc>
        <w:tc>
          <w:tcPr>
            <w:tcW w:w="527" w:type="pct"/>
            <w:noWrap w:val="0"/>
            <w:vAlign w:val="center"/>
          </w:tcPr>
          <w:p w14:paraId="1D50FE88">
            <w:pPr>
              <w:jc w:val="center"/>
              <w:rPr>
                <w:szCs w:val="21"/>
              </w:rPr>
            </w:pPr>
            <w:r>
              <w:rPr>
                <w:szCs w:val="21"/>
              </w:rPr>
              <w:t>17.49</w:t>
            </w:r>
          </w:p>
        </w:tc>
        <w:tc>
          <w:tcPr>
            <w:tcW w:w="617" w:type="pct"/>
            <w:noWrap w:val="0"/>
            <w:vAlign w:val="center"/>
          </w:tcPr>
          <w:p w14:paraId="309FA642">
            <w:pPr>
              <w:jc w:val="center"/>
              <w:rPr>
                <w:szCs w:val="21"/>
              </w:rPr>
            </w:pPr>
            <w:r>
              <w:rPr>
                <w:szCs w:val="21"/>
              </w:rPr>
              <w:t>13.46</w:t>
            </w:r>
          </w:p>
        </w:tc>
        <w:tc>
          <w:tcPr>
            <w:tcW w:w="578" w:type="pct"/>
            <w:noWrap w:val="0"/>
            <w:vAlign w:val="center"/>
          </w:tcPr>
          <w:p w14:paraId="11904124">
            <w:pPr>
              <w:jc w:val="center"/>
              <w:rPr>
                <w:szCs w:val="21"/>
              </w:rPr>
            </w:pPr>
            <w:r>
              <w:rPr>
                <w:szCs w:val="21"/>
              </w:rPr>
              <w:t>11.81</w:t>
            </w:r>
          </w:p>
        </w:tc>
        <w:tc>
          <w:tcPr>
            <w:tcW w:w="706" w:type="pct"/>
            <w:noWrap w:val="0"/>
            <w:vAlign w:val="center"/>
          </w:tcPr>
          <w:p w14:paraId="7A19F18C">
            <w:pPr>
              <w:jc w:val="center"/>
              <w:rPr>
                <w:rFonts w:eastAsia="楷体_GB2312"/>
              </w:rPr>
            </w:pPr>
            <w:r>
              <w:rPr>
                <w:rFonts w:eastAsia="楷体_GB2312"/>
              </w:rPr>
              <w:fldChar w:fldCharType="begin"/>
            </w:r>
            <w:r>
              <w:rPr>
                <w:rFonts w:eastAsia="楷体_GB2312"/>
              </w:rPr>
              <w:instrText xml:space="preserve"> =SUM(LEFT) </w:instrText>
            </w:r>
            <w:r>
              <w:rPr>
                <w:rFonts w:eastAsia="楷体_GB2312"/>
              </w:rPr>
              <w:fldChar w:fldCharType="separate"/>
            </w:r>
            <w:r>
              <w:rPr>
                <w:rFonts w:eastAsia="楷体_GB2312"/>
              </w:rPr>
              <w:t>100</w:t>
            </w:r>
            <w:r>
              <w:rPr>
                <w:rFonts w:eastAsia="楷体_GB2312"/>
              </w:rPr>
              <w:fldChar w:fldCharType="end"/>
            </w:r>
          </w:p>
        </w:tc>
      </w:tr>
      <w:tr w14:paraId="3FD7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10" w:type="pct"/>
            <w:noWrap w:val="0"/>
            <w:vAlign w:val="center"/>
          </w:tcPr>
          <w:p w14:paraId="5ABB1B13">
            <w:pPr>
              <w:jc w:val="center"/>
              <w:rPr>
                <w:rFonts w:eastAsia="楷体_GB2312"/>
              </w:rPr>
            </w:pPr>
            <w:r>
              <w:rPr>
                <w:rFonts w:eastAsia="楷体_GB2312"/>
              </w:rPr>
              <w:t>标准差</w:t>
            </w:r>
          </w:p>
        </w:tc>
        <w:tc>
          <w:tcPr>
            <w:tcW w:w="529" w:type="pct"/>
            <w:noWrap w:val="0"/>
            <w:vAlign w:val="center"/>
          </w:tcPr>
          <w:p w14:paraId="070167BA">
            <w:pPr>
              <w:jc w:val="center"/>
              <w:rPr>
                <w:szCs w:val="21"/>
              </w:rPr>
            </w:pPr>
            <w:r>
              <w:rPr>
                <w:szCs w:val="21"/>
              </w:rPr>
              <w:t>1.45</w:t>
            </w:r>
          </w:p>
        </w:tc>
        <w:tc>
          <w:tcPr>
            <w:tcW w:w="588" w:type="pct"/>
            <w:noWrap w:val="0"/>
            <w:vAlign w:val="center"/>
          </w:tcPr>
          <w:p w14:paraId="0883CAFA">
            <w:pPr>
              <w:jc w:val="center"/>
              <w:rPr>
                <w:szCs w:val="21"/>
              </w:rPr>
            </w:pPr>
            <w:r>
              <w:rPr>
                <w:szCs w:val="21"/>
              </w:rPr>
              <w:t>1.26</w:t>
            </w:r>
          </w:p>
        </w:tc>
        <w:tc>
          <w:tcPr>
            <w:tcW w:w="645" w:type="pct"/>
            <w:noWrap w:val="0"/>
            <w:vAlign w:val="center"/>
          </w:tcPr>
          <w:p w14:paraId="244A6BBA">
            <w:pPr>
              <w:jc w:val="center"/>
              <w:rPr>
                <w:szCs w:val="21"/>
              </w:rPr>
            </w:pPr>
            <w:r>
              <w:rPr>
                <w:szCs w:val="21"/>
              </w:rPr>
              <w:t>1.28</w:t>
            </w:r>
          </w:p>
        </w:tc>
        <w:tc>
          <w:tcPr>
            <w:tcW w:w="527" w:type="pct"/>
            <w:noWrap w:val="0"/>
            <w:vAlign w:val="center"/>
          </w:tcPr>
          <w:p w14:paraId="25085867">
            <w:pPr>
              <w:jc w:val="center"/>
              <w:rPr>
                <w:szCs w:val="21"/>
              </w:rPr>
            </w:pPr>
            <w:r>
              <w:rPr>
                <w:szCs w:val="21"/>
              </w:rPr>
              <w:t>1.36</w:t>
            </w:r>
          </w:p>
        </w:tc>
        <w:tc>
          <w:tcPr>
            <w:tcW w:w="617" w:type="pct"/>
            <w:noWrap w:val="0"/>
            <w:vAlign w:val="center"/>
          </w:tcPr>
          <w:p w14:paraId="2268D7D4">
            <w:pPr>
              <w:jc w:val="center"/>
              <w:rPr>
                <w:szCs w:val="21"/>
              </w:rPr>
            </w:pPr>
            <w:r>
              <w:rPr>
                <w:szCs w:val="21"/>
              </w:rPr>
              <w:t>1.76</w:t>
            </w:r>
          </w:p>
        </w:tc>
        <w:tc>
          <w:tcPr>
            <w:tcW w:w="578" w:type="pct"/>
            <w:noWrap w:val="0"/>
            <w:vAlign w:val="center"/>
          </w:tcPr>
          <w:p w14:paraId="07D52786">
            <w:pPr>
              <w:jc w:val="center"/>
              <w:rPr>
                <w:szCs w:val="21"/>
              </w:rPr>
            </w:pPr>
            <w:r>
              <w:rPr>
                <w:szCs w:val="21"/>
              </w:rPr>
              <w:t>1.02</w:t>
            </w:r>
          </w:p>
        </w:tc>
        <w:tc>
          <w:tcPr>
            <w:tcW w:w="706" w:type="pct"/>
            <w:noWrap w:val="0"/>
            <w:vAlign w:val="center"/>
          </w:tcPr>
          <w:p w14:paraId="0C21B5F1">
            <w:pPr>
              <w:jc w:val="center"/>
              <w:rPr>
                <w:rFonts w:eastAsia="楷体_GB2312"/>
              </w:rPr>
            </w:pPr>
            <w:r>
              <w:rPr>
                <w:rFonts w:eastAsia="楷体_GB2312"/>
              </w:rPr>
              <w:t>——</w:t>
            </w:r>
          </w:p>
        </w:tc>
      </w:tr>
    </w:tbl>
    <w:p w14:paraId="375F987F">
      <w:pPr>
        <w:pStyle w:val="20"/>
        <w:spacing w:line="480" w:lineRule="exact"/>
        <w:ind w:firstLine="560" w:firstLineChars="200"/>
        <w:rPr>
          <w:rFonts w:ascii="Times New Roman" w:hAnsi="Times New Roman" w:eastAsia="楷体_GB2312" w:cs="Times New Roman"/>
          <w:sz w:val="28"/>
        </w:rPr>
      </w:pPr>
      <w:r>
        <w:rPr>
          <w:rFonts w:hint="eastAsia" w:ascii="楷体" w:hAnsi="楷体" w:eastAsia="楷体" w:cs="楷体_GB2312"/>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朱仙庄镇等19个乡镇第二轮专家打分结果见表1-2-1</w:t>
      </w:r>
      <w:r>
        <w:rPr>
          <w:rFonts w:hint="eastAsia" w:ascii="Times New Roman" w:hAnsi="Times New Roman" w:eastAsia="楷体_GB2312" w:cs="Times New Roman"/>
          <w:sz w:val="28"/>
        </w:rPr>
        <w:t>6</w:t>
      </w:r>
      <w:r>
        <w:rPr>
          <w:rFonts w:ascii="Times New Roman" w:hAnsi="Times New Roman" w:eastAsia="楷体_GB2312" w:cs="Times New Roman"/>
          <w:sz w:val="28"/>
        </w:rPr>
        <w:t>至1-2-1</w:t>
      </w:r>
      <w:r>
        <w:rPr>
          <w:rFonts w:hint="eastAsia" w:ascii="Times New Roman" w:hAnsi="Times New Roman" w:eastAsia="楷体_GB2312" w:cs="Times New Roman"/>
          <w:sz w:val="28"/>
        </w:rPr>
        <w:t>8</w:t>
      </w:r>
      <w:r>
        <w:rPr>
          <w:rFonts w:ascii="Times New Roman" w:hAnsi="Times New Roman" w:eastAsia="楷体_GB2312" w:cs="Times New Roman"/>
          <w:sz w:val="28"/>
        </w:rPr>
        <w:t>：</w:t>
      </w:r>
    </w:p>
    <w:p w14:paraId="5FED1ABA">
      <w:pPr>
        <w:pStyle w:val="20"/>
        <w:spacing w:before="120" w:beforeLines="50"/>
        <w:jc w:val="center"/>
        <w:rPr>
          <w:rFonts w:ascii="Times New Roman" w:hAnsi="Times New Roman" w:eastAsia="黑体" w:cs="Times New Roman"/>
          <w:sz w:val="28"/>
        </w:rPr>
      </w:pPr>
      <w:r>
        <w:rPr>
          <w:rFonts w:ascii="Times New Roman" w:hAnsi="Times New Roman" w:eastAsia="黑体" w:cs="Times New Roman"/>
          <w:sz w:val="28"/>
        </w:rPr>
        <w:t>表1-2-1</w:t>
      </w:r>
      <w:r>
        <w:rPr>
          <w:rFonts w:hint="eastAsia" w:ascii="Times New Roman" w:hAnsi="Times New Roman" w:eastAsia="黑体" w:cs="Times New Roman"/>
          <w:sz w:val="28"/>
        </w:rPr>
        <w:t>6</w:t>
      </w:r>
      <w:r>
        <w:rPr>
          <w:rFonts w:ascii="Times New Roman" w:hAnsi="Times New Roman" w:eastAsia="黑体" w:cs="Times New Roman"/>
          <w:sz w:val="28"/>
        </w:rPr>
        <w:t xml:space="preserve">  埇桥区朱仙庄镇等19个乡镇镇区综合定级因素权重表（第二轮打分结果）</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150"/>
        <w:gridCol w:w="879"/>
        <w:gridCol w:w="1081"/>
        <w:gridCol w:w="1116"/>
        <w:gridCol w:w="1116"/>
        <w:gridCol w:w="1116"/>
        <w:gridCol w:w="1116"/>
        <w:gridCol w:w="700"/>
      </w:tblGrid>
      <w:tr w14:paraId="0896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8" w:type="dxa"/>
            <w:vMerge w:val="restart"/>
            <w:noWrap w:val="0"/>
            <w:vAlign w:val="center"/>
          </w:tcPr>
          <w:p w14:paraId="7F80A9D4">
            <w:pPr>
              <w:jc w:val="center"/>
              <w:rPr>
                <w:rFonts w:eastAsia="楷体_GB2312"/>
                <w:spacing w:val="-20"/>
              </w:rPr>
            </w:pPr>
            <w:r>
              <w:rPr>
                <w:rFonts w:eastAsia="楷体_GB2312"/>
                <w:spacing w:val="-20"/>
              </w:rPr>
              <w:t>因素</w:t>
            </w:r>
          </w:p>
        </w:tc>
        <w:tc>
          <w:tcPr>
            <w:tcW w:w="1150" w:type="dxa"/>
            <w:noWrap w:val="0"/>
            <w:vAlign w:val="center"/>
          </w:tcPr>
          <w:p w14:paraId="7F9D6E52">
            <w:pPr>
              <w:jc w:val="center"/>
              <w:rPr>
                <w:rFonts w:eastAsia="楷体_GB2312"/>
              </w:rPr>
            </w:pPr>
            <w:r>
              <w:rPr>
                <w:rFonts w:eastAsia="楷体_GB2312"/>
                <w:spacing w:val="-24"/>
              </w:rPr>
              <w:t>繁华程度</w:t>
            </w:r>
          </w:p>
        </w:tc>
        <w:tc>
          <w:tcPr>
            <w:tcW w:w="1960" w:type="dxa"/>
            <w:gridSpan w:val="2"/>
            <w:noWrap w:val="0"/>
            <w:vAlign w:val="center"/>
          </w:tcPr>
          <w:p w14:paraId="2DABF777">
            <w:pPr>
              <w:jc w:val="center"/>
              <w:rPr>
                <w:rFonts w:eastAsia="楷体_GB2312"/>
              </w:rPr>
            </w:pPr>
            <w:r>
              <w:rPr>
                <w:rFonts w:eastAsia="楷体_GB2312"/>
              </w:rPr>
              <w:t>交通条件</w:t>
            </w:r>
          </w:p>
        </w:tc>
        <w:tc>
          <w:tcPr>
            <w:tcW w:w="2232" w:type="dxa"/>
            <w:gridSpan w:val="2"/>
            <w:noWrap w:val="0"/>
            <w:vAlign w:val="center"/>
          </w:tcPr>
          <w:p w14:paraId="067B357F">
            <w:pPr>
              <w:jc w:val="center"/>
              <w:rPr>
                <w:rFonts w:eastAsia="楷体_GB2312"/>
              </w:rPr>
            </w:pPr>
            <w:r>
              <w:rPr>
                <w:rFonts w:eastAsia="楷体_GB2312"/>
              </w:rPr>
              <w:t>基本设施状况</w:t>
            </w:r>
          </w:p>
        </w:tc>
        <w:tc>
          <w:tcPr>
            <w:tcW w:w="2232" w:type="dxa"/>
            <w:gridSpan w:val="2"/>
            <w:noWrap w:val="0"/>
            <w:vAlign w:val="center"/>
          </w:tcPr>
          <w:p w14:paraId="7D2E19D9">
            <w:pPr>
              <w:jc w:val="center"/>
              <w:rPr>
                <w:rFonts w:eastAsia="楷体_GB2312"/>
                <w:spacing w:val="-24"/>
              </w:rPr>
            </w:pPr>
            <w:r>
              <w:rPr>
                <w:rFonts w:eastAsia="楷体_GB2312"/>
              </w:rPr>
              <w:t>环境条件</w:t>
            </w:r>
          </w:p>
        </w:tc>
        <w:tc>
          <w:tcPr>
            <w:tcW w:w="700" w:type="dxa"/>
            <w:vMerge w:val="restart"/>
            <w:noWrap w:val="0"/>
            <w:vAlign w:val="center"/>
          </w:tcPr>
          <w:p w14:paraId="6D941267">
            <w:pPr>
              <w:jc w:val="center"/>
              <w:rPr>
                <w:rFonts w:eastAsia="楷体_GB2312"/>
                <w:spacing w:val="-20"/>
              </w:rPr>
            </w:pPr>
            <w:r>
              <w:rPr>
                <w:rFonts w:eastAsia="楷体_GB2312"/>
                <w:spacing w:val="-20"/>
              </w:rPr>
              <w:t>合计</w:t>
            </w:r>
          </w:p>
        </w:tc>
      </w:tr>
      <w:tr w14:paraId="7593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8" w:type="dxa"/>
            <w:vMerge w:val="continue"/>
            <w:noWrap w:val="0"/>
            <w:vAlign w:val="center"/>
          </w:tcPr>
          <w:p w14:paraId="01ADE660">
            <w:pPr>
              <w:jc w:val="center"/>
              <w:rPr>
                <w:rFonts w:eastAsia="楷体_GB2312"/>
                <w:spacing w:val="-20"/>
              </w:rPr>
            </w:pPr>
          </w:p>
        </w:tc>
        <w:tc>
          <w:tcPr>
            <w:tcW w:w="1150" w:type="dxa"/>
            <w:noWrap w:val="0"/>
            <w:vAlign w:val="center"/>
          </w:tcPr>
          <w:p w14:paraId="7A666B51">
            <w:pPr>
              <w:jc w:val="center"/>
              <w:rPr>
                <w:rFonts w:eastAsia="楷体_GB2312"/>
              </w:rPr>
            </w:pPr>
            <w:r>
              <w:rPr>
                <w:rFonts w:eastAsia="楷体_GB2312"/>
              </w:rPr>
              <w:t>商服繁华影响度</w:t>
            </w:r>
          </w:p>
        </w:tc>
        <w:tc>
          <w:tcPr>
            <w:tcW w:w="879" w:type="dxa"/>
            <w:noWrap w:val="0"/>
            <w:vAlign w:val="center"/>
          </w:tcPr>
          <w:p w14:paraId="412BECFE">
            <w:pPr>
              <w:jc w:val="center"/>
              <w:rPr>
                <w:rFonts w:eastAsia="楷体_GB2312"/>
              </w:rPr>
            </w:pPr>
            <w:r>
              <w:rPr>
                <w:rFonts w:eastAsia="楷体_GB2312"/>
              </w:rPr>
              <w:t>道路通达度</w:t>
            </w:r>
          </w:p>
        </w:tc>
        <w:tc>
          <w:tcPr>
            <w:tcW w:w="1081" w:type="dxa"/>
            <w:noWrap w:val="0"/>
            <w:vAlign w:val="center"/>
          </w:tcPr>
          <w:p w14:paraId="65F24268">
            <w:pPr>
              <w:jc w:val="center"/>
              <w:rPr>
                <w:rFonts w:eastAsia="楷体_GB2312"/>
              </w:rPr>
            </w:pPr>
            <w:r>
              <w:rPr>
                <w:rFonts w:eastAsia="楷体_GB2312"/>
              </w:rPr>
              <w:t>对外交通便利度</w:t>
            </w:r>
          </w:p>
        </w:tc>
        <w:tc>
          <w:tcPr>
            <w:tcW w:w="1116" w:type="dxa"/>
            <w:noWrap w:val="0"/>
            <w:vAlign w:val="center"/>
          </w:tcPr>
          <w:p w14:paraId="17F2AD94">
            <w:pPr>
              <w:jc w:val="center"/>
              <w:rPr>
                <w:rFonts w:eastAsia="楷体_GB2312"/>
              </w:rPr>
            </w:pPr>
            <w:r>
              <w:rPr>
                <w:rFonts w:eastAsia="楷体_GB2312"/>
              </w:rPr>
              <w:t>基础设施完善度</w:t>
            </w:r>
          </w:p>
        </w:tc>
        <w:tc>
          <w:tcPr>
            <w:tcW w:w="1116" w:type="dxa"/>
            <w:noWrap w:val="0"/>
            <w:vAlign w:val="center"/>
          </w:tcPr>
          <w:p w14:paraId="5C2F01DE">
            <w:pPr>
              <w:jc w:val="center"/>
              <w:rPr>
                <w:rFonts w:eastAsia="楷体_GB2312"/>
              </w:rPr>
            </w:pPr>
            <w:r>
              <w:rPr>
                <w:rFonts w:eastAsia="楷体_GB2312"/>
              </w:rPr>
              <w:t>公用设施完备度</w:t>
            </w:r>
          </w:p>
        </w:tc>
        <w:tc>
          <w:tcPr>
            <w:tcW w:w="1116" w:type="dxa"/>
            <w:noWrap w:val="0"/>
            <w:vAlign w:val="center"/>
          </w:tcPr>
          <w:p w14:paraId="24C03C4E">
            <w:pPr>
              <w:spacing w:line="300" w:lineRule="exact"/>
              <w:jc w:val="center"/>
              <w:rPr>
                <w:rFonts w:eastAsia="楷体_GB2312"/>
                <w:spacing w:val="-8"/>
                <w:szCs w:val="21"/>
              </w:rPr>
            </w:pPr>
            <w:r>
              <w:rPr>
                <w:rFonts w:eastAsia="楷体_GB2312"/>
                <w:spacing w:val="-8"/>
                <w:szCs w:val="21"/>
              </w:rPr>
              <w:t>环境质量优劣度</w:t>
            </w:r>
          </w:p>
        </w:tc>
        <w:tc>
          <w:tcPr>
            <w:tcW w:w="1116" w:type="dxa"/>
            <w:noWrap w:val="0"/>
            <w:vAlign w:val="center"/>
          </w:tcPr>
          <w:p w14:paraId="4AF209E9">
            <w:pPr>
              <w:spacing w:line="300" w:lineRule="exact"/>
              <w:jc w:val="center"/>
              <w:rPr>
                <w:rFonts w:eastAsia="楷体_GB2312"/>
                <w:spacing w:val="-8"/>
                <w:szCs w:val="21"/>
              </w:rPr>
            </w:pPr>
            <w:r>
              <w:rPr>
                <w:rFonts w:eastAsia="楷体_GB2312"/>
                <w:spacing w:val="-8"/>
                <w:szCs w:val="21"/>
              </w:rPr>
              <w:t>自然条件优劣度</w:t>
            </w:r>
          </w:p>
        </w:tc>
        <w:tc>
          <w:tcPr>
            <w:tcW w:w="700" w:type="dxa"/>
            <w:vMerge w:val="continue"/>
            <w:noWrap w:val="0"/>
            <w:vAlign w:val="center"/>
          </w:tcPr>
          <w:p w14:paraId="4F65682B">
            <w:pPr>
              <w:jc w:val="center"/>
              <w:rPr>
                <w:rFonts w:eastAsia="楷体_GB2312"/>
                <w:spacing w:val="-20"/>
              </w:rPr>
            </w:pPr>
          </w:p>
        </w:tc>
      </w:tr>
      <w:tr w14:paraId="1B234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8" w:type="dxa"/>
            <w:vMerge w:val="restart"/>
            <w:noWrap w:val="0"/>
            <w:vAlign w:val="center"/>
          </w:tcPr>
          <w:p w14:paraId="5E58A538">
            <w:pPr>
              <w:jc w:val="center"/>
              <w:rPr>
                <w:rFonts w:eastAsia="楷体_GB2312"/>
                <w:spacing w:val="-20"/>
              </w:rPr>
            </w:pPr>
            <w:r>
              <w:rPr>
                <w:rFonts w:eastAsia="楷体_GB2312"/>
                <w:spacing w:val="-20"/>
              </w:rPr>
              <w:t>平均值</w:t>
            </w:r>
          </w:p>
        </w:tc>
        <w:tc>
          <w:tcPr>
            <w:tcW w:w="1150" w:type="dxa"/>
            <w:noWrap w:val="0"/>
            <w:vAlign w:val="center"/>
          </w:tcPr>
          <w:p w14:paraId="6D81ECE5">
            <w:pPr>
              <w:jc w:val="center"/>
              <w:rPr>
                <w:szCs w:val="21"/>
              </w:rPr>
            </w:pPr>
            <w:r>
              <w:rPr>
                <w:szCs w:val="21"/>
              </w:rPr>
              <w:t>29.72</w:t>
            </w:r>
          </w:p>
        </w:tc>
        <w:tc>
          <w:tcPr>
            <w:tcW w:w="1960" w:type="dxa"/>
            <w:gridSpan w:val="2"/>
            <w:noWrap w:val="0"/>
            <w:vAlign w:val="center"/>
          </w:tcPr>
          <w:p w14:paraId="3E4E875B">
            <w:pPr>
              <w:jc w:val="center"/>
              <w:rPr>
                <w:szCs w:val="21"/>
              </w:rPr>
            </w:pPr>
            <w:r>
              <w:rPr>
                <w:szCs w:val="21"/>
              </w:rPr>
              <w:t>27.35</w:t>
            </w:r>
          </w:p>
        </w:tc>
        <w:tc>
          <w:tcPr>
            <w:tcW w:w="2232" w:type="dxa"/>
            <w:gridSpan w:val="2"/>
            <w:noWrap w:val="0"/>
            <w:vAlign w:val="center"/>
          </w:tcPr>
          <w:p w14:paraId="1C9D3ED4">
            <w:pPr>
              <w:jc w:val="center"/>
              <w:rPr>
                <w:szCs w:val="21"/>
              </w:rPr>
            </w:pPr>
            <w:r>
              <w:rPr>
                <w:szCs w:val="21"/>
              </w:rPr>
              <w:t>24.27</w:t>
            </w:r>
          </w:p>
        </w:tc>
        <w:tc>
          <w:tcPr>
            <w:tcW w:w="2232" w:type="dxa"/>
            <w:gridSpan w:val="2"/>
            <w:noWrap w:val="0"/>
            <w:vAlign w:val="center"/>
          </w:tcPr>
          <w:p w14:paraId="7DBCF1EF">
            <w:pPr>
              <w:jc w:val="center"/>
              <w:rPr>
                <w:szCs w:val="21"/>
              </w:rPr>
            </w:pPr>
            <w:r>
              <w:rPr>
                <w:szCs w:val="21"/>
              </w:rPr>
              <w:t>18.66</w:t>
            </w:r>
          </w:p>
        </w:tc>
        <w:tc>
          <w:tcPr>
            <w:tcW w:w="700" w:type="dxa"/>
            <w:noWrap w:val="0"/>
            <w:vAlign w:val="center"/>
          </w:tcPr>
          <w:p w14:paraId="64CCC697">
            <w:pPr>
              <w:jc w:val="center"/>
              <w:rPr>
                <w:rFonts w:eastAsia="楷体_GB2312"/>
              </w:rPr>
            </w:pPr>
            <w:r>
              <w:rPr>
                <w:rFonts w:eastAsia="楷体_GB2312"/>
              </w:rPr>
              <w:t>100</w:t>
            </w:r>
          </w:p>
        </w:tc>
      </w:tr>
      <w:tr w14:paraId="2760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8" w:type="dxa"/>
            <w:vMerge w:val="continue"/>
            <w:noWrap w:val="0"/>
            <w:vAlign w:val="center"/>
          </w:tcPr>
          <w:p w14:paraId="1A47BBD9">
            <w:pPr>
              <w:jc w:val="center"/>
              <w:rPr>
                <w:rFonts w:eastAsia="楷体_GB2312"/>
                <w:spacing w:val="-20"/>
              </w:rPr>
            </w:pPr>
          </w:p>
        </w:tc>
        <w:tc>
          <w:tcPr>
            <w:tcW w:w="1150" w:type="dxa"/>
            <w:noWrap w:val="0"/>
            <w:vAlign w:val="center"/>
          </w:tcPr>
          <w:p w14:paraId="73D898C8">
            <w:pPr>
              <w:jc w:val="center"/>
              <w:rPr>
                <w:szCs w:val="21"/>
              </w:rPr>
            </w:pPr>
            <w:r>
              <w:rPr>
                <w:szCs w:val="21"/>
              </w:rPr>
              <w:t>29.72</w:t>
            </w:r>
          </w:p>
        </w:tc>
        <w:tc>
          <w:tcPr>
            <w:tcW w:w="879" w:type="dxa"/>
            <w:noWrap w:val="0"/>
            <w:vAlign w:val="center"/>
          </w:tcPr>
          <w:p w14:paraId="7E338F65">
            <w:pPr>
              <w:jc w:val="center"/>
              <w:rPr>
                <w:szCs w:val="21"/>
              </w:rPr>
            </w:pPr>
            <w:r>
              <w:rPr>
                <w:szCs w:val="21"/>
              </w:rPr>
              <w:t>14.23</w:t>
            </w:r>
          </w:p>
        </w:tc>
        <w:tc>
          <w:tcPr>
            <w:tcW w:w="1081" w:type="dxa"/>
            <w:noWrap w:val="0"/>
            <w:vAlign w:val="center"/>
          </w:tcPr>
          <w:p w14:paraId="50AF8803">
            <w:pPr>
              <w:jc w:val="center"/>
              <w:rPr>
                <w:szCs w:val="21"/>
              </w:rPr>
            </w:pPr>
            <w:r>
              <w:rPr>
                <w:szCs w:val="21"/>
              </w:rPr>
              <w:t>13.12</w:t>
            </w:r>
          </w:p>
        </w:tc>
        <w:tc>
          <w:tcPr>
            <w:tcW w:w="1116" w:type="dxa"/>
            <w:noWrap w:val="0"/>
            <w:vAlign w:val="center"/>
          </w:tcPr>
          <w:p w14:paraId="54FEE81B">
            <w:pPr>
              <w:jc w:val="center"/>
              <w:rPr>
                <w:szCs w:val="21"/>
              </w:rPr>
            </w:pPr>
            <w:r>
              <w:rPr>
                <w:szCs w:val="21"/>
              </w:rPr>
              <w:t>13.11</w:t>
            </w:r>
          </w:p>
        </w:tc>
        <w:tc>
          <w:tcPr>
            <w:tcW w:w="1116" w:type="dxa"/>
            <w:noWrap w:val="0"/>
            <w:vAlign w:val="center"/>
          </w:tcPr>
          <w:p w14:paraId="028A5D2C">
            <w:pPr>
              <w:jc w:val="center"/>
              <w:rPr>
                <w:szCs w:val="21"/>
              </w:rPr>
            </w:pPr>
            <w:r>
              <w:rPr>
                <w:szCs w:val="21"/>
              </w:rPr>
              <w:t>11.16</w:t>
            </w:r>
          </w:p>
        </w:tc>
        <w:tc>
          <w:tcPr>
            <w:tcW w:w="1116" w:type="dxa"/>
            <w:noWrap w:val="0"/>
            <w:vAlign w:val="center"/>
          </w:tcPr>
          <w:p w14:paraId="75F08DA0">
            <w:pPr>
              <w:jc w:val="center"/>
              <w:rPr>
                <w:szCs w:val="21"/>
              </w:rPr>
            </w:pPr>
            <w:r>
              <w:rPr>
                <w:szCs w:val="21"/>
              </w:rPr>
              <w:t>10.19</w:t>
            </w:r>
          </w:p>
        </w:tc>
        <w:tc>
          <w:tcPr>
            <w:tcW w:w="1116" w:type="dxa"/>
            <w:noWrap w:val="0"/>
            <w:vAlign w:val="center"/>
          </w:tcPr>
          <w:p w14:paraId="0C445440">
            <w:pPr>
              <w:jc w:val="center"/>
              <w:rPr>
                <w:szCs w:val="21"/>
              </w:rPr>
            </w:pPr>
            <w:r>
              <w:rPr>
                <w:szCs w:val="21"/>
              </w:rPr>
              <w:t>8.47</w:t>
            </w:r>
          </w:p>
        </w:tc>
        <w:tc>
          <w:tcPr>
            <w:tcW w:w="700" w:type="dxa"/>
            <w:noWrap w:val="0"/>
            <w:vAlign w:val="center"/>
          </w:tcPr>
          <w:p w14:paraId="10EF74F5">
            <w:pPr>
              <w:jc w:val="center"/>
              <w:rPr>
                <w:rFonts w:eastAsia="楷体_GB2312"/>
              </w:rPr>
            </w:pPr>
            <w:r>
              <w:rPr>
                <w:rFonts w:eastAsia="楷体_GB2312"/>
              </w:rPr>
              <w:fldChar w:fldCharType="begin"/>
            </w:r>
            <w:r>
              <w:rPr>
                <w:rFonts w:eastAsia="楷体_GB2312"/>
              </w:rPr>
              <w:instrText xml:space="preserve"> =SUM(ABOVE) </w:instrText>
            </w:r>
            <w:r>
              <w:rPr>
                <w:rFonts w:eastAsia="楷体_GB2312"/>
              </w:rPr>
              <w:fldChar w:fldCharType="separate"/>
            </w:r>
            <w:r>
              <w:rPr>
                <w:rFonts w:eastAsia="楷体_GB2312"/>
              </w:rPr>
              <w:t>100</w:t>
            </w:r>
            <w:r>
              <w:rPr>
                <w:rFonts w:eastAsia="楷体_GB2312"/>
              </w:rPr>
              <w:fldChar w:fldCharType="end"/>
            </w:r>
          </w:p>
        </w:tc>
      </w:tr>
      <w:tr w14:paraId="11AE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8" w:type="dxa"/>
            <w:noWrap w:val="0"/>
            <w:vAlign w:val="center"/>
          </w:tcPr>
          <w:p w14:paraId="6B96EB16">
            <w:pPr>
              <w:jc w:val="center"/>
              <w:rPr>
                <w:rFonts w:eastAsia="楷体_GB2312"/>
                <w:spacing w:val="-20"/>
              </w:rPr>
            </w:pPr>
            <w:r>
              <w:rPr>
                <w:rFonts w:eastAsia="楷体_GB2312"/>
                <w:spacing w:val="-20"/>
              </w:rPr>
              <w:t>标准差</w:t>
            </w:r>
          </w:p>
        </w:tc>
        <w:tc>
          <w:tcPr>
            <w:tcW w:w="1150" w:type="dxa"/>
            <w:noWrap w:val="0"/>
            <w:vAlign w:val="center"/>
          </w:tcPr>
          <w:p w14:paraId="401CF0B0">
            <w:pPr>
              <w:jc w:val="center"/>
              <w:rPr>
                <w:szCs w:val="21"/>
              </w:rPr>
            </w:pPr>
            <w:r>
              <w:rPr>
                <w:szCs w:val="21"/>
              </w:rPr>
              <w:t>1.86</w:t>
            </w:r>
          </w:p>
        </w:tc>
        <w:tc>
          <w:tcPr>
            <w:tcW w:w="879" w:type="dxa"/>
            <w:noWrap w:val="0"/>
            <w:vAlign w:val="center"/>
          </w:tcPr>
          <w:p w14:paraId="617031E8">
            <w:pPr>
              <w:jc w:val="center"/>
              <w:rPr>
                <w:szCs w:val="21"/>
              </w:rPr>
            </w:pPr>
            <w:r>
              <w:rPr>
                <w:szCs w:val="21"/>
              </w:rPr>
              <w:t>1.62</w:t>
            </w:r>
          </w:p>
        </w:tc>
        <w:tc>
          <w:tcPr>
            <w:tcW w:w="1081" w:type="dxa"/>
            <w:noWrap w:val="0"/>
            <w:vAlign w:val="center"/>
          </w:tcPr>
          <w:p w14:paraId="2781E12F">
            <w:pPr>
              <w:jc w:val="center"/>
              <w:rPr>
                <w:szCs w:val="21"/>
              </w:rPr>
            </w:pPr>
            <w:r>
              <w:rPr>
                <w:szCs w:val="21"/>
              </w:rPr>
              <w:t>1.49</w:t>
            </w:r>
          </w:p>
        </w:tc>
        <w:tc>
          <w:tcPr>
            <w:tcW w:w="1116" w:type="dxa"/>
            <w:noWrap w:val="0"/>
            <w:vAlign w:val="center"/>
          </w:tcPr>
          <w:p w14:paraId="1CC5F72B">
            <w:pPr>
              <w:jc w:val="center"/>
              <w:rPr>
                <w:szCs w:val="21"/>
              </w:rPr>
            </w:pPr>
            <w:r>
              <w:rPr>
                <w:szCs w:val="21"/>
              </w:rPr>
              <w:t>1.18</w:t>
            </w:r>
          </w:p>
        </w:tc>
        <w:tc>
          <w:tcPr>
            <w:tcW w:w="1116" w:type="dxa"/>
            <w:noWrap w:val="0"/>
            <w:vAlign w:val="center"/>
          </w:tcPr>
          <w:p w14:paraId="068804EA">
            <w:pPr>
              <w:jc w:val="center"/>
              <w:rPr>
                <w:szCs w:val="21"/>
              </w:rPr>
            </w:pPr>
            <w:r>
              <w:rPr>
                <w:szCs w:val="21"/>
              </w:rPr>
              <w:t>1.16</w:t>
            </w:r>
          </w:p>
        </w:tc>
        <w:tc>
          <w:tcPr>
            <w:tcW w:w="1116" w:type="dxa"/>
            <w:noWrap w:val="0"/>
            <w:vAlign w:val="center"/>
          </w:tcPr>
          <w:p w14:paraId="66287F14">
            <w:pPr>
              <w:jc w:val="center"/>
              <w:rPr>
                <w:szCs w:val="21"/>
              </w:rPr>
            </w:pPr>
            <w:r>
              <w:rPr>
                <w:szCs w:val="21"/>
              </w:rPr>
              <w:t>1.65</w:t>
            </w:r>
          </w:p>
        </w:tc>
        <w:tc>
          <w:tcPr>
            <w:tcW w:w="1116" w:type="dxa"/>
            <w:noWrap w:val="0"/>
            <w:vAlign w:val="center"/>
          </w:tcPr>
          <w:p w14:paraId="262F606D">
            <w:pPr>
              <w:jc w:val="center"/>
              <w:rPr>
                <w:szCs w:val="21"/>
              </w:rPr>
            </w:pPr>
            <w:r>
              <w:rPr>
                <w:szCs w:val="21"/>
              </w:rPr>
              <w:t>1.40</w:t>
            </w:r>
          </w:p>
        </w:tc>
        <w:tc>
          <w:tcPr>
            <w:tcW w:w="700" w:type="dxa"/>
            <w:noWrap w:val="0"/>
            <w:vAlign w:val="center"/>
          </w:tcPr>
          <w:p w14:paraId="6194875A">
            <w:pPr>
              <w:jc w:val="center"/>
              <w:rPr>
                <w:rFonts w:eastAsia="楷体_GB2312"/>
              </w:rPr>
            </w:pPr>
            <w:r>
              <w:rPr>
                <w:rFonts w:eastAsia="楷体_GB2312"/>
              </w:rPr>
              <w:t>/</w:t>
            </w:r>
          </w:p>
        </w:tc>
      </w:tr>
    </w:tbl>
    <w:p w14:paraId="228C909D">
      <w:pPr>
        <w:pStyle w:val="20"/>
        <w:spacing w:before="120" w:beforeLines="50"/>
        <w:jc w:val="center"/>
        <w:rPr>
          <w:rFonts w:ascii="Times New Roman" w:hAnsi="Times New Roman" w:eastAsia="黑体" w:cs="Times New Roman"/>
          <w:sz w:val="28"/>
        </w:rPr>
      </w:pPr>
      <w:r>
        <w:rPr>
          <w:rFonts w:ascii="Times New Roman" w:hAnsi="Times New Roman" w:eastAsia="黑体" w:cs="Times New Roman"/>
          <w:sz w:val="28"/>
        </w:rPr>
        <w:t>表1-2-1</w:t>
      </w:r>
      <w:r>
        <w:rPr>
          <w:rFonts w:hint="eastAsia" w:ascii="Times New Roman" w:hAnsi="Times New Roman" w:eastAsia="黑体" w:cs="Times New Roman"/>
          <w:sz w:val="28"/>
        </w:rPr>
        <w:t>7</w:t>
      </w:r>
      <w:r>
        <w:rPr>
          <w:rFonts w:ascii="Times New Roman" w:hAnsi="Times New Roman" w:eastAsia="黑体" w:cs="Times New Roman"/>
          <w:sz w:val="28"/>
        </w:rPr>
        <w:t xml:space="preserve"> 埇桥区朱仙庄镇等19个乡镇镇区综合定级基础设施完善度因子权重表（第二轮打分结果）</w:t>
      </w:r>
    </w:p>
    <w:tbl>
      <w:tblPr>
        <w:tblStyle w:val="38"/>
        <w:tblW w:w="9072"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5"/>
        <w:gridCol w:w="1815"/>
        <w:gridCol w:w="1814"/>
        <w:gridCol w:w="1814"/>
        <w:gridCol w:w="1814"/>
      </w:tblGrid>
      <w:tr w14:paraId="6C67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815" w:type="dxa"/>
            <w:noWrap w:val="0"/>
            <w:vAlign w:val="center"/>
          </w:tcPr>
          <w:p w14:paraId="4C56DBAF">
            <w:pPr>
              <w:jc w:val="center"/>
              <w:rPr>
                <w:rFonts w:eastAsia="楷体_GB2312"/>
              </w:rPr>
            </w:pPr>
            <w:r>
              <w:rPr>
                <w:rFonts w:eastAsia="楷体_GB2312"/>
              </w:rPr>
              <w:t>因子名称</w:t>
            </w:r>
          </w:p>
        </w:tc>
        <w:tc>
          <w:tcPr>
            <w:tcW w:w="1815" w:type="dxa"/>
            <w:noWrap w:val="0"/>
            <w:vAlign w:val="top"/>
          </w:tcPr>
          <w:p w14:paraId="47DCC004">
            <w:pPr>
              <w:jc w:val="center"/>
              <w:rPr>
                <w:rFonts w:eastAsia="楷体_GB2312"/>
              </w:rPr>
            </w:pPr>
            <w:r>
              <w:rPr>
                <w:rFonts w:eastAsia="楷体_GB2312"/>
              </w:rPr>
              <w:t>供电</w:t>
            </w:r>
          </w:p>
        </w:tc>
        <w:tc>
          <w:tcPr>
            <w:tcW w:w="1814" w:type="dxa"/>
            <w:noWrap w:val="0"/>
            <w:vAlign w:val="center"/>
          </w:tcPr>
          <w:p w14:paraId="0CED4BAB">
            <w:pPr>
              <w:jc w:val="center"/>
              <w:rPr>
                <w:rFonts w:eastAsia="楷体_GB2312"/>
              </w:rPr>
            </w:pPr>
            <w:r>
              <w:rPr>
                <w:rFonts w:eastAsia="楷体_GB2312"/>
              </w:rPr>
              <w:t>供水</w:t>
            </w:r>
          </w:p>
        </w:tc>
        <w:tc>
          <w:tcPr>
            <w:tcW w:w="1814" w:type="dxa"/>
            <w:noWrap w:val="0"/>
            <w:vAlign w:val="center"/>
          </w:tcPr>
          <w:p w14:paraId="315E00B2">
            <w:pPr>
              <w:jc w:val="center"/>
              <w:rPr>
                <w:rFonts w:eastAsia="楷体_GB2312"/>
              </w:rPr>
            </w:pPr>
            <w:r>
              <w:rPr>
                <w:rFonts w:eastAsia="楷体_GB2312"/>
              </w:rPr>
              <w:t>排水</w:t>
            </w:r>
          </w:p>
        </w:tc>
        <w:tc>
          <w:tcPr>
            <w:tcW w:w="1814" w:type="dxa"/>
            <w:noWrap w:val="0"/>
            <w:vAlign w:val="center"/>
          </w:tcPr>
          <w:p w14:paraId="091B971A">
            <w:pPr>
              <w:jc w:val="center"/>
              <w:rPr>
                <w:rFonts w:eastAsia="楷体_GB2312"/>
              </w:rPr>
            </w:pPr>
            <w:r>
              <w:rPr>
                <w:rFonts w:eastAsia="楷体_GB2312"/>
              </w:rPr>
              <w:t>合计</w:t>
            </w:r>
          </w:p>
        </w:tc>
      </w:tr>
      <w:tr w14:paraId="49647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815" w:type="dxa"/>
            <w:noWrap w:val="0"/>
            <w:vAlign w:val="center"/>
          </w:tcPr>
          <w:p w14:paraId="1507A079">
            <w:pPr>
              <w:jc w:val="center"/>
              <w:rPr>
                <w:rFonts w:eastAsia="楷体_GB2312"/>
              </w:rPr>
            </w:pPr>
            <w:r>
              <w:rPr>
                <w:rFonts w:eastAsia="楷体_GB2312"/>
              </w:rPr>
              <w:t>平均值</w:t>
            </w:r>
          </w:p>
        </w:tc>
        <w:tc>
          <w:tcPr>
            <w:tcW w:w="1815" w:type="dxa"/>
            <w:noWrap w:val="0"/>
            <w:vAlign w:val="center"/>
          </w:tcPr>
          <w:p w14:paraId="1762B20D">
            <w:pPr>
              <w:jc w:val="center"/>
              <w:rPr>
                <w:szCs w:val="21"/>
              </w:rPr>
            </w:pPr>
            <w:r>
              <w:rPr>
                <w:szCs w:val="21"/>
              </w:rPr>
              <w:t>37.15</w:t>
            </w:r>
          </w:p>
        </w:tc>
        <w:tc>
          <w:tcPr>
            <w:tcW w:w="1814" w:type="dxa"/>
            <w:noWrap w:val="0"/>
            <w:vAlign w:val="center"/>
          </w:tcPr>
          <w:p w14:paraId="3484C8FF">
            <w:pPr>
              <w:jc w:val="center"/>
              <w:rPr>
                <w:szCs w:val="21"/>
              </w:rPr>
            </w:pPr>
            <w:r>
              <w:rPr>
                <w:szCs w:val="21"/>
              </w:rPr>
              <w:t>33.14</w:t>
            </w:r>
          </w:p>
        </w:tc>
        <w:tc>
          <w:tcPr>
            <w:tcW w:w="1814" w:type="dxa"/>
            <w:noWrap w:val="0"/>
            <w:vAlign w:val="center"/>
          </w:tcPr>
          <w:p w14:paraId="5974E9C4">
            <w:pPr>
              <w:jc w:val="center"/>
              <w:rPr>
                <w:szCs w:val="21"/>
              </w:rPr>
            </w:pPr>
            <w:r>
              <w:rPr>
                <w:szCs w:val="21"/>
              </w:rPr>
              <w:t>29.71</w:t>
            </w:r>
          </w:p>
        </w:tc>
        <w:tc>
          <w:tcPr>
            <w:tcW w:w="1814" w:type="dxa"/>
            <w:noWrap w:val="0"/>
            <w:vAlign w:val="center"/>
          </w:tcPr>
          <w:p w14:paraId="033FB657">
            <w:pPr>
              <w:jc w:val="center"/>
              <w:rPr>
                <w:rFonts w:eastAsia="楷体_GB2312"/>
              </w:rPr>
            </w:pPr>
            <w:r>
              <w:rPr>
                <w:rFonts w:eastAsia="楷体_GB2312"/>
              </w:rPr>
              <w:t>100</w:t>
            </w:r>
          </w:p>
        </w:tc>
      </w:tr>
      <w:tr w14:paraId="1ABA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815" w:type="dxa"/>
            <w:noWrap w:val="0"/>
            <w:vAlign w:val="center"/>
          </w:tcPr>
          <w:p w14:paraId="5FCC2FD5">
            <w:pPr>
              <w:jc w:val="center"/>
              <w:rPr>
                <w:rFonts w:eastAsia="楷体_GB2312"/>
              </w:rPr>
            </w:pPr>
            <w:r>
              <w:rPr>
                <w:rFonts w:eastAsia="楷体_GB2312"/>
              </w:rPr>
              <w:t>标准差</w:t>
            </w:r>
          </w:p>
        </w:tc>
        <w:tc>
          <w:tcPr>
            <w:tcW w:w="1815" w:type="dxa"/>
            <w:noWrap w:val="0"/>
            <w:vAlign w:val="center"/>
          </w:tcPr>
          <w:p w14:paraId="0B153B54">
            <w:pPr>
              <w:jc w:val="center"/>
              <w:rPr>
                <w:szCs w:val="21"/>
              </w:rPr>
            </w:pPr>
            <w:r>
              <w:rPr>
                <w:szCs w:val="21"/>
              </w:rPr>
              <w:t>0.71</w:t>
            </w:r>
          </w:p>
        </w:tc>
        <w:tc>
          <w:tcPr>
            <w:tcW w:w="1814" w:type="dxa"/>
            <w:noWrap w:val="0"/>
            <w:vAlign w:val="center"/>
          </w:tcPr>
          <w:p w14:paraId="6CAC99E3">
            <w:pPr>
              <w:jc w:val="center"/>
              <w:rPr>
                <w:szCs w:val="21"/>
              </w:rPr>
            </w:pPr>
            <w:r>
              <w:rPr>
                <w:szCs w:val="21"/>
              </w:rPr>
              <w:t>0.68</w:t>
            </w:r>
          </w:p>
        </w:tc>
        <w:tc>
          <w:tcPr>
            <w:tcW w:w="1814" w:type="dxa"/>
            <w:noWrap w:val="0"/>
            <w:vAlign w:val="center"/>
          </w:tcPr>
          <w:p w14:paraId="1EC12CE4">
            <w:pPr>
              <w:jc w:val="center"/>
              <w:rPr>
                <w:szCs w:val="21"/>
              </w:rPr>
            </w:pPr>
            <w:r>
              <w:rPr>
                <w:szCs w:val="21"/>
              </w:rPr>
              <w:t>0.89</w:t>
            </w:r>
          </w:p>
        </w:tc>
        <w:tc>
          <w:tcPr>
            <w:tcW w:w="1814" w:type="dxa"/>
            <w:noWrap w:val="0"/>
            <w:vAlign w:val="center"/>
          </w:tcPr>
          <w:p w14:paraId="11FB5ADA">
            <w:pPr>
              <w:jc w:val="center"/>
              <w:rPr>
                <w:rFonts w:eastAsia="楷体_GB2312"/>
              </w:rPr>
            </w:pPr>
            <w:r>
              <w:rPr>
                <w:rFonts w:eastAsia="楷体_GB2312"/>
              </w:rPr>
              <w:t>——</w:t>
            </w:r>
          </w:p>
        </w:tc>
      </w:tr>
    </w:tbl>
    <w:p w14:paraId="354CFCFB">
      <w:pPr>
        <w:pStyle w:val="20"/>
        <w:spacing w:before="120" w:beforeLines="50"/>
        <w:jc w:val="center"/>
        <w:rPr>
          <w:rFonts w:ascii="Times New Roman" w:hAnsi="Times New Roman" w:eastAsia="黑体" w:cs="Times New Roman"/>
          <w:sz w:val="28"/>
        </w:rPr>
      </w:pPr>
      <w:r>
        <w:rPr>
          <w:rFonts w:ascii="Times New Roman" w:hAnsi="Times New Roman" w:eastAsia="黑体" w:cs="Times New Roman"/>
          <w:sz w:val="28"/>
        </w:rPr>
        <w:t>表1-2-1</w:t>
      </w:r>
      <w:r>
        <w:rPr>
          <w:rFonts w:hint="eastAsia" w:ascii="Times New Roman" w:hAnsi="Times New Roman" w:eastAsia="黑体" w:cs="Times New Roman"/>
          <w:sz w:val="28"/>
        </w:rPr>
        <w:t>8</w:t>
      </w:r>
      <w:r>
        <w:rPr>
          <w:rFonts w:ascii="Times New Roman" w:hAnsi="Times New Roman" w:eastAsia="黑体" w:cs="Times New Roman"/>
          <w:sz w:val="28"/>
        </w:rPr>
        <w:t xml:space="preserve">  埇桥区朱仙庄镇等19个乡镇镇区综合定级公用设施完备度因子权重表（第二轮打分结果）</w:t>
      </w:r>
    </w:p>
    <w:tbl>
      <w:tblPr>
        <w:tblStyle w:val="38"/>
        <w:tblW w:w="9072" w:type="dxa"/>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18BB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4" w:type="dxa"/>
            <w:noWrap w:val="0"/>
            <w:vAlign w:val="center"/>
          </w:tcPr>
          <w:p w14:paraId="3D903BFE">
            <w:pPr>
              <w:jc w:val="center"/>
              <w:rPr>
                <w:rFonts w:eastAsia="楷体_GB2312"/>
              </w:rPr>
            </w:pPr>
            <w:r>
              <w:rPr>
                <w:rFonts w:eastAsia="楷体_GB2312"/>
              </w:rPr>
              <w:t>因子名称</w:t>
            </w:r>
          </w:p>
        </w:tc>
        <w:tc>
          <w:tcPr>
            <w:tcW w:w="1134" w:type="dxa"/>
            <w:noWrap w:val="0"/>
            <w:vAlign w:val="center"/>
          </w:tcPr>
          <w:p w14:paraId="0ECA7EBC">
            <w:pPr>
              <w:jc w:val="center"/>
              <w:rPr>
                <w:rFonts w:eastAsia="楷体_GB2312"/>
              </w:rPr>
            </w:pPr>
            <w:r>
              <w:rPr>
                <w:rFonts w:eastAsia="楷体_GB2312"/>
              </w:rPr>
              <w:t>中学</w:t>
            </w:r>
          </w:p>
        </w:tc>
        <w:tc>
          <w:tcPr>
            <w:tcW w:w="1134" w:type="dxa"/>
            <w:noWrap w:val="0"/>
            <w:vAlign w:val="center"/>
          </w:tcPr>
          <w:p w14:paraId="74E46762">
            <w:pPr>
              <w:jc w:val="center"/>
              <w:rPr>
                <w:rFonts w:eastAsia="楷体_GB2312"/>
              </w:rPr>
            </w:pPr>
            <w:r>
              <w:rPr>
                <w:rFonts w:eastAsia="楷体_GB2312"/>
              </w:rPr>
              <w:t>小学</w:t>
            </w:r>
          </w:p>
        </w:tc>
        <w:tc>
          <w:tcPr>
            <w:tcW w:w="1134" w:type="dxa"/>
            <w:noWrap w:val="0"/>
            <w:vAlign w:val="center"/>
          </w:tcPr>
          <w:p w14:paraId="72E75315">
            <w:pPr>
              <w:jc w:val="center"/>
              <w:rPr>
                <w:rFonts w:eastAsia="楷体_GB2312"/>
              </w:rPr>
            </w:pPr>
            <w:r>
              <w:rPr>
                <w:rFonts w:eastAsia="楷体_GB2312"/>
              </w:rPr>
              <w:t>幼儿园</w:t>
            </w:r>
          </w:p>
        </w:tc>
        <w:tc>
          <w:tcPr>
            <w:tcW w:w="1134" w:type="dxa"/>
            <w:noWrap w:val="0"/>
            <w:vAlign w:val="center"/>
          </w:tcPr>
          <w:p w14:paraId="4DF75CD2">
            <w:pPr>
              <w:jc w:val="center"/>
              <w:rPr>
                <w:rFonts w:eastAsia="楷体_GB2312"/>
              </w:rPr>
            </w:pPr>
            <w:r>
              <w:rPr>
                <w:rFonts w:eastAsia="楷体_GB2312"/>
              </w:rPr>
              <w:t>医院</w:t>
            </w:r>
          </w:p>
        </w:tc>
        <w:tc>
          <w:tcPr>
            <w:tcW w:w="1134" w:type="dxa"/>
            <w:noWrap w:val="0"/>
            <w:vAlign w:val="center"/>
          </w:tcPr>
          <w:p w14:paraId="5FC90524">
            <w:pPr>
              <w:jc w:val="center"/>
              <w:rPr>
                <w:rFonts w:eastAsia="楷体_GB2312"/>
              </w:rPr>
            </w:pPr>
            <w:r>
              <w:rPr>
                <w:rFonts w:eastAsia="楷体_GB2312"/>
              </w:rPr>
              <w:t>农贸市场</w:t>
            </w:r>
          </w:p>
        </w:tc>
        <w:tc>
          <w:tcPr>
            <w:tcW w:w="1134" w:type="dxa"/>
            <w:noWrap w:val="0"/>
            <w:vAlign w:val="center"/>
          </w:tcPr>
          <w:p w14:paraId="7C782ED5">
            <w:pPr>
              <w:jc w:val="center"/>
              <w:rPr>
                <w:rFonts w:eastAsia="楷体_GB2312"/>
              </w:rPr>
            </w:pPr>
            <w:r>
              <w:rPr>
                <w:rFonts w:eastAsia="楷体_GB2312"/>
              </w:rPr>
              <w:t>银行</w:t>
            </w:r>
          </w:p>
        </w:tc>
        <w:tc>
          <w:tcPr>
            <w:tcW w:w="1134" w:type="dxa"/>
            <w:noWrap w:val="0"/>
            <w:vAlign w:val="center"/>
          </w:tcPr>
          <w:p w14:paraId="3464CDF4">
            <w:pPr>
              <w:jc w:val="center"/>
              <w:rPr>
                <w:rFonts w:eastAsia="楷体_GB2312"/>
              </w:rPr>
            </w:pPr>
            <w:r>
              <w:rPr>
                <w:rFonts w:eastAsia="楷体_GB2312"/>
              </w:rPr>
              <w:t>合 计</w:t>
            </w:r>
          </w:p>
        </w:tc>
      </w:tr>
      <w:tr w14:paraId="4EE33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4" w:type="dxa"/>
            <w:noWrap w:val="0"/>
            <w:vAlign w:val="center"/>
          </w:tcPr>
          <w:p w14:paraId="6C2859F9">
            <w:pPr>
              <w:jc w:val="center"/>
              <w:rPr>
                <w:rFonts w:eastAsia="楷体_GB2312"/>
              </w:rPr>
            </w:pPr>
            <w:r>
              <w:rPr>
                <w:rFonts w:eastAsia="楷体_GB2312"/>
              </w:rPr>
              <w:t>平均值</w:t>
            </w:r>
          </w:p>
        </w:tc>
        <w:tc>
          <w:tcPr>
            <w:tcW w:w="1134" w:type="dxa"/>
            <w:noWrap w:val="0"/>
            <w:vAlign w:val="center"/>
          </w:tcPr>
          <w:p w14:paraId="15901F33">
            <w:pPr>
              <w:jc w:val="center"/>
              <w:rPr>
                <w:szCs w:val="21"/>
              </w:rPr>
            </w:pPr>
            <w:r>
              <w:rPr>
                <w:szCs w:val="21"/>
              </w:rPr>
              <w:t>21.48</w:t>
            </w:r>
          </w:p>
        </w:tc>
        <w:tc>
          <w:tcPr>
            <w:tcW w:w="1134" w:type="dxa"/>
            <w:noWrap w:val="0"/>
            <w:vAlign w:val="center"/>
          </w:tcPr>
          <w:p w14:paraId="1A03DFD1">
            <w:pPr>
              <w:jc w:val="center"/>
              <w:rPr>
                <w:szCs w:val="21"/>
              </w:rPr>
            </w:pPr>
            <w:r>
              <w:rPr>
                <w:szCs w:val="21"/>
              </w:rPr>
              <w:t>19.62</w:t>
            </w:r>
          </w:p>
        </w:tc>
        <w:tc>
          <w:tcPr>
            <w:tcW w:w="1134" w:type="dxa"/>
            <w:noWrap w:val="0"/>
            <w:vAlign w:val="center"/>
          </w:tcPr>
          <w:p w14:paraId="11E2B8CE">
            <w:pPr>
              <w:jc w:val="center"/>
              <w:rPr>
                <w:szCs w:val="21"/>
              </w:rPr>
            </w:pPr>
            <w:r>
              <w:rPr>
                <w:szCs w:val="21"/>
              </w:rPr>
              <w:t>16.54</w:t>
            </w:r>
          </w:p>
        </w:tc>
        <w:tc>
          <w:tcPr>
            <w:tcW w:w="1134" w:type="dxa"/>
            <w:noWrap w:val="0"/>
            <w:vAlign w:val="center"/>
          </w:tcPr>
          <w:p w14:paraId="6E233DD6">
            <w:pPr>
              <w:jc w:val="center"/>
              <w:rPr>
                <w:szCs w:val="21"/>
              </w:rPr>
            </w:pPr>
            <w:r>
              <w:rPr>
                <w:szCs w:val="21"/>
              </w:rPr>
              <w:t>17.18</w:t>
            </w:r>
          </w:p>
        </w:tc>
        <w:tc>
          <w:tcPr>
            <w:tcW w:w="1134" w:type="dxa"/>
            <w:noWrap w:val="0"/>
            <w:vAlign w:val="center"/>
          </w:tcPr>
          <w:p w14:paraId="2E2060CA">
            <w:pPr>
              <w:jc w:val="center"/>
              <w:rPr>
                <w:szCs w:val="21"/>
              </w:rPr>
            </w:pPr>
            <w:r>
              <w:rPr>
                <w:szCs w:val="21"/>
              </w:rPr>
              <w:t>13.85</w:t>
            </w:r>
          </w:p>
        </w:tc>
        <w:tc>
          <w:tcPr>
            <w:tcW w:w="1134" w:type="dxa"/>
            <w:noWrap w:val="0"/>
            <w:vAlign w:val="center"/>
          </w:tcPr>
          <w:p w14:paraId="082B7354">
            <w:pPr>
              <w:jc w:val="center"/>
              <w:rPr>
                <w:szCs w:val="21"/>
              </w:rPr>
            </w:pPr>
            <w:r>
              <w:rPr>
                <w:szCs w:val="21"/>
              </w:rPr>
              <w:t>11.33</w:t>
            </w:r>
          </w:p>
        </w:tc>
        <w:tc>
          <w:tcPr>
            <w:tcW w:w="1134" w:type="dxa"/>
            <w:noWrap w:val="0"/>
            <w:vAlign w:val="center"/>
          </w:tcPr>
          <w:p w14:paraId="689CD726">
            <w:pPr>
              <w:jc w:val="center"/>
              <w:rPr>
                <w:rFonts w:eastAsia="楷体_GB2312"/>
              </w:rPr>
            </w:pPr>
            <w:r>
              <w:rPr>
                <w:rFonts w:eastAsia="楷体_GB2312"/>
              </w:rPr>
              <w:t>100</w:t>
            </w:r>
          </w:p>
        </w:tc>
      </w:tr>
      <w:tr w14:paraId="1560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134" w:type="dxa"/>
            <w:noWrap w:val="0"/>
            <w:vAlign w:val="center"/>
          </w:tcPr>
          <w:p w14:paraId="0B4EDBC0">
            <w:pPr>
              <w:jc w:val="center"/>
              <w:rPr>
                <w:rFonts w:eastAsia="楷体_GB2312"/>
              </w:rPr>
            </w:pPr>
            <w:r>
              <w:rPr>
                <w:rFonts w:eastAsia="楷体_GB2312"/>
              </w:rPr>
              <w:t>标准差</w:t>
            </w:r>
          </w:p>
        </w:tc>
        <w:tc>
          <w:tcPr>
            <w:tcW w:w="1134" w:type="dxa"/>
            <w:noWrap w:val="0"/>
            <w:vAlign w:val="center"/>
          </w:tcPr>
          <w:p w14:paraId="48FDD1E3">
            <w:pPr>
              <w:jc w:val="center"/>
              <w:rPr>
                <w:szCs w:val="21"/>
              </w:rPr>
            </w:pPr>
            <w:r>
              <w:rPr>
                <w:szCs w:val="21"/>
              </w:rPr>
              <w:t>1.63</w:t>
            </w:r>
          </w:p>
        </w:tc>
        <w:tc>
          <w:tcPr>
            <w:tcW w:w="1134" w:type="dxa"/>
            <w:noWrap w:val="0"/>
            <w:vAlign w:val="center"/>
          </w:tcPr>
          <w:p w14:paraId="0549ECB0">
            <w:pPr>
              <w:jc w:val="center"/>
              <w:rPr>
                <w:szCs w:val="21"/>
              </w:rPr>
            </w:pPr>
            <w:r>
              <w:rPr>
                <w:szCs w:val="21"/>
              </w:rPr>
              <w:t>1.83</w:t>
            </w:r>
          </w:p>
        </w:tc>
        <w:tc>
          <w:tcPr>
            <w:tcW w:w="1134" w:type="dxa"/>
            <w:noWrap w:val="0"/>
            <w:vAlign w:val="center"/>
          </w:tcPr>
          <w:p w14:paraId="01931D19">
            <w:pPr>
              <w:jc w:val="center"/>
              <w:rPr>
                <w:szCs w:val="21"/>
              </w:rPr>
            </w:pPr>
            <w:r>
              <w:rPr>
                <w:szCs w:val="21"/>
              </w:rPr>
              <w:t>1.65</w:t>
            </w:r>
          </w:p>
        </w:tc>
        <w:tc>
          <w:tcPr>
            <w:tcW w:w="1134" w:type="dxa"/>
            <w:noWrap w:val="0"/>
            <w:vAlign w:val="center"/>
          </w:tcPr>
          <w:p w14:paraId="0FABD5CF">
            <w:pPr>
              <w:jc w:val="center"/>
              <w:rPr>
                <w:szCs w:val="21"/>
              </w:rPr>
            </w:pPr>
            <w:r>
              <w:rPr>
                <w:szCs w:val="21"/>
              </w:rPr>
              <w:t>1.53</w:t>
            </w:r>
          </w:p>
        </w:tc>
        <w:tc>
          <w:tcPr>
            <w:tcW w:w="1134" w:type="dxa"/>
            <w:noWrap w:val="0"/>
            <w:vAlign w:val="center"/>
          </w:tcPr>
          <w:p w14:paraId="3332A124">
            <w:pPr>
              <w:jc w:val="center"/>
              <w:rPr>
                <w:szCs w:val="21"/>
              </w:rPr>
            </w:pPr>
            <w:r>
              <w:rPr>
                <w:szCs w:val="21"/>
              </w:rPr>
              <w:t>1.95</w:t>
            </w:r>
          </w:p>
        </w:tc>
        <w:tc>
          <w:tcPr>
            <w:tcW w:w="1134" w:type="dxa"/>
            <w:noWrap w:val="0"/>
            <w:vAlign w:val="center"/>
          </w:tcPr>
          <w:p w14:paraId="12F051EC">
            <w:pPr>
              <w:jc w:val="center"/>
              <w:rPr>
                <w:szCs w:val="21"/>
              </w:rPr>
            </w:pPr>
            <w:r>
              <w:rPr>
                <w:szCs w:val="21"/>
              </w:rPr>
              <w:t>1.36</w:t>
            </w:r>
          </w:p>
        </w:tc>
        <w:tc>
          <w:tcPr>
            <w:tcW w:w="1134" w:type="dxa"/>
            <w:noWrap w:val="0"/>
            <w:vAlign w:val="center"/>
          </w:tcPr>
          <w:p w14:paraId="20A9CC81">
            <w:pPr>
              <w:jc w:val="center"/>
              <w:rPr>
                <w:rFonts w:eastAsia="楷体_GB2312"/>
              </w:rPr>
            </w:pPr>
            <w:r>
              <w:rPr>
                <w:rFonts w:eastAsia="楷体_GB2312"/>
              </w:rPr>
              <w:t>——</w:t>
            </w:r>
          </w:p>
        </w:tc>
      </w:tr>
    </w:tbl>
    <w:p w14:paraId="2BD26369">
      <w:pPr>
        <w:widowControl w:val="0"/>
        <w:spacing w:line="480" w:lineRule="exact"/>
        <w:ind w:firstLine="560" w:firstLineChars="200"/>
        <w:jc w:val="both"/>
        <w:rPr>
          <w:rFonts w:eastAsia="楷体_GB2312"/>
          <w:sz w:val="28"/>
          <w:szCs w:val="21"/>
        </w:rPr>
      </w:pPr>
      <w:r>
        <w:rPr>
          <w:rFonts w:eastAsia="楷体_GB2312"/>
          <w:sz w:val="28"/>
          <w:szCs w:val="21"/>
        </w:rPr>
        <w:t>经处理分析，第二轮打分的权重标准差处于限差2.0范围内，说明专家意见比较一致。</w:t>
      </w:r>
    </w:p>
    <w:p w14:paraId="22A102BE">
      <w:pPr>
        <w:pStyle w:val="20"/>
        <w:spacing w:line="480" w:lineRule="exact"/>
        <w:rPr>
          <w:rFonts w:ascii="Times New Roman" w:hAnsi="Times New Roman" w:cs="Times New Roman"/>
          <w:b/>
          <w:sz w:val="28"/>
        </w:rPr>
      </w:pPr>
      <w:r>
        <w:rPr>
          <w:rFonts w:ascii="Times New Roman" w:hAnsi="Times New Roman" w:cs="Times New Roman"/>
          <w:b/>
          <w:sz w:val="28"/>
        </w:rPr>
        <w:t>四、定级指标体系特尔菲法测定结果分析</w:t>
      </w:r>
    </w:p>
    <w:p w14:paraId="7858380D">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w:t>
      </w:r>
      <w:r>
        <w:rPr>
          <w:rFonts w:hint="eastAsia" w:ascii="楷体" w:hAnsi="楷体" w:eastAsia="楷体" w:cs="楷体_GB2312"/>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符离镇、大泽乡镇、曹村镇镇区定级指标体系特尔菲法测定结果分析</w:t>
      </w:r>
    </w:p>
    <w:p w14:paraId="049C973E">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特尔菲法测定的结果，定级指标体系中参评的定级因素共7个，涉及到影响土地质量的4个方面，即繁华程度、交通条件、基本设施状况和环境条件。各因素中，繁华程度最重要，权重达29.54；其次为交通条件，权重达26.98；基本设施状况的权重为24.59，居第三位；环境条件权重最低，为18.89。</w:t>
      </w:r>
    </w:p>
    <w:p w14:paraId="747CA6C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2、</w:t>
      </w:r>
      <w:r>
        <w:rPr>
          <w:rFonts w:hint="eastAsia" w:ascii="楷体" w:hAnsi="楷体" w:eastAsia="楷体" w:cs="楷体_GB2312"/>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朱仙庄镇等19个乡镇镇区定级指标体系特尔菲法测定结果分析</w:t>
      </w:r>
    </w:p>
    <w:p w14:paraId="01A4DEA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特尔菲法测定的结果，定级指标体系中参评的定级因素共7个，涉及到影响土地质量的4个方面，即繁华程度、交通条件、基本设施状况和环境条件。各因素中，繁华程度最重要，权重达29.72；其次为交通条件，权重达27.35；基本设施状况的权重为24.27，居第三位；环境条件权重最低，为18.66。</w:t>
      </w:r>
    </w:p>
    <w:p w14:paraId="08D99DEE">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繁华程度通过商服中心来体现，而商服中心是城镇内人流、资金流、能量流和信息流等最为集中的地段，具有较强的集聚性，地域差异很大，它对城镇商服用地质量的空间分布和基准地价的确定起着关键性的作用，故权重最高。</w:t>
      </w:r>
    </w:p>
    <w:p w14:paraId="70C00F0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交通条件由道路通达度和对外交通便利度两个因素组成，其权重居第二位，这说明了随着各乡镇镇区范围不断向外延伸，交通条件对土地质量的影响也更加明显。在交通条件中，道路通达度权重较高，这是因为道路通达度对各类用地的区位条件以及居民生活、工业生产均有较为明显的影响。对外交通的权重较低，这主要由于对外交通条件的改善特别是交通运输速度的提高和运输班次的增多，使得人们对对外交通设施的依赖性减弱，同时，由于一些乡镇无固定的汽车站，乘客可以就近上车，这也削弱了对外交通对土地质量的影响程度。</w:t>
      </w:r>
    </w:p>
    <w:p w14:paraId="6F69773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基本设施状况包括基础设施完善度和公用设施完备度。在基础设施中，镇区内基础设施尚不完善，部分区域无供水、排水设施，主要依靠水井提水和自然排水，不同区域用水方便程度不一。镇区内供电已经普及，但设施质量及供电保证率存在差异，乡镇通讯状况在目前都比较均一普及，此次各乡镇</w:t>
      </w:r>
      <w:r>
        <w:rPr>
          <w:rFonts w:hint="eastAsia" w:ascii="Times New Roman" w:hAnsi="Times New Roman" w:eastAsia="楷体_GB2312" w:cs="Times New Roman"/>
          <w:sz w:val="28"/>
        </w:rPr>
        <w:t>镇</w:t>
      </w:r>
      <w:r>
        <w:rPr>
          <w:rFonts w:ascii="Times New Roman" w:hAnsi="Times New Roman" w:eastAsia="楷体_GB2312" w:cs="Times New Roman"/>
          <w:sz w:val="28"/>
        </w:rPr>
        <w:t>区的工作范围都不大，总体来说区域间基本无差异。在公用设施中，中学、小学、医院的权重比较靠前，这说明人们对健康的看重和对教育重要性的认同。</w:t>
      </w:r>
    </w:p>
    <w:p w14:paraId="3803014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环境条件包括环境质量优劣度、自然条件优劣度和景观条件优劣度，各乡镇镇区受过境道路、生活污水排放、工业生产等因素的影响，存在一定程度的噪声、水质、大气污染源，不同区域环境条件存在差异。各乡镇镇区多有水系穿过，不同区域抗涝能力不同，自然条件存在差异。但由于镇区面积较小，镇区总体环境条件趋于一致，不同区域的环境条件差别对土地质量的影响不如其他定级因素明显，故其权重最低。</w:t>
      </w:r>
    </w:p>
    <w:p w14:paraId="040A535F"/>
    <w:p w14:paraId="2D6F5056">
      <w:pPr>
        <w:pStyle w:val="3"/>
        <w:spacing w:line="480" w:lineRule="exact"/>
        <w:jc w:val="center"/>
        <w:rPr>
          <w:rFonts w:ascii="Times New Roman" w:hAnsi="Times New Roman" w:eastAsia="宋体"/>
          <w:sz w:val="36"/>
        </w:rPr>
      </w:pPr>
      <w:r>
        <w:rPr>
          <w:rFonts w:ascii="Times New Roman" w:hAnsi="Times New Roman" w:eastAsia="宋体"/>
          <w:sz w:val="36"/>
        </w:rPr>
        <w:br w:type="page"/>
      </w:r>
      <w:bookmarkStart w:id="24" w:name="_Toc62563653"/>
      <w:r>
        <w:rPr>
          <w:rFonts w:ascii="Times New Roman" w:hAnsi="Times New Roman" w:eastAsia="宋体"/>
          <w:sz w:val="36"/>
        </w:rPr>
        <w:t>第三章  综合定级因素因子定量化处理</w:t>
      </w:r>
      <w:bookmarkEnd w:id="24"/>
    </w:p>
    <w:p w14:paraId="02412920">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本次</w:t>
      </w:r>
      <w:r>
        <w:rPr>
          <w:rFonts w:hint="eastAsia" w:ascii="楷体" w:hAnsi="楷体" w:eastAsia="楷体" w:cs="楷体_GB2312"/>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各乡镇土地定级为综合定级。参照《城镇土地分等定级规程》的技术要求，对各乡镇定级因素因子进行定量化处理，确定定级因素因子的功能分、作用分和服务半径。</w:t>
      </w:r>
    </w:p>
    <w:p w14:paraId="2BB67D7D">
      <w:pPr>
        <w:pStyle w:val="4"/>
        <w:numPr>
          <w:ilvl w:val="0"/>
          <w:numId w:val="0"/>
        </w:numPr>
        <w:spacing w:line="380" w:lineRule="exact"/>
        <w:jc w:val="center"/>
        <w:rPr>
          <w:rFonts w:eastAsia="仿宋_GB2312"/>
          <w:bCs w:val="0"/>
        </w:rPr>
      </w:pPr>
      <w:bookmarkStart w:id="25" w:name="_Toc285700447"/>
      <w:bookmarkStart w:id="26" w:name="_Toc62563654"/>
      <w:bookmarkStart w:id="27" w:name="_Toc111358940"/>
      <w:r>
        <w:rPr>
          <w:rFonts w:eastAsia="仿宋_GB2312"/>
          <w:bCs w:val="0"/>
        </w:rPr>
        <w:t>第一节  商服繁华影响度定量化处理</w:t>
      </w:r>
      <w:bookmarkEnd w:id="25"/>
      <w:bookmarkEnd w:id="26"/>
    </w:p>
    <w:p w14:paraId="443C5CAA">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商服中心是城镇中人口流动、信息传递、物质能量交换集聚的特殊地段，是商服繁华的主要体现，它对城镇土地级别的确定和空间分布以及基准地价起着关键性的影响作用。</w:t>
      </w:r>
    </w:p>
    <w:p w14:paraId="4CC38950">
      <w:pPr>
        <w:pStyle w:val="20"/>
        <w:spacing w:line="480" w:lineRule="exact"/>
        <w:rPr>
          <w:rFonts w:ascii="Times New Roman" w:hAnsi="Times New Roman" w:cs="Times New Roman"/>
          <w:b/>
          <w:sz w:val="28"/>
        </w:rPr>
      </w:pPr>
      <w:r>
        <w:rPr>
          <w:rFonts w:ascii="Times New Roman" w:hAnsi="Times New Roman" w:cs="Times New Roman"/>
          <w:b/>
          <w:sz w:val="28"/>
        </w:rPr>
        <w:t>一、商服中心的确定</w:t>
      </w:r>
    </w:p>
    <w:p w14:paraId="2A1A3E9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经实地调查，并参阅镇区商服网点分布图和有关文字资料，同时考虑到各乡镇土地利用规划及镇区总体规划情况，结合《城镇土地分等定级规程》中有关规定，划分了商服中心。</w:t>
      </w:r>
    </w:p>
    <w:p w14:paraId="1646B62B">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1、商服中心基本情况分析</w:t>
      </w:r>
    </w:p>
    <w:p w14:paraId="1C0A192B">
      <w:pPr>
        <w:widowControl w:val="0"/>
        <w:spacing w:line="480" w:lineRule="exact"/>
        <w:ind w:firstLine="560" w:firstLineChars="200"/>
        <w:jc w:val="both"/>
        <w:rPr>
          <w:rFonts w:eastAsia="楷体_GB2312"/>
          <w:sz w:val="28"/>
          <w:szCs w:val="21"/>
        </w:rPr>
      </w:pPr>
      <w:r>
        <w:rPr>
          <w:rFonts w:eastAsia="楷体_GB2312"/>
          <w:sz w:val="28"/>
          <w:szCs w:val="21"/>
        </w:rPr>
        <w:t>（1）</w:t>
      </w:r>
      <w:r>
        <w:rPr>
          <w:rFonts w:hint="eastAsia" w:eastAsia="楷体_GB2312"/>
          <w:sz w:val="28"/>
          <w:szCs w:val="21"/>
        </w:rPr>
        <w:t>符离镇</w:t>
      </w:r>
    </w:p>
    <w:p w14:paraId="7039C0A9">
      <w:pPr>
        <w:widowControl w:val="0"/>
        <w:spacing w:line="480" w:lineRule="exact"/>
        <w:ind w:firstLine="560" w:firstLineChars="200"/>
        <w:jc w:val="both"/>
        <w:rPr>
          <w:rFonts w:eastAsia="楷体_GB2312"/>
          <w:sz w:val="28"/>
          <w:szCs w:val="21"/>
        </w:rPr>
      </w:pPr>
      <w:r>
        <w:rPr>
          <w:rFonts w:hint="eastAsia" w:eastAsia="楷体_GB2312"/>
          <w:sz w:val="28"/>
          <w:szCs w:val="21"/>
        </w:rPr>
        <w:t>符离镇</w:t>
      </w:r>
      <w:r>
        <w:rPr>
          <w:rFonts w:eastAsia="楷体_GB2312"/>
          <w:sz w:val="28"/>
          <w:szCs w:val="21"/>
        </w:rPr>
        <w:t>商服中心：该商服中心位于</w:t>
      </w:r>
      <w:r>
        <w:rPr>
          <w:rFonts w:hint="eastAsia" w:eastAsia="楷体_GB2312"/>
          <w:sz w:val="28"/>
          <w:szCs w:val="21"/>
        </w:rPr>
        <w:t>黄山路与股河路</w:t>
      </w:r>
      <w:r>
        <w:rPr>
          <w:rFonts w:eastAsia="楷体_GB2312"/>
          <w:sz w:val="28"/>
          <w:szCs w:val="21"/>
        </w:rPr>
        <w:t>交叉口附近。主要经营项目有日用百货、餐饮、宾馆、</w:t>
      </w:r>
      <w:r>
        <w:rPr>
          <w:rFonts w:hint="eastAsia" w:eastAsia="楷体_GB2312"/>
          <w:sz w:val="28"/>
          <w:szCs w:val="21"/>
        </w:rPr>
        <w:t>家纺、</w:t>
      </w:r>
      <w:r>
        <w:rPr>
          <w:rFonts w:eastAsia="楷体_GB2312"/>
          <w:sz w:val="28"/>
          <w:szCs w:val="21"/>
        </w:rPr>
        <w:t>超市等。主要商业网点有</w:t>
      </w:r>
      <w:r>
        <w:rPr>
          <w:rFonts w:hint="eastAsia" w:eastAsia="楷体_GB2312"/>
          <w:sz w:val="28"/>
          <w:szCs w:val="21"/>
        </w:rPr>
        <w:t>徽香源、福乐源购物广场、永胜农贸市场、文明旅社</w:t>
      </w:r>
      <w:r>
        <w:rPr>
          <w:rFonts w:eastAsia="楷体_GB2312"/>
          <w:sz w:val="28"/>
          <w:szCs w:val="21"/>
        </w:rPr>
        <w:t>等。建筑物以二层为主，一层为商业门面，二层一般为住宅。以本地顾客为主，商服繁华程度一般。</w:t>
      </w:r>
    </w:p>
    <w:p w14:paraId="12B5317E">
      <w:pPr>
        <w:widowControl w:val="0"/>
        <w:spacing w:line="480" w:lineRule="exact"/>
        <w:ind w:firstLine="560" w:firstLineChars="200"/>
        <w:jc w:val="both"/>
        <w:rPr>
          <w:rFonts w:eastAsia="楷体_GB2312"/>
          <w:sz w:val="28"/>
          <w:szCs w:val="21"/>
        </w:rPr>
      </w:pPr>
      <w:r>
        <w:rPr>
          <w:rFonts w:eastAsia="楷体_GB2312"/>
          <w:sz w:val="28"/>
          <w:szCs w:val="21"/>
        </w:rPr>
        <w:t>（2）</w:t>
      </w:r>
      <w:r>
        <w:rPr>
          <w:rFonts w:hint="eastAsia" w:eastAsia="楷体_GB2312"/>
          <w:sz w:val="28"/>
          <w:szCs w:val="21"/>
        </w:rPr>
        <w:t>朱仙庄镇</w:t>
      </w:r>
    </w:p>
    <w:p w14:paraId="5E4C771B">
      <w:pPr>
        <w:widowControl w:val="0"/>
        <w:spacing w:line="480" w:lineRule="exact"/>
        <w:ind w:firstLine="560" w:firstLineChars="200"/>
        <w:jc w:val="both"/>
        <w:rPr>
          <w:rFonts w:eastAsia="楷体_GB2312"/>
          <w:sz w:val="28"/>
          <w:szCs w:val="21"/>
        </w:rPr>
      </w:pPr>
      <w:r>
        <w:rPr>
          <w:rFonts w:hint="eastAsia" w:eastAsia="楷体_GB2312"/>
          <w:sz w:val="28"/>
          <w:szCs w:val="21"/>
        </w:rPr>
        <w:t>朱仙庄镇</w:t>
      </w:r>
      <w:r>
        <w:rPr>
          <w:rFonts w:eastAsia="楷体_GB2312"/>
          <w:sz w:val="28"/>
          <w:szCs w:val="21"/>
        </w:rPr>
        <w:t>商服中心：该商服中心位于</w:t>
      </w:r>
      <w:r>
        <w:rPr>
          <w:rFonts w:hint="eastAsia" w:eastAsia="楷体_GB2312"/>
          <w:sz w:val="28"/>
          <w:szCs w:val="21"/>
        </w:rPr>
        <w:t>临湖路</w:t>
      </w:r>
      <w:r>
        <w:rPr>
          <w:rFonts w:eastAsia="楷体_GB2312"/>
          <w:sz w:val="28"/>
          <w:szCs w:val="21"/>
        </w:rPr>
        <w:t>两侧。主要经营项目有日用餐饮、超市等，主要商业网点有</w:t>
      </w:r>
      <w:r>
        <w:rPr>
          <w:rFonts w:hint="eastAsia" w:eastAsia="楷体_GB2312"/>
          <w:sz w:val="28"/>
          <w:szCs w:val="21"/>
        </w:rPr>
        <w:t>正新鸡排、家门口饭店、家兴百货超市、镇东华夏超市</w:t>
      </w:r>
      <w:r>
        <w:rPr>
          <w:rFonts w:eastAsia="楷体_GB2312"/>
          <w:sz w:val="28"/>
          <w:szCs w:val="21"/>
        </w:rPr>
        <w:t>等。多数建筑物为二层，一层为商服，二层为住宅。以本地顾客为主，商服繁华程度一般。</w:t>
      </w:r>
    </w:p>
    <w:p w14:paraId="3EF339A7">
      <w:pPr>
        <w:widowControl w:val="0"/>
        <w:spacing w:line="480" w:lineRule="exact"/>
        <w:ind w:firstLine="560" w:firstLineChars="200"/>
        <w:jc w:val="both"/>
        <w:rPr>
          <w:rFonts w:eastAsia="楷体_GB2312"/>
          <w:sz w:val="28"/>
          <w:szCs w:val="21"/>
        </w:rPr>
      </w:pPr>
      <w:r>
        <w:rPr>
          <w:rFonts w:eastAsia="楷体_GB2312"/>
          <w:sz w:val="28"/>
          <w:szCs w:val="21"/>
        </w:rPr>
        <w:t>（3）</w:t>
      </w:r>
      <w:r>
        <w:rPr>
          <w:rFonts w:hint="eastAsia" w:eastAsia="楷体_GB2312"/>
          <w:sz w:val="28"/>
          <w:szCs w:val="21"/>
        </w:rPr>
        <w:t>蕲县镇</w:t>
      </w:r>
    </w:p>
    <w:p w14:paraId="7564ABBE">
      <w:pPr>
        <w:widowControl w:val="0"/>
        <w:spacing w:line="480" w:lineRule="exact"/>
        <w:ind w:firstLine="560" w:firstLineChars="200"/>
        <w:jc w:val="both"/>
        <w:rPr>
          <w:rFonts w:eastAsia="楷体_GB2312"/>
          <w:sz w:val="28"/>
          <w:szCs w:val="21"/>
        </w:rPr>
      </w:pPr>
      <w:r>
        <w:rPr>
          <w:rFonts w:hint="eastAsia" w:eastAsia="楷体_GB2312"/>
          <w:sz w:val="28"/>
          <w:szCs w:val="21"/>
        </w:rPr>
        <w:t>蕲县镇</w:t>
      </w:r>
      <w:r>
        <w:rPr>
          <w:rFonts w:eastAsia="楷体_GB2312"/>
          <w:sz w:val="28"/>
          <w:szCs w:val="21"/>
        </w:rPr>
        <w:t>商服中心：该商服中心位于</w:t>
      </w:r>
      <w:r>
        <w:rPr>
          <w:rFonts w:hint="eastAsia" w:eastAsia="楷体_GB2312"/>
          <w:sz w:val="28"/>
          <w:szCs w:val="21"/>
        </w:rPr>
        <w:t>沛城路</w:t>
      </w:r>
      <w:r>
        <w:rPr>
          <w:rFonts w:eastAsia="楷体_GB2312"/>
          <w:sz w:val="28"/>
          <w:szCs w:val="21"/>
        </w:rPr>
        <w:t>两侧。商业服务类型以</w:t>
      </w:r>
      <w:r>
        <w:rPr>
          <w:rFonts w:hint="eastAsia" w:eastAsia="楷体_GB2312"/>
          <w:sz w:val="28"/>
          <w:szCs w:val="21"/>
        </w:rPr>
        <w:t>服装、百货</w:t>
      </w:r>
      <w:r>
        <w:rPr>
          <w:rFonts w:eastAsia="楷体_GB2312"/>
          <w:sz w:val="28"/>
          <w:szCs w:val="21"/>
        </w:rPr>
        <w:t>为主，主要商业网点有</w:t>
      </w:r>
      <w:r>
        <w:rPr>
          <w:rFonts w:hint="eastAsia" w:eastAsia="楷体_GB2312"/>
          <w:sz w:val="28"/>
          <w:szCs w:val="21"/>
        </w:rPr>
        <w:t>二过饭店、小刀电动车、派狼裤业、四季鞋店、鸿星尔克</w:t>
      </w:r>
      <w:r>
        <w:rPr>
          <w:rFonts w:eastAsia="楷体_GB2312"/>
          <w:sz w:val="28"/>
          <w:szCs w:val="21"/>
        </w:rPr>
        <w:t>等。多数建筑物为二</w:t>
      </w:r>
      <w:r>
        <w:rPr>
          <w:rFonts w:hint="eastAsia" w:eastAsia="楷体_GB2312"/>
          <w:sz w:val="28"/>
          <w:szCs w:val="21"/>
        </w:rPr>
        <w:t>、三</w:t>
      </w:r>
      <w:r>
        <w:rPr>
          <w:rFonts w:eastAsia="楷体_GB2312"/>
          <w:sz w:val="28"/>
          <w:szCs w:val="21"/>
        </w:rPr>
        <w:t>层，一层为商服，二</w:t>
      </w:r>
      <w:r>
        <w:rPr>
          <w:rFonts w:hint="eastAsia" w:eastAsia="楷体_GB2312"/>
          <w:sz w:val="28"/>
          <w:szCs w:val="21"/>
        </w:rPr>
        <w:t>、三</w:t>
      </w:r>
      <w:r>
        <w:rPr>
          <w:rFonts w:eastAsia="楷体_GB2312"/>
          <w:sz w:val="28"/>
          <w:szCs w:val="21"/>
        </w:rPr>
        <w:t>层为住宅。以本地顾客为主，商服繁华程度一般。</w:t>
      </w:r>
    </w:p>
    <w:p w14:paraId="3D30A2A8">
      <w:pPr>
        <w:widowControl w:val="0"/>
        <w:spacing w:line="480" w:lineRule="exact"/>
        <w:ind w:firstLine="560" w:firstLineChars="200"/>
        <w:jc w:val="both"/>
        <w:rPr>
          <w:rFonts w:eastAsia="楷体_GB2312"/>
          <w:sz w:val="28"/>
          <w:szCs w:val="21"/>
        </w:rPr>
      </w:pPr>
      <w:r>
        <w:rPr>
          <w:rFonts w:eastAsia="楷体_GB2312"/>
          <w:sz w:val="28"/>
          <w:szCs w:val="21"/>
        </w:rPr>
        <w:t>（4）</w:t>
      </w:r>
      <w:r>
        <w:rPr>
          <w:rFonts w:hint="eastAsia" w:eastAsia="楷体_GB2312"/>
          <w:sz w:val="28"/>
          <w:szCs w:val="21"/>
        </w:rPr>
        <w:t>芦岭镇</w:t>
      </w:r>
    </w:p>
    <w:p w14:paraId="2FF89388">
      <w:pPr>
        <w:widowControl w:val="0"/>
        <w:spacing w:line="480" w:lineRule="exact"/>
        <w:ind w:firstLine="560" w:firstLineChars="200"/>
        <w:jc w:val="both"/>
        <w:rPr>
          <w:rFonts w:eastAsia="楷体_GB2312"/>
          <w:sz w:val="28"/>
          <w:szCs w:val="21"/>
        </w:rPr>
      </w:pPr>
      <w:r>
        <w:rPr>
          <w:rFonts w:hint="eastAsia" w:eastAsia="楷体_GB2312"/>
          <w:sz w:val="28"/>
          <w:szCs w:val="21"/>
        </w:rPr>
        <w:t>芦岭镇</w:t>
      </w:r>
      <w:r>
        <w:rPr>
          <w:rFonts w:eastAsia="楷体_GB2312"/>
          <w:sz w:val="28"/>
          <w:szCs w:val="21"/>
        </w:rPr>
        <w:t>商服中心：该商服中心位于</w:t>
      </w:r>
      <w:r>
        <w:rPr>
          <w:rFonts w:hint="eastAsia" w:eastAsia="楷体_GB2312"/>
          <w:sz w:val="28"/>
          <w:szCs w:val="21"/>
        </w:rPr>
        <w:t>求学路与中心大街交叉口</w:t>
      </w:r>
      <w:r>
        <w:rPr>
          <w:rFonts w:eastAsia="楷体_GB2312"/>
          <w:sz w:val="28"/>
          <w:szCs w:val="21"/>
        </w:rPr>
        <w:t>两侧。主要经营项目有百货、超市、</w:t>
      </w:r>
      <w:r>
        <w:rPr>
          <w:rFonts w:hint="eastAsia" w:eastAsia="楷体_GB2312"/>
          <w:sz w:val="28"/>
          <w:szCs w:val="21"/>
        </w:rPr>
        <w:t>服装、</w:t>
      </w:r>
      <w:r>
        <w:rPr>
          <w:rFonts w:eastAsia="楷体_GB2312"/>
          <w:sz w:val="28"/>
          <w:szCs w:val="21"/>
        </w:rPr>
        <w:t>餐饮等。商业网点有</w:t>
      </w:r>
      <w:r>
        <w:rPr>
          <w:rFonts w:hint="eastAsia" w:eastAsia="楷体_GB2312"/>
          <w:sz w:val="28"/>
          <w:szCs w:val="21"/>
        </w:rPr>
        <w:t>富贵鸟、芦岭大酒店、好又多生活购物广场、诚信装潢</w:t>
      </w:r>
      <w:r>
        <w:rPr>
          <w:rFonts w:eastAsia="楷体_GB2312"/>
          <w:sz w:val="28"/>
          <w:szCs w:val="21"/>
        </w:rPr>
        <w:t>等。多数建筑物为二层，一层为商服，二层为住宅。以本地顾客为主，商服繁华程度一般。</w:t>
      </w:r>
    </w:p>
    <w:p w14:paraId="3DDA9002">
      <w:pPr>
        <w:widowControl w:val="0"/>
        <w:spacing w:line="480" w:lineRule="exact"/>
        <w:ind w:firstLine="560" w:firstLineChars="200"/>
        <w:jc w:val="both"/>
        <w:rPr>
          <w:rFonts w:eastAsia="楷体_GB2312"/>
          <w:sz w:val="28"/>
          <w:szCs w:val="21"/>
        </w:rPr>
      </w:pPr>
      <w:r>
        <w:rPr>
          <w:rFonts w:eastAsia="楷体_GB2312"/>
          <w:sz w:val="28"/>
          <w:szCs w:val="21"/>
        </w:rPr>
        <w:t>（5）</w:t>
      </w:r>
      <w:r>
        <w:rPr>
          <w:rFonts w:hint="eastAsia" w:eastAsia="楷体_GB2312"/>
          <w:sz w:val="28"/>
          <w:szCs w:val="21"/>
        </w:rPr>
        <w:t>大店镇</w:t>
      </w:r>
    </w:p>
    <w:p w14:paraId="62776F5B">
      <w:pPr>
        <w:widowControl w:val="0"/>
        <w:spacing w:line="480" w:lineRule="exact"/>
        <w:ind w:firstLine="560" w:firstLineChars="200"/>
        <w:jc w:val="both"/>
        <w:rPr>
          <w:rFonts w:eastAsia="楷体_GB2312"/>
          <w:sz w:val="28"/>
          <w:szCs w:val="21"/>
        </w:rPr>
      </w:pPr>
      <w:r>
        <w:rPr>
          <w:rFonts w:hint="eastAsia" w:eastAsia="楷体_GB2312"/>
          <w:sz w:val="28"/>
          <w:szCs w:val="21"/>
        </w:rPr>
        <w:t>大店镇</w:t>
      </w:r>
      <w:r>
        <w:rPr>
          <w:rFonts w:eastAsia="楷体_GB2312"/>
          <w:sz w:val="28"/>
          <w:szCs w:val="21"/>
        </w:rPr>
        <w:t>商服中心：该商服中心位于</w:t>
      </w:r>
      <w:r>
        <w:rPr>
          <w:rFonts w:hint="eastAsia" w:eastAsia="楷体_GB2312"/>
          <w:sz w:val="28"/>
          <w:szCs w:val="21"/>
        </w:rPr>
        <w:t>月牙街两侧</w:t>
      </w:r>
      <w:r>
        <w:rPr>
          <w:rFonts w:eastAsia="楷体_GB2312"/>
          <w:sz w:val="28"/>
          <w:szCs w:val="21"/>
        </w:rPr>
        <w:t>。商业服务类型以中、小型服务业为主，主要商业网点有</w:t>
      </w:r>
      <w:r>
        <w:rPr>
          <w:rFonts w:hint="eastAsia" w:eastAsia="楷体_GB2312"/>
          <w:sz w:val="28"/>
          <w:szCs w:val="21"/>
        </w:rPr>
        <w:t>安民大药房、苏杭时代生活购物广场、好又多、海信专卖店、福建千里香</w:t>
      </w:r>
      <w:r>
        <w:rPr>
          <w:rFonts w:eastAsia="楷体_GB2312"/>
          <w:sz w:val="28"/>
          <w:szCs w:val="21"/>
        </w:rPr>
        <w:t>等。多数建筑物为二</w:t>
      </w:r>
      <w:r>
        <w:rPr>
          <w:rFonts w:hint="eastAsia" w:eastAsia="楷体_GB2312"/>
          <w:sz w:val="28"/>
          <w:szCs w:val="21"/>
        </w:rPr>
        <w:t>、三</w:t>
      </w:r>
      <w:r>
        <w:rPr>
          <w:rFonts w:eastAsia="楷体_GB2312"/>
          <w:sz w:val="28"/>
          <w:szCs w:val="21"/>
        </w:rPr>
        <w:t>层，一层为商服，二</w:t>
      </w:r>
      <w:r>
        <w:rPr>
          <w:rFonts w:hint="eastAsia" w:eastAsia="楷体_GB2312"/>
          <w:sz w:val="28"/>
          <w:szCs w:val="21"/>
        </w:rPr>
        <w:t>、三</w:t>
      </w:r>
      <w:r>
        <w:rPr>
          <w:rFonts w:eastAsia="楷体_GB2312"/>
          <w:sz w:val="28"/>
          <w:szCs w:val="21"/>
        </w:rPr>
        <w:t>层为住宅。以本地顾客为主，商服繁华程度一般。</w:t>
      </w:r>
    </w:p>
    <w:p w14:paraId="24A034DB">
      <w:pPr>
        <w:widowControl w:val="0"/>
        <w:spacing w:line="480" w:lineRule="exact"/>
        <w:ind w:firstLine="560" w:firstLineChars="200"/>
        <w:jc w:val="both"/>
        <w:rPr>
          <w:rFonts w:eastAsia="楷体_GB2312"/>
          <w:sz w:val="28"/>
          <w:szCs w:val="21"/>
        </w:rPr>
      </w:pPr>
      <w:r>
        <w:rPr>
          <w:rFonts w:eastAsia="楷体_GB2312"/>
          <w:sz w:val="28"/>
          <w:szCs w:val="21"/>
        </w:rPr>
        <w:t>（6）</w:t>
      </w:r>
      <w:r>
        <w:rPr>
          <w:rFonts w:hint="eastAsia" w:eastAsia="楷体_GB2312"/>
          <w:sz w:val="28"/>
          <w:szCs w:val="21"/>
        </w:rPr>
        <w:t>栏杆镇</w:t>
      </w:r>
    </w:p>
    <w:p w14:paraId="3CE242B9">
      <w:pPr>
        <w:widowControl w:val="0"/>
        <w:spacing w:line="480" w:lineRule="exact"/>
        <w:ind w:firstLine="560" w:firstLineChars="200"/>
        <w:jc w:val="both"/>
        <w:rPr>
          <w:rFonts w:eastAsia="楷体_GB2312"/>
          <w:sz w:val="28"/>
          <w:szCs w:val="21"/>
        </w:rPr>
      </w:pPr>
      <w:r>
        <w:rPr>
          <w:rFonts w:hint="eastAsia" w:eastAsia="楷体_GB2312"/>
          <w:sz w:val="28"/>
          <w:szCs w:val="21"/>
        </w:rPr>
        <w:t>栏杆镇</w:t>
      </w:r>
      <w:r>
        <w:rPr>
          <w:rFonts w:eastAsia="楷体_GB2312"/>
          <w:sz w:val="28"/>
          <w:szCs w:val="21"/>
        </w:rPr>
        <w:t>商服中心：该商服中心位于</w:t>
      </w:r>
      <w:r>
        <w:rPr>
          <w:rFonts w:hint="eastAsia" w:eastAsia="楷体_GB2312"/>
          <w:sz w:val="28"/>
          <w:szCs w:val="21"/>
        </w:rPr>
        <w:t>斛城路</w:t>
      </w:r>
      <w:r>
        <w:rPr>
          <w:rFonts w:eastAsia="楷体_GB2312"/>
          <w:sz w:val="28"/>
          <w:szCs w:val="21"/>
        </w:rPr>
        <w:t>两侧。商业服务类型以中、小型服务业为主，主要商业网点有</w:t>
      </w:r>
      <w:r>
        <w:rPr>
          <w:rFonts w:hint="eastAsia" w:eastAsia="楷体_GB2312"/>
          <w:sz w:val="28"/>
          <w:szCs w:val="21"/>
        </w:rPr>
        <w:t>南京灌汤包、意尔康、奥康皮鞋、中国移动</w:t>
      </w:r>
      <w:r>
        <w:rPr>
          <w:rFonts w:eastAsia="楷体_GB2312"/>
          <w:sz w:val="28"/>
          <w:szCs w:val="21"/>
        </w:rPr>
        <w:t>等。多数建筑物为二层，一层为商服，二层为住宅。以本地顾客为主，商服繁华程度一般。</w:t>
      </w:r>
    </w:p>
    <w:p w14:paraId="59C8344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（7）</w:t>
      </w:r>
      <w:r>
        <w:rPr>
          <w:rFonts w:hint="eastAsia" w:ascii="Times New Roman" w:hAnsi="Times New Roman" w:eastAsia="楷体_GB2312" w:cs="Times New Roman"/>
          <w:sz w:val="28"/>
        </w:rPr>
        <w:t>时村镇</w:t>
      </w:r>
    </w:p>
    <w:p w14:paraId="2DE0DB6A">
      <w:pPr>
        <w:widowControl w:val="0"/>
        <w:spacing w:line="480" w:lineRule="exact"/>
        <w:ind w:firstLine="560" w:firstLineChars="200"/>
        <w:jc w:val="both"/>
        <w:rPr>
          <w:rFonts w:eastAsia="楷体_GB2312"/>
          <w:sz w:val="28"/>
          <w:szCs w:val="21"/>
        </w:rPr>
      </w:pPr>
      <w:r>
        <w:rPr>
          <w:rFonts w:hint="eastAsia" w:eastAsia="楷体_GB2312"/>
          <w:sz w:val="28"/>
        </w:rPr>
        <w:t>时村镇</w:t>
      </w:r>
      <w:r>
        <w:rPr>
          <w:rFonts w:eastAsia="楷体_GB2312"/>
          <w:sz w:val="28"/>
          <w:szCs w:val="21"/>
        </w:rPr>
        <w:t>商服中心：该商服中心位于</w:t>
      </w:r>
      <w:r>
        <w:rPr>
          <w:rFonts w:hint="eastAsia" w:eastAsia="楷体_GB2312"/>
          <w:sz w:val="28"/>
          <w:szCs w:val="21"/>
        </w:rPr>
        <w:t>时南路</w:t>
      </w:r>
      <w:r>
        <w:rPr>
          <w:rFonts w:eastAsia="楷体_GB2312"/>
          <w:sz w:val="28"/>
          <w:szCs w:val="21"/>
        </w:rPr>
        <w:t>两侧。主要经营项目有日用超市、餐饮等。主要商业网点有</w:t>
      </w:r>
      <w:r>
        <w:rPr>
          <w:rFonts w:hint="eastAsia" w:eastAsia="楷体_GB2312"/>
          <w:sz w:val="28"/>
          <w:szCs w:val="21"/>
        </w:rPr>
        <w:t>红遍天服饰广场、雅迪、苏果超市、天津包子</w:t>
      </w:r>
      <w:r>
        <w:rPr>
          <w:rFonts w:eastAsia="楷体_GB2312"/>
          <w:sz w:val="28"/>
          <w:szCs w:val="21"/>
        </w:rPr>
        <w:t>等。建筑一般为二至三层，一层为商服，二、三层为住宅。以本地顾客为主，商服繁华程度一般。</w:t>
      </w:r>
    </w:p>
    <w:p w14:paraId="30513024">
      <w:pPr>
        <w:widowControl w:val="0"/>
        <w:spacing w:line="480" w:lineRule="exact"/>
        <w:ind w:firstLine="560" w:firstLineChars="200"/>
        <w:jc w:val="both"/>
        <w:rPr>
          <w:rFonts w:eastAsia="楷体_GB2312"/>
          <w:sz w:val="28"/>
          <w:szCs w:val="21"/>
        </w:rPr>
      </w:pPr>
      <w:r>
        <w:rPr>
          <w:rFonts w:eastAsia="楷体_GB2312"/>
          <w:sz w:val="28"/>
          <w:szCs w:val="21"/>
        </w:rPr>
        <w:t>（8）</w:t>
      </w:r>
      <w:r>
        <w:rPr>
          <w:rFonts w:hint="eastAsia" w:eastAsia="楷体_GB2312"/>
          <w:sz w:val="28"/>
          <w:szCs w:val="21"/>
        </w:rPr>
        <w:t>夹沟镇</w:t>
      </w:r>
    </w:p>
    <w:p w14:paraId="2E0A0560">
      <w:pPr>
        <w:widowControl w:val="0"/>
        <w:spacing w:line="480" w:lineRule="exact"/>
        <w:ind w:firstLine="560" w:firstLineChars="200"/>
        <w:jc w:val="both"/>
        <w:rPr>
          <w:rFonts w:eastAsia="楷体_GB2312"/>
          <w:sz w:val="28"/>
          <w:szCs w:val="21"/>
        </w:rPr>
      </w:pPr>
      <w:r>
        <w:rPr>
          <w:rFonts w:hint="eastAsia" w:eastAsia="楷体_GB2312"/>
          <w:sz w:val="28"/>
          <w:szCs w:val="21"/>
        </w:rPr>
        <w:t>夹沟镇</w:t>
      </w:r>
      <w:r>
        <w:rPr>
          <w:rFonts w:eastAsia="楷体_GB2312"/>
          <w:sz w:val="28"/>
          <w:szCs w:val="21"/>
        </w:rPr>
        <w:t>商服中心：该商服中心位于</w:t>
      </w:r>
      <w:r>
        <w:rPr>
          <w:rFonts w:hint="eastAsia" w:eastAsia="楷体_GB2312"/>
          <w:sz w:val="28"/>
          <w:szCs w:val="21"/>
        </w:rPr>
        <w:t>031县道与206国道交叉口</w:t>
      </w:r>
      <w:r>
        <w:rPr>
          <w:rFonts w:eastAsia="楷体_GB2312"/>
          <w:sz w:val="28"/>
          <w:szCs w:val="21"/>
        </w:rPr>
        <w:t>两侧。主要经营项目有百货、超市、餐饮等。商业网点有</w:t>
      </w:r>
      <w:r>
        <w:rPr>
          <w:rFonts w:hint="eastAsia" w:eastAsia="楷体_GB2312"/>
          <w:sz w:val="28"/>
          <w:szCs w:val="21"/>
        </w:rPr>
        <w:t>小宁电器、夹沟饭店、金牛管业、华夏超市</w:t>
      </w:r>
      <w:r>
        <w:rPr>
          <w:rFonts w:eastAsia="楷体_GB2312"/>
          <w:sz w:val="28"/>
          <w:szCs w:val="21"/>
        </w:rPr>
        <w:t>等。多数建筑物为二层，一层为商服，二层为住宅。以本地顾客为主，商服繁华程度一般。</w:t>
      </w:r>
    </w:p>
    <w:p w14:paraId="5546DD72">
      <w:pPr>
        <w:widowControl w:val="0"/>
        <w:spacing w:line="480" w:lineRule="exact"/>
        <w:ind w:firstLine="560" w:firstLineChars="200"/>
        <w:jc w:val="both"/>
        <w:rPr>
          <w:rFonts w:eastAsia="楷体_GB2312"/>
          <w:sz w:val="28"/>
          <w:szCs w:val="21"/>
        </w:rPr>
      </w:pPr>
      <w:r>
        <w:rPr>
          <w:rFonts w:eastAsia="楷体_GB2312"/>
          <w:sz w:val="28"/>
          <w:szCs w:val="21"/>
        </w:rPr>
        <w:t>（9）</w:t>
      </w:r>
      <w:r>
        <w:rPr>
          <w:rFonts w:hint="eastAsia" w:eastAsia="楷体_GB2312"/>
          <w:sz w:val="28"/>
          <w:szCs w:val="21"/>
        </w:rPr>
        <w:t>西二铺乡</w:t>
      </w:r>
    </w:p>
    <w:p w14:paraId="284904A2">
      <w:pPr>
        <w:widowControl w:val="0"/>
        <w:spacing w:line="480" w:lineRule="exact"/>
        <w:ind w:firstLine="560" w:firstLineChars="200"/>
        <w:jc w:val="both"/>
        <w:rPr>
          <w:rFonts w:eastAsia="楷体_GB2312"/>
          <w:sz w:val="28"/>
          <w:szCs w:val="21"/>
        </w:rPr>
      </w:pPr>
      <w:r>
        <w:rPr>
          <w:rFonts w:hint="eastAsia" w:eastAsia="楷体_GB2312"/>
          <w:sz w:val="28"/>
          <w:szCs w:val="21"/>
        </w:rPr>
        <w:t>西二铺乡</w:t>
      </w:r>
      <w:r>
        <w:rPr>
          <w:rFonts w:eastAsia="楷体_GB2312"/>
          <w:sz w:val="28"/>
          <w:szCs w:val="21"/>
        </w:rPr>
        <w:t>商服中心：该商服中心位于</w:t>
      </w:r>
      <w:r>
        <w:rPr>
          <w:rFonts w:hint="eastAsia" w:eastAsia="楷体_GB2312"/>
          <w:sz w:val="28"/>
          <w:szCs w:val="21"/>
        </w:rPr>
        <w:t>宿永路</w:t>
      </w:r>
      <w:r>
        <w:rPr>
          <w:rFonts w:eastAsia="楷体_GB2312"/>
          <w:sz w:val="28"/>
          <w:szCs w:val="21"/>
        </w:rPr>
        <w:t>两侧。主要经营项目有日用百货、餐饮、药店等。主要商业网点有</w:t>
      </w:r>
      <w:r>
        <w:rPr>
          <w:rFonts w:hint="eastAsia" w:eastAsia="楷体_GB2312"/>
          <w:sz w:val="28"/>
          <w:szCs w:val="21"/>
        </w:rPr>
        <w:t>万家大药房、美惠多超市、舰中饭店</w:t>
      </w:r>
      <w:r>
        <w:rPr>
          <w:rFonts w:eastAsia="楷体_GB2312"/>
          <w:sz w:val="28"/>
          <w:szCs w:val="21"/>
        </w:rPr>
        <w:t>等。多数建筑物为二层，一层为商服，二层为住宅。以本地顾客为主，商服繁华程度一般。</w:t>
      </w:r>
    </w:p>
    <w:p w14:paraId="49319101">
      <w:pPr>
        <w:widowControl w:val="0"/>
        <w:spacing w:line="480" w:lineRule="exact"/>
        <w:ind w:firstLine="560" w:firstLineChars="200"/>
        <w:jc w:val="both"/>
        <w:rPr>
          <w:rFonts w:eastAsia="楷体_GB2312"/>
          <w:sz w:val="28"/>
          <w:szCs w:val="21"/>
        </w:rPr>
      </w:pPr>
      <w:r>
        <w:rPr>
          <w:rFonts w:eastAsia="楷体_GB2312"/>
          <w:sz w:val="28"/>
          <w:szCs w:val="21"/>
        </w:rPr>
        <w:t>（10）</w:t>
      </w:r>
      <w:r>
        <w:rPr>
          <w:rFonts w:hint="eastAsia" w:eastAsia="楷体_GB2312"/>
          <w:sz w:val="28"/>
          <w:szCs w:val="21"/>
        </w:rPr>
        <w:t>桃园镇</w:t>
      </w:r>
    </w:p>
    <w:p w14:paraId="413694B2">
      <w:pPr>
        <w:widowControl w:val="0"/>
        <w:spacing w:line="480" w:lineRule="exact"/>
        <w:ind w:firstLine="560" w:firstLineChars="200"/>
        <w:jc w:val="both"/>
        <w:rPr>
          <w:rFonts w:eastAsia="楷体_GB2312"/>
          <w:sz w:val="28"/>
          <w:szCs w:val="21"/>
        </w:rPr>
      </w:pPr>
      <w:r>
        <w:rPr>
          <w:rFonts w:hint="eastAsia" w:eastAsia="楷体_GB2312"/>
          <w:sz w:val="28"/>
          <w:szCs w:val="21"/>
        </w:rPr>
        <w:t>桃园镇</w:t>
      </w:r>
      <w:r>
        <w:rPr>
          <w:rFonts w:eastAsia="楷体_GB2312"/>
          <w:sz w:val="28"/>
          <w:szCs w:val="21"/>
        </w:rPr>
        <w:t>商服中心：该商服中心位于</w:t>
      </w:r>
      <w:r>
        <w:rPr>
          <w:rFonts w:hint="eastAsia" w:eastAsia="楷体_GB2312"/>
          <w:sz w:val="28"/>
          <w:szCs w:val="21"/>
        </w:rPr>
        <w:t>健康路两侧</w:t>
      </w:r>
      <w:r>
        <w:rPr>
          <w:rFonts w:eastAsia="楷体_GB2312"/>
          <w:sz w:val="28"/>
          <w:szCs w:val="21"/>
        </w:rPr>
        <w:t>。商业服务类型以中、小型服务业为主，主要商业网点有</w:t>
      </w:r>
      <w:r>
        <w:rPr>
          <w:rFonts w:hint="eastAsia" w:eastAsia="楷体_GB2312"/>
          <w:sz w:val="28"/>
          <w:szCs w:val="21"/>
        </w:rPr>
        <w:t>京东家电、益民大药房、阳光书店</w:t>
      </w:r>
      <w:r>
        <w:rPr>
          <w:rFonts w:eastAsia="楷体_GB2312"/>
          <w:sz w:val="28"/>
          <w:szCs w:val="21"/>
        </w:rPr>
        <w:t>等。多数建筑物为二层，一层为商服，二层为住宅。以本地顾客为主，商服繁华程度一般。</w:t>
      </w:r>
    </w:p>
    <w:p w14:paraId="67A25160">
      <w:pPr>
        <w:widowControl w:val="0"/>
        <w:spacing w:line="480" w:lineRule="exact"/>
        <w:ind w:firstLine="560" w:firstLineChars="200"/>
        <w:jc w:val="both"/>
        <w:rPr>
          <w:rFonts w:eastAsia="楷体_GB2312"/>
          <w:sz w:val="28"/>
          <w:szCs w:val="21"/>
        </w:rPr>
      </w:pPr>
      <w:r>
        <w:rPr>
          <w:rFonts w:hint="eastAsia" w:eastAsia="楷体_GB2312"/>
          <w:sz w:val="28"/>
          <w:szCs w:val="21"/>
        </w:rPr>
        <w:t>北杨寨</w:t>
      </w:r>
      <w:r>
        <w:rPr>
          <w:rFonts w:eastAsia="楷体_GB2312"/>
          <w:sz w:val="28"/>
          <w:szCs w:val="21"/>
        </w:rPr>
        <w:t>商服中心：该商服中心位于</w:t>
      </w:r>
      <w:r>
        <w:rPr>
          <w:rFonts w:hint="eastAsia" w:eastAsia="楷体_GB2312"/>
          <w:sz w:val="28"/>
          <w:szCs w:val="21"/>
        </w:rPr>
        <w:t>邵圩路两侧</w:t>
      </w:r>
      <w:r>
        <w:rPr>
          <w:rFonts w:eastAsia="楷体_GB2312"/>
          <w:sz w:val="28"/>
          <w:szCs w:val="21"/>
        </w:rPr>
        <w:t>。商业服务类型以中、小型服务业为主，主要商业网点有</w:t>
      </w:r>
      <w:r>
        <w:rPr>
          <w:rFonts w:hint="eastAsia" w:eastAsia="楷体_GB2312"/>
          <w:sz w:val="28"/>
          <w:szCs w:val="21"/>
        </w:rPr>
        <w:t>大众饭店、众优生活超市、海信专卖店、新日电动车</w:t>
      </w:r>
      <w:r>
        <w:rPr>
          <w:rFonts w:eastAsia="楷体_GB2312"/>
          <w:sz w:val="28"/>
          <w:szCs w:val="21"/>
        </w:rPr>
        <w:t>等。多数建筑物为二层，一层为商服，二层为住宅。以本地顾客为主，商服繁华程度一般。</w:t>
      </w:r>
    </w:p>
    <w:p w14:paraId="62A773AC">
      <w:pPr>
        <w:widowControl w:val="0"/>
        <w:spacing w:line="480" w:lineRule="exact"/>
        <w:ind w:firstLine="560" w:firstLineChars="200"/>
        <w:jc w:val="both"/>
        <w:rPr>
          <w:rFonts w:eastAsia="楷体_GB2312"/>
          <w:sz w:val="28"/>
          <w:szCs w:val="21"/>
        </w:rPr>
      </w:pPr>
      <w:r>
        <w:rPr>
          <w:rFonts w:eastAsia="楷体_GB2312"/>
          <w:sz w:val="28"/>
          <w:szCs w:val="21"/>
        </w:rPr>
        <w:t>（1</w:t>
      </w:r>
      <w:r>
        <w:rPr>
          <w:rFonts w:hint="eastAsia" w:eastAsia="楷体_GB2312"/>
          <w:sz w:val="28"/>
          <w:szCs w:val="21"/>
        </w:rPr>
        <w:t>1</w:t>
      </w:r>
      <w:r>
        <w:rPr>
          <w:rFonts w:eastAsia="楷体_GB2312"/>
          <w:sz w:val="28"/>
          <w:szCs w:val="21"/>
        </w:rPr>
        <w:t>）</w:t>
      </w:r>
      <w:r>
        <w:rPr>
          <w:rFonts w:hint="eastAsia" w:eastAsia="楷体_GB2312"/>
          <w:sz w:val="28"/>
          <w:szCs w:val="21"/>
        </w:rPr>
        <w:t>曹村镇</w:t>
      </w:r>
    </w:p>
    <w:p w14:paraId="5E188E3E">
      <w:pPr>
        <w:widowControl w:val="0"/>
        <w:spacing w:line="480" w:lineRule="exact"/>
        <w:ind w:firstLine="560" w:firstLineChars="200"/>
        <w:jc w:val="both"/>
        <w:rPr>
          <w:rFonts w:eastAsia="楷体_GB2312"/>
          <w:sz w:val="28"/>
          <w:szCs w:val="21"/>
        </w:rPr>
      </w:pPr>
      <w:r>
        <w:rPr>
          <w:rFonts w:hint="eastAsia" w:eastAsia="楷体_GB2312"/>
          <w:sz w:val="28"/>
          <w:szCs w:val="21"/>
        </w:rPr>
        <w:t>曹村镇</w:t>
      </w:r>
      <w:r>
        <w:rPr>
          <w:rFonts w:eastAsia="楷体_GB2312"/>
          <w:sz w:val="28"/>
          <w:szCs w:val="21"/>
        </w:rPr>
        <w:t>商服中心：该商服中心位于</w:t>
      </w:r>
      <w:r>
        <w:rPr>
          <w:rFonts w:hint="eastAsia" w:eastAsia="楷体_GB2312"/>
          <w:sz w:val="28"/>
          <w:szCs w:val="21"/>
        </w:rPr>
        <w:t>镇中路与206国道</w:t>
      </w:r>
      <w:r>
        <w:rPr>
          <w:rFonts w:eastAsia="楷体_GB2312"/>
          <w:sz w:val="28"/>
          <w:szCs w:val="21"/>
        </w:rPr>
        <w:t>交叉口附近。主要经营项目有餐饮、宾馆、</w:t>
      </w:r>
      <w:r>
        <w:rPr>
          <w:rFonts w:hint="eastAsia" w:eastAsia="楷体_GB2312"/>
          <w:sz w:val="28"/>
          <w:szCs w:val="21"/>
        </w:rPr>
        <w:t>电器、</w:t>
      </w:r>
      <w:r>
        <w:rPr>
          <w:rFonts w:eastAsia="楷体_GB2312"/>
          <w:sz w:val="28"/>
          <w:szCs w:val="21"/>
        </w:rPr>
        <w:t>超市等。主要商业网点有</w:t>
      </w:r>
      <w:r>
        <w:rPr>
          <w:rFonts w:hint="eastAsia" w:eastAsia="楷体_GB2312"/>
          <w:sz w:val="28"/>
          <w:szCs w:val="21"/>
        </w:rPr>
        <w:t>家乡好饭店、东方宾馆、格力、新天源购物超市</w:t>
      </w:r>
      <w:r>
        <w:rPr>
          <w:rFonts w:eastAsia="楷体_GB2312"/>
          <w:sz w:val="28"/>
          <w:szCs w:val="21"/>
        </w:rPr>
        <w:t>等。建筑物以二层为主，一层为商业门面，二层一般为住宅。以本地顾客为主，商服繁华程度一般。</w:t>
      </w:r>
    </w:p>
    <w:p w14:paraId="71F3B856">
      <w:pPr>
        <w:widowControl w:val="0"/>
        <w:spacing w:line="480" w:lineRule="exact"/>
        <w:ind w:firstLine="560" w:firstLineChars="200"/>
        <w:jc w:val="both"/>
        <w:rPr>
          <w:rFonts w:eastAsia="楷体_GB2312"/>
          <w:sz w:val="28"/>
          <w:szCs w:val="21"/>
        </w:rPr>
      </w:pPr>
      <w:r>
        <w:rPr>
          <w:rFonts w:eastAsia="楷体_GB2312"/>
          <w:sz w:val="28"/>
          <w:szCs w:val="21"/>
        </w:rPr>
        <w:t>（</w:t>
      </w:r>
      <w:r>
        <w:rPr>
          <w:rFonts w:hint="eastAsia" w:eastAsia="楷体_GB2312"/>
          <w:sz w:val="28"/>
          <w:szCs w:val="21"/>
        </w:rPr>
        <w:t>1</w:t>
      </w:r>
      <w:r>
        <w:rPr>
          <w:rFonts w:eastAsia="楷体_GB2312"/>
          <w:sz w:val="28"/>
          <w:szCs w:val="21"/>
        </w:rPr>
        <w:t>2）</w:t>
      </w:r>
      <w:r>
        <w:rPr>
          <w:rFonts w:hint="eastAsia" w:eastAsia="楷体_GB2312"/>
          <w:sz w:val="28"/>
          <w:szCs w:val="21"/>
        </w:rPr>
        <w:t>大营镇</w:t>
      </w:r>
    </w:p>
    <w:p w14:paraId="484BCB47">
      <w:pPr>
        <w:widowControl w:val="0"/>
        <w:spacing w:line="480" w:lineRule="exact"/>
        <w:ind w:firstLine="560" w:firstLineChars="200"/>
        <w:jc w:val="both"/>
        <w:rPr>
          <w:rFonts w:eastAsia="楷体_GB2312"/>
          <w:sz w:val="28"/>
          <w:szCs w:val="21"/>
        </w:rPr>
      </w:pPr>
      <w:r>
        <w:rPr>
          <w:rFonts w:hint="eastAsia" w:eastAsia="楷体_GB2312"/>
          <w:sz w:val="28"/>
          <w:szCs w:val="21"/>
        </w:rPr>
        <w:t>大营镇</w:t>
      </w:r>
      <w:r>
        <w:rPr>
          <w:rFonts w:eastAsia="楷体_GB2312"/>
          <w:sz w:val="28"/>
          <w:szCs w:val="21"/>
        </w:rPr>
        <w:t>商服中心：该商服中心位于</w:t>
      </w:r>
      <w:r>
        <w:rPr>
          <w:rFonts w:hint="eastAsia" w:eastAsia="楷体_GB2312"/>
          <w:sz w:val="28"/>
          <w:szCs w:val="21"/>
        </w:rPr>
        <w:t>便民路与罗大路</w:t>
      </w:r>
      <w:r>
        <w:rPr>
          <w:rFonts w:eastAsia="楷体_GB2312"/>
          <w:sz w:val="28"/>
          <w:szCs w:val="21"/>
        </w:rPr>
        <w:t>交叉口附近。主要经营项目有日用餐饮、超市</w:t>
      </w:r>
      <w:r>
        <w:rPr>
          <w:rFonts w:hint="eastAsia" w:eastAsia="楷体_GB2312"/>
          <w:sz w:val="28"/>
          <w:szCs w:val="21"/>
        </w:rPr>
        <w:t>、电器、母婴</w:t>
      </w:r>
      <w:r>
        <w:rPr>
          <w:rFonts w:eastAsia="楷体_GB2312"/>
          <w:sz w:val="28"/>
          <w:szCs w:val="21"/>
        </w:rPr>
        <w:t>等，主要商业网点有</w:t>
      </w:r>
      <w:r>
        <w:rPr>
          <w:rFonts w:hint="eastAsia" w:eastAsia="楷体_GB2312"/>
          <w:sz w:val="28"/>
          <w:szCs w:val="21"/>
        </w:rPr>
        <w:t>酷宝贝、正新鸡排、美惠多超市、格力专卖店</w:t>
      </w:r>
      <w:r>
        <w:rPr>
          <w:rFonts w:eastAsia="楷体_GB2312"/>
          <w:sz w:val="28"/>
          <w:szCs w:val="21"/>
        </w:rPr>
        <w:t>等。多数建筑物为二层，一层为商服，二层为住宅。以本地顾客为主，商服繁华程度一般。</w:t>
      </w:r>
    </w:p>
    <w:p w14:paraId="70108560">
      <w:pPr>
        <w:widowControl w:val="0"/>
        <w:spacing w:line="480" w:lineRule="exact"/>
        <w:ind w:firstLine="560" w:firstLineChars="200"/>
        <w:jc w:val="both"/>
        <w:rPr>
          <w:rFonts w:eastAsia="楷体_GB2312"/>
          <w:sz w:val="28"/>
          <w:szCs w:val="21"/>
        </w:rPr>
      </w:pPr>
      <w:r>
        <w:rPr>
          <w:rFonts w:eastAsia="楷体_GB2312"/>
          <w:sz w:val="28"/>
          <w:szCs w:val="21"/>
        </w:rPr>
        <w:t>（</w:t>
      </w:r>
      <w:r>
        <w:rPr>
          <w:rFonts w:hint="eastAsia" w:eastAsia="楷体_GB2312"/>
          <w:sz w:val="28"/>
          <w:szCs w:val="21"/>
        </w:rPr>
        <w:t>1</w:t>
      </w:r>
      <w:r>
        <w:rPr>
          <w:rFonts w:eastAsia="楷体_GB2312"/>
          <w:sz w:val="28"/>
          <w:szCs w:val="21"/>
        </w:rPr>
        <w:t>3）</w:t>
      </w:r>
      <w:r>
        <w:rPr>
          <w:rFonts w:hint="eastAsia" w:eastAsia="楷体_GB2312"/>
          <w:sz w:val="28"/>
          <w:szCs w:val="21"/>
        </w:rPr>
        <w:t>褚兰镇</w:t>
      </w:r>
    </w:p>
    <w:p w14:paraId="3F6EA52C">
      <w:pPr>
        <w:widowControl w:val="0"/>
        <w:spacing w:line="480" w:lineRule="exact"/>
        <w:ind w:firstLine="560" w:firstLineChars="200"/>
        <w:jc w:val="both"/>
        <w:rPr>
          <w:rFonts w:eastAsia="楷体_GB2312"/>
          <w:sz w:val="28"/>
          <w:szCs w:val="21"/>
        </w:rPr>
      </w:pPr>
      <w:r>
        <w:rPr>
          <w:rFonts w:hint="eastAsia" w:eastAsia="楷体_GB2312"/>
          <w:sz w:val="28"/>
          <w:szCs w:val="21"/>
        </w:rPr>
        <w:t>褚兰镇</w:t>
      </w:r>
      <w:r>
        <w:rPr>
          <w:rFonts w:eastAsia="楷体_GB2312"/>
          <w:sz w:val="28"/>
          <w:szCs w:val="21"/>
        </w:rPr>
        <w:t>商服中心：该商服中心位于</w:t>
      </w:r>
      <w:r>
        <w:rPr>
          <w:rFonts w:hint="eastAsia" w:eastAsia="楷体_GB2312"/>
          <w:sz w:val="28"/>
          <w:szCs w:val="21"/>
        </w:rPr>
        <w:t>中心街市</w:t>
      </w:r>
      <w:r>
        <w:rPr>
          <w:rFonts w:eastAsia="楷体_GB2312"/>
          <w:sz w:val="28"/>
          <w:szCs w:val="21"/>
        </w:rPr>
        <w:t>两侧。商业服务类型以</w:t>
      </w:r>
      <w:r>
        <w:rPr>
          <w:rFonts w:hint="eastAsia" w:eastAsia="楷体_GB2312"/>
          <w:sz w:val="28"/>
          <w:szCs w:val="21"/>
        </w:rPr>
        <w:t>服装、百货、餐饮</w:t>
      </w:r>
      <w:r>
        <w:rPr>
          <w:rFonts w:eastAsia="楷体_GB2312"/>
          <w:sz w:val="28"/>
          <w:szCs w:val="21"/>
        </w:rPr>
        <w:t>为主，主要商业网点有</w:t>
      </w:r>
      <w:r>
        <w:rPr>
          <w:rFonts w:hint="eastAsia" w:eastAsia="楷体_GB2312"/>
          <w:sz w:val="28"/>
          <w:szCs w:val="21"/>
        </w:rPr>
        <w:t>意尔康、晨光文具、波司登、福建千里香</w:t>
      </w:r>
      <w:r>
        <w:rPr>
          <w:rFonts w:eastAsia="楷体_GB2312"/>
          <w:sz w:val="28"/>
          <w:szCs w:val="21"/>
        </w:rPr>
        <w:t>等。多数建筑物为二</w:t>
      </w:r>
      <w:r>
        <w:rPr>
          <w:rFonts w:hint="eastAsia" w:eastAsia="楷体_GB2312"/>
          <w:sz w:val="28"/>
          <w:szCs w:val="21"/>
        </w:rPr>
        <w:t>、三</w:t>
      </w:r>
      <w:r>
        <w:rPr>
          <w:rFonts w:eastAsia="楷体_GB2312"/>
          <w:sz w:val="28"/>
          <w:szCs w:val="21"/>
        </w:rPr>
        <w:t>层，一层为商服，二</w:t>
      </w:r>
      <w:r>
        <w:rPr>
          <w:rFonts w:hint="eastAsia" w:eastAsia="楷体_GB2312"/>
          <w:sz w:val="28"/>
          <w:szCs w:val="21"/>
        </w:rPr>
        <w:t>、三</w:t>
      </w:r>
      <w:r>
        <w:rPr>
          <w:rFonts w:eastAsia="楷体_GB2312"/>
          <w:sz w:val="28"/>
          <w:szCs w:val="21"/>
        </w:rPr>
        <w:t>层为住宅。以本地顾客为主，商服繁华程度一般。</w:t>
      </w:r>
    </w:p>
    <w:p w14:paraId="08EE6877">
      <w:pPr>
        <w:widowControl w:val="0"/>
        <w:spacing w:line="480" w:lineRule="exact"/>
        <w:ind w:firstLine="560" w:firstLineChars="200"/>
        <w:jc w:val="both"/>
        <w:rPr>
          <w:rFonts w:eastAsia="楷体_GB2312"/>
          <w:sz w:val="28"/>
          <w:szCs w:val="21"/>
        </w:rPr>
      </w:pPr>
      <w:r>
        <w:rPr>
          <w:rFonts w:eastAsia="楷体_GB2312"/>
          <w:sz w:val="28"/>
          <w:szCs w:val="21"/>
        </w:rPr>
        <w:t>（</w:t>
      </w:r>
      <w:r>
        <w:rPr>
          <w:rFonts w:hint="eastAsia" w:eastAsia="楷体_GB2312"/>
          <w:sz w:val="28"/>
          <w:szCs w:val="21"/>
        </w:rPr>
        <w:t>1</w:t>
      </w:r>
      <w:r>
        <w:rPr>
          <w:rFonts w:eastAsia="楷体_GB2312"/>
          <w:sz w:val="28"/>
          <w:szCs w:val="21"/>
        </w:rPr>
        <w:t>4）</w:t>
      </w:r>
      <w:r>
        <w:rPr>
          <w:rFonts w:hint="eastAsia" w:eastAsia="楷体_GB2312"/>
          <w:sz w:val="28"/>
          <w:szCs w:val="21"/>
        </w:rPr>
        <w:t>顺河镇</w:t>
      </w:r>
    </w:p>
    <w:p w14:paraId="01CA3B39">
      <w:pPr>
        <w:widowControl w:val="0"/>
        <w:spacing w:line="480" w:lineRule="exact"/>
        <w:ind w:firstLine="560" w:firstLineChars="200"/>
        <w:jc w:val="both"/>
        <w:rPr>
          <w:rFonts w:eastAsia="楷体_GB2312"/>
          <w:sz w:val="28"/>
          <w:szCs w:val="21"/>
        </w:rPr>
      </w:pPr>
      <w:r>
        <w:rPr>
          <w:rFonts w:hint="eastAsia" w:eastAsia="楷体_GB2312"/>
          <w:sz w:val="28"/>
          <w:szCs w:val="21"/>
        </w:rPr>
        <w:t>顺河镇</w:t>
      </w:r>
      <w:r>
        <w:rPr>
          <w:rFonts w:eastAsia="楷体_GB2312"/>
          <w:sz w:val="28"/>
          <w:szCs w:val="21"/>
        </w:rPr>
        <w:t>商服中心：该商服中心位于</w:t>
      </w:r>
      <w:r>
        <w:rPr>
          <w:rFonts w:hint="eastAsia" w:eastAsia="楷体_GB2312"/>
          <w:sz w:val="28"/>
          <w:szCs w:val="21"/>
        </w:rPr>
        <w:t>中心大街</w:t>
      </w:r>
      <w:r>
        <w:rPr>
          <w:rFonts w:eastAsia="楷体_GB2312"/>
          <w:sz w:val="28"/>
          <w:szCs w:val="21"/>
        </w:rPr>
        <w:t>两侧。主要经营项目有超市</w:t>
      </w:r>
      <w:r>
        <w:rPr>
          <w:rFonts w:hint="eastAsia" w:eastAsia="楷体_GB2312"/>
          <w:sz w:val="28"/>
          <w:szCs w:val="21"/>
        </w:rPr>
        <w:t>、</w:t>
      </w:r>
      <w:r>
        <w:rPr>
          <w:rFonts w:eastAsia="楷体_GB2312"/>
          <w:sz w:val="28"/>
          <w:szCs w:val="21"/>
        </w:rPr>
        <w:t>餐饮</w:t>
      </w:r>
      <w:r>
        <w:rPr>
          <w:rFonts w:hint="eastAsia" w:eastAsia="楷体_GB2312"/>
          <w:sz w:val="28"/>
          <w:szCs w:val="21"/>
        </w:rPr>
        <w:t>、家电</w:t>
      </w:r>
      <w:r>
        <w:rPr>
          <w:rFonts w:eastAsia="楷体_GB2312"/>
          <w:sz w:val="28"/>
          <w:szCs w:val="21"/>
        </w:rPr>
        <w:t>等。商业网点有</w:t>
      </w:r>
      <w:r>
        <w:rPr>
          <w:rFonts w:hint="eastAsia" w:eastAsia="楷体_GB2312"/>
          <w:sz w:val="28"/>
          <w:szCs w:val="21"/>
        </w:rPr>
        <w:t>淮南牛肉汤、李府超市、好又多超市、京东家电</w:t>
      </w:r>
      <w:r>
        <w:rPr>
          <w:rFonts w:eastAsia="楷体_GB2312"/>
          <w:sz w:val="28"/>
          <w:szCs w:val="21"/>
        </w:rPr>
        <w:t>等。多数建筑物为二层，一层为商服，二层为住宅。以本地顾客为主，商服繁华程度一般。</w:t>
      </w:r>
    </w:p>
    <w:p w14:paraId="5C0A216B">
      <w:pPr>
        <w:widowControl w:val="0"/>
        <w:spacing w:line="480" w:lineRule="exact"/>
        <w:ind w:firstLine="560" w:firstLineChars="200"/>
        <w:jc w:val="both"/>
        <w:rPr>
          <w:rFonts w:eastAsia="楷体_GB2312"/>
          <w:sz w:val="28"/>
          <w:szCs w:val="21"/>
        </w:rPr>
      </w:pPr>
      <w:r>
        <w:rPr>
          <w:rFonts w:eastAsia="楷体_GB2312"/>
          <w:sz w:val="28"/>
          <w:szCs w:val="21"/>
        </w:rPr>
        <w:t>（</w:t>
      </w:r>
      <w:r>
        <w:rPr>
          <w:rFonts w:hint="eastAsia" w:eastAsia="楷体_GB2312"/>
          <w:sz w:val="28"/>
          <w:szCs w:val="21"/>
        </w:rPr>
        <w:t>1</w:t>
      </w:r>
      <w:r>
        <w:rPr>
          <w:rFonts w:eastAsia="楷体_GB2312"/>
          <w:sz w:val="28"/>
          <w:szCs w:val="21"/>
        </w:rPr>
        <w:t>5）</w:t>
      </w:r>
      <w:r>
        <w:rPr>
          <w:rFonts w:hint="eastAsia" w:eastAsia="楷体_GB2312"/>
          <w:sz w:val="28"/>
          <w:szCs w:val="21"/>
        </w:rPr>
        <w:t>杨庄镇</w:t>
      </w:r>
    </w:p>
    <w:p w14:paraId="40BAE12A">
      <w:pPr>
        <w:widowControl w:val="0"/>
        <w:spacing w:line="480" w:lineRule="exact"/>
        <w:ind w:firstLine="560" w:firstLineChars="200"/>
        <w:jc w:val="both"/>
        <w:rPr>
          <w:rFonts w:eastAsia="楷体_GB2312"/>
          <w:sz w:val="28"/>
          <w:szCs w:val="21"/>
        </w:rPr>
      </w:pPr>
      <w:r>
        <w:rPr>
          <w:rFonts w:hint="eastAsia" w:eastAsia="楷体_GB2312"/>
          <w:sz w:val="28"/>
          <w:szCs w:val="21"/>
        </w:rPr>
        <w:t>杨庄镇</w:t>
      </w:r>
      <w:r>
        <w:rPr>
          <w:rFonts w:eastAsia="楷体_GB2312"/>
          <w:sz w:val="28"/>
          <w:szCs w:val="21"/>
        </w:rPr>
        <w:t>商服中心：该商服中心位于</w:t>
      </w:r>
      <w:r>
        <w:rPr>
          <w:rFonts w:hint="eastAsia" w:eastAsia="楷体_GB2312"/>
          <w:sz w:val="28"/>
          <w:szCs w:val="21"/>
        </w:rPr>
        <w:t>杨庄大街两侧</w:t>
      </w:r>
      <w:r>
        <w:rPr>
          <w:rFonts w:eastAsia="楷体_GB2312"/>
          <w:sz w:val="28"/>
          <w:szCs w:val="21"/>
        </w:rPr>
        <w:t>。商业服务类型以中、小型服务业为主，主要商业网点有</w:t>
      </w:r>
      <w:r>
        <w:rPr>
          <w:rFonts w:hint="eastAsia" w:eastAsia="楷体_GB2312"/>
          <w:sz w:val="28"/>
          <w:szCs w:val="21"/>
        </w:rPr>
        <w:t>山东大馍、世纪贝贝、亿家人超市、老北京布鞋</w:t>
      </w:r>
      <w:r>
        <w:rPr>
          <w:rFonts w:eastAsia="楷体_GB2312"/>
          <w:sz w:val="28"/>
          <w:szCs w:val="21"/>
        </w:rPr>
        <w:t>等。多数建筑物为二</w:t>
      </w:r>
      <w:r>
        <w:rPr>
          <w:rFonts w:hint="eastAsia" w:eastAsia="楷体_GB2312"/>
          <w:sz w:val="28"/>
          <w:szCs w:val="21"/>
        </w:rPr>
        <w:t>、三</w:t>
      </w:r>
      <w:r>
        <w:rPr>
          <w:rFonts w:eastAsia="楷体_GB2312"/>
          <w:sz w:val="28"/>
          <w:szCs w:val="21"/>
        </w:rPr>
        <w:t>层，一层为商服，二</w:t>
      </w:r>
      <w:r>
        <w:rPr>
          <w:rFonts w:hint="eastAsia" w:eastAsia="楷体_GB2312"/>
          <w:sz w:val="28"/>
          <w:szCs w:val="21"/>
        </w:rPr>
        <w:t>、三</w:t>
      </w:r>
      <w:r>
        <w:rPr>
          <w:rFonts w:eastAsia="楷体_GB2312"/>
          <w:sz w:val="28"/>
          <w:szCs w:val="21"/>
        </w:rPr>
        <w:t>层为住宅。以本地顾客为主，商服繁华程度一般。</w:t>
      </w:r>
    </w:p>
    <w:p w14:paraId="7B934503">
      <w:pPr>
        <w:widowControl w:val="0"/>
        <w:spacing w:line="480" w:lineRule="exact"/>
        <w:ind w:firstLine="560" w:firstLineChars="200"/>
        <w:jc w:val="both"/>
        <w:rPr>
          <w:rFonts w:eastAsia="楷体_GB2312"/>
          <w:sz w:val="28"/>
          <w:szCs w:val="21"/>
        </w:rPr>
      </w:pPr>
      <w:r>
        <w:rPr>
          <w:rFonts w:eastAsia="楷体_GB2312"/>
          <w:sz w:val="28"/>
          <w:szCs w:val="21"/>
        </w:rPr>
        <w:t>（</w:t>
      </w:r>
      <w:r>
        <w:rPr>
          <w:rFonts w:hint="eastAsia" w:eastAsia="楷体_GB2312"/>
          <w:sz w:val="28"/>
          <w:szCs w:val="21"/>
        </w:rPr>
        <w:t>1</w:t>
      </w:r>
      <w:r>
        <w:rPr>
          <w:rFonts w:eastAsia="楷体_GB2312"/>
          <w:sz w:val="28"/>
          <w:szCs w:val="21"/>
        </w:rPr>
        <w:t>6）</w:t>
      </w:r>
      <w:r>
        <w:rPr>
          <w:rFonts w:hint="eastAsia" w:eastAsia="楷体_GB2312"/>
          <w:sz w:val="28"/>
          <w:szCs w:val="21"/>
        </w:rPr>
        <w:t>永镇乡</w:t>
      </w:r>
    </w:p>
    <w:p w14:paraId="4A53F067">
      <w:pPr>
        <w:widowControl w:val="0"/>
        <w:spacing w:line="480" w:lineRule="exact"/>
        <w:ind w:firstLine="560" w:firstLineChars="200"/>
        <w:jc w:val="both"/>
        <w:rPr>
          <w:rFonts w:eastAsia="楷体_GB2312"/>
          <w:sz w:val="28"/>
          <w:szCs w:val="21"/>
        </w:rPr>
      </w:pPr>
      <w:r>
        <w:rPr>
          <w:rFonts w:hint="eastAsia" w:eastAsia="楷体_GB2312"/>
          <w:sz w:val="28"/>
          <w:szCs w:val="21"/>
        </w:rPr>
        <w:t>永镇乡</w:t>
      </w:r>
      <w:r>
        <w:rPr>
          <w:rFonts w:eastAsia="楷体_GB2312"/>
          <w:sz w:val="28"/>
          <w:szCs w:val="21"/>
        </w:rPr>
        <w:t>商服中心：该商服中心位于</w:t>
      </w:r>
      <w:r>
        <w:rPr>
          <w:rFonts w:hint="eastAsia" w:eastAsia="楷体_GB2312"/>
          <w:sz w:val="28"/>
          <w:szCs w:val="21"/>
        </w:rPr>
        <w:t>和谐大道</w:t>
      </w:r>
      <w:r>
        <w:rPr>
          <w:rFonts w:eastAsia="楷体_GB2312"/>
          <w:sz w:val="28"/>
          <w:szCs w:val="21"/>
        </w:rPr>
        <w:t>两侧。商业服务类型以中、小型服务业为主，主要商业网点有</w:t>
      </w:r>
      <w:r>
        <w:rPr>
          <w:rFonts w:hint="eastAsia" w:eastAsia="楷体_GB2312"/>
          <w:sz w:val="28"/>
          <w:szCs w:val="21"/>
        </w:rPr>
        <w:t>小酒屋饭店、海尔家具店、乐购超市</w:t>
      </w:r>
      <w:r>
        <w:rPr>
          <w:rFonts w:eastAsia="楷体_GB2312"/>
          <w:sz w:val="28"/>
          <w:szCs w:val="21"/>
        </w:rPr>
        <w:t>等。多数建筑物为二层，一层为商服，二层为住宅。以本地顾客为主，商服繁华程度一般。</w:t>
      </w:r>
    </w:p>
    <w:p w14:paraId="2BB1772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w:t>
      </w:r>
      <w:r>
        <w:rPr>
          <w:rFonts w:hint="eastAsia" w:ascii="Times New Roman" w:hAnsi="Times New Roman" w:eastAsia="楷体_GB2312" w:cs="Times New Roman"/>
          <w:sz w:val="28"/>
        </w:rPr>
        <w:t>1</w:t>
      </w:r>
      <w:r>
        <w:rPr>
          <w:rFonts w:ascii="Times New Roman" w:hAnsi="Times New Roman" w:eastAsia="楷体_GB2312" w:cs="Times New Roman"/>
          <w:sz w:val="28"/>
        </w:rPr>
        <w:t>7）</w:t>
      </w:r>
      <w:r>
        <w:rPr>
          <w:rFonts w:hint="eastAsia" w:ascii="Times New Roman" w:hAnsi="Times New Roman" w:eastAsia="楷体_GB2312" w:cs="Times New Roman"/>
          <w:sz w:val="28"/>
        </w:rPr>
        <w:t>解集镇</w:t>
      </w:r>
    </w:p>
    <w:p w14:paraId="4AACFCB1">
      <w:pPr>
        <w:widowControl w:val="0"/>
        <w:spacing w:line="480" w:lineRule="exact"/>
        <w:ind w:firstLine="560" w:firstLineChars="200"/>
        <w:jc w:val="both"/>
        <w:rPr>
          <w:rFonts w:eastAsia="楷体_GB2312"/>
          <w:sz w:val="28"/>
          <w:szCs w:val="21"/>
        </w:rPr>
      </w:pPr>
      <w:r>
        <w:rPr>
          <w:rFonts w:hint="eastAsia" w:eastAsia="楷体_GB2312"/>
          <w:sz w:val="28"/>
        </w:rPr>
        <w:t>解集镇</w:t>
      </w:r>
      <w:r>
        <w:rPr>
          <w:rFonts w:eastAsia="楷体_GB2312"/>
          <w:sz w:val="28"/>
          <w:szCs w:val="21"/>
        </w:rPr>
        <w:t>商服中心：该商服中心位于</w:t>
      </w:r>
      <w:r>
        <w:rPr>
          <w:rFonts w:hint="eastAsia" w:eastAsia="楷体_GB2312"/>
          <w:sz w:val="28"/>
          <w:szCs w:val="21"/>
        </w:rPr>
        <w:t>中心街与菜市街交叉口附近</w:t>
      </w:r>
      <w:r>
        <w:rPr>
          <w:rFonts w:eastAsia="楷体_GB2312"/>
          <w:sz w:val="28"/>
          <w:szCs w:val="21"/>
        </w:rPr>
        <w:t>。主要经营项目有日用超市、餐饮等。主要商业网点有</w:t>
      </w:r>
      <w:r>
        <w:rPr>
          <w:rFonts w:hint="eastAsia" w:eastAsia="楷体_GB2312"/>
          <w:sz w:val="28"/>
          <w:szCs w:val="21"/>
        </w:rPr>
        <w:t>家和福超市、十个饭店、博大超市</w:t>
      </w:r>
      <w:r>
        <w:rPr>
          <w:rFonts w:eastAsia="楷体_GB2312"/>
          <w:sz w:val="28"/>
          <w:szCs w:val="21"/>
        </w:rPr>
        <w:t>等。建筑一般为二至三层，一层为商服，二、三层为住宅。以本地顾客为主，商服繁华程度一般。</w:t>
      </w:r>
    </w:p>
    <w:p w14:paraId="28F899A4">
      <w:pPr>
        <w:widowControl w:val="0"/>
        <w:spacing w:line="480" w:lineRule="exact"/>
        <w:ind w:firstLine="560" w:firstLineChars="200"/>
        <w:jc w:val="both"/>
        <w:rPr>
          <w:rFonts w:eastAsia="楷体_GB2312"/>
          <w:sz w:val="28"/>
          <w:szCs w:val="21"/>
        </w:rPr>
      </w:pPr>
      <w:r>
        <w:rPr>
          <w:rFonts w:eastAsia="楷体_GB2312"/>
          <w:sz w:val="28"/>
          <w:szCs w:val="21"/>
        </w:rPr>
        <w:t>（</w:t>
      </w:r>
      <w:r>
        <w:rPr>
          <w:rFonts w:hint="eastAsia" w:eastAsia="楷体_GB2312"/>
          <w:sz w:val="28"/>
          <w:szCs w:val="21"/>
        </w:rPr>
        <w:t>1</w:t>
      </w:r>
      <w:r>
        <w:rPr>
          <w:rFonts w:eastAsia="楷体_GB2312"/>
          <w:sz w:val="28"/>
          <w:szCs w:val="21"/>
        </w:rPr>
        <w:t>8）</w:t>
      </w:r>
      <w:r>
        <w:rPr>
          <w:rFonts w:hint="eastAsia" w:eastAsia="楷体_GB2312"/>
          <w:sz w:val="28"/>
          <w:szCs w:val="21"/>
        </w:rPr>
        <w:t>大泽乡镇</w:t>
      </w:r>
    </w:p>
    <w:p w14:paraId="4A1339F2">
      <w:pPr>
        <w:widowControl w:val="0"/>
        <w:spacing w:line="480" w:lineRule="exact"/>
        <w:ind w:firstLine="560" w:firstLineChars="200"/>
        <w:jc w:val="both"/>
        <w:rPr>
          <w:rFonts w:eastAsia="楷体_GB2312"/>
          <w:sz w:val="28"/>
          <w:szCs w:val="21"/>
        </w:rPr>
      </w:pPr>
      <w:r>
        <w:rPr>
          <w:rFonts w:hint="eastAsia" w:eastAsia="楷体_GB2312"/>
          <w:sz w:val="28"/>
          <w:szCs w:val="21"/>
        </w:rPr>
        <w:t>大泽乡镇</w:t>
      </w:r>
      <w:r>
        <w:rPr>
          <w:rFonts w:eastAsia="楷体_GB2312"/>
          <w:sz w:val="28"/>
          <w:szCs w:val="21"/>
        </w:rPr>
        <w:t>商服中心：该商服中心位于</w:t>
      </w:r>
      <w:r>
        <w:rPr>
          <w:rFonts w:hint="eastAsia" w:eastAsia="楷体_GB2312"/>
          <w:sz w:val="28"/>
          <w:szCs w:val="21"/>
        </w:rPr>
        <w:t>中兴路</w:t>
      </w:r>
      <w:r>
        <w:rPr>
          <w:rFonts w:eastAsia="楷体_GB2312"/>
          <w:sz w:val="28"/>
          <w:szCs w:val="21"/>
        </w:rPr>
        <w:t>两侧。主要经营项目有百货、超市、餐饮等。商业网点有</w:t>
      </w:r>
      <w:r>
        <w:rPr>
          <w:rFonts w:hint="eastAsia" w:eastAsia="楷体_GB2312"/>
          <w:sz w:val="28"/>
          <w:szCs w:val="21"/>
        </w:rPr>
        <w:t>一分利超市、新湖家具、农夫果园、庆华酒家</w:t>
      </w:r>
      <w:r>
        <w:rPr>
          <w:rFonts w:eastAsia="楷体_GB2312"/>
          <w:sz w:val="28"/>
          <w:szCs w:val="21"/>
        </w:rPr>
        <w:t>等。多数建筑物为二层，一层为商服，二层为住宅。以本地顾客为主，商服繁华程度一般。</w:t>
      </w:r>
    </w:p>
    <w:p w14:paraId="63579ED1">
      <w:pPr>
        <w:widowControl w:val="0"/>
        <w:spacing w:line="480" w:lineRule="exact"/>
        <w:ind w:firstLine="560" w:firstLineChars="200"/>
        <w:jc w:val="both"/>
        <w:rPr>
          <w:rFonts w:eastAsia="楷体_GB2312"/>
          <w:sz w:val="28"/>
          <w:szCs w:val="21"/>
        </w:rPr>
      </w:pPr>
      <w:r>
        <w:rPr>
          <w:rFonts w:eastAsia="楷体_GB2312"/>
          <w:sz w:val="28"/>
          <w:szCs w:val="21"/>
        </w:rPr>
        <w:t>（</w:t>
      </w:r>
      <w:r>
        <w:rPr>
          <w:rFonts w:hint="eastAsia" w:eastAsia="楷体_GB2312"/>
          <w:sz w:val="28"/>
          <w:szCs w:val="21"/>
        </w:rPr>
        <w:t>1</w:t>
      </w:r>
      <w:r>
        <w:rPr>
          <w:rFonts w:eastAsia="楷体_GB2312"/>
          <w:sz w:val="28"/>
          <w:szCs w:val="21"/>
        </w:rPr>
        <w:t>9）</w:t>
      </w:r>
      <w:r>
        <w:rPr>
          <w:rFonts w:hint="eastAsia" w:eastAsia="楷体_GB2312"/>
          <w:sz w:val="28"/>
          <w:szCs w:val="21"/>
        </w:rPr>
        <w:t>永安镇</w:t>
      </w:r>
    </w:p>
    <w:p w14:paraId="665A6868">
      <w:pPr>
        <w:widowControl w:val="0"/>
        <w:spacing w:line="480" w:lineRule="exact"/>
        <w:ind w:firstLine="560" w:firstLineChars="200"/>
        <w:jc w:val="both"/>
        <w:rPr>
          <w:rFonts w:eastAsia="楷体_GB2312"/>
          <w:sz w:val="28"/>
          <w:szCs w:val="21"/>
        </w:rPr>
      </w:pPr>
      <w:r>
        <w:rPr>
          <w:rFonts w:hint="eastAsia" w:eastAsia="楷体_GB2312"/>
          <w:sz w:val="28"/>
          <w:szCs w:val="21"/>
        </w:rPr>
        <w:t>永安镇</w:t>
      </w:r>
      <w:r>
        <w:rPr>
          <w:rFonts w:eastAsia="楷体_GB2312"/>
          <w:sz w:val="28"/>
          <w:szCs w:val="21"/>
        </w:rPr>
        <w:t>商服中心：该商服中心位于</w:t>
      </w:r>
      <w:r>
        <w:rPr>
          <w:rFonts w:hint="eastAsia" w:eastAsia="楷体_GB2312"/>
          <w:sz w:val="28"/>
          <w:szCs w:val="21"/>
        </w:rPr>
        <w:t>永三路与永昌路交叉口附近</w:t>
      </w:r>
      <w:r>
        <w:rPr>
          <w:rFonts w:eastAsia="楷体_GB2312"/>
          <w:sz w:val="28"/>
          <w:szCs w:val="21"/>
        </w:rPr>
        <w:t>。主要经营项目有日用百货、餐饮、药店等。主要商业网点有</w:t>
      </w:r>
      <w:r>
        <w:rPr>
          <w:rFonts w:hint="eastAsia" w:eastAsia="楷体_GB2312"/>
          <w:sz w:val="28"/>
          <w:szCs w:val="21"/>
        </w:rPr>
        <w:t>易购批发超市、回力、京东家电、无为板鸭、跳跳鱼童装</w:t>
      </w:r>
      <w:r>
        <w:rPr>
          <w:rFonts w:eastAsia="楷体_GB2312"/>
          <w:sz w:val="28"/>
          <w:szCs w:val="21"/>
        </w:rPr>
        <w:t>等。多数建筑物为二层，一层为商服，二层为住宅。以本地顾客为主，商服繁华程度一般。</w:t>
      </w:r>
    </w:p>
    <w:p w14:paraId="0D89AAD4">
      <w:pPr>
        <w:widowControl w:val="0"/>
        <w:spacing w:line="480" w:lineRule="exact"/>
        <w:ind w:firstLine="560" w:firstLineChars="200"/>
        <w:jc w:val="both"/>
        <w:rPr>
          <w:rFonts w:eastAsia="楷体_GB2312"/>
          <w:sz w:val="28"/>
          <w:szCs w:val="21"/>
        </w:rPr>
      </w:pPr>
      <w:r>
        <w:rPr>
          <w:rFonts w:eastAsia="楷体_GB2312"/>
          <w:sz w:val="28"/>
          <w:szCs w:val="21"/>
        </w:rPr>
        <w:t>（</w:t>
      </w:r>
      <w:r>
        <w:rPr>
          <w:rFonts w:hint="eastAsia" w:eastAsia="楷体_GB2312"/>
          <w:sz w:val="28"/>
          <w:szCs w:val="21"/>
        </w:rPr>
        <w:t>2</w:t>
      </w:r>
      <w:r>
        <w:rPr>
          <w:rFonts w:eastAsia="楷体_GB2312"/>
          <w:sz w:val="28"/>
          <w:szCs w:val="21"/>
        </w:rPr>
        <w:t>0）</w:t>
      </w:r>
      <w:r>
        <w:rPr>
          <w:rFonts w:hint="eastAsia" w:eastAsia="楷体_GB2312"/>
          <w:sz w:val="28"/>
          <w:szCs w:val="21"/>
        </w:rPr>
        <w:t>支河乡</w:t>
      </w:r>
    </w:p>
    <w:p w14:paraId="5FB44B78">
      <w:pPr>
        <w:widowControl w:val="0"/>
        <w:spacing w:line="480" w:lineRule="exact"/>
        <w:ind w:firstLine="560" w:firstLineChars="200"/>
        <w:jc w:val="both"/>
        <w:rPr>
          <w:rFonts w:eastAsia="楷体_GB2312"/>
          <w:sz w:val="28"/>
          <w:szCs w:val="21"/>
        </w:rPr>
      </w:pPr>
      <w:r>
        <w:rPr>
          <w:rFonts w:hint="eastAsia" w:eastAsia="楷体_GB2312"/>
          <w:sz w:val="28"/>
          <w:szCs w:val="21"/>
        </w:rPr>
        <w:t>支河乡</w:t>
      </w:r>
      <w:r>
        <w:rPr>
          <w:rFonts w:eastAsia="楷体_GB2312"/>
          <w:sz w:val="28"/>
          <w:szCs w:val="21"/>
        </w:rPr>
        <w:t>商服中心：该商服中心位于</w:t>
      </w:r>
      <w:r>
        <w:rPr>
          <w:rFonts w:hint="eastAsia" w:eastAsia="楷体_GB2312"/>
          <w:sz w:val="28"/>
          <w:szCs w:val="21"/>
        </w:rPr>
        <w:t>北海路与幸福大道交叉口两侧</w:t>
      </w:r>
      <w:r>
        <w:rPr>
          <w:rFonts w:eastAsia="楷体_GB2312"/>
          <w:sz w:val="28"/>
          <w:szCs w:val="21"/>
        </w:rPr>
        <w:t>。商业服务类型以中、小型服务业为主，主要商业网点有</w:t>
      </w:r>
      <w:r>
        <w:rPr>
          <w:rFonts w:hint="eastAsia" w:eastAsia="楷体_GB2312"/>
          <w:sz w:val="28"/>
          <w:szCs w:val="21"/>
        </w:rPr>
        <w:t>宴席城、华夏世纪购物广场、阳光书店、京东家电</w:t>
      </w:r>
      <w:r>
        <w:rPr>
          <w:rFonts w:eastAsia="楷体_GB2312"/>
          <w:sz w:val="28"/>
          <w:szCs w:val="21"/>
        </w:rPr>
        <w:t>等。多数建筑物为二层，一层为商服，二层为住宅。以本地顾客为主，商服繁华程度一般。</w:t>
      </w:r>
    </w:p>
    <w:p w14:paraId="022E6611">
      <w:pPr>
        <w:widowControl w:val="0"/>
        <w:spacing w:line="480" w:lineRule="exact"/>
        <w:ind w:firstLine="560" w:firstLineChars="200"/>
        <w:jc w:val="both"/>
        <w:rPr>
          <w:rFonts w:eastAsia="楷体_GB2312"/>
          <w:sz w:val="28"/>
          <w:szCs w:val="21"/>
        </w:rPr>
      </w:pPr>
      <w:r>
        <w:rPr>
          <w:rFonts w:eastAsia="楷体_GB2312"/>
          <w:sz w:val="28"/>
          <w:szCs w:val="21"/>
        </w:rPr>
        <w:t>（</w:t>
      </w:r>
      <w:r>
        <w:rPr>
          <w:rFonts w:hint="eastAsia" w:eastAsia="楷体_GB2312"/>
          <w:sz w:val="28"/>
          <w:szCs w:val="21"/>
        </w:rPr>
        <w:t>2</w:t>
      </w:r>
      <w:r>
        <w:rPr>
          <w:rFonts w:eastAsia="楷体_GB2312"/>
          <w:sz w:val="28"/>
          <w:szCs w:val="21"/>
        </w:rPr>
        <w:t>1）</w:t>
      </w:r>
      <w:r>
        <w:rPr>
          <w:rFonts w:hint="eastAsia" w:eastAsia="楷体_GB2312"/>
          <w:sz w:val="28"/>
          <w:szCs w:val="21"/>
        </w:rPr>
        <w:t>灰古镇</w:t>
      </w:r>
    </w:p>
    <w:p w14:paraId="04803535">
      <w:pPr>
        <w:widowControl w:val="0"/>
        <w:spacing w:line="480" w:lineRule="exact"/>
        <w:ind w:firstLine="560" w:firstLineChars="200"/>
        <w:jc w:val="both"/>
        <w:rPr>
          <w:rFonts w:eastAsia="楷体_GB2312"/>
          <w:sz w:val="28"/>
          <w:szCs w:val="21"/>
        </w:rPr>
      </w:pPr>
      <w:r>
        <w:rPr>
          <w:rFonts w:hint="eastAsia" w:eastAsia="楷体_GB2312"/>
          <w:sz w:val="28"/>
          <w:szCs w:val="21"/>
        </w:rPr>
        <w:t>灰古镇</w:t>
      </w:r>
      <w:r>
        <w:rPr>
          <w:rFonts w:eastAsia="楷体_GB2312"/>
          <w:sz w:val="28"/>
          <w:szCs w:val="21"/>
        </w:rPr>
        <w:t>商服中心：该商服中心位于</w:t>
      </w:r>
      <w:r>
        <w:rPr>
          <w:rFonts w:hint="eastAsia" w:eastAsia="楷体_GB2312"/>
          <w:sz w:val="28"/>
          <w:szCs w:val="21"/>
        </w:rPr>
        <w:t>府前路两侧</w:t>
      </w:r>
      <w:r>
        <w:rPr>
          <w:rFonts w:eastAsia="楷体_GB2312"/>
          <w:sz w:val="28"/>
          <w:szCs w:val="21"/>
        </w:rPr>
        <w:t>。主要经营项目有日用百货、餐饮、超市等。主要商业网点有</w:t>
      </w:r>
      <w:r>
        <w:rPr>
          <w:rFonts w:hint="eastAsia" w:eastAsia="楷体_GB2312"/>
          <w:sz w:val="28"/>
          <w:szCs w:val="21"/>
        </w:rPr>
        <w:t>惠民百货、栏杆牛肉、东方购物中心、美惠多超市</w:t>
      </w:r>
      <w:r>
        <w:rPr>
          <w:rFonts w:eastAsia="楷体_GB2312"/>
          <w:sz w:val="28"/>
          <w:szCs w:val="21"/>
        </w:rPr>
        <w:t>等。建筑物以二层为主，一层为商业门面，二层一般为住宅。以本地顾客为主，商服繁华程度一般。</w:t>
      </w:r>
    </w:p>
    <w:p w14:paraId="0401B827">
      <w:pPr>
        <w:widowControl w:val="0"/>
        <w:spacing w:line="480" w:lineRule="exact"/>
        <w:ind w:firstLine="560" w:firstLineChars="200"/>
        <w:jc w:val="both"/>
        <w:rPr>
          <w:rFonts w:eastAsia="楷体_GB2312"/>
          <w:sz w:val="28"/>
          <w:szCs w:val="21"/>
        </w:rPr>
      </w:pPr>
      <w:r>
        <w:rPr>
          <w:rFonts w:eastAsia="楷体_GB2312"/>
          <w:sz w:val="28"/>
          <w:szCs w:val="21"/>
        </w:rPr>
        <w:t>（</w:t>
      </w:r>
      <w:r>
        <w:rPr>
          <w:rFonts w:hint="eastAsia" w:eastAsia="楷体_GB2312"/>
          <w:sz w:val="28"/>
          <w:szCs w:val="21"/>
        </w:rPr>
        <w:t>2</w:t>
      </w:r>
      <w:r>
        <w:rPr>
          <w:rFonts w:eastAsia="楷体_GB2312"/>
          <w:sz w:val="28"/>
          <w:szCs w:val="21"/>
        </w:rPr>
        <w:t>2）</w:t>
      </w:r>
      <w:r>
        <w:rPr>
          <w:rFonts w:hint="eastAsia" w:eastAsia="楷体_GB2312"/>
          <w:sz w:val="28"/>
          <w:szCs w:val="21"/>
        </w:rPr>
        <w:t>桃沟乡</w:t>
      </w:r>
    </w:p>
    <w:p w14:paraId="3E76B96F">
      <w:pPr>
        <w:widowControl w:val="0"/>
        <w:spacing w:line="480" w:lineRule="exact"/>
        <w:ind w:firstLine="560" w:firstLineChars="200"/>
        <w:jc w:val="both"/>
        <w:rPr>
          <w:rFonts w:eastAsia="楷体_GB2312"/>
          <w:sz w:val="28"/>
          <w:szCs w:val="21"/>
        </w:rPr>
      </w:pPr>
      <w:r>
        <w:rPr>
          <w:rFonts w:hint="eastAsia" w:eastAsia="楷体_GB2312"/>
          <w:sz w:val="28"/>
          <w:szCs w:val="21"/>
        </w:rPr>
        <w:t>桃沟乡</w:t>
      </w:r>
      <w:r>
        <w:rPr>
          <w:rFonts w:eastAsia="楷体_GB2312"/>
          <w:sz w:val="28"/>
          <w:szCs w:val="21"/>
        </w:rPr>
        <w:t>商服中心：该商服中心位于</w:t>
      </w:r>
      <w:r>
        <w:rPr>
          <w:rFonts w:hint="eastAsia" w:eastAsia="楷体_GB2312"/>
          <w:sz w:val="28"/>
          <w:szCs w:val="21"/>
        </w:rPr>
        <w:t>桃时路与桃花大道交叉口附近</w:t>
      </w:r>
      <w:r>
        <w:rPr>
          <w:rFonts w:eastAsia="楷体_GB2312"/>
          <w:sz w:val="28"/>
          <w:szCs w:val="21"/>
        </w:rPr>
        <w:t>。主要经营项目有日用餐饮、超市等，主要商业网点有</w:t>
      </w:r>
      <w:r>
        <w:rPr>
          <w:rFonts w:hint="eastAsia" w:eastAsia="楷体_GB2312"/>
          <w:sz w:val="28"/>
          <w:szCs w:val="21"/>
        </w:rPr>
        <w:t>老扁大</w:t>
      </w:r>
      <w:r>
        <w:rPr>
          <w:rFonts w:hint="eastAsia" w:eastAsia="楷体_GB2312"/>
          <w:sz w:val="28"/>
          <w:szCs w:val="21"/>
          <w:lang w:eastAsia="zh-CN"/>
        </w:rPr>
        <w:t>酒</w:t>
      </w:r>
      <w:r>
        <w:rPr>
          <w:rFonts w:hint="eastAsia" w:eastAsia="楷体_GB2312"/>
          <w:sz w:val="28"/>
          <w:szCs w:val="21"/>
        </w:rPr>
        <w:t>店、创维电视、华夏超市、宿州琪超超市</w:t>
      </w:r>
      <w:r>
        <w:rPr>
          <w:rFonts w:eastAsia="楷体_GB2312"/>
          <w:sz w:val="28"/>
          <w:szCs w:val="21"/>
        </w:rPr>
        <w:t>等。多数建筑物为二层，一层为商服，二层为住宅。以本地顾客为主，商服繁华程度一般。</w:t>
      </w:r>
    </w:p>
    <w:p w14:paraId="43C3AC35">
      <w:pPr>
        <w:pStyle w:val="20"/>
        <w:spacing w:line="480" w:lineRule="exact"/>
        <w:rPr>
          <w:rFonts w:ascii="Times New Roman" w:hAnsi="Times New Roman" w:cs="Times New Roman"/>
          <w:b/>
          <w:sz w:val="28"/>
        </w:rPr>
      </w:pPr>
      <w:r>
        <w:rPr>
          <w:rFonts w:ascii="Times New Roman" w:hAnsi="Times New Roman" w:cs="Times New Roman"/>
          <w:b/>
          <w:sz w:val="28"/>
        </w:rPr>
        <w:t>二、作用分值表编制</w:t>
      </w:r>
    </w:p>
    <w:p w14:paraId="06EB2AD4">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1、商服中心统计</w:t>
      </w:r>
    </w:p>
    <w:p w14:paraId="07371AEC">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根据确定的商服中心范围进行了企业用地效益抽样调查，分别统计出各乡镇商服中心商服企业用地效益相关抽样数据，统计结果见表1-3-1。</w:t>
      </w:r>
    </w:p>
    <w:p w14:paraId="085F39A2">
      <w:pPr>
        <w:spacing w:line="480" w:lineRule="exact"/>
        <w:jc w:val="center"/>
        <w:rPr>
          <w:rFonts w:eastAsia="黑体"/>
          <w:sz w:val="28"/>
        </w:rPr>
      </w:pPr>
      <w:r>
        <w:rPr>
          <w:rFonts w:eastAsia="黑体"/>
          <w:sz w:val="28"/>
        </w:rPr>
        <w:t>表1-3-1 埇桥区各乡镇镇区商服中心抽样调查统计表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071"/>
        <w:gridCol w:w="852"/>
        <w:gridCol w:w="2650"/>
        <w:gridCol w:w="1235"/>
        <w:gridCol w:w="1235"/>
        <w:gridCol w:w="1222"/>
      </w:tblGrid>
      <w:tr w14:paraId="4B791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blHeader/>
          <w:jc w:val="center"/>
        </w:trPr>
        <w:tc>
          <w:tcPr>
            <w:tcW w:w="410" w:type="pct"/>
            <w:noWrap w:val="0"/>
            <w:vAlign w:val="center"/>
          </w:tcPr>
          <w:p w14:paraId="1198C498">
            <w:pPr>
              <w:tabs>
                <w:tab w:val="left" w:pos="0"/>
                <w:tab w:val="left" w:pos="295"/>
              </w:tabs>
              <w:jc w:val="center"/>
              <w:rPr>
                <w:rFonts w:eastAsia="楷体_GB2312"/>
                <w:szCs w:val="21"/>
              </w:rPr>
            </w:pPr>
            <w:r>
              <w:rPr>
                <w:rFonts w:eastAsia="楷体_GB2312"/>
                <w:szCs w:val="21"/>
              </w:rPr>
              <w:t>城镇</w:t>
            </w:r>
          </w:p>
          <w:p w14:paraId="57A266C8">
            <w:pPr>
              <w:tabs>
                <w:tab w:val="left" w:pos="0"/>
                <w:tab w:val="left" w:pos="295"/>
              </w:tabs>
              <w:jc w:val="center"/>
              <w:rPr>
                <w:rFonts w:eastAsia="楷体_GB2312"/>
                <w:szCs w:val="21"/>
              </w:rPr>
            </w:pPr>
            <w:r>
              <w:rPr>
                <w:rFonts w:eastAsia="楷体_GB2312"/>
                <w:szCs w:val="21"/>
              </w:rPr>
              <w:t>编号</w:t>
            </w:r>
          </w:p>
        </w:tc>
        <w:tc>
          <w:tcPr>
            <w:tcW w:w="595" w:type="pct"/>
            <w:noWrap w:val="0"/>
            <w:vAlign w:val="center"/>
          </w:tcPr>
          <w:p w14:paraId="208F677B">
            <w:pPr>
              <w:tabs>
                <w:tab w:val="left" w:pos="0"/>
                <w:tab w:val="left" w:pos="295"/>
              </w:tabs>
              <w:jc w:val="center"/>
              <w:rPr>
                <w:rFonts w:eastAsia="楷体_GB2312"/>
                <w:szCs w:val="21"/>
              </w:rPr>
            </w:pPr>
            <w:r>
              <w:rPr>
                <w:rFonts w:eastAsia="楷体_GB2312"/>
                <w:szCs w:val="21"/>
              </w:rPr>
              <w:t>乡镇</w:t>
            </w:r>
          </w:p>
          <w:p w14:paraId="182B62CE">
            <w:pPr>
              <w:tabs>
                <w:tab w:val="left" w:pos="0"/>
                <w:tab w:val="left" w:pos="295"/>
              </w:tabs>
              <w:jc w:val="center"/>
              <w:rPr>
                <w:rFonts w:eastAsia="楷体_GB2312"/>
                <w:szCs w:val="21"/>
              </w:rPr>
            </w:pPr>
            <w:r>
              <w:rPr>
                <w:rFonts w:eastAsia="楷体_GB2312"/>
                <w:szCs w:val="21"/>
              </w:rPr>
              <w:t>名称</w:t>
            </w:r>
          </w:p>
        </w:tc>
        <w:tc>
          <w:tcPr>
            <w:tcW w:w="473" w:type="pct"/>
            <w:noWrap w:val="0"/>
            <w:vAlign w:val="center"/>
          </w:tcPr>
          <w:p w14:paraId="3EDEBDD8">
            <w:pPr>
              <w:tabs>
                <w:tab w:val="left" w:pos="0"/>
                <w:tab w:val="left" w:pos="295"/>
              </w:tabs>
              <w:jc w:val="center"/>
              <w:rPr>
                <w:rFonts w:eastAsia="楷体_GB2312"/>
                <w:szCs w:val="21"/>
              </w:rPr>
            </w:pPr>
            <w:r>
              <w:rPr>
                <w:rFonts w:eastAsia="楷体_GB2312"/>
                <w:szCs w:val="21"/>
              </w:rPr>
              <w:t>商服中心编号</w:t>
            </w:r>
          </w:p>
        </w:tc>
        <w:tc>
          <w:tcPr>
            <w:tcW w:w="1472" w:type="pct"/>
            <w:noWrap w:val="0"/>
            <w:vAlign w:val="center"/>
          </w:tcPr>
          <w:p w14:paraId="416C91FB">
            <w:pPr>
              <w:tabs>
                <w:tab w:val="left" w:pos="0"/>
                <w:tab w:val="left" w:pos="295"/>
              </w:tabs>
              <w:jc w:val="center"/>
              <w:rPr>
                <w:rFonts w:eastAsia="楷体_GB2312"/>
                <w:szCs w:val="21"/>
              </w:rPr>
            </w:pPr>
            <w:r>
              <w:rPr>
                <w:rFonts w:eastAsia="楷体_GB2312"/>
                <w:szCs w:val="21"/>
              </w:rPr>
              <w:t>商服中心名称</w:t>
            </w:r>
          </w:p>
        </w:tc>
        <w:tc>
          <w:tcPr>
            <w:tcW w:w="686" w:type="pct"/>
            <w:noWrap w:val="0"/>
            <w:vAlign w:val="center"/>
          </w:tcPr>
          <w:p w14:paraId="38A27FA2">
            <w:pPr>
              <w:tabs>
                <w:tab w:val="left" w:pos="0"/>
                <w:tab w:val="left" w:pos="295"/>
              </w:tabs>
              <w:jc w:val="center"/>
              <w:rPr>
                <w:rFonts w:eastAsia="楷体_GB2312"/>
                <w:szCs w:val="21"/>
              </w:rPr>
            </w:pPr>
            <w:r>
              <w:rPr>
                <w:rFonts w:eastAsia="楷体_GB2312"/>
                <w:szCs w:val="21"/>
              </w:rPr>
              <w:t>占地面积</w:t>
            </w:r>
          </w:p>
          <w:p w14:paraId="59C835CF">
            <w:pPr>
              <w:tabs>
                <w:tab w:val="left" w:pos="0"/>
                <w:tab w:val="left" w:pos="295"/>
              </w:tabs>
              <w:jc w:val="center"/>
              <w:rPr>
                <w:rFonts w:eastAsia="楷体_GB2312"/>
                <w:szCs w:val="21"/>
              </w:rPr>
            </w:pPr>
            <w:r>
              <w:rPr>
                <w:rFonts w:eastAsia="楷体_GB2312"/>
                <w:szCs w:val="21"/>
              </w:rPr>
              <w:t>（m</w:t>
            </w:r>
            <w:r>
              <w:rPr>
                <w:rFonts w:eastAsia="楷体_GB2312"/>
                <w:szCs w:val="21"/>
                <w:vertAlign w:val="superscript"/>
              </w:rPr>
              <w:t>2</w:t>
            </w:r>
            <w:r>
              <w:rPr>
                <w:rFonts w:eastAsia="楷体_GB2312"/>
                <w:szCs w:val="21"/>
              </w:rPr>
              <w:t>）</w:t>
            </w:r>
          </w:p>
        </w:tc>
        <w:tc>
          <w:tcPr>
            <w:tcW w:w="686" w:type="pct"/>
            <w:noWrap w:val="0"/>
            <w:vAlign w:val="center"/>
          </w:tcPr>
          <w:p w14:paraId="0C9EE851">
            <w:pPr>
              <w:tabs>
                <w:tab w:val="left" w:pos="0"/>
                <w:tab w:val="left" w:pos="295"/>
              </w:tabs>
              <w:jc w:val="center"/>
              <w:rPr>
                <w:rFonts w:eastAsia="楷体_GB2312"/>
                <w:szCs w:val="21"/>
              </w:rPr>
            </w:pPr>
            <w:r>
              <w:rPr>
                <w:rFonts w:eastAsia="楷体_GB2312"/>
                <w:szCs w:val="21"/>
              </w:rPr>
              <w:t>职能种类</w:t>
            </w:r>
          </w:p>
          <w:p w14:paraId="5A538C57">
            <w:pPr>
              <w:tabs>
                <w:tab w:val="left" w:pos="0"/>
                <w:tab w:val="left" w:pos="295"/>
              </w:tabs>
              <w:jc w:val="center"/>
              <w:rPr>
                <w:rFonts w:eastAsia="楷体_GB2312"/>
                <w:szCs w:val="21"/>
              </w:rPr>
            </w:pPr>
            <w:r>
              <w:rPr>
                <w:rFonts w:eastAsia="楷体_GB2312"/>
                <w:szCs w:val="21"/>
              </w:rPr>
              <w:t>（个）</w:t>
            </w:r>
          </w:p>
        </w:tc>
        <w:tc>
          <w:tcPr>
            <w:tcW w:w="679" w:type="pct"/>
            <w:noWrap w:val="0"/>
            <w:vAlign w:val="center"/>
          </w:tcPr>
          <w:p w14:paraId="17117223">
            <w:pPr>
              <w:tabs>
                <w:tab w:val="left" w:pos="0"/>
                <w:tab w:val="left" w:pos="295"/>
              </w:tabs>
              <w:jc w:val="center"/>
              <w:rPr>
                <w:rFonts w:eastAsia="楷体_GB2312"/>
                <w:szCs w:val="21"/>
              </w:rPr>
            </w:pPr>
            <w:r>
              <w:rPr>
                <w:rFonts w:eastAsia="楷体_GB2312"/>
                <w:szCs w:val="21"/>
              </w:rPr>
              <w:t>网点个数</w:t>
            </w:r>
          </w:p>
          <w:p w14:paraId="7C51B482">
            <w:pPr>
              <w:tabs>
                <w:tab w:val="left" w:pos="0"/>
                <w:tab w:val="left" w:pos="295"/>
              </w:tabs>
              <w:jc w:val="center"/>
              <w:rPr>
                <w:rFonts w:eastAsia="楷体_GB2312"/>
                <w:szCs w:val="21"/>
              </w:rPr>
            </w:pPr>
            <w:r>
              <w:rPr>
                <w:rFonts w:eastAsia="楷体_GB2312"/>
                <w:szCs w:val="21"/>
              </w:rPr>
              <w:t>（个）</w:t>
            </w:r>
          </w:p>
        </w:tc>
      </w:tr>
      <w:tr w14:paraId="0867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10" w:type="pct"/>
            <w:noWrap w:val="0"/>
            <w:vAlign w:val="center"/>
          </w:tcPr>
          <w:p w14:paraId="5B5EFF31">
            <w:pPr>
              <w:tabs>
                <w:tab w:val="left" w:pos="0"/>
                <w:tab w:val="left" w:pos="295"/>
              </w:tabs>
              <w:jc w:val="center"/>
              <w:rPr>
                <w:rFonts w:eastAsia="楷体_GB2312"/>
                <w:szCs w:val="21"/>
              </w:rPr>
            </w:pPr>
            <w:r>
              <w:rPr>
                <w:rFonts w:eastAsia="楷体_GB2312"/>
                <w:szCs w:val="21"/>
              </w:rPr>
              <w:t>1</w:t>
            </w:r>
          </w:p>
        </w:tc>
        <w:tc>
          <w:tcPr>
            <w:tcW w:w="595" w:type="pct"/>
            <w:noWrap w:val="0"/>
            <w:vAlign w:val="center"/>
          </w:tcPr>
          <w:p w14:paraId="37F92B8A">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符离镇</w:t>
            </w:r>
          </w:p>
        </w:tc>
        <w:tc>
          <w:tcPr>
            <w:tcW w:w="473" w:type="pct"/>
            <w:noWrap w:val="0"/>
            <w:vAlign w:val="center"/>
          </w:tcPr>
          <w:p w14:paraId="15A2A43B">
            <w:pPr>
              <w:tabs>
                <w:tab w:val="left" w:pos="0"/>
                <w:tab w:val="left" w:pos="295"/>
              </w:tabs>
              <w:jc w:val="center"/>
              <w:rPr>
                <w:rFonts w:eastAsia="楷体_GB2312"/>
                <w:szCs w:val="21"/>
              </w:rPr>
            </w:pPr>
            <w:r>
              <w:rPr>
                <w:rFonts w:eastAsia="楷体_GB2312"/>
                <w:szCs w:val="21"/>
              </w:rPr>
              <w:t>01</w:t>
            </w:r>
          </w:p>
        </w:tc>
        <w:tc>
          <w:tcPr>
            <w:tcW w:w="1472" w:type="pct"/>
            <w:noWrap w:val="0"/>
            <w:vAlign w:val="center"/>
          </w:tcPr>
          <w:p w14:paraId="133CCD96">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符离镇</w:t>
            </w:r>
            <w:r>
              <w:rPr>
                <w:rFonts w:hint="eastAsia" w:ascii="Times New Roman" w:hAnsi="Times New Roman" w:eastAsia="楷体_GB2312" w:cs="Times New Roman"/>
              </w:rPr>
              <w:t>商服中心</w:t>
            </w:r>
          </w:p>
        </w:tc>
        <w:tc>
          <w:tcPr>
            <w:tcW w:w="686" w:type="pct"/>
            <w:noWrap w:val="0"/>
            <w:vAlign w:val="center"/>
          </w:tcPr>
          <w:p w14:paraId="199E55EF">
            <w:pPr>
              <w:tabs>
                <w:tab w:val="left" w:pos="0"/>
                <w:tab w:val="left" w:pos="295"/>
              </w:tabs>
              <w:jc w:val="center"/>
              <w:rPr>
                <w:rFonts w:eastAsia="楷体_GB2312"/>
                <w:szCs w:val="21"/>
              </w:rPr>
            </w:pPr>
            <w:r>
              <w:rPr>
                <w:rFonts w:hint="eastAsia" w:eastAsia="楷体_GB2312"/>
                <w:szCs w:val="21"/>
              </w:rPr>
              <w:t>6000</w:t>
            </w:r>
          </w:p>
        </w:tc>
        <w:tc>
          <w:tcPr>
            <w:tcW w:w="686" w:type="pct"/>
            <w:noWrap w:val="0"/>
            <w:vAlign w:val="center"/>
          </w:tcPr>
          <w:p w14:paraId="6C457EB0">
            <w:pPr>
              <w:tabs>
                <w:tab w:val="left" w:pos="0"/>
                <w:tab w:val="left" w:pos="295"/>
              </w:tabs>
              <w:jc w:val="center"/>
              <w:rPr>
                <w:rFonts w:eastAsia="楷体_GB2312"/>
                <w:szCs w:val="21"/>
              </w:rPr>
            </w:pPr>
            <w:r>
              <w:rPr>
                <w:rFonts w:eastAsia="楷体_GB2312"/>
                <w:szCs w:val="21"/>
              </w:rPr>
              <w:t>16</w:t>
            </w:r>
          </w:p>
        </w:tc>
        <w:tc>
          <w:tcPr>
            <w:tcW w:w="679" w:type="pct"/>
            <w:noWrap w:val="0"/>
            <w:vAlign w:val="center"/>
          </w:tcPr>
          <w:p w14:paraId="53B56F82">
            <w:pPr>
              <w:tabs>
                <w:tab w:val="left" w:pos="0"/>
                <w:tab w:val="left" w:pos="295"/>
              </w:tabs>
              <w:jc w:val="center"/>
              <w:rPr>
                <w:rFonts w:eastAsia="楷体_GB2312"/>
                <w:szCs w:val="21"/>
              </w:rPr>
            </w:pPr>
            <w:r>
              <w:rPr>
                <w:rFonts w:eastAsia="楷体_GB2312"/>
                <w:szCs w:val="21"/>
              </w:rPr>
              <w:t>54</w:t>
            </w:r>
          </w:p>
        </w:tc>
      </w:tr>
      <w:tr w14:paraId="6A1CA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10" w:type="pct"/>
            <w:noWrap w:val="0"/>
            <w:vAlign w:val="center"/>
          </w:tcPr>
          <w:p w14:paraId="6D8FB694">
            <w:pPr>
              <w:tabs>
                <w:tab w:val="left" w:pos="0"/>
                <w:tab w:val="left" w:pos="295"/>
              </w:tabs>
              <w:jc w:val="center"/>
              <w:rPr>
                <w:rFonts w:eastAsia="楷体_GB2312"/>
                <w:szCs w:val="21"/>
              </w:rPr>
            </w:pPr>
            <w:r>
              <w:rPr>
                <w:rFonts w:eastAsia="楷体_GB2312"/>
                <w:szCs w:val="21"/>
              </w:rPr>
              <w:t>2</w:t>
            </w:r>
          </w:p>
        </w:tc>
        <w:tc>
          <w:tcPr>
            <w:tcW w:w="595" w:type="pct"/>
            <w:noWrap w:val="0"/>
            <w:vAlign w:val="center"/>
          </w:tcPr>
          <w:p w14:paraId="1EFC06EF">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朱仙庄镇</w:t>
            </w:r>
          </w:p>
        </w:tc>
        <w:tc>
          <w:tcPr>
            <w:tcW w:w="473" w:type="pct"/>
            <w:noWrap w:val="0"/>
            <w:vAlign w:val="center"/>
          </w:tcPr>
          <w:p w14:paraId="657DA263">
            <w:pPr>
              <w:tabs>
                <w:tab w:val="left" w:pos="0"/>
                <w:tab w:val="left" w:pos="295"/>
              </w:tabs>
              <w:jc w:val="center"/>
              <w:rPr>
                <w:rFonts w:eastAsia="楷体_GB2312"/>
                <w:szCs w:val="21"/>
              </w:rPr>
            </w:pPr>
            <w:r>
              <w:rPr>
                <w:rFonts w:eastAsia="楷体_GB2312"/>
                <w:szCs w:val="21"/>
              </w:rPr>
              <w:t>01</w:t>
            </w:r>
          </w:p>
        </w:tc>
        <w:tc>
          <w:tcPr>
            <w:tcW w:w="1472" w:type="pct"/>
            <w:noWrap w:val="0"/>
            <w:vAlign w:val="center"/>
          </w:tcPr>
          <w:p w14:paraId="57E3A81B">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朱仙庄镇</w:t>
            </w:r>
            <w:r>
              <w:rPr>
                <w:rFonts w:hint="eastAsia" w:ascii="Times New Roman" w:hAnsi="Times New Roman" w:eastAsia="楷体_GB2312" w:cs="Times New Roman"/>
              </w:rPr>
              <w:t>商服中心</w:t>
            </w:r>
          </w:p>
        </w:tc>
        <w:tc>
          <w:tcPr>
            <w:tcW w:w="686" w:type="pct"/>
            <w:noWrap w:val="0"/>
            <w:vAlign w:val="center"/>
          </w:tcPr>
          <w:p w14:paraId="42CB484A">
            <w:pPr>
              <w:tabs>
                <w:tab w:val="left" w:pos="0"/>
                <w:tab w:val="left" w:pos="295"/>
              </w:tabs>
              <w:jc w:val="center"/>
              <w:rPr>
                <w:rFonts w:eastAsia="楷体_GB2312"/>
                <w:szCs w:val="21"/>
              </w:rPr>
            </w:pPr>
            <w:r>
              <w:rPr>
                <w:rFonts w:eastAsia="楷体_GB2312"/>
                <w:szCs w:val="21"/>
              </w:rPr>
              <w:t>4500</w:t>
            </w:r>
          </w:p>
        </w:tc>
        <w:tc>
          <w:tcPr>
            <w:tcW w:w="686" w:type="pct"/>
            <w:noWrap w:val="0"/>
            <w:vAlign w:val="center"/>
          </w:tcPr>
          <w:p w14:paraId="7201437F">
            <w:pPr>
              <w:tabs>
                <w:tab w:val="left" w:pos="0"/>
                <w:tab w:val="left" w:pos="295"/>
              </w:tabs>
              <w:jc w:val="center"/>
              <w:rPr>
                <w:rFonts w:eastAsia="楷体_GB2312"/>
                <w:szCs w:val="21"/>
              </w:rPr>
            </w:pPr>
            <w:r>
              <w:rPr>
                <w:rFonts w:eastAsia="楷体_GB2312"/>
                <w:szCs w:val="21"/>
              </w:rPr>
              <w:t>14</w:t>
            </w:r>
          </w:p>
        </w:tc>
        <w:tc>
          <w:tcPr>
            <w:tcW w:w="679" w:type="pct"/>
            <w:noWrap w:val="0"/>
            <w:vAlign w:val="center"/>
          </w:tcPr>
          <w:p w14:paraId="0023DFCD">
            <w:pPr>
              <w:tabs>
                <w:tab w:val="left" w:pos="0"/>
                <w:tab w:val="left" w:pos="295"/>
              </w:tabs>
              <w:jc w:val="center"/>
              <w:rPr>
                <w:rFonts w:eastAsia="楷体_GB2312"/>
                <w:szCs w:val="21"/>
              </w:rPr>
            </w:pPr>
            <w:r>
              <w:rPr>
                <w:rFonts w:eastAsia="楷体_GB2312"/>
                <w:szCs w:val="21"/>
              </w:rPr>
              <w:t>42</w:t>
            </w:r>
          </w:p>
        </w:tc>
      </w:tr>
      <w:tr w14:paraId="0D177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10" w:type="pct"/>
            <w:noWrap w:val="0"/>
            <w:vAlign w:val="center"/>
          </w:tcPr>
          <w:p w14:paraId="37F86066">
            <w:pPr>
              <w:tabs>
                <w:tab w:val="left" w:pos="0"/>
                <w:tab w:val="left" w:pos="295"/>
              </w:tabs>
              <w:jc w:val="center"/>
              <w:rPr>
                <w:rFonts w:eastAsia="楷体_GB2312"/>
                <w:szCs w:val="21"/>
              </w:rPr>
            </w:pPr>
            <w:r>
              <w:rPr>
                <w:rFonts w:eastAsia="楷体_GB2312"/>
                <w:szCs w:val="21"/>
              </w:rPr>
              <w:t>3</w:t>
            </w:r>
          </w:p>
        </w:tc>
        <w:tc>
          <w:tcPr>
            <w:tcW w:w="595" w:type="pct"/>
            <w:noWrap w:val="0"/>
            <w:vAlign w:val="center"/>
          </w:tcPr>
          <w:p w14:paraId="09C4A67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蕲县镇</w:t>
            </w:r>
          </w:p>
        </w:tc>
        <w:tc>
          <w:tcPr>
            <w:tcW w:w="473" w:type="pct"/>
            <w:noWrap w:val="0"/>
            <w:vAlign w:val="center"/>
          </w:tcPr>
          <w:p w14:paraId="30B79FC8">
            <w:pPr>
              <w:tabs>
                <w:tab w:val="left" w:pos="0"/>
                <w:tab w:val="left" w:pos="295"/>
              </w:tabs>
              <w:jc w:val="center"/>
              <w:rPr>
                <w:rFonts w:eastAsia="楷体_GB2312"/>
                <w:szCs w:val="21"/>
              </w:rPr>
            </w:pPr>
            <w:r>
              <w:rPr>
                <w:rFonts w:eastAsia="楷体_GB2312"/>
                <w:szCs w:val="21"/>
              </w:rPr>
              <w:t>01</w:t>
            </w:r>
          </w:p>
        </w:tc>
        <w:tc>
          <w:tcPr>
            <w:tcW w:w="1472" w:type="pct"/>
            <w:noWrap w:val="0"/>
            <w:vAlign w:val="center"/>
          </w:tcPr>
          <w:p w14:paraId="59FE9C88">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蕲县镇</w:t>
            </w:r>
            <w:r>
              <w:rPr>
                <w:rFonts w:hint="eastAsia" w:ascii="Times New Roman" w:hAnsi="Times New Roman" w:eastAsia="楷体_GB2312" w:cs="Times New Roman"/>
              </w:rPr>
              <w:t>商服中心</w:t>
            </w:r>
          </w:p>
        </w:tc>
        <w:tc>
          <w:tcPr>
            <w:tcW w:w="686" w:type="pct"/>
            <w:noWrap w:val="0"/>
            <w:vAlign w:val="center"/>
          </w:tcPr>
          <w:p w14:paraId="18307D43">
            <w:pPr>
              <w:tabs>
                <w:tab w:val="left" w:pos="0"/>
                <w:tab w:val="left" w:pos="295"/>
              </w:tabs>
              <w:jc w:val="center"/>
              <w:rPr>
                <w:rFonts w:eastAsia="楷体_GB2312"/>
                <w:szCs w:val="21"/>
              </w:rPr>
            </w:pPr>
            <w:r>
              <w:rPr>
                <w:rFonts w:hint="eastAsia" w:eastAsia="楷体_GB2312"/>
                <w:szCs w:val="21"/>
              </w:rPr>
              <w:t>4400</w:t>
            </w:r>
          </w:p>
        </w:tc>
        <w:tc>
          <w:tcPr>
            <w:tcW w:w="686" w:type="pct"/>
            <w:noWrap w:val="0"/>
            <w:vAlign w:val="center"/>
          </w:tcPr>
          <w:p w14:paraId="770C1598">
            <w:pPr>
              <w:tabs>
                <w:tab w:val="left" w:pos="0"/>
                <w:tab w:val="left" w:pos="295"/>
              </w:tabs>
              <w:jc w:val="center"/>
              <w:rPr>
                <w:rFonts w:eastAsia="楷体_GB2312"/>
                <w:szCs w:val="21"/>
              </w:rPr>
            </w:pPr>
            <w:r>
              <w:rPr>
                <w:rFonts w:eastAsia="楷体_GB2312"/>
                <w:szCs w:val="21"/>
              </w:rPr>
              <w:t>14</w:t>
            </w:r>
          </w:p>
        </w:tc>
        <w:tc>
          <w:tcPr>
            <w:tcW w:w="679" w:type="pct"/>
            <w:noWrap w:val="0"/>
            <w:vAlign w:val="center"/>
          </w:tcPr>
          <w:p w14:paraId="6239DFCC">
            <w:pPr>
              <w:tabs>
                <w:tab w:val="left" w:pos="0"/>
                <w:tab w:val="left" w:pos="295"/>
              </w:tabs>
              <w:jc w:val="center"/>
              <w:rPr>
                <w:rFonts w:eastAsia="楷体_GB2312"/>
                <w:szCs w:val="21"/>
              </w:rPr>
            </w:pPr>
            <w:r>
              <w:rPr>
                <w:rFonts w:eastAsia="楷体_GB2312"/>
                <w:szCs w:val="21"/>
              </w:rPr>
              <w:t>37</w:t>
            </w:r>
          </w:p>
        </w:tc>
      </w:tr>
      <w:tr w14:paraId="0FED7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10" w:type="pct"/>
            <w:noWrap w:val="0"/>
            <w:vAlign w:val="center"/>
          </w:tcPr>
          <w:p w14:paraId="273BF300">
            <w:pPr>
              <w:tabs>
                <w:tab w:val="left" w:pos="0"/>
                <w:tab w:val="left" w:pos="295"/>
              </w:tabs>
              <w:jc w:val="center"/>
              <w:rPr>
                <w:rFonts w:eastAsia="楷体_GB2312"/>
                <w:szCs w:val="21"/>
              </w:rPr>
            </w:pPr>
            <w:r>
              <w:rPr>
                <w:rFonts w:eastAsia="楷体_GB2312"/>
                <w:szCs w:val="21"/>
              </w:rPr>
              <w:t>4</w:t>
            </w:r>
          </w:p>
        </w:tc>
        <w:tc>
          <w:tcPr>
            <w:tcW w:w="595" w:type="pct"/>
            <w:noWrap w:val="0"/>
            <w:vAlign w:val="center"/>
          </w:tcPr>
          <w:p w14:paraId="0BEBE31F">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芦岭镇</w:t>
            </w:r>
          </w:p>
        </w:tc>
        <w:tc>
          <w:tcPr>
            <w:tcW w:w="473" w:type="pct"/>
            <w:noWrap w:val="0"/>
            <w:vAlign w:val="center"/>
          </w:tcPr>
          <w:p w14:paraId="22BE74C4">
            <w:pPr>
              <w:tabs>
                <w:tab w:val="left" w:pos="0"/>
                <w:tab w:val="left" w:pos="295"/>
              </w:tabs>
              <w:jc w:val="center"/>
              <w:rPr>
                <w:rFonts w:eastAsia="楷体_GB2312"/>
                <w:szCs w:val="21"/>
              </w:rPr>
            </w:pPr>
            <w:r>
              <w:rPr>
                <w:rFonts w:eastAsia="楷体_GB2312"/>
                <w:szCs w:val="21"/>
              </w:rPr>
              <w:t>01</w:t>
            </w:r>
          </w:p>
        </w:tc>
        <w:tc>
          <w:tcPr>
            <w:tcW w:w="1472" w:type="pct"/>
            <w:noWrap w:val="0"/>
            <w:vAlign w:val="center"/>
          </w:tcPr>
          <w:p w14:paraId="2E3B0DBF">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芦岭镇</w:t>
            </w:r>
            <w:r>
              <w:rPr>
                <w:rFonts w:hint="eastAsia" w:ascii="Times New Roman" w:hAnsi="Times New Roman" w:eastAsia="楷体_GB2312" w:cs="Times New Roman"/>
              </w:rPr>
              <w:t>商服中心</w:t>
            </w:r>
          </w:p>
        </w:tc>
        <w:tc>
          <w:tcPr>
            <w:tcW w:w="686" w:type="pct"/>
            <w:noWrap w:val="0"/>
            <w:vAlign w:val="center"/>
          </w:tcPr>
          <w:p w14:paraId="0DAE5A6B">
            <w:pPr>
              <w:tabs>
                <w:tab w:val="left" w:pos="0"/>
                <w:tab w:val="left" w:pos="295"/>
              </w:tabs>
              <w:jc w:val="center"/>
              <w:rPr>
                <w:rFonts w:eastAsia="楷体_GB2312"/>
                <w:szCs w:val="21"/>
              </w:rPr>
            </w:pPr>
            <w:r>
              <w:rPr>
                <w:rFonts w:hint="eastAsia" w:eastAsia="楷体_GB2312"/>
                <w:szCs w:val="21"/>
              </w:rPr>
              <w:t>4400</w:t>
            </w:r>
          </w:p>
        </w:tc>
        <w:tc>
          <w:tcPr>
            <w:tcW w:w="686" w:type="pct"/>
            <w:noWrap w:val="0"/>
            <w:vAlign w:val="center"/>
          </w:tcPr>
          <w:p w14:paraId="17942C61">
            <w:pPr>
              <w:tabs>
                <w:tab w:val="left" w:pos="0"/>
                <w:tab w:val="left" w:pos="295"/>
              </w:tabs>
              <w:jc w:val="center"/>
              <w:rPr>
                <w:rFonts w:eastAsia="楷体_GB2312"/>
                <w:szCs w:val="21"/>
              </w:rPr>
            </w:pPr>
            <w:r>
              <w:rPr>
                <w:rFonts w:eastAsia="楷体_GB2312"/>
                <w:szCs w:val="21"/>
              </w:rPr>
              <w:t>11</w:t>
            </w:r>
          </w:p>
        </w:tc>
        <w:tc>
          <w:tcPr>
            <w:tcW w:w="679" w:type="pct"/>
            <w:noWrap w:val="0"/>
            <w:vAlign w:val="center"/>
          </w:tcPr>
          <w:p w14:paraId="1A04461D">
            <w:pPr>
              <w:tabs>
                <w:tab w:val="left" w:pos="0"/>
                <w:tab w:val="left" w:pos="295"/>
              </w:tabs>
              <w:jc w:val="center"/>
              <w:rPr>
                <w:rFonts w:eastAsia="楷体_GB2312"/>
                <w:szCs w:val="21"/>
              </w:rPr>
            </w:pPr>
            <w:r>
              <w:rPr>
                <w:rFonts w:eastAsia="楷体_GB2312"/>
                <w:szCs w:val="21"/>
              </w:rPr>
              <w:t>32</w:t>
            </w:r>
          </w:p>
        </w:tc>
      </w:tr>
      <w:tr w14:paraId="4D246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10" w:type="pct"/>
            <w:noWrap w:val="0"/>
            <w:vAlign w:val="center"/>
          </w:tcPr>
          <w:p w14:paraId="254C0A84">
            <w:pPr>
              <w:tabs>
                <w:tab w:val="left" w:pos="0"/>
                <w:tab w:val="left" w:pos="295"/>
              </w:tabs>
              <w:jc w:val="center"/>
              <w:rPr>
                <w:rFonts w:eastAsia="楷体_GB2312"/>
                <w:szCs w:val="21"/>
              </w:rPr>
            </w:pPr>
            <w:r>
              <w:rPr>
                <w:rFonts w:eastAsia="楷体_GB2312"/>
                <w:szCs w:val="21"/>
              </w:rPr>
              <w:t>5</w:t>
            </w:r>
          </w:p>
        </w:tc>
        <w:tc>
          <w:tcPr>
            <w:tcW w:w="595" w:type="pct"/>
            <w:noWrap w:val="0"/>
            <w:vAlign w:val="center"/>
          </w:tcPr>
          <w:p w14:paraId="0D15B915">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大店镇</w:t>
            </w:r>
          </w:p>
        </w:tc>
        <w:tc>
          <w:tcPr>
            <w:tcW w:w="473" w:type="pct"/>
            <w:noWrap w:val="0"/>
            <w:vAlign w:val="center"/>
          </w:tcPr>
          <w:p w14:paraId="55575DC5">
            <w:pPr>
              <w:tabs>
                <w:tab w:val="left" w:pos="0"/>
                <w:tab w:val="left" w:pos="295"/>
              </w:tabs>
              <w:jc w:val="center"/>
              <w:rPr>
                <w:rFonts w:eastAsia="楷体_GB2312"/>
                <w:szCs w:val="21"/>
              </w:rPr>
            </w:pPr>
            <w:r>
              <w:rPr>
                <w:rFonts w:eastAsia="楷体_GB2312"/>
                <w:szCs w:val="21"/>
              </w:rPr>
              <w:t>01</w:t>
            </w:r>
          </w:p>
        </w:tc>
        <w:tc>
          <w:tcPr>
            <w:tcW w:w="1472" w:type="pct"/>
            <w:noWrap w:val="0"/>
            <w:vAlign w:val="center"/>
          </w:tcPr>
          <w:p w14:paraId="7EEA9369">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大店镇</w:t>
            </w:r>
            <w:r>
              <w:rPr>
                <w:rFonts w:hint="eastAsia" w:ascii="Times New Roman" w:hAnsi="Times New Roman" w:eastAsia="楷体_GB2312" w:cs="Times New Roman"/>
              </w:rPr>
              <w:t>商服中心</w:t>
            </w:r>
          </w:p>
        </w:tc>
        <w:tc>
          <w:tcPr>
            <w:tcW w:w="686" w:type="pct"/>
            <w:noWrap w:val="0"/>
            <w:vAlign w:val="center"/>
          </w:tcPr>
          <w:p w14:paraId="2AA33CE4">
            <w:pPr>
              <w:tabs>
                <w:tab w:val="left" w:pos="0"/>
                <w:tab w:val="left" w:pos="295"/>
              </w:tabs>
              <w:jc w:val="center"/>
              <w:rPr>
                <w:rFonts w:eastAsia="楷体_GB2312"/>
                <w:szCs w:val="21"/>
              </w:rPr>
            </w:pPr>
            <w:r>
              <w:rPr>
                <w:rFonts w:hint="eastAsia" w:eastAsia="楷体_GB2312"/>
                <w:szCs w:val="21"/>
              </w:rPr>
              <w:t>4100</w:t>
            </w:r>
          </w:p>
        </w:tc>
        <w:tc>
          <w:tcPr>
            <w:tcW w:w="686" w:type="pct"/>
            <w:noWrap w:val="0"/>
            <w:vAlign w:val="center"/>
          </w:tcPr>
          <w:p w14:paraId="5843F856">
            <w:pPr>
              <w:tabs>
                <w:tab w:val="left" w:pos="0"/>
                <w:tab w:val="left" w:pos="295"/>
              </w:tabs>
              <w:jc w:val="center"/>
              <w:rPr>
                <w:rFonts w:eastAsia="楷体_GB2312"/>
                <w:szCs w:val="21"/>
              </w:rPr>
            </w:pPr>
            <w:r>
              <w:rPr>
                <w:rFonts w:eastAsia="楷体_GB2312"/>
                <w:szCs w:val="21"/>
              </w:rPr>
              <w:t>12</w:t>
            </w:r>
          </w:p>
        </w:tc>
        <w:tc>
          <w:tcPr>
            <w:tcW w:w="679" w:type="pct"/>
            <w:noWrap w:val="0"/>
            <w:vAlign w:val="center"/>
          </w:tcPr>
          <w:p w14:paraId="541E7019">
            <w:pPr>
              <w:tabs>
                <w:tab w:val="left" w:pos="0"/>
                <w:tab w:val="left" w:pos="295"/>
              </w:tabs>
              <w:jc w:val="center"/>
              <w:rPr>
                <w:rFonts w:eastAsia="楷体_GB2312"/>
                <w:szCs w:val="21"/>
              </w:rPr>
            </w:pPr>
            <w:r>
              <w:rPr>
                <w:rFonts w:eastAsia="楷体_GB2312"/>
                <w:szCs w:val="21"/>
              </w:rPr>
              <w:t>38</w:t>
            </w:r>
          </w:p>
        </w:tc>
      </w:tr>
      <w:tr w14:paraId="05C8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10" w:type="pct"/>
            <w:noWrap w:val="0"/>
            <w:vAlign w:val="center"/>
          </w:tcPr>
          <w:p w14:paraId="24DE6EA4">
            <w:pPr>
              <w:tabs>
                <w:tab w:val="left" w:pos="0"/>
                <w:tab w:val="left" w:pos="295"/>
              </w:tabs>
              <w:jc w:val="center"/>
              <w:rPr>
                <w:rFonts w:eastAsia="楷体_GB2312"/>
                <w:szCs w:val="21"/>
              </w:rPr>
            </w:pPr>
            <w:r>
              <w:rPr>
                <w:rFonts w:eastAsia="楷体_GB2312"/>
                <w:szCs w:val="21"/>
              </w:rPr>
              <w:t>6</w:t>
            </w:r>
          </w:p>
        </w:tc>
        <w:tc>
          <w:tcPr>
            <w:tcW w:w="595" w:type="pct"/>
            <w:noWrap w:val="0"/>
            <w:vAlign w:val="center"/>
          </w:tcPr>
          <w:p w14:paraId="581ECA44">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栏杆镇</w:t>
            </w:r>
          </w:p>
        </w:tc>
        <w:tc>
          <w:tcPr>
            <w:tcW w:w="473" w:type="pct"/>
            <w:noWrap w:val="0"/>
            <w:vAlign w:val="center"/>
          </w:tcPr>
          <w:p w14:paraId="7F353D6F">
            <w:pPr>
              <w:tabs>
                <w:tab w:val="left" w:pos="0"/>
                <w:tab w:val="left" w:pos="295"/>
              </w:tabs>
              <w:jc w:val="center"/>
              <w:rPr>
                <w:rFonts w:eastAsia="楷体_GB2312"/>
                <w:szCs w:val="21"/>
              </w:rPr>
            </w:pPr>
            <w:r>
              <w:rPr>
                <w:rFonts w:eastAsia="楷体_GB2312"/>
                <w:szCs w:val="21"/>
              </w:rPr>
              <w:t>01</w:t>
            </w:r>
          </w:p>
        </w:tc>
        <w:tc>
          <w:tcPr>
            <w:tcW w:w="1472" w:type="pct"/>
            <w:noWrap w:val="0"/>
            <w:vAlign w:val="center"/>
          </w:tcPr>
          <w:p w14:paraId="7951F9A3">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栏杆镇</w:t>
            </w:r>
            <w:r>
              <w:rPr>
                <w:rFonts w:hint="eastAsia" w:ascii="Times New Roman" w:hAnsi="Times New Roman" w:eastAsia="楷体_GB2312" w:cs="Times New Roman"/>
              </w:rPr>
              <w:t>商服中心</w:t>
            </w:r>
          </w:p>
        </w:tc>
        <w:tc>
          <w:tcPr>
            <w:tcW w:w="686" w:type="pct"/>
            <w:noWrap w:val="0"/>
            <w:vAlign w:val="center"/>
          </w:tcPr>
          <w:p w14:paraId="327D850D">
            <w:pPr>
              <w:tabs>
                <w:tab w:val="left" w:pos="0"/>
                <w:tab w:val="left" w:pos="295"/>
              </w:tabs>
              <w:jc w:val="center"/>
              <w:rPr>
                <w:rFonts w:eastAsia="楷体_GB2312"/>
                <w:szCs w:val="21"/>
              </w:rPr>
            </w:pPr>
            <w:r>
              <w:rPr>
                <w:rFonts w:hint="eastAsia" w:eastAsia="楷体_GB2312"/>
                <w:szCs w:val="21"/>
              </w:rPr>
              <w:t>4100</w:t>
            </w:r>
          </w:p>
        </w:tc>
        <w:tc>
          <w:tcPr>
            <w:tcW w:w="686" w:type="pct"/>
            <w:noWrap w:val="0"/>
            <w:vAlign w:val="center"/>
          </w:tcPr>
          <w:p w14:paraId="7144DFA4">
            <w:pPr>
              <w:tabs>
                <w:tab w:val="left" w:pos="0"/>
                <w:tab w:val="left" w:pos="295"/>
              </w:tabs>
              <w:jc w:val="center"/>
              <w:rPr>
                <w:rFonts w:eastAsia="楷体_GB2312"/>
                <w:szCs w:val="21"/>
              </w:rPr>
            </w:pPr>
            <w:r>
              <w:rPr>
                <w:rFonts w:eastAsia="楷体_GB2312"/>
                <w:szCs w:val="21"/>
              </w:rPr>
              <w:t>12</w:t>
            </w:r>
          </w:p>
        </w:tc>
        <w:tc>
          <w:tcPr>
            <w:tcW w:w="679" w:type="pct"/>
            <w:noWrap w:val="0"/>
            <w:vAlign w:val="center"/>
          </w:tcPr>
          <w:p w14:paraId="67FC2464">
            <w:pPr>
              <w:tabs>
                <w:tab w:val="left" w:pos="0"/>
                <w:tab w:val="left" w:pos="295"/>
              </w:tabs>
              <w:jc w:val="center"/>
              <w:rPr>
                <w:rFonts w:eastAsia="楷体_GB2312"/>
                <w:szCs w:val="21"/>
              </w:rPr>
            </w:pPr>
            <w:r>
              <w:rPr>
                <w:rFonts w:eastAsia="楷体_GB2312"/>
                <w:szCs w:val="21"/>
              </w:rPr>
              <w:t>25</w:t>
            </w:r>
          </w:p>
        </w:tc>
      </w:tr>
      <w:tr w14:paraId="183C4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10" w:type="pct"/>
            <w:noWrap w:val="0"/>
            <w:vAlign w:val="center"/>
          </w:tcPr>
          <w:p w14:paraId="22D478CC">
            <w:pPr>
              <w:tabs>
                <w:tab w:val="left" w:pos="0"/>
                <w:tab w:val="left" w:pos="295"/>
              </w:tabs>
              <w:jc w:val="center"/>
              <w:rPr>
                <w:rFonts w:eastAsia="楷体_GB2312"/>
                <w:szCs w:val="21"/>
              </w:rPr>
            </w:pPr>
            <w:r>
              <w:rPr>
                <w:rFonts w:eastAsia="楷体_GB2312"/>
                <w:szCs w:val="21"/>
              </w:rPr>
              <w:t>7</w:t>
            </w:r>
          </w:p>
        </w:tc>
        <w:tc>
          <w:tcPr>
            <w:tcW w:w="595" w:type="pct"/>
            <w:noWrap w:val="0"/>
            <w:vAlign w:val="center"/>
          </w:tcPr>
          <w:p w14:paraId="3EC1156C">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时村镇</w:t>
            </w:r>
          </w:p>
        </w:tc>
        <w:tc>
          <w:tcPr>
            <w:tcW w:w="473" w:type="pct"/>
            <w:noWrap w:val="0"/>
            <w:vAlign w:val="center"/>
          </w:tcPr>
          <w:p w14:paraId="075DE48D">
            <w:pPr>
              <w:tabs>
                <w:tab w:val="left" w:pos="0"/>
                <w:tab w:val="left" w:pos="295"/>
              </w:tabs>
              <w:jc w:val="center"/>
              <w:rPr>
                <w:rFonts w:eastAsia="楷体_GB2312"/>
                <w:szCs w:val="21"/>
              </w:rPr>
            </w:pPr>
            <w:r>
              <w:rPr>
                <w:rFonts w:eastAsia="楷体_GB2312"/>
                <w:szCs w:val="21"/>
              </w:rPr>
              <w:t>01</w:t>
            </w:r>
          </w:p>
        </w:tc>
        <w:tc>
          <w:tcPr>
            <w:tcW w:w="1472" w:type="pct"/>
            <w:noWrap w:val="0"/>
            <w:vAlign w:val="center"/>
          </w:tcPr>
          <w:p w14:paraId="61293DB9">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时村镇</w:t>
            </w:r>
            <w:r>
              <w:rPr>
                <w:rFonts w:hint="eastAsia" w:ascii="Times New Roman" w:hAnsi="Times New Roman" w:eastAsia="楷体_GB2312" w:cs="Times New Roman"/>
              </w:rPr>
              <w:t>商服中心</w:t>
            </w:r>
          </w:p>
        </w:tc>
        <w:tc>
          <w:tcPr>
            <w:tcW w:w="686" w:type="pct"/>
            <w:noWrap w:val="0"/>
            <w:vAlign w:val="center"/>
          </w:tcPr>
          <w:p w14:paraId="0A078B9F">
            <w:pPr>
              <w:tabs>
                <w:tab w:val="left" w:pos="0"/>
                <w:tab w:val="left" w:pos="295"/>
              </w:tabs>
              <w:jc w:val="center"/>
              <w:rPr>
                <w:rFonts w:eastAsia="楷体_GB2312"/>
                <w:szCs w:val="21"/>
              </w:rPr>
            </w:pPr>
            <w:r>
              <w:rPr>
                <w:rFonts w:eastAsia="楷体_GB2312"/>
                <w:szCs w:val="21"/>
              </w:rPr>
              <w:t>3500</w:t>
            </w:r>
          </w:p>
        </w:tc>
        <w:tc>
          <w:tcPr>
            <w:tcW w:w="686" w:type="pct"/>
            <w:noWrap w:val="0"/>
            <w:vAlign w:val="center"/>
          </w:tcPr>
          <w:p w14:paraId="1A033E19">
            <w:pPr>
              <w:tabs>
                <w:tab w:val="left" w:pos="0"/>
                <w:tab w:val="left" w:pos="295"/>
              </w:tabs>
              <w:jc w:val="center"/>
              <w:rPr>
                <w:rFonts w:eastAsia="楷体_GB2312"/>
                <w:szCs w:val="21"/>
              </w:rPr>
            </w:pPr>
            <w:r>
              <w:rPr>
                <w:rFonts w:eastAsia="楷体_GB2312"/>
                <w:szCs w:val="21"/>
              </w:rPr>
              <w:t>11</w:t>
            </w:r>
          </w:p>
        </w:tc>
        <w:tc>
          <w:tcPr>
            <w:tcW w:w="679" w:type="pct"/>
            <w:noWrap w:val="0"/>
            <w:vAlign w:val="center"/>
          </w:tcPr>
          <w:p w14:paraId="47DC633A">
            <w:pPr>
              <w:tabs>
                <w:tab w:val="left" w:pos="0"/>
                <w:tab w:val="left" w:pos="295"/>
              </w:tabs>
              <w:jc w:val="center"/>
              <w:rPr>
                <w:rFonts w:eastAsia="楷体_GB2312"/>
                <w:szCs w:val="21"/>
              </w:rPr>
            </w:pPr>
            <w:r>
              <w:rPr>
                <w:rFonts w:eastAsia="楷体_GB2312"/>
                <w:szCs w:val="21"/>
              </w:rPr>
              <w:t>31</w:t>
            </w:r>
          </w:p>
        </w:tc>
      </w:tr>
      <w:tr w14:paraId="40972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10" w:type="pct"/>
            <w:noWrap w:val="0"/>
            <w:vAlign w:val="center"/>
          </w:tcPr>
          <w:p w14:paraId="1179BEB1">
            <w:pPr>
              <w:tabs>
                <w:tab w:val="left" w:pos="0"/>
                <w:tab w:val="left" w:pos="295"/>
              </w:tabs>
              <w:jc w:val="center"/>
              <w:rPr>
                <w:rFonts w:eastAsia="楷体_GB2312"/>
                <w:szCs w:val="21"/>
              </w:rPr>
            </w:pPr>
            <w:r>
              <w:rPr>
                <w:rFonts w:eastAsia="楷体_GB2312"/>
                <w:szCs w:val="21"/>
              </w:rPr>
              <w:t>8</w:t>
            </w:r>
          </w:p>
        </w:tc>
        <w:tc>
          <w:tcPr>
            <w:tcW w:w="595" w:type="pct"/>
            <w:noWrap w:val="0"/>
            <w:vAlign w:val="center"/>
          </w:tcPr>
          <w:p w14:paraId="128861B7">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夹沟镇</w:t>
            </w:r>
          </w:p>
        </w:tc>
        <w:tc>
          <w:tcPr>
            <w:tcW w:w="473" w:type="pct"/>
            <w:noWrap w:val="0"/>
            <w:vAlign w:val="center"/>
          </w:tcPr>
          <w:p w14:paraId="4FACD660">
            <w:pPr>
              <w:tabs>
                <w:tab w:val="left" w:pos="0"/>
                <w:tab w:val="left" w:pos="295"/>
              </w:tabs>
              <w:jc w:val="center"/>
              <w:rPr>
                <w:rFonts w:eastAsia="楷体_GB2312"/>
                <w:szCs w:val="21"/>
              </w:rPr>
            </w:pPr>
            <w:r>
              <w:rPr>
                <w:rFonts w:eastAsia="楷体_GB2312"/>
                <w:szCs w:val="21"/>
              </w:rPr>
              <w:t>01</w:t>
            </w:r>
          </w:p>
        </w:tc>
        <w:tc>
          <w:tcPr>
            <w:tcW w:w="1472" w:type="pct"/>
            <w:noWrap w:val="0"/>
            <w:vAlign w:val="center"/>
          </w:tcPr>
          <w:p w14:paraId="63595DB4">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夹沟镇</w:t>
            </w:r>
            <w:r>
              <w:rPr>
                <w:rFonts w:hint="eastAsia" w:ascii="Times New Roman" w:hAnsi="Times New Roman" w:eastAsia="楷体_GB2312" w:cs="Times New Roman"/>
              </w:rPr>
              <w:t>商服中心</w:t>
            </w:r>
          </w:p>
        </w:tc>
        <w:tc>
          <w:tcPr>
            <w:tcW w:w="686" w:type="pct"/>
            <w:noWrap w:val="0"/>
            <w:vAlign w:val="center"/>
          </w:tcPr>
          <w:p w14:paraId="4A17A25D">
            <w:pPr>
              <w:tabs>
                <w:tab w:val="left" w:pos="0"/>
                <w:tab w:val="left" w:pos="295"/>
              </w:tabs>
              <w:jc w:val="center"/>
              <w:rPr>
                <w:rFonts w:eastAsia="楷体_GB2312"/>
                <w:szCs w:val="21"/>
              </w:rPr>
            </w:pPr>
            <w:r>
              <w:rPr>
                <w:rFonts w:hint="eastAsia" w:eastAsia="楷体_GB2312"/>
                <w:szCs w:val="21"/>
              </w:rPr>
              <w:t>3100</w:t>
            </w:r>
          </w:p>
        </w:tc>
        <w:tc>
          <w:tcPr>
            <w:tcW w:w="686" w:type="pct"/>
            <w:noWrap w:val="0"/>
            <w:vAlign w:val="center"/>
          </w:tcPr>
          <w:p w14:paraId="5B1404FB">
            <w:pPr>
              <w:tabs>
                <w:tab w:val="left" w:pos="0"/>
                <w:tab w:val="left" w:pos="295"/>
              </w:tabs>
              <w:jc w:val="center"/>
              <w:rPr>
                <w:rFonts w:eastAsia="楷体_GB2312"/>
                <w:szCs w:val="21"/>
              </w:rPr>
            </w:pPr>
            <w:r>
              <w:rPr>
                <w:rFonts w:eastAsia="楷体_GB2312"/>
                <w:szCs w:val="21"/>
              </w:rPr>
              <w:t>11</w:t>
            </w:r>
          </w:p>
        </w:tc>
        <w:tc>
          <w:tcPr>
            <w:tcW w:w="679" w:type="pct"/>
            <w:noWrap w:val="0"/>
            <w:vAlign w:val="center"/>
          </w:tcPr>
          <w:p w14:paraId="316909A5">
            <w:pPr>
              <w:tabs>
                <w:tab w:val="left" w:pos="0"/>
                <w:tab w:val="left" w:pos="295"/>
              </w:tabs>
              <w:jc w:val="center"/>
              <w:rPr>
                <w:rFonts w:eastAsia="楷体_GB2312"/>
                <w:szCs w:val="21"/>
              </w:rPr>
            </w:pPr>
            <w:r>
              <w:rPr>
                <w:rFonts w:eastAsia="楷体_GB2312"/>
                <w:szCs w:val="21"/>
              </w:rPr>
              <w:t>25</w:t>
            </w:r>
          </w:p>
        </w:tc>
      </w:tr>
      <w:tr w14:paraId="454F7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10" w:type="pct"/>
            <w:noWrap w:val="0"/>
            <w:vAlign w:val="center"/>
          </w:tcPr>
          <w:p w14:paraId="5DDBACF1">
            <w:pPr>
              <w:tabs>
                <w:tab w:val="left" w:pos="0"/>
                <w:tab w:val="left" w:pos="295"/>
              </w:tabs>
              <w:jc w:val="center"/>
              <w:rPr>
                <w:rFonts w:eastAsia="楷体_GB2312"/>
                <w:szCs w:val="21"/>
              </w:rPr>
            </w:pPr>
            <w:r>
              <w:rPr>
                <w:rFonts w:eastAsia="楷体_GB2312"/>
                <w:szCs w:val="21"/>
              </w:rPr>
              <w:t>9</w:t>
            </w:r>
          </w:p>
        </w:tc>
        <w:tc>
          <w:tcPr>
            <w:tcW w:w="595" w:type="pct"/>
            <w:noWrap w:val="0"/>
            <w:vAlign w:val="center"/>
          </w:tcPr>
          <w:p w14:paraId="0AED0B35">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西二铺乡</w:t>
            </w:r>
          </w:p>
        </w:tc>
        <w:tc>
          <w:tcPr>
            <w:tcW w:w="473" w:type="pct"/>
            <w:noWrap w:val="0"/>
            <w:vAlign w:val="center"/>
          </w:tcPr>
          <w:p w14:paraId="71594E2E">
            <w:pPr>
              <w:tabs>
                <w:tab w:val="left" w:pos="0"/>
                <w:tab w:val="left" w:pos="295"/>
              </w:tabs>
              <w:jc w:val="center"/>
              <w:rPr>
                <w:rFonts w:eastAsia="楷体_GB2312"/>
                <w:szCs w:val="21"/>
              </w:rPr>
            </w:pPr>
            <w:r>
              <w:rPr>
                <w:rFonts w:eastAsia="楷体_GB2312"/>
                <w:szCs w:val="21"/>
              </w:rPr>
              <w:t>01</w:t>
            </w:r>
          </w:p>
        </w:tc>
        <w:tc>
          <w:tcPr>
            <w:tcW w:w="1472" w:type="pct"/>
            <w:noWrap w:val="0"/>
            <w:vAlign w:val="center"/>
          </w:tcPr>
          <w:p w14:paraId="71B9A42F">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西二铺乡</w:t>
            </w:r>
            <w:r>
              <w:rPr>
                <w:rFonts w:hint="eastAsia" w:ascii="Times New Roman" w:hAnsi="Times New Roman" w:eastAsia="楷体_GB2312" w:cs="Times New Roman"/>
              </w:rPr>
              <w:t>商服中心</w:t>
            </w:r>
          </w:p>
        </w:tc>
        <w:tc>
          <w:tcPr>
            <w:tcW w:w="686" w:type="pct"/>
            <w:noWrap w:val="0"/>
            <w:vAlign w:val="center"/>
          </w:tcPr>
          <w:p w14:paraId="32AD9CC1">
            <w:pPr>
              <w:tabs>
                <w:tab w:val="left" w:pos="0"/>
                <w:tab w:val="left" w:pos="295"/>
              </w:tabs>
              <w:jc w:val="center"/>
              <w:rPr>
                <w:rFonts w:eastAsia="楷体_GB2312"/>
                <w:szCs w:val="21"/>
              </w:rPr>
            </w:pPr>
            <w:r>
              <w:rPr>
                <w:rFonts w:hint="eastAsia" w:eastAsia="楷体_GB2312"/>
                <w:szCs w:val="21"/>
              </w:rPr>
              <w:t>3100</w:t>
            </w:r>
          </w:p>
        </w:tc>
        <w:tc>
          <w:tcPr>
            <w:tcW w:w="686" w:type="pct"/>
            <w:noWrap w:val="0"/>
            <w:vAlign w:val="center"/>
          </w:tcPr>
          <w:p w14:paraId="2AEBF04F">
            <w:pPr>
              <w:tabs>
                <w:tab w:val="left" w:pos="0"/>
                <w:tab w:val="left" w:pos="295"/>
              </w:tabs>
              <w:jc w:val="center"/>
              <w:rPr>
                <w:rFonts w:eastAsia="楷体_GB2312"/>
                <w:szCs w:val="21"/>
              </w:rPr>
            </w:pPr>
            <w:r>
              <w:rPr>
                <w:rFonts w:eastAsia="楷体_GB2312"/>
                <w:szCs w:val="21"/>
              </w:rPr>
              <w:t>10</w:t>
            </w:r>
          </w:p>
        </w:tc>
        <w:tc>
          <w:tcPr>
            <w:tcW w:w="679" w:type="pct"/>
            <w:noWrap w:val="0"/>
            <w:vAlign w:val="center"/>
          </w:tcPr>
          <w:p w14:paraId="1102702A">
            <w:pPr>
              <w:tabs>
                <w:tab w:val="left" w:pos="0"/>
                <w:tab w:val="left" w:pos="295"/>
              </w:tabs>
              <w:jc w:val="center"/>
              <w:rPr>
                <w:rFonts w:eastAsia="楷体_GB2312"/>
                <w:szCs w:val="21"/>
              </w:rPr>
            </w:pPr>
            <w:r>
              <w:rPr>
                <w:rFonts w:eastAsia="楷体_GB2312"/>
                <w:szCs w:val="21"/>
              </w:rPr>
              <w:t>24</w:t>
            </w:r>
          </w:p>
        </w:tc>
      </w:tr>
      <w:tr w14:paraId="44ACF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10" w:type="pct"/>
            <w:vMerge w:val="restart"/>
            <w:noWrap w:val="0"/>
            <w:vAlign w:val="center"/>
          </w:tcPr>
          <w:p w14:paraId="2D19FCEF">
            <w:pPr>
              <w:tabs>
                <w:tab w:val="left" w:pos="0"/>
                <w:tab w:val="left" w:pos="295"/>
              </w:tabs>
              <w:jc w:val="center"/>
              <w:rPr>
                <w:rFonts w:eastAsia="楷体_GB2312"/>
                <w:szCs w:val="21"/>
              </w:rPr>
            </w:pPr>
            <w:r>
              <w:rPr>
                <w:rFonts w:eastAsia="楷体_GB2312"/>
                <w:szCs w:val="21"/>
              </w:rPr>
              <w:t>10</w:t>
            </w:r>
          </w:p>
        </w:tc>
        <w:tc>
          <w:tcPr>
            <w:tcW w:w="595" w:type="pct"/>
            <w:vMerge w:val="restart"/>
            <w:noWrap w:val="0"/>
            <w:vAlign w:val="center"/>
          </w:tcPr>
          <w:p w14:paraId="55DCD4A7">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桃园镇</w:t>
            </w:r>
          </w:p>
        </w:tc>
        <w:tc>
          <w:tcPr>
            <w:tcW w:w="473" w:type="pct"/>
            <w:noWrap w:val="0"/>
            <w:vAlign w:val="center"/>
          </w:tcPr>
          <w:p w14:paraId="4E72752A">
            <w:pPr>
              <w:tabs>
                <w:tab w:val="left" w:pos="0"/>
                <w:tab w:val="left" w:pos="295"/>
              </w:tabs>
              <w:jc w:val="center"/>
              <w:rPr>
                <w:rFonts w:eastAsia="楷体_GB2312"/>
                <w:szCs w:val="21"/>
              </w:rPr>
            </w:pPr>
            <w:r>
              <w:rPr>
                <w:rFonts w:eastAsia="楷体_GB2312"/>
                <w:szCs w:val="21"/>
              </w:rPr>
              <w:t>01</w:t>
            </w:r>
          </w:p>
        </w:tc>
        <w:tc>
          <w:tcPr>
            <w:tcW w:w="1472" w:type="pct"/>
            <w:noWrap w:val="0"/>
            <w:vAlign w:val="center"/>
          </w:tcPr>
          <w:p w14:paraId="09E8F50D">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桃园镇</w:t>
            </w:r>
            <w:r>
              <w:rPr>
                <w:rFonts w:hint="eastAsia" w:ascii="Times New Roman" w:hAnsi="Times New Roman" w:eastAsia="楷体_GB2312" w:cs="Times New Roman"/>
              </w:rPr>
              <w:t>商服中心</w:t>
            </w:r>
          </w:p>
        </w:tc>
        <w:tc>
          <w:tcPr>
            <w:tcW w:w="686" w:type="pct"/>
            <w:noWrap w:val="0"/>
            <w:vAlign w:val="center"/>
          </w:tcPr>
          <w:p w14:paraId="2C1489E5">
            <w:pPr>
              <w:tabs>
                <w:tab w:val="left" w:pos="0"/>
                <w:tab w:val="left" w:pos="295"/>
              </w:tabs>
              <w:jc w:val="center"/>
              <w:rPr>
                <w:rFonts w:eastAsia="楷体_GB2312"/>
                <w:szCs w:val="21"/>
              </w:rPr>
            </w:pPr>
            <w:r>
              <w:rPr>
                <w:rFonts w:hint="eastAsia" w:eastAsia="楷体_GB2312"/>
                <w:szCs w:val="21"/>
              </w:rPr>
              <w:t>3000</w:t>
            </w:r>
          </w:p>
        </w:tc>
        <w:tc>
          <w:tcPr>
            <w:tcW w:w="686" w:type="pct"/>
            <w:noWrap w:val="0"/>
            <w:vAlign w:val="center"/>
          </w:tcPr>
          <w:p w14:paraId="308AF7EB">
            <w:pPr>
              <w:tabs>
                <w:tab w:val="left" w:pos="0"/>
                <w:tab w:val="left" w:pos="295"/>
              </w:tabs>
              <w:jc w:val="center"/>
              <w:rPr>
                <w:rFonts w:eastAsia="楷体_GB2312"/>
                <w:szCs w:val="21"/>
              </w:rPr>
            </w:pPr>
            <w:r>
              <w:rPr>
                <w:rFonts w:eastAsia="楷体_GB2312"/>
                <w:szCs w:val="21"/>
              </w:rPr>
              <w:t>10</w:t>
            </w:r>
          </w:p>
        </w:tc>
        <w:tc>
          <w:tcPr>
            <w:tcW w:w="679" w:type="pct"/>
            <w:noWrap w:val="0"/>
            <w:vAlign w:val="center"/>
          </w:tcPr>
          <w:p w14:paraId="7032CD80">
            <w:pPr>
              <w:tabs>
                <w:tab w:val="left" w:pos="0"/>
                <w:tab w:val="left" w:pos="295"/>
              </w:tabs>
              <w:jc w:val="center"/>
              <w:rPr>
                <w:rFonts w:eastAsia="楷体_GB2312"/>
                <w:szCs w:val="21"/>
              </w:rPr>
            </w:pPr>
            <w:r>
              <w:rPr>
                <w:rFonts w:eastAsia="楷体_GB2312"/>
                <w:szCs w:val="21"/>
              </w:rPr>
              <w:t>21</w:t>
            </w:r>
          </w:p>
        </w:tc>
      </w:tr>
      <w:tr w14:paraId="40B2A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10" w:type="pct"/>
            <w:vMerge w:val="continue"/>
            <w:noWrap w:val="0"/>
            <w:vAlign w:val="center"/>
          </w:tcPr>
          <w:p w14:paraId="509C34E8">
            <w:pPr>
              <w:tabs>
                <w:tab w:val="left" w:pos="0"/>
                <w:tab w:val="left" w:pos="295"/>
              </w:tabs>
              <w:jc w:val="center"/>
              <w:rPr>
                <w:rFonts w:eastAsia="楷体_GB2312"/>
                <w:szCs w:val="21"/>
              </w:rPr>
            </w:pPr>
          </w:p>
        </w:tc>
        <w:tc>
          <w:tcPr>
            <w:tcW w:w="595" w:type="pct"/>
            <w:vMerge w:val="continue"/>
            <w:noWrap w:val="0"/>
            <w:vAlign w:val="center"/>
          </w:tcPr>
          <w:p w14:paraId="138C7628">
            <w:pPr>
              <w:pStyle w:val="20"/>
              <w:tabs>
                <w:tab w:val="left" w:pos="0"/>
                <w:tab w:val="left" w:pos="295"/>
              </w:tabs>
              <w:jc w:val="center"/>
              <w:rPr>
                <w:rFonts w:ascii="Times New Roman" w:hAnsi="Times New Roman" w:eastAsia="楷体_GB2312" w:cs="Times New Roman"/>
              </w:rPr>
            </w:pPr>
          </w:p>
        </w:tc>
        <w:tc>
          <w:tcPr>
            <w:tcW w:w="473" w:type="pct"/>
            <w:noWrap w:val="0"/>
            <w:vAlign w:val="center"/>
          </w:tcPr>
          <w:p w14:paraId="1A159B09">
            <w:pPr>
              <w:tabs>
                <w:tab w:val="left" w:pos="0"/>
                <w:tab w:val="left" w:pos="295"/>
              </w:tabs>
              <w:jc w:val="center"/>
              <w:rPr>
                <w:rFonts w:eastAsia="楷体_GB2312"/>
                <w:szCs w:val="21"/>
              </w:rPr>
            </w:pPr>
            <w:r>
              <w:rPr>
                <w:rFonts w:hint="eastAsia" w:eastAsia="楷体_GB2312"/>
                <w:szCs w:val="21"/>
              </w:rPr>
              <w:t>02</w:t>
            </w:r>
          </w:p>
        </w:tc>
        <w:tc>
          <w:tcPr>
            <w:tcW w:w="1472" w:type="pct"/>
            <w:noWrap w:val="0"/>
            <w:vAlign w:val="center"/>
          </w:tcPr>
          <w:p w14:paraId="5EFFE682">
            <w:pPr>
              <w:pStyle w:val="20"/>
              <w:tabs>
                <w:tab w:val="left" w:pos="0"/>
                <w:tab w:val="left" w:pos="295"/>
              </w:tabs>
              <w:jc w:val="center"/>
              <w:rPr>
                <w:rFonts w:ascii="Times New Roman" w:hAnsi="Times New Roman" w:eastAsia="楷体_GB2312" w:cs="Times New Roman"/>
              </w:rPr>
            </w:pPr>
            <w:r>
              <w:rPr>
                <w:rFonts w:hint="eastAsia" w:ascii="Times New Roman" w:hAnsi="Times New Roman" w:eastAsia="楷体_GB2312" w:cs="Times New Roman"/>
              </w:rPr>
              <w:t>北杨寨</w:t>
            </w:r>
            <w:r>
              <w:rPr>
                <w:rFonts w:hint="eastAsia" w:eastAsia="楷体_GB2312"/>
              </w:rPr>
              <w:t>商服中心</w:t>
            </w:r>
          </w:p>
        </w:tc>
        <w:tc>
          <w:tcPr>
            <w:tcW w:w="686" w:type="pct"/>
            <w:noWrap w:val="0"/>
            <w:vAlign w:val="center"/>
          </w:tcPr>
          <w:p w14:paraId="3F5274D0">
            <w:pPr>
              <w:tabs>
                <w:tab w:val="left" w:pos="0"/>
                <w:tab w:val="left" w:pos="295"/>
              </w:tabs>
              <w:jc w:val="center"/>
              <w:rPr>
                <w:rFonts w:eastAsia="楷体_GB2312"/>
                <w:szCs w:val="21"/>
              </w:rPr>
            </w:pPr>
            <w:r>
              <w:rPr>
                <w:rFonts w:hint="eastAsia" w:eastAsia="楷体_GB2312"/>
                <w:szCs w:val="21"/>
              </w:rPr>
              <w:t>3200</w:t>
            </w:r>
          </w:p>
        </w:tc>
        <w:tc>
          <w:tcPr>
            <w:tcW w:w="686" w:type="pct"/>
            <w:noWrap w:val="0"/>
            <w:vAlign w:val="center"/>
          </w:tcPr>
          <w:p w14:paraId="2D3E7FCA">
            <w:pPr>
              <w:tabs>
                <w:tab w:val="left" w:pos="0"/>
                <w:tab w:val="left" w:pos="295"/>
              </w:tabs>
              <w:jc w:val="center"/>
              <w:rPr>
                <w:rFonts w:eastAsia="楷体_GB2312"/>
                <w:szCs w:val="21"/>
              </w:rPr>
            </w:pPr>
            <w:r>
              <w:rPr>
                <w:rFonts w:hint="eastAsia" w:eastAsia="楷体_GB2312"/>
                <w:szCs w:val="21"/>
              </w:rPr>
              <w:t>14</w:t>
            </w:r>
          </w:p>
        </w:tc>
        <w:tc>
          <w:tcPr>
            <w:tcW w:w="679" w:type="pct"/>
            <w:noWrap w:val="0"/>
            <w:vAlign w:val="center"/>
          </w:tcPr>
          <w:p w14:paraId="25B3BBC7">
            <w:pPr>
              <w:tabs>
                <w:tab w:val="left" w:pos="0"/>
                <w:tab w:val="left" w:pos="295"/>
              </w:tabs>
              <w:jc w:val="center"/>
              <w:rPr>
                <w:rFonts w:eastAsia="楷体_GB2312"/>
                <w:szCs w:val="21"/>
              </w:rPr>
            </w:pPr>
            <w:r>
              <w:rPr>
                <w:rFonts w:hint="eastAsia" w:eastAsia="楷体_GB2312"/>
                <w:szCs w:val="21"/>
              </w:rPr>
              <w:t>19</w:t>
            </w:r>
          </w:p>
        </w:tc>
      </w:tr>
      <w:tr w14:paraId="06DD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10" w:type="pct"/>
            <w:noWrap w:val="0"/>
            <w:vAlign w:val="center"/>
          </w:tcPr>
          <w:p w14:paraId="37983948">
            <w:pPr>
              <w:tabs>
                <w:tab w:val="left" w:pos="0"/>
                <w:tab w:val="left" w:pos="295"/>
              </w:tabs>
              <w:jc w:val="center"/>
              <w:rPr>
                <w:rFonts w:eastAsia="楷体_GB2312"/>
                <w:szCs w:val="21"/>
              </w:rPr>
            </w:pPr>
            <w:r>
              <w:rPr>
                <w:rFonts w:hint="eastAsia" w:eastAsia="楷体_GB2312"/>
                <w:szCs w:val="21"/>
              </w:rPr>
              <w:t>11</w:t>
            </w:r>
          </w:p>
        </w:tc>
        <w:tc>
          <w:tcPr>
            <w:tcW w:w="595" w:type="pct"/>
            <w:noWrap w:val="0"/>
            <w:vAlign w:val="center"/>
          </w:tcPr>
          <w:p w14:paraId="6683B65C">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曹村镇</w:t>
            </w:r>
          </w:p>
        </w:tc>
        <w:tc>
          <w:tcPr>
            <w:tcW w:w="473" w:type="pct"/>
            <w:noWrap w:val="0"/>
            <w:vAlign w:val="center"/>
          </w:tcPr>
          <w:p w14:paraId="06F06148">
            <w:pPr>
              <w:tabs>
                <w:tab w:val="left" w:pos="0"/>
                <w:tab w:val="left" w:pos="295"/>
              </w:tabs>
              <w:jc w:val="center"/>
              <w:rPr>
                <w:rFonts w:eastAsia="楷体_GB2312"/>
                <w:szCs w:val="21"/>
              </w:rPr>
            </w:pPr>
            <w:r>
              <w:rPr>
                <w:rFonts w:eastAsia="楷体_GB2312"/>
                <w:szCs w:val="21"/>
              </w:rPr>
              <w:t>01</w:t>
            </w:r>
          </w:p>
        </w:tc>
        <w:tc>
          <w:tcPr>
            <w:tcW w:w="1472" w:type="pct"/>
            <w:noWrap w:val="0"/>
            <w:vAlign w:val="center"/>
          </w:tcPr>
          <w:p w14:paraId="795E654D">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曹村镇</w:t>
            </w:r>
            <w:r>
              <w:rPr>
                <w:rFonts w:hint="eastAsia" w:ascii="Times New Roman" w:hAnsi="Times New Roman" w:eastAsia="楷体_GB2312" w:cs="Times New Roman"/>
              </w:rPr>
              <w:t>商服中心</w:t>
            </w:r>
          </w:p>
        </w:tc>
        <w:tc>
          <w:tcPr>
            <w:tcW w:w="686" w:type="pct"/>
            <w:noWrap w:val="0"/>
            <w:vAlign w:val="center"/>
          </w:tcPr>
          <w:p w14:paraId="35AEE718">
            <w:pPr>
              <w:tabs>
                <w:tab w:val="left" w:pos="0"/>
                <w:tab w:val="left" w:pos="295"/>
              </w:tabs>
              <w:jc w:val="center"/>
              <w:rPr>
                <w:rFonts w:eastAsia="楷体_GB2312"/>
                <w:szCs w:val="21"/>
              </w:rPr>
            </w:pPr>
            <w:r>
              <w:rPr>
                <w:rFonts w:hint="eastAsia" w:eastAsia="楷体_GB2312"/>
                <w:szCs w:val="21"/>
              </w:rPr>
              <w:t>3000</w:t>
            </w:r>
          </w:p>
        </w:tc>
        <w:tc>
          <w:tcPr>
            <w:tcW w:w="686" w:type="pct"/>
            <w:noWrap w:val="0"/>
            <w:vAlign w:val="center"/>
          </w:tcPr>
          <w:p w14:paraId="3A1565EF">
            <w:pPr>
              <w:tabs>
                <w:tab w:val="left" w:pos="0"/>
                <w:tab w:val="left" w:pos="295"/>
              </w:tabs>
              <w:jc w:val="center"/>
              <w:rPr>
                <w:rFonts w:eastAsia="楷体_GB2312"/>
                <w:szCs w:val="21"/>
              </w:rPr>
            </w:pPr>
            <w:r>
              <w:rPr>
                <w:rFonts w:hint="eastAsia" w:eastAsia="楷体_GB2312"/>
                <w:szCs w:val="21"/>
              </w:rPr>
              <w:t>12</w:t>
            </w:r>
          </w:p>
        </w:tc>
        <w:tc>
          <w:tcPr>
            <w:tcW w:w="679" w:type="pct"/>
            <w:noWrap w:val="0"/>
            <w:vAlign w:val="center"/>
          </w:tcPr>
          <w:p w14:paraId="72CBF02A">
            <w:pPr>
              <w:tabs>
                <w:tab w:val="left" w:pos="0"/>
                <w:tab w:val="left" w:pos="295"/>
              </w:tabs>
              <w:jc w:val="center"/>
              <w:rPr>
                <w:rFonts w:eastAsia="楷体_GB2312"/>
                <w:szCs w:val="21"/>
              </w:rPr>
            </w:pPr>
            <w:r>
              <w:rPr>
                <w:rFonts w:hint="eastAsia" w:eastAsia="楷体_GB2312"/>
                <w:szCs w:val="21"/>
              </w:rPr>
              <w:t>20</w:t>
            </w:r>
          </w:p>
        </w:tc>
      </w:tr>
      <w:tr w14:paraId="504A1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10" w:type="pct"/>
            <w:noWrap w:val="0"/>
            <w:vAlign w:val="center"/>
          </w:tcPr>
          <w:p w14:paraId="7A179544">
            <w:pPr>
              <w:tabs>
                <w:tab w:val="left" w:pos="0"/>
                <w:tab w:val="left" w:pos="295"/>
              </w:tabs>
              <w:jc w:val="center"/>
              <w:rPr>
                <w:rFonts w:eastAsia="楷体_GB2312"/>
                <w:szCs w:val="21"/>
              </w:rPr>
            </w:pPr>
            <w:r>
              <w:rPr>
                <w:rFonts w:hint="eastAsia" w:eastAsia="楷体_GB2312"/>
                <w:szCs w:val="21"/>
              </w:rPr>
              <w:t>12</w:t>
            </w:r>
          </w:p>
        </w:tc>
        <w:tc>
          <w:tcPr>
            <w:tcW w:w="595" w:type="pct"/>
            <w:noWrap w:val="0"/>
            <w:vAlign w:val="center"/>
          </w:tcPr>
          <w:p w14:paraId="3245A86E">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大营镇</w:t>
            </w:r>
          </w:p>
        </w:tc>
        <w:tc>
          <w:tcPr>
            <w:tcW w:w="473" w:type="pct"/>
            <w:noWrap w:val="0"/>
            <w:vAlign w:val="center"/>
          </w:tcPr>
          <w:p w14:paraId="00D9C6DB">
            <w:pPr>
              <w:tabs>
                <w:tab w:val="left" w:pos="0"/>
                <w:tab w:val="left" w:pos="295"/>
              </w:tabs>
              <w:jc w:val="center"/>
              <w:rPr>
                <w:rFonts w:eastAsia="楷体_GB2312"/>
                <w:szCs w:val="21"/>
              </w:rPr>
            </w:pPr>
            <w:r>
              <w:rPr>
                <w:rFonts w:eastAsia="楷体_GB2312"/>
                <w:szCs w:val="21"/>
              </w:rPr>
              <w:t>01</w:t>
            </w:r>
          </w:p>
        </w:tc>
        <w:tc>
          <w:tcPr>
            <w:tcW w:w="1472" w:type="pct"/>
            <w:noWrap w:val="0"/>
            <w:vAlign w:val="center"/>
          </w:tcPr>
          <w:p w14:paraId="309B8F4F">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大营镇</w:t>
            </w:r>
            <w:r>
              <w:rPr>
                <w:rFonts w:hint="eastAsia" w:ascii="Times New Roman" w:hAnsi="Times New Roman" w:eastAsia="楷体_GB2312" w:cs="Times New Roman"/>
              </w:rPr>
              <w:t>商服中心</w:t>
            </w:r>
          </w:p>
        </w:tc>
        <w:tc>
          <w:tcPr>
            <w:tcW w:w="686" w:type="pct"/>
            <w:noWrap w:val="0"/>
            <w:vAlign w:val="center"/>
          </w:tcPr>
          <w:p w14:paraId="02F41BB0">
            <w:pPr>
              <w:tabs>
                <w:tab w:val="left" w:pos="0"/>
                <w:tab w:val="left" w:pos="295"/>
              </w:tabs>
              <w:jc w:val="center"/>
              <w:rPr>
                <w:rFonts w:eastAsia="楷体_GB2312"/>
                <w:szCs w:val="21"/>
              </w:rPr>
            </w:pPr>
            <w:r>
              <w:rPr>
                <w:rFonts w:hint="eastAsia" w:eastAsia="楷体_GB2312"/>
                <w:szCs w:val="21"/>
              </w:rPr>
              <w:t>2900</w:t>
            </w:r>
          </w:p>
        </w:tc>
        <w:tc>
          <w:tcPr>
            <w:tcW w:w="686" w:type="pct"/>
            <w:noWrap w:val="0"/>
            <w:vAlign w:val="center"/>
          </w:tcPr>
          <w:p w14:paraId="1E9EE61E">
            <w:pPr>
              <w:tabs>
                <w:tab w:val="left" w:pos="0"/>
                <w:tab w:val="left" w:pos="295"/>
              </w:tabs>
              <w:jc w:val="center"/>
              <w:rPr>
                <w:rFonts w:eastAsia="楷体_GB2312"/>
                <w:szCs w:val="21"/>
              </w:rPr>
            </w:pPr>
            <w:r>
              <w:rPr>
                <w:rFonts w:hint="eastAsia" w:eastAsia="楷体_GB2312"/>
                <w:szCs w:val="21"/>
              </w:rPr>
              <w:t>10</w:t>
            </w:r>
          </w:p>
        </w:tc>
        <w:tc>
          <w:tcPr>
            <w:tcW w:w="679" w:type="pct"/>
            <w:noWrap w:val="0"/>
            <w:vAlign w:val="center"/>
          </w:tcPr>
          <w:p w14:paraId="4B0F4874">
            <w:pPr>
              <w:tabs>
                <w:tab w:val="left" w:pos="0"/>
                <w:tab w:val="left" w:pos="295"/>
              </w:tabs>
              <w:jc w:val="center"/>
              <w:rPr>
                <w:rFonts w:eastAsia="楷体_GB2312"/>
                <w:szCs w:val="21"/>
              </w:rPr>
            </w:pPr>
            <w:r>
              <w:rPr>
                <w:rFonts w:hint="eastAsia" w:eastAsia="楷体_GB2312"/>
                <w:szCs w:val="21"/>
              </w:rPr>
              <w:t>17</w:t>
            </w:r>
          </w:p>
        </w:tc>
      </w:tr>
      <w:tr w14:paraId="31D19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10" w:type="pct"/>
            <w:noWrap w:val="0"/>
            <w:vAlign w:val="center"/>
          </w:tcPr>
          <w:p w14:paraId="3A1F16F1">
            <w:pPr>
              <w:tabs>
                <w:tab w:val="left" w:pos="0"/>
                <w:tab w:val="left" w:pos="295"/>
              </w:tabs>
              <w:jc w:val="center"/>
              <w:rPr>
                <w:rFonts w:eastAsia="楷体_GB2312"/>
                <w:szCs w:val="21"/>
              </w:rPr>
            </w:pPr>
            <w:r>
              <w:rPr>
                <w:rFonts w:hint="eastAsia" w:eastAsia="楷体_GB2312"/>
                <w:szCs w:val="21"/>
              </w:rPr>
              <w:t>13</w:t>
            </w:r>
          </w:p>
        </w:tc>
        <w:tc>
          <w:tcPr>
            <w:tcW w:w="595" w:type="pct"/>
            <w:noWrap w:val="0"/>
            <w:vAlign w:val="center"/>
          </w:tcPr>
          <w:p w14:paraId="5C53EA6B">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褚兰镇</w:t>
            </w:r>
          </w:p>
        </w:tc>
        <w:tc>
          <w:tcPr>
            <w:tcW w:w="473" w:type="pct"/>
            <w:noWrap w:val="0"/>
            <w:vAlign w:val="center"/>
          </w:tcPr>
          <w:p w14:paraId="344054E0">
            <w:pPr>
              <w:tabs>
                <w:tab w:val="left" w:pos="0"/>
                <w:tab w:val="left" w:pos="295"/>
              </w:tabs>
              <w:jc w:val="center"/>
              <w:rPr>
                <w:rFonts w:eastAsia="楷体_GB2312"/>
                <w:szCs w:val="21"/>
              </w:rPr>
            </w:pPr>
            <w:r>
              <w:rPr>
                <w:rFonts w:eastAsia="楷体_GB2312"/>
                <w:szCs w:val="21"/>
              </w:rPr>
              <w:t>01</w:t>
            </w:r>
          </w:p>
        </w:tc>
        <w:tc>
          <w:tcPr>
            <w:tcW w:w="1472" w:type="pct"/>
            <w:noWrap w:val="0"/>
            <w:vAlign w:val="center"/>
          </w:tcPr>
          <w:p w14:paraId="42A975EB">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褚兰镇</w:t>
            </w:r>
            <w:r>
              <w:rPr>
                <w:rFonts w:hint="eastAsia" w:ascii="Times New Roman" w:hAnsi="Times New Roman" w:eastAsia="楷体_GB2312" w:cs="Times New Roman"/>
              </w:rPr>
              <w:t>商服中心</w:t>
            </w:r>
          </w:p>
        </w:tc>
        <w:tc>
          <w:tcPr>
            <w:tcW w:w="686" w:type="pct"/>
            <w:noWrap w:val="0"/>
            <w:vAlign w:val="center"/>
          </w:tcPr>
          <w:p w14:paraId="34C088D2">
            <w:pPr>
              <w:tabs>
                <w:tab w:val="left" w:pos="0"/>
                <w:tab w:val="left" w:pos="295"/>
              </w:tabs>
              <w:jc w:val="center"/>
              <w:rPr>
                <w:rFonts w:eastAsia="楷体_GB2312"/>
                <w:szCs w:val="21"/>
              </w:rPr>
            </w:pPr>
            <w:r>
              <w:rPr>
                <w:rFonts w:hint="eastAsia" w:eastAsia="楷体_GB2312"/>
                <w:szCs w:val="21"/>
              </w:rPr>
              <w:t>3200</w:t>
            </w:r>
          </w:p>
        </w:tc>
        <w:tc>
          <w:tcPr>
            <w:tcW w:w="686" w:type="pct"/>
            <w:noWrap w:val="0"/>
            <w:vAlign w:val="center"/>
          </w:tcPr>
          <w:p w14:paraId="517260B0">
            <w:pPr>
              <w:tabs>
                <w:tab w:val="left" w:pos="0"/>
                <w:tab w:val="left" w:pos="295"/>
              </w:tabs>
              <w:jc w:val="center"/>
              <w:rPr>
                <w:rFonts w:eastAsia="楷体_GB2312"/>
                <w:szCs w:val="21"/>
              </w:rPr>
            </w:pPr>
            <w:r>
              <w:rPr>
                <w:rFonts w:hint="eastAsia" w:eastAsia="楷体_GB2312"/>
                <w:szCs w:val="21"/>
              </w:rPr>
              <w:t>13</w:t>
            </w:r>
          </w:p>
        </w:tc>
        <w:tc>
          <w:tcPr>
            <w:tcW w:w="679" w:type="pct"/>
            <w:noWrap w:val="0"/>
            <w:vAlign w:val="center"/>
          </w:tcPr>
          <w:p w14:paraId="794C8B48">
            <w:pPr>
              <w:tabs>
                <w:tab w:val="left" w:pos="0"/>
                <w:tab w:val="left" w:pos="295"/>
              </w:tabs>
              <w:jc w:val="center"/>
              <w:rPr>
                <w:rFonts w:eastAsia="楷体_GB2312"/>
                <w:szCs w:val="21"/>
              </w:rPr>
            </w:pPr>
            <w:r>
              <w:rPr>
                <w:rFonts w:hint="eastAsia" w:eastAsia="楷体_GB2312"/>
                <w:szCs w:val="21"/>
              </w:rPr>
              <w:t>22</w:t>
            </w:r>
          </w:p>
        </w:tc>
      </w:tr>
      <w:tr w14:paraId="1FA7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10" w:type="pct"/>
            <w:noWrap w:val="0"/>
            <w:vAlign w:val="center"/>
          </w:tcPr>
          <w:p w14:paraId="1A4AFEAD">
            <w:pPr>
              <w:tabs>
                <w:tab w:val="left" w:pos="0"/>
                <w:tab w:val="left" w:pos="295"/>
              </w:tabs>
              <w:jc w:val="center"/>
              <w:rPr>
                <w:rFonts w:eastAsia="楷体_GB2312"/>
                <w:szCs w:val="21"/>
              </w:rPr>
            </w:pPr>
            <w:r>
              <w:rPr>
                <w:rFonts w:hint="eastAsia" w:eastAsia="楷体_GB2312"/>
                <w:szCs w:val="21"/>
              </w:rPr>
              <w:t>14</w:t>
            </w:r>
          </w:p>
        </w:tc>
        <w:tc>
          <w:tcPr>
            <w:tcW w:w="595" w:type="pct"/>
            <w:noWrap w:val="0"/>
            <w:vAlign w:val="center"/>
          </w:tcPr>
          <w:p w14:paraId="4828B834">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顺河镇</w:t>
            </w:r>
          </w:p>
        </w:tc>
        <w:tc>
          <w:tcPr>
            <w:tcW w:w="473" w:type="pct"/>
            <w:noWrap w:val="0"/>
            <w:vAlign w:val="center"/>
          </w:tcPr>
          <w:p w14:paraId="4088F9FF">
            <w:pPr>
              <w:tabs>
                <w:tab w:val="left" w:pos="0"/>
                <w:tab w:val="left" w:pos="295"/>
              </w:tabs>
              <w:jc w:val="center"/>
              <w:rPr>
                <w:rFonts w:eastAsia="楷体_GB2312"/>
                <w:szCs w:val="21"/>
              </w:rPr>
            </w:pPr>
            <w:r>
              <w:rPr>
                <w:rFonts w:eastAsia="楷体_GB2312"/>
                <w:szCs w:val="21"/>
              </w:rPr>
              <w:t>01</w:t>
            </w:r>
          </w:p>
        </w:tc>
        <w:tc>
          <w:tcPr>
            <w:tcW w:w="1472" w:type="pct"/>
            <w:noWrap w:val="0"/>
            <w:vAlign w:val="center"/>
          </w:tcPr>
          <w:p w14:paraId="3B87090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顺河镇</w:t>
            </w:r>
            <w:r>
              <w:rPr>
                <w:rFonts w:hint="eastAsia" w:ascii="Times New Roman" w:hAnsi="Times New Roman" w:eastAsia="楷体_GB2312" w:cs="Times New Roman"/>
              </w:rPr>
              <w:t>商服中心</w:t>
            </w:r>
          </w:p>
        </w:tc>
        <w:tc>
          <w:tcPr>
            <w:tcW w:w="686" w:type="pct"/>
            <w:noWrap w:val="0"/>
            <w:vAlign w:val="center"/>
          </w:tcPr>
          <w:p w14:paraId="6C196DAF">
            <w:pPr>
              <w:tabs>
                <w:tab w:val="left" w:pos="0"/>
                <w:tab w:val="left" w:pos="295"/>
              </w:tabs>
              <w:jc w:val="center"/>
              <w:rPr>
                <w:rFonts w:eastAsia="楷体_GB2312"/>
                <w:szCs w:val="21"/>
              </w:rPr>
            </w:pPr>
            <w:r>
              <w:rPr>
                <w:rFonts w:hint="eastAsia" w:eastAsia="楷体_GB2312"/>
                <w:szCs w:val="21"/>
              </w:rPr>
              <w:t>4100</w:t>
            </w:r>
          </w:p>
        </w:tc>
        <w:tc>
          <w:tcPr>
            <w:tcW w:w="686" w:type="pct"/>
            <w:noWrap w:val="0"/>
            <w:vAlign w:val="center"/>
          </w:tcPr>
          <w:p w14:paraId="2CF77B5F">
            <w:pPr>
              <w:tabs>
                <w:tab w:val="left" w:pos="0"/>
                <w:tab w:val="left" w:pos="295"/>
              </w:tabs>
              <w:jc w:val="center"/>
              <w:rPr>
                <w:rFonts w:eastAsia="楷体_GB2312"/>
                <w:szCs w:val="21"/>
              </w:rPr>
            </w:pPr>
            <w:r>
              <w:rPr>
                <w:rFonts w:hint="eastAsia" w:eastAsia="楷体_GB2312"/>
                <w:szCs w:val="21"/>
              </w:rPr>
              <w:t>15</w:t>
            </w:r>
          </w:p>
        </w:tc>
        <w:tc>
          <w:tcPr>
            <w:tcW w:w="679" w:type="pct"/>
            <w:noWrap w:val="0"/>
            <w:vAlign w:val="center"/>
          </w:tcPr>
          <w:p w14:paraId="04140DBF">
            <w:pPr>
              <w:tabs>
                <w:tab w:val="left" w:pos="0"/>
                <w:tab w:val="left" w:pos="295"/>
              </w:tabs>
              <w:jc w:val="center"/>
              <w:rPr>
                <w:rFonts w:eastAsia="楷体_GB2312"/>
                <w:szCs w:val="21"/>
              </w:rPr>
            </w:pPr>
            <w:r>
              <w:rPr>
                <w:rFonts w:hint="eastAsia" w:eastAsia="楷体_GB2312"/>
                <w:szCs w:val="21"/>
              </w:rPr>
              <w:t>34</w:t>
            </w:r>
          </w:p>
        </w:tc>
      </w:tr>
      <w:tr w14:paraId="410F5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10" w:type="pct"/>
            <w:noWrap w:val="0"/>
            <w:vAlign w:val="center"/>
          </w:tcPr>
          <w:p w14:paraId="06C793D0">
            <w:pPr>
              <w:tabs>
                <w:tab w:val="left" w:pos="0"/>
                <w:tab w:val="left" w:pos="295"/>
              </w:tabs>
              <w:jc w:val="center"/>
              <w:rPr>
                <w:rFonts w:eastAsia="楷体_GB2312"/>
                <w:szCs w:val="21"/>
              </w:rPr>
            </w:pPr>
            <w:r>
              <w:rPr>
                <w:rFonts w:hint="eastAsia" w:eastAsia="楷体_GB2312"/>
                <w:szCs w:val="21"/>
              </w:rPr>
              <w:t>15</w:t>
            </w:r>
          </w:p>
        </w:tc>
        <w:tc>
          <w:tcPr>
            <w:tcW w:w="595" w:type="pct"/>
            <w:noWrap w:val="0"/>
            <w:vAlign w:val="center"/>
          </w:tcPr>
          <w:p w14:paraId="6A057615">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杨庄镇</w:t>
            </w:r>
          </w:p>
        </w:tc>
        <w:tc>
          <w:tcPr>
            <w:tcW w:w="473" w:type="pct"/>
            <w:noWrap w:val="0"/>
            <w:vAlign w:val="center"/>
          </w:tcPr>
          <w:p w14:paraId="4448CD4F">
            <w:pPr>
              <w:tabs>
                <w:tab w:val="left" w:pos="0"/>
                <w:tab w:val="left" w:pos="295"/>
              </w:tabs>
              <w:jc w:val="center"/>
              <w:rPr>
                <w:rFonts w:eastAsia="楷体_GB2312"/>
                <w:szCs w:val="21"/>
              </w:rPr>
            </w:pPr>
            <w:r>
              <w:rPr>
                <w:rFonts w:eastAsia="楷体_GB2312"/>
                <w:szCs w:val="21"/>
              </w:rPr>
              <w:t>01</w:t>
            </w:r>
          </w:p>
        </w:tc>
        <w:tc>
          <w:tcPr>
            <w:tcW w:w="1472" w:type="pct"/>
            <w:noWrap w:val="0"/>
            <w:vAlign w:val="center"/>
          </w:tcPr>
          <w:p w14:paraId="55950C98">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杨庄镇</w:t>
            </w:r>
            <w:r>
              <w:rPr>
                <w:rFonts w:hint="eastAsia" w:ascii="Times New Roman" w:hAnsi="Times New Roman" w:eastAsia="楷体_GB2312" w:cs="Times New Roman"/>
              </w:rPr>
              <w:t>商服中心</w:t>
            </w:r>
          </w:p>
        </w:tc>
        <w:tc>
          <w:tcPr>
            <w:tcW w:w="686" w:type="pct"/>
            <w:noWrap w:val="0"/>
            <w:vAlign w:val="center"/>
          </w:tcPr>
          <w:p w14:paraId="56E11EF3">
            <w:pPr>
              <w:tabs>
                <w:tab w:val="left" w:pos="0"/>
                <w:tab w:val="left" w:pos="295"/>
              </w:tabs>
              <w:jc w:val="center"/>
              <w:rPr>
                <w:rFonts w:eastAsia="楷体_GB2312"/>
                <w:szCs w:val="21"/>
              </w:rPr>
            </w:pPr>
            <w:r>
              <w:rPr>
                <w:rFonts w:hint="eastAsia" w:eastAsia="楷体_GB2312"/>
                <w:szCs w:val="21"/>
              </w:rPr>
              <w:t>2800</w:t>
            </w:r>
          </w:p>
        </w:tc>
        <w:tc>
          <w:tcPr>
            <w:tcW w:w="686" w:type="pct"/>
            <w:noWrap w:val="0"/>
            <w:vAlign w:val="center"/>
          </w:tcPr>
          <w:p w14:paraId="6A8800CF">
            <w:pPr>
              <w:tabs>
                <w:tab w:val="left" w:pos="0"/>
                <w:tab w:val="left" w:pos="295"/>
              </w:tabs>
              <w:jc w:val="center"/>
              <w:rPr>
                <w:rFonts w:eastAsia="楷体_GB2312"/>
                <w:szCs w:val="21"/>
              </w:rPr>
            </w:pPr>
            <w:r>
              <w:rPr>
                <w:rFonts w:hint="eastAsia" w:eastAsia="楷体_GB2312"/>
                <w:szCs w:val="21"/>
              </w:rPr>
              <w:t>12</w:t>
            </w:r>
          </w:p>
        </w:tc>
        <w:tc>
          <w:tcPr>
            <w:tcW w:w="679" w:type="pct"/>
            <w:noWrap w:val="0"/>
            <w:vAlign w:val="center"/>
          </w:tcPr>
          <w:p w14:paraId="222765B0">
            <w:pPr>
              <w:tabs>
                <w:tab w:val="left" w:pos="0"/>
                <w:tab w:val="left" w:pos="295"/>
              </w:tabs>
              <w:jc w:val="center"/>
              <w:rPr>
                <w:rFonts w:eastAsia="楷体_GB2312"/>
                <w:szCs w:val="21"/>
              </w:rPr>
            </w:pPr>
            <w:r>
              <w:rPr>
                <w:rFonts w:hint="eastAsia" w:eastAsia="楷体_GB2312"/>
                <w:szCs w:val="21"/>
              </w:rPr>
              <w:t>23</w:t>
            </w:r>
          </w:p>
        </w:tc>
      </w:tr>
      <w:tr w14:paraId="0BDFE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10" w:type="pct"/>
            <w:noWrap w:val="0"/>
            <w:vAlign w:val="center"/>
          </w:tcPr>
          <w:p w14:paraId="7DC8C037">
            <w:pPr>
              <w:tabs>
                <w:tab w:val="left" w:pos="0"/>
                <w:tab w:val="left" w:pos="295"/>
              </w:tabs>
              <w:jc w:val="center"/>
              <w:rPr>
                <w:rFonts w:eastAsia="楷体_GB2312"/>
                <w:szCs w:val="21"/>
              </w:rPr>
            </w:pPr>
            <w:r>
              <w:rPr>
                <w:rFonts w:hint="eastAsia" w:eastAsia="楷体_GB2312"/>
                <w:szCs w:val="21"/>
              </w:rPr>
              <w:t>16</w:t>
            </w:r>
          </w:p>
        </w:tc>
        <w:tc>
          <w:tcPr>
            <w:tcW w:w="595" w:type="pct"/>
            <w:noWrap w:val="0"/>
            <w:vAlign w:val="center"/>
          </w:tcPr>
          <w:p w14:paraId="01705F77">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永镇乡</w:t>
            </w:r>
          </w:p>
        </w:tc>
        <w:tc>
          <w:tcPr>
            <w:tcW w:w="473" w:type="pct"/>
            <w:noWrap w:val="0"/>
            <w:vAlign w:val="center"/>
          </w:tcPr>
          <w:p w14:paraId="519887CC">
            <w:pPr>
              <w:tabs>
                <w:tab w:val="left" w:pos="0"/>
                <w:tab w:val="left" w:pos="295"/>
              </w:tabs>
              <w:jc w:val="center"/>
              <w:rPr>
                <w:rFonts w:eastAsia="楷体_GB2312"/>
                <w:szCs w:val="21"/>
              </w:rPr>
            </w:pPr>
            <w:r>
              <w:rPr>
                <w:rFonts w:eastAsia="楷体_GB2312"/>
                <w:szCs w:val="21"/>
              </w:rPr>
              <w:t>01</w:t>
            </w:r>
          </w:p>
        </w:tc>
        <w:tc>
          <w:tcPr>
            <w:tcW w:w="1472" w:type="pct"/>
            <w:noWrap w:val="0"/>
            <w:vAlign w:val="center"/>
          </w:tcPr>
          <w:p w14:paraId="41289536">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永镇乡</w:t>
            </w:r>
            <w:r>
              <w:rPr>
                <w:rFonts w:hint="eastAsia" w:ascii="Times New Roman" w:hAnsi="Times New Roman" w:eastAsia="楷体_GB2312" w:cs="Times New Roman"/>
              </w:rPr>
              <w:t>商服中心</w:t>
            </w:r>
          </w:p>
        </w:tc>
        <w:tc>
          <w:tcPr>
            <w:tcW w:w="686" w:type="pct"/>
            <w:noWrap w:val="0"/>
            <w:vAlign w:val="center"/>
          </w:tcPr>
          <w:p w14:paraId="5C201823">
            <w:pPr>
              <w:tabs>
                <w:tab w:val="left" w:pos="0"/>
                <w:tab w:val="left" w:pos="295"/>
              </w:tabs>
              <w:jc w:val="center"/>
              <w:rPr>
                <w:rFonts w:eastAsia="楷体_GB2312"/>
                <w:szCs w:val="21"/>
              </w:rPr>
            </w:pPr>
            <w:r>
              <w:rPr>
                <w:rFonts w:hint="eastAsia" w:eastAsia="楷体_GB2312"/>
                <w:szCs w:val="21"/>
              </w:rPr>
              <w:t>2700</w:t>
            </w:r>
          </w:p>
        </w:tc>
        <w:tc>
          <w:tcPr>
            <w:tcW w:w="686" w:type="pct"/>
            <w:noWrap w:val="0"/>
            <w:vAlign w:val="center"/>
          </w:tcPr>
          <w:p w14:paraId="09A0788E">
            <w:pPr>
              <w:tabs>
                <w:tab w:val="left" w:pos="0"/>
                <w:tab w:val="left" w:pos="295"/>
              </w:tabs>
              <w:jc w:val="center"/>
              <w:rPr>
                <w:rFonts w:eastAsia="楷体_GB2312"/>
                <w:szCs w:val="21"/>
              </w:rPr>
            </w:pPr>
            <w:r>
              <w:rPr>
                <w:rFonts w:hint="eastAsia" w:eastAsia="楷体_GB2312"/>
                <w:szCs w:val="21"/>
              </w:rPr>
              <w:t>10</w:t>
            </w:r>
          </w:p>
        </w:tc>
        <w:tc>
          <w:tcPr>
            <w:tcW w:w="679" w:type="pct"/>
            <w:noWrap w:val="0"/>
            <w:vAlign w:val="center"/>
          </w:tcPr>
          <w:p w14:paraId="2633BB34">
            <w:pPr>
              <w:tabs>
                <w:tab w:val="left" w:pos="0"/>
                <w:tab w:val="left" w:pos="295"/>
              </w:tabs>
              <w:jc w:val="center"/>
              <w:rPr>
                <w:rFonts w:eastAsia="楷体_GB2312"/>
                <w:szCs w:val="21"/>
              </w:rPr>
            </w:pPr>
            <w:r>
              <w:rPr>
                <w:rFonts w:hint="eastAsia" w:eastAsia="楷体_GB2312"/>
                <w:szCs w:val="21"/>
              </w:rPr>
              <w:t>24</w:t>
            </w:r>
          </w:p>
        </w:tc>
      </w:tr>
      <w:tr w14:paraId="1E463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10" w:type="pct"/>
            <w:noWrap w:val="0"/>
            <w:vAlign w:val="center"/>
          </w:tcPr>
          <w:p w14:paraId="7950C0E6">
            <w:pPr>
              <w:tabs>
                <w:tab w:val="left" w:pos="0"/>
                <w:tab w:val="left" w:pos="295"/>
              </w:tabs>
              <w:jc w:val="center"/>
              <w:rPr>
                <w:rFonts w:eastAsia="楷体_GB2312"/>
                <w:szCs w:val="21"/>
              </w:rPr>
            </w:pPr>
            <w:r>
              <w:rPr>
                <w:rFonts w:hint="eastAsia" w:eastAsia="楷体_GB2312"/>
                <w:szCs w:val="21"/>
              </w:rPr>
              <w:t>17</w:t>
            </w:r>
          </w:p>
        </w:tc>
        <w:tc>
          <w:tcPr>
            <w:tcW w:w="595" w:type="pct"/>
            <w:noWrap w:val="0"/>
            <w:vAlign w:val="center"/>
          </w:tcPr>
          <w:p w14:paraId="0042DC54">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解集镇</w:t>
            </w:r>
          </w:p>
        </w:tc>
        <w:tc>
          <w:tcPr>
            <w:tcW w:w="473" w:type="pct"/>
            <w:noWrap w:val="0"/>
            <w:vAlign w:val="center"/>
          </w:tcPr>
          <w:p w14:paraId="58FBF5A6">
            <w:pPr>
              <w:tabs>
                <w:tab w:val="left" w:pos="0"/>
                <w:tab w:val="left" w:pos="295"/>
              </w:tabs>
              <w:jc w:val="center"/>
              <w:rPr>
                <w:rFonts w:eastAsia="楷体_GB2312"/>
                <w:szCs w:val="21"/>
              </w:rPr>
            </w:pPr>
            <w:r>
              <w:rPr>
                <w:rFonts w:eastAsia="楷体_GB2312"/>
                <w:szCs w:val="21"/>
              </w:rPr>
              <w:t>01</w:t>
            </w:r>
          </w:p>
        </w:tc>
        <w:tc>
          <w:tcPr>
            <w:tcW w:w="1472" w:type="pct"/>
            <w:noWrap w:val="0"/>
            <w:vAlign w:val="center"/>
          </w:tcPr>
          <w:p w14:paraId="6B45E4C3">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解集镇</w:t>
            </w:r>
            <w:r>
              <w:rPr>
                <w:rFonts w:hint="eastAsia" w:ascii="Times New Roman" w:hAnsi="Times New Roman" w:eastAsia="楷体_GB2312" w:cs="Times New Roman"/>
              </w:rPr>
              <w:t>商服中心</w:t>
            </w:r>
          </w:p>
        </w:tc>
        <w:tc>
          <w:tcPr>
            <w:tcW w:w="686" w:type="pct"/>
            <w:noWrap w:val="0"/>
            <w:vAlign w:val="center"/>
          </w:tcPr>
          <w:p w14:paraId="293416C1">
            <w:pPr>
              <w:tabs>
                <w:tab w:val="left" w:pos="0"/>
                <w:tab w:val="left" w:pos="295"/>
              </w:tabs>
              <w:jc w:val="center"/>
              <w:rPr>
                <w:rFonts w:eastAsia="楷体_GB2312"/>
                <w:szCs w:val="21"/>
              </w:rPr>
            </w:pPr>
            <w:r>
              <w:rPr>
                <w:rFonts w:hint="eastAsia" w:eastAsia="楷体_GB2312"/>
                <w:szCs w:val="21"/>
              </w:rPr>
              <w:t>3200</w:t>
            </w:r>
          </w:p>
        </w:tc>
        <w:tc>
          <w:tcPr>
            <w:tcW w:w="686" w:type="pct"/>
            <w:noWrap w:val="0"/>
            <w:vAlign w:val="center"/>
          </w:tcPr>
          <w:p w14:paraId="5250D66A">
            <w:pPr>
              <w:tabs>
                <w:tab w:val="left" w:pos="0"/>
                <w:tab w:val="left" w:pos="295"/>
              </w:tabs>
              <w:jc w:val="center"/>
              <w:rPr>
                <w:rFonts w:eastAsia="楷体_GB2312"/>
                <w:szCs w:val="21"/>
              </w:rPr>
            </w:pPr>
            <w:r>
              <w:rPr>
                <w:rFonts w:hint="eastAsia" w:eastAsia="楷体_GB2312"/>
                <w:szCs w:val="21"/>
              </w:rPr>
              <w:t>16</w:t>
            </w:r>
          </w:p>
        </w:tc>
        <w:tc>
          <w:tcPr>
            <w:tcW w:w="679" w:type="pct"/>
            <w:noWrap w:val="0"/>
            <w:vAlign w:val="center"/>
          </w:tcPr>
          <w:p w14:paraId="3C321D34">
            <w:pPr>
              <w:tabs>
                <w:tab w:val="left" w:pos="0"/>
                <w:tab w:val="left" w:pos="295"/>
              </w:tabs>
              <w:jc w:val="center"/>
              <w:rPr>
                <w:rFonts w:eastAsia="楷体_GB2312"/>
                <w:szCs w:val="21"/>
              </w:rPr>
            </w:pPr>
            <w:r>
              <w:rPr>
                <w:rFonts w:hint="eastAsia" w:eastAsia="楷体_GB2312"/>
                <w:szCs w:val="21"/>
              </w:rPr>
              <w:t>21</w:t>
            </w:r>
          </w:p>
        </w:tc>
      </w:tr>
      <w:tr w14:paraId="66DC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10" w:type="pct"/>
            <w:noWrap w:val="0"/>
            <w:vAlign w:val="center"/>
          </w:tcPr>
          <w:p w14:paraId="350803EF">
            <w:pPr>
              <w:tabs>
                <w:tab w:val="left" w:pos="0"/>
                <w:tab w:val="left" w:pos="295"/>
              </w:tabs>
              <w:jc w:val="center"/>
              <w:rPr>
                <w:rFonts w:eastAsia="楷体_GB2312"/>
                <w:szCs w:val="21"/>
              </w:rPr>
            </w:pPr>
            <w:r>
              <w:rPr>
                <w:rFonts w:hint="eastAsia" w:eastAsia="楷体_GB2312"/>
                <w:szCs w:val="21"/>
              </w:rPr>
              <w:t>18</w:t>
            </w:r>
          </w:p>
        </w:tc>
        <w:tc>
          <w:tcPr>
            <w:tcW w:w="595" w:type="pct"/>
            <w:noWrap w:val="0"/>
            <w:vAlign w:val="center"/>
          </w:tcPr>
          <w:p w14:paraId="1296CEE5">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大泽乡镇</w:t>
            </w:r>
          </w:p>
        </w:tc>
        <w:tc>
          <w:tcPr>
            <w:tcW w:w="473" w:type="pct"/>
            <w:noWrap w:val="0"/>
            <w:vAlign w:val="center"/>
          </w:tcPr>
          <w:p w14:paraId="59A2A0CD">
            <w:pPr>
              <w:tabs>
                <w:tab w:val="left" w:pos="0"/>
                <w:tab w:val="left" w:pos="295"/>
              </w:tabs>
              <w:jc w:val="center"/>
              <w:rPr>
                <w:rFonts w:eastAsia="楷体_GB2312"/>
                <w:szCs w:val="21"/>
              </w:rPr>
            </w:pPr>
            <w:r>
              <w:rPr>
                <w:rFonts w:eastAsia="楷体_GB2312"/>
                <w:szCs w:val="21"/>
              </w:rPr>
              <w:t>01</w:t>
            </w:r>
          </w:p>
        </w:tc>
        <w:tc>
          <w:tcPr>
            <w:tcW w:w="1472" w:type="pct"/>
            <w:noWrap w:val="0"/>
            <w:vAlign w:val="center"/>
          </w:tcPr>
          <w:p w14:paraId="21459F2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大泽乡镇</w:t>
            </w:r>
            <w:r>
              <w:rPr>
                <w:rFonts w:hint="eastAsia" w:ascii="Times New Roman" w:hAnsi="Times New Roman" w:eastAsia="楷体_GB2312" w:cs="Times New Roman"/>
              </w:rPr>
              <w:t>商服中心</w:t>
            </w:r>
          </w:p>
        </w:tc>
        <w:tc>
          <w:tcPr>
            <w:tcW w:w="686" w:type="pct"/>
            <w:noWrap w:val="0"/>
            <w:vAlign w:val="center"/>
          </w:tcPr>
          <w:p w14:paraId="5BAB4639">
            <w:pPr>
              <w:tabs>
                <w:tab w:val="left" w:pos="0"/>
                <w:tab w:val="left" w:pos="295"/>
              </w:tabs>
              <w:jc w:val="center"/>
              <w:rPr>
                <w:rFonts w:eastAsia="楷体_GB2312"/>
                <w:szCs w:val="21"/>
              </w:rPr>
            </w:pPr>
            <w:r>
              <w:rPr>
                <w:rFonts w:hint="eastAsia" w:eastAsia="楷体_GB2312"/>
                <w:szCs w:val="21"/>
              </w:rPr>
              <w:t>3900</w:t>
            </w:r>
          </w:p>
        </w:tc>
        <w:tc>
          <w:tcPr>
            <w:tcW w:w="686" w:type="pct"/>
            <w:noWrap w:val="0"/>
            <w:vAlign w:val="center"/>
          </w:tcPr>
          <w:p w14:paraId="27A59EC4">
            <w:pPr>
              <w:tabs>
                <w:tab w:val="left" w:pos="0"/>
                <w:tab w:val="left" w:pos="295"/>
              </w:tabs>
              <w:jc w:val="center"/>
              <w:rPr>
                <w:rFonts w:eastAsia="楷体_GB2312"/>
                <w:szCs w:val="21"/>
              </w:rPr>
            </w:pPr>
            <w:r>
              <w:rPr>
                <w:rFonts w:hint="eastAsia" w:eastAsia="楷体_GB2312"/>
                <w:szCs w:val="21"/>
              </w:rPr>
              <w:t>15</w:t>
            </w:r>
          </w:p>
        </w:tc>
        <w:tc>
          <w:tcPr>
            <w:tcW w:w="679" w:type="pct"/>
            <w:noWrap w:val="0"/>
            <w:vAlign w:val="center"/>
          </w:tcPr>
          <w:p w14:paraId="5FEFFF1F">
            <w:pPr>
              <w:tabs>
                <w:tab w:val="left" w:pos="0"/>
                <w:tab w:val="left" w:pos="295"/>
              </w:tabs>
              <w:jc w:val="center"/>
              <w:rPr>
                <w:rFonts w:eastAsia="楷体_GB2312"/>
                <w:szCs w:val="21"/>
              </w:rPr>
            </w:pPr>
            <w:r>
              <w:rPr>
                <w:rFonts w:hint="eastAsia" w:eastAsia="楷体_GB2312"/>
                <w:szCs w:val="21"/>
              </w:rPr>
              <w:t>35</w:t>
            </w:r>
          </w:p>
        </w:tc>
      </w:tr>
      <w:tr w14:paraId="37D2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10" w:type="pct"/>
            <w:noWrap w:val="0"/>
            <w:vAlign w:val="center"/>
          </w:tcPr>
          <w:p w14:paraId="0AD986AA">
            <w:pPr>
              <w:tabs>
                <w:tab w:val="left" w:pos="0"/>
                <w:tab w:val="left" w:pos="295"/>
              </w:tabs>
              <w:jc w:val="center"/>
              <w:rPr>
                <w:rFonts w:eastAsia="楷体_GB2312"/>
                <w:szCs w:val="21"/>
              </w:rPr>
            </w:pPr>
            <w:r>
              <w:rPr>
                <w:rFonts w:hint="eastAsia" w:eastAsia="楷体_GB2312"/>
                <w:szCs w:val="21"/>
              </w:rPr>
              <w:t>19</w:t>
            </w:r>
          </w:p>
        </w:tc>
        <w:tc>
          <w:tcPr>
            <w:tcW w:w="595" w:type="pct"/>
            <w:noWrap w:val="0"/>
            <w:vAlign w:val="center"/>
          </w:tcPr>
          <w:p w14:paraId="723AABA3">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永安镇</w:t>
            </w:r>
          </w:p>
        </w:tc>
        <w:tc>
          <w:tcPr>
            <w:tcW w:w="473" w:type="pct"/>
            <w:noWrap w:val="0"/>
            <w:vAlign w:val="center"/>
          </w:tcPr>
          <w:p w14:paraId="052782CD">
            <w:pPr>
              <w:tabs>
                <w:tab w:val="left" w:pos="0"/>
                <w:tab w:val="left" w:pos="295"/>
              </w:tabs>
              <w:jc w:val="center"/>
              <w:rPr>
                <w:rFonts w:eastAsia="楷体_GB2312"/>
                <w:szCs w:val="21"/>
              </w:rPr>
            </w:pPr>
            <w:r>
              <w:rPr>
                <w:rFonts w:eastAsia="楷体_GB2312"/>
                <w:szCs w:val="21"/>
              </w:rPr>
              <w:t>01</w:t>
            </w:r>
          </w:p>
        </w:tc>
        <w:tc>
          <w:tcPr>
            <w:tcW w:w="1472" w:type="pct"/>
            <w:noWrap w:val="0"/>
            <w:vAlign w:val="center"/>
          </w:tcPr>
          <w:p w14:paraId="30B2B3CD">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永安镇</w:t>
            </w:r>
            <w:r>
              <w:rPr>
                <w:rFonts w:hint="eastAsia" w:ascii="Times New Roman" w:hAnsi="Times New Roman" w:eastAsia="楷体_GB2312" w:cs="Times New Roman"/>
              </w:rPr>
              <w:t>商服中心</w:t>
            </w:r>
          </w:p>
        </w:tc>
        <w:tc>
          <w:tcPr>
            <w:tcW w:w="686" w:type="pct"/>
            <w:noWrap w:val="0"/>
            <w:vAlign w:val="center"/>
          </w:tcPr>
          <w:p w14:paraId="50E74E6E">
            <w:pPr>
              <w:tabs>
                <w:tab w:val="left" w:pos="0"/>
                <w:tab w:val="left" w:pos="295"/>
              </w:tabs>
              <w:jc w:val="center"/>
              <w:rPr>
                <w:rFonts w:eastAsia="楷体_GB2312"/>
                <w:szCs w:val="21"/>
              </w:rPr>
            </w:pPr>
            <w:r>
              <w:rPr>
                <w:rFonts w:hint="eastAsia" w:eastAsia="楷体_GB2312"/>
                <w:szCs w:val="21"/>
              </w:rPr>
              <w:t>3700</w:t>
            </w:r>
          </w:p>
        </w:tc>
        <w:tc>
          <w:tcPr>
            <w:tcW w:w="686" w:type="pct"/>
            <w:noWrap w:val="0"/>
            <w:vAlign w:val="center"/>
          </w:tcPr>
          <w:p w14:paraId="4F6C3218">
            <w:pPr>
              <w:tabs>
                <w:tab w:val="left" w:pos="0"/>
                <w:tab w:val="left" w:pos="295"/>
              </w:tabs>
              <w:jc w:val="center"/>
              <w:rPr>
                <w:rFonts w:eastAsia="楷体_GB2312"/>
                <w:szCs w:val="21"/>
              </w:rPr>
            </w:pPr>
            <w:r>
              <w:rPr>
                <w:rFonts w:hint="eastAsia" w:eastAsia="楷体_GB2312"/>
                <w:szCs w:val="21"/>
              </w:rPr>
              <w:t>13</w:t>
            </w:r>
          </w:p>
        </w:tc>
        <w:tc>
          <w:tcPr>
            <w:tcW w:w="679" w:type="pct"/>
            <w:noWrap w:val="0"/>
            <w:vAlign w:val="center"/>
          </w:tcPr>
          <w:p w14:paraId="7BC8164C">
            <w:pPr>
              <w:tabs>
                <w:tab w:val="left" w:pos="0"/>
                <w:tab w:val="left" w:pos="295"/>
              </w:tabs>
              <w:jc w:val="center"/>
              <w:rPr>
                <w:rFonts w:eastAsia="楷体_GB2312"/>
                <w:szCs w:val="21"/>
              </w:rPr>
            </w:pPr>
            <w:r>
              <w:rPr>
                <w:rFonts w:hint="eastAsia" w:eastAsia="楷体_GB2312"/>
                <w:szCs w:val="21"/>
              </w:rPr>
              <w:t>32</w:t>
            </w:r>
          </w:p>
        </w:tc>
      </w:tr>
      <w:tr w14:paraId="607B4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10" w:type="pct"/>
            <w:noWrap w:val="0"/>
            <w:vAlign w:val="center"/>
          </w:tcPr>
          <w:p w14:paraId="16E640D8">
            <w:pPr>
              <w:tabs>
                <w:tab w:val="left" w:pos="0"/>
                <w:tab w:val="left" w:pos="295"/>
              </w:tabs>
              <w:jc w:val="center"/>
              <w:rPr>
                <w:rFonts w:eastAsia="楷体_GB2312"/>
                <w:szCs w:val="21"/>
              </w:rPr>
            </w:pPr>
            <w:r>
              <w:rPr>
                <w:rFonts w:hint="eastAsia" w:eastAsia="楷体_GB2312"/>
                <w:szCs w:val="21"/>
              </w:rPr>
              <w:t>20</w:t>
            </w:r>
          </w:p>
        </w:tc>
        <w:tc>
          <w:tcPr>
            <w:tcW w:w="595" w:type="pct"/>
            <w:noWrap w:val="0"/>
            <w:vAlign w:val="center"/>
          </w:tcPr>
          <w:p w14:paraId="463C5D80">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支河乡</w:t>
            </w:r>
          </w:p>
        </w:tc>
        <w:tc>
          <w:tcPr>
            <w:tcW w:w="473" w:type="pct"/>
            <w:noWrap w:val="0"/>
            <w:vAlign w:val="center"/>
          </w:tcPr>
          <w:p w14:paraId="1BEF3BF2">
            <w:pPr>
              <w:tabs>
                <w:tab w:val="left" w:pos="0"/>
                <w:tab w:val="left" w:pos="295"/>
              </w:tabs>
              <w:jc w:val="center"/>
              <w:rPr>
                <w:rFonts w:eastAsia="楷体_GB2312"/>
                <w:szCs w:val="21"/>
              </w:rPr>
            </w:pPr>
            <w:r>
              <w:rPr>
                <w:rFonts w:eastAsia="楷体_GB2312"/>
                <w:szCs w:val="21"/>
              </w:rPr>
              <w:t>01</w:t>
            </w:r>
          </w:p>
        </w:tc>
        <w:tc>
          <w:tcPr>
            <w:tcW w:w="1472" w:type="pct"/>
            <w:noWrap w:val="0"/>
            <w:vAlign w:val="center"/>
          </w:tcPr>
          <w:p w14:paraId="71EBC7B5">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支河乡</w:t>
            </w:r>
            <w:r>
              <w:rPr>
                <w:rFonts w:hint="eastAsia" w:ascii="Times New Roman" w:hAnsi="Times New Roman" w:eastAsia="楷体_GB2312" w:cs="Times New Roman"/>
              </w:rPr>
              <w:t>商服中心</w:t>
            </w:r>
          </w:p>
        </w:tc>
        <w:tc>
          <w:tcPr>
            <w:tcW w:w="686" w:type="pct"/>
            <w:noWrap w:val="0"/>
            <w:vAlign w:val="center"/>
          </w:tcPr>
          <w:p w14:paraId="2283A341">
            <w:pPr>
              <w:tabs>
                <w:tab w:val="left" w:pos="0"/>
                <w:tab w:val="left" w:pos="295"/>
              </w:tabs>
              <w:jc w:val="center"/>
              <w:rPr>
                <w:rFonts w:eastAsia="楷体_GB2312"/>
                <w:szCs w:val="21"/>
              </w:rPr>
            </w:pPr>
            <w:r>
              <w:rPr>
                <w:rFonts w:hint="eastAsia" w:eastAsia="楷体_GB2312"/>
                <w:szCs w:val="21"/>
              </w:rPr>
              <w:t>3200</w:t>
            </w:r>
          </w:p>
        </w:tc>
        <w:tc>
          <w:tcPr>
            <w:tcW w:w="686" w:type="pct"/>
            <w:noWrap w:val="0"/>
            <w:vAlign w:val="center"/>
          </w:tcPr>
          <w:p w14:paraId="6BD07D85">
            <w:pPr>
              <w:tabs>
                <w:tab w:val="left" w:pos="0"/>
                <w:tab w:val="left" w:pos="295"/>
              </w:tabs>
              <w:jc w:val="center"/>
              <w:rPr>
                <w:rFonts w:eastAsia="楷体_GB2312"/>
                <w:szCs w:val="21"/>
              </w:rPr>
            </w:pPr>
            <w:r>
              <w:rPr>
                <w:rFonts w:hint="eastAsia" w:eastAsia="楷体_GB2312"/>
                <w:szCs w:val="21"/>
              </w:rPr>
              <w:t>14</w:t>
            </w:r>
          </w:p>
        </w:tc>
        <w:tc>
          <w:tcPr>
            <w:tcW w:w="679" w:type="pct"/>
            <w:noWrap w:val="0"/>
            <w:vAlign w:val="center"/>
          </w:tcPr>
          <w:p w14:paraId="165B1A19">
            <w:pPr>
              <w:tabs>
                <w:tab w:val="left" w:pos="0"/>
                <w:tab w:val="left" w:pos="295"/>
              </w:tabs>
              <w:jc w:val="center"/>
              <w:rPr>
                <w:rFonts w:eastAsia="楷体_GB2312"/>
                <w:szCs w:val="21"/>
              </w:rPr>
            </w:pPr>
            <w:r>
              <w:rPr>
                <w:rFonts w:hint="eastAsia" w:eastAsia="楷体_GB2312"/>
                <w:szCs w:val="21"/>
              </w:rPr>
              <w:t>27</w:t>
            </w:r>
          </w:p>
        </w:tc>
      </w:tr>
      <w:tr w14:paraId="3C2C3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10" w:type="pct"/>
            <w:noWrap w:val="0"/>
            <w:vAlign w:val="center"/>
          </w:tcPr>
          <w:p w14:paraId="7A572CBB">
            <w:pPr>
              <w:tabs>
                <w:tab w:val="left" w:pos="0"/>
                <w:tab w:val="left" w:pos="295"/>
              </w:tabs>
              <w:jc w:val="center"/>
              <w:rPr>
                <w:rFonts w:eastAsia="楷体_GB2312"/>
                <w:szCs w:val="21"/>
              </w:rPr>
            </w:pPr>
            <w:r>
              <w:rPr>
                <w:rFonts w:hint="eastAsia" w:eastAsia="楷体_GB2312"/>
                <w:szCs w:val="21"/>
              </w:rPr>
              <w:t>21</w:t>
            </w:r>
          </w:p>
        </w:tc>
        <w:tc>
          <w:tcPr>
            <w:tcW w:w="595" w:type="pct"/>
            <w:noWrap w:val="0"/>
            <w:vAlign w:val="center"/>
          </w:tcPr>
          <w:p w14:paraId="2D922556">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灰古镇</w:t>
            </w:r>
          </w:p>
        </w:tc>
        <w:tc>
          <w:tcPr>
            <w:tcW w:w="473" w:type="pct"/>
            <w:noWrap w:val="0"/>
            <w:vAlign w:val="center"/>
          </w:tcPr>
          <w:p w14:paraId="287214AE">
            <w:pPr>
              <w:tabs>
                <w:tab w:val="left" w:pos="0"/>
                <w:tab w:val="left" w:pos="295"/>
              </w:tabs>
              <w:jc w:val="center"/>
              <w:rPr>
                <w:rFonts w:eastAsia="楷体_GB2312"/>
                <w:szCs w:val="21"/>
              </w:rPr>
            </w:pPr>
            <w:r>
              <w:rPr>
                <w:rFonts w:eastAsia="楷体_GB2312"/>
                <w:szCs w:val="21"/>
              </w:rPr>
              <w:t>01</w:t>
            </w:r>
          </w:p>
        </w:tc>
        <w:tc>
          <w:tcPr>
            <w:tcW w:w="1472" w:type="pct"/>
            <w:noWrap w:val="0"/>
            <w:vAlign w:val="center"/>
          </w:tcPr>
          <w:p w14:paraId="57494725">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灰古镇</w:t>
            </w:r>
            <w:r>
              <w:rPr>
                <w:rFonts w:hint="eastAsia" w:ascii="Times New Roman" w:hAnsi="Times New Roman" w:eastAsia="楷体_GB2312" w:cs="Times New Roman"/>
              </w:rPr>
              <w:t>商服中心</w:t>
            </w:r>
          </w:p>
        </w:tc>
        <w:tc>
          <w:tcPr>
            <w:tcW w:w="686" w:type="pct"/>
            <w:noWrap w:val="0"/>
            <w:vAlign w:val="center"/>
          </w:tcPr>
          <w:p w14:paraId="54B04EB1">
            <w:pPr>
              <w:tabs>
                <w:tab w:val="left" w:pos="0"/>
                <w:tab w:val="left" w:pos="295"/>
              </w:tabs>
              <w:jc w:val="center"/>
              <w:rPr>
                <w:rFonts w:eastAsia="楷体_GB2312"/>
                <w:szCs w:val="21"/>
              </w:rPr>
            </w:pPr>
            <w:r>
              <w:rPr>
                <w:rFonts w:hint="eastAsia" w:eastAsia="楷体_GB2312"/>
                <w:szCs w:val="21"/>
              </w:rPr>
              <w:t>2500</w:t>
            </w:r>
          </w:p>
        </w:tc>
        <w:tc>
          <w:tcPr>
            <w:tcW w:w="686" w:type="pct"/>
            <w:noWrap w:val="0"/>
            <w:vAlign w:val="center"/>
          </w:tcPr>
          <w:p w14:paraId="5D8EACC2">
            <w:pPr>
              <w:tabs>
                <w:tab w:val="left" w:pos="0"/>
                <w:tab w:val="left" w:pos="295"/>
              </w:tabs>
              <w:jc w:val="center"/>
              <w:rPr>
                <w:rFonts w:eastAsia="楷体_GB2312"/>
                <w:szCs w:val="21"/>
              </w:rPr>
            </w:pPr>
            <w:r>
              <w:rPr>
                <w:rFonts w:hint="eastAsia" w:eastAsia="楷体_GB2312"/>
                <w:szCs w:val="21"/>
              </w:rPr>
              <w:t>10</w:t>
            </w:r>
          </w:p>
        </w:tc>
        <w:tc>
          <w:tcPr>
            <w:tcW w:w="679" w:type="pct"/>
            <w:noWrap w:val="0"/>
            <w:vAlign w:val="center"/>
          </w:tcPr>
          <w:p w14:paraId="3A2932A8">
            <w:pPr>
              <w:tabs>
                <w:tab w:val="left" w:pos="0"/>
                <w:tab w:val="left" w:pos="295"/>
              </w:tabs>
              <w:jc w:val="center"/>
              <w:rPr>
                <w:rFonts w:eastAsia="楷体_GB2312"/>
                <w:szCs w:val="21"/>
              </w:rPr>
            </w:pPr>
            <w:r>
              <w:rPr>
                <w:rFonts w:hint="eastAsia" w:eastAsia="楷体_GB2312"/>
                <w:szCs w:val="21"/>
              </w:rPr>
              <w:t>19</w:t>
            </w:r>
          </w:p>
        </w:tc>
      </w:tr>
      <w:tr w14:paraId="499F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10" w:type="pct"/>
            <w:noWrap w:val="0"/>
            <w:vAlign w:val="center"/>
          </w:tcPr>
          <w:p w14:paraId="49B7CF8B">
            <w:pPr>
              <w:tabs>
                <w:tab w:val="left" w:pos="0"/>
                <w:tab w:val="left" w:pos="295"/>
              </w:tabs>
              <w:jc w:val="center"/>
              <w:rPr>
                <w:rFonts w:eastAsia="楷体_GB2312"/>
                <w:szCs w:val="21"/>
              </w:rPr>
            </w:pPr>
            <w:r>
              <w:rPr>
                <w:rFonts w:hint="eastAsia" w:eastAsia="楷体_GB2312"/>
                <w:szCs w:val="21"/>
              </w:rPr>
              <w:t>22</w:t>
            </w:r>
          </w:p>
        </w:tc>
        <w:tc>
          <w:tcPr>
            <w:tcW w:w="595" w:type="pct"/>
            <w:noWrap w:val="0"/>
            <w:vAlign w:val="center"/>
          </w:tcPr>
          <w:p w14:paraId="4786D155">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桃沟乡</w:t>
            </w:r>
          </w:p>
        </w:tc>
        <w:tc>
          <w:tcPr>
            <w:tcW w:w="473" w:type="pct"/>
            <w:noWrap w:val="0"/>
            <w:vAlign w:val="center"/>
          </w:tcPr>
          <w:p w14:paraId="0467874D">
            <w:pPr>
              <w:tabs>
                <w:tab w:val="left" w:pos="0"/>
                <w:tab w:val="left" w:pos="295"/>
              </w:tabs>
              <w:jc w:val="center"/>
              <w:rPr>
                <w:rFonts w:eastAsia="楷体_GB2312"/>
                <w:szCs w:val="21"/>
              </w:rPr>
            </w:pPr>
            <w:r>
              <w:rPr>
                <w:rFonts w:eastAsia="楷体_GB2312"/>
                <w:szCs w:val="21"/>
              </w:rPr>
              <w:t>01</w:t>
            </w:r>
          </w:p>
        </w:tc>
        <w:tc>
          <w:tcPr>
            <w:tcW w:w="1472" w:type="pct"/>
            <w:noWrap w:val="0"/>
            <w:vAlign w:val="center"/>
          </w:tcPr>
          <w:p w14:paraId="0125DACC">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桃沟乡</w:t>
            </w:r>
            <w:r>
              <w:rPr>
                <w:rFonts w:hint="eastAsia" w:ascii="Times New Roman" w:hAnsi="Times New Roman" w:eastAsia="楷体_GB2312" w:cs="Times New Roman"/>
              </w:rPr>
              <w:t>商服中心</w:t>
            </w:r>
          </w:p>
        </w:tc>
        <w:tc>
          <w:tcPr>
            <w:tcW w:w="686" w:type="pct"/>
            <w:noWrap w:val="0"/>
            <w:vAlign w:val="center"/>
          </w:tcPr>
          <w:p w14:paraId="1DA84926">
            <w:pPr>
              <w:tabs>
                <w:tab w:val="left" w:pos="0"/>
                <w:tab w:val="left" w:pos="295"/>
              </w:tabs>
              <w:jc w:val="center"/>
              <w:rPr>
                <w:rFonts w:eastAsia="楷体_GB2312"/>
                <w:szCs w:val="21"/>
              </w:rPr>
            </w:pPr>
            <w:r>
              <w:rPr>
                <w:rFonts w:hint="eastAsia" w:eastAsia="楷体_GB2312"/>
                <w:szCs w:val="21"/>
              </w:rPr>
              <w:t>2300</w:t>
            </w:r>
          </w:p>
        </w:tc>
        <w:tc>
          <w:tcPr>
            <w:tcW w:w="686" w:type="pct"/>
            <w:noWrap w:val="0"/>
            <w:vAlign w:val="center"/>
          </w:tcPr>
          <w:p w14:paraId="75B6E8F9">
            <w:pPr>
              <w:tabs>
                <w:tab w:val="left" w:pos="0"/>
                <w:tab w:val="left" w:pos="295"/>
              </w:tabs>
              <w:jc w:val="center"/>
              <w:rPr>
                <w:rFonts w:eastAsia="楷体_GB2312"/>
                <w:szCs w:val="21"/>
              </w:rPr>
            </w:pPr>
            <w:r>
              <w:rPr>
                <w:rFonts w:hint="eastAsia" w:eastAsia="楷体_GB2312"/>
                <w:szCs w:val="21"/>
              </w:rPr>
              <w:t>10</w:t>
            </w:r>
          </w:p>
        </w:tc>
        <w:tc>
          <w:tcPr>
            <w:tcW w:w="679" w:type="pct"/>
            <w:noWrap w:val="0"/>
            <w:vAlign w:val="center"/>
          </w:tcPr>
          <w:p w14:paraId="30CA68D1">
            <w:pPr>
              <w:tabs>
                <w:tab w:val="left" w:pos="0"/>
                <w:tab w:val="left" w:pos="295"/>
              </w:tabs>
              <w:jc w:val="center"/>
              <w:rPr>
                <w:rFonts w:eastAsia="楷体_GB2312"/>
                <w:szCs w:val="21"/>
              </w:rPr>
            </w:pPr>
            <w:r>
              <w:rPr>
                <w:rFonts w:hint="eastAsia" w:eastAsia="楷体_GB2312"/>
                <w:szCs w:val="21"/>
              </w:rPr>
              <w:t>15</w:t>
            </w:r>
          </w:p>
        </w:tc>
      </w:tr>
    </w:tbl>
    <w:p w14:paraId="3AF5F7A9">
      <w:pPr>
        <w:pStyle w:val="20"/>
        <w:spacing w:before="120" w:beforeLines="50"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szCs w:val="24"/>
        </w:rPr>
        <w:t>2、商</w:t>
      </w:r>
      <w:r>
        <w:rPr>
          <w:rFonts w:ascii="Times New Roman" w:hAnsi="Times New Roman" w:eastAsia="楷体_GB2312" w:cs="Times New Roman"/>
          <w:b/>
          <w:sz w:val="28"/>
        </w:rPr>
        <w:t>服中心作用指数计算</w:t>
      </w:r>
    </w:p>
    <w:p w14:paraId="3FB928C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商服中心作用指数计算：</w:t>
      </w:r>
    </w:p>
    <w:p w14:paraId="7203431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各商服中心作用指数用占地面积等经济指标按公式1-3-1确定：</w:t>
      </w:r>
    </w:p>
    <w:p w14:paraId="7D46C66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公式1-3-1：</w:t>
      </w:r>
      <w:r>
        <w:rPr>
          <w:rFonts w:ascii="Times New Roman" w:hAnsi="Times New Roman" w:eastAsia="楷体_GB2312" w:cs="Times New Roman"/>
          <w:position w:val="-14"/>
          <w:sz w:val="28"/>
        </w:rPr>
        <w:object>
          <v:shape id="_x0000_i1030" o:spt="75" type="#_x0000_t75" style="height:20pt;width:108pt;" o:ole="t" filled="f" o:preferrelative="t" stroked="f" coordsize="21600,21600">
            <v:path/>
            <v:fill on="f" alignshape="1" focussize="0,0"/>
            <v:stroke on="f"/>
            <v:imagedata r:id="rId46" o:title=""/>
            <o:lock v:ext="edit" aspectratio="t"/>
            <w10:wrap type="none"/>
            <w10:anchorlock/>
          </v:shape>
          <o:OLEObject Type="Embed" ProgID="Equation.3" ShapeID="_x0000_i1030" DrawAspect="Content" ObjectID="_1468075730" r:id="rId45">
            <o:LockedField>false</o:LockedField>
          </o:OLEObject>
        </w:object>
      </w:r>
      <w:r>
        <w:rPr>
          <w:rFonts w:ascii="Times New Roman" w:hAnsi="Times New Roman" w:eastAsia="楷体_GB2312" w:cs="Times New Roman"/>
          <w:sz w:val="28"/>
        </w:rPr>
        <w:t xml:space="preserve">  </w:t>
      </w:r>
    </w:p>
    <w:p w14:paraId="2700E84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式中：</w:t>
      </w:r>
    </w:p>
    <w:p w14:paraId="273D6C95">
      <w:pPr>
        <w:pStyle w:val="20"/>
        <w:spacing w:line="480" w:lineRule="exact"/>
        <w:ind w:firstLine="1260" w:firstLineChars="600"/>
        <w:rPr>
          <w:rFonts w:ascii="Times New Roman" w:hAnsi="Times New Roman" w:eastAsia="楷体_GB2312" w:cs="Times New Roman"/>
          <w:sz w:val="28"/>
        </w:rPr>
      </w:pPr>
      <w:r>
        <w:rPr>
          <w:rFonts w:ascii="Times New Roman" w:hAnsi="Times New Roman" w:eastAsia="楷体_GB2312" w:cs="Times New Roman"/>
          <w:position w:val="-14"/>
        </w:rPr>
        <w:object>
          <v:shape id="_x0000_i1031" o:spt="75" type="#_x0000_t75" style="height:20pt;width:17pt;" o:ole="t" filled="f" stroked="f" coordsize="21600,21600">
            <v:path/>
            <v:fill on="f" focussize="0,0"/>
            <v:stroke on="f"/>
            <v:imagedata r:id="rId48" o:title=""/>
            <o:lock v:ext="edit" aspectratio="t"/>
            <w10:wrap type="none"/>
            <w10:anchorlock/>
          </v:shape>
          <o:OLEObject Type="Embed" ProgID="Equation.3" ShapeID="_x0000_i1031" DrawAspect="Content" ObjectID="_1468075731" r:id="rId47">
            <o:LockedField>false</o:LockedField>
          </o:OLEObject>
        </w:object>
      </w:r>
      <w:r>
        <w:rPr>
          <w:rFonts w:ascii="Times New Roman" w:hAnsi="Times New Roman" w:eastAsia="楷体_GB2312" w:cs="Times New Roman"/>
          <w:sz w:val="28"/>
        </w:rPr>
        <w:t>—k商服中心的作用指数；</w:t>
      </w:r>
    </w:p>
    <w:p w14:paraId="70BEEFDF">
      <w:pPr>
        <w:pStyle w:val="20"/>
        <w:spacing w:line="480" w:lineRule="exact"/>
        <w:ind w:left="1995" w:leftChars="600" w:hanging="735" w:hangingChars="350"/>
        <w:rPr>
          <w:rFonts w:ascii="Times New Roman" w:hAnsi="Times New Roman" w:eastAsia="楷体_GB2312" w:cs="Times New Roman"/>
          <w:sz w:val="28"/>
        </w:rPr>
      </w:pPr>
      <w:r>
        <w:rPr>
          <w:rFonts w:ascii="Times New Roman" w:hAnsi="Times New Roman" w:eastAsia="楷体_GB2312" w:cs="Times New Roman"/>
          <w:position w:val="-12"/>
        </w:rPr>
        <w:object>
          <v:shape id="_x0000_i1032" o:spt="75" type="#_x0000_t75" style="height:19pt;width:22pt;" o:ole="t" filled="f" stroked="f" coordsize="21600,21600">
            <v:path/>
            <v:fill on="f" focussize="0,0"/>
            <v:stroke on="f"/>
            <v:imagedata r:id="rId50" o:title=""/>
            <o:lock v:ext="edit" aspectratio="t"/>
            <w10:wrap type="none"/>
            <w10:anchorlock/>
          </v:shape>
          <o:OLEObject Type="Embed" ProgID="Equation.3" ShapeID="_x0000_i1032" DrawAspect="Content" ObjectID="_1468075732" r:id="rId49">
            <o:LockedField>false</o:LockedField>
          </o:OLEObject>
        </w:object>
      </w:r>
      <w:r>
        <w:rPr>
          <w:rFonts w:ascii="Times New Roman" w:hAnsi="Times New Roman" w:eastAsia="楷体_GB2312" w:cs="Times New Roman"/>
          <w:sz w:val="28"/>
        </w:rPr>
        <w:t>—k商服中心经济指标实际值或该级商服中心经济指标平均值；</w:t>
      </w:r>
    </w:p>
    <w:p w14:paraId="20A24561">
      <w:pPr>
        <w:pStyle w:val="20"/>
        <w:spacing w:line="480" w:lineRule="exact"/>
        <w:ind w:firstLine="1260" w:firstLineChars="600"/>
        <w:rPr>
          <w:rFonts w:ascii="Times New Roman" w:hAnsi="Times New Roman" w:eastAsia="楷体_GB2312" w:cs="Times New Roman"/>
          <w:sz w:val="28"/>
        </w:rPr>
      </w:pPr>
      <w:r>
        <w:rPr>
          <w:rFonts w:ascii="Times New Roman" w:hAnsi="Times New Roman" w:eastAsia="楷体_GB2312" w:cs="Times New Roman"/>
          <w:position w:val="-12"/>
        </w:rPr>
        <w:object>
          <v:shape id="_x0000_i1033" o:spt="75" type="#_x0000_t75" style="height:19pt;width:26pt;" o:ole="t" filled="f" stroked="f" coordsize="21600,21600">
            <v:path/>
            <v:fill on="f" focussize="0,0"/>
            <v:stroke on="f"/>
            <v:imagedata r:id="rId52" o:title=""/>
            <o:lock v:ext="edit" aspectratio="t"/>
            <w10:wrap type="none"/>
            <w10:anchorlock/>
          </v:shape>
          <o:OLEObject Type="Embed" ProgID="Equation.3" ShapeID="_x0000_i1033" DrawAspect="Content" ObjectID="_1468075733" r:id="rId51">
            <o:LockedField>false</o:LockedField>
          </o:OLEObject>
        </w:object>
      </w:r>
      <w:r>
        <w:rPr>
          <w:rFonts w:ascii="Times New Roman" w:hAnsi="Times New Roman" w:eastAsia="楷体_GB2312" w:cs="Times New Roman"/>
          <w:sz w:val="28"/>
        </w:rPr>
        <w:t>—最高级商服中心的经济指标。</w:t>
      </w:r>
    </w:p>
    <w:p w14:paraId="1FC91647">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4、商服中心功能分及服务半径表编制</w:t>
      </w:r>
    </w:p>
    <w:p w14:paraId="368A79C1">
      <w:pPr>
        <w:spacing w:line="480" w:lineRule="exact"/>
        <w:ind w:firstLine="560" w:firstLineChars="200"/>
        <w:rPr>
          <w:rFonts w:eastAsia="楷体_GB2312"/>
          <w:sz w:val="28"/>
        </w:rPr>
      </w:pPr>
      <w:r>
        <w:rPr>
          <w:rFonts w:eastAsia="楷体_GB2312"/>
          <w:sz w:val="28"/>
        </w:rPr>
        <w:t>由于本次在各乡镇区土地定级过程中，</w:t>
      </w:r>
      <w:r>
        <w:rPr>
          <w:rFonts w:hint="eastAsia" w:eastAsia="楷体_GB2312"/>
          <w:sz w:val="28"/>
        </w:rPr>
        <w:t>除桃园镇之外</w:t>
      </w:r>
      <w:r>
        <w:rPr>
          <w:rFonts w:eastAsia="楷体_GB2312"/>
          <w:sz w:val="28"/>
        </w:rPr>
        <w:t>各乡镇只设定了一个商服中心，故直接对各商服中心赋予功能分100分。</w:t>
      </w:r>
    </w:p>
    <w:p w14:paraId="20149703">
      <w:pPr>
        <w:spacing w:line="480" w:lineRule="exact"/>
        <w:ind w:firstLine="560" w:firstLineChars="200"/>
        <w:rPr>
          <w:rFonts w:eastAsia="楷体_GB2312"/>
          <w:sz w:val="28"/>
        </w:rPr>
      </w:pPr>
      <w:r>
        <w:rPr>
          <w:rFonts w:eastAsia="楷体_GB2312"/>
          <w:sz w:val="28"/>
        </w:rPr>
        <w:t>根据各商服中心的功能分和服务半径，编制商服中心的功能分及服务半径表。结果见表1-3-2。</w:t>
      </w:r>
    </w:p>
    <w:p w14:paraId="404CFF6A">
      <w:pPr>
        <w:spacing w:line="480" w:lineRule="exact"/>
        <w:jc w:val="center"/>
        <w:rPr>
          <w:rFonts w:eastAsia="黑体"/>
          <w:sz w:val="28"/>
        </w:rPr>
      </w:pPr>
      <w:r>
        <w:rPr>
          <w:rFonts w:eastAsia="黑体"/>
          <w:sz w:val="28"/>
        </w:rPr>
        <w:br w:type="page"/>
      </w:r>
      <w:r>
        <w:rPr>
          <w:rFonts w:eastAsia="黑体"/>
          <w:sz w:val="28"/>
        </w:rPr>
        <w:t>表</w:t>
      </w:r>
      <w:r>
        <w:rPr>
          <w:rFonts w:eastAsia="仿宋_GB2312"/>
          <w:sz w:val="28"/>
        </w:rPr>
        <w:t>1-3-2</w:t>
      </w:r>
      <w:r>
        <w:rPr>
          <w:rFonts w:eastAsia="黑体"/>
          <w:sz w:val="28"/>
        </w:rPr>
        <w:t xml:space="preserve">  埇桥区镇区商服中心功能分及服务半径表</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178"/>
        <w:gridCol w:w="910"/>
        <w:gridCol w:w="1934"/>
        <w:gridCol w:w="1086"/>
        <w:gridCol w:w="1086"/>
        <w:gridCol w:w="1086"/>
        <w:gridCol w:w="1075"/>
      </w:tblGrid>
      <w:tr w14:paraId="2216D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60" w:type="pct"/>
            <w:noWrap w:val="0"/>
            <w:vAlign w:val="center"/>
          </w:tcPr>
          <w:p w14:paraId="08CC7060">
            <w:pPr>
              <w:jc w:val="center"/>
              <w:rPr>
                <w:rFonts w:eastAsia="楷体_GB2312"/>
                <w:szCs w:val="21"/>
              </w:rPr>
            </w:pPr>
            <w:r>
              <w:rPr>
                <w:rFonts w:eastAsia="楷体_GB2312"/>
                <w:szCs w:val="21"/>
              </w:rPr>
              <w:t>城镇编号</w:t>
            </w:r>
          </w:p>
        </w:tc>
        <w:tc>
          <w:tcPr>
            <w:tcW w:w="654" w:type="pct"/>
            <w:noWrap w:val="0"/>
            <w:vAlign w:val="center"/>
          </w:tcPr>
          <w:p w14:paraId="40F700DF">
            <w:pPr>
              <w:jc w:val="center"/>
              <w:rPr>
                <w:rFonts w:eastAsia="楷体_GB2312"/>
                <w:szCs w:val="21"/>
              </w:rPr>
            </w:pPr>
            <w:r>
              <w:rPr>
                <w:rFonts w:eastAsia="楷体_GB2312"/>
                <w:szCs w:val="21"/>
              </w:rPr>
              <w:t>乡镇</w:t>
            </w:r>
          </w:p>
          <w:p w14:paraId="301E7FF5">
            <w:pPr>
              <w:jc w:val="center"/>
              <w:rPr>
                <w:rFonts w:eastAsia="楷体_GB2312"/>
                <w:szCs w:val="21"/>
              </w:rPr>
            </w:pPr>
            <w:r>
              <w:rPr>
                <w:rFonts w:eastAsia="楷体_GB2312"/>
                <w:szCs w:val="21"/>
              </w:rPr>
              <w:t>名称</w:t>
            </w:r>
          </w:p>
        </w:tc>
        <w:tc>
          <w:tcPr>
            <w:tcW w:w="505" w:type="pct"/>
            <w:noWrap w:val="0"/>
            <w:vAlign w:val="center"/>
          </w:tcPr>
          <w:p w14:paraId="2658394D">
            <w:pPr>
              <w:jc w:val="center"/>
              <w:rPr>
                <w:rFonts w:eastAsia="楷体_GB2312"/>
                <w:szCs w:val="21"/>
              </w:rPr>
            </w:pPr>
            <w:r>
              <w:rPr>
                <w:rFonts w:eastAsia="楷体_GB2312"/>
                <w:szCs w:val="21"/>
              </w:rPr>
              <w:t>商服中心编号</w:t>
            </w:r>
          </w:p>
        </w:tc>
        <w:tc>
          <w:tcPr>
            <w:tcW w:w="1074" w:type="pct"/>
            <w:noWrap w:val="0"/>
            <w:vAlign w:val="center"/>
          </w:tcPr>
          <w:p w14:paraId="4D0451A3">
            <w:pPr>
              <w:jc w:val="center"/>
              <w:rPr>
                <w:rFonts w:eastAsia="楷体_GB2312"/>
                <w:szCs w:val="21"/>
              </w:rPr>
            </w:pPr>
            <w:r>
              <w:rPr>
                <w:rFonts w:eastAsia="楷体_GB2312"/>
                <w:szCs w:val="21"/>
              </w:rPr>
              <w:t>商服中心名称</w:t>
            </w:r>
          </w:p>
        </w:tc>
        <w:tc>
          <w:tcPr>
            <w:tcW w:w="603" w:type="pct"/>
            <w:noWrap w:val="0"/>
            <w:vAlign w:val="center"/>
          </w:tcPr>
          <w:p w14:paraId="49D38CFF">
            <w:pPr>
              <w:jc w:val="center"/>
              <w:rPr>
                <w:rFonts w:eastAsia="楷体_GB2312"/>
                <w:szCs w:val="21"/>
              </w:rPr>
            </w:pPr>
            <w:r>
              <w:rPr>
                <w:rFonts w:hint="eastAsia" w:eastAsia="楷体_GB2312"/>
                <w:szCs w:val="21"/>
              </w:rPr>
              <w:t>作用指数</w:t>
            </w:r>
          </w:p>
        </w:tc>
        <w:tc>
          <w:tcPr>
            <w:tcW w:w="603" w:type="pct"/>
            <w:noWrap w:val="0"/>
            <w:vAlign w:val="center"/>
          </w:tcPr>
          <w:p w14:paraId="56E3093E">
            <w:pPr>
              <w:jc w:val="center"/>
              <w:rPr>
                <w:rFonts w:eastAsia="楷体_GB2312"/>
                <w:szCs w:val="21"/>
              </w:rPr>
            </w:pPr>
            <w:r>
              <w:rPr>
                <w:rFonts w:eastAsia="楷体_GB2312"/>
                <w:szCs w:val="21"/>
              </w:rPr>
              <w:t>功能分</w:t>
            </w:r>
          </w:p>
        </w:tc>
        <w:tc>
          <w:tcPr>
            <w:tcW w:w="603" w:type="pct"/>
            <w:noWrap w:val="0"/>
            <w:vAlign w:val="center"/>
          </w:tcPr>
          <w:p w14:paraId="6D17815B">
            <w:pPr>
              <w:jc w:val="center"/>
              <w:rPr>
                <w:rFonts w:eastAsia="楷体_GB2312"/>
                <w:szCs w:val="21"/>
              </w:rPr>
            </w:pPr>
            <w:r>
              <w:rPr>
                <w:rFonts w:eastAsia="楷体_GB2312"/>
                <w:szCs w:val="21"/>
              </w:rPr>
              <w:t>级别</w:t>
            </w:r>
          </w:p>
        </w:tc>
        <w:tc>
          <w:tcPr>
            <w:tcW w:w="597" w:type="pct"/>
            <w:noWrap w:val="0"/>
            <w:vAlign w:val="center"/>
          </w:tcPr>
          <w:p w14:paraId="6092FCF3">
            <w:pPr>
              <w:jc w:val="center"/>
              <w:rPr>
                <w:rFonts w:eastAsia="楷体_GB2312"/>
                <w:szCs w:val="21"/>
              </w:rPr>
            </w:pPr>
            <w:r>
              <w:rPr>
                <w:rFonts w:eastAsia="楷体_GB2312"/>
                <w:szCs w:val="21"/>
              </w:rPr>
              <w:t>服务半径（m）</w:t>
            </w:r>
          </w:p>
        </w:tc>
      </w:tr>
      <w:tr w14:paraId="4F8AC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noWrap w:val="0"/>
            <w:vAlign w:val="center"/>
          </w:tcPr>
          <w:p w14:paraId="0F33BE41">
            <w:pPr>
              <w:tabs>
                <w:tab w:val="left" w:pos="0"/>
                <w:tab w:val="left" w:pos="295"/>
              </w:tabs>
              <w:jc w:val="center"/>
              <w:rPr>
                <w:rFonts w:eastAsia="楷体_GB2312"/>
                <w:szCs w:val="21"/>
              </w:rPr>
            </w:pPr>
            <w:r>
              <w:rPr>
                <w:rFonts w:eastAsia="楷体_GB2312"/>
                <w:szCs w:val="21"/>
              </w:rPr>
              <w:t>1</w:t>
            </w:r>
          </w:p>
        </w:tc>
        <w:tc>
          <w:tcPr>
            <w:tcW w:w="654" w:type="pct"/>
            <w:noWrap w:val="0"/>
            <w:vAlign w:val="center"/>
          </w:tcPr>
          <w:p w14:paraId="7BF9FD4F">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符离镇</w:t>
            </w:r>
          </w:p>
        </w:tc>
        <w:tc>
          <w:tcPr>
            <w:tcW w:w="505" w:type="pct"/>
            <w:noWrap w:val="0"/>
            <w:vAlign w:val="center"/>
          </w:tcPr>
          <w:p w14:paraId="34A124B8">
            <w:pPr>
              <w:tabs>
                <w:tab w:val="left" w:pos="0"/>
                <w:tab w:val="left" w:pos="295"/>
              </w:tabs>
              <w:jc w:val="center"/>
              <w:rPr>
                <w:rFonts w:eastAsia="楷体_GB2312"/>
                <w:szCs w:val="21"/>
              </w:rPr>
            </w:pPr>
            <w:r>
              <w:rPr>
                <w:rFonts w:eastAsia="楷体_GB2312"/>
                <w:szCs w:val="21"/>
              </w:rPr>
              <w:t>01</w:t>
            </w:r>
          </w:p>
        </w:tc>
        <w:tc>
          <w:tcPr>
            <w:tcW w:w="1074" w:type="pct"/>
            <w:noWrap w:val="0"/>
            <w:vAlign w:val="center"/>
          </w:tcPr>
          <w:p w14:paraId="4F72B3B3">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符离镇</w:t>
            </w:r>
            <w:r>
              <w:rPr>
                <w:rFonts w:hint="eastAsia" w:ascii="Times New Roman" w:hAnsi="Times New Roman" w:eastAsia="楷体_GB2312" w:cs="Times New Roman"/>
              </w:rPr>
              <w:t>商服中心</w:t>
            </w:r>
          </w:p>
        </w:tc>
        <w:tc>
          <w:tcPr>
            <w:tcW w:w="603" w:type="pct"/>
            <w:noWrap w:val="0"/>
            <w:vAlign w:val="center"/>
          </w:tcPr>
          <w:p w14:paraId="0F014A65">
            <w:pPr>
              <w:jc w:val="center"/>
              <w:rPr>
                <w:rFonts w:eastAsia="楷体_GB2312"/>
                <w:szCs w:val="21"/>
              </w:rPr>
            </w:pPr>
            <w:r>
              <w:rPr>
                <w:rFonts w:hint="eastAsia" w:eastAsia="楷体_GB2312"/>
                <w:szCs w:val="21"/>
              </w:rPr>
              <w:t>1.00</w:t>
            </w:r>
          </w:p>
        </w:tc>
        <w:tc>
          <w:tcPr>
            <w:tcW w:w="603" w:type="pct"/>
            <w:noWrap w:val="0"/>
            <w:vAlign w:val="center"/>
          </w:tcPr>
          <w:p w14:paraId="631EF81E">
            <w:pPr>
              <w:jc w:val="center"/>
              <w:rPr>
                <w:rFonts w:eastAsia="楷体_GB2312"/>
                <w:szCs w:val="21"/>
              </w:rPr>
            </w:pPr>
            <w:r>
              <w:rPr>
                <w:rFonts w:eastAsia="楷体_GB2312"/>
                <w:szCs w:val="21"/>
              </w:rPr>
              <w:t>100</w:t>
            </w:r>
          </w:p>
        </w:tc>
        <w:tc>
          <w:tcPr>
            <w:tcW w:w="603" w:type="pct"/>
            <w:noWrap w:val="0"/>
            <w:vAlign w:val="center"/>
          </w:tcPr>
          <w:p w14:paraId="49A6ED43">
            <w:pPr>
              <w:jc w:val="center"/>
              <w:rPr>
                <w:rFonts w:eastAsia="楷体_GB2312"/>
                <w:szCs w:val="21"/>
              </w:rPr>
            </w:pPr>
            <w:r>
              <w:rPr>
                <w:rFonts w:eastAsia="楷体_GB2312"/>
                <w:szCs w:val="21"/>
              </w:rPr>
              <w:t>1</w:t>
            </w:r>
          </w:p>
        </w:tc>
        <w:tc>
          <w:tcPr>
            <w:tcW w:w="597" w:type="pct"/>
            <w:noWrap w:val="0"/>
            <w:vAlign w:val="center"/>
          </w:tcPr>
          <w:p w14:paraId="5C6FCF0A">
            <w:pPr>
              <w:jc w:val="center"/>
              <w:rPr>
                <w:rFonts w:eastAsia="楷体_GB2312"/>
              </w:rPr>
            </w:pPr>
            <w:r>
              <w:rPr>
                <w:rFonts w:hint="eastAsia" w:eastAsia="楷体_GB2312"/>
              </w:rPr>
              <w:t>4000</w:t>
            </w:r>
          </w:p>
        </w:tc>
      </w:tr>
      <w:tr w14:paraId="4EC2D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noWrap w:val="0"/>
            <w:vAlign w:val="center"/>
          </w:tcPr>
          <w:p w14:paraId="3DCBDB66">
            <w:pPr>
              <w:tabs>
                <w:tab w:val="left" w:pos="0"/>
                <w:tab w:val="left" w:pos="295"/>
              </w:tabs>
              <w:jc w:val="center"/>
              <w:rPr>
                <w:rFonts w:eastAsia="楷体_GB2312"/>
                <w:szCs w:val="21"/>
              </w:rPr>
            </w:pPr>
            <w:r>
              <w:rPr>
                <w:rFonts w:eastAsia="楷体_GB2312"/>
                <w:szCs w:val="21"/>
              </w:rPr>
              <w:t>2</w:t>
            </w:r>
          </w:p>
        </w:tc>
        <w:tc>
          <w:tcPr>
            <w:tcW w:w="654" w:type="pct"/>
            <w:noWrap w:val="0"/>
            <w:vAlign w:val="center"/>
          </w:tcPr>
          <w:p w14:paraId="298346C1">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朱仙庄镇</w:t>
            </w:r>
          </w:p>
        </w:tc>
        <w:tc>
          <w:tcPr>
            <w:tcW w:w="505" w:type="pct"/>
            <w:noWrap w:val="0"/>
            <w:vAlign w:val="center"/>
          </w:tcPr>
          <w:p w14:paraId="44D1AD18">
            <w:pPr>
              <w:tabs>
                <w:tab w:val="left" w:pos="0"/>
                <w:tab w:val="left" w:pos="295"/>
              </w:tabs>
              <w:jc w:val="center"/>
              <w:rPr>
                <w:rFonts w:eastAsia="楷体_GB2312"/>
                <w:szCs w:val="21"/>
              </w:rPr>
            </w:pPr>
            <w:r>
              <w:rPr>
                <w:rFonts w:eastAsia="楷体_GB2312"/>
                <w:szCs w:val="21"/>
              </w:rPr>
              <w:t>01</w:t>
            </w:r>
          </w:p>
        </w:tc>
        <w:tc>
          <w:tcPr>
            <w:tcW w:w="1074" w:type="pct"/>
            <w:noWrap w:val="0"/>
            <w:vAlign w:val="center"/>
          </w:tcPr>
          <w:p w14:paraId="4C35586C">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朱仙庄镇</w:t>
            </w:r>
            <w:r>
              <w:rPr>
                <w:rFonts w:hint="eastAsia" w:ascii="Times New Roman" w:hAnsi="Times New Roman" w:eastAsia="楷体_GB2312" w:cs="Times New Roman"/>
              </w:rPr>
              <w:t>商服中心</w:t>
            </w:r>
          </w:p>
        </w:tc>
        <w:tc>
          <w:tcPr>
            <w:tcW w:w="603" w:type="pct"/>
            <w:noWrap w:val="0"/>
            <w:vAlign w:val="center"/>
          </w:tcPr>
          <w:p w14:paraId="4B395B5B">
            <w:pPr>
              <w:jc w:val="center"/>
              <w:rPr>
                <w:rFonts w:eastAsia="楷体_GB2312"/>
                <w:szCs w:val="21"/>
              </w:rPr>
            </w:pPr>
            <w:r>
              <w:rPr>
                <w:rFonts w:hint="eastAsia" w:eastAsia="楷体_GB2312"/>
                <w:szCs w:val="21"/>
              </w:rPr>
              <w:t>1.00</w:t>
            </w:r>
          </w:p>
        </w:tc>
        <w:tc>
          <w:tcPr>
            <w:tcW w:w="603" w:type="pct"/>
            <w:noWrap w:val="0"/>
            <w:vAlign w:val="center"/>
          </w:tcPr>
          <w:p w14:paraId="67152452">
            <w:pPr>
              <w:jc w:val="center"/>
              <w:rPr>
                <w:rFonts w:eastAsia="楷体_GB2312"/>
                <w:szCs w:val="21"/>
              </w:rPr>
            </w:pPr>
            <w:r>
              <w:rPr>
                <w:rFonts w:eastAsia="楷体_GB2312"/>
                <w:szCs w:val="21"/>
              </w:rPr>
              <w:t>100</w:t>
            </w:r>
          </w:p>
        </w:tc>
        <w:tc>
          <w:tcPr>
            <w:tcW w:w="603" w:type="pct"/>
            <w:noWrap w:val="0"/>
            <w:vAlign w:val="center"/>
          </w:tcPr>
          <w:p w14:paraId="17776451">
            <w:pPr>
              <w:jc w:val="center"/>
              <w:rPr>
                <w:rFonts w:eastAsia="楷体_GB2312"/>
                <w:szCs w:val="21"/>
              </w:rPr>
            </w:pPr>
            <w:r>
              <w:rPr>
                <w:rFonts w:eastAsia="楷体_GB2312"/>
                <w:szCs w:val="21"/>
              </w:rPr>
              <w:t>1</w:t>
            </w:r>
          </w:p>
        </w:tc>
        <w:tc>
          <w:tcPr>
            <w:tcW w:w="597" w:type="pct"/>
            <w:noWrap w:val="0"/>
            <w:vAlign w:val="center"/>
          </w:tcPr>
          <w:p w14:paraId="38DE86AC">
            <w:pPr>
              <w:spacing w:line="0" w:lineRule="atLeast"/>
              <w:jc w:val="center"/>
              <w:rPr>
                <w:rFonts w:eastAsia="楷体_GB2312"/>
                <w:szCs w:val="21"/>
              </w:rPr>
            </w:pPr>
            <w:r>
              <w:rPr>
                <w:rFonts w:hint="eastAsia" w:eastAsia="楷体_GB2312"/>
                <w:szCs w:val="21"/>
              </w:rPr>
              <w:t>7000</w:t>
            </w:r>
          </w:p>
        </w:tc>
      </w:tr>
      <w:tr w14:paraId="60267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noWrap w:val="0"/>
            <w:vAlign w:val="center"/>
          </w:tcPr>
          <w:p w14:paraId="171E5CDF">
            <w:pPr>
              <w:tabs>
                <w:tab w:val="left" w:pos="0"/>
                <w:tab w:val="left" w:pos="295"/>
              </w:tabs>
              <w:jc w:val="center"/>
              <w:rPr>
                <w:rFonts w:eastAsia="楷体_GB2312"/>
                <w:szCs w:val="21"/>
              </w:rPr>
            </w:pPr>
            <w:r>
              <w:rPr>
                <w:rFonts w:eastAsia="楷体_GB2312"/>
                <w:szCs w:val="21"/>
              </w:rPr>
              <w:t>3</w:t>
            </w:r>
          </w:p>
        </w:tc>
        <w:tc>
          <w:tcPr>
            <w:tcW w:w="654" w:type="pct"/>
            <w:noWrap w:val="0"/>
            <w:vAlign w:val="center"/>
          </w:tcPr>
          <w:p w14:paraId="45C1E863">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蕲县镇</w:t>
            </w:r>
          </w:p>
        </w:tc>
        <w:tc>
          <w:tcPr>
            <w:tcW w:w="505" w:type="pct"/>
            <w:noWrap w:val="0"/>
            <w:vAlign w:val="center"/>
          </w:tcPr>
          <w:p w14:paraId="5DFA3D38">
            <w:pPr>
              <w:tabs>
                <w:tab w:val="left" w:pos="0"/>
                <w:tab w:val="left" w:pos="295"/>
              </w:tabs>
              <w:jc w:val="center"/>
              <w:rPr>
                <w:rFonts w:eastAsia="楷体_GB2312"/>
                <w:szCs w:val="21"/>
              </w:rPr>
            </w:pPr>
            <w:r>
              <w:rPr>
                <w:rFonts w:eastAsia="楷体_GB2312"/>
                <w:szCs w:val="21"/>
              </w:rPr>
              <w:t>01</w:t>
            </w:r>
          </w:p>
        </w:tc>
        <w:tc>
          <w:tcPr>
            <w:tcW w:w="1074" w:type="pct"/>
            <w:noWrap w:val="0"/>
            <w:vAlign w:val="center"/>
          </w:tcPr>
          <w:p w14:paraId="27008F3B">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蕲县镇</w:t>
            </w:r>
            <w:r>
              <w:rPr>
                <w:rFonts w:hint="eastAsia" w:ascii="Times New Roman" w:hAnsi="Times New Roman" w:eastAsia="楷体_GB2312" w:cs="Times New Roman"/>
              </w:rPr>
              <w:t>商服中心</w:t>
            </w:r>
          </w:p>
        </w:tc>
        <w:tc>
          <w:tcPr>
            <w:tcW w:w="603" w:type="pct"/>
            <w:noWrap w:val="0"/>
            <w:vAlign w:val="center"/>
          </w:tcPr>
          <w:p w14:paraId="49D20816">
            <w:pPr>
              <w:jc w:val="center"/>
              <w:rPr>
                <w:rFonts w:eastAsia="楷体_GB2312"/>
                <w:szCs w:val="21"/>
              </w:rPr>
            </w:pPr>
            <w:r>
              <w:rPr>
                <w:rFonts w:hint="eastAsia" w:eastAsia="楷体_GB2312"/>
                <w:szCs w:val="21"/>
              </w:rPr>
              <w:t>1.00</w:t>
            </w:r>
          </w:p>
        </w:tc>
        <w:tc>
          <w:tcPr>
            <w:tcW w:w="603" w:type="pct"/>
            <w:noWrap w:val="0"/>
            <w:vAlign w:val="center"/>
          </w:tcPr>
          <w:p w14:paraId="657E2137">
            <w:pPr>
              <w:jc w:val="center"/>
              <w:rPr>
                <w:rFonts w:eastAsia="楷体_GB2312"/>
                <w:szCs w:val="21"/>
              </w:rPr>
            </w:pPr>
            <w:r>
              <w:rPr>
                <w:rFonts w:eastAsia="楷体_GB2312"/>
                <w:szCs w:val="21"/>
              </w:rPr>
              <w:t>100</w:t>
            </w:r>
          </w:p>
        </w:tc>
        <w:tc>
          <w:tcPr>
            <w:tcW w:w="603" w:type="pct"/>
            <w:noWrap w:val="0"/>
            <w:vAlign w:val="center"/>
          </w:tcPr>
          <w:p w14:paraId="25B48C1B">
            <w:pPr>
              <w:jc w:val="center"/>
              <w:rPr>
                <w:rFonts w:eastAsia="楷体_GB2312"/>
                <w:szCs w:val="21"/>
              </w:rPr>
            </w:pPr>
            <w:r>
              <w:rPr>
                <w:rFonts w:eastAsia="楷体_GB2312"/>
                <w:szCs w:val="21"/>
              </w:rPr>
              <w:t>1</w:t>
            </w:r>
          </w:p>
        </w:tc>
        <w:tc>
          <w:tcPr>
            <w:tcW w:w="597" w:type="pct"/>
            <w:noWrap w:val="0"/>
            <w:vAlign w:val="center"/>
          </w:tcPr>
          <w:p w14:paraId="2FF38001">
            <w:pPr>
              <w:jc w:val="center"/>
              <w:rPr>
                <w:rFonts w:eastAsia="楷体_GB2312"/>
              </w:rPr>
            </w:pPr>
            <w:r>
              <w:rPr>
                <w:rFonts w:hint="eastAsia" w:eastAsia="楷体_GB2312"/>
              </w:rPr>
              <w:t>1600</w:t>
            </w:r>
          </w:p>
        </w:tc>
      </w:tr>
      <w:tr w14:paraId="19A7B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noWrap w:val="0"/>
            <w:vAlign w:val="center"/>
          </w:tcPr>
          <w:p w14:paraId="46BD4081">
            <w:pPr>
              <w:tabs>
                <w:tab w:val="left" w:pos="0"/>
                <w:tab w:val="left" w:pos="295"/>
              </w:tabs>
              <w:jc w:val="center"/>
              <w:rPr>
                <w:rFonts w:eastAsia="楷体_GB2312"/>
                <w:szCs w:val="21"/>
              </w:rPr>
            </w:pPr>
            <w:r>
              <w:rPr>
                <w:rFonts w:eastAsia="楷体_GB2312"/>
                <w:szCs w:val="21"/>
              </w:rPr>
              <w:t>4</w:t>
            </w:r>
          </w:p>
        </w:tc>
        <w:tc>
          <w:tcPr>
            <w:tcW w:w="654" w:type="pct"/>
            <w:noWrap w:val="0"/>
            <w:vAlign w:val="center"/>
          </w:tcPr>
          <w:p w14:paraId="72640707">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芦岭镇</w:t>
            </w:r>
          </w:p>
        </w:tc>
        <w:tc>
          <w:tcPr>
            <w:tcW w:w="505" w:type="pct"/>
            <w:noWrap w:val="0"/>
            <w:vAlign w:val="center"/>
          </w:tcPr>
          <w:p w14:paraId="2A2FC8AE">
            <w:pPr>
              <w:tabs>
                <w:tab w:val="left" w:pos="0"/>
                <w:tab w:val="left" w:pos="295"/>
              </w:tabs>
              <w:jc w:val="center"/>
              <w:rPr>
                <w:rFonts w:eastAsia="楷体_GB2312"/>
                <w:szCs w:val="21"/>
              </w:rPr>
            </w:pPr>
            <w:r>
              <w:rPr>
                <w:rFonts w:eastAsia="楷体_GB2312"/>
                <w:szCs w:val="21"/>
              </w:rPr>
              <w:t>01</w:t>
            </w:r>
          </w:p>
        </w:tc>
        <w:tc>
          <w:tcPr>
            <w:tcW w:w="1074" w:type="pct"/>
            <w:noWrap w:val="0"/>
            <w:vAlign w:val="center"/>
          </w:tcPr>
          <w:p w14:paraId="7C665BB8">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芦岭镇</w:t>
            </w:r>
            <w:r>
              <w:rPr>
                <w:rFonts w:hint="eastAsia" w:ascii="Times New Roman" w:hAnsi="Times New Roman" w:eastAsia="楷体_GB2312" w:cs="Times New Roman"/>
              </w:rPr>
              <w:t>商服中心</w:t>
            </w:r>
          </w:p>
        </w:tc>
        <w:tc>
          <w:tcPr>
            <w:tcW w:w="603" w:type="pct"/>
            <w:noWrap w:val="0"/>
            <w:vAlign w:val="center"/>
          </w:tcPr>
          <w:p w14:paraId="375F8001">
            <w:pPr>
              <w:jc w:val="center"/>
              <w:rPr>
                <w:rFonts w:eastAsia="楷体_GB2312"/>
                <w:szCs w:val="21"/>
              </w:rPr>
            </w:pPr>
            <w:r>
              <w:rPr>
                <w:rFonts w:hint="eastAsia" w:eastAsia="楷体_GB2312"/>
                <w:szCs w:val="21"/>
              </w:rPr>
              <w:t>1.00</w:t>
            </w:r>
          </w:p>
        </w:tc>
        <w:tc>
          <w:tcPr>
            <w:tcW w:w="603" w:type="pct"/>
            <w:noWrap w:val="0"/>
            <w:vAlign w:val="center"/>
          </w:tcPr>
          <w:p w14:paraId="112F6822">
            <w:pPr>
              <w:jc w:val="center"/>
              <w:rPr>
                <w:rFonts w:eastAsia="楷体_GB2312"/>
                <w:szCs w:val="21"/>
              </w:rPr>
            </w:pPr>
            <w:r>
              <w:rPr>
                <w:rFonts w:eastAsia="楷体_GB2312"/>
                <w:szCs w:val="21"/>
              </w:rPr>
              <w:t>100</w:t>
            </w:r>
          </w:p>
        </w:tc>
        <w:tc>
          <w:tcPr>
            <w:tcW w:w="603" w:type="pct"/>
            <w:noWrap w:val="0"/>
            <w:vAlign w:val="center"/>
          </w:tcPr>
          <w:p w14:paraId="2BAD6467">
            <w:pPr>
              <w:jc w:val="center"/>
              <w:rPr>
                <w:rFonts w:eastAsia="楷体_GB2312"/>
                <w:szCs w:val="21"/>
              </w:rPr>
            </w:pPr>
            <w:r>
              <w:rPr>
                <w:rFonts w:eastAsia="楷体_GB2312"/>
                <w:szCs w:val="21"/>
              </w:rPr>
              <w:t>1</w:t>
            </w:r>
          </w:p>
        </w:tc>
        <w:tc>
          <w:tcPr>
            <w:tcW w:w="597" w:type="pct"/>
            <w:noWrap w:val="0"/>
            <w:vAlign w:val="center"/>
          </w:tcPr>
          <w:p w14:paraId="61F89EDB">
            <w:pPr>
              <w:jc w:val="center"/>
              <w:rPr>
                <w:rFonts w:eastAsia="楷体_GB2312"/>
                <w:szCs w:val="21"/>
              </w:rPr>
            </w:pPr>
            <w:r>
              <w:rPr>
                <w:rFonts w:hint="eastAsia" w:eastAsia="楷体_GB2312"/>
                <w:szCs w:val="21"/>
              </w:rPr>
              <w:t>1700</w:t>
            </w:r>
          </w:p>
        </w:tc>
      </w:tr>
      <w:tr w14:paraId="09D1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noWrap w:val="0"/>
            <w:vAlign w:val="center"/>
          </w:tcPr>
          <w:p w14:paraId="7E6289E1">
            <w:pPr>
              <w:tabs>
                <w:tab w:val="left" w:pos="0"/>
                <w:tab w:val="left" w:pos="295"/>
              </w:tabs>
              <w:jc w:val="center"/>
              <w:rPr>
                <w:rFonts w:eastAsia="楷体_GB2312"/>
                <w:szCs w:val="21"/>
              </w:rPr>
            </w:pPr>
            <w:r>
              <w:rPr>
                <w:rFonts w:eastAsia="楷体_GB2312"/>
                <w:szCs w:val="21"/>
              </w:rPr>
              <w:t>5</w:t>
            </w:r>
          </w:p>
        </w:tc>
        <w:tc>
          <w:tcPr>
            <w:tcW w:w="654" w:type="pct"/>
            <w:noWrap w:val="0"/>
            <w:vAlign w:val="center"/>
          </w:tcPr>
          <w:p w14:paraId="1A602C45">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大店镇</w:t>
            </w:r>
          </w:p>
        </w:tc>
        <w:tc>
          <w:tcPr>
            <w:tcW w:w="505" w:type="pct"/>
            <w:noWrap w:val="0"/>
            <w:vAlign w:val="center"/>
          </w:tcPr>
          <w:p w14:paraId="40549E34">
            <w:pPr>
              <w:tabs>
                <w:tab w:val="left" w:pos="0"/>
                <w:tab w:val="left" w:pos="295"/>
              </w:tabs>
              <w:jc w:val="center"/>
              <w:rPr>
                <w:rFonts w:eastAsia="楷体_GB2312"/>
                <w:szCs w:val="21"/>
              </w:rPr>
            </w:pPr>
            <w:r>
              <w:rPr>
                <w:rFonts w:eastAsia="楷体_GB2312"/>
                <w:szCs w:val="21"/>
              </w:rPr>
              <w:t>01</w:t>
            </w:r>
          </w:p>
        </w:tc>
        <w:tc>
          <w:tcPr>
            <w:tcW w:w="1074" w:type="pct"/>
            <w:noWrap w:val="0"/>
            <w:vAlign w:val="center"/>
          </w:tcPr>
          <w:p w14:paraId="08D16DD1">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大店镇</w:t>
            </w:r>
            <w:r>
              <w:rPr>
                <w:rFonts w:hint="eastAsia" w:ascii="Times New Roman" w:hAnsi="Times New Roman" w:eastAsia="楷体_GB2312" w:cs="Times New Roman"/>
              </w:rPr>
              <w:t>商服中心</w:t>
            </w:r>
          </w:p>
        </w:tc>
        <w:tc>
          <w:tcPr>
            <w:tcW w:w="603" w:type="pct"/>
            <w:noWrap w:val="0"/>
            <w:vAlign w:val="center"/>
          </w:tcPr>
          <w:p w14:paraId="270FCAA3">
            <w:pPr>
              <w:jc w:val="center"/>
              <w:rPr>
                <w:rFonts w:eastAsia="楷体_GB2312"/>
                <w:szCs w:val="21"/>
              </w:rPr>
            </w:pPr>
            <w:r>
              <w:rPr>
                <w:rFonts w:hint="eastAsia" w:eastAsia="楷体_GB2312"/>
                <w:szCs w:val="21"/>
              </w:rPr>
              <w:t>1.00</w:t>
            </w:r>
          </w:p>
        </w:tc>
        <w:tc>
          <w:tcPr>
            <w:tcW w:w="603" w:type="pct"/>
            <w:noWrap w:val="0"/>
            <w:vAlign w:val="center"/>
          </w:tcPr>
          <w:p w14:paraId="05553234">
            <w:pPr>
              <w:jc w:val="center"/>
              <w:rPr>
                <w:rFonts w:eastAsia="楷体_GB2312"/>
                <w:szCs w:val="21"/>
              </w:rPr>
            </w:pPr>
            <w:r>
              <w:rPr>
                <w:rFonts w:eastAsia="楷体_GB2312"/>
                <w:szCs w:val="21"/>
              </w:rPr>
              <w:t>100</w:t>
            </w:r>
          </w:p>
        </w:tc>
        <w:tc>
          <w:tcPr>
            <w:tcW w:w="603" w:type="pct"/>
            <w:noWrap w:val="0"/>
            <w:vAlign w:val="center"/>
          </w:tcPr>
          <w:p w14:paraId="42BD30CD">
            <w:pPr>
              <w:jc w:val="center"/>
              <w:rPr>
                <w:rFonts w:eastAsia="楷体_GB2312"/>
                <w:szCs w:val="21"/>
              </w:rPr>
            </w:pPr>
            <w:r>
              <w:rPr>
                <w:rFonts w:eastAsia="楷体_GB2312"/>
                <w:szCs w:val="21"/>
              </w:rPr>
              <w:t>1</w:t>
            </w:r>
          </w:p>
        </w:tc>
        <w:tc>
          <w:tcPr>
            <w:tcW w:w="597" w:type="pct"/>
            <w:noWrap w:val="0"/>
            <w:vAlign w:val="center"/>
          </w:tcPr>
          <w:p w14:paraId="2AC07A1D">
            <w:pPr>
              <w:jc w:val="center"/>
              <w:rPr>
                <w:rFonts w:eastAsia="楷体_GB2312"/>
              </w:rPr>
            </w:pPr>
            <w:r>
              <w:rPr>
                <w:rFonts w:hint="eastAsia" w:eastAsia="楷体_GB2312"/>
              </w:rPr>
              <w:t>2000</w:t>
            </w:r>
          </w:p>
        </w:tc>
      </w:tr>
      <w:tr w14:paraId="2EC1A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noWrap w:val="0"/>
            <w:vAlign w:val="center"/>
          </w:tcPr>
          <w:p w14:paraId="2CD78054">
            <w:pPr>
              <w:tabs>
                <w:tab w:val="left" w:pos="0"/>
                <w:tab w:val="left" w:pos="295"/>
              </w:tabs>
              <w:jc w:val="center"/>
              <w:rPr>
                <w:rFonts w:eastAsia="楷体_GB2312"/>
                <w:szCs w:val="21"/>
              </w:rPr>
            </w:pPr>
            <w:r>
              <w:rPr>
                <w:rFonts w:eastAsia="楷体_GB2312"/>
                <w:szCs w:val="21"/>
              </w:rPr>
              <w:t>6</w:t>
            </w:r>
          </w:p>
        </w:tc>
        <w:tc>
          <w:tcPr>
            <w:tcW w:w="654" w:type="pct"/>
            <w:noWrap w:val="0"/>
            <w:vAlign w:val="center"/>
          </w:tcPr>
          <w:p w14:paraId="4AB4E817">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栏杆镇</w:t>
            </w:r>
          </w:p>
        </w:tc>
        <w:tc>
          <w:tcPr>
            <w:tcW w:w="505" w:type="pct"/>
            <w:noWrap w:val="0"/>
            <w:vAlign w:val="center"/>
          </w:tcPr>
          <w:p w14:paraId="6859F83F">
            <w:pPr>
              <w:tabs>
                <w:tab w:val="left" w:pos="0"/>
                <w:tab w:val="left" w:pos="295"/>
              </w:tabs>
              <w:jc w:val="center"/>
              <w:rPr>
                <w:rFonts w:eastAsia="楷体_GB2312"/>
                <w:szCs w:val="21"/>
              </w:rPr>
            </w:pPr>
            <w:r>
              <w:rPr>
                <w:rFonts w:eastAsia="楷体_GB2312"/>
                <w:szCs w:val="21"/>
              </w:rPr>
              <w:t>01</w:t>
            </w:r>
          </w:p>
        </w:tc>
        <w:tc>
          <w:tcPr>
            <w:tcW w:w="1074" w:type="pct"/>
            <w:noWrap w:val="0"/>
            <w:vAlign w:val="center"/>
          </w:tcPr>
          <w:p w14:paraId="7E6ED7B1">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栏杆镇</w:t>
            </w:r>
            <w:r>
              <w:rPr>
                <w:rFonts w:hint="eastAsia" w:ascii="Times New Roman" w:hAnsi="Times New Roman" w:eastAsia="楷体_GB2312" w:cs="Times New Roman"/>
              </w:rPr>
              <w:t>商服中心</w:t>
            </w:r>
          </w:p>
        </w:tc>
        <w:tc>
          <w:tcPr>
            <w:tcW w:w="603" w:type="pct"/>
            <w:noWrap w:val="0"/>
            <w:vAlign w:val="center"/>
          </w:tcPr>
          <w:p w14:paraId="64474A5E">
            <w:pPr>
              <w:jc w:val="center"/>
              <w:rPr>
                <w:rFonts w:eastAsia="楷体_GB2312"/>
                <w:szCs w:val="21"/>
              </w:rPr>
            </w:pPr>
            <w:r>
              <w:rPr>
                <w:rFonts w:hint="eastAsia" w:eastAsia="楷体_GB2312"/>
                <w:szCs w:val="21"/>
              </w:rPr>
              <w:t>1.00</w:t>
            </w:r>
          </w:p>
        </w:tc>
        <w:tc>
          <w:tcPr>
            <w:tcW w:w="603" w:type="pct"/>
            <w:noWrap w:val="0"/>
            <w:vAlign w:val="center"/>
          </w:tcPr>
          <w:p w14:paraId="0A5BC20E">
            <w:pPr>
              <w:jc w:val="center"/>
              <w:rPr>
                <w:rFonts w:eastAsia="楷体_GB2312"/>
                <w:szCs w:val="21"/>
              </w:rPr>
            </w:pPr>
            <w:r>
              <w:rPr>
                <w:rFonts w:eastAsia="楷体_GB2312"/>
                <w:szCs w:val="21"/>
              </w:rPr>
              <w:t>100</w:t>
            </w:r>
          </w:p>
        </w:tc>
        <w:tc>
          <w:tcPr>
            <w:tcW w:w="603" w:type="pct"/>
            <w:noWrap w:val="0"/>
            <w:vAlign w:val="center"/>
          </w:tcPr>
          <w:p w14:paraId="3BB118D4">
            <w:pPr>
              <w:jc w:val="center"/>
              <w:rPr>
                <w:rFonts w:eastAsia="楷体_GB2312"/>
                <w:szCs w:val="21"/>
              </w:rPr>
            </w:pPr>
            <w:r>
              <w:rPr>
                <w:rFonts w:eastAsia="楷体_GB2312"/>
                <w:szCs w:val="21"/>
              </w:rPr>
              <w:t>1</w:t>
            </w:r>
          </w:p>
        </w:tc>
        <w:tc>
          <w:tcPr>
            <w:tcW w:w="597" w:type="pct"/>
            <w:noWrap w:val="0"/>
            <w:vAlign w:val="center"/>
          </w:tcPr>
          <w:p w14:paraId="55F55E43">
            <w:pPr>
              <w:jc w:val="center"/>
              <w:rPr>
                <w:rFonts w:eastAsia="楷体_GB2312"/>
              </w:rPr>
            </w:pPr>
            <w:r>
              <w:rPr>
                <w:rFonts w:hint="eastAsia" w:eastAsia="楷体_GB2312"/>
              </w:rPr>
              <w:t>1300</w:t>
            </w:r>
          </w:p>
        </w:tc>
      </w:tr>
      <w:tr w14:paraId="67020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noWrap w:val="0"/>
            <w:vAlign w:val="center"/>
          </w:tcPr>
          <w:p w14:paraId="47693693">
            <w:pPr>
              <w:tabs>
                <w:tab w:val="left" w:pos="0"/>
                <w:tab w:val="left" w:pos="295"/>
              </w:tabs>
              <w:jc w:val="center"/>
              <w:rPr>
                <w:rFonts w:eastAsia="楷体_GB2312"/>
                <w:szCs w:val="21"/>
              </w:rPr>
            </w:pPr>
            <w:r>
              <w:rPr>
                <w:rFonts w:eastAsia="楷体_GB2312"/>
                <w:szCs w:val="21"/>
              </w:rPr>
              <w:t>7</w:t>
            </w:r>
          </w:p>
        </w:tc>
        <w:tc>
          <w:tcPr>
            <w:tcW w:w="654" w:type="pct"/>
            <w:noWrap w:val="0"/>
            <w:vAlign w:val="center"/>
          </w:tcPr>
          <w:p w14:paraId="0320175C">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时村镇</w:t>
            </w:r>
          </w:p>
        </w:tc>
        <w:tc>
          <w:tcPr>
            <w:tcW w:w="505" w:type="pct"/>
            <w:noWrap w:val="0"/>
            <w:vAlign w:val="center"/>
          </w:tcPr>
          <w:p w14:paraId="4A3324DC">
            <w:pPr>
              <w:tabs>
                <w:tab w:val="left" w:pos="0"/>
                <w:tab w:val="left" w:pos="295"/>
              </w:tabs>
              <w:jc w:val="center"/>
              <w:rPr>
                <w:rFonts w:eastAsia="楷体_GB2312"/>
                <w:szCs w:val="21"/>
              </w:rPr>
            </w:pPr>
            <w:r>
              <w:rPr>
                <w:rFonts w:eastAsia="楷体_GB2312"/>
                <w:szCs w:val="21"/>
              </w:rPr>
              <w:t>01</w:t>
            </w:r>
          </w:p>
        </w:tc>
        <w:tc>
          <w:tcPr>
            <w:tcW w:w="1074" w:type="pct"/>
            <w:noWrap w:val="0"/>
            <w:vAlign w:val="center"/>
          </w:tcPr>
          <w:p w14:paraId="592BCC2B">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时村镇</w:t>
            </w:r>
            <w:r>
              <w:rPr>
                <w:rFonts w:hint="eastAsia" w:ascii="Times New Roman" w:hAnsi="Times New Roman" w:eastAsia="楷体_GB2312" w:cs="Times New Roman"/>
              </w:rPr>
              <w:t>商服中心</w:t>
            </w:r>
          </w:p>
        </w:tc>
        <w:tc>
          <w:tcPr>
            <w:tcW w:w="603" w:type="pct"/>
            <w:noWrap w:val="0"/>
            <w:vAlign w:val="center"/>
          </w:tcPr>
          <w:p w14:paraId="5E8C83AD">
            <w:pPr>
              <w:jc w:val="center"/>
              <w:rPr>
                <w:rFonts w:eastAsia="楷体_GB2312"/>
                <w:szCs w:val="21"/>
              </w:rPr>
            </w:pPr>
            <w:r>
              <w:rPr>
                <w:rFonts w:hint="eastAsia" w:eastAsia="楷体_GB2312"/>
                <w:szCs w:val="21"/>
              </w:rPr>
              <w:t>1.00</w:t>
            </w:r>
          </w:p>
        </w:tc>
        <w:tc>
          <w:tcPr>
            <w:tcW w:w="603" w:type="pct"/>
            <w:noWrap w:val="0"/>
            <w:vAlign w:val="center"/>
          </w:tcPr>
          <w:p w14:paraId="31EC3BBE">
            <w:pPr>
              <w:jc w:val="center"/>
              <w:rPr>
                <w:rFonts w:eastAsia="楷体_GB2312"/>
                <w:szCs w:val="21"/>
              </w:rPr>
            </w:pPr>
            <w:r>
              <w:rPr>
                <w:rFonts w:eastAsia="楷体_GB2312"/>
                <w:szCs w:val="21"/>
              </w:rPr>
              <w:t>100</w:t>
            </w:r>
          </w:p>
        </w:tc>
        <w:tc>
          <w:tcPr>
            <w:tcW w:w="603" w:type="pct"/>
            <w:noWrap w:val="0"/>
            <w:vAlign w:val="center"/>
          </w:tcPr>
          <w:p w14:paraId="01239368">
            <w:pPr>
              <w:jc w:val="center"/>
              <w:rPr>
                <w:rFonts w:eastAsia="楷体_GB2312"/>
                <w:szCs w:val="21"/>
              </w:rPr>
            </w:pPr>
            <w:r>
              <w:rPr>
                <w:rFonts w:eastAsia="楷体_GB2312"/>
                <w:szCs w:val="21"/>
              </w:rPr>
              <w:t>1</w:t>
            </w:r>
          </w:p>
        </w:tc>
        <w:tc>
          <w:tcPr>
            <w:tcW w:w="597" w:type="pct"/>
            <w:noWrap w:val="0"/>
            <w:vAlign w:val="center"/>
          </w:tcPr>
          <w:p w14:paraId="66FFFAE5">
            <w:pPr>
              <w:jc w:val="center"/>
              <w:rPr>
                <w:rFonts w:eastAsia="楷体_GB2312"/>
                <w:szCs w:val="21"/>
              </w:rPr>
            </w:pPr>
            <w:r>
              <w:rPr>
                <w:rFonts w:hint="eastAsia" w:eastAsia="楷体_GB2312"/>
                <w:szCs w:val="21"/>
              </w:rPr>
              <w:t>1500</w:t>
            </w:r>
          </w:p>
        </w:tc>
      </w:tr>
      <w:tr w14:paraId="25540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noWrap w:val="0"/>
            <w:vAlign w:val="center"/>
          </w:tcPr>
          <w:p w14:paraId="1F8EB171">
            <w:pPr>
              <w:tabs>
                <w:tab w:val="left" w:pos="0"/>
                <w:tab w:val="left" w:pos="295"/>
              </w:tabs>
              <w:jc w:val="center"/>
              <w:rPr>
                <w:rFonts w:eastAsia="楷体_GB2312"/>
                <w:szCs w:val="21"/>
              </w:rPr>
            </w:pPr>
            <w:r>
              <w:rPr>
                <w:rFonts w:eastAsia="楷体_GB2312"/>
                <w:szCs w:val="21"/>
              </w:rPr>
              <w:t>8</w:t>
            </w:r>
          </w:p>
        </w:tc>
        <w:tc>
          <w:tcPr>
            <w:tcW w:w="654" w:type="pct"/>
            <w:noWrap w:val="0"/>
            <w:vAlign w:val="center"/>
          </w:tcPr>
          <w:p w14:paraId="389BE57C">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夹沟镇</w:t>
            </w:r>
          </w:p>
        </w:tc>
        <w:tc>
          <w:tcPr>
            <w:tcW w:w="505" w:type="pct"/>
            <w:noWrap w:val="0"/>
            <w:vAlign w:val="center"/>
          </w:tcPr>
          <w:p w14:paraId="5573D2DF">
            <w:pPr>
              <w:tabs>
                <w:tab w:val="left" w:pos="0"/>
                <w:tab w:val="left" w:pos="295"/>
              </w:tabs>
              <w:jc w:val="center"/>
              <w:rPr>
                <w:rFonts w:eastAsia="楷体_GB2312"/>
                <w:szCs w:val="21"/>
              </w:rPr>
            </w:pPr>
            <w:r>
              <w:rPr>
                <w:rFonts w:eastAsia="楷体_GB2312"/>
                <w:szCs w:val="21"/>
              </w:rPr>
              <w:t>01</w:t>
            </w:r>
          </w:p>
        </w:tc>
        <w:tc>
          <w:tcPr>
            <w:tcW w:w="1074" w:type="pct"/>
            <w:noWrap w:val="0"/>
            <w:vAlign w:val="center"/>
          </w:tcPr>
          <w:p w14:paraId="656E2A4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夹沟镇</w:t>
            </w:r>
            <w:r>
              <w:rPr>
                <w:rFonts w:hint="eastAsia" w:ascii="Times New Roman" w:hAnsi="Times New Roman" w:eastAsia="楷体_GB2312" w:cs="Times New Roman"/>
              </w:rPr>
              <w:t>商服中心</w:t>
            </w:r>
          </w:p>
        </w:tc>
        <w:tc>
          <w:tcPr>
            <w:tcW w:w="603" w:type="pct"/>
            <w:noWrap w:val="0"/>
            <w:vAlign w:val="center"/>
          </w:tcPr>
          <w:p w14:paraId="163F2DE7">
            <w:pPr>
              <w:jc w:val="center"/>
              <w:rPr>
                <w:rFonts w:eastAsia="楷体_GB2312"/>
                <w:szCs w:val="21"/>
              </w:rPr>
            </w:pPr>
            <w:r>
              <w:rPr>
                <w:rFonts w:hint="eastAsia" w:eastAsia="楷体_GB2312"/>
                <w:szCs w:val="21"/>
              </w:rPr>
              <w:t>1.00</w:t>
            </w:r>
          </w:p>
        </w:tc>
        <w:tc>
          <w:tcPr>
            <w:tcW w:w="603" w:type="pct"/>
            <w:noWrap w:val="0"/>
            <w:vAlign w:val="center"/>
          </w:tcPr>
          <w:p w14:paraId="5387BECD">
            <w:pPr>
              <w:jc w:val="center"/>
              <w:rPr>
                <w:rFonts w:eastAsia="楷体_GB2312"/>
                <w:szCs w:val="21"/>
              </w:rPr>
            </w:pPr>
            <w:r>
              <w:rPr>
                <w:rFonts w:eastAsia="楷体_GB2312"/>
                <w:szCs w:val="21"/>
              </w:rPr>
              <w:t>100</w:t>
            </w:r>
          </w:p>
        </w:tc>
        <w:tc>
          <w:tcPr>
            <w:tcW w:w="603" w:type="pct"/>
            <w:noWrap w:val="0"/>
            <w:vAlign w:val="center"/>
          </w:tcPr>
          <w:p w14:paraId="28F70991">
            <w:pPr>
              <w:jc w:val="center"/>
              <w:rPr>
                <w:rFonts w:eastAsia="楷体_GB2312"/>
                <w:szCs w:val="21"/>
              </w:rPr>
            </w:pPr>
            <w:r>
              <w:rPr>
                <w:rFonts w:eastAsia="楷体_GB2312"/>
                <w:szCs w:val="21"/>
              </w:rPr>
              <w:t>1</w:t>
            </w:r>
          </w:p>
        </w:tc>
        <w:tc>
          <w:tcPr>
            <w:tcW w:w="597" w:type="pct"/>
            <w:noWrap w:val="0"/>
            <w:vAlign w:val="center"/>
          </w:tcPr>
          <w:p w14:paraId="1EF8E875">
            <w:pPr>
              <w:spacing w:line="0" w:lineRule="atLeast"/>
              <w:jc w:val="center"/>
              <w:rPr>
                <w:rFonts w:eastAsia="楷体_GB2312"/>
                <w:szCs w:val="21"/>
              </w:rPr>
            </w:pPr>
            <w:r>
              <w:rPr>
                <w:rFonts w:hint="eastAsia" w:eastAsia="楷体_GB2312"/>
                <w:szCs w:val="21"/>
              </w:rPr>
              <w:t>1800</w:t>
            </w:r>
          </w:p>
        </w:tc>
      </w:tr>
      <w:tr w14:paraId="5164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noWrap w:val="0"/>
            <w:vAlign w:val="center"/>
          </w:tcPr>
          <w:p w14:paraId="61EABAF5">
            <w:pPr>
              <w:tabs>
                <w:tab w:val="left" w:pos="0"/>
                <w:tab w:val="left" w:pos="295"/>
              </w:tabs>
              <w:jc w:val="center"/>
              <w:rPr>
                <w:rFonts w:eastAsia="楷体_GB2312"/>
                <w:szCs w:val="21"/>
              </w:rPr>
            </w:pPr>
            <w:r>
              <w:rPr>
                <w:rFonts w:eastAsia="楷体_GB2312"/>
                <w:szCs w:val="21"/>
              </w:rPr>
              <w:t>9</w:t>
            </w:r>
          </w:p>
        </w:tc>
        <w:tc>
          <w:tcPr>
            <w:tcW w:w="654" w:type="pct"/>
            <w:noWrap w:val="0"/>
            <w:vAlign w:val="center"/>
          </w:tcPr>
          <w:p w14:paraId="110F7EE1">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西二铺乡</w:t>
            </w:r>
          </w:p>
        </w:tc>
        <w:tc>
          <w:tcPr>
            <w:tcW w:w="505" w:type="pct"/>
            <w:noWrap w:val="0"/>
            <w:vAlign w:val="center"/>
          </w:tcPr>
          <w:p w14:paraId="2CFF68A6">
            <w:pPr>
              <w:tabs>
                <w:tab w:val="left" w:pos="0"/>
                <w:tab w:val="left" w:pos="295"/>
              </w:tabs>
              <w:jc w:val="center"/>
              <w:rPr>
                <w:rFonts w:eastAsia="楷体_GB2312"/>
                <w:szCs w:val="21"/>
              </w:rPr>
            </w:pPr>
            <w:r>
              <w:rPr>
                <w:rFonts w:eastAsia="楷体_GB2312"/>
                <w:szCs w:val="21"/>
              </w:rPr>
              <w:t>01</w:t>
            </w:r>
          </w:p>
        </w:tc>
        <w:tc>
          <w:tcPr>
            <w:tcW w:w="1074" w:type="pct"/>
            <w:noWrap w:val="0"/>
            <w:vAlign w:val="center"/>
          </w:tcPr>
          <w:p w14:paraId="04350EC4">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西二铺乡</w:t>
            </w:r>
            <w:r>
              <w:rPr>
                <w:rFonts w:hint="eastAsia" w:ascii="Times New Roman" w:hAnsi="Times New Roman" w:eastAsia="楷体_GB2312" w:cs="Times New Roman"/>
              </w:rPr>
              <w:t>商服中心</w:t>
            </w:r>
          </w:p>
        </w:tc>
        <w:tc>
          <w:tcPr>
            <w:tcW w:w="603" w:type="pct"/>
            <w:noWrap w:val="0"/>
            <w:vAlign w:val="center"/>
          </w:tcPr>
          <w:p w14:paraId="37F41E60">
            <w:pPr>
              <w:jc w:val="center"/>
              <w:rPr>
                <w:rFonts w:eastAsia="楷体_GB2312"/>
                <w:szCs w:val="21"/>
              </w:rPr>
            </w:pPr>
            <w:r>
              <w:rPr>
                <w:rFonts w:hint="eastAsia" w:eastAsia="楷体_GB2312"/>
                <w:szCs w:val="21"/>
              </w:rPr>
              <w:t>1.00</w:t>
            </w:r>
          </w:p>
        </w:tc>
        <w:tc>
          <w:tcPr>
            <w:tcW w:w="603" w:type="pct"/>
            <w:noWrap w:val="0"/>
            <w:vAlign w:val="center"/>
          </w:tcPr>
          <w:p w14:paraId="2883AAA8">
            <w:pPr>
              <w:jc w:val="center"/>
              <w:rPr>
                <w:rFonts w:eastAsia="楷体_GB2312"/>
                <w:szCs w:val="21"/>
              </w:rPr>
            </w:pPr>
            <w:r>
              <w:rPr>
                <w:rFonts w:eastAsia="楷体_GB2312"/>
                <w:szCs w:val="21"/>
              </w:rPr>
              <w:t>100</w:t>
            </w:r>
          </w:p>
        </w:tc>
        <w:tc>
          <w:tcPr>
            <w:tcW w:w="603" w:type="pct"/>
            <w:noWrap w:val="0"/>
            <w:vAlign w:val="center"/>
          </w:tcPr>
          <w:p w14:paraId="7614377F">
            <w:pPr>
              <w:jc w:val="center"/>
              <w:rPr>
                <w:rFonts w:eastAsia="楷体_GB2312"/>
                <w:szCs w:val="21"/>
              </w:rPr>
            </w:pPr>
            <w:r>
              <w:rPr>
                <w:rFonts w:eastAsia="楷体_GB2312"/>
                <w:szCs w:val="21"/>
              </w:rPr>
              <w:t>1</w:t>
            </w:r>
          </w:p>
        </w:tc>
        <w:tc>
          <w:tcPr>
            <w:tcW w:w="597" w:type="pct"/>
            <w:noWrap w:val="0"/>
            <w:vAlign w:val="center"/>
          </w:tcPr>
          <w:p w14:paraId="09659F6E">
            <w:pPr>
              <w:spacing w:line="0" w:lineRule="atLeast"/>
              <w:jc w:val="center"/>
              <w:rPr>
                <w:rFonts w:eastAsia="楷体_GB2312"/>
                <w:szCs w:val="21"/>
              </w:rPr>
            </w:pPr>
            <w:r>
              <w:rPr>
                <w:rFonts w:hint="eastAsia" w:eastAsia="楷体_GB2312"/>
                <w:szCs w:val="21"/>
              </w:rPr>
              <w:t>2000</w:t>
            </w:r>
          </w:p>
        </w:tc>
      </w:tr>
      <w:tr w14:paraId="6F298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vMerge w:val="restart"/>
            <w:noWrap w:val="0"/>
            <w:vAlign w:val="center"/>
          </w:tcPr>
          <w:p w14:paraId="442EC0C0">
            <w:pPr>
              <w:tabs>
                <w:tab w:val="left" w:pos="0"/>
                <w:tab w:val="left" w:pos="295"/>
              </w:tabs>
              <w:jc w:val="center"/>
              <w:rPr>
                <w:rFonts w:eastAsia="楷体_GB2312"/>
                <w:szCs w:val="21"/>
              </w:rPr>
            </w:pPr>
            <w:r>
              <w:rPr>
                <w:rFonts w:eastAsia="楷体_GB2312"/>
                <w:szCs w:val="21"/>
              </w:rPr>
              <w:t>10</w:t>
            </w:r>
          </w:p>
        </w:tc>
        <w:tc>
          <w:tcPr>
            <w:tcW w:w="654" w:type="pct"/>
            <w:vMerge w:val="restart"/>
            <w:noWrap w:val="0"/>
            <w:vAlign w:val="center"/>
          </w:tcPr>
          <w:p w14:paraId="0C6D3D94">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桃园镇</w:t>
            </w:r>
          </w:p>
        </w:tc>
        <w:tc>
          <w:tcPr>
            <w:tcW w:w="505" w:type="pct"/>
            <w:noWrap w:val="0"/>
            <w:vAlign w:val="center"/>
          </w:tcPr>
          <w:p w14:paraId="6BEFD7A5">
            <w:pPr>
              <w:tabs>
                <w:tab w:val="left" w:pos="0"/>
                <w:tab w:val="left" w:pos="295"/>
              </w:tabs>
              <w:jc w:val="center"/>
              <w:rPr>
                <w:rFonts w:eastAsia="楷体_GB2312"/>
                <w:szCs w:val="21"/>
              </w:rPr>
            </w:pPr>
            <w:r>
              <w:rPr>
                <w:rFonts w:eastAsia="楷体_GB2312"/>
                <w:szCs w:val="21"/>
              </w:rPr>
              <w:t>01</w:t>
            </w:r>
          </w:p>
        </w:tc>
        <w:tc>
          <w:tcPr>
            <w:tcW w:w="1074" w:type="pct"/>
            <w:noWrap w:val="0"/>
            <w:vAlign w:val="center"/>
          </w:tcPr>
          <w:p w14:paraId="11EC4B28">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桃园镇</w:t>
            </w:r>
            <w:r>
              <w:rPr>
                <w:rFonts w:hint="eastAsia" w:ascii="Times New Roman" w:hAnsi="Times New Roman" w:eastAsia="楷体_GB2312" w:cs="Times New Roman"/>
              </w:rPr>
              <w:t>商服中心</w:t>
            </w:r>
          </w:p>
        </w:tc>
        <w:tc>
          <w:tcPr>
            <w:tcW w:w="603" w:type="pct"/>
            <w:noWrap w:val="0"/>
            <w:vAlign w:val="center"/>
          </w:tcPr>
          <w:p w14:paraId="5B2E078A">
            <w:pPr>
              <w:jc w:val="center"/>
              <w:rPr>
                <w:rFonts w:eastAsia="楷体_GB2312"/>
                <w:szCs w:val="21"/>
              </w:rPr>
            </w:pPr>
            <w:r>
              <w:rPr>
                <w:rFonts w:hint="eastAsia" w:eastAsia="楷体_GB2312"/>
                <w:szCs w:val="21"/>
              </w:rPr>
              <w:t>0.8839</w:t>
            </w:r>
          </w:p>
        </w:tc>
        <w:tc>
          <w:tcPr>
            <w:tcW w:w="603" w:type="pct"/>
            <w:noWrap w:val="0"/>
            <w:vAlign w:val="center"/>
          </w:tcPr>
          <w:p w14:paraId="712CAD10">
            <w:pPr>
              <w:jc w:val="center"/>
              <w:rPr>
                <w:rFonts w:eastAsia="楷体_GB2312"/>
                <w:szCs w:val="21"/>
              </w:rPr>
            </w:pPr>
            <w:r>
              <w:rPr>
                <w:rFonts w:hint="eastAsia" w:eastAsia="楷体_GB2312"/>
                <w:szCs w:val="21"/>
              </w:rPr>
              <w:t>91</w:t>
            </w:r>
          </w:p>
        </w:tc>
        <w:tc>
          <w:tcPr>
            <w:tcW w:w="603" w:type="pct"/>
            <w:noWrap w:val="0"/>
            <w:vAlign w:val="center"/>
          </w:tcPr>
          <w:p w14:paraId="5A69909F">
            <w:pPr>
              <w:jc w:val="center"/>
              <w:rPr>
                <w:rFonts w:eastAsia="楷体_GB2312"/>
                <w:szCs w:val="21"/>
              </w:rPr>
            </w:pPr>
            <w:r>
              <w:rPr>
                <w:rFonts w:hint="eastAsia" w:eastAsia="楷体_GB2312"/>
                <w:szCs w:val="21"/>
              </w:rPr>
              <w:t>2</w:t>
            </w:r>
          </w:p>
        </w:tc>
        <w:tc>
          <w:tcPr>
            <w:tcW w:w="597" w:type="pct"/>
            <w:noWrap w:val="0"/>
            <w:vAlign w:val="center"/>
          </w:tcPr>
          <w:p w14:paraId="234A7D20">
            <w:pPr>
              <w:spacing w:line="0" w:lineRule="atLeast"/>
              <w:jc w:val="center"/>
              <w:rPr>
                <w:rFonts w:eastAsia="楷体_GB2312"/>
                <w:szCs w:val="21"/>
              </w:rPr>
            </w:pPr>
            <w:r>
              <w:rPr>
                <w:rFonts w:hint="eastAsia" w:eastAsia="楷体_GB2312"/>
                <w:szCs w:val="21"/>
              </w:rPr>
              <w:t>1000</w:t>
            </w:r>
          </w:p>
        </w:tc>
      </w:tr>
      <w:tr w14:paraId="11085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vMerge w:val="continue"/>
            <w:noWrap w:val="0"/>
            <w:vAlign w:val="center"/>
          </w:tcPr>
          <w:p w14:paraId="5BC9F886">
            <w:pPr>
              <w:tabs>
                <w:tab w:val="left" w:pos="0"/>
                <w:tab w:val="left" w:pos="295"/>
              </w:tabs>
              <w:jc w:val="center"/>
              <w:rPr>
                <w:rFonts w:eastAsia="楷体_GB2312"/>
                <w:szCs w:val="21"/>
              </w:rPr>
            </w:pPr>
          </w:p>
        </w:tc>
        <w:tc>
          <w:tcPr>
            <w:tcW w:w="654" w:type="pct"/>
            <w:vMerge w:val="continue"/>
            <w:noWrap w:val="0"/>
            <w:vAlign w:val="center"/>
          </w:tcPr>
          <w:p w14:paraId="2F6A721E">
            <w:pPr>
              <w:pStyle w:val="20"/>
              <w:tabs>
                <w:tab w:val="left" w:pos="0"/>
                <w:tab w:val="left" w:pos="295"/>
              </w:tabs>
              <w:jc w:val="center"/>
              <w:rPr>
                <w:rFonts w:ascii="Times New Roman" w:hAnsi="Times New Roman" w:eastAsia="楷体_GB2312" w:cs="Times New Roman"/>
              </w:rPr>
            </w:pPr>
          </w:p>
        </w:tc>
        <w:tc>
          <w:tcPr>
            <w:tcW w:w="505" w:type="pct"/>
            <w:noWrap w:val="0"/>
            <w:vAlign w:val="center"/>
          </w:tcPr>
          <w:p w14:paraId="641B0075">
            <w:pPr>
              <w:tabs>
                <w:tab w:val="left" w:pos="0"/>
                <w:tab w:val="left" w:pos="295"/>
              </w:tabs>
              <w:jc w:val="center"/>
              <w:rPr>
                <w:rFonts w:eastAsia="楷体_GB2312"/>
                <w:szCs w:val="21"/>
              </w:rPr>
            </w:pPr>
            <w:r>
              <w:rPr>
                <w:rFonts w:hint="eastAsia" w:eastAsia="楷体_GB2312"/>
                <w:szCs w:val="21"/>
              </w:rPr>
              <w:t>02</w:t>
            </w:r>
          </w:p>
        </w:tc>
        <w:tc>
          <w:tcPr>
            <w:tcW w:w="1074" w:type="pct"/>
            <w:noWrap w:val="0"/>
            <w:vAlign w:val="center"/>
          </w:tcPr>
          <w:p w14:paraId="3114F57E">
            <w:pPr>
              <w:pStyle w:val="20"/>
              <w:tabs>
                <w:tab w:val="left" w:pos="0"/>
                <w:tab w:val="left" w:pos="295"/>
              </w:tabs>
              <w:jc w:val="center"/>
              <w:rPr>
                <w:rFonts w:ascii="Times New Roman" w:hAnsi="Times New Roman" w:eastAsia="楷体_GB2312" w:cs="Times New Roman"/>
              </w:rPr>
            </w:pPr>
            <w:r>
              <w:rPr>
                <w:rFonts w:hint="eastAsia" w:ascii="Times New Roman" w:hAnsi="Times New Roman" w:eastAsia="楷体_GB2312" w:cs="Times New Roman"/>
              </w:rPr>
              <w:t>北杨寨</w:t>
            </w:r>
            <w:r>
              <w:rPr>
                <w:rFonts w:hint="eastAsia" w:eastAsia="楷体_GB2312"/>
              </w:rPr>
              <w:t>商服中心</w:t>
            </w:r>
          </w:p>
        </w:tc>
        <w:tc>
          <w:tcPr>
            <w:tcW w:w="603" w:type="pct"/>
            <w:noWrap w:val="0"/>
            <w:vAlign w:val="center"/>
          </w:tcPr>
          <w:p w14:paraId="41966E53">
            <w:pPr>
              <w:jc w:val="center"/>
              <w:rPr>
                <w:rFonts w:eastAsia="楷体_GB2312"/>
                <w:szCs w:val="21"/>
              </w:rPr>
            </w:pPr>
            <w:r>
              <w:rPr>
                <w:rFonts w:hint="eastAsia" w:eastAsia="楷体_GB2312"/>
                <w:szCs w:val="21"/>
              </w:rPr>
              <w:t>0.9683</w:t>
            </w:r>
          </w:p>
        </w:tc>
        <w:tc>
          <w:tcPr>
            <w:tcW w:w="603" w:type="pct"/>
            <w:noWrap w:val="0"/>
            <w:vAlign w:val="center"/>
          </w:tcPr>
          <w:p w14:paraId="020FC0E0">
            <w:pPr>
              <w:jc w:val="center"/>
              <w:rPr>
                <w:rFonts w:eastAsia="楷体_GB2312"/>
                <w:szCs w:val="21"/>
              </w:rPr>
            </w:pPr>
            <w:r>
              <w:rPr>
                <w:rFonts w:hint="eastAsia" w:eastAsia="楷体_GB2312"/>
                <w:szCs w:val="21"/>
              </w:rPr>
              <w:t>100</w:t>
            </w:r>
          </w:p>
        </w:tc>
        <w:tc>
          <w:tcPr>
            <w:tcW w:w="603" w:type="pct"/>
            <w:noWrap w:val="0"/>
            <w:vAlign w:val="center"/>
          </w:tcPr>
          <w:p w14:paraId="4503D44E">
            <w:pPr>
              <w:jc w:val="center"/>
              <w:rPr>
                <w:rFonts w:eastAsia="楷体_GB2312"/>
                <w:szCs w:val="21"/>
              </w:rPr>
            </w:pPr>
            <w:r>
              <w:rPr>
                <w:rFonts w:hint="eastAsia" w:eastAsia="楷体_GB2312"/>
                <w:szCs w:val="21"/>
              </w:rPr>
              <w:t>1</w:t>
            </w:r>
          </w:p>
        </w:tc>
        <w:tc>
          <w:tcPr>
            <w:tcW w:w="597" w:type="pct"/>
            <w:noWrap w:val="0"/>
            <w:vAlign w:val="center"/>
          </w:tcPr>
          <w:p w14:paraId="4123B3D5">
            <w:pPr>
              <w:spacing w:line="0" w:lineRule="atLeast"/>
              <w:jc w:val="center"/>
              <w:rPr>
                <w:rFonts w:eastAsia="楷体_GB2312"/>
                <w:szCs w:val="21"/>
              </w:rPr>
            </w:pPr>
            <w:r>
              <w:rPr>
                <w:rFonts w:hint="eastAsia" w:eastAsia="楷体_GB2312"/>
                <w:szCs w:val="21"/>
              </w:rPr>
              <w:t>1400</w:t>
            </w:r>
          </w:p>
        </w:tc>
      </w:tr>
      <w:tr w14:paraId="433B6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noWrap w:val="0"/>
            <w:vAlign w:val="center"/>
          </w:tcPr>
          <w:p w14:paraId="766291D4">
            <w:pPr>
              <w:tabs>
                <w:tab w:val="left" w:pos="0"/>
                <w:tab w:val="left" w:pos="295"/>
              </w:tabs>
              <w:jc w:val="center"/>
              <w:rPr>
                <w:rFonts w:eastAsia="楷体_GB2312"/>
                <w:szCs w:val="21"/>
              </w:rPr>
            </w:pPr>
            <w:r>
              <w:rPr>
                <w:rFonts w:hint="eastAsia" w:eastAsia="楷体_GB2312"/>
                <w:szCs w:val="21"/>
              </w:rPr>
              <w:t>11</w:t>
            </w:r>
          </w:p>
        </w:tc>
        <w:tc>
          <w:tcPr>
            <w:tcW w:w="654" w:type="pct"/>
            <w:noWrap w:val="0"/>
            <w:vAlign w:val="center"/>
          </w:tcPr>
          <w:p w14:paraId="433FFAED">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曹村镇</w:t>
            </w:r>
          </w:p>
        </w:tc>
        <w:tc>
          <w:tcPr>
            <w:tcW w:w="505" w:type="pct"/>
            <w:noWrap w:val="0"/>
            <w:vAlign w:val="center"/>
          </w:tcPr>
          <w:p w14:paraId="20E48EFB">
            <w:pPr>
              <w:tabs>
                <w:tab w:val="left" w:pos="0"/>
                <w:tab w:val="left" w:pos="295"/>
              </w:tabs>
              <w:jc w:val="center"/>
              <w:rPr>
                <w:rFonts w:eastAsia="楷体_GB2312"/>
                <w:szCs w:val="21"/>
              </w:rPr>
            </w:pPr>
            <w:r>
              <w:rPr>
                <w:rFonts w:eastAsia="楷体_GB2312"/>
                <w:szCs w:val="21"/>
              </w:rPr>
              <w:t>01</w:t>
            </w:r>
          </w:p>
        </w:tc>
        <w:tc>
          <w:tcPr>
            <w:tcW w:w="1074" w:type="pct"/>
            <w:noWrap w:val="0"/>
            <w:vAlign w:val="center"/>
          </w:tcPr>
          <w:p w14:paraId="716AC77E">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曹村镇</w:t>
            </w:r>
            <w:r>
              <w:rPr>
                <w:rFonts w:hint="eastAsia" w:ascii="Times New Roman" w:hAnsi="Times New Roman" w:eastAsia="楷体_GB2312" w:cs="Times New Roman"/>
              </w:rPr>
              <w:t>商服中心</w:t>
            </w:r>
          </w:p>
        </w:tc>
        <w:tc>
          <w:tcPr>
            <w:tcW w:w="603" w:type="pct"/>
            <w:noWrap w:val="0"/>
            <w:vAlign w:val="center"/>
          </w:tcPr>
          <w:p w14:paraId="686D4985">
            <w:pPr>
              <w:jc w:val="center"/>
              <w:rPr>
                <w:rFonts w:eastAsia="楷体_GB2312"/>
                <w:szCs w:val="21"/>
              </w:rPr>
            </w:pPr>
            <w:r>
              <w:rPr>
                <w:rFonts w:hint="eastAsia" w:eastAsia="楷体_GB2312"/>
                <w:szCs w:val="21"/>
              </w:rPr>
              <w:t>1.00</w:t>
            </w:r>
          </w:p>
        </w:tc>
        <w:tc>
          <w:tcPr>
            <w:tcW w:w="603" w:type="pct"/>
            <w:noWrap w:val="0"/>
            <w:vAlign w:val="center"/>
          </w:tcPr>
          <w:p w14:paraId="101783BF">
            <w:pPr>
              <w:jc w:val="center"/>
              <w:rPr>
                <w:rFonts w:eastAsia="楷体_GB2312"/>
                <w:szCs w:val="21"/>
              </w:rPr>
            </w:pPr>
            <w:r>
              <w:rPr>
                <w:rFonts w:eastAsia="楷体_GB2312"/>
                <w:szCs w:val="21"/>
              </w:rPr>
              <w:t>100</w:t>
            </w:r>
          </w:p>
        </w:tc>
        <w:tc>
          <w:tcPr>
            <w:tcW w:w="603" w:type="pct"/>
            <w:noWrap w:val="0"/>
            <w:vAlign w:val="center"/>
          </w:tcPr>
          <w:p w14:paraId="22637E37">
            <w:pPr>
              <w:jc w:val="center"/>
              <w:rPr>
                <w:rFonts w:eastAsia="楷体_GB2312"/>
                <w:szCs w:val="21"/>
              </w:rPr>
            </w:pPr>
            <w:r>
              <w:rPr>
                <w:rFonts w:eastAsia="楷体_GB2312"/>
                <w:szCs w:val="21"/>
              </w:rPr>
              <w:t>1</w:t>
            </w:r>
          </w:p>
        </w:tc>
        <w:tc>
          <w:tcPr>
            <w:tcW w:w="597" w:type="pct"/>
            <w:noWrap w:val="0"/>
            <w:vAlign w:val="center"/>
          </w:tcPr>
          <w:p w14:paraId="256F5DFA">
            <w:pPr>
              <w:spacing w:line="0" w:lineRule="atLeast"/>
              <w:jc w:val="center"/>
              <w:rPr>
                <w:rFonts w:eastAsia="楷体_GB2312"/>
                <w:szCs w:val="21"/>
              </w:rPr>
            </w:pPr>
            <w:r>
              <w:rPr>
                <w:rFonts w:hint="eastAsia" w:eastAsia="楷体_GB2312"/>
                <w:szCs w:val="21"/>
              </w:rPr>
              <w:t>4000</w:t>
            </w:r>
          </w:p>
        </w:tc>
      </w:tr>
      <w:tr w14:paraId="2A3E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noWrap w:val="0"/>
            <w:vAlign w:val="center"/>
          </w:tcPr>
          <w:p w14:paraId="59DF73CE">
            <w:pPr>
              <w:tabs>
                <w:tab w:val="left" w:pos="0"/>
                <w:tab w:val="left" w:pos="295"/>
              </w:tabs>
              <w:jc w:val="center"/>
              <w:rPr>
                <w:rFonts w:eastAsia="楷体_GB2312"/>
                <w:szCs w:val="21"/>
              </w:rPr>
            </w:pPr>
            <w:r>
              <w:rPr>
                <w:rFonts w:hint="eastAsia" w:eastAsia="楷体_GB2312"/>
                <w:szCs w:val="21"/>
              </w:rPr>
              <w:t>12</w:t>
            </w:r>
          </w:p>
        </w:tc>
        <w:tc>
          <w:tcPr>
            <w:tcW w:w="654" w:type="pct"/>
            <w:noWrap w:val="0"/>
            <w:vAlign w:val="center"/>
          </w:tcPr>
          <w:p w14:paraId="3070F391">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大营镇</w:t>
            </w:r>
          </w:p>
        </w:tc>
        <w:tc>
          <w:tcPr>
            <w:tcW w:w="505" w:type="pct"/>
            <w:noWrap w:val="0"/>
            <w:vAlign w:val="center"/>
          </w:tcPr>
          <w:p w14:paraId="5CE06414">
            <w:pPr>
              <w:tabs>
                <w:tab w:val="left" w:pos="0"/>
                <w:tab w:val="left" w:pos="295"/>
              </w:tabs>
              <w:jc w:val="center"/>
              <w:rPr>
                <w:rFonts w:eastAsia="楷体_GB2312"/>
                <w:szCs w:val="21"/>
              </w:rPr>
            </w:pPr>
            <w:r>
              <w:rPr>
                <w:rFonts w:eastAsia="楷体_GB2312"/>
                <w:szCs w:val="21"/>
              </w:rPr>
              <w:t>01</w:t>
            </w:r>
          </w:p>
        </w:tc>
        <w:tc>
          <w:tcPr>
            <w:tcW w:w="1074" w:type="pct"/>
            <w:noWrap w:val="0"/>
            <w:vAlign w:val="center"/>
          </w:tcPr>
          <w:p w14:paraId="46F25F14">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大营镇</w:t>
            </w:r>
            <w:r>
              <w:rPr>
                <w:rFonts w:hint="eastAsia" w:ascii="Times New Roman" w:hAnsi="Times New Roman" w:eastAsia="楷体_GB2312" w:cs="Times New Roman"/>
              </w:rPr>
              <w:t>商服中心</w:t>
            </w:r>
          </w:p>
        </w:tc>
        <w:tc>
          <w:tcPr>
            <w:tcW w:w="603" w:type="pct"/>
            <w:noWrap w:val="0"/>
            <w:vAlign w:val="center"/>
          </w:tcPr>
          <w:p w14:paraId="4FFD9C7A">
            <w:pPr>
              <w:jc w:val="center"/>
              <w:rPr>
                <w:rFonts w:eastAsia="楷体_GB2312"/>
                <w:szCs w:val="21"/>
              </w:rPr>
            </w:pPr>
            <w:r>
              <w:rPr>
                <w:rFonts w:hint="eastAsia" w:eastAsia="楷体_GB2312"/>
                <w:szCs w:val="21"/>
              </w:rPr>
              <w:t>1.00</w:t>
            </w:r>
          </w:p>
        </w:tc>
        <w:tc>
          <w:tcPr>
            <w:tcW w:w="603" w:type="pct"/>
            <w:noWrap w:val="0"/>
            <w:vAlign w:val="center"/>
          </w:tcPr>
          <w:p w14:paraId="3B82E2D3">
            <w:pPr>
              <w:jc w:val="center"/>
              <w:rPr>
                <w:rFonts w:eastAsia="楷体_GB2312"/>
                <w:szCs w:val="21"/>
              </w:rPr>
            </w:pPr>
            <w:r>
              <w:rPr>
                <w:rFonts w:eastAsia="楷体_GB2312"/>
                <w:szCs w:val="21"/>
              </w:rPr>
              <w:t>100</w:t>
            </w:r>
          </w:p>
        </w:tc>
        <w:tc>
          <w:tcPr>
            <w:tcW w:w="603" w:type="pct"/>
            <w:noWrap w:val="0"/>
            <w:vAlign w:val="center"/>
          </w:tcPr>
          <w:p w14:paraId="088757CB">
            <w:pPr>
              <w:jc w:val="center"/>
              <w:rPr>
                <w:rFonts w:eastAsia="楷体_GB2312"/>
                <w:szCs w:val="21"/>
              </w:rPr>
            </w:pPr>
            <w:r>
              <w:rPr>
                <w:rFonts w:eastAsia="楷体_GB2312"/>
                <w:szCs w:val="21"/>
              </w:rPr>
              <w:t>1</w:t>
            </w:r>
          </w:p>
        </w:tc>
        <w:tc>
          <w:tcPr>
            <w:tcW w:w="597" w:type="pct"/>
            <w:noWrap w:val="0"/>
            <w:vAlign w:val="center"/>
          </w:tcPr>
          <w:p w14:paraId="1FE0F288">
            <w:pPr>
              <w:spacing w:line="0" w:lineRule="atLeast"/>
              <w:jc w:val="center"/>
              <w:rPr>
                <w:rFonts w:eastAsia="楷体_GB2312"/>
                <w:szCs w:val="21"/>
              </w:rPr>
            </w:pPr>
            <w:r>
              <w:rPr>
                <w:rFonts w:hint="eastAsia" w:eastAsia="楷体_GB2312"/>
                <w:szCs w:val="21"/>
              </w:rPr>
              <w:t>1400</w:t>
            </w:r>
          </w:p>
        </w:tc>
      </w:tr>
      <w:tr w14:paraId="2DAF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noWrap w:val="0"/>
            <w:vAlign w:val="center"/>
          </w:tcPr>
          <w:p w14:paraId="4112A3B9">
            <w:pPr>
              <w:tabs>
                <w:tab w:val="left" w:pos="0"/>
                <w:tab w:val="left" w:pos="295"/>
              </w:tabs>
              <w:jc w:val="center"/>
              <w:rPr>
                <w:rFonts w:eastAsia="楷体_GB2312"/>
                <w:szCs w:val="21"/>
              </w:rPr>
            </w:pPr>
            <w:r>
              <w:rPr>
                <w:rFonts w:hint="eastAsia" w:eastAsia="楷体_GB2312"/>
                <w:szCs w:val="21"/>
              </w:rPr>
              <w:t>13</w:t>
            </w:r>
          </w:p>
        </w:tc>
        <w:tc>
          <w:tcPr>
            <w:tcW w:w="654" w:type="pct"/>
            <w:noWrap w:val="0"/>
            <w:vAlign w:val="center"/>
          </w:tcPr>
          <w:p w14:paraId="5FB3520E">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褚兰镇</w:t>
            </w:r>
          </w:p>
        </w:tc>
        <w:tc>
          <w:tcPr>
            <w:tcW w:w="505" w:type="pct"/>
            <w:noWrap w:val="0"/>
            <w:vAlign w:val="center"/>
          </w:tcPr>
          <w:p w14:paraId="0BDB5876">
            <w:pPr>
              <w:tabs>
                <w:tab w:val="left" w:pos="0"/>
                <w:tab w:val="left" w:pos="295"/>
              </w:tabs>
              <w:jc w:val="center"/>
              <w:rPr>
                <w:rFonts w:eastAsia="楷体_GB2312"/>
                <w:szCs w:val="21"/>
              </w:rPr>
            </w:pPr>
            <w:r>
              <w:rPr>
                <w:rFonts w:eastAsia="楷体_GB2312"/>
                <w:szCs w:val="21"/>
              </w:rPr>
              <w:t>01</w:t>
            </w:r>
          </w:p>
        </w:tc>
        <w:tc>
          <w:tcPr>
            <w:tcW w:w="1074" w:type="pct"/>
            <w:noWrap w:val="0"/>
            <w:vAlign w:val="center"/>
          </w:tcPr>
          <w:p w14:paraId="17A7D448">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褚兰镇</w:t>
            </w:r>
            <w:r>
              <w:rPr>
                <w:rFonts w:hint="eastAsia" w:ascii="Times New Roman" w:hAnsi="Times New Roman" w:eastAsia="楷体_GB2312" w:cs="Times New Roman"/>
              </w:rPr>
              <w:t>商服中心</w:t>
            </w:r>
          </w:p>
        </w:tc>
        <w:tc>
          <w:tcPr>
            <w:tcW w:w="603" w:type="pct"/>
            <w:noWrap w:val="0"/>
            <w:vAlign w:val="center"/>
          </w:tcPr>
          <w:p w14:paraId="5B4CD94A">
            <w:pPr>
              <w:jc w:val="center"/>
              <w:rPr>
                <w:rFonts w:eastAsia="楷体_GB2312"/>
                <w:szCs w:val="21"/>
              </w:rPr>
            </w:pPr>
            <w:r>
              <w:rPr>
                <w:rFonts w:hint="eastAsia" w:eastAsia="楷体_GB2312"/>
                <w:szCs w:val="21"/>
              </w:rPr>
              <w:t>1.00</w:t>
            </w:r>
          </w:p>
        </w:tc>
        <w:tc>
          <w:tcPr>
            <w:tcW w:w="603" w:type="pct"/>
            <w:noWrap w:val="0"/>
            <w:vAlign w:val="center"/>
          </w:tcPr>
          <w:p w14:paraId="47A75103">
            <w:pPr>
              <w:jc w:val="center"/>
              <w:rPr>
                <w:rFonts w:eastAsia="楷体_GB2312"/>
                <w:szCs w:val="21"/>
              </w:rPr>
            </w:pPr>
            <w:r>
              <w:rPr>
                <w:rFonts w:eastAsia="楷体_GB2312"/>
                <w:szCs w:val="21"/>
              </w:rPr>
              <w:t>100</w:t>
            </w:r>
          </w:p>
        </w:tc>
        <w:tc>
          <w:tcPr>
            <w:tcW w:w="603" w:type="pct"/>
            <w:noWrap w:val="0"/>
            <w:vAlign w:val="center"/>
          </w:tcPr>
          <w:p w14:paraId="3B15B3E5">
            <w:pPr>
              <w:jc w:val="center"/>
              <w:rPr>
                <w:rFonts w:eastAsia="楷体_GB2312"/>
                <w:szCs w:val="21"/>
              </w:rPr>
            </w:pPr>
            <w:r>
              <w:rPr>
                <w:rFonts w:eastAsia="楷体_GB2312"/>
                <w:szCs w:val="21"/>
              </w:rPr>
              <w:t>1</w:t>
            </w:r>
          </w:p>
        </w:tc>
        <w:tc>
          <w:tcPr>
            <w:tcW w:w="597" w:type="pct"/>
            <w:noWrap w:val="0"/>
            <w:vAlign w:val="center"/>
          </w:tcPr>
          <w:p w14:paraId="47CC31E8">
            <w:pPr>
              <w:spacing w:line="0" w:lineRule="atLeast"/>
              <w:jc w:val="center"/>
              <w:rPr>
                <w:rFonts w:eastAsia="楷体_GB2312"/>
                <w:szCs w:val="21"/>
              </w:rPr>
            </w:pPr>
            <w:r>
              <w:rPr>
                <w:rFonts w:hint="eastAsia" w:eastAsia="楷体_GB2312"/>
                <w:szCs w:val="21"/>
              </w:rPr>
              <w:t>1500</w:t>
            </w:r>
          </w:p>
        </w:tc>
      </w:tr>
      <w:tr w14:paraId="04872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noWrap w:val="0"/>
            <w:vAlign w:val="center"/>
          </w:tcPr>
          <w:p w14:paraId="6FBED59B">
            <w:pPr>
              <w:tabs>
                <w:tab w:val="left" w:pos="0"/>
                <w:tab w:val="left" w:pos="295"/>
              </w:tabs>
              <w:jc w:val="center"/>
              <w:rPr>
                <w:rFonts w:eastAsia="楷体_GB2312"/>
                <w:szCs w:val="21"/>
              </w:rPr>
            </w:pPr>
            <w:r>
              <w:rPr>
                <w:rFonts w:hint="eastAsia" w:eastAsia="楷体_GB2312"/>
                <w:szCs w:val="21"/>
              </w:rPr>
              <w:t>14</w:t>
            </w:r>
          </w:p>
        </w:tc>
        <w:tc>
          <w:tcPr>
            <w:tcW w:w="654" w:type="pct"/>
            <w:noWrap w:val="0"/>
            <w:vAlign w:val="center"/>
          </w:tcPr>
          <w:p w14:paraId="4C736875">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顺河镇</w:t>
            </w:r>
          </w:p>
        </w:tc>
        <w:tc>
          <w:tcPr>
            <w:tcW w:w="505" w:type="pct"/>
            <w:noWrap w:val="0"/>
            <w:vAlign w:val="center"/>
          </w:tcPr>
          <w:p w14:paraId="3ED9C4DA">
            <w:pPr>
              <w:tabs>
                <w:tab w:val="left" w:pos="0"/>
                <w:tab w:val="left" w:pos="295"/>
              </w:tabs>
              <w:jc w:val="center"/>
              <w:rPr>
                <w:rFonts w:eastAsia="楷体_GB2312"/>
                <w:szCs w:val="21"/>
              </w:rPr>
            </w:pPr>
            <w:r>
              <w:rPr>
                <w:rFonts w:eastAsia="楷体_GB2312"/>
                <w:szCs w:val="21"/>
              </w:rPr>
              <w:t>01</w:t>
            </w:r>
          </w:p>
        </w:tc>
        <w:tc>
          <w:tcPr>
            <w:tcW w:w="1074" w:type="pct"/>
            <w:noWrap w:val="0"/>
            <w:vAlign w:val="center"/>
          </w:tcPr>
          <w:p w14:paraId="37A7B749">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顺河镇</w:t>
            </w:r>
            <w:r>
              <w:rPr>
                <w:rFonts w:hint="eastAsia" w:ascii="Times New Roman" w:hAnsi="Times New Roman" w:eastAsia="楷体_GB2312" w:cs="Times New Roman"/>
              </w:rPr>
              <w:t>商服中心</w:t>
            </w:r>
          </w:p>
        </w:tc>
        <w:tc>
          <w:tcPr>
            <w:tcW w:w="603" w:type="pct"/>
            <w:noWrap w:val="0"/>
            <w:vAlign w:val="center"/>
          </w:tcPr>
          <w:p w14:paraId="38911766">
            <w:pPr>
              <w:jc w:val="center"/>
              <w:rPr>
                <w:rFonts w:eastAsia="楷体_GB2312"/>
                <w:szCs w:val="21"/>
              </w:rPr>
            </w:pPr>
            <w:r>
              <w:rPr>
                <w:rFonts w:hint="eastAsia" w:eastAsia="楷体_GB2312"/>
                <w:szCs w:val="21"/>
              </w:rPr>
              <w:t>1.00</w:t>
            </w:r>
          </w:p>
        </w:tc>
        <w:tc>
          <w:tcPr>
            <w:tcW w:w="603" w:type="pct"/>
            <w:noWrap w:val="0"/>
            <w:vAlign w:val="center"/>
          </w:tcPr>
          <w:p w14:paraId="06F86AA7">
            <w:pPr>
              <w:jc w:val="center"/>
              <w:rPr>
                <w:rFonts w:eastAsia="楷体_GB2312"/>
                <w:szCs w:val="21"/>
              </w:rPr>
            </w:pPr>
            <w:r>
              <w:rPr>
                <w:rFonts w:eastAsia="楷体_GB2312"/>
                <w:szCs w:val="21"/>
              </w:rPr>
              <w:t>100</w:t>
            </w:r>
          </w:p>
        </w:tc>
        <w:tc>
          <w:tcPr>
            <w:tcW w:w="603" w:type="pct"/>
            <w:noWrap w:val="0"/>
            <w:vAlign w:val="center"/>
          </w:tcPr>
          <w:p w14:paraId="53763810">
            <w:pPr>
              <w:jc w:val="center"/>
              <w:rPr>
                <w:rFonts w:eastAsia="楷体_GB2312"/>
                <w:szCs w:val="21"/>
              </w:rPr>
            </w:pPr>
            <w:r>
              <w:rPr>
                <w:rFonts w:eastAsia="楷体_GB2312"/>
                <w:szCs w:val="21"/>
              </w:rPr>
              <w:t>1</w:t>
            </w:r>
          </w:p>
        </w:tc>
        <w:tc>
          <w:tcPr>
            <w:tcW w:w="597" w:type="pct"/>
            <w:noWrap w:val="0"/>
            <w:vAlign w:val="center"/>
          </w:tcPr>
          <w:p w14:paraId="0404C775">
            <w:pPr>
              <w:spacing w:line="0" w:lineRule="atLeast"/>
              <w:jc w:val="center"/>
              <w:rPr>
                <w:rFonts w:eastAsia="楷体_GB2312"/>
                <w:szCs w:val="21"/>
              </w:rPr>
            </w:pPr>
            <w:r>
              <w:rPr>
                <w:rFonts w:hint="eastAsia" w:eastAsia="楷体_GB2312"/>
                <w:szCs w:val="21"/>
              </w:rPr>
              <w:t>3900</w:t>
            </w:r>
          </w:p>
        </w:tc>
      </w:tr>
      <w:tr w14:paraId="74989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noWrap w:val="0"/>
            <w:vAlign w:val="center"/>
          </w:tcPr>
          <w:p w14:paraId="46F4858A">
            <w:pPr>
              <w:tabs>
                <w:tab w:val="left" w:pos="0"/>
                <w:tab w:val="left" w:pos="295"/>
              </w:tabs>
              <w:jc w:val="center"/>
              <w:rPr>
                <w:rFonts w:eastAsia="楷体_GB2312"/>
                <w:szCs w:val="21"/>
              </w:rPr>
            </w:pPr>
            <w:r>
              <w:rPr>
                <w:rFonts w:hint="eastAsia" w:eastAsia="楷体_GB2312"/>
                <w:szCs w:val="21"/>
              </w:rPr>
              <w:t>15</w:t>
            </w:r>
          </w:p>
        </w:tc>
        <w:tc>
          <w:tcPr>
            <w:tcW w:w="654" w:type="pct"/>
            <w:noWrap w:val="0"/>
            <w:vAlign w:val="center"/>
          </w:tcPr>
          <w:p w14:paraId="3662DF5C">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杨庄镇</w:t>
            </w:r>
          </w:p>
        </w:tc>
        <w:tc>
          <w:tcPr>
            <w:tcW w:w="505" w:type="pct"/>
            <w:noWrap w:val="0"/>
            <w:vAlign w:val="center"/>
          </w:tcPr>
          <w:p w14:paraId="66090306">
            <w:pPr>
              <w:tabs>
                <w:tab w:val="left" w:pos="0"/>
                <w:tab w:val="left" w:pos="295"/>
              </w:tabs>
              <w:jc w:val="center"/>
              <w:rPr>
                <w:rFonts w:eastAsia="楷体_GB2312"/>
                <w:szCs w:val="21"/>
              </w:rPr>
            </w:pPr>
            <w:r>
              <w:rPr>
                <w:rFonts w:eastAsia="楷体_GB2312"/>
                <w:szCs w:val="21"/>
              </w:rPr>
              <w:t>01</w:t>
            </w:r>
          </w:p>
        </w:tc>
        <w:tc>
          <w:tcPr>
            <w:tcW w:w="1074" w:type="pct"/>
            <w:noWrap w:val="0"/>
            <w:vAlign w:val="center"/>
          </w:tcPr>
          <w:p w14:paraId="13502550">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杨庄镇</w:t>
            </w:r>
            <w:r>
              <w:rPr>
                <w:rFonts w:hint="eastAsia" w:ascii="Times New Roman" w:hAnsi="Times New Roman" w:eastAsia="楷体_GB2312" w:cs="Times New Roman"/>
              </w:rPr>
              <w:t>商服中心</w:t>
            </w:r>
          </w:p>
        </w:tc>
        <w:tc>
          <w:tcPr>
            <w:tcW w:w="603" w:type="pct"/>
            <w:noWrap w:val="0"/>
            <w:vAlign w:val="center"/>
          </w:tcPr>
          <w:p w14:paraId="0A9F5193">
            <w:pPr>
              <w:jc w:val="center"/>
              <w:rPr>
                <w:rFonts w:eastAsia="楷体_GB2312"/>
                <w:szCs w:val="21"/>
              </w:rPr>
            </w:pPr>
            <w:r>
              <w:rPr>
                <w:rFonts w:hint="eastAsia" w:eastAsia="楷体_GB2312"/>
                <w:szCs w:val="21"/>
              </w:rPr>
              <w:t>1.00</w:t>
            </w:r>
          </w:p>
        </w:tc>
        <w:tc>
          <w:tcPr>
            <w:tcW w:w="603" w:type="pct"/>
            <w:noWrap w:val="0"/>
            <w:vAlign w:val="center"/>
          </w:tcPr>
          <w:p w14:paraId="7F90933F">
            <w:pPr>
              <w:jc w:val="center"/>
              <w:rPr>
                <w:rFonts w:eastAsia="楷体_GB2312"/>
                <w:szCs w:val="21"/>
              </w:rPr>
            </w:pPr>
            <w:r>
              <w:rPr>
                <w:rFonts w:eastAsia="楷体_GB2312"/>
                <w:szCs w:val="21"/>
              </w:rPr>
              <w:t>100</w:t>
            </w:r>
          </w:p>
        </w:tc>
        <w:tc>
          <w:tcPr>
            <w:tcW w:w="603" w:type="pct"/>
            <w:noWrap w:val="0"/>
            <w:vAlign w:val="center"/>
          </w:tcPr>
          <w:p w14:paraId="049B5307">
            <w:pPr>
              <w:jc w:val="center"/>
              <w:rPr>
                <w:rFonts w:eastAsia="楷体_GB2312"/>
                <w:szCs w:val="21"/>
              </w:rPr>
            </w:pPr>
            <w:r>
              <w:rPr>
                <w:rFonts w:eastAsia="楷体_GB2312"/>
                <w:szCs w:val="21"/>
              </w:rPr>
              <w:t>1</w:t>
            </w:r>
          </w:p>
        </w:tc>
        <w:tc>
          <w:tcPr>
            <w:tcW w:w="597" w:type="pct"/>
            <w:noWrap w:val="0"/>
            <w:vAlign w:val="center"/>
          </w:tcPr>
          <w:p w14:paraId="0E50DE9E">
            <w:pPr>
              <w:spacing w:line="0" w:lineRule="atLeast"/>
              <w:jc w:val="center"/>
              <w:rPr>
                <w:rFonts w:eastAsia="楷体_GB2312"/>
                <w:szCs w:val="21"/>
              </w:rPr>
            </w:pPr>
            <w:r>
              <w:rPr>
                <w:rFonts w:hint="eastAsia" w:eastAsia="楷体_GB2312"/>
                <w:szCs w:val="21"/>
              </w:rPr>
              <w:t>800</w:t>
            </w:r>
          </w:p>
        </w:tc>
      </w:tr>
      <w:tr w14:paraId="0175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noWrap w:val="0"/>
            <w:vAlign w:val="center"/>
          </w:tcPr>
          <w:p w14:paraId="2BB40531">
            <w:pPr>
              <w:tabs>
                <w:tab w:val="left" w:pos="0"/>
                <w:tab w:val="left" w:pos="295"/>
              </w:tabs>
              <w:jc w:val="center"/>
              <w:rPr>
                <w:rFonts w:eastAsia="楷体_GB2312"/>
                <w:szCs w:val="21"/>
              </w:rPr>
            </w:pPr>
            <w:r>
              <w:rPr>
                <w:rFonts w:hint="eastAsia" w:eastAsia="楷体_GB2312"/>
                <w:szCs w:val="21"/>
              </w:rPr>
              <w:t>16</w:t>
            </w:r>
          </w:p>
        </w:tc>
        <w:tc>
          <w:tcPr>
            <w:tcW w:w="654" w:type="pct"/>
            <w:noWrap w:val="0"/>
            <w:vAlign w:val="center"/>
          </w:tcPr>
          <w:p w14:paraId="6A202656">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永镇乡</w:t>
            </w:r>
          </w:p>
        </w:tc>
        <w:tc>
          <w:tcPr>
            <w:tcW w:w="505" w:type="pct"/>
            <w:noWrap w:val="0"/>
            <w:vAlign w:val="center"/>
          </w:tcPr>
          <w:p w14:paraId="5736024E">
            <w:pPr>
              <w:tabs>
                <w:tab w:val="left" w:pos="0"/>
                <w:tab w:val="left" w:pos="295"/>
              </w:tabs>
              <w:jc w:val="center"/>
              <w:rPr>
                <w:rFonts w:eastAsia="楷体_GB2312"/>
                <w:szCs w:val="21"/>
              </w:rPr>
            </w:pPr>
            <w:r>
              <w:rPr>
                <w:rFonts w:eastAsia="楷体_GB2312"/>
                <w:szCs w:val="21"/>
              </w:rPr>
              <w:t>01</w:t>
            </w:r>
          </w:p>
        </w:tc>
        <w:tc>
          <w:tcPr>
            <w:tcW w:w="1074" w:type="pct"/>
            <w:noWrap w:val="0"/>
            <w:vAlign w:val="center"/>
          </w:tcPr>
          <w:p w14:paraId="1141B97F">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永镇乡</w:t>
            </w:r>
            <w:r>
              <w:rPr>
                <w:rFonts w:hint="eastAsia" w:ascii="Times New Roman" w:hAnsi="Times New Roman" w:eastAsia="楷体_GB2312" w:cs="Times New Roman"/>
              </w:rPr>
              <w:t>商服中心</w:t>
            </w:r>
          </w:p>
        </w:tc>
        <w:tc>
          <w:tcPr>
            <w:tcW w:w="603" w:type="pct"/>
            <w:noWrap w:val="0"/>
            <w:vAlign w:val="center"/>
          </w:tcPr>
          <w:p w14:paraId="1C933E1E">
            <w:pPr>
              <w:jc w:val="center"/>
              <w:rPr>
                <w:rFonts w:eastAsia="楷体_GB2312"/>
                <w:szCs w:val="21"/>
              </w:rPr>
            </w:pPr>
            <w:r>
              <w:rPr>
                <w:rFonts w:hint="eastAsia" w:eastAsia="楷体_GB2312"/>
                <w:szCs w:val="21"/>
              </w:rPr>
              <w:t>1.00</w:t>
            </w:r>
          </w:p>
        </w:tc>
        <w:tc>
          <w:tcPr>
            <w:tcW w:w="603" w:type="pct"/>
            <w:noWrap w:val="0"/>
            <w:vAlign w:val="center"/>
          </w:tcPr>
          <w:p w14:paraId="256365FD">
            <w:pPr>
              <w:jc w:val="center"/>
              <w:rPr>
                <w:rFonts w:eastAsia="楷体_GB2312"/>
                <w:szCs w:val="21"/>
              </w:rPr>
            </w:pPr>
            <w:r>
              <w:rPr>
                <w:rFonts w:eastAsia="楷体_GB2312"/>
                <w:szCs w:val="21"/>
              </w:rPr>
              <w:t>100</w:t>
            </w:r>
          </w:p>
        </w:tc>
        <w:tc>
          <w:tcPr>
            <w:tcW w:w="603" w:type="pct"/>
            <w:noWrap w:val="0"/>
            <w:vAlign w:val="center"/>
          </w:tcPr>
          <w:p w14:paraId="14BD4743">
            <w:pPr>
              <w:jc w:val="center"/>
              <w:rPr>
                <w:rFonts w:eastAsia="楷体_GB2312"/>
                <w:szCs w:val="21"/>
              </w:rPr>
            </w:pPr>
            <w:r>
              <w:rPr>
                <w:rFonts w:eastAsia="楷体_GB2312"/>
                <w:szCs w:val="21"/>
              </w:rPr>
              <w:t>1</w:t>
            </w:r>
          </w:p>
        </w:tc>
        <w:tc>
          <w:tcPr>
            <w:tcW w:w="597" w:type="pct"/>
            <w:noWrap w:val="0"/>
            <w:vAlign w:val="center"/>
          </w:tcPr>
          <w:p w14:paraId="72A7D797">
            <w:pPr>
              <w:spacing w:line="0" w:lineRule="atLeast"/>
              <w:jc w:val="center"/>
              <w:rPr>
                <w:rFonts w:eastAsia="楷体_GB2312"/>
                <w:szCs w:val="21"/>
              </w:rPr>
            </w:pPr>
            <w:r>
              <w:rPr>
                <w:rFonts w:hint="eastAsia" w:eastAsia="楷体_GB2312"/>
                <w:szCs w:val="21"/>
              </w:rPr>
              <w:t>1500</w:t>
            </w:r>
          </w:p>
        </w:tc>
      </w:tr>
      <w:tr w14:paraId="2498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noWrap w:val="0"/>
            <w:vAlign w:val="center"/>
          </w:tcPr>
          <w:p w14:paraId="4BB60D7C">
            <w:pPr>
              <w:tabs>
                <w:tab w:val="left" w:pos="0"/>
                <w:tab w:val="left" w:pos="295"/>
              </w:tabs>
              <w:jc w:val="center"/>
              <w:rPr>
                <w:rFonts w:eastAsia="楷体_GB2312"/>
                <w:szCs w:val="21"/>
              </w:rPr>
            </w:pPr>
            <w:r>
              <w:rPr>
                <w:rFonts w:hint="eastAsia" w:eastAsia="楷体_GB2312"/>
                <w:szCs w:val="21"/>
              </w:rPr>
              <w:t>17</w:t>
            </w:r>
          </w:p>
        </w:tc>
        <w:tc>
          <w:tcPr>
            <w:tcW w:w="654" w:type="pct"/>
            <w:noWrap w:val="0"/>
            <w:vAlign w:val="center"/>
          </w:tcPr>
          <w:p w14:paraId="79AB0723">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解集镇</w:t>
            </w:r>
          </w:p>
        </w:tc>
        <w:tc>
          <w:tcPr>
            <w:tcW w:w="505" w:type="pct"/>
            <w:noWrap w:val="0"/>
            <w:vAlign w:val="center"/>
          </w:tcPr>
          <w:p w14:paraId="082100DE">
            <w:pPr>
              <w:tabs>
                <w:tab w:val="left" w:pos="0"/>
                <w:tab w:val="left" w:pos="295"/>
              </w:tabs>
              <w:jc w:val="center"/>
              <w:rPr>
                <w:rFonts w:eastAsia="楷体_GB2312"/>
                <w:szCs w:val="21"/>
              </w:rPr>
            </w:pPr>
            <w:r>
              <w:rPr>
                <w:rFonts w:eastAsia="楷体_GB2312"/>
                <w:szCs w:val="21"/>
              </w:rPr>
              <w:t>01</w:t>
            </w:r>
          </w:p>
        </w:tc>
        <w:tc>
          <w:tcPr>
            <w:tcW w:w="1074" w:type="pct"/>
            <w:noWrap w:val="0"/>
            <w:vAlign w:val="center"/>
          </w:tcPr>
          <w:p w14:paraId="136A3383">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解集镇</w:t>
            </w:r>
            <w:r>
              <w:rPr>
                <w:rFonts w:hint="eastAsia" w:ascii="Times New Roman" w:hAnsi="Times New Roman" w:eastAsia="楷体_GB2312" w:cs="Times New Roman"/>
              </w:rPr>
              <w:t>商服中心</w:t>
            </w:r>
          </w:p>
        </w:tc>
        <w:tc>
          <w:tcPr>
            <w:tcW w:w="603" w:type="pct"/>
            <w:noWrap w:val="0"/>
            <w:vAlign w:val="center"/>
          </w:tcPr>
          <w:p w14:paraId="36374F03">
            <w:pPr>
              <w:jc w:val="center"/>
              <w:rPr>
                <w:rFonts w:eastAsia="楷体_GB2312"/>
                <w:szCs w:val="21"/>
              </w:rPr>
            </w:pPr>
            <w:r>
              <w:rPr>
                <w:rFonts w:hint="eastAsia" w:eastAsia="楷体_GB2312"/>
                <w:szCs w:val="21"/>
              </w:rPr>
              <w:t>1.00</w:t>
            </w:r>
          </w:p>
        </w:tc>
        <w:tc>
          <w:tcPr>
            <w:tcW w:w="603" w:type="pct"/>
            <w:noWrap w:val="0"/>
            <w:vAlign w:val="center"/>
          </w:tcPr>
          <w:p w14:paraId="6CA6F5C8">
            <w:pPr>
              <w:jc w:val="center"/>
              <w:rPr>
                <w:rFonts w:eastAsia="楷体_GB2312"/>
                <w:szCs w:val="21"/>
              </w:rPr>
            </w:pPr>
            <w:r>
              <w:rPr>
                <w:rFonts w:eastAsia="楷体_GB2312"/>
                <w:szCs w:val="21"/>
              </w:rPr>
              <w:t>100</w:t>
            </w:r>
          </w:p>
        </w:tc>
        <w:tc>
          <w:tcPr>
            <w:tcW w:w="603" w:type="pct"/>
            <w:noWrap w:val="0"/>
            <w:vAlign w:val="center"/>
          </w:tcPr>
          <w:p w14:paraId="0557BC6F">
            <w:pPr>
              <w:jc w:val="center"/>
              <w:rPr>
                <w:rFonts w:eastAsia="楷体_GB2312"/>
                <w:szCs w:val="21"/>
              </w:rPr>
            </w:pPr>
            <w:r>
              <w:rPr>
                <w:rFonts w:eastAsia="楷体_GB2312"/>
                <w:szCs w:val="21"/>
              </w:rPr>
              <w:t>1</w:t>
            </w:r>
          </w:p>
        </w:tc>
        <w:tc>
          <w:tcPr>
            <w:tcW w:w="597" w:type="pct"/>
            <w:noWrap w:val="0"/>
            <w:vAlign w:val="center"/>
          </w:tcPr>
          <w:p w14:paraId="14FAB6A2">
            <w:pPr>
              <w:spacing w:line="0" w:lineRule="atLeast"/>
              <w:jc w:val="center"/>
              <w:rPr>
                <w:rFonts w:eastAsia="楷体_GB2312"/>
                <w:szCs w:val="21"/>
              </w:rPr>
            </w:pPr>
            <w:r>
              <w:rPr>
                <w:rFonts w:hint="eastAsia" w:eastAsia="楷体_GB2312"/>
                <w:szCs w:val="21"/>
              </w:rPr>
              <w:t>1300</w:t>
            </w:r>
          </w:p>
        </w:tc>
      </w:tr>
      <w:tr w14:paraId="07A2F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noWrap w:val="0"/>
            <w:vAlign w:val="center"/>
          </w:tcPr>
          <w:p w14:paraId="4D457AAF">
            <w:pPr>
              <w:tabs>
                <w:tab w:val="left" w:pos="0"/>
                <w:tab w:val="left" w:pos="295"/>
              </w:tabs>
              <w:jc w:val="center"/>
              <w:rPr>
                <w:rFonts w:eastAsia="楷体_GB2312"/>
                <w:szCs w:val="21"/>
              </w:rPr>
            </w:pPr>
            <w:r>
              <w:rPr>
                <w:rFonts w:hint="eastAsia" w:eastAsia="楷体_GB2312"/>
                <w:szCs w:val="21"/>
              </w:rPr>
              <w:t>18</w:t>
            </w:r>
          </w:p>
        </w:tc>
        <w:tc>
          <w:tcPr>
            <w:tcW w:w="654" w:type="pct"/>
            <w:noWrap w:val="0"/>
            <w:vAlign w:val="center"/>
          </w:tcPr>
          <w:p w14:paraId="05FFDBB1">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大泽乡镇</w:t>
            </w:r>
          </w:p>
        </w:tc>
        <w:tc>
          <w:tcPr>
            <w:tcW w:w="505" w:type="pct"/>
            <w:noWrap w:val="0"/>
            <w:vAlign w:val="center"/>
          </w:tcPr>
          <w:p w14:paraId="3DCA5861">
            <w:pPr>
              <w:tabs>
                <w:tab w:val="left" w:pos="0"/>
                <w:tab w:val="left" w:pos="295"/>
              </w:tabs>
              <w:jc w:val="center"/>
              <w:rPr>
                <w:rFonts w:eastAsia="楷体_GB2312"/>
                <w:szCs w:val="21"/>
              </w:rPr>
            </w:pPr>
            <w:r>
              <w:rPr>
                <w:rFonts w:eastAsia="楷体_GB2312"/>
                <w:szCs w:val="21"/>
              </w:rPr>
              <w:t>01</w:t>
            </w:r>
          </w:p>
        </w:tc>
        <w:tc>
          <w:tcPr>
            <w:tcW w:w="1074" w:type="pct"/>
            <w:noWrap w:val="0"/>
            <w:vAlign w:val="center"/>
          </w:tcPr>
          <w:p w14:paraId="56AFA06E">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大泽乡镇</w:t>
            </w:r>
            <w:r>
              <w:rPr>
                <w:rFonts w:hint="eastAsia" w:ascii="Times New Roman" w:hAnsi="Times New Roman" w:eastAsia="楷体_GB2312" w:cs="Times New Roman"/>
              </w:rPr>
              <w:t>商服中心</w:t>
            </w:r>
          </w:p>
        </w:tc>
        <w:tc>
          <w:tcPr>
            <w:tcW w:w="603" w:type="pct"/>
            <w:noWrap w:val="0"/>
            <w:vAlign w:val="center"/>
          </w:tcPr>
          <w:p w14:paraId="2471BE0B">
            <w:pPr>
              <w:jc w:val="center"/>
              <w:rPr>
                <w:rFonts w:eastAsia="楷体_GB2312"/>
                <w:szCs w:val="21"/>
              </w:rPr>
            </w:pPr>
            <w:r>
              <w:rPr>
                <w:rFonts w:hint="eastAsia" w:eastAsia="楷体_GB2312"/>
                <w:szCs w:val="21"/>
              </w:rPr>
              <w:t>1.00</w:t>
            </w:r>
          </w:p>
        </w:tc>
        <w:tc>
          <w:tcPr>
            <w:tcW w:w="603" w:type="pct"/>
            <w:noWrap w:val="0"/>
            <w:vAlign w:val="center"/>
          </w:tcPr>
          <w:p w14:paraId="46949329">
            <w:pPr>
              <w:jc w:val="center"/>
              <w:rPr>
                <w:rFonts w:eastAsia="楷体_GB2312"/>
                <w:szCs w:val="21"/>
              </w:rPr>
            </w:pPr>
            <w:r>
              <w:rPr>
                <w:rFonts w:eastAsia="楷体_GB2312"/>
                <w:szCs w:val="21"/>
              </w:rPr>
              <w:t>100</w:t>
            </w:r>
          </w:p>
        </w:tc>
        <w:tc>
          <w:tcPr>
            <w:tcW w:w="603" w:type="pct"/>
            <w:noWrap w:val="0"/>
            <w:vAlign w:val="center"/>
          </w:tcPr>
          <w:p w14:paraId="639A000C">
            <w:pPr>
              <w:jc w:val="center"/>
              <w:rPr>
                <w:rFonts w:eastAsia="楷体_GB2312"/>
                <w:szCs w:val="21"/>
              </w:rPr>
            </w:pPr>
            <w:r>
              <w:rPr>
                <w:rFonts w:eastAsia="楷体_GB2312"/>
                <w:szCs w:val="21"/>
              </w:rPr>
              <w:t>1</w:t>
            </w:r>
          </w:p>
        </w:tc>
        <w:tc>
          <w:tcPr>
            <w:tcW w:w="597" w:type="pct"/>
            <w:noWrap w:val="0"/>
            <w:vAlign w:val="center"/>
          </w:tcPr>
          <w:p w14:paraId="222BE2CA">
            <w:pPr>
              <w:spacing w:line="0" w:lineRule="atLeast"/>
              <w:jc w:val="center"/>
              <w:rPr>
                <w:rFonts w:eastAsia="楷体_GB2312"/>
                <w:szCs w:val="21"/>
              </w:rPr>
            </w:pPr>
            <w:r>
              <w:rPr>
                <w:rFonts w:hint="eastAsia" w:eastAsia="楷体_GB2312"/>
                <w:szCs w:val="21"/>
              </w:rPr>
              <w:t>1600</w:t>
            </w:r>
          </w:p>
        </w:tc>
      </w:tr>
      <w:tr w14:paraId="10803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noWrap w:val="0"/>
            <w:vAlign w:val="center"/>
          </w:tcPr>
          <w:p w14:paraId="5C152D14">
            <w:pPr>
              <w:tabs>
                <w:tab w:val="left" w:pos="0"/>
                <w:tab w:val="left" w:pos="295"/>
              </w:tabs>
              <w:jc w:val="center"/>
              <w:rPr>
                <w:rFonts w:eastAsia="楷体_GB2312"/>
                <w:szCs w:val="21"/>
              </w:rPr>
            </w:pPr>
            <w:r>
              <w:rPr>
                <w:rFonts w:hint="eastAsia" w:eastAsia="楷体_GB2312"/>
                <w:szCs w:val="21"/>
              </w:rPr>
              <w:t>19</w:t>
            </w:r>
          </w:p>
        </w:tc>
        <w:tc>
          <w:tcPr>
            <w:tcW w:w="654" w:type="pct"/>
            <w:noWrap w:val="0"/>
            <w:vAlign w:val="center"/>
          </w:tcPr>
          <w:p w14:paraId="4D244A16">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永安镇</w:t>
            </w:r>
          </w:p>
        </w:tc>
        <w:tc>
          <w:tcPr>
            <w:tcW w:w="505" w:type="pct"/>
            <w:noWrap w:val="0"/>
            <w:vAlign w:val="center"/>
          </w:tcPr>
          <w:p w14:paraId="67036597">
            <w:pPr>
              <w:tabs>
                <w:tab w:val="left" w:pos="0"/>
                <w:tab w:val="left" w:pos="295"/>
              </w:tabs>
              <w:jc w:val="center"/>
              <w:rPr>
                <w:rFonts w:eastAsia="楷体_GB2312"/>
                <w:szCs w:val="21"/>
              </w:rPr>
            </w:pPr>
            <w:r>
              <w:rPr>
                <w:rFonts w:eastAsia="楷体_GB2312"/>
                <w:szCs w:val="21"/>
              </w:rPr>
              <w:t>01</w:t>
            </w:r>
          </w:p>
        </w:tc>
        <w:tc>
          <w:tcPr>
            <w:tcW w:w="1074" w:type="pct"/>
            <w:noWrap w:val="0"/>
            <w:vAlign w:val="center"/>
          </w:tcPr>
          <w:p w14:paraId="57001F5D">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永安镇</w:t>
            </w:r>
            <w:r>
              <w:rPr>
                <w:rFonts w:hint="eastAsia" w:ascii="Times New Roman" w:hAnsi="Times New Roman" w:eastAsia="楷体_GB2312" w:cs="Times New Roman"/>
              </w:rPr>
              <w:t>商服中心</w:t>
            </w:r>
          </w:p>
        </w:tc>
        <w:tc>
          <w:tcPr>
            <w:tcW w:w="603" w:type="pct"/>
            <w:noWrap w:val="0"/>
            <w:vAlign w:val="center"/>
          </w:tcPr>
          <w:p w14:paraId="6BD1515F">
            <w:pPr>
              <w:jc w:val="center"/>
              <w:rPr>
                <w:rFonts w:eastAsia="楷体_GB2312"/>
                <w:szCs w:val="21"/>
              </w:rPr>
            </w:pPr>
            <w:r>
              <w:rPr>
                <w:rFonts w:hint="eastAsia" w:eastAsia="楷体_GB2312"/>
                <w:szCs w:val="21"/>
              </w:rPr>
              <w:t>1.00</w:t>
            </w:r>
          </w:p>
        </w:tc>
        <w:tc>
          <w:tcPr>
            <w:tcW w:w="603" w:type="pct"/>
            <w:noWrap w:val="0"/>
            <w:vAlign w:val="center"/>
          </w:tcPr>
          <w:p w14:paraId="55E680CD">
            <w:pPr>
              <w:jc w:val="center"/>
              <w:rPr>
                <w:rFonts w:eastAsia="楷体_GB2312"/>
                <w:szCs w:val="21"/>
              </w:rPr>
            </w:pPr>
            <w:r>
              <w:rPr>
                <w:rFonts w:eastAsia="楷体_GB2312"/>
                <w:szCs w:val="21"/>
              </w:rPr>
              <w:t>100</w:t>
            </w:r>
          </w:p>
        </w:tc>
        <w:tc>
          <w:tcPr>
            <w:tcW w:w="603" w:type="pct"/>
            <w:noWrap w:val="0"/>
            <w:vAlign w:val="center"/>
          </w:tcPr>
          <w:p w14:paraId="6258E6F1">
            <w:pPr>
              <w:jc w:val="center"/>
              <w:rPr>
                <w:rFonts w:eastAsia="楷体_GB2312"/>
                <w:szCs w:val="21"/>
              </w:rPr>
            </w:pPr>
            <w:r>
              <w:rPr>
                <w:rFonts w:eastAsia="楷体_GB2312"/>
                <w:szCs w:val="21"/>
              </w:rPr>
              <w:t>1</w:t>
            </w:r>
          </w:p>
        </w:tc>
        <w:tc>
          <w:tcPr>
            <w:tcW w:w="597" w:type="pct"/>
            <w:noWrap w:val="0"/>
            <w:vAlign w:val="center"/>
          </w:tcPr>
          <w:p w14:paraId="2775C1AB">
            <w:pPr>
              <w:spacing w:line="0" w:lineRule="atLeast"/>
              <w:jc w:val="center"/>
              <w:rPr>
                <w:rFonts w:eastAsia="楷体_GB2312"/>
                <w:szCs w:val="21"/>
              </w:rPr>
            </w:pPr>
            <w:r>
              <w:rPr>
                <w:rFonts w:hint="eastAsia" w:eastAsia="楷体_GB2312"/>
                <w:szCs w:val="21"/>
              </w:rPr>
              <w:t>1300</w:t>
            </w:r>
          </w:p>
        </w:tc>
      </w:tr>
      <w:tr w14:paraId="4DB6B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noWrap w:val="0"/>
            <w:vAlign w:val="center"/>
          </w:tcPr>
          <w:p w14:paraId="687D70C2">
            <w:pPr>
              <w:tabs>
                <w:tab w:val="left" w:pos="0"/>
                <w:tab w:val="left" w:pos="295"/>
              </w:tabs>
              <w:jc w:val="center"/>
              <w:rPr>
                <w:rFonts w:eastAsia="楷体_GB2312"/>
                <w:szCs w:val="21"/>
              </w:rPr>
            </w:pPr>
            <w:r>
              <w:rPr>
                <w:rFonts w:hint="eastAsia" w:eastAsia="楷体_GB2312"/>
                <w:szCs w:val="21"/>
              </w:rPr>
              <w:t>20</w:t>
            </w:r>
          </w:p>
        </w:tc>
        <w:tc>
          <w:tcPr>
            <w:tcW w:w="654" w:type="pct"/>
            <w:noWrap w:val="0"/>
            <w:vAlign w:val="center"/>
          </w:tcPr>
          <w:p w14:paraId="1647624A">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支河乡</w:t>
            </w:r>
          </w:p>
        </w:tc>
        <w:tc>
          <w:tcPr>
            <w:tcW w:w="505" w:type="pct"/>
            <w:noWrap w:val="0"/>
            <w:vAlign w:val="center"/>
          </w:tcPr>
          <w:p w14:paraId="571CF841">
            <w:pPr>
              <w:tabs>
                <w:tab w:val="left" w:pos="0"/>
                <w:tab w:val="left" w:pos="295"/>
              </w:tabs>
              <w:jc w:val="center"/>
              <w:rPr>
                <w:rFonts w:eastAsia="楷体_GB2312"/>
                <w:szCs w:val="21"/>
              </w:rPr>
            </w:pPr>
            <w:r>
              <w:rPr>
                <w:rFonts w:eastAsia="楷体_GB2312"/>
                <w:szCs w:val="21"/>
              </w:rPr>
              <w:t>01</w:t>
            </w:r>
          </w:p>
        </w:tc>
        <w:tc>
          <w:tcPr>
            <w:tcW w:w="1074" w:type="pct"/>
            <w:noWrap w:val="0"/>
            <w:vAlign w:val="center"/>
          </w:tcPr>
          <w:p w14:paraId="76490A88">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支河乡</w:t>
            </w:r>
            <w:r>
              <w:rPr>
                <w:rFonts w:hint="eastAsia" w:ascii="Times New Roman" w:hAnsi="Times New Roman" w:eastAsia="楷体_GB2312" w:cs="Times New Roman"/>
              </w:rPr>
              <w:t>商服中心</w:t>
            </w:r>
          </w:p>
        </w:tc>
        <w:tc>
          <w:tcPr>
            <w:tcW w:w="603" w:type="pct"/>
            <w:noWrap w:val="0"/>
            <w:vAlign w:val="center"/>
          </w:tcPr>
          <w:p w14:paraId="35F55C81">
            <w:pPr>
              <w:jc w:val="center"/>
              <w:rPr>
                <w:rFonts w:eastAsia="楷体_GB2312"/>
                <w:szCs w:val="21"/>
              </w:rPr>
            </w:pPr>
            <w:r>
              <w:rPr>
                <w:rFonts w:hint="eastAsia" w:eastAsia="楷体_GB2312"/>
                <w:szCs w:val="21"/>
              </w:rPr>
              <w:t>1.00</w:t>
            </w:r>
          </w:p>
        </w:tc>
        <w:tc>
          <w:tcPr>
            <w:tcW w:w="603" w:type="pct"/>
            <w:noWrap w:val="0"/>
            <w:vAlign w:val="center"/>
          </w:tcPr>
          <w:p w14:paraId="0D04665D">
            <w:pPr>
              <w:jc w:val="center"/>
              <w:rPr>
                <w:rFonts w:eastAsia="楷体_GB2312"/>
                <w:szCs w:val="21"/>
              </w:rPr>
            </w:pPr>
            <w:r>
              <w:rPr>
                <w:rFonts w:eastAsia="楷体_GB2312"/>
                <w:szCs w:val="21"/>
              </w:rPr>
              <w:t>100</w:t>
            </w:r>
          </w:p>
        </w:tc>
        <w:tc>
          <w:tcPr>
            <w:tcW w:w="603" w:type="pct"/>
            <w:noWrap w:val="0"/>
            <w:vAlign w:val="center"/>
          </w:tcPr>
          <w:p w14:paraId="404828B2">
            <w:pPr>
              <w:jc w:val="center"/>
              <w:rPr>
                <w:rFonts w:eastAsia="楷体_GB2312"/>
                <w:szCs w:val="21"/>
              </w:rPr>
            </w:pPr>
            <w:r>
              <w:rPr>
                <w:rFonts w:eastAsia="楷体_GB2312"/>
                <w:szCs w:val="21"/>
              </w:rPr>
              <w:t>1</w:t>
            </w:r>
          </w:p>
        </w:tc>
        <w:tc>
          <w:tcPr>
            <w:tcW w:w="597" w:type="pct"/>
            <w:noWrap w:val="0"/>
            <w:vAlign w:val="center"/>
          </w:tcPr>
          <w:p w14:paraId="58DA9852">
            <w:pPr>
              <w:spacing w:line="0" w:lineRule="atLeast"/>
              <w:jc w:val="center"/>
              <w:rPr>
                <w:rFonts w:eastAsia="楷体_GB2312"/>
                <w:szCs w:val="21"/>
              </w:rPr>
            </w:pPr>
            <w:r>
              <w:rPr>
                <w:rFonts w:hint="eastAsia" w:eastAsia="楷体_GB2312"/>
                <w:szCs w:val="21"/>
              </w:rPr>
              <w:t>1700</w:t>
            </w:r>
          </w:p>
        </w:tc>
      </w:tr>
      <w:tr w14:paraId="62A39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noWrap w:val="0"/>
            <w:vAlign w:val="center"/>
          </w:tcPr>
          <w:p w14:paraId="63060197">
            <w:pPr>
              <w:tabs>
                <w:tab w:val="left" w:pos="0"/>
                <w:tab w:val="left" w:pos="295"/>
              </w:tabs>
              <w:jc w:val="center"/>
              <w:rPr>
                <w:rFonts w:eastAsia="楷体_GB2312"/>
                <w:szCs w:val="21"/>
              </w:rPr>
            </w:pPr>
            <w:r>
              <w:rPr>
                <w:rFonts w:hint="eastAsia" w:eastAsia="楷体_GB2312"/>
                <w:szCs w:val="21"/>
              </w:rPr>
              <w:t>21</w:t>
            </w:r>
          </w:p>
        </w:tc>
        <w:tc>
          <w:tcPr>
            <w:tcW w:w="654" w:type="pct"/>
            <w:noWrap w:val="0"/>
            <w:vAlign w:val="center"/>
          </w:tcPr>
          <w:p w14:paraId="5C4B047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灰古镇</w:t>
            </w:r>
          </w:p>
        </w:tc>
        <w:tc>
          <w:tcPr>
            <w:tcW w:w="505" w:type="pct"/>
            <w:noWrap w:val="0"/>
            <w:vAlign w:val="center"/>
          </w:tcPr>
          <w:p w14:paraId="28D433BE">
            <w:pPr>
              <w:tabs>
                <w:tab w:val="left" w:pos="0"/>
                <w:tab w:val="left" w:pos="295"/>
              </w:tabs>
              <w:jc w:val="center"/>
              <w:rPr>
                <w:rFonts w:eastAsia="楷体_GB2312"/>
                <w:szCs w:val="21"/>
              </w:rPr>
            </w:pPr>
            <w:r>
              <w:rPr>
                <w:rFonts w:eastAsia="楷体_GB2312"/>
                <w:szCs w:val="21"/>
              </w:rPr>
              <w:t>01</w:t>
            </w:r>
          </w:p>
        </w:tc>
        <w:tc>
          <w:tcPr>
            <w:tcW w:w="1074" w:type="pct"/>
            <w:noWrap w:val="0"/>
            <w:vAlign w:val="center"/>
          </w:tcPr>
          <w:p w14:paraId="50CC446B">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灰古镇</w:t>
            </w:r>
            <w:r>
              <w:rPr>
                <w:rFonts w:hint="eastAsia" w:ascii="Times New Roman" w:hAnsi="Times New Roman" w:eastAsia="楷体_GB2312" w:cs="Times New Roman"/>
              </w:rPr>
              <w:t>商服中心</w:t>
            </w:r>
          </w:p>
        </w:tc>
        <w:tc>
          <w:tcPr>
            <w:tcW w:w="603" w:type="pct"/>
            <w:noWrap w:val="0"/>
            <w:vAlign w:val="center"/>
          </w:tcPr>
          <w:p w14:paraId="5665A69A">
            <w:pPr>
              <w:jc w:val="center"/>
              <w:rPr>
                <w:rFonts w:eastAsia="楷体_GB2312"/>
                <w:szCs w:val="21"/>
              </w:rPr>
            </w:pPr>
            <w:r>
              <w:rPr>
                <w:rFonts w:hint="eastAsia" w:eastAsia="楷体_GB2312"/>
                <w:szCs w:val="21"/>
              </w:rPr>
              <w:t>1.00</w:t>
            </w:r>
          </w:p>
        </w:tc>
        <w:tc>
          <w:tcPr>
            <w:tcW w:w="603" w:type="pct"/>
            <w:noWrap w:val="0"/>
            <w:vAlign w:val="center"/>
          </w:tcPr>
          <w:p w14:paraId="1D979172">
            <w:pPr>
              <w:jc w:val="center"/>
              <w:rPr>
                <w:rFonts w:eastAsia="楷体_GB2312"/>
                <w:szCs w:val="21"/>
              </w:rPr>
            </w:pPr>
            <w:r>
              <w:rPr>
                <w:rFonts w:eastAsia="楷体_GB2312"/>
                <w:szCs w:val="21"/>
              </w:rPr>
              <w:t>100</w:t>
            </w:r>
          </w:p>
        </w:tc>
        <w:tc>
          <w:tcPr>
            <w:tcW w:w="603" w:type="pct"/>
            <w:noWrap w:val="0"/>
            <w:vAlign w:val="center"/>
          </w:tcPr>
          <w:p w14:paraId="2E285AC6">
            <w:pPr>
              <w:jc w:val="center"/>
              <w:rPr>
                <w:rFonts w:eastAsia="楷体_GB2312"/>
                <w:szCs w:val="21"/>
              </w:rPr>
            </w:pPr>
            <w:r>
              <w:rPr>
                <w:rFonts w:eastAsia="楷体_GB2312"/>
                <w:szCs w:val="21"/>
              </w:rPr>
              <w:t>1</w:t>
            </w:r>
          </w:p>
        </w:tc>
        <w:tc>
          <w:tcPr>
            <w:tcW w:w="597" w:type="pct"/>
            <w:noWrap w:val="0"/>
            <w:vAlign w:val="center"/>
          </w:tcPr>
          <w:p w14:paraId="07E043BC">
            <w:pPr>
              <w:spacing w:line="0" w:lineRule="atLeast"/>
              <w:jc w:val="center"/>
              <w:rPr>
                <w:rFonts w:eastAsia="楷体_GB2312"/>
                <w:szCs w:val="21"/>
              </w:rPr>
            </w:pPr>
            <w:r>
              <w:rPr>
                <w:rFonts w:hint="eastAsia" w:eastAsia="楷体_GB2312"/>
                <w:szCs w:val="21"/>
              </w:rPr>
              <w:t>1100</w:t>
            </w:r>
          </w:p>
        </w:tc>
      </w:tr>
      <w:tr w14:paraId="3219D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60" w:type="pct"/>
            <w:noWrap w:val="0"/>
            <w:vAlign w:val="center"/>
          </w:tcPr>
          <w:p w14:paraId="34456F14">
            <w:pPr>
              <w:tabs>
                <w:tab w:val="left" w:pos="0"/>
                <w:tab w:val="left" w:pos="295"/>
              </w:tabs>
              <w:jc w:val="center"/>
              <w:rPr>
                <w:rFonts w:eastAsia="楷体_GB2312"/>
                <w:szCs w:val="21"/>
              </w:rPr>
            </w:pPr>
            <w:r>
              <w:rPr>
                <w:rFonts w:hint="eastAsia" w:eastAsia="楷体_GB2312"/>
                <w:szCs w:val="21"/>
              </w:rPr>
              <w:t>22</w:t>
            </w:r>
          </w:p>
        </w:tc>
        <w:tc>
          <w:tcPr>
            <w:tcW w:w="654" w:type="pct"/>
            <w:noWrap w:val="0"/>
            <w:vAlign w:val="center"/>
          </w:tcPr>
          <w:p w14:paraId="050748D7">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桃沟乡</w:t>
            </w:r>
          </w:p>
        </w:tc>
        <w:tc>
          <w:tcPr>
            <w:tcW w:w="505" w:type="pct"/>
            <w:noWrap w:val="0"/>
            <w:vAlign w:val="center"/>
          </w:tcPr>
          <w:p w14:paraId="4A7E3BAF">
            <w:pPr>
              <w:tabs>
                <w:tab w:val="left" w:pos="0"/>
                <w:tab w:val="left" w:pos="295"/>
              </w:tabs>
              <w:jc w:val="center"/>
              <w:rPr>
                <w:rFonts w:eastAsia="楷体_GB2312"/>
                <w:szCs w:val="21"/>
              </w:rPr>
            </w:pPr>
            <w:r>
              <w:rPr>
                <w:rFonts w:eastAsia="楷体_GB2312"/>
                <w:szCs w:val="21"/>
              </w:rPr>
              <w:t>01</w:t>
            </w:r>
          </w:p>
        </w:tc>
        <w:tc>
          <w:tcPr>
            <w:tcW w:w="1074" w:type="pct"/>
            <w:noWrap w:val="0"/>
            <w:vAlign w:val="center"/>
          </w:tcPr>
          <w:p w14:paraId="7174E666">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桃沟乡</w:t>
            </w:r>
            <w:r>
              <w:rPr>
                <w:rFonts w:hint="eastAsia" w:ascii="Times New Roman" w:hAnsi="Times New Roman" w:eastAsia="楷体_GB2312" w:cs="Times New Roman"/>
              </w:rPr>
              <w:t>商服中心</w:t>
            </w:r>
          </w:p>
        </w:tc>
        <w:tc>
          <w:tcPr>
            <w:tcW w:w="603" w:type="pct"/>
            <w:noWrap w:val="0"/>
            <w:vAlign w:val="center"/>
          </w:tcPr>
          <w:p w14:paraId="6E1710F9">
            <w:pPr>
              <w:jc w:val="center"/>
              <w:rPr>
                <w:rFonts w:eastAsia="楷体_GB2312"/>
                <w:szCs w:val="21"/>
              </w:rPr>
            </w:pPr>
            <w:r>
              <w:rPr>
                <w:rFonts w:hint="eastAsia" w:eastAsia="楷体_GB2312"/>
                <w:szCs w:val="21"/>
              </w:rPr>
              <w:t>1.00</w:t>
            </w:r>
          </w:p>
        </w:tc>
        <w:tc>
          <w:tcPr>
            <w:tcW w:w="603" w:type="pct"/>
            <w:noWrap w:val="0"/>
            <w:vAlign w:val="center"/>
          </w:tcPr>
          <w:p w14:paraId="05B9EF51">
            <w:pPr>
              <w:jc w:val="center"/>
              <w:rPr>
                <w:rFonts w:eastAsia="楷体_GB2312"/>
                <w:szCs w:val="21"/>
              </w:rPr>
            </w:pPr>
            <w:r>
              <w:rPr>
                <w:rFonts w:eastAsia="楷体_GB2312"/>
                <w:szCs w:val="21"/>
              </w:rPr>
              <w:t>100</w:t>
            </w:r>
          </w:p>
        </w:tc>
        <w:tc>
          <w:tcPr>
            <w:tcW w:w="603" w:type="pct"/>
            <w:noWrap w:val="0"/>
            <w:vAlign w:val="center"/>
          </w:tcPr>
          <w:p w14:paraId="47E0B902">
            <w:pPr>
              <w:jc w:val="center"/>
              <w:rPr>
                <w:rFonts w:eastAsia="楷体_GB2312"/>
                <w:szCs w:val="21"/>
              </w:rPr>
            </w:pPr>
            <w:r>
              <w:rPr>
                <w:rFonts w:eastAsia="楷体_GB2312"/>
                <w:szCs w:val="21"/>
              </w:rPr>
              <w:t>1</w:t>
            </w:r>
          </w:p>
        </w:tc>
        <w:tc>
          <w:tcPr>
            <w:tcW w:w="597" w:type="pct"/>
            <w:noWrap w:val="0"/>
            <w:vAlign w:val="center"/>
          </w:tcPr>
          <w:p w14:paraId="48FF7D17">
            <w:pPr>
              <w:spacing w:line="0" w:lineRule="atLeast"/>
              <w:jc w:val="center"/>
              <w:rPr>
                <w:rFonts w:eastAsia="楷体_GB2312"/>
                <w:szCs w:val="21"/>
              </w:rPr>
            </w:pPr>
            <w:r>
              <w:rPr>
                <w:rFonts w:hint="eastAsia" w:eastAsia="楷体_GB2312"/>
                <w:szCs w:val="21"/>
              </w:rPr>
              <w:t>1100</w:t>
            </w:r>
          </w:p>
        </w:tc>
      </w:tr>
    </w:tbl>
    <w:p w14:paraId="1BF4B685">
      <w:pPr>
        <w:pStyle w:val="20"/>
        <w:spacing w:line="480" w:lineRule="exact"/>
        <w:ind w:firstLine="420" w:firstLineChars="200"/>
        <w:rPr>
          <w:rFonts w:hint="eastAsia" w:eastAsia="仿宋_GB2312"/>
          <w:bCs/>
        </w:rPr>
      </w:pPr>
      <w:bookmarkStart w:id="28" w:name="_Toc285700448"/>
      <w:bookmarkStart w:id="29" w:name="_Toc62563655"/>
      <w:bookmarkStart w:id="30" w:name="OLE_LINK18"/>
      <w:bookmarkStart w:id="31" w:name="OLE_LINK15"/>
      <w:bookmarkStart w:id="32" w:name="OLE_LINK16"/>
      <w:bookmarkStart w:id="33" w:name="OLE_LINK19"/>
      <w:bookmarkStart w:id="34" w:name="OLE_LINK17"/>
    </w:p>
    <w:p w14:paraId="57671A90">
      <w:pPr>
        <w:pStyle w:val="4"/>
        <w:numPr>
          <w:ilvl w:val="0"/>
          <w:numId w:val="0"/>
        </w:numPr>
        <w:spacing w:line="380" w:lineRule="exact"/>
        <w:jc w:val="center"/>
        <w:rPr>
          <w:rFonts w:eastAsia="仿宋_GB2312"/>
          <w:bCs w:val="0"/>
        </w:rPr>
      </w:pPr>
      <w:r>
        <w:rPr>
          <w:rFonts w:eastAsia="仿宋_GB2312"/>
          <w:bCs w:val="0"/>
        </w:rPr>
        <w:t>第二节  道路通达度定量化处理</w:t>
      </w:r>
      <w:bookmarkEnd w:id="28"/>
      <w:bookmarkEnd w:id="29"/>
    </w:p>
    <w:bookmarkEnd w:id="30"/>
    <w:bookmarkEnd w:id="31"/>
    <w:bookmarkEnd w:id="32"/>
    <w:bookmarkEnd w:id="33"/>
    <w:bookmarkEnd w:id="34"/>
    <w:p w14:paraId="5322D4CE">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道路通达度是指城镇内部交通运输条件的优劣，它由道路宽度、流量、功能和交通管制等指标综合体现。它取决于城镇内部的道路体系和道路空间布局。</w:t>
      </w:r>
    </w:p>
    <w:p w14:paraId="78F5A843">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道路通达度一方面影响商服用地的区位条件，在商业繁华地段，临道路状况对地价影响十分明显；另一方面对工业生产、居民日常生活的影响也非常大。一般来说，道路通达度越好的地段，其市场保证、商业聚集条件、人们出行条件和产品运输等方面的条件越优越，随之导致周围土地级别的提高。城镇内道路体系和布局实质上是城镇内部布局的骨架，它是实施城镇规划的先决条件。其道路体系的改良往往需要巨额的投资，这种投资的本质归结于对土地的投入，结果必然会提高周围土地乃至整个镇区的土地收益。</w:t>
      </w:r>
    </w:p>
    <w:p w14:paraId="4A6FBC18">
      <w:pPr>
        <w:pStyle w:val="20"/>
        <w:spacing w:line="480" w:lineRule="exact"/>
        <w:rPr>
          <w:rFonts w:ascii="Times New Roman" w:hAnsi="Times New Roman" w:cs="Times New Roman"/>
          <w:b/>
          <w:sz w:val="28"/>
        </w:rPr>
      </w:pPr>
      <w:r>
        <w:rPr>
          <w:rFonts w:ascii="Times New Roman" w:hAnsi="Times New Roman" w:cs="Times New Roman"/>
          <w:b/>
          <w:sz w:val="28"/>
        </w:rPr>
        <w:t>一、道路基本情况分析</w:t>
      </w:r>
    </w:p>
    <w:p w14:paraId="4753D491">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w:t>
      </w:r>
      <w:r>
        <w:rPr>
          <w:rFonts w:hint="eastAsia" w:ascii="Times New Roman" w:hAnsi="Times New Roman" w:eastAsia="楷体_GB2312" w:cs="Times New Roman"/>
          <w:b/>
          <w:sz w:val="28"/>
        </w:rPr>
        <w:t>符离镇</w:t>
      </w:r>
    </w:p>
    <w:p w14:paraId="10A66829">
      <w:pPr>
        <w:widowControl w:val="0"/>
        <w:spacing w:line="480" w:lineRule="exact"/>
        <w:ind w:firstLine="560" w:firstLineChars="200"/>
        <w:jc w:val="both"/>
        <w:rPr>
          <w:rFonts w:eastAsia="楷体_GB2312"/>
          <w:sz w:val="28"/>
          <w:szCs w:val="21"/>
        </w:rPr>
      </w:pPr>
      <w:r>
        <w:rPr>
          <w:rFonts w:eastAsia="楷体_GB2312"/>
          <w:sz w:val="28"/>
          <w:szCs w:val="21"/>
        </w:rPr>
        <w:t>镇区对外交通主干道为</w:t>
      </w:r>
      <w:r>
        <w:rPr>
          <w:rFonts w:hint="eastAsia" w:eastAsia="楷体_GB2312"/>
          <w:sz w:val="28"/>
          <w:szCs w:val="21"/>
        </w:rPr>
        <w:t>山前路、北环路、中华路、雪渔路、工业大道、拂晓大道、人民路、黄山路、港口路、206国道</w:t>
      </w:r>
      <w:r>
        <w:rPr>
          <w:rFonts w:eastAsia="楷体_GB2312"/>
          <w:sz w:val="28"/>
          <w:szCs w:val="21"/>
        </w:rPr>
        <w:t>，次干道为</w:t>
      </w:r>
      <w:r>
        <w:rPr>
          <w:rFonts w:hint="eastAsia" w:eastAsia="楷体_GB2312"/>
          <w:sz w:val="28"/>
          <w:szCs w:val="21"/>
        </w:rPr>
        <w:t>工业二路、育才路、股河路、公园路、景玉路、符尖路、经二路、经一路，支路为工业一路、滨河路、065乡道等</w:t>
      </w:r>
      <w:r>
        <w:rPr>
          <w:rFonts w:eastAsia="楷体_GB2312"/>
          <w:sz w:val="28"/>
          <w:szCs w:val="21"/>
        </w:rPr>
        <w:t>。</w:t>
      </w:r>
    </w:p>
    <w:p w14:paraId="2FC82F2C">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2、</w:t>
      </w:r>
      <w:r>
        <w:rPr>
          <w:rFonts w:hint="eastAsia" w:ascii="Times New Roman" w:hAnsi="Times New Roman" w:eastAsia="楷体_GB2312" w:cs="Times New Roman"/>
          <w:b/>
          <w:sz w:val="28"/>
        </w:rPr>
        <w:t>朱仙庄镇</w:t>
      </w:r>
    </w:p>
    <w:p w14:paraId="59EB2FDD">
      <w:pPr>
        <w:widowControl w:val="0"/>
        <w:spacing w:line="480" w:lineRule="exact"/>
        <w:ind w:firstLine="560" w:firstLineChars="200"/>
        <w:jc w:val="both"/>
        <w:rPr>
          <w:rFonts w:eastAsia="楷体_GB2312"/>
          <w:sz w:val="28"/>
          <w:szCs w:val="21"/>
        </w:rPr>
      </w:pPr>
      <w:r>
        <w:rPr>
          <w:rFonts w:eastAsia="楷体_GB2312"/>
          <w:sz w:val="28"/>
          <w:szCs w:val="21"/>
        </w:rPr>
        <w:t>镇区对外交通主干道有</w:t>
      </w:r>
      <w:r>
        <w:rPr>
          <w:rFonts w:hint="eastAsia" w:eastAsia="楷体_GB2312"/>
          <w:sz w:val="28"/>
          <w:szCs w:val="21"/>
        </w:rPr>
        <w:t>宿州大道、银河一路、汴河东路、二徐路、东外环路、环湖路</w:t>
      </w:r>
      <w:r>
        <w:rPr>
          <w:rFonts w:eastAsia="楷体_GB2312"/>
          <w:sz w:val="28"/>
          <w:szCs w:val="21"/>
        </w:rPr>
        <w:t>，次干道有</w:t>
      </w:r>
      <w:r>
        <w:rPr>
          <w:rFonts w:hint="eastAsia" w:eastAsia="楷体_GB2312"/>
          <w:sz w:val="28"/>
          <w:szCs w:val="21"/>
        </w:rPr>
        <w:t>北规一路、丁湖路、纬三路、纬四路、纬六路、横六路、东规二路、纵十路、滨湖一路，支路为和顺路、经二路、纬五路、连湖路、望湖路等</w:t>
      </w:r>
      <w:r>
        <w:rPr>
          <w:rFonts w:eastAsia="楷体_GB2312"/>
          <w:sz w:val="28"/>
          <w:szCs w:val="21"/>
        </w:rPr>
        <w:t>。</w:t>
      </w:r>
    </w:p>
    <w:p w14:paraId="7CA0F298">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3、</w:t>
      </w:r>
      <w:r>
        <w:rPr>
          <w:rFonts w:hint="eastAsia" w:ascii="Times New Roman" w:hAnsi="Times New Roman" w:eastAsia="楷体_GB2312" w:cs="Times New Roman"/>
          <w:b/>
          <w:sz w:val="28"/>
        </w:rPr>
        <w:t>蕲县镇</w:t>
      </w:r>
    </w:p>
    <w:p w14:paraId="47007368">
      <w:pPr>
        <w:widowControl w:val="0"/>
        <w:spacing w:line="480" w:lineRule="exact"/>
        <w:ind w:firstLine="560" w:firstLineChars="200"/>
        <w:jc w:val="both"/>
        <w:rPr>
          <w:rFonts w:eastAsia="楷体_GB2312"/>
          <w:sz w:val="28"/>
          <w:szCs w:val="21"/>
        </w:rPr>
      </w:pPr>
      <w:r>
        <w:rPr>
          <w:rFonts w:eastAsia="楷体_GB2312"/>
          <w:sz w:val="28"/>
          <w:szCs w:val="21"/>
        </w:rPr>
        <w:t>镇区内对外交通主干道有</w:t>
      </w:r>
      <w:r>
        <w:rPr>
          <w:rFonts w:hint="eastAsia" w:eastAsia="楷体_GB2312"/>
          <w:sz w:val="28"/>
          <w:szCs w:val="21"/>
        </w:rPr>
        <w:t>金浍路、富强西路、古城路、蕲县路、206国道、浍水路、梅城路</w:t>
      </w:r>
      <w:r>
        <w:rPr>
          <w:rFonts w:eastAsia="楷体_GB2312"/>
          <w:sz w:val="28"/>
          <w:szCs w:val="21"/>
        </w:rPr>
        <w:t>，次干道有</w:t>
      </w:r>
      <w:r>
        <w:rPr>
          <w:rFonts w:hint="eastAsia" w:eastAsia="楷体_GB2312"/>
          <w:sz w:val="28"/>
          <w:szCs w:val="21"/>
        </w:rPr>
        <w:t>鸿鹄路、大泽路、沿浍路、厂矿路、老街路、滨河路、蕲北路、沿河路、城东路</w:t>
      </w:r>
      <w:r>
        <w:rPr>
          <w:rFonts w:eastAsia="楷体_GB2312"/>
          <w:sz w:val="28"/>
          <w:szCs w:val="21"/>
        </w:rPr>
        <w:t>，支路有</w:t>
      </w:r>
      <w:r>
        <w:rPr>
          <w:rFonts w:hint="eastAsia" w:eastAsia="楷体_GB2312"/>
          <w:sz w:val="28"/>
          <w:szCs w:val="21"/>
        </w:rPr>
        <w:t>富强路、观星路、沛城路</w:t>
      </w:r>
      <w:r>
        <w:rPr>
          <w:rFonts w:eastAsia="楷体_GB2312"/>
          <w:sz w:val="28"/>
          <w:szCs w:val="21"/>
        </w:rPr>
        <w:t>等。</w:t>
      </w:r>
    </w:p>
    <w:p w14:paraId="201917E2">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4、</w:t>
      </w:r>
      <w:r>
        <w:rPr>
          <w:rFonts w:hint="eastAsia" w:ascii="Times New Roman" w:hAnsi="Times New Roman" w:eastAsia="楷体_GB2312" w:cs="Times New Roman"/>
          <w:b/>
          <w:sz w:val="28"/>
        </w:rPr>
        <w:t>芦岭镇</w:t>
      </w:r>
    </w:p>
    <w:p w14:paraId="6A665D3B">
      <w:pPr>
        <w:widowControl w:val="0"/>
        <w:spacing w:line="480" w:lineRule="exact"/>
        <w:ind w:firstLine="560" w:firstLineChars="200"/>
        <w:jc w:val="both"/>
        <w:rPr>
          <w:rFonts w:eastAsia="楷体_GB2312"/>
          <w:sz w:val="28"/>
          <w:szCs w:val="21"/>
        </w:rPr>
      </w:pPr>
      <w:r>
        <w:rPr>
          <w:rFonts w:eastAsia="楷体_GB2312"/>
          <w:sz w:val="28"/>
          <w:szCs w:val="21"/>
        </w:rPr>
        <w:t>镇区内对外交通主干道有</w:t>
      </w:r>
      <w:r>
        <w:rPr>
          <w:rFonts w:hint="eastAsia" w:eastAsia="楷体_GB2312"/>
          <w:sz w:val="28"/>
          <w:szCs w:val="21"/>
        </w:rPr>
        <w:t>滨河路、兴业路、工农路、罗岭路、市场路、西环路、环城路、中心大街、东城路</w:t>
      </w:r>
      <w:r>
        <w:rPr>
          <w:rFonts w:eastAsia="楷体_GB2312"/>
          <w:sz w:val="28"/>
          <w:szCs w:val="21"/>
        </w:rPr>
        <w:t>，次干道有</w:t>
      </w:r>
      <w:r>
        <w:rPr>
          <w:rFonts w:hint="eastAsia" w:eastAsia="楷体_GB2312"/>
          <w:sz w:val="28"/>
          <w:szCs w:val="21"/>
        </w:rPr>
        <w:t>富民路、求学路、政府路、陵园路、健康路、文明路、振兴路、工人街、学苑路</w:t>
      </w:r>
      <w:r>
        <w:rPr>
          <w:rFonts w:eastAsia="楷体_GB2312"/>
          <w:sz w:val="28"/>
          <w:szCs w:val="21"/>
        </w:rPr>
        <w:t>，支路有</w:t>
      </w:r>
      <w:r>
        <w:rPr>
          <w:rFonts w:hint="eastAsia" w:eastAsia="楷体_GB2312"/>
          <w:sz w:val="28"/>
          <w:szCs w:val="21"/>
        </w:rPr>
        <w:t>生态南路、步行街、健康南路</w:t>
      </w:r>
      <w:r>
        <w:rPr>
          <w:rFonts w:eastAsia="楷体_GB2312"/>
          <w:sz w:val="28"/>
          <w:szCs w:val="21"/>
        </w:rPr>
        <w:t>等。</w:t>
      </w:r>
    </w:p>
    <w:p w14:paraId="2ADE29D6">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5、</w:t>
      </w:r>
      <w:r>
        <w:rPr>
          <w:rFonts w:hint="eastAsia" w:ascii="Times New Roman" w:hAnsi="Times New Roman" w:eastAsia="楷体_GB2312" w:cs="Times New Roman"/>
          <w:b/>
          <w:sz w:val="28"/>
        </w:rPr>
        <w:t>大店镇</w:t>
      </w:r>
    </w:p>
    <w:p w14:paraId="3B090A2E">
      <w:pPr>
        <w:widowControl w:val="0"/>
        <w:spacing w:line="480" w:lineRule="exact"/>
        <w:ind w:firstLine="560" w:firstLineChars="200"/>
        <w:jc w:val="both"/>
        <w:rPr>
          <w:rFonts w:eastAsia="楷体_GB2312"/>
          <w:sz w:val="28"/>
          <w:szCs w:val="21"/>
        </w:rPr>
      </w:pPr>
      <w:r>
        <w:rPr>
          <w:rFonts w:eastAsia="楷体_GB2312"/>
          <w:sz w:val="28"/>
          <w:szCs w:val="21"/>
        </w:rPr>
        <w:t>镇区对外交通主干道有</w:t>
      </w:r>
      <w:r>
        <w:rPr>
          <w:rFonts w:hint="eastAsia" w:eastAsia="楷体_GB2312"/>
          <w:sz w:val="28"/>
          <w:szCs w:val="21"/>
        </w:rPr>
        <w:t>303省道、静安路、南一环路、南环路、西公路、西昌路、天天街、东昌路、工业路、东环路</w:t>
      </w:r>
      <w:r>
        <w:rPr>
          <w:rFonts w:eastAsia="楷体_GB2312"/>
          <w:sz w:val="28"/>
          <w:szCs w:val="21"/>
        </w:rPr>
        <w:t>，次干道有</w:t>
      </w:r>
      <w:r>
        <w:rPr>
          <w:rFonts w:hint="eastAsia" w:eastAsia="楷体_GB2312"/>
          <w:sz w:val="28"/>
          <w:szCs w:val="21"/>
        </w:rPr>
        <w:t>公园路、公安路、科技路、月牙街、富民路、幸福路，</w:t>
      </w:r>
      <w:r>
        <w:rPr>
          <w:rFonts w:eastAsia="楷体_GB2312"/>
          <w:sz w:val="28"/>
          <w:szCs w:val="21"/>
        </w:rPr>
        <w:t>支路有</w:t>
      </w:r>
      <w:r>
        <w:rPr>
          <w:rFonts w:hint="eastAsia" w:eastAsia="楷体_GB2312"/>
          <w:sz w:val="28"/>
          <w:szCs w:val="21"/>
        </w:rPr>
        <w:t>花园路、教育路、市场路</w:t>
      </w:r>
      <w:r>
        <w:rPr>
          <w:rFonts w:eastAsia="楷体_GB2312"/>
          <w:sz w:val="28"/>
          <w:szCs w:val="21"/>
        </w:rPr>
        <w:t>等。</w:t>
      </w:r>
    </w:p>
    <w:p w14:paraId="17C9C3DD">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6、</w:t>
      </w:r>
      <w:r>
        <w:rPr>
          <w:rFonts w:hint="eastAsia" w:ascii="Times New Roman" w:hAnsi="Times New Roman" w:eastAsia="楷体_GB2312" w:cs="Times New Roman"/>
          <w:b/>
          <w:sz w:val="28"/>
        </w:rPr>
        <w:t>栏杆镇</w:t>
      </w:r>
    </w:p>
    <w:p w14:paraId="397E9362">
      <w:pPr>
        <w:widowControl w:val="0"/>
        <w:spacing w:line="480" w:lineRule="exact"/>
        <w:ind w:firstLine="560" w:firstLineChars="200"/>
        <w:jc w:val="both"/>
        <w:rPr>
          <w:rFonts w:eastAsia="楷体_GB2312"/>
          <w:sz w:val="28"/>
          <w:szCs w:val="21"/>
        </w:rPr>
      </w:pPr>
      <w:r>
        <w:rPr>
          <w:rFonts w:eastAsia="楷体_GB2312"/>
          <w:sz w:val="28"/>
          <w:szCs w:val="21"/>
        </w:rPr>
        <w:t>镇区目前对外交通主干道有</w:t>
      </w:r>
      <w:r>
        <w:rPr>
          <w:rFonts w:hint="eastAsia" w:eastAsia="楷体_GB2312"/>
          <w:sz w:val="28"/>
          <w:szCs w:val="21"/>
        </w:rPr>
        <w:t>040乡道、山闵路、北环路、东环路、科技大道、斛城路、幸福路、二徐路、栏西路、曹栏路、科技大道</w:t>
      </w:r>
      <w:r>
        <w:rPr>
          <w:rFonts w:eastAsia="楷体_GB2312"/>
          <w:sz w:val="28"/>
          <w:szCs w:val="21"/>
        </w:rPr>
        <w:t>，次干道为</w:t>
      </w:r>
      <w:r>
        <w:rPr>
          <w:rFonts w:hint="eastAsia" w:eastAsia="楷体_GB2312"/>
          <w:sz w:val="28"/>
          <w:szCs w:val="21"/>
        </w:rPr>
        <w:t>望山路、步行街、致富路、振兴路、文明路、爱民路、亲民路、通达路、格致路</w:t>
      </w:r>
      <w:r>
        <w:rPr>
          <w:rFonts w:eastAsia="楷体_GB2312"/>
          <w:sz w:val="28"/>
          <w:szCs w:val="21"/>
        </w:rPr>
        <w:t>，支路有</w:t>
      </w:r>
      <w:r>
        <w:rPr>
          <w:rFonts w:hint="eastAsia" w:eastAsia="楷体_GB2312"/>
          <w:sz w:val="28"/>
          <w:szCs w:val="21"/>
        </w:rPr>
        <w:t>滨河东路、滨河西路、环山路、功成路等</w:t>
      </w:r>
      <w:r>
        <w:rPr>
          <w:rFonts w:eastAsia="楷体_GB2312"/>
          <w:sz w:val="28"/>
          <w:szCs w:val="21"/>
        </w:rPr>
        <w:t>。</w:t>
      </w:r>
    </w:p>
    <w:p w14:paraId="21513AEB">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7、</w:t>
      </w:r>
      <w:r>
        <w:rPr>
          <w:rFonts w:hint="eastAsia" w:ascii="Times New Roman" w:hAnsi="Times New Roman" w:eastAsia="楷体_GB2312" w:cs="Times New Roman"/>
          <w:b/>
          <w:sz w:val="28"/>
        </w:rPr>
        <w:t>时村镇</w:t>
      </w:r>
    </w:p>
    <w:p w14:paraId="31052181">
      <w:pPr>
        <w:widowControl w:val="0"/>
        <w:spacing w:line="480" w:lineRule="exact"/>
        <w:ind w:firstLine="560" w:firstLineChars="200"/>
        <w:jc w:val="both"/>
        <w:rPr>
          <w:rFonts w:eastAsia="楷体_GB2312"/>
          <w:sz w:val="28"/>
          <w:szCs w:val="21"/>
        </w:rPr>
      </w:pPr>
      <w:r>
        <w:rPr>
          <w:rFonts w:eastAsia="楷体_GB2312"/>
          <w:sz w:val="28"/>
          <w:szCs w:val="21"/>
        </w:rPr>
        <w:t>镇区对外交通主干道有</w:t>
      </w:r>
      <w:r>
        <w:rPr>
          <w:rFonts w:hint="eastAsia" w:eastAsia="楷体_GB2312"/>
          <w:sz w:val="28"/>
          <w:szCs w:val="21"/>
        </w:rPr>
        <w:t>时北路、创新大道、302省道、环城南路、时西路、时东路</w:t>
      </w:r>
      <w:r>
        <w:rPr>
          <w:rFonts w:eastAsia="楷体_GB2312"/>
          <w:sz w:val="28"/>
          <w:szCs w:val="21"/>
        </w:rPr>
        <w:t>，次干道有</w:t>
      </w:r>
      <w:r>
        <w:rPr>
          <w:rFonts w:hint="eastAsia" w:eastAsia="楷体_GB2312"/>
          <w:sz w:val="28"/>
          <w:szCs w:val="21"/>
        </w:rPr>
        <w:t>环城北路、环城西路、富强路、政府路、环城东路</w:t>
      </w:r>
      <w:r>
        <w:rPr>
          <w:rFonts w:eastAsia="楷体_GB2312"/>
          <w:sz w:val="28"/>
          <w:szCs w:val="21"/>
        </w:rPr>
        <w:t>，支路有</w:t>
      </w:r>
      <w:r>
        <w:rPr>
          <w:rFonts w:hint="eastAsia" w:eastAsia="楷体_GB2312"/>
          <w:sz w:val="28"/>
          <w:szCs w:val="21"/>
        </w:rPr>
        <w:t>学府路、安居路、时村大道、时南路、双庆河路等</w:t>
      </w:r>
      <w:r>
        <w:rPr>
          <w:rFonts w:eastAsia="楷体_GB2312"/>
          <w:sz w:val="28"/>
          <w:szCs w:val="21"/>
        </w:rPr>
        <w:t>。</w:t>
      </w:r>
    </w:p>
    <w:p w14:paraId="771FD391">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8、</w:t>
      </w:r>
      <w:r>
        <w:rPr>
          <w:rFonts w:hint="eastAsia" w:ascii="Times New Roman" w:hAnsi="Times New Roman" w:eastAsia="楷体_GB2312" w:cs="Times New Roman"/>
          <w:b/>
          <w:sz w:val="28"/>
        </w:rPr>
        <w:t>夹沟镇</w:t>
      </w:r>
    </w:p>
    <w:p w14:paraId="3F3E5B2F">
      <w:pPr>
        <w:widowControl w:val="0"/>
        <w:spacing w:line="480" w:lineRule="exact"/>
        <w:ind w:firstLine="560" w:firstLineChars="200"/>
        <w:jc w:val="both"/>
        <w:rPr>
          <w:rFonts w:eastAsia="楷体_GB2312"/>
          <w:sz w:val="28"/>
          <w:szCs w:val="21"/>
        </w:rPr>
      </w:pPr>
      <w:r>
        <w:rPr>
          <w:rFonts w:eastAsia="楷体_GB2312"/>
          <w:sz w:val="28"/>
          <w:szCs w:val="21"/>
        </w:rPr>
        <w:t>镇区内对外交通主干道有</w:t>
      </w:r>
      <w:r>
        <w:rPr>
          <w:rFonts w:hint="eastAsia" w:eastAsia="楷体_GB2312"/>
          <w:sz w:val="28"/>
          <w:szCs w:val="21"/>
        </w:rPr>
        <w:t>206国道、沿河路、031县道、034县道、夹顺路、环镇路</w:t>
      </w:r>
      <w:r>
        <w:rPr>
          <w:rFonts w:eastAsia="楷体_GB2312"/>
          <w:sz w:val="28"/>
          <w:szCs w:val="21"/>
        </w:rPr>
        <w:t>，次干道有</w:t>
      </w:r>
      <w:r>
        <w:rPr>
          <w:rFonts w:hint="eastAsia" w:eastAsia="楷体_GB2312"/>
          <w:sz w:val="28"/>
          <w:szCs w:val="21"/>
        </w:rPr>
        <w:t>夹津路、府前路、工业三路、步行街、夹或路、学府路、东二路、东三路，</w:t>
      </w:r>
      <w:r>
        <w:rPr>
          <w:rFonts w:eastAsia="楷体_GB2312"/>
          <w:sz w:val="28"/>
          <w:szCs w:val="21"/>
        </w:rPr>
        <w:t>支路有</w:t>
      </w:r>
      <w:r>
        <w:rPr>
          <w:rFonts w:hint="eastAsia" w:eastAsia="楷体_GB2312"/>
          <w:sz w:val="28"/>
          <w:szCs w:val="21"/>
        </w:rPr>
        <w:t>产业路、西三路、西二路等</w:t>
      </w:r>
      <w:r>
        <w:rPr>
          <w:rFonts w:eastAsia="楷体_GB2312"/>
          <w:sz w:val="28"/>
          <w:szCs w:val="21"/>
        </w:rPr>
        <w:t>。</w:t>
      </w:r>
    </w:p>
    <w:p w14:paraId="3982A43B">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9、</w:t>
      </w:r>
      <w:r>
        <w:rPr>
          <w:rFonts w:hint="eastAsia" w:ascii="Times New Roman" w:hAnsi="Times New Roman" w:eastAsia="楷体_GB2312" w:cs="Times New Roman"/>
          <w:b/>
          <w:sz w:val="28"/>
        </w:rPr>
        <w:t>西二铺乡</w:t>
      </w:r>
    </w:p>
    <w:p w14:paraId="1249E84A">
      <w:pPr>
        <w:widowControl w:val="0"/>
        <w:spacing w:line="480" w:lineRule="exact"/>
        <w:ind w:firstLine="560" w:firstLineChars="200"/>
        <w:jc w:val="both"/>
        <w:rPr>
          <w:rFonts w:eastAsia="楷体_GB2312"/>
          <w:sz w:val="28"/>
          <w:szCs w:val="21"/>
        </w:rPr>
      </w:pPr>
      <w:r>
        <w:rPr>
          <w:rFonts w:eastAsia="楷体_GB2312"/>
          <w:sz w:val="28"/>
          <w:szCs w:val="21"/>
        </w:rPr>
        <w:t>镇区内主干道为</w:t>
      </w:r>
      <w:r>
        <w:rPr>
          <w:rFonts w:hint="eastAsia" w:eastAsia="楷体_GB2312"/>
          <w:sz w:val="28"/>
          <w:szCs w:val="21"/>
        </w:rPr>
        <w:t>吕黄路、宿永路、福顺路、薛堂路、文旅大街、康庄路、周魏路、西环路</w:t>
      </w:r>
      <w:r>
        <w:rPr>
          <w:rFonts w:eastAsia="楷体_GB2312"/>
          <w:sz w:val="28"/>
          <w:szCs w:val="21"/>
        </w:rPr>
        <w:t>，次干道有</w:t>
      </w:r>
      <w:r>
        <w:rPr>
          <w:rFonts w:hint="eastAsia" w:eastAsia="楷体_GB2312"/>
          <w:sz w:val="28"/>
          <w:szCs w:val="21"/>
        </w:rPr>
        <w:t>富兴路、利民路、昌盛路，</w:t>
      </w:r>
      <w:r>
        <w:rPr>
          <w:rFonts w:eastAsia="楷体_GB2312"/>
          <w:sz w:val="28"/>
          <w:szCs w:val="21"/>
        </w:rPr>
        <w:t>支路有</w:t>
      </w:r>
      <w:r>
        <w:rPr>
          <w:rFonts w:hint="eastAsia" w:eastAsia="楷体_GB2312"/>
          <w:sz w:val="28"/>
          <w:szCs w:val="21"/>
        </w:rPr>
        <w:t>幸福路、盛大路等</w:t>
      </w:r>
      <w:r>
        <w:rPr>
          <w:rFonts w:eastAsia="楷体_GB2312"/>
          <w:sz w:val="28"/>
          <w:szCs w:val="21"/>
        </w:rPr>
        <w:t>。</w:t>
      </w:r>
    </w:p>
    <w:p w14:paraId="2337551C">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10、</w:t>
      </w:r>
      <w:r>
        <w:rPr>
          <w:rFonts w:hint="eastAsia" w:ascii="Times New Roman" w:hAnsi="Times New Roman" w:eastAsia="楷体_GB2312" w:cs="Times New Roman"/>
          <w:b/>
          <w:sz w:val="28"/>
        </w:rPr>
        <w:t>桃园镇</w:t>
      </w:r>
    </w:p>
    <w:p w14:paraId="5028392D">
      <w:pPr>
        <w:widowControl w:val="0"/>
        <w:spacing w:line="480" w:lineRule="exact"/>
        <w:ind w:firstLine="560" w:firstLineChars="200"/>
        <w:jc w:val="both"/>
        <w:rPr>
          <w:rFonts w:eastAsia="楷体_GB2312"/>
          <w:sz w:val="28"/>
          <w:szCs w:val="21"/>
        </w:rPr>
      </w:pPr>
      <w:r>
        <w:rPr>
          <w:rFonts w:eastAsia="楷体_GB2312"/>
          <w:sz w:val="28"/>
          <w:szCs w:val="21"/>
        </w:rPr>
        <w:t>镇区内对外交通主干道有</w:t>
      </w:r>
      <w:r>
        <w:rPr>
          <w:rFonts w:hint="eastAsia" w:eastAsia="楷体_GB2312"/>
          <w:sz w:val="28"/>
          <w:szCs w:val="21"/>
        </w:rPr>
        <w:t>交通路、宿怀南路</w:t>
      </w:r>
      <w:r>
        <w:rPr>
          <w:rFonts w:eastAsia="楷体_GB2312"/>
          <w:sz w:val="28"/>
          <w:szCs w:val="21"/>
        </w:rPr>
        <w:t>，次干道有</w:t>
      </w:r>
      <w:r>
        <w:rPr>
          <w:rFonts w:hint="eastAsia" w:eastAsia="楷体_GB2312"/>
          <w:sz w:val="28"/>
          <w:szCs w:val="21"/>
        </w:rPr>
        <w:t>桃北路、池湖路、邵圩路、新园路、健康路、学前路、孙寨路、广场路、振北路、临水路、运西路、谷岭路</w:t>
      </w:r>
      <w:r>
        <w:rPr>
          <w:rFonts w:eastAsia="楷体_GB2312"/>
          <w:sz w:val="28"/>
          <w:szCs w:val="21"/>
        </w:rPr>
        <w:t>，支路有</w:t>
      </w:r>
      <w:r>
        <w:rPr>
          <w:rFonts w:hint="eastAsia" w:eastAsia="楷体_GB2312"/>
          <w:sz w:val="28"/>
          <w:szCs w:val="21"/>
        </w:rPr>
        <w:t>杨寨路等</w:t>
      </w:r>
      <w:r>
        <w:rPr>
          <w:rFonts w:eastAsia="楷体_GB2312"/>
          <w:sz w:val="28"/>
          <w:szCs w:val="21"/>
        </w:rPr>
        <w:t>。</w:t>
      </w:r>
    </w:p>
    <w:p w14:paraId="1F265790">
      <w:pPr>
        <w:pStyle w:val="20"/>
        <w:spacing w:line="480" w:lineRule="exact"/>
        <w:ind w:firstLine="562" w:firstLineChars="200"/>
        <w:rPr>
          <w:rFonts w:ascii="Times New Roman" w:hAnsi="Times New Roman" w:eastAsia="楷体_GB2312" w:cs="Times New Roman"/>
          <w:b/>
          <w:sz w:val="28"/>
        </w:rPr>
      </w:pPr>
      <w:r>
        <w:rPr>
          <w:rFonts w:hint="eastAsia" w:ascii="Times New Roman" w:hAnsi="Times New Roman" w:eastAsia="楷体_GB2312" w:cs="Times New Roman"/>
          <w:b/>
          <w:sz w:val="28"/>
        </w:rPr>
        <w:t>1</w:t>
      </w:r>
      <w:r>
        <w:rPr>
          <w:rFonts w:ascii="Times New Roman" w:hAnsi="Times New Roman" w:eastAsia="楷体_GB2312" w:cs="Times New Roman"/>
          <w:b/>
          <w:sz w:val="28"/>
        </w:rPr>
        <w:t>1、</w:t>
      </w:r>
      <w:r>
        <w:rPr>
          <w:rFonts w:hint="eastAsia" w:ascii="Times New Roman" w:hAnsi="Times New Roman" w:eastAsia="楷体_GB2312" w:cs="Times New Roman"/>
          <w:b/>
          <w:sz w:val="28"/>
        </w:rPr>
        <w:t>曹村镇</w:t>
      </w:r>
    </w:p>
    <w:p w14:paraId="19E2BDE3">
      <w:pPr>
        <w:widowControl w:val="0"/>
        <w:spacing w:line="480" w:lineRule="exact"/>
        <w:ind w:firstLine="560" w:firstLineChars="200"/>
        <w:jc w:val="both"/>
        <w:rPr>
          <w:rFonts w:eastAsia="楷体_GB2312"/>
          <w:sz w:val="28"/>
          <w:szCs w:val="21"/>
        </w:rPr>
      </w:pPr>
      <w:r>
        <w:rPr>
          <w:rFonts w:eastAsia="楷体_GB2312"/>
          <w:sz w:val="28"/>
          <w:szCs w:val="21"/>
        </w:rPr>
        <w:t>镇区对外交通主干道为</w:t>
      </w:r>
      <w:r>
        <w:rPr>
          <w:rFonts w:hint="eastAsia" w:eastAsia="楷体_GB2312"/>
          <w:sz w:val="28"/>
          <w:szCs w:val="21"/>
        </w:rPr>
        <w:t>206国道</w:t>
      </w:r>
      <w:r>
        <w:rPr>
          <w:rFonts w:eastAsia="楷体_GB2312"/>
          <w:sz w:val="28"/>
          <w:szCs w:val="21"/>
        </w:rPr>
        <w:t>，次干道为</w:t>
      </w:r>
      <w:r>
        <w:rPr>
          <w:rFonts w:hint="eastAsia" w:eastAsia="楷体_GB2312"/>
          <w:sz w:val="28"/>
          <w:szCs w:val="21"/>
        </w:rPr>
        <w:t>中学路、镇中路、镇中一路，支路为环北路、镇北路、镇南路等</w:t>
      </w:r>
      <w:r>
        <w:rPr>
          <w:rFonts w:eastAsia="楷体_GB2312"/>
          <w:sz w:val="28"/>
          <w:szCs w:val="21"/>
        </w:rPr>
        <w:t>。</w:t>
      </w:r>
    </w:p>
    <w:p w14:paraId="046988FE">
      <w:pPr>
        <w:pStyle w:val="20"/>
        <w:spacing w:line="480" w:lineRule="exact"/>
        <w:ind w:firstLine="562" w:firstLineChars="200"/>
        <w:rPr>
          <w:rFonts w:ascii="Times New Roman" w:hAnsi="Times New Roman" w:eastAsia="楷体_GB2312" w:cs="Times New Roman"/>
          <w:b/>
          <w:sz w:val="28"/>
        </w:rPr>
      </w:pPr>
      <w:r>
        <w:rPr>
          <w:rFonts w:hint="eastAsia" w:ascii="Times New Roman" w:hAnsi="Times New Roman" w:eastAsia="楷体_GB2312" w:cs="Times New Roman"/>
          <w:b/>
          <w:sz w:val="28"/>
        </w:rPr>
        <w:t>1</w:t>
      </w:r>
      <w:r>
        <w:rPr>
          <w:rFonts w:ascii="Times New Roman" w:hAnsi="Times New Roman" w:eastAsia="楷体_GB2312" w:cs="Times New Roman"/>
          <w:b/>
          <w:sz w:val="28"/>
        </w:rPr>
        <w:t>2、</w:t>
      </w:r>
      <w:r>
        <w:rPr>
          <w:rFonts w:hint="eastAsia" w:ascii="Times New Roman" w:hAnsi="Times New Roman" w:eastAsia="楷体_GB2312" w:cs="Times New Roman"/>
          <w:b/>
          <w:sz w:val="28"/>
        </w:rPr>
        <w:t>大营镇</w:t>
      </w:r>
    </w:p>
    <w:p w14:paraId="54667FAF">
      <w:pPr>
        <w:widowControl w:val="0"/>
        <w:spacing w:line="480" w:lineRule="exact"/>
        <w:ind w:firstLine="560" w:firstLineChars="200"/>
        <w:jc w:val="both"/>
        <w:rPr>
          <w:rFonts w:eastAsia="楷体_GB2312"/>
          <w:sz w:val="28"/>
          <w:szCs w:val="21"/>
        </w:rPr>
      </w:pPr>
      <w:r>
        <w:rPr>
          <w:rFonts w:eastAsia="楷体_GB2312"/>
          <w:sz w:val="28"/>
          <w:szCs w:val="21"/>
        </w:rPr>
        <w:t>镇区对外交通主干道有</w:t>
      </w:r>
      <w:r>
        <w:rPr>
          <w:rFonts w:hint="eastAsia" w:eastAsia="楷体_GB2312"/>
          <w:sz w:val="28"/>
          <w:szCs w:val="21"/>
        </w:rPr>
        <w:t>汾江路、罗大路、兴国路、澥河路、双大路、振兴路、永大路</w:t>
      </w:r>
      <w:r>
        <w:rPr>
          <w:rFonts w:eastAsia="楷体_GB2312"/>
          <w:sz w:val="28"/>
          <w:szCs w:val="21"/>
        </w:rPr>
        <w:t>，次干道有</w:t>
      </w:r>
      <w:r>
        <w:rPr>
          <w:rFonts w:hint="eastAsia" w:eastAsia="楷体_GB2312"/>
          <w:sz w:val="28"/>
          <w:szCs w:val="21"/>
        </w:rPr>
        <w:t>邓陈路、民安路、南环路、蕲大路、东环路、兴大路，支路为银兴河路、便民路、健康路等</w:t>
      </w:r>
      <w:r>
        <w:rPr>
          <w:rFonts w:eastAsia="楷体_GB2312"/>
          <w:sz w:val="28"/>
          <w:szCs w:val="21"/>
        </w:rPr>
        <w:t>。</w:t>
      </w:r>
    </w:p>
    <w:p w14:paraId="19340D02">
      <w:pPr>
        <w:pStyle w:val="20"/>
        <w:spacing w:line="480" w:lineRule="exact"/>
        <w:ind w:firstLine="562" w:firstLineChars="200"/>
        <w:rPr>
          <w:rFonts w:ascii="Times New Roman" w:hAnsi="Times New Roman" w:eastAsia="楷体_GB2312" w:cs="Times New Roman"/>
          <w:b/>
          <w:sz w:val="28"/>
        </w:rPr>
      </w:pPr>
      <w:r>
        <w:rPr>
          <w:rFonts w:hint="eastAsia" w:ascii="Times New Roman" w:hAnsi="Times New Roman" w:eastAsia="楷体_GB2312" w:cs="Times New Roman"/>
          <w:b/>
          <w:sz w:val="28"/>
        </w:rPr>
        <w:t>1</w:t>
      </w:r>
      <w:r>
        <w:rPr>
          <w:rFonts w:ascii="Times New Roman" w:hAnsi="Times New Roman" w:eastAsia="楷体_GB2312" w:cs="Times New Roman"/>
          <w:b/>
          <w:sz w:val="28"/>
        </w:rPr>
        <w:t>3、</w:t>
      </w:r>
      <w:r>
        <w:rPr>
          <w:rFonts w:hint="eastAsia" w:ascii="Times New Roman" w:hAnsi="Times New Roman" w:eastAsia="楷体_GB2312" w:cs="Times New Roman"/>
          <w:b/>
          <w:sz w:val="28"/>
        </w:rPr>
        <w:t>褚兰镇</w:t>
      </w:r>
    </w:p>
    <w:p w14:paraId="7C345E1B">
      <w:pPr>
        <w:widowControl w:val="0"/>
        <w:spacing w:line="480" w:lineRule="exact"/>
        <w:ind w:firstLine="560" w:firstLineChars="200"/>
        <w:jc w:val="both"/>
        <w:rPr>
          <w:rFonts w:eastAsia="楷体_GB2312"/>
          <w:sz w:val="28"/>
          <w:szCs w:val="21"/>
        </w:rPr>
      </w:pPr>
      <w:r>
        <w:rPr>
          <w:rFonts w:eastAsia="楷体_GB2312"/>
          <w:sz w:val="28"/>
          <w:szCs w:val="21"/>
        </w:rPr>
        <w:t>镇区内对外交通主干道有</w:t>
      </w:r>
      <w:r>
        <w:rPr>
          <w:rFonts w:hint="eastAsia" w:eastAsia="楷体_GB2312"/>
          <w:sz w:val="28"/>
          <w:szCs w:val="21"/>
        </w:rPr>
        <w:t>北外环、二徐路、政府大街、南外环、西外环、政通路、褚源路、东外环</w:t>
      </w:r>
      <w:r>
        <w:rPr>
          <w:rFonts w:eastAsia="楷体_GB2312"/>
          <w:sz w:val="28"/>
          <w:szCs w:val="21"/>
        </w:rPr>
        <w:t>，次干道有</w:t>
      </w:r>
      <w:r>
        <w:rPr>
          <w:rFonts w:hint="eastAsia" w:eastAsia="楷体_GB2312"/>
          <w:sz w:val="28"/>
          <w:szCs w:val="21"/>
        </w:rPr>
        <w:t>金荣路、中心街市、腾飞路、顺成路、滨水路、畅购路、格致路、康安路</w:t>
      </w:r>
      <w:r>
        <w:rPr>
          <w:rFonts w:eastAsia="楷体_GB2312"/>
          <w:sz w:val="28"/>
          <w:szCs w:val="21"/>
        </w:rPr>
        <w:t>，支路有</w:t>
      </w:r>
      <w:r>
        <w:rPr>
          <w:rFonts w:hint="eastAsia" w:eastAsia="楷体_GB2312"/>
          <w:sz w:val="28"/>
          <w:szCs w:val="21"/>
        </w:rPr>
        <w:t>褚岗路、幸福路、新民路</w:t>
      </w:r>
      <w:r>
        <w:rPr>
          <w:rFonts w:eastAsia="楷体_GB2312"/>
          <w:sz w:val="28"/>
          <w:szCs w:val="21"/>
        </w:rPr>
        <w:t>等。</w:t>
      </w:r>
    </w:p>
    <w:p w14:paraId="444603EE">
      <w:pPr>
        <w:pStyle w:val="20"/>
        <w:spacing w:line="480" w:lineRule="exact"/>
        <w:ind w:firstLine="562" w:firstLineChars="200"/>
        <w:rPr>
          <w:rFonts w:ascii="Times New Roman" w:hAnsi="Times New Roman" w:eastAsia="楷体_GB2312" w:cs="Times New Roman"/>
          <w:b/>
          <w:sz w:val="28"/>
        </w:rPr>
      </w:pPr>
      <w:r>
        <w:rPr>
          <w:rFonts w:hint="eastAsia" w:ascii="Times New Roman" w:hAnsi="Times New Roman" w:eastAsia="楷体_GB2312" w:cs="Times New Roman"/>
          <w:b/>
          <w:sz w:val="28"/>
        </w:rPr>
        <w:t>1</w:t>
      </w:r>
      <w:r>
        <w:rPr>
          <w:rFonts w:ascii="Times New Roman" w:hAnsi="Times New Roman" w:eastAsia="楷体_GB2312" w:cs="Times New Roman"/>
          <w:b/>
          <w:sz w:val="28"/>
        </w:rPr>
        <w:t>4、</w:t>
      </w:r>
      <w:r>
        <w:rPr>
          <w:rFonts w:hint="eastAsia" w:ascii="Times New Roman" w:hAnsi="Times New Roman" w:eastAsia="楷体_GB2312" w:cs="Times New Roman"/>
          <w:b/>
          <w:sz w:val="28"/>
        </w:rPr>
        <w:t>顺河镇</w:t>
      </w:r>
    </w:p>
    <w:p w14:paraId="3B587E91">
      <w:pPr>
        <w:widowControl w:val="0"/>
        <w:spacing w:line="480" w:lineRule="exact"/>
        <w:ind w:firstLine="560" w:firstLineChars="200"/>
        <w:jc w:val="both"/>
        <w:rPr>
          <w:rFonts w:eastAsia="楷体_GB2312"/>
          <w:sz w:val="28"/>
          <w:szCs w:val="21"/>
        </w:rPr>
      </w:pPr>
      <w:r>
        <w:rPr>
          <w:rFonts w:eastAsia="楷体_GB2312"/>
          <w:sz w:val="28"/>
          <w:szCs w:val="21"/>
        </w:rPr>
        <w:t>镇区内对外交通主干道有</w:t>
      </w:r>
      <w:r>
        <w:rPr>
          <w:rFonts w:hint="eastAsia" w:eastAsia="楷体_GB2312"/>
          <w:sz w:val="28"/>
          <w:szCs w:val="21"/>
        </w:rPr>
        <w:t>302省道、工业大道、206国道、小康路、中心大街</w:t>
      </w:r>
      <w:r>
        <w:rPr>
          <w:rFonts w:eastAsia="楷体_GB2312"/>
          <w:sz w:val="28"/>
          <w:szCs w:val="21"/>
        </w:rPr>
        <w:t>，次干道有</w:t>
      </w:r>
      <w:r>
        <w:rPr>
          <w:rFonts w:hint="eastAsia" w:eastAsia="楷体_GB2312"/>
          <w:sz w:val="28"/>
          <w:szCs w:val="21"/>
        </w:rPr>
        <w:t>友善路、富强路、光明路、经十一路、和谐路</w:t>
      </w:r>
      <w:r>
        <w:rPr>
          <w:rFonts w:eastAsia="楷体_GB2312"/>
          <w:sz w:val="28"/>
          <w:szCs w:val="21"/>
        </w:rPr>
        <w:t>，支路有</w:t>
      </w:r>
      <w:r>
        <w:rPr>
          <w:rFonts w:hint="eastAsia" w:eastAsia="楷体_GB2312"/>
          <w:sz w:val="28"/>
          <w:szCs w:val="21"/>
        </w:rPr>
        <w:t>经九路、经十路、沿河路、民主路</w:t>
      </w:r>
      <w:r>
        <w:rPr>
          <w:rFonts w:eastAsia="楷体_GB2312"/>
          <w:sz w:val="28"/>
          <w:szCs w:val="21"/>
        </w:rPr>
        <w:t>等。</w:t>
      </w:r>
    </w:p>
    <w:p w14:paraId="58151B01">
      <w:pPr>
        <w:pStyle w:val="20"/>
        <w:spacing w:line="480" w:lineRule="exact"/>
        <w:ind w:firstLine="562" w:firstLineChars="200"/>
        <w:rPr>
          <w:rFonts w:ascii="Times New Roman" w:hAnsi="Times New Roman" w:eastAsia="楷体_GB2312" w:cs="Times New Roman"/>
          <w:b/>
          <w:sz w:val="28"/>
        </w:rPr>
      </w:pPr>
      <w:r>
        <w:rPr>
          <w:rFonts w:hint="eastAsia" w:ascii="Times New Roman" w:hAnsi="Times New Roman" w:eastAsia="楷体_GB2312" w:cs="Times New Roman"/>
          <w:b/>
          <w:sz w:val="28"/>
        </w:rPr>
        <w:t>1</w:t>
      </w:r>
      <w:r>
        <w:rPr>
          <w:rFonts w:ascii="Times New Roman" w:hAnsi="Times New Roman" w:eastAsia="楷体_GB2312" w:cs="Times New Roman"/>
          <w:b/>
          <w:sz w:val="28"/>
        </w:rPr>
        <w:t>5、</w:t>
      </w:r>
      <w:r>
        <w:rPr>
          <w:rFonts w:hint="eastAsia" w:ascii="Times New Roman" w:hAnsi="Times New Roman" w:eastAsia="楷体_GB2312" w:cs="Times New Roman"/>
          <w:b/>
          <w:sz w:val="28"/>
        </w:rPr>
        <w:t>杨庄镇</w:t>
      </w:r>
    </w:p>
    <w:p w14:paraId="00E06920">
      <w:pPr>
        <w:widowControl w:val="0"/>
        <w:spacing w:line="480" w:lineRule="exact"/>
        <w:ind w:firstLine="560" w:firstLineChars="200"/>
        <w:jc w:val="both"/>
        <w:rPr>
          <w:rFonts w:eastAsia="楷体_GB2312"/>
          <w:sz w:val="28"/>
          <w:szCs w:val="21"/>
        </w:rPr>
      </w:pPr>
      <w:r>
        <w:rPr>
          <w:rFonts w:eastAsia="楷体_GB2312"/>
          <w:sz w:val="28"/>
          <w:szCs w:val="21"/>
        </w:rPr>
        <w:t>镇区对外交通主干道有</w:t>
      </w:r>
      <w:r>
        <w:rPr>
          <w:rFonts w:hint="eastAsia" w:eastAsia="楷体_GB2312"/>
          <w:sz w:val="28"/>
          <w:szCs w:val="21"/>
        </w:rPr>
        <w:t>北外环路、萧灵路、曹褚路、南外环路、西外环路、科技大道、东外环</w:t>
      </w:r>
      <w:r>
        <w:rPr>
          <w:rFonts w:eastAsia="楷体_GB2312"/>
          <w:sz w:val="28"/>
          <w:szCs w:val="21"/>
        </w:rPr>
        <w:t>，次干道有</w:t>
      </w:r>
      <w:r>
        <w:rPr>
          <w:rFonts w:hint="eastAsia" w:eastAsia="楷体_GB2312"/>
          <w:sz w:val="28"/>
          <w:szCs w:val="21"/>
        </w:rPr>
        <w:t>振兴大道、国安路、丰泰路，</w:t>
      </w:r>
      <w:r>
        <w:rPr>
          <w:rFonts w:eastAsia="楷体_GB2312"/>
          <w:sz w:val="28"/>
          <w:szCs w:val="21"/>
        </w:rPr>
        <w:t>支路有</w:t>
      </w:r>
      <w:r>
        <w:rPr>
          <w:rFonts w:hint="eastAsia" w:eastAsia="楷体_GB2312"/>
          <w:sz w:val="28"/>
          <w:szCs w:val="21"/>
        </w:rPr>
        <w:t>中山路、健康路、西新大街</w:t>
      </w:r>
      <w:r>
        <w:rPr>
          <w:rFonts w:eastAsia="楷体_GB2312"/>
          <w:sz w:val="28"/>
          <w:szCs w:val="21"/>
        </w:rPr>
        <w:t>等。</w:t>
      </w:r>
    </w:p>
    <w:p w14:paraId="0B161409">
      <w:pPr>
        <w:pStyle w:val="20"/>
        <w:spacing w:line="480" w:lineRule="exact"/>
        <w:ind w:firstLine="562" w:firstLineChars="200"/>
        <w:rPr>
          <w:rFonts w:ascii="Times New Roman" w:hAnsi="Times New Roman" w:eastAsia="楷体_GB2312" w:cs="Times New Roman"/>
          <w:b/>
          <w:sz w:val="28"/>
        </w:rPr>
      </w:pPr>
      <w:r>
        <w:rPr>
          <w:rFonts w:hint="eastAsia" w:ascii="Times New Roman" w:hAnsi="Times New Roman" w:eastAsia="楷体_GB2312" w:cs="Times New Roman"/>
          <w:b/>
          <w:sz w:val="28"/>
        </w:rPr>
        <w:t>1</w:t>
      </w:r>
      <w:r>
        <w:rPr>
          <w:rFonts w:ascii="Times New Roman" w:hAnsi="Times New Roman" w:eastAsia="楷体_GB2312" w:cs="Times New Roman"/>
          <w:b/>
          <w:sz w:val="28"/>
        </w:rPr>
        <w:t>6、</w:t>
      </w:r>
      <w:r>
        <w:rPr>
          <w:rFonts w:hint="eastAsia" w:ascii="Times New Roman" w:hAnsi="Times New Roman" w:eastAsia="楷体_GB2312" w:cs="Times New Roman"/>
          <w:b/>
          <w:sz w:val="28"/>
        </w:rPr>
        <w:t>永镇乡</w:t>
      </w:r>
    </w:p>
    <w:p w14:paraId="3057FB57">
      <w:pPr>
        <w:widowControl w:val="0"/>
        <w:spacing w:line="480" w:lineRule="exact"/>
        <w:ind w:firstLine="560" w:firstLineChars="200"/>
        <w:jc w:val="both"/>
        <w:rPr>
          <w:rFonts w:eastAsia="楷体_GB2312"/>
          <w:sz w:val="28"/>
          <w:szCs w:val="21"/>
        </w:rPr>
      </w:pPr>
      <w:r>
        <w:rPr>
          <w:rFonts w:eastAsia="楷体_GB2312"/>
          <w:sz w:val="28"/>
          <w:szCs w:val="21"/>
        </w:rPr>
        <w:t>镇区目前对外交通主干道有</w:t>
      </w:r>
      <w:r>
        <w:rPr>
          <w:rFonts w:hint="eastAsia" w:eastAsia="楷体_GB2312"/>
          <w:sz w:val="28"/>
          <w:szCs w:val="21"/>
        </w:rPr>
        <w:t>206国道、永安路、永明路、永宜路、永湖路、永富路</w:t>
      </w:r>
      <w:r>
        <w:rPr>
          <w:rFonts w:eastAsia="楷体_GB2312"/>
          <w:sz w:val="28"/>
          <w:szCs w:val="21"/>
        </w:rPr>
        <w:t>，次干道为</w:t>
      </w:r>
      <w:r>
        <w:rPr>
          <w:rFonts w:hint="eastAsia" w:eastAsia="楷体_GB2312"/>
          <w:sz w:val="28"/>
          <w:szCs w:val="21"/>
        </w:rPr>
        <w:t>永胜路、永振路、永尚路、永兴路</w:t>
      </w:r>
      <w:r>
        <w:rPr>
          <w:rFonts w:eastAsia="楷体_GB2312"/>
          <w:sz w:val="28"/>
          <w:szCs w:val="21"/>
        </w:rPr>
        <w:t>，支路有</w:t>
      </w:r>
      <w:r>
        <w:rPr>
          <w:rFonts w:hint="eastAsia" w:eastAsia="楷体_GB2312"/>
          <w:sz w:val="28"/>
          <w:szCs w:val="21"/>
        </w:rPr>
        <w:t>永辉路、永乐路、永强路等</w:t>
      </w:r>
      <w:r>
        <w:rPr>
          <w:rFonts w:eastAsia="楷体_GB2312"/>
          <w:sz w:val="28"/>
          <w:szCs w:val="21"/>
        </w:rPr>
        <w:t>。</w:t>
      </w:r>
    </w:p>
    <w:p w14:paraId="0E46687C">
      <w:pPr>
        <w:pStyle w:val="20"/>
        <w:spacing w:line="480" w:lineRule="exact"/>
        <w:ind w:firstLine="562" w:firstLineChars="200"/>
        <w:rPr>
          <w:rFonts w:ascii="Times New Roman" w:hAnsi="Times New Roman" w:eastAsia="楷体_GB2312" w:cs="Times New Roman"/>
          <w:b/>
          <w:sz w:val="28"/>
        </w:rPr>
      </w:pPr>
      <w:r>
        <w:rPr>
          <w:rFonts w:hint="eastAsia" w:ascii="Times New Roman" w:hAnsi="Times New Roman" w:eastAsia="楷体_GB2312" w:cs="Times New Roman"/>
          <w:b/>
          <w:sz w:val="28"/>
        </w:rPr>
        <w:t>1</w:t>
      </w:r>
      <w:r>
        <w:rPr>
          <w:rFonts w:ascii="Times New Roman" w:hAnsi="Times New Roman" w:eastAsia="楷体_GB2312" w:cs="Times New Roman"/>
          <w:b/>
          <w:sz w:val="28"/>
        </w:rPr>
        <w:t>7、</w:t>
      </w:r>
      <w:r>
        <w:rPr>
          <w:rFonts w:hint="eastAsia" w:ascii="Times New Roman" w:hAnsi="Times New Roman" w:eastAsia="楷体_GB2312" w:cs="Times New Roman"/>
          <w:b/>
          <w:sz w:val="28"/>
        </w:rPr>
        <w:t>解集镇</w:t>
      </w:r>
    </w:p>
    <w:p w14:paraId="218A3ECE">
      <w:pPr>
        <w:widowControl w:val="0"/>
        <w:spacing w:line="480" w:lineRule="exact"/>
        <w:ind w:firstLine="560" w:firstLineChars="200"/>
        <w:jc w:val="both"/>
        <w:rPr>
          <w:rFonts w:eastAsia="楷体_GB2312"/>
          <w:sz w:val="28"/>
          <w:szCs w:val="21"/>
        </w:rPr>
      </w:pPr>
      <w:r>
        <w:rPr>
          <w:rFonts w:eastAsia="楷体_GB2312"/>
          <w:sz w:val="28"/>
          <w:szCs w:val="21"/>
        </w:rPr>
        <w:t>镇区对外交通主干道有</w:t>
      </w:r>
      <w:r>
        <w:rPr>
          <w:rFonts w:hint="eastAsia" w:eastAsia="楷体_GB2312"/>
          <w:sz w:val="28"/>
          <w:szCs w:val="21"/>
        </w:rPr>
        <w:t>山闵路、中心街、新大街、南外环、河西路、三岔路、福安路、东外环</w:t>
      </w:r>
      <w:r>
        <w:rPr>
          <w:rFonts w:eastAsia="楷体_GB2312"/>
          <w:sz w:val="28"/>
          <w:szCs w:val="21"/>
        </w:rPr>
        <w:t>，次干道有</w:t>
      </w:r>
      <w:r>
        <w:rPr>
          <w:rFonts w:hint="eastAsia" w:eastAsia="楷体_GB2312"/>
          <w:sz w:val="28"/>
          <w:szCs w:val="21"/>
        </w:rPr>
        <w:t>肉食街、南街、公园路、致富路、原家居街、清风路、苗褚路</w:t>
      </w:r>
      <w:r>
        <w:rPr>
          <w:rFonts w:eastAsia="楷体_GB2312"/>
          <w:sz w:val="28"/>
          <w:szCs w:val="21"/>
        </w:rPr>
        <w:t>，支路有</w:t>
      </w:r>
      <w:r>
        <w:rPr>
          <w:rFonts w:hint="eastAsia" w:eastAsia="楷体_GB2312"/>
          <w:sz w:val="28"/>
          <w:szCs w:val="21"/>
        </w:rPr>
        <w:t>怡情路、八方路、菜市街等</w:t>
      </w:r>
      <w:r>
        <w:rPr>
          <w:rFonts w:eastAsia="楷体_GB2312"/>
          <w:sz w:val="28"/>
          <w:szCs w:val="21"/>
        </w:rPr>
        <w:t>。</w:t>
      </w:r>
    </w:p>
    <w:p w14:paraId="19F504A9">
      <w:pPr>
        <w:pStyle w:val="20"/>
        <w:spacing w:line="480" w:lineRule="exact"/>
        <w:ind w:firstLine="562" w:firstLineChars="200"/>
        <w:rPr>
          <w:rFonts w:ascii="Times New Roman" w:hAnsi="Times New Roman" w:eastAsia="楷体_GB2312" w:cs="Times New Roman"/>
          <w:b/>
          <w:sz w:val="28"/>
        </w:rPr>
      </w:pPr>
      <w:r>
        <w:rPr>
          <w:rFonts w:hint="eastAsia" w:ascii="Times New Roman" w:hAnsi="Times New Roman" w:eastAsia="楷体_GB2312" w:cs="Times New Roman"/>
          <w:b/>
          <w:sz w:val="28"/>
        </w:rPr>
        <w:t>1</w:t>
      </w:r>
      <w:r>
        <w:rPr>
          <w:rFonts w:ascii="Times New Roman" w:hAnsi="Times New Roman" w:eastAsia="楷体_GB2312" w:cs="Times New Roman"/>
          <w:b/>
          <w:sz w:val="28"/>
        </w:rPr>
        <w:t>8、</w:t>
      </w:r>
      <w:r>
        <w:rPr>
          <w:rFonts w:hint="eastAsia" w:ascii="Times New Roman" w:hAnsi="Times New Roman" w:eastAsia="楷体_GB2312" w:cs="Times New Roman"/>
          <w:b/>
          <w:sz w:val="28"/>
        </w:rPr>
        <w:t>大泽乡镇</w:t>
      </w:r>
    </w:p>
    <w:p w14:paraId="459DD021">
      <w:pPr>
        <w:widowControl w:val="0"/>
        <w:spacing w:line="480" w:lineRule="exact"/>
        <w:ind w:firstLine="560" w:firstLineChars="200"/>
        <w:jc w:val="both"/>
        <w:rPr>
          <w:rFonts w:eastAsia="楷体_GB2312"/>
          <w:sz w:val="28"/>
          <w:szCs w:val="21"/>
        </w:rPr>
      </w:pPr>
      <w:r>
        <w:rPr>
          <w:rFonts w:eastAsia="楷体_GB2312"/>
          <w:sz w:val="28"/>
          <w:szCs w:val="21"/>
        </w:rPr>
        <w:t>镇区内对外交通主干道有</w:t>
      </w:r>
      <w:r>
        <w:rPr>
          <w:rFonts w:hint="eastAsia" w:eastAsia="楷体_GB2312"/>
          <w:sz w:val="28"/>
          <w:szCs w:val="21"/>
        </w:rPr>
        <w:t>南二环路、西桃路、中心街、平阳路、富民路、南外环、西外环、大泽路、西涉路、344国道</w:t>
      </w:r>
      <w:r>
        <w:rPr>
          <w:rFonts w:eastAsia="楷体_GB2312"/>
          <w:sz w:val="28"/>
          <w:szCs w:val="21"/>
        </w:rPr>
        <w:t>，次干道有</w:t>
      </w:r>
      <w:r>
        <w:rPr>
          <w:rFonts w:hint="eastAsia" w:eastAsia="楷体_GB2312"/>
          <w:sz w:val="28"/>
          <w:szCs w:val="21"/>
        </w:rPr>
        <w:t>站前路、求知路、致富路、鸿鹄路、涉故路、亲民路，</w:t>
      </w:r>
      <w:r>
        <w:rPr>
          <w:rFonts w:eastAsia="楷体_GB2312"/>
          <w:sz w:val="28"/>
          <w:szCs w:val="21"/>
        </w:rPr>
        <w:t>支路有</w:t>
      </w:r>
      <w:r>
        <w:rPr>
          <w:rFonts w:hint="eastAsia" w:eastAsia="楷体_GB2312"/>
          <w:sz w:val="28"/>
          <w:szCs w:val="21"/>
        </w:rPr>
        <w:t>芳合路、滨河西路、滨河东路等</w:t>
      </w:r>
      <w:r>
        <w:rPr>
          <w:rFonts w:eastAsia="楷体_GB2312"/>
          <w:sz w:val="28"/>
          <w:szCs w:val="21"/>
        </w:rPr>
        <w:t>。</w:t>
      </w:r>
    </w:p>
    <w:p w14:paraId="10B4128D">
      <w:pPr>
        <w:pStyle w:val="20"/>
        <w:spacing w:line="480" w:lineRule="exact"/>
        <w:ind w:firstLine="562" w:firstLineChars="200"/>
        <w:rPr>
          <w:rFonts w:ascii="Times New Roman" w:hAnsi="Times New Roman" w:eastAsia="楷体_GB2312" w:cs="Times New Roman"/>
          <w:b/>
          <w:sz w:val="28"/>
        </w:rPr>
      </w:pPr>
      <w:r>
        <w:rPr>
          <w:rFonts w:hint="eastAsia" w:ascii="Times New Roman" w:hAnsi="Times New Roman" w:eastAsia="楷体_GB2312" w:cs="Times New Roman"/>
          <w:b/>
          <w:sz w:val="28"/>
        </w:rPr>
        <w:t>19</w:t>
      </w:r>
      <w:r>
        <w:rPr>
          <w:rFonts w:ascii="Times New Roman" w:hAnsi="Times New Roman" w:eastAsia="楷体_GB2312" w:cs="Times New Roman"/>
          <w:b/>
          <w:sz w:val="28"/>
        </w:rPr>
        <w:t>、</w:t>
      </w:r>
      <w:r>
        <w:rPr>
          <w:rFonts w:hint="eastAsia" w:ascii="Times New Roman" w:hAnsi="Times New Roman" w:eastAsia="楷体_GB2312" w:cs="Times New Roman"/>
          <w:b/>
          <w:sz w:val="28"/>
        </w:rPr>
        <w:t>永安镇</w:t>
      </w:r>
    </w:p>
    <w:p w14:paraId="6705A93A">
      <w:pPr>
        <w:pStyle w:val="20"/>
        <w:spacing w:line="480" w:lineRule="exact"/>
        <w:rPr>
          <w:rFonts w:hint="eastAsia" w:eastAsia="楷体_GB2312"/>
          <w:sz w:val="28"/>
        </w:rPr>
      </w:pPr>
      <w:r>
        <w:rPr>
          <w:rFonts w:eastAsia="楷体_GB2312"/>
          <w:sz w:val="28"/>
        </w:rPr>
        <w:t>镇区内对外交通主干道有</w:t>
      </w:r>
      <w:r>
        <w:rPr>
          <w:rFonts w:hint="eastAsia" w:eastAsia="楷体_GB2312"/>
          <w:sz w:val="28"/>
        </w:rPr>
        <w:t>永庆路、二徐路、平安大道、永三路</w:t>
      </w:r>
      <w:r>
        <w:rPr>
          <w:rFonts w:eastAsia="楷体_GB2312"/>
          <w:sz w:val="28"/>
        </w:rPr>
        <w:t>，次干道有</w:t>
      </w:r>
      <w:r>
        <w:rPr>
          <w:rFonts w:hint="eastAsia" w:eastAsia="楷体_GB2312"/>
          <w:sz w:val="28"/>
        </w:rPr>
        <w:t>永中路、永昌路、建设路、纬三路</w:t>
      </w:r>
      <w:r>
        <w:rPr>
          <w:rFonts w:eastAsia="楷体_GB2312"/>
          <w:sz w:val="28"/>
        </w:rPr>
        <w:t>，支路有</w:t>
      </w:r>
      <w:r>
        <w:rPr>
          <w:rFonts w:hint="eastAsia" w:eastAsia="楷体_GB2312"/>
          <w:sz w:val="28"/>
        </w:rPr>
        <w:t>镇北路、永商路、永胜路等</w:t>
      </w:r>
      <w:r>
        <w:rPr>
          <w:rFonts w:eastAsia="楷体_GB2312"/>
          <w:sz w:val="28"/>
        </w:rPr>
        <w:t>。</w:t>
      </w:r>
    </w:p>
    <w:p w14:paraId="30F0641F">
      <w:pPr>
        <w:pStyle w:val="20"/>
        <w:spacing w:line="480" w:lineRule="exact"/>
        <w:ind w:firstLine="562" w:firstLineChars="200"/>
        <w:rPr>
          <w:rFonts w:ascii="Times New Roman" w:hAnsi="Times New Roman" w:eastAsia="楷体_GB2312" w:cs="Times New Roman"/>
          <w:b/>
          <w:sz w:val="28"/>
        </w:rPr>
      </w:pPr>
      <w:r>
        <w:rPr>
          <w:rFonts w:hint="eastAsia" w:ascii="Times New Roman" w:hAnsi="Times New Roman" w:eastAsia="楷体_GB2312" w:cs="Times New Roman"/>
          <w:b/>
          <w:sz w:val="28"/>
        </w:rPr>
        <w:t>20</w:t>
      </w:r>
      <w:r>
        <w:rPr>
          <w:rFonts w:ascii="Times New Roman" w:hAnsi="Times New Roman" w:eastAsia="楷体_GB2312" w:cs="Times New Roman"/>
          <w:b/>
          <w:sz w:val="28"/>
        </w:rPr>
        <w:t>、</w:t>
      </w:r>
      <w:r>
        <w:rPr>
          <w:rFonts w:hint="eastAsia" w:ascii="Times New Roman" w:hAnsi="Times New Roman" w:eastAsia="楷体_GB2312" w:cs="Times New Roman"/>
          <w:b/>
          <w:sz w:val="28"/>
        </w:rPr>
        <w:t>支河乡</w:t>
      </w:r>
    </w:p>
    <w:p w14:paraId="1127560C">
      <w:pPr>
        <w:widowControl w:val="0"/>
        <w:spacing w:line="480" w:lineRule="exact"/>
        <w:ind w:firstLine="560" w:firstLineChars="200"/>
        <w:jc w:val="both"/>
        <w:rPr>
          <w:rFonts w:eastAsia="楷体_GB2312"/>
          <w:sz w:val="28"/>
          <w:szCs w:val="21"/>
        </w:rPr>
      </w:pPr>
      <w:r>
        <w:rPr>
          <w:rFonts w:eastAsia="楷体_GB2312"/>
          <w:sz w:val="28"/>
          <w:szCs w:val="21"/>
        </w:rPr>
        <w:t>镇区内主干道为</w:t>
      </w:r>
      <w:r>
        <w:rPr>
          <w:rFonts w:hint="eastAsia" w:eastAsia="楷体_GB2312"/>
          <w:sz w:val="28"/>
          <w:szCs w:val="21"/>
        </w:rPr>
        <w:t>外环北路、富民路、幸福大道、外环南路、外环西路、振兴路、北海路、外环东路</w:t>
      </w:r>
      <w:r>
        <w:rPr>
          <w:rFonts w:eastAsia="楷体_GB2312"/>
          <w:sz w:val="28"/>
          <w:szCs w:val="21"/>
        </w:rPr>
        <w:t>，次干道有</w:t>
      </w:r>
      <w:r>
        <w:rPr>
          <w:rFonts w:hint="eastAsia" w:eastAsia="楷体_GB2312"/>
          <w:sz w:val="28"/>
          <w:szCs w:val="21"/>
        </w:rPr>
        <w:t>滨河路、工业路、富强路，</w:t>
      </w:r>
      <w:r>
        <w:rPr>
          <w:rFonts w:eastAsia="楷体_GB2312"/>
          <w:sz w:val="28"/>
          <w:szCs w:val="21"/>
        </w:rPr>
        <w:t>支路有</w:t>
      </w:r>
      <w:r>
        <w:rPr>
          <w:rFonts w:hint="eastAsia" w:eastAsia="楷体_GB2312"/>
          <w:sz w:val="28"/>
          <w:szCs w:val="21"/>
        </w:rPr>
        <w:t>福顺路、欧河路、和谐路等</w:t>
      </w:r>
      <w:r>
        <w:rPr>
          <w:rFonts w:eastAsia="楷体_GB2312"/>
          <w:sz w:val="28"/>
          <w:szCs w:val="21"/>
        </w:rPr>
        <w:t>。</w:t>
      </w:r>
    </w:p>
    <w:p w14:paraId="31449410">
      <w:pPr>
        <w:pStyle w:val="20"/>
        <w:spacing w:line="480" w:lineRule="exact"/>
        <w:ind w:firstLine="562" w:firstLineChars="200"/>
        <w:rPr>
          <w:rFonts w:ascii="Times New Roman" w:hAnsi="Times New Roman" w:eastAsia="楷体_GB2312" w:cs="Times New Roman"/>
          <w:b/>
          <w:sz w:val="28"/>
        </w:rPr>
      </w:pPr>
      <w:r>
        <w:rPr>
          <w:rFonts w:hint="eastAsia" w:ascii="Times New Roman" w:hAnsi="Times New Roman" w:eastAsia="楷体_GB2312" w:cs="Times New Roman"/>
          <w:b/>
          <w:sz w:val="28"/>
        </w:rPr>
        <w:t>21</w:t>
      </w:r>
      <w:r>
        <w:rPr>
          <w:rFonts w:ascii="Times New Roman" w:hAnsi="Times New Roman" w:eastAsia="楷体_GB2312" w:cs="Times New Roman"/>
          <w:b/>
          <w:sz w:val="28"/>
        </w:rPr>
        <w:t>、</w:t>
      </w:r>
      <w:r>
        <w:rPr>
          <w:rFonts w:hint="eastAsia" w:ascii="Times New Roman" w:hAnsi="Times New Roman" w:eastAsia="楷体_GB2312" w:cs="Times New Roman"/>
          <w:b/>
          <w:sz w:val="28"/>
        </w:rPr>
        <w:t>灰古镇</w:t>
      </w:r>
    </w:p>
    <w:p w14:paraId="22FF4DDA">
      <w:pPr>
        <w:pStyle w:val="20"/>
        <w:spacing w:line="480" w:lineRule="exact"/>
        <w:rPr>
          <w:rFonts w:hint="eastAsia" w:eastAsia="楷体_GB2312"/>
          <w:sz w:val="28"/>
        </w:rPr>
      </w:pPr>
      <w:r>
        <w:rPr>
          <w:rFonts w:eastAsia="楷体_GB2312"/>
          <w:sz w:val="28"/>
        </w:rPr>
        <w:t>镇区内对外交通主干道有</w:t>
      </w:r>
      <w:r>
        <w:rPr>
          <w:rFonts w:hint="eastAsia" w:eastAsia="楷体_GB2312"/>
          <w:sz w:val="28"/>
        </w:rPr>
        <w:t>府前路、二徐路、灰南路、朱徐路、东外环路</w:t>
      </w:r>
      <w:r>
        <w:rPr>
          <w:rFonts w:eastAsia="楷体_GB2312"/>
          <w:sz w:val="28"/>
        </w:rPr>
        <w:t>，次干道有</w:t>
      </w:r>
      <w:r>
        <w:rPr>
          <w:rFonts w:hint="eastAsia" w:eastAsia="楷体_GB2312"/>
          <w:sz w:val="28"/>
        </w:rPr>
        <w:t>灰毛路、北集路、南集路</w:t>
      </w:r>
      <w:r>
        <w:rPr>
          <w:rFonts w:eastAsia="楷体_GB2312"/>
          <w:sz w:val="28"/>
        </w:rPr>
        <w:t>，支路有</w:t>
      </w:r>
      <w:r>
        <w:rPr>
          <w:rFonts w:hint="eastAsia" w:eastAsia="楷体_GB2312"/>
          <w:sz w:val="28"/>
        </w:rPr>
        <w:t>沿河路、菜市街、镇东路等</w:t>
      </w:r>
      <w:r>
        <w:rPr>
          <w:rFonts w:eastAsia="楷体_GB2312"/>
          <w:sz w:val="28"/>
        </w:rPr>
        <w:t>。</w:t>
      </w:r>
    </w:p>
    <w:p w14:paraId="659551DD">
      <w:pPr>
        <w:pStyle w:val="20"/>
        <w:spacing w:line="480" w:lineRule="exact"/>
        <w:ind w:firstLine="562" w:firstLineChars="200"/>
        <w:rPr>
          <w:rFonts w:ascii="Times New Roman" w:hAnsi="Times New Roman" w:eastAsia="楷体_GB2312" w:cs="Times New Roman"/>
          <w:b/>
          <w:sz w:val="28"/>
        </w:rPr>
      </w:pPr>
      <w:r>
        <w:rPr>
          <w:rFonts w:hint="eastAsia" w:ascii="Times New Roman" w:hAnsi="Times New Roman" w:eastAsia="楷体_GB2312" w:cs="Times New Roman"/>
          <w:b/>
          <w:sz w:val="28"/>
        </w:rPr>
        <w:t>22</w:t>
      </w:r>
      <w:r>
        <w:rPr>
          <w:rFonts w:ascii="Times New Roman" w:hAnsi="Times New Roman" w:eastAsia="楷体_GB2312" w:cs="Times New Roman"/>
          <w:b/>
          <w:sz w:val="28"/>
        </w:rPr>
        <w:t>、</w:t>
      </w:r>
      <w:r>
        <w:rPr>
          <w:rFonts w:hint="eastAsia" w:ascii="Times New Roman" w:hAnsi="Times New Roman" w:eastAsia="楷体_GB2312" w:cs="Times New Roman"/>
          <w:b/>
          <w:sz w:val="28"/>
        </w:rPr>
        <w:t>桃沟乡</w:t>
      </w:r>
    </w:p>
    <w:p w14:paraId="698DDF1A">
      <w:pPr>
        <w:pStyle w:val="20"/>
        <w:spacing w:line="480" w:lineRule="exact"/>
        <w:rPr>
          <w:rFonts w:hint="eastAsia" w:eastAsia="楷体_GB2312"/>
          <w:sz w:val="28"/>
        </w:rPr>
      </w:pPr>
      <w:r>
        <w:rPr>
          <w:rFonts w:eastAsia="楷体_GB2312"/>
          <w:sz w:val="28"/>
        </w:rPr>
        <w:t>镇区内对外交通主干道有</w:t>
      </w:r>
      <w:r>
        <w:rPr>
          <w:rFonts w:hint="eastAsia" w:eastAsia="楷体_GB2312"/>
          <w:sz w:val="28"/>
        </w:rPr>
        <w:t>桃花大道、东外环、桃时路</w:t>
      </w:r>
      <w:r>
        <w:rPr>
          <w:rFonts w:eastAsia="楷体_GB2312"/>
          <w:sz w:val="28"/>
        </w:rPr>
        <w:t>，次干道有</w:t>
      </w:r>
      <w:r>
        <w:rPr>
          <w:rFonts w:hint="eastAsia" w:eastAsia="楷体_GB2312"/>
          <w:sz w:val="28"/>
        </w:rPr>
        <w:t>北外环、北苑路、学府路、南苑路、南外环、西外环、世纪大道</w:t>
      </w:r>
      <w:r>
        <w:rPr>
          <w:rFonts w:eastAsia="楷体_GB2312"/>
          <w:sz w:val="28"/>
        </w:rPr>
        <w:t>，支路有</w:t>
      </w:r>
      <w:r>
        <w:rPr>
          <w:rFonts w:hint="eastAsia" w:eastAsia="楷体_GB2312"/>
          <w:sz w:val="28"/>
        </w:rPr>
        <w:t>安居路、公园路、政府路等</w:t>
      </w:r>
      <w:r>
        <w:rPr>
          <w:rFonts w:eastAsia="楷体_GB2312"/>
          <w:sz w:val="28"/>
        </w:rPr>
        <w:t>。</w:t>
      </w:r>
    </w:p>
    <w:p w14:paraId="3ADA6B37">
      <w:pPr>
        <w:pStyle w:val="20"/>
        <w:spacing w:line="480" w:lineRule="exact"/>
        <w:rPr>
          <w:rFonts w:ascii="Times New Roman" w:hAnsi="Times New Roman" w:cs="Times New Roman"/>
          <w:b/>
          <w:sz w:val="28"/>
        </w:rPr>
      </w:pPr>
      <w:r>
        <w:rPr>
          <w:rFonts w:ascii="Times New Roman" w:hAnsi="Times New Roman" w:cs="Times New Roman"/>
          <w:b/>
          <w:sz w:val="28"/>
        </w:rPr>
        <w:t>二、道路类型的划分</w:t>
      </w:r>
    </w:p>
    <w:p w14:paraId="79BF083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按道路在城镇交通中的作用可分为主干道、次干道和支路。主干道指联系城镇中主要工矿企业、交通枢纽和全</w:t>
      </w:r>
      <w:r>
        <w:rPr>
          <w:rFonts w:hint="eastAsia" w:ascii="Times New Roman" w:hAnsi="Times New Roman" w:eastAsia="楷体_GB2312" w:cs="Times New Roman"/>
          <w:sz w:val="28"/>
        </w:rPr>
        <w:t>区</w:t>
      </w:r>
      <w:r>
        <w:rPr>
          <w:rFonts w:ascii="Times New Roman" w:hAnsi="Times New Roman" w:eastAsia="楷体_GB2312" w:cs="Times New Roman"/>
          <w:sz w:val="28"/>
        </w:rPr>
        <w:t>性公共活动场所的道路，是城镇中主要客货运输线；次干道指联系城镇主干道之间的道路；支路指各街坊之间的联系道路。</w:t>
      </w:r>
    </w:p>
    <w:p w14:paraId="53BBDBBA">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道路类型划分的主要依据是：(1)道路宽度和车道数；(2)道路的功能；(3)道路在城镇中的地位和作用（主要考虑道路流量）。</w:t>
      </w:r>
    </w:p>
    <w:p w14:paraId="37AA8D9C">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根据上述分析，再结合</w:t>
      </w:r>
      <w:r>
        <w:rPr>
          <w:rFonts w:hint="eastAsia" w:ascii="楷体" w:hAnsi="楷体" w:eastAsia="楷体" w:cs="楷体_GB2312"/>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各乡镇镇区的实际情况，对各乡镇不同类型的主干道、次干道及支路进行了典型抽样调查，</w:t>
      </w:r>
    </w:p>
    <w:p w14:paraId="33AAE49B">
      <w:pPr>
        <w:pStyle w:val="20"/>
        <w:spacing w:line="480" w:lineRule="exact"/>
        <w:rPr>
          <w:rFonts w:ascii="Times New Roman" w:hAnsi="Times New Roman" w:cs="Times New Roman"/>
          <w:b/>
          <w:sz w:val="28"/>
        </w:rPr>
      </w:pPr>
      <w:r>
        <w:rPr>
          <w:rFonts w:ascii="Times New Roman" w:hAnsi="Times New Roman" w:cs="Times New Roman"/>
          <w:b/>
          <w:sz w:val="28"/>
        </w:rPr>
        <w:t>三、道路通达度影响距离和功能分的确定</w:t>
      </w:r>
    </w:p>
    <w:p w14:paraId="2C89C06F">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1、道路功能分的确定</w:t>
      </w:r>
    </w:p>
    <w:p w14:paraId="0884F4C1">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依据《城镇土地分等定级规程》，对道路红线宽度、机动车流量、非机动车流量和人流量赋予不同的权重，综合定级权重为0.25，0.25，0.25，0.25，依此计算出各乡镇抽样调查道路的作用指数。分析各种类型道路的作用指数和实际功能，结合规划部门有关道路方面的资料，确定各种类型道路的作用分值，同时按规程要求对规划道路和有交通管制的道路作用分进行了减半处理，支路的功能分根据规程规定确定。结果见表1-3-3和表1-3-4。</w:t>
      </w:r>
    </w:p>
    <w:p w14:paraId="29E27CA8">
      <w:pPr>
        <w:jc w:val="center"/>
        <w:rPr>
          <w:rFonts w:eastAsia="仿宋_GB2312"/>
          <w:sz w:val="28"/>
          <w:szCs w:val="28"/>
        </w:rPr>
      </w:pPr>
      <w:r>
        <w:rPr>
          <w:rFonts w:eastAsia="黑体"/>
          <w:sz w:val="28"/>
        </w:rPr>
        <w:t>表</w:t>
      </w:r>
      <w:r>
        <w:rPr>
          <w:rFonts w:eastAsia="仿宋_GB2312"/>
          <w:sz w:val="28"/>
        </w:rPr>
        <w:t xml:space="preserve">1-3-3  </w:t>
      </w:r>
      <w:r>
        <w:rPr>
          <w:rFonts w:eastAsia="黑体"/>
          <w:sz w:val="28"/>
        </w:rPr>
        <w:t xml:space="preserve"> 道路类型与道路指数一览表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5"/>
        <w:gridCol w:w="5127"/>
      </w:tblGrid>
      <w:tr w14:paraId="6C420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2" w:hRule="atLeast"/>
          <w:jc w:val="center"/>
        </w:trPr>
        <w:tc>
          <w:tcPr>
            <w:tcW w:w="3638" w:type="dxa"/>
            <w:noWrap w:val="0"/>
            <w:vAlign w:val="center"/>
          </w:tcPr>
          <w:p w14:paraId="3DE705A8">
            <w:pPr>
              <w:spacing w:line="280" w:lineRule="exact"/>
              <w:jc w:val="center"/>
              <w:rPr>
                <w:rFonts w:eastAsia="楷体_GB2312"/>
                <w:szCs w:val="28"/>
              </w:rPr>
            </w:pPr>
            <w:r>
              <w:rPr>
                <w:rFonts w:eastAsia="楷体_GB2312"/>
                <w:szCs w:val="28"/>
              </w:rPr>
              <w:t>道路类型</w:t>
            </w:r>
          </w:p>
        </w:tc>
        <w:tc>
          <w:tcPr>
            <w:tcW w:w="4727" w:type="dxa"/>
            <w:noWrap w:val="0"/>
            <w:vAlign w:val="center"/>
          </w:tcPr>
          <w:p w14:paraId="572A4A4D">
            <w:pPr>
              <w:spacing w:line="280" w:lineRule="exact"/>
              <w:jc w:val="center"/>
              <w:rPr>
                <w:rFonts w:eastAsia="楷体_GB2312"/>
                <w:szCs w:val="28"/>
              </w:rPr>
            </w:pPr>
            <w:r>
              <w:rPr>
                <w:rFonts w:eastAsia="楷体_GB2312"/>
                <w:szCs w:val="28"/>
              </w:rPr>
              <w:t>道路作用指数</w:t>
            </w:r>
          </w:p>
        </w:tc>
      </w:tr>
      <w:tr w14:paraId="011E8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38" w:type="dxa"/>
            <w:noWrap w:val="0"/>
            <w:vAlign w:val="center"/>
          </w:tcPr>
          <w:p w14:paraId="2E8FDB9B">
            <w:pPr>
              <w:spacing w:line="280" w:lineRule="exact"/>
              <w:jc w:val="center"/>
              <w:rPr>
                <w:rFonts w:eastAsia="楷体_GB2312"/>
                <w:szCs w:val="28"/>
              </w:rPr>
            </w:pPr>
            <w:r>
              <w:rPr>
                <w:rFonts w:eastAsia="楷体_GB2312"/>
                <w:szCs w:val="28"/>
              </w:rPr>
              <w:t>主干道</w:t>
            </w:r>
          </w:p>
        </w:tc>
        <w:tc>
          <w:tcPr>
            <w:tcW w:w="4727" w:type="dxa"/>
            <w:noWrap w:val="0"/>
            <w:vAlign w:val="center"/>
          </w:tcPr>
          <w:p w14:paraId="6DD0D003">
            <w:pPr>
              <w:spacing w:line="280" w:lineRule="exact"/>
              <w:jc w:val="center"/>
              <w:rPr>
                <w:rFonts w:eastAsia="楷体_GB2312"/>
                <w:szCs w:val="28"/>
              </w:rPr>
            </w:pPr>
            <w:r>
              <w:rPr>
                <w:rFonts w:eastAsia="楷体_GB2312"/>
                <w:szCs w:val="28"/>
              </w:rPr>
              <w:t>0.65～1.00</w:t>
            </w:r>
          </w:p>
        </w:tc>
      </w:tr>
      <w:tr w14:paraId="744EB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38" w:type="dxa"/>
            <w:noWrap w:val="0"/>
            <w:vAlign w:val="center"/>
          </w:tcPr>
          <w:p w14:paraId="39A3CFDC">
            <w:pPr>
              <w:spacing w:line="280" w:lineRule="exact"/>
              <w:jc w:val="center"/>
              <w:rPr>
                <w:rFonts w:eastAsia="楷体_GB2312"/>
                <w:szCs w:val="28"/>
              </w:rPr>
            </w:pPr>
            <w:r>
              <w:rPr>
                <w:rFonts w:eastAsia="楷体_GB2312"/>
                <w:szCs w:val="28"/>
              </w:rPr>
              <w:t>次干道</w:t>
            </w:r>
          </w:p>
        </w:tc>
        <w:tc>
          <w:tcPr>
            <w:tcW w:w="4727" w:type="dxa"/>
            <w:noWrap w:val="0"/>
            <w:vAlign w:val="center"/>
          </w:tcPr>
          <w:p w14:paraId="66EC82FE">
            <w:pPr>
              <w:spacing w:line="280" w:lineRule="exact"/>
              <w:jc w:val="center"/>
              <w:rPr>
                <w:rFonts w:eastAsia="楷体_GB2312"/>
                <w:szCs w:val="28"/>
              </w:rPr>
            </w:pPr>
            <w:r>
              <w:rPr>
                <w:rFonts w:eastAsia="楷体_GB2312"/>
                <w:szCs w:val="28"/>
              </w:rPr>
              <w:t>0.40～0.70</w:t>
            </w:r>
          </w:p>
        </w:tc>
      </w:tr>
      <w:tr w14:paraId="5C6C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638" w:type="dxa"/>
            <w:noWrap w:val="0"/>
            <w:vAlign w:val="center"/>
          </w:tcPr>
          <w:p w14:paraId="38D64E56">
            <w:pPr>
              <w:spacing w:line="280" w:lineRule="exact"/>
              <w:jc w:val="center"/>
              <w:rPr>
                <w:rFonts w:eastAsia="楷体_GB2312"/>
                <w:szCs w:val="28"/>
              </w:rPr>
            </w:pPr>
            <w:r>
              <w:rPr>
                <w:rFonts w:eastAsia="楷体_GB2312"/>
                <w:szCs w:val="28"/>
              </w:rPr>
              <w:t>支  路</w:t>
            </w:r>
          </w:p>
        </w:tc>
        <w:tc>
          <w:tcPr>
            <w:tcW w:w="4727" w:type="dxa"/>
            <w:noWrap w:val="0"/>
            <w:vAlign w:val="center"/>
          </w:tcPr>
          <w:p w14:paraId="2AFD9715">
            <w:pPr>
              <w:spacing w:line="280" w:lineRule="exact"/>
              <w:jc w:val="center"/>
              <w:rPr>
                <w:rFonts w:eastAsia="楷体_GB2312"/>
                <w:szCs w:val="28"/>
              </w:rPr>
            </w:pPr>
            <w:r>
              <w:rPr>
                <w:rFonts w:eastAsia="楷体_GB2312"/>
                <w:szCs w:val="28"/>
              </w:rPr>
              <w:t>0～0.4</w:t>
            </w:r>
          </w:p>
        </w:tc>
      </w:tr>
    </w:tbl>
    <w:p w14:paraId="72486815">
      <w:pPr>
        <w:pStyle w:val="20"/>
        <w:spacing w:line="460" w:lineRule="exact"/>
        <w:jc w:val="center"/>
        <w:rPr>
          <w:rFonts w:ascii="Times New Roman" w:hAnsi="Times New Roman" w:eastAsia="黑体" w:cs="Times New Roman"/>
          <w:sz w:val="28"/>
        </w:rPr>
      </w:pPr>
      <w:r>
        <w:rPr>
          <w:rFonts w:ascii="Times New Roman" w:hAnsi="Times New Roman" w:eastAsia="黑体" w:cs="Times New Roman"/>
          <w:sz w:val="28"/>
        </w:rPr>
        <w:t>表</w:t>
      </w:r>
      <w:r>
        <w:rPr>
          <w:rFonts w:ascii="Times New Roman" w:hAnsi="Times New Roman" w:eastAsia="仿宋_GB2312" w:cs="Times New Roman"/>
          <w:sz w:val="28"/>
          <w:szCs w:val="24"/>
        </w:rPr>
        <w:t xml:space="preserve">1-3-4  </w:t>
      </w:r>
      <w:r>
        <w:rPr>
          <w:rFonts w:ascii="Times New Roman" w:hAnsi="Times New Roman" w:eastAsia="黑体" w:cs="Times New Roman"/>
          <w:sz w:val="28"/>
        </w:rPr>
        <w:t xml:space="preserve"> 各类型道路功能分一览表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5"/>
        <w:gridCol w:w="2420"/>
        <w:gridCol w:w="2420"/>
        <w:gridCol w:w="2047"/>
      </w:tblGrid>
      <w:tr w14:paraId="3C230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6" w:type="dxa"/>
            <w:vMerge w:val="restart"/>
            <w:noWrap w:val="0"/>
            <w:vAlign w:val="center"/>
          </w:tcPr>
          <w:p w14:paraId="068832B5">
            <w:pPr>
              <w:ind w:left="-57" w:right="-57"/>
              <w:jc w:val="center"/>
              <w:rPr>
                <w:rFonts w:eastAsia="楷体_GB2312"/>
              </w:rPr>
            </w:pPr>
            <w:r>
              <w:rPr>
                <w:rFonts w:eastAsia="楷体_GB2312"/>
              </w:rPr>
              <w:t>道路类型</w:t>
            </w:r>
          </w:p>
        </w:tc>
        <w:tc>
          <w:tcPr>
            <w:tcW w:w="4209" w:type="dxa"/>
            <w:gridSpan w:val="3"/>
            <w:noWrap w:val="0"/>
            <w:vAlign w:val="center"/>
          </w:tcPr>
          <w:p w14:paraId="15D3F732">
            <w:pPr>
              <w:ind w:left="-57" w:right="-57"/>
              <w:jc w:val="center"/>
              <w:rPr>
                <w:rFonts w:eastAsia="楷体_GB2312"/>
              </w:rPr>
            </w:pPr>
            <w:r>
              <w:rPr>
                <w:rFonts w:eastAsia="楷体_GB2312"/>
              </w:rPr>
              <w:t>道路</w:t>
            </w:r>
          </w:p>
        </w:tc>
      </w:tr>
      <w:tr w14:paraId="1760A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6" w:type="dxa"/>
            <w:vMerge w:val="continue"/>
            <w:noWrap w:val="0"/>
            <w:vAlign w:val="center"/>
          </w:tcPr>
          <w:p w14:paraId="247952C2">
            <w:pPr>
              <w:ind w:left="-57" w:right="-57"/>
              <w:jc w:val="center"/>
              <w:rPr>
                <w:rFonts w:eastAsia="楷体_GB2312"/>
              </w:rPr>
            </w:pPr>
          </w:p>
        </w:tc>
        <w:tc>
          <w:tcPr>
            <w:tcW w:w="1479" w:type="dxa"/>
            <w:noWrap w:val="0"/>
            <w:vAlign w:val="center"/>
          </w:tcPr>
          <w:p w14:paraId="466C033C">
            <w:pPr>
              <w:ind w:left="-57" w:right="-57"/>
              <w:jc w:val="center"/>
              <w:rPr>
                <w:rFonts w:eastAsia="楷体_GB2312"/>
              </w:rPr>
            </w:pPr>
            <w:r>
              <w:rPr>
                <w:rFonts w:eastAsia="楷体_GB2312"/>
              </w:rPr>
              <w:t>主干道</w:t>
            </w:r>
          </w:p>
        </w:tc>
        <w:tc>
          <w:tcPr>
            <w:tcW w:w="1479" w:type="dxa"/>
            <w:noWrap w:val="0"/>
            <w:vAlign w:val="center"/>
          </w:tcPr>
          <w:p w14:paraId="3CC6CACC">
            <w:pPr>
              <w:ind w:left="-57" w:right="-57"/>
              <w:jc w:val="center"/>
              <w:rPr>
                <w:rFonts w:eastAsia="楷体_GB2312"/>
              </w:rPr>
            </w:pPr>
            <w:r>
              <w:rPr>
                <w:rFonts w:eastAsia="楷体_GB2312"/>
              </w:rPr>
              <w:t>次干道</w:t>
            </w:r>
          </w:p>
        </w:tc>
        <w:tc>
          <w:tcPr>
            <w:tcW w:w="1251" w:type="dxa"/>
            <w:noWrap w:val="0"/>
            <w:vAlign w:val="center"/>
          </w:tcPr>
          <w:p w14:paraId="66865834">
            <w:pPr>
              <w:ind w:left="-57" w:right="-57"/>
              <w:jc w:val="center"/>
              <w:rPr>
                <w:rFonts w:eastAsia="楷体_GB2312"/>
              </w:rPr>
            </w:pPr>
            <w:r>
              <w:rPr>
                <w:rFonts w:eastAsia="楷体_GB2312"/>
              </w:rPr>
              <w:t>支路</w:t>
            </w:r>
          </w:p>
        </w:tc>
      </w:tr>
      <w:tr w14:paraId="5BAD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36" w:type="dxa"/>
            <w:noWrap w:val="0"/>
            <w:vAlign w:val="center"/>
          </w:tcPr>
          <w:p w14:paraId="69C46389">
            <w:pPr>
              <w:ind w:left="-57" w:right="-57"/>
              <w:jc w:val="center"/>
              <w:rPr>
                <w:rFonts w:eastAsia="楷体_GB2312"/>
              </w:rPr>
            </w:pPr>
            <w:r>
              <w:rPr>
                <w:rFonts w:eastAsia="楷体_GB2312"/>
              </w:rPr>
              <w:t>功能分</w:t>
            </w:r>
          </w:p>
        </w:tc>
        <w:tc>
          <w:tcPr>
            <w:tcW w:w="1479" w:type="dxa"/>
            <w:noWrap w:val="0"/>
            <w:vAlign w:val="center"/>
          </w:tcPr>
          <w:p w14:paraId="67876036">
            <w:pPr>
              <w:ind w:left="-57" w:right="-57"/>
              <w:jc w:val="center"/>
              <w:rPr>
                <w:rFonts w:eastAsia="楷体_GB2312"/>
              </w:rPr>
            </w:pPr>
            <w:r>
              <w:rPr>
                <w:rFonts w:eastAsia="楷体_GB2312"/>
              </w:rPr>
              <w:t>100-65</w:t>
            </w:r>
          </w:p>
        </w:tc>
        <w:tc>
          <w:tcPr>
            <w:tcW w:w="1479" w:type="dxa"/>
            <w:noWrap w:val="0"/>
            <w:vAlign w:val="center"/>
          </w:tcPr>
          <w:p w14:paraId="2EB7AB63">
            <w:pPr>
              <w:ind w:left="-57" w:right="-57"/>
              <w:jc w:val="center"/>
              <w:rPr>
                <w:rFonts w:eastAsia="楷体_GB2312"/>
              </w:rPr>
            </w:pPr>
            <w:r>
              <w:rPr>
                <w:rFonts w:eastAsia="楷体_GB2312"/>
              </w:rPr>
              <w:t>70-40</w:t>
            </w:r>
          </w:p>
        </w:tc>
        <w:tc>
          <w:tcPr>
            <w:tcW w:w="1251" w:type="dxa"/>
            <w:noWrap w:val="0"/>
            <w:vAlign w:val="center"/>
          </w:tcPr>
          <w:p w14:paraId="2EA2398B">
            <w:pPr>
              <w:ind w:left="-57" w:right="-57"/>
              <w:jc w:val="center"/>
              <w:rPr>
                <w:rFonts w:eastAsia="楷体_GB2312"/>
              </w:rPr>
            </w:pPr>
            <w:r>
              <w:rPr>
                <w:rFonts w:eastAsia="楷体_GB2312"/>
              </w:rPr>
              <w:t>＜40</w:t>
            </w:r>
          </w:p>
        </w:tc>
      </w:tr>
    </w:tbl>
    <w:p w14:paraId="43D46268">
      <w:pPr>
        <w:spacing w:line="480" w:lineRule="exact"/>
        <w:ind w:firstLine="562" w:firstLineChars="200"/>
        <w:rPr>
          <w:rFonts w:eastAsia="楷体_GB2312"/>
          <w:b/>
          <w:szCs w:val="21"/>
        </w:rPr>
      </w:pPr>
      <w:r>
        <w:rPr>
          <w:rFonts w:eastAsia="楷体_GB2312"/>
          <w:b/>
          <w:sz w:val="28"/>
          <w:szCs w:val="28"/>
        </w:rPr>
        <w:t>2、道路影响半径计算</w:t>
      </w:r>
    </w:p>
    <w:p w14:paraId="1C66F4FD">
      <w:pPr>
        <w:spacing w:line="480" w:lineRule="exact"/>
        <w:ind w:firstLine="560" w:firstLineChars="200"/>
        <w:rPr>
          <w:rFonts w:eastAsia="楷体_GB2312"/>
          <w:sz w:val="28"/>
        </w:rPr>
      </w:pPr>
      <w:r>
        <w:rPr>
          <w:rFonts w:eastAsia="楷体_GB2312"/>
          <w:sz w:val="28"/>
        </w:rPr>
        <w:t>根据《城镇土地分等定级规程》，各级道路的影响距离按公式d=s/2l计算，其中，d为各级道路的影响距离，s取评价区范围面积，l为某级道路（包括级别高于该级的道路）的总长度，本次定级过程中，为了区别现有道路和规划道路在土地定级中影响的差异，将规划道路长度折半，即l=l</w:t>
      </w:r>
      <w:r>
        <w:rPr>
          <w:rFonts w:eastAsia="楷体_GB2312"/>
          <w:sz w:val="28"/>
          <w:vertAlign w:val="subscript"/>
        </w:rPr>
        <w:t>1</w:t>
      </w:r>
      <w:r>
        <w:rPr>
          <w:rFonts w:eastAsia="楷体_GB2312"/>
          <w:sz w:val="28"/>
        </w:rPr>
        <w:t>+l</w:t>
      </w:r>
      <w:r>
        <w:rPr>
          <w:rFonts w:eastAsia="楷体_GB2312"/>
          <w:sz w:val="28"/>
          <w:vertAlign w:val="subscript"/>
        </w:rPr>
        <w:t>2</w:t>
      </w:r>
      <w:r>
        <w:rPr>
          <w:rFonts w:eastAsia="楷体_GB2312"/>
          <w:sz w:val="28"/>
        </w:rPr>
        <w:t>/2（l</w:t>
      </w:r>
      <w:r>
        <w:rPr>
          <w:rFonts w:eastAsia="楷体_GB2312"/>
          <w:sz w:val="28"/>
          <w:vertAlign w:val="subscript"/>
        </w:rPr>
        <w:t>1</w:t>
      </w:r>
      <w:r>
        <w:rPr>
          <w:rFonts w:eastAsia="楷体_GB2312"/>
          <w:sz w:val="28"/>
        </w:rPr>
        <w:t>为现有道路，l</w:t>
      </w:r>
      <w:r>
        <w:rPr>
          <w:rFonts w:eastAsia="楷体_GB2312"/>
          <w:sz w:val="28"/>
          <w:vertAlign w:val="subscript"/>
        </w:rPr>
        <w:t>2</w:t>
      </w:r>
      <w:r>
        <w:rPr>
          <w:rFonts w:eastAsia="楷体_GB2312"/>
          <w:sz w:val="28"/>
        </w:rPr>
        <w:t>为规划道路）。根据此方法，对各乡镇主次干道影响半径计算。</w:t>
      </w:r>
    </w:p>
    <w:p w14:paraId="0575B405">
      <w:pPr>
        <w:spacing w:line="480" w:lineRule="exact"/>
        <w:ind w:firstLine="560" w:firstLineChars="200"/>
        <w:rPr>
          <w:rFonts w:eastAsia="楷体_GB2312"/>
          <w:sz w:val="28"/>
        </w:rPr>
      </w:pPr>
      <w:r>
        <w:rPr>
          <w:rFonts w:eastAsia="楷体_GB2312"/>
          <w:sz w:val="28"/>
        </w:rPr>
        <w:t>根据计算，各乡镇主次干道影响半径均比较小，本次根据道路影响半径计算结果，同时结合各乡镇特点，按照不同镇不同道路类型综合分析，确定支路影响距离，结果见表1-3-5。</w:t>
      </w:r>
    </w:p>
    <w:p w14:paraId="339191ED">
      <w:pPr>
        <w:jc w:val="center"/>
        <w:rPr>
          <w:rFonts w:eastAsia="黑体"/>
          <w:sz w:val="28"/>
        </w:rPr>
      </w:pPr>
      <w:r>
        <w:rPr>
          <w:rFonts w:eastAsia="黑体"/>
          <w:sz w:val="28"/>
        </w:rPr>
        <w:t>表1-3-5  道路影响距离分类表</w:t>
      </w:r>
    </w:p>
    <w:p w14:paraId="189EA431">
      <w:pPr>
        <w:spacing w:line="0" w:lineRule="atLeast"/>
        <w:ind w:right="105"/>
        <w:jc w:val="right"/>
        <w:rPr>
          <w:rFonts w:eastAsia="仿宋_GB2312"/>
          <w:sz w:val="24"/>
        </w:rPr>
      </w:pPr>
      <w:r>
        <w:rPr>
          <w:rFonts w:eastAsia="仿宋_GB2312"/>
          <w:szCs w:val="21"/>
        </w:rPr>
        <w:t>（单位：米）</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2465"/>
        <w:gridCol w:w="2010"/>
        <w:gridCol w:w="1693"/>
        <w:gridCol w:w="1768"/>
      </w:tblGrid>
      <w:tr w14:paraId="74B0B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jc w:val="center"/>
        </w:trPr>
        <w:tc>
          <w:tcPr>
            <w:tcW w:w="1136" w:type="dxa"/>
            <w:vMerge w:val="restart"/>
            <w:noWrap w:val="0"/>
            <w:vAlign w:val="center"/>
          </w:tcPr>
          <w:p w14:paraId="4BEA309E">
            <w:pPr>
              <w:jc w:val="center"/>
              <w:rPr>
                <w:rFonts w:eastAsia="楷体_GB2312"/>
                <w:szCs w:val="21"/>
              </w:rPr>
            </w:pPr>
            <w:r>
              <w:rPr>
                <w:rFonts w:eastAsia="楷体_GB2312"/>
                <w:szCs w:val="21"/>
              </w:rPr>
              <w:t>城镇编号</w:t>
            </w:r>
          </w:p>
        </w:tc>
        <w:tc>
          <w:tcPr>
            <w:tcW w:w="2465" w:type="dxa"/>
            <w:vMerge w:val="restart"/>
            <w:noWrap w:val="0"/>
            <w:vAlign w:val="center"/>
          </w:tcPr>
          <w:p w14:paraId="00FAF427">
            <w:pPr>
              <w:jc w:val="center"/>
              <w:rPr>
                <w:rFonts w:eastAsia="楷体_GB2312"/>
                <w:szCs w:val="21"/>
              </w:rPr>
            </w:pPr>
            <w:r>
              <w:rPr>
                <w:rFonts w:eastAsia="楷体_GB2312"/>
                <w:szCs w:val="21"/>
              </w:rPr>
              <w:t>城镇名称</w:t>
            </w:r>
          </w:p>
        </w:tc>
        <w:tc>
          <w:tcPr>
            <w:tcW w:w="5471" w:type="dxa"/>
            <w:gridSpan w:val="3"/>
            <w:noWrap w:val="0"/>
            <w:vAlign w:val="center"/>
          </w:tcPr>
          <w:p w14:paraId="336162CA">
            <w:pPr>
              <w:jc w:val="center"/>
              <w:rPr>
                <w:rFonts w:eastAsia="楷体_GB2312"/>
                <w:szCs w:val="21"/>
              </w:rPr>
            </w:pPr>
            <w:r>
              <w:rPr>
                <w:rFonts w:eastAsia="楷体_GB2312"/>
                <w:szCs w:val="21"/>
              </w:rPr>
              <w:t>道路类型</w:t>
            </w:r>
          </w:p>
        </w:tc>
      </w:tr>
      <w:tr w14:paraId="06AB4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blHeader/>
          <w:jc w:val="center"/>
        </w:trPr>
        <w:tc>
          <w:tcPr>
            <w:tcW w:w="1136" w:type="dxa"/>
            <w:vMerge w:val="continue"/>
            <w:noWrap w:val="0"/>
            <w:vAlign w:val="center"/>
          </w:tcPr>
          <w:p w14:paraId="0CBD1EDA">
            <w:pPr>
              <w:jc w:val="center"/>
              <w:rPr>
                <w:rFonts w:eastAsia="楷体_GB2312"/>
                <w:szCs w:val="21"/>
              </w:rPr>
            </w:pPr>
          </w:p>
        </w:tc>
        <w:tc>
          <w:tcPr>
            <w:tcW w:w="2465" w:type="dxa"/>
            <w:vMerge w:val="continue"/>
            <w:noWrap w:val="0"/>
            <w:vAlign w:val="center"/>
          </w:tcPr>
          <w:p w14:paraId="5B5DE10D">
            <w:pPr>
              <w:jc w:val="center"/>
              <w:rPr>
                <w:rFonts w:eastAsia="楷体_GB2312"/>
                <w:szCs w:val="21"/>
              </w:rPr>
            </w:pPr>
          </w:p>
        </w:tc>
        <w:tc>
          <w:tcPr>
            <w:tcW w:w="2010" w:type="dxa"/>
            <w:noWrap w:val="0"/>
            <w:vAlign w:val="center"/>
          </w:tcPr>
          <w:p w14:paraId="2C4C8357">
            <w:pPr>
              <w:jc w:val="center"/>
              <w:rPr>
                <w:rFonts w:eastAsia="楷体_GB2312"/>
                <w:szCs w:val="21"/>
              </w:rPr>
            </w:pPr>
            <w:r>
              <w:rPr>
                <w:rFonts w:eastAsia="楷体_GB2312"/>
                <w:szCs w:val="21"/>
              </w:rPr>
              <w:t>主干道</w:t>
            </w:r>
          </w:p>
        </w:tc>
        <w:tc>
          <w:tcPr>
            <w:tcW w:w="1693" w:type="dxa"/>
            <w:noWrap w:val="0"/>
            <w:vAlign w:val="center"/>
          </w:tcPr>
          <w:p w14:paraId="61E3FE33">
            <w:pPr>
              <w:jc w:val="center"/>
              <w:rPr>
                <w:rFonts w:eastAsia="楷体_GB2312"/>
                <w:szCs w:val="21"/>
              </w:rPr>
            </w:pPr>
            <w:r>
              <w:rPr>
                <w:rFonts w:eastAsia="楷体_GB2312"/>
                <w:szCs w:val="21"/>
              </w:rPr>
              <w:t>次干道</w:t>
            </w:r>
          </w:p>
        </w:tc>
        <w:tc>
          <w:tcPr>
            <w:tcW w:w="1768" w:type="dxa"/>
            <w:noWrap w:val="0"/>
            <w:vAlign w:val="center"/>
          </w:tcPr>
          <w:p w14:paraId="42D1B7C7">
            <w:pPr>
              <w:jc w:val="center"/>
              <w:rPr>
                <w:rFonts w:eastAsia="楷体_GB2312"/>
                <w:szCs w:val="21"/>
              </w:rPr>
            </w:pPr>
            <w:r>
              <w:rPr>
                <w:rFonts w:eastAsia="楷体_GB2312"/>
                <w:szCs w:val="21"/>
              </w:rPr>
              <w:t>支路</w:t>
            </w:r>
          </w:p>
        </w:tc>
      </w:tr>
      <w:tr w14:paraId="679F2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noWrap w:val="0"/>
            <w:vAlign w:val="center"/>
          </w:tcPr>
          <w:p w14:paraId="1295825E">
            <w:pPr>
              <w:tabs>
                <w:tab w:val="left" w:pos="0"/>
                <w:tab w:val="left" w:pos="295"/>
              </w:tabs>
              <w:jc w:val="center"/>
              <w:rPr>
                <w:rFonts w:eastAsia="楷体_GB2312"/>
                <w:szCs w:val="21"/>
              </w:rPr>
            </w:pPr>
            <w:r>
              <w:rPr>
                <w:rFonts w:eastAsia="楷体_GB2312"/>
                <w:szCs w:val="21"/>
              </w:rPr>
              <w:t>1</w:t>
            </w:r>
          </w:p>
        </w:tc>
        <w:tc>
          <w:tcPr>
            <w:tcW w:w="2465" w:type="dxa"/>
            <w:noWrap w:val="0"/>
            <w:vAlign w:val="center"/>
          </w:tcPr>
          <w:p w14:paraId="7D522445">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符离镇</w:t>
            </w:r>
          </w:p>
        </w:tc>
        <w:tc>
          <w:tcPr>
            <w:tcW w:w="2010" w:type="dxa"/>
            <w:noWrap w:val="0"/>
            <w:vAlign w:val="center"/>
          </w:tcPr>
          <w:p w14:paraId="1F130B5B">
            <w:pPr>
              <w:jc w:val="center"/>
              <w:rPr>
                <w:rFonts w:eastAsia="楷体_GB2312"/>
                <w:szCs w:val="21"/>
              </w:rPr>
            </w:pPr>
            <w:r>
              <w:rPr>
                <w:rFonts w:hint="eastAsia" w:eastAsia="楷体_GB2312"/>
                <w:szCs w:val="21"/>
              </w:rPr>
              <w:t>400</w:t>
            </w:r>
          </w:p>
        </w:tc>
        <w:tc>
          <w:tcPr>
            <w:tcW w:w="1693" w:type="dxa"/>
            <w:noWrap w:val="0"/>
            <w:vAlign w:val="center"/>
          </w:tcPr>
          <w:p w14:paraId="2B4D6F48">
            <w:pPr>
              <w:jc w:val="center"/>
              <w:rPr>
                <w:rFonts w:eastAsia="楷体_GB2312"/>
                <w:szCs w:val="21"/>
              </w:rPr>
            </w:pPr>
            <w:r>
              <w:rPr>
                <w:rFonts w:hint="eastAsia" w:eastAsia="楷体_GB2312"/>
                <w:szCs w:val="21"/>
              </w:rPr>
              <w:t>300</w:t>
            </w:r>
          </w:p>
        </w:tc>
        <w:tc>
          <w:tcPr>
            <w:tcW w:w="1768" w:type="dxa"/>
            <w:noWrap w:val="0"/>
            <w:vAlign w:val="center"/>
          </w:tcPr>
          <w:p w14:paraId="191FBF87">
            <w:pPr>
              <w:jc w:val="center"/>
              <w:rPr>
                <w:rFonts w:eastAsia="楷体_GB2312"/>
                <w:szCs w:val="21"/>
              </w:rPr>
            </w:pPr>
            <w:r>
              <w:rPr>
                <w:rFonts w:hint="eastAsia" w:eastAsia="楷体_GB2312"/>
                <w:szCs w:val="21"/>
              </w:rPr>
              <w:t>220</w:t>
            </w:r>
          </w:p>
        </w:tc>
      </w:tr>
      <w:tr w14:paraId="0D2F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noWrap w:val="0"/>
            <w:vAlign w:val="center"/>
          </w:tcPr>
          <w:p w14:paraId="72BCAFBA">
            <w:pPr>
              <w:tabs>
                <w:tab w:val="left" w:pos="0"/>
                <w:tab w:val="left" w:pos="295"/>
              </w:tabs>
              <w:jc w:val="center"/>
              <w:rPr>
                <w:rFonts w:eastAsia="楷体_GB2312"/>
                <w:szCs w:val="21"/>
              </w:rPr>
            </w:pPr>
            <w:r>
              <w:rPr>
                <w:rFonts w:eastAsia="楷体_GB2312"/>
                <w:szCs w:val="21"/>
              </w:rPr>
              <w:t>2</w:t>
            </w:r>
          </w:p>
        </w:tc>
        <w:tc>
          <w:tcPr>
            <w:tcW w:w="2465" w:type="dxa"/>
            <w:noWrap w:val="0"/>
            <w:vAlign w:val="center"/>
          </w:tcPr>
          <w:p w14:paraId="1D2A06CC">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朱仙庄镇</w:t>
            </w:r>
          </w:p>
        </w:tc>
        <w:tc>
          <w:tcPr>
            <w:tcW w:w="2010" w:type="dxa"/>
            <w:noWrap w:val="0"/>
            <w:vAlign w:val="center"/>
          </w:tcPr>
          <w:p w14:paraId="091EEAAF">
            <w:pPr>
              <w:jc w:val="center"/>
              <w:rPr>
                <w:rFonts w:eastAsia="楷体_GB2312"/>
                <w:szCs w:val="21"/>
              </w:rPr>
            </w:pPr>
            <w:r>
              <w:rPr>
                <w:rFonts w:hint="eastAsia" w:eastAsia="楷体_GB2312"/>
                <w:szCs w:val="21"/>
              </w:rPr>
              <w:t>400</w:t>
            </w:r>
          </w:p>
        </w:tc>
        <w:tc>
          <w:tcPr>
            <w:tcW w:w="1693" w:type="dxa"/>
            <w:noWrap w:val="0"/>
            <w:vAlign w:val="center"/>
          </w:tcPr>
          <w:p w14:paraId="59ED965E">
            <w:pPr>
              <w:jc w:val="center"/>
              <w:rPr>
                <w:rFonts w:eastAsia="楷体_GB2312"/>
                <w:szCs w:val="21"/>
              </w:rPr>
            </w:pPr>
            <w:r>
              <w:rPr>
                <w:rFonts w:hint="eastAsia" w:eastAsia="楷体_GB2312"/>
                <w:szCs w:val="21"/>
              </w:rPr>
              <w:t>300</w:t>
            </w:r>
          </w:p>
        </w:tc>
        <w:tc>
          <w:tcPr>
            <w:tcW w:w="1768" w:type="dxa"/>
            <w:noWrap w:val="0"/>
            <w:vAlign w:val="center"/>
          </w:tcPr>
          <w:p w14:paraId="32D581F4">
            <w:pPr>
              <w:jc w:val="center"/>
              <w:rPr>
                <w:rFonts w:eastAsia="楷体_GB2312"/>
                <w:szCs w:val="21"/>
              </w:rPr>
            </w:pPr>
            <w:r>
              <w:rPr>
                <w:rFonts w:hint="eastAsia" w:eastAsia="楷体_GB2312"/>
                <w:szCs w:val="21"/>
              </w:rPr>
              <w:t>220</w:t>
            </w:r>
          </w:p>
        </w:tc>
      </w:tr>
      <w:tr w14:paraId="15159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noWrap w:val="0"/>
            <w:vAlign w:val="center"/>
          </w:tcPr>
          <w:p w14:paraId="6D3A1B28">
            <w:pPr>
              <w:tabs>
                <w:tab w:val="left" w:pos="0"/>
                <w:tab w:val="left" w:pos="295"/>
              </w:tabs>
              <w:jc w:val="center"/>
              <w:rPr>
                <w:rFonts w:eastAsia="楷体_GB2312"/>
                <w:szCs w:val="21"/>
              </w:rPr>
            </w:pPr>
            <w:r>
              <w:rPr>
                <w:rFonts w:eastAsia="楷体_GB2312"/>
                <w:szCs w:val="21"/>
              </w:rPr>
              <w:t>3</w:t>
            </w:r>
          </w:p>
        </w:tc>
        <w:tc>
          <w:tcPr>
            <w:tcW w:w="2465" w:type="dxa"/>
            <w:noWrap w:val="0"/>
            <w:vAlign w:val="center"/>
          </w:tcPr>
          <w:p w14:paraId="293F15A6">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蕲县镇</w:t>
            </w:r>
          </w:p>
        </w:tc>
        <w:tc>
          <w:tcPr>
            <w:tcW w:w="2010" w:type="dxa"/>
            <w:noWrap w:val="0"/>
            <w:vAlign w:val="center"/>
          </w:tcPr>
          <w:p w14:paraId="3598995D">
            <w:pPr>
              <w:jc w:val="center"/>
              <w:rPr>
                <w:rFonts w:eastAsia="楷体_GB2312"/>
                <w:szCs w:val="21"/>
              </w:rPr>
            </w:pPr>
            <w:r>
              <w:rPr>
                <w:rFonts w:eastAsia="楷体_GB2312"/>
                <w:szCs w:val="21"/>
              </w:rPr>
              <w:t>300</w:t>
            </w:r>
          </w:p>
        </w:tc>
        <w:tc>
          <w:tcPr>
            <w:tcW w:w="1693" w:type="dxa"/>
            <w:noWrap w:val="0"/>
            <w:vAlign w:val="center"/>
          </w:tcPr>
          <w:p w14:paraId="7972C046">
            <w:pPr>
              <w:jc w:val="center"/>
              <w:rPr>
                <w:rFonts w:eastAsia="楷体_GB2312"/>
                <w:szCs w:val="21"/>
              </w:rPr>
            </w:pPr>
            <w:r>
              <w:rPr>
                <w:rFonts w:eastAsia="楷体_GB2312"/>
                <w:szCs w:val="21"/>
              </w:rPr>
              <w:t>240</w:t>
            </w:r>
          </w:p>
        </w:tc>
        <w:tc>
          <w:tcPr>
            <w:tcW w:w="1768" w:type="dxa"/>
            <w:noWrap w:val="0"/>
            <w:vAlign w:val="center"/>
          </w:tcPr>
          <w:p w14:paraId="73AD06D1">
            <w:pPr>
              <w:jc w:val="center"/>
              <w:rPr>
                <w:rFonts w:eastAsia="楷体_GB2312"/>
                <w:szCs w:val="21"/>
              </w:rPr>
            </w:pPr>
            <w:r>
              <w:rPr>
                <w:rFonts w:eastAsia="楷体_GB2312"/>
                <w:szCs w:val="21"/>
              </w:rPr>
              <w:t>200</w:t>
            </w:r>
          </w:p>
        </w:tc>
      </w:tr>
      <w:tr w14:paraId="7B50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noWrap w:val="0"/>
            <w:vAlign w:val="center"/>
          </w:tcPr>
          <w:p w14:paraId="1AAD853D">
            <w:pPr>
              <w:tabs>
                <w:tab w:val="left" w:pos="0"/>
                <w:tab w:val="left" w:pos="295"/>
              </w:tabs>
              <w:jc w:val="center"/>
              <w:rPr>
                <w:rFonts w:eastAsia="楷体_GB2312"/>
                <w:szCs w:val="21"/>
              </w:rPr>
            </w:pPr>
            <w:r>
              <w:rPr>
                <w:rFonts w:eastAsia="楷体_GB2312"/>
                <w:szCs w:val="21"/>
              </w:rPr>
              <w:t>4</w:t>
            </w:r>
          </w:p>
        </w:tc>
        <w:tc>
          <w:tcPr>
            <w:tcW w:w="2465" w:type="dxa"/>
            <w:noWrap w:val="0"/>
            <w:vAlign w:val="center"/>
          </w:tcPr>
          <w:p w14:paraId="2D5530A4">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芦岭镇</w:t>
            </w:r>
          </w:p>
        </w:tc>
        <w:tc>
          <w:tcPr>
            <w:tcW w:w="2010" w:type="dxa"/>
            <w:noWrap w:val="0"/>
            <w:vAlign w:val="center"/>
          </w:tcPr>
          <w:p w14:paraId="2CA13600">
            <w:pPr>
              <w:jc w:val="center"/>
              <w:rPr>
                <w:rFonts w:eastAsia="楷体_GB2312"/>
                <w:szCs w:val="21"/>
              </w:rPr>
            </w:pPr>
            <w:r>
              <w:rPr>
                <w:rFonts w:eastAsia="楷体_GB2312"/>
                <w:szCs w:val="21"/>
              </w:rPr>
              <w:t>300</w:t>
            </w:r>
          </w:p>
        </w:tc>
        <w:tc>
          <w:tcPr>
            <w:tcW w:w="1693" w:type="dxa"/>
            <w:noWrap w:val="0"/>
            <w:vAlign w:val="center"/>
          </w:tcPr>
          <w:p w14:paraId="45D0FB64">
            <w:pPr>
              <w:jc w:val="center"/>
              <w:rPr>
                <w:rFonts w:eastAsia="楷体_GB2312"/>
                <w:szCs w:val="21"/>
              </w:rPr>
            </w:pPr>
            <w:r>
              <w:rPr>
                <w:rFonts w:eastAsia="楷体_GB2312"/>
                <w:szCs w:val="21"/>
              </w:rPr>
              <w:t>240</w:t>
            </w:r>
          </w:p>
        </w:tc>
        <w:tc>
          <w:tcPr>
            <w:tcW w:w="1768" w:type="dxa"/>
            <w:noWrap w:val="0"/>
            <w:vAlign w:val="center"/>
          </w:tcPr>
          <w:p w14:paraId="577E5916">
            <w:pPr>
              <w:jc w:val="center"/>
              <w:rPr>
                <w:rFonts w:eastAsia="楷体_GB2312"/>
                <w:szCs w:val="21"/>
              </w:rPr>
            </w:pPr>
            <w:r>
              <w:rPr>
                <w:rFonts w:eastAsia="楷体_GB2312"/>
                <w:szCs w:val="21"/>
              </w:rPr>
              <w:t>200</w:t>
            </w:r>
          </w:p>
        </w:tc>
      </w:tr>
      <w:tr w14:paraId="2969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noWrap w:val="0"/>
            <w:vAlign w:val="center"/>
          </w:tcPr>
          <w:p w14:paraId="6C7F89F3">
            <w:pPr>
              <w:tabs>
                <w:tab w:val="left" w:pos="0"/>
                <w:tab w:val="left" w:pos="295"/>
              </w:tabs>
              <w:jc w:val="center"/>
              <w:rPr>
                <w:rFonts w:eastAsia="楷体_GB2312"/>
                <w:szCs w:val="21"/>
              </w:rPr>
            </w:pPr>
            <w:r>
              <w:rPr>
                <w:rFonts w:eastAsia="楷体_GB2312"/>
                <w:szCs w:val="21"/>
              </w:rPr>
              <w:t>5</w:t>
            </w:r>
          </w:p>
        </w:tc>
        <w:tc>
          <w:tcPr>
            <w:tcW w:w="2465" w:type="dxa"/>
            <w:noWrap w:val="0"/>
            <w:vAlign w:val="center"/>
          </w:tcPr>
          <w:p w14:paraId="609D91DE">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大店镇</w:t>
            </w:r>
          </w:p>
        </w:tc>
        <w:tc>
          <w:tcPr>
            <w:tcW w:w="2010" w:type="dxa"/>
            <w:noWrap w:val="0"/>
            <w:vAlign w:val="center"/>
          </w:tcPr>
          <w:p w14:paraId="23AA66CD">
            <w:pPr>
              <w:jc w:val="center"/>
              <w:rPr>
                <w:rFonts w:eastAsia="楷体_GB2312"/>
                <w:szCs w:val="21"/>
              </w:rPr>
            </w:pPr>
            <w:r>
              <w:rPr>
                <w:rFonts w:hint="eastAsia" w:eastAsia="楷体_GB2312"/>
                <w:szCs w:val="21"/>
              </w:rPr>
              <w:t>260</w:t>
            </w:r>
          </w:p>
        </w:tc>
        <w:tc>
          <w:tcPr>
            <w:tcW w:w="1693" w:type="dxa"/>
            <w:noWrap w:val="0"/>
            <w:vAlign w:val="center"/>
          </w:tcPr>
          <w:p w14:paraId="7DE831FF">
            <w:pPr>
              <w:jc w:val="center"/>
              <w:rPr>
                <w:rFonts w:eastAsia="楷体_GB2312"/>
                <w:szCs w:val="21"/>
              </w:rPr>
            </w:pPr>
            <w:r>
              <w:rPr>
                <w:rFonts w:hint="eastAsia" w:eastAsia="楷体_GB2312"/>
                <w:szCs w:val="21"/>
              </w:rPr>
              <w:t>220</w:t>
            </w:r>
          </w:p>
        </w:tc>
        <w:tc>
          <w:tcPr>
            <w:tcW w:w="1768" w:type="dxa"/>
            <w:noWrap w:val="0"/>
            <w:vAlign w:val="center"/>
          </w:tcPr>
          <w:p w14:paraId="37448681">
            <w:pPr>
              <w:jc w:val="center"/>
              <w:rPr>
                <w:rFonts w:eastAsia="楷体_GB2312"/>
                <w:szCs w:val="21"/>
              </w:rPr>
            </w:pPr>
            <w:r>
              <w:rPr>
                <w:rFonts w:hint="eastAsia" w:eastAsia="楷体_GB2312"/>
                <w:szCs w:val="21"/>
              </w:rPr>
              <w:t>180</w:t>
            </w:r>
          </w:p>
        </w:tc>
      </w:tr>
      <w:tr w14:paraId="17CD4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noWrap w:val="0"/>
            <w:vAlign w:val="center"/>
          </w:tcPr>
          <w:p w14:paraId="10112122">
            <w:pPr>
              <w:tabs>
                <w:tab w:val="left" w:pos="0"/>
                <w:tab w:val="left" w:pos="295"/>
              </w:tabs>
              <w:jc w:val="center"/>
              <w:rPr>
                <w:rFonts w:eastAsia="楷体_GB2312"/>
                <w:szCs w:val="21"/>
              </w:rPr>
            </w:pPr>
            <w:r>
              <w:rPr>
                <w:rFonts w:eastAsia="楷体_GB2312"/>
                <w:szCs w:val="21"/>
              </w:rPr>
              <w:t>6</w:t>
            </w:r>
          </w:p>
        </w:tc>
        <w:tc>
          <w:tcPr>
            <w:tcW w:w="2465" w:type="dxa"/>
            <w:noWrap w:val="0"/>
            <w:vAlign w:val="center"/>
          </w:tcPr>
          <w:p w14:paraId="006B7430">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栏杆镇</w:t>
            </w:r>
          </w:p>
        </w:tc>
        <w:tc>
          <w:tcPr>
            <w:tcW w:w="2010" w:type="dxa"/>
            <w:noWrap w:val="0"/>
            <w:vAlign w:val="center"/>
          </w:tcPr>
          <w:p w14:paraId="4128EAF3">
            <w:pPr>
              <w:jc w:val="center"/>
              <w:rPr>
                <w:rFonts w:eastAsia="楷体_GB2312"/>
                <w:szCs w:val="21"/>
              </w:rPr>
            </w:pPr>
            <w:r>
              <w:rPr>
                <w:rFonts w:hint="eastAsia" w:eastAsia="楷体_GB2312"/>
                <w:szCs w:val="21"/>
              </w:rPr>
              <w:t>260</w:t>
            </w:r>
          </w:p>
        </w:tc>
        <w:tc>
          <w:tcPr>
            <w:tcW w:w="1693" w:type="dxa"/>
            <w:noWrap w:val="0"/>
            <w:vAlign w:val="center"/>
          </w:tcPr>
          <w:p w14:paraId="4E5DCCB0">
            <w:pPr>
              <w:jc w:val="center"/>
              <w:rPr>
                <w:rFonts w:eastAsia="楷体_GB2312"/>
                <w:szCs w:val="21"/>
              </w:rPr>
            </w:pPr>
            <w:r>
              <w:rPr>
                <w:rFonts w:hint="eastAsia" w:eastAsia="楷体_GB2312"/>
                <w:szCs w:val="21"/>
              </w:rPr>
              <w:t>220</w:t>
            </w:r>
          </w:p>
        </w:tc>
        <w:tc>
          <w:tcPr>
            <w:tcW w:w="1768" w:type="dxa"/>
            <w:noWrap w:val="0"/>
            <w:vAlign w:val="center"/>
          </w:tcPr>
          <w:p w14:paraId="1BF02422">
            <w:pPr>
              <w:jc w:val="center"/>
              <w:rPr>
                <w:rFonts w:eastAsia="楷体_GB2312"/>
                <w:szCs w:val="21"/>
              </w:rPr>
            </w:pPr>
            <w:r>
              <w:rPr>
                <w:rFonts w:hint="eastAsia" w:eastAsia="楷体_GB2312"/>
                <w:szCs w:val="21"/>
              </w:rPr>
              <w:t>180</w:t>
            </w:r>
          </w:p>
        </w:tc>
      </w:tr>
      <w:tr w14:paraId="6ED99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noWrap w:val="0"/>
            <w:vAlign w:val="center"/>
          </w:tcPr>
          <w:p w14:paraId="6CDF9FF8">
            <w:pPr>
              <w:tabs>
                <w:tab w:val="left" w:pos="0"/>
                <w:tab w:val="left" w:pos="295"/>
              </w:tabs>
              <w:jc w:val="center"/>
              <w:rPr>
                <w:rFonts w:eastAsia="楷体_GB2312"/>
                <w:szCs w:val="21"/>
              </w:rPr>
            </w:pPr>
            <w:r>
              <w:rPr>
                <w:rFonts w:eastAsia="楷体_GB2312"/>
                <w:szCs w:val="21"/>
              </w:rPr>
              <w:t>7</w:t>
            </w:r>
          </w:p>
        </w:tc>
        <w:tc>
          <w:tcPr>
            <w:tcW w:w="2465" w:type="dxa"/>
            <w:noWrap w:val="0"/>
            <w:vAlign w:val="center"/>
          </w:tcPr>
          <w:p w14:paraId="1CD06869">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时村镇</w:t>
            </w:r>
          </w:p>
        </w:tc>
        <w:tc>
          <w:tcPr>
            <w:tcW w:w="2010" w:type="dxa"/>
            <w:noWrap w:val="0"/>
            <w:vAlign w:val="center"/>
          </w:tcPr>
          <w:p w14:paraId="0BB5AB71">
            <w:pPr>
              <w:jc w:val="center"/>
              <w:rPr>
                <w:rFonts w:eastAsia="楷体_GB2312"/>
                <w:szCs w:val="21"/>
              </w:rPr>
            </w:pPr>
            <w:r>
              <w:rPr>
                <w:rFonts w:hint="eastAsia" w:eastAsia="楷体_GB2312"/>
                <w:szCs w:val="21"/>
              </w:rPr>
              <w:t>260</w:t>
            </w:r>
          </w:p>
        </w:tc>
        <w:tc>
          <w:tcPr>
            <w:tcW w:w="1693" w:type="dxa"/>
            <w:noWrap w:val="0"/>
            <w:vAlign w:val="center"/>
          </w:tcPr>
          <w:p w14:paraId="5E5E80E6">
            <w:pPr>
              <w:jc w:val="center"/>
              <w:rPr>
                <w:rFonts w:eastAsia="楷体_GB2312"/>
                <w:szCs w:val="21"/>
              </w:rPr>
            </w:pPr>
            <w:r>
              <w:rPr>
                <w:rFonts w:hint="eastAsia" w:eastAsia="楷体_GB2312"/>
                <w:szCs w:val="21"/>
              </w:rPr>
              <w:t>220</w:t>
            </w:r>
          </w:p>
        </w:tc>
        <w:tc>
          <w:tcPr>
            <w:tcW w:w="1768" w:type="dxa"/>
            <w:noWrap w:val="0"/>
            <w:vAlign w:val="center"/>
          </w:tcPr>
          <w:p w14:paraId="635E02B9">
            <w:pPr>
              <w:jc w:val="center"/>
              <w:rPr>
                <w:rFonts w:eastAsia="楷体_GB2312"/>
                <w:szCs w:val="21"/>
              </w:rPr>
            </w:pPr>
            <w:r>
              <w:rPr>
                <w:rFonts w:hint="eastAsia" w:eastAsia="楷体_GB2312"/>
                <w:szCs w:val="21"/>
              </w:rPr>
              <w:t>180</w:t>
            </w:r>
          </w:p>
        </w:tc>
      </w:tr>
      <w:tr w14:paraId="2E5EE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noWrap w:val="0"/>
            <w:vAlign w:val="center"/>
          </w:tcPr>
          <w:p w14:paraId="3B116DB9">
            <w:pPr>
              <w:tabs>
                <w:tab w:val="left" w:pos="0"/>
                <w:tab w:val="left" w:pos="295"/>
              </w:tabs>
              <w:jc w:val="center"/>
              <w:rPr>
                <w:rFonts w:eastAsia="楷体_GB2312"/>
                <w:szCs w:val="21"/>
              </w:rPr>
            </w:pPr>
            <w:r>
              <w:rPr>
                <w:rFonts w:eastAsia="楷体_GB2312"/>
                <w:szCs w:val="21"/>
              </w:rPr>
              <w:t>8</w:t>
            </w:r>
          </w:p>
        </w:tc>
        <w:tc>
          <w:tcPr>
            <w:tcW w:w="2465" w:type="dxa"/>
            <w:noWrap w:val="0"/>
            <w:vAlign w:val="center"/>
          </w:tcPr>
          <w:p w14:paraId="489DDAAA">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夹沟镇</w:t>
            </w:r>
          </w:p>
        </w:tc>
        <w:tc>
          <w:tcPr>
            <w:tcW w:w="2010" w:type="dxa"/>
            <w:noWrap w:val="0"/>
            <w:vAlign w:val="center"/>
          </w:tcPr>
          <w:p w14:paraId="3340A57D">
            <w:pPr>
              <w:jc w:val="center"/>
              <w:rPr>
                <w:rFonts w:eastAsia="楷体_GB2312"/>
                <w:szCs w:val="21"/>
              </w:rPr>
            </w:pPr>
            <w:r>
              <w:rPr>
                <w:rFonts w:hint="eastAsia" w:eastAsia="楷体_GB2312"/>
                <w:szCs w:val="21"/>
              </w:rPr>
              <w:t>260</w:t>
            </w:r>
          </w:p>
        </w:tc>
        <w:tc>
          <w:tcPr>
            <w:tcW w:w="1693" w:type="dxa"/>
            <w:noWrap w:val="0"/>
            <w:vAlign w:val="center"/>
          </w:tcPr>
          <w:p w14:paraId="423FDF38">
            <w:pPr>
              <w:jc w:val="center"/>
              <w:rPr>
                <w:rFonts w:eastAsia="楷体_GB2312"/>
                <w:szCs w:val="21"/>
              </w:rPr>
            </w:pPr>
            <w:r>
              <w:rPr>
                <w:rFonts w:hint="eastAsia" w:eastAsia="楷体_GB2312"/>
                <w:szCs w:val="21"/>
              </w:rPr>
              <w:t>220</w:t>
            </w:r>
          </w:p>
        </w:tc>
        <w:tc>
          <w:tcPr>
            <w:tcW w:w="1768" w:type="dxa"/>
            <w:noWrap w:val="0"/>
            <w:vAlign w:val="center"/>
          </w:tcPr>
          <w:p w14:paraId="06B23833">
            <w:pPr>
              <w:jc w:val="center"/>
              <w:rPr>
                <w:rFonts w:eastAsia="楷体_GB2312"/>
                <w:szCs w:val="21"/>
              </w:rPr>
            </w:pPr>
            <w:r>
              <w:rPr>
                <w:rFonts w:hint="eastAsia" w:eastAsia="楷体_GB2312"/>
                <w:szCs w:val="21"/>
              </w:rPr>
              <w:t>180</w:t>
            </w:r>
          </w:p>
        </w:tc>
      </w:tr>
      <w:tr w14:paraId="1D14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noWrap w:val="0"/>
            <w:vAlign w:val="center"/>
          </w:tcPr>
          <w:p w14:paraId="52EA3A00">
            <w:pPr>
              <w:tabs>
                <w:tab w:val="left" w:pos="0"/>
                <w:tab w:val="left" w:pos="295"/>
              </w:tabs>
              <w:jc w:val="center"/>
              <w:rPr>
                <w:rFonts w:eastAsia="楷体_GB2312"/>
                <w:szCs w:val="21"/>
              </w:rPr>
            </w:pPr>
            <w:r>
              <w:rPr>
                <w:rFonts w:eastAsia="楷体_GB2312"/>
                <w:szCs w:val="21"/>
              </w:rPr>
              <w:t>9</w:t>
            </w:r>
          </w:p>
        </w:tc>
        <w:tc>
          <w:tcPr>
            <w:tcW w:w="2465" w:type="dxa"/>
            <w:noWrap w:val="0"/>
            <w:vAlign w:val="center"/>
          </w:tcPr>
          <w:p w14:paraId="2F19B0A0">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西二铺乡</w:t>
            </w:r>
          </w:p>
        </w:tc>
        <w:tc>
          <w:tcPr>
            <w:tcW w:w="2010" w:type="dxa"/>
            <w:noWrap w:val="0"/>
            <w:vAlign w:val="center"/>
          </w:tcPr>
          <w:p w14:paraId="3BB33D2C">
            <w:pPr>
              <w:jc w:val="center"/>
              <w:rPr>
                <w:rFonts w:eastAsia="楷体_GB2312"/>
                <w:szCs w:val="21"/>
              </w:rPr>
            </w:pPr>
            <w:r>
              <w:rPr>
                <w:rFonts w:hint="eastAsia" w:eastAsia="楷体_GB2312"/>
                <w:szCs w:val="21"/>
              </w:rPr>
              <w:t>220</w:t>
            </w:r>
          </w:p>
        </w:tc>
        <w:tc>
          <w:tcPr>
            <w:tcW w:w="1693" w:type="dxa"/>
            <w:noWrap w:val="0"/>
            <w:vAlign w:val="center"/>
          </w:tcPr>
          <w:p w14:paraId="2E882D7C">
            <w:pPr>
              <w:jc w:val="center"/>
              <w:rPr>
                <w:rFonts w:eastAsia="楷体_GB2312"/>
                <w:szCs w:val="21"/>
              </w:rPr>
            </w:pPr>
            <w:r>
              <w:rPr>
                <w:rFonts w:hint="eastAsia" w:eastAsia="楷体_GB2312"/>
                <w:szCs w:val="21"/>
              </w:rPr>
              <w:t>180</w:t>
            </w:r>
          </w:p>
        </w:tc>
        <w:tc>
          <w:tcPr>
            <w:tcW w:w="1768" w:type="dxa"/>
            <w:noWrap w:val="0"/>
            <w:vAlign w:val="center"/>
          </w:tcPr>
          <w:p w14:paraId="742AF4D4">
            <w:pPr>
              <w:jc w:val="center"/>
              <w:rPr>
                <w:rFonts w:eastAsia="楷体_GB2312"/>
                <w:szCs w:val="21"/>
              </w:rPr>
            </w:pPr>
            <w:r>
              <w:rPr>
                <w:rFonts w:hint="eastAsia" w:eastAsia="楷体_GB2312"/>
                <w:szCs w:val="21"/>
              </w:rPr>
              <w:t>150</w:t>
            </w:r>
          </w:p>
        </w:tc>
      </w:tr>
      <w:tr w14:paraId="7063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noWrap w:val="0"/>
            <w:vAlign w:val="center"/>
          </w:tcPr>
          <w:p w14:paraId="607AE647">
            <w:pPr>
              <w:tabs>
                <w:tab w:val="left" w:pos="0"/>
                <w:tab w:val="left" w:pos="295"/>
              </w:tabs>
              <w:jc w:val="center"/>
              <w:rPr>
                <w:rFonts w:eastAsia="楷体_GB2312"/>
                <w:szCs w:val="21"/>
              </w:rPr>
            </w:pPr>
            <w:r>
              <w:rPr>
                <w:rFonts w:eastAsia="楷体_GB2312"/>
                <w:szCs w:val="21"/>
              </w:rPr>
              <w:t>10</w:t>
            </w:r>
          </w:p>
        </w:tc>
        <w:tc>
          <w:tcPr>
            <w:tcW w:w="2465" w:type="dxa"/>
            <w:noWrap w:val="0"/>
            <w:vAlign w:val="center"/>
          </w:tcPr>
          <w:p w14:paraId="513D1E3C">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桃园镇</w:t>
            </w:r>
          </w:p>
        </w:tc>
        <w:tc>
          <w:tcPr>
            <w:tcW w:w="2010" w:type="dxa"/>
            <w:noWrap w:val="0"/>
            <w:vAlign w:val="center"/>
          </w:tcPr>
          <w:p w14:paraId="7EBDBB59">
            <w:pPr>
              <w:jc w:val="center"/>
              <w:rPr>
                <w:rFonts w:eastAsia="楷体_GB2312"/>
                <w:szCs w:val="21"/>
              </w:rPr>
            </w:pPr>
            <w:r>
              <w:rPr>
                <w:rFonts w:eastAsia="楷体_GB2312"/>
                <w:szCs w:val="21"/>
              </w:rPr>
              <w:t>300</w:t>
            </w:r>
          </w:p>
        </w:tc>
        <w:tc>
          <w:tcPr>
            <w:tcW w:w="1693" w:type="dxa"/>
            <w:noWrap w:val="0"/>
            <w:vAlign w:val="center"/>
          </w:tcPr>
          <w:p w14:paraId="2CA15857">
            <w:pPr>
              <w:jc w:val="center"/>
              <w:rPr>
                <w:rFonts w:eastAsia="楷体_GB2312"/>
                <w:szCs w:val="21"/>
              </w:rPr>
            </w:pPr>
            <w:r>
              <w:rPr>
                <w:rFonts w:eastAsia="楷体_GB2312"/>
                <w:szCs w:val="21"/>
              </w:rPr>
              <w:t>240</w:t>
            </w:r>
          </w:p>
        </w:tc>
        <w:tc>
          <w:tcPr>
            <w:tcW w:w="1768" w:type="dxa"/>
            <w:noWrap w:val="0"/>
            <w:vAlign w:val="center"/>
          </w:tcPr>
          <w:p w14:paraId="0F440EFD">
            <w:pPr>
              <w:jc w:val="center"/>
              <w:rPr>
                <w:rFonts w:eastAsia="楷体_GB2312"/>
                <w:szCs w:val="21"/>
              </w:rPr>
            </w:pPr>
            <w:r>
              <w:rPr>
                <w:rFonts w:eastAsia="楷体_GB2312"/>
                <w:szCs w:val="21"/>
              </w:rPr>
              <w:t>200</w:t>
            </w:r>
          </w:p>
        </w:tc>
      </w:tr>
      <w:tr w14:paraId="31D80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noWrap w:val="0"/>
            <w:vAlign w:val="center"/>
          </w:tcPr>
          <w:p w14:paraId="49882E22">
            <w:pPr>
              <w:tabs>
                <w:tab w:val="left" w:pos="0"/>
                <w:tab w:val="left" w:pos="295"/>
              </w:tabs>
              <w:jc w:val="center"/>
              <w:rPr>
                <w:rFonts w:eastAsia="楷体_GB2312"/>
                <w:szCs w:val="21"/>
              </w:rPr>
            </w:pPr>
            <w:r>
              <w:rPr>
                <w:rFonts w:hint="eastAsia" w:eastAsia="楷体_GB2312"/>
                <w:szCs w:val="21"/>
              </w:rPr>
              <w:t>11</w:t>
            </w:r>
          </w:p>
        </w:tc>
        <w:tc>
          <w:tcPr>
            <w:tcW w:w="2465" w:type="dxa"/>
            <w:noWrap w:val="0"/>
            <w:vAlign w:val="center"/>
          </w:tcPr>
          <w:p w14:paraId="05AD34B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曹村镇</w:t>
            </w:r>
          </w:p>
        </w:tc>
        <w:tc>
          <w:tcPr>
            <w:tcW w:w="2010" w:type="dxa"/>
            <w:noWrap w:val="0"/>
            <w:vAlign w:val="center"/>
          </w:tcPr>
          <w:p w14:paraId="7C72953E">
            <w:pPr>
              <w:jc w:val="center"/>
              <w:rPr>
                <w:rFonts w:eastAsia="楷体_GB2312"/>
                <w:szCs w:val="21"/>
              </w:rPr>
            </w:pPr>
            <w:r>
              <w:rPr>
                <w:rFonts w:eastAsia="楷体_GB2312"/>
                <w:szCs w:val="21"/>
              </w:rPr>
              <w:t>300</w:t>
            </w:r>
          </w:p>
        </w:tc>
        <w:tc>
          <w:tcPr>
            <w:tcW w:w="1693" w:type="dxa"/>
            <w:noWrap w:val="0"/>
            <w:vAlign w:val="center"/>
          </w:tcPr>
          <w:p w14:paraId="4E47F2BF">
            <w:pPr>
              <w:jc w:val="center"/>
              <w:rPr>
                <w:rFonts w:eastAsia="楷体_GB2312"/>
                <w:szCs w:val="21"/>
              </w:rPr>
            </w:pPr>
            <w:r>
              <w:rPr>
                <w:rFonts w:eastAsia="楷体_GB2312"/>
                <w:szCs w:val="21"/>
              </w:rPr>
              <w:t>240</w:t>
            </w:r>
          </w:p>
        </w:tc>
        <w:tc>
          <w:tcPr>
            <w:tcW w:w="1768" w:type="dxa"/>
            <w:noWrap w:val="0"/>
            <w:vAlign w:val="center"/>
          </w:tcPr>
          <w:p w14:paraId="11229D29">
            <w:pPr>
              <w:jc w:val="center"/>
              <w:rPr>
                <w:rFonts w:eastAsia="楷体_GB2312"/>
                <w:szCs w:val="21"/>
              </w:rPr>
            </w:pPr>
            <w:r>
              <w:rPr>
                <w:rFonts w:eastAsia="楷体_GB2312"/>
                <w:szCs w:val="21"/>
              </w:rPr>
              <w:t>200</w:t>
            </w:r>
          </w:p>
        </w:tc>
      </w:tr>
      <w:tr w14:paraId="0B9E7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noWrap w:val="0"/>
            <w:vAlign w:val="center"/>
          </w:tcPr>
          <w:p w14:paraId="1F63F450">
            <w:pPr>
              <w:tabs>
                <w:tab w:val="left" w:pos="0"/>
                <w:tab w:val="left" w:pos="295"/>
              </w:tabs>
              <w:jc w:val="center"/>
              <w:rPr>
                <w:rFonts w:eastAsia="楷体_GB2312"/>
                <w:szCs w:val="21"/>
              </w:rPr>
            </w:pPr>
            <w:r>
              <w:rPr>
                <w:rFonts w:hint="eastAsia" w:eastAsia="楷体_GB2312"/>
                <w:szCs w:val="21"/>
              </w:rPr>
              <w:t>12</w:t>
            </w:r>
          </w:p>
        </w:tc>
        <w:tc>
          <w:tcPr>
            <w:tcW w:w="2465" w:type="dxa"/>
            <w:noWrap w:val="0"/>
            <w:vAlign w:val="center"/>
          </w:tcPr>
          <w:p w14:paraId="4612F6E1">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大营镇</w:t>
            </w:r>
          </w:p>
        </w:tc>
        <w:tc>
          <w:tcPr>
            <w:tcW w:w="2010" w:type="dxa"/>
            <w:noWrap w:val="0"/>
            <w:vAlign w:val="center"/>
          </w:tcPr>
          <w:p w14:paraId="13448BDA">
            <w:pPr>
              <w:jc w:val="center"/>
              <w:rPr>
                <w:rFonts w:eastAsia="楷体_GB2312"/>
                <w:szCs w:val="21"/>
              </w:rPr>
            </w:pPr>
            <w:r>
              <w:rPr>
                <w:rFonts w:hint="eastAsia" w:eastAsia="楷体_GB2312"/>
                <w:szCs w:val="21"/>
              </w:rPr>
              <w:t>260</w:t>
            </w:r>
          </w:p>
        </w:tc>
        <w:tc>
          <w:tcPr>
            <w:tcW w:w="1693" w:type="dxa"/>
            <w:noWrap w:val="0"/>
            <w:vAlign w:val="center"/>
          </w:tcPr>
          <w:p w14:paraId="46E44050">
            <w:pPr>
              <w:jc w:val="center"/>
              <w:rPr>
                <w:rFonts w:eastAsia="楷体_GB2312"/>
                <w:szCs w:val="21"/>
              </w:rPr>
            </w:pPr>
            <w:r>
              <w:rPr>
                <w:rFonts w:hint="eastAsia" w:eastAsia="楷体_GB2312"/>
                <w:szCs w:val="21"/>
              </w:rPr>
              <w:t>220</w:t>
            </w:r>
          </w:p>
        </w:tc>
        <w:tc>
          <w:tcPr>
            <w:tcW w:w="1768" w:type="dxa"/>
            <w:noWrap w:val="0"/>
            <w:vAlign w:val="center"/>
          </w:tcPr>
          <w:p w14:paraId="11415B55">
            <w:pPr>
              <w:jc w:val="center"/>
              <w:rPr>
                <w:rFonts w:eastAsia="楷体_GB2312"/>
                <w:szCs w:val="21"/>
              </w:rPr>
            </w:pPr>
            <w:r>
              <w:rPr>
                <w:rFonts w:hint="eastAsia" w:eastAsia="楷体_GB2312"/>
                <w:szCs w:val="21"/>
              </w:rPr>
              <w:t>180</w:t>
            </w:r>
          </w:p>
        </w:tc>
      </w:tr>
      <w:tr w14:paraId="7814F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noWrap w:val="0"/>
            <w:vAlign w:val="center"/>
          </w:tcPr>
          <w:p w14:paraId="5CB1529F">
            <w:pPr>
              <w:tabs>
                <w:tab w:val="left" w:pos="0"/>
                <w:tab w:val="left" w:pos="295"/>
              </w:tabs>
              <w:jc w:val="center"/>
              <w:rPr>
                <w:rFonts w:eastAsia="楷体_GB2312"/>
                <w:szCs w:val="21"/>
              </w:rPr>
            </w:pPr>
            <w:r>
              <w:rPr>
                <w:rFonts w:hint="eastAsia" w:eastAsia="楷体_GB2312"/>
                <w:szCs w:val="21"/>
              </w:rPr>
              <w:t>13</w:t>
            </w:r>
          </w:p>
        </w:tc>
        <w:tc>
          <w:tcPr>
            <w:tcW w:w="2465" w:type="dxa"/>
            <w:noWrap w:val="0"/>
            <w:vAlign w:val="center"/>
          </w:tcPr>
          <w:p w14:paraId="3813C92E">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褚兰镇</w:t>
            </w:r>
          </w:p>
        </w:tc>
        <w:tc>
          <w:tcPr>
            <w:tcW w:w="2010" w:type="dxa"/>
            <w:noWrap w:val="0"/>
            <w:vAlign w:val="center"/>
          </w:tcPr>
          <w:p w14:paraId="4B703B32">
            <w:pPr>
              <w:jc w:val="center"/>
              <w:rPr>
                <w:rFonts w:eastAsia="楷体_GB2312"/>
                <w:szCs w:val="21"/>
              </w:rPr>
            </w:pPr>
            <w:r>
              <w:rPr>
                <w:rFonts w:hint="eastAsia" w:eastAsia="楷体_GB2312"/>
                <w:szCs w:val="21"/>
              </w:rPr>
              <w:t>220</w:t>
            </w:r>
          </w:p>
        </w:tc>
        <w:tc>
          <w:tcPr>
            <w:tcW w:w="1693" w:type="dxa"/>
            <w:noWrap w:val="0"/>
            <w:vAlign w:val="center"/>
          </w:tcPr>
          <w:p w14:paraId="2D173EF6">
            <w:pPr>
              <w:jc w:val="center"/>
              <w:rPr>
                <w:rFonts w:eastAsia="楷体_GB2312"/>
                <w:szCs w:val="21"/>
              </w:rPr>
            </w:pPr>
            <w:r>
              <w:rPr>
                <w:rFonts w:hint="eastAsia" w:eastAsia="楷体_GB2312"/>
                <w:szCs w:val="21"/>
              </w:rPr>
              <w:t>180</w:t>
            </w:r>
          </w:p>
        </w:tc>
        <w:tc>
          <w:tcPr>
            <w:tcW w:w="1768" w:type="dxa"/>
            <w:noWrap w:val="0"/>
            <w:vAlign w:val="center"/>
          </w:tcPr>
          <w:p w14:paraId="2724F33B">
            <w:pPr>
              <w:jc w:val="center"/>
              <w:rPr>
                <w:rFonts w:eastAsia="楷体_GB2312"/>
                <w:szCs w:val="21"/>
              </w:rPr>
            </w:pPr>
            <w:r>
              <w:rPr>
                <w:rFonts w:hint="eastAsia" w:eastAsia="楷体_GB2312"/>
                <w:szCs w:val="21"/>
              </w:rPr>
              <w:t>150</w:t>
            </w:r>
          </w:p>
        </w:tc>
      </w:tr>
      <w:tr w14:paraId="64A65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noWrap w:val="0"/>
            <w:vAlign w:val="center"/>
          </w:tcPr>
          <w:p w14:paraId="550ECBC7">
            <w:pPr>
              <w:tabs>
                <w:tab w:val="left" w:pos="0"/>
                <w:tab w:val="left" w:pos="295"/>
              </w:tabs>
              <w:jc w:val="center"/>
              <w:rPr>
                <w:rFonts w:eastAsia="楷体_GB2312"/>
                <w:szCs w:val="21"/>
              </w:rPr>
            </w:pPr>
            <w:r>
              <w:rPr>
                <w:rFonts w:hint="eastAsia" w:eastAsia="楷体_GB2312"/>
                <w:szCs w:val="21"/>
              </w:rPr>
              <w:t>14</w:t>
            </w:r>
          </w:p>
        </w:tc>
        <w:tc>
          <w:tcPr>
            <w:tcW w:w="2465" w:type="dxa"/>
            <w:noWrap w:val="0"/>
            <w:vAlign w:val="center"/>
          </w:tcPr>
          <w:p w14:paraId="26D5B2A3">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顺河镇</w:t>
            </w:r>
          </w:p>
        </w:tc>
        <w:tc>
          <w:tcPr>
            <w:tcW w:w="2010" w:type="dxa"/>
            <w:noWrap w:val="0"/>
            <w:vAlign w:val="center"/>
          </w:tcPr>
          <w:p w14:paraId="619285F9">
            <w:pPr>
              <w:jc w:val="center"/>
              <w:rPr>
                <w:rFonts w:eastAsia="楷体_GB2312"/>
                <w:szCs w:val="21"/>
              </w:rPr>
            </w:pPr>
            <w:r>
              <w:rPr>
                <w:rFonts w:eastAsia="楷体_GB2312"/>
                <w:szCs w:val="21"/>
              </w:rPr>
              <w:t>300</w:t>
            </w:r>
          </w:p>
        </w:tc>
        <w:tc>
          <w:tcPr>
            <w:tcW w:w="1693" w:type="dxa"/>
            <w:noWrap w:val="0"/>
            <w:vAlign w:val="center"/>
          </w:tcPr>
          <w:p w14:paraId="601BD4DE">
            <w:pPr>
              <w:jc w:val="center"/>
              <w:rPr>
                <w:rFonts w:eastAsia="楷体_GB2312"/>
                <w:szCs w:val="21"/>
              </w:rPr>
            </w:pPr>
            <w:r>
              <w:rPr>
                <w:rFonts w:eastAsia="楷体_GB2312"/>
                <w:szCs w:val="21"/>
              </w:rPr>
              <w:t>240</w:t>
            </w:r>
          </w:p>
        </w:tc>
        <w:tc>
          <w:tcPr>
            <w:tcW w:w="1768" w:type="dxa"/>
            <w:noWrap w:val="0"/>
            <w:vAlign w:val="center"/>
          </w:tcPr>
          <w:p w14:paraId="3ADA77B4">
            <w:pPr>
              <w:jc w:val="center"/>
              <w:rPr>
                <w:rFonts w:eastAsia="楷体_GB2312"/>
                <w:szCs w:val="21"/>
              </w:rPr>
            </w:pPr>
            <w:r>
              <w:rPr>
                <w:rFonts w:eastAsia="楷体_GB2312"/>
                <w:szCs w:val="21"/>
              </w:rPr>
              <w:t>200</w:t>
            </w:r>
          </w:p>
        </w:tc>
      </w:tr>
      <w:tr w14:paraId="7475C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noWrap w:val="0"/>
            <w:vAlign w:val="center"/>
          </w:tcPr>
          <w:p w14:paraId="553E33AF">
            <w:pPr>
              <w:tabs>
                <w:tab w:val="left" w:pos="0"/>
                <w:tab w:val="left" w:pos="295"/>
              </w:tabs>
              <w:jc w:val="center"/>
              <w:rPr>
                <w:rFonts w:eastAsia="楷体_GB2312"/>
                <w:szCs w:val="21"/>
              </w:rPr>
            </w:pPr>
            <w:r>
              <w:rPr>
                <w:rFonts w:hint="eastAsia" w:eastAsia="楷体_GB2312"/>
                <w:szCs w:val="21"/>
              </w:rPr>
              <w:t>15</w:t>
            </w:r>
          </w:p>
        </w:tc>
        <w:tc>
          <w:tcPr>
            <w:tcW w:w="2465" w:type="dxa"/>
            <w:noWrap w:val="0"/>
            <w:vAlign w:val="center"/>
          </w:tcPr>
          <w:p w14:paraId="66BB200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杨庄镇</w:t>
            </w:r>
          </w:p>
        </w:tc>
        <w:tc>
          <w:tcPr>
            <w:tcW w:w="2010" w:type="dxa"/>
            <w:noWrap w:val="0"/>
            <w:vAlign w:val="center"/>
          </w:tcPr>
          <w:p w14:paraId="6547B2ED">
            <w:pPr>
              <w:jc w:val="center"/>
              <w:rPr>
                <w:rFonts w:eastAsia="楷体_GB2312"/>
                <w:szCs w:val="21"/>
              </w:rPr>
            </w:pPr>
            <w:r>
              <w:rPr>
                <w:rFonts w:hint="eastAsia" w:eastAsia="楷体_GB2312"/>
                <w:szCs w:val="21"/>
              </w:rPr>
              <w:t>220</w:t>
            </w:r>
          </w:p>
        </w:tc>
        <w:tc>
          <w:tcPr>
            <w:tcW w:w="1693" w:type="dxa"/>
            <w:noWrap w:val="0"/>
            <w:vAlign w:val="center"/>
          </w:tcPr>
          <w:p w14:paraId="7597239E">
            <w:pPr>
              <w:jc w:val="center"/>
              <w:rPr>
                <w:rFonts w:eastAsia="楷体_GB2312"/>
                <w:szCs w:val="21"/>
              </w:rPr>
            </w:pPr>
            <w:r>
              <w:rPr>
                <w:rFonts w:hint="eastAsia" w:eastAsia="楷体_GB2312"/>
                <w:szCs w:val="21"/>
              </w:rPr>
              <w:t>180</w:t>
            </w:r>
          </w:p>
        </w:tc>
        <w:tc>
          <w:tcPr>
            <w:tcW w:w="1768" w:type="dxa"/>
            <w:noWrap w:val="0"/>
            <w:vAlign w:val="center"/>
          </w:tcPr>
          <w:p w14:paraId="10F106AF">
            <w:pPr>
              <w:jc w:val="center"/>
              <w:rPr>
                <w:rFonts w:eastAsia="楷体_GB2312"/>
                <w:szCs w:val="21"/>
              </w:rPr>
            </w:pPr>
            <w:r>
              <w:rPr>
                <w:rFonts w:hint="eastAsia" w:eastAsia="楷体_GB2312"/>
                <w:szCs w:val="21"/>
              </w:rPr>
              <w:t>150</w:t>
            </w:r>
          </w:p>
        </w:tc>
      </w:tr>
      <w:tr w14:paraId="1F65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noWrap w:val="0"/>
            <w:vAlign w:val="center"/>
          </w:tcPr>
          <w:p w14:paraId="29479B72">
            <w:pPr>
              <w:tabs>
                <w:tab w:val="left" w:pos="0"/>
                <w:tab w:val="left" w:pos="295"/>
              </w:tabs>
              <w:jc w:val="center"/>
              <w:rPr>
                <w:rFonts w:eastAsia="楷体_GB2312"/>
                <w:szCs w:val="21"/>
              </w:rPr>
            </w:pPr>
            <w:r>
              <w:rPr>
                <w:rFonts w:hint="eastAsia" w:eastAsia="楷体_GB2312"/>
                <w:szCs w:val="21"/>
              </w:rPr>
              <w:t>16</w:t>
            </w:r>
          </w:p>
        </w:tc>
        <w:tc>
          <w:tcPr>
            <w:tcW w:w="2465" w:type="dxa"/>
            <w:noWrap w:val="0"/>
            <w:vAlign w:val="center"/>
          </w:tcPr>
          <w:p w14:paraId="7D8A1915">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永镇乡</w:t>
            </w:r>
          </w:p>
        </w:tc>
        <w:tc>
          <w:tcPr>
            <w:tcW w:w="2010" w:type="dxa"/>
            <w:noWrap w:val="0"/>
            <w:vAlign w:val="center"/>
          </w:tcPr>
          <w:p w14:paraId="39596BC1">
            <w:pPr>
              <w:jc w:val="center"/>
              <w:rPr>
                <w:rFonts w:eastAsia="楷体_GB2312"/>
                <w:szCs w:val="21"/>
              </w:rPr>
            </w:pPr>
            <w:r>
              <w:rPr>
                <w:rFonts w:hint="eastAsia" w:eastAsia="楷体_GB2312"/>
                <w:szCs w:val="21"/>
              </w:rPr>
              <w:t>220</w:t>
            </w:r>
          </w:p>
        </w:tc>
        <w:tc>
          <w:tcPr>
            <w:tcW w:w="1693" w:type="dxa"/>
            <w:noWrap w:val="0"/>
            <w:vAlign w:val="center"/>
          </w:tcPr>
          <w:p w14:paraId="3A87E5BD">
            <w:pPr>
              <w:jc w:val="center"/>
              <w:rPr>
                <w:rFonts w:eastAsia="楷体_GB2312"/>
                <w:szCs w:val="21"/>
              </w:rPr>
            </w:pPr>
            <w:r>
              <w:rPr>
                <w:rFonts w:hint="eastAsia" w:eastAsia="楷体_GB2312"/>
                <w:szCs w:val="21"/>
              </w:rPr>
              <w:t>180</w:t>
            </w:r>
          </w:p>
        </w:tc>
        <w:tc>
          <w:tcPr>
            <w:tcW w:w="1768" w:type="dxa"/>
            <w:noWrap w:val="0"/>
            <w:vAlign w:val="center"/>
          </w:tcPr>
          <w:p w14:paraId="4101BA1D">
            <w:pPr>
              <w:jc w:val="center"/>
              <w:rPr>
                <w:rFonts w:eastAsia="楷体_GB2312"/>
                <w:szCs w:val="21"/>
              </w:rPr>
            </w:pPr>
            <w:r>
              <w:rPr>
                <w:rFonts w:hint="eastAsia" w:eastAsia="楷体_GB2312"/>
                <w:szCs w:val="21"/>
              </w:rPr>
              <w:t>150</w:t>
            </w:r>
          </w:p>
        </w:tc>
      </w:tr>
      <w:tr w14:paraId="3D75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noWrap w:val="0"/>
            <w:vAlign w:val="center"/>
          </w:tcPr>
          <w:p w14:paraId="08A4D744">
            <w:pPr>
              <w:tabs>
                <w:tab w:val="left" w:pos="0"/>
                <w:tab w:val="left" w:pos="295"/>
              </w:tabs>
              <w:jc w:val="center"/>
              <w:rPr>
                <w:rFonts w:eastAsia="楷体_GB2312"/>
                <w:szCs w:val="21"/>
              </w:rPr>
            </w:pPr>
            <w:r>
              <w:rPr>
                <w:rFonts w:hint="eastAsia" w:eastAsia="楷体_GB2312"/>
                <w:szCs w:val="21"/>
              </w:rPr>
              <w:t>17</w:t>
            </w:r>
          </w:p>
        </w:tc>
        <w:tc>
          <w:tcPr>
            <w:tcW w:w="2465" w:type="dxa"/>
            <w:noWrap w:val="0"/>
            <w:vAlign w:val="center"/>
          </w:tcPr>
          <w:p w14:paraId="0D2B13C4">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解集镇</w:t>
            </w:r>
          </w:p>
        </w:tc>
        <w:tc>
          <w:tcPr>
            <w:tcW w:w="2010" w:type="dxa"/>
            <w:noWrap w:val="0"/>
            <w:vAlign w:val="center"/>
          </w:tcPr>
          <w:p w14:paraId="2C516659">
            <w:pPr>
              <w:jc w:val="center"/>
              <w:rPr>
                <w:rFonts w:eastAsia="楷体_GB2312"/>
                <w:szCs w:val="21"/>
              </w:rPr>
            </w:pPr>
            <w:r>
              <w:rPr>
                <w:rFonts w:hint="eastAsia" w:eastAsia="楷体_GB2312"/>
                <w:szCs w:val="21"/>
              </w:rPr>
              <w:t>220</w:t>
            </w:r>
          </w:p>
        </w:tc>
        <w:tc>
          <w:tcPr>
            <w:tcW w:w="1693" w:type="dxa"/>
            <w:noWrap w:val="0"/>
            <w:vAlign w:val="center"/>
          </w:tcPr>
          <w:p w14:paraId="07A480AF">
            <w:pPr>
              <w:jc w:val="center"/>
              <w:rPr>
                <w:rFonts w:eastAsia="楷体_GB2312"/>
                <w:szCs w:val="21"/>
              </w:rPr>
            </w:pPr>
            <w:r>
              <w:rPr>
                <w:rFonts w:hint="eastAsia" w:eastAsia="楷体_GB2312"/>
                <w:szCs w:val="21"/>
              </w:rPr>
              <w:t>180</w:t>
            </w:r>
          </w:p>
        </w:tc>
        <w:tc>
          <w:tcPr>
            <w:tcW w:w="1768" w:type="dxa"/>
            <w:noWrap w:val="0"/>
            <w:vAlign w:val="center"/>
          </w:tcPr>
          <w:p w14:paraId="6A7DA7D5">
            <w:pPr>
              <w:jc w:val="center"/>
              <w:rPr>
                <w:rFonts w:eastAsia="楷体_GB2312"/>
                <w:szCs w:val="21"/>
              </w:rPr>
            </w:pPr>
            <w:r>
              <w:rPr>
                <w:rFonts w:hint="eastAsia" w:eastAsia="楷体_GB2312"/>
                <w:szCs w:val="21"/>
              </w:rPr>
              <w:t>150</w:t>
            </w:r>
          </w:p>
        </w:tc>
      </w:tr>
      <w:tr w14:paraId="33AB5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noWrap w:val="0"/>
            <w:vAlign w:val="center"/>
          </w:tcPr>
          <w:p w14:paraId="3A14E691">
            <w:pPr>
              <w:tabs>
                <w:tab w:val="left" w:pos="0"/>
                <w:tab w:val="left" w:pos="295"/>
              </w:tabs>
              <w:jc w:val="center"/>
              <w:rPr>
                <w:rFonts w:eastAsia="楷体_GB2312"/>
                <w:szCs w:val="21"/>
              </w:rPr>
            </w:pPr>
            <w:r>
              <w:rPr>
                <w:rFonts w:hint="eastAsia" w:eastAsia="楷体_GB2312"/>
                <w:szCs w:val="21"/>
              </w:rPr>
              <w:t>18</w:t>
            </w:r>
          </w:p>
        </w:tc>
        <w:tc>
          <w:tcPr>
            <w:tcW w:w="2465" w:type="dxa"/>
            <w:noWrap w:val="0"/>
            <w:vAlign w:val="center"/>
          </w:tcPr>
          <w:p w14:paraId="5410FD7A">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大泽乡镇</w:t>
            </w:r>
          </w:p>
        </w:tc>
        <w:tc>
          <w:tcPr>
            <w:tcW w:w="2010" w:type="dxa"/>
            <w:noWrap w:val="0"/>
            <w:vAlign w:val="center"/>
          </w:tcPr>
          <w:p w14:paraId="25798A45">
            <w:pPr>
              <w:jc w:val="center"/>
              <w:rPr>
                <w:rFonts w:eastAsia="楷体_GB2312"/>
                <w:szCs w:val="21"/>
              </w:rPr>
            </w:pPr>
            <w:r>
              <w:rPr>
                <w:rFonts w:hint="eastAsia" w:eastAsia="楷体_GB2312"/>
                <w:szCs w:val="21"/>
              </w:rPr>
              <w:t>260</w:t>
            </w:r>
          </w:p>
        </w:tc>
        <w:tc>
          <w:tcPr>
            <w:tcW w:w="1693" w:type="dxa"/>
            <w:noWrap w:val="0"/>
            <w:vAlign w:val="center"/>
          </w:tcPr>
          <w:p w14:paraId="405D2227">
            <w:pPr>
              <w:jc w:val="center"/>
              <w:rPr>
                <w:rFonts w:eastAsia="楷体_GB2312"/>
                <w:szCs w:val="21"/>
              </w:rPr>
            </w:pPr>
            <w:r>
              <w:rPr>
                <w:rFonts w:hint="eastAsia" w:eastAsia="楷体_GB2312"/>
                <w:szCs w:val="21"/>
              </w:rPr>
              <w:t>220</w:t>
            </w:r>
          </w:p>
        </w:tc>
        <w:tc>
          <w:tcPr>
            <w:tcW w:w="1768" w:type="dxa"/>
            <w:noWrap w:val="0"/>
            <w:vAlign w:val="center"/>
          </w:tcPr>
          <w:p w14:paraId="754180F0">
            <w:pPr>
              <w:jc w:val="center"/>
              <w:rPr>
                <w:rFonts w:eastAsia="楷体_GB2312"/>
                <w:szCs w:val="21"/>
              </w:rPr>
            </w:pPr>
            <w:r>
              <w:rPr>
                <w:rFonts w:hint="eastAsia" w:eastAsia="楷体_GB2312"/>
                <w:szCs w:val="21"/>
              </w:rPr>
              <w:t>180</w:t>
            </w:r>
          </w:p>
        </w:tc>
      </w:tr>
      <w:tr w14:paraId="33D3F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noWrap w:val="0"/>
            <w:vAlign w:val="center"/>
          </w:tcPr>
          <w:p w14:paraId="53546626">
            <w:pPr>
              <w:tabs>
                <w:tab w:val="left" w:pos="0"/>
                <w:tab w:val="left" w:pos="295"/>
              </w:tabs>
              <w:jc w:val="center"/>
              <w:rPr>
                <w:rFonts w:eastAsia="楷体_GB2312"/>
                <w:szCs w:val="21"/>
              </w:rPr>
            </w:pPr>
            <w:r>
              <w:rPr>
                <w:rFonts w:hint="eastAsia" w:eastAsia="楷体_GB2312"/>
                <w:szCs w:val="21"/>
              </w:rPr>
              <w:t>19</w:t>
            </w:r>
          </w:p>
        </w:tc>
        <w:tc>
          <w:tcPr>
            <w:tcW w:w="2465" w:type="dxa"/>
            <w:noWrap w:val="0"/>
            <w:vAlign w:val="center"/>
          </w:tcPr>
          <w:p w14:paraId="5B98563A">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永安镇</w:t>
            </w:r>
          </w:p>
        </w:tc>
        <w:tc>
          <w:tcPr>
            <w:tcW w:w="2010" w:type="dxa"/>
            <w:noWrap w:val="0"/>
            <w:vAlign w:val="center"/>
          </w:tcPr>
          <w:p w14:paraId="547FDCD6">
            <w:pPr>
              <w:jc w:val="center"/>
              <w:rPr>
                <w:rFonts w:eastAsia="楷体_GB2312"/>
                <w:szCs w:val="21"/>
              </w:rPr>
            </w:pPr>
            <w:r>
              <w:rPr>
                <w:rFonts w:eastAsia="楷体_GB2312"/>
                <w:szCs w:val="21"/>
              </w:rPr>
              <w:t>300</w:t>
            </w:r>
          </w:p>
        </w:tc>
        <w:tc>
          <w:tcPr>
            <w:tcW w:w="1693" w:type="dxa"/>
            <w:noWrap w:val="0"/>
            <w:vAlign w:val="center"/>
          </w:tcPr>
          <w:p w14:paraId="6A07F048">
            <w:pPr>
              <w:jc w:val="center"/>
              <w:rPr>
                <w:rFonts w:eastAsia="楷体_GB2312"/>
                <w:szCs w:val="21"/>
              </w:rPr>
            </w:pPr>
            <w:r>
              <w:rPr>
                <w:rFonts w:eastAsia="楷体_GB2312"/>
                <w:szCs w:val="21"/>
              </w:rPr>
              <w:t>240</w:t>
            </w:r>
          </w:p>
        </w:tc>
        <w:tc>
          <w:tcPr>
            <w:tcW w:w="1768" w:type="dxa"/>
            <w:noWrap w:val="0"/>
            <w:vAlign w:val="center"/>
          </w:tcPr>
          <w:p w14:paraId="35E338C1">
            <w:pPr>
              <w:jc w:val="center"/>
              <w:rPr>
                <w:rFonts w:eastAsia="楷体_GB2312"/>
                <w:szCs w:val="21"/>
              </w:rPr>
            </w:pPr>
            <w:r>
              <w:rPr>
                <w:rFonts w:eastAsia="楷体_GB2312"/>
                <w:szCs w:val="21"/>
              </w:rPr>
              <w:t>200</w:t>
            </w:r>
          </w:p>
        </w:tc>
      </w:tr>
      <w:tr w14:paraId="7CA5A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noWrap w:val="0"/>
            <w:vAlign w:val="center"/>
          </w:tcPr>
          <w:p w14:paraId="798D65C5">
            <w:pPr>
              <w:tabs>
                <w:tab w:val="left" w:pos="0"/>
                <w:tab w:val="left" w:pos="295"/>
              </w:tabs>
              <w:jc w:val="center"/>
              <w:rPr>
                <w:rFonts w:eastAsia="楷体_GB2312"/>
                <w:szCs w:val="21"/>
              </w:rPr>
            </w:pPr>
            <w:r>
              <w:rPr>
                <w:rFonts w:hint="eastAsia" w:eastAsia="楷体_GB2312"/>
                <w:szCs w:val="21"/>
              </w:rPr>
              <w:t>20</w:t>
            </w:r>
          </w:p>
        </w:tc>
        <w:tc>
          <w:tcPr>
            <w:tcW w:w="2465" w:type="dxa"/>
            <w:noWrap w:val="0"/>
            <w:vAlign w:val="center"/>
          </w:tcPr>
          <w:p w14:paraId="1EC11A01">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支河乡</w:t>
            </w:r>
          </w:p>
        </w:tc>
        <w:tc>
          <w:tcPr>
            <w:tcW w:w="2010" w:type="dxa"/>
            <w:noWrap w:val="0"/>
            <w:vAlign w:val="center"/>
          </w:tcPr>
          <w:p w14:paraId="7FBF997B">
            <w:pPr>
              <w:jc w:val="center"/>
              <w:rPr>
                <w:rFonts w:eastAsia="楷体_GB2312"/>
                <w:szCs w:val="21"/>
              </w:rPr>
            </w:pPr>
            <w:r>
              <w:rPr>
                <w:rFonts w:hint="eastAsia" w:eastAsia="楷体_GB2312"/>
                <w:szCs w:val="21"/>
              </w:rPr>
              <w:t>220</w:t>
            </w:r>
          </w:p>
        </w:tc>
        <w:tc>
          <w:tcPr>
            <w:tcW w:w="1693" w:type="dxa"/>
            <w:noWrap w:val="0"/>
            <w:vAlign w:val="center"/>
          </w:tcPr>
          <w:p w14:paraId="41E6FDE8">
            <w:pPr>
              <w:jc w:val="center"/>
              <w:rPr>
                <w:rFonts w:eastAsia="楷体_GB2312"/>
                <w:szCs w:val="21"/>
              </w:rPr>
            </w:pPr>
            <w:r>
              <w:rPr>
                <w:rFonts w:hint="eastAsia" w:eastAsia="楷体_GB2312"/>
                <w:szCs w:val="21"/>
              </w:rPr>
              <w:t>180</w:t>
            </w:r>
          </w:p>
        </w:tc>
        <w:tc>
          <w:tcPr>
            <w:tcW w:w="1768" w:type="dxa"/>
            <w:noWrap w:val="0"/>
            <w:vAlign w:val="center"/>
          </w:tcPr>
          <w:p w14:paraId="6EE73168">
            <w:pPr>
              <w:jc w:val="center"/>
              <w:rPr>
                <w:rFonts w:eastAsia="楷体_GB2312"/>
                <w:szCs w:val="21"/>
              </w:rPr>
            </w:pPr>
            <w:r>
              <w:rPr>
                <w:rFonts w:hint="eastAsia" w:eastAsia="楷体_GB2312"/>
                <w:szCs w:val="21"/>
              </w:rPr>
              <w:t>150</w:t>
            </w:r>
          </w:p>
        </w:tc>
      </w:tr>
      <w:tr w14:paraId="7C467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noWrap w:val="0"/>
            <w:vAlign w:val="center"/>
          </w:tcPr>
          <w:p w14:paraId="074EE33E">
            <w:pPr>
              <w:tabs>
                <w:tab w:val="left" w:pos="0"/>
                <w:tab w:val="left" w:pos="295"/>
              </w:tabs>
              <w:jc w:val="center"/>
              <w:rPr>
                <w:rFonts w:eastAsia="楷体_GB2312"/>
                <w:szCs w:val="21"/>
              </w:rPr>
            </w:pPr>
            <w:r>
              <w:rPr>
                <w:rFonts w:hint="eastAsia" w:eastAsia="楷体_GB2312"/>
                <w:szCs w:val="21"/>
              </w:rPr>
              <w:t>21</w:t>
            </w:r>
          </w:p>
        </w:tc>
        <w:tc>
          <w:tcPr>
            <w:tcW w:w="2465" w:type="dxa"/>
            <w:noWrap w:val="0"/>
            <w:vAlign w:val="center"/>
          </w:tcPr>
          <w:p w14:paraId="198068DE">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灰古镇</w:t>
            </w:r>
          </w:p>
        </w:tc>
        <w:tc>
          <w:tcPr>
            <w:tcW w:w="2010" w:type="dxa"/>
            <w:noWrap w:val="0"/>
            <w:vAlign w:val="center"/>
          </w:tcPr>
          <w:p w14:paraId="63E0735E">
            <w:pPr>
              <w:jc w:val="center"/>
              <w:rPr>
                <w:rFonts w:eastAsia="楷体_GB2312"/>
                <w:szCs w:val="21"/>
              </w:rPr>
            </w:pPr>
            <w:r>
              <w:rPr>
                <w:rFonts w:hint="eastAsia" w:eastAsia="楷体_GB2312"/>
                <w:szCs w:val="21"/>
              </w:rPr>
              <w:t>220</w:t>
            </w:r>
          </w:p>
        </w:tc>
        <w:tc>
          <w:tcPr>
            <w:tcW w:w="1693" w:type="dxa"/>
            <w:noWrap w:val="0"/>
            <w:vAlign w:val="center"/>
          </w:tcPr>
          <w:p w14:paraId="5140CDE9">
            <w:pPr>
              <w:jc w:val="center"/>
              <w:rPr>
                <w:rFonts w:eastAsia="楷体_GB2312"/>
                <w:szCs w:val="21"/>
              </w:rPr>
            </w:pPr>
            <w:r>
              <w:rPr>
                <w:rFonts w:hint="eastAsia" w:eastAsia="楷体_GB2312"/>
                <w:szCs w:val="21"/>
              </w:rPr>
              <w:t>180</w:t>
            </w:r>
          </w:p>
        </w:tc>
        <w:tc>
          <w:tcPr>
            <w:tcW w:w="1768" w:type="dxa"/>
            <w:noWrap w:val="0"/>
            <w:vAlign w:val="center"/>
          </w:tcPr>
          <w:p w14:paraId="7EB5DCC3">
            <w:pPr>
              <w:jc w:val="center"/>
              <w:rPr>
                <w:rFonts w:eastAsia="楷体_GB2312"/>
                <w:szCs w:val="21"/>
              </w:rPr>
            </w:pPr>
            <w:r>
              <w:rPr>
                <w:rFonts w:hint="eastAsia" w:eastAsia="楷体_GB2312"/>
                <w:szCs w:val="21"/>
              </w:rPr>
              <w:t>150</w:t>
            </w:r>
          </w:p>
        </w:tc>
      </w:tr>
      <w:tr w14:paraId="2D050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6" w:type="dxa"/>
            <w:noWrap w:val="0"/>
            <w:vAlign w:val="center"/>
          </w:tcPr>
          <w:p w14:paraId="7D10350B">
            <w:pPr>
              <w:tabs>
                <w:tab w:val="left" w:pos="0"/>
                <w:tab w:val="left" w:pos="295"/>
              </w:tabs>
              <w:jc w:val="center"/>
              <w:rPr>
                <w:rFonts w:eastAsia="楷体_GB2312"/>
                <w:szCs w:val="21"/>
              </w:rPr>
            </w:pPr>
            <w:r>
              <w:rPr>
                <w:rFonts w:hint="eastAsia" w:eastAsia="楷体_GB2312"/>
                <w:szCs w:val="21"/>
              </w:rPr>
              <w:t>22</w:t>
            </w:r>
          </w:p>
        </w:tc>
        <w:tc>
          <w:tcPr>
            <w:tcW w:w="2465" w:type="dxa"/>
            <w:noWrap w:val="0"/>
            <w:vAlign w:val="center"/>
          </w:tcPr>
          <w:p w14:paraId="2F843B8B">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桃沟乡</w:t>
            </w:r>
          </w:p>
        </w:tc>
        <w:tc>
          <w:tcPr>
            <w:tcW w:w="2010" w:type="dxa"/>
            <w:noWrap w:val="0"/>
            <w:vAlign w:val="center"/>
          </w:tcPr>
          <w:p w14:paraId="2C409C13">
            <w:pPr>
              <w:jc w:val="center"/>
              <w:rPr>
                <w:rFonts w:eastAsia="楷体_GB2312"/>
                <w:szCs w:val="21"/>
              </w:rPr>
            </w:pPr>
            <w:r>
              <w:rPr>
                <w:rFonts w:hint="eastAsia" w:eastAsia="楷体_GB2312"/>
                <w:szCs w:val="21"/>
              </w:rPr>
              <w:t>220</w:t>
            </w:r>
          </w:p>
        </w:tc>
        <w:tc>
          <w:tcPr>
            <w:tcW w:w="1693" w:type="dxa"/>
            <w:noWrap w:val="0"/>
            <w:vAlign w:val="center"/>
          </w:tcPr>
          <w:p w14:paraId="28D9ED86">
            <w:pPr>
              <w:jc w:val="center"/>
              <w:rPr>
                <w:rFonts w:eastAsia="楷体_GB2312"/>
                <w:szCs w:val="21"/>
              </w:rPr>
            </w:pPr>
            <w:r>
              <w:rPr>
                <w:rFonts w:hint="eastAsia" w:eastAsia="楷体_GB2312"/>
                <w:szCs w:val="21"/>
              </w:rPr>
              <w:t>180</w:t>
            </w:r>
          </w:p>
        </w:tc>
        <w:tc>
          <w:tcPr>
            <w:tcW w:w="1768" w:type="dxa"/>
            <w:noWrap w:val="0"/>
            <w:vAlign w:val="center"/>
          </w:tcPr>
          <w:p w14:paraId="39225D8F">
            <w:pPr>
              <w:jc w:val="center"/>
              <w:rPr>
                <w:rFonts w:eastAsia="楷体_GB2312"/>
                <w:szCs w:val="21"/>
              </w:rPr>
            </w:pPr>
            <w:r>
              <w:rPr>
                <w:rFonts w:hint="eastAsia" w:eastAsia="楷体_GB2312"/>
                <w:szCs w:val="21"/>
              </w:rPr>
              <w:t>150</w:t>
            </w:r>
          </w:p>
        </w:tc>
      </w:tr>
    </w:tbl>
    <w:p w14:paraId="200DB052">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3、各乡镇道路功能分及影响距离表编制</w:t>
      </w:r>
    </w:p>
    <w:p w14:paraId="3857B518">
      <w:pPr>
        <w:spacing w:line="480" w:lineRule="exact"/>
        <w:ind w:firstLine="560" w:firstLineChars="200"/>
        <w:rPr>
          <w:rFonts w:eastAsia="仿宋_GB2312"/>
          <w:sz w:val="28"/>
          <w:szCs w:val="28"/>
        </w:rPr>
      </w:pPr>
      <w:r>
        <w:rPr>
          <w:rFonts w:eastAsia="楷体_GB2312"/>
          <w:sz w:val="28"/>
          <w:szCs w:val="28"/>
        </w:rPr>
        <w:t>根据《城镇土地分等规程》，网格内受多种道路类型影响时，取其中最高作用分值；在考虑道路通达系数时，不低于4个方向的通达系数为1，3个方向的通达系数为0.91，2个方向的通达系数为0.81，1个方向的通达系数为0.58。根据各类道路的影响距离和功能分，编制道路功能分及影响距离表，见表1-3-6至表1-3-</w:t>
      </w:r>
      <w:r>
        <w:rPr>
          <w:rFonts w:hint="eastAsia" w:eastAsia="楷体_GB2312"/>
          <w:sz w:val="28"/>
          <w:szCs w:val="28"/>
        </w:rPr>
        <w:t>27</w:t>
      </w:r>
      <w:r>
        <w:rPr>
          <w:rFonts w:eastAsia="楷体_GB2312"/>
          <w:sz w:val="28"/>
          <w:szCs w:val="28"/>
        </w:rPr>
        <w:t>。</w:t>
      </w:r>
    </w:p>
    <w:p w14:paraId="101B4985">
      <w:pPr>
        <w:jc w:val="center"/>
        <w:rPr>
          <w:rFonts w:eastAsia="仿宋_GB2312"/>
          <w:b/>
          <w:bCs/>
          <w:sz w:val="30"/>
        </w:rPr>
      </w:pPr>
      <w:r>
        <w:rPr>
          <w:rFonts w:eastAsia="黑体"/>
          <w:sz w:val="28"/>
        </w:rPr>
        <w:t xml:space="preserve">表1-3-6  </w:t>
      </w:r>
      <w:r>
        <w:rPr>
          <w:rFonts w:hint="eastAsia" w:eastAsia="黑体"/>
          <w:sz w:val="28"/>
        </w:rPr>
        <w:t>符离镇</w:t>
      </w:r>
      <w:r>
        <w:rPr>
          <w:rFonts w:eastAsia="黑体"/>
          <w:sz w:val="28"/>
        </w:rPr>
        <w:t>镇区道路状况及其功能分及影响距离表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1454"/>
        <w:gridCol w:w="1454"/>
        <w:gridCol w:w="1454"/>
        <w:gridCol w:w="876"/>
        <w:gridCol w:w="1165"/>
        <w:gridCol w:w="1454"/>
      </w:tblGrid>
      <w:tr w14:paraId="19AB0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noWrap w:val="0"/>
            <w:vAlign w:val="center"/>
          </w:tcPr>
          <w:p w14:paraId="0CD1B645">
            <w:pPr>
              <w:jc w:val="center"/>
              <w:rPr>
                <w:rFonts w:eastAsia="楷体_GB2312"/>
              </w:rPr>
            </w:pPr>
            <w:r>
              <w:rPr>
                <w:rFonts w:eastAsia="楷体_GB2312"/>
              </w:rPr>
              <w:t>道路编号</w:t>
            </w:r>
          </w:p>
        </w:tc>
        <w:tc>
          <w:tcPr>
            <w:tcW w:w="0" w:type="auto"/>
            <w:noWrap w:val="0"/>
            <w:vAlign w:val="center"/>
          </w:tcPr>
          <w:p w14:paraId="2B1FD79D">
            <w:pPr>
              <w:jc w:val="center"/>
              <w:rPr>
                <w:rFonts w:eastAsia="楷体_GB2312"/>
              </w:rPr>
            </w:pPr>
            <w:r>
              <w:rPr>
                <w:rFonts w:eastAsia="楷体_GB2312"/>
              </w:rPr>
              <w:t>道路名称</w:t>
            </w:r>
          </w:p>
        </w:tc>
        <w:tc>
          <w:tcPr>
            <w:tcW w:w="0" w:type="auto"/>
            <w:noWrap w:val="0"/>
            <w:vAlign w:val="center"/>
          </w:tcPr>
          <w:p w14:paraId="6E823B7E">
            <w:pPr>
              <w:jc w:val="center"/>
              <w:rPr>
                <w:rFonts w:eastAsia="楷体_GB2312"/>
              </w:rPr>
            </w:pPr>
            <w:r>
              <w:rPr>
                <w:rFonts w:eastAsia="楷体_GB2312"/>
              </w:rPr>
              <w:t>道路类型</w:t>
            </w:r>
          </w:p>
        </w:tc>
        <w:tc>
          <w:tcPr>
            <w:tcW w:w="0" w:type="auto"/>
            <w:noWrap w:val="0"/>
            <w:vAlign w:val="center"/>
          </w:tcPr>
          <w:p w14:paraId="2D81542F">
            <w:pPr>
              <w:jc w:val="center"/>
              <w:rPr>
                <w:rFonts w:eastAsia="楷体_GB2312"/>
              </w:rPr>
            </w:pPr>
            <w:r>
              <w:rPr>
                <w:rFonts w:eastAsia="楷体_GB2312"/>
              </w:rPr>
              <w:t>作用指数</w:t>
            </w:r>
          </w:p>
        </w:tc>
        <w:tc>
          <w:tcPr>
            <w:tcW w:w="0" w:type="auto"/>
            <w:noWrap w:val="0"/>
            <w:vAlign w:val="center"/>
          </w:tcPr>
          <w:p w14:paraId="513DDC2D">
            <w:pPr>
              <w:jc w:val="center"/>
              <w:rPr>
                <w:rFonts w:eastAsia="楷体_GB2312"/>
              </w:rPr>
            </w:pPr>
            <w:r>
              <w:rPr>
                <w:rFonts w:eastAsia="楷体_GB2312"/>
              </w:rPr>
              <w:t>级别</w:t>
            </w:r>
          </w:p>
        </w:tc>
        <w:tc>
          <w:tcPr>
            <w:tcW w:w="0" w:type="auto"/>
            <w:noWrap w:val="0"/>
            <w:vAlign w:val="center"/>
          </w:tcPr>
          <w:p w14:paraId="66B703DC">
            <w:pPr>
              <w:jc w:val="center"/>
              <w:rPr>
                <w:rFonts w:eastAsia="楷体_GB2312"/>
              </w:rPr>
            </w:pPr>
            <w:r>
              <w:rPr>
                <w:rFonts w:eastAsia="楷体_GB2312"/>
              </w:rPr>
              <w:t>功能分</w:t>
            </w:r>
          </w:p>
        </w:tc>
        <w:tc>
          <w:tcPr>
            <w:tcW w:w="0" w:type="auto"/>
            <w:noWrap w:val="0"/>
            <w:vAlign w:val="center"/>
          </w:tcPr>
          <w:p w14:paraId="5E161290">
            <w:pPr>
              <w:jc w:val="center"/>
              <w:rPr>
                <w:rFonts w:eastAsia="楷体_GB2312"/>
              </w:rPr>
            </w:pPr>
            <w:r>
              <w:rPr>
                <w:rFonts w:eastAsia="楷体_GB2312"/>
              </w:rPr>
              <w:t>影响半径</w:t>
            </w:r>
          </w:p>
        </w:tc>
      </w:tr>
      <w:tr w14:paraId="09B41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noWrap w:val="0"/>
            <w:vAlign w:val="center"/>
          </w:tcPr>
          <w:p w14:paraId="7984F4C2">
            <w:pPr>
              <w:jc w:val="center"/>
              <w:rPr>
                <w:color w:val="000000"/>
                <w:szCs w:val="21"/>
              </w:rPr>
            </w:pPr>
            <w:r>
              <w:rPr>
                <w:rFonts w:hint="eastAsia"/>
                <w:color w:val="000000"/>
                <w:szCs w:val="21"/>
              </w:rPr>
              <w:t>0</w:t>
            </w:r>
            <w:r>
              <w:rPr>
                <w:color w:val="000000"/>
                <w:szCs w:val="21"/>
              </w:rPr>
              <w:t>1</w:t>
            </w:r>
          </w:p>
        </w:tc>
        <w:tc>
          <w:tcPr>
            <w:tcW w:w="0" w:type="auto"/>
            <w:noWrap w:val="0"/>
            <w:vAlign w:val="center"/>
          </w:tcPr>
          <w:p w14:paraId="697CF242">
            <w:pPr>
              <w:jc w:val="center"/>
              <w:rPr>
                <w:rFonts w:eastAsia="楷体_GB2312"/>
              </w:rPr>
            </w:pPr>
            <w:r>
              <w:rPr>
                <w:rFonts w:hint="eastAsia" w:eastAsia="楷体_GB2312"/>
              </w:rPr>
              <w:t>山前路</w:t>
            </w:r>
          </w:p>
        </w:tc>
        <w:tc>
          <w:tcPr>
            <w:tcW w:w="0" w:type="auto"/>
            <w:noWrap w:val="0"/>
            <w:vAlign w:val="center"/>
          </w:tcPr>
          <w:p w14:paraId="2E9DCF37">
            <w:pPr>
              <w:jc w:val="center"/>
              <w:rPr>
                <w:rFonts w:eastAsia="楷体_GB2312"/>
              </w:rPr>
            </w:pPr>
            <w:r>
              <w:rPr>
                <w:rFonts w:hint="eastAsia" w:eastAsia="楷体_GB2312"/>
              </w:rPr>
              <w:t>主干道</w:t>
            </w:r>
          </w:p>
        </w:tc>
        <w:tc>
          <w:tcPr>
            <w:tcW w:w="0" w:type="auto"/>
            <w:noWrap w:val="0"/>
            <w:vAlign w:val="center"/>
          </w:tcPr>
          <w:p w14:paraId="06EA27BF">
            <w:pPr>
              <w:jc w:val="center"/>
              <w:rPr>
                <w:color w:val="000000"/>
                <w:szCs w:val="21"/>
              </w:rPr>
            </w:pPr>
            <w:r>
              <w:rPr>
                <w:color w:val="000000"/>
                <w:szCs w:val="21"/>
              </w:rPr>
              <w:t>1</w:t>
            </w:r>
          </w:p>
        </w:tc>
        <w:tc>
          <w:tcPr>
            <w:tcW w:w="0" w:type="auto"/>
            <w:noWrap w:val="0"/>
            <w:vAlign w:val="center"/>
          </w:tcPr>
          <w:p w14:paraId="727CE15E">
            <w:pPr>
              <w:jc w:val="center"/>
              <w:rPr>
                <w:color w:val="000000"/>
                <w:szCs w:val="21"/>
              </w:rPr>
            </w:pPr>
            <w:r>
              <w:rPr>
                <w:color w:val="000000"/>
                <w:szCs w:val="21"/>
              </w:rPr>
              <w:t>1</w:t>
            </w:r>
          </w:p>
        </w:tc>
        <w:tc>
          <w:tcPr>
            <w:tcW w:w="0" w:type="auto"/>
            <w:noWrap w:val="0"/>
            <w:vAlign w:val="center"/>
          </w:tcPr>
          <w:p w14:paraId="3A48AFA4">
            <w:pPr>
              <w:jc w:val="center"/>
              <w:rPr>
                <w:color w:val="000000"/>
                <w:szCs w:val="21"/>
              </w:rPr>
            </w:pPr>
            <w:r>
              <w:rPr>
                <w:color w:val="000000"/>
                <w:szCs w:val="21"/>
              </w:rPr>
              <w:t>100</w:t>
            </w:r>
          </w:p>
        </w:tc>
        <w:tc>
          <w:tcPr>
            <w:tcW w:w="0" w:type="auto"/>
            <w:noWrap w:val="0"/>
            <w:vAlign w:val="center"/>
          </w:tcPr>
          <w:p w14:paraId="0AAAC1A1">
            <w:pPr>
              <w:jc w:val="center"/>
              <w:rPr>
                <w:color w:val="000000"/>
                <w:szCs w:val="21"/>
              </w:rPr>
            </w:pPr>
            <w:r>
              <w:rPr>
                <w:color w:val="000000"/>
                <w:szCs w:val="21"/>
              </w:rPr>
              <w:t>400</w:t>
            </w:r>
          </w:p>
        </w:tc>
      </w:tr>
      <w:tr w14:paraId="19247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27A0EDA3">
            <w:pPr>
              <w:jc w:val="center"/>
              <w:rPr>
                <w:color w:val="000000"/>
                <w:szCs w:val="21"/>
              </w:rPr>
            </w:pPr>
            <w:r>
              <w:rPr>
                <w:rFonts w:hint="eastAsia"/>
                <w:color w:val="000000"/>
                <w:szCs w:val="21"/>
              </w:rPr>
              <w:t>0</w:t>
            </w:r>
            <w:r>
              <w:rPr>
                <w:color w:val="000000"/>
                <w:szCs w:val="21"/>
              </w:rPr>
              <w:t>2</w:t>
            </w:r>
          </w:p>
        </w:tc>
        <w:tc>
          <w:tcPr>
            <w:tcW w:w="0" w:type="auto"/>
            <w:noWrap w:val="0"/>
            <w:vAlign w:val="center"/>
          </w:tcPr>
          <w:p w14:paraId="2C0DE531">
            <w:pPr>
              <w:jc w:val="center"/>
              <w:rPr>
                <w:rFonts w:eastAsia="楷体_GB2312"/>
              </w:rPr>
            </w:pPr>
            <w:r>
              <w:rPr>
                <w:rFonts w:hint="eastAsia" w:eastAsia="楷体_GB2312"/>
              </w:rPr>
              <w:t>北环路</w:t>
            </w:r>
          </w:p>
        </w:tc>
        <w:tc>
          <w:tcPr>
            <w:tcW w:w="0" w:type="auto"/>
            <w:noWrap w:val="0"/>
            <w:vAlign w:val="center"/>
          </w:tcPr>
          <w:p w14:paraId="4F64F66B">
            <w:pPr>
              <w:jc w:val="center"/>
              <w:rPr>
                <w:rFonts w:eastAsia="楷体_GB2312"/>
              </w:rPr>
            </w:pPr>
            <w:r>
              <w:rPr>
                <w:rFonts w:hint="eastAsia" w:eastAsia="楷体_GB2312"/>
              </w:rPr>
              <w:t>主干道</w:t>
            </w:r>
          </w:p>
        </w:tc>
        <w:tc>
          <w:tcPr>
            <w:tcW w:w="0" w:type="auto"/>
            <w:noWrap w:val="0"/>
            <w:vAlign w:val="center"/>
          </w:tcPr>
          <w:p w14:paraId="1B2CEB11">
            <w:pPr>
              <w:jc w:val="center"/>
              <w:rPr>
                <w:color w:val="000000"/>
                <w:szCs w:val="21"/>
              </w:rPr>
            </w:pPr>
            <w:r>
              <w:rPr>
                <w:color w:val="000000"/>
                <w:szCs w:val="21"/>
              </w:rPr>
              <w:t>1</w:t>
            </w:r>
          </w:p>
        </w:tc>
        <w:tc>
          <w:tcPr>
            <w:tcW w:w="0" w:type="auto"/>
            <w:noWrap w:val="0"/>
            <w:vAlign w:val="center"/>
          </w:tcPr>
          <w:p w14:paraId="769EA51B">
            <w:pPr>
              <w:jc w:val="center"/>
              <w:rPr>
                <w:color w:val="000000"/>
                <w:szCs w:val="21"/>
              </w:rPr>
            </w:pPr>
            <w:r>
              <w:rPr>
                <w:color w:val="000000"/>
                <w:szCs w:val="21"/>
              </w:rPr>
              <w:t>1</w:t>
            </w:r>
          </w:p>
        </w:tc>
        <w:tc>
          <w:tcPr>
            <w:tcW w:w="0" w:type="auto"/>
            <w:noWrap w:val="0"/>
            <w:vAlign w:val="center"/>
          </w:tcPr>
          <w:p w14:paraId="6F869006">
            <w:pPr>
              <w:jc w:val="center"/>
              <w:rPr>
                <w:color w:val="000000"/>
                <w:szCs w:val="21"/>
              </w:rPr>
            </w:pPr>
            <w:r>
              <w:rPr>
                <w:color w:val="000000"/>
                <w:szCs w:val="21"/>
              </w:rPr>
              <w:t>100</w:t>
            </w:r>
          </w:p>
        </w:tc>
        <w:tc>
          <w:tcPr>
            <w:tcW w:w="0" w:type="auto"/>
            <w:noWrap w:val="0"/>
            <w:vAlign w:val="center"/>
          </w:tcPr>
          <w:p w14:paraId="7AC0E5DF">
            <w:pPr>
              <w:jc w:val="center"/>
              <w:rPr>
                <w:color w:val="000000"/>
                <w:szCs w:val="21"/>
              </w:rPr>
            </w:pPr>
            <w:r>
              <w:rPr>
                <w:color w:val="000000"/>
                <w:szCs w:val="21"/>
              </w:rPr>
              <w:t>400</w:t>
            </w:r>
          </w:p>
        </w:tc>
      </w:tr>
      <w:tr w14:paraId="71A9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7E0EFFAA">
            <w:pPr>
              <w:jc w:val="center"/>
              <w:rPr>
                <w:color w:val="000000"/>
                <w:szCs w:val="21"/>
              </w:rPr>
            </w:pPr>
            <w:r>
              <w:rPr>
                <w:rFonts w:hint="eastAsia"/>
                <w:color w:val="000000"/>
                <w:szCs w:val="21"/>
              </w:rPr>
              <w:t>0</w:t>
            </w:r>
            <w:r>
              <w:rPr>
                <w:color w:val="000000"/>
                <w:szCs w:val="21"/>
              </w:rPr>
              <w:t>3</w:t>
            </w:r>
          </w:p>
        </w:tc>
        <w:tc>
          <w:tcPr>
            <w:tcW w:w="0" w:type="auto"/>
            <w:noWrap w:val="0"/>
            <w:vAlign w:val="center"/>
          </w:tcPr>
          <w:p w14:paraId="50EF4840">
            <w:pPr>
              <w:jc w:val="center"/>
              <w:rPr>
                <w:rFonts w:eastAsia="楷体_GB2312"/>
              </w:rPr>
            </w:pPr>
            <w:r>
              <w:rPr>
                <w:rFonts w:hint="eastAsia" w:eastAsia="楷体_GB2312"/>
              </w:rPr>
              <w:t>中华路</w:t>
            </w:r>
          </w:p>
        </w:tc>
        <w:tc>
          <w:tcPr>
            <w:tcW w:w="0" w:type="auto"/>
            <w:noWrap w:val="0"/>
            <w:vAlign w:val="center"/>
          </w:tcPr>
          <w:p w14:paraId="1FAB98B5">
            <w:pPr>
              <w:jc w:val="center"/>
              <w:rPr>
                <w:rFonts w:eastAsia="楷体_GB2312"/>
              </w:rPr>
            </w:pPr>
            <w:r>
              <w:rPr>
                <w:rFonts w:hint="eastAsia" w:eastAsia="楷体_GB2312"/>
              </w:rPr>
              <w:t>主干道</w:t>
            </w:r>
          </w:p>
        </w:tc>
        <w:tc>
          <w:tcPr>
            <w:tcW w:w="0" w:type="auto"/>
            <w:noWrap w:val="0"/>
            <w:vAlign w:val="center"/>
          </w:tcPr>
          <w:p w14:paraId="7C0AE5BA">
            <w:pPr>
              <w:jc w:val="center"/>
              <w:rPr>
                <w:color w:val="000000"/>
                <w:szCs w:val="21"/>
              </w:rPr>
            </w:pPr>
            <w:r>
              <w:rPr>
                <w:color w:val="000000"/>
                <w:szCs w:val="21"/>
              </w:rPr>
              <w:t>1</w:t>
            </w:r>
          </w:p>
        </w:tc>
        <w:tc>
          <w:tcPr>
            <w:tcW w:w="0" w:type="auto"/>
            <w:noWrap w:val="0"/>
            <w:vAlign w:val="center"/>
          </w:tcPr>
          <w:p w14:paraId="2C4ECD21">
            <w:pPr>
              <w:jc w:val="center"/>
              <w:rPr>
                <w:color w:val="000000"/>
                <w:szCs w:val="21"/>
              </w:rPr>
            </w:pPr>
            <w:r>
              <w:rPr>
                <w:color w:val="000000"/>
                <w:szCs w:val="21"/>
              </w:rPr>
              <w:t>1</w:t>
            </w:r>
          </w:p>
        </w:tc>
        <w:tc>
          <w:tcPr>
            <w:tcW w:w="0" w:type="auto"/>
            <w:noWrap w:val="0"/>
            <w:vAlign w:val="center"/>
          </w:tcPr>
          <w:p w14:paraId="15696F64">
            <w:pPr>
              <w:jc w:val="center"/>
              <w:rPr>
                <w:color w:val="000000"/>
                <w:szCs w:val="21"/>
              </w:rPr>
            </w:pPr>
            <w:r>
              <w:rPr>
                <w:color w:val="000000"/>
                <w:szCs w:val="21"/>
              </w:rPr>
              <w:t>100</w:t>
            </w:r>
          </w:p>
        </w:tc>
        <w:tc>
          <w:tcPr>
            <w:tcW w:w="0" w:type="auto"/>
            <w:noWrap w:val="0"/>
            <w:vAlign w:val="center"/>
          </w:tcPr>
          <w:p w14:paraId="21B9B51F">
            <w:pPr>
              <w:jc w:val="center"/>
              <w:rPr>
                <w:color w:val="000000"/>
                <w:szCs w:val="21"/>
              </w:rPr>
            </w:pPr>
            <w:r>
              <w:rPr>
                <w:color w:val="000000"/>
                <w:szCs w:val="21"/>
              </w:rPr>
              <w:t>400</w:t>
            </w:r>
          </w:p>
        </w:tc>
      </w:tr>
      <w:tr w14:paraId="246B3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24E0C79B">
            <w:pPr>
              <w:jc w:val="center"/>
              <w:rPr>
                <w:color w:val="000000"/>
                <w:szCs w:val="21"/>
              </w:rPr>
            </w:pPr>
            <w:r>
              <w:rPr>
                <w:rFonts w:hint="eastAsia"/>
                <w:color w:val="000000"/>
                <w:szCs w:val="21"/>
              </w:rPr>
              <w:t>0</w:t>
            </w:r>
            <w:r>
              <w:rPr>
                <w:color w:val="000000"/>
                <w:szCs w:val="21"/>
              </w:rPr>
              <w:t>4</w:t>
            </w:r>
          </w:p>
        </w:tc>
        <w:tc>
          <w:tcPr>
            <w:tcW w:w="0" w:type="auto"/>
            <w:noWrap w:val="0"/>
            <w:vAlign w:val="center"/>
          </w:tcPr>
          <w:p w14:paraId="5BE6D1B1">
            <w:pPr>
              <w:jc w:val="center"/>
              <w:rPr>
                <w:rFonts w:eastAsia="楷体_GB2312"/>
              </w:rPr>
            </w:pPr>
            <w:r>
              <w:rPr>
                <w:rFonts w:hint="eastAsia" w:eastAsia="楷体_GB2312"/>
              </w:rPr>
              <w:t>雪渔路</w:t>
            </w:r>
          </w:p>
        </w:tc>
        <w:tc>
          <w:tcPr>
            <w:tcW w:w="0" w:type="auto"/>
            <w:noWrap w:val="0"/>
            <w:vAlign w:val="center"/>
          </w:tcPr>
          <w:p w14:paraId="58C5CE59">
            <w:pPr>
              <w:jc w:val="center"/>
              <w:rPr>
                <w:rFonts w:eastAsia="楷体_GB2312"/>
              </w:rPr>
            </w:pPr>
            <w:r>
              <w:rPr>
                <w:rFonts w:hint="eastAsia" w:eastAsia="楷体_GB2312"/>
              </w:rPr>
              <w:t>主干道</w:t>
            </w:r>
          </w:p>
        </w:tc>
        <w:tc>
          <w:tcPr>
            <w:tcW w:w="0" w:type="auto"/>
            <w:noWrap w:val="0"/>
            <w:vAlign w:val="center"/>
          </w:tcPr>
          <w:p w14:paraId="3FF605F7">
            <w:pPr>
              <w:jc w:val="center"/>
              <w:rPr>
                <w:color w:val="000000"/>
                <w:szCs w:val="21"/>
              </w:rPr>
            </w:pPr>
            <w:r>
              <w:rPr>
                <w:color w:val="000000"/>
                <w:szCs w:val="21"/>
              </w:rPr>
              <w:t>1</w:t>
            </w:r>
          </w:p>
        </w:tc>
        <w:tc>
          <w:tcPr>
            <w:tcW w:w="0" w:type="auto"/>
            <w:noWrap w:val="0"/>
            <w:vAlign w:val="center"/>
          </w:tcPr>
          <w:p w14:paraId="14C503DD">
            <w:pPr>
              <w:jc w:val="center"/>
              <w:rPr>
                <w:color w:val="000000"/>
                <w:szCs w:val="21"/>
              </w:rPr>
            </w:pPr>
            <w:r>
              <w:rPr>
                <w:color w:val="000000"/>
                <w:szCs w:val="21"/>
              </w:rPr>
              <w:t>1</w:t>
            </w:r>
          </w:p>
        </w:tc>
        <w:tc>
          <w:tcPr>
            <w:tcW w:w="0" w:type="auto"/>
            <w:noWrap w:val="0"/>
            <w:vAlign w:val="center"/>
          </w:tcPr>
          <w:p w14:paraId="70F055DD">
            <w:pPr>
              <w:jc w:val="center"/>
              <w:rPr>
                <w:color w:val="000000"/>
                <w:szCs w:val="21"/>
              </w:rPr>
            </w:pPr>
            <w:r>
              <w:rPr>
                <w:color w:val="000000"/>
                <w:szCs w:val="21"/>
              </w:rPr>
              <w:t>100</w:t>
            </w:r>
          </w:p>
        </w:tc>
        <w:tc>
          <w:tcPr>
            <w:tcW w:w="0" w:type="auto"/>
            <w:noWrap w:val="0"/>
            <w:vAlign w:val="center"/>
          </w:tcPr>
          <w:p w14:paraId="6A668D65">
            <w:pPr>
              <w:jc w:val="center"/>
              <w:rPr>
                <w:color w:val="000000"/>
                <w:szCs w:val="21"/>
              </w:rPr>
            </w:pPr>
            <w:r>
              <w:rPr>
                <w:color w:val="000000"/>
                <w:szCs w:val="21"/>
              </w:rPr>
              <w:t>400</w:t>
            </w:r>
          </w:p>
        </w:tc>
      </w:tr>
      <w:tr w14:paraId="777B9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1C3A4986">
            <w:pPr>
              <w:jc w:val="center"/>
              <w:rPr>
                <w:color w:val="000000"/>
                <w:szCs w:val="21"/>
              </w:rPr>
            </w:pPr>
            <w:r>
              <w:rPr>
                <w:rFonts w:hint="eastAsia"/>
                <w:color w:val="000000"/>
                <w:szCs w:val="21"/>
              </w:rPr>
              <w:t>0</w:t>
            </w:r>
            <w:r>
              <w:rPr>
                <w:color w:val="000000"/>
                <w:szCs w:val="21"/>
              </w:rPr>
              <w:t>5</w:t>
            </w:r>
          </w:p>
        </w:tc>
        <w:tc>
          <w:tcPr>
            <w:tcW w:w="0" w:type="auto"/>
            <w:noWrap w:val="0"/>
            <w:vAlign w:val="center"/>
          </w:tcPr>
          <w:p w14:paraId="70A15EB5">
            <w:pPr>
              <w:jc w:val="center"/>
              <w:rPr>
                <w:rFonts w:eastAsia="楷体_GB2312"/>
              </w:rPr>
            </w:pPr>
            <w:r>
              <w:rPr>
                <w:rFonts w:hint="eastAsia" w:eastAsia="楷体_GB2312"/>
              </w:rPr>
              <w:t>工业大道</w:t>
            </w:r>
          </w:p>
        </w:tc>
        <w:tc>
          <w:tcPr>
            <w:tcW w:w="0" w:type="auto"/>
            <w:noWrap w:val="0"/>
            <w:vAlign w:val="center"/>
          </w:tcPr>
          <w:p w14:paraId="16DEE6D2">
            <w:pPr>
              <w:jc w:val="center"/>
              <w:rPr>
                <w:rFonts w:eastAsia="楷体_GB2312"/>
              </w:rPr>
            </w:pPr>
            <w:r>
              <w:rPr>
                <w:rFonts w:hint="eastAsia" w:eastAsia="楷体_GB2312"/>
              </w:rPr>
              <w:t>主干道</w:t>
            </w:r>
          </w:p>
        </w:tc>
        <w:tc>
          <w:tcPr>
            <w:tcW w:w="0" w:type="auto"/>
            <w:noWrap w:val="0"/>
            <w:vAlign w:val="center"/>
          </w:tcPr>
          <w:p w14:paraId="09433CE8">
            <w:pPr>
              <w:jc w:val="center"/>
              <w:rPr>
                <w:color w:val="000000"/>
                <w:szCs w:val="21"/>
              </w:rPr>
            </w:pPr>
            <w:r>
              <w:rPr>
                <w:color w:val="000000"/>
                <w:szCs w:val="21"/>
              </w:rPr>
              <w:t>1</w:t>
            </w:r>
          </w:p>
        </w:tc>
        <w:tc>
          <w:tcPr>
            <w:tcW w:w="0" w:type="auto"/>
            <w:noWrap w:val="0"/>
            <w:vAlign w:val="center"/>
          </w:tcPr>
          <w:p w14:paraId="5F713C6B">
            <w:pPr>
              <w:jc w:val="center"/>
              <w:rPr>
                <w:color w:val="000000"/>
                <w:szCs w:val="21"/>
              </w:rPr>
            </w:pPr>
            <w:r>
              <w:rPr>
                <w:color w:val="000000"/>
                <w:szCs w:val="21"/>
              </w:rPr>
              <w:t>1</w:t>
            </w:r>
          </w:p>
        </w:tc>
        <w:tc>
          <w:tcPr>
            <w:tcW w:w="0" w:type="auto"/>
            <w:noWrap w:val="0"/>
            <w:vAlign w:val="center"/>
          </w:tcPr>
          <w:p w14:paraId="6525715C">
            <w:pPr>
              <w:jc w:val="center"/>
              <w:rPr>
                <w:color w:val="000000"/>
                <w:szCs w:val="21"/>
              </w:rPr>
            </w:pPr>
            <w:r>
              <w:rPr>
                <w:color w:val="000000"/>
                <w:szCs w:val="21"/>
              </w:rPr>
              <w:t>100</w:t>
            </w:r>
          </w:p>
        </w:tc>
        <w:tc>
          <w:tcPr>
            <w:tcW w:w="0" w:type="auto"/>
            <w:noWrap w:val="0"/>
            <w:vAlign w:val="center"/>
          </w:tcPr>
          <w:p w14:paraId="416B96D4">
            <w:pPr>
              <w:jc w:val="center"/>
              <w:rPr>
                <w:color w:val="000000"/>
                <w:szCs w:val="21"/>
              </w:rPr>
            </w:pPr>
            <w:r>
              <w:rPr>
                <w:color w:val="000000"/>
                <w:szCs w:val="21"/>
              </w:rPr>
              <w:t>400</w:t>
            </w:r>
          </w:p>
        </w:tc>
      </w:tr>
      <w:tr w14:paraId="26C4A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34AC2C03">
            <w:pPr>
              <w:jc w:val="center"/>
              <w:rPr>
                <w:color w:val="000000"/>
                <w:szCs w:val="21"/>
              </w:rPr>
            </w:pPr>
            <w:r>
              <w:rPr>
                <w:rFonts w:hint="eastAsia"/>
                <w:color w:val="000000"/>
                <w:szCs w:val="21"/>
              </w:rPr>
              <w:t>0</w:t>
            </w:r>
            <w:r>
              <w:rPr>
                <w:color w:val="000000"/>
                <w:szCs w:val="21"/>
              </w:rPr>
              <w:t>6</w:t>
            </w:r>
          </w:p>
        </w:tc>
        <w:tc>
          <w:tcPr>
            <w:tcW w:w="0" w:type="auto"/>
            <w:noWrap w:val="0"/>
            <w:vAlign w:val="center"/>
          </w:tcPr>
          <w:p w14:paraId="75224F52">
            <w:pPr>
              <w:jc w:val="center"/>
              <w:rPr>
                <w:rFonts w:eastAsia="楷体_GB2312"/>
              </w:rPr>
            </w:pPr>
            <w:r>
              <w:rPr>
                <w:rFonts w:hint="eastAsia" w:eastAsia="楷体_GB2312"/>
              </w:rPr>
              <w:t>拂晓大道</w:t>
            </w:r>
          </w:p>
        </w:tc>
        <w:tc>
          <w:tcPr>
            <w:tcW w:w="0" w:type="auto"/>
            <w:noWrap w:val="0"/>
            <w:vAlign w:val="center"/>
          </w:tcPr>
          <w:p w14:paraId="24A4438A">
            <w:pPr>
              <w:jc w:val="center"/>
              <w:rPr>
                <w:rFonts w:eastAsia="楷体_GB2312"/>
              </w:rPr>
            </w:pPr>
            <w:r>
              <w:rPr>
                <w:rFonts w:hint="eastAsia" w:eastAsia="楷体_GB2312"/>
              </w:rPr>
              <w:t>主干道</w:t>
            </w:r>
          </w:p>
        </w:tc>
        <w:tc>
          <w:tcPr>
            <w:tcW w:w="0" w:type="auto"/>
            <w:noWrap w:val="0"/>
            <w:vAlign w:val="center"/>
          </w:tcPr>
          <w:p w14:paraId="0B999CEF">
            <w:pPr>
              <w:jc w:val="center"/>
              <w:rPr>
                <w:color w:val="000000"/>
                <w:szCs w:val="21"/>
              </w:rPr>
            </w:pPr>
            <w:r>
              <w:rPr>
                <w:color w:val="000000"/>
                <w:szCs w:val="21"/>
              </w:rPr>
              <w:t>1</w:t>
            </w:r>
          </w:p>
        </w:tc>
        <w:tc>
          <w:tcPr>
            <w:tcW w:w="0" w:type="auto"/>
            <w:noWrap w:val="0"/>
            <w:vAlign w:val="center"/>
          </w:tcPr>
          <w:p w14:paraId="5B5BE166">
            <w:pPr>
              <w:jc w:val="center"/>
              <w:rPr>
                <w:color w:val="000000"/>
                <w:szCs w:val="21"/>
              </w:rPr>
            </w:pPr>
            <w:r>
              <w:rPr>
                <w:color w:val="000000"/>
                <w:szCs w:val="21"/>
              </w:rPr>
              <w:t>1</w:t>
            </w:r>
          </w:p>
        </w:tc>
        <w:tc>
          <w:tcPr>
            <w:tcW w:w="0" w:type="auto"/>
            <w:noWrap w:val="0"/>
            <w:vAlign w:val="center"/>
          </w:tcPr>
          <w:p w14:paraId="233E8735">
            <w:pPr>
              <w:jc w:val="center"/>
              <w:rPr>
                <w:color w:val="000000"/>
                <w:szCs w:val="21"/>
              </w:rPr>
            </w:pPr>
            <w:r>
              <w:rPr>
                <w:color w:val="000000"/>
                <w:szCs w:val="21"/>
              </w:rPr>
              <w:t>100</w:t>
            </w:r>
          </w:p>
        </w:tc>
        <w:tc>
          <w:tcPr>
            <w:tcW w:w="0" w:type="auto"/>
            <w:noWrap w:val="0"/>
            <w:vAlign w:val="center"/>
          </w:tcPr>
          <w:p w14:paraId="729DAC0A">
            <w:pPr>
              <w:jc w:val="center"/>
              <w:rPr>
                <w:color w:val="000000"/>
                <w:szCs w:val="21"/>
              </w:rPr>
            </w:pPr>
            <w:r>
              <w:rPr>
                <w:color w:val="000000"/>
                <w:szCs w:val="21"/>
              </w:rPr>
              <w:t>400</w:t>
            </w:r>
          </w:p>
        </w:tc>
      </w:tr>
      <w:tr w14:paraId="07287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39CD9698">
            <w:pPr>
              <w:jc w:val="center"/>
              <w:rPr>
                <w:color w:val="000000"/>
                <w:szCs w:val="21"/>
              </w:rPr>
            </w:pPr>
            <w:r>
              <w:rPr>
                <w:rFonts w:hint="eastAsia"/>
                <w:color w:val="000000"/>
                <w:szCs w:val="21"/>
              </w:rPr>
              <w:t>0</w:t>
            </w:r>
            <w:r>
              <w:rPr>
                <w:color w:val="000000"/>
                <w:szCs w:val="21"/>
              </w:rPr>
              <w:t>7</w:t>
            </w:r>
          </w:p>
        </w:tc>
        <w:tc>
          <w:tcPr>
            <w:tcW w:w="0" w:type="auto"/>
            <w:noWrap w:val="0"/>
            <w:vAlign w:val="center"/>
          </w:tcPr>
          <w:p w14:paraId="2BDAD656">
            <w:pPr>
              <w:jc w:val="center"/>
              <w:rPr>
                <w:rFonts w:eastAsia="楷体_GB2312"/>
              </w:rPr>
            </w:pPr>
            <w:r>
              <w:rPr>
                <w:rFonts w:hint="eastAsia" w:eastAsia="楷体_GB2312"/>
              </w:rPr>
              <w:t>人民路</w:t>
            </w:r>
          </w:p>
        </w:tc>
        <w:tc>
          <w:tcPr>
            <w:tcW w:w="0" w:type="auto"/>
            <w:noWrap w:val="0"/>
            <w:vAlign w:val="center"/>
          </w:tcPr>
          <w:p w14:paraId="3593E58E">
            <w:pPr>
              <w:jc w:val="center"/>
              <w:rPr>
                <w:rFonts w:eastAsia="楷体_GB2312"/>
              </w:rPr>
            </w:pPr>
            <w:r>
              <w:rPr>
                <w:rFonts w:hint="eastAsia" w:eastAsia="楷体_GB2312"/>
              </w:rPr>
              <w:t>主干道</w:t>
            </w:r>
          </w:p>
        </w:tc>
        <w:tc>
          <w:tcPr>
            <w:tcW w:w="0" w:type="auto"/>
            <w:noWrap w:val="0"/>
            <w:vAlign w:val="center"/>
          </w:tcPr>
          <w:p w14:paraId="73A0F91A">
            <w:pPr>
              <w:jc w:val="center"/>
              <w:rPr>
                <w:color w:val="000000"/>
                <w:szCs w:val="21"/>
              </w:rPr>
            </w:pPr>
            <w:r>
              <w:rPr>
                <w:color w:val="000000"/>
                <w:szCs w:val="21"/>
              </w:rPr>
              <w:t>1</w:t>
            </w:r>
          </w:p>
        </w:tc>
        <w:tc>
          <w:tcPr>
            <w:tcW w:w="0" w:type="auto"/>
            <w:noWrap w:val="0"/>
            <w:vAlign w:val="center"/>
          </w:tcPr>
          <w:p w14:paraId="09B342AA">
            <w:pPr>
              <w:jc w:val="center"/>
              <w:rPr>
                <w:color w:val="000000"/>
                <w:szCs w:val="21"/>
              </w:rPr>
            </w:pPr>
            <w:r>
              <w:rPr>
                <w:color w:val="000000"/>
                <w:szCs w:val="21"/>
              </w:rPr>
              <w:t>1</w:t>
            </w:r>
          </w:p>
        </w:tc>
        <w:tc>
          <w:tcPr>
            <w:tcW w:w="0" w:type="auto"/>
            <w:noWrap w:val="0"/>
            <w:vAlign w:val="center"/>
          </w:tcPr>
          <w:p w14:paraId="23CC21AD">
            <w:pPr>
              <w:jc w:val="center"/>
              <w:rPr>
                <w:color w:val="000000"/>
                <w:szCs w:val="21"/>
              </w:rPr>
            </w:pPr>
            <w:r>
              <w:rPr>
                <w:color w:val="000000"/>
                <w:szCs w:val="21"/>
              </w:rPr>
              <w:t>100</w:t>
            </w:r>
          </w:p>
        </w:tc>
        <w:tc>
          <w:tcPr>
            <w:tcW w:w="0" w:type="auto"/>
            <w:noWrap w:val="0"/>
            <w:vAlign w:val="center"/>
          </w:tcPr>
          <w:p w14:paraId="48DEDBB5">
            <w:pPr>
              <w:jc w:val="center"/>
              <w:rPr>
                <w:color w:val="000000"/>
                <w:szCs w:val="21"/>
              </w:rPr>
            </w:pPr>
            <w:r>
              <w:rPr>
                <w:color w:val="000000"/>
                <w:szCs w:val="21"/>
              </w:rPr>
              <w:t>400</w:t>
            </w:r>
          </w:p>
        </w:tc>
      </w:tr>
      <w:tr w14:paraId="3CF89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6A05D5F3">
            <w:pPr>
              <w:jc w:val="center"/>
              <w:rPr>
                <w:color w:val="000000"/>
                <w:szCs w:val="21"/>
              </w:rPr>
            </w:pPr>
            <w:r>
              <w:rPr>
                <w:rFonts w:hint="eastAsia"/>
                <w:color w:val="000000"/>
                <w:szCs w:val="21"/>
              </w:rPr>
              <w:t>0</w:t>
            </w:r>
            <w:r>
              <w:rPr>
                <w:color w:val="000000"/>
                <w:szCs w:val="21"/>
              </w:rPr>
              <w:t>8</w:t>
            </w:r>
          </w:p>
        </w:tc>
        <w:tc>
          <w:tcPr>
            <w:tcW w:w="0" w:type="auto"/>
            <w:noWrap w:val="0"/>
            <w:vAlign w:val="center"/>
          </w:tcPr>
          <w:p w14:paraId="732E58D9">
            <w:pPr>
              <w:jc w:val="center"/>
              <w:rPr>
                <w:rFonts w:eastAsia="楷体_GB2312"/>
              </w:rPr>
            </w:pPr>
            <w:r>
              <w:rPr>
                <w:rFonts w:hint="eastAsia" w:eastAsia="楷体_GB2312"/>
              </w:rPr>
              <w:t>黄山路</w:t>
            </w:r>
          </w:p>
        </w:tc>
        <w:tc>
          <w:tcPr>
            <w:tcW w:w="0" w:type="auto"/>
            <w:noWrap w:val="0"/>
            <w:vAlign w:val="center"/>
          </w:tcPr>
          <w:p w14:paraId="060270B0">
            <w:pPr>
              <w:jc w:val="center"/>
              <w:rPr>
                <w:rFonts w:eastAsia="楷体_GB2312"/>
              </w:rPr>
            </w:pPr>
            <w:r>
              <w:rPr>
                <w:rFonts w:hint="eastAsia" w:eastAsia="楷体_GB2312"/>
              </w:rPr>
              <w:t>主干道</w:t>
            </w:r>
          </w:p>
        </w:tc>
        <w:tc>
          <w:tcPr>
            <w:tcW w:w="0" w:type="auto"/>
            <w:noWrap w:val="0"/>
            <w:vAlign w:val="center"/>
          </w:tcPr>
          <w:p w14:paraId="3FE6A0C4">
            <w:pPr>
              <w:jc w:val="center"/>
              <w:rPr>
                <w:color w:val="000000"/>
                <w:szCs w:val="21"/>
              </w:rPr>
            </w:pPr>
            <w:r>
              <w:rPr>
                <w:color w:val="000000"/>
                <w:szCs w:val="21"/>
              </w:rPr>
              <w:t>1</w:t>
            </w:r>
          </w:p>
        </w:tc>
        <w:tc>
          <w:tcPr>
            <w:tcW w:w="0" w:type="auto"/>
            <w:noWrap w:val="0"/>
            <w:vAlign w:val="center"/>
          </w:tcPr>
          <w:p w14:paraId="20D79249">
            <w:pPr>
              <w:jc w:val="center"/>
              <w:rPr>
                <w:color w:val="000000"/>
                <w:szCs w:val="21"/>
              </w:rPr>
            </w:pPr>
            <w:r>
              <w:rPr>
                <w:color w:val="000000"/>
                <w:szCs w:val="21"/>
              </w:rPr>
              <w:t>1</w:t>
            </w:r>
          </w:p>
        </w:tc>
        <w:tc>
          <w:tcPr>
            <w:tcW w:w="0" w:type="auto"/>
            <w:noWrap w:val="0"/>
            <w:vAlign w:val="center"/>
          </w:tcPr>
          <w:p w14:paraId="09E19413">
            <w:pPr>
              <w:jc w:val="center"/>
              <w:rPr>
                <w:color w:val="000000"/>
                <w:szCs w:val="21"/>
              </w:rPr>
            </w:pPr>
            <w:r>
              <w:rPr>
                <w:color w:val="000000"/>
                <w:szCs w:val="21"/>
              </w:rPr>
              <w:t>100</w:t>
            </w:r>
          </w:p>
        </w:tc>
        <w:tc>
          <w:tcPr>
            <w:tcW w:w="0" w:type="auto"/>
            <w:noWrap w:val="0"/>
            <w:vAlign w:val="center"/>
          </w:tcPr>
          <w:p w14:paraId="5EE3B3B7">
            <w:pPr>
              <w:jc w:val="center"/>
              <w:rPr>
                <w:color w:val="000000"/>
                <w:szCs w:val="21"/>
              </w:rPr>
            </w:pPr>
            <w:r>
              <w:rPr>
                <w:color w:val="000000"/>
                <w:szCs w:val="21"/>
              </w:rPr>
              <w:t>400</w:t>
            </w:r>
          </w:p>
        </w:tc>
      </w:tr>
      <w:tr w14:paraId="5A543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6351AF01">
            <w:pPr>
              <w:jc w:val="center"/>
              <w:rPr>
                <w:color w:val="000000"/>
                <w:szCs w:val="21"/>
              </w:rPr>
            </w:pPr>
            <w:r>
              <w:rPr>
                <w:rFonts w:hint="eastAsia"/>
                <w:color w:val="000000"/>
                <w:szCs w:val="21"/>
              </w:rPr>
              <w:t>0</w:t>
            </w:r>
            <w:r>
              <w:rPr>
                <w:color w:val="000000"/>
                <w:szCs w:val="21"/>
              </w:rPr>
              <w:t>9</w:t>
            </w:r>
          </w:p>
        </w:tc>
        <w:tc>
          <w:tcPr>
            <w:tcW w:w="0" w:type="auto"/>
            <w:noWrap w:val="0"/>
            <w:vAlign w:val="center"/>
          </w:tcPr>
          <w:p w14:paraId="4E2E9E9B">
            <w:pPr>
              <w:jc w:val="center"/>
              <w:rPr>
                <w:rFonts w:eastAsia="楷体_GB2312"/>
              </w:rPr>
            </w:pPr>
            <w:r>
              <w:rPr>
                <w:rFonts w:hint="eastAsia" w:eastAsia="楷体_GB2312"/>
              </w:rPr>
              <w:t>港口路</w:t>
            </w:r>
          </w:p>
        </w:tc>
        <w:tc>
          <w:tcPr>
            <w:tcW w:w="0" w:type="auto"/>
            <w:noWrap w:val="0"/>
            <w:vAlign w:val="center"/>
          </w:tcPr>
          <w:p w14:paraId="77F87B75">
            <w:pPr>
              <w:jc w:val="center"/>
              <w:rPr>
                <w:rFonts w:eastAsia="楷体_GB2312"/>
              </w:rPr>
            </w:pPr>
            <w:r>
              <w:rPr>
                <w:rFonts w:hint="eastAsia" w:eastAsia="楷体_GB2312"/>
              </w:rPr>
              <w:t>主干道</w:t>
            </w:r>
          </w:p>
        </w:tc>
        <w:tc>
          <w:tcPr>
            <w:tcW w:w="0" w:type="auto"/>
            <w:noWrap w:val="0"/>
            <w:vAlign w:val="center"/>
          </w:tcPr>
          <w:p w14:paraId="63D54C4B">
            <w:pPr>
              <w:jc w:val="center"/>
              <w:rPr>
                <w:color w:val="000000"/>
                <w:szCs w:val="21"/>
              </w:rPr>
            </w:pPr>
            <w:r>
              <w:rPr>
                <w:color w:val="000000"/>
                <w:szCs w:val="21"/>
              </w:rPr>
              <w:t>1</w:t>
            </w:r>
          </w:p>
        </w:tc>
        <w:tc>
          <w:tcPr>
            <w:tcW w:w="0" w:type="auto"/>
            <w:noWrap w:val="0"/>
            <w:vAlign w:val="center"/>
          </w:tcPr>
          <w:p w14:paraId="099801C8">
            <w:pPr>
              <w:jc w:val="center"/>
              <w:rPr>
                <w:color w:val="000000"/>
                <w:szCs w:val="21"/>
              </w:rPr>
            </w:pPr>
            <w:r>
              <w:rPr>
                <w:color w:val="000000"/>
                <w:szCs w:val="21"/>
              </w:rPr>
              <w:t>1</w:t>
            </w:r>
          </w:p>
        </w:tc>
        <w:tc>
          <w:tcPr>
            <w:tcW w:w="0" w:type="auto"/>
            <w:noWrap w:val="0"/>
            <w:vAlign w:val="center"/>
          </w:tcPr>
          <w:p w14:paraId="4304BB9A">
            <w:pPr>
              <w:jc w:val="center"/>
              <w:rPr>
                <w:color w:val="000000"/>
                <w:szCs w:val="21"/>
              </w:rPr>
            </w:pPr>
            <w:r>
              <w:rPr>
                <w:color w:val="000000"/>
                <w:szCs w:val="21"/>
              </w:rPr>
              <w:t>100</w:t>
            </w:r>
          </w:p>
        </w:tc>
        <w:tc>
          <w:tcPr>
            <w:tcW w:w="0" w:type="auto"/>
            <w:noWrap w:val="0"/>
            <w:vAlign w:val="center"/>
          </w:tcPr>
          <w:p w14:paraId="7EDFC496">
            <w:pPr>
              <w:jc w:val="center"/>
              <w:rPr>
                <w:color w:val="000000"/>
                <w:szCs w:val="21"/>
              </w:rPr>
            </w:pPr>
            <w:r>
              <w:rPr>
                <w:color w:val="000000"/>
                <w:szCs w:val="21"/>
              </w:rPr>
              <w:t>400</w:t>
            </w:r>
          </w:p>
        </w:tc>
      </w:tr>
      <w:tr w14:paraId="3C5B8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7BFB708F">
            <w:pPr>
              <w:jc w:val="center"/>
              <w:rPr>
                <w:color w:val="000000"/>
                <w:szCs w:val="21"/>
              </w:rPr>
            </w:pPr>
            <w:r>
              <w:rPr>
                <w:color w:val="000000"/>
                <w:szCs w:val="21"/>
              </w:rPr>
              <w:t>10</w:t>
            </w:r>
          </w:p>
        </w:tc>
        <w:tc>
          <w:tcPr>
            <w:tcW w:w="0" w:type="auto"/>
            <w:noWrap w:val="0"/>
            <w:vAlign w:val="center"/>
          </w:tcPr>
          <w:p w14:paraId="7905770F">
            <w:pPr>
              <w:jc w:val="center"/>
              <w:rPr>
                <w:rFonts w:eastAsia="楷体_GB2312"/>
              </w:rPr>
            </w:pPr>
            <w:r>
              <w:rPr>
                <w:rFonts w:hint="eastAsia" w:eastAsia="楷体_GB2312"/>
              </w:rPr>
              <w:t>206国道</w:t>
            </w:r>
          </w:p>
        </w:tc>
        <w:tc>
          <w:tcPr>
            <w:tcW w:w="0" w:type="auto"/>
            <w:noWrap w:val="0"/>
            <w:vAlign w:val="center"/>
          </w:tcPr>
          <w:p w14:paraId="7012BA3D">
            <w:pPr>
              <w:jc w:val="center"/>
              <w:rPr>
                <w:rFonts w:eastAsia="楷体_GB2312"/>
              </w:rPr>
            </w:pPr>
            <w:r>
              <w:rPr>
                <w:rFonts w:hint="eastAsia" w:eastAsia="楷体_GB2312"/>
              </w:rPr>
              <w:t>主干道</w:t>
            </w:r>
          </w:p>
        </w:tc>
        <w:tc>
          <w:tcPr>
            <w:tcW w:w="0" w:type="auto"/>
            <w:noWrap w:val="0"/>
            <w:vAlign w:val="center"/>
          </w:tcPr>
          <w:p w14:paraId="1900E92F">
            <w:pPr>
              <w:jc w:val="center"/>
              <w:rPr>
                <w:color w:val="000000"/>
                <w:szCs w:val="21"/>
              </w:rPr>
            </w:pPr>
            <w:r>
              <w:rPr>
                <w:color w:val="000000"/>
                <w:szCs w:val="21"/>
              </w:rPr>
              <w:t>1</w:t>
            </w:r>
          </w:p>
        </w:tc>
        <w:tc>
          <w:tcPr>
            <w:tcW w:w="0" w:type="auto"/>
            <w:noWrap w:val="0"/>
            <w:vAlign w:val="center"/>
          </w:tcPr>
          <w:p w14:paraId="6FFFD994">
            <w:pPr>
              <w:jc w:val="center"/>
              <w:rPr>
                <w:color w:val="000000"/>
                <w:szCs w:val="21"/>
              </w:rPr>
            </w:pPr>
            <w:r>
              <w:rPr>
                <w:color w:val="000000"/>
                <w:szCs w:val="21"/>
              </w:rPr>
              <w:t>1</w:t>
            </w:r>
          </w:p>
        </w:tc>
        <w:tc>
          <w:tcPr>
            <w:tcW w:w="0" w:type="auto"/>
            <w:noWrap w:val="0"/>
            <w:vAlign w:val="center"/>
          </w:tcPr>
          <w:p w14:paraId="342A345F">
            <w:pPr>
              <w:jc w:val="center"/>
              <w:rPr>
                <w:color w:val="000000"/>
                <w:szCs w:val="21"/>
              </w:rPr>
            </w:pPr>
            <w:r>
              <w:rPr>
                <w:color w:val="000000"/>
                <w:szCs w:val="21"/>
              </w:rPr>
              <w:t>100</w:t>
            </w:r>
          </w:p>
        </w:tc>
        <w:tc>
          <w:tcPr>
            <w:tcW w:w="0" w:type="auto"/>
            <w:noWrap w:val="0"/>
            <w:vAlign w:val="center"/>
          </w:tcPr>
          <w:p w14:paraId="63F75AE7">
            <w:pPr>
              <w:jc w:val="center"/>
              <w:rPr>
                <w:color w:val="000000"/>
                <w:szCs w:val="21"/>
              </w:rPr>
            </w:pPr>
            <w:r>
              <w:rPr>
                <w:color w:val="000000"/>
                <w:szCs w:val="21"/>
              </w:rPr>
              <w:t>400</w:t>
            </w:r>
          </w:p>
        </w:tc>
      </w:tr>
      <w:tr w14:paraId="6EA9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5C651AF6">
            <w:pPr>
              <w:jc w:val="center"/>
              <w:rPr>
                <w:color w:val="000000"/>
                <w:szCs w:val="21"/>
              </w:rPr>
            </w:pPr>
            <w:r>
              <w:rPr>
                <w:color w:val="000000"/>
                <w:szCs w:val="21"/>
              </w:rPr>
              <w:t>11</w:t>
            </w:r>
          </w:p>
        </w:tc>
        <w:tc>
          <w:tcPr>
            <w:tcW w:w="0" w:type="auto"/>
            <w:noWrap w:val="0"/>
            <w:vAlign w:val="center"/>
          </w:tcPr>
          <w:p w14:paraId="1B0FADB1">
            <w:pPr>
              <w:jc w:val="center"/>
              <w:rPr>
                <w:rFonts w:eastAsia="楷体_GB2312"/>
              </w:rPr>
            </w:pPr>
            <w:r>
              <w:rPr>
                <w:rFonts w:hint="eastAsia" w:eastAsia="楷体_GB2312"/>
              </w:rPr>
              <w:t>工业二路</w:t>
            </w:r>
          </w:p>
        </w:tc>
        <w:tc>
          <w:tcPr>
            <w:tcW w:w="0" w:type="auto"/>
            <w:noWrap w:val="0"/>
            <w:vAlign w:val="center"/>
          </w:tcPr>
          <w:p w14:paraId="7BAF98B7">
            <w:pPr>
              <w:jc w:val="center"/>
              <w:rPr>
                <w:rFonts w:eastAsia="楷体_GB2312"/>
              </w:rPr>
            </w:pPr>
            <w:r>
              <w:rPr>
                <w:rFonts w:hint="eastAsia" w:eastAsia="楷体_GB2312"/>
              </w:rPr>
              <w:t>次干道</w:t>
            </w:r>
          </w:p>
        </w:tc>
        <w:tc>
          <w:tcPr>
            <w:tcW w:w="0" w:type="auto"/>
            <w:noWrap w:val="0"/>
            <w:vAlign w:val="center"/>
          </w:tcPr>
          <w:p w14:paraId="2486E758">
            <w:pPr>
              <w:jc w:val="center"/>
              <w:rPr>
                <w:color w:val="000000"/>
                <w:szCs w:val="21"/>
              </w:rPr>
            </w:pPr>
            <w:r>
              <w:rPr>
                <w:color w:val="000000"/>
                <w:szCs w:val="21"/>
              </w:rPr>
              <w:t>0.7</w:t>
            </w:r>
          </w:p>
        </w:tc>
        <w:tc>
          <w:tcPr>
            <w:tcW w:w="0" w:type="auto"/>
            <w:noWrap w:val="0"/>
            <w:vAlign w:val="center"/>
          </w:tcPr>
          <w:p w14:paraId="59A7B812">
            <w:pPr>
              <w:jc w:val="center"/>
              <w:rPr>
                <w:color w:val="000000"/>
                <w:szCs w:val="21"/>
              </w:rPr>
            </w:pPr>
            <w:r>
              <w:rPr>
                <w:color w:val="000000"/>
                <w:szCs w:val="21"/>
              </w:rPr>
              <w:t>2</w:t>
            </w:r>
          </w:p>
        </w:tc>
        <w:tc>
          <w:tcPr>
            <w:tcW w:w="0" w:type="auto"/>
            <w:noWrap w:val="0"/>
            <w:vAlign w:val="center"/>
          </w:tcPr>
          <w:p w14:paraId="5C554E91">
            <w:pPr>
              <w:jc w:val="center"/>
              <w:rPr>
                <w:color w:val="000000"/>
                <w:szCs w:val="21"/>
              </w:rPr>
            </w:pPr>
            <w:r>
              <w:rPr>
                <w:color w:val="000000"/>
                <w:szCs w:val="21"/>
              </w:rPr>
              <w:t>70</w:t>
            </w:r>
          </w:p>
        </w:tc>
        <w:tc>
          <w:tcPr>
            <w:tcW w:w="0" w:type="auto"/>
            <w:noWrap w:val="0"/>
            <w:vAlign w:val="center"/>
          </w:tcPr>
          <w:p w14:paraId="62347CF9">
            <w:pPr>
              <w:jc w:val="center"/>
              <w:rPr>
                <w:color w:val="000000"/>
                <w:szCs w:val="21"/>
              </w:rPr>
            </w:pPr>
            <w:r>
              <w:rPr>
                <w:color w:val="000000"/>
                <w:szCs w:val="21"/>
              </w:rPr>
              <w:t>300</w:t>
            </w:r>
          </w:p>
        </w:tc>
      </w:tr>
      <w:tr w14:paraId="4A379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3C23CDA5">
            <w:pPr>
              <w:jc w:val="center"/>
              <w:rPr>
                <w:color w:val="000000"/>
                <w:szCs w:val="21"/>
              </w:rPr>
            </w:pPr>
            <w:r>
              <w:rPr>
                <w:color w:val="000000"/>
                <w:szCs w:val="21"/>
              </w:rPr>
              <w:t>12</w:t>
            </w:r>
          </w:p>
        </w:tc>
        <w:tc>
          <w:tcPr>
            <w:tcW w:w="0" w:type="auto"/>
            <w:noWrap w:val="0"/>
            <w:vAlign w:val="center"/>
          </w:tcPr>
          <w:p w14:paraId="4307F8BE">
            <w:pPr>
              <w:jc w:val="center"/>
              <w:rPr>
                <w:rFonts w:eastAsia="楷体_GB2312"/>
              </w:rPr>
            </w:pPr>
            <w:r>
              <w:rPr>
                <w:rFonts w:hint="eastAsia" w:eastAsia="楷体_GB2312"/>
              </w:rPr>
              <w:t>育才路</w:t>
            </w:r>
          </w:p>
        </w:tc>
        <w:tc>
          <w:tcPr>
            <w:tcW w:w="0" w:type="auto"/>
            <w:noWrap w:val="0"/>
            <w:vAlign w:val="center"/>
          </w:tcPr>
          <w:p w14:paraId="1C188192">
            <w:pPr>
              <w:jc w:val="center"/>
              <w:rPr>
                <w:rFonts w:eastAsia="楷体_GB2312"/>
              </w:rPr>
            </w:pPr>
            <w:r>
              <w:rPr>
                <w:rFonts w:hint="eastAsia" w:eastAsia="楷体_GB2312"/>
              </w:rPr>
              <w:t>次干道</w:t>
            </w:r>
          </w:p>
        </w:tc>
        <w:tc>
          <w:tcPr>
            <w:tcW w:w="0" w:type="auto"/>
            <w:noWrap w:val="0"/>
            <w:vAlign w:val="center"/>
          </w:tcPr>
          <w:p w14:paraId="5C387335">
            <w:pPr>
              <w:jc w:val="center"/>
              <w:rPr>
                <w:color w:val="000000"/>
                <w:szCs w:val="21"/>
              </w:rPr>
            </w:pPr>
            <w:r>
              <w:rPr>
                <w:color w:val="000000"/>
                <w:szCs w:val="21"/>
              </w:rPr>
              <w:t>0.7</w:t>
            </w:r>
          </w:p>
        </w:tc>
        <w:tc>
          <w:tcPr>
            <w:tcW w:w="0" w:type="auto"/>
            <w:noWrap w:val="0"/>
            <w:vAlign w:val="center"/>
          </w:tcPr>
          <w:p w14:paraId="168A3AD7">
            <w:pPr>
              <w:jc w:val="center"/>
              <w:rPr>
                <w:color w:val="000000"/>
                <w:szCs w:val="21"/>
              </w:rPr>
            </w:pPr>
            <w:r>
              <w:rPr>
                <w:color w:val="000000"/>
                <w:szCs w:val="21"/>
              </w:rPr>
              <w:t>2</w:t>
            </w:r>
          </w:p>
        </w:tc>
        <w:tc>
          <w:tcPr>
            <w:tcW w:w="0" w:type="auto"/>
            <w:noWrap w:val="0"/>
            <w:vAlign w:val="center"/>
          </w:tcPr>
          <w:p w14:paraId="2A600724">
            <w:pPr>
              <w:jc w:val="center"/>
              <w:rPr>
                <w:color w:val="000000"/>
                <w:szCs w:val="21"/>
              </w:rPr>
            </w:pPr>
            <w:r>
              <w:rPr>
                <w:color w:val="000000"/>
                <w:szCs w:val="21"/>
              </w:rPr>
              <w:t>70</w:t>
            </w:r>
          </w:p>
        </w:tc>
        <w:tc>
          <w:tcPr>
            <w:tcW w:w="0" w:type="auto"/>
            <w:noWrap w:val="0"/>
            <w:vAlign w:val="center"/>
          </w:tcPr>
          <w:p w14:paraId="334DC86F">
            <w:pPr>
              <w:jc w:val="center"/>
              <w:rPr>
                <w:color w:val="000000"/>
                <w:szCs w:val="21"/>
              </w:rPr>
            </w:pPr>
            <w:r>
              <w:rPr>
                <w:color w:val="000000"/>
                <w:szCs w:val="21"/>
              </w:rPr>
              <w:t>300</w:t>
            </w:r>
          </w:p>
        </w:tc>
      </w:tr>
      <w:tr w14:paraId="037AF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4C73BA05">
            <w:pPr>
              <w:jc w:val="center"/>
              <w:rPr>
                <w:color w:val="000000"/>
                <w:szCs w:val="21"/>
              </w:rPr>
            </w:pPr>
            <w:r>
              <w:rPr>
                <w:color w:val="000000"/>
                <w:szCs w:val="21"/>
              </w:rPr>
              <w:t>13</w:t>
            </w:r>
          </w:p>
        </w:tc>
        <w:tc>
          <w:tcPr>
            <w:tcW w:w="0" w:type="auto"/>
            <w:noWrap w:val="0"/>
            <w:vAlign w:val="center"/>
          </w:tcPr>
          <w:p w14:paraId="57D65D6A">
            <w:pPr>
              <w:jc w:val="center"/>
              <w:rPr>
                <w:rFonts w:eastAsia="楷体_GB2312"/>
              </w:rPr>
            </w:pPr>
            <w:r>
              <w:rPr>
                <w:rFonts w:hint="eastAsia" w:eastAsia="楷体_GB2312"/>
              </w:rPr>
              <w:t>股河路</w:t>
            </w:r>
          </w:p>
        </w:tc>
        <w:tc>
          <w:tcPr>
            <w:tcW w:w="0" w:type="auto"/>
            <w:noWrap w:val="0"/>
            <w:vAlign w:val="center"/>
          </w:tcPr>
          <w:p w14:paraId="3BA73DE1">
            <w:pPr>
              <w:jc w:val="center"/>
              <w:rPr>
                <w:rFonts w:eastAsia="楷体_GB2312"/>
              </w:rPr>
            </w:pPr>
            <w:r>
              <w:rPr>
                <w:rFonts w:hint="eastAsia" w:eastAsia="楷体_GB2312"/>
              </w:rPr>
              <w:t>次干道</w:t>
            </w:r>
          </w:p>
        </w:tc>
        <w:tc>
          <w:tcPr>
            <w:tcW w:w="0" w:type="auto"/>
            <w:noWrap w:val="0"/>
            <w:vAlign w:val="center"/>
          </w:tcPr>
          <w:p w14:paraId="0A3BE325">
            <w:pPr>
              <w:jc w:val="center"/>
              <w:rPr>
                <w:color w:val="000000"/>
                <w:szCs w:val="21"/>
              </w:rPr>
            </w:pPr>
            <w:r>
              <w:rPr>
                <w:color w:val="000000"/>
                <w:szCs w:val="21"/>
              </w:rPr>
              <w:t>0.7</w:t>
            </w:r>
          </w:p>
        </w:tc>
        <w:tc>
          <w:tcPr>
            <w:tcW w:w="0" w:type="auto"/>
            <w:noWrap w:val="0"/>
            <w:vAlign w:val="center"/>
          </w:tcPr>
          <w:p w14:paraId="4828341E">
            <w:pPr>
              <w:jc w:val="center"/>
              <w:rPr>
                <w:color w:val="000000"/>
                <w:szCs w:val="21"/>
              </w:rPr>
            </w:pPr>
            <w:r>
              <w:rPr>
                <w:color w:val="000000"/>
                <w:szCs w:val="21"/>
              </w:rPr>
              <w:t>2</w:t>
            </w:r>
          </w:p>
        </w:tc>
        <w:tc>
          <w:tcPr>
            <w:tcW w:w="0" w:type="auto"/>
            <w:noWrap w:val="0"/>
            <w:vAlign w:val="center"/>
          </w:tcPr>
          <w:p w14:paraId="352B712B">
            <w:pPr>
              <w:jc w:val="center"/>
              <w:rPr>
                <w:color w:val="000000"/>
                <w:szCs w:val="21"/>
              </w:rPr>
            </w:pPr>
            <w:r>
              <w:rPr>
                <w:color w:val="000000"/>
                <w:szCs w:val="21"/>
              </w:rPr>
              <w:t>70</w:t>
            </w:r>
          </w:p>
        </w:tc>
        <w:tc>
          <w:tcPr>
            <w:tcW w:w="0" w:type="auto"/>
            <w:noWrap w:val="0"/>
            <w:vAlign w:val="center"/>
          </w:tcPr>
          <w:p w14:paraId="3AD71FCA">
            <w:pPr>
              <w:jc w:val="center"/>
              <w:rPr>
                <w:color w:val="000000"/>
                <w:szCs w:val="21"/>
              </w:rPr>
            </w:pPr>
            <w:r>
              <w:rPr>
                <w:color w:val="000000"/>
                <w:szCs w:val="21"/>
              </w:rPr>
              <w:t>300</w:t>
            </w:r>
          </w:p>
        </w:tc>
      </w:tr>
      <w:tr w14:paraId="005F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49AC88BA">
            <w:pPr>
              <w:jc w:val="center"/>
              <w:rPr>
                <w:color w:val="000000"/>
                <w:szCs w:val="21"/>
              </w:rPr>
            </w:pPr>
            <w:r>
              <w:rPr>
                <w:color w:val="000000"/>
                <w:szCs w:val="21"/>
              </w:rPr>
              <w:t>14</w:t>
            </w:r>
          </w:p>
        </w:tc>
        <w:tc>
          <w:tcPr>
            <w:tcW w:w="0" w:type="auto"/>
            <w:noWrap w:val="0"/>
            <w:vAlign w:val="center"/>
          </w:tcPr>
          <w:p w14:paraId="7DD4E583">
            <w:pPr>
              <w:jc w:val="center"/>
              <w:rPr>
                <w:rFonts w:eastAsia="楷体_GB2312"/>
              </w:rPr>
            </w:pPr>
            <w:r>
              <w:rPr>
                <w:rFonts w:hint="eastAsia" w:eastAsia="楷体_GB2312"/>
              </w:rPr>
              <w:t>公园路</w:t>
            </w:r>
          </w:p>
        </w:tc>
        <w:tc>
          <w:tcPr>
            <w:tcW w:w="0" w:type="auto"/>
            <w:noWrap w:val="0"/>
            <w:vAlign w:val="center"/>
          </w:tcPr>
          <w:p w14:paraId="2A2CB761">
            <w:pPr>
              <w:jc w:val="center"/>
              <w:rPr>
                <w:rFonts w:eastAsia="楷体_GB2312"/>
              </w:rPr>
            </w:pPr>
            <w:r>
              <w:rPr>
                <w:rFonts w:hint="eastAsia" w:eastAsia="楷体_GB2312"/>
              </w:rPr>
              <w:t>次干道</w:t>
            </w:r>
          </w:p>
        </w:tc>
        <w:tc>
          <w:tcPr>
            <w:tcW w:w="0" w:type="auto"/>
            <w:noWrap w:val="0"/>
            <w:vAlign w:val="center"/>
          </w:tcPr>
          <w:p w14:paraId="2AC48BF4">
            <w:pPr>
              <w:jc w:val="center"/>
              <w:rPr>
                <w:color w:val="000000"/>
                <w:szCs w:val="21"/>
              </w:rPr>
            </w:pPr>
            <w:r>
              <w:rPr>
                <w:color w:val="000000"/>
                <w:szCs w:val="21"/>
              </w:rPr>
              <w:t>0.7</w:t>
            </w:r>
          </w:p>
        </w:tc>
        <w:tc>
          <w:tcPr>
            <w:tcW w:w="0" w:type="auto"/>
            <w:noWrap w:val="0"/>
            <w:vAlign w:val="center"/>
          </w:tcPr>
          <w:p w14:paraId="4B031286">
            <w:pPr>
              <w:jc w:val="center"/>
              <w:rPr>
                <w:color w:val="000000"/>
                <w:szCs w:val="21"/>
              </w:rPr>
            </w:pPr>
            <w:r>
              <w:rPr>
                <w:color w:val="000000"/>
                <w:szCs w:val="21"/>
              </w:rPr>
              <w:t>2</w:t>
            </w:r>
          </w:p>
        </w:tc>
        <w:tc>
          <w:tcPr>
            <w:tcW w:w="0" w:type="auto"/>
            <w:noWrap w:val="0"/>
            <w:vAlign w:val="center"/>
          </w:tcPr>
          <w:p w14:paraId="4E5737D5">
            <w:pPr>
              <w:jc w:val="center"/>
              <w:rPr>
                <w:color w:val="000000"/>
                <w:szCs w:val="21"/>
              </w:rPr>
            </w:pPr>
            <w:r>
              <w:rPr>
                <w:color w:val="000000"/>
                <w:szCs w:val="21"/>
              </w:rPr>
              <w:t>70</w:t>
            </w:r>
          </w:p>
        </w:tc>
        <w:tc>
          <w:tcPr>
            <w:tcW w:w="0" w:type="auto"/>
            <w:noWrap w:val="0"/>
            <w:vAlign w:val="center"/>
          </w:tcPr>
          <w:p w14:paraId="0D3E0312">
            <w:pPr>
              <w:jc w:val="center"/>
              <w:rPr>
                <w:color w:val="000000"/>
                <w:szCs w:val="21"/>
              </w:rPr>
            </w:pPr>
            <w:r>
              <w:rPr>
                <w:color w:val="000000"/>
                <w:szCs w:val="21"/>
              </w:rPr>
              <w:t>300</w:t>
            </w:r>
          </w:p>
        </w:tc>
      </w:tr>
      <w:tr w14:paraId="0EB21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5DC480D7">
            <w:pPr>
              <w:jc w:val="center"/>
              <w:rPr>
                <w:color w:val="000000"/>
                <w:szCs w:val="21"/>
              </w:rPr>
            </w:pPr>
            <w:r>
              <w:rPr>
                <w:color w:val="000000"/>
                <w:szCs w:val="21"/>
              </w:rPr>
              <w:t>15</w:t>
            </w:r>
          </w:p>
        </w:tc>
        <w:tc>
          <w:tcPr>
            <w:tcW w:w="0" w:type="auto"/>
            <w:noWrap w:val="0"/>
            <w:vAlign w:val="center"/>
          </w:tcPr>
          <w:p w14:paraId="07FE7B55">
            <w:pPr>
              <w:jc w:val="center"/>
              <w:rPr>
                <w:rFonts w:eastAsia="楷体_GB2312"/>
              </w:rPr>
            </w:pPr>
            <w:r>
              <w:rPr>
                <w:rFonts w:hint="eastAsia" w:eastAsia="楷体_GB2312"/>
              </w:rPr>
              <w:t>景玉路</w:t>
            </w:r>
          </w:p>
        </w:tc>
        <w:tc>
          <w:tcPr>
            <w:tcW w:w="0" w:type="auto"/>
            <w:noWrap w:val="0"/>
            <w:vAlign w:val="center"/>
          </w:tcPr>
          <w:p w14:paraId="052E1959">
            <w:pPr>
              <w:jc w:val="center"/>
              <w:rPr>
                <w:rFonts w:eastAsia="楷体_GB2312"/>
              </w:rPr>
            </w:pPr>
            <w:r>
              <w:rPr>
                <w:rFonts w:hint="eastAsia" w:eastAsia="楷体_GB2312"/>
              </w:rPr>
              <w:t>次干道</w:t>
            </w:r>
          </w:p>
        </w:tc>
        <w:tc>
          <w:tcPr>
            <w:tcW w:w="0" w:type="auto"/>
            <w:noWrap w:val="0"/>
            <w:vAlign w:val="center"/>
          </w:tcPr>
          <w:p w14:paraId="63289A89">
            <w:pPr>
              <w:jc w:val="center"/>
              <w:rPr>
                <w:color w:val="000000"/>
                <w:szCs w:val="21"/>
              </w:rPr>
            </w:pPr>
            <w:r>
              <w:rPr>
                <w:color w:val="000000"/>
                <w:szCs w:val="21"/>
              </w:rPr>
              <w:t>0.7</w:t>
            </w:r>
          </w:p>
        </w:tc>
        <w:tc>
          <w:tcPr>
            <w:tcW w:w="0" w:type="auto"/>
            <w:noWrap w:val="0"/>
            <w:vAlign w:val="center"/>
          </w:tcPr>
          <w:p w14:paraId="4D70FB25">
            <w:pPr>
              <w:jc w:val="center"/>
              <w:rPr>
                <w:color w:val="000000"/>
                <w:szCs w:val="21"/>
              </w:rPr>
            </w:pPr>
            <w:r>
              <w:rPr>
                <w:color w:val="000000"/>
                <w:szCs w:val="21"/>
              </w:rPr>
              <w:t>2</w:t>
            </w:r>
          </w:p>
        </w:tc>
        <w:tc>
          <w:tcPr>
            <w:tcW w:w="0" w:type="auto"/>
            <w:noWrap w:val="0"/>
            <w:vAlign w:val="center"/>
          </w:tcPr>
          <w:p w14:paraId="51F69995">
            <w:pPr>
              <w:jc w:val="center"/>
              <w:rPr>
                <w:color w:val="000000"/>
                <w:szCs w:val="21"/>
              </w:rPr>
            </w:pPr>
            <w:r>
              <w:rPr>
                <w:color w:val="000000"/>
                <w:szCs w:val="21"/>
              </w:rPr>
              <w:t>70</w:t>
            </w:r>
          </w:p>
        </w:tc>
        <w:tc>
          <w:tcPr>
            <w:tcW w:w="0" w:type="auto"/>
            <w:noWrap w:val="0"/>
            <w:vAlign w:val="center"/>
          </w:tcPr>
          <w:p w14:paraId="427006DD">
            <w:pPr>
              <w:jc w:val="center"/>
              <w:rPr>
                <w:color w:val="000000"/>
                <w:szCs w:val="21"/>
              </w:rPr>
            </w:pPr>
            <w:r>
              <w:rPr>
                <w:color w:val="000000"/>
                <w:szCs w:val="21"/>
              </w:rPr>
              <w:t>300</w:t>
            </w:r>
          </w:p>
        </w:tc>
      </w:tr>
      <w:tr w14:paraId="01063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1F5C6951">
            <w:pPr>
              <w:jc w:val="center"/>
              <w:rPr>
                <w:color w:val="000000"/>
                <w:szCs w:val="21"/>
              </w:rPr>
            </w:pPr>
            <w:r>
              <w:rPr>
                <w:color w:val="000000"/>
                <w:szCs w:val="21"/>
              </w:rPr>
              <w:t>16</w:t>
            </w:r>
          </w:p>
        </w:tc>
        <w:tc>
          <w:tcPr>
            <w:tcW w:w="0" w:type="auto"/>
            <w:noWrap w:val="0"/>
            <w:vAlign w:val="center"/>
          </w:tcPr>
          <w:p w14:paraId="5E74B038">
            <w:pPr>
              <w:jc w:val="center"/>
              <w:rPr>
                <w:rFonts w:eastAsia="楷体_GB2312"/>
              </w:rPr>
            </w:pPr>
            <w:r>
              <w:rPr>
                <w:rFonts w:hint="eastAsia" w:eastAsia="楷体_GB2312"/>
              </w:rPr>
              <w:t>符尖路</w:t>
            </w:r>
          </w:p>
        </w:tc>
        <w:tc>
          <w:tcPr>
            <w:tcW w:w="0" w:type="auto"/>
            <w:noWrap w:val="0"/>
            <w:vAlign w:val="center"/>
          </w:tcPr>
          <w:p w14:paraId="69AAF8D8">
            <w:pPr>
              <w:jc w:val="center"/>
              <w:rPr>
                <w:rFonts w:eastAsia="楷体_GB2312"/>
              </w:rPr>
            </w:pPr>
            <w:r>
              <w:rPr>
                <w:rFonts w:hint="eastAsia" w:eastAsia="楷体_GB2312"/>
              </w:rPr>
              <w:t>次干道</w:t>
            </w:r>
          </w:p>
        </w:tc>
        <w:tc>
          <w:tcPr>
            <w:tcW w:w="0" w:type="auto"/>
            <w:noWrap w:val="0"/>
            <w:vAlign w:val="center"/>
          </w:tcPr>
          <w:p w14:paraId="604C5791">
            <w:pPr>
              <w:jc w:val="center"/>
              <w:rPr>
                <w:color w:val="000000"/>
                <w:szCs w:val="21"/>
              </w:rPr>
            </w:pPr>
            <w:r>
              <w:rPr>
                <w:color w:val="000000"/>
                <w:szCs w:val="21"/>
              </w:rPr>
              <w:t>0.7</w:t>
            </w:r>
          </w:p>
        </w:tc>
        <w:tc>
          <w:tcPr>
            <w:tcW w:w="0" w:type="auto"/>
            <w:noWrap w:val="0"/>
            <w:vAlign w:val="center"/>
          </w:tcPr>
          <w:p w14:paraId="695EFF00">
            <w:pPr>
              <w:jc w:val="center"/>
              <w:rPr>
                <w:color w:val="000000"/>
                <w:szCs w:val="21"/>
              </w:rPr>
            </w:pPr>
            <w:r>
              <w:rPr>
                <w:color w:val="000000"/>
                <w:szCs w:val="21"/>
              </w:rPr>
              <w:t>2</w:t>
            </w:r>
          </w:p>
        </w:tc>
        <w:tc>
          <w:tcPr>
            <w:tcW w:w="0" w:type="auto"/>
            <w:noWrap w:val="0"/>
            <w:vAlign w:val="center"/>
          </w:tcPr>
          <w:p w14:paraId="1184A76A">
            <w:pPr>
              <w:jc w:val="center"/>
              <w:rPr>
                <w:color w:val="000000"/>
                <w:szCs w:val="21"/>
              </w:rPr>
            </w:pPr>
            <w:r>
              <w:rPr>
                <w:color w:val="000000"/>
                <w:szCs w:val="21"/>
              </w:rPr>
              <w:t>70</w:t>
            </w:r>
          </w:p>
        </w:tc>
        <w:tc>
          <w:tcPr>
            <w:tcW w:w="0" w:type="auto"/>
            <w:noWrap w:val="0"/>
            <w:vAlign w:val="center"/>
          </w:tcPr>
          <w:p w14:paraId="56E2918E">
            <w:pPr>
              <w:jc w:val="center"/>
              <w:rPr>
                <w:color w:val="000000"/>
                <w:szCs w:val="21"/>
              </w:rPr>
            </w:pPr>
            <w:r>
              <w:rPr>
                <w:color w:val="000000"/>
                <w:szCs w:val="21"/>
              </w:rPr>
              <w:t>300</w:t>
            </w:r>
          </w:p>
        </w:tc>
      </w:tr>
      <w:tr w14:paraId="1BF6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6335AD9E">
            <w:pPr>
              <w:jc w:val="center"/>
              <w:rPr>
                <w:color w:val="000000"/>
                <w:szCs w:val="21"/>
              </w:rPr>
            </w:pPr>
            <w:r>
              <w:rPr>
                <w:color w:val="000000"/>
                <w:szCs w:val="21"/>
              </w:rPr>
              <w:t>17</w:t>
            </w:r>
          </w:p>
        </w:tc>
        <w:tc>
          <w:tcPr>
            <w:tcW w:w="0" w:type="auto"/>
            <w:noWrap w:val="0"/>
            <w:vAlign w:val="center"/>
          </w:tcPr>
          <w:p w14:paraId="573C5591">
            <w:pPr>
              <w:jc w:val="center"/>
              <w:rPr>
                <w:rFonts w:eastAsia="楷体_GB2312"/>
              </w:rPr>
            </w:pPr>
            <w:r>
              <w:rPr>
                <w:rFonts w:hint="eastAsia" w:eastAsia="楷体_GB2312"/>
              </w:rPr>
              <w:t>经二路</w:t>
            </w:r>
          </w:p>
        </w:tc>
        <w:tc>
          <w:tcPr>
            <w:tcW w:w="0" w:type="auto"/>
            <w:noWrap w:val="0"/>
            <w:vAlign w:val="center"/>
          </w:tcPr>
          <w:p w14:paraId="0CF22C10">
            <w:pPr>
              <w:jc w:val="center"/>
              <w:rPr>
                <w:rFonts w:eastAsia="楷体_GB2312"/>
              </w:rPr>
            </w:pPr>
            <w:r>
              <w:rPr>
                <w:rFonts w:hint="eastAsia" w:eastAsia="楷体_GB2312"/>
              </w:rPr>
              <w:t>次干道</w:t>
            </w:r>
          </w:p>
        </w:tc>
        <w:tc>
          <w:tcPr>
            <w:tcW w:w="0" w:type="auto"/>
            <w:noWrap w:val="0"/>
            <w:vAlign w:val="center"/>
          </w:tcPr>
          <w:p w14:paraId="1338C051">
            <w:pPr>
              <w:jc w:val="center"/>
              <w:rPr>
                <w:color w:val="000000"/>
                <w:szCs w:val="21"/>
              </w:rPr>
            </w:pPr>
            <w:r>
              <w:rPr>
                <w:color w:val="000000"/>
                <w:szCs w:val="21"/>
              </w:rPr>
              <w:t>0.7</w:t>
            </w:r>
          </w:p>
        </w:tc>
        <w:tc>
          <w:tcPr>
            <w:tcW w:w="0" w:type="auto"/>
            <w:noWrap w:val="0"/>
            <w:vAlign w:val="center"/>
          </w:tcPr>
          <w:p w14:paraId="15FC5BE2">
            <w:pPr>
              <w:jc w:val="center"/>
              <w:rPr>
                <w:color w:val="000000"/>
                <w:szCs w:val="21"/>
              </w:rPr>
            </w:pPr>
            <w:r>
              <w:rPr>
                <w:color w:val="000000"/>
                <w:szCs w:val="21"/>
              </w:rPr>
              <w:t>2</w:t>
            </w:r>
          </w:p>
        </w:tc>
        <w:tc>
          <w:tcPr>
            <w:tcW w:w="0" w:type="auto"/>
            <w:noWrap w:val="0"/>
            <w:vAlign w:val="center"/>
          </w:tcPr>
          <w:p w14:paraId="7470038A">
            <w:pPr>
              <w:jc w:val="center"/>
              <w:rPr>
                <w:color w:val="000000"/>
                <w:szCs w:val="21"/>
              </w:rPr>
            </w:pPr>
            <w:r>
              <w:rPr>
                <w:color w:val="000000"/>
                <w:szCs w:val="21"/>
              </w:rPr>
              <w:t>70</w:t>
            </w:r>
          </w:p>
        </w:tc>
        <w:tc>
          <w:tcPr>
            <w:tcW w:w="0" w:type="auto"/>
            <w:noWrap w:val="0"/>
            <w:vAlign w:val="center"/>
          </w:tcPr>
          <w:p w14:paraId="1333EBCA">
            <w:pPr>
              <w:jc w:val="center"/>
              <w:rPr>
                <w:color w:val="000000"/>
                <w:szCs w:val="21"/>
              </w:rPr>
            </w:pPr>
            <w:r>
              <w:rPr>
                <w:color w:val="000000"/>
                <w:szCs w:val="21"/>
              </w:rPr>
              <w:t>300</w:t>
            </w:r>
          </w:p>
        </w:tc>
      </w:tr>
      <w:tr w14:paraId="249D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noWrap w:val="0"/>
            <w:vAlign w:val="center"/>
          </w:tcPr>
          <w:p w14:paraId="650A7936">
            <w:pPr>
              <w:jc w:val="center"/>
              <w:rPr>
                <w:color w:val="000000"/>
                <w:szCs w:val="21"/>
              </w:rPr>
            </w:pPr>
            <w:r>
              <w:rPr>
                <w:color w:val="000000"/>
                <w:szCs w:val="21"/>
              </w:rPr>
              <w:t>18</w:t>
            </w:r>
          </w:p>
        </w:tc>
        <w:tc>
          <w:tcPr>
            <w:tcW w:w="0" w:type="auto"/>
            <w:noWrap w:val="0"/>
            <w:vAlign w:val="center"/>
          </w:tcPr>
          <w:p w14:paraId="37FED417">
            <w:pPr>
              <w:jc w:val="center"/>
              <w:rPr>
                <w:rFonts w:eastAsia="楷体_GB2312"/>
              </w:rPr>
            </w:pPr>
            <w:r>
              <w:rPr>
                <w:rFonts w:hint="eastAsia" w:eastAsia="楷体_GB2312"/>
              </w:rPr>
              <w:t>经一路</w:t>
            </w:r>
          </w:p>
        </w:tc>
        <w:tc>
          <w:tcPr>
            <w:tcW w:w="0" w:type="auto"/>
            <w:noWrap w:val="0"/>
            <w:vAlign w:val="center"/>
          </w:tcPr>
          <w:p w14:paraId="7274C09D">
            <w:pPr>
              <w:jc w:val="center"/>
              <w:rPr>
                <w:rFonts w:eastAsia="楷体_GB2312"/>
              </w:rPr>
            </w:pPr>
            <w:r>
              <w:rPr>
                <w:rFonts w:hint="eastAsia" w:eastAsia="楷体_GB2312"/>
              </w:rPr>
              <w:t>次干道</w:t>
            </w:r>
          </w:p>
        </w:tc>
        <w:tc>
          <w:tcPr>
            <w:tcW w:w="0" w:type="auto"/>
            <w:noWrap w:val="0"/>
            <w:vAlign w:val="center"/>
          </w:tcPr>
          <w:p w14:paraId="5849DF79">
            <w:pPr>
              <w:jc w:val="center"/>
              <w:rPr>
                <w:color w:val="000000"/>
                <w:szCs w:val="21"/>
              </w:rPr>
            </w:pPr>
            <w:r>
              <w:rPr>
                <w:color w:val="000000"/>
                <w:szCs w:val="21"/>
              </w:rPr>
              <w:t>0.7</w:t>
            </w:r>
          </w:p>
        </w:tc>
        <w:tc>
          <w:tcPr>
            <w:tcW w:w="0" w:type="auto"/>
            <w:noWrap w:val="0"/>
            <w:vAlign w:val="center"/>
          </w:tcPr>
          <w:p w14:paraId="7FC3E50E">
            <w:pPr>
              <w:jc w:val="center"/>
              <w:rPr>
                <w:color w:val="000000"/>
                <w:szCs w:val="21"/>
              </w:rPr>
            </w:pPr>
            <w:r>
              <w:rPr>
                <w:color w:val="000000"/>
                <w:szCs w:val="21"/>
              </w:rPr>
              <w:t>2</w:t>
            </w:r>
          </w:p>
        </w:tc>
        <w:tc>
          <w:tcPr>
            <w:tcW w:w="0" w:type="auto"/>
            <w:noWrap w:val="0"/>
            <w:vAlign w:val="center"/>
          </w:tcPr>
          <w:p w14:paraId="0F0A0EAF">
            <w:pPr>
              <w:jc w:val="center"/>
              <w:rPr>
                <w:color w:val="000000"/>
                <w:szCs w:val="21"/>
              </w:rPr>
            </w:pPr>
            <w:r>
              <w:rPr>
                <w:color w:val="000000"/>
                <w:szCs w:val="21"/>
              </w:rPr>
              <w:t>70</w:t>
            </w:r>
          </w:p>
        </w:tc>
        <w:tc>
          <w:tcPr>
            <w:tcW w:w="0" w:type="auto"/>
            <w:noWrap w:val="0"/>
            <w:vAlign w:val="center"/>
          </w:tcPr>
          <w:p w14:paraId="2EFE85C1">
            <w:pPr>
              <w:jc w:val="center"/>
              <w:rPr>
                <w:color w:val="000000"/>
                <w:szCs w:val="21"/>
              </w:rPr>
            </w:pPr>
            <w:r>
              <w:rPr>
                <w:color w:val="000000"/>
                <w:szCs w:val="21"/>
              </w:rPr>
              <w:t>300</w:t>
            </w:r>
          </w:p>
        </w:tc>
      </w:tr>
      <w:tr w14:paraId="697FA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noWrap w:val="0"/>
            <w:vAlign w:val="center"/>
          </w:tcPr>
          <w:p w14:paraId="79C23D37">
            <w:pPr>
              <w:jc w:val="center"/>
              <w:rPr>
                <w:color w:val="000000"/>
                <w:szCs w:val="21"/>
              </w:rPr>
            </w:pPr>
            <w:r>
              <w:rPr>
                <w:color w:val="000000"/>
                <w:szCs w:val="21"/>
              </w:rPr>
              <w:t>19</w:t>
            </w:r>
          </w:p>
        </w:tc>
        <w:tc>
          <w:tcPr>
            <w:tcW w:w="0" w:type="auto"/>
            <w:noWrap w:val="0"/>
            <w:vAlign w:val="center"/>
          </w:tcPr>
          <w:p w14:paraId="63AEE435">
            <w:pPr>
              <w:jc w:val="center"/>
              <w:rPr>
                <w:rFonts w:eastAsia="楷体_GB2312"/>
              </w:rPr>
            </w:pPr>
            <w:r>
              <w:rPr>
                <w:rFonts w:hint="eastAsia" w:eastAsia="楷体_GB2312"/>
              </w:rPr>
              <w:t>工业一路</w:t>
            </w:r>
          </w:p>
        </w:tc>
        <w:tc>
          <w:tcPr>
            <w:tcW w:w="0" w:type="auto"/>
            <w:noWrap w:val="0"/>
            <w:vAlign w:val="center"/>
          </w:tcPr>
          <w:p w14:paraId="799B5B79">
            <w:pPr>
              <w:jc w:val="center"/>
              <w:rPr>
                <w:rFonts w:eastAsia="楷体_GB2312"/>
              </w:rPr>
            </w:pPr>
            <w:r>
              <w:rPr>
                <w:rFonts w:hint="eastAsia" w:eastAsia="楷体_GB2312"/>
              </w:rPr>
              <w:t>支路</w:t>
            </w:r>
          </w:p>
        </w:tc>
        <w:tc>
          <w:tcPr>
            <w:tcW w:w="0" w:type="auto"/>
            <w:noWrap w:val="0"/>
            <w:vAlign w:val="center"/>
          </w:tcPr>
          <w:p w14:paraId="3F149647">
            <w:pPr>
              <w:jc w:val="center"/>
              <w:rPr>
                <w:color w:val="000000"/>
                <w:szCs w:val="21"/>
              </w:rPr>
            </w:pPr>
            <w:r>
              <w:rPr>
                <w:color w:val="000000"/>
                <w:szCs w:val="21"/>
              </w:rPr>
              <w:t>0.4</w:t>
            </w:r>
          </w:p>
        </w:tc>
        <w:tc>
          <w:tcPr>
            <w:tcW w:w="0" w:type="auto"/>
            <w:noWrap w:val="0"/>
            <w:vAlign w:val="center"/>
          </w:tcPr>
          <w:p w14:paraId="06C44B7D">
            <w:pPr>
              <w:jc w:val="center"/>
              <w:rPr>
                <w:color w:val="000000"/>
                <w:szCs w:val="21"/>
              </w:rPr>
            </w:pPr>
            <w:r>
              <w:rPr>
                <w:color w:val="000000"/>
                <w:szCs w:val="21"/>
              </w:rPr>
              <w:t>3</w:t>
            </w:r>
          </w:p>
        </w:tc>
        <w:tc>
          <w:tcPr>
            <w:tcW w:w="0" w:type="auto"/>
            <w:noWrap w:val="0"/>
            <w:vAlign w:val="center"/>
          </w:tcPr>
          <w:p w14:paraId="2B6FF5E3">
            <w:pPr>
              <w:jc w:val="center"/>
              <w:rPr>
                <w:color w:val="000000"/>
                <w:szCs w:val="21"/>
              </w:rPr>
            </w:pPr>
            <w:r>
              <w:rPr>
                <w:color w:val="000000"/>
                <w:szCs w:val="21"/>
              </w:rPr>
              <w:t>40</w:t>
            </w:r>
          </w:p>
        </w:tc>
        <w:tc>
          <w:tcPr>
            <w:tcW w:w="0" w:type="auto"/>
            <w:noWrap w:val="0"/>
            <w:vAlign w:val="center"/>
          </w:tcPr>
          <w:p w14:paraId="51F03D99">
            <w:pPr>
              <w:jc w:val="center"/>
              <w:rPr>
                <w:color w:val="000000"/>
                <w:szCs w:val="21"/>
              </w:rPr>
            </w:pPr>
            <w:r>
              <w:rPr>
                <w:color w:val="000000"/>
                <w:szCs w:val="21"/>
              </w:rPr>
              <w:t>220</w:t>
            </w:r>
          </w:p>
        </w:tc>
      </w:tr>
      <w:tr w14:paraId="4A888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noWrap w:val="0"/>
            <w:vAlign w:val="center"/>
          </w:tcPr>
          <w:p w14:paraId="4352D849">
            <w:pPr>
              <w:jc w:val="center"/>
              <w:rPr>
                <w:color w:val="000000"/>
                <w:szCs w:val="21"/>
              </w:rPr>
            </w:pPr>
            <w:r>
              <w:rPr>
                <w:color w:val="000000"/>
                <w:szCs w:val="21"/>
              </w:rPr>
              <w:t>20</w:t>
            </w:r>
          </w:p>
        </w:tc>
        <w:tc>
          <w:tcPr>
            <w:tcW w:w="0" w:type="auto"/>
            <w:noWrap w:val="0"/>
            <w:vAlign w:val="center"/>
          </w:tcPr>
          <w:p w14:paraId="39E0E8E6">
            <w:pPr>
              <w:jc w:val="center"/>
              <w:rPr>
                <w:rFonts w:eastAsia="楷体_GB2312"/>
              </w:rPr>
            </w:pPr>
            <w:r>
              <w:rPr>
                <w:rFonts w:hint="eastAsia" w:eastAsia="楷体_GB2312"/>
              </w:rPr>
              <w:t>滨河路</w:t>
            </w:r>
          </w:p>
        </w:tc>
        <w:tc>
          <w:tcPr>
            <w:tcW w:w="0" w:type="auto"/>
            <w:noWrap w:val="0"/>
            <w:vAlign w:val="center"/>
          </w:tcPr>
          <w:p w14:paraId="6C19DB33">
            <w:pPr>
              <w:jc w:val="center"/>
              <w:rPr>
                <w:rFonts w:eastAsia="楷体_GB2312"/>
              </w:rPr>
            </w:pPr>
            <w:r>
              <w:rPr>
                <w:rFonts w:hint="eastAsia" w:eastAsia="楷体_GB2312"/>
              </w:rPr>
              <w:t>支路</w:t>
            </w:r>
          </w:p>
        </w:tc>
        <w:tc>
          <w:tcPr>
            <w:tcW w:w="0" w:type="auto"/>
            <w:noWrap w:val="0"/>
            <w:vAlign w:val="center"/>
          </w:tcPr>
          <w:p w14:paraId="214CFCF6">
            <w:pPr>
              <w:jc w:val="center"/>
              <w:rPr>
                <w:color w:val="000000"/>
                <w:szCs w:val="21"/>
              </w:rPr>
            </w:pPr>
            <w:r>
              <w:rPr>
                <w:color w:val="000000"/>
                <w:szCs w:val="21"/>
              </w:rPr>
              <w:t>0.4</w:t>
            </w:r>
          </w:p>
        </w:tc>
        <w:tc>
          <w:tcPr>
            <w:tcW w:w="0" w:type="auto"/>
            <w:noWrap w:val="0"/>
            <w:vAlign w:val="center"/>
          </w:tcPr>
          <w:p w14:paraId="5C729682">
            <w:pPr>
              <w:jc w:val="center"/>
              <w:rPr>
                <w:color w:val="000000"/>
                <w:szCs w:val="21"/>
              </w:rPr>
            </w:pPr>
            <w:r>
              <w:rPr>
                <w:color w:val="000000"/>
                <w:szCs w:val="21"/>
              </w:rPr>
              <w:t>3</w:t>
            </w:r>
          </w:p>
        </w:tc>
        <w:tc>
          <w:tcPr>
            <w:tcW w:w="0" w:type="auto"/>
            <w:noWrap w:val="0"/>
            <w:vAlign w:val="center"/>
          </w:tcPr>
          <w:p w14:paraId="624E4357">
            <w:pPr>
              <w:jc w:val="center"/>
              <w:rPr>
                <w:color w:val="000000"/>
                <w:szCs w:val="21"/>
              </w:rPr>
            </w:pPr>
            <w:r>
              <w:rPr>
                <w:color w:val="000000"/>
                <w:szCs w:val="21"/>
              </w:rPr>
              <w:t>40</w:t>
            </w:r>
          </w:p>
        </w:tc>
        <w:tc>
          <w:tcPr>
            <w:tcW w:w="0" w:type="auto"/>
            <w:noWrap w:val="0"/>
            <w:vAlign w:val="center"/>
          </w:tcPr>
          <w:p w14:paraId="7CE56352">
            <w:pPr>
              <w:jc w:val="center"/>
              <w:rPr>
                <w:color w:val="000000"/>
                <w:szCs w:val="21"/>
              </w:rPr>
            </w:pPr>
            <w:r>
              <w:rPr>
                <w:color w:val="000000"/>
                <w:szCs w:val="21"/>
              </w:rPr>
              <w:t>220</w:t>
            </w:r>
          </w:p>
        </w:tc>
      </w:tr>
      <w:tr w14:paraId="14F0C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noWrap w:val="0"/>
            <w:vAlign w:val="center"/>
          </w:tcPr>
          <w:p w14:paraId="3342F28D">
            <w:pPr>
              <w:jc w:val="center"/>
              <w:rPr>
                <w:color w:val="000000"/>
                <w:szCs w:val="21"/>
              </w:rPr>
            </w:pPr>
            <w:r>
              <w:rPr>
                <w:color w:val="000000"/>
                <w:szCs w:val="21"/>
              </w:rPr>
              <w:t>21</w:t>
            </w:r>
          </w:p>
        </w:tc>
        <w:tc>
          <w:tcPr>
            <w:tcW w:w="0" w:type="auto"/>
            <w:noWrap w:val="0"/>
            <w:vAlign w:val="center"/>
          </w:tcPr>
          <w:p w14:paraId="49D86458">
            <w:pPr>
              <w:jc w:val="center"/>
              <w:rPr>
                <w:rFonts w:eastAsia="楷体_GB2312"/>
              </w:rPr>
            </w:pPr>
            <w:r>
              <w:rPr>
                <w:rFonts w:hint="eastAsia" w:eastAsia="楷体_GB2312"/>
              </w:rPr>
              <w:t>065乡道</w:t>
            </w:r>
          </w:p>
        </w:tc>
        <w:tc>
          <w:tcPr>
            <w:tcW w:w="0" w:type="auto"/>
            <w:noWrap w:val="0"/>
            <w:vAlign w:val="center"/>
          </w:tcPr>
          <w:p w14:paraId="26D4BE85">
            <w:pPr>
              <w:jc w:val="center"/>
              <w:rPr>
                <w:rFonts w:eastAsia="楷体_GB2312"/>
              </w:rPr>
            </w:pPr>
            <w:r>
              <w:rPr>
                <w:rFonts w:hint="eastAsia" w:eastAsia="楷体_GB2312"/>
              </w:rPr>
              <w:t>支路</w:t>
            </w:r>
          </w:p>
        </w:tc>
        <w:tc>
          <w:tcPr>
            <w:tcW w:w="0" w:type="auto"/>
            <w:noWrap w:val="0"/>
            <w:vAlign w:val="center"/>
          </w:tcPr>
          <w:p w14:paraId="244A7BC8">
            <w:pPr>
              <w:jc w:val="center"/>
              <w:rPr>
                <w:color w:val="000000"/>
                <w:szCs w:val="21"/>
              </w:rPr>
            </w:pPr>
            <w:r>
              <w:rPr>
                <w:color w:val="000000"/>
                <w:szCs w:val="21"/>
              </w:rPr>
              <w:t>0.4</w:t>
            </w:r>
          </w:p>
        </w:tc>
        <w:tc>
          <w:tcPr>
            <w:tcW w:w="0" w:type="auto"/>
            <w:noWrap w:val="0"/>
            <w:vAlign w:val="center"/>
          </w:tcPr>
          <w:p w14:paraId="7A240FD9">
            <w:pPr>
              <w:jc w:val="center"/>
              <w:rPr>
                <w:color w:val="000000"/>
                <w:szCs w:val="21"/>
              </w:rPr>
            </w:pPr>
            <w:r>
              <w:rPr>
                <w:color w:val="000000"/>
                <w:szCs w:val="21"/>
              </w:rPr>
              <w:t>3</w:t>
            </w:r>
          </w:p>
        </w:tc>
        <w:tc>
          <w:tcPr>
            <w:tcW w:w="0" w:type="auto"/>
            <w:noWrap w:val="0"/>
            <w:vAlign w:val="center"/>
          </w:tcPr>
          <w:p w14:paraId="76DFFD5A">
            <w:pPr>
              <w:jc w:val="center"/>
              <w:rPr>
                <w:color w:val="000000"/>
                <w:szCs w:val="21"/>
              </w:rPr>
            </w:pPr>
            <w:r>
              <w:rPr>
                <w:color w:val="000000"/>
                <w:szCs w:val="21"/>
              </w:rPr>
              <w:t>40</w:t>
            </w:r>
          </w:p>
        </w:tc>
        <w:tc>
          <w:tcPr>
            <w:tcW w:w="0" w:type="auto"/>
            <w:noWrap w:val="0"/>
            <w:vAlign w:val="center"/>
          </w:tcPr>
          <w:p w14:paraId="1CFF3FDB">
            <w:pPr>
              <w:jc w:val="center"/>
              <w:rPr>
                <w:color w:val="000000"/>
                <w:szCs w:val="21"/>
              </w:rPr>
            </w:pPr>
            <w:r>
              <w:rPr>
                <w:color w:val="000000"/>
                <w:szCs w:val="21"/>
              </w:rPr>
              <w:t>220</w:t>
            </w:r>
          </w:p>
        </w:tc>
      </w:tr>
    </w:tbl>
    <w:p w14:paraId="4C2F0914">
      <w:pPr>
        <w:jc w:val="center"/>
        <w:rPr>
          <w:rFonts w:eastAsia="仿宋_GB2312"/>
          <w:sz w:val="18"/>
        </w:rPr>
      </w:pPr>
      <w:r>
        <w:rPr>
          <w:rFonts w:eastAsia="黑体"/>
          <w:sz w:val="28"/>
        </w:rPr>
        <w:t xml:space="preserve">表1-3-7  </w:t>
      </w:r>
      <w:r>
        <w:rPr>
          <w:rFonts w:hint="eastAsia" w:eastAsia="黑体"/>
          <w:sz w:val="28"/>
        </w:rPr>
        <w:t>朱仙庄镇</w:t>
      </w:r>
      <w:r>
        <w:rPr>
          <w:rFonts w:eastAsia="黑体"/>
          <w:sz w:val="28"/>
        </w:rPr>
        <w:t>镇区道路状况及其功能分及影响距离表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460"/>
        <w:gridCol w:w="1460"/>
        <w:gridCol w:w="1460"/>
        <w:gridCol w:w="879"/>
        <w:gridCol w:w="1170"/>
        <w:gridCol w:w="1460"/>
      </w:tblGrid>
      <w:tr w14:paraId="6D921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83" w:type="dxa"/>
            <w:noWrap w:val="0"/>
            <w:vAlign w:val="center"/>
          </w:tcPr>
          <w:p w14:paraId="61576919">
            <w:pPr>
              <w:jc w:val="center"/>
              <w:rPr>
                <w:rFonts w:eastAsia="楷体_GB2312"/>
              </w:rPr>
            </w:pPr>
            <w:r>
              <w:rPr>
                <w:rFonts w:eastAsia="楷体_GB2312"/>
              </w:rPr>
              <w:t>道路编号</w:t>
            </w:r>
          </w:p>
        </w:tc>
        <w:tc>
          <w:tcPr>
            <w:tcW w:w="0" w:type="auto"/>
            <w:noWrap w:val="0"/>
            <w:vAlign w:val="center"/>
          </w:tcPr>
          <w:p w14:paraId="19A81D50">
            <w:pPr>
              <w:jc w:val="center"/>
              <w:rPr>
                <w:rFonts w:eastAsia="楷体_GB2312"/>
              </w:rPr>
            </w:pPr>
            <w:r>
              <w:rPr>
                <w:rFonts w:eastAsia="楷体_GB2312"/>
              </w:rPr>
              <w:t>道路名称</w:t>
            </w:r>
          </w:p>
        </w:tc>
        <w:tc>
          <w:tcPr>
            <w:tcW w:w="0" w:type="auto"/>
            <w:noWrap w:val="0"/>
            <w:vAlign w:val="center"/>
          </w:tcPr>
          <w:p w14:paraId="460D2445">
            <w:pPr>
              <w:jc w:val="center"/>
              <w:rPr>
                <w:rFonts w:eastAsia="楷体_GB2312"/>
              </w:rPr>
            </w:pPr>
            <w:r>
              <w:rPr>
                <w:rFonts w:eastAsia="楷体_GB2312"/>
              </w:rPr>
              <w:t>道路类型</w:t>
            </w:r>
          </w:p>
        </w:tc>
        <w:tc>
          <w:tcPr>
            <w:tcW w:w="0" w:type="auto"/>
            <w:noWrap w:val="0"/>
            <w:vAlign w:val="center"/>
          </w:tcPr>
          <w:p w14:paraId="2C251484">
            <w:pPr>
              <w:jc w:val="center"/>
              <w:rPr>
                <w:rFonts w:eastAsia="楷体_GB2312"/>
              </w:rPr>
            </w:pPr>
            <w:r>
              <w:rPr>
                <w:rFonts w:eastAsia="楷体_GB2312"/>
              </w:rPr>
              <w:t>作用指数</w:t>
            </w:r>
          </w:p>
        </w:tc>
        <w:tc>
          <w:tcPr>
            <w:tcW w:w="0" w:type="auto"/>
            <w:noWrap w:val="0"/>
            <w:vAlign w:val="center"/>
          </w:tcPr>
          <w:p w14:paraId="75065A18">
            <w:pPr>
              <w:jc w:val="center"/>
              <w:rPr>
                <w:rFonts w:eastAsia="楷体_GB2312"/>
              </w:rPr>
            </w:pPr>
            <w:r>
              <w:rPr>
                <w:rFonts w:eastAsia="楷体_GB2312"/>
              </w:rPr>
              <w:t>级别</w:t>
            </w:r>
          </w:p>
        </w:tc>
        <w:tc>
          <w:tcPr>
            <w:tcW w:w="0" w:type="auto"/>
            <w:noWrap w:val="0"/>
            <w:vAlign w:val="center"/>
          </w:tcPr>
          <w:p w14:paraId="20E95507">
            <w:pPr>
              <w:jc w:val="center"/>
              <w:rPr>
                <w:rFonts w:eastAsia="楷体_GB2312"/>
              </w:rPr>
            </w:pPr>
            <w:r>
              <w:rPr>
                <w:rFonts w:eastAsia="楷体_GB2312"/>
              </w:rPr>
              <w:t>功能分</w:t>
            </w:r>
          </w:p>
        </w:tc>
        <w:tc>
          <w:tcPr>
            <w:tcW w:w="0" w:type="auto"/>
            <w:noWrap w:val="0"/>
            <w:vAlign w:val="center"/>
          </w:tcPr>
          <w:p w14:paraId="53E858D9">
            <w:pPr>
              <w:jc w:val="center"/>
              <w:rPr>
                <w:rFonts w:eastAsia="楷体_GB2312"/>
              </w:rPr>
            </w:pPr>
            <w:r>
              <w:rPr>
                <w:rFonts w:eastAsia="楷体_GB2312"/>
              </w:rPr>
              <w:t>影响半径</w:t>
            </w:r>
          </w:p>
        </w:tc>
      </w:tr>
      <w:tr w14:paraId="75FBF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87C6057">
            <w:pPr>
              <w:jc w:val="center"/>
              <w:rPr>
                <w:color w:val="000000"/>
                <w:szCs w:val="21"/>
              </w:rPr>
            </w:pPr>
            <w:r>
              <w:rPr>
                <w:rFonts w:hint="eastAsia"/>
                <w:color w:val="000000"/>
                <w:szCs w:val="21"/>
              </w:rPr>
              <w:t>0</w:t>
            </w:r>
            <w:r>
              <w:rPr>
                <w:color w:val="000000"/>
                <w:szCs w:val="21"/>
              </w:rPr>
              <w:t>1</w:t>
            </w:r>
          </w:p>
        </w:tc>
        <w:tc>
          <w:tcPr>
            <w:tcW w:w="0" w:type="auto"/>
            <w:noWrap w:val="0"/>
            <w:vAlign w:val="center"/>
          </w:tcPr>
          <w:p w14:paraId="1D02718C">
            <w:pPr>
              <w:jc w:val="center"/>
              <w:rPr>
                <w:rFonts w:eastAsia="楷体_GB2312"/>
              </w:rPr>
            </w:pPr>
            <w:r>
              <w:rPr>
                <w:rFonts w:hint="eastAsia" w:eastAsia="楷体_GB2312"/>
              </w:rPr>
              <w:t>宿州大道</w:t>
            </w:r>
          </w:p>
        </w:tc>
        <w:tc>
          <w:tcPr>
            <w:tcW w:w="0" w:type="auto"/>
            <w:noWrap w:val="0"/>
            <w:vAlign w:val="center"/>
          </w:tcPr>
          <w:p w14:paraId="28A4831A">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4F2BB3F8">
            <w:pPr>
              <w:jc w:val="center"/>
              <w:rPr>
                <w:color w:val="000000"/>
                <w:szCs w:val="21"/>
              </w:rPr>
            </w:pPr>
            <w:r>
              <w:rPr>
                <w:color w:val="000000"/>
                <w:szCs w:val="21"/>
              </w:rPr>
              <w:t>1</w:t>
            </w:r>
          </w:p>
        </w:tc>
        <w:tc>
          <w:tcPr>
            <w:tcW w:w="0" w:type="auto"/>
            <w:noWrap w:val="0"/>
            <w:vAlign w:val="center"/>
          </w:tcPr>
          <w:p w14:paraId="725045C8">
            <w:pPr>
              <w:jc w:val="center"/>
              <w:rPr>
                <w:color w:val="000000"/>
                <w:szCs w:val="21"/>
              </w:rPr>
            </w:pPr>
            <w:r>
              <w:rPr>
                <w:color w:val="000000"/>
                <w:szCs w:val="21"/>
              </w:rPr>
              <w:t>1</w:t>
            </w:r>
          </w:p>
        </w:tc>
        <w:tc>
          <w:tcPr>
            <w:tcW w:w="0" w:type="auto"/>
            <w:noWrap w:val="0"/>
            <w:vAlign w:val="center"/>
          </w:tcPr>
          <w:p w14:paraId="14A23768">
            <w:pPr>
              <w:jc w:val="center"/>
              <w:rPr>
                <w:color w:val="000000"/>
                <w:szCs w:val="21"/>
              </w:rPr>
            </w:pPr>
            <w:r>
              <w:rPr>
                <w:color w:val="000000"/>
                <w:szCs w:val="21"/>
              </w:rPr>
              <w:t>100</w:t>
            </w:r>
          </w:p>
        </w:tc>
        <w:tc>
          <w:tcPr>
            <w:tcW w:w="0" w:type="auto"/>
            <w:noWrap w:val="0"/>
            <w:vAlign w:val="center"/>
          </w:tcPr>
          <w:p w14:paraId="395A944F">
            <w:pPr>
              <w:jc w:val="center"/>
              <w:rPr>
                <w:color w:val="000000"/>
                <w:szCs w:val="21"/>
              </w:rPr>
            </w:pPr>
            <w:r>
              <w:rPr>
                <w:color w:val="000000"/>
                <w:szCs w:val="21"/>
              </w:rPr>
              <w:t>400</w:t>
            </w:r>
          </w:p>
        </w:tc>
      </w:tr>
      <w:tr w14:paraId="35950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26732FE">
            <w:pPr>
              <w:jc w:val="center"/>
              <w:rPr>
                <w:color w:val="000000"/>
                <w:szCs w:val="21"/>
              </w:rPr>
            </w:pPr>
            <w:r>
              <w:rPr>
                <w:rFonts w:hint="eastAsia"/>
                <w:color w:val="000000"/>
                <w:szCs w:val="21"/>
              </w:rPr>
              <w:t>0</w:t>
            </w:r>
            <w:r>
              <w:rPr>
                <w:color w:val="000000"/>
                <w:szCs w:val="21"/>
              </w:rPr>
              <w:t>2</w:t>
            </w:r>
          </w:p>
        </w:tc>
        <w:tc>
          <w:tcPr>
            <w:tcW w:w="0" w:type="auto"/>
            <w:noWrap w:val="0"/>
            <w:vAlign w:val="center"/>
          </w:tcPr>
          <w:p w14:paraId="74342F2D">
            <w:pPr>
              <w:jc w:val="center"/>
              <w:rPr>
                <w:rFonts w:eastAsia="楷体_GB2312"/>
              </w:rPr>
            </w:pPr>
            <w:r>
              <w:rPr>
                <w:rFonts w:hint="eastAsia" w:eastAsia="楷体_GB2312"/>
              </w:rPr>
              <w:t>银河一路</w:t>
            </w:r>
          </w:p>
        </w:tc>
        <w:tc>
          <w:tcPr>
            <w:tcW w:w="0" w:type="auto"/>
            <w:noWrap w:val="0"/>
            <w:vAlign w:val="center"/>
          </w:tcPr>
          <w:p w14:paraId="55CDDA95">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235EF035">
            <w:pPr>
              <w:jc w:val="center"/>
              <w:rPr>
                <w:color w:val="000000"/>
                <w:szCs w:val="21"/>
              </w:rPr>
            </w:pPr>
            <w:r>
              <w:rPr>
                <w:color w:val="000000"/>
                <w:szCs w:val="21"/>
              </w:rPr>
              <w:t>1</w:t>
            </w:r>
          </w:p>
        </w:tc>
        <w:tc>
          <w:tcPr>
            <w:tcW w:w="0" w:type="auto"/>
            <w:noWrap w:val="0"/>
            <w:vAlign w:val="center"/>
          </w:tcPr>
          <w:p w14:paraId="3DB9415C">
            <w:pPr>
              <w:jc w:val="center"/>
              <w:rPr>
                <w:color w:val="000000"/>
                <w:szCs w:val="21"/>
              </w:rPr>
            </w:pPr>
            <w:r>
              <w:rPr>
                <w:color w:val="000000"/>
                <w:szCs w:val="21"/>
              </w:rPr>
              <w:t>1</w:t>
            </w:r>
          </w:p>
        </w:tc>
        <w:tc>
          <w:tcPr>
            <w:tcW w:w="0" w:type="auto"/>
            <w:noWrap w:val="0"/>
            <w:vAlign w:val="center"/>
          </w:tcPr>
          <w:p w14:paraId="353A686D">
            <w:pPr>
              <w:jc w:val="center"/>
              <w:rPr>
                <w:color w:val="000000"/>
                <w:szCs w:val="21"/>
              </w:rPr>
            </w:pPr>
            <w:r>
              <w:rPr>
                <w:color w:val="000000"/>
                <w:szCs w:val="21"/>
              </w:rPr>
              <w:t>100</w:t>
            </w:r>
          </w:p>
        </w:tc>
        <w:tc>
          <w:tcPr>
            <w:tcW w:w="0" w:type="auto"/>
            <w:noWrap w:val="0"/>
            <w:vAlign w:val="center"/>
          </w:tcPr>
          <w:p w14:paraId="2A25E1BA">
            <w:pPr>
              <w:jc w:val="center"/>
              <w:rPr>
                <w:color w:val="000000"/>
                <w:szCs w:val="21"/>
              </w:rPr>
            </w:pPr>
            <w:r>
              <w:rPr>
                <w:color w:val="000000"/>
                <w:szCs w:val="21"/>
              </w:rPr>
              <w:t>400</w:t>
            </w:r>
          </w:p>
        </w:tc>
      </w:tr>
      <w:tr w14:paraId="2CE7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0FEE2B6">
            <w:pPr>
              <w:jc w:val="center"/>
              <w:rPr>
                <w:color w:val="000000"/>
                <w:szCs w:val="21"/>
              </w:rPr>
            </w:pPr>
            <w:r>
              <w:rPr>
                <w:rFonts w:hint="eastAsia"/>
                <w:color w:val="000000"/>
                <w:szCs w:val="21"/>
              </w:rPr>
              <w:t>0</w:t>
            </w:r>
            <w:r>
              <w:rPr>
                <w:color w:val="000000"/>
                <w:szCs w:val="21"/>
              </w:rPr>
              <w:t>3</w:t>
            </w:r>
          </w:p>
        </w:tc>
        <w:tc>
          <w:tcPr>
            <w:tcW w:w="0" w:type="auto"/>
            <w:noWrap w:val="0"/>
            <w:vAlign w:val="center"/>
          </w:tcPr>
          <w:p w14:paraId="1F727C30">
            <w:pPr>
              <w:jc w:val="center"/>
              <w:rPr>
                <w:rFonts w:eastAsia="楷体_GB2312"/>
              </w:rPr>
            </w:pPr>
            <w:r>
              <w:rPr>
                <w:rFonts w:hint="eastAsia" w:eastAsia="楷体_GB2312"/>
              </w:rPr>
              <w:t>汴河东路</w:t>
            </w:r>
          </w:p>
        </w:tc>
        <w:tc>
          <w:tcPr>
            <w:tcW w:w="0" w:type="auto"/>
            <w:noWrap w:val="0"/>
            <w:vAlign w:val="center"/>
          </w:tcPr>
          <w:p w14:paraId="163BBAAF">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6F6051F8">
            <w:pPr>
              <w:jc w:val="center"/>
              <w:rPr>
                <w:color w:val="000000"/>
                <w:szCs w:val="21"/>
              </w:rPr>
            </w:pPr>
            <w:r>
              <w:rPr>
                <w:color w:val="000000"/>
                <w:szCs w:val="21"/>
              </w:rPr>
              <w:t>1</w:t>
            </w:r>
          </w:p>
        </w:tc>
        <w:tc>
          <w:tcPr>
            <w:tcW w:w="0" w:type="auto"/>
            <w:noWrap w:val="0"/>
            <w:vAlign w:val="center"/>
          </w:tcPr>
          <w:p w14:paraId="51C917B3">
            <w:pPr>
              <w:jc w:val="center"/>
              <w:rPr>
                <w:color w:val="000000"/>
                <w:szCs w:val="21"/>
              </w:rPr>
            </w:pPr>
            <w:r>
              <w:rPr>
                <w:color w:val="000000"/>
                <w:szCs w:val="21"/>
              </w:rPr>
              <w:t>1</w:t>
            </w:r>
          </w:p>
        </w:tc>
        <w:tc>
          <w:tcPr>
            <w:tcW w:w="0" w:type="auto"/>
            <w:noWrap w:val="0"/>
            <w:vAlign w:val="center"/>
          </w:tcPr>
          <w:p w14:paraId="3F664E97">
            <w:pPr>
              <w:jc w:val="center"/>
              <w:rPr>
                <w:color w:val="000000"/>
                <w:szCs w:val="21"/>
              </w:rPr>
            </w:pPr>
            <w:r>
              <w:rPr>
                <w:color w:val="000000"/>
                <w:szCs w:val="21"/>
              </w:rPr>
              <w:t>100</w:t>
            </w:r>
          </w:p>
        </w:tc>
        <w:tc>
          <w:tcPr>
            <w:tcW w:w="0" w:type="auto"/>
            <w:noWrap w:val="0"/>
            <w:vAlign w:val="center"/>
          </w:tcPr>
          <w:p w14:paraId="5D3946AA">
            <w:pPr>
              <w:jc w:val="center"/>
              <w:rPr>
                <w:color w:val="000000"/>
                <w:szCs w:val="21"/>
              </w:rPr>
            </w:pPr>
            <w:r>
              <w:rPr>
                <w:color w:val="000000"/>
                <w:szCs w:val="21"/>
              </w:rPr>
              <w:t>400</w:t>
            </w:r>
          </w:p>
        </w:tc>
      </w:tr>
      <w:tr w14:paraId="2D7FB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2944296">
            <w:pPr>
              <w:jc w:val="center"/>
              <w:rPr>
                <w:color w:val="000000"/>
                <w:szCs w:val="21"/>
              </w:rPr>
            </w:pPr>
            <w:r>
              <w:rPr>
                <w:rFonts w:hint="eastAsia"/>
                <w:color w:val="000000"/>
                <w:szCs w:val="21"/>
              </w:rPr>
              <w:t>0</w:t>
            </w:r>
            <w:r>
              <w:rPr>
                <w:color w:val="000000"/>
                <w:szCs w:val="21"/>
              </w:rPr>
              <w:t>4</w:t>
            </w:r>
          </w:p>
        </w:tc>
        <w:tc>
          <w:tcPr>
            <w:tcW w:w="0" w:type="auto"/>
            <w:noWrap w:val="0"/>
            <w:vAlign w:val="center"/>
          </w:tcPr>
          <w:p w14:paraId="7BCF57C0">
            <w:pPr>
              <w:jc w:val="center"/>
              <w:rPr>
                <w:rFonts w:eastAsia="楷体_GB2312"/>
              </w:rPr>
            </w:pPr>
            <w:r>
              <w:rPr>
                <w:rFonts w:hint="eastAsia" w:eastAsia="楷体_GB2312"/>
              </w:rPr>
              <w:t>二徐路</w:t>
            </w:r>
          </w:p>
        </w:tc>
        <w:tc>
          <w:tcPr>
            <w:tcW w:w="0" w:type="auto"/>
            <w:noWrap w:val="0"/>
            <w:vAlign w:val="center"/>
          </w:tcPr>
          <w:p w14:paraId="0A350B53">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37228AD7">
            <w:pPr>
              <w:jc w:val="center"/>
              <w:rPr>
                <w:color w:val="000000"/>
                <w:szCs w:val="21"/>
              </w:rPr>
            </w:pPr>
            <w:r>
              <w:rPr>
                <w:color w:val="000000"/>
                <w:szCs w:val="21"/>
              </w:rPr>
              <w:t>1</w:t>
            </w:r>
          </w:p>
        </w:tc>
        <w:tc>
          <w:tcPr>
            <w:tcW w:w="0" w:type="auto"/>
            <w:noWrap w:val="0"/>
            <w:vAlign w:val="center"/>
          </w:tcPr>
          <w:p w14:paraId="26B8C9EF">
            <w:pPr>
              <w:jc w:val="center"/>
              <w:rPr>
                <w:color w:val="000000"/>
                <w:szCs w:val="21"/>
              </w:rPr>
            </w:pPr>
            <w:r>
              <w:rPr>
                <w:color w:val="000000"/>
                <w:szCs w:val="21"/>
              </w:rPr>
              <w:t>1</w:t>
            </w:r>
          </w:p>
        </w:tc>
        <w:tc>
          <w:tcPr>
            <w:tcW w:w="0" w:type="auto"/>
            <w:noWrap w:val="0"/>
            <w:vAlign w:val="center"/>
          </w:tcPr>
          <w:p w14:paraId="0C222578">
            <w:pPr>
              <w:jc w:val="center"/>
              <w:rPr>
                <w:color w:val="000000"/>
                <w:szCs w:val="21"/>
              </w:rPr>
            </w:pPr>
            <w:r>
              <w:rPr>
                <w:color w:val="000000"/>
                <w:szCs w:val="21"/>
              </w:rPr>
              <w:t>100</w:t>
            </w:r>
          </w:p>
        </w:tc>
        <w:tc>
          <w:tcPr>
            <w:tcW w:w="0" w:type="auto"/>
            <w:noWrap w:val="0"/>
            <w:vAlign w:val="center"/>
          </w:tcPr>
          <w:p w14:paraId="220BE7C4">
            <w:pPr>
              <w:jc w:val="center"/>
              <w:rPr>
                <w:color w:val="000000"/>
                <w:szCs w:val="21"/>
              </w:rPr>
            </w:pPr>
            <w:r>
              <w:rPr>
                <w:color w:val="000000"/>
                <w:szCs w:val="21"/>
              </w:rPr>
              <w:t>400</w:t>
            </w:r>
          </w:p>
        </w:tc>
      </w:tr>
      <w:tr w14:paraId="7921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0459E24">
            <w:pPr>
              <w:jc w:val="center"/>
              <w:rPr>
                <w:color w:val="000000"/>
                <w:szCs w:val="21"/>
              </w:rPr>
            </w:pPr>
            <w:r>
              <w:rPr>
                <w:rFonts w:hint="eastAsia"/>
                <w:color w:val="000000"/>
                <w:szCs w:val="21"/>
              </w:rPr>
              <w:t>0</w:t>
            </w:r>
            <w:r>
              <w:rPr>
                <w:color w:val="000000"/>
                <w:szCs w:val="21"/>
              </w:rPr>
              <w:t>5</w:t>
            </w:r>
          </w:p>
        </w:tc>
        <w:tc>
          <w:tcPr>
            <w:tcW w:w="0" w:type="auto"/>
            <w:noWrap w:val="0"/>
            <w:vAlign w:val="center"/>
          </w:tcPr>
          <w:p w14:paraId="0DFF1A36">
            <w:pPr>
              <w:jc w:val="center"/>
              <w:rPr>
                <w:rFonts w:eastAsia="楷体_GB2312"/>
              </w:rPr>
            </w:pPr>
            <w:r>
              <w:rPr>
                <w:rFonts w:hint="eastAsia" w:eastAsia="楷体_GB2312"/>
              </w:rPr>
              <w:t>东外环路</w:t>
            </w:r>
          </w:p>
        </w:tc>
        <w:tc>
          <w:tcPr>
            <w:tcW w:w="0" w:type="auto"/>
            <w:noWrap w:val="0"/>
            <w:vAlign w:val="center"/>
          </w:tcPr>
          <w:p w14:paraId="301D036A">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1103398D">
            <w:pPr>
              <w:jc w:val="center"/>
              <w:rPr>
                <w:color w:val="000000"/>
                <w:szCs w:val="21"/>
              </w:rPr>
            </w:pPr>
            <w:r>
              <w:rPr>
                <w:color w:val="000000"/>
                <w:szCs w:val="21"/>
              </w:rPr>
              <w:t>1</w:t>
            </w:r>
          </w:p>
        </w:tc>
        <w:tc>
          <w:tcPr>
            <w:tcW w:w="0" w:type="auto"/>
            <w:noWrap w:val="0"/>
            <w:vAlign w:val="center"/>
          </w:tcPr>
          <w:p w14:paraId="1DB3D490">
            <w:pPr>
              <w:jc w:val="center"/>
              <w:rPr>
                <w:color w:val="000000"/>
                <w:szCs w:val="21"/>
              </w:rPr>
            </w:pPr>
            <w:r>
              <w:rPr>
                <w:color w:val="000000"/>
                <w:szCs w:val="21"/>
              </w:rPr>
              <w:t>1</w:t>
            </w:r>
          </w:p>
        </w:tc>
        <w:tc>
          <w:tcPr>
            <w:tcW w:w="0" w:type="auto"/>
            <w:noWrap w:val="0"/>
            <w:vAlign w:val="center"/>
          </w:tcPr>
          <w:p w14:paraId="5DC6C751">
            <w:pPr>
              <w:jc w:val="center"/>
              <w:rPr>
                <w:color w:val="000000"/>
                <w:szCs w:val="21"/>
              </w:rPr>
            </w:pPr>
            <w:r>
              <w:rPr>
                <w:color w:val="000000"/>
                <w:szCs w:val="21"/>
              </w:rPr>
              <w:t>100</w:t>
            </w:r>
          </w:p>
        </w:tc>
        <w:tc>
          <w:tcPr>
            <w:tcW w:w="0" w:type="auto"/>
            <w:noWrap w:val="0"/>
            <w:vAlign w:val="center"/>
          </w:tcPr>
          <w:p w14:paraId="69157695">
            <w:pPr>
              <w:jc w:val="center"/>
              <w:rPr>
                <w:color w:val="000000"/>
                <w:szCs w:val="21"/>
              </w:rPr>
            </w:pPr>
            <w:r>
              <w:rPr>
                <w:color w:val="000000"/>
                <w:szCs w:val="21"/>
              </w:rPr>
              <w:t>400</w:t>
            </w:r>
          </w:p>
        </w:tc>
      </w:tr>
      <w:tr w14:paraId="5C89F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A26F8D3">
            <w:pPr>
              <w:jc w:val="center"/>
              <w:rPr>
                <w:color w:val="000000"/>
                <w:szCs w:val="21"/>
              </w:rPr>
            </w:pPr>
            <w:r>
              <w:rPr>
                <w:rFonts w:hint="eastAsia"/>
                <w:color w:val="000000"/>
                <w:szCs w:val="21"/>
              </w:rPr>
              <w:t>0</w:t>
            </w:r>
            <w:r>
              <w:rPr>
                <w:color w:val="000000"/>
                <w:szCs w:val="21"/>
              </w:rPr>
              <w:t>6</w:t>
            </w:r>
          </w:p>
        </w:tc>
        <w:tc>
          <w:tcPr>
            <w:tcW w:w="0" w:type="auto"/>
            <w:noWrap w:val="0"/>
            <w:vAlign w:val="center"/>
          </w:tcPr>
          <w:p w14:paraId="31DF9B9E">
            <w:pPr>
              <w:jc w:val="center"/>
              <w:rPr>
                <w:rFonts w:eastAsia="楷体_GB2312"/>
              </w:rPr>
            </w:pPr>
            <w:r>
              <w:rPr>
                <w:rFonts w:hint="eastAsia" w:eastAsia="楷体_GB2312"/>
              </w:rPr>
              <w:t>环湖路</w:t>
            </w:r>
          </w:p>
        </w:tc>
        <w:tc>
          <w:tcPr>
            <w:tcW w:w="0" w:type="auto"/>
            <w:noWrap w:val="0"/>
            <w:vAlign w:val="center"/>
          </w:tcPr>
          <w:p w14:paraId="56A3B866">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39E3E25E">
            <w:pPr>
              <w:jc w:val="center"/>
              <w:rPr>
                <w:color w:val="000000"/>
                <w:szCs w:val="21"/>
              </w:rPr>
            </w:pPr>
            <w:r>
              <w:rPr>
                <w:color w:val="000000"/>
                <w:szCs w:val="21"/>
              </w:rPr>
              <w:t>1</w:t>
            </w:r>
          </w:p>
        </w:tc>
        <w:tc>
          <w:tcPr>
            <w:tcW w:w="0" w:type="auto"/>
            <w:noWrap w:val="0"/>
            <w:vAlign w:val="center"/>
          </w:tcPr>
          <w:p w14:paraId="4764133F">
            <w:pPr>
              <w:jc w:val="center"/>
              <w:rPr>
                <w:color w:val="000000"/>
                <w:szCs w:val="21"/>
              </w:rPr>
            </w:pPr>
            <w:r>
              <w:rPr>
                <w:color w:val="000000"/>
                <w:szCs w:val="21"/>
              </w:rPr>
              <w:t>1</w:t>
            </w:r>
          </w:p>
        </w:tc>
        <w:tc>
          <w:tcPr>
            <w:tcW w:w="0" w:type="auto"/>
            <w:noWrap w:val="0"/>
            <w:vAlign w:val="center"/>
          </w:tcPr>
          <w:p w14:paraId="25B5B5D8">
            <w:pPr>
              <w:jc w:val="center"/>
              <w:rPr>
                <w:color w:val="000000"/>
                <w:szCs w:val="21"/>
              </w:rPr>
            </w:pPr>
            <w:r>
              <w:rPr>
                <w:color w:val="000000"/>
                <w:szCs w:val="21"/>
              </w:rPr>
              <w:t>100</w:t>
            </w:r>
          </w:p>
        </w:tc>
        <w:tc>
          <w:tcPr>
            <w:tcW w:w="0" w:type="auto"/>
            <w:noWrap w:val="0"/>
            <w:vAlign w:val="center"/>
          </w:tcPr>
          <w:p w14:paraId="630BD492">
            <w:pPr>
              <w:jc w:val="center"/>
              <w:rPr>
                <w:color w:val="000000"/>
                <w:szCs w:val="21"/>
              </w:rPr>
            </w:pPr>
            <w:r>
              <w:rPr>
                <w:color w:val="000000"/>
                <w:szCs w:val="21"/>
              </w:rPr>
              <w:t>400</w:t>
            </w:r>
          </w:p>
        </w:tc>
      </w:tr>
      <w:tr w14:paraId="64DED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8152DFC">
            <w:pPr>
              <w:jc w:val="center"/>
              <w:rPr>
                <w:color w:val="000000"/>
                <w:szCs w:val="21"/>
              </w:rPr>
            </w:pPr>
            <w:r>
              <w:rPr>
                <w:rFonts w:hint="eastAsia"/>
                <w:color w:val="000000"/>
                <w:szCs w:val="21"/>
              </w:rPr>
              <w:t>0</w:t>
            </w:r>
            <w:r>
              <w:rPr>
                <w:color w:val="000000"/>
                <w:szCs w:val="21"/>
              </w:rPr>
              <w:t>7</w:t>
            </w:r>
          </w:p>
        </w:tc>
        <w:tc>
          <w:tcPr>
            <w:tcW w:w="0" w:type="auto"/>
            <w:noWrap w:val="0"/>
            <w:vAlign w:val="center"/>
          </w:tcPr>
          <w:p w14:paraId="2805BE29">
            <w:pPr>
              <w:jc w:val="center"/>
              <w:rPr>
                <w:rFonts w:eastAsia="楷体_GB2312"/>
              </w:rPr>
            </w:pPr>
            <w:r>
              <w:rPr>
                <w:rFonts w:hint="eastAsia" w:eastAsia="楷体_GB2312"/>
              </w:rPr>
              <w:t>北规一路</w:t>
            </w:r>
          </w:p>
        </w:tc>
        <w:tc>
          <w:tcPr>
            <w:tcW w:w="0" w:type="auto"/>
            <w:noWrap w:val="0"/>
            <w:vAlign w:val="center"/>
          </w:tcPr>
          <w:p w14:paraId="2511444B">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1262DCDD">
            <w:pPr>
              <w:jc w:val="center"/>
              <w:rPr>
                <w:color w:val="000000"/>
                <w:szCs w:val="21"/>
              </w:rPr>
            </w:pPr>
            <w:r>
              <w:rPr>
                <w:color w:val="000000"/>
                <w:szCs w:val="21"/>
              </w:rPr>
              <w:t>0.7</w:t>
            </w:r>
          </w:p>
        </w:tc>
        <w:tc>
          <w:tcPr>
            <w:tcW w:w="0" w:type="auto"/>
            <w:noWrap w:val="0"/>
            <w:vAlign w:val="center"/>
          </w:tcPr>
          <w:p w14:paraId="3849B011">
            <w:pPr>
              <w:jc w:val="center"/>
              <w:rPr>
                <w:color w:val="000000"/>
                <w:szCs w:val="21"/>
              </w:rPr>
            </w:pPr>
            <w:r>
              <w:rPr>
                <w:color w:val="000000"/>
                <w:szCs w:val="21"/>
              </w:rPr>
              <w:t>2</w:t>
            </w:r>
          </w:p>
        </w:tc>
        <w:tc>
          <w:tcPr>
            <w:tcW w:w="0" w:type="auto"/>
            <w:noWrap w:val="0"/>
            <w:vAlign w:val="center"/>
          </w:tcPr>
          <w:p w14:paraId="77344224">
            <w:pPr>
              <w:jc w:val="center"/>
              <w:rPr>
                <w:color w:val="000000"/>
                <w:szCs w:val="21"/>
              </w:rPr>
            </w:pPr>
            <w:r>
              <w:rPr>
                <w:color w:val="000000"/>
                <w:szCs w:val="21"/>
              </w:rPr>
              <w:t>70</w:t>
            </w:r>
          </w:p>
        </w:tc>
        <w:tc>
          <w:tcPr>
            <w:tcW w:w="0" w:type="auto"/>
            <w:noWrap w:val="0"/>
            <w:vAlign w:val="center"/>
          </w:tcPr>
          <w:p w14:paraId="24ECDADF">
            <w:pPr>
              <w:jc w:val="center"/>
              <w:rPr>
                <w:color w:val="000000"/>
                <w:szCs w:val="21"/>
              </w:rPr>
            </w:pPr>
            <w:r>
              <w:rPr>
                <w:color w:val="000000"/>
                <w:szCs w:val="21"/>
              </w:rPr>
              <w:t>300</w:t>
            </w:r>
          </w:p>
        </w:tc>
      </w:tr>
      <w:tr w14:paraId="58922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2369D9B">
            <w:pPr>
              <w:jc w:val="center"/>
              <w:rPr>
                <w:color w:val="000000"/>
                <w:szCs w:val="21"/>
              </w:rPr>
            </w:pPr>
            <w:r>
              <w:rPr>
                <w:rFonts w:hint="eastAsia"/>
                <w:color w:val="000000"/>
                <w:szCs w:val="21"/>
              </w:rPr>
              <w:t>0</w:t>
            </w:r>
            <w:r>
              <w:rPr>
                <w:color w:val="000000"/>
                <w:szCs w:val="21"/>
              </w:rPr>
              <w:t>8</w:t>
            </w:r>
          </w:p>
        </w:tc>
        <w:tc>
          <w:tcPr>
            <w:tcW w:w="0" w:type="auto"/>
            <w:noWrap w:val="0"/>
            <w:vAlign w:val="center"/>
          </w:tcPr>
          <w:p w14:paraId="6EB36938">
            <w:pPr>
              <w:jc w:val="center"/>
              <w:rPr>
                <w:rFonts w:eastAsia="楷体_GB2312"/>
              </w:rPr>
            </w:pPr>
            <w:r>
              <w:rPr>
                <w:rFonts w:hint="eastAsia" w:eastAsia="楷体_GB2312"/>
              </w:rPr>
              <w:t>丁湖路</w:t>
            </w:r>
          </w:p>
        </w:tc>
        <w:tc>
          <w:tcPr>
            <w:tcW w:w="0" w:type="auto"/>
            <w:noWrap w:val="0"/>
            <w:vAlign w:val="center"/>
          </w:tcPr>
          <w:p w14:paraId="289B0C61">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62FC8EBC">
            <w:pPr>
              <w:jc w:val="center"/>
              <w:rPr>
                <w:color w:val="000000"/>
                <w:szCs w:val="21"/>
              </w:rPr>
            </w:pPr>
            <w:r>
              <w:rPr>
                <w:color w:val="000000"/>
                <w:szCs w:val="21"/>
              </w:rPr>
              <w:t>0.7</w:t>
            </w:r>
          </w:p>
        </w:tc>
        <w:tc>
          <w:tcPr>
            <w:tcW w:w="0" w:type="auto"/>
            <w:noWrap w:val="0"/>
            <w:vAlign w:val="center"/>
          </w:tcPr>
          <w:p w14:paraId="3B0CA0D8">
            <w:pPr>
              <w:jc w:val="center"/>
              <w:rPr>
                <w:color w:val="000000"/>
                <w:szCs w:val="21"/>
              </w:rPr>
            </w:pPr>
            <w:r>
              <w:rPr>
                <w:color w:val="000000"/>
                <w:szCs w:val="21"/>
              </w:rPr>
              <w:t>2</w:t>
            </w:r>
          </w:p>
        </w:tc>
        <w:tc>
          <w:tcPr>
            <w:tcW w:w="0" w:type="auto"/>
            <w:noWrap w:val="0"/>
            <w:vAlign w:val="center"/>
          </w:tcPr>
          <w:p w14:paraId="465EDF05">
            <w:pPr>
              <w:jc w:val="center"/>
              <w:rPr>
                <w:color w:val="000000"/>
                <w:szCs w:val="21"/>
              </w:rPr>
            </w:pPr>
            <w:r>
              <w:rPr>
                <w:color w:val="000000"/>
                <w:szCs w:val="21"/>
              </w:rPr>
              <w:t>70</w:t>
            </w:r>
          </w:p>
        </w:tc>
        <w:tc>
          <w:tcPr>
            <w:tcW w:w="0" w:type="auto"/>
            <w:noWrap w:val="0"/>
            <w:vAlign w:val="center"/>
          </w:tcPr>
          <w:p w14:paraId="54E80E8C">
            <w:pPr>
              <w:jc w:val="center"/>
              <w:rPr>
                <w:color w:val="000000"/>
                <w:szCs w:val="21"/>
              </w:rPr>
            </w:pPr>
            <w:r>
              <w:rPr>
                <w:color w:val="000000"/>
                <w:szCs w:val="21"/>
              </w:rPr>
              <w:t>300</w:t>
            </w:r>
          </w:p>
        </w:tc>
      </w:tr>
      <w:tr w14:paraId="7C6B1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3AFD0E7">
            <w:pPr>
              <w:jc w:val="center"/>
              <w:rPr>
                <w:color w:val="000000"/>
                <w:szCs w:val="21"/>
              </w:rPr>
            </w:pPr>
            <w:r>
              <w:rPr>
                <w:rFonts w:hint="eastAsia"/>
                <w:color w:val="000000"/>
                <w:szCs w:val="21"/>
              </w:rPr>
              <w:t>0</w:t>
            </w:r>
            <w:r>
              <w:rPr>
                <w:color w:val="000000"/>
                <w:szCs w:val="21"/>
              </w:rPr>
              <w:t>9</w:t>
            </w:r>
          </w:p>
        </w:tc>
        <w:tc>
          <w:tcPr>
            <w:tcW w:w="0" w:type="auto"/>
            <w:noWrap w:val="0"/>
            <w:vAlign w:val="center"/>
          </w:tcPr>
          <w:p w14:paraId="271EE620">
            <w:pPr>
              <w:jc w:val="center"/>
              <w:rPr>
                <w:rFonts w:eastAsia="楷体_GB2312"/>
              </w:rPr>
            </w:pPr>
            <w:r>
              <w:rPr>
                <w:rFonts w:hint="eastAsia" w:eastAsia="楷体_GB2312"/>
              </w:rPr>
              <w:t>纬三路</w:t>
            </w:r>
          </w:p>
        </w:tc>
        <w:tc>
          <w:tcPr>
            <w:tcW w:w="0" w:type="auto"/>
            <w:noWrap w:val="0"/>
            <w:vAlign w:val="center"/>
          </w:tcPr>
          <w:p w14:paraId="452E04A8">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3D41ACDE">
            <w:pPr>
              <w:jc w:val="center"/>
              <w:rPr>
                <w:color w:val="000000"/>
                <w:szCs w:val="21"/>
              </w:rPr>
            </w:pPr>
            <w:r>
              <w:rPr>
                <w:color w:val="000000"/>
                <w:szCs w:val="21"/>
              </w:rPr>
              <w:t>0.7</w:t>
            </w:r>
          </w:p>
        </w:tc>
        <w:tc>
          <w:tcPr>
            <w:tcW w:w="0" w:type="auto"/>
            <w:noWrap w:val="0"/>
            <w:vAlign w:val="center"/>
          </w:tcPr>
          <w:p w14:paraId="0F44A962">
            <w:pPr>
              <w:jc w:val="center"/>
              <w:rPr>
                <w:color w:val="000000"/>
                <w:szCs w:val="21"/>
              </w:rPr>
            </w:pPr>
            <w:r>
              <w:rPr>
                <w:color w:val="000000"/>
                <w:szCs w:val="21"/>
              </w:rPr>
              <w:t>2</w:t>
            </w:r>
          </w:p>
        </w:tc>
        <w:tc>
          <w:tcPr>
            <w:tcW w:w="0" w:type="auto"/>
            <w:noWrap w:val="0"/>
            <w:vAlign w:val="center"/>
          </w:tcPr>
          <w:p w14:paraId="07297949">
            <w:pPr>
              <w:jc w:val="center"/>
              <w:rPr>
                <w:color w:val="000000"/>
                <w:szCs w:val="21"/>
              </w:rPr>
            </w:pPr>
            <w:r>
              <w:rPr>
                <w:color w:val="000000"/>
                <w:szCs w:val="21"/>
              </w:rPr>
              <w:t>70</w:t>
            </w:r>
          </w:p>
        </w:tc>
        <w:tc>
          <w:tcPr>
            <w:tcW w:w="0" w:type="auto"/>
            <w:noWrap w:val="0"/>
            <w:vAlign w:val="center"/>
          </w:tcPr>
          <w:p w14:paraId="1EC066F1">
            <w:pPr>
              <w:jc w:val="center"/>
              <w:rPr>
                <w:color w:val="000000"/>
                <w:szCs w:val="21"/>
              </w:rPr>
            </w:pPr>
            <w:r>
              <w:rPr>
                <w:color w:val="000000"/>
                <w:szCs w:val="21"/>
              </w:rPr>
              <w:t>300</w:t>
            </w:r>
          </w:p>
        </w:tc>
      </w:tr>
      <w:tr w14:paraId="541A0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5808AB6">
            <w:pPr>
              <w:jc w:val="center"/>
              <w:rPr>
                <w:color w:val="000000"/>
                <w:szCs w:val="21"/>
              </w:rPr>
            </w:pPr>
            <w:r>
              <w:rPr>
                <w:color w:val="000000"/>
                <w:szCs w:val="21"/>
              </w:rPr>
              <w:t>10</w:t>
            </w:r>
          </w:p>
        </w:tc>
        <w:tc>
          <w:tcPr>
            <w:tcW w:w="0" w:type="auto"/>
            <w:noWrap w:val="0"/>
            <w:vAlign w:val="center"/>
          </w:tcPr>
          <w:p w14:paraId="00758BA5">
            <w:pPr>
              <w:jc w:val="center"/>
              <w:rPr>
                <w:rFonts w:eastAsia="楷体_GB2312"/>
              </w:rPr>
            </w:pPr>
            <w:r>
              <w:rPr>
                <w:rFonts w:hint="eastAsia" w:eastAsia="楷体_GB2312"/>
              </w:rPr>
              <w:t>纬四路</w:t>
            </w:r>
          </w:p>
        </w:tc>
        <w:tc>
          <w:tcPr>
            <w:tcW w:w="0" w:type="auto"/>
            <w:noWrap w:val="0"/>
            <w:vAlign w:val="center"/>
          </w:tcPr>
          <w:p w14:paraId="508CE534">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2A514D85">
            <w:pPr>
              <w:jc w:val="center"/>
              <w:rPr>
                <w:color w:val="000000"/>
                <w:szCs w:val="21"/>
              </w:rPr>
            </w:pPr>
            <w:r>
              <w:rPr>
                <w:color w:val="000000"/>
                <w:szCs w:val="21"/>
              </w:rPr>
              <w:t>0.7</w:t>
            </w:r>
          </w:p>
        </w:tc>
        <w:tc>
          <w:tcPr>
            <w:tcW w:w="0" w:type="auto"/>
            <w:noWrap w:val="0"/>
            <w:vAlign w:val="center"/>
          </w:tcPr>
          <w:p w14:paraId="45AC0183">
            <w:pPr>
              <w:jc w:val="center"/>
              <w:rPr>
                <w:color w:val="000000"/>
                <w:szCs w:val="21"/>
              </w:rPr>
            </w:pPr>
            <w:r>
              <w:rPr>
                <w:color w:val="000000"/>
                <w:szCs w:val="21"/>
              </w:rPr>
              <w:t>2</w:t>
            </w:r>
          </w:p>
        </w:tc>
        <w:tc>
          <w:tcPr>
            <w:tcW w:w="0" w:type="auto"/>
            <w:noWrap w:val="0"/>
            <w:vAlign w:val="center"/>
          </w:tcPr>
          <w:p w14:paraId="12D39C90">
            <w:pPr>
              <w:jc w:val="center"/>
              <w:rPr>
                <w:color w:val="000000"/>
                <w:szCs w:val="21"/>
              </w:rPr>
            </w:pPr>
            <w:r>
              <w:rPr>
                <w:color w:val="000000"/>
                <w:szCs w:val="21"/>
              </w:rPr>
              <w:t>70</w:t>
            </w:r>
          </w:p>
        </w:tc>
        <w:tc>
          <w:tcPr>
            <w:tcW w:w="0" w:type="auto"/>
            <w:noWrap w:val="0"/>
            <w:vAlign w:val="center"/>
          </w:tcPr>
          <w:p w14:paraId="15BEF3F5">
            <w:pPr>
              <w:jc w:val="center"/>
              <w:rPr>
                <w:color w:val="000000"/>
                <w:szCs w:val="21"/>
              </w:rPr>
            </w:pPr>
            <w:r>
              <w:rPr>
                <w:color w:val="000000"/>
                <w:szCs w:val="21"/>
              </w:rPr>
              <w:t>300</w:t>
            </w:r>
          </w:p>
        </w:tc>
      </w:tr>
      <w:tr w14:paraId="39DF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89F877B">
            <w:pPr>
              <w:jc w:val="center"/>
              <w:rPr>
                <w:color w:val="000000"/>
                <w:szCs w:val="21"/>
              </w:rPr>
            </w:pPr>
            <w:r>
              <w:rPr>
                <w:color w:val="000000"/>
                <w:szCs w:val="21"/>
              </w:rPr>
              <w:t>11</w:t>
            </w:r>
          </w:p>
        </w:tc>
        <w:tc>
          <w:tcPr>
            <w:tcW w:w="0" w:type="auto"/>
            <w:noWrap w:val="0"/>
            <w:vAlign w:val="center"/>
          </w:tcPr>
          <w:p w14:paraId="392DC87D">
            <w:pPr>
              <w:jc w:val="center"/>
              <w:rPr>
                <w:rFonts w:eastAsia="楷体_GB2312"/>
              </w:rPr>
            </w:pPr>
            <w:r>
              <w:rPr>
                <w:rFonts w:hint="eastAsia" w:eastAsia="楷体_GB2312"/>
              </w:rPr>
              <w:t>纬六路</w:t>
            </w:r>
          </w:p>
        </w:tc>
        <w:tc>
          <w:tcPr>
            <w:tcW w:w="0" w:type="auto"/>
            <w:noWrap w:val="0"/>
            <w:vAlign w:val="center"/>
          </w:tcPr>
          <w:p w14:paraId="38A75C42">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1521335E">
            <w:pPr>
              <w:jc w:val="center"/>
              <w:rPr>
                <w:color w:val="000000"/>
                <w:szCs w:val="21"/>
              </w:rPr>
            </w:pPr>
            <w:r>
              <w:rPr>
                <w:color w:val="000000"/>
                <w:szCs w:val="21"/>
              </w:rPr>
              <w:t>0.7</w:t>
            </w:r>
          </w:p>
        </w:tc>
        <w:tc>
          <w:tcPr>
            <w:tcW w:w="0" w:type="auto"/>
            <w:noWrap w:val="0"/>
            <w:vAlign w:val="center"/>
          </w:tcPr>
          <w:p w14:paraId="0DBF6078">
            <w:pPr>
              <w:jc w:val="center"/>
              <w:rPr>
                <w:color w:val="000000"/>
                <w:szCs w:val="21"/>
              </w:rPr>
            </w:pPr>
            <w:r>
              <w:rPr>
                <w:color w:val="000000"/>
                <w:szCs w:val="21"/>
              </w:rPr>
              <w:t>2</w:t>
            </w:r>
          </w:p>
        </w:tc>
        <w:tc>
          <w:tcPr>
            <w:tcW w:w="0" w:type="auto"/>
            <w:noWrap w:val="0"/>
            <w:vAlign w:val="center"/>
          </w:tcPr>
          <w:p w14:paraId="52691AD5">
            <w:pPr>
              <w:jc w:val="center"/>
              <w:rPr>
                <w:color w:val="000000"/>
                <w:szCs w:val="21"/>
              </w:rPr>
            </w:pPr>
            <w:r>
              <w:rPr>
                <w:color w:val="000000"/>
                <w:szCs w:val="21"/>
              </w:rPr>
              <w:t>70</w:t>
            </w:r>
          </w:p>
        </w:tc>
        <w:tc>
          <w:tcPr>
            <w:tcW w:w="0" w:type="auto"/>
            <w:noWrap w:val="0"/>
            <w:vAlign w:val="center"/>
          </w:tcPr>
          <w:p w14:paraId="5402A7A6">
            <w:pPr>
              <w:jc w:val="center"/>
              <w:rPr>
                <w:color w:val="000000"/>
                <w:szCs w:val="21"/>
              </w:rPr>
            </w:pPr>
            <w:r>
              <w:rPr>
                <w:color w:val="000000"/>
                <w:szCs w:val="21"/>
              </w:rPr>
              <w:t>300</w:t>
            </w:r>
          </w:p>
        </w:tc>
      </w:tr>
      <w:tr w14:paraId="5558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EA986B3">
            <w:pPr>
              <w:jc w:val="center"/>
              <w:rPr>
                <w:color w:val="000000"/>
                <w:szCs w:val="21"/>
              </w:rPr>
            </w:pPr>
            <w:r>
              <w:rPr>
                <w:color w:val="000000"/>
                <w:szCs w:val="21"/>
              </w:rPr>
              <w:t>12</w:t>
            </w:r>
          </w:p>
        </w:tc>
        <w:tc>
          <w:tcPr>
            <w:tcW w:w="0" w:type="auto"/>
            <w:noWrap w:val="0"/>
            <w:vAlign w:val="center"/>
          </w:tcPr>
          <w:p w14:paraId="5E9EA337">
            <w:pPr>
              <w:jc w:val="center"/>
              <w:rPr>
                <w:rFonts w:eastAsia="楷体_GB2312"/>
              </w:rPr>
            </w:pPr>
            <w:r>
              <w:rPr>
                <w:rFonts w:hint="eastAsia" w:eastAsia="楷体_GB2312"/>
              </w:rPr>
              <w:t>横六路</w:t>
            </w:r>
          </w:p>
        </w:tc>
        <w:tc>
          <w:tcPr>
            <w:tcW w:w="0" w:type="auto"/>
            <w:noWrap w:val="0"/>
            <w:vAlign w:val="center"/>
          </w:tcPr>
          <w:p w14:paraId="25471D60">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0B76FE63">
            <w:pPr>
              <w:jc w:val="center"/>
              <w:rPr>
                <w:color w:val="000000"/>
                <w:szCs w:val="21"/>
              </w:rPr>
            </w:pPr>
            <w:r>
              <w:rPr>
                <w:color w:val="000000"/>
                <w:szCs w:val="21"/>
              </w:rPr>
              <w:t>0.7</w:t>
            </w:r>
          </w:p>
        </w:tc>
        <w:tc>
          <w:tcPr>
            <w:tcW w:w="0" w:type="auto"/>
            <w:noWrap w:val="0"/>
            <w:vAlign w:val="center"/>
          </w:tcPr>
          <w:p w14:paraId="1EAF2789">
            <w:pPr>
              <w:jc w:val="center"/>
              <w:rPr>
                <w:color w:val="000000"/>
                <w:szCs w:val="21"/>
              </w:rPr>
            </w:pPr>
            <w:r>
              <w:rPr>
                <w:color w:val="000000"/>
                <w:szCs w:val="21"/>
              </w:rPr>
              <w:t>2</w:t>
            </w:r>
          </w:p>
        </w:tc>
        <w:tc>
          <w:tcPr>
            <w:tcW w:w="0" w:type="auto"/>
            <w:noWrap w:val="0"/>
            <w:vAlign w:val="center"/>
          </w:tcPr>
          <w:p w14:paraId="094C391F">
            <w:pPr>
              <w:jc w:val="center"/>
              <w:rPr>
                <w:color w:val="000000"/>
                <w:szCs w:val="21"/>
              </w:rPr>
            </w:pPr>
            <w:r>
              <w:rPr>
                <w:color w:val="000000"/>
                <w:szCs w:val="21"/>
              </w:rPr>
              <w:t>70</w:t>
            </w:r>
          </w:p>
        </w:tc>
        <w:tc>
          <w:tcPr>
            <w:tcW w:w="0" w:type="auto"/>
            <w:noWrap w:val="0"/>
            <w:vAlign w:val="center"/>
          </w:tcPr>
          <w:p w14:paraId="62ECC894">
            <w:pPr>
              <w:jc w:val="center"/>
              <w:rPr>
                <w:color w:val="000000"/>
                <w:szCs w:val="21"/>
              </w:rPr>
            </w:pPr>
            <w:r>
              <w:rPr>
                <w:color w:val="000000"/>
                <w:szCs w:val="21"/>
              </w:rPr>
              <w:t>300</w:t>
            </w:r>
          </w:p>
        </w:tc>
      </w:tr>
      <w:tr w14:paraId="35121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FE76631">
            <w:pPr>
              <w:jc w:val="center"/>
              <w:rPr>
                <w:color w:val="000000"/>
                <w:szCs w:val="21"/>
              </w:rPr>
            </w:pPr>
            <w:r>
              <w:rPr>
                <w:color w:val="000000"/>
                <w:szCs w:val="21"/>
              </w:rPr>
              <w:t>13</w:t>
            </w:r>
          </w:p>
        </w:tc>
        <w:tc>
          <w:tcPr>
            <w:tcW w:w="0" w:type="auto"/>
            <w:noWrap w:val="0"/>
            <w:vAlign w:val="center"/>
          </w:tcPr>
          <w:p w14:paraId="541C5E81">
            <w:pPr>
              <w:jc w:val="center"/>
              <w:rPr>
                <w:rFonts w:eastAsia="楷体_GB2312"/>
              </w:rPr>
            </w:pPr>
            <w:r>
              <w:rPr>
                <w:rFonts w:hint="eastAsia" w:eastAsia="楷体_GB2312"/>
              </w:rPr>
              <w:t>东规二路</w:t>
            </w:r>
          </w:p>
        </w:tc>
        <w:tc>
          <w:tcPr>
            <w:tcW w:w="0" w:type="auto"/>
            <w:noWrap w:val="0"/>
            <w:vAlign w:val="center"/>
          </w:tcPr>
          <w:p w14:paraId="14F5F297">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7D5EDF2F">
            <w:pPr>
              <w:jc w:val="center"/>
              <w:rPr>
                <w:color w:val="000000"/>
                <w:szCs w:val="21"/>
              </w:rPr>
            </w:pPr>
            <w:r>
              <w:rPr>
                <w:color w:val="000000"/>
                <w:szCs w:val="21"/>
              </w:rPr>
              <w:t>0.7</w:t>
            </w:r>
          </w:p>
        </w:tc>
        <w:tc>
          <w:tcPr>
            <w:tcW w:w="0" w:type="auto"/>
            <w:noWrap w:val="0"/>
            <w:vAlign w:val="center"/>
          </w:tcPr>
          <w:p w14:paraId="2BA0625D">
            <w:pPr>
              <w:jc w:val="center"/>
              <w:rPr>
                <w:color w:val="000000"/>
                <w:szCs w:val="21"/>
              </w:rPr>
            </w:pPr>
            <w:r>
              <w:rPr>
                <w:color w:val="000000"/>
                <w:szCs w:val="21"/>
              </w:rPr>
              <w:t>2</w:t>
            </w:r>
          </w:p>
        </w:tc>
        <w:tc>
          <w:tcPr>
            <w:tcW w:w="0" w:type="auto"/>
            <w:noWrap w:val="0"/>
            <w:vAlign w:val="center"/>
          </w:tcPr>
          <w:p w14:paraId="42D3392E">
            <w:pPr>
              <w:jc w:val="center"/>
              <w:rPr>
                <w:color w:val="000000"/>
                <w:szCs w:val="21"/>
              </w:rPr>
            </w:pPr>
            <w:r>
              <w:rPr>
                <w:color w:val="000000"/>
                <w:szCs w:val="21"/>
              </w:rPr>
              <w:t>70</w:t>
            </w:r>
          </w:p>
        </w:tc>
        <w:tc>
          <w:tcPr>
            <w:tcW w:w="0" w:type="auto"/>
            <w:noWrap w:val="0"/>
            <w:vAlign w:val="center"/>
          </w:tcPr>
          <w:p w14:paraId="34FFEE4C">
            <w:pPr>
              <w:jc w:val="center"/>
              <w:rPr>
                <w:color w:val="000000"/>
                <w:szCs w:val="21"/>
              </w:rPr>
            </w:pPr>
            <w:r>
              <w:rPr>
                <w:color w:val="000000"/>
                <w:szCs w:val="21"/>
              </w:rPr>
              <w:t>300</w:t>
            </w:r>
          </w:p>
        </w:tc>
      </w:tr>
      <w:tr w14:paraId="18AA6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0BDD3BD">
            <w:pPr>
              <w:jc w:val="center"/>
              <w:rPr>
                <w:color w:val="000000"/>
                <w:szCs w:val="21"/>
              </w:rPr>
            </w:pPr>
            <w:r>
              <w:rPr>
                <w:color w:val="000000"/>
                <w:szCs w:val="21"/>
              </w:rPr>
              <w:t>14</w:t>
            </w:r>
          </w:p>
        </w:tc>
        <w:tc>
          <w:tcPr>
            <w:tcW w:w="0" w:type="auto"/>
            <w:noWrap w:val="0"/>
            <w:vAlign w:val="center"/>
          </w:tcPr>
          <w:p w14:paraId="722C6FDC">
            <w:pPr>
              <w:jc w:val="center"/>
              <w:rPr>
                <w:rFonts w:eastAsia="楷体_GB2312"/>
              </w:rPr>
            </w:pPr>
            <w:r>
              <w:rPr>
                <w:rFonts w:hint="eastAsia" w:eastAsia="楷体_GB2312"/>
              </w:rPr>
              <w:t>纵十路</w:t>
            </w:r>
          </w:p>
        </w:tc>
        <w:tc>
          <w:tcPr>
            <w:tcW w:w="0" w:type="auto"/>
            <w:noWrap w:val="0"/>
            <w:vAlign w:val="center"/>
          </w:tcPr>
          <w:p w14:paraId="7D33279C">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70D4FEA3">
            <w:pPr>
              <w:jc w:val="center"/>
              <w:rPr>
                <w:color w:val="000000"/>
                <w:szCs w:val="21"/>
              </w:rPr>
            </w:pPr>
            <w:r>
              <w:rPr>
                <w:color w:val="000000"/>
                <w:szCs w:val="21"/>
              </w:rPr>
              <w:t>0.7</w:t>
            </w:r>
          </w:p>
        </w:tc>
        <w:tc>
          <w:tcPr>
            <w:tcW w:w="0" w:type="auto"/>
            <w:noWrap w:val="0"/>
            <w:vAlign w:val="center"/>
          </w:tcPr>
          <w:p w14:paraId="5B5F0F3A">
            <w:pPr>
              <w:jc w:val="center"/>
              <w:rPr>
                <w:color w:val="000000"/>
                <w:szCs w:val="21"/>
              </w:rPr>
            </w:pPr>
            <w:r>
              <w:rPr>
                <w:color w:val="000000"/>
                <w:szCs w:val="21"/>
              </w:rPr>
              <w:t>2</w:t>
            </w:r>
          </w:p>
        </w:tc>
        <w:tc>
          <w:tcPr>
            <w:tcW w:w="0" w:type="auto"/>
            <w:noWrap w:val="0"/>
            <w:vAlign w:val="center"/>
          </w:tcPr>
          <w:p w14:paraId="56C0F9D0">
            <w:pPr>
              <w:jc w:val="center"/>
              <w:rPr>
                <w:color w:val="000000"/>
                <w:szCs w:val="21"/>
              </w:rPr>
            </w:pPr>
            <w:r>
              <w:rPr>
                <w:color w:val="000000"/>
                <w:szCs w:val="21"/>
              </w:rPr>
              <w:t>70</w:t>
            </w:r>
          </w:p>
        </w:tc>
        <w:tc>
          <w:tcPr>
            <w:tcW w:w="0" w:type="auto"/>
            <w:noWrap w:val="0"/>
            <w:vAlign w:val="center"/>
          </w:tcPr>
          <w:p w14:paraId="0A3E357C">
            <w:pPr>
              <w:jc w:val="center"/>
              <w:rPr>
                <w:color w:val="000000"/>
                <w:szCs w:val="21"/>
              </w:rPr>
            </w:pPr>
            <w:r>
              <w:rPr>
                <w:color w:val="000000"/>
                <w:szCs w:val="21"/>
              </w:rPr>
              <w:t>300</w:t>
            </w:r>
          </w:p>
        </w:tc>
      </w:tr>
      <w:tr w14:paraId="4897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7990C08">
            <w:pPr>
              <w:jc w:val="center"/>
              <w:rPr>
                <w:color w:val="000000"/>
                <w:szCs w:val="21"/>
              </w:rPr>
            </w:pPr>
            <w:r>
              <w:rPr>
                <w:color w:val="000000"/>
                <w:szCs w:val="21"/>
              </w:rPr>
              <w:t>15</w:t>
            </w:r>
          </w:p>
        </w:tc>
        <w:tc>
          <w:tcPr>
            <w:tcW w:w="0" w:type="auto"/>
            <w:noWrap w:val="0"/>
            <w:vAlign w:val="center"/>
          </w:tcPr>
          <w:p w14:paraId="3A4FA1B8">
            <w:pPr>
              <w:jc w:val="center"/>
              <w:rPr>
                <w:rFonts w:eastAsia="楷体_GB2312"/>
              </w:rPr>
            </w:pPr>
            <w:r>
              <w:rPr>
                <w:rFonts w:hint="eastAsia" w:eastAsia="楷体_GB2312"/>
              </w:rPr>
              <w:t>滨湖一路</w:t>
            </w:r>
          </w:p>
        </w:tc>
        <w:tc>
          <w:tcPr>
            <w:tcW w:w="0" w:type="auto"/>
            <w:noWrap w:val="0"/>
            <w:vAlign w:val="center"/>
          </w:tcPr>
          <w:p w14:paraId="060AD3E8">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43BA4B94">
            <w:pPr>
              <w:jc w:val="center"/>
              <w:rPr>
                <w:color w:val="000000"/>
                <w:szCs w:val="21"/>
              </w:rPr>
            </w:pPr>
            <w:r>
              <w:rPr>
                <w:color w:val="000000"/>
                <w:szCs w:val="21"/>
              </w:rPr>
              <w:t>0.7</w:t>
            </w:r>
          </w:p>
        </w:tc>
        <w:tc>
          <w:tcPr>
            <w:tcW w:w="0" w:type="auto"/>
            <w:noWrap w:val="0"/>
            <w:vAlign w:val="center"/>
          </w:tcPr>
          <w:p w14:paraId="7AB2448E">
            <w:pPr>
              <w:jc w:val="center"/>
              <w:rPr>
                <w:color w:val="000000"/>
                <w:szCs w:val="21"/>
              </w:rPr>
            </w:pPr>
            <w:r>
              <w:rPr>
                <w:color w:val="000000"/>
                <w:szCs w:val="21"/>
              </w:rPr>
              <w:t>2</w:t>
            </w:r>
          </w:p>
        </w:tc>
        <w:tc>
          <w:tcPr>
            <w:tcW w:w="0" w:type="auto"/>
            <w:noWrap w:val="0"/>
            <w:vAlign w:val="center"/>
          </w:tcPr>
          <w:p w14:paraId="324B0095">
            <w:pPr>
              <w:jc w:val="center"/>
              <w:rPr>
                <w:color w:val="000000"/>
                <w:szCs w:val="21"/>
              </w:rPr>
            </w:pPr>
            <w:r>
              <w:rPr>
                <w:color w:val="000000"/>
                <w:szCs w:val="21"/>
              </w:rPr>
              <w:t>70</w:t>
            </w:r>
          </w:p>
        </w:tc>
        <w:tc>
          <w:tcPr>
            <w:tcW w:w="0" w:type="auto"/>
            <w:noWrap w:val="0"/>
            <w:vAlign w:val="center"/>
          </w:tcPr>
          <w:p w14:paraId="2BB34AE4">
            <w:pPr>
              <w:jc w:val="center"/>
              <w:rPr>
                <w:color w:val="000000"/>
                <w:szCs w:val="21"/>
              </w:rPr>
            </w:pPr>
            <w:r>
              <w:rPr>
                <w:color w:val="000000"/>
                <w:szCs w:val="21"/>
              </w:rPr>
              <w:t>300</w:t>
            </w:r>
          </w:p>
        </w:tc>
      </w:tr>
      <w:tr w14:paraId="41704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1F3C3DA">
            <w:pPr>
              <w:jc w:val="center"/>
              <w:rPr>
                <w:color w:val="000000"/>
                <w:szCs w:val="21"/>
              </w:rPr>
            </w:pPr>
            <w:r>
              <w:rPr>
                <w:color w:val="000000"/>
                <w:szCs w:val="21"/>
              </w:rPr>
              <w:t>16</w:t>
            </w:r>
          </w:p>
        </w:tc>
        <w:tc>
          <w:tcPr>
            <w:tcW w:w="0" w:type="auto"/>
            <w:noWrap w:val="0"/>
            <w:vAlign w:val="center"/>
          </w:tcPr>
          <w:p w14:paraId="04403E40">
            <w:pPr>
              <w:jc w:val="center"/>
              <w:rPr>
                <w:rFonts w:eastAsia="楷体_GB2312"/>
              </w:rPr>
            </w:pPr>
            <w:r>
              <w:rPr>
                <w:rFonts w:hint="eastAsia" w:eastAsia="楷体_GB2312"/>
              </w:rPr>
              <w:t>和顺路</w:t>
            </w:r>
          </w:p>
        </w:tc>
        <w:tc>
          <w:tcPr>
            <w:tcW w:w="0" w:type="auto"/>
            <w:noWrap w:val="0"/>
            <w:vAlign w:val="center"/>
          </w:tcPr>
          <w:p w14:paraId="2FFD6F56">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60C8CCDE">
            <w:pPr>
              <w:jc w:val="center"/>
              <w:rPr>
                <w:color w:val="000000"/>
                <w:szCs w:val="21"/>
              </w:rPr>
            </w:pPr>
            <w:r>
              <w:rPr>
                <w:color w:val="000000"/>
                <w:szCs w:val="21"/>
              </w:rPr>
              <w:t>0.4</w:t>
            </w:r>
          </w:p>
        </w:tc>
        <w:tc>
          <w:tcPr>
            <w:tcW w:w="0" w:type="auto"/>
            <w:noWrap w:val="0"/>
            <w:vAlign w:val="center"/>
          </w:tcPr>
          <w:p w14:paraId="74457AC5">
            <w:pPr>
              <w:jc w:val="center"/>
              <w:rPr>
                <w:color w:val="000000"/>
                <w:szCs w:val="21"/>
              </w:rPr>
            </w:pPr>
            <w:r>
              <w:rPr>
                <w:color w:val="000000"/>
                <w:szCs w:val="21"/>
              </w:rPr>
              <w:t>3</w:t>
            </w:r>
          </w:p>
        </w:tc>
        <w:tc>
          <w:tcPr>
            <w:tcW w:w="0" w:type="auto"/>
            <w:noWrap w:val="0"/>
            <w:vAlign w:val="center"/>
          </w:tcPr>
          <w:p w14:paraId="7E915F10">
            <w:pPr>
              <w:jc w:val="center"/>
              <w:rPr>
                <w:color w:val="000000"/>
                <w:szCs w:val="21"/>
              </w:rPr>
            </w:pPr>
            <w:r>
              <w:rPr>
                <w:color w:val="000000"/>
                <w:szCs w:val="21"/>
              </w:rPr>
              <w:t>40</w:t>
            </w:r>
          </w:p>
        </w:tc>
        <w:tc>
          <w:tcPr>
            <w:tcW w:w="0" w:type="auto"/>
            <w:noWrap w:val="0"/>
            <w:vAlign w:val="center"/>
          </w:tcPr>
          <w:p w14:paraId="70D2192D">
            <w:pPr>
              <w:jc w:val="center"/>
              <w:rPr>
                <w:color w:val="000000"/>
                <w:szCs w:val="21"/>
              </w:rPr>
            </w:pPr>
            <w:r>
              <w:rPr>
                <w:color w:val="000000"/>
                <w:szCs w:val="21"/>
              </w:rPr>
              <w:t>220</w:t>
            </w:r>
          </w:p>
        </w:tc>
      </w:tr>
      <w:tr w14:paraId="1EB5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4558BED">
            <w:pPr>
              <w:jc w:val="center"/>
              <w:rPr>
                <w:color w:val="000000"/>
                <w:szCs w:val="21"/>
              </w:rPr>
            </w:pPr>
            <w:r>
              <w:rPr>
                <w:color w:val="000000"/>
                <w:szCs w:val="21"/>
              </w:rPr>
              <w:t>17</w:t>
            </w:r>
          </w:p>
        </w:tc>
        <w:tc>
          <w:tcPr>
            <w:tcW w:w="0" w:type="auto"/>
            <w:noWrap w:val="0"/>
            <w:vAlign w:val="center"/>
          </w:tcPr>
          <w:p w14:paraId="41335D65">
            <w:pPr>
              <w:jc w:val="center"/>
              <w:rPr>
                <w:rFonts w:eastAsia="楷体_GB2312"/>
              </w:rPr>
            </w:pPr>
            <w:r>
              <w:rPr>
                <w:rFonts w:hint="eastAsia" w:eastAsia="楷体_GB2312"/>
              </w:rPr>
              <w:t>纬五路</w:t>
            </w:r>
          </w:p>
        </w:tc>
        <w:tc>
          <w:tcPr>
            <w:tcW w:w="0" w:type="auto"/>
            <w:noWrap w:val="0"/>
            <w:vAlign w:val="center"/>
          </w:tcPr>
          <w:p w14:paraId="0902AEAE">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256A55DE">
            <w:pPr>
              <w:jc w:val="center"/>
              <w:rPr>
                <w:color w:val="000000"/>
                <w:szCs w:val="21"/>
              </w:rPr>
            </w:pPr>
            <w:r>
              <w:rPr>
                <w:color w:val="000000"/>
                <w:szCs w:val="21"/>
              </w:rPr>
              <w:t>0.4</w:t>
            </w:r>
          </w:p>
        </w:tc>
        <w:tc>
          <w:tcPr>
            <w:tcW w:w="0" w:type="auto"/>
            <w:noWrap w:val="0"/>
            <w:vAlign w:val="center"/>
          </w:tcPr>
          <w:p w14:paraId="223EB738">
            <w:pPr>
              <w:jc w:val="center"/>
              <w:rPr>
                <w:color w:val="000000"/>
                <w:szCs w:val="21"/>
              </w:rPr>
            </w:pPr>
            <w:r>
              <w:rPr>
                <w:color w:val="000000"/>
                <w:szCs w:val="21"/>
              </w:rPr>
              <w:t>3</w:t>
            </w:r>
          </w:p>
        </w:tc>
        <w:tc>
          <w:tcPr>
            <w:tcW w:w="0" w:type="auto"/>
            <w:noWrap w:val="0"/>
            <w:vAlign w:val="center"/>
          </w:tcPr>
          <w:p w14:paraId="3DACD3D4">
            <w:pPr>
              <w:jc w:val="center"/>
              <w:rPr>
                <w:color w:val="000000"/>
                <w:szCs w:val="21"/>
              </w:rPr>
            </w:pPr>
            <w:r>
              <w:rPr>
                <w:color w:val="000000"/>
                <w:szCs w:val="21"/>
              </w:rPr>
              <w:t>40</w:t>
            </w:r>
          </w:p>
        </w:tc>
        <w:tc>
          <w:tcPr>
            <w:tcW w:w="0" w:type="auto"/>
            <w:noWrap w:val="0"/>
            <w:vAlign w:val="center"/>
          </w:tcPr>
          <w:p w14:paraId="38A58CA0">
            <w:pPr>
              <w:jc w:val="center"/>
              <w:rPr>
                <w:color w:val="000000"/>
                <w:szCs w:val="21"/>
              </w:rPr>
            </w:pPr>
            <w:r>
              <w:rPr>
                <w:color w:val="000000"/>
                <w:szCs w:val="21"/>
              </w:rPr>
              <w:t>220</w:t>
            </w:r>
          </w:p>
        </w:tc>
      </w:tr>
      <w:tr w14:paraId="188C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54AA193">
            <w:pPr>
              <w:jc w:val="center"/>
              <w:rPr>
                <w:color w:val="000000"/>
                <w:szCs w:val="21"/>
              </w:rPr>
            </w:pPr>
            <w:r>
              <w:rPr>
                <w:color w:val="000000"/>
                <w:szCs w:val="21"/>
              </w:rPr>
              <w:t>18</w:t>
            </w:r>
          </w:p>
        </w:tc>
        <w:tc>
          <w:tcPr>
            <w:tcW w:w="0" w:type="auto"/>
            <w:noWrap w:val="0"/>
            <w:vAlign w:val="center"/>
          </w:tcPr>
          <w:p w14:paraId="34D18D92">
            <w:pPr>
              <w:jc w:val="center"/>
              <w:rPr>
                <w:rFonts w:eastAsia="楷体_GB2312"/>
              </w:rPr>
            </w:pPr>
            <w:r>
              <w:rPr>
                <w:rFonts w:hint="eastAsia" w:eastAsia="楷体_GB2312"/>
              </w:rPr>
              <w:t>连湖路</w:t>
            </w:r>
          </w:p>
        </w:tc>
        <w:tc>
          <w:tcPr>
            <w:tcW w:w="0" w:type="auto"/>
            <w:noWrap w:val="0"/>
            <w:vAlign w:val="center"/>
          </w:tcPr>
          <w:p w14:paraId="7B40012B">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168B62C">
            <w:pPr>
              <w:jc w:val="center"/>
              <w:rPr>
                <w:color w:val="000000"/>
                <w:szCs w:val="21"/>
              </w:rPr>
            </w:pPr>
            <w:r>
              <w:rPr>
                <w:color w:val="000000"/>
                <w:szCs w:val="21"/>
              </w:rPr>
              <w:t>0.4</w:t>
            </w:r>
          </w:p>
        </w:tc>
        <w:tc>
          <w:tcPr>
            <w:tcW w:w="0" w:type="auto"/>
            <w:noWrap w:val="0"/>
            <w:vAlign w:val="center"/>
          </w:tcPr>
          <w:p w14:paraId="1155A6D2">
            <w:pPr>
              <w:jc w:val="center"/>
              <w:rPr>
                <w:color w:val="000000"/>
                <w:szCs w:val="21"/>
              </w:rPr>
            </w:pPr>
            <w:r>
              <w:rPr>
                <w:color w:val="000000"/>
                <w:szCs w:val="21"/>
              </w:rPr>
              <w:t>3</w:t>
            </w:r>
          </w:p>
        </w:tc>
        <w:tc>
          <w:tcPr>
            <w:tcW w:w="0" w:type="auto"/>
            <w:noWrap w:val="0"/>
            <w:vAlign w:val="center"/>
          </w:tcPr>
          <w:p w14:paraId="50BA2930">
            <w:pPr>
              <w:jc w:val="center"/>
              <w:rPr>
                <w:color w:val="000000"/>
                <w:szCs w:val="21"/>
              </w:rPr>
            </w:pPr>
            <w:r>
              <w:rPr>
                <w:color w:val="000000"/>
                <w:szCs w:val="21"/>
              </w:rPr>
              <w:t>40</w:t>
            </w:r>
          </w:p>
        </w:tc>
        <w:tc>
          <w:tcPr>
            <w:tcW w:w="0" w:type="auto"/>
            <w:noWrap w:val="0"/>
            <w:vAlign w:val="center"/>
          </w:tcPr>
          <w:p w14:paraId="51FD19C9">
            <w:pPr>
              <w:jc w:val="center"/>
              <w:rPr>
                <w:color w:val="000000"/>
                <w:szCs w:val="21"/>
              </w:rPr>
            </w:pPr>
            <w:r>
              <w:rPr>
                <w:color w:val="000000"/>
                <w:szCs w:val="21"/>
              </w:rPr>
              <w:t>220</w:t>
            </w:r>
          </w:p>
        </w:tc>
      </w:tr>
      <w:tr w14:paraId="1A536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4A3F337">
            <w:pPr>
              <w:jc w:val="center"/>
              <w:rPr>
                <w:color w:val="000000"/>
                <w:szCs w:val="21"/>
              </w:rPr>
            </w:pPr>
            <w:r>
              <w:rPr>
                <w:color w:val="000000"/>
                <w:szCs w:val="21"/>
              </w:rPr>
              <w:t>19</w:t>
            </w:r>
          </w:p>
        </w:tc>
        <w:tc>
          <w:tcPr>
            <w:tcW w:w="0" w:type="auto"/>
            <w:noWrap w:val="0"/>
            <w:vAlign w:val="center"/>
          </w:tcPr>
          <w:p w14:paraId="68F7B442">
            <w:pPr>
              <w:jc w:val="center"/>
              <w:rPr>
                <w:rFonts w:eastAsia="楷体_GB2312"/>
              </w:rPr>
            </w:pPr>
            <w:r>
              <w:rPr>
                <w:rFonts w:hint="eastAsia" w:eastAsia="楷体_GB2312"/>
              </w:rPr>
              <w:t>望湖路</w:t>
            </w:r>
          </w:p>
        </w:tc>
        <w:tc>
          <w:tcPr>
            <w:tcW w:w="0" w:type="auto"/>
            <w:noWrap w:val="0"/>
            <w:vAlign w:val="center"/>
          </w:tcPr>
          <w:p w14:paraId="6854F442">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03D17400">
            <w:pPr>
              <w:jc w:val="center"/>
              <w:rPr>
                <w:color w:val="000000"/>
                <w:szCs w:val="21"/>
              </w:rPr>
            </w:pPr>
            <w:r>
              <w:rPr>
                <w:color w:val="000000"/>
                <w:szCs w:val="21"/>
              </w:rPr>
              <w:t>0.4</w:t>
            </w:r>
          </w:p>
        </w:tc>
        <w:tc>
          <w:tcPr>
            <w:tcW w:w="0" w:type="auto"/>
            <w:noWrap w:val="0"/>
            <w:vAlign w:val="center"/>
          </w:tcPr>
          <w:p w14:paraId="1DC74BA2">
            <w:pPr>
              <w:jc w:val="center"/>
              <w:rPr>
                <w:color w:val="000000"/>
                <w:szCs w:val="21"/>
              </w:rPr>
            </w:pPr>
            <w:r>
              <w:rPr>
                <w:color w:val="000000"/>
                <w:szCs w:val="21"/>
              </w:rPr>
              <w:t>3</w:t>
            </w:r>
          </w:p>
        </w:tc>
        <w:tc>
          <w:tcPr>
            <w:tcW w:w="0" w:type="auto"/>
            <w:noWrap w:val="0"/>
            <w:vAlign w:val="center"/>
          </w:tcPr>
          <w:p w14:paraId="01D888D0">
            <w:pPr>
              <w:jc w:val="center"/>
              <w:rPr>
                <w:color w:val="000000"/>
                <w:szCs w:val="21"/>
              </w:rPr>
            </w:pPr>
            <w:r>
              <w:rPr>
                <w:color w:val="000000"/>
                <w:szCs w:val="21"/>
              </w:rPr>
              <w:t>40</w:t>
            </w:r>
          </w:p>
        </w:tc>
        <w:tc>
          <w:tcPr>
            <w:tcW w:w="0" w:type="auto"/>
            <w:noWrap w:val="0"/>
            <w:vAlign w:val="center"/>
          </w:tcPr>
          <w:p w14:paraId="46130782">
            <w:pPr>
              <w:jc w:val="center"/>
              <w:rPr>
                <w:color w:val="000000"/>
                <w:szCs w:val="21"/>
              </w:rPr>
            </w:pPr>
            <w:r>
              <w:rPr>
                <w:color w:val="000000"/>
                <w:szCs w:val="21"/>
              </w:rPr>
              <w:t>220</w:t>
            </w:r>
          </w:p>
        </w:tc>
      </w:tr>
      <w:tr w14:paraId="7EC6C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E5578D4">
            <w:pPr>
              <w:jc w:val="center"/>
              <w:rPr>
                <w:color w:val="000000"/>
                <w:szCs w:val="21"/>
              </w:rPr>
            </w:pPr>
            <w:r>
              <w:rPr>
                <w:color w:val="000000"/>
                <w:szCs w:val="21"/>
              </w:rPr>
              <w:t>20</w:t>
            </w:r>
          </w:p>
        </w:tc>
        <w:tc>
          <w:tcPr>
            <w:tcW w:w="0" w:type="auto"/>
            <w:noWrap w:val="0"/>
            <w:vAlign w:val="center"/>
          </w:tcPr>
          <w:p w14:paraId="1B52759E">
            <w:pPr>
              <w:jc w:val="center"/>
              <w:rPr>
                <w:rFonts w:eastAsia="楷体_GB2312"/>
              </w:rPr>
            </w:pPr>
            <w:r>
              <w:rPr>
                <w:rFonts w:hint="eastAsia" w:eastAsia="楷体_GB2312"/>
              </w:rPr>
              <w:t>临湖路</w:t>
            </w:r>
          </w:p>
        </w:tc>
        <w:tc>
          <w:tcPr>
            <w:tcW w:w="0" w:type="auto"/>
            <w:noWrap w:val="0"/>
            <w:vAlign w:val="center"/>
          </w:tcPr>
          <w:p w14:paraId="3B9AEE16">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5B39BBC7">
            <w:pPr>
              <w:jc w:val="center"/>
              <w:rPr>
                <w:color w:val="000000"/>
                <w:szCs w:val="21"/>
              </w:rPr>
            </w:pPr>
            <w:r>
              <w:rPr>
                <w:color w:val="000000"/>
                <w:szCs w:val="21"/>
              </w:rPr>
              <w:t>0.4</w:t>
            </w:r>
          </w:p>
        </w:tc>
        <w:tc>
          <w:tcPr>
            <w:tcW w:w="0" w:type="auto"/>
            <w:noWrap w:val="0"/>
            <w:vAlign w:val="center"/>
          </w:tcPr>
          <w:p w14:paraId="7EC0F22C">
            <w:pPr>
              <w:jc w:val="center"/>
              <w:rPr>
                <w:color w:val="000000"/>
                <w:szCs w:val="21"/>
              </w:rPr>
            </w:pPr>
            <w:r>
              <w:rPr>
                <w:color w:val="000000"/>
                <w:szCs w:val="21"/>
              </w:rPr>
              <w:t>3</w:t>
            </w:r>
          </w:p>
        </w:tc>
        <w:tc>
          <w:tcPr>
            <w:tcW w:w="0" w:type="auto"/>
            <w:noWrap w:val="0"/>
            <w:vAlign w:val="center"/>
          </w:tcPr>
          <w:p w14:paraId="7389A6FA">
            <w:pPr>
              <w:jc w:val="center"/>
              <w:rPr>
                <w:color w:val="000000"/>
                <w:szCs w:val="21"/>
              </w:rPr>
            </w:pPr>
            <w:r>
              <w:rPr>
                <w:color w:val="000000"/>
                <w:szCs w:val="21"/>
              </w:rPr>
              <w:t>40</w:t>
            </w:r>
          </w:p>
        </w:tc>
        <w:tc>
          <w:tcPr>
            <w:tcW w:w="0" w:type="auto"/>
            <w:noWrap w:val="0"/>
            <w:vAlign w:val="center"/>
          </w:tcPr>
          <w:p w14:paraId="03894078">
            <w:pPr>
              <w:jc w:val="center"/>
              <w:rPr>
                <w:color w:val="000000"/>
                <w:szCs w:val="21"/>
              </w:rPr>
            </w:pPr>
            <w:r>
              <w:rPr>
                <w:color w:val="000000"/>
                <w:szCs w:val="21"/>
              </w:rPr>
              <w:t>220</w:t>
            </w:r>
          </w:p>
        </w:tc>
      </w:tr>
      <w:tr w14:paraId="3FE1F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756B8B1">
            <w:pPr>
              <w:jc w:val="center"/>
              <w:rPr>
                <w:color w:val="000000"/>
                <w:szCs w:val="21"/>
              </w:rPr>
            </w:pPr>
            <w:r>
              <w:rPr>
                <w:color w:val="000000"/>
                <w:szCs w:val="21"/>
              </w:rPr>
              <w:t>21</w:t>
            </w:r>
          </w:p>
        </w:tc>
        <w:tc>
          <w:tcPr>
            <w:tcW w:w="0" w:type="auto"/>
            <w:noWrap w:val="0"/>
            <w:vAlign w:val="center"/>
          </w:tcPr>
          <w:p w14:paraId="5AE6F464">
            <w:pPr>
              <w:jc w:val="center"/>
              <w:rPr>
                <w:rFonts w:eastAsia="楷体_GB2312"/>
              </w:rPr>
            </w:pPr>
            <w:r>
              <w:rPr>
                <w:rFonts w:hint="eastAsia" w:eastAsia="楷体_GB2312"/>
              </w:rPr>
              <w:t>横十路</w:t>
            </w:r>
          </w:p>
        </w:tc>
        <w:tc>
          <w:tcPr>
            <w:tcW w:w="0" w:type="auto"/>
            <w:noWrap w:val="0"/>
            <w:vAlign w:val="center"/>
          </w:tcPr>
          <w:p w14:paraId="2F51679F">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026D8FA">
            <w:pPr>
              <w:jc w:val="center"/>
              <w:rPr>
                <w:color w:val="000000"/>
                <w:szCs w:val="21"/>
              </w:rPr>
            </w:pPr>
            <w:r>
              <w:rPr>
                <w:color w:val="000000"/>
                <w:szCs w:val="21"/>
              </w:rPr>
              <w:t>0.4</w:t>
            </w:r>
          </w:p>
        </w:tc>
        <w:tc>
          <w:tcPr>
            <w:tcW w:w="0" w:type="auto"/>
            <w:noWrap w:val="0"/>
            <w:vAlign w:val="center"/>
          </w:tcPr>
          <w:p w14:paraId="0A1EB3A8">
            <w:pPr>
              <w:jc w:val="center"/>
              <w:rPr>
                <w:color w:val="000000"/>
                <w:szCs w:val="21"/>
              </w:rPr>
            </w:pPr>
            <w:r>
              <w:rPr>
                <w:color w:val="000000"/>
                <w:szCs w:val="21"/>
              </w:rPr>
              <w:t>3</w:t>
            </w:r>
          </w:p>
        </w:tc>
        <w:tc>
          <w:tcPr>
            <w:tcW w:w="0" w:type="auto"/>
            <w:noWrap w:val="0"/>
            <w:vAlign w:val="center"/>
          </w:tcPr>
          <w:p w14:paraId="7C059067">
            <w:pPr>
              <w:jc w:val="center"/>
              <w:rPr>
                <w:color w:val="000000"/>
                <w:szCs w:val="21"/>
              </w:rPr>
            </w:pPr>
            <w:r>
              <w:rPr>
                <w:color w:val="000000"/>
                <w:szCs w:val="21"/>
              </w:rPr>
              <w:t>40</w:t>
            </w:r>
          </w:p>
        </w:tc>
        <w:tc>
          <w:tcPr>
            <w:tcW w:w="0" w:type="auto"/>
            <w:noWrap w:val="0"/>
            <w:vAlign w:val="center"/>
          </w:tcPr>
          <w:p w14:paraId="3C2A6366">
            <w:pPr>
              <w:jc w:val="center"/>
              <w:rPr>
                <w:color w:val="000000"/>
                <w:szCs w:val="21"/>
              </w:rPr>
            </w:pPr>
            <w:r>
              <w:rPr>
                <w:color w:val="000000"/>
                <w:szCs w:val="21"/>
              </w:rPr>
              <w:t>220</w:t>
            </w:r>
          </w:p>
        </w:tc>
      </w:tr>
      <w:tr w14:paraId="3BF8C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725CA32">
            <w:pPr>
              <w:jc w:val="center"/>
              <w:rPr>
                <w:color w:val="000000"/>
                <w:szCs w:val="21"/>
              </w:rPr>
            </w:pPr>
            <w:r>
              <w:rPr>
                <w:color w:val="000000"/>
                <w:szCs w:val="21"/>
              </w:rPr>
              <w:t>22</w:t>
            </w:r>
          </w:p>
        </w:tc>
        <w:tc>
          <w:tcPr>
            <w:tcW w:w="0" w:type="auto"/>
            <w:noWrap w:val="0"/>
            <w:vAlign w:val="center"/>
          </w:tcPr>
          <w:p w14:paraId="3DA695C8">
            <w:pPr>
              <w:jc w:val="center"/>
              <w:rPr>
                <w:rFonts w:eastAsia="楷体_GB2312"/>
              </w:rPr>
            </w:pPr>
            <w:r>
              <w:rPr>
                <w:rFonts w:hint="eastAsia" w:eastAsia="楷体_GB2312"/>
              </w:rPr>
              <w:t>横十一路</w:t>
            </w:r>
          </w:p>
        </w:tc>
        <w:tc>
          <w:tcPr>
            <w:tcW w:w="0" w:type="auto"/>
            <w:noWrap w:val="0"/>
            <w:vAlign w:val="center"/>
          </w:tcPr>
          <w:p w14:paraId="1E17AAA4">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2E1346F3">
            <w:pPr>
              <w:jc w:val="center"/>
              <w:rPr>
                <w:color w:val="000000"/>
                <w:szCs w:val="21"/>
              </w:rPr>
            </w:pPr>
            <w:r>
              <w:rPr>
                <w:color w:val="000000"/>
                <w:szCs w:val="21"/>
              </w:rPr>
              <w:t>0.4</w:t>
            </w:r>
          </w:p>
        </w:tc>
        <w:tc>
          <w:tcPr>
            <w:tcW w:w="0" w:type="auto"/>
            <w:noWrap w:val="0"/>
            <w:vAlign w:val="center"/>
          </w:tcPr>
          <w:p w14:paraId="036D98B8">
            <w:pPr>
              <w:jc w:val="center"/>
              <w:rPr>
                <w:color w:val="000000"/>
                <w:szCs w:val="21"/>
              </w:rPr>
            </w:pPr>
            <w:r>
              <w:rPr>
                <w:color w:val="000000"/>
                <w:szCs w:val="21"/>
              </w:rPr>
              <w:t>3</w:t>
            </w:r>
          </w:p>
        </w:tc>
        <w:tc>
          <w:tcPr>
            <w:tcW w:w="0" w:type="auto"/>
            <w:noWrap w:val="0"/>
            <w:vAlign w:val="center"/>
          </w:tcPr>
          <w:p w14:paraId="2F18CDE5">
            <w:pPr>
              <w:jc w:val="center"/>
              <w:rPr>
                <w:color w:val="000000"/>
                <w:szCs w:val="21"/>
              </w:rPr>
            </w:pPr>
            <w:r>
              <w:rPr>
                <w:color w:val="000000"/>
                <w:szCs w:val="21"/>
              </w:rPr>
              <w:t>40</w:t>
            </w:r>
          </w:p>
        </w:tc>
        <w:tc>
          <w:tcPr>
            <w:tcW w:w="0" w:type="auto"/>
            <w:noWrap w:val="0"/>
            <w:vAlign w:val="center"/>
          </w:tcPr>
          <w:p w14:paraId="78DFF961">
            <w:pPr>
              <w:jc w:val="center"/>
              <w:rPr>
                <w:color w:val="000000"/>
                <w:szCs w:val="21"/>
              </w:rPr>
            </w:pPr>
            <w:r>
              <w:rPr>
                <w:color w:val="000000"/>
                <w:szCs w:val="21"/>
              </w:rPr>
              <w:t>220</w:t>
            </w:r>
          </w:p>
        </w:tc>
      </w:tr>
    </w:tbl>
    <w:p w14:paraId="3F6E5C7F">
      <w:pPr>
        <w:jc w:val="center"/>
        <w:rPr>
          <w:rFonts w:eastAsia="黑体"/>
          <w:sz w:val="28"/>
        </w:rPr>
      </w:pPr>
      <w:r>
        <w:rPr>
          <w:rFonts w:eastAsia="黑体"/>
          <w:sz w:val="28"/>
        </w:rPr>
        <w:t xml:space="preserve">表1-3-8  </w:t>
      </w:r>
      <w:r>
        <w:rPr>
          <w:rFonts w:hint="eastAsia" w:eastAsia="黑体"/>
          <w:sz w:val="28"/>
        </w:rPr>
        <w:t>蕲县镇</w:t>
      </w:r>
      <w:r>
        <w:rPr>
          <w:rFonts w:eastAsia="黑体"/>
          <w:sz w:val="28"/>
        </w:rPr>
        <w:t>镇区道路状况及其功能分及影响距离表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460"/>
        <w:gridCol w:w="1460"/>
        <w:gridCol w:w="1460"/>
        <w:gridCol w:w="879"/>
        <w:gridCol w:w="1170"/>
        <w:gridCol w:w="1460"/>
      </w:tblGrid>
      <w:tr w14:paraId="53F1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0811F40">
            <w:pPr>
              <w:spacing w:line="260" w:lineRule="exact"/>
              <w:jc w:val="center"/>
              <w:rPr>
                <w:rFonts w:eastAsia="楷体_GB2312"/>
              </w:rPr>
            </w:pPr>
            <w:r>
              <w:rPr>
                <w:rFonts w:eastAsia="楷体_GB2312"/>
              </w:rPr>
              <w:t>道路编号</w:t>
            </w:r>
          </w:p>
        </w:tc>
        <w:tc>
          <w:tcPr>
            <w:tcW w:w="0" w:type="auto"/>
            <w:noWrap w:val="0"/>
            <w:vAlign w:val="center"/>
          </w:tcPr>
          <w:p w14:paraId="2EE9DC5D">
            <w:pPr>
              <w:spacing w:line="260" w:lineRule="exact"/>
              <w:jc w:val="center"/>
              <w:rPr>
                <w:rFonts w:eastAsia="楷体_GB2312"/>
              </w:rPr>
            </w:pPr>
            <w:r>
              <w:rPr>
                <w:rFonts w:eastAsia="楷体_GB2312"/>
              </w:rPr>
              <w:t>道路名称</w:t>
            </w:r>
          </w:p>
        </w:tc>
        <w:tc>
          <w:tcPr>
            <w:tcW w:w="0" w:type="auto"/>
            <w:noWrap w:val="0"/>
            <w:vAlign w:val="center"/>
          </w:tcPr>
          <w:p w14:paraId="333C8EF0">
            <w:pPr>
              <w:spacing w:line="260" w:lineRule="exact"/>
              <w:jc w:val="center"/>
              <w:rPr>
                <w:rFonts w:eastAsia="楷体_GB2312"/>
              </w:rPr>
            </w:pPr>
            <w:r>
              <w:rPr>
                <w:rFonts w:eastAsia="楷体_GB2312"/>
              </w:rPr>
              <w:t>道路类型</w:t>
            </w:r>
          </w:p>
        </w:tc>
        <w:tc>
          <w:tcPr>
            <w:tcW w:w="0" w:type="auto"/>
            <w:noWrap w:val="0"/>
            <w:vAlign w:val="center"/>
          </w:tcPr>
          <w:p w14:paraId="5A633181">
            <w:pPr>
              <w:spacing w:line="260" w:lineRule="exact"/>
              <w:jc w:val="center"/>
              <w:rPr>
                <w:rFonts w:eastAsia="楷体_GB2312"/>
              </w:rPr>
            </w:pPr>
            <w:r>
              <w:rPr>
                <w:rFonts w:eastAsia="楷体_GB2312"/>
              </w:rPr>
              <w:t>作用指数</w:t>
            </w:r>
          </w:p>
        </w:tc>
        <w:tc>
          <w:tcPr>
            <w:tcW w:w="0" w:type="auto"/>
            <w:noWrap w:val="0"/>
            <w:vAlign w:val="center"/>
          </w:tcPr>
          <w:p w14:paraId="2362A89F">
            <w:pPr>
              <w:spacing w:line="260" w:lineRule="exact"/>
              <w:jc w:val="center"/>
              <w:rPr>
                <w:rFonts w:eastAsia="楷体_GB2312"/>
              </w:rPr>
            </w:pPr>
            <w:r>
              <w:rPr>
                <w:rFonts w:eastAsia="楷体_GB2312"/>
              </w:rPr>
              <w:t>级别</w:t>
            </w:r>
          </w:p>
        </w:tc>
        <w:tc>
          <w:tcPr>
            <w:tcW w:w="0" w:type="auto"/>
            <w:noWrap w:val="0"/>
            <w:vAlign w:val="center"/>
          </w:tcPr>
          <w:p w14:paraId="715F237D">
            <w:pPr>
              <w:spacing w:line="260" w:lineRule="exact"/>
              <w:jc w:val="center"/>
              <w:rPr>
                <w:rFonts w:eastAsia="楷体_GB2312"/>
              </w:rPr>
            </w:pPr>
            <w:r>
              <w:rPr>
                <w:rFonts w:eastAsia="楷体_GB2312"/>
              </w:rPr>
              <w:t>功能分</w:t>
            </w:r>
          </w:p>
        </w:tc>
        <w:tc>
          <w:tcPr>
            <w:tcW w:w="0" w:type="auto"/>
            <w:noWrap w:val="0"/>
            <w:vAlign w:val="center"/>
          </w:tcPr>
          <w:p w14:paraId="4EBA11CF">
            <w:pPr>
              <w:spacing w:line="260" w:lineRule="exact"/>
              <w:jc w:val="center"/>
              <w:rPr>
                <w:rFonts w:eastAsia="楷体_GB2312"/>
              </w:rPr>
            </w:pPr>
            <w:r>
              <w:rPr>
                <w:rFonts w:eastAsia="楷体_GB2312"/>
              </w:rPr>
              <w:t>影响半径</w:t>
            </w:r>
          </w:p>
        </w:tc>
      </w:tr>
      <w:tr w14:paraId="4387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9D5A7D3">
            <w:pPr>
              <w:spacing w:line="260" w:lineRule="exact"/>
              <w:jc w:val="center"/>
              <w:rPr>
                <w:color w:val="000000"/>
                <w:szCs w:val="21"/>
              </w:rPr>
            </w:pPr>
            <w:r>
              <w:rPr>
                <w:rFonts w:hint="eastAsia"/>
                <w:color w:val="000000"/>
                <w:szCs w:val="21"/>
              </w:rPr>
              <w:t>0</w:t>
            </w:r>
            <w:r>
              <w:rPr>
                <w:color w:val="000000"/>
                <w:szCs w:val="21"/>
              </w:rPr>
              <w:t>1</w:t>
            </w:r>
          </w:p>
        </w:tc>
        <w:tc>
          <w:tcPr>
            <w:tcW w:w="0" w:type="auto"/>
            <w:noWrap w:val="0"/>
            <w:vAlign w:val="center"/>
          </w:tcPr>
          <w:p w14:paraId="07F29E79">
            <w:pPr>
              <w:spacing w:line="260" w:lineRule="exact"/>
              <w:jc w:val="center"/>
              <w:rPr>
                <w:rFonts w:eastAsia="楷体_GB2312"/>
              </w:rPr>
            </w:pPr>
            <w:r>
              <w:rPr>
                <w:rFonts w:hint="eastAsia" w:eastAsia="楷体_GB2312"/>
              </w:rPr>
              <w:t>金浍路</w:t>
            </w:r>
          </w:p>
        </w:tc>
        <w:tc>
          <w:tcPr>
            <w:tcW w:w="0" w:type="auto"/>
            <w:noWrap w:val="0"/>
            <w:vAlign w:val="center"/>
          </w:tcPr>
          <w:p w14:paraId="60AF1B8D">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332E7076">
            <w:pPr>
              <w:spacing w:line="260" w:lineRule="exact"/>
              <w:jc w:val="center"/>
              <w:rPr>
                <w:color w:val="000000"/>
                <w:szCs w:val="21"/>
              </w:rPr>
            </w:pPr>
            <w:r>
              <w:rPr>
                <w:color w:val="000000"/>
                <w:szCs w:val="21"/>
              </w:rPr>
              <w:t>1</w:t>
            </w:r>
          </w:p>
        </w:tc>
        <w:tc>
          <w:tcPr>
            <w:tcW w:w="0" w:type="auto"/>
            <w:noWrap w:val="0"/>
            <w:vAlign w:val="center"/>
          </w:tcPr>
          <w:p w14:paraId="3288D5C4">
            <w:pPr>
              <w:spacing w:line="260" w:lineRule="exact"/>
              <w:jc w:val="center"/>
              <w:rPr>
                <w:color w:val="000000"/>
                <w:szCs w:val="21"/>
              </w:rPr>
            </w:pPr>
            <w:r>
              <w:rPr>
                <w:color w:val="000000"/>
                <w:szCs w:val="21"/>
              </w:rPr>
              <w:t>1</w:t>
            </w:r>
          </w:p>
        </w:tc>
        <w:tc>
          <w:tcPr>
            <w:tcW w:w="0" w:type="auto"/>
            <w:noWrap w:val="0"/>
            <w:vAlign w:val="center"/>
          </w:tcPr>
          <w:p w14:paraId="2C8838E5">
            <w:pPr>
              <w:spacing w:line="260" w:lineRule="exact"/>
              <w:jc w:val="center"/>
              <w:rPr>
                <w:color w:val="000000"/>
                <w:szCs w:val="21"/>
              </w:rPr>
            </w:pPr>
            <w:r>
              <w:rPr>
                <w:color w:val="000000"/>
                <w:szCs w:val="21"/>
              </w:rPr>
              <w:t>100</w:t>
            </w:r>
          </w:p>
        </w:tc>
        <w:tc>
          <w:tcPr>
            <w:tcW w:w="0" w:type="auto"/>
            <w:noWrap w:val="0"/>
            <w:vAlign w:val="center"/>
          </w:tcPr>
          <w:p w14:paraId="18D1387B">
            <w:pPr>
              <w:spacing w:line="260" w:lineRule="exact"/>
              <w:jc w:val="center"/>
              <w:rPr>
                <w:color w:val="000000"/>
                <w:szCs w:val="21"/>
              </w:rPr>
            </w:pPr>
            <w:r>
              <w:rPr>
                <w:color w:val="000000"/>
                <w:szCs w:val="21"/>
              </w:rPr>
              <w:t>300</w:t>
            </w:r>
          </w:p>
        </w:tc>
      </w:tr>
      <w:tr w14:paraId="5D41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76E91B7">
            <w:pPr>
              <w:spacing w:line="260" w:lineRule="exact"/>
              <w:jc w:val="center"/>
              <w:rPr>
                <w:color w:val="000000"/>
                <w:szCs w:val="21"/>
              </w:rPr>
            </w:pPr>
            <w:r>
              <w:rPr>
                <w:rFonts w:hint="eastAsia"/>
                <w:color w:val="000000"/>
                <w:szCs w:val="21"/>
              </w:rPr>
              <w:t>0</w:t>
            </w:r>
            <w:r>
              <w:rPr>
                <w:color w:val="000000"/>
                <w:szCs w:val="21"/>
              </w:rPr>
              <w:t>2</w:t>
            </w:r>
          </w:p>
        </w:tc>
        <w:tc>
          <w:tcPr>
            <w:tcW w:w="0" w:type="auto"/>
            <w:noWrap w:val="0"/>
            <w:vAlign w:val="center"/>
          </w:tcPr>
          <w:p w14:paraId="662BC108">
            <w:pPr>
              <w:spacing w:line="260" w:lineRule="exact"/>
              <w:jc w:val="center"/>
              <w:rPr>
                <w:rFonts w:eastAsia="楷体_GB2312"/>
              </w:rPr>
            </w:pPr>
            <w:r>
              <w:rPr>
                <w:rFonts w:hint="eastAsia" w:eastAsia="楷体_GB2312"/>
              </w:rPr>
              <w:t>富强西路</w:t>
            </w:r>
          </w:p>
        </w:tc>
        <w:tc>
          <w:tcPr>
            <w:tcW w:w="0" w:type="auto"/>
            <w:noWrap w:val="0"/>
            <w:vAlign w:val="center"/>
          </w:tcPr>
          <w:p w14:paraId="2AAF88E2">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33075F4E">
            <w:pPr>
              <w:spacing w:line="260" w:lineRule="exact"/>
              <w:jc w:val="center"/>
              <w:rPr>
                <w:color w:val="000000"/>
                <w:szCs w:val="21"/>
              </w:rPr>
            </w:pPr>
            <w:r>
              <w:rPr>
                <w:color w:val="000000"/>
                <w:szCs w:val="21"/>
              </w:rPr>
              <w:t>1</w:t>
            </w:r>
          </w:p>
        </w:tc>
        <w:tc>
          <w:tcPr>
            <w:tcW w:w="0" w:type="auto"/>
            <w:noWrap w:val="0"/>
            <w:vAlign w:val="center"/>
          </w:tcPr>
          <w:p w14:paraId="2FA6970B">
            <w:pPr>
              <w:spacing w:line="260" w:lineRule="exact"/>
              <w:jc w:val="center"/>
              <w:rPr>
                <w:color w:val="000000"/>
                <w:szCs w:val="21"/>
              </w:rPr>
            </w:pPr>
            <w:r>
              <w:rPr>
                <w:color w:val="000000"/>
                <w:szCs w:val="21"/>
              </w:rPr>
              <w:t>1</w:t>
            </w:r>
          </w:p>
        </w:tc>
        <w:tc>
          <w:tcPr>
            <w:tcW w:w="0" w:type="auto"/>
            <w:noWrap w:val="0"/>
            <w:vAlign w:val="center"/>
          </w:tcPr>
          <w:p w14:paraId="2D701B04">
            <w:pPr>
              <w:spacing w:line="260" w:lineRule="exact"/>
              <w:jc w:val="center"/>
              <w:rPr>
                <w:color w:val="000000"/>
                <w:szCs w:val="21"/>
              </w:rPr>
            </w:pPr>
            <w:r>
              <w:rPr>
                <w:color w:val="000000"/>
                <w:szCs w:val="21"/>
              </w:rPr>
              <w:t>100</w:t>
            </w:r>
          </w:p>
        </w:tc>
        <w:tc>
          <w:tcPr>
            <w:tcW w:w="0" w:type="auto"/>
            <w:noWrap w:val="0"/>
            <w:vAlign w:val="center"/>
          </w:tcPr>
          <w:p w14:paraId="2344ABA9">
            <w:pPr>
              <w:spacing w:line="260" w:lineRule="exact"/>
              <w:jc w:val="center"/>
              <w:rPr>
                <w:color w:val="000000"/>
                <w:szCs w:val="21"/>
              </w:rPr>
            </w:pPr>
            <w:r>
              <w:rPr>
                <w:color w:val="000000"/>
                <w:szCs w:val="21"/>
              </w:rPr>
              <w:t>300</w:t>
            </w:r>
          </w:p>
        </w:tc>
      </w:tr>
      <w:tr w14:paraId="3F3A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52D94BF">
            <w:pPr>
              <w:spacing w:line="260" w:lineRule="exact"/>
              <w:jc w:val="center"/>
              <w:rPr>
                <w:color w:val="000000"/>
                <w:szCs w:val="21"/>
              </w:rPr>
            </w:pPr>
            <w:r>
              <w:rPr>
                <w:rFonts w:hint="eastAsia"/>
                <w:color w:val="000000"/>
                <w:szCs w:val="21"/>
              </w:rPr>
              <w:t>0</w:t>
            </w:r>
            <w:r>
              <w:rPr>
                <w:color w:val="000000"/>
                <w:szCs w:val="21"/>
              </w:rPr>
              <w:t>3</w:t>
            </w:r>
          </w:p>
        </w:tc>
        <w:tc>
          <w:tcPr>
            <w:tcW w:w="0" w:type="auto"/>
            <w:noWrap w:val="0"/>
            <w:vAlign w:val="center"/>
          </w:tcPr>
          <w:p w14:paraId="394F8CD4">
            <w:pPr>
              <w:spacing w:line="260" w:lineRule="exact"/>
              <w:jc w:val="center"/>
              <w:rPr>
                <w:rFonts w:eastAsia="楷体_GB2312"/>
              </w:rPr>
            </w:pPr>
            <w:r>
              <w:rPr>
                <w:rFonts w:hint="eastAsia" w:eastAsia="楷体_GB2312"/>
              </w:rPr>
              <w:t>古城路</w:t>
            </w:r>
          </w:p>
        </w:tc>
        <w:tc>
          <w:tcPr>
            <w:tcW w:w="0" w:type="auto"/>
            <w:noWrap w:val="0"/>
            <w:vAlign w:val="center"/>
          </w:tcPr>
          <w:p w14:paraId="706F5EDA">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7A793F7F">
            <w:pPr>
              <w:spacing w:line="260" w:lineRule="exact"/>
              <w:jc w:val="center"/>
              <w:rPr>
                <w:color w:val="000000"/>
                <w:szCs w:val="21"/>
              </w:rPr>
            </w:pPr>
            <w:r>
              <w:rPr>
                <w:color w:val="000000"/>
                <w:szCs w:val="21"/>
              </w:rPr>
              <w:t>1</w:t>
            </w:r>
          </w:p>
        </w:tc>
        <w:tc>
          <w:tcPr>
            <w:tcW w:w="0" w:type="auto"/>
            <w:noWrap w:val="0"/>
            <w:vAlign w:val="center"/>
          </w:tcPr>
          <w:p w14:paraId="7DC76FE1">
            <w:pPr>
              <w:spacing w:line="260" w:lineRule="exact"/>
              <w:jc w:val="center"/>
              <w:rPr>
                <w:color w:val="000000"/>
                <w:szCs w:val="21"/>
              </w:rPr>
            </w:pPr>
            <w:r>
              <w:rPr>
                <w:color w:val="000000"/>
                <w:szCs w:val="21"/>
              </w:rPr>
              <w:t>1</w:t>
            </w:r>
          </w:p>
        </w:tc>
        <w:tc>
          <w:tcPr>
            <w:tcW w:w="0" w:type="auto"/>
            <w:noWrap w:val="0"/>
            <w:vAlign w:val="center"/>
          </w:tcPr>
          <w:p w14:paraId="7947CD55">
            <w:pPr>
              <w:spacing w:line="260" w:lineRule="exact"/>
              <w:jc w:val="center"/>
              <w:rPr>
                <w:color w:val="000000"/>
                <w:szCs w:val="21"/>
              </w:rPr>
            </w:pPr>
            <w:r>
              <w:rPr>
                <w:color w:val="000000"/>
                <w:szCs w:val="21"/>
              </w:rPr>
              <w:t>100</w:t>
            </w:r>
          </w:p>
        </w:tc>
        <w:tc>
          <w:tcPr>
            <w:tcW w:w="0" w:type="auto"/>
            <w:noWrap w:val="0"/>
            <w:vAlign w:val="center"/>
          </w:tcPr>
          <w:p w14:paraId="2D193ACE">
            <w:pPr>
              <w:spacing w:line="260" w:lineRule="exact"/>
              <w:jc w:val="center"/>
              <w:rPr>
                <w:color w:val="000000"/>
                <w:szCs w:val="21"/>
              </w:rPr>
            </w:pPr>
            <w:r>
              <w:rPr>
                <w:color w:val="000000"/>
                <w:szCs w:val="21"/>
              </w:rPr>
              <w:t>300</w:t>
            </w:r>
          </w:p>
        </w:tc>
      </w:tr>
      <w:tr w14:paraId="50B4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D9C0C9D">
            <w:pPr>
              <w:spacing w:line="260" w:lineRule="exact"/>
              <w:jc w:val="center"/>
              <w:rPr>
                <w:color w:val="000000"/>
                <w:szCs w:val="21"/>
              </w:rPr>
            </w:pPr>
            <w:r>
              <w:rPr>
                <w:rFonts w:hint="eastAsia"/>
                <w:color w:val="000000"/>
                <w:szCs w:val="21"/>
              </w:rPr>
              <w:t>0</w:t>
            </w:r>
            <w:r>
              <w:rPr>
                <w:color w:val="000000"/>
                <w:szCs w:val="21"/>
              </w:rPr>
              <w:t>4</w:t>
            </w:r>
          </w:p>
        </w:tc>
        <w:tc>
          <w:tcPr>
            <w:tcW w:w="0" w:type="auto"/>
            <w:noWrap w:val="0"/>
            <w:vAlign w:val="center"/>
          </w:tcPr>
          <w:p w14:paraId="63B038CA">
            <w:pPr>
              <w:spacing w:line="260" w:lineRule="exact"/>
              <w:jc w:val="center"/>
              <w:rPr>
                <w:rFonts w:eastAsia="楷体_GB2312"/>
              </w:rPr>
            </w:pPr>
            <w:r>
              <w:rPr>
                <w:rFonts w:hint="eastAsia" w:eastAsia="楷体_GB2312"/>
              </w:rPr>
              <w:t>蕲县路</w:t>
            </w:r>
          </w:p>
        </w:tc>
        <w:tc>
          <w:tcPr>
            <w:tcW w:w="0" w:type="auto"/>
            <w:noWrap w:val="0"/>
            <w:vAlign w:val="center"/>
          </w:tcPr>
          <w:p w14:paraId="60E7D16E">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318BD623">
            <w:pPr>
              <w:spacing w:line="260" w:lineRule="exact"/>
              <w:jc w:val="center"/>
              <w:rPr>
                <w:color w:val="000000"/>
                <w:szCs w:val="21"/>
              </w:rPr>
            </w:pPr>
            <w:r>
              <w:rPr>
                <w:color w:val="000000"/>
                <w:szCs w:val="21"/>
              </w:rPr>
              <w:t>1</w:t>
            </w:r>
          </w:p>
        </w:tc>
        <w:tc>
          <w:tcPr>
            <w:tcW w:w="0" w:type="auto"/>
            <w:noWrap w:val="0"/>
            <w:vAlign w:val="center"/>
          </w:tcPr>
          <w:p w14:paraId="4F189CF5">
            <w:pPr>
              <w:spacing w:line="260" w:lineRule="exact"/>
              <w:jc w:val="center"/>
              <w:rPr>
                <w:color w:val="000000"/>
                <w:szCs w:val="21"/>
              </w:rPr>
            </w:pPr>
            <w:r>
              <w:rPr>
                <w:color w:val="000000"/>
                <w:szCs w:val="21"/>
              </w:rPr>
              <w:t>1</w:t>
            </w:r>
          </w:p>
        </w:tc>
        <w:tc>
          <w:tcPr>
            <w:tcW w:w="0" w:type="auto"/>
            <w:noWrap w:val="0"/>
            <w:vAlign w:val="center"/>
          </w:tcPr>
          <w:p w14:paraId="21823E5B">
            <w:pPr>
              <w:spacing w:line="260" w:lineRule="exact"/>
              <w:jc w:val="center"/>
              <w:rPr>
                <w:color w:val="000000"/>
                <w:szCs w:val="21"/>
              </w:rPr>
            </w:pPr>
            <w:r>
              <w:rPr>
                <w:color w:val="000000"/>
                <w:szCs w:val="21"/>
              </w:rPr>
              <w:t>100</w:t>
            </w:r>
          </w:p>
        </w:tc>
        <w:tc>
          <w:tcPr>
            <w:tcW w:w="0" w:type="auto"/>
            <w:noWrap w:val="0"/>
            <w:vAlign w:val="center"/>
          </w:tcPr>
          <w:p w14:paraId="50B60BC1">
            <w:pPr>
              <w:spacing w:line="260" w:lineRule="exact"/>
              <w:jc w:val="center"/>
              <w:rPr>
                <w:color w:val="000000"/>
                <w:szCs w:val="21"/>
              </w:rPr>
            </w:pPr>
            <w:r>
              <w:rPr>
                <w:color w:val="000000"/>
                <w:szCs w:val="21"/>
              </w:rPr>
              <w:t>300</w:t>
            </w:r>
          </w:p>
        </w:tc>
      </w:tr>
      <w:tr w14:paraId="1900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39BCFF2">
            <w:pPr>
              <w:spacing w:line="260" w:lineRule="exact"/>
              <w:jc w:val="center"/>
              <w:rPr>
                <w:color w:val="000000"/>
                <w:szCs w:val="21"/>
              </w:rPr>
            </w:pPr>
            <w:r>
              <w:rPr>
                <w:rFonts w:hint="eastAsia"/>
                <w:color w:val="000000"/>
                <w:szCs w:val="21"/>
              </w:rPr>
              <w:t>0</w:t>
            </w:r>
            <w:r>
              <w:rPr>
                <w:color w:val="000000"/>
                <w:szCs w:val="21"/>
              </w:rPr>
              <w:t>5</w:t>
            </w:r>
          </w:p>
        </w:tc>
        <w:tc>
          <w:tcPr>
            <w:tcW w:w="0" w:type="auto"/>
            <w:noWrap w:val="0"/>
            <w:vAlign w:val="center"/>
          </w:tcPr>
          <w:p w14:paraId="491C5698">
            <w:pPr>
              <w:spacing w:line="260" w:lineRule="exact"/>
              <w:jc w:val="center"/>
              <w:rPr>
                <w:rFonts w:eastAsia="楷体_GB2312"/>
              </w:rPr>
            </w:pPr>
            <w:r>
              <w:rPr>
                <w:rFonts w:eastAsia="楷体_GB2312"/>
              </w:rPr>
              <w:t>206</w:t>
            </w:r>
            <w:r>
              <w:rPr>
                <w:rFonts w:hint="eastAsia" w:eastAsia="楷体_GB2312"/>
              </w:rPr>
              <w:t>国道</w:t>
            </w:r>
          </w:p>
        </w:tc>
        <w:tc>
          <w:tcPr>
            <w:tcW w:w="0" w:type="auto"/>
            <w:noWrap w:val="0"/>
            <w:vAlign w:val="center"/>
          </w:tcPr>
          <w:p w14:paraId="3E5DFCAA">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35C9F156">
            <w:pPr>
              <w:spacing w:line="260" w:lineRule="exact"/>
              <w:jc w:val="center"/>
              <w:rPr>
                <w:color w:val="000000"/>
                <w:szCs w:val="21"/>
              </w:rPr>
            </w:pPr>
            <w:r>
              <w:rPr>
                <w:color w:val="000000"/>
                <w:szCs w:val="21"/>
              </w:rPr>
              <w:t>1</w:t>
            </w:r>
          </w:p>
        </w:tc>
        <w:tc>
          <w:tcPr>
            <w:tcW w:w="0" w:type="auto"/>
            <w:noWrap w:val="0"/>
            <w:vAlign w:val="center"/>
          </w:tcPr>
          <w:p w14:paraId="46A24DEC">
            <w:pPr>
              <w:spacing w:line="260" w:lineRule="exact"/>
              <w:jc w:val="center"/>
              <w:rPr>
                <w:color w:val="000000"/>
                <w:szCs w:val="21"/>
              </w:rPr>
            </w:pPr>
            <w:r>
              <w:rPr>
                <w:color w:val="000000"/>
                <w:szCs w:val="21"/>
              </w:rPr>
              <w:t>1</w:t>
            </w:r>
          </w:p>
        </w:tc>
        <w:tc>
          <w:tcPr>
            <w:tcW w:w="0" w:type="auto"/>
            <w:noWrap w:val="0"/>
            <w:vAlign w:val="center"/>
          </w:tcPr>
          <w:p w14:paraId="3A58572E">
            <w:pPr>
              <w:spacing w:line="260" w:lineRule="exact"/>
              <w:jc w:val="center"/>
              <w:rPr>
                <w:color w:val="000000"/>
                <w:szCs w:val="21"/>
              </w:rPr>
            </w:pPr>
            <w:r>
              <w:rPr>
                <w:color w:val="000000"/>
                <w:szCs w:val="21"/>
              </w:rPr>
              <w:t>100</w:t>
            </w:r>
          </w:p>
        </w:tc>
        <w:tc>
          <w:tcPr>
            <w:tcW w:w="0" w:type="auto"/>
            <w:noWrap w:val="0"/>
            <w:vAlign w:val="center"/>
          </w:tcPr>
          <w:p w14:paraId="6162DC41">
            <w:pPr>
              <w:spacing w:line="260" w:lineRule="exact"/>
              <w:jc w:val="center"/>
              <w:rPr>
                <w:color w:val="000000"/>
                <w:szCs w:val="21"/>
              </w:rPr>
            </w:pPr>
            <w:r>
              <w:rPr>
                <w:color w:val="000000"/>
                <w:szCs w:val="21"/>
              </w:rPr>
              <w:t>300</w:t>
            </w:r>
          </w:p>
        </w:tc>
      </w:tr>
      <w:tr w14:paraId="71419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02ECA75">
            <w:pPr>
              <w:spacing w:line="260" w:lineRule="exact"/>
              <w:jc w:val="center"/>
              <w:rPr>
                <w:color w:val="000000"/>
                <w:szCs w:val="21"/>
              </w:rPr>
            </w:pPr>
            <w:r>
              <w:rPr>
                <w:rFonts w:hint="eastAsia"/>
                <w:color w:val="000000"/>
                <w:szCs w:val="21"/>
              </w:rPr>
              <w:t>0</w:t>
            </w:r>
            <w:r>
              <w:rPr>
                <w:color w:val="000000"/>
                <w:szCs w:val="21"/>
              </w:rPr>
              <w:t>6</w:t>
            </w:r>
          </w:p>
        </w:tc>
        <w:tc>
          <w:tcPr>
            <w:tcW w:w="0" w:type="auto"/>
            <w:noWrap w:val="0"/>
            <w:vAlign w:val="center"/>
          </w:tcPr>
          <w:p w14:paraId="394DF255">
            <w:pPr>
              <w:spacing w:line="260" w:lineRule="exact"/>
              <w:jc w:val="center"/>
              <w:rPr>
                <w:rFonts w:eastAsia="楷体_GB2312"/>
              </w:rPr>
            </w:pPr>
            <w:r>
              <w:rPr>
                <w:rFonts w:hint="eastAsia" w:eastAsia="楷体_GB2312"/>
              </w:rPr>
              <w:t>浍水路</w:t>
            </w:r>
          </w:p>
        </w:tc>
        <w:tc>
          <w:tcPr>
            <w:tcW w:w="0" w:type="auto"/>
            <w:noWrap w:val="0"/>
            <w:vAlign w:val="center"/>
          </w:tcPr>
          <w:p w14:paraId="629DE542">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514C1CD4">
            <w:pPr>
              <w:spacing w:line="260" w:lineRule="exact"/>
              <w:jc w:val="center"/>
              <w:rPr>
                <w:color w:val="000000"/>
                <w:szCs w:val="21"/>
              </w:rPr>
            </w:pPr>
            <w:r>
              <w:rPr>
                <w:color w:val="000000"/>
                <w:szCs w:val="21"/>
              </w:rPr>
              <w:t>1</w:t>
            </w:r>
          </w:p>
        </w:tc>
        <w:tc>
          <w:tcPr>
            <w:tcW w:w="0" w:type="auto"/>
            <w:noWrap w:val="0"/>
            <w:vAlign w:val="center"/>
          </w:tcPr>
          <w:p w14:paraId="3F10C225">
            <w:pPr>
              <w:spacing w:line="260" w:lineRule="exact"/>
              <w:jc w:val="center"/>
              <w:rPr>
                <w:color w:val="000000"/>
                <w:szCs w:val="21"/>
              </w:rPr>
            </w:pPr>
            <w:r>
              <w:rPr>
                <w:color w:val="000000"/>
                <w:szCs w:val="21"/>
              </w:rPr>
              <w:t>1</w:t>
            </w:r>
          </w:p>
        </w:tc>
        <w:tc>
          <w:tcPr>
            <w:tcW w:w="0" w:type="auto"/>
            <w:noWrap w:val="0"/>
            <w:vAlign w:val="center"/>
          </w:tcPr>
          <w:p w14:paraId="4F775A51">
            <w:pPr>
              <w:spacing w:line="260" w:lineRule="exact"/>
              <w:jc w:val="center"/>
              <w:rPr>
                <w:color w:val="000000"/>
                <w:szCs w:val="21"/>
              </w:rPr>
            </w:pPr>
            <w:r>
              <w:rPr>
                <w:color w:val="000000"/>
                <w:szCs w:val="21"/>
              </w:rPr>
              <w:t>100</w:t>
            </w:r>
          </w:p>
        </w:tc>
        <w:tc>
          <w:tcPr>
            <w:tcW w:w="0" w:type="auto"/>
            <w:noWrap w:val="0"/>
            <w:vAlign w:val="center"/>
          </w:tcPr>
          <w:p w14:paraId="7FCE768D">
            <w:pPr>
              <w:spacing w:line="260" w:lineRule="exact"/>
              <w:jc w:val="center"/>
              <w:rPr>
                <w:color w:val="000000"/>
                <w:szCs w:val="21"/>
              </w:rPr>
            </w:pPr>
            <w:r>
              <w:rPr>
                <w:color w:val="000000"/>
                <w:szCs w:val="21"/>
              </w:rPr>
              <w:t>300</w:t>
            </w:r>
          </w:p>
        </w:tc>
      </w:tr>
      <w:tr w14:paraId="23486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6E3CC83">
            <w:pPr>
              <w:spacing w:line="260" w:lineRule="exact"/>
              <w:jc w:val="center"/>
              <w:rPr>
                <w:color w:val="000000"/>
                <w:szCs w:val="21"/>
              </w:rPr>
            </w:pPr>
            <w:r>
              <w:rPr>
                <w:rFonts w:hint="eastAsia"/>
                <w:color w:val="000000"/>
                <w:szCs w:val="21"/>
              </w:rPr>
              <w:t>0</w:t>
            </w:r>
            <w:r>
              <w:rPr>
                <w:color w:val="000000"/>
                <w:szCs w:val="21"/>
              </w:rPr>
              <w:t>7</w:t>
            </w:r>
          </w:p>
        </w:tc>
        <w:tc>
          <w:tcPr>
            <w:tcW w:w="0" w:type="auto"/>
            <w:noWrap w:val="0"/>
            <w:vAlign w:val="center"/>
          </w:tcPr>
          <w:p w14:paraId="2FF74C03">
            <w:pPr>
              <w:spacing w:line="260" w:lineRule="exact"/>
              <w:jc w:val="center"/>
              <w:rPr>
                <w:rFonts w:eastAsia="楷体_GB2312"/>
              </w:rPr>
            </w:pPr>
            <w:r>
              <w:rPr>
                <w:rFonts w:hint="eastAsia" w:eastAsia="楷体_GB2312"/>
              </w:rPr>
              <w:t>梅城路</w:t>
            </w:r>
          </w:p>
        </w:tc>
        <w:tc>
          <w:tcPr>
            <w:tcW w:w="0" w:type="auto"/>
            <w:noWrap w:val="0"/>
            <w:vAlign w:val="center"/>
          </w:tcPr>
          <w:p w14:paraId="49349012">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692A2463">
            <w:pPr>
              <w:spacing w:line="260" w:lineRule="exact"/>
              <w:jc w:val="center"/>
              <w:rPr>
                <w:color w:val="000000"/>
                <w:szCs w:val="21"/>
              </w:rPr>
            </w:pPr>
            <w:r>
              <w:rPr>
                <w:color w:val="000000"/>
                <w:szCs w:val="21"/>
              </w:rPr>
              <w:t>1</w:t>
            </w:r>
          </w:p>
        </w:tc>
        <w:tc>
          <w:tcPr>
            <w:tcW w:w="0" w:type="auto"/>
            <w:noWrap w:val="0"/>
            <w:vAlign w:val="center"/>
          </w:tcPr>
          <w:p w14:paraId="089AEBFF">
            <w:pPr>
              <w:spacing w:line="260" w:lineRule="exact"/>
              <w:jc w:val="center"/>
              <w:rPr>
                <w:color w:val="000000"/>
                <w:szCs w:val="21"/>
              </w:rPr>
            </w:pPr>
            <w:r>
              <w:rPr>
                <w:color w:val="000000"/>
                <w:szCs w:val="21"/>
              </w:rPr>
              <w:t>1</w:t>
            </w:r>
          </w:p>
        </w:tc>
        <w:tc>
          <w:tcPr>
            <w:tcW w:w="0" w:type="auto"/>
            <w:noWrap w:val="0"/>
            <w:vAlign w:val="center"/>
          </w:tcPr>
          <w:p w14:paraId="7E2CA0E5">
            <w:pPr>
              <w:spacing w:line="260" w:lineRule="exact"/>
              <w:jc w:val="center"/>
              <w:rPr>
                <w:color w:val="000000"/>
                <w:szCs w:val="21"/>
              </w:rPr>
            </w:pPr>
            <w:r>
              <w:rPr>
                <w:color w:val="000000"/>
                <w:szCs w:val="21"/>
              </w:rPr>
              <w:t>100</w:t>
            </w:r>
          </w:p>
        </w:tc>
        <w:tc>
          <w:tcPr>
            <w:tcW w:w="0" w:type="auto"/>
            <w:noWrap w:val="0"/>
            <w:vAlign w:val="center"/>
          </w:tcPr>
          <w:p w14:paraId="306D1BE8">
            <w:pPr>
              <w:spacing w:line="260" w:lineRule="exact"/>
              <w:jc w:val="center"/>
              <w:rPr>
                <w:color w:val="000000"/>
                <w:szCs w:val="21"/>
              </w:rPr>
            </w:pPr>
            <w:r>
              <w:rPr>
                <w:color w:val="000000"/>
                <w:szCs w:val="21"/>
              </w:rPr>
              <w:t>300</w:t>
            </w:r>
          </w:p>
        </w:tc>
      </w:tr>
      <w:tr w14:paraId="5581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E779B02">
            <w:pPr>
              <w:spacing w:line="260" w:lineRule="exact"/>
              <w:jc w:val="center"/>
              <w:rPr>
                <w:color w:val="000000"/>
                <w:szCs w:val="21"/>
              </w:rPr>
            </w:pPr>
            <w:r>
              <w:rPr>
                <w:rFonts w:hint="eastAsia"/>
                <w:color w:val="000000"/>
                <w:szCs w:val="21"/>
              </w:rPr>
              <w:t>0</w:t>
            </w:r>
            <w:r>
              <w:rPr>
                <w:color w:val="000000"/>
                <w:szCs w:val="21"/>
              </w:rPr>
              <w:t>8</w:t>
            </w:r>
          </w:p>
        </w:tc>
        <w:tc>
          <w:tcPr>
            <w:tcW w:w="0" w:type="auto"/>
            <w:noWrap w:val="0"/>
            <w:vAlign w:val="center"/>
          </w:tcPr>
          <w:p w14:paraId="624EB853">
            <w:pPr>
              <w:spacing w:line="260" w:lineRule="exact"/>
              <w:jc w:val="center"/>
              <w:rPr>
                <w:rFonts w:eastAsia="楷体_GB2312"/>
              </w:rPr>
            </w:pPr>
            <w:r>
              <w:rPr>
                <w:rFonts w:hint="eastAsia" w:eastAsia="楷体_GB2312"/>
              </w:rPr>
              <w:t>鸿鹄路</w:t>
            </w:r>
          </w:p>
        </w:tc>
        <w:tc>
          <w:tcPr>
            <w:tcW w:w="0" w:type="auto"/>
            <w:noWrap w:val="0"/>
            <w:vAlign w:val="center"/>
          </w:tcPr>
          <w:p w14:paraId="49A3AE3C">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7B45CA67">
            <w:pPr>
              <w:spacing w:line="260" w:lineRule="exact"/>
              <w:jc w:val="center"/>
              <w:rPr>
                <w:color w:val="000000"/>
                <w:szCs w:val="21"/>
              </w:rPr>
            </w:pPr>
            <w:r>
              <w:rPr>
                <w:color w:val="000000"/>
                <w:szCs w:val="21"/>
              </w:rPr>
              <w:t>0.7</w:t>
            </w:r>
          </w:p>
        </w:tc>
        <w:tc>
          <w:tcPr>
            <w:tcW w:w="0" w:type="auto"/>
            <w:noWrap w:val="0"/>
            <w:vAlign w:val="center"/>
          </w:tcPr>
          <w:p w14:paraId="7DD0033C">
            <w:pPr>
              <w:spacing w:line="260" w:lineRule="exact"/>
              <w:jc w:val="center"/>
              <w:rPr>
                <w:color w:val="000000"/>
                <w:szCs w:val="21"/>
              </w:rPr>
            </w:pPr>
            <w:r>
              <w:rPr>
                <w:color w:val="000000"/>
                <w:szCs w:val="21"/>
              </w:rPr>
              <w:t>2</w:t>
            </w:r>
          </w:p>
        </w:tc>
        <w:tc>
          <w:tcPr>
            <w:tcW w:w="0" w:type="auto"/>
            <w:noWrap w:val="0"/>
            <w:vAlign w:val="center"/>
          </w:tcPr>
          <w:p w14:paraId="5B9A7E7F">
            <w:pPr>
              <w:spacing w:line="260" w:lineRule="exact"/>
              <w:jc w:val="center"/>
              <w:rPr>
                <w:color w:val="000000"/>
                <w:szCs w:val="21"/>
              </w:rPr>
            </w:pPr>
            <w:r>
              <w:rPr>
                <w:color w:val="000000"/>
                <w:szCs w:val="21"/>
              </w:rPr>
              <w:t>70</w:t>
            </w:r>
          </w:p>
        </w:tc>
        <w:tc>
          <w:tcPr>
            <w:tcW w:w="0" w:type="auto"/>
            <w:noWrap w:val="0"/>
            <w:vAlign w:val="center"/>
          </w:tcPr>
          <w:p w14:paraId="7FB4F341">
            <w:pPr>
              <w:spacing w:line="260" w:lineRule="exact"/>
              <w:jc w:val="center"/>
              <w:rPr>
                <w:color w:val="000000"/>
                <w:szCs w:val="21"/>
              </w:rPr>
            </w:pPr>
            <w:r>
              <w:rPr>
                <w:color w:val="000000"/>
                <w:szCs w:val="21"/>
              </w:rPr>
              <w:t>240</w:t>
            </w:r>
          </w:p>
        </w:tc>
      </w:tr>
      <w:tr w14:paraId="714A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32B7A35">
            <w:pPr>
              <w:spacing w:line="260" w:lineRule="exact"/>
              <w:jc w:val="center"/>
              <w:rPr>
                <w:color w:val="000000"/>
                <w:szCs w:val="21"/>
              </w:rPr>
            </w:pPr>
            <w:r>
              <w:rPr>
                <w:rFonts w:hint="eastAsia"/>
                <w:color w:val="000000"/>
                <w:szCs w:val="21"/>
              </w:rPr>
              <w:t>0</w:t>
            </w:r>
            <w:r>
              <w:rPr>
                <w:color w:val="000000"/>
                <w:szCs w:val="21"/>
              </w:rPr>
              <w:t>9</w:t>
            </w:r>
          </w:p>
        </w:tc>
        <w:tc>
          <w:tcPr>
            <w:tcW w:w="0" w:type="auto"/>
            <w:noWrap w:val="0"/>
            <w:vAlign w:val="center"/>
          </w:tcPr>
          <w:p w14:paraId="3130052F">
            <w:pPr>
              <w:spacing w:line="260" w:lineRule="exact"/>
              <w:jc w:val="center"/>
              <w:rPr>
                <w:rFonts w:eastAsia="楷体_GB2312"/>
              </w:rPr>
            </w:pPr>
            <w:r>
              <w:rPr>
                <w:rFonts w:hint="eastAsia" w:eastAsia="楷体_GB2312"/>
              </w:rPr>
              <w:t>大泽路</w:t>
            </w:r>
          </w:p>
        </w:tc>
        <w:tc>
          <w:tcPr>
            <w:tcW w:w="0" w:type="auto"/>
            <w:noWrap w:val="0"/>
            <w:vAlign w:val="center"/>
          </w:tcPr>
          <w:p w14:paraId="39405FE3">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6966D51F">
            <w:pPr>
              <w:spacing w:line="260" w:lineRule="exact"/>
              <w:jc w:val="center"/>
              <w:rPr>
                <w:color w:val="000000"/>
                <w:szCs w:val="21"/>
              </w:rPr>
            </w:pPr>
            <w:r>
              <w:rPr>
                <w:color w:val="000000"/>
                <w:szCs w:val="21"/>
              </w:rPr>
              <w:t>0.7</w:t>
            </w:r>
          </w:p>
        </w:tc>
        <w:tc>
          <w:tcPr>
            <w:tcW w:w="0" w:type="auto"/>
            <w:noWrap w:val="0"/>
            <w:vAlign w:val="center"/>
          </w:tcPr>
          <w:p w14:paraId="4D369462">
            <w:pPr>
              <w:spacing w:line="260" w:lineRule="exact"/>
              <w:jc w:val="center"/>
              <w:rPr>
                <w:color w:val="000000"/>
                <w:szCs w:val="21"/>
              </w:rPr>
            </w:pPr>
            <w:r>
              <w:rPr>
                <w:color w:val="000000"/>
                <w:szCs w:val="21"/>
              </w:rPr>
              <w:t>2</w:t>
            </w:r>
          </w:p>
        </w:tc>
        <w:tc>
          <w:tcPr>
            <w:tcW w:w="0" w:type="auto"/>
            <w:noWrap w:val="0"/>
            <w:vAlign w:val="center"/>
          </w:tcPr>
          <w:p w14:paraId="5C99C19C">
            <w:pPr>
              <w:spacing w:line="260" w:lineRule="exact"/>
              <w:jc w:val="center"/>
              <w:rPr>
                <w:color w:val="000000"/>
                <w:szCs w:val="21"/>
              </w:rPr>
            </w:pPr>
            <w:r>
              <w:rPr>
                <w:color w:val="000000"/>
                <w:szCs w:val="21"/>
              </w:rPr>
              <w:t>70</w:t>
            </w:r>
          </w:p>
        </w:tc>
        <w:tc>
          <w:tcPr>
            <w:tcW w:w="0" w:type="auto"/>
            <w:noWrap w:val="0"/>
            <w:vAlign w:val="center"/>
          </w:tcPr>
          <w:p w14:paraId="2B42BDB7">
            <w:pPr>
              <w:spacing w:line="260" w:lineRule="exact"/>
              <w:jc w:val="center"/>
              <w:rPr>
                <w:color w:val="000000"/>
                <w:szCs w:val="21"/>
              </w:rPr>
            </w:pPr>
            <w:r>
              <w:rPr>
                <w:color w:val="000000"/>
                <w:szCs w:val="21"/>
              </w:rPr>
              <w:t>240</w:t>
            </w:r>
          </w:p>
        </w:tc>
      </w:tr>
      <w:tr w14:paraId="174E6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D488F4C">
            <w:pPr>
              <w:spacing w:line="260" w:lineRule="exact"/>
              <w:jc w:val="center"/>
              <w:rPr>
                <w:color w:val="000000"/>
                <w:szCs w:val="21"/>
              </w:rPr>
            </w:pPr>
            <w:r>
              <w:rPr>
                <w:color w:val="000000"/>
                <w:szCs w:val="21"/>
              </w:rPr>
              <w:t>10</w:t>
            </w:r>
          </w:p>
        </w:tc>
        <w:tc>
          <w:tcPr>
            <w:tcW w:w="0" w:type="auto"/>
            <w:noWrap w:val="0"/>
            <w:vAlign w:val="center"/>
          </w:tcPr>
          <w:p w14:paraId="6F8EE411">
            <w:pPr>
              <w:spacing w:line="260" w:lineRule="exact"/>
              <w:jc w:val="center"/>
              <w:rPr>
                <w:rFonts w:eastAsia="楷体_GB2312"/>
              </w:rPr>
            </w:pPr>
            <w:r>
              <w:rPr>
                <w:rFonts w:hint="eastAsia" w:eastAsia="楷体_GB2312"/>
              </w:rPr>
              <w:t>沿浍路</w:t>
            </w:r>
          </w:p>
        </w:tc>
        <w:tc>
          <w:tcPr>
            <w:tcW w:w="0" w:type="auto"/>
            <w:noWrap w:val="0"/>
            <w:vAlign w:val="center"/>
          </w:tcPr>
          <w:p w14:paraId="4EB2ED4D">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43895D46">
            <w:pPr>
              <w:spacing w:line="260" w:lineRule="exact"/>
              <w:jc w:val="center"/>
              <w:rPr>
                <w:color w:val="000000"/>
                <w:szCs w:val="21"/>
              </w:rPr>
            </w:pPr>
            <w:r>
              <w:rPr>
                <w:color w:val="000000"/>
                <w:szCs w:val="21"/>
              </w:rPr>
              <w:t>0.7</w:t>
            </w:r>
          </w:p>
        </w:tc>
        <w:tc>
          <w:tcPr>
            <w:tcW w:w="0" w:type="auto"/>
            <w:noWrap w:val="0"/>
            <w:vAlign w:val="center"/>
          </w:tcPr>
          <w:p w14:paraId="3C31AEC2">
            <w:pPr>
              <w:spacing w:line="260" w:lineRule="exact"/>
              <w:jc w:val="center"/>
              <w:rPr>
                <w:color w:val="000000"/>
                <w:szCs w:val="21"/>
              </w:rPr>
            </w:pPr>
            <w:r>
              <w:rPr>
                <w:color w:val="000000"/>
                <w:szCs w:val="21"/>
              </w:rPr>
              <w:t>2</w:t>
            </w:r>
          </w:p>
        </w:tc>
        <w:tc>
          <w:tcPr>
            <w:tcW w:w="0" w:type="auto"/>
            <w:noWrap w:val="0"/>
            <w:vAlign w:val="center"/>
          </w:tcPr>
          <w:p w14:paraId="0FDF5885">
            <w:pPr>
              <w:spacing w:line="260" w:lineRule="exact"/>
              <w:jc w:val="center"/>
              <w:rPr>
                <w:color w:val="000000"/>
                <w:szCs w:val="21"/>
              </w:rPr>
            </w:pPr>
            <w:r>
              <w:rPr>
                <w:color w:val="000000"/>
                <w:szCs w:val="21"/>
              </w:rPr>
              <w:t>70</w:t>
            </w:r>
          </w:p>
        </w:tc>
        <w:tc>
          <w:tcPr>
            <w:tcW w:w="0" w:type="auto"/>
            <w:noWrap w:val="0"/>
            <w:vAlign w:val="center"/>
          </w:tcPr>
          <w:p w14:paraId="3D28B523">
            <w:pPr>
              <w:spacing w:line="260" w:lineRule="exact"/>
              <w:jc w:val="center"/>
              <w:rPr>
                <w:color w:val="000000"/>
                <w:szCs w:val="21"/>
              </w:rPr>
            </w:pPr>
            <w:r>
              <w:rPr>
                <w:color w:val="000000"/>
                <w:szCs w:val="21"/>
              </w:rPr>
              <w:t>240</w:t>
            </w:r>
          </w:p>
        </w:tc>
      </w:tr>
      <w:tr w14:paraId="49EF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FA850BC">
            <w:pPr>
              <w:spacing w:line="260" w:lineRule="exact"/>
              <w:jc w:val="center"/>
              <w:rPr>
                <w:color w:val="000000"/>
                <w:szCs w:val="21"/>
              </w:rPr>
            </w:pPr>
            <w:r>
              <w:rPr>
                <w:color w:val="000000"/>
                <w:szCs w:val="21"/>
              </w:rPr>
              <w:t>11</w:t>
            </w:r>
          </w:p>
        </w:tc>
        <w:tc>
          <w:tcPr>
            <w:tcW w:w="0" w:type="auto"/>
            <w:noWrap w:val="0"/>
            <w:vAlign w:val="center"/>
          </w:tcPr>
          <w:p w14:paraId="15616928">
            <w:pPr>
              <w:spacing w:line="260" w:lineRule="exact"/>
              <w:jc w:val="center"/>
              <w:rPr>
                <w:rFonts w:eastAsia="楷体_GB2312"/>
              </w:rPr>
            </w:pPr>
            <w:r>
              <w:rPr>
                <w:rFonts w:hint="eastAsia" w:eastAsia="楷体_GB2312"/>
              </w:rPr>
              <w:t>厂矿路</w:t>
            </w:r>
          </w:p>
        </w:tc>
        <w:tc>
          <w:tcPr>
            <w:tcW w:w="0" w:type="auto"/>
            <w:noWrap w:val="0"/>
            <w:vAlign w:val="center"/>
          </w:tcPr>
          <w:p w14:paraId="634FDCE8">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4045551E">
            <w:pPr>
              <w:spacing w:line="260" w:lineRule="exact"/>
              <w:jc w:val="center"/>
              <w:rPr>
                <w:color w:val="000000"/>
                <w:szCs w:val="21"/>
              </w:rPr>
            </w:pPr>
            <w:r>
              <w:rPr>
                <w:color w:val="000000"/>
                <w:szCs w:val="21"/>
              </w:rPr>
              <w:t>0.7</w:t>
            </w:r>
          </w:p>
        </w:tc>
        <w:tc>
          <w:tcPr>
            <w:tcW w:w="0" w:type="auto"/>
            <w:noWrap w:val="0"/>
            <w:vAlign w:val="center"/>
          </w:tcPr>
          <w:p w14:paraId="61BDA6CB">
            <w:pPr>
              <w:spacing w:line="260" w:lineRule="exact"/>
              <w:jc w:val="center"/>
              <w:rPr>
                <w:color w:val="000000"/>
                <w:szCs w:val="21"/>
              </w:rPr>
            </w:pPr>
            <w:r>
              <w:rPr>
                <w:color w:val="000000"/>
                <w:szCs w:val="21"/>
              </w:rPr>
              <w:t>2</w:t>
            </w:r>
          </w:p>
        </w:tc>
        <w:tc>
          <w:tcPr>
            <w:tcW w:w="0" w:type="auto"/>
            <w:noWrap w:val="0"/>
            <w:vAlign w:val="center"/>
          </w:tcPr>
          <w:p w14:paraId="66969388">
            <w:pPr>
              <w:spacing w:line="260" w:lineRule="exact"/>
              <w:jc w:val="center"/>
              <w:rPr>
                <w:color w:val="000000"/>
                <w:szCs w:val="21"/>
              </w:rPr>
            </w:pPr>
            <w:r>
              <w:rPr>
                <w:color w:val="000000"/>
                <w:szCs w:val="21"/>
              </w:rPr>
              <w:t>70</w:t>
            </w:r>
          </w:p>
        </w:tc>
        <w:tc>
          <w:tcPr>
            <w:tcW w:w="0" w:type="auto"/>
            <w:noWrap w:val="0"/>
            <w:vAlign w:val="center"/>
          </w:tcPr>
          <w:p w14:paraId="28AEA93E">
            <w:pPr>
              <w:spacing w:line="260" w:lineRule="exact"/>
              <w:jc w:val="center"/>
              <w:rPr>
                <w:color w:val="000000"/>
                <w:szCs w:val="21"/>
              </w:rPr>
            </w:pPr>
            <w:r>
              <w:rPr>
                <w:color w:val="000000"/>
                <w:szCs w:val="21"/>
              </w:rPr>
              <w:t>240</w:t>
            </w:r>
          </w:p>
        </w:tc>
      </w:tr>
      <w:tr w14:paraId="4EED4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6A0D5DF">
            <w:pPr>
              <w:spacing w:line="260" w:lineRule="exact"/>
              <w:jc w:val="center"/>
              <w:rPr>
                <w:color w:val="000000"/>
                <w:szCs w:val="21"/>
              </w:rPr>
            </w:pPr>
            <w:r>
              <w:rPr>
                <w:color w:val="000000"/>
                <w:szCs w:val="21"/>
              </w:rPr>
              <w:t>12</w:t>
            </w:r>
          </w:p>
        </w:tc>
        <w:tc>
          <w:tcPr>
            <w:tcW w:w="0" w:type="auto"/>
            <w:noWrap w:val="0"/>
            <w:vAlign w:val="center"/>
          </w:tcPr>
          <w:p w14:paraId="087ED517">
            <w:pPr>
              <w:spacing w:line="260" w:lineRule="exact"/>
              <w:jc w:val="center"/>
              <w:rPr>
                <w:rFonts w:eastAsia="楷体_GB2312"/>
              </w:rPr>
            </w:pPr>
            <w:r>
              <w:rPr>
                <w:rFonts w:hint="eastAsia" w:eastAsia="楷体_GB2312"/>
              </w:rPr>
              <w:t>老街路</w:t>
            </w:r>
          </w:p>
        </w:tc>
        <w:tc>
          <w:tcPr>
            <w:tcW w:w="0" w:type="auto"/>
            <w:noWrap w:val="0"/>
            <w:vAlign w:val="center"/>
          </w:tcPr>
          <w:p w14:paraId="776F6467">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79EFD281">
            <w:pPr>
              <w:spacing w:line="260" w:lineRule="exact"/>
              <w:jc w:val="center"/>
              <w:rPr>
                <w:color w:val="000000"/>
                <w:szCs w:val="21"/>
              </w:rPr>
            </w:pPr>
            <w:r>
              <w:rPr>
                <w:color w:val="000000"/>
                <w:szCs w:val="21"/>
              </w:rPr>
              <w:t>0.7</w:t>
            </w:r>
          </w:p>
        </w:tc>
        <w:tc>
          <w:tcPr>
            <w:tcW w:w="0" w:type="auto"/>
            <w:noWrap w:val="0"/>
            <w:vAlign w:val="center"/>
          </w:tcPr>
          <w:p w14:paraId="5AA8A227">
            <w:pPr>
              <w:spacing w:line="260" w:lineRule="exact"/>
              <w:jc w:val="center"/>
              <w:rPr>
                <w:color w:val="000000"/>
                <w:szCs w:val="21"/>
              </w:rPr>
            </w:pPr>
            <w:r>
              <w:rPr>
                <w:color w:val="000000"/>
                <w:szCs w:val="21"/>
              </w:rPr>
              <w:t>2</w:t>
            </w:r>
          </w:p>
        </w:tc>
        <w:tc>
          <w:tcPr>
            <w:tcW w:w="0" w:type="auto"/>
            <w:noWrap w:val="0"/>
            <w:vAlign w:val="center"/>
          </w:tcPr>
          <w:p w14:paraId="5A4A6F98">
            <w:pPr>
              <w:spacing w:line="260" w:lineRule="exact"/>
              <w:jc w:val="center"/>
              <w:rPr>
                <w:color w:val="000000"/>
                <w:szCs w:val="21"/>
              </w:rPr>
            </w:pPr>
            <w:r>
              <w:rPr>
                <w:color w:val="000000"/>
                <w:szCs w:val="21"/>
              </w:rPr>
              <w:t>70</w:t>
            </w:r>
          </w:p>
        </w:tc>
        <w:tc>
          <w:tcPr>
            <w:tcW w:w="0" w:type="auto"/>
            <w:noWrap w:val="0"/>
            <w:vAlign w:val="center"/>
          </w:tcPr>
          <w:p w14:paraId="780B0B9C">
            <w:pPr>
              <w:spacing w:line="260" w:lineRule="exact"/>
              <w:jc w:val="center"/>
              <w:rPr>
                <w:color w:val="000000"/>
                <w:szCs w:val="21"/>
              </w:rPr>
            </w:pPr>
            <w:r>
              <w:rPr>
                <w:color w:val="000000"/>
                <w:szCs w:val="21"/>
              </w:rPr>
              <w:t>240</w:t>
            </w:r>
          </w:p>
        </w:tc>
      </w:tr>
      <w:tr w14:paraId="3D871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5FFD264">
            <w:pPr>
              <w:spacing w:line="260" w:lineRule="exact"/>
              <w:jc w:val="center"/>
              <w:rPr>
                <w:color w:val="000000"/>
                <w:szCs w:val="21"/>
              </w:rPr>
            </w:pPr>
            <w:r>
              <w:rPr>
                <w:color w:val="000000"/>
                <w:szCs w:val="21"/>
              </w:rPr>
              <w:t>13</w:t>
            </w:r>
          </w:p>
        </w:tc>
        <w:tc>
          <w:tcPr>
            <w:tcW w:w="0" w:type="auto"/>
            <w:noWrap w:val="0"/>
            <w:vAlign w:val="center"/>
          </w:tcPr>
          <w:p w14:paraId="1D7F7438">
            <w:pPr>
              <w:spacing w:line="260" w:lineRule="exact"/>
              <w:jc w:val="center"/>
              <w:rPr>
                <w:rFonts w:eastAsia="楷体_GB2312"/>
              </w:rPr>
            </w:pPr>
            <w:r>
              <w:rPr>
                <w:rFonts w:hint="eastAsia" w:eastAsia="楷体_GB2312"/>
              </w:rPr>
              <w:t>滨河路</w:t>
            </w:r>
          </w:p>
        </w:tc>
        <w:tc>
          <w:tcPr>
            <w:tcW w:w="0" w:type="auto"/>
            <w:noWrap w:val="0"/>
            <w:vAlign w:val="center"/>
          </w:tcPr>
          <w:p w14:paraId="47E3C985">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22CD2342">
            <w:pPr>
              <w:spacing w:line="260" w:lineRule="exact"/>
              <w:jc w:val="center"/>
              <w:rPr>
                <w:color w:val="000000"/>
                <w:szCs w:val="21"/>
              </w:rPr>
            </w:pPr>
            <w:r>
              <w:rPr>
                <w:color w:val="000000"/>
                <w:szCs w:val="21"/>
              </w:rPr>
              <w:t>0.7</w:t>
            </w:r>
          </w:p>
        </w:tc>
        <w:tc>
          <w:tcPr>
            <w:tcW w:w="0" w:type="auto"/>
            <w:noWrap w:val="0"/>
            <w:vAlign w:val="center"/>
          </w:tcPr>
          <w:p w14:paraId="4D5B0B4D">
            <w:pPr>
              <w:spacing w:line="260" w:lineRule="exact"/>
              <w:jc w:val="center"/>
              <w:rPr>
                <w:color w:val="000000"/>
                <w:szCs w:val="21"/>
              </w:rPr>
            </w:pPr>
            <w:r>
              <w:rPr>
                <w:color w:val="000000"/>
                <w:szCs w:val="21"/>
              </w:rPr>
              <w:t>2</w:t>
            </w:r>
          </w:p>
        </w:tc>
        <w:tc>
          <w:tcPr>
            <w:tcW w:w="0" w:type="auto"/>
            <w:noWrap w:val="0"/>
            <w:vAlign w:val="center"/>
          </w:tcPr>
          <w:p w14:paraId="320CECAE">
            <w:pPr>
              <w:spacing w:line="260" w:lineRule="exact"/>
              <w:jc w:val="center"/>
              <w:rPr>
                <w:color w:val="000000"/>
                <w:szCs w:val="21"/>
              </w:rPr>
            </w:pPr>
            <w:r>
              <w:rPr>
                <w:color w:val="000000"/>
                <w:szCs w:val="21"/>
              </w:rPr>
              <w:t>70</w:t>
            </w:r>
          </w:p>
        </w:tc>
        <w:tc>
          <w:tcPr>
            <w:tcW w:w="0" w:type="auto"/>
            <w:noWrap w:val="0"/>
            <w:vAlign w:val="center"/>
          </w:tcPr>
          <w:p w14:paraId="26DA07F8">
            <w:pPr>
              <w:spacing w:line="260" w:lineRule="exact"/>
              <w:jc w:val="center"/>
              <w:rPr>
                <w:color w:val="000000"/>
                <w:szCs w:val="21"/>
              </w:rPr>
            </w:pPr>
            <w:r>
              <w:rPr>
                <w:color w:val="000000"/>
                <w:szCs w:val="21"/>
              </w:rPr>
              <w:t>240</w:t>
            </w:r>
          </w:p>
        </w:tc>
      </w:tr>
      <w:tr w14:paraId="1572F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9D63905">
            <w:pPr>
              <w:spacing w:line="260" w:lineRule="exact"/>
              <w:jc w:val="center"/>
              <w:rPr>
                <w:color w:val="000000"/>
                <w:szCs w:val="21"/>
              </w:rPr>
            </w:pPr>
            <w:r>
              <w:rPr>
                <w:color w:val="000000"/>
                <w:szCs w:val="21"/>
              </w:rPr>
              <w:t>14</w:t>
            </w:r>
          </w:p>
        </w:tc>
        <w:tc>
          <w:tcPr>
            <w:tcW w:w="0" w:type="auto"/>
            <w:noWrap w:val="0"/>
            <w:vAlign w:val="center"/>
          </w:tcPr>
          <w:p w14:paraId="596873BE">
            <w:pPr>
              <w:spacing w:line="260" w:lineRule="exact"/>
              <w:jc w:val="center"/>
              <w:rPr>
                <w:rFonts w:eastAsia="楷体_GB2312"/>
              </w:rPr>
            </w:pPr>
            <w:r>
              <w:rPr>
                <w:rFonts w:hint="eastAsia" w:eastAsia="楷体_GB2312"/>
              </w:rPr>
              <w:t>蕲北路</w:t>
            </w:r>
          </w:p>
        </w:tc>
        <w:tc>
          <w:tcPr>
            <w:tcW w:w="0" w:type="auto"/>
            <w:noWrap w:val="0"/>
            <w:vAlign w:val="center"/>
          </w:tcPr>
          <w:p w14:paraId="07030B60">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3796C0ED">
            <w:pPr>
              <w:spacing w:line="260" w:lineRule="exact"/>
              <w:jc w:val="center"/>
              <w:rPr>
                <w:color w:val="000000"/>
                <w:szCs w:val="21"/>
              </w:rPr>
            </w:pPr>
            <w:r>
              <w:rPr>
                <w:color w:val="000000"/>
                <w:szCs w:val="21"/>
              </w:rPr>
              <w:t>0.7</w:t>
            </w:r>
          </w:p>
        </w:tc>
        <w:tc>
          <w:tcPr>
            <w:tcW w:w="0" w:type="auto"/>
            <w:noWrap w:val="0"/>
            <w:vAlign w:val="center"/>
          </w:tcPr>
          <w:p w14:paraId="24A42B28">
            <w:pPr>
              <w:spacing w:line="260" w:lineRule="exact"/>
              <w:jc w:val="center"/>
              <w:rPr>
                <w:color w:val="000000"/>
                <w:szCs w:val="21"/>
              </w:rPr>
            </w:pPr>
            <w:r>
              <w:rPr>
                <w:color w:val="000000"/>
                <w:szCs w:val="21"/>
              </w:rPr>
              <w:t>2</w:t>
            </w:r>
          </w:p>
        </w:tc>
        <w:tc>
          <w:tcPr>
            <w:tcW w:w="0" w:type="auto"/>
            <w:noWrap w:val="0"/>
            <w:vAlign w:val="center"/>
          </w:tcPr>
          <w:p w14:paraId="0CBB4707">
            <w:pPr>
              <w:spacing w:line="260" w:lineRule="exact"/>
              <w:jc w:val="center"/>
              <w:rPr>
                <w:color w:val="000000"/>
                <w:szCs w:val="21"/>
              </w:rPr>
            </w:pPr>
            <w:r>
              <w:rPr>
                <w:color w:val="000000"/>
                <w:szCs w:val="21"/>
              </w:rPr>
              <w:t>70</w:t>
            </w:r>
          </w:p>
        </w:tc>
        <w:tc>
          <w:tcPr>
            <w:tcW w:w="0" w:type="auto"/>
            <w:noWrap w:val="0"/>
            <w:vAlign w:val="center"/>
          </w:tcPr>
          <w:p w14:paraId="32D9A310">
            <w:pPr>
              <w:spacing w:line="260" w:lineRule="exact"/>
              <w:jc w:val="center"/>
              <w:rPr>
                <w:color w:val="000000"/>
                <w:szCs w:val="21"/>
              </w:rPr>
            </w:pPr>
            <w:r>
              <w:rPr>
                <w:color w:val="000000"/>
                <w:szCs w:val="21"/>
              </w:rPr>
              <w:t>240</w:t>
            </w:r>
          </w:p>
        </w:tc>
      </w:tr>
      <w:tr w14:paraId="622C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BC41943">
            <w:pPr>
              <w:spacing w:line="260" w:lineRule="exact"/>
              <w:jc w:val="center"/>
              <w:rPr>
                <w:color w:val="000000"/>
                <w:szCs w:val="21"/>
              </w:rPr>
            </w:pPr>
            <w:r>
              <w:rPr>
                <w:color w:val="000000"/>
                <w:szCs w:val="21"/>
              </w:rPr>
              <w:t>15</w:t>
            </w:r>
          </w:p>
        </w:tc>
        <w:tc>
          <w:tcPr>
            <w:tcW w:w="0" w:type="auto"/>
            <w:noWrap w:val="0"/>
            <w:vAlign w:val="center"/>
          </w:tcPr>
          <w:p w14:paraId="11C91A54">
            <w:pPr>
              <w:spacing w:line="260" w:lineRule="exact"/>
              <w:jc w:val="center"/>
              <w:rPr>
                <w:rFonts w:eastAsia="楷体_GB2312"/>
              </w:rPr>
            </w:pPr>
            <w:r>
              <w:rPr>
                <w:rFonts w:hint="eastAsia" w:eastAsia="楷体_GB2312"/>
              </w:rPr>
              <w:t>沿河路</w:t>
            </w:r>
          </w:p>
        </w:tc>
        <w:tc>
          <w:tcPr>
            <w:tcW w:w="0" w:type="auto"/>
            <w:noWrap w:val="0"/>
            <w:vAlign w:val="center"/>
          </w:tcPr>
          <w:p w14:paraId="4A2E5CC2">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3D002192">
            <w:pPr>
              <w:spacing w:line="260" w:lineRule="exact"/>
              <w:jc w:val="center"/>
              <w:rPr>
                <w:color w:val="000000"/>
                <w:szCs w:val="21"/>
              </w:rPr>
            </w:pPr>
            <w:r>
              <w:rPr>
                <w:color w:val="000000"/>
                <w:szCs w:val="21"/>
              </w:rPr>
              <w:t>0.7</w:t>
            </w:r>
          </w:p>
        </w:tc>
        <w:tc>
          <w:tcPr>
            <w:tcW w:w="0" w:type="auto"/>
            <w:noWrap w:val="0"/>
            <w:vAlign w:val="center"/>
          </w:tcPr>
          <w:p w14:paraId="0461E6F5">
            <w:pPr>
              <w:spacing w:line="260" w:lineRule="exact"/>
              <w:jc w:val="center"/>
              <w:rPr>
                <w:color w:val="000000"/>
                <w:szCs w:val="21"/>
              </w:rPr>
            </w:pPr>
            <w:r>
              <w:rPr>
                <w:color w:val="000000"/>
                <w:szCs w:val="21"/>
              </w:rPr>
              <w:t>2</w:t>
            </w:r>
          </w:p>
        </w:tc>
        <w:tc>
          <w:tcPr>
            <w:tcW w:w="0" w:type="auto"/>
            <w:noWrap w:val="0"/>
            <w:vAlign w:val="center"/>
          </w:tcPr>
          <w:p w14:paraId="482CBB3E">
            <w:pPr>
              <w:spacing w:line="260" w:lineRule="exact"/>
              <w:jc w:val="center"/>
              <w:rPr>
                <w:color w:val="000000"/>
                <w:szCs w:val="21"/>
              </w:rPr>
            </w:pPr>
            <w:r>
              <w:rPr>
                <w:color w:val="000000"/>
                <w:szCs w:val="21"/>
              </w:rPr>
              <w:t>70</w:t>
            </w:r>
          </w:p>
        </w:tc>
        <w:tc>
          <w:tcPr>
            <w:tcW w:w="0" w:type="auto"/>
            <w:noWrap w:val="0"/>
            <w:vAlign w:val="center"/>
          </w:tcPr>
          <w:p w14:paraId="4C76189D">
            <w:pPr>
              <w:spacing w:line="260" w:lineRule="exact"/>
              <w:jc w:val="center"/>
              <w:rPr>
                <w:color w:val="000000"/>
                <w:szCs w:val="21"/>
              </w:rPr>
            </w:pPr>
            <w:r>
              <w:rPr>
                <w:color w:val="000000"/>
                <w:szCs w:val="21"/>
              </w:rPr>
              <w:t>240</w:t>
            </w:r>
          </w:p>
        </w:tc>
      </w:tr>
      <w:tr w14:paraId="0AE8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9C0FCA9">
            <w:pPr>
              <w:spacing w:line="260" w:lineRule="exact"/>
              <w:jc w:val="center"/>
              <w:rPr>
                <w:color w:val="000000"/>
                <w:szCs w:val="21"/>
              </w:rPr>
            </w:pPr>
            <w:r>
              <w:rPr>
                <w:color w:val="000000"/>
                <w:szCs w:val="21"/>
              </w:rPr>
              <w:t>16</w:t>
            </w:r>
          </w:p>
        </w:tc>
        <w:tc>
          <w:tcPr>
            <w:tcW w:w="0" w:type="auto"/>
            <w:noWrap w:val="0"/>
            <w:vAlign w:val="center"/>
          </w:tcPr>
          <w:p w14:paraId="31F11920">
            <w:pPr>
              <w:spacing w:line="260" w:lineRule="exact"/>
              <w:jc w:val="center"/>
              <w:rPr>
                <w:rFonts w:eastAsia="楷体_GB2312"/>
              </w:rPr>
            </w:pPr>
            <w:r>
              <w:rPr>
                <w:rFonts w:hint="eastAsia" w:eastAsia="楷体_GB2312"/>
              </w:rPr>
              <w:t>城东路</w:t>
            </w:r>
          </w:p>
        </w:tc>
        <w:tc>
          <w:tcPr>
            <w:tcW w:w="0" w:type="auto"/>
            <w:noWrap w:val="0"/>
            <w:vAlign w:val="center"/>
          </w:tcPr>
          <w:p w14:paraId="6C6E5F4F">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64C74AF0">
            <w:pPr>
              <w:spacing w:line="260" w:lineRule="exact"/>
              <w:jc w:val="center"/>
              <w:rPr>
                <w:color w:val="000000"/>
                <w:szCs w:val="21"/>
              </w:rPr>
            </w:pPr>
            <w:r>
              <w:rPr>
                <w:color w:val="000000"/>
                <w:szCs w:val="21"/>
              </w:rPr>
              <w:t>0.7</w:t>
            </w:r>
          </w:p>
        </w:tc>
        <w:tc>
          <w:tcPr>
            <w:tcW w:w="0" w:type="auto"/>
            <w:noWrap w:val="0"/>
            <w:vAlign w:val="center"/>
          </w:tcPr>
          <w:p w14:paraId="6FE7018B">
            <w:pPr>
              <w:spacing w:line="260" w:lineRule="exact"/>
              <w:jc w:val="center"/>
              <w:rPr>
                <w:color w:val="000000"/>
                <w:szCs w:val="21"/>
              </w:rPr>
            </w:pPr>
            <w:r>
              <w:rPr>
                <w:color w:val="000000"/>
                <w:szCs w:val="21"/>
              </w:rPr>
              <w:t>2</w:t>
            </w:r>
          </w:p>
        </w:tc>
        <w:tc>
          <w:tcPr>
            <w:tcW w:w="0" w:type="auto"/>
            <w:noWrap w:val="0"/>
            <w:vAlign w:val="center"/>
          </w:tcPr>
          <w:p w14:paraId="1B1A6A93">
            <w:pPr>
              <w:spacing w:line="260" w:lineRule="exact"/>
              <w:jc w:val="center"/>
              <w:rPr>
                <w:color w:val="000000"/>
                <w:szCs w:val="21"/>
              </w:rPr>
            </w:pPr>
            <w:r>
              <w:rPr>
                <w:color w:val="000000"/>
                <w:szCs w:val="21"/>
              </w:rPr>
              <w:t>70</w:t>
            </w:r>
          </w:p>
        </w:tc>
        <w:tc>
          <w:tcPr>
            <w:tcW w:w="0" w:type="auto"/>
            <w:noWrap w:val="0"/>
            <w:vAlign w:val="center"/>
          </w:tcPr>
          <w:p w14:paraId="06089A10">
            <w:pPr>
              <w:spacing w:line="260" w:lineRule="exact"/>
              <w:jc w:val="center"/>
              <w:rPr>
                <w:color w:val="000000"/>
                <w:szCs w:val="21"/>
              </w:rPr>
            </w:pPr>
            <w:r>
              <w:rPr>
                <w:color w:val="000000"/>
                <w:szCs w:val="21"/>
              </w:rPr>
              <w:t>240</w:t>
            </w:r>
          </w:p>
        </w:tc>
      </w:tr>
      <w:tr w14:paraId="7A497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4D0DC18">
            <w:pPr>
              <w:spacing w:line="260" w:lineRule="exact"/>
              <w:jc w:val="center"/>
              <w:rPr>
                <w:color w:val="000000"/>
                <w:szCs w:val="21"/>
              </w:rPr>
            </w:pPr>
            <w:r>
              <w:rPr>
                <w:color w:val="000000"/>
                <w:szCs w:val="21"/>
              </w:rPr>
              <w:t>17</w:t>
            </w:r>
          </w:p>
        </w:tc>
        <w:tc>
          <w:tcPr>
            <w:tcW w:w="0" w:type="auto"/>
            <w:noWrap w:val="0"/>
            <w:vAlign w:val="center"/>
          </w:tcPr>
          <w:p w14:paraId="2C83C442">
            <w:pPr>
              <w:spacing w:line="260" w:lineRule="exact"/>
              <w:jc w:val="center"/>
              <w:rPr>
                <w:rFonts w:eastAsia="楷体_GB2312"/>
              </w:rPr>
            </w:pPr>
            <w:r>
              <w:rPr>
                <w:rFonts w:hint="eastAsia" w:eastAsia="楷体_GB2312"/>
              </w:rPr>
              <w:t>富强东路</w:t>
            </w:r>
          </w:p>
        </w:tc>
        <w:tc>
          <w:tcPr>
            <w:tcW w:w="0" w:type="auto"/>
            <w:noWrap w:val="0"/>
            <w:vAlign w:val="center"/>
          </w:tcPr>
          <w:p w14:paraId="46B4C6F1">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2D5A8305">
            <w:pPr>
              <w:spacing w:line="260" w:lineRule="exact"/>
              <w:jc w:val="center"/>
              <w:rPr>
                <w:color w:val="000000"/>
                <w:szCs w:val="21"/>
              </w:rPr>
            </w:pPr>
            <w:r>
              <w:rPr>
                <w:color w:val="000000"/>
                <w:szCs w:val="21"/>
              </w:rPr>
              <w:t>0.4</w:t>
            </w:r>
          </w:p>
        </w:tc>
        <w:tc>
          <w:tcPr>
            <w:tcW w:w="0" w:type="auto"/>
            <w:noWrap w:val="0"/>
            <w:vAlign w:val="center"/>
          </w:tcPr>
          <w:p w14:paraId="3BC2389A">
            <w:pPr>
              <w:spacing w:line="260" w:lineRule="exact"/>
              <w:jc w:val="center"/>
              <w:rPr>
                <w:color w:val="000000"/>
                <w:szCs w:val="21"/>
              </w:rPr>
            </w:pPr>
            <w:r>
              <w:rPr>
                <w:color w:val="000000"/>
                <w:szCs w:val="21"/>
              </w:rPr>
              <w:t>3</w:t>
            </w:r>
          </w:p>
        </w:tc>
        <w:tc>
          <w:tcPr>
            <w:tcW w:w="0" w:type="auto"/>
            <w:noWrap w:val="0"/>
            <w:vAlign w:val="center"/>
          </w:tcPr>
          <w:p w14:paraId="2DFE006F">
            <w:pPr>
              <w:spacing w:line="260" w:lineRule="exact"/>
              <w:jc w:val="center"/>
              <w:rPr>
                <w:color w:val="000000"/>
                <w:szCs w:val="21"/>
              </w:rPr>
            </w:pPr>
            <w:r>
              <w:rPr>
                <w:color w:val="000000"/>
                <w:szCs w:val="21"/>
              </w:rPr>
              <w:t>40</w:t>
            </w:r>
          </w:p>
        </w:tc>
        <w:tc>
          <w:tcPr>
            <w:tcW w:w="0" w:type="auto"/>
            <w:noWrap w:val="0"/>
            <w:vAlign w:val="center"/>
          </w:tcPr>
          <w:p w14:paraId="05EAD8E1">
            <w:pPr>
              <w:spacing w:line="260" w:lineRule="exact"/>
              <w:jc w:val="center"/>
              <w:rPr>
                <w:color w:val="000000"/>
                <w:szCs w:val="21"/>
              </w:rPr>
            </w:pPr>
            <w:r>
              <w:rPr>
                <w:color w:val="000000"/>
                <w:szCs w:val="21"/>
              </w:rPr>
              <w:t>200</w:t>
            </w:r>
          </w:p>
        </w:tc>
      </w:tr>
      <w:tr w14:paraId="3B895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F54A5E8">
            <w:pPr>
              <w:spacing w:line="260" w:lineRule="exact"/>
              <w:jc w:val="center"/>
              <w:rPr>
                <w:color w:val="000000"/>
                <w:szCs w:val="21"/>
              </w:rPr>
            </w:pPr>
            <w:r>
              <w:rPr>
                <w:color w:val="000000"/>
                <w:szCs w:val="21"/>
              </w:rPr>
              <w:t>18</w:t>
            </w:r>
          </w:p>
        </w:tc>
        <w:tc>
          <w:tcPr>
            <w:tcW w:w="0" w:type="auto"/>
            <w:noWrap w:val="0"/>
            <w:vAlign w:val="center"/>
          </w:tcPr>
          <w:p w14:paraId="082A7A09">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观星路</w:t>
            </w:r>
          </w:p>
        </w:tc>
        <w:tc>
          <w:tcPr>
            <w:tcW w:w="0" w:type="auto"/>
            <w:noWrap w:val="0"/>
            <w:vAlign w:val="center"/>
          </w:tcPr>
          <w:p w14:paraId="5DF3F3C2">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680AB22B">
            <w:pPr>
              <w:spacing w:line="260" w:lineRule="exact"/>
              <w:jc w:val="center"/>
              <w:rPr>
                <w:color w:val="000000"/>
                <w:szCs w:val="21"/>
              </w:rPr>
            </w:pPr>
            <w:r>
              <w:rPr>
                <w:color w:val="000000"/>
                <w:szCs w:val="21"/>
              </w:rPr>
              <w:t>0.4</w:t>
            </w:r>
          </w:p>
        </w:tc>
        <w:tc>
          <w:tcPr>
            <w:tcW w:w="0" w:type="auto"/>
            <w:noWrap w:val="0"/>
            <w:vAlign w:val="center"/>
          </w:tcPr>
          <w:p w14:paraId="232B1DE0">
            <w:pPr>
              <w:spacing w:line="260" w:lineRule="exact"/>
              <w:jc w:val="center"/>
              <w:rPr>
                <w:color w:val="000000"/>
                <w:szCs w:val="21"/>
              </w:rPr>
            </w:pPr>
            <w:r>
              <w:rPr>
                <w:color w:val="000000"/>
                <w:szCs w:val="21"/>
              </w:rPr>
              <w:t>3</w:t>
            </w:r>
          </w:p>
        </w:tc>
        <w:tc>
          <w:tcPr>
            <w:tcW w:w="0" w:type="auto"/>
            <w:noWrap w:val="0"/>
            <w:vAlign w:val="center"/>
          </w:tcPr>
          <w:p w14:paraId="2C5D158C">
            <w:pPr>
              <w:spacing w:line="260" w:lineRule="exact"/>
              <w:jc w:val="center"/>
              <w:rPr>
                <w:color w:val="000000"/>
                <w:szCs w:val="21"/>
              </w:rPr>
            </w:pPr>
            <w:r>
              <w:rPr>
                <w:color w:val="000000"/>
                <w:szCs w:val="21"/>
              </w:rPr>
              <w:t>40</w:t>
            </w:r>
          </w:p>
        </w:tc>
        <w:tc>
          <w:tcPr>
            <w:tcW w:w="0" w:type="auto"/>
            <w:noWrap w:val="0"/>
            <w:vAlign w:val="center"/>
          </w:tcPr>
          <w:p w14:paraId="3E016EAB">
            <w:pPr>
              <w:spacing w:line="260" w:lineRule="exact"/>
              <w:jc w:val="center"/>
              <w:rPr>
                <w:color w:val="000000"/>
                <w:szCs w:val="21"/>
              </w:rPr>
            </w:pPr>
            <w:r>
              <w:rPr>
                <w:color w:val="000000"/>
                <w:szCs w:val="21"/>
              </w:rPr>
              <w:t>200</w:t>
            </w:r>
          </w:p>
        </w:tc>
      </w:tr>
      <w:tr w14:paraId="6CDD3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C7A4D1B">
            <w:pPr>
              <w:spacing w:line="260" w:lineRule="exact"/>
              <w:jc w:val="center"/>
              <w:rPr>
                <w:color w:val="000000"/>
                <w:szCs w:val="21"/>
              </w:rPr>
            </w:pPr>
            <w:r>
              <w:rPr>
                <w:color w:val="000000"/>
                <w:szCs w:val="21"/>
              </w:rPr>
              <w:t>19</w:t>
            </w:r>
          </w:p>
        </w:tc>
        <w:tc>
          <w:tcPr>
            <w:tcW w:w="0" w:type="auto"/>
            <w:noWrap w:val="0"/>
            <w:vAlign w:val="center"/>
          </w:tcPr>
          <w:p w14:paraId="67491172">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沛城路</w:t>
            </w:r>
          </w:p>
        </w:tc>
        <w:tc>
          <w:tcPr>
            <w:tcW w:w="0" w:type="auto"/>
            <w:noWrap w:val="0"/>
            <w:vAlign w:val="center"/>
          </w:tcPr>
          <w:p w14:paraId="35C4CC71">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688CAC8C">
            <w:pPr>
              <w:spacing w:line="260" w:lineRule="exact"/>
              <w:jc w:val="center"/>
              <w:rPr>
                <w:color w:val="000000"/>
                <w:szCs w:val="21"/>
              </w:rPr>
            </w:pPr>
            <w:r>
              <w:rPr>
                <w:color w:val="000000"/>
                <w:szCs w:val="21"/>
              </w:rPr>
              <w:t>0.4</w:t>
            </w:r>
          </w:p>
        </w:tc>
        <w:tc>
          <w:tcPr>
            <w:tcW w:w="0" w:type="auto"/>
            <w:noWrap w:val="0"/>
            <w:vAlign w:val="center"/>
          </w:tcPr>
          <w:p w14:paraId="350BCE58">
            <w:pPr>
              <w:spacing w:line="260" w:lineRule="exact"/>
              <w:jc w:val="center"/>
              <w:rPr>
                <w:color w:val="000000"/>
                <w:szCs w:val="21"/>
              </w:rPr>
            </w:pPr>
            <w:r>
              <w:rPr>
                <w:color w:val="000000"/>
                <w:szCs w:val="21"/>
              </w:rPr>
              <w:t>3</w:t>
            </w:r>
          </w:p>
        </w:tc>
        <w:tc>
          <w:tcPr>
            <w:tcW w:w="0" w:type="auto"/>
            <w:noWrap w:val="0"/>
            <w:vAlign w:val="center"/>
          </w:tcPr>
          <w:p w14:paraId="36FDB89E">
            <w:pPr>
              <w:spacing w:line="260" w:lineRule="exact"/>
              <w:jc w:val="center"/>
              <w:rPr>
                <w:color w:val="000000"/>
                <w:szCs w:val="21"/>
              </w:rPr>
            </w:pPr>
            <w:r>
              <w:rPr>
                <w:color w:val="000000"/>
                <w:szCs w:val="21"/>
              </w:rPr>
              <w:t>40</w:t>
            </w:r>
          </w:p>
        </w:tc>
        <w:tc>
          <w:tcPr>
            <w:tcW w:w="0" w:type="auto"/>
            <w:noWrap w:val="0"/>
            <w:vAlign w:val="center"/>
          </w:tcPr>
          <w:p w14:paraId="7182175E">
            <w:pPr>
              <w:spacing w:line="260" w:lineRule="exact"/>
              <w:jc w:val="center"/>
              <w:rPr>
                <w:color w:val="000000"/>
                <w:szCs w:val="21"/>
              </w:rPr>
            </w:pPr>
            <w:r>
              <w:rPr>
                <w:color w:val="000000"/>
                <w:szCs w:val="21"/>
              </w:rPr>
              <w:t>200</w:t>
            </w:r>
          </w:p>
        </w:tc>
      </w:tr>
      <w:tr w14:paraId="59186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19BD742">
            <w:pPr>
              <w:spacing w:line="260" w:lineRule="exact"/>
              <w:jc w:val="center"/>
              <w:rPr>
                <w:color w:val="000000"/>
                <w:szCs w:val="21"/>
              </w:rPr>
            </w:pPr>
            <w:r>
              <w:rPr>
                <w:color w:val="000000"/>
                <w:szCs w:val="21"/>
              </w:rPr>
              <w:t>20</w:t>
            </w:r>
          </w:p>
        </w:tc>
        <w:tc>
          <w:tcPr>
            <w:tcW w:w="0" w:type="auto"/>
            <w:noWrap w:val="0"/>
            <w:vAlign w:val="center"/>
          </w:tcPr>
          <w:p w14:paraId="44E9BF36">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文曲路</w:t>
            </w:r>
          </w:p>
        </w:tc>
        <w:tc>
          <w:tcPr>
            <w:tcW w:w="0" w:type="auto"/>
            <w:noWrap w:val="0"/>
            <w:vAlign w:val="center"/>
          </w:tcPr>
          <w:p w14:paraId="47A44181">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2F56927">
            <w:pPr>
              <w:spacing w:line="260" w:lineRule="exact"/>
              <w:jc w:val="center"/>
              <w:rPr>
                <w:color w:val="000000"/>
                <w:szCs w:val="21"/>
              </w:rPr>
            </w:pPr>
            <w:r>
              <w:rPr>
                <w:color w:val="000000"/>
                <w:szCs w:val="21"/>
              </w:rPr>
              <w:t>0.4</w:t>
            </w:r>
          </w:p>
        </w:tc>
        <w:tc>
          <w:tcPr>
            <w:tcW w:w="0" w:type="auto"/>
            <w:noWrap w:val="0"/>
            <w:vAlign w:val="center"/>
          </w:tcPr>
          <w:p w14:paraId="7F079AED">
            <w:pPr>
              <w:spacing w:line="260" w:lineRule="exact"/>
              <w:jc w:val="center"/>
              <w:rPr>
                <w:color w:val="000000"/>
                <w:szCs w:val="21"/>
              </w:rPr>
            </w:pPr>
            <w:r>
              <w:rPr>
                <w:color w:val="000000"/>
                <w:szCs w:val="21"/>
              </w:rPr>
              <w:t>3</w:t>
            </w:r>
          </w:p>
        </w:tc>
        <w:tc>
          <w:tcPr>
            <w:tcW w:w="0" w:type="auto"/>
            <w:noWrap w:val="0"/>
            <w:vAlign w:val="center"/>
          </w:tcPr>
          <w:p w14:paraId="664B9D32">
            <w:pPr>
              <w:spacing w:line="260" w:lineRule="exact"/>
              <w:jc w:val="center"/>
              <w:rPr>
                <w:color w:val="000000"/>
                <w:szCs w:val="21"/>
              </w:rPr>
            </w:pPr>
            <w:r>
              <w:rPr>
                <w:color w:val="000000"/>
                <w:szCs w:val="21"/>
              </w:rPr>
              <w:t>40</w:t>
            </w:r>
          </w:p>
        </w:tc>
        <w:tc>
          <w:tcPr>
            <w:tcW w:w="0" w:type="auto"/>
            <w:noWrap w:val="0"/>
            <w:vAlign w:val="center"/>
          </w:tcPr>
          <w:p w14:paraId="4DFAD509">
            <w:pPr>
              <w:spacing w:line="260" w:lineRule="exact"/>
              <w:jc w:val="center"/>
              <w:rPr>
                <w:color w:val="000000"/>
                <w:szCs w:val="21"/>
              </w:rPr>
            </w:pPr>
            <w:r>
              <w:rPr>
                <w:color w:val="000000"/>
                <w:szCs w:val="21"/>
              </w:rPr>
              <w:t>200</w:t>
            </w:r>
          </w:p>
        </w:tc>
      </w:tr>
      <w:tr w14:paraId="6F383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B520071">
            <w:pPr>
              <w:spacing w:line="260" w:lineRule="exact"/>
              <w:jc w:val="center"/>
              <w:rPr>
                <w:color w:val="000000"/>
                <w:szCs w:val="21"/>
              </w:rPr>
            </w:pPr>
            <w:r>
              <w:rPr>
                <w:color w:val="000000"/>
                <w:szCs w:val="21"/>
              </w:rPr>
              <w:t>21</w:t>
            </w:r>
          </w:p>
        </w:tc>
        <w:tc>
          <w:tcPr>
            <w:tcW w:w="0" w:type="auto"/>
            <w:noWrap w:val="0"/>
            <w:vAlign w:val="center"/>
          </w:tcPr>
          <w:p w14:paraId="5807F919">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振兴路</w:t>
            </w:r>
          </w:p>
        </w:tc>
        <w:tc>
          <w:tcPr>
            <w:tcW w:w="0" w:type="auto"/>
            <w:noWrap w:val="0"/>
            <w:vAlign w:val="center"/>
          </w:tcPr>
          <w:p w14:paraId="762EE5CC">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CCC6635">
            <w:pPr>
              <w:spacing w:line="260" w:lineRule="exact"/>
              <w:jc w:val="center"/>
              <w:rPr>
                <w:color w:val="000000"/>
                <w:szCs w:val="21"/>
              </w:rPr>
            </w:pPr>
            <w:r>
              <w:rPr>
                <w:color w:val="000000"/>
                <w:szCs w:val="21"/>
              </w:rPr>
              <w:t>0.4</w:t>
            </w:r>
          </w:p>
        </w:tc>
        <w:tc>
          <w:tcPr>
            <w:tcW w:w="0" w:type="auto"/>
            <w:noWrap w:val="0"/>
            <w:vAlign w:val="center"/>
          </w:tcPr>
          <w:p w14:paraId="3A070B03">
            <w:pPr>
              <w:spacing w:line="260" w:lineRule="exact"/>
              <w:jc w:val="center"/>
              <w:rPr>
                <w:color w:val="000000"/>
                <w:szCs w:val="21"/>
              </w:rPr>
            </w:pPr>
            <w:r>
              <w:rPr>
                <w:color w:val="000000"/>
                <w:szCs w:val="21"/>
              </w:rPr>
              <w:t>3</w:t>
            </w:r>
          </w:p>
        </w:tc>
        <w:tc>
          <w:tcPr>
            <w:tcW w:w="0" w:type="auto"/>
            <w:noWrap w:val="0"/>
            <w:vAlign w:val="center"/>
          </w:tcPr>
          <w:p w14:paraId="46D2DCCE">
            <w:pPr>
              <w:spacing w:line="260" w:lineRule="exact"/>
              <w:jc w:val="center"/>
              <w:rPr>
                <w:color w:val="000000"/>
                <w:szCs w:val="21"/>
              </w:rPr>
            </w:pPr>
            <w:r>
              <w:rPr>
                <w:color w:val="000000"/>
                <w:szCs w:val="21"/>
              </w:rPr>
              <w:t>40</w:t>
            </w:r>
          </w:p>
        </w:tc>
        <w:tc>
          <w:tcPr>
            <w:tcW w:w="0" w:type="auto"/>
            <w:noWrap w:val="0"/>
            <w:vAlign w:val="center"/>
          </w:tcPr>
          <w:p w14:paraId="7B6457AF">
            <w:pPr>
              <w:spacing w:line="260" w:lineRule="exact"/>
              <w:jc w:val="center"/>
              <w:rPr>
                <w:color w:val="000000"/>
                <w:szCs w:val="21"/>
              </w:rPr>
            </w:pPr>
            <w:r>
              <w:rPr>
                <w:color w:val="000000"/>
                <w:szCs w:val="21"/>
              </w:rPr>
              <w:t>200</w:t>
            </w:r>
          </w:p>
        </w:tc>
      </w:tr>
      <w:tr w14:paraId="36A0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56C7B3E">
            <w:pPr>
              <w:spacing w:line="260" w:lineRule="exact"/>
              <w:jc w:val="center"/>
              <w:rPr>
                <w:color w:val="000000"/>
                <w:szCs w:val="21"/>
              </w:rPr>
            </w:pPr>
            <w:r>
              <w:rPr>
                <w:color w:val="000000"/>
                <w:szCs w:val="21"/>
              </w:rPr>
              <w:t>22</w:t>
            </w:r>
          </w:p>
        </w:tc>
        <w:tc>
          <w:tcPr>
            <w:tcW w:w="0" w:type="auto"/>
            <w:noWrap w:val="0"/>
            <w:vAlign w:val="center"/>
          </w:tcPr>
          <w:p w14:paraId="08926AB4">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文苑路</w:t>
            </w:r>
          </w:p>
        </w:tc>
        <w:tc>
          <w:tcPr>
            <w:tcW w:w="0" w:type="auto"/>
            <w:noWrap w:val="0"/>
            <w:vAlign w:val="center"/>
          </w:tcPr>
          <w:p w14:paraId="5F335418">
            <w:pPr>
              <w:spacing w:line="260" w:lineRule="exact"/>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D892113">
            <w:pPr>
              <w:spacing w:line="260" w:lineRule="exact"/>
              <w:jc w:val="center"/>
              <w:rPr>
                <w:color w:val="000000"/>
                <w:szCs w:val="21"/>
              </w:rPr>
            </w:pPr>
            <w:r>
              <w:rPr>
                <w:color w:val="000000"/>
                <w:szCs w:val="21"/>
              </w:rPr>
              <w:t>0.4</w:t>
            </w:r>
          </w:p>
        </w:tc>
        <w:tc>
          <w:tcPr>
            <w:tcW w:w="0" w:type="auto"/>
            <w:noWrap w:val="0"/>
            <w:vAlign w:val="center"/>
          </w:tcPr>
          <w:p w14:paraId="5AED01BD">
            <w:pPr>
              <w:spacing w:line="260" w:lineRule="exact"/>
              <w:jc w:val="center"/>
              <w:rPr>
                <w:color w:val="000000"/>
                <w:szCs w:val="21"/>
              </w:rPr>
            </w:pPr>
            <w:r>
              <w:rPr>
                <w:color w:val="000000"/>
                <w:szCs w:val="21"/>
              </w:rPr>
              <w:t>3</w:t>
            </w:r>
          </w:p>
        </w:tc>
        <w:tc>
          <w:tcPr>
            <w:tcW w:w="0" w:type="auto"/>
            <w:noWrap w:val="0"/>
            <w:vAlign w:val="center"/>
          </w:tcPr>
          <w:p w14:paraId="553D4242">
            <w:pPr>
              <w:spacing w:line="260" w:lineRule="exact"/>
              <w:jc w:val="center"/>
              <w:rPr>
                <w:color w:val="000000"/>
                <w:szCs w:val="21"/>
              </w:rPr>
            </w:pPr>
            <w:r>
              <w:rPr>
                <w:color w:val="000000"/>
                <w:szCs w:val="21"/>
              </w:rPr>
              <w:t>40</w:t>
            </w:r>
          </w:p>
        </w:tc>
        <w:tc>
          <w:tcPr>
            <w:tcW w:w="0" w:type="auto"/>
            <w:noWrap w:val="0"/>
            <w:vAlign w:val="center"/>
          </w:tcPr>
          <w:p w14:paraId="17C9F96F">
            <w:pPr>
              <w:spacing w:line="260" w:lineRule="exact"/>
              <w:jc w:val="center"/>
              <w:rPr>
                <w:color w:val="000000"/>
                <w:szCs w:val="21"/>
              </w:rPr>
            </w:pPr>
            <w:r>
              <w:rPr>
                <w:color w:val="000000"/>
                <w:szCs w:val="21"/>
              </w:rPr>
              <w:t>200</w:t>
            </w:r>
          </w:p>
        </w:tc>
      </w:tr>
    </w:tbl>
    <w:p w14:paraId="6806A3F9">
      <w:pPr>
        <w:jc w:val="center"/>
        <w:rPr>
          <w:rFonts w:eastAsia="黑体"/>
          <w:sz w:val="28"/>
        </w:rPr>
      </w:pPr>
      <w:r>
        <w:rPr>
          <w:rFonts w:eastAsia="黑体"/>
          <w:sz w:val="28"/>
        </w:rPr>
        <w:t xml:space="preserve">表1-3-9  </w:t>
      </w:r>
      <w:r>
        <w:rPr>
          <w:rFonts w:hint="eastAsia" w:eastAsia="黑体"/>
          <w:sz w:val="28"/>
        </w:rPr>
        <w:t>芦岭镇</w:t>
      </w:r>
      <w:r>
        <w:rPr>
          <w:rFonts w:eastAsia="黑体"/>
          <w:sz w:val="28"/>
        </w:rPr>
        <w:t>镇区道路状况及其功能分及影响距离表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460"/>
        <w:gridCol w:w="1460"/>
        <w:gridCol w:w="1460"/>
        <w:gridCol w:w="879"/>
        <w:gridCol w:w="1170"/>
        <w:gridCol w:w="1460"/>
      </w:tblGrid>
      <w:tr w14:paraId="2F524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83" w:type="dxa"/>
            <w:noWrap w:val="0"/>
            <w:vAlign w:val="top"/>
          </w:tcPr>
          <w:p w14:paraId="1494E0B5">
            <w:pPr>
              <w:jc w:val="center"/>
              <w:rPr>
                <w:rFonts w:eastAsia="楷体_GB2312"/>
              </w:rPr>
            </w:pPr>
            <w:r>
              <w:rPr>
                <w:rFonts w:eastAsia="楷体_GB2312"/>
              </w:rPr>
              <w:t>道路编号</w:t>
            </w:r>
          </w:p>
        </w:tc>
        <w:tc>
          <w:tcPr>
            <w:tcW w:w="0" w:type="auto"/>
            <w:noWrap w:val="0"/>
            <w:vAlign w:val="top"/>
          </w:tcPr>
          <w:p w14:paraId="472B818B">
            <w:pPr>
              <w:jc w:val="center"/>
              <w:rPr>
                <w:rFonts w:eastAsia="楷体_GB2312"/>
              </w:rPr>
            </w:pPr>
            <w:r>
              <w:rPr>
                <w:rFonts w:eastAsia="楷体_GB2312"/>
              </w:rPr>
              <w:t>道路名称</w:t>
            </w:r>
          </w:p>
        </w:tc>
        <w:tc>
          <w:tcPr>
            <w:tcW w:w="0" w:type="auto"/>
            <w:noWrap w:val="0"/>
            <w:vAlign w:val="top"/>
          </w:tcPr>
          <w:p w14:paraId="58A238BC">
            <w:pPr>
              <w:jc w:val="center"/>
              <w:rPr>
                <w:rFonts w:eastAsia="楷体_GB2312"/>
              </w:rPr>
            </w:pPr>
            <w:r>
              <w:rPr>
                <w:rFonts w:eastAsia="楷体_GB2312"/>
              </w:rPr>
              <w:t>道路类型</w:t>
            </w:r>
          </w:p>
        </w:tc>
        <w:tc>
          <w:tcPr>
            <w:tcW w:w="0" w:type="auto"/>
            <w:noWrap w:val="0"/>
            <w:vAlign w:val="top"/>
          </w:tcPr>
          <w:p w14:paraId="112AC180">
            <w:pPr>
              <w:jc w:val="center"/>
              <w:rPr>
                <w:rFonts w:eastAsia="楷体_GB2312"/>
              </w:rPr>
            </w:pPr>
            <w:r>
              <w:rPr>
                <w:rFonts w:eastAsia="楷体_GB2312"/>
              </w:rPr>
              <w:t>作用指数</w:t>
            </w:r>
          </w:p>
        </w:tc>
        <w:tc>
          <w:tcPr>
            <w:tcW w:w="0" w:type="auto"/>
            <w:noWrap w:val="0"/>
            <w:vAlign w:val="top"/>
          </w:tcPr>
          <w:p w14:paraId="4AA87B7A">
            <w:pPr>
              <w:jc w:val="center"/>
              <w:rPr>
                <w:rFonts w:eastAsia="楷体_GB2312"/>
              </w:rPr>
            </w:pPr>
            <w:r>
              <w:rPr>
                <w:rFonts w:eastAsia="楷体_GB2312"/>
              </w:rPr>
              <w:t>级别</w:t>
            </w:r>
          </w:p>
        </w:tc>
        <w:tc>
          <w:tcPr>
            <w:tcW w:w="0" w:type="auto"/>
            <w:noWrap w:val="0"/>
            <w:vAlign w:val="top"/>
          </w:tcPr>
          <w:p w14:paraId="78F50423">
            <w:pPr>
              <w:jc w:val="center"/>
              <w:rPr>
                <w:rFonts w:eastAsia="楷体_GB2312"/>
              </w:rPr>
            </w:pPr>
            <w:r>
              <w:rPr>
                <w:rFonts w:eastAsia="楷体_GB2312"/>
              </w:rPr>
              <w:t>功能分</w:t>
            </w:r>
          </w:p>
        </w:tc>
        <w:tc>
          <w:tcPr>
            <w:tcW w:w="0" w:type="auto"/>
            <w:noWrap w:val="0"/>
            <w:vAlign w:val="top"/>
          </w:tcPr>
          <w:p w14:paraId="7A359B1B">
            <w:pPr>
              <w:jc w:val="center"/>
              <w:rPr>
                <w:rFonts w:eastAsia="楷体_GB2312"/>
              </w:rPr>
            </w:pPr>
            <w:r>
              <w:rPr>
                <w:rFonts w:eastAsia="楷体_GB2312"/>
              </w:rPr>
              <w:t>影响半径</w:t>
            </w:r>
          </w:p>
        </w:tc>
      </w:tr>
      <w:tr w14:paraId="46C9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4DBC2AB">
            <w:pPr>
              <w:jc w:val="center"/>
              <w:rPr>
                <w:color w:val="000000"/>
                <w:szCs w:val="21"/>
              </w:rPr>
            </w:pPr>
            <w:r>
              <w:rPr>
                <w:rFonts w:hint="eastAsia"/>
                <w:color w:val="000000"/>
                <w:szCs w:val="21"/>
              </w:rPr>
              <w:t>0</w:t>
            </w:r>
            <w:r>
              <w:rPr>
                <w:color w:val="000000"/>
                <w:szCs w:val="21"/>
              </w:rPr>
              <w:t>1</w:t>
            </w:r>
          </w:p>
        </w:tc>
        <w:tc>
          <w:tcPr>
            <w:tcW w:w="0" w:type="auto"/>
            <w:noWrap w:val="0"/>
            <w:vAlign w:val="center"/>
          </w:tcPr>
          <w:p w14:paraId="52C757C9">
            <w:pPr>
              <w:jc w:val="center"/>
              <w:rPr>
                <w:rFonts w:eastAsia="楷体_GB2312"/>
              </w:rPr>
            </w:pPr>
            <w:r>
              <w:rPr>
                <w:rFonts w:hint="eastAsia" w:eastAsia="楷体_GB2312"/>
              </w:rPr>
              <w:t>滨河路</w:t>
            </w:r>
          </w:p>
        </w:tc>
        <w:tc>
          <w:tcPr>
            <w:tcW w:w="0" w:type="auto"/>
            <w:noWrap w:val="0"/>
            <w:vAlign w:val="center"/>
          </w:tcPr>
          <w:p w14:paraId="6E04FEA6">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341D26A7">
            <w:pPr>
              <w:jc w:val="center"/>
              <w:rPr>
                <w:color w:val="000000"/>
                <w:szCs w:val="21"/>
              </w:rPr>
            </w:pPr>
            <w:r>
              <w:rPr>
                <w:color w:val="000000"/>
                <w:szCs w:val="21"/>
              </w:rPr>
              <w:t>1</w:t>
            </w:r>
          </w:p>
        </w:tc>
        <w:tc>
          <w:tcPr>
            <w:tcW w:w="0" w:type="auto"/>
            <w:noWrap w:val="0"/>
            <w:vAlign w:val="center"/>
          </w:tcPr>
          <w:p w14:paraId="3FE0354C">
            <w:pPr>
              <w:jc w:val="center"/>
              <w:rPr>
                <w:color w:val="000000"/>
                <w:szCs w:val="21"/>
              </w:rPr>
            </w:pPr>
            <w:r>
              <w:rPr>
                <w:color w:val="000000"/>
                <w:szCs w:val="21"/>
              </w:rPr>
              <w:t>1</w:t>
            </w:r>
          </w:p>
        </w:tc>
        <w:tc>
          <w:tcPr>
            <w:tcW w:w="0" w:type="auto"/>
            <w:noWrap w:val="0"/>
            <w:vAlign w:val="center"/>
          </w:tcPr>
          <w:p w14:paraId="04E21853">
            <w:pPr>
              <w:jc w:val="center"/>
              <w:rPr>
                <w:color w:val="000000"/>
                <w:szCs w:val="21"/>
              </w:rPr>
            </w:pPr>
            <w:r>
              <w:rPr>
                <w:color w:val="000000"/>
                <w:szCs w:val="21"/>
              </w:rPr>
              <w:t>100</w:t>
            </w:r>
          </w:p>
        </w:tc>
        <w:tc>
          <w:tcPr>
            <w:tcW w:w="0" w:type="auto"/>
            <w:noWrap w:val="0"/>
            <w:vAlign w:val="center"/>
          </w:tcPr>
          <w:p w14:paraId="185E6797">
            <w:pPr>
              <w:jc w:val="center"/>
              <w:rPr>
                <w:color w:val="000000"/>
                <w:szCs w:val="21"/>
              </w:rPr>
            </w:pPr>
            <w:r>
              <w:rPr>
                <w:color w:val="000000"/>
                <w:szCs w:val="21"/>
              </w:rPr>
              <w:t>300</w:t>
            </w:r>
          </w:p>
        </w:tc>
      </w:tr>
      <w:tr w14:paraId="36F09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493F247">
            <w:pPr>
              <w:jc w:val="center"/>
              <w:rPr>
                <w:color w:val="000000"/>
                <w:szCs w:val="21"/>
              </w:rPr>
            </w:pPr>
            <w:r>
              <w:rPr>
                <w:rFonts w:hint="eastAsia"/>
                <w:color w:val="000000"/>
                <w:szCs w:val="21"/>
              </w:rPr>
              <w:t>0</w:t>
            </w:r>
            <w:r>
              <w:rPr>
                <w:color w:val="000000"/>
                <w:szCs w:val="21"/>
              </w:rPr>
              <w:t>2</w:t>
            </w:r>
          </w:p>
        </w:tc>
        <w:tc>
          <w:tcPr>
            <w:tcW w:w="0" w:type="auto"/>
            <w:noWrap w:val="0"/>
            <w:vAlign w:val="center"/>
          </w:tcPr>
          <w:p w14:paraId="0107484D">
            <w:pPr>
              <w:jc w:val="center"/>
              <w:rPr>
                <w:rFonts w:eastAsia="楷体_GB2312"/>
              </w:rPr>
            </w:pPr>
            <w:r>
              <w:rPr>
                <w:rFonts w:hint="eastAsia" w:eastAsia="楷体_GB2312"/>
              </w:rPr>
              <w:t>兴业路</w:t>
            </w:r>
          </w:p>
        </w:tc>
        <w:tc>
          <w:tcPr>
            <w:tcW w:w="0" w:type="auto"/>
            <w:noWrap w:val="0"/>
            <w:vAlign w:val="center"/>
          </w:tcPr>
          <w:p w14:paraId="36DF880C">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71C4AFE5">
            <w:pPr>
              <w:jc w:val="center"/>
              <w:rPr>
                <w:color w:val="000000"/>
                <w:szCs w:val="21"/>
              </w:rPr>
            </w:pPr>
            <w:r>
              <w:rPr>
                <w:color w:val="000000"/>
                <w:szCs w:val="21"/>
              </w:rPr>
              <w:t>1</w:t>
            </w:r>
          </w:p>
        </w:tc>
        <w:tc>
          <w:tcPr>
            <w:tcW w:w="0" w:type="auto"/>
            <w:noWrap w:val="0"/>
            <w:vAlign w:val="center"/>
          </w:tcPr>
          <w:p w14:paraId="2CA57EEB">
            <w:pPr>
              <w:jc w:val="center"/>
              <w:rPr>
                <w:color w:val="000000"/>
                <w:szCs w:val="21"/>
              </w:rPr>
            </w:pPr>
            <w:r>
              <w:rPr>
                <w:color w:val="000000"/>
                <w:szCs w:val="21"/>
              </w:rPr>
              <w:t>1</w:t>
            </w:r>
          </w:p>
        </w:tc>
        <w:tc>
          <w:tcPr>
            <w:tcW w:w="0" w:type="auto"/>
            <w:noWrap w:val="0"/>
            <w:vAlign w:val="center"/>
          </w:tcPr>
          <w:p w14:paraId="1F8578B6">
            <w:pPr>
              <w:jc w:val="center"/>
              <w:rPr>
                <w:color w:val="000000"/>
                <w:szCs w:val="21"/>
              </w:rPr>
            </w:pPr>
            <w:r>
              <w:rPr>
                <w:color w:val="000000"/>
                <w:szCs w:val="21"/>
              </w:rPr>
              <w:t>100</w:t>
            </w:r>
          </w:p>
        </w:tc>
        <w:tc>
          <w:tcPr>
            <w:tcW w:w="0" w:type="auto"/>
            <w:noWrap w:val="0"/>
            <w:vAlign w:val="center"/>
          </w:tcPr>
          <w:p w14:paraId="1AB67D68">
            <w:pPr>
              <w:jc w:val="center"/>
              <w:rPr>
                <w:color w:val="000000"/>
                <w:szCs w:val="21"/>
              </w:rPr>
            </w:pPr>
            <w:r>
              <w:rPr>
                <w:color w:val="000000"/>
                <w:szCs w:val="21"/>
              </w:rPr>
              <w:t>300</w:t>
            </w:r>
          </w:p>
        </w:tc>
      </w:tr>
      <w:tr w14:paraId="4003F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01E97BE">
            <w:pPr>
              <w:jc w:val="center"/>
              <w:rPr>
                <w:color w:val="000000"/>
                <w:szCs w:val="21"/>
              </w:rPr>
            </w:pPr>
            <w:r>
              <w:rPr>
                <w:rFonts w:hint="eastAsia"/>
                <w:color w:val="000000"/>
                <w:szCs w:val="21"/>
              </w:rPr>
              <w:t>0</w:t>
            </w:r>
            <w:r>
              <w:rPr>
                <w:color w:val="000000"/>
                <w:szCs w:val="21"/>
              </w:rPr>
              <w:t>3</w:t>
            </w:r>
          </w:p>
        </w:tc>
        <w:tc>
          <w:tcPr>
            <w:tcW w:w="0" w:type="auto"/>
            <w:noWrap w:val="0"/>
            <w:vAlign w:val="center"/>
          </w:tcPr>
          <w:p w14:paraId="123B5BDA">
            <w:pPr>
              <w:jc w:val="center"/>
              <w:rPr>
                <w:rFonts w:eastAsia="楷体_GB2312"/>
              </w:rPr>
            </w:pPr>
            <w:r>
              <w:rPr>
                <w:rFonts w:hint="eastAsia" w:eastAsia="楷体_GB2312"/>
              </w:rPr>
              <w:t>工农路</w:t>
            </w:r>
          </w:p>
        </w:tc>
        <w:tc>
          <w:tcPr>
            <w:tcW w:w="0" w:type="auto"/>
            <w:noWrap w:val="0"/>
            <w:vAlign w:val="center"/>
          </w:tcPr>
          <w:p w14:paraId="217BA7EF">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511DE302">
            <w:pPr>
              <w:jc w:val="center"/>
              <w:rPr>
                <w:color w:val="000000"/>
                <w:szCs w:val="21"/>
              </w:rPr>
            </w:pPr>
            <w:r>
              <w:rPr>
                <w:color w:val="000000"/>
                <w:szCs w:val="21"/>
              </w:rPr>
              <w:t>1</w:t>
            </w:r>
          </w:p>
        </w:tc>
        <w:tc>
          <w:tcPr>
            <w:tcW w:w="0" w:type="auto"/>
            <w:noWrap w:val="0"/>
            <w:vAlign w:val="center"/>
          </w:tcPr>
          <w:p w14:paraId="6C8224D7">
            <w:pPr>
              <w:jc w:val="center"/>
              <w:rPr>
                <w:color w:val="000000"/>
                <w:szCs w:val="21"/>
              </w:rPr>
            </w:pPr>
            <w:r>
              <w:rPr>
                <w:color w:val="000000"/>
                <w:szCs w:val="21"/>
              </w:rPr>
              <w:t>1</w:t>
            </w:r>
          </w:p>
        </w:tc>
        <w:tc>
          <w:tcPr>
            <w:tcW w:w="0" w:type="auto"/>
            <w:noWrap w:val="0"/>
            <w:vAlign w:val="center"/>
          </w:tcPr>
          <w:p w14:paraId="72DA9241">
            <w:pPr>
              <w:jc w:val="center"/>
              <w:rPr>
                <w:color w:val="000000"/>
                <w:szCs w:val="21"/>
              </w:rPr>
            </w:pPr>
            <w:r>
              <w:rPr>
                <w:color w:val="000000"/>
                <w:szCs w:val="21"/>
              </w:rPr>
              <w:t>100</w:t>
            </w:r>
          </w:p>
        </w:tc>
        <w:tc>
          <w:tcPr>
            <w:tcW w:w="0" w:type="auto"/>
            <w:noWrap w:val="0"/>
            <w:vAlign w:val="center"/>
          </w:tcPr>
          <w:p w14:paraId="158CF928">
            <w:pPr>
              <w:jc w:val="center"/>
              <w:rPr>
                <w:color w:val="000000"/>
                <w:szCs w:val="21"/>
              </w:rPr>
            </w:pPr>
            <w:r>
              <w:rPr>
                <w:color w:val="000000"/>
                <w:szCs w:val="21"/>
              </w:rPr>
              <w:t>300</w:t>
            </w:r>
          </w:p>
        </w:tc>
      </w:tr>
      <w:tr w14:paraId="27120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FEEC675">
            <w:pPr>
              <w:jc w:val="center"/>
              <w:rPr>
                <w:color w:val="000000"/>
                <w:szCs w:val="21"/>
              </w:rPr>
            </w:pPr>
            <w:r>
              <w:rPr>
                <w:rFonts w:hint="eastAsia"/>
                <w:color w:val="000000"/>
                <w:szCs w:val="21"/>
              </w:rPr>
              <w:t>0</w:t>
            </w:r>
            <w:r>
              <w:rPr>
                <w:color w:val="000000"/>
                <w:szCs w:val="21"/>
              </w:rPr>
              <w:t>4</w:t>
            </w:r>
          </w:p>
        </w:tc>
        <w:tc>
          <w:tcPr>
            <w:tcW w:w="0" w:type="auto"/>
            <w:noWrap w:val="0"/>
            <w:vAlign w:val="center"/>
          </w:tcPr>
          <w:p w14:paraId="159E5D99">
            <w:pPr>
              <w:jc w:val="center"/>
              <w:rPr>
                <w:rFonts w:eastAsia="楷体_GB2312"/>
              </w:rPr>
            </w:pPr>
            <w:r>
              <w:rPr>
                <w:rFonts w:hint="eastAsia" w:eastAsia="楷体_GB2312"/>
              </w:rPr>
              <w:t>工农路</w:t>
            </w:r>
          </w:p>
        </w:tc>
        <w:tc>
          <w:tcPr>
            <w:tcW w:w="0" w:type="auto"/>
            <w:noWrap w:val="0"/>
            <w:vAlign w:val="center"/>
          </w:tcPr>
          <w:p w14:paraId="568C5A5A">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7872144F">
            <w:pPr>
              <w:jc w:val="center"/>
              <w:rPr>
                <w:color w:val="000000"/>
                <w:szCs w:val="21"/>
              </w:rPr>
            </w:pPr>
            <w:r>
              <w:rPr>
                <w:color w:val="000000"/>
                <w:szCs w:val="21"/>
              </w:rPr>
              <w:t>1</w:t>
            </w:r>
          </w:p>
        </w:tc>
        <w:tc>
          <w:tcPr>
            <w:tcW w:w="0" w:type="auto"/>
            <w:noWrap w:val="0"/>
            <w:vAlign w:val="center"/>
          </w:tcPr>
          <w:p w14:paraId="7589602D">
            <w:pPr>
              <w:jc w:val="center"/>
              <w:rPr>
                <w:color w:val="000000"/>
                <w:szCs w:val="21"/>
              </w:rPr>
            </w:pPr>
            <w:r>
              <w:rPr>
                <w:color w:val="000000"/>
                <w:szCs w:val="21"/>
              </w:rPr>
              <w:t>1</w:t>
            </w:r>
          </w:p>
        </w:tc>
        <w:tc>
          <w:tcPr>
            <w:tcW w:w="0" w:type="auto"/>
            <w:noWrap w:val="0"/>
            <w:vAlign w:val="center"/>
          </w:tcPr>
          <w:p w14:paraId="36149BDC">
            <w:pPr>
              <w:jc w:val="center"/>
              <w:rPr>
                <w:color w:val="000000"/>
                <w:szCs w:val="21"/>
              </w:rPr>
            </w:pPr>
            <w:r>
              <w:rPr>
                <w:color w:val="000000"/>
                <w:szCs w:val="21"/>
              </w:rPr>
              <w:t>100</w:t>
            </w:r>
          </w:p>
        </w:tc>
        <w:tc>
          <w:tcPr>
            <w:tcW w:w="0" w:type="auto"/>
            <w:noWrap w:val="0"/>
            <w:vAlign w:val="center"/>
          </w:tcPr>
          <w:p w14:paraId="7A509833">
            <w:pPr>
              <w:jc w:val="center"/>
              <w:rPr>
                <w:color w:val="000000"/>
                <w:szCs w:val="21"/>
              </w:rPr>
            </w:pPr>
            <w:r>
              <w:rPr>
                <w:color w:val="000000"/>
                <w:szCs w:val="21"/>
              </w:rPr>
              <w:t>300</w:t>
            </w:r>
          </w:p>
        </w:tc>
      </w:tr>
      <w:tr w14:paraId="5ACAF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4456A44">
            <w:pPr>
              <w:jc w:val="center"/>
              <w:rPr>
                <w:color w:val="000000"/>
                <w:szCs w:val="21"/>
              </w:rPr>
            </w:pPr>
            <w:r>
              <w:rPr>
                <w:rFonts w:hint="eastAsia"/>
                <w:color w:val="000000"/>
                <w:szCs w:val="21"/>
              </w:rPr>
              <w:t>0</w:t>
            </w:r>
            <w:r>
              <w:rPr>
                <w:color w:val="000000"/>
                <w:szCs w:val="21"/>
              </w:rPr>
              <w:t>5</w:t>
            </w:r>
          </w:p>
        </w:tc>
        <w:tc>
          <w:tcPr>
            <w:tcW w:w="0" w:type="auto"/>
            <w:noWrap w:val="0"/>
            <w:vAlign w:val="center"/>
          </w:tcPr>
          <w:p w14:paraId="66939BFF">
            <w:pPr>
              <w:jc w:val="center"/>
              <w:rPr>
                <w:rFonts w:eastAsia="楷体_GB2312"/>
              </w:rPr>
            </w:pPr>
            <w:r>
              <w:rPr>
                <w:rFonts w:hint="eastAsia" w:eastAsia="楷体_GB2312"/>
              </w:rPr>
              <w:t>市场路</w:t>
            </w:r>
          </w:p>
        </w:tc>
        <w:tc>
          <w:tcPr>
            <w:tcW w:w="0" w:type="auto"/>
            <w:noWrap w:val="0"/>
            <w:vAlign w:val="center"/>
          </w:tcPr>
          <w:p w14:paraId="784D4709">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068892D3">
            <w:pPr>
              <w:jc w:val="center"/>
              <w:rPr>
                <w:color w:val="000000"/>
                <w:szCs w:val="21"/>
              </w:rPr>
            </w:pPr>
            <w:r>
              <w:rPr>
                <w:color w:val="000000"/>
                <w:szCs w:val="21"/>
              </w:rPr>
              <w:t>1</w:t>
            </w:r>
          </w:p>
        </w:tc>
        <w:tc>
          <w:tcPr>
            <w:tcW w:w="0" w:type="auto"/>
            <w:noWrap w:val="0"/>
            <w:vAlign w:val="center"/>
          </w:tcPr>
          <w:p w14:paraId="171F1881">
            <w:pPr>
              <w:jc w:val="center"/>
              <w:rPr>
                <w:color w:val="000000"/>
                <w:szCs w:val="21"/>
              </w:rPr>
            </w:pPr>
            <w:r>
              <w:rPr>
                <w:color w:val="000000"/>
                <w:szCs w:val="21"/>
              </w:rPr>
              <w:t>1</w:t>
            </w:r>
          </w:p>
        </w:tc>
        <w:tc>
          <w:tcPr>
            <w:tcW w:w="0" w:type="auto"/>
            <w:noWrap w:val="0"/>
            <w:vAlign w:val="center"/>
          </w:tcPr>
          <w:p w14:paraId="5B76ABC3">
            <w:pPr>
              <w:jc w:val="center"/>
              <w:rPr>
                <w:color w:val="000000"/>
                <w:szCs w:val="21"/>
              </w:rPr>
            </w:pPr>
            <w:r>
              <w:rPr>
                <w:color w:val="000000"/>
                <w:szCs w:val="21"/>
              </w:rPr>
              <w:t>100</w:t>
            </w:r>
          </w:p>
        </w:tc>
        <w:tc>
          <w:tcPr>
            <w:tcW w:w="0" w:type="auto"/>
            <w:noWrap w:val="0"/>
            <w:vAlign w:val="center"/>
          </w:tcPr>
          <w:p w14:paraId="0E2A57EF">
            <w:pPr>
              <w:jc w:val="center"/>
              <w:rPr>
                <w:color w:val="000000"/>
                <w:szCs w:val="21"/>
              </w:rPr>
            </w:pPr>
            <w:r>
              <w:rPr>
                <w:color w:val="000000"/>
                <w:szCs w:val="21"/>
              </w:rPr>
              <w:t>300</w:t>
            </w:r>
          </w:p>
        </w:tc>
      </w:tr>
      <w:tr w14:paraId="689AF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E62210C">
            <w:pPr>
              <w:jc w:val="center"/>
              <w:rPr>
                <w:color w:val="000000"/>
                <w:szCs w:val="21"/>
              </w:rPr>
            </w:pPr>
            <w:r>
              <w:rPr>
                <w:rFonts w:hint="eastAsia"/>
                <w:color w:val="000000"/>
                <w:szCs w:val="21"/>
              </w:rPr>
              <w:t>0</w:t>
            </w:r>
            <w:r>
              <w:rPr>
                <w:color w:val="000000"/>
                <w:szCs w:val="21"/>
              </w:rPr>
              <w:t>6</w:t>
            </w:r>
          </w:p>
        </w:tc>
        <w:tc>
          <w:tcPr>
            <w:tcW w:w="0" w:type="auto"/>
            <w:noWrap w:val="0"/>
            <w:vAlign w:val="center"/>
          </w:tcPr>
          <w:p w14:paraId="30C43CA3">
            <w:pPr>
              <w:jc w:val="center"/>
              <w:rPr>
                <w:rFonts w:eastAsia="楷体_GB2312"/>
              </w:rPr>
            </w:pPr>
            <w:r>
              <w:rPr>
                <w:rFonts w:hint="eastAsia" w:eastAsia="楷体_GB2312"/>
              </w:rPr>
              <w:t>西环路</w:t>
            </w:r>
          </w:p>
        </w:tc>
        <w:tc>
          <w:tcPr>
            <w:tcW w:w="0" w:type="auto"/>
            <w:noWrap w:val="0"/>
            <w:vAlign w:val="center"/>
          </w:tcPr>
          <w:p w14:paraId="3F004F17">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436FF123">
            <w:pPr>
              <w:jc w:val="center"/>
              <w:rPr>
                <w:color w:val="000000"/>
                <w:szCs w:val="21"/>
              </w:rPr>
            </w:pPr>
            <w:r>
              <w:rPr>
                <w:color w:val="000000"/>
                <w:szCs w:val="21"/>
              </w:rPr>
              <w:t>1</w:t>
            </w:r>
          </w:p>
        </w:tc>
        <w:tc>
          <w:tcPr>
            <w:tcW w:w="0" w:type="auto"/>
            <w:noWrap w:val="0"/>
            <w:vAlign w:val="center"/>
          </w:tcPr>
          <w:p w14:paraId="2FA4F34C">
            <w:pPr>
              <w:jc w:val="center"/>
              <w:rPr>
                <w:color w:val="000000"/>
                <w:szCs w:val="21"/>
              </w:rPr>
            </w:pPr>
            <w:r>
              <w:rPr>
                <w:color w:val="000000"/>
                <w:szCs w:val="21"/>
              </w:rPr>
              <w:t>1</w:t>
            </w:r>
          </w:p>
        </w:tc>
        <w:tc>
          <w:tcPr>
            <w:tcW w:w="0" w:type="auto"/>
            <w:noWrap w:val="0"/>
            <w:vAlign w:val="center"/>
          </w:tcPr>
          <w:p w14:paraId="29F2527F">
            <w:pPr>
              <w:jc w:val="center"/>
              <w:rPr>
                <w:color w:val="000000"/>
                <w:szCs w:val="21"/>
              </w:rPr>
            </w:pPr>
            <w:r>
              <w:rPr>
                <w:color w:val="000000"/>
                <w:szCs w:val="21"/>
              </w:rPr>
              <w:t>100</w:t>
            </w:r>
          </w:p>
        </w:tc>
        <w:tc>
          <w:tcPr>
            <w:tcW w:w="0" w:type="auto"/>
            <w:noWrap w:val="0"/>
            <w:vAlign w:val="center"/>
          </w:tcPr>
          <w:p w14:paraId="3A59F100">
            <w:pPr>
              <w:jc w:val="center"/>
              <w:rPr>
                <w:color w:val="000000"/>
                <w:szCs w:val="21"/>
              </w:rPr>
            </w:pPr>
            <w:r>
              <w:rPr>
                <w:color w:val="000000"/>
                <w:szCs w:val="21"/>
              </w:rPr>
              <w:t>300</w:t>
            </w:r>
          </w:p>
        </w:tc>
      </w:tr>
      <w:tr w14:paraId="61734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C4426AA">
            <w:pPr>
              <w:jc w:val="center"/>
              <w:rPr>
                <w:color w:val="000000"/>
                <w:szCs w:val="21"/>
              </w:rPr>
            </w:pPr>
            <w:r>
              <w:rPr>
                <w:rFonts w:hint="eastAsia"/>
                <w:color w:val="000000"/>
                <w:szCs w:val="21"/>
              </w:rPr>
              <w:t>0</w:t>
            </w:r>
            <w:r>
              <w:rPr>
                <w:color w:val="000000"/>
                <w:szCs w:val="21"/>
              </w:rPr>
              <w:t>7</w:t>
            </w:r>
          </w:p>
        </w:tc>
        <w:tc>
          <w:tcPr>
            <w:tcW w:w="0" w:type="auto"/>
            <w:noWrap w:val="0"/>
            <w:vAlign w:val="center"/>
          </w:tcPr>
          <w:p w14:paraId="041DC043">
            <w:pPr>
              <w:jc w:val="center"/>
              <w:rPr>
                <w:rFonts w:eastAsia="楷体_GB2312"/>
              </w:rPr>
            </w:pPr>
            <w:r>
              <w:rPr>
                <w:rFonts w:hint="eastAsia" w:eastAsia="楷体_GB2312"/>
              </w:rPr>
              <w:t>环城路</w:t>
            </w:r>
          </w:p>
        </w:tc>
        <w:tc>
          <w:tcPr>
            <w:tcW w:w="0" w:type="auto"/>
            <w:noWrap w:val="0"/>
            <w:vAlign w:val="center"/>
          </w:tcPr>
          <w:p w14:paraId="365B1DCA">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4D1F1FD2">
            <w:pPr>
              <w:jc w:val="center"/>
              <w:rPr>
                <w:color w:val="000000"/>
                <w:szCs w:val="21"/>
              </w:rPr>
            </w:pPr>
            <w:r>
              <w:rPr>
                <w:color w:val="000000"/>
                <w:szCs w:val="21"/>
              </w:rPr>
              <w:t>1</w:t>
            </w:r>
          </w:p>
        </w:tc>
        <w:tc>
          <w:tcPr>
            <w:tcW w:w="0" w:type="auto"/>
            <w:noWrap w:val="0"/>
            <w:vAlign w:val="center"/>
          </w:tcPr>
          <w:p w14:paraId="71C1B23A">
            <w:pPr>
              <w:jc w:val="center"/>
              <w:rPr>
                <w:color w:val="000000"/>
                <w:szCs w:val="21"/>
              </w:rPr>
            </w:pPr>
            <w:r>
              <w:rPr>
                <w:color w:val="000000"/>
                <w:szCs w:val="21"/>
              </w:rPr>
              <w:t>1</w:t>
            </w:r>
          </w:p>
        </w:tc>
        <w:tc>
          <w:tcPr>
            <w:tcW w:w="0" w:type="auto"/>
            <w:noWrap w:val="0"/>
            <w:vAlign w:val="center"/>
          </w:tcPr>
          <w:p w14:paraId="2DD124A8">
            <w:pPr>
              <w:jc w:val="center"/>
              <w:rPr>
                <w:color w:val="000000"/>
                <w:szCs w:val="21"/>
              </w:rPr>
            </w:pPr>
            <w:r>
              <w:rPr>
                <w:color w:val="000000"/>
                <w:szCs w:val="21"/>
              </w:rPr>
              <w:t>100</w:t>
            </w:r>
          </w:p>
        </w:tc>
        <w:tc>
          <w:tcPr>
            <w:tcW w:w="0" w:type="auto"/>
            <w:noWrap w:val="0"/>
            <w:vAlign w:val="center"/>
          </w:tcPr>
          <w:p w14:paraId="1BC781A2">
            <w:pPr>
              <w:jc w:val="center"/>
              <w:rPr>
                <w:color w:val="000000"/>
                <w:szCs w:val="21"/>
              </w:rPr>
            </w:pPr>
            <w:r>
              <w:rPr>
                <w:color w:val="000000"/>
                <w:szCs w:val="21"/>
              </w:rPr>
              <w:t>300</w:t>
            </w:r>
          </w:p>
        </w:tc>
      </w:tr>
      <w:tr w14:paraId="0BB0A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93D9817">
            <w:pPr>
              <w:jc w:val="center"/>
              <w:rPr>
                <w:color w:val="000000"/>
                <w:szCs w:val="21"/>
              </w:rPr>
            </w:pPr>
            <w:r>
              <w:rPr>
                <w:rFonts w:hint="eastAsia"/>
                <w:color w:val="000000"/>
                <w:szCs w:val="21"/>
              </w:rPr>
              <w:t>0</w:t>
            </w:r>
            <w:r>
              <w:rPr>
                <w:color w:val="000000"/>
                <w:szCs w:val="21"/>
              </w:rPr>
              <w:t>8</w:t>
            </w:r>
          </w:p>
        </w:tc>
        <w:tc>
          <w:tcPr>
            <w:tcW w:w="0" w:type="auto"/>
            <w:noWrap w:val="0"/>
            <w:vAlign w:val="center"/>
          </w:tcPr>
          <w:p w14:paraId="0C0A0410">
            <w:pPr>
              <w:jc w:val="center"/>
              <w:rPr>
                <w:rFonts w:eastAsia="楷体_GB2312"/>
              </w:rPr>
            </w:pPr>
            <w:r>
              <w:rPr>
                <w:rFonts w:hint="eastAsia" w:eastAsia="楷体_GB2312"/>
              </w:rPr>
              <w:t>中心大街</w:t>
            </w:r>
          </w:p>
        </w:tc>
        <w:tc>
          <w:tcPr>
            <w:tcW w:w="0" w:type="auto"/>
            <w:noWrap w:val="0"/>
            <w:vAlign w:val="center"/>
          </w:tcPr>
          <w:p w14:paraId="610758A5">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24379AB7">
            <w:pPr>
              <w:jc w:val="center"/>
              <w:rPr>
                <w:color w:val="000000"/>
                <w:szCs w:val="21"/>
              </w:rPr>
            </w:pPr>
            <w:r>
              <w:rPr>
                <w:color w:val="000000"/>
                <w:szCs w:val="21"/>
              </w:rPr>
              <w:t>1</w:t>
            </w:r>
          </w:p>
        </w:tc>
        <w:tc>
          <w:tcPr>
            <w:tcW w:w="0" w:type="auto"/>
            <w:noWrap w:val="0"/>
            <w:vAlign w:val="center"/>
          </w:tcPr>
          <w:p w14:paraId="3C451D1C">
            <w:pPr>
              <w:jc w:val="center"/>
              <w:rPr>
                <w:color w:val="000000"/>
                <w:szCs w:val="21"/>
              </w:rPr>
            </w:pPr>
            <w:r>
              <w:rPr>
                <w:color w:val="000000"/>
                <w:szCs w:val="21"/>
              </w:rPr>
              <w:t>1</w:t>
            </w:r>
          </w:p>
        </w:tc>
        <w:tc>
          <w:tcPr>
            <w:tcW w:w="0" w:type="auto"/>
            <w:noWrap w:val="0"/>
            <w:vAlign w:val="center"/>
          </w:tcPr>
          <w:p w14:paraId="600BBE3B">
            <w:pPr>
              <w:jc w:val="center"/>
              <w:rPr>
                <w:color w:val="000000"/>
                <w:szCs w:val="21"/>
              </w:rPr>
            </w:pPr>
            <w:r>
              <w:rPr>
                <w:color w:val="000000"/>
                <w:szCs w:val="21"/>
              </w:rPr>
              <w:t>100</w:t>
            </w:r>
          </w:p>
        </w:tc>
        <w:tc>
          <w:tcPr>
            <w:tcW w:w="0" w:type="auto"/>
            <w:noWrap w:val="0"/>
            <w:vAlign w:val="center"/>
          </w:tcPr>
          <w:p w14:paraId="723D20BC">
            <w:pPr>
              <w:jc w:val="center"/>
              <w:rPr>
                <w:color w:val="000000"/>
                <w:szCs w:val="21"/>
              </w:rPr>
            </w:pPr>
            <w:r>
              <w:rPr>
                <w:color w:val="000000"/>
                <w:szCs w:val="21"/>
              </w:rPr>
              <w:t>300</w:t>
            </w:r>
          </w:p>
        </w:tc>
      </w:tr>
      <w:tr w14:paraId="0113C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0062761">
            <w:pPr>
              <w:jc w:val="center"/>
              <w:rPr>
                <w:color w:val="000000"/>
                <w:szCs w:val="21"/>
              </w:rPr>
            </w:pPr>
            <w:r>
              <w:rPr>
                <w:rFonts w:hint="eastAsia"/>
                <w:color w:val="000000"/>
                <w:szCs w:val="21"/>
              </w:rPr>
              <w:t>0</w:t>
            </w:r>
            <w:r>
              <w:rPr>
                <w:color w:val="000000"/>
                <w:szCs w:val="21"/>
              </w:rPr>
              <w:t>9</w:t>
            </w:r>
          </w:p>
        </w:tc>
        <w:tc>
          <w:tcPr>
            <w:tcW w:w="0" w:type="auto"/>
            <w:noWrap w:val="0"/>
            <w:vAlign w:val="center"/>
          </w:tcPr>
          <w:p w14:paraId="0AB13F41">
            <w:pPr>
              <w:jc w:val="center"/>
              <w:rPr>
                <w:rFonts w:eastAsia="楷体_GB2312"/>
              </w:rPr>
            </w:pPr>
            <w:r>
              <w:rPr>
                <w:rFonts w:hint="eastAsia" w:eastAsia="楷体_GB2312"/>
              </w:rPr>
              <w:t>东城路</w:t>
            </w:r>
          </w:p>
        </w:tc>
        <w:tc>
          <w:tcPr>
            <w:tcW w:w="0" w:type="auto"/>
            <w:noWrap w:val="0"/>
            <w:vAlign w:val="center"/>
          </w:tcPr>
          <w:p w14:paraId="71380331">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655E601C">
            <w:pPr>
              <w:jc w:val="center"/>
              <w:rPr>
                <w:color w:val="000000"/>
                <w:szCs w:val="21"/>
              </w:rPr>
            </w:pPr>
            <w:r>
              <w:rPr>
                <w:color w:val="000000"/>
                <w:szCs w:val="21"/>
              </w:rPr>
              <w:t>1</w:t>
            </w:r>
          </w:p>
        </w:tc>
        <w:tc>
          <w:tcPr>
            <w:tcW w:w="0" w:type="auto"/>
            <w:noWrap w:val="0"/>
            <w:vAlign w:val="center"/>
          </w:tcPr>
          <w:p w14:paraId="6B9C7A45">
            <w:pPr>
              <w:jc w:val="center"/>
              <w:rPr>
                <w:color w:val="000000"/>
                <w:szCs w:val="21"/>
              </w:rPr>
            </w:pPr>
            <w:r>
              <w:rPr>
                <w:color w:val="000000"/>
                <w:szCs w:val="21"/>
              </w:rPr>
              <w:t>1</w:t>
            </w:r>
          </w:p>
        </w:tc>
        <w:tc>
          <w:tcPr>
            <w:tcW w:w="0" w:type="auto"/>
            <w:noWrap w:val="0"/>
            <w:vAlign w:val="center"/>
          </w:tcPr>
          <w:p w14:paraId="54C8EACA">
            <w:pPr>
              <w:jc w:val="center"/>
              <w:rPr>
                <w:color w:val="000000"/>
                <w:szCs w:val="21"/>
              </w:rPr>
            </w:pPr>
            <w:r>
              <w:rPr>
                <w:color w:val="000000"/>
                <w:szCs w:val="21"/>
              </w:rPr>
              <w:t>100</w:t>
            </w:r>
          </w:p>
        </w:tc>
        <w:tc>
          <w:tcPr>
            <w:tcW w:w="0" w:type="auto"/>
            <w:noWrap w:val="0"/>
            <w:vAlign w:val="center"/>
          </w:tcPr>
          <w:p w14:paraId="7844CEC2">
            <w:pPr>
              <w:jc w:val="center"/>
              <w:rPr>
                <w:color w:val="000000"/>
                <w:szCs w:val="21"/>
              </w:rPr>
            </w:pPr>
            <w:r>
              <w:rPr>
                <w:color w:val="000000"/>
                <w:szCs w:val="21"/>
              </w:rPr>
              <w:t>300</w:t>
            </w:r>
          </w:p>
        </w:tc>
      </w:tr>
      <w:tr w14:paraId="1F22D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C0E89A3">
            <w:pPr>
              <w:jc w:val="center"/>
              <w:rPr>
                <w:color w:val="000000"/>
                <w:szCs w:val="21"/>
              </w:rPr>
            </w:pPr>
            <w:r>
              <w:rPr>
                <w:color w:val="000000"/>
                <w:szCs w:val="21"/>
              </w:rPr>
              <w:t>10</w:t>
            </w:r>
          </w:p>
        </w:tc>
        <w:tc>
          <w:tcPr>
            <w:tcW w:w="0" w:type="auto"/>
            <w:noWrap w:val="0"/>
            <w:vAlign w:val="center"/>
          </w:tcPr>
          <w:p w14:paraId="1E80ED61">
            <w:pPr>
              <w:jc w:val="center"/>
              <w:rPr>
                <w:rFonts w:eastAsia="楷体_GB2312"/>
              </w:rPr>
            </w:pPr>
            <w:r>
              <w:rPr>
                <w:rFonts w:hint="eastAsia" w:eastAsia="楷体_GB2312"/>
              </w:rPr>
              <w:t>富民路</w:t>
            </w:r>
          </w:p>
        </w:tc>
        <w:tc>
          <w:tcPr>
            <w:tcW w:w="0" w:type="auto"/>
            <w:noWrap w:val="0"/>
            <w:vAlign w:val="center"/>
          </w:tcPr>
          <w:p w14:paraId="2962206E">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7357A6A9">
            <w:pPr>
              <w:jc w:val="center"/>
              <w:rPr>
                <w:color w:val="000000"/>
                <w:szCs w:val="21"/>
              </w:rPr>
            </w:pPr>
            <w:r>
              <w:rPr>
                <w:color w:val="000000"/>
                <w:szCs w:val="21"/>
              </w:rPr>
              <w:t>0.7</w:t>
            </w:r>
          </w:p>
        </w:tc>
        <w:tc>
          <w:tcPr>
            <w:tcW w:w="0" w:type="auto"/>
            <w:noWrap w:val="0"/>
            <w:vAlign w:val="center"/>
          </w:tcPr>
          <w:p w14:paraId="38D715EA">
            <w:pPr>
              <w:jc w:val="center"/>
              <w:rPr>
                <w:color w:val="000000"/>
                <w:szCs w:val="21"/>
              </w:rPr>
            </w:pPr>
            <w:r>
              <w:rPr>
                <w:color w:val="000000"/>
                <w:szCs w:val="21"/>
              </w:rPr>
              <w:t>2</w:t>
            </w:r>
          </w:p>
        </w:tc>
        <w:tc>
          <w:tcPr>
            <w:tcW w:w="0" w:type="auto"/>
            <w:noWrap w:val="0"/>
            <w:vAlign w:val="center"/>
          </w:tcPr>
          <w:p w14:paraId="665F5331">
            <w:pPr>
              <w:jc w:val="center"/>
              <w:rPr>
                <w:color w:val="000000"/>
                <w:szCs w:val="21"/>
              </w:rPr>
            </w:pPr>
            <w:r>
              <w:rPr>
                <w:color w:val="000000"/>
                <w:szCs w:val="21"/>
              </w:rPr>
              <w:t>70</w:t>
            </w:r>
          </w:p>
        </w:tc>
        <w:tc>
          <w:tcPr>
            <w:tcW w:w="0" w:type="auto"/>
            <w:noWrap w:val="0"/>
            <w:vAlign w:val="center"/>
          </w:tcPr>
          <w:p w14:paraId="6788A010">
            <w:pPr>
              <w:jc w:val="center"/>
              <w:rPr>
                <w:color w:val="000000"/>
                <w:szCs w:val="21"/>
              </w:rPr>
            </w:pPr>
            <w:r>
              <w:rPr>
                <w:color w:val="000000"/>
                <w:szCs w:val="21"/>
              </w:rPr>
              <w:t>240</w:t>
            </w:r>
          </w:p>
        </w:tc>
      </w:tr>
      <w:tr w14:paraId="0939A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F5752C6">
            <w:pPr>
              <w:jc w:val="center"/>
              <w:rPr>
                <w:color w:val="000000"/>
                <w:szCs w:val="21"/>
              </w:rPr>
            </w:pPr>
            <w:r>
              <w:rPr>
                <w:color w:val="000000"/>
                <w:szCs w:val="21"/>
              </w:rPr>
              <w:t>11</w:t>
            </w:r>
          </w:p>
        </w:tc>
        <w:tc>
          <w:tcPr>
            <w:tcW w:w="0" w:type="auto"/>
            <w:noWrap w:val="0"/>
            <w:vAlign w:val="center"/>
          </w:tcPr>
          <w:p w14:paraId="5D656EB1">
            <w:pPr>
              <w:jc w:val="center"/>
              <w:rPr>
                <w:rFonts w:eastAsia="楷体_GB2312"/>
              </w:rPr>
            </w:pPr>
            <w:r>
              <w:rPr>
                <w:rFonts w:hint="eastAsia" w:eastAsia="楷体_GB2312"/>
              </w:rPr>
              <w:t>求学路</w:t>
            </w:r>
          </w:p>
        </w:tc>
        <w:tc>
          <w:tcPr>
            <w:tcW w:w="0" w:type="auto"/>
            <w:noWrap w:val="0"/>
            <w:vAlign w:val="center"/>
          </w:tcPr>
          <w:p w14:paraId="1B81F5A3">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18BF96F0">
            <w:pPr>
              <w:jc w:val="center"/>
              <w:rPr>
                <w:color w:val="000000"/>
                <w:szCs w:val="21"/>
              </w:rPr>
            </w:pPr>
            <w:r>
              <w:rPr>
                <w:color w:val="000000"/>
                <w:szCs w:val="21"/>
              </w:rPr>
              <w:t>0.7</w:t>
            </w:r>
          </w:p>
        </w:tc>
        <w:tc>
          <w:tcPr>
            <w:tcW w:w="0" w:type="auto"/>
            <w:noWrap w:val="0"/>
            <w:vAlign w:val="center"/>
          </w:tcPr>
          <w:p w14:paraId="1BF69D98">
            <w:pPr>
              <w:jc w:val="center"/>
              <w:rPr>
                <w:color w:val="000000"/>
                <w:szCs w:val="21"/>
              </w:rPr>
            </w:pPr>
            <w:r>
              <w:rPr>
                <w:color w:val="000000"/>
                <w:szCs w:val="21"/>
              </w:rPr>
              <w:t>2</w:t>
            </w:r>
          </w:p>
        </w:tc>
        <w:tc>
          <w:tcPr>
            <w:tcW w:w="0" w:type="auto"/>
            <w:noWrap w:val="0"/>
            <w:vAlign w:val="center"/>
          </w:tcPr>
          <w:p w14:paraId="39166D8B">
            <w:pPr>
              <w:jc w:val="center"/>
              <w:rPr>
                <w:color w:val="000000"/>
                <w:szCs w:val="21"/>
              </w:rPr>
            </w:pPr>
            <w:r>
              <w:rPr>
                <w:color w:val="000000"/>
                <w:szCs w:val="21"/>
              </w:rPr>
              <w:t>70</w:t>
            </w:r>
          </w:p>
        </w:tc>
        <w:tc>
          <w:tcPr>
            <w:tcW w:w="0" w:type="auto"/>
            <w:noWrap w:val="0"/>
            <w:vAlign w:val="center"/>
          </w:tcPr>
          <w:p w14:paraId="09201F31">
            <w:pPr>
              <w:jc w:val="center"/>
              <w:rPr>
                <w:color w:val="000000"/>
                <w:szCs w:val="21"/>
              </w:rPr>
            </w:pPr>
            <w:r>
              <w:rPr>
                <w:color w:val="000000"/>
                <w:szCs w:val="21"/>
              </w:rPr>
              <w:t>240</w:t>
            </w:r>
          </w:p>
        </w:tc>
      </w:tr>
      <w:tr w14:paraId="7571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82BDAD0">
            <w:pPr>
              <w:jc w:val="center"/>
              <w:rPr>
                <w:color w:val="000000"/>
                <w:szCs w:val="21"/>
              </w:rPr>
            </w:pPr>
            <w:r>
              <w:rPr>
                <w:color w:val="000000"/>
                <w:szCs w:val="21"/>
              </w:rPr>
              <w:t>12</w:t>
            </w:r>
          </w:p>
        </w:tc>
        <w:tc>
          <w:tcPr>
            <w:tcW w:w="0" w:type="auto"/>
            <w:noWrap w:val="0"/>
            <w:vAlign w:val="center"/>
          </w:tcPr>
          <w:p w14:paraId="2034CEAB">
            <w:pPr>
              <w:jc w:val="center"/>
              <w:rPr>
                <w:rFonts w:eastAsia="楷体_GB2312"/>
              </w:rPr>
            </w:pPr>
            <w:r>
              <w:rPr>
                <w:rFonts w:hint="eastAsia" w:eastAsia="楷体_GB2312"/>
              </w:rPr>
              <w:t>政府路</w:t>
            </w:r>
          </w:p>
        </w:tc>
        <w:tc>
          <w:tcPr>
            <w:tcW w:w="0" w:type="auto"/>
            <w:noWrap w:val="0"/>
            <w:vAlign w:val="center"/>
          </w:tcPr>
          <w:p w14:paraId="02F6B9BC">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7AEAB0F7">
            <w:pPr>
              <w:jc w:val="center"/>
              <w:rPr>
                <w:color w:val="000000"/>
                <w:szCs w:val="21"/>
              </w:rPr>
            </w:pPr>
            <w:r>
              <w:rPr>
                <w:color w:val="000000"/>
                <w:szCs w:val="21"/>
              </w:rPr>
              <w:t>0.7</w:t>
            </w:r>
          </w:p>
        </w:tc>
        <w:tc>
          <w:tcPr>
            <w:tcW w:w="0" w:type="auto"/>
            <w:noWrap w:val="0"/>
            <w:vAlign w:val="center"/>
          </w:tcPr>
          <w:p w14:paraId="3FF2ACD3">
            <w:pPr>
              <w:jc w:val="center"/>
              <w:rPr>
                <w:color w:val="000000"/>
                <w:szCs w:val="21"/>
              </w:rPr>
            </w:pPr>
            <w:r>
              <w:rPr>
                <w:color w:val="000000"/>
                <w:szCs w:val="21"/>
              </w:rPr>
              <w:t>2</w:t>
            </w:r>
          </w:p>
        </w:tc>
        <w:tc>
          <w:tcPr>
            <w:tcW w:w="0" w:type="auto"/>
            <w:noWrap w:val="0"/>
            <w:vAlign w:val="center"/>
          </w:tcPr>
          <w:p w14:paraId="0E15B43D">
            <w:pPr>
              <w:jc w:val="center"/>
              <w:rPr>
                <w:color w:val="000000"/>
                <w:szCs w:val="21"/>
              </w:rPr>
            </w:pPr>
            <w:r>
              <w:rPr>
                <w:color w:val="000000"/>
                <w:szCs w:val="21"/>
              </w:rPr>
              <w:t>70</w:t>
            </w:r>
          </w:p>
        </w:tc>
        <w:tc>
          <w:tcPr>
            <w:tcW w:w="0" w:type="auto"/>
            <w:noWrap w:val="0"/>
            <w:vAlign w:val="center"/>
          </w:tcPr>
          <w:p w14:paraId="13CFEF1D">
            <w:pPr>
              <w:jc w:val="center"/>
              <w:rPr>
                <w:color w:val="000000"/>
                <w:szCs w:val="21"/>
              </w:rPr>
            </w:pPr>
            <w:r>
              <w:rPr>
                <w:color w:val="000000"/>
                <w:szCs w:val="21"/>
              </w:rPr>
              <w:t>240</w:t>
            </w:r>
          </w:p>
        </w:tc>
      </w:tr>
      <w:tr w14:paraId="24B14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D209900">
            <w:pPr>
              <w:jc w:val="center"/>
              <w:rPr>
                <w:color w:val="000000"/>
                <w:szCs w:val="21"/>
              </w:rPr>
            </w:pPr>
            <w:r>
              <w:rPr>
                <w:color w:val="000000"/>
                <w:szCs w:val="21"/>
              </w:rPr>
              <w:t>13</w:t>
            </w:r>
          </w:p>
        </w:tc>
        <w:tc>
          <w:tcPr>
            <w:tcW w:w="0" w:type="auto"/>
            <w:noWrap w:val="0"/>
            <w:vAlign w:val="center"/>
          </w:tcPr>
          <w:p w14:paraId="624927D5">
            <w:pPr>
              <w:jc w:val="center"/>
              <w:rPr>
                <w:rFonts w:eastAsia="楷体_GB2312"/>
              </w:rPr>
            </w:pPr>
            <w:r>
              <w:rPr>
                <w:rFonts w:hint="eastAsia" w:eastAsia="楷体_GB2312"/>
              </w:rPr>
              <w:t>政府路</w:t>
            </w:r>
          </w:p>
        </w:tc>
        <w:tc>
          <w:tcPr>
            <w:tcW w:w="0" w:type="auto"/>
            <w:noWrap w:val="0"/>
            <w:vAlign w:val="center"/>
          </w:tcPr>
          <w:p w14:paraId="6FB5ECAF">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260EE998">
            <w:pPr>
              <w:jc w:val="center"/>
              <w:rPr>
                <w:color w:val="000000"/>
                <w:szCs w:val="21"/>
              </w:rPr>
            </w:pPr>
            <w:r>
              <w:rPr>
                <w:color w:val="000000"/>
                <w:szCs w:val="21"/>
              </w:rPr>
              <w:t>0.7</w:t>
            </w:r>
          </w:p>
        </w:tc>
        <w:tc>
          <w:tcPr>
            <w:tcW w:w="0" w:type="auto"/>
            <w:noWrap w:val="0"/>
            <w:vAlign w:val="center"/>
          </w:tcPr>
          <w:p w14:paraId="6D2809FD">
            <w:pPr>
              <w:jc w:val="center"/>
              <w:rPr>
                <w:color w:val="000000"/>
                <w:szCs w:val="21"/>
              </w:rPr>
            </w:pPr>
            <w:r>
              <w:rPr>
                <w:color w:val="000000"/>
                <w:szCs w:val="21"/>
              </w:rPr>
              <w:t>2</w:t>
            </w:r>
          </w:p>
        </w:tc>
        <w:tc>
          <w:tcPr>
            <w:tcW w:w="0" w:type="auto"/>
            <w:noWrap w:val="0"/>
            <w:vAlign w:val="center"/>
          </w:tcPr>
          <w:p w14:paraId="5F6EA70A">
            <w:pPr>
              <w:jc w:val="center"/>
              <w:rPr>
                <w:color w:val="000000"/>
                <w:szCs w:val="21"/>
              </w:rPr>
            </w:pPr>
            <w:r>
              <w:rPr>
                <w:color w:val="000000"/>
                <w:szCs w:val="21"/>
              </w:rPr>
              <w:t>70</w:t>
            </w:r>
          </w:p>
        </w:tc>
        <w:tc>
          <w:tcPr>
            <w:tcW w:w="0" w:type="auto"/>
            <w:noWrap w:val="0"/>
            <w:vAlign w:val="center"/>
          </w:tcPr>
          <w:p w14:paraId="780C24BD">
            <w:pPr>
              <w:jc w:val="center"/>
              <w:rPr>
                <w:color w:val="000000"/>
                <w:szCs w:val="21"/>
              </w:rPr>
            </w:pPr>
            <w:r>
              <w:rPr>
                <w:color w:val="000000"/>
                <w:szCs w:val="21"/>
              </w:rPr>
              <w:t>240</w:t>
            </w:r>
          </w:p>
        </w:tc>
      </w:tr>
      <w:tr w14:paraId="0003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1CD4BC8">
            <w:pPr>
              <w:jc w:val="center"/>
              <w:rPr>
                <w:color w:val="000000"/>
                <w:szCs w:val="21"/>
              </w:rPr>
            </w:pPr>
            <w:r>
              <w:rPr>
                <w:color w:val="000000"/>
                <w:szCs w:val="21"/>
              </w:rPr>
              <w:t>14</w:t>
            </w:r>
          </w:p>
        </w:tc>
        <w:tc>
          <w:tcPr>
            <w:tcW w:w="0" w:type="auto"/>
            <w:noWrap w:val="0"/>
            <w:vAlign w:val="center"/>
          </w:tcPr>
          <w:p w14:paraId="1AEB6112">
            <w:pPr>
              <w:jc w:val="center"/>
              <w:rPr>
                <w:rFonts w:eastAsia="楷体_GB2312"/>
              </w:rPr>
            </w:pPr>
            <w:r>
              <w:rPr>
                <w:rFonts w:hint="eastAsia" w:eastAsia="楷体_GB2312"/>
              </w:rPr>
              <w:t>健康路</w:t>
            </w:r>
          </w:p>
        </w:tc>
        <w:tc>
          <w:tcPr>
            <w:tcW w:w="0" w:type="auto"/>
            <w:noWrap w:val="0"/>
            <w:vAlign w:val="center"/>
          </w:tcPr>
          <w:p w14:paraId="41D504F3">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3834E29B">
            <w:pPr>
              <w:jc w:val="center"/>
              <w:rPr>
                <w:color w:val="000000"/>
                <w:szCs w:val="21"/>
              </w:rPr>
            </w:pPr>
            <w:r>
              <w:rPr>
                <w:color w:val="000000"/>
                <w:szCs w:val="21"/>
              </w:rPr>
              <w:t>0.7</w:t>
            </w:r>
          </w:p>
        </w:tc>
        <w:tc>
          <w:tcPr>
            <w:tcW w:w="0" w:type="auto"/>
            <w:noWrap w:val="0"/>
            <w:vAlign w:val="center"/>
          </w:tcPr>
          <w:p w14:paraId="4D7850A9">
            <w:pPr>
              <w:jc w:val="center"/>
              <w:rPr>
                <w:color w:val="000000"/>
                <w:szCs w:val="21"/>
              </w:rPr>
            </w:pPr>
            <w:r>
              <w:rPr>
                <w:color w:val="000000"/>
                <w:szCs w:val="21"/>
              </w:rPr>
              <w:t>2</w:t>
            </w:r>
          </w:p>
        </w:tc>
        <w:tc>
          <w:tcPr>
            <w:tcW w:w="0" w:type="auto"/>
            <w:noWrap w:val="0"/>
            <w:vAlign w:val="center"/>
          </w:tcPr>
          <w:p w14:paraId="27B87F1C">
            <w:pPr>
              <w:jc w:val="center"/>
              <w:rPr>
                <w:color w:val="000000"/>
                <w:szCs w:val="21"/>
              </w:rPr>
            </w:pPr>
            <w:r>
              <w:rPr>
                <w:color w:val="000000"/>
                <w:szCs w:val="21"/>
              </w:rPr>
              <w:t>70</w:t>
            </w:r>
          </w:p>
        </w:tc>
        <w:tc>
          <w:tcPr>
            <w:tcW w:w="0" w:type="auto"/>
            <w:noWrap w:val="0"/>
            <w:vAlign w:val="center"/>
          </w:tcPr>
          <w:p w14:paraId="47538E9A">
            <w:pPr>
              <w:jc w:val="center"/>
              <w:rPr>
                <w:color w:val="000000"/>
                <w:szCs w:val="21"/>
              </w:rPr>
            </w:pPr>
            <w:r>
              <w:rPr>
                <w:color w:val="000000"/>
                <w:szCs w:val="21"/>
              </w:rPr>
              <w:t>240</w:t>
            </w:r>
          </w:p>
        </w:tc>
      </w:tr>
      <w:tr w14:paraId="61B4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3597DC8">
            <w:pPr>
              <w:jc w:val="center"/>
              <w:rPr>
                <w:color w:val="000000"/>
                <w:szCs w:val="21"/>
              </w:rPr>
            </w:pPr>
            <w:r>
              <w:rPr>
                <w:color w:val="000000"/>
                <w:szCs w:val="21"/>
              </w:rPr>
              <w:t>15</w:t>
            </w:r>
          </w:p>
        </w:tc>
        <w:tc>
          <w:tcPr>
            <w:tcW w:w="0" w:type="auto"/>
            <w:noWrap w:val="0"/>
            <w:vAlign w:val="center"/>
          </w:tcPr>
          <w:p w14:paraId="5FF5B881">
            <w:pPr>
              <w:jc w:val="center"/>
              <w:rPr>
                <w:rFonts w:eastAsia="楷体_GB2312"/>
              </w:rPr>
            </w:pPr>
            <w:r>
              <w:rPr>
                <w:rFonts w:hint="eastAsia" w:eastAsia="楷体_GB2312"/>
              </w:rPr>
              <w:t>文明路</w:t>
            </w:r>
          </w:p>
        </w:tc>
        <w:tc>
          <w:tcPr>
            <w:tcW w:w="0" w:type="auto"/>
            <w:noWrap w:val="0"/>
            <w:vAlign w:val="center"/>
          </w:tcPr>
          <w:p w14:paraId="369D893A">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02B0B688">
            <w:pPr>
              <w:jc w:val="center"/>
              <w:rPr>
                <w:color w:val="000000"/>
                <w:szCs w:val="21"/>
              </w:rPr>
            </w:pPr>
            <w:r>
              <w:rPr>
                <w:color w:val="000000"/>
                <w:szCs w:val="21"/>
              </w:rPr>
              <w:t>0.7</w:t>
            </w:r>
          </w:p>
        </w:tc>
        <w:tc>
          <w:tcPr>
            <w:tcW w:w="0" w:type="auto"/>
            <w:noWrap w:val="0"/>
            <w:vAlign w:val="center"/>
          </w:tcPr>
          <w:p w14:paraId="01A9125A">
            <w:pPr>
              <w:jc w:val="center"/>
              <w:rPr>
                <w:color w:val="000000"/>
                <w:szCs w:val="21"/>
              </w:rPr>
            </w:pPr>
            <w:r>
              <w:rPr>
                <w:color w:val="000000"/>
                <w:szCs w:val="21"/>
              </w:rPr>
              <w:t>2</w:t>
            </w:r>
          </w:p>
        </w:tc>
        <w:tc>
          <w:tcPr>
            <w:tcW w:w="0" w:type="auto"/>
            <w:noWrap w:val="0"/>
            <w:vAlign w:val="center"/>
          </w:tcPr>
          <w:p w14:paraId="040EEA12">
            <w:pPr>
              <w:jc w:val="center"/>
              <w:rPr>
                <w:color w:val="000000"/>
                <w:szCs w:val="21"/>
              </w:rPr>
            </w:pPr>
            <w:r>
              <w:rPr>
                <w:color w:val="000000"/>
                <w:szCs w:val="21"/>
              </w:rPr>
              <w:t>70</w:t>
            </w:r>
          </w:p>
        </w:tc>
        <w:tc>
          <w:tcPr>
            <w:tcW w:w="0" w:type="auto"/>
            <w:noWrap w:val="0"/>
            <w:vAlign w:val="center"/>
          </w:tcPr>
          <w:p w14:paraId="325C050B">
            <w:pPr>
              <w:jc w:val="center"/>
              <w:rPr>
                <w:color w:val="000000"/>
                <w:szCs w:val="21"/>
              </w:rPr>
            </w:pPr>
            <w:r>
              <w:rPr>
                <w:color w:val="000000"/>
                <w:szCs w:val="21"/>
              </w:rPr>
              <w:t>240</w:t>
            </w:r>
          </w:p>
        </w:tc>
      </w:tr>
      <w:tr w14:paraId="4D13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ED3093E">
            <w:pPr>
              <w:jc w:val="center"/>
              <w:rPr>
                <w:color w:val="000000"/>
                <w:szCs w:val="21"/>
              </w:rPr>
            </w:pPr>
            <w:r>
              <w:rPr>
                <w:color w:val="000000"/>
                <w:szCs w:val="21"/>
              </w:rPr>
              <w:t>16</w:t>
            </w:r>
          </w:p>
        </w:tc>
        <w:tc>
          <w:tcPr>
            <w:tcW w:w="0" w:type="auto"/>
            <w:noWrap w:val="0"/>
            <w:vAlign w:val="center"/>
          </w:tcPr>
          <w:p w14:paraId="3DCB52B1">
            <w:pPr>
              <w:jc w:val="center"/>
              <w:rPr>
                <w:rFonts w:eastAsia="楷体_GB2312"/>
              </w:rPr>
            </w:pPr>
            <w:r>
              <w:rPr>
                <w:rFonts w:hint="eastAsia" w:eastAsia="楷体_GB2312"/>
              </w:rPr>
              <w:t>振兴路</w:t>
            </w:r>
          </w:p>
        </w:tc>
        <w:tc>
          <w:tcPr>
            <w:tcW w:w="0" w:type="auto"/>
            <w:noWrap w:val="0"/>
            <w:vAlign w:val="center"/>
          </w:tcPr>
          <w:p w14:paraId="332E7B70">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37E7F755">
            <w:pPr>
              <w:jc w:val="center"/>
              <w:rPr>
                <w:color w:val="000000"/>
                <w:szCs w:val="21"/>
              </w:rPr>
            </w:pPr>
            <w:r>
              <w:rPr>
                <w:color w:val="000000"/>
                <w:szCs w:val="21"/>
              </w:rPr>
              <w:t>0.7</w:t>
            </w:r>
          </w:p>
        </w:tc>
        <w:tc>
          <w:tcPr>
            <w:tcW w:w="0" w:type="auto"/>
            <w:noWrap w:val="0"/>
            <w:vAlign w:val="center"/>
          </w:tcPr>
          <w:p w14:paraId="693A8F7B">
            <w:pPr>
              <w:jc w:val="center"/>
              <w:rPr>
                <w:color w:val="000000"/>
                <w:szCs w:val="21"/>
              </w:rPr>
            </w:pPr>
            <w:r>
              <w:rPr>
                <w:color w:val="000000"/>
                <w:szCs w:val="21"/>
              </w:rPr>
              <w:t>2</w:t>
            </w:r>
          </w:p>
        </w:tc>
        <w:tc>
          <w:tcPr>
            <w:tcW w:w="0" w:type="auto"/>
            <w:noWrap w:val="0"/>
            <w:vAlign w:val="center"/>
          </w:tcPr>
          <w:p w14:paraId="5100393E">
            <w:pPr>
              <w:jc w:val="center"/>
              <w:rPr>
                <w:color w:val="000000"/>
                <w:szCs w:val="21"/>
              </w:rPr>
            </w:pPr>
            <w:r>
              <w:rPr>
                <w:color w:val="000000"/>
                <w:szCs w:val="21"/>
              </w:rPr>
              <w:t>70</w:t>
            </w:r>
          </w:p>
        </w:tc>
        <w:tc>
          <w:tcPr>
            <w:tcW w:w="0" w:type="auto"/>
            <w:noWrap w:val="0"/>
            <w:vAlign w:val="center"/>
          </w:tcPr>
          <w:p w14:paraId="719B23FC">
            <w:pPr>
              <w:jc w:val="center"/>
              <w:rPr>
                <w:color w:val="000000"/>
                <w:szCs w:val="21"/>
              </w:rPr>
            </w:pPr>
            <w:r>
              <w:rPr>
                <w:color w:val="000000"/>
                <w:szCs w:val="21"/>
              </w:rPr>
              <w:t>240</w:t>
            </w:r>
          </w:p>
        </w:tc>
      </w:tr>
      <w:tr w14:paraId="24628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6D33622">
            <w:pPr>
              <w:jc w:val="center"/>
              <w:rPr>
                <w:color w:val="000000"/>
                <w:szCs w:val="21"/>
              </w:rPr>
            </w:pPr>
            <w:r>
              <w:rPr>
                <w:color w:val="000000"/>
                <w:szCs w:val="21"/>
              </w:rPr>
              <w:t>17</w:t>
            </w:r>
          </w:p>
        </w:tc>
        <w:tc>
          <w:tcPr>
            <w:tcW w:w="0" w:type="auto"/>
            <w:noWrap w:val="0"/>
            <w:vAlign w:val="center"/>
          </w:tcPr>
          <w:p w14:paraId="4F0FE33D">
            <w:pPr>
              <w:jc w:val="center"/>
              <w:rPr>
                <w:rFonts w:eastAsia="楷体_GB2312"/>
              </w:rPr>
            </w:pPr>
            <w:r>
              <w:rPr>
                <w:rFonts w:hint="eastAsia" w:eastAsia="楷体_GB2312"/>
              </w:rPr>
              <w:t>工人街</w:t>
            </w:r>
          </w:p>
        </w:tc>
        <w:tc>
          <w:tcPr>
            <w:tcW w:w="0" w:type="auto"/>
            <w:noWrap w:val="0"/>
            <w:vAlign w:val="center"/>
          </w:tcPr>
          <w:p w14:paraId="39575F8F">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5B815B60">
            <w:pPr>
              <w:jc w:val="center"/>
              <w:rPr>
                <w:color w:val="000000"/>
                <w:szCs w:val="21"/>
              </w:rPr>
            </w:pPr>
            <w:r>
              <w:rPr>
                <w:color w:val="000000"/>
                <w:szCs w:val="21"/>
              </w:rPr>
              <w:t>0.7</w:t>
            </w:r>
          </w:p>
        </w:tc>
        <w:tc>
          <w:tcPr>
            <w:tcW w:w="0" w:type="auto"/>
            <w:noWrap w:val="0"/>
            <w:vAlign w:val="center"/>
          </w:tcPr>
          <w:p w14:paraId="4D22C961">
            <w:pPr>
              <w:jc w:val="center"/>
              <w:rPr>
                <w:color w:val="000000"/>
                <w:szCs w:val="21"/>
              </w:rPr>
            </w:pPr>
            <w:r>
              <w:rPr>
                <w:color w:val="000000"/>
                <w:szCs w:val="21"/>
              </w:rPr>
              <w:t>2</w:t>
            </w:r>
          </w:p>
        </w:tc>
        <w:tc>
          <w:tcPr>
            <w:tcW w:w="0" w:type="auto"/>
            <w:noWrap w:val="0"/>
            <w:vAlign w:val="center"/>
          </w:tcPr>
          <w:p w14:paraId="7BAAAF7F">
            <w:pPr>
              <w:jc w:val="center"/>
              <w:rPr>
                <w:color w:val="000000"/>
                <w:szCs w:val="21"/>
              </w:rPr>
            </w:pPr>
            <w:r>
              <w:rPr>
                <w:color w:val="000000"/>
                <w:szCs w:val="21"/>
              </w:rPr>
              <w:t>70</w:t>
            </w:r>
          </w:p>
        </w:tc>
        <w:tc>
          <w:tcPr>
            <w:tcW w:w="0" w:type="auto"/>
            <w:noWrap w:val="0"/>
            <w:vAlign w:val="center"/>
          </w:tcPr>
          <w:p w14:paraId="2C53E531">
            <w:pPr>
              <w:jc w:val="center"/>
              <w:rPr>
                <w:color w:val="000000"/>
                <w:szCs w:val="21"/>
              </w:rPr>
            </w:pPr>
            <w:r>
              <w:rPr>
                <w:color w:val="000000"/>
                <w:szCs w:val="21"/>
              </w:rPr>
              <w:t>240</w:t>
            </w:r>
          </w:p>
        </w:tc>
      </w:tr>
      <w:tr w14:paraId="6FD06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5C262F7">
            <w:pPr>
              <w:jc w:val="center"/>
              <w:rPr>
                <w:color w:val="000000"/>
                <w:szCs w:val="21"/>
              </w:rPr>
            </w:pPr>
            <w:r>
              <w:rPr>
                <w:color w:val="000000"/>
                <w:szCs w:val="21"/>
              </w:rPr>
              <w:t>18</w:t>
            </w:r>
          </w:p>
        </w:tc>
        <w:tc>
          <w:tcPr>
            <w:tcW w:w="0" w:type="auto"/>
            <w:noWrap w:val="0"/>
            <w:vAlign w:val="center"/>
          </w:tcPr>
          <w:p w14:paraId="6E0D7183">
            <w:pPr>
              <w:jc w:val="center"/>
              <w:rPr>
                <w:rFonts w:eastAsia="楷体_GB2312"/>
              </w:rPr>
            </w:pPr>
            <w:r>
              <w:rPr>
                <w:rFonts w:hint="eastAsia" w:eastAsia="楷体_GB2312"/>
              </w:rPr>
              <w:t>学苑路</w:t>
            </w:r>
          </w:p>
        </w:tc>
        <w:tc>
          <w:tcPr>
            <w:tcW w:w="0" w:type="auto"/>
            <w:noWrap w:val="0"/>
            <w:vAlign w:val="center"/>
          </w:tcPr>
          <w:p w14:paraId="08616D06">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05749E81">
            <w:pPr>
              <w:jc w:val="center"/>
              <w:rPr>
                <w:color w:val="000000"/>
                <w:szCs w:val="21"/>
              </w:rPr>
            </w:pPr>
            <w:r>
              <w:rPr>
                <w:color w:val="000000"/>
                <w:szCs w:val="21"/>
              </w:rPr>
              <w:t>0.7</w:t>
            </w:r>
          </w:p>
        </w:tc>
        <w:tc>
          <w:tcPr>
            <w:tcW w:w="0" w:type="auto"/>
            <w:noWrap w:val="0"/>
            <w:vAlign w:val="center"/>
          </w:tcPr>
          <w:p w14:paraId="5AC91A71">
            <w:pPr>
              <w:jc w:val="center"/>
              <w:rPr>
                <w:color w:val="000000"/>
                <w:szCs w:val="21"/>
              </w:rPr>
            </w:pPr>
            <w:r>
              <w:rPr>
                <w:color w:val="000000"/>
                <w:szCs w:val="21"/>
              </w:rPr>
              <w:t>2</w:t>
            </w:r>
          </w:p>
        </w:tc>
        <w:tc>
          <w:tcPr>
            <w:tcW w:w="0" w:type="auto"/>
            <w:noWrap w:val="0"/>
            <w:vAlign w:val="center"/>
          </w:tcPr>
          <w:p w14:paraId="38D98760">
            <w:pPr>
              <w:jc w:val="center"/>
              <w:rPr>
                <w:color w:val="000000"/>
                <w:szCs w:val="21"/>
              </w:rPr>
            </w:pPr>
            <w:r>
              <w:rPr>
                <w:color w:val="000000"/>
                <w:szCs w:val="21"/>
              </w:rPr>
              <w:t>70</w:t>
            </w:r>
          </w:p>
        </w:tc>
        <w:tc>
          <w:tcPr>
            <w:tcW w:w="0" w:type="auto"/>
            <w:noWrap w:val="0"/>
            <w:vAlign w:val="center"/>
          </w:tcPr>
          <w:p w14:paraId="024B9239">
            <w:pPr>
              <w:jc w:val="center"/>
              <w:rPr>
                <w:color w:val="000000"/>
                <w:szCs w:val="21"/>
              </w:rPr>
            </w:pPr>
            <w:r>
              <w:rPr>
                <w:color w:val="000000"/>
                <w:szCs w:val="21"/>
              </w:rPr>
              <w:t>240</w:t>
            </w:r>
          </w:p>
        </w:tc>
      </w:tr>
      <w:tr w14:paraId="32AF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EEA3BFC">
            <w:pPr>
              <w:jc w:val="center"/>
              <w:rPr>
                <w:color w:val="000000"/>
                <w:szCs w:val="21"/>
              </w:rPr>
            </w:pPr>
            <w:r>
              <w:rPr>
                <w:color w:val="000000"/>
                <w:szCs w:val="21"/>
              </w:rPr>
              <w:t>19</w:t>
            </w:r>
          </w:p>
        </w:tc>
        <w:tc>
          <w:tcPr>
            <w:tcW w:w="0" w:type="auto"/>
            <w:noWrap w:val="0"/>
            <w:vAlign w:val="center"/>
          </w:tcPr>
          <w:p w14:paraId="74C1A648">
            <w:pPr>
              <w:jc w:val="center"/>
              <w:rPr>
                <w:rFonts w:eastAsia="楷体_GB2312"/>
              </w:rPr>
            </w:pPr>
            <w:r>
              <w:rPr>
                <w:rFonts w:hint="eastAsia" w:eastAsia="楷体_GB2312"/>
              </w:rPr>
              <w:t>生态南路</w:t>
            </w:r>
          </w:p>
        </w:tc>
        <w:tc>
          <w:tcPr>
            <w:tcW w:w="0" w:type="auto"/>
            <w:noWrap w:val="0"/>
            <w:vAlign w:val="center"/>
          </w:tcPr>
          <w:p w14:paraId="032647B7">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E5EF551">
            <w:pPr>
              <w:jc w:val="center"/>
              <w:rPr>
                <w:color w:val="000000"/>
                <w:szCs w:val="21"/>
              </w:rPr>
            </w:pPr>
            <w:r>
              <w:rPr>
                <w:color w:val="000000"/>
                <w:szCs w:val="21"/>
              </w:rPr>
              <w:t>0.4</w:t>
            </w:r>
          </w:p>
        </w:tc>
        <w:tc>
          <w:tcPr>
            <w:tcW w:w="0" w:type="auto"/>
            <w:noWrap w:val="0"/>
            <w:vAlign w:val="center"/>
          </w:tcPr>
          <w:p w14:paraId="419869FE">
            <w:pPr>
              <w:jc w:val="center"/>
              <w:rPr>
                <w:color w:val="000000"/>
                <w:szCs w:val="21"/>
              </w:rPr>
            </w:pPr>
            <w:r>
              <w:rPr>
                <w:color w:val="000000"/>
                <w:szCs w:val="21"/>
              </w:rPr>
              <w:t>3</w:t>
            </w:r>
          </w:p>
        </w:tc>
        <w:tc>
          <w:tcPr>
            <w:tcW w:w="0" w:type="auto"/>
            <w:noWrap w:val="0"/>
            <w:vAlign w:val="center"/>
          </w:tcPr>
          <w:p w14:paraId="09331E23">
            <w:pPr>
              <w:jc w:val="center"/>
              <w:rPr>
                <w:color w:val="000000"/>
                <w:szCs w:val="21"/>
              </w:rPr>
            </w:pPr>
            <w:r>
              <w:rPr>
                <w:color w:val="000000"/>
                <w:szCs w:val="21"/>
              </w:rPr>
              <w:t>40</w:t>
            </w:r>
          </w:p>
        </w:tc>
        <w:tc>
          <w:tcPr>
            <w:tcW w:w="0" w:type="auto"/>
            <w:noWrap w:val="0"/>
            <w:vAlign w:val="center"/>
          </w:tcPr>
          <w:p w14:paraId="48028B0C">
            <w:pPr>
              <w:jc w:val="center"/>
              <w:rPr>
                <w:color w:val="000000"/>
                <w:szCs w:val="21"/>
              </w:rPr>
            </w:pPr>
            <w:r>
              <w:rPr>
                <w:color w:val="000000"/>
                <w:szCs w:val="21"/>
              </w:rPr>
              <w:t>200</w:t>
            </w:r>
          </w:p>
        </w:tc>
      </w:tr>
      <w:tr w14:paraId="6576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9A44372">
            <w:pPr>
              <w:jc w:val="center"/>
              <w:rPr>
                <w:color w:val="000000"/>
                <w:szCs w:val="21"/>
              </w:rPr>
            </w:pPr>
            <w:r>
              <w:rPr>
                <w:color w:val="000000"/>
                <w:szCs w:val="21"/>
              </w:rPr>
              <w:t>20</w:t>
            </w:r>
          </w:p>
        </w:tc>
        <w:tc>
          <w:tcPr>
            <w:tcW w:w="0" w:type="auto"/>
            <w:noWrap w:val="0"/>
            <w:vAlign w:val="center"/>
          </w:tcPr>
          <w:p w14:paraId="3D5F2509">
            <w:pPr>
              <w:jc w:val="center"/>
              <w:rPr>
                <w:rFonts w:ascii="楷体_GB2312" w:hAnsi="宋体" w:eastAsia="楷体_GB2312" w:cs="宋体"/>
                <w:color w:val="000000"/>
                <w:szCs w:val="21"/>
              </w:rPr>
            </w:pPr>
            <w:r>
              <w:rPr>
                <w:rFonts w:hint="eastAsia" w:ascii="楷体_GB2312" w:eastAsia="楷体_GB2312"/>
                <w:color w:val="000000"/>
                <w:szCs w:val="21"/>
              </w:rPr>
              <w:t>步行街</w:t>
            </w:r>
          </w:p>
        </w:tc>
        <w:tc>
          <w:tcPr>
            <w:tcW w:w="0" w:type="auto"/>
            <w:noWrap w:val="0"/>
            <w:vAlign w:val="center"/>
          </w:tcPr>
          <w:p w14:paraId="61E746A5">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183BBB8">
            <w:pPr>
              <w:jc w:val="center"/>
              <w:rPr>
                <w:color w:val="000000"/>
                <w:szCs w:val="21"/>
              </w:rPr>
            </w:pPr>
            <w:r>
              <w:rPr>
                <w:color w:val="000000"/>
                <w:szCs w:val="21"/>
              </w:rPr>
              <w:t>0.4</w:t>
            </w:r>
          </w:p>
        </w:tc>
        <w:tc>
          <w:tcPr>
            <w:tcW w:w="0" w:type="auto"/>
            <w:noWrap w:val="0"/>
            <w:vAlign w:val="center"/>
          </w:tcPr>
          <w:p w14:paraId="71242737">
            <w:pPr>
              <w:jc w:val="center"/>
              <w:rPr>
                <w:color w:val="000000"/>
                <w:szCs w:val="21"/>
              </w:rPr>
            </w:pPr>
            <w:r>
              <w:rPr>
                <w:color w:val="000000"/>
                <w:szCs w:val="21"/>
              </w:rPr>
              <w:t>3</w:t>
            </w:r>
          </w:p>
        </w:tc>
        <w:tc>
          <w:tcPr>
            <w:tcW w:w="0" w:type="auto"/>
            <w:noWrap w:val="0"/>
            <w:vAlign w:val="center"/>
          </w:tcPr>
          <w:p w14:paraId="4C7D6DD6">
            <w:pPr>
              <w:jc w:val="center"/>
              <w:rPr>
                <w:color w:val="000000"/>
                <w:szCs w:val="21"/>
              </w:rPr>
            </w:pPr>
            <w:r>
              <w:rPr>
                <w:color w:val="000000"/>
                <w:szCs w:val="21"/>
              </w:rPr>
              <w:t>40</w:t>
            </w:r>
          </w:p>
        </w:tc>
        <w:tc>
          <w:tcPr>
            <w:tcW w:w="0" w:type="auto"/>
            <w:noWrap w:val="0"/>
            <w:vAlign w:val="center"/>
          </w:tcPr>
          <w:p w14:paraId="559D1BA6">
            <w:pPr>
              <w:jc w:val="center"/>
              <w:rPr>
                <w:color w:val="000000"/>
                <w:szCs w:val="21"/>
              </w:rPr>
            </w:pPr>
            <w:r>
              <w:rPr>
                <w:color w:val="000000"/>
                <w:szCs w:val="21"/>
              </w:rPr>
              <w:t>200</w:t>
            </w:r>
          </w:p>
        </w:tc>
      </w:tr>
      <w:tr w14:paraId="2107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D27A261">
            <w:pPr>
              <w:jc w:val="center"/>
              <w:rPr>
                <w:color w:val="000000"/>
                <w:szCs w:val="21"/>
              </w:rPr>
            </w:pPr>
            <w:r>
              <w:rPr>
                <w:color w:val="000000"/>
                <w:szCs w:val="21"/>
              </w:rPr>
              <w:t>21</w:t>
            </w:r>
          </w:p>
        </w:tc>
        <w:tc>
          <w:tcPr>
            <w:tcW w:w="0" w:type="auto"/>
            <w:noWrap w:val="0"/>
            <w:vAlign w:val="center"/>
          </w:tcPr>
          <w:p w14:paraId="25EDFA86">
            <w:pPr>
              <w:jc w:val="center"/>
              <w:rPr>
                <w:rFonts w:ascii="楷体_GB2312" w:hAnsi="宋体" w:eastAsia="楷体_GB2312" w:cs="宋体"/>
                <w:color w:val="000000"/>
                <w:szCs w:val="21"/>
              </w:rPr>
            </w:pPr>
            <w:r>
              <w:rPr>
                <w:rFonts w:hint="eastAsia" w:ascii="楷体_GB2312" w:eastAsia="楷体_GB2312"/>
                <w:color w:val="000000"/>
                <w:szCs w:val="21"/>
              </w:rPr>
              <w:t>求学路</w:t>
            </w:r>
          </w:p>
        </w:tc>
        <w:tc>
          <w:tcPr>
            <w:tcW w:w="0" w:type="auto"/>
            <w:noWrap w:val="0"/>
            <w:vAlign w:val="center"/>
          </w:tcPr>
          <w:p w14:paraId="6AE66F64">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5CFA359">
            <w:pPr>
              <w:jc w:val="center"/>
              <w:rPr>
                <w:color w:val="000000"/>
                <w:szCs w:val="21"/>
              </w:rPr>
            </w:pPr>
            <w:r>
              <w:rPr>
                <w:color w:val="000000"/>
                <w:szCs w:val="21"/>
              </w:rPr>
              <w:t>0.4</w:t>
            </w:r>
          </w:p>
        </w:tc>
        <w:tc>
          <w:tcPr>
            <w:tcW w:w="0" w:type="auto"/>
            <w:noWrap w:val="0"/>
            <w:vAlign w:val="center"/>
          </w:tcPr>
          <w:p w14:paraId="5C870BBC">
            <w:pPr>
              <w:jc w:val="center"/>
              <w:rPr>
                <w:color w:val="000000"/>
                <w:szCs w:val="21"/>
              </w:rPr>
            </w:pPr>
            <w:r>
              <w:rPr>
                <w:color w:val="000000"/>
                <w:szCs w:val="21"/>
              </w:rPr>
              <w:t>3</w:t>
            </w:r>
          </w:p>
        </w:tc>
        <w:tc>
          <w:tcPr>
            <w:tcW w:w="0" w:type="auto"/>
            <w:noWrap w:val="0"/>
            <w:vAlign w:val="center"/>
          </w:tcPr>
          <w:p w14:paraId="29CA32DA">
            <w:pPr>
              <w:jc w:val="center"/>
              <w:rPr>
                <w:color w:val="000000"/>
                <w:szCs w:val="21"/>
              </w:rPr>
            </w:pPr>
            <w:r>
              <w:rPr>
                <w:color w:val="000000"/>
                <w:szCs w:val="21"/>
              </w:rPr>
              <w:t>40</w:t>
            </w:r>
          </w:p>
        </w:tc>
        <w:tc>
          <w:tcPr>
            <w:tcW w:w="0" w:type="auto"/>
            <w:noWrap w:val="0"/>
            <w:vAlign w:val="center"/>
          </w:tcPr>
          <w:p w14:paraId="4FCC029F">
            <w:pPr>
              <w:jc w:val="center"/>
              <w:rPr>
                <w:color w:val="000000"/>
                <w:szCs w:val="21"/>
              </w:rPr>
            </w:pPr>
            <w:r>
              <w:rPr>
                <w:color w:val="000000"/>
                <w:szCs w:val="21"/>
              </w:rPr>
              <w:t>200</w:t>
            </w:r>
          </w:p>
        </w:tc>
      </w:tr>
      <w:tr w14:paraId="7810F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76276E0">
            <w:pPr>
              <w:jc w:val="center"/>
              <w:rPr>
                <w:color w:val="000000"/>
                <w:szCs w:val="21"/>
              </w:rPr>
            </w:pPr>
            <w:r>
              <w:rPr>
                <w:color w:val="000000"/>
                <w:szCs w:val="21"/>
              </w:rPr>
              <w:t>22</w:t>
            </w:r>
          </w:p>
        </w:tc>
        <w:tc>
          <w:tcPr>
            <w:tcW w:w="0" w:type="auto"/>
            <w:noWrap w:val="0"/>
            <w:vAlign w:val="center"/>
          </w:tcPr>
          <w:p w14:paraId="0565E9D3">
            <w:pPr>
              <w:jc w:val="center"/>
              <w:rPr>
                <w:rFonts w:ascii="楷体_GB2312" w:hAnsi="宋体" w:eastAsia="楷体_GB2312" w:cs="宋体"/>
                <w:color w:val="000000"/>
                <w:szCs w:val="21"/>
              </w:rPr>
            </w:pPr>
            <w:r>
              <w:rPr>
                <w:rFonts w:hint="eastAsia" w:ascii="楷体_GB2312" w:eastAsia="楷体_GB2312"/>
                <w:color w:val="000000"/>
                <w:szCs w:val="21"/>
              </w:rPr>
              <w:t>幸福路</w:t>
            </w:r>
          </w:p>
        </w:tc>
        <w:tc>
          <w:tcPr>
            <w:tcW w:w="0" w:type="auto"/>
            <w:noWrap w:val="0"/>
            <w:vAlign w:val="center"/>
          </w:tcPr>
          <w:p w14:paraId="1C7A6C3B">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18AE102">
            <w:pPr>
              <w:jc w:val="center"/>
              <w:rPr>
                <w:color w:val="000000"/>
                <w:szCs w:val="21"/>
              </w:rPr>
            </w:pPr>
            <w:r>
              <w:rPr>
                <w:color w:val="000000"/>
                <w:szCs w:val="21"/>
              </w:rPr>
              <w:t>0.4</w:t>
            </w:r>
          </w:p>
        </w:tc>
        <w:tc>
          <w:tcPr>
            <w:tcW w:w="0" w:type="auto"/>
            <w:noWrap w:val="0"/>
            <w:vAlign w:val="center"/>
          </w:tcPr>
          <w:p w14:paraId="1A931541">
            <w:pPr>
              <w:jc w:val="center"/>
              <w:rPr>
                <w:color w:val="000000"/>
                <w:szCs w:val="21"/>
              </w:rPr>
            </w:pPr>
            <w:r>
              <w:rPr>
                <w:color w:val="000000"/>
                <w:szCs w:val="21"/>
              </w:rPr>
              <w:t>3</w:t>
            </w:r>
          </w:p>
        </w:tc>
        <w:tc>
          <w:tcPr>
            <w:tcW w:w="0" w:type="auto"/>
            <w:noWrap w:val="0"/>
            <w:vAlign w:val="center"/>
          </w:tcPr>
          <w:p w14:paraId="17C7C24D">
            <w:pPr>
              <w:jc w:val="center"/>
              <w:rPr>
                <w:color w:val="000000"/>
                <w:szCs w:val="21"/>
              </w:rPr>
            </w:pPr>
            <w:r>
              <w:rPr>
                <w:color w:val="000000"/>
                <w:szCs w:val="21"/>
              </w:rPr>
              <w:t>40</w:t>
            </w:r>
          </w:p>
        </w:tc>
        <w:tc>
          <w:tcPr>
            <w:tcW w:w="0" w:type="auto"/>
            <w:noWrap w:val="0"/>
            <w:vAlign w:val="center"/>
          </w:tcPr>
          <w:p w14:paraId="365FDEB5">
            <w:pPr>
              <w:jc w:val="center"/>
              <w:rPr>
                <w:color w:val="000000"/>
                <w:szCs w:val="21"/>
              </w:rPr>
            </w:pPr>
            <w:r>
              <w:rPr>
                <w:color w:val="000000"/>
                <w:szCs w:val="21"/>
              </w:rPr>
              <w:t>200</w:t>
            </w:r>
          </w:p>
        </w:tc>
      </w:tr>
      <w:tr w14:paraId="58DDB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551561A">
            <w:pPr>
              <w:jc w:val="center"/>
              <w:rPr>
                <w:color w:val="000000"/>
                <w:szCs w:val="21"/>
              </w:rPr>
            </w:pPr>
            <w:r>
              <w:rPr>
                <w:color w:val="000000"/>
                <w:szCs w:val="21"/>
              </w:rPr>
              <w:t>23</w:t>
            </w:r>
          </w:p>
        </w:tc>
        <w:tc>
          <w:tcPr>
            <w:tcW w:w="0" w:type="auto"/>
            <w:noWrap w:val="0"/>
            <w:vAlign w:val="center"/>
          </w:tcPr>
          <w:p w14:paraId="45CC017D">
            <w:pPr>
              <w:jc w:val="center"/>
              <w:rPr>
                <w:rFonts w:ascii="楷体_GB2312" w:hAnsi="宋体" w:eastAsia="楷体_GB2312" w:cs="宋体"/>
                <w:color w:val="000000"/>
                <w:szCs w:val="21"/>
              </w:rPr>
            </w:pPr>
            <w:r>
              <w:rPr>
                <w:rFonts w:hint="eastAsia" w:ascii="楷体_GB2312" w:eastAsia="楷体_GB2312"/>
                <w:color w:val="000000"/>
                <w:szCs w:val="21"/>
              </w:rPr>
              <w:t>罗岭路</w:t>
            </w:r>
          </w:p>
        </w:tc>
        <w:tc>
          <w:tcPr>
            <w:tcW w:w="0" w:type="auto"/>
            <w:noWrap w:val="0"/>
            <w:vAlign w:val="center"/>
          </w:tcPr>
          <w:p w14:paraId="3AC7F146">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679B0C7">
            <w:pPr>
              <w:jc w:val="center"/>
              <w:rPr>
                <w:color w:val="000000"/>
                <w:szCs w:val="21"/>
              </w:rPr>
            </w:pPr>
            <w:r>
              <w:rPr>
                <w:color w:val="000000"/>
                <w:szCs w:val="21"/>
              </w:rPr>
              <w:t>0.4</w:t>
            </w:r>
          </w:p>
        </w:tc>
        <w:tc>
          <w:tcPr>
            <w:tcW w:w="0" w:type="auto"/>
            <w:noWrap w:val="0"/>
            <w:vAlign w:val="center"/>
          </w:tcPr>
          <w:p w14:paraId="1C7EE421">
            <w:pPr>
              <w:jc w:val="center"/>
              <w:rPr>
                <w:color w:val="000000"/>
                <w:szCs w:val="21"/>
              </w:rPr>
            </w:pPr>
            <w:r>
              <w:rPr>
                <w:color w:val="000000"/>
                <w:szCs w:val="21"/>
              </w:rPr>
              <w:t>3</w:t>
            </w:r>
          </w:p>
        </w:tc>
        <w:tc>
          <w:tcPr>
            <w:tcW w:w="0" w:type="auto"/>
            <w:noWrap w:val="0"/>
            <w:vAlign w:val="center"/>
          </w:tcPr>
          <w:p w14:paraId="24BA5B44">
            <w:pPr>
              <w:jc w:val="center"/>
              <w:rPr>
                <w:color w:val="000000"/>
                <w:szCs w:val="21"/>
              </w:rPr>
            </w:pPr>
            <w:r>
              <w:rPr>
                <w:color w:val="000000"/>
                <w:szCs w:val="21"/>
              </w:rPr>
              <w:t>40</w:t>
            </w:r>
          </w:p>
        </w:tc>
        <w:tc>
          <w:tcPr>
            <w:tcW w:w="0" w:type="auto"/>
            <w:noWrap w:val="0"/>
            <w:vAlign w:val="center"/>
          </w:tcPr>
          <w:p w14:paraId="3B1C4632">
            <w:pPr>
              <w:jc w:val="center"/>
              <w:rPr>
                <w:color w:val="000000"/>
                <w:szCs w:val="21"/>
              </w:rPr>
            </w:pPr>
            <w:r>
              <w:rPr>
                <w:color w:val="000000"/>
                <w:szCs w:val="21"/>
              </w:rPr>
              <w:t>200</w:t>
            </w:r>
          </w:p>
        </w:tc>
      </w:tr>
      <w:tr w14:paraId="06BC2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C51B28E">
            <w:pPr>
              <w:jc w:val="center"/>
              <w:rPr>
                <w:color w:val="000000"/>
                <w:szCs w:val="21"/>
              </w:rPr>
            </w:pPr>
            <w:r>
              <w:rPr>
                <w:color w:val="000000"/>
                <w:szCs w:val="21"/>
              </w:rPr>
              <w:t>24</w:t>
            </w:r>
          </w:p>
        </w:tc>
        <w:tc>
          <w:tcPr>
            <w:tcW w:w="0" w:type="auto"/>
            <w:noWrap w:val="0"/>
            <w:vAlign w:val="center"/>
          </w:tcPr>
          <w:p w14:paraId="255E9DF9">
            <w:pPr>
              <w:jc w:val="center"/>
              <w:rPr>
                <w:rFonts w:ascii="楷体_GB2312" w:hAnsi="宋体" w:eastAsia="楷体_GB2312" w:cs="宋体"/>
                <w:color w:val="000000"/>
                <w:szCs w:val="21"/>
              </w:rPr>
            </w:pPr>
            <w:r>
              <w:rPr>
                <w:rFonts w:hint="eastAsia" w:ascii="楷体_GB2312" w:eastAsia="楷体_GB2312"/>
                <w:color w:val="000000"/>
                <w:szCs w:val="21"/>
              </w:rPr>
              <w:t>健康南路</w:t>
            </w:r>
          </w:p>
        </w:tc>
        <w:tc>
          <w:tcPr>
            <w:tcW w:w="0" w:type="auto"/>
            <w:noWrap w:val="0"/>
            <w:vAlign w:val="center"/>
          </w:tcPr>
          <w:p w14:paraId="10058B25">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429582BD">
            <w:pPr>
              <w:jc w:val="center"/>
              <w:rPr>
                <w:color w:val="000000"/>
                <w:szCs w:val="21"/>
              </w:rPr>
            </w:pPr>
            <w:r>
              <w:rPr>
                <w:color w:val="000000"/>
                <w:szCs w:val="21"/>
              </w:rPr>
              <w:t>0.4</w:t>
            </w:r>
          </w:p>
        </w:tc>
        <w:tc>
          <w:tcPr>
            <w:tcW w:w="0" w:type="auto"/>
            <w:noWrap w:val="0"/>
            <w:vAlign w:val="center"/>
          </w:tcPr>
          <w:p w14:paraId="09F87C12">
            <w:pPr>
              <w:jc w:val="center"/>
              <w:rPr>
                <w:color w:val="000000"/>
                <w:szCs w:val="21"/>
              </w:rPr>
            </w:pPr>
            <w:r>
              <w:rPr>
                <w:color w:val="000000"/>
                <w:szCs w:val="21"/>
              </w:rPr>
              <w:t>3</w:t>
            </w:r>
          </w:p>
        </w:tc>
        <w:tc>
          <w:tcPr>
            <w:tcW w:w="0" w:type="auto"/>
            <w:noWrap w:val="0"/>
            <w:vAlign w:val="center"/>
          </w:tcPr>
          <w:p w14:paraId="751CF577">
            <w:pPr>
              <w:jc w:val="center"/>
              <w:rPr>
                <w:color w:val="000000"/>
                <w:szCs w:val="21"/>
              </w:rPr>
            </w:pPr>
            <w:r>
              <w:rPr>
                <w:color w:val="000000"/>
                <w:szCs w:val="21"/>
              </w:rPr>
              <w:t>40</w:t>
            </w:r>
          </w:p>
        </w:tc>
        <w:tc>
          <w:tcPr>
            <w:tcW w:w="0" w:type="auto"/>
            <w:noWrap w:val="0"/>
            <w:vAlign w:val="center"/>
          </w:tcPr>
          <w:p w14:paraId="21FCA24E">
            <w:pPr>
              <w:jc w:val="center"/>
              <w:rPr>
                <w:color w:val="000000"/>
                <w:szCs w:val="21"/>
              </w:rPr>
            </w:pPr>
            <w:r>
              <w:rPr>
                <w:color w:val="000000"/>
                <w:szCs w:val="21"/>
              </w:rPr>
              <w:t>200</w:t>
            </w:r>
          </w:p>
        </w:tc>
      </w:tr>
    </w:tbl>
    <w:p w14:paraId="59852E93">
      <w:pPr>
        <w:jc w:val="center"/>
        <w:rPr>
          <w:rFonts w:eastAsia="黑体"/>
          <w:sz w:val="28"/>
        </w:rPr>
      </w:pPr>
      <w:r>
        <w:rPr>
          <w:rFonts w:eastAsia="黑体"/>
          <w:sz w:val="28"/>
        </w:rPr>
        <w:t xml:space="preserve">表1-3-10  </w:t>
      </w:r>
      <w:r>
        <w:rPr>
          <w:rFonts w:hint="eastAsia" w:eastAsia="黑体"/>
          <w:sz w:val="28"/>
        </w:rPr>
        <w:t>大店镇</w:t>
      </w:r>
      <w:r>
        <w:rPr>
          <w:rFonts w:eastAsia="黑体"/>
          <w:sz w:val="28"/>
        </w:rPr>
        <w:t>镇区道路状况及其功能分及影响距离表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460"/>
        <w:gridCol w:w="1460"/>
        <w:gridCol w:w="1460"/>
        <w:gridCol w:w="879"/>
        <w:gridCol w:w="1170"/>
        <w:gridCol w:w="1460"/>
      </w:tblGrid>
      <w:tr w14:paraId="59362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83" w:type="dxa"/>
            <w:noWrap w:val="0"/>
            <w:vAlign w:val="center"/>
          </w:tcPr>
          <w:p w14:paraId="5CEE7836">
            <w:pPr>
              <w:jc w:val="center"/>
              <w:rPr>
                <w:rFonts w:eastAsia="楷体_GB2312"/>
              </w:rPr>
            </w:pPr>
            <w:r>
              <w:rPr>
                <w:rFonts w:eastAsia="楷体_GB2312"/>
              </w:rPr>
              <w:t>道路编号</w:t>
            </w:r>
          </w:p>
        </w:tc>
        <w:tc>
          <w:tcPr>
            <w:tcW w:w="0" w:type="auto"/>
            <w:noWrap w:val="0"/>
            <w:vAlign w:val="center"/>
          </w:tcPr>
          <w:p w14:paraId="6881904D">
            <w:pPr>
              <w:jc w:val="center"/>
              <w:rPr>
                <w:rFonts w:eastAsia="楷体_GB2312"/>
              </w:rPr>
            </w:pPr>
            <w:r>
              <w:rPr>
                <w:rFonts w:eastAsia="楷体_GB2312"/>
              </w:rPr>
              <w:t>道路名称</w:t>
            </w:r>
          </w:p>
        </w:tc>
        <w:tc>
          <w:tcPr>
            <w:tcW w:w="0" w:type="auto"/>
            <w:noWrap w:val="0"/>
            <w:vAlign w:val="center"/>
          </w:tcPr>
          <w:p w14:paraId="10919AB2">
            <w:pPr>
              <w:jc w:val="center"/>
              <w:rPr>
                <w:rFonts w:eastAsia="楷体_GB2312"/>
              </w:rPr>
            </w:pPr>
            <w:r>
              <w:rPr>
                <w:rFonts w:eastAsia="楷体_GB2312"/>
              </w:rPr>
              <w:t>道路类型</w:t>
            </w:r>
          </w:p>
        </w:tc>
        <w:tc>
          <w:tcPr>
            <w:tcW w:w="0" w:type="auto"/>
            <w:noWrap w:val="0"/>
            <w:vAlign w:val="center"/>
          </w:tcPr>
          <w:p w14:paraId="624CC7FF">
            <w:pPr>
              <w:jc w:val="center"/>
              <w:rPr>
                <w:rFonts w:eastAsia="楷体_GB2312"/>
              </w:rPr>
            </w:pPr>
            <w:r>
              <w:rPr>
                <w:rFonts w:eastAsia="楷体_GB2312"/>
              </w:rPr>
              <w:t>作用指数</w:t>
            </w:r>
          </w:p>
        </w:tc>
        <w:tc>
          <w:tcPr>
            <w:tcW w:w="0" w:type="auto"/>
            <w:noWrap w:val="0"/>
            <w:vAlign w:val="center"/>
          </w:tcPr>
          <w:p w14:paraId="0AE66ABF">
            <w:pPr>
              <w:jc w:val="center"/>
              <w:rPr>
                <w:rFonts w:eastAsia="楷体_GB2312"/>
              </w:rPr>
            </w:pPr>
            <w:r>
              <w:rPr>
                <w:rFonts w:eastAsia="楷体_GB2312"/>
              </w:rPr>
              <w:t>级别</w:t>
            </w:r>
          </w:p>
        </w:tc>
        <w:tc>
          <w:tcPr>
            <w:tcW w:w="0" w:type="auto"/>
            <w:noWrap w:val="0"/>
            <w:vAlign w:val="center"/>
          </w:tcPr>
          <w:p w14:paraId="5E53C866">
            <w:pPr>
              <w:jc w:val="center"/>
              <w:rPr>
                <w:rFonts w:eastAsia="楷体_GB2312"/>
              </w:rPr>
            </w:pPr>
            <w:r>
              <w:rPr>
                <w:rFonts w:eastAsia="楷体_GB2312"/>
              </w:rPr>
              <w:t>功能分</w:t>
            </w:r>
          </w:p>
        </w:tc>
        <w:tc>
          <w:tcPr>
            <w:tcW w:w="0" w:type="auto"/>
            <w:noWrap w:val="0"/>
            <w:vAlign w:val="center"/>
          </w:tcPr>
          <w:p w14:paraId="5AF6AD5A">
            <w:pPr>
              <w:jc w:val="center"/>
              <w:rPr>
                <w:rFonts w:eastAsia="楷体_GB2312"/>
              </w:rPr>
            </w:pPr>
            <w:r>
              <w:rPr>
                <w:rFonts w:eastAsia="楷体_GB2312"/>
              </w:rPr>
              <w:t>影响半径</w:t>
            </w:r>
          </w:p>
        </w:tc>
      </w:tr>
      <w:tr w14:paraId="4DD14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A9790C5">
            <w:pPr>
              <w:jc w:val="center"/>
              <w:rPr>
                <w:color w:val="000000"/>
                <w:szCs w:val="21"/>
              </w:rPr>
            </w:pPr>
            <w:r>
              <w:rPr>
                <w:rFonts w:hint="eastAsia"/>
                <w:color w:val="000000"/>
                <w:szCs w:val="21"/>
              </w:rPr>
              <w:t>0</w:t>
            </w:r>
            <w:r>
              <w:rPr>
                <w:color w:val="000000"/>
                <w:szCs w:val="21"/>
              </w:rPr>
              <w:t>1</w:t>
            </w:r>
          </w:p>
        </w:tc>
        <w:tc>
          <w:tcPr>
            <w:tcW w:w="0" w:type="auto"/>
            <w:noWrap w:val="0"/>
            <w:vAlign w:val="center"/>
          </w:tcPr>
          <w:p w14:paraId="258D7BD4">
            <w:pPr>
              <w:jc w:val="center"/>
              <w:rPr>
                <w:rFonts w:eastAsia="楷体_GB2312"/>
              </w:rPr>
            </w:pPr>
            <w:r>
              <w:rPr>
                <w:rFonts w:eastAsia="楷体_GB2312"/>
              </w:rPr>
              <w:t>303</w:t>
            </w:r>
            <w:r>
              <w:rPr>
                <w:rFonts w:hint="eastAsia" w:eastAsia="楷体_GB2312"/>
              </w:rPr>
              <w:t>省道</w:t>
            </w:r>
          </w:p>
        </w:tc>
        <w:tc>
          <w:tcPr>
            <w:tcW w:w="0" w:type="auto"/>
            <w:noWrap w:val="0"/>
            <w:vAlign w:val="center"/>
          </w:tcPr>
          <w:p w14:paraId="7BCD0BFA">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04B8BA9A">
            <w:pPr>
              <w:jc w:val="center"/>
              <w:rPr>
                <w:color w:val="000000"/>
                <w:szCs w:val="21"/>
              </w:rPr>
            </w:pPr>
            <w:r>
              <w:rPr>
                <w:color w:val="000000"/>
                <w:szCs w:val="21"/>
              </w:rPr>
              <w:t>1</w:t>
            </w:r>
          </w:p>
        </w:tc>
        <w:tc>
          <w:tcPr>
            <w:tcW w:w="0" w:type="auto"/>
            <w:noWrap w:val="0"/>
            <w:vAlign w:val="center"/>
          </w:tcPr>
          <w:p w14:paraId="0343247F">
            <w:pPr>
              <w:jc w:val="center"/>
              <w:rPr>
                <w:color w:val="000000"/>
                <w:szCs w:val="21"/>
              </w:rPr>
            </w:pPr>
            <w:r>
              <w:rPr>
                <w:color w:val="000000"/>
                <w:szCs w:val="21"/>
              </w:rPr>
              <w:t>1</w:t>
            </w:r>
          </w:p>
        </w:tc>
        <w:tc>
          <w:tcPr>
            <w:tcW w:w="0" w:type="auto"/>
            <w:noWrap w:val="0"/>
            <w:vAlign w:val="center"/>
          </w:tcPr>
          <w:p w14:paraId="3F6A24F4">
            <w:pPr>
              <w:jc w:val="center"/>
              <w:rPr>
                <w:color w:val="000000"/>
                <w:szCs w:val="21"/>
              </w:rPr>
            </w:pPr>
            <w:r>
              <w:rPr>
                <w:color w:val="000000"/>
                <w:szCs w:val="21"/>
              </w:rPr>
              <w:t>100</w:t>
            </w:r>
          </w:p>
        </w:tc>
        <w:tc>
          <w:tcPr>
            <w:tcW w:w="0" w:type="auto"/>
            <w:noWrap w:val="0"/>
            <w:vAlign w:val="center"/>
          </w:tcPr>
          <w:p w14:paraId="574FDF78">
            <w:pPr>
              <w:jc w:val="center"/>
              <w:rPr>
                <w:color w:val="000000"/>
                <w:szCs w:val="21"/>
              </w:rPr>
            </w:pPr>
            <w:r>
              <w:rPr>
                <w:color w:val="000000"/>
                <w:szCs w:val="21"/>
              </w:rPr>
              <w:t>260</w:t>
            </w:r>
          </w:p>
        </w:tc>
      </w:tr>
      <w:tr w14:paraId="26477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792BAF2">
            <w:pPr>
              <w:jc w:val="center"/>
              <w:rPr>
                <w:color w:val="000000"/>
                <w:szCs w:val="21"/>
              </w:rPr>
            </w:pPr>
            <w:r>
              <w:rPr>
                <w:rFonts w:hint="eastAsia"/>
                <w:color w:val="000000"/>
                <w:szCs w:val="21"/>
              </w:rPr>
              <w:t>0</w:t>
            </w:r>
            <w:r>
              <w:rPr>
                <w:color w:val="000000"/>
                <w:szCs w:val="21"/>
              </w:rPr>
              <w:t>2</w:t>
            </w:r>
          </w:p>
        </w:tc>
        <w:tc>
          <w:tcPr>
            <w:tcW w:w="0" w:type="auto"/>
            <w:noWrap w:val="0"/>
            <w:vAlign w:val="center"/>
          </w:tcPr>
          <w:p w14:paraId="6EADFDBE">
            <w:pPr>
              <w:jc w:val="center"/>
              <w:rPr>
                <w:rFonts w:eastAsia="楷体_GB2312"/>
              </w:rPr>
            </w:pPr>
            <w:r>
              <w:rPr>
                <w:rFonts w:hint="eastAsia" w:eastAsia="楷体_GB2312"/>
              </w:rPr>
              <w:t>静安路</w:t>
            </w:r>
          </w:p>
        </w:tc>
        <w:tc>
          <w:tcPr>
            <w:tcW w:w="0" w:type="auto"/>
            <w:noWrap w:val="0"/>
            <w:vAlign w:val="center"/>
          </w:tcPr>
          <w:p w14:paraId="33DF9911">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7F85BF52">
            <w:pPr>
              <w:jc w:val="center"/>
              <w:rPr>
                <w:color w:val="000000"/>
                <w:szCs w:val="21"/>
              </w:rPr>
            </w:pPr>
            <w:r>
              <w:rPr>
                <w:color w:val="000000"/>
                <w:szCs w:val="21"/>
              </w:rPr>
              <w:t>1</w:t>
            </w:r>
          </w:p>
        </w:tc>
        <w:tc>
          <w:tcPr>
            <w:tcW w:w="0" w:type="auto"/>
            <w:noWrap w:val="0"/>
            <w:vAlign w:val="center"/>
          </w:tcPr>
          <w:p w14:paraId="661732DF">
            <w:pPr>
              <w:jc w:val="center"/>
              <w:rPr>
                <w:color w:val="000000"/>
                <w:szCs w:val="21"/>
              </w:rPr>
            </w:pPr>
            <w:r>
              <w:rPr>
                <w:color w:val="000000"/>
                <w:szCs w:val="21"/>
              </w:rPr>
              <w:t>1</w:t>
            </w:r>
          </w:p>
        </w:tc>
        <w:tc>
          <w:tcPr>
            <w:tcW w:w="0" w:type="auto"/>
            <w:noWrap w:val="0"/>
            <w:vAlign w:val="center"/>
          </w:tcPr>
          <w:p w14:paraId="2551063B">
            <w:pPr>
              <w:jc w:val="center"/>
              <w:rPr>
                <w:color w:val="000000"/>
                <w:szCs w:val="21"/>
              </w:rPr>
            </w:pPr>
            <w:r>
              <w:rPr>
                <w:color w:val="000000"/>
                <w:szCs w:val="21"/>
              </w:rPr>
              <w:t>100</w:t>
            </w:r>
          </w:p>
        </w:tc>
        <w:tc>
          <w:tcPr>
            <w:tcW w:w="0" w:type="auto"/>
            <w:noWrap w:val="0"/>
            <w:vAlign w:val="center"/>
          </w:tcPr>
          <w:p w14:paraId="496EC37D">
            <w:pPr>
              <w:jc w:val="center"/>
              <w:rPr>
                <w:color w:val="000000"/>
                <w:szCs w:val="21"/>
              </w:rPr>
            </w:pPr>
            <w:r>
              <w:rPr>
                <w:color w:val="000000"/>
                <w:szCs w:val="21"/>
              </w:rPr>
              <w:t>260</w:t>
            </w:r>
          </w:p>
        </w:tc>
      </w:tr>
      <w:tr w14:paraId="70A0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FBD0894">
            <w:pPr>
              <w:jc w:val="center"/>
              <w:rPr>
                <w:color w:val="000000"/>
                <w:szCs w:val="21"/>
              </w:rPr>
            </w:pPr>
            <w:r>
              <w:rPr>
                <w:rFonts w:hint="eastAsia"/>
                <w:color w:val="000000"/>
                <w:szCs w:val="21"/>
              </w:rPr>
              <w:t>0</w:t>
            </w:r>
            <w:r>
              <w:rPr>
                <w:color w:val="000000"/>
                <w:szCs w:val="21"/>
              </w:rPr>
              <w:t>3</w:t>
            </w:r>
          </w:p>
        </w:tc>
        <w:tc>
          <w:tcPr>
            <w:tcW w:w="0" w:type="auto"/>
            <w:noWrap w:val="0"/>
            <w:vAlign w:val="center"/>
          </w:tcPr>
          <w:p w14:paraId="134B5DB1">
            <w:pPr>
              <w:jc w:val="center"/>
              <w:rPr>
                <w:rFonts w:eastAsia="楷体_GB2312"/>
              </w:rPr>
            </w:pPr>
            <w:r>
              <w:rPr>
                <w:rFonts w:hint="eastAsia" w:eastAsia="楷体_GB2312"/>
              </w:rPr>
              <w:t>南一环路</w:t>
            </w:r>
          </w:p>
        </w:tc>
        <w:tc>
          <w:tcPr>
            <w:tcW w:w="0" w:type="auto"/>
            <w:noWrap w:val="0"/>
            <w:vAlign w:val="center"/>
          </w:tcPr>
          <w:p w14:paraId="39BA2C21">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6DECE533">
            <w:pPr>
              <w:jc w:val="center"/>
              <w:rPr>
                <w:color w:val="000000"/>
                <w:szCs w:val="21"/>
              </w:rPr>
            </w:pPr>
            <w:r>
              <w:rPr>
                <w:color w:val="000000"/>
                <w:szCs w:val="21"/>
              </w:rPr>
              <w:t>1</w:t>
            </w:r>
          </w:p>
        </w:tc>
        <w:tc>
          <w:tcPr>
            <w:tcW w:w="0" w:type="auto"/>
            <w:noWrap w:val="0"/>
            <w:vAlign w:val="center"/>
          </w:tcPr>
          <w:p w14:paraId="6893E62D">
            <w:pPr>
              <w:jc w:val="center"/>
              <w:rPr>
                <w:color w:val="000000"/>
                <w:szCs w:val="21"/>
              </w:rPr>
            </w:pPr>
            <w:r>
              <w:rPr>
                <w:color w:val="000000"/>
                <w:szCs w:val="21"/>
              </w:rPr>
              <w:t>1</w:t>
            </w:r>
          </w:p>
        </w:tc>
        <w:tc>
          <w:tcPr>
            <w:tcW w:w="0" w:type="auto"/>
            <w:noWrap w:val="0"/>
            <w:vAlign w:val="center"/>
          </w:tcPr>
          <w:p w14:paraId="22EDDF93">
            <w:pPr>
              <w:jc w:val="center"/>
              <w:rPr>
                <w:color w:val="000000"/>
                <w:szCs w:val="21"/>
              </w:rPr>
            </w:pPr>
            <w:r>
              <w:rPr>
                <w:color w:val="000000"/>
                <w:szCs w:val="21"/>
              </w:rPr>
              <w:t>100</w:t>
            </w:r>
          </w:p>
        </w:tc>
        <w:tc>
          <w:tcPr>
            <w:tcW w:w="0" w:type="auto"/>
            <w:noWrap w:val="0"/>
            <w:vAlign w:val="center"/>
          </w:tcPr>
          <w:p w14:paraId="230F64C1">
            <w:pPr>
              <w:jc w:val="center"/>
              <w:rPr>
                <w:color w:val="000000"/>
                <w:szCs w:val="21"/>
              </w:rPr>
            </w:pPr>
            <w:r>
              <w:rPr>
                <w:color w:val="000000"/>
                <w:szCs w:val="21"/>
              </w:rPr>
              <w:t>260</w:t>
            </w:r>
          </w:p>
        </w:tc>
      </w:tr>
      <w:tr w14:paraId="4D22A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2D03BA8">
            <w:pPr>
              <w:jc w:val="center"/>
              <w:rPr>
                <w:color w:val="000000"/>
                <w:szCs w:val="21"/>
              </w:rPr>
            </w:pPr>
            <w:r>
              <w:rPr>
                <w:rFonts w:hint="eastAsia"/>
                <w:color w:val="000000"/>
                <w:szCs w:val="21"/>
              </w:rPr>
              <w:t>0</w:t>
            </w:r>
            <w:r>
              <w:rPr>
                <w:color w:val="000000"/>
                <w:szCs w:val="21"/>
              </w:rPr>
              <w:t>4</w:t>
            </w:r>
          </w:p>
        </w:tc>
        <w:tc>
          <w:tcPr>
            <w:tcW w:w="0" w:type="auto"/>
            <w:noWrap w:val="0"/>
            <w:vAlign w:val="center"/>
          </w:tcPr>
          <w:p w14:paraId="725B0B84">
            <w:pPr>
              <w:jc w:val="center"/>
              <w:rPr>
                <w:rFonts w:eastAsia="楷体_GB2312"/>
              </w:rPr>
            </w:pPr>
            <w:r>
              <w:rPr>
                <w:rFonts w:hint="eastAsia" w:eastAsia="楷体_GB2312"/>
              </w:rPr>
              <w:t>南环路</w:t>
            </w:r>
          </w:p>
        </w:tc>
        <w:tc>
          <w:tcPr>
            <w:tcW w:w="0" w:type="auto"/>
            <w:noWrap w:val="0"/>
            <w:vAlign w:val="center"/>
          </w:tcPr>
          <w:p w14:paraId="79C3205B">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22E205C7">
            <w:pPr>
              <w:jc w:val="center"/>
              <w:rPr>
                <w:color w:val="000000"/>
                <w:szCs w:val="21"/>
              </w:rPr>
            </w:pPr>
            <w:r>
              <w:rPr>
                <w:color w:val="000000"/>
                <w:szCs w:val="21"/>
              </w:rPr>
              <w:t>1</w:t>
            </w:r>
          </w:p>
        </w:tc>
        <w:tc>
          <w:tcPr>
            <w:tcW w:w="0" w:type="auto"/>
            <w:noWrap w:val="0"/>
            <w:vAlign w:val="center"/>
          </w:tcPr>
          <w:p w14:paraId="74F597DD">
            <w:pPr>
              <w:jc w:val="center"/>
              <w:rPr>
                <w:color w:val="000000"/>
                <w:szCs w:val="21"/>
              </w:rPr>
            </w:pPr>
            <w:r>
              <w:rPr>
                <w:color w:val="000000"/>
                <w:szCs w:val="21"/>
              </w:rPr>
              <w:t>1</w:t>
            </w:r>
          </w:p>
        </w:tc>
        <w:tc>
          <w:tcPr>
            <w:tcW w:w="0" w:type="auto"/>
            <w:noWrap w:val="0"/>
            <w:vAlign w:val="center"/>
          </w:tcPr>
          <w:p w14:paraId="3A53741B">
            <w:pPr>
              <w:jc w:val="center"/>
              <w:rPr>
                <w:color w:val="000000"/>
                <w:szCs w:val="21"/>
              </w:rPr>
            </w:pPr>
            <w:r>
              <w:rPr>
                <w:color w:val="000000"/>
                <w:szCs w:val="21"/>
              </w:rPr>
              <w:t>100</w:t>
            </w:r>
          </w:p>
        </w:tc>
        <w:tc>
          <w:tcPr>
            <w:tcW w:w="0" w:type="auto"/>
            <w:noWrap w:val="0"/>
            <w:vAlign w:val="center"/>
          </w:tcPr>
          <w:p w14:paraId="707AB0F7">
            <w:pPr>
              <w:jc w:val="center"/>
              <w:rPr>
                <w:color w:val="000000"/>
                <w:szCs w:val="21"/>
              </w:rPr>
            </w:pPr>
            <w:r>
              <w:rPr>
                <w:color w:val="000000"/>
                <w:szCs w:val="21"/>
              </w:rPr>
              <w:t>260</w:t>
            </w:r>
          </w:p>
        </w:tc>
      </w:tr>
      <w:tr w14:paraId="293B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C6BE224">
            <w:pPr>
              <w:jc w:val="center"/>
              <w:rPr>
                <w:color w:val="000000"/>
                <w:szCs w:val="21"/>
              </w:rPr>
            </w:pPr>
            <w:r>
              <w:rPr>
                <w:rFonts w:hint="eastAsia"/>
                <w:color w:val="000000"/>
                <w:szCs w:val="21"/>
              </w:rPr>
              <w:t>0</w:t>
            </w:r>
            <w:r>
              <w:rPr>
                <w:color w:val="000000"/>
                <w:szCs w:val="21"/>
              </w:rPr>
              <w:t>5</w:t>
            </w:r>
          </w:p>
        </w:tc>
        <w:tc>
          <w:tcPr>
            <w:tcW w:w="0" w:type="auto"/>
            <w:noWrap w:val="0"/>
            <w:vAlign w:val="center"/>
          </w:tcPr>
          <w:p w14:paraId="7BAF2856">
            <w:pPr>
              <w:jc w:val="center"/>
              <w:rPr>
                <w:rFonts w:eastAsia="楷体_GB2312"/>
              </w:rPr>
            </w:pPr>
            <w:r>
              <w:rPr>
                <w:rFonts w:hint="eastAsia" w:eastAsia="楷体_GB2312"/>
              </w:rPr>
              <w:t>西公路</w:t>
            </w:r>
          </w:p>
        </w:tc>
        <w:tc>
          <w:tcPr>
            <w:tcW w:w="0" w:type="auto"/>
            <w:noWrap w:val="0"/>
            <w:vAlign w:val="center"/>
          </w:tcPr>
          <w:p w14:paraId="43C5DC39">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5B9A4B87">
            <w:pPr>
              <w:jc w:val="center"/>
              <w:rPr>
                <w:color w:val="000000"/>
                <w:szCs w:val="21"/>
              </w:rPr>
            </w:pPr>
            <w:r>
              <w:rPr>
                <w:color w:val="000000"/>
                <w:szCs w:val="21"/>
              </w:rPr>
              <w:t>1</w:t>
            </w:r>
          </w:p>
        </w:tc>
        <w:tc>
          <w:tcPr>
            <w:tcW w:w="0" w:type="auto"/>
            <w:noWrap w:val="0"/>
            <w:vAlign w:val="center"/>
          </w:tcPr>
          <w:p w14:paraId="3490281D">
            <w:pPr>
              <w:jc w:val="center"/>
              <w:rPr>
                <w:color w:val="000000"/>
                <w:szCs w:val="21"/>
              </w:rPr>
            </w:pPr>
            <w:r>
              <w:rPr>
                <w:color w:val="000000"/>
                <w:szCs w:val="21"/>
              </w:rPr>
              <w:t>1</w:t>
            </w:r>
          </w:p>
        </w:tc>
        <w:tc>
          <w:tcPr>
            <w:tcW w:w="0" w:type="auto"/>
            <w:noWrap w:val="0"/>
            <w:vAlign w:val="center"/>
          </w:tcPr>
          <w:p w14:paraId="3FF6D7C3">
            <w:pPr>
              <w:jc w:val="center"/>
              <w:rPr>
                <w:color w:val="000000"/>
                <w:szCs w:val="21"/>
              </w:rPr>
            </w:pPr>
            <w:r>
              <w:rPr>
                <w:color w:val="000000"/>
                <w:szCs w:val="21"/>
              </w:rPr>
              <w:t>100</w:t>
            </w:r>
          </w:p>
        </w:tc>
        <w:tc>
          <w:tcPr>
            <w:tcW w:w="0" w:type="auto"/>
            <w:noWrap w:val="0"/>
            <w:vAlign w:val="center"/>
          </w:tcPr>
          <w:p w14:paraId="1213E01C">
            <w:pPr>
              <w:jc w:val="center"/>
              <w:rPr>
                <w:color w:val="000000"/>
                <w:szCs w:val="21"/>
              </w:rPr>
            </w:pPr>
            <w:r>
              <w:rPr>
                <w:color w:val="000000"/>
                <w:szCs w:val="21"/>
              </w:rPr>
              <w:t>260</w:t>
            </w:r>
          </w:p>
        </w:tc>
      </w:tr>
      <w:tr w14:paraId="3D973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B820E0B">
            <w:pPr>
              <w:jc w:val="center"/>
              <w:rPr>
                <w:color w:val="000000"/>
                <w:szCs w:val="21"/>
              </w:rPr>
            </w:pPr>
            <w:r>
              <w:rPr>
                <w:rFonts w:hint="eastAsia"/>
                <w:color w:val="000000"/>
                <w:szCs w:val="21"/>
              </w:rPr>
              <w:t>0</w:t>
            </w:r>
            <w:r>
              <w:rPr>
                <w:color w:val="000000"/>
                <w:szCs w:val="21"/>
              </w:rPr>
              <w:t>6</w:t>
            </w:r>
          </w:p>
        </w:tc>
        <w:tc>
          <w:tcPr>
            <w:tcW w:w="0" w:type="auto"/>
            <w:noWrap w:val="0"/>
            <w:vAlign w:val="center"/>
          </w:tcPr>
          <w:p w14:paraId="6A97620A">
            <w:pPr>
              <w:jc w:val="center"/>
              <w:rPr>
                <w:rFonts w:eastAsia="楷体_GB2312"/>
              </w:rPr>
            </w:pPr>
            <w:r>
              <w:rPr>
                <w:rFonts w:hint="eastAsia" w:eastAsia="楷体_GB2312"/>
              </w:rPr>
              <w:t>西昌路</w:t>
            </w:r>
          </w:p>
        </w:tc>
        <w:tc>
          <w:tcPr>
            <w:tcW w:w="0" w:type="auto"/>
            <w:noWrap w:val="0"/>
            <w:vAlign w:val="center"/>
          </w:tcPr>
          <w:p w14:paraId="3DDF2984">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6327B7F9">
            <w:pPr>
              <w:jc w:val="center"/>
              <w:rPr>
                <w:color w:val="000000"/>
                <w:szCs w:val="21"/>
              </w:rPr>
            </w:pPr>
            <w:r>
              <w:rPr>
                <w:color w:val="000000"/>
                <w:szCs w:val="21"/>
              </w:rPr>
              <w:t>1</w:t>
            </w:r>
          </w:p>
        </w:tc>
        <w:tc>
          <w:tcPr>
            <w:tcW w:w="0" w:type="auto"/>
            <w:noWrap w:val="0"/>
            <w:vAlign w:val="center"/>
          </w:tcPr>
          <w:p w14:paraId="33AEDF89">
            <w:pPr>
              <w:jc w:val="center"/>
              <w:rPr>
                <w:color w:val="000000"/>
                <w:szCs w:val="21"/>
              </w:rPr>
            </w:pPr>
            <w:r>
              <w:rPr>
                <w:color w:val="000000"/>
                <w:szCs w:val="21"/>
              </w:rPr>
              <w:t>1</w:t>
            </w:r>
          </w:p>
        </w:tc>
        <w:tc>
          <w:tcPr>
            <w:tcW w:w="0" w:type="auto"/>
            <w:noWrap w:val="0"/>
            <w:vAlign w:val="center"/>
          </w:tcPr>
          <w:p w14:paraId="1F95D8C9">
            <w:pPr>
              <w:jc w:val="center"/>
              <w:rPr>
                <w:color w:val="000000"/>
                <w:szCs w:val="21"/>
              </w:rPr>
            </w:pPr>
            <w:r>
              <w:rPr>
                <w:color w:val="000000"/>
                <w:szCs w:val="21"/>
              </w:rPr>
              <w:t>100</w:t>
            </w:r>
          </w:p>
        </w:tc>
        <w:tc>
          <w:tcPr>
            <w:tcW w:w="0" w:type="auto"/>
            <w:noWrap w:val="0"/>
            <w:vAlign w:val="center"/>
          </w:tcPr>
          <w:p w14:paraId="5AEB904C">
            <w:pPr>
              <w:jc w:val="center"/>
              <w:rPr>
                <w:color w:val="000000"/>
                <w:szCs w:val="21"/>
              </w:rPr>
            </w:pPr>
            <w:r>
              <w:rPr>
                <w:color w:val="000000"/>
                <w:szCs w:val="21"/>
              </w:rPr>
              <w:t>260</w:t>
            </w:r>
          </w:p>
        </w:tc>
      </w:tr>
      <w:tr w14:paraId="3367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CDA871B">
            <w:pPr>
              <w:jc w:val="center"/>
              <w:rPr>
                <w:color w:val="000000"/>
                <w:szCs w:val="21"/>
              </w:rPr>
            </w:pPr>
            <w:r>
              <w:rPr>
                <w:rFonts w:hint="eastAsia"/>
                <w:color w:val="000000"/>
                <w:szCs w:val="21"/>
              </w:rPr>
              <w:t>0</w:t>
            </w:r>
            <w:r>
              <w:rPr>
                <w:color w:val="000000"/>
                <w:szCs w:val="21"/>
              </w:rPr>
              <w:t>7</w:t>
            </w:r>
          </w:p>
        </w:tc>
        <w:tc>
          <w:tcPr>
            <w:tcW w:w="0" w:type="auto"/>
            <w:noWrap w:val="0"/>
            <w:vAlign w:val="center"/>
          </w:tcPr>
          <w:p w14:paraId="5F390065">
            <w:pPr>
              <w:jc w:val="center"/>
              <w:rPr>
                <w:rFonts w:eastAsia="楷体_GB2312"/>
              </w:rPr>
            </w:pPr>
            <w:r>
              <w:rPr>
                <w:rFonts w:hint="eastAsia" w:eastAsia="楷体_GB2312"/>
              </w:rPr>
              <w:t>西昌路</w:t>
            </w:r>
          </w:p>
        </w:tc>
        <w:tc>
          <w:tcPr>
            <w:tcW w:w="0" w:type="auto"/>
            <w:noWrap w:val="0"/>
            <w:vAlign w:val="center"/>
          </w:tcPr>
          <w:p w14:paraId="7A9EE987">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5A9F71D4">
            <w:pPr>
              <w:jc w:val="center"/>
              <w:rPr>
                <w:color w:val="000000"/>
                <w:szCs w:val="21"/>
              </w:rPr>
            </w:pPr>
            <w:r>
              <w:rPr>
                <w:color w:val="000000"/>
                <w:szCs w:val="21"/>
              </w:rPr>
              <w:t>1</w:t>
            </w:r>
          </w:p>
        </w:tc>
        <w:tc>
          <w:tcPr>
            <w:tcW w:w="0" w:type="auto"/>
            <w:noWrap w:val="0"/>
            <w:vAlign w:val="center"/>
          </w:tcPr>
          <w:p w14:paraId="245FFD03">
            <w:pPr>
              <w:jc w:val="center"/>
              <w:rPr>
                <w:color w:val="000000"/>
                <w:szCs w:val="21"/>
              </w:rPr>
            </w:pPr>
            <w:r>
              <w:rPr>
                <w:color w:val="000000"/>
                <w:szCs w:val="21"/>
              </w:rPr>
              <w:t>1</w:t>
            </w:r>
          </w:p>
        </w:tc>
        <w:tc>
          <w:tcPr>
            <w:tcW w:w="0" w:type="auto"/>
            <w:noWrap w:val="0"/>
            <w:vAlign w:val="center"/>
          </w:tcPr>
          <w:p w14:paraId="235CAF6D">
            <w:pPr>
              <w:jc w:val="center"/>
              <w:rPr>
                <w:color w:val="000000"/>
                <w:szCs w:val="21"/>
              </w:rPr>
            </w:pPr>
            <w:r>
              <w:rPr>
                <w:color w:val="000000"/>
                <w:szCs w:val="21"/>
              </w:rPr>
              <w:t>100</w:t>
            </w:r>
          </w:p>
        </w:tc>
        <w:tc>
          <w:tcPr>
            <w:tcW w:w="0" w:type="auto"/>
            <w:noWrap w:val="0"/>
            <w:vAlign w:val="center"/>
          </w:tcPr>
          <w:p w14:paraId="60A09D7D">
            <w:pPr>
              <w:jc w:val="center"/>
              <w:rPr>
                <w:color w:val="000000"/>
                <w:szCs w:val="21"/>
              </w:rPr>
            </w:pPr>
            <w:r>
              <w:rPr>
                <w:color w:val="000000"/>
                <w:szCs w:val="21"/>
              </w:rPr>
              <w:t>260</w:t>
            </w:r>
          </w:p>
        </w:tc>
      </w:tr>
      <w:tr w14:paraId="6304B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1A6EC64">
            <w:pPr>
              <w:jc w:val="center"/>
              <w:rPr>
                <w:color w:val="000000"/>
                <w:szCs w:val="21"/>
              </w:rPr>
            </w:pPr>
            <w:r>
              <w:rPr>
                <w:rFonts w:hint="eastAsia"/>
                <w:color w:val="000000"/>
                <w:szCs w:val="21"/>
              </w:rPr>
              <w:t>0</w:t>
            </w:r>
            <w:r>
              <w:rPr>
                <w:color w:val="000000"/>
                <w:szCs w:val="21"/>
              </w:rPr>
              <w:t>8</w:t>
            </w:r>
          </w:p>
        </w:tc>
        <w:tc>
          <w:tcPr>
            <w:tcW w:w="0" w:type="auto"/>
            <w:noWrap w:val="0"/>
            <w:vAlign w:val="center"/>
          </w:tcPr>
          <w:p w14:paraId="79D0808A">
            <w:pPr>
              <w:jc w:val="center"/>
              <w:rPr>
                <w:rFonts w:eastAsia="楷体_GB2312"/>
              </w:rPr>
            </w:pPr>
            <w:r>
              <w:rPr>
                <w:rFonts w:hint="eastAsia" w:eastAsia="楷体_GB2312"/>
              </w:rPr>
              <w:t>东昌路</w:t>
            </w:r>
          </w:p>
        </w:tc>
        <w:tc>
          <w:tcPr>
            <w:tcW w:w="0" w:type="auto"/>
            <w:noWrap w:val="0"/>
            <w:vAlign w:val="center"/>
          </w:tcPr>
          <w:p w14:paraId="0F573507">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13790728">
            <w:pPr>
              <w:jc w:val="center"/>
              <w:rPr>
                <w:color w:val="000000"/>
                <w:szCs w:val="21"/>
              </w:rPr>
            </w:pPr>
            <w:r>
              <w:rPr>
                <w:color w:val="000000"/>
                <w:szCs w:val="21"/>
              </w:rPr>
              <w:t>1</w:t>
            </w:r>
          </w:p>
        </w:tc>
        <w:tc>
          <w:tcPr>
            <w:tcW w:w="0" w:type="auto"/>
            <w:noWrap w:val="0"/>
            <w:vAlign w:val="center"/>
          </w:tcPr>
          <w:p w14:paraId="0F72FD30">
            <w:pPr>
              <w:jc w:val="center"/>
              <w:rPr>
                <w:color w:val="000000"/>
                <w:szCs w:val="21"/>
              </w:rPr>
            </w:pPr>
            <w:r>
              <w:rPr>
                <w:color w:val="000000"/>
                <w:szCs w:val="21"/>
              </w:rPr>
              <w:t>1</w:t>
            </w:r>
          </w:p>
        </w:tc>
        <w:tc>
          <w:tcPr>
            <w:tcW w:w="0" w:type="auto"/>
            <w:noWrap w:val="0"/>
            <w:vAlign w:val="center"/>
          </w:tcPr>
          <w:p w14:paraId="01082085">
            <w:pPr>
              <w:jc w:val="center"/>
              <w:rPr>
                <w:color w:val="000000"/>
                <w:szCs w:val="21"/>
              </w:rPr>
            </w:pPr>
            <w:r>
              <w:rPr>
                <w:color w:val="000000"/>
                <w:szCs w:val="21"/>
              </w:rPr>
              <w:t>100</w:t>
            </w:r>
          </w:p>
        </w:tc>
        <w:tc>
          <w:tcPr>
            <w:tcW w:w="0" w:type="auto"/>
            <w:noWrap w:val="0"/>
            <w:vAlign w:val="center"/>
          </w:tcPr>
          <w:p w14:paraId="696E1035">
            <w:pPr>
              <w:jc w:val="center"/>
              <w:rPr>
                <w:color w:val="000000"/>
                <w:szCs w:val="21"/>
              </w:rPr>
            </w:pPr>
            <w:r>
              <w:rPr>
                <w:color w:val="000000"/>
                <w:szCs w:val="21"/>
              </w:rPr>
              <w:t>260</w:t>
            </w:r>
          </w:p>
        </w:tc>
      </w:tr>
      <w:tr w14:paraId="1832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7CEC5A1">
            <w:pPr>
              <w:jc w:val="center"/>
              <w:rPr>
                <w:color w:val="000000"/>
                <w:szCs w:val="21"/>
              </w:rPr>
            </w:pPr>
            <w:r>
              <w:rPr>
                <w:rFonts w:hint="eastAsia"/>
                <w:color w:val="000000"/>
                <w:szCs w:val="21"/>
              </w:rPr>
              <w:t>0</w:t>
            </w:r>
            <w:r>
              <w:rPr>
                <w:color w:val="000000"/>
                <w:szCs w:val="21"/>
              </w:rPr>
              <w:t>9</w:t>
            </w:r>
          </w:p>
        </w:tc>
        <w:tc>
          <w:tcPr>
            <w:tcW w:w="0" w:type="auto"/>
            <w:noWrap w:val="0"/>
            <w:vAlign w:val="center"/>
          </w:tcPr>
          <w:p w14:paraId="21FEF5EE">
            <w:pPr>
              <w:jc w:val="center"/>
              <w:rPr>
                <w:rFonts w:eastAsia="楷体_GB2312"/>
              </w:rPr>
            </w:pPr>
            <w:r>
              <w:rPr>
                <w:rFonts w:hint="eastAsia" w:eastAsia="楷体_GB2312"/>
              </w:rPr>
              <w:t>工业路</w:t>
            </w:r>
          </w:p>
        </w:tc>
        <w:tc>
          <w:tcPr>
            <w:tcW w:w="0" w:type="auto"/>
            <w:noWrap w:val="0"/>
            <w:vAlign w:val="center"/>
          </w:tcPr>
          <w:p w14:paraId="497DD275">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448DE5BA">
            <w:pPr>
              <w:jc w:val="center"/>
              <w:rPr>
                <w:color w:val="000000"/>
                <w:szCs w:val="21"/>
              </w:rPr>
            </w:pPr>
            <w:r>
              <w:rPr>
                <w:color w:val="000000"/>
                <w:szCs w:val="21"/>
              </w:rPr>
              <w:t>1</w:t>
            </w:r>
          </w:p>
        </w:tc>
        <w:tc>
          <w:tcPr>
            <w:tcW w:w="0" w:type="auto"/>
            <w:noWrap w:val="0"/>
            <w:vAlign w:val="center"/>
          </w:tcPr>
          <w:p w14:paraId="21EBFD94">
            <w:pPr>
              <w:jc w:val="center"/>
              <w:rPr>
                <w:color w:val="000000"/>
                <w:szCs w:val="21"/>
              </w:rPr>
            </w:pPr>
            <w:r>
              <w:rPr>
                <w:color w:val="000000"/>
                <w:szCs w:val="21"/>
              </w:rPr>
              <w:t>1</w:t>
            </w:r>
          </w:p>
        </w:tc>
        <w:tc>
          <w:tcPr>
            <w:tcW w:w="0" w:type="auto"/>
            <w:noWrap w:val="0"/>
            <w:vAlign w:val="center"/>
          </w:tcPr>
          <w:p w14:paraId="2FA3C1BB">
            <w:pPr>
              <w:jc w:val="center"/>
              <w:rPr>
                <w:color w:val="000000"/>
                <w:szCs w:val="21"/>
              </w:rPr>
            </w:pPr>
            <w:r>
              <w:rPr>
                <w:color w:val="000000"/>
                <w:szCs w:val="21"/>
              </w:rPr>
              <w:t>100</w:t>
            </w:r>
          </w:p>
        </w:tc>
        <w:tc>
          <w:tcPr>
            <w:tcW w:w="0" w:type="auto"/>
            <w:noWrap w:val="0"/>
            <w:vAlign w:val="center"/>
          </w:tcPr>
          <w:p w14:paraId="641DD1B5">
            <w:pPr>
              <w:jc w:val="center"/>
              <w:rPr>
                <w:color w:val="000000"/>
                <w:szCs w:val="21"/>
              </w:rPr>
            </w:pPr>
            <w:r>
              <w:rPr>
                <w:color w:val="000000"/>
                <w:szCs w:val="21"/>
              </w:rPr>
              <w:t>260</w:t>
            </w:r>
          </w:p>
        </w:tc>
      </w:tr>
      <w:tr w14:paraId="05A78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5BED0A6">
            <w:pPr>
              <w:jc w:val="center"/>
              <w:rPr>
                <w:color w:val="000000"/>
                <w:szCs w:val="21"/>
              </w:rPr>
            </w:pPr>
            <w:r>
              <w:rPr>
                <w:color w:val="000000"/>
                <w:szCs w:val="21"/>
              </w:rPr>
              <w:t>10</w:t>
            </w:r>
          </w:p>
        </w:tc>
        <w:tc>
          <w:tcPr>
            <w:tcW w:w="0" w:type="auto"/>
            <w:noWrap w:val="0"/>
            <w:vAlign w:val="center"/>
          </w:tcPr>
          <w:p w14:paraId="0F6F594B">
            <w:pPr>
              <w:jc w:val="center"/>
              <w:rPr>
                <w:rFonts w:eastAsia="楷体_GB2312"/>
              </w:rPr>
            </w:pPr>
            <w:r>
              <w:rPr>
                <w:rFonts w:hint="eastAsia" w:eastAsia="楷体_GB2312"/>
              </w:rPr>
              <w:t>东环路</w:t>
            </w:r>
          </w:p>
        </w:tc>
        <w:tc>
          <w:tcPr>
            <w:tcW w:w="0" w:type="auto"/>
            <w:noWrap w:val="0"/>
            <w:vAlign w:val="center"/>
          </w:tcPr>
          <w:p w14:paraId="710CA7E6">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4767916B">
            <w:pPr>
              <w:jc w:val="center"/>
              <w:rPr>
                <w:color w:val="000000"/>
                <w:szCs w:val="21"/>
              </w:rPr>
            </w:pPr>
            <w:r>
              <w:rPr>
                <w:color w:val="000000"/>
                <w:szCs w:val="21"/>
              </w:rPr>
              <w:t>1</w:t>
            </w:r>
          </w:p>
        </w:tc>
        <w:tc>
          <w:tcPr>
            <w:tcW w:w="0" w:type="auto"/>
            <w:noWrap w:val="0"/>
            <w:vAlign w:val="center"/>
          </w:tcPr>
          <w:p w14:paraId="580117C7">
            <w:pPr>
              <w:jc w:val="center"/>
              <w:rPr>
                <w:color w:val="000000"/>
                <w:szCs w:val="21"/>
              </w:rPr>
            </w:pPr>
            <w:r>
              <w:rPr>
                <w:color w:val="000000"/>
                <w:szCs w:val="21"/>
              </w:rPr>
              <w:t>1</w:t>
            </w:r>
          </w:p>
        </w:tc>
        <w:tc>
          <w:tcPr>
            <w:tcW w:w="0" w:type="auto"/>
            <w:noWrap w:val="0"/>
            <w:vAlign w:val="center"/>
          </w:tcPr>
          <w:p w14:paraId="7D142104">
            <w:pPr>
              <w:jc w:val="center"/>
              <w:rPr>
                <w:color w:val="000000"/>
                <w:szCs w:val="21"/>
              </w:rPr>
            </w:pPr>
            <w:r>
              <w:rPr>
                <w:color w:val="000000"/>
                <w:szCs w:val="21"/>
              </w:rPr>
              <w:t>100</w:t>
            </w:r>
          </w:p>
        </w:tc>
        <w:tc>
          <w:tcPr>
            <w:tcW w:w="0" w:type="auto"/>
            <w:noWrap w:val="0"/>
            <w:vAlign w:val="center"/>
          </w:tcPr>
          <w:p w14:paraId="1A568B11">
            <w:pPr>
              <w:jc w:val="center"/>
              <w:rPr>
                <w:color w:val="000000"/>
                <w:szCs w:val="21"/>
              </w:rPr>
            </w:pPr>
            <w:r>
              <w:rPr>
                <w:color w:val="000000"/>
                <w:szCs w:val="21"/>
              </w:rPr>
              <w:t>260</w:t>
            </w:r>
          </w:p>
        </w:tc>
      </w:tr>
      <w:tr w14:paraId="3379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553B0D7">
            <w:pPr>
              <w:jc w:val="center"/>
              <w:rPr>
                <w:color w:val="000000"/>
                <w:szCs w:val="21"/>
              </w:rPr>
            </w:pPr>
            <w:r>
              <w:rPr>
                <w:color w:val="000000"/>
                <w:szCs w:val="21"/>
              </w:rPr>
              <w:t>11</w:t>
            </w:r>
          </w:p>
        </w:tc>
        <w:tc>
          <w:tcPr>
            <w:tcW w:w="0" w:type="auto"/>
            <w:noWrap w:val="0"/>
            <w:vAlign w:val="center"/>
          </w:tcPr>
          <w:p w14:paraId="62282905">
            <w:pPr>
              <w:jc w:val="center"/>
              <w:rPr>
                <w:rFonts w:eastAsia="楷体_GB2312"/>
              </w:rPr>
            </w:pPr>
            <w:r>
              <w:rPr>
                <w:rFonts w:hint="eastAsia" w:eastAsia="楷体_GB2312"/>
              </w:rPr>
              <w:t>公园路</w:t>
            </w:r>
          </w:p>
        </w:tc>
        <w:tc>
          <w:tcPr>
            <w:tcW w:w="0" w:type="auto"/>
            <w:noWrap w:val="0"/>
            <w:vAlign w:val="center"/>
          </w:tcPr>
          <w:p w14:paraId="0FC0EA3B">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595081C3">
            <w:pPr>
              <w:jc w:val="center"/>
              <w:rPr>
                <w:color w:val="000000"/>
                <w:szCs w:val="21"/>
              </w:rPr>
            </w:pPr>
            <w:r>
              <w:rPr>
                <w:color w:val="000000"/>
                <w:szCs w:val="21"/>
              </w:rPr>
              <w:t>0.7</w:t>
            </w:r>
          </w:p>
        </w:tc>
        <w:tc>
          <w:tcPr>
            <w:tcW w:w="0" w:type="auto"/>
            <w:noWrap w:val="0"/>
            <w:vAlign w:val="center"/>
          </w:tcPr>
          <w:p w14:paraId="4C05536F">
            <w:pPr>
              <w:jc w:val="center"/>
              <w:rPr>
                <w:color w:val="000000"/>
                <w:szCs w:val="21"/>
              </w:rPr>
            </w:pPr>
            <w:r>
              <w:rPr>
                <w:color w:val="000000"/>
                <w:szCs w:val="21"/>
              </w:rPr>
              <w:t>2</w:t>
            </w:r>
          </w:p>
        </w:tc>
        <w:tc>
          <w:tcPr>
            <w:tcW w:w="0" w:type="auto"/>
            <w:noWrap w:val="0"/>
            <w:vAlign w:val="center"/>
          </w:tcPr>
          <w:p w14:paraId="5E6A12C6">
            <w:pPr>
              <w:jc w:val="center"/>
              <w:rPr>
                <w:color w:val="000000"/>
                <w:szCs w:val="21"/>
              </w:rPr>
            </w:pPr>
            <w:r>
              <w:rPr>
                <w:color w:val="000000"/>
                <w:szCs w:val="21"/>
              </w:rPr>
              <w:t>70</w:t>
            </w:r>
          </w:p>
        </w:tc>
        <w:tc>
          <w:tcPr>
            <w:tcW w:w="0" w:type="auto"/>
            <w:noWrap w:val="0"/>
            <w:vAlign w:val="center"/>
          </w:tcPr>
          <w:p w14:paraId="4632BE88">
            <w:pPr>
              <w:jc w:val="center"/>
              <w:rPr>
                <w:color w:val="000000"/>
                <w:szCs w:val="21"/>
              </w:rPr>
            </w:pPr>
            <w:r>
              <w:rPr>
                <w:color w:val="000000"/>
                <w:szCs w:val="21"/>
              </w:rPr>
              <w:t>220</w:t>
            </w:r>
          </w:p>
        </w:tc>
      </w:tr>
      <w:tr w14:paraId="783D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1F51E59">
            <w:pPr>
              <w:jc w:val="center"/>
              <w:rPr>
                <w:color w:val="000000"/>
                <w:szCs w:val="21"/>
              </w:rPr>
            </w:pPr>
            <w:r>
              <w:rPr>
                <w:color w:val="000000"/>
                <w:szCs w:val="21"/>
              </w:rPr>
              <w:t>12</w:t>
            </w:r>
          </w:p>
        </w:tc>
        <w:tc>
          <w:tcPr>
            <w:tcW w:w="0" w:type="auto"/>
            <w:noWrap w:val="0"/>
            <w:vAlign w:val="center"/>
          </w:tcPr>
          <w:p w14:paraId="2634ABD2">
            <w:pPr>
              <w:jc w:val="center"/>
              <w:rPr>
                <w:rFonts w:eastAsia="楷体_GB2312"/>
              </w:rPr>
            </w:pPr>
            <w:r>
              <w:rPr>
                <w:rFonts w:hint="eastAsia" w:eastAsia="楷体_GB2312"/>
              </w:rPr>
              <w:t>公安路</w:t>
            </w:r>
          </w:p>
        </w:tc>
        <w:tc>
          <w:tcPr>
            <w:tcW w:w="0" w:type="auto"/>
            <w:noWrap w:val="0"/>
            <w:vAlign w:val="center"/>
          </w:tcPr>
          <w:p w14:paraId="3FF87965">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021547F7">
            <w:pPr>
              <w:jc w:val="center"/>
              <w:rPr>
                <w:color w:val="000000"/>
                <w:szCs w:val="21"/>
              </w:rPr>
            </w:pPr>
            <w:r>
              <w:rPr>
                <w:color w:val="000000"/>
                <w:szCs w:val="21"/>
              </w:rPr>
              <w:t>0.7</w:t>
            </w:r>
          </w:p>
        </w:tc>
        <w:tc>
          <w:tcPr>
            <w:tcW w:w="0" w:type="auto"/>
            <w:noWrap w:val="0"/>
            <w:vAlign w:val="center"/>
          </w:tcPr>
          <w:p w14:paraId="7F7CF453">
            <w:pPr>
              <w:jc w:val="center"/>
              <w:rPr>
                <w:color w:val="000000"/>
                <w:szCs w:val="21"/>
              </w:rPr>
            </w:pPr>
            <w:r>
              <w:rPr>
                <w:color w:val="000000"/>
                <w:szCs w:val="21"/>
              </w:rPr>
              <w:t>2</w:t>
            </w:r>
          </w:p>
        </w:tc>
        <w:tc>
          <w:tcPr>
            <w:tcW w:w="0" w:type="auto"/>
            <w:noWrap w:val="0"/>
            <w:vAlign w:val="center"/>
          </w:tcPr>
          <w:p w14:paraId="65B2C2DD">
            <w:pPr>
              <w:jc w:val="center"/>
              <w:rPr>
                <w:color w:val="000000"/>
                <w:szCs w:val="21"/>
              </w:rPr>
            </w:pPr>
            <w:r>
              <w:rPr>
                <w:color w:val="000000"/>
                <w:szCs w:val="21"/>
              </w:rPr>
              <w:t>70</w:t>
            </w:r>
          </w:p>
        </w:tc>
        <w:tc>
          <w:tcPr>
            <w:tcW w:w="0" w:type="auto"/>
            <w:noWrap w:val="0"/>
            <w:vAlign w:val="center"/>
          </w:tcPr>
          <w:p w14:paraId="7359392E">
            <w:pPr>
              <w:jc w:val="center"/>
              <w:rPr>
                <w:color w:val="000000"/>
                <w:szCs w:val="21"/>
              </w:rPr>
            </w:pPr>
            <w:r>
              <w:rPr>
                <w:color w:val="000000"/>
                <w:szCs w:val="21"/>
              </w:rPr>
              <w:t>220</w:t>
            </w:r>
          </w:p>
        </w:tc>
      </w:tr>
      <w:tr w14:paraId="4BBCD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532C767">
            <w:pPr>
              <w:jc w:val="center"/>
              <w:rPr>
                <w:color w:val="000000"/>
                <w:szCs w:val="21"/>
              </w:rPr>
            </w:pPr>
            <w:r>
              <w:rPr>
                <w:color w:val="000000"/>
                <w:szCs w:val="21"/>
              </w:rPr>
              <w:t>13</w:t>
            </w:r>
          </w:p>
        </w:tc>
        <w:tc>
          <w:tcPr>
            <w:tcW w:w="0" w:type="auto"/>
            <w:noWrap w:val="0"/>
            <w:vAlign w:val="center"/>
          </w:tcPr>
          <w:p w14:paraId="0A82C8B2">
            <w:pPr>
              <w:jc w:val="center"/>
              <w:rPr>
                <w:rFonts w:eastAsia="楷体_GB2312"/>
              </w:rPr>
            </w:pPr>
            <w:r>
              <w:rPr>
                <w:rFonts w:hint="eastAsia" w:eastAsia="楷体_GB2312"/>
              </w:rPr>
              <w:t>公安路</w:t>
            </w:r>
          </w:p>
        </w:tc>
        <w:tc>
          <w:tcPr>
            <w:tcW w:w="0" w:type="auto"/>
            <w:noWrap w:val="0"/>
            <w:vAlign w:val="center"/>
          </w:tcPr>
          <w:p w14:paraId="29B1E5F0">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6532ED9E">
            <w:pPr>
              <w:jc w:val="center"/>
              <w:rPr>
                <w:color w:val="000000"/>
                <w:szCs w:val="21"/>
              </w:rPr>
            </w:pPr>
            <w:r>
              <w:rPr>
                <w:color w:val="000000"/>
                <w:szCs w:val="21"/>
              </w:rPr>
              <w:t>0.7</w:t>
            </w:r>
          </w:p>
        </w:tc>
        <w:tc>
          <w:tcPr>
            <w:tcW w:w="0" w:type="auto"/>
            <w:noWrap w:val="0"/>
            <w:vAlign w:val="center"/>
          </w:tcPr>
          <w:p w14:paraId="45D772B4">
            <w:pPr>
              <w:jc w:val="center"/>
              <w:rPr>
                <w:color w:val="000000"/>
                <w:szCs w:val="21"/>
              </w:rPr>
            </w:pPr>
            <w:r>
              <w:rPr>
                <w:color w:val="000000"/>
                <w:szCs w:val="21"/>
              </w:rPr>
              <w:t>2</w:t>
            </w:r>
          </w:p>
        </w:tc>
        <w:tc>
          <w:tcPr>
            <w:tcW w:w="0" w:type="auto"/>
            <w:noWrap w:val="0"/>
            <w:vAlign w:val="center"/>
          </w:tcPr>
          <w:p w14:paraId="67A9BFF4">
            <w:pPr>
              <w:jc w:val="center"/>
              <w:rPr>
                <w:color w:val="000000"/>
                <w:szCs w:val="21"/>
              </w:rPr>
            </w:pPr>
            <w:r>
              <w:rPr>
                <w:color w:val="000000"/>
                <w:szCs w:val="21"/>
              </w:rPr>
              <w:t>70</w:t>
            </w:r>
          </w:p>
        </w:tc>
        <w:tc>
          <w:tcPr>
            <w:tcW w:w="0" w:type="auto"/>
            <w:noWrap w:val="0"/>
            <w:vAlign w:val="center"/>
          </w:tcPr>
          <w:p w14:paraId="2CA687DE">
            <w:pPr>
              <w:jc w:val="center"/>
              <w:rPr>
                <w:color w:val="000000"/>
                <w:szCs w:val="21"/>
              </w:rPr>
            </w:pPr>
            <w:r>
              <w:rPr>
                <w:color w:val="000000"/>
                <w:szCs w:val="21"/>
              </w:rPr>
              <w:t>220</w:t>
            </w:r>
          </w:p>
        </w:tc>
      </w:tr>
      <w:tr w14:paraId="239E4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004ED88">
            <w:pPr>
              <w:jc w:val="center"/>
              <w:rPr>
                <w:color w:val="000000"/>
                <w:szCs w:val="21"/>
              </w:rPr>
            </w:pPr>
            <w:r>
              <w:rPr>
                <w:color w:val="000000"/>
                <w:szCs w:val="21"/>
              </w:rPr>
              <w:t>14</w:t>
            </w:r>
          </w:p>
        </w:tc>
        <w:tc>
          <w:tcPr>
            <w:tcW w:w="0" w:type="auto"/>
            <w:noWrap w:val="0"/>
            <w:vAlign w:val="center"/>
          </w:tcPr>
          <w:p w14:paraId="0B81E909">
            <w:pPr>
              <w:jc w:val="center"/>
              <w:rPr>
                <w:rFonts w:eastAsia="楷体_GB2312"/>
              </w:rPr>
            </w:pPr>
            <w:r>
              <w:rPr>
                <w:rFonts w:hint="eastAsia" w:eastAsia="楷体_GB2312"/>
              </w:rPr>
              <w:t>月牙街</w:t>
            </w:r>
          </w:p>
        </w:tc>
        <w:tc>
          <w:tcPr>
            <w:tcW w:w="0" w:type="auto"/>
            <w:noWrap w:val="0"/>
            <w:vAlign w:val="center"/>
          </w:tcPr>
          <w:p w14:paraId="3FB45B4E">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5860A88F">
            <w:pPr>
              <w:jc w:val="center"/>
              <w:rPr>
                <w:color w:val="000000"/>
                <w:szCs w:val="21"/>
              </w:rPr>
            </w:pPr>
            <w:r>
              <w:rPr>
                <w:color w:val="000000"/>
                <w:szCs w:val="21"/>
              </w:rPr>
              <w:t>0.7</w:t>
            </w:r>
          </w:p>
        </w:tc>
        <w:tc>
          <w:tcPr>
            <w:tcW w:w="0" w:type="auto"/>
            <w:noWrap w:val="0"/>
            <w:vAlign w:val="center"/>
          </w:tcPr>
          <w:p w14:paraId="50E3D6CC">
            <w:pPr>
              <w:jc w:val="center"/>
              <w:rPr>
                <w:color w:val="000000"/>
                <w:szCs w:val="21"/>
              </w:rPr>
            </w:pPr>
            <w:r>
              <w:rPr>
                <w:color w:val="000000"/>
                <w:szCs w:val="21"/>
              </w:rPr>
              <w:t>2</w:t>
            </w:r>
          </w:p>
        </w:tc>
        <w:tc>
          <w:tcPr>
            <w:tcW w:w="0" w:type="auto"/>
            <w:noWrap w:val="0"/>
            <w:vAlign w:val="center"/>
          </w:tcPr>
          <w:p w14:paraId="4D59D985">
            <w:pPr>
              <w:jc w:val="center"/>
              <w:rPr>
                <w:color w:val="000000"/>
                <w:szCs w:val="21"/>
              </w:rPr>
            </w:pPr>
            <w:r>
              <w:rPr>
                <w:color w:val="000000"/>
                <w:szCs w:val="21"/>
              </w:rPr>
              <w:t>70</w:t>
            </w:r>
          </w:p>
        </w:tc>
        <w:tc>
          <w:tcPr>
            <w:tcW w:w="0" w:type="auto"/>
            <w:noWrap w:val="0"/>
            <w:vAlign w:val="center"/>
          </w:tcPr>
          <w:p w14:paraId="20EA913B">
            <w:pPr>
              <w:jc w:val="center"/>
              <w:rPr>
                <w:color w:val="000000"/>
                <w:szCs w:val="21"/>
              </w:rPr>
            </w:pPr>
            <w:r>
              <w:rPr>
                <w:color w:val="000000"/>
                <w:szCs w:val="21"/>
              </w:rPr>
              <w:t>220</w:t>
            </w:r>
          </w:p>
        </w:tc>
      </w:tr>
      <w:tr w14:paraId="5E75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5ED142E">
            <w:pPr>
              <w:jc w:val="center"/>
              <w:rPr>
                <w:color w:val="000000"/>
                <w:szCs w:val="21"/>
              </w:rPr>
            </w:pPr>
            <w:r>
              <w:rPr>
                <w:color w:val="000000"/>
                <w:szCs w:val="21"/>
              </w:rPr>
              <w:t>15</w:t>
            </w:r>
          </w:p>
        </w:tc>
        <w:tc>
          <w:tcPr>
            <w:tcW w:w="0" w:type="auto"/>
            <w:noWrap w:val="0"/>
            <w:vAlign w:val="center"/>
          </w:tcPr>
          <w:p w14:paraId="4C7E16B5">
            <w:pPr>
              <w:jc w:val="center"/>
              <w:rPr>
                <w:rFonts w:eastAsia="楷体_GB2312"/>
              </w:rPr>
            </w:pPr>
            <w:r>
              <w:rPr>
                <w:rFonts w:hint="eastAsia" w:eastAsia="楷体_GB2312"/>
              </w:rPr>
              <w:t>富民路</w:t>
            </w:r>
          </w:p>
        </w:tc>
        <w:tc>
          <w:tcPr>
            <w:tcW w:w="0" w:type="auto"/>
            <w:noWrap w:val="0"/>
            <w:vAlign w:val="center"/>
          </w:tcPr>
          <w:p w14:paraId="0AED34CC">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740895BD">
            <w:pPr>
              <w:jc w:val="center"/>
              <w:rPr>
                <w:color w:val="000000"/>
                <w:szCs w:val="21"/>
              </w:rPr>
            </w:pPr>
            <w:r>
              <w:rPr>
                <w:color w:val="000000"/>
                <w:szCs w:val="21"/>
              </w:rPr>
              <w:t>0.7</w:t>
            </w:r>
          </w:p>
        </w:tc>
        <w:tc>
          <w:tcPr>
            <w:tcW w:w="0" w:type="auto"/>
            <w:noWrap w:val="0"/>
            <w:vAlign w:val="center"/>
          </w:tcPr>
          <w:p w14:paraId="524FE0B1">
            <w:pPr>
              <w:jc w:val="center"/>
              <w:rPr>
                <w:color w:val="000000"/>
                <w:szCs w:val="21"/>
              </w:rPr>
            </w:pPr>
            <w:r>
              <w:rPr>
                <w:color w:val="000000"/>
                <w:szCs w:val="21"/>
              </w:rPr>
              <w:t>2</w:t>
            </w:r>
          </w:p>
        </w:tc>
        <w:tc>
          <w:tcPr>
            <w:tcW w:w="0" w:type="auto"/>
            <w:noWrap w:val="0"/>
            <w:vAlign w:val="center"/>
          </w:tcPr>
          <w:p w14:paraId="65E16745">
            <w:pPr>
              <w:jc w:val="center"/>
              <w:rPr>
                <w:color w:val="000000"/>
                <w:szCs w:val="21"/>
              </w:rPr>
            </w:pPr>
            <w:r>
              <w:rPr>
                <w:color w:val="000000"/>
                <w:szCs w:val="21"/>
              </w:rPr>
              <w:t>70</w:t>
            </w:r>
          </w:p>
        </w:tc>
        <w:tc>
          <w:tcPr>
            <w:tcW w:w="0" w:type="auto"/>
            <w:noWrap w:val="0"/>
            <w:vAlign w:val="center"/>
          </w:tcPr>
          <w:p w14:paraId="67B6E1D8">
            <w:pPr>
              <w:jc w:val="center"/>
              <w:rPr>
                <w:color w:val="000000"/>
                <w:szCs w:val="21"/>
              </w:rPr>
            </w:pPr>
            <w:r>
              <w:rPr>
                <w:color w:val="000000"/>
                <w:szCs w:val="21"/>
              </w:rPr>
              <w:t>220</w:t>
            </w:r>
          </w:p>
        </w:tc>
      </w:tr>
      <w:tr w14:paraId="20FE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9974AF9">
            <w:pPr>
              <w:jc w:val="center"/>
              <w:rPr>
                <w:color w:val="000000"/>
                <w:szCs w:val="21"/>
              </w:rPr>
            </w:pPr>
            <w:r>
              <w:rPr>
                <w:color w:val="000000"/>
                <w:szCs w:val="21"/>
              </w:rPr>
              <w:t>16</w:t>
            </w:r>
          </w:p>
        </w:tc>
        <w:tc>
          <w:tcPr>
            <w:tcW w:w="0" w:type="auto"/>
            <w:noWrap w:val="0"/>
            <w:vAlign w:val="center"/>
          </w:tcPr>
          <w:p w14:paraId="697201A9">
            <w:pPr>
              <w:jc w:val="center"/>
              <w:rPr>
                <w:rFonts w:eastAsia="楷体_GB2312"/>
              </w:rPr>
            </w:pPr>
            <w:r>
              <w:rPr>
                <w:rFonts w:hint="eastAsia" w:eastAsia="楷体_GB2312"/>
              </w:rPr>
              <w:t>幸福路</w:t>
            </w:r>
          </w:p>
        </w:tc>
        <w:tc>
          <w:tcPr>
            <w:tcW w:w="0" w:type="auto"/>
            <w:noWrap w:val="0"/>
            <w:vAlign w:val="center"/>
          </w:tcPr>
          <w:p w14:paraId="66B4F700">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38E63B61">
            <w:pPr>
              <w:jc w:val="center"/>
              <w:rPr>
                <w:color w:val="000000"/>
                <w:szCs w:val="21"/>
              </w:rPr>
            </w:pPr>
            <w:r>
              <w:rPr>
                <w:color w:val="000000"/>
                <w:szCs w:val="21"/>
              </w:rPr>
              <w:t>0.7</w:t>
            </w:r>
          </w:p>
        </w:tc>
        <w:tc>
          <w:tcPr>
            <w:tcW w:w="0" w:type="auto"/>
            <w:noWrap w:val="0"/>
            <w:vAlign w:val="center"/>
          </w:tcPr>
          <w:p w14:paraId="4AAE5DC3">
            <w:pPr>
              <w:jc w:val="center"/>
              <w:rPr>
                <w:color w:val="000000"/>
                <w:szCs w:val="21"/>
              </w:rPr>
            </w:pPr>
            <w:r>
              <w:rPr>
                <w:color w:val="000000"/>
                <w:szCs w:val="21"/>
              </w:rPr>
              <w:t>2</w:t>
            </w:r>
          </w:p>
        </w:tc>
        <w:tc>
          <w:tcPr>
            <w:tcW w:w="0" w:type="auto"/>
            <w:noWrap w:val="0"/>
            <w:vAlign w:val="center"/>
          </w:tcPr>
          <w:p w14:paraId="53C0EB67">
            <w:pPr>
              <w:jc w:val="center"/>
              <w:rPr>
                <w:color w:val="000000"/>
                <w:szCs w:val="21"/>
              </w:rPr>
            </w:pPr>
            <w:r>
              <w:rPr>
                <w:color w:val="000000"/>
                <w:szCs w:val="21"/>
              </w:rPr>
              <w:t>70</w:t>
            </w:r>
          </w:p>
        </w:tc>
        <w:tc>
          <w:tcPr>
            <w:tcW w:w="0" w:type="auto"/>
            <w:noWrap w:val="0"/>
            <w:vAlign w:val="center"/>
          </w:tcPr>
          <w:p w14:paraId="24054ACB">
            <w:pPr>
              <w:jc w:val="center"/>
              <w:rPr>
                <w:color w:val="000000"/>
                <w:szCs w:val="21"/>
              </w:rPr>
            </w:pPr>
            <w:r>
              <w:rPr>
                <w:color w:val="000000"/>
                <w:szCs w:val="21"/>
              </w:rPr>
              <w:t>220</w:t>
            </w:r>
          </w:p>
        </w:tc>
      </w:tr>
      <w:tr w14:paraId="7B41C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639C083">
            <w:pPr>
              <w:jc w:val="center"/>
              <w:rPr>
                <w:color w:val="000000"/>
                <w:szCs w:val="21"/>
              </w:rPr>
            </w:pPr>
            <w:r>
              <w:rPr>
                <w:color w:val="000000"/>
                <w:szCs w:val="21"/>
              </w:rPr>
              <w:t>17</w:t>
            </w:r>
          </w:p>
        </w:tc>
        <w:tc>
          <w:tcPr>
            <w:tcW w:w="0" w:type="auto"/>
            <w:noWrap w:val="0"/>
            <w:vAlign w:val="center"/>
          </w:tcPr>
          <w:p w14:paraId="423E3ABB">
            <w:pPr>
              <w:jc w:val="center"/>
              <w:rPr>
                <w:rFonts w:eastAsia="楷体_GB2312"/>
              </w:rPr>
            </w:pPr>
            <w:r>
              <w:rPr>
                <w:rFonts w:hint="eastAsia" w:eastAsia="楷体_GB2312"/>
              </w:rPr>
              <w:t>花园街</w:t>
            </w:r>
          </w:p>
        </w:tc>
        <w:tc>
          <w:tcPr>
            <w:tcW w:w="0" w:type="auto"/>
            <w:noWrap w:val="0"/>
            <w:vAlign w:val="center"/>
          </w:tcPr>
          <w:p w14:paraId="2191B255">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22A6BAAB">
            <w:pPr>
              <w:jc w:val="center"/>
              <w:rPr>
                <w:color w:val="000000"/>
                <w:szCs w:val="21"/>
              </w:rPr>
            </w:pPr>
            <w:r>
              <w:rPr>
                <w:color w:val="000000"/>
                <w:szCs w:val="21"/>
              </w:rPr>
              <w:t>0.4</w:t>
            </w:r>
          </w:p>
        </w:tc>
        <w:tc>
          <w:tcPr>
            <w:tcW w:w="0" w:type="auto"/>
            <w:noWrap w:val="0"/>
            <w:vAlign w:val="center"/>
          </w:tcPr>
          <w:p w14:paraId="09BCD55B">
            <w:pPr>
              <w:jc w:val="center"/>
              <w:rPr>
                <w:color w:val="000000"/>
                <w:szCs w:val="21"/>
              </w:rPr>
            </w:pPr>
            <w:r>
              <w:rPr>
                <w:color w:val="000000"/>
                <w:szCs w:val="21"/>
              </w:rPr>
              <w:t>3</w:t>
            </w:r>
          </w:p>
        </w:tc>
        <w:tc>
          <w:tcPr>
            <w:tcW w:w="0" w:type="auto"/>
            <w:noWrap w:val="0"/>
            <w:vAlign w:val="center"/>
          </w:tcPr>
          <w:p w14:paraId="6B0AA535">
            <w:pPr>
              <w:jc w:val="center"/>
              <w:rPr>
                <w:color w:val="000000"/>
                <w:szCs w:val="21"/>
              </w:rPr>
            </w:pPr>
            <w:r>
              <w:rPr>
                <w:color w:val="000000"/>
                <w:szCs w:val="21"/>
              </w:rPr>
              <w:t>40</w:t>
            </w:r>
          </w:p>
        </w:tc>
        <w:tc>
          <w:tcPr>
            <w:tcW w:w="0" w:type="auto"/>
            <w:noWrap w:val="0"/>
            <w:vAlign w:val="center"/>
          </w:tcPr>
          <w:p w14:paraId="30A9B279">
            <w:pPr>
              <w:jc w:val="center"/>
              <w:rPr>
                <w:color w:val="000000"/>
                <w:szCs w:val="21"/>
              </w:rPr>
            </w:pPr>
            <w:r>
              <w:rPr>
                <w:color w:val="000000"/>
                <w:szCs w:val="21"/>
              </w:rPr>
              <w:t>180</w:t>
            </w:r>
          </w:p>
        </w:tc>
      </w:tr>
      <w:tr w14:paraId="63A8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82345FC">
            <w:pPr>
              <w:jc w:val="center"/>
              <w:rPr>
                <w:color w:val="000000"/>
                <w:szCs w:val="21"/>
              </w:rPr>
            </w:pPr>
            <w:r>
              <w:rPr>
                <w:color w:val="000000"/>
                <w:szCs w:val="21"/>
              </w:rPr>
              <w:t>18</w:t>
            </w:r>
          </w:p>
        </w:tc>
        <w:tc>
          <w:tcPr>
            <w:tcW w:w="0" w:type="auto"/>
            <w:noWrap w:val="0"/>
            <w:vAlign w:val="center"/>
          </w:tcPr>
          <w:p w14:paraId="087A70B4">
            <w:pPr>
              <w:jc w:val="center"/>
              <w:rPr>
                <w:rFonts w:eastAsia="楷体_GB2312"/>
              </w:rPr>
            </w:pPr>
            <w:r>
              <w:rPr>
                <w:rFonts w:hint="eastAsia" w:eastAsia="楷体_GB2312"/>
              </w:rPr>
              <w:t>教育路</w:t>
            </w:r>
          </w:p>
        </w:tc>
        <w:tc>
          <w:tcPr>
            <w:tcW w:w="0" w:type="auto"/>
            <w:noWrap w:val="0"/>
            <w:vAlign w:val="center"/>
          </w:tcPr>
          <w:p w14:paraId="67812C47">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27F23122">
            <w:pPr>
              <w:jc w:val="center"/>
              <w:rPr>
                <w:color w:val="000000"/>
                <w:szCs w:val="21"/>
              </w:rPr>
            </w:pPr>
            <w:r>
              <w:rPr>
                <w:color w:val="000000"/>
                <w:szCs w:val="21"/>
              </w:rPr>
              <w:t>0.4</w:t>
            </w:r>
          </w:p>
        </w:tc>
        <w:tc>
          <w:tcPr>
            <w:tcW w:w="0" w:type="auto"/>
            <w:noWrap w:val="0"/>
            <w:vAlign w:val="center"/>
          </w:tcPr>
          <w:p w14:paraId="2EC7B843">
            <w:pPr>
              <w:jc w:val="center"/>
              <w:rPr>
                <w:color w:val="000000"/>
                <w:szCs w:val="21"/>
              </w:rPr>
            </w:pPr>
            <w:r>
              <w:rPr>
                <w:color w:val="000000"/>
                <w:szCs w:val="21"/>
              </w:rPr>
              <w:t>3</w:t>
            </w:r>
          </w:p>
        </w:tc>
        <w:tc>
          <w:tcPr>
            <w:tcW w:w="0" w:type="auto"/>
            <w:noWrap w:val="0"/>
            <w:vAlign w:val="center"/>
          </w:tcPr>
          <w:p w14:paraId="5FDF4F25">
            <w:pPr>
              <w:jc w:val="center"/>
              <w:rPr>
                <w:color w:val="000000"/>
                <w:szCs w:val="21"/>
              </w:rPr>
            </w:pPr>
            <w:r>
              <w:rPr>
                <w:color w:val="000000"/>
                <w:szCs w:val="21"/>
              </w:rPr>
              <w:t>40</w:t>
            </w:r>
          </w:p>
        </w:tc>
        <w:tc>
          <w:tcPr>
            <w:tcW w:w="0" w:type="auto"/>
            <w:noWrap w:val="0"/>
            <w:vAlign w:val="center"/>
          </w:tcPr>
          <w:p w14:paraId="2264C588">
            <w:pPr>
              <w:jc w:val="center"/>
              <w:rPr>
                <w:color w:val="000000"/>
                <w:szCs w:val="21"/>
              </w:rPr>
            </w:pPr>
            <w:r>
              <w:rPr>
                <w:color w:val="000000"/>
                <w:szCs w:val="21"/>
              </w:rPr>
              <w:t>180</w:t>
            </w:r>
          </w:p>
        </w:tc>
      </w:tr>
      <w:tr w14:paraId="6B158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59C1D46">
            <w:pPr>
              <w:jc w:val="center"/>
              <w:rPr>
                <w:color w:val="000000"/>
                <w:szCs w:val="21"/>
              </w:rPr>
            </w:pPr>
            <w:r>
              <w:rPr>
                <w:color w:val="000000"/>
                <w:szCs w:val="21"/>
              </w:rPr>
              <w:t>19</w:t>
            </w:r>
          </w:p>
        </w:tc>
        <w:tc>
          <w:tcPr>
            <w:tcW w:w="0" w:type="auto"/>
            <w:noWrap w:val="0"/>
            <w:vAlign w:val="center"/>
          </w:tcPr>
          <w:p w14:paraId="21A863C5">
            <w:pPr>
              <w:jc w:val="center"/>
              <w:rPr>
                <w:rFonts w:eastAsia="楷体_GB2312"/>
              </w:rPr>
            </w:pPr>
            <w:r>
              <w:rPr>
                <w:rFonts w:hint="eastAsia" w:eastAsia="楷体_GB2312"/>
              </w:rPr>
              <w:t>市场路</w:t>
            </w:r>
          </w:p>
        </w:tc>
        <w:tc>
          <w:tcPr>
            <w:tcW w:w="0" w:type="auto"/>
            <w:noWrap w:val="0"/>
            <w:vAlign w:val="center"/>
          </w:tcPr>
          <w:p w14:paraId="05413482">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10A077B8">
            <w:pPr>
              <w:jc w:val="center"/>
              <w:rPr>
                <w:color w:val="000000"/>
                <w:szCs w:val="21"/>
              </w:rPr>
            </w:pPr>
            <w:r>
              <w:rPr>
                <w:color w:val="000000"/>
                <w:szCs w:val="21"/>
              </w:rPr>
              <w:t>0.4</w:t>
            </w:r>
          </w:p>
        </w:tc>
        <w:tc>
          <w:tcPr>
            <w:tcW w:w="0" w:type="auto"/>
            <w:noWrap w:val="0"/>
            <w:vAlign w:val="center"/>
          </w:tcPr>
          <w:p w14:paraId="1F19BD90">
            <w:pPr>
              <w:jc w:val="center"/>
              <w:rPr>
                <w:color w:val="000000"/>
                <w:szCs w:val="21"/>
              </w:rPr>
            </w:pPr>
            <w:r>
              <w:rPr>
                <w:color w:val="000000"/>
                <w:szCs w:val="21"/>
              </w:rPr>
              <w:t>3</w:t>
            </w:r>
          </w:p>
        </w:tc>
        <w:tc>
          <w:tcPr>
            <w:tcW w:w="0" w:type="auto"/>
            <w:noWrap w:val="0"/>
            <w:vAlign w:val="center"/>
          </w:tcPr>
          <w:p w14:paraId="07F3157F">
            <w:pPr>
              <w:jc w:val="center"/>
              <w:rPr>
                <w:color w:val="000000"/>
                <w:szCs w:val="21"/>
              </w:rPr>
            </w:pPr>
            <w:r>
              <w:rPr>
                <w:color w:val="000000"/>
                <w:szCs w:val="21"/>
              </w:rPr>
              <w:t>40</w:t>
            </w:r>
          </w:p>
        </w:tc>
        <w:tc>
          <w:tcPr>
            <w:tcW w:w="0" w:type="auto"/>
            <w:noWrap w:val="0"/>
            <w:vAlign w:val="center"/>
          </w:tcPr>
          <w:p w14:paraId="3FF72391">
            <w:pPr>
              <w:jc w:val="center"/>
              <w:rPr>
                <w:color w:val="000000"/>
                <w:szCs w:val="21"/>
              </w:rPr>
            </w:pPr>
            <w:r>
              <w:rPr>
                <w:color w:val="000000"/>
                <w:szCs w:val="21"/>
              </w:rPr>
              <w:t>180</w:t>
            </w:r>
          </w:p>
        </w:tc>
      </w:tr>
      <w:tr w14:paraId="4321E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A0CD543">
            <w:pPr>
              <w:jc w:val="center"/>
              <w:rPr>
                <w:color w:val="000000"/>
                <w:szCs w:val="21"/>
              </w:rPr>
            </w:pPr>
            <w:r>
              <w:rPr>
                <w:color w:val="000000"/>
                <w:szCs w:val="21"/>
              </w:rPr>
              <w:t>20</w:t>
            </w:r>
          </w:p>
        </w:tc>
        <w:tc>
          <w:tcPr>
            <w:tcW w:w="0" w:type="auto"/>
            <w:noWrap w:val="0"/>
            <w:vAlign w:val="center"/>
          </w:tcPr>
          <w:p w14:paraId="17EA56A1">
            <w:pPr>
              <w:jc w:val="center"/>
              <w:rPr>
                <w:rFonts w:eastAsia="楷体_GB2312"/>
              </w:rPr>
            </w:pPr>
            <w:r>
              <w:rPr>
                <w:rFonts w:hint="eastAsia" w:eastAsia="楷体_GB2312"/>
              </w:rPr>
              <w:t>滨水西路</w:t>
            </w:r>
          </w:p>
        </w:tc>
        <w:tc>
          <w:tcPr>
            <w:tcW w:w="0" w:type="auto"/>
            <w:noWrap w:val="0"/>
            <w:vAlign w:val="center"/>
          </w:tcPr>
          <w:p w14:paraId="0AC4CBF0">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0171DBA0">
            <w:pPr>
              <w:jc w:val="center"/>
              <w:rPr>
                <w:color w:val="000000"/>
                <w:szCs w:val="21"/>
              </w:rPr>
            </w:pPr>
            <w:r>
              <w:rPr>
                <w:color w:val="000000"/>
                <w:szCs w:val="21"/>
              </w:rPr>
              <w:t>0.4</w:t>
            </w:r>
          </w:p>
        </w:tc>
        <w:tc>
          <w:tcPr>
            <w:tcW w:w="0" w:type="auto"/>
            <w:noWrap w:val="0"/>
            <w:vAlign w:val="center"/>
          </w:tcPr>
          <w:p w14:paraId="215F32D5">
            <w:pPr>
              <w:jc w:val="center"/>
              <w:rPr>
                <w:color w:val="000000"/>
                <w:szCs w:val="21"/>
              </w:rPr>
            </w:pPr>
            <w:r>
              <w:rPr>
                <w:color w:val="000000"/>
                <w:szCs w:val="21"/>
              </w:rPr>
              <w:t>3</w:t>
            </w:r>
          </w:p>
        </w:tc>
        <w:tc>
          <w:tcPr>
            <w:tcW w:w="0" w:type="auto"/>
            <w:noWrap w:val="0"/>
            <w:vAlign w:val="center"/>
          </w:tcPr>
          <w:p w14:paraId="5504A781">
            <w:pPr>
              <w:jc w:val="center"/>
              <w:rPr>
                <w:color w:val="000000"/>
                <w:szCs w:val="21"/>
              </w:rPr>
            </w:pPr>
            <w:r>
              <w:rPr>
                <w:color w:val="000000"/>
                <w:szCs w:val="21"/>
              </w:rPr>
              <w:t>40</w:t>
            </w:r>
          </w:p>
        </w:tc>
        <w:tc>
          <w:tcPr>
            <w:tcW w:w="0" w:type="auto"/>
            <w:noWrap w:val="0"/>
            <w:vAlign w:val="center"/>
          </w:tcPr>
          <w:p w14:paraId="357DEBA9">
            <w:pPr>
              <w:jc w:val="center"/>
              <w:rPr>
                <w:color w:val="000000"/>
                <w:szCs w:val="21"/>
              </w:rPr>
            </w:pPr>
            <w:r>
              <w:rPr>
                <w:color w:val="000000"/>
                <w:szCs w:val="21"/>
              </w:rPr>
              <w:t>180</w:t>
            </w:r>
          </w:p>
        </w:tc>
      </w:tr>
      <w:tr w14:paraId="21206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48BEBB9">
            <w:pPr>
              <w:jc w:val="center"/>
              <w:rPr>
                <w:color w:val="000000"/>
                <w:szCs w:val="21"/>
              </w:rPr>
            </w:pPr>
            <w:r>
              <w:rPr>
                <w:color w:val="000000"/>
                <w:szCs w:val="21"/>
              </w:rPr>
              <w:t>21</w:t>
            </w:r>
          </w:p>
        </w:tc>
        <w:tc>
          <w:tcPr>
            <w:tcW w:w="0" w:type="auto"/>
            <w:noWrap w:val="0"/>
            <w:vAlign w:val="center"/>
          </w:tcPr>
          <w:p w14:paraId="17DC1D75">
            <w:pPr>
              <w:jc w:val="center"/>
              <w:rPr>
                <w:rFonts w:ascii="楷体_GB2312" w:hAnsi="宋体" w:eastAsia="楷体_GB2312" w:cs="宋体"/>
                <w:color w:val="000000"/>
                <w:szCs w:val="21"/>
              </w:rPr>
            </w:pPr>
            <w:r>
              <w:rPr>
                <w:rFonts w:hint="eastAsia" w:ascii="楷体_GB2312" w:eastAsia="楷体_GB2312"/>
                <w:color w:val="000000"/>
                <w:szCs w:val="21"/>
              </w:rPr>
              <w:t>滨水东路</w:t>
            </w:r>
          </w:p>
        </w:tc>
        <w:tc>
          <w:tcPr>
            <w:tcW w:w="0" w:type="auto"/>
            <w:noWrap w:val="0"/>
            <w:vAlign w:val="center"/>
          </w:tcPr>
          <w:p w14:paraId="0A9E1A34">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12AFB0B7">
            <w:pPr>
              <w:jc w:val="center"/>
              <w:rPr>
                <w:color w:val="000000"/>
                <w:szCs w:val="21"/>
              </w:rPr>
            </w:pPr>
            <w:r>
              <w:rPr>
                <w:color w:val="000000"/>
                <w:szCs w:val="21"/>
              </w:rPr>
              <w:t>0.4</w:t>
            </w:r>
          </w:p>
        </w:tc>
        <w:tc>
          <w:tcPr>
            <w:tcW w:w="0" w:type="auto"/>
            <w:noWrap w:val="0"/>
            <w:vAlign w:val="center"/>
          </w:tcPr>
          <w:p w14:paraId="2DBC454B">
            <w:pPr>
              <w:jc w:val="center"/>
              <w:rPr>
                <w:color w:val="000000"/>
                <w:szCs w:val="21"/>
              </w:rPr>
            </w:pPr>
            <w:r>
              <w:rPr>
                <w:color w:val="000000"/>
                <w:szCs w:val="21"/>
              </w:rPr>
              <w:t>3</w:t>
            </w:r>
          </w:p>
        </w:tc>
        <w:tc>
          <w:tcPr>
            <w:tcW w:w="0" w:type="auto"/>
            <w:noWrap w:val="0"/>
            <w:vAlign w:val="center"/>
          </w:tcPr>
          <w:p w14:paraId="7C05E4AD">
            <w:pPr>
              <w:jc w:val="center"/>
              <w:rPr>
                <w:color w:val="000000"/>
                <w:szCs w:val="21"/>
              </w:rPr>
            </w:pPr>
            <w:r>
              <w:rPr>
                <w:color w:val="000000"/>
                <w:szCs w:val="21"/>
              </w:rPr>
              <w:t>40</w:t>
            </w:r>
          </w:p>
        </w:tc>
        <w:tc>
          <w:tcPr>
            <w:tcW w:w="0" w:type="auto"/>
            <w:noWrap w:val="0"/>
            <w:vAlign w:val="center"/>
          </w:tcPr>
          <w:p w14:paraId="230866F1">
            <w:pPr>
              <w:jc w:val="center"/>
              <w:rPr>
                <w:color w:val="000000"/>
                <w:szCs w:val="21"/>
              </w:rPr>
            </w:pPr>
            <w:r>
              <w:rPr>
                <w:color w:val="000000"/>
                <w:szCs w:val="21"/>
              </w:rPr>
              <w:t>180</w:t>
            </w:r>
          </w:p>
        </w:tc>
      </w:tr>
      <w:tr w14:paraId="52FE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F51F9EF">
            <w:pPr>
              <w:jc w:val="center"/>
              <w:rPr>
                <w:color w:val="000000"/>
                <w:szCs w:val="21"/>
              </w:rPr>
            </w:pPr>
            <w:r>
              <w:rPr>
                <w:color w:val="000000"/>
                <w:szCs w:val="21"/>
              </w:rPr>
              <w:t>22</w:t>
            </w:r>
          </w:p>
        </w:tc>
        <w:tc>
          <w:tcPr>
            <w:tcW w:w="0" w:type="auto"/>
            <w:noWrap w:val="0"/>
            <w:vAlign w:val="center"/>
          </w:tcPr>
          <w:p w14:paraId="0FFEA3EA">
            <w:pPr>
              <w:jc w:val="center"/>
              <w:rPr>
                <w:rFonts w:ascii="楷体_GB2312" w:hAnsi="宋体" w:eastAsia="楷体_GB2312" w:cs="宋体"/>
                <w:color w:val="000000"/>
                <w:szCs w:val="21"/>
              </w:rPr>
            </w:pPr>
            <w:r>
              <w:rPr>
                <w:rFonts w:hint="eastAsia" w:ascii="楷体_GB2312" w:eastAsia="楷体_GB2312"/>
                <w:color w:val="000000"/>
                <w:szCs w:val="21"/>
              </w:rPr>
              <w:t>东环路</w:t>
            </w:r>
          </w:p>
        </w:tc>
        <w:tc>
          <w:tcPr>
            <w:tcW w:w="0" w:type="auto"/>
            <w:noWrap w:val="0"/>
            <w:vAlign w:val="center"/>
          </w:tcPr>
          <w:p w14:paraId="5252891B">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1F6131A">
            <w:pPr>
              <w:jc w:val="center"/>
              <w:rPr>
                <w:color w:val="000000"/>
                <w:szCs w:val="21"/>
              </w:rPr>
            </w:pPr>
            <w:r>
              <w:rPr>
                <w:color w:val="000000"/>
                <w:szCs w:val="21"/>
              </w:rPr>
              <w:t>0.4</w:t>
            </w:r>
          </w:p>
        </w:tc>
        <w:tc>
          <w:tcPr>
            <w:tcW w:w="0" w:type="auto"/>
            <w:noWrap w:val="0"/>
            <w:vAlign w:val="center"/>
          </w:tcPr>
          <w:p w14:paraId="5EBB5C04">
            <w:pPr>
              <w:jc w:val="center"/>
              <w:rPr>
                <w:color w:val="000000"/>
                <w:szCs w:val="21"/>
              </w:rPr>
            </w:pPr>
            <w:r>
              <w:rPr>
                <w:color w:val="000000"/>
                <w:szCs w:val="21"/>
              </w:rPr>
              <w:t>3</w:t>
            </w:r>
          </w:p>
        </w:tc>
        <w:tc>
          <w:tcPr>
            <w:tcW w:w="0" w:type="auto"/>
            <w:noWrap w:val="0"/>
            <w:vAlign w:val="center"/>
          </w:tcPr>
          <w:p w14:paraId="66E349B2">
            <w:pPr>
              <w:jc w:val="center"/>
              <w:rPr>
                <w:color w:val="000000"/>
                <w:szCs w:val="21"/>
              </w:rPr>
            </w:pPr>
            <w:r>
              <w:rPr>
                <w:color w:val="000000"/>
                <w:szCs w:val="21"/>
              </w:rPr>
              <w:t>40</w:t>
            </w:r>
          </w:p>
        </w:tc>
        <w:tc>
          <w:tcPr>
            <w:tcW w:w="0" w:type="auto"/>
            <w:noWrap w:val="0"/>
            <w:vAlign w:val="center"/>
          </w:tcPr>
          <w:p w14:paraId="143060DC">
            <w:pPr>
              <w:jc w:val="center"/>
              <w:rPr>
                <w:color w:val="000000"/>
                <w:szCs w:val="21"/>
              </w:rPr>
            </w:pPr>
            <w:r>
              <w:rPr>
                <w:color w:val="000000"/>
                <w:szCs w:val="21"/>
              </w:rPr>
              <w:t>180</w:t>
            </w:r>
          </w:p>
        </w:tc>
      </w:tr>
      <w:tr w14:paraId="5702C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F34E1CF">
            <w:pPr>
              <w:jc w:val="center"/>
              <w:rPr>
                <w:color w:val="000000"/>
                <w:szCs w:val="21"/>
              </w:rPr>
            </w:pPr>
            <w:r>
              <w:rPr>
                <w:color w:val="000000"/>
                <w:szCs w:val="21"/>
              </w:rPr>
              <w:t>23</w:t>
            </w:r>
          </w:p>
        </w:tc>
        <w:tc>
          <w:tcPr>
            <w:tcW w:w="0" w:type="auto"/>
            <w:noWrap w:val="0"/>
            <w:vAlign w:val="center"/>
          </w:tcPr>
          <w:p w14:paraId="11BD7361">
            <w:pPr>
              <w:jc w:val="center"/>
              <w:rPr>
                <w:rFonts w:ascii="楷体_GB2312" w:hAnsi="宋体" w:eastAsia="楷体_GB2312" w:cs="宋体"/>
                <w:color w:val="000000"/>
                <w:szCs w:val="21"/>
              </w:rPr>
            </w:pPr>
            <w:r>
              <w:rPr>
                <w:rFonts w:hint="eastAsia" w:ascii="楷体_GB2312" w:eastAsia="楷体_GB2312"/>
                <w:color w:val="000000"/>
                <w:szCs w:val="21"/>
              </w:rPr>
              <w:t>工业南路</w:t>
            </w:r>
          </w:p>
        </w:tc>
        <w:tc>
          <w:tcPr>
            <w:tcW w:w="0" w:type="auto"/>
            <w:noWrap w:val="0"/>
            <w:vAlign w:val="center"/>
          </w:tcPr>
          <w:p w14:paraId="0A6EC496">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16FF9094">
            <w:pPr>
              <w:jc w:val="center"/>
              <w:rPr>
                <w:color w:val="000000"/>
                <w:szCs w:val="21"/>
              </w:rPr>
            </w:pPr>
            <w:r>
              <w:rPr>
                <w:color w:val="000000"/>
                <w:szCs w:val="21"/>
              </w:rPr>
              <w:t>0.4</w:t>
            </w:r>
          </w:p>
        </w:tc>
        <w:tc>
          <w:tcPr>
            <w:tcW w:w="0" w:type="auto"/>
            <w:noWrap w:val="0"/>
            <w:vAlign w:val="center"/>
          </w:tcPr>
          <w:p w14:paraId="7D083AEE">
            <w:pPr>
              <w:jc w:val="center"/>
              <w:rPr>
                <w:color w:val="000000"/>
                <w:szCs w:val="21"/>
              </w:rPr>
            </w:pPr>
            <w:r>
              <w:rPr>
                <w:color w:val="000000"/>
                <w:szCs w:val="21"/>
              </w:rPr>
              <w:t>3</w:t>
            </w:r>
          </w:p>
        </w:tc>
        <w:tc>
          <w:tcPr>
            <w:tcW w:w="0" w:type="auto"/>
            <w:noWrap w:val="0"/>
            <w:vAlign w:val="center"/>
          </w:tcPr>
          <w:p w14:paraId="7DE9A129">
            <w:pPr>
              <w:jc w:val="center"/>
              <w:rPr>
                <w:color w:val="000000"/>
                <w:szCs w:val="21"/>
              </w:rPr>
            </w:pPr>
            <w:r>
              <w:rPr>
                <w:color w:val="000000"/>
                <w:szCs w:val="21"/>
              </w:rPr>
              <w:t>40</w:t>
            </w:r>
          </w:p>
        </w:tc>
        <w:tc>
          <w:tcPr>
            <w:tcW w:w="0" w:type="auto"/>
            <w:noWrap w:val="0"/>
            <w:vAlign w:val="center"/>
          </w:tcPr>
          <w:p w14:paraId="2E5FF509">
            <w:pPr>
              <w:jc w:val="center"/>
              <w:rPr>
                <w:color w:val="000000"/>
                <w:szCs w:val="21"/>
              </w:rPr>
            </w:pPr>
            <w:r>
              <w:rPr>
                <w:color w:val="000000"/>
                <w:szCs w:val="21"/>
              </w:rPr>
              <w:t>180</w:t>
            </w:r>
          </w:p>
        </w:tc>
      </w:tr>
    </w:tbl>
    <w:p w14:paraId="2C54F702">
      <w:pPr>
        <w:jc w:val="center"/>
        <w:rPr>
          <w:rFonts w:eastAsia="黑体"/>
          <w:sz w:val="28"/>
        </w:rPr>
      </w:pPr>
      <w:r>
        <w:rPr>
          <w:rFonts w:eastAsia="黑体"/>
          <w:sz w:val="28"/>
        </w:rPr>
        <w:t xml:space="preserve">表1-3-11  </w:t>
      </w:r>
      <w:r>
        <w:rPr>
          <w:rFonts w:hint="eastAsia" w:eastAsia="黑体"/>
          <w:sz w:val="28"/>
        </w:rPr>
        <w:t>栏杆镇</w:t>
      </w:r>
      <w:r>
        <w:rPr>
          <w:rFonts w:eastAsia="黑体"/>
          <w:sz w:val="28"/>
        </w:rPr>
        <w:t>镇区道路状况及其功能分及影响距离表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460"/>
        <w:gridCol w:w="1460"/>
        <w:gridCol w:w="1460"/>
        <w:gridCol w:w="879"/>
        <w:gridCol w:w="1170"/>
        <w:gridCol w:w="1460"/>
      </w:tblGrid>
      <w:tr w14:paraId="03F6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83" w:type="dxa"/>
            <w:noWrap w:val="0"/>
            <w:vAlign w:val="center"/>
          </w:tcPr>
          <w:p w14:paraId="414AC9F2">
            <w:pPr>
              <w:jc w:val="center"/>
              <w:rPr>
                <w:rFonts w:eastAsia="楷体_GB2312"/>
              </w:rPr>
            </w:pPr>
            <w:r>
              <w:rPr>
                <w:rFonts w:eastAsia="楷体_GB2312"/>
              </w:rPr>
              <w:t>道路编号</w:t>
            </w:r>
          </w:p>
        </w:tc>
        <w:tc>
          <w:tcPr>
            <w:tcW w:w="0" w:type="auto"/>
            <w:noWrap w:val="0"/>
            <w:vAlign w:val="center"/>
          </w:tcPr>
          <w:p w14:paraId="298E0C40">
            <w:pPr>
              <w:jc w:val="center"/>
              <w:rPr>
                <w:rFonts w:eastAsia="楷体_GB2312"/>
              </w:rPr>
            </w:pPr>
            <w:r>
              <w:rPr>
                <w:rFonts w:eastAsia="楷体_GB2312"/>
              </w:rPr>
              <w:t>道路名称</w:t>
            </w:r>
          </w:p>
        </w:tc>
        <w:tc>
          <w:tcPr>
            <w:tcW w:w="0" w:type="auto"/>
            <w:noWrap w:val="0"/>
            <w:vAlign w:val="center"/>
          </w:tcPr>
          <w:p w14:paraId="1B021968">
            <w:pPr>
              <w:jc w:val="center"/>
              <w:rPr>
                <w:rFonts w:eastAsia="楷体_GB2312"/>
              </w:rPr>
            </w:pPr>
            <w:r>
              <w:rPr>
                <w:rFonts w:eastAsia="楷体_GB2312"/>
              </w:rPr>
              <w:t>道路类型</w:t>
            </w:r>
          </w:p>
        </w:tc>
        <w:tc>
          <w:tcPr>
            <w:tcW w:w="0" w:type="auto"/>
            <w:noWrap w:val="0"/>
            <w:vAlign w:val="center"/>
          </w:tcPr>
          <w:p w14:paraId="78BE0FD5">
            <w:pPr>
              <w:jc w:val="center"/>
              <w:rPr>
                <w:rFonts w:eastAsia="楷体_GB2312"/>
              </w:rPr>
            </w:pPr>
            <w:r>
              <w:rPr>
                <w:rFonts w:eastAsia="楷体_GB2312"/>
              </w:rPr>
              <w:t>作用指数</w:t>
            </w:r>
          </w:p>
        </w:tc>
        <w:tc>
          <w:tcPr>
            <w:tcW w:w="0" w:type="auto"/>
            <w:noWrap w:val="0"/>
            <w:vAlign w:val="center"/>
          </w:tcPr>
          <w:p w14:paraId="7F2814FF">
            <w:pPr>
              <w:jc w:val="center"/>
              <w:rPr>
                <w:rFonts w:eastAsia="楷体_GB2312"/>
              </w:rPr>
            </w:pPr>
            <w:r>
              <w:rPr>
                <w:rFonts w:eastAsia="楷体_GB2312"/>
              </w:rPr>
              <w:t>级别</w:t>
            </w:r>
          </w:p>
        </w:tc>
        <w:tc>
          <w:tcPr>
            <w:tcW w:w="0" w:type="auto"/>
            <w:noWrap w:val="0"/>
            <w:vAlign w:val="center"/>
          </w:tcPr>
          <w:p w14:paraId="33D064E9">
            <w:pPr>
              <w:jc w:val="center"/>
              <w:rPr>
                <w:rFonts w:eastAsia="楷体_GB2312"/>
              </w:rPr>
            </w:pPr>
            <w:r>
              <w:rPr>
                <w:rFonts w:eastAsia="楷体_GB2312"/>
              </w:rPr>
              <w:t>功能分</w:t>
            </w:r>
          </w:p>
        </w:tc>
        <w:tc>
          <w:tcPr>
            <w:tcW w:w="0" w:type="auto"/>
            <w:noWrap w:val="0"/>
            <w:vAlign w:val="center"/>
          </w:tcPr>
          <w:p w14:paraId="58C8D439">
            <w:pPr>
              <w:jc w:val="center"/>
              <w:rPr>
                <w:rFonts w:eastAsia="楷体_GB2312"/>
              </w:rPr>
            </w:pPr>
            <w:r>
              <w:rPr>
                <w:rFonts w:eastAsia="楷体_GB2312"/>
              </w:rPr>
              <w:t>影响半径</w:t>
            </w:r>
          </w:p>
        </w:tc>
      </w:tr>
      <w:tr w14:paraId="39086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83B473E">
            <w:pPr>
              <w:jc w:val="center"/>
              <w:rPr>
                <w:color w:val="000000"/>
                <w:szCs w:val="21"/>
              </w:rPr>
            </w:pPr>
            <w:r>
              <w:rPr>
                <w:rFonts w:hint="eastAsia"/>
                <w:color w:val="000000"/>
                <w:szCs w:val="21"/>
              </w:rPr>
              <w:t>0</w:t>
            </w:r>
            <w:r>
              <w:rPr>
                <w:color w:val="000000"/>
                <w:szCs w:val="21"/>
              </w:rPr>
              <w:t>1</w:t>
            </w:r>
          </w:p>
        </w:tc>
        <w:tc>
          <w:tcPr>
            <w:tcW w:w="0" w:type="auto"/>
            <w:noWrap w:val="0"/>
            <w:vAlign w:val="center"/>
          </w:tcPr>
          <w:p w14:paraId="0E6E8FAD">
            <w:pPr>
              <w:jc w:val="center"/>
              <w:rPr>
                <w:rFonts w:eastAsia="楷体_GB2312"/>
              </w:rPr>
            </w:pPr>
            <w:r>
              <w:rPr>
                <w:rFonts w:eastAsia="楷体_GB2312"/>
              </w:rPr>
              <w:t>040</w:t>
            </w:r>
            <w:r>
              <w:rPr>
                <w:rFonts w:hint="eastAsia" w:eastAsia="楷体_GB2312"/>
              </w:rPr>
              <w:t>乡道</w:t>
            </w:r>
          </w:p>
        </w:tc>
        <w:tc>
          <w:tcPr>
            <w:tcW w:w="0" w:type="auto"/>
            <w:noWrap w:val="0"/>
            <w:vAlign w:val="center"/>
          </w:tcPr>
          <w:p w14:paraId="6B658B73">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7E0D4C65">
            <w:pPr>
              <w:jc w:val="center"/>
              <w:rPr>
                <w:color w:val="000000"/>
                <w:szCs w:val="21"/>
              </w:rPr>
            </w:pPr>
            <w:r>
              <w:rPr>
                <w:color w:val="000000"/>
                <w:szCs w:val="21"/>
              </w:rPr>
              <w:t>1</w:t>
            </w:r>
          </w:p>
        </w:tc>
        <w:tc>
          <w:tcPr>
            <w:tcW w:w="0" w:type="auto"/>
            <w:noWrap w:val="0"/>
            <w:vAlign w:val="center"/>
          </w:tcPr>
          <w:p w14:paraId="63125F12">
            <w:pPr>
              <w:jc w:val="center"/>
              <w:rPr>
                <w:color w:val="000000"/>
                <w:szCs w:val="21"/>
              </w:rPr>
            </w:pPr>
            <w:r>
              <w:rPr>
                <w:color w:val="000000"/>
                <w:szCs w:val="21"/>
              </w:rPr>
              <w:t>1</w:t>
            </w:r>
          </w:p>
        </w:tc>
        <w:tc>
          <w:tcPr>
            <w:tcW w:w="0" w:type="auto"/>
            <w:noWrap w:val="0"/>
            <w:vAlign w:val="center"/>
          </w:tcPr>
          <w:p w14:paraId="218CEB43">
            <w:pPr>
              <w:jc w:val="center"/>
              <w:rPr>
                <w:color w:val="000000"/>
                <w:szCs w:val="21"/>
              </w:rPr>
            </w:pPr>
            <w:r>
              <w:rPr>
                <w:color w:val="000000"/>
                <w:szCs w:val="21"/>
              </w:rPr>
              <w:t>100</w:t>
            </w:r>
          </w:p>
        </w:tc>
        <w:tc>
          <w:tcPr>
            <w:tcW w:w="0" w:type="auto"/>
            <w:noWrap w:val="0"/>
            <w:vAlign w:val="center"/>
          </w:tcPr>
          <w:p w14:paraId="595A019A">
            <w:pPr>
              <w:jc w:val="center"/>
              <w:rPr>
                <w:color w:val="000000"/>
                <w:szCs w:val="21"/>
              </w:rPr>
            </w:pPr>
            <w:r>
              <w:rPr>
                <w:color w:val="000000"/>
                <w:szCs w:val="21"/>
              </w:rPr>
              <w:t>260</w:t>
            </w:r>
          </w:p>
        </w:tc>
      </w:tr>
      <w:tr w14:paraId="79431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0D9444B">
            <w:pPr>
              <w:jc w:val="center"/>
              <w:rPr>
                <w:color w:val="000000"/>
                <w:szCs w:val="21"/>
              </w:rPr>
            </w:pPr>
            <w:r>
              <w:rPr>
                <w:rFonts w:hint="eastAsia"/>
                <w:color w:val="000000"/>
                <w:szCs w:val="21"/>
              </w:rPr>
              <w:t>0</w:t>
            </w:r>
            <w:r>
              <w:rPr>
                <w:color w:val="000000"/>
                <w:szCs w:val="21"/>
              </w:rPr>
              <w:t>2</w:t>
            </w:r>
          </w:p>
        </w:tc>
        <w:tc>
          <w:tcPr>
            <w:tcW w:w="0" w:type="auto"/>
            <w:noWrap w:val="0"/>
            <w:vAlign w:val="center"/>
          </w:tcPr>
          <w:p w14:paraId="1F6E0CCA">
            <w:pPr>
              <w:jc w:val="center"/>
              <w:rPr>
                <w:rFonts w:eastAsia="楷体_GB2312"/>
              </w:rPr>
            </w:pPr>
            <w:r>
              <w:rPr>
                <w:rFonts w:hint="eastAsia" w:eastAsia="楷体_GB2312"/>
              </w:rPr>
              <w:t>山闵路</w:t>
            </w:r>
          </w:p>
        </w:tc>
        <w:tc>
          <w:tcPr>
            <w:tcW w:w="0" w:type="auto"/>
            <w:noWrap w:val="0"/>
            <w:vAlign w:val="center"/>
          </w:tcPr>
          <w:p w14:paraId="6CF03120">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66AD4F9E">
            <w:pPr>
              <w:jc w:val="center"/>
              <w:rPr>
                <w:color w:val="000000"/>
                <w:szCs w:val="21"/>
              </w:rPr>
            </w:pPr>
            <w:r>
              <w:rPr>
                <w:color w:val="000000"/>
                <w:szCs w:val="21"/>
              </w:rPr>
              <w:t>1</w:t>
            </w:r>
          </w:p>
        </w:tc>
        <w:tc>
          <w:tcPr>
            <w:tcW w:w="0" w:type="auto"/>
            <w:noWrap w:val="0"/>
            <w:vAlign w:val="center"/>
          </w:tcPr>
          <w:p w14:paraId="2105EC8E">
            <w:pPr>
              <w:jc w:val="center"/>
              <w:rPr>
                <w:color w:val="000000"/>
                <w:szCs w:val="21"/>
              </w:rPr>
            </w:pPr>
            <w:r>
              <w:rPr>
                <w:color w:val="000000"/>
                <w:szCs w:val="21"/>
              </w:rPr>
              <w:t>1</w:t>
            </w:r>
          </w:p>
        </w:tc>
        <w:tc>
          <w:tcPr>
            <w:tcW w:w="0" w:type="auto"/>
            <w:noWrap w:val="0"/>
            <w:vAlign w:val="center"/>
          </w:tcPr>
          <w:p w14:paraId="43A718F0">
            <w:pPr>
              <w:jc w:val="center"/>
              <w:rPr>
                <w:color w:val="000000"/>
                <w:szCs w:val="21"/>
              </w:rPr>
            </w:pPr>
            <w:r>
              <w:rPr>
                <w:color w:val="000000"/>
                <w:szCs w:val="21"/>
              </w:rPr>
              <w:t>100</w:t>
            </w:r>
          </w:p>
        </w:tc>
        <w:tc>
          <w:tcPr>
            <w:tcW w:w="0" w:type="auto"/>
            <w:noWrap w:val="0"/>
            <w:vAlign w:val="center"/>
          </w:tcPr>
          <w:p w14:paraId="31D06DD3">
            <w:pPr>
              <w:jc w:val="center"/>
              <w:rPr>
                <w:color w:val="000000"/>
                <w:szCs w:val="21"/>
              </w:rPr>
            </w:pPr>
            <w:r>
              <w:rPr>
                <w:color w:val="000000"/>
                <w:szCs w:val="21"/>
              </w:rPr>
              <w:t>260</w:t>
            </w:r>
          </w:p>
        </w:tc>
      </w:tr>
      <w:tr w14:paraId="4D236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2DB5BF1">
            <w:pPr>
              <w:jc w:val="center"/>
              <w:rPr>
                <w:color w:val="000000"/>
                <w:szCs w:val="21"/>
              </w:rPr>
            </w:pPr>
            <w:r>
              <w:rPr>
                <w:rFonts w:hint="eastAsia"/>
                <w:color w:val="000000"/>
                <w:szCs w:val="21"/>
              </w:rPr>
              <w:t>0</w:t>
            </w:r>
            <w:r>
              <w:rPr>
                <w:color w:val="000000"/>
                <w:szCs w:val="21"/>
              </w:rPr>
              <w:t>3</w:t>
            </w:r>
          </w:p>
        </w:tc>
        <w:tc>
          <w:tcPr>
            <w:tcW w:w="0" w:type="auto"/>
            <w:noWrap w:val="0"/>
            <w:vAlign w:val="center"/>
          </w:tcPr>
          <w:p w14:paraId="3AAB5AC8">
            <w:pPr>
              <w:jc w:val="center"/>
              <w:rPr>
                <w:rFonts w:eastAsia="楷体_GB2312"/>
              </w:rPr>
            </w:pPr>
            <w:r>
              <w:rPr>
                <w:rFonts w:hint="eastAsia" w:eastAsia="楷体_GB2312"/>
              </w:rPr>
              <w:t>北环路</w:t>
            </w:r>
          </w:p>
        </w:tc>
        <w:tc>
          <w:tcPr>
            <w:tcW w:w="0" w:type="auto"/>
            <w:noWrap w:val="0"/>
            <w:vAlign w:val="center"/>
          </w:tcPr>
          <w:p w14:paraId="2F48E9B8">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6C67F4E4">
            <w:pPr>
              <w:jc w:val="center"/>
              <w:rPr>
                <w:color w:val="000000"/>
                <w:szCs w:val="21"/>
              </w:rPr>
            </w:pPr>
            <w:r>
              <w:rPr>
                <w:color w:val="000000"/>
                <w:szCs w:val="21"/>
              </w:rPr>
              <w:t>1</w:t>
            </w:r>
          </w:p>
        </w:tc>
        <w:tc>
          <w:tcPr>
            <w:tcW w:w="0" w:type="auto"/>
            <w:noWrap w:val="0"/>
            <w:vAlign w:val="center"/>
          </w:tcPr>
          <w:p w14:paraId="662DA2DD">
            <w:pPr>
              <w:jc w:val="center"/>
              <w:rPr>
                <w:color w:val="000000"/>
                <w:szCs w:val="21"/>
              </w:rPr>
            </w:pPr>
            <w:r>
              <w:rPr>
                <w:color w:val="000000"/>
                <w:szCs w:val="21"/>
              </w:rPr>
              <w:t>1</w:t>
            </w:r>
          </w:p>
        </w:tc>
        <w:tc>
          <w:tcPr>
            <w:tcW w:w="0" w:type="auto"/>
            <w:noWrap w:val="0"/>
            <w:vAlign w:val="center"/>
          </w:tcPr>
          <w:p w14:paraId="0A8ED6AD">
            <w:pPr>
              <w:jc w:val="center"/>
              <w:rPr>
                <w:color w:val="000000"/>
                <w:szCs w:val="21"/>
              </w:rPr>
            </w:pPr>
            <w:r>
              <w:rPr>
                <w:color w:val="000000"/>
                <w:szCs w:val="21"/>
              </w:rPr>
              <w:t>100</w:t>
            </w:r>
          </w:p>
        </w:tc>
        <w:tc>
          <w:tcPr>
            <w:tcW w:w="0" w:type="auto"/>
            <w:noWrap w:val="0"/>
            <w:vAlign w:val="center"/>
          </w:tcPr>
          <w:p w14:paraId="49D2C9EE">
            <w:pPr>
              <w:jc w:val="center"/>
              <w:rPr>
                <w:color w:val="000000"/>
                <w:szCs w:val="21"/>
              </w:rPr>
            </w:pPr>
            <w:r>
              <w:rPr>
                <w:color w:val="000000"/>
                <w:szCs w:val="21"/>
              </w:rPr>
              <w:t>260</w:t>
            </w:r>
          </w:p>
        </w:tc>
      </w:tr>
      <w:tr w14:paraId="380D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41121EB">
            <w:pPr>
              <w:jc w:val="center"/>
              <w:rPr>
                <w:color w:val="000000"/>
                <w:szCs w:val="21"/>
              </w:rPr>
            </w:pPr>
            <w:r>
              <w:rPr>
                <w:rFonts w:hint="eastAsia"/>
                <w:color w:val="000000"/>
                <w:szCs w:val="21"/>
              </w:rPr>
              <w:t>0</w:t>
            </w:r>
            <w:r>
              <w:rPr>
                <w:color w:val="000000"/>
                <w:szCs w:val="21"/>
              </w:rPr>
              <w:t>4</w:t>
            </w:r>
          </w:p>
        </w:tc>
        <w:tc>
          <w:tcPr>
            <w:tcW w:w="0" w:type="auto"/>
            <w:noWrap w:val="0"/>
            <w:vAlign w:val="center"/>
          </w:tcPr>
          <w:p w14:paraId="710057CA">
            <w:pPr>
              <w:jc w:val="center"/>
              <w:rPr>
                <w:rFonts w:eastAsia="楷体_GB2312"/>
              </w:rPr>
            </w:pPr>
            <w:r>
              <w:rPr>
                <w:rFonts w:hint="eastAsia" w:eastAsia="楷体_GB2312"/>
              </w:rPr>
              <w:t>东环路</w:t>
            </w:r>
          </w:p>
        </w:tc>
        <w:tc>
          <w:tcPr>
            <w:tcW w:w="0" w:type="auto"/>
            <w:noWrap w:val="0"/>
            <w:vAlign w:val="center"/>
          </w:tcPr>
          <w:p w14:paraId="4816A62E">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3C7B17F9">
            <w:pPr>
              <w:jc w:val="center"/>
              <w:rPr>
                <w:color w:val="000000"/>
                <w:szCs w:val="21"/>
              </w:rPr>
            </w:pPr>
            <w:r>
              <w:rPr>
                <w:color w:val="000000"/>
                <w:szCs w:val="21"/>
              </w:rPr>
              <w:t>1</w:t>
            </w:r>
          </w:p>
        </w:tc>
        <w:tc>
          <w:tcPr>
            <w:tcW w:w="0" w:type="auto"/>
            <w:noWrap w:val="0"/>
            <w:vAlign w:val="center"/>
          </w:tcPr>
          <w:p w14:paraId="1F9D12B9">
            <w:pPr>
              <w:jc w:val="center"/>
              <w:rPr>
                <w:color w:val="000000"/>
                <w:szCs w:val="21"/>
              </w:rPr>
            </w:pPr>
            <w:r>
              <w:rPr>
                <w:color w:val="000000"/>
                <w:szCs w:val="21"/>
              </w:rPr>
              <w:t>1</w:t>
            </w:r>
          </w:p>
        </w:tc>
        <w:tc>
          <w:tcPr>
            <w:tcW w:w="0" w:type="auto"/>
            <w:noWrap w:val="0"/>
            <w:vAlign w:val="center"/>
          </w:tcPr>
          <w:p w14:paraId="05CE3BE9">
            <w:pPr>
              <w:jc w:val="center"/>
              <w:rPr>
                <w:color w:val="000000"/>
                <w:szCs w:val="21"/>
              </w:rPr>
            </w:pPr>
            <w:r>
              <w:rPr>
                <w:color w:val="000000"/>
                <w:szCs w:val="21"/>
              </w:rPr>
              <w:t>100</w:t>
            </w:r>
          </w:p>
        </w:tc>
        <w:tc>
          <w:tcPr>
            <w:tcW w:w="0" w:type="auto"/>
            <w:noWrap w:val="0"/>
            <w:vAlign w:val="center"/>
          </w:tcPr>
          <w:p w14:paraId="7D15C63F">
            <w:pPr>
              <w:jc w:val="center"/>
              <w:rPr>
                <w:color w:val="000000"/>
                <w:szCs w:val="21"/>
              </w:rPr>
            </w:pPr>
            <w:r>
              <w:rPr>
                <w:color w:val="000000"/>
                <w:szCs w:val="21"/>
              </w:rPr>
              <w:t>260</w:t>
            </w:r>
          </w:p>
        </w:tc>
      </w:tr>
      <w:tr w14:paraId="4811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6F78E30">
            <w:pPr>
              <w:jc w:val="center"/>
              <w:rPr>
                <w:color w:val="000000"/>
                <w:szCs w:val="21"/>
              </w:rPr>
            </w:pPr>
            <w:r>
              <w:rPr>
                <w:rFonts w:hint="eastAsia"/>
                <w:color w:val="000000"/>
                <w:szCs w:val="21"/>
              </w:rPr>
              <w:t>0</w:t>
            </w:r>
            <w:r>
              <w:rPr>
                <w:color w:val="000000"/>
                <w:szCs w:val="21"/>
              </w:rPr>
              <w:t>5</w:t>
            </w:r>
          </w:p>
        </w:tc>
        <w:tc>
          <w:tcPr>
            <w:tcW w:w="0" w:type="auto"/>
            <w:noWrap w:val="0"/>
            <w:vAlign w:val="center"/>
          </w:tcPr>
          <w:p w14:paraId="0B0A06AD">
            <w:pPr>
              <w:jc w:val="center"/>
              <w:rPr>
                <w:rFonts w:eastAsia="楷体_GB2312"/>
              </w:rPr>
            </w:pPr>
            <w:r>
              <w:rPr>
                <w:rFonts w:hint="eastAsia" w:eastAsia="楷体_GB2312"/>
              </w:rPr>
              <w:t>科技大道</w:t>
            </w:r>
          </w:p>
        </w:tc>
        <w:tc>
          <w:tcPr>
            <w:tcW w:w="0" w:type="auto"/>
            <w:noWrap w:val="0"/>
            <w:vAlign w:val="center"/>
          </w:tcPr>
          <w:p w14:paraId="51EC6A36">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1F7DDA57">
            <w:pPr>
              <w:jc w:val="center"/>
              <w:rPr>
                <w:color w:val="000000"/>
                <w:szCs w:val="21"/>
              </w:rPr>
            </w:pPr>
            <w:r>
              <w:rPr>
                <w:color w:val="000000"/>
                <w:szCs w:val="21"/>
              </w:rPr>
              <w:t>1</w:t>
            </w:r>
          </w:p>
        </w:tc>
        <w:tc>
          <w:tcPr>
            <w:tcW w:w="0" w:type="auto"/>
            <w:noWrap w:val="0"/>
            <w:vAlign w:val="center"/>
          </w:tcPr>
          <w:p w14:paraId="6232F451">
            <w:pPr>
              <w:jc w:val="center"/>
              <w:rPr>
                <w:color w:val="000000"/>
                <w:szCs w:val="21"/>
              </w:rPr>
            </w:pPr>
            <w:r>
              <w:rPr>
                <w:color w:val="000000"/>
                <w:szCs w:val="21"/>
              </w:rPr>
              <w:t>1</w:t>
            </w:r>
          </w:p>
        </w:tc>
        <w:tc>
          <w:tcPr>
            <w:tcW w:w="0" w:type="auto"/>
            <w:noWrap w:val="0"/>
            <w:vAlign w:val="center"/>
          </w:tcPr>
          <w:p w14:paraId="08A06BC1">
            <w:pPr>
              <w:jc w:val="center"/>
              <w:rPr>
                <w:color w:val="000000"/>
                <w:szCs w:val="21"/>
              </w:rPr>
            </w:pPr>
            <w:r>
              <w:rPr>
                <w:color w:val="000000"/>
                <w:szCs w:val="21"/>
              </w:rPr>
              <w:t>100</w:t>
            </w:r>
          </w:p>
        </w:tc>
        <w:tc>
          <w:tcPr>
            <w:tcW w:w="0" w:type="auto"/>
            <w:noWrap w:val="0"/>
            <w:vAlign w:val="center"/>
          </w:tcPr>
          <w:p w14:paraId="430D6574">
            <w:pPr>
              <w:jc w:val="center"/>
              <w:rPr>
                <w:color w:val="000000"/>
                <w:szCs w:val="21"/>
              </w:rPr>
            </w:pPr>
            <w:r>
              <w:rPr>
                <w:color w:val="000000"/>
                <w:szCs w:val="21"/>
              </w:rPr>
              <w:t>260</w:t>
            </w:r>
          </w:p>
        </w:tc>
      </w:tr>
      <w:tr w14:paraId="0BC8E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C971C46">
            <w:pPr>
              <w:jc w:val="center"/>
              <w:rPr>
                <w:color w:val="000000"/>
                <w:szCs w:val="21"/>
              </w:rPr>
            </w:pPr>
            <w:r>
              <w:rPr>
                <w:rFonts w:hint="eastAsia"/>
                <w:color w:val="000000"/>
                <w:szCs w:val="21"/>
              </w:rPr>
              <w:t>0</w:t>
            </w:r>
            <w:r>
              <w:rPr>
                <w:color w:val="000000"/>
                <w:szCs w:val="21"/>
              </w:rPr>
              <w:t>6</w:t>
            </w:r>
          </w:p>
        </w:tc>
        <w:tc>
          <w:tcPr>
            <w:tcW w:w="0" w:type="auto"/>
            <w:noWrap w:val="0"/>
            <w:vAlign w:val="center"/>
          </w:tcPr>
          <w:p w14:paraId="2C69DF14">
            <w:pPr>
              <w:jc w:val="center"/>
              <w:rPr>
                <w:rFonts w:eastAsia="楷体_GB2312"/>
              </w:rPr>
            </w:pPr>
            <w:r>
              <w:rPr>
                <w:rFonts w:hint="eastAsia" w:eastAsia="楷体_GB2312"/>
              </w:rPr>
              <w:t>斛城路</w:t>
            </w:r>
          </w:p>
        </w:tc>
        <w:tc>
          <w:tcPr>
            <w:tcW w:w="0" w:type="auto"/>
            <w:noWrap w:val="0"/>
            <w:vAlign w:val="center"/>
          </w:tcPr>
          <w:p w14:paraId="77C1F109">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7EA976E8">
            <w:pPr>
              <w:jc w:val="center"/>
              <w:rPr>
                <w:color w:val="000000"/>
                <w:szCs w:val="21"/>
              </w:rPr>
            </w:pPr>
            <w:r>
              <w:rPr>
                <w:color w:val="000000"/>
                <w:szCs w:val="21"/>
              </w:rPr>
              <w:t>1</w:t>
            </w:r>
          </w:p>
        </w:tc>
        <w:tc>
          <w:tcPr>
            <w:tcW w:w="0" w:type="auto"/>
            <w:noWrap w:val="0"/>
            <w:vAlign w:val="center"/>
          </w:tcPr>
          <w:p w14:paraId="6C5826CE">
            <w:pPr>
              <w:jc w:val="center"/>
              <w:rPr>
                <w:color w:val="000000"/>
                <w:szCs w:val="21"/>
              </w:rPr>
            </w:pPr>
            <w:r>
              <w:rPr>
                <w:color w:val="000000"/>
                <w:szCs w:val="21"/>
              </w:rPr>
              <w:t>1</w:t>
            </w:r>
          </w:p>
        </w:tc>
        <w:tc>
          <w:tcPr>
            <w:tcW w:w="0" w:type="auto"/>
            <w:noWrap w:val="0"/>
            <w:vAlign w:val="center"/>
          </w:tcPr>
          <w:p w14:paraId="48923E1C">
            <w:pPr>
              <w:jc w:val="center"/>
              <w:rPr>
                <w:color w:val="000000"/>
                <w:szCs w:val="21"/>
              </w:rPr>
            </w:pPr>
            <w:r>
              <w:rPr>
                <w:color w:val="000000"/>
                <w:szCs w:val="21"/>
              </w:rPr>
              <w:t>100</w:t>
            </w:r>
          </w:p>
        </w:tc>
        <w:tc>
          <w:tcPr>
            <w:tcW w:w="0" w:type="auto"/>
            <w:noWrap w:val="0"/>
            <w:vAlign w:val="center"/>
          </w:tcPr>
          <w:p w14:paraId="08D72B70">
            <w:pPr>
              <w:jc w:val="center"/>
              <w:rPr>
                <w:color w:val="000000"/>
                <w:szCs w:val="21"/>
              </w:rPr>
            </w:pPr>
            <w:r>
              <w:rPr>
                <w:color w:val="000000"/>
                <w:szCs w:val="21"/>
              </w:rPr>
              <w:t>260</w:t>
            </w:r>
          </w:p>
        </w:tc>
      </w:tr>
      <w:tr w14:paraId="5F2E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A403DE7">
            <w:pPr>
              <w:jc w:val="center"/>
              <w:rPr>
                <w:color w:val="000000"/>
                <w:szCs w:val="21"/>
              </w:rPr>
            </w:pPr>
            <w:r>
              <w:rPr>
                <w:rFonts w:hint="eastAsia"/>
                <w:color w:val="000000"/>
                <w:szCs w:val="21"/>
              </w:rPr>
              <w:t>0</w:t>
            </w:r>
            <w:r>
              <w:rPr>
                <w:color w:val="000000"/>
                <w:szCs w:val="21"/>
              </w:rPr>
              <w:t>7</w:t>
            </w:r>
          </w:p>
        </w:tc>
        <w:tc>
          <w:tcPr>
            <w:tcW w:w="0" w:type="auto"/>
            <w:noWrap w:val="0"/>
            <w:vAlign w:val="center"/>
          </w:tcPr>
          <w:p w14:paraId="122EA727">
            <w:pPr>
              <w:jc w:val="center"/>
              <w:rPr>
                <w:rFonts w:eastAsia="楷体_GB2312"/>
              </w:rPr>
            </w:pPr>
            <w:r>
              <w:rPr>
                <w:rFonts w:hint="eastAsia" w:eastAsia="楷体_GB2312"/>
              </w:rPr>
              <w:t>幸福路</w:t>
            </w:r>
          </w:p>
        </w:tc>
        <w:tc>
          <w:tcPr>
            <w:tcW w:w="0" w:type="auto"/>
            <w:noWrap w:val="0"/>
            <w:vAlign w:val="center"/>
          </w:tcPr>
          <w:p w14:paraId="1016675E">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151D37EF">
            <w:pPr>
              <w:jc w:val="center"/>
              <w:rPr>
                <w:color w:val="000000"/>
                <w:szCs w:val="21"/>
              </w:rPr>
            </w:pPr>
            <w:r>
              <w:rPr>
                <w:color w:val="000000"/>
                <w:szCs w:val="21"/>
              </w:rPr>
              <w:t>1</w:t>
            </w:r>
          </w:p>
        </w:tc>
        <w:tc>
          <w:tcPr>
            <w:tcW w:w="0" w:type="auto"/>
            <w:noWrap w:val="0"/>
            <w:vAlign w:val="center"/>
          </w:tcPr>
          <w:p w14:paraId="19FED499">
            <w:pPr>
              <w:jc w:val="center"/>
              <w:rPr>
                <w:color w:val="000000"/>
                <w:szCs w:val="21"/>
              </w:rPr>
            </w:pPr>
            <w:r>
              <w:rPr>
                <w:color w:val="000000"/>
                <w:szCs w:val="21"/>
              </w:rPr>
              <w:t>1</w:t>
            </w:r>
          </w:p>
        </w:tc>
        <w:tc>
          <w:tcPr>
            <w:tcW w:w="0" w:type="auto"/>
            <w:noWrap w:val="0"/>
            <w:vAlign w:val="center"/>
          </w:tcPr>
          <w:p w14:paraId="5EFFBD50">
            <w:pPr>
              <w:jc w:val="center"/>
              <w:rPr>
                <w:color w:val="000000"/>
                <w:szCs w:val="21"/>
              </w:rPr>
            </w:pPr>
            <w:r>
              <w:rPr>
                <w:color w:val="000000"/>
                <w:szCs w:val="21"/>
              </w:rPr>
              <w:t>100</w:t>
            </w:r>
          </w:p>
        </w:tc>
        <w:tc>
          <w:tcPr>
            <w:tcW w:w="0" w:type="auto"/>
            <w:noWrap w:val="0"/>
            <w:vAlign w:val="center"/>
          </w:tcPr>
          <w:p w14:paraId="3A185E21">
            <w:pPr>
              <w:jc w:val="center"/>
              <w:rPr>
                <w:color w:val="000000"/>
                <w:szCs w:val="21"/>
              </w:rPr>
            </w:pPr>
            <w:r>
              <w:rPr>
                <w:color w:val="000000"/>
                <w:szCs w:val="21"/>
              </w:rPr>
              <w:t>260</w:t>
            </w:r>
          </w:p>
        </w:tc>
      </w:tr>
      <w:tr w14:paraId="3D89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90E9513">
            <w:pPr>
              <w:jc w:val="center"/>
              <w:rPr>
                <w:color w:val="000000"/>
                <w:szCs w:val="21"/>
              </w:rPr>
            </w:pPr>
            <w:r>
              <w:rPr>
                <w:rFonts w:hint="eastAsia"/>
                <w:color w:val="000000"/>
                <w:szCs w:val="21"/>
              </w:rPr>
              <w:t>0</w:t>
            </w:r>
            <w:r>
              <w:rPr>
                <w:color w:val="000000"/>
                <w:szCs w:val="21"/>
              </w:rPr>
              <w:t>8</w:t>
            </w:r>
          </w:p>
        </w:tc>
        <w:tc>
          <w:tcPr>
            <w:tcW w:w="0" w:type="auto"/>
            <w:noWrap w:val="0"/>
            <w:vAlign w:val="center"/>
          </w:tcPr>
          <w:p w14:paraId="693253D8">
            <w:pPr>
              <w:jc w:val="center"/>
              <w:rPr>
                <w:rFonts w:eastAsia="楷体_GB2312"/>
              </w:rPr>
            </w:pPr>
            <w:r>
              <w:rPr>
                <w:rFonts w:hint="eastAsia" w:eastAsia="楷体_GB2312"/>
              </w:rPr>
              <w:t>二徐路</w:t>
            </w:r>
          </w:p>
        </w:tc>
        <w:tc>
          <w:tcPr>
            <w:tcW w:w="0" w:type="auto"/>
            <w:noWrap w:val="0"/>
            <w:vAlign w:val="center"/>
          </w:tcPr>
          <w:p w14:paraId="6FD72CF6">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199663DA">
            <w:pPr>
              <w:jc w:val="center"/>
              <w:rPr>
                <w:color w:val="000000"/>
                <w:szCs w:val="21"/>
              </w:rPr>
            </w:pPr>
            <w:r>
              <w:rPr>
                <w:color w:val="000000"/>
                <w:szCs w:val="21"/>
              </w:rPr>
              <w:t>1</w:t>
            </w:r>
          </w:p>
        </w:tc>
        <w:tc>
          <w:tcPr>
            <w:tcW w:w="0" w:type="auto"/>
            <w:noWrap w:val="0"/>
            <w:vAlign w:val="center"/>
          </w:tcPr>
          <w:p w14:paraId="07278B8F">
            <w:pPr>
              <w:jc w:val="center"/>
              <w:rPr>
                <w:color w:val="000000"/>
                <w:szCs w:val="21"/>
              </w:rPr>
            </w:pPr>
            <w:r>
              <w:rPr>
                <w:color w:val="000000"/>
                <w:szCs w:val="21"/>
              </w:rPr>
              <w:t>1</w:t>
            </w:r>
          </w:p>
        </w:tc>
        <w:tc>
          <w:tcPr>
            <w:tcW w:w="0" w:type="auto"/>
            <w:noWrap w:val="0"/>
            <w:vAlign w:val="center"/>
          </w:tcPr>
          <w:p w14:paraId="35981911">
            <w:pPr>
              <w:jc w:val="center"/>
              <w:rPr>
                <w:color w:val="000000"/>
                <w:szCs w:val="21"/>
              </w:rPr>
            </w:pPr>
            <w:r>
              <w:rPr>
                <w:color w:val="000000"/>
                <w:szCs w:val="21"/>
              </w:rPr>
              <w:t>100</w:t>
            </w:r>
          </w:p>
        </w:tc>
        <w:tc>
          <w:tcPr>
            <w:tcW w:w="0" w:type="auto"/>
            <w:noWrap w:val="0"/>
            <w:vAlign w:val="center"/>
          </w:tcPr>
          <w:p w14:paraId="178D8370">
            <w:pPr>
              <w:jc w:val="center"/>
              <w:rPr>
                <w:color w:val="000000"/>
                <w:szCs w:val="21"/>
              </w:rPr>
            </w:pPr>
            <w:r>
              <w:rPr>
                <w:color w:val="000000"/>
                <w:szCs w:val="21"/>
              </w:rPr>
              <w:t>260</w:t>
            </w:r>
          </w:p>
        </w:tc>
      </w:tr>
      <w:tr w14:paraId="0FDFE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BB743B3">
            <w:pPr>
              <w:jc w:val="center"/>
              <w:rPr>
                <w:color w:val="000000"/>
                <w:szCs w:val="21"/>
              </w:rPr>
            </w:pPr>
            <w:r>
              <w:rPr>
                <w:rFonts w:hint="eastAsia"/>
                <w:color w:val="000000"/>
                <w:szCs w:val="21"/>
              </w:rPr>
              <w:t>0</w:t>
            </w:r>
            <w:r>
              <w:rPr>
                <w:color w:val="000000"/>
                <w:szCs w:val="21"/>
              </w:rPr>
              <w:t>9</w:t>
            </w:r>
          </w:p>
        </w:tc>
        <w:tc>
          <w:tcPr>
            <w:tcW w:w="0" w:type="auto"/>
            <w:noWrap w:val="0"/>
            <w:vAlign w:val="center"/>
          </w:tcPr>
          <w:p w14:paraId="7DA051A6">
            <w:pPr>
              <w:jc w:val="center"/>
              <w:rPr>
                <w:rFonts w:eastAsia="楷体_GB2312"/>
              </w:rPr>
            </w:pPr>
            <w:r>
              <w:rPr>
                <w:rFonts w:hint="eastAsia" w:eastAsia="楷体_GB2312"/>
              </w:rPr>
              <w:t>栏西路</w:t>
            </w:r>
          </w:p>
        </w:tc>
        <w:tc>
          <w:tcPr>
            <w:tcW w:w="0" w:type="auto"/>
            <w:noWrap w:val="0"/>
            <w:vAlign w:val="center"/>
          </w:tcPr>
          <w:p w14:paraId="4B33EAEB">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62F97040">
            <w:pPr>
              <w:jc w:val="center"/>
              <w:rPr>
                <w:color w:val="000000"/>
                <w:szCs w:val="21"/>
              </w:rPr>
            </w:pPr>
            <w:r>
              <w:rPr>
                <w:color w:val="000000"/>
                <w:szCs w:val="21"/>
              </w:rPr>
              <w:t>1</w:t>
            </w:r>
          </w:p>
        </w:tc>
        <w:tc>
          <w:tcPr>
            <w:tcW w:w="0" w:type="auto"/>
            <w:noWrap w:val="0"/>
            <w:vAlign w:val="center"/>
          </w:tcPr>
          <w:p w14:paraId="38FDD22A">
            <w:pPr>
              <w:jc w:val="center"/>
              <w:rPr>
                <w:color w:val="000000"/>
                <w:szCs w:val="21"/>
              </w:rPr>
            </w:pPr>
            <w:r>
              <w:rPr>
                <w:color w:val="000000"/>
                <w:szCs w:val="21"/>
              </w:rPr>
              <w:t>1</w:t>
            </w:r>
          </w:p>
        </w:tc>
        <w:tc>
          <w:tcPr>
            <w:tcW w:w="0" w:type="auto"/>
            <w:noWrap w:val="0"/>
            <w:vAlign w:val="center"/>
          </w:tcPr>
          <w:p w14:paraId="63B5F3A7">
            <w:pPr>
              <w:jc w:val="center"/>
              <w:rPr>
                <w:color w:val="000000"/>
                <w:szCs w:val="21"/>
              </w:rPr>
            </w:pPr>
            <w:r>
              <w:rPr>
                <w:color w:val="000000"/>
                <w:szCs w:val="21"/>
              </w:rPr>
              <w:t>100</w:t>
            </w:r>
          </w:p>
        </w:tc>
        <w:tc>
          <w:tcPr>
            <w:tcW w:w="0" w:type="auto"/>
            <w:noWrap w:val="0"/>
            <w:vAlign w:val="center"/>
          </w:tcPr>
          <w:p w14:paraId="3A623062">
            <w:pPr>
              <w:jc w:val="center"/>
              <w:rPr>
                <w:color w:val="000000"/>
                <w:szCs w:val="21"/>
              </w:rPr>
            </w:pPr>
            <w:r>
              <w:rPr>
                <w:color w:val="000000"/>
                <w:szCs w:val="21"/>
              </w:rPr>
              <w:t>260</w:t>
            </w:r>
          </w:p>
        </w:tc>
      </w:tr>
      <w:tr w14:paraId="5112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CB3042F">
            <w:pPr>
              <w:jc w:val="center"/>
              <w:rPr>
                <w:color w:val="000000"/>
                <w:szCs w:val="21"/>
              </w:rPr>
            </w:pPr>
            <w:r>
              <w:rPr>
                <w:color w:val="000000"/>
                <w:szCs w:val="21"/>
              </w:rPr>
              <w:t>10</w:t>
            </w:r>
          </w:p>
        </w:tc>
        <w:tc>
          <w:tcPr>
            <w:tcW w:w="0" w:type="auto"/>
            <w:noWrap w:val="0"/>
            <w:vAlign w:val="center"/>
          </w:tcPr>
          <w:p w14:paraId="13DCDFD2">
            <w:pPr>
              <w:jc w:val="center"/>
              <w:rPr>
                <w:rFonts w:eastAsia="楷体_GB2312"/>
              </w:rPr>
            </w:pPr>
            <w:r>
              <w:rPr>
                <w:rFonts w:hint="eastAsia" w:eastAsia="楷体_GB2312"/>
              </w:rPr>
              <w:t>曹栏路</w:t>
            </w:r>
          </w:p>
        </w:tc>
        <w:tc>
          <w:tcPr>
            <w:tcW w:w="0" w:type="auto"/>
            <w:noWrap w:val="0"/>
            <w:vAlign w:val="center"/>
          </w:tcPr>
          <w:p w14:paraId="703859C7">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4D49EDE5">
            <w:pPr>
              <w:jc w:val="center"/>
              <w:rPr>
                <w:color w:val="000000"/>
                <w:szCs w:val="21"/>
              </w:rPr>
            </w:pPr>
            <w:r>
              <w:rPr>
                <w:color w:val="000000"/>
                <w:szCs w:val="21"/>
              </w:rPr>
              <w:t>1</w:t>
            </w:r>
          </w:p>
        </w:tc>
        <w:tc>
          <w:tcPr>
            <w:tcW w:w="0" w:type="auto"/>
            <w:noWrap w:val="0"/>
            <w:vAlign w:val="center"/>
          </w:tcPr>
          <w:p w14:paraId="027D7AFA">
            <w:pPr>
              <w:jc w:val="center"/>
              <w:rPr>
                <w:color w:val="000000"/>
                <w:szCs w:val="21"/>
              </w:rPr>
            </w:pPr>
            <w:r>
              <w:rPr>
                <w:color w:val="000000"/>
                <w:szCs w:val="21"/>
              </w:rPr>
              <w:t>1</w:t>
            </w:r>
          </w:p>
        </w:tc>
        <w:tc>
          <w:tcPr>
            <w:tcW w:w="0" w:type="auto"/>
            <w:noWrap w:val="0"/>
            <w:vAlign w:val="center"/>
          </w:tcPr>
          <w:p w14:paraId="0D6809EB">
            <w:pPr>
              <w:jc w:val="center"/>
              <w:rPr>
                <w:color w:val="000000"/>
                <w:szCs w:val="21"/>
              </w:rPr>
            </w:pPr>
            <w:r>
              <w:rPr>
                <w:color w:val="000000"/>
                <w:szCs w:val="21"/>
              </w:rPr>
              <w:t>100</w:t>
            </w:r>
          </w:p>
        </w:tc>
        <w:tc>
          <w:tcPr>
            <w:tcW w:w="0" w:type="auto"/>
            <w:noWrap w:val="0"/>
            <w:vAlign w:val="center"/>
          </w:tcPr>
          <w:p w14:paraId="74345EB4">
            <w:pPr>
              <w:jc w:val="center"/>
              <w:rPr>
                <w:color w:val="000000"/>
                <w:szCs w:val="21"/>
              </w:rPr>
            </w:pPr>
            <w:r>
              <w:rPr>
                <w:color w:val="000000"/>
                <w:szCs w:val="21"/>
              </w:rPr>
              <w:t>260</w:t>
            </w:r>
          </w:p>
        </w:tc>
      </w:tr>
      <w:tr w14:paraId="5A4CF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EC7BD4E">
            <w:pPr>
              <w:jc w:val="center"/>
              <w:rPr>
                <w:color w:val="000000"/>
                <w:szCs w:val="21"/>
              </w:rPr>
            </w:pPr>
            <w:r>
              <w:rPr>
                <w:color w:val="000000"/>
                <w:szCs w:val="21"/>
              </w:rPr>
              <w:t>11</w:t>
            </w:r>
          </w:p>
        </w:tc>
        <w:tc>
          <w:tcPr>
            <w:tcW w:w="0" w:type="auto"/>
            <w:noWrap w:val="0"/>
            <w:vAlign w:val="center"/>
          </w:tcPr>
          <w:p w14:paraId="41F8B772">
            <w:pPr>
              <w:jc w:val="center"/>
              <w:rPr>
                <w:rFonts w:eastAsia="楷体_GB2312"/>
              </w:rPr>
            </w:pPr>
            <w:r>
              <w:rPr>
                <w:rFonts w:hint="eastAsia" w:eastAsia="楷体_GB2312"/>
              </w:rPr>
              <w:t>科技大道</w:t>
            </w:r>
          </w:p>
        </w:tc>
        <w:tc>
          <w:tcPr>
            <w:tcW w:w="0" w:type="auto"/>
            <w:noWrap w:val="0"/>
            <w:vAlign w:val="center"/>
          </w:tcPr>
          <w:p w14:paraId="15F578E6">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0070F955">
            <w:pPr>
              <w:jc w:val="center"/>
              <w:rPr>
                <w:color w:val="000000"/>
                <w:szCs w:val="21"/>
              </w:rPr>
            </w:pPr>
            <w:r>
              <w:rPr>
                <w:color w:val="000000"/>
                <w:szCs w:val="21"/>
              </w:rPr>
              <w:t>1</w:t>
            </w:r>
          </w:p>
        </w:tc>
        <w:tc>
          <w:tcPr>
            <w:tcW w:w="0" w:type="auto"/>
            <w:noWrap w:val="0"/>
            <w:vAlign w:val="center"/>
          </w:tcPr>
          <w:p w14:paraId="31466522">
            <w:pPr>
              <w:jc w:val="center"/>
              <w:rPr>
                <w:color w:val="000000"/>
                <w:szCs w:val="21"/>
              </w:rPr>
            </w:pPr>
            <w:r>
              <w:rPr>
                <w:color w:val="000000"/>
                <w:szCs w:val="21"/>
              </w:rPr>
              <w:t>1</w:t>
            </w:r>
          </w:p>
        </w:tc>
        <w:tc>
          <w:tcPr>
            <w:tcW w:w="0" w:type="auto"/>
            <w:noWrap w:val="0"/>
            <w:vAlign w:val="center"/>
          </w:tcPr>
          <w:p w14:paraId="125A51F8">
            <w:pPr>
              <w:jc w:val="center"/>
              <w:rPr>
                <w:color w:val="000000"/>
                <w:szCs w:val="21"/>
              </w:rPr>
            </w:pPr>
            <w:r>
              <w:rPr>
                <w:color w:val="000000"/>
                <w:szCs w:val="21"/>
              </w:rPr>
              <w:t>100</w:t>
            </w:r>
          </w:p>
        </w:tc>
        <w:tc>
          <w:tcPr>
            <w:tcW w:w="0" w:type="auto"/>
            <w:noWrap w:val="0"/>
            <w:vAlign w:val="center"/>
          </w:tcPr>
          <w:p w14:paraId="5A5AEA9B">
            <w:pPr>
              <w:jc w:val="center"/>
              <w:rPr>
                <w:color w:val="000000"/>
                <w:szCs w:val="21"/>
              </w:rPr>
            </w:pPr>
            <w:r>
              <w:rPr>
                <w:color w:val="000000"/>
                <w:szCs w:val="21"/>
              </w:rPr>
              <w:t>260</w:t>
            </w:r>
          </w:p>
        </w:tc>
      </w:tr>
      <w:tr w14:paraId="2303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D65BF2A">
            <w:pPr>
              <w:jc w:val="center"/>
              <w:rPr>
                <w:color w:val="000000"/>
                <w:szCs w:val="21"/>
              </w:rPr>
            </w:pPr>
            <w:r>
              <w:rPr>
                <w:color w:val="000000"/>
                <w:szCs w:val="21"/>
              </w:rPr>
              <w:t>12</w:t>
            </w:r>
          </w:p>
        </w:tc>
        <w:tc>
          <w:tcPr>
            <w:tcW w:w="0" w:type="auto"/>
            <w:noWrap w:val="0"/>
            <w:vAlign w:val="center"/>
          </w:tcPr>
          <w:p w14:paraId="3B75E701">
            <w:pPr>
              <w:jc w:val="center"/>
              <w:rPr>
                <w:rFonts w:eastAsia="楷体_GB2312"/>
              </w:rPr>
            </w:pPr>
            <w:r>
              <w:rPr>
                <w:rFonts w:hint="eastAsia" w:eastAsia="楷体_GB2312"/>
              </w:rPr>
              <w:t>望山路</w:t>
            </w:r>
          </w:p>
        </w:tc>
        <w:tc>
          <w:tcPr>
            <w:tcW w:w="0" w:type="auto"/>
            <w:noWrap w:val="0"/>
            <w:vAlign w:val="center"/>
          </w:tcPr>
          <w:p w14:paraId="7EC30065">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2BA0A001">
            <w:pPr>
              <w:jc w:val="center"/>
              <w:rPr>
                <w:color w:val="000000"/>
                <w:szCs w:val="21"/>
              </w:rPr>
            </w:pPr>
            <w:r>
              <w:rPr>
                <w:color w:val="000000"/>
                <w:szCs w:val="21"/>
              </w:rPr>
              <w:t>0.7</w:t>
            </w:r>
          </w:p>
        </w:tc>
        <w:tc>
          <w:tcPr>
            <w:tcW w:w="0" w:type="auto"/>
            <w:noWrap w:val="0"/>
            <w:vAlign w:val="center"/>
          </w:tcPr>
          <w:p w14:paraId="4AFE001E">
            <w:pPr>
              <w:jc w:val="center"/>
              <w:rPr>
                <w:color w:val="000000"/>
                <w:szCs w:val="21"/>
              </w:rPr>
            </w:pPr>
            <w:r>
              <w:rPr>
                <w:color w:val="000000"/>
                <w:szCs w:val="21"/>
              </w:rPr>
              <w:t>2</w:t>
            </w:r>
          </w:p>
        </w:tc>
        <w:tc>
          <w:tcPr>
            <w:tcW w:w="0" w:type="auto"/>
            <w:noWrap w:val="0"/>
            <w:vAlign w:val="center"/>
          </w:tcPr>
          <w:p w14:paraId="3F9306E5">
            <w:pPr>
              <w:jc w:val="center"/>
              <w:rPr>
                <w:color w:val="000000"/>
                <w:szCs w:val="21"/>
              </w:rPr>
            </w:pPr>
            <w:r>
              <w:rPr>
                <w:color w:val="000000"/>
                <w:szCs w:val="21"/>
              </w:rPr>
              <w:t>70</w:t>
            </w:r>
          </w:p>
        </w:tc>
        <w:tc>
          <w:tcPr>
            <w:tcW w:w="0" w:type="auto"/>
            <w:noWrap w:val="0"/>
            <w:vAlign w:val="center"/>
          </w:tcPr>
          <w:p w14:paraId="7B93DDF2">
            <w:pPr>
              <w:jc w:val="center"/>
              <w:rPr>
                <w:color w:val="000000"/>
                <w:szCs w:val="21"/>
              </w:rPr>
            </w:pPr>
            <w:r>
              <w:rPr>
                <w:color w:val="000000"/>
                <w:szCs w:val="21"/>
              </w:rPr>
              <w:t>220</w:t>
            </w:r>
          </w:p>
        </w:tc>
      </w:tr>
      <w:tr w14:paraId="569F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3230436">
            <w:pPr>
              <w:jc w:val="center"/>
              <w:rPr>
                <w:color w:val="000000"/>
                <w:szCs w:val="21"/>
              </w:rPr>
            </w:pPr>
            <w:r>
              <w:rPr>
                <w:color w:val="000000"/>
                <w:szCs w:val="21"/>
              </w:rPr>
              <w:t>13</w:t>
            </w:r>
          </w:p>
        </w:tc>
        <w:tc>
          <w:tcPr>
            <w:tcW w:w="0" w:type="auto"/>
            <w:noWrap w:val="0"/>
            <w:vAlign w:val="center"/>
          </w:tcPr>
          <w:p w14:paraId="292BC723">
            <w:pPr>
              <w:jc w:val="center"/>
              <w:rPr>
                <w:rFonts w:eastAsia="楷体_GB2312"/>
              </w:rPr>
            </w:pPr>
            <w:r>
              <w:rPr>
                <w:rFonts w:hint="eastAsia" w:eastAsia="楷体_GB2312"/>
              </w:rPr>
              <w:t>步行街</w:t>
            </w:r>
          </w:p>
        </w:tc>
        <w:tc>
          <w:tcPr>
            <w:tcW w:w="0" w:type="auto"/>
            <w:noWrap w:val="0"/>
            <w:vAlign w:val="center"/>
          </w:tcPr>
          <w:p w14:paraId="6CA1E687">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1AB39112">
            <w:pPr>
              <w:jc w:val="center"/>
              <w:rPr>
                <w:color w:val="000000"/>
                <w:szCs w:val="21"/>
              </w:rPr>
            </w:pPr>
            <w:r>
              <w:rPr>
                <w:color w:val="000000"/>
                <w:szCs w:val="21"/>
              </w:rPr>
              <w:t>0.7</w:t>
            </w:r>
          </w:p>
        </w:tc>
        <w:tc>
          <w:tcPr>
            <w:tcW w:w="0" w:type="auto"/>
            <w:noWrap w:val="0"/>
            <w:vAlign w:val="center"/>
          </w:tcPr>
          <w:p w14:paraId="46EC450C">
            <w:pPr>
              <w:jc w:val="center"/>
              <w:rPr>
                <w:color w:val="000000"/>
                <w:szCs w:val="21"/>
              </w:rPr>
            </w:pPr>
            <w:r>
              <w:rPr>
                <w:color w:val="000000"/>
                <w:szCs w:val="21"/>
              </w:rPr>
              <w:t>2</w:t>
            </w:r>
          </w:p>
        </w:tc>
        <w:tc>
          <w:tcPr>
            <w:tcW w:w="0" w:type="auto"/>
            <w:noWrap w:val="0"/>
            <w:vAlign w:val="center"/>
          </w:tcPr>
          <w:p w14:paraId="782568F1">
            <w:pPr>
              <w:jc w:val="center"/>
              <w:rPr>
                <w:color w:val="000000"/>
                <w:szCs w:val="21"/>
              </w:rPr>
            </w:pPr>
            <w:r>
              <w:rPr>
                <w:color w:val="000000"/>
                <w:szCs w:val="21"/>
              </w:rPr>
              <w:t>70</w:t>
            </w:r>
          </w:p>
        </w:tc>
        <w:tc>
          <w:tcPr>
            <w:tcW w:w="0" w:type="auto"/>
            <w:noWrap w:val="0"/>
            <w:vAlign w:val="center"/>
          </w:tcPr>
          <w:p w14:paraId="0A9D28A4">
            <w:pPr>
              <w:jc w:val="center"/>
              <w:rPr>
                <w:color w:val="000000"/>
                <w:szCs w:val="21"/>
              </w:rPr>
            </w:pPr>
            <w:r>
              <w:rPr>
                <w:color w:val="000000"/>
                <w:szCs w:val="21"/>
              </w:rPr>
              <w:t>220</w:t>
            </w:r>
          </w:p>
        </w:tc>
      </w:tr>
      <w:tr w14:paraId="393B3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5039638">
            <w:pPr>
              <w:jc w:val="center"/>
              <w:rPr>
                <w:color w:val="000000"/>
                <w:szCs w:val="21"/>
              </w:rPr>
            </w:pPr>
            <w:r>
              <w:rPr>
                <w:color w:val="000000"/>
                <w:szCs w:val="21"/>
              </w:rPr>
              <w:t>14</w:t>
            </w:r>
          </w:p>
        </w:tc>
        <w:tc>
          <w:tcPr>
            <w:tcW w:w="0" w:type="auto"/>
            <w:noWrap w:val="0"/>
            <w:vAlign w:val="center"/>
          </w:tcPr>
          <w:p w14:paraId="01423586">
            <w:pPr>
              <w:jc w:val="center"/>
              <w:rPr>
                <w:rFonts w:eastAsia="楷体_GB2312"/>
              </w:rPr>
            </w:pPr>
            <w:r>
              <w:rPr>
                <w:rFonts w:hint="eastAsia" w:eastAsia="楷体_GB2312"/>
              </w:rPr>
              <w:t>致富路</w:t>
            </w:r>
          </w:p>
        </w:tc>
        <w:tc>
          <w:tcPr>
            <w:tcW w:w="0" w:type="auto"/>
            <w:noWrap w:val="0"/>
            <w:vAlign w:val="center"/>
          </w:tcPr>
          <w:p w14:paraId="190C7D6F">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11C005A4">
            <w:pPr>
              <w:jc w:val="center"/>
              <w:rPr>
                <w:color w:val="000000"/>
                <w:szCs w:val="21"/>
              </w:rPr>
            </w:pPr>
            <w:r>
              <w:rPr>
                <w:color w:val="000000"/>
                <w:szCs w:val="21"/>
              </w:rPr>
              <w:t>0.7</w:t>
            </w:r>
          </w:p>
        </w:tc>
        <w:tc>
          <w:tcPr>
            <w:tcW w:w="0" w:type="auto"/>
            <w:noWrap w:val="0"/>
            <w:vAlign w:val="center"/>
          </w:tcPr>
          <w:p w14:paraId="34FC4651">
            <w:pPr>
              <w:jc w:val="center"/>
              <w:rPr>
                <w:color w:val="000000"/>
                <w:szCs w:val="21"/>
              </w:rPr>
            </w:pPr>
            <w:r>
              <w:rPr>
                <w:color w:val="000000"/>
                <w:szCs w:val="21"/>
              </w:rPr>
              <w:t>2</w:t>
            </w:r>
          </w:p>
        </w:tc>
        <w:tc>
          <w:tcPr>
            <w:tcW w:w="0" w:type="auto"/>
            <w:noWrap w:val="0"/>
            <w:vAlign w:val="center"/>
          </w:tcPr>
          <w:p w14:paraId="54647D74">
            <w:pPr>
              <w:jc w:val="center"/>
              <w:rPr>
                <w:color w:val="000000"/>
                <w:szCs w:val="21"/>
              </w:rPr>
            </w:pPr>
            <w:r>
              <w:rPr>
                <w:color w:val="000000"/>
                <w:szCs w:val="21"/>
              </w:rPr>
              <w:t>70</w:t>
            </w:r>
          </w:p>
        </w:tc>
        <w:tc>
          <w:tcPr>
            <w:tcW w:w="0" w:type="auto"/>
            <w:noWrap w:val="0"/>
            <w:vAlign w:val="center"/>
          </w:tcPr>
          <w:p w14:paraId="23141FC1">
            <w:pPr>
              <w:jc w:val="center"/>
              <w:rPr>
                <w:color w:val="000000"/>
                <w:szCs w:val="21"/>
              </w:rPr>
            </w:pPr>
            <w:r>
              <w:rPr>
                <w:color w:val="000000"/>
                <w:szCs w:val="21"/>
              </w:rPr>
              <w:t>220</w:t>
            </w:r>
          </w:p>
        </w:tc>
      </w:tr>
      <w:tr w14:paraId="549FE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C859A63">
            <w:pPr>
              <w:jc w:val="center"/>
              <w:rPr>
                <w:color w:val="000000"/>
                <w:szCs w:val="21"/>
              </w:rPr>
            </w:pPr>
            <w:r>
              <w:rPr>
                <w:color w:val="000000"/>
                <w:szCs w:val="21"/>
              </w:rPr>
              <w:t>15</w:t>
            </w:r>
          </w:p>
        </w:tc>
        <w:tc>
          <w:tcPr>
            <w:tcW w:w="0" w:type="auto"/>
            <w:noWrap w:val="0"/>
            <w:vAlign w:val="center"/>
          </w:tcPr>
          <w:p w14:paraId="3EF28A74">
            <w:pPr>
              <w:jc w:val="center"/>
              <w:rPr>
                <w:rFonts w:eastAsia="楷体_GB2312"/>
              </w:rPr>
            </w:pPr>
            <w:r>
              <w:rPr>
                <w:rFonts w:hint="eastAsia" w:eastAsia="楷体_GB2312"/>
              </w:rPr>
              <w:t>振兴路</w:t>
            </w:r>
          </w:p>
        </w:tc>
        <w:tc>
          <w:tcPr>
            <w:tcW w:w="0" w:type="auto"/>
            <w:noWrap w:val="0"/>
            <w:vAlign w:val="center"/>
          </w:tcPr>
          <w:p w14:paraId="23F01428">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258AA22F">
            <w:pPr>
              <w:jc w:val="center"/>
              <w:rPr>
                <w:color w:val="000000"/>
                <w:szCs w:val="21"/>
              </w:rPr>
            </w:pPr>
            <w:r>
              <w:rPr>
                <w:color w:val="000000"/>
                <w:szCs w:val="21"/>
              </w:rPr>
              <w:t>0.7</w:t>
            </w:r>
          </w:p>
        </w:tc>
        <w:tc>
          <w:tcPr>
            <w:tcW w:w="0" w:type="auto"/>
            <w:noWrap w:val="0"/>
            <w:vAlign w:val="center"/>
          </w:tcPr>
          <w:p w14:paraId="5A13FAFF">
            <w:pPr>
              <w:jc w:val="center"/>
              <w:rPr>
                <w:color w:val="000000"/>
                <w:szCs w:val="21"/>
              </w:rPr>
            </w:pPr>
            <w:r>
              <w:rPr>
                <w:color w:val="000000"/>
                <w:szCs w:val="21"/>
              </w:rPr>
              <w:t>2</w:t>
            </w:r>
          </w:p>
        </w:tc>
        <w:tc>
          <w:tcPr>
            <w:tcW w:w="0" w:type="auto"/>
            <w:noWrap w:val="0"/>
            <w:vAlign w:val="center"/>
          </w:tcPr>
          <w:p w14:paraId="2AA0ED5C">
            <w:pPr>
              <w:jc w:val="center"/>
              <w:rPr>
                <w:color w:val="000000"/>
                <w:szCs w:val="21"/>
              </w:rPr>
            </w:pPr>
            <w:r>
              <w:rPr>
                <w:color w:val="000000"/>
                <w:szCs w:val="21"/>
              </w:rPr>
              <w:t>70</w:t>
            </w:r>
          </w:p>
        </w:tc>
        <w:tc>
          <w:tcPr>
            <w:tcW w:w="0" w:type="auto"/>
            <w:noWrap w:val="0"/>
            <w:vAlign w:val="center"/>
          </w:tcPr>
          <w:p w14:paraId="0B452088">
            <w:pPr>
              <w:jc w:val="center"/>
              <w:rPr>
                <w:color w:val="000000"/>
                <w:szCs w:val="21"/>
              </w:rPr>
            </w:pPr>
            <w:r>
              <w:rPr>
                <w:color w:val="000000"/>
                <w:szCs w:val="21"/>
              </w:rPr>
              <w:t>220</w:t>
            </w:r>
          </w:p>
        </w:tc>
      </w:tr>
      <w:tr w14:paraId="2E257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D2D2C93">
            <w:pPr>
              <w:jc w:val="center"/>
              <w:rPr>
                <w:color w:val="000000"/>
                <w:szCs w:val="21"/>
              </w:rPr>
            </w:pPr>
            <w:r>
              <w:rPr>
                <w:color w:val="000000"/>
                <w:szCs w:val="21"/>
              </w:rPr>
              <w:t>16</w:t>
            </w:r>
          </w:p>
        </w:tc>
        <w:tc>
          <w:tcPr>
            <w:tcW w:w="0" w:type="auto"/>
            <w:noWrap w:val="0"/>
            <w:vAlign w:val="center"/>
          </w:tcPr>
          <w:p w14:paraId="4E17B52F">
            <w:pPr>
              <w:jc w:val="center"/>
              <w:rPr>
                <w:rFonts w:eastAsia="楷体_GB2312"/>
              </w:rPr>
            </w:pPr>
            <w:r>
              <w:rPr>
                <w:rFonts w:hint="eastAsia" w:eastAsia="楷体_GB2312"/>
              </w:rPr>
              <w:t>文明路</w:t>
            </w:r>
          </w:p>
        </w:tc>
        <w:tc>
          <w:tcPr>
            <w:tcW w:w="0" w:type="auto"/>
            <w:noWrap w:val="0"/>
            <w:vAlign w:val="center"/>
          </w:tcPr>
          <w:p w14:paraId="59527D7E">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688CFE18">
            <w:pPr>
              <w:jc w:val="center"/>
              <w:rPr>
                <w:color w:val="000000"/>
                <w:szCs w:val="21"/>
              </w:rPr>
            </w:pPr>
            <w:r>
              <w:rPr>
                <w:color w:val="000000"/>
                <w:szCs w:val="21"/>
              </w:rPr>
              <w:t>0.7</w:t>
            </w:r>
          </w:p>
        </w:tc>
        <w:tc>
          <w:tcPr>
            <w:tcW w:w="0" w:type="auto"/>
            <w:noWrap w:val="0"/>
            <w:vAlign w:val="center"/>
          </w:tcPr>
          <w:p w14:paraId="49049EDC">
            <w:pPr>
              <w:jc w:val="center"/>
              <w:rPr>
                <w:color w:val="000000"/>
                <w:szCs w:val="21"/>
              </w:rPr>
            </w:pPr>
            <w:r>
              <w:rPr>
                <w:color w:val="000000"/>
                <w:szCs w:val="21"/>
              </w:rPr>
              <w:t>2</w:t>
            </w:r>
          </w:p>
        </w:tc>
        <w:tc>
          <w:tcPr>
            <w:tcW w:w="0" w:type="auto"/>
            <w:noWrap w:val="0"/>
            <w:vAlign w:val="center"/>
          </w:tcPr>
          <w:p w14:paraId="14543E51">
            <w:pPr>
              <w:jc w:val="center"/>
              <w:rPr>
                <w:color w:val="000000"/>
                <w:szCs w:val="21"/>
              </w:rPr>
            </w:pPr>
            <w:r>
              <w:rPr>
                <w:color w:val="000000"/>
                <w:szCs w:val="21"/>
              </w:rPr>
              <w:t>70</w:t>
            </w:r>
          </w:p>
        </w:tc>
        <w:tc>
          <w:tcPr>
            <w:tcW w:w="0" w:type="auto"/>
            <w:noWrap w:val="0"/>
            <w:vAlign w:val="center"/>
          </w:tcPr>
          <w:p w14:paraId="50F9E691">
            <w:pPr>
              <w:jc w:val="center"/>
              <w:rPr>
                <w:color w:val="000000"/>
                <w:szCs w:val="21"/>
              </w:rPr>
            </w:pPr>
            <w:r>
              <w:rPr>
                <w:color w:val="000000"/>
                <w:szCs w:val="21"/>
              </w:rPr>
              <w:t>220</w:t>
            </w:r>
          </w:p>
        </w:tc>
      </w:tr>
      <w:tr w14:paraId="73A7D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17880A4">
            <w:pPr>
              <w:jc w:val="center"/>
              <w:rPr>
                <w:color w:val="000000"/>
                <w:szCs w:val="21"/>
              </w:rPr>
            </w:pPr>
            <w:r>
              <w:rPr>
                <w:color w:val="000000"/>
                <w:szCs w:val="21"/>
              </w:rPr>
              <w:t>17</w:t>
            </w:r>
          </w:p>
        </w:tc>
        <w:tc>
          <w:tcPr>
            <w:tcW w:w="0" w:type="auto"/>
            <w:noWrap w:val="0"/>
            <w:vAlign w:val="center"/>
          </w:tcPr>
          <w:p w14:paraId="5E7852E9">
            <w:pPr>
              <w:jc w:val="center"/>
              <w:rPr>
                <w:rFonts w:eastAsia="楷体_GB2312"/>
              </w:rPr>
            </w:pPr>
            <w:r>
              <w:rPr>
                <w:rFonts w:hint="eastAsia" w:eastAsia="楷体_GB2312"/>
              </w:rPr>
              <w:t>爱民路</w:t>
            </w:r>
          </w:p>
        </w:tc>
        <w:tc>
          <w:tcPr>
            <w:tcW w:w="0" w:type="auto"/>
            <w:noWrap w:val="0"/>
            <w:vAlign w:val="center"/>
          </w:tcPr>
          <w:p w14:paraId="51FA8025">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52767F1A">
            <w:pPr>
              <w:jc w:val="center"/>
              <w:rPr>
                <w:color w:val="000000"/>
                <w:szCs w:val="21"/>
              </w:rPr>
            </w:pPr>
            <w:r>
              <w:rPr>
                <w:color w:val="000000"/>
                <w:szCs w:val="21"/>
              </w:rPr>
              <w:t>0.7</w:t>
            </w:r>
          </w:p>
        </w:tc>
        <w:tc>
          <w:tcPr>
            <w:tcW w:w="0" w:type="auto"/>
            <w:noWrap w:val="0"/>
            <w:vAlign w:val="center"/>
          </w:tcPr>
          <w:p w14:paraId="319E2D2F">
            <w:pPr>
              <w:jc w:val="center"/>
              <w:rPr>
                <w:color w:val="000000"/>
                <w:szCs w:val="21"/>
              </w:rPr>
            </w:pPr>
            <w:r>
              <w:rPr>
                <w:color w:val="000000"/>
                <w:szCs w:val="21"/>
              </w:rPr>
              <w:t>2</w:t>
            </w:r>
          </w:p>
        </w:tc>
        <w:tc>
          <w:tcPr>
            <w:tcW w:w="0" w:type="auto"/>
            <w:noWrap w:val="0"/>
            <w:vAlign w:val="center"/>
          </w:tcPr>
          <w:p w14:paraId="226667A1">
            <w:pPr>
              <w:jc w:val="center"/>
              <w:rPr>
                <w:color w:val="000000"/>
                <w:szCs w:val="21"/>
              </w:rPr>
            </w:pPr>
            <w:r>
              <w:rPr>
                <w:color w:val="000000"/>
                <w:szCs w:val="21"/>
              </w:rPr>
              <w:t>70</w:t>
            </w:r>
          </w:p>
        </w:tc>
        <w:tc>
          <w:tcPr>
            <w:tcW w:w="0" w:type="auto"/>
            <w:noWrap w:val="0"/>
            <w:vAlign w:val="center"/>
          </w:tcPr>
          <w:p w14:paraId="33A81F88">
            <w:pPr>
              <w:jc w:val="center"/>
              <w:rPr>
                <w:color w:val="000000"/>
                <w:szCs w:val="21"/>
              </w:rPr>
            </w:pPr>
            <w:r>
              <w:rPr>
                <w:color w:val="000000"/>
                <w:szCs w:val="21"/>
              </w:rPr>
              <w:t>220</w:t>
            </w:r>
          </w:p>
        </w:tc>
      </w:tr>
      <w:tr w14:paraId="6351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8AD5D7E">
            <w:pPr>
              <w:jc w:val="center"/>
              <w:rPr>
                <w:color w:val="000000"/>
                <w:szCs w:val="21"/>
              </w:rPr>
            </w:pPr>
            <w:r>
              <w:rPr>
                <w:color w:val="000000"/>
                <w:szCs w:val="21"/>
              </w:rPr>
              <w:t>18</w:t>
            </w:r>
          </w:p>
        </w:tc>
        <w:tc>
          <w:tcPr>
            <w:tcW w:w="0" w:type="auto"/>
            <w:noWrap w:val="0"/>
            <w:vAlign w:val="center"/>
          </w:tcPr>
          <w:p w14:paraId="4F3A97AB">
            <w:pPr>
              <w:jc w:val="center"/>
              <w:rPr>
                <w:rFonts w:eastAsia="楷体_GB2312"/>
              </w:rPr>
            </w:pPr>
            <w:r>
              <w:rPr>
                <w:rFonts w:hint="eastAsia" w:eastAsia="楷体_GB2312"/>
              </w:rPr>
              <w:t>亲民路</w:t>
            </w:r>
          </w:p>
        </w:tc>
        <w:tc>
          <w:tcPr>
            <w:tcW w:w="0" w:type="auto"/>
            <w:noWrap w:val="0"/>
            <w:vAlign w:val="center"/>
          </w:tcPr>
          <w:p w14:paraId="1AF7760A">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563317A4">
            <w:pPr>
              <w:jc w:val="center"/>
              <w:rPr>
                <w:color w:val="000000"/>
                <w:szCs w:val="21"/>
              </w:rPr>
            </w:pPr>
            <w:r>
              <w:rPr>
                <w:color w:val="000000"/>
                <w:szCs w:val="21"/>
              </w:rPr>
              <w:t>0.7</w:t>
            </w:r>
          </w:p>
        </w:tc>
        <w:tc>
          <w:tcPr>
            <w:tcW w:w="0" w:type="auto"/>
            <w:noWrap w:val="0"/>
            <w:vAlign w:val="center"/>
          </w:tcPr>
          <w:p w14:paraId="6EC3904C">
            <w:pPr>
              <w:jc w:val="center"/>
              <w:rPr>
                <w:color w:val="000000"/>
                <w:szCs w:val="21"/>
              </w:rPr>
            </w:pPr>
            <w:r>
              <w:rPr>
                <w:color w:val="000000"/>
                <w:szCs w:val="21"/>
              </w:rPr>
              <w:t>2</w:t>
            </w:r>
          </w:p>
        </w:tc>
        <w:tc>
          <w:tcPr>
            <w:tcW w:w="0" w:type="auto"/>
            <w:noWrap w:val="0"/>
            <w:vAlign w:val="center"/>
          </w:tcPr>
          <w:p w14:paraId="687B4275">
            <w:pPr>
              <w:jc w:val="center"/>
              <w:rPr>
                <w:color w:val="000000"/>
                <w:szCs w:val="21"/>
              </w:rPr>
            </w:pPr>
            <w:r>
              <w:rPr>
                <w:color w:val="000000"/>
                <w:szCs w:val="21"/>
              </w:rPr>
              <w:t>70</w:t>
            </w:r>
          </w:p>
        </w:tc>
        <w:tc>
          <w:tcPr>
            <w:tcW w:w="0" w:type="auto"/>
            <w:noWrap w:val="0"/>
            <w:vAlign w:val="center"/>
          </w:tcPr>
          <w:p w14:paraId="03467FA0">
            <w:pPr>
              <w:jc w:val="center"/>
              <w:rPr>
                <w:color w:val="000000"/>
                <w:szCs w:val="21"/>
              </w:rPr>
            </w:pPr>
            <w:r>
              <w:rPr>
                <w:color w:val="000000"/>
                <w:szCs w:val="21"/>
              </w:rPr>
              <w:t>220</w:t>
            </w:r>
          </w:p>
        </w:tc>
      </w:tr>
      <w:tr w14:paraId="325F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5E034DD">
            <w:pPr>
              <w:jc w:val="center"/>
              <w:rPr>
                <w:color w:val="000000"/>
                <w:szCs w:val="21"/>
              </w:rPr>
            </w:pPr>
            <w:r>
              <w:rPr>
                <w:color w:val="000000"/>
                <w:szCs w:val="21"/>
              </w:rPr>
              <w:t>19</w:t>
            </w:r>
          </w:p>
        </w:tc>
        <w:tc>
          <w:tcPr>
            <w:tcW w:w="0" w:type="auto"/>
            <w:noWrap w:val="0"/>
            <w:vAlign w:val="center"/>
          </w:tcPr>
          <w:p w14:paraId="4F7C18DB">
            <w:pPr>
              <w:jc w:val="center"/>
              <w:rPr>
                <w:rFonts w:eastAsia="楷体_GB2312"/>
              </w:rPr>
            </w:pPr>
            <w:r>
              <w:rPr>
                <w:rFonts w:hint="eastAsia" w:eastAsia="楷体_GB2312"/>
              </w:rPr>
              <w:t>通达路</w:t>
            </w:r>
          </w:p>
        </w:tc>
        <w:tc>
          <w:tcPr>
            <w:tcW w:w="0" w:type="auto"/>
            <w:noWrap w:val="0"/>
            <w:vAlign w:val="center"/>
          </w:tcPr>
          <w:p w14:paraId="698FAB00">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7ACC232F">
            <w:pPr>
              <w:jc w:val="center"/>
              <w:rPr>
                <w:color w:val="000000"/>
                <w:szCs w:val="21"/>
              </w:rPr>
            </w:pPr>
            <w:r>
              <w:rPr>
                <w:color w:val="000000"/>
                <w:szCs w:val="21"/>
              </w:rPr>
              <w:t>0.7</w:t>
            </w:r>
          </w:p>
        </w:tc>
        <w:tc>
          <w:tcPr>
            <w:tcW w:w="0" w:type="auto"/>
            <w:noWrap w:val="0"/>
            <w:vAlign w:val="center"/>
          </w:tcPr>
          <w:p w14:paraId="2264C483">
            <w:pPr>
              <w:jc w:val="center"/>
              <w:rPr>
                <w:color w:val="000000"/>
                <w:szCs w:val="21"/>
              </w:rPr>
            </w:pPr>
            <w:r>
              <w:rPr>
                <w:color w:val="000000"/>
                <w:szCs w:val="21"/>
              </w:rPr>
              <w:t>2</w:t>
            </w:r>
          </w:p>
        </w:tc>
        <w:tc>
          <w:tcPr>
            <w:tcW w:w="0" w:type="auto"/>
            <w:noWrap w:val="0"/>
            <w:vAlign w:val="center"/>
          </w:tcPr>
          <w:p w14:paraId="326BD512">
            <w:pPr>
              <w:jc w:val="center"/>
              <w:rPr>
                <w:color w:val="000000"/>
                <w:szCs w:val="21"/>
              </w:rPr>
            </w:pPr>
            <w:r>
              <w:rPr>
                <w:color w:val="000000"/>
                <w:szCs w:val="21"/>
              </w:rPr>
              <w:t>70</w:t>
            </w:r>
          </w:p>
        </w:tc>
        <w:tc>
          <w:tcPr>
            <w:tcW w:w="0" w:type="auto"/>
            <w:noWrap w:val="0"/>
            <w:vAlign w:val="center"/>
          </w:tcPr>
          <w:p w14:paraId="7B58B76B">
            <w:pPr>
              <w:jc w:val="center"/>
              <w:rPr>
                <w:color w:val="000000"/>
                <w:szCs w:val="21"/>
              </w:rPr>
            </w:pPr>
            <w:r>
              <w:rPr>
                <w:color w:val="000000"/>
                <w:szCs w:val="21"/>
              </w:rPr>
              <w:t>220</w:t>
            </w:r>
          </w:p>
        </w:tc>
      </w:tr>
      <w:tr w14:paraId="553E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BCBFC54">
            <w:pPr>
              <w:jc w:val="center"/>
              <w:rPr>
                <w:color w:val="000000"/>
                <w:szCs w:val="21"/>
              </w:rPr>
            </w:pPr>
            <w:r>
              <w:rPr>
                <w:color w:val="000000"/>
                <w:szCs w:val="21"/>
              </w:rPr>
              <w:t>20</w:t>
            </w:r>
          </w:p>
        </w:tc>
        <w:tc>
          <w:tcPr>
            <w:tcW w:w="0" w:type="auto"/>
            <w:noWrap w:val="0"/>
            <w:vAlign w:val="center"/>
          </w:tcPr>
          <w:p w14:paraId="42D42A21">
            <w:pPr>
              <w:jc w:val="center"/>
              <w:rPr>
                <w:rFonts w:eastAsia="楷体_GB2312"/>
              </w:rPr>
            </w:pPr>
            <w:r>
              <w:rPr>
                <w:rFonts w:hint="eastAsia" w:eastAsia="楷体_GB2312"/>
              </w:rPr>
              <w:t>格致路</w:t>
            </w:r>
          </w:p>
        </w:tc>
        <w:tc>
          <w:tcPr>
            <w:tcW w:w="0" w:type="auto"/>
            <w:noWrap w:val="0"/>
            <w:vAlign w:val="center"/>
          </w:tcPr>
          <w:p w14:paraId="5E75015E">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11B4455A">
            <w:pPr>
              <w:jc w:val="center"/>
              <w:rPr>
                <w:color w:val="000000"/>
                <w:szCs w:val="21"/>
              </w:rPr>
            </w:pPr>
            <w:r>
              <w:rPr>
                <w:color w:val="000000"/>
                <w:szCs w:val="21"/>
              </w:rPr>
              <w:t>0.7</w:t>
            </w:r>
          </w:p>
        </w:tc>
        <w:tc>
          <w:tcPr>
            <w:tcW w:w="0" w:type="auto"/>
            <w:noWrap w:val="0"/>
            <w:vAlign w:val="center"/>
          </w:tcPr>
          <w:p w14:paraId="4D765E0B">
            <w:pPr>
              <w:jc w:val="center"/>
              <w:rPr>
                <w:color w:val="000000"/>
                <w:szCs w:val="21"/>
              </w:rPr>
            </w:pPr>
            <w:r>
              <w:rPr>
                <w:color w:val="000000"/>
                <w:szCs w:val="21"/>
              </w:rPr>
              <w:t>2</w:t>
            </w:r>
          </w:p>
        </w:tc>
        <w:tc>
          <w:tcPr>
            <w:tcW w:w="0" w:type="auto"/>
            <w:noWrap w:val="0"/>
            <w:vAlign w:val="center"/>
          </w:tcPr>
          <w:p w14:paraId="7C5935B8">
            <w:pPr>
              <w:jc w:val="center"/>
              <w:rPr>
                <w:color w:val="000000"/>
                <w:szCs w:val="21"/>
              </w:rPr>
            </w:pPr>
            <w:r>
              <w:rPr>
                <w:color w:val="000000"/>
                <w:szCs w:val="21"/>
              </w:rPr>
              <w:t>70</w:t>
            </w:r>
          </w:p>
        </w:tc>
        <w:tc>
          <w:tcPr>
            <w:tcW w:w="0" w:type="auto"/>
            <w:noWrap w:val="0"/>
            <w:vAlign w:val="center"/>
          </w:tcPr>
          <w:p w14:paraId="332C9EC5">
            <w:pPr>
              <w:jc w:val="center"/>
              <w:rPr>
                <w:color w:val="000000"/>
                <w:szCs w:val="21"/>
              </w:rPr>
            </w:pPr>
            <w:r>
              <w:rPr>
                <w:color w:val="000000"/>
                <w:szCs w:val="21"/>
              </w:rPr>
              <w:t>220</w:t>
            </w:r>
          </w:p>
        </w:tc>
      </w:tr>
      <w:tr w14:paraId="1E56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4946201">
            <w:pPr>
              <w:jc w:val="center"/>
              <w:rPr>
                <w:color w:val="000000"/>
                <w:szCs w:val="21"/>
              </w:rPr>
            </w:pPr>
            <w:r>
              <w:rPr>
                <w:color w:val="000000"/>
                <w:szCs w:val="21"/>
              </w:rPr>
              <w:t>21</w:t>
            </w:r>
          </w:p>
        </w:tc>
        <w:tc>
          <w:tcPr>
            <w:tcW w:w="0" w:type="auto"/>
            <w:noWrap w:val="0"/>
            <w:vAlign w:val="center"/>
          </w:tcPr>
          <w:p w14:paraId="4273FED5">
            <w:pPr>
              <w:jc w:val="center"/>
              <w:rPr>
                <w:rFonts w:ascii="楷体_GB2312" w:hAnsi="宋体" w:eastAsia="楷体_GB2312" w:cs="宋体"/>
                <w:color w:val="000000"/>
                <w:szCs w:val="21"/>
              </w:rPr>
            </w:pPr>
            <w:r>
              <w:rPr>
                <w:rFonts w:hint="eastAsia" w:ascii="楷体_GB2312" w:eastAsia="楷体_GB2312"/>
                <w:color w:val="000000"/>
                <w:szCs w:val="21"/>
              </w:rPr>
              <w:t>德高路</w:t>
            </w:r>
          </w:p>
        </w:tc>
        <w:tc>
          <w:tcPr>
            <w:tcW w:w="0" w:type="auto"/>
            <w:noWrap w:val="0"/>
            <w:vAlign w:val="center"/>
          </w:tcPr>
          <w:p w14:paraId="401424C0">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6DA46E4">
            <w:pPr>
              <w:jc w:val="center"/>
              <w:rPr>
                <w:color w:val="000000"/>
                <w:szCs w:val="21"/>
              </w:rPr>
            </w:pPr>
            <w:r>
              <w:rPr>
                <w:color w:val="000000"/>
                <w:szCs w:val="21"/>
              </w:rPr>
              <w:t>0.4</w:t>
            </w:r>
          </w:p>
        </w:tc>
        <w:tc>
          <w:tcPr>
            <w:tcW w:w="0" w:type="auto"/>
            <w:noWrap w:val="0"/>
            <w:vAlign w:val="center"/>
          </w:tcPr>
          <w:p w14:paraId="57F413F8">
            <w:pPr>
              <w:jc w:val="center"/>
              <w:rPr>
                <w:color w:val="000000"/>
                <w:szCs w:val="21"/>
              </w:rPr>
            </w:pPr>
            <w:r>
              <w:rPr>
                <w:color w:val="000000"/>
                <w:szCs w:val="21"/>
              </w:rPr>
              <w:t>3</w:t>
            </w:r>
          </w:p>
        </w:tc>
        <w:tc>
          <w:tcPr>
            <w:tcW w:w="0" w:type="auto"/>
            <w:noWrap w:val="0"/>
            <w:vAlign w:val="center"/>
          </w:tcPr>
          <w:p w14:paraId="07A67448">
            <w:pPr>
              <w:jc w:val="center"/>
              <w:rPr>
                <w:color w:val="000000"/>
                <w:szCs w:val="21"/>
              </w:rPr>
            </w:pPr>
            <w:r>
              <w:rPr>
                <w:color w:val="000000"/>
                <w:szCs w:val="21"/>
              </w:rPr>
              <w:t>40</w:t>
            </w:r>
          </w:p>
        </w:tc>
        <w:tc>
          <w:tcPr>
            <w:tcW w:w="0" w:type="auto"/>
            <w:noWrap w:val="0"/>
            <w:vAlign w:val="center"/>
          </w:tcPr>
          <w:p w14:paraId="5C42F140">
            <w:pPr>
              <w:jc w:val="center"/>
              <w:rPr>
                <w:color w:val="000000"/>
                <w:szCs w:val="21"/>
              </w:rPr>
            </w:pPr>
            <w:r>
              <w:rPr>
                <w:color w:val="000000"/>
                <w:szCs w:val="21"/>
              </w:rPr>
              <w:t>180</w:t>
            </w:r>
          </w:p>
        </w:tc>
      </w:tr>
      <w:tr w14:paraId="7EC3B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14B8BB7">
            <w:pPr>
              <w:jc w:val="center"/>
              <w:rPr>
                <w:color w:val="000000"/>
                <w:szCs w:val="21"/>
              </w:rPr>
            </w:pPr>
            <w:r>
              <w:rPr>
                <w:color w:val="000000"/>
                <w:szCs w:val="21"/>
              </w:rPr>
              <w:t>22</w:t>
            </w:r>
          </w:p>
        </w:tc>
        <w:tc>
          <w:tcPr>
            <w:tcW w:w="0" w:type="auto"/>
            <w:noWrap w:val="0"/>
            <w:vAlign w:val="center"/>
          </w:tcPr>
          <w:p w14:paraId="27CB8891">
            <w:pPr>
              <w:jc w:val="center"/>
              <w:rPr>
                <w:rFonts w:ascii="楷体_GB2312" w:hAnsi="宋体" w:eastAsia="楷体_GB2312" w:cs="宋体"/>
                <w:color w:val="000000"/>
                <w:szCs w:val="21"/>
              </w:rPr>
            </w:pPr>
            <w:r>
              <w:rPr>
                <w:rFonts w:hint="eastAsia" w:ascii="楷体_GB2312" w:eastAsia="楷体_GB2312"/>
                <w:color w:val="000000"/>
                <w:szCs w:val="21"/>
              </w:rPr>
              <w:t>宜居路</w:t>
            </w:r>
          </w:p>
        </w:tc>
        <w:tc>
          <w:tcPr>
            <w:tcW w:w="0" w:type="auto"/>
            <w:noWrap w:val="0"/>
            <w:vAlign w:val="center"/>
          </w:tcPr>
          <w:p w14:paraId="1C32E1A6">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4D48CBFB">
            <w:pPr>
              <w:jc w:val="center"/>
              <w:rPr>
                <w:color w:val="000000"/>
                <w:szCs w:val="21"/>
              </w:rPr>
            </w:pPr>
            <w:r>
              <w:rPr>
                <w:color w:val="000000"/>
                <w:szCs w:val="21"/>
              </w:rPr>
              <w:t>0.4</w:t>
            </w:r>
          </w:p>
        </w:tc>
        <w:tc>
          <w:tcPr>
            <w:tcW w:w="0" w:type="auto"/>
            <w:noWrap w:val="0"/>
            <w:vAlign w:val="center"/>
          </w:tcPr>
          <w:p w14:paraId="0630EAF7">
            <w:pPr>
              <w:jc w:val="center"/>
              <w:rPr>
                <w:color w:val="000000"/>
                <w:szCs w:val="21"/>
              </w:rPr>
            </w:pPr>
            <w:r>
              <w:rPr>
                <w:color w:val="000000"/>
                <w:szCs w:val="21"/>
              </w:rPr>
              <w:t>3</w:t>
            </w:r>
          </w:p>
        </w:tc>
        <w:tc>
          <w:tcPr>
            <w:tcW w:w="0" w:type="auto"/>
            <w:noWrap w:val="0"/>
            <w:vAlign w:val="center"/>
          </w:tcPr>
          <w:p w14:paraId="3E3D4597">
            <w:pPr>
              <w:jc w:val="center"/>
              <w:rPr>
                <w:color w:val="000000"/>
                <w:szCs w:val="21"/>
              </w:rPr>
            </w:pPr>
            <w:r>
              <w:rPr>
                <w:color w:val="000000"/>
                <w:szCs w:val="21"/>
              </w:rPr>
              <w:t>40</w:t>
            </w:r>
          </w:p>
        </w:tc>
        <w:tc>
          <w:tcPr>
            <w:tcW w:w="0" w:type="auto"/>
            <w:noWrap w:val="0"/>
            <w:vAlign w:val="center"/>
          </w:tcPr>
          <w:p w14:paraId="2E7754EA">
            <w:pPr>
              <w:jc w:val="center"/>
              <w:rPr>
                <w:color w:val="000000"/>
                <w:szCs w:val="21"/>
              </w:rPr>
            </w:pPr>
            <w:r>
              <w:rPr>
                <w:color w:val="000000"/>
                <w:szCs w:val="21"/>
              </w:rPr>
              <w:t>180</w:t>
            </w:r>
          </w:p>
        </w:tc>
      </w:tr>
      <w:tr w14:paraId="1E2E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B2E085D">
            <w:pPr>
              <w:jc w:val="center"/>
              <w:rPr>
                <w:color w:val="000000"/>
                <w:szCs w:val="21"/>
              </w:rPr>
            </w:pPr>
            <w:r>
              <w:rPr>
                <w:color w:val="000000"/>
                <w:szCs w:val="21"/>
              </w:rPr>
              <w:t>23</w:t>
            </w:r>
          </w:p>
        </w:tc>
        <w:tc>
          <w:tcPr>
            <w:tcW w:w="0" w:type="auto"/>
            <w:noWrap w:val="0"/>
            <w:vAlign w:val="center"/>
          </w:tcPr>
          <w:p w14:paraId="7A710D5B">
            <w:pPr>
              <w:jc w:val="center"/>
              <w:rPr>
                <w:rFonts w:ascii="楷体_GB2312" w:hAnsi="宋体" w:eastAsia="楷体_GB2312" w:cs="宋体"/>
                <w:color w:val="000000"/>
                <w:szCs w:val="21"/>
              </w:rPr>
            </w:pPr>
            <w:r>
              <w:rPr>
                <w:rFonts w:hint="eastAsia" w:ascii="楷体_GB2312" w:eastAsia="楷体_GB2312"/>
                <w:color w:val="000000"/>
                <w:szCs w:val="21"/>
              </w:rPr>
              <w:t>环山路</w:t>
            </w:r>
          </w:p>
        </w:tc>
        <w:tc>
          <w:tcPr>
            <w:tcW w:w="0" w:type="auto"/>
            <w:noWrap w:val="0"/>
            <w:vAlign w:val="center"/>
          </w:tcPr>
          <w:p w14:paraId="3DC09472">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7CAD567">
            <w:pPr>
              <w:jc w:val="center"/>
              <w:rPr>
                <w:color w:val="000000"/>
                <w:szCs w:val="21"/>
              </w:rPr>
            </w:pPr>
            <w:r>
              <w:rPr>
                <w:color w:val="000000"/>
                <w:szCs w:val="21"/>
              </w:rPr>
              <w:t>0.4</w:t>
            </w:r>
          </w:p>
        </w:tc>
        <w:tc>
          <w:tcPr>
            <w:tcW w:w="0" w:type="auto"/>
            <w:noWrap w:val="0"/>
            <w:vAlign w:val="center"/>
          </w:tcPr>
          <w:p w14:paraId="20ECDB7B">
            <w:pPr>
              <w:jc w:val="center"/>
              <w:rPr>
                <w:color w:val="000000"/>
                <w:szCs w:val="21"/>
              </w:rPr>
            </w:pPr>
            <w:r>
              <w:rPr>
                <w:color w:val="000000"/>
                <w:szCs w:val="21"/>
              </w:rPr>
              <w:t>3</w:t>
            </w:r>
          </w:p>
        </w:tc>
        <w:tc>
          <w:tcPr>
            <w:tcW w:w="0" w:type="auto"/>
            <w:noWrap w:val="0"/>
            <w:vAlign w:val="center"/>
          </w:tcPr>
          <w:p w14:paraId="645A5B62">
            <w:pPr>
              <w:jc w:val="center"/>
              <w:rPr>
                <w:color w:val="000000"/>
                <w:szCs w:val="21"/>
              </w:rPr>
            </w:pPr>
            <w:r>
              <w:rPr>
                <w:color w:val="000000"/>
                <w:szCs w:val="21"/>
              </w:rPr>
              <w:t>40</w:t>
            </w:r>
          </w:p>
        </w:tc>
        <w:tc>
          <w:tcPr>
            <w:tcW w:w="0" w:type="auto"/>
            <w:noWrap w:val="0"/>
            <w:vAlign w:val="center"/>
          </w:tcPr>
          <w:p w14:paraId="3D8B227C">
            <w:pPr>
              <w:jc w:val="center"/>
              <w:rPr>
                <w:color w:val="000000"/>
                <w:szCs w:val="21"/>
              </w:rPr>
            </w:pPr>
            <w:r>
              <w:rPr>
                <w:color w:val="000000"/>
                <w:szCs w:val="21"/>
              </w:rPr>
              <w:t>180</w:t>
            </w:r>
          </w:p>
        </w:tc>
      </w:tr>
      <w:tr w14:paraId="7910D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B87E210">
            <w:pPr>
              <w:jc w:val="center"/>
              <w:rPr>
                <w:color w:val="000000"/>
                <w:szCs w:val="21"/>
              </w:rPr>
            </w:pPr>
            <w:r>
              <w:rPr>
                <w:color w:val="000000"/>
                <w:szCs w:val="21"/>
              </w:rPr>
              <w:t>24</w:t>
            </w:r>
          </w:p>
        </w:tc>
        <w:tc>
          <w:tcPr>
            <w:tcW w:w="0" w:type="auto"/>
            <w:noWrap w:val="0"/>
            <w:vAlign w:val="center"/>
          </w:tcPr>
          <w:p w14:paraId="1EEE317E">
            <w:pPr>
              <w:jc w:val="center"/>
              <w:rPr>
                <w:rFonts w:ascii="楷体_GB2312" w:hAnsi="宋体" w:eastAsia="楷体_GB2312" w:cs="宋体"/>
                <w:color w:val="000000"/>
                <w:szCs w:val="21"/>
              </w:rPr>
            </w:pPr>
            <w:r>
              <w:rPr>
                <w:rFonts w:hint="eastAsia" w:ascii="楷体_GB2312" w:eastAsia="楷体_GB2312"/>
                <w:color w:val="000000"/>
                <w:szCs w:val="21"/>
              </w:rPr>
              <w:t>纳福路</w:t>
            </w:r>
          </w:p>
        </w:tc>
        <w:tc>
          <w:tcPr>
            <w:tcW w:w="0" w:type="auto"/>
            <w:noWrap w:val="0"/>
            <w:vAlign w:val="center"/>
          </w:tcPr>
          <w:p w14:paraId="5C4CB8B4">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55FC7FB1">
            <w:pPr>
              <w:jc w:val="center"/>
              <w:rPr>
                <w:color w:val="000000"/>
                <w:szCs w:val="21"/>
              </w:rPr>
            </w:pPr>
            <w:r>
              <w:rPr>
                <w:color w:val="000000"/>
                <w:szCs w:val="21"/>
              </w:rPr>
              <w:t>0.4</w:t>
            </w:r>
          </w:p>
        </w:tc>
        <w:tc>
          <w:tcPr>
            <w:tcW w:w="0" w:type="auto"/>
            <w:noWrap w:val="0"/>
            <w:vAlign w:val="center"/>
          </w:tcPr>
          <w:p w14:paraId="6C1ED7E3">
            <w:pPr>
              <w:jc w:val="center"/>
              <w:rPr>
                <w:color w:val="000000"/>
                <w:szCs w:val="21"/>
              </w:rPr>
            </w:pPr>
            <w:r>
              <w:rPr>
                <w:color w:val="000000"/>
                <w:szCs w:val="21"/>
              </w:rPr>
              <w:t>3</w:t>
            </w:r>
          </w:p>
        </w:tc>
        <w:tc>
          <w:tcPr>
            <w:tcW w:w="0" w:type="auto"/>
            <w:noWrap w:val="0"/>
            <w:vAlign w:val="center"/>
          </w:tcPr>
          <w:p w14:paraId="3948BD09">
            <w:pPr>
              <w:jc w:val="center"/>
              <w:rPr>
                <w:color w:val="000000"/>
                <w:szCs w:val="21"/>
              </w:rPr>
            </w:pPr>
            <w:r>
              <w:rPr>
                <w:color w:val="000000"/>
                <w:szCs w:val="21"/>
              </w:rPr>
              <w:t>40</w:t>
            </w:r>
          </w:p>
        </w:tc>
        <w:tc>
          <w:tcPr>
            <w:tcW w:w="0" w:type="auto"/>
            <w:noWrap w:val="0"/>
            <w:vAlign w:val="center"/>
          </w:tcPr>
          <w:p w14:paraId="2A165634">
            <w:pPr>
              <w:jc w:val="center"/>
              <w:rPr>
                <w:color w:val="000000"/>
                <w:szCs w:val="21"/>
              </w:rPr>
            </w:pPr>
            <w:r>
              <w:rPr>
                <w:color w:val="000000"/>
                <w:szCs w:val="21"/>
              </w:rPr>
              <w:t>180</w:t>
            </w:r>
          </w:p>
        </w:tc>
      </w:tr>
      <w:tr w14:paraId="4C789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57F7245">
            <w:pPr>
              <w:jc w:val="center"/>
              <w:rPr>
                <w:color w:val="000000"/>
                <w:szCs w:val="21"/>
              </w:rPr>
            </w:pPr>
            <w:r>
              <w:rPr>
                <w:color w:val="000000"/>
                <w:szCs w:val="21"/>
              </w:rPr>
              <w:t>25</w:t>
            </w:r>
          </w:p>
        </w:tc>
        <w:tc>
          <w:tcPr>
            <w:tcW w:w="0" w:type="auto"/>
            <w:noWrap w:val="0"/>
            <w:vAlign w:val="center"/>
          </w:tcPr>
          <w:p w14:paraId="09F2D4F3">
            <w:pPr>
              <w:jc w:val="center"/>
              <w:rPr>
                <w:rFonts w:ascii="楷体_GB2312" w:hAnsi="宋体" w:eastAsia="楷体_GB2312" w:cs="宋体"/>
                <w:color w:val="000000"/>
                <w:szCs w:val="21"/>
              </w:rPr>
            </w:pPr>
            <w:r>
              <w:rPr>
                <w:rFonts w:hint="eastAsia" w:ascii="楷体_GB2312" w:eastAsia="楷体_GB2312"/>
                <w:color w:val="000000"/>
                <w:szCs w:val="21"/>
              </w:rPr>
              <w:t>求学路</w:t>
            </w:r>
          </w:p>
        </w:tc>
        <w:tc>
          <w:tcPr>
            <w:tcW w:w="0" w:type="auto"/>
            <w:noWrap w:val="0"/>
            <w:vAlign w:val="center"/>
          </w:tcPr>
          <w:p w14:paraId="00264462">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785F381">
            <w:pPr>
              <w:jc w:val="center"/>
              <w:rPr>
                <w:color w:val="000000"/>
                <w:szCs w:val="21"/>
              </w:rPr>
            </w:pPr>
            <w:r>
              <w:rPr>
                <w:color w:val="000000"/>
                <w:szCs w:val="21"/>
              </w:rPr>
              <w:t>0.4</w:t>
            </w:r>
          </w:p>
        </w:tc>
        <w:tc>
          <w:tcPr>
            <w:tcW w:w="0" w:type="auto"/>
            <w:noWrap w:val="0"/>
            <w:vAlign w:val="center"/>
          </w:tcPr>
          <w:p w14:paraId="4C22AE11">
            <w:pPr>
              <w:jc w:val="center"/>
              <w:rPr>
                <w:color w:val="000000"/>
                <w:szCs w:val="21"/>
              </w:rPr>
            </w:pPr>
            <w:r>
              <w:rPr>
                <w:color w:val="000000"/>
                <w:szCs w:val="21"/>
              </w:rPr>
              <w:t>3</w:t>
            </w:r>
          </w:p>
        </w:tc>
        <w:tc>
          <w:tcPr>
            <w:tcW w:w="0" w:type="auto"/>
            <w:noWrap w:val="0"/>
            <w:vAlign w:val="center"/>
          </w:tcPr>
          <w:p w14:paraId="4F051B91">
            <w:pPr>
              <w:jc w:val="center"/>
              <w:rPr>
                <w:color w:val="000000"/>
                <w:szCs w:val="21"/>
              </w:rPr>
            </w:pPr>
            <w:r>
              <w:rPr>
                <w:color w:val="000000"/>
                <w:szCs w:val="21"/>
              </w:rPr>
              <w:t>40</w:t>
            </w:r>
          </w:p>
        </w:tc>
        <w:tc>
          <w:tcPr>
            <w:tcW w:w="0" w:type="auto"/>
            <w:noWrap w:val="0"/>
            <w:vAlign w:val="center"/>
          </w:tcPr>
          <w:p w14:paraId="04BBAE32">
            <w:pPr>
              <w:jc w:val="center"/>
              <w:rPr>
                <w:color w:val="000000"/>
                <w:szCs w:val="21"/>
              </w:rPr>
            </w:pPr>
            <w:r>
              <w:rPr>
                <w:color w:val="000000"/>
                <w:szCs w:val="21"/>
              </w:rPr>
              <w:t>180</w:t>
            </w:r>
          </w:p>
        </w:tc>
      </w:tr>
      <w:tr w14:paraId="0019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24D4D0A">
            <w:pPr>
              <w:jc w:val="center"/>
              <w:rPr>
                <w:color w:val="000000"/>
                <w:szCs w:val="21"/>
              </w:rPr>
            </w:pPr>
            <w:r>
              <w:rPr>
                <w:color w:val="000000"/>
                <w:szCs w:val="21"/>
              </w:rPr>
              <w:t>26</w:t>
            </w:r>
          </w:p>
        </w:tc>
        <w:tc>
          <w:tcPr>
            <w:tcW w:w="0" w:type="auto"/>
            <w:noWrap w:val="0"/>
            <w:vAlign w:val="center"/>
          </w:tcPr>
          <w:p w14:paraId="4A645F6E">
            <w:pPr>
              <w:jc w:val="center"/>
              <w:rPr>
                <w:rFonts w:ascii="楷体_GB2312" w:hAnsi="宋体" w:eastAsia="楷体_GB2312" w:cs="宋体"/>
                <w:color w:val="000000"/>
                <w:szCs w:val="21"/>
              </w:rPr>
            </w:pPr>
            <w:r>
              <w:rPr>
                <w:rFonts w:hint="eastAsia" w:ascii="楷体_GB2312" w:eastAsia="楷体_GB2312"/>
                <w:color w:val="000000"/>
                <w:szCs w:val="21"/>
              </w:rPr>
              <w:t>迎朋路</w:t>
            </w:r>
          </w:p>
        </w:tc>
        <w:tc>
          <w:tcPr>
            <w:tcW w:w="0" w:type="auto"/>
            <w:noWrap w:val="0"/>
            <w:vAlign w:val="center"/>
          </w:tcPr>
          <w:p w14:paraId="39577E43">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249C52E3">
            <w:pPr>
              <w:jc w:val="center"/>
              <w:rPr>
                <w:color w:val="000000"/>
                <w:szCs w:val="21"/>
              </w:rPr>
            </w:pPr>
            <w:r>
              <w:rPr>
                <w:color w:val="000000"/>
                <w:szCs w:val="21"/>
              </w:rPr>
              <w:t>0.4</w:t>
            </w:r>
          </w:p>
        </w:tc>
        <w:tc>
          <w:tcPr>
            <w:tcW w:w="0" w:type="auto"/>
            <w:noWrap w:val="0"/>
            <w:vAlign w:val="center"/>
          </w:tcPr>
          <w:p w14:paraId="7452E45F">
            <w:pPr>
              <w:jc w:val="center"/>
              <w:rPr>
                <w:color w:val="000000"/>
                <w:szCs w:val="21"/>
              </w:rPr>
            </w:pPr>
            <w:r>
              <w:rPr>
                <w:color w:val="000000"/>
                <w:szCs w:val="21"/>
              </w:rPr>
              <w:t>3</w:t>
            </w:r>
          </w:p>
        </w:tc>
        <w:tc>
          <w:tcPr>
            <w:tcW w:w="0" w:type="auto"/>
            <w:noWrap w:val="0"/>
            <w:vAlign w:val="center"/>
          </w:tcPr>
          <w:p w14:paraId="7ACEBD21">
            <w:pPr>
              <w:jc w:val="center"/>
              <w:rPr>
                <w:color w:val="000000"/>
                <w:szCs w:val="21"/>
              </w:rPr>
            </w:pPr>
            <w:r>
              <w:rPr>
                <w:color w:val="000000"/>
                <w:szCs w:val="21"/>
              </w:rPr>
              <w:t>40</w:t>
            </w:r>
          </w:p>
        </w:tc>
        <w:tc>
          <w:tcPr>
            <w:tcW w:w="0" w:type="auto"/>
            <w:noWrap w:val="0"/>
            <w:vAlign w:val="center"/>
          </w:tcPr>
          <w:p w14:paraId="65B5A9AE">
            <w:pPr>
              <w:jc w:val="center"/>
              <w:rPr>
                <w:color w:val="000000"/>
                <w:szCs w:val="21"/>
              </w:rPr>
            </w:pPr>
            <w:r>
              <w:rPr>
                <w:color w:val="000000"/>
                <w:szCs w:val="21"/>
              </w:rPr>
              <w:t>180</w:t>
            </w:r>
          </w:p>
        </w:tc>
      </w:tr>
      <w:tr w14:paraId="03239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DBF5E9B">
            <w:pPr>
              <w:jc w:val="center"/>
              <w:rPr>
                <w:color w:val="000000"/>
                <w:szCs w:val="21"/>
              </w:rPr>
            </w:pPr>
            <w:r>
              <w:rPr>
                <w:color w:val="000000"/>
                <w:szCs w:val="21"/>
              </w:rPr>
              <w:t>27</w:t>
            </w:r>
          </w:p>
        </w:tc>
        <w:tc>
          <w:tcPr>
            <w:tcW w:w="0" w:type="auto"/>
            <w:noWrap w:val="0"/>
            <w:vAlign w:val="center"/>
          </w:tcPr>
          <w:p w14:paraId="621E58F7">
            <w:pPr>
              <w:jc w:val="center"/>
              <w:rPr>
                <w:rFonts w:ascii="楷体_GB2312" w:hAnsi="宋体" w:eastAsia="楷体_GB2312" w:cs="宋体"/>
                <w:color w:val="000000"/>
                <w:szCs w:val="21"/>
              </w:rPr>
            </w:pPr>
            <w:r>
              <w:rPr>
                <w:rFonts w:hint="eastAsia" w:ascii="楷体_GB2312" w:eastAsia="楷体_GB2312"/>
                <w:color w:val="000000"/>
                <w:szCs w:val="21"/>
              </w:rPr>
              <w:t>学业路</w:t>
            </w:r>
          </w:p>
        </w:tc>
        <w:tc>
          <w:tcPr>
            <w:tcW w:w="0" w:type="auto"/>
            <w:noWrap w:val="0"/>
            <w:vAlign w:val="center"/>
          </w:tcPr>
          <w:p w14:paraId="01E8527D">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41FB254D">
            <w:pPr>
              <w:jc w:val="center"/>
              <w:rPr>
                <w:color w:val="000000"/>
                <w:szCs w:val="21"/>
              </w:rPr>
            </w:pPr>
            <w:r>
              <w:rPr>
                <w:color w:val="000000"/>
                <w:szCs w:val="21"/>
              </w:rPr>
              <w:t>0.4</w:t>
            </w:r>
          </w:p>
        </w:tc>
        <w:tc>
          <w:tcPr>
            <w:tcW w:w="0" w:type="auto"/>
            <w:noWrap w:val="0"/>
            <w:vAlign w:val="center"/>
          </w:tcPr>
          <w:p w14:paraId="485C9A80">
            <w:pPr>
              <w:jc w:val="center"/>
              <w:rPr>
                <w:color w:val="000000"/>
                <w:szCs w:val="21"/>
              </w:rPr>
            </w:pPr>
            <w:r>
              <w:rPr>
                <w:color w:val="000000"/>
                <w:szCs w:val="21"/>
              </w:rPr>
              <w:t>3</w:t>
            </w:r>
          </w:p>
        </w:tc>
        <w:tc>
          <w:tcPr>
            <w:tcW w:w="0" w:type="auto"/>
            <w:noWrap w:val="0"/>
            <w:vAlign w:val="center"/>
          </w:tcPr>
          <w:p w14:paraId="2ADC3E6C">
            <w:pPr>
              <w:jc w:val="center"/>
              <w:rPr>
                <w:color w:val="000000"/>
                <w:szCs w:val="21"/>
              </w:rPr>
            </w:pPr>
            <w:r>
              <w:rPr>
                <w:color w:val="000000"/>
                <w:szCs w:val="21"/>
              </w:rPr>
              <w:t>40</w:t>
            </w:r>
          </w:p>
        </w:tc>
        <w:tc>
          <w:tcPr>
            <w:tcW w:w="0" w:type="auto"/>
            <w:noWrap w:val="0"/>
            <w:vAlign w:val="center"/>
          </w:tcPr>
          <w:p w14:paraId="1AE00EBD">
            <w:pPr>
              <w:jc w:val="center"/>
              <w:rPr>
                <w:color w:val="000000"/>
                <w:szCs w:val="21"/>
              </w:rPr>
            </w:pPr>
            <w:r>
              <w:rPr>
                <w:color w:val="000000"/>
                <w:szCs w:val="21"/>
              </w:rPr>
              <w:t>180</w:t>
            </w:r>
          </w:p>
        </w:tc>
      </w:tr>
      <w:tr w14:paraId="59AA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AAFBB01">
            <w:pPr>
              <w:jc w:val="center"/>
              <w:rPr>
                <w:color w:val="000000"/>
                <w:szCs w:val="21"/>
              </w:rPr>
            </w:pPr>
            <w:r>
              <w:rPr>
                <w:color w:val="000000"/>
                <w:szCs w:val="21"/>
              </w:rPr>
              <w:t>28</w:t>
            </w:r>
          </w:p>
        </w:tc>
        <w:tc>
          <w:tcPr>
            <w:tcW w:w="0" w:type="auto"/>
            <w:noWrap w:val="0"/>
            <w:vAlign w:val="center"/>
          </w:tcPr>
          <w:p w14:paraId="6D49470B">
            <w:pPr>
              <w:jc w:val="center"/>
              <w:rPr>
                <w:rFonts w:ascii="楷体_GB2312" w:hAnsi="宋体" w:eastAsia="楷体_GB2312" w:cs="宋体"/>
                <w:color w:val="000000"/>
                <w:szCs w:val="21"/>
              </w:rPr>
            </w:pPr>
            <w:r>
              <w:rPr>
                <w:rFonts w:hint="eastAsia" w:ascii="楷体_GB2312" w:eastAsia="楷体_GB2312"/>
                <w:color w:val="000000"/>
                <w:szCs w:val="21"/>
              </w:rPr>
              <w:t>生活路</w:t>
            </w:r>
          </w:p>
        </w:tc>
        <w:tc>
          <w:tcPr>
            <w:tcW w:w="0" w:type="auto"/>
            <w:noWrap w:val="0"/>
            <w:vAlign w:val="center"/>
          </w:tcPr>
          <w:p w14:paraId="3C02DDCB">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56EAF84C">
            <w:pPr>
              <w:jc w:val="center"/>
              <w:rPr>
                <w:color w:val="000000"/>
                <w:szCs w:val="21"/>
              </w:rPr>
            </w:pPr>
            <w:r>
              <w:rPr>
                <w:color w:val="000000"/>
                <w:szCs w:val="21"/>
              </w:rPr>
              <w:t>0.4</w:t>
            </w:r>
          </w:p>
        </w:tc>
        <w:tc>
          <w:tcPr>
            <w:tcW w:w="0" w:type="auto"/>
            <w:noWrap w:val="0"/>
            <w:vAlign w:val="center"/>
          </w:tcPr>
          <w:p w14:paraId="307664BA">
            <w:pPr>
              <w:jc w:val="center"/>
              <w:rPr>
                <w:color w:val="000000"/>
                <w:szCs w:val="21"/>
              </w:rPr>
            </w:pPr>
            <w:r>
              <w:rPr>
                <w:color w:val="000000"/>
                <w:szCs w:val="21"/>
              </w:rPr>
              <w:t>3</w:t>
            </w:r>
          </w:p>
        </w:tc>
        <w:tc>
          <w:tcPr>
            <w:tcW w:w="0" w:type="auto"/>
            <w:noWrap w:val="0"/>
            <w:vAlign w:val="center"/>
          </w:tcPr>
          <w:p w14:paraId="329F9BFA">
            <w:pPr>
              <w:jc w:val="center"/>
              <w:rPr>
                <w:color w:val="000000"/>
                <w:szCs w:val="21"/>
              </w:rPr>
            </w:pPr>
            <w:r>
              <w:rPr>
                <w:color w:val="000000"/>
                <w:szCs w:val="21"/>
              </w:rPr>
              <w:t>40</w:t>
            </w:r>
          </w:p>
        </w:tc>
        <w:tc>
          <w:tcPr>
            <w:tcW w:w="0" w:type="auto"/>
            <w:noWrap w:val="0"/>
            <w:vAlign w:val="center"/>
          </w:tcPr>
          <w:p w14:paraId="67C10EA4">
            <w:pPr>
              <w:jc w:val="center"/>
              <w:rPr>
                <w:color w:val="000000"/>
                <w:szCs w:val="21"/>
              </w:rPr>
            </w:pPr>
            <w:r>
              <w:rPr>
                <w:color w:val="000000"/>
                <w:szCs w:val="21"/>
              </w:rPr>
              <w:t>180</w:t>
            </w:r>
          </w:p>
        </w:tc>
      </w:tr>
      <w:tr w14:paraId="1C6C4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AC1B2A7">
            <w:pPr>
              <w:jc w:val="center"/>
              <w:rPr>
                <w:color w:val="000000"/>
                <w:szCs w:val="21"/>
              </w:rPr>
            </w:pPr>
            <w:r>
              <w:rPr>
                <w:color w:val="000000"/>
                <w:szCs w:val="21"/>
              </w:rPr>
              <w:t>29</w:t>
            </w:r>
          </w:p>
        </w:tc>
        <w:tc>
          <w:tcPr>
            <w:tcW w:w="0" w:type="auto"/>
            <w:noWrap w:val="0"/>
            <w:vAlign w:val="center"/>
          </w:tcPr>
          <w:p w14:paraId="0450DC27">
            <w:pPr>
              <w:jc w:val="center"/>
              <w:rPr>
                <w:rFonts w:ascii="楷体_GB2312" w:hAnsi="宋体" w:eastAsia="楷体_GB2312" w:cs="宋体"/>
                <w:color w:val="000000"/>
                <w:szCs w:val="21"/>
              </w:rPr>
            </w:pPr>
            <w:r>
              <w:rPr>
                <w:rFonts w:hint="eastAsia" w:ascii="楷体_GB2312" w:eastAsia="楷体_GB2312"/>
                <w:color w:val="000000"/>
                <w:szCs w:val="21"/>
              </w:rPr>
              <w:t>滨河东路</w:t>
            </w:r>
          </w:p>
        </w:tc>
        <w:tc>
          <w:tcPr>
            <w:tcW w:w="0" w:type="auto"/>
            <w:noWrap w:val="0"/>
            <w:vAlign w:val="center"/>
          </w:tcPr>
          <w:p w14:paraId="2C6253D6">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052C7743">
            <w:pPr>
              <w:jc w:val="center"/>
              <w:rPr>
                <w:color w:val="000000"/>
                <w:szCs w:val="21"/>
              </w:rPr>
            </w:pPr>
            <w:r>
              <w:rPr>
                <w:color w:val="000000"/>
                <w:szCs w:val="21"/>
              </w:rPr>
              <w:t>0.4</w:t>
            </w:r>
          </w:p>
        </w:tc>
        <w:tc>
          <w:tcPr>
            <w:tcW w:w="0" w:type="auto"/>
            <w:noWrap w:val="0"/>
            <w:vAlign w:val="center"/>
          </w:tcPr>
          <w:p w14:paraId="27747BF8">
            <w:pPr>
              <w:jc w:val="center"/>
              <w:rPr>
                <w:color w:val="000000"/>
                <w:szCs w:val="21"/>
              </w:rPr>
            </w:pPr>
            <w:r>
              <w:rPr>
                <w:color w:val="000000"/>
                <w:szCs w:val="21"/>
              </w:rPr>
              <w:t>3</w:t>
            </w:r>
          </w:p>
        </w:tc>
        <w:tc>
          <w:tcPr>
            <w:tcW w:w="0" w:type="auto"/>
            <w:noWrap w:val="0"/>
            <w:vAlign w:val="center"/>
          </w:tcPr>
          <w:p w14:paraId="73E3CDC9">
            <w:pPr>
              <w:jc w:val="center"/>
              <w:rPr>
                <w:color w:val="000000"/>
                <w:szCs w:val="21"/>
              </w:rPr>
            </w:pPr>
            <w:r>
              <w:rPr>
                <w:color w:val="000000"/>
                <w:szCs w:val="21"/>
              </w:rPr>
              <w:t>40</w:t>
            </w:r>
          </w:p>
        </w:tc>
        <w:tc>
          <w:tcPr>
            <w:tcW w:w="0" w:type="auto"/>
            <w:noWrap w:val="0"/>
            <w:vAlign w:val="center"/>
          </w:tcPr>
          <w:p w14:paraId="406492A7">
            <w:pPr>
              <w:jc w:val="center"/>
              <w:rPr>
                <w:color w:val="000000"/>
                <w:szCs w:val="21"/>
              </w:rPr>
            </w:pPr>
            <w:r>
              <w:rPr>
                <w:color w:val="000000"/>
                <w:szCs w:val="21"/>
              </w:rPr>
              <w:t>180</w:t>
            </w:r>
          </w:p>
        </w:tc>
      </w:tr>
      <w:tr w14:paraId="7757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086A2A6">
            <w:pPr>
              <w:jc w:val="center"/>
              <w:rPr>
                <w:color w:val="000000"/>
                <w:szCs w:val="21"/>
              </w:rPr>
            </w:pPr>
            <w:r>
              <w:rPr>
                <w:color w:val="000000"/>
                <w:szCs w:val="21"/>
              </w:rPr>
              <w:t>30</w:t>
            </w:r>
          </w:p>
        </w:tc>
        <w:tc>
          <w:tcPr>
            <w:tcW w:w="0" w:type="auto"/>
            <w:noWrap w:val="0"/>
            <w:vAlign w:val="center"/>
          </w:tcPr>
          <w:p w14:paraId="2A4BAA6A">
            <w:pPr>
              <w:jc w:val="center"/>
              <w:rPr>
                <w:rFonts w:ascii="楷体_GB2312" w:hAnsi="宋体" w:eastAsia="楷体_GB2312" w:cs="宋体"/>
                <w:color w:val="000000"/>
                <w:szCs w:val="21"/>
              </w:rPr>
            </w:pPr>
            <w:r>
              <w:rPr>
                <w:rFonts w:hint="eastAsia" w:ascii="楷体_GB2312" w:eastAsia="楷体_GB2312"/>
                <w:color w:val="000000"/>
                <w:szCs w:val="21"/>
              </w:rPr>
              <w:t>滨河西路</w:t>
            </w:r>
          </w:p>
        </w:tc>
        <w:tc>
          <w:tcPr>
            <w:tcW w:w="0" w:type="auto"/>
            <w:noWrap w:val="0"/>
            <w:vAlign w:val="center"/>
          </w:tcPr>
          <w:p w14:paraId="7ED3D160">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693FC662">
            <w:pPr>
              <w:jc w:val="center"/>
              <w:rPr>
                <w:color w:val="000000"/>
                <w:szCs w:val="21"/>
              </w:rPr>
            </w:pPr>
            <w:r>
              <w:rPr>
                <w:color w:val="000000"/>
                <w:szCs w:val="21"/>
              </w:rPr>
              <w:t>0.4</w:t>
            </w:r>
          </w:p>
        </w:tc>
        <w:tc>
          <w:tcPr>
            <w:tcW w:w="0" w:type="auto"/>
            <w:noWrap w:val="0"/>
            <w:vAlign w:val="center"/>
          </w:tcPr>
          <w:p w14:paraId="22651E0D">
            <w:pPr>
              <w:jc w:val="center"/>
              <w:rPr>
                <w:color w:val="000000"/>
                <w:szCs w:val="21"/>
              </w:rPr>
            </w:pPr>
            <w:r>
              <w:rPr>
                <w:color w:val="000000"/>
                <w:szCs w:val="21"/>
              </w:rPr>
              <w:t>3</w:t>
            </w:r>
          </w:p>
        </w:tc>
        <w:tc>
          <w:tcPr>
            <w:tcW w:w="0" w:type="auto"/>
            <w:noWrap w:val="0"/>
            <w:vAlign w:val="center"/>
          </w:tcPr>
          <w:p w14:paraId="5C53DFF9">
            <w:pPr>
              <w:jc w:val="center"/>
              <w:rPr>
                <w:color w:val="000000"/>
                <w:szCs w:val="21"/>
              </w:rPr>
            </w:pPr>
            <w:r>
              <w:rPr>
                <w:color w:val="000000"/>
                <w:szCs w:val="21"/>
              </w:rPr>
              <w:t>40</w:t>
            </w:r>
          </w:p>
        </w:tc>
        <w:tc>
          <w:tcPr>
            <w:tcW w:w="0" w:type="auto"/>
            <w:noWrap w:val="0"/>
            <w:vAlign w:val="center"/>
          </w:tcPr>
          <w:p w14:paraId="00AE9A8C">
            <w:pPr>
              <w:jc w:val="center"/>
              <w:rPr>
                <w:color w:val="000000"/>
                <w:szCs w:val="21"/>
              </w:rPr>
            </w:pPr>
            <w:r>
              <w:rPr>
                <w:color w:val="000000"/>
                <w:szCs w:val="21"/>
              </w:rPr>
              <w:t>180</w:t>
            </w:r>
          </w:p>
        </w:tc>
      </w:tr>
      <w:tr w14:paraId="7591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9DE162D">
            <w:pPr>
              <w:jc w:val="center"/>
              <w:rPr>
                <w:color w:val="000000"/>
                <w:szCs w:val="21"/>
              </w:rPr>
            </w:pPr>
            <w:r>
              <w:rPr>
                <w:color w:val="000000"/>
                <w:szCs w:val="21"/>
              </w:rPr>
              <w:t>31</w:t>
            </w:r>
          </w:p>
        </w:tc>
        <w:tc>
          <w:tcPr>
            <w:tcW w:w="0" w:type="auto"/>
            <w:noWrap w:val="0"/>
            <w:vAlign w:val="center"/>
          </w:tcPr>
          <w:p w14:paraId="71865907">
            <w:pPr>
              <w:jc w:val="center"/>
              <w:rPr>
                <w:rFonts w:ascii="楷体_GB2312" w:hAnsi="宋体" w:eastAsia="楷体_GB2312" w:cs="宋体"/>
                <w:color w:val="000000"/>
                <w:szCs w:val="21"/>
              </w:rPr>
            </w:pPr>
            <w:r>
              <w:rPr>
                <w:rFonts w:hint="eastAsia" w:ascii="楷体_GB2312" w:eastAsia="楷体_GB2312"/>
                <w:color w:val="000000"/>
                <w:szCs w:val="21"/>
              </w:rPr>
              <w:t>功成路</w:t>
            </w:r>
          </w:p>
        </w:tc>
        <w:tc>
          <w:tcPr>
            <w:tcW w:w="0" w:type="auto"/>
            <w:noWrap w:val="0"/>
            <w:vAlign w:val="center"/>
          </w:tcPr>
          <w:p w14:paraId="46EC76D0">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1429C2F2">
            <w:pPr>
              <w:jc w:val="center"/>
              <w:rPr>
                <w:color w:val="000000"/>
                <w:szCs w:val="21"/>
              </w:rPr>
            </w:pPr>
            <w:r>
              <w:rPr>
                <w:color w:val="000000"/>
                <w:szCs w:val="21"/>
              </w:rPr>
              <w:t>0.4</w:t>
            </w:r>
          </w:p>
        </w:tc>
        <w:tc>
          <w:tcPr>
            <w:tcW w:w="0" w:type="auto"/>
            <w:noWrap w:val="0"/>
            <w:vAlign w:val="center"/>
          </w:tcPr>
          <w:p w14:paraId="330CF4A8">
            <w:pPr>
              <w:jc w:val="center"/>
              <w:rPr>
                <w:color w:val="000000"/>
                <w:szCs w:val="21"/>
              </w:rPr>
            </w:pPr>
            <w:r>
              <w:rPr>
                <w:color w:val="000000"/>
                <w:szCs w:val="21"/>
              </w:rPr>
              <w:t>3</w:t>
            </w:r>
          </w:p>
        </w:tc>
        <w:tc>
          <w:tcPr>
            <w:tcW w:w="0" w:type="auto"/>
            <w:noWrap w:val="0"/>
            <w:vAlign w:val="center"/>
          </w:tcPr>
          <w:p w14:paraId="1B581C3B">
            <w:pPr>
              <w:jc w:val="center"/>
              <w:rPr>
                <w:color w:val="000000"/>
                <w:szCs w:val="21"/>
              </w:rPr>
            </w:pPr>
            <w:r>
              <w:rPr>
                <w:color w:val="000000"/>
                <w:szCs w:val="21"/>
              </w:rPr>
              <w:t>40</w:t>
            </w:r>
          </w:p>
        </w:tc>
        <w:tc>
          <w:tcPr>
            <w:tcW w:w="0" w:type="auto"/>
            <w:noWrap w:val="0"/>
            <w:vAlign w:val="center"/>
          </w:tcPr>
          <w:p w14:paraId="0789AD76">
            <w:pPr>
              <w:jc w:val="center"/>
              <w:rPr>
                <w:color w:val="000000"/>
                <w:szCs w:val="21"/>
              </w:rPr>
            </w:pPr>
            <w:r>
              <w:rPr>
                <w:color w:val="000000"/>
                <w:szCs w:val="21"/>
              </w:rPr>
              <w:t>180</w:t>
            </w:r>
          </w:p>
        </w:tc>
      </w:tr>
    </w:tbl>
    <w:p w14:paraId="0E1DD3F9">
      <w:pPr>
        <w:jc w:val="center"/>
        <w:rPr>
          <w:rFonts w:eastAsia="黑体"/>
          <w:sz w:val="28"/>
        </w:rPr>
      </w:pPr>
      <w:r>
        <w:rPr>
          <w:rFonts w:eastAsia="黑体"/>
          <w:sz w:val="28"/>
        </w:rPr>
        <w:t xml:space="preserve">表1-3-12  </w:t>
      </w:r>
      <w:r>
        <w:rPr>
          <w:rFonts w:hint="eastAsia" w:eastAsia="黑体"/>
          <w:sz w:val="28"/>
        </w:rPr>
        <w:t>时村镇</w:t>
      </w:r>
      <w:r>
        <w:rPr>
          <w:rFonts w:eastAsia="黑体"/>
          <w:sz w:val="28"/>
        </w:rPr>
        <w:t>镇区道路状况及其功能分及影响距离表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460"/>
        <w:gridCol w:w="1460"/>
        <w:gridCol w:w="1460"/>
        <w:gridCol w:w="879"/>
        <w:gridCol w:w="1170"/>
        <w:gridCol w:w="1460"/>
      </w:tblGrid>
      <w:tr w14:paraId="512E1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83" w:type="dxa"/>
            <w:noWrap w:val="0"/>
            <w:vAlign w:val="center"/>
          </w:tcPr>
          <w:p w14:paraId="141F7709">
            <w:pPr>
              <w:jc w:val="center"/>
              <w:rPr>
                <w:rFonts w:eastAsia="楷体_GB2312"/>
              </w:rPr>
            </w:pPr>
            <w:r>
              <w:rPr>
                <w:rFonts w:eastAsia="楷体_GB2312"/>
              </w:rPr>
              <w:t>道路编号</w:t>
            </w:r>
          </w:p>
        </w:tc>
        <w:tc>
          <w:tcPr>
            <w:tcW w:w="0" w:type="auto"/>
            <w:noWrap w:val="0"/>
            <w:vAlign w:val="center"/>
          </w:tcPr>
          <w:p w14:paraId="60F658FF">
            <w:pPr>
              <w:jc w:val="center"/>
              <w:rPr>
                <w:rFonts w:eastAsia="楷体_GB2312"/>
              </w:rPr>
            </w:pPr>
            <w:r>
              <w:rPr>
                <w:rFonts w:eastAsia="楷体_GB2312"/>
              </w:rPr>
              <w:t>道路名称</w:t>
            </w:r>
          </w:p>
        </w:tc>
        <w:tc>
          <w:tcPr>
            <w:tcW w:w="0" w:type="auto"/>
            <w:noWrap w:val="0"/>
            <w:vAlign w:val="center"/>
          </w:tcPr>
          <w:p w14:paraId="0766C0BE">
            <w:pPr>
              <w:jc w:val="center"/>
              <w:rPr>
                <w:rFonts w:eastAsia="楷体_GB2312"/>
              </w:rPr>
            </w:pPr>
            <w:r>
              <w:rPr>
                <w:rFonts w:eastAsia="楷体_GB2312"/>
              </w:rPr>
              <w:t>道路类型</w:t>
            </w:r>
          </w:p>
        </w:tc>
        <w:tc>
          <w:tcPr>
            <w:tcW w:w="0" w:type="auto"/>
            <w:noWrap w:val="0"/>
            <w:vAlign w:val="center"/>
          </w:tcPr>
          <w:p w14:paraId="6D1E0E4C">
            <w:pPr>
              <w:jc w:val="center"/>
              <w:rPr>
                <w:rFonts w:eastAsia="楷体_GB2312"/>
              </w:rPr>
            </w:pPr>
            <w:r>
              <w:rPr>
                <w:rFonts w:eastAsia="楷体_GB2312"/>
              </w:rPr>
              <w:t>作用指数</w:t>
            </w:r>
          </w:p>
        </w:tc>
        <w:tc>
          <w:tcPr>
            <w:tcW w:w="0" w:type="auto"/>
            <w:noWrap w:val="0"/>
            <w:vAlign w:val="center"/>
          </w:tcPr>
          <w:p w14:paraId="16576FD7">
            <w:pPr>
              <w:jc w:val="center"/>
              <w:rPr>
                <w:rFonts w:eastAsia="楷体_GB2312"/>
              </w:rPr>
            </w:pPr>
            <w:r>
              <w:rPr>
                <w:rFonts w:eastAsia="楷体_GB2312"/>
              </w:rPr>
              <w:t>级别</w:t>
            </w:r>
          </w:p>
        </w:tc>
        <w:tc>
          <w:tcPr>
            <w:tcW w:w="0" w:type="auto"/>
            <w:noWrap w:val="0"/>
            <w:vAlign w:val="center"/>
          </w:tcPr>
          <w:p w14:paraId="6EB5C1D0">
            <w:pPr>
              <w:jc w:val="center"/>
              <w:rPr>
                <w:rFonts w:eastAsia="楷体_GB2312"/>
              </w:rPr>
            </w:pPr>
            <w:r>
              <w:rPr>
                <w:rFonts w:eastAsia="楷体_GB2312"/>
              </w:rPr>
              <w:t>功能分</w:t>
            </w:r>
          </w:p>
        </w:tc>
        <w:tc>
          <w:tcPr>
            <w:tcW w:w="0" w:type="auto"/>
            <w:noWrap w:val="0"/>
            <w:vAlign w:val="center"/>
          </w:tcPr>
          <w:p w14:paraId="1B3BD1F0">
            <w:pPr>
              <w:jc w:val="center"/>
              <w:rPr>
                <w:rFonts w:eastAsia="楷体_GB2312"/>
              </w:rPr>
            </w:pPr>
            <w:r>
              <w:rPr>
                <w:rFonts w:eastAsia="楷体_GB2312"/>
              </w:rPr>
              <w:t>影响半径</w:t>
            </w:r>
          </w:p>
        </w:tc>
      </w:tr>
      <w:tr w14:paraId="1382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32B4720">
            <w:pPr>
              <w:jc w:val="center"/>
              <w:rPr>
                <w:color w:val="000000"/>
                <w:szCs w:val="21"/>
              </w:rPr>
            </w:pPr>
            <w:r>
              <w:rPr>
                <w:rFonts w:hint="eastAsia"/>
                <w:color w:val="000000"/>
                <w:szCs w:val="21"/>
              </w:rPr>
              <w:t>0</w:t>
            </w:r>
            <w:r>
              <w:rPr>
                <w:color w:val="000000"/>
                <w:szCs w:val="21"/>
              </w:rPr>
              <w:t>1</w:t>
            </w:r>
          </w:p>
        </w:tc>
        <w:tc>
          <w:tcPr>
            <w:tcW w:w="0" w:type="auto"/>
            <w:noWrap w:val="0"/>
            <w:vAlign w:val="center"/>
          </w:tcPr>
          <w:p w14:paraId="7015ADC9">
            <w:pPr>
              <w:jc w:val="center"/>
              <w:rPr>
                <w:rFonts w:eastAsia="楷体_GB2312"/>
              </w:rPr>
            </w:pPr>
            <w:r>
              <w:rPr>
                <w:rFonts w:hint="eastAsia" w:eastAsia="楷体_GB2312"/>
              </w:rPr>
              <w:t>时北路</w:t>
            </w:r>
          </w:p>
        </w:tc>
        <w:tc>
          <w:tcPr>
            <w:tcW w:w="0" w:type="auto"/>
            <w:noWrap w:val="0"/>
            <w:vAlign w:val="center"/>
          </w:tcPr>
          <w:p w14:paraId="52678E91">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20CC4F8D">
            <w:pPr>
              <w:jc w:val="center"/>
              <w:rPr>
                <w:color w:val="000000"/>
                <w:szCs w:val="21"/>
              </w:rPr>
            </w:pPr>
            <w:r>
              <w:rPr>
                <w:color w:val="000000"/>
                <w:szCs w:val="21"/>
              </w:rPr>
              <w:t>1</w:t>
            </w:r>
          </w:p>
        </w:tc>
        <w:tc>
          <w:tcPr>
            <w:tcW w:w="0" w:type="auto"/>
            <w:noWrap w:val="0"/>
            <w:vAlign w:val="center"/>
          </w:tcPr>
          <w:p w14:paraId="79F41DDF">
            <w:pPr>
              <w:jc w:val="center"/>
              <w:rPr>
                <w:color w:val="000000"/>
                <w:szCs w:val="21"/>
              </w:rPr>
            </w:pPr>
            <w:r>
              <w:rPr>
                <w:color w:val="000000"/>
                <w:szCs w:val="21"/>
              </w:rPr>
              <w:t>1</w:t>
            </w:r>
          </w:p>
        </w:tc>
        <w:tc>
          <w:tcPr>
            <w:tcW w:w="0" w:type="auto"/>
            <w:noWrap w:val="0"/>
            <w:vAlign w:val="center"/>
          </w:tcPr>
          <w:p w14:paraId="32BC76F2">
            <w:pPr>
              <w:jc w:val="center"/>
              <w:rPr>
                <w:color w:val="000000"/>
                <w:szCs w:val="21"/>
              </w:rPr>
            </w:pPr>
            <w:r>
              <w:rPr>
                <w:color w:val="000000"/>
                <w:szCs w:val="21"/>
              </w:rPr>
              <w:t>100</w:t>
            </w:r>
          </w:p>
        </w:tc>
        <w:tc>
          <w:tcPr>
            <w:tcW w:w="0" w:type="auto"/>
            <w:noWrap w:val="0"/>
            <w:vAlign w:val="center"/>
          </w:tcPr>
          <w:p w14:paraId="63E6BB58">
            <w:pPr>
              <w:jc w:val="center"/>
              <w:rPr>
                <w:color w:val="000000"/>
                <w:szCs w:val="21"/>
              </w:rPr>
            </w:pPr>
            <w:r>
              <w:rPr>
                <w:color w:val="000000"/>
                <w:szCs w:val="21"/>
              </w:rPr>
              <w:t>260</w:t>
            </w:r>
          </w:p>
        </w:tc>
      </w:tr>
      <w:tr w14:paraId="5539C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9A2594F">
            <w:pPr>
              <w:jc w:val="center"/>
              <w:rPr>
                <w:color w:val="000000"/>
                <w:szCs w:val="21"/>
              </w:rPr>
            </w:pPr>
            <w:r>
              <w:rPr>
                <w:rFonts w:hint="eastAsia"/>
                <w:color w:val="000000"/>
                <w:szCs w:val="21"/>
              </w:rPr>
              <w:t>0</w:t>
            </w:r>
            <w:r>
              <w:rPr>
                <w:color w:val="000000"/>
                <w:szCs w:val="21"/>
              </w:rPr>
              <w:t>2</w:t>
            </w:r>
          </w:p>
        </w:tc>
        <w:tc>
          <w:tcPr>
            <w:tcW w:w="0" w:type="auto"/>
            <w:noWrap w:val="0"/>
            <w:vAlign w:val="center"/>
          </w:tcPr>
          <w:p w14:paraId="3A58EC61">
            <w:pPr>
              <w:jc w:val="center"/>
              <w:rPr>
                <w:rFonts w:eastAsia="楷体_GB2312"/>
              </w:rPr>
            </w:pPr>
            <w:r>
              <w:rPr>
                <w:rFonts w:hint="eastAsia" w:eastAsia="楷体_GB2312"/>
              </w:rPr>
              <w:t>创新大道</w:t>
            </w:r>
          </w:p>
        </w:tc>
        <w:tc>
          <w:tcPr>
            <w:tcW w:w="0" w:type="auto"/>
            <w:noWrap w:val="0"/>
            <w:vAlign w:val="center"/>
          </w:tcPr>
          <w:p w14:paraId="7655D3F3">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3AFBC98D">
            <w:pPr>
              <w:jc w:val="center"/>
              <w:rPr>
                <w:color w:val="000000"/>
                <w:szCs w:val="21"/>
              </w:rPr>
            </w:pPr>
            <w:r>
              <w:rPr>
                <w:color w:val="000000"/>
                <w:szCs w:val="21"/>
              </w:rPr>
              <w:t>1</w:t>
            </w:r>
          </w:p>
        </w:tc>
        <w:tc>
          <w:tcPr>
            <w:tcW w:w="0" w:type="auto"/>
            <w:noWrap w:val="0"/>
            <w:vAlign w:val="center"/>
          </w:tcPr>
          <w:p w14:paraId="7AC22939">
            <w:pPr>
              <w:jc w:val="center"/>
              <w:rPr>
                <w:color w:val="000000"/>
                <w:szCs w:val="21"/>
              </w:rPr>
            </w:pPr>
            <w:r>
              <w:rPr>
                <w:color w:val="000000"/>
                <w:szCs w:val="21"/>
              </w:rPr>
              <w:t>1</w:t>
            </w:r>
          </w:p>
        </w:tc>
        <w:tc>
          <w:tcPr>
            <w:tcW w:w="0" w:type="auto"/>
            <w:noWrap w:val="0"/>
            <w:vAlign w:val="center"/>
          </w:tcPr>
          <w:p w14:paraId="4B9A20EE">
            <w:pPr>
              <w:jc w:val="center"/>
              <w:rPr>
                <w:color w:val="000000"/>
                <w:szCs w:val="21"/>
              </w:rPr>
            </w:pPr>
            <w:r>
              <w:rPr>
                <w:color w:val="000000"/>
                <w:szCs w:val="21"/>
              </w:rPr>
              <w:t>100</w:t>
            </w:r>
          </w:p>
        </w:tc>
        <w:tc>
          <w:tcPr>
            <w:tcW w:w="0" w:type="auto"/>
            <w:noWrap w:val="0"/>
            <w:vAlign w:val="center"/>
          </w:tcPr>
          <w:p w14:paraId="1A3A8B11">
            <w:pPr>
              <w:jc w:val="center"/>
              <w:rPr>
                <w:color w:val="000000"/>
                <w:szCs w:val="21"/>
              </w:rPr>
            </w:pPr>
            <w:r>
              <w:rPr>
                <w:color w:val="000000"/>
                <w:szCs w:val="21"/>
              </w:rPr>
              <w:t>260</w:t>
            </w:r>
          </w:p>
        </w:tc>
      </w:tr>
      <w:tr w14:paraId="0C99B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FDC4BB2">
            <w:pPr>
              <w:jc w:val="center"/>
              <w:rPr>
                <w:color w:val="000000"/>
                <w:szCs w:val="21"/>
              </w:rPr>
            </w:pPr>
            <w:r>
              <w:rPr>
                <w:rFonts w:hint="eastAsia"/>
                <w:color w:val="000000"/>
                <w:szCs w:val="21"/>
              </w:rPr>
              <w:t>0</w:t>
            </w:r>
            <w:r>
              <w:rPr>
                <w:color w:val="000000"/>
                <w:szCs w:val="21"/>
              </w:rPr>
              <w:t>3</w:t>
            </w:r>
          </w:p>
        </w:tc>
        <w:tc>
          <w:tcPr>
            <w:tcW w:w="0" w:type="auto"/>
            <w:noWrap w:val="0"/>
            <w:vAlign w:val="center"/>
          </w:tcPr>
          <w:p w14:paraId="3AE87C80">
            <w:pPr>
              <w:jc w:val="center"/>
              <w:rPr>
                <w:rFonts w:eastAsia="楷体_GB2312"/>
              </w:rPr>
            </w:pPr>
            <w:r>
              <w:rPr>
                <w:rFonts w:eastAsia="楷体_GB2312"/>
              </w:rPr>
              <w:t>302</w:t>
            </w:r>
            <w:r>
              <w:rPr>
                <w:rFonts w:hint="eastAsia" w:eastAsia="楷体_GB2312"/>
              </w:rPr>
              <w:t>省道</w:t>
            </w:r>
          </w:p>
        </w:tc>
        <w:tc>
          <w:tcPr>
            <w:tcW w:w="0" w:type="auto"/>
            <w:noWrap w:val="0"/>
            <w:vAlign w:val="center"/>
          </w:tcPr>
          <w:p w14:paraId="122F4B04">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7C7D014A">
            <w:pPr>
              <w:jc w:val="center"/>
              <w:rPr>
                <w:color w:val="000000"/>
                <w:szCs w:val="21"/>
              </w:rPr>
            </w:pPr>
            <w:r>
              <w:rPr>
                <w:color w:val="000000"/>
                <w:szCs w:val="21"/>
              </w:rPr>
              <w:t>1</w:t>
            </w:r>
          </w:p>
        </w:tc>
        <w:tc>
          <w:tcPr>
            <w:tcW w:w="0" w:type="auto"/>
            <w:noWrap w:val="0"/>
            <w:vAlign w:val="center"/>
          </w:tcPr>
          <w:p w14:paraId="7FC8287E">
            <w:pPr>
              <w:jc w:val="center"/>
              <w:rPr>
                <w:color w:val="000000"/>
                <w:szCs w:val="21"/>
              </w:rPr>
            </w:pPr>
            <w:r>
              <w:rPr>
                <w:color w:val="000000"/>
                <w:szCs w:val="21"/>
              </w:rPr>
              <w:t>1</w:t>
            </w:r>
          </w:p>
        </w:tc>
        <w:tc>
          <w:tcPr>
            <w:tcW w:w="0" w:type="auto"/>
            <w:noWrap w:val="0"/>
            <w:vAlign w:val="center"/>
          </w:tcPr>
          <w:p w14:paraId="27824890">
            <w:pPr>
              <w:jc w:val="center"/>
              <w:rPr>
                <w:color w:val="000000"/>
                <w:szCs w:val="21"/>
              </w:rPr>
            </w:pPr>
            <w:r>
              <w:rPr>
                <w:color w:val="000000"/>
                <w:szCs w:val="21"/>
              </w:rPr>
              <w:t>100</w:t>
            </w:r>
          </w:p>
        </w:tc>
        <w:tc>
          <w:tcPr>
            <w:tcW w:w="0" w:type="auto"/>
            <w:noWrap w:val="0"/>
            <w:vAlign w:val="center"/>
          </w:tcPr>
          <w:p w14:paraId="2EAB4E09">
            <w:pPr>
              <w:jc w:val="center"/>
              <w:rPr>
                <w:color w:val="000000"/>
                <w:szCs w:val="21"/>
              </w:rPr>
            </w:pPr>
            <w:r>
              <w:rPr>
                <w:color w:val="000000"/>
                <w:szCs w:val="21"/>
              </w:rPr>
              <w:t>260</w:t>
            </w:r>
          </w:p>
        </w:tc>
      </w:tr>
      <w:tr w14:paraId="1C77F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3B9AF1F">
            <w:pPr>
              <w:jc w:val="center"/>
              <w:rPr>
                <w:color w:val="000000"/>
                <w:szCs w:val="21"/>
              </w:rPr>
            </w:pPr>
            <w:r>
              <w:rPr>
                <w:rFonts w:hint="eastAsia"/>
                <w:color w:val="000000"/>
                <w:szCs w:val="21"/>
              </w:rPr>
              <w:t>0</w:t>
            </w:r>
            <w:r>
              <w:rPr>
                <w:color w:val="000000"/>
                <w:szCs w:val="21"/>
              </w:rPr>
              <w:t>4</w:t>
            </w:r>
          </w:p>
        </w:tc>
        <w:tc>
          <w:tcPr>
            <w:tcW w:w="0" w:type="auto"/>
            <w:noWrap w:val="0"/>
            <w:vAlign w:val="center"/>
          </w:tcPr>
          <w:p w14:paraId="227B65E7">
            <w:pPr>
              <w:jc w:val="center"/>
              <w:rPr>
                <w:rFonts w:eastAsia="楷体_GB2312"/>
              </w:rPr>
            </w:pPr>
            <w:r>
              <w:rPr>
                <w:rFonts w:hint="eastAsia" w:eastAsia="楷体_GB2312"/>
              </w:rPr>
              <w:t>环城南路</w:t>
            </w:r>
          </w:p>
        </w:tc>
        <w:tc>
          <w:tcPr>
            <w:tcW w:w="0" w:type="auto"/>
            <w:noWrap w:val="0"/>
            <w:vAlign w:val="center"/>
          </w:tcPr>
          <w:p w14:paraId="63D97B5F">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12EF91CC">
            <w:pPr>
              <w:jc w:val="center"/>
              <w:rPr>
                <w:color w:val="000000"/>
                <w:szCs w:val="21"/>
              </w:rPr>
            </w:pPr>
            <w:r>
              <w:rPr>
                <w:color w:val="000000"/>
                <w:szCs w:val="21"/>
              </w:rPr>
              <w:t>1</w:t>
            </w:r>
          </w:p>
        </w:tc>
        <w:tc>
          <w:tcPr>
            <w:tcW w:w="0" w:type="auto"/>
            <w:noWrap w:val="0"/>
            <w:vAlign w:val="center"/>
          </w:tcPr>
          <w:p w14:paraId="67F3BB1D">
            <w:pPr>
              <w:jc w:val="center"/>
              <w:rPr>
                <w:color w:val="000000"/>
                <w:szCs w:val="21"/>
              </w:rPr>
            </w:pPr>
            <w:r>
              <w:rPr>
                <w:color w:val="000000"/>
                <w:szCs w:val="21"/>
              </w:rPr>
              <w:t>1</w:t>
            </w:r>
          </w:p>
        </w:tc>
        <w:tc>
          <w:tcPr>
            <w:tcW w:w="0" w:type="auto"/>
            <w:noWrap w:val="0"/>
            <w:vAlign w:val="center"/>
          </w:tcPr>
          <w:p w14:paraId="6CCBDCE1">
            <w:pPr>
              <w:jc w:val="center"/>
              <w:rPr>
                <w:color w:val="000000"/>
                <w:szCs w:val="21"/>
              </w:rPr>
            </w:pPr>
            <w:r>
              <w:rPr>
                <w:color w:val="000000"/>
                <w:szCs w:val="21"/>
              </w:rPr>
              <w:t>100</w:t>
            </w:r>
          </w:p>
        </w:tc>
        <w:tc>
          <w:tcPr>
            <w:tcW w:w="0" w:type="auto"/>
            <w:noWrap w:val="0"/>
            <w:vAlign w:val="center"/>
          </w:tcPr>
          <w:p w14:paraId="058649EA">
            <w:pPr>
              <w:jc w:val="center"/>
              <w:rPr>
                <w:color w:val="000000"/>
                <w:szCs w:val="21"/>
              </w:rPr>
            </w:pPr>
            <w:r>
              <w:rPr>
                <w:color w:val="000000"/>
                <w:szCs w:val="21"/>
              </w:rPr>
              <w:t>260</w:t>
            </w:r>
          </w:p>
        </w:tc>
      </w:tr>
      <w:tr w14:paraId="3EB2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B630B53">
            <w:pPr>
              <w:jc w:val="center"/>
              <w:rPr>
                <w:color w:val="000000"/>
                <w:szCs w:val="21"/>
              </w:rPr>
            </w:pPr>
            <w:r>
              <w:rPr>
                <w:rFonts w:hint="eastAsia"/>
                <w:color w:val="000000"/>
                <w:szCs w:val="21"/>
              </w:rPr>
              <w:t>0</w:t>
            </w:r>
            <w:r>
              <w:rPr>
                <w:color w:val="000000"/>
                <w:szCs w:val="21"/>
              </w:rPr>
              <w:t>5</w:t>
            </w:r>
          </w:p>
        </w:tc>
        <w:tc>
          <w:tcPr>
            <w:tcW w:w="0" w:type="auto"/>
            <w:noWrap w:val="0"/>
            <w:vAlign w:val="center"/>
          </w:tcPr>
          <w:p w14:paraId="1A855523">
            <w:pPr>
              <w:jc w:val="center"/>
              <w:rPr>
                <w:rFonts w:eastAsia="楷体_GB2312"/>
              </w:rPr>
            </w:pPr>
            <w:r>
              <w:rPr>
                <w:rFonts w:hint="eastAsia" w:eastAsia="楷体_GB2312"/>
              </w:rPr>
              <w:t>时西路</w:t>
            </w:r>
          </w:p>
        </w:tc>
        <w:tc>
          <w:tcPr>
            <w:tcW w:w="0" w:type="auto"/>
            <w:noWrap w:val="0"/>
            <w:vAlign w:val="center"/>
          </w:tcPr>
          <w:p w14:paraId="0F26E4B9">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6EEF879E">
            <w:pPr>
              <w:jc w:val="center"/>
              <w:rPr>
                <w:color w:val="000000"/>
                <w:szCs w:val="21"/>
              </w:rPr>
            </w:pPr>
            <w:r>
              <w:rPr>
                <w:color w:val="000000"/>
                <w:szCs w:val="21"/>
              </w:rPr>
              <w:t>1</w:t>
            </w:r>
          </w:p>
        </w:tc>
        <w:tc>
          <w:tcPr>
            <w:tcW w:w="0" w:type="auto"/>
            <w:noWrap w:val="0"/>
            <w:vAlign w:val="center"/>
          </w:tcPr>
          <w:p w14:paraId="66BE42F0">
            <w:pPr>
              <w:jc w:val="center"/>
              <w:rPr>
                <w:color w:val="000000"/>
                <w:szCs w:val="21"/>
              </w:rPr>
            </w:pPr>
            <w:r>
              <w:rPr>
                <w:color w:val="000000"/>
                <w:szCs w:val="21"/>
              </w:rPr>
              <w:t>1</w:t>
            </w:r>
          </w:p>
        </w:tc>
        <w:tc>
          <w:tcPr>
            <w:tcW w:w="0" w:type="auto"/>
            <w:noWrap w:val="0"/>
            <w:vAlign w:val="center"/>
          </w:tcPr>
          <w:p w14:paraId="574FE237">
            <w:pPr>
              <w:jc w:val="center"/>
              <w:rPr>
                <w:color w:val="000000"/>
                <w:szCs w:val="21"/>
              </w:rPr>
            </w:pPr>
            <w:r>
              <w:rPr>
                <w:color w:val="000000"/>
                <w:szCs w:val="21"/>
              </w:rPr>
              <w:t>100</w:t>
            </w:r>
          </w:p>
        </w:tc>
        <w:tc>
          <w:tcPr>
            <w:tcW w:w="0" w:type="auto"/>
            <w:noWrap w:val="0"/>
            <w:vAlign w:val="center"/>
          </w:tcPr>
          <w:p w14:paraId="501D92A7">
            <w:pPr>
              <w:jc w:val="center"/>
              <w:rPr>
                <w:color w:val="000000"/>
                <w:szCs w:val="21"/>
              </w:rPr>
            </w:pPr>
            <w:r>
              <w:rPr>
                <w:color w:val="000000"/>
                <w:szCs w:val="21"/>
              </w:rPr>
              <w:t>260</w:t>
            </w:r>
          </w:p>
        </w:tc>
      </w:tr>
      <w:tr w14:paraId="157D2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048968B">
            <w:pPr>
              <w:jc w:val="center"/>
              <w:rPr>
                <w:color w:val="000000"/>
                <w:szCs w:val="21"/>
              </w:rPr>
            </w:pPr>
            <w:r>
              <w:rPr>
                <w:rFonts w:hint="eastAsia"/>
                <w:color w:val="000000"/>
                <w:szCs w:val="21"/>
              </w:rPr>
              <w:t>0</w:t>
            </w:r>
            <w:r>
              <w:rPr>
                <w:color w:val="000000"/>
                <w:szCs w:val="21"/>
              </w:rPr>
              <w:t>6</w:t>
            </w:r>
          </w:p>
        </w:tc>
        <w:tc>
          <w:tcPr>
            <w:tcW w:w="0" w:type="auto"/>
            <w:noWrap w:val="0"/>
            <w:vAlign w:val="center"/>
          </w:tcPr>
          <w:p w14:paraId="5BB4C861">
            <w:pPr>
              <w:jc w:val="center"/>
              <w:rPr>
                <w:rFonts w:eastAsia="楷体_GB2312"/>
              </w:rPr>
            </w:pPr>
            <w:r>
              <w:rPr>
                <w:rFonts w:hint="eastAsia" w:eastAsia="楷体_GB2312"/>
              </w:rPr>
              <w:t>时东路</w:t>
            </w:r>
          </w:p>
        </w:tc>
        <w:tc>
          <w:tcPr>
            <w:tcW w:w="0" w:type="auto"/>
            <w:noWrap w:val="0"/>
            <w:vAlign w:val="center"/>
          </w:tcPr>
          <w:p w14:paraId="2FFF223E">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28B769B3">
            <w:pPr>
              <w:jc w:val="center"/>
              <w:rPr>
                <w:color w:val="000000"/>
                <w:szCs w:val="21"/>
              </w:rPr>
            </w:pPr>
            <w:r>
              <w:rPr>
                <w:color w:val="000000"/>
                <w:szCs w:val="21"/>
              </w:rPr>
              <w:t>1</w:t>
            </w:r>
          </w:p>
        </w:tc>
        <w:tc>
          <w:tcPr>
            <w:tcW w:w="0" w:type="auto"/>
            <w:noWrap w:val="0"/>
            <w:vAlign w:val="center"/>
          </w:tcPr>
          <w:p w14:paraId="6905AF2D">
            <w:pPr>
              <w:jc w:val="center"/>
              <w:rPr>
                <w:color w:val="000000"/>
                <w:szCs w:val="21"/>
              </w:rPr>
            </w:pPr>
            <w:r>
              <w:rPr>
                <w:color w:val="000000"/>
                <w:szCs w:val="21"/>
              </w:rPr>
              <w:t>1</w:t>
            </w:r>
          </w:p>
        </w:tc>
        <w:tc>
          <w:tcPr>
            <w:tcW w:w="0" w:type="auto"/>
            <w:noWrap w:val="0"/>
            <w:vAlign w:val="center"/>
          </w:tcPr>
          <w:p w14:paraId="1A03ABA6">
            <w:pPr>
              <w:jc w:val="center"/>
              <w:rPr>
                <w:color w:val="000000"/>
                <w:szCs w:val="21"/>
              </w:rPr>
            </w:pPr>
            <w:r>
              <w:rPr>
                <w:color w:val="000000"/>
                <w:szCs w:val="21"/>
              </w:rPr>
              <w:t>100</w:t>
            </w:r>
          </w:p>
        </w:tc>
        <w:tc>
          <w:tcPr>
            <w:tcW w:w="0" w:type="auto"/>
            <w:noWrap w:val="0"/>
            <w:vAlign w:val="center"/>
          </w:tcPr>
          <w:p w14:paraId="09D2E786">
            <w:pPr>
              <w:jc w:val="center"/>
              <w:rPr>
                <w:color w:val="000000"/>
                <w:szCs w:val="21"/>
              </w:rPr>
            </w:pPr>
            <w:r>
              <w:rPr>
                <w:color w:val="000000"/>
                <w:szCs w:val="21"/>
              </w:rPr>
              <w:t>260</w:t>
            </w:r>
          </w:p>
        </w:tc>
      </w:tr>
      <w:tr w14:paraId="59F1D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5106B4E">
            <w:pPr>
              <w:jc w:val="center"/>
              <w:rPr>
                <w:color w:val="000000"/>
                <w:szCs w:val="21"/>
              </w:rPr>
            </w:pPr>
            <w:r>
              <w:rPr>
                <w:rFonts w:hint="eastAsia"/>
                <w:color w:val="000000"/>
                <w:szCs w:val="21"/>
              </w:rPr>
              <w:t>0</w:t>
            </w:r>
            <w:r>
              <w:rPr>
                <w:color w:val="000000"/>
                <w:szCs w:val="21"/>
              </w:rPr>
              <w:t>7</w:t>
            </w:r>
          </w:p>
        </w:tc>
        <w:tc>
          <w:tcPr>
            <w:tcW w:w="0" w:type="auto"/>
            <w:noWrap w:val="0"/>
            <w:vAlign w:val="center"/>
          </w:tcPr>
          <w:p w14:paraId="496C1BA1">
            <w:pPr>
              <w:jc w:val="center"/>
              <w:rPr>
                <w:rFonts w:eastAsia="楷体_GB2312"/>
              </w:rPr>
            </w:pPr>
            <w:r>
              <w:rPr>
                <w:rFonts w:hint="eastAsia" w:eastAsia="楷体_GB2312"/>
              </w:rPr>
              <w:t>环城北路</w:t>
            </w:r>
          </w:p>
        </w:tc>
        <w:tc>
          <w:tcPr>
            <w:tcW w:w="0" w:type="auto"/>
            <w:noWrap w:val="0"/>
            <w:vAlign w:val="center"/>
          </w:tcPr>
          <w:p w14:paraId="4AEDC6C1">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5442DA7E">
            <w:pPr>
              <w:jc w:val="center"/>
              <w:rPr>
                <w:color w:val="000000"/>
                <w:szCs w:val="21"/>
              </w:rPr>
            </w:pPr>
            <w:r>
              <w:rPr>
                <w:color w:val="000000"/>
                <w:szCs w:val="21"/>
              </w:rPr>
              <w:t>0.7</w:t>
            </w:r>
          </w:p>
        </w:tc>
        <w:tc>
          <w:tcPr>
            <w:tcW w:w="0" w:type="auto"/>
            <w:noWrap w:val="0"/>
            <w:vAlign w:val="center"/>
          </w:tcPr>
          <w:p w14:paraId="3B81C887">
            <w:pPr>
              <w:jc w:val="center"/>
              <w:rPr>
                <w:color w:val="000000"/>
                <w:szCs w:val="21"/>
              </w:rPr>
            </w:pPr>
            <w:r>
              <w:rPr>
                <w:color w:val="000000"/>
                <w:szCs w:val="21"/>
              </w:rPr>
              <w:t>2</w:t>
            </w:r>
          </w:p>
        </w:tc>
        <w:tc>
          <w:tcPr>
            <w:tcW w:w="0" w:type="auto"/>
            <w:noWrap w:val="0"/>
            <w:vAlign w:val="center"/>
          </w:tcPr>
          <w:p w14:paraId="76CD2FB6">
            <w:pPr>
              <w:jc w:val="center"/>
              <w:rPr>
                <w:color w:val="000000"/>
                <w:szCs w:val="21"/>
              </w:rPr>
            </w:pPr>
            <w:r>
              <w:rPr>
                <w:color w:val="000000"/>
                <w:szCs w:val="21"/>
              </w:rPr>
              <w:t>70</w:t>
            </w:r>
          </w:p>
        </w:tc>
        <w:tc>
          <w:tcPr>
            <w:tcW w:w="0" w:type="auto"/>
            <w:noWrap w:val="0"/>
            <w:vAlign w:val="center"/>
          </w:tcPr>
          <w:p w14:paraId="044DBAEE">
            <w:pPr>
              <w:jc w:val="center"/>
              <w:rPr>
                <w:color w:val="000000"/>
                <w:szCs w:val="21"/>
              </w:rPr>
            </w:pPr>
            <w:r>
              <w:rPr>
                <w:color w:val="000000"/>
                <w:szCs w:val="21"/>
              </w:rPr>
              <w:t>220</w:t>
            </w:r>
          </w:p>
        </w:tc>
      </w:tr>
      <w:tr w14:paraId="6FD0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3E859A4">
            <w:pPr>
              <w:jc w:val="center"/>
              <w:rPr>
                <w:color w:val="000000"/>
                <w:szCs w:val="21"/>
              </w:rPr>
            </w:pPr>
            <w:r>
              <w:rPr>
                <w:rFonts w:hint="eastAsia"/>
                <w:color w:val="000000"/>
                <w:szCs w:val="21"/>
              </w:rPr>
              <w:t>0</w:t>
            </w:r>
            <w:r>
              <w:rPr>
                <w:color w:val="000000"/>
                <w:szCs w:val="21"/>
              </w:rPr>
              <w:t>8</w:t>
            </w:r>
          </w:p>
        </w:tc>
        <w:tc>
          <w:tcPr>
            <w:tcW w:w="0" w:type="auto"/>
            <w:noWrap w:val="0"/>
            <w:vAlign w:val="center"/>
          </w:tcPr>
          <w:p w14:paraId="0C53DE04">
            <w:pPr>
              <w:jc w:val="center"/>
              <w:rPr>
                <w:rFonts w:eastAsia="楷体_GB2312"/>
              </w:rPr>
            </w:pPr>
            <w:r>
              <w:rPr>
                <w:rFonts w:hint="eastAsia" w:eastAsia="楷体_GB2312"/>
              </w:rPr>
              <w:t>环城西路</w:t>
            </w:r>
          </w:p>
        </w:tc>
        <w:tc>
          <w:tcPr>
            <w:tcW w:w="0" w:type="auto"/>
            <w:noWrap w:val="0"/>
            <w:vAlign w:val="center"/>
          </w:tcPr>
          <w:p w14:paraId="45060ED3">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26A3628A">
            <w:pPr>
              <w:jc w:val="center"/>
              <w:rPr>
                <w:color w:val="000000"/>
                <w:szCs w:val="21"/>
              </w:rPr>
            </w:pPr>
            <w:r>
              <w:rPr>
                <w:color w:val="000000"/>
                <w:szCs w:val="21"/>
              </w:rPr>
              <w:t>0.7</w:t>
            </w:r>
          </w:p>
        </w:tc>
        <w:tc>
          <w:tcPr>
            <w:tcW w:w="0" w:type="auto"/>
            <w:noWrap w:val="0"/>
            <w:vAlign w:val="center"/>
          </w:tcPr>
          <w:p w14:paraId="7965A0AC">
            <w:pPr>
              <w:jc w:val="center"/>
              <w:rPr>
                <w:color w:val="000000"/>
                <w:szCs w:val="21"/>
              </w:rPr>
            </w:pPr>
            <w:r>
              <w:rPr>
                <w:color w:val="000000"/>
                <w:szCs w:val="21"/>
              </w:rPr>
              <w:t>2</w:t>
            </w:r>
          </w:p>
        </w:tc>
        <w:tc>
          <w:tcPr>
            <w:tcW w:w="0" w:type="auto"/>
            <w:noWrap w:val="0"/>
            <w:vAlign w:val="center"/>
          </w:tcPr>
          <w:p w14:paraId="719DDE9F">
            <w:pPr>
              <w:jc w:val="center"/>
              <w:rPr>
                <w:color w:val="000000"/>
                <w:szCs w:val="21"/>
              </w:rPr>
            </w:pPr>
            <w:r>
              <w:rPr>
                <w:color w:val="000000"/>
                <w:szCs w:val="21"/>
              </w:rPr>
              <w:t>70</w:t>
            </w:r>
          </w:p>
        </w:tc>
        <w:tc>
          <w:tcPr>
            <w:tcW w:w="0" w:type="auto"/>
            <w:noWrap w:val="0"/>
            <w:vAlign w:val="center"/>
          </w:tcPr>
          <w:p w14:paraId="4982D27A">
            <w:pPr>
              <w:jc w:val="center"/>
              <w:rPr>
                <w:color w:val="000000"/>
                <w:szCs w:val="21"/>
              </w:rPr>
            </w:pPr>
            <w:r>
              <w:rPr>
                <w:color w:val="000000"/>
                <w:szCs w:val="21"/>
              </w:rPr>
              <w:t>220</w:t>
            </w:r>
          </w:p>
        </w:tc>
      </w:tr>
      <w:tr w14:paraId="38B4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425D142">
            <w:pPr>
              <w:jc w:val="center"/>
              <w:rPr>
                <w:color w:val="000000"/>
                <w:szCs w:val="21"/>
              </w:rPr>
            </w:pPr>
            <w:r>
              <w:rPr>
                <w:rFonts w:hint="eastAsia"/>
                <w:color w:val="000000"/>
                <w:szCs w:val="21"/>
              </w:rPr>
              <w:t>0</w:t>
            </w:r>
            <w:r>
              <w:rPr>
                <w:color w:val="000000"/>
                <w:szCs w:val="21"/>
              </w:rPr>
              <w:t>9</w:t>
            </w:r>
          </w:p>
        </w:tc>
        <w:tc>
          <w:tcPr>
            <w:tcW w:w="0" w:type="auto"/>
            <w:noWrap w:val="0"/>
            <w:vAlign w:val="center"/>
          </w:tcPr>
          <w:p w14:paraId="3BE78B5F">
            <w:pPr>
              <w:jc w:val="center"/>
              <w:rPr>
                <w:rFonts w:eastAsia="楷体_GB2312"/>
              </w:rPr>
            </w:pPr>
            <w:r>
              <w:rPr>
                <w:rFonts w:hint="eastAsia" w:eastAsia="楷体_GB2312"/>
              </w:rPr>
              <w:t>富强路</w:t>
            </w:r>
          </w:p>
        </w:tc>
        <w:tc>
          <w:tcPr>
            <w:tcW w:w="0" w:type="auto"/>
            <w:noWrap w:val="0"/>
            <w:vAlign w:val="center"/>
          </w:tcPr>
          <w:p w14:paraId="504AD402">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62449762">
            <w:pPr>
              <w:jc w:val="center"/>
              <w:rPr>
                <w:color w:val="000000"/>
                <w:szCs w:val="21"/>
              </w:rPr>
            </w:pPr>
            <w:r>
              <w:rPr>
                <w:color w:val="000000"/>
                <w:szCs w:val="21"/>
              </w:rPr>
              <w:t>0.7</w:t>
            </w:r>
          </w:p>
        </w:tc>
        <w:tc>
          <w:tcPr>
            <w:tcW w:w="0" w:type="auto"/>
            <w:noWrap w:val="0"/>
            <w:vAlign w:val="center"/>
          </w:tcPr>
          <w:p w14:paraId="5E31AAA5">
            <w:pPr>
              <w:jc w:val="center"/>
              <w:rPr>
                <w:color w:val="000000"/>
                <w:szCs w:val="21"/>
              </w:rPr>
            </w:pPr>
            <w:r>
              <w:rPr>
                <w:color w:val="000000"/>
                <w:szCs w:val="21"/>
              </w:rPr>
              <w:t>2</w:t>
            </w:r>
          </w:p>
        </w:tc>
        <w:tc>
          <w:tcPr>
            <w:tcW w:w="0" w:type="auto"/>
            <w:noWrap w:val="0"/>
            <w:vAlign w:val="center"/>
          </w:tcPr>
          <w:p w14:paraId="674AA9D0">
            <w:pPr>
              <w:jc w:val="center"/>
              <w:rPr>
                <w:color w:val="000000"/>
                <w:szCs w:val="21"/>
              </w:rPr>
            </w:pPr>
            <w:r>
              <w:rPr>
                <w:color w:val="000000"/>
                <w:szCs w:val="21"/>
              </w:rPr>
              <w:t>70</w:t>
            </w:r>
          </w:p>
        </w:tc>
        <w:tc>
          <w:tcPr>
            <w:tcW w:w="0" w:type="auto"/>
            <w:noWrap w:val="0"/>
            <w:vAlign w:val="center"/>
          </w:tcPr>
          <w:p w14:paraId="3B811BFF">
            <w:pPr>
              <w:jc w:val="center"/>
              <w:rPr>
                <w:color w:val="000000"/>
                <w:szCs w:val="21"/>
              </w:rPr>
            </w:pPr>
            <w:r>
              <w:rPr>
                <w:color w:val="000000"/>
                <w:szCs w:val="21"/>
              </w:rPr>
              <w:t>220</w:t>
            </w:r>
          </w:p>
        </w:tc>
      </w:tr>
      <w:tr w14:paraId="0F36F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2D5DDD4">
            <w:pPr>
              <w:jc w:val="center"/>
              <w:rPr>
                <w:color w:val="000000"/>
                <w:szCs w:val="21"/>
              </w:rPr>
            </w:pPr>
            <w:r>
              <w:rPr>
                <w:color w:val="000000"/>
                <w:szCs w:val="21"/>
              </w:rPr>
              <w:t>10</w:t>
            </w:r>
          </w:p>
        </w:tc>
        <w:tc>
          <w:tcPr>
            <w:tcW w:w="0" w:type="auto"/>
            <w:noWrap w:val="0"/>
            <w:vAlign w:val="center"/>
          </w:tcPr>
          <w:p w14:paraId="602A4B82">
            <w:pPr>
              <w:jc w:val="center"/>
              <w:rPr>
                <w:rFonts w:eastAsia="楷体_GB2312"/>
              </w:rPr>
            </w:pPr>
            <w:r>
              <w:rPr>
                <w:rFonts w:hint="eastAsia" w:eastAsia="楷体_GB2312"/>
              </w:rPr>
              <w:t>政府路</w:t>
            </w:r>
          </w:p>
        </w:tc>
        <w:tc>
          <w:tcPr>
            <w:tcW w:w="0" w:type="auto"/>
            <w:noWrap w:val="0"/>
            <w:vAlign w:val="center"/>
          </w:tcPr>
          <w:p w14:paraId="4778CAC8">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66DE2E04">
            <w:pPr>
              <w:jc w:val="center"/>
              <w:rPr>
                <w:color w:val="000000"/>
                <w:szCs w:val="21"/>
              </w:rPr>
            </w:pPr>
            <w:r>
              <w:rPr>
                <w:color w:val="000000"/>
                <w:szCs w:val="21"/>
              </w:rPr>
              <w:t>0.7</w:t>
            </w:r>
          </w:p>
        </w:tc>
        <w:tc>
          <w:tcPr>
            <w:tcW w:w="0" w:type="auto"/>
            <w:noWrap w:val="0"/>
            <w:vAlign w:val="center"/>
          </w:tcPr>
          <w:p w14:paraId="5AD8911D">
            <w:pPr>
              <w:jc w:val="center"/>
              <w:rPr>
                <w:color w:val="000000"/>
                <w:szCs w:val="21"/>
              </w:rPr>
            </w:pPr>
            <w:r>
              <w:rPr>
                <w:color w:val="000000"/>
                <w:szCs w:val="21"/>
              </w:rPr>
              <w:t>2</w:t>
            </w:r>
          </w:p>
        </w:tc>
        <w:tc>
          <w:tcPr>
            <w:tcW w:w="0" w:type="auto"/>
            <w:noWrap w:val="0"/>
            <w:vAlign w:val="center"/>
          </w:tcPr>
          <w:p w14:paraId="5355A82E">
            <w:pPr>
              <w:jc w:val="center"/>
              <w:rPr>
                <w:color w:val="000000"/>
                <w:szCs w:val="21"/>
              </w:rPr>
            </w:pPr>
            <w:r>
              <w:rPr>
                <w:color w:val="000000"/>
                <w:szCs w:val="21"/>
              </w:rPr>
              <w:t>70</w:t>
            </w:r>
          </w:p>
        </w:tc>
        <w:tc>
          <w:tcPr>
            <w:tcW w:w="0" w:type="auto"/>
            <w:noWrap w:val="0"/>
            <w:vAlign w:val="center"/>
          </w:tcPr>
          <w:p w14:paraId="674502D9">
            <w:pPr>
              <w:jc w:val="center"/>
              <w:rPr>
                <w:color w:val="000000"/>
                <w:szCs w:val="21"/>
              </w:rPr>
            </w:pPr>
            <w:r>
              <w:rPr>
                <w:color w:val="000000"/>
                <w:szCs w:val="21"/>
              </w:rPr>
              <w:t>220</w:t>
            </w:r>
          </w:p>
        </w:tc>
      </w:tr>
      <w:tr w14:paraId="22ED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AEBC030">
            <w:pPr>
              <w:jc w:val="center"/>
              <w:rPr>
                <w:color w:val="000000"/>
                <w:szCs w:val="21"/>
              </w:rPr>
            </w:pPr>
            <w:r>
              <w:rPr>
                <w:color w:val="000000"/>
                <w:szCs w:val="21"/>
              </w:rPr>
              <w:t>11</w:t>
            </w:r>
          </w:p>
        </w:tc>
        <w:tc>
          <w:tcPr>
            <w:tcW w:w="0" w:type="auto"/>
            <w:noWrap w:val="0"/>
            <w:vAlign w:val="center"/>
          </w:tcPr>
          <w:p w14:paraId="05548D91">
            <w:pPr>
              <w:jc w:val="center"/>
              <w:rPr>
                <w:rFonts w:eastAsia="楷体_GB2312"/>
              </w:rPr>
            </w:pPr>
            <w:r>
              <w:rPr>
                <w:rFonts w:hint="eastAsia" w:eastAsia="楷体_GB2312"/>
              </w:rPr>
              <w:t>环城东路</w:t>
            </w:r>
          </w:p>
        </w:tc>
        <w:tc>
          <w:tcPr>
            <w:tcW w:w="0" w:type="auto"/>
            <w:noWrap w:val="0"/>
            <w:vAlign w:val="center"/>
          </w:tcPr>
          <w:p w14:paraId="71D455EC">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0C791488">
            <w:pPr>
              <w:jc w:val="center"/>
              <w:rPr>
                <w:color w:val="000000"/>
                <w:szCs w:val="21"/>
              </w:rPr>
            </w:pPr>
            <w:r>
              <w:rPr>
                <w:color w:val="000000"/>
                <w:szCs w:val="21"/>
              </w:rPr>
              <w:t>0.7</w:t>
            </w:r>
          </w:p>
        </w:tc>
        <w:tc>
          <w:tcPr>
            <w:tcW w:w="0" w:type="auto"/>
            <w:noWrap w:val="0"/>
            <w:vAlign w:val="center"/>
          </w:tcPr>
          <w:p w14:paraId="564D5E98">
            <w:pPr>
              <w:jc w:val="center"/>
              <w:rPr>
                <w:color w:val="000000"/>
                <w:szCs w:val="21"/>
              </w:rPr>
            </w:pPr>
            <w:r>
              <w:rPr>
                <w:color w:val="000000"/>
                <w:szCs w:val="21"/>
              </w:rPr>
              <w:t>2</w:t>
            </w:r>
          </w:p>
        </w:tc>
        <w:tc>
          <w:tcPr>
            <w:tcW w:w="0" w:type="auto"/>
            <w:noWrap w:val="0"/>
            <w:vAlign w:val="center"/>
          </w:tcPr>
          <w:p w14:paraId="4F15D511">
            <w:pPr>
              <w:jc w:val="center"/>
              <w:rPr>
                <w:color w:val="000000"/>
                <w:szCs w:val="21"/>
              </w:rPr>
            </w:pPr>
            <w:r>
              <w:rPr>
                <w:color w:val="000000"/>
                <w:szCs w:val="21"/>
              </w:rPr>
              <w:t>70</w:t>
            </w:r>
          </w:p>
        </w:tc>
        <w:tc>
          <w:tcPr>
            <w:tcW w:w="0" w:type="auto"/>
            <w:noWrap w:val="0"/>
            <w:vAlign w:val="center"/>
          </w:tcPr>
          <w:p w14:paraId="430F17DD">
            <w:pPr>
              <w:jc w:val="center"/>
              <w:rPr>
                <w:color w:val="000000"/>
                <w:szCs w:val="21"/>
              </w:rPr>
            </w:pPr>
            <w:r>
              <w:rPr>
                <w:color w:val="000000"/>
                <w:szCs w:val="21"/>
              </w:rPr>
              <w:t>220</w:t>
            </w:r>
          </w:p>
        </w:tc>
      </w:tr>
      <w:tr w14:paraId="0A821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D80DAEE">
            <w:pPr>
              <w:jc w:val="center"/>
              <w:rPr>
                <w:color w:val="000000"/>
                <w:szCs w:val="21"/>
              </w:rPr>
            </w:pPr>
            <w:r>
              <w:rPr>
                <w:color w:val="000000"/>
                <w:szCs w:val="21"/>
              </w:rPr>
              <w:t>12</w:t>
            </w:r>
          </w:p>
        </w:tc>
        <w:tc>
          <w:tcPr>
            <w:tcW w:w="0" w:type="auto"/>
            <w:noWrap w:val="0"/>
            <w:vAlign w:val="center"/>
          </w:tcPr>
          <w:p w14:paraId="67D11247">
            <w:pPr>
              <w:jc w:val="center"/>
              <w:rPr>
                <w:rFonts w:eastAsia="楷体_GB2312"/>
              </w:rPr>
            </w:pPr>
            <w:r>
              <w:rPr>
                <w:rFonts w:hint="eastAsia" w:eastAsia="楷体_GB2312"/>
              </w:rPr>
              <w:t>学府路</w:t>
            </w:r>
          </w:p>
        </w:tc>
        <w:tc>
          <w:tcPr>
            <w:tcW w:w="0" w:type="auto"/>
            <w:noWrap w:val="0"/>
            <w:vAlign w:val="center"/>
          </w:tcPr>
          <w:p w14:paraId="62946DE3">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0FF0CAEA">
            <w:pPr>
              <w:jc w:val="center"/>
              <w:rPr>
                <w:color w:val="000000"/>
                <w:szCs w:val="21"/>
              </w:rPr>
            </w:pPr>
            <w:r>
              <w:rPr>
                <w:color w:val="000000"/>
                <w:szCs w:val="21"/>
              </w:rPr>
              <w:t>0.4</w:t>
            </w:r>
          </w:p>
        </w:tc>
        <w:tc>
          <w:tcPr>
            <w:tcW w:w="0" w:type="auto"/>
            <w:noWrap w:val="0"/>
            <w:vAlign w:val="center"/>
          </w:tcPr>
          <w:p w14:paraId="661D47D6">
            <w:pPr>
              <w:jc w:val="center"/>
              <w:rPr>
                <w:color w:val="000000"/>
                <w:szCs w:val="21"/>
              </w:rPr>
            </w:pPr>
            <w:r>
              <w:rPr>
                <w:color w:val="000000"/>
                <w:szCs w:val="21"/>
              </w:rPr>
              <w:t>3</w:t>
            </w:r>
          </w:p>
        </w:tc>
        <w:tc>
          <w:tcPr>
            <w:tcW w:w="0" w:type="auto"/>
            <w:noWrap w:val="0"/>
            <w:vAlign w:val="center"/>
          </w:tcPr>
          <w:p w14:paraId="2489FF0C">
            <w:pPr>
              <w:jc w:val="center"/>
              <w:rPr>
                <w:color w:val="000000"/>
                <w:szCs w:val="21"/>
              </w:rPr>
            </w:pPr>
            <w:r>
              <w:rPr>
                <w:color w:val="000000"/>
                <w:szCs w:val="21"/>
              </w:rPr>
              <w:t>40</w:t>
            </w:r>
          </w:p>
        </w:tc>
        <w:tc>
          <w:tcPr>
            <w:tcW w:w="0" w:type="auto"/>
            <w:noWrap w:val="0"/>
            <w:vAlign w:val="center"/>
          </w:tcPr>
          <w:p w14:paraId="2A3F4F02">
            <w:pPr>
              <w:jc w:val="center"/>
              <w:rPr>
                <w:color w:val="000000"/>
                <w:szCs w:val="21"/>
              </w:rPr>
            </w:pPr>
            <w:r>
              <w:rPr>
                <w:color w:val="000000"/>
                <w:szCs w:val="21"/>
              </w:rPr>
              <w:t>180</w:t>
            </w:r>
          </w:p>
        </w:tc>
      </w:tr>
      <w:tr w14:paraId="243C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246000F">
            <w:pPr>
              <w:jc w:val="center"/>
              <w:rPr>
                <w:color w:val="000000"/>
                <w:szCs w:val="21"/>
              </w:rPr>
            </w:pPr>
            <w:r>
              <w:rPr>
                <w:color w:val="000000"/>
                <w:szCs w:val="21"/>
              </w:rPr>
              <w:t>13</w:t>
            </w:r>
          </w:p>
        </w:tc>
        <w:tc>
          <w:tcPr>
            <w:tcW w:w="0" w:type="auto"/>
            <w:noWrap w:val="0"/>
            <w:vAlign w:val="center"/>
          </w:tcPr>
          <w:p w14:paraId="0234B752">
            <w:pPr>
              <w:jc w:val="center"/>
              <w:rPr>
                <w:rFonts w:eastAsia="楷体_GB2312"/>
              </w:rPr>
            </w:pPr>
            <w:r>
              <w:rPr>
                <w:rFonts w:hint="eastAsia" w:eastAsia="楷体_GB2312"/>
              </w:rPr>
              <w:t>安居路</w:t>
            </w:r>
          </w:p>
        </w:tc>
        <w:tc>
          <w:tcPr>
            <w:tcW w:w="0" w:type="auto"/>
            <w:noWrap w:val="0"/>
            <w:vAlign w:val="center"/>
          </w:tcPr>
          <w:p w14:paraId="13930127">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0F4C5DB9">
            <w:pPr>
              <w:jc w:val="center"/>
              <w:rPr>
                <w:color w:val="000000"/>
                <w:szCs w:val="21"/>
              </w:rPr>
            </w:pPr>
            <w:r>
              <w:rPr>
                <w:color w:val="000000"/>
                <w:szCs w:val="21"/>
              </w:rPr>
              <w:t>0.4</w:t>
            </w:r>
          </w:p>
        </w:tc>
        <w:tc>
          <w:tcPr>
            <w:tcW w:w="0" w:type="auto"/>
            <w:noWrap w:val="0"/>
            <w:vAlign w:val="center"/>
          </w:tcPr>
          <w:p w14:paraId="3D522CB0">
            <w:pPr>
              <w:jc w:val="center"/>
              <w:rPr>
                <w:color w:val="000000"/>
                <w:szCs w:val="21"/>
              </w:rPr>
            </w:pPr>
            <w:r>
              <w:rPr>
                <w:color w:val="000000"/>
                <w:szCs w:val="21"/>
              </w:rPr>
              <w:t>3</w:t>
            </w:r>
          </w:p>
        </w:tc>
        <w:tc>
          <w:tcPr>
            <w:tcW w:w="0" w:type="auto"/>
            <w:noWrap w:val="0"/>
            <w:vAlign w:val="center"/>
          </w:tcPr>
          <w:p w14:paraId="6E16D369">
            <w:pPr>
              <w:jc w:val="center"/>
              <w:rPr>
                <w:color w:val="000000"/>
                <w:szCs w:val="21"/>
              </w:rPr>
            </w:pPr>
            <w:r>
              <w:rPr>
                <w:color w:val="000000"/>
                <w:szCs w:val="21"/>
              </w:rPr>
              <w:t>40</w:t>
            </w:r>
          </w:p>
        </w:tc>
        <w:tc>
          <w:tcPr>
            <w:tcW w:w="0" w:type="auto"/>
            <w:noWrap w:val="0"/>
            <w:vAlign w:val="center"/>
          </w:tcPr>
          <w:p w14:paraId="3CD47B7A">
            <w:pPr>
              <w:jc w:val="center"/>
              <w:rPr>
                <w:color w:val="000000"/>
                <w:szCs w:val="21"/>
              </w:rPr>
            </w:pPr>
            <w:r>
              <w:rPr>
                <w:color w:val="000000"/>
                <w:szCs w:val="21"/>
              </w:rPr>
              <w:t>180</w:t>
            </w:r>
          </w:p>
        </w:tc>
      </w:tr>
      <w:tr w14:paraId="79D6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CD472C5">
            <w:pPr>
              <w:jc w:val="center"/>
              <w:rPr>
                <w:color w:val="000000"/>
                <w:szCs w:val="21"/>
              </w:rPr>
            </w:pPr>
            <w:r>
              <w:rPr>
                <w:color w:val="000000"/>
                <w:szCs w:val="21"/>
              </w:rPr>
              <w:t>14</w:t>
            </w:r>
          </w:p>
        </w:tc>
        <w:tc>
          <w:tcPr>
            <w:tcW w:w="0" w:type="auto"/>
            <w:noWrap w:val="0"/>
            <w:vAlign w:val="center"/>
          </w:tcPr>
          <w:p w14:paraId="749B78A4">
            <w:pPr>
              <w:jc w:val="center"/>
              <w:rPr>
                <w:rFonts w:eastAsia="楷体_GB2312"/>
              </w:rPr>
            </w:pPr>
            <w:r>
              <w:rPr>
                <w:rFonts w:hint="eastAsia" w:eastAsia="楷体_GB2312"/>
              </w:rPr>
              <w:t>时村大街</w:t>
            </w:r>
          </w:p>
        </w:tc>
        <w:tc>
          <w:tcPr>
            <w:tcW w:w="0" w:type="auto"/>
            <w:noWrap w:val="0"/>
            <w:vAlign w:val="center"/>
          </w:tcPr>
          <w:p w14:paraId="4CDB5CC8">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20D8CDD1">
            <w:pPr>
              <w:jc w:val="center"/>
              <w:rPr>
                <w:color w:val="000000"/>
                <w:szCs w:val="21"/>
              </w:rPr>
            </w:pPr>
            <w:r>
              <w:rPr>
                <w:color w:val="000000"/>
                <w:szCs w:val="21"/>
              </w:rPr>
              <w:t>0.4</w:t>
            </w:r>
          </w:p>
        </w:tc>
        <w:tc>
          <w:tcPr>
            <w:tcW w:w="0" w:type="auto"/>
            <w:noWrap w:val="0"/>
            <w:vAlign w:val="center"/>
          </w:tcPr>
          <w:p w14:paraId="0C650278">
            <w:pPr>
              <w:jc w:val="center"/>
              <w:rPr>
                <w:color w:val="000000"/>
                <w:szCs w:val="21"/>
              </w:rPr>
            </w:pPr>
            <w:r>
              <w:rPr>
                <w:color w:val="000000"/>
                <w:szCs w:val="21"/>
              </w:rPr>
              <w:t>3</w:t>
            </w:r>
          </w:p>
        </w:tc>
        <w:tc>
          <w:tcPr>
            <w:tcW w:w="0" w:type="auto"/>
            <w:noWrap w:val="0"/>
            <w:vAlign w:val="center"/>
          </w:tcPr>
          <w:p w14:paraId="0FD2FDEC">
            <w:pPr>
              <w:jc w:val="center"/>
              <w:rPr>
                <w:color w:val="000000"/>
                <w:szCs w:val="21"/>
              </w:rPr>
            </w:pPr>
            <w:r>
              <w:rPr>
                <w:color w:val="000000"/>
                <w:szCs w:val="21"/>
              </w:rPr>
              <w:t>40</w:t>
            </w:r>
          </w:p>
        </w:tc>
        <w:tc>
          <w:tcPr>
            <w:tcW w:w="0" w:type="auto"/>
            <w:noWrap w:val="0"/>
            <w:vAlign w:val="center"/>
          </w:tcPr>
          <w:p w14:paraId="65671F6C">
            <w:pPr>
              <w:jc w:val="center"/>
              <w:rPr>
                <w:color w:val="000000"/>
                <w:szCs w:val="21"/>
              </w:rPr>
            </w:pPr>
            <w:r>
              <w:rPr>
                <w:color w:val="000000"/>
                <w:szCs w:val="21"/>
              </w:rPr>
              <w:t>180</w:t>
            </w:r>
          </w:p>
        </w:tc>
      </w:tr>
      <w:tr w14:paraId="0B81F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9898A5A">
            <w:pPr>
              <w:jc w:val="center"/>
              <w:rPr>
                <w:color w:val="000000"/>
                <w:szCs w:val="21"/>
              </w:rPr>
            </w:pPr>
            <w:r>
              <w:rPr>
                <w:color w:val="000000"/>
                <w:szCs w:val="21"/>
              </w:rPr>
              <w:t>15</w:t>
            </w:r>
          </w:p>
        </w:tc>
        <w:tc>
          <w:tcPr>
            <w:tcW w:w="0" w:type="auto"/>
            <w:noWrap w:val="0"/>
            <w:vAlign w:val="center"/>
          </w:tcPr>
          <w:p w14:paraId="3D5BBCB0">
            <w:pPr>
              <w:jc w:val="center"/>
              <w:rPr>
                <w:rFonts w:eastAsia="楷体_GB2312"/>
              </w:rPr>
            </w:pPr>
            <w:r>
              <w:rPr>
                <w:rFonts w:hint="eastAsia" w:eastAsia="楷体_GB2312"/>
              </w:rPr>
              <w:t>时南路</w:t>
            </w:r>
          </w:p>
        </w:tc>
        <w:tc>
          <w:tcPr>
            <w:tcW w:w="0" w:type="auto"/>
            <w:noWrap w:val="0"/>
            <w:vAlign w:val="center"/>
          </w:tcPr>
          <w:p w14:paraId="5BD26139">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D254EB2">
            <w:pPr>
              <w:jc w:val="center"/>
              <w:rPr>
                <w:color w:val="000000"/>
                <w:szCs w:val="21"/>
              </w:rPr>
            </w:pPr>
            <w:r>
              <w:rPr>
                <w:color w:val="000000"/>
                <w:szCs w:val="21"/>
              </w:rPr>
              <w:t>0.4</w:t>
            </w:r>
          </w:p>
        </w:tc>
        <w:tc>
          <w:tcPr>
            <w:tcW w:w="0" w:type="auto"/>
            <w:noWrap w:val="0"/>
            <w:vAlign w:val="center"/>
          </w:tcPr>
          <w:p w14:paraId="742C4D7E">
            <w:pPr>
              <w:jc w:val="center"/>
              <w:rPr>
                <w:color w:val="000000"/>
                <w:szCs w:val="21"/>
              </w:rPr>
            </w:pPr>
            <w:r>
              <w:rPr>
                <w:color w:val="000000"/>
                <w:szCs w:val="21"/>
              </w:rPr>
              <w:t>3</w:t>
            </w:r>
          </w:p>
        </w:tc>
        <w:tc>
          <w:tcPr>
            <w:tcW w:w="0" w:type="auto"/>
            <w:noWrap w:val="0"/>
            <w:vAlign w:val="center"/>
          </w:tcPr>
          <w:p w14:paraId="1B1759DF">
            <w:pPr>
              <w:jc w:val="center"/>
              <w:rPr>
                <w:color w:val="000000"/>
                <w:szCs w:val="21"/>
              </w:rPr>
            </w:pPr>
            <w:r>
              <w:rPr>
                <w:color w:val="000000"/>
                <w:szCs w:val="21"/>
              </w:rPr>
              <w:t>40</w:t>
            </w:r>
          </w:p>
        </w:tc>
        <w:tc>
          <w:tcPr>
            <w:tcW w:w="0" w:type="auto"/>
            <w:noWrap w:val="0"/>
            <w:vAlign w:val="center"/>
          </w:tcPr>
          <w:p w14:paraId="774DFCD2">
            <w:pPr>
              <w:jc w:val="center"/>
              <w:rPr>
                <w:color w:val="000000"/>
                <w:szCs w:val="21"/>
              </w:rPr>
            </w:pPr>
            <w:r>
              <w:rPr>
                <w:color w:val="000000"/>
                <w:szCs w:val="21"/>
              </w:rPr>
              <w:t>180</w:t>
            </w:r>
          </w:p>
        </w:tc>
      </w:tr>
      <w:tr w14:paraId="32A2F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CFE3E86">
            <w:pPr>
              <w:jc w:val="center"/>
              <w:rPr>
                <w:color w:val="000000"/>
                <w:szCs w:val="21"/>
              </w:rPr>
            </w:pPr>
            <w:r>
              <w:rPr>
                <w:color w:val="000000"/>
                <w:szCs w:val="21"/>
              </w:rPr>
              <w:t>16</w:t>
            </w:r>
          </w:p>
        </w:tc>
        <w:tc>
          <w:tcPr>
            <w:tcW w:w="0" w:type="auto"/>
            <w:noWrap w:val="0"/>
            <w:vAlign w:val="center"/>
          </w:tcPr>
          <w:p w14:paraId="7FA31845">
            <w:pPr>
              <w:jc w:val="center"/>
              <w:rPr>
                <w:rFonts w:eastAsia="楷体_GB2312"/>
              </w:rPr>
            </w:pPr>
            <w:r>
              <w:rPr>
                <w:rFonts w:hint="eastAsia" w:eastAsia="楷体_GB2312"/>
              </w:rPr>
              <w:t>双庆河</w:t>
            </w:r>
          </w:p>
        </w:tc>
        <w:tc>
          <w:tcPr>
            <w:tcW w:w="0" w:type="auto"/>
            <w:noWrap w:val="0"/>
            <w:vAlign w:val="center"/>
          </w:tcPr>
          <w:p w14:paraId="0645EA79">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5A881F13">
            <w:pPr>
              <w:jc w:val="center"/>
              <w:rPr>
                <w:color w:val="000000"/>
                <w:szCs w:val="21"/>
              </w:rPr>
            </w:pPr>
            <w:r>
              <w:rPr>
                <w:color w:val="000000"/>
                <w:szCs w:val="21"/>
              </w:rPr>
              <w:t>0.4</w:t>
            </w:r>
          </w:p>
        </w:tc>
        <w:tc>
          <w:tcPr>
            <w:tcW w:w="0" w:type="auto"/>
            <w:noWrap w:val="0"/>
            <w:vAlign w:val="center"/>
          </w:tcPr>
          <w:p w14:paraId="72249443">
            <w:pPr>
              <w:jc w:val="center"/>
              <w:rPr>
                <w:color w:val="000000"/>
                <w:szCs w:val="21"/>
              </w:rPr>
            </w:pPr>
            <w:r>
              <w:rPr>
                <w:color w:val="000000"/>
                <w:szCs w:val="21"/>
              </w:rPr>
              <w:t>3</w:t>
            </w:r>
          </w:p>
        </w:tc>
        <w:tc>
          <w:tcPr>
            <w:tcW w:w="0" w:type="auto"/>
            <w:noWrap w:val="0"/>
            <w:vAlign w:val="center"/>
          </w:tcPr>
          <w:p w14:paraId="535C1E59">
            <w:pPr>
              <w:jc w:val="center"/>
              <w:rPr>
                <w:color w:val="000000"/>
                <w:szCs w:val="21"/>
              </w:rPr>
            </w:pPr>
            <w:r>
              <w:rPr>
                <w:color w:val="000000"/>
                <w:szCs w:val="21"/>
              </w:rPr>
              <w:t>40</w:t>
            </w:r>
          </w:p>
        </w:tc>
        <w:tc>
          <w:tcPr>
            <w:tcW w:w="0" w:type="auto"/>
            <w:noWrap w:val="0"/>
            <w:vAlign w:val="center"/>
          </w:tcPr>
          <w:p w14:paraId="2C7ABA5E">
            <w:pPr>
              <w:jc w:val="center"/>
              <w:rPr>
                <w:color w:val="000000"/>
                <w:szCs w:val="21"/>
              </w:rPr>
            </w:pPr>
            <w:r>
              <w:rPr>
                <w:color w:val="000000"/>
                <w:szCs w:val="21"/>
              </w:rPr>
              <w:t>180</w:t>
            </w:r>
          </w:p>
        </w:tc>
      </w:tr>
      <w:tr w14:paraId="7D007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45CF8CA">
            <w:pPr>
              <w:jc w:val="center"/>
              <w:rPr>
                <w:color w:val="000000"/>
                <w:szCs w:val="21"/>
              </w:rPr>
            </w:pPr>
            <w:r>
              <w:rPr>
                <w:color w:val="000000"/>
                <w:szCs w:val="21"/>
              </w:rPr>
              <w:t>17</w:t>
            </w:r>
          </w:p>
        </w:tc>
        <w:tc>
          <w:tcPr>
            <w:tcW w:w="0" w:type="auto"/>
            <w:noWrap w:val="0"/>
            <w:vAlign w:val="center"/>
          </w:tcPr>
          <w:p w14:paraId="69EB5168">
            <w:pPr>
              <w:jc w:val="center"/>
              <w:rPr>
                <w:rFonts w:eastAsia="楷体_GB2312"/>
              </w:rPr>
            </w:pPr>
            <w:r>
              <w:rPr>
                <w:rFonts w:hint="eastAsia" w:eastAsia="楷体_GB2312"/>
              </w:rPr>
              <w:t>西园路</w:t>
            </w:r>
          </w:p>
        </w:tc>
        <w:tc>
          <w:tcPr>
            <w:tcW w:w="0" w:type="auto"/>
            <w:noWrap w:val="0"/>
            <w:vAlign w:val="center"/>
          </w:tcPr>
          <w:p w14:paraId="2340B074">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10B9FD0F">
            <w:pPr>
              <w:jc w:val="center"/>
              <w:rPr>
                <w:color w:val="000000"/>
                <w:szCs w:val="21"/>
              </w:rPr>
            </w:pPr>
            <w:r>
              <w:rPr>
                <w:color w:val="000000"/>
                <w:szCs w:val="21"/>
              </w:rPr>
              <w:t>0.4</w:t>
            </w:r>
          </w:p>
        </w:tc>
        <w:tc>
          <w:tcPr>
            <w:tcW w:w="0" w:type="auto"/>
            <w:noWrap w:val="0"/>
            <w:vAlign w:val="center"/>
          </w:tcPr>
          <w:p w14:paraId="1409169D">
            <w:pPr>
              <w:jc w:val="center"/>
              <w:rPr>
                <w:color w:val="000000"/>
                <w:szCs w:val="21"/>
              </w:rPr>
            </w:pPr>
            <w:r>
              <w:rPr>
                <w:color w:val="000000"/>
                <w:szCs w:val="21"/>
              </w:rPr>
              <w:t>3</w:t>
            </w:r>
          </w:p>
        </w:tc>
        <w:tc>
          <w:tcPr>
            <w:tcW w:w="0" w:type="auto"/>
            <w:noWrap w:val="0"/>
            <w:vAlign w:val="center"/>
          </w:tcPr>
          <w:p w14:paraId="32DA8BBC">
            <w:pPr>
              <w:jc w:val="center"/>
              <w:rPr>
                <w:color w:val="000000"/>
                <w:szCs w:val="21"/>
              </w:rPr>
            </w:pPr>
            <w:r>
              <w:rPr>
                <w:color w:val="000000"/>
                <w:szCs w:val="21"/>
              </w:rPr>
              <w:t>40</w:t>
            </w:r>
          </w:p>
        </w:tc>
        <w:tc>
          <w:tcPr>
            <w:tcW w:w="0" w:type="auto"/>
            <w:noWrap w:val="0"/>
            <w:vAlign w:val="center"/>
          </w:tcPr>
          <w:p w14:paraId="70617822">
            <w:pPr>
              <w:jc w:val="center"/>
              <w:rPr>
                <w:color w:val="000000"/>
                <w:szCs w:val="21"/>
              </w:rPr>
            </w:pPr>
            <w:r>
              <w:rPr>
                <w:color w:val="000000"/>
                <w:szCs w:val="21"/>
              </w:rPr>
              <w:t>180</w:t>
            </w:r>
          </w:p>
        </w:tc>
      </w:tr>
      <w:tr w14:paraId="0F94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B946FD0">
            <w:pPr>
              <w:jc w:val="center"/>
              <w:rPr>
                <w:color w:val="000000"/>
                <w:szCs w:val="21"/>
              </w:rPr>
            </w:pPr>
            <w:r>
              <w:rPr>
                <w:color w:val="000000"/>
                <w:szCs w:val="21"/>
              </w:rPr>
              <w:t>18</w:t>
            </w:r>
          </w:p>
        </w:tc>
        <w:tc>
          <w:tcPr>
            <w:tcW w:w="0" w:type="auto"/>
            <w:noWrap w:val="0"/>
            <w:vAlign w:val="center"/>
          </w:tcPr>
          <w:p w14:paraId="5418695D">
            <w:pPr>
              <w:jc w:val="center"/>
              <w:rPr>
                <w:rFonts w:eastAsia="楷体_GB2312"/>
              </w:rPr>
            </w:pPr>
            <w:r>
              <w:rPr>
                <w:rFonts w:hint="eastAsia" w:eastAsia="楷体_GB2312"/>
              </w:rPr>
              <w:t>学苑路</w:t>
            </w:r>
          </w:p>
        </w:tc>
        <w:tc>
          <w:tcPr>
            <w:tcW w:w="0" w:type="auto"/>
            <w:noWrap w:val="0"/>
            <w:vAlign w:val="center"/>
          </w:tcPr>
          <w:p w14:paraId="17CBDF9D">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1D3BBF3F">
            <w:pPr>
              <w:jc w:val="center"/>
              <w:rPr>
                <w:color w:val="000000"/>
                <w:szCs w:val="21"/>
              </w:rPr>
            </w:pPr>
            <w:r>
              <w:rPr>
                <w:color w:val="000000"/>
                <w:szCs w:val="21"/>
              </w:rPr>
              <w:t>0.4</w:t>
            </w:r>
          </w:p>
        </w:tc>
        <w:tc>
          <w:tcPr>
            <w:tcW w:w="0" w:type="auto"/>
            <w:noWrap w:val="0"/>
            <w:vAlign w:val="center"/>
          </w:tcPr>
          <w:p w14:paraId="025E3BBA">
            <w:pPr>
              <w:jc w:val="center"/>
              <w:rPr>
                <w:color w:val="000000"/>
                <w:szCs w:val="21"/>
              </w:rPr>
            </w:pPr>
            <w:r>
              <w:rPr>
                <w:color w:val="000000"/>
                <w:szCs w:val="21"/>
              </w:rPr>
              <w:t>3</w:t>
            </w:r>
          </w:p>
        </w:tc>
        <w:tc>
          <w:tcPr>
            <w:tcW w:w="0" w:type="auto"/>
            <w:noWrap w:val="0"/>
            <w:vAlign w:val="center"/>
          </w:tcPr>
          <w:p w14:paraId="46DA7C85">
            <w:pPr>
              <w:jc w:val="center"/>
              <w:rPr>
                <w:color w:val="000000"/>
                <w:szCs w:val="21"/>
              </w:rPr>
            </w:pPr>
            <w:r>
              <w:rPr>
                <w:color w:val="000000"/>
                <w:szCs w:val="21"/>
              </w:rPr>
              <w:t>40</w:t>
            </w:r>
          </w:p>
        </w:tc>
        <w:tc>
          <w:tcPr>
            <w:tcW w:w="0" w:type="auto"/>
            <w:noWrap w:val="0"/>
            <w:vAlign w:val="center"/>
          </w:tcPr>
          <w:p w14:paraId="78C7D64C">
            <w:pPr>
              <w:jc w:val="center"/>
              <w:rPr>
                <w:color w:val="000000"/>
                <w:szCs w:val="21"/>
              </w:rPr>
            </w:pPr>
            <w:r>
              <w:rPr>
                <w:color w:val="000000"/>
                <w:szCs w:val="21"/>
              </w:rPr>
              <w:t>180</w:t>
            </w:r>
          </w:p>
        </w:tc>
      </w:tr>
    </w:tbl>
    <w:p w14:paraId="1847EA7B">
      <w:pPr>
        <w:jc w:val="center"/>
        <w:rPr>
          <w:rFonts w:eastAsia="黑体"/>
          <w:sz w:val="28"/>
        </w:rPr>
      </w:pPr>
      <w:r>
        <w:rPr>
          <w:rFonts w:eastAsia="黑体"/>
          <w:sz w:val="28"/>
        </w:rPr>
        <w:t xml:space="preserve">表1-3-13  </w:t>
      </w:r>
      <w:r>
        <w:rPr>
          <w:rFonts w:hint="eastAsia" w:eastAsia="黑体"/>
          <w:sz w:val="28"/>
        </w:rPr>
        <w:t>夹沟镇</w:t>
      </w:r>
      <w:r>
        <w:rPr>
          <w:rFonts w:eastAsia="黑体"/>
          <w:sz w:val="28"/>
        </w:rPr>
        <w:t>镇区道路状况及其功能分及影响距离表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460"/>
        <w:gridCol w:w="1460"/>
        <w:gridCol w:w="1460"/>
        <w:gridCol w:w="879"/>
        <w:gridCol w:w="1170"/>
        <w:gridCol w:w="1460"/>
      </w:tblGrid>
      <w:tr w14:paraId="51D9A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A48D15A">
            <w:pPr>
              <w:jc w:val="center"/>
              <w:rPr>
                <w:rFonts w:eastAsia="楷体_GB2312"/>
              </w:rPr>
            </w:pPr>
            <w:r>
              <w:rPr>
                <w:rFonts w:eastAsia="楷体_GB2312"/>
              </w:rPr>
              <w:t>道路编号</w:t>
            </w:r>
          </w:p>
        </w:tc>
        <w:tc>
          <w:tcPr>
            <w:tcW w:w="0" w:type="auto"/>
            <w:noWrap w:val="0"/>
            <w:vAlign w:val="center"/>
          </w:tcPr>
          <w:p w14:paraId="75C4D4C0">
            <w:pPr>
              <w:jc w:val="center"/>
              <w:rPr>
                <w:rFonts w:eastAsia="楷体_GB2312"/>
              </w:rPr>
            </w:pPr>
            <w:r>
              <w:rPr>
                <w:rFonts w:eastAsia="楷体_GB2312"/>
              </w:rPr>
              <w:t>道路名称</w:t>
            </w:r>
          </w:p>
        </w:tc>
        <w:tc>
          <w:tcPr>
            <w:tcW w:w="0" w:type="auto"/>
            <w:noWrap w:val="0"/>
            <w:vAlign w:val="center"/>
          </w:tcPr>
          <w:p w14:paraId="103207E9">
            <w:pPr>
              <w:jc w:val="center"/>
              <w:rPr>
                <w:rFonts w:eastAsia="楷体_GB2312"/>
              </w:rPr>
            </w:pPr>
            <w:r>
              <w:rPr>
                <w:rFonts w:eastAsia="楷体_GB2312"/>
              </w:rPr>
              <w:t>道路类型</w:t>
            </w:r>
          </w:p>
        </w:tc>
        <w:tc>
          <w:tcPr>
            <w:tcW w:w="0" w:type="auto"/>
            <w:noWrap w:val="0"/>
            <w:vAlign w:val="center"/>
          </w:tcPr>
          <w:p w14:paraId="39F84A17">
            <w:pPr>
              <w:jc w:val="center"/>
              <w:rPr>
                <w:rFonts w:eastAsia="楷体_GB2312"/>
              </w:rPr>
            </w:pPr>
            <w:r>
              <w:rPr>
                <w:rFonts w:eastAsia="楷体_GB2312"/>
              </w:rPr>
              <w:t>作用指数</w:t>
            </w:r>
          </w:p>
        </w:tc>
        <w:tc>
          <w:tcPr>
            <w:tcW w:w="0" w:type="auto"/>
            <w:noWrap w:val="0"/>
            <w:vAlign w:val="center"/>
          </w:tcPr>
          <w:p w14:paraId="7C6CE20A">
            <w:pPr>
              <w:jc w:val="center"/>
              <w:rPr>
                <w:rFonts w:eastAsia="楷体_GB2312"/>
              </w:rPr>
            </w:pPr>
            <w:r>
              <w:rPr>
                <w:rFonts w:eastAsia="楷体_GB2312"/>
              </w:rPr>
              <w:t>级别</w:t>
            </w:r>
          </w:p>
        </w:tc>
        <w:tc>
          <w:tcPr>
            <w:tcW w:w="0" w:type="auto"/>
            <w:noWrap w:val="0"/>
            <w:vAlign w:val="center"/>
          </w:tcPr>
          <w:p w14:paraId="3A48C3E5">
            <w:pPr>
              <w:jc w:val="center"/>
              <w:rPr>
                <w:rFonts w:eastAsia="楷体_GB2312"/>
              </w:rPr>
            </w:pPr>
            <w:r>
              <w:rPr>
                <w:rFonts w:eastAsia="楷体_GB2312"/>
              </w:rPr>
              <w:t>功能分</w:t>
            </w:r>
          </w:p>
        </w:tc>
        <w:tc>
          <w:tcPr>
            <w:tcW w:w="0" w:type="auto"/>
            <w:noWrap w:val="0"/>
            <w:vAlign w:val="center"/>
          </w:tcPr>
          <w:p w14:paraId="12EBFD36">
            <w:pPr>
              <w:jc w:val="center"/>
              <w:rPr>
                <w:rFonts w:eastAsia="楷体_GB2312"/>
              </w:rPr>
            </w:pPr>
            <w:r>
              <w:rPr>
                <w:rFonts w:eastAsia="楷体_GB2312"/>
              </w:rPr>
              <w:t>影响半径</w:t>
            </w:r>
          </w:p>
        </w:tc>
      </w:tr>
      <w:tr w14:paraId="1194E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F4FD330">
            <w:pPr>
              <w:jc w:val="center"/>
              <w:rPr>
                <w:color w:val="000000"/>
                <w:szCs w:val="21"/>
              </w:rPr>
            </w:pPr>
            <w:r>
              <w:rPr>
                <w:rFonts w:hint="eastAsia"/>
                <w:color w:val="000000"/>
                <w:szCs w:val="21"/>
              </w:rPr>
              <w:t>0</w:t>
            </w:r>
            <w:r>
              <w:rPr>
                <w:color w:val="000000"/>
                <w:szCs w:val="21"/>
              </w:rPr>
              <w:t>1</w:t>
            </w:r>
          </w:p>
        </w:tc>
        <w:tc>
          <w:tcPr>
            <w:tcW w:w="0" w:type="auto"/>
            <w:noWrap w:val="0"/>
            <w:vAlign w:val="center"/>
          </w:tcPr>
          <w:p w14:paraId="214F97E7">
            <w:pPr>
              <w:jc w:val="center"/>
              <w:rPr>
                <w:rFonts w:eastAsia="楷体_GB2312"/>
              </w:rPr>
            </w:pPr>
            <w:r>
              <w:rPr>
                <w:rFonts w:eastAsia="楷体_GB2312"/>
              </w:rPr>
              <w:t>206</w:t>
            </w:r>
            <w:r>
              <w:rPr>
                <w:rFonts w:hint="eastAsia" w:eastAsia="楷体_GB2312"/>
              </w:rPr>
              <w:t>国道</w:t>
            </w:r>
          </w:p>
        </w:tc>
        <w:tc>
          <w:tcPr>
            <w:tcW w:w="0" w:type="auto"/>
            <w:noWrap w:val="0"/>
            <w:vAlign w:val="center"/>
          </w:tcPr>
          <w:p w14:paraId="2BDB7CB5">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631FBCE5">
            <w:pPr>
              <w:jc w:val="center"/>
              <w:rPr>
                <w:color w:val="000000"/>
                <w:szCs w:val="21"/>
              </w:rPr>
            </w:pPr>
            <w:r>
              <w:rPr>
                <w:color w:val="000000"/>
                <w:szCs w:val="21"/>
              </w:rPr>
              <w:t>1</w:t>
            </w:r>
          </w:p>
        </w:tc>
        <w:tc>
          <w:tcPr>
            <w:tcW w:w="0" w:type="auto"/>
            <w:noWrap w:val="0"/>
            <w:vAlign w:val="center"/>
          </w:tcPr>
          <w:p w14:paraId="4CB1AD88">
            <w:pPr>
              <w:jc w:val="center"/>
              <w:rPr>
                <w:color w:val="000000"/>
                <w:szCs w:val="21"/>
              </w:rPr>
            </w:pPr>
            <w:r>
              <w:rPr>
                <w:color w:val="000000"/>
                <w:szCs w:val="21"/>
              </w:rPr>
              <w:t>1</w:t>
            </w:r>
          </w:p>
        </w:tc>
        <w:tc>
          <w:tcPr>
            <w:tcW w:w="0" w:type="auto"/>
            <w:noWrap w:val="0"/>
            <w:vAlign w:val="center"/>
          </w:tcPr>
          <w:p w14:paraId="073B7F22">
            <w:pPr>
              <w:jc w:val="center"/>
              <w:rPr>
                <w:color w:val="000000"/>
                <w:szCs w:val="21"/>
              </w:rPr>
            </w:pPr>
            <w:r>
              <w:rPr>
                <w:color w:val="000000"/>
                <w:szCs w:val="21"/>
              </w:rPr>
              <w:t>100</w:t>
            </w:r>
          </w:p>
        </w:tc>
        <w:tc>
          <w:tcPr>
            <w:tcW w:w="0" w:type="auto"/>
            <w:noWrap w:val="0"/>
            <w:vAlign w:val="center"/>
          </w:tcPr>
          <w:p w14:paraId="0CAFD0BE">
            <w:pPr>
              <w:jc w:val="center"/>
              <w:rPr>
                <w:color w:val="000000"/>
                <w:szCs w:val="21"/>
              </w:rPr>
            </w:pPr>
            <w:r>
              <w:rPr>
                <w:color w:val="000000"/>
                <w:szCs w:val="21"/>
              </w:rPr>
              <w:t>260</w:t>
            </w:r>
          </w:p>
        </w:tc>
      </w:tr>
      <w:tr w14:paraId="7EF83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200388C">
            <w:pPr>
              <w:jc w:val="center"/>
              <w:rPr>
                <w:color w:val="000000"/>
                <w:szCs w:val="21"/>
              </w:rPr>
            </w:pPr>
            <w:r>
              <w:rPr>
                <w:rFonts w:hint="eastAsia"/>
                <w:color w:val="000000"/>
                <w:szCs w:val="21"/>
              </w:rPr>
              <w:t>0</w:t>
            </w:r>
            <w:r>
              <w:rPr>
                <w:color w:val="000000"/>
                <w:szCs w:val="21"/>
              </w:rPr>
              <w:t>2</w:t>
            </w:r>
          </w:p>
        </w:tc>
        <w:tc>
          <w:tcPr>
            <w:tcW w:w="0" w:type="auto"/>
            <w:noWrap w:val="0"/>
            <w:vAlign w:val="center"/>
          </w:tcPr>
          <w:p w14:paraId="6740DFF9">
            <w:pPr>
              <w:jc w:val="center"/>
              <w:rPr>
                <w:rFonts w:eastAsia="楷体_GB2312"/>
              </w:rPr>
            </w:pPr>
            <w:r>
              <w:rPr>
                <w:rFonts w:hint="eastAsia" w:eastAsia="楷体_GB2312"/>
              </w:rPr>
              <w:t>沿河路</w:t>
            </w:r>
          </w:p>
        </w:tc>
        <w:tc>
          <w:tcPr>
            <w:tcW w:w="0" w:type="auto"/>
            <w:noWrap w:val="0"/>
            <w:vAlign w:val="center"/>
          </w:tcPr>
          <w:p w14:paraId="5512B543">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11DA2E96">
            <w:pPr>
              <w:jc w:val="center"/>
              <w:rPr>
                <w:color w:val="000000"/>
                <w:szCs w:val="21"/>
              </w:rPr>
            </w:pPr>
            <w:r>
              <w:rPr>
                <w:color w:val="000000"/>
                <w:szCs w:val="21"/>
              </w:rPr>
              <w:t>1</w:t>
            </w:r>
          </w:p>
        </w:tc>
        <w:tc>
          <w:tcPr>
            <w:tcW w:w="0" w:type="auto"/>
            <w:noWrap w:val="0"/>
            <w:vAlign w:val="center"/>
          </w:tcPr>
          <w:p w14:paraId="3C14C23A">
            <w:pPr>
              <w:jc w:val="center"/>
              <w:rPr>
                <w:color w:val="000000"/>
                <w:szCs w:val="21"/>
              </w:rPr>
            </w:pPr>
            <w:r>
              <w:rPr>
                <w:color w:val="000000"/>
                <w:szCs w:val="21"/>
              </w:rPr>
              <w:t>1</w:t>
            </w:r>
          </w:p>
        </w:tc>
        <w:tc>
          <w:tcPr>
            <w:tcW w:w="0" w:type="auto"/>
            <w:noWrap w:val="0"/>
            <w:vAlign w:val="center"/>
          </w:tcPr>
          <w:p w14:paraId="11FD43F9">
            <w:pPr>
              <w:jc w:val="center"/>
              <w:rPr>
                <w:color w:val="000000"/>
                <w:szCs w:val="21"/>
              </w:rPr>
            </w:pPr>
            <w:r>
              <w:rPr>
                <w:color w:val="000000"/>
                <w:szCs w:val="21"/>
              </w:rPr>
              <w:t>100</w:t>
            </w:r>
          </w:p>
        </w:tc>
        <w:tc>
          <w:tcPr>
            <w:tcW w:w="0" w:type="auto"/>
            <w:noWrap w:val="0"/>
            <w:vAlign w:val="center"/>
          </w:tcPr>
          <w:p w14:paraId="1B57966A">
            <w:pPr>
              <w:jc w:val="center"/>
              <w:rPr>
                <w:color w:val="000000"/>
                <w:szCs w:val="21"/>
              </w:rPr>
            </w:pPr>
            <w:r>
              <w:rPr>
                <w:color w:val="000000"/>
                <w:szCs w:val="21"/>
              </w:rPr>
              <w:t>260</w:t>
            </w:r>
          </w:p>
        </w:tc>
      </w:tr>
      <w:tr w14:paraId="08E8C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477021B">
            <w:pPr>
              <w:jc w:val="center"/>
              <w:rPr>
                <w:color w:val="000000"/>
                <w:szCs w:val="21"/>
              </w:rPr>
            </w:pPr>
            <w:r>
              <w:rPr>
                <w:rFonts w:hint="eastAsia"/>
                <w:color w:val="000000"/>
                <w:szCs w:val="21"/>
              </w:rPr>
              <w:t>0</w:t>
            </w:r>
            <w:r>
              <w:rPr>
                <w:color w:val="000000"/>
                <w:szCs w:val="21"/>
              </w:rPr>
              <w:t>3</w:t>
            </w:r>
          </w:p>
        </w:tc>
        <w:tc>
          <w:tcPr>
            <w:tcW w:w="0" w:type="auto"/>
            <w:noWrap w:val="0"/>
            <w:vAlign w:val="center"/>
          </w:tcPr>
          <w:p w14:paraId="7C02C264">
            <w:pPr>
              <w:jc w:val="center"/>
              <w:rPr>
                <w:rFonts w:eastAsia="楷体_GB2312"/>
              </w:rPr>
            </w:pPr>
            <w:r>
              <w:rPr>
                <w:rFonts w:eastAsia="楷体_GB2312"/>
              </w:rPr>
              <w:t>031</w:t>
            </w:r>
            <w:r>
              <w:rPr>
                <w:rFonts w:hint="eastAsia" w:eastAsia="楷体_GB2312"/>
              </w:rPr>
              <w:t>县道</w:t>
            </w:r>
          </w:p>
        </w:tc>
        <w:tc>
          <w:tcPr>
            <w:tcW w:w="0" w:type="auto"/>
            <w:noWrap w:val="0"/>
            <w:vAlign w:val="center"/>
          </w:tcPr>
          <w:p w14:paraId="5E0C2033">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625F898F">
            <w:pPr>
              <w:jc w:val="center"/>
              <w:rPr>
                <w:color w:val="000000"/>
                <w:szCs w:val="21"/>
              </w:rPr>
            </w:pPr>
            <w:r>
              <w:rPr>
                <w:color w:val="000000"/>
                <w:szCs w:val="21"/>
              </w:rPr>
              <w:t>1</w:t>
            </w:r>
          </w:p>
        </w:tc>
        <w:tc>
          <w:tcPr>
            <w:tcW w:w="0" w:type="auto"/>
            <w:noWrap w:val="0"/>
            <w:vAlign w:val="center"/>
          </w:tcPr>
          <w:p w14:paraId="2744661C">
            <w:pPr>
              <w:jc w:val="center"/>
              <w:rPr>
                <w:color w:val="000000"/>
                <w:szCs w:val="21"/>
              </w:rPr>
            </w:pPr>
            <w:r>
              <w:rPr>
                <w:color w:val="000000"/>
                <w:szCs w:val="21"/>
              </w:rPr>
              <w:t>1</w:t>
            </w:r>
          </w:p>
        </w:tc>
        <w:tc>
          <w:tcPr>
            <w:tcW w:w="0" w:type="auto"/>
            <w:noWrap w:val="0"/>
            <w:vAlign w:val="center"/>
          </w:tcPr>
          <w:p w14:paraId="6F778E47">
            <w:pPr>
              <w:jc w:val="center"/>
              <w:rPr>
                <w:color w:val="000000"/>
                <w:szCs w:val="21"/>
              </w:rPr>
            </w:pPr>
            <w:r>
              <w:rPr>
                <w:color w:val="000000"/>
                <w:szCs w:val="21"/>
              </w:rPr>
              <w:t>100</w:t>
            </w:r>
          </w:p>
        </w:tc>
        <w:tc>
          <w:tcPr>
            <w:tcW w:w="0" w:type="auto"/>
            <w:noWrap w:val="0"/>
            <w:vAlign w:val="center"/>
          </w:tcPr>
          <w:p w14:paraId="2E064030">
            <w:pPr>
              <w:jc w:val="center"/>
              <w:rPr>
                <w:color w:val="000000"/>
                <w:szCs w:val="21"/>
              </w:rPr>
            </w:pPr>
            <w:r>
              <w:rPr>
                <w:color w:val="000000"/>
                <w:szCs w:val="21"/>
              </w:rPr>
              <w:t>260</w:t>
            </w:r>
          </w:p>
        </w:tc>
      </w:tr>
      <w:tr w14:paraId="00DE9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E0DF1E4">
            <w:pPr>
              <w:jc w:val="center"/>
              <w:rPr>
                <w:color w:val="000000"/>
                <w:szCs w:val="21"/>
              </w:rPr>
            </w:pPr>
            <w:r>
              <w:rPr>
                <w:rFonts w:hint="eastAsia"/>
                <w:color w:val="000000"/>
                <w:szCs w:val="21"/>
              </w:rPr>
              <w:t>0</w:t>
            </w:r>
            <w:r>
              <w:rPr>
                <w:color w:val="000000"/>
                <w:szCs w:val="21"/>
              </w:rPr>
              <w:t>4</w:t>
            </w:r>
          </w:p>
        </w:tc>
        <w:tc>
          <w:tcPr>
            <w:tcW w:w="0" w:type="auto"/>
            <w:noWrap w:val="0"/>
            <w:vAlign w:val="center"/>
          </w:tcPr>
          <w:p w14:paraId="653FE6B5">
            <w:pPr>
              <w:jc w:val="center"/>
              <w:rPr>
                <w:rFonts w:eastAsia="楷体_GB2312"/>
              </w:rPr>
            </w:pPr>
            <w:r>
              <w:rPr>
                <w:rFonts w:eastAsia="楷体_GB2312"/>
              </w:rPr>
              <w:t>034</w:t>
            </w:r>
            <w:r>
              <w:rPr>
                <w:rFonts w:hint="eastAsia" w:eastAsia="楷体_GB2312"/>
              </w:rPr>
              <w:t>县道</w:t>
            </w:r>
          </w:p>
        </w:tc>
        <w:tc>
          <w:tcPr>
            <w:tcW w:w="0" w:type="auto"/>
            <w:noWrap w:val="0"/>
            <w:vAlign w:val="center"/>
          </w:tcPr>
          <w:p w14:paraId="5F42E733">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4B3E5F77">
            <w:pPr>
              <w:jc w:val="center"/>
              <w:rPr>
                <w:color w:val="000000"/>
                <w:szCs w:val="21"/>
              </w:rPr>
            </w:pPr>
            <w:r>
              <w:rPr>
                <w:color w:val="000000"/>
                <w:szCs w:val="21"/>
              </w:rPr>
              <w:t>1</w:t>
            </w:r>
          </w:p>
        </w:tc>
        <w:tc>
          <w:tcPr>
            <w:tcW w:w="0" w:type="auto"/>
            <w:noWrap w:val="0"/>
            <w:vAlign w:val="center"/>
          </w:tcPr>
          <w:p w14:paraId="1F884A38">
            <w:pPr>
              <w:jc w:val="center"/>
              <w:rPr>
                <w:color w:val="000000"/>
                <w:szCs w:val="21"/>
              </w:rPr>
            </w:pPr>
            <w:r>
              <w:rPr>
                <w:color w:val="000000"/>
                <w:szCs w:val="21"/>
              </w:rPr>
              <w:t>1</w:t>
            </w:r>
          </w:p>
        </w:tc>
        <w:tc>
          <w:tcPr>
            <w:tcW w:w="0" w:type="auto"/>
            <w:noWrap w:val="0"/>
            <w:vAlign w:val="center"/>
          </w:tcPr>
          <w:p w14:paraId="5F793476">
            <w:pPr>
              <w:jc w:val="center"/>
              <w:rPr>
                <w:color w:val="000000"/>
                <w:szCs w:val="21"/>
              </w:rPr>
            </w:pPr>
            <w:r>
              <w:rPr>
                <w:color w:val="000000"/>
                <w:szCs w:val="21"/>
              </w:rPr>
              <w:t>100</w:t>
            </w:r>
          </w:p>
        </w:tc>
        <w:tc>
          <w:tcPr>
            <w:tcW w:w="0" w:type="auto"/>
            <w:noWrap w:val="0"/>
            <w:vAlign w:val="center"/>
          </w:tcPr>
          <w:p w14:paraId="458F2B59">
            <w:pPr>
              <w:jc w:val="center"/>
              <w:rPr>
                <w:color w:val="000000"/>
                <w:szCs w:val="21"/>
              </w:rPr>
            </w:pPr>
            <w:r>
              <w:rPr>
                <w:color w:val="000000"/>
                <w:szCs w:val="21"/>
              </w:rPr>
              <w:t>260</w:t>
            </w:r>
          </w:p>
        </w:tc>
      </w:tr>
      <w:tr w14:paraId="5ABA3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2B7E2F4">
            <w:pPr>
              <w:jc w:val="center"/>
              <w:rPr>
                <w:color w:val="000000"/>
                <w:szCs w:val="21"/>
              </w:rPr>
            </w:pPr>
            <w:r>
              <w:rPr>
                <w:rFonts w:hint="eastAsia"/>
                <w:color w:val="000000"/>
                <w:szCs w:val="21"/>
              </w:rPr>
              <w:t>0</w:t>
            </w:r>
            <w:r>
              <w:rPr>
                <w:color w:val="000000"/>
                <w:szCs w:val="21"/>
              </w:rPr>
              <w:t>5</w:t>
            </w:r>
          </w:p>
        </w:tc>
        <w:tc>
          <w:tcPr>
            <w:tcW w:w="0" w:type="auto"/>
            <w:noWrap w:val="0"/>
            <w:vAlign w:val="center"/>
          </w:tcPr>
          <w:p w14:paraId="277B9ECF">
            <w:pPr>
              <w:jc w:val="center"/>
              <w:rPr>
                <w:rFonts w:eastAsia="楷体_GB2312"/>
              </w:rPr>
            </w:pPr>
            <w:r>
              <w:rPr>
                <w:rFonts w:hint="eastAsia" w:eastAsia="楷体_GB2312"/>
              </w:rPr>
              <w:t>夹顺路</w:t>
            </w:r>
          </w:p>
        </w:tc>
        <w:tc>
          <w:tcPr>
            <w:tcW w:w="0" w:type="auto"/>
            <w:noWrap w:val="0"/>
            <w:vAlign w:val="center"/>
          </w:tcPr>
          <w:p w14:paraId="53871539">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7C518930">
            <w:pPr>
              <w:jc w:val="center"/>
              <w:rPr>
                <w:color w:val="000000"/>
                <w:szCs w:val="21"/>
              </w:rPr>
            </w:pPr>
            <w:r>
              <w:rPr>
                <w:color w:val="000000"/>
                <w:szCs w:val="21"/>
              </w:rPr>
              <w:t>1</w:t>
            </w:r>
          </w:p>
        </w:tc>
        <w:tc>
          <w:tcPr>
            <w:tcW w:w="0" w:type="auto"/>
            <w:noWrap w:val="0"/>
            <w:vAlign w:val="center"/>
          </w:tcPr>
          <w:p w14:paraId="0B79A5BC">
            <w:pPr>
              <w:jc w:val="center"/>
              <w:rPr>
                <w:color w:val="000000"/>
                <w:szCs w:val="21"/>
              </w:rPr>
            </w:pPr>
            <w:r>
              <w:rPr>
                <w:color w:val="000000"/>
                <w:szCs w:val="21"/>
              </w:rPr>
              <w:t>1</w:t>
            </w:r>
          </w:p>
        </w:tc>
        <w:tc>
          <w:tcPr>
            <w:tcW w:w="0" w:type="auto"/>
            <w:noWrap w:val="0"/>
            <w:vAlign w:val="center"/>
          </w:tcPr>
          <w:p w14:paraId="1F7154A2">
            <w:pPr>
              <w:jc w:val="center"/>
              <w:rPr>
                <w:color w:val="000000"/>
                <w:szCs w:val="21"/>
              </w:rPr>
            </w:pPr>
            <w:r>
              <w:rPr>
                <w:color w:val="000000"/>
                <w:szCs w:val="21"/>
              </w:rPr>
              <w:t>100</w:t>
            </w:r>
          </w:p>
        </w:tc>
        <w:tc>
          <w:tcPr>
            <w:tcW w:w="0" w:type="auto"/>
            <w:noWrap w:val="0"/>
            <w:vAlign w:val="center"/>
          </w:tcPr>
          <w:p w14:paraId="56B3F6DF">
            <w:pPr>
              <w:jc w:val="center"/>
              <w:rPr>
                <w:color w:val="000000"/>
                <w:szCs w:val="21"/>
              </w:rPr>
            </w:pPr>
            <w:r>
              <w:rPr>
                <w:color w:val="000000"/>
                <w:szCs w:val="21"/>
              </w:rPr>
              <w:t>260</w:t>
            </w:r>
          </w:p>
        </w:tc>
      </w:tr>
      <w:tr w14:paraId="78EBA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85D8AF0">
            <w:pPr>
              <w:jc w:val="center"/>
              <w:rPr>
                <w:color w:val="000000"/>
                <w:szCs w:val="21"/>
              </w:rPr>
            </w:pPr>
            <w:r>
              <w:rPr>
                <w:rFonts w:hint="eastAsia"/>
                <w:color w:val="000000"/>
                <w:szCs w:val="21"/>
              </w:rPr>
              <w:t>0</w:t>
            </w:r>
            <w:r>
              <w:rPr>
                <w:color w:val="000000"/>
                <w:szCs w:val="21"/>
              </w:rPr>
              <w:t>6</w:t>
            </w:r>
          </w:p>
        </w:tc>
        <w:tc>
          <w:tcPr>
            <w:tcW w:w="0" w:type="auto"/>
            <w:noWrap w:val="0"/>
            <w:vAlign w:val="center"/>
          </w:tcPr>
          <w:p w14:paraId="02017B7B">
            <w:pPr>
              <w:jc w:val="center"/>
              <w:rPr>
                <w:rFonts w:eastAsia="楷体_GB2312"/>
              </w:rPr>
            </w:pPr>
            <w:r>
              <w:rPr>
                <w:rFonts w:hint="eastAsia" w:eastAsia="楷体_GB2312"/>
              </w:rPr>
              <w:t>环镇路</w:t>
            </w:r>
          </w:p>
        </w:tc>
        <w:tc>
          <w:tcPr>
            <w:tcW w:w="0" w:type="auto"/>
            <w:noWrap w:val="0"/>
            <w:vAlign w:val="center"/>
          </w:tcPr>
          <w:p w14:paraId="6BCA03D1">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41063787">
            <w:pPr>
              <w:jc w:val="center"/>
              <w:rPr>
                <w:color w:val="000000"/>
                <w:szCs w:val="21"/>
              </w:rPr>
            </w:pPr>
            <w:r>
              <w:rPr>
                <w:color w:val="000000"/>
                <w:szCs w:val="21"/>
              </w:rPr>
              <w:t>1</w:t>
            </w:r>
          </w:p>
        </w:tc>
        <w:tc>
          <w:tcPr>
            <w:tcW w:w="0" w:type="auto"/>
            <w:noWrap w:val="0"/>
            <w:vAlign w:val="center"/>
          </w:tcPr>
          <w:p w14:paraId="5E51F673">
            <w:pPr>
              <w:jc w:val="center"/>
              <w:rPr>
                <w:color w:val="000000"/>
                <w:szCs w:val="21"/>
              </w:rPr>
            </w:pPr>
            <w:r>
              <w:rPr>
                <w:color w:val="000000"/>
                <w:szCs w:val="21"/>
              </w:rPr>
              <w:t>1</w:t>
            </w:r>
          </w:p>
        </w:tc>
        <w:tc>
          <w:tcPr>
            <w:tcW w:w="0" w:type="auto"/>
            <w:noWrap w:val="0"/>
            <w:vAlign w:val="center"/>
          </w:tcPr>
          <w:p w14:paraId="57A6C226">
            <w:pPr>
              <w:jc w:val="center"/>
              <w:rPr>
                <w:color w:val="000000"/>
                <w:szCs w:val="21"/>
              </w:rPr>
            </w:pPr>
            <w:r>
              <w:rPr>
                <w:color w:val="000000"/>
                <w:szCs w:val="21"/>
              </w:rPr>
              <w:t>100</w:t>
            </w:r>
          </w:p>
        </w:tc>
        <w:tc>
          <w:tcPr>
            <w:tcW w:w="0" w:type="auto"/>
            <w:noWrap w:val="0"/>
            <w:vAlign w:val="center"/>
          </w:tcPr>
          <w:p w14:paraId="0BD25D94">
            <w:pPr>
              <w:jc w:val="center"/>
              <w:rPr>
                <w:color w:val="000000"/>
                <w:szCs w:val="21"/>
              </w:rPr>
            </w:pPr>
            <w:r>
              <w:rPr>
                <w:color w:val="000000"/>
                <w:szCs w:val="21"/>
              </w:rPr>
              <w:t>260</w:t>
            </w:r>
          </w:p>
        </w:tc>
      </w:tr>
      <w:tr w14:paraId="08763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173FB89">
            <w:pPr>
              <w:jc w:val="center"/>
              <w:rPr>
                <w:color w:val="000000"/>
                <w:szCs w:val="21"/>
              </w:rPr>
            </w:pPr>
            <w:r>
              <w:rPr>
                <w:rFonts w:hint="eastAsia"/>
                <w:color w:val="000000"/>
                <w:szCs w:val="21"/>
              </w:rPr>
              <w:t>0</w:t>
            </w:r>
            <w:r>
              <w:rPr>
                <w:color w:val="000000"/>
                <w:szCs w:val="21"/>
              </w:rPr>
              <w:t>7</w:t>
            </w:r>
          </w:p>
        </w:tc>
        <w:tc>
          <w:tcPr>
            <w:tcW w:w="0" w:type="auto"/>
            <w:noWrap w:val="0"/>
            <w:vAlign w:val="center"/>
          </w:tcPr>
          <w:p w14:paraId="3DFDEECE">
            <w:pPr>
              <w:jc w:val="center"/>
              <w:rPr>
                <w:rFonts w:eastAsia="楷体_GB2312"/>
              </w:rPr>
            </w:pPr>
            <w:r>
              <w:rPr>
                <w:rFonts w:hint="eastAsia" w:eastAsia="楷体_GB2312"/>
              </w:rPr>
              <w:t>夹津路</w:t>
            </w:r>
          </w:p>
        </w:tc>
        <w:tc>
          <w:tcPr>
            <w:tcW w:w="0" w:type="auto"/>
            <w:noWrap w:val="0"/>
            <w:vAlign w:val="center"/>
          </w:tcPr>
          <w:p w14:paraId="228C4251">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03554144">
            <w:pPr>
              <w:jc w:val="center"/>
              <w:rPr>
                <w:color w:val="000000"/>
                <w:szCs w:val="21"/>
              </w:rPr>
            </w:pPr>
            <w:r>
              <w:rPr>
                <w:color w:val="000000"/>
                <w:szCs w:val="21"/>
              </w:rPr>
              <w:t>0.7</w:t>
            </w:r>
          </w:p>
        </w:tc>
        <w:tc>
          <w:tcPr>
            <w:tcW w:w="0" w:type="auto"/>
            <w:noWrap w:val="0"/>
            <w:vAlign w:val="center"/>
          </w:tcPr>
          <w:p w14:paraId="6937F096">
            <w:pPr>
              <w:jc w:val="center"/>
              <w:rPr>
                <w:color w:val="000000"/>
                <w:szCs w:val="21"/>
              </w:rPr>
            </w:pPr>
            <w:r>
              <w:rPr>
                <w:color w:val="000000"/>
                <w:szCs w:val="21"/>
              </w:rPr>
              <w:t>2</w:t>
            </w:r>
          </w:p>
        </w:tc>
        <w:tc>
          <w:tcPr>
            <w:tcW w:w="0" w:type="auto"/>
            <w:noWrap w:val="0"/>
            <w:vAlign w:val="center"/>
          </w:tcPr>
          <w:p w14:paraId="207292D7">
            <w:pPr>
              <w:jc w:val="center"/>
              <w:rPr>
                <w:color w:val="000000"/>
                <w:szCs w:val="21"/>
              </w:rPr>
            </w:pPr>
            <w:r>
              <w:rPr>
                <w:color w:val="000000"/>
                <w:szCs w:val="21"/>
              </w:rPr>
              <w:t>70</w:t>
            </w:r>
          </w:p>
        </w:tc>
        <w:tc>
          <w:tcPr>
            <w:tcW w:w="0" w:type="auto"/>
            <w:noWrap w:val="0"/>
            <w:vAlign w:val="center"/>
          </w:tcPr>
          <w:p w14:paraId="54E0E922">
            <w:pPr>
              <w:jc w:val="center"/>
              <w:rPr>
                <w:color w:val="000000"/>
                <w:szCs w:val="21"/>
              </w:rPr>
            </w:pPr>
            <w:r>
              <w:rPr>
                <w:color w:val="000000"/>
                <w:szCs w:val="21"/>
              </w:rPr>
              <w:t>220</w:t>
            </w:r>
          </w:p>
        </w:tc>
      </w:tr>
      <w:tr w14:paraId="329C5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43A3043">
            <w:pPr>
              <w:jc w:val="center"/>
              <w:rPr>
                <w:color w:val="000000"/>
                <w:szCs w:val="21"/>
              </w:rPr>
            </w:pPr>
            <w:r>
              <w:rPr>
                <w:rFonts w:hint="eastAsia"/>
                <w:color w:val="000000"/>
                <w:szCs w:val="21"/>
              </w:rPr>
              <w:t>0</w:t>
            </w:r>
            <w:r>
              <w:rPr>
                <w:color w:val="000000"/>
                <w:szCs w:val="21"/>
              </w:rPr>
              <w:t>8</w:t>
            </w:r>
          </w:p>
        </w:tc>
        <w:tc>
          <w:tcPr>
            <w:tcW w:w="0" w:type="auto"/>
            <w:noWrap w:val="0"/>
            <w:vAlign w:val="center"/>
          </w:tcPr>
          <w:p w14:paraId="7A8ED9C7">
            <w:pPr>
              <w:jc w:val="center"/>
              <w:rPr>
                <w:rFonts w:eastAsia="楷体_GB2312"/>
              </w:rPr>
            </w:pPr>
            <w:r>
              <w:rPr>
                <w:rFonts w:hint="eastAsia" w:eastAsia="楷体_GB2312"/>
              </w:rPr>
              <w:t>府前路</w:t>
            </w:r>
          </w:p>
        </w:tc>
        <w:tc>
          <w:tcPr>
            <w:tcW w:w="0" w:type="auto"/>
            <w:noWrap w:val="0"/>
            <w:vAlign w:val="center"/>
          </w:tcPr>
          <w:p w14:paraId="6C3F4E20">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14C6F3B6">
            <w:pPr>
              <w:jc w:val="center"/>
              <w:rPr>
                <w:color w:val="000000"/>
                <w:szCs w:val="21"/>
              </w:rPr>
            </w:pPr>
            <w:r>
              <w:rPr>
                <w:color w:val="000000"/>
                <w:szCs w:val="21"/>
              </w:rPr>
              <w:t>0.7</w:t>
            </w:r>
          </w:p>
        </w:tc>
        <w:tc>
          <w:tcPr>
            <w:tcW w:w="0" w:type="auto"/>
            <w:noWrap w:val="0"/>
            <w:vAlign w:val="center"/>
          </w:tcPr>
          <w:p w14:paraId="3B67B466">
            <w:pPr>
              <w:jc w:val="center"/>
              <w:rPr>
                <w:color w:val="000000"/>
                <w:szCs w:val="21"/>
              </w:rPr>
            </w:pPr>
            <w:r>
              <w:rPr>
                <w:color w:val="000000"/>
                <w:szCs w:val="21"/>
              </w:rPr>
              <w:t>2</w:t>
            </w:r>
          </w:p>
        </w:tc>
        <w:tc>
          <w:tcPr>
            <w:tcW w:w="0" w:type="auto"/>
            <w:noWrap w:val="0"/>
            <w:vAlign w:val="center"/>
          </w:tcPr>
          <w:p w14:paraId="6EF5DD64">
            <w:pPr>
              <w:jc w:val="center"/>
              <w:rPr>
                <w:color w:val="000000"/>
                <w:szCs w:val="21"/>
              </w:rPr>
            </w:pPr>
            <w:r>
              <w:rPr>
                <w:color w:val="000000"/>
                <w:szCs w:val="21"/>
              </w:rPr>
              <w:t>70</w:t>
            </w:r>
          </w:p>
        </w:tc>
        <w:tc>
          <w:tcPr>
            <w:tcW w:w="0" w:type="auto"/>
            <w:noWrap w:val="0"/>
            <w:vAlign w:val="center"/>
          </w:tcPr>
          <w:p w14:paraId="172A156B">
            <w:pPr>
              <w:jc w:val="center"/>
              <w:rPr>
                <w:color w:val="000000"/>
                <w:szCs w:val="21"/>
              </w:rPr>
            </w:pPr>
            <w:r>
              <w:rPr>
                <w:color w:val="000000"/>
                <w:szCs w:val="21"/>
              </w:rPr>
              <w:t>220</w:t>
            </w:r>
          </w:p>
        </w:tc>
      </w:tr>
      <w:tr w14:paraId="18BCE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8BE9F4E">
            <w:pPr>
              <w:jc w:val="center"/>
              <w:rPr>
                <w:color w:val="000000"/>
                <w:szCs w:val="21"/>
              </w:rPr>
            </w:pPr>
            <w:r>
              <w:rPr>
                <w:rFonts w:hint="eastAsia"/>
                <w:color w:val="000000"/>
                <w:szCs w:val="21"/>
              </w:rPr>
              <w:t>0</w:t>
            </w:r>
            <w:r>
              <w:rPr>
                <w:color w:val="000000"/>
                <w:szCs w:val="21"/>
              </w:rPr>
              <w:t>9</w:t>
            </w:r>
          </w:p>
        </w:tc>
        <w:tc>
          <w:tcPr>
            <w:tcW w:w="0" w:type="auto"/>
            <w:noWrap w:val="0"/>
            <w:vAlign w:val="center"/>
          </w:tcPr>
          <w:p w14:paraId="7AA239CE">
            <w:pPr>
              <w:jc w:val="center"/>
              <w:rPr>
                <w:rFonts w:eastAsia="楷体_GB2312"/>
              </w:rPr>
            </w:pPr>
            <w:r>
              <w:rPr>
                <w:rFonts w:hint="eastAsia" w:eastAsia="楷体_GB2312"/>
              </w:rPr>
              <w:t>工业三路</w:t>
            </w:r>
          </w:p>
        </w:tc>
        <w:tc>
          <w:tcPr>
            <w:tcW w:w="0" w:type="auto"/>
            <w:noWrap w:val="0"/>
            <w:vAlign w:val="center"/>
          </w:tcPr>
          <w:p w14:paraId="254C1711">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4A3F573D">
            <w:pPr>
              <w:jc w:val="center"/>
              <w:rPr>
                <w:color w:val="000000"/>
                <w:szCs w:val="21"/>
              </w:rPr>
            </w:pPr>
            <w:r>
              <w:rPr>
                <w:color w:val="000000"/>
                <w:szCs w:val="21"/>
              </w:rPr>
              <w:t>0.7</w:t>
            </w:r>
          </w:p>
        </w:tc>
        <w:tc>
          <w:tcPr>
            <w:tcW w:w="0" w:type="auto"/>
            <w:noWrap w:val="0"/>
            <w:vAlign w:val="center"/>
          </w:tcPr>
          <w:p w14:paraId="0375E151">
            <w:pPr>
              <w:jc w:val="center"/>
              <w:rPr>
                <w:color w:val="000000"/>
                <w:szCs w:val="21"/>
              </w:rPr>
            </w:pPr>
            <w:r>
              <w:rPr>
                <w:color w:val="000000"/>
                <w:szCs w:val="21"/>
              </w:rPr>
              <w:t>2</w:t>
            </w:r>
          </w:p>
        </w:tc>
        <w:tc>
          <w:tcPr>
            <w:tcW w:w="0" w:type="auto"/>
            <w:noWrap w:val="0"/>
            <w:vAlign w:val="center"/>
          </w:tcPr>
          <w:p w14:paraId="42E89F45">
            <w:pPr>
              <w:jc w:val="center"/>
              <w:rPr>
                <w:color w:val="000000"/>
                <w:szCs w:val="21"/>
              </w:rPr>
            </w:pPr>
            <w:r>
              <w:rPr>
                <w:color w:val="000000"/>
                <w:szCs w:val="21"/>
              </w:rPr>
              <w:t>70</w:t>
            </w:r>
          </w:p>
        </w:tc>
        <w:tc>
          <w:tcPr>
            <w:tcW w:w="0" w:type="auto"/>
            <w:noWrap w:val="0"/>
            <w:vAlign w:val="center"/>
          </w:tcPr>
          <w:p w14:paraId="5262B4D5">
            <w:pPr>
              <w:jc w:val="center"/>
              <w:rPr>
                <w:color w:val="000000"/>
                <w:szCs w:val="21"/>
              </w:rPr>
            </w:pPr>
            <w:r>
              <w:rPr>
                <w:color w:val="000000"/>
                <w:szCs w:val="21"/>
              </w:rPr>
              <w:t>220</w:t>
            </w:r>
          </w:p>
        </w:tc>
      </w:tr>
      <w:tr w14:paraId="4DB2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1D35B2D">
            <w:pPr>
              <w:jc w:val="center"/>
              <w:rPr>
                <w:color w:val="000000"/>
                <w:szCs w:val="21"/>
              </w:rPr>
            </w:pPr>
            <w:r>
              <w:rPr>
                <w:color w:val="000000"/>
                <w:szCs w:val="21"/>
              </w:rPr>
              <w:t>10</w:t>
            </w:r>
          </w:p>
        </w:tc>
        <w:tc>
          <w:tcPr>
            <w:tcW w:w="0" w:type="auto"/>
            <w:noWrap w:val="0"/>
            <w:vAlign w:val="center"/>
          </w:tcPr>
          <w:p w14:paraId="6B176D38">
            <w:pPr>
              <w:jc w:val="center"/>
              <w:rPr>
                <w:rFonts w:eastAsia="楷体_GB2312"/>
              </w:rPr>
            </w:pPr>
            <w:r>
              <w:rPr>
                <w:rFonts w:hint="eastAsia" w:eastAsia="楷体_GB2312"/>
              </w:rPr>
              <w:t>步行街</w:t>
            </w:r>
          </w:p>
        </w:tc>
        <w:tc>
          <w:tcPr>
            <w:tcW w:w="0" w:type="auto"/>
            <w:noWrap w:val="0"/>
            <w:vAlign w:val="center"/>
          </w:tcPr>
          <w:p w14:paraId="47F7F203">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28435079">
            <w:pPr>
              <w:jc w:val="center"/>
              <w:rPr>
                <w:color w:val="000000"/>
                <w:szCs w:val="21"/>
              </w:rPr>
            </w:pPr>
            <w:r>
              <w:rPr>
                <w:color w:val="000000"/>
                <w:szCs w:val="21"/>
              </w:rPr>
              <w:t>0.7</w:t>
            </w:r>
          </w:p>
        </w:tc>
        <w:tc>
          <w:tcPr>
            <w:tcW w:w="0" w:type="auto"/>
            <w:noWrap w:val="0"/>
            <w:vAlign w:val="center"/>
          </w:tcPr>
          <w:p w14:paraId="02CE395E">
            <w:pPr>
              <w:jc w:val="center"/>
              <w:rPr>
                <w:color w:val="000000"/>
                <w:szCs w:val="21"/>
              </w:rPr>
            </w:pPr>
            <w:r>
              <w:rPr>
                <w:color w:val="000000"/>
                <w:szCs w:val="21"/>
              </w:rPr>
              <w:t>2</w:t>
            </w:r>
          </w:p>
        </w:tc>
        <w:tc>
          <w:tcPr>
            <w:tcW w:w="0" w:type="auto"/>
            <w:noWrap w:val="0"/>
            <w:vAlign w:val="center"/>
          </w:tcPr>
          <w:p w14:paraId="084C50F7">
            <w:pPr>
              <w:jc w:val="center"/>
              <w:rPr>
                <w:color w:val="000000"/>
                <w:szCs w:val="21"/>
              </w:rPr>
            </w:pPr>
            <w:r>
              <w:rPr>
                <w:color w:val="000000"/>
                <w:szCs w:val="21"/>
              </w:rPr>
              <w:t>70</w:t>
            </w:r>
          </w:p>
        </w:tc>
        <w:tc>
          <w:tcPr>
            <w:tcW w:w="0" w:type="auto"/>
            <w:noWrap w:val="0"/>
            <w:vAlign w:val="center"/>
          </w:tcPr>
          <w:p w14:paraId="3552446C">
            <w:pPr>
              <w:jc w:val="center"/>
              <w:rPr>
                <w:color w:val="000000"/>
                <w:szCs w:val="21"/>
              </w:rPr>
            </w:pPr>
            <w:r>
              <w:rPr>
                <w:color w:val="000000"/>
                <w:szCs w:val="21"/>
              </w:rPr>
              <w:t>220</w:t>
            </w:r>
          </w:p>
        </w:tc>
      </w:tr>
      <w:tr w14:paraId="56625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BF3EC9F">
            <w:pPr>
              <w:jc w:val="center"/>
              <w:rPr>
                <w:color w:val="000000"/>
                <w:szCs w:val="21"/>
              </w:rPr>
            </w:pPr>
            <w:r>
              <w:rPr>
                <w:color w:val="000000"/>
                <w:szCs w:val="21"/>
              </w:rPr>
              <w:t>11</w:t>
            </w:r>
          </w:p>
        </w:tc>
        <w:tc>
          <w:tcPr>
            <w:tcW w:w="0" w:type="auto"/>
            <w:noWrap w:val="0"/>
            <w:vAlign w:val="center"/>
          </w:tcPr>
          <w:p w14:paraId="521AA872">
            <w:pPr>
              <w:jc w:val="center"/>
              <w:rPr>
                <w:rFonts w:eastAsia="楷体_GB2312"/>
              </w:rPr>
            </w:pPr>
            <w:r>
              <w:rPr>
                <w:rFonts w:hint="eastAsia" w:eastAsia="楷体_GB2312"/>
              </w:rPr>
              <w:t>夹或路</w:t>
            </w:r>
          </w:p>
        </w:tc>
        <w:tc>
          <w:tcPr>
            <w:tcW w:w="0" w:type="auto"/>
            <w:noWrap w:val="0"/>
            <w:vAlign w:val="center"/>
          </w:tcPr>
          <w:p w14:paraId="36945062">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7256D81E">
            <w:pPr>
              <w:jc w:val="center"/>
              <w:rPr>
                <w:color w:val="000000"/>
                <w:szCs w:val="21"/>
              </w:rPr>
            </w:pPr>
            <w:r>
              <w:rPr>
                <w:color w:val="000000"/>
                <w:szCs w:val="21"/>
              </w:rPr>
              <w:t>0.7</w:t>
            </w:r>
          </w:p>
        </w:tc>
        <w:tc>
          <w:tcPr>
            <w:tcW w:w="0" w:type="auto"/>
            <w:noWrap w:val="0"/>
            <w:vAlign w:val="center"/>
          </w:tcPr>
          <w:p w14:paraId="07EDDCF5">
            <w:pPr>
              <w:jc w:val="center"/>
              <w:rPr>
                <w:color w:val="000000"/>
                <w:szCs w:val="21"/>
              </w:rPr>
            </w:pPr>
            <w:r>
              <w:rPr>
                <w:color w:val="000000"/>
                <w:szCs w:val="21"/>
              </w:rPr>
              <w:t>2</w:t>
            </w:r>
          </w:p>
        </w:tc>
        <w:tc>
          <w:tcPr>
            <w:tcW w:w="0" w:type="auto"/>
            <w:noWrap w:val="0"/>
            <w:vAlign w:val="center"/>
          </w:tcPr>
          <w:p w14:paraId="45D4401D">
            <w:pPr>
              <w:jc w:val="center"/>
              <w:rPr>
                <w:color w:val="000000"/>
                <w:szCs w:val="21"/>
              </w:rPr>
            </w:pPr>
            <w:r>
              <w:rPr>
                <w:color w:val="000000"/>
                <w:szCs w:val="21"/>
              </w:rPr>
              <w:t>70</w:t>
            </w:r>
          </w:p>
        </w:tc>
        <w:tc>
          <w:tcPr>
            <w:tcW w:w="0" w:type="auto"/>
            <w:noWrap w:val="0"/>
            <w:vAlign w:val="center"/>
          </w:tcPr>
          <w:p w14:paraId="6EE1A7D4">
            <w:pPr>
              <w:jc w:val="center"/>
              <w:rPr>
                <w:color w:val="000000"/>
                <w:szCs w:val="21"/>
              </w:rPr>
            </w:pPr>
            <w:r>
              <w:rPr>
                <w:color w:val="000000"/>
                <w:szCs w:val="21"/>
              </w:rPr>
              <w:t>220</w:t>
            </w:r>
          </w:p>
        </w:tc>
      </w:tr>
      <w:tr w14:paraId="035A3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272C5EE">
            <w:pPr>
              <w:jc w:val="center"/>
              <w:rPr>
                <w:color w:val="000000"/>
                <w:szCs w:val="21"/>
              </w:rPr>
            </w:pPr>
            <w:r>
              <w:rPr>
                <w:color w:val="000000"/>
                <w:szCs w:val="21"/>
              </w:rPr>
              <w:t>12</w:t>
            </w:r>
          </w:p>
        </w:tc>
        <w:tc>
          <w:tcPr>
            <w:tcW w:w="0" w:type="auto"/>
            <w:noWrap w:val="0"/>
            <w:vAlign w:val="center"/>
          </w:tcPr>
          <w:p w14:paraId="3E99C9BF">
            <w:pPr>
              <w:jc w:val="center"/>
              <w:rPr>
                <w:rFonts w:eastAsia="楷体_GB2312"/>
              </w:rPr>
            </w:pPr>
            <w:r>
              <w:rPr>
                <w:rFonts w:hint="eastAsia" w:eastAsia="楷体_GB2312"/>
              </w:rPr>
              <w:t>学府路</w:t>
            </w:r>
          </w:p>
        </w:tc>
        <w:tc>
          <w:tcPr>
            <w:tcW w:w="0" w:type="auto"/>
            <w:noWrap w:val="0"/>
            <w:vAlign w:val="center"/>
          </w:tcPr>
          <w:p w14:paraId="5D64B414">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5B5C4019">
            <w:pPr>
              <w:jc w:val="center"/>
              <w:rPr>
                <w:color w:val="000000"/>
                <w:szCs w:val="21"/>
              </w:rPr>
            </w:pPr>
            <w:r>
              <w:rPr>
                <w:color w:val="000000"/>
                <w:szCs w:val="21"/>
              </w:rPr>
              <w:t>0.7</w:t>
            </w:r>
          </w:p>
        </w:tc>
        <w:tc>
          <w:tcPr>
            <w:tcW w:w="0" w:type="auto"/>
            <w:noWrap w:val="0"/>
            <w:vAlign w:val="center"/>
          </w:tcPr>
          <w:p w14:paraId="57E36470">
            <w:pPr>
              <w:jc w:val="center"/>
              <w:rPr>
                <w:color w:val="000000"/>
                <w:szCs w:val="21"/>
              </w:rPr>
            </w:pPr>
            <w:r>
              <w:rPr>
                <w:color w:val="000000"/>
                <w:szCs w:val="21"/>
              </w:rPr>
              <w:t>2</w:t>
            </w:r>
          </w:p>
        </w:tc>
        <w:tc>
          <w:tcPr>
            <w:tcW w:w="0" w:type="auto"/>
            <w:noWrap w:val="0"/>
            <w:vAlign w:val="center"/>
          </w:tcPr>
          <w:p w14:paraId="12673253">
            <w:pPr>
              <w:jc w:val="center"/>
              <w:rPr>
                <w:color w:val="000000"/>
                <w:szCs w:val="21"/>
              </w:rPr>
            </w:pPr>
            <w:r>
              <w:rPr>
                <w:color w:val="000000"/>
                <w:szCs w:val="21"/>
              </w:rPr>
              <w:t>70</w:t>
            </w:r>
          </w:p>
        </w:tc>
        <w:tc>
          <w:tcPr>
            <w:tcW w:w="0" w:type="auto"/>
            <w:noWrap w:val="0"/>
            <w:vAlign w:val="center"/>
          </w:tcPr>
          <w:p w14:paraId="0F927705">
            <w:pPr>
              <w:jc w:val="center"/>
              <w:rPr>
                <w:color w:val="000000"/>
                <w:szCs w:val="21"/>
              </w:rPr>
            </w:pPr>
            <w:r>
              <w:rPr>
                <w:color w:val="000000"/>
                <w:szCs w:val="21"/>
              </w:rPr>
              <w:t>220</w:t>
            </w:r>
          </w:p>
        </w:tc>
      </w:tr>
      <w:tr w14:paraId="3F94C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D1C4EED">
            <w:pPr>
              <w:jc w:val="center"/>
              <w:rPr>
                <w:color w:val="000000"/>
                <w:szCs w:val="21"/>
              </w:rPr>
            </w:pPr>
            <w:r>
              <w:rPr>
                <w:color w:val="000000"/>
                <w:szCs w:val="21"/>
              </w:rPr>
              <w:t>13</w:t>
            </w:r>
          </w:p>
        </w:tc>
        <w:tc>
          <w:tcPr>
            <w:tcW w:w="0" w:type="auto"/>
            <w:noWrap w:val="0"/>
            <w:vAlign w:val="center"/>
          </w:tcPr>
          <w:p w14:paraId="4CCC9C03">
            <w:pPr>
              <w:jc w:val="center"/>
              <w:rPr>
                <w:rFonts w:eastAsia="楷体_GB2312"/>
              </w:rPr>
            </w:pPr>
            <w:r>
              <w:rPr>
                <w:rFonts w:hint="eastAsia" w:eastAsia="楷体_GB2312"/>
              </w:rPr>
              <w:t>东二路</w:t>
            </w:r>
          </w:p>
        </w:tc>
        <w:tc>
          <w:tcPr>
            <w:tcW w:w="0" w:type="auto"/>
            <w:noWrap w:val="0"/>
            <w:vAlign w:val="center"/>
          </w:tcPr>
          <w:p w14:paraId="1BE6165F">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60421AA9">
            <w:pPr>
              <w:jc w:val="center"/>
              <w:rPr>
                <w:color w:val="000000"/>
                <w:szCs w:val="21"/>
              </w:rPr>
            </w:pPr>
            <w:r>
              <w:rPr>
                <w:color w:val="000000"/>
                <w:szCs w:val="21"/>
              </w:rPr>
              <w:t>0.7</w:t>
            </w:r>
          </w:p>
        </w:tc>
        <w:tc>
          <w:tcPr>
            <w:tcW w:w="0" w:type="auto"/>
            <w:noWrap w:val="0"/>
            <w:vAlign w:val="center"/>
          </w:tcPr>
          <w:p w14:paraId="178F52C6">
            <w:pPr>
              <w:jc w:val="center"/>
              <w:rPr>
                <w:color w:val="000000"/>
                <w:szCs w:val="21"/>
              </w:rPr>
            </w:pPr>
            <w:r>
              <w:rPr>
                <w:color w:val="000000"/>
                <w:szCs w:val="21"/>
              </w:rPr>
              <w:t>2</w:t>
            </w:r>
          </w:p>
        </w:tc>
        <w:tc>
          <w:tcPr>
            <w:tcW w:w="0" w:type="auto"/>
            <w:noWrap w:val="0"/>
            <w:vAlign w:val="center"/>
          </w:tcPr>
          <w:p w14:paraId="4DC528E0">
            <w:pPr>
              <w:jc w:val="center"/>
              <w:rPr>
                <w:color w:val="000000"/>
                <w:szCs w:val="21"/>
              </w:rPr>
            </w:pPr>
            <w:r>
              <w:rPr>
                <w:color w:val="000000"/>
                <w:szCs w:val="21"/>
              </w:rPr>
              <w:t>70</w:t>
            </w:r>
          </w:p>
        </w:tc>
        <w:tc>
          <w:tcPr>
            <w:tcW w:w="0" w:type="auto"/>
            <w:noWrap w:val="0"/>
            <w:vAlign w:val="center"/>
          </w:tcPr>
          <w:p w14:paraId="27BBA231">
            <w:pPr>
              <w:jc w:val="center"/>
              <w:rPr>
                <w:color w:val="000000"/>
                <w:szCs w:val="21"/>
              </w:rPr>
            </w:pPr>
            <w:r>
              <w:rPr>
                <w:color w:val="000000"/>
                <w:szCs w:val="21"/>
              </w:rPr>
              <w:t>220</w:t>
            </w:r>
          </w:p>
        </w:tc>
      </w:tr>
      <w:tr w14:paraId="6704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E190CD7">
            <w:pPr>
              <w:jc w:val="center"/>
              <w:rPr>
                <w:color w:val="000000"/>
                <w:szCs w:val="21"/>
              </w:rPr>
            </w:pPr>
            <w:r>
              <w:rPr>
                <w:color w:val="000000"/>
                <w:szCs w:val="21"/>
              </w:rPr>
              <w:t>14</w:t>
            </w:r>
          </w:p>
        </w:tc>
        <w:tc>
          <w:tcPr>
            <w:tcW w:w="0" w:type="auto"/>
            <w:noWrap w:val="0"/>
            <w:vAlign w:val="center"/>
          </w:tcPr>
          <w:p w14:paraId="0A6871F9">
            <w:pPr>
              <w:jc w:val="center"/>
              <w:rPr>
                <w:rFonts w:eastAsia="楷体_GB2312"/>
              </w:rPr>
            </w:pPr>
            <w:r>
              <w:rPr>
                <w:rFonts w:hint="eastAsia" w:eastAsia="楷体_GB2312"/>
              </w:rPr>
              <w:t>东三路</w:t>
            </w:r>
          </w:p>
        </w:tc>
        <w:tc>
          <w:tcPr>
            <w:tcW w:w="0" w:type="auto"/>
            <w:noWrap w:val="0"/>
            <w:vAlign w:val="center"/>
          </w:tcPr>
          <w:p w14:paraId="5D66465D">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19A1AEEC">
            <w:pPr>
              <w:jc w:val="center"/>
              <w:rPr>
                <w:color w:val="000000"/>
                <w:szCs w:val="21"/>
              </w:rPr>
            </w:pPr>
            <w:r>
              <w:rPr>
                <w:color w:val="000000"/>
                <w:szCs w:val="21"/>
              </w:rPr>
              <w:t>0.7</w:t>
            </w:r>
          </w:p>
        </w:tc>
        <w:tc>
          <w:tcPr>
            <w:tcW w:w="0" w:type="auto"/>
            <w:noWrap w:val="0"/>
            <w:vAlign w:val="center"/>
          </w:tcPr>
          <w:p w14:paraId="3895B760">
            <w:pPr>
              <w:jc w:val="center"/>
              <w:rPr>
                <w:color w:val="000000"/>
                <w:szCs w:val="21"/>
              </w:rPr>
            </w:pPr>
            <w:r>
              <w:rPr>
                <w:color w:val="000000"/>
                <w:szCs w:val="21"/>
              </w:rPr>
              <w:t>2</w:t>
            </w:r>
          </w:p>
        </w:tc>
        <w:tc>
          <w:tcPr>
            <w:tcW w:w="0" w:type="auto"/>
            <w:noWrap w:val="0"/>
            <w:vAlign w:val="center"/>
          </w:tcPr>
          <w:p w14:paraId="7A5D0015">
            <w:pPr>
              <w:jc w:val="center"/>
              <w:rPr>
                <w:color w:val="000000"/>
                <w:szCs w:val="21"/>
              </w:rPr>
            </w:pPr>
            <w:r>
              <w:rPr>
                <w:color w:val="000000"/>
                <w:szCs w:val="21"/>
              </w:rPr>
              <w:t>70</w:t>
            </w:r>
          </w:p>
        </w:tc>
        <w:tc>
          <w:tcPr>
            <w:tcW w:w="0" w:type="auto"/>
            <w:noWrap w:val="0"/>
            <w:vAlign w:val="center"/>
          </w:tcPr>
          <w:p w14:paraId="0FBC89A8">
            <w:pPr>
              <w:jc w:val="center"/>
              <w:rPr>
                <w:color w:val="000000"/>
                <w:szCs w:val="21"/>
              </w:rPr>
            </w:pPr>
            <w:r>
              <w:rPr>
                <w:color w:val="000000"/>
                <w:szCs w:val="21"/>
              </w:rPr>
              <w:t>220</w:t>
            </w:r>
          </w:p>
        </w:tc>
      </w:tr>
      <w:tr w14:paraId="2EE0F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4FA2968">
            <w:pPr>
              <w:jc w:val="center"/>
              <w:rPr>
                <w:color w:val="000000"/>
                <w:szCs w:val="21"/>
              </w:rPr>
            </w:pPr>
            <w:r>
              <w:rPr>
                <w:color w:val="000000"/>
                <w:szCs w:val="21"/>
              </w:rPr>
              <w:t>15</w:t>
            </w:r>
          </w:p>
        </w:tc>
        <w:tc>
          <w:tcPr>
            <w:tcW w:w="0" w:type="auto"/>
            <w:noWrap w:val="0"/>
            <w:vAlign w:val="center"/>
          </w:tcPr>
          <w:p w14:paraId="511B3D71">
            <w:pPr>
              <w:jc w:val="center"/>
              <w:rPr>
                <w:rFonts w:eastAsia="楷体_GB2312"/>
              </w:rPr>
            </w:pPr>
            <w:r>
              <w:rPr>
                <w:rFonts w:hint="eastAsia" w:eastAsia="楷体_GB2312"/>
              </w:rPr>
              <w:t>产业路</w:t>
            </w:r>
          </w:p>
        </w:tc>
        <w:tc>
          <w:tcPr>
            <w:tcW w:w="0" w:type="auto"/>
            <w:noWrap w:val="0"/>
            <w:vAlign w:val="center"/>
          </w:tcPr>
          <w:p w14:paraId="05A149E4">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6D28A27">
            <w:pPr>
              <w:jc w:val="center"/>
              <w:rPr>
                <w:color w:val="000000"/>
                <w:szCs w:val="21"/>
              </w:rPr>
            </w:pPr>
            <w:r>
              <w:rPr>
                <w:color w:val="000000"/>
                <w:szCs w:val="21"/>
              </w:rPr>
              <w:t>0.4</w:t>
            </w:r>
          </w:p>
        </w:tc>
        <w:tc>
          <w:tcPr>
            <w:tcW w:w="0" w:type="auto"/>
            <w:noWrap w:val="0"/>
            <w:vAlign w:val="center"/>
          </w:tcPr>
          <w:p w14:paraId="404D8486">
            <w:pPr>
              <w:jc w:val="center"/>
              <w:rPr>
                <w:color w:val="000000"/>
                <w:szCs w:val="21"/>
              </w:rPr>
            </w:pPr>
            <w:r>
              <w:rPr>
                <w:color w:val="000000"/>
                <w:szCs w:val="21"/>
              </w:rPr>
              <w:t>3</w:t>
            </w:r>
          </w:p>
        </w:tc>
        <w:tc>
          <w:tcPr>
            <w:tcW w:w="0" w:type="auto"/>
            <w:noWrap w:val="0"/>
            <w:vAlign w:val="center"/>
          </w:tcPr>
          <w:p w14:paraId="35758CDF">
            <w:pPr>
              <w:jc w:val="center"/>
              <w:rPr>
                <w:color w:val="000000"/>
                <w:szCs w:val="21"/>
              </w:rPr>
            </w:pPr>
            <w:r>
              <w:rPr>
                <w:color w:val="000000"/>
                <w:szCs w:val="21"/>
              </w:rPr>
              <w:t>40</w:t>
            </w:r>
          </w:p>
        </w:tc>
        <w:tc>
          <w:tcPr>
            <w:tcW w:w="0" w:type="auto"/>
            <w:noWrap w:val="0"/>
            <w:vAlign w:val="center"/>
          </w:tcPr>
          <w:p w14:paraId="505BA794">
            <w:pPr>
              <w:jc w:val="center"/>
              <w:rPr>
                <w:color w:val="000000"/>
                <w:szCs w:val="21"/>
              </w:rPr>
            </w:pPr>
            <w:r>
              <w:rPr>
                <w:color w:val="000000"/>
                <w:szCs w:val="21"/>
              </w:rPr>
              <w:t>180</w:t>
            </w:r>
          </w:p>
        </w:tc>
      </w:tr>
      <w:tr w14:paraId="01B2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AC0CA6E">
            <w:pPr>
              <w:jc w:val="center"/>
              <w:rPr>
                <w:color w:val="000000"/>
                <w:szCs w:val="21"/>
              </w:rPr>
            </w:pPr>
            <w:r>
              <w:rPr>
                <w:color w:val="000000"/>
                <w:szCs w:val="21"/>
              </w:rPr>
              <w:t>16</w:t>
            </w:r>
          </w:p>
        </w:tc>
        <w:tc>
          <w:tcPr>
            <w:tcW w:w="0" w:type="auto"/>
            <w:noWrap w:val="0"/>
            <w:vAlign w:val="center"/>
          </w:tcPr>
          <w:p w14:paraId="187391F7">
            <w:pPr>
              <w:jc w:val="center"/>
              <w:rPr>
                <w:rFonts w:eastAsia="楷体_GB2312"/>
              </w:rPr>
            </w:pPr>
            <w:r>
              <w:rPr>
                <w:rFonts w:hint="eastAsia" w:eastAsia="楷体_GB2312"/>
              </w:rPr>
              <w:t>工业一路</w:t>
            </w:r>
          </w:p>
        </w:tc>
        <w:tc>
          <w:tcPr>
            <w:tcW w:w="0" w:type="auto"/>
            <w:noWrap w:val="0"/>
            <w:vAlign w:val="center"/>
          </w:tcPr>
          <w:p w14:paraId="621171D4">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1DF897A3">
            <w:pPr>
              <w:jc w:val="center"/>
              <w:rPr>
                <w:color w:val="000000"/>
                <w:szCs w:val="21"/>
              </w:rPr>
            </w:pPr>
            <w:r>
              <w:rPr>
                <w:color w:val="000000"/>
                <w:szCs w:val="21"/>
              </w:rPr>
              <w:t>0.4</w:t>
            </w:r>
          </w:p>
        </w:tc>
        <w:tc>
          <w:tcPr>
            <w:tcW w:w="0" w:type="auto"/>
            <w:noWrap w:val="0"/>
            <w:vAlign w:val="center"/>
          </w:tcPr>
          <w:p w14:paraId="151D7F3F">
            <w:pPr>
              <w:jc w:val="center"/>
              <w:rPr>
                <w:color w:val="000000"/>
                <w:szCs w:val="21"/>
              </w:rPr>
            </w:pPr>
            <w:r>
              <w:rPr>
                <w:color w:val="000000"/>
                <w:szCs w:val="21"/>
              </w:rPr>
              <w:t>3</w:t>
            </w:r>
          </w:p>
        </w:tc>
        <w:tc>
          <w:tcPr>
            <w:tcW w:w="0" w:type="auto"/>
            <w:noWrap w:val="0"/>
            <w:vAlign w:val="center"/>
          </w:tcPr>
          <w:p w14:paraId="009A442D">
            <w:pPr>
              <w:jc w:val="center"/>
              <w:rPr>
                <w:color w:val="000000"/>
                <w:szCs w:val="21"/>
              </w:rPr>
            </w:pPr>
            <w:r>
              <w:rPr>
                <w:color w:val="000000"/>
                <w:szCs w:val="21"/>
              </w:rPr>
              <w:t>40</w:t>
            </w:r>
          </w:p>
        </w:tc>
        <w:tc>
          <w:tcPr>
            <w:tcW w:w="0" w:type="auto"/>
            <w:noWrap w:val="0"/>
            <w:vAlign w:val="center"/>
          </w:tcPr>
          <w:p w14:paraId="63362018">
            <w:pPr>
              <w:jc w:val="center"/>
              <w:rPr>
                <w:color w:val="000000"/>
                <w:szCs w:val="21"/>
              </w:rPr>
            </w:pPr>
            <w:r>
              <w:rPr>
                <w:color w:val="000000"/>
                <w:szCs w:val="21"/>
              </w:rPr>
              <w:t>180</w:t>
            </w:r>
          </w:p>
        </w:tc>
      </w:tr>
      <w:tr w14:paraId="2BC8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39B2358">
            <w:pPr>
              <w:jc w:val="center"/>
              <w:rPr>
                <w:color w:val="000000"/>
                <w:szCs w:val="21"/>
              </w:rPr>
            </w:pPr>
            <w:r>
              <w:rPr>
                <w:color w:val="000000"/>
                <w:szCs w:val="21"/>
              </w:rPr>
              <w:t>17</w:t>
            </w:r>
          </w:p>
        </w:tc>
        <w:tc>
          <w:tcPr>
            <w:tcW w:w="0" w:type="auto"/>
            <w:noWrap w:val="0"/>
            <w:vAlign w:val="center"/>
          </w:tcPr>
          <w:p w14:paraId="040F83A8">
            <w:pPr>
              <w:jc w:val="center"/>
              <w:rPr>
                <w:rFonts w:eastAsia="楷体_GB2312"/>
              </w:rPr>
            </w:pPr>
            <w:r>
              <w:rPr>
                <w:rFonts w:hint="eastAsia" w:eastAsia="楷体_GB2312"/>
              </w:rPr>
              <w:t>工业二路</w:t>
            </w:r>
          </w:p>
        </w:tc>
        <w:tc>
          <w:tcPr>
            <w:tcW w:w="0" w:type="auto"/>
            <w:noWrap w:val="0"/>
            <w:vAlign w:val="center"/>
          </w:tcPr>
          <w:p w14:paraId="3AB9F742">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550F50E5">
            <w:pPr>
              <w:jc w:val="center"/>
              <w:rPr>
                <w:color w:val="000000"/>
                <w:szCs w:val="21"/>
              </w:rPr>
            </w:pPr>
            <w:r>
              <w:rPr>
                <w:color w:val="000000"/>
                <w:szCs w:val="21"/>
              </w:rPr>
              <w:t>0.4</w:t>
            </w:r>
          </w:p>
        </w:tc>
        <w:tc>
          <w:tcPr>
            <w:tcW w:w="0" w:type="auto"/>
            <w:noWrap w:val="0"/>
            <w:vAlign w:val="center"/>
          </w:tcPr>
          <w:p w14:paraId="18209998">
            <w:pPr>
              <w:jc w:val="center"/>
              <w:rPr>
                <w:color w:val="000000"/>
                <w:szCs w:val="21"/>
              </w:rPr>
            </w:pPr>
            <w:r>
              <w:rPr>
                <w:color w:val="000000"/>
                <w:szCs w:val="21"/>
              </w:rPr>
              <w:t>3</w:t>
            </w:r>
          </w:p>
        </w:tc>
        <w:tc>
          <w:tcPr>
            <w:tcW w:w="0" w:type="auto"/>
            <w:noWrap w:val="0"/>
            <w:vAlign w:val="center"/>
          </w:tcPr>
          <w:p w14:paraId="22EE9C88">
            <w:pPr>
              <w:jc w:val="center"/>
              <w:rPr>
                <w:color w:val="000000"/>
                <w:szCs w:val="21"/>
              </w:rPr>
            </w:pPr>
            <w:r>
              <w:rPr>
                <w:color w:val="000000"/>
                <w:szCs w:val="21"/>
              </w:rPr>
              <w:t>40</w:t>
            </w:r>
          </w:p>
        </w:tc>
        <w:tc>
          <w:tcPr>
            <w:tcW w:w="0" w:type="auto"/>
            <w:noWrap w:val="0"/>
            <w:vAlign w:val="center"/>
          </w:tcPr>
          <w:p w14:paraId="19879195">
            <w:pPr>
              <w:jc w:val="center"/>
              <w:rPr>
                <w:color w:val="000000"/>
                <w:szCs w:val="21"/>
              </w:rPr>
            </w:pPr>
            <w:r>
              <w:rPr>
                <w:color w:val="000000"/>
                <w:szCs w:val="21"/>
              </w:rPr>
              <w:t>180</w:t>
            </w:r>
          </w:p>
        </w:tc>
      </w:tr>
      <w:tr w14:paraId="545A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6334B5D">
            <w:pPr>
              <w:jc w:val="center"/>
              <w:rPr>
                <w:color w:val="000000"/>
                <w:szCs w:val="21"/>
              </w:rPr>
            </w:pPr>
            <w:r>
              <w:rPr>
                <w:color w:val="000000"/>
                <w:szCs w:val="21"/>
              </w:rPr>
              <w:t>18</w:t>
            </w:r>
          </w:p>
        </w:tc>
        <w:tc>
          <w:tcPr>
            <w:tcW w:w="0" w:type="auto"/>
            <w:noWrap w:val="0"/>
            <w:vAlign w:val="center"/>
          </w:tcPr>
          <w:p w14:paraId="3F8DB9A9">
            <w:pPr>
              <w:jc w:val="center"/>
              <w:rPr>
                <w:rFonts w:eastAsia="楷体_GB2312"/>
              </w:rPr>
            </w:pPr>
            <w:r>
              <w:rPr>
                <w:rFonts w:hint="eastAsia" w:eastAsia="楷体_GB2312"/>
              </w:rPr>
              <w:t>工业四路</w:t>
            </w:r>
          </w:p>
        </w:tc>
        <w:tc>
          <w:tcPr>
            <w:tcW w:w="0" w:type="auto"/>
            <w:noWrap w:val="0"/>
            <w:vAlign w:val="center"/>
          </w:tcPr>
          <w:p w14:paraId="6912E6B8">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36FBACF">
            <w:pPr>
              <w:jc w:val="center"/>
              <w:rPr>
                <w:color w:val="000000"/>
                <w:szCs w:val="21"/>
              </w:rPr>
            </w:pPr>
            <w:r>
              <w:rPr>
                <w:color w:val="000000"/>
                <w:szCs w:val="21"/>
              </w:rPr>
              <w:t>0.4</w:t>
            </w:r>
          </w:p>
        </w:tc>
        <w:tc>
          <w:tcPr>
            <w:tcW w:w="0" w:type="auto"/>
            <w:noWrap w:val="0"/>
            <w:vAlign w:val="center"/>
          </w:tcPr>
          <w:p w14:paraId="2C7FDB83">
            <w:pPr>
              <w:jc w:val="center"/>
              <w:rPr>
                <w:color w:val="000000"/>
                <w:szCs w:val="21"/>
              </w:rPr>
            </w:pPr>
            <w:r>
              <w:rPr>
                <w:color w:val="000000"/>
                <w:szCs w:val="21"/>
              </w:rPr>
              <w:t>3</w:t>
            </w:r>
          </w:p>
        </w:tc>
        <w:tc>
          <w:tcPr>
            <w:tcW w:w="0" w:type="auto"/>
            <w:noWrap w:val="0"/>
            <w:vAlign w:val="center"/>
          </w:tcPr>
          <w:p w14:paraId="1376F000">
            <w:pPr>
              <w:jc w:val="center"/>
              <w:rPr>
                <w:color w:val="000000"/>
                <w:szCs w:val="21"/>
              </w:rPr>
            </w:pPr>
            <w:r>
              <w:rPr>
                <w:color w:val="000000"/>
                <w:szCs w:val="21"/>
              </w:rPr>
              <w:t>40</w:t>
            </w:r>
          </w:p>
        </w:tc>
        <w:tc>
          <w:tcPr>
            <w:tcW w:w="0" w:type="auto"/>
            <w:noWrap w:val="0"/>
            <w:vAlign w:val="center"/>
          </w:tcPr>
          <w:p w14:paraId="208FF2C2">
            <w:pPr>
              <w:jc w:val="center"/>
              <w:rPr>
                <w:color w:val="000000"/>
                <w:szCs w:val="21"/>
              </w:rPr>
            </w:pPr>
            <w:r>
              <w:rPr>
                <w:color w:val="000000"/>
                <w:szCs w:val="21"/>
              </w:rPr>
              <w:t>180</w:t>
            </w:r>
          </w:p>
        </w:tc>
      </w:tr>
      <w:tr w14:paraId="4847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68A4043">
            <w:pPr>
              <w:jc w:val="center"/>
              <w:rPr>
                <w:color w:val="000000"/>
                <w:szCs w:val="21"/>
              </w:rPr>
            </w:pPr>
            <w:r>
              <w:rPr>
                <w:color w:val="000000"/>
                <w:szCs w:val="21"/>
              </w:rPr>
              <w:t>19</w:t>
            </w:r>
          </w:p>
        </w:tc>
        <w:tc>
          <w:tcPr>
            <w:tcW w:w="0" w:type="auto"/>
            <w:noWrap w:val="0"/>
            <w:vAlign w:val="center"/>
          </w:tcPr>
          <w:p w14:paraId="5E5DD310">
            <w:pPr>
              <w:jc w:val="center"/>
              <w:rPr>
                <w:rFonts w:eastAsia="楷体_GB2312"/>
              </w:rPr>
            </w:pPr>
            <w:r>
              <w:rPr>
                <w:rFonts w:hint="eastAsia" w:eastAsia="楷体_GB2312"/>
              </w:rPr>
              <w:t>西一路</w:t>
            </w:r>
          </w:p>
        </w:tc>
        <w:tc>
          <w:tcPr>
            <w:tcW w:w="0" w:type="auto"/>
            <w:noWrap w:val="0"/>
            <w:vAlign w:val="center"/>
          </w:tcPr>
          <w:p w14:paraId="5D1A0E81">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6A3B5F3">
            <w:pPr>
              <w:jc w:val="center"/>
              <w:rPr>
                <w:color w:val="000000"/>
                <w:szCs w:val="21"/>
              </w:rPr>
            </w:pPr>
            <w:r>
              <w:rPr>
                <w:color w:val="000000"/>
                <w:szCs w:val="21"/>
              </w:rPr>
              <w:t>0.4</w:t>
            </w:r>
          </w:p>
        </w:tc>
        <w:tc>
          <w:tcPr>
            <w:tcW w:w="0" w:type="auto"/>
            <w:noWrap w:val="0"/>
            <w:vAlign w:val="center"/>
          </w:tcPr>
          <w:p w14:paraId="5F99546B">
            <w:pPr>
              <w:jc w:val="center"/>
              <w:rPr>
                <w:color w:val="000000"/>
                <w:szCs w:val="21"/>
              </w:rPr>
            </w:pPr>
            <w:r>
              <w:rPr>
                <w:color w:val="000000"/>
                <w:szCs w:val="21"/>
              </w:rPr>
              <w:t>3</w:t>
            </w:r>
          </w:p>
        </w:tc>
        <w:tc>
          <w:tcPr>
            <w:tcW w:w="0" w:type="auto"/>
            <w:noWrap w:val="0"/>
            <w:vAlign w:val="center"/>
          </w:tcPr>
          <w:p w14:paraId="2B823BE4">
            <w:pPr>
              <w:jc w:val="center"/>
              <w:rPr>
                <w:color w:val="000000"/>
                <w:szCs w:val="21"/>
              </w:rPr>
            </w:pPr>
            <w:r>
              <w:rPr>
                <w:color w:val="000000"/>
                <w:szCs w:val="21"/>
              </w:rPr>
              <w:t>40</w:t>
            </w:r>
          </w:p>
        </w:tc>
        <w:tc>
          <w:tcPr>
            <w:tcW w:w="0" w:type="auto"/>
            <w:noWrap w:val="0"/>
            <w:vAlign w:val="center"/>
          </w:tcPr>
          <w:p w14:paraId="3E168354">
            <w:pPr>
              <w:jc w:val="center"/>
              <w:rPr>
                <w:color w:val="000000"/>
                <w:szCs w:val="21"/>
              </w:rPr>
            </w:pPr>
            <w:r>
              <w:rPr>
                <w:color w:val="000000"/>
                <w:szCs w:val="21"/>
              </w:rPr>
              <w:t>180</w:t>
            </w:r>
          </w:p>
        </w:tc>
      </w:tr>
      <w:tr w14:paraId="64682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D4E042F">
            <w:pPr>
              <w:jc w:val="center"/>
              <w:rPr>
                <w:color w:val="000000"/>
                <w:szCs w:val="21"/>
              </w:rPr>
            </w:pPr>
            <w:r>
              <w:rPr>
                <w:color w:val="000000"/>
                <w:szCs w:val="21"/>
              </w:rPr>
              <w:t>20</w:t>
            </w:r>
          </w:p>
        </w:tc>
        <w:tc>
          <w:tcPr>
            <w:tcW w:w="0" w:type="auto"/>
            <w:noWrap w:val="0"/>
            <w:vAlign w:val="center"/>
          </w:tcPr>
          <w:p w14:paraId="43DC19F6">
            <w:pPr>
              <w:jc w:val="center"/>
              <w:rPr>
                <w:rFonts w:eastAsia="楷体_GB2312"/>
              </w:rPr>
            </w:pPr>
            <w:r>
              <w:rPr>
                <w:rFonts w:hint="eastAsia" w:eastAsia="楷体_GB2312"/>
              </w:rPr>
              <w:t>西二路</w:t>
            </w:r>
          </w:p>
        </w:tc>
        <w:tc>
          <w:tcPr>
            <w:tcW w:w="0" w:type="auto"/>
            <w:noWrap w:val="0"/>
            <w:vAlign w:val="center"/>
          </w:tcPr>
          <w:p w14:paraId="546F11B1">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67950046">
            <w:pPr>
              <w:jc w:val="center"/>
              <w:rPr>
                <w:color w:val="000000"/>
                <w:szCs w:val="21"/>
              </w:rPr>
            </w:pPr>
            <w:r>
              <w:rPr>
                <w:color w:val="000000"/>
                <w:szCs w:val="21"/>
              </w:rPr>
              <w:t>0.4</w:t>
            </w:r>
          </w:p>
        </w:tc>
        <w:tc>
          <w:tcPr>
            <w:tcW w:w="0" w:type="auto"/>
            <w:noWrap w:val="0"/>
            <w:vAlign w:val="center"/>
          </w:tcPr>
          <w:p w14:paraId="62775DB8">
            <w:pPr>
              <w:jc w:val="center"/>
              <w:rPr>
                <w:color w:val="000000"/>
                <w:szCs w:val="21"/>
              </w:rPr>
            </w:pPr>
            <w:r>
              <w:rPr>
                <w:color w:val="000000"/>
                <w:szCs w:val="21"/>
              </w:rPr>
              <w:t>3</w:t>
            </w:r>
          </w:p>
        </w:tc>
        <w:tc>
          <w:tcPr>
            <w:tcW w:w="0" w:type="auto"/>
            <w:noWrap w:val="0"/>
            <w:vAlign w:val="center"/>
          </w:tcPr>
          <w:p w14:paraId="0C7FF41A">
            <w:pPr>
              <w:jc w:val="center"/>
              <w:rPr>
                <w:color w:val="000000"/>
                <w:szCs w:val="21"/>
              </w:rPr>
            </w:pPr>
            <w:r>
              <w:rPr>
                <w:color w:val="000000"/>
                <w:szCs w:val="21"/>
              </w:rPr>
              <w:t>40</w:t>
            </w:r>
          </w:p>
        </w:tc>
        <w:tc>
          <w:tcPr>
            <w:tcW w:w="0" w:type="auto"/>
            <w:noWrap w:val="0"/>
            <w:vAlign w:val="center"/>
          </w:tcPr>
          <w:p w14:paraId="1E496646">
            <w:pPr>
              <w:jc w:val="center"/>
              <w:rPr>
                <w:color w:val="000000"/>
                <w:szCs w:val="21"/>
              </w:rPr>
            </w:pPr>
            <w:r>
              <w:rPr>
                <w:color w:val="000000"/>
                <w:szCs w:val="21"/>
              </w:rPr>
              <w:t>180</w:t>
            </w:r>
          </w:p>
        </w:tc>
      </w:tr>
      <w:tr w14:paraId="2FAD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A5E8EF3">
            <w:pPr>
              <w:jc w:val="center"/>
              <w:rPr>
                <w:color w:val="000000"/>
                <w:szCs w:val="21"/>
              </w:rPr>
            </w:pPr>
            <w:r>
              <w:rPr>
                <w:color w:val="000000"/>
                <w:szCs w:val="21"/>
              </w:rPr>
              <w:t>21</w:t>
            </w:r>
          </w:p>
        </w:tc>
        <w:tc>
          <w:tcPr>
            <w:tcW w:w="0" w:type="auto"/>
            <w:noWrap w:val="0"/>
            <w:vAlign w:val="center"/>
          </w:tcPr>
          <w:p w14:paraId="240F4920">
            <w:pPr>
              <w:jc w:val="center"/>
              <w:rPr>
                <w:rFonts w:eastAsia="楷体_GB2312"/>
              </w:rPr>
            </w:pPr>
            <w:r>
              <w:rPr>
                <w:rFonts w:hint="eastAsia" w:eastAsia="楷体_GB2312"/>
              </w:rPr>
              <w:t>西三路</w:t>
            </w:r>
          </w:p>
        </w:tc>
        <w:tc>
          <w:tcPr>
            <w:tcW w:w="0" w:type="auto"/>
            <w:noWrap w:val="0"/>
            <w:vAlign w:val="center"/>
          </w:tcPr>
          <w:p w14:paraId="2AA772D6">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4BFE123C">
            <w:pPr>
              <w:jc w:val="center"/>
              <w:rPr>
                <w:color w:val="000000"/>
                <w:szCs w:val="21"/>
              </w:rPr>
            </w:pPr>
            <w:r>
              <w:rPr>
                <w:color w:val="000000"/>
                <w:szCs w:val="21"/>
              </w:rPr>
              <w:t>0.4</w:t>
            </w:r>
          </w:p>
        </w:tc>
        <w:tc>
          <w:tcPr>
            <w:tcW w:w="0" w:type="auto"/>
            <w:noWrap w:val="0"/>
            <w:vAlign w:val="center"/>
          </w:tcPr>
          <w:p w14:paraId="246B1C21">
            <w:pPr>
              <w:jc w:val="center"/>
              <w:rPr>
                <w:color w:val="000000"/>
                <w:szCs w:val="21"/>
              </w:rPr>
            </w:pPr>
            <w:r>
              <w:rPr>
                <w:color w:val="000000"/>
                <w:szCs w:val="21"/>
              </w:rPr>
              <w:t>3</w:t>
            </w:r>
          </w:p>
        </w:tc>
        <w:tc>
          <w:tcPr>
            <w:tcW w:w="0" w:type="auto"/>
            <w:noWrap w:val="0"/>
            <w:vAlign w:val="center"/>
          </w:tcPr>
          <w:p w14:paraId="42CBC422">
            <w:pPr>
              <w:jc w:val="center"/>
              <w:rPr>
                <w:color w:val="000000"/>
                <w:szCs w:val="21"/>
              </w:rPr>
            </w:pPr>
            <w:r>
              <w:rPr>
                <w:color w:val="000000"/>
                <w:szCs w:val="21"/>
              </w:rPr>
              <w:t>40</w:t>
            </w:r>
          </w:p>
        </w:tc>
        <w:tc>
          <w:tcPr>
            <w:tcW w:w="0" w:type="auto"/>
            <w:noWrap w:val="0"/>
            <w:vAlign w:val="center"/>
          </w:tcPr>
          <w:p w14:paraId="4F2B6484">
            <w:pPr>
              <w:jc w:val="center"/>
              <w:rPr>
                <w:color w:val="000000"/>
                <w:szCs w:val="21"/>
              </w:rPr>
            </w:pPr>
            <w:r>
              <w:rPr>
                <w:color w:val="000000"/>
                <w:szCs w:val="21"/>
              </w:rPr>
              <w:t>180</w:t>
            </w:r>
          </w:p>
        </w:tc>
      </w:tr>
      <w:tr w14:paraId="3E4E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B22FBA9">
            <w:pPr>
              <w:jc w:val="center"/>
              <w:rPr>
                <w:color w:val="000000"/>
                <w:szCs w:val="21"/>
              </w:rPr>
            </w:pPr>
            <w:r>
              <w:rPr>
                <w:color w:val="000000"/>
                <w:szCs w:val="21"/>
              </w:rPr>
              <w:t>22</w:t>
            </w:r>
          </w:p>
        </w:tc>
        <w:tc>
          <w:tcPr>
            <w:tcW w:w="0" w:type="auto"/>
            <w:noWrap w:val="0"/>
            <w:vAlign w:val="center"/>
          </w:tcPr>
          <w:p w14:paraId="6B3A643B">
            <w:pPr>
              <w:jc w:val="center"/>
              <w:rPr>
                <w:rFonts w:ascii="楷体_GB2312" w:hAnsi="宋体" w:eastAsia="楷体_GB2312" w:cs="宋体"/>
                <w:color w:val="000000"/>
                <w:szCs w:val="21"/>
              </w:rPr>
            </w:pPr>
            <w:r>
              <w:rPr>
                <w:rFonts w:hint="eastAsia" w:ascii="楷体_GB2312" w:eastAsia="楷体_GB2312"/>
                <w:color w:val="000000"/>
                <w:szCs w:val="21"/>
              </w:rPr>
              <w:t>站旁路</w:t>
            </w:r>
          </w:p>
        </w:tc>
        <w:tc>
          <w:tcPr>
            <w:tcW w:w="0" w:type="auto"/>
            <w:noWrap w:val="0"/>
            <w:vAlign w:val="center"/>
          </w:tcPr>
          <w:p w14:paraId="79326B8F">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0D18644C">
            <w:pPr>
              <w:jc w:val="center"/>
              <w:rPr>
                <w:color w:val="000000"/>
                <w:szCs w:val="21"/>
              </w:rPr>
            </w:pPr>
            <w:r>
              <w:rPr>
                <w:color w:val="000000"/>
                <w:szCs w:val="21"/>
              </w:rPr>
              <w:t>0.4</w:t>
            </w:r>
          </w:p>
        </w:tc>
        <w:tc>
          <w:tcPr>
            <w:tcW w:w="0" w:type="auto"/>
            <w:noWrap w:val="0"/>
            <w:vAlign w:val="center"/>
          </w:tcPr>
          <w:p w14:paraId="3DC90309">
            <w:pPr>
              <w:jc w:val="center"/>
              <w:rPr>
                <w:color w:val="000000"/>
                <w:szCs w:val="21"/>
              </w:rPr>
            </w:pPr>
            <w:r>
              <w:rPr>
                <w:color w:val="000000"/>
                <w:szCs w:val="21"/>
              </w:rPr>
              <w:t>3</w:t>
            </w:r>
          </w:p>
        </w:tc>
        <w:tc>
          <w:tcPr>
            <w:tcW w:w="0" w:type="auto"/>
            <w:noWrap w:val="0"/>
            <w:vAlign w:val="center"/>
          </w:tcPr>
          <w:p w14:paraId="20B4C564">
            <w:pPr>
              <w:jc w:val="center"/>
              <w:rPr>
                <w:color w:val="000000"/>
                <w:szCs w:val="21"/>
              </w:rPr>
            </w:pPr>
            <w:r>
              <w:rPr>
                <w:color w:val="000000"/>
                <w:szCs w:val="21"/>
              </w:rPr>
              <w:t>40</w:t>
            </w:r>
          </w:p>
        </w:tc>
        <w:tc>
          <w:tcPr>
            <w:tcW w:w="0" w:type="auto"/>
            <w:noWrap w:val="0"/>
            <w:vAlign w:val="center"/>
          </w:tcPr>
          <w:p w14:paraId="0D1CDE4B">
            <w:pPr>
              <w:jc w:val="center"/>
              <w:rPr>
                <w:color w:val="000000"/>
                <w:szCs w:val="21"/>
              </w:rPr>
            </w:pPr>
            <w:r>
              <w:rPr>
                <w:color w:val="000000"/>
                <w:szCs w:val="21"/>
              </w:rPr>
              <w:t>180</w:t>
            </w:r>
          </w:p>
        </w:tc>
      </w:tr>
      <w:tr w14:paraId="31903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A8D8CE0">
            <w:pPr>
              <w:jc w:val="center"/>
              <w:rPr>
                <w:color w:val="000000"/>
                <w:szCs w:val="21"/>
              </w:rPr>
            </w:pPr>
            <w:r>
              <w:rPr>
                <w:color w:val="000000"/>
                <w:szCs w:val="21"/>
              </w:rPr>
              <w:t>23</w:t>
            </w:r>
          </w:p>
        </w:tc>
        <w:tc>
          <w:tcPr>
            <w:tcW w:w="0" w:type="auto"/>
            <w:noWrap w:val="0"/>
            <w:vAlign w:val="center"/>
          </w:tcPr>
          <w:p w14:paraId="41651F4F">
            <w:pPr>
              <w:jc w:val="center"/>
              <w:rPr>
                <w:rFonts w:ascii="楷体_GB2312" w:hAnsi="宋体" w:eastAsia="楷体_GB2312" w:cs="宋体"/>
                <w:color w:val="000000"/>
                <w:szCs w:val="21"/>
              </w:rPr>
            </w:pPr>
            <w:r>
              <w:rPr>
                <w:rFonts w:hint="eastAsia" w:ascii="楷体_GB2312" w:eastAsia="楷体_GB2312"/>
                <w:color w:val="000000"/>
                <w:szCs w:val="21"/>
              </w:rPr>
              <w:t>府旁二路</w:t>
            </w:r>
          </w:p>
        </w:tc>
        <w:tc>
          <w:tcPr>
            <w:tcW w:w="0" w:type="auto"/>
            <w:noWrap w:val="0"/>
            <w:vAlign w:val="center"/>
          </w:tcPr>
          <w:p w14:paraId="608115B8">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13DDF546">
            <w:pPr>
              <w:jc w:val="center"/>
              <w:rPr>
                <w:color w:val="000000"/>
                <w:szCs w:val="21"/>
              </w:rPr>
            </w:pPr>
            <w:r>
              <w:rPr>
                <w:color w:val="000000"/>
                <w:szCs w:val="21"/>
              </w:rPr>
              <w:t>0.4</w:t>
            </w:r>
          </w:p>
        </w:tc>
        <w:tc>
          <w:tcPr>
            <w:tcW w:w="0" w:type="auto"/>
            <w:noWrap w:val="0"/>
            <w:vAlign w:val="center"/>
          </w:tcPr>
          <w:p w14:paraId="7D4F7CC6">
            <w:pPr>
              <w:jc w:val="center"/>
              <w:rPr>
                <w:color w:val="000000"/>
                <w:szCs w:val="21"/>
              </w:rPr>
            </w:pPr>
            <w:r>
              <w:rPr>
                <w:color w:val="000000"/>
                <w:szCs w:val="21"/>
              </w:rPr>
              <w:t>3</w:t>
            </w:r>
          </w:p>
        </w:tc>
        <w:tc>
          <w:tcPr>
            <w:tcW w:w="0" w:type="auto"/>
            <w:noWrap w:val="0"/>
            <w:vAlign w:val="center"/>
          </w:tcPr>
          <w:p w14:paraId="7744D6CE">
            <w:pPr>
              <w:jc w:val="center"/>
              <w:rPr>
                <w:color w:val="000000"/>
                <w:szCs w:val="21"/>
              </w:rPr>
            </w:pPr>
            <w:r>
              <w:rPr>
                <w:color w:val="000000"/>
                <w:szCs w:val="21"/>
              </w:rPr>
              <w:t>40</w:t>
            </w:r>
          </w:p>
        </w:tc>
        <w:tc>
          <w:tcPr>
            <w:tcW w:w="0" w:type="auto"/>
            <w:noWrap w:val="0"/>
            <w:vAlign w:val="center"/>
          </w:tcPr>
          <w:p w14:paraId="174B3891">
            <w:pPr>
              <w:jc w:val="center"/>
              <w:rPr>
                <w:color w:val="000000"/>
                <w:szCs w:val="21"/>
              </w:rPr>
            </w:pPr>
            <w:r>
              <w:rPr>
                <w:color w:val="000000"/>
                <w:szCs w:val="21"/>
              </w:rPr>
              <w:t>180</w:t>
            </w:r>
          </w:p>
        </w:tc>
      </w:tr>
      <w:tr w14:paraId="1727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F385711">
            <w:pPr>
              <w:jc w:val="center"/>
              <w:rPr>
                <w:color w:val="000000"/>
                <w:szCs w:val="21"/>
              </w:rPr>
            </w:pPr>
            <w:r>
              <w:rPr>
                <w:color w:val="000000"/>
                <w:szCs w:val="21"/>
              </w:rPr>
              <w:t>24</w:t>
            </w:r>
          </w:p>
        </w:tc>
        <w:tc>
          <w:tcPr>
            <w:tcW w:w="0" w:type="auto"/>
            <w:noWrap w:val="0"/>
            <w:vAlign w:val="center"/>
          </w:tcPr>
          <w:p w14:paraId="63CFAA2F">
            <w:pPr>
              <w:jc w:val="center"/>
              <w:rPr>
                <w:rFonts w:ascii="楷体_GB2312" w:hAnsi="宋体" w:eastAsia="楷体_GB2312" w:cs="宋体"/>
                <w:color w:val="000000"/>
                <w:szCs w:val="21"/>
              </w:rPr>
            </w:pPr>
            <w:r>
              <w:rPr>
                <w:rFonts w:hint="eastAsia" w:ascii="楷体_GB2312" w:eastAsia="楷体_GB2312"/>
                <w:color w:val="000000"/>
                <w:szCs w:val="21"/>
              </w:rPr>
              <w:t>府旁街</w:t>
            </w:r>
          </w:p>
        </w:tc>
        <w:tc>
          <w:tcPr>
            <w:tcW w:w="0" w:type="auto"/>
            <w:noWrap w:val="0"/>
            <w:vAlign w:val="center"/>
          </w:tcPr>
          <w:p w14:paraId="5685B690">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2AF17E5C">
            <w:pPr>
              <w:jc w:val="center"/>
              <w:rPr>
                <w:color w:val="000000"/>
                <w:szCs w:val="21"/>
              </w:rPr>
            </w:pPr>
            <w:r>
              <w:rPr>
                <w:color w:val="000000"/>
                <w:szCs w:val="21"/>
              </w:rPr>
              <w:t>0.4</w:t>
            </w:r>
          </w:p>
        </w:tc>
        <w:tc>
          <w:tcPr>
            <w:tcW w:w="0" w:type="auto"/>
            <w:noWrap w:val="0"/>
            <w:vAlign w:val="center"/>
          </w:tcPr>
          <w:p w14:paraId="7C827AF2">
            <w:pPr>
              <w:jc w:val="center"/>
              <w:rPr>
                <w:color w:val="000000"/>
                <w:szCs w:val="21"/>
              </w:rPr>
            </w:pPr>
            <w:r>
              <w:rPr>
                <w:color w:val="000000"/>
                <w:szCs w:val="21"/>
              </w:rPr>
              <w:t>3</w:t>
            </w:r>
          </w:p>
        </w:tc>
        <w:tc>
          <w:tcPr>
            <w:tcW w:w="0" w:type="auto"/>
            <w:noWrap w:val="0"/>
            <w:vAlign w:val="center"/>
          </w:tcPr>
          <w:p w14:paraId="1BC8BC68">
            <w:pPr>
              <w:jc w:val="center"/>
              <w:rPr>
                <w:color w:val="000000"/>
                <w:szCs w:val="21"/>
              </w:rPr>
            </w:pPr>
            <w:r>
              <w:rPr>
                <w:color w:val="000000"/>
                <w:szCs w:val="21"/>
              </w:rPr>
              <w:t>40</w:t>
            </w:r>
          </w:p>
        </w:tc>
        <w:tc>
          <w:tcPr>
            <w:tcW w:w="0" w:type="auto"/>
            <w:noWrap w:val="0"/>
            <w:vAlign w:val="center"/>
          </w:tcPr>
          <w:p w14:paraId="50519FAE">
            <w:pPr>
              <w:jc w:val="center"/>
              <w:rPr>
                <w:color w:val="000000"/>
                <w:szCs w:val="21"/>
              </w:rPr>
            </w:pPr>
            <w:r>
              <w:rPr>
                <w:color w:val="000000"/>
                <w:szCs w:val="21"/>
              </w:rPr>
              <w:t>180</w:t>
            </w:r>
          </w:p>
        </w:tc>
      </w:tr>
    </w:tbl>
    <w:p w14:paraId="3CAFFD6F">
      <w:pPr>
        <w:jc w:val="center"/>
        <w:rPr>
          <w:rFonts w:eastAsia="黑体"/>
          <w:sz w:val="28"/>
        </w:rPr>
      </w:pPr>
      <w:r>
        <w:rPr>
          <w:rFonts w:eastAsia="黑体"/>
          <w:sz w:val="28"/>
        </w:rPr>
        <w:t xml:space="preserve">表1-3-14  </w:t>
      </w:r>
      <w:r>
        <w:rPr>
          <w:rFonts w:hint="eastAsia" w:eastAsia="黑体"/>
          <w:sz w:val="28"/>
        </w:rPr>
        <w:t>西二铺乡</w:t>
      </w:r>
      <w:r>
        <w:rPr>
          <w:rFonts w:eastAsia="黑体"/>
          <w:sz w:val="28"/>
        </w:rPr>
        <w:t>镇区道路状况及其功能分及影响距离表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460"/>
        <w:gridCol w:w="1460"/>
        <w:gridCol w:w="1460"/>
        <w:gridCol w:w="879"/>
        <w:gridCol w:w="1170"/>
        <w:gridCol w:w="1460"/>
      </w:tblGrid>
      <w:tr w14:paraId="5CDA8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83" w:type="dxa"/>
            <w:noWrap w:val="0"/>
            <w:vAlign w:val="center"/>
          </w:tcPr>
          <w:p w14:paraId="776C59E3">
            <w:pPr>
              <w:jc w:val="center"/>
              <w:rPr>
                <w:rFonts w:eastAsia="楷体_GB2312"/>
              </w:rPr>
            </w:pPr>
            <w:r>
              <w:rPr>
                <w:rFonts w:eastAsia="楷体_GB2312"/>
              </w:rPr>
              <w:t>道路编号</w:t>
            </w:r>
          </w:p>
        </w:tc>
        <w:tc>
          <w:tcPr>
            <w:tcW w:w="0" w:type="auto"/>
            <w:noWrap w:val="0"/>
            <w:vAlign w:val="center"/>
          </w:tcPr>
          <w:p w14:paraId="135F8122">
            <w:pPr>
              <w:jc w:val="center"/>
              <w:rPr>
                <w:rFonts w:eastAsia="楷体_GB2312"/>
              </w:rPr>
            </w:pPr>
            <w:r>
              <w:rPr>
                <w:rFonts w:eastAsia="楷体_GB2312"/>
              </w:rPr>
              <w:t>道路名称</w:t>
            </w:r>
          </w:p>
        </w:tc>
        <w:tc>
          <w:tcPr>
            <w:tcW w:w="0" w:type="auto"/>
            <w:noWrap w:val="0"/>
            <w:vAlign w:val="center"/>
          </w:tcPr>
          <w:p w14:paraId="2A840E12">
            <w:pPr>
              <w:jc w:val="center"/>
              <w:rPr>
                <w:rFonts w:eastAsia="楷体_GB2312"/>
              </w:rPr>
            </w:pPr>
            <w:r>
              <w:rPr>
                <w:rFonts w:eastAsia="楷体_GB2312"/>
              </w:rPr>
              <w:t>道路类型</w:t>
            </w:r>
          </w:p>
        </w:tc>
        <w:tc>
          <w:tcPr>
            <w:tcW w:w="0" w:type="auto"/>
            <w:noWrap w:val="0"/>
            <w:vAlign w:val="center"/>
          </w:tcPr>
          <w:p w14:paraId="286FD3D2">
            <w:pPr>
              <w:jc w:val="center"/>
              <w:rPr>
                <w:rFonts w:eastAsia="楷体_GB2312"/>
              </w:rPr>
            </w:pPr>
            <w:r>
              <w:rPr>
                <w:rFonts w:eastAsia="楷体_GB2312"/>
              </w:rPr>
              <w:t>作用指数</w:t>
            </w:r>
          </w:p>
        </w:tc>
        <w:tc>
          <w:tcPr>
            <w:tcW w:w="0" w:type="auto"/>
            <w:noWrap w:val="0"/>
            <w:vAlign w:val="center"/>
          </w:tcPr>
          <w:p w14:paraId="5BF23821">
            <w:pPr>
              <w:jc w:val="center"/>
              <w:rPr>
                <w:rFonts w:eastAsia="楷体_GB2312"/>
              </w:rPr>
            </w:pPr>
            <w:r>
              <w:rPr>
                <w:rFonts w:eastAsia="楷体_GB2312"/>
              </w:rPr>
              <w:t>级别</w:t>
            </w:r>
          </w:p>
        </w:tc>
        <w:tc>
          <w:tcPr>
            <w:tcW w:w="0" w:type="auto"/>
            <w:noWrap w:val="0"/>
            <w:vAlign w:val="center"/>
          </w:tcPr>
          <w:p w14:paraId="11F9FC6F">
            <w:pPr>
              <w:jc w:val="center"/>
              <w:rPr>
                <w:rFonts w:eastAsia="楷体_GB2312"/>
              </w:rPr>
            </w:pPr>
            <w:r>
              <w:rPr>
                <w:rFonts w:eastAsia="楷体_GB2312"/>
              </w:rPr>
              <w:t>功能分</w:t>
            </w:r>
          </w:p>
        </w:tc>
        <w:tc>
          <w:tcPr>
            <w:tcW w:w="0" w:type="auto"/>
            <w:noWrap w:val="0"/>
            <w:vAlign w:val="center"/>
          </w:tcPr>
          <w:p w14:paraId="736168DB">
            <w:pPr>
              <w:jc w:val="center"/>
              <w:rPr>
                <w:rFonts w:eastAsia="楷体_GB2312"/>
              </w:rPr>
            </w:pPr>
            <w:r>
              <w:rPr>
                <w:rFonts w:eastAsia="楷体_GB2312"/>
              </w:rPr>
              <w:t>影响半径</w:t>
            </w:r>
          </w:p>
        </w:tc>
      </w:tr>
      <w:tr w14:paraId="197C7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56710B8">
            <w:pPr>
              <w:jc w:val="center"/>
              <w:rPr>
                <w:color w:val="000000"/>
                <w:szCs w:val="21"/>
              </w:rPr>
            </w:pPr>
            <w:r>
              <w:rPr>
                <w:rFonts w:hint="eastAsia"/>
                <w:color w:val="000000"/>
                <w:szCs w:val="21"/>
              </w:rPr>
              <w:t>0</w:t>
            </w:r>
            <w:r>
              <w:rPr>
                <w:color w:val="000000"/>
                <w:szCs w:val="21"/>
              </w:rPr>
              <w:t>1</w:t>
            </w:r>
          </w:p>
        </w:tc>
        <w:tc>
          <w:tcPr>
            <w:tcW w:w="0" w:type="auto"/>
            <w:noWrap w:val="0"/>
            <w:vAlign w:val="center"/>
          </w:tcPr>
          <w:p w14:paraId="67F20E4A">
            <w:pPr>
              <w:jc w:val="center"/>
              <w:rPr>
                <w:rFonts w:eastAsia="楷体_GB2312"/>
              </w:rPr>
            </w:pPr>
            <w:r>
              <w:rPr>
                <w:rFonts w:hint="eastAsia" w:eastAsia="楷体_GB2312"/>
              </w:rPr>
              <w:t>吕黄路</w:t>
            </w:r>
          </w:p>
        </w:tc>
        <w:tc>
          <w:tcPr>
            <w:tcW w:w="0" w:type="auto"/>
            <w:noWrap w:val="0"/>
            <w:vAlign w:val="center"/>
          </w:tcPr>
          <w:p w14:paraId="59AD8932">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65F5835F">
            <w:pPr>
              <w:jc w:val="center"/>
              <w:rPr>
                <w:color w:val="000000"/>
                <w:szCs w:val="21"/>
              </w:rPr>
            </w:pPr>
            <w:r>
              <w:rPr>
                <w:color w:val="000000"/>
                <w:szCs w:val="21"/>
              </w:rPr>
              <w:t>1</w:t>
            </w:r>
          </w:p>
        </w:tc>
        <w:tc>
          <w:tcPr>
            <w:tcW w:w="0" w:type="auto"/>
            <w:noWrap w:val="0"/>
            <w:vAlign w:val="center"/>
          </w:tcPr>
          <w:p w14:paraId="0EE023F1">
            <w:pPr>
              <w:jc w:val="center"/>
              <w:rPr>
                <w:color w:val="000000"/>
                <w:szCs w:val="21"/>
              </w:rPr>
            </w:pPr>
            <w:r>
              <w:rPr>
                <w:color w:val="000000"/>
                <w:szCs w:val="21"/>
              </w:rPr>
              <w:t>1</w:t>
            </w:r>
          </w:p>
        </w:tc>
        <w:tc>
          <w:tcPr>
            <w:tcW w:w="0" w:type="auto"/>
            <w:noWrap w:val="0"/>
            <w:vAlign w:val="center"/>
          </w:tcPr>
          <w:p w14:paraId="1666F876">
            <w:pPr>
              <w:jc w:val="center"/>
              <w:rPr>
                <w:color w:val="000000"/>
                <w:szCs w:val="21"/>
              </w:rPr>
            </w:pPr>
            <w:r>
              <w:rPr>
                <w:color w:val="000000"/>
                <w:szCs w:val="21"/>
              </w:rPr>
              <w:t>100</w:t>
            </w:r>
          </w:p>
        </w:tc>
        <w:tc>
          <w:tcPr>
            <w:tcW w:w="0" w:type="auto"/>
            <w:noWrap w:val="0"/>
            <w:vAlign w:val="center"/>
          </w:tcPr>
          <w:p w14:paraId="6E5ECBA4">
            <w:pPr>
              <w:jc w:val="center"/>
              <w:rPr>
                <w:color w:val="000000"/>
                <w:szCs w:val="21"/>
              </w:rPr>
            </w:pPr>
            <w:r>
              <w:rPr>
                <w:color w:val="000000"/>
                <w:szCs w:val="21"/>
              </w:rPr>
              <w:t>220</w:t>
            </w:r>
          </w:p>
        </w:tc>
      </w:tr>
      <w:tr w14:paraId="558EB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C7EDF1E">
            <w:pPr>
              <w:jc w:val="center"/>
              <w:rPr>
                <w:color w:val="000000"/>
                <w:szCs w:val="21"/>
              </w:rPr>
            </w:pPr>
            <w:r>
              <w:rPr>
                <w:rFonts w:hint="eastAsia"/>
                <w:color w:val="000000"/>
                <w:szCs w:val="21"/>
              </w:rPr>
              <w:t>0</w:t>
            </w:r>
            <w:r>
              <w:rPr>
                <w:color w:val="000000"/>
                <w:szCs w:val="21"/>
              </w:rPr>
              <w:t>2</w:t>
            </w:r>
          </w:p>
        </w:tc>
        <w:tc>
          <w:tcPr>
            <w:tcW w:w="0" w:type="auto"/>
            <w:noWrap w:val="0"/>
            <w:vAlign w:val="center"/>
          </w:tcPr>
          <w:p w14:paraId="6859D298">
            <w:pPr>
              <w:jc w:val="center"/>
              <w:rPr>
                <w:rFonts w:eastAsia="楷体_GB2312"/>
              </w:rPr>
            </w:pPr>
            <w:r>
              <w:rPr>
                <w:rFonts w:hint="eastAsia" w:eastAsia="楷体_GB2312"/>
              </w:rPr>
              <w:t>宿永路</w:t>
            </w:r>
          </w:p>
        </w:tc>
        <w:tc>
          <w:tcPr>
            <w:tcW w:w="0" w:type="auto"/>
            <w:noWrap w:val="0"/>
            <w:vAlign w:val="center"/>
          </w:tcPr>
          <w:p w14:paraId="0ADE21A5">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00254232">
            <w:pPr>
              <w:jc w:val="center"/>
              <w:rPr>
                <w:color w:val="000000"/>
                <w:szCs w:val="21"/>
              </w:rPr>
            </w:pPr>
            <w:r>
              <w:rPr>
                <w:color w:val="000000"/>
                <w:szCs w:val="21"/>
              </w:rPr>
              <w:t>1</w:t>
            </w:r>
          </w:p>
        </w:tc>
        <w:tc>
          <w:tcPr>
            <w:tcW w:w="0" w:type="auto"/>
            <w:noWrap w:val="0"/>
            <w:vAlign w:val="center"/>
          </w:tcPr>
          <w:p w14:paraId="7ED487BC">
            <w:pPr>
              <w:jc w:val="center"/>
              <w:rPr>
                <w:color w:val="000000"/>
                <w:szCs w:val="21"/>
              </w:rPr>
            </w:pPr>
            <w:r>
              <w:rPr>
                <w:color w:val="000000"/>
                <w:szCs w:val="21"/>
              </w:rPr>
              <w:t>1</w:t>
            </w:r>
          </w:p>
        </w:tc>
        <w:tc>
          <w:tcPr>
            <w:tcW w:w="0" w:type="auto"/>
            <w:noWrap w:val="0"/>
            <w:vAlign w:val="center"/>
          </w:tcPr>
          <w:p w14:paraId="7A10AF67">
            <w:pPr>
              <w:jc w:val="center"/>
              <w:rPr>
                <w:color w:val="000000"/>
                <w:szCs w:val="21"/>
              </w:rPr>
            </w:pPr>
            <w:r>
              <w:rPr>
                <w:color w:val="000000"/>
                <w:szCs w:val="21"/>
              </w:rPr>
              <w:t>100</w:t>
            </w:r>
          </w:p>
        </w:tc>
        <w:tc>
          <w:tcPr>
            <w:tcW w:w="0" w:type="auto"/>
            <w:noWrap w:val="0"/>
            <w:vAlign w:val="center"/>
          </w:tcPr>
          <w:p w14:paraId="7540C264">
            <w:pPr>
              <w:jc w:val="center"/>
              <w:rPr>
                <w:color w:val="000000"/>
                <w:szCs w:val="21"/>
              </w:rPr>
            </w:pPr>
            <w:r>
              <w:rPr>
                <w:color w:val="000000"/>
                <w:szCs w:val="21"/>
              </w:rPr>
              <w:t>220</w:t>
            </w:r>
          </w:p>
        </w:tc>
      </w:tr>
      <w:tr w14:paraId="399E0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3DF7E96">
            <w:pPr>
              <w:jc w:val="center"/>
              <w:rPr>
                <w:color w:val="000000"/>
                <w:szCs w:val="21"/>
              </w:rPr>
            </w:pPr>
            <w:r>
              <w:rPr>
                <w:rFonts w:hint="eastAsia"/>
                <w:color w:val="000000"/>
                <w:szCs w:val="21"/>
              </w:rPr>
              <w:t>0</w:t>
            </w:r>
            <w:r>
              <w:rPr>
                <w:color w:val="000000"/>
                <w:szCs w:val="21"/>
              </w:rPr>
              <w:t>3</w:t>
            </w:r>
          </w:p>
        </w:tc>
        <w:tc>
          <w:tcPr>
            <w:tcW w:w="0" w:type="auto"/>
            <w:noWrap w:val="0"/>
            <w:vAlign w:val="center"/>
          </w:tcPr>
          <w:p w14:paraId="5D8BFA68">
            <w:pPr>
              <w:jc w:val="center"/>
              <w:rPr>
                <w:rFonts w:eastAsia="楷体_GB2312"/>
              </w:rPr>
            </w:pPr>
            <w:r>
              <w:rPr>
                <w:rFonts w:hint="eastAsia" w:eastAsia="楷体_GB2312"/>
              </w:rPr>
              <w:t>福顺路</w:t>
            </w:r>
          </w:p>
        </w:tc>
        <w:tc>
          <w:tcPr>
            <w:tcW w:w="0" w:type="auto"/>
            <w:noWrap w:val="0"/>
            <w:vAlign w:val="center"/>
          </w:tcPr>
          <w:p w14:paraId="3216B243">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22D1BBCE">
            <w:pPr>
              <w:jc w:val="center"/>
              <w:rPr>
                <w:color w:val="000000"/>
                <w:szCs w:val="21"/>
              </w:rPr>
            </w:pPr>
            <w:r>
              <w:rPr>
                <w:color w:val="000000"/>
                <w:szCs w:val="21"/>
              </w:rPr>
              <w:t>1</w:t>
            </w:r>
          </w:p>
        </w:tc>
        <w:tc>
          <w:tcPr>
            <w:tcW w:w="0" w:type="auto"/>
            <w:noWrap w:val="0"/>
            <w:vAlign w:val="center"/>
          </w:tcPr>
          <w:p w14:paraId="6DC8D2F4">
            <w:pPr>
              <w:jc w:val="center"/>
              <w:rPr>
                <w:color w:val="000000"/>
                <w:szCs w:val="21"/>
              </w:rPr>
            </w:pPr>
            <w:r>
              <w:rPr>
                <w:color w:val="000000"/>
                <w:szCs w:val="21"/>
              </w:rPr>
              <w:t>1</w:t>
            </w:r>
          </w:p>
        </w:tc>
        <w:tc>
          <w:tcPr>
            <w:tcW w:w="0" w:type="auto"/>
            <w:noWrap w:val="0"/>
            <w:vAlign w:val="center"/>
          </w:tcPr>
          <w:p w14:paraId="53DA1D65">
            <w:pPr>
              <w:jc w:val="center"/>
              <w:rPr>
                <w:color w:val="000000"/>
                <w:szCs w:val="21"/>
              </w:rPr>
            </w:pPr>
            <w:r>
              <w:rPr>
                <w:color w:val="000000"/>
                <w:szCs w:val="21"/>
              </w:rPr>
              <w:t>100</w:t>
            </w:r>
          </w:p>
        </w:tc>
        <w:tc>
          <w:tcPr>
            <w:tcW w:w="0" w:type="auto"/>
            <w:noWrap w:val="0"/>
            <w:vAlign w:val="center"/>
          </w:tcPr>
          <w:p w14:paraId="0CFF1F35">
            <w:pPr>
              <w:jc w:val="center"/>
              <w:rPr>
                <w:color w:val="000000"/>
                <w:szCs w:val="21"/>
              </w:rPr>
            </w:pPr>
            <w:r>
              <w:rPr>
                <w:color w:val="000000"/>
                <w:szCs w:val="21"/>
              </w:rPr>
              <w:t>220</w:t>
            </w:r>
          </w:p>
        </w:tc>
      </w:tr>
      <w:tr w14:paraId="07A02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265D7D0">
            <w:pPr>
              <w:jc w:val="center"/>
              <w:rPr>
                <w:color w:val="000000"/>
                <w:szCs w:val="21"/>
              </w:rPr>
            </w:pPr>
            <w:r>
              <w:rPr>
                <w:rFonts w:hint="eastAsia"/>
                <w:color w:val="000000"/>
                <w:szCs w:val="21"/>
              </w:rPr>
              <w:t>0</w:t>
            </w:r>
            <w:r>
              <w:rPr>
                <w:color w:val="000000"/>
                <w:szCs w:val="21"/>
              </w:rPr>
              <w:t>4</w:t>
            </w:r>
          </w:p>
        </w:tc>
        <w:tc>
          <w:tcPr>
            <w:tcW w:w="0" w:type="auto"/>
            <w:noWrap w:val="0"/>
            <w:vAlign w:val="center"/>
          </w:tcPr>
          <w:p w14:paraId="294D554C">
            <w:pPr>
              <w:jc w:val="center"/>
              <w:rPr>
                <w:rFonts w:eastAsia="楷体_GB2312"/>
              </w:rPr>
            </w:pPr>
            <w:r>
              <w:rPr>
                <w:rFonts w:hint="eastAsia" w:eastAsia="楷体_GB2312"/>
              </w:rPr>
              <w:t>薛堂路</w:t>
            </w:r>
          </w:p>
        </w:tc>
        <w:tc>
          <w:tcPr>
            <w:tcW w:w="0" w:type="auto"/>
            <w:noWrap w:val="0"/>
            <w:vAlign w:val="center"/>
          </w:tcPr>
          <w:p w14:paraId="7158A447">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53DE4542">
            <w:pPr>
              <w:jc w:val="center"/>
              <w:rPr>
                <w:color w:val="000000"/>
                <w:szCs w:val="21"/>
              </w:rPr>
            </w:pPr>
            <w:r>
              <w:rPr>
                <w:color w:val="000000"/>
                <w:szCs w:val="21"/>
              </w:rPr>
              <w:t>1</w:t>
            </w:r>
          </w:p>
        </w:tc>
        <w:tc>
          <w:tcPr>
            <w:tcW w:w="0" w:type="auto"/>
            <w:noWrap w:val="0"/>
            <w:vAlign w:val="center"/>
          </w:tcPr>
          <w:p w14:paraId="52CD6459">
            <w:pPr>
              <w:jc w:val="center"/>
              <w:rPr>
                <w:color w:val="000000"/>
                <w:szCs w:val="21"/>
              </w:rPr>
            </w:pPr>
            <w:r>
              <w:rPr>
                <w:color w:val="000000"/>
                <w:szCs w:val="21"/>
              </w:rPr>
              <w:t>1</w:t>
            </w:r>
          </w:p>
        </w:tc>
        <w:tc>
          <w:tcPr>
            <w:tcW w:w="0" w:type="auto"/>
            <w:noWrap w:val="0"/>
            <w:vAlign w:val="center"/>
          </w:tcPr>
          <w:p w14:paraId="51B0173C">
            <w:pPr>
              <w:jc w:val="center"/>
              <w:rPr>
                <w:color w:val="000000"/>
                <w:szCs w:val="21"/>
              </w:rPr>
            </w:pPr>
            <w:r>
              <w:rPr>
                <w:color w:val="000000"/>
                <w:szCs w:val="21"/>
              </w:rPr>
              <w:t>100</w:t>
            </w:r>
          </w:p>
        </w:tc>
        <w:tc>
          <w:tcPr>
            <w:tcW w:w="0" w:type="auto"/>
            <w:noWrap w:val="0"/>
            <w:vAlign w:val="center"/>
          </w:tcPr>
          <w:p w14:paraId="4B8CCD72">
            <w:pPr>
              <w:jc w:val="center"/>
              <w:rPr>
                <w:color w:val="000000"/>
                <w:szCs w:val="21"/>
              </w:rPr>
            </w:pPr>
            <w:r>
              <w:rPr>
                <w:color w:val="000000"/>
                <w:szCs w:val="21"/>
              </w:rPr>
              <w:t>220</w:t>
            </w:r>
          </w:p>
        </w:tc>
      </w:tr>
      <w:tr w14:paraId="72AA3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9D448C6">
            <w:pPr>
              <w:jc w:val="center"/>
              <w:rPr>
                <w:color w:val="000000"/>
                <w:szCs w:val="21"/>
              </w:rPr>
            </w:pPr>
            <w:r>
              <w:rPr>
                <w:rFonts w:hint="eastAsia"/>
                <w:color w:val="000000"/>
                <w:szCs w:val="21"/>
              </w:rPr>
              <w:t>0</w:t>
            </w:r>
            <w:r>
              <w:rPr>
                <w:color w:val="000000"/>
                <w:szCs w:val="21"/>
              </w:rPr>
              <w:t>5</w:t>
            </w:r>
          </w:p>
        </w:tc>
        <w:tc>
          <w:tcPr>
            <w:tcW w:w="0" w:type="auto"/>
            <w:noWrap w:val="0"/>
            <w:vAlign w:val="center"/>
          </w:tcPr>
          <w:p w14:paraId="4A703698">
            <w:pPr>
              <w:jc w:val="center"/>
              <w:rPr>
                <w:rFonts w:eastAsia="楷体_GB2312"/>
              </w:rPr>
            </w:pPr>
            <w:r>
              <w:rPr>
                <w:rFonts w:hint="eastAsia" w:eastAsia="楷体_GB2312"/>
              </w:rPr>
              <w:t>文旅大街</w:t>
            </w:r>
          </w:p>
        </w:tc>
        <w:tc>
          <w:tcPr>
            <w:tcW w:w="0" w:type="auto"/>
            <w:noWrap w:val="0"/>
            <w:vAlign w:val="center"/>
          </w:tcPr>
          <w:p w14:paraId="3A7F1AB2">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0FCFB1AF">
            <w:pPr>
              <w:jc w:val="center"/>
              <w:rPr>
                <w:color w:val="000000"/>
                <w:szCs w:val="21"/>
              </w:rPr>
            </w:pPr>
            <w:r>
              <w:rPr>
                <w:color w:val="000000"/>
                <w:szCs w:val="21"/>
              </w:rPr>
              <w:t>1</w:t>
            </w:r>
          </w:p>
        </w:tc>
        <w:tc>
          <w:tcPr>
            <w:tcW w:w="0" w:type="auto"/>
            <w:noWrap w:val="0"/>
            <w:vAlign w:val="center"/>
          </w:tcPr>
          <w:p w14:paraId="07001AFE">
            <w:pPr>
              <w:jc w:val="center"/>
              <w:rPr>
                <w:color w:val="000000"/>
                <w:szCs w:val="21"/>
              </w:rPr>
            </w:pPr>
            <w:r>
              <w:rPr>
                <w:color w:val="000000"/>
                <w:szCs w:val="21"/>
              </w:rPr>
              <w:t>1</w:t>
            </w:r>
          </w:p>
        </w:tc>
        <w:tc>
          <w:tcPr>
            <w:tcW w:w="0" w:type="auto"/>
            <w:noWrap w:val="0"/>
            <w:vAlign w:val="center"/>
          </w:tcPr>
          <w:p w14:paraId="0C6EFE8B">
            <w:pPr>
              <w:jc w:val="center"/>
              <w:rPr>
                <w:color w:val="000000"/>
                <w:szCs w:val="21"/>
              </w:rPr>
            </w:pPr>
            <w:r>
              <w:rPr>
                <w:color w:val="000000"/>
                <w:szCs w:val="21"/>
              </w:rPr>
              <w:t>100</w:t>
            </w:r>
          </w:p>
        </w:tc>
        <w:tc>
          <w:tcPr>
            <w:tcW w:w="0" w:type="auto"/>
            <w:noWrap w:val="0"/>
            <w:vAlign w:val="center"/>
          </w:tcPr>
          <w:p w14:paraId="2E4D0813">
            <w:pPr>
              <w:jc w:val="center"/>
              <w:rPr>
                <w:color w:val="000000"/>
                <w:szCs w:val="21"/>
              </w:rPr>
            </w:pPr>
            <w:r>
              <w:rPr>
                <w:color w:val="000000"/>
                <w:szCs w:val="21"/>
              </w:rPr>
              <w:t>220</w:t>
            </w:r>
          </w:p>
        </w:tc>
      </w:tr>
      <w:tr w14:paraId="615C2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A9A0275">
            <w:pPr>
              <w:jc w:val="center"/>
              <w:rPr>
                <w:color w:val="000000"/>
                <w:szCs w:val="21"/>
              </w:rPr>
            </w:pPr>
            <w:r>
              <w:rPr>
                <w:rFonts w:hint="eastAsia"/>
                <w:color w:val="000000"/>
                <w:szCs w:val="21"/>
              </w:rPr>
              <w:t>0</w:t>
            </w:r>
            <w:r>
              <w:rPr>
                <w:color w:val="000000"/>
                <w:szCs w:val="21"/>
              </w:rPr>
              <w:t>6</w:t>
            </w:r>
          </w:p>
        </w:tc>
        <w:tc>
          <w:tcPr>
            <w:tcW w:w="0" w:type="auto"/>
            <w:noWrap w:val="0"/>
            <w:vAlign w:val="center"/>
          </w:tcPr>
          <w:p w14:paraId="3831842B">
            <w:pPr>
              <w:jc w:val="center"/>
              <w:rPr>
                <w:rFonts w:eastAsia="楷体_GB2312"/>
              </w:rPr>
            </w:pPr>
            <w:r>
              <w:rPr>
                <w:rFonts w:hint="eastAsia" w:eastAsia="楷体_GB2312"/>
              </w:rPr>
              <w:t>康庄路</w:t>
            </w:r>
          </w:p>
        </w:tc>
        <w:tc>
          <w:tcPr>
            <w:tcW w:w="0" w:type="auto"/>
            <w:noWrap w:val="0"/>
            <w:vAlign w:val="center"/>
          </w:tcPr>
          <w:p w14:paraId="48627576">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17409878">
            <w:pPr>
              <w:jc w:val="center"/>
              <w:rPr>
                <w:color w:val="000000"/>
                <w:szCs w:val="21"/>
              </w:rPr>
            </w:pPr>
            <w:r>
              <w:rPr>
                <w:color w:val="000000"/>
                <w:szCs w:val="21"/>
              </w:rPr>
              <w:t>1</w:t>
            </w:r>
          </w:p>
        </w:tc>
        <w:tc>
          <w:tcPr>
            <w:tcW w:w="0" w:type="auto"/>
            <w:noWrap w:val="0"/>
            <w:vAlign w:val="center"/>
          </w:tcPr>
          <w:p w14:paraId="669EB090">
            <w:pPr>
              <w:jc w:val="center"/>
              <w:rPr>
                <w:color w:val="000000"/>
                <w:szCs w:val="21"/>
              </w:rPr>
            </w:pPr>
            <w:r>
              <w:rPr>
                <w:color w:val="000000"/>
                <w:szCs w:val="21"/>
              </w:rPr>
              <w:t>1</w:t>
            </w:r>
          </w:p>
        </w:tc>
        <w:tc>
          <w:tcPr>
            <w:tcW w:w="0" w:type="auto"/>
            <w:noWrap w:val="0"/>
            <w:vAlign w:val="center"/>
          </w:tcPr>
          <w:p w14:paraId="3390AD6C">
            <w:pPr>
              <w:jc w:val="center"/>
              <w:rPr>
                <w:color w:val="000000"/>
                <w:szCs w:val="21"/>
              </w:rPr>
            </w:pPr>
            <w:r>
              <w:rPr>
                <w:color w:val="000000"/>
                <w:szCs w:val="21"/>
              </w:rPr>
              <w:t>100</w:t>
            </w:r>
          </w:p>
        </w:tc>
        <w:tc>
          <w:tcPr>
            <w:tcW w:w="0" w:type="auto"/>
            <w:noWrap w:val="0"/>
            <w:vAlign w:val="center"/>
          </w:tcPr>
          <w:p w14:paraId="71741CA8">
            <w:pPr>
              <w:jc w:val="center"/>
              <w:rPr>
                <w:color w:val="000000"/>
                <w:szCs w:val="21"/>
              </w:rPr>
            </w:pPr>
            <w:r>
              <w:rPr>
                <w:color w:val="000000"/>
                <w:szCs w:val="21"/>
              </w:rPr>
              <w:t>220</w:t>
            </w:r>
          </w:p>
        </w:tc>
      </w:tr>
      <w:tr w14:paraId="05D24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A37AA8C">
            <w:pPr>
              <w:jc w:val="center"/>
              <w:rPr>
                <w:color w:val="000000"/>
                <w:szCs w:val="21"/>
              </w:rPr>
            </w:pPr>
            <w:r>
              <w:rPr>
                <w:rFonts w:hint="eastAsia"/>
                <w:color w:val="000000"/>
                <w:szCs w:val="21"/>
              </w:rPr>
              <w:t>0</w:t>
            </w:r>
            <w:r>
              <w:rPr>
                <w:color w:val="000000"/>
                <w:szCs w:val="21"/>
              </w:rPr>
              <w:t>7</w:t>
            </w:r>
          </w:p>
        </w:tc>
        <w:tc>
          <w:tcPr>
            <w:tcW w:w="0" w:type="auto"/>
            <w:noWrap w:val="0"/>
            <w:vAlign w:val="center"/>
          </w:tcPr>
          <w:p w14:paraId="6BD28C6F">
            <w:pPr>
              <w:jc w:val="center"/>
              <w:rPr>
                <w:rFonts w:eastAsia="楷体_GB2312"/>
              </w:rPr>
            </w:pPr>
            <w:r>
              <w:rPr>
                <w:rFonts w:hint="eastAsia" w:eastAsia="楷体_GB2312"/>
              </w:rPr>
              <w:t>周魏路</w:t>
            </w:r>
          </w:p>
        </w:tc>
        <w:tc>
          <w:tcPr>
            <w:tcW w:w="0" w:type="auto"/>
            <w:noWrap w:val="0"/>
            <w:vAlign w:val="center"/>
          </w:tcPr>
          <w:p w14:paraId="673046CF">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48A29C1C">
            <w:pPr>
              <w:jc w:val="center"/>
              <w:rPr>
                <w:color w:val="000000"/>
                <w:szCs w:val="21"/>
              </w:rPr>
            </w:pPr>
            <w:r>
              <w:rPr>
                <w:color w:val="000000"/>
                <w:szCs w:val="21"/>
              </w:rPr>
              <w:t>1</w:t>
            </w:r>
          </w:p>
        </w:tc>
        <w:tc>
          <w:tcPr>
            <w:tcW w:w="0" w:type="auto"/>
            <w:noWrap w:val="0"/>
            <w:vAlign w:val="center"/>
          </w:tcPr>
          <w:p w14:paraId="71BC6CBF">
            <w:pPr>
              <w:jc w:val="center"/>
              <w:rPr>
                <w:color w:val="000000"/>
                <w:szCs w:val="21"/>
              </w:rPr>
            </w:pPr>
            <w:r>
              <w:rPr>
                <w:color w:val="000000"/>
                <w:szCs w:val="21"/>
              </w:rPr>
              <w:t>1</w:t>
            </w:r>
          </w:p>
        </w:tc>
        <w:tc>
          <w:tcPr>
            <w:tcW w:w="0" w:type="auto"/>
            <w:noWrap w:val="0"/>
            <w:vAlign w:val="center"/>
          </w:tcPr>
          <w:p w14:paraId="735A7391">
            <w:pPr>
              <w:jc w:val="center"/>
              <w:rPr>
                <w:color w:val="000000"/>
                <w:szCs w:val="21"/>
              </w:rPr>
            </w:pPr>
            <w:r>
              <w:rPr>
                <w:color w:val="000000"/>
                <w:szCs w:val="21"/>
              </w:rPr>
              <w:t>100</w:t>
            </w:r>
          </w:p>
        </w:tc>
        <w:tc>
          <w:tcPr>
            <w:tcW w:w="0" w:type="auto"/>
            <w:noWrap w:val="0"/>
            <w:vAlign w:val="center"/>
          </w:tcPr>
          <w:p w14:paraId="059205AC">
            <w:pPr>
              <w:jc w:val="center"/>
              <w:rPr>
                <w:color w:val="000000"/>
                <w:szCs w:val="21"/>
              </w:rPr>
            </w:pPr>
            <w:r>
              <w:rPr>
                <w:color w:val="000000"/>
                <w:szCs w:val="21"/>
              </w:rPr>
              <w:t>220</w:t>
            </w:r>
          </w:p>
        </w:tc>
      </w:tr>
      <w:tr w14:paraId="1EE36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DEF51DC">
            <w:pPr>
              <w:jc w:val="center"/>
              <w:rPr>
                <w:color w:val="000000"/>
                <w:szCs w:val="21"/>
              </w:rPr>
            </w:pPr>
            <w:r>
              <w:rPr>
                <w:rFonts w:hint="eastAsia"/>
                <w:color w:val="000000"/>
                <w:szCs w:val="21"/>
              </w:rPr>
              <w:t>0</w:t>
            </w:r>
            <w:r>
              <w:rPr>
                <w:color w:val="000000"/>
                <w:szCs w:val="21"/>
              </w:rPr>
              <w:t>8</w:t>
            </w:r>
          </w:p>
        </w:tc>
        <w:tc>
          <w:tcPr>
            <w:tcW w:w="0" w:type="auto"/>
            <w:noWrap w:val="0"/>
            <w:vAlign w:val="center"/>
          </w:tcPr>
          <w:p w14:paraId="7C6413F5">
            <w:pPr>
              <w:jc w:val="center"/>
              <w:rPr>
                <w:rFonts w:eastAsia="楷体_GB2312"/>
              </w:rPr>
            </w:pPr>
            <w:r>
              <w:rPr>
                <w:rFonts w:hint="eastAsia" w:eastAsia="楷体_GB2312"/>
              </w:rPr>
              <w:t>西环路</w:t>
            </w:r>
          </w:p>
        </w:tc>
        <w:tc>
          <w:tcPr>
            <w:tcW w:w="0" w:type="auto"/>
            <w:noWrap w:val="0"/>
            <w:vAlign w:val="center"/>
          </w:tcPr>
          <w:p w14:paraId="4D2EDDCC">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10AAED30">
            <w:pPr>
              <w:jc w:val="center"/>
              <w:rPr>
                <w:color w:val="000000"/>
                <w:szCs w:val="21"/>
              </w:rPr>
            </w:pPr>
            <w:r>
              <w:rPr>
                <w:color w:val="000000"/>
                <w:szCs w:val="21"/>
              </w:rPr>
              <w:t>1</w:t>
            </w:r>
          </w:p>
        </w:tc>
        <w:tc>
          <w:tcPr>
            <w:tcW w:w="0" w:type="auto"/>
            <w:noWrap w:val="0"/>
            <w:vAlign w:val="center"/>
          </w:tcPr>
          <w:p w14:paraId="07A9CB1C">
            <w:pPr>
              <w:jc w:val="center"/>
              <w:rPr>
                <w:color w:val="000000"/>
                <w:szCs w:val="21"/>
              </w:rPr>
            </w:pPr>
            <w:r>
              <w:rPr>
                <w:color w:val="000000"/>
                <w:szCs w:val="21"/>
              </w:rPr>
              <w:t>1</w:t>
            </w:r>
          </w:p>
        </w:tc>
        <w:tc>
          <w:tcPr>
            <w:tcW w:w="0" w:type="auto"/>
            <w:noWrap w:val="0"/>
            <w:vAlign w:val="center"/>
          </w:tcPr>
          <w:p w14:paraId="08DAAC28">
            <w:pPr>
              <w:jc w:val="center"/>
              <w:rPr>
                <w:color w:val="000000"/>
                <w:szCs w:val="21"/>
              </w:rPr>
            </w:pPr>
            <w:r>
              <w:rPr>
                <w:color w:val="000000"/>
                <w:szCs w:val="21"/>
              </w:rPr>
              <w:t>100</w:t>
            </w:r>
          </w:p>
        </w:tc>
        <w:tc>
          <w:tcPr>
            <w:tcW w:w="0" w:type="auto"/>
            <w:noWrap w:val="0"/>
            <w:vAlign w:val="center"/>
          </w:tcPr>
          <w:p w14:paraId="43723E0E">
            <w:pPr>
              <w:jc w:val="center"/>
              <w:rPr>
                <w:color w:val="000000"/>
                <w:szCs w:val="21"/>
              </w:rPr>
            </w:pPr>
            <w:r>
              <w:rPr>
                <w:color w:val="000000"/>
                <w:szCs w:val="21"/>
              </w:rPr>
              <w:t>220</w:t>
            </w:r>
          </w:p>
        </w:tc>
      </w:tr>
      <w:tr w14:paraId="391B2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4ED13D6">
            <w:pPr>
              <w:jc w:val="center"/>
              <w:rPr>
                <w:color w:val="000000"/>
                <w:szCs w:val="21"/>
              </w:rPr>
            </w:pPr>
            <w:r>
              <w:rPr>
                <w:rFonts w:hint="eastAsia"/>
                <w:color w:val="000000"/>
                <w:szCs w:val="21"/>
              </w:rPr>
              <w:t>0</w:t>
            </w:r>
            <w:r>
              <w:rPr>
                <w:color w:val="000000"/>
                <w:szCs w:val="21"/>
              </w:rPr>
              <w:t>9</w:t>
            </w:r>
          </w:p>
        </w:tc>
        <w:tc>
          <w:tcPr>
            <w:tcW w:w="0" w:type="auto"/>
            <w:noWrap w:val="0"/>
            <w:vAlign w:val="center"/>
          </w:tcPr>
          <w:p w14:paraId="52C22B57">
            <w:pPr>
              <w:jc w:val="center"/>
              <w:rPr>
                <w:rFonts w:eastAsia="楷体_GB2312"/>
              </w:rPr>
            </w:pPr>
            <w:r>
              <w:rPr>
                <w:rFonts w:hint="eastAsia" w:eastAsia="楷体_GB2312"/>
              </w:rPr>
              <w:t>富兴路</w:t>
            </w:r>
          </w:p>
        </w:tc>
        <w:tc>
          <w:tcPr>
            <w:tcW w:w="0" w:type="auto"/>
            <w:noWrap w:val="0"/>
            <w:vAlign w:val="center"/>
          </w:tcPr>
          <w:p w14:paraId="23E87008">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53922A95">
            <w:pPr>
              <w:jc w:val="center"/>
              <w:rPr>
                <w:color w:val="000000"/>
                <w:szCs w:val="21"/>
              </w:rPr>
            </w:pPr>
            <w:r>
              <w:rPr>
                <w:color w:val="000000"/>
                <w:szCs w:val="21"/>
              </w:rPr>
              <w:t>0.7</w:t>
            </w:r>
          </w:p>
        </w:tc>
        <w:tc>
          <w:tcPr>
            <w:tcW w:w="0" w:type="auto"/>
            <w:noWrap w:val="0"/>
            <w:vAlign w:val="center"/>
          </w:tcPr>
          <w:p w14:paraId="61C2FC70">
            <w:pPr>
              <w:jc w:val="center"/>
              <w:rPr>
                <w:color w:val="000000"/>
                <w:szCs w:val="21"/>
              </w:rPr>
            </w:pPr>
            <w:r>
              <w:rPr>
                <w:color w:val="000000"/>
                <w:szCs w:val="21"/>
              </w:rPr>
              <w:t>2</w:t>
            </w:r>
          </w:p>
        </w:tc>
        <w:tc>
          <w:tcPr>
            <w:tcW w:w="0" w:type="auto"/>
            <w:noWrap w:val="0"/>
            <w:vAlign w:val="center"/>
          </w:tcPr>
          <w:p w14:paraId="360FDA5F">
            <w:pPr>
              <w:jc w:val="center"/>
              <w:rPr>
                <w:color w:val="000000"/>
                <w:szCs w:val="21"/>
              </w:rPr>
            </w:pPr>
            <w:r>
              <w:rPr>
                <w:color w:val="000000"/>
                <w:szCs w:val="21"/>
              </w:rPr>
              <w:t>70</w:t>
            </w:r>
          </w:p>
        </w:tc>
        <w:tc>
          <w:tcPr>
            <w:tcW w:w="0" w:type="auto"/>
            <w:noWrap w:val="0"/>
            <w:vAlign w:val="center"/>
          </w:tcPr>
          <w:p w14:paraId="6C3D6B57">
            <w:pPr>
              <w:jc w:val="center"/>
              <w:rPr>
                <w:color w:val="000000"/>
                <w:szCs w:val="21"/>
              </w:rPr>
            </w:pPr>
            <w:r>
              <w:rPr>
                <w:color w:val="000000"/>
                <w:szCs w:val="21"/>
              </w:rPr>
              <w:t>180</w:t>
            </w:r>
          </w:p>
        </w:tc>
      </w:tr>
      <w:tr w14:paraId="6902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0D4EFC4">
            <w:pPr>
              <w:jc w:val="center"/>
              <w:rPr>
                <w:color w:val="000000"/>
                <w:szCs w:val="21"/>
              </w:rPr>
            </w:pPr>
            <w:r>
              <w:rPr>
                <w:color w:val="000000"/>
                <w:szCs w:val="21"/>
              </w:rPr>
              <w:t>10</w:t>
            </w:r>
          </w:p>
        </w:tc>
        <w:tc>
          <w:tcPr>
            <w:tcW w:w="0" w:type="auto"/>
            <w:noWrap w:val="0"/>
            <w:vAlign w:val="center"/>
          </w:tcPr>
          <w:p w14:paraId="1653F1D8">
            <w:pPr>
              <w:jc w:val="center"/>
              <w:rPr>
                <w:rFonts w:eastAsia="楷体_GB2312"/>
              </w:rPr>
            </w:pPr>
            <w:r>
              <w:rPr>
                <w:rFonts w:hint="eastAsia" w:eastAsia="楷体_GB2312"/>
              </w:rPr>
              <w:t>利民路</w:t>
            </w:r>
          </w:p>
        </w:tc>
        <w:tc>
          <w:tcPr>
            <w:tcW w:w="0" w:type="auto"/>
            <w:noWrap w:val="0"/>
            <w:vAlign w:val="center"/>
          </w:tcPr>
          <w:p w14:paraId="0B24B459">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10C7E228">
            <w:pPr>
              <w:jc w:val="center"/>
              <w:rPr>
                <w:color w:val="000000"/>
                <w:szCs w:val="21"/>
              </w:rPr>
            </w:pPr>
            <w:r>
              <w:rPr>
                <w:color w:val="000000"/>
                <w:szCs w:val="21"/>
              </w:rPr>
              <w:t>0.7</w:t>
            </w:r>
          </w:p>
        </w:tc>
        <w:tc>
          <w:tcPr>
            <w:tcW w:w="0" w:type="auto"/>
            <w:noWrap w:val="0"/>
            <w:vAlign w:val="center"/>
          </w:tcPr>
          <w:p w14:paraId="0548E139">
            <w:pPr>
              <w:jc w:val="center"/>
              <w:rPr>
                <w:color w:val="000000"/>
                <w:szCs w:val="21"/>
              </w:rPr>
            </w:pPr>
            <w:r>
              <w:rPr>
                <w:color w:val="000000"/>
                <w:szCs w:val="21"/>
              </w:rPr>
              <w:t>2</w:t>
            </w:r>
          </w:p>
        </w:tc>
        <w:tc>
          <w:tcPr>
            <w:tcW w:w="0" w:type="auto"/>
            <w:noWrap w:val="0"/>
            <w:vAlign w:val="center"/>
          </w:tcPr>
          <w:p w14:paraId="4EAE2038">
            <w:pPr>
              <w:jc w:val="center"/>
              <w:rPr>
                <w:color w:val="000000"/>
                <w:szCs w:val="21"/>
              </w:rPr>
            </w:pPr>
            <w:r>
              <w:rPr>
                <w:color w:val="000000"/>
                <w:szCs w:val="21"/>
              </w:rPr>
              <w:t>70</w:t>
            </w:r>
          </w:p>
        </w:tc>
        <w:tc>
          <w:tcPr>
            <w:tcW w:w="0" w:type="auto"/>
            <w:noWrap w:val="0"/>
            <w:vAlign w:val="center"/>
          </w:tcPr>
          <w:p w14:paraId="1C01537B">
            <w:pPr>
              <w:jc w:val="center"/>
              <w:rPr>
                <w:color w:val="000000"/>
                <w:szCs w:val="21"/>
              </w:rPr>
            </w:pPr>
            <w:r>
              <w:rPr>
                <w:color w:val="000000"/>
                <w:szCs w:val="21"/>
              </w:rPr>
              <w:t>180</w:t>
            </w:r>
          </w:p>
        </w:tc>
      </w:tr>
      <w:tr w14:paraId="28EB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201EB1C">
            <w:pPr>
              <w:jc w:val="center"/>
              <w:rPr>
                <w:color w:val="000000"/>
                <w:szCs w:val="21"/>
              </w:rPr>
            </w:pPr>
            <w:r>
              <w:rPr>
                <w:color w:val="000000"/>
                <w:szCs w:val="21"/>
              </w:rPr>
              <w:t>11</w:t>
            </w:r>
          </w:p>
        </w:tc>
        <w:tc>
          <w:tcPr>
            <w:tcW w:w="0" w:type="auto"/>
            <w:noWrap w:val="0"/>
            <w:vAlign w:val="center"/>
          </w:tcPr>
          <w:p w14:paraId="55721C8B">
            <w:pPr>
              <w:jc w:val="center"/>
              <w:rPr>
                <w:rFonts w:eastAsia="楷体_GB2312"/>
              </w:rPr>
            </w:pPr>
            <w:r>
              <w:rPr>
                <w:rFonts w:hint="eastAsia" w:eastAsia="楷体_GB2312"/>
              </w:rPr>
              <w:t>昌盛路</w:t>
            </w:r>
          </w:p>
        </w:tc>
        <w:tc>
          <w:tcPr>
            <w:tcW w:w="0" w:type="auto"/>
            <w:noWrap w:val="0"/>
            <w:vAlign w:val="center"/>
          </w:tcPr>
          <w:p w14:paraId="328F1839">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732EF864">
            <w:pPr>
              <w:jc w:val="center"/>
              <w:rPr>
                <w:color w:val="000000"/>
                <w:szCs w:val="21"/>
              </w:rPr>
            </w:pPr>
            <w:r>
              <w:rPr>
                <w:color w:val="000000"/>
                <w:szCs w:val="21"/>
              </w:rPr>
              <w:t>0.7</w:t>
            </w:r>
          </w:p>
        </w:tc>
        <w:tc>
          <w:tcPr>
            <w:tcW w:w="0" w:type="auto"/>
            <w:noWrap w:val="0"/>
            <w:vAlign w:val="center"/>
          </w:tcPr>
          <w:p w14:paraId="1ED7CE68">
            <w:pPr>
              <w:jc w:val="center"/>
              <w:rPr>
                <w:color w:val="000000"/>
                <w:szCs w:val="21"/>
              </w:rPr>
            </w:pPr>
            <w:r>
              <w:rPr>
                <w:color w:val="000000"/>
                <w:szCs w:val="21"/>
              </w:rPr>
              <w:t>2</w:t>
            </w:r>
          </w:p>
        </w:tc>
        <w:tc>
          <w:tcPr>
            <w:tcW w:w="0" w:type="auto"/>
            <w:noWrap w:val="0"/>
            <w:vAlign w:val="center"/>
          </w:tcPr>
          <w:p w14:paraId="36B6DB06">
            <w:pPr>
              <w:jc w:val="center"/>
              <w:rPr>
                <w:color w:val="000000"/>
                <w:szCs w:val="21"/>
              </w:rPr>
            </w:pPr>
            <w:r>
              <w:rPr>
                <w:color w:val="000000"/>
                <w:szCs w:val="21"/>
              </w:rPr>
              <w:t>70</w:t>
            </w:r>
          </w:p>
        </w:tc>
        <w:tc>
          <w:tcPr>
            <w:tcW w:w="0" w:type="auto"/>
            <w:noWrap w:val="0"/>
            <w:vAlign w:val="center"/>
          </w:tcPr>
          <w:p w14:paraId="16E2ABBC">
            <w:pPr>
              <w:jc w:val="center"/>
              <w:rPr>
                <w:color w:val="000000"/>
                <w:szCs w:val="21"/>
              </w:rPr>
            </w:pPr>
            <w:r>
              <w:rPr>
                <w:color w:val="000000"/>
                <w:szCs w:val="21"/>
              </w:rPr>
              <w:t>180</w:t>
            </w:r>
          </w:p>
        </w:tc>
      </w:tr>
      <w:tr w14:paraId="22186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CDCC1F0">
            <w:pPr>
              <w:jc w:val="center"/>
              <w:rPr>
                <w:color w:val="000000"/>
                <w:szCs w:val="21"/>
              </w:rPr>
            </w:pPr>
            <w:r>
              <w:rPr>
                <w:color w:val="000000"/>
                <w:szCs w:val="21"/>
              </w:rPr>
              <w:t>12</w:t>
            </w:r>
          </w:p>
        </w:tc>
        <w:tc>
          <w:tcPr>
            <w:tcW w:w="0" w:type="auto"/>
            <w:noWrap w:val="0"/>
            <w:vAlign w:val="center"/>
          </w:tcPr>
          <w:p w14:paraId="798EB945">
            <w:pPr>
              <w:jc w:val="center"/>
              <w:rPr>
                <w:rFonts w:eastAsia="楷体_GB2312"/>
              </w:rPr>
            </w:pPr>
            <w:r>
              <w:rPr>
                <w:rFonts w:hint="eastAsia" w:eastAsia="楷体_GB2312"/>
              </w:rPr>
              <w:t>幸福路</w:t>
            </w:r>
          </w:p>
        </w:tc>
        <w:tc>
          <w:tcPr>
            <w:tcW w:w="0" w:type="auto"/>
            <w:noWrap w:val="0"/>
            <w:vAlign w:val="center"/>
          </w:tcPr>
          <w:p w14:paraId="62900D4C">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62BC3E7A">
            <w:pPr>
              <w:jc w:val="center"/>
              <w:rPr>
                <w:color w:val="000000"/>
                <w:szCs w:val="21"/>
              </w:rPr>
            </w:pPr>
            <w:r>
              <w:rPr>
                <w:color w:val="000000"/>
                <w:szCs w:val="21"/>
              </w:rPr>
              <w:t>0.4</w:t>
            </w:r>
          </w:p>
        </w:tc>
        <w:tc>
          <w:tcPr>
            <w:tcW w:w="0" w:type="auto"/>
            <w:noWrap w:val="0"/>
            <w:vAlign w:val="center"/>
          </w:tcPr>
          <w:p w14:paraId="0B930108">
            <w:pPr>
              <w:jc w:val="center"/>
              <w:rPr>
                <w:color w:val="000000"/>
                <w:szCs w:val="21"/>
              </w:rPr>
            </w:pPr>
            <w:r>
              <w:rPr>
                <w:color w:val="000000"/>
                <w:szCs w:val="21"/>
              </w:rPr>
              <w:t>3</w:t>
            </w:r>
          </w:p>
        </w:tc>
        <w:tc>
          <w:tcPr>
            <w:tcW w:w="0" w:type="auto"/>
            <w:noWrap w:val="0"/>
            <w:vAlign w:val="center"/>
          </w:tcPr>
          <w:p w14:paraId="54761738">
            <w:pPr>
              <w:jc w:val="center"/>
              <w:rPr>
                <w:color w:val="000000"/>
                <w:szCs w:val="21"/>
              </w:rPr>
            </w:pPr>
            <w:r>
              <w:rPr>
                <w:color w:val="000000"/>
                <w:szCs w:val="21"/>
              </w:rPr>
              <w:t>40</w:t>
            </w:r>
          </w:p>
        </w:tc>
        <w:tc>
          <w:tcPr>
            <w:tcW w:w="0" w:type="auto"/>
            <w:noWrap w:val="0"/>
            <w:vAlign w:val="center"/>
          </w:tcPr>
          <w:p w14:paraId="0EA5E7EF">
            <w:pPr>
              <w:jc w:val="center"/>
              <w:rPr>
                <w:color w:val="000000"/>
                <w:szCs w:val="21"/>
              </w:rPr>
            </w:pPr>
            <w:r>
              <w:rPr>
                <w:color w:val="000000"/>
                <w:szCs w:val="21"/>
              </w:rPr>
              <w:t>150</w:t>
            </w:r>
          </w:p>
        </w:tc>
      </w:tr>
      <w:tr w14:paraId="40F78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499E3E7">
            <w:pPr>
              <w:jc w:val="center"/>
              <w:rPr>
                <w:color w:val="000000"/>
                <w:szCs w:val="21"/>
              </w:rPr>
            </w:pPr>
            <w:r>
              <w:rPr>
                <w:color w:val="000000"/>
                <w:szCs w:val="21"/>
              </w:rPr>
              <w:t>13</w:t>
            </w:r>
          </w:p>
        </w:tc>
        <w:tc>
          <w:tcPr>
            <w:tcW w:w="0" w:type="auto"/>
            <w:noWrap w:val="0"/>
            <w:vAlign w:val="center"/>
          </w:tcPr>
          <w:p w14:paraId="646034F2">
            <w:pPr>
              <w:jc w:val="center"/>
              <w:rPr>
                <w:rFonts w:eastAsia="楷体_GB2312"/>
              </w:rPr>
            </w:pPr>
            <w:r>
              <w:rPr>
                <w:rFonts w:hint="eastAsia" w:eastAsia="楷体_GB2312"/>
              </w:rPr>
              <w:t>盛大路</w:t>
            </w:r>
          </w:p>
        </w:tc>
        <w:tc>
          <w:tcPr>
            <w:tcW w:w="0" w:type="auto"/>
            <w:noWrap w:val="0"/>
            <w:vAlign w:val="center"/>
          </w:tcPr>
          <w:p w14:paraId="2E6B9D1D">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00A82645">
            <w:pPr>
              <w:jc w:val="center"/>
              <w:rPr>
                <w:color w:val="000000"/>
                <w:szCs w:val="21"/>
              </w:rPr>
            </w:pPr>
            <w:r>
              <w:rPr>
                <w:color w:val="000000"/>
                <w:szCs w:val="21"/>
              </w:rPr>
              <w:t>0.4</w:t>
            </w:r>
          </w:p>
        </w:tc>
        <w:tc>
          <w:tcPr>
            <w:tcW w:w="0" w:type="auto"/>
            <w:noWrap w:val="0"/>
            <w:vAlign w:val="center"/>
          </w:tcPr>
          <w:p w14:paraId="5325D99E">
            <w:pPr>
              <w:jc w:val="center"/>
              <w:rPr>
                <w:color w:val="000000"/>
                <w:szCs w:val="21"/>
              </w:rPr>
            </w:pPr>
            <w:r>
              <w:rPr>
                <w:color w:val="000000"/>
                <w:szCs w:val="21"/>
              </w:rPr>
              <w:t>3</w:t>
            </w:r>
          </w:p>
        </w:tc>
        <w:tc>
          <w:tcPr>
            <w:tcW w:w="0" w:type="auto"/>
            <w:noWrap w:val="0"/>
            <w:vAlign w:val="center"/>
          </w:tcPr>
          <w:p w14:paraId="7D68F228">
            <w:pPr>
              <w:jc w:val="center"/>
              <w:rPr>
                <w:color w:val="000000"/>
                <w:szCs w:val="21"/>
              </w:rPr>
            </w:pPr>
            <w:r>
              <w:rPr>
                <w:color w:val="000000"/>
                <w:szCs w:val="21"/>
              </w:rPr>
              <w:t>40</w:t>
            </w:r>
          </w:p>
        </w:tc>
        <w:tc>
          <w:tcPr>
            <w:tcW w:w="0" w:type="auto"/>
            <w:noWrap w:val="0"/>
            <w:vAlign w:val="center"/>
          </w:tcPr>
          <w:p w14:paraId="0C6ADC8D">
            <w:pPr>
              <w:jc w:val="center"/>
              <w:rPr>
                <w:color w:val="000000"/>
                <w:szCs w:val="21"/>
              </w:rPr>
            </w:pPr>
            <w:r>
              <w:rPr>
                <w:color w:val="000000"/>
                <w:szCs w:val="21"/>
              </w:rPr>
              <w:t>150</w:t>
            </w:r>
          </w:p>
        </w:tc>
      </w:tr>
    </w:tbl>
    <w:p w14:paraId="4A4E9B79">
      <w:pPr>
        <w:jc w:val="center"/>
        <w:rPr>
          <w:rFonts w:eastAsia="黑体"/>
          <w:sz w:val="28"/>
        </w:rPr>
      </w:pPr>
      <w:r>
        <w:rPr>
          <w:rFonts w:eastAsia="黑体"/>
          <w:sz w:val="28"/>
        </w:rPr>
        <w:t xml:space="preserve">表1-3-15  </w:t>
      </w:r>
      <w:r>
        <w:rPr>
          <w:rFonts w:hint="eastAsia" w:eastAsia="黑体"/>
          <w:sz w:val="28"/>
        </w:rPr>
        <w:t>桃园镇</w:t>
      </w:r>
      <w:r>
        <w:rPr>
          <w:rFonts w:eastAsia="黑体"/>
          <w:sz w:val="28"/>
        </w:rPr>
        <w:t>镇区道路状况及其功能分及影响距离表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460"/>
        <w:gridCol w:w="1460"/>
        <w:gridCol w:w="1460"/>
        <w:gridCol w:w="879"/>
        <w:gridCol w:w="1170"/>
        <w:gridCol w:w="1460"/>
      </w:tblGrid>
      <w:tr w14:paraId="70B6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726BCCE">
            <w:pPr>
              <w:jc w:val="center"/>
              <w:rPr>
                <w:rFonts w:eastAsia="楷体_GB2312"/>
              </w:rPr>
            </w:pPr>
            <w:r>
              <w:rPr>
                <w:rFonts w:eastAsia="楷体_GB2312"/>
              </w:rPr>
              <w:t>道路编号</w:t>
            </w:r>
          </w:p>
        </w:tc>
        <w:tc>
          <w:tcPr>
            <w:tcW w:w="0" w:type="auto"/>
            <w:noWrap w:val="0"/>
            <w:vAlign w:val="center"/>
          </w:tcPr>
          <w:p w14:paraId="09F56007">
            <w:pPr>
              <w:jc w:val="center"/>
              <w:rPr>
                <w:rFonts w:eastAsia="楷体_GB2312"/>
              </w:rPr>
            </w:pPr>
            <w:r>
              <w:rPr>
                <w:rFonts w:eastAsia="楷体_GB2312"/>
              </w:rPr>
              <w:t>道路名称</w:t>
            </w:r>
          </w:p>
        </w:tc>
        <w:tc>
          <w:tcPr>
            <w:tcW w:w="0" w:type="auto"/>
            <w:noWrap w:val="0"/>
            <w:vAlign w:val="center"/>
          </w:tcPr>
          <w:p w14:paraId="40EF560E">
            <w:pPr>
              <w:jc w:val="center"/>
              <w:rPr>
                <w:rFonts w:eastAsia="楷体_GB2312"/>
              </w:rPr>
            </w:pPr>
            <w:r>
              <w:rPr>
                <w:rFonts w:eastAsia="楷体_GB2312"/>
              </w:rPr>
              <w:t>道路类型</w:t>
            </w:r>
          </w:p>
        </w:tc>
        <w:tc>
          <w:tcPr>
            <w:tcW w:w="0" w:type="auto"/>
            <w:noWrap w:val="0"/>
            <w:vAlign w:val="center"/>
          </w:tcPr>
          <w:p w14:paraId="659CECB6">
            <w:pPr>
              <w:jc w:val="center"/>
              <w:rPr>
                <w:rFonts w:eastAsia="楷体_GB2312"/>
              </w:rPr>
            </w:pPr>
            <w:r>
              <w:rPr>
                <w:rFonts w:eastAsia="楷体_GB2312"/>
              </w:rPr>
              <w:t>作用指数</w:t>
            </w:r>
          </w:p>
        </w:tc>
        <w:tc>
          <w:tcPr>
            <w:tcW w:w="0" w:type="auto"/>
            <w:noWrap w:val="0"/>
            <w:vAlign w:val="center"/>
          </w:tcPr>
          <w:p w14:paraId="6C3A997C">
            <w:pPr>
              <w:jc w:val="center"/>
              <w:rPr>
                <w:rFonts w:eastAsia="楷体_GB2312"/>
              </w:rPr>
            </w:pPr>
            <w:r>
              <w:rPr>
                <w:rFonts w:eastAsia="楷体_GB2312"/>
              </w:rPr>
              <w:t>级别</w:t>
            </w:r>
          </w:p>
        </w:tc>
        <w:tc>
          <w:tcPr>
            <w:tcW w:w="0" w:type="auto"/>
            <w:noWrap w:val="0"/>
            <w:vAlign w:val="center"/>
          </w:tcPr>
          <w:p w14:paraId="6155FAEA">
            <w:pPr>
              <w:jc w:val="center"/>
              <w:rPr>
                <w:rFonts w:eastAsia="楷体_GB2312"/>
              </w:rPr>
            </w:pPr>
            <w:r>
              <w:rPr>
                <w:rFonts w:eastAsia="楷体_GB2312"/>
              </w:rPr>
              <w:t>功能分</w:t>
            </w:r>
          </w:p>
        </w:tc>
        <w:tc>
          <w:tcPr>
            <w:tcW w:w="0" w:type="auto"/>
            <w:noWrap w:val="0"/>
            <w:vAlign w:val="center"/>
          </w:tcPr>
          <w:p w14:paraId="29AE33D9">
            <w:pPr>
              <w:jc w:val="center"/>
              <w:rPr>
                <w:rFonts w:eastAsia="楷体_GB2312"/>
              </w:rPr>
            </w:pPr>
            <w:r>
              <w:rPr>
                <w:rFonts w:eastAsia="楷体_GB2312"/>
              </w:rPr>
              <w:t>影响半径</w:t>
            </w:r>
          </w:p>
        </w:tc>
      </w:tr>
      <w:tr w14:paraId="12DC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9A46E48">
            <w:pPr>
              <w:jc w:val="center"/>
              <w:rPr>
                <w:color w:val="000000"/>
                <w:szCs w:val="21"/>
              </w:rPr>
            </w:pPr>
            <w:r>
              <w:rPr>
                <w:rFonts w:hint="eastAsia"/>
                <w:color w:val="000000"/>
                <w:szCs w:val="21"/>
              </w:rPr>
              <w:t>0</w:t>
            </w:r>
            <w:r>
              <w:rPr>
                <w:color w:val="000000"/>
                <w:szCs w:val="21"/>
              </w:rPr>
              <w:t>1</w:t>
            </w:r>
          </w:p>
        </w:tc>
        <w:tc>
          <w:tcPr>
            <w:tcW w:w="0" w:type="auto"/>
            <w:noWrap w:val="0"/>
            <w:vAlign w:val="center"/>
          </w:tcPr>
          <w:p w14:paraId="6A4705F1">
            <w:pPr>
              <w:jc w:val="center"/>
              <w:rPr>
                <w:rFonts w:ascii="楷体_GB2312" w:eastAsia="楷体_GB2312"/>
                <w:color w:val="000000"/>
                <w:szCs w:val="21"/>
              </w:rPr>
            </w:pPr>
            <w:r>
              <w:rPr>
                <w:rFonts w:hint="eastAsia" w:ascii="楷体_GB2312" w:eastAsia="楷体_GB2312"/>
                <w:color w:val="000000"/>
                <w:szCs w:val="21"/>
              </w:rPr>
              <w:t>交通路</w:t>
            </w:r>
          </w:p>
        </w:tc>
        <w:tc>
          <w:tcPr>
            <w:tcW w:w="0" w:type="auto"/>
            <w:noWrap w:val="0"/>
            <w:vAlign w:val="center"/>
          </w:tcPr>
          <w:p w14:paraId="34E82D46">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71961B99">
            <w:pPr>
              <w:jc w:val="center"/>
              <w:rPr>
                <w:color w:val="000000"/>
                <w:szCs w:val="21"/>
              </w:rPr>
            </w:pPr>
            <w:r>
              <w:rPr>
                <w:color w:val="000000"/>
                <w:szCs w:val="21"/>
              </w:rPr>
              <w:t>1</w:t>
            </w:r>
          </w:p>
        </w:tc>
        <w:tc>
          <w:tcPr>
            <w:tcW w:w="0" w:type="auto"/>
            <w:noWrap w:val="0"/>
            <w:vAlign w:val="center"/>
          </w:tcPr>
          <w:p w14:paraId="01A580C8">
            <w:pPr>
              <w:jc w:val="center"/>
              <w:rPr>
                <w:color w:val="000000"/>
                <w:szCs w:val="21"/>
              </w:rPr>
            </w:pPr>
            <w:r>
              <w:rPr>
                <w:color w:val="000000"/>
                <w:szCs w:val="21"/>
              </w:rPr>
              <w:t>1</w:t>
            </w:r>
          </w:p>
        </w:tc>
        <w:tc>
          <w:tcPr>
            <w:tcW w:w="0" w:type="auto"/>
            <w:noWrap w:val="0"/>
            <w:vAlign w:val="center"/>
          </w:tcPr>
          <w:p w14:paraId="4835088B">
            <w:pPr>
              <w:jc w:val="center"/>
              <w:rPr>
                <w:color w:val="000000"/>
                <w:szCs w:val="21"/>
              </w:rPr>
            </w:pPr>
            <w:r>
              <w:rPr>
                <w:color w:val="000000"/>
                <w:szCs w:val="21"/>
              </w:rPr>
              <w:t>100</w:t>
            </w:r>
          </w:p>
        </w:tc>
        <w:tc>
          <w:tcPr>
            <w:tcW w:w="0" w:type="auto"/>
            <w:noWrap w:val="0"/>
            <w:vAlign w:val="center"/>
          </w:tcPr>
          <w:p w14:paraId="539F9293">
            <w:pPr>
              <w:jc w:val="center"/>
              <w:rPr>
                <w:color w:val="000000"/>
                <w:szCs w:val="21"/>
              </w:rPr>
            </w:pPr>
            <w:r>
              <w:rPr>
                <w:color w:val="000000"/>
                <w:szCs w:val="21"/>
              </w:rPr>
              <w:t>300</w:t>
            </w:r>
          </w:p>
        </w:tc>
      </w:tr>
      <w:tr w14:paraId="5495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A5C2911">
            <w:pPr>
              <w:jc w:val="center"/>
              <w:rPr>
                <w:color w:val="000000"/>
                <w:szCs w:val="21"/>
              </w:rPr>
            </w:pPr>
            <w:r>
              <w:rPr>
                <w:rFonts w:hint="eastAsia"/>
                <w:color w:val="000000"/>
                <w:szCs w:val="21"/>
              </w:rPr>
              <w:t>0</w:t>
            </w:r>
            <w:r>
              <w:rPr>
                <w:color w:val="000000"/>
                <w:szCs w:val="21"/>
              </w:rPr>
              <w:t>2</w:t>
            </w:r>
          </w:p>
        </w:tc>
        <w:tc>
          <w:tcPr>
            <w:tcW w:w="0" w:type="auto"/>
            <w:noWrap w:val="0"/>
            <w:vAlign w:val="center"/>
          </w:tcPr>
          <w:p w14:paraId="0948537E">
            <w:pPr>
              <w:jc w:val="center"/>
              <w:rPr>
                <w:rFonts w:ascii="楷体_GB2312" w:eastAsia="楷体_GB2312"/>
                <w:color w:val="000000"/>
                <w:szCs w:val="21"/>
              </w:rPr>
            </w:pPr>
            <w:r>
              <w:rPr>
                <w:rFonts w:hint="eastAsia" w:ascii="楷体_GB2312" w:eastAsia="楷体_GB2312"/>
                <w:color w:val="000000"/>
                <w:szCs w:val="21"/>
              </w:rPr>
              <w:t>宿怀南路</w:t>
            </w:r>
          </w:p>
        </w:tc>
        <w:tc>
          <w:tcPr>
            <w:tcW w:w="0" w:type="auto"/>
            <w:noWrap w:val="0"/>
            <w:vAlign w:val="center"/>
          </w:tcPr>
          <w:p w14:paraId="026A567B">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1C0F47E8">
            <w:pPr>
              <w:jc w:val="center"/>
              <w:rPr>
                <w:color w:val="000000"/>
                <w:szCs w:val="21"/>
              </w:rPr>
            </w:pPr>
            <w:r>
              <w:rPr>
                <w:color w:val="000000"/>
                <w:szCs w:val="21"/>
              </w:rPr>
              <w:t>1</w:t>
            </w:r>
          </w:p>
        </w:tc>
        <w:tc>
          <w:tcPr>
            <w:tcW w:w="0" w:type="auto"/>
            <w:noWrap w:val="0"/>
            <w:vAlign w:val="center"/>
          </w:tcPr>
          <w:p w14:paraId="6B9787B4">
            <w:pPr>
              <w:jc w:val="center"/>
              <w:rPr>
                <w:color w:val="000000"/>
                <w:szCs w:val="21"/>
              </w:rPr>
            </w:pPr>
            <w:r>
              <w:rPr>
                <w:color w:val="000000"/>
                <w:szCs w:val="21"/>
              </w:rPr>
              <w:t>1</w:t>
            </w:r>
          </w:p>
        </w:tc>
        <w:tc>
          <w:tcPr>
            <w:tcW w:w="0" w:type="auto"/>
            <w:noWrap w:val="0"/>
            <w:vAlign w:val="center"/>
          </w:tcPr>
          <w:p w14:paraId="25EF59BE">
            <w:pPr>
              <w:jc w:val="center"/>
              <w:rPr>
                <w:color w:val="000000"/>
                <w:szCs w:val="21"/>
              </w:rPr>
            </w:pPr>
            <w:r>
              <w:rPr>
                <w:color w:val="000000"/>
                <w:szCs w:val="21"/>
              </w:rPr>
              <w:t>100</w:t>
            </w:r>
          </w:p>
        </w:tc>
        <w:tc>
          <w:tcPr>
            <w:tcW w:w="0" w:type="auto"/>
            <w:noWrap w:val="0"/>
            <w:vAlign w:val="center"/>
          </w:tcPr>
          <w:p w14:paraId="47D2B841">
            <w:pPr>
              <w:jc w:val="center"/>
              <w:rPr>
                <w:color w:val="000000"/>
                <w:szCs w:val="21"/>
              </w:rPr>
            </w:pPr>
            <w:r>
              <w:rPr>
                <w:color w:val="000000"/>
                <w:szCs w:val="21"/>
              </w:rPr>
              <w:t>300</w:t>
            </w:r>
          </w:p>
        </w:tc>
      </w:tr>
      <w:tr w14:paraId="70CBB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CE414B2">
            <w:pPr>
              <w:jc w:val="center"/>
              <w:rPr>
                <w:color w:val="000000"/>
                <w:szCs w:val="21"/>
              </w:rPr>
            </w:pPr>
            <w:r>
              <w:rPr>
                <w:rFonts w:hint="eastAsia"/>
                <w:color w:val="000000"/>
                <w:szCs w:val="21"/>
              </w:rPr>
              <w:t>0</w:t>
            </w:r>
            <w:r>
              <w:rPr>
                <w:color w:val="000000"/>
                <w:szCs w:val="21"/>
              </w:rPr>
              <w:t>3</w:t>
            </w:r>
          </w:p>
        </w:tc>
        <w:tc>
          <w:tcPr>
            <w:tcW w:w="0" w:type="auto"/>
            <w:noWrap w:val="0"/>
            <w:vAlign w:val="center"/>
          </w:tcPr>
          <w:p w14:paraId="4D301359">
            <w:pPr>
              <w:jc w:val="center"/>
              <w:rPr>
                <w:rFonts w:ascii="楷体_GB2312" w:eastAsia="楷体_GB2312"/>
                <w:color w:val="000000"/>
                <w:szCs w:val="21"/>
              </w:rPr>
            </w:pPr>
            <w:r>
              <w:rPr>
                <w:rFonts w:hint="eastAsia" w:ascii="楷体_GB2312" w:eastAsia="楷体_GB2312"/>
                <w:color w:val="000000"/>
                <w:szCs w:val="21"/>
              </w:rPr>
              <w:t>桃北路</w:t>
            </w:r>
          </w:p>
        </w:tc>
        <w:tc>
          <w:tcPr>
            <w:tcW w:w="0" w:type="auto"/>
            <w:noWrap w:val="0"/>
            <w:vAlign w:val="center"/>
          </w:tcPr>
          <w:p w14:paraId="277EA7C0">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13E81E2A">
            <w:pPr>
              <w:jc w:val="center"/>
              <w:rPr>
                <w:color w:val="000000"/>
                <w:szCs w:val="21"/>
              </w:rPr>
            </w:pPr>
            <w:r>
              <w:rPr>
                <w:color w:val="000000"/>
                <w:szCs w:val="21"/>
              </w:rPr>
              <w:t>0.7</w:t>
            </w:r>
          </w:p>
        </w:tc>
        <w:tc>
          <w:tcPr>
            <w:tcW w:w="0" w:type="auto"/>
            <w:noWrap w:val="0"/>
            <w:vAlign w:val="center"/>
          </w:tcPr>
          <w:p w14:paraId="757CCD2D">
            <w:pPr>
              <w:jc w:val="center"/>
              <w:rPr>
                <w:color w:val="000000"/>
                <w:szCs w:val="21"/>
              </w:rPr>
            </w:pPr>
            <w:r>
              <w:rPr>
                <w:color w:val="000000"/>
                <w:szCs w:val="21"/>
              </w:rPr>
              <w:t>2</w:t>
            </w:r>
          </w:p>
        </w:tc>
        <w:tc>
          <w:tcPr>
            <w:tcW w:w="0" w:type="auto"/>
            <w:noWrap w:val="0"/>
            <w:vAlign w:val="center"/>
          </w:tcPr>
          <w:p w14:paraId="505F5C8F">
            <w:pPr>
              <w:jc w:val="center"/>
              <w:rPr>
                <w:color w:val="000000"/>
                <w:szCs w:val="21"/>
              </w:rPr>
            </w:pPr>
            <w:r>
              <w:rPr>
                <w:color w:val="000000"/>
                <w:szCs w:val="21"/>
              </w:rPr>
              <w:t>70</w:t>
            </w:r>
          </w:p>
        </w:tc>
        <w:tc>
          <w:tcPr>
            <w:tcW w:w="0" w:type="auto"/>
            <w:noWrap w:val="0"/>
            <w:vAlign w:val="center"/>
          </w:tcPr>
          <w:p w14:paraId="47323008">
            <w:pPr>
              <w:jc w:val="center"/>
              <w:rPr>
                <w:color w:val="000000"/>
                <w:szCs w:val="21"/>
              </w:rPr>
            </w:pPr>
            <w:r>
              <w:rPr>
                <w:color w:val="000000"/>
                <w:szCs w:val="21"/>
              </w:rPr>
              <w:t>240</w:t>
            </w:r>
          </w:p>
        </w:tc>
      </w:tr>
      <w:tr w14:paraId="409C1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CE4EDDC">
            <w:pPr>
              <w:jc w:val="center"/>
              <w:rPr>
                <w:color w:val="000000"/>
                <w:szCs w:val="21"/>
              </w:rPr>
            </w:pPr>
            <w:r>
              <w:rPr>
                <w:rFonts w:hint="eastAsia"/>
                <w:color w:val="000000"/>
                <w:szCs w:val="21"/>
              </w:rPr>
              <w:t>0</w:t>
            </w:r>
            <w:r>
              <w:rPr>
                <w:color w:val="000000"/>
                <w:szCs w:val="21"/>
              </w:rPr>
              <w:t>4</w:t>
            </w:r>
          </w:p>
        </w:tc>
        <w:tc>
          <w:tcPr>
            <w:tcW w:w="0" w:type="auto"/>
            <w:noWrap w:val="0"/>
            <w:vAlign w:val="center"/>
          </w:tcPr>
          <w:p w14:paraId="6CBF35AC">
            <w:pPr>
              <w:jc w:val="center"/>
              <w:rPr>
                <w:rFonts w:ascii="楷体_GB2312" w:eastAsia="楷体_GB2312"/>
                <w:color w:val="000000"/>
                <w:szCs w:val="21"/>
              </w:rPr>
            </w:pPr>
            <w:r>
              <w:rPr>
                <w:rFonts w:hint="eastAsia" w:ascii="楷体_GB2312" w:eastAsia="楷体_GB2312"/>
                <w:color w:val="000000"/>
                <w:szCs w:val="21"/>
              </w:rPr>
              <w:t>池湖路</w:t>
            </w:r>
          </w:p>
        </w:tc>
        <w:tc>
          <w:tcPr>
            <w:tcW w:w="0" w:type="auto"/>
            <w:noWrap w:val="0"/>
            <w:vAlign w:val="center"/>
          </w:tcPr>
          <w:p w14:paraId="25D7610C">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378E5C57">
            <w:pPr>
              <w:jc w:val="center"/>
              <w:rPr>
                <w:color w:val="000000"/>
                <w:szCs w:val="21"/>
              </w:rPr>
            </w:pPr>
            <w:r>
              <w:rPr>
                <w:color w:val="000000"/>
                <w:szCs w:val="21"/>
              </w:rPr>
              <w:t>0.7</w:t>
            </w:r>
          </w:p>
        </w:tc>
        <w:tc>
          <w:tcPr>
            <w:tcW w:w="0" w:type="auto"/>
            <w:noWrap w:val="0"/>
            <w:vAlign w:val="center"/>
          </w:tcPr>
          <w:p w14:paraId="16215853">
            <w:pPr>
              <w:jc w:val="center"/>
              <w:rPr>
                <w:color w:val="000000"/>
                <w:szCs w:val="21"/>
              </w:rPr>
            </w:pPr>
            <w:r>
              <w:rPr>
                <w:color w:val="000000"/>
                <w:szCs w:val="21"/>
              </w:rPr>
              <w:t>2</w:t>
            </w:r>
          </w:p>
        </w:tc>
        <w:tc>
          <w:tcPr>
            <w:tcW w:w="0" w:type="auto"/>
            <w:noWrap w:val="0"/>
            <w:vAlign w:val="center"/>
          </w:tcPr>
          <w:p w14:paraId="14FCC449">
            <w:pPr>
              <w:jc w:val="center"/>
              <w:rPr>
                <w:color w:val="000000"/>
                <w:szCs w:val="21"/>
              </w:rPr>
            </w:pPr>
            <w:r>
              <w:rPr>
                <w:color w:val="000000"/>
                <w:szCs w:val="21"/>
              </w:rPr>
              <w:t>70</w:t>
            </w:r>
          </w:p>
        </w:tc>
        <w:tc>
          <w:tcPr>
            <w:tcW w:w="0" w:type="auto"/>
            <w:noWrap w:val="0"/>
            <w:vAlign w:val="center"/>
          </w:tcPr>
          <w:p w14:paraId="041FE984">
            <w:pPr>
              <w:jc w:val="center"/>
              <w:rPr>
                <w:color w:val="000000"/>
                <w:szCs w:val="21"/>
              </w:rPr>
            </w:pPr>
            <w:r>
              <w:rPr>
                <w:color w:val="000000"/>
                <w:szCs w:val="21"/>
              </w:rPr>
              <w:t>240</w:t>
            </w:r>
          </w:p>
        </w:tc>
      </w:tr>
      <w:tr w14:paraId="7574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318A673">
            <w:pPr>
              <w:jc w:val="center"/>
              <w:rPr>
                <w:color w:val="000000"/>
                <w:szCs w:val="21"/>
              </w:rPr>
            </w:pPr>
            <w:r>
              <w:rPr>
                <w:rFonts w:hint="eastAsia"/>
                <w:color w:val="000000"/>
                <w:szCs w:val="21"/>
              </w:rPr>
              <w:t>0</w:t>
            </w:r>
            <w:r>
              <w:rPr>
                <w:color w:val="000000"/>
                <w:szCs w:val="21"/>
              </w:rPr>
              <w:t>5</w:t>
            </w:r>
          </w:p>
        </w:tc>
        <w:tc>
          <w:tcPr>
            <w:tcW w:w="0" w:type="auto"/>
            <w:noWrap w:val="0"/>
            <w:vAlign w:val="center"/>
          </w:tcPr>
          <w:p w14:paraId="43991EF3">
            <w:pPr>
              <w:jc w:val="center"/>
              <w:rPr>
                <w:rFonts w:ascii="楷体_GB2312" w:eastAsia="楷体_GB2312"/>
                <w:color w:val="000000"/>
                <w:szCs w:val="21"/>
              </w:rPr>
            </w:pPr>
            <w:r>
              <w:rPr>
                <w:rFonts w:hint="eastAsia" w:ascii="楷体_GB2312" w:eastAsia="楷体_GB2312"/>
                <w:color w:val="000000"/>
                <w:szCs w:val="21"/>
              </w:rPr>
              <w:t>邵圩路</w:t>
            </w:r>
          </w:p>
        </w:tc>
        <w:tc>
          <w:tcPr>
            <w:tcW w:w="0" w:type="auto"/>
            <w:noWrap w:val="0"/>
            <w:vAlign w:val="center"/>
          </w:tcPr>
          <w:p w14:paraId="747F3F46">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5F84F975">
            <w:pPr>
              <w:jc w:val="center"/>
              <w:rPr>
                <w:color w:val="000000"/>
                <w:szCs w:val="21"/>
              </w:rPr>
            </w:pPr>
            <w:r>
              <w:rPr>
                <w:color w:val="000000"/>
                <w:szCs w:val="21"/>
              </w:rPr>
              <w:t>0.7</w:t>
            </w:r>
          </w:p>
        </w:tc>
        <w:tc>
          <w:tcPr>
            <w:tcW w:w="0" w:type="auto"/>
            <w:noWrap w:val="0"/>
            <w:vAlign w:val="center"/>
          </w:tcPr>
          <w:p w14:paraId="7C2D2A95">
            <w:pPr>
              <w:jc w:val="center"/>
              <w:rPr>
                <w:color w:val="000000"/>
                <w:szCs w:val="21"/>
              </w:rPr>
            </w:pPr>
            <w:r>
              <w:rPr>
                <w:color w:val="000000"/>
                <w:szCs w:val="21"/>
              </w:rPr>
              <w:t>2</w:t>
            </w:r>
          </w:p>
        </w:tc>
        <w:tc>
          <w:tcPr>
            <w:tcW w:w="0" w:type="auto"/>
            <w:noWrap w:val="0"/>
            <w:vAlign w:val="center"/>
          </w:tcPr>
          <w:p w14:paraId="3B6A04EE">
            <w:pPr>
              <w:jc w:val="center"/>
              <w:rPr>
                <w:color w:val="000000"/>
                <w:szCs w:val="21"/>
              </w:rPr>
            </w:pPr>
            <w:r>
              <w:rPr>
                <w:color w:val="000000"/>
                <w:szCs w:val="21"/>
              </w:rPr>
              <w:t>70</w:t>
            </w:r>
          </w:p>
        </w:tc>
        <w:tc>
          <w:tcPr>
            <w:tcW w:w="0" w:type="auto"/>
            <w:noWrap w:val="0"/>
            <w:vAlign w:val="center"/>
          </w:tcPr>
          <w:p w14:paraId="1FFDD406">
            <w:pPr>
              <w:jc w:val="center"/>
              <w:rPr>
                <w:color w:val="000000"/>
                <w:szCs w:val="21"/>
              </w:rPr>
            </w:pPr>
            <w:r>
              <w:rPr>
                <w:color w:val="000000"/>
                <w:szCs w:val="21"/>
              </w:rPr>
              <w:t>240</w:t>
            </w:r>
          </w:p>
        </w:tc>
      </w:tr>
      <w:tr w14:paraId="4AA5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3FEB476">
            <w:pPr>
              <w:jc w:val="center"/>
              <w:rPr>
                <w:color w:val="000000"/>
                <w:szCs w:val="21"/>
              </w:rPr>
            </w:pPr>
            <w:r>
              <w:rPr>
                <w:rFonts w:hint="eastAsia"/>
                <w:color w:val="000000"/>
                <w:szCs w:val="21"/>
              </w:rPr>
              <w:t>0</w:t>
            </w:r>
            <w:r>
              <w:rPr>
                <w:color w:val="000000"/>
                <w:szCs w:val="21"/>
              </w:rPr>
              <w:t>6</w:t>
            </w:r>
          </w:p>
        </w:tc>
        <w:tc>
          <w:tcPr>
            <w:tcW w:w="0" w:type="auto"/>
            <w:noWrap w:val="0"/>
            <w:vAlign w:val="center"/>
          </w:tcPr>
          <w:p w14:paraId="250621F4">
            <w:pPr>
              <w:jc w:val="center"/>
              <w:rPr>
                <w:rFonts w:ascii="楷体_GB2312" w:eastAsia="楷体_GB2312"/>
                <w:color w:val="000000"/>
                <w:szCs w:val="21"/>
              </w:rPr>
            </w:pPr>
            <w:r>
              <w:rPr>
                <w:rFonts w:hint="eastAsia" w:ascii="楷体_GB2312" w:eastAsia="楷体_GB2312"/>
                <w:color w:val="000000"/>
                <w:szCs w:val="21"/>
              </w:rPr>
              <w:t>新园路</w:t>
            </w:r>
          </w:p>
        </w:tc>
        <w:tc>
          <w:tcPr>
            <w:tcW w:w="0" w:type="auto"/>
            <w:noWrap w:val="0"/>
            <w:vAlign w:val="center"/>
          </w:tcPr>
          <w:p w14:paraId="5A1F45FF">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025F7A1B">
            <w:pPr>
              <w:jc w:val="center"/>
              <w:rPr>
                <w:color w:val="000000"/>
                <w:szCs w:val="21"/>
              </w:rPr>
            </w:pPr>
            <w:r>
              <w:rPr>
                <w:color w:val="000000"/>
                <w:szCs w:val="21"/>
              </w:rPr>
              <w:t>0.7</w:t>
            </w:r>
          </w:p>
        </w:tc>
        <w:tc>
          <w:tcPr>
            <w:tcW w:w="0" w:type="auto"/>
            <w:noWrap w:val="0"/>
            <w:vAlign w:val="center"/>
          </w:tcPr>
          <w:p w14:paraId="50078B4F">
            <w:pPr>
              <w:jc w:val="center"/>
              <w:rPr>
                <w:color w:val="000000"/>
                <w:szCs w:val="21"/>
              </w:rPr>
            </w:pPr>
            <w:r>
              <w:rPr>
                <w:color w:val="000000"/>
                <w:szCs w:val="21"/>
              </w:rPr>
              <w:t>2</w:t>
            </w:r>
          </w:p>
        </w:tc>
        <w:tc>
          <w:tcPr>
            <w:tcW w:w="0" w:type="auto"/>
            <w:noWrap w:val="0"/>
            <w:vAlign w:val="center"/>
          </w:tcPr>
          <w:p w14:paraId="0C07CCD7">
            <w:pPr>
              <w:jc w:val="center"/>
              <w:rPr>
                <w:color w:val="000000"/>
                <w:szCs w:val="21"/>
              </w:rPr>
            </w:pPr>
            <w:r>
              <w:rPr>
                <w:color w:val="000000"/>
                <w:szCs w:val="21"/>
              </w:rPr>
              <w:t>70</w:t>
            </w:r>
          </w:p>
        </w:tc>
        <w:tc>
          <w:tcPr>
            <w:tcW w:w="0" w:type="auto"/>
            <w:noWrap w:val="0"/>
            <w:vAlign w:val="center"/>
          </w:tcPr>
          <w:p w14:paraId="6780A9D0">
            <w:pPr>
              <w:jc w:val="center"/>
              <w:rPr>
                <w:color w:val="000000"/>
                <w:szCs w:val="21"/>
              </w:rPr>
            </w:pPr>
            <w:r>
              <w:rPr>
                <w:color w:val="000000"/>
                <w:szCs w:val="21"/>
              </w:rPr>
              <w:t>240</w:t>
            </w:r>
          </w:p>
        </w:tc>
      </w:tr>
      <w:tr w14:paraId="5EBE0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732D1D8">
            <w:pPr>
              <w:jc w:val="center"/>
              <w:rPr>
                <w:color w:val="000000"/>
                <w:szCs w:val="21"/>
              </w:rPr>
            </w:pPr>
            <w:r>
              <w:rPr>
                <w:rFonts w:hint="eastAsia"/>
                <w:color w:val="000000"/>
                <w:szCs w:val="21"/>
              </w:rPr>
              <w:t>0</w:t>
            </w:r>
            <w:r>
              <w:rPr>
                <w:color w:val="000000"/>
                <w:szCs w:val="21"/>
              </w:rPr>
              <w:t>7</w:t>
            </w:r>
          </w:p>
        </w:tc>
        <w:tc>
          <w:tcPr>
            <w:tcW w:w="0" w:type="auto"/>
            <w:noWrap w:val="0"/>
            <w:vAlign w:val="center"/>
          </w:tcPr>
          <w:p w14:paraId="431F1D09">
            <w:pPr>
              <w:jc w:val="center"/>
              <w:rPr>
                <w:rFonts w:ascii="楷体_GB2312" w:eastAsia="楷体_GB2312"/>
                <w:color w:val="000000"/>
                <w:szCs w:val="21"/>
              </w:rPr>
            </w:pPr>
            <w:r>
              <w:rPr>
                <w:rFonts w:hint="eastAsia" w:ascii="楷体_GB2312" w:eastAsia="楷体_GB2312"/>
                <w:color w:val="000000"/>
                <w:szCs w:val="21"/>
              </w:rPr>
              <w:t>健康路</w:t>
            </w:r>
          </w:p>
        </w:tc>
        <w:tc>
          <w:tcPr>
            <w:tcW w:w="0" w:type="auto"/>
            <w:noWrap w:val="0"/>
            <w:vAlign w:val="center"/>
          </w:tcPr>
          <w:p w14:paraId="10AB5D5E">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710D1B90">
            <w:pPr>
              <w:jc w:val="center"/>
              <w:rPr>
                <w:color w:val="000000"/>
                <w:szCs w:val="21"/>
              </w:rPr>
            </w:pPr>
            <w:r>
              <w:rPr>
                <w:color w:val="000000"/>
                <w:szCs w:val="21"/>
              </w:rPr>
              <w:t>0.7</w:t>
            </w:r>
          </w:p>
        </w:tc>
        <w:tc>
          <w:tcPr>
            <w:tcW w:w="0" w:type="auto"/>
            <w:noWrap w:val="0"/>
            <w:vAlign w:val="center"/>
          </w:tcPr>
          <w:p w14:paraId="3A3BD5FD">
            <w:pPr>
              <w:jc w:val="center"/>
              <w:rPr>
                <w:color w:val="000000"/>
                <w:szCs w:val="21"/>
              </w:rPr>
            </w:pPr>
            <w:r>
              <w:rPr>
                <w:color w:val="000000"/>
                <w:szCs w:val="21"/>
              </w:rPr>
              <w:t>2</w:t>
            </w:r>
          </w:p>
        </w:tc>
        <w:tc>
          <w:tcPr>
            <w:tcW w:w="0" w:type="auto"/>
            <w:noWrap w:val="0"/>
            <w:vAlign w:val="center"/>
          </w:tcPr>
          <w:p w14:paraId="03DEA461">
            <w:pPr>
              <w:jc w:val="center"/>
              <w:rPr>
                <w:color w:val="000000"/>
                <w:szCs w:val="21"/>
              </w:rPr>
            </w:pPr>
            <w:r>
              <w:rPr>
                <w:color w:val="000000"/>
                <w:szCs w:val="21"/>
              </w:rPr>
              <w:t>70</w:t>
            </w:r>
          </w:p>
        </w:tc>
        <w:tc>
          <w:tcPr>
            <w:tcW w:w="0" w:type="auto"/>
            <w:noWrap w:val="0"/>
            <w:vAlign w:val="center"/>
          </w:tcPr>
          <w:p w14:paraId="1100846C">
            <w:pPr>
              <w:jc w:val="center"/>
              <w:rPr>
                <w:color w:val="000000"/>
                <w:szCs w:val="21"/>
              </w:rPr>
            </w:pPr>
            <w:r>
              <w:rPr>
                <w:color w:val="000000"/>
                <w:szCs w:val="21"/>
              </w:rPr>
              <w:t>240</w:t>
            </w:r>
          </w:p>
        </w:tc>
      </w:tr>
      <w:tr w14:paraId="6412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5BCB602">
            <w:pPr>
              <w:jc w:val="center"/>
              <w:rPr>
                <w:color w:val="000000"/>
                <w:szCs w:val="21"/>
              </w:rPr>
            </w:pPr>
            <w:r>
              <w:rPr>
                <w:rFonts w:hint="eastAsia"/>
                <w:color w:val="000000"/>
                <w:szCs w:val="21"/>
              </w:rPr>
              <w:t>0</w:t>
            </w:r>
            <w:r>
              <w:rPr>
                <w:color w:val="000000"/>
                <w:szCs w:val="21"/>
              </w:rPr>
              <w:t>8</w:t>
            </w:r>
          </w:p>
        </w:tc>
        <w:tc>
          <w:tcPr>
            <w:tcW w:w="0" w:type="auto"/>
            <w:noWrap w:val="0"/>
            <w:vAlign w:val="center"/>
          </w:tcPr>
          <w:p w14:paraId="403612FB">
            <w:pPr>
              <w:jc w:val="center"/>
              <w:rPr>
                <w:rFonts w:ascii="楷体_GB2312" w:eastAsia="楷体_GB2312"/>
                <w:color w:val="000000"/>
                <w:szCs w:val="21"/>
              </w:rPr>
            </w:pPr>
            <w:r>
              <w:rPr>
                <w:rFonts w:hint="eastAsia" w:ascii="楷体_GB2312" w:eastAsia="楷体_GB2312"/>
                <w:color w:val="000000"/>
                <w:szCs w:val="21"/>
              </w:rPr>
              <w:t>学前路</w:t>
            </w:r>
          </w:p>
        </w:tc>
        <w:tc>
          <w:tcPr>
            <w:tcW w:w="0" w:type="auto"/>
            <w:noWrap w:val="0"/>
            <w:vAlign w:val="center"/>
          </w:tcPr>
          <w:p w14:paraId="728D3BD5">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02B954C2">
            <w:pPr>
              <w:jc w:val="center"/>
              <w:rPr>
                <w:color w:val="000000"/>
                <w:szCs w:val="21"/>
              </w:rPr>
            </w:pPr>
            <w:r>
              <w:rPr>
                <w:color w:val="000000"/>
                <w:szCs w:val="21"/>
              </w:rPr>
              <w:t>0.7</w:t>
            </w:r>
          </w:p>
        </w:tc>
        <w:tc>
          <w:tcPr>
            <w:tcW w:w="0" w:type="auto"/>
            <w:noWrap w:val="0"/>
            <w:vAlign w:val="center"/>
          </w:tcPr>
          <w:p w14:paraId="407EB4EE">
            <w:pPr>
              <w:jc w:val="center"/>
              <w:rPr>
                <w:color w:val="000000"/>
                <w:szCs w:val="21"/>
              </w:rPr>
            </w:pPr>
            <w:r>
              <w:rPr>
                <w:color w:val="000000"/>
                <w:szCs w:val="21"/>
              </w:rPr>
              <w:t>2</w:t>
            </w:r>
          </w:p>
        </w:tc>
        <w:tc>
          <w:tcPr>
            <w:tcW w:w="0" w:type="auto"/>
            <w:noWrap w:val="0"/>
            <w:vAlign w:val="center"/>
          </w:tcPr>
          <w:p w14:paraId="47596B8A">
            <w:pPr>
              <w:jc w:val="center"/>
              <w:rPr>
                <w:color w:val="000000"/>
                <w:szCs w:val="21"/>
              </w:rPr>
            </w:pPr>
            <w:r>
              <w:rPr>
                <w:color w:val="000000"/>
                <w:szCs w:val="21"/>
              </w:rPr>
              <w:t>70</w:t>
            </w:r>
          </w:p>
        </w:tc>
        <w:tc>
          <w:tcPr>
            <w:tcW w:w="0" w:type="auto"/>
            <w:noWrap w:val="0"/>
            <w:vAlign w:val="center"/>
          </w:tcPr>
          <w:p w14:paraId="655A2D72">
            <w:pPr>
              <w:jc w:val="center"/>
              <w:rPr>
                <w:color w:val="000000"/>
                <w:szCs w:val="21"/>
              </w:rPr>
            </w:pPr>
            <w:r>
              <w:rPr>
                <w:color w:val="000000"/>
                <w:szCs w:val="21"/>
              </w:rPr>
              <w:t>240</w:t>
            </w:r>
          </w:p>
        </w:tc>
      </w:tr>
      <w:tr w14:paraId="4E56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2DA3CB5">
            <w:pPr>
              <w:jc w:val="center"/>
              <w:rPr>
                <w:color w:val="000000"/>
                <w:szCs w:val="21"/>
              </w:rPr>
            </w:pPr>
            <w:r>
              <w:rPr>
                <w:rFonts w:hint="eastAsia"/>
                <w:color w:val="000000"/>
                <w:szCs w:val="21"/>
              </w:rPr>
              <w:t>0</w:t>
            </w:r>
            <w:r>
              <w:rPr>
                <w:color w:val="000000"/>
                <w:szCs w:val="21"/>
              </w:rPr>
              <w:t>9</w:t>
            </w:r>
          </w:p>
        </w:tc>
        <w:tc>
          <w:tcPr>
            <w:tcW w:w="0" w:type="auto"/>
            <w:noWrap w:val="0"/>
            <w:vAlign w:val="center"/>
          </w:tcPr>
          <w:p w14:paraId="78EC3612">
            <w:pPr>
              <w:jc w:val="center"/>
              <w:rPr>
                <w:rFonts w:ascii="楷体_GB2312" w:eastAsia="楷体_GB2312"/>
                <w:color w:val="000000"/>
                <w:szCs w:val="21"/>
              </w:rPr>
            </w:pPr>
            <w:r>
              <w:rPr>
                <w:rFonts w:hint="eastAsia" w:ascii="楷体_GB2312" w:eastAsia="楷体_GB2312"/>
                <w:color w:val="000000"/>
                <w:szCs w:val="21"/>
              </w:rPr>
              <w:t>孙寨路</w:t>
            </w:r>
          </w:p>
        </w:tc>
        <w:tc>
          <w:tcPr>
            <w:tcW w:w="0" w:type="auto"/>
            <w:noWrap w:val="0"/>
            <w:vAlign w:val="center"/>
          </w:tcPr>
          <w:p w14:paraId="7BE9B6BD">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2669F6BF">
            <w:pPr>
              <w:jc w:val="center"/>
              <w:rPr>
                <w:color w:val="000000"/>
                <w:szCs w:val="21"/>
              </w:rPr>
            </w:pPr>
            <w:r>
              <w:rPr>
                <w:color w:val="000000"/>
                <w:szCs w:val="21"/>
              </w:rPr>
              <w:t>0.7</w:t>
            </w:r>
          </w:p>
        </w:tc>
        <w:tc>
          <w:tcPr>
            <w:tcW w:w="0" w:type="auto"/>
            <w:noWrap w:val="0"/>
            <w:vAlign w:val="center"/>
          </w:tcPr>
          <w:p w14:paraId="542ECB27">
            <w:pPr>
              <w:jc w:val="center"/>
              <w:rPr>
                <w:color w:val="000000"/>
                <w:szCs w:val="21"/>
              </w:rPr>
            </w:pPr>
            <w:r>
              <w:rPr>
                <w:color w:val="000000"/>
                <w:szCs w:val="21"/>
              </w:rPr>
              <w:t>2</w:t>
            </w:r>
          </w:p>
        </w:tc>
        <w:tc>
          <w:tcPr>
            <w:tcW w:w="0" w:type="auto"/>
            <w:noWrap w:val="0"/>
            <w:vAlign w:val="center"/>
          </w:tcPr>
          <w:p w14:paraId="0573636D">
            <w:pPr>
              <w:jc w:val="center"/>
              <w:rPr>
                <w:color w:val="000000"/>
                <w:szCs w:val="21"/>
              </w:rPr>
            </w:pPr>
            <w:r>
              <w:rPr>
                <w:color w:val="000000"/>
                <w:szCs w:val="21"/>
              </w:rPr>
              <w:t>70</w:t>
            </w:r>
          </w:p>
        </w:tc>
        <w:tc>
          <w:tcPr>
            <w:tcW w:w="0" w:type="auto"/>
            <w:noWrap w:val="0"/>
            <w:vAlign w:val="center"/>
          </w:tcPr>
          <w:p w14:paraId="3EB9DE32">
            <w:pPr>
              <w:jc w:val="center"/>
              <w:rPr>
                <w:color w:val="000000"/>
                <w:szCs w:val="21"/>
              </w:rPr>
            </w:pPr>
            <w:r>
              <w:rPr>
                <w:color w:val="000000"/>
                <w:szCs w:val="21"/>
              </w:rPr>
              <w:t>240</w:t>
            </w:r>
          </w:p>
        </w:tc>
      </w:tr>
      <w:tr w14:paraId="76C0D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29C407F">
            <w:pPr>
              <w:jc w:val="center"/>
              <w:rPr>
                <w:color w:val="000000"/>
                <w:szCs w:val="21"/>
              </w:rPr>
            </w:pPr>
            <w:r>
              <w:rPr>
                <w:color w:val="000000"/>
                <w:szCs w:val="21"/>
              </w:rPr>
              <w:t>10</w:t>
            </w:r>
          </w:p>
        </w:tc>
        <w:tc>
          <w:tcPr>
            <w:tcW w:w="0" w:type="auto"/>
            <w:noWrap w:val="0"/>
            <w:vAlign w:val="center"/>
          </w:tcPr>
          <w:p w14:paraId="4E758A13">
            <w:pPr>
              <w:jc w:val="center"/>
              <w:rPr>
                <w:rFonts w:ascii="楷体_GB2312" w:eastAsia="楷体_GB2312"/>
                <w:color w:val="000000"/>
                <w:szCs w:val="21"/>
              </w:rPr>
            </w:pPr>
            <w:r>
              <w:rPr>
                <w:rFonts w:hint="eastAsia" w:ascii="楷体_GB2312" w:eastAsia="楷体_GB2312"/>
                <w:color w:val="000000"/>
                <w:szCs w:val="21"/>
              </w:rPr>
              <w:t>广场路</w:t>
            </w:r>
          </w:p>
        </w:tc>
        <w:tc>
          <w:tcPr>
            <w:tcW w:w="0" w:type="auto"/>
            <w:noWrap w:val="0"/>
            <w:vAlign w:val="center"/>
          </w:tcPr>
          <w:p w14:paraId="3D011EA5">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2FA7B5F8">
            <w:pPr>
              <w:jc w:val="center"/>
              <w:rPr>
                <w:color w:val="000000"/>
                <w:szCs w:val="21"/>
              </w:rPr>
            </w:pPr>
            <w:r>
              <w:rPr>
                <w:color w:val="000000"/>
                <w:szCs w:val="21"/>
              </w:rPr>
              <w:t>0.7</w:t>
            </w:r>
          </w:p>
        </w:tc>
        <w:tc>
          <w:tcPr>
            <w:tcW w:w="0" w:type="auto"/>
            <w:noWrap w:val="0"/>
            <w:vAlign w:val="center"/>
          </w:tcPr>
          <w:p w14:paraId="1D56598D">
            <w:pPr>
              <w:jc w:val="center"/>
              <w:rPr>
                <w:color w:val="000000"/>
                <w:szCs w:val="21"/>
              </w:rPr>
            </w:pPr>
            <w:r>
              <w:rPr>
                <w:color w:val="000000"/>
                <w:szCs w:val="21"/>
              </w:rPr>
              <w:t>2</w:t>
            </w:r>
          </w:p>
        </w:tc>
        <w:tc>
          <w:tcPr>
            <w:tcW w:w="0" w:type="auto"/>
            <w:noWrap w:val="0"/>
            <w:vAlign w:val="center"/>
          </w:tcPr>
          <w:p w14:paraId="2FFD2E3B">
            <w:pPr>
              <w:jc w:val="center"/>
              <w:rPr>
                <w:color w:val="000000"/>
                <w:szCs w:val="21"/>
              </w:rPr>
            </w:pPr>
            <w:r>
              <w:rPr>
                <w:color w:val="000000"/>
                <w:szCs w:val="21"/>
              </w:rPr>
              <w:t>70</w:t>
            </w:r>
          </w:p>
        </w:tc>
        <w:tc>
          <w:tcPr>
            <w:tcW w:w="0" w:type="auto"/>
            <w:noWrap w:val="0"/>
            <w:vAlign w:val="center"/>
          </w:tcPr>
          <w:p w14:paraId="219F8879">
            <w:pPr>
              <w:jc w:val="center"/>
              <w:rPr>
                <w:color w:val="000000"/>
                <w:szCs w:val="21"/>
              </w:rPr>
            </w:pPr>
            <w:r>
              <w:rPr>
                <w:color w:val="000000"/>
                <w:szCs w:val="21"/>
              </w:rPr>
              <w:t>240</w:t>
            </w:r>
          </w:p>
        </w:tc>
      </w:tr>
      <w:tr w14:paraId="3C253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B071D1D">
            <w:pPr>
              <w:jc w:val="center"/>
              <w:rPr>
                <w:color w:val="000000"/>
                <w:szCs w:val="21"/>
              </w:rPr>
            </w:pPr>
            <w:r>
              <w:rPr>
                <w:color w:val="000000"/>
                <w:szCs w:val="21"/>
              </w:rPr>
              <w:t>11</w:t>
            </w:r>
          </w:p>
        </w:tc>
        <w:tc>
          <w:tcPr>
            <w:tcW w:w="0" w:type="auto"/>
            <w:noWrap w:val="0"/>
            <w:vAlign w:val="center"/>
          </w:tcPr>
          <w:p w14:paraId="11725330">
            <w:pPr>
              <w:jc w:val="center"/>
              <w:rPr>
                <w:rFonts w:ascii="楷体_GB2312" w:eastAsia="楷体_GB2312"/>
                <w:color w:val="000000"/>
                <w:szCs w:val="21"/>
              </w:rPr>
            </w:pPr>
            <w:r>
              <w:rPr>
                <w:rFonts w:hint="eastAsia" w:ascii="楷体_GB2312" w:eastAsia="楷体_GB2312"/>
                <w:color w:val="000000"/>
                <w:szCs w:val="21"/>
              </w:rPr>
              <w:t>振北路</w:t>
            </w:r>
          </w:p>
        </w:tc>
        <w:tc>
          <w:tcPr>
            <w:tcW w:w="0" w:type="auto"/>
            <w:noWrap w:val="0"/>
            <w:vAlign w:val="center"/>
          </w:tcPr>
          <w:p w14:paraId="1492B6BA">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63E0757B">
            <w:pPr>
              <w:jc w:val="center"/>
              <w:rPr>
                <w:color w:val="000000"/>
                <w:szCs w:val="21"/>
              </w:rPr>
            </w:pPr>
            <w:r>
              <w:rPr>
                <w:color w:val="000000"/>
                <w:szCs w:val="21"/>
              </w:rPr>
              <w:t>0.7</w:t>
            </w:r>
          </w:p>
        </w:tc>
        <w:tc>
          <w:tcPr>
            <w:tcW w:w="0" w:type="auto"/>
            <w:noWrap w:val="0"/>
            <w:vAlign w:val="center"/>
          </w:tcPr>
          <w:p w14:paraId="143EA5A3">
            <w:pPr>
              <w:jc w:val="center"/>
              <w:rPr>
                <w:color w:val="000000"/>
                <w:szCs w:val="21"/>
              </w:rPr>
            </w:pPr>
            <w:r>
              <w:rPr>
                <w:color w:val="000000"/>
                <w:szCs w:val="21"/>
              </w:rPr>
              <w:t>2</w:t>
            </w:r>
          </w:p>
        </w:tc>
        <w:tc>
          <w:tcPr>
            <w:tcW w:w="0" w:type="auto"/>
            <w:noWrap w:val="0"/>
            <w:vAlign w:val="center"/>
          </w:tcPr>
          <w:p w14:paraId="4031872A">
            <w:pPr>
              <w:jc w:val="center"/>
              <w:rPr>
                <w:color w:val="000000"/>
                <w:szCs w:val="21"/>
              </w:rPr>
            </w:pPr>
            <w:r>
              <w:rPr>
                <w:color w:val="000000"/>
                <w:szCs w:val="21"/>
              </w:rPr>
              <w:t>70</w:t>
            </w:r>
          </w:p>
        </w:tc>
        <w:tc>
          <w:tcPr>
            <w:tcW w:w="0" w:type="auto"/>
            <w:noWrap w:val="0"/>
            <w:vAlign w:val="center"/>
          </w:tcPr>
          <w:p w14:paraId="3F9B23AB">
            <w:pPr>
              <w:jc w:val="center"/>
              <w:rPr>
                <w:color w:val="000000"/>
                <w:szCs w:val="21"/>
              </w:rPr>
            </w:pPr>
            <w:r>
              <w:rPr>
                <w:color w:val="000000"/>
                <w:szCs w:val="21"/>
              </w:rPr>
              <w:t>240</w:t>
            </w:r>
          </w:p>
        </w:tc>
      </w:tr>
      <w:tr w14:paraId="47CB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27A5987">
            <w:pPr>
              <w:jc w:val="center"/>
              <w:rPr>
                <w:color w:val="000000"/>
                <w:szCs w:val="21"/>
              </w:rPr>
            </w:pPr>
            <w:r>
              <w:rPr>
                <w:color w:val="000000"/>
                <w:szCs w:val="21"/>
              </w:rPr>
              <w:t>12</w:t>
            </w:r>
          </w:p>
        </w:tc>
        <w:tc>
          <w:tcPr>
            <w:tcW w:w="0" w:type="auto"/>
            <w:noWrap w:val="0"/>
            <w:vAlign w:val="center"/>
          </w:tcPr>
          <w:p w14:paraId="04993993">
            <w:pPr>
              <w:jc w:val="center"/>
              <w:rPr>
                <w:rFonts w:ascii="楷体_GB2312" w:eastAsia="楷体_GB2312"/>
                <w:color w:val="000000"/>
                <w:szCs w:val="21"/>
              </w:rPr>
            </w:pPr>
            <w:r>
              <w:rPr>
                <w:rFonts w:hint="eastAsia" w:ascii="楷体_GB2312" w:eastAsia="楷体_GB2312"/>
                <w:color w:val="000000"/>
                <w:szCs w:val="21"/>
              </w:rPr>
              <w:t>临水路</w:t>
            </w:r>
          </w:p>
        </w:tc>
        <w:tc>
          <w:tcPr>
            <w:tcW w:w="0" w:type="auto"/>
            <w:noWrap w:val="0"/>
            <w:vAlign w:val="center"/>
          </w:tcPr>
          <w:p w14:paraId="44C4AA22">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5116ADAB">
            <w:pPr>
              <w:jc w:val="center"/>
              <w:rPr>
                <w:color w:val="000000"/>
                <w:szCs w:val="21"/>
              </w:rPr>
            </w:pPr>
            <w:r>
              <w:rPr>
                <w:color w:val="000000"/>
                <w:szCs w:val="21"/>
              </w:rPr>
              <w:t>0.7</w:t>
            </w:r>
          </w:p>
        </w:tc>
        <w:tc>
          <w:tcPr>
            <w:tcW w:w="0" w:type="auto"/>
            <w:noWrap w:val="0"/>
            <w:vAlign w:val="center"/>
          </w:tcPr>
          <w:p w14:paraId="64B27E4F">
            <w:pPr>
              <w:jc w:val="center"/>
              <w:rPr>
                <w:color w:val="000000"/>
                <w:szCs w:val="21"/>
              </w:rPr>
            </w:pPr>
            <w:r>
              <w:rPr>
                <w:color w:val="000000"/>
                <w:szCs w:val="21"/>
              </w:rPr>
              <w:t>2</w:t>
            </w:r>
          </w:p>
        </w:tc>
        <w:tc>
          <w:tcPr>
            <w:tcW w:w="0" w:type="auto"/>
            <w:noWrap w:val="0"/>
            <w:vAlign w:val="center"/>
          </w:tcPr>
          <w:p w14:paraId="0B969691">
            <w:pPr>
              <w:jc w:val="center"/>
              <w:rPr>
                <w:color w:val="000000"/>
                <w:szCs w:val="21"/>
              </w:rPr>
            </w:pPr>
            <w:r>
              <w:rPr>
                <w:color w:val="000000"/>
                <w:szCs w:val="21"/>
              </w:rPr>
              <w:t>70</w:t>
            </w:r>
          </w:p>
        </w:tc>
        <w:tc>
          <w:tcPr>
            <w:tcW w:w="0" w:type="auto"/>
            <w:noWrap w:val="0"/>
            <w:vAlign w:val="center"/>
          </w:tcPr>
          <w:p w14:paraId="16AE122A">
            <w:pPr>
              <w:jc w:val="center"/>
              <w:rPr>
                <w:color w:val="000000"/>
                <w:szCs w:val="21"/>
              </w:rPr>
            </w:pPr>
            <w:r>
              <w:rPr>
                <w:color w:val="000000"/>
                <w:szCs w:val="21"/>
              </w:rPr>
              <w:t>240</w:t>
            </w:r>
          </w:p>
        </w:tc>
      </w:tr>
      <w:tr w14:paraId="0DC76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2F4B893">
            <w:pPr>
              <w:jc w:val="center"/>
              <w:rPr>
                <w:color w:val="000000"/>
                <w:szCs w:val="21"/>
              </w:rPr>
            </w:pPr>
            <w:r>
              <w:rPr>
                <w:color w:val="000000"/>
                <w:szCs w:val="21"/>
              </w:rPr>
              <w:t>13</w:t>
            </w:r>
          </w:p>
        </w:tc>
        <w:tc>
          <w:tcPr>
            <w:tcW w:w="0" w:type="auto"/>
            <w:noWrap w:val="0"/>
            <w:vAlign w:val="center"/>
          </w:tcPr>
          <w:p w14:paraId="30C8E3A7">
            <w:pPr>
              <w:jc w:val="center"/>
              <w:rPr>
                <w:rFonts w:ascii="楷体_GB2312" w:eastAsia="楷体_GB2312"/>
                <w:color w:val="000000"/>
                <w:szCs w:val="21"/>
              </w:rPr>
            </w:pPr>
            <w:r>
              <w:rPr>
                <w:rFonts w:hint="eastAsia" w:ascii="楷体_GB2312" w:eastAsia="楷体_GB2312"/>
                <w:color w:val="000000"/>
                <w:szCs w:val="21"/>
              </w:rPr>
              <w:t>运西路</w:t>
            </w:r>
          </w:p>
        </w:tc>
        <w:tc>
          <w:tcPr>
            <w:tcW w:w="0" w:type="auto"/>
            <w:noWrap w:val="0"/>
            <w:vAlign w:val="center"/>
          </w:tcPr>
          <w:p w14:paraId="6CD267DA">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0706209F">
            <w:pPr>
              <w:jc w:val="center"/>
              <w:rPr>
                <w:color w:val="000000"/>
                <w:szCs w:val="21"/>
              </w:rPr>
            </w:pPr>
            <w:r>
              <w:rPr>
                <w:color w:val="000000"/>
                <w:szCs w:val="21"/>
              </w:rPr>
              <w:t>0.7</w:t>
            </w:r>
          </w:p>
        </w:tc>
        <w:tc>
          <w:tcPr>
            <w:tcW w:w="0" w:type="auto"/>
            <w:noWrap w:val="0"/>
            <w:vAlign w:val="center"/>
          </w:tcPr>
          <w:p w14:paraId="611B0049">
            <w:pPr>
              <w:jc w:val="center"/>
              <w:rPr>
                <w:color w:val="000000"/>
                <w:szCs w:val="21"/>
              </w:rPr>
            </w:pPr>
            <w:r>
              <w:rPr>
                <w:color w:val="000000"/>
                <w:szCs w:val="21"/>
              </w:rPr>
              <w:t>2</w:t>
            </w:r>
          </w:p>
        </w:tc>
        <w:tc>
          <w:tcPr>
            <w:tcW w:w="0" w:type="auto"/>
            <w:noWrap w:val="0"/>
            <w:vAlign w:val="center"/>
          </w:tcPr>
          <w:p w14:paraId="72D896F6">
            <w:pPr>
              <w:jc w:val="center"/>
              <w:rPr>
                <w:color w:val="000000"/>
                <w:szCs w:val="21"/>
              </w:rPr>
            </w:pPr>
            <w:r>
              <w:rPr>
                <w:color w:val="000000"/>
                <w:szCs w:val="21"/>
              </w:rPr>
              <w:t>70</w:t>
            </w:r>
          </w:p>
        </w:tc>
        <w:tc>
          <w:tcPr>
            <w:tcW w:w="0" w:type="auto"/>
            <w:noWrap w:val="0"/>
            <w:vAlign w:val="center"/>
          </w:tcPr>
          <w:p w14:paraId="4141BA77">
            <w:pPr>
              <w:jc w:val="center"/>
              <w:rPr>
                <w:color w:val="000000"/>
                <w:szCs w:val="21"/>
              </w:rPr>
            </w:pPr>
            <w:r>
              <w:rPr>
                <w:color w:val="000000"/>
                <w:szCs w:val="21"/>
              </w:rPr>
              <w:t>240</w:t>
            </w:r>
          </w:p>
        </w:tc>
      </w:tr>
      <w:tr w14:paraId="289FB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12C332C">
            <w:pPr>
              <w:jc w:val="center"/>
              <w:rPr>
                <w:color w:val="000000"/>
                <w:szCs w:val="21"/>
              </w:rPr>
            </w:pPr>
            <w:r>
              <w:rPr>
                <w:color w:val="000000"/>
                <w:szCs w:val="21"/>
              </w:rPr>
              <w:t>14</w:t>
            </w:r>
          </w:p>
        </w:tc>
        <w:tc>
          <w:tcPr>
            <w:tcW w:w="0" w:type="auto"/>
            <w:noWrap w:val="0"/>
            <w:vAlign w:val="center"/>
          </w:tcPr>
          <w:p w14:paraId="1D3A85B6">
            <w:pPr>
              <w:jc w:val="center"/>
              <w:rPr>
                <w:rFonts w:ascii="楷体_GB2312" w:eastAsia="楷体_GB2312"/>
                <w:color w:val="000000"/>
                <w:szCs w:val="21"/>
              </w:rPr>
            </w:pPr>
            <w:r>
              <w:rPr>
                <w:rFonts w:hint="eastAsia" w:ascii="楷体_GB2312" w:eastAsia="楷体_GB2312"/>
                <w:color w:val="000000"/>
                <w:szCs w:val="21"/>
              </w:rPr>
              <w:t>谷岭路</w:t>
            </w:r>
          </w:p>
        </w:tc>
        <w:tc>
          <w:tcPr>
            <w:tcW w:w="0" w:type="auto"/>
            <w:noWrap w:val="0"/>
            <w:vAlign w:val="center"/>
          </w:tcPr>
          <w:p w14:paraId="0443C3CE">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328B6AC3">
            <w:pPr>
              <w:jc w:val="center"/>
              <w:rPr>
                <w:color w:val="000000"/>
                <w:szCs w:val="21"/>
              </w:rPr>
            </w:pPr>
            <w:r>
              <w:rPr>
                <w:color w:val="000000"/>
                <w:szCs w:val="21"/>
              </w:rPr>
              <w:t>0.7</w:t>
            </w:r>
          </w:p>
        </w:tc>
        <w:tc>
          <w:tcPr>
            <w:tcW w:w="0" w:type="auto"/>
            <w:noWrap w:val="0"/>
            <w:vAlign w:val="center"/>
          </w:tcPr>
          <w:p w14:paraId="070831E5">
            <w:pPr>
              <w:jc w:val="center"/>
              <w:rPr>
                <w:color w:val="000000"/>
                <w:szCs w:val="21"/>
              </w:rPr>
            </w:pPr>
            <w:r>
              <w:rPr>
                <w:color w:val="000000"/>
                <w:szCs w:val="21"/>
              </w:rPr>
              <w:t>2</w:t>
            </w:r>
          </w:p>
        </w:tc>
        <w:tc>
          <w:tcPr>
            <w:tcW w:w="0" w:type="auto"/>
            <w:noWrap w:val="0"/>
            <w:vAlign w:val="center"/>
          </w:tcPr>
          <w:p w14:paraId="060F405C">
            <w:pPr>
              <w:jc w:val="center"/>
              <w:rPr>
                <w:color w:val="000000"/>
                <w:szCs w:val="21"/>
              </w:rPr>
            </w:pPr>
            <w:r>
              <w:rPr>
                <w:color w:val="000000"/>
                <w:szCs w:val="21"/>
              </w:rPr>
              <w:t>70</w:t>
            </w:r>
          </w:p>
        </w:tc>
        <w:tc>
          <w:tcPr>
            <w:tcW w:w="0" w:type="auto"/>
            <w:noWrap w:val="0"/>
            <w:vAlign w:val="center"/>
          </w:tcPr>
          <w:p w14:paraId="496461D3">
            <w:pPr>
              <w:jc w:val="center"/>
              <w:rPr>
                <w:color w:val="000000"/>
                <w:szCs w:val="21"/>
              </w:rPr>
            </w:pPr>
            <w:r>
              <w:rPr>
                <w:color w:val="000000"/>
                <w:szCs w:val="21"/>
              </w:rPr>
              <w:t>240</w:t>
            </w:r>
          </w:p>
        </w:tc>
      </w:tr>
      <w:tr w14:paraId="15978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F578D79">
            <w:pPr>
              <w:jc w:val="center"/>
              <w:rPr>
                <w:color w:val="000000"/>
                <w:szCs w:val="21"/>
              </w:rPr>
            </w:pPr>
            <w:r>
              <w:rPr>
                <w:color w:val="000000"/>
                <w:szCs w:val="21"/>
              </w:rPr>
              <w:t>15</w:t>
            </w:r>
          </w:p>
        </w:tc>
        <w:tc>
          <w:tcPr>
            <w:tcW w:w="0" w:type="auto"/>
            <w:noWrap w:val="0"/>
            <w:vAlign w:val="center"/>
          </w:tcPr>
          <w:p w14:paraId="52BE7835">
            <w:pPr>
              <w:jc w:val="center"/>
              <w:rPr>
                <w:rFonts w:ascii="楷体_GB2312" w:eastAsia="楷体_GB2312"/>
                <w:color w:val="000000"/>
                <w:szCs w:val="21"/>
              </w:rPr>
            </w:pPr>
            <w:r>
              <w:rPr>
                <w:rFonts w:hint="eastAsia" w:ascii="楷体_GB2312" w:eastAsia="楷体_GB2312"/>
                <w:color w:val="000000"/>
                <w:szCs w:val="21"/>
              </w:rPr>
              <w:t>杨寨路</w:t>
            </w:r>
          </w:p>
        </w:tc>
        <w:tc>
          <w:tcPr>
            <w:tcW w:w="0" w:type="auto"/>
            <w:noWrap w:val="0"/>
            <w:vAlign w:val="center"/>
          </w:tcPr>
          <w:p w14:paraId="0EAA3BB3">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1B54038">
            <w:pPr>
              <w:jc w:val="center"/>
              <w:rPr>
                <w:color w:val="000000"/>
                <w:szCs w:val="21"/>
              </w:rPr>
            </w:pPr>
            <w:r>
              <w:rPr>
                <w:color w:val="000000"/>
                <w:szCs w:val="21"/>
              </w:rPr>
              <w:t>0.4</w:t>
            </w:r>
          </w:p>
        </w:tc>
        <w:tc>
          <w:tcPr>
            <w:tcW w:w="0" w:type="auto"/>
            <w:noWrap w:val="0"/>
            <w:vAlign w:val="center"/>
          </w:tcPr>
          <w:p w14:paraId="08A436AB">
            <w:pPr>
              <w:jc w:val="center"/>
              <w:rPr>
                <w:color w:val="000000"/>
                <w:szCs w:val="21"/>
              </w:rPr>
            </w:pPr>
            <w:r>
              <w:rPr>
                <w:color w:val="000000"/>
                <w:szCs w:val="21"/>
              </w:rPr>
              <w:t>3</w:t>
            </w:r>
          </w:p>
        </w:tc>
        <w:tc>
          <w:tcPr>
            <w:tcW w:w="0" w:type="auto"/>
            <w:noWrap w:val="0"/>
            <w:vAlign w:val="center"/>
          </w:tcPr>
          <w:p w14:paraId="61D0DBDE">
            <w:pPr>
              <w:jc w:val="center"/>
              <w:rPr>
                <w:color w:val="000000"/>
                <w:szCs w:val="21"/>
              </w:rPr>
            </w:pPr>
            <w:r>
              <w:rPr>
                <w:color w:val="000000"/>
                <w:szCs w:val="21"/>
              </w:rPr>
              <w:t>40</w:t>
            </w:r>
          </w:p>
        </w:tc>
        <w:tc>
          <w:tcPr>
            <w:tcW w:w="0" w:type="auto"/>
            <w:noWrap w:val="0"/>
            <w:vAlign w:val="center"/>
          </w:tcPr>
          <w:p w14:paraId="670987C2">
            <w:pPr>
              <w:jc w:val="center"/>
              <w:rPr>
                <w:color w:val="000000"/>
                <w:szCs w:val="21"/>
              </w:rPr>
            </w:pPr>
            <w:r>
              <w:rPr>
                <w:color w:val="000000"/>
                <w:szCs w:val="21"/>
              </w:rPr>
              <w:t>200</w:t>
            </w:r>
          </w:p>
        </w:tc>
      </w:tr>
    </w:tbl>
    <w:p w14:paraId="5DB9C59B">
      <w:pPr>
        <w:jc w:val="center"/>
        <w:rPr>
          <w:rFonts w:eastAsia="仿宋_GB2312"/>
          <w:b/>
          <w:bCs/>
          <w:sz w:val="30"/>
        </w:rPr>
      </w:pPr>
      <w:r>
        <w:rPr>
          <w:rFonts w:eastAsia="黑体"/>
          <w:sz w:val="28"/>
        </w:rPr>
        <w:t>表1-3-</w:t>
      </w:r>
      <w:r>
        <w:rPr>
          <w:rFonts w:hint="eastAsia" w:eastAsia="黑体"/>
          <w:sz w:val="28"/>
        </w:rPr>
        <w:t>1</w:t>
      </w:r>
      <w:r>
        <w:rPr>
          <w:rFonts w:eastAsia="黑体"/>
          <w:sz w:val="28"/>
        </w:rPr>
        <w:t xml:space="preserve">6  </w:t>
      </w:r>
      <w:r>
        <w:rPr>
          <w:rFonts w:hint="eastAsia" w:eastAsia="黑体"/>
          <w:sz w:val="28"/>
        </w:rPr>
        <w:t>曹村镇</w:t>
      </w:r>
      <w:r>
        <w:rPr>
          <w:rFonts w:eastAsia="黑体"/>
          <w:sz w:val="28"/>
        </w:rPr>
        <w:t>镇区道路状况及其功能分及影响距离表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1454"/>
        <w:gridCol w:w="1454"/>
        <w:gridCol w:w="1454"/>
        <w:gridCol w:w="876"/>
        <w:gridCol w:w="1165"/>
        <w:gridCol w:w="1454"/>
      </w:tblGrid>
      <w:tr w14:paraId="265F7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noWrap w:val="0"/>
            <w:vAlign w:val="center"/>
          </w:tcPr>
          <w:p w14:paraId="296C42F4">
            <w:pPr>
              <w:jc w:val="center"/>
              <w:rPr>
                <w:rFonts w:eastAsia="楷体_GB2312"/>
              </w:rPr>
            </w:pPr>
            <w:r>
              <w:rPr>
                <w:rFonts w:eastAsia="楷体_GB2312"/>
              </w:rPr>
              <w:t>道路编号</w:t>
            </w:r>
          </w:p>
        </w:tc>
        <w:tc>
          <w:tcPr>
            <w:tcW w:w="0" w:type="auto"/>
            <w:noWrap w:val="0"/>
            <w:vAlign w:val="center"/>
          </w:tcPr>
          <w:p w14:paraId="667AC635">
            <w:pPr>
              <w:jc w:val="center"/>
              <w:rPr>
                <w:rFonts w:eastAsia="楷体_GB2312"/>
              </w:rPr>
            </w:pPr>
            <w:r>
              <w:rPr>
                <w:rFonts w:eastAsia="楷体_GB2312"/>
              </w:rPr>
              <w:t>道路名称</w:t>
            </w:r>
          </w:p>
        </w:tc>
        <w:tc>
          <w:tcPr>
            <w:tcW w:w="0" w:type="auto"/>
            <w:noWrap w:val="0"/>
            <w:vAlign w:val="center"/>
          </w:tcPr>
          <w:p w14:paraId="13400CD9">
            <w:pPr>
              <w:jc w:val="center"/>
              <w:rPr>
                <w:rFonts w:eastAsia="楷体_GB2312"/>
              </w:rPr>
            </w:pPr>
            <w:r>
              <w:rPr>
                <w:rFonts w:eastAsia="楷体_GB2312"/>
              </w:rPr>
              <w:t>道路类型</w:t>
            </w:r>
          </w:p>
        </w:tc>
        <w:tc>
          <w:tcPr>
            <w:tcW w:w="0" w:type="auto"/>
            <w:noWrap w:val="0"/>
            <w:vAlign w:val="center"/>
          </w:tcPr>
          <w:p w14:paraId="08340EAE">
            <w:pPr>
              <w:jc w:val="center"/>
              <w:rPr>
                <w:rFonts w:eastAsia="楷体_GB2312"/>
              </w:rPr>
            </w:pPr>
            <w:r>
              <w:rPr>
                <w:rFonts w:eastAsia="楷体_GB2312"/>
              </w:rPr>
              <w:t>作用指数</w:t>
            </w:r>
          </w:p>
        </w:tc>
        <w:tc>
          <w:tcPr>
            <w:tcW w:w="0" w:type="auto"/>
            <w:noWrap w:val="0"/>
            <w:vAlign w:val="center"/>
          </w:tcPr>
          <w:p w14:paraId="777104CA">
            <w:pPr>
              <w:jc w:val="center"/>
              <w:rPr>
                <w:rFonts w:eastAsia="楷体_GB2312"/>
              </w:rPr>
            </w:pPr>
            <w:r>
              <w:rPr>
                <w:rFonts w:eastAsia="楷体_GB2312"/>
              </w:rPr>
              <w:t>级别</w:t>
            </w:r>
          </w:p>
        </w:tc>
        <w:tc>
          <w:tcPr>
            <w:tcW w:w="0" w:type="auto"/>
            <w:noWrap w:val="0"/>
            <w:vAlign w:val="center"/>
          </w:tcPr>
          <w:p w14:paraId="14110AA6">
            <w:pPr>
              <w:jc w:val="center"/>
              <w:rPr>
                <w:rFonts w:eastAsia="楷体_GB2312"/>
              </w:rPr>
            </w:pPr>
            <w:r>
              <w:rPr>
                <w:rFonts w:eastAsia="楷体_GB2312"/>
              </w:rPr>
              <w:t>功能分</w:t>
            </w:r>
          </w:p>
        </w:tc>
        <w:tc>
          <w:tcPr>
            <w:tcW w:w="0" w:type="auto"/>
            <w:noWrap w:val="0"/>
            <w:vAlign w:val="center"/>
          </w:tcPr>
          <w:p w14:paraId="3B38F949">
            <w:pPr>
              <w:jc w:val="center"/>
              <w:rPr>
                <w:rFonts w:eastAsia="楷体_GB2312"/>
              </w:rPr>
            </w:pPr>
            <w:r>
              <w:rPr>
                <w:rFonts w:eastAsia="楷体_GB2312"/>
              </w:rPr>
              <w:t>影响半径</w:t>
            </w:r>
          </w:p>
        </w:tc>
      </w:tr>
      <w:tr w14:paraId="46BCC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noWrap w:val="0"/>
            <w:vAlign w:val="center"/>
          </w:tcPr>
          <w:p w14:paraId="039F01A5">
            <w:pPr>
              <w:jc w:val="center"/>
              <w:rPr>
                <w:color w:val="000000"/>
                <w:szCs w:val="21"/>
              </w:rPr>
            </w:pPr>
            <w:r>
              <w:rPr>
                <w:rFonts w:hint="eastAsia"/>
                <w:color w:val="000000"/>
                <w:szCs w:val="21"/>
              </w:rPr>
              <w:t>0</w:t>
            </w:r>
            <w:r>
              <w:rPr>
                <w:color w:val="000000"/>
                <w:szCs w:val="21"/>
              </w:rPr>
              <w:t>1</w:t>
            </w:r>
          </w:p>
        </w:tc>
        <w:tc>
          <w:tcPr>
            <w:tcW w:w="0" w:type="auto"/>
            <w:noWrap w:val="0"/>
            <w:vAlign w:val="center"/>
          </w:tcPr>
          <w:p w14:paraId="1B983730">
            <w:pPr>
              <w:jc w:val="center"/>
              <w:rPr>
                <w:rFonts w:eastAsia="楷体_GB2312"/>
              </w:rPr>
            </w:pPr>
            <w:r>
              <w:rPr>
                <w:rFonts w:eastAsia="楷体_GB2312"/>
              </w:rPr>
              <w:t>206</w:t>
            </w:r>
            <w:r>
              <w:rPr>
                <w:rFonts w:hint="eastAsia" w:eastAsia="楷体_GB2312"/>
              </w:rPr>
              <w:t>国道</w:t>
            </w:r>
          </w:p>
        </w:tc>
        <w:tc>
          <w:tcPr>
            <w:tcW w:w="0" w:type="auto"/>
            <w:noWrap w:val="0"/>
            <w:vAlign w:val="center"/>
          </w:tcPr>
          <w:p w14:paraId="0F4359B9">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1C5F8128">
            <w:pPr>
              <w:jc w:val="center"/>
              <w:rPr>
                <w:color w:val="000000"/>
                <w:szCs w:val="21"/>
              </w:rPr>
            </w:pPr>
            <w:r>
              <w:rPr>
                <w:color w:val="000000"/>
                <w:szCs w:val="21"/>
              </w:rPr>
              <w:t>1</w:t>
            </w:r>
          </w:p>
        </w:tc>
        <w:tc>
          <w:tcPr>
            <w:tcW w:w="0" w:type="auto"/>
            <w:noWrap w:val="0"/>
            <w:vAlign w:val="center"/>
          </w:tcPr>
          <w:p w14:paraId="5B601DDE">
            <w:pPr>
              <w:jc w:val="center"/>
              <w:rPr>
                <w:color w:val="000000"/>
                <w:szCs w:val="21"/>
              </w:rPr>
            </w:pPr>
            <w:r>
              <w:rPr>
                <w:color w:val="000000"/>
                <w:szCs w:val="21"/>
              </w:rPr>
              <w:t>1</w:t>
            </w:r>
          </w:p>
        </w:tc>
        <w:tc>
          <w:tcPr>
            <w:tcW w:w="0" w:type="auto"/>
            <w:noWrap w:val="0"/>
            <w:vAlign w:val="center"/>
          </w:tcPr>
          <w:p w14:paraId="764748B3">
            <w:pPr>
              <w:jc w:val="center"/>
              <w:rPr>
                <w:color w:val="000000"/>
                <w:szCs w:val="21"/>
              </w:rPr>
            </w:pPr>
            <w:r>
              <w:rPr>
                <w:color w:val="000000"/>
                <w:szCs w:val="21"/>
              </w:rPr>
              <w:t>100</w:t>
            </w:r>
          </w:p>
        </w:tc>
        <w:tc>
          <w:tcPr>
            <w:tcW w:w="0" w:type="auto"/>
            <w:noWrap w:val="0"/>
            <w:vAlign w:val="center"/>
          </w:tcPr>
          <w:p w14:paraId="0D36ED68">
            <w:pPr>
              <w:jc w:val="center"/>
              <w:rPr>
                <w:color w:val="000000"/>
                <w:szCs w:val="21"/>
              </w:rPr>
            </w:pPr>
            <w:r>
              <w:rPr>
                <w:color w:val="000000"/>
                <w:szCs w:val="21"/>
              </w:rPr>
              <w:t>300</w:t>
            </w:r>
          </w:p>
        </w:tc>
      </w:tr>
      <w:tr w14:paraId="4DE2C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66863882">
            <w:pPr>
              <w:jc w:val="center"/>
              <w:rPr>
                <w:color w:val="000000"/>
                <w:szCs w:val="21"/>
              </w:rPr>
            </w:pPr>
            <w:r>
              <w:rPr>
                <w:rFonts w:hint="eastAsia"/>
                <w:color w:val="000000"/>
                <w:szCs w:val="21"/>
              </w:rPr>
              <w:t>0</w:t>
            </w:r>
            <w:r>
              <w:rPr>
                <w:color w:val="000000"/>
                <w:szCs w:val="21"/>
              </w:rPr>
              <w:t>2</w:t>
            </w:r>
          </w:p>
        </w:tc>
        <w:tc>
          <w:tcPr>
            <w:tcW w:w="0" w:type="auto"/>
            <w:noWrap w:val="0"/>
            <w:vAlign w:val="center"/>
          </w:tcPr>
          <w:p w14:paraId="704668F5">
            <w:pPr>
              <w:jc w:val="center"/>
              <w:rPr>
                <w:rFonts w:eastAsia="楷体_GB2312"/>
              </w:rPr>
            </w:pPr>
            <w:r>
              <w:rPr>
                <w:rFonts w:hint="eastAsia" w:eastAsia="楷体_GB2312"/>
              </w:rPr>
              <w:t>中学路</w:t>
            </w:r>
          </w:p>
        </w:tc>
        <w:tc>
          <w:tcPr>
            <w:tcW w:w="0" w:type="auto"/>
            <w:noWrap w:val="0"/>
            <w:vAlign w:val="center"/>
          </w:tcPr>
          <w:p w14:paraId="2C577FCE">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4BB56AFA">
            <w:pPr>
              <w:jc w:val="center"/>
              <w:rPr>
                <w:color w:val="000000"/>
                <w:szCs w:val="21"/>
              </w:rPr>
            </w:pPr>
            <w:r>
              <w:rPr>
                <w:color w:val="000000"/>
                <w:szCs w:val="21"/>
              </w:rPr>
              <w:t>0.7</w:t>
            </w:r>
          </w:p>
        </w:tc>
        <w:tc>
          <w:tcPr>
            <w:tcW w:w="0" w:type="auto"/>
            <w:noWrap w:val="0"/>
            <w:vAlign w:val="center"/>
          </w:tcPr>
          <w:p w14:paraId="0AC15BCF">
            <w:pPr>
              <w:jc w:val="center"/>
              <w:rPr>
                <w:color w:val="000000"/>
                <w:szCs w:val="21"/>
              </w:rPr>
            </w:pPr>
            <w:r>
              <w:rPr>
                <w:color w:val="000000"/>
                <w:szCs w:val="21"/>
              </w:rPr>
              <w:t>2</w:t>
            </w:r>
          </w:p>
        </w:tc>
        <w:tc>
          <w:tcPr>
            <w:tcW w:w="0" w:type="auto"/>
            <w:noWrap w:val="0"/>
            <w:vAlign w:val="center"/>
          </w:tcPr>
          <w:p w14:paraId="06D223DD">
            <w:pPr>
              <w:jc w:val="center"/>
              <w:rPr>
                <w:color w:val="000000"/>
                <w:szCs w:val="21"/>
              </w:rPr>
            </w:pPr>
            <w:r>
              <w:rPr>
                <w:color w:val="000000"/>
                <w:szCs w:val="21"/>
              </w:rPr>
              <w:t>70</w:t>
            </w:r>
          </w:p>
        </w:tc>
        <w:tc>
          <w:tcPr>
            <w:tcW w:w="0" w:type="auto"/>
            <w:noWrap w:val="0"/>
            <w:vAlign w:val="center"/>
          </w:tcPr>
          <w:p w14:paraId="1D7FB1F5">
            <w:pPr>
              <w:jc w:val="center"/>
              <w:rPr>
                <w:color w:val="000000"/>
                <w:szCs w:val="21"/>
              </w:rPr>
            </w:pPr>
            <w:r>
              <w:rPr>
                <w:color w:val="000000"/>
                <w:szCs w:val="21"/>
              </w:rPr>
              <w:t>240</w:t>
            </w:r>
          </w:p>
        </w:tc>
      </w:tr>
      <w:tr w14:paraId="0D51D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4F69C9A3">
            <w:pPr>
              <w:jc w:val="center"/>
              <w:rPr>
                <w:color w:val="000000"/>
                <w:szCs w:val="21"/>
              </w:rPr>
            </w:pPr>
            <w:r>
              <w:rPr>
                <w:rFonts w:hint="eastAsia"/>
                <w:color w:val="000000"/>
                <w:szCs w:val="21"/>
              </w:rPr>
              <w:t>0</w:t>
            </w:r>
            <w:r>
              <w:rPr>
                <w:color w:val="000000"/>
                <w:szCs w:val="21"/>
              </w:rPr>
              <w:t>3</w:t>
            </w:r>
          </w:p>
        </w:tc>
        <w:tc>
          <w:tcPr>
            <w:tcW w:w="0" w:type="auto"/>
            <w:noWrap w:val="0"/>
            <w:vAlign w:val="center"/>
          </w:tcPr>
          <w:p w14:paraId="18400A06">
            <w:pPr>
              <w:jc w:val="center"/>
              <w:rPr>
                <w:rFonts w:eastAsia="楷体_GB2312"/>
              </w:rPr>
            </w:pPr>
            <w:r>
              <w:rPr>
                <w:rFonts w:hint="eastAsia" w:eastAsia="楷体_GB2312"/>
              </w:rPr>
              <w:t>镇中路</w:t>
            </w:r>
          </w:p>
        </w:tc>
        <w:tc>
          <w:tcPr>
            <w:tcW w:w="0" w:type="auto"/>
            <w:noWrap w:val="0"/>
            <w:vAlign w:val="center"/>
          </w:tcPr>
          <w:p w14:paraId="2AAFA1D0">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048F8B5C">
            <w:pPr>
              <w:jc w:val="center"/>
              <w:rPr>
                <w:color w:val="000000"/>
                <w:szCs w:val="21"/>
              </w:rPr>
            </w:pPr>
            <w:r>
              <w:rPr>
                <w:color w:val="000000"/>
                <w:szCs w:val="21"/>
              </w:rPr>
              <w:t>0.7</w:t>
            </w:r>
          </w:p>
        </w:tc>
        <w:tc>
          <w:tcPr>
            <w:tcW w:w="0" w:type="auto"/>
            <w:noWrap w:val="0"/>
            <w:vAlign w:val="center"/>
          </w:tcPr>
          <w:p w14:paraId="46CA2113">
            <w:pPr>
              <w:jc w:val="center"/>
              <w:rPr>
                <w:color w:val="000000"/>
                <w:szCs w:val="21"/>
              </w:rPr>
            </w:pPr>
            <w:r>
              <w:rPr>
                <w:color w:val="000000"/>
                <w:szCs w:val="21"/>
              </w:rPr>
              <w:t>2</w:t>
            </w:r>
          </w:p>
        </w:tc>
        <w:tc>
          <w:tcPr>
            <w:tcW w:w="0" w:type="auto"/>
            <w:noWrap w:val="0"/>
            <w:vAlign w:val="center"/>
          </w:tcPr>
          <w:p w14:paraId="53D95D35">
            <w:pPr>
              <w:jc w:val="center"/>
              <w:rPr>
                <w:color w:val="000000"/>
                <w:szCs w:val="21"/>
              </w:rPr>
            </w:pPr>
            <w:r>
              <w:rPr>
                <w:color w:val="000000"/>
                <w:szCs w:val="21"/>
              </w:rPr>
              <w:t>70</w:t>
            </w:r>
          </w:p>
        </w:tc>
        <w:tc>
          <w:tcPr>
            <w:tcW w:w="0" w:type="auto"/>
            <w:noWrap w:val="0"/>
            <w:vAlign w:val="center"/>
          </w:tcPr>
          <w:p w14:paraId="3B163E01">
            <w:pPr>
              <w:jc w:val="center"/>
              <w:rPr>
                <w:color w:val="000000"/>
                <w:szCs w:val="21"/>
              </w:rPr>
            </w:pPr>
            <w:r>
              <w:rPr>
                <w:color w:val="000000"/>
                <w:szCs w:val="21"/>
              </w:rPr>
              <w:t>240</w:t>
            </w:r>
          </w:p>
        </w:tc>
      </w:tr>
      <w:tr w14:paraId="1DDC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4C66CFBE">
            <w:pPr>
              <w:jc w:val="center"/>
              <w:rPr>
                <w:color w:val="000000"/>
                <w:szCs w:val="21"/>
              </w:rPr>
            </w:pPr>
            <w:r>
              <w:rPr>
                <w:rFonts w:hint="eastAsia"/>
                <w:color w:val="000000"/>
                <w:szCs w:val="21"/>
              </w:rPr>
              <w:t>0</w:t>
            </w:r>
            <w:r>
              <w:rPr>
                <w:color w:val="000000"/>
                <w:szCs w:val="21"/>
              </w:rPr>
              <w:t>4</w:t>
            </w:r>
          </w:p>
        </w:tc>
        <w:tc>
          <w:tcPr>
            <w:tcW w:w="0" w:type="auto"/>
            <w:noWrap w:val="0"/>
            <w:vAlign w:val="center"/>
          </w:tcPr>
          <w:p w14:paraId="29283E4D">
            <w:pPr>
              <w:jc w:val="center"/>
              <w:rPr>
                <w:rFonts w:eastAsia="楷体_GB2312"/>
              </w:rPr>
            </w:pPr>
            <w:r>
              <w:rPr>
                <w:rFonts w:hint="eastAsia" w:eastAsia="楷体_GB2312"/>
              </w:rPr>
              <w:t>镇中一路</w:t>
            </w:r>
          </w:p>
        </w:tc>
        <w:tc>
          <w:tcPr>
            <w:tcW w:w="0" w:type="auto"/>
            <w:noWrap w:val="0"/>
            <w:vAlign w:val="center"/>
          </w:tcPr>
          <w:p w14:paraId="55A8D72A">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34066E8B">
            <w:pPr>
              <w:jc w:val="center"/>
              <w:rPr>
                <w:color w:val="000000"/>
                <w:szCs w:val="21"/>
              </w:rPr>
            </w:pPr>
            <w:r>
              <w:rPr>
                <w:color w:val="000000"/>
                <w:szCs w:val="21"/>
              </w:rPr>
              <w:t>0.7</w:t>
            </w:r>
          </w:p>
        </w:tc>
        <w:tc>
          <w:tcPr>
            <w:tcW w:w="0" w:type="auto"/>
            <w:noWrap w:val="0"/>
            <w:vAlign w:val="center"/>
          </w:tcPr>
          <w:p w14:paraId="5332A39B">
            <w:pPr>
              <w:jc w:val="center"/>
              <w:rPr>
                <w:color w:val="000000"/>
                <w:szCs w:val="21"/>
              </w:rPr>
            </w:pPr>
            <w:r>
              <w:rPr>
                <w:color w:val="000000"/>
                <w:szCs w:val="21"/>
              </w:rPr>
              <w:t>2</w:t>
            </w:r>
          </w:p>
        </w:tc>
        <w:tc>
          <w:tcPr>
            <w:tcW w:w="0" w:type="auto"/>
            <w:noWrap w:val="0"/>
            <w:vAlign w:val="center"/>
          </w:tcPr>
          <w:p w14:paraId="0C8A9353">
            <w:pPr>
              <w:jc w:val="center"/>
              <w:rPr>
                <w:color w:val="000000"/>
                <w:szCs w:val="21"/>
              </w:rPr>
            </w:pPr>
            <w:r>
              <w:rPr>
                <w:color w:val="000000"/>
                <w:szCs w:val="21"/>
              </w:rPr>
              <w:t>70</w:t>
            </w:r>
          </w:p>
        </w:tc>
        <w:tc>
          <w:tcPr>
            <w:tcW w:w="0" w:type="auto"/>
            <w:noWrap w:val="0"/>
            <w:vAlign w:val="center"/>
          </w:tcPr>
          <w:p w14:paraId="12730E93">
            <w:pPr>
              <w:jc w:val="center"/>
              <w:rPr>
                <w:color w:val="000000"/>
                <w:szCs w:val="21"/>
              </w:rPr>
            </w:pPr>
            <w:r>
              <w:rPr>
                <w:color w:val="000000"/>
                <w:szCs w:val="21"/>
              </w:rPr>
              <w:t>240</w:t>
            </w:r>
          </w:p>
        </w:tc>
      </w:tr>
      <w:tr w14:paraId="51430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03D4239D">
            <w:pPr>
              <w:jc w:val="center"/>
              <w:rPr>
                <w:color w:val="000000"/>
                <w:szCs w:val="21"/>
              </w:rPr>
            </w:pPr>
            <w:r>
              <w:rPr>
                <w:rFonts w:hint="eastAsia"/>
                <w:color w:val="000000"/>
                <w:szCs w:val="21"/>
              </w:rPr>
              <w:t>0</w:t>
            </w:r>
            <w:r>
              <w:rPr>
                <w:color w:val="000000"/>
                <w:szCs w:val="21"/>
              </w:rPr>
              <w:t>5</w:t>
            </w:r>
          </w:p>
        </w:tc>
        <w:tc>
          <w:tcPr>
            <w:tcW w:w="0" w:type="auto"/>
            <w:noWrap w:val="0"/>
            <w:vAlign w:val="center"/>
          </w:tcPr>
          <w:p w14:paraId="50AA02A8">
            <w:pPr>
              <w:jc w:val="center"/>
              <w:rPr>
                <w:rFonts w:eastAsia="楷体_GB2312"/>
              </w:rPr>
            </w:pPr>
            <w:r>
              <w:rPr>
                <w:rFonts w:hint="eastAsia" w:eastAsia="楷体_GB2312"/>
              </w:rPr>
              <w:t>环北路</w:t>
            </w:r>
          </w:p>
        </w:tc>
        <w:tc>
          <w:tcPr>
            <w:tcW w:w="0" w:type="auto"/>
            <w:noWrap w:val="0"/>
            <w:vAlign w:val="center"/>
          </w:tcPr>
          <w:p w14:paraId="4B088F47">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9637FEF">
            <w:pPr>
              <w:jc w:val="center"/>
              <w:rPr>
                <w:color w:val="000000"/>
                <w:szCs w:val="21"/>
              </w:rPr>
            </w:pPr>
            <w:r>
              <w:rPr>
                <w:color w:val="000000"/>
                <w:szCs w:val="21"/>
              </w:rPr>
              <w:t>0.4</w:t>
            </w:r>
          </w:p>
        </w:tc>
        <w:tc>
          <w:tcPr>
            <w:tcW w:w="0" w:type="auto"/>
            <w:noWrap w:val="0"/>
            <w:vAlign w:val="center"/>
          </w:tcPr>
          <w:p w14:paraId="31F1BF50">
            <w:pPr>
              <w:jc w:val="center"/>
              <w:rPr>
                <w:color w:val="000000"/>
                <w:szCs w:val="21"/>
              </w:rPr>
            </w:pPr>
            <w:r>
              <w:rPr>
                <w:color w:val="000000"/>
                <w:szCs w:val="21"/>
              </w:rPr>
              <w:t>3</w:t>
            </w:r>
          </w:p>
        </w:tc>
        <w:tc>
          <w:tcPr>
            <w:tcW w:w="0" w:type="auto"/>
            <w:noWrap w:val="0"/>
            <w:vAlign w:val="center"/>
          </w:tcPr>
          <w:p w14:paraId="15AA0A20">
            <w:pPr>
              <w:jc w:val="center"/>
              <w:rPr>
                <w:color w:val="000000"/>
                <w:szCs w:val="21"/>
              </w:rPr>
            </w:pPr>
            <w:r>
              <w:rPr>
                <w:color w:val="000000"/>
                <w:szCs w:val="21"/>
              </w:rPr>
              <w:t>40</w:t>
            </w:r>
          </w:p>
        </w:tc>
        <w:tc>
          <w:tcPr>
            <w:tcW w:w="0" w:type="auto"/>
            <w:noWrap w:val="0"/>
            <w:vAlign w:val="center"/>
          </w:tcPr>
          <w:p w14:paraId="62C7B5B8">
            <w:pPr>
              <w:jc w:val="center"/>
              <w:rPr>
                <w:color w:val="000000"/>
                <w:szCs w:val="21"/>
              </w:rPr>
            </w:pPr>
            <w:r>
              <w:rPr>
                <w:color w:val="000000"/>
                <w:szCs w:val="21"/>
              </w:rPr>
              <w:t>200</w:t>
            </w:r>
          </w:p>
        </w:tc>
      </w:tr>
      <w:tr w14:paraId="30C09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1A1E7FA0">
            <w:pPr>
              <w:jc w:val="center"/>
              <w:rPr>
                <w:color w:val="000000"/>
                <w:szCs w:val="21"/>
              </w:rPr>
            </w:pPr>
            <w:r>
              <w:rPr>
                <w:rFonts w:hint="eastAsia"/>
                <w:color w:val="000000"/>
                <w:szCs w:val="21"/>
              </w:rPr>
              <w:t>0</w:t>
            </w:r>
            <w:r>
              <w:rPr>
                <w:color w:val="000000"/>
                <w:szCs w:val="21"/>
              </w:rPr>
              <w:t>6</w:t>
            </w:r>
          </w:p>
        </w:tc>
        <w:tc>
          <w:tcPr>
            <w:tcW w:w="0" w:type="auto"/>
            <w:noWrap w:val="0"/>
            <w:vAlign w:val="center"/>
          </w:tcPr>
          <w:p w14:paraId="049DD32D">
            <w:pPr>
              <w:jc w:val="center"/>
              <w:rPr>
                <w:rFonts w:eastAsia="楷体_GB2312"/>
              </w:rPr>
            </w:pPr>
            <w:r>
              <w:rPr>
                <w:rFonts w:hint="eastAsia" w:eastAsia="楷体_GB2312"/>
              </w:rPr>
              <w:t>镇北路</w:t>
            </w:r>
          </w:p>
        </w:tc>
        <w:tc>
          <w:tcPr>
            <w:tcW w:w="0" w:type="auto"/>
            <w:noWrap w:val="0"/>
            <w:vAlign w:val="center"/>
          </w:tcPr>
          <w:p w14:paraId="03E62A9D">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A476B2B">
            <w:pPr>
              <w:jc w:val="center"/>
              <w:rPr>
                <w:color w:val="000000"/>
                <w:szCs w:val="21"/>
              </w:rPr>
            </w:pPr>
            <w:r>
              <w:rPr>
                <w:color w:val="000000"/>
                <w:szCs w:val="21"/>
              </w:rPr>
              <w:t>0.4</w:t>
            </w:r>
          </w:p>
        </w:tc>
        <w:tc>
          <w:tcPr>
            <w:tcW w:w="0" w:type="auto"/>
            <w:noWrap w:val="0"/>
            <w:vAlign w:val="center"/>
          </w:tcPr>
          <w:p w14:paraId="1B8A2187">
            <w:pPr>
              <w:jc w:val="center"/>
              <w:rPr>
                <w:color w:val="000000"/>
                <w:szCs w:val="21"/>
              </w:rPr>
            </w:pPr>
            <w:r>
              <w:rPr>
                <w:color w:val="000000"/>
                <w:szCs w:val="21"/>
              </w:rPr>
              <w:t>3</w:t>
            </w:r>
          </w:p>
        </w:tc>
        <w:tc>
          <w:tcPr>
            <w:tcW w:w="0" w:type="auto"/>
            <w:noWrap w:val="0"/>
            <w:vAlign w:val="center"/>
          </w:tcPr>
          <w:p w14:paraId="7709960C">
            <w:pPr>
              <w:jc w:val="center"/>
              <w:rPr>
                <w:color w:val="000000"/>
                <w:szCs w:val="21"/>
              </w:rPr>
            </w:pPr>
            <w:r>
              <w:rPr>
                <w:color w:val="000000"/>
                <w:szCs w:val="21"/>
              </w:rPr>
              <w:t>40</w:t>
            </w:r>
          </w:p>
        </w:tc>
        <w:tc>
          <w:tcPr>
            <w:tcW w:w="0" w:type="auto"/>
            <w:noWrap w:val="0"/>
            <w:vAlign w:val="center"/>
          </w:tcPr>
          <w:p w14:paraId="02886857">
            <w:pPr>
              <w:jc w:val="center"/>
              <w:rPr>
                <w:color w:val="000000"/>
                <w:szCs w:val="21"/>
              </w:rPr>
            </w:pPr>
            <w:r>
              <w:rPr>
                <w:color w:val="000000"/>
                <w:szCs w:val="21"/>
              </w:rPr>
              <w:t>200</w:t>
            </w:r>
          </w:p>
        </w:tc>
      </w:tr>
      <w:tr w14:paraId="503A4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3C090729">
            <w:pPr>
              <w:jc w:val="center"/>
              <w:rPr>
                <w:color w:val="000000"/>
                <w:szCs w:val="21"/>
              </w:rPr>
            </w:pPr>
            <w:r>
              <w:rPr>
                <w:rFonts w:hint="eastAsia"/>
                <w:color w:val="000000"/>
                <w:szCs w:val="21"/>
              </w:rPr>
              <w:t>0</w:t>
            </w:r>
            <w:r>
              <w:rPr>
                <w:color w:val="000000"/>
                <w:szCs w:val="21"/>
              </w:rPr>
              <w:t>7</w:t>
            </w:r>
          </w:p>
        </w:tc>
        <w:tc>
          <w:tcPr>
            <w:tcW w:w="0" w:type="auto"/>
            <w:noWrap w:val="0"/>
            <w:vAlign w:val="center"/>
          </w:tcPr>
          <w:p w14:paraId="7DCC2D23">
            <w:pPr>
              <w:jc w:val="center"/>
              <w:rPr>
                <w:rFonts w:eastAsia="楷体_GB2312"/>
              </w:rPr>
            </w:pPr>
            <w:r>
              <w:rPr>
                <w:rFonts w:hint="eastAsia" w:eastAsia="楷体_GB2312"/>
              </w:rPr>
              <w:t>镇南路</w:t>
            </w:r>
          </w:p>
        </w:tc>
        <w:tc>
          <w:tcPr>
            <w:tcW w:w="0" w:type="auto"/>
            <w:noWrap w:val="0"/>
            <w:vAlign w:val="center"/>
          </w:tcPr>
          <w:p w14:paraId="395F7BBF">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27CFC88D">
            <w:pPr>
              <w:jc w:val="center"/>
              <w:rPr>
                <w:color w:val="000000"/>
                <w:szCs w:val="21"/>
              </w:rPr>
            </w:pPr>
            <w:r>
              <w:rPr>
                <w:color w:val="000000"/>
                <w:szCs w:val="21"/>
              </w:rPr>
              <w:t>0.4</w:t>
            </w:r>
          </w:p>
        </w:tc>
        <w:tc>
          <w:tcPr>
            <w:tcW w:w="0" w:type="auto"/>
            <w:noWrap w:val="0"/>
            <w:vAlign w:val="center"/>
          </w:tcPr>
          <w:p w14:paraId="09D65356">
            <w:pPr>
              <w:jc w:val="center"/>
              <w:rPr>
                <w:color w:val="000000"/>
                <w:szCs w:val="21"/>
              </w:rPr>
            </w:pPr>
            <w:r>
              <w:rPr>
                <w:color w:val="000000"/>
                <w:szCs w:val="21"/>
              </w:rPr>
              <w:t>3</w:t>
            </w:r>
          </w:p>
        </w:tc>
        <w:tc>
          <w:tcPr>
            <w:tcW w:w="0" w:type="auto"/>
            <w:noWrap w:val="0"/>
            <w:vAlign w:val="center"/>
          </w:tcPr>
          <w:p w14:paraId="716BF133">
            <w:pPr>
              <w:jc w:val="center"/>
              <w:rPr>
                <w:color w:val="000000"/>
                <w:szCs w:val="21"/>
              </w:rPr>
            </w:pPr>
            <w:r>
              <w:rPr>
                <w:color w:val="000000"/>
                <w:szCs w:val="21"/>
              </w:rPr>
              <w:t>40</w:t>
            </w:r>
          </w:p>
        </w:tc>
        <w:tc>
          <w:tcPr>
            <w:tcW w:w="0" w:type="auto"/>
            <w:noWrap w:val="0"/>
            <w:vAlign w:val="center"/>
          </w:tcPr>
          <w:p w14:paraId="572BF331">
            <w:pPr>
              <w:jc w:val="center"/>
              <w:rPr>
                <w:color w:val="000000"/>
                <w:szCs w:val="21"/>
              </w:rPr>
            </w:pPr>
            <w:r>
              <w:rPr>
                <w:color w:val="000000"/>
                <w:szCs w:val="21"/>
              </w:rPr>
              <w:t>200</w:t>
            </w:r>
          </w:p>
        </w:tc>
      </w:tr>
      <w:tr w14:paraId="3ED2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4E5864E7">
            <w:pPr>
              <w:jc w:val="center"/>
              <w:rPr>
                <w:color w:val="000000"/>
                <w:szCs w:val="21"/>
              </w:rPr>
            </w:pPr>
            <w:r>
              <w:rPr>
                <w:rFonts w:hint="eastAsia"/>
                <w:color w:val="000000"/>
                <w:szCs w:val="21"/>
              </w:rPr>
              <w:t>0</w:t>
            </w:r>
            <w:r>
              <w:rPr>
                <w:color w:val="000000"/>
                <w:szCs w:val="21"/>
              </w:rPr>
              <w:t>8</w:t>
            </w:r>
          </w:p>
        </w:tc>
        <w:tc>
          <w:tcPr>
            <w:tcW w:w="0" w:type="auto"/>
            <w:noWrap w:val="0"/>
            <w:vAlign w:val="center"/>
          </w:tcPr>
          <w:p w14:paraId="5FAEC9EE">
            <w:pPr>
              <w:jc w:val="center"/>
              <w:rPr>
                <w:rFonts w:eastAsia="楷体_GB2312"/>
              </w:rPr>
            </w:pPr>
            <w:r>
              <w:rPr>
                <w:rFonts w:hint="eastAsia" w:eastAsia="楷体_GB2312"/>
              </w:rPr>
              <w:t>镇南二路</w:t>
            </w:r>
          </w:p>
        </w:tc>
        <w:tc>
          <w:tcPr>
            <w:tcW w:w="0" w:type="auto"/>
            <w:noWrap w:val="0"/>
            <w:vAlign w:val="center"/>
          </w:tcPr>
          <w:p w14:paraId="42BD7D36">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5FBE398C">
            <w:pPr>
              <w:jc w:val="center"/>
              <w:rPr>
                <w:color w:val="000000"/>
                <w:szCs w:val="21"/>
              </w:rPr>
            </w:pPr>
            <w:r>
              <w:rPr>
                <w:color w:val="000000"/>
                <w:szCs w:val="21"/>
              </w:rPr>
              <w:t>0.4</w:t>
            </w:r>
          </w:p>
        </w:tc>
        <w:tc>
          <w:tcPr>
            <w:tcW w:w="0" w:type="auto"/>
            <w:noWrap w:val="0"/>
            <w:vAlign w:val="center"/>
          </w:tcPr>
          <w:p w14:paraId="74379277">
            <w:pPr>
              <w:jc w:val="center"/>
              <w:rPr>
                <w:color w:val="000000"/>
                <w:szCs w:val="21"/>
              </w:rPr>
            </w:pPr>
            <w:r>
              <w:rPr>
                <w:color w:val="000000"/>
                <w:szCs w:val="21"/>
              </w:rPr>
              <w:t>3</w:t>
            </w:r>
          </w:p>
        </w:tc>
        <w:tc>
          <w:tcPr>
            <w:tcW w:w="0" w:type="auto"/>
            <w:noWrap w:val="0"/>
            <w:vAlign w:val="center"/>
          </w:tcPr>
          <w:p w14:paraId="2800B44A">
            <w:pPr>
              <w:jc w:val="center"/>
              <w:rPr>
                <w:color w:val="000000"/>
                <w:szCs w:val="21"/>
              </w:rPr>
            </w:pPr>
            <w:r>
              <w:rPr>
                <w:color w:val="000000"/>
                <w:szCs w:val="21"/>
              </w:rPr>
              <w:t>40</w:t>
            </w:r>
          </w:p>
        </w:tc>
        <w:tc>
          <w:tcPr>
            <w:tcW w:w="0" w:type="auto"/>
            <w:noWrap w:val="0"/>
            <w:vAlign w:val="center"/>
          </w:tcPr>
          <w:p w14:paraId="0703CC9F">
            <w:pPr>
              <w:jc w:val="center"/>
              <w:rPr>
                <w:color w:val="000000"/>
                <w:szCs w:val="21"/>
              </w:rPr>
            </w:pPr>
            <w:r>
              <w:rPr>
                <w:color w:val="000000"/>
                <w:szCs w:val="21"/>
              </w:rPr>
              <w:t>200</w:t>
            </w:r>
          </w:p>
        </w:tc>
      </w:tr>
      <w:tr w14:paraId="3A9F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486B1C8D">
            <w:pPr>
              <w:jc w:val="center"/>
              <w:rPr>
                <w:color w:val="000000"/>
                <w:szCs w:val="21"/>
              </w:rPr>
            </w:pPr>
            <w:r>
              <w:rPr>
                <w:rFonts w:hint="eastAsia"/>
                <w:color w:val="000000"/>
                <w:szCs w:val="21"/>
              </w:rPr>
              <w:t>0</w:t>
            </w:r>
            <w:r>
              <w:rPr>
                <w:color w:val="000000"/>
                <w:szCs w:val="21"/>
              </w:rPr>
              <w:t>9</w:t>
            </w:r>
          </w:p>
        </w:tc>
        <w:tc>
          <w:tcPr>
            <w:tcW w:w="0" w:type="auto"/>
            <w:noWrap w:val="0"/>
            <w:vAlign w:val="center"/>
          </w:tcPr>
          <w:p w14:paraId="24EF94DD">
            <w:pPr>
              <w:jc w:val="center"/>
              <w:rPr>
                <w:rFonts w:eastAsia="楷体_GB2312"/>
              </w:rPr>
            </w:pPr>
            <w:r>
              <w:rPr>
                <w:rFonts w:hint="eastAsia" w:eastAsia="楷体_GB2312"/>
              </w:rPr>
              <w:t>镇南三路</w:t>
            </w:r>
          </w:p>
        </w:tc>
        <w:tc>
          <w:tcPr>
            <w:tcW w:w="0" w:type="auto"/>
            <w:noWrap w:val="0"/>
            <w:vAlign w:val="center"/>
          </w:tcPr>
          <w:p w14:paraId="1C00D69D">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8C48F6C">
            <w:pPr>
              <w:jc w:val="center"/>
              <w:rPr>
                <w:color w:val="000000"/>
                <w:szCs w:val="21"/>
              </w:rPr>
            </w:pPr>
            <w:r>
              <w:rPr>
                <w:color w:val="000000"/>
                <w:szCs w:val="21"/>
              </w:rPr>
              <w:t>0.4</w:t>
            </w:r>
          </w:p>
        </w:tc>
        <w:tc>
          <w:tcPr>
            <w:tcW w:w="0" w:type="auto"/>
            <w:noWrap w:val="0"/>
            <w:vAlign w:val="center"/>
          </w:tcPr>
          <w:p w14:paraId="760F3141">
            <w:pPr>
              <w:jc w:val="center"/>
              <w:rPr>
                <w:color w:val="000000"/>
                <w:szCs w:val="21"/>
              </w:rPr>
            </w:pPr>
            <w:r>
              <w:rPr>
                <w:color w:val="000000"/>
                <w:szCs w:val="21"/>
              </w:rPr>
              <w:t>3</w:t>
            </w:r>
          </w:p>
        </w:tc>
        <w:tc>
          <w:tcPr>
            <w:tcW w:w="0" w:type="auto"/>
            <w:noWrap w:val="0"/>
            <w:vAlign w:val="center"/>
          </w:tcPr>
          <w:p w14:paraId="0B3622FB">
            <w:pPr>
              <w:jc w:val="center"/>
              <w:rPr>
                <w:color w:val="000000"/>
                <w:szCs w:val="21"/>
              </w:rPr>
            </w:pPr>
            <w:r>
              <w:rPr>
                <w:color w:val="000000"/>
                <w:szCs w:val="21"/>
              </w:rPr>
              <w:t>40</w:t>
            </w:r>
          </w:p>
        </w:tc>
        <w:tc>
          <w:tcPr>
            <w:tcW w:w="0" w:type="auto"/>
            <w:noWrap w:val="0"/>
            <w:vAlign w:val="center"/>
          </w:tcPr>
          <w:p w14:paraId="5BBF7C78">
            <w:pPr>
              <w:jc w:val="center"/>
              <w:rPr>
                <w:color w:val="000000"/>
                <w:szCs w:val="21"/>
              </w:rPr>
            </w:pPr>
            <w:r>
              <w:rPr>
                <w:color w:val="000000"/>
                <w:szCs w:val="21"/>
              </w:rPr>
              <w:t>200</w:t>
            </w:r>
          </w:p>
        </w:tc>
      </w:tr>
      <w:tr w14:paraId="49DA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1E3E58E6">
            <w:pPr>
              <w:jc w:val="center"/>
              <w:rPr>
                <w:color w:val="000000"/>
                <w:szCs w:val="21"/>
              </w:rPr>
            </w:pPr>
            <w:r>
              <w:rPr>
                <w:color w:val="000000"/>
                <w:szCs w:val="21"/>
              </w:rPr>
              <w:t>10</w:t>
            </w:r>
          </w:p>
        </w:tc>
        <w:tc>
          <w:tcPr>
            <w:tcW w:w="0" w:type="auto"/>
            <w:noWrap w:val="0"/>
            <w:vAlign w:val="center"/>
          </w:tcPr>
          <w:p w14:paraId="7B7EC134">
            <w:pPr>
              <w:jc w:val="center"/>
              <w:rPr>
                <w:rFonts w:eastAsia="楷体_GB2312"/>
              </w:rPr>
            </w:pPr>
            <w:r>
              <w:rPr>
                <w:rFonts w:hint="eastAsia" w:eastAsia="楷体_GB2312"/>
              </w:rPr>
              <w:t>环南路</w:t>
            </w:r>
          </w:p>
        </w:tc>
        <w:tc>
          <w:tcPr>
            <w:tcW w:w="0" w:type="auto"/>
            <w:noWrap w:val="0"/>
            <w:vAlign w:val="center"/>
          </w:tcPr>
          <w:p w14:paraId="32B1BC6B">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285C6AE7">
            <w:pPr>
              <w:jc w:val="center"/>
              <w:rPr>
                <w:color w:val="000000"/>
                <w:szCs w:val="21"/>
              </w:rPr>
            </w:pPr>
            <w:r>
              <w:rPr>
                <w:color w:val="000000"/>
                <w:szCs w:val="21"/>
              </w:rPr>
              <w:t>0.4</w:t>
            </w:r>
          </w:p>
        </w:tc>
        <w:tc>
          <w:tcPr>
            <w:tcW w:w="0" w:type="auto"/>
            <w:noWrap w:val="0"/>
            <w:vAlign w:val="center"/>
          </w:tcPr>
          <w:p w14:paraId="36C08C11">
            <w:pPr>
              <w:jc w:val="center"/>
              <w:rPr>
                <w:color w:val="000000"/>
                <w:szCs w:val="21"/>
              </w:rPr>
            </w:pPr>
            <w:r>
              <w:rPr>
                <w:color w:val="000000"/>
                <w:szCs w:val="21"/>
              </w:rPr>
              <w:t>3</w:t>
            </w:r>
          </w:p>
        </w:tc>
        <w:tc>
          <w:tcPr>
            <w:tcW w:w="0" w:type="auto"/>
            <w:noWrap w:val="0"/>
            <w:vAlign w:val="center"/>
          </w:tcPr>
          <w:p w14:paraId="6105C302">
            <w:pPr>
              <w:jc w:val="center"/>
              <w:rPr>
                <w:color w:val="000000"/>
                <w:szCs w:val="21"/>
              </w:rPr>
            </w:pPr>
            <w:r>
              <w:rPr>
                <w:color w:val="000000"/>
                <w:szCs w:val="21"/>
              </w:rPr>
              <w:t>40</w:t>
            </w:r>
          </w:p>
        </w:tc>
        <w:tc>
          <w:tcPr>
            <w:tcW w:w="0" w:type="auto"/>
            <w:noWrap w:val="0"/>
            <w:vAlign w:val="center"/>
          </w:tcPr>
          <w:p w14:paraId="336CE8F1">
            <w:pPr>
              <w:jc w:val="center"/>
              <w:rPr>
                <w:color w:val="000000"/>
                <w:szCs w:val="21"/>
              </w:rPr>
            </w:pPr>
            <w:r>
              <w:rPr>
                <w:color w:val="000000"/>
                <w:szCs w:val="21"/>
              </w:rPr>
              <w:t>200</w:t>
            </w:r>
          </w:p>
        </w:tc>
      </w:tr>
      <w:tr w14:paraId="7E2D3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6B0873D2">
            <w:pPr>
              <w:jc w:val="center"/>
              <w:rPr>
                <w:color w:val="000000"/>
                <w:szCs w:val="21"/>
              </w:rPr>
            </w:pPr>
            <w:r>
              <w:rPr>
                <w:color w:val="000000"/>
                <w:szCs w:val="21"/>
              </w:rPr>
              <w:t>11</w:t>
            </w:r>
          </w:p>
        </w:tc>
        <w:tc>
          <w:tcPr>
            <w:tcW w:w="0" w:type="auto"/>
            <w:noWrap w:val="0"/>
            <w:vAlign w:val="center"/>
          </w:tcPr>
          <w:p w14:paraId="063BEB46">
            <w:pPr>
              <w:jc w:val="center"/>
              <w:rPr>
                <w:rFonts w:eastAsia="楷体_GB2312"/>
              </w:rPr>
            </w:pPr>
            <w:r>
              <w:rPr>
                <w:rFonts w:hint="eastAsia" w:eastAsia="楷体_GB2312"/>
              </w:rPr>
              <w:t>镇南一路</w:t>
            </w:r>
          </w:p>
        </w:tc>
        <w:tc>
          <w:tcPr>
            <w:tcW w:w="0" w:type="auto"/>
            <w:noWrap w:val="0"/>
            <w:vAlign w:val="center"/>
          </w:tcPr>
          <w:p w14:paraId="42C79BC3">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10571AB6">
            <w:pPr>
              <w:jc w:val="center"/>
              <w:rPr>
                <w:color w:val="000000"/>
                <w:szCs w:val="21"/>
              </w:rPr>
            </w:pPr>
            <w:r>
              <w:rPr>
                <w:color w:val="000000"/>
                <w:szCs w:val="21"/>
              </w:rPr>
              <w:t>0.4</w:t>
            </w:r>
          </w:p>
        </w:tc>
        <w:tc>
          <w:tcPr>
            <w:tcW w:w="0" w:type="auto"/>
            <w:noWrap w:val="0"/>
            <w:vAlign w:val="center"/>
          </w:tcPr>
          <w:p w14:paraId="6A7F849F">
            <w:pPr>
              <w:jc w:val="center"/>
              <w:rPr>
                <w:color w:val="000000"/>
                <w:szCs w:val="21"/>
              </w:rPr>
            </w:pPr>
            <w:r>
              <w:rPr>
                <w:color w:val="000000"/>
                <w:szCs w:val="21"/>
              </w:rPr>
              <w:t>3</w:t>
            </w:r>
          </w:p>
        </w:tc>
        <w:tc>
          <w:tcPr>
            <w:tcW w:w="0" w:type="auto"/>
            <w:noWrap w:val="0"/>
            <w:vAlign w:val="center"/>
          </w:tcPr>
          <w:p w14:paraId="7EFDCCF8">
            <w:pPr>
              <w:jc w:val="center"/>
              <w:rPr>
                <w:color w:val="000000"/>
                <w:szCs w:val="21"/>
              </w:rPr>
            </w:pPr>
            <w:r>
              <w:rPr>
                <w:color w:val="000000"/>
                <w:szCs w:val="21"/>
              </w:rPr>
              <w:t>40</w:t>
            </w:r>
          </w:p>
        </w:tc>
        <w:tc>
          <w:tcPr>
            <w:tcW w:w="0" w:type="auto"/>
            <w:noWrap w:val="0"/>
            <w:vAlign w:val="center"/>
          </w:tcPr>
          <w:p w14:paraId="58F4E42B">
            <w:pPr>
              <w:jc w:val="center"/>
              <w:rPr>
                <w:color w:val="000000"/>
                <w:szCs w:val="21"/>
              </w:rPr>
            </w:pPr>
            <w:r>
              <w:rPr>
                <w:color w:val="000000"/>
                <w:szCs w:val="21"/>
              </w:rPr>
              <w:t>200</w:t>
            </w:r>
          </w:p>
        </w:tc>
      </w:tr>
      <w:tr w14:paraId="0DCC8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6B1DA72F">
            <w:pPr>
              <w:jc w:val="center"/>
              <w:rPr>
                <w:color w:val="000000"/>
                <w:szCs w:val="21"/>
              </w:rPr>
            </w:pPr>
            <w:r>
              <w:rPr>
                <w:color w:val="000000"/>
                <w:szCs w:val="21"/>
              </w:rPr>
              <w:t>12</w:t>
            </w:r>
          </w:p>
        </w:tc>
        <w:tc>
          <w:tcPr>
            <w:tcW w:w="0" w:type="auto"/>
            <w:noWrap w:val="0"/>
            <w:vAlign w:val="center"/>
          </w:tcPr>
          <w:p w14:paraId="4E4F0547">
            <w:pPr>
              <w:jc w:val="center"/>
              <w:rPr>
                <w:rFonts w:eastAsia="楷体_GB2312"/>
              </w:rPr>
            </w:pPr>
            <w:r>
              <w:rPr>
                <w:rFonts w:hint="eastAsia" w:eastAsia="楷体_GB2312"/>
              </w:rPr>
              <w:t>西环路</w:t>
            </w:r>
          </w:p>
        </w:tc>
        <w:tc>
          <w:tcPr>
            <w:tcW w:w="0" w:type="auto"/>
            <w:noWrap w:val="0"/>
            <w:vAlign w:val="center"/>
          </w:tcPr>
          <w:p w14:paraId="59C664F1">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3F423D0">
            <w:pPr>
              <w:jc w:val="center"/>
              <w:rPr>
                <w:color w:val="000000"/>
                <w:szCs w:val="21"/>
              </w:rPr>
            </w:pPr>
            <w:r>
              <w:rPr>
                <w:color w:val="000000"/>
                <w:szCs w:val="21"/>
              </w:rPr>
              <w:t>0.4</w:t>
            </w:r>
          </w:p>
        </w:tc>
        <w:tc>
          <w:tcPr>
            <w:tcW w:w="0" w:type="auto"/>
            <w:noWrap w:val="0"/>
            <w:vAlign w:val="center"/>
          </w:tcPr>
          <w:p w14:paraId="3782B603">
            <w:pPr>
              <w:jc w:val="center"/>
              <w:rPr>
                <w:color w:val="000000"/>
                <w:szCs w:val="21"/>
              </w:rPr>
            </w:pPr>
            <w:r>
              <w:rPr>
                <w:color w:val="000000"/>
                <w:szCs w:val="21"/>
              </w:rPr>
              <w:t>3</w:t>
            </w:r>
          </w:p>
        </w:tc>
        <w:tc>
          <w:tcPr>
            <w:tcW w:w="0" w:type="auto"/>
            <w:noWrap w:val="0"/>
            <w:vAlign w:val="center"/>
          </w:tcPr>
          <w:p w14:paraId="136688E8">
            <w:pPr>
              <w:jc w:val="center"/>
              <w:rPr>
                <w:color w:val="000000"/>
                <w:szCs w:val="21"/>
              </w:rPr>
            </w:pPr>
            <w:r>
              <w:rPr>
                <w:color w:val="000000"/>
                <w:szCs w:val="21"/>
              </w:rPr>
              <w:t>40</w:t>
            </w:r>
          </w:p>
        </w:tc>
        <w:tc>
          <w:tcPr>
            <w:tcW w:w="0" w:type="auto"/>
            <w:noWrap w:val="0"/>
            <w:vAlign w:val="center"/>
          </w:tcPr>
          <w:p w14:paraId="38F7869D">
            <w:pPr>
              <w:jc w:val="center"/>
              <w:rPr>
                <w:color w:val="000000"/>
                <w:szCs w:val="21"/>
              </w:rPr>
            </w:pPr>
            <w:r>
              <w:rPr>
                <w:color w:val="000000"/>
                <w:szCs w:val="21"/>
              </w:rPr>
              <w:t>200</w:t>
            </w:r>
          </w:p>
        </w:tc>
      </w:tr>
      <w:tr w14:paraId="1C10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039D9A76">
            <w:pPr>
              <w:jc w:val="center"/>
              <w:rPr>
                <w:color w:val="000000"/>
                <w:szCs w:val="21"/>
              </w:rPr>
            </w:pPr>
            <w:r>
              <w:rPr>
                <w:color w:val="000000"/>
                <w:szCs w:val="21"/>
              </w:rPr>
              <w:t>13</w:t>
            </w:r>
          </w:p>
        </w:tc>
        <w:tc>
          <w:tcPr>
            <w:tcW w:w="0" w:type="auto"/>
            <w:noWrap w:val="0"/>
            <w:vAlign w:val="center"/>
          </w:tcPr>
          <w:p w14:paraId="6F6016BF">
            <w:pPr>
              <w:jc w:val="center"/>
              <w:rPr>
                <w:rFonts w:eastAsia="楷体_GB2312"/>
              </w:rPr>
            </w:pPr>
            <w:r>
              <w:rPr>
                <w:rFonts w:hint="eastAsia" w:eastAsia="楷体_GB2312"/>
              </w:rPr>
              <w:t>环东路</w:t>
            </w:r>
          </w:p>
        </w:tc>
        <w:tc>
          <w:tcPr>
            <w:tcW w:w="0" w:type="auto"/>
            <w:noWrap w:val="0"/>
            <w:vAlign w:val="center"/>
          </w:tcPr>
          <w:p w14:paraId="52F6ED06">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5F978648">
            <w:pPr>
              <w:jc w:val="center"/>
              <w:rPr>
                <w:color w:val="000000"/>
                <w:szCs w:val="21"/>
              </w:rPr>
            </w:pPr>
            <w:r>
              <w:rPr>
                <w:color w:val="000000"/>
                <w:szCs w:val="21"/>
              </w:rPr>
              <w:t>0.4</w:t>
            </w:r>
          </w:p>
        </w:tc>
        <w:tc>
          <w:tcPr>
            <w:tcW w:w="0" w:type="auto"/>
            <w:noWrap w:val="0"/>
            <w:vAlign w:val="center"/>
          </w:tcPr>
          <w:p w14:paraId="64DC209D">
            <w:pPr>
              <w:jc w:val="center"/>
              <w:rPr>
                <w:color w:val="000000"/>
                <w:szCs w:val="21"/>
              </w:rPr>
            </w:pPr>
            <w:r>
              <w:rPr>
                <w:color w:val="000000"/>
                <w:szCs w:val="21"/>
              </w:rPr>
              <w:t>3</w:t>
            </w:r>
          </w:p>
        </w:tc>
        <w:tc>
          <w:tcPr>
            <w:tcW w:w="0" w:type="auto"/>
            <w:noWrap w:val="0"/>
            <w:vAlign w:val="center"/>
          </w:tcPr>
          <w:p w14:paraId="70F0012A">
            <w:pPr>
              <w:jc w:val="center"/>
              <w:rPr>
                <w:color w:val="000000"/>
                <w:szCs w:val="21"/>
              </w:rPr>
            </w:pPr>
            <w:r>
              <w:rPr>
                <w:color w:val="000000"/>
                <w:szCs w:val="21"/>
              </w:rPr>
              <w:t>40</w:t>
            </w:r>
          </w:p>
        </w:tc>
        <w:tc>
          <w:tcPr>
            <w:tcW w:w="0" w:type="auto"/>
            <w:noWrap w:val="0"/>
            <w:vAlign w:val="center"/>
          </w:tcPr>
          <w:p w14:paraId="31715874">
            <w:pPr>
              <w:jc w:val="center"/>
              <w:rPr>
                <w:color w:val="000000"/>
                <w:szCs w:val="21"/>
              </w:rPr>
            </w:pPr>
            <w:r>
              <w:rPr>
                <w:color w:val="000000"/>
                <w:szCs w:val="21"/>
              </w:rPr>
              <w:t>200</w:t>
            </w:r>
          </w:p>
        </w:tc>
      </w:tr>
      <w:tr w14:paraId="6E03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54299988">
            <w:pPr>
              <w:jc w:val="center"/>
              <w:rPr>
                <w:color w:val="000000"/>
                <w:szCs w:val="21"/>
              </w:rPr>
            </w:pPr>
            <w:r>
              <w:rPr>
                <w:color w:val="000000"/>
                <w:szCs w:val="21"/>
              </w:rPr>
              <w:t>14</w:t>
            </w:r>
          </w:p>
        </w:tc>
        <w:tc>
          <w:tcPr>
            <w:tcW w:w="0" w:type="auto"/>
            <w:noWrap w:val="0"/>
            <w:vAlign w:val="center"/>
          </w:tcPr>
          <w:p w14:paraId="2BDFC6AC">
            <w:pPr>
              <w:jc w:val="center"/>
              <w:rPr>
                <w:rFonts w:eastAsia="楷体_GB2312"/>
              </w:rPr>
            </w:pPr>
            <w:r>
              <w:rPr>
                <w:rFonts w:hint="eastAsia" w:eastAsia="楷体_GB2312"/>
              </w:rPr>
              <w:t>镇东路</w:t>
            </w:r>
          </w:p>
        </w:tc>
        <w:tc>
          <w:tcPr>
            <w:tcW w:w="0" w:type="auto"/>
            <w:noWrap w:val="0"/>
            <w:vAlign w:val="center"/>
          </w:tcPr>
          <w:p w14:paraId="497DB8C4">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4A4EB7F">
            <w:pPr>
              <w:jc w:val="center"/>
              <w:rPr>
                <w:color w:val="000000"/>
                <w:szCs w:val="21"/>
              </w:rPr>
            </w:pPr>
            <w:r>
              <w:rPr>
                <w:color w:val="000000"/>
                <w:szCs w:val="21"/>
              </w:rPr>
              <w:t>0.4</w:t>
            </w:r>
          </w:p>
        </w:tc>
        <w:tc>
          <w:tcPr>
            <w:tcW w:w="0" w:type="auto"/>
            <w:noWrap w:val="0"/>
            <w:vAlign w:val="center"/>
          </w:tcPr>
          <w:p w14:paraId="33F4CA4C">
            <w:pPr>
              <w:jc w:val="center"/>
              <w:rPr>
                <w:color w:val="000000"/>
                <w:szCs w:val="21"/>
              </w:rPr>
            </w:pPr>
            <w:r>
              <w:rPr>
                <w:color w:val="000000"/>
                <w:szCs w:val="21"/>
              </w:rPr>
              <w:t>3</w:t>
            </w:r>
          </w:p>
        </w:tc>
        <w:tc>
          <w:tcPr>
            <w:tcW w:w="0" w:type="auto"/>
            <w:noWrap w:val="0"/>
            <w:vAlign w:val="center"/>
          </w:tcPr>
          <w:p w14:paraId="3909778C">
            <w:pPr>
              <w:jc w:val="center"/>
              <w:rPr>
                <w:color w:val="000000"/>
                <w:szCs w:val="21"/>
              </w:rPr>
            </w:pPr>
            <w:r>
              <w:rPr>
                <w:color w:val="000000"/>
                <w:szCs w:val="21"/>
              </w:rPr>
              <w:t>40</w:t>
            </w:r>
          </w:p>
        </w:tc>
        <w:tc>
          <w:tcPr>
            <w:tcW w:w="0" w:type="auto"/>
            <w:noWrap w:val="0"/>
            <w:vAlign w:val="center"/>
          </w:tcPr>
          <w:p w14:paraId="2653C076">
            <w:pPr>
              <w:jc w:val="center"/>
              <w:rPr>
                <w:color w:val="000000"/>
                <w:szCs w:val="21"/>
              </w:rPr>
            </w:pPr>
            <w:r>
              <w:rPr>
                <w:color w:val="000000"/>
                <w:szCs w:val="21"/>
              </w:rPr>
              <w:t>200</w:t>
            </w:r>
          </w:p>
        </w:tc>
      </w:tr>
    </w:tbl>
    <w:p w14:paraId="2170F1E5">
      <w:pPr>
        <w:jc w:val="center"/>
        <w:rPr>
          <w:rFonts w:eastAsia="仿宋_GB2312"/>
          <w:sz w:val="18"/>
        </w:rPr>
      </w:pPr>
      <w:r>
        <w:rPr>
          <w:rFonts w:eastAsia="黑体"/>
          <w:sz w:val="28"/>
        </w:rPr>
        <w:t>表1-3-</w:t>
      </w:r>
      <w:r>
        <w:rPr>
          <w:rFonts w:hint="eastAsia" w:eastAsia="黑体"/>
          <w:sz w:val="28"/>
        </w:rPr>
        <w:t>1</w:t>
      </w:r>
      <w:r>
        <w:rPr>
          <w:rFonts w:eastAsia="黑体"/>
          <w:sz w:val="28"/>
        </w:rPr>
        <w:t xml:space="preserve">7  </w:t>
      </w:r>
      <w:r>
        <w:rPr>
          <w:rFonts w:hint="eastAsia" w:eastAsia="黑体"/>
          <w:sz w:val="28"/>
        </w:rPr>
        <w:t>大营镇</w:t>
      </w:r>
      <w:r>
        <w:rPr>
          <w:rFonts w:eastAsia="黑体"/>
          <w:sz w:val="28"/>
        </w:rPr>
        <w:t>镇区道路状况及其功能分及影响距离表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460"/>
        <w:gridCol w:w="1460"/>
        <w:gridCol w:w="1460"/>
        <w:gridCol w:w="879"/>
        <w:gridCol w:w="1170"/>
        <w:gridCol w:w="1460"/>
      </w:tblGrid>
      <w:tr w14:paraId="6F81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83" w:type="dxa"/>
            <w:noWrap w:val="0"/>
            <w:vAlign w:val="center"/>
          </w:tcPr>
          <w:p w14:paraId="1AE19A52">
            <w:pPr>
              <w:jc w:val="center"/>
              <w:rPr>
                <w:rFonts w:eastAsia="楷体_GB2312"/>
              </w:rPr>
            </w:pPr>
            <w:r>
              <w:rPr>
                <w:rFonts w:eastAsia="楷体_GB2312"/>
              </w:rPr>
              <w:t>道路编号</w:t>
            </w:r>
          </w:p>
        </w:tc>
        <w:tc>
          <w:tcPr>
            <w:tcW w:w="0" w:type="auto"/>
            <w:noWrap w:val="0"/>
            <w:vAlign w:val="center"/>
          </w:tcPr>
          <w:p w14:paraId="57F013B6">
            <w:pPr>
              <w:jc w:val="center"/>
              <w:rPr>
                <w:rFonts w:eastAsia="楷体_GB2312"/>
              </w:rPr>
            </w:pPr>
            <w:r>
              <w:rPr>
                <w:rFonts w:eastAsia="楷体_GB2312"/>
              </w:rPr>
              <w:t>道路名称</w:t>
            </w:r>
          </w:p>
        </w:tc>
        <w:tc>
          <w:tcPr>
            <w:tcW w:w="0" w:type="auto"/>
            <w:noWrap w:val="0"/>
            <w:vAlign w:val="center"/>
          </w:tcPr>
          <w:p w14:paraId="386B95BA">
            <w:pPr>
              <w:jc w:val="center"/>
              <w:rPr>
                <w:rFonts w:eastAsia="楷体_GB2312"/>
              </w:rPr>
            </w:pPr>
            <w:r>
              <w:rPr>
                <w:rFonts w:eastAsia="楷体_GB2312"/>
              </w:rPr>
              <w:t>道路类型</w:t>
            </w:r>
          </w:p>
        </w:tc>
        <w:tc>
          <w:tcPr>
            <w:tcW w:w="0" w:type="auto"/>
            <w:noWrap w:val="0"/>
            <w:vAlign w:val="center"/>
          </w:tcPr>
          <w:p w14:paraId="1987CE7B">
            <w:pPr>
              <w:jc w:val="center"/>
              <w:rPr>
                <w:rFonts w:eastAsia="楷体_GB2312"/>
              </w:rPr>
            </w:pPr>
            <w:r>
              <w:rPr>
                <w:rFonts w:eastAsia="楷体_GB2312"/>
              </w:rPr>
              <w:t>作用指数</w:t>
            </w:r>
          </w:p>
        </w:tc>
        <w:tc>
          <w:tcPr>
            <w:tcW w:w="0" w:type="auto"/>
            <w:noWrap w:val="0"/>
            <w:vAlign w:val="center"/>
          </w:tcPr>
          <w:p w14:paraId="02B7EFE3">
            <w:pPr>
              <w:jc w:val="center"/>
              <w:rPr>
                <w:rFonts w:eastAsia="楷体_GB2312"/>
              </w:rPr>
            </w:pPr>
            <w:r>
              <w:rPr>
                <w:rFonts w:eastAsia="楷体_GB2312"/>
              </w:rPr>
              <w:t>级别</w:t>
            </w:r>
          </w:p>
        </w:tc>
        <w:tc>
          <w:tcPr>
            <w:tcW w:w="0" w:type="auto"/>
            <w:noWrap w:val="0"/>
            <w:vAlign w:val="center"/>
          </w:tcPr>
          <w:p w14:paraId="68777E8A">
            <w:pPr>
              <w:jc w:val="center"/>
              <w:rPr>
                <w:rFonts w:eastAsia="楷体_GB2312"/>
              </w:rPr>
            </w:pPr>
            <w:r>
              <w:rPr>
                <w:rFonts w:eastAsia="楷体_GB2312"/>
              </w:rPr>
              <w:t>功能分</w:t>
            </w:r>
          </w:p>
        </w:tc>
        <w:tc>
          <w:tcPr>
            <w:tcW w:w="0" w:type="auto"/>
            <w:noWrap w:val="0"/>
            <w:vAlign w:val="center"/>
          </w:tcPr>
          <w:p w14:paraId="3C318861">
            <w:pPr>
              <w:jc w:val="center"/>
              <w:rPr>
                <w:rFonts w:eastAsia="楷体_GB2312"/>
              </w:rPr>
            </w:pPr>
            <w:r>
              <w:rPr>
                <w:rFonts w:eastAsia="楷体_GB2312"/>
              </w:rPr>
              <w:t>影响半径</w:t>
            </w:r>
          </w:p>
        </w:tc>
      </w:tr>
      <w:tr w14:paraId="71A75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26E68C9">
            <w:pPr>
              <w:jc w:val="center"/>
              <w:rPr>
                <w:color w:val="000000"/>
                <w:szCs w:val="21"/>
              </w:rPr>
            </w:pPr>
            <w:r>
              <w:rPr>
                <w:rFonts w:hint="eastAsia"/>
                <w:color w:val="000000"/>
                <w:szCs w:val="21"/>
              </w:rPr>
              <w:t>0</w:t>
            </w:r>
            <w:r>
              <w:rPr>
                <w:color w:val="000000"/>
                <w:szCs w:val="21"/>
              </w:rPr>
              <w:t>1</w:t>
            </w:r>
          </w:p>
        </w:tc>
        <w:tc>
          <w:tcPr>
            <w:tcW w:w="0" w:type="auto"/>
            <w:noWrap w:val="0"/>
            <w:vAlign w:val="center"/>
          </w:tcPr>
          <w:p w14:paraId="7D9BAC74">
            <w:pPr>
              <w:jc w:val="center"/>
              <w:rPr>
                <w:rFonts w:ascii="楷体_GB2312" w:eastAsia="楷体_GB2312"/>
                <w:color w:val="000000"/>
                <w:szCs w:val="21"/>
              </w:rPr>
            </w:pPr>
            <w:r>
              <w:rPr>
                <w:rFonts w:hint="eastAsia" w:ascii="楷体_GB2312" w:eastAsia="楷体_GB2312"/>
                <w:color w:val="000000"/>
                <w:szCs w:val="21"/>
              </w:rPr>
              <w:t>汾江路</w:t>
            </w:r>
          </w:p>
        </w:tc>
        <w:tc>
          <w:tcPr>
            <w:tcW w:w="0" w:type="auto"/>
            <w:noWrap w:val="0"/>
            <w:vAlign w:val="center"/>
          </w:tcPr>
          <w:p w14:paraId="0E1E084E">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761A7059">
            <w:pPr>
              <w:jc w:val="center"/>
              <w:rPr>
                <w:color w:val="000000"/>
                <w:szCs w:val="21"/>
              </w:rPr>
            </w:pPr>
            <w:r>
              <w:rPr>
                <w:color w:val="000000"/>
                <w:szCs w:val="21"/>
              </w:rPr>
              <w:t>1</w:t>
            </w:r>
          </w:p>
        </w:tc>
        <w:tc>
          <w:tcPr>
            <w:tcW w:w="0" w:type="auto"/>
            <w:noWrap w:val="0"/>
            <w:vAlign w:val="center"/>
          </w:tcPr>
          <w:p w14:paraId="3A34DA4C">
            <w:pPr>
              <w:jc w:val="center"/>
              <w:rPr>
                <w:color w:val="000000"/>
                <w:szCs w:val="21"/>
              </w:rPr>
            </w:pPr>
            <w:r>
              <w:rPr>
                <w:color w:val="000000"/>
                <w:szCs w:val="21"/>
              </w:rPr>
              <w:t>1</w:t>
            </w:r>
          </w:p>
        </w:tc>
        <w:tc>
          <w:tcPr>
            <w:tcW w:w="0" w:type="auto"/>
            <w:noWrap w:val="0"/>
            <w:vAlign w:val="center"/>
          </w:tcPr>
          <w:p w14:paraId="39BDCE81">
            <w:pPr>
              <w:jc w:val="center"/>
              <w:rPr>
                <w:color w:val="000000"/>
                <w:szCs w:val="21"/>
              </w:rPr>
            </w:pPr>
            <w:r>
              <w:rPr>
                <w:color w:val="000000"/>
                <w:szCs w:val="21"/>
              </w:rPr>
              <w:t>100</w:t>
            </w:r>
          </w:p>
        </w:tc>
        <w:tc>
          <w:tcPr>
            <w:tcW w:w="0" w:type="auto"/>
            <w:noWrap w:val="0"/>
            <w:vAlign w:val="center"/>
          </w:tcPr>
          <w:p w14:paraId="021012F6">
            <w:pPr>
              <w:jc w:val="center"/>
              <w:rPr>
                <w:color w:val="000000"/>
                <w:szCs w:val="21"/>
              </w:rPr>
            </w:pPr>
            <w:r>
              <w:rPr>
                <w:color w:val="000000"/>
                <w:szCs w:val="21"/>
              </w:rPr>
              <w:t>260</w:t>
            </w:r>
          </w:p>
        </w:tc>
      </w:tr>
      <w:tr w14:paraId="4C578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A558B8C">
            <w:pPr>
              <w:jc w:val="center"/>
              <w:rPr>
                <w:color w:val="000000"/>
                <w:szCs w:val="21"/>
              </w:rPr>
            </w:pPr>
            <w:r>
              <w:rPr>
                <w:rFonts w:hint="eastAsia"/>
                <w:color w:val="000000"/>
                <w:szCs w:val="21"/>
              </w:rPr>
              <w:t>0</w:t>
            </w:r>
            <w:r>
              <w:rPr>
                <w:color w:val="000000"/>
                <w:szCs w:val="21"/>
              </w:rPr>
              <w:t>2</w:t>
            </w:r>
          </w:p>
        </w:tc>
        <w:tc>
          <w:tcPr>
            <w:tcW w:w="0" w:type="auto"/>
            <w:noWrap w:val="0"/>
            <w:vAlign w:val="center"/>
          </w:tcPr>
          <w:p w14:paraId="1525342D">
            <w:pPr>
              <w:jc w:val="center"/>
              <w:rPr>
                <w:rFonts w:ascii="楷体_GB2312" w:eastAsia="楷体_GB2312"/>
                <w:color w:val="000000"/>
                <w:szCs w:val="21"/>
              </w:rPr>
            </w:pPr>
            <w:r>
              <w:rPr>
                <w:rFonts w:hint="eastAsia" w:ascii="楷体_GB2312" w:eastAsia="楷体_GB2312"/>
                <w:color w:val="000000"/>
                <w:szCs w:val="21"/>
              </w:rPr>
              <w:t>罗大路</w:t>
            </w:r>
          </w:p>
        </w:tc>
        <w:tc>
          <w:tcPr>
            <w:tcW w:w="0" w:type="auto"/>
            <w:noWrap w:val="0"/>
            <w:vAlign w:val="center"/>
          </w:tcPr>
          <w:p w14:paraId="4CA22258">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6694C454">
            <w:pPr>
              <w:jc w:val="center"/>
              <w:rPr>
                <w:color w:val="000000"/>
                <w:szCs w:val="21"/>
              </w:rPr>
            </w:pPr>
            <w:r>
              <w:rPr>
                <w:color w:val="000000"/>
                <w:szCs w:val="21"/>
              </w:rPr>
              <w:t>1</w:t>
            </w:r>
          </w:p>
        </w:tc>
        <w:tc>
          <w:tcPr>
            <w:tcW w:w="0" w:type="auto"/>
            <w:noWrap w:val="0"/>
            <w:vAlign w:val="center"/>
          </w:tcPr>
          <w:p w14:paraId="285D7266">
            <w:pPr>
              <w:jc w:val="center"/>
              <w:rPr>
                <w:color w:val="000000"/>
                <w:szCs w:val="21"/>
              </w:rPr>
            </w:pPr>
            <w:r>
              <w:rPr>
                <w:color w:val="000000"/>
                <w:szCs w:val="21"/>
              </w:rPr>
              <w:t>1</w:t>
            </w:r>
          </w:p>
        </w:tc>
        <w:tc>
          <w:tcPr>
            <w:tcW w:w="0" w:type="auto"/>
            <w:noWrap w:val="0"/>
            <w:vAlign w:val="center"/>
          </w:tcPr>
          <w:p w14:paraId="76B4C7F5">
            <w:pPr>
              <w:jc w:val="center"/>
              <w:rPr>
                <w:color w:val="000000"/>
                <w:szCs w:val="21"/>
              </w:rPr>
            </w:pPr>
            <w:r>
              <w:rPr>
                <w:color w:val="000000"/>
                <w:szCs w:val="21"/>
              </w:rPr>
              <w:t>100</w:t>
            </w:r>
          </w:p>
        </w:tc>
        <w:tc>
          <w:tcPr>
            <w:tcW w:w="0" w:type="auto"/>
            <w:noWrap w:val="0"/>
            <w:vAlign w:val="center"/>
          </w:tcPr>
          <w:p w14:paraId="0C369EF2">
            <w:pPr>
              <w:jc w:val="center"/>
              <w:rPr>
                <w:color w:val="000000"/>
                <w:szCs w:val="21"/>
              </w:rPr>
            </w:pPr>
            <w:r>
              <w:rPr>
                <w:color w:val="000000"/>
                <w:szCs w:val="21"/>
              </w:rPr>
              <w:t>260</w:t>
            </w:r>
          </w:p>
        </w:tc>
      </w:tr>
      <w:tr w14:paraId="688EA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214599C">
            <w:pPr>
              <w:jc w:val="center"/>
              <w:rPr>
                <w:color w:val="000000"/>
                <w:szCs w:val="21"/>
              </w:rPr>
            </w:pPr>
            <w:r>
              <w:rPr>
                <w:rFonts w:hint="eastAsia"/>
                <w:color w:val="000000"/>
                <w:szCs w:val="21"/>
              </w:rPr>
              <w:t>0</w:t>
            </w:r>
            <w:r>
              <w:rPr>
                <w:color w:val="000000"/>
                <w:szCs w:val="21"/>
              </w:rPr>
              <w:t>3</w:t>
            </w:r>
          </w:p>
        </w:tc>
        <w:tc>
          <w:tcPr>
            <w:tcW w:w="0" w:type="auto"/>
            <w:noWrap w:val="0"/>
            <w:vAlign w:val="center"/>
          </w:tcPr>
          <w:p w14:paraId="27B086AD">
            <w:pPr>
              <w:jc w:val="center"/>
              <w:rPr>
                <w:rFonts w:ascii="楷体_GB2312" w:eastAsia="楷体_GB2312"/>
                <w:color w:val="000000"/>
                <w:szCs w:val="21"/>
              </w:rPr>
            </w:pPr>
            <w:r>
              <w:rPr>
                <w:rFonts w:hint="eastAsia" w:ascii="楷体_GB2312" w:eastAsia="楷体_GB2312"/>
                <w:color w:val="000000"/>
                <w:szCs w:val="21"/>
              </w:rPr>
              <w:t>兴国路</w:t>
            </w:r>
          </w:p>
        </w:tc>
        <w:tc>
          <w:tcPr>
            <w:tcW w:w="0" w:type="auto"/>
            <w:noWrap w:val="0"/>
            <w:vAlign w:val="center"/>
          </w:tcPr>
          <w:p w14:paraId="6A5C014B">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5363B772">
            <w:pPr>
              <w:jc w:val="center"/>
              <w:rPr>
                <w:color w:val="000000"/>
                <w:szCs w:val="21"/>
              </w:rPr>
            </w:pPr>
            <w:r>
              <w:rPr>
                <w:color w:val="000000"/>
                <w:szCs w:val="21"/>
              </w:rPr>
              <w:t>1</w:t>
            </w:r>
          </w:p>
        </w:tc>
        <w:tc>
          <w:tcPr>
            <w:tcW w:w="0" w:type="auto"/>
            <w:noWrap w:val="0"/>
            <w:vAlign w:val="center"/>
          </w:tcPr>
          <w:p w14:paraId="54FDCB56">
            <w:pPr>
              <w:jc w:val="center"/>
              <w:rPr>
                <w:color w:val="000000"/>
                <w:szCs w:val="21"/>
              </w:rPr>
            </w:pPr>
            <w:r>
              <w:rPr>
                <w:color w:val="000000"/>
                <w:szCs w:val="21"/>
              </w:rPr>
              <w:t>1</w:t>
            </w:r>
          </w:p>
        </w:tc>
        <w:tc>
          <w:tcPr>
            <w:tcW w:w="0" w:type="auto"/>
            <w:noWrap w:val="0"/>
            <w:vAlign w:val="center"/>
          </w:tcPr>
          <w:p w14:paraId="2126F74D">
            <w:pPr>
              <w:jc w:val="center"/>
              <w:rPr>
                <w:color w:val="000000"/>
                <w:szCs w:val="21"/>
              </w:rPr>
            </w:pPr>
            <w:r>
              <w:rPr>
                <w:color w:val="000000"/>
                <w:szCs w:val="21"/>
              </w:rPr>
              <w:t>100</w:t>
            </w:r>
          </w:p>
        </w:tc>
        <w:tc>
          <w:tcPr>
            <w:tcW w:w="0" w:type="auto"/>
            <w:noWrap w:val="0"/>
            <w:vAlign w:val="center"/>
          </w:tcPr>
          <w:p w14:paraId="4E5E400E">
            <w:pPr>
              <w:jc w:val="center"/>
              <w:rPr>
                <w:color w:val="000000"/>
                <w:szCs w:val="21"/>
              </w:rPr>
            </w:pPr>
            <w:r>
              <w:rPr>
                <w:color w:val="000000"/>
                <w:szCs w:val="21"/>
              </w:rPr>
              <w:t>260</w:t>
            </w:r>
          </w:p>
        </w:tc>
      </w:tr>
      <w:tr w14:paraId="07A1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2721D1C">
            <w:pPr>
              <w:jc w:val="center"/>
              <w:rPr>
                <w:color w:val="000000"/>
                <w:szCs w:val="21"/>
              </w:rPr>
            </w:pPr>
            <w:r>
              <w:rPr>
                <w:rFonts w:hint="eastAsia"/>
                <w:color w:val="000000"/>
                <w:szCs w:val="21"/>
              </w:rPr>
              <w:t>0</w:t>
            </w:r>
            <w:r>
              <w:rPr>
                <w:color w:val="000000"/>
                <w:szCs w:val="21"/>
              </w:rPr>
              <w:t>4</w:t>
            </w:r>
          </w:p>
        </w:tc>
        <w:tc>
          <w:tcPr>
            <w:tcW w:w="0" w:type="auto"/>
            <w:noWrap w:val="0"/>
            <w:vAlign w:val="center"/>
          </w:tcPr>
          <w:p w14:paraId="5D1E198A">
            <w:pPr>
              <w:jc w:val="center"/>
              <w:rPr>
                <w:rFonts w:ascii="楷体_GB2312" w:eastAsia="楷体_GB2312"/>
                <w:color w:val="000000"/>
                <w:szCs w:val="21"/>
              </w:rPr>
            </w:pPr>
            <w:r>
              <w:rPr>
                <w:rFonts w:hint="eastAsia" w:ascii="宋体" w:hAnsi="宋体" w:cs="宋体"/>
                <w:color w:val="000000"/>
                <w:szCs w:val="21"/>
              </w:rPr>
              <w:t>澥</w:t>
            </w:r>
            <w:r>
              <w:rPr>
                <w:rFonts w:hint="eastAsia" w:ascii="楷体_GB2312" w:hAnsi="楷体_GB2312" w:eastAsia="楷体_GB2312" w:cs="楷体_GB2312"/>
                <w:color w:val="000000"/>
                <w:szCs w:val="21"/>
              </w:rPr>
              <w:t>河路</w:t>
            </w:r>
          </w:p>
        </w:tc>
        <w:tc>
          <w:tcPr>
            <w:tcW w:w="0" w:type="auto"/>
            <w:noWrap w:val="0"/>
            <w:vAlign w:val="center"/>
          </w:tcPr>
          <w:p w14:paraId="6EF71BF3">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48898E0F">
            <w:pPr>
              <w:jc w:val="center"/>
              <w:rPr>
                <w:color w:val="000000"/>
                <w:szCs w:val="21"/>
              </w:rPr>
            </w:pPr>
            <w:r>
              <w:rPr>
                <w:color w:val="000000"/>
                <w:szCs w:val="21"/>
              </w:rPr>
              <w:t>1</w:t>
            </w:r>
          </w:p>
        </w:tc>
        <w:tc>
          <w:tcPr>
            <w:tcW w:w="0" w:type="auto"/>
            <w:noWrap w:val="0"/>
            <w:vAlign w:val="center"/>
          </w:tcPr>
          <w:p w14:paraId="56678DBB">
            <w:pPr>
              <w:jc w:val="center"/>
              <w:rPr>
                <w:color w:val="000000"/>
                <w:szCs w:val="21"/>
              </w:rPr>
            </w:pPr>
            <w:r>
              <w:rPr>
                <w:color w:val="000000"/>
                <w:szCs w:val="21"/>
              </w:rPr>
              <w:t>1</w:t>
            </w:r>
          </w:p>
        </w:tc>
        <w:tc>
          <w:tcPr>
            <w:tcW w:w="0" w:type="auto"/>
            <w:noWrap w:val="0"/>
            <w:vAlign w:val="center"/>
          </w:tcPr>
          <w:p w14:paraId="14FD3AB7">
            <w:pPr>
              <w:jc w:val="center"/>
              <w:rPr>
                <w:color w:val="000000"/>
                <w:szCs w:val="21"/>
              </w:rPr>
            </w:pPr>
            <w:r>
              <w:rPr>
                <w:color w:val="000000"/>
                <w:szCs w:val="21"/>
              </w:rPr>
              <w:t>100</w:t>
            </w:r>
          </w:p>
        </w:tc>
        <w:tc>
          <w:tcPr>
            <w:tcW w:w="0" w:type="auto"/>
            <w:noWrap w:val="0"/>
            <w:vAlign w:val="center"/>
          </w:tcPr>
          <w:p w14:paraId="1E63A19E">
            <w:pPr>
              <w:jc w:val="center"/>
              <w:rPr>
                <w:color w:val="000000"/>
                <w:szCs w:val="21"/>
              </w:rPr>
            </w:pPr>
            <w:r>
              <w:rPr>
                <w:color w:val="000000"/>
                <w:szCs w:val="21"/>
              </w:rPr>
              <w:t>260</w:t>
            </w:r>
          </w:p>
        </w:tc>
      </w:tr>
      <w:tr w14:paraId="32BD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27ADA16">
            <w:pPr>
              <w:jc w:val="center"/>
              <w:rPr>
                <w:color w:val="000000"/>
                <w:szCs w:val="21"/>
              </w:rPr>
            </w:pPr>
            <w:r>
              <w:rPr>
                <w:rFonts w:hint="eastAsia"/>
                <w:color w:val="000000"/>
                <w:szCs w:val="21"/>
              </w:rPr>
              <w:t>0</w:t>
            </w:r>
            <w:r>
              <w:rPr>
                <w:color w:val="000000"/>
                <w:szCs w:val="21"/>
              </w:rPr>
              <w:t>5</w:t>
            </w:r>
          </w:p>
        </w:tc>
        <w:tc>
          <w:tcPr>
            <w:tcW w:w="0" w:type="auto"/>
            <w:noWrap w:val="0"/>
            <w:vAlign w:val="center"/>
          </w:tcPr>
          <w:p w14:paraId="661B3791">
            <w:pPr>
              <w:jc w:val="center"/>
              <w:rPr>
                <w:rFonts w:ascii="楷体_GB2312" w:eastAsia="楷体_GB2312"/>
                <w:color w:val="000000"/>
                <w:szCs w:val="21"/>
              </w:rPr>
            </w:pPr>
            <w:r>
              <w:rPr>
                <w:rFonts w:hint="eastAsia" w:ascii="楷体_GB2312" w:eastAsia="楷体_GB2312"/>
                <w:color w:val="000000"/>
                <w:szCs w:val="21"/>
              </w:rPr>
              <w:t>双大路</w:t>
            </w:r>
          </w:p>
        </w:tc>
        <w:tc>
          <w:tcPr>
            <w:tcW w:w="0" w:type="auto"/>
            <w:noWrap w:val="0"/>
            <w:vAlign w:val="center"/>
          </w:tcPr>
          <w:p w14:paraId="0E1AD890">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25455B55">
            <w:pPr>
              <w:jc w:val="center"/>
              <w:rPr>
                <w:color w:val="000000"/>
                <w:szCs w:val="21"/>
              </w:rPr>
            </w:pPr>
            <w:r>
              <w:rPr>
                <w:color w:val="000000"/>
                <w:szCs w:val="21"/>
              </w:rPr>
              <w:t>1</w:t>
            </w:r>
          </w:p>
        </w:tc>
        <w:tc>
          <w:tcPr>
            <w:tcW w:w="0" w:type="auto"/>
            <w:noWrap w:val="0"/>
            <w:vAlign w:val="center"/>
          </w:tcPr>
          <w:p w14:paraId="6D0228BC">
            <w:pPr>
              <w:jc w:val="center"/>
              <w:rPr>
                <w:color w:val="000000"/>
                <w:szCs w:val="21"/>
              </w:rPr>
            </w:pPr>
            <w:r>
              <w:rPr>
                <w:color w:val="000000"/>
                <w:szCs w:val="21"/>
              </w:rPr>
              <w:t>1</w:t>
            </w:r>
          </w:p>
        </w:tc>
        <w:tc>
          <w:tcPr>
            <w:tcW w:w="0" w:type="auto"/>
            <w:noWrap w:val="0"/>
            <w:vAlign w:val="center"/>
          </w:tcPr>
          <w:p w14:paraId="24672F51">
            <w:pPr>
              <w:jc w:val="center"/>
              <w:rPr>
                <w:color w:val="000000"/>
                <w:szCs w:val="21"/>
              </w:rPr>
            </w:pPr>
            <w:r>
              <w:rPr>
                <w:color w:val="000000"/>
                <w:szCs w:val="21"/>
              </w:rPr>
              <w:t>100</w:t>
            </w:r>
          </w:p>
        </w:tc>
        <w:tc>
          <w:tcPr>
            <w:tcW w:w="0" w:type="auto"/>
            <w:noWrap w:val="0"/>
            <w:vAlign w:val="center"/>
          </w:tcPr>
          <w:p w14:paraId="60C5992F">
            <w:pPr>
              <w:jc w:val="center"/>
              <w:rPr>
                <w:color w:val="000000"/>
                <w:szCs w:val="21"/>
              </w:rPr>
            </w:pPr>
            <w:r>
              <w:rPr>
                <w:color w:val="000000"/>
                <w:szCs w:val="21"/>
              </w:rPr>
              <w:t>260</w:t>
            </w:r>
          </w:p>
        </w:tc>
      </w:tr>
      <w:tr w14:paraId="5925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778EF97">
            <w:pPr>
              <w:jc w:val="center"/>
              <w:rPr>
                <w:color w:val="000000"/>
                <w:szCs w:val="21"/>
              </w:rPr>
            </w:pPr>
            <w:r>
              <w:rPr>
                <w:rFonts w:hint="eastAsia"/>
                <w:color w:val="000000"/>
                <w:szCs w:val="21"/>
              </w:rPr>
              <w:t>0</w:t>
            </w:r>
            <w:r>
              <w:rPr>
                <w:color w:val="000000"/>
                <w:szCs w:val="21"/>
              </w:rPr>
              <w:t>6</w:t>
            </w:r>
          </w:p>
        </w:tc>
        <w:tc>
          <w:tcPr>
            <w:tcW w:w="0" w:type="auto"/>
            <w:noWrap w:val="0"/>
            <w:vAlign w:val="center"/>
          </w:tcPr>
          <w:p w14:paraId="48CEF484">
            <w:pPr>
              <w:jc w:val="center"/>
              <w:rPr>
                <w:rFonts w:ascii="楷体_GB2312" w:eastAsia="楷体_GB2312"/>
                <w:color w:val="000000"/>
                <w:szCs w:val="21"/>
              </w:rPr>
            </w:pPr>
            <w:r>
              <w:rPr>
                <w:rFonts w:hint="eastAsia" w:ascii="楷体_GB2312" w:eastAsia="楷体_GB2312"/>
                <w:color w:val="000000"/>
                <w:szCs w:val="21"/>
              </w:rPr>
              <w:t>振兴路</w:t>
            </w:r>
          </w:p>
        </w:tc>
        <w:tc>
          <w:tcPr>
            <w:tcW w:w="0" w:type="auto"/>
            <w:noWrap w:val="0"/>
            <w:vAlign w:val="center"/>
          </w:tcPr>
          <w:p w14:paraId="757DCF3D">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65670E7D">
            <w:pPr>
              <w:jc w:val="center"/>
              <w:rPr>
                <w:color w:val="000000"/>
                <w:szCs w:val="21"/>
              </w:rPr>
            </w:pPr>
            <w:r>
              <w:rPr>
                <w:color w:val="000000"/>
                <w:szCs w:val="21"/>
              </w:rPr>
              <w:t>1</w:t>
            </w:r>
          </w:p>
        </w:tc>
        <w:tc>
          <w:tcPr>
            <w:tcW w:w="0" w:type="auto"/>
            <w:noWrap w:val="0"/>
            <w:vAlign w:val="center"/>
          </w:tcPr>
          <w:p w14:paraId="07C08907">
            <w:pPr>
              <w:jc w:val="center"/>
              <w:rPr>
                <w:color w:val="000000"/>
                <w:szCs w:val="21"/>
              </w:rPr>
            </w:pPr>
            <w:r>
              <w:rPr>
                <w:color w:val="000000"/>
                <w:szCs w:val="21"/>
              </w:rPr>
              <w:t>1</w:t>
            </w:r>
          </w:p>
        </w:tc>
        <w:tc>
          <w:tcPr>
            <w:tcW w:w="0" w:type="auto"/>
            <w:noWrap w:val="0"/>
            <w:vAlign w:val="center"/>
          </w:tcPr>
          <w:p w14:paraId="20F3B3BE">
            <w:pPr>
              <w:jc w:val="center"/>
              <w:rPr>
                <w:color w:val="000000"/>
                <w:szCs w:val="21"/>
              </w:rPr>
            </w:pPr>
            <w:r>
              <w:rPr>
                <w:color w:val="000000"/>
                <w:szCs w:val="21"/>
              </w:rPr>
              <w:t>100</w:t>
            </w:r>
          </w:p>
        </w:tc>
        <w:tc>
          <w:tcPr>
            <w:tcW w:w="0" w:type="auto"/>
            <w:noWrap w:val="0"/>
            <w:vAlign w:val="center"/>
          </w:tcPr>
          <w:p w14:paraId="4CBCE3F2">
            <w:pPr>
              <w:jc w:val="center"/>
              <w:rPr>
                <w:color w:val="000000"/>
                <w:szCs w:val="21"/>
              </w:rPr>
            </w:pPr>
            <w:r>
              <w:rPr>
                <w:color w:val="000000"/>
                <w:szCs w:val="21"/>
              </w:rPr>
              <w:t>260</w:t>
            </w:r>
          </w:p>
        </w:tc>
      </w:tr>
      <w:tr w14:paraId="3B5B6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0485EFB">
            <w:pPr>
              <w:jc w:val="center"/>
              <w:rPr>
                <w:color w:val="000000"/>
                <w:szCs w:val="21"/>
              </w:rPr>
            </w:pPr>
            <w:r>
              <w:rPr>
                <w:rFonts w:hint="eastAsia"/>
                <w:color w:val="000000"/>
                <w:szCs w:val="21"/>
              </w:rPr>
              <w:t>0</w:t>
            </w:r>
            <w:r>
              <w:rPr>
                <w:color w:val="000000"/>
                <w:szCs w:val="21"/>
              </w:rPr>
              <w:t>7</w:t>
            </w:r>
          </w:p>
        </w:tc>
        <w:tc>
          <w:tcPr>
            <w:tcW w:w="0" w:type="auto"/>
            <w:noWrap w:val="0"/>
            <w:vAlign w:val="center"/>
          </w:tcPr>
          <w:p w14:paraId="4D485C9C">
            <w:pPr>
              <w:jc w:val="center"/>
              <w:rPr>
                <w:rFonts w:ascii="楷体_GB2312" w:eastAsia="楷体_GB2312"/>
                <w:color w:val="000000"/>
                <w:szCs w:val="21"/>
              </w:rPr>
            </w:pPr>
            <w:r>
              <w:rPr>
                <w:rFonts w:hint="eastAsia" w:ascii="楷体_GB2312" w:eastAsia="楷体_GB2312"/>
                <w:color w:val="000000"/>
                <w:szCs w:val="21"/>
              </w:rPr>
              <w:t>永大路</w:t>
            </w:r>
          </w:p>
        </w:tc>
        <w:tc>
          <w:tcPr>
            <w:tcW w:w="0" w:type="auto"/>
            <w:noWrap w:val="0"/>
            <w:vAlign w:val="center"/>
          </w:tcPr>
          <w:p w14:paraId="109DC003">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6707A6D9">
            <w:pPr>
              <w:jc w:val="center"/>
              <w:rPr>
                <w:color w:val="000000"/>
                <w:szCs w:val="21"/>
              </w:rPr>
            </w:pPr>
            <w:r>
              <w:rPr>
                <w:color w:val="000000"/>
                <w:szCs w:val="21"/>
              </w:rPr>
              <w:t>1</w:t>
            </w:r>
          </w:p>
        </w:tc>
        <w:tc>
          <w:tcPr>
            <w:tcW w:w="0" w:type="auto"/>
            <w:noWrap w:val="0"/>
            <w:vAlign w:val="center"/>
          </w:tcPr>
          <w:p w14:paraId="0BD862A8">
            <w:pPr>
              <w:jc w:val="center"/>
              <w:rPr>
                <w:color w:val="000000"/>
                <w:szCs w:val="21"/>
              </w:rPr>
            </w:pPr>
            <w:r>
              <w:rPr>
                <w:color w:val="000000"/>
                <w:szCs w:val="21"/>
              </w:rPr>
              <w:t>1</w:t>
            </w:r>
          </w:p>
        </w:tc>
        <w:tc>
          <w:tcPr>
            <w:tcW w:w="0" w:type="auto"/>
            <w:noWrap w:val="0"/>
            <w:vAlign w:val="center"/>
          </w:tcPr>
          <w:p w14:paraId="50E427C2">
            <w:pPr>
              <w:jc w:val="center"/>
              <w:rPr>
                <w:color w:val="000000"/>
                <w:szCs w:val="21"/>
              </w:rPr>
            </w:pPr>
            <w:r>
              <w:rPr>
                <w:color w:val="000000"/>
                <w:szCs w:val="21"/>
              </w:rPr>
              <w:t>100</w:t>
            </w:r>
          </w:p>
        </w:tc>
        <w:tc>
          <w:tcPr>
            <w:tcW w:w="0" w:type="auto"/>
            <w:noWrap w:val="0"/>
            <w:vAlign w:val="center"/>
          </w:tcPr>
          <w:p w14:paraId="3F1A5E41">
            <w:pPr>
              <w:jc w:val="center"/>
              <w:rPr>
                <w:color w:val="000000"/>
                <w:szCs w:val="21"/>
              </w:rPr>
            </w:pPr>
            <w:r>
              <w:rPr>
                <w:color w:val="000000"/>
                <w:szCs w:val="21"/>
              </w:rPr>
              <w:t>260</w:t>
            </w:r>
          </w:p>
        </w:tc>
      </w:tr>
      <w:tr w14:paraId="1756C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A8102F2">
            <w:pPr>
              <w:jc w:val="center"/>
              <w:rPr>
                <w:color w:val="000000"/>
                <w:szCs w:val="21"/>
              </w:rPr>
            </w:pPr>
            <w:r>
              <w:rPr>
                <w:rFonts w:hint="eastAsia"/>
                <w:color w:val="000000"/>
                <w:szCs w:val="21"/>
              </w:rPr>
              <w:t>0</w:t>
            </w:r>
            <w:r>
              <w:rPr>
                <w:color w:val="000000"/>
                <w:szCs w:val="21"/>
              </w:rPr>
              <w:t>8</w:t>
            </w:r>
          </w:p>
        </w:tc>
        <w:tc>
          <w:tcPr>
            <w:tcW w:w="0" w:type="auto"/>
            <w:noWrap w:val="0"/>
            <w:vAlign w:val="center"/>
          </w:tcPr>
          <w:p w14:paraId="7CD4609B">
            <w:pPr>
              <w:jc w:val="center"/>
              <w:rPr>
                <w:rFonts w:ascii="楷体_GB2312" w:eastAsia="楷体_GB2312"/>
                <w:color w:val="000000"/>
                <w:szCs w:val="21"/>
              </w:rPr>
            </w:pPr>
            <w:r>
              <w:rPr>
                <w:rFonts w:hint="eastAsia" w:ascii="楷体_GB2312" w:eastAsia="楷体_GB2312"/>
                <w:color w:val="000000"/>
                <w:szCs w:val="21"/>
              </w:rPr>
              <w:t>邓陈路</w:t>
            </w:r>
          </w:p>
        </w:tc>
        <w:tc>
          <w:tcPr>
            <w:tcW w:w="0" w:type="auto"/>
            <w:noWrap w:val="0"/>
            <w:vAlign w:val="center"/>
          </w:tcPr>
          <w:p w14:paraId="341D3AC1">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4A303A33">
            <w:pPr>
              <w:jc w:val="center"/>
              <w:rPr>
                <w:color w:val="000000"/>
                <w:szCs w:val="21"/>
              </w:rPr>
            </w:pPr>
            <w:r>
              <w:rPr>
                <w:color w:val="000000"/>
                <w:szCs w:val="21"/>
              </w:rPr>
              <w:t>0.7</w:t>
            </w:r>
          </w:p>
        </w:tc>
        <w:tc>
          <w:tcPr>
            <w:tcW w:w="0" w:type="auto"/>
            <w:noWrap w:val="0"/>
            <w:vAlign w:val="center"/>
          </w:tcPr>
          <w:p w14:paraId="564467E0">
            <w:pPr>
              <w:jc w:val="center"/>
              <w:rPr>
                <w:color w:val="000000"/>
                <w:szCs w:val="21"/>
              </w:rPr>
            </w:pPr>
            <w:r>
              <w:rPr>
                <w:color w:val="000000"/>
                <w:szCs w:val="21"/>
              </w:rPr>
              <w:t>2</w:t>
            </w:r>
          </w:p>
        </w:tc>
        <w:tc>
          <w:tcPr>
            <w:tcW w:w="0" w:type="auto"/>
            <w:noWrap w:val="0"/>
            <w:vAlign w:val="center"/>
          </w:tcPr>
          <w:p w14:paraId="13B1E2D9">
            <w:pPr>
              <w:jc w:val="center"/>
              <w:rPr>
                <w:color w:val="000000"/>
                <w:szCs w:val="21"/>
              </w:rPr>
            </w:pPr>
            <w:r>
              <w:rPr>
                <w:color w:val="000000"/>
                <w:szCs w:val="21"/>
              </w:rPr>
              <w:t>70</w:t>
            </w:r>
          </w:p>
        </w:tc>
        <w:tc>
          <w:tcPr>
            <w:tcW w:w="0" w:type="auto"/>
            <w:noWrap w:val="0"/>
            <w:vAlign w:val="center"/>
          </w:tcPr>
          <w:p w14:paraId="606618D3">
            <w:pPr>
              <w:jc w:val="center"/>
              <w:rPr>
                <w:color w:val="000000"/>
                <w:szCs w:val="21"/>
              </w:rPr>
            </w:pPr>
            <w:r>
              <w:rPr>
                <w:color w:val="000000"/>
                <w:szCs w:val="21"/>
              </w:rPr>
              <w:t>220</w:t>
            </w:r>
          </w:p>
        </w:tc>
      </w:tr>
      <w:tr w14:paraId="6A9D9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3F7322A">
            <w:pPr>
              <w:jc w:val="center"/>
              <w:rPr>
                <w:color w:val="000000"/>
                <w:szCs w:val="21"/>
              </w:rPr>
            </w:pPr>
            <w:r>
              <w:rPr>
                <w:rFonts w:hint="eastAsia"/>
                <w:color w:val="000000"/>
                <w:szCs w:val="21"/>
              </w:rPr>
              <w:t>0</w:t>
            </w:r>
            <w:r>
              <w:rPr>
                <w:color w:val="000000"/>
                <w:szCs w:val="21"/>
              </w:rPr>
              <w:t>9</w:t>
            </w:r>
          </w:p>
        </w:tc>
        <w:tc>
          <w:tcPr>
            <w:tcW w:w="0" w:type="auto"/>
            <w:noWrap w:val="0"/>
            <w:vAlign w:val="center"/>
          </w:tcPr>
          <w:p w14:paraId="602D7620">
            <w:pPr>
              <w:jc w:val="center"/>
              <w:rPr>
                <w:rFonts w:ascii="楷体_GB2312" w:eastAsia="楷体_GB2312"/>
                <w:color w:val="000000"/>
                <w:szCs w:val="21"/>
              </w:rPr>
            </w:pPr>
            <w:r>
              <w:rPr>
                <w:rFonts w:hint="eastAsia" w:ascii="楷体_GB2312" w:eastAsia="楷体_GB2312"/>
                <w:color w:val="000000"/>
                <w:szCs w:val="21"/>
              </w:rPr>
              <w:t>民安路</w:t>
            </w:r>
          </w:p>
        </w:tc>
        <w:tc>
          <w:tcPr>
            <w:tcW w:w="0" w:type="auto"/>
            <w:noWrap w:val="0"/>
            <w:vAlign w:val="center"/>
          </w:tcPr>
          <w:p w14:paraId="39981718">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32D4BE72">
            <w:pPr>
              <w:jc w:val="center"/>
              <w:rPr>
                <w:color w:val="000000"/>
                <w:szCs w:val="21"/>
              </w:rPr>
            </w:pPr>
            <w:r>
              <w:rPr>
                <w:color w:val="000000"/>
                <w:szCs w:val="21"/>
              </w:rPr>
              <w:t>0.7</w:t>
            </w:r>
          </w:p>
        </w:tc>
        <w:tc>
          <w:tcPr>
            <w:tcW w:w="0" w:type="auto"/>
            <w:noWrap w:val="0"/>
            <w:vAlign w:val="center"/>
          </w:tcPr>
          <w:p w14:paraId="227A4F5A">
            <w:pPr>
              <w:jc w:val="center"/>
              <w:rPr>
                <w:color w:val="000000"/>
                <w:szCs w:val="21"/>
              </w:rPr>
            </w:pPr>
            <w:r>
              <w:rPr>
                <w:color w:val="000000"/>
                <w:szCs w:val="21"/>
              </w:rPr>
              <w:t>2</w:t>
            </w:r>
          </w:p>
        </w:tc>
        <w:tc>
          <w:tcPr>
            <w:tcW w:w="0" w:type="auto"/>
            <w:noWrap w:val="0"/>
            <w:vAlign w:val="center"/>
          </w:tcPr>
          <w:p w14:paraId="66D1DC26">
            <w:pPr>
              <w:jc w:val="center"/>
              <w:rPr>
                <w:color w:val="000000"/>
                <w:szCs w:val="21"/>
              </w:rPr>
            </w:pPr>
            <w:r>
              <w:rPr>
                <w:color w:val="000000"/>
                <w:szCs w:val="21"/>
              </w:rPr>
              <w:t>70</w:t>
            </w:r>
          </w:p>
        </w:tc>
        <w:tc>
          <w:tcPr>
            <w:tcW w:w="0" w:type="auto"/>
            <w:noWrap w:val="0"/>
            <w:vAlign w:val="center"/>
          </w:tcPr>
          <w:p w14:paraId="017023D6">
            <w:pPr>
              <w:jc w:val="center"/>
              <w:rPr>
                <w:color w:val="000000"/>
                <w:szCs w:val="21"/>
              </w:rPr>
            </w:pPr>
            <w:r>
              <w:rPr>
                <w:color w:val="000000"/>
                <w:szCs w:val="21"/>
              </w:rPr>
              <w:t>220</w:t>
            </w:r>
          </w:p>
        </w:tc>
      </w:tr>
      <w:tr w14:paraId="58E9F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6AD4781">
            <w:pPr>
              <w:jc w:val="center"/>
              <w:rPr>
                <w:color w:val="000000"/>
                <w:szCs w:val="21"/>
              </w:rPr>
            </w:pPr>
            <w:r>
              <w:rPr>
                <w:color w:val="000000"/>
                <w:szCs w:val="21"/>
              </w:rPr>
              <w:t>10</w:t>
            </w:r>
          </w:p>
        </w:tc>
        <w:tc>
          <w:tcPr>
            <w:tcW w:w="0" w:type="auto"/>
            <w:noWrap w:val="0"/>
            <w:vAlign w:val="center"/>
          </w:tcPr>
          <w:p w14:paraId="4D2C815F">
            <w:pPr>
              <w:jc w:val="center"/>
              <w:rPr>
                <w:rFonts w:ascii="楷体_GB2312" w:eastAsia="楷体_GB2312"/>
                <w:color w:val="000000"/>
                <w:szCs w:val="21"/>
              </w:rPr>
            </w:pPr>
            <w:r>
              <w:rPr>
                <w:rFonts w:hint="eastAsia" w:ascii="楷体_GB2312" w:eastAsia="楷体_GB2312"/>
                <w:color w:val="000000"/>
                <w:szCs w:val="21"/>
              </w:rPr>
              <w:t>南环路</w:t>
            </w:r>
          </w:p>
        </w:tc>
        <w:tc>
          <w:tcPr>
            <w:tcW w:w="0" w:type="auto"/>
            <w:noWrap w:val="0"/>
            <w:vAlign w:val="center"/>
          </w:tcPr>
          <w:p w14:paraId="0E2F48AC">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0DDFD7E7">
            <w:pPr>
              <w:jc w:val="center"/>
              <w:rPr>
                <w:color w:val="000000"/>
                <w:szCs w:val="21"/>
              </w:rPr>
            </w:pPr>
            <w:r>
              <w:rPr>
                <w:color w:val="000000"/>
                <w:szCs w:val="21"/>
              </w:rPr>
              <w:t>0.7</w:t>
            </w:r>
          </w:p>
        </w:tc>
        <w:tc>
          <w:tcPr>
            <w:tcW w:w="0" w:type="auto"/>
            <w:noWrap w:val="0"/>
            <w:vAlign w:val="center"/>
          </w:tcPr>
          <w:p w14:paraId="590D1671">
            <w:pPr>
              <w:jc w:val="center"/>
              <w:rPr>
                <w:color w:val="000000"/>
                <w:szCs w:val="21"/>
              </w:rPr>
            </w:pPr>
            <w:r>
              <w:rPr>
                <w:color w:val="000000"/>
                <w:szCs w:val="21"/>
              </w:rPr>
              <w:t>2</w:t>
            </w:r>
          </w:p>
        </w:tc>
        <w:tc>
          <w:tcPr>
            <w:tcW w:w="0" w:type="auto"/>
            <w:noWrap w:val="0"/>
            <w:vAlign w:val="center"/>
          </w:tcPr>
          <w:p w14:paraId="60CCC1B8">
            <w:pPr>
              <w:jc w:val="center"/>
              <w:rPr>
                <w:color w:val="000000"/>
                <w:szCs w:val="21"/>
              </w:rPr>
            </w:pPr>
            <w:r>
              <w:rPr>
                <w:color w:val="000000"/>
                <w:szCs w:val="21"/>
              </w:rPr>
              <w:t>70</w:t>
            </w:r>
          </w:p>
        </w:tc>
        <w:tc>
          <w:tcPr>
            <w:tcW w:w="0" w:type="auto"/>
            <w:noWrap w:val="0"/>
            <w:vAlign w:val="center"/>
          </w:tcPr>
          <w:p w14:paraId="1F6421F5">
            <w:pPr>
              <w:jc w:val="center"/>
              <w:rPr>
                <w:color w:val="000000"/>
                <w:szCs w:val="21"/>
              </w:rPr>
            </w:pPr>
            <w:r>
              <w:rPr>
                <w:color w:val="000000"/>
                <w:szCs w:val="21"/>
              </w:rPr>
              <w:t>220</w:t>
            </w:r>
          </w:p>
        </w:tc>
      </w:tr>
      <w:tr w14:paraId="5C190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E55D2F3">
            <w:pPr>
              <w:jc w:val="center"/>
              <w:rPr>
                <w:color w:val="000000"/>
                <w:szCs w:val="21"/>
              </w:rPr>
            </w:pPr>
            <w:r>
              <w:rPr>
                <w:color w:val="000000"/>
                <w:szCs w:val="21"/>
              </w:rPr>
              <w:t>11</w:t>
            </w:r>
          </w:p>
        </w:tc>
        <w:tc>
          <w:tcPr>
            <w:tcW w:w="0" w:type="auto"/>
            <w:noWrap w:val="0"/>
            <w:vAlign w:val="center"/>
          </w:tcPr>
          <w:p w14:paraId="7B4C730B">
            <w:pPr>
              <w:jc w:val="center"/>
              <w:rPr>
                <w:rFonts w:ascii="楷体_GB2312" w:eastAsia="楷体_GB2312"/>
                <w:color w:val="000000"/>
                <w:szCs w:val="21"/>
              </w:rPr>
            </w:pPr>
            <w:r>
              <w:rPr>
                <w:rFonts w:hint="eastAsia" w:ascii="楷体_GB2312" w:eastAsia="楷体_GB2312"/>
                <w:color w:val="000000"/>
                <w:szCs w:val="21"/>
              </w:rPr>
              <w:t>蕲大路</w:t>
            </w:r>
          </w:p>
        </w:tc>
        <w:tc>
          <w:tcPr>
            <w:tcW w:w="0" w:type="auto"/>
            <w:noWrap w:val="0"/>
            <w:vAlign w:val="center"/>
          </w:tcPr>
          <w:p w14:paraId="667F7ADD">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4A850D16">
            <w:pPr>
              <w:jc w:val="center"/>
              <w:rPr>
                <w:color w:val="000000"/>
                <w:szCs w:val="21"/>
              </w:rPr>
            </w:pPr>
            <w:r>
              <w:rPr>
                <w:color w:val="000000"/>
                <w:szCs w:val="21"/>
              </w:rPr>
              <w:t>0.7</w:t>
            </w:r>
          </w:p>
        </w:tc>
        <w:tc>
          <w:tcPr>
            <w:tcW w:w="0" w:type="auto"/>
            <w:noWrap w:val="0"/>
            <w:vAlign w:val="center"/>
          </w:tcPr>
          <w:p w14:paraId="5121FB28">
            <w:pPr>
              <w:jc w:val="center"/>
              <w:rPr>
                <w:color w:val="000000"/>
                <w:szCs w:val="21"/>
              </w:rPr>
            </w:pPr>
            <w:r>
              <w:rPr>
                <w:color w:val="000000"/>
                <w:szCs w:val="21"/>
              </w:rPr>
              <w:t>2</w:t>
            </w:r>
          </w:p>
        </w:tc>
        <w:tc>
          <w:tcPr>
            <w:tcW w:w="0" w:type="auto"/>
            <w:noWrap w:val="0"/>
            <w:vAlign w:val="center"/>
          </w:tcPr>
          <w:p w14:paraId="5DB379F1">
            <w:pPr>
              <w:jc w:val="center"/>
              <w:rPr>
                <w:color w:val="000000"/>
                <w:szCs w:val="21"/>
              </w:rPr>
            </w:pPr>
            <w:r>
              <w:rPr>
                <w:color w:val="000000"/>
                <w:szCs w:val="21"/>
              </w:rPr>
              <w:t>70</w:t>
            </w:r>
          </w:p>
        </w:tc>
        <w:tc>
          <w:tcPr>
            <w:tcW w:w="0" w:type="auto"/>
            <w:noWrap w:val="0"/>
            <w:vAlign w:val="center"/>
          </w:tcPr>
          <w:p w14:paraId="2DEC2592">
            <w:pPr>
              <w:jc w:val="center"/>
              <w:rPr>
                <w:color w:val="000000"/>
                <w:szCs w:val="21"/>
              </w:rPr>
            </w:pPr>
            <w:r>
              <w:rPr>
                <w:color w:val="000000"/>
                <w:szCs w:val="21"/>
              </w:rPr>
              <w:t>220</w:t>
            </w:r>
          </w:p>
        </w:tc>
      </w:tr>
      <w:tr w14:paraId="7F1B0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6590472">
            <w:pPr>
              <w:jc w:val="center"/>
              <w:rPr>
                <w:color w:val="000000"/>
                <w:szCs w:val="21"/>
              </w:rPr>
            </w:pPr>
            <w:r>
              <w:rPr>
                <w:color w:val="000000"/>
                <w:szCs w:val="21"/>
              </w:rPr>
              <w:t>12</w:t>
            </w:r>
          </w:p>
        </w:tc>
        <w:tc>
          <w:tcPr>
            <w:tcW w:w="0" w:type="auto"/>
            <w:noWrap w:val="0"/>
            <w:vAlign w:val="center"/>
          </w:tcPr>
          <w:p w14:paraId="74B3368B">
            <w:pPr>
              <w:jc w:val="center"/>
              <w:rPr>
                <w:rFonts w:ascii="楷体_GB2312" w:eastAsia="楷体_GB2312"/>
                <w:color w:val="000000"/>
                <w:szCs w:val="21"/>
              </w:rPr>
            </w:pPr>
            <w:r>
              <w:rPr>
                <w:rFonts w:hint="eastAsia" w:ascii="楷体_GB2312" w:eastAsia="楷体_GB2312"/>
                <w:color w:val="000000"/>
                <w:szCs w:val="21"/>
              </w:rPr>
              <w:t>东环路</w:t>
            </w:r>
          </w:p>
        </w:tc>
        <w:tc>
          <w:tcPr>
            <w:tcW w:w="0" w:type="auto"/>
            <w:noWrap w:val="0"/>
            <w:vAlign w:val="center"/>
          </w:tcPr>
          <w:p w14:paraId="323C1286">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18D1D8C0">
            <w:pPr>
              <w:jc w:val="center"/>
              <w:rPr>
                <w:color w:val="000000"/>
                <w:szCs w:val="21"/>
              </w:rPr>
            </w:pPr>
            <w:r>
              <w:rPr>
                <w:color w:val="000000"/>
                <w:szCs w:val="21"/>
              </w:rPr>
              <w:t>0.7</w:t>
            </w:r>
          </w:p>
        </w:tc>
        <w:tc>
          <w:tcPr>
            <w:tcW w:w="0" w:type="auto"/>
            <w:noWrap w:val="0"/>
            <w:vAlign w:val="center"/>
          </w:tcPr>
          <w:p w14:paraId="4F62C6C4">
            <w:pPr>
              <w:jc w:val="center"/>
              <w:rPr>
                <w:color w:val="000000"/>
                <w:szCs w:val="21"/>
              </w:rPr>
            </w:pPr>
            <w:r>
              <w:rPr>
                <w:color w:val="000000"/>
                <w:szCs w:val="21"/>
              </w:rPr>
              <w:t>2</w:t>
            </w:r>
          </w:p>
        </w:tc>
        <w:tc>
          <w:tcPr>
            <w:tcW w:w="0" w:type="auto"/>
            <w:noWrap w:val="0"/>
            <w:vAlign w:val="center"/>
          </w:tcPr>
          <w:p w14:paraId="55A21613">
            <w:pPr>
              <w:jc w:val="center"/>
              <w:rPr>
                <w:color w:val="000000"/>
                <w:szCs w:val="21"/>
              </w:rPr>
            </w:pPr>
            <w:r>
              <w:rPr>
                <w:color w:val="000000"/>
                <w:szCs w:val="21"/>
              </w:rPr>
              <w:t>70</w:t>
            </w:r>
          </w:p>
        </w:tc>
        <w:tc>
          <w:tcPr>
            <w:tcW w:w="0" w:type="auto"/>
            <w:noWrap w:val="0"/>
            <w:vAlign w:val="center"/>
          </w:tcPr>
          <w:p w14:paraId="6A085AD1">
            <w:pPr>
              <w:jc w:val="center"/>
              <w:rPr>
                <w:color w:val="000000"/>
                <w:szCs w:val="21"/>
              </w:rPr>
            </w:pPr>
            <w:r>
              <w:rPr>
                <w:color w:val="000000"/>
                <w:szCs w:val="21"/>
              </w:rPr>
              <w:t>220</w:t>
            </w:r>
          </w:p>
        </w:tc>
      </w:tr>
      <w:tr w14:paraId="229A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E6919C4">
            <w:pPr>
              <w:jc w:val="center"/>
              <w:rPr>
                <w:color w:val="000000"/>
                <w:szCs w:val="21"/>
              </w:rPr>
            </w:pPr>
            <w:r>
              <w:rPr>
                <w:color w:val="000000"/>
                <w:szCs w:val="21"/>
              </w:rPr>
              <w:t>13</w:t>
            </w:r>
          </w:p>
        </w:tc>
        <w:tc>
          <w:tcPr>
            <w:tcW w:w="0" w:type="auto"/>
            <w:noWrap w:val="0"/>
            <w:vAlign w:val="center"/>
          </w:tcPr>
          <w:p w14:paraId="142F9D3A">
            <w:pPr>
              <w:jc w:val="center"/>
              <w:rPr>
                <w:rFonts w:ascii="楷体_GB2312" w:eastAsia="楷体_GB2312"/>
                <w:color w:val="000000"/>
                <w:szCs w:val="21"/>
              </w:rPr>
            </w:pPr>
            <w:r>
              <w:rPr>
                <w:rFonts w:hint="eastAsia" w:ascii="楷体_GB2312" w:eastAsia="楷体_GB2312"/>
                <w:color w:val="000000"/>
                <w:szCs w:val="21"/>
              </w:rPr>
              <w:t>兴大路</w:t>
            </w:r>
          </w:p>
        </w:tc>
        <w:tc>
          <w:tcPr>
            <w:tcW w:w="0" w:type="auto"/>
            <w:noWrap w:val="0"/>
            <w:vAlign w:val="center"/>
          </w:tcPr>
          <w:p w14:paraId="36F57747">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46C3D59B">
            <w:pPr>
              <w:jc w:val="center"/>
              <w:rPr>
                <w:color w:val="000000"/>
                <w:szCs w:val="21"/>
              </w:rPr>
            </w:pPr>
            <w:r>
              <w:rPr>
                <w:color w:val="000000"/>
                <w:szCs w:val="21"/>
              </w:rPr>
              <w:t>0.7</w:t>
            </w:r>
          </w:p>
        </w:tc>
        <w:tc>
          <w:tcPr>
            <w:tcW w:w="0" w:type="auto"/>
            <w:noWrap w:val="0"/>
            <w:vAlign w:val="center"/>
          </w:tcPr>
          <w:p w14:paraId="517D25B4">
            <w:pPr>
              <w:jc w:val="center"/>
              <w:rPr>
                <w:color w:val="000000"/>
                <w:szCs w:val="21"/>
              </w:rPr>
            </w:pPr>
            <w:r>
              <w:rPr>
                <w:color w:val="000000"/>
                <w:szCs w:val="21"/>
              </w:rPr>
              <w:t>2</w:t>
            </w:r>
          </w:p>
        </w:tc>
        <w:tc>
          <w:tcPr>
            <w:tcW w:w="0" w:type="auto"/>
            <w:noWrap w:val="0"/>
            <w:vAlign w:val="center"/>
          </w:tcPr>
          <w:p w14:paraId="5B85E99F">
            <w:pPr>
              <w:jc w:val="center"/>
              <w:rPr>
                <w:color w:val="000000"/>
                <w:szCs w:val="21"/>
              </w:rPr>
            </w:pPr>
            <w:r>
              <w:rPr>
                <w:color w:val="000000"/>
                <w:szCs w:val="21"/>
              </w:rPr>
              <w:t>70</w:t>
            </w:r>
          </w:p>
        </w:tc>
        <w:tc>
          <w:tcPr>
            <w:tcW w:w="0" w:type="auto"/>
            <w:noWrap w:val="0"/>
            <w:vAlign w:val="center"/>
          </w:tcPr>
          <w:p w14:paraId="24369D59">
            <w:pPr>
              <w:jc w:val="center"/>
              <w:rPr>
                <w:color w:val="000000"/>
                <w:szCs w:val="21"/>
              </w:rPr>
            </w:pPr>
            <w:r>
              <w:rPr>
                <w:color w:val="000000"/>
                <w:szCs w:val="21"/>
              </w:rPr>
              <w:t>220</w:t>
            </w:r>
          </w:p>
        </w:tc>
      </w:tr>
      <w:tr w14:paraId="678E4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23E8551">
            <w:pPr>
              <w:jc w:val="center"/>
              <w:rPr>
                <w:color w:val="000000"/>
                <w:szCs w:val="21"/>
              </w:rPr>
            </w:pPr>
            <w:r>
              <w:rPr>
                <w:color w:val="000000"/>
                <w:szCs w:val="21"/>
              </w:rPr>
              <w:t>14</w:t>
            </w:r>
          </w:p>
        </w:tc>
        <w:tc>
          <w:tcPr>
            <w:tcW w:w="0" w:type="auto"/>
            <w:noWrap w:val="0"/>
            <w:vAlign w:val="center"/>
          </w:tcPr>
          <w:p w14:paraId="2CB5A7DB">
            <w:pPr>
              <w:jc w:val="center"/>
              <w:rPr>
                <w:rFonts w:ascii="楷体_GB2312" w:eastAsia="楷体_GB2312"/>
                <w:color w:val="000000"/>
                <w:szCs w:val="21"/>
              </w:rPr>
            </w:pPr>
            <w:r>
              <w:rPr>
                <w:rFonts w:hint="eastAsia" w:ascii="楷体_GB2312" w:eastAsia="楷体_GB2312"/>
                <w:color w:val="000000"/>
                <w:szCs w:val="21"/>
              </w:rPr>
              <w:t>营源路</w:t>
            </w:r>
          </w:p>
        </w:tc>
        <w:tc>
          <w:tcPr>
            <w:tcW w:w="0" w:type="auto"/>
            <w:noWrap w:val="0"/>
            <w:vAlign w:val="center"/>
          </w:tcPr>
          <w:p w14:paraId="42893256">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2B681EC6">
            <w:pPr>
              <w:jc w:val="center"/>
              <w:rPr>
                <w:color w:val="000000"/>
                <w:szCs w:val="21"/>
              </w:rPr>
            </w:pPr>
            <w:r>
              <w:rPr>
                <w:color w:val="000000"/>
                <w:szCs w:val="21"/>
              </w:rPr>
              <w:t>0.4</w:t>
            </w:r>
          </w:p>
        </w:tc>
        <w:tc>
          <w:tcPr>
            <w:tcW w:w="0" w:type="auto"/>
            <w:noWrap w:val="0"/>
            <w:vAlign w:val="center"/>
          </w:tcPr>
          <w:p w14:paraId="1DB9577C">
            <w:pPr>
              <w:jc w:val="center"/>
              <w:rPr>
                <w:color w:val="000000"/>
                <w:szCs w:val="21"/>
              </w:rPr>
            </w:pPr>
            <w:r>
              <w:rPr>
                <w:color w:val="000000"/>
                <w:szCs w:val="21"/>
              </w:rPr>
              <w:t>3</w:t>
            </w:r>
          </w:p>
        </w:tc>
        <w:tc>
          <w:tcPr>
            <w:tcW w:w="0" w:type="auto"/>
            <w:noWrap w:val="0"/>
            <w:vAlign w:val="center"/>
          </w:tcPr>
          <w:p w14:paraId="13DB66C2">
            <w:pPr>
              <w:jc w:val="center"/>
              <w:rPr>
                <w:color w:val="000000"/>
                <w:szCs w:val="21"/>
              </w:rPr>
            </w:pPr>
            <w:r>
              <w:rPr>
                <w:color w:val="000000"/>
                <w:szCs w:val="21"/>
              </w:rPr>
              <w:t>40</w:t>
            </w:r>
          </w:p>
        </w:tc>
        <w:tc>
          <w:tcPr>
            <w:tcW w:w="0" w:type="auto"/>
            <w:noWrap w:val="0"/>
            <w:vAlign w:val="center"/>
          </w:tcPr>
          <w:p w14:paraId="4D33E59D">
            <w:pPr>
              <w:jc w:val="center"/>
              <w:rPr>
                <w:color w:val="000000"/>
                <w:szCs w:val="21"/>
              </w:rPr>
            </w:pPr>
            <w:r>
              <w:rPr>
                <w:color w:val="000000"/>
                <w:szCs w:val="21"/>
              </w:rPr>
              <w:t>180</w:t>
            </w:r>
          </w:p>
        </w:tc>
      </w:tr>
      <w:tr w14:paraId="144D1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565ED7D">
            <w:pPr>
              <w:jc w:val="center"/>
              <w:rPr>
                <w:color w:val="000000"/>
                <w:szCs w:val="21"/>
              </w:rPr>
            </w:pPr>
            <w:r>
              <w:rPr>
                <w:color w:val="000000"/>
                <w:szCs w:val="21"/>
              </w:rPr>
              <w:t>15</w:t>
            </w:r>
          </w:p>
        </w:tc>
        <w:tc>
          <w:tcPr>
            <w:tcW w:w="0" w:type="auto"/>
            <w:noWrap w:val="0"/>
            <w:vAlign w:val="center"/>
          </w:tcPr>
          <w:p w14:paraId="71018395">
            <w:pPr>
              <w:jc w:val="center"/>
              <w:rPr>
                <w:rFonts w:ascii="楷体_GB2312" w:eastAsia="楷体_GB2312"/>
                <w:color w:val="000000"/>
                <w:szCs w:val="21"/>
              </w:rPr>
            </w:pPr>
            <w:r>
              <w:rPr>
                <w:rFonts w:hint="eastAsia" w:ascii="楷体_GB2312" w:eastAsia="楷体_GB2312"/>
                <w:color w:val="000000"/>
                <w:szCs w:val="21"/>
              </w:rPr>
              <w:t>沿江路</w:t>
            </w:r>
          </w:p>
        </w:tc>
        <w:tc>
          <w:tcPr>
            <w:tcW w:w="0" w:type="auto"/>
            <w:noWrap w:val="0"/>
            <w:vAlign w:val="center"/>
          </w:tcPr>
          <w:p w14:paraId="3EBF52B0">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6E63ED79">
            <w:pPr>
              <w:jc w:val="center"/>
              <w:rPr>
                <w:color w:val="000000"/>
                <w:szCs w:val="21"/>
              </w:rPr>
            </w:pPr>
            <w:r>
              <w:rPr>
                <w:color w:val="000000"/>
                <w:szCs w:val="21"/>
              </w:rPr>
              <w:t>0.4</w:t>
            </w:r>
          </w:p>
        </w:tc>
        <w:tc>
          <w:tcPr>
            <w:tcW w:w="0" w:type="auto"/>
            <w:noWrap w:val="0"/>
            <w:vAlign w:val="center"/>
          </w:tcPr>
          <w:p w14:paraId="44A8C57E">
            <w:pPr>
              <w:jc w:val="center"/>
              <w:rPr>
                <w:color w:val="000000"/>
                <w:szCs w:val="21"/>
              </w:rPr>
            </w:pPr>
            <w:r>
              <w:rPr>
                <w:color w:val="000000"/>
                <w:szCs w:val="21"/>
              </w:rPr>
              <w:t>3</w:t>
            </w:r>
          </w:p>
        </w:tc>
        <w:tc>
          <w:tcPr>
            <w:tcW w:w="0" w:type="auto"/>
            <w:noWrap w:val="0"/>
            <w:vAlign w:val="center"/>
          </w:tcPr>
          <w:p w14:paraId="1E868F74">
            <w:pPr>
              <w:jc w:val="center"/>
              <w:rPr>
                <w:color w:val="000000"/>
                <w:szCs w:val="21"/>
              </w:rPr>
            </w:pPr>
            <w:r>
              <w:rPr>
                <w:color w:val="000000"/>
                <w:szCs w:val="21"/>
              </w:rPr>
              <w:t>40</w:t>
            </w:r>
          </w:p>
        </w:tc>
        <w:tc>
          <w:tcPr>
            <w:tcW w:w="0" w:type="auto"/>
            <w:noWrap w:val="0"/>
            <w:vAlign w:val="center"/>
          </w:tcPr>
          <w:p w14:paraId="439EE209">
            <w:pPr>
              <w:jc w:val="center"/>
              <w:rPr>
                <w:color w:val="000000"/>
                <w:szCs w:val="21"/>
              </w:rPr>
            </w:pPr>
            <w:r>
              <w:rPr>
                <w:color w:val="000000"/>
                <w:szCs w:val="21"/>
              </w:rPr>
              <w:t>180</w:t>
            </w:r>
          </w:p>
        </w:tc>
      </w:tr>
      <w:tr w14:paraId="6417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0AE6C10">
            <w:pPr>
              <w:jc w:val="center"/>
              <w:rPr>
                <w:color w:val="000000"/>
                <w:szCs w:val="21"/>
              </w:rPr>
            </w:pPr>
            <w:r>
              <w:rPr>
                <w:color w:val="000000"/>
                <w:szCs w:val="21"/>
              </w:rPr>
              <w:t>16</w:t>
            </w:r>
          </w:p>
        </w:tc>
        <w:tc>
          <w:tcPr>
            <w:tcW w:w="0" w:type="auto"/>
            <w:noWrap w:val="0"/>
            <w:vAlign w:val="center"/>
          </w:tcPr>
          <w:p w14:paraId="34505A03">
            <w:pPr>
              <w:jc w:val="center"/>
              <w:rPr>
                <w:rFonts w:ascii="楷体_GB2312" w:eastAsia="楷体_GB2312"/>
                <w:color w:val="000000"/>
                <w:szCs w:val="21"/>
              </w:rPr>
            </w:pPr>
            <w:r>
              <w:rPr>
                <w:rFonts w:hint="eastAsia" w:ascii="楷体_GB2312" w:eastAsia="楷体_GB2312"/>
                <w:color w:val="000000"/>
                <w:szCs w:val="21"/>
              </w:rPr>
              <w:t>振园路</w:t>
            </w:r>
          </w:p>
        </w:tc>
        <w:tc>
          <w:tcPr>
            <w:tcW w:w="0" w:type="auto"/>
            <w:noWrap w:val="0"/>
            <w:vAlign w:val="center"/>
          </w:tcPr>
          <w:p w14:paraId="3CBBAC07">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1B8846D1">
            <w:pPr>
              <w:jc w:val="center"/>
              <w:rPr>
                <w:color w:val="000000"/>
                <w:szCs w:val="21"/>
              </w:rPr>
            </w:pPr>
            <w:r>
              <w:rPr>
                <w:color w:val="000000"/>
                <w:szCs w:val="21"/>
              </w:rPr>
              <w:t>0.4</w:t>
            </w:r>
          </w:p>
        </w:tc>
        <w:tc>
          <w:tcPr>
            <w:tcW w:w="0" w:type="auto"/>
            <w:noWrap w:val="0"/>
            <w:vAlign w:val="center"/>
          </w:tcPr>
          <w:p w14:paraId="2988E441">
            <w:pPr>
              <w:jc w:val="center"/>
              <w:rPr>
                <w:color w:val="000000"/>
                <w:szCs w:val="21"/>
              </w:rPr>
            </w:pPr>
            <w:r>
              <w:rPr>
                <w:color w:val="000000"/>
                <w:szCs w:val="21"/>
              </w:rPr>
              <w:t>3</w:t>
            </w:r>
          </w:p>
        </w:tc>
        <w:tc>
          <w:tcPr>
            <w:tcW w:w="0" w:type="auto"/>
            <w:noWrap w:val="0"/>
            <w:vAlign w:val="center"/>
          </w:tcPr>
          <w:p w14:paraId="2032396B">
            <w:pPr>
              <w:jc w:val="center"/>
              <w:rPr>
                <w:color w:val="000000"/>
                <w:szCs w:val="21"/>
              </w:rPr>
            </w:pPr>
            <w:r>
              <w:rPr>
                <w:color w:val="000000"/>
                <w:szCs w:val="21"/>
              </w:rPr>
              <w:t>40</w:t>
            </w:r>
          </w:p>
        </w:tc>
        <w:tc>
          <w:tcPr>
            <w:tcW w:w="0" w:type="auto"/>
            <w:noWrap w:val="0"/>
            <w:vAlign w:val="center"/>
          </w:tcPr>
          <w:p w14:paraId="1923A2FD">
            <w:pPr>
              <w:jc w:val="center"/>
              <w:rPr>
                <w:color w:val="000000"/>
                <w:szCs w:val="21"/>
              </w:rPr>
            </w:pPr>
            <w:r>
              <w:rPr>
                <w:color w:val="000000"/>
                <w:szCs w:val="21"/>
              </w:rPr>
              <w:t>180</w:t>
            </w:r>
          </w:p>
        </w:tc>
      </w:tr>
      <w:tr w14:paraId="1E85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05A975E">
            <w:pPr>
              <w:jc w:val="center"/>
              <w:rPr>
                <w:color w:val="000000"/>
                <w:szCs w:val="21"/>
              </w:rPr>
            </w:pPr>
            <w:r>
              <w:rPr>
                <w:color w:val="000000"/>
                <w:szCs w:val="21"/>
              </w:rPr>
              <w:t>17</w:t>
            </w:r>
          </w:p>
        </w:tc>
        <w:tc>
          <w:tcPr>
            <w:tcW w:w="0" w:type="auto"/>
            <w:noWrap w:val="0"/>
            <w:vAlign w:val="center"/>
          </w:tcPr>
          <w:p w14:paraId="2C3B2B65">
            <w:pPr>
              <w:jc w:val="center"/>
              <w:rPr>
                <w:rFonts w:ascii="楷体_GB2312" w:eastAsia="楷体_GB2312"/>
                <w:color w:val="000000"/>
                <w:szCs w:val="21"/>
              </w:rPr>
            </w:pPr>
            <w:r>
              <w:rPr>
                <w:rFonts w:hint="eastAsia" w:ascii="楷体_GB2312" w:eastAsia="楷体_GB2312"/>
                <w:color w:val="000000"/>
                <w:szCs w:val="21"/>
              </w:rPr>
              <w:t>滨河路</w:t>
            </w:r>
          </w:p>
        </w:tc>
        <w:tc>
          <w:tcPr>
            <w:tcW w:w="0" w:type="auto"/>
            <w:noWrap w:val="0"/>
            <w:vAlign w:val="center"/>
          </w:tcPr>
          <w:p w14:paraId="0484844A">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273B413F">
            <w:pPr>
              <w:jc w:val="center"/>
              <w:rPr>
                <w:color w:val="000000"/>
                <w:szCs w:val="21"/>
              </w:rPr>
            </w:pPr>
            <w:r>
              <w:rPr>
                <w:color w:val="000000"/>
                <w:szCs w:val="21"/>
              </w:rPr>
              <w:t>0.4</w:t>
            </w:r>
          </w:p>
        </w:tc>
        <w:tc>
          <w:tcPr>
            <w:tcW w:w="0" w:type="auto"/>
            <w:noWrap w:val="0"/>
            <w:vAlign w:val="center"/>
          </w:tcPr>
          <w:p w14:paraId="1E08455E">
            <w:pPr>
              <w:jc w:val="center"/>
              <w:rPr>
                <w:color w:val="000000"/>
                <w:szCs w:val="21"/>
              </w:rPr>
            </w:pPr>
            <w:r>
              <w:rPr>
                <w:color w:val="000000"/>
                <w:szCs w:val="21"/>
              </w:rPr>
              <w:t>3</w:t>
            </w:r>
          </w:p>
        </w:tc>
        <w:tc>
          <w:tcPr>
            <w:tcW w:w="0" w:type="auto"/>
            <w:noWrap w:val="0"/>
            <w:vAlign w:val="center"/>
          </w:tcPr>
          <w:p w14:paraId="74684C65">
            <w:pPr>
              <w:jc w:val="center"/>
              <w:rPr>
                <w:color w:val="000000"/>
                <w:szCs w:val="21"/>
              </w:rPr>
            </w:pPr>
            <w:r>
              <w:rPr>
                <w:color w:val="000000"/>
                <w:szCs w:val="21"/>
              </w:rPr>
              <w:t>40</w:t>
            </w:r>
          </w:p>
        </w:tc>
        <w:tc>
          <w:tcPr>
            <w:tcW w:w="0" w:type="auto"/>
            <w:noWrap w:val="0"/>
            <w:vAlign w:val="center"/>
          </w:tcPr>
          <w:p w14:paraId="06E01B64">
            <w:pPr>
              <w:jc w:val="center"/>
              <w:rPr>
                <w:color w:val="000000"/>
                <w:szCs w:val="21"/>
              </w:rPr>
            </w:pPr>
            <w:r>
              <w:rPr>
                <w:color w:val="000000"/>
                <w:szCs w:val="21"/>
              </w:rPr>
              <w:t>180</w:t>
            </w:r>
          </w:p>
        </w:tc>
      </w:tr>
      <w:tr w14:paraId="407E3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D36947D">
            <w:pPr>
              <w:jc w:val="center"/>
              <w:rPr>
                <w:color w:val="000000"/>
                <w:szCs w:val="21"/>
              </w:rPr>
            </w:pPr>
            <w:r>
              <w:rPr>
                <w:color w:val="000000"/>
                <w:szCs w:val="21"/>
              </w:rPr>
              <w:t>18</w:t>
            </w:r>
          </w:p>
        </w:tc>
        <w:tc>
          <w:tcPr>
            <w:tcW w:w="0" w:type="auto"/>
            <w:noWrap w:val="0"/>
            <w:vAlign w:val="center"/>
          </w:tcPr>
          <w:p w14:paraId="70E549A3">
            <w:pPr>
              <w:jc w:val="center"/>
              <w:rPr>
                <w:rFonts w:ascii="楷体_GB2312" w:eastAsia="楷体_GB2312"/>
                <w:color w:val="000000"/>
                <w:szCs w:val="21"/>
              </w:rPr>
            </w:pPr>
            <w:r>
              <w:rPr>
                <w:rFonts w:hint="eastAsia" w:ascii="楷体_GB2312" w:eastAsia="楷体_GB2312"/>
                <w:color w:val="000000"/>
                <w:szCs w:val="21"/>
              </w:rPr>
              <w:t>双龙路</w:t>
            </w:r>
          </w:p>
        </w:tc>
        <w:tc>
          <w:tcPr>
            <w:tcW w:w="0" w:type="auto"/>
            <w:noWrap w:val="0"/>
            <w:vAlign w:val="center"/>
          </w:tcPr>
          <w:p w14:paraId="594E19FD">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7D13318">
            <w:pPr>
              <w:jc w:val="center"/>
              <w:rPr>
                <w:color w:val="000000"/>
                <w:szCs w:val="21"/>
              </w:rPr>
            </w:pPr>
            <w:r>
              <w:rPr>
                <w:color w:val="000000"/>
                <w:szCs w:val="21"/>
              </w:rPr>
              <w:t>0.4</w:t>
            </w:r>
          </w:p>
        </w:tc>
        <w:tc>
          <w:tcPr>
            <w:tcW w:w="0" w:type="auto"/>
            <w:noWrap w:val="0"/>
            <w:vAlign w:val="center"/>
          </w:tcPr>
          <w:p w14:paraId="747E8BA6">
            <w:pPr>
              <w:jc w:val="center"/>
              <w:rPr>
                <w:color w:val="000000"/>
                <w:szCs w:val="21"/>
              </w:rPr>
            </w:pPr>
            <w:r>
              <w:rPr>
                <w:color w:val="000000"/>
                <w:szCs w:val="21"/>
              </w:rPr>
              <w:t>3</w:t>
            </w:r>
          </w:p>
        </w:tc>
        <w:tc>
          <w:tcPr>
            <w:tcW w:w="0" w:type="auto"/>
            <w:noWrap w:val="0"/>
            <w:vAlign w:val="center"/>
          </w:tcPr>
          <w:p w14:paraId="2822E3BF">
            <w:pPr>
              <w:jc w:val="center"/>
              <w:rPr>
                <w:color w:val="000000"/>
                <w:szCs w:val="21"/>
              </w:rPr>
            </w:pPr>
            <w:r>
              <w:rPr>
                <w:color w:val="000000"/>
                <w:szCs w:val="21"/>
              </w:rPr>
              <w:t>40</w:t>
            </w:r>
          </w:p>
        </w:tc>
        <w:tc>
          <w:tcPr>
            <w:tcW w:w="0" w:type="auto"/>
            <w:noWrap w:val="0"/>
            <w:vAlign w:val="center"/>
          </w:tcPr>
          <w:p w14:paraId="0AD96CF9">
            <w:pPr>
              <w:jc w:val="center"/>
              <w:rPr>
                <w:color w:val="000000"/>
                <w:szCs w:val="21"/>
              </w:rPr>
            </w:pPr>
            <w:r>
              <w:rPr>
                <w:color w:val="000000"/>
                <w:szCs w:val="21"/>
              </w:rPr>
              <w:t>180</w:t>
            </w:r>
          </w:p>
        </w:tc>
      </w:tr>
      <w:tr w14:paraId="64C6D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176F146">
            <w:pPr>
              <w:jc w:val="center"/>
              <w:rPr>
                <w:color w:val="000000"/>
                <w:szCs w:val="21"/>
              </w:rPr>
            </w:pPr>
            <w:r>
              <w:rPr>
                <w:color w:val="000000"/>
                <w:szCs w:val="21"/>
              </w:rPr>
              <w:t>19</w:t>
            </w:r>
          </w:p>
        </w:tc>
        <w:tc>
          <w:tcPr>
            <w:tcW w:w="0" w:type="auto"/>
            <w:noWrap w:val="0"/>
            <w:vAlign w:val="center"/>
          </w:tcPr>
          <w:p w14:paraId="6686E77C">
            <w:pPr>
              <w:jc w:val="center"/>
              <w:rPr>
                <w:rFonts w:ascii="楷体_GB2312" w:eastAsia="楷体_GB2312"/>
                <w:color w:val="000000"/>
                <w:szCs w:val="21"/>
              </w:rPr>
            </w:pPr>
            <w:r>
              <w:rPr>
                <w:rFonts w:hint="eastAsia" w:ascii="楷体_GB2312" w:eastAsia="楷体_GB2312"/>
                <w:color w:val="000000"/>
                <w:szCs w:val="21"/>
              </w:rPr>
              <w:t>银兴河路</w:t>
            </w:r>
          </w:p>
        </w:tc>
        <w:tc>
          <w:tcPr>
            <w:tcW w:w="0" w:type="auto"/>
            <w:noWrap w:val="0"/>
            <w:vAlign w:val="center"/>
          </w:tcPr>
          <w:p w14:paraId="7B13B826">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2B11AD1E">
            <w:pPr>
              <w:jc w:val="center"/>
              <w:rPr>
                <w:color w:val="000000"/>
                <w:szCs w:val="21"/>
              </w:rPr>
            </w:pPr>
            <w:r>
              <w:rPr>
                <w:color w:val="000000"/>
                <w:szCs w:val="21"/>
              </w:rPr>
              <w:t>0.4</w:t>
            </w:r>
          </w:p>
        </w:tc>
        <w:tc>
          <w:tcPr>
            <w:tcW w:w="0" w:type="auto"/>
            <w:noWrap w:val="0"/>
            <w:vAlign w:val="center"/>
          </w:tcPr>
          <w:p w14:paraId="526BBE5B">
            <w:pPr>
              <w:jc w:val="center"/>
              <w:rPr>
                <w:color w:val="000000"/>
                <w:szCs w:val="21"/>
              </w:rPr>
            </w:pPr>
            <w:r>
              <w:rPr>
                <w:color w:val="000000"/>
                <w:szCs w:val="21"/>
              </w:rPr>
              <w:t>3</w:t>
            </w:r>
          </w:p>
        </w:tc>
        <w:tc>
          <w:tcPr>
            <w:tcW w:w="0" w:type="auto"/>
            <w:noWrap w:val="0"/>
            <w:vAlign w:val="center"/>
          </w:tcPr>
          <w:p w14:paraId="2D14E973">
            <w:pPr>
              <w:jc w:val="center"/>
              <w:rPr>
                <w:color w:val="000000"/>
                <w:szCs w:val="21"/>
              </w:rPr>
            </w:pPr>
            <w:r>
              <w:rPr>
                <w:color w:val="000000"/>
                <w:szCs w:val="21"/>
              </w:rPr>
              <w:t>40</w:t>
            </w:r>
          </w:p>
        </w:tc>
        <w:tc>
          <w:tcPr>
            <w:tcW w:w="0" w:type="auto"/>
            <w:noWrap w:val="0"/>
            <w:vAlign w:val="center"/>
          </w:tcPr>
          <w:p w14:paraId="09E5357C">
            <w:pPr>
              <w:jc w:val="center"/>
              <w:rPr>
                <w:color w:val="000000"/>
                <w:szCs w:val="21"/>
              </w:rPr>
            </w:pPr>
            <w:r>
              <w:rPr>
                <w:color w:val="000000"/>
                <w:szCs w:val="21"/>
              </w:rPr>
              <w:t>180</w:t>
            </w:r>
          </w:p>
        </w:tc>
      </w:tr>
      <w:tr w14:paraId="762D4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7DE7C06">
            <w:pPr>
              <w:jc w:val="center"/>
              <w:rPr>
                <w:color w:val="000000"/>
                <w:szCs w:val="21"/>
              </w:rPr>
            </w:pPr>
            <w:r>
              <w:rPr>
                <w:color w:val="000000"/>
                <w:szCs w:val="21"/>
              </w:rPr>
              <w:t>20</w:t>
            </w:r>
          </w:p>
        </w:tc>
        <w:tc>
          <w:tcPr>
            <w:tcW w:w="0" w:type="auto"/>
            <w:noWrap w:val="0"/>
            <w:vAlign w:val="center"/>
          </w:tcPr>
          <w:p w14:paraId="6A0ABD87">
            <w:pPr>
              <w:jc w:val="center"/>
              <w:rPr>
                <w:rFonts w:ascii="楷体_GB2312" w:eastAsia="楷体_GB2312"/>
                <w:color w:val="000000"/>
                <w:szCs w:val="21"/>
              </w:rPr>
            </w:pPr>
            <w:r>
              <w:rPr>
                <w:rFonts w:hint="eastAsia" w:ascii="楷体_GB2312" w:eastAsia="楷体_GB2312"/>
                <w:color w:val="000000"/>
                <w:szCs w:val="21"/>
              </w:rPr>
              <w:t>碧园路</w:t>
            </w:r>
          </w:p>
        </w:tc>
        <w:tc>
          <w:tcPr>
            <w:tcW w:w="0" w:type="auto"/>
            <w:noWrap w:val="0"/>
            <w:vAlign w:val="center"/>
          </w:tcPr>
          <w:p w14:paraId="5C00FED9">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1F12B679">
            <w:pPr>
              <w:jc w:val="center"/>
              <w:rPr>
                <w:color w:val="000000"/>
                <w:szCs w:val="21"/>
              </w:rPr>
            </w:pPr>
            <w:r>
              <w:rPr>
                <w:color w:val="000000"/>
                <w:szCs w:val="21"/>
              </w:rPr>
              <w:t>0.4</w:t>
            </w:r>
          </w:p>
        </w:tc>
        <w:tc>
          <w:tcPr>
            <w:tcW w:w="0" w:type="auto"/>
            <w:noWrap w:val="0"/>
            <w:vAlign w:val="center"/>
          </w:tcPr>
          <w:p w14:paraId="7F2F6811">
            <w:pPr>
              <w:jc w:val="center"/>
              <w:rPr>
                <w:color w:val="000000"/>
                <w:szCs w:val="21"/>
              </w:rPr>
            </w:pPr>
            <w:r>
              <w:rPr>
                <w:color w:val="000000"/>
                <w:szCs w:val="21"/>
              </w:rPr>
              <w:t>3</w:t>
            </w:r>
          </w:p>
        </w:tc>
        <w:tc>
          <w:tcPr>
            <w:tcW w:w="0" w:type="auto"/>
            <w:noWrap w:val="0"/>
            <w:vAlign w:val="center"/>
          </w:tcPr>
          <w:p w14:paraId="1E46D00C">
            <w:pPr>
              <w:jc w:val="center"/>
              <w:rPr>
                <w:color w:val="000000"/>
                <w:szCs w:val="21"/>
              </w:rPr>
            </w:pPr>
            <w:r>
              <w:rPr>
                <w:color w:val="000000"/>
                <w:szCs w:val="21"/>
              </w:rPr>
              <w:t>40</w:t>
            </w:r>
          </w:p>
        </w:tc>
        <w:tc>
          <w:tcPr>
            <w:tcW w:w="0" w:type="auto"/>
            <w:noWrap w:val="0"/>
            <w:vAlign w:val="center"/>
          </w:tcPr>
          <w:p w14:paraId="783915AB">
            <w:pPr>
              <w:jc w:val="center"/>
              <w:rPr>
                <w:color w:val="000000"/>
                <w:szCs w:val="21"/>
              </w:rPr>
            </w:pPr>
            <w:r>
              <w:rPr>
                <w:color w:val="000000"/>
                <w:szCs w:val="21"/>
              </w:rPr>
              <w:t>180</w:t>
            </w:r>
          </w:p>
        </w:tc>
      </w:tr>
      <w:tr w14:paraId="6C69B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8DEAA51">
            <w:pPr>
              <w:jc w:val="center"/>
              <w:rPr>
                <w:color w:val="000000"/>
                <w:szCs w:val="21"/>
              </w:rPr>
            </w:pPr>
            <w:r>
              <w:rPr>
                <w:color w:val="000000"/>
                <w:szCs w:val="21"/>
              </w:rPr>
              <w:t>21</w:t>
            </w:r>
          </w:p>
        </w:tc>
        <w:tc>
          <w:tcPr>
            <w:tcW w:w="0" w:type="auto"/>
            <w:noWrap w:val="0"/>
            <w:vAlign w:val="center"/>
          </w:tcPr>
          <w:p w14:paraId="00DDE495">
            <w:pPr>
              <w:jc w:val="center"/>
              <w:rPr>
                <w:rFonts w:ascii="楷体_GB2312" w:hAnsi="宋体" w:eastAsia="楷体_GB2312" w:cs="宋体"/>
                <w:color w:val="000000"/>
                <w:szCs w:val="21"/>
              </w:rPr>
            </w:pPr>
            <w:r>
              <w:rPr>
                <w:rFonts w:hint="eastAsia" w:ascii="楷体_GB2312" w:eastAsia="楷体_GB2312"/>
                <w:color w:val="000000"/>
                <w:szCs w:val="21"/>
              </w:rPr>
              <w:t>便民路</w:t>
            </w:r>
          </w:p>
        </w:tc>
        <w:tc>
          <w:tcPr>
            <w:tcW w:w="0" w:type="auto"/>
            <w:noWrap w:val="0"/>
            <w:vAlign w:val="center"/>
          </w:tcPr>
          <w:p w14:paraId="6E047BC6">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4E358EA">
            <w:pPr>
              <w:jc w:val="center"/>
              <w:rPr>
                <w:color w:val="000000"/>
                <w:szCs w:val="21"/>
              </w:rPr>
            </w:pPr>
            <w:r>
              <w:rPr>
                <w:color w:val="000000"/>
                <w:szCs w:val="21"/>
              </w:rPr>
              <w:t>0.4</w:t>
            </w:r>
          </w:p>
        </w:tc>
        <w:tc>
          <w:tcPr>
            <w:tcW w:w="0" w:type="auto"/>
            <w:noWrap w:val="0"/>
            <w:vAlign w:val="center"/>
          </w:tcPr>
          <w:p w14:paraId="6BC4176F">
            <w:pPr>
              <w:jc w:val="center"/>
              <w:rPr>
                <w:color w:val="000000"/>
                <w:szCs w:val="21"/>
              </w:rPr>
            </w:pPr>
            <w:r>
              <w:rPr>
                <w:color w:val="000000"/>
                <w:szCs w:val="21"/>
              </w:rPr>
              <w:t>3</w:t>
            </w:r>
          </w:p>
        </w:tc>
        <w:tc>
          <w:tcPr>
            <w:tcW w:w="0" w:type="auto"/>
            <w:noWrap w:val="0"/>
            <w:vAlign w:val="center"/>
          </w:tcPr>
          <w:p w14:paraId="1816117C">
            <w:pPr>
              <w:jc w:val="center"/>
              <w:rPr>
                <w:color w:val="000000"/>
                <w:szCs w:val="21"/>
              </w:rPr>
            </w:pPr>
            <w:r>
              <w:rPr>
                <w:color w:val="000000"/>
                <w:szCs w:val="21"/>
              </w:rPr>
              <w:t>40</w:t>
            </w:r>
          </w:p>
        </w:tc>
        <w:tc>
          <w:tcPr>
            <w:tcW w:w="0" w:type="auto"/>
            <w:noWrap w:val="0"/>
            <w:vAlign w:val="center"/>
          </w:tcPr>
          <w:p w14:paraId="7B4881F8">
            <w:pPr>
              <w:jc w:val="center"/>
              <w:rPr>
                <w:color w:val="000000"/>
                <w:szCs w:val="21"/>
              </w:rPr>
            </w:pPr>
            <w:r>
              <w:rPr>
                <w:color w:val="000000"/>
                <w:szCs w:val="21"/>
              </w:rPr>
              <w:t>180</w:t>
            </w:r>
          </w:p>
        </w:tc>
      </w:tr>
      <w:tr w14:paraId="63974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0FCBE74">
            <w:pPr>
              <w:jc w:val="center"/>
              <w:rPr>
                <w:color w:val="000000"/>
                <w:szCs w:val="21"/>
              </w:rPr>
            </w:pPr>
            <w:r>
              <w:rPr>
                <w:color w:val="000000"/>
                <w:szCs w:val="21"/>
              </w:rPr>
              <w:t>22</w:t>
            </w:r>
          </w:p>
        </w:tc>
        <w:tc>
          <w:tcPr>
            <w:tcW w:w="0" w:type="auto"/>
            <w:noWrap w:val="0"/>
            <w:vAlign w:val="center"/>
          </w:tcPr>
          <w:p w14:paraId="6226B691">
            <w:pPr>
              <w:jc w:val="center"/>
              <w:rPr>
                <w:rFonts w:ascii="楷体_GB2312" w:hAnsi="宋体" w:eastAsia="楷体_GB2312" w:cs="宋体"/>
                <w:color w:val="000000"/>
                <w:szCs w:val="21"/>
              </w:rPr>
            </w:pPr>
            <w:r>
              <w:rPr>
                <w:rFonts w:hint="eastAsia" w:ascii="楷体_GB2312" w:eastAsia="楷体_GB2312"/>
                <w:color w:val="000000"/>
                <w:szCs w:val="21"/>
              </w:rPr>
              <w:t>思贤路</w:t>
            </w:r>
          </w:p>
        </w:tc>
        <w:tc>
          <w:tcPr>
            <w:tcW w:w="0" w:type="auto"/>
            <w:noWrap w:val="0"/>
            <w:vAlign w:val="center"/>
          </w:tcPr>
          <w:p w14:paraId="75C42465">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14B9AC81">
            <w:pPr>
              <w:jc w:val="center"/>
              <w:rPr>
                <w:color w:val="000000"/>
                <w:szCs w:val="21"/>
              </w:rPr>
            </w:pPr>
            <w:r>
              <w:rPr>
                <w:color w:val="000000"/>
                <w:szCs w:val="21"/>
              </w:rPr>
              <w:t>0.4</w:t>
            </w:r>
          </w:p>
        </w:tc>
        <w:tc>
          <w:tcPr>
            <w:tcW w:w="0" w:type="auto"/>
            <w:noWrap w:val="0"/>
            <w:vAlign w:val="center"/>
          </w:tcPr>
          <w:p w14:paraId="3E967F1E">
            <w:pPr>
              <w:jc w:val="center"/>
              <w:rPr>
                <w:color w:val="000000"/>
                <w:szCs w:val="21"/>
              </w:rPr>
            </w:pPr>
            <w:r>
              <w:rPr>
                <w:color w:val="000000"/>
                <w:szCs w:val="21"/>
              </w:rPr>
              <w:t>3</w:t>
            </w:r>
          </w:p>
        </w:tc>
        <w:tc>
          <w:tcPr>
            <w:tcW w:w="0" w:type="auto"/>
            <w:noWrap w:val="0"/>
            <w:vAlign w:val="center"/>
          </w:tcPr>
          <w:p w14:paraId="619A4CDA">
            <w:pPr>
              <w:jc w:val="center"/>
              <w:rPr>
                <w:color w:val="000000"/>
                <w:szCs w:val="21"/>
              </w:rPr>
            </w:pPr>
            <w:r>
              <w:rPr>
                <w:color w:val="000000"/>
                <w:szCs w:val="21"/>
              </w:rPr>
              <w:t>40</w:t>
            </w:r>
          </w:p>
        </w:tc>
        <w:tc>
          <w:tcPr>
            <w:tcW w:w="0" w:type="auto"/>
            <w:noWrap w:val="0"/>
            <w:vAlign w:val="center"/>
          </w:tcPr>
          <w:p w14:paraId="32DEA082">
            <w:pPr>
              <w:jc w:val="center"/>
              <w:rPr>
                <w:color w:val="000000"/>
                <w:szCs w:val="21"/>
              </w:rPr>
            </w:pPr>
            <w:r>
              <w:rPr>
                <w:color w:val="000000"/>
                <w:szCs w:val="21"/>
              </w:rPr>
              <w:t>180</w:t>
            </w:r>
          </w:p>
        </w:tc>
      </w:tr>
      <w:tr w14:paraId="1E6F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A647260">
            <w:pPr>
              <w:jc w:val="center"/>
              <w:rPr>
                <w:color w:val="000000"/>
                <w:szCs w:val="21"/>
              </w:rPr>
            </w:pPr>
            <w:r>
              <w:rPr>
                <w:color w:val="000000"/>
                <w:szCs w:val="21"/>
              </w:rPr>
              <w:t>23</w:t>
            </w:r>
          </w:p>
        </w:tc>
        <w:tc>
          <w:tcPr>
            <w:tcW w:w="0" w:type="auto"/>
            <w:noWrap w:val="0"/>
            <w:vAlign w:val="center"/>
          </w:tcPr>
          <w:p w14:paraId="35FC0137">
            <w:pPr>
              <w:jc w:val="center"/>
              <w:rPr>
                <w:rFonts w:ascii="楷体_GB2312" w:hAnsi="宋体" w:eastAsia="楷体_GB2312" w:cs="宋体"/>
                <w:color w:val="000000"/>
                <w:szCs w:val="21"/>
              </w:rPr>
            </w:pPr>
            <w:r>
              <w:rPr>
                <w:rFonts w:hint="eastAsia" w:ascii="楷体_GB2312" w:eastAsia="楷体_GB2312"/>
                <w:color w:val="000000"/>
                <w:szCs w:val="21"/>
              </w:rPr>
              <w:t>解放路</w:t>
            </w:r>
          </w:p>
        </w:tc>
        <w:tc>
          <w:tcPr>
            <w:tcW w:w="0" w:type="auto"/>
            <w:noWrap w:val="0"/>
            <w:vAlign w:val="center"/>
          </w:tcPr>
          <w:p w14:paraId="5AC695FB">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0D846353">
            <w:pPr>
              <w:jc w:val="center"/>
              <w:rPr>
                <w:color w:val="000000"/>
                <w:szCs w:val="21"/>
              </w:rPr>
            </w:pPr>
            <w:r>
              <w:rPr>
                <w:color w:val="000000"/>
                <w:szCs w:val="21"/>
              </w:rPr>
              <w:t>0.4</w:t>
            </w:r>
          </w:p>
        </w:tc>
        <w:tc>
          <w:tcPr>
            <w:tcW w:w="0" w:type="auto"/>
            <w:noWrap w:val="0"/>
            <w:vAlign w:val="center"/>
          </w:tcPr>
          <w:p w14:paraId="05716A13">
            <w:pPr>
              <w:jc w:val="center"/>
              <w:rPr>
                <w:color w:val="000000"/>
                <w:szCs w:val="21"/>
              </w:rPr>
            </w:pPr>
            <w:r>
              <w:rPr>
                <w:color w:val="000000"/>
                <w:szCs w:val="21"/>
              </w:rPr>
              <w:t>3</w:t>
            </w:r>
          </w:p>
        </w:tc>
        <w:tc>
          <w:tcPr>
            <w:tcW w:w="0" w:type="auto"/>
            <w:noWrap w:val="0"/>
            <w:vAlign w:val="center"/>
          </w:tcPr>
          <w:p w14:paraId="2A455ACE">
            <w:pPr>
              <w:jc w:val="center"/>
              <w:rPr>
                <w:color w:val="000000"/>
                <w:szCs w:val="21"/>
              </w:rPr>
            </w:pPr>
            <w:r>
              <w:rPr>
                <w:color w:val="000000"/>
                <w:szCs w:val="21"/>
              </w:rPr>
              <w:t>40</w:t>
            </w:r>
          </w:p>
        </w:tc>
        <w:tc>
          <w:tcPr>
            <w:tcW w:w="0" w:type="auto"/>
            <w:noWrap w:val="0"/>
            <w:vAlign w:val="center"/>
          </w:tcPr>
          <w:p w14:paraId="62DDBD8F">
            <w:pPr>
              <w:jc w:val="center"/>
              <w:rPr>
                <w:color w:val="000000"/>
                <w:szCs w:val="21"/>
              </w:rPr>
            </w:pPr>
            <w:r>
              <w:rPr>
                <w:color w:val="000000"/>
                <w:szCs w:val="21"/>
              </w:rPr>
              <w:t>180</w:t>
            </w:r>
          </w:p>
        </w:tc>
      </w:tr>
    </w:tbl>
    <w:p w14:paraId="11594481">
      <w:pPr>
        <w:jc w:val="center"/>
        <w:rPr>
          <w:rFonts w:eastAsia="黑体"/>
          <w:sz w:val="28"/>
        </w:rPr>
      </w:pPr>
      <w:r>
        <w:rPr>
          <w:rFonts w:eastAsia="黑体"/>
          <w:sz w:val="28"/>
        </w:rPr>
        <w:t>表1-3-</w:t>
      </w:r>
      <w:r>
        <w:rPr>
          <w:rFonts w:hint="eastAsia" w:eastAsia="黑体"/>
          <w:sz w:val="28"/>
        </w:rPr>
        <w:t>1</w:t>
      </w:r>
      <w:r>
        <w:rPr>
          <w:rFonts w:eastAsia="黑体"/>
          <w:sz w:val="28"/>
        </w:rPr>
        <w:t xml:space="preserve">8  </w:t>
      </w:r>
      <w:r>
        <w:rPr>
          <w:rFonts w:hint="eastAsia" w:eastAsia="黑体"/>
          <w:sz w:val="28"/>
        </w:rPr>
        <w:t>褚兰镇</w:t>
      </w:r>
      <w:r>
        <w:rPr>
          <w:rFonts w:eastAsia="黑体"/>
          <w:sz w:val="28"/>
        </w:rPr>
        <w:t>镇区道路状况及其功能分及影响距离表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460"/>
        <w:gridCol w:w="1460"/>
        <w:gridCol w:w="1460"/>
        <w:gridCol w:w="879"/>
        <w:gridCol w:w="1170"/>
        <w:gridCol w:w="1460"/>
      </w:tblGrid>
      <w:tr w14:paraId="4EF00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6B06FC6">
            <w:pPr>
              <w:jc w:val="center"/>
              <w:rPr>
                <w:rFonts w:eastAsia="楷体_GB2312"/>
              </w:rPr>
            </w:pPr>
            <w:r>
              <w:rPr>
                <w:rFonts w:eastAsia="楷体_GB2312"/>
              </w:rPr>
              <w:t>道路编号</w:t>
            </w:r>
          </w:p>
        </w:tc>
        <w:tc>
          <w:tcPr>
            <w:tcW w:w="0" w:type="auto"/>
            <w:noWrap w:val="0"/>
            <w:vAlign w:val="center"/>
          </w:tcPr>
          <w:p w14:paraId="600C1EC3">
            <w:pPr>
              <w:jc w:val="center"/>
              <w:rPr>
                <w:rFonts w:eastAsia="楷体_GB2312"/>
              </w:rPr>
            </w:pPr>
            <w:r>
              <w:rPr>
                <w:rFonts w:eastAsia="楷体_GB2312"/>
              </w:rPr>
              <w:t>道路名称</w:t>
            </w:r>
          </w:p>
        </w:tc>
        <w:tc>
          <w:tcPr>
            <w:tcW w:w="0" w:type="auto"/>
            <w:noWrap w:val="0"/>
            <w:vAlign w:val="center"/>
          </w:tcPr>
          <w:p w14:paraId="23EE5620">
            <w:pPr>
              <w:jc w:val="center"/>
              <w:rPr>
                <w:rFonts w:eastAsia="楷体_GB2312"/>
              </w:rPr>
            </w:pPr>
            <w:r>
              <w:rPr>
                <w:rFonts w:eastAsia="楷体_GB2312"/>
              </w:rPr>
              <w:t>道路类型</w:t>
            </w:r>
          </w:p>
        </w:tc>
        <w:tc>
          <w:tcPr>
            <w:tcW w:w="0" w:type="auto"/>
            <w:noWrap w:val="0"/>
            <w:vAlign w:val="center"/>
          </w:tcPr>
          <w:p w14:paraId="58A984CA">
            <w:pPr>
              <w:jc w:val="center"/>
              <w:rPr>
                <w:rFonts w:eastAsia="楷体_GB2312"/>
              </w:rPr>
            </w:pPr>
            <w:r>
              <w:rPr>
                <w:rFonts w:eastAsia="楷体_GB2312"/>
              </w:rPr>
              <w:t>作用指数</w:t>
            </w:r>
          </w:p>
        </w:tc>
        <w:tc>
          <w:tcPr>
            <w:tcW w:w="0" w:type="auto"/>
            <w:noWrap w:val="0"/>
            <w:vAlign w:val="center"/>
          </w:tcPr>
          <w:p w14:paraId="2FB89DF5">
            <w:pPr>
              <w:jc w:val="center"/>
              <w:rPr>
                <w:rFonts w:eastAsia="楷体_GB2312"/>
              </w:rPr>
            </w:pPr>
            <w:r>
              <w:rPr>
                <w:rFonts w:eastAsia="楷体_GB2312"/>
              </w:rPr>
              <w:t>级别</w:t>
            </w:r>
          </w:p>
        </w:tc>
        <w:tc>
          <w:tcPr>
            <w:tcW w:w="0" w:type="auto"/>
            <w:noWrap w:val="0"/>
            <w:vAlign w:val="center"/>
          </w:tcPr>
          <w:p w14:paraId="18F5FABC">
            <w:pPr>
              <w:jc w:val="center"/>
              <w:rPr>
                <w:rFonts w:eastAsia="楷体_GB2312"/>
              </w:rPr>
            </w:pPr>
            <w:r>
              <w:rPr>
                <w:rFonts w:eastAsia="楷体_GB2312"/>
              </w:rPr>
              <w:t>功能分</w:t>
            </w:r>
          </w:p>
        </w:tc>
        <w:tc>
          <w:tcPr>
            <w:tcW w:w="0" w:type="auto"/>
            <w:noWrap w:val="0"/>
            <w:vAlign w:val="center"/>
          </w:tcPr>
          <w:p w14:paraId="0A8920D3">
            <w:pPr>
              <w:jc w:val="center"/>
              <w:rPr>
                <w:rFonts w:eastAsia="楷体_GB2312"/>
              </w:rPr>
            </w:pPr>
            <w:r>
              <w:rPr>
                <w:rFonts w:eastAsia="楷体_GB2312"/>
              </w:rPr>
              <w:t>影响半径</w:t>
            </w:r>
          </w:p>
        </w:tc>
      </w:tr>
      <w:tr w14:paraId="02A92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2104566">
            <w:pPr>
              <w:jc w:val="center"/>
              <w:rPr>
                <w:color w:val="000000"/>
                <w:szCs w:val="21"/>
              </w:rPr>
            </w:pPr>
            <w:r>
              <w:rPr>
                <w:rFonts w:hint="eastAsia"/>
                <w:color w:val="000000"/>
                <w:szCs w:val="21"/>
              </w:rPr>
              <w:t>0</w:t>
            </w:r>
            <w:r>
              <w:rPr>
                <w:color w:val="000000"/>
                <w:szCs w:val="21"/>
              </w:rPr>
              <w:t>1</w:t>
            </w:r>
          </w:p>
        </w:tc>
        <w:tc>
          <w:tcPr>
            <w:tcW w:w="0" w:type="auto"/>
            <w:noWrap w:val="0"/>
            <w:vAlign w:val="center"/>
          </w:tcPr>
          <w:p w14:paraId="4DF362F2">
            <w:pPr>
              <w:jc w:val="center"/>
              <w:rPr>
                <w:rFonts w:ascii="楷体_GB2312" w:eastAsia="楷体_GB2312"/>
                <w:color w:val="000000"/>
                <w:szCs w:val="21"/>
              </w:rPr>
            </w:pPr>
            <w:r>
              <w:rPr>
                <w:rFonts w:hint="eastAsia" w:ascii="楷体_GB2312" w:eastAsia="楷体_GB2312"/>
                <w:color w:val="000000"/>
                <w:szCs w:val="21"/>
              </w:rPr>
              <w:t>北外环</w:t>
            </w:r>
          </w:p>
        </w:tc>
        <w:tc>
          <w:tcPr>
            <w:tcW w:w="0" w:type="auto"/>
            <w:noWrap w:val="0"/>
            <w:vAlign w:val="center"/>
          </w:tcPr>
          <w:p w14:paraId="09A26DB2">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5FD5205F">
            <w:pPr>
              <w:jc w:val="center"/>
              <w:rPr>
                <w:color w:val="000000"/>
                <w:szCs w:val="21"/>
              </w:rPr>
            </w:pPr>
            <w:r>
              <w:rPr>
                <w:color w:val="000000"/>
                <w:szCs w:val="21"/>
              </w:rPr>
              <w:t>1</w:t>
            </w:r>
          </w:p>
        </w:tc>
        <w:tc>
          <w:tcPr>
            <w:tcW w:w="0" w:type="auto"/>
            <w:noWrap w:val="0"/>
            <w:vAlign w:val="center"/>
          </w:tcPr>
          <w:p w14:paraId="7E414109">
            <w:pPr>
              <w:jc w:val="center"/>
              <w:rPr>
                <w:color w:val="000000"/>
                <w:szCs w:val="21"/>
              </w:rPr>
            </w:pPr>
            <w:r>
              <w:rPr>
                <w:color w:val="000000"/>
                <w:szCs w:val="21"/>
              </w:rPr>
              <w:t>1</w:t>
            </w:r>
          </w:p>
        </w:tc>
        <w:tc>
          <w:tcPr>
            <w:tcW w:w="0" w:type="auto"/>
            <w:noWrap w:val="0"/>
            <w:vAlign w:val="center"/>
          </w:tcPr>
          <w:p w14:paraId="4634BE7E">
            <w:pPr>
              <w:jc w:val="center"/>
              <w:rPr>
                <w:color w:val="000000"/>
                <w:szCs w:val="21"/>
              </w:rPr>
            </w:pPr>
            <w:r>
              <w:rPr>
                <w:color w:val="000000"/>
                <w:szCs w:val="21"/>
              </w:rPr>
              <w:t>100</w:t>
            </w:r>
          </w:p>
        </w:tc>
        <w:tc>
          <w:tcPr>
            <w:tcW w:w="0" w:type="auto"/>
            <w:noWrap w:val="0"/>
            <w:vAlign w:val="center"/>
          </w:tcPr>
          <w:p w14:paraId="30D1ECC5">
            <w:pPr>
              <w:jc w:val="center"/>
              <w:rPr>
                <w:color w:val="000000"/>
                <w:szCs w:val="21"/>
              </w:rPr>
            </w:pPr>
            <w:r>
              <w:rPr>
                <w:color w:val="000000"/>
                <w:szCs w:val="21"/>
              </w:rPr>
              <w:t>220</w:t>
            </w:r>
          </w:p>
        </w:tc>
      </w:tr>
      <w:tr w14:paraId="54AE8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0265150">
            <w:pPr>
              <w:jc w:val="center"/>
              <w:rPr>
                <w:color w:val="000000"/>
                <w:szCs w:val="21"/>
              </w:rPr>
            </w:pPr>
            <w:r>
              <w:rPr>
                <w:rFonts w:hint="eastAsia"/>
                <w:color w:val="000000"/>
                <w:szCs w:val="21"/>
              </w:rPr>
              <w:t>0</w:t>
            </w:r>
            <w:r>
              <w:rPr>
                <w:color w:val="000000"/>
                <w:szCs w:val="21"/>
              </w:rPr>
              <w:t>2</w:t>
            </w:r>
          </w:p>
        </w:tc>
        <w:tc>
          <w:tcPr>
            <w:tcW w:w="0" w:type="auto"/>
            <w:noWrap w:val="0"/>
            <w:vAlign w:val="center"/>
          </w:tcPr>
          <w:p w14:paraId="28CAAACE">
            <w:pPr>
              <w:jc w:val="center"/>
              <w:rPr>
                <w:rFonts w:ascii="楷体_GB2312" w:eastAsia="楷体_GB2312"/>
                <w:color w:val="000000"/>
                <w:szCs w:val="21"/>
              </w:rPr>
            </w:pPr>
            <w:r>
              <w:rPr>
                <w:rFonts w:hint="eastAsia" w:ascii="楷体_GB2312" w:eastAsia="楷体_GB2312"/>
                <w:color w:val="000000"/>
                <w:szCs w:val="21"/>
              </w:rPr>
              <w:t>二徐路</w:t>
            </w:r>
          </w:p>
        </w:tc>
        <w:tc>
          <w:tcPr>
            <w:tcW w:w="0" w:type="auto"/>
            <w:noWrap w:val="0"/>
            <w:vAlign w:val="center"/>
          </w:tcPr>
          <w:p w14:paraId="680465FB">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61B06E42">
            <w:pPr>
              <w:jc w:val="center"/>
              <w:rPr>
                <w:color w:val="000000"/>
                <w:szCs w:val="21"/>
              </w:rPr>
            </w:pPr>
            <w:r>
              <w:rPr>
                <w:color w:val="000000"/>
                <w:szCs w:val="21"/>
              </w:rPr>
              <w:t>1</w:t>
            </w:r>
          </w:p>
        </w:tc>
        <w:tc>
          <w:tcPr>
            <w:tcW w:w="0" w:type="auto"/>
            <w:noWrap w:val="0"/>
            <w:vAlign w:val="center"/>
          </w:tcPr>
          <w:p w14:paraId="56F736C6">
            <w:pPr>
              <w:jc w:val="center"/>
              <w:rPr>
                <w:color w:val="000000"/>
                <w:szCs w:val="21"/>
              </w:rPr>
            </w:pPr>
            <w:r>
              <w:rPr>
                <w:color w:val="000000"/>
                <w:szCs w:val="21"/>
              </w:rPr>
              <w:t>1</w:t>
            </w:r>
          </w:p>
        </w:tc>
        <w:tc>
          <w:tcPr>
            <w:tcW w:w="0" w:type="auto"/>
            <w:noWrap w:val="0"/>
            <w:vAlign w:val="center"/>
          </w:tcPr>
          <w:p w14:paraId="02E91D84">
            <w:pPr>
              <w:jc w:val="center"/>
              <w:rPr>
                <w:color w:val="000000"/>
                <w:szCs w:val="21"/>
              </w:rPr>
            </w:pPr>
            <w:r>
              <w:rPr>
                <w:color w:val="000000"/>
                <w:szCs w:val="21"/>
              </w:rPr>
              <w:t>100</w:t>
            </w:r>
          </w:p>
        </w:tc>
        <w:tc>
          <w:tcPr>
            <w:tcW w:w="0" w:type="auto"/>
            <w:noWrap w:val="0"/>
            <w:vAlign w:val="center"/>
          </w:tcPr>
          <w:p w14:paraId="49713BD7">
            <w:pPr>
              <w:jc w:val="center"/>
              <w:rPr>
                <w:color w:val="000000"/>
                <w:szCs w:val="21"/>
              </w:rPr>
            </w:pPr>
            <w:r>
              <w:rPr>
                <w:color w:val="000000"/>
                <w:szCs w:val="21"/>
              </w:rPr>
              <w:t>220</w:t>
            </w:r>
          </w:p>
        </w:tc>
      </w:tr>
      <w:tr w14:paraId="1154B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0115A92">
            <w:pPr>
              <w:jc w:val="center"/>
              <w:rPr>
                <w:color w:val="000000"/>
                <w:szCs w:val="21"/>
              </w:rPr>
            </w:pPr>
            <w:r>
              <w:rPr>
                <w:rFonts w:hint="eastAsia"/>
                <w:color w:val="000000"/>
                <w:szCs w:val="21"/>
              </w:rPr>
              <w:t>0</w:t>
            </w:r>
            <w:r>
              <w:rPr>
                <w:color w:val="000000"/>
                <w:szCs w:val="21"/>
              </w:rPr>
              <w:t>3</w:t>
            </w:r>
          </w:p>
        </w:tc>
        <w:tc>
          <w:tcPr>
            <w:tcW w:w="0" w:type="auto"/>
            <w:noWrap w:val="0"/>
            <w:vAlign w:val="center"/>
          </w:tcPr>
          <w:p w14:paraId="3F26C107">
            <w:pPr>
              <w:jc w:val="center"/>
              <w:rPr>
                <w:rFonts w:ascii="楷体_GB2312" w:eastAsia="楷体_GB2312"/>
                <w:color w:val="000000"/>
                <w:szCs w:val="21"/>
              </w:rPr>
            </w:pPr>
            <w:r>
              <w:rPr>
                <w:rFonts w:hint="eastAsia" w:ascii="楷体_GB2312" w:eastAsia="楷体_GB2312"/>
                <w:color w:val="000000"/>
                <w:szCs w:val="21"/>
              </w:rPr>
              <w:t>政府大街</w:t>
            </w:r>
          </w:p>
        </w:tc>
        <w:tc>
          <w:tcPr>
            <w:tcW w:w="0" w:type="auto"/>
            <w:noWrap w:val="0"/>
            <w:vAlign w:val="center"/>
          </w:tcPr>
          <w:p w14:paraId="1E0D9BBC">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4AC6E432">
            <w:pPr>
              <w:jc w:val="center"/>
              <w:rPr>
                <w:color w:val="000000"/>
                <w:szCs w:val="21"/>
              </w:rPr>
            </w:pPr>
            <w:r>
              <w:rPr>
                <w:color w:val="000000"/>
                <w:szCs w:val="21"/>
              </w:rPr>
              <w:t>1</w:t>
            </w:r>
          </w:p>
        </w:tc>
        <w:tc>
          <w:tcPr>
            <w:tcW w:w="0" w:type="auto"/>
            <w:noWrap w:val="0"/>
            <w:vAlign w:val="center"/>
          </w:tcPr>
          <w:p w14:paraId="478FC632">
            <w:pPr>
              <w:jc w:val="center"/>
              <w:rPr>
                <w:color w:val="000000"/>
                <w:szCs w:val="21"/>
              </w:rPr>
            </w:pPr>
            <w:r>
              <w:rPr>
                <w:color w:val="000000"/>
                <w:szCs w:val="21"/>
              </w:rPr>
              <w:t>1</w:t>
            </w:r>
          </w:p>
        </w:tc>
        <w:tc>
          <w:tcPr>
            <w:tcW w:w="0" w:type="auto"/>
            <w:noWrap w:val="0"/>
            <w:vAlign w:val="center"/>
          </w:tcPr>
          <w:p w14:paraId="1660FD29">
            <w:pPr>
              <w:jc w:val="center"/>
              <w:rPr>
                <w:color w:val="000000"/>
                <w:szCs w:val="21"/>
              </w:rPr>
            </w:pPr>
            <w:r>
              <w:rPr>
                <w:color w:val="000000"/>
                <w:szCs w:val="21"/>
              </w:rPr>
              <w:t>100</w:t>
            </w:r>
          </w:p>
        </w:tc>
        <w:tc>
          <w:tcPr>
            <w:tcW w:w="0" w:type="auto"/>
            <w:noWrap w:val="0"/>
            <w:vAlign w:val="center"/>
          </w:tcPr>
          <w:p w14:paraId="68747F80">
            <w:pPr>
              <w:jc w:val="center"/>
              <w:rPr>
                <w:color w:val="000000"/>
                <w:szCs w:val="21"/>
              </w:rPr>
            </w:pPr>
            <w:r>
              <w:rPr>
                <w:color w:val="000000"/>
                <w:szCs w:val="21"/>
              </w:rPr>
              <w:t>220</w:t>
            </w:r>
          </w:p>
        </w:tc>
      </w:tr>
      <w:tr w14:paraId="61CB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42B0B51">
            <w:pPr>
              <w:jc w:val="center"/>
              <w:rPr>
                <w:color w:val="000000"/>
                <w:szCs w:val="21"/>
              </w:rPr>
            </w:pPr>
            <w:r>
              <w:rPr>
                <w:rFonts w:hint="eastAsia"/>
                <w:color w:val="000000"/>
                <w:szCs w:val="21"/>
              </w:rPr>
              <w:t>0</w:t>
            </w:r>
            <w:r>
              <w:rPr>
                <w:color w:val="000000"/>
                <w:szCs w:val="21"/>
              </w:rPr>
              <w:t>4</w:t>
            </w:r>
          </w:p>
        </w:tc>
        <w:tc>
          <w:tcPr>
            <w:tcW w:w="0" w:type="auto"/>
            <w:noWrap w:val="0"/>
            <w:vAlign w:val="center"/>
          </w:tcPr>
          <w:p w14:paraId="4E66BC63">
            <w:pPr>
              <w:jc w:val="center"/>
              <w:rPr>
                <w:rFonts w:ascii="楷体_GB2312" w:eastAsia="楷体_GB2312"/>
                <w:color w:val="000000"/>
                <w:szCs w:val="21"/>
              </w:rPr>
            </w:pPr>
            <w:r>
              <w:rPr>
                <w:rFonts w:hint="eastAsia" w:ascii="楷体_GB2312" w:eastAsia="楷体_GB2312"/>
                <w:color w:val="000000"/>
                <w:szCs w:val="21"/>
              </w:rPr>
              <w:t>南外环</w:t>
            </w:r>
          </w:p>
        </w:tc>
        <w:tc>
          <w:tcPr>
            <w:tcW w:w="0" w:type="auto"/>
            <w:noWrap w:val="0"/>
            <w:vAlign w:val="center"/>
          </w:tcPr>
          <w:p w14:paraId="104A1DC4">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3F05DD11">
            <w:pPr>
              <w:jc w:val="center"/>
              <w:rPr>
                <w:color w:val="000000"/>
                <w:szCs w:val="21"/>
              </w:rPr>
            </w:pPr>
            <w:r>
              <w:rPr>
                <w:color w:val="000000"/>
                <w:szCs w:val="21"/>
              </w:rPr>
              <w:t>1</w:t>
            </w:r>
          </w:p>
        </w:tc>
        <w:tc>
          <w:tcPr>
            <w:tcW w:w="0" w:type="auto"/>
            <w:noWrap w:val="0"/>
            <w:vAlign w:val="center"/>
          </w:tcPr>
          <w:p w14:paraId="2AE37280">
            <w:pPr>
              <w:jc w:val="center"/>
              <w:rPr>
                <w:color w:val="000000"/>
                <w:szCs w:val="21"/>
              </w:rPr>
            </w:pPr>
            <w:r>
              <w:rPr>
                <w:color w:val="000000"/>
                <w:szCs w:val="21"/>
              </w:rPr>
              <w:t>1</w:t>
            </w:r>
          </w:p>
        </w:tc>
        <w:tc>
          <w:tcPr>
            <w:tcW w:w="0" w:type="auto"/>
            <w:noWrap w:val="0"/>
            <w:vAlign w:val="center"/>
          </w:tcPr>
          <w:p w14:paraId="6CE00F9C">
            <w:pPr>
              <w:jc w:val="center"/>
              <w:rPr>
                <w:color w:val="000000"/>
                <w:szCs w:val="21"/>
              </w:rPr>
            </w:pPr>
            <w:r>
              <w:rPr>
                <w:color w:val="000000"/>
                <w:szCs w:val="21"/>
              </w:rPr>
              <w:t>100</w:t>
            </w:r>
          </w:p>
        </w:tc>
        <w:tc>
          <w:tcPr>
            <w:tcW w:w="0" w:type="auto"/>
            <w:noWrap w:val="0"/>
            <w:vAlign w:val="center"/>
          </w:tcPr>
          <w:p w14:paraId="4B2DE940">
            <w:pPr>
              <w:jc w:val="center"/>
              <w:rPr>
                <w:color w:val="000000"/>
                <w:szCs w:val="21"/>
              </w:rPr>
            </w:pPr>
            <w:r>
              <w:rPr>
                <w:color w:val="000000"/>
                <w:szCs w:val="21"/>
              </w:rPr>
              <w:t>220</w:t>
            </w:r>
          </w:p>
        </w:tc>
      </w:tr>
      <w:tr w14:paraId="7C16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3E13591">
            <w:pPr>
              <w:jc w:val="center"/>
              <w:rPr>
                <w:color w:val="000000"/>
                <w:szCs w:val="21"/>
              </w:rPr>
            </w:pPr>
            <w:r>
              <w:rPr>
                <w:rFonts w:hint="eastAsia"/>
                <w:color w:val="000000"/>
                <w:szCs w:val="21"/>
              </w:rPr>
              <w:t>0</w:t>
            </w:r>
            <w:r>
              <w:rPr>
                <w:color w:val="000000"/>
                <w:szCs w:val="21"/>
              </w:rPr>
              <w:t>5</w:t>
            </w:r>
          </w:p>
        </w:tc>
        <w:tc>
          <w:tcPr>
            <w:tcW w:w="0" w:type="auto"/>
            <w:noWrap w:val="0"/>
            <w:vAlign w:val="center"/>
          </w:tcPr>
          <w:p w14:paraId="19FAA06C">
            <w:pPr>
              <w:jc w:val="center"/>
              <w:rPr>
                <w:rFonts w:ascii="楷体_GB2312" w:eastAsia="楷体_GB2312"/>
                <w:color w:val="000000"/>
                <w:szCs w:val="21"/>
              </w:rPr>
            </w:pPr>
            <w:r>
              <w:rPr>
                <w:rFonts w:hint="eastAsia" w:ascii="楷体_GB2312" w:eastAsia="楷体_GB2312"/>
                <w:color w:val="000000"/>
                <w:szCs w:val="21"/>
              </w:rPr>
              <w:t>西外环</w:t>
            </w:r>
          </w:p>
        </w:tc>
        <w:tc>
          <w:tcPr>
            <w:tcW w:w="0" w:type="auto"/>
            <w:noWrap w:val="0"/>
            <w:vAlign w:val="center"/>
          </w:tcPr>
          <w:p w14:paraId="1FC0D8B5">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4B4B6FF3">
            <w:pPr>
              <w:jc w:val="center"/>
              <w:rPr>
                <w:color w:val="000000"/>
                <w:szCs w:val="21"/>
              </w:rPr>
            </w:pPr>
            <w:r>
              <w:rPr>
                <w:color w:val="000000"/>
                <w:szCs w:val="21"/>
              </w:rPr>
              <w:t>1</w:t>
            </w:r>
          </w:p>
        </w:tc>
        <w:tc>
          <w:tcPr>
            <w:tcW w:w="0" w:type="auto"/>
            <w:noWrap w:val="0"/>
            <w:vAlign w:val="center"/>
          </w:tcPr>
          <w:p w14:paraId="68F839F6">
            <w:pPr>
              <w:jc w:val="center"/>
              <w:rPr>
                <w:color w:val="000000"/>
                <w:szCs w:val="21"/>
              </w:rPr>
            </w:pPr>
            <w:r>
              <w:rPr>
                <w:color w:val="000000"/>
                <w:szCs w:val="21"/>
              </w:rPr>
              <w:t>1</w:t>
            </w:r>
          </w:p>
        </w:tc>
        <w:tc>
          <w:tcPr>
            <w:tcW w:w="0" w:type="auto"/>
            <w:noWrap w:val="0"/>
            <w:vAlign w:val="center"/>
          </w:tcPr>
          <w:p w14:paraId="3FECBD88">
            <w:pPr>
              <w:jc w:val="center"/>
              <w:rPr>
                <w:color w:val="000000"/>
                <w:szCs w:val="21"/>
              </w:rPr>
            </w:pPr>
            <w:r>
              <w:rPr>
                <w:color w:val="000000"/>
                <w:szCs w:val="21"/>
              </w:rPr>
              <w:t>100</w:t>
            </w:r>
          </w:p>
        </w:tc>
        <w:tc>
          <w:tcPr>
            <w:tcW w:w="0" w:type="auto"/>
            <w:noWrap w:val="0"/>
            <w:vAlign w:val="center"/>
          </w:tcPr>
          <w:p w14:paraId="588F9018">
            <w:pPr>
              <w:jc w:val="center"/>
              <w:rPr>
                <w:color w:val="000000"/>
                <w:szCs w:val="21"/>
              </w:rPr>
            </w:pPr>
            <w:r>
              <w:rPr>
                <w:color w:val="000000"/>
                <w:szCs w:val="21"/>
              </w:rPr>
              <w:t>220</w:t>
            </w:r>
          </w:p>
        </w:tc>
      </w:tr>
      <w:tr w14:paraId="2A18D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5FCA39F">
            <w:pPr>
              <w:jc w:val="center"/>
              <w:rPr>
                <w:color w:val="000000"/>
                <w:szCs w:val="21"/>
              </w:rPr>
            </w:pPr>
            <w:r>
              <w:rPr>
                <w:rFonts w:hint="eastAsia"/>
                <w:color w:val="000000"/>
                <w:szCs w:val="21"/>
              </w:rPr>
              <w:t>0</w:t>
            </w:r>
            <w:r>
              <w:rPr>
                <w:color w:val="000000"/>
                <w:szCs w:val="21"/>
              </w:rPr>
              <w:t>6</w:t>
            </w:r>
          </w:p>
        </w:tc>
        <w:tc>
          <w:tcPr>
            <w:tcW w:w="0" w:type="auto"/>
            <w:noWrap w:val="0"/>
            <w:vAlign w:val="center"/>
          </w:tcPr>
          <w:p w14:paraId="3B8F2DF1">
            <w:pPr>
              <w:jc w:val="center"/>
              <w:rPr>
                <w:rFonts w:ascii="楷体_GB2312" w:eastAsia="楷体_GB2312"/>
                <w:color w:val="000000"/>
                <w:szCs w:val="21"/>
              </w:rPr>
            </w:pPr>
            <w:r>
              <w:rPr>
                <w:rFonts w:hint="eastAsia" w:ascii="楷体_GB2312" w:eastAsia="楷体_GB2312"/>
                <w:color w:val="000000"/>
                <w:szCs w:val="21"/>
              </w:rPr>
              <w:t>政通路</w:t>
            </w:r>
          </w:p>
        </w:tc>
        <w:tc>
          <w:tcPr>
            <w:tcW w:w="0" w:type="auto"/>
            <w:noWrap w:val="0"/>
            <w:vAlign w:val="center"/>
          </w:tcPr>
          <w:p w14:paraId="667C79CD">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1F21474D">
            <w:pPr>
              <w:jc w:val="center"/>
              <w:rPr>
                <w:color w:val="000000"/>
                <w:szCs w:val="21"/>
              </w:rPr>
            </w:pPr>
            <w:r>
              <w:rPr>
                <w:color w:val="000000"/>
                <w:szCs w:val="21"/>
              </w:rPr>
              <w:t>1</w:t>
            </w:r>
          </w:p>
        </w:tc>
        <w:tc>
          <w:tcPr>
            <w:tcW w:w="0" w:type="auto"/>
            <w:noWrap w:val="0"/>
            <w:vAlign w:val="center"/>
          </w:tcPr>
          <w:p w14:paraId="31D0B0A9">
            <w:pPr>
              <w:jc w:val="center"/>
              <w:rPr>
                <w:color w:val="000000"/>
                <w:szCs w:val="21"/>
              </w:rPr>
            </w:pPr>
            <w:r>
              <w:rPr>
                <w:color w:val="000000"/>
                <w:szCs w:val="21"/>
              </w:rPr>
              <w:t>1</w:t>
            </w:r>
          </w:p>
        </w:tc>
        <w:tc>
          <w:tcPr>
            <w:tcW w:w="0" w:type="auto"/>
            <w:noWrap w:val="0"/>
            <w:vAlign w:val="center"/>
          </w:tcPr>
          <w:p w14:paraId="281A6683">
            <w:pPr>
              <w:jc w:val="center"/>
              <w:rPr>
                <w:color w:val="000000"/>
                <w:szCs w:val="21"/>
              </w:rPr>
            </w:pPr>
            <w:r>
              <w:rPr>
                <w:color w:val="000000"/>
                <w:szCs w:val="21"/>
              </w:rPr>
              <w:t>100</w:t>
            </w:r>
          </w:p>
        </w:tc>
        <w:tc>
          <w:tcPr>
            <w:tcW w:w="0" w:type="auto"/>
            <w:noWrap w:val="0"/>
            <w:vAlign w:val="center"/>
          </w:tcPr>
          <w:p w14:paraId="684FD5D3">
            <w:pPr>
              <w:jc w:val="center"/>
              <w:rPr>
                <w:color w:val="000000"/>
                <w:szCs w:val="21"/>
              </w:rPr>
            </w:pPr>
            <w:r>
              <w:rPr>
                <w:color w:val="000000"/>
                <w:szCs w:val="21"/>
              </w:rPr>
              <w:t>220</w:t>
            </w:r>
          </w:p>
        </w:tc>
      </w:tr>
      <w:tr w14:paraId="1C4E1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612B476">
            <w:pPr>
              <w:jc w:val="center"/>
              <w:rPr>
                <w:color w:val="000000"/>
                <w:szCs w:val="21"/>
              </w:rPr>
            </w:pPr>
            <w:r>
              <w:rPr>
                <w:rFonts w:hint="eastAsia"/>
                <w:color w:val="000000"/>
                <w:szCs w:val="21"/>
              </w:rPr>
              <w:t>0</w:t>
            </w:r>
            <w:r>
              <w:rPr>
                <w:color w:val="000000"/>
                <w:szCs w:val="21"/>
              </w:rPr>
              <w:t>7</w:t>
            </w:r>
          </w:p>
        </w:tc>
        <w:tc>
          <w:tcPr>
            <w:tcW w:w="0" w:type="auto"/>
            <w:noWrap w:val="0"/>
            <w:vAlign w:val="center"/>
          </w:tcPr>
          <w:p w14:paraId="3E9B7256">
            <w:pPr>
              <w:jc w:val="center"/>
              <w:rPr>
                <w:rFonts w:ascii="楷体_GB2312" w:eastAsia="楷体_GB2312"/>
                <w:color w:val="000000"/>
                <w:szCs w:val="21"/>
              </w:rPr>
            </w:pPr>
            <w:r>
              <w:rPr>
                <w:rFonts w:hint="eastAsia" w:ascii="楷体_GB2312" w:eastAsia="楷体_GB2312"/>
                <w:color w:val="000000"/>
                <w:szCs w:val="21"/>
              </w:rPr>
              <w:t>褚源路</w:t>
            </w:r>
          </w:p>
        </w:tc>
        <w:tc>
          <w:tcPr>
            <w:tcW w:w="0" w:type="auto"/>
            <w:noWrap w:val="0"/>
            <w:vAlign w:val="center"/>
          </w:tcPr>
          <w:p w14:paraId="3898D5AA">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48228513">
            <w:pPr>
              <w:jc w:val="center"/>
              <w:rPr>
                <w:color w:val="000000"/>
                <w:szCs w:val="21"/>
              </w:rPr>
            </w:pPr>
            <w:r>
              <w:rPr>
                <w:color w:val="000000"/>
                <w:szCs w:val="21"/>
              </w:rPr>
              <w:t>1</w:t>
            </w:r>
          </w:p>
        </w:tc>
        <w:tc>
          <w:tcPr>
            <w:tcW w:w="0" w:type="auto"/>
            <w:noWrap w:val="0"/>
            <w:vAlign w:val="center"/>
          </w:tcPr>
          <w:p w14:paraId="30E1EFDB">
            <w:pPr>
              <w:jc w:val="center"/>
              <w:rPr>
                <w:color w:val="000000"/>
                <w:szCs w:val="21"/>
              </w:rPr>
            </w:pPr>
            <w:r>
              <w:rPr>
                <w:color w:val="000000"/>
                <w:szCs w:val="21"/>
              </w:rPr>
              <w:t>1</w:t>
            </w:r>
          </w:p>
        </w:tc>
        <w:tc>
          <w:tcPr>
            <w:tcW w:w="0" w:type="auto"/>
            <w:noWrap w:val="0"/>
            <w:vAlign w:val="center"/>
          </w:tcPr>
          <w:p w14:paraId="1BBAA9FF">
            <w:pPr>
              <w:jc w:val="center"/>
              <w:rPr>
                <w:color w:val="000000"/>
                <w:szCs w:val="21"/>
              </w:rPr>
            </w:pPr>
            <w:r>
              <w:rPr>
                <w:color w:val="000000"/>
                <w:szCs w:val="21"/>
              </w:rPr>
              <w:t>100</w:t>
            </w:r>
          </w:p>
        </w:tc>
        <w:tc>
          <w:tcPr>
            <w:tcW w:w="0" w:type="auto"/>
            <w:noWrap w:val="0"/>
            <w:vAlign w:val="center"/>
          </w:tcPr>
          <w:p w14:paraId="57AA081F">
            <w:pPr>
              <w:jc w:val="center"/>
              <w:rPr>
                <w:color w:val="000000"/>
                <w:szCs w:val="21"/>
              </w:rPr>
            </w:pPr>
            <w:r>
              <w:rPr>
                <w:color w:val="000000"/>
                <w:szCs w:val="21"/>
              </w:rPr>
              <w:t>220</w:t>
            </w:r>
          </w:p>
        </w:tc>
      </w:tr>
      <w:tr w14:paraId="0153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751BAD2">
            <w:pPr>
              <w:jc w:val="center"/>
              <w:rPr>
                <w:color w:val="000000"/>
                <w:szCs w:val="21"/>
              </w:rPr>
            </w:pPr>
            <w:r>
              <w:rPr>
                <w:rFonts w:hint="eastAsia"/>
                <w:color w:val="000000"/>
                <w:szCs w:val="21"/>
              </w:rPr>
              <w:t>0</w:t>
            </w:r>
            <w:r>
              <w:rPr>
                <w:color w:val="000000"/>
                <w:szCs w:val="21"/>
              </w:rPr>
              <w:t>8</w:t>
            </w:r>
          </w:p>
        </w:tc>
        <w:tc>
          <w:tcPr>
            <w:tcW w:w="0" w:type="auto"/>
            <w:noWrap w:val="0"/>
            <w:vAlign w:val="center"/>
          </w:tcPr>
          <w:p w14:paraId="4AF5215A">
            <w:pPr>
              <w:jc w:val="center"/>
              <w:rPr>
                <w:rFonts w:ascii="楷体_GB2312" w:eastAsia="楷体_GB2312"/>
                <w:color w:val="000000"/>
                <w:szCs w:val="21"/>
              </w:rPr>
            </w:pPr>
            <w:r>
              <w:rPr>
                <w:rFonts w:hint="eastAsia" w:ascii="楷体_GB2312" w:eastAsia="楷体_GB2312"/>
                <w:color w:val="000000"/>
                <w:szCs w:val="21"/>
              </w:rPr>
              <w:t>东外环</w:t>
            </w:r>
          </w:p>
        </w:tc>
        <w:tc>
          <w:tcPr>
            <w:tcW w:w="0" w:type="auto"/>
            <w:noWrap w:val="0"/>
            <w:vAlign w:val="center"/>
          </w:tcPr>
          <w:p w14:paraId="5A888B39">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4DDBBE69">
            <w:pPr>
              <w:jc w:val="center"/>
              <w:rPr>
                <w:color w:val="000000"/>
                <w:szCs w:val="21"/>
              </w:rPr>
            </w:pPr>
            <w:r>
              <w:rPr>
                <w:color w:val="000000"/>
                <w:szCs w:val="21"/>
              </w:rPr>
              <w:t>1</w:t>
            </w:r>
          </w:p>
        </w:tc>
        <w:tc>
          <w:tcPr>
            <w:tcW w:w="0" w:type="auto"/>
            <w:noWrap w:val="0"/>
            <w:vAlign w:val="center"/>
          </w:tcPr>
          <w:p w14:paraId="211068B8">
            <w:pPr>
              <w:jc w:val="center"/>
              <w:rPr>
                <w:color w:val="000000"/>
                <w:szCs w:val="21"/>
              </w:rPr>
            </w:pPr>
            <w:r>
              <w:rPr>
                <w:color w:val="000000"/>
                <w:szCs w:val="21"/>
              </w:rPr>
              <w:t>1</w:t>
            </w:r>
          </w:p>
        </w:tc>
        <w:tc>
          <w:tcPr>
            <w:tcW w:w="0" w:type="auto"/>
            <w:noWrap w:val="0"/>
            <w:vAlign w:val="center"/>
          </w:tcPr>
          <w:p w14:paraId="757EA5C8">
            <w:pPr>
              <w:jc w:val="center"/>
              <w:rPr>
                <w:color w:val="000000"/>
                <w:szCs w:val="21"/>
              </w:rPr>
            </w:pPr>
            <w:r>
              <w:rPr>
                <w:color w:val="000000"/>
                <w:szCs w:val="21"/>
              </w:rPr>
              <w:t>100</w:t>
            </w:r>
          </w:p>
        </w:tc>
        <w:tc>
          <w:tcPr>
            <w:tcW w:w="0" w:type="auto"/>
            <w:noWrap w:val="0"/>
            <w:vAlign w:val="center"/>
          </w:tcPr>
          <w:p w14:paraId="0FEA2E65">
            <w:pPr>
              <w:jc w:val="center"/>
              <w:rPr>
                <w:color w:val="000000"/>
                <w:szCs w:val="21"/>
              </w:rPr>
            </w:pPr>
            <w:r>
              <w:rPr>
                <w:color w:val="000000"/>
                <w:szCs w:val="21"/>
              </w:rPr>
              <w:t>220</w:t>
            </w:r>
          </w:p>
        </w:tc>
      </w:tr>
      <w:tr w14:paraId="2C96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26070EB">
            <w:pPr>
              <w:jc w:val="center"/>
              <w:rPr>
                <w:color w:val="000000"/>
                <w:szCs w:val="21"/>
              </w:rPr>
            </w:pPr>
            <w:r>
              <w:rPr>
                <w:rFonts w:hint="eastAsia"/>
                <w:color w:val="000000"/>
                <w:szCs w:val="21"/>
              </w:rPr>
              <w:t>0</w:t>
            </w:r>
            <w:r>
              <w:rPr>
                <w:color w:val="000000"/>
                <w:szCs w:val="21"/>
              </w:rPr>
              <w:t>9</w:t>
            </w:r>
          </w:p>
        </w:tc>
        <w:tc>
          <w:tcPr>
            <w:tcW w:w="0" w:type="auto"/>
            <w:noWrap w:val="0"/>
            <w:vAlign w:val="center"/>
          </w:tcPr>
          <w:p w14:paraId="2425C1BA">
            <w:pPr>
              <w:jc w:val="center"/>
              <w:rPr>
                <w:rFonts w:ascii="楷体_GB2312" w:eastAsia="楷体_GB2312"/>
                <w:color w:val="000000"/>
                <w:szCs w:val="21"/>
              </w:rPr>
            </w:pPr>
            <w:r>
              <w:rPr>
                <w:rFonts w:hint="eastAsia" w:ascii="楷体_GB2312" w:eastAsia="楷体_GB2312"/>
                <w:color w:val="000000"/>
                <w:szCs w:val="21"/>
              </w:rPr>
              <w:t>金荣路</w:t>
            </w:r>
          </w:p>
        </w:tc>
        <w:tc>
          <w:tcPr>
            <w:tcW w:w="0" w:type="auto"/>
            <w:noWrap w:val="0"/>
            <w:vAlign w:val="center"/>
          </w:tcPr>
          <w:p w14:paraId="4DF0C889">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76601956">
            <w:pPr>
              <w:jc w:val="center"/>
              <w:rPr>
                <w:color w:val="000000"/>
                <w:szCs w:val="21"/>
              </w:rPr>
            </w:pPr>
            <w:r>
              <w:rPr>
                <w:color w:val="000000"/>
                <w:szCs w:val="21"/>
              </w:rPr>
              <w:t>0.7</w:t>
            </w:r>
          </w:p>
        </w:tc>
        <w:tc>
          <w:tcPr>
            <w:tcW w:w="0" w:type="auto"/>
            <w:noWrap w:val="0"/>
            <w:vAlign w:val="center"/>
          </w:tcPr>
          <w:p w14:paraId="7AC3BFD6">
            <w:pPr>
              <w:jc w:val="center"/>
              <w:rPr>
                <w:color w:val="000000"/>
                <w:szCs w:val="21"/>
              </w:rPr>
            </w:pPr>
            <w:r>
              <w:rPr>
                <w:color w:val="000000"/>
                <w:szCs w:val="21"/>
              </w:rPr>
              <w:t>2</w:t>
            </w:r>
          </w:p>
        </w:tc>
        <w:tc>
          <w:tcPr>
            <w:tcW w:w="0" w:type="auto"/>
            <w:noWrap w:val="0"/>
            <w:vAlign w:val="center"/>
          </w:tcPr>
          <w:p w14:paraId="2A4C3D35">
            <w:pPr>
              <w:jc w:val="center"/>
              <w:rPr>
                <w:color w:val="000000"/>
                <w:szCs w:val="21"/>
              </w:rPr>
            </w:pPr>
            <w:r>
              <w:rPr>
                <w:color w:val="000000"/>
                <w:szCs w:val="21"/>
              </w:rPr>
              <w:t>70</w:t>
            </w:r>
          </w:p>
        </w:tc>
        <w:tc>
          <w:tcPr>
            <w:tcW w:w="0" w:type="auto"/>
            <w:noWrap w:val="0"/>
            <w:vAlign w:val="center"/>
          </w:tcPr>
          <w:p w14:paraId="240293B2">
            <w:pPr>
              <w:jc w:val="center"/>
              <w:rPr>
                <w:color w:val="000000"/>
                <w:szCs w:val="21"/>
              </w:rPr>
            </w:pPr>
            <w:r>
              <w:rPr>
                <w:color w:val="000000"/>
                <w:szCs w:val="21"/>
              </w:rPr>
              <w:t>180</w:t>
            </w:r>
          </w:p>
        </w:tc>
      </w:tr>
      <w:tr w14:paraId="1A061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2F94F95">
            <w:pPr>
              <w:jc w:val="center"/>
              <w:rPr>
                <w:color w:val="000000"/>
                <w:szCs w:val="21"/>
              </w:rPr>
            </w:pPr>
            <w:r>
              <w:rPr>
                <w:color w:val="000000"/>
                <w:szCs w:val="21"/>
              </w:rPr>
              <w:t>10</w:t>
            </w:r>
          </w:p>
        </w:tc>
        <w:tc>
          <w:tcPr>
            <w:tcW w:w="0" w:type="auto"/>
            <w:noWrap w:val="0"/>
            <w:vAlign w:val="center"/>
          </w:tcPr>
          <w:p w14:paraId="4374D60A">
            <w:pPr>
              <w:jc w:val="center"/>
              <w:rPr>
                <w:rFonts w:ascii="楷体_GB2312" w:eastAsia="楷体_GB2312"/>
                <w:color w:val="000000"/>
                <w:szCs w:val="21"/>
              </w:rPr>
            </w:pPr>
            <w:r>
              <w:rPr>
                <w:rFonts w:hint="eastAsia" w:ascii="楷体_GB2312" w:eastAsia="楷体_GB2312"/>
                <w:color w:val="000000"/>
                <w:szCs w:val="21"/>
              </w:rPr>
              <w:t>中心街市</w:t>
            </w:r>
          </w:p>
        </w:tc>
        <w:tc>
          <w:tcPr>
            <w:tcW w:w="0" w:type="auto"/>
            <w:noWrap w:val="0"/>
            <w:vAlign w:val="center"/>
          </w:tcPr>
          <w:p w14:paraId="2C66A87B">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3DF736C3">
            <w:pPr>
              <w:jc w:val="center"/>
              <w:rPr>
                <w:color w:val="000000"/>
                <w:szCs w:val="21"/>
              </w:rPr>
            </w:pPr>
            <w:r>
              <w:rPr>
                <w:color w:val="000000"/>
                <w:szCs w:val="21"/>
              </w:rPr>
              <w:t>0.7</w:t>
            </w:r>
          </w:p>
        </w:tc>
        <w:tc>
          <w:tcPr>
            <w:tcW w:w="0" w:type="auto"/>
            <w:noWrap w:val="0"/>
            <w:vAlign w:val="center"/>
          </w:tcPr>
          <w:p w14:paraId="7C3158FE">
            <w:pPr>
              <w:jc w:val="center"/>
              <w:rPr>
                <w:color w:val="000000"/>
                <w:szCs w:val="21"/>
              </w:rPr>
            </w:pPr>
            <w:r>
              <w:rPr>
                <w:color w:val="000000"/>
                <w:szCs w:val="21"/>
              </w:rPr>
              <w:t>2</w:t>
            </w:r>
          </w:p>
        </w:tc>
        <w:tc>
          <w:tcPr>
            <w:tcW w:w="0" w:type="auto"/>
            <w:noWrap w:val="0"/>
            <w:vAlign w:val="center"/>
          </w:tcPr>
          <w:p w14:paraId="6CBF5CB8">
            <w:pPr>
              <w:jc w:val="center"/>
              <w:rPr>
                <w:color w:val="000000"/>
                <w:szCs w:val="21"/>
              </w:rPr>
            </w:pPr>
            <w:r>
              <w:rPr>
                <w:color w:val="000000"/>
                <w:szCs w:val="21"/>
              </w:rPr>
              <w:t>70</w:t>
            </w:r>
          </w:p>
        </w:tc>
        <w:tc>
          <w:tcPr>
            <w:tcW w:w="0" w:type="auto"/>
            <w:noWrap w:val="0"/>
            <w:vAlign w:val="center"/>
          </w:tcPr>
          <w:p w14:paraId="628BE743">
            <w:pPr>
              <w:jc w:val="center"/>
              <w:rPr>
                <w:color w:val="000000"/>
                <w:szCs w:val="21"/>
              </w:rPr>
            </w:pPr>
            <w:r>
              <w:rPr>
                <w:color w:val="000000"/>
                <w:szCs w:val="21"/>
              </w:rPr>
              <w:t>180</w:t>
            </w:r>
          </w:p>
        </w:tc>
      </w:tr>
      <w:tr w14:paraId="3DB29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BBDA7F8">
            <w:pPr>
              <w:jc w:val="center"/>
              <w:rPr>
                <w:color w:val="000000"/>
                <w:szCs w:val="21"/>
              </w:rPr>
            </w:pPr>
            <w:r>
              <w:rPr>
                <w:color w:val="000000"/>
                <w:szCs w:val="21"/>
              </w:rPr>
              <w:t>11</w:t>
            </w:r>
          </w:p>
        </w:tc>
        <w:tc>
          <w:tcPr>
            <w:tcW w:w="0" w:type="auto"/>
            <w:noWrap w:val="0"/>
            <w:vAlign w:val="center"/>
          </w:tcPr>
          <w:p w14:paraId="07ACFBBF">
            <w:pPr>
              <w:jc w:val="center"/>
              <w:rPr>
                <w:rFonts w:ascii="楷体_GB2312" w:eastAsia="楷体_GB2312"/>
                <w:color w:val="000000"/>
                <w:szCs w:val="21"/>
              </w:rPr>
            </w:pPr>
            <w:r>
              <w:rPr>
                <w:rFonts w:hint="eastAsia" w:ascii="楷体_GB2312" w:eastAsia="楷体_GB2312"/>
                <w:color w:val="000000"/>
                <w:szCs w:val="21"/>
              </w:rPr>
              <w:t>腾飞路</w:t>
            </w:r>
          </w:p>
        </w:tc>
        <w:tc>
          <w:tcPr>
            <w:tcW w:w="0" w:type="auto"/>
            <w:noWrap w:val="0"/>
            <w:vAlign w:val="center"/>
          </w:tcPr>
          <w:p w14:paraId="7FAC8C98">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7F794F9D">
            <w:pPr>
              <w:jc w:val="center"/>
              <w:rPr>
                <w:color w:val="000000"/>
                <w:szCs w:val="21"/>
              </w:rPr>
            </w:pPr>
            <w:r>
              <w:rPr>
                <w:color w:val="000000"/>
                <w:szCs w:val="21"/>
              </w:rPr>
              <w:t>0.7</w:t>
            </w:r>
          </w:p>
        </w:tc>
        <w:tc>
          <w:tcPr>
            <w:tcW w:w="0" w:type="auto"/>
            <w:noWrap w:val="0"/>
            <w:vAlign w:val="center"/>
          </w:tcPr>
          <w:p w14:paraId="6A35A7C9">
            <w:pPr>
              <w:jc w:val="center"/>
              <w:rPr>
                <w:color w:val="000000"/>
                <w:szCs w:val="21"/>
              </w:rPr>
            </w:pPr>
            <w:r>
              <w:rPr>
                <w:color w:val="000000"/>
                <w:szCs w:val="21"/>
              </w:rPr>
              <w:t>2</w:t>
            </w:r>
          </w:p>
        </w:tc>
        <w:tc>
          <w:tcPr>
            <w:tcW w:w="0" w:type="auto"/>
            <w:noWrap w:val="0"/>
            <w:vAlign w:val="center"/>
          </w:tcPr>
          <w:p w14:paraId="61953264">
            <w:pPr>
              <w:jc w:val="center"/>
              <w:rPr>
                <w:color w:val="000000"/>
                <w:szCs w:val="21"/>
              </w:rPr>
            </w:pPr>
            <w:r>
              <w:rPr>
                <w:color w:val="000000"/>
                <w:szCs w:val="21"/>
              </w:rPr>
              <w:t>70</w:t>
            </w:r>
          </w:p>
        </w:tc>
        <w:tc>
          <w:tcPr>
            <w:tcW w:w="0" w:type="auto"/>
            <w:noWrap w:val="0"/>
            <w:vAlign w:val="center"/>
          </w:tcPr>
          <w:p w14:paraId="119E066B">
            <w:pPr>
              <w:jc w:val="center"/>
              <w:rPr>
                <w:color w:val="000000"/>
                <w:szCs w:val="21"/>
              </w:rPr>
            </w:pPr>
            <w:r>
              <w:rPr>
                <w:color w:val="000000"/>
                <w:szCs w:val="21"/>
              </w:rPr>
              <w:t>180</w:t>
            </w:r>
          </w:p>
        </w:tc>
      </w:tr>
      <w:tr w14:paraId="21F4C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39FB0C9">
            <w:pPr>
              <w:jc w:val="center"/>
              <w:rPr>
                <w:color w:val="000000"/>
                <w:szCs w:val="21"/>
              </w:rPr>
            </w:pPr>
            <w:r>
              <w:rPr>
                <w:color w:val="000000"/>
                <w:szCs w:val="21"/>
              </w:rPr>
              <w:t>12</w:t>
            </w:r>
          </w:p>
        </w:tc>
        <w:tc>
          <w:tcPr>
            <w:tcW w:w="0" w:type="auto"/>
            <w:noWrap w:val="0"/>
            <w:vAlign w:val="center"/>
          </w:tcPr>
          <w:p w14:paraId="755D5933">
            <w:pPr>
              <w:jc w:val="center"/>
              <w:rPr>
                <w:rFonts w:ascii="楷体_GB2312" w:eastAsia="楷体_GB2312"/>
                <w:color w:val="000000"/>
                <w:szCs w:val="21"/>
              </w:rPr>
            </w:pPr>
            <w:r>
              <w:rPr>
                <w:rFonts w:hint="eastAsia" w:ascii="楷体_GB2312" w:eastAsia="楷体_GB2312"/>
                <w:color w:val="000000"/>
                <w:szCs w:val="21"/>
              </w:rPr>
              <w:t>顺成路</w:t>
            </w:r>
          </w:p>
        </w:tc>
        <w:tc>
          <w:tcPr>
            <w:tcW w:w="0" w:type="auto"/>
            <w:noWrap w:val="0"/>
            <w:vAlign w:val="center"/>
          </w:tcPr>
          <w:p w14:paraId="3B470FFF">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32E0E0DB">
            <w:pPr>
              <w:jc w:val="center"/>
              <w:rPr>
                <w:color w:val="000000"/>
                <w:szCs w:val="21"/>
              </w:rPr>
            </w:pPr>
            <w:r>
              <w:rPr>
                <w:color w:val="000000"/>
                <w:szCs w:val="21"/>
              </w:rPr>
              <w:t>0.7</w:t>
            </w:r>
          </w:p>
        </w:tc>
        <w:tc>
          <w:tcPr>
            <w:tcW w:w="0" w:type="auto"/>
            <w:noWrap w:val="0"/>
            <w:vAlign w:val="center"/>
          </w:tcPr>
          <w:p w14:paraId="2B1BF8E9">
            <w:pPr>
              <w:jc w:val="center"/>
              <w:rPr>
                <w:color w:val="000000"/>
                <w:szCs w:val="21"/>
              </w:rPr>
            </w:pPr>
            <w:r>
              <w:rPr>
                <w:color w:val="000000"/>
                <w:szCs w:val="21"/>
              </w:rPr>
              <w:t>2</w:t>
            </w:r>
          </w:p>
        </w:tc>
        <w:tc>
          <w:tcPr>
            <w:tcW w:w="0" w:type="auto"/>
            <w:noWrap w:val="0"/>
            <w:vAlign w:val="center"/>
          </w:tcPr>
          <w:p w14:paraId="7AACBB7D">
            <w:pPr>
              <w:jc w:val="center"/>
              <w:rPr>
                <w:color w:val="000000"/>
                <w:szCs w:val="21"/>
              </w:rPr>
            </w:pPr>
            <w:r>
              <w:rPr>
                <w:color w:val="000000"/>
                <w:szCs w:val="21"/>
              </w:rPr>
              <w:t>70</w:t>
            </w:r>
          </w:p>
        </w:tc>
        <w:tc>
          <w:tcPr>
            <w:tcW w:w="0" w:type="auto"/>
            <w:noWrap w:val="0"/>
            <w:vAlign w:val="center"/>
          </w:tcPr>
          <w:p w14:paraId="4A6EBAA0">
            <w:pPr>
              <w:jc w:val="center"/>
              <w:rPr>
                <w:color w:val="000000"/>
                <w:szCs w:val="21"/>
              </w:rPr>
            </w:pPr>
            <w:r>
              <w:rPr>
                <w:color w:val="000000"/>
                <w:szCs w:val="21"/>
              </w:rPr>
              <w:t>180</w:t>
            </w:r>
          </w:p>
        </w:tc>
      </w:tr>
      <w:tr w14:paraId="76F4E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7F86327">
            <w:pPr>
              <w:jc w:val="center"/>
              <w:rPr>
                <w:color w:val="000000"/>
                <w:szCs w:val="21"/>
              </w:rPr>
            </w:pPr>
            <w:r>
              <w:rPr>
                <w:color w:val="000000"/>
                <w:szCs w:val="21"/>
              </w:rPr>
              <w:t>13</w:t>
            </w:r>
          </w:p>
        </w:tc>
        <w:tc>
          <w:tcPr>
            <w:tcW w:w="0" w:type="auto"/>
            <w:noWrap w:val="0"/>
            <w:vAlign w:val="center"/>
          </w:tcPr>
          <w:p w14:paraId="4997E914">
            <w:pPr>
              <w:jc w:val="center"/>
              <w:rPr>
                <w:rFonts w:ascii="楷体_GB2312" w:eastAsia="楷体_GB2312"/>
                <w:color w:val="000000"/>
                <w:szCs w:val="21"/>
              </w:rPr>
            </w:pPr>
            <w:r>
              <w:rPr>
                <w:rFonts w:hint="eastAsia" w:ascii="楷体_GB2312" w:eastAsia="楷体_GB2312"/>
                <w:color w:val="000000"/>
                <w:szCs w:val="21"/>
              </w:rPr>
              <w:t>滨水路</w:t>
            </w:r>
          </w:p>
        </w:tc>
        <w:tc>
          <w:tcPr>
            <w:tcW w:w="0" w:type="auto"/>
            <w:noWrap w:val="0"/>
            <w:vAlign w:val="center"/>
          </w:tcPr>
          <w:p w14:paraId="6EB06A9F">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5F8E4AC2">
            <w:pPr>
              <w:jc w:val="center"/>
              <w:rPr>
                <w:color w:val="000000"/>
                <w:szCs w:val="21"/>
              </w:rPr>
            </w:pPr>
            <w:r>
              <w:rPr>
                <w:color w:val="000000"/>
                <w:szCs w:val="21"/>
              </w:rPr>
              <w:t>0.7</w:t>
            </w:r>
          </w:p>
        </w:tc>
        <w:tc>
          <w:tcPr>
            <w:tcW w:w="0" w:type="auto"/>
            <w:noWrap w:val="0"/>
            <w:vAlign w:val="center"/>
          </w:tcPr>
          <w:p w14:paraId="51CB88C5">
            <w:pPr>
              <w:jc w:val="center"/>
              <w:rPr>
                <w:color w:val="000000"/>
                <w:szCs w:val="21"/>
              </w:rPr>
            </w:pPr>
            <w:r>
              <w:rPr>
                <w:color w:val="000000"/>
                <w:szCs w:val="21"/>
              </w:rPr>
              <w:t>2</w:t>
            </w:r>
          </w:p>
        </w:tc>
        <w:tc>
          <w:tcPr>
            <w:tcW w:w="0" w:type="auto"/>
            <w:noWrap w:val="0"/>
            <w:vAlign w:val="center"/>
          </w:tcPr>
          <w:p w14:paraId="4F937033">
            <w:pPr>
              <w:jc w:val="center"/>
              <w:rPr>
                <w:color w:val="000000"/>
                <w:szCs w:val="21"/>
              </w:rPr>
            </w:pPr>
            <w:r>
              <w:rPr>
                <w:color w:val="000000"/>
                <w:szCs w:val="21"/>
              </w:rPr>
              <w:t>70</w:t>
            </w:r>
          </w:p>
        </w:tc>
        <w:tc>
          <w:tcPr>
            <w:tcW w:w="0" w:type="auto"/>
            <w:noWrap w:val="0"/>
            <w:vAlign w:val="center"/>
          </w:tcPr>
          <w:p w14:paraId="4CB5EA0F">
            <w:pPr>
              <w:jc w:val="center"/>
              <w:rPr>
                <w:color w:val="000000"/>
                <w:szCs w:val="21"/>
              </w:rPr>
            </w:pPr>
            <w:r>
              <w:rPr>
                <w:color w:val="000000"/>
                <w:szCs w:val="21"/>
              </w:rPr>
              <w:t>180</w:t>
            </w:r>
          </w:p>
        </w:tc>
      </w:tr>
      <w:tr w14:paraId="77A8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965EC09">
            <w:pPr>
              <w:jc w:val="center"/>
              <w:rPr>
                <w:color w:val="000000"/>
                <w:szCs w:val="21"/>
              </w:rPr>
            </w:pPr>
            <w:r>
              <w:rPr>
                <w:color w:val="000000"/>
                <w:szCs w:val="21"/>
              </w:rPr>
              <w:t>14</w:t>
            </w:r>
          </w:p>
        </w:tc>
        <w:tc>
          <w:tcPr>
            <w:tcW w:w="0" w:type="auto"/>
            <w:noWrap w:val="0"/>
            <w:vAlign w:val="center"/>
          </w:tcPr>
          <w:p w14:paraId="2F5A6092">
            <w:pPr>
              <w:jc w:val="center"/>
              <w:rPr>
                <w:rFonts w:ascii="楷体_GB2312" w:eastAsia="楷体_GB2312"/>
                <w:color w:val="000000"/>
                <w:szCs w:val="21"/>
              </w:rPr>
            </w:pPr>
            <w:r>
              <w:rPr>
                <w:rFonts w:hint="eastAsia" w:ascii="楷体_GB2312" w:eastAsia="楷体_GB2312"/>
                <w:color w:val="000000"/>
                <w:szCs w:val="21"/>
              </w:rPr>
              <w:t>畅购路</w:t>
            </w:r>
          </w:p>
        </w:tc>
        <w:tc>
          <w:tcPr>
            <w:tcW w:w="0" w:type="auto"/>
            <w:noWrap w:val="0"/>
            <w:vAlign w:val="center"/>
          </w:tcPr>
          <w:p w14:paraId="1B6A0762">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23B0ED2D">
            <w:pPr>
              <w:jc w:val="center"/>
              <w:rPr>
                <w:color w:val="000000"/>
                <w:szCs w:val="21"/>
              </w:rPr>
            </w:pPr>
            <w:r>
              <w:rPr>
                <w:color w:val="000000"/>
                <w:szCs w:val="21"/>
              </w:rPr>
              <w:t>0.7</w:t>
            </w:r>
          </w:p>
        </w:tc>
        <w:tc>
          <w:tcPr>
            <w:tcW w:w="0" w:type="auto"/>
            <w:noWrap w:val="0"/>
            <w:vAlign w:val="center"/>
          </w:tcPr>
          <w:p w14:paraId="1B12B67D">
            <w:pPr>
              <w:jc w:val="center"/>
              <w:rPr>
                <w:color w:val="000000"/>
                <w:szCs w:val="21"/>
              </w:rPr>
            </w:pPr>
            <w:r>
              <w:rPr>
                <w:color w:val="000000"/>
                <w:szCs w:val="21"/>
              </w:rPr>
              <w:t>2</w:t>
            </w:r>
          </w:p>
        </w:tc>
        <w:tc>
          <w:tcPr>
            <w:tcW w:w="0" w:type="auto"/>
            <w:noWrap w:val="0"/>
            <w:vAlign w:val="center"/>
          </w:tcPr>
          <w:p w14:paraId="10A91E66">
            <w:pPr>
              <w:jc w:val="center"/>
              <w:rPr>
                <w:color w:val="000000"/>
                <w:szCs w:val="21"/>
              </w:rPr>
            </w:pPr>
            <w:r>
              <w:rPr>
                <w:color w:val="000000"/>
                <w:szCs w:val="21"/>
              </w:rPr>
              <w:t>70</w:t>
            </w:r>
          </w:p>
        </w:tc>
        <w:tc>
          <w:tcPr>
            <w:tcW w:w="0" w:type="auto"/>
            <w:noWrap w:val="0"/>
            <w:vAlign w:val="center"/>
          </w:tcPr>
          <w:p w14:paraId="1F419580">
            <w:pPr>
              <w:jc w:val="center"/>
              <w:rPr>
                <w:color w:val="000000"/>
                <w:szCs w:val="21"/>
              </w:rPr>
            </w:pPr>
            <w:r>
              <w:rPr>
                <w:color w:val="000000"/>
                <w:szCs w:val="21"/>
              </w:rPr>
              <w:t>180</w:t>
            </w:r>
          </w:p>
        </w:tc>
      </w:tr>
      <w:tr w14:paraId="187BA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1FACE89">
            <w:pPr>
              <w:jc w:val="center"/>
              <w:rPr>
                <w:color w:val="000000"/>
                <w:szCs w:val="21"/>
              </w:rPr>
            </w:pPr>
            <w:r>
              <w:rPr>
                <w:color w:val="000000"/>
                <w:szCs w:val="21"/>
              </w:rPr>
              <w:t>15</w:t>
            </w:r>
          </w:p>
        </w:tc>
        <w:tc>
          <w:tcPr>
            <w:tcW w:w="0" w:type="auto"/>
            <w:noWrap w:val="0"/>
            <w:vAlign w:val="center"/>
          </w:tcPr>
          <w:p w14:paraId="6A5589E5">
            <w:pPr>
              <w:jc w:val="center"/>
              <w:rPr>
                <w:rFonts w:ascii="楷体_GB2312" w:eastAsia="楷体_GB2312"/>
                <w:color w:val="000000"/>
                <w:szCs w:val="21"/>
              </w:rPr>
            </w:pPr>
            <w:r>
              <w:rPr>
                <w:rFonts w:hint="eastAsia" w:ascii="楷体_GB2312" w:eastAsia="楷体_GB2312"/>
                <w:color w:val="000000"/>
                <w:szCs w:val="21"/>
              </w:rPr>
              <w:t>格致路</w:t>
            </w:r>
          </w:p>
        </w:tc>
        <w:tc>
          <w:tcPr>
            <w:tcW w:w="0" w:type="auto"/>
            <w:noWrap w:val="0"/>
            <w:vAlign w:val="center"/>
          </w:tcPr>
          <w:p w14:paraId="0532447E">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44998BCB">
            <w:pPr>
              <w:jc w:val="center"/>
              <w:rPr>
                <w:color w:val="000000"/>
                <w:szCs w:val="21"/>
              </w:rPr>
            </w:pPr>
            <w:r>
              <w:rPr>
                <w:color w:val="000000"/>
                <w:szCs w:val="21"/>
              </w:rPr>
              <w:t>0.7</w:t>
            </w:r>
          </w:p>
        </w:tc>
        <w:tc>
          <w:tcPr>
            <w:tcW w:w="0" w:type="auto"/>
            <w:noWrap w:val="0"/>
            <w:vAlign w:val="center"/>
          </w:tcPr>
          <w:p w14:paraId="5728674D">
            <w:pPr>
              <w:jc w:val="center"/>
              <w:rPr>
                <w:color w:val="000000"/>
                <w:szCs w:val="21"/>
              </w:rPr>
            </w:pPr>
            <w:r>
              <w:rPr>
                <w:color w:val="000000"/>
                <w:szCs w:val="21"/>
              </w:rPr>
              <w:t>2</w:t>
            </w:r>
          </w:p>
        </w:tc>
        <w:tc>
          <w:tcPr>
            <w:tcW w:w="0" w:type="auto"/>
            <w:noWrap w:val="0"/>
            <w:vAlign w:val="center"/>
          </w:tcPr>
          <w:p w14:paraId="74B2DB79">
            <w:pPr>
              <w:jc w:val="center"/>
              <w:rPr>
                <w:color w:val="000000"/>
                <w:szCs w:val="21"/>
              </w:rPr>
            </w:pPr>
            <w:r>
              <w:rPr>
                <w:color w:val="000000"/>
                <w:szCs w:val="21"/>
              </w:rPr>
              <w:t>70</w:t>
            </w:r>
          </w:p>
        </w:tc>
        <w:tc>
          <w:tcPr>
            <w:tcW w:w="0" w:type="auto"/>
            <w:noWrap w:val="0"/>
            <w:vAlign w:val="center"/>
          </w:tcPr>
          <w:p w14:paraId="50CCC0C7">
            <w:pPr>
              <w:jc w:val="center"/>
              <w:rPr>
                <w:color w:val="000000"/>
                <w:szCs w:val="21"/>
              </w:rPr>
            </w:pPr>
            <w:r>
              <w:rPr>
                <w:color w:val="000000"/>
                <w:szCs w:val="21"/>
              </w:rPr>
              <w:t>180</w:t>
            </w:r>
          </w:p>
        </w:tc>
      </w:tr>
      <w:tr w14:paraId="68A5E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6A15791">
            <w:pPr>
              <w:jc w:val="center"/>
              <w:rPr>
                <w:color w:val="000000"/>
                <w:szCs w:val="21"/>
              </w:rPr>
            </w:pPr>
            <w:r>
              <w:rPr>
                <w:color w:val="000000"/>
                <w:szCs w:val="21"/>
              </w:rPr>
              <w:t>16</w:t>
            </w:r>
          </w:p>
        </w:tc>
        <w:tc>
          <w:tcPr>
            <w:tcW w:w="0" w:type="auto"/>
            <w:noWrap w:val="0"/>
            <w:vAlign w:val="center"/>
          </w:tcPr>
          <w:p w14:paraId="176EA9FA">
            <w:pPr>
              <w:jc w:val="center"/>
              <w:rPr>
                <w:rFonts w:ascii="楷体_GB2312" w:eastAsia="楷体_GB2312"/>
                <w:color w:val="000000"/>
                <w:szCs w:val="21"/>
              </w:rPr>
            </w:pPr>
            <w:r>
              <w:rPr>
                <w:rFonts w:hint="eastAsia" w:ascii="楷体_GB2312" w:eastAsia="楷体_GB2312"/>
                <w:color w:val="000000"/>
                <w:szCs w:val="21"/>
              </w:rPr>
              <w:t>康安路</w:t>
            </w:r>
          </w:p>
        </w:tc>
        <w:tc>
          <w:tcPr>
            <w:tcW w:w="0" w:type="auto"/>
            <w:noWrap w:val="0"/>
            <w:vAlign w:val="center"/>
          </w:tcPr>
          <w:p w14:paraId="4942AC4E">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634C4A61">
            <w:pPr>
              <w:jc w:val="center"/>
              <w:rPr>
                <w:color w:val="000000"/>
                <w:szCs w:val="21"/>
              </w:rPr>
            </w:pPr>
            <w:r>
              <w:rPr>
                <w:color w:val="000000"/>
                <w:szCs w:val="21"/>
              </w:rPr>
              <w:t>0.7</w:t>
            </w:r>
          </w:p>
        </w:tc>
        <w:tc>
          <w:tcPr>
            <w:tcW w:w="0" w:type="auto"/>
            <w:noWrap w:val="0"/>
            <w:vAlign w:val="center"/>
          </w:tcPr>
          <w:p w14:paraId="571A63CA">
            <w:pPr>
              <w:jc w:val="center"/>
              <w:rPr>
                <w:color w:val="000000"/>
                <w:szCs w:val="21"/>
              </w:rPr>
            </w:pPr>
            <w:r>
              <w:rPr>
                <w:color w:val="000000"/>
                <w:szCs w:val="21"/>
              </w:rPr>
              <w:t>2</w:t>
            </w:r>
          </w:p>
        </w:tc>
        <w:tc>
          <w:tcPr>
            <w:tcW w:w="0" w:type="auto"/>
            <w:noWrap w:val="0"/>
            <w:vAlign w:val="center"/>
          </w:tcPr>
          <w:p w14:paraId="41241AEE">
            <w:pPr>
              <w:jc w:val="center"/>
              <w:rPr>
                <w:color w:val="000000"/>
                <w:szCs w:val="21"/>
              </w:rPr>
            </w:pPr>
            <w:r>
              <w:rPr>
                <w:color w:val="000000"/>
                <w:szCs w:val="21"/>
              </w:rPr>
              <w:t>70</w:t>
            </w:r>
          </w:p>
        </w:tc>
        <w:tc>
          <w:tcPr>
            <w:tcW w:w="0" w:type="auto"/>
            <w:noWrap w:val="0"/>
            <w:vAlign w:val="center"/>
          </w:tcPr>
          <w:p w14:paraId="102EC433">
            <w:pPr>
              <w:jc w:val="center"/>
              <w:rPr>
                <w:color w:val="000000"/>
                <w:szCs w:val="21"/>
              </w:rPr>
            </w:pPr>
            <w:r>
              <w:rPr>
                <w:color w:val="000000"/>
                <w:szCs w:val="21"/>
              </w:rPr>
              <w:t>180</w:t>
            </w:r>
          </w:p>
        </w:tc>
      </w:tr>
      <w:tr w14:paraId="7BCDB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B5E2316">
            <w:pPr>
              <w:jc w:val="center"/>
              <w:rPr>
                <w:color w:val="000000"/>
                <w:szCs w:val="21"/>
              </w:rPr>
            </w:pPr>
            <w:r>
              <w:rPr>
                <w:color w:val="000000"/>
                <w:szCs w:val="21"/>
              </w:rPr>
              <w:t>17</w:t>
            </w:r>
          </w:p>
        </w:tc>
        <w:tc>
          <w:tcPr>
            <w:tcW w:w="0" w:type="auto"/>
            <w:noWrap w:val="0"/>
            <w:vAlign w:val="center"/>
          </w:tcPr>
          <w:p w14:paraId="0CDB14F2">
            <w:pPr>
              <w:jc w:val="center"/>
              <w:rPr>
                <w:rFonts w:ascii="楷体_GB2312" w:eastAsia="楷体_GB2312"/>
                <w:color w:val="000000"/>
                <w:szCs w:val="21"/>
              </w:rPr>
            </w:pPr>
            <w:r>
              <w:rPr>
                <w:rFonts w:hint="eastAsia" w:ascii="楷体_GB2312" w:eastAsia="楷体_GB2312"/>
                <w:color w:val="000000"/>
                <w:szCs w:val="21"/>
              </w:rPr>
              <w:t>新民路</w:t>
            </w:r>
          </w:p>
        </w:tc>
        <w:tc>
          <w:tcPr>
            <w:tcW w:w="0" w:type="auto"/>
            <w:noWrap w:val="0"/>
            <w:vAlign w:val="center"/>
          </w:tcPr>
          <w:p w14:paraId="5A718E1D">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53368981">
            <w:pPr>
              <w:jc w:val="center"/>
              <w:rPr>
                <w:color w:val="000000"/>
                <w:szCs w:val="21"/>
              </w:rPr>
            </w:pPr>
            <w:r>
              <w:rPr>
                <w:color w:val="000000"/>
                <w:szCs w:val="21"/>
              </w:rPr>
              <w:t>0.4</w:t>
            </w:r>
          </w:p>
        </w:tc>
        <w:tc>
          <w:tcPr>
            <w:tcW w:w="0" w:type="auto"/>
            <w:noWrap w:val="0"/>
            <w:vAlign w:val="center"/>
          </w:tcPr>
          <w:p w14:paraId="53EE9F04">
            <w:pPr>
              <w:jc w:val="center"/>
              <w:rPr>
                <w:color w:val="000000"/>
                <w:szCs w:val="21"/>
              </w:rPr>
            </w:pPr>
            <w:r>
              <w:rPr>
                <w:color w:val="000000"/>
                <w:szCs w:val="21"/>
              </w:rPr>
              <w:t>3</w:t>
            </w:r>
          </w:p>
        </w:tc>
        <w:tc>
          <w:tcPr>
            <w:tcW w:w="0" w:type="auto"/>
            <w:noWrap w:val="0"/>
            <w:vAlign w:val="center"/>
          </w:tcPr>
          <w:p w14:paraId="451DEAAA">
            <w:pPr>
              <w:jc w:val="center"/>
              <w:rPr>
                <w:color w:val="000000"/>
                <w:szCs w:val="21"/>
              </w:rPr>
            </w:pPr>
            <w:r>
              <w:rPr>
                <w:color w:val="000000"/>
                <w:szCs w:val="21"/>
              </w:rPr>
              <w:t>40</w:t>
            </w:r>
          </w:p>
        </w:tc>
        <w:tc>
          <w:tcPr>
            <w:tcW w:w="0" w:type="auto"/>
            <w:noWrap w:val="0"/>
            <w:vAlign w:val="center"/>
          </w:tcPr>
          <w:p w14:paraId="200736F0">
            <w:pPr>
              <w:jc w:val="center"/>
              <w:rPr>
                <w:color w:val="000000"/>
                <w:szCs w:val="21"/>
              </w:rPr>
            </w:pPr>
            <w:r>
              <w:rPr>
                <w:color w:val="000000"/>
                <w:szCs w:val="21"/>
              </w:rPr>
              <w:t>150</w:t>
            </w:r>
          </w:p>
        </w:tc>
      </w:tr>
      <w:tr w14:paraId="2FFEB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05357E8">
            <w:pPr>
              <w:jc w:val="center"/>
              <w:rPr>
                <w:color w:val="000000"/>
                <w:szCs w:val="21"/>
              </w:rPr>
            </w:pPr>
            <w:r>
              <w:rPr>
                <w:color w:val="000000"/>
                <w:szCs w:val="21"/>
              </w:rPr>
              <w:t>18</w:t>
            </w:r>
          </w:p>
        </w:tc>
        <w:tc>
          <w:tcPr>
            <w:tcW w:w="0" w:type="auto"/>
            <w:noWrap w:val="0"/>
            <w:vAlign w:val="center"/>
          </w:tcPr>
          <w:p w14:paraId="64AEA66C">
            <w:pPr>
              <w:jc w:val="center"/>
              <w:rPr>
                <w:rFonts w:ascii="楷体_GB2312" w:eastAsia="楷体_GB2312"/>
                <w:color w:val="000000"/>
                <w:szCs w:val="21"/>
              </w:rPr>
            </w:pPr>
            <w:r>
              <w:rPr>
                <w:rFonts w:hint="eastAsia" w:ascii="楷体_GB2312" w:eastAsia="楷体_GB2312"/>
                <w:color w:val="000000"/>
                <w:szCs w:val="21"/>
              </w:rPr>
              <w:t>幸福路</w:t>
            </w:r>
          </w:p>
        </w:tc>
        <w:tc>
          <w:tcPr>
            <w:tcW w:w="0" w:type="auto"/>
            <w:noWrap w:val="0"/>
            <w:vAlign w:val="center"/>
          </w:tcPr>
          <w:p w14:paraId="0FF3749E">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5D4AF57F">
            <w:pPr>
              <w:jc w:val="center"/>
              <w:rPr>
                <w:color w:val="000000"/>
                <w:szCs w:val="21"/>
              </w:rPr>
            </w:pPr>
            <w:r>
              <w:rPr>
                <w:color w:val="000000"/>
                <w:szCs w:val="21"/>
              </w:rPr>
              <w:t>0.4</w:t>
            </w:r>
          </w:p>
        </w:tc>
        <w:tc>
          <w:tcPr>
            <w:tcW w:w="0" w:type="auto"/>
            <w:noWrap w:val="0"/>
            <w:vAlign w:val="center"/>
          </w:tcPr>
          <w:p w14:paraId="25C78744">
            <w:pPr>
              <w:jc w:val="center"/>
              <w:rPr>
                <w:color w:val="000000"/>
                <w:szCs w:val="21"/>
              </w:rPr>
            </w:pPr>
            <w:r>
              <w:rPr>
                <w:color w:val="000000"/>
                <w:szCs w:val="21"/>
              </w:rPr>
              <w:t>3</w:t>
            </w:r>
          </w:p>
        </w:tc>
        <w:tc>
          <w:tcPr>
            <w:tcW w:w="0" w:type="auto"/>
            <w:noWrap w:val="0"/>
            <w:vAlign w:val="center"/>
          </w:tcPr>
          <w:p w14:paraId="705FDA7F">
            <w:pPr>
              <w:jc w:val="center"/>
              <w:rPr>
                <w:color w:val="000000"/>
                <w:szCs w:val="21"/>
              </w:rPr>
            </w:pPr>
            <w:r>
              <w:rPr>
                <w:color w:val="000000"/>
                <w:szCs w:val="21"/>
              </w:rPr>
              <w:t>40</w:t>
            </w:r>
          </w:p>
        </w:tc>
        <w:tc>
          <w:tcPr>
            <w:tcW w:w="0" w:type="auto"/>
            <w:noWrap w:val="0"/>
            <w:vAlign w:val="center"/>
          </w:tcPr>
          <w:p w14:paraId="0313CACA">
            <w:pPr>
              <w:jc w:val="center"/>
              <w:rPr>
                <w:color w:val="000000"/>
                <w:szCs w:val="21"/>
              </w:rPr>
            </w:pPr>
            <w:r>
              <w:rPr>
                <w:color w:val="000000"/>
                <w:szCs w:val="21"/>
              </w:rPr>
              <w:t>150</w:t>
            </w:r>
          </w:p>
        </w:tc>
      </w:tr>
      <w:tr w14:paraId="623B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7CB6F25">
            <w:pPr>
              <w:jc w:val="center"/>
              <w:rPr>
                <w:color w:val="000000"/>
                <w:szCs w:val="21"/>
              </w:rPr>
            </w:pPr>
            <w:r>
              <w:rPr>
                <w:color w:val="000000"/>
                <w:szCs w:val="21"/>
              </w:rPr>
              <w:t>19</w:t>
            </w:r>
          </w:p>
        </w:tc>
        <w:tc>
          <w:tcPr>
            <w:tcW w:w="0" w:type="auto"/>
            <w:noWrap w:val="0"/>
            <w:vAlign w:val="center"/>
          </w:tcPr>
          <w:p w14:paraId="49AE5ADD">
            <w:pPr>
              <w:jc w:val="center"/>
              <w:rPr>
                <w:rFonts w:ascii="楷体_GB2312" w:eastAsia="楷体_GB2312"/>
                <w:color w:val="000000"/>
                <w:szCs w:val="21"/>
              </w:rPr>
            </w:pPr>
            <w:r>
              <w:rPr>
                <w:rFonts w:hint="eastAsia" w:ascii="楷体_GB2312" w:eastAsia="楷体_GB2312"/>
                <w:color w:val="000000"/>
                <w:szCs w:val="21"/>
              </w:rPr>
              <w:t>兴业路</w:t>
            </w:r>
          </w:p>
        </w:tc>
        <w:tc>
          <w:tcPr>
            <w:tcW w:w="0" w:type="auto"/>
            <w:noWrap w:val="0"/>
            <w:vAlign w:val="center"/>
          </w:tcPr>
          <w:p w14:paraId="2C42E296">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518F3F5B">
            <w:pPr>
              <w:jc w:val="center"/>
              <w:rPr>
                <w:color w:val="000000"/>
                <w:szCs w:val="21"/>
              </w:rPr>
            </w:pPr>
            <w:r>
              <w:rPr>
                <w:color w:val="000000"/>
                <w:szCs w:val="21"/>
              </w:rPr>
              <w:t>0.4</w:t>
            </w:r>
          </w:p>
        </w:tc>
        <w:tc>
          <w:tcPr>
            <w:tcW w:w="0" w:type="auto"/>
            <w:noWrap w:val="0"/>
            <w:vAlign w:val="center"/>
          </w:tcPr>
          <w:p w14:paraId="24E88BB7">
            <w:pPr>
              <w:jc w:val="center"/>
              <w:rPr>
                <w:color w:val="000000"/>
                <w:szCs w:val="21"/>
              </w:rPr>
            </w:pPr>
            <w:r>
              <w:rPr>
                <w:color w:val="000000"/>
                <w:szCs w:val="21"/>
              </w:rPr>
              <w:t>3</w:t>
            </w:r>
          </w:p>
        </w:tc>
        <w:tc>
          <w:tcPr>
            <w:tcW w:w="0" w:type="auto"/>
            <w:noWrap w:val="0"/>
            <w:vAlign w:val="center"/>
          </w:tcPr>
          <w:p w14:paraId="51B1955C">
            <w:pPr>
              <w:jc w:val="center"/>
              <w:rPr>
                <w:color w:val="000000"/>
                <w:szCs w:val="21"/>
              </w:rPr>
            </w:pPr>
            <w:r>
              <w:rPr>
                <w:color w:val="000000"/>
                <w:szCs w:val="21"/>
              </w:rPr>
              <w:t>40</w:t>
            </w:r>
          </w:p>
        </w:tc>
        <w:tc>
          <w:tcPr>
            <w:tcW w:w="0" w:type="auto"/>
            <w:noWrap w:val="0"/>
            <w:vAlign w:val="center"/>
          </w:tcPr>
          <w:p w14:paraId="0A780C90">
            <w:pPr>
              <w:jc w:val="center"/>
              <w:rPr>
                <w:color w:val="000000"/>
                <w:szCs w:val="21"/>
              </w:rPr>
            </w:pPr>
            <w:r>
              <w:rPr>
                <w:color w:val="000000"/>
                <w:szCs w:val="21"/>
              </w:rPr>
              <w:t>150</w:t>
            </w:r>
          </w:p>
        </w:tc>
      </w:tr>
      <w:tr w14:paraId="0806C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1D58B7B">
            <w:pPr>
              <w:jc w:val="center"/>
              <w:rPr>
                <w:color w:val="000000"/>
                <w:szCs w:val="21"/>
              </w:rPr>
            </w:pPr>
            <w:r>
              <w:rPr>
                <w:color w:val="000000"/>
                <w:szCs w:val="21"/>
              </w:rPr>
              <w:t>20</w:t>
            </w:r>
          </w:p>
        </w:tc>
        <w:tc>
          <w:tcPr>
            <w:tcW w:w="0" w:type="auto"/>
            <w:noWrap w:val="0"/>
            <w:vAlign w:val="center"/>
          </w:tcPr>
          <w:p w14:paraId="745D937D">
            <w:pPr>
              <w:jc w:val="center"/>
              <w:rPr>
                <w:rFonts w:ascii="楷体_GB2312" w:eastAsia="楷体_GB2312"/>
                <w:color w:val="000000"/>
                <w:szCs w:val="21"/>
              </w:rPr>
            </w:pPr>
            <w:r>
              <w:rPr>
                <w:rFonts w:hint="eastAsia" w:ascii="楷体_GB2312" w:eastAsia="楷体_GB2312"/>
                <w:color w:val="000000"/>
                <w:szCs w:val="21"/>
              </w:rPr>
              <w:t>和悦路</w:t>
            </w:r>
          </w:p>
        </w:tc>
        <w:tc>
          <w:tcPr>
            <w:tcW w:w="0" w:type="auto"/>
            <w:noWrap w:val="0"/>
            <w:vAlign w:val="center"/>
          </w:tcPr>
          <w:p w14:paraId="6793F8B7">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272E0D64">
            <w:pPr>
              <w:jc w:val="center"/>
              <w:rPr>
                <w:color w:val="000000"/>
                <w:szCs w:val="21"/>
              </w:rPr>
            </w:pPr>
            <w:r>
              <w:rPr>
                <w:color w:val="000000"/>
                <w:szCs w:val="21"/>
              </w:rPr>
              <w:t>0.4</w:t>
            </w:r>
          </w:p>
        </w:tc>
        <w:tc>
          <w:tcPr>
            <w:tcW w:w="0" w:type="auto"/>
            <w:noWrap w:val="0"/>
            <w:vAlign w:val="center"/>
          </w:tcPr>
          <w:p w14:paraId="194710B6">
            <w:pPr>
              <w:jc w:val="center"/>
              <w:rPr>
                <w:color w:val="000000"/>
                <w:szCs w:val="21"/>
              </w:rPr>
            </w:pPr>
            <w:r>
              <w:rPr>
                <w:color w:val="000000"/>
                <w:szCs w:val="21"/>
              </w:rPr>
              <w:t>3</w:t>
            </w:r>
          </w:p>
        </w:tc>
        <w:tc>
          <w:tcPr>
            <w:tcW w:w="0" w:type="auto"/>
            <w:noWrap w:val="0"/>
            <w:vAlign w:val="center"/>
          </w:tcPr>
          <w:p w14:paraId="674E3C71">
            <w:pPr>
              <w:jc w:val="center"/>
              <w:rPr>
                <w:color w:val="000000"/>
                <w:szCs w:val="21"/>
              </w:rPr>
            </w:pPr>
            <w:r>
              <w:rPr>
                <w:color w:val="000000"/>
                <w:szCs w:val="21"/>
              </w:rPr>
              <w:t>40</w:t>
            </w:r>
          </w:p>
        </w:tc>
        <w:tc>
          <w:tcPr>
            <w:tcW w:w="0" w:type="auto"/>
            <w:noWrap w:val="0"/>
            <w:vAlign w:val="center"/>
          </w:tcPr>
          <w:p w14:paraId="0A484E5E">
            <w:pPr>
              <w:jc w:val="center"/>
              <w:rPr>
                <w:color w:val="000000"/>
                <w:szCs w:val="21"/>
              </w:rPr>
            </w:pPr>
            <w:r>
              <w:rPr>
                <w:color w:val="000000"/>
                <w:szCs w:val="21"/>
              </w:rPr>
              <w:t>150</w:t>
            </w:r>
          </w:p>
        </w:tc>
      </w:tr>
      <w:tr w14:paraId="283BE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B553741">
            <w:pPr>
              <w:jc w:val="center"/>
              <w:rPr>
                <w:color w:val="000000"/>
                <w:szCs w:val="21"/>
              </w:rPr>
            </w:pPr>
            <w:r>
              <w:rPr>
                <w:color w:val="000000"/>
                <w:szCs w:val="21"/>
              </w:rPr>
              <w:t>21</w:t>
            </w:r>
          </w:p>
        </w:tc>
        <w:tc>
          <w:tcPr>
            <w:tcW w:w="0" w:type="auto"/>
            <w:noWrap w:val="0"/>
            <w:vAlign w:val="center"/>
          </w:tcPr>
          <w:p w14:paraId="2EF0C113">
            <w:pPr>
              <w:jc w:val="center"/>
              <w:rPr>
                <w:rFonts w:ascii="楷体_GB2312" w:hAnsi="宋体" w:eastAsia="楷体_GB2312" w:cs="宋体"/>
                <w:color w:val="000000"/>
                <w:szCs w:val="21"/>
              </w:rPr>
            </w:pPr>
            <w:r>
              <w:rPr>
                <w:rFonts w:hint="eastAsia" w:ascii="楷体_GB2312" w:eastAsia="楷体_GB2312"/>
                <w:color w:val="000000"/>
                <w:szCs w:val="21"/>
              </w:rPr>
              <w:t>亲民路</w:t>
            </w:r>
          </w:p>
        </w:tc>
        <w:tc>
          <w:tcPr>
            <w:tcW w:w="0" w:type="auto"/>
            <w:noWrap w:val="0"/>
            <w:vAlign w:val="center"/>
          </w:tcPr>
          <w:p w14:paraId="1246B477">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5AC240D7">
            <w:pPr>
              <w:jc w:val="center"/>
              <w:rPr>
                <w:color w:val="000000"/>
                <w:szCs w:val="21"/>
              </w:rPr>
            </w:pPr>
            <w:r>
              <w:rPr>
                <w:color w:val="000000"/>
                <w:szCs w:val="21"/>
              </w:rPr>
              <w:t>0.4</w:t>
            </w:r>
          </w:p>
        </w:tc>
        <w:tc>
          <w:tcPr>
            <w:tcW w:w="0" w:type="auto"/>
            <w:noWrap w:val="0"/>
            <w:vAlign w:val="center"/>
          </w:tcPr>
          <w:p w14:paraId="6BDD9F8A">
            <w:pPr>
              <w:jc w:val="center"/>
              <w:rPr>
                <w:color w:val="000000"/>
                <w:szCs w:val="21"/>
              </w:rPr>
            </w:pPr>
            <w:r>
              <w:rPr>
                <w:color w:val="000000"/>
                <w:szCs w:val="21"/>
              </w:rPr>
              <w:t>3</w:t>
            </w:r>
          </w:p>
        </w:tc>
        <w:tc>
          <w:tcPr>
            <w:tcW w:w="0" w:type="auto"/>
            <w:noWrap w:val="0"/>
            <w:vAlign w:val="center"/>
          </w:tcPr>
          <w:p w14:paraId="7BFD52F1">
            <w:pPr>
              <w:jc w:val="center"/>
              <w:rPr>
                <w:color w:val="000000"/>
                <w:szCs w:val="21"/>
              </w:rPr>
            </w:pPr>
            <w:r>
              <w:rPr>
                <w:color w:val="000000"/>
                <w:szCs w:val="21"/>
              </w:rPr>
              <w:t>40</w:t>
            </w:r>
          </w:p>
        </w:tc>
        <w:tc>
          <w:tcPr>
            <w:tcW w:w="0" w:type="auto"/>
            <w:noWrap w:val="0"/>
            <w:vAlign w:val="center"/>
          </w:tcPr>
          <w:p w14:paraId="5C94C985">
            <w:pPr>
              <w:jc w:val="center"/>
              <w:rPr>
                <w:color w:val="000000"/>
                <w:szCs w:val="21"/>
              </w:rPr>
            </w:pPr>
            <w:r>
              <w:rPr>
                <w:color w:val="000000"/>
                <w:szCs w:val="21"/>
              </w:rPr>
              <w:t>150</w:t>
            </w:r>
          </w:p>
        </w:tc>
      </w:tr>
      <w:tr w14:paraId="55BC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664F06A">
            <w:pPr>
              <w:jc w:val="center"/>
              <w:rPr>
                <w:color w:val="000000"/>
                <w:szCs w:val="21"/>
              </w:rPr>
            </w:pPr>
            <w:r>
              <w:rPr>
                <w:color w:val="000000"/>
                <w:szCs w:val="21"/>
              </w:rPr>
              <w:t>22</w:t>
            </w:r>
          </w:p>
        </w:tc>
        <w:tc>
          <w:tcPr>
            <w:tcW w:w="0" w:type="auto"/>
            <w:noWrap w:val="0"/>
            <w:vAlign w:val="center"/>
          </w:tcPr>
          <w:p w14:paraId="790CCEAE">
            <w:pPr>
              <w:jc w:val="center"/>
              <w:rPr>
                <w:rFonts w:ascii="楷体_GB2312" w:hAnsi="宋体" w:eastAsia="楷体_GB2312" w:cs="宋体"/>
                <w:color w:val="000000"/>
                <w:szCs w:val="21"/>
              </w:rPr>
            </w:pPr>
            <w:r>
              <w:rPr>
                <w:rFonts w:hint="eastAsia" w:ascii="楷体_GB2312" w:eastAsia="楷体_GB2312"/>
                <w:color w:val="000000"/>
                <w:szCs w:val="21"/>
              </w:rPr>
              <w:t>褚岗路</w:t>
            </w:r>
          </w:p>
        </w:tc>
        <w:tc>
          <w:tcPr>
            <w:tcW w:w="0" w:type="auto"/>
            <w:noWrap w:val="0"/>
            <w:vAlign w:val="center"/>
          </w:tcPr>
          <w:p w14:paraId="5122C7AD">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543E191B">
            <w:pPr>
              <w:jc w:val="center"/>
              <w:rPr>
                <w:color w:val="000000"/>
                <w:szCs w:val="21"/>
              </w:rPr>
            </w:pPr>
            <w:r>
              <w:rPr>
                <w:color w:val="000000"/>
                <w:szCs w:val="21"/>
              </w:rPr>
              <w:t>0.4</w:t>
            </w:r>
          </w:p>
        </w:tc>
        <w:tc>
          <w:tcPr>
            <w:tcW w:w="0" w:type="auto"/>
            <w:noWrap w:val="0"/>
            <w:vAlign w:val="center"/>
          </w:tcPr>
          <w:p w14:paraId="5C137CF7">
            <w:pPr>
              <w:jc w:val="center"/>
              <w:rPr>
                <w:color w:val="000000"/>
                <w:szCs w:val="21"/>
              </w:rPr>
            </w:pPr>
            <w:r>
              <w:rPr>
                <w:color w:val="000000"/>
                <w:szCs w:val="21"/>
              </w:rPr>
              <w:t>3</w:t>
            </w:r>
          </w:p>
        </w:tc>
        <w:tc>
          <w:tcPr>
            <w:tcW w:w="0" w:type="auto"/>
            <w:noWrap w:val="0"/>
            <w:vAlign w:val="center"/>
          </w:tcPr>
          <w:p w14:paraId="70D9FB2B">
            <w:pPr>
              <w:jc w:val="center"/>
              <w:rPr>
                <w:color w:val="000000"/>
                <w:szCs w:val="21"/>
              </w:rPr>
            </w:pPr>
            <w:r>
              <w:rPr>
                <w:color w:val="000000"/>
                <w:szCs w:val="21"/>
              </w:rPr>
              <w:t>40</w:t>
            </w:r>
          </w:p>
        </w:tc>
        <w:tc>
          <w:tcPr>
            <w:tcW w:w="0" w:type="auto"/>
            <w:noWrap w:val="0"/>
            <w:vAlign w:val="center"/>
          </w:tcPr>
          <w:p w14:paraId="72615EE3">
            <w:pPr>
              <w:jc w:val="center"/>
              <w:rPr>
                <w:color w:val="000000"/>
                <w:szCs w:val="21"/>
              </w:rPr>
            </w:pPr>
            <w:r>
              <w:rPr>
                <w:color w:val="000000"/>
                <w:szCs w:val="21"/>
              </w:rPr>
              <w:t>150</w:t>
            </w:r>
          </w:p>
        </w:tc>
      </w:tr>
    </w:tbl>
    <w:p w14:paraId="44589D8B">
      <w:pPr>
        <w:jc w:val="center"/>
        <w:rPr>
          <w:rFonts w:eastAsia="黑体"/>
          <w:sz w:val="28"/>
        </w:rPr>
      </w:pPr>
      <w:r>
        <w:rPr>
          <w:rFonts w:eastAsia="黑体"/>
          <w:sz w:val="28"/>
        </w:rPr>
        <w:t>表1-3-</w:t>
      </w:r>
      <w:r>
        <w:rPr>
          <w:rFonts w:hint="eastAsia" w:eastAsia="黑体"/>
          <w:sz w:val="28"/>
        </w:rPr>
        <w:t>1</w:t>
      </w:r>
      <w:r>
        <w:rPr>
          <w:rFonts w:eastAsia="黑体"/>
          <w:sz w:val="28"/>
        </w:rPr>
        <w:t xml:space="preserve">9  </w:t>
      </w:r>
      <w:r>
        <w:rPr>
          <w:rFonts w:hint="eastAsia" w:eastAsia="黑体"/>
          <w:sz w:val="28"/>
        </w:rPr>
        <w:t>顺河镇</w:t>
      </w:r>
      <w:r>
        <w:rPr>
          <w:rFonts w:eastAsia="黑体"/>
          <w:sz w:val="28"/>
        </w:rPr>
        <w:t>镇区道路状况及其功能分及影响距离表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460"/>
        <w:gridCol w:w="1460"/>
        <w:gridCol w:w="1460"/>
        <w:gridCol w:w="879"/>
        <w:gridCol w:w="1170"/>
        <w:gridCol w:w="1460"/>
      </w:tblGrid>
      <w:tr w14:paraId="01A4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83" w:type="dxa"/>
            <w:noWrap w:val="0"/>
            <w:vAlign w:val="top"/>
          </w:tcPr>
          <w:p w14:paraId="10CBCF4F">
            <w:pPr>
              <w:jc w:val="center"/>
              <w:rPr>
                <w:rFonts w:eastAsia="楷体_GB2312"/>
              </w:rPr>
            </w:pPr>
            <w:r>
              <w:rPr>
                <w:rFonts w:eastAsia="楷体_GB2312"/>
              </w:rPr>
              <w:t>道路编号</w:t>
            </w:r>
          </w:p>
        </w:tc>
        <w:tc>
          <w:tcPr>
            <w:tcW w:w="0" w:type="auto"/>
            <w:noWrap w:val="0"/>
            <w:vAlign w:val="top"/>
          </w:tcPr>
          <w:p w14:paraId="47437EB9">
            <w:pPr>
              <w:jc w:val="center"/>
              <w:rPr>
                <w:rFonts w:eastAsia="楷体_GB2312"/>
              </w:rPr>
            </w:pPr>
            <w:r>
              <w:rPr>
                <w:rFonts w:eastAsia="楷体_GB2312"/>
              </w:rPr>
              <w:t>道路名称</w:t>
            </w:r>
          </w:p>
        </w:tc>
        <w:tc>
          <w:tcPr>
            <w:tcW w:w="0" w:type="auto"/>
            <w:noWrap w:val="0"/>
            <w:vAlign w:val="top"/>
          </w:tcPr>
          <w:p w14:paraId="02EC73DF">
            <w:pPr>
              <w:jc w:val="center"/>
              <w:rPr>
                <w:rFonts w:eastAsia="楷体_GB2312"/>
              </w:rPr>
            </w:pPr>
            <w:r>
              <w:rPr>
                <w:rFonts w:eastAsia="楷体_GB2312"/>
              </w:rPr>
              <w:t>道路类型</w:t>
            </w:r>
          </w:p>
        </w:tc>
        <w:tc>
          <w:tcPr>
            <w:tcW w:w="0" w:type="auto"/>
            <w:noWrap w:val="0"/>
            <w:vAlign w:val="top"/>
          </w:tcPr>
          <w:p w14:paraId="5CCE2EA6">
            <w:pPr>
              <w:jc w:val="center"/>
              <w:rPr>
                <w:rFonts w:eastAsia="楷体_GB2312"/>
              </w:rPr>
            </w:pPr>
            <w:r>
              <w:rPr>
                <w:rFonts w:eastAsia="楷体_GB2312"/>
              </w:rPr>
              <w:t>作用指数</w:t>
            </w:r>
          </w:p>
        </w:tc>
        <w:tc>
          <w:tcPr>
            <w:tcW w:w="0" w:type="auto"/>
            <w:noWrap w:val="0"/>
            <w:vAlign w:val="top"/>
          </w:tcPr>
          <w:p w14:paraId="41C82AC0">
            <w:pPr>
              <w:jc w:val="center"/>
              <w:rPr>
                <w:rFonts w:eastAsia="楷体_GB2312"/>
              </w:rPr>
            </w:pPr>
            <w:r>
              <w:rPr>
                <w:rFonts w:eastAsia="楷体_GB2312"/>
              </w:rPr>
              <w:t>级别</w:t>
            </w:r>
          </w:p>
        </w:tc>
        <w:tc>
          <w:tcPr>
            <w:tcW w:w="0" w:type="auto"/>
            <w:noWrap w:val="0"/>
            <w:vAlign w:val="top"/>
          </w:tcPr>
          <w:p w14:paraId="46206BAD">
            <w:pPr>
              <w:jc w:val="center"/>
              <w:rPr>
                <w:rFonts w:eastAsia="楷体_GB2312"/>
              </w:rPr>
            </w:pPr>
            <w:r>
              <w:rPr>
                <w:rFonts w:eastAsia="楷体_GB2312"/>
              </w:rPr>
              <w:t>功能分</w:t>
            </w:r>
          </w:p>
        </w:tc>
        <w:tc>
          <w:tcPr>
            <w:tcW w:w="0" w:type="auto"/>
            <w:noWrap w:val="0"/>
            <w:vAlign w:val="top"/>
          </w:tcPr>
          <w:p w14:paraId="58DCBC49">
            <w:pPr>
              <w:jc w:val="center"/>
              <w:rPr>
                <w:rFonts w:eastAsia="楷体_GB2312"/>
              </w:rPr>
            </w:pPr>
            <w:r>
              <w:rPr>
                <w:rFonts w:eastAsia="楷体_GB2312"/>
              </w:rPr>
              <w:t>影响半径</w:t>
            </w:r>
          </w:p>
        </w:tc>
      </w:tr>
      <w:tr w14:paraId="2D2B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04601B1">
            <w:pPr>
              <w:jc w:val="center"/>
              <w:rPr>
                <w:color w:val="000000"/>
                <w:szCs w:val="21"/>
              </w:rPr>
            </w:pPr>
            <w:r>
              <w:rPr>
                <w:rFonts w:hint="eastAsia"/>
                <w:color w:val="000000"/>
                <w:szCs w:val="21"/>
              </w:rPr>
              <w:t>0</w:t>
            </w:r>
            <w:r>
              <w:rPr>
                <w:color w:val="000000"/>
                <w:szCs w:val="21"/>
              </w:rPr>
              <w:t>1</w:t>
            </w:r>
          </w:p>
        </w:tc>
        <w:tc>
          <w:tcPr>
            <w:tcW w:w="0" w:type="auto"/>
            <w:noWrap w:val="0"/>
            <w:vAlign w:val="center"/>
          </w:tcPr>
          <w:p w14:paraId="6BE20B3F">
            <w:pPr>
              <w:jc w:val="center"/>
              <w:rPr>
                <w:rFonts w:eastAsia="楷体_GB2312"/>
                <w:color w:val="000000"/>
                <w:szCs w:val="21"/>
              </w:rPr>
            </w:pPr>
            <w:r>
              <w:rPr>
                <w:rFonts w:eastAsia="楷体_GB2312"/>
                <w:color w:val="000000"/>
                <w:szCs w:val="21"/>
              </w:rPr>
              <w:t>302省道</w:t>
            </w:r>
          </w:p>
        </w:tc>
        <w:tc>
          <w:tcPr>
            <w:tcW w:w="0" w:type="auto"/>
            <w:noWrap w:val="0"/>
            <w:vAlign w:val="center"/>
          </w:tcPr>
          <w:p w14:paraId="61E7374B">
            <w:pPr>
              <w:jc w:val="center"/>
              <w:rPr>
                <w:rFonts w:eastAsia="楷体_GB2312"/>
                <w:color w:val="000000"/>
                <w:szCs w:val="21"/>
              </w:rPr>
            </w:pPr>
            <w:r>
              <w:rPr>
                <w:rFonts w:eastAsia="楷体_GB2312"/>
                <w:color w:val="000000"/>
                <w:szCs w:val="21"/>
              </w:rPr>
              <w:t>主干道</w:t>
            </w:r>
          </w:p>
        </w:tc>
        <w:tc>
          <w:tcPr>
            <w:tcW w:w="0" w:type="auto"/>
            <w:noWrap w:val="0"/>
            <w:vAlign w:val="center"/>
          </w:tcPr>
          <w:p w14:paraId="4C0BE14C">
            <w:pPr>
              <w:jc w:val="center"/>
              <w:rPr>
                <w:color w:val="000000"/>
                <w:szCs w:val="21"/>
              </w:rPr>
            </w:pPr>
            <w:r>
              <w:rPr>
                <w:color w:val="000000"/>
                <w:szCs w:val="21"/>
              </w:rPr>
              <w:t>1</w:t>
            </w:r>
          </w:p>
        </w:tc>
        <w:tc>
          <w:tcPr>
            <w:tcW w:w="0" w:type="auto"/>
            <w:noWrap w:val="0"/>
            <w:vAlign w:val="center"/>
          </w:tcPr>
          <w:p w14:paraId="731FA0B5">
            <w:pPr>
              <w:jc w:val="center"/>
              <w:rPr>
                <w:color w:val="000000"/>
                <w:szCs w:val="21"/>
              </w:rPr>
            </w:pPr>
            <w:r>
              <w:rPr>
                <w:color w:val="000000"/>
                <w:szCs w:val="21"/>
              </w:rPr>
              <w:t>1</w:t>
            </w:r>
          </w:p>
        </w:tc>
        <w:tc>
          <w:tcPr>
            <w:tcW w:w="0" w:type="auto"/>
            <w:noWrap w:val="0"/>
            <w:vAlign w:val="center"/>
          </w:tcPr>
          <w:p w14:paraId="328A434A">
            <w:pPr>
              <w:jc w:val="center"/>
              <w:rPr>
                <w:color w:val="000000"/>
                <w:szCs w:val="21"/>
              </w:rPr>
            </w:pPr>
            <w:r>
              <w:rPr>
                <w:color w:val="000000"/>
                <w:szCs w:val="21"/>
              </w:rPr>
              <w:t>100</w:t>
            </w:r>
          </w:p>
        </w:tc>
        <w:tc>
          <w:tcPr>
            <w:tcW w:w="0" w:type="auto"/>
            <w:noWrap w:val="0"/>
            <w:vAlign w:val="center"/>
          </w:tcPr>
          <w:p w14:paraId="6A50BFAF">
            <w:pPr>
              <w:jc w:val="center"/>
              <w:rPr>
                <w:color w:val="000000"/>
                <w:szCs w:val="21"/>
              </w:rPr>
            </w:pPr>
            <w:r>
              <w:rPr>
                <w:color w:val="000000"/>
                <w:szCs w:val="21"/>
              </w:rPr>
              <w:t>300</w:t>
            </w:r>
          </w:p>
        </w:tc>
      </w:tr>
      <w:tr w14:paraId="79C2E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3F8B437">
            <w:pPr>
              <w:jc w:val="center"/>
              <w:rPr>
                <w:color w:val="000000"/>
                <w:szCs w:val="21"/>
              </w:rPr>
            </w:pPr>
            <w:r>
              <w:rPr>
                <w:rFonts w:hint="eastAsia"/>
                <w:color w:val="000000"/>
                <w:szCs w:val="21"/>
              </w:rPr>
              <w:t>0</w:t>
            </w:r>
            <w:r>
              <w:rPr>
                <w:color w:val="000000"/>
                <w:szCs w:val="21"/>
              </w:rPr>
              <w:t>2</w:t>
            </w:r>
          </w:p>
        </w:tc>
        <w:tc>
          <w:tcPr>
            <w:tcW w:w="0" w:type="auto"/>
            <w:noWrap w:val="0"/>
            <w:vAlign w:val="center"/>
          </w:tcPr>
          <w:p w14:paraId="6FB31D8C">
            <w:pPr>
              <w:jc w:val="center"/>
              <w:rPr>
                <w:rFonts w:eastAsia="楷体_GB2312"/>
                <w:color w:val="000000"/>
                <w:szCs w:val="21"/>
              </w:rPr>
            </w:pPr>
            <w:r>
              <w:rPr>
                <w:rFonts w:eastAsia="楷体_GB2312"/>
                <w:color w:val="000000"/>
                <w:szCs w:val="21"/>
              </w:rPr>
              <w:t>工业大道</w:t>
            </w:r>
          </w:p>
        </w:tc>
        <w:tc>
          <w:tcPr>
            <w:tcW w:w="0" w:type="auto"/>
            <w:noWrap w:val="0"/>
            <w:vAlign w:val="center"/>
          </w:tcPr>
          <w:p w14:paraId="5FC1C4DD">
            <w:pPr>
              <w:jc w:val="center"/>
              <w:rPr>
                <w:rFonts w:eastAsia="楷体_GB2312"/>
                <w:color w:val="000000"/>
                <w:szCs w:val="21"/>
              </w:rPr>
            </w:pPr>
            <w:r>
              <w:rPr>
                <w:rFonts w:eastAsia="楷体_GB2312"/>
                <w:color w:val="000000"/>
                <w:szCs w:val="21"/>
              </w:rPr>
              <w:t>主干道</w:t>
            </w:r>
          </w:p>
        </w:tc>
        <w:tc>
          <w:tcPr>
            <w:tcW w:w="0" w:type="auto"/>
            <w:noWrap w:val="0"/>
            <w:vAlign w:val="center"/>
          </w:tcPr>
          <w:p w14:paraId="07A8B4B5">
            <w:pPr>
              <w:jc w:val="center"/>
              <w:rPr>
                <w:color w:val="000000"/>
                <w:szCs w:val="21"/>
              </w:rPr>
            </w:pPr>
            <w:r>
              <w:rPr>
                <w:color w:val="000000"/>
                <w:szCs w:val="21"/>
              </w:rPr>
              <w:t>1</w:t>
            </w:r>
          </w:p>
        </w:tc>
        <w:tc>
          <w:tcPr>
            <w:tcW w:w="0" w:type="auto"/>
            <w:noWrap w:val="0"/>
            <w:vAlign w:val="center"/>
          </w:tcPr>
          <w:p w14:paraId="6610669A">
            <w:pPr>
              <w:jc w:val="center"/>
              <w:rPr>
                <w:color w:val="000000"/>
                <w:szCs w:val="21"/>
              </w:rPr>
            </w:pPr>
            <w:r>
              <w:rPr>
                <w:color w:val="000000"/>
                <w:szCs w:val="21"/>
              </w:rPr>
              <w:t>1</w:t>
            </w:r>
          </w:p>
        </w:tc>
        <w:tc>
          <w:tcPr>
            <w:tcW w:w="0" w:type="auto"/>
            <w:noWrap w:val="0"/>
            <w:vAlign w:val="center"/>
          </w:tcPr>
          <w:p w14:paraId="2A2FC1E7">
            <w:pPr>
              <w:jc w:val="center"/>
              <w:rPr>
                <w:color w:val="000000"/>
                <w:szCs w:val="21"/>
              </w:rPr>
            </w:pPr>
            <w:r>
              <w:rPr>
                <w:color w:val="000000"/>
                <w:szCs w:val="21"/>
              </w:rPr>
              <w:t>100</w:t>
            </w:r>
          </w:p>
        </w:tc>
        <w:tc>
          <w:tcPr>
            <w:tcW w:w="0" w:type="auto"/>
            <w:noWrap w:val="0"/>
            <w:vAlign w:val="center"/>
          </w:tcPr>
          <w:p w14:paraId="18600957">
            <w:pPr>
              <w:jc w:val="center"/>
              <w:rPr>
                <w:color w:val="000000"/>
                <w:szCs w:val="21"/>
              </w:rPr>
            </w:pPr>
            <w:r>
              <w:rPr>
                <w:color w:val="000000"/>
                <w:szCs w:val="21"/>
              </w:rPr>
              <w:t>300</w:t>
            </w:r>
          </w:p>
        </w:tc>
      </w:tr>
      <w:tr w14:paraId="7B328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B4523F3">
            <w:pPr>
              <w:jc w:val="center"/>
              <w:rPr>
                <w:color w:val="000000"/>
                <w:szCs w:val="21"/>
              </w:rPr>
            </w:pPr>
            <w:r>
              <w:rPr>
                <w:rFonts w:hint="eastAsia"/>
                <w:color w:val="000000"/>
                <w:szCs w:val="21"/>
              </w:rPr>
              <w:t>0</w:t>
            </w:r>
            <w:r>
              <w:rPr>
                <w:color w:val="000000"/>
                <w:szCs w:val="21"/>
              </w:rPr>
              <w:t>3</w:t>
            </w:r>
          </w:p>
        </w:tc>
        <w:tc>
          <w:tcPr>
            <w:tcW w:w="0" w:type="auto"/>
            <w:noWrap w:val="0"/>
            <w:vAlign w:val="center"/>
          </w:tcPr>
          <w:p w14:paraId="0BE67446">
            <w:pPr>
              <w:jc w:val="center"/>
              <w:rPr>
                <w:rFonts w:eastAsia="楷体_GB2312"/>
                <w:color w:val="000000"/>
                <w:szCs w:val="21"/>
              </w:rPr>
            </w:pPr>
            <w:r>
              <w:rPr>
                <w:rFonts w:eastAsia="楷体_GB2312"/>
                <w:color w:val="000000"/>
                <w:szCs w:val="21"/>
              </w:rPr>
              <w:t>206国道</w:t>
            </w:r>
          </w:p>
        </w:tc>
        <w:tc>
          <w:tcPr>
            <w:tcW w:w="0" w:type="auto"/>
            <w:noWrap w:val="0"/>
            <w:vAlign w:val="center"/>
          </w:tcPr>
          <w:p w14:paraId="6FD68D28">
            <w:pPr>
              <w:jc w:val="center"/>
              <w:rPr>
                <w:rFonts w:eastAsia="楷体_GB2312"/>
                <w:color w:val="000000"/>
                <w:szCs w:val="21"/>
              </w:rPr>
            </w:pPr>
            <w:r>
              <w:rPr>
                <w:rFonts w:eastAsia="楷体_GB2312"/>
                <w:color w:val="000000"/>
                <w:szCs w:val="21"/>
              </w:rPr>
              <w:t>主干道</w:t>
            </w:r>
          </w:p>
        </w:tc>
        <w:tc>
          <w:tcPr>
            <w:tcW w:w="0" w:type="auto"/>
            <w:noWrap w:val="0"/>
            <w:vAlign w:val="center"/>
          </w:tcPr>
          <w:p w14:paraId="1CDD7719">
            <w:pPr>
              <w:jc w:val="center"/>
              <w:rPr>
                <w:color w:val="000000"/>
                <w:szCs w:val="21"/>
              </w:rPr>
            </w:pPr>
            <w:r>
              <w:rPr>
                <w:color w:val="000000"/>
                <w:szCs w:val="21"/>
              </w:rPr>
              <w:t>1</w:t>
            </w:r>
          </w:p>
        </w:tc>
        <w:tc>
          <w:tcPr>
            <w:tcW w:w="0" w:type="auto"/>
            <w:noWrap w:val="0"/>
            <w:vAlign w:val="center"/>
          </w:tcPr>
          <w:p w14:paraId="0A358337">
            <w:pPr>
              <w:jc w:val="center"/>
              <w:rPr>
                <w:color w:val="000000"/>
                <w:szCs w:val="21"/>
              </w:rPr>
            </w:pPr>
            <w:r>
              <w:rPr>
                <w:color w:val="000000"/>
                <w:szCs w:val="21"/>
              </w:rPr>
              <w:t>1</w:t>
            </w:r>
          </w:p>
        </w:tc>
        <w:tc>
          <w:tcPr>
            <w:tcW w:w="0" w:type="auto"/>
            <w:noWrap w:val="0"/>
            <w:vAlign w:val="center"/>
          </w:tcPr>
          <w:p w14:paraId="4967AC75">
            <w:pPr>
              <w:jc w:val="center"/>
              <w:rPr>
                <w:color w:val="000000"/>
                <w:szCs w:val="21"/>
              </w:rPr>
            </w:pPr>
            <w:r>
              <w:rPr>
                <w:color w:val="000000"/>
                <w:szCs w:val="21"/>
              </w:rPr>
              <w:t>100</w:t>
            </w:r>
          </w:p>
        </w:tc>
        <w:tc>
          <w:tcPr>
            <w:tcW w:w="0" w:type="auto"/>
            <w:noWrap w:val="0"/>
            <w:vAlign w:val="center"/>
          </w:tcPr>
          <w:p w14:paraId="6E9BEAE7">
            <w:pPr>
              <w:jc w:val="center"/>
              <w:rPr>
                <w:color w:val="000000"/>
                <w:szCs w:val="21"/>
              </w:rPr>
            </w:pPr>
            <w:r>
              <w:rPr>
                <w:color w:val="000000"/>
                <w:szCs w:val="21"/>
              </w:rPr>
              <w:t>300</w:t>
            </w:r>
          </w:p>
        </w:tc>
      </w:tr>
      <w:tr w14:paraId="71F7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FE64B99">
            <w:pPr>
              <w:jc w:val="center"/>
              <w:rPr>
                <w:color w:val="000000"/>
                <w:szCs w:val="21"/>
              </w:rPr>
            </w:pPr>
            <w:r>
              <w:rPr>
                <w:rFonts w:hint="eastAsia"/>
                <w:color w:val="000000"/>
                <w:szCs w:val="21"/>
              </w:rPr>
              <w:t>0</w:t>
            </w:r>
            <w:r>
              <w:rPr>
                <w:color w:val="000000"/>
                <w:szCs w:val="21"/>
              </w:rPr>
              <w:t>4</w:t>
            </w:r>
          </w:p>
        </w:tc>
        <w:tc>
          <w:tcPr>
            <w:tcW w:w="0" w:type="auto"/>
            <w:noWrap w:val="0"/>
            <w:vAlign w:val="center"/>
          </w:tcPr>
          <w:p w14:paraId="17AAF93A">
            <w:pPr>
              <w:jc w:val="center"/>
              <w:rPr>
                <w:rFonts w:eastAsia="楷体_GB2312"/>
                <w:color w:val="000000"/>
                <w:szCs w:val="21"/>
              </w:rPr>
            </w:pPr>
            <w:r>
              <w:rPr>
                <w:rFonts w:eastAsia="楷体_GB2312"/>
                <w:color w:val="000000"/>
                <w:szCs w:val="21"/>
              </w:rPr>
              <w:t>小康路</w:t>
            </w:r>
          </w:p>
        </w:tc>
        <w:tc>
          <w:tcPr>
            <w:tcW w:w="0" w:type="auto"/>
            <w:noWrap w:val="0"/>
            <w:vAlign w:val="center"/>
          </w:tcPr>
          <w:p w14:paraId="49767E9B">
            <w:pPr>
              <w:jc w:val="center"/>
              <w:rPr>
                <w:rFonts w:eastAsia="楷体_GB2312"/>
                <w:color w:val="000000"/>
                <w:szCs w:val="21"/>
              </w:rPr>
            </w:pPr>
            <w:r>
              <w:rPr>
                <w:rFonts w:eastAsia="楷体_GB2312"/>
                <w:color w:val="000000"/>
                <w:szCs w:val="21"/>
              </w:rPr>
              <w:t>主干道</w:t>
            </w:r>
          </w:p>
        </w:tc>
        <w:tc>
          <w:tcPr>
            <w:tcW w:w="0" w:type="auto"/>
            <w:noWrap w:val="0"/>
            <w:vAlign w:val="center"/>
          </w:tcPr>
          <w:p w14:paraId="5247248A">
            <w:pPr>
              <w:jc w:val="center"/>
              <w:rPr>
                <w:color w:val="000000"/>
                <w:szCs w:val="21"/>
              </w:rPr>
            </w:pPr>
            <w:r>
              <w:rPr>
                <w:color w:val="000000"/>
                <w:szCs w:val="21"/>
              </w:rPr>
              <w:t>1</w:t>
            </w:r>
          </w:p>
        </w:tc>
        <w:tc>
          <w:tcPr>
            <w:tcW w:w="0" w:type="auto"/>
            <w:noWrap w:val="0"/>
            <w:vAlign w:val="center"/>
          </w:tcPr>
          <w:p w14:paraId="78039EC2">
            <w:pPr>
              <w:jc w:val="center"/>
              <w:rPr>
                <w:color w:val="000000"/>
                <w:szCs w:val="21"/>
              </w:rPr>
            </w:pPr>
            <w:r>
              <w:rPr>
                <w:color w:val="000000"/>
                <w:szCs w:val="21"/>
              </w:rPr>
              <w:t>1</w:t>
            </w:r>
          </w:p>
        </w:tc>
        <w:tc>
          <w:tcPr>
            <w:tcW w:w="0" w:type="auto"/>
            <w:noWrap w:val="0"/>
            <w:vAlign w:val="center"/>
          </w:tcPr>
          <w:p w14:paraId="68B99378">
            <w:pPr>
              <w:jc w:val="center"/>
              <w:rPr>
                <w:color w:val="000000"/>
                <w:szCs w:val="21"/>
              </w:rPr>
            </w:pPr>
            <w:r>
              <w:rPr>
                <w:color w:val="000000"/>
                <w:szCs w:val="21"/>
              </w:rPr>
              <w:t>100</w:t>
            </w:r>
          </w:p>
        </w:tc>
        <w:tc>
          <w:tcPr>
            <w:tcW w:w="0" w:type="auto"/>
            <w:noWrap w:val="0"/>
            <w:vAlign w:val="center"/>
          </w:tcPr>
          <w:p w14:paraId="73DE1E63">
            <w:pPr>
              <w:jc w:val="center"/>
              <w:rPr>
                <w:color w:val="000000"/>
                <w:szCs w:val="21"/>
              </w:rPr>
            </w:pPr>
            <w:r>
              <w:rPr>
                <w:color w:val="000000"/>
                <w:szCs w:val="21"/>
              </w:rPr>
              <w:t>300</w:t>
            </w:r>
          </w:p>
        </w:tc>
      </w:tr>
      <w:tr w14:paraId="454E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A98D321">
            <w:pPr>
              <w:jc w:val="center"/>
              <w:rPr>
                <w:color w:val="000000"/>
                <w:szCs w:val="21"/>
              </w:rPr>
            </w:pPr>
            <w:r>
              <w:rPr>
                <w:rFonts w:hint="eastAsia"/>
                <w:color w:val="000000"/>
                <w:szCs w:val="21"/>
              </w:rPr>
              <w:t>0</w:t>
            </w:r>
            <w:r>
              <w:rPr>
                <w:color w:val="000000"/>
                <w:szCs w:val="21"/>
              </w:rPr>
              <w:t>5</w:t>
            </w:r>
          </w:p>
        </w:tc>
        <w:tc>
          <w:tcPr>
            <w:tcW w:w="0" w:type="auto"/>
            <w:noWrap w:val="0"/>
            <w:vAlign w:val="center"/>
          </w:tcPr>
          <w:p w14:paraId="132309CC">
            <w:pPr>
              <w:jc w:val="center"/>
              <w:rPr>
                <w:rFonts w:eastAsia="楷体_GB2312"/>
                <w:color w:val="000000"/>
                <w:szCs w:val="21"/>
              </w:rPr>
            </w:pPr>
            <w:r>
              <w:rPr>
                <w:rFonts w:eastAsia="楷体_GB2312"/>
                <w:color w:val="000000"/>
                <w:szCs w:val="21"/>
              </w:rPr>
              <w:t>中心大街</w:t>
            </w:r>
          </w:p>
        </w:tc>
        <w:tc>
          <w:tcPr>
            <w:tcW w:w="0" w:type="auto"/>
            <w:noWrap w:val="0"/>
            <w:vAlign w:val="center"/>
          </w:tcPr>
          <w:p w14:paraId="0284229D">
            <w:pPr>
              <w:jc w:val="center"/>
              <w:rPr>
                <w:rFonts w:eastAsia="楷体_GB2312"/>
                <w:color w:val="000000"/>
                <w:szCs w:val="21"/>
              </w:rPr>
            </w:pPr>
            <w:r>
              <w:rPr>
                <w:rFonts w:eastAsia="楷体_GB2312"/>
                <w:color w:val="000000"/>
                <w:szCs w:val="21"/>
              </w:rPr>
              <w:t>主干道</w:t>
            </w:r>
          </w:p>
        </w:tc>
        <w:tc>
          <w:tcPr>
            <w:tcW w:w="0" w:type="auto"/>
            <w:noWrap w:val="0"/>
            <w:vAlign w:val="center"/>
          </w:tcPr>
          <w:p w14:paraId="77D515B1">
            <w:pPr>
              <w:jc w:val="center"/>
              <w:rPr>
                <w:color w:val="000000"/>
                <w:szCs w:val="21"/>
              </w:rPr>
            </w:pPr>
            <w:r>
              <w:rPr>
                <w:color w:val="000000"/>
                <w:szCs w:val="21"/>
              </w:rPr>
              <w:t>1</w:t>
            </w:r>
          </w:p>
        </w:tc>
        <w:tc>
          <w:tcPr>
            <w:tcW w:w="0" w:type="auto"/>
            <w:noWrap w:val="0"/>
            <w:vAlign w:val="center"/>
          </w:tcPr>
          <w:p w14:paraId="2916FD56">
            <w:pPr>
              <w:jc w:val="center"/>
              <w:rPr>
                <w:color w:val="000000"/>
                <w:szCs w:val="21"/>
              </w:rPr>
            </w:pPr>
            <w:r>
              <w:rPr>
                <w:color w:val="000000"/>
                <w:szCs w:val="21"/>
              </w:rPr>
              <w:t>1</w:t>
            </w:r>
          </w:p>
        </w:tc>
        <w:tc>
          <w:tcPr>
            <w:tcW w:w="0" w:type="auto"/>
            <w:noWrap w:val="0"/>
            <w:vAlign w:val="center"/>
          </w:tcPr>
          <w:p w14:paraId="701BAAB2">
            <w:pPr>
              <w:jc w:val="center"/>
              <w:rPr>
                <w:color w:val="000000"/>
                <w:szCs w:val="21"/>
              </w:rPr>
            </w:pPr>
            <w:r>
              <w:rPr>
                <w:color w:val="000000"/>
                <w:szCs w:val="21"/>
              </w:rPr>
              <w:t>100</w:t>
            </w:r>
          </w:p>
        </w:tc>
        <w:tc>
          <w:tcPr>
            <w:tcW w:w="0" w:type="auto"/>
            <w:noWrap w:val="0"/>
            <w:vAlign w:val="center"/>
          </w:tcPr>
          <w:p w14:paraId="64409B9C">
            <w:pPr>
              <w:jc w:val="center"/>
              <w:rPr>
                <w:color w:val="000000"/>
                <w:szCs w:val="21"/>
              </w:rPr>
            </w:pPr>
            <w:r>
              <w:rPr>
                <w:color w:val="000000"/>
                <w:szCs w:val="21"/>
              </w:rPr>
              <w:t>300</w:t>
            </w:r>
          </w:p>
        </w:tc>
      </w:tr>
      <w:tr w14:paraId="4985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E90E10D">
            <w:pPr>
              <w:jc w:val="center"/>
              <w:rPr>
                <w:color w:val="000000"/>
                <w:szCs w:val="21"/>
              </w:rPr>
            </w:pPr>
            <w:r>
              <w:rPr>
                <w:rFonts w:hint="eastAsia"/>
                <w:color w:val="000000"/>
                <w:szCs w:val="21"/>
              </w:rPr>
              <w:t>0</w:t>
            </w:r>
            <w:r>
              <w:rPr>
                <w:color w:val="000000"/>
                <w:szCs w:val="21"/>
              </w:rPr>
              <w:t>6</w:t>
            </w:r>
          </w:p>
        </w:tc>
        <w:tc>
          <w:tcPr>
            <w:tcW w:w="0" w:type="auto"/>
            <w:noWrap w:val="0"/>
            <w:vAlign w:val="center"/>
          </w:tcPr>
          <w:p w14:paraId="2175A924">
            <w:pPr>
              <w:jc w:val="center"/>
              <w:rPr>
                <w:rFonts w:eastAsia="楷体_GB2312"/>
                <w:color w:val="000000"/>
                <w:szCs w:val="21"/>
              </w:rPr>
            </w:pPr>
            <w:r>
              <w:rPr>
                <w:rFonts w:eastAsia="楷体_GB2312"/>
                <w:color w:val="000000"/>
                <w:szCs w:val="21"/>
              </w:rPr>
              <w:t>友善路</w:t>
            </w:r>
          </w:p>
        </w:tc>
        <w:tc>
          <w:tcPr>
            <w:tcW w:w="0" w:type="auto"/>
            <w:noWrap w:val="0"/>
            <w:vAlign w:val="center"/>
          </w:tcPr>
          <w:p w14:paraId="56EF1564">
            <w:pPr>
              <w:jc w:val="center"/>
              <w:rPr>
                <w:rFonts w:eastAsia="楷体_GB2312"/>
                <w:color w:val="000000"/>
                <w:szCs w:val="21"/>
              </w:rPr>
            </w:pPr>
            <w:r>
              <w:rPr>
                <w:rFonts w:eastAsia="楷体_GB2312"/>
                <w:color w:val="000000"/>
                <w:szCs w:val="21"/>
              </w:rPr>
              <w:t>次干道</w:t>
            </w:r>
          </w:p>
        </w:tc>
        <w:tc>
          <w:tcPr>
            <w:tcW w:w="0" w:type="auto"/>
            <w:noWrap w:val="0"/>
            <w:vAlign w:val="center"/>
          </w:tcPr>
          <w:p w14:paraId="5E7EFCFD">
            <w:pPr>
              <w:jc w:val="center"/>
              <w:rPr>
                <w:color w:val="000000"/>
                <w:szCs w:val="21"/>
              </w:rPr>
            </w:pPr>
            <w:r>
              <w:rPr>
                <w:color w:val="000000"/>
                <w:szCs w:val="21"/>
              </w:rPr>
              <w:t>0.7</w:t>
            </w:r>
          </w:p>
        </w:tc>
        <w:tc>
          <w:tcPr>
            <w:tcW w:w="0" w:type="auto"/>
            <w:noWrap w:val="0"/>
            <w:vAlign w:val="center"/>
          </w:tcPr>
          <w:p w14:paraId="77C37A57">
            <w:pPr>
              <w:jc w:val="center"/>
              <w:rPr>
                <w:color w:val="000000"/>
                <w:szCs w:val="21"/>
              </w:rPr>
            </w:pPr>
            <w:r>
              <w:rPr>
                <w:color w:val="000000"/>
                <w:szCs w:val="21"/>
              </w:rPr>
              <w:t>2</w:t>
            </w:r>
          </w:p>
        </w:tc>
        <w:tc>
          <w:tcPr>
            <w:tcW w:w="0" w:type="auto"/>
            <w:noWrap w:val="0"/>
            <w:vAlign w:val="center"/>
          </w:tcPr>
          <w:p w14:paraId="32FA722F">
            <w:pPr>
              <w:jc w:val="center"/>
              <w:rPr>
                <w:color w:val="000000"/>
                <w:szCs w:val="21"/>
              </w:rPr>
            </w:pPr>
            <w:r>
              <w:rPr>
                <w:color w:val="000000"/>
                <w:szCs w:val="21"/>
              </w:rPr>
              <w:t>70</w:t>
            </w:r>
          </w:p>
        </w:tc>
        <w:tc>
          <w:tcPr>
            <w:tcW w:w="0" w:type="auto"/>
            <w:noWrap w:val="0"/>
            <w:vAlign w:val="center"/>
          </w:tcPr>
          <w:p w14:paraId="4AE04E3D">
            <w:pPr>
              <w:jc w:val="center"/>
              <w:rPr>
                <w:color w:val="000000"/>
                <w:szCs w:val="21"/>
              </w:rPr>
            </w:pPr>
            <w:r>
              <w:rPr>
                <w:color w:val="000000"/>
                <w:szCs w:val="21"/>
              </w:rPr>
              <w:t>240</w:t>
            </w:r>
          </w:p>
        </w:tc>
      </w:tr>
      <w:tr w14:paraId="4322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CAF5D10">
            <w:pPr>
              <w:jc w:val="center"/>
              <w:rPr>
                <w:color w:val="000000"/>
                <w:szCs w:val="21"/>
              </w:rPr>
            </w:pPr>
            <w:r>
              <w:rPr>
                <w:rFonts w:hint="eastAsia"/>
                <w:color w:val="000000"/>
                <w:szCs w:val="21"/>
              </w:rPr>
              <w:t>0</w:t>
            </w:r>
            <w:r>
              <w:rPr>
                <w:color w:val="000000"/>
                <w:szCs w:val="21"/>
              </w:rPr>
              <w:t>7</w:t>
            </w:r>
          </w:p>
        </w:tc>
        <w:tc>
          <w:tcPr>
            <w:tcW w:w="0" w:type="auto"/>
            <w:noWrap w:val="0"/>
            <w:vAlign w:val="center"/>
          </w:tcPr>
          <w:p w14:paraId="5B0FADEC">
            <w:pPr>
              <w:jc w:val="center"/>
              <w:rPr>
                <w:rFonts w:eastAsia="楷体_GB2312"/>
                <w:color w:val="000000"/>
                <w:szCs w:val="21"/>
              </w:rPr>
            </w:pPr>
            <w:r>
              <w:rPr>
                <w:rFonts w:eastAsia="楷体_GB2312"/>
                <w:color w:val="000000"/>
                <w:szCs w:val="21"/>
              </w:rPr>
              <w:t>富强路</w:t>
            </w:r>
          </w:p>
        </w:tc>
        <w:tc>
          <w:tcPr>
            <w:tcW w:w="0" w:type="auto"/>
            <w:noWrap w:val="0"/>
            <w:vAlign w:val="center"/>
          </w:tcPr>
          <w:p w14:paraId="7C8D0AFC">
            <w:pPr>
              <w:jc w:val="center"/>
              <w:rPr>
                <w:rFonts w:eastAsia="楷体_GB2312"/>
                <w:color w:val="000000"/>
                <w:szCs w:val="21"/>
              </w:rPr>
            </w:pPr>
            <w:r>
              <w:rPr>
                <w:rFonts w:eastAsia="楷体_GB2312"/>
                <w:color w:val="000000"/>
                <w:szCs w:val="21"/>
              </w:rPr>
              <w:t>次干道</w:t>
            </w:r>
          </w:p>
        </w:tc>
        <w:tc>
          <w:tcPr>
            <w:tcW w:w="0" w:type="auto"/>
            <w:noWrap w:val="0"/>
            <w:vAlign w:val="center"/>
          </w:tcPr>
          <w:p w14:paraId="7BB8ACCE">
            <w:pPr>
              <w:jc w:val="center"/>
              <w:rPr>
                <w:color w:val="000000"/>
                <w:szCs w:val="21"/>
              </w:rPr>
            </w:pPr>
            <w:r>
              <w:rPr>
                <w:color w:val="000000"/>
                <w:szCs w:val="21"/>
              </w:rPr>
              <w:t>0.7</w:t>
            </w:r>
          </w:p>
        </w:tc>
        <w:tc>
          <w:tcPr>
            <w:tcW w:w="0" w:type="auto"/>
            <w:noWrap w:val="0"/>
            <w:vAlign w:val="center"/>
          </w:tcPr>
          <w:p w14:paraId="6CFD091D">
            <w:pPr>
              <w:jc w:val="center"/>
              <w:rPr>
                <w:color w:val="000000"/>
                <w:szCs w:val="21"/>
              </w:rPr>
            </w:pPr>
            <w:r>
              <w:rPr>
                <w:color w:val="000000"/>
                <w:szCs w:val="21"/>
              </w:rPr>
              <w:t>2</w:t>
            </w:r>
          </w:p>
        </w:tc>
        <w:tc>
          <w:tcPr>
            <w:tcW w:w="0" w:type="auto"/>
            <w:noWrap w:val="0"/>
            <w:vAlign w:val="center"/>
          </w:tcPr>
          <w:p w14:paraId="720AC5EA">
            <w:pPr>
              <w:jc w:val="center"/>
              <w:rPr>
                <w:color w:val="000000"/>
                <w:szCs w:val="21"/>
              </w:rPr>
            </w:pPr>
            <w:r>
              <w:rPr>
                <w:color w:val="000000"/>
                <w:szCs w:val="21"/>
              </w:rPr>
              <w:t>70</w:t>
            </w:r>
          </w:p>
        </w:tc>
        <w:tc>
          <w:tcPr>
            <w:tcW w:w="0" w:type="auto"/>
            <w:noWrap w:val="0"/>
            <w:vAlign w:val="center"/>
          </w:tcPr>
          <w:p w14:paraId="7BCACA73">
            <w:pPr>
              <w:jc w:val="center"/>
              <w:rPr>
                <w:color w:val="000000"/>
                <w:szCs w:val="21"/>
              </w:rPr>
            </w:pPr>
            <w:r>
              <w:rPr>
                <w:color w:val="000000"/>
                <w:szCs w:val="21"/>
              </w:rPr>
              <w:t>240</w:t>
            </w:r>
          </w:p>
        </w:tc>
      </w:tr>
      <w:tr w14:paraId="7222C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CA0A95B">
            <w:pPr>
              <w:jc w:val="center"/>
              <w:rPr>
                <w:color w:val="000000"/>
                <w:szCs w:val="21"/>
              </w:rPr>
            </w:pPr>
            <w:r>
              <w:rPr>
                <w:rFonts w:hint="eastAsia"/>
                <w:color w:val="000000"/>
                <w:szCs w:val="21"/>
              </w:rPr>
              <w:t>0</w:t>
            </w:r>
            <w:r>
              <w:rPr>
                <w:color w:val="000000"/>
                <w:szCs w:val="21"/>
              </w:rPr>
              <w:t>8</w:t>
            </w:r>
          </w:p>
        </w:tc>
        <w:tc>
          <w:tcPr>
            <w:tcW w:w="0" w:type="auto"/>
            <w:noWrap w:val="0"/>
            <w:vAlign w:val="center"/>
          </w:tcPr>
          <w:p w14:paraId="65A1E6CC">
            <w:pPr>
              <w:jc w:val="center"/>
              <w:rPr>
                <w:rFonts w:eastAsia="楷体_GB2312"/>
                <w:color w:val="000000"/>
                <w:szCs w:val="21"/>
              </w:rPr>
            </w:pPr>
            <w:r>
              <w:rPr>
                <w:rFonts w:eastAsia="楷体_GB2312"/>
                <w:color w:val="000000"/>
                <w:szCs w:val="21"/>
              </w:rPr>
              <w:t>光明路</w:t>
            </w:r>
          </w:p>
        </w:tc>
        <w:tc>
          <w:tcPr>
            <w:tcW w:w="0" w:type="auto"/>
            <w:noWrap w:val="0"/>
            <w:vAlign w:val="center"/>
          </w:tcPr>
          <w:p w14:paraId="51C64233">
            <w:pPr>
              <w:jc w:val="center"/>
              <w:rPr>
                <w:rFonts w:eastAsia="楷体_GB2312"/>
                <w:color w:val="000000"/>
                <w:szCs w:val="21"/>
              </w:rPr>
            </w:pPr>
            <w:r>
              <w:rPr>
                <w:rFonts w:eastAsia="楷体_GB2312"/>
                <w:color w:val="000000"/>
                <w:szCs w:val="21"/>
              </w:rPr>
              <w:t>次干道</w:t>
            </w:r>
          </w:p>
        </w:tc>
        <w:tc>
          <w:tcPr>
            <w:tcW w:w="0" w:type="auto"/>
            <w:noWrap w:val="0"/>
            <w:vAlign w:val="center"/>
          </w:tcPr>
          <w:p w14:paraId="59B333F3">
            <w:pPr>
              <w:jc w:val="center"/>
              <w:rPr>
                <w:color w:val="000000"/>
                <w:szCs w:val="21"/>
              </w:rPr>
            </w:pPr>
            <w:r>
              <w:rPr>
                <w:color w:val="000000"/>
                <w:szCs w:val="21"/>
              </w:rPr>
              <w:t>0.7</w:t>
            </w:r>
          </w:p>
        </w:tc>
        <w:tc>
          <w:tcPr>
            <w:tcW w:w="0" w:type="auto"/>
            <w:noWrap w:val="0"/>
            <w:vAlign w:val="center"/>
          </w:tcPr>
          <w:p w14:paraId="3AA78E02">
            <w:pPr>
              <w:jc w:val="center"/>
              <w:rPr>
                <w:color w:val="000000"/>
                <w:szCs w:val="21"/>
              </w:rPr>
            </w:pPr>
            <w:r>
              <w:rPr>
                <w:color w:val="000000"/>
                <w:szCs w:val="21"/>
              </w:rPr>
              <w:t>2</w:t>
            </w:r>
          </w:p>
        </w:tc>
        <w:tc>
          <w:tcPr>
            <w:tcW w:w="0" w:type="auto"/>
            <w:noWrap w:val="0"/>
            <w:vAlign w:val="center"/>
          </w:tcPr>
          <w:p w14:paraId="714FAEF2">
            <w:pPr>
              <w:jc w:val="center"/>
              <w:rPr>
                <w:color w:val="000000"/>
                <w:szCs w:val="21"/>
              </w:rPr>
            </w:pPr>
            <w:r>
              <w:rPr>
                <w:color w:val="000000"/>
                <w:szCs w:val="21"/>
              </w:rPr>
              <w:t>70</w:t>
            </w:r>
          </w:p>
        </w:tc>
        <w:tc>
          <w:tcPr>
            <w:tcW w:w="0" w:type="auto"/>
            <w:noWrap w:val="0"/>
            <w:vAlign w:val="center"/>
          </w:tcPr>
          <w:p w14:paraId="51B34C65">
            <w:pPr>
              <w:jc w:val="center"/>
              <w:rPr>
                <w:color w:val="000000"/>
                <w:szCs w:val="21"/>
              </w:rPr>
            </w:pPr>
            <w:r>
              <w:rPr>
                <w:color w:val="000000"/>
                <w:szCs w:val="21"/>
              </w:rPr>
              <w:t>240</w:t>
            </w:r>
          </w:p>
        </w:tc>
      </w:tr>
      <w:tr w14:paraId="09A37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4347DD4">
            <w:pPr>
              <w:jc w:val="center"/>
              <w:rPr>
                <w:color w:val="000000"/>
                <w:szCs w:val="21"/>
              </w:rPr>
            </w:pPr>
            <w:r>
              <w:rPr>
                <w:rFonts w:hint="eastAsia"/>
                <w:color w:val="000000"/>
                <w:szCs w:val="21"/>
              </w:rPr>
              <w:t>0</w:t>
            </w:r>
            <w:r>
              <w:rPr>
                <w:color w:val="000000"/>
                <w:szCs w:val="21"/>
              </w:rPr>
              <w:t>9</w:t>
            </w:r>
          </w:p>
        </w:tc>
        <w:tc>
          <w:tcPr>
            <w:tcW w:w="0" w:type="auto"/>
            <w:noWrap w:val="0"/>
            <w:vAlign w:val="center"/>
          </w:tcPr>
          <w:p w14:paraId="05BD2378">
            <w:pPr>
              <w:jc w:val="center"/>
              <w:rPr>
                <w:rFonts w:eastAsia="楷体_GB2312"/>
                <w:color w:val="000000"/>
                <w:szCs w:val="21"/>
              </w:rPr>
            </w:pPr>
            <w:r>
              <w:rPr>
                <w:rFonts w:eastAsia="楷体_GB2312"/>
                <w:color w:val="000000"/>
                <w:szCs w:val="21"/>
              </w:rPr>
              <w:t>经十一路</w:t>
            </w:r>
          </w:p>
        </w:tc>
        <w:tc>
          <w:tcPr>
            <w:tcW w:w="0" w:type="auto"/>
            <w:noWrap w:val="0"/>
            <w:vAlign w:val="center"/>
          </w:tcPr>
          <w:p w14:paraId="5EE21A83">
            <w:pPr>
              <w:jc w:val="center"/>
              <w:rPr>
                <w:rFonts w:eastAsia="楷体_GB2312"/>
                <w:color w:val="000000"/>
                <w:szCs w:val="21"/>
              </w:rPr>
            </w:pPr>
            <w:r>
              <w:rPr>
                <w:rFonts w:eastAsia="楷体_GB2312"/>
                <w:color w:val="000000"/>
                <w:szCs w:val="21"/>
              </w:rPr>
              <w:t>次干道</w:t>
            </w:r>
          </w:p>
        </w:tc>
        <w:tc>
          <w:tcPr>
            <w:tcW w:w="0" w:type="auto"/>
            <w:noWrap w:val="0"/>
            <w:vAlign w:val="center"/>
          </w:tcPr>
          <w:p w14:paraId="4A517A02">
            <w:pPr>
              <w:jc w:val="center"/>
              <w:rPr>
                <w:color w:val="000000"/>
                <w:szCs w:val="21"/>
              </w:rPr>
            </w:pPr>
            <w:r>
              <w:rPr>
                <w:color w:val="000000"/>
                <w:szCs w:val="21"/>
              </w:rPr>
              <w:t>0.7</w:t>
            </w:r>
          </w:p>
        </w:tc>
        <w:tc>
          <w:tcPr>
            <w:tcW w:w="0" w:type="auto"/>
            <w:noWrap w:val="0"/>
            <w:vAlign w:val="center"/>
          </w:tcPr>
          <w:p w14:paraId="3CB29F23">
            <w:pPr>
              <w:jc w:val="center"/>
              <w:rPr>
                <w:color w:val="000000"/>
                <w:szCs w:val="21"/>
              </w:rPr>
            </w:pPr>
            <w:r>
              <w:rPr>
                <w:color w:val="000000"/>
                <w:szCs w:val="21"/>
              </w:rPr>
              <w:t>2</w:t>
            </w:r>
          </w:p>
        </w:tc>
        <w:tc>
          <w:tcPr>
            <w:tcW w:w="0" w:type="auto"/>
            <w:noWrap w:val="0"/>
            <w:vAlign w:val="center"/>
          </w:tcPr>
          <w:p w14:paraId="587B718A">
            <w:pPr>
              <w:jc w:val="center"/>
              <w:rPr>
                <w:color w:val="000000"/>
                <w:szCs w:val="21"/>
              </w:rPr>
            </w:pPr>
            <w:r>
              <w:rPr>
                <w:color w:val="000000"/>
                <w:szCs w:val="21"/>
              </w:rPr>
              <w:t>70</w:t>
            </w:r>
          </w:p>
        </w:tc>
        <w:tc>
          <w:tcPr>
            <w:tcW w:w="0" w:type="auto"/>
            <w:noWrap w:val="0"/>
            <w:vAlign w:val="center"/>
          </w:tcPr>
          <w:p w14:paraId="18582E7C">
            <w:pPr>
              <w:jc w:val="center"/>
              <w:rPr>
                <w:color w:val="000000"/>
                <w:szCs w:val="21"/>
              </w:rPr>
            </w:pPr>
            <w:r>
              <w:rPr>
                <w:color w:val="000000"/>
                <w:szCs w:val="21"/>
              </w:rPr>
              <w:t>240</w:t>
            </w:r>
          </w:p>
        </w:tc>
      </w:tr>
      <w:tr w14:paraId="58CDB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B97D3DA">
            <w:pPr>
              <w:jc w:val="center"/>
              <w:rPr>
                <w:color w:val="000000"/>
                <w:szCs w:val="21"/>
              </w:rPr>
            </w:pPr>
            <w:r>
              <w:rPr>
                <w:color w:val="000000"/>
                <w:szCs w:val="21"/>
              </w:rPr>
              <w:t>10</w:t>
            </w:r>
          </w:p>
        </w:tc>
        <w:tc>
          <w:tcPr>
            <w:tcW w:w="0" w:type="auto"/>
            <w:noWrap w:val="0"/>
            <w:vAlign w:val="center"/>
          </w:tcPr>
          <w:p w14:paraId="5D410EC1">
            <w:pPr>
              <w:jc w:val="center"/>
              <w:rPr>
                <w:rFonts w:eastAsia="楷体_GB2312"/>
                <w:color w:val="000000"/>
                <w:szCs w:val="21"/>
              </w:rPr>
            </w:pPr>
            <w:r>
              <w:rPr>
                <w:rFonts w:eastAsia="楷体_GB2312"/>
                <w:color w:val="000000"/>
                <w:szCs w:val="21"/>
              </w:rPr>
              <w:t>和谐路</w:t>
            </w:r>
          </w:p>
        </w:tc>
        <w:tc>
          <w:tcPr>
            <w:tcW w:w="0" w:type="auto"/>
            <w:noWrap w:val="0"/>
            <w:vAlign w:val="center"/>
          </w:tcPr>
          <w:p w14:paraId="57D6D5EF">
            <w:pPr>
              <w:jc w:val="center"/>
              <w:rPr>
                <w:rFonts w:eastAsia="楷体_GB2312"/>
                <w:color w:val="000000"/>
                <w:szCs w:val="21"/>
              </w:rPr>
            </w:pPr>
            <w:r>
              <w:rPr>
                <w:rFonts w:eastAsia="楷体_GB2312"/>
                <w:color w:val="000000"/>
                <w:szCs w:val="21"/>
              </w:rPr>
              <w:t>次干道</w:t>
            </w:r>
          </w:p>
        </w:tc>
        <w:tc>
          <w:tcPr>
            <w:tcW w:w="0" w:type="auto"/>
            <w:noWrap w:val="0"/>
            <w:vAlign w:val="center"/>
          </w:tcPr>
          <w:p w14:paraId="101C0D28">
            <w:pPr>
              <w:jc w:val="center"/>
              <w:rPr>
                <w:color w:val="000000"/>
                <w:szCs w:val="21"/>
              </w:rPr>
            </w:pPr>
            <w:r>
              <w:rPr>
                <w:color w:val="000000"/>
                <w:szCs w:val="21"/>
              </w:rPr>
              <w:t>0.7</w:t>
            </w:r>
          </w:p>
        </w:tc>
        <w:tc>
          <w:tcPr>
            <w:tcW w:w="0" w:type="auto"/>
            <w:noWrap w:val="0"/>
            <w:vAlign w:val="center"/>
          </w:tcPr>
          <w:p w14:paraId="1F277B1C">
            <w:pPr>
              <w:jc w:val="center"/>
              <w:rPr>
                <w:color w:val="000000"/>
                <w:szCs w:val="21"/>
              </w:rPr>
            </w:pPr>
            <w:r>
              <w:rPr>
                <w:color w:val="000000"/>
                <w:szCs w:val="21"/>
              </w:rPr>
              <w:t>2</w:t>
            </w:r>
          </w:p>
        </w:tc>
        <w:tc>
          <w:tcPr>
            <w:tcW w:w="0" w:type="auto"/>
            <w:noWrap w:val="0"/>
            <w:vAlign w:val="center"/>
          </w:tcPr>
          <w:p w14:paraId="581F7094">
            <w:pPr>
              <w:jc w:val="center"/>
              <w:rPr>
                <w:color w:val="000000"/>
                <w:szCs w:val="21"/>
              </w:rPr>
            </w:pPr>
            <w:r>
              <w:rPr>
                <w:color w:val="000000"/>
                <w:szCs w:val="21"/>
              </w:rPr>
              <w:t>70</w:t>
            </w:r>
          </w:p>
        </w:tc>
        <w:tc>
          <w:tcPr>
            <w:tcW w:w="0" w:type="auto"/>
            <w:noWrap w:val="0"/>
            <w:vAlign w:val="center"/>
          </w:tcPr>
          <w:p w14:paraId="5DCB632F">
            <w:pPr>
              <w:jc w:val="center"/>
              <w:rPr>
                <w:color w:val="000000"/>
                <w:szCs w:val="21"/>
              </w:rPr>
            </w:pPr>
            <w:r>
              <w:rPr>
                <w:color w:val="000000"/>
                <w:szCs w:val="21"/>
              </w:rPr>
              <w:t>240</w:t>
            </w:r>
          </w:p>
        </w:tc>
      </w:tr>
      <w:tr w14:paraId="2008C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E6AEE47">
            <w:pPr>
              <w:jc w:val="center"/>
              <w:rPr>
                <w:color w:val="000000"/>
                <w:szCs w:val="21"/>
              </w:rPr>
            </w:pPr>
            <w:r>
              <w:rPr>
                <w:color w:val="000000"/>
                <w:szCs w:val="21"/>
              </w:rPr>
              <w:t>11</w:t>
            </w:r>
          </w:p>
        </w:tc>
        <w:tc>
          <w:tcPr>
            <w:tcW w:w="0" w:type="auto"/>
            <w:noWrap w:val="0"/>
            <w:vAlign w:val="center"/>
          </w:tcPr>
          <w:p w14:paraId="7CC12CBD">
            <w:pPr>
              <w:jc w:val="center"/>
              <w:rPr>
                <w:rFonts w:eastAsia="楷体_GB2312"/>
                <w:color w:val="000000"/>
                <w:szCs w:val="21"/>
              </w:rPr>
            </w:pPr>
            <w:r>
              <w:rPr>
                <w:rFonts w:eastAsia="楷体_GB2312"/>
                <w:color w:val="000000"/>
                <w:szCs w:val="21"/>
              </w:rPr>
              <w:t>沿河北路</w:t>
            </w:r>
          </w:p>
        </w:tc>
        <w:tc>
          <w:tcPr>
            <w:tcW w:w="0" w:type="auto"/>
            <w:noWrap w:val="0"/>
            <w:vAlign w:val="center"/>
          </w:tcPr>
          <w:p w14:paraId="659079BE">
            <w:pPr>
              <w:jc w:val="center"/>
              <w:rPr>
                <w:rFonts w:eastAsia="楷体_GB2312"/>
                <w:color w:val="000000"/>
                <w:szCs w:val="21"/>
              </w:rPr>
            </w:pPr>
            <w:r>
              <w:rPr>
                <w:rFonts w:eastAsia="楷体_GB2312"/>
                <w:color w:val="000000"/>
                <w:szCs w:val="21"/>
              </w:rPr>
              <w:t>支路</w:t>
            </w:r>
          </w:p>
        </w:tc>
        <w:tc>
          <w:tcPr>
            <w:tcW w:w="0" w:type="auto"/>
            <w:noWrap w:val="0"/>
            <w:vAlign w:val="center"/>
          </w:tcPr>
          <w:p w14:paraId="6C5F0571">
            <w:pPr>
              <w:jc w:val="center"/>
              <w:rPr>
                <w:color w:val="000000"/>
                <w:szCs w:val="21"/>
              </w:rPr>
            </w:pPr>
            <w:r>
              <w:rPr>
                <w:color w:val="000000"/>
                <w:szCs w:val="21"/>
              </w:rPr>
              <w:t>0.4</w:t>
            </w:r>
          </w:p>
        </w:tc>
        <w:tc>
          <w:tcPr>
            <w:tcW w:w="0" w:type="auto"/>
            <w:noWrap w:val="0"/>
            <w:vAlign w:val="center"/>
          </w:tcPr>
          <w:p w14:paraId="26C19EE7">
            <w:pPr>
              <w:jc w:val="center"/>
              <w:rPr>
                <w:color w:val="000000"/>
                <w:szCs w:val="21"/>
              </w:rPr>
            </w:pPr>
            <w:r>
              <w:rPr>
                <w:color w:val="000000"/>
                <w:szCs w:val="21"/>
              </w:rPr>
              <w:t>3</w:t>
            </w:r>
          </w:p>
        </w:tc>
        <w:tc>
          <w:tcPr>
            <w:tcW w:w="0" w:type="auto"/>
            <w:noWrap w:val="0"/>
            <w:vAlign w:val="center"/>
          </w:tcPr>
          <w:p w14:paraId="4B717D19">
            <w:pPr>
              <w:jc w:val="center"/>
              <w:rPr>
                <w:color w:val="000000"/>
                <w:szCs w:val="21"/>
              </w:rPr>
            </w:pPr>
            <w:r>
              <w:rPr>
                <w:color w:val="000000"/>
                <w:szCs w:val="21"/>
              </w:rPr>
              <w:t>40</w:t>
            </w:r>
          </w:p>
        </w:tc>
        <w:tc>
          <w:tcPr>
            <w:tcW w:w="0" w:type="auto"/>
            <w:noWrap w:val="0"/>
            <w:vAlign w:val="center"/>
          </w:tcPr>
          <w:p w14:paraId="6BEEA517">
            <w:pPr>
              <w:jc w:val="center"/>
              <w:rPr>
                <w:color w:val="000000"/>
                <w:szCs w:val="21"/>
              </w:rPr>
            </w:pPr>
            <w:r>
              <w:rPr>
                <w:color w:val="000000"/>
                <w:szCs w:val="21"/>
              </w:rPr>
              <w:t>200</w:t>
            </w:r>
          </w:p>
        </w:tc>
      </w:tr>
      <w:tr w14:paraId="0E840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95240E4">
            <w:pPr>
              <w:jc w:val="center"/>
              <w:rPr>
                <w:color w:val="000000"/>
                <w:szCs w:val="21"/>
              </w:rPr>
            </w:pPr>
            <w:r>
              <w:rPr>
                <w:color w:val="000000"/>
                <w:szCs w:val="21"/>
              </w:rPr>
              <w:t>12</w:t>
            </w:r>
          </w:p>
        </w:tc>
        <w:tc>
          <w:tcPr>
            <w:tcW w:w="0" w:type="auto"/>
            <w:noWrap w:val="0"/>
            <w:vAlign w:val="center"/>
          </w:tcPr>
          <w:p w14:paraId="1EC16A07">
            <w:pPr>
              <w:jc w:val="center"/>
              <w:rPr>
                <w:rFonts w:eastAsia="楷体_GB2312"/>
                <w:color w:val="000000"/>
                <w:szCs w:val="21"/>
              </w:rPr>
            </w:pPr>
            <w:r>
              <w:rPr>
                <w:rFonts w:eastAsia="楷体_GB2312"/>
                <w:color w:val="000000"/>
                <w:szCs w:val="21"/>
              </w:rPr>
              <w:t>沿河南路</w:t>
            </w:r>
          </w:p>
        </w:tc>
        <w:tc>
          <w:tcPr>
            <w:tcW w:w="0" w:type="auto"/>
            <w:noWrap w:val="0"/>
            <w:vAlign w:val="center"/>
          </w:tcPr>
          <w:p w14:paraId="69EDBD60">
            <w:pPr>
              <w:jc w:val="center"/>
              <w:rPr>
                <w:rFonts w:eastAsia="楷体_GB2312"/>
                <w:color w:val="000000"/>
                <w:szCs w:val="21"/>
              </w:rPr>
            </w:pPr>
            <w:r>
              <w:rPr>
                <w:rFonts w:eastAsia="楷体_GB2312"/>
                <w:color w:val="000000"/>
                <w:szCs w:val="21"/>
              </w:rPr>
              <w:t>支路</w:t>
            </w:r>
          </w:p>
        </w:tc>
        <w:tc>
          <w:tcPr>
            <w:tcW w:w="0" w:type="auto"/>
            <w:noWrap w:val="0"/>
            <w:vAlign w:val="center"/>
          </w:tcPr>
          <w:p w14:paraId="0F284931">
            <w:pPr>
              <w:jc w:val="center"/>
              <w:rPr>
                <w:color w:val="000000"/>
                <w:szCs w:val="21"/>
              </w:rPr>
            </w:pPr>
            <w:r>
              <w:rPr>
                <w:color w:val="000000"/>
                <w:szCs w:val="21"/>
              </w:rPr>
              <w:t>0.4</w:t>
            </w:r>
          </w:p>
        </w:tc>
        <w:tc>
          <w:tcPr>
            <w:tcW w:w="0" w:type="auto"/>
            <w:noWrap w:val="0"/>
            <w:vAlign w:val="center"/>
          </w:tcPr>
          <w:p w14:paraId="08C8C4F0">
            <w:pPr>
              <w:jc w:val="center"/>
              <w:rPr>
                <w:color w:val="000000"/>
                <w:szCs w:val="21"/>
              </w:rPr>
            </w:pPr>
            <w:r>
              <w:rPr>
                <w:color w:val="000000"/>
                <w:szCs w:val="21"/>
              </w:rPr>
              <w:t>3</w:t>
            </w:r>
          </w:p>
        </w:tc>
        <w:tc>
          <w:tcPr>
            <w:tcW w:w="0" w:type="auto"/>
            <w:noWrap w:val="0"/>
            <w:vAlign w:val="center"/>
          </w:tcPr>
          <w:p w14:paraId="1E82BFC4">
            <w:pPr>
              <w:jc w:val="center"/>
              <w:rPr>
                <w:color w:val="000000"/>
                <w:szCs w:val="21"/>
              </w:rPr>
            </w:pPr>
            <w:r>
              <w:rPr>
                <w:color w:val="000000"/>
                <w:szCs w:val="21"/>
              </w:rPr>
              <w:t>40</w:t>
            </w:r>
          </w:p>
        </w:tc>
        <w:tc>
          <w:tcPr>
            <w:tcW w:w="0" w:type="auto"/>
            <w:noWrap w:val="0"/>
            <w:vAlign w:val="center"/>
          </w:tcPr>
          <w:p w14:paraId="3AD2E41A">
            <w:pPr>
              <w:jc w:val="center"/>
              <w:rPr>
                <w:color w:val="000000"/>
                <w:szCs w:val="21"/>
              </w:rPr>
            </w:pPr>
            <w:r>
              <w:rPr>
                <w:color w:val="000000"/>
                <w:szCs w:val="21"/>
              </w:rPr>
              <w:t>200</w:t>
            </w:r>
          </w:p>
        </w:tc>
      </w:tr>
      <w:tr w14:paraId="54AB5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42A0522">
            <w:pPr>
              <w:jc w:val="center"/>
              <w:rPr>
                <w:color w:val="000000"/>
                <w:szCs w:val="21"/>
              </w:rPr>
            </w:pPr>
            <w:r>
              <w:rPr>
                <w:color w:val="000000"/>
                <w:szCs w:val="21"/>
              </w:rPr>
              <w:t>13</w:t>
            </w:r>
          </w:p>
        </w:tc>
        <w:tc>
          <w:tcPr>
            <w:tcW w:w="0" w:type="auto"/>
            <w:noWrap w:val="0"/>
            <w:vAlign w:val="center"/>
          </w:tcPr>
          <w:p w14:paraId="0491EA38">
            <w:pPr>
              <w:jc w:val="center"/>
              <w:rPr>
                <w:rFonts w:eastAsia="楷体_GB2312"/>
                <w:color w:val="000000"/>
                <w:szCs w:val="21"/>
              </w:rPr>
            </w:pPr>
            <w:r>
              <w:rPr>
                <w:rFonts w:eastAsia="楷体_GB2312"/>
                <w:color w:val="000000"/>
                <w:szCs w:val="21"/>
              </w:rPr>
              <w:t>富民路</w:t>
            </w:r>
          </w:p>
        </w:tc>
        <w:tc>
          <w:tcPr>
            <w:tcW w:w="0" w:type="auto"/>
            <w:noWrap w:val="0"/>
            <w:vAlign w:val="center"/>
          </w:tcPr>
          <w:p w14:paraId="6F4DDFD7">
            <w:pPr>
              <w:jc w:val="center"/>
              <w:rPr>
                <w:rFonts w:eastAsia="楷体_GB2312"/>
                <w:color w:val="000000"/>
                <w:szCs w:val="21"/>
              </w:rPr>
            </w:pPr>
            <w:r>
              <w:rPr>
                <w:rFonts w:eastAsia="楷体_GB2312"/>
                <w:color w:val="000000"/>
                <w:szCs w:val="21"/>
              </w:rPr>
              <w:t>支路</w:t>
            </w:r>
          </w:p>
        </w:tc>
        <w:tc>
          <w:tcPr>
            <w:tcW w:w="0" w:type="auto"/>
            <w:noWrap w:val="0"/>
            <w:vAlign w:val="center"/>
          </w:tcPr>
          <w:p w14:paraId="5FE69FEC">
            <w:pPr>
              <w:jc w:val="center"/>
              <w:rPr>
                <w:color w:val="000000"/>
                <w:szCs w:val="21"/>
              </w:rPr>
            </w:pPr>
            <w:r>
              <w:rPr>
                <w:color w:val="000000"/>
                <w:szCs w:val="21"/>
              </w:rPr>
              <w:t>0.4</w:t>
            </w:r>
          </w:p>
        </w:tc>
        <w:tc>
          <w:tcPr>
            <w:tcW w:w="0" w:type="auto"/>
            <w:noWrap w:val="0"/>
            <w:vAlign w:val="center"/>
          </w:tcPr>
          <w:p w14:paraId="7B99E94F">
            <w:pPr>
              <w:jc w:val="center"/>
              <w:rPr>
                <w:color w:val="000000"/>
                <w:szCs w:val="21"/>
              </w:rPr>
            </w:pPr>
            <w:r>
              <w:rPr>
                <w:color w:val="000000"/>
                <w:szCs w:val="21"/>
              </w:rPr>
              <w:t>3</w:t>
            </w:r>
          </w:p>
        </w:tc>
        <w:tc>
          <w:tcPr>
            <w:tcW w:w="0" w:type="auto"/>
            <w:noWrap w:val="0"/>
            <w:vAlign w:val="center"/>
          </w:tcPr>
          <w:p w14:paraId="101F1F7F">
            <w:pPr>
              <w:jc w:val="center"/>
              <w:rPr>
                <w:color w:val="000000"/>
                <w:szCs w:val="21"/>
              </w:rPr>
            </w:pPr>
            <w:r>
              <w:rPr>
                <w:color w:val="000000"/>
                <w:szCs w:val="21"/>
              </w:rPr>
              <w:t>40</w:t>
            </w:r>
          </w:p>
        </w:tc>
        <w:tc>
          <w:tcPr>
            <w:tcW w:w="0" w:type="auto"/>
            <w:noWrap w:val="0"/>
            <w:vAlign w:val="center"/>
          </w:tcPr>
          <w:p w14:paraId="4BB6147B">
            <w:pPr>
              <w:jc w:val="center"/>
              <w:rPr>
                <w:color w:val="000000"/>
                <w:szCs w:val="21"/>
              </w:rPr>
            </w:pPr>
            <w:r>
              <w:rPr>
                <w:color w:val="000000"/>
                <w:szCs w:val="21"/>
              </w:rPr>
              <w:t>200</w:t>
            </w:r>
          </w:p>
        </w:tc>
      </w:tr>
      <w:tr w14:paraId="682BA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2828711">
            <w:pPr>
              <w:jc w:val="center"/>
              <w:rPr>
                <w:color w:val="000000"/>
                <w:szCs w:val="21"/>
              </w:rPr>
            </w:pPr>
            <w:r>
              <w:rPr>
                <w:color w:val="000000"/>
                <w:szCs w:val="21"/>
              </w:rPr>
              <w:t>14</w:t>
            </w:r>
          </w:p>
        </w:tc>
        <w:tc>
          <w:tcPr>
            <w:tcW w:w="0" w:type="auto"/>
            <w:noWrap w:val="0"/>
            <w:vAlign w:val="center"/>
          </w:tcPr>
          <w:p w14:paraId="7F969636">
            <w:pPr>
              <w:jc w:val="center"/>
              <w:rPr>
                <w:rFonts w:eastAsia="楷体_GB2312"/>
                <w:color w:val="000000"/>
                <w:szCs w:val="21"/>
              </w:rPr>
            </w:pPr>
            <w:r>
              <w:rPr>
                <w:rFonts w:eastAsia="楷体_GB2312"/>
                <w:color w:val="000000"/>
                <w:szCs w:val="21"/>
              </w:rPr>
              <w:t>爱国路</w:t>
            </w:r>
          </w:p>
        </w:tc>
        <w:tc>
          <w:tcPr>
            <w:tcW w:w="0" w:type="auto"/>
            <w:noWrap w:val="0"/>
            <w:vAlign w:val="center"/>
          </w:tcPr>
          <w:p w14:paraId="2BE3D738">
            <w:pPr>
              <w:jc w:val="center"/>
              <w:rPr>
                <w:rFonts w:eastAsia="楷体_GB2312"/>
                <w:color w:val="000000"/>
                <w:szCs w:val="21"/>
              </w:rPr>
            </w:pPr>
            <w:r>
              <w:rPr>
                <w:rFonts w:eastAsia="楷体_GB2312"/>
                <w:color w:val="000000"/>
                <w:szCs w:val="21"/>
              </w:rPr>
              <w:t>支路</w:t>
            </w:r>
          </w:p>
        </w:tc>
        <w:tc>
          <w:tcPr>
            <w:tcW w:w="0" w:type="auto"/>
            <w:noWrap w:val="0"/>
            <w:vAlign w:val="center"/>
          </w:tcPr>
          <w:p w14:paraId="73553E19">
            <w:pPr>
              <w:jc w:val="center"/>
              <w:rPr>
                <w:color w:val="000000"/>
                <w:szCs w:val="21"/>
              </w:rPr>
            </w:pPr>
            <w:r>
              <w:rPr>
                <w:color w:val="000000"/>
                <w:szCs w:val="21"/>
              </w:rPr>
              <w:t>0.4</w:t>
            </w:r>
          </w:p>
        </w:tc>
        <w:tc>
          <w:tcPr>
            <w:tcW w:w="0" w:type="auto"/>
            <w:noWrap w:val="0"/>
            <w:vAlign w:val="center"/>
          </w:tcPr>
          <w:p w14:paraId="6ED159D6">
            <w:pPr>
              <w:jc w:val="center"/>
              <w:rPr>
                <w:color w:val="000000"/>
                <w:szCs w:val="21"/>
              </w:rPr>
            </w:pPr>
            <w:r>
              <w:rPr>
                <w:color w:val="000000"/>
                <w:szCs w:val="21"/>
              </w:rPr>
              <w:t>3</w:t>
            </w:r>
          </w:p>
        </w:tc>
        <w:tc>
          <w:tcPr>
            <w:tcW w:w="0" w:type="auto"/>
            <w:noWrap w:val="0"/>
            <w:vAlign w:val="center"/>
          </w:tcPr>
          <w:p w14:paraId="244D7B0B">
            <w:pPr>
              <w:jc w:val="center"/>
              <w:rPr>
                <w:color w:val="000000"/>
                <w:szCs w:val="21"/>
              </w:rPr>
            </w:pPr>
            <w:r>
              <w:rPr>
                <w:color w:val="000000"/>
                <w:szCs w:val="21"/>
              </w:rPr>
              <w:t>40</w:t>
            </w:r>
          </w:p>
        </w:tc>
        <w:tc>
          <w:tcPr>
            <w:tcW w:w="0" w:type="auto"/>
            <w:noWrap w:val="0"/>
            <w:vAlign w:val="center"/>
          </w:tcPr>
          <w:p w14:paraId="4F4AFE55">
            <w:pPr>
              <w:jc w:val="center"/>
              <w:rPr>
                <w:color w:val="000000"/>
                <w:szCs w:val="21"/>
              </w:rPr>
            </w:pPr>
            <w:r>
              <w:rPr>
                <w:color w:val="000000"/>
                <w:szCs w:val="21"/>
              </w:rPr>
              <w:t>200</w:t>
            </w:r>
          </w:p>
        </w:tc>
      </w:tr>
      <w:tr w14:paraId="7EA95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097A2E7">
            <w:pPr>
              <w:jc w:val="center"/>
              <w:rPr>
                <w:color w:val="000000"/>
                <w:szCs w:val="21"/>
              </w:rPr>
            </w:pPr>
            <w:r>
              <w:rPr>
                <w:color w:val="000000"/>
                <w:szCs w:val="21"/>
              </w:rPr>
              <w:t>15</w:t>
            </w:r>
          </w:p>
        </w:tc>
        <w:tc>
          <w:tcPr>
            <w:tcW w:w="0" w:type="auto"/>
            <w:noWrap w:val="0"/>
            <w:vAlign w:val="center"/>
          </w:tcPr>
          <w:p w14:paraId="5882B8E1">
            <w:pPr>
              <w:jc w:val="center"/>
              <w:rPr>
                <w:rFonts w:eastAsia="楷体_GB2312"/>
                <w:color w:val="000000"/>
                <w:szCs w:val="21"/>
              </w:rPr>
            </w:pPr>
            <w:r>
              <w:rPr>
                <w:rFonts w:eastAsia="楷体_GB2312"/>
                <w:color w:val="000000"/>
                <w:szCs w:val="21"/>
              </w:rPr>
              <w:t>平安路</w:t>
            </w:r>
          </w:p>
        </w:tc>
        <w:tc>
          <w:tcPr>
            <w:tcW w:w="0" w:type="auto"/>
            <w:noWrap w:val="0"/>
            <w:vAlign w:val="center"/>
          </w:tcPr>
          <w:p w14:paraId="650E936A">
            <w:pPr>
              <w:jc w:val="center"/>
              <w:rPr>
                <w:rFonts w:eastAsia="楷体_GB2312"/>
                <w:color w:val="000000"/>
                <w:szCs w:val="21"/>
              </w:rPr>
            </w:pPr>
            <w:r>
              <w:rPr>
                <w:rFonts w:eastAsia="楷体_GB2312"/>
                <w:color w:val="000000"/>
                <w:szCs w:val="21"/>
              </w:rPr>
              <w:t>支路</w:t>
            </w:r>
          </w:p>
        </w:tc>
        <w:tc>
          <w:tcPr>
            <w:tcW w:w="0" w:type="auto"/>
            <w:noWrap w:val="0"/>
            <w:vAlign w:val="center"/>
          </w:tcPr>
          <w:p w14:paraId="62FA54DE">
            <w:pPr>
              <w:jc w:val="center"/>
              <w:rPr>
                <w:color w:val="000000"/>
                <w:szCs w:val="21"/>
              </w:rPr>
            </w:pPr>
            <w:r>
              <w:rPr>
                <w:color w:val="000000"/>
                <w:szCs w:val="21"/>
              </w:rPr>
              <w:t>0.4</w:t>
            </w:r>
          </w:p>
        </w:tc>
        <w:tc>
          <w:tcPr>
            <w:tcW w:w="0" w:type="auto"/>
            <w:noWrap w:val="0"/>
            <w:vAlign w:val="center"/>
          </w:tcPr>
          <w:p w14:paraId="70BDFB3C">
            <w:pPr>
              <w:jc w:val="center"/>
              <w:rPr>
                <w:color w:val="000000"/>
                <w:szCs w:val="21"/>
              </w:rPr>
            </w:pPr>
            <w:r>
              <w:rPr>
                <w:color w:val="000000"/>
                <w:szCs w:val="21"/>
              </w:rPr>
              <w:t>3</w:t>
            </w:r>
          </w:p>
        </w:tc>
        <w:tc>
          <w:tcPr>
            <w:tcW w:w="0" w:type="auto"/>
            <w:noWrap w:val="0"/>
            <w:vAlign w:val="center"/>
          </w:tcPr>
          <w:p w14:paraId="34372A95">
            <w:pPr>
              <w:jc w:val="center"/>
              <w:rPr>
                <w:color w:val="000000"/>
                <w:szCs w:val="21"/>
              </w:rPr>
            </w:pPr>
            <w:r>
              <w:rPr>
                <w:color w:val="000000"/>
                <w:szCs w:val="21"/>
              </w:rPr>
              <w:t>40</w:t>
            </w:r>
          </w:p>
        </w:tc>
        <w:tc>
          <w:tcPr>
            <w:tcW w:w="0" w:type="auto"/>
            <w:noWrap w:val="0"/>
            <w:vAlign w:val="center"/>
          </w:tcPr>
          <w:p w14:paraId="424DDE35">
            <w:pPr>
              <w:jc w:val="center"/>
              <w:rPr>
                <w:color w:val="000000"/>
                <w:szCs w:val="21"/>
              </w:rPr>
            </w:pPr>
            <w:r>
              <w:rPr>
                <w:color w:val="000000"/>
                <w:szCs w:val="21"/>
              </w:rPr>
              <w:t>200</w:t>
            </w:r>
          </w:p>
        </w:tc>
      </w:tr>
      <w:tr w14:paraId="0823A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C8BA44B">
            <w:pPr>
              <w:jc w:val="center"/>
              <w:rPr>
                <w:color w:val="000000"/>
                <w:szCs w:val="21"/>
              </w:rPr>
            </w:pPr>
            <w:r>
              <w:rPr>
                <w:color w:val="000000"/>
                <w:szCs w:val="21"/>
              </w:rPr>
              <w:t>16</w:t>
            </w:r>
          </w:p>
        </w:tc>
        <w:tc>
          <w:tcPr>
            <w:tcW w:w="0" w:type="auto"/>
            <w:noWrap w:val="0"/>
            <w:vAlign w:val="center"/>
          </w:tcPr>
          <w:p w14:paraId="03843D5E">
            <w:pPr>
              <w:jc w:val="center"/>
              <w:rPr>
                <w:rFonts w:eastAsia="楷体_GB2312"/>
                <w:color w:val="000000"/>
                <w:szCs w:val="21"/>
              </w:rPr>
            </w:pPr>
            <w:r>
              <w:rPr>
                <w:rFonts w:eastAsia="楷体_GB2312"/>
                <w:color w:val="000000"/>
                <w:szCs w:val="21"/>
              </w:rPr>
              <w:t>经八路</w:t>
            </w:r>
          </w:p>
        </w:tc>
        <w:tc>
          <w:tcPr>
            <w:tcW w:w="0" w:type="auto"/>
            <w:noWrap w:val="0"/>
            <w:vAlign w:val="center"/>
          </w:tcPr>
          <w:p w14:paraId="2273D2E3">
            <w:pPr>
              <w:jc w:val="center"/>
              <w:rPr>
                <w:rFonts w:eastAsia="楷体_GB2312"/>
                <w:color w:val="000000"/>
                <w:szCs w:val="21"/>
              </w:rPr>
            </w:pPr>
            <w:r>
              <w:rPr>
                <w:rFonts w:eastAsia="楷体_GB2312"/>
                <w:color w:val="000000"/>
                <w:szCs w:val="21"/>
              </w:rPr>
              <w:t>支路</w:t>
            </w:r>
          </w:p>
        </w:tc>
        <w:tc>
          <w:tcPr>
            <w:tcW w:w="0" w:type="auto"/>
            <w:noWrap w:val="0"/>
            <w:vAlign w:val="center"/>
          </w:tcPr>
          <w:p w14:paraId="44FBE7B2">
            <w:pPr>
              <w:jc w:val="center"/>
              <w:rPr>
                <w:color w:val="000000"/>
                <w:szCs w:val="21"/>
              </w:rPr>
            </w:pPr>
            <w:r>
              <w:rPr>
                <w:color w:val="000000"/>
                <w:szCs w:val="21"/>
              </w:rPr>
              <w:t>0.4</w:t>
            </w:r>
          </w:p>
        </w:tc>
        <w:tc>
          <w:tcPr>
            <w:tcW w:w="0" w:type="auto"/>
            <w:noWrap w:val="0"/>
            <w:vAlign w:val="center"/>
          </w:tcPr>
          <w:p w14:paraId="0B6DE607">
            <w:pPr>
              <w:jc w:val="center"/>
              <w:rPr>
                <w:color w:val="000000"/>
                <w:szCs w:val="21"/>
              </w:rPr>
            </w:pPr>
            <w:r>
              <w:rPr>
                <w:color w:val="000000"/>
                <w:szCs w:val="21"/>
              </w:rPr>
              <w:t>3</w:t>
            </w:r>
          </w:p>
        </w:tc>
        <w:tc>
          <w:tcPr>
            <w:tcW w:w="0" w:type="auto"/>
            <w:noWrap w:val="0"/>
            <w:vAlign w:val="center"/>
          </w:tcPr>
          <w:p w14:paraId="09BDB234">
            <w:pPr>
              <w:jc w:val="center"/>
              <w:rPr>
                <w:color w:val="000000"/>
                <w:szCs w:val="21"/>
              </w:rPr>
            </w:pPr>
            <w:r>
              <w:rPr>
                <w:color w:val="000000"/>
                <w:szCs w:val="21"/>
              </w:rPr>
              <w:t>40</w:t>
            </w:r>
          </w:p>
        </w:tc>
        <w:tc>
          <w:tcPr>
            <w:tcW w:w="0" w:type="auto"/>
            <w:noWrap w:val="0"/>
            <w:vAlign w:val="center"/>
          </w:tcPr>
          <w:p w14:paraId="78EA0208">
            <w:pPr>
              <w:jc w:val="center"/>
              <w:rPr>
                <w:color w:val="000000"/>
                <w:szCs w:val="21"/>
              </w:rPr>
            </w:pPr>
            <w:r>
              <w:rPr>
                <w:color w:val="000000"/>
                <w:szCs w:val="21"/>
              </w:rPr>
              <w:t>200</w:t>
            </w:r>
          </w:p>
        </w:tc>
      </w:tr>
      <w:tr w14:paraId="4C00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6A672B5">
            <w:pPr>
              <w:jc w:val="center"/>
              <w:rPr>
                <w:color w:val="000000"/>
                <w:szCs w:val="21"/>
              </w:rPr>
            </w:pPr>
            <w:r>
              <w:rPr>
                <w:color w:val="000000"/>
                <w:szCs w:val="21"/>
              </w:rPr>
              <w:t>17</w:t>
            </w:r>
          </w:p>
        </w:tc>
        <w:tc>
          <w:tcPr>
            <w:tcW w:w="0" w:type="auto"/>
            <w:noWrap w:val="0"/>
            <w:vAlign w:val="center"/>
          </w:tcPr>
          <w:p w14:paraId="60DAFD67">
            <w:pPr>
              <w:jc w:val="center"/>
              <w:rPr>
                <w:rFonts w:eastAsia="楷体_GB2312"/>
                <w:color w:val="000000"/>
                <w:szCs w:val="21"/>
              </w:rPr>
            </w:pPr>
            <w:r>
              <w:rPr>
                <w:rFonts w:eastAsia="楷体_GB2312"/>
                <w:color w:val="000000"/>
                <w:szCs w:val="21"/>
              </w:rPr>
              <w:t>经九路</w:t>
            </w:r>
          </w:p>
        </w:tc>
        <w:tc>
          <w:tcPr>
            <w:tcW w:w="0" w:type="auto"/>
            <w:noWrap w:val="0"/>
            <w:vAlign w:val="center"/>
          </w:tcPr>
          <w:p w14:paraId="178DBE1F">
            <w:pPr>
              <w:jc w:val="center"/>
              <w:rPr>
                <w:rFonts w:eastAsia="楷体_GB2312"/>
                <w:color w:val="000000"/>
                <w:szCs w:val="21"/>
              </w:rPr>
            </w:pPr>
            <w:r>
              <w:rPr>
                <w:rFonts w:eastAsia="楷体_GB2312"/>
                <w:color w:val="000000"/>
                <w:szCs w:val="21"/>
              </w:rPr>
              <w:t>支路</w:t>
            </w:r>
          </w:p>
        </w:tc>
        <w:tc>
          <w:tcPr>
            <w:tcW w:w="0" w:type="auto"/>
            <w:noWrap w:val="0"/>
            <w:vAlign w:val="center"/>
          </w:tcPr>
          <w:p w14:paraId="637F63EA">
            <w:pPr>
              <w:jc w:val="center"/>
              <w:rPr>
                <w:color w:val="000000"/>
                <w:szCs w:val="21"/>
              </w:rPr>
            </w:pPr>
            <w:r>
              <w:rPr>
                <w:color w:val="000000"/>
                <w:szCs w:val="21"/>
              </w:rPr>
              <w:t>0.4</w:t>
            </w:r>
          </w:p>
        </w:tc>
        <w:tc>
          <w:tcPr>
            <w:tcW w:w="0" w:type="auto"/>
            <w:noWrap w:val="0"/>
            <w:vAlign w:val="center"/>
          </w:tcPr>
          <w:p w14:paraId="7F0B7F45">
            <w:pPr>
              <w:jc w:val="center"/>
              <w:rPr>
                <w:color w:val="000000"/>
                <w:szCs w:val="21"/>
              </w:rPr>
            </w:pPr>
            <w:r>
              <w:rPr>
                <w:color w:val="000000"/>
                <w:szCs w:val="21"/>
              </w:rPr>
              <w:t>3</w:t>
            </w:r>
          </w:p>
        </w:tc>
        <w:tc>
          <w:tcPr>
            <w:tcW w:w="0" w:type="auto"/>
            <w:noWrap w:val="0"/>
            <w:vAlign w:val="center"/>
          </w:tcPr>
          <w:p w14:paraId="79DCF971">
            <w:pPr>
              <w:jc w:val="center"/>
              <w:rPr>
                <w:color w:val="000000"/>
                <w:szCs w:val="21"/>
              </w:rPr>
            </w:pPr>
            <w:r>
              <w:rPr>
                <w:color w:val="000000"/>
                <w:szCs w:val="21"/>
              </w:rPr>
              <w:t>40</w:t>
            </w:r>
          </w:p>
        </w:tc>
        <w:tc>
          <w:tcPr>
            <w:tcW w:w="0" w:type="auto"/>
            <w:noWrap w:val="0"/>
            <w:vAlign w:val="center"/>
          </w:tcPr>
          <w:p w14:paraId="3A4D68F6">
            <w:pPr>
              <w:jc w:val="center"/>
              <w:rPr>
                <w:color w:val="000000"/>
                <w:szCs w:val="21"/>
              </w:rPr>
            </w:pPr>
            <w:r>
              <w:rPr>
                <w:color w:val="000000"/>
                <w:szCs w:val="21"/>
              </w:rPr>
              <w:t>200</w:t>
            </w:r>
          </w:p>
        </w:tc>
      </w:tr>
      <w:tr w14:paraId="2104E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DC30152">
            <w:pPr>
              <w:jc w:val="center"/>
              <w:rPr>
                <w:color w:val="000000"/>
                <w:szCs w:val="21"/>
              </w:rPr>
            </w:pPr>
            <w:r>
              <w:rPr>
                <w:color w:val="000000"/>
                <w:szCs w:val="21"/>
              </w:rPr>
              <w:t>18</w:t>
            </w:r>
          </w:p>
        </w:tc>
        <w:tc>
          <w:tcPr>
            <w:tcW w:w="0" w:type="auto"/>
            <w:noWrap w:val="0"/>
            <w:vAlign w:val="center"/>
          </w:tcPr>
          <w:p w14:paraId="6FF0996F">
            <w:pPr>
              <w:jc w:val="center"/>
              <w:rPr>
                <w:rFonts w:eastAsia="楷体_GB2312"/>
                <w:color w:val="000000"/>
                <w:szCs w:val="21"/>
              </w:rPr>
            </w:pPr>
            <w:r>
              <w:rPr>
                <w:rFonts w:eastAsia="楷体_GB2312"/>
                <w:color w:val="000000"/>
                <w:szCs w:val="21"/>
              </w:rPr>
              <w:t>经十路</w:t>
            </w:r>
          </w:p>
        </w:tc>
        <w:tc>
          <w:tcPr>
            <w:tcW w:w="0" w:type="auto"/>
            <w:noWrap w:val="0"/>
            <w:vAlign w:val="center"/>
          </w:tcPr>
          <w:p w14:paraId="63027E28">
            <w:pPr>
              <w:jc w:val="center"/>
              <w:rPr>
                <w:rFonts w:eastAsia="楷体_GB2312"/>
                <w:color w:val="000000"/>
                <w:szCs w:val="21"/>
              </w:rPr>
            </w:pPr>
            <w:r>
              <w:rPr>
                <w:rFonts w:eastAsia="楷体_GB2312"/>
                <w:color w:val="000000"/>
                <w:szCs w:val="21"/>
              </w:rPr>
              <w:t>支路</w:t>
            </w:r>
          </w:p>
        </w:tc>
        <w:tc>
          <w:tcPr>
            <w:tcW w:w="0" w:type="auto"/>
            <w:noWrap w:val="0"/>
            <w:vAlign w:val="center"/>
          </w:tcPr>
          <w:p w14:paraId="133ACF6F">
            <w:pPr>
              <w:jc w:val="center"/>
              <w:rPr>
                <w:color w:val="000000"/>
                <w:szCs w:val="21"/>
              </w:rPr>
            </w:pPr>
            <w:r>
              <w:rPr>
                <w:color w:val="000000"/>
                <w:szCs w:val="21"/>
              </w:rPr>
              <w:t>0.4</w:t>
            </w:r>
          </w:p>
        </w:tc>
        <w:tc>
          <w:tcPr>
            <w:tcW w:w="0" w:type="auto"/>
            <w:noWrap w:val="0"/>
            <w:vAlign w:val="center"/>
          </w:tcPr>
          <w:p w14:paraId="755192CE">
            <w:pPr>
              <w:jc w:val="center"/>
              <w:rPr>
                <w:color w:val="000000"/>
                <w:szCs w:val="21"/>
              </w:rPr>
            </w:pPr>
            <w:r>
              <w:rPr>
                <w:color w:val="000000"/>
                <w:szCs w:val="21"/>
              </w:rPr>
              <w:t>3</w:t>
            </w:r>
          </w:p>
        </w:tc>
        <w:tc>
          <w:tcPr>
            <w:tcW w:w="0" w:type="auto"/>
            <w:noWrap w:val="0"/>
            <w:vAlign w:val="center"/>
          </w:tcPr>
          <w:p w14:paraId="77E4F2A4">
            <w:pPr>
              <w:jc w:val="center"/>
              <w:rPr>
                <w:color w:val="000000"/>
                <w:szCs w:val="21"/>
              </w:rPr>
            </w:pPr>
            <w:r>
              <w:rPr>
                <w:color w:val="000000"/>
                <w:szCs w:val="21"/>
              </w:rPr>
              <w:t>40</w:t>
            </w:r>
          </w:p>
        </w:tc>
        <w:tc>
          <w:tcPr>
            <w:tcW w:w="0" w:type="auto"/>
            <w:noWrap w:val="0"/>
            <w:vAlign w:val="center"/>
          </w:tcPr>
          <w:p w14:paraId="4F1CAB05">
            <w:pPr>
              <w:jc w:val="center"/>
              <w:rPr>
                <w:color w:val="000000"/>
                <w:szCs w:val="21"/>
              </w:rPr>
            </w:pPr>
            <w:r>
              <w:rPr>
                <w:color w:val="000000"/>
                <w:szCs w:val="21"/>
              </w:rPr>
              <w:t>200</w:t>
            </w:r>
          </w:p>
        </w:tc>
      </w:tr>
      <w:tr w14:paraId="3A26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05CCC3F">
            <w:pPr>
              <w:jc w:val="center"/>
              <w:rPr>
                <w:color w:val="000000"/>
                <w:szCs w:val="21"/>
              </w:rPr>
            </w:pPr>
            <w:r>
              <w:rPr>
                <w:color w:val="000000"/>
                <w:szCs w:val="21"/>
              </w:rPr>
              <w:t>19</w:t>
            </w:r>
          </w:p>
        </w:tc>
        <w:tc>
          <w:tcPr>
            <w:tcW w:w="0" w:type="auto"/>
            <w:noWrap w:val="0"/>
            <w:vAlign w:val="center"/>
          </w:tcPr>
          <w:p w14:paraId="55645FA9">
            <w:pPr>
              <w:jc w:val="center"/>
              <w:rPr>
                <w:rFonts w:eastAsia="楷体_GB2312"/>
                <w:color w:val="000000"/>
                <w:szCs w:val="21"/>
              </w:rPr>
            </w:pPr>
            <w:r>
              <w:rPr>
                <w:rFonts w:eastAsia="楷体_GB2312"/>
                <w:color w:val="000000"/>
                <w:szCs w:val="21"/>
              </w:rPr>
              <w:t>经十二路</w:t>
            </w:r>
          </w:p>
        </w:tc>
        <w:tc>
          <w:tcPr>
            <w:tcW w:w="0" w:type="auto"/>
            <w:noWrap w:val="0"/>
            <w:vAlign w:val="center"/>
          </w:tcPr>
          <w:p w14:paraId="7E25B042">
            <w:pPr>
              <w:jc w:val="center"/>
              <w:rPr>
                <w:rFonts w:eastAsia="楷体_GB2312"/>
                <w:color w:val="000000"/>
                <w:szCs w:val="21"/>
              </w:rPr>
            </w:pPr>
            <w:r>
              <w:rPr>
                <w:rFonts w:eastAsia="楷体_GB2312"/>
                <w:color w:val="000000"/>
                <w:szCs w:val="21"/>
              </w:rPr>
              <w:t>支路</w:t>
            </w:r>
          </w:p>
        </w:tc>
        <w:tc>
          <w:tcPr>
            <w:tcW w:w="0" w:type="auto"/>
            <w:noWrap w:val="0"/>
            <w:vAlign w:val="center"/>
          </w:tcPr>
          <w:p w14:paraId="0B82533F">
            <w:pPr>
              <w:jc w:val="center"/>
              <w:rPr>
                <w:color w:val="000000"/>
                <w:szCs w:val="21"/>
              </w:rPr>
            </w:pPr>
            <w:r>
              <w:rPr>
                <w:color w:val="000000"/>
                <w:szCs w:val="21"/>
              </w:rPr>
              <w:t>0.4</w:t>
            </w:r>
          </w:p>
        </w:tc>
        <w:tc>
          <w:tcPr>
            <w:tcW w:w="0" w:type="auto"/>
            <w:noWrap w:val="0"/>
            <w:vAlign w:val="center"/>
          </w:tcPr>
          <w:p w14:paraId="6C4BBA10">
            <w:pPr>
              <w:jc w:val="center"/>
              <w:rPr>
                <w:color w:val="000000"/>
                <w:szCs w:val="21"/>
              </w:rPr>
            </w:pPr>
            <w:r>
              <w:rPr>
                <w:color w:val="000000"/>
                <w:szCs w:val="21"/>
              </w:rPr>
              <w:t>3</w:t>
            </w:r>
          </w:p>
        </w:tc>
        <w:tc>
          <w:tcPr>
            <w:tcW w:w="0" w:type="auto"/>
            <w:noWrap w:val="0"/>
            <w:vAlign w:val="center"/>
          </w:tcPr>
          <w:p w14:paraId="00AA7426">
            <w:pPr>
              <w:jc w:val="center"/>
              <w:rPr>
                <w:color w:val="000000"/>
                <w:szCs w:val="21"/>
              </w:rPr>
            </w:pPr>
            <w:r>
              <w:rPr>
                <w:color w:val="000000"/>
                <w:szCs w:val="21"/>
              </w:rPr>
              <w:t>40</w:t>
            </w:r>
          </w:p>
        </w:tc>
        <w:tc>
          <w:tcPr>
            <w:tcW w:w="0" w:type="auto"/>
            <w:noWrap w:val="0"/>
            <w:vAlign w:val="center"/>
          </w:tcPr>
          <w:p w14:paraId="5042D065">
            <w:pPr>
              <w:jc w:val="center"/>
              <w:rPr>
                <w:color w:val="000000"/>
                <w:szCs w:val="21"/>
              </w:rPr>
            </w:pPr>
            <w:r>
              <w:rPr>
                <w:color w:val="000000"/>
                <w:szCs w:val="21"/>
              </w:rPr>
              <w:t>200</w:t>
            </w:r>
          </w:p>
        </w:tc>
      </w:tr>
      <w:tr w14:paraId="24E68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5296A3C">
            <w:pPr>
              <w:jc w:val="center"/>
              <w:rPr>
                <w:color w:val="000000"/>
                <w:szCs w:val="21"/>
              </w:rPr>
            </w:pPr>
            <w:r>
              <w:rPr>
                <w:color w:val="000000"/>
                <w:szCs w:val="21"/>
              </w:rPr>
              <w:t>20</w:t>
            </w:r>
          </w:p>
        </w:tc>
        <w:tc>
          <w:tcPr>
            <w:tcW w:w="0" w:type="auto"/>
            <w:noWrap w:val="0"/>
            <w:vAlign w:val="center"/>
          </w:tcPr>
          <w:p w14:paraId="6B080B72">
            <w:pPr>
              <w:jc w:val="center"/>
              <w:rPr>
                <w:rFonts w:eastAsia="楷体_GB2312"/>
                <w:color w:val="000000"/>
                <w:szCs w:val="21"/>
              </w:rPr>
            </w:pPr>
            <w:r>
              <w:rPr>
                <w:rFonts w:eastAsia="楷体_GB2312"/>
                <w:color w:val="000000"/>
                <w:szCs w:val="21"/>
              </w:rPr>
              <w:t>经十三路</w:t>
            </w:r>
          </w:p>
        </w:tc>
        <w:tc>
          <w:tcPr>
            <w:tcW w:w="0" w:type="auto"/>
            <w:noWrap w:val="0"/>
            <w:vAlign w:val="center"/>
          </w:tcPr>
          <w:p w14:paraId="5138C43D">
            <w:pPr>
              <w:jc w:val="center"/>
              <w:rPr>
                <w:rFonts w:eastAsia="楷体_GB2312"/>
                <w:color w:val="000000"/>
                <w:szCs w:val="21"/>
              </w:rPr>
            </w:pPr>
            <w:r>
              <w:rPr>
                <w:rFonts w:eastAsia="楷体_GB2312"/>
                <w:color w:val="000000"/>
                <w:szCs w:val="21"/>
              </w:rPr>
              <w:t>支路</w:t>
            </w:r>
          </w:p>
        </w:tc>
        <w:tc>
          <w:tcPr>
            <w:tcW w:w="0" w:type="auto"/>
            <w:noWrap w:val="0"/>
            <w:vAlign w:val="center"/>
          </w:tcPr>
          <w:p w14:paraId="1EC8530E">
            <w:pPr>
              <w:jc w:val="center"/>
              <w:rPr>
                <w:color w:val="000000"/>
                <w:szCs w:val="21"/>
              </w:rPr>
            </w:pPr>
            <w:r>
              <w:rPr>
                <w:color w:val="000000"/>
                <w:szCs w:val="21"/>
              </w:rPr>
              <w:t>0.4</w:t>
            </w:r>
          </w:p>
        </w:tc>
        <w:tc>
          <w:tcPr>
            <w:tcW w:w="0" w:type="auto"/>
            <w:noWrap w:val="0"/>
            <w:vAlign w:val="center"/>
          </w:tcPr>
          <w:p w14:paraId="4271F8EA">
            <w:pPr>
              <w:jc w:val="center"/>
              <w:rPr>
                <w:color w:val="000000"/>
                <w:szCs w:val="21"/>
              </w:rPr>
            </w:pPr>
            <w:r>
              <w:rPr>
                <w:color w:val="000000"/>
                <w:szCs w:val="21"/>
              </w:rPr>
              <w:t>3</w:t>
            </w:r>
          </w:p>
        </w:tc>
        <w:tc>
          <w:tcPr>
            <w:tcW w:w="0" w:type="auto"/>
            <w:noWrap w:val="0"/>
            <w:vAlign w:val="center"/>
          </w:tcPr>
          <w:p w14:paraId="3B9A2F93">
            <w:pPr>
              <w:jc w:val="center"/>
              <w:rPr>
                <w:color w:val="000000"/>
                <w:szCs w:val="21"/>
              </w:rPr>
            </w:pPr>
            <w:r>
              <w:rPr>
                <w:color w:val="000000"/>
                <w:szCs w:val="21"/>
              </w:rPr>
              <w:t>40</w:t>
            </w:r>
          </w:p>
        </w:tc>
        <w:tc>
          <w:tcPr>
            <w:tcW w:w="0" w:type="auto"/>
            <w:noWrap w:val="0"/>
            <w:vAlign w:val="center"/>
          </w:tcPr>
          <w:p w14:paraId="0EBACB27">
            <w:pPr>
              <w:jc w:val="center"/>
              <w:rPr>
                <w:color w:val="000000"/>
                <w:szCs w:val="21"/>
              </w:rPr>
            </w:pPr>
            <w:r>
              <w:rPr>
                <w:color w:val="000000"/>
                <w:szCs w:val="21"/>
              </w:rPr>
              <w:t>200</w:t>
            </w:r>
          </w:p>
        </w:tc>
      </w:tr>
      <w:tr w14:paraId="30C16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DA00539">
            <w:pPr>
              <w:jc w:val="center"/>
              <w:rPr>
                <w:color w:val="000000"/>
                <w:szCs w:val="21"/>
              </w:rPr>
            </w:pPr>
            <w:r>
              <w:rPr>
                <w:color w:val="000000"/>
                <w:szCs w:val="21"/>
              </w:rPr>
              <w:t>21</w:t>
            </w:r>
          </w:p>
        </w:tc>
        <w:tc>
          <w:tcPr>
            <w:tcW w:w="0" w:type="auto"/>
            <w:noWrap w:val="0"/>
            <w:vAlign w:val="center"/>
          </w:tcPr>
          <w:p w14:paraId="33DAE0B3">
            <w:pPr>
              <w:jc w:val="center"/>
              <w:rPr>
                <w:rFonts w:eastAsia="楷体_GB2312"/>
                <w:color w:val="000000"/>
                <w:szCs w:val="21"/>
              </w:rPr>
            </w:pPr>
            <w:r>
              <w:rPr>
                <w:rFonts w:eastAsia="楷体_GB2312"/>
                <w:color w:val="000000"/>
                <w:szCs w:val="21"/>
              </w:rPr>
              <w:t>民主路</w:t>
            </w:r>
          </w:p>
        </w:tc>
        <w:tc>
          <w:tcPr>
            <w:tcW w:w="0" w:type="auto"/>
            <w:noWrap w:val="0"/>
            <w:vAlign w:val="center"/>
          </w:tcPr>
          <w:p w14:paraId="0D946242">
            <w:pPr>
              <w:jc w:val="center"/>
              <w:rPr>
                <w:rFonts w:eastAsia="楷体_GB2312"/>
                <w:color w:val="000000"/>
                <w:szCs w:val="21"/>
              </w:rPr>
            </w:pPr>
            <w:r>
              <w:rPr>
                <w:rFonts w:eastAsia="楷体_GB2312"/>
                <w:color w:val="000000"/>
                <w:szCs w:val="21"/>
              </w:rPr>
              <w:t>支路</w:t>
            </w:r>
          </w:p>
        </w:tc>
        <w:tc>
          <w:tcPr>
            <w:tcW w:w="0" w:type="auto"/>
            <w:noWrap w:val="0"/>
            <w:vAlign w:val="center"/>
          </w:tcPr>
          <w:p w14:paraId="6C3EA03E">
            <w:pPr>
              <w:jc w:val="center"/>
              <w:rPr>
                <w:color w:val="000000"/>
                <w:szCs w:val="21"/>
              </w:rPr>
            </w:pPr>
            <w:r>
              <w:rPr>
                <w:color w:val="000000"/>
                <w:szCs w:val="21"/>
              </w:rPr>
              <w:t>0.4</w:t>
            </w:r>
          </w:p>
        </w:tc>
        <w:tc>
          <w:tcPr>
            <w:tcW w:w="0" w:type="auto"/>
            <w:noWrap w:val="0"/>
            <w:vAlign w:val="center"/>
          </w:tcPr>
          <w:p w14:paraId="767ACED1">
            <w:pPr>
              <w:jc w:val="center"/>
              <w:rPr>
                <w:color w:val="000000"/>
                <w:szCs w:val="21"/>
              </w:rPr>
            </w:pPr>
            <w:r>
              <w:rPr>
                <w:color w:val="000000"/>
                <w:szCs w:val="21"/>
              </w:rPr>
              <w:t>3</w:t>
            </w:r>
          </w:p>
        </w:tc>
        <w:tc>
          <w:tcPr>
            <w:tcW w:w="0" w:type="auto"/>
            <w:noWrap w:val="0"/>
            <w:vAlign w:val="center"/>
          </w:tcPr>
          <w:p w14:paraId="6BBFBE42">
            <w:pPr>
              <w:jc w:val="center"/>
              <w:rPr>
                <w:color w:val="000000"/>
                <w:szCs w:val="21"/>
              </w:rPr>
            </w:pPr>
            <w:r>
              <w:rPr>
                <w:color w:val="000000"/>
                <w:szCs w:val="21"/>
              </w:rPr>
              <w:t>40</w:t>
            </w:r>
          </w:p>
        </w:tc>
        <w:tc>
          <w:tcPr>
            <w:tcW w:w="0" w:type="auto"/>
            <w:noWrap w:val="0"/>
            <w:vAlign w:val="center"/>
          </w:tcPr>
          <w:p w14:paraId="66D80565">
            <w:pPr>
              <w:jc w:val="center"/>
              <w:rPr>
                <w:color w:val="000000"/>
                <w:szCs w:val="21"/>
              </w:rPr>
            </w:pPr>
            <w:r>
              <w:rPr>
                <w:color w:val="000000"/>
                <w:szCs w:val="21"/>
              </w:rPr>
              <w:t>200</w:t>
            </w:r>
          </w:p>
        </w:tc>
      </w:tr>
      <w:tr w14:paraId="752CA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89329CF">
            <w:pPr>
              <w:jc w:val="center"/>
              <w:rPr>
                <w:color w:val="000000"/>
                <w:szCs w:val="21"/>
              </w:rPr>
            </w:pPr>
            <w:r>
              <w:rPr>
                <w:color w:val="000000"/>
                <w:szCs w:val="21"/>
              </w:rPr>
              <w:t>22</w:t>
            </w:r>
          </w:p>
        </w:tc>
        <w:tc>
          <w:tcPr>
            <w:tcW w:w="0" w:type="auto"/>
            <w:noWrap w:val="0"/>
            <w:vAlign w:val="center"/>
          </w:tcPr>
          <w:p w14:paraId="14FB36EB">
            <w:pPr>
              <w:jc w:val="center"/>
              <w:rPr>
                <w:rFonts w:eastAsia="楷体_GB2312"/>
                <w:color w:val="000000"/>
                <w:szCs w:val="21"/>
              </w:rPr>
            </w:pPr>
            <w:r>
              <w:rPr>
                <w:rFonts w:eastAsia="楷体_GB2312"/>
                <w:color w:val="000000"/>
                <w:szCs w:val="21"/>
              </w:rPr>
              <w:t>文明路</w:t>
            </w:r>
          </w:p>
        </w:tc>
        <w:tc>
          <w:tcPr>
            <w:tcW w:w="0" w:type="auto"/>
            <w:noWrap w:val="0"/>
            <w:vAlign w:val="center"/>
          </w:tcPr>
          <w:p w14:paraId="7F527B4E">
            <w:pPr>
              <w:jc w:val="center"/>
              <w:rPr>
                <w:rFonts w:eastAsia="楷体_GB2312"/>
                <w:color w:val="000000"/>
                <w:szCs w:val="21"/>
              </w:rPr>
            </w:pPr>
            <w:r>
              <w:rPr>
                <w:rFonts w:eastAsia="楷体_GB2312"/>
                <w:color w:val="000000"/>
                <w:szCs w:val="21"/>
              </w:rPr>
              <w:t>支路</w:t>
            </w:r>
          </w:p>
        </w:tc>
        <w:tc>
          <w:tcPr>
            <w:tcW w:w="0" w:type="auto"/>
            <w:noWrap w:val="0"/>
            <w:vAlign w:val="center"/>
          </w:tcPr>
          <w:p w14:paraId="48FCBF1B">
            <w:pPr>
              <w:jc w:val="center"/>
              <w:rPr>
                <w:color w:val="000000"/>
                <w:szCs w:val="21"/>
              </w:rPr>
            </w:pPr>
            <w:r>
              <w:rPr>
                <w:color w:val="000000"/>
                <w:szCs w:val="21"/>
              </w:rPr>
              <w:t>0.4</w:t>
            </w:r>
          </w:p>
        </w:tc>
        <w:tc>
          <w:tcPr>
            <w:tcW w:w="0" w:type="auto"/>
            <w:noWrap w:val="0"/>
            <w:vAlign w:val="center"/>
          </w:tcPr>
          <w:p w14:paraId="00494688">
            <w:pPr>
              <w:jc w:val="center"/>
              <w:rPr>
                <w:color w:val="000000"/>
                <w:szCs w:val="21"/>
              </w:rPr>
            </w:pPr>
            <w:r>
              <w:rPr>
                <w:color w:val="000000"/>
                <w:szCs w:val="21"/>
              </w:rPr>
              <w:t>3</w:t>
            </w:r>
          </w:p>
        </w:tc>
        <w:tc>
          <w:tcPr>
            <w:tcW w:w="0" w:type="auto"/>
            <w:noWrap w:val="0"/>
            <w:vAlign w:val="center"/>
          </w:tcPr>
          <w:p w14:paraId="17F712E5">
            <w:pPr>
              <w:jc w:val="center"/>
              <w:rPr>
                <w:color w:val="000000"/>
                <w:szCs w:val="21"/>
              </w:rPr>
            </w:pPr>
            <w:r>
              <w:rPr>
                <w:color w:val="000000"/>
                <w:szCs w:val="21"/>
              </w:rPr>
              <w:t>40</w:t>
            </w:r>
          </w:p>
        </w:tc>
        <w:tc>
          <w:tcPr>
            <w:tcW w:w="0" w:type="auto"/>
            <w:noWrap w:val="0"/>
            <w:vAlign w:val="center"/>
          </w:tcPr>
          <w:p w14:paraId="0C1B20E3">
            <w:pPr>
              <w:jc w:val="center"/>
              <w:rPr>
                <w:color w:val="000000"/>
                <w:szCs w:val="21"/>
              </w:rPr>
            </w:pPr>
            <w:r>
              <w:rPr>
                <w:color w:val="000000"/>
                <w:szCs w:val="21"/>
              </w:rPr>
              <w:t>200</w:t>
            </w:r>
          </w:p>
        </w:tc>
      </w:tr>
      <w:tr w14:paraId="3D0BC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26EDF36">
            <w:pPr>
              <w:jc w:val="center"/>
              <w:rPr>
                <w:color w:val="000000"/>
                <w:szCs w:val="21"/>
              </w:rPr>
            </w:pPr>
            <w:r>
              <w:rPr>
                <w:color w:val="000000"/>
                <w:szCs w:val="21"/>
              </w:rPr>
              <w:t>23</w:t>
            </w:r>
          </w:p>
        </w:tc>
        <w:tc>
          <w:tcPr>
            <w:tcW w:w="0" w:type="auto"/>
            <w:noWrap w:val="0"/>
            <w:vAlign w:val="center"/>
          </w:tcPr>
          <w:p w14:paraId="4864B7E4">
            <w:pPr>
              <w:jc w:val="center"/>
              <w:rPr>
                <w:rFonts w:eastAsia="楷体_GB2312"/>
                <w:color w:val="000000"/>
                <w:szCs w:val="21"/>
              </w:rPr>
            </w:pPr>
            <w:r>
              <w:rPr>
                <w:rFonts w:eastAsia="楷体_GB2312"/>
                <w:color w:val="000000"/>
                <w:szCs w:val="21"/>
              </w:rPr>
              <w:t>诚信路</w:t>
            </w:r>
          </w:p>
        </w:tc>
        <w:tc>
          <w:tcPr>
            <w:tcW w:w="0" w:type="auto"/>
            <w:noWrap w:val="0"/>
            <w:vAlign w:val="center"/>
          </w:tcPr>
          <w:p w14:paraId="0C09DADD">
            <w:pPr>
              <w:jc w:val="center"/>
              <w:rPr>
                <w:rFonts w:eastAsia="楷体_GB2312"/>
                <w:color w:val="000000"/>
                <w:szCs w:val="21"/>
              </w:rPr>
            </w:pPr>
            <w:r>
              <w:rPr>
                <w:rFonts w:eastAsia="楷体_GB2312"/>
                <w:color w:val="000000"/>
                <w:szCs w:val="21"/>
              </w:rPr>
              <w:t>支路</w:t>
            </w:r>
          </w:p>
        </w:tc>
        <w:tc>
          <w:tcPr>
            <w:tcW w:w="0" w:type="auto"/>
            <w:noWrap w:val="0"/>
            <w:vAlign w:val="center"/>
          </w:tcPr>
          <w:p w14:paraId="2573E17D">
            <w:pPr>
              <w:jc w:val="center"/>
              <w:rPr>
                <w:color w:val="000000"/>
                <w:szCs w:val="21"/>
              </w:rPr>
            </w:pPr>
            <w:r>
              <w:rPr>
                <w:color w:val="000000"/>
                <w:szCs w:val="21"/>
              </w:rPr>
              <w:t>0.4</w:t>
            </w:r>
          </w:p>
        </w:tc>
        <w:tc>
          <w:tcPr>
            <w:tcW w:w="0" w:type="auto"/>
            <w:noWrap w:val="0"/>
            <w:vAlign w:val="center"/>
          </w:tcPr>
          <w:p w14:paraId="3551B2B2">
            <w:pPr>
              <w:jc w:val="center"/>
              <w:rPr>
                <w:color w:val="000000"/>
                <w:szCs w:val="21"/>
              </w:rPr>
            </w:pPr>
            <w:r>
              <w:rPr>
                <w:color w:val="000000"/>
                <w:szCs w:val="21"/>
              </w:rPr>
              <w:t>3</w:t>
            </w:r>
          </w:p>
        </w:tc>
        <w:tc>
          <w:tcPr>
            <w:tcW w:w="0" w:type="auto"/>
            <w:noWrap w:val="0"/>
            <w:vAlign w:val="center"/>
          </w:tcPr>
          <w:p w14:paraId="73B8B1A1">
            <w:pPr>
              <w:jc w:val="center"/>
              <w:rPr>
                <w:color w:val="000000"/>
                <w:szCs w:val="21"/>
              </w:rPr>
            </w:pPr>
            <w:r>
              <w:rPr>
                <w:color w:val="000000"/>
                <w:szCs w:val="21"/>
              </w:rPr>
              <w:t>40</w:t>
            </w:r>
          </w:p>
        </w:tc>
        <w:tc>
          <w:tcPr>
            <w:tcW w:w="0" w:type="auto"/>
            <w:noWrap w:val="0"/>
            <w:vAlign w:val="center"/>
          </w:tcPr>
          <w:p w14:paraId="1D5988AB">
            <w:pPr>
              <w:jc w:val="center"/>
              <w:rPr>
                <w:color w:val="000000"/>
                <w:szCs w:val="21"/>
              </w:rPr>
            </w:pPr>
            <w:r>
              <w:rPr>
                <w:color w:val="000000"/>
                <w:szCs w:val="21"/>
              </w:rPr>
              <w:t>200</w:t>
            </w:r>
          </w:p>
        </w:tc>
      </w:tr>
    </w:tbl>
    <w:p w14:paraId="1B6D0D60">
      <w:pPr>
        <w:jc w:val="center"/>
        <w:rPr>
          <w:rFonts w:eastAsia="黑体"/>
          <w:sz w:val="28"/>
        </w:rPr>
      </w:pPr>
      <w:r>
        <w:rPr>
          <w:rFonts w:eastAsia="黑体"/>
          <w:sz w:val="28"/>
        </w:rPr>
        <w:t>表1-3-</w:t>
      </w:r>
      <w:r>
        <w:rPr>
          <w:rFonts w:hint="eastAsia" w:eastAsia="黑体"/>
          <w:sz w:val="28"/>
        </w:rPr>
        <w:t>2</w:t>
      </w:r>
      <w:r>
        <w:rPr>
          <w:rFonts w:eastAsia="黑体"/>
          <w:sz w:val="28"/>
        </w:rPr>
        <w:t xml:space="preserve">0  </w:t>
      </w:r>
      <w:r>
        <w:rPr>
          <w:rFonts w:hint="eastAsia" w:eastAsia="黑体"/>
          <w:sz w:val="28"/>
        </w:rPr>
        <w:t>杨庄镇</w:t>
      </w:r>
      <w:r>
        <w:rPr>
          <w:rFonts w:eastAsia="黑体"/>
          <w:sz w:val="28"/>
        </w:rPr>
        <w:t>镇区道路状况及其功能分及影响距离表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460"/>
        <w:gridCol w:w="1460"/>
        <w:gridCol w:w="1460"/>
        <w:gridCol w:w="879"/>
        <w:gridCol w:w="1170"/>
        <w:gridCol w:w="1460"/>
      </w:tblGrid>
      <w:tr w14:paraId="3B78E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5C28713">
            <w:pPr>
              <w:jc w:val="center"/>
              <w:rPr>
                <w:rFonts w:eastAsia="楷体_GB2312"/>
              </w:rPr>
            </w:pPr>
            <w:r>
              <w:rPr>
                <w:rFonts w:eastAsia="楷体_GB2312"/>
              </w:rPr>
              <w:t>道路编号</w:t>
            </w:r>
          </w:p>
        </w:tc>
        <w:tc>
          <w:tcPr>
            <w:tcW w:w="0" w:type="auto"/>
            <w:noWrap w:val="0"/>
            <w:vAlign w:val="center"/>
          </w:tcPr>
          <w:p w14:paraId="319DA5CE">
            <w:pPr>
              <w:jc w:val="center"/>
              <w:rPr>
                <w:rFonts w:eastAsia="楷体_GB2312"/>
              </w:rPr>
            </w:pPr>
            <w:r>
              <w:rPr>
                <w:rFonts w:eastAsia="楷体_GB2312"/>
              </w:rPr>
              <w:t>道路名称</w:t>
            </w:r>
          </w:p>
        </w:tc>
        <w:tc>
          <w:tcPr>
            <w:tcW w:w="0" w:type="auto"/>
            <w:noWrap w:val="0"/>
            <w:vAlign w:val="center"/>
          </w:tcPr>
          <w:p w14:paraId="55ABFE6F">
            <w:pPr>
              <w:jc w:val="center"/>
              <w:rPr>
                <w:rFonts w:eastAsia="楷体_GB2312"/>
              </w:rPr>
            </w:pPr>
            <w:r>
              <w:rPr>
                <w:rFonts w:eastAsia="楷体_GB2312"/>
              </w:rPr>
              <w:t>道路类型</w:t>
            </w:r>
          </w:p>
        </w:tc>
        <w:tc>
          <w:tcPr>
            <w:tcW w:w="0" w:type="auto"/>
            <w:noWrap w:val="0"/>
            <w:vAlign w:val="center"/>
          </w:tcPr>
          <w:p w14:paraId="0F9D17D9">
            <w:pPr>
              <w:jc w:val="center"/>
              <w:rPr>
                <w:rFonts w:eastAsia="楷体_GB2312"/>
              </w:rPr>
            </w:pPr>
            <w:r>
              <w:rPr>
                <w:rFonts w:eastAsia="楷体_GB2312"/>
              </w:rPr>
              <w:t>作用指数</w:t>
            </w:r>
          </w:p>
        </w:tc>
        <w:tc>
          <w:tcPr>
            <w:tcW w:w="0" w:type="auto"/>
            <w:noWrap w:val="0"/>
            <w:vAlign w:val="center"/>
          </w:tcPr>
          <w:p w14:paraId="499A10D6">
            <w:pPr>
              <w:jc w:val="center"/>
              <w:rPr>
                <w:rFonts w:eastAsia="楷体_GB2312"/>
              </w:rPr>
            </w:pPr>
            <w:r>
              <w:rPr>
                <w:rFonts w:eastAsia="楷体_GB2312"/>
              </w:rPr>
              <w:t>级别</w:t>
            </w:r>
          </w:p>
        </w:tc>
        <w:tc>
          <w:tcPr>
            <w:tcW w:w="0" w:type="auto"/>
            <w:noWrap w:val="0"/>
            <w:vAlign w:val="center"/>
          </w:tcPr>
          <w:p w14:paraId="751275F3">
            <w:pPr>
              <w:jc w:val="center"/>
              <w:rPr>
                <w:rFonts w:eastAsia="楷体_GB2312"/>
              </w:rPr>
            </w:pPr>
            <w:r>
              <w:rPr>
                <w:rFonts w:eastAsia="楷体_GB2312"/>
              </w:rPr>
              <w:t>功能分</w:t>
            </w:r>
          </w:p>
        </w:tc>
        <w:tc>
          <w:tcPr>
            <w:tcW w:w="0" w:type="auto"/>
            <w:noWrap w:val="0"/>
            <w:vAlign w:val="center"/>
          </w:tcPr>
          <w:p w14:paraId="1111D877">
            <w:pPr>
              <w:jc w:val="center"/>
              <w:rPr>
                <w:rFonts w:eastAsia="楷体_GB2312"/>
              </w:rPr>
            </w:pPr>
            <w:r>
              <w:rPr>
                <w:rFonts w:eastAsia="楷体_GB2312"/>
              </w:rPr>
              <w:t>影响半径</w:t>
            </w:r>
          </w:p>
        </w:tc>
      </w:tr>
      <w:tr w14:paraId="7AFB6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2596131">
            <w:pPr>
              <w:jc w:val="center"/>
              <w:rPr>
                <w:color w:val="000000"/>
                <w:szCs w:val="21"/>
              </w:rPr>
            </w:pPr>
            <w:r>
              <w:rPr>
                <w:rFonts w:hint="eastAsia"/>
                <w:color w:val="000000"/>
                <w:szCs w:val="21"/>
              </w:rPr>
              <w:t>0</w:t>
            </w:r>
            <w:r>
              <w:rPr>
                <w:color w:val="000000"/>
                <w:szCs w:val="21"/>
              </w:rPr>
              <w:t>1</w:t>
            </w:r>
          </w:p>
        </w:tc>
        <w:tc>
          <w:tcPr>
            <w:tcW w:w="0" w:type="auto"/>
            <w:noWrap w:val="0"/>
            <w:vAlign w:val="center"/>
          </w:tcPr>
          <w:p w14:paraId="7E2C22DA">
            <w:pPr>
              <w:jc w:val="center"/>
              <w:rPr>
                <w:rFonts w:ascii="楷体_GB2312" w:hAnsi="宋体" w:eastAsia="楷体_GB2312" w:cs="宋体"/>
                <w:color w:val="000000"/>
                <w:szCs w:val="21"/>
              </w:rPr>
            </w:pPr>
            <w:r>
              <w:rPr>
                <w:rFonts w:hint="eastAsia" w:ascii="楷体_GB2312" w:eastAsia="楷体_GB2312"/>
                <w:color w:val="000000"/>
                <w:szCs w:val="21"/>
              </w:rPr>
              <w:t>北外环路</w:t>
            </w:r>
          </w:p>
        </w:tc>
        <w:tc>
          <w:tcPr>
            <w:tcW w:w="0" w:type="auto"/>
            <w:noWrap w:val="0"/>
            <w:vAlign w:val="center"/>
          </w:tcPr>
          <w:p w14:paraId="5291D7DC">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622ED894">
            <w:pPr>
              <w:jc w:val="center"/>
              <w:rPr>
                <w:color w:val="000000"/>
                <w:szCs w:val="21"/>
              </w:rPr>
            </w:pPr>
            <w:r>
              <w:rPr>
                <w:color w:val="000000"/>
                <w:szCs w:val="21"/>
              </w:rPr>
              <w:t>1</w:t>
            </w:r>
          </w:p>
        </w:tc>
        <w:tc>
          <w:tcPr>
            <w:tcW w:w="0" w:type="auto"/>
            <w:noWrap w:val="0"/>
            <w:vAlign w:val="center"/>
          </w:tcPr>
          <w:p w14:paraId="3525CDE4">
            <w:pPr>
              <w:jc w:val="center"/>
              <w:rPr>
                <w:color w:val="000000"/>
                <w:szCs w:val="21"/>
              </w:rPr>
            </w:pPr>
            <w:r>
              <w:rPr>
                <w:color w:val="000000"/>
                <w:szCs w:val="21"/>
              </w:rPr>
              <w:t>1</w:t>
            </w:r>
          </w:p>
        </w:tc>
        <w:tc>
          <w:tcPr>
            <w:tcW w:w="0" w:type="auto"/>
            <w:noWrap w:val="0"/>
            <w:vAlign w:val="center"/>
          </w:tcPr>
          <w:p w14:paraId="29039D51">
            <w:pPr>
              <w:jc w:val="center"/>
              <w:rPr>
                <w:color w:val="000000"/>
                <w:szCs w:val="21"/>
              </w:rPr>
            </w:pPr>
            <w:r>
              <w:rPr>
                <w:color w:val="000000"/>
                <w:szCs w:val="21"/>
              </w:rPr>
              <w:t>100</w:t>
            </w:r>
          </w:p>
        </w:tc>
        <w:tc>
          <w:tcPr>
            <w:tcW w:w="0" w:type="auto"/>
            <w:noWrap w:val="0"/>
            <w:vAlign w:val="center"/>
          </w:tcPr>
          <w:p w14:paraId="4C9AACD3">
            <w:pPr>
              <w:jc w:val="center"/>
              <w:rPr>
                <w:color w:val="000000"/>
                <w:szCs w:val="21"/>
              </w:rPr>
            </w:pPr>
            <w:r>
              <w:rPr>
                <w:color w:val="000000"/>
                <w:szCs w:val="21"/>
              </w:rPr>
              <w:t>220</w:t>
            </w:r>
          </w:p>
        </w:tc>
      </w:tr>
      <w:tr w14:paraId="689CB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D839B74">
            <w:pPr>
              <w:jc w:val="center"/>
              <w:rPr>
                <w:color w:val="000000"/>
                <w:szCs w:val="21"/>
              </w:rPr>
            </w:pPr>
            <w:r>
              <w:rPr>
                <w:rFonts w:hint="eastAsia"/>
                <w:color w:val="000000"/>
                <w:szCs w:val="21"/>
              </w:rPr>
              <w:t>0</w:t>
            </w:r>
            <w:r>
              <w:rPr>
                <w:color w:val="000000"/>
                <w:szCs w:val="21"/>
              </w:rPr>
              <w:t>2</w:t>
            </w:r>
          </w:p>
        </w:tc>
        <w:tc>
          <w:tcPr>
            <w:tcW w:w="0" w:type="auto"/>
            <w:noWrap w:val="0"/>
            <w:vAlign w:val="center"/>
          </w:tcPr>
          <w:p w14:paraId="51C01CB0">
            <w:pPr>
              <w:jc w:val="center"/>
              <w:rPr>
                <w:rFonts w:ascii="楷体_GB2312" w:hAnsi="宋体" w:eastAsia="楷体_GB2312" w:cs="宋体"/>
                <w:color w:val="000000"/>
                <w:szCs w:val="21"/>
              </w:rPr>
            </w:pPr>
            <w:r>
              <w:rPr>
                <w:rFonts w:hint="eastAsia" w:ascii="楷体_GB2312" w:eastAsia="楷体_GB2312"/>
                <w:color w:val="000000"/>
                <w:szCs w:val="21"/>
              </w:rPr>
              <w:t>萧灵路</w:t>
            </w:r>
          </w:p>
        </w:tc>
        <w:tc>
          <w:tcPr>
            <w:tcW w:w="0" w:type="auto"/>
            <w:noWrap w:val="0"/>
            <w:vAlign w:val="center"/>
          </w:tcPr>
          <w:p w14:paraId="24A50F4C">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7CA979D2">
            <w:pPr>
              <w:jc w:val="center"/>
              <w:rPr>
                <w:color w:val="000000"/>
                <w:szCs w:val="21"/>
              </w:rPr>
            </w:pPr>
            <w:r>
              <w:rPr>
                <w:color w:val="000000"/>
                <w:szCs w:val="21"/>
              </w:rPr>
              <w:t>1</w:t>
            </w:r>
          </w:p>
        </w:tc>
        <w:tc>
          <w:tcPr>
            <w:tcW w:w="0" w:type="auto"/>
            <w:noWrap w:val="0"/>
            <w:vAlign w:val="center"/>
          </w:tcPr>
          <w:p w14:paraId="0E753D09">
            <w:pPr>
              <w:jc w:val="center"/>
              <w:rPr>
                <w:color w:val="000000"/>
                <w:szCs w:val="21"/>
              </w:rPr>
            </w:pPr>
            <w:r>
              <w:rPr>
                <w:color w:val="000000"/>
                <w:szCs w:val="21"/>
              </w:rPr>
              <w:t>1</w:t>
            </w:r>
          </w:p>
        </w:tc>
        <w:tc>
          <w:tcPr>
            <w:tcW w:w="0" w:type="auto"/>
            <w:noWrap w:val="0"/>
            <w:vAlign w:val="center"/>
          </w:tcPr>
          <w:p w14:paraId="5A322BE5">
            <w:pPr>
              <w:jc w:val="center"/>
              <w:rPr>
                <w:color w:val="000000"/>
                <w:szCs w:val="21"/>
              </w:rPr>
            </w:pPr>
            <w:r>
              <w:rPr>
                <w:color w:val="000000"/>
                <w:szCs w:val="21"/>
              </w:rPr>
              <w:t>100</w:t>
            </w:r>
          </w:p>
        </w:tc>
        <w:tc>
          <w:tcPr>
            <w:tcW w:w="0" w:type="auto"/>
            <w:noWrap w:val="0"/>
            <w:vAlign w:val="center"/>
          </w:tcPr>
          <w:p w14:paraId="0F93C999">
            <w:pPr>
              <w:jc w:val="center"/>
              <w:rPr>
                <w:color w:val="000000"/>
                <w:szCs w:val="21"/>
              </w:rPr>
            </w:pPr>
            <w:r>
              <w:rPr>
                <w:color w:val="000000"/>
                <w:szCs w:val="21"/>
              </w:rPr>
              <w:t>220</w:t>
            </w:r>
          </w:p>
        </w:tc>
      </w:tr>
      <w:tr w14:paraId="0C83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5ABF820">
            <w:pPr>
              <w:jc w:val="center"/>
              <w:rPr>
                <w:color w:val="000000"/>
                <w:szCs w:val="21"/>
              </w:rPr>
            </w:pPr>
            <w:r>
              <w:rPr>
                <w:rFonts w:hint="eastAsia"/>
                <w:color w:val="000000"/>
                <w:szCs w:val="21"/>
              </w:rPr>
              <w:t>0</w:t>
            </w:r>
            <w:r>
              <w:rPr>
                <w:color w:val="000000"/>
                <w:szCs w:val="21"/>
              </w:rPr>
              <w:t>3</w:t>
            </w:r>
          </w:p>
        </w:tc>
        <w:tc>
          <w:tcPr>
            <w:tcW w:w="0" w:type="auto"/>
            <w:noWrap w:val="0"/>
            <w:vAlign w:val="center"/>
          </w:tcPr>
          <w:p w14:paraId="2DB5FCAC">
            <w:pPr>
              <w:jc w:val="center"/>
              <w:rPr>
                <w:rFonts w:ascii="楷体_GB2312" w:hAnsi="宋体" w:eastAsia="楷体_GB2312" w:cs="宋体"/>
                <w:color w:val="000000"/>
                <w:szCs w:val="21"/>
              </w:rPr>
            </w:pPr>
            <w:r>
              <w:rPr>
                <w:rFonts w:hint="eastAsia" w:ascii="楷体_GB2312" w:eastAsia="楷体_GB2312"/>
                <w:color w:val="000000"/>
                <w:szCs w:val="21"/>
              </w:rPr>
              <w:t>曹褚路</w:t>
            </w:r>
          </w:p>
        </w:tc>
        <w:tc>
          <w:tcPr>
            <w:tcW w:w="0" w:type="auto"/>
            <w:noWrap w:val="0"/>
            <w:vAlign w:val="center"/>
          </w:tcPr>
          <w:p w14:paraId="577735AD">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1BEA841D">
            <w:pPr>
              <w:jc w:val="center"/>
              <w:rPr>
                <w:color w:val="000000"/>
                <w:szCs w:val="21"/>
              </w:rPr>
            </w:pPr>
            <w:r>
              <w:rPr>
                <w:color w:val="000000"/>
                <w:szCs w:val="21"/>
              </w:rPr>
              <w:t>1</w:t>
            </w:r>
          </w:p>
        </w:tc>
        <w:tc>
          <w:tcPr>
            <w:tcW w:w="0" w:type="auto"/>
            <w:noWrap w:val="0"/>
            <w:vAlign w:val="center"/>
          </w:tcPr>
          <w:p w14:paraId="58DADE4A">
            <w:pPr>
              <w:jc w:val="center"/>
              <w:rPr>
                <w:color w:val="000000"/>
                <w:szCs w:val="21"/>
              </w:rPr>
            </w:pPr>
            <w:r>
              <w:rPr>
                <w:color w:val="000000"/>
                <w:szCs w:val="21"/>
              </w:rPr>
              <w:t>1</w:t>
            </w:r>
          </w:p>
        </w:tc>
        <w:tc>
          <w:tcPr>
            <w:tcW w:w="0" w:type="auto"/>
            <w:noWrap w:val="0"/>
            <w:vAlign w:val="center"/>
          </w:tcPr>
          <w:p w14:paraId="42BF26B4">
            <w:pPr>
              <w:jc w:val="center"/>
              <w:rPr>
                <w:color w:val="000000"/>
                <w:szCs w:val="21"/>
              </w:rPr>
            </w:pPr>
            <w:r>
              <w:rPr>
                <w:color w:val="000000"/>
                <w:szCs w:val="21"/>
              </w:rPr>
              <w:t>100</w:t>
            </w:r>
          </w:p>
        </w:tc>
        <w:tc>
          <w:tcPr>
            <w:tcW w:w="0" w:type="auto"/>
            <w:noWrap w:val="0"/>
            <w:vAlign w:val="center"/>
          </w:tcPr>
          <w:p w14:paraId="34DA3F7C">
            <w:pPr>
              <w:jc w:val="center"/>
              <w:rPr>
                <w:color w:val="000000"/>
                <w:szCs w:val="21"/>
              </w:rPr>
            </w:pPr>
            <w:r>
              <w:rPr>
                <w:color w:val="000000"/>
                <w:szCs w:val="21"/>
              </w:rPr>
              <w:t>220</w:t>
            </w:r>
          </w:p>
        </w:tc>
      </w:tr>
      <w:tr w14:paraId="14C80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99D68CA">
            <w:pPr>
              <w:jc w:val="center"/>
              <w:rPr>
                <w:color w:val="000000"/>
                <w:szCs w:val="21"/>
              </w:rPr>
            </w:pPr>
            <w:r>
              <w:rPr>
                <w:rFonts w:hint="eastAsia"/>
                <w:color w:val="000000"/>
                <w:szCs w:val="21"/>
              </w:rPr>
              <w:t>0</w:t>
            </w:r>
            <w:r>
              <w:rPr>
                <w:color w:val="000000"/>
                <w:szCs w:val="21"/>
              </w:rPr>
              <w:t>4</w:t>
            </w:r>
          </w:p>
        </w:tc>
        <w:tc>
          <w:tcPr>
            <w:tcW w:w="0" w:type="auto"/>
            <w:noWrap w:val="0"/>
            <w:vAlign w:val="center"/>
          </w:tcPr>
          <w:p w14:paraId="01BF0354">
            <w:pPr>
              <w:jc w:val="center"/>
              <w:rPr>
                <w:rFonts w:ascii="楷体_GB2312" w:hAnsi="宋体" w:eastAsia="楷体_GB2312" w:cs="宋体"/>
                <w:color w:val="000000"/>
                <w:szCs w:val="21"/>
              </w:rPr>
            </w:pPr>
            <w:r>
              <w:rPr>
                <w:rFonts w:hint="eastAsia" w:ascii="楷体_GB2312" w:eastAsia="楷体_GB2312"/>
                <w:color w:val="000000"/>
                <w:szCs w:val="21"/>
              </w:rPr>
              <w:t>南外环路</w:t>
            </w:r>
          </w:p>
        </w:tc>
        <w:tc>
          <w:tcPr>
            <w:tcW w:w="0" w:type="auto"/>
            <w:noWrap w:val="0"/>
            <w:vAlign w:val="center"/>
          </w:tcPr>
          <w:p w14:paraId="465AE213">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0B2BF79A">
            <w:pPr>
              <w:jc w:val="center"/>
              <w:rPr>
                <w:color w:val="000000"/>
                <w:szCs w:val="21"/>
              </w:rPr>
            </w:pPr>
            <w:r>
              <w:rPr>
                <w:color w:val="000000"/>
                <w:szCs w:val="21"/>
              </w:rPr>
              <w:t>1</w:t>
            </w:r>
          </w:p>
        </w:tc>
        <w:tc>
          <w:tcPr>
            <w:tcW w:w="0" w:type="auto"/>
            <w:noWrap w:val="0"/>
            <w:vAlign w:val="center"/>
          </w:tcPr>
          <w:p w14:paraId="323AB496">
            <w:pPr>
              <w:jc w:val="center"/>
              <w:rPr>
                <w:color w:val="000000"/>
                <w:szCs w:val="21"/>
              </w:rPr>
            </w:pPr>
            <w:r>
              <w:rPr>
                <w:color w:val="000000"/>
                <w:szCs w:val="21"/>
              </w:rPr>
              <w:t>1</w:t>
            </w:r>
          </w:p>
        </w:tc>
        <w:tc>
          <w:tcPr>
            <w:tcW w:w="0" w:type="auto"/>
            <w:noWrap w:val="0"/>
            <w:vAlign w:val="center"/>
          </w:tcPr>
          <w:p w14:paraId="65569ABB">
            <w:pPr>
              <w:jc w:val="center"/>
              <w:rPr>
                <w:color w:val="000000"/>
                <w:szCs w:val="21"/>
              </w:rPr>
            </w:pPr>
            <w:r>
              <w:rPr>
                <w:color w:val="000000"/>
                <w:szCs w:val="21"/>
              </w:rPr>
              <w:t>100</w:t>
            </w:r>
          </w:p>
        </w:tc>
        <w:tc>
          <w:tcPr>
            <w:tcW w:w="0" w:type="auto"/>
            <w:noWrap w:val="0"/>
            <w:vAlign w:val="center"/>
          </w:tcPr>
          <w:p w14:paraId="63B9FB81">
            <w:pPr>
              <w:jc w:val="center"/>
              <w:rPr>
                <w:color w:val="000000"/>
                <w:szCs w:val="21"/>
              </w:rPr>
            </w:pPr>
            <w:r>
              <w:rPr>
                <w:color w:val="000000"/>
                <w:szCs w:val="21"/>
              </w:rPr>
              <w:t>220</w:t>
            </w:r>
          </w:p>
        </w:tc>
      </w:tr>
      <w:tr w14:paraId="6A979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2FBAA30">
            <w:pPr>
              <w:jc w:val="center"/>
              <w:rPr>
                <w:color w:val="000000"/>
                <w:szCs w:val="21"/>
              </w:rPr>
            </w:pPr>
            <w:r>
              <w:rPr>
                <w:rFonts w:hint="eastAsia"/>
                <w:color w:val="000000"/>
                <w:szCs w:val="21"/>
              </w:rPr>
              <w:t>0</w:t>
            </w:r>
            <w:r>
              <w:rPr>
                <w:color w:val="000000"/>
                <w:szCs w:val="21"/>
              </w:rPr>
              <w:t>5</w:t>
            </w:r>
          </w:p>
        </w:tc>
        <w:tc>
          <w:tcPr>
            <w:tcW w:w="0" w:type="auto"/>
            <w:noWrap w:val="0"/>
            <w:vAlign w:val="center"/>
          </w:tcPr>
          <w:p w14:paraId="74531BF6">
            <w:pPr>
              <w:jc w:val="center"/>
              <w:rPr>
                <w:rFonts w:ascii="楷体_GB2312" w:hAnsi="宋体" w:eastAsia="楷体_GB2312" w:cs="宋体"/>
                <w:color w:val="000000"/>
                <w:szCs w:val="21"/>
              </w:rPr>
            </w:pPr>
            <w:r>
              <w:rPr>
                <w:rFonts w:hint="eastAsia" w:ascii="楷体_GB2312" w:eastAsia="楷体_GB2312"/>
                <w:color w:val="000000"/>
                <w:szCs w:val="21"/>
              </w:rPr>
              <w:t>西外环路</w:t>
            </w:r>
          </w:p>
        </w:tc>
        <w:tc>
          <w:tcPr>
            <w:tcW w:w="0" w:type="auto"/>
            <w:noWrap w:val="0"/>
            <w:vAlign w:val="center"/>
          </w:tcPr>
          <w:p w14:paraId="6D0781E9">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11EAE486">
            <w:pPr>
              <w:jc w:val="center"/>
              <w:rPr>
                <w:color w:val="000000"/>
                <w:szCs w:val="21"/>
              </w:rPr>
            </w:pPr>
            <w:r>
              <w:rPr>
                <w:color w:val="000000"/>
                <w:szCs w:val="21"/>
              </w:rPr>
              <w:t>1</w:t>
            </w:r>
          </w:p>
        </w:tc>
        <w:tc>
          <w:tcPr>
            <w:tcW w:w="0" w:type="auto"/>
            <w:noWrap w:val="0"/>
            <w:vAlign w:val="center"/>
          </w:tcPr>
          <w:p w14:paraId="7E3BE784">
            <w:pPr>
              <w:jc w:val="center"/>
              <w:rPr>
                <w:color w:val="000000"/>
                <w:szCs w:val="21"/>
              </w:rPr>
            </w:pPr>
            <w:r>
              <w:rPr>
                <w:color w:val="000000"/>
                <w:szCs w:val="21"/>
              </w:rPr>
              <w:t>1</w:t>
            </w:r>
          </w:p>
        </w:tc>
        <w:tc>
          <w:tcPr>
            <w:tcW w:w="0" w:type="auto"/>
            <w:noWrap w:val="0"/>
            <w:vAlign w:val="center"/>
          </w:tcPr>
          <w:p w14:paraId="503DB5A7">
            <w:pPr>
              <w:jc w:val="center"/>
              <w:rPr>
                <w:color w:val="000000"/>
                <w:szCs w:val="21"/>
              </w:rPr>
            </w:pPr>
            <w:r>
              <w:rPr>
                <w:color w:val="000000"/>
                <w:szCs w:val="21"/>
              </w:rPr>
              <w:t>100</w:t>
            </w:r>
          </w:p>
        </w:tc>
        <w:tc>
          <w:tcPr>
            <w:tcW w:w="0" w:type="auto"/>
            <w:noWrap w:val="0"/>
            <w:vAlign w:val="center"/>
          </w:tcPr>
          <w:p w14:paraId="666E84B4">
            <w:pPr>
              <w:jc w:val="center"/>
              <w:rPr>
                <w:color w:val="000000"/>
                <w:szCs w:val="21"/>
              </w:rPr>
            </w:pPr>
            <w:r>
              <w:rPr>
                <w:color w:val="000000"/>
                <w:szCs w:val="21"/>
              </w:rPr>
              <w:t>220</w:t>
            </w:r>
          </w:p>
        </w:tc>
      </w:tr>
      <w:tr w14:paraId="6913B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76A0264">
            <w:pPr>
              <w:jc w:val="center"/>
              <w:rPr>
                <w:color w:val="000000"/>
                <w:szCs w:val="21"/>
              </w:rPr>
            </w:pPr>
            <w:r>
              <w:rPr>
                <w:rFonts w:hint="eastAsia"/>
                <w:color w:val="000000"/>
                <w:szCs w:val="21"/>
              </w:rPr>
              <w:t>0</w:t>
            </w:r>
            <w:r>
              <w:rPr>
                <w:color w:val="000000"/>
                <w:szCs w:val="21"/>
              </w:rPr>
              <w:t>6</w:t>
            </w:r>
          </w:p>
        </w:tc>
        <w:tc>
          <w:tcPr>
            <w:tcW w:w="0" w:type="auto"/>
            <w:noWrap w:val="0"/>
            <w:vAlign w:val="center"/>
          </w:tcPr>
          <w:p w14:paraId="531F2BF1">
            <w:pPr>
              <w:jc w:val="center"/>
              <w:rPr>
                <w:rFonts w:ascii="楷体_GB2312" w:hAnsi="宋体" w:eastAsia="楷体_GB2312" w:cs="宋体"/>
                <w:color w:val="000000"/>
                <w:szCs w:val="21"/>
              </w:rPr>
            </w:pPr>
            <w:r>
              <w:rPr>
                <w:rFonts w:hint="eastAsia" w:ascii="楷体_GB2312" w:eastAsia="楷体_GB2312"/>
                <w:color w:val="000000"/>
                <w:szCs w:val="21"/>
              </w:rPr>
              <w:t>科技大道</w:t>
            </w:r>
          </w:p>
        </w:tc>
        <w:tc>
          <w:tcPr>
            <w:tcW w:w="0" w:type="auto"/>
            <w:noWrap w:val="0"/>
            <w:vAlign w:val="center"/>
          </w:tcPr>
          <w:p w14:paraId="17ECE664">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57B97B8C">
            <w:pPr>
              <w:jc w:val="center"/>
              <w:rPr>
                <w:color w:val="000000"/>
                <w:szCs w:val="21"/>
              </w:rPr>
            </w:pPr>
            <w:r>
              <w:rPr>
                <w:color w:val="000000"/>
                <w:szCs w:val="21"/>
              </w:rPr>
              <w:t>1</w:t>
            </w:r>
          </w:p>
        </w:tc>
        <w:tc>
          <w:tcPr>
            <w:tcW w:w="0" w:type="auto"/>
            <w:noWrap w:val="0"/>
            <w:vAlign w:val="center"/>
          </w:tcPr>
          <w:p w14:paraId="779DD46C">
            <w:pPr>
              <w:jc w:val="center"/>
              <w:rPr>
                <w:color w:val="000000"/>
                <w:szCs w:val="21"/>
              </w:rPr>
            </w:pPr>
            <w:r>
              <w:rPr>
                <w:color w:val="000000"/>
                <w:szCs w:val="21"/>
              </w:rPr>
              <w:t>1</w:t>
            </w:r>
          </w:p>
        </w:tc>
        <w:tc>
          <w:tcPr>
            <w:tcW w:w="0" w:type="auto"/>
            <w:noWrap w:val="0"/>
            <w:vAlign w:val="center"/>
          </w:tcPr>
          <w:p w14:paraId="5AA66810">
            <w:pPr>
              <w:jc w:val="center"/>
              <w:rPr>
                <w:color w:val="000000"/>
                <w:szCs w:val="21"/>
              </w:rPr>
            </w:pPr>
            <w:r>
              <w:rPr>
                <w:color w:val="000000"/>
                <w:szCs w:val="21"/>
              </w:rPr>
              <w:t>100</w:t>
            </w:r>
          </w:p>
        </w:tc>
        <w:tc>
          <w:tcPr>
            <w:tcW w:w="0" w:type="auto"/>
            <w:noWrap w:val="0"/>
            <w:vAlign w:val="center"/>
          </w:tcPr>
          <w:p w14:paraId="529BECE9">
            <w:pPr>
              <w:jc w:val="center"/>
              <w:rPr>
                <w:color w:val="000000"/>
                <w:szCs w:val="21"/>
              </w:rPr>
            </w:pPr>
            <w:r>
              <w:rPr>
                <w:color w:val="000000"/>
                <w:szCs w:val="21"/>
              </w:rPr>
              <w:t>220</w:t>
            </w:r>
          </w:p>
        </w:tc>
      </w:tr>
      <w:tr w14:paraId="4380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9A4122C">
            <w:pPr>
              <w:jc w:val="center"/>
              <w:rPr>
                <w:color w:val="000000"/>
                <w:szCs w:val="21"/>
              </w:rPr>
            </w:pPr>
            <w:r>
              <w:rPr>
                <w:rFonts w:hint="eastAsia"/>
                <w:color w:val="000000"/>
                <w:szCs w:val="21"/>
              </w:rPr>
              <w:t>0</w:t>
            </w:r>
            <w:r>
              <w:rPr>
                <w:color w:val="000000"/>
                <w:szCs w:val="21"/>
              </w:rPr>
              <w:t>7</w:t>
            </w:r>
          </w:p>
        </w:tc>
        <w:tc>
          <w:tcPr>
            <w:tcW w:w="0" w:type="auto"/>
            <w:noWrap w:val="0"/>
            <w:vAlign w:val="center"/>
          </w:tcPr>
          <w:p w14:paraId="153BC344">
            <w:pPr>
              <w:jc w:val="center"/>
              <w:rPr>
                <w:rFonts w:ascii="楷体_GB2312" w:hAnsi="宋体" w:eastAsia="楷体_GB2312" w:cs="宋体"/>
                <w:color w:val="000000"/>
                <w:szCs w:val="21"/>
              </w:rPr>
            </w:pPr>
            <w:r>
              <w:rPr>
                <w:rFonts w:hint="eastAsia" w:ascii="楷体_GB2312" w:eastAsia="楷体_GB2312"/>
                <w:color w:val="000000"/>
                <w:szCs w:val="21"/>
              </w:rPr>
              <w:t>东外环</w:t>
            </w:r>
          </w:p>
        </w:tc>
        <w:tc>
          <w:tcPr>
            <w:tcW w:w="0" w:type="auto"/>
            <w:noWrap w:val="0"/>
            <w:vAlign w:val="center"/>
          </w:tcPr>
          <w:p w14:paraId="6CF4BF85">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76653AE4">
            <w:pPr>
              <w:jc w:val="center"/>
              <w:rPr>
                <w:color w:val="000000"/>
                <w:szCs w:val="21"/>
              </w:rPr>
            </w:pPr>
            <w:r>
              <w:rPr>
                <w:color w:val="000000"/>
                <w:szCs w:val="21"/>
              </w:rPr>
              <w:t>1</w:t>
            </w:r>
          </w:p>
        </w:tc>
        <w:tc>
          <w:tcPr>
            <w:tcW w:w="0" w:type="auto"/>
            <w:noWrap w:val="0"/>
            <w:vAlign w:val="center"/>
          </w:tcPr>
          <w:p w14:paraId="2BBFA4A9">
            <w:pPr>
              <w:jc w:val="center"/>
              <w:rPr>
                <w:color w:val="000000"/>
                <w:szCs w:val="21"/>
              </w:rPr>
            </w:pPr>
            <w:r>
              <w:rPr>
                <w:color w:val="000000"/>
                <w:szCs w:val="21"/>
              </w:rPr>
              <w:t>1</w:t>
            </w:r>
          </w:p>
        </w:tc>
        <w:tc>
          <w:tcPr>
            <w:tcW w:w="0" w:type="auto"/>
            <w:noWrap w:val="0"/>
            <w:vAlign w:val="center"/>
          </w:tcPr>
          <w:p w14:paraId="038D8454">
            <w:pPr>
              <w:jc w:val="center"/>
              <w:rPr>
                <w:color w:val="000000"/>
                <w:szCs w:val="21"/>
              </w:rPr>
            </w:pPr>
            <w:r>
              <w:rPr>
                <w:color w:val="000000"/>
                <w:szCs w:val="21"/>
              </w:rPr>
              <w:t>100</w:t>
            </w:r>
          </w:p>
        </w:tc>
        <w:tc>
          <w:tcPr>
            <w:tcW w:w="0" w:type="auto"/>
            <w:noWrap w:val="0"/>
            <w:vAlign w:val="center"/>
          </w:tcPr>
          <w:p w14:paraId="282FCD76">
            <w:pPr>
              <w:jc w:val="center"/>
              <w:rPr>
                <w:color w:val="000000"/>
                <w:szCs w:val="21"/>
              </w:rPr>
            </w:pPr>
            <w:r>
              <w:rPr>
                <w:color w:val="000000"/>
                <w:szCs w:val="21"/>
              </w:rPr>
              <w:t>220</w:t>
            </w:r>
          </w:p>
        </w:tc>
      </w:tr>
      <w:tr w14:paraId="2A117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2045B0E">
            <w:pPr>
              <w:jc w:val="center"/>
              <w:rPr>
                <w:color w:val="000000"/>
                <w:szCs w:val="21"/>
              </w:rPr>
            </w:pPr>
            <w:r>
              <w:rPr>
                <w:rFonts w:hint="eastAsia"/>
                <w:color w:val="000000"/>
                <w:szCs w:val="21"/>
              </w:rPr>
              <w:t>0</w:t>
            </w:r>
            <w:r>
              <w:rPr>
                <w:color w:val="000000"/>
                <w:szCs w:val="21"/>
              </w:rPr>
              <w:t>8</w:t>
            </w:r>
          </w:p>
        </w:tc>
        <w:tc>
          <w:tcPr>
            <w:tcW w:w="0" w:type="auto"/>
            <w:noWrap w:val="0"/>
            <w:vAlign w:val="center"/>
          </w:tcPr>
          <w:p w14:paraId="77A6D72A">
            <w:pPr>
              <w:jc w:val="center"/>
              <w:rPr>
                <w:rFonts w:ascii="楷体_GB2312" w:hAnsi="宋体" w:eastAsia="楷体_GB2312" w:cs="宋体"/>
                <w:color w:val="000000"/>
                <w:szCs w:val="21"/>
              </w:rPr>
            </w:pPr>
            <w:r>
              <w:rPr>
                <w:rFonts w:hint="eastAsia" w:ascii="楷体_GB2312" w:eastAsia="楷体_GB2312"/>
                <w:color w:val="000000"/>
                <w:szCs w:val="21"/>
              </w:rPr>
              <w:t>振兴大道</w:t>
            </w:r>
          </w:p>
        </w:tc>
        <w:tc>
          <w:tcPr>
            <w:tcW w:w="0" w:type="auto"/>
            <w:noWrap w:val="0"/>
            <w:vAlign w:val="center"/>
          </w:tcPr>
          <w:p w14:paraId="351F6B62">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2ECE84AC">
            <w:pPr>
              <w:jc w:val="center"/>
              <w:rPr>
                <w:color w:val="000000"/>
                <w:szCs w:val="21"/>
              </w:rPr>
            </w:pPr>
            <w:r>
              <w:rPr>
                <w:color w:val="000000"/>
                <w:szCs w:val="21"/>
              </w:rPr>
              <w:t>0.7</w:t>
            </w:r>
          </w:p>
        </w:tc>
        <w:tc>
          <w:tcPr>
            <w:tcW w:w="0" w:type="auto"/>
            <w:noWrap w:val="0"/>
            <w:vAlign w:val="center"/>
          </w:tcPr>
          <w:p w14:paraId="0CD6C593">
            <w:pPr>
              <w:jc w:val="center"/>
              <w:rPr>
                <w:color w:val="000000"/>
                <w:szCs w:val="21"/>
              </w:rPr>
            </w:pPr>
            <w:r>
              <w:rPr>
                <w:color w:val="000000"/>
                <w:szCs w:val="21"/>
              </w:rPr>
              <w:t>2</w:t>
            </w:r>
          </w:p>
        </w:tc>
        <w:tc>
          <w:tcPr>
            <w:tcW w:w="0" w:type="auto"/>
            <w:noWrap w:val="0"/>
            <w:vAlign w:val="center"/>
          </w:tcPr>
          <w:p w14:paraId="736C38E5">
            <w:pPr>
              <w:jc w:val="center"/>
              <w:rPr>
                <w:color w:val="000000"/>
                <w:szCs w:val="21"/>
              </w:rPr>
            </w:pPr>
            <w:r>
              <w:rPr>
                <w:color w:val="000000"/>
                <w:szCs w:val="21"/>
              </w:rPr>
              <w:t>70</w:t>
            </w:r>
          </w:p>
        </w:tc>
        <w:tc>
          <w:tcPr>
            <w:tcW w:w="0" w:type="auto"/>
            <w:noWrap w:val="0"/>
            <w:vAlign w:val="center"/>
          </w:tcPr>
          <w:p w14:paraId="6761A40C">
            <w:pPr>
              <w:jc w:val="center"/>
              <w:rPr>
                <w:color w:val="000000"/>
                <w:szCs w:val="21"/>
              </w:rPr>
            </w:pPr>
            <w:r>
              <w:rPr>
                <w:color w:val="000000"/>
                <w:szCs w:val="21"/>
              </w:rPr>
              <w:t>180</w:t>
            </w:r>
          </w:p>
        </w:tc>
      </w:tr>
      <w:tr w14:paraId="6AE34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942C4EB">
            <w:pPr>
              <w:jc w:val="center"/>
              <w:rPr>
                <w:color w:val="000000"/>
                <w:szCs w:val="21"/>
              </w:rPr>
            </w:pPr>
            <w:r>
              <w:rPr>
                <w:rFonts w:hint="eastAsia"/>
                <w:color w:val="000000"/>
                <w:szCs w:val="21"/>
              </w:rPr>
              <w:t>0</w:t>
            </w:r>
            <w:r>
              <w:rPr>
                <w:color w:val="000000"/>
                <w:szCs w:val="21"/>
              </w:rPr>
              <w:t>9</w:t>
            </w:r>
          </w:p>
        </w:tc>
        <w:tc>
          <w:tcPr>
            <w:tcW w:w="0" w:type="auto"/>
            <w:noWrap w:val="0"/>
            <w:vAlign w:val="center"/>
          </w:tcPr>
          <w:p w14:paraId="7803472F">
            <w:pPr>
              <w:jc w:val="center"/>
              <w:rPr>
                <w:rFonts w:ascii="楷体_GB2312" w:hAnsi="宋体" w:eastAsia="楷体_GB2312" w:cs="宋体"/>
                <w:color w:val="000000"/>
                <w:szCs w:val="21"/>
              </w:rPr>
            </w:pPr>
            <w:r>
              <w:rPr>
                <w:rFonts w:hint="eastAsia" w:ascii="楷体_GB2312" w:eastAsia="楷体_GB2312"/>
                <w:color w:val="000000"/>
                <w:szCs w:val="21"/>
              </w:rPr>
              <w:t>国安路</w:t>
            </w:r>
          </w:p>
        </w:tc>
        <w:tc>
          <w:tcPr>
            <w:tcW w:w="0" w:type="auto"/>
            <w:noWrap w:val="0"/>
            <w:vAlign w:val="center"/>
          </w:tcPr>
          <w:p w14:paraId="34A434DB">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7ABB08A1">
            <w:pPr>
              <w:jc w:val="center"/>
              <w:rPr>
                <w:color w:val="000000"/>
                <w:szCs w:val="21"/>
              </w:rPr>
            </w:pPr>
            <w:r>
              <w:rPr>
                <w:color w:val="000000"/>
                <w:szCs w:val="21"/>
              </w:rPr>
              <w:t>0.7</w:t>
            </w:r>
          </w:p>
        </w:tc>
        <w:tc>
          <w:tcPr>
            <w:tcW w:w="0" w:type="auto"/>
            <w:noWrap w:val="0"/>
            <w:vAlign w:val="center"/>
          </w:tcPr>
          <w:p w14:paraId="65204838">
            <w:pPr>
              <w:jc w:val="center"/>
              <w:rPr>
                <w:color w:val="000000"/>
                <w:szCs w:val="21"/>
              </w:rPr>
            </w:pPr>
            <w:r>
              <w:rPr>
                <w:color w:val="000000"/>
                <w:szCs w:val="21"/>
              </w:rPr>
              <w:t>2</w:t>
            </w:r>
          </w:p>
        </w:tc>
        <w:tc>
          <w:tcPr>
            <w:tcW w:w="0" w:type="auto"/>
            <w:noWrap w:val="0"/>
            <w:vAlign w:val="center"/>
          </w:tcPr>
          <w:p w14:paraId="01FE0374">
            <w:pPr>
              <w:jc w:val="center"/>
              <w:rPr>
                <w:color w:val="000000"/>
                <w:szCs w:val="21"/>
              </w:rPr>
            </w:pPr>
            <w:r>
              <w:rPr>
                <w:color w:val="000000"/>
                <w:szCs w:val="21"/>
              </w:rPr>
              <w:t>70</w:t>
            </w:r>
          </w:p>
        </w:tc>
        <w:tc>
          <w:tcPr>
            <w:tcW w:w="0" w:type="auto"/>
            <w:noWrap w:val="0"/>
            <w:vAlign w:val="center"/>
          </w:tcPr>
          <w:p w14:paraId="4B054A68">
            <w:pPr>
              <w:jc w:val="center"/>
              <w:rPr>
                <w:color w:val="000000"/>
                <w:szCs w:val="21"/>
              </w:rPr>
            </w:pPr>
            <w:r>
              <w:rPr>
                <w:color w:val="000000"/>
                <w:szCs w:val="21"/>
              </w:rPr>
              <w:t>180</w:t>
            </w:r>
          </w:p>
        </w:tc>
      </w:tr>
      <w:tr w14:paraId="3A1C6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20F483E">
            <w:pPr>
              <w:jc w:val="center"/>
              <w:rPr>
                <w:color w:val="000000"/>
                <w:szCs w:val="21"/>
              </w:rPr>
            </w:pPr>
            <w:r>
              <w:rPr>
                <w:color w:val="000000"/>
                <w:szCs w:val="21"/>
              </w:rPr>
              <w:t>10</w:t>
            </w:r>
          </w:p>
        </w:tc>
        <w:tc>
          <w:tcPr>
            <w:tcW w:w="0" w:type="auto"/>
            <w:noWrap w:val="0"/>
            <w:vAlign w:val="center"/>
          </w:tcPr>
          <w:p w14:paraId="6593D2D1">
            <w:pPr>
              <w:jc w:val="center"/>
              <w:rPr>
                <w:rFonts w:ascii="楷体_GB2312" w:hAnsi="宋体" w:eastAsia="楷体_GB2312" w:cs="宋体"/>
                <w:color w:val="000000"/>
                <w:szCs w:val="21"/>
              </w:rPr>
            </w:pPr>
            <w:r>
              <w:rPr>
                <w:rFonts w:hint="eastAsia" w:ascii="楷体_GB2312" w:eastAsia="楷体_GB2312"/>
                <w:color w:val="000000"/>
                <w:szCs w:val="21"/>
              </w:rPr>
              <w:t>丰泰路</w:t>
            </w:r>
          </w:p>
        </w:tc>
        <w:tc>
          <w:tcPr>
            <w:tcW w:w="0" w:type="auto"/>
            <w:noWrap w:val="0"/>
            <w:vAlign w:val="center"/>
          </w:tcPr>
          <w:p w14:paraId="7A62E432">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4E802A94">
            <w:pPr>
              <w:jc w:val="center"/>
              <w:rPr>
                <w:color w:val="000000"/>
                <w:szCs w:val="21"/>
              </w:rPr>
            </w:pPr>
            <w:r>
              <w:rPr>
                <w:color w:val="000000"/>
                <w:szCs w:val="21"/>
              </w:rPr>
              <w:t>0.7</w:t>
            </w:r>
          </w:p>
        </w:tc>
        <w:tc>
          <w:tcPr>
            <w:tcW w:w="0" w:type="auto"/>
            <w:noWrap w:val="0"/>
            <w:vAlign w:val="center"/>
          </w:tcPr>
          <w:p w14:paraId="146EB2CD">
            <w:pPr>
              <w:jc w:val="center"/>
              <w:rPr>
                <w:color w:val="000000"/>
                <w:szCs w:val="21"/>
              </w:rPr>
            </w:pPr>
            <w:r>
              <w:rPr>
                <w:color w:val="000000"/>
                <w:szCs w:val="21"/>
              </w:rPr>
              <w:t>2</w:t>
            </w:r>
          </w:p>
        </w:tc>
        <w:tc>
          <w:tcPr>
            <w:tcW w:w="0" w:type="auto"/>
            <w:noWrap w:val="0"/>
            <w:vAlign w:val="center"/>
          </w:tcPr>
          <w:p w14:paraId="29EC7974">
            <w:pPr>
              <w:jc w:val="center"/>
              <w:rPr>
                <w:color w:val="000000"/>
                <w:szCs w:val="21"/>
              </w:rPr>
            </w:pPr>
            <w:r>
              <w:rPr>
                <w:color w:val="000000"/>
                <w:szCs w:val="21"/>
              </w:rPr>
              <w:t>70</w:t>
            </w:r>
          </w:p>
        </w:tc>
        <w:tc>
          <w:tcPr>
            <w:tcW w:w="0" w:type="auto"/>
            <w:noWrap w:val="0"/>
            <w:vAlign w:val="center"/>
          </w:tcPr>
          <w:p w14:paraId="5A04E610">
            <w:pPr>
              <w:jc w:val="center"/>
              <w:rPr>
                <w:color w:val="000000"/>
                <w:szCs w:val="21"/>
              </w:rPr>
            </w:pPr>
            <w:r>
              <w:rPr>
                <w:color w:val="000000"/>
                <w:szCs w:val="21"/>
              </w:rPr>
              <w:t>180</w:t>
            </w:r>
          </w:p>
        </w:tc>
      </w:tr>
      <w:tr w14:paraId="360C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3241D55">
            <w:pPr>
              <w:jc w:val="center"/>
              <w:rPr>
                <w:color w:val="000000"/>
                <w:szCs w:val="21"/>
              </w:rPr>
            </w:pPr>
            <w:r>
              <w:rPr>
                <w:color w:val="000000"/>
                <w:szCs w:val="21"/>
              </w:rPr>
              <w:t>11</w:t>
            </w:r>
          </w:p>
        </w:tc>
        <w:tc>
          <w:tcPr>
            <w:tcW w:w="0" w:type="auto"/>
            <w:noWrap w:val="0"/>
            <w:vAlign w:val="center"/>
          </w:tcPr>
          <w:p w14:paraId="58234B38">
            <w:pPr>
              <w:jc w:val="center"/>
              <w:rPr>
                <w:rFonts w:ascii="楷体_GB2312" w:hAnsi="宋体" w:eastAsia="楷体_GB2312" w:cs="宋体"/>
                <w:color w:val="000000"/>
                <w:szCs w:val="21"/>
              </w:rPr>
            </w:pPr>
            <w:r>
              <w:rPr>
                <w:rFonts w:hint="eastAsia" w:ascii="楷体_GB2312" w:eastAsia="楷体_GB2312"/>
                <w:color w:val="000000"/>
                <w:szCs w:val="21"/>
              </w:rPr>
              <w:t>中山路</w:t>
            </w:r>
          </w:p>
        </w:tc>
        <w:tc>
          <w:tcPr>
            <w:tcW w:w="0" w:type="auto"/>
            <w:noWrap w:val="0"/>
            <w:vAlign w:val="center"/>
          </w:tcPr>
          <w:p w14:paraId="33D6780D">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BFCBB54">
            <w:pPr>
              <w:jc w:val="center"/>
              <w:rPr>
                <w:color w:val="000000"/>
                <w:szCs w:val="21"/>
              </w:rPr>
            </w:pPr>
            <w:r>
              <w:rPr>
                <w:color w:val="000000"/>
                <w:szCs w:val="21"/>
              </w:rPr>
              <w:t>0.4</w:t>
            </w:r>
          </w:p>
        </w:tc>
        <w:tc>
          <w:tcPr>
            <w:tcW w:w="0" w:type="auto"/>
            <w:noWrap w:val="0"/>
            <w:vAlign w:val="center"/>
          </w:tcPr>
          <w:p w14:paraId="246FFBDE">
            <w:pPr>
              <w:jc w:val="center"/>
              <w:rPr>
                <w:color w:val="000000"/>
                <w:szCs w:val="21"/>
              </w:rPr>
            </w:pPr>
            <w:r>
              <w:rPr>
                <w:color w:val="000000"/>
                <w:szCs w:val="21"/>
              </w:rPr>
              <w:t>3</w:t>
            </w:r>
          </w:p>
        </w:tc>
        <w:tc>
          <w:tcPr>
            <w:tcW w:w="0" w:type="auto"/>
            <w:noWrap w:val="0"/>
            <w:vAlign w:val="center"/>
          </w:tcPr>
          <w:p w14:paraId="7F7BD76C">
            <w:pPr>
              <w:jc w:val="center"/>
              <w:rPr>
                <w:color w:val="000000"/>
                <w:szCs w:val="21"/>
              </w:rPr>
            </w:pPr>
            <w:r>
              <w:rPr>
                <w:color w:val="000000"/>
                <w:szCs w:val="21"/>
              </w:rPr>
              <w:t>40</w:t>
            </w:r>
          </w:p>
        </w:tc>
        <w:tc>
          <w:tcPr>
            <w:tcW w:w="0" w:type="auto"/>
            <w:noWrap w:val="0"/>
            <w:vAlign w:val="center"/>
          </w:tcPr>
          <w:p w14:paraId="2866B27A">
            <w:pPr>
              <w:jc w:val="center"/>
              <w:rPr>
                <w:color w:val="000000"/>
                <w:szCs w:val="21"/>
              </w:rPr>
            </w:pPr>
            <w:r>
              <w:rPr>
                <w:color w:val="000000"/>
                <w:szCs w:val="21"/>
              </w:rPr>
              <w:t>150</w:t>
            </w:r>
          </w:p>
        </w:tc>
      </w:tr>
      <w:tr w14:paraId="0C4F2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DF4E949">
            <w:pPr>
              <w:jc w:val="center"/>
              <w:rPr>
                <w:color w:val="000000"/>
                <w:szCs w:val="21"/>
              </w:rPr>
            </w:pPr>
            <w:r>
              <w:rPr>
                <w:color w:val="000000"/>
                <w:szCs w:val="21"/>
              </w:rPr>
              <w:t>12</w:t>
            </w:r>
          </w:p>
        </w:tc>
        <w:tc>
          <w:tcPr>
            <w:tcW w:w="0" w:type="auto"/>
            <w:noWrap w:val="0"/>
            <w:vAlign w:val="center"/>
          </w:tcPr>
          <w:p w14:paraId="345DC134">
            <w:pPr>
              <w:jc w:val="center"/>
              <w:rPr>
                <w:rFonts w:ascii="楷体_GB2312" w:hAnsi="宋体" w:eastAsia="楷体_GB2312" w:cs="宋体"/>
                <w:color w:val="000000"/>
                <w:szCs w:val="21"/>
              </w:rPr>
            </w:pPr>
            <w:r>
              <w:rPr>
                <w:rFonts w:hint="eastAsia" w:ascii="楷体_GB2312" w:eastAsia="楷体_GB2312"/>
                <w:color w:val="000000"/>
                <w:szCs w:val="21"/>
              </w:rPr>
              <w:t>健康路</w:t>
            </w:r>
          </w:p>
        </w:tc>
        <w:tc>
          <w:tcPr>
            <w:tcW w:w="0" w:type="auto"/>
            <w:noWrap w:val="0"/>
            <w:vAlign w:val="center"/>
          </w:tcPr>
          <w:p w14:paraId="7E8CCC37">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926CC31">
            <w:pPr>
              <w:jc w:val="center"/>
              <w:rPr>
                <w:color w:val="000000"/>
                <w:szCs w:val="21"/>
              </w:rPr>
            </w:pPr>
            <w:r>
              <w:rPr>
                <w:color w:val="000000"/>
                <w:szCs w:val="21"/>
              </w:rPr>
              <w:t>0.4</w:t>
            </w:r>
          </w:p>
        </w:tc>
        <w:tc>
          <w:tcPr>
            <w:tcW w:w="0" w:type="auto"/>
            <w:noWrap w:val="0"/>
            <w:vAlign w:val="center"/>
          </w:tcPr>
          <w:p w14:paraId="1084C471">
            <w:pPr>
              <w:jc w:val="center"/>
              <w:rPr>
                <w:color w:val="000000"/>
                <w:szCs w:val="21"/>
              </w:rPr>
            </w:pPr>
            <w:r>
              <w:rPr>
                <w:color w:val="000000"/>
                <w:szCs w:val="21"/>
              </w:rPr>
              <w:t>3</w:t>
            </w:r>
          </w:p>
        </w:tc>
        <w:tc>
          <w:tcPr>
            <w:tcW w:w="0" w:type="auto"/>
            <w:noWrap w:val="0"/>
            <w:vAlign w:val="center"/>
          </w:tcPr>
          <w:p w14:paraId="41D616D8">
            <w:pPr>
              <w:jc w:val="center"/>
              <w:rPr>
                <w:color w:val="000000"/>
                <w:szCs w:val="21"/>
              </w:rPr>
            </w:pPr>
            <w:r>
              <w:rPr>
                <w:color w:val="000000"/>
                <w:szCs w:val="21"/>
              </w:rPr>
              <w:t>40</w:t>
            </w:r>
          </w:p>
        </w:tc>
        <w:tc>
          <w:tcPr>
            <w:tcW w:w="0" w:type="auto"/>
            <w:noWrap w:val="0"/>
            <w:vAlign w:val="center"/>
          </w:tcPr>
          <w:p w14:paraId="19CD85AF">
            <w:pPr>
              <w:jc w:val="center"/>
              <w:rPr>
                <w:color w:val="000000"/>
                <w:szCs w:val="21"/>
              </w:rPr>
            </w:pPr>
            <w:r>
              <w:rPr>
                <w:color w:val="000000"/>
                <w:szCs w:val="21"/>
              </w:rPr>
              <w:t>150</w:t>
            </w:r>
          </w:p>
        </w:tc>
      </w:tr>
      <w:tr w14:paraId="0436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3FF0F0E">
            <w:pPr>
              <w:jc w:val="center"/>
              <w:rPr>
                <w:color w:val="000000"/>
                <w:szCs w:val="21"/>
              </w:rPr>
            </w:pPr>
            <w:r>
              <w:rPr>
                <w:color w:val="000000"/>
                <w:szCs w:val="21"/>
              </w:rPr>
              <w:t>13</w:t>
            </w:r>
          </w:p>
        </w:tc>
        <w:tc>
          <w:tcPr>
            <w:tcW w:w="0" w:type="auto"/>
            <w:noWrap w:val="0"/>
            <w:vAlign w:val="center"/>
          </w:tcPr>
          <w:p w14:paraId="628DB617">
            <w:pPr>
              <w:jc w:val="center"/>
              <w:rPr>
                <w:rFonts w:ascii="楷体_GB2312" w:hAnsi="宋体" w:eastAsia="楷体_GB2312" w:cs="宋体"/>
                <w:color w:val="000000"/>
                <w:szCs w:val="21"/>
              </w:rPr>
            </w:pPr>
            <w:r>
              <w:rPr>
                <w:rFonts w:hint="eastAsia" w:ascii="楷体_GB2312" w:eastAsia="楷体_GB2312"/>
                <w:color w:val="000000"/>
                <w:szCs w:val="21"/>
              </w:rPr>
              <w:t>人民路</w:t>
            </w:r>
          </w:p>
        </w:tc>
        <w:tc>
          <w:tcPr>
            <w:tcW w:w="0" w:type="auto"/>
            <w:noWrap w:val="0"/>
            <w:vAlign w:val="center"/>
          </w:tcPr>
          <w:p w14:paraId="2B155669">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236CF9D9">
            <w:pPr>
              <w:jc w:val="center"/>
              <w:rPr>
                <w:color w:val="000000"/>
                <w:szCs w:val="21"/>
              </w:rPr>
            </w:pPr>
            <w:r>
              <w:rPr>
                <w:color w:val="000000"/>
                <w:szCs w:val="21"/>
              </w:rPr>
              <w:t>0.4</w:t>
            </w:r>
          </w:p>
        </w:tc>
        <w:tc>
          <w:tcPr>
            <w:tcW w:w="0" w:type="auto"/>
            <w:noWrap w:val="0"/>
            <w:vAlign w:val="center"/>
          </w:tcPr>
          <w:p w14:paraId="3CED9E17">
            <w:pPr>
              <w:jc w:val="center"/>
              <w:rPr>
                <w:color w:val="000000"/>
                <w:szCs w:val="21"/>
              </w:rPr>
            </w:pPr>
            <w:r>
              <w:rPr>
                <w:color w:val="000000"/>
                <w:szCs w:val="21"/>
              </w:rPr>
              <w:t>3</w:t>
            </w:r>
          </w:p>
        </w:tc>
        <w:tc>
          <w:tcPr>
            <w:tcW w:w="0" w:type="auto"/>
            <w:noWrap w:val="0"/>
            <w:vAlign w:val="center"/>
          </w:tcPr>
          <w:p w14:paraId="69C69132">
            <w:pPr>
              <w:jc w:val="center"/>
              <w:rPr>
                <w:color w:val="000000"/>
                <w:szCs w:val="21"/>
              </w:rPr>
            </w:pPr>
            <w:r>
              <w:rPr>
                <w:color w:val="000000"/>
                <w:szCs w:val="21"/>
              </w:rPr>
              <w:t>40</w:t>
            </w:r>
          </w:p>
        </w:tc>
        <w:tc>
          <w:tcPr>
            <w:tcW w:w="0" w:type="auto"/>
            <w:noWrap w:val="0"/>
            <w:vAlign w:val="center"/>
          </w:tcPr>
          <w:p w14:paraId="32D9E168">
            <w:pPr>
              <w:jc w:val="center"/>
              <w:rPr>
                <w:color w:val="000000"/>
                <w:szCs w:val="21"/>
              </w:rPr>
            </w:pPr>
            <w:r>
              <w:rPr>
                <w:color w:val="000000"/>
                <w:szCs w:val="21"/>
              </w:rPr>
              <w:t>150</w:t>
            </w:r>
          </w:p>
        </w:tc>
      </w:tr>
      <w:tr w14:paraId="6D17C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248F5FF">
            <w:pPr>
              <w:jc w:val="center"/>
              <w:rPr>
                <w:color w:val="000000"/>
                <w:szCs w:val="21"/>
              </w:rPr>
            </w:pPr>
            <w:r>
              <w:rPr>
                <w:color w:val="000000"/>
                <w:szCs w:val="21"/>
              </w:rPr>
              <w:t>14</w:t>
            </w:r>
          </w:p>
        </w:tc>
        <w:tc>
          <w:tcPr>
            <w:tcW w:w="0" w:type="auto"/>
            <w:noWrap w:val="0"/>
            <w:vAlign w:val="center"/>
          </w:tcPr>
          <w:p w14:paraId="4E580DEA">
            <w:pPr>
              <w:jc w:val="center"/>
              <w:rPr>
                <w:rFonts w:ascii="楷体_GB2312" w:hAnsi="宋体" w:eastAsia="楷体_GB2312" w:cs="宋体"/>
                <w:color w:val="000000"/>
                <w:szCs w:val="21"/>
              </w:rPr>
            </w:pPr>
            <w:r>
              <w:rPr>
                <w:rFonts w:hint="eastAsia" w:ascii="楷体_GB2312" w:eastAsia="楷体_GB2312"/>
                <w:color w:val="000000"/>
                <w:szCs w:val="21"/>
              </w:rPr>
              <w:t>西新大街</w:t>
            </w:r>
          </w:p>
        </w:tc>
        <w:tc>
          <w:tcPr>
            <w:tcW w:w="0" w:type="auto"/>
            <w:noWrap w:val="0"/>
            <w:vAlign w:val="center"/>
          </w:tcPr>
          <w:p w14:paraId="2309BDE7">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110AA00">
            <w:pPr>
              <w:jc w:val="center"/>
              <w:rPr>
                <w:color w:val="000000"/>
                <w:szCs w:val="21"/>
              </w:rPr>
            </w:pPr>
            <w:r>
              <w:rPr>
                <w:color w:val="000000"/>
                <w:szCs w:val="21"/>
              </w:rPr>
              <w:t>0.4</w:t>
            </w:r>
          </w:p>
        </w:tc>
        <w:tc>
          <w:tcPr>
            <w:tcW w:w="0" w:type="auto"/>
            <w:noWrap w:val="0"/>
            <w:vAlign w:val="center"/>
          </w:tcPr>
          <w:p w14:paraId="348BEB51">
            <w:pPr>
              <w:jc w:val="center"/>
              <w:rPr>
                <w:color w:val="000000"/>
                <w:szCs w:val="21"/>
              </w:rPr>
            </w:pPr>
            <w:r>
              <w:rPr>
                <w:color w:val="000000"/>
                <w:szCs w:val="21"/>
              </w:rPr>
              <w:t>3</w:t>
            </w:r>
          </w:p>
        </w:tc>
        <w:tc>
          <w:tcPr>
            <w:tcW w:w="0" w:type="auto"/>
            <w:noWrap w:val="0"/>
            <w:vAlign w:val="center"/>
          </w:tcPr>
          <w:p w14:paraId="50F7EE18">
            <w:pPr>
              <w:jc w:val="center"/>
              <w:rPr>
                <w:color w:val="000000"/>
                <w:szCs w:val="21"/>
              </w:rPr>
            </w:pPr>
            <w:r>
              <w:rPr>
                <w:color w:val="000000"/>
                <w:szCs w:val="21"/>
              </w:rPr>
              <w:t>40</w:t>
            </w:r>
          </w:p>
        </w:tc>
        <w:tc>
          <w:tcPr>
            <w:tcW w:w="0" w:type="auto"/>
            <w:noWrap w:val="0"/>
            <w:vAlign w:val="center"/>
          </w:tcPr>
          <w:p w14:paraId="0845A50E">
            <w:pPr>
              <w:jc w:val="center"/>
              <w:rPr>
                <w:color w:val="000000"/>
                <w:szCs w:val="21"/>
              </w:rPr>
            </w:pPr>
            <w:r>
              <w:rPr>
                <w:color w:val="000000"/>
                <w:szCs w:val="21"/>
              </w:rPr>
              <w:t>150</w:t>
            </w:r>
          </w:p>
        </w:tc>
      </w:tr>
      <w:tr w14:paraId="3EAFD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339C23A">
            <w:pPr>
              <w:jc w:val="center"/>
              <w:rPr>
                <w:color w:val="000000"/>
                <w:szCs w:val="21"/>
              </w:rPr>
            </w:pPr>
            <w:r>
              <w:rPr>
                <w:color w:val="000000"/>
                <w:szCs w:val="21"/>
              </w:rPr>
              <w:t>15</w:t>
            </w:r>
          </w:p>
        </w:tc>
        <w:tc>
          <w:tcPr>
            <w:tcW w:w="0" w:type="auto"/>
            <w:noWrap w:val="0"/>
            <w:vAlign w:val="center"/>
          </w:tcPr>
          <w:p w14:paraId="5C8954DA">
            <w:pPr>
              <w:jc w:val="center"/>
              <w:rPr>
                <w:rFonts w:ascii="楷体_GB2312" w:hAnsi="宋体" w:eastAsia="楷体_GB2312" w:cs="宋体"/>
                <w:color w:val="000000"/>
                <w:szCs w:val="21"/>
              </w:rPr>
            </w:pPr>
            <w:r>
              <w:rPr>
                <w:rFonts w:hint="eastAsia" w:ascii="楷体_GB2312" w:eastAsia="楷体_GB2312"/>
                <w:color w:val="000000"/>
                <w:szCs w:val="21"/>
              </w:rPr>
              <w:t>杨庄大街</w:t>
            </w:r>
          </w:p>
        </w:tc>
        <w:tc>
          <w:tcPr>
            <w:tcW w:w="0" w:type="auto"/>
            <w:noWrap w:val="0"/>
            <w:vAlign w:val="center"/>
          </w:tcPr>
          <w:p w14:paraId="76B6E72A">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3ACAAAA">
            <w:pPr>
              <w:jc w:val="center"/>
              <w:rPr>
                <w:color w:val="000000"/>
                <w:szCs w:val="21"/>
              </w:rPr>
            </w:pPr>
            <w:r>
              <w:rPr>
                <w:color w:val="000000"/>
                <w:szCs w:val="21"/>
              </w:rPr>
              <w:t>0.4</w:t>
            </w:r>
          </w:p>
        </w:tc>
        <w:tc>
          <w:tcPr>
            <w:tcW w:w="0" w:type="auto"/>
            <w:noWrap w:val="0"/>
            <w:vAlign w:val="center"/>
          </w:tcPr>
          <w:p w14:paraId="56AFE38D">
            <w:pPr>
              <w:jc w:val="center"/>
              <w:rPr>
                <w:color w:val="000000"/>
                <w:szCs w:val="21"/>
              </w:rPr>
            </w:pPr>
            <w:r>
              <w:rPr>
                <w:color w:val="000000"/>
                <w:szCs w:val="21"/>
              </w:rPr>
              <w:t>3</w:t>
            </w:r>
          </w:p>
        </w:tc>
        <w:tc>
          <w:tcPr>
            <w:tcW w:w="0" w:type="auto"/>
            <w:noWrap w:val="0"/>
            <w:vAlign w:val="center"/>
          </w:tcPr>
          <w:p w14:paraId="0EA1A36B">
            <w:pPr>
              <w:jc w:val="center"/>
              <w:rPr>
                <w:color w:val="000000"/>
                <w:szCs w:val="21"/>
              </w:rPr>
            </w:pPr>
            <w:r>
              <w:rPr>
                <w:color w:val="000000"/>
                <w:szCs w:val="21"/>
              </w:rPr>
              <w:t>40</w:t>
            </w:r>
          </w:p>
        </w:tc>
        <w:tc>
          <w:tcPr>
            <w:tcW w:w="0" w:type="auto"/>
            <w:noWrap w:val="0"/>
            <w:vAlign w:val="center"/>
          </w:tcPr>
          <w:p w14:paraId="4BE1F080">
            <w:pPr>
              <w:jc w:val="center"/>
              <w:rPr>
                <w:color w:val="000000"/>
                <w:szCs w:val="21"/>
              </w:rPr>
            </w:pPr>
            <w:r>
              <w:rPr>
                <w:color w:val="000000"/>
                <w:szCs w:val="21"/>
              </w:rPr>
              <w:t>150</w:t>
            </w:r>
          </w:p>
        </w:tc>
      </w:tr>
      <w:tr w14:paraId="37FE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D4F5943">
            <w:pPr>
              <w:jc w:val="center"/>
              <w:rPr>
                <w:color w:val="000000"/>
                <w:szCs w:val="21"/>
              </w:rPr>
            </w:pPr>
            <w:r>
              <w:rPr>
                <w:color w:val="000000"/>
                <w:szCs w:val="21"/>
              </w:rPr>
              <w:t>16</w:t>
            </w:r>
          </w:p>
        </w:tc>
        <w:tc>
          <w:tcPr>
            <w:tcW w:w="0" w:type="auto"/>
            <w:noWrap w:val="0"/>
            <w:vAlign w:val="center"/>
          </w:tcPr>
          <w:p w14:paraId="70E61D72">
            <w:pPr>
              <w:jc w:val="center"/>
              <w:rPr>
                <w:rFonts w:ascii="楷体_GB2312" w:hAnsi="宋体" w:eastAsia="楷体_GB2312" w:cs="宋体"/>
                <w:color w:val="000000"/>
                <w:szCs w:val="21"/>
              </w:rPr>
            </w:pPr>
            <w:r>
              <w:rPr>
                <w:rFonts w:hint="eastAsia" w:ascii="楷体_GB2312" w:eastAsia="楷体_GB2312"/>
                <w:color w:val="000000"/>
                <w:szCs w:val="21"/>
              </w:rPr>
              <w:t>东大街</w:t>
            </w:r>
          </w:p>
        </w:tc>
        <w:tc>
          <w:tcPr>
            <w:tcW w:w="0" w:type="auto"/>
            <w:noWrap w:val="0"/>
            <w:vAlign w:val="center"/>
          </w:tcPr>
          <w:p w14:paraId="7E2442B3">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0805B057">
            <w:pPr>
              <w:jc w:val="center"/>
              <w:rPr>
                <w:color w:val="000000"/>
                <w:szCs w:val="21"/>
              </w:rPr>
            </w:pPr>
            <w:r>
              <w:rPr>
                <w:color w:val="000000"/>
                <w:szCs w:val="21"/>
              </w:rPr>
              <w:t>0.4</w:t>
            </w:r>
          </w:p>
        </w:tc>
        <w:tc>
          <w:tcPr>
            <w:tcW w:w="0" w:type="auto"/>
            <w:noWrap w:val="0"/>
            <w:vAlign w:val="center"/>
          </w:tcPr>
          <w:p w14:paraId="66E03230">
            <w:pPr>
              <w:jc w:val="center"/>
              <w:rPr>
                <w:color w:val="000000"/>
                <w:szCs w:val="21"/>
              </w:rPr>
            </w:pPr>
            <w:r>
              <w:rPr>
                <w:color w:val="000000"/>
                <w:szCs w:val="21"/>
              </w:rPr>
              <w:t>3</w:t>
            </w:r>
          </w:p>
        </w:tc>
        <w:tc>
          <w:tcPr>
            <w:tcW w:w="0" w:type="auto"/>
            <w:noWrap w:val="0"/>
            <w:vAlign w:val="center"/>
          </w:tcPr>
          <w:p w14:paraId="02CDEF16">
            <w:pPr>
              <w:jc w:val="center"/>
              <w:rPr>
                <w:color w:val="000000"/>
                <w:szCs w:val="21"/>
              </w:rPr>
            </w:pPr>
            <w:r>
              <w:rPr>
                <w:color w:val="000000"/>
                <w:szCs w:val="21"/>
              </w:rPr>
              <w:t>40</w:t>
            </w:r>
          </w:p>
        </w:tc>
        <w:tc>
          <w:tcPr>
            <w:tcW w:w="0" w:type="auto"/>
            <w:noWrap w:val="0"/>
            <w:vAlign w:val="center"/>
          </w:tcPr>
          <w:p w14:paraId="5EC51860">
            <w:pPr>
              <w:jc w:val="center"/>
              <w:rPr>
                <w:color w:val="000000"/>
                <w:szCs w:val="21"/>
              </w:rPr>
            </w:pPr>
            <w:r>
              <w:rPr>
                <w:color w:val="000000"/>
                <w:szCs w:val="21"/>
              </w:rPr>
              <w:t>150</w:t>
            </w:r>
          </w:p>
        </w:tc>
      </w:tr>
      <w:tr w14:paraId="6E37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9DCEC9A">
            <w:pPr>
              <w:jc w:val="center"/>
              <w:rPr>
                <w:color w:val="000000"/>
                <w:szCs w:val="21"/>
              </w:rPr>
            </w:pPr>
            <w:r>
              <w:rPr>
                <w:color w:val="000000"/>
                <w:szCs w:val="21"/>
              </w:rPr>
              <w:t>17</w:t>
            </w:r>
          </w:p>
        </w:tc>
        <w:tc>
          <w:tcPr>
            <w:tcW w:w="0" w:type="auto"/>
            <w:noWrap w:val="0"/>
            <w:vAlign w:val="center"/>
          </w:tcPr>
          <w:p w14:paraId="52D12160">
            <w:pPr>
              <w:jc w:val="center"/>
              <w:rPr>
                <w:rFonts w:ascii="楷体_GB2312" w:hAnsi="宋体" w:eastAsia="楷体_GB2312" w:cs="宋体"/>
                <w:color w:val="000000"/>
                <w:szCs w:val="21"/>
              </w:rPr>
            </w:pPr>
            <w:r>
              <w:rPr>
                <w:rFonts w:hint="eastAsia" w:ascii="楷体_GB2312" w:eastAsia="楷体_GB2312"/>
                <w:color w:val="000000"/>
                <w:szCs w:val="21"/>
              </w:rPr>
              <w:t>丰国路</w:t>
            </w:r>
          </w:p>
        </w:tc>
        <w:tc>
          <w:tcPr>
            <w:tcW w:w="0" w:type="auto"/>
            <w:noWrap w:val="0"/>
            <w:vAlign w:val="center"/>
          </w:tcPr>
          <w:p w14:paraId="426FA1F7">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1255A7BD">
            <w:pPr>
              <w:jc w:val="center"/>
              <w:rPr>
                <w:color w:val="000000"/>
                <w:szCs w:val="21"/>
              </w:rPr>
            </w:pPr>
            <w:r>
              <w:rPr>
                <w:color w:val="000000"/>
                <w:szCs w:val="21"/>
              </w:rPr>
              <w:t>0.4</w:t>
            </w:r>
          </w:p>
        </w:tc>
        <w:tc>
          <w:tcPr>
            <w:tcW w:w="0" w:type="auto"/>
            <w:noWrap w:val="0"/>
            <w:vAlign w:val="center"/>
          </w:tcPr>
          <w:p w14:paraId="3DC90154">
            <w:pPr>
              <w:jc w:val="center"/>
              <w:rPr>
                <w:color w:val="000000"/>
                <w:szCs w:val="21"/>
              </w:rPr>
            </w:pPr>
            <w:r>
              <w:rPr>
                <w:color w:val="000000"/>
                <w:szCs w:val="21"/>
              </w:rPr>
              <w:t>3</w:t>
            </w:r>
          </w:p>
        </w:tc>
        <w:tc>
          <w:tcPr>
            <w:tcW w:w="0" w:type="auto"/>
            <w:noWrap w:val="0"/>
            <w:vAlign w:val="center"/>
          </w:tcPr>
          <w:p w14:paraId="2B75C921">
            <w:pPr>
              <w:jc w:val="center"/>
              <w:rPr>
                <w:color w:val="000000"/>
                <w:szCs w:val="21"/>
              </w:rPr>
            </w:pPr>
            <w:r>
              <w:rPr>
                <w:color w:val="000000"/>
                <w:szCs w:val="21"/>
              </w:rPr>
              <w:t>40</w:t>
            </w:r>
          </w:p>
        </w:tc>
        <w:tc>
          <w:tcPr>
            <w:tcW w:w="0" w:type="auto"/>
            <w:noWrap w:val="0"/>
            <w:vAlign w:val="center"/>
          </w:tcPr>
          <w:p w14:paraId="50D125C6">
            <w:pPr>
              <w:jc w:val="center"/>
              <w:rPr>
                <w:color w:val="000000"/>
                <w:szCs w:val="21"/>
              </w:rPr>
            </w:pPr>
            <w:r>
              <w:rPr>
                <w:color w:val="000000"/>
                <w:szCs w:val="21"/>
              </w:rPr>
              <w:t>150</w:t>
            </w:r>
          </w:p>
        </w:tc>
      </w:tr>
    </w:tbl>
    <w:p w14:paraId="5521B4AA">
      <w:pPr>
        <w:jc w:val="center"/>
        <w:rPr>
          <w:rFonts w:eastAsia="黑体"/>
          <w:sz w:val="28"/>
        </w:rPr>
      </w:pPr>
      <w:r>
        <w:rPr>
          <w:rFonts w:eastAsia="黑体"/>
          <w:sz w:val="28"/>
        </w:rPr>
        <w:t>表1-3-</w:t>
      </w:r>
      <w:r>
        <w:rPr>
          <w:rFonts w:hint="eastAsia" w:eastAsia="黑体"/>
          <w:sz w:val="28"/>
        </w:rPr>
        <w:t>2</w:t>
      </w:r>
      <w:r>
        <w:rPr>
          <w:rFonts w:eastAsia="黑体"/>
          <w:sz w:val="28"/>
        </w:rPr>
        <w:t xml:space="preserve">1  </w:t>
      </w:r>
      <w:r>
        <w:rPr>
          <w:rFonts w:hint="eastAsia" w:eastAsia="黑体"/>
          <w:sz w:val="28"/>
        </w:rPr>
        <w:t>永镇乡</w:t>
      </w:r>
      <w:r>
        <w:rPr>
          <w:rFonts w:eastAsia="黑体"/>
          <w:sz w:val="28"/>
        </w:rPr>
        <w:t>镇区道路状况及其功能分及影响距离表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460"/>
        <w:gridCol w:w="1460"/>
        <w:gridCol w:w="1460"/>
        <w:gridCol w:w="879"/>
        <w:gridCol w:w="1170"/>
        <w:gridCol w:w="1460"/>
      </w:tblGrid>
      <w:tr w14:paraId="42141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83" w:type="dxa"/>
            <w:noWrap w:val="0"/>
            <w:vAlign w:val="center"/>
          </w:tcPr>
          <w:p w14:paraId="3A30EC35">
            <w:pPr>
              <w:jc w:val="center"/>
              <w:rPr>
                <w:rFonts w:eastAsia="楷体_GB2312"/>
              </w:rPr>
            </w:pPr>
            <w:r>
              <w:rPr>
                <w:rFonts w:eastAsia="楷体_GB2312"/>
              </w:rPr>
              <w:t>道路编号</w:t>
            </w:r>
          </w:p>
        </w:tc>
        <w:tc>
          <w:tcPr>
            <w:tcW w:w="0" w:type="auto"/>
            <w:noWrap w:val="0"/>
            <w:vAlign w:val="center"/>
          </w:tcPr>
          <w:p w14:paraId="37FE7289">
            <w:pPr>
              <w:jc w:val="center"/>
              <w:rPr>
                <w:rFonts w:eastAsia="楷体_GB2312"/>
              </w:rPr>
            </w:pPr>
            <w:r>
              <w:rPr>
                <w:rFonts w:eastAsia="楷体_GB2312"/>
              </w:rPr>
              <w:t>道路名称</w:t>
            </w:r>
          </w:p>
        </w:tc>
        <w:tc>
          <w:tcPr>
            <w:tcW w:w="0" w:type="auto"/>
            <w:noWrap w:val="0"/>
            <w:vAlign w:val="center"/>
          </w:tcPr>
          <w:p w14:paraId="4A7949B2">
            <w:pPr>
              <w:jc w:val="center"/>
              <w:rPr>
                <w:rFonts w:eastAsia="楷体_GB2312"/>
              </w:rPr>
            </w:pPr>
            <w:r>
              <w:rPr>
                <w:rFonts w:eastAsia="楷体_GB2312"/>
              </w:rPr>
              <w:t>道路类型</w:t>
            </w:r>
          </w:p>
        </w:tc>
        <w:tc>
          <w:tcPr>
            <w:tcW w:w="0" w:type="auto"/>
            <w:noWrap w:val="0"/>
            <w:vAlign w:val="center"/>
          </w:tcPr>
          <w:p w14:paraId="440471B9">
            <w:pPr>
              <w:jc w:val="center"/>
              <w:rPr>
                <w:rFonts w:eastAsia="楷体_GB2312"/>
              </w:rPr>
            </w:pPr>
            <w:r>
              <w:rPr>
                <w:rFonts w:eastAsia="楷体_GB2312"/>
              </w:rPr>
              <w:t>作用指数</w:t>
            </w:r>
          </w:p>
        </w:tc>
        <w:tc>
          <w:tcPr>
            <w:tcW w:w="0" w:type="auto"/>
            <w:noWrap w:val="0"/>
            <w:vAlign w:val="center"/>
          </w:tcPr>
          <w:p w14:paraId="3BD4CB43">
            <w:pPr>
              <w:jc w:val="center"/>
              <w:rPr>
                <w:rFonts w:eastAsia="楷体_GB2312"/>
              </w:rPr>
            </w:pPr>
            <w:r>
              <w:rPr>
                <w:rFonts w:eastAsia="楷体_GB2312"/>
              </w:rPr>
              <w:t>级别</w:t>
            </w:r>
          </w:p>
        </w:tc>
        <w:tc>
          <w:tcPr>
            <w:tcW w:w="0" w:type="auto"/>
            <w:noWrap w:val="0"/>
            <w:vAlign w:val="center"/>
          </w:tcPr>
          <w:p w14:paraId="0CCFC18B">
            <w:pPr>
              <w:jc w:val="center"/>
              <w:rPr>
                <w:rFonts w:eastAsia="楷体_GB2312"/>
              </w:rPr>
            </w:pPr>
            <w:r>
              <w:rPr>
                <w:rFonts w:eastAsia="楷体_GB2312"/>
              </w:rPr>
              <w:t>功能分</w:t>
            </w:r>
          </w:p>
        </w:tc>
        <w:tc>
          <w:tcPr>
            <w:tcW w:w="0" w:type="auto"/>
            <w:noWrap w:val="0"/>
            <w:vAlign w:val="center"/>
          </w:tcPr>
          <w:p w14:paraId="607AC058">
            <w:pPr>
              <w:jc w:val="center"/>
              <w:rPr>
                <w:rFonts w:eastAsia="楷体_GB2312"/>
              </w:rPr>
            </w:pPr>
            <w:r>
              <w:rPr>
                <w:rFonts w:eastAsia="楷体_GB2312"/>
              </w:rPr>
              <w:t>影响半径</w:t>
            </w:r>
          </w:p>
        </w:tc>
      </w:tr>
      <w:tr w14:paraId="318CA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DFF8CB7">
            <w:pPr>
              <w:jc w:val="center"/>
              <w:rPr>
                <w:color w:val="000000"/>
                <w:szCs w:val="21"/>
              </w:rPr>
            </w:pPr>
            <w:r>
              <w:rPr>
                <w:rFonts w:hint="eastAsia"/>
                <w:color w:val="000000"/>
                <w:szCs w:val="21"/>
              </w:rPr>
              <w:t>0</w:t>
            </w:r>
            <w:r>
              <w:rPr>
                <w:color w:val="000000"/>
                <w:szCs w:val="21"/>
              </w:rPr>
              <w:t>1</w:t>
            </w:r>
          </w:p>
        </w:tc>
        <w:tc>
          <w:tcPr>
            <w:tcW w:w="0" w:type="auto"/>
            <w:noWrap w:val="0"/>
            <w:vAlign w:val="center"/>
          </w:tcPr>
          <w:p w14:paraId="6623E12D">
            <w:pPr>
              <w:jc w:val="center"/>
              <w:rPr>
                <w:rFonts w:eastAsia="楷体_GB2312"/>
                <w:color w:val="000000"/>
                <w:szCs w:val="21"/>
              </w:rPr>
            </w:pPr>
            <w:r>
              <w:rPr>
                <w:rFonts w:eastAsia="楷体_GB2312"/>
                <w:color w:val="000000"/>
                <w:szCs w:val="21"/>
              </w:rPr>
              <w:t>206国道</w:t>
            </w:r>
          </w:p>
        </w:tc>
        <w:tc>
          <w:tcPr>
            <w:tcW w:w="0" w:type="auto"/>
            <w:noWrap w:val="0"/>
            <w:vAlign w:val="center"/>
          </w:tcPr>
          <w:p w14:paraId="09C87DBC">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6EE6E922">
            <w:pPr>
              <w:jc w:val="center"/>
              <w:rPr>
                <w:color w:val="000000"/>
                <w:szCs w:val="21"/>
              </w:rPr>
            </w:pPr>
            <w:r>
              <w:rPr>
                <w:color w:val="000000"/>
                <w:szCs w:val="21"/>
              </w:rPr>
              <w:t>1</w:t>
            </w:r>
          </w:p>
        </w:tc>
        <w:tc>
          <w:tcPr>
            <w:tcW w:w="0" w:type="auto"/>
            <w:noWrap w:val="0"/>
            <w:vAlign w:val="center"/>
          </w:tcPr>
          <w:p w14:paraId="7FF969A4">
            <w:pPr>
              <w:jc w:val="center"/>
              <w:rPr>
                <w:color w:val="000000"/>
                <w:szCs w:val="21"/>
              </w:rPr>
            </w:pPr>
            <w:r>
              <w:rPr>
                <w:color w:val="000000"/>
                <w:szCs w:val="21"/>
              </w:rPr>
              <w:t>1</w:t>
            </w:r>
          </w:p>
        </w:tc>
        <w:tc>
          <w:tcPr>
            <w:tcW w:w="0" w:type="auto"/>
            <w:noWrap w:val="0"/>
            <w:vAlign w:val="center"/>
          </w:tcPr>
          <w:p w14:paraId="073254FB">
            <w:pPr>
              <w:jc w:val="center"/>
              <w:rPr>
                <w:color w:val="000000"/>
                <w:szCs w:val="21"/>
              </w:rPr>
            </w:pPr>
            <w:r>
              <w:rPr>
                <w:color w:val="000000"/>
                <w:szCs w:val="21"/>
              </w:rPr>
              <w:t>100</w:t>
            </w:r>
          </w:p>
        </w:tc>
        <w:tc>
          <w:tcPr>
            <w:tcW w:w="0" w:type="auto"/>
            <w:noWrap w:val="0"/>
            <w:vAlign w:val="center"/>
          </w:tcPr>
          <w:p w14:paraId="50008F77">
            <w:pPr>
              <w:jc w:val="center"/>
              <w:rPr>
                <w:color w:val="000000"/>
                <w:szCs w:val="21"/>
              </w:rPr>
            </w:pPr>
            <w:r>
              <w:rPr>
                <w:color w:val="000000"/>
                <w:szCs w:val="21"/>
              </w:rPr>
              <w:t>220</w:t>
            </w:r>
          </w:p>
        </w:tc>
      </w:tr>
      <w:tr w14:paraId="79DF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F0CF1A0">
            <w:pPr>
              <w:jc w:val="center"/>
              <w:rPr>
                <w:color w:val="000000"/>
                <w:szCs w:val="21"/>
              </w:rPr>
            </w:pPr>
            <w:r>
              <w:rPr>
                <w:rFonts w:hint="eastAsia"/>
                <w:color w:val="000000"/>
                <w:szCs w:val="21"/>
              </w:rPr>
              <w:t>0</w:t>
            </w:r>
            <w:r>
              <w:rPr>
                <w:color w:val="000000"/>
                <w:szCs w:val="21"/>
              </w:rPr>
              <w:t>2</w:t>
            </w:r>
          </w:p>
        </w:tc>
        <w:tc>
          <w:tcPr>
            <w:tcW w:w="0" w:type="auto"/>
            <w:noWrap w:val="0"/>
            <w:vAlign w:val="center"/>
          </w:tcPr>
          <w:p w14:paraId="6914E181">
            <w:pPr>
              <w:jc w:val="center"/>
              <w:rPr>
                <w:rFonts w:eastAsia="楷体_GB2312"/>
                <w:color w:val="000000"/>
                <w:szCs w:val="21"/>
              </w:rPr>
            </w:pPr>
            <w:r>
              <w:rPr>
                <w:rFonts w:eastAsia="楷体_GB2312"/>
                <w:color w:val="000000"/>
                <w:szCs w:val="21"/>
              </w:rPr>
              <w:t>永安路</w:t>
            </w:r>
          </w:p>
        </w:tc>
        <w:tc>
          <w:tcPr>
            <w:tcW w:w="0" w:type="auto"/>
            <w:noWrap w:val="0"/>
            <w:vAlign w:val="center"/>
          </w:tcPr>
          <w:p w14:paraId="19A01BF8">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1E9B435E">
            <w:pPr>
              <w:jc w:val="center"/>
              <w:rPr>
                <w:color w:val="000000"/>
                <w:szCs w:val="21"/>
              </w:rPr>
            </w:pPr>
            <w:r>
              <w:rPr>
                <w:color w:val="000000"/>
                <w:szCs w:val="21"/>
              </w:rPr>
              <w:t>1</w:t>
            </w:r>
          </w:p>
        </w:tc>
        <w:tc>
          <w:tcPr>
            <w:tcW w:w="0" w:type="auto"/>
            <w:noWrap w:val="0"/>
            <w:vAlign w:val="center"/>
          </w:tcPr>
          <w:p w14:paraId="6D666D37">
            <w:pPr>
              <w:jc w:val="center"/>
              <w:rPr>
                <w:color w:val="000000"/>
                <w:szCs w:val="21"/>
              </w:rPr>
            </w:pPr>
            <w:r>
              <w:rPr>
                <w:color w:val="000000"/>
                <w:szCs w:val="21"/>
              </w:rPr>
              <w:t>1</w:t>
            </w:r>
          </w:p>
        </w:tc>
        <w:tc>
          <w:tcPr>
            <w:tcW w:w="0" w:type="auto"/>
            <w:noWrap w:val="0"/>
            <w:vAlign w:val="center"/>
          </w:tcPr>
          <w:p w14:paraId="7AF1BBAF">
            <w:pPr>
              <w:jc w:val="center"/>
              <w:rPr>
                <w:color w:val="000000"/>
                <w:szCs w:val="21"/>
              </w:rPr>
            </w:pPr>
            <w:r>
              <w:rPr>
                <w:color w:val="000000"/>
                <w:szCs w:val="21"/>
              </w:rPr>
              <w:t>100</w:t>
            </w:r>
          </w:p>
        </w:tc>
        <w:tc>
          <w:tcPr>
            <w:tcW w:w="0" w:type="auto"/>
            <w:noWrap w:val="0"/>
            <w:vAlign w:val="center"/>
          </w:tcPr>
          <w:p w14:paraId="223FA714">
            <w:pPr>
              <w:jc w:val="center"/>
              <w:rPr>
                <w:color w:val="000000"/>
                <w:szCs w:val="21"/>
              </w:rPr>
            </w:pPr>
            <w:r>
              <w:rPr>
                <w:color w:val="000000"/>
                <w:szCs w:val="21"/>
              </w:rPr>
              <w:t>220</w:t>
            </w:r>
          </w:p>
        </w:tc>
      </w:tr>
      <w:tr w14:paraId="1A65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85569D3">
            <w:pPr>
              <w:jc w:val="center"/>
              <w:rPr>
                <w:color w:val="000000"/>
                <w:szCs w:val="21"/>
              </w:rPr>
            </w:pPr>
            <w:r>
              <w:rPr>
                <w:rFonts w:hint="eastAsia"/>
                <w:color w:val="000000"/>
                <w:szCs w:val="21"/>
              </w:rPr>
              <w:t>0</w:t>
            </w:r>
            <w:r>
              <w:rPr>
                <w:color w:val="000000"/>
                <w:szCs w:val="21"/>
              </w:rPr>
              <w:t>3</w:t>
            </w:r>
          </w:p>
        </w:tc>
        <w:tc>
          <w:tcPr>
            <w:tcW w:w="0" w:type="auto"/>
            <w:noWrap w:val="0"/>
            <w:vAlign w:val="center"/>
          </w:tcPr>
          <w:p w14:paraId="44EA3FDB">
            <w:pPr>
              <w:jc w:val="center"/>
              <w:rPr>
                <w:rFonts w:eastAsia="楷体_GB2312"/>
                <w:color w:val="000000"/>
                <w:szCs w:val="21"/>
              </w:rPr>
            </w:pPr>
            <w:r>
              <w:rPr>
                <w:rFonts w:eastAsia="楷体_GB2312"/>
                <w:color w:val="000000"/>
                <w:szCs w:val="21"/>
              </w:rPr>
              <w:t>永明路</w:t>
            </w:r>
          </w:p>
        </w:tc>
        <w:tc>
          <w:tcPr>
            <w:tcW w:w="0" w:type="auto"/>
            <w:noWrap w:val="0"/>
            <w:vAlign w:val="center"/>
          </w:tcPr>
          <w:p w14:paraId="4AF3003F">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6C60C416">
            <w:pPr>
              <w:jc w:val="center"/>
              <w:rPr>
                <w:color w:val="000000"/>
                <w:szCs w:val="21"/>
              </w:rPr>
            </w:pPr>
            <w:r>
              <w:rPr>
                <w:color w:val="000000"/>
                <w:szCs w:val="21"/>
              </w:rPr>
              <w:t>1</w:t>
            </w:r>
          </w:p>
        </w:tc>
        <w:tc>
          <w:tcPr>
            <w:tcW w:w="0" w:type="auto"/>
            <w:noWrap w:val="0"/>
            <w:vAlign w:val="center"/>
          </w:tcPr>
          <w:p w14:paraId="3472F4E8">
            <w:pPr>
              <w:jc w:val="center"/>
              <w:rPr>
                <w:color w:val="000000"/>
                <w:szCs w:val="21"/>
              </w:rPr>
            </w:pPr>
            <w:r>
              <w:rPr>
                <w:color w:val="000000"/>
                <w:szCs w:val="21"/>
              </w:rPr>
              <w:t>1</w:t>
            </w:r>
          </w:p>
        </w:tc>
        <w:tc>
          <w:tcPr>
            <w:tcW w:w="0" w:type="auto"/>
            <w:noWrap w:val="0"/>
            <w:vAlign w:val="center"/>
          </w:tcPr>
          <w:p w14:paraId="65424C0B">
            <w:pPr>
              <w:jc w:val="center"/>
              <w:rPr>
                <w:color w:val="000000"/>
                <w:szCs w:val="21"/>
              </w:rPr>
            </w:pPr>
            <w:r>
              <w:rPr>
                <w:color w:val="000000"/>
                <w:szCs w:val="21"/>
              </w:rPr>
              <w:t>100</w:t>
            </w:r>
          </w:p>
        </w:tc>
        <w:tc>
          <w:tcPr>
            <w:tcW w:w="0" w:type="auto"/>
            <w:noWrap w:val="0"/>
            <w:vAlign w:val="center"/>
          </w:tcPr>
          <w:p w14:paraId="739421F7">
            <w:pPr>
              <w:jc w:val="center"/>
              <w:rPr>
                <w:color w:val="000000"/>
                <w:szCs w:val="21"/>
              </w:rPr>
            </w:pPr>
            <w:r>
              <w:rPr>
                <w:color w:val="000000"/>
                <w:szCs w:val="21"/>
              </w:rPr>
              <w:t>220</w:t>
            </w:r>
          </w:p>
        </w:tc>
      </w:tr>
      <w:tr w14:paraId="260B9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695034C">
            <w:pPr>
              <w:jc w:val="center"/>
              <w:rPr>
                <w:color w:val="000000"/>
                <w:szCs w:val="21"/>
              </w:rPr>
            </w:pPr>
            <w:r>
              <w:rPr>
                <w:rFonts w:hint="eastAsia"/>
                <w:color w:val="000000"/>
                <w:szCs w:val="21"/>
              </w:rPr>
              <w:t>0</w:t>
            </w:r>
            <w:r>
              <w:rPr>
                <w:color w:val="000000"/>
                <w:szCs w:val="21"/>
              </w:rPr>
              <w:t>4</w:t>
            </w:r>
          </w:p>
        </w:tc>
        <w:tc>
          <w:tcPr>
            <w:tcW w:w="0" w:type="auto"/>
            <w:noWrap w:val="0"/>
            <w:vAlign w:val="center"/>
          </w:tcPr>
          <w:p w14:paraId="70E79F75">
            <w:pPr>
              <w:jc w:val="center"/>
              <w:rPr>
                <w:rFonts w:eastAsia="楷体_GB2312"/>
                <w:color w:val="000000"/>
                <w:szCs w:val="21"/>
              </w:rPr>
            </w:pPr>
            <w:r>
              <w:rPr>
                <w:rFonts w:eastAsia="楷体_GB2312"/>
                <w:color w:val="000000"/>
                <w:szCs w:val="21"/>
              </w:rPr>
              <w:t>永宜路</w:t>
            </w:r>
          </w:p>
        </w:tc>
        <w:tc>
          <w:tcPr>
            <w:tcW w:w="0" w:type="auto"/>
            <w:noWrap w:val="0"/>
            <w:vAlign w:val="center"/>
          </w:tcPr>
          <w:p w14:paraId="30A9FA8C">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0F25BBF6">
            <w:pPr>
              <w:jc w:val="center"/>
              <w:rPr>
                <w:color w:val="000000"/>
                <w:szCs w:val="21"/>
              </w:rPr>
            </w:pPr>
            <w:r>
              <w:rPr>
                <w:color w:val="000000"/>
                <w:szCs w:val="21"/>
              </w:rPr>
              <w:t>1</w:t>
            </w:r>
          </w:p>
        </w:tc>
        <w:tc>
          <w:tcPr>
            <w:tcW w:w="0" w:type="auto"/>
            <w:noWrap w:val="0"/>
            <w:vAlign w:val="center"/>
          </w:tcPr>
          <w:p w14:paraId="60AEF886">
            <w:pPr>
              <w:jc w:val="center"/>
              <w:rPr>
                <w:color w:val="000000"/>
                <w:szCs w:val="21"/>
              </w:rPr>
            </w:pPr>
            <w:r>
              <w:rPr>
                <w:color w:val="000000"/>
                <w:szCs w:val="21"/>
              </w:rPr>
              <w:t>1</w:t>
            </w:r>
          </w:p>
        </w:tc>
        <w:tc>
          <w:tcPr>
            <w:tcW w:w="0" w:type="auto"/>
            <w:noWrap w:val="0"/>
            <w:vAlign w:val="center"/>
          </w:tcPr>
          <w:p w14:paraId="793EC80C">
            <w:pPr>
              <w:jc w:val="center"/>
              <w:rPr>
                <w:color w:val="000000"/>
                <w:szCs w:val="21"/>
              </w:rPr>
            </w:pPr>
            <w:r>
              <w:rPr>
                <w:color w:val="000000"/>
                <w:szCs w:val="21"/>
              </w:rPr>
              <w:t>100</w:t>
            </w:r>
          </w:p>
        </w:tc>
        <w:tc>
          <w:tcPr>
            <w:tcW w:w="0" w:type="auto"/>
            <w:noWrap w:val="0"/>
            <w:vAlign w:val="center"/>
          </w:tcPr>
          <w:p w14:paraId="364E8136">
            <w:pPr>
              <w:jc w:val="center"/>
              <w:rPr>
                <w:color w:val="000000"/>
                <w:szCs w:val="21"/>
              </w:rPr>
            </w:pPr>
            <w:r>
              <w:rPr>
                <w:color w:val="000000"/>
                <w:szCs w:val="21"/>
              </w:rPr>
              <w:t>220</w:t>
            </w:r>
          </w:p>
        </w:tc>
      </w:tr>
      <w:tr w14:paraId="1C9EB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D76A1B3">
            <w:pPr>
              <w:jc w:val="center"/>
              <w:rPr>
                <w:color w:val="000000"/>
                <w:szCs w:val="21"/>
              </w:rPr>
            </w:pPr>
            <w:r>
              <w:rPr>
                <w:rFonts w:hint="eastAsia"/>
                <w:color w:val="000000"/>
                <w:szCs w:val="21"/>
              </w:rPr>
              <w:t>0</w:t>
            </w:r>
            <w:r>
              <w:rPr>
                <w:color w:val="000000"/>
                <w:szCs w:val="21"/>
              </w:rPr>
              <w:t>5</w:t>
            </w:r>
          </w:p>
        </w:tc>
        <w:tc>
          <w:tcPr>
            <w:tcW w:w="0" w:type="auto"/>
            <w:noWrap w:val="0"/>
            <w:vAlign w:val="center"/>
          </w:tcPr>
          <w:p w14:paraId="009B5E58">
            <w:pPr>
              <w:jc w:val="center"/>
              <w:rPr>
                <w:rFonts w:eastAsia="楷体_GB2312"/>
                <w:color w:val="000000"/>
                <w:szCs w:val="21"/>
              </w:rPr>
            </w:pPr>
            <w:r>
              <w:rPr>
                <w:rFonts w:eastAsia="楷体_GB2312"/>
                <w:color w:val="000000"/>
                <w:szCs w:val="21"/>
              </w:rPr>
              <w:t>永湖路</w:t>
            </w:r>
          </w:p>
        </w:tc>
        <w:tc>
          <w:tcPr>
            <w:tcW w:w="0" w:type="auto"/>
            <w:noWrap w:val="0"/>
            <w:vAlign w:val="center"/>
          </w:tcPr>
          <w:p w14:paraId="6C9A32C4">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7577F00C">
            <w:pPr>
              <w:jc w:val="center"/>
              <w:rPr>
                <w:color w:val="000000"/>
                <w:szCs w:val="21"/>
              </w:rPr>
            </w:pPr>
            <w:r>
              <w:rPr>
                <w:color w:val="000000"/>
                <w:szCs w:val="21"/>
              </w:rPr>
              <w:t>1</w:t>
            </w:r>
          </w:p>
        </w:tc>
        <w:tc>
          <w:tcPr>
            <w:tcW w:w="0" w:type="auto"/>
            <w:noWrap w:val="0"/>
            <w:vAlign w:val="center"/>
          </w:tcPr>
          <w:p w14:paraId="2DBD5DCD">
            <w:pPr>
              <w:jc w:val="center"/>
              <w:rPr>
                <w:color w:val="000000"/>
                <w:szCs w:val="21"/>
              </w:rPr>
            </w:pPr>
            <w:r>
              <w:rPr>
                <w:color w:val="000000"/>
                <w:szCs w:val="21"/>
              </w:rPr>
              <w:t>1</w:t>
            </w:r>
          </w:p>
        </w:tc>
        <w:tc>
          <w:tcPr>
            <w:tcW w:w="0" w:type="auto"/>
            <w:noWrap w:val="0"/>
            <w:vAlign w:val="center"/>
          </w:tcPr>
          <w:p w14:paraId="15CB0BDF">
            <w:pPr>
              <w:jc w:val="center"/>
              <w:rPr>
                <w:color w:val="000000"/>
                <w:szCs w:val="21"/>
              </w:rPr>
            </w:pPr>
            <w:r>
              <w:rPr>
                <w:color w:val="000000"/>
                <w:szCs w:val="21"/>
              </w:rPr>
              <w:t>100</w:t>
            </w:r>
          </w:p>
        </w:tc>
        <w:tc>
          <w:tcPr>
            <w:tcW w:w="0" w:type="auto"/>
            <w:noWrap w:val="0"/>
            <w:vAlign w:val="center"/>
          </w:tcPr>
          <w:p w14:paraId="324E50C8">
            <w:pPr>
              <w:jc w:val="center"/>
              <w:rPr>
                <w:color w:val="000000"/>
                <w:szCs w:val="21"/>
              </w:rPr>
            </w:pPr>
            <w:r>
              <w:rPr>
                <w:color w:val="000000"/>
                <w:szCs w:val="21"/>
              </w:rPr>
              <w:t>220</w:t>
            </w:r>
          </w:p>
        </w:tc>
      </w:tr>
      <w:tr w14:paraId="6D22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490FF93">
            <w:pPr>
              <w:jc w:val="center"/>
              <w:rPr>
                <w:color w:val="000000"/>
                <w:szCs w:val="21"/>
              </w:rPr>
            </w:pPr>
            <w:r>
              <w:rPr>
                <w:rFonts w:hint="eastAsia"/>
                <w:color w:val="000000"/>
                <w:szCs w:val="21"/>
              </w:rPr>
              <w:t>0</w:t>
            </w:r>
            <w:r>
              <w:rPr>
                <w:color w:val="000000"/>
                <w:szCs w:val="21"/>
              </w:rPr>
              <w:t>6</w:t>
            </w:r>
          </w:p>
        </w:tc>
        <w:tc>
          <w:tcPr>
            <w:tcW w:w="0" w:type="auto"/>
            <w:noWrap w:val="0"/>
            <w:vAlign w:val="center"/>
          </w:tcPr>
          <w:p w14:paraId="139C49FE">
            <w:pPr>
              <w:jc w:val="center"/>
              <w:rPr>
                <w:rFonts w:eastAsia="楷体_GB2312"/>
                <w:color w:val="000000"/>
                <w:szCs w:val="21"/>
              </w:rPr>
            </w:pPr>
            <w:r>
              <w:rPr>
                <w:rFonts w:eastAsia="楷体_GB2312"/>
                <w:color w:val="000000"/>
                <w:szCs w:val="21"/>
              </w:rPr>
              <w:t>永富路</w:t>
            </w:r>
          </w:p>
        </w:tc>
        <w:tc>
          <w:tcPr>
            <w:tcW w:w="0" w:type="auto"/>
            <w:noWrap w:val="0"/>
            <w:vAlign w:val="center"/>
          </w:tcPr>
          <w:p w14:paraId="2F1B2A06">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6BDED578">
            <w:pPr>
              <w:jc w:val="center"/>
              <w:rPr>
                <w:color w:val="000000"/>
                <w:szCs w:val="21"/>
              </w:rPr>
            </w:pPr>
            <w:r>
              <w:rPr>
                <w:color w:val="000000"/>
                <w:szCs w:val="21"/>
              </w:rPr>
              <w:t>1</w:t>
            </w:r>
          </w:p>
        </w:tc>
        <w:tc>
          <w:tcPr>
            <w:tcW w:w="0" w:type="auto"/>
            <w:noWrap w:val="0"/>
            <w:vAlign w:val="center"/>
          </w:tcPr>
          <w:p w14:paraId="74F79C48">
            <w:pPr>
              <w:jc w:val="center"/>
              <w:rPr>
                <w:color w:val="000000"/>
                <w:szCs w:val="21"/>
              </w:rPr>
            </w:pPr>
            <w:r>
              <w:rPr>
                <w:color w:val="000000"/>
                <w:szCs w:val="21"/>
              </w:rPr>
              <w:t>1</w:t>
            </w:r>
          </w:p>
        </w:tc>
        <w:tc>
          <w:tcPr>
            <w:tcW w:w="0" w:type="auto"/>
            <w:noWrap w:val="0"/>
            <w:vAlign w:val="center"/>
          </w:tcPr>
          <w:p w14:paraId="6510E796">
            <w:pPr>
              <w:jc w:val="center"/>
              <w:rPr>
                <w:color w:val="000000"/>
                <w:szCs w:val="21"/>
              </w:rPr>
            </w:pPr>
            <w:r>
              <w:rPr>
                <w:color w:val="000000"/>
                <w:szCs w:val="21"/>
              </w:rPr>
              <w:t>100</w:t>
            </w:r>
          </w:p>
        </w:tc>
        <w:tc>
          <w:tcPr>
            <w:tcW w:w="0" w:type="auto"/>
            <w:noWrap w:val="0"/>
            <w:vAlign w:val="center"/>
          </w:tcPr>
          <w:p w14:paraId="2189B23C">
            <w:pPr>
              <w:jc w:val="center"/>
              <w:rPr>
                <w:color w:val="000000"/>
                <w:szCs w:val="21"/>
              </w:rPr>
            </w:pPr>
            <w:r>
              <w:rPr>
                <w:color w:val="000000"/>
                <w:szCs w:val="21"/>
              </w:rPr>
              <w:t>220</w:t>
            </w:r>
          </w:p>
        </w:tc>
      </w:tr>
      <w:tr w14:paraId="22146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E4C3A8B">
            <w:pPr>
              <w:jc w:val="center"/>
              <w:rPr>
                <w:color w:val="000000"/>
                <w:szCs w:val="21"/>
              </w:rPr>
            </w:pPr>
            <w:r>
              <w:rPr>
                <w:rFonts w:hint="eastAsia"/>
                <w:color w:val="000000"/>
                <w:szCs w:val="21"/>
              </w:rPr>
              <w:t>0</w:t>
            </w:r>
            <w:r>
              <w:rPr>
                <w:color w:val="000000"/>
                <w:szCs w:val="21"/>
              </w:rPr>
              <w:t>7</w:t>
            </w:r>
          </w:p>
        </w:tc>
        <w:tc>
          <w:tcPr>
            <w:tcW w:w="0" w:type="auto"/>
            <w:noWrap w:val="0"/>
            <w:vAlign w:val="center"/>
          </w:tcPr>
          <w:p w14:paraId="31B9034E">
            <w:pPr>
              <w:jc w:val="center"/>
              <w:rPr>
                <w:rFonts w:eastAsia="楷体_GB2312"/>
                <w:color w:val="000000"/>
                <w:szCs w:val="21"/>
              </w:rPr>
            </w:pPr>
            <w:r>
              <w:rPr>
                <w:rFonts w:eastAsia="楷体_GB2312"/>
                <w:color w:val="000000"/>
                <w:szCs w:val="21"/>
              </w:rPr>
              <w:t>永胜路</w:t>
            </w:r>
          </w:p>
        </w:tc>
        <w:tc>
          <w:tcPr>
            <w:tcW w:w="0" w:type="auto"/>
            <w:noWrap w:val="0"/>
            <w:vAlign w:val="center"/>
          </w:tcPr>
          <w:p w14:paraId="71574E72">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71DA834F">
            <w:pPr>
              <w:jc w:val="center"/>
              <w:rPr>
                <w:color w:val="000000"/>
                <w:szCs w:val="21"/>
              </w:rPr>
            </w:pPr>
            <w:r>
              <w:rPr>
                <w:color w:val="000000"/>
                <w:szCs w:val="21"/>
              </w:rPr>
              <w:t>0.7</w:t>
            </w:r>
          </w:p>
        </w:tc>
        <w:tc>
          <w:tcPr>
            <w:tcW w:w="0" w:type="auto"/>
            <w:noWrap w:val="0"/>
            <w:vAlign w:val="center"/>
          </w:tcPr>
          <w:p w14:paraId="70AEA4A6">
            <w:pPr>
              <w:jc w:val="center"/>
              <w:rPr>
                <w:color w:val="000000"/>
                <w:szCs w:val="21"/>
              </w:rPr>
            </w:pPr>
            <w:r>
              <w:rPr>
                <w:color w:val="000000"/>
                <w:szCs w:val="21"/>
              </w:rPr>
              <w:t>2</w:t>
            </w:r>
          </w:p>
        </w:tc>
        <w:tc>
          <w:tcPr>
            <w:tcW w:w="0" w:type="auto"/>
            <w:noWrap w:val="0"/>
            <w:vAlign w:val="center"/>
          </w:tcPr>
          <w:p w14:paraId="00BC7B1C">
            <w:pPr>
              <w:jc w:val="center"/>
              <w:rPr>
                <w:color w:val="000000"/>
                <w:szCs w:val="21"/>
              </w:rPr>
            </w:pPr>
            <w:r>
              <w:rPr>
                <w:color w:val="000000"/>
                <w:szCs w:val="21"/>
              </w:rPr>
              <w:t>70</w:t>
            </w:r>
          </w:p>
        </w:tc>
        <w:tc>
          <w:tcPr>
            <w:tcW w:w="0" w:type="auto"/>
            <w:noWrap w:val="0"/>
            <w:vAlign w:val="center"/>
          </w:tcPr>
          <w:p w14:paraId="5B8F63B2">
            <w:pPr>
              <w:jc w:val="center"/>
              <w:rPr>
                <w:color w:val="000000"/>
                <w:szCs w:val="21"/>
              </w:rPr>
            </w:pPr>
            <w:r>
              <w:rPr>
                <w:color w:val="000000"/>
                <w:szCs w:val="21"/>
              </w:rPr>
              <w:t>180</w:t>
            </w:r>
          </w:p>
        </w:tc>
      </w:tr>
      <w:tr w14:paraId="79E2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351F2AF">
            <w:pPr>
              <w:jc w:val="center"/>
              <w:rPr>
                <w:color w:val="000000"/>
                <w:szCs w:val="21"/>
              </w:rPr>
            </w:pPr>
            <w:r>
              <w:rPr>
                <w:rFonts w:hint="eastAsia"/>
                <w:color w:val="000000"/>
                <w:szCs w:val="21"/>
              </w:rPr>
              <w:t>0</w:t>
            </w:r>
            <w:r>
              <w:rPr>
                <w:color w:val="000000"/>
                <w:szCs w:val="21"/>
              </w:rPr>
              <w:t>8</w:t>
            </w:r>
          </w:p>
        </w:tc>
        <w:tc>
          <w:tcPr>
            <w:tcW w:w="0" w:type="auto"/>
            <w:noWrap w:val="0"/>
            <w:vAlign w:val="center"/>
          </w:tcPr>
          <w:p w14:paraId="5A01E8EF">
            <w:pPr>
              <w:jc w:val="center"/>
              <w:rPr>
                <w:rFonts w:eastAsia="楷体_GB2312"/>
                <w:color w:val="000000"/>
                <w:szCs w:val="21"/>
              </w:rPr>
            </w:pPr>
            <w:r>
              <w:rPr>
                <w:rFonts w:eastAsia="楷体_GB2312"/>
                <w:color w:val="000000"/>
                <w:szCs w:val="21"/>
              </w:rPr>
              <w:t>永振路</w:t>
            </w:r>
          </w:p>
        </w:tc>
        <w:tc>
          <w:tcPr>
            <w:tcW w:w="0" w:type="auto"/>
            <w:noWrap w:val="0"/>
            <w:vAlign w:val="center"/>
          </w:tcPr>
          <w:p w14:paraId="15E0C1BB">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0D90DF98">
            <w:pPr>
              <w:jc w:val="center"/>
              <w:rPr>
                <w:color w:val="000000"/>
                <w:szCs w:val="21"/>
              </w:rPr>
            </w:pPr>
            <w:r>
              <w:rPr>
                <w:color w:val="000000"/>
                <w:szCs w:val="21"/>
              </w:rPr>
              <w:t>0.7</w:t>
            </w:r>
          </w:p>
        </w:tc>
        <w:tc>
          <w:tcPr>
            <w:tcW w:w="0" w:type="auto"/>
            <w:noWrap w:val="0"/>
            <w:vAlign w:val="center"/>
          </w:tcPr>
          <w:p w14:paraId="4D37A13B">
            <w:pPr>
              <w:jc w:val="center"/>
              <w:rPr>
                <w:color w:val="000000"/>
                <w:szCs w:val="21"/>
              </w:rPr>
            </w:pPr>
            <w:r>
              <w:rPr>
                <w:color w:val="000000"/>
                <w:szCs w:val="21"/>
              </w:rPr>
              <w:t>2</w:t>
            </w:r>
          </w:p>
        </w:tc>
        <w:tc>
          <w:tcPr>
            <w:tcW w:w="0" w:type="auto"/>
            <w:noWrap w:val="0"/>
            <w:vAlign w:val="center"/>
          </w:tcPr>
          <w:p w14:paraId="075646BB">
            <w:pPr>
              <w:jc w:val="center"/>
              <w:rPr>
                <w:color w:val="000000"/>
                <w:szCs w:val="21"/>
              </w:rPr>
            </w:pPr>
            <w:r>
              <w:rPr>
                <w:color w:val="000000"/>
                <w:szCs w:val="21"/>
              </w:rPr>
              <w:t>70</w:t>
            </w:r>
          </w:p>
        </w:tc>
        <w:tc>
          <w:tcPr>
            <w:tcW w:w="0" w:type="auto"/>
            <w:noWrap w:val="0"/>
            <w:vAlign w:val="center"/>
          </w:tcPr>
          <w:p w14:paraId="5B182F9F">
            <w:pPr>
              <w:jc w:val="center"/>
              <w:rPr>
                <w:color w:val="000000"/>
                <w:szCs w:val="21"/>
              </w:rPr>
            </w:pPr>
            <w:r>
              <w:rPr>
                <w:color w:val="000000"/>
                <w:szCs w:val="21"/>
              </w:rPr>
              <w:t>180</w:t>
            </w:r>
          </w:p>
        </w:tc>
      </w:tr>
      <w:tr w14:paraId="64448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0C65B03">
            <w:pPr>
              <w:jc w:val="center"/>
              <w:rPr>
                <w:color w:val="000000"/>
                <w:szCs w:val="21"/>
              </w:rPr>
            </w:pPr>
            <w:r>
              <w:rPr>
                <w:rFonts w:hint="eastAsia"/>
                <w:color w:val="000000"/>
                <w:szCs w:val="21"/>
              </w:rPr>
              <w:t>0</w:t>
            </w:r>
            <w:r>
              <w:rPr>
                <w:color w:val="000000"/>
                <w:szCs w:val="21"/>
              </w:rPr>
              <w:t>9</w:t>
            </w:r>
          </w:p>
        </w:tc>
        <w:tc>
          <w:tcPr>
            <w:tcW w:w="0" w:type="auto"/>
            <w:noWrap w:val="0"/>
            <w:vAlign w:val="center"/>
          </w:tcPr>
          <w:p w14:paraId="78FB48CA">
            <w:pPr>
              <w:jc w:val="center"/>
              <w:rPr>
                <w:rFonts w:eastAsia="楷体_GB2312"/>
                <w:color w:val="000000"/>
                <w:szCs w:val="21"/>
              </w:rPr>
            </w:pPr>
            <w:r>
              <w:rPr>
                <w:rFonts w:eastAsia="楷体_GB2312"/>
                <w:color w:val="000000"/>
                <w:szCs w:val="21"/>
              </w:rPr>
              <w:t>永尚路</w:t>
            </w:r>
          </w:p>
        </w:tc>
        <w:tc>
          <w:tcPr>
            <w:tcW w:w="0" w:type="auto"/>
            <w:noWrap w:val="0"/>
            <w:vAlign w:val="center"/>
          </w:tcPr>
          <w:p w14:paraId="1F75F7DE">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39414199">
            <w:pPr>
              <w:jc w:val="center"/>
              <w:rPr>
                <w:color w:val="000000"/>
                <w:szCs w:val="21"/>
              </w:rPr>
            </w:pPr>
            <w:r>
              <w:rPr>
                <w:color w:val="000000"/>
                <w:szCs w:val="21"/>
              </w:rPr>
              <w:t>0.7</w:t>
            </w:r>
          </w:p>
        </w:tc>
        <w:tc>
          <w:tcPr>
            <w:tcW w:w="0" w:type="auto"/>
            <w:noWrap w:val="0"/>
            <w:vAlign w:val="center"/>
          </w:tcPr>
          <w:p w14:paraId="0A5D933B">
            <w:pPr>
              <w:jc w:val="center"/>
              <w:rPr>
                <w:color w:val="000000"/>
                <w:szCs w:val="21"/>
              </w:rPr>
            </w:pPr>
            <w:r>
              <w:rPr>
                <w:color w:val="000000"/>
                <w:szCs w:val="21"/>
              </w:rPr>
              <w:t>2</w:t>
            </w:r>
          </w:p>
        </w:tc>
        <w:tc>
          <w:tcPr>
            <w:tcW w:w="0" w:type="auto"/>
            <w:noWrap w:val="0"/>
            <w:vAlign w:val="center"/>
          </w:tcPr>
          <w:p w14:paraId="03A254A7">
            <w:pPr>
              <w:jc w:val="center"/>
              <w:rPr>
                <w:color w:val="000000"/>
                <w:szCs w:val="21"/>
              </w:rPr>
            </w:pPr>
            <w:r>
              <w:rPr>
                <w:color w:val="000000"/>
                <w:szCs w:val="21"/>
              </w:rPr>
              <w:t>70</w:t>
            </w:r>
          </w:p>
        </w:tc>
        <w:tc>
          <w:tcPr>
            <w:tcW w:w="0" w:type="auto"/>
            <w:noWrap w:val="0"/>
            <w:vAlign w:val="center"/>
          </w:tcPr>
          <w:p w14:paraId="2BD5051B">
            <w:pPr>
              <w:jc w:val="center"/>
              <w:rPr>
                <w:color w:val="000000"/>
                <w:szCs w:val="21"/>
              </w:rPr>
            </w:pPr>
            <w:r>
              <w:rPr>
                <w:color w:val="000000"/>
                <w:szCs w:val="21"/>
              </w:rPr>
              <w:t>180</w:t>
            </w:r>
          </w:p>
        </w:tc>
      </w:tr>
      <w:tr w14:paraId="1FD7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D308CB0">
            <w:pPr>
              <w:jc w:val="center"/>
              <w:rPr>
                <w:color w:val="000000"/>
                <w:szCs w:val="21"/>
              </w:rPr>
            </w:pPr>
            <w:r>
              <w:rPr>
                <w:color w:val="000000"/>
                <w:szCs w:val="21"/>
              </w:rPr>
              <w:t>10</w:t>
            </w:r>
          </w:p>
        </w:tc>
        <w:tc>
          <w:tcPr>
            <w:tcW w:w="0" w:type="auto"/>
            <w:noWrap w:val="0"/>
            <w:vAlign w:val="center"/>
          </w:tcPr>
          <w:p w14:paraId="588007A4">
            <w:pPr>
              <w:jc w:val="center"/>
              <w:rPr>
                <w:rFonts w:eastAsia="楷体_GB2312"/>
                <w:color w:val="000000"/>
                <w:szCs w:val="21"/>
              </w:rPr>
            </w:pPr>
            <w:r>
              <w:rPr>
                <w:rFonts w:eastAsia="楷体_GB2312"/>
                <w:color w:val="000000"/>
                <w:szCs w:val="21"/>
              </w:rPr>
              <w:t>永兴路</w:t>
            </w:r>
          </w:p>
        </w:tc>
        <w:tc>
          <w:tcPr>
            <w:tcW w:w="0" w:type="auto"/>
            <w:noWrap w:val="0"/>
            <w:vAlign w:val="center"/>
          </w:tcPr>
          <w:p w14:paraId="30AACA2C">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0CEC5CF4">
            <w:pPr>
              <w:jc w:val="center"/>
              <w:rPr>
                <w:color w:val="000000"/>
                <w:szCs w:val="21"/>
              </w:rPr>
            </w:pPr>
            <w:r>
              <w:rPr>
                <w:color w:val="000000"/>
                <w:szCs w:val="21"/>
              </w:rPr>
              <w:t>0.7</w:t>
            </w:r>
          </w:p>
        </w:tc>
        <w:tc>
          <w:tcPr>
            <w:tcW w:w="0" w:type="auto"/>
            <w:noWrap w:val="0"/>
            <w:vAlign w:val="center"/>
          </w:tcPr>
          <w:p w14:paraId="31E65B08">
            <w:pPr>
              <w:jc w:val="center"/>
              <w:rPr>
                <w:color w:val="000000"/>
                <w:szCs w:val="21"/>
              </w:rPr>
            </w:pPr>
            <w:r>
              <w:rPr>
                <w:color w:val="000000"/>
                <w:szCs w:val="21"/>
              </w:rPr>
              <w:t>2</w:t>
            </w:r>
          </w:p>
        </w:tc>
        <w:tc>
          <w:tcPr>
            <w:tcW w:w="0" w:type="auto"/>
            <w:noWrap w:val="0"/>
            <w:vAlign w:val="center"/>
          </w:tcPr>
          <w:p w14:paraId="1880752E">
            <w:pPr>
              <w:jc w:val="center"/>
              <w:rPr>
                <w:color w:val="000000"/>
                <w:szCs w:val="21"/>
              </w:rPr>
            </w:pPr>
            <w:r>
              <w:rPr>
                <w:color w:val="000000"/>
                <w:szCs w:val="21"/>
              </w:rPr>
              <w:t>70</w:t>
            </w:r>
          </w:p>
        </w:tc>
        <w:tc>
          <w:tcPr>
            <w:tcW w:w="0" w:type="auto"/>
            <w:noWrap w:val="0"/>
            <w:vAlign w:val="center"/>
          </w:tcPr>
          <w:p w14:paraId="2A87EF3F">
            <w:pPr>
              <w:jc w:val="center"/>
              <w:rPr>
                <w:color w:val="000000"/>
                <w:szCs w:val="21"/>
              </w:rPr>
            </w:pPr>
            <w:r>
              <w:rPr>
                <w:color w:val="000000"/>
                <w:szCs w:val="21"/>
              </w:rPr>
              <w:t>180</w:t>
            </w:r>
          </w:p>
        </w:tc>
      </w:tr>
      <w:tr w14:paraId="4E32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F77D3C3">
            <w:pPr>
              <w:jc w:val="center"/>
              <w:rPr>
                <w:color w:val="000000"/>
                <w:szCs w:val="21"/>
              </w:rPr>
            </w:pPr>
            <w:r>
              <w:rPr>
                <w:color w:val="000000"/>
                <w:szCs w:val="21"/>
              </w:rPr>
              <w:t>11</w:t>
            </w:r>
          </w:p>
        </w:tc>
        <w:tc>
          <w:tcPr>
            <w:tcW w:w="0" w:type="auto"/>
            <w:noWrap w:val="0"/>
            <w:vAlign w:val="center"/>
          </w:tcPr>
          <w:p w14:paraId="5154B0C3">
            <w:pPr>
              <w:jc w:val="center"/>
              <w:rPr>
                <w:rFonts w:ascii="楷体_GB2312" w:hAnsi="宋体" w:eastAsia="楷体_GB2312" w:cs="宋体"/>
                <w:color w:val="000000"/>
                <w:szCs w:val="21"/>
              </w:rPr>
            </w:pPr>
            <w:r>
              <w:rPr>
                <w:rFonts w:hint="eastAsia" w:ascii="楷体_GB2312" w:eastAsia="楷体_GB2312"/>
                <w:color w:val="000000"/>
                <w:szCs w:val="21"/>
              </w:rPr>
              <w:t>永辉路</w:t>
            </w:r>
          </w:p>
        </w:tc>
        <w:tc>
          <w:tcPr>
            <w:tcW w:w="0" w:type="auto"/>
            <w:noWrap w:val="0"/>
            <w:vAlign w:val="center"/>
          </w:tcPr>
          <w:p w14:paraId="39B3CB75">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18A7E683">
            <w:pPr>
              <w:jc w:val="center"/>
              <w:rPr>
                <w:color w:val="000000"/>
                <w:szCs w:val="21"/>
              </w:rPr>
            </w:pPr>
            <w:r>
              <w:rPr>
                <w:color w:val="000000"/>
                <w:szCs w:val="21"/>
              </w:rPr>
              <w:t>0.4</w:t>
            </w:r>
          </w:p>
        </w:tc>
        <w:tc>
          <w:tcPr>
            <w:tcW w:w="0" w:type="auto"/>
            <w:noWrap w:val="0"/>
            <w:vAlign w:val="center"/>
          </w:tcPr>
          <w:p w14:paraId="2EBF9478">
            <w:pPr>
              <w:jc w:val="center"/>
              <w:rPr>
                <w:color w:val="000000"/>
                <w:szCs w:val="21"/>
              </w:rPr>
            </w:pPr>
            <w:r>
              <w:rPr>
                <w:color w:val="000000"/>
                <w:szCs w:val="21"/>
              </w:rPr>
              <w:t>3</w:t>
            </w:r>
          </w:p>
        </w:tc>
        <w:tc>
          <w:tcPr>
            <w:tcW w:w="0" w:type="auto"/>
            <w:noWrap w:val="0"/>
            <w:vAlign w:val="center"/>
          </w:tcPr>
          <w:p w14:paraId="00557353">
            <w:pPr>
              <w:jc w:val="center"/>
              <w:rPr>
                <w:color w:val="000000"/>
                <w:szCs w:val="21"/>
              </w:rPr>
            </w:pPr>
            <w:r>
              <w:rPr>
                <w:color w:val="000000"/>
                <w:szCs w:val="21"/>
              </w:rPr>
              <w:t>40</w:t>
            </w:r>
          </w:p>
        </w:tc>
        <w:tc>
          <w:tcPr>
            <w:tcW w:w="0" w:type="auto"/>
            <w:noWrap w:val="0"/>
            <w:vAlign w:val="center"/>
          </w:tcPr>
          <w:p w14:paraId="2DDDCC87">
            <w:pPr>
              <w:jc w:val="center"/>
              <w:rPr>
                <w:color w:val="000000"/>
                <w:szCs w:val="21"/>
              </w:rPr>
            </w:pPr>
            <w:r>
              <w:rPr>
                <w:color w:val="000000"/>
                <w:szCs w:val="21"/>
              </w:rPr>
              <w:t>150</w:t>
            </w:r>
          </w:p>
        </w:tc>
      </w:tr>
      <w:tr w14:paraId="56608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8B93FC4">
            <w:pPr>
              <w:jc w:val="center"/>
              <w:rPr>
                <w:color w:val="000000"/>
                <w:szCs w:val="21"/>
              </w:rPr>
            </w:pPr>
            <w:r>
              <w:rPr>
                <w:color w:val="000000"/>
                <w:szCs w:val="21"/>
              </w:rPr>
              <w:t>12</w:t>
            </w:r>
          </w:p>
        </w:tc>
        <w:tc>
          <w:tcPr>
            <w:tcW w:w="0" w:type="auto"/>
            <w:noWrap w:val="0"/>
            <w:vAlign w:val="center"/>
          </w:tcPr>
          <w:p w14:paraId="472BC539">
            <w:pPr>
              <w:jc w:val="center"/>
              <w:rPr>
                <w:rFonts w:ascii="楷体_GB2312" w:hAnsi="宋体" w:eastAsia="楷体_GB2312" w:cs="宋体"/>
                <w:color w:val="000000"/>
                <w:szCs w:val="21"/>
              </w:rPr>
            </w:pPr>
            <w:r>
              <w:rPr>
                <w:rFonts w:hint="eastAsia" w:ascii="楷体_GB2312" w:eastAsia="楷体_GB2312"/>
                <w:color w:val="000000"/>
                <w:szCs w:val="21"/>
              </w:rPr>
              <w:t>永乐路</w:t>
            </w:r>
          </w:p>
        </w:tc>
        <w:tc>
          <w:tcPr>
            <w:tcW w:w="0" w:type="auto"/>
            <w:noWrap w:val="0"/>
            <w:vAlign w:val="center"/>
          </w:tcPr>
          <w:p w14:paraId="014BDB7E">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5C1CF1D3">
            <w:pPr>
              <w:jc w:val="center"/>
              <w:rPr>
                <w:color w:val="000000"/>
                <w:szCs w:val="21"/>
              </w:rPr>
            </w:pPr>
            <w:r>
              <w:rPr>
                <w:color w:val="000000"/>
                <w:szCs w:val="21"/>
              </w:rPr>
              <w:t>0.4</w:t>
            </w:r>
          </w:p>
        </w:tc>
        <w:tc>
          <w:tcPr>
            <w:tcW w:w="0" w:type="auto"/>
            <w:noWrap w:val="0"/>
            <w:vAlign w:val="center"/>
          </w:tcPr>
          <w:p w14:paraId="59341266">
            <w:pPr>
              <w:jc w:val="center"/>
              <w:rPr>
                <w:color w:val="000000"/>
                <w:szCs w:val="21"/>
              </w:rPr>
            </w:pPr>
            <w:r>
              <w:rPr>
                <w:color w:val="000000"/>
                <w:szCs w:val="21"/>
              </w:rPr>
              <w:t>3</w:t>
            </w:r>
          </w:p>
        </w:tc>
        <w:tc>
          <w:tcPr>
            <w:tcW w:w="0" w:type="auto"/>
            <w:noWrap w:val="0"/>
            <w:vAlign w:val="center"/>
          </w:tcPr>
          <w:p w14:paraId="130E977F">
            <w:pPr>
              <w:jc w:val="center"/>
              <w:rPr>
                <w:color w:val="000000"/>
                <w:szCs w:val="21"/>
              </w:rPr>
            </w:pPr>
            <w:r>
              <w:rPr>
                <w:color w:val="000000"/>
                <w:szCs w:val="21"/>
              </w:rPr>
              <w:t>40</w:t>
            </w:r>
          </w:p>
        </w:tc>
        <w:tc>
          <w:tcPr>
            <w:tcW w:w="0" w:type="auto"/>
            <w:noWrap w:val="0"/>
            <w:vAlign w:val="center"/>
          </w:tcPr>
          <w:p w14:paraId="60780933">
            <w:pPr>
              <w:jc w:val="center"/>
              <w:rPr>
                <w:color w:val="000000"/>
                <w:szCs w:val="21"/>
              </w:rPr>
            </w:pPr>
            <w:r>
              <w:rPr>
                <w:color w:val="000000"/>
                <w:szCs w:val="21"/>
              </w:rPr>
              <w:t>150</w:t>
            </w:r>
          </w:p>
        </w:tc>
      </w:tr>
      <w:tr w14:paraId="4D54B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CA71F1E">
            <w:pPr>
              <w:jc w:val="center"/>
              <w:rPr>
                <w:color w:val="000000"/>
                <w:szCs w:val="21"/>
              </w:rPr>
            </w:pPr>
            <w:r>
              <w:rPr>
                <w:color w:val="000000"/>
                <w:szCs w:val="21"/>
              </w:rPr>
              <w:t>13</w:t>
            </w:r>
          </w:p>
        </w:tc>
        <w:tc>
          <w:tcPr>
            <w:tcW w:w="0" w:type="auto"/>
            <w:noWrap w:val="0"/>
            <w:vAlign w:val="center"/>
          </w:tcPr>
          <w:p w14:paraId="7B0B6DDC">
            <w:pPr>
              <w:jc w:val="center"/>
              <w:rPr>
                <w:rFonts w:ascii="楷体_GB2312" w:hAnsi="宋体" w:eastAsia="楷体_GB2312" w:cs="宋体"/>
                <w:color w:val="000000"/>
                <w:szCs w:val="21"/>
              </w:rPr>
            </w:pPr>
            <w:r>
              <w:rPr>
                <w:rFonts w:hint="eastAsia" w:ascii="楷体_GB2312" w:eastAsia="楷体_GB2312"/>
                <w:color w:val="000000"/>
                <w:szCs w:val="21"/>
              </w:rPr>
              <w:t>永强路</w:t>
            </w:r>
          </w:p>
        </w:tc>
        <w:tc>
          <w:tcPr>
            <w:tcW w:w="0" w:type="auto"/>
            <w:noWrap w:val="0"/>
            <w:vAlign w:val="center"/>
          </w:tcPr>
          <w:p w14:paraId="3D6F59B4">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FC49D47">
            <w:pPr>
              <w:jc w:val="center"/>
              <w:rPr>
                <w:color w:val="000000"/>
                <w:szCs w:val="21"/>
              </w:rPr>
            </w:pPr>
            <w:r>
              <w:rPr>
                <w:color w:val="000000"/>
                <w:szCs w:val="21"/>
              </w:rPr>
              <w:t>0.4</w:t>
            </w:r>
          </w:p>
        </w:tc>
        <w:tc>
          <w:tcPr>
            <w:tcW w:w="0" w:type="auto"/>
            <w:noWrap w:val="0"/>
            <w:vAlign w:val="center"/>
          </w:tcPr>
          <w:p w14:paraId="5A7CEE6B">
            <w:pPr>
              <w:jc w:val="center"/>
              <w:rPr>
                <w:color w:val="000000"/>
                <w:szCs w:val="21"/>
              </w:rPr>
            </w:pPr>
            <w:r>
              <w:rPr>
                <w:color w:val="000000"/>
                <w:szCs w:val="21"/>
              </w:rPr>
              <w:t>3</w:t>
            </w:r>
          </w:p>
        </w:tc>
        <w:tc>
          <w:tcPr>
            <w:tcW w:w="0" w:type="auto"/>
            <w:noWrap w:val="0"/>
            <w:vAlign w:val="center"/>
          </w:tcPr>
          <w:p w14:paraId="454720F1">
            <w:pPr>
              <w:jc w:val="center"/>
              <w:rPr>
                <w:color w:val="000000"/>
                <w:szCs w:val="21"/>
              </w:rPr>
            </w:pPr>
            <w:r>
              <w:rPr>
                <w:color w:val="000000"/>
                <w:szCs w:val="21"/>
              </w:rPr>
              <w:t>40</w:t>
            </w:r>
          </w:p>
        </w:tc>
        <w:tc>
          <w:tcPr>
            <w:tcW w:w="0" w:type="auto"/>
            <w:noWrap w:val="0"/>
            <w:vAlign w:val="center"/>
          </w:tcPr>
          <w:p w14:paraId="6790500E">
            <w:pPr>
              <w:jc w:val="center"/>
              <w:rPr>
                <w:color w:val="000000"/>
                <w:szCs w:val="21"/>
              </w:rPr>
            </w:pPr>
            <w:r>
              <w:rPr>
                <w:color w:val="000000"/>
                <w:szCs w:val="21"/>
              </w:rPr>
              <w:t>150</w:t>
            </w:r>
          </w:p>
        </w:tc>
      </w:tr>
      <w:tr w14:paraId="45E9C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E03E20E">
            <w:pPr>
              <w:jc w:val="center"/>
              <w:rPr>
                <w:color w:val="000000"/>
                <w:szCs w:val="21"/>
              </w:rPr>
            </w:pPr>
            <w:r>
              <w:rPr>
                <w:color w:val="000000"/>
                <w:szCs w:val="21"/>
              </w:rPr>
              <w:t>14</w:t>
            </w:r>
          </w:p>
        </w:tc>
        <w:tc>
          <w:tcPr>
            <w:tcW w:w="0" w:type="auto"/>
            <w:noWrap w:val="0"/>
            <w:vAlign w:val="center"/>
          </w:tcPr>
          <w:p w14:paraId="6A493ABF">
            <w:pPr>
              <w:jc w:val="center"/>
              <w:rPr>
                <w:rFonts w:ascii="楷体_GB2312" w:hAnsi="宋体" w:eastAsia="楷体_GB2312" w:cs="宋体"/>
                <w:color w:val="000000"/>
                <w:szCs w:val="21"/>
              </w:rPr>
            </w:pPr>
            <w:r>
              <w:rPr>
                <w:rFonts w:hint="eastAsia" w:ascii="楷体_GB2312" w:eastAsia="楷体_GB2312"/>
                <w:color w:val="000000"/>
                <w:szCs w:val="21"/>
              </w:rPr>
              <w:t>永荣路</w:t>
            </w:r>
          </w:p>
        </w:tc>
        <w:tc>
          <w:tcPr>
            <w:tcW w:w="0" w:type="auto"/>
            <w:noWrap w:val="0"/>
            <w:vAlign w:val="center"/>
          </w:tcPr>
          <w:p w14:paraId="072C04A1">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4C85491E">
            <w:pPr>
              <w:jc w:val="center"/>
              <w:rPr>
                <w:color w:val="000000"/>
                <w:szCs w:val="21"/>
              </w:rPr>
            </w:pPr>
            <w:r>
              <w:rPr>
                <w:color w:val="000000"/>
                <w:szCs w:val="21"/>
              </w:rPr>
              <w:t>0.4</w:t>
            </w:r>
          </w:p>
        </w:tc>
        <w:tc>
          <w:tcPr>
            <w:tcW w:w="0" w:type="auto"/>
            <w:noWrap w:val="0"/>
            <w:vAlign w:val="center"/>
          </w:tcPr>
          <w:p w14:paraId="5E889254">
            <w:pPr>
              <w:jc w:val="center"/>
              <w:rPr>
                <w:color w:val="000000"/>
                <w:szCs w:val="21"/>
              </w:rPr>
            </w:pPr>
            <w:r>
              <w:rPr>
                <w:color w:val="000000"/>
                <w:szCs w:val="21"/>
              </w:rPr>
              <w:t>3</w:t>
            </w:r>
          </w:p>
        </w:tc>
        <w:tc>
          <w:tcPr>
            <w:tcW w:w="0" w:type="auto"/>
            <w:noWrap w:val="0"/>
            <w:vAlign w:val="center"/>
          </w:tcPr>
          <w:p w14:paraId="69FBAD0F">
            <w:pPr>
              <w:jc w:val="center"/>
              <w:rPr>
                <w:color w:val="000000"/>
                <w:szCs w:val="21"/>
              </w:rPr>
            </w:pPr>
            <w:r>
              <w:rPr>
                <w:color w:val="000000"/>
                <w:szCs w:val="21"/>
              </w:rPr>
              <w:t>40</w:t>
            </w:r>
          </w:p>
        </w:tc>
        <w:tc>
          <w:tcPr>
            <w:tcW w:w="0" w:type="auto"/>
            <w:noWrap w:val="0"/>
            <w:vAlign w:val="center"/>
          </w:tcPr>
          <w:p w14:paraId="3D20E13E">
            <w:pPr>
              <w:jc w:val="center"/>
              <w:rPr>
                <w:color w:val="000000"/>
                <w:szCs w:val="21"/>
              </w:rPr>
            </w:pPr>
            <w:r>
              <w:rPr>
                <w:color w:val="000000"/>
                <w:szCs w:val="21"/>
              </w:rPr>
              <w:t>150</w:t>
            </w:r>
          </w:p>
        </w:tc>
      </w:tr>
      <w:tr w14:paraId="032B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F4ECADE">
            <w:pPr>
              <w:jc w:val="center"/>
              <w:rPr>
                <w:color w:val="000000"/>
                <w:szCs w:val="21"/>
              </w:rPr>
            </w:pPr>
            <w:r>
              <w:rPr>
                <w:color w:val="000000"/>
                <w:szCs w:val="21"/>
              </w:rPr>
              <w:t>15</w:t>
            </w:r>
          </w:p>
        </w:tc>
        <w:tc>
          <w:tcPr>
            <w:tcW w:w="0" w:type="auto"/>
            <w:noWrap w:val="0"/>
            <w:vAlign w:val="center"/>
          </w:tcPr>
          <w:p w14:paraId="39CFABF2">
            <w:pPr>
              <w:jc w:val="center"/>
              <w:rPr>
                <w:rFonts w:ascii="楷体_GB2312" w:hAnsi="宋体" w:eastAsia="楷体_GB2312" w:cs="宋体"/>
                <w:color w:val="000000"/>
                <w:szCs w:val="21"/>
              </w:rPr>
            </w:pPr>
            <w:r>
              <w:rPr>
                <w:rFonts w:hint="eastAsia" w:ascii="楷体_GB2312" w:eastAsia="楷体_GB2312"/>
                <w:color w:val="000000"/>
                <w:szCs w:val="21"/>
              </w:rPr>
              <w:t>永灵路</w:t>
            </w:r>
          </w:p>
        </w:tc>
        <w:tc>
          <w:tcPr>
            <w:tcW w:w="0" w:type="auto"/>
            <w:noWrap w:val="0"/>
            <w:vAlign w:val="center"/>
          </w:tcPr>
          <w:p w14:paraId="0AD59326">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6186B691">
            <w:pPr>
              <w:jc w:val="center"/>
              <w:rPr>
                <w:color w:val="000000"/>
                <w:szCs w:val="21"/>
              </w:rPr>
            </w:pPr>
            <w:r>
              <w:rPr>
                <w:color w:val="000000"/>
                <w:szCs w:val="21"/>
              </w:rPr>
              <w:t>0.4</w:t>
            </w:r>
          </w:p>
        </w:tc>
        <w:tc>
          <w:tcPr>
            <w:tcW w:w="0" w:type="auto"/>
            <w:noWrap w:val="0"/>
            <w:vAlign w:val="center"/>
          </w:tcPr>
          <w:p w14:paraId="6FF10D35">
            <w:pPr>
              <w:jc w:val="center"/>
              <w:rPr>
                <w:color w:val="000000"/>
                <w:szCs w:val="21"/>
              </w:rPr>
            </w:pPr>
            <w:r>
              <w:rPr>
                <w:color w:val="000000"/>
                <w:szCs w:val="21"/>
              </w:rPr>
              <w:t>3</w:t>
            </w:r>
          </w:p>
        </w:tc>
        <w:tc>
          <w:tcPr>
            <w:tcW w:w="0" w:type="auto"/>
            <w:noWrap w:val="0"/>
            <w:vAlign w:val="center"/>
          </w:tcPr>
          <w:p w14:paraId="5E99A9F6">
            <w:pPr>
              <w:jc w:val="center"/>
              <w:rPr>
                <w:color w:val="000000"/>
                <w:szCs w:val="21"/>
              </w:rPr>
            </w:pPr>
            <w:r>
              <w:rPr>
                <w:color w:val="000000"/>
                <w:szCs w:val="21"/>
              </w:rPr>
              <w:t>40</w:t>
            </w:r>
          </w:p>
        </w:tc>
        <w:tc>
          <w:tcPr>
            <w:tcW w:w="0" w:type="auto"/>
            <w:noWrap w:val="0"/>
            <w:vAlign w:val="center"/>
          </w:tcPr>
          <w:p w14:paraId="3BAD9A43">
            <w:pPr>
              <w:jc w:val="center"/>
              <w:rPr>
                <w:color w:val="000000"/>
                <w:szCs w:val="21"/>
              </w:rPr>
            </w:pPr>
            <w:r>
              <w:rPr>
                <w:color w:val="000000"/>
                <w:szCs w:val="21"/>
              </w:rPr>
              <w:t>150</w:t>
            </w:r>
          </w:p>
        </w:tc>
      </w:tr>
      <w:tr w14:paraId="3AA1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A4EECB0">
            <w:pPr>
              <w:jc w:val="center"/>
              <w:rPr>
                <w:color w:val="000000"/>
                <w:szCs w:val="21"/>
              </w:rPr>
            </w:pPr>
            <w:r>
              <w:rPr>
                <w:color w:val="000000"/>
                <w:szCs w:val="21"/>
              </w:rPr>
              <w:t>16</w:t>
            </w:r>
          </w:p>
        </w:tc>
        <w:tc>
          <w:tcPr>
            <w:tcW w:w="0" w:type="auto"/>
            <w:noWrap w:val="0"/>
            <w:vAlign w:val="center"/>
          </w:tcPr>
          <w:p w14:paraId="3D263B68">
            <w:pPr>
              <w:jc w:val="center"/>
              <w:rPr>
                <w:rFonts w:ascii="楷体_GB2312" w:hAnsi="宋体" w:eastAsia="楷体_GB2312" w:cs="宋体"/>
                <w:color w:val="000000"/>
                <w:szCs w:val="21"/>
              </w:rPr>
            </w:pPr>
            <w:r>
              <w:rPr>
                <w:rFonts w:hint="eastAsia" w:ascii="楷体_GB2312" w:eastAsia="楷体_GB2312"/>
                <w:color w:val="000000"/>
                <w:szCs w:val="21"/>
              </w:rPr>
              <w:t>永和路</w:t>
            </w:r>
          </w:p>
        </w:tc>
        <w:tc>
          <w:tcPr>
            <w:tcW w:w="0" w:type="auto"/>
            <w:noWrap w:val="0"/>
            <w:vAlign w:val="center"/>
          </w:tcPr>
          <w:p w14:paraId="15D22F8D">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062F89E9">
            <w:pPr>
              <w:jc w:val="center"/>
              <w:rPr>
                <w:color w:val="000000"/>
                <w:szCs w:val="21"/>
              </w:rPr>
            </w:pPr>
            <w:r>
              <w:rPr>
                <w:color w:val="000000"/>
                <w:szCs w:val="21"/>
              </w:rPr>
              <w:t>0.4</w:t>
            </w:r>
          </w:p>
        </w:tc>
        <w:tc>
          <w:tcPr>
            <w:tcW w:w="0" w:type="auto"/>
            <w:noWrap w:val="0"/>
            <w:vAlign w:val="center"/>
          </w:tcPr>
          <w:p w14:paraId="21409E2D">
            <w:pPr>
              <w:jc w:val="center"/>
              <w:rPr>
                <w:color w:val="000000"/>
                <w:szCs w:val="21"/>
              </w:rPr>
            </w:pPr>
            <w:r>
              <w:rPr>
                <w:color w:val="000000"/>
                <w:szCs w:val="21"/>
              </w:rPr>
              <w:t>3</w:t>
            </w:r>
          </w:p>
        </w:tc>
        <w:tc>
          <w:tcPr>
            <w:tcW w:w="0" w:type="auto"/>
            <w:noWrap w:val="0"/>
            <w:vAlign w:val="center"/>
          </w:tcPr>
          <w:p w14:paraId="689B5DB1">
            <w:pPr>
              <w:jc w:val="center"/>
              <w:rPr>
                <w:color w:val="000000"/>
                <w:szCs w:val="21"/>
              </w:rPr>
            </w:pPr>
            <w:r>
              <w:rPr>
                <w:color w:val="000000"/>
                <w:szCs w:val="21"/>
              </w:rPr>
              <w:t>40</w:t>
            </w:r>
          </w:p>
        </w:tc>
        <w:tc>
          <w:tcPr>
            <w:tcW w:w="0" w:type="auto"/>
            <w:noWrap w:val="0"/>
            <w:vAlign w:val="center"/>
          </w:tcPr>
          <w:p w14:paraId="5BA3F3E9">
            <w:pPr>
              <w:jc w:val="center"/>
              <w:rPr>
                <w:color w:val="000000"/>
                <w:szCs w:val="21"/>
              </w:rPr>
            </w:pPr>
            <w:r>
              <w:rPr>
                <w:color w:val="000000"/>
                <w:szCs w:val="21"/>
              </w:rPr>
              <w:t>150</w:t>
            </w:r>
          </w:p>
        </w:tc>
      </w:tr>
    </w:tbl>
    <w:p w14:paraId="15787F27">
      <w:pPr>
        <w:jc w:val="center"/>
        <w:rPr>
          <w:rFonts w:eastAsia="黑体"/>
          <w:sz w:val="28"/>
        </w:rPr>
      </w:pPr>
      <w:r>
        <w:rPr>
          <w:rFonts w:eastAsia="黑体"/>
          <w:sz w:val="28"/>
        </w:rPr>
        <w:t>表1-3-</w:t>
      </w:r>
      <w:r>
        <w:rPr>
          <w:rFonts w:hint="eastAsia" w:eastAsia="黑体"/>
          <w:sz w:val="28"/>
        </w:rPr>
        <w:t>2</w:t>
      </w:r>
      <w:r>
        <w:rPr>
          <w:rFonts w:eastAsia="黑体"/>
          <w:sz w:val="28"/>
        </w:rPr>
        <w:t xml:space="preserve">2  </w:t>
      </w:r>
      <w:r>
        <w:rPr>
          <w:rFonts w:hint="eastAsia" w:eastAsia="黑体"/>
          <w:sz w:val="28"/>
        </w:rPr>
        <w:t>解集镇</w:t>
      </w:r>
      <w:r>
        <w:rPr>
          <w:rFonts w:eastAsia="黑体"/>
          <w:sz w:val="28"/>
        </w:rPr>
        <w:t>镇区道路状况及其功能分及影响距离表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901"/>
        <w:gridCol w:w="1360"/>
        <w:gridCol w:w="1360"/>
        <w:gridCol w:w="819"/>
        <w:gridCol w:w="1089"/>
        <w:gridCol w:w="1360"/>
      </w:tblGrid>
      <w:tr w14:paraId="78E5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3372173">
            <w:pPr>
              <w:jc w:val="center"/>
              <w:rPr>
                <w:rFonts w:eastAsia="楷体_GB2312"/>
              </w:rPr>
            </w:pPr>
            <w:r>
              <w:rPr>
                <w:rFonts w:eastAsia="楷体_GB2312"/>
              </w:rPr>
              <w:t>道路编号</w:t>
            </w:r>
          </w:p>
        </w:tc>
        <w:tc>
          <w:tcPr>
            <w:tcW w:w="0" w:type="auto"/>
            <w:noWrap w:val="0"/>
            <w:vAlign w:val="center"/>
          </w:tcPr>
          <w:p w14:paraId="0F1F1D89">
            <w:pPr>
              <w:jc w:val="center"/>
              <w:rPr>
                <w:rFonts w:eastAsia="楷体_GB2312"/>
              </w:rPr>
            </w:pPr>
            <w:r>
              <w:rPr>
                <w:rFonts w:eastAsia="楷体_GB2312"/>
              </w:rPr>
              <w:t>道路名称</w:t>
            </w:r>
          </w:p>
        </w:tc>
        <w:tc>
          <w:tcPr>
            <w:tcW w:w="0" w:type="auto"/>
            <w:noWrap w:val="0"/>
            <w:vAlign w:val="center"/>
          </w:tcPr>
          <w:p w14:paraId="037F7125">
            <w:pPr>
              <w:jc w:val="center"/>
              <w:rPr>
                <w:rFonts w:eastAsia="楷体_GB2312"/>
              </w:rPr>
            </w:pPr>
            <w:r>
              <w:rPr>
                <w:rFonts w:eastAsia="楷体_GB2312"/>
              </w:rPr>
              <w:t>道路类型</w:t>
            </w:r>
          </w:p>
        </w:tc>
        <w:tc>
          <w:tcPr>
            <w:tcW w:w="0" w:type="auto"/>
            <w:noWrap w:val="0"/>
            <w:vAlign w:val="center"/>
          </w:tcPr>
          <w:p w14:paraId="4626D03D">
            <w:pPr>
              <w:jc w:val="center"/>
              <w:rPr>
                <w:rFonts w:eastAsia="楷体_GB2312"/>
              </w:rPr>
            </w:pPr>
            <w:r>
              <w:rPr>
                <w:rFonts w:eastAsia="楷体_GB2312"/>
              </w:rPr>
              <w:t>作用指数</w:t>
            </w:r>
          </w:p>
        </w:tc>
        <w:tc>
          <w:tcPr>
            <w:tcW w:w="0" w:type="auto"/>
            <w:noWrap w:val="0"/>
            <w:vAlign w:val="center"/>
          </w:tcPr>
          <w:p w14:paraId="3B9678A3">
            <w:pPr>
              <w:jc w:val="center"/>
              <w:rPr>
                <w:rFonts w:eastAsia="楷体_GB2312"/>
              </w:rPr>
            </w:pPr>
            <w:r>
              <w:rPr>
                <w:rFonts w:eastAsia="楷体_GB2312"/>
              </w:rPr>
              <w:t>级别</w:t>
            </w:r>
          </w:p>
        </w:tc>
        <w:tc>
          <w:tcPr>
            <w:tcW w:w="0" w:type="auto"/>
            <w:noWrap w:val="0"/>
            <w:vAlign w:val="center"/>
          </w:tcPr>
          <w:p w14:paraId="09538648">
            <w:pPr>
              <w:jc w:val="center"/>
              <w:rPr>
                <w:rFonts w:eastAsia="楷体_GB2312"/>
              </w:rPr>
            </w:pPr>
            <w:r>
              <w:rPr>
                <w:rFonts w:eastAsia="楷体_GB2312"/>
              </w:rPr>
              <w:t>功能分</w:t>
            </w:r>
          </w:p>
        </w:tc>
        <w:tc>
          <w:tcPr>
            <w:tcW w:w="0" w:type="auto"/>
            <w:noWrap w:val="0"/>
            <w:vAlign w:val="center"/>
          </w:tcPr>
          <w:p w14:paraId="23E52AB4">
            <w:pPr>
              <w:jc w:val="center"/>
              <w:rPr>
                <w:rFonts w:eastAsia="楷体_GB2312"/>
              </w:rPr>
            </w:pPr>
            <w:r>
              <w:rPr>
                <w:rFonts w:eastAsia="楷体_GB2312"/>
              </w:rPr>
              <w:t>影响半径</w:t>
            </w:r>
          </w:p>
        </w:tc>
      </w:tr>
      <w:tr w14:paraId="7E719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F3EDDAA">
            <w:pPr>
              <w:jc w:val="center"/>
              <w:rPr>
                <w:color w:val="000000"/>
                <w:szCs w:val="21"/>
              </w:rPr>
            </w:pPr>
            <w:r>
              <w:rPr>
                <w:rFonts w:hint="eastAsia"/>
                <w:color w:val="000000"/>
                <w:szCs w:val="21"/>
              </w:rPr>
              <w:t>0</w:t>
            </w:r>
            <w:r>
              <w:rPr>
                <w:color w:val="000000"/>
                <w:szCs w:val="21"/>
              </w:rPr>
              <w:t>1</w:t>
            </w:r>
          </w:p>
        </w:tc>
        <w:tc>
          <w:tcPr>
            <w:tcW w:w="0" w:type="auto"/>
            <w:noWrap w:val="0"/>
            <w:vAlign w:val="center"/>
          </w:tcPr>
          <w:p w14:paraId="5FF1AB27">
            <w:pPr>
              <w:jc w:val="center"/>
              <w:rPr>
                <w:rFonts w:ascii="楷体_GB2312" w:eastAsia="楷体_GB2312"/>
                <w:color w:val="000000"/>
                <w:szCs w:val="21"/>
              </w:rPr>
            </w:pPr>
            <w:r>
              <w:rPr>
                <w:rFonts w:hint="eastAsia" w:ascii="楷体_GB2312" w:eastAsia="楷体_GB2312"/>
                <w:color w:val="000000"/>
                <w:szCs w:val="21"/>
              </w:rPr>
              <w:t>山闵路</w:t>
            </w:r>
          </w:p>
        </w:tc>
        <w:tc>
          <w:tcPr>
            <w:tcW w:w="0" w:type="auto"/>
            <w:noWrap w:val="0"/>
            <w:vAlign w:val="center"/>
          </w:tcPr>
          <w:p w14:paraId="5AEACA8E">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1B331FE2">
            <w:pPr>
              <w:jc w:val="center"/>
              <w:rPr>
                <w:color w:val="000000"/>
                <w:szCs w:val="21"/>
              </w:rPr>
            </w:pPr>
            <w:r>
              <w:rPr>
                <w:color w:val="000000"/>
                <w:szCs w:val="21"/>
              </w:rPr>
              <w:t>1</w:t>
            </w:r>
          </w:p>
        </w:tc>
        <w:tc>
          <w:tcPr>
            <w:tcW w:w="0" w:type="auto"/>
            <w:noWrap w:val="0"/>
            <w:vAlign w:val="center"/>
          </w:tcPr>
          <w:p w14:paraId="13026770">
            <w:pPr>
              <w:jc w:val="center"/>
              <w:rPr>
                <w:color w:val="000000"/>
                <w:szCs w:val="21"/>
              </w:rPr>
            </w:pPr>
            <w:r>
              <w:rPr>
                <w:color w:val="000000"/>
                <w:szCs w:val="21"/>
              </w:rPr>
              <w:t>1</w:t>
            </w:r>
          </w:p>
        </w:tc>
        <w:tc>
          <w:tcPr>
            <w:tcW w:w="0" w:type="auto"/>
            <w:noWrap w:val="0"/>
            <w:vAlign w:val="center"/>
          </w:tcPr>
          <w:p w14:paraId="472974B6">
            <w:pPr>
              <w:jc w:val="center"/>
              <w:rPr>
                <w:color w:val="000000"/>
                <w:szCs w:val="21"/>
              </w:rPr>
            </w:pPr>
            <w:r>
              <w:rPr>
                <w:color w:val="000000"/>
                <w:szCs w:val="21"/>
              </w:rPr>
              <w:t>100</w:t>
            </w:r>
          </w:p>
        </w:tc>
        <w:tc>
          <w:tcPr>
            <w:tcW w:w="0" w:type="auto"/>
            <w:noWrap w:val="0"/>
            <w:vAlign w:val="center"/>
          </w:tcPr>
          <w:p w14:paraId="2C3EDD82">
            <w:pPr>
              <w:jc w:val="center"/>
              <w:rPr>
                <w:color w:val="000000"/>
                <w:szCs w:val="21"/>
              </w:rPr>
            </w:pPr>
            <w:r>
              <w:rPr>
                <w:color w:val="000000"/>
                <w:szCs w:val="21"/>
              </w:rPr>
              <w:t>220</w:t>
            </w:r>
          </w:p>
        </w:tc>
      </w:tr>
      <w:tr w14:paraId="39C7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DFFB770">
            <w:pPr>
              <w:jc w:val="center"/>
              <w:rPr>
                <w:color w:val="000000"/>
                <w:szCs w:val="21"/>
              </w:rPr>
            </w:pPr>
            <w:r>
              <w:rPr>
                <w:rFonts w:hint="eastAsia"/>
                <w:color w:val="000000"/>
                <w:szCs w:val="21"/>
              </w:rPr>
              <w:t>0</w:t>
            </w:r>
            <w:r>
              <w:rPr>
                <w:color w:val="000000"/>
                <w:szCs w:val="21"/>
              </w:rPr>
              <w:t>2</w:t>
            </w:r>
          </w:p>
        </w:tc>
        <w:tc>
          <w:tcPr>
            <w:tcW w:w="0" w:type="auto"/>
            <w:noWrap w:val="0"/>
            <w:vAlign w:val="center"/>
          </w:tcPr>
          <w:p w14:paraId="15F94FAD">
            <w:pPr>
              <w:jc w:val="center"/>
              <w:rPr>
                <w:rFonts w:ascii="楷体_GB2312" w:eastAsia="楷体_GB2312"/>
                <w:color w:val="000000"/>
                <w:szCs w:val="21"/>
              </w:rPr>
            </w:pPr>
            <w:r>
              <w:rPr>
                <w:rFonts w:hint="eastAsia" w:ascii="楷体_GB2312" w:eastAsia="楷体_GB2312"/>
                <w:color w:val="000000"/>
                <w:szCs w:val="21"/>
              </w:rPr>
              <w:t>中心街</w:t>
            </w:r>
          </w:p>
        </w:tc>
        <w:tc>
          <w:tcPr>
            <w:tcW w:w="0" w:type="auto"/>
            <w:noWrap w:val="0"/>
            <w:vAlign w:val="center"/>
          </w:tcPr>
          <w:p w14:paraId="7305A0E7">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1D4C5C71">
            <w:pPr>
              <w:jc w:val="center"/>
              <w:rPr>
                <w:color w:val="000000"/>
                <w:szCs w:val="21"/>
              </w:rPr>
            </w:pPr>
            <w:r>
              <w:rPr>
                <w:color w:val="000000"/>
                <w:szCs w:val="21"/>
              </w:rPr>
              <w:t>1</w:t>
            </w:r>
          </w:p>
        </w:tc>
        <w:tc>
          <w:tcPr>
            <w:tcW w:w="0" w:type="auto"/>
            <w:noWrap w:val="0"/>
            <w:vAlign w:val="center"/>
          </w:tcPr>
          <w:p w14:paraId="374E57D6">
            <w:pPr>
              <w:jc w:val="center"/>
              <w:rPr>
                <w:color w:val="000000"/>
                <w:szCs w:val="21"/>
              </w:rPr>
            </w:pPr>
            <w:r>
              <w:rPr>
                <w:color w:val="000000"/>
                <w:szCs w:val="21"/>
              </w:rPr>
              <w:t>1</w:t>
            </w:r>
          </w:p>
        </w:tc>
        <w:tc>
          <w:tcPr>
            <w:tcW w:w="0" w:type="auto"/>
            <w:noWrap w:val="0"/>
            <w:vAlign w:val="center"/>
          </w:tcPr>
          <w:p w14:paraId="42DB7DBC">
            <w:pPr>
              <w:jc w:val="center"/>
              <w:rPr>
                <w:color w:val="000000"/>
                <w:szCs w:val="21"/>
              </w:rPr>
            </w:pPr>
            <w:r>
              <w:rPr>
                <w:color w:val="000000"/>
                <w:szCs w:val="21"/>
              </w:rPr>
              <w:t>100</w:t>
            </w:r>
          </w:p>
        </w:tc>
        <w:tc>
          <w:tcPr>
            <w:tcW w:w="0" w:type="auto"/>
            <w:noWrap w:val="0"/>
            <w:vAlign w:val="center"/>
          </w:tcPr>
          <w:p w14:paraId="7A248DB5">
            <w:pPr>
              <w:jc w:val="center"/>
              <w:rPr>
                <w:color w:val="000000"/>
                <w:szCs w:val="21"/>
              </w:rPr>
            </w:pPr>
            <w:r>
              <w:rPr>
                <w:color w:val="000000"/>
                <w:szCs w:val="21"/>
              </w:rPr>
              <w:t>220</w:t>
            </w:r>
          </w:p>
        </w:tc>
      </w:tr>
      <w:tr w14:paraId="2E9E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3CB6487">
            <w:pPr>
              <w:jc w:val="center"/>
              <w:rPr>
                <w:color w:val="000000"/>
                <w:szCs w:val="21"/>
              </w:rPr>
            </w:pPr>
            <w:r>
              <w:rPr>
                <w:rFonts w:hint="eastAsia"/>
                <w:color w:val="000000"/>
                <w:szCs w:val="21"/>
              </w:rPr>
              <w:t>0</w:t>
            </w:r>
            <w:r>
              <w:rPr>
                <w:color w:val="000000"/>
                <w:szCs w:val="21"/>
              </w:rPr>
              <w:t>3</w:t>
            </w:r>
          </w:p>
        </w:tc>
        <w:tc>
          <w:tcPr>
            <w:tcW w:w="0" w:type="auto"/>
            <w:noWrap w:val="0"/>
            <w:vAlign w:val="center"/>
          </w:tcPr>
          <w:p w14:paraId="1778B85D">
            <w:pPr>
              <w:jc w:val="center"/>
              <w:rPr>
                <w:rFonts w:ascii="楷体_GB2312" w:eastAsia="楷体_GB2312"/>
                <w:color w:val="000000"/>
                <w:szCs w:val="21"/>
              </w:rPr>
            </w:pPr>
            <w:r>
              <w:rPr>
                <w:rFonts w:hint="eastAsia" w:ascii="楷体_GB2312" w:eastAsia="楷体_GB2312"/>
                <w:color w:val="000000"/>
                <w:szCs w:val="21"/>
              </w:rPr>
              <w:t>新大街</w:t>
            </w:r>
          </w:p>
        </w:tc>
        <w:tc>
          <w:tcPr>
            <w:tcW w:w="0" w:type="auto"/>
            <w:noWrap w:val="0"/>
            <w:vAlign w:val="center"/>
          </w:tcPr>
          <w:p w14:paraId="3C28D457">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00ED3EFE">
            <w:pPr>
              <w:jc w:val="center"/>
              <w:rPr>
                <w:color w:val="000000"/>
                <w:szCs w:val="21"/>
              </w:rPr>
            </w:pPr>
            <w:r>
              <w:rPr>
                <w:color w:val="000000"/>
                <w:szCs w:val="21"/>
              </w:rPr>
              <w:t>1</w:t>
            </w:r>
          </w:p>
        </w:tc>
        <w:tc>
          <w:tcPr>
            <w:tcW w:w="0" w:type="auto"/>
            <w:noWrap w:val="0"/>
            <w:vAlign w:val="center"/>
          </w:tcPr>
          <w:p w14:paraId="187A01E7">
            <w:pPr>
              <w:jc w:val="center"/>
              <w:rPr>
                <w:color w:val="000000"/>
                <w:szCs w:val="21"/>
              </w:rPr>
            </w:pPr>
            <w:r>
              <w:rPr>
                <w:color w:val="000000"/>
                <w:szCs w:val="21"/>
              </w:rPr>
              <w:t>1</w:t>
            </w:r>
          </w:p>
        </w:tc>
        <w:tc>
          <w:tcPr>
            <w:tcW w:w="0" w:type="auto"/>
            <w:noWrap w:val="0"/>
            <w:vAlign w:val="center"/>
          </w:tcPr>
          <w:p w14:paraId="12D28D6A">
            <w:pPr>
              <w:jc w:val="center"/>
              <w:rPr>
                <w:color w:val="000000"/>
                <w:szCs w:val="21"/>
              </w:rPr>
            </w:pPr>
            <w:r>
              <w:rPr>
                <w:color w:val="000000"/>
                <w:szCs w:val="21"/>
              </w:rPr>
              <w:t>100</w:t>
            </w:r>
          </w:p>
        </w:tc>
        <w:tc>
          <w:tcPr>
            <w:tcW w:w="0" w:type="auto"/>
            <w:noWrap w:val="0"/>
            <w:vAlign w:val="center"/>
          </w:tcPr>
          <w:p w14:paraId="591C6C85">
            <w:pPr>
              <w:jc w:val="center"/>
              <w:rPr>
                <w:color w:val="000000"/>
                <w:szCs w:val="21"/>
              </w:rPr>
            </w:pPr>
            <w:r>
              <w:rPr>
                <w:color w:val="000000"/>
                <w:szCs w:val="21"/>
              </w:rPr>
              <w:t>220</w:t>
            </w:r>
          </w:p>
        </w:tc>
      </w:tr>
      <w:tr w14:paraId="6317C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563E8F8">
            <w:pPr>
              <w:jc w:val="center"/>
              <w:rPr>
                <w:color w:val="000000"/>
                <w:szCs w:val="21"/>
              </w:rPr>
            </w:pPr>
            <w:r>
              <w:rPr>
                <w:rFonts w:hint="eastAsia"/>
                <w:color w:val="000000"/>
                <w:szCs w:val="21"/>
              </w:rPr>
              <w:t>0</w:t>
            </w:r>
            <w:r>
              <w:rPr>
                <w:color w:val="000000"/>
                <w:szCs w:val="21"/>
              </w:rPr>
              <w:t>4</w:t>
            </w:r>
          </w:p>
        </w:tc>
        <w:tc>
          <w:tcPr>
            <w:tcW w:w="0" w:type="auto"/>
            <w:noWrap w:val="0"/>
            <w:vAlign w:val="center"/>
          </w:tcPr>
          <w:p w14:paraId="27E77987">
            <w:pPr>
              <w:jc w:val="center"/>
              <w:rPr>
                <w:rFonts w:ascii="楷体_GB2312" w:eastAsia="楷体_GB2312"/>
                <w:color w:val="000000"/>
                <w:szCs w:val="21"/>
              </w:rPr>
            </w:pPr>
            <w:r>
              <w:rPr>
                <w:rFonts w:hint="eastAsia" w:ascii="楷体_GB2312" w:eastAsia="楷体_GB2312"/>
                <w:color w:val="000000"/>
                <w:szCs w:val="21"/>
              </w:rPr>
              <w:t>南外环</w:t>
            </w:r>
          </w:p>
        </w:tc>
        <w:tc>
          <w:tcPr>
            <w:tcW w:w="0" w:type="auto"/>
            <w:noWrap w:val="0"/>
            <w:vAlign w:val="center"/>
          </w:tcPr>
          <w:p w14:paraId="3760A828">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11F26391">
            <w:pPr>
              <w:jc w:val="center"/>
              <w:rPr>
                <w:color w:val="000000"/>
                <w:szCs w:val="21"/>
              </w:rPr>
            </w:pPr>
            <w:r>
              <w:rPr>
                <w:color w:val="000000"/>
                <w:szCs w:val="21"/>
              </w:rPr>
              <w:t>1</w:t>
            </w:r>
          </w:p>
        </w:tc>
        <w:tc>
          <w:tcPr>
            <w:tcW w:w="0" w:type="auto"/>
            <w:noWrap w:val="0"/>
            <w:vAlign w:val="center"/>
          </w:tcPr>
          <w:p w14:paraId="46D264CA">
            <w:pPr>
              <w:jc w:val="center"/>
              <w:rPr>
                <w:color w:val="000000"/>
                <w:szCs w:val="21"/>
              </w:rPr>
            </w:pPr>
            <w:r>
              <w:rPr>
                <w:color w:val="000000"/>
                <w:szCs w:val="21"/>
              </w:rPr>
              <w:t>1</w:t>
            </w:r>
          </w:p>
        </w:tc>
        <w:tc>
          <w:tcPr>
            <w:tcW w:w="0" w:type="auto"/>
            <w:noWrap w:val="0"/>
            <w:vAlign w:val="center"/>
          </w:tcPr>
          <w:p w14:paraId="6DC14AA9">
            <w:pPr>
              <w:jc w:val="center"/>
              <w:rPr>
                <w:color w:val="000000"/>
                <w:szCs w:val="21"/>
              </w:rPr>
            </w:pPr>
            <w:r>
              <w:rPr>
                <w:color w:val="000000"/>
                <w:szCs w:val="21"/>
              </w:rPr>
              <w:t>100</w:t>
            </w:r>
          </w:p>
        </w:tc>
        <w:tc>
          <w:tcPr>
            <w:tcW w:w="0" w:type="auto"/>
            <w:noWrap w:val="0"/>
            <w:vAlign w:val="center"/>
          </w:tcPr>
          <w:p w14:paraId="22DB9D18">
            <w:pPr>
              <w:jc w:val="center"/>
              <w:rPr>
                <w:color w:val="000000"/>
                <w:szCs w:val="21"/>
              </w:rPr>
            </w:pPr>
            <w:r>
              <w:rPr>
                <w:color w:val="000000"/>
                <w:szCs w:val="21"/>
              </w:rPr>
              <w:t>220</w:t>
            </w:r>
          </w:p>
        </w:tc>
      </w:tr>
      <w:tr w14:paraId="75F6E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2804A84">
            <w:pPr>
              <w:jc w:val="center"/>
              <w:rPr>
                <w:color w:val="000000"/>
                <w:szCs w:val="21"/>
              </w:rPr>
            </w:pPr>
            <w:r>
              <w:rPr>
                <w:rFonts w:hint="eastAsia"/>
                <w:color w:val="000000"/>
                <w:szCs w:val="21"/>
              </w:rPr>
              <w:t>0</w:t>
            </w:r>
            <w:r>
              <w:rPr>
                <w:color w:val="000000"/>
                <w:szCs w:val="21"/>
              </w:rPr>
              <w:t>5</w:t>
            </w:r>
          </w:p>
        </w:tc>
        <w:tc>
          <w:tcPr>
            <w:tcW w:w="0" w:type="auto"/>
            <w:noWrap w:val="0"/>
            <w:vAlign w:val="center"/>
          </w:tcPr>
          <w:p w14:paraId="3D8FD34F">
            <w:pPr>
              <w:jc w:val="center"/>
              <w:rPr>
                <w:rFonts w:ascii="楷体_GB2312" w:eastAsia="楷体_GB2312"/>
                <w:color w:val="000000"/>
                <w:szCs w:val="21"/>
              </w:rPr>
            </w:pPr>
            <w:r>
              <w:rPr>
                <w:rFonts w:hint="eastAsia" w:ascii="楷体_GB2312" w:eastAsia="楷体_GB2312"/>
                <w:color w:val="000000"/>
                <w:szCs w:val="21"/>
              </w:rPr>
              <w:t>河西路</w:t>
            </w:r>
          </w:p>
        </w:tc>
        <w:tc>
          <w:tcPr>
            <w:tcW w:w="0" w:type="auto"/>
            <w:noWrap w:val="0"/>
            <w:vAlign w:val="center"/>
          </w:tcPr>
          <w:p w14:paraId="54E32A90">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72DE0238">
            <w:pPr>
              <w:jc w:val="center"/>
              <w:rPr>
                <w:color w:val="000000"/>
                <w:szCs w:val="21"/>
              </w:rPr>
            </w:pPr>
            <w:r>
              <w:rPr>
                <w:color w:val="000000"/>
                <w:szCs w:val="21"/>
              </w:rPr>
              <w:t>1</w:t>
            </w:r>
          </w:p>
        </w:tc>
        <w:tc>
          <w:tcPr>
            <w:tcW w:w="0" w:type="auto"/>
            <w:noWrap w:val="0"/>
            <w:vAlign w:val="center"/>
          </w:tcPr>
          <w:p w14:paraId="7B34A9F9">
            <w:pPr>
              <w:jc w:val="center"/>
              <w:rPr>
                <w:color w:val="000000"/>
                <w:szCs w:val="21"/>
              </w:rPr>
            </w:pPr>
            <w:r>
              <w:rPr>
                <w:color w:val="000000"/>
                <w:szCs w:val="21"/>
              </w:rPr>
              <w:t>1</w:t>
            </w:r>
          </w:p>
        </w:tc>
        <w:tc>
          <w:tcPr>
            <w:tcW w:w="0" w:type="auto"/>
            <w:noWrap w:val="0"/>
            <w:vAlign w:val="center"/>
          </w:tcPr>
          <w:p w14:paraId="7B5A4552">
            <w:pPr>
              <w:jc w:val="center"/>
              <w:rPr>
                <w:color w:val="000000"/>
                <w:szCs w:val="21"/>
              </w:rPr>
            </w:pPr>
            <w:r>
              <w:rPr>
                <w:color w:val="000000"/>
                <w:szCs w:val="21"/>
              </w:rPr>
              <w:t>100</w:t>
            </w:r>
          </w:p>
        </w:tc>
        <w:tc>
          <w:tcPr>
            <w:tcW w:w="0" w:type="auto"/>
            <w:noWrap w:val="0"/>
            <w:vAlign w:val="center"/>
          </w:tcPr>
          <w:p w14:paraId="21306BFF">
            <w:pPr>
              <w:jc w:val="center"/>
              <w:rPr>
                <w:color w:val="000000"/>
                <w:szCs w:val="21"/>
              </w:rPr>
            </w:pPr>
            <w:r>
              <w:rPr>
                <w:color w:val="000000"/>
                <w:szCs w:val="21"/>
              </w:rPr>
              <w:t>220</w:t>
            </w:r>
          </w:p>
        </w:tc>
      </w:tr>
      <w:tr w14:paraId="0137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0007E6B">
            <w:pPr>
              <w:jc w:val="center"/>
              <w:rPr>
                <w:color w:val="000000"/>
                <w:szCs w:val="21"/>
              </w:rPr>
            </w:pPr>
            <w:r>
              <w:rPr>
                <w:rFonts w:hint="eastAsia"/>
                <w:color w:val="000000"/>
                <w:szCs w:val="21"/>
              </w:rPr>
              <w:t>0</w:t>
            </w:r>
            <w:r>
              <w:rPr>
                <w:color w:val="000000"/>
                <w:szCs w:val="21"/>
              </w:rPr>
              <w:t>6</w:t>
            </w:r>
          </w:p>
        </w:tc>
        <w:tc>
          <w:tcPr>
            <w:tcW w:w="0" w:type="auto"/>
            <w:noWrap w:val="0"/>
            <w:vAlign w:val="center"/>
          </w:tcPr>
          <w:p w14:paraId="25906313">
            <w:pPr>
              <w:jc w:val="center"/>
              <w:rPr>
                <w:rFonts w:ascii="楷体_GB2312" w:eastAsia="楷体_GB2312"/>
                <w:color w:val="000000"/>
                <w:szCs w:val="21"/>
              </w:rPr>
            </w:pPr>
            <w:r>
              <w:rPr>
                <w:rFonts w:hint="eastAsia" w:ascii="楷体_GB2312" w:eastAsia="楷体_GB2312"/>
                <w:color w:val="000000"/>
                <w:szCs w:val="21"/>
              </w:rPr>
              <w:t>三岔路</w:t>
            </w:r>
          </w:p>
        </w:tc>
        <w:tc>
          <w:tcPr>
            <w:tcW w:w="0" w:type="auto"/>
            <w:noWrap w:val="0"/>
            <w:vAlign w:val="center"/>
          </w:tcPr>
          <w:p w14:paraId="31F6E494">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38CC9FE3">
            <w:pPr>
              <w:jc w:val="center"/>
              <w:rPr>
                <w:color w:val="000000"/>
                <w:szCs w:val="21"/>
              </w:rPr>
            </w:pPr>
            <w:r>
              <w:rPr>
                <w:color w:val="000000"/>
                <w:szCs w:val="21"/>
              </w:rPr>
              <w:t>1</w:t>
            </w:r>
          </w:p>
        </w:tc>
        <w:tc>
          <w:tcPr>
            <w:tcW w:w="0" w:type="auto"/>
            <w:noWrap w:val="0"/>
            <w:vAlign w:val="center"/>
          </w:tcPr>
          <w:p w14:paraId="1AF77316">
            <w:pPr>
              <w:jc w:val="center"/>
              <w:rPr>
                <w:color w:val="000000"/>
                <w:szCs w:val="21"/>
              </w:rPr>
            </w:pPr>
            <w:r>
              <w:rPr>
                <w:color w:val="000000"/>
                <w:szCs w:val="21"/>
              </w:rPr>
              <w:t>1</w:t>
            </w:r>
          </w:p>
        </w:tc>
        <w:tc>
          <w:tcPr>
            <w:tcW w:w="0" w:type="auto"/>
            <w:noWrap w:val="0"/>
            <w:vAlign w:val="center"/>
          </w:tcPr>
          <w:p w14:paraId="267CA69D">
            <w:pPr>
              <w:jc w:val="center"/>
              <w:rPr>
                <w:color w:val="000000"/>
                <w:szCs w:val="21"/>
              </w:rPr>
            </w:pPr>
            <w:r>
              <w:rPr>
                <w:color w:val="000000"/>
                <w:szCs w:val="21"/>
              </w:rPr>
              <w:t>100</w:t>
            </w:r>
          </w:p>
        </w:tc>
        <w:tc>
          <w:tcPr>
            <w:tcW w:w="0" w:type="auto"/>
            <w:noWrap w:val="0"/>
            <w:vAlign w:val="center"/>
          </w:tcPr>
          <w:p w14:paraId="1B72DFC5">
            <w:pPr>
              <w:jc w:val="center"/>
              <w:rPr>
                <w:color w:val="000000"/>
                <w:szCs w:val="21"/>
              </w:rPr>
            </w:pPr>
            <w:r>
              <w:rPr>
                <w:color w:val="000000"/>
                <w:szCs w:val="21"/>
              </w:rPr>
              <w:t>220</w:t>
            </w:r>
          </w:p>
        </w:tc>
      </w:tr>
      <w:tr w14:paraId="44A71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E30B923">
            <w:pPr>
              <w:jc w:val="center"/>
              <w:rPr>
                <w:color w:val="000000"/>
                <w:szCs w:val="21"/>
              </w:rPr>
            </w:pPr>
            <w:r>
              <w:rPr>
                <w:rFonts w:hint="eastAsia"/>
                <w:color w:val="000000"/>
                <w:szCs w:val="21"/>
              </w:rPr>
              <w:t>0</w:t>
            </w:r>
            <w:r>
              <w:rPr>
                <w:color w:val="000000"/>
                <w:szCs w:val="21"/>
              </w:rPr>
              <w:t>7</w:t>
            </w:r>
          </w:p>
        </w:tc>
        <w:tc>
          <w:tcPr>
            <w:tcW w:w="0" w:type="auto"/>
            <w:noWrap w:val="0"/>
            <w:vAlign w:val="center"/>
          </w:tcPr>
          <w:p w14:paraId="29C041BE">
            <w:pPr>
              <w:jc w:val="center"/>
              <w:rPr>
                <w:rFonts w:ascii="楷体_GB2312" w:eastAsia="楷体_GB2312"/>
                <w:color w:val="000000"/>
                <w:szCs w:val="21"/>
              </w:rPr>
            </w:pPr>
            <w:r>
              <w:rPr>
                <w:rFonts w:hint="eastAsia" w:ascii="楷体_GB2312" w:eastAsia="楷体_GB2312"/>
                <w:color w:val="000000"/>
                <w:szCs w:val="21"/>
              </w:rPr>
              <w:t>福安路</w:t>
            </w:r>
          </w:p>
        </w:tc>
        <w:tc>
          <w:tcPr>
            <w:tcW w:w="0" w:type="auto"/>
            <w:noWrap w:val="0"/>
            <w:vAlign w:val="center"/>
          </w:tcPr>
          <w:p w14:paraId="622EEDCE">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1E62B8E1">
            <w:pPr>
              <w:jc w:val="center"/>
              <w:rPr>
                <w:color w:val="000000"/>
                <w:szCs w:val="21"/>
              </w:rPr>
            </w:pPr>
            <w:r>
              <w:rPr>
                <w:color w:val="000000"/>
                <w:szCs w:val="21"/>
              </w:rPr>
              <w:t>1</w:t>
            </w:r>
          </w:p>
        </w:tc>
        <w:tc>
          <w:tcPr>
            <w:tcW w:w="0" w:type="auto"/>
            <w:noWrap w:val="0"/>
            <w:vAlign w:val="center"/>
          </w:tcPr>
          <w:p w14:paraId="731337D6">
            <w:pPr>
              <w:jc w:val="center"/>
              <w:rPr>
                <w:color w:val="000000"/>
                <w:szCs w:val="21"/>
              </w:rPr>
            </w:pPr>
            <w:r>
              <w:rPr>
                <w:color w:val="000000"/>
                <w:szCs w:val="21"/>
              </w:rPr>
              <w:t>1</w:t>
            </w:r>
          </w:p>
        </w:tc>
        <w:tc>
          <w:tcPr>
            <w:tcW w:w="0" w:type="auto"/>
            <w:noWrap w:val="0"/>
            <w:vAlign w:val="center"/>
          </w:tcPr>
          <w:p w14:paraId="2D2722E3">
            <w:pPr>
              <w:jc w:val="center"/>
              <w:rPr>
                <w:color w:val="000000"/>
                <w:szCs w:val="21"/>
              </w:rPr>
            </w:pPr>
            <w:r>
              <w:rPr>
                <w:color w:val="000000"/>
                <w:szCs w:val="21"/>
              </w:rPr>
              <w:t>100</w:t>
            </w:r>
          </w:p>
        </w:tc>
        <w:tc>
          <w:tcPr>
            <w:tcW w:w="0" w:type="auto"/>
            <w:noWrap w:val="0"/>
            <w:vAlign w:val="center"/>
          </w:tcPr>
          <w:p w14:paraId="62FB9304">
            <w:pPr>
              <w:jc w:val="center"/>
              <w:rPr>
                <w:color w:val="000000"/>
                <w:szCs w:val="21"/>
              </w:rPr>
            </w:pPr>
            <w:r>
              <w:rPr>
                <w:color w:val="000000"/>
                <w:szCs w:val="21"/>
              </w:rPr>
              <w:t>220</w:t>
            </w:r>
          </w:p>
        </w:tc>
      </w:tr>
      <w:tr w14:paraId="4FE82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3AC9028">
            <w:pPr>
              <w:jc w:val="center"/>
              <w:rPr>
                <w:color w:val="000000"/>
                <w:szCs w:val="21"/>
              </w:rPr>
            </w:pPr>
            <w:r>
              <w:rPr>
                <w:rFonts w:hint="eastAsia"/>
                <w:color w:val="000000"/>
                <w:szCs w:val="21"/>
              </w:rPr>
              <w:t>0</w:t>
            </w:r>
            <w:r>
              <w:rPr>
                <w:color w:val="000000"/>
                <w:szCs w:val="21"/>
              </w:rPr>
              <w:t>8</w:t>
            </w:r>
          </w:p>
        </w:tc>
        <w:tc>
          <w:tcPr>
            <w:tcW w:w="0" w:type="auto"/>
            <w:noWrap w:val="0"/>
            <w:vAlign w:val="center"/>
          </w:tcPr>
          <w:p w14:paraId="78B073A9">
            <w:pPr>
              <w:jc w:val="center"/>
              <w:rPr>
                <w:rFonts w:ascii="楷体_GB2312" w:eastAsia="楷体_GB2312"/>
                <w:color w:val="000000"/>
                <w:szCs w:val="21"/>
              </w:rPr>
            </w:pPr>
            <w:r>
              <w:rPr>
                <w:rFonts w:hint="eastAsia" w:ascii="楷体_GB2312" w:eastAsia="楷体_GB2312"/>
                <w:color w:val="000000"/>
                <w:szCs w:val="21"/>
              </w:rPr>
              <w:t>东外环</w:t>
            </w:r>
          </w:p>
        </w:tc>
        <w:tc>
          <w:tcPr>
            <w:tcW w:w="0" w:type="auto"/>
            <w:noWrap w:val="0"/>
            <w:vAlign w:val="center"/>
          </w:tcPr>
          <w:p w14:paraId="25AA5512">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2615E4A4">
            <w:pPr>
              <w:jc w:val="center"/>
              <w:rPr>
                <w:color w:val="000000"/>
                <w:szCs w:val="21"/>
              </w:rPr>
            </w:pPr>
            <w:r>
              <w:rPr>
                <w:color w:val="000000"/>
                <w:szCs w:val="21"/>
              </w:rPr>
              <w:t>1</w:t>
            </w:r>
          </w:p>
        </w:tc>
        <w:tc>
          <w:tcPr>
            <w:tcW w:w="0" w:type="auto"/>
            <w:noWrap w:val="0"/>
            <w:vAlign w:val="center"/>
          </w:tcPr>
          <w:p w14:paraId="2A917576">
            <w:pPr>
              <w:jc w:val="center"/>
              <w:rPr>
                <w:color w:val="000000"/>
                <w:szCs w:val="21"/>
              </w:rPr>
            </w:pPr>
            <w:r>
              <w:rPr>
                <w:color w:val="000000"/>
                <w:szCs w:val="21"/>
              </w:rPr>
              <w:t>1</w:t>
            </w:r>
          </w:p>
        </w:tc>
        <w:tc>
          <w:tcPr>
            <w:tcW w:w="0" w:type="auto"/>
            <w:noWrap w:val="0"/>
            <w:vAlign w:val="center"/>
          </w:tcPr>
          <w:p w14:paraId="28C5CD5D">
            <w:pPr>
              <w:jc w:val="center"/>
              <w:rPr>
                <w:color w:val="000000"/>
                <w:szCs w:val="21"/>
              </w:rPr>
            </w:pPr>
            <w:r>
              <w:rPr>
                <w:color w:val="000000"/>
                <w:szCs w:val="21"/>
              </w:rPr>
              <w:t>100</w:t>
            </w:r>
          </w:p>
        </w:tc>
        <w:tc>
          <w:tcPr>
            <w:tcW w:w="0" w:type="auto"/>
            <w:noWrap w:val="0"/>
            <w:vAlign w:val="center"/>
          </w:tcPr>
          <w:p w14:paraId="71DE6E26">
            <w:pPr>
              <w:jc w:val="center"/>
              <w:rPr>
                <w:color w:val="000000"/>
                <w:szCs w:val="21"/>
              </w:rPr>
            </w:pPr>
            <w:r>
              <w:rPr>
                <w:color w:val="000000"/>
                <w:szCs w:val="21"/>
              </w:rPr>
              <w:t>220</w:t>
            </w:r>
          </w:p>
        </w:tc>
      </w:tr>
      <w:tr w14:paraId="3D1A7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60D96AA">
            <w:pPr>
              <w:jc w:val="center"/>
              <w:rPr>
                <w:color w:val="000000"/>
                <w:szCs w:val="21"/>
              </w:rPr>
            </w:pPr>
            <w:r>
              <w:rPr>
                <w:rFonts w:hint="eastAsia"/>
                <w:color w:val="000000"/>
                <w:szCs w:val="21"/>
              </w:rPr>
              <w:t>0</w:t>
            </w:r>
            <w:r>
              <w:rPr>
                <w:color w:val="000000"/>
                <w:szCs w:val="21"/>
              </w:rPr>
              <w:t>9</w:t>
            </w:r>
          </w:p>
        </w:tc>
        <w:tc>
          <w:tcPr>
            <w:tcW w:w="0" w:type="auto"/>
            <w:noWrap w:val="0"/>
            <w:vAlign w:val="center"/>
          </w:tcPr>
          <w:p w14:paraId="7179908E">
            <w:pPr>
              <w:jc w:val="center"/>
              <w:rPr>
                <w:rFonts w:ascii="楷体_GB2312" w:eastAsia="楷体_GB2312"/>
                <w:color w:val="000000"/>
                <w:szCs w:val="21"/>
              </w:rPr>
            </w:pPr>
            <w:r>
              <w:rPr>
                <w:rFonts w:hint="eastAsia" w:ascii="楷体_GB2312" w:eastAsia="楷体_GB2312"/>
                <w:color w:val="000000"/>
                <w:szCs w:val="21"/>
              </w:rPr>
              <w:t>肉食街</w:t>
            </w:r>
          </w:p>
        </w:tc>
        <w:tc>
          <w:tcPr>
            <w:tcW w:w="0" w:type="auto"/>
            <w:noWrap w:val="0"/>
            <w:vAlign w:val="center"/>
          </w:tcPr>
          <w:p w14:paraId="50645A4D">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1A204E13">
            <w:pPr>
              <w:jc w:val="center"/>
              <w:rPr>
                <w:color w:val="000000"/>
                <w:szCs w:val="21"/>
              </w:rPr>
            </w:pPr>
            <w:r>
              <w:rPr>
                <w:color w:val="000000"/>
                <w:szCs w:val="21"/>
              </w:rPr>
              <w:t>0.7</w:t>
            </w:r>
          </w:p>
        </w:tc>
        <w:tc>
          <w:tcPr>
            <w:tcW w:w="0" w:type="auto"/>
            <w:noWrap w:val="0"/>
            <w:vAlign w:val="center"/>
          </w:tcPr>
          <w:p w14:paraId="74CD0576">
            <w:pPr>
              <w:jc w:val="center"/>
              <w:rPr>
                <w:color w:val="000000"/>
                <w:szCs w:val="21"/>
              </w:rPr>
            </w:pPr>
            <w:r>
              <w:rPr>
                <w:color w:val="000000"/>
                <w:szCs w:val="21"/>
              </w:rPr>
              <w:t>2</w:t>
            </w:r>
          </w:p>
        </w:tc>
        <w:tc>
          <w:tcPr>
            <w:tcW w:w="0" w:type="auto"/>
            <w:noWrap w:val="0"/>
            <w:vAlign w:val="center"/>
          </w:tcPr>
          <w:p w14:paraId="10A9EE5A">
            <w:pPr>
              <w:jc w:val="center"/>
              <w:rPr>
                <w:color w:val="000000"/>
                <w:szCs w:val="21"/>
              </w:rPr>
            </w:pPr>
            <w:r>
              <w:rPr>
                <w:color w:val="000000"/>
                <w:szCs w:val="21"/>
              </w:rPr>
              <w:t>70</w:t>
            </w:r>
          </w:p>
        </w:tc>
        <w:tc>
          <w:tcPr>
            <w:tcW w:w="0" w:type="auto"/>
            <w:noWrap w:val="0"/>
            <w:vAlign w:val="center"/>
          </w:tcPr>
          <w:p w14:paraId="5C804880">
            <w:pPr>
              <w:jc w:val="center"/>
              <w:rPr>
                <w:color w:val="000000"/>
                <w:szCs w:val="21"/>
              </w:rPr>
            </w:pPr>
            <w:r>
              <w:rPr>
                <w:color w:val="000000"/>
                <w:szCs w:val="21"/>
              </w:rPr>
              <w:t>180</w:t>
            </w:r>
          </w:p>
        </w:tc>
      </w:tr>
      <w:tr w14:paraId="74286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1888A5C">
            <w:pPr>
              <w:jc w:val="center"/>
              <w:rPr>
                <w:color w:val="000000"/>
                <w:szCs w:val="21"/>
              </w:rPr>
            </w:pPr>
            <w:r>
              <w:rPr>
                <w:color w:val="000000"/>
                <w:szCs w:val="21"/>
              </w:rPr>
              <w:t>10</w:t>
            </w:r>
          </w:p>
        </w:tc>
        <w:tc>
          <w:tcPr>
            <w:tcW w:w="0" w:type="auto"/>
            <w:noWrap w:val="0"/>
            <w:vAlign w:val="center"/>
          </w:tcPr>
          <w:p w14:paraId="06815020">
            <w:pPr>
              <w:jc w:val="center"/>
              <w:rPr>
                <w:rFonts w:ascii="楷体_GB2312" w:eastAsia="楷体_GB2312"/>
                <w:color w:val="000000"/>
                <w:szCs w:val="21"/>
              </w:rPr>
            </w:pPr>
            <w:r>
              <w:rPr>
                <w:rFonts w:hint="eastAsia" w:ascii="楷体_GB2312" w:eastAsia="楷体_GB2312"/>
                <w:color w:val="000000"/>
                <w:szCs w:val="21"/>
              </w:rPr>
              <w:t>南街</w:t>
            </w:r>
          </w:p>
        </w:tc>
        <w:tc>
          <w:tcPr>
            <w:tcW w:w="0" w:type="auto"/>
            <w:noWrap w:val="0"/>
            <w:vAlign w:val="center"/>
          </w:tcPr>
          <w:p w14:paraId="02EA37CE">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3953615A">
            <w:pPr>
              <w:jc w:val="center"/>
              <w:rPr>
                <w:color w:val="000000"/>
                <w:szCs w:val="21"/>
              </w:rPr>
            </w:pPr>
            <w:r>
              <w:rPr>
                <w:color w:val="000000"/>
                <w:szCs w:val="21"/>
              </w:rPr>
              <w:t>0.7</w:t>
            </w:r>
          </w:p>
        </w:tc>
        <w:tc>
          <w:tcPr>
            <w:tcW w:w="0" w:type="auto"/>
            <w:noWrap w:val="0"/>
            <w:vAlign w:val="center"/>
          </w:tcPr>
          <w:p w14:paraId="6D4C8716">
            <w:pPr>
              <w:jc w:val="center"/>
              <w:rPr>
                <w:color w:val="000000"/>
                <w:szCs w:val="21"/>
              </w:rPr>
            </w:pPr>
            <w:r>
              <w:rPr>
                <w:color w:val="000000"/>
                <w:szCs w:val="21"/>
              </w:rPr>
              <w:t>2</w:t>
            </w:r>
          </w:p>
        </w:tc>
        <w:tc>
          <w:tcPr>
            <w:tcW w:w="0" w:type="auto"/>
            <w:noWrap w:val="0"/>
            <w:vAlign w:val="center"/>
          </w:tcPr>
          <w:p w14:paraId="743CB972">
            <w:pPr>
              <w:jc w:val="center"/>
              <w:rPr>
                <w:color w:val="000000"/>
                <w:szCs w:val="21"/>
              </w:rPr>
            </w:pPr>
            <w:r>
              <w:rPr>
                <w:color w:val="000000"/>
                <w:szCs w:val="21"/>
              </w:rPr>
              <w:t>70</w:t>
            </w:r>
          </w:p>
        </w:tc>
        <w:tc>
          <w:tcPr>
            <w:tcW w:w="0" w:type="auto"/>
            <w:noWrap w:val="0"/>
            <w:vAlign w:val="center"/>
          </w:tcPr>
          <w:p w14:paraId="37131AB1">
            <w:pPr>
              <w:jc w:val="center"/>
              <w:rPr>
                <w:color w:val="000000"/>
                <w:szCs w:val="21"/>
              </w:rPr>
            </w:pPr>
            <w:r>
              <w:rPr>
                <w:color w:val="000000"/>
                <w:szCs w:val="21"/>
              </w:rPr>
              <w:t>180</w:t>
            </w:r>
          </w:p>
        </w:tc>
      </w:tr>
      <w:tr w14:paraId="694A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8D20938">
            <w:pPr>
              <w:jc w:val="center"/>
              <w:rPr>
                <w:color w:val="000000"/>
                <w:szCs w:val="21"/>
              </w:rPr>
            </w:pPr>
            <w:r>
              <w:rPr>
                <w:color w:val="000000"/>
                <w:szCs w:val="21"/>
              </w:rPr>
              <w:t>11</w:t>
            </w:r>
          </w:p>
        </w:tc>
        <w:tc>
          <w:tcPr>
            <w:tcW w:w="0" w:type="auto"/>
            <w:noWrap w:val="0"/>
            <w:vAlign w:val="center"/>
          </w:tcPr>
          <w:p w14:paraId="50E7C657">
            <w:pPr>
              <w:jc w:val="center"/>
              <w:rPr>
                <w:rFonts w:ascii="楷体_GB2312" w:eastAsia="楷体_GB2312"/>
                <w:color w:val="000000"/>
                <w:szCs w:val="21"/>
              </w:rPr>
            </w:pPr>
            <w:r>
              <w:rPr>
                <w:rFonts w:hint="eastAsia" w:ascii="楷体_GB2312" w:eastAsia="楷体_GB2312"/>
                <w:color w:val="000000"/>
                <w:szCs w:val="21"/>
              </w:rPr>
              <w:t>公园路</w:t>
            </w:r>
          </w:p>
        </w:tc>
        <w:tc>
          <w:tcPr>
            <w:tcW w:w="0" w:type="auto"/>
            <w:noWrap w:val="0"/>
            <w:vAlign w:val="center"/>
          </w:tcPr>
          <w:p w14:paraId="3B861808">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30F5D3CC">
            <w:pPr>
              <w:jc w:val="center"/>
              <w:rPr>
                <w:color w:val="000000"/>
                <w:szCs w:val="21"/>
              </w:rPr>
            </w:pPr>
            <w:r>
              <w:rPr>
                <w:color w:val="000000"/>
                <w:szCs w:val="21"/>
              </w:rPr>
              <w:t>0.7</w:t>
            </w:r>
          </w:p>
        </w:tc>
        <w:tc>
          <w:tcPr>
            <w:tcW w:w="0" w:type="auto"/>
            <w:noWrap w:val="0"/>
            <w:vAlign w:val="center"/>
          </w:tcPr>
          <w:p w14:paraId="579C8317">
            <w:pPr>
              <w:jc w:val="center"/>
              <w:rPr>
                <w:color w:val="000000"/>
                <w:szCs w:val="21"/>
              </w:rPr>
            </w:pPr>
            <w:r>
              <w:rPr>
                <w:color w:val="000000"/>
                <w:szCs w:val="21"/>
              </w:rPr>
              <w:t>2</w:t>
            </w:r>
          </w:p>
        </w:tc>
        <w:tc>
          <w:tcPr>
            <w:tcW w:w="0" w:type="auto"/>
            <w:noWrap w:val="0"/>
            <w:vAlign w:val="center"/>
          </w:tcPr>
          <w:p w14:paraId="24083D06">
            <w:pPr>
              <w:jc w:val="center"/>
              <w:rPr>
                <w:color w:val="000000"/>
                <w:szCs w:val="21"/>
              </w:rPr>
            </w:pPr>
            <w:r>
              <w:rPr>
                <w:color w:val="000000"/>
                <w:szCs w:val="21"/>
              </w:rPr>
              <w:t>70</w:t>
            </w:r>
          </w:p>
        </w:tc>
        <w:tc>
          <w:tcPr>
            <w:tcW w:w="0" w:type="auto"/>
            <w:noWrap w:val="0"/>
            <w:vAlign w:val="center"/>
          </w:tcPr>
          <w:p w14:paraId="0637F129">
            <w:pPr>
              <w:jc w:val="center"/>
              <w:rPr>
                <w:color w:val="000000"/>
                <w:szCs w:val="21"/>
              </w:rPr>
            </w:pPr>
            <w:r>
              <w:rPr>
                <w:color w:val="000000"/>
                <w:szCs w:val="21"/>
              </w:rPr>
              <w:t>180</w:t>
            </w:r>
          </w:p>
        </w:tc>
      </w:tr>
      <w:tr w14:paraId="4093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7D5BF7F">
            <w:pPr>
              <w:jc w:val="center"/>
              <w:rPr>
                <w:color w:val="000000"/>
                <w:szCs w:val="21"/>
              </w:rPr>
            </w:pPr>
            <w:r>
              <w:rPr>
                <w:color w:val="000000"/>
                <w:szCs w:val="21"/>
              </w:rPr>
              <w:t>12</w:t>
            </w:r>
          </w:p>
        </w:tc>
        <w:tc>
          <w:tcPr>
            <w:tcW w:w="0" w:type="auto"/>
            <w:noWrap w:val="0"/>
            <w:vAlign w:val="center"/>
          </w:tcPr>
          <w:p w14:paraId="235F55F0">
            <w:pPr>
              <w:jc w:val="center"/>
              <w:rPr>
                <w:rFonts w:ascii="楷体_GB2312" w:eastAsia="楷体_GB2312"/>
                <w:color w:val="000000"/>
                <w:szCs w:val="21"/>
              </w:rPr>
            </w:pPr>
            <w:r>
              <w:rPr>
                <w:rFonts w:hint="eastAsia" w:ascii="楷体_GB2312" w:eastAsia="楷体_GB2312"/>
                <w:color w:val="000000"/>
                <w:szCs w:val="21"/>
              </w:rPr>
              <w:t>致富路</w:t>
            </w:r>
          </w:p>
        </w:tc>
        <w:tc>
          <w:tcPr>
            <w:tcW w:w="0" w:type="auto"/>
            <w:noWrap w:val="0"/>
            <w:vAlign w:val="center"/>
          </w:tcPr>
          <w:p w14:paraId="4531D85A">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3BDEB05B">
            <w:pPr>
              <w:jc w:val="center"/>
              <w:rPr>
                <w:color w:val="000000"/>
                <w:szCs w:val="21"/>
              </w:rPr>
            </w:pPr>
            <w:r>
              <w:rPr>
                <w:color w:val="000000"/>
                <w:szCs w:val="21"/>
              </w:rPr>
              <w:t>0.7</w:t>
            </w:r>
          </w:p>
        </w:tc>
        <w:tc>
          <w:tcPr>
            <w:tcW w:w="0" w:type="auto"/>
            <w:noWrap w:val="0"/>
            <w:vAlign w:val="center"/>
          </w:tcPr>
          <w:p w14:paraId="10324874">
            <w:pPr>
              <w:jc w:val="center"/>
              <w:rPr>
                <w:color w:val="000000"/>
                <w:szCs w:val="21"/>
              </w:rPr>
            </w:pPr>
            <w:r>
              <w:rPr>
                <w:color w:val="000000"/>
                <w:szCs w:val="21"/>
              </w:rPr>
              <w:t>2</w:t>
            </w:r>
          </w:p>
        </w:tc>
        <w:tc>
          <w:tcPr>
            <w:tcW w:w="0" w:type="auto"/>
            <w:noWrap w:val="0"/>
            <w:vAlign w:val="center"/>
          </w:tcPr>
          <w:p w14:paraId="690E31B7">
            <w:pPr>
              <w:jc w:val="center"/>
              <w:rPr>
                <w:color w:val="000000"/>
                <w:szCs w:val="21"/>
              </w:rPr>
            </w:pPr>
            <w:r>
              <w:rPr>
                <w:color w:val="000000"/>
                <w:szCs w:val="21"/>
              </w:rPr>
              <w:t>70</w:t>
            </w:r>
          </w:p>
        </w:tc>
        <w:tc>
          <w:tcPr>
            <w:tcW w:w="0" w:type="auto"/>
            <w:noWrap w:val="0"/>
            <w:vAlign w:val="center"/>
          </w:tcPr>
          <w:p w14:paraId="0152E848">
            <w:pPr>
              <w:jc w:val="center"/>
              <w:rPr>
                <w:color w:val="000000"/>
                <w:szCs w:val="21"/>
              </w:rPr>
            </w:pPr>
            <w:r>
              <w:rPr>
                <w:color w:val="000000"/>
                <w:szCs w:val="21"/>
              </w:rPr>
              <w:t>180</w:t>
            </w:r>
          </w:p>
        </w:tc>
      </w:tr>
      <w:tr w14:paraId="6C3D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F59925F">
            <w:pPr>
              <w:jc w:val="center"/>
              <w:rPr>
                <w:color w:val="000000"/>
                <w:szCs w:val="21"/>
              </w:rPr>
            </w:pPr>
            <w:r>
              <w:rPr>
                <w:color w:val="000000"/>
                <w:szCs w:val="21"/>
              </w:rPr>
              <w:t>13</w:t>
            </w:r>
          </w:p>
        </w:tc>
        <w:tc>
          <w:tcPr>
            <w:tcW w:w="0" w:type="auto"/>
            <w:noWrap w:val="0"/>
            <w:vAlign w:val="center"/>
          </w:tcPr>
          <w:p w14:paraId="4A83B22E">
            <w:pPr>
              <w:jc w:val="center"/>
              <w:rPr>
                <w:rFonts w:ascii="楷体_GB2312" w:eastAsia="楷体_GB2312"/>
                <w:color w:val="000000"/>
                <w:szCs w:val="21"/>
              </w:rPr>
            </w:pPr>
            <w:r>
              <w:rPr>
                <w:rFonts w:hint="eastAsia" w:ascii="楷体_GB2312" w:eastAsia="楷体_GB2312"/>
                <w:color w:val="000000"/>
                <w:szCs w:val="21"/>
              </w:rPr>
              <w:t>原家居街</w:t>
            </w:r>
          </w:p>
        </w:tc>
        <w:tc>
          <w:tcPr>
            <w:tcW w:w="0" w:type="auto"/>
            <w:noWrap w:val="0"/>
            <w:vAlign w:val="center"/>
          </w:tcPr>
          <w:p w14:paraId="26AE2F48">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5D47EE36">
            <w:pPr>
              <w:jc w:val="center"/>
              <w:rPr>
                <w:color w:val="000000"/>
                <w:szCs w:val="21"/>
              </w:rPr>
            </w:pPr>
            <w:r>
              <w:rPr>
                <w:color w:val="000000"/>
                <w:szCs w:val="21"/>
              </w:rPr>
              <w:t>0.7</w:t>
            </w:r>
          </w:p>
        </w:tc>
        <w:tc>
          <w:tcPr>
            <w:tcW w:w="0" w:type="auto"/>
            <w:noWrap w:val="0"/>
            <w:vAlign w:val="center"/>
          </w:tcPr>
          <w:p w14:paraId="493989A8">
            <w:pPr>
              <w:jc w:val="center"/>
              <w:rPr>
                <w:color w:val="000000"/>
                <w:szCs w:val="21"/>
              </w:rPr>
            </w:pPr>
            <w:r>
              <w:rPr>
                <w:color w:val="000000"/>
                <w:szCs w:val="21"/>
              </w:rPr>
              <w:t>2</w:t>
            </w:r>
          </w:p>
        </w:tc>
        <w:tc>
          <w:tcPr>
            <w:tcW w:w="0" w:type="auto"/>
            <w:noWrap w:val="0"/>
            <w:vAlign w:val="center"/>
          </w:tcPr>
          <w:p w14:paraId="18F0F7DA">
            <w:pPr>
              <w:jc w:val="center"/>
              <w:rPr>
                <w:color w:val="000000"/>
                <w:szCs w:val="21"/>
              </w:rPr>
            </w:pPr>
            <w:r>
              <w:rPr>
                <w:color w:val="000000"/>
                <w:szCs w:val="21"/>
              </w:rPr>
              <w:t>70</w:t>
            </w:r>
          </w:p>
        </w:tc>
        <w:tc>
          <w:tcPr>
            <w:tcW w:w="0" w:type="auto"/>
            <w:noWrap w:val="0"/>
            <w:vAlign w:val="center"/>
          </w:tcPr>
          <w:p w14:paraId="381500D1">
            <w:pPr>
              <w:jc w:val="center"/>
              <w:rPr>
                <w:color w:val="000000"/>
                <w:szCs w:val="21"/>
              </w:rPr>
            </w:pPr>
            <w:r>
              <w:rPr>
                <w:color w:val="000000"/>
                <w:szCs w:val="21"/>
              </w:rPr>
              <w:t>180</w:t>
            </w:r>
          </w:p>
        </w:tc>
      </w:tr>
      <w:tr w14:paraId="13B1C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F5ACF4D">
            <w:pPr>
              <w:jc w:val="center"/>
              <w:rPr>
                <w:color w:val="000000"/>
                <w:szCs w:val="21"/>
              </w:rPr>
            </w:pPr>
            <w:r>
              <w:rPr>
                <w:color w:val="000000"/>
                <w:szCs w:val="21"/>
              </w:rPr>
              <w:t>14</w:t>
            </w:r>
          </w:p>
        </w:tc>
        <w:tc>
          <w:tcPr>
            <w:tcW w:w="0" w:type="auto"/>
            <w:noWrap w:val="0"/>
            <w:vAlign w:val="center"/>
          </w:tcPr>
          <w:p w14:paraId="38C76B13">
            <w:pPr>
              <w:jc w:val="center"/>
              <w:rPr>
                <w:rFonts w:ascii="楷体_GB2312" w:eastAsia="楷体_GB2312"/>
                <w:color w:val="000000"/>
                <w:szCs w:val="21"/>
              </w:rPr>
            </w:pPr>
            <w:r>
              <w:rPr>
                <w:rFonts w:hint="eastAsia" w:ascii="楷体_GB2312" w:eastAsia="楷体_GB2312"/>
                <w:color w:val="000000"/>
                <w:szCs w:val="21"/>
              </w:rPr>
              <w:t>清风路</w:t>
            </w:r>
          </w:p>
        </w:tc>
        <w:tc>
          <w:tcPr>
            <w:tcW w:w="0" w:type="auto"/>
            <w:noWrap w:val="0"/>
            <w:vAlign w:val="center"/>
          </w:tcPr>
          <w:p w14:paraId="20072EF7">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622459F5">
            <w:pPr>
              <w:jc w:val="center"/>
              <w:rPr>
                <w:color w:val="000000"/>
                <w:szCs w:val="21"/>
              </w:rPr>
            </w:pPr>
            <w:r>
              <w:rPr>
                <w:color w:val="000000"/>
                <w:szCs w:val="21"/>
              </w:rPr>
              <w:t>0.7</w:t>
            </w:r>
          </w:p>
        </w:tc>
        <w:tc>
          <w:tcPr>
            <w:tcW w:w="0" w:type="auto"/>
            <w:noWrap w:val="0"/>
            <w:vAlign w:val="center"/>
          </w:tcPr>
          <w:p w14:paraId="7EA6376E">
            <w:pPr>
              <w:jc w:val="center"/>
              <w:rPr>
                <w:color w:val="000000"/>
                <w:szCs w:val="21"/>
              </w:rPr>
            </w:pPr>
            <w:r>
              <w:rPr>
                <w:color w:val="000000"/>
                <w:szCs w:val="21"/>
              </w:rPr>
              <w:t>2</w:t>
            </w:r>
          </w:p>
        </w:tc>
        <w:tc>
          <w:tcPr>
            <w:tcW w:w="0" w:type="auto"/>
            <w:noWrap w:val="0"/>
            <w:vAlign w:val="center"/>
          </w:tcPr>
          <w:p w14:paraId="30510E17">
            <w:pPr>
              <w:jc w:val="center"/>
              <w:rPr>
                <w:color w:val="000000"/>
                <w:szCs w:val="21"/>
              </w:rPr>
            </w:pPr>
            <w:r>
              <w:rPr>
                <w:color w:val="000000"/>
                <w:szCs w:val="21"/>
              </w:rPr>
              <w:t>70</w:t>
            </w:r>
          </w:p>
        </w:tc>
        <w:tc>
          <w:tcPr>
            <w:tcW w:w="0" w:type="auto"/>
            <w:noWrap w:val="0"/>
            <w:vAlign w:val="center"/>
          </w:tcPr>
          <w:p w14:paraId="1E4572D7">
            <w:pPr>
              <w:jc w:val="center"/>
              <w:rPr>
                <w:color w:val="000000"/>
                <w:szCs w:val="21"/>
              </w:rPr>
            </w:pPr>
            <w:r>
              <w:rPr>
                <w:color w:val="000000"/>
                <w:szCs w:val="21"/>
              </w:rPr>
              <w:t>180</w:t>
            </w:r>
          </w:p>
        </w:tc>
      </w:tr>
      <w:tr w14:paraId="04308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0B62E97">
            <w:pPr>
              <w:jc w:val="center"/>
              <w:rPr>
                <w:color w:val="000000"/>
                <w:szCs w:val="21"/>
              </w:rPr>
            </w:pPr>
            <w:r>
              <w:rPr>
                <w:color w:val="000000"/>
                <w:szCs w:val="21"/>
              </w:rPr>
              <w:t>15</w:t>
            </w:r>
          </w:p>
        </w:tc>
        <w:tc>
          <w:tcPr>
            <w:tcW w:w="0" w:type="auto"/>
            <w:noWrap w:val="0"/>
            <w:vAlign w:val="center"/>
          </w:tcPr>
          <w:p w14:paraId="3F2F8768">
            <w:pPr>
              <w:jc w:val="center"/>
              <w:rPr>
                <w:rFonts w:ascii="楷体_GB2312" w:eastAsia="楷体_GB2312"/>
                <w:color w:val="000000"/>
                <w:szCs w:val="21"/>
              </w:rPr>
            </w:pPr>
            <w:r>
              <w:rPr>
                <w:rFonts w:hint="eastAsia" w:ascii="楷体_GB2312" w:eastAsia="楷体_GB2312"/>
                <w:color w:val="000000"/>
                <w:szCs w:val="21"/>
              </w:rPr>
              <w:t>苗褚路</w:t>
            </w:r>
          </w:p>
        </w:tc>
        <w:tc>
          <w:tcPr>
            <w:tcW w:w="0" w:type="auto"/>
            <w:noWrap w:val="0"/>
            <w:vAlign w:val="center"/>
          </w:tcPr>
          <w:p w14:paraId="0DAD5206">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181F7376">
            <w:pPr>
              <w:jc w:val="center"/>
              <w:rPr>
                <w:color w:val="000000"/>
                <w:szCs w:val="21"/>
              </w:rPr>
            </w:pPr>
            <w:r>
              <w:rPr>
                <w:color w:val="000000"/>
                <w:szCs w:val="21"/>
              </w:rPr>
              <w:t>0.7</w:t>
            </w:r>
          </w:p>
        </w:tc>
        <w:tc>
          <w:tcPr>
            <w:tcW w:w="0" w:type="auto"/>
            <w:noWrap w:val="0"/>
            <w:vAlign w:val="center"/>
          </w:tcPr>
          <w:p w14:paraId="26062714">
            <w:pPr>
              <w:jc w:val="center"/>
              <w:rPr>
                <w:color w:val="000000"/>
                <w:szCs w:val="21"/>
              </w:rPr>
            </w:pPr>
            <w:r>
              <w:rPr>
                <w:color w:val="000000"/>
                <w:szCs w:val="21"/>
              </w:rPr>
              <w:t>2</w:t>
            </w:r>
          </w:p>
        </w:tc>
        <w:tc>
          <w:tcPr>
            <w:tcW w:w="0" w:type="auto"/>
            <w:noWrap w:val="0"/>
            <w:vAlign w:val="center"/>
          </w:tcPr>
          <w:p w14:paraId="01BB1CF2">
            <w:pPr>
              <w:jc w:val="center"/>
              <w:rPr>
                <w:color w:val="000000"/>
                <w:szCs w:val="21"/>
              </w:rPr>
            </w:pPr>
            <w:r>
              <w:rPr>
                <w:color w:val="000000"/>
                <w:szCs w:val="21"/>
              </w:rPr>
              <w:t>70</w:t>
            </w:r>
          </w:p>
        </w:tc>
        <w:tc>
          <w:tcPr>
            <w:tcW w:w="0" w:type="auto"/>
            <w:noWrap w:val="0"/>
            <w:vAlign w:val="center"/>
          </w:tcPr>
          <w:p w14:paraId="44D974EA">
            <w:pPr>
              <w:jc w:val="center"/>
              <w:rPr>
                <w:color w:val="000000"/>
                <w:szCs w:val="21"/>
              </w:rPr>
            </w:pPr>
            <w:r>
              <w:rPr>
                <w:color w:val="000000"/>
                <w:szCs w:val="21"/>
              </w:rPr>
              <w:t>180</w:t>
            </w:r>
          </w:p>
        </w:tc>
      </w:tr>
      <w:tr w14:paraId="58491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7932B5D">
            <w:pPr>
              <w:jc w:val="center"/>
              <w:rPr>
                <w:color w:val="000000"/>
                <w:szCs w:val="21"/>
              </w:rPr>
            </w:pPr>
            <w:r>
              <w:rPr>
                <w:color w:val="000000"/>
                <w:szCs w:val="21"/>
              </w:rPr>
              <w:t>16</w:t>
            </w:r>
          </w:p>
        </w:tc>
        <w:tc>
          <w:tcPr>
            <w:tcW w:w="0" w:type="auto"/>
            <w:noWrap w:val="0"/>
            <w:vAlign w:val="center"/>
          </w:tcPr>
          <w:p w14:paraId="1FF1D3E1">
            <w:pPr>
              <w:jc w:val="center"/>
              <w:rPr>
                <w:rFonts w:ascii="楷体_GB2312" w:hAnsi="宋体" w:eastAsia="楷体_GB2312" w:cs="宋体"/>
                <w:color w:val="000000"/>
                <w:szCs w:val="21"/>
              </w:rPr>
            </w:pPr>
            <w:r>
              <w:rPr>
                <w:rFonts w:hint="eastAsia" w:ascii="楷体_GB2312" w:eastAsia="楷体_GB2312"/>
                <w:color w:val="000000"/>
                <w:szCs w:val="21"/>
              </w:rPr>
              <w:t>同心路</w:t>
            </w:r>
          </w:p>
        </w:tc>
        <w:tc>
          <w:tcPr>
            <w:tcW w:w="0" w:type="auto"/>
            <w:noWrap w:val="0"/>
            <w:vAlign w:val="center"/>
          </w:tcPr>
          <w:p w14:paraId="144B80F1">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C8C0FBA">
            <w:pPr>
              <w:jc w:val="center"/>
              <w:rPr>
                <w:color w:val="000000"/>
                <w:szCs w:val="21"/>
              </w:rPr>
            </w:pPr>
            <w:r>
              <w:rPr>
                <w:color w:val="000000"/>
                <w:szCs w:val="21"/>
              </w:rPr>
              <w:t>0.4</w:t>
            </w:r>
          </w:p>
        </w:tc>
        <w:tc>
          <w:tcPr>
            <w:tcW w:w="0" w:type="auto"/>
            <w:noWrap w:val="0"/>
            <w:vAlign w:val="center"/>
          </w:tcPr>
          <w:p w14:paraId="7713946E">
            <w:pPr>
              <w:jc w:val="center"/>
              <w:rPr>
                <w:color w:val="000000"/>
                <w:szCs w:val="21"/>
              </w:rPr>
            </w:pPr>
            <w:r>
              <w:rPr>
                <w:color w:val="000000"/>
                <w:szCs w:val="21"/>
              </w:rPr>
              <w:t>3</w:t>
            </w:r>
          </w:p>
        </w:tc>
        <w:tc>
          <w:tcPr>
            <w:tcW w:w="0" w:type="auto"/>
            <w:noWrap w:val="0"/>
            <w:vAlign w:val="center"/>
          </w:tcPr>
          <w:p w14:paraId="374103B3">
            <w:pPr>
              <w:jc w:val="center"/>
              <w:rPr>
                <w:color w:val="000000"/>
                <w:szCs w:val="21"/>
              </w:rPr>
            </w:pPr>
            <w:r>
              <w:rPr>
                <w:color w:val="000000"/>
                <w:szCs w:val="21"/>
              </w:rPr>
              <w:t>40</w:t>
            </w:r>
          </w:p>
        </w:tc>
        <w:tc>
          <w:tcPr>
            <w:tcW w:w="0" w:type="auto"/>
            <w:noWrap w:val="0"/>
            <w:vAlign w:val="center"/>
          </w:tcPr>
          <w:p w14:paraId="097EA9E7">
            <w:pPr>
              <w:jc w:val="center"/>
              <w:rPr>
                <w:color w:val="000000"/>
                <w:szCs w:val="21"/>
              </w:rPr>
            </w:pPr>
            <w:r>
              <w:rPr>
                <w:color w:val="000000"/>
                <w:szCs w:val="21"/>
              </w:rPr>
              <w:t>150</w:t>
            </w:r>
          </w:p>
        </w:tc>
      </w:tr>
      <w:tr w14:paraId="425B3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1CFFF32">
            <w:pPr>
              <w:jc w:val="center"/>
              <w:rPr>
                <w:color w:val="000000"/>
                <w:szCs w:val="21"/>
              </w:rPr>
            </w:pPr>
            <w:r>
              <w:rPr>
                <w:color w:val="000000"/>
                <w:szCs w:val="21"/>
              </w:rPr>
              <w:t>17</w:t>
            </w:r>
          </w:p>
        </w:tc>
        <w:tc>
          <w:tcPr>
            <w:tcW w:w="0" w:type="auto"/>
            <w:noWrap w:val="0"/>
            <w:vAlign w:val="center"/>
          </w:tcPr>
          <w:p w14:paraId="176CF98F">
            <w:pPr>
              <w:jc w:val="center"/>
              <w:rPr>
                <w:rFonts w:ascii="楷体_GB2312" w:hAnsi="宋体" w:eastAsia="楷体_GB2312" w:cs="宋体"/>
                <w:color w:val="000000"/>
                <w:szCs w:val="21"/>
              </w:rPr>
            </w:pPr>
            <w:r>
              <w:rPr>
                <w:rFonts w:hint="eastAsia" w:ascii="楷体_GB2312" w:eastAsia="楷体_GB2312"/>
                <w:color w:val="000000"/>
                <w:szCs w:val="21"/>
              </w:rPr>
              <w:t>怡情路</w:t>
            </w:r>
          </w:p>
        </w:tc>
        <w:tc>
          <w:tcPr>
            <w:tcW w:w="0" w:type="auto"/>
            <w:noWrap w:val="0"/>
            <w:vAlign w:val="center"/>
          </w:tcPr>
          <w:p w14:paraId="2C0B4D03">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4745D120">
            <w:pPr>
              <w:jc w:val="center"/>
              <w:rPr>
                <w:color w:val="000000"/>
                <w:szCs w:val="21"/>
              </w:rPr>
            </w:pPr>
            <w:r>
              <w:rPr>
                <w:color w:val="000000"/>
                <w:szCs w:val="21"/>
              </w:rPr>
              <w:t>0.4</w:t>
            </w:r>
          </w:p>
        </w:tc>
        <w:tc>
          <w:tcPr>
            <w:tcW w:w="0" w:type="auto"/>
            <w:noWrap w:val="0"/>
            <w:vAlign w:val="center"/>
          </w:tcPr>
          <w:p w14:paraId="1D58B8EC">
            <w:pPr>
              <w:jc w:val="center"/>
              <w:rPr>
                <w:color w:val="000000"/>
                <w:szCs w:val="21"/>
              </w:rPr>
            </w:pPr>
            <w:r>
              <w:rPr>
                <w:color w:val="000000"/>
                <w:szCs w:val="21"/>
              </w:rPr>
              <w:t>3</w:t>
            </w:r>
          </w:p>
        </w:tc>
        <w:tc>
          <w:tcPr>
            <w:tcW w:w="0" w:type="auto"/>
            <w:noWrap w:val="0"/>
            <w:vAlign w:val="center"/>
          </w:tcPr>
          <w:p w14:paraId="1B0FAA70">
            <w:pPr>
              <w:jc w:val="center"/>
              <w:rPr>
                <w:color w:val="000000"/>
                <w:szCs w:val="21"/>
              </w:rPr>
            </w:pPr>
            <w:r>
              <w:rPr>
                <w:color w:val="000000"/>
                <w:szCs w:val="21"/>
              </w:rPr>
              <w:t>40</w:t>
            </w:r>
          </w:p>
        </w:tc>
        <w:tc>
          <w:tcPr>
            <w:tcW w:w="0" w:type="auto"/>
            <w:noWrap w:val="0"/>
            <w:vAlign w:val="center"/>
          </w:tcPr>
          <w:p w14:paraId="4B57A6EE">
            <w:pPr>
              <w:jc w:val="center"/>
              <w:rPr>
                <w:color w:val="000000"/>
                <w:szCs w:val="21"/>
              </w:rPr>
            </w:pPr>
            <w:r>
              <w:rPr>
                <w:color w:val="000000"/>
                <w:szCs w:val="21"/>
              </w:rPr>
              <w:t>150</w:t>
            </w:r>
          </w:p>
        </w:tc>
      </w:tr>
      <w:tr w14:paraId="2395F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EEC729A">
            <w:pPr>
              <w:jc w:val="center"/>
              <w:rPr>
                <w:color w:val="000000"/>
                <w:szCs w:val="21"/>
              </w:rPr>
            </w:pPr>
            <w:r>
              <w:rPr>
                <w:color w:val="000000"/>
                <w:szCs w:val="21"/>
              </w:rPr>
              <w:t>18</w:t>
            </w:r>
          </w:p>
        </w:tc>
        <w:tc>
          <w:tcPr>
            <w:tcW w:w="0" w:type="auto"/>
            <w:noWrap w:val="0"/>
            <w:vAlign w:val="center"/>
          </w:tcPr>
          <w:p w14:paraId="0A475681">
            <w:pPr>
              <w:jc w:val="center"/>
              <w:rPr>
                <w:rFonts w:ascii="楷体_GB2312" w:hAnsi="宋体" w:eastAsia="楷体_GB2312" w:cs="宋体"/>
                <w:color w:val="000000"/>
                <w:szCs w:val="21"/>
              </w:rPr>
            </w:pPr>
            <w:r>
              <w:rPr>
                <w:rFonts w:hint="eastAsia" w:ascii="楷体_GB2312" w:eastAsia="楷体_GB2312"/>
                <w:color w:val="000000"/>
                <w:szCs w:val="21"/>
              </w:rPr>
              <w:t>装潢街</w:t>
            </w:r>
          </w:p>
        </w:tc>
        <w:tc>
          <w:tcPr>
            <w:tcW w:w="0" w:type="auto"/>
            <w:noWrap w:val="0"/>
            <w:vAlign w:val="center"/>
          </w:tcPr>
          <w:p w14:paraId="3367733D">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2595837">
            <w:pPr>
              <w:jc w:val="center"/>
              <w:rPr>
                <w:color w:val="000000"/>
                <w:szCs w:val="21"/>
              </w:rPr>
            </w:pPr>
            <w:r>
              <w:rPr>
                <w:color w:val="000000"/>
                <w:szCs w:val="21"/>
              </w:rPr>
              <w:t>0.4</w:t>
            </w:r>
          </w:p>
        </w:tc>
        <w:tc>
          <w:tcPr>
            <w:tcW w:w="0" w:type="auto"/>
            <w:noWrap w:val="0"/>
            <w:vAlign w:val="center"/>
          </w:tcPr>
          <w:p w14:paraId="61944C57">
            <w:pPr>
              <w:jc w:val="center"/>
              <w:rPr>
                <w:color w:val="000000"/>
                <w:szCs w:val="21"/>
              </w:rPr>
            </w:pPr>
            <w:r>
              <w:rPr>
                <w:color w:val="000000"/>
                <w:szCs w:val="21"/>
              </w:rPr>
              <w:t>3</w:t>
            </w:r>
          </w:p>
        </w:tc>
        <w:tc>
          <w:tcPr>
            <w:tcW w:w="0" w:type="auto"/>
            <w:noWrap w:val="0"/>
            <w:vAlign w:val="center"/>
          </w:tcPr>
          <w:p w14:paraId="5D648056">
            <w:pPr>
              <w:jc w:val="center"/>
              <w:rPr>
                <w:color w:val="000000"/>
                <w:szCs w:val="21"/>
              </w:rPr>
            </w:pPr>
            <w:r>
              <w:rPr>
                <w:color w:val="000000"/>
                <w:szCs w:val="21"/>
              </w:rPr>
              <w:t>40</w:t>
            </w:r>
          </w:p>
        </w:tc>
        <w:tc>
          <w:tcPr>
            <w:tcW w:w="0" w:type="auto"/>
            <w:noWrap w:val="0"/>
            <w:vAlign w:val="center"/>
          </w:tcPr>
          <w:p w14:paraId="05CA06E5">
            <w:pPr>
              <w:jc w:val="center"/>
              <w:rPr>
                <w:color w:val="000000"/>
                <w:szCs w:val="21"/>
              </w:rPr>
            </w:pPr>
            <w:r>
              <w:rPr>
                <w:color w:val="000000"/>
                <w:szCs w:val="21"/>
              </w:rPr>
              <w:t>150</w:t>
            </w:r>
          </w:p>
        </w:tc>
      </w:tr>
      <w:tr w14:paraId="2B9F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DBE2493">
            <w:pPr>
              <w:jc w:val="center"/>
              <w:rPr>
                <w:color w:val="000000"/>
                <w:szCs w:val="21"/>
              </w:rPr>
            </w:pPr>
            <w:r>
              <w:rPr>
                <w:color w:val="000000"/>
                <w:szCs w:val="21"/>
              </w:rPr>
              <w:t>19</w:t>
            </w:r>
          </w:p>
        </w:tc>
        <w:tc>
          <w:tcPr>
            <w:tcW w:w="0" w:type="auto"/>
            <w:noWrap w:val="0"/>
            <w:vAlign w:val="center"/>
          </w:tcPr>
          <w:p w14:paraId="6AC55574">
            <w:pPr>
              <w:jc w:val="center"/>
              <w:rPr>
                <w:rFonts w:ascii="楷体_GB2312" w:hAnsi="宋体" w:eastAsia="楷体_GB2312" w:cs="宋体"/>
                <w:color w:val="000000"/>
                <w:szCs w:val="21"/>
              </w:rPr>
            </w:pPr>
            <w:r>
              <w:rPr>
                <w:rFonts w:hint="eastAsia" w:ascii="楷体_GB2312" w:eastAsia="楷体_GB2312"/>
                <w:color w:val="000000"/>
                <w:szCs w:val="21"/>
              </w:rPr>
              <w:t>肉蛋街</w:t>
            </w:r>
          </w:p>
        </w:tc>
        <w:tc>
          <w:tcPr>
            <w:tcW w:w="0" w:type="auto"/>
            <w:noWrap w:val="0"/>
            <w:vAlign w:val="center"/>
          </w:tcPr>
          <w:p w14:paraId="0B84C2C2">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3EC4E42">
            <w:pPr>
              <w:jc w:val="center"/>
              <w:rPr>
                <w:color w:val="000000"/>
                <w:szCs w:val="21"/>
              </w:rPr>
            </w:pPr>
            <w:r>
              <w:rPr>
                <w:color w:val="000000"/>
                <w:szCs w:val="21"/>
              </w:rPr>
              <w:t>0.4</w:t>
            </w:r>
          </w:p>
        </w:tc>
        <w:tc>
          <w:tcPr>
            <w:tcW w:w="0" w:type="auto"/>
            <w:noWrap w:val="0"/>
            <w:vAlign w:val="center"/>
          </w:tcPr>
          <w:p w14:paraId="2E75DF1E">
            <w:pPr>
              <w:jc w:val="center"/>
              <w:rPr>
                <w:color w:val="000000"/>
                <w:szCs w:val="21"/>
              </w:rPr>
            </w:pPr>
            <w:r>
              <w:rPr>
                <w:color w:val="000000"/>
                <w:szCs w:val="21"/>
              </w:rPr>
              <w:t>3</w:t>
            </w:r>
          </w:p>
        </w:tc>
        <w:tc>
          <w:tcPr>
            <w:tcW w:w="0" w:type="auto"/>
            <w:noWrap w:val="0"/>
            <w:vAlign w:val="center"/>
          </w:tcPr>
          <w:p w14:paraId="59EAD8E3">
            <w:pPr>
              <w:jc w:val="center"/>
              <w:rPr>
                <w:color w:val="000000"/>
                <w:szCs w:val="21"/>
              </w:rPr>
            </w:pPr>
            <w:r>
              <w:rPr>
                <w:color w:val="000000"/>
                <w:szCs w:val="21"/>
              </w:rPr>
              <w:t>40</w:t>
            </w:r>
          </w:p>
        </w:tc>
        <w:tc>
          <w:tcPr>
            <w:tcW w:w="0" w:type="auto"/>
            <w:noWrap w:val="0"/>
            <w:vAlign w:val="center"/>
          </w:tcPr>
          <w:p w14:paraId="090C0022">
            <w:pPr>
              <w:jc w:val="center"/>
              <w:rPr>
                <w:color w:val="000000"/>
                <w:szCs w:val="21"/>
              </w:rPr>
            </w:pPr>
            <w:r>
              <w:rPr>
                <w:color w:val="000000"/>
                <w:szCs w:val="21"/>
              </w:rPr>
              <w:t>150</w:t>
            </w:r>
          </w:p>
        </w:tc>
      </w:tr>
      <w:tr w14:paraId="758CD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BCA9B90">
            <w:pPr>
              <w:jc w:val="center"/>
              <w:rPr>
                <w:color w:val="000000"/>
                <w:szCs w:val="21"/>
              </w:rPr>
            </w:pPr>
            <w:r>
              <w:rPr>
                <w:color w:val="000000"/>
                <w:szCs w:val="21"/>
              </w:rPr>
              <w:t>20</w:t>
            </w:r>
          </w:p>
        </w:tc>
        <w:tc>
          <w:tcPr>
            <w:tcW w:w="0" w:type="auto"/>
            <w:noWrap w:val="0"/>
            <w:vAlign w:val="center"/>
          </w:tcPr>
          <w:p w14:paraId="1D568F54">
            <w:pPr>
              <w:jc w:val="center"/>
              <w:rPr>
                <w:rFonts w:ascii="楷体_GB2312" w:hAnsi="宋体" w:eastAsia="楷体_GB2312" w:cs="宋体"/>
                <w:color w:val="000000"/>
                <w:szCs w:val="21"/>
              </w:rPr>
            </w:pPr>
            <w:r>
              <w:rPr>
                <w:rFonts w:hint="eastAsia" w:ascii="楷体_GB2312" w:eastAsia="楷体_GB2312"/>
                <w:color w:val="000000"/>
                <w:szCs w:val="21"/>
              </w:rPr>
              <w:t>服装小商品街</w:t>
            </w:r>
          </w:p>
        </w:tc>
        <w:tc>
          <w:tcPr>
            <w:tcW w:w="0" w:type="auto"/>
            <w:noWrap w:val="0"/>
            <w:vAlign w:val="center"/>
          </w:tcPr>
          <w:p w14:paraId="6BFA38C8">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5ED2CC94">
            <w:pPr>
              <w:jc w:val="center"/>
              <w:rPr>
                <w:color w:val="000000"/>
                <w:szCs w:val="21"/>
              </w:rPr>
            </w:pPr>
            <w:r>
              <w:rPr>
                <w:color w:val="000000"/>
                <w:szCs w:val="21"/>
              </w:rPr>
              <w:t>0.4</w:t>
            </w:r>
          </w:p>
        </w:tc>
        <w:tc>
          <w:tcPr>
            <w:tcW w:w="0" w:type="auto"/>
            <w:noWrap w:val="0"/>
            <w:vAlign w:val="center"/>
          </w:tcPr>
          <w:p w14:paraId="2861900E">
            <w:pPr>
              <w:jc w:val="center"/>
              <w:rPr>
                <w:color w:val="000000"/>
                <w:szCs w:val="21"/>
              </w:rPr>
            </w:pPr>
            <w:r>
              <w:rPr>
                <w:color w:val="000000"/>
                <w:szCs w:val="21"/>
              </w:rPr>
              <w:t>3</w:t>
            </w:r>
          </w:p>
        </w:tc>
        <w:tc>
          <w:tcPr>
            <w:tcW w:w="0" w:type="auto"/>
            <w:noWrap w:val="0"/>
            <w:vAlign w:val="center"/>
          </w:tcPr>
          <w:p w14:paraId="7746B44E">
            <w:pPr>
              <w:jc w:val="center"/>
              <w:rPr>
                <w:color w:val="000000"/>
                <w:szCs w:val="21"/>
              </w:rPr>
            </w:pPr>
            <w:r>
              <w:rPr>
                <w:color w:val="000000"/>
                <w:szCs w:val="21"/>
              </w:rPr>
              <w:t>40</w:t>
            </w:r>
          </w:p>
        </w:tc>
        <w:tc>
          <w:tcPr>
            <w:tcW w:w="0" w:type="auto"/>
            <w:noWrap w:val="0"/>
            <w:vAlign w:val="center"/>
          </w:tcPr>
          <w:p w14:paraId="5622FDF6">
            <w:pPr>
              <w:jc w:val="center"/>
              <w:rPr>
                <w:color w:val="000000"/>
                <w:szCs w:val="21"/>
              </w:rPr>
            </w:pPr>
            <w:r>
              <w:rPr>
                <w:color w:val="000000"/>
                <w:szCs w:val="21"/>
              </w:rPr>
              <w:t>150</w:t>
            </w:r>
          </w:p>
        </w:tc>
      </w:tr>
      <w:tr w14:paraId="2B77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57BA05B">
            <w:pPr>
              <w:jc w:val="center"/>
              <w:rPr>
                <w:color w:val="000000"/>
                <w:szCs w:val="21"/>
              </w:rPr>
            </w:pPr>
            <w:r>
              <w:rPr>
                <w:color w:val="000000"/>
                <w:szCs w:val="21"/>
              </w:rPr>
              <w:t>21</w:t>
            </w:r>
          </w:p>
        </w:tc>
        <w:tc>
          <w:tcPr>
            <w:tcW w:w="0" w:type="auto"/>
            <w:noWrap w:val="0"/>
            <w:vAlign w:val="center"/>
          </w:tcPr>
          <w:p w14:paraId="291BC080">
            <w:pPr>
              <w:jc w:val="center"/>
              <w:rPr>
                <w:rFonts w:ascii="楷体_GB2312" w:hAnsi="宋体" w:eastAsia="楷体_GB2312" w:cs="宋体"/>
                <w:color w:val="000000"/>
                <w:szCs w:val="21"/>
              </w:rPr>
            </w:pPr>
            <w:r>
              <w:rPr>
                <w:rFonts w:hint="eastAsia" w:ascii="楷体_GB2312" w:eastAsia="楷体_GB2312"/>
                <w:color w:val="000000"/>
                <w:szCs w:val="21"/>
              </w:rPr>
              <w:t>河东路</w:t>
            </w:r>
          </w:p>
        </w:tc>
        <w:tc>
          <w:tcPr>
            <w:tcW w:w="0" w:type="auto"/>
            <w:noWrap w:val="0"/>
            <w:vAlign w:val="center"/>
          </w:tcPr>
          <w:p w14:paraId="72BF7B1D">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5A624AB2">
            <w:pPr>
              <w:jc w:val="center"/>
              <w:rPr>
                <w:color w:val="000000"/>
                <w:szCs w:val="21"/>
              </w:rPr>
            </w:pPr>
            <w:r>
              <w:rPr>
                <w:color w:val="000000"/>
                <w:szCs w:val="21"/>
              </w:rPr>
              <w:t>0.4</w:t>
            </w:r>
          </w:p>
        </w:tc>
        <w:tc>
          <w:tcPr>
            <w:tcW w:w="0" w:type="auto"/>
            <w:noWrap w:val="0"/>
            <w:vAlign w:val="center"/>
          </w:tcPr>
          <w:p w14:paraId="221FA0AD">
            <w:pPr>
              <w:jc w:val="center"/>
              <w:rPr>
                <w:color w:val="000000"/>
                <w:szCs w:val="21"/>
              </w:rPr>
            </w:pPr>
            <w:r>
              <w:rPr>
                <w:color w:val="000000"/>
                <w:szCs w:val="21"/>
              </w:rPr>
              <w:t>3</w:t>
            </w:r>
          </w:p>
        </w:tc>
        <w:tc>
          <w:tcPr>
            <w:tcW w:w="0" w:type="auto"/>
            <w:noWrap w:val="0"/>
            <w:vAlign w:val="center"/>
          </w:tcPr>
          <w:p w14:paraId="63FCF50B">
            <w:pPr>
              <w:jc w:val="center"/>
              <w:rPr>
                <w:color w:val="000000"/>
                <w:szCs w:val="21"/>
              </w:rPr>
            </w:pPr>
            <w:r>
              <w:rPr>
                <w:color w:val="000000"/>
                <w:szCs w:val="21"/>
              </w:rPr>
              <w:t>40</w:t>
            </w:r>
          </w:p>
        </w:tc>
        <w:tc>
          <w:tcPr>
            <w:tcW w:w="0" w:type="auto"/>
            <w:noWrap w:val="0"/>
            <w:vAlign w:val="center"/>
          </w:tcPr>
          <w:p w14:paraId="65336611">
            <w:pPr>
              <w:jc w:val="center"/>
              <w:rPr>
                <w:color w:val="000000"/>
                <w:szCs w:val="21"/>
              </w:rPr>
            </w:pPr>
            <w:r>
              <w:rPr>
                <w:color w:val="000000"/>
                <w:szCs w:val="21"/>
              </w:rPr>
              <w:t>150</w:t>
            </w:r>
          </w:p>
        </w:tc>
      </w:tr>
      <w:tr w14:paraId="42F3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26754AE">
            <w:pPr>
              <w:jc w:val="center"/>
              <w:rPr>
                <w:color w:val="000000"/>
                <w:szCs w:val="21"/>
              </w:rPr>
            </w:pPr>
            <w:r>
              <w:rPr>
                <w:color w:val="000000"/>
                <w:szCs w:val="21"/>
              </w:rPr>
              <w:t>22</w:t>
            </w:r>
          </w:p>
        </w:tc>
        <w:tc>
          <w:tcPr>
            <w:tcW w:w="0" w:type="auto"/>
            <w:noWrap w:val="0"/>
            <w:vAlign w:val="center"/>
          </w:tcPr>
          <w:p w14:paraId="44BE6FC0">
            <w:pPr>
              <w:jc w:val="center"/>
              <w:rPr>
                <w:rFonts w:ascii="楷体_GB2312" w:hAnsi="宋体" w:eastAsia="楷体_GB2312" w:cs="宋体"/>
                <w:color w:val="000000"/>
                <w:szCs w:val="21"/>
              </w:rPr>
            </w:pPr>
            <w:r>
              <w:rPr>
                <w:rFonts w:hint="eastAsia" w:ascii="楷体_GB2312" w:eastAsia="楷体_GB2312"/>
                <w:color w:val="000000"/>
                <w:szCs w:val="21"/>
              </w:rPr>
              <w:t>八方路</w:t>
            </w:r>
          </w:p>
        </w:tc>
        <w:tc>
          <w:tcPr>
            <w:tcW w:w="0" w:type="auto"/>
            <w:noWrap w:val="0"/>
            <w:vAlign w:val="center"/>
          </w:tcPr>
          <w:p w14:paraId="72FAC01E">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651C7A23">
            <w:pPr>
              <w:jc w:val="center"/>
              <w:rPr>
                <w:color w:val="000000"/>
                <w:szCs w:val="21"/>
              </w:rPr>
            </w:pPr>
            <w:r>
              <w:rPr>
                <w:color w:val="000000"/>
                <w:szCs w:val="21"/>
              </w:rPr>
              <w:t>0.4</w:t>
            </w:r>
          </w:p>
        </w:tc>
        <w:tc>
          <w:tcPr>
            <w:tcW w:w="0" w:type="auto"/>
            <w:noWrap w:val="0"/>
            <w:vAlign w:val="center"/>
          </w:tcPr>
          <w:p w14:paraId="2AE32020">
            <w:pPr>
              <w:jc w:val="center"/>
              <w:rPr>
                <w:color w:val="000000"/>
                <w:szCs w:val="21"/>
              </w:rPr>
            </w:pPr>
            <w:r>
              <w:rPr>
                <w:color w:val="000000"/>
                <w:szCs w:val="21"/>
              </w:rPr>
              <w:t>3</w:t>
            </w:r>
          </w:p>
        </w:tc>
        <w:tc>
          <w:tcPr>
            <w:tcW w:w="0" w:type="auto"/>
            <w:noWrap w:val="0"/>
            <w:vAlign w:val="center"/>
          </w:tcPr>
          <w:p w14:paraId="14F85429">
            <w:pPr>
              <w:jc w:val="center"/>
              <w:rPr>
                <w:color w:val="000000"/>
                <w:szCs w:val="21"/>
              </w:rPr>
            </w:pPr>
            <w:r>
              <w:rPr>
                <w:color w:val="000000"/>
                <w:szCs w:val="21"/>
              </w:rPr>
              <w:t>40</w:t>
            </w:r>
          </w:p>
        </w:tc>
        <w:tc>
          <w:tcPr>
            <w:tcW w:w="0" w:type="auto"/>
            <w:noWrap w:val="0"/>
            <w:vAlign w:val="center"/>
          </w:tcPr>
          <w:p w14:paraId="5F0A8F68">
            <w:pPr>
              <w:jc w:val="center"/>
              <w:rPr>
                <w:color w:val="000000"/>
                <w:szCs w:val="21"/>
              </w:rPr>
            </w:pPr>
            <w:r>
              <w:rPr>
                <w:color w:val="000000"/>
                <w:szCs w:val="21"/>
              </w:rPr>
              <w:t>150</w:t>
            </w:r>
          </w:p>
        </w:tc>
      </w:tr>
      <w:tr w14:paraId="55AA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587B6DB">
            <w:pPr>
              <w:jc w:val="center"/>
              <w:rPr>
                <w:color w:val="000000"/>
                <w:szCs w:val="21"/>
              </w:rPr>
            </w:pPr>
            <w:r>
              <w:rPr>
                <w:color w:val="000000"/>
                <w:szCs w:val="21"/>
              </w:rPr>
              <w:t>23</w:t>
            </w:r>
          </w:p>
        </w:tc>
        <w:tc>
          <w:tcPr>
            <w:tcW w:w="0" w:type="auto"/>
            <w:noWrap w:val="0"/>
            <w:vAlign w:val="center"/>
          </w:tcPr>
          <w:p w14:paraId="79EAE5B6">
            <w:pPr>
              <w:jc w:val="center"/>
              <w:rPr>
                <w:rFonts w:ascii="楷体_GB2312" w:hAnsi="宋体" w:eastAsia="楷体_GB2312" w:cs="宋体"/>
                <w:color w:val="000000"/>
                <w:szCs w:val="21"/>
              </w:rPr>
            </w:pPr>
            <w:r>
              <w:rPr>
                <w:rFonts w:hint="eastAsia" w:ascii="楷体_GB2312" w:eastAsia="楷体_GB2312"/>
                <w:color w:val="000000"/>
                <w:szCs w:val="21"/>
              </w:rPr>
              <w:t>菜市街</w:t>
            </w:r>
          </w:p>
        </w:tc>
        <w:tc>
          <w:tcPr>
            <w:tcW w:w="0" w:type="auto"/>
            <w:noWrap w:val="0"/>
            <w:vAlign w:val="center"/>
          </w:tcPr>
          <w:p w14:paraId="500D23F5">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4DE615C0">
            <w:pPr>
              <w:jc w:val="center"/>
              <w:rPr>
                <w:color w:val="000000"/>
                <w:szCs w:val="21"/>
              </w:rPr>
            </w:pPr>
            <w:r>
              <w:rPr>
                <w:color w:val="000000"/>
                <w:szCs w:val="21"/>
              </w:rPr>
              <w:t>0.4</w:t>
            </w:r>
          </w:p>
        </w:tc>
        <w:tc>
          <w:tcPr>
            <w:tcW w:w="0" w:type="auto"/>
            <w:noWrap w:val="0"/>
            <w:vAlign w:val="center"/>
          </w:tcPr>
          <w:p w14:paraId="3C905AC1">
            <w:pPr>
              <w:jc w:val="center"/>
              <w:rPr>
                <w:color w:val="000000"/>
                <w:szCs w:val="21"/>
              </w:rPr>
            </w:pPr>
            <w:r>
              <w:rPr>
                <w:color w:val="000000"/>
                <w:szCs w:val="21"/>
              </w:rPr>
              <w:t>3</w:t>
            </w:r>
          </w:p>
        </w:tc>
        <w:tc>
          <w:tcPr>
            <w:tcW w:w="0" w:type="auto"/>
            <w:noWrap w:val="0"/>
            <w:vAlign w:val="center"/>
          </w:tcPr>
          <w:p w14:paraId="11AA152E">
            <w:pPr>
              <w:jc w:val="center"/>
              <w:rPr>
                <w:color w:val="000000"/>
                <w:szCs w:val="21"/>
              </w:rPr>
            </w:pPr>
            <w:r>
              <w:rPr>
                <w:color w:val="000000"/>
                <w:szCs w:val="21"/>
              </w:rPr>
              <w:t>40</w:t>
            </w:r>
          </w:p>
        </w:tc>
        <w:tc>
          <w:tcPr>
            <w:tcW w:w="0" w:type="auto"/>
            <w:noWrap w:val="0"/>
            <w:vAlign w:val="center"/>
          </w:tcPr>
          <w:p w14:paraId="3D58E2F4">
            <w:pPr>
              <w:jc w:val="center"/>
              <w:rPr>
                <w:color w:val="000000"/>
                <w:szCs w:val="21"/>
              </w:rPr>
            </w:pPr>
            <w:r>
              <w:rPr>
                <w:color w:val="000000"/>
                <w:szCs w:val="21"/>
              </w:rPr>
              <w:t>150</w:t>
            </w:r>
          </w:p>
        </w:tc>
      </w:tr>
      <w:tr w14:paraId="2729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FDF50B0">
            <w:pPr>
              <w:jc w:val="center"/>
              <w:rPr>
                <w:color w:val="000000"/>
                <w:szCs w:val="21"/>
              </w:rPr>
            </w:pPr>
            <w:r>
              <w:rPr>
                <w:color w:val="000000"/>
                <w:szCs w:val="21"/>
              </w:rPr>
              <w:t>24</w:t>
            </w:r>
          </w:p>
        </w:tc>
        <w:tc>
          <w:tcPr>
            <w:tcW w:w="0" w:type="auto"/>
            <w:noWrap w:val="0"/>
            <w:vAlign w:val="center"/>
          </w:tcPr>
          <w:p w14:paraId="3720BE9E">
            <w:pPr>
              <w:jc w:val="center"/>
              <w:rPr>
                <w:rFonts w:ascii="楷体_GB2312" w:hAnsi="宋体" w:eastAsia="楷体_GB2312" w:cs="宋体"/>
                <w:color w:val="000000"/>
                <w:szCs w:val="21"/>
              </w:rPr>
            </w:pPr>
            <w:r>
              <w:rPr>
                <w:rFonts w:hint="eastAsia" w:ascii="楷体_GB2312" w:eastAsia="楷体_GB2312"/>
                <w:color w:val="000000"/>
                <w:szCs w:val="21"/>
              </w:rPr>
              <w:t>熟食路</w:t>
            </w:r>
          </w:p>
        </w:tc>
        <w:tc>
          <w:tcPr>
            <w:tcW w:w="0" w:type="auto"/>
            <w:noWrap w:val="0"/>
            <w:vAlign w:val="center"/>
          </w:tcPr>
          <w:p w14:paraId="0ED37235">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17858751">
            <w:pPr>
              <w:jc w:val="center"/>
              <w:rPr>
                <w:color w:val="000000"/>
                <w:szCs w:val="21"/>
              </w:rPr>
            </w:pPr>
            <w:r>
              <w:rPr>
                <w:color w:val="000000"/>
                <w:szCs w:val="21"/>
              </w:rPr>
              <w:t>0.4</w:t>
            </w:r>
          </w:p>
        </w:tc>
        <w:tc>
          <w:tcPr>
            <w:tcW w:w="0" w:type="auto"/>
            <w:noWrap w:val="0"/>
            <w:vAlign w:val="center"/>
          </w:tcPr>
          <w:p w14:paraId="1AE59998">
            <w:pPr>
              <w:jc w:val="center"/>
              <w:rPr>
                <w:color w:val="000000"/>
                <w:szCs w:val="21"/>
              </w:rPr>
            </w:pPr>
            <w:r>
              <w:rPr>
                <w:color w:val="000000"/>
                <w:szCs w:val="21"/>
              </w:rPr>
              <w:t>3</w:t>
            </w:r>
          </w:p>
        </w:tc>
        <w:tc>
          <w:tcPr>
            <w:tcW w:w="0" w:type="auto"/>
            <w:noWrap w:val="0"/>
            <w:vAlign w:val="center"/>
          </w:tcPr>
          <w:p w14:paraId="3207A9E9">
            <w:pPr>
              <w:jc w:val="center"/>
              <w:rPr>
                <w:color w:val="000000"/>
                <w:szCs w:val="21"/>
              </w:rPr>
            </w:pPr>
            <w:r>
              <w:rPr>
                <w:color w:val="000000"/>
                <w:szCs w:val="21"/>
              </w:rPr>
              <w:t>40</w:t>
            </w:r>
          </w:p>
        </w:tc>
        <w:tc>
          <w:tcPr>
            <w:tcW w:w="0" w:type="auto"/>
            <w:noWrap w:val="0"/>
            <w:vAlign w:val="center"/>
          </w:tcPr>
          <w:p w14:paraId="26AAECA2">
            <w:pPr>
              <w:jc w:val="center"/>
              <w:rPr>
                <w:color w:val="000000"/>
                <w:szCs w:val="21"/>
              </w:rPr>
            </w:pPr>
            <w:r>
              <w:rPr>
                <w:color w:val="000000"/>
                <w:szCs w:val="21"/>
              </w:rPr>
              <w:t>150</w:t>
            </w:r>
          </w:p>
        </w:tc>
      </w:tr>
      <w:tr w14:paraId="609A4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14F6586">
            <w:pPr>
              <w:jc w:val="center"/>
              <w:rPr>
                <w:color w:val="000000"/>
                <w:szCs w:val="21"/>
              </w:rPr>
            </w:pPr>
            <w:r>
              <w:rPr>
                <w:color w:val="000000"/>
                <w:szCs w:val="21"/>
              </w:rPr>
              <w:t>25</w:t>
            </w:r>
          </w:p>
        </w:tc>
        <w:tc>
          <w:tcPr>
            <w:tcW w:w="0" w:type="auto"/>
            <w:noWrap w:val="0"/>
            <w:vAlign w:val="center"/>
          </w:tcPr>
          <w:p w14:paraId="4023CB50">
            <w:pPr>
              <w:jc w:val="center"/>
              <w:rPr>
                <w:rFonts w:ascii="楷体_GB2312" w:hAnsi="宋体" w:eastAsia="楷体_GB2312" w:cs="宋体"/>
                <w:color w:val="000000"/>
                <w:szCs w:val="21"/>
              </w:rPr>
            </w:pPr>
            <w:r>
              <w:rPr>
                <w:rFonts w:hint="eastAsia" w:ascii="楷体_GB2312" w:eastAsia="楷体_GB2312"/>
                <w:color w:val="000000"/>
                <w:szCs w:val="21"/>
              </w:rPr>
              <w:t>芳草街</w:t>
            </w:r>
          </w:p>
        </w:tc>
        <w:tc>
          <w:tcPr>
            <w:tcW w:w="0" w:type="auto"/>
            <w:noWrap w:val="0"/>
            <w:vAlign w:val="center"/>
          </w:tcPr>
          <w:p w14:paraId="316DC708">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33172EC">
            <w:pPr>
              <w:jc w:val="center"/>
              <w:rPr>
                <w:color w:val="000000"/>
                <w:szCs w:val="21"/>
              </w:rPr>
            </w:pPr>
            <w:r>
              <w:rPr>
                <w:color w:val="000000"/>
                <w:szCs w:val="21"/>
              </w:rPr>
              <w:t>0.4</w:t>
            </w:r>
          </w:p>
        </w:tc>
        <w:tc>
          <w:tcPr>
            <w:tcW w:w="0" w:type="auto"/>
            <w:noWrap w:val="0"/>
            <w:vAlign w:val="center"/>
          </w:tcPr>
          <w:p w14:paraId="2BA701DA">
            <w:pPr>
              <w:jc w:val="center"/>
              <w:rPr>
                <w:color w:val="000000"/>
                <w:szCs w:val="21"/>
              </w:rPr>
            </w:pPr>
            <w:r>
              <w:rPr>
                <w:color w:val="000000"/>
                <w:szCs w:val="21"/>
              </w:rPr>
              <w:t>3</w:t>
            </w:r>
          </w:p>
        </w:tc>
        <w:tc>
          <w:tcPr>
            <w:tcW w:w="0" w:type="auto"/>
            <w:noWrap w:val="0"/>
            <w:vAlign w:val="center"/>
          </w:tcPr>
          <w:p w14:paraId="64B0F0F3">
            <w:pPr>
              <w:jc w:val="center"/>
              <w:rPr>
                <w:color w:val="000000"/>
                <w:szCs w:val="21"/>
              </w:rPr>
            </w:pPr>
            <w:r>
              <w:rPr>
                <w:color w:val="000000"/>
                <w:szCs w:val="21"/>
              </w:rPr>
              <w:t>40</w:t>
            </w:r>
          </w:p>
        </w:tc>
        <w:tc>
          <w:tcPr>
            <w:tcW w:w="0" w:type="auto"/>
            <w:noWrap w:val="0"/>
            <w:vAlign w:val="center"/>
          </w:tcPr>
          <w:p w14:paraId="093B3499">
            <w:pPr>
              <w:jc w:val="center"/>
              <w:rPr>
                <w:color w:val="000000"/>
                <w:szCs w:val="21"/>
              </w:rPr>
            </w:pPr>
            <w:r>
              <w:rPr>
                <w:color w:val="000000"/>
                <w:szCs w:val="21"/>
              </w:rPr>
              <w:t>150</w:t>
            </w:r>
          </w:p>
        </w:tc>
      </w:tr>
      <w:tr w14:paraId="397B4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1897723">
            <w:pPr>
              <w:jc w:val="center"/>
              <w:rPr>
                <w:color w:val="000000"/>
                <w:szCs w:val="21"/>
              </w:rPr>
            </w:pPr>
            <w:r>
              <w:rPr>
                <w:color w:val="000000"/>
                <w:szCs w:val="21"/>
              </w:rPr>
              <w:t>26</w:t>
            </w:r>
          </w:p>
        </w:tc>
        <w:tc>
          <w:tcPr>
            <w:tcW w:w="0" w:type="auto"/>
            <w:noWrap w:val="0"/>
            <w:vAlign w:val="center"/>
          </w:tcPr>
          <w:p w14:paraId="621BAA79">
            <w:pPr>
              <w:jc w:val="center"/>
              <w:rPr>
                <w:rFonts w:ascii="楷体_GB2312" w:hAnsi="宋体" w:eastAsia="楷体_GB2312" w:cs="宋体"/>
                <w:color w:val="000000"/>
                <w:szCs w:val="21"/>
              </w:rPr>
            </w:pPr>
            <w:r>
              <w:rPr>
                <w:rFonts w:hint="eastAsia" w:ascii="楷体_GB2312" w:eastAsia="楷体_GB2312"/>
                <w:color w:val="000000"/>
                <w:szCs w:val="21"/>
              </w:rPr>
              <w:t>盛安路</w:t>
            </w:r>
          </w:p>
        </w:tc>
        <w:tc>
          <w:tcPr>
            <w:tcW w:w="0" w:type="auto"/>
            <w:noWrap w:val="0"/>
            <w:vAlign w:val="center"/>
          </w:tcPr>
          <w:p w14:paraId="6B54D651">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EEA7CF9">
            <w:pPr>
              <w:jc w:val="center"/>
              <w:rPr>
                <w:color w:val="000000"/>
                <w:szCs w:val="21"/>
              </w:rPr>
            </w:pPr>
            <w:r>
              <w:rPr>
                <w:color w:val="000000"/>
                <w:szCs w:val="21"/>
              </w:rPr>
              <w:t>0.4</w:t>
            </w:r>
          </w:p>
        </w:tc>
        <w:tc>
          <w:tcPr>
            <w:tcW w:w="0" w:type="auto"/>
            <w:noWrap w:val="0"/>
            <w:vAlign w:val="center"/>
          </w:tcPr>
          <w:p w14:paraId="16226705">
            <w:pPr>
              <w:jc w:val="center"/>
              <w:rPr>
                <w:color w:val="000000"/>
                <w:szCs w:val="21"/>
              </w:rPr>
            </w:pPr>
            <w:r>
              <w:rPr>
                <w:color w:val="000000"/>
                <w:szCs w:val="21"/>
              </w:rPr>
              <w:t>3</w:t>
            </w:r>
          </w:p>
        </w:tc>
        <w:tc>
          <w:tcPr>
            <w:tcW w:w="0" w:type="auto"/>
            <w:noWrap w:val="0"/>
            <w:vAlign w:val="center"/>
          </w:tcPr>
          <w:p w14:paraId="54FA0098">
            <w:pPr>
              <w:jc w:val="center"/>
              <w:rPr>
                <w:color w:val="000000"/>
                <w:szCs w:val="21"/>
              </w:rPr>
            </w:pPr>
            <w:r>
              <w:rPr>
                <w:color w:val="000000"/>
                <w:szCs w:val="21"/>
              </w:rPr>
              <w:t>40</w:t>
            </w:r>
          </w:p>
        </w:tc>
        <w:tc>
          <w:tcPr>
            <w:tcW w:w="0" w:type="auto"/>
            <w:noWrap w:val="0"/>
            <w:vAlign w:val="center"/>
          </w:tcPr>
          <w:p w14:paraId="735B51A6">
            <w:pPr>
              <w:jc w:val="center"/>
              <w:rPr>
                <w:color w:val="000000"/>
                <w:szCs w:val="21"/>
              </w:rPr>
            </w:pPr>
            <w:r>
              <w:rPr>
                <w:color w:val="000000"/>
                <w:szCs w:val="21"/>
              </w:rPr>
              <w:t>150</w:t>
            </w:r>
          </w:p>
        </w:tc>
      </w:tr>
      <w:tr w14:paraId="7C09F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51A2D92">
            <w:pPr>
              <w:jc w:val="center"/>
              <w:rPr>
                <w:color w:val="000000"/>
                <w:szCs w:val="21"/>
              </w:rPr>
            </w:pPr>
            <w:r>
              <w:rPr>
                <w:color w:val="000000"/>
                <w:szCs w:val="21"/>
              </w:rPr>
              <w:t>27</w:t>
            </w:r>
          </w:p>
        </w:tc>
        <w:tc>
          <w:tcPr>
            <w:tcW w:w="0" w:type="auto"/>
            <w:noWrap w:val="0"/>
            <w:vAlign w:val="center"/>
          </w:tcPr>
          <w:p w14:paraId="70754A49">
            <w:pPr>
              <w:jc w:val="center"/>
              <w:rPr>
                <w:rFonts w:ascii="楷体_GB2312" w:hAnsi="宋体" w:eastAsia="楷体_GB2312" w:cs="宋体"/>
                <w:color w:val="000000"/>
                <w:szCs w:val="21"/>
              </w:rPr>
            </w:pPr>
            <w:r>
              <w:rPr>
                <w:rFonts w:hint="eastAsia" w:ascii="楷体_GB2312" w:eastAsia="楷体_GB2312"/>
                <w:color w:val="000000"/>
                <w:szCs w:val="21"/>
              </w:rPr>
              <w:t>育才路</w:t>
            </w:r>
          </w:p>
        </w:tc>
        <w:tc>
          <w:tcPr>
            <w:tcW w:w="0" w:type="auto"/>
            <w:noWrap w:val="0"/>
            <w:vAlign w:val="center"/>
          </w:tcPr>
          <w:p w14:paraId="7416423A">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29E7DC17">
            <w:pPr>
              <w:jc w:val="center"/>
              <w:rPr>
                <w:color w:val="000000"/>
                <w:szCs w:val="21"/>
              </w:rPr>
            </w:pPr>
            <w:r>
              <w:rPr>
                <w:color w:val="000000"/>
                <w:szCs w:val="21"/>
              </w:rPr>
              <w:t>0.4</w:t>
            </w:r>
          </w:p>
        </w:tc>
        <w:tc>
          <w:tcPr>
            <w:tcW w:w="0" w:type="auto"/>
            <w:noWrap w:val="0"/>
            <w:vAlign w:val="center"/>
          </w:tcPr>
          <w:p w14:paraId="29ACA41E">
            <w:pPr>
              <w:jc w:val="center"/>
              <w:rPr>
                <w:color w:val="000000"/>
                <w:szCs w:val="21"/>
              </w:rPr>
            </w:pPr>
            <w:r>
              <w:rPr>
                <w:color w:val="000000"/>
                <w:szCs w:val="21"/>
              </w:rPr>
              <w:t>3</w:t>
            </w:r>
          </w:p>
        </w:tc>
        <w:tc>
          <w:tcPr>
            <w:tcW w:w="0" w:type="auto"/>
            <w:noWrap w:val="0"/>
            <w:vAlign w:val="center"/>
          </w:tcPr>
          <w:p w14:paraId="5E470862">
            <w:pPr>
              <w:jc w:val="center"/>
              <w:rPr>
                <w:color w:val="000000"/>
                <w:szCs w:val="21"/>
              </w:rPr>
            </w:pPr>
            <w:r>
              <w:rPr>
                <w:color w:val="000000"/>
                <w:szCs w:val="21"/>
              </w:rPr>
              <w:t>40</w:t>
            </w:r>
          </w:p>
        </w:tc>
        <w:tc>
          <w:tcPr>
            <w:tcW w:w="0" w:type="auto"/>
            <w:noWrap w:val="0"/>
            <w:vAlign w:val="center"/>
          </w:tcPr>
          <w:p w14:paraId="48108357">
            <w:pPr>
              <w:jc w:val="center"/>
              <w:rPr>
                <w:color w:val="000000"/>
                <w:szCs w:val="21"/>
              </w:rPr>
            </w:pPr>
            <w:r>
              <w:rPr>
                <w:color w:val="000000"/>
                <w:szCs w:val="21"/>
              </w:rPr>
              <w:t>150</w:t>
            </w:r>
          </w:p>
        </w:tc>
      </w:tr>
    </w:tbl>
    <w:p w14:paraId="32786612">
      <w:pPr>
        <w:jc w:val="center"/>
        <w:rPr>
          <w:rFonts w:eastAsia="黑体"/>
          <w:sz w:val="28"/>
        </w:rPr>
      </w:pPr>
      <w:r>
        <w:rPr>
          <w:rFonts w:eastAsia="黑体"/>
          <w:sz w:val="28"/>
        </w:rPr>
        <w:t>表1-3-</w:t>
      </w:r>
      <w:r>
        <w:rPr>
          <w:rFonts w:hint="eastAsia" w:eastAsia="黑体"/>
          <w:sz w:val="28"/>
        </w:rPr>
        <w:t>2</w:t>
      </w:r>
      <w:r>
        <w:rPr>
          <w:rFonts w:eastAsia="黑体"/>
          <w:sz w:val="28"/>
        </w:rPr>
        <w:t xml:space="preserve">3  </w:t>
      </w:r>
      <w:r>
        <w:rPr>
          <w:rFonts w:hint="eastAsia" w:eastAsia="黑体"/>
          <w:sz w:val="28"/>
        </w:rPr>
        <w:t>大泽乡镇</w:t>
      </w:r>
      <w:r>
        <w:rPr>
          <w:rFonts w:eastAsia="黑体"/>
          <w:sz w:val="28"/>
        </w:rPr>
        <w:t>镇区道路状况及其功能分及影响距离表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460"/>
        <w:gridCol w:w="1460"/>
        <w:gridCol w:w="1460"/>
        <w:gridCol w:w="879"/>
        <w:gridCol w:w="1170"/>
        <w:gridCol w:w="1460"/>
      </w:tblGrid>
      <w:tr w14:paraId="71B1E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83" w:type="dxa"/>
            <w:noWrap w:val="0"/>
            <w:vAlign w:val="center"/>
          </w:tcPr>
          <w:p w14:paraId="68C856C7">
            <w:pPr>
              <w:jc w:val="center"/>
              <w:rPr>
                <w:rFonts w:eastAsia="楷体_GB2312"/>
              </w:rPr>
            </w:pPr>
            <w:r>
              <w:rPr>
                <w:rFonts w:eastAsia="楷体_GB2312"/>
              </w:rPr>
              <w:t>道路编号</w:t>
            </w:r>
          </w:p>
        </w:tc>
        <w:tc>
          <w:tcPr>
            <w:tcW w:w="0" w:type="auto"/>
            <w:noWrap w:val="0"/>
            <w:vAlign w:val="center"/>
          </w:tcPr>
          <w:p w14:paraId="71139090">
            <w:pPr>
              <w:jc w:val="center"/>
              <w:rPr>
                <w:rFonts w:eastAsia="楷体_GB2312"/>
              </w:rPr>
            </w:pPr>
            <w:r>
              <w:rPr>
                <w:rFonts w:eastAsia="楷体_GB2312"/>
              </w:rPr>
              <w:t>道路名称</w:t>
            </w:r>
          </w:p>
        </w:tc>
        <w:tc>
          <w:tcPr>
            <w:tcW w:w="0" w:type="auto"/>
            <w:noWrap w:val="0"/>
            <w:vAlign w:val="center"/>
          </w:tcPr>
          <w:p w14:paraId="50AFE278">
            <w:pPr>
              <w:jc w:val="center"/>
              <w:rPr>
                <w:rFonts w:eastAsia="楷体_GB2312"/>
              </w:rPr>
            </w:pPr>
            <w:r>
              <w:rPr>
                <w:rFonts w:eastAsia="楷体_GB2312"/>
              </w:rPr>
              <w:t>道路类型</w:t>
            </w:r>
          </w:p>
        </w:tc>
        <w:tc>
          <w:tcPr>
            <w:tcW w:w="0" w:type="auto"/>
            <w:noWrap w:val="0"/>
            <w:vAlign w:val="center"/>
          </w:tcPr>
          <w:p w14:paraId="28208A53">
            <w:pPr>
              <w:jc w:val="center"/>
              <w:rPr>
                <w:rFonts w:eastAsia="楷体_GB2312"/>
              </w:rPr>
            </w:pPr>
            <w:r>
              <w:rPr>
                <w:rFonts w:eastAsia="楷体_GB2312"/>
              </w:rPr>
              <w:t>作用指数</w:t>
            </w:r>
          </w:p>
        </w:tc>
        <w:tc>
          <w:tcPr>
            <w:tcW w:w="0" w:type="auto"/>
            <w:noWrap w:val="0"/>
            <w:vAlign w:val="center"/>
          </w:tcPr>
          <w:p w14:paraId="0831C028">
            <w:pPr>
              <w:jc w:val="center"/>
              <w:rPr>
                <w:rFonts w:eastAsia="楷体_GB2312"/>
              </w:rPr>
            </w:pPr>
            <w:r>
              <w:rPr>
                <w:rFonts w:eastAsia="楷体_GB2312"/>
              </w:rPr>
              <w:t>级别</w:t>
            </w:r>
          </w:p>
        </w:tc>
        <w:tc>
          <w:tcPr>
            <w:tcW w:w="0" w:type="auto"/>
            <w:noWrap w:val="0"/>
            <w:vAlign w:val="center"/>
          </w:tcPr>
          <w:p w14:paraId="0CB32D41">
            <w:pPr>
              <w:jc w:val="center"/>
              <w:rPr>
                <w:rFonts w:eastAsia="楷体_GB2312"/>
              </w:rPr>
            </w:pPr>
            <w:r>
              <w:rPr>
                <w:rFonts w:eastAsia="楷体_GB2312"/>
              </w:rPr>
              <w:t>功能分</w:t>
            </w:r>
          </w:p>
        </w:tc>
        <w:tc>
          <w:tcPr>
            <w:tcW w:w="0" w:type="auto"/>
            <w:noWrap w:val="0"/>
            <w:vAlign w:val="center"/>
          </w:tcPr>
          <w:p w14:paraId="5821216E">
            <w:pPr>
              <w:jc w:val="center"/>
              <w:rPr>
                <w:rFonts w:eastAsia="楷体_GB2312"/>
              </w:rPr>
            </w:pPr>
            <w:r>
              <w:rPr>
                <w:rFonts w:eastAsia="楷体_GB2312"/>
              </w:rPr>
              <w:t>影响半径</w:t>
            </w:r>
          </w:p>
        </w:tc>
      </w:tr>
      <w:tr w14:paraId="17640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EF1F699">
            <w:pPr>
              <w:jc w:val="center"/>
              <w:rPr>
                <w:color w:val="000000"/>
                <w:szCs w:val="21"/>
              </w:rPr>
            </w:pPr>
            <w:r>
              <w:rPr>
                <w:rFonts w:hint="eastAsia"/>
                <w:color w:val="000000"/>
                <w:szCs w:val="21"/>
              </w:rPr>
              <w:t>0</w:t>
            </w:r>
            <w:r>
              <w:rPr>
                <w:color w:val="000000"/>
                <w:szCs w:val="21"/>
              </w:rPr>
              <w:t>1</w:t>
            </w:r>
          </w:p>
        </w:tc>
        <w:tc>
          <w:tcPr>
            <w:tcW w:w="0" w:type="auto"/>
            <w:noWrap w:val="0"/>
            <w:vAlign w:val="center"/>
          </w:tcPr>
          <w:p w14:paraId="3615F635">
            <w:pPr>
              <w:jc w:val="center"/>
              <w:rPr>
                <w:rFonts w:eastAsia="楷体_GB2312"/>
              </w:rPr>
            </w:pPr>
            <w:r>
              <w:rPr>
                <w:rFonts w:eastAsia="楷体_GB2312"/>
              </w:rPr>
              <w:t>南二环路</w:t>
            </w:r>
          </w:p>
        </w:tc>
        <w:tc>
          <w:tcPr>
            <w:tcW w:w="0" w:type="auto"/>
            <w:noWrap w:val="0"/>
            <w:vAlign w:val="center"/>
          </w:tcPr>
          <w:p w14:paraId="2F21BEAD">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302ACE51">
            <w:pPr>
              <w:jc w:val="center"/>
              <w:rPr>
                <w:color w:val="000000"/>
                <w:szCs w:val="21"/>
              </w:rPr>
            </w:pPr>
            <w:r>
              <w:rPr>
                <w:color w:val="000000"/>
                <w:szCs w:val="21"/>
              </w:rPr>
              <w:t>1</w:t>
            </w:r>
          </w:p>
        </w:tc>
        <w:tc>
          <w:tcPr>
            <w:tcW w:w="0" w:type="auto"/>
            <w:noWrap w:val="0"/>
            <w:vAlign w:val="center"/>
          </w:tcPr>
          <w:p w14:paraId="19E99545">
            <w:pPr>
              <w:jc w:val="center"/>
              <w:rPr>
                <w:color w:val="000000"/>
                <w:szCs w:val="21"/>
              </w:rPr>
            </w:pPr>
            <w:r>
              <w:rPr>
                <w:color w:val="000000"/>
                <w:szCs w:val="21"/>
              </w:rPr>
              <w:t>1</w:t>
            </w:r>
          </w:p>
        </w:tc>
        <w:tc>
          <w:tcPr>
            <w:tcW w:w="0" w:type="auto"/>
            <w:noWrap w:val="0"/>
            <w:vAlign w:val="center"/>
          </w:tcPr>
          <w:p w14:paraId="2ADBC50D">
            <w:pPr>
              <w:jc w:val="center"/>
              <w:rPr>
                <w:color w:val="000000"/>
                <w:szCs w:val="21"/>
              </w:rPr>
            </w:pPr>
            <w:r>
              <w:rPr>
                <w:color w:val="000000"/>
                <w:szCs w:val="21"/>
              </w:rPr>
              <w:t>100</w:t>
            </w:r>
          </w:p>
        </w:tc>
        <w:tc>
          <w:tcPr>
            <w:tcW w:w="0" w:type="auto"/>
            <w:noWrap w:val="0"/>
            <w:vAlign w:val="center"/>
          </w:tcPr>
          <w:p w14:paraId="4B6F8CC2">
            <w:pPr>
              <w:jc w:val="center"/>
              <w:rPr>
                <w:color w:val="000000"/>
                <w:szCs w:val="21"/>
              </w:rPr>
            </w:pPr>
            <w:r>
              <w:rPr>
                <w:color w:val="000000"/>
                <w:szCs w:val="21"/>
              </w:rPr>
              <w:t>260</w:t>
            </w:r>
          </w:p>
        </w:tc>
      </w:tr>
      <w:tr w14:paraId="610C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2EEC89B">
            <w:pPr>
              <w:jc w:val="center"/>
              <w:rPr>
                <w:color w:val="000000"/>
                <w:szCs w:val="21"/>
              </w:rPr>
            </w:pPr>
            <w:r>
              <w:rPr>
                <w:rFonts w:hint="eastAsia"/>
                <w:color w:val="000000"/>
                <w:szCs w:val="21"/>
              </w:rPr>
              <w:t>0</w:t>
            </w:r>
            <w:r>
              <w:rPr>
                <w:color w:val="000000"/>
                <w:szCs w:val="21"/>
              </w:rPr>
              <w:t>2</w:t>
            </w:r>
          </w:p>
        </w:tc>
        <w:tc>
          <w:tcPr>
            <w:tcW w:w="0" w:type="auto"/>
            <w:noWrap w:val="0"/>
            <w:vAlign w:val="center"/>
          </w:tcPr>
          <w:p w14:paraId="1A6062FB">
            <w:pPr>
              <w:jc w:val="center"/>
              <w:rPr>
                <w:rFonts w:eastAsia="楷体_GB2312"/>
              </w:rPr>
            </w:pPr>
            <w:r>
              <w:rPr>
                <w:rFonts w:eastAsia="楷体_GB2312"/>
              </w:rPr>
              <w:t>西桃路</w:t>
            </w:r>
          </w:p>
        </w:tc>
        <w:tc>
          <w:tcPr>
            <w:tcW w:w="0" w:type="auto"/>
            <w:noWrap w:val="0"/>
            <w:vAlign w:val="center"/>
          </w:tcPr>
          <w:p w14:paraId="1D46409A">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3C9D0E4E">
            <w:pPr>
              <w:jc w:val="center"/>
              <w:rPr>
                <w:color w:val="000000"/>
                <w:szCs w:val="21"/>
              </w:rPr>
            </w:pPr>
            <w:r>
              <w:rPr>
                <w:color w:val="000000"/>
                <w:szCs w:val="21"/>
              </w:rPr>
              <w:t>1</w:t>
            </w:r>
          </w:p>
        </w:tc>
        <w:tc>
          <w:tcPr>
            <w:tcW w:w="0" w:type="auto"/>
            <w:noWrap w:val="0"/>
            <w:vAlign w:val="center"/>
          </w:tcPr>
          <w:p w14:paraId="13E18730">
            <w:pPr>
              <w:jc w:val="center"/>
              <w:rPr>
                <w:color w:val="000000"/>
                <w:szCs w:val="21"/>
              </w:rPr>
            </w:pPr>
            <w:r>
              <w:rPr>
                <w:color w:val="000000"/>
                <w:szCs w:val="21"/>
              </w:rPr>
              <w:t>1</w:t>
            </w:r>
          </w:p>
        </w:tc>
        <w:tc>
          <w:tcPr>
            <w:tcW w:w="0" w:type="auto"/>
            <w:noWrap w:val="0"/>
            <w:vAlign w:val="center"/>
          </w:tcPr>
          <w:p w14:paraId="6173CC9B">
            <w:pPr>
              <w:jc w:val="center"/>
              <w:rPr>
                <w:color w:val="000000"/>
                <w:szCs w:val="21"/>
              </w:rPr>
            </w:pPr>
            <w:r>
              <w:rPr>
                <w:color w:val="000000"/>
                <w:szCs w:val="21"/>
              </w:rPr>
              <w:t>100</w:t>
            </w:r>
          </w:p>
        </w:tc>
        <w:tc>
          <w:tcPr>
            <w:tcW w:w="0" w:type="auto"/>
            <w:noWrap w:val="0"/>
            <w:vAlign w:val="center"/>
          </w:tcPr>
          <w:p w14:paraId="55238A20">
            <w:pPr>
              <w:jc w:val="center"/>
              <w:rPr>
                <w:color w:val="000000"/>
                <w:szCs w:val="21"/>
              </w:rPr>
            </w:pPr>
            <w:r>
              <w:rPr>
                <w:color w:val="000000"/>
                <w:szCs w:val="21"/>
              </w:rPr>
              <w:t>260</w:t>
            </w:r>
          </w:p>
        </w:tc>
      </w:tr>
      <w:tr w14:paraId="6436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4A6A15E">
            <w:pPr>
              <w:jc w:val="center"/>
              <w:rPr>
                <w:color w:val="000000"/>
                <w:szCs w:val="21"/>
              </w:rPr>
            </w:pPr>
            <w:r>
              <w:rPr>
                <w:rFonts w:hint="eastAsia"/>
                <w:color w:val="000000"/>
                <w:szCs w:val="21"/>
              </w:rPr>
              <w:t>0</w:t>
            </w:r>
            <w:r>
              <w:rPr>
                <w:color w:val="000000"/>
                <w:szCs w:val="21"/>
              </w:rPr>
              <w:t>3</w:t>
            </w:r>
          </w:p>
        </w:tc>
        <w:tc>
          <w:tcPr>
            <w:tcW w:w="0" w:type="auto"/>
            <w:noWrap w:val="0"/>
            <w:vAlign w:val="center"/>
          </w:tcPr>
          <w:p w14:paraId="51E60232">
            <w:pPr>
              <w:jc w:val="center"/>
              <w:rPr>
                <w:rFonts w:eastAsia="楷体_GB2312"/>
              </w:rPr>
            </w:pPr>
            <w:r>
              <w:rPr>
                <w:rFonts w:eastAsia="楷体_GB2312"/>
              </w:rPr>
              <w:t>中心街</w:t>
            </w:r>
          </w:p>
        </w:tc>
        <w:tc>
          <w:tcPr>
            <w:tcW w:w="0" w:type="auto"/>
            <w:noWrap w:val="0"/>
            <w:vAlign w:val="center"/>
          </w:tcPr>
          <w:p w14:paraId="444AA579">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5A543F74">
            <w:pPr>
              <w:jc w:val="center"/>
              <w:rPr>
                <w:color w:val="000000"/>
                <w:szCs w:val="21"/>
              </w:rPr>
            </w:pPr>
            <w:r>
              <w:rPr>
                <w:color w:val="000000"/>
                <w:szCs w:val="21"/>
              </w:rPr>
              <w:t>1</w:t>
            </w:r>
          </w:p>
        </w:tc>
        <w:tc>
          <w:tcPr>
            <w:tcW w:w="0" w:type="auto"/>
            <w:noWrap w:val="0"/>
            <w:vAlign w:val="center"/>
          </w:tcPr>
          <w:p w14:paraId="433DEE14">
            <w:pPr>
              <w:jc w:val="center"/>
              <w:rPr>
                <w:color w:val="000000"/>
                <w:szCs w:val="21"/>
              </w:rPr>
            </w:pPr>
            <w:r>
              <w:rPr>
                <w:color w:val="000000"/>
                <w:szCs w:val="21"/>
              </w:rPr>
              <w:t>1</w:t>
            </w:r>
          </w:p>
        </w:tc>
        <w:tc>
          <w:tcPr>
            <w:tcW w:w="0" w:type="auto"/>
            <w:noWrap w:val="0"/>
            <w:vAlign w:val="center"/>
          </w:tcPr>
          <w:p w14:paraId="39D8D6A4">
            <w:pPr>
              <w:jc w:val="center"/>
              <w:rPr>
                <w:color w:val="000000"/>
                <w:szCs w:val="21"/>
              </w:rPr>
            </w:pPr>
            <w:r>
              <w:rPr>
                <w:color w:val="000000"/>
                <w:szCs w:val="21"/>
              </w:rPr>
              <w:t>100</w:t>
            </w:r>
          </w:p>
        </w:tc>
        <w:tc>
          <w:tcPr>
            <w:tcW w:w="0" w:type="auto"/>
            <w:noWrap w:val="0"/>
            <w:vAlign w:val="center"/>
          </w:tcPr>
          <w:p w14:paraId="09C33D17">
            <w:pPr>
              <w:jc w:val="center"/>
              <w:rPr>
                <w:color w:val="000000"/>
                <w:szCs w:val="21"/>
              </w:rPr>
            </w:pPr>
            <w:r>
              <w:rPr>
                <w:color w:val="000000"/>
                <w:szCs w:val="21"/>
              </w:rPr>
              <w:t>260</w:t>
            </w:r>
          </w:p>
        </w:tc>
      </w:tr>
      <w:tr w14:paraId="54F98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D851984">
            <w:pPr>
              <w:jc w:val="center"/>
              <w:rPr>
                <w:color w:val="000000"/>
                <w:szCs w:val="21"/>
              </w:rPr>
            </w:pPr>
            <w:r>
              <w:rPr>
                <w:rFonts w:hint="eastAsia"/>
                <w:color w:val="000000"/>
                <w:szCs w:val="21"/>
              </w:rPr>
              <w:t>0</w:t>
            </w:r>
            <w:r>
              <w:rPr>
                <w:color w:val="000000"/>
                <w:szCs w:val="21"/>
              </w:rPr>
              <w:t>4</w:t>
            </w:r>
          </w:p>
        </w:tc>
        <w:tc>
          <w:tcPr>
            <w:tcW w:w="0" w:type="auto"/>
            <w:noWrap w:val="0"/>
            <w:vAlign w:val="center"/>
          </w:tcPr>
          <w:p w14:paraId="5FA132DA">
            <w:pPr>
              <w:jc w:val="center"/>
              <w:rPr>
                <w:rFonts w:eastAsia="楷体_GB2312"/>
              </w:rPr>
            </w:pPr>
            <w:r>
              <w:rPr>
                <w:rFonts w:eastAsia="楷体_GB2312"/>
              </w:rPr>
              <w:t>平阳路</w:t>
            </w:r>
          </w:p>
        </w:tc>
        <w:tc>
          <w:tcPr>
            <w:tcW w:w="0" w:type="auto"/>
            <w:noWrap w:val="0"/>
            <w:vAlign w:val="center"/>
          </w:tcPr>
          <w:p w14:paraId="5E87CE8E">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29231465">
            <w:pPr>
              <w:jc w:val="center"/>
              <w:rPr>
                <w:color w:val="000000"/>
                <w:szCs w:val="21"/>
              </w:rPr>
            </w:pPr>
            <w:r>
              <w:rPr>
                <w:color w:val="000000"/>
                <w:szCs w:val="21"/>
              </w:rPr>
              <w:t>1</w:t>
            </w:r>
          </w:p>
        </w:tc>
        <w:tc>
          <w:tcPr>
            <w:tcW w:w="0" w:type="auto"/>
            <w:noWrap w:val="0"/>
            <w:vAlign w:val="center"/>
          </w:tcPr>
          <w:p w14:paraId="670CB080">
            <w:pPr>
              <w:jc w:val="center"/>
              <w:rPr>
                <w:color w:val="000000"/>
                <w:szCs w:val="21"/>
              </w:rPr>
            </w:pPr>
            <w:r>
              <w:rPr>
                <w:color w:val="000000"/>
                <w:szCs w:val="21"/>
              </w:rPr>
              <w:t>1</w:t>
            </w:r>
          </w:p>
        </w:tc>
        <w:tc>
          <w:tcPr>
            <w:tcW w:w="0" w:type="auto"/>
            <w:noWrap w:val="0"/>
            <w:vAlign w:val="center"/>
          </w:tcPr>
          <w:p w14:paraId="30EC20A9">
            <w:pPr>
              <w:jc w:val="center"/>
              <w:rPr>
                <w:color w:val="000000"/>
                <w:szCs w:val="21"/>
              </w:rPr>
            </w:pPr>
            <w:r>
              <w:rPr>
                <w:color w:val="000000"/>
                <w:szCs w:val="21"/>
              </w:rPr>
              <w:t>100</w:t>
            </w:r>
          </w:p>
        </w:tc>
        <w:tc>
          <w:tcPr>
            <w:tcW w:w="0" w:type="auto"/>
            <w:noWrap w:val="0"/>
            <w:vAlign w:val="center"/>
          </w:tcPr>
          <w:p w14:paraId="250E9306">
            <w:pPr>
              <w:jc w:val="center"/>
              <w:rPr>
                <w:color w:val="000000"/>
                <w:szCs w:val="21"/>
              </w:rPr>
            </w:pPr>
            <w:r>
              <w:rPr>
                <w:color w:val="000000"/>
                <w:szCs w:val="21"/>
              </w:rPr>
              <w:t>260</w:t>
            </w:r>
          </w:p>
        </w:tc>
      </w:tr>
      <w:tr w14:paraId="751F5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9D37690">
            <w:pPr>
              <w:jc w:val="center"/>
              <w:rPr>
                <w:color w:val="000000"/>
                <w:szCs w:val="21"/>
              </w:rPr>
            </w:pPr>
            <w:r>
              <w:rPr>
                <w:rFonts w:hint="eastAsia"/>
                <w:color w:val="000000"/>
                <w:szCs w:val="21"/>
              </w:rPr>
              <w:t>0</w:t>
            </w:r>
            <w:r>
              <w:rPr>
                <w:color w:val="000000"/>
                <w:szCs w:val="21"/>
              </w:rPr>
              <w:t>5</w:t>
            </w:r>
          </w:p>
        </w:tc>
        <w:tc>
          <w:tcPr>
            <w:tcW w:w="0" w:type="auto"/>
            <w:noWrap w:val="0"/>
            <w:vAlign w:val="center"/>
          </w:tcPr>
          <w:p w14:paraId="0B0F27A0">
            <w:pPr>
              <w:jc w:val="center"/>
              <w:rPr>
                <w:rFonts w:eastAsia="楷体_GB2312"/>
              </w:rPr>
            </w:pPr>
            <w:r>
              <w:rPr>
                <w:rFonts w:eastAsia="楷体_GB2312"/>
              </w:rPr>
              <w:t>富民路</w:t>
            </w:r>
          </w:p>
        </w:tc>
        <w:tc>
          <w:tcPr>
            <w:tcW w:w="0" w:type="auto"/>
            <w:noWrap w:val="0"/>
            <w:vAlign w:val="center"/>
          </w:tcPr>
          <w:p w14:paraId="6AB68D4D">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5CF6C6F0">
            <w:pPr>
              <w:jc w:val="center"/>
              <w:rPr>
                <w:color w:val="000000"/>
                <w:szCs w:val="21"/>
              </w:rPr>
            </w:pPr>
            <w:r>
              <w:rPr>
                <w:color w:val="000000"/>
                <w:szCs w:val="21"/>
              </w:rPr>
              <w:t>1</w:t>
            </w:r>
          </w:p>
        </w:tc>
        <w:tc>
          <w:tcPr>
            <w:tcW w:w="0" w:type="auto"/>
            <w:noWrap w:val="0"/>
            <w:vAlign w:val="center"/>
          </w:tcPr>
          <w:p w14:paraId="33C6A4B4">
            <w:pPr>
              <w:jc w:val="center"/>
              <w:rPr>
                <w:color w:val="000000"/>
                <w:szCs w:val="21"/>
              </w:rPr>
            </w:pPr>
            <w:r>
              <w:rPr>
                <w:color w:val="000000"/>
                <w:szCs w:val="21"/>
              </w:rPr>
              <w:t>1</w:t>
            </w:r>
          </w:p>
        </w:tc>
        <w:tc>
          <w:tcPr>
            <w:tcW w:w="0" w:type="auto"/>
            <w:noWrap w:val="0"/>
            <w:vAlign w:val="center"/>
          </w:tcPr>
          <w:p w14:paraId="74CB5CDC">
            <w:pPr>
              <w:jc w:val="center"/>
              <w:rPr>
                <w:color w:val="000000"/>
                <w:szCs w:val="21"/>
              </w:rPr>
            </w:pPr>
            <w:r>
              <w:rPr>
                <w:color w:val="000000"/>
                <w:szCs w:val="21"/>
              </w:rPr>
              <w:t>100</w:t>
            </w:r>
          </w:p>
        </w:tc>
        <w:tc>
          <w:tcPr>
            <w:tcW w:w="0" w:type="auto"/>
            <w:noWrap w:val="0"/>
            <w:vAlign w:val="center"/>
          </w:tcPr>
          <w:p w14:paraId="348961A7">
            <w:pPr>
              <w:jc w:val="center"/>
              <w:rPr>
                <w:color w:val="000000"/>
                <w:szCs w:val="21"/>
              </w:rPr>
            </w:pPr>
            <w:r>
              <w:rPr>
                <w:color w:val="000000"/>
                <w:szCs w:val="21"/>
              </w:rPr>
              <w:t>260</w:t>
            </w:r>
          </w:p>
        </w:tc>
      </w:tr>
      <w:tr w14:paraId="50831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E6751F0">
            <w:pPr>
              <w:jc w:val="center"/>
              <w:rPr>
                <w:color w:val="000000"/>
                <w:szCs w:val="21"/>
              </w:rPr>
            </w:pPr>
            <w:r>
              <w:rPr>
                <w:rFonts w:hint="eastAsia"/>
                <w:color w:val="000000"/>
                <w:szCs w:val="21"/>
              </w:rPr>
              <w:t>0</w:t>
            </w:r>
            <w:r>
              <w:rPr>
                <w:color w:val="000000"/>
                <w:szCs w:val="21"/>
              </w:rPr>
              <w:t>6</w:t>
            </w:r>
          </w:p>
        </w:tc>
        <w:tc>
          <w:tcPr>
            <w:tcW w:w="0" w:type="auto"/>
            <w:noWrap w:val="0"/>
            <w:vAlign w:val="center"/>
          </w:tcPr>
          <w:p w14:paraId="21AF94C9">
            <w:pPr>
              <w:jc w:val="center"/>
              <w:rPr>
                <w:rFonts w:eastAsia="楷体_GB2312"/>
              </w:rPr>
            </w:pPr>
            <w:r>
              <w:rPr>
                <w:rFonts w:eastAsia="楷体_GB2312"/>
              </w:rPr>
              <w:t>南外环</w:t>
            </w:r>
          </w:p>
        </w:tc>
        <w:tc>
          <w:tcPr>
            <w:tcW w:w="0" w:type="auto"/>
            <w:noWrap w:val="0"/>
            <w:vAlign w:val="center"/>
          </w:tcPr>
          <w:p w14:paraId="4407ED77">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19F5B84C">
            <w:pPr>
              <w:jc w:val="center"/>
              <w:rPr>
                <w:color w:val="000000"/>
                <w:szCs w:val="21"/>
              </w:rPr>
            </w:pPr>
            <w:r>
              <w:rPr>
                <w:color w:val="000000"/>
                <w:szCs w:val="21"/>
              </w:rPr>
              <w:t>1</w:t>
            </w:r>
          </w:p>
        </w:tc>
        <w:tc>
          <w:tcPr>
            <w:tcW w:w="0" w:type="auto"/>
            <w:noWrap w:val="0"/>
            <w:vAlign w:val="center"/>
          </w:tcPr>
          <w:p w14:paraId="62EBDD43">
            <w:pPr>
              <w:jc w:val="center"/>
              <w:rPr>
                <w:color w:val="000000"/>
                <w:szCs w:val="21"/>
              </w:rPr>
            </w:pPr>
            <w:r>
              <w:rPr>
                <w:color w:val="000000"/>
                <w:szCs w:val="21"/>
              </w:rPr>
              <w:t>1</w:t>
            </w:r>
          </w:p>
        </w:tc>
        <w:tc>
          <w:tcPr>
            <w:tcW w:w="0" w:type="auto"/>
            <w:noWrap w:val="0"/>
            <w:vAlign w:val="center"/>
          </w:tcPr>
          <w:p w14:paraId="4075F00A">
            <w:pPr>
              <w:jc w:val="center"/>
              <w:rPr>
                <w:color w:val="000000"/>
                <w:szCs w:val="21"/>
              </w:rPr>
            </w:pPr>
            <w:r>
              <w:rPr>
                <w:color w:val="000000"/>
                <w:szCs w:val="21"/>
              </w:rPr>
              <w:t>100</w:t>
            </w:r>
          </w:p>
        </w:tc>
        <w:tc>
          <w:tcPr>
            <w:tcW w:w="0" w:type="auto"/>
            <w:noWrap w:val="0"/>
            <w:vAlign w:val="center"/>
          </w:tcPr>
          <w:p w14:paraId="7B0ED907">
            <w:pPr>
              <w:jc w:val="center"/>
              <w:rPr>
                <w:color w:val="000000"/>
                <w:szCs w:val="21"/>
              </w:rPr>
            </w:pPr>
            <w:r>
              <w:rPr>
                <w:color w:val="000000"/>
                <w:szCs w:val="21"/>
              </w:rPr>
              <w:t>260</w:t>
            </w:r>
          </w:p>
        </w:tc>
      </w:tr>
      <w:tr w14:paraId="0ECF1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861AFC0">
            <w:pPr>
              <w:jc w:val="center"/>
              <w:rPr>
                <w:color w:val="000000"/>
                <w:szCs w:val="21"/>
              </w:rPr>
            </w:pPr>
            <w:r>
              <w:rPr>
                <w:rFonts w:hint="eastAsia"/>
                <w:color w:val="000000"/>
                <w:szCs w:val="21"/>
              </w:rPr>
              <w:t>0</w:t>
            </w:r>
            <w:r>
              <w:rPr>
                <w:color w:val="000000"/>
                <w:szCs w:val="21"/>
              </w:rPr>
              <w:t>7</w:t>
            </w:r>
          </w:p>
        </w:tc>
        <w:tc>
          <w:tcPr>
            <w:tcW w:w="0" w:type="auto"/>
            <w:noWrap w:val="0"/>
            <w:vAlign w:val="center"/>
          </w:tcPr>
          <w:p w14:paraId="63CCB377">
            <w:pPr>
              <w:jc w:val="center"/>
              <w:rPr>
                <w:rFonts w:eastAsia="楷体_GB2312"/>
              </w:rPr>
            </w:pPr>
            <w:r>
              <w:rPr>
                <w:rFonts w:eastAsia="楷体_GB2312"/>
              </w:rPr>
              <w:t>西外环</w:t>
            </w:r>
          </w:p>
        </w:tc>
        <w:tc>
          <w:tcPr>
            <w:tcW w:w="0" w:type="auto"/>
            <w:noWrap w:val="0"/>
            <w:vAlign w:val="center"/>
          </w:tcPr>
          <w:p w14:paraId="60741DCD">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5A43D3AE">
            <w:pPr>
              <w:jc w:val="center"/>
              <w:rPr>
                <w:color w:val="000000"/>
                <w:szCs w:val="21"/>
              </w:rPr>
            </w:pPr>
            <w:r>
              <w:rPr>
                <w:color w:val="000000"/>
                <w:szCs w:val="21"/>
              </w:rPr>
              <w:t>1</w:t>
            </w:r>
          </w:p>
        </w:tc>
        <w:tc>
          <w:tcPr>
            <w:tcW w:w="0" w:type="auto"/>
            <w:noWrap w:val="0"/>
            <w:vAlign w:val="center"/>
          </w:tcPr>
          <w:p w14:paraId="4DEA4776">
            <w:pPr>
              <w:jc w:val="center"/>
              <w:rPr>
                <w:color w:val="000000"/>
                <w:szCs w:val="21"/>
              </w:rPr>
            </w:pPr>
            <w:r>
              <w:rPr>
                <w:color w:val="000000"/>
                <w:szCs w:val="21"/>
              </w:rPr>
              <w:t>1</w:t>
            </w:r>
          </w:p>
        </w:tc>
        <w:tc>
          <w:tcPr>
            <w:tcW w:w="0" w:type="auto"/>
            <w:noWrap w:val="0"/>
            <w:vAlign w:val="center"/>
          </w:tcPr>
          <w:p w14:paraId="2C281ADB">
            <w:pPr>
              <w:jc w:val="center"/>
              <w:rPr>
                <w:color w:val="000000"/>
                <w:szCs w:val="21"/>
              </w:rPr>
            </w:pPr>
            <w:r>
              <w:rPr>
                <w:color w:val="000000"/>
                <w:szCs w:val="21"/>
              </w:rPr>
              <w:t>100</w:t>
            </w:r>
          </w:p>
        </w:tc>
        <w:tc>
          <w:tcPr>
            <w:tcW w:w="0" w:type="auto"/>
            <w:noWrap w:val="0"/>
            <w:vAlign w:val="center"/>
          </w:tcPr>
          <w:p w14:paraId="49D9EF4A">
            <w:pPr>
              <w:jc w:val="center"/>
              <w:rPr>
                <w:color w:val="000000"/>
                <w:szCs w:val="21"/>
              </w:rPr>
            </w:pPr>
            <w:r>
              <w:rPr>
                <w:color w:val="000000"/>
                <w:szCs w:val="21"/>
              </w:rPr>
              <w:t>260</w:t>
            </w:r>
          </w:p>
        </w:tc>
      </w:tr>
      <w:tr w14:paraId="04CE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B7D7B4E">
            <w:pPr>
              <w:jc w:val="center"/>
              <w:rPr>
                <w:color w:val="000000"/>
                <w:szCs w:val="21"/>
              </w:rPr>
            </w:pPr>
            <w:r>
              <w:rPr>
                <w:rFonts w:hint="eastAsia"/>
                <w:color w:val="000000"/>
                <w:szCs w:val="21"/>
              </w:rPr>
              <w:t>0</w:t>
            </w:r>
            <w:r>
              <w:rPr>
                <w:color w:val="000000"/>
                <w:szCs w:val="21"/>
              </w:rPr>
              <w:t>8</w:t>
            </w:r>
          </w:p>
        </w:tc>
        <w:tc>
          <w:tcPr>
            <w:tcW w:w="0" w:type="auto"/>
            <w:noWrap w:val="0"/>
            <w:vAlign w:val="center"/>
          </w:tcPr>
          <w:p w14:paraId="4E273A1A">
            <w:pPr>
              <w:jc w:val="center"/>
              <w:rPr>
                <w:rFonts w:eastAsia="楷体_GB2312"/>
              </w:rPr>
            </w:pPr>
            <w:r>
              <w:rPr>
                <w:rFonts w:eastAsia="楷体_GB2312"/>
              </w:rPr>
              <w:t>大泽路</w:t>
            </w:r>
          </w:p>
        </w:tc>
        <w:tc>
          <w:tcPr>
            <w:tcW w:w="0" w:type="auto"/>
            <w:noWrap w:val="0"/>
            <w:vAlign w:val="center"/>
          </w:tcPr>
          <w:p w14:paraId="3D767AA1">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45F001AC">
            <w:pPr>
              <w:jc w:val="center"/>
              <w:rPr>
                <w:color w:val="000000"/>
                <w:szCs w:val="21"/>
              </w:rPr>
            </w:pPr>
            <w:r>
              <w:rPr>
                <w:color w:val="000000"/>
                <w:szCs w:val="21"/>
              </w:rPr>
              <w:t>1</w:t>
            </w:r>
          </w:p>
        </w:tc>
        <w:tc>
          <w:tcPr>
            <w:tcW w:w="0" w:type="auto"/>
            <w:noWrap w:val="0"/>
            <w:vAlign w:val="center"/>
          </w:tcPr>
          <w:p w14:paraId="3F4ACE7C">
            <w:pPr>
              <w:jc w:val="center"/>
              <w:rPr>
                <w:color w:val="000000"/>
                <w:szCs w:val="21"/>
              </w:rPr>
            </w:pPr>
            <w:r>
              <w:rPr>
                <w:color w:val="000000"/>
                <w:szCs w:val="21"/>
              </w:rPr>
              <w:t>1</w:t>
            </w:r>
          </w:p>
        </w:tc>
        <w:tc>
          <w:tcPr>
            <w:tcW w:w="0" w:type="auto"/>
            <w:noWrap w:val="0"/>
            <w:vAlign w:val="center"/>
          </w:tcPr>
          <w:p w14:paraId="2E2873CD">
            <w:pPr>
              <w:jc w:val="center"/>
              <w:rPr>
                <w:color w:val="000000"/>
                <w:szCs w:val="21"/>
              </w:rPr>
            </w:pPr>
            <w:r>
              <w:rPr>
                <w:color w:val="000000"/>
                <w:szCs w:val="21"/>
              </w:rPr>
              <w:t>100</w:t>
            </w:r>
          </w:p>
        </w:tc>
        <w:tc>
          <w:tcPr>
            <w:tcW w:w="0" w:type="auto"/>
            <w:noWrap w:val="0"/>
            <w:vAlign w:val="center"/>
          </w:tcPr>
          <w:p w14:paraId="18FC7E58">
            <w:pPr>
              <w:jc w:val="center"/>
              <w:rPr>
                <w:color w:val="000000"/>
                <w:szCs w:val="21"/>
              </w:rPr>
            </w:pPr>
            <w:r>
              <w:rPr>
                <w:color w:val="000000"/>
                <w:szCs w:val="21"/>
              </w:rPr>
              <w:t>260</w:t>
            </w:r>
          </w:p>
        </w:tc>
      </w:tr>
      <w:tr w14:paraId="358F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FA77D31">
            <w:pPr>
              <w:jc w:val="center"/>
              <w:rPr>
                <w:color w:val="000000"/>
                <w:szCs w:val="21"/>
              </w:rPr>
            </w:pPr>
            <w:r>
              <w:rPr>
                <w:rFonts w:hint="eastAsia"/>
                <w:color w:val="000000"/>
                <w:szCs w:val="21"/>
              </w:rPr>
              <w:t>0</w:t>
            </w:r>
            <w:r>
              <w:rPr>
                <w:color w:val="000000"/>
                <w:szCs w:val="21"/>
              </w:rPr>
              <w:t>9</w:t>
            </w:r>
          </w:p>
        </w:tc>
        <w:tc>
          <w:tcPr>
            <w:tcW w:w="0" w:type="auto"/>
            <w:noWrap w:val="0"/>
            <w:vAlign w:val="center"/>
          </w:tcPr>
          <w:p w14:paraId="14F06587">
            <w:pPr>
              <w:jc w:val="center"/>
              <w:rPr>
                <w:rFonts w:eastAsia="楷体_GB2312"/>
              </w:rPr>
            </w:pPr>
            <w:r>
              <w:rPr>
                <w:rFonts w:eastAsia="楷体_GB2312"/>
              </w:rPr>
              <w:t>西涉路</w:t>
            </w:r>
          </w:p>
        </w:tc>
        <w:tc>
          <w:tcPr>
            <w:tcW w:w="0" w:type="auto"/>
            <w:noWrap w:val="0"/>
            <w:vAlign w:val="center"/>
          </w:tcPr>
          <w:p w14:paraId="2717F4E9">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5EB6E879">
            <w:pPr>
              <w:jc w:val="center"/>
              <w:rPr>
                <w:color w:val="000000"/>
                <w:szCs w:val="21"/>
              </w:rPr>
            </w:pPr>
            <w:r>
              <w:rPr>
                <w:color w:val="000000"/>
                <w:szCs w:val="21"/>
              </w:rPr>
              <w:t>1</w:t>
            </w:r>
          </w:p>
        </w:tc>
        <w:tc>
          <w:tcPr>
            <w:tcW w:w="0" w:type="auto"/>
            <w:noWrap w:val="0"/>
            <w:vAlign w:val="center"/>
          </w:tcPr>
          <w:p w14:paraId="4789F12A">
            <w:pPr>
              <w:jc w:val="center"/>
              <w:rPr>
                <w:color w:val="000000"/>
                <w:szCs w:val="21"/>
              </w:rPr>
            </w:pPr>
            <w:r>
              <w:rPr>
                <w:color w:val="000000"/>
                <w:szCs w:val="21"/>
              </w:rPr>
              <w:t>1</w:t>
            </w:r>
          </w:p>
        </w:tc>
        <w:tc>
          <w:tcPr>
            <w:tcW w:w="0" w:type="auto"/>
            <w:noWrap w:val="0"/>
            <w:vAlign w:val="center"/>
          </w:tcPr>
          <w:p w14:paraId="6A5AD1BC">
            <w:pPr>
              <w:jc w:val="center"/>
              <w:rPr>
                <w:color w:val="000000"/>
                <w:szCs w:val="21"/>
              </w:rPr>
            </w:pPr>
            <w:r>
              <w:rPr>
                <w:color w:val="000000"/>
                <w:szCs w:val="21"/>
              </w:rPr>
              <w:t>100</w:t>
            </w:r>
          </w:p>
        </w:tc>
        <w:tc>
          <w:tcPr>
            <w:tcW w:w="0" w:type="auto"/>
            <w:noWrap w:val="0"/>
            <w:vAlign w:val="center"/>
          </w:tcPr>
          <w:p w14:paraId="28DC045A">
            <w:pPr>
              <w:jc w:val="center"/>
              <w:rPr>
                <w:color w:val="000000"/>
                <w:szCs w:val="21"/>
              </w:rPr>
            </w:pPr>
            <w:r>
              <w:rPr>
                <w:color w:val="000000"/>
                <w:szCs w:val="21"/>
              </w:rPr>
              <w:t>260</w:t>
            </w:r>
          </w:p>
        </w:tc>
      </w:tr>
      <w:tr w14:paraId="3E53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00A0A09">
            <w:pPr>
              <w:jc w:val="center"/>
              <w:rPr>
                <w:color w:val="000000"/>
                <w:szCs w:val="21"/>
              </w:rPr>
            </w:pPr>
            <w:r>
              <w:rPr>
                <w:color w:val="000000"/>
                <w:szCs w:val="21"/>
              </w:rPr>
              <w:t>10</w:t>
            </w:r>
          </w:p>
        </w:tc>
        <w:tc>
          <w:tcPr>
            <w:tcW w:w="0" w:type="auto"/>
            <w:noWrap w:val="0"/>
            <w:vAlign w:val="center"/>
          </w:tcPr>
          <w:p w14:paraId="0C6EE839">
            <w:pPr>
              <w:jc w:val="center"/>
              <w:rPr>
                <w:rFonts w:eastAsia="楷体_GB2312"/>
              </w:rPr>
            </w:pPr>
            <w:r>
              <w:rPr>
                <w:rFonts w:eastAsia="楷体_GB2312"/>
              </w:rPr>
              <w:t>344国道</w:t>
            </w:r>
          </w:p>
        </w:tc>
        <w:tc>
          <w:tcPr>
            <w:tcW w:w="0" w:type="auto"/>
            <w:noWrap w:val="0"/>
            <w:vAlign w:val="center"/>
          </w:tcPr>
          <w:p w14:paraId="10DFFEB1">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7053E7C1">
            <w:pPr>
              <w:jc w:val="center"/>
              <w:rPr>
                <w:color w:val="000000"/>
                <w:szCs w:val="21"/>
              </w:rPr>
            </w:pPr>
            <w:r>
              <w:rPr>
                <w:color w:val="000000"/>
                <w:szCs w:val="21"/>
              </w:rPr>
              <w:t>1</w:t>
            </w:r>
          </w:p>
        </w:tc>
        <w:tc>
          <w:tcPr>
            <w:tcW w:w="0" w:type="auto"/>
            <w:noWrap w:val="0"/>
            <w:vAlign w:val="center"/>
          </w:tcPr>
          <w:p w14:paraId="756BB100">
            <w:pPr>
              <w:jc w:val="center"/>
              <w:rPr>
                <w:color w:val="000000"/>
                <w:szCs w:val="21"/>
              </w:rPr>
            </w:pPr>
            <w:r>
              <w:rPr>
                <w:color w:val="000000"/>
                <w:szCs w:val="21"/>
              </w:rPr>
              <w:t>1</w:t>
            </w:r>
          </w:p>
        </w:tc>
        <w:tc>
          <w:tcPr>
            <w:tcW w:w="0" w:type="auto"/>
            <w:noWrap w:val="0"/>
            <w:vAlign w:val="center"/>
          </w:tcPr>
          <w:p w14:paraId="0B2FA785">
            <w:pPr>
              <w:jc w:val="center"/>
              <w:rPr>
                <w:color w:val="000000"/>
                <w:szCs w:val="21"/>
              </w:rPr>
            </w:pPr>
            <w:r>
              <w:rPr>
                <w:color w:val="000000"/>
                <w:szCs w:val="21"/>
              </w:rPr>
              <w:t>100</w:t>
            </w:r>
          </w:p>
        </w:tc>
        <w:tc>
          <w:tcPr>
            <w:tcW w:w="0" w:type="auto"/>
            <w:noWrap w:val="0"/>
            <w:vAlign w:val="center"/>
          </w:tcPr>
          <w:p w14:paraId="5054BF0F">
            <w:pPr>
              <w:jc w:val="center"/>
              <w:rPr>
                <w:color w:val="000000"/>
                <w:szCs w:val="21"/>
              </w:rPr>
            </w:pPr>
            <w:r>
              <w:rPr>
                <w:color w:val="000000"/>
                <w:szCs w:val="21"/>
              </w:rPr>
              <w:t>260</w:t>
            </w:r>
          </w:p>
        </w:tc>
      </w:tr>
      <w:tr w14:paraId="7F49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39086EC">
            <w:pPr>
              <w:jc w:val="center"/>
              <w:rPr>
                <w:color w:val="000000"/>
                <w:szCs w:val="21"/>
              </w:rPr>
            </w:pPr>
            <w:r>
              <w:rPr>
                <w:color w:val="000000"/>
                <w:szCs w:val="21"/>
              </w:rPr>
              <w:t>11</w:t>
            </w:r>
          </w:p>
        </w:tc>
        <w:tc>
          <w:tcPr>
            <w:tcW w:w="0" w:type="auto"/>
            <w:noWrap w:val="0"/>
            <w:vAlign w:val="center"/>
          </w:tcPr>
          <w:p w14:paraId="754C6B90">
            <w:pPr>
              <w:jc w:val="center"/>
              <w:rPr>
                <w:rFonts w:eastAsia="楷体_GB2312"/>
              </w:rPr>
            </w:pPr>
            <w:r>
              <w:rPr>
                <w:rFonts w:eastAsia="楷体_GB2312"/>
              </w:rPr>
              <w:t>站前路</w:t>
            </w:r>
          </w:p>
        </w:tc>
        <w:tc>
          <w:tcPr>
            <w:tcW w:w="0" w:type="auto"/>
            <w:noWrap w:val="0"/>
            <w:vAlign w:val="center"/>
          </w:tcPr>
          <w:p w14:paraId="6D4EB888">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11B58848">
            <w:pPr>
              <w:jc w:val="center"/>
              <w:rPr>
                <w:color w:val="000000"/>
                <w:szCs w:val="21"/>
              </w:rPr>
            </w:pPr>
            <w:r>
              <w:rPr>
                <w:color w:val="000000"/>
                <w:szCs w:val="21"/>
              </w:rPr>
              <w:t>0.7</w:t>
            </w:r>
          </w:p>
        </w:tc>
        <w:tc>
          <w:tcPr>
            <w:tcW w:w="0" w:type="auto"/>
            <w:noWrap w:val="0"/>
            <w:vAlign w:val="center"/>
          </w:tcPr>
          <w:p w14:paraId="7AB44350">
            <w:pPr>
              <w:jc w:val="center"/>
              <w:rPr>
                <w:color w:val="000000"/>
                <w:szCs w:val="21"/>
              </w:rPr>
            </w:pPr>
            <w:r>
              <w:rPr>
                <w:color w:val="000000"/>
                <w:szCs w:val="21"/>
              </w:rPr>
              <w:t>2</w:t>
            </w:r>
          </w:p>
        </w:tc>
        <w:tc>
          <w:tcPr>
            <w:tcW w:w="0" w:type="auto"/>
            <w:noWrap w:val="0"/>
            <w:vAlign w:val="center"/>
          </w:tcPr>
          <w:p w14:paraId="3F61E32B">
            <w:pPr>
              <w:jc w:val="center"/>
              <w:rPr>
                <w:color w:val="000000"/>
                <w:szCs w:val="21"/>
              </w:rPr>
            </w:pPr>
            <w:r>
              <w:rPr>
                <w:color w:val="000000"/>
                <w:szCs w:val="21"/>
              </w:rPr>
              <w:t>70</w:t>
            </w:r>
          </w:p>
        </w:tc>
        <w:tc>
          <w:tcPr>
            <w:tcW w:w="0" w:type="auto"/>
            <w:noWrap w:val="0"/>
            <w:vAlign w:val="center"/>
          </w:tcPr>
          <w:p w14:paraId="4B985C69">
            <w:pPr>
              <w:jc w:val="center"/>
              <w:rPr>
                <w:color w:val="000000"/>
                <w:szCs w:val="21"/>
              </w:rPr>
            </w:pPr>
            <w:r>
              <w:rPr>
                <w:color w:val="000000"/>
                <w:szCs w:val="21"/>
              </w:rPr>
              <w:t>220</w:t>
            </w:r>
          </w:p>
        </w:tc>
      </w:tr>
      <w:tr w14:paraId="2A01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C37AEAF">
            <w:pPr>
              <w:jc w:val="center"/>
              <w:rPr>
                <w:color w:val="000000"/>
                <w:szCs w:val="21"/>
              </w:rPr>
            </w:pPr>
            <w:r>
              <w:rPr>
                <w:color w:val="000000"/>
                <w:szCs w:val="21"/>
              </w:rPr>
              <w:t>12</w:t>
            </w:r>
          </w:p>
        </w:tc>
        <w:tc>
          <w:tcPr>
            <w:tcW w:w="0" w:type="auto"/>
            <w:noWrap w:val="0"/>
            <w:vAlign w:val="center"/>
          </w:tcPr>
          <w:p w14:paraId="7379AD57">
            <w:pPr>
              <w:jc w:val="center"/>
              <w:rPr>
                <w:rFonts w:eastAsia="楷体_GB2312"/>
              </w:rPr>
            </w:pPr>
            <w:r>
              <w:rPr>
                <w:rFonts w:eastAsia="楷体_GB2312"/>
              </w:rPr>
              <w:t>求知路</w:t>
            </w:r>
          </w:p>
        </w:tc>
        <w:tc>
          <w:tcPr>
            <w:tcW w:w="0" w:type="auto"/>
            <w:noWrap w:val="0"/>
            <w:vAlign w:val="center"/>
          </w:tcPr>
          <w:p w14:paraId="0A35F58F">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7874B873">
            <w:pPr>
              <w:jc w:val="center"/>
              <w:rPr>
                <w:color w:val="000000"/>
                <w:szCs w:val="21"/>
              </w:rPr>
            </w:pPr>
            <w:r>
              <w:rPr>
                <w:color w:val="000000"/>
                <w:szCs w:val="21"/>
              </w:rPr>
              <w:t>0.7</w:t>
            </w:r>
          </w:p>
        </w:tc>
        <w:tc>
          <w:tcPr>
            <w:tcW w:w="0" w:type="auto"/>
            <w:noWrap w:val="0"/>
            <w:vAlign w:val="center"/>
          </w:tcPr>
          <w:p w14:paraId="7E3B3DCE">
            <w:pPr>
              <w:jc w:val="center"/>
              <w:rPr>
                <w:color w:val="000000"/>
                <w:szCs w:val="21"/>
              </w:rPr>
            </w:pPr>
            <w:r>
              <w:rPr>
                <w:color w:val="000000"/>
                <w:szCs w:val="21"/>
              </w:rPr>
              <w:t>2</w:t>
            </w:r>
          </w:p>
        </w:tc>
        <w:tc>
          <w:tcPr>
            <w:tcW w:w="0" w:type="auto"/>
            <w:noWrap w:val="0"/>
            <w:vAlign w:val="center"/>
          </w:tcPr>
          <w:p w14:paraId="49AE9E40">
            <w:pPr>
              <w:jc w:val="center"/>
              <w:rPr>
                <w:color w:val="000000"/>
                <w:szCs w:val="21"/>
              </w:rPr>
            </w:pPr>
            <w:r>
              <w:rPr>
                <w:color w:val="000000"/>
                <w:szCs w:val="21"/>
              </w:rPr>
              <w:t>70</w:t>
            </w:r>
          </w:p>
        </w:tc>
        <w:tc>
          <w:tcPr>
            <w:tcW w:w="0" w:type="auto"/>
            <w:noWrap w:val="0"/>
            <w:vAlign w:val="center"/>
          </w:tcPr>
          <w:p w14:paraId="18CC459D">
            <w:pPr>
              <w:jc w:val="center"/>
              <w:rPr>
                <w:color w:val="000000"/>
                <w:szCs w:val="21"/>
              </w:rPr>
            </w:pPr>
            <w:r>
              <w:rPr>
                <w:color w:val="000000"/>
                <w:szCs w:val="21"/>
              </w:rPr>
              <w:t>220</w:t>
            </w:r>
          </w:p>
        </w:tc>
      </w:tr>
      <w:tr w14:paraId="00BD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38F8D09">
            <w:pPr>
              <w:jc w:val="center"/>
              <w:rPr>
                <w:color w:val="000000"/>
                <w:szCs w:val="21"/>
              </w:rPr>
            </w:pPr>
            <w:r>
              <w:rPr>
                <w:color w:val="000000"/>
                <w:szCs w:val="21"/>
              </w:rPr>
              <w:t>13</w:t>
            </w:r>
          </w:p>
        </w:tc>
        <w:tc>
          <w:tcPr>
            <w:tcW w:w="0" w:type="auto"/>
            <w:noWrap w:val="0"/>
            <w:vAlign w:val="center"/>
          </w:tcPr>
          <w:p w14:paraId="6D575A09">
            <w:pPr>
              <w:jc w:val="center"/>
              <w:rPr>
                <w:rFonts w:eastAsia="楷体_GB2312"/>
              </w:rPr>
            </w:pPr>
            <w:r>
              <w:rPr>
                <w:rFonts w:eastAsia="楷体_GB2312"/>
              </w:rPr>
              <w:t>致富路</w:t>
            </w:r>
          </w:p>
        </w:tc>
        <w:tc>
          <w:tcPr>
            <w:tcW w:w="0" w:type="auto"/>
            <w:noWrap w:val="0"/>
            <w:vAlign w:val="center"/>
          </w:tcPr>
          <w:p w14:paraId="18B3EA7A">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619BC438">
            <w:pPr>
              <w:jc w:val="center"/>
              <w:rPr>
                <w:color w:val="000000"/>
                <w:szCs w:val="21"/>
              </w:rPr>
            </w:pPr>
            <w:r>
              <w:rPr>
                <w:color w:val="000000"/>
                <w:szCs w:val="21"/>
              </w:rPr>
              <w:t>0.7</w:t>
            </w:r>
          </w:p>
        </w:tc>
        <w:tc>
          <w:tcPr>
            <w:tcW w:w="0" w:type="auto"/>
            <w:noWrap w:val="0"/>
            <w:vAlign w:val="center"/>
          </w:tcPr>
          <w:p w14:paraId="185A0951">
            <w:pPr>
              <w:jc w:val="center"/>
              <w:rPr>
                <w:color w:val="000000"/>
                <w:szCs w:val="21"/>
              </w:rPr>
            </w:pPr>
            <w:r>
              <w:rPr>
                <w:color w:val="000000"/>
                <w:szCs w:val="21"/>
              </w:rPr>
              <w:t>2</w:t>
            </w:r>
          </w:p>
        </w:tc>
        <w:tc>
          <w:tcPr>
            <w:tcW w:w="0" w:type="auto"/>
            <w:noWrap w:val="0"/>
            <w:vAlign w:val="center"/>
          </w:tcPr>
          <w:p w14:paraId="2F10D41C">
            <w:pPr>
              <w:jc w:val="center"/>
              <w:rPr>
                <w:color w:val="000000"/>
                <w:szCs w:val="21"/>
              </w:rPr>
            </w:pPr>
            <w:r>
              <w:rPr>
                <w:color w:val="000000"/>
                <w:szCs w:val="21"/>
              </w:rPr>
              <w:t>70</w:t>
            </w:r>
          </w:p>
        </w:tc>
        <w:tc>
          <w:tcPr>
            <w:tcW w:w="0" w:type="auto"/>
            <w:noWrap w:val="0"/>
            <w:vAlign w:val="center"/>
          </w:tcPr>
          <w:p w14:paraId="039FE4D1">
            <w:pPr>
              <w:jc w:val="center"/>
              <w:rPr>
                <w:color w:val="000000"/>
                <w:szCs w:val="21"/>
              </w:rPr>
            </w:pPr>
            <w:r>
              <w:rPr>
                <w:color w:val="000000"/>
                <w:szCs w:val="21"/>
              </w:rPr>
              <w:t>220</w:t>
            </w:r>
          </w:p>
        </w:tc>
      </w:tr>
      <w:tr w14:paraId="33C0F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3EF65D2">
            <w:pPr>
              <w:jc w:val="center"/>
              <w:rPr>
                <w:color w:val="000000"/>
                <w:szCs w:val="21"/>
              </w:rPr>
            </w:pPr>
            <w:r>
              <w:rPr>
                <w:color w:val="000000"/>
                <w:szCs w:val="21"/>
              </w:rPr>
              <w:t>14</w:t>
            </w:r>
          </w:p>
        </w:tc>
        <w:tc>
          <w:tcPr>
            <w:tcW w:w="0" w:type="auto"/>
            <w:noWrap w:val="0"/>
            <w:vAlign w:val="center"/>
          </w:tcPr>
          <w:p w14:paraId="115E879B">
            <w:pPr>
              <w:jc w:val="center"/>
              <w:rPr>
                <w:rFonts w:eastAsia="楷体_GB2312"/>
              </w:rPr>
            </w:pPr>
            <w:r>
              <w:rPr>
                <w:rFonts w:eastAsia="楷体_GB2312"/>
              </w:rPr>
              <w:t>鸿鹄路</w:t>
            </w:r>
          </w:p>
        </w:tc>
        <w:tc>
          <w:tcPr>
            <w:tcW w:w="0" w:type="auto"/>
            <w:noWrap w:val="0"/>
            <w:vAlign w:val="center"/>
          </w:tcPr>
          <w:p w14:paraId="450F6101">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404C4B59">
            <w:pPr>
              <w:jc w:val="center"/>
              <w:rPr>
                <w:color w:val="000000"/>
                <w:szCs w:val="21"/>
              </w:rPr>
            </w:pPr>
            <w:r>
              <w:rPr>
                <w:color w:val="000000"/>
                <w:szCs w:val="21"/>
              </w:rPr>
              <w:t>0.7</w:t>
            </w:r>
          </w:p>
        </w:tc>
        <w:tc>
          <w:tcPr>
            <w:tcW w:w="0" w:type="auto"/>
            <w:noWrap w:val="0"/>
            <w:vAlign w:val="center"/>
          </w:tcPr>
          <w:p w14:paraId="73301BB5">
            <w:pPr>
              <w:jc w:val="center"/>
              <w:rPr>
                <w:color w:val="000000"/>
                <w:szCs w:val="21"/>
              </w:rPr>
            </w:pPr>
            <w:r>
              <w:rPr>
                <w:color w:val="000000"/>
                <w:szCs w:val="21"/>
              </w:rPr>
              <w:t>2</w:t>
            </w:r>
          </w:p>
        </w:tc>
        <w:tc>
          <w:tcPr>
            <w:tcW w:w="0" w:type="auto"/>
            <w:noWrap w:val="0"/>
            <w:vAlign w:val="center"/>
          </w:tcPr>
          <w:p w14:paraId="43066814">
            <w:pPr>
              <w:jc w:val="center"/>
              <w:rPr>
                <w:color w:val="000000"/>
                <w:szCs w:val="21"/>
              </w:rPr>
            </w:pPr>
            <w:r>
              <w:rPr>
                <w:color w:val="000000"/>
                <w:szCs w:val="21"/>
              </w:rPr>
              <w:t>70</w:t>
            </w:r>
          </w:p>
        </w:tc>
        <w:tc>
          <w:tcPr>
            <w:tcW w:w="0" w:type="auto"/>
            <w:noWrap w:val="0"/>
            <w:vAlign w:val="center"/>
          </w:tcPr>
          <w:p w14:paraId="31B64756">
            <w:pPr>
              <w:jc w:val="center"/>
              <w:rPr>
                <w:color w:val="000000"/>
                <w:szCs w:val="21"/>
              </w:rPr>
            </w:pPr>
            <w:r>
              <w:rPr>
                <w:color w:val="000000"/>
                <w:szCs w:val="21"/>
              </w:rPr>
              <w:t>220</w:t>
            </w:r>
          </w:p>
        </w:tc>
      </w:tr>
      <w:tr w14:paraId="3B05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7783AE3">
            <w:pPr>
              <w:jc w:val="center"/>
              <w:rPr>
                <w:color w:val="000000"/>
                <w:szCs w:val="21"/>
              </w:rPr>
            </w:pPr>
            <w:r>
              <w:rPr>
                <w:color w:val="000000"/>
                <w:szCs w:val="21"/>
              </w:rPr>
              <w:t>15</w:t>
            </w:r>
          </w:p>
        </w:tc>
        <w:tc>
          <w:tcPr>
            <w:tcW w:w="0" w:type="auto"/>
            <w:noWrap w:val="0"/>
            <w:vAlign w:val="center"/>
          </w:tcPr>
          <w:p w14:paraId="78F79BF2">
            <w:pPr>
              <w:jc w:val="center"/>
              <w:rPr>
                <w:rFonts w:eastAsia="楷体_GB2312"/>
              </w:rPr>
            </w:pPr>
            <w:r>
              <w:rPr>
                <w:rFonts w:eastAsia="楷体_GB2312"/>
              </w:rPr>
              <w:t>涉故路</w:t>
            </w:r>
          </w:p>
        </w:tc>
        <w:tc>
          <w:tcPr>
            <w:tcW w:w="0" w:type="auto"/>
            <w:noWrap w:val="0"/>
            <w:vAlign w:val="center"/>
          </w:tcPr>
          <w:p w14:paraId="5E49A03A">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50680A16">
            <w:pPr>
              <w:jc w:val="center"/>
              <w:rPr>
                <w:color w:val="000000"/>
                <w:szCs w:val="21"/>
              </w:rPr>
            </w:pPr>
            <w:r>
              <w:rPr>
                <w:color w:val="000000"/>
                <w:szCs w:val="21"/>
              </w:rPr>
              <w:t>0.7</w:t>
            </w:r>
          </w:p>
        </w:tc>
        <w:tc>
          <w:tcPr>
            <w:tcW w:w="0" w:type="auto"/>
            <w:noWrap w:val="0"/>
            <w:vAlign w:val="center"/>
          </w:tcPr>
          <w:p w14:paraId="593E5EB1">
            <w:pPr>
              <w:jc w:val="center"/>
              <w:rPr>
                <w:color w:val="000000"/>
                <w:szCs w:val="21"/>
              </w:rPr>
            </w:pPr>
            <w:r>
              <w:rPr>
                <w:color w:val="000000"/>
                <w:szCs w:val="21"/>
              </w:rPr>
              <w:t>2</w:t>
            </w:r>
          </w:p>
        </w:tc>
        <w:tc>
          <w:tcPr>
            <w:tcW w:w="0" w:type="auto"/>
            <w:noWrap w:val="0"/>
            <w:vAlign w:val="center"/>
          </w:tcPr>
          <w:p w14:paraId="0AD3D4FA">
            <w:pPr>
              <w:jc w:val="center"/>
              <w:rPr>
                <w:color w:val="000000"/>
                <w:szCs w:val="21"/>
              </w:rPr>
            </w:pPr>
            <w:r>
              <w:rPr>
                <w:color w:val="000000"/>
                <w:szCs w:val="21"/>
              </w:rPr>
              <w:t>70</w:t>
            </w:r>
          </w:p>
        </w:tc>
        <w:tc>
          <w:tcPr>
            <w:tcW w:w="0" w:type="auto"/>
            <w:noWrap w:val="0"/>
            <w:vAlign w:val="center"/>
          </w:tcPr>
          <w:p w14:paraId="59A2A0D0">
            <w:pPr>
              <w:jc w:val="center"/>
              <w:rPr>
                <w:color w:val="000000"/>
                <w:szCs w:val="21"/>
              </w:rPr>
            </w:pPr>
            <w:r>
              <w:rPr>
                <w:color w:val="000000"/>
                <w:szCs w:val="21"/>
              </w:rPr>
              <w:t>220</w:t>
            </w:r>
          </w:p>
        </w:tc>
      </w:tr>
      <w:tr w14:paraId="5695E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744E708">
            <w:pPr>
              <w:jc w:val="center"/>
              <w:rPr>
                <w:color w:val="000000"/>
                <w:szCs w:val="21"/>
              </w:rPr>
            </w:pPr>
            <w:r>
              <w:rPr>
                <w:color w:val="000000"/>
                <w:szCs w:val="21"/>
              </w:rPr>
              <w:t>16</w:t>
            </w:r>
          </w:p>
        </w:tc>
        <w:tc>
          <w:tcPr>
            <w:tcW w:w="0" w:type="auto"/>
            <w:noWrap w:val="0"/>
            <w:vAlign w:val="center"/>
          </w:tcPr>
          <w:p w14:paraId="7C5E336C">
            <w:pPr>
              <w:jc w:val="center"/>
              <w:rPr>
                <w:rFonts w:eastAsia="楷体_GB2312"/>
              </w:rPr>
            </w:pPr>
            <w:r>
              <w:rPr>
                <w:rFonts w:eastAsia="楷体_GB2312"/>
              </w:rPr>
              <w:t>亲民路</w:t>
            </w:r>
          </w:p>
        </w:tc>
        <w:tc>
          <w:tcPr>
            <w:tcW w:w="0" w:type="auto"/>
            <w:noWrap w:val="0"/>
            <w:vAlign w:val="center"/>
          </w:tcPr>
          <w:p w14:paraId="740CF4BF">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72503E2B">
            <w:pPr>
              <w:jc w:val="center"/>
              <w:rPr>
                <w:color w:val="000000"/>
                <w:szCs w:val="21"/>
              </w:rPr>
            </w:pPr>
            <w:r>
              <w:rPr>
                <w:color w:val="000000"/>
                <w:szCs w:val="21"/>
              </w:rPr>
              <w:t>0.7</w:t>
            </w:r>
          </w:p>
        </w:tc>
        <w:tc>
          <w:tcPr>
            <w:tcW w:w="0" w:type="auto"/>
            <w:noWrap w:val="0"/>
            <w:vAlign w:val="center"/>
          </w:tcPr>
          <w:p w14:paraId="6F4F2AF6">
            <w:pPr>
              <w:jc w:val="center"/>
              <w:rPr>
                <w:color w:val="000000"/>
                <w:szCs w:val="21"/>
              </w:rPr>
            </w:pPr>
            <w:r>
              <w:rPr>
                <w:color w:val="000000"/>
                <w:szCs w:val="21"/>
              </w:rPr>
              <w:t>2</w:t>
            </w:r>
          </w:p>
        </w:tc>
        <w:tc>
          <w:tcPr>
            <w:tcW w:w="0" w:type="auto"/>
            <w:noWrap w:val="0"/>
            <w:vAlign w:val="center"/>
          </w:tcPr>
          <w:p w14:paraId="48FED484">
            <w:pPr>
              <w:jc w:val="center"/>
              <w:rPr>
                <w:color w:val="000000"/>
                <w:szCs w:val="21"/>
              </w:rPr>
            </w:pPr>
            <w:r>
              <w:rPr>
                <w:color w:val="000000"/>
                <w:szCs w:val="21"/>
              </w:rPr>
              <w:t>70</w:t>
            </w:r>
          </w:p>
        </w:tc>
        <w:tc>
          <w:tcPr>
            <w:tcW w:w="0" w:type="auto"/>
            <w:noWrap w:val="0"/>
            <w:vAlign w:val="center"/>
          </w:tcPr>
          <w:p w14:paraId="1EA8EE2D">
            <w:pPr>
              <w:jc w:val="center"/>
              <w:rPr>
                <w:color w:val="000000"/>
                <w:szCs w:val="21"/>
              </w:rPr>
            </w:pPr>
            <w:r>
              <w:rPr>
                <w:color w:val="000000"/>
                <w:szCs w:val="21"/>
              </w:rPr>
              <w:t>220</w:t>
            </w:r>
          </w:p>
        </w:tc>
      </w:tr>
      <w:tr w14:paraId="671E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742CF9F">
            <w:pPr>
              <w:jc w:val="center"/>
              <w:rPr>
                <w:color w:val="000000"/>
                <w:szCs w:val="21"/>
              </w:rPr>
            </w:pPr>
            <w:r>
              <w:rPr>
                <w:color w:val="000000"/>
                <w:szCs w:val="21"/>
              </w:rPr>
              <w:t>17</w:t>
            </w:r>
          </w:p>
        </w:tc>
        <w:tc>
          <w:tcPr>
            <w:tcW w:w="0" w:type="auto"/>
            <w:noWrap w:val="0"/>
            <w:vAlign w:val="center"/>
          </w:tcPr>
          <w:p w14:paraId="7863C2E6">
            <w:pPr>
              <w:jc w:val="center"/>
              <w:rPr>
                <w:rFonts w:ascii="楷体_GB2312" w:hAnsi="宋体" w:eastAsia="楷体_GB2312" w:cs="宋体"/>
                <w:color w:val="000000"/>
                <w:szCs w:val="21"/>
              </w:rPr>
            </w:pPr>
            <w:r>
              <w:rPr>
                <w:rFonts w:hint="eastAsia" w:ascii="楷体_GB2312" w:eastAsia="楷体_GB2312"/>
                <w:color w:val="000000"/>
                <w:szCs w:val="21"/>
              </w:rPr>
              <w:t>芳合路</w:t>
            </w:r>
          </w:p>
        </w:tc>
        <w:tc>
          <w:tcPr>
            <w:tcW w:w="0" w:type="auto"/>
            <w:noWrap w:val="0"/>
            <w:vAlign w:val="center"/>
          </w:tcPr>
          <w:p w14:paraId="1E5DEFCF">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653EB280">
            <w:pPr>
              <w:jc w:val="center"/>
              <w:rPr>
                <w:color w:val="000000"/>
                <w:szCs w:val="21"/>
              </w:rPr>
            </w:pPr>
            <w:r>
              <w:rPr>
                <w:color w:val="000000"/>
                <w:szCs w:val="21"/>
              </w:rPr>
              <w:t>0.4</w:t>
            </w:r>
          </w:p>
        </w:tc>
        <w:tc>
          <w:tcPr>
            <w:tcW w:w="0" w:type="auto"/>
            <w:noWrap w:val="0"/>
            <w:vAlign w:val="center"/>
          </w:tcPr>
          <w:p w14:paraId="21993BB1">
            <w:pPr>
              <w:jc w:val="center"/>
              <w:rPr>
                <w:color w:val="000000"/>
                <w:szCs w:val="21"/>
              </w:rPr>
            </w:pPr>
            <w:r>
              <w:rPr>
                <w:color w:val="000000"/>
                <w:szCs w:val="21"/>
              </w:rPr>
              <w:t>3</w:t>
            </w:r>
          </w:p>
        </w:tc>
        <w:tc>
          <w:tcPr>
            <w:tcW w:w="0" w:type="auto"/>
            <w:noWrap w:val="0"/>
            <w:vAlign w:val="center"/>
          </w:tcPr>
          <w:p w14:paraId="4D469C0B">
            <w:pPr>
              <w:jc w:val="center"/>
              <w:rPr>
                <w:color w:val="000000"/>
                <w:szCs w:val="21"/>
              </w:rPr>
            </w:pPr>
            <w:r>
              <w:rPr>
                <w:color w:val="000000"/>
                <w:szCs w:val="21"/>
              </w:rPr>
              <w:t>40</w:t>
            </w:r>
          </w:p>
        </w:tc>
        <w:tc>
          <w:tcPr>
            <w:tcW w:w="0" w:type="auto"/>
            <w:noWrap w:val="0"/>
            <w:vAlign w:val="center"/>
          </w:tcPr>
          <w:p w14:paraId="4FAC80D4">
            <w:pPr>
              <w:jc w:val="center"/>
              <w:rPr>
                <w:color w:val="000000"/>
                <w:szCs w:val="21"/>
              </w:rPr>
            </w:pPr>
            <w:r>
              <w:rPr>
                <w:color w:val="000000"/>
                <w:szCs w:val="21"/>
              </w:rPr>
              <w:t>180</w:t>
            </w:r>
          </w:p>
        </w:tc>
      </w:tr>
      <w:tr w14:paraId="7DA60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516ED7D">
            <w:pPr>
              <w:jc w:val="center"/>
              <w:rPr>
                <w:color w:val="000000"/>
                <w:szCs w:val="21"/>
              </w:rPr>
            </w:pPr>
            <w:r>
              <w:rPr>
                <w:color w:val="000000"/>
                <w:szCs w:val="21"/>
              </w:rPr>
              <w:t>18</w:t>
            </w:r>
          </w:p>
        </w:tc>
        <w:tc>
          <w:tcPr>
            <w:tcW w:w="0" w:type="auto"/>
            <w:noWrap w:val="0"/>
            <w:vAlign w:val="center"/>
          </w:tcPr>
          <w:p w14:paraId="4F5F639B">
            <w:pPr>
              <w:jc w:val="center"/>
              <w:rPr>
                <w:rFonts w:ascii="楷体_GB2312" w:hAnsi="宋体" w:eastAsia="楷体_GB2312" w:cs="宋体"/>
                <w:color w:val="000000"/>
                <w:szCs w:val="21"/>
              </w:rPr>
            </w:pPr>
            <w:r>
              <w:rPr>
                <w:rFonts w:hint="eastAsia" w:ascii="楷体_GB2312" w:eastAsia="楷体_GB2312"/>
                <w:color w:val="000000"/>
                <w:szCs w:val="21"/>
              </w:rPr>
              <w:t>通达路</w:t>
            </w:r>
          </w:p>
        </w:tc>
        <w:tc>
          <w:tcPr>
            <w:tcW w:w="0" w:type="auto"/>
            <w:noWrap w:val="0"/>
            <w:vAlign w:val="center"/>
          </w:tcPr>
          <w:p w14:paraId="63A251E9">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CC0AC88">
            <w:pPr>
              <w:jc w:val="center"/>
              <w:rPr>
                <w:color w:val="000000"/>
                <w:szCs w:val="21"/>
              </w:rPr>
            </w:pPr>
            <w:r>
              <w:rPr>
                <w:color w:val="000000"/>
                <w:szCs w:val="21"/>
              </w:rPr>
              <w:t>0.4</w:t>
            </w:r>
          </w:p>
        </w:tc>
        <w:tc>
          <w:tcPr>
            <w:tcW w:w="0" w:type="auto"/>
            <w:noWrap w:val="0"/>
            <w:vAlign w:val="center"/>
          </w:tcPr>
          <w:p w14:paraId="21FFA32C">
            <w:pPr>
              <w:jc w:val="center"/>
              <w:rPr>
                <w:color w:val="000000"/>
                <w:szCs w:val="21"/>
              </w:rPr>
            </w:pPr>
            <w:r>
              <w:rPr>
                <w:color w:val="000000"/>
                <w:szCs w:val="21"/>
              </w:rPr>
              <w:t>3</w:t>
            </w:r>
          </w:p>
        </w:tc>
        <w:tc>
          <w:tcPr>
            <w:tcW w:w="0" w:type="auto"/>
            <w:noWrap w:val="0"/>
            <w:vAlign w:val="center"/>
          </w:tcPr>
          <w:p w14:paraId="5843DB5E">
            <w:pPr>
              <w:jc w:val="center"/>
              <w:rPr>
                <w:color w:val="000000"/>
                <w:szCs w:val="21"/>
              </w:rPr>
            </w:pPr>
            <w:r>
              <w:rPr>
                <w:color w:val="000000"/>
                <w:szCs w:val="21"/>
              </w:rPr>
              <w:t>40</w:t>
            </w:r>
          </w:p>
        </w:tc>
        <w:tc>
          <w:tcPr>
            <w:tcW w:w="0" w:type="auto"/>
            <w:noWrap w:val="0"/>
            <w:vAlign w:val="center"/>
          </w:tcPr>
          <w:p w14:paraId="275AEF31">
            <w:pPr>
              <w:jc w:val="center"/>
              <w:rPr>
                <w:color w:val="000000"/>
                <w:szCs w:val="21"/>
              </w:rPr>
            </w:pPr>
            <w:r>
              <w:rPr>
                <w:color w:val="000000"/>
                <w:szCs w:val="21"/>
              </w:rPr>
              <w:t>180</w:t>
            </w:r>
          </w:p>
        </w:tc>
      </w:tr>
      <w:tr w14:paraId="798C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8DF5771">
            <w:pPr>
              <w:jc w:val="center"/>
              <w:rPr>
                <w:color w:val="000000"/>
                <w:szCs w:val="21"/>
              </w:rPr>
            </w:pPr>
            <w:r>
              <w:rPr>
                <w:color w:val="000000"/>
                <w:szCs w:val="21"/>
              </w:rPr>
              <w:t>19</w:t>
            </w:r>
          </w:p>
        </w:tc>
        <w:tc>
          <w:tcPr>
            <w:tcW w:w="0" w:type="auto"/>
            <w:noWrap w:val="0"/>
            <w:vAlign w:val="center"/>
          </w:tcPr>
          <w:p w14:paraId="4B44D5B4">
            <w:pPr>
              <w:jc w:val="center"/>
              <w:rPr>
                <w:rFonts w:ascii="楷体_GB2312" w:hAnsi="宋体" w:eastAsia="楷体_GB2312" w:cs="宋体"/>
                <w:color w:val="000000"/>
                <w:szCs w:val="21"/>
              </w:rPr>
            </w:pPr>
            <w:r>
              <w:rPr>
                <w:rFonts w:hint="eastAsia" w:ascii="楷体_GB2312" w:eastAsia="楷体_GB2312"/>
                <w:color w:val="000000"/>
                <w:szCs w:val="21"/>
              </w:rPr>
              <w:t>康庄路</w:t>
            </w:r>
          </w:p>
        </w:tc>
        <w:tc>
          <w:tcPr>
            <w:tcW w:w="0" w:type="auto"/>
            <w:noWrap w:val="0"/>
            <w:vAlign w:val="center"/>
          </w:tcPr>
          <w:p w14:paraId="75076B7F">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420ECE83">
            <w:pPr>
              <w:jc w:val="center"/>
              <w:rPr>
                <w:color w:val="000000"/>
                <w:szCs w:val="21"/>
              </w:rPr>
            </w:pPr>
            <w:r>
              <w:rPr>
                <w:color w:val="000000"/>
                <w:szCs w:val="21"/>
              </w:rPr>
              <w:t>0.4</w:t>
            </w:r>
          </w:p>
        </w:tc>
        <w:tc>
          <w:tcPr>
            <w:tcW w:w="0" w:type="auto"/>
            <w:noWrap w:val="0"/>
            <w:vAlign w:val="center"/>
          </w:tcPr>
          <w:p w14:paraId="18E547F5">
            <w:pPr>
              <w:jc w:val="center"/>
              <w:rPr>
                <w:color w:val="000000"/>
                <w:szCs w:val="21"/>
              </w:rPr>
            </w:pPr>
            <w:r>
              <w:rPr>
                <w:color w:val="000000"/>
                <w:szCs w:val="21"/>
              </w:rPr>
              <w:t>3</w:t>
            </w:r>
          </w:p>
        </w:tc>
        <w:tc>
          <w:tcPr>
            <w:tcW w:w="0" w:type="auto"/>
            <w:noWrap w:val="0"/>
            <w:vAlign w:val="center"/>
          </w:tcPr>
          <w:p w14:paraId="7CAD2223">
            <w:pPr>
              <w:jc w:val="center"/>
              <w:rPr>
                <w:color w:val="000000"/>
                <w:szCs w:val="21"/>
              </w:rPr>
            </w:pPr>
            <w:r>
              <w:rPr>
                <w:color w:val="000000"/>
                <w:szCs w:val="21"/>
              </w:rPr>
              <w:t>40</w:t>
            </w:r>
          </w:p>
        </w:tc>
        <w:tc>
          <w:tcPr>
            <w:tcW w:w="0" w:type="auto"/>
            <w:noWrap w:val="0"/>
            <w:vAlign w:val="center"/>
          </w:tcPr>
          <w:p w14:paraId="32CF9192">
            <w:pPr>
              <w:jc w:val="center"/>
              <w:rPr>
                <w:color w:val="000000"/>
                <w:szCs w:val="21"/>
              </w:rPr>
            </w:pPr>
            <w:r>
              <w:rPr>
                <w:color w:val="000000"/>
                <w:szCs w:val="21"/>
              </w:rPr>
              <w:t>180</w:t>
            </w:r>
          </w:p>
        </w:tc>
      </w:tr>
      <w:tr w14:paraId="121E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E5D12BC">
            <w:pPr>
              <w:jc w:val="center"/>
              <w:rPr>
                <w:color w:val="000000"/>
                <w:szCs w:val="21"/>
              </w:rPr>
            </w:pPr>
            <w:r>
              <w:rPr>
                <w:color w:val="000000"/>
                <w:szCs w:val="21"/>
              </w:rPr>
              <w:t>20</w:t>
            </w:r>
          </w:p>
        </w:tc>
        <w:tc>
          <w:tcPr>
            <w:tcW w:w="0" w:type="auto"/>
            <w:noWrap w:val="0"/>
            <w:vAlign w:val="center"/>
          </w:tcPr>
          <w:p w14:paraId="7EC7CEA3">
            <w:pPr>
              <w:jc w:val="center"/>
              <w:rPr>
                <w:rFonts w:ascii="楷体_GB2312" w:hAnsi="宋体" w:eastAsia="楷体_GB2312" w:cs="宋体"/>
                <w:color w:val="000000"/>
                <w:szCs w:val="21"/>
              </w:rPr>
            </w:pPr>
            <w:r>
              <w:rPr>
                <w:rFonts w:hint="eastAsia" w:ascii="楷体_GB2312" w:eastAsia="楷体_GB2312"/>
                <w:color w:val="000000"/>
                <w:szCs w:val="21"/>
              </w:rPr>
              <w:t>科技路</w:t>
            </w:r>
          </w:p>
        </w:tc>
        <w:tc>
          <w:tcPr>
            <w:tcW w:w="0" w:type="auto"/>
            <w:noWrap w:val="0"/>
            <w:vAlign w:val="center"/>
          </w:tcPr>
          <w:p w14:paraId="53F542A3">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97EA923">
            <w:pPr>
              <w:jc w:val="center"/>
              <w:rPr>
                <w:color w:val="000000"/>
                <w:szCs w:val="21"/>
              </w:rPr>
            </w:pPr>
            <w:r>
              <w:rPr>
                <w:color w:val="000000"/>
                <w:szCs w:val="21"/>
              </w:rPr>
              <w:t>0.4</w:t>
            </w:r>
          </w:p>
        </w:tc>
        <w:tc>
          <w:tcPr>
            <w:tcW w:w="0" w:type="auto"/>
            <w:noWrap w:val="0"/>
            <w:vAlign w:val="center"/>
          </w:tcPr>
          <w:p w14:paraId="53FFFC00">
            <w:pPr>
              <w:jc w:val="center"/>
              <w:rPr>
                <w:color w:val="000000"/>
                <w:szCs w:val="21"/>
              </w:rPr>
            </w:pPr>
            <w:r>
              <w:rPr>
                <w:color w:val="000000"/>
                <w:szCs w:val="21"/>
              </w:rPr>
              <w:t>3</w:t>
            </w:r>
          </w:p>
        </w:tc>
        <w:tc>
          <w:tcPr>
            <w:tcW w:w="0" w:type="auto"/>
            <w:noWrap w:val="0"/>
            <w:vAlign w:val="center"/>
          </w:tcPr>
          <w:p w14:paraId="4142779E">
            <w:pPr>
              <w:jc w:val="center"/>
              <w:rPr>
                <w:color w:val="000000"/>
                <w:szCs w:val="21"/>
              </w:rPr>
            </w:pPr>
            <w:r>
              <w:rPr>
                <w:color w:val="000000"/>
                <w:szCs w:val="21"/>
              </w:rPr>
              <w:t>40</w:t>
            </w:r>
          </w:p>
        </w:tc>
        <w:tc>
          <w:tcPr>
            <w:tcW w:w="0" w:type="auto"/>
            <w:noWrap w:val="0"/>
            <w:vAlign w:val="center"/>
          </w:tcPr>
          <w:p w14:paraId="2D0BE2AA">
            <w:pPr>
              <w:jc w:val="center"/>
              <w:rPr>
                <w:color w:val="000000"/>
                <w:szCs w:val="21"/>
              </w:rPr>
            </w:pPr>
            <w:r>
              <w:rPr>
                <w:color w:val="000000"/>
                <w:szCs w:val="21"/>
              </w:rPr>
              <w:t>180</w:t>
            </w:r>
          </w:p>
        </w:tc>
      </w:tr>
      <w:tr w14:paraId="51DE0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6EC9675">
            <w:pPr>
              <w:jc w:val="center"/>
              <w:rPr>
                <w:color w:val="000000"/>
                <w:szCs w:val="21"/>
              </w:rPr>
            </w:pPr>
            <w:r>
              <w:rPr>
                <w:color w:val="000000"/>
                <w:szCs w:val="21"/>
              </w:rPr>
              <w:t>21</w:t>
            </w:r>
          </w:p>
        </w:tc>
        <w:tc>
          <w:tcPr>
            <w:tcW w:w="0" w:type="auto"/>
            <w:noWrap w:val="0"/>
            <w:vAlign w:val="center"/>
          </w:tcPr>
          <w:p w14:paraId="1810AA62">
            <w:pPr>
              <w:jc w:val="center"/>
              <w:rPr>
                <w:rFonts w:ascii="楷体_GB2312" w:hAnsi="宋体" w:eastAsia="楷体_GB2312" w:cs="宋体"/>
                <w:color w:val="000000"/>
                <w:szCs w:val="21"/>
              </w:rPr>
            </w:pPr>
            <w:r>
              <w:rPr>
                <w:rFonts w:hint="eastAsia" w:ascii="楷体_GB2312" w:eastAsia="楷体_GB2312"/>
                <w:color w:val="000000"/>
                <w:szCs w:val="21"/>
              </w:rPr>
              <w:t>新村路</w:t>
            </w:r>
          </w:p>
        </w:tc>
        <w:tc>
          <w:tcPr>
            <w:tcW w:w="0" w:type="auto"/>
            <w:noWrap w:val="0"/>
            <w:vAlign w:val="center"/>
          </w:tcPr>
          <w:p w14:paraId="59A0CD99">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436424C5">
            <w:pPr>
              <w:jc w:val="center"/>
              <w:rPr>
                <w:color w:val="000000"/>
                <w:szCs w:val="21"/>
              </w:rPr>
            </w:pPr>
            <w:r>
              <w:rPr>
                <w:color w:val="000000"/>
                <w:szCs w:val="21"/>
              </w:rPr>
              <w:t>0.4</w:t>
            </w:r>
          </w:p>
        </w:tc>
        <w:tc>
          <w:tcPr>
            <w:tcW w:w="0" w:type="auto"/>
            <w:noWrap w:val="0"/>
            <w:vAlign w:val="center"/>
          </w:tcPr>
          <w:p w14:paraId="6917FFC5">
            <w:pPr>
              <w:jc w:val="center"/>
              <w:rPr>
                <w:color w:val="000000"/>
                <w:szCs w:val="21"/>
              </w:rPr>
            </w:pPr>
            <w:r>
              <w:rPr>
                <w:color w:val="000000"/>
                <w:szCs w:val="21"/>
              </w:rPr>
              <w:t>3</w:t>
            </w:r>
          </w:p>
        </w:tc>
        <w:tc>
          <w:tcPr>
            <w:tcW w:w="0" w:type="auto"/>
            <w:noWrap w:val="0"/>
            <w:vAlign w:val="center"/>
          </w:tcPr>
          <w:p w14:paraId="1BF0A7BF">
            <w:pPr>
              <w:jc w:val="center"/>
              <w:rPr>
                <w:color w:val="000000"/>
                <w:szCs w:val="21"/>
              </w:rPr>
            </w:pPr>
            <w:r>
              <w:rPr>
                <w:color w:val="000000"/>
                <w:szCs w:val="21"/>
              </w:rPr>
              <w:t>40</w:t>
            </w:r>
          </w:p>
        </w:tc>
        <w:tc>
          <w:tcPr>
            <w:tcW w:w="0" w:type="auto"/>
            <w:noWrap w:val="0"/>
            <w:vAlign w:val="center"/>
          </w:tcPr>
          <w:p w14:paraId="52FF4B3C">
            <w:pPr>
              <w:jc w:val="center"/>
              <w:rPr>
                <w:color w:val="000000"/>
                <w:szCs w:val="21"/>
              </w:rPr>
            </w:pPr>
            <w:r>
              <w:rPr>
                <w:color w:val="000000"/>
                <w:szCs w:val="21"/>
              </w:rPr>
              <w:t>180</w:t>
            </w:r>
          </w:p>
        </w:tc>
      </w:tr>
      <w:tr w14:paraId="2033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5E3D478">
            <w:pPr>
              <w:jc w:val="center"/>
              <w:rPr>
                <w:color w:val="000000"/>
                <w:szCs w:val="21"/>
              </w:rPr>
            </w:pPr>
            <w:r>
              <w:rPr>
                <w:color w:val="000000"/>
                <w:szCs w:val="21"/>
              </w:rPr>
              <w:t>22</w:t>
            </w:r>
          </w:p>
        </w:tc>
        <w:tc>
          <w:tcPr>
            <w:tcW w:w="0" w:type="auto"/>
            <w:noWrap w:val="0"/>
            <w:vAlign w:val="center"/>
          </w:tcPr>
          <w:p w14:paraId="04BDDD34">
            <w:pPr>
              <w:jc w:val="center"/>
              <w:rPr>
                <w:rFonts w:ascii="楷体_GB2312" w:hAnsi="宋体" w:eastAsia="楷体_GB2312" w:cs="宋体"/>
                <w:color w:val="000000"/>
                <w:szCs w:val="21"/>
              </w:rPr>
            </w:pPr>
            <w:r>
              <w:rPr>
                <w:rFonts w:hint="eastAsia" w:ascii="楷体_GB2312" w:eastAsia="楷体_GB2312"/>
                <w:color w:val="000000"/>
                <w:szCs w:val="21"/>
              </w:rPr>
              <w:t>谐和路</w:t>
            </w:r>
          </w:p>
        </w:tc>
        <w:tc>
          <w:tcPr>
            <w:tcW w:w="0" w:type="auto"/>
            <w:noWrap w:val="0"/>
            <w:vAlign w:val="center"/>
          </w:tcPr>
          <w:p w14:paraId="7066D7BA">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0C3861DE">
            <w:pPr>
              <w:jc w:val="center"/>
              <w:rPr>
                <w:color w:val="000000"/>
                <w:szCs w:val="21"/>
              </w:rPr>
            </w:pPr>
            <w:r>
              <w:rPr>
                <w:color w:val="000000"/>
                <w:szCs w:val="21"/>
              </w:rPr>
              <w:t>0.4</w:t>
            </w:r>
          </w:p>
        </w:tc>
        <w:tc>
          <w:tcPr>
            <w:tcW w:w="0" w:type="auto"/>
            <w:noWrap w:val="0"/>
            <w:vAlign w:val="center"/>
          </w:tcPr>
          <w:p w14:paraId="16F1EEBF">
            <w:pPr>
              <w:jc w:val="center"/>
              <w:rPr>
                <w:color w:val="000000"/>
                <w:szCs w:val="21"/>
              </w:rPr>
            </w:pPr>
            <w:r>
              <w:rPr>
                <w:color w:val="000000"/>
                <w:szCs w:val="21"/>
              </w:rPr>
              <w:t>3</w:t>
            </w:r>
          </w:p>
        </w:tc>
        <w:tc>
          <w:tcPr>
            <w:tcW w:w="0" w:type="auto"/>
            <w:noWrap w:val="0"/>
            <w:vAlign w:val="center"/>
          </w:tcPr>
          <w:p w14:paraId="0D7F850A">
            <w:pPr>
              <w:jc w:val="center"/>
              <w:rPr>
                <w:color w:val="000000"/>
                <w:szCs w:val="21"/>
              </w:rPr>
            </w:pPr>
            <w:r>
              <w:rPr>
                <w:color w:val="000000"/>
                <w:szCs w:val="21"/>
              </w:rPr>
              <w:t>40</w:t>
            </w:r>
          </w:p>
        </w:tc>
        <w:tc>
          <w:tcPr>
            <w:tcW w:w="0" w:type="auto"/>
            <w:noWrap w:val="0"/>
            <w:vAlign w:val="center"/>
          </w:tcPr>
          <w:p w14:paraId="5F84C95B">
            <w:pPr>
              <w:jc w:val="center"/>
              <w:rPr>
                <w:color w:val="000000"/>
                <w:szCs w:val="21"/>
              </w:rPr>
            </w:pPr>
            <w:r>
              <w:rPr>
                <w:color w:val="000000"/>
                <w:szCs w:val="21"/>
              </w:rPr>
              <w:t>180</w:t>
            </w:r>
          </w:p>
        </w:tc>
      </w:tr>
      <w:tr w14:paraId="10F2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FB5CF3E">
            <w:pPr>
              <w:jc w:val="center"/>
              <w:rPr>
                <w:color w:val="000000"/>
                <w:szCs w:val="21"/>
              </w:rPr>
            </w:pPr>
            <w:r>
              <w:rPr>
                <w:color w:val="000000"/>
                <w:szCs w:val="21"/>
              </w:rPr>
              <w:t>23</w:t>
            </w:r>
          </w:p>
        </w:tc>
        <w:tc>
          <w:tcPr>
            <w:tcW w:w="0" w:type="auto"/>
            <w:noWrap w:val="0"/>
            <w:vAlign w:val="center"/>
          </w:tcPr>
          <w:p w14:paraId="1D60E150">
            <w:pPr>
              <w:jc w:val="center"/>
              <w:rPr>
                <w:rFonts w:ascii="楷体_GB2312" w:hAnsi="宋体" w:eastAsia="楷体_GB2312" w:cs="宋体"/>
                <w:color w:val="000000"/>
                <w:szCs w:val="21"/>
              </w:rPr>
            </w:pPr>
            <w:r>
              <w:rPr>
                <w:rFonts w:hint="eastAsia" w:ascii="楷体_GB2312" w:eastAsia="楷体_GB2312"/>
                <w:color w:val="000000"/>
                <w:szCs w:val="21"/>
              </w:rPr>
              <w:t>滨河西路</w:t>
            </w:r>
          </w:p>
        </w:tc>
        <w:tc>
          <w:tcPr>
            <w:tcW w:w="0" w:type="auto"/>
            <w:noWrap w:val="0"/>
            <w:vAlign w:val="center"/>
          </w:tcPr>
          <w:p w14:paraId="10DEC040">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15961A7">
            <w:pPr>
              <w:jc w:val="center"/>
              <w:rPr>
                <w:color w:val="000000"/>
                <w:szCs w:val="21"/>
              </w:rPr>
            </w:pPr>
            <w:r>
              <w:rPr>
                <w:color w:val="000000"/>
                <w:szCs w:val="21"/>
              </w:rPr>
              <w:t>0.4</w:t>
            </w:r>
          </w:p>
        </w:tc>
        <w:tc>
          <w:tcPr>
            <w:tcW w:w="0" w:type="auto"/>
            <w:noWrap w:val="0"/>
            <w:vAlign w:val="center"/>
          </w:tcPr>
          <w:p w14:paraId="2D4A44C9">
            <w:pPr>
              <w:jc w:val="center"/>
              <w:rPr>
                <w:color w:val="000000"/>
                <w:szCs w:val="21"/>
              </w:rPr>
            </w:pPr>
            <w:r>
              <w:rPr>
                <w:color w:val="000000"/>
                <w:szCs w:val="21"/>
              </w:rPr>
              <w:t>3</w:t>
            </w:r>
          </w:p>
        </w:tc>
        <w:tc>
          <w:tcPr>
            <w:tcW w:w="0" w:type="auto"/>
            <w:noWrap w:val="0"/>
            <w:vAlign w:val="center"/>
          </w:tcPr>
          <w:p w14:paraId="624CAEC8">
            <w:pPr>
              <w:jc w:val="center"/>
              <w:rPr>
                <w:color w:val="000000"/>
                <w:szCs w:val="21"/>
              </w:rPr>
            </w:pPr>
            <w:r>
              <w:rPr>
                <w:color w:val="000000"/>
                <w:szCs w:val="21"/>
              </w:rPr>
              <w:t>40</w:t>
            </w:r>
          </w:p>
        </w:tc>
        <w:tc>
          <w:tcPr>
            <w:tcW w:w="0" w:type="auto"/>
            <w:noWrap w:val="0"/>
            <w:vAlign w:val="center"/>
          </w:tcPr>
          <w:p w14:paraId="6DBA7426">
            <w:pPr>
              <w:jc w:val="center"/>
              <w:rPr>
                <w:color w:val="000000"/>
                <w:szCs w:val="21"/>
              </w:rPr>
            </w:pPr>
            <w:r>
              <w:rPr>
                <w:color w:val="000000"/>
                <w:szCs w:val="21"/>
              </w:rPr>
              <w:t>180</w:t>
            </w:r>
          </w:p>
        </w:tc>
      </w:tr>
      <w:tr w14:paraId="538E9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3C97CFE">
            <w:pPr>
              <w:jc w:val="center"/>
              <w:rPr>
                <w:color w:val="000000"/>
                <w:szCs w:val="21"/>
              </w:rPr>
            </w:pPr>
            <w:r>
              <w:rPr>
                <w:color w:val="000000"/>
                <w:szCs w:val="21"/>
              </w:rPr>
              <w:t>24</w:t>
            </w:r>
          </w:p>
        </w:tc>
        <w:tc>
          <w:tcPr>
            <w:tcW w:w="0" w:type="auto"/>
            <w:noWrap w:val="0"/>
            <w:vAlign w:val="center"/>
          </w:tcPr>
          <w:p w14:paraId="05E1498D">
            <w:pPr>
              <w:jc w:val="center"/>
              <w:rPr>
                <w:rFonts w:ascii="楷体_GB2312" w:hAnsi="宋体" w:eastAsia="楷体_GB2312" w:cs="宋体"/>
                <w:color w:val="000000"/>
                <w:szCs w:val="21"/>
              </w:rPr>
            </w:pPr>
            <w:r>
              <w:rPr>
                <w:rFonts w:hint="eastAsia" w:ascii="楷体_GB2312" w:eastAsia="楷体_GB2312"/>
                <w:color w:val="000000"/>
                <w:szCs w:val="21"/>
              </w:rPr>
              <w:t>滨河东路</w:t>
            </w:r>
          </w:p>
        </w:tc>
        <w:tc>
          <w:tcPr>
            <w:tcW w:w="0" w:type="auto"/>
            <w:noWrap w:val="0"/>
            <w:vAlign w:val="center"/>
          </w:tcPr>
          <w:p w14:paraId="16A1E761">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4BDADCC">
            <w:pPr>
              <w:jc w:val="center"/>
              <w:rPr>
                <w:color w:val="000000"/>
                <w:szCs w:val="21"/>
              </w:rPr>
            </w:pPr>
            <w:r>
              <w:rPr>
                <w:color w:val="000000"/>
                <w:szCs w:val="21"/>
              </w:rPr>
              <w:t>0.4</w:t>
            </w:r>
          </w:p>
        </w:tc>
        <w:tc>
          <w:tcPr>
            <w:tcW w:w="0" w:type="auto"/>
            <w:noWrap w:val="0"/>
            <w:vAlign w:val="center"/>
          </w:tcPr>
          <w:p w14:paraId="1C7FDD56">
            <w:pPr>
              <w:jc w:val="center"/>
              <w:rPr>
                <w:color w:val="000000"/>
                <w:szCs w:val="21"/>
              </w:rPr>
            </w:pPr>
            <w:r>
              <w:rPr>
                <w:color w:val="000000"/>
                <w:szCs w:val="21"/>
              </w:rPr>
              <w:t>3</w:t>
            </w:r>
          </w:p>
        </w:tc>
        <w:tc>
          <w:tcPr>
            <w:tcW w:w="0" w:type="auto"/>
            <w:noWrap w:val="0"/>
            <w:vAlign w:val="center"/>
          </w:tcPr>
          <w:p w14:paraId="09C927B1">
            <w:pPr>
              <w:jc w:val="center"/>
              <w:rPr>
                <w:color w:val="000000"/>
                <w:szCs w:val="21"/>
              </w:rPr>
            </w:pPr>
            <w:r>
              <w:rPr>
                <w:color w:val="000000"/>
                <w:szCs w:val="21"/>
              </w:rPr>
              <w:t>40</w:t>
            </w:r>
          </w:p>
        </w:tc>
        <w:tc>
          <w:tcPr>
            <w:tcW w:w="0" w:type="auto"/>
            <w:noWrap w:val="0"/>
            <w:vAlign w:val="center"/>
          </w:tcPr>
          <w:p w14:paraId="2A9FB6AF">
            <w:pPr>
              <w:jc w:val="center"/>
              <w:rPr>
                <w:color w:val="000000"/>
                <w:szCs w:val="21"/>
              </w:rPr>
            </w:pPr>
            <w:r>
              <w:rPr>
                <w:color w:val="000000"/>
                <w:szCs w:val="21"/>
              </w:rPr>
              <w:t>180</w:t>
            </w:r>
          </w:p>
        </w:tc>
      </w:tr>
      <w:tr w14:paraId="3D9AA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0D5DFEE">
            <w:pPr>
              <w:jc w:val="center"/>
              <w:rPr>
                <w:color w:val="000000"/>
                <w:szCs w:val="21"/>
              </w:rPr>
            </w:pPr>
            <w:r>
              <w:rPr>
                <w:color w:val="000000"/>
                <w:szCs w:val="21"/>
              </w:rPr>
              <w:t>25</w:t>
            </w:r>
          </w:p>
        </w:tc>
        <w:tc>
          <w:tcPr>
            <w:tcW w:w="0" w:type="auto"/>
            <w:noWrap w:val="0"/>
            <w:vAlign w:val="center"/>
          </w:tcPr>
          <w:p w14:paraId="6DD68A6E">
            <w:pPr>
              <w:jc w:val="center"/>
              <w:rPr>
                <w:rFonts w:ascii="楷体_GB2312" w:hAnsi="宋体" w:eastAsia="楷体_GB2312" w:cs="宋体"/>
                <w:color w:val="000000"/>
                <w:szCs w:val="21"/>
              </w:rPr>
            </w:pPr>
            <w:r>
              <w:rPr>
                <w:rFonts w:hint="eastAsia" w:ascii="楷体_GB2312" w:eastAsia="楷体_GB2312"/>
                <w:color w:val="000000"/>
                <w:szCs w:val="21"/>
              </w:rPr>
              <w:t>袍泽路</w:t>
            </w:r>
          </w:p>
        </w:tc>
        <w:tc>
          <w:tcPr>
            <w:tcW w:w="0" w:type="auto"/>
            <w:noWrap w:val="0"/>
            <w:vAlign w:val="center"/>
          </w:tcPr>
          <w:p w14:paraId="6DB1FFB6">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559FBAAE">
            <w:pPr>
              <w:jc w:val="center"/>
              <w:rPr>
                <w:color w:val="000000"/>
                <w:szCs w:val="21"/>
              </w:rPr>
            </w:pPr>
            <w:r>
              <w:rPr>
                <w:color w:val="000000"/>
                <w:szCs w:val="21"/>
              </w:rPr>
              <w:t>0.4</w:t>
            </w:r>
          </w:p>
        </w:tc>
        <w:tc>
          <w:tcPr>
            <w:tcW w:w="0" w:type="auto"/>
            <w:noWrap w:val="0"/>
            <w:vAlign w:val="center"/>
          </w:tcPr>
          <w:p w14:paraId="0820921E">
            <w:pPr>
              <w:jc w:val="center"/>
              <w:rPr>
                <w:color w:val="000000"/>
                <w:szCs w:val="21"/>
              </w:rPr>
            </w:pPr>
            <w:r>
              <w:rPr>
                <w:color w:val="000000"/>
                <w:szCs w:val="21"/>
              </w:rPr>
              <w:t>3</w:t>
            </w:r>
          </w:p>
        </w:tc>
        <w:tc>
          <w:tcPr>
            <w:tcW w:w="0" w:type="auto"/>
            <w:noWrap w:val="0"/>
            <w:vAlign w:val="center"/>
          </w:tcPr>
          <w:p w14:paraId="017F0273">
            <w:pPr>
              <w:jc w:val="center"/>
              <w:rPr>
                <w:color w:val="000000"/>
                <w:szCs w:val="21"/>
              </w:rPr>
            </w:pPr>
            <w:r>
              <w:rPr>
                <w:color w:val="000000"/>
                <w:szCs w:val="21"/>
              </w:rPr>
              <w:t>40</w:t>
            </w:r>
          </w:p>
        </w:tc>
        <w:tc>
          <w:tcPr>
            <w:tcW w:w="0" w:type="auto"/>
            <w:noWrap w:val="0"/>
            <w:vAlign w:val="center"/>
          </w:tcPr>
          <w:p w14:paraId="695D2A89">
            <w:pPr>
              <w:jc w:val="center"/>
              <w:rPr>
                <w:color w:val="000000"/>
                <w:szCs w:val="21"/>
              </w:rPr>
            </w:pPr>
            <w:r>
              <w:rPr>
                <w:color w:val="000000"/>
                <w:szCs w:val="21"/>
              </w:rPr>
              <w:t>180</w:t>
            </w:r>
          </w:p>
        </w:tc>
      </w:tr>
    </w:tbl>
    <w:p w14:paraId="14C7F0EF">
      <w:pPr>
        <w:jc w:val="center"/>
        <w:rPr>
          <w:rFonts w:eastAsia="黑体"/>
          <w:sz w:val="28"/>
        </w:rPr>
      </w:pPr>
      <w:r>
        <w:rPr>
          <w:rFonts w:eastAsia="黑体"/>
          <w:sz w:val="28"/>
        </w:rPr>
        <w:t>表1-3-</w:t>
      </w:r>
      <w:r>
        <w:rPr>
          <w:rFonts w:hint="eastAsia" w:eastAsia="黑体"/>
          <w:sz w:val="28"/>
        </w:rPr>
        <w:t>2</w:t>
      </w:r>
      <w:r>
        <w:rPr>
          <w:rFonts w:eastAsia="黑体"/>
          <w:sz w:val="28"/>
        </w:rPr>
        <w:t xml:space="preserve">4  </w:t>
      </w:r>
      <w:r>
        <w:rPr>
          <w:rFonts w:hint="eastAsia" w:eastAsia="黑体"/>
          <w:sz w:val="28"/>
        </w:rPr>
        <w:t>永安镇</w:t>
      </w:r>
      <w:r>
        <w:rPr>
          <w:rFonts w:eastAsia="黑体"/>
          <w:sz w:val="28"/>
        </w:rPr>
        <w:t>镇区道路状况及其功能分及影响距离表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460"/>
        <w:gridCol w:w="1460"/>
        <w:gridCol w:w="1460"/>
        <w:gridCol w:w="879"/>
        <w:gridCol w:w="1170"/>
        <w:gridCol w:w="1460"/>
      </w:tblGrid>
      <w:tr w14:paraId="76C1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A8FCB6B">
            <w:pPr>
              <w:jc w:val="center"/>
              <w:rPr>
                <w:rFonts w:eastAsia="楷体_GB2312"/>
              </w:rPr>
            </w:pPr>
            <w:r>
              <w:rPr>
                <w:rFonts w:eastAsia="楷体_GB2312"/>
              </w:rPr>
              <w:t>道路编号</w:t>
            </w:r>
          </w:p>
        </w:tc>
        <w:tc>
          <w:tcPr>
            <w:tcW w:w="0" w:type="auto"/>
            <w:noWrap w:val="0"/>
            <w:vAlign w:val="center"/>
          </w:tcPr>
          <w:p w14:paraId="4F1C1D09">
            <w:pPr>
              <w:jc w:val="center"/>
              <w:rPr>
                <w:rFonts w:eastAsia="楷体_GB2312"/>
              </w:rPr>
            </w:pPr>
            <w:r>
              <w:rPr>
                <w:rFonts w:eastAsia="楷体_GB2312"/>
              </w:rPr>
              <w:t>道路名称</w:t>
            </w:r>
          </w:p>
        </w:tc>
        <w:tc>
          <w:tcPr>
            <w:tcW w:w="0" w:type="auto"/>
            <w:noWrap w:val="0"/>
            <w:vAlign w:val="center"/>
          </w:tcPr>
          <w:p w14:paraId="397B12C7">
            <w:pPr>
              <w:jc w:val="center"/>
              <w:rPr>
                <w:rFonts w:eastAsia="楷体_GB2312"/>
              </w:rPr>
            </w:pPr>
            <w:r>
              <w:rPr>
                <w:rFonts w:eastAsia="楷体_GB2312"/>
              </w:rPr>
              <w:t>道路类型</w:t>
            </w:r>
          </w:p>
        </w:tc>
        <w:tc>
          <w:tcPr>
            <w:tcW w:w="0" w:type="auto"/>
            <w:noWrap w:val="0"/>
            <w:vAlign w:val="center"/>
          </w:tcPr>
          <w:p w14:paraId="4EE2D2C9">
            <w:pPr>
              <w:jc w:val="center"/>
              <w:rPr>
                <w:rFonts w:eastAsia="楷体_GB2312"/>
              </w:rPr>
            </w:pPr>
            <w:r>
              <w:rPr>
                <w:rFonts w:eastAsia="楷体_GB2312"/>
              </w:rPr>
              <w:t>作用指数</w:t>
            </w:r>
          </w:p>
        </w:tc>
        <w:tc>
          <w:tcPr>
            <w:tcW w:w="0" w:type="auto"/>
            <w:noWrap w:val="0"/>
            <w:vAlign w:val="center"/>
          </w:tcPr>
          <w:p w14:paraId="484191DF">
            <w:pPr>
              <w:jc w:val="center"/>
              <w:rPr>
                <w:rFonts w:eastAsia="楷体_GB2312"/>
              </w:rPr>
            </w:pPr>
            <w:r>
              <w:rPr>
                <w:rFonts w:eastAsia="楷体_GB2312"/>
              </w:rPr>
              <w:t>级别</w:t>
            </w:r>
          </w:p>
        </w:tc>
        <w:tc>
          <w:tcPr>
            <w:tcW w:w="0" w:type="auto"/>
            <w:noWrap w:val="0"/>
            <w:vAlign w:val="center"/>
          </w:tcPr>
          <w:p w14:paraId="0DE9E086">
            <w:pPr>
              <w:jc w:val="center"/>
              <w:rPr>
                <w:rFonts w:eastAsia="楷体_GB2312"/>
              </w:rPr>
            </w:pPr>
            <w:r>
              <w:rPr>
                <w:rFonts w:eastAsia="楷体_GB2312"/>
              </w:rPr>
              <w:t>功能分</w:t>
            </w:r>
          </w:p>
        </w:tc>
        <w:tc>
          <w:tcPr>
            <w:tcW w:w="0" w:type="auto"/>
            <w:noWrap w:val="0"/>
            <w:vAlign w:val="center"/>
          </w:tcPr>
          <w:p w14:paraId="6244853B">
            <w:pPr>
              <w:jc w:val="center"/>
              <w:rPr>
                <w:rFonts w:eastAsia="楷体_GB2312"/>
              </w:rPr>
            </w:pPr>
            <w:r>
              <w:rPr>
                <w:rFonts w:eastAsia="楷体_GB2312"/>
              </w:rPr>
              <w:t>影响半径</w:t>
            </w:r>
          </w:p>
        </w:tc>
      </w:tr>
      <w:tr w14:paraId="2A2F5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80245CE">
            <w:pPr>
              <w:jc w:val="center"/>
              <w:rPr>
                <w:color w:val="000000"/>
                <w:szCs w:val="21"/>
              </w:rPr>
            </w:pPr>
            <w:r>
              <w:rPr>
                <w:rFonts w:hint="eastAsia"/>
                <w:color w:val="000000"/>
                <w:szCs w:val="21"/>
              </w:rPr>
              <w:t>0</w:t>
            </w:r>
            <w:r>
              <w:rPr>
                <w:color w:val="000000"/>
                <w:szCs w:val="21"/>
              </w:rPr>
              <w:t>1</w:t>
            </w:r>
          </w:p>
        </w:tc>
        <w:tc>
          <w:tcPr>
            <w:tcW w:w="0" w:type="auto"/>
            <w:noWrap w:val="0"/>
            <w:vAlign w:val="center"/>
          </w:tcPr>
          <w:p w14:paraId="46881A4F">
            <w:pPr>
              <w:jc w:val="center"/>
              <w:rPr>
                <w:rFonts w:ascii="楷体_GB2312" w:eastAsia="楷体_GB2312"/>
                <w:color w:val="000000"/>
                <w:szCs w:val="21"/>
              </w:rPr>
            </w:pPr>
            <w:r>
              <w:rPr>
                <w:rFonts w:hint="eastAsia" w:ascii="楷体_GB2312" w:eastAsia="楷体_GB2312"/>
                <w:color w:val="000000"/>
                <w:szCs w:val="21"/>
              </w:rPr>
              <w:t>永庆路</w:t>
            </w:r>
          </w:p>
        </w:tc>
        <w:tc>
          <w:tcPr>
            <w:tcW w:w="0" w:type="auto"/>
            <w:noWrap w:val="0"/>
            <w:vAlign w:val="center"/>
          </w:tcPr>
          <w:p w14:paraId="5D4F94F3">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702D8970">
            <w:pPr>
              <w:jc w:val="center"/>
              <w:rPr>
                <w:color w:val="000000"/>
                <w:szCs w:val="21"/>
              </w:rPr>
            </w:pPr>
            <w:r>
              <w:rPr>
                <w:color w:val="000000"/>
                <w:szCs w:val="21"/>
              </w:rPr>
              <w:t>1</w:t>
            </w:r>
          </w:p>
        </w:tc>
        <w:tc>
          <w:tcPr>
            <w:tcW w:w="0" w:type="auto"/>
            <w:noWrap w:val="0"/>
            <w:vAlign w:val="center"/>
          </w:tcPr>
          <w:p w14:paraId="520AC609">
            <w:pPr>
              <w:jc w:val="center"/>
              <w:rPr>
                <w:color w:val="000000"/>
                <w:szCs w:val="21"/>
              </w:rPr>
            </w:pPr>
            <w:r>
              <w:rPr>
                <w:color w:val="000000"/>
                <w:szCs w:val="21"/>
              </w:rPr>
              <w:t>1</w:t>
            </w:r>
          </w:p>
        </w:tc>
        <w:tc>
          <w:tcPr>
            <w:tcW w:w="0" w:type="auto"/>
            <w:noWrap w:val="0"/>
            <w:vAlign w:val="center"/>
          </w:tcPr>
          <w:p w14:paraId="59414EB1">
            <w:pPr>
              <w:jc w:val="center"/>
              <w:rPr>
                <w:color w:val="000000"/>
                <w:szCs w:val="21"/>
              </w:rPr>
            </w:pPr>
            <w:r>
              <w:rPr>
                <w:color w:val="000000"/>
                <w:szCs w:val="21"/>
              </w:rPr>
              <w:t>100</w:t>
            </w:r>
          </w:p>
        </w:tc>
        <w:tc>
          <w:tcPr>
            <w:tcW w:w="0" w:type="auto"/>
            <w:noWrap w:val="0"/>
            <w:vAlign w:val="center"/>
          </w:tcPr>
          <w:p w14:paraId="60229A4A">
            <w:pPr>
              <w:jc w:val="center"/>
              <w:rPr>
                <w:color w:val="000000"/>
                <w:szCs w:val="21"/>
              </w:rPr>
            </w:pPr>
            <w:r>
              <w:rPr>
                <w:color w:val="000000"/>
                <w:szCs w:val="21"/>
              </w:rPr>
              <w:t>300</w:t>
            </w:r>
          </w:p>
        </w:tc>
      </w:tr>
      <w:tr w14:paraId="06231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702A2C1">
            <w:pPr>
              <w:jc w:val="center"/>
              <w:rPr>
                <w:color w:val="000000"/>
                <w:szCs w:val="21"/>
              </w:rPr>
            </w:pPr>
            <w:r>
              <w:rPr>
                <w:rFonts w:hint="eastAsia"/>
                <w:color w:val="000000"/>
                <w:szCs w:val="21"/>
              </w:rPr>
              <w:t>0</w:t>
            </w:r>
            <w:r>
              <w:rPr>
                <w:color w:val="000000"/>
                <w:szCs w:val="21"/>
              </w:rPr>
              <w:t>2</w:t>
            </w:r>
          </w:p>
        </w:tc>
        <w:tc>
          <w:tcPr>
            <w:tcW w:w="0" w:type="auto"/>
            <w:noWrap w:val="0"/>
            <w:vAlign w:val="center"/>
          </w:tcPr>
          <w:p w14:paraId="4F7EBA3D">
            <w:pPr>
              <w:jc w:val="center"/>
              <w:rPr>
                <w:rFonts w:ascii="楷体_GB2312" w:eastAsia="楷体_GB2312"/>
                <w:color w:val="000000"/>
                <w:szCs w:val="21"/>
              </w:rPr>
            </w:pPr>
            <w:r>
              <w:rPr>
                <w:rFonts w:hint="eastAsia" w:ascii="楷体_GB2312" w:eastAsia="楷体_GB2312"/>
                <w:color w:val="000000"/>
                <w:szCs w:val="21"/>
              </w:rPr>
              <w:t>二徐路</w:t>
            </w:r>
          </w:p>
        </w:tc>
        <w:tc>
          <w:tcPr>
            <w:tcW w:w="0" w:type="auto"/>
            <w:noWrap w:val="0"/>
            <w:vAlign w:val="center"/>
          </w:tcPr>
          <w:p w14:paraId="0A96E5F0">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7C147348">
            <w:pPr>
              <w:jc w:val="center"/>
              <w:rPr>
                <w:color w:val="000000"/>
                <w:szCs w:val="21"/>
              </w:rPr>
            </w:pPr>
            <w:r>
              <w:rPr>
                <w:color w:val="000000"/>
                <w:szCs w:val="21"/>
              </w:rPr>
              <w:t>1</w:t>
            </w:r>
          </w:p>
        </w:tc>
        <w:tc>
          <w:tcPr>
            <w:tcW w:w="0" w:type="auto"/>
            <w:noWrap w:val="0"/>
            <w:vAlign w:val="center"/>
          </w:tcPr>
          <w:p w14:paraId="24FB5929">
            <w:pPr>
              <w:jc w:val="center"/>
              <w:rPr>
                <w:color w:val="000000"/>
                <w:szCs w:val="21"/>
              </w:rPr>
            </w:pPr>
            <w:r>
              <w:rPr>
                <w:color w:val="000000"/>
                <w:szCs w:val="21"/>
              </w:rPr>
              <w:t>1</w:t>
            </w:r>
          </w:p>
        </w:tc>
        <w:tc>
          <w:tcPr>
            <w:tcW w:w="0" w:type="auto"/>
            <w:noWrap w:val="0"/>
            <w:vAlign w:val="center"/>
          </w:tcPr>
          <w:p w14:paraId="25F7F58C">
            <w:pPr>
              <w:jc w:val="center"/>
              <w:rPr>
                <w:color w:val="000000"/>
                <w:szCs w:val="21"/>
              </w:rPr>
            </w:pPr>
            <w:r>
              <w:rPr>
                <w:color w:val="000000"/>
                <w:szCs w:val="21"/>
              </w:rPr>
              <w:t>100</w:t>
            </w:r>
          </w:p>
        </w:tc>
        <w:tc>
          <w:tcPr>
            <w:tcW w:w="0" w:type="auto"/>
            <w:noWrap w:val="0"/>
            <w:vAlign w:val="center"/>
          </w:tcPr>
          <w:p w14:paraId="465E4D66">
            <w:pPr>
              <w:jc w:val="center"/>
              <w:rPr>
                <w:color w:val="000000"/>
                <w:szCs w:val="21"/>
              </w:rPr>
            </w:pPr>
            <w:r>
              <w:rPr>
                <w:color w:val="000000"/>
                <w:szCs w:val="21"/>
              </w:rPr>
              <w:t>300</w:t>
            </w:r>
          </w:p>
        </w:tc>
      </w:tr>
      <w:tr w14:paraId="30B67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645E302">
            <w:pPr>
              <w:jc w:val="center"/>
              <w:rPr>
                <w:color w:val="000000"/>
                <w:szCs w:val="21"/>
              </w:rPr>
            </w:pPr>
            <w:r>
              <w:rPr>
                <w:rFonts w:hint="eastAsia"/>
                <w:color w:val="000000"/>
                <w:szCs w:val="21"/>
              </w:rPr>
              <w:t>0</w:t>
            </w:r>
            <w:r>
              <w:rPr>
                <w:color w:val="000000"/>
                <w:szCs w:val="21"/>
              </w:rPr>
              <w:t>3</w:t>
            </w:r>
          </w:p>
        </w:tc>
        <w:tc>
          <w:tcPr>
            <w:tcW w:w="0" w:type="auto"/>
            <w:noWrap w:val="0"/>
            <w:vAlign w:val="center"/>
          </w:tcPr>
          <w:p w14:paraId="13E7ED17">
            <w:pPr>
              <w:jc w:val="center"/>
              <w:rPr>
                <w:rFonts w:ascii="楷体_GB2312" w:eastAsia="楷体_GB2312"/>
                <w:color w:val="000000"/>
                <w:szCs w:val="21"/>
              </w:rPr>
            </w:pPr>
            <w:r>
              <w:rPr>
                <w:rFonts w:hint="eastAsia" w:ascii="楷体_GB2312" w:eastAsia="楷体_GB2312"/>
                <w:color w:val="000000"/>
                <w:szCs w:val="21"/>
              </w:rPr>
              <w:t>平安大道</w:t>
            </w:r>
          </w:p>
        </w:tc>
        <w:tc>
          <w:tcPr>
            <w:tcW w:w="0" w:type="auto"/>
            <w:noWrap w:val="0"/>
            <w:vAlign w:val="center"/>
          </w:tcPr>
          <w:p w14:paraId="20DC1C21">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4E17DE3E">
            <w:pPr>
              <w:jc w:val="center"/>
              <w:rPr>
                <w:color w:val="000000"/>
                <w:szCs w:val="21"/>
              </w:rPr>
            </w:pPr>
            <w:r>
              <w:rPr>
                <w:color w:val="000000"/>
                <w:szCs w:val="21"/>
              </w:rPr>
              <w:t>1</w:t>
            </w:r>
          </w:p>
        </w:tc>
        <w:tc>
          <w:tcPr>
            <w:tcW w:w="0" w:type="auto"/>
            <w:noWrap w:val="0"/>
            <w:vAlign w:val="center"/>
          </w:tcPr>
          <w:p w14:paraId="6B7CCEF0">
            <w:pPr>
              <w:jc w:val="center"/>
              <w:rPr>
                <w:color w:val="000000"/>
                <w:szCs w:val="21"/>
              </w:rPr>
            </w:pPr>
            <w:r>
              <w:rPr>
                <w:color w:val="000000"/>
                <w:szCs w:val="21"/>
              </w:rPr>
              <w:t>1</w:t>
            </w:r>
          </w:p>
        </w:tc>
        <w:tc>
          <w:tcPr>
            <w:tcW w:w="0" w:type="auto"/>
            <w:noWrap w:val="0"/>
            <w:vAlign w:val="center"/>
          </w:tcPr>
          <w:p w14:paraId="19100CFC">
            <w:pPr>
              <w:jc w:val="center"/>
              <w:rPr>
                <w:color w:val="000000"/>
                <w:szCs w:val="21"/>
              </w:rPr>
            </w:pPr>
            <w:r>
              <w:rPr>
                <w:color w:val="000000"/>
                <w:szCs w:val="21"/>
              </w:rPr>
              <w:t>100</w:t>
            </w:r>
          </w:p>
        </w:tc>
        <w:tc>
          <w:tcPr>
            <w:tcW w:w="0" w:type="auto"/>
            <w:noWrap w:val="0"/>
            <w:vAlign w:val="center"/>
          </w:tcPr>
          <w:p w14:paraId="13801D78">
            <w:pPr>
              <w:jc w:val="center"/>
              <w:rPr>
                <w:color w:val="000000"/>
                <w:szCs w:val="21"/>
              </w:rPr>
            </w:pPr>
            <w:r>
              <w:rPr>
                <w:color w:val="000000"/>
                <w:szCs w:val="21"/>
              </w:rPr>
              <w:t>300</w:t>
            </w:r>
          </w:p>
        </w:tc>
      </w:tr>
      <w:tr w14:paraId="27FE2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D7A3DEA">
            <w:pPr>
              <w:jc w:val="center"/>
              <w:rPr>
                <w:color w:val="000000"/>
                <w:szCs w:val="21"/>
              </w:rPr>
            </w:pPr>
            <w:r>
              <w:rPr>
                <w:rFonts w:hint="eastAsia"/>
                <w:color w:val="000000"/>
                <w:szCs w:val="21"/>
              </w:rPr>
              <w:t>0</w:t>
            </w:r>
            <w:r>
              <w:rPr>
                <w:color w:val="000000"/>
                <w:szCs w:val="21"/>
              </w:rPr>
              <w:t>4</w:t>
            </w:r>
          </w:p>
        </w:tc>
        <w:tc>
          <w:tcPr>
            <w:tcW w:w="0" w:type="auto"/>
            <w:noWrap w:val="0"/>
            <w:vAlign w:val="center"/>
          </w:tcPr>
          <w:p w14:paraId="0F4CDA23">
            <w:pPr>
              <w:jc w:val="center"/>
              <w:rPr>
                <w:rFonts w:ascii="楷体_GB2312" w:eastAsia="楷体_GB2312"/>
                <w:color w:val="000000"/>
                <w:szCs w:val="21"/>
              </w:rPr>
            </w:pPr>
            <w:r>
              <w:rPr>
                <w:rFonts w:hint="eastAsia" w:ascii="楷体_GB2312" w:eastAsia="楷体_GB2312"/>
                <w:color w:val="000000"/>
                <w:szCs w:val="21"/>
              </w:rPr>
              <w:t>永三路</w:t>
            </w:r>
          </w:p>
        </w:tc>
        <w:tc>
          <w:tcPr>
            <w:tcW w:w="0" w:type="auto"/>
            <w:noWrap w:val="0"/>
            <w:vAlign w:val="center"/>
          </w:tcPr>
          <w:p w14:paraId="3AC2CE4C">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701B36A7">
            <w:pPr>
              <w:jc w:val="center"/>
              <w:rPr>
                <w:color w:val="000000"/>
                <w:szCs w:val="21"/>
              </w:rPr>
            </w:pPr>
            <w:r>
              <w:rPr>
                <w:color w:val="000000"/>
                <w:szCs w:val="21"/>
              </w:rPr>
              <w:t>1</w:t>
            </w:r>
          </w:p>
        </w:tc>
        <w:tc>
          <w:tcPr>
            <w:tcW w:w="0" w:type="auto"/>
            <w:noWrap w:val="0"/>
            <w:vAlign w:val="center"/>
          </w:tcPr>
          <w:p w14:paraId="6CE333B0">
            <w:pPr>
              <w:jc w:val="center"/>
              <w:rPr>
                <w:color w:val="000000"/>
                <w:szCs w:val="21"/>
              </w:rPr>
            </w:pPr>
            <w:r>
              <w:rPr>
                <w:color w:val="000000"/>
                <w:szCs w:val="21"/>
              </w:rPr>
              <w:t>1</w:t>
            </w:r>
          </w:p>
        </w:tc>
        <w:tc>
          <w:tcPr>
            <w:tcW w:w="0" w:type="auto"/>
            <w:noWrap w:val="0"/>
            <w:vAlign w:val="center"/>
          </w:tcPr>
          <w:p w14:paraId="58E79AE9">
            <w:pPr>
              <w:jc w:val="center"/>
              <w:rPr>
                <w:color w:val="000000"/>
                <w:szCs w:val="21"/>
              </w:rPr>
            </w:pPr>
            <w:r>
              <w:rPr>
                <w:color w:val="000000"/>
                <w:szCs w:val="21"/>
              </w:rPr>
              <w:t>100</w:t>
            </w:r>
          </w:p>
        </w:tc>
        <w:tc>
          <w:tcPr>
            <w:tcW w:w="0" w:type="auto"/>
            <w:noWrap w:val="0"/>
            <w:vAlign w:val="center"/>
          </w:tcPr>
          <w:p w14:paraId="34B7DBBA">
            <w:pPr>
              <w:jc w:val="center"/>
              <w:rPr>
                <w:color w:val="000000"/>
                <w:szCs w:val="21"/>
              </w:rPr>
            </w:pPr>
            <w:r>
              <w:rPr>
                <w:color w:val="000000"/>
                <w:szCs w:val="21"/>
              </w:rPr>
              <w:t>300</w:t>
            </w:r>
          </w:p>
        </w:tc>
      </w:tr>
      <w:tr w14:paraId="24331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967D7EB">
            <w:pPr>
              <w:jc w:val="center"/>
              <w:rPr>
                <w:color w:val="000000"/>
                <w:szCs w:val="21"/>
              </w:rPr>
            </w:pPr>
            <w:r>
              <w:rPr>
                <w:rFonts w:hint="eastAsia"/>
                <w:color w:val="000000"/>
                <w:szCs w:val="21"/>
              </w:rPr>
              <w:t>0</w:t>
            </w:r>
            <w:r>
              <w:rPr>
                <w:color w:val="000000"/>
                <w:szCs w:val="21"/>
              </w:rPr>
              <w:t>5</w:t>
            </w:r>
          </w:p>
        </w:tc>
        <w:tc>
          <w:tcPr>
            <w:tcW w:w="0" w:type="auto"/>
            <w:noWrap w:val="0"/>
            <w:vAlign w:val="center"/>
          </w:tcPr>
          <w:p w14:paraId="082B655F">
            <w:pPr>
              <w:jc w:val="center"/>
              <w:rPr>
                <w:rFonts w:ascii="楷体_GB2312" w:eastAsia="楷体_GB2312"/>
                <w:color w:val="000000"/>
                <w:szCs w:val="21"/>
              </w:rPr>
            </w:pPr>
            <w:r>
              <w:rPr>
                <w:rFonts w:hint="eastAsia" w:ascii="楷体_GB2312" w:eastAsia="楷体_GB2312"/>
                <w:color w:val="000000"/>
                <w:szCs w:val="21"/>
              </w:rPr>
              <w:t>永中路</w:t>
            </w:r>
          </w:p>
        </w:tc>
        <w:tc>
          <w:tcPr>
            <w:tcW w:w="0" w:type="auto"/>
            <w:noWrap w:val="0"/>
            <w:vAlign w:val="center"/>
          </w:tcPr>
          <w:p w14:paraId="27826371">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3E3191BE">
            <w:pPr>
              <w:jc w:val="center"/>
              <w:rPr>
                <w:color w:val="000000"/>
                <w:szCs w:val="21"/>
              </w:rPr>
            </w:pPr>
            <w:r>
              <w:rPr>
                <w:color w:val="000000"/>
                <w:szCs w:val="21"/>
              </w:rPr>
              <w:t>0.7</w:t>
            </w:r>
          </w:p>
        </w:tc>
        <w:tc>
          <w:tcPr>
            <w:tcW w:w="0" w:type="auto"/>
            <w:noWrap w:val="0"/>
            <w:vAlign w:val="center"/>
          </w:tcPr>
          <w:p w14:paraId="4EDD9281">
            <w:pPr>
              <w:jc w:val="center"/>
              <w:rPr>
                <w:color w:val="000000"/>
                <w:szCs w:val="21"/>
              </w:rPr>
            </w:pPr>
            <w:r>
              <w:rPr>
                <w:color w:val="000000"/>
                <w:szCs w:val="21"/>
              </w:rPr>
              <w:t>2</w:t>
            </w:r>
          </w:p>
        </w:tc>
        <w:tc>
          <w:tcPr>
            <w:tcW w:w="0" w:type="auto"/>
            <w:noWrap w:val="0"/>
            <w:vAlign w:val="center"/>
          </w:tcPr>
          <w:p w14:paraId="3B4C838B">
            <w:pPr>
              <w:jc w:val="center"/>
              <w:rPr>
                <w:color w:val="000000"/>
                <w:szCs w:val="21"/>
              </w:rPr>
            </w:pPr>
            <w:r>
              <w:rPr>
                <w:color w:val="000000"/>
                <w:szCs w:val="21"/>
              </w:rPr>
              <w:t>70</w:t>
            </w:r>
          </w:p>
        </w:tc>
        <w:tc>
          <w:tcPr>
            <w:tcW w:w="0" w:type="auto"/>
            <w:noWrap w:val="0"/>
            <w:vAlign w:val="center"/>
          </w:tcPr>
          <w:p w14:paraId="396F13C5">
            <w:pPr>
              <w:jc w:val="center"/>
              <w:rPr>
                <w:color w:val="000000"/>
                <w:szCs w:val="21"/>
              </w:rPr>
            </w:pPr>
            <w:r>
              <w:rPr>
                <w:color w:val="000000"/>
                <w:szCs w:val="21"/>
              </w:rPr>
              <w:t>240</w:t>
            </w:r>
          </w:p>
        </w:tc>
      </w:tr>
      <w:tr w14:paraId="46F94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4E9E202">
            <w:pPr>
              <w:jc w:val="center"/>
              <w:rPr>
                <w:color w:val="000000"/>
                <w:szCs w:val="21"/>
              </w:rPr>
            </w:pPr>
            <w:r>
              <w:rPr>
                <w:rFonts w:hint="eastAsia"/>
                <w:color w:val="000000"/>
                <w:szCs w:val="21"/>
              </w:rPr>
              <w:t>0</w:t>
            </w:r>
            <w:r>
              <w:rPr>
                <w:color w:val="000000"/>
                <w:szCs w:val="21"/>
              </w:rPr>
              <w:t>6</w:t>
            </w:r>
          </w:p>
        </w:tc>
        <w:tc>
          <w:tcPr>
            <w:tcW w:w="0" w:type="auto"/>
            <w:noWrap w:val="0"/>
            <w:vAlign w:val="center"/>
          </w:tcPr>
          <w:p w14:paraId="1D5F09AC">
            <w:pPr>
              <w:jc w:val="center"/>
              <w:rPr>
                <w:rFonts w:ascii="楷体_GB2312" w:eastAsia="楷体_GB2312"/>
                <w:color w:val="000000"/>
                <w:szCs w:val="21"/>
              </w:rPr>
            </w:pPr>
            <w:r>
              <w:rPr>
                <w:rFonts w:hint="eastAsia" w:ascii="楷体_GB2312" w:eastAsia="楷体_GB2312"/>
                <w:color w:val="000000"/>
                <w:szCs w:val="21"/>
              </w:rPr>
              <w:t>永昌路</w:t>
            </w:r>
          </w:p>
        </w:tc>
        <w:tc>
          <w:tcPr>
            <w:tcW w:w="0" w:type="auto"/>
            <w:noWrap w:val="0"/>
            <w:vAlign w:val="center"/>
          </w:tcPr>
          <w:p w14:paraId="4DB840AA">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15EFDFA4">
            <w:pPr>
              <w:jc w:val="center"/>
              <w:rPr>
                <w:color w:val="000000"/>
                <w:szCs w:val="21"/>
              </w:rPr>
            </w:pPr>
            <w:r>
              <w:rPr>
                <w:color w:val="000000"/>
                <w:szCs w:val="21"/>
              </w:rPr>
              <w:t>0.7</w:t>
            </w:r>
          </w:p>
        </w:tc>
        <w:tc>
          <w:tcPr>
            <w:tcW w:w="0" w:type="auto"/>
            <w:noWrap w:val="0"/>
            <w:vAlign w:val="center"/>
          </w:tcPr>
          <w:p w14:paraId="7175532E">
            <w:pPr>
              <w:jc w:val="center"/>
              <w:rPr>
                <w:color w:val="000000"/>
                <w:szCs w:val="21"/>
              </w:rPr>
            </w:pPr>
            <w:r>
              <w:rPr>
                <w:color w:val="000000"/>
                <w:szCs w:val="21"/>
              </w:rPr>
              <w:t>2</w:t>
            </w:r>
          </w:p>
        </w:tc>
        <w:tc>
          <w:tcPr>
            <w:tcW w:w="0" w:type="auto"/>
            <w:noWrap w:val="0"/>
            <w:vAlign w:val="center"/>
          </w:tcPr>
          <w:p w14:paraId="76880895">
            <w:pPr>
              <w:jc w:val="center"/>
              <w:rPr>
                <w:color w:val="000000"/>
                <w:szCs w:val="21"/>
              </w:rPr>
            </w:pPr>
            <w:r>
              <w:rPr>
                <w:color w:val="000000"/>
                <w:szCs w:val="21"/>
              </w:rPr>
              <w:t>70</w:t>
            </w:r>
          </w:p>
        </w:tc>
        <w:tc>
          <w:tcPr>
            <w:tcW w:w="0" w:type="auto"/>
            <w:noWrap w:val="0"/>
            <w:vAlign w:val="center"/>
          </w:tcPr>
          <w:p w14:paraId="0E5DF154">
            <w:pPr>
              <w:jc w:val="center"/>
              <w:rPr>
                <w:color w:val="000000"/>
                <w:szCs w:val="21"/>
              </w:rPr>
            </w:pPr>
            <w:r>
              <w:rPr>
                <w:color w:val="000000"/>
                <w:szCs w:val="21"/>
              </w:rPr>
              <w:t>240</w:t>
            </w:r>
          </w:p>
        </w:tc>
      </w:tr>
      <w:tr w14:paraId="3B88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0AB9D99">
            <w:pPr>
              <w:jc w:val="center"/>
              <w:rPr>
                <w:color w:val="000000"/>
                <w:szCs w:val="21"/>
              </w:rPr>
            </w:pPr>
            <w:r>
              <w:rPr>
                <w:rFonts w:hint="eastAsia"/>
                <w:color w:val="000000"/>
                <w:szCs w:val="21"/>
              </w:rPr>
              <w:t>0</w:t>
            </w:r>
            <w:r>
              <w:rPr>
                <w:color w:val="000000"/>
                <w:szCs w:val="21"/>
              </w:rPr>
              <w:t>7</w:t>
            </w:r>
          </w:p>
        </w:tc>
        <w:tc>
          <w:tcPr>
            <w:tcW w:w="0" w:type="auto"/>
            <w:noWrap w:val="0"/>
            <w:vAlign w:val="center"/>
          </w:tcPr>
          <w:p w14:paraId="6823AF0E">
            <w:pPr>
              <w:jc w:val="center"/>
              <w:rPr>
                <w:rFonts w:ascii="楷体_GB2312" w:eastAsia="楷体_GB2312"/>
                <w:color w:val="000000"/>
                <w:szCs w:val="21"/>
              </w:rPr>
            </w:pPr>
            <w:r>
              <w:rPr>
                <w:rFonts w:hint="eastAsia" w:ascii="楷体_GB2312" w:eastAsia="楷体_GB2312"/>
                <w:color w:val="000000"/>
                <w:szCs w:val="21"/>
              </w:rPr>
              <w:t>永昌路</w:t>
            </w:r>
          </w:p>
        </w:tc>
        <w:tc>
          <w:tcPr>
            <w:tcW w:w="0" w:type="auto"/>
            <w:noWrap w:val="0"/>
            <w:vAlign w:val="center"/>
          </w:tcPr>
          <w:p w14:paraId="333980BB">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083652C1">
            <w:pPr>
              <w:jc w:val="center"/>
              <w:rPr>
                <w:color w:val="000000"/>
                <w:szCs w:val="21"/>
              </w:rPr>
            </w:pPr>
            <w:r>
              <w:rPr>
                <w:color w:val="000000"/>
                <w:szCs w:val="21"/>
              </w:rPr>
              <w:t>0.7</w:t>
            </w:r>
          </w:p>
        </w:tc>
        <w:tc>
          <w:tcPr>
            <w:tcW w:w="0" w:type="auto"/>
            <w:noWrap w:val="0"/>
            <w:vAlign w:val="center"/>
          </w:tcPr>
          <w:p w14:paraId="20E69B6E">
            <w:pPr>
              <w:jc w:val="center"/>
              <w:rPr>
                <w:color w:val="000000"/>
                <w:szCs w:val="21"/>
              </w:rPr>
            </w:pPr>
            <w:r>
              <w:rPr>
                <w:color w:val="000000"/>
                <w:szCs w:val="21"/>
              </w:rPr>
              <w:t>2</w:t>
            </w:r>
          </w:p>
        </w:tc>
        <w:tc>
          <w:tcPr>
            <w:tcW w:w="0" w:type="auto"/>
            <w:noWrap w:val="0"/>
            <w:vAlign w:val="center"/>
          </w:tcPr>
          <w:p w14:paraId="342D1B9B">
            <w:pPr>
              <w:jc w:val="center"/>
              <w:rPr>
                <w:color w:val="000000"/>
                <w:szCs w:val="21"/>
              </w:rPr>
            </w:pPr>
            <w:r>
              <w:rPr>
                <w:color w:val="000000"/>
                <w:szCs w:val="21"/>
              </w:rPr>
              <w:t>70</w:t>
            </w:r>
          </w:p>
        </w:tc>
        <w:tc>
          <w:tcPr>
            <w:tcW w:w="0" w:type="auto"/>
            <w:noWrap w:val="0"/>
            <w:vAlign w:val="center"/>
          </w:tcPr>
          <w:p w14:paraId="0F203174">
            <w:pPr>
              <w:jc w:val="center"/>
              <w:rPr>
                <w:color w:val="000000"/>
                <w:szCs w:val="21"/>
              </w:rPr>
            </w:pPr>
            <w:r>
              <w:rPr>
                <w:color w:val="000000"/>
                <w:szCs w:val="21"/>
              </w:rPr>
              <w:t>240</w:t>
            </w:r>
          </w:p>
        </w:tc>
      </w:tr>
      <w:tr w14:paraId="6F82F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6C189FC">
            <w:pPr>
              <w:jc w:val="center"/>
              <w:rPr>
                <w:color w:val="000000"/>
                <w:szCs w:val="21"/>
              </w:rPr>
            </w:pPr>
            <w:r>
              <w:rPr>
                <w:rFonts w:hint="eastAsia"/>
                <w:color w:val="000000"/>
                <w:szCs w:val="21"/>
              </w:rPr>
              <w:t>0</w:t>
            </w:r>
            <w:r>
              <w:rPr>
                <w:color w:val="000000"/>
                <w:szCs w:val="21"/>
              </w:rPr>
              <w:t>8</w:t>
            </w:r>
          </w:p>
        </w:tc>
        <w:tc>
          <w:tcPr>
            <w:tcW w:w="0" w:type="auto"/>
            <w:noWrap w:val="0"/>
            <w:vAlign w:val="center"/>
          </w:tcPr>
          <w:p w14:paraId="06374800">
            <w:pPr>
              <w:jc w:val="center"/>
              <w:rPr>
                <w:rFonts w:ascii="楷体_GB2312" w:eastAsia="楷体_GB2312"/>
                <w:color w:val="000000"/>
                <w:szCs w:val="21"/>
              </w:rPr>
            </w:pPr>
            <w:r>
              <w:rPr>
                <w:rFonts w:hint="eastAsia" w:ascii="楷体_GB2312" w:eastAsia="楷体_GB2312"/>
                <w:color w:val="000000"/>
                <w:szCs w:val="21"/>
              </w:rPr>
              <w:t>永昌路</w:t>
            </w:r>
          </w:p>
        </w:tc>
        <w:tc>
          <w:tcPr>
            <w:tcW w:w="0" w:type="auto"/>
            <w:noWrap w:val="0"/>
            <w:vAlign w:val="center"/>
          </w:tcPr>
          <w:p w14:paraId="06FE3390">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791D809A">
            <w:pPr>
              <w:jc w:val="center"/>
              <w:rPr>
                <w:color w:val="000000"/>
                <w:szCs w:val="21"/>
              </w:rPr>
            </w:pPr>
            <w:r>
              <w:rPr>
                <w:color w:val="000000"/>
                <w:szCs w:val="21"/>
              </w:rPr>
              <w:t>0.7</w:t>
            </w:r>
          </w:p>
        </w:tc>
        <w:tc>
          <w:tcPr>
            <w:tcW w:w="0" w:type="auto"/>
            <w:noWrap w:val="0"/>
            <w:vAlign w:val="center"/>
          </w:tcPr>
          <w:p w14:paraId="1A407A93">
            <w:pPr>
              <w:jc w:val="center"/>
              <w:rPr>
                <w:color w:val="000000"/>
                <w:szCs w:val="21"/>
              </w:rPr>
            </w:pPr>
            <w:r>
              <w:rPr>
                <w:color w:val="000000"/>
                <w:szCs w:val="21"/>
              </w:rPr>
              <w:t>2</w:t>
            </w:r>
          </w:p>
        </w:tc>
        <w:tc>
          <w:tcPr>
            <w:tcW w:w="0" w:type="auto"/>
            <w:noWrap w:val="0"/>
            <w:vAlign w:val="center"/>
          </w:tcPr>
          <w:p w14:paraId="0D59EC97">
            <w:pPr>
              <w:jc w:val="center"/>
              <w:rPr>
                <w:color w:val="000000"/>
                <w:szCs w:val="21"/>
              </w:rPr>
            </w:pPr>
            <w:r>
              <w:rPr>
                <w:color w:val="000000"/>
                <w:szCs w:val="21"/>
              </w:rPr>
              <w:t>70</w:t>
            </w:r>
          </w:p>
        </w:tc>
        <w:tc>
          <w:tcPr>
            <w:tcW w:w="0" w:type="auto"/>
            <w:noWrap w:val="0"/>
            <w:vAlign w:val="center"/>
          </w:tcPr>
          <w:p w14:paraId="5BA60C89">
            <w:pPr>
              <w:jc w:val="center"/>
              <w:rPr>
                <w:color w:val="000000"/>
                <w:szCs w:val="21"/>
              </w:rPr>
            </w:pPr>
            <w:r>
              <w:rPr>
                <w:color w:val="000000"/>
                <w:szCs w:val="21"/>
              </w:rPr>
              <w:t>240</w:t>
            </w:r>
          </w:p>
        </w:tc>
      </w:tr>
      <w:tr w14:paraId="2633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3C5B17F">
            <w:pPr>
              <w:jc w:val="center"/>
              <w:rPr>
                <w:color w:val="000000"/>
                <w:szCs w:val="21"/>
              </w:rPr>
            </w:pPr>
            <w:r>
              <w:rPr>
                <w:rFonts w:hint="eastAsia"/>
                <w:color w:val="000000"/>
                <w:szCs w:val="21"/>
              </w:rPr>
              <w:t>0</w:t>
            </w:r>
            <w:r>
              <w:rPr>
                <w:color w:val="000000"/>
                <w:szCs w:val="21"/>
              </w:rPr>
              <w:t>9</w:t>
            </w:r>
          </w:p>
        </w:tc>
        <w:tc>
          <w:tcPr>
            <w:tcW w:w="0" w:type="auto"/>
            <w:noWrap w:val="0"/>
            <w:vAlign w:val="center"/>
          </w:tcPr>
          <w:p w14:paraId="198070DB">
            <w:pPr>
              <w:jc w:val="center"/>
              <w:rPr>
                <w:rFonts w:ascii="楷体_GB2312" w:eastAsia="楷体_GB2312"/>
                <w:color w:val="000000"/>
                <w:szCs w:val="21"/>
              </w:rPr>
            </w:pPr>
            <w:r>
              <w:rPr>
                <w:rFonts w:hint="eastAsia" w:ascii="楷体_GB2312" w:eastAsia="楷体_GB2312"/>
                <w:color w:val="000000"/>
                <w:szCs w:val="21"/>
              </w:rPr>
              <w:t>永新路</w:t>
            </w:r>
          </w:p>
        </w:tc>
        <w:tc>
          <w:tcPr>
            <w:tcW w:w="0" w:type="auto"/>
            <w:noWrap w:val="0"/>
            <w:vAlign w:val="center"/>
          </w:tcPr>
          <w:p w14:paraId="33F2D088">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0B3EFA0">
            <w:pPr>
              <w:jc w:val="center"/>
              <w:rPr>
                <w:color w:val="000000"/>
                <w:szCs w:val="21"/>
              </w:rPr>
            </w:pPr>
            <w:r>
              <w:rPr>
                <w:color w:val="000000"/>
                <w:szCs w:val="21"/>
              </w:rPr>
              <w:t>0.4</w:t>
            </w:r>
          </w:p>
        </w:tc>
        <w:tc>
          <w:tcPr>
            <w:tcW w:w="0" w:type="auto"/>
            <w:noWrap w:val="0"/>
            <w:vAlign w:val="center"/>
          </w:tcPr>
          <w:p w14:paraId="38C66C93">
            <w:pPr>
              <w:jc w:val="center"/>
              <w:rPr>
                <w:color w:val="000000"/>
                <w:szCs w:val="21"/>
              </w:rPr>
            </w:pPr>
            <w:r>
              <w:rPr>
                <w:color w:val="000000"/>
                <w:szCs w:val="21"/>
              </w:rPr>
              <w:t>3</w:t>
            </w:r>
          </w:p>
        </w:tc>
        <w:tc>
          <w:tcPr>
            <w:tcW w:w="0" w:type="auto"/>
            <w:noWrap w:val="0"/>
            <w:vAlign w:val="center"/>
          </w:tcPr>
          <w:p w14:paraId="723DF20D">
            <w:pPr>
              <w:jc w:val="center"/>
              <w:rPr>
                <w:color w:val="000000"/>
                <w:szCs w:val="21"/>
              </w:rPr>
            </w:pPr>
            <w:r>
              <w:rPr>
                <w:color w:val="000000"/>
                <w:szCs w:val="21"/>
              </w:rPr>
              <w:t>40</w:t>
            </w:r>
          </w:p>
        </w:tc>
        <w:tc>
          <w:tcPr>
            <w:tcW w:w="0" w:type="auto"/>
            <w:noWrap w:val="0"/>
            <w:vAlign w:val="center"/>
          </w:tcPr>
          <w:p w14:paraId="13CBEB9D">
            <w:pPr>
              <w:jc w:val="center"/>
              <w:rPr>
                <w:color w:val="000000"/>
                <w:szCs w:val="21"/>
              </w:rPr>
            </w:pPr>
            <w:r>
              <w:rPr>
                <w:color w:val="000000"/>
                <w:szCs w:val="21"/>
              </w:rPr>
              <w:t>200</w:t>
            </w:r>
          </w:p>
        </w:tc>
      </w:tr>
      <w:tr w14:paraId="16059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29E3D98">
            <w:pPr>
              <w:jc w:val="center"/>
              <w:rPr>
                <w:color w:val="000000"/>
                <w:szCs w:val="21"/>
              </w:rPr>
            </w:pPr>
            <w:r>
              <w:rPr>
                <w:color w:val="000000"/>
                <w:szCs w:val="21"/>
              </w:rPr>
              <w:t>10</w:t>
            </w:r>
          </w:p>
        </w:tc>
        <w:tc>
          <w:tcPr>
            <w:tcW w:w="0" w:type="auto"/>
            <w:noWrap w:val="0"/>
            <w:vAlign w:val="center"/>
          </w:tcPr>
          <w:p w14:paraId="0C3977EE">
            <w:pPr>
              <w:jc w:val="center"/>
              <w:rPr>
                <w:rFonts w:ascii="楷体_GB2312" w:eastAsia="楷体_GB2312"/>
                <w:color w:val="000000"/>
                <w:szCs w:val="21"/>
              </w:rPr>
            </w:pPr>
            <w:r>
              <w:rPr>
                <w:rFonts w:hint="eastAsia" w:ascii="楷体_GB2312" w:eastAsia="楷体_GB2312"/>
                <w:color w:val="000000"/>
                <w:szCs w:val="21"/>
              </w:rPr>
              <w:t>镇北路</w:t>
            </w:r>
          </w:p>
        </w:tc>
        <w:tc>
          <w:tcPr>
            <w:tcW w:w="0" w:type="auto"/>
            <w:noWrap w:val="0"/>
            <w:vAlign w:val="center"/>
          </w:tcPr>
          <w:p w14:paraId="7585AD18">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2BABF1D5">
            <w:pPr>
              <w:jc w:val="center"/>
              <w:rPr>
                <w:color w:val="000000"/>
                <w:szCs w:val="21"/>
              </w:rPr>
            </w:pPr>
            <w:r>
              <w:rPr>
                <w:color w:val="000000"/>
                <w:szCs w:val="21"/>
              </w:rPr>
              <w:t>0.4</w:t>
            </w:r>
          </w:p>
        </w:tc>
        <w:tc>
          <w:tcPr>
            <w:tcW w:w="0" w:type="auto"/>
            <w:noWrap w:val="0"/>
            <w:vAlign w:val="center"/>
          </w:tcPr>
          <w:p w14:paraId="76657943">
            <w:pPr>
              <w:jc w:val="center"/>
              <w:rPr>
                <w:color w:val="000000"/>
                <w:szCs w:val="21"/>
              </w:rPr>
            </w:pPr>
            <w:r>
              <w:rPr>
                <w:color w:val="000000"/>
                <w:szCs w:val="21"/>
              </w:rPr>
              <w:t>3</w:t>
            </w:r>
          </w:p>
        </w:tc>
        <w:tc>
          <w:tcPr>
            <w:tcW w:w="0" w:type="auto"/>
            <w:noWrap w:val="0"/>
            <w:vAlign w:val="center"/>
          </w:tcPr>
          <w:p w14:paraId="5648450D">
            <w:pPr>
              <w:jc w:val="center"/>
              <w:rPr>
                <w:color w:val="000000"/>
                <w:szCs w:val="21"/>
              </w:rPr>
            </w:pPr>
            <w:r>
              <w:rPr>
                <w:color w:val="000000"/>
                <w:szCs w:val="21"/>
              </w:rPr>
              <w:t>40</w:t>
            </w:r>
          </w:p>
        </w:tc>
        <w:tc>
          <w:tcPr>
            <w:tcW w:w="0" w:type="auto"/>
            <w:noWrap w:val="0"/>
            <w:vAlign w:val="center"/>
          </w:tcPr>
          <w:p w14:paraId="16201439">
            <w:pPr>
              <w:jc w:val="center"/>
              <w:rPr>
                <w:color w:val="000000"/>
                <w:szCs w:val="21"/>
              </w:rPr>
            </w:pPr>
            <w:r>
              <w:rPr>
                <w:color w:val="000000"/>
                <w:szCs w:val="21"/>
              </w:rPr>
              <w:t>200</w:t>
            </w:r>
          </w:p>
        </w:tc>
      </w:tr>
      <w:tr w14:paraId="73E42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CD8C848">
            <w:pPr>
              <w:jc w:val="center"/>
              <w:rPr>
                <w:color w:val="000000"/>
                <w:szCs w:val="21"/>
              </w:rPr>
            </w:pPr>
            <w:r>
              <w:rPr>
                <w:color w:val="000000"/>
                <w:szCs w:val="21"/>
              </w:rPr>
              <w:t>11</w:t>
            </w:r>
          </w:p>
        </w:tc>
        <w:tc>
          <w:tcPr>
            <w:tcW w:w="0" w:type="auto"/>
            <w:noWrap w:val="0"/>
            <w:vAlign w:val="center"/>
          </w:tcPr>
          <w:p w14:paraId="5CE75014">
            <w:pPr>
              <w:jc w:val="center"/>
              <w:rPr>
                <w:rFonts w:ascii="楷体_GB2312" w:eastAsia="楷体_GB2312"/>
                <w:color w:val="000000"/>
                <w:szCs w:val="21"/>
              </w:rPr>
            </w:pPr>
            <w:r>
              <w:rPr>
                <w:rFonts w:hint="eastAsia" w:ascii="楷体_GB2312" w:eastAsia="楷体_GB2312"/>
                <w:color w:val="000000"/>
                <w:szCs w:val="21"/>
              </w:rPr>
              <w:t>永胜路</w:t>
            </w:r>
          </w:p>
        </w:tc>
        <w:tc>
          <w:tcPr>
            <w:tcW w:w="0" w:type="auto"/>
            <w:noWrap w:val="0"/>
            <w:vAlign w:val="center"/>
          </w:tcPr>
          <w:p w14:paraId="294DFEE2">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6BB815C">
            <w:pPr>
              <w:jc w:val="center"/>
              <w:rPr>
                <w:color w:val="000000"/>
                <w:szCs w:val="21"/>
              </w:rPr>
            </w:pPr>
            <w:r>
              <w:rPr>
                <w:color w:val="000000"/>
                <w:szCs w:val="21"/>
              </w:rPr>
              <w:t>0.4</w:t>
            </w:r>
          </w:p>
        </w:tc>
        <w:tc>
          <w:tcPr>
            <w:tcW w:w="0" w:type="auto"/>
            <w:noWrap w:val="0"/>
            <w:vAlign w:val="center"/>
          </w:tcPr>
          <w:p w14:paraId="75676EA3">
            <w:pPr>
              <w:jc w:val="center"/>
              <w:rPr>
                <w:color w:val="000000"/>
                <w:szCs w:val="21"/>
              </w:rPr>
            </w:pPr>
            <w:r>
              <w:rPr>
                <w:color w:val="000000"/>
                <w:szCs w:val="21"/>
              </w:rPr>
              <w:t>3</w:t>
            </w:r>
          </w:p>
        </w:tc>
        <w:tc>
          <w:tcPr>
            <w:tcW w:w="0" w:type="auto"/>
            <w:noWrap w:val="0"/>
            <w:vAlign w:val="center"/>
          </w:tcPr>
          <w:p w14:paraId="0C354229">
            <w:pPr>
              <w:jc w:val="center"/>
              <w:rPr>
                <w:color w:val="000000"/>
                <w:szCs w:val="21"/>
              </w:rPr>
            </w:pPr>
            <w:r>
              <w:rPr>
                <w:color w:val="000000"/>
                <w:szCs w:val="21"/>
              </w:rPr>
              <w:t>40</w:t>
            </w:r>
          </w:p>
        </w:tc>
        <w:tc>
          <w:tcPr>
            <w:tcW w:w="0" w:type="auto"/>
            <w:noWrap w:val="0"/>
            <w:vAlign w:val="center"/>
          </w:tcPr>
          <w:p w14:paraId="61AB4ACB">
            <w:pPr>
              <w:jc w:val="center"/>
              <w:rPr>
                <w:color w:val="000000"/>
                <w:szCs w:val="21"/>
              </w:rPr>
            </w:pPr>
            <w:r>
              <w:rPr>
                <w:color w:val="000000"/>
                <w:szCs w:val="21"/>
              </w:rPr>
              <w:t>200</w:t>
            </w:r>
          </w:p>
        </w:tc>
      </w:tr>
      <w:tr w14:paraId="148E0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F13B5C7">
            <w:pPr>
              <w:jc w:val="center"/>
              <w:rPr>
                <w:color w:val="000000"/>
                <w:szCs w:val="21"/>
              </w:rPr>
            </w:pPr>
            <w:r>
              <w:rPr>
                <w:color w:val="000000"/>
                <w:szCs w:val="21"/>
              </w:rPr>
              <w:t>12</w:t>
            </w:r>
          </w:p>
        </w:tc>
        <w:tc>
          <w:tcPr>
            <w:tcW w:w="0" w:type="auto"/>
            <w:noWrap w:val="0"/>
            <w:vAlign w:val="center"/>
          </w:tcPr>
          <w:p w14:paraId="644B5F39">
            <w:pPr>
              <w:jc w:val="center"/>
              <w:rPr>
                <w:rFonts w:ascii="楷体_GB2312" w:eastAsia="楷体_GB2312"/>
                <w:color w:val="000000"/>
                <w:szCs w:val="21"/>
              </w:rPr>
            </w:pPr>
            <w:r>
              <w:rPr>
                <w:rFonts w:hint="eastAsia" w:ascii="楷体_GB2312" w:eastAsia="楷体_GB2312"/>
                <w:color w:val="000000"/>
                <w:szCs w:val="21"/>
              </w:rPr>
              <w:t>滨河北路</w:t>
            </w:r>
          </w:p>
        </w:tc>
        <w:tc>
          <w:tcPr>
            <w:tcW w:w="0" w:type="auto"/>
            <w:noWrap w:val="0"/>
            <w:vAlign w:val="center"/>
          </w:tcPr>
          <w:p w14:paraId="5C949614">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0B4B4A81">
            <w:pPr>
              <w:jc w:val="center"/>
              <w:rPr>
                <w:color w:val="000000"/>
                <w:szCs w:val="21"/>
              </w:rPr>
            </w:pPr>
            <w:r>
              <w:rPr>
                <w:color w:val="000000"/>
                <w:szCs w:val="21"/>
              </w:rPr>
              <w:t>0.4</w:t>
            </w:r>
          </w:p>
        </w:tc>
        <w:tc>
          <w:tcPr>
            <w:tcW w:w="0" w:type="auto"/>
            <w:noWrap w:val="0"/>
            <w:vAlign w:val="center"/>
          </w:tcPr>
          <w:p w14:paraId="1261E36A">
            <w:pPr>
              <w:jc w:val="center"/>
              <w:rPr>
                <w:color w:val="000000"/>
                <w:szCs w:val="21"/>
              </w:rPr>
            </w:pPr>
            <w:r>
              <w:rPr>
                <w:color w:val="000000"/>
                <w:szCs w:val="21"/>
              </w:rPr>
              <w:t>3</w:t>
            </w:r>
          </w:p>
        </w:tc>
        <w:tc>
          <w:tcPr>
            <w:tcW w:w="0" w:type="auto"/>
            <w:noWrap w:val="0"/>
            <w:vAlign w:val="center"/>
          </w:tcPr>
          <w:p w14:paraId="3D6FE907">
            <w:pPr>
              <w:jc w:val="center"/>
              <w:rPr>
                <w:color w:val="000000"/>
                <w:szCs w:val="21"/>
              </w:rPr>
            </w:pPr>
            <w:r>
              <w:rPr>
                <w:color w:val="000000"/>
                <w:szCs w:val="21"/>
              </w:rPr>
              <w:t>40</w:t>
            </w:r>
          </w:p>
        </w:tc>
        <w:tc>
          <w:tcPr>
            <w:tcW w:w="0" w:type="auto"/>
            <w:noWrap w:val="0"/>
            <w:vAlign w:val="center"/>
          </w:tcPr>
          <w:p w14:paraId="26C14F90">
            <w:pPr>
              <w:jc w:val="center"/>
              <w:rPr>
                <w:color w:val="000000"/>
                <w:szCs w:val="21"/>
              </w:rPr>
            </w:pPr>
            <w:r>
              <w:rPr>
                <w:color w:val="000000"/>
                <w:szCs w:val="21"/>
              </w:rPr>
              <w:t>200</w:t>
            </w:r>
          </w:p>
        </w:tc>
      </w:tr>
      <w:tr w14:paraId="5C4F6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BEF8AA9">
            <w:pPr>
              <w:jc w:val="center"/>
              <w:rPr>
                <w:color w:val="000000"/>
                <w:szCs w:val="21"/>
              </w:rPr>
            </w:pPr>
            <w:r>
              <w:rPr>
                <w:color w:val="000000"/>
                <w:szCs w:val="21"/>
              </w:rPr>
              <w:t>13</w:t>
            </w:r>
          </w:p>
        </w:tc>
        <w:tc>
          <w:tcPr>
            <w:tcW w:w="0" w:type="auto"/>
            <w:noWrap w:val="0"/>
            <w:vAlign w:val="center"/>
          </w:tcPr>
          <w:p w14:paraId="320CA13B">
            <w:pPr>
              <w:jc w:val="center"/>
              <w:rPr>
                <w:rFonts w:ascii="楷体_GB2312" w:eastAsia="楷体_GB2312"/>
                <w:color w:val="000000"/>
                <w:szCs w:val="21"/>
              </w:rPr>
            </w:pPr>
            <w:r>
              <w:rPr>
                <w:rFonts w:hint="eastAsia" w:ascii="楷体_GB2312" w:eastAsia="楷体_GB2312"/>
                <w:color w:val="000000"/>
                <w:szCs w:val="21"/>
              </w:rPr>
              <w:t>滨河南路</w:t>
            </w:r>
          </w:p>
        </w:tc>
        <w:tc>
          <w:tcPr>
            <w:tcW w:w="0" w:type="auto"/>
            <w:noWrap w:val="0"/>
            <w:vAlign w:val="center"/>
          </w:tcPr>
          <w:p w14:paraId="21680678">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048C967D">
            <w:pPr>
              <w:jc w:val="center"/>
              <w:rPr>
                <w:color w:val="000000"/>
                <w:szCs w:val="21"/>
              </w:rPr>
            </w:pPr>
            <w:r>
              <w:rPr>
                <w:color w:val="000000"/>
                <w:szCs w:val="21"/>
              </w:rPr>
              <w:t>0.4</w:t>
            </w:r>
          </w:p>
        </w:tc>
        <w:tc>
          <w:tcPr>
            <w:tcW w:w="0" w:type="auto"/>
            <w:noWrap w:val="0"/>
            <w:vAlign w:val="center"/>
          </w:tcPr>
          <w:p w14:paraId="1A0C283B">
            <w:pPr>
              <w:jc w:val="center"/>
              <w:rPr>
                <w:color w:val="000000"/>
                <w:szCs w:val="21"/>
              </w:rPr>
            </w:pPr>
            <w:r>
              <w:rPr>
                <w:color w:val="000000"/>
                <w:szCs w:val="21"/>
              </w:rPr>
              <w:t>3</w:t>
            </w:r>
          </w:p>
        </w:tc>
        <w:tc>
          <w:tcPr>
            <w:tcW w:w="0" w:type="auto"/>
            <w:noWrap w:val="0"/>
            <w:vAlign w:val="center"/>
          </w:tcPr>
          <w:p w14:paraId="6648C594">
            <w:pPr>
              <w:jc w:val="center"/>
              <w:rPr>
                <w:color w:val="000000"/>
                <w:szCs w:val="21"/>
              </w:rPr>
            </w:pPr>
            <w:r>
              <w:rPr>
                <w:color w:val="000000"/>
                <w:szCs w:val="21"/>
              </w:rPr>
              <w:t>40</w:t>
            </w:r>
          </w:p>
        </w:tc>
        <w:tc>
          <w:tcPr>
            <w:tcW w:w="0" w:type="auto"/>
            <w:noWrap w:val="0"/>
            <w:vAlign w:val="center"/>
          </w:tcPr>
          <w:p w14:paraId="40183A8A">
            <w:pPr>
              <w:jc w:val="center"/>
              <w:rPr>
                <w:color w:val="000000"/>
                <w:szCs w:val="21"/>
              </w:rPr>
            </w:pPr>
            <w:r>
              <w:rPr>
                <w:color w:val="000000"/>
                <w:szCs w:val="21"/>
              </w:rPr>
              <w:t>200</w:t>
            </w:r>
          </w:p>
        </w:tc>
      </w:tr>
      <w:tr w14:paraId="43E66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1E1774B">
            <w:pPr>
              <w:jc w:val="center"/>
              <w:rPr>
                <w:color w:val="000000"/>
                <w:szCs w:val="21"/>
              </w:rPr>
            </w:pPr>
            <w:r>
              <w:rPr>
                <w:color w:val="000000"/>
                <w:szCs w:val="21"/>
              </w:rPr>
              <w:t>14</w:t>
            </w:r>
          </w:p>
        </w:tc>
        <w:tc>
          <w:tcPr>
            <w:tcW w:w="0" w:type="auto"/>
            <w:noWrap w:val="0"/>
            <w:vAlign w:val="center"/>
          </w:tcPr>
          <w:p w14:paraId="684FE5CD">
            <w:pPr>
              <w:jc w:val="center"/>
              <w:rPr>
                <w:rFonts w:ascii="楷体_GB2312" w:eastAsia="楷体_GB2312"/>
                <w:color w:val="000000"/>
                <w:szCs w:val="21"/>
              </w:rPr>
            </w:pPr>
            <w:r>
              <w:rPr>
                <w:rFonts w:hint="eastAsia" w:ascii="楷体_GB2312" w:eastAsia="楷体_GB2312"/>
                <w:color w:val="000000"/>
                <w:szCs w:val="21"/>
              </w:rPr>
              <w:t>学府路</w:t>
            </w:r>
          </w:p>
        </w:tc>
        <w:tc>
          <w:tcPr>
            <w:tcW w:w="0" w:type="auto"/>
            <w:noWrap w:val="0"/>
            <w:vAlign w:val="center"/>
          </w:tcPr>
          <w:p w14:paraId="5E4A6867">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CC42D90">
            <w:pPr>
              <w:jc w:val="center"/>
              <w:rPr>
                <w:color w:val="000000"/>
                <w:szCs w:val="21"/>
              </w:rPr>
            </w:pPr>
            <w:r>
              <w:rPr>
                <w:color w:val="000000"/>
                <w:szCs w:val="21"/>
              </w:rPr>
              <w:t>0.4</w:t>
            </w:r>
          </w:p>
        </w:tc>
        <w:tc>
          <w:tcPr>
            <w:tcW w:w="0" w:type="auto"/>
            <w:noWrap w:val="0"/>
            <w:vAlign w:val="center"/>
          </w:tcPr>
          <w:p w14:paraId="181818CB">
            <w:pPr>
              <w:jc w:val="center"/>
              <w:rPr>
                <w:color w:val="000000"/>
                <w:szCs w:val="21"/>
              </w:rPr>
            </w:pPr>
            <w:r>
              <w:rPr>
                <w:color w:val="000000"/>
                <w:szCs w:val="21"/>
              </w:rPr>
              <w:t>3</w:t>
            </w:r>
          </w:p>
        </w:tc>
        <w:tc>
          <w:tcPr>
            <w:tcW w:w="0" w:type="auto"/>
            <w:noWrap w:val="0"/>
            <w:vAlign w:val="center"/>
          </w:tcPr>
          <w:p w14:paraId="06579014">
            <w:pPr>
              <w:jc w:val="center"/>
              <w:rPr>
                <w:color w:val="000000"/>
                <w:szCs w:val="21"/>
              </w:rPr>
            </w:pPr>
            <w:r>
              <w:rPr>
                <w:color w:val="000000"/>
                <w:szCs w:val="21"/>
              </w:rPr>
              <w:t>40</w:t>
            </w:r>
          </w:p>
        </w:tc>
        <w:tc>
          <w:tcPr>
            <w:tcW w:w="0" w:type="auto"/>
            <w:noWrap w:val="0"/>
            <w:vAlign w:val="center"/>
          </w:tcPr>
          <w:p w14:paraId="25EC17A9">
            <w:pPr>
              <w:jc w:val="center"/>
              <w:rPr>
                <w:color w:val="000000"/>
                <w:szCs w:val="21"/>
              </w:rPr>
            </w:pPr>
            <w:r>
              <w:rPr>
                <w:color w:val="000000"/>
                <w:szCs w:val="21"/>
              </w:rPr>
              <w:t>200</w:t>
            </w:r>
          </w:p>
        </w:tc>
      </w:tr>
      <w:tr w14:paraId="3E891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3872E3D">
            <w:pPr>
              <w:jc w:val="center"/>
              <w:rPr>
                <w:color w:val="000000"/>
                <w:szCs w:val="21"/>
              </w:rPr>
            </w:pPr>
            <w:r>
              <w:rPr>
                <w:color w:val="000000"/>
                <w:szCs w:val="21"/>
              </w:rPr>
              <w:t>15</w:t>
            </w:r>
          </w:p>
        </w:tc>
        <w:tc>
          <w:tcPr>
            <w:tcW w:w="0" w:type="auto"/>
            <w:noWrap w:val="0"/>
            <w:vAlign w:val="center"/>
          </w:tcPr>
          <w:p w14:paraId="0BAED952">
            <w:pPr>
              <w:jc w:val="center"/>
              <w:rPr>
                <w:rFonts w:ascii="楷体_GB2312" w:eastAsia="楷体_GB2312"/>
                <w:color w:val="000000"/>
                <w:szCs w:val="21"/>
              </w:rPr>
            </w:pPr>
            <w:r>
              <w:rPr>
                <w:rFonts w:hint="eastAsia" w:ascii="楷体_GB2312" w:eastAsia="楷体_GB2312"/>
                <w:color w:val="000000"/>
                <w:szCs w:val="21"/>
              </w:rPr>
              <w:t>纬五路</w:t>
            </w:r>
          </w:p>
        </w:tc>
        <w:tc>
          <w:tcPr>
            <w:tcW w:w="0" w:type="auto"/>
            <w:noWrap w:val="0"/>
            <w:vAlign w:val="center"/>
          </w:tcPr>
          <w:p w14:paraId="79308DF5">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1FBBA4D">
            <w:pPr>
              <w:jc w:val="center"/>
              <w:rPr>
                <w:color w:val="000000"/>
                <w:szCs w:val="21"/>
              </w:rPr>
            </w:pPr>
            <w:r>
              <w:rPr>
                <w:color w:val="000000"/>
                <w:szCs w:val="21"/>
              </w:rPr>
              <w:t>0.4</w:t>
            </w:r>
          </w:p>
        </w:tc>
        <w:tc>
          <w:tcPr>
            <w:tcW w:w="0" w:type="auto"/>
            <w:noWrap w:val="0"/>
            <w:vAlign w:val="center"/>
          </w:tcPr>
          <w:p w14:paraId="2AF2AC1F">
            <w:pPr>
              <w:jc w:val="center"/>
              <w:rPr>
                <w:color w:val="000000"/>
                <w:szCs w:val="21"/>
              </w:rPr>
            </w:pPr>
            <w:r>
              <w:rPr>
                <w:color w:val="000000"/>
                <w:szCs w:val="21"/>
              </w:rPr>
              <w:t>3</w:t>
            </w:r>
          </w:p>
        </w:tc>
        <w:tc>
          <w:tcPr>
            <w:tcW w:w="0" w:type="auto"/>
            <w:noWrap w:val="0"/>
            <w:vAlign w:val="center"/>
          </w:tcPr>
          <w:p w14:paraId="0B7F6C44">
            <w:pPr>
              <w:jc w:val="center"/>
              <w:rPr>
                <w:color w:val="000000"/>
                <w:szCs w:val="21"/>
              </w:rPr>
            </w:pPr>
            <w:r>
              <w:rPr>
                <w:color w:val="000000"/>
                <w:szCs w:val="21"/>
              </w:rPr>
              <w:t>40</w:t>
            </w:r>
          </w:p>
        </w:tc>
        <w:tc>
          <w:tcPr>
            <w:tcW w:w="0" w:type="auto"/>
            <w:noWrap w:val="0"/>
            <w:vAlign w:val="center"/>
          </w:tcPr>
          <w:p w14:paraId="6D63E570">
            <w:pPr>
              <w:jc w:val="center"/>
              <w:rPr>
                <w:color w:val="000000"/>
                <w:szCs w:val="21"/>
              </w:rPr>
            </w:pPr>
            <w:r>
              <w:rPr>
                <w:color w:val="000000"/>
                <w:szCs w:val="21"/>
              </w:rPr>
              <w:t>200</w:t>
            </w:r>
          </w:p>
        </w:tc>
      </w:tr>
      <w:tr w14:paraId="7BB59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DF351AD">
            <w:pPr>
              <w:jc w:val="center"/>
              <w:rPr>
                <w:color w:val="000000"/>
                <w:szCs w:val="21"/>
              </w:rPr>
            </w:pPr>
            <w:r>
              <w:rPr>
                <w:color w:val="000000"/>
                <w:szCs w:val="21"/>
              </w:rPr>
              <w:t>16</w:t>
            </w:r>
          </w:p>
        </w:tc>
        <w:tc>
          <w:tcPr>
            <w:tcW w:w="0" w:type="auto"/>
            <w:noWrap w:val="0"/>
            <w:vAlign w:val="center"/>
          </w:tcPr>
          <w:p w14:paraId="39BCC926">
            <w:pPr>
              <w:jc w:val="center"/>
              <w:rPr>
                <w:rFonts w:ascii="楷体_GB2312" w:eastAsia="楷体_GB2312"/>
                <w:color w:val="000000"/>
                <w:szCs w:val="21"/>
              </w:rPr>
            </w:pPr>
            <w:r>
              <w:rPr>
                <w:rFonts w:hint="eastAsia" w:ascii="楷体_GB2312" w:eastAsia="楷体_GB2312"/>
                <w:color w:val="000000"/>
                <w:szCs w:val="21"/>
              </w:rPr>
              <w:t>纬四路</w:t>
            </w:r>
          </w:p>
        </w:tc>
        <w:tc>
          <w:tcPr>
            <w:tcW w:w="0" w:type="auto"/>
            <w:noWrap w:val="0"/>
            <w:vAlign w:val="center"/>
          </w:tcPr>
          <w:p w14:paraId="6677521C">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1EAEE6E">
            <w:pPr>
              <w:jc w:val="center"/>
              <w:rPr>
                <w:color w:val="000000"/>
                <w:szCs w:val="21"/>
              </w:rPr>
            </w:pPr>
            <w:r>
              <w:rPr>
                <w:color w:val="000000"/>
                <w:szCs w:val="21"/>
              </w:rPr>
              <w:t>0.4</w:t>
            </w:r>
          </w:p>
        </w:tc>
        <w:tc>
          <w:tcPr>
            <w:tcW w:w="0" w:type="auto"/>
            <w:noWrap w:val="0"/>
            <w:vAlign w:val="center"/>
          </w:tcPr>
          <w:p w14:paraId="22D40DF2">
            <w:pPr>
              <w:jc w:val="center"/>
              <w:rPr>
                <w:color w:val="000000"/>
                <w:szCs w:val="21"/>
              </w:rPr>
            </w:pPr>
            <w:r>
              <w:rPr>
                <w:color w:val="000000"/>
                <w:szCs w:val="21"/>
              </w:rPr>
              <w:t>3</w:t>
            </w:r>
          </w:p>
        </w:tc>
        <w:tc>
          <w:tcPr>
            <w:tcW w:w="0" w:type="auto"/>
            <w:noWrap w:val="0"/>
            <w:vAlign w:val="center"/>
          </w:tcPr>
          <w:p w14:paraId="3B4208C5">
            <w:pPr>
              <w:jc w:val="center"/>
              <w:rPr>
                <w:color w:val="000000"/>
                <w:szCs w:val="21"/>
              </w:rPr>
            </w:pPr>
            <w:r>
              <w:rPr>
                <w:color w:val="000000"/>
                <w:szCs w:val="21"/>
              </w:rPr>
              <w:t>40</w:t>
            </w:r>
          </w:p>
        </w:tc>
        <w:tc>
          <w:tcPr>
            <w:tcW w:w="0" w:type="auto"/>
            <w:noWrap w:val="0"/>
            <w:vAlign w:val="center"/>
          </w:tcPr>
          <w:p w14:paraId="2B6DADB0">
            <w:pPr>
              <w:jc w:val="center"/>
              <w:rPr>
                <w:color w:val="000000"/>
                <w:szCs w:val="21"/>
              </w:rPr>
            </w:pPr>
            <w:r>
              <w:rPr>
                <w:color w:val="000000"/>
                <w:szCs w:val="21"/>
              </w:rPr>
              <w:t>200</w:t>
            </w:r>
          </w:p>
        </w:tc>
      </w:tr>
      <w:tr w14:paraId="7FCA5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302C1B3">
            <w:pPr>
              <w:jc w:val="center"/>
              <w:rPr>
                <w:color w:val="000000"/>
                <w:szCs w:val="21"/>
              </w:rPr>
            </w:pPr>
            <w:r>
              <w:rPr>
                <w:color w:val="000000"/>
                <w:szCs w:val="21"/>
              </w:rPr>
              <w:t>17</w:t>
            </w:r>
          </w:p>
        </w:tc>
        <w:tc>
          <w:tcPr>
            <w:tcW w:w="0" w:type="auto"/>
            <w:noWrap w:val="0"/>
            <w:vAlign w:val="center"/>
          </w:tcPr>
          <w:p w14:paraId="7F7E494A">
            <w:pPr>
              <w:jc w:val="center"/>
              <w:rPr>
                <w:rFonts w:ascii="楷体_GB2312" w:hAnsi="宋体" w:eastAsia="楷体_GB2312" w:cs="宋体"/>
                <w:color w:val="000000"/>
                <w:szCs w:val="21"/>
              </w:rPr>
            </w:pPr>
            <w:r>
              <w:rPr>
                <w:rFonts w:hint="eastAsia" w:ascii="楷体_GB2312" w:eastAsia="楷体_GB2312"/>
                <w:color w:val="000000"/>
                <w:szCs w:val="21"/>
              </w:rPr>
              <w:t>纬三路</w:t>
            </w:r>
          </w:p>
        </w:tc>
        <w:tc>
          <w:tcPr>
            <w:tcW w:w="0" w:type="auto"/>
            <w:noWrap w:val="0"/>
            <w:vAlign w:val="center"/>
          </w:tcPr>
          <w:p w14:paraId="731614B6">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15C302DD">
            <w:pPr>
              <w:jc w:val="center"/>
              <w:rPr>
                <w:color w:val="000000"/>
                <w:szCs w:val="21"/>
              </w:rPr>
            </w:pPr>
            <w:r>
              <w:rPr>
                <w:color w:val="000000"/>
                <w:szCs w:val="21"/>
              </w:rPr>
              <w:t>0.4</w:t>
            </w:r>
          </w:p>
        </w:tc>
        <w:tc>
          <w:tcPr>
            <w:tcW w:w="0" w:type="auto"/>
            <w:noWrap w:val="0"/>
            <w:vAlign w:val="center"/>
          </w:tcPr>
          <w:p w14:paraId="3B1D4803">
            <w:pPr>
              <w:jc w:val="center"/>
              <w:rPr>
                <w:color w:val="000000"/>
                <w:szCs w:val="21"/>
              </w:rPr>
            </w:pPr>
            <w:r>
              <w:rPr>
                <w:color w:val="000000"/>
                <w:szCs w:val="21"/>
              </w:rPr>
              <w:t>3</w:t>
            </w:r>
          </w:p>
        </w:tc>
        <w:tc>
          <w:tcPr>
            <w:tcW w:w="0" w:type="auto"/>
            <w:noWrap w:val="0"/>
            <w:vAlign w:val="center"/>
          </w:tcPr>
          <w:p w14:paraId="2EC53D18">
            <w:pPr>
              <w:jc w:val="center"/>
              <w:rPr>
                <w:color w:val="000000"/>
                <w:szCs w:val="21"/>
              </w:rPr>
            </w:pPr>
            <w:r>
              <w:rPr>
                <w:color w:val="000000"/>
                <w:szCs w:val="21"/>
              </w:rPr>
              <w:t>40</w:t>
            </w:r>
          </w:p>
        </w:tc>
        <w:tc>
          <w:tcPr>
            <w:tcW w:w="0" w:type="auto"/>
            <w:noWrap w:val="0"/>
            <w:vAlign w:val="center"/>
          </w:tcPr>
          <w:p w14:paraId="61771FE0">
            <w:pPr>
              <w:jc w:val="center"/>
              <w:rPr>
                <w:color w:val="000000"/>
                <w:szCs w:val="21"/>
              </w:rPr>
            </w:pPr>
            <w:r>
              <w:rPr>
                <w:color w:val="000000"/>
                <w:szCs w:val="21"/>
              </w:rPr>
              <w:t>200</w:t>
            </w:r>
          </w:p>
        </w:tc>
      </w:tr>
      <w:tr w14:paraId="6FF0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0CD53A6">
            <w:pPr>
              <w:jc w:val="center"/>
              <w:rPr>
                <w:color w:val="000000"/>
                <w:szCs w:val="21"/>
              </w:rPr>
            </w:pPr>
            <w:r>
              <w:rPr>
                <w:color w:val="000000"/>
                <w:szCs w:val="21"/>
              </w:rPr>
              <w:t>18</w:t>
            </w:r>
          </w:p>
        </w:tc>
        <w:tc>
          <w:tcPr>
            <w:tcW w:w="0" w:type="auto"/>
            <w:noWrap w:val="0"/>
            <w:vAlign w:val="center"/>
          </w:tcPr>
          <w:p w14:paraId="726839FD">
            <w:pPr>
              <w:jc w:val="center"/>
              <w:rPr>
                <w:rFonts w:ascii="楷体_GB2312" w:hAnsi="宋体" w:eastAsia="楷体_GB2312" w:cs="宋体"/>
                <w:color w:val="000000"/>
                <w:szCs w:val="21"/>
              </w:rPr>
            </w:pPr>
            <w:r>
              <w:rPr>
                <w:rFonts w:hint="eastAsia" w:ascii="楷体_GB2312" w:eastAsia="楷体_GB2312"/>
                <w:color w:val="000000"/>
                <w:szCs w:val="21"/>
              </w:rPr>
              <w:t>纬一路</w:t>
            </w:r>
          </w:p>
        </w:tc>
        <w:tc>
          <w:tcPr>
            <w:tcW w:w="0" w:type="auto"/>
            <w:noWrap w:val="0"/>
            <w:vAlign w:val="center"/>
          </w:tcPr>
          <w:p w14:paraId="6DCEEB54">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C42A2F5">
            <w:pPr>
              <w:jc w:val="center"/>
              <w:rPr>
                <w:color w:val="000000"/>
                <w:szCs w:val="21"/>
              </w:rPr>
            </w:pPr>
            <w:r>
              <w:rPr>
                <w:color w:val="000000"/>
                <w:szCs w:val="21"/>
              </w:rPr>
              <w:t>0.4</w:t>
            </w:r>
          </w:p>
        </w:tc>
        <w:tc>
          <w:tcPr>
            <w:tcW w:w="0" w:type="auto"/>
            <w:noWrap w:val="0"/>
            <w:vAlign w:val="center"/>
          </w:tcPr>
          <w:p w14:paraId="033014B6">
            <w:pPr>
              <w:jc w:val="center"/>
              <w:rPr>
                <w:color w:val="000000"/>
                <w:szCs w:val="21"/>
              </w:rPr>
            </w:pPr>
            <w:r>
              <w:rPr>
                <w:color w:val="000000"/>
                <w:szCs w:val="21"/>
              </w:rPr>
              <w:t>3</w:t>
            </w:r>
          </w:p>
        </w:tc>
        <w:tc>
          <w:tcPr>
            <w:tcW w:w="0" w:type="auto"/>
            <w:noWrap w:val="0"/>
            <w:vAlign w:val="center"/>
          </w:tcPr>
          <w:p w14:paraId="1451C483">
            <w:pPr>
              <w:jc w:val="center"/>
              <w:rPr>
                <w:color w:val="000000"/>
                <w:szCs w:val="21"/>
              </w:rPr>
            </w:pPr>
            <w:r>
              <w:rPr>
                <w:color w:val="000000"/>
                <w:szCs w:val="21"/>
              </w:rPr>
              <w:t>40</w:t>
            </w:r>
          </w:p>
        </w:tc>
        <w:tc>
          <w:tcPr>
            <w:tcW w:w="0" w:type="auto"/>
            <w:noWrap w:val="0"/>
            <w:vAlign w:val="center"/>
          </w:tcPr>
          <w:p w14:paraId="1E0B4F36">
            <w:pPr>
              <w:jc w:val="center"/>
              <w:rPr>
                <w:color w:val="000000"/>
                <w:szCs w:val="21"/>
              </w:rPr>
            </w:pPr>
            <w:r>
              <w:rPr>
                <w:color w:val="000000"/>
                <w:szCs w:val="21"/>
              </w:rPr>
              <w:t>200</w:t>
            </w:r>
          </w:p>
        </w:tc>
      </w:tr>
      <w:tr w14:paraId="3BFEF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2BFB332">
            <w:pPr>
              <w:jc w:val="center"/>
              <w:rPr>
                <w:color w:val="000000"/>
                <w:szCs w:val="21"/>
              </w:rPr>
            </w:pPr>
            <w:r>
              <w:rPr>
                <w:color w:val="000000"/>
                <w:szCs w:val="21"/>
              </w:rPr>
              <w:t>19</w:t>
            </w:r>
          </w:p>
        </w:tc>
        <w:tc>
          <w:tcPr>
            <w:tcW w:w="0" w:type="auto"/>
            <w:noWrap w:val="0"/>
            <w:vAlign w:val="center"/>
          </w:tcPr>
          <w:p w14:paraId="20734894">
            <w:pPr>
              <w:jc w:val="center"/>
              <w:rPr>
                <w:rFonts w:ascii="楷体_GB2312" w:hAnsi="宋体" w:eastAsia="楷体_GB2312" w:cs="宋体"/>
                <w:color w:val="000000"/>
                <w:szCs w:val="21"/>
              </w:rPr>
            </w:pPr>
            <w:r>
              <w:rPr>
                <w:rFonts w:hint="eastAsia" w:ascii="楷体_GB2312" w:eastAsia="楷体_GB2312"/>
                <w:color w:val="000000"/>
                <w:szCs w:val="21"/>
              </w:rPr>
              <w:t>永商路</w:t>
            </w:r>
          </w:p>
        </w:tc>
        <w:tc>
          <w:tcPr>
            <w:tcW w:w="0" w:type="auto"/>
            <w:noWrap w:val="0"/>
            <w:vAlign w:val="center"/>
          </w:tcPr>
          <w:p w14:paraId="2B0F7085">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54A735E7">
            <w:pPr>
              <w:jc w:val="center"/>
              <w:rPr>
                <w:color w:val="000000"/>
                <w:szCs w:val="21"/>
              </w:rPr>
            </w:pPr>
            <w:r>
              <w:rPr>
                <w:color w:val="000000"/>
                <w:szCs w:val="21"/>
              </w:rPr>
              <w:t>0.4</w:t>
            </w:r>
          </w:p>
        </w:tc>
        <w:tc>
          <w:tcPr>
            <w:tcW w:w="0" w:type="auto"/>
            <w:noWrap w:val="0"/>
            <w:vAlign w:val="center"/>
          </w:tcPr>
          <w:p w14:paraId="7A5C56A2">
            <w:pPr>
              <w:jc w:val="center"/>
              <w:rPr>
                <w:color w:val="000000"/>
                <w:szCs w:val="21"/>
              </w:rPr>
            </w:pPr>
            <w:r>
              <w:rPr>
                <w:color w:val="000000"/>
                <w:szCs w:val="21"/>
              </w:rPr>
              <w:t>3</w:t>
            </w:r>
          </w:p>
        </w:tc>
        <w:tc>
          <w:tcPr>
            <w:tcW w:w="0" w:type="auto"/>
            <w:noWrap w:val="0"/>
            <w:vAlign w:val="center"/>
          </w:tcPr>
          <w:p w14:paraId="4648623E">
            <w:pPr>
              <w:jc w:val="center"/>
              <w:rPr>
                <w:color w:val="000000"/>
                <w:szCs w:val="21"/>
              </w:rPr>
            </w:pPr>
            <w:r>
              <w:rPr>
                <w:color w:val="000000"/>
                <w:szCs w:val="21"/>
              </w:rPr>
              <w:t>40</w:t>
            </w:r>
          </w:p>
        </w:tc>
        <w:tc>
          <w:tcPr>
            <w:tcW w:w="0" w:type="auto"/>
            <w:noWrap w:val="0"/>
            <w:vAlign w:val="center"/>
          </w:tcPr>
          <w:p w14:paraId="66226E03">
            <w:pPr>
              <w:jc w:val="center"/>
              <w:rPr>
                <w:color w:val="000000"/>
                <w:szCs w:val="21"/>
              </w:rPr>
            </w:pPr>
            <w:r>
              <w:rPr>
                <w:color w:val="000000"/>
                <w:szCs w:val="21"/>
              </w:rPr>
              <w:t>200</w:t>
            </w:r>
          </w:p>
        </w:tc>
      </w:tr>
      <w:tr w14:paraId="7DFE5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9C6F5FB">
            <w:pPr>
              <w:jc w:val="center"/>
              <w:rPr>
                <w:color w:val="000000"/>
                <w:szCs w:val="21"/>
              </w:rPr>
            </w:pPr>
            <w:r>
              <w:rPr>
                <w:color w:val="000000"/>
                <w:szCs w:val="21"/>
              </w:rPr>
              <w:t>20</w:t>
            </w:r>
          </w:p>
        </w:tc>
        <w:tc>
          <w:tcPr>
            <w:tcW w:w="0" w:type="auto"/>
            <w:noWrap w:val="0"/>
            <w:vAlign w:val="center"/>
          </w:tcPr>
          <w:p w14:paraId="7C6B78B4">
            <w:pPr>
              <w:jc w:val="center"/>
              <w:rPr>
                <w:rFonts w:ascii="楷体_GB2312" w:hAnsi="宋体" w:eastAsia="楷体_GB2312" w:cs="宋体"/>
                <w:color w:val="000000"/>
                <w:szCs w:val="21"/>
              </w:rPr>
            </w:pPr>
            <w:r>
              <w:rPr>
                <w:rFonts w:hint="eastAsia" w:ascii="楷体_GB2312" w:eastAsia="楷体_GB2312"/>
                <w:color w:val="000000"/>
                <w:szCs w:val="21"/>
              </w:rPr>
              <w:t>振兴路</w:t>
            </w:r>
          </w:p>
        </w:tc>
        <w:tc>
          <w:tcPr>
            <w:tcW w:w="0" w:type="auto"/>
            <w:noWrap w:val="0"/>
            <w:vAlign w:val="center"/>
          </w:tcPr>
          <w:p w14:paraId="71B4DC48">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6702BE98">
            <w:pPr>
              <w:jc w:val="center"/>
              <w:rPr>
                <w:color w:val="000000"/>
                <w:szCs w:val="21"/>
              </w:rPr>
            </w:pPr>
            <w:r>
              <w:rPr>
                <w:color w:val="000000"/>
                <w:szCs w:val="21"/>
              </w:rPr>
              <w:t>0.4</w:t>
            </w:r>
          </w:p>
        </w:tc>
        <w:tc>
          <w:tcPr>
            <w:tcW w:w="0" w:type="auto"/>
            <w:noWrap w:val="0"/>
            <w:vAlign w:val="center"/>
          </w:tcPr>
          <w:p w14:paraId="5C4FA15E">
            <w:pPr>
              <w:jc w:val="center"/>
              <w:rPr>
                <w:color w:val="000000"/>
                <w:szCs w:val="21"/>
              </w:rPr>
            </w:pPr>
            <w:r>
              <w:rPr>
                <w:color w:val="000000"/>
                <w:szCs w:val="21"/>
              </w:rPr>
              <w:t>3</w:t>
            </w:r>
          </w:p>
        </w:tc>
        <w:tc>
          <w:tcPr>
            <w:tcW w:w="0" w:type="auto"/>
            <w:noWrap w:val="0"/>
            <w:vAlign w:val="center"/>
          </w:tcPr>
          <w:p w14:paraId="5CC7E774">
            <w:pPr>
              <w:jc w:val="center"/>
              <w:rPr>
                <w:color w:val="000000"/>
                <w:szCs w:val="21"/>
              </w:rPr>
            </w:pPr>
            <w:r>
              <w:rPr>
                <w:color w:val="000000"/>
                <w:szCs w:val="21"/>
              </w:rPr>
              <w:t>40</w:t>
            </w:r>
          </w:p>
        </w:tc>
        <w:tc>
          <w:tcPr>
            <w:tcW w:w="0" w:type="auto"/>
            <w:noWrap w:val="0"/>
            <w:vAlign w:val="center"/>
          </w:tcPr>
          <w:p w14:paraId="3B74B692">
            <w:pPr>
              <w:jc w:val="center"/>
              <w:rPr>
                <w:color w:val="000000"/>
                <w:szCs w:val="21"/>
              </w:rPr>
            </w:pPr>
            <w:r>
              <w:rPr>
                <w:color w:val="000000"/>
                <w:szCs w:val="21"/>
              </w:rPr>
              <w:t>200</w:t>
            </w:r>
          </w:p>
        </w:tc>
      </w:tr>
    </w:tbl>
    <w:p w14:paraId="6EC2665A">
      <w:pPr>
        <w:jc w:val="center"/>
        <w:rPr>
          <w:rFonts w:eastAsia="黑体"/>
          <w:sz w:val="28"/>
        </w:rPr>
      </w:pPr>
    </w:p>
    <w:p w14:paraId="02E04718">
      <w:pPr>
        <w:jc w:val="center"/>
        <w:rPr>
          <w:rFonts w:eastAsia="黑体"/>
          <w:sz w:val="28"/>
        </w:rPr>
      </w:pPr>
      <w:r>
        <w:rPr>
          <w:rFonts w:eastAsia="黑体"/>
          <w:sz w:val="28"/>
        </w:rPr>
        <w:br w:type="page"/>
      </w:r>
      <w:r>
        <w:rPr>
          <w:rFonts w:eastAsia="黑体"/>
          <w:sz w:val="28"/>
        </w:rPr>
        <w:t>表1-3-</w:t>
      </w:r>
      <w:r>
        <w:rPr>
          <w:rFonts w:hint="eastAsia" w:eastAsia="黑体"/>
          <w:sz w:val="28"/>
        </w:rPr>
        <w:t>2</w:t>
      </w:r>
      <w:r>
        <w:rPr>
          <w:rFonts w:eastAsia="黑体"/>
          <w:sz w:val="28"/>
        </w:rPr>
        <w:t xml:space="preserve">5  </w:t>
      </w:r>
      <w:r>
        <w:rPr>
          <w:rFonts w:hint="eastAsia" w:eastAsia="黑体"/>
          <w:sz w:val="28"/>
        </w:rPr>
        <w:t>支河乡</w:t>
      </w:r>
      <w:r>
        <w:rPr>
          <w:rFonts w:eastAsia="黑体"/>
          <w:sz w:val="28"/>
        </w:rPr>
        <w:t>镇区道路状况及其功能分及影响距离表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460"/>
        <w:gridCol w:w="1460"/>
        <w:gridCol w:w="1460"/>
        <w:gridCol w:w="879"/>
        <w:gridCol w:w="1170"/>
        <w:gridCol w:w="1460"/>
      </w:tblGrid>
      <w:tr w14:paraId="3183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83" w:type="dxa"/>
            <w:noWrap w:val="0"/>
            <w:vAlign w:val="center"/>
          </w:tcPr>
          <w:p w14:paraId="6E6A5270">
            <w:pPr>
              <w:jc w:val="center"/>
              <w:rPr>
                <w:rFonts w:eastAsia="楷体_GB2312"/>
              </w:rPr>
            </w:pPr>
            <w:r>
              <w:rPr>
                <w:rFonts w:eastAsia="楷体_GB2312"/>
              </w:rPr>
              <w:t>道路编号</w:t>
            </w:r>
          </w:p>
        </w:tc>
        <w:tc>
          <w:tcPr>
            <w:tcW w:w="0" w:type="auto"/>
            <w:noWrap w:val="0"/>
            <w:vAlign w:val="center"/>
          </w:tcPr>
          <w:p w14:paraId="26863ADB">
            <w:pPr>
              <w:jc w:val="center"/>
              <w:rPr>
                <w:rFonts w:eastAsia="楷体_GB2312"/>
              </w:rPr>
            </w:pPr>
            <w:r>
              <w:rPr>
                <w:rFonts w:eastAsia="楷体_GB2312"/>
              </w:rPr>
              <w:t>道路名称</w:t>
            </w:r>
          </w:p>
        </w:tc>
        <w:tc>
          <w:tcPr>
            <w:tcW w:w="0" w:type="auto"/>
            <w:noWrap w:val="0"/>
            <w:vAlign w:val="center"/>
          </w:tcPr>
          <w:p w14:paraId="72408CA6">
            <w:pPr>
              <w:jc w:val="center"/>
              <w:rPr>
                <w:rFonts w:eastAsia="楷体_GB2312"/>
              </w:rPr>
            </w:pPr>
            <w:r>
              <w:rPr>
                <w:rFonts w:eastAsia="楷体_GB2312"/>
              </w:rPr>
              <w:t>道路类型</w:t>
            </w:r>
          </w:p>
        </w:tc>
        <w:tc>
          <w:tcPr>
            <w:tcW w:w="0" w:type="auto"/>
            <w:noWrap w:val="0"/>
            <w:vAlign w:val="center"/>
          </w:tcPr>
          <w:p w14:paraId="31A0C833">
            <w:pPr>
              <w:jc w:val="center"/>
              <w:rPr>
                <w:rFonts w:eastAsia="楷体_GB2312"/>
              </w:rPr>
            </w:pPr>
            <w:r>
              <w:rPr>
                <w:rFonts w:eastAsia="楷体_GB2312"/>
              </w:rPr>
              <w:t>作用指数</w:t>
            </w:r>
          </w:p>
        </w:tc>
        <w:tc>
          <w:tcPr>
            <w:tcW w:w="0" w:type="auto"/>
            <w:noWrap w:val="0"/>
            <w:vAlign w:val="center"/>
          </w:tcPr>
          <w:p w14:paraId="3F310870">
            <w:pPr>
              <w:jc w:val="center"/>
              <w:rPr>
                <w:rFonts w:eastAsia="楷体_GB2312"/>
              </w:rPr>
            </w:pPr>
            <w:r>
              <w:rPr>
                <w:rFonts w:eastAsia="楷体_GB2312"/>
              </w:rPr>
              <w:t>级别</w:t>
            </w:r>
          </w:p>
        </w:tc>
        <w:tc>
          <w:tcPr>
            <w:tcW w:w="0" w:type="auto"/>
            <w:noWrap w:val="0"/>
            <w:vAlign w:val="center"/>
          </w:tcPr>
          <w:p w14:paraId="1C867552">
            <w:pPr>
              <w:jc w:val="center"/>
              <w:rPr>
                <w:rFonts w:eastAsia="楷体_GB2312"/>
              </w:rPr>
            </w:pPr>
            <w:r>
              <w:rPr>
                <w:rFonts w:eastAsia="楷体_GB2312"/>
              </w:rPr>
              <w:t>功能分</w:t>
            </w:r>
          </w:p>
        </w:tc>
        <w:tc>
          <w:tcPr>
            <w:tcW w:w="0" w:type="auto"/>
            <w:noWrap w:val="0"/>
            <w:vAlign w:val="center"/>
          </w:tcPr>
          <w:p w14:paraId="103256F7">
            <w:pPr>
              <w:jc w:val="center"/>
              <w:rPr>
                <w:rFonts w:eastAsia="楷体_GB2312"/>
              </w:rPr>
            </w:pPr>
            <w:r>
              <w:rPr>
                <w:rFonts w:eastAsia="楷体_GB2312"/>
              </w:rPr>
              <w:t>影响半径</w:t>
            </w:r>
          </w:p>
        </w:tc>
      </w:tr>
      <w:tr w14:paraId="47959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D2029D5">
            <w:pPr>
              <w:jc w:val="center"/>
              <w:rPr>
                <w:color w:val="000000"/>
                <w:szCs w:val="21"/>
              </w:rPr>
            </w:pPr>
            <w:r>
              <w:rPr>
                <w:rFonts w:hint="eastAsia"/>
                <w:color w:val="000000"/>
                <w:szCs w:val="21"/>
              </w:rPr>
              <w:t>0</w:t>
            </w:r>
            <w:r>
              <w:rPr>
                <w:color w:val="000000"/>
                <w:szCs w:val="21"/>
              </w:rPr>
              <w:t>1</w:t>
            </w:r>
          </w:p>
        </w:tc>
        <w:tc>
          <w:tcPr>
            <w:tcW w:w="0" w:type="auto"/>
            <w:noWrap w:val="0"/>
            <w:vAlign w:val="center"/>
          </w:tcPr>
          <w:p w14:paraId="51D9A469">
            <w:pPr>
              <w:jc w:val="center"/>
              <w:rPr>
                <w:rFonts w:ascii="楷体_GB2312" w:hAnsi="宋体" w:eastAsia="楷体_GB2312" w:cs="宋体"/>
                <w:color w:val="000000"/>
                <w:szCs w:val="21"/>
              </w:rPr>
            </w:pPr>
            <w:r>
              <w:rPr>
                <w:rFonts w:hint="eastAsia" w:ascii="楷体_GB2312" w:hAnsi="宋体" w:eastAsia="楷体_GB2312" w:cs="宋体"/>
                <w:color w:val="000000"/>
                <w:szCs w:val="21"/>
              </w:rPr>
              <w:t>外环北路</w:t>
            </w:r>
          </w:p>
        </w:tc>
        <w:tc>
          <w:tcPr>
            <w:tcW w:w="0" w:type="auto"/>
            <w:noWrap w:val="0"/>
            <w:vAlign w:val="center"/>
          </w:tcPr>
          <w:p w14:paraId="743442E2">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37DED610">
            <w:pPr>
              <w:jc w:val="center"/>
              <w:rPr>
                <w:color w:val="000000"/>
                <w:szCs w:val="21"/>
              </w:rPr>
            </w:pPr>
            <w:r>
              <w:rPr>
                <w:color w:val="000000"/>
                <w:szCs w:val="21"/>
              </w:rPr>
              <w:t>1</w:t>
            </w:r>
          </w:p>
        </w:tc>
        <w:tc>
          <w:tcPr>
            <w:tcW w:w="0" w:type="auto"/>
            <w:noWrap w:val="0"/>
            <w:vAlign w:val="center"/>
          </w:tcPr>
          <w:p w14:paraId="2B3DBDA8">
            <w:pPr>
              <w:jc w:val="center"/>
              <w:rPr>
                <w:color w:val="000000"/>
                <w:szCs w:val="21"/>
              </w:rPr>
            </w:pPr>
            <w:r>
              <w:rPr>
                <w:color w:val="000000"/>
                <w:szCs w:val="21"/>
              </w:rPr>
              <w:t>1</w:t>
            </w:r>
          </w:p>
        </w:tc>
        <w:tc>
          <w:tcPr>
            <w:tcW w:w="0" w:type="auto"/>
            <w:noWrap w:val="0"/>
            <w:vAlign w:val="center"/>
          </w:tcPr>
          <w:p w14:paraId="6429B847">
            <w:pPr>
              <w:jc w:val="center"/>
              <w:rPr>
                <w:color w:val="000000"/>
                <w:szCs w:val="21"/>
              </w:rPr>
            </w:pPr>
            <w:r>
              <w:rPr>
                <w:color w:val="000000"/>
                <w:szCs w:val="21"/>
              </w:rPr>
              <w:t>100</w:t>
            </w:r>
          </w:p>
        </w:tc>
        <w:tc>
          <w:tcPr>
            <w:tcW w:w="0" w:type="auto"/>
            <w:noWrap w:val="0"/>
            <w:vAlign w:val="center"/>
          </w:tcPr>
          <w:p w14:paraId="702ED0F8">
            <w:pPr>
              <w:jc w:val="center"/>
              <w:rPr>
                <w:color w:val="000000"/>
                <w:szCs w:val="21"/>
              </w:rPr>
            </w:pPr>
            <w:r>
              <w:rPr>
                <w:color w:val="000000"/>
                <w:szCs w:val="21"/>
              </w:rPr>
              <w:t>220</w:t>
            </w:r>
          </w:p>
        </w:tc>
      </w:tr>
      <w:tr w14:paraId="684C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0100771">
            <w:pPr>
              <w:jc w:val="center"/>
              <w:rPr>
                <w:color w:val="000000"/>
                <w:szCs w:val="21"/>
              </w:rPr>
            </w:pPr>
            <w:r>
              <w:rPr>
                <w:rFonts w:hint="eastAsia"/>
                <w:color w:val="000000"/>
                <w:szCs w:val="21"/>
              </w:rPr>
              <w:t>0</w:t>
            </w:r>
            <w:r>
              <w:rPr>
                <w:color w:val="000000"/>
                <w:szCs w:val="21"/>
              </w:rPr>
              <w:t>2</w:t>
            </w:r>
          </w:p>
        </w:tc>
        <w:tc>
          <w:tcPr>
            <w:tcW w:w="0" w:type="auto"/>
            <w:noWrap w:val="0"/>
            <w:vAlign w:val="center"/>
          </w:tcPr>
          <w:p w14:paraId="447D0401">
            <w:pPr>
              <w:jc w:val="center"/>
              <w:rPr>
                <w:rFonts w:ascii="楷体_GB2312" w:hAnsi="宋体" w:eastAsia="楷体_GB2312" w:cs="宋体"/>
                <w:color w:val="000000"/>
                <w:szCs w:val="21"/>
              </w:rPr>
            </w:pPr>
            <w:r>
              <w:rPr>
                <w:rFonts w:hint="eastAsia" w:ascii="楷体_GB2312" w:hAnsi="宋体" w:eastAsia="楷体_GB2312" w:cs="宋体"/>
                <w:color w:val="000000"/>
                <w:szCs w:val="21"/>
              </w:rPr>
              <w:t>外环北路</w:t>
            </w:r>
          </w:p>
        </w:tc>
        <w:tc>
          <w:tcPr>
            <w:tcW w:w="0" w:type="auto"/>
            <w:noWrap w:val="0"/>
            <w:vAlign w:val="center"/>
          </w:tcPr>
          <w:p w14:paraId="5C1EA9B4">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169A2621">
            <w:pPr>
              <w:jc w:val="center"/>
              <w:rPr>
                <w:color w:val="000000"/>
                <w:szCs w:val="21"/>
              </w:rPr>
            </w:pPr>
            <w:r>
              <w:rPr>
                <w:color w:val="000000"/>
                <w:szCs w:val="21"/>
              </w:rPr>
              <w:t>1</w:t>
            </w:r>
          </w:p>
        </w:tc>
        <w:tc>
          <w:tcPr>
            <w:tcW w:w="0" w:type="auto"/>
            <w:noWrap w:val="0"/>
            <w:vAlign w:val="center"/>
          </w:tcPr>
          <w:p w14:paraId="7876D62F">
            <w:pPr>
              <w:jc w:val="center"/>
              <w:rPr>
                <w:color w:val="000000"/>
                <w:szCs w:val="21"/>
              </w:rPr>
            </w:pPr>
            <w:r>
              <w:rPr>
                <w:color w:val="000000"/>
                <w:szCs w:val="21"/>
              </w:rPr>
              <w:t>1</w:t>
            </w:r>
          </w:p>
        </w:tc>
        <w:tc>
          <w:tcPr>
            <w:tcW w:w="0" w:type="auto"/>
            <w:noWrap w:val="0"/>
            <w:vAlign w:val="center"/>
          </w:tcPr>
          <w:p w14:paraId="512FE590">
            <w:pPr>
              <w:jc w:val="center"/>
              <w:rPr>
                <w:color w:val="000000"/>
                <w:szCs w:val="21"/>
              </w:rPr>
            </w:pPr>
            <w:r>
              <w:rPr>
                <w:color w:val="000000"/>
                <w:szCs w:val="21"/>
              </w:rPr>
              <w:t>100</w:t>
            </w:r>
          </w:p>
        </w:tc>
        <w:tc>
          <w:tcPr>
            <w:tcW w:w="0" w:type="auto"/>
            <w:noWrap w:val="0"/>
            <w:vAlign w:val="center"/>
          </w:tcPr>
          <w:p w14:paraId="63D0903B">
            <w:pPr>
              <w:jc w:val="center"/>
              <w:rPr>
                <w:color w:val="000000"/>
                <w:szCs w:val="21"/>
              </w:rPr>
            </w:pPr>
            <w:r>
              <w:rPr>
                <w:color w:val="000000"/>
                <w:szCs w:val="21"/>
              </w:rPr>
              <w:t>220</w:t>
            </w:r>
          </w:p>
        </w:tc>
      </w:tr>
      <w:tr w14:paraId="70E3B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04C38BA">
            <w:pPr>
              <w:jc w:val="center"/>
              <w:rPr>
                <w:color w:val="000000"/>
                <w:szCs w:val="21"/>
              </w:rPr>
            </w:pPr>
            <w:r>
              <w:rPr>
                <w:rFonts w:hint="eastAsia"/>
                <w:color w:val="000000"/>
                <w:szCs w:val="21"/>
              </w:rPr>
              <w:t>0</w:t>
            </w:r>
            <w:r>
              <w:rPr>
                <w:color w:val="000000"/>
                <w:szCs w:val="21"/>
              </w:rPr>
              <w:t>3</w:t>
            </w:r>
          </w:p>
        </w:tc>
        <w:tc>
          <w:tcPr>
            <w:tcW w:w="0" w:type="auto"/>
            <w:noWrap w:val="0"/>
            <w:vAlign w:val="center"/>
          </w:tcPr>
          <w:p w14:paraId="4D6603AF">
            <w:pPr>
              <w:jc w:val="center"/>
              <w:rPr>
                <w:rFonts w:ascii="楷体_GB2312" w:hAnsi="宋体" w:eastAsia="楷体_GB2312" w:cs="宋体"/>
                <w:color w:val="000000"/>
                <w:szCs w:val="21"/>
              </w:rPr>
            </w:pPr>
            <w:r>
              <w:rPr>
                <w:rFonts w:hint="eastAsia" w:ascii="楷体_GB2312" w:hAnsi="宋体" w:eastAsia="楷体_GB2312" w:cs="宋体"/>
                <w:color w:val="000000"/>
                <w:szCs w:val="21"/>
              </w:rPr>
              <w:t>幸福大道</w:t>
            </w:r>
          </w:p>
        </w:tc>
        <w:tc>
          <w:tcPr>
            <w:tcW w:w="0" w:type="auto"/>
            <w:noWrap w:val="0"/>
            <w:vAlign w:val="center"/>
          </w:tcPr>
          <w:p w14:paraId="2FD0B03E">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6B3B5AC1">
            <w:pPr>
              <w:jc w:val="center"/>
              <w:rPr>
                <w:color w:val="000000"/>
                <w:szCs w:val="21"/>
              </w:rPr>
            </w:pPr>
            <w:r>
              <w:rPr>
                <w:color w:val="000000"/>
                <w:szCs w:val="21"/>
              </w:rPr>
              <w:t>1</w:t>
            </w:r>
          </w:p>
        </w:tc>
        <w:tc>
          <w:tcPr>
            <w:tcW w:w="0" w:type="auto"/>
            <w:noWrap w:val="0"/>
            <w:vAlign w:val="center"/>
          </w:tcPr>
          <w:p w14:paraId="0395A704">
            <w:pPr>
              <w:jc w:val="center"/>
              <w:rPr>
                <w:color w:val="000000"/>
                <w:szCs w:val="21"/>
              </w:rPr>
            </w:pPr>
            <w:r>
              <w:rPr>
                <w:color w:val="000000"/>
                <w:szCs w:val="21"/>
              </w:rPr>
              <w:t>1</w:t>
            </w:r>
          </w:p>
        </w:tc>
        <w:tc>
          <w:tcPr>
            <w:tcW w:w="0" w:type="auto"/>
            <w:noWrap w:val="0"/>
            <w:vAlign w:val="center"/>
          </w:tcPr>
          <w:p w14:paraId="1D65E8E2">
            <w:pPr>
              <w:jc w:val="center"/>
              <w:rPr>
                <w:color w:val="000000"/>
                <w:szCs w:val="21"/>
              </w:rPr>
            </w:pPr>
            <w:r>
              <w:rPr>
                <w:color w:val="000000"/>
                <w:szCs w:val="21"/>
              </w:rPr>
              <w:t>100</w:t>
            </w:r>
          </w:p>
        </w:tc>
        <w:tc>
          <w:tcPr>
            <w:tcW w:w="0" w:type="auto"/>
            <w:noWrap w:val="0"/>
            <w:vAlign w:val="center"/>
          </w:tcPr>
          <w:p w14:paraId="282A8CDE">
            <w:pPr>
              <w:jc w:val="center"/>
              <w:rPr>
                <w:color w:val="000000"/>
                <w:szCs w:val="21"/>
              </w:rPr>
            </w:pPr>
            <w:r>
              <w:rPr>
                <w:color w:val="000000"/>
                <w:szCs w:val="21"/>
              </w:rPr>
              <w:t>220</w:t>
            </w:r>
          </w:p>
        </w:tc>
      </w:tr>
      <w:tr w14:paraId="6BBD3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3620461">
            <w:pPr>
              <w:jc w:val="center"/>
              <w:rPr>
                <w:color w:val="000000"/>
                <w:szCs w:val="21"/>
              </w:rPr>
            </w:pPr>
            <w:r>
              <w:rPr>
                <w:rFonts w:hint="eastAsia"/>
                <w:color w:val="000000"/>
                <w:szCs w:val="21"/>
              </w:rPr>
              <w:t>0</w:t>
            </w:r>
            <w:r>
              <w:rPr>
                <w:color w:val="000000"/>
                <w:szCs w:val="21"/>
              </w:rPr>
              <w:t>4</w:t>
            </w:r>
          </w:p>
        </w:tc>
        <w:tc>
          <w:tcPr>
            <w:tcW w:w="0" w:type="auto"/>
            <w:noWrap w:val="0"/>
            <w:vAlign w:val="center"/>
          </w:tcPr>
          <w:p w14:paraId="013F3B1D">
            <w:pPr>
              <w:jc w:val="center"/>
              <w:rPr>
                <w:rFonts w:ascii="楷体_GB2312" w:hAnsi="宋体" w:eastAsia="楷体_GB2312" w:cs="宋体"/>
                <w:color w:val="000000"/>
                <w:szCs w:val="21"/>
              </w:rPr>
            </w:pPr>
            <w:r>
              <w:rPr>
                <w:rFonts w:hint="eastAsia" w:ascii="楷体_GB2312" w:hAnsi="宋体" w:eastAsia="楷体_GB2312" w:cs="宋体"/>
                <w:color w:val="000000"/>
                <w:szCs w:val="21"/>
              </w:rPr>
              <w:t>外环南路</w:t>
            </w:r>
          </w:p>
        </w:tc>
        <w:tc>
          <w:tcPr>
            <w:tcW w:w="0" w:type="auto"/>
            <w:noWrap w:val="0"/>
            <w:vAlign w:val="center"/>
          </w:tcPr>
          <w:p w14:paraId="3C1B2B9B">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5638C197">
            <w:pPr>
              <w:jc w:val="center"/>
              <w:rPr>
                <w:color w:val="000000"/>
                <w:szCs w:val="21"/>
              </w:rPr>
            </w:pPr>
            <w:r>
              <w:rPr>
                <w:color w:val="000000"/>
                <w:szCs w:val="21"/>
              </w:rPr>
              <w:t>1</w:t>
            </w:r>
          </w:p>
        </w:tc>
        <w:tc>
          <w:tcPr>
            <w:tcW w:w="0" w:type="auto"/>
            <w:noWrap w:val="0"/>
            <w:vAlign w:val="center"/>
          </w:tcPr>
          <w:p w14:paraId="758DFDF0">
            <w:pPr>
              <w:jc w:val="center"/>
              <w:rPr>
                <w:color w:val="000000"/>
                <w:szCs w:val="21"/>
              </w:rPr>
            </w:pPr>
            <w:r>
              <w:rPr>
                <w:color w:val="000000"/>
                <w:szCs w:val="21"/>
              </w:rPr>
              <w:t>1</w:t>
            </w:r>
          </w:p>
        </w:tc>
        <w:tc>
          <w:tcPr>
            <w:tcW w:w="0" w:type="auto"/>
            <w:noWrap w:val="0"/>
            <w:vAlign w:val="center"/>
          </w:tcPr>
          <w:p w14:paraId="64333926">
            <w:pPr>
              <w:jc w:val="center"/>
              <w:rPr>
                <w:color w:val="000000"/>
                <w:szCs w:val="21"/>
              </w:rPr>
            </w:pPr>
            <w:r>
              <w:rPr>
                <w:color w:val="000000"/>
                <w:szCs w:val="21"/>
              </w:rPr>
              <w:t>100</w:t>
            </w:r>
          </w:p>
        </w:tc>
        <w:tc>
          <w:tcPr>
            <w:tcW w:w="0" w:type="auto"/>
            <w:noWrap w:val="0"/>
            <w:vAlign w:val="center"/>
          </w:tcPr>
          <w:p w14:paraId="5A33F718">
            <w:pPr>
              <w:jc w:val="center"/>
              <w:rPr>
                <w:color w:val="000000"/>
                <w:szCs w:val="21"/>
              </w:rPr>
            </w:pPr>
            <w:r>
              <w:rPr>
                <w:color w:val="000000"/>
                <w:szCs w:val="21"/>
              </w:rPr>
              <w:t>220</w:t>
            </w:r>
          </w:p>
        </w:tc>
      </w:tr>
      <w:tr w14:paraId="7AC7A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A4280EC">
            <w:pPr>
              <w:jc w:val="center"/>
              <w:rPr>
                <w:color w:val="000000"/>
                <w:szCs w:val="21"/>
              </w:rPr>
            </w:pPr>
            <w:r>
              <w:rPr>
                <w:rFonts w:hint="eastAsia"/>
                <w:color w:val="000000"/>
                <w:szCs w:val="21"/>
              </w:rPr>
              <w:t>0</w:t>
            </w:r>
            <w:r>
              <w:rPr>
                <w:color w:val="000000"/>
                <w:szCs w:val="21"/>
              </w:rPr>
              <w:t>5</w:t>
            </w:r>
          </w:p>
        </w:tc>
        <w:tc>
          <w:tcPr>
            <w:tcW w:w="0" w:type="auto"/>
            <w:noWrap w:val="0"/>
            <w:vAlign w:val="center"/>
          </w:tcPr>
          <w:p w14:paraId="4A31873B">
            <w:pPr>
              <w:jc w:val="center"/>
              <w:rPr>
                <w:rFonts w:ascii="楷体_GB2312" w:hAnsi="宋体" w:eastAsia="楷体_GB2312" w:cs="宋体"/>
                <w:color w:val="000000"/>
                <w:szCs w:val="21"/>
              </w:rPr>
            </w:pPr>
            <w:r>
              <w:rPr>
                <w:rFonts w:hint="eastAsia" w:ascii="楷体_GB2312" w:hAnsi="宋体" w:eastAsia="楷体_GB2312" w:cs="宋体"/>
                <w:color w:val="000000"/>
                <w:szCs w:val="21"/>
              </w:rPr>
              <w:t>外环西路</w:t>
            </w:r>
          </w:p>
        </w:tc>
        <w:tc>
          <w:tcPr>
            <w:tcW w:w="0" w:type="auto"/>
            <w:noWrap w:val="0"/>
            <w:vAlign w:val="center"/>
          </w:tcPr>
          <w:p w14:paraId="298DE97D">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0033F70A">
            <w:pPr>
              <w:jc w:val="center"/>
              <w:rPr>
                <w:color w:val="000000"/>
                <w:szCs w:val="21"/>
              </w:rPr>
            </w:pPr>
            <w:r>
              <w:rPr>
                <w:color w:val="000000"/>
                <w:szCs w:val="21"/>
              </w:rPr>
              <w:t>1</w:t>
            </w:r>
          </w:p>
        </w:tc>
        <w:tc>
          <w:tcPr>
            <w:tcW w:w="0" w:type="auto"/>
            <w:noWrap w:val="0"/>
            <w:vAlign w:val="center"/>
          </w:tcPr>
          <w:p w14:paraId="79FFE612">
            <w:pPr>
              <w:jc w:val="center"/>
              <w:rPr>
                <w:color w:val="000000"/>
                <w:szCs w:val="21"/>
              </w:rPr>
            </w:pPr>
            <w:r>
              <w:rPr>
                <w:color w:val="000000"/>
                <w:szCs w:val="21"/>
              </w:rPr>
              <w:t>1</w:t>
            </w:r>
          </w:p>
        </w:tc>
        <w:tc>
          <w:tcPr>
            <w:tcW w:w="0" w:type="auto"/>
            <w:noWrap w:val="0"/>
            <w:vAlign w:val="center"/>
          </w:tcPr>
          <w:p w14:paraId="05B1419B">
            <w:pPr>
              <w:jc w:val="center"/>
              <w:rPr>
                <w:color w:val="000000"/>
                <w:szCs w:val="21"/>
              </w:rPr>
            </w:pPr>
            <w:r>
              <w:rPr>
                <w:color w:val="000000"/>
                <w:szCs w:val="21"/>
              </w:rPr>
              <w:t>100</w:t>
            </w:r>
          </w:p>
        </w:tc>
        <w:tc>
          <w:tcPr>
            <w:tcW w:w="0" w:type="auto"/>
            <w:noWrap w:val="0"/>
            <w:vAlign w:val="center"/>
          </w:tcPr>
          <w:p w14:paraId="0C7B7F45">
            <w:pPr>
              <w:jc w:val="center"/>
              <w:rPr>
                <w:color w:val="000000"/>
                <w:szCs w:val="21"/>
              </w:rPr>
            </w:pPr>
            <w:r>
              <w:rPr>
                <w:color w:val="000000"/>
                <w:szCs w:val="21"/>
              </w:rPr>
              <w:t>220</w:t>
            </w:r>
          </w:p>
        </w:tc>
      </w:tr>
      <w:tr w14:paraId="4E594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5E421C5">
            <w:pPr>
              <w:jc w:val="center"/>
              <w:rPr>
                <w:color w:val="000000"/>
                <w:szCs w:val="21"/>
              </w:rPr>
            </w:pPr>
            <w:r>
              <w:rPr>
                <w:rFonts w:hint="eastAsia"/>
                <w:color w:val="000000"/>
                <w:szCs w:val="21"/>
              </w:rPr>
              <w:t>0</w:t>
            </w:r>
            <w:r>
              <w:rPr>
                <w:color w:val="000000"/>
                <w:szCs w:val="21"/>
              </w:rPr>
              <w:t>6</w:t>
            </w:r>
          </w:p>
        </w:tc>
        <w:tc>
          <w:tcPr>
            <w:tcW w:w="0" w:type="auto"/>
            <w:noWrap w:val="0"/>
            <w:vAlign w:val="center"/>
          </w:tcPr>
          <w:p w14:paraId="6C903903">
            <w:pPr>
              <w:jc w:val="center"/>
              <w:rPr>
                <w:rFonts w:ascii="楷体_GB2312" w:hAnsi="宋体" w:eastAsia="楷体_GB2312" w:cs="宋体"/>
                <w:color w:val="000000"/>
                <w:szCs w:val="21"/>
              </w:rPr>
            </w:pPr>
            <w:r>
              <w:rPr>
                <w:rFonts w:hint="eastAsia" w:ascii="楷体_GB2312" w:hAnsi="宋体" w:eastAsia="楷体_GB2312" w:cs="宋体"/>
                <w:color w:val="000000"/>
                <w:szCs w:val="21"/>
              </w:rPr>
              <w:t>振兴路</w:t>
            </w:r>
          </w:p>
        </w:tc>
        <w:tc>
          <w:tcPr>
            <w:tcW w:w="0" w:type="auto"/>
            <w:noWrap w:val="0"/>
            <w:vAlign w:val="center"/>
          </w:tcPr>
          <w:p w14:paraId="20AC5C19">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14CD8A8A">
            <w:pPr>
              <w:jc w:val="center"/>
              <w:rPr>
                <w:color w:val="000000"/>
                <w:szCs w:val="21"/>
              </w:rPr>
            </w:pPr>
            <w:r>
              <w:rPr>
                <w:color w:val="000000"/>
                <w:szCs w:val="21"/>
              </w:rPr>
              <w:t>1</w:t>
            </w:r>
          </w:p>
        </w:tc>
        <w:tc>
          <w:tcPr>
            <w:tcW w:w="0" w:type="auto"/>
            <w:noWrap w:val="0"/>
            <w:vAlign w:val="center"/>
          </w:tcPr>
          <w:p w14:paraId="6DC42E3E">
            <w:pPr>
              <w:jc w:val="center"/>
              <w:rPr>
                <w:color w:val="000000"/>
                <w:szCs w:val="21"/>
              </w:rPr>
            </w:pPr>
            <w:r>
              <w:rPr>
                <w:color w:val="000000"/>
                <w:szCs w:val="21"/>
              </w:rPr>
              <w:t>1</w:t>
            </w:r>
          </w:p>
        </w:tc>
        <w:tc>
          <w:tcPr>
            <w:tcW w:w="0" w:type="auto"/>
            <w:noWrap w:val="0"/>
            <w:vAlign w:val="center"/>
          </w:tcPr>
          <w:p w14:paraId="2C93AACB">
            <w:pPr>
              <w:jc w:val="center"/>
              <w:rPr>
                <w:color w:val="000000"/>
                <w:szCs w:val="21"/>
              </w:rPr>
            </w:pPr>
            <w:r>
              <w:rPr>
                <w:color w:val="000000"/>
                <w:szCs w:val="21"/>
              </w:rPr>
              <w:t>100</w:t>
            </w:r>
          </w:p>
        </w:tc>
        <w:tc>
          <w:tcPr>
            <w:tcW w:w="0" w:type="auto"/>
            <w:noWrap w:val="0"/>
            <w:vAlign w:val="center"/>
          </w:tcPr>
          <w:p w14:paraId="3D9D433A">
            <w:pPr>
              <w:jc w:val="center"/>
              <w:rPr>
                <w:color w:val="000000"/>
                <w:szCs w:val="21"/>
              </w:rPr>
            </w:pPr>
            <w:r>
              <w:rPr>
                <w:color w:val="000000"/>
                <w:szCs w:val="21"/>
              </w:rPr>
              <w:t>220</w:t>
            </w:r>
          </w:p>
        </w:tc>
      </w:tr>
      <w:tr w14:paraId="40F69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9F918D1">
            <w:pPr>
              <w:jc w:val="center"/>
              <w:rPr>
                <w:color w:val="000000"/>
                <w:szCs w:val="21"/>
              </w:rPr>
            </w:pPr>
            <w:r>
              <w:rPr>
                <w:rFonts w:hint="eastAsia"/>
                <w:color w:val="000000"/>
                <w:szCs w:val="21"/>
              </w:rPr>
              <w:t>0</w:t>
            </w:r>
            <w:r>
              <w:rPr>
                <w:color w:val="000000"/>
                <w:szCs w:val="21"/>
              </w:rPr>
              <w:t>7</w:t>
            </w:r>
          </w:p>
        </w:tc>
        <w:tc>
          <w:tcPr>
            <w:tcW w:w="0" w:type="auto"/>
            <w:noWrap w:val="0"/>
            <w:vAlign w:val="center"/>
          </w:tcPr>
          <w:p w14:paraId="657268BC">
            <w:pPr>
              <w:jc w:val="center"/>
              <w:rPr>
                <w:rFonts w:ascii="楷体_GB2312" w:hAnsi="宋体" w:eastAsia="楷体_GB2312" w:cs="宋体"/>
                <w:color w:val="000000"/>
                <w:szCs w:val="21"/>
              </w:rPr>
            </w:pPr>
            <w:r>
              <w:rPr>
                <w:rFonts w:hint="eastAsia" w:ascii="楷体_GB2312" w:hAnsi="宋体" w:eastAsia="楷体_GB2312" w:cs="宋体"/>
                <w:color w:val="000000"/>
                <w:szCs w:val="21"/>
              </w:rPr>
              <w:t>北海路</w:t>
            </w:r>
          </w:p>
        </w:tc>
        <w:tc>
          <w:tcPr>
            <w:tcW w:w="0" w:type="auto"/>
            <w:noWrap w:val="0"/>
            <w:vAlign w:val="center"/>
          </w:tcPr>
          <w:p w14:paraId="26DA21FF">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0C028658">
            <w:pPr>
              <w:jc w:val="center"/>
              <w:rPr>
                <w:color w:val="000000"/>
                <w:szCs w:val="21"/>
              </w:rPr>
            </w:pPr>
            <w:r>
              <w:rPr>
                <w:color w:val="000000"/>
                <w:szCs w:val="21"/>
              </w:rPr>
              <w:t>1</w:t>
            </w:r>
          </w:p>
        </w:tc>
        <w:tc>
          <w:tcPr>
            <w:tcW w:w="0" w:type="auto"/>
            <w:noWrap w:val="0"/>
            <w:vAlign w:val="center"/>
          </w:tcPr>
          <w:p w14:paraId="0B1D05D9">
            <w:pPr>
              <w:jc w:val="center"/>
              <w:rPr>
                <w:color w:val="000000"/>
                <w:szCs w:val="21"/>
              </w:rPr>
            </w:pPr>
            <w:r>
              <w:rPr>
                <w:color w:val="000000"/>
                <w:szCs w:val="21"/>
              </w:rPr>
              <w:t>1</w:t>
            </w:r>
          </w:p>
        </w:tc>
        <w:tc>
          <w:tcPr>
            <w:tcW w:w="0" w:type="auto"/>
            <w:noWrap w:val="0"/>
            <w:vAlign w:val="center"/>
          </w:tcPr>
          <w:p w14:paraId="335CA57E">
            <w:pPr>
              <w:jc w:val="center"/>
              <w:rPr>
                <w:color w:val="000000"/>
                <w:szCs w:val="21"/>
              </w:rPr>
            </w:pPr>
            <w:r>
              <w:rPr>
                <w:color w:val="000000"/>
                <w:szCs w:val="21"/>
              </w:rPr>
              <w:t>100</w:t>
            </w:r>
          </w:p>
        </w:tc>
        <w:tc>
          <w:tcPr>
            <w:tcW w:w="0" w:type="auto"/>
            <w:noWrap w:val="0"/>
            <w:vAlign w:val="center"/>
          </w:tcPr>
          <w:p w14:paraId="4F1A326F">
            <w:pPr>
              <w:jc w:val="center"/>
              <w:rPr>
                <w:color w:val="000000"/>
                <w:szCs w:val="21"/>
              </w:rPr>
            </w:pPr>
            <w:r>
              <w:rPr>
                <w:color w:val="000000"/>
                <w:szCs w:val="21"/>
              </w:rPr>
              <w:t>220</w:t>
            </w:r>
          </w:p>
        </w:tc>
      </w:tr>
      <w:tr w14:paraId="3E60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C95215D">
            <w:pPr>
              <w:jc w:val="center"/>
              <w:rPr>
                <w:color w:val="000000"/>
                <w:szCs w:val="21"/>
              </w:rPr>
            </w:pPr>
            <w:r>
              <w:rPr>
                <w:rFonts w:hint="eastAsia"/>
                <w:color w:val="000000"/>
                <w:szCs w:val="21"/>
              </w:rPr>
              <w:t>0</w:t>
            </w:r>
            <w:r>
              <w:rPr>
                <w:color w:val="000000"/>
                <w:szCs w:val="21"/>
              </w:rPr>
              <w:t>8</w:t>
            </w:r>
          </w:p>
        </w:tc>
        <w:tc>
          <w:tcPr>
            <w:tcW w:w="0" w:type="auto"/>
            <w:noWrap w:val="0"/>
            <w:vAlign w:val="center"/>
          </w:tcPr>
          <w:p w14:paraId="07CAA0F7">
            <w:pPr>
              <w:jc w:val="center"/>
              <w:rPr>
                <w:rFonts w:ascii="楷体_GB2312" w:hAnsi="宋体" w:eastAsia="楷体_GB2312" w:cs="宋体"/>
                <w:color w:val="000000"/>
                <w:szCs w:val="21"/>
              </w:rPr>
            </w:pPr>
            <w:r>
              <w:rPr>
                <w:rFonts w:hint="eastAsia" w:ascii="楷体_GB2312" w:hAnsi="宋体" w:eastAsia="楷体_GB2312" w:cs="宋体"/>
                <w:color w:val="000000"/>
                <w:szCs w:val="21"/>
              </w:rPr>
              <w:t>外环东路</w:t>
            </w:r>
          </w:p>
        </w:tc>
        <w:tc>
          <w:tcPr>
            <w:tcW w:w="0" w:type="auto"/>
            <w:noWrap w:val="0"/>
            <w:vAlign w:val="center"/>
          </w:tcPr>
          <w:p w14:paraId="28C7F1D6">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46FEC6D2">
            <w:pPr>
              <w:jc w:val="center"/>
              <w:rPr>
                <w:color w:val="000000"/>
                <w:szCs w:val="21"/>
              </w:rPr>
            </w:pPr>
            <w:r>
              <w:rPr>
                <w:color w:val="000000"/>
                <w:szCs w:val="21"/>
              </w:rPr>
              <w:t>1</w:t>
            </w:r>
          </w:p>
        </w:tc>
        <w:tc>
          <w:tcPr>
            <w:tcW w:w="0" w:type="auto"/>
            <w:noWrap w:val="0"/>
            <w:vAlign w:val="center"/>
          </w:tcPr>
          <w:p w14:paraId="62B4F70A">
            <w:pPr>
              <w:jc w:val="center"/>
              <w:rPr>
                <w:color w:val="000000"/>
                <w:szCs w:val="21"/>
              </w:rPr>
            </w:pPr>
            <w:r>
              <w:rPr>
                <w:color w:val="000000"/>
                <w:szCs w:val="21"/>
              </w:rPr>
              <w:t>1</w:t>
            </w:r>
          </w:p>
        </w:tc>
        <w:tc>
          <w:tcPr>
            <w:tcW w:w="0" w:type="auto"/>
            <w:noWrap w:val="0"/>
            <w:vAlign w:val="center"/>
          </w:tcPr>
          <w:p w14:paraId="5FD83EA5">
            <w:pPr>
              <w:jc w:val="center"/>
              <w:rPr>
                <w:color w:val="000000"/>
                <w:szCs w:val="21"/>
              </w:rPr>
            </w:pPr>
            <w:r>
              <w:rPr>
                <w:color w:val="000000"/>
                <w:szCs w:val="21"/>
              </w:rPr>
              <w:t>100</w:t>
            </w:r>
          </w:p>
        </w:tc>
        <w:tc>
          <w:tcPr>
            <w:tcW w:w="0" w:type="auto"/>
            <w:noWrap w:val="0"/>
            <w:vAlign w:val="center"/>
          </w:tcPr>
          <w:p w14:paraId="673D2F60">
            <w:pPr>
              <w:jc w:val="center"/>
              <w:rPr>
                <w:color w:val="000000"/>
                <w:szCs w:val="21"/>
              </w:rPr>
            </w:pPr>
            <w:r>
              <w:rPr>
                <w:color w:val="000000"/>
                <w:szCs w:val="21"/>
              </w:rPr>
              <w:t>220</w:t>
            </w:r>
          </w:p>
        </w:tc>
      </w:tr>
      <w:tr w14:paraId="4C104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40BC507">
            <w:pPr>
              <w:jc w:val="center"/>
              <w:rPr>
                <w:color w:val="000000"/>
                <w:szCs w:val="21"/>
              </w:rPr>
            </w:pPr>
            <w:r>
              <w:rPr>
                <w:rFonts w:hint="eastAsia"/>
                <w:color w:val="000000"/>
                <w:szCs w:val="21"/>
              </w:rPr>
              <w:t>0</w:t>
            </w:r>
            <w:r>
              <w:rPr>
                <w:color w:val="000000"/>
                <w:szCs w:val="21"/>
              </w:rPr>
              <w:t>9</w:t>
            </w:r>
          </w:p>
        </w:tc>
        <w:tc>
          <w:tcPr>
            <w:tcW w:w="0" w:type="auto"/>
            <w:noWrap w:val="0"/>
            <w:vAlign w:val="center"/>
          </w:tcPr>
          <w:p w14:paraId="7675CB2D">
            <w:pPr>
              <w:jc w:val="center"/>
              <w:rPr>
                <w:rFonts w:ascii="楷体_GB2312" w:hAnsi="宋体" w:eastAsia="楷体_GB2312" w:cs="宋体"/>
                <w:color w:val="000000"/>
                <w:szCs w:val="21"/>
              </w:rPr>
            </w:pPr>
            <w:r>
              <w:rPr>
                <w:rFonts w:hint="eastAsia" w:ascii="楷体_GB2312" w:hAnsi="宋体" w:eastAsia="楷体_GB2312" w:cs="宋体"/>
                <w:color w:val="000000"/>
                <w:szCs w:val="21"/>
              </w:rPr>
              <w:t>滨河路</w:t>
            </w:r>
          </w:p>
        </w:tc>
        <w:tc>
          <w:tcPr>
            <w:tcW w:w="0" w:type="auto"/>
            <w:noWrap w:val="0"/>
            <w:vAlign w:val="center"/>
          </w:tcPr>
          <w:p w14:paraId="6872A58B">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0AD77CFE">
            <w:pPr>
              <w:jc w:val="center"/>
              <w:rPr>
                <w:color w:val="000000"/>
                <w:szCs w:val="21"/>
              </w:rPr>
            </w:pPr>
            <w:r>
              <w:rPr>
                <w:color w:val="000000"/>
                <w:szCs w:val="21"/>
              </w:rPr>
              <w:t>0.7</w:t>
            </w:r>
          </w:p>
        </w:tc>
        <w:tc>
          <w:tcPr>
            <w:tcW w:w="0" w:type="auto"/>
            <w:noWrap w:val="0"/>
            <w:vAlign w:val="center"/>
          </w:tcPr>
          <w:p w14:paraId="04365FB0">
            <w:pPr>
              <w:jc w:val="center"/>
              <w:rPr>
                <w:color w:val="000000"/>
                <w:szCs w:val="21"/>
              </w:rPr>
            </w:pPr>
            <w:r>
              <w:rPr>
                <w:color w:val="000000"/>
                <w:szCs w:val="21"/>
              </w:rPr>
              <w:t>2</w:t>
            </w:r>
          </w:p>
        </w:tc>
        <w:tc>
          <w:tcPr>
            <w:tcW w:w="0" w:type="auto"/>
            <w:noWrap w:val="0"/>
            <w:vAlign w:val="center"/>
          </w:tcPr>
          <w:p w14:paraId="1C2F5386">
            <w:pPr>
              <w:jc w:val="center"/>
              <w:rPr>
                <w:color w:val="000000"/>
                <w:szCs w:val="21"/>
              </w:rPr>
            </w:pPr>
            <w:r>
              <w:rPr>
                <w:color w:val="000000"/>
                <w:szCs w:val="21"/>
              </w:rPr>
              <w:t>70</w:t>
            </w:r>
          </w:p>
        </w:tc>
        <w:tc>
          <w:tcPr>
            <w:tcW w:w="0" w:type="auto"/>
            <w:noWrap w:val="0"/>
            <w:vAlign w:val="center"/>
          </w:tcPr>
          <w:p w14:paraId="2FAB5CA0">
            <w:pPr>
              <w:jc w:val="center"/>
              <w:rPr>
                <w:color w:val="000000"/>
                <w:szCs w:val="21"/>
              </w:rPr>
            </w:pPr>
            <w:r>
              <w:rPr>
                <w:color w:val="000000"/>
                <w:szCs w:val="21"/>
              </w:rPr>
              <w:t>180</w:t>
            </w:r>
          </w:p>
        </w:tc>
      </w:tr>
      <w:tr w14:paraId="19445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94B0A20">
            <w:pPr>
              <w:jc w:val="center"/>
              <w:rPr>
                <w:color w:val="000000"/>
                <w:szCs w:val="21"/>
              </w:rPr>
            </w:pPr>
            <w:r>
              <w:rPr>
                <w:color w:val="000000"/>
                <w:szCs w:val="21"/>
              </w:rPr>
              <w:t>10</w:t>
            </w:r>
          </w:p>
        </w:tc>
        <w:tc>
          <w:tcPr>
            <w:tcW w:w="0" w:type="auto"/>
            <w:noWrap w:val="0"/>
            <w:vAlign w:val="center"/>
          </w:tcPr>
          <w:p w14:paraId="088F154C">
            <w:pPr>
              <w:jc w:val="center"/>
              <w:rPr>
                <w:rFonts w:ascii="楷体_GB2312" w:hAnsi="宋体" w:eastAsia="楷体_GB2312" w:cs="宋体"/>
                <w:color w:val="000000"/>
                <w:szCs w:val="21"/>
              </w:rPr>
            </w:pPr>
            <w:r>
              <w:rPr>
                <w:rFonts w:hint="eastAsia" w:ascii="楷体_GB2312" w:hAnsi="宋体" w:eastAsia="楷体_GB2312" w:cs="宋体"/>
                <w:color w:val="000000"/>
                <w:szCs w:val="21"/>
              </w:rPr>
              <w:t>工业路</w:t>
            </w:r>
          </w:p>
        </w:tc>
        <w:tc>
          <w:tcPr>
            <w:tcW w:w="0" w:type="auto"/>
            <w:noWrap w:val="0"/>
            <w:vAlign w:val="center"/>
          </w:tcPr>
          <w:p w14:paraId="29E307CD">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3470E97C">
            <w:pPr>
              <w:jc w:val="center"/>
              <w:rPr>
                <w:color w:val="000000"/>
                <w:szCs w:val="21"/>
              </w:rPr>
            </w:pPr>
            <w:r>
              <w:rPr>
                <w:color w:val="000000"/>
                <w:szCs w:val="21"/>
              </w:rPr>
              <w:t>0.7</w:t>
            </w:r>
          </w:p>
        </w:tc>
        <w:tc>
          <w:tcPr>
            <w:tcW w:w="0" w:type="auto"/>
            <w:noWrap w:val="0"/>
            <w:vAlign w:val="center"/>
          </w:tcPr>
          <w:p w14:paraId="76CCF97E">
            <w:pPr>
              <w:jc w:val="center"/>
              <w:rPr>
                <w:color w:val="000000"/>
                <w:szCs w:val="21"/>
              </w:rPr>
            </w:pPr>
            <w:r>
              <w:rPr>
                <w:color w:val="000000"/>
                <w:szCs w:val="21"/>
              </w:rPr>
              <w:t>2</w:t>
            </w:r>
          </w:p>
        </w:tc>
        <w:tc>
          <w:tcPr>
            <w:tcW w:w="0" w:type="auto"/>
            <w:noWrap w:val="0"/>
            <w:vAlign w:val="center"/>
          </w:tcPr>
          <w:p w14:paraId="2782C35E">
            <w:pPr>
              <w:jc w:val="center"/>
              <w:rPr>
                <w:color w:val="000000"/>
                <w:szCs w:val="21"/>
              </w:rPr>
            </w:pPr>
            <w:r>
              <w:rPr>
                <w:color w:val="000000"/>
                <w:szCs w:val="21"/>
              </w:rPr>
              <w:t>70</w:t>
            </w:r>
          </w:p>
        </w:tc>
        <w:tc>
          <w:tcPr>
            <w:tcW w:w="0" w:type="auto"/>
            <w:noWrap w:val="0"/>
            <w:vAlign w:val="center"/>
          </w:tcPr>
          <w:p w14:paraId="42BB3EA2">
            <w:pPr>
              <w:jc w:val="center"/>
              <w:rPr>
                <w:color w:val="000000"/>
                <w:szCs w:val="21"/>
              </w:rPr>
            </w:pPr>
            <w:r>
              <w:rPr>
                <w:color w:val="000000"/>
                <w:szCs w:val="21"/>
              </w:rPr>
              <w:t>180</w:t>
            </w:r>
          </w:p>
        </w:tc>
      </w:tr>
      <w:tr w14:paraId="7F75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0C6F531">
            <w:pPr>
              <w:jc w:val="center"/>
              <w:rPr>
                <w:color w:val="000000"/>
                <w:szCs w:val="21"/>
              </w:rPr>
            </w:pPr>
            <w:r>
              <w:rPr>
                <w:color w:val="000000"/>
                <w:szCs w:val="21"/>
              </w:rPr>
              <w:t>11</w:t>
            </w:r>
          </w:p>
        </w:tc>
        <w:tc>
          <w:tcPr>
            <w:tcW w:w="0" w:type="auto"/>
            <w:noWrap w:val="0"/>
            <w:vAlign w:val="center"/>
          </w:tcPr>
          <w:p w14:paraId="3FC2DD95">
            <w:pPr>
              <w:jc w:val="center"/>
              <w:rPr>
                <w:rFonts w:ascii="楷体_GB2312" w:hAnsi="宋体" w:eastAsia="楷体_GB2312" w:cs="宋体"/>
                <w:color w:val="000000"/>
                <w:szCs w:val="21"/>
              </w:rPr>
            </w:pPr>
            <w:r>
              <w:rPr>
                <w:rFonts w:hint="eastAsia" w:ascii="楷体_GB2312" w:hAnsi="宋体" w:eastAsia="楷体_GB2312" w:cs="宋体"/>
                <w:color w:val="000000"/>
                <w:szCs w:val="21"/>
              </w:rPr>
              <w:t>富强路</w:t>
            </w:r>
          </w:p>
        </w:tc>
        <w:tc>
          <w:tcPr>
            <w:tcW w:w="0" w:type="auto"/>
            <w:noWrap w:val="0"/>
            <w:vAlign w:val="center"/>
          </w:tcPr>
          <w:p w14:paraId="27205BFB">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38860D69">
            <w:pPr>
              <w:jc w:val="center"/>
              <w:rPr>
                <w:color w:val="000000"/>
                <w:szCs w:val="21"/>
              </w:rPr>
            </w:pPr>
            <w:r>
              <w:rPr>
                <w:color w:val="000000"/>
                <w:szCs w:val="21"/>
              </w:rPr>
              <w:t>0.7</w:t>
            </w:r>
          </w:p>
        </w:tc>
        <w:tc>
          <w:tcPr>
            <w:tcW w:w="0" w:type="auto"/>
            <w:noWrap w:val="0"/>
            <w:vAlign w:val="center"/>
          </w:tcPr>
          <w:p w14:paraId="7BD3B67E">
            <w:pPr>
              <w:jc w:val="center"/>
              <w:rPr>
                <w:color w:val="000000"/>
                <w:szCs w:val="21"/>
              </w:rPr>
            </w:pPr>
            <w:r>
              <w:rPr>
                <w:color w:val="000000"/>
                <w:szCs w:val="21"/>
              </w:rPr>
              <w:t>2</w:t>
            </w:r>
          </w:p>
        </w:tc>
        <w:tc>
          <w:tcPr>
            <w:tcW w:w="0" w:type="auto"/>
            <w:noWrap w:val="0"/>
            <w:vAlign w:val="center"/>
          </w:tcPr>
          <w:p w14:paraId="78FCB011">
            <w:pPr>
              <w:jc w:val="center"/>
              <w:rPr>
                <w:color w:val="000000"/>
                <w:szCs w:val="21"/>
              </w:rPr>
            </w:pPr>
            <w:r>
              <w:rPr>
                <w:color w:val="000000"/>
                <w:szCs w:val="21"/>
              </w:rPr>
              <w:t>70</w:t>
            </w:r>
          </w:p>
        </w:tc>
        <w:tc>
          <w:tcPr>
            <w:tcW w:w="0" w:type="auto"/>
            <w:noWrap w:val="0"/>
            <w:vAlign w:val="center"/>
          </w:tcPr>
          <w:p w14:paraId="63783CEA">
            <w:pPr>
              <w:jc w:val="center"/>
              <w:rPr>
                <w:color w:val="000000"/>
                <w:szCs w:val="21"/>
              </w:rPr>
            </w:pPr>
            <w:r>
              <w:rPr>
                <w:color w:val="000000"/>
                <w:szCs w:val="21"/>
              </w:rPr>
              <w:t>180</w:t>
            </w:r>
          </w:p>
        </w:tc>
      </w:tr>
      <w:tr w14:paraId="652E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8CBD373">
            <w:pPr>
              <w:jc w:val="center"/>
              <w:rPr>
                <w:color w:val="000000"/>
                <w:szCs w:val="21"/>
              </w:rPr>
            </w:pPr>
            <w:r>
              <w:rPr>
                <w:color w:val="000000"/>
                <w:szCs w:val="21"/>
              </w:rPr>
              <w:t>12</w:t>
            </w:r>
          </w:p>
        </w:tc>
        <w:tc>
          <w:tcPr>
            <w:tcW w:w="0" w:type="auto"/>
            <w:noWrap w:val="0"/>
            <w:vAlign w:val="center"/>
          </w:tcPr>
          <w:p w14:paraId="132636E8">
            <w:pPr>
              <w:jc w:val="center"/>
              <w:rPr>
                <w:rFonts w:ascii="楷体_GB2312" w:hAnsi="宋体" w:eastAsia="楷体_GB2312" w:cs="宋体"/>
                <w:color w:val="000000"/>
                <w:szCs w:val="21"/>
              </w:rPr>
            </w:pPr>
            <w:r>
              <w:rPr>
                <w:rFonts w:hint="eastAsia" w:ascii="楷体_GB2312" w:hAnsi="宋体" w:eastAsia="楷体_GB2312" w:cs="宋体"/>
                <w:color w:val="000000"/>
                <w:szCs w:val="21"/>
              </w:rPr>
              <w:t>福顺路</w:t>
            </w:r>
          </w:p>
        </w:tc>
        <w:tc>
          <w:tcPr>
            <w:tcW w:w="0" w:type="auto"/>
            <w:noWrap w:val="0"/>
            <w:vAlign w:val="center"/>
          </w:tcPr>
          <w:p w14:paraId="5DAFFC7F">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1961994B">
            <w:pPr>
              <w:jc w:val="center"/>
              <w:rPr>
                <w:color w:val="000000"/>
                <w:szCs w:val="21"/>
              </w:rPr>
            </w:pPr>
            <w:r>
              <w:rPr>
                <w:color w:val="000000"/>
                <w:szCs w:val="21"/>
              </w:rPr>
              <w:t>0.4</w:t>
            </w:r>
          </w:p>
        </w:tc>
        <w:tc>
          <w:tcPr>
            <w:tcW w:w="0" w:type="auto"/>
            <w:noWrap w:val="0"/>
            <w:vAlign w:val="center"/>
          </w:tcPr>
          <w:p w14:paraId="7EEB159D">
            <w:pPr>
              <w:jc w:val="center"/>
              <w:rPr>
                <w:color w:val="000000"/>
                <w:szCs w:val="21"/>
              </w:rPr>
            </w:pPr>
            <w:r>
              <w:rPr>
                <w:color w:val="000000"/>
                <w:szCs w:val="21"/>
              </w:rPr>
              <w:t>3</w:t>
            </w:r>
          </w:p>
        </w:tc>
        <w:tc>
          <w:tcPr>
            <w:tcW w:w="0" w:type="auto"/>
            <w:noWrap w:val="0"/>
            <w:vAlign w:val="center"/>
          </w:tcPr>
          <w:p w14:paraId="4AA487F6">
            <w:pPr>
              <w:jc w:val="center"/>
              <w:rPr>
                <w:color w:val="000000"/>
                <w:szCs w:val="21"/>
              </w:rPr>
            </w:pPr>
            <w:r>
              <w:rPr>
                <w:color w:val="000000"/>
                <w:szCs w:val="21"/>
              </w:rPr>
              <w:t>40</w:t>
            </w:r>
          </w:p>
        </w:tc>
        <w:tc>
          <w:tcPr>
            <w:tcW w:w="0" w:type="auto"/>
            <w:noWrap w:val="0"/>
            <w:vAlign w:val="center"/>
          </w:tcPr>
          <w:p w14:paraId="1E9E56F9">
            <w:pPr>
              <w:jc w:val="center"/>
              <w:rPr>
                <w:color w:val="000000"/>
                <w:szCs w:val="21"/>
              </w:rPr>
            </w:pPr>
            <w:r>
              <w:rPr>
                <w:color w:val="000000"/>
                <w:szCs w:val="21"/>
              </w:rPr>
              <w:t>150</w:t>
            </w:r>
          </w:p>
        </w:tc>
      </w:tr>
      <w:tr w14:paraId="18E94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C81AA76">
            <w:pPr>
              <w:jc w:val="center"/>
              <w:rPr>
                <w:color w:val="000000"/>
                <w:szCs w:val="21"/>
              </w:rPr>
            </w:pPr>
            <w:r>
              <w:rPr>
                <w:color w:val="000000"/>
                <w:szCs w:val="21"/>
              </w:rPr>
              <w:t>13</w:t>
            </w:r>
          </w:p>
        </w:tc>
        <w:tc>
          <w:tcPr>
            <w:tcW w:w="0" w:type="auto"/>
            <w:noWrap w:val="0"/>
            <w:vAlign w:val="center"/>
          </w:tcPr>
          <w:p w14:paraId="5FAFA951">
            <w:pPr>
              <w:jc w:val="center"/>
              <w:rPr>
                <w:rFonts w:ascii="楷体_GB2312" w:hAnsi="宋体" w:eastAsia="楷体_GB2312" w:cs="宋体"/>
                <w:color w:val="000000"/>
                <w:szCs w:val="21"/>
              </w:rPr>
            </w:pPr>
            <w:r>
              <w:rPr>
                <w:rFonts w:hint="eastAsia" w:ascii="楷体_GB2312" w:hAnsi="宋体" w:eastAsia="楷体_GB2312" w:cs="宋体"/>
                <w:color w:val="000000"/>
                <w:szCs w:val="21"/>
              </w:rPr>
              <w:t>和谐路</w:t>
            </w:r>
          </w:p>
        </w:tc>
        <w:tc>
          <w:tcPr>
            <w:tcW w:w="0" w:type="auto"/>
            <w:noWrap w:val="0"/>
            <w:vAlign w:val="center"/>
          </w:tcPr>
          <w:p w14:paraId="1819FBC8">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5BD772BD">
            <w:pPr>
              <w:jc w:val="center"/>
              <w:rPr>
                <w:color w:val="000000"/>
                <w:szCs w:val="21"/>
              </w:rPr>
            </w:pPr>
            <w:r>
              <w:rPr>
                <w:color w:val="000000"/>
                <w:szCs w:val="21"/>
              </w:rPr>
              <w:t>0.4</w:t>
            </w:r>
          </w:p>
        </w:tc>
        <w:tc>
          <w:tcPr>
            <w:tcW w:w="0" w:type="auto"/>
            <w:noWrap w:val="0"/>
            <w:vAlign w:val="center"/>
          </w:tcPr>
          <w:p w14:paraId="6093C818">
            <w:pPr>
              <w:jc w:val="center"/>
              <w:rPr>
                <w:color w:val="000000"/>
                <w:szCs w:val="21"/>
              </w:rPr>
            </w:pPr>
            <w:r>
              <w:rPr>
                <w:color w:val="000000"/>
                <w:szCs w:val="21"/>
              </w:rPr>
              <w:t>3</w:t>
            </w:r>
          </w:p>
        </w:tc>
        <w:tc>
          <w:tcPr>
            <w:tcW w:w="0" w:type="auto"/>
            <w:noWrap w:val="0"/>
            <w:vAlign w:val="center"/>
          </w:tcPr>
          <w:p w14:paraId="22E46BEE">
            <w:pPr>
              <w:jc w:val="center"/>
              <w:rPr>
                <w:color w:val="000000"/>
                <w:szCs w:val="21"/>
              </w:rPr>
            </w:pPr>
            <w:r>
              <w:rPr>
                <w:color w:val="000000"/>
                <w:szCs w:val="21"/>
              </w:rPr>
              <w:t>40</w:t>
            </w:r>
          </w:p>
        </w:tc>
        <w:tc>
          <w:tcPr>
            <w:tcW w:w="0" w:type="auto"/>
            <w:noWrap w:val="0"/>
            <w:vAlign w:val="center"/>
          </w:tcPr>
          <w:p w14:paraId="67F1D1FE">
            <w:pPr>
              <w:jc w:val="center"/>
              <w:rPr>
                <w:color w:val="000000"/>
                <w:szCs w:val="21"/>
              </w:rPr>
            </w:pPr>
            <w:r>
              <w:rPr>
                <w:color w:val="000000"/>
                <w:szCs w:val="21"/>
              </w:rPr>
              <w:t>150</w:t>
            </w:r>
          </w:p>
        </w:tc>
      </w:tr>
      <w:tr w14:paraId="3852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91EC033">
            <w:pPr>
              <w:jc w:val="center"/>
              <w:rPr>
                <w:color w:val="000000"/>
                <w:szCs w:val="21"/>
              </w:rPr>
            </w:pPr>
            <w:r>
              <w:rPr>
                <w:color w:val="000000"/>
                <w:szCs w:val="21"/>
              </w:rPr>
              <w:t>14</w:t>
            </w:r>
          </w:p>
        </w:tc>
        <w:tc>
          <w:tcPr>
            <w:tcW w:w="0" w:type="auto"/>
            <w:noWrap w:val="0"/>
            <w:vAlign w:val="center"/>
          </w:tcPr>
          <w:p w14:paraId="16CED1FF">
            <w:pPr>
              <w:jc w:val="center"/>
              <w:rPr>
                <w:rFonts w:ascii="楷体_GB2312" w:hAnsi="宋体" w:eastAsia="楷体_GB2312" w:cs="宋体"/>
                <w:color w:val="000000"/>
                <w:szCs w:val="21"/>
              </w:rPr>
            </w:pPr>
            <w:r>
              <w:rPr>
                <w:rFonts w:hint="eastAsia" w:ascii="楷体_GB2312" w:hAnsi="宋体" w:eastAsia="楷体_GB2312" w:cs="宋体"/>
                <w:color w:val="000000"/>
                <w:szCs w:val="21"/>
              </w:rPr>
              <w:t>科技路</w:t>
            </w:r>
          </w:p>
        </w:tc>
        <w:tc>
          <w:tcPr>
            <w:tcW w:w="0" w:type="auto"/>
            <w:noWrap w:val="0"/>
            <w:vAlign w:val="center"/>
          </w:tcPr>
          <w:p w14:paraId="5C5CC43C">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0A8EF62E">
            <w:pPr>
              <w:jc w:val="center"/>
              <w:rPr>
                <w:color w:val="000000"/>
                <w:szCs w:val="21"/>
              </w:rPr>
            </w:pPr>
            <w:r>
              <w:rPr>
                <w:color w:val="000000"/>
                <w:szCs w:val="21"/>
              </w:rPr>
              <w:t>0.4</w:t>
            </w:r>
          </w:p>
        </w:tc>
        <w:tc>
          <w:tcPr>
            <w:tcW w:w="0" w:type="auto"/>
            <w:noWrap w:val="0"/>
            <w:vAlign w:val="center"/>
          </w:tcPr>
          <w:p w14:paraId="45ECCE58">
            <w:pPr>
              <w:jc w:val="center"/>
              <w:rPr>
                <w:color w:val="000000"/>
                <w:szCs w:val="21"/>
              </w:rPr>
            </w:pPr>
            <w:r>
              <w:rPr>
                <w:color w:val="000000"/>
                <w:szCs w:val="21"/>
              </w:rPr>
              <w:t>3</w:t>
            </w:r>
          </w:p>
        </w:tc>
        <w:tc>
          <w:tcPr>
            <w:tcW w:w="0" w:type="auto"/>
            <w:noWrap w:val="0"/>
            <w:vAlign w:val="center"/>
          </w:tcPr>
          <w:p w14:paraId="6358CB5A">
            <w:pPr>
              <w:jc w:val="center"/>
              <w:rPr>
                <w:color w:val="000000"/>
                <w:szCs w:val="21"/>
              </w:rPr>
            </w:pPr>
            <w:r>
              <w:rPr>
                <w:color w:val="000000"/>
                <w:szCs w:val="21"/>
              </w:rPr>
              <w:t>40</w:t>
            </w:r>
          </w:p>
        </w:tc>
        <w:tc>
          <w:tcPr>
            <w:tcW w:w="0" w:type="auto"/>
            <w:noWrap w:val="0"/>
            <w:vAlign w:val="center"/>
          </w:tcPr>
          <w:p w14:paraId="0AD55CE3">
            <w:pPr>
              <w:jc w:val="center"/>
              <w:rPr>
                <w:color w:val="000000"/>
                <w:szCs w:val="21"/>
              </w:rPr>
            </w:pPr>
            <w:r>
              <w:rPr>
                <w:color w:val="000000"/>
                <w:szCs w:val="21"/>
              </w:rPr>
              <w:t>150</w:t>
            </w:r>
          </w:p>
        </w:tc>
      </w:tr>
      <w:tr w14:paraId="5FFE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9CDD393">
            <w:pPr>
              <w:jc w:val="center"/>
              <w:rPr>
                <w:color w:val="000000"/>
                <w:szCs w:val="21"/>
              </w:rPr>
            </w:pPr>
            <w:r>
              <w:rPr>
                <w:color w:val="000000"/>
                <w:szCs w:val="21"/>
              </w:rPr>
              <w:t>15</w:t>
            </w:r>
          </w:p>
        </w:tc>
        <w:tc>
          <w:tcPr>
            <w:tcW w:w="0" w:type="auto"/>
            <w:noWrap w:val="0"/>
            <w:vAlign w:val="center"/>
          </w:tcPr>
          <w:p w14:paraId="4ED4F479">
            <w:pPr>
              <w:jc w:val="center"/>
              <w:rPr>
                <w:rFonts w:ascii="楷体_GB2312" w:hAnsi="宋体" w:eastAsia="楷体_GB2312" w:cs="宋体"/>
                <w:color w:val="000000"/>
                <w:szCs w:val="21"/>
              </w:rPr>
            </w:pPr>
            <w:r>
              <w:rPr>
                <w:rFonts w:hint="eastAsia" w:ascii="楷体_GB2312" w:hAnsi="宋体" w:eastAsia="楷体_GB2312" w:cs="宋体"/>
                <w:color w:val="000000"/>
                <w:szCs w:val="21"/>
              </w:rPr>
              <w:t>欧河路</w:t>
            </w:r>
          </w:p>
        </w:tc>
        <w:tc>
          <w:tcPr>
            <w:tcW w:w="0" w:type="auto"/>
            <w:noWrap w:val="0"/>
            <w:vAlign w:val="center"/>
          </w:tcPr>
          <w:p w14:paraId="238422BF">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666D707B">
            <w:pPr>
              <w:jc w:val="center"/>
              <w:rPr>
                <w:color w:val="000000"/>
                <w:szCs w:val="21"/>
              </w:rPr>
            </w:pPr>
            <w:r>
              <w:rPr>
                <w:color w:val="000000"/>
                <w:szCs w:val="21"/>
              </w:rPr>
              <w:t>0.4</w:t>
            </w:r>
          </w:p>
        </w:tc>
        <w:tc>
          <w:tcPr>
            <w:tcW w:w="0" w:type="auto"/>
            <w:noWrap w:val="0"/>
            <w:vAlign w:val="center"/>
          </w:tcPr>
          <w:p w14:paraId="4718FD3E">
            <w:pPr>
              <w:jc w:val="center"/>
              <w:rPr>
                <w:color w:val="000000"/>
                <w:szCs w:val="21"/>
              </w:rPr>
            </w:pPr>
            <w:r>
              <w:rPr>
                <w:color w:val="000000"/>
                <w:szCs w:val="21"/>
              </w:rPr>
              <w:t>3</w:t>
            </w:r>
          </w:p>
        </w:tc>
        <w:tc>
          <w:tcPr>
            <w:tcW w:w="0" w:type="auto"/>
            <w:noWrap w:val="0"/>
            <w:vAlign w:val="center"/>
          </w:tcPr>
          <w:p w14:paraId="21F3E011">
            <w:pPr>
              <w:jc w:val="center"/>
              <w:rPr>
                <w:color w:val="000000"/>
                <w:szCs w:val="21"/>
              </w:rPr>
            </w:pPr>
            <w:r>
              <w:rPr>
                <w:color w:val="000000"/>
                <w:szCs w:val="21"/>
              </w:rPr>
              <w:t>40</w:t>
            </w:r>
          </w:p>
        </w:tc>
        <w:tc>
          <w:tcPr>
            <w:tcW w:w="0" w:type="auto"/>
            <w:noWrap w:val="0"/>
            <w:vAlign w:val="center"/>
          </w:tcPr>
          <w:p w14:paraId="449D15DE">
            <w:pPr>
              <w:jc w:val="center"/>
              <w:rPr>
                <w:color w:val="000000"/>
                <w:szCs w:val="21"/>
              </w:rPr>
            </w:pPr>
            <w:r>
              <w:rPr>
                <w:color w:val="000000"/>
                <w:szCs w:val="21"/>
              </w:rPr>
              <w:t>150</w:t>
            </w:r>
          </w:p>
        </w:tc>
      </w:tr>
      <w:tr w14:paraId="3A149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342BDE8">
            <w:pPr>
              <w:jc w:val="center"/>
              <w:rPr>
                <w:color w:val="000000"/>
                <w:szCs w:val="21"/>
              </w:rPr>
            </w:pPr>
            <w:r>
              <w:rPr>
                <w:color w:val="000000"/>
                <w:szCs w:val="21"/>
              </w:rPr>
              <w:t>16</w:t>
            </w:r>
          </w:p>
        </w:tc>
        <w:tc>
          <w:tcPr>
            <w:tcW w:w="0" w:type="auto"/>
            <w:noWrap w:val="0"/>
            <w:vAlign w:val="center"/>
          </w:tcPr>
          <w:p w14:paraId="30155D8F">
            <w:pPr>
              <w:jc w:val="center"/>
              <w:rPr>
                <w:rFonts w:ascii="楷体_GB2312" w:hAnsi="宋体" w:eastAsia="楷体_GB2312" w:cs="宋体"/>
                <w:color w:val="000000"/>
                <w:szCs w:val="21"/>
              </w:rPr>
            </w:pPr>
            <w:r>
              <w:rPr>
                <w:rFonts w:hint="eastAsia" w:ascii="楷体_GB2312" w:hAnsi="宋体" w:eastAsia="楷体_GB2312" w:cs="宋体"/>
                <w:color w:val="000000"/>
                <w:szCs w:val="21"/>
              </w:rPr>
              <w:t>祥和路</w:t>
            </w:r>
          </w:p>
        </w:tc>
        <w:tc>
          <w:tcPr>
            <w:tcW w:w="0" w:type="auto"/>
            <w:noWrap w:val="0"/>
            <w:vAlign w:val="center"/>
          </w:tcPr>
          <w:p w14:paraId="60F3E16D">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566A15F2">
            <w:pPr>
              <w:jc w:val="center"/>
              <w:rPr>
                <w:color w:val="000000"/>
                <w:szCs w:val="21"/>
              </w:rPr>
            </w:pPr>
            <w:r>
              <w:rPr>
                <w:color w:val="000000"/>
                <w:szCs w:val="21"/>
              </w:rPr>
              <w:t>0.4</w:t>
            </w:r>
          </w:p>
        </w:tc>
        <w:tc>
          <w:tcPr>
            <w:tcW w:w="0" w:type="auto"/>
            <w:noWrap w:val="0"/>
            <w:vAlign w:val="center"/>
          </w:tcPr>
          <w:p w14:paraId="42405F2F">
            <w:pPr>
              <w:jc w:val="center"/>
              <w:rPr>
                <w:color w:val="000000"/>
                <w:szCs w:val="21"/>
              </w:rPr>
            </w:pPr>
            <w:r>
              <w:rPr>
                <w:color w:val="000000"/>
                <w:szCs w:val="21"/>
              </w:rPr>
              <w:t>3</w:t>
            </w:r>
          </w:p>
        </w:tc>
        <w:tc>
          <w:tcPr>
            <w:tcW w:w="0" w:type="auto"/>
            <w:noWrap w:val="0"/>
            <w:vAlign w:val="center"/>
          </w:tcPr>
          <w:p w14:paraId="2505C760">
            <w:pPr>
              <w:jc w:val="center"/>
              <w:rPr>
                <w:color w:val="000000"/>
                <w:szCs w:val="21"/>
              </w:rPr>
            </w:pPr>
            <w:r>
              <w:rPr>
                <w:color w:val="000000"/>
                <w:szCs w:val="21"/>
              </w:rPr>
              <w:t>40</w:t>
            </w:r>
          </w:p>
        </w:tc>
        <w:tc>
          <w:tcPr>
            <w:tcW w:w="0" w:type="auto"/>
            <w:noWrap w:val="0"/>
            <w:vAlign w:val="center"/>
          </w:tcPr>
          <w:p w14:paraId="1A80A914">
            <w:pPr>
              <w:jc w:val="center"/>
              <w:rPr>
                <w:color w:val="000000"/>
                <w:szCs w:val="21"/>
              </w:rPr>
            </w:pPr>
            <w:r>
              <w:rPr>
                <w:color w:val="000000"/>
                <w:szCs w:val="21"/>
              </w:rPr>
              <w:t>150</w:t>
            </w:r>
          </w:p>
        </w:tc>
      </w:tr>
      <w:tr w14:paraId="24CA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1E9FBDD">
            <w:pPr>
              <w:jc w:val="center"/>
              <w:rPr>
                <w:color w:val="000000"/>
                <w:szCs w:val="21"/>
              </w:rPr>
            </w:pPr>
            <w:r>
              <w:rPr>
                <w:color w:val="000000"/>
                <w:szCs w:val="21"/>
              </w:rPr>
              <w:t>17</w:t>
            </w:r>
          </w:p>
        </w:tc>
        <w:tc>
          <w:tcPr>
            <w:tcW w:w="0" w:type="auto"/>
            <w:noWrap w:val="0"/>
            <w:vAlign w:val="center"/>
          </w:tcPr>
          <w:p w14:paraId="3AC8C8B8">
            <w:pPr>
              <w:jc w:val="center"/>
              <w:rPr>
                <w:rFonts w:ascii="楷体_GB2312" w:hAnsi="宋体" w:eastAsia="楷体_GB2312" w:cs="宋体"/>
                <w:color w:val="000000"/>
                <w:szCs w:val="21"/>
              </w:rPr>
            </w:pPr>
            <w:r>
              <w:rPr>
                <w:rFonts w:hint="eastAsia" w:ascii="楷体_GB2312" w:eastAsia="楷体_GB2312"/>
                <w:color w:val="000000"/>
                <w:szCs w:val="21"/>
              </w:rPr>
              <w:t>新安路</w:t>
            </w:r>
          </w:p>
        </w:tc>
        <w:tc>
          <w:tcPr>
            <w:tcW w:w="0" w:type="auto"/>
            <w:noWrap w:val="0"/>
            <w:vAlign w:val="center"/>
          </w:tcPr>
          <w:p w14:paraId="47E83A74">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68E2BB41">
            <w:pPr>
              <w:jc w:val="center"/>
              <w:rPr>
                <w:color w:val="000000"/>
                <w:szCs w:val="21"/>
              </w:rPr>
            </w:pPr>
            <w:r>
              <w:rPr>
                <w:color w:val="000000"/>
                <w:szCs w:val="21"/>
              </w:rPr>
              <w:t>0.4</w:t>
            </w:r>
          </w:p>
        </w:tc>
        <w:tc>
          <w:tcPr>
            <w:tcW w:w="0" w:type="auto"/>
            <w:noWrap w:val="0"/>
            <w:vAlign w:val="center"/>
          </w:tcPr>
          <w:p w14:paraId="13E8642E">
            <w:pPr>
              <w:jc w:val="center"/>
              <w:rPr>
                <w:color w:val="000000"/>
                <w:szCs w:val="21"/>
              </w:rPr>
            </w:pPr>
            <w:r>
              <w:rPr>
                <w:color w:val="000000"/>
                <w:szCs w:val="21"/>
              </w:rPr>
              <w:t>3</w:t>
            </w:r>
          </w:p>
        </w:tc>
        <w:tc>
          <w:tcPr>
            <w:tcW w:w="0" w:type="auto"/>
            <w:noWrap w:val="0"/>
            <w:vAlign w:val="center"/>
          </w:tcPr>
          <w:p w14:paraId="6F208F4F">
            <w:pPr>
              <w:jc w:val="center"/>
              <w:rPr>
                <w:color w:val="000000"/>
                <w:szCs w:val="21"/>
              </w:rPr>
            </w:pPr>
            <w:r>
              <w:rPr>
                <w:color w:val="000000"/>
                <w:szCs w:val="21"/>
              </w:rPr>
              <w:t>40</w:t>
            </w:r>
          </w:p>
        </w:tc>
        <w:tc>
          <w:tcPr>
            <w:tcW w:w="0" w:type="auto"/>
            <w:noWrap w:val="0"/>
            <w:vAlign w:val="center"/>
          </w:tcPr>
          <w:p w14:paraId="550FEBB5">
            <w:pPr>
              <w:jc w:val="center"/>
              <w:rPr>
                <w:color w:val="000000"/>
                <w:szCs w:val="21"/>
              </w:rPr>
            </w:pPr>
            <w:r>
              <w:rPr>
                <w:color w:val="000000"/>
                <w:szCs w:val="21"/>
              </w:rPr>
              <w:t>150</w:t>
            </w:r>
          </w:p>
        </w:tc>
      </w:tr>
      <w:tr w14:paraId="0ACF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5F2C619">
            <w:pPr>
              <w:jc w:val="center"/>
              <w:rPr>
                <w:color w:val="000000"/>
                <w:szCs w:val="21"/>
              </w:rPr>
            </w:pPr>
            <w:r>
              <w:rPr>
                <w:color w:val="000000"/>
                <w:szCs w:val="21"/>
              </w:rPr>
              <w:t>18</w:t>
            </w:r>
          </w:p>
        </w:tc>
        <w:tc>
          <w:tcPr>
            <w:tcW w:w="0" w:type="auto"/>
            <w:noWrap w:val="0"/>
            <w:vAlign w:val="center"/>
          </w:tcPr>
          <w:p w14:paraId="4AADB6DC">
            <w:pPr>
              <w:jc w:val="center"/>
              <w:rPr>
                <w:rFonts w:ascii="楷体_GB2312" w:hAnsi="宋体" w:eastAsia="楷体_GB2312" w:cs="宋体"/>
                <w:color w:val="000000"/>
                <w:szCs w:val="21"/>
              </w:rPr>
            </w:pPr>
            <w:r>
              <w:rPr>
                <w:rFonts w:hint="eastAsia" w:ascii="楷体_GB2312" w:eastAsia="楷体_GB2312"/>
                <w:color w:val="000000"/>
                <w:szCs w:val="21"/>
              </w:rPr>
              <w:t>金屯路</w:t>
            </w:r>
          </w:p>
        </w:tc>
        <w:tc>
          <w:tcPr>
            <w:tcW w:w="0" w:type="auto"/>
            <w:noWrap w:val="0"/>
            <w:vAlign w:val="center"/>
          </w:tcPr>
          <w:p w14:paraId="2D5EA9B3">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1BA09A99">
            <w:pPr>
              <w:jc w:val="center"/>
              <w:rPr>
                <w:color w:val="000000"/>
                <w:szCs w:val="21"/>
              </w:rPr>
            </w:pPr>
            <w:r>
              <w:rPr>
                <w:color w:val="000000"/>
                <w:szCs w:val="21"/>
              </w:rPr>
              <w:t>0.4</w:t>
            </w:r>
          </w:p>
        </w:tc>
        <w:tc>
          <w:tcPr>
            <w:tcW w:w="0" w:type="auto"/>
            <w:noWrap w:val="0"/>
            <w:vAlign w:val="center"/>
          </w:tcPr>
          <w:p w14:paraId="68C23315">
            <w:pPr>
              <w:jc w:val="center"/>
              <w:rPr>
                <w:color w:val="000000"/>
                <w:szCs w:val="21"/>
              </w:rPr>
            </w:pPr>
            <w:r>
              <w:rPr>
                <w:color w:val="000000"/>
                <w:szCs w:val="21"/>
              </w:rPr>
              <w:t>3</w:t>
            </w:r>
          </w:p>
        </w:tc>
        <w:tc>
          <w:tcPr>
            <w:tcW w:w="0" w:type="auto"/>
            <w:noWrap w:val="0"/>
            <w:vAlign w:val="center"/>
          </w:tcPr>
          <w:p w14:paraId="19BEC7F0">
            <w:pPr>
              <w:jc w:val="center"/>
              <w:rPr>
                <w:color w:val="000000"/>
                <w:szCs w:val="21"/>
              </w:rPr>
            </w:pPr>
            <w:r>
              <w:rPr>
                <w:color w:val="000000"/>
                <w:szCs w:val="21"/>
              </w:rPr>
              <w:t>40</w:t>
            </w:r>
          </w:p>
        </w:tc>
        <w:tc>
          <w:tcPr>
            <w:tcW w:w="0" w:type="auto"/>
            <w:noWrap w:val="0"/>
            <w:vAlign w:val="center"/>
          </w:tcPr>
          <w:p w14:paraId="3F01C1BC">
            <w:pPr>
              <w:jc w:val="center"/>
              <w:rPr>
                <w:color w:val="000000"/>
                <w:szCs w:val="21"/>
              </w:rPr>
            </w:pPr>
            <w:r>
              <w:rPr>
                <w:color w:val="000000"/>
                <w:szCs w:val="21"/>
              </w:rPr>
              <w:t>150</w:t>
            </w:r>
          </w:p>
        </w:tc>
      </w:tr>
      <w:tr w14:paraId="5821A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CDF435E">
            <w:pPr>
              <w:jc w:val="center"/>
              <w:rPr>
                <w:color w:val="000000"/>
                <w:szCs w:val="21"/>
              </w:rPr>
            </w:pPr>
            <w:r>
              <w:rPr>
                <w:color w:val="000000"/>
                <w:szCs w:val="21"/>
              </w:rPr>
              <w:t>19</w:t>
            </w:r>
          </w:p>
        </w:tc>
        <w:tc>
          <w:tcPr>
            <w:tcW w:w="0" w:type="auto"/>
            <w:noWrap w:val="0"/>
            <w:vAlign w:val="center"/>
          </w:tcPr>
          <w:p w14:paraId="4493ECDE">
            <w:pPr>
              <w:jc w:val="center"/>
              <w:rPr>
                <w:rFonts w:ascii="楷体_GB2312" w:hAnsi="宋体" w:eastAsia="楷体_GB2312" w:cs="宋体"/>
                <w:color w:val="000000"/>
                <w:szCs w:val="21"/>
              </w:rPr>
            </w:pPr>
            <w:r>
              <w:rPr>
                <w:rFonts w:hint="eastAsia" w:ascii="楷体_GB2312" w:eastAsia="楷体_GB2312"/>
                <w:color w:val="000000"/>
                <w:szCs w:val="21"/>
              </w:rPr>
              <w:t>中学路</w:t>
            </w:r>
          </w:p>
        </w:tc>
        <w:tc>
          <w:tcPr>
            <w:tcW w:w="0" w:type="auto"/>
            <w:noWrap w:val="0"/>
            <w:vAlign w:val="center"/>
          </w:tcPr>
          <w:p w14:paraId="2DBD6C28">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5A25A73">
            <w:pPr>
              <w:jc w:val="center"/>
              <w:rPr>
                <w:color w:val="000000"/>
                <w:szCs w:val="21"/>
              </w:rPr>
            </w:pPr>
            <w:r>
              <w:rPr>
                <w:color w:val="000000"/>
                <w:szCs w:val="21"/>
              </w:rPr>
              <w:t>0.4</w:t>
            </w:r>
          </w:p>
        </w:tc>
        <w:tc>
          <w:tcPr>
            <w:tcW w:w="0" w:type="auto"/>
            <w:noWrap w:val="0"/>
            <w:vAlign w:val="center"/>
          </w:tcPr>
          <w:p w14:paraId="27E83EE0">
            <w:pPr>
              <w:jc w:val="center"/>
              <w:rPr>
                <w:color w:val="000000"/>
                <w:szCs w:val="21"/>
              </w:rPr>
            </w:pPr>
            <w:r>
              <w:rPr>
                <w:color w:val="000000"/>
                <w:szCs w:val="21"/>
              </w:rPr>
              <w:t>3</w:t>
            </w:r>
          </w:p>
        </w:tc>
        <w:tc>
          <w:tcPr>
            <w:tcW w:w="0" w:type="auto"/>
            <w:noWrap w:val="0"/>
            <w:vAlign w:val="center"/>
          </w:tcPr>
          <w:p w14:paraId="7D87B28D">
            <w:pPr>
              <w:jc w:val="center"/>
              <w:rPr>
                <w:color w:val="000000"/>
                <w:szCs w:val="21"/>
              </w:rPr>
            </w:pPr>
            <w:r>
              <w:rPr>
                <w:color w:val="000000"/>
                <w:szCs w:val="21"/>
              </w:rPr>
              <w:t>40</w:t>
            </w:r>
          </w:p>
        </w:tc>
        <w:tc>
          <w:tcPr>
            <w:tcW w:w="0" w:type="auto"/>
            <w:noWrap w:val="0"/>
            <w:vAlign w:val="center"/>
          </w:tcPr>
          <w:p w14:paraId="313BAEEB">
            <w:pPr>
              <w:jc w:val="center"/>
              <w:rPr>
                <w:color w:val="000000"/>
                <w:szCs w:val="21"/>
              </w:rPr>
            </w:pPr>
            <w:r>
              <w:rPr>
                <w:color w:val="000000"/>
                <w:szCs w:val="21"/>
              </w:rPr>
              <w:t>150</w:t>
            </w:r>
          </w:p>
        </w:tc>
      </w:tr>
    </w:tbl>
    <w:p w14:paraId="5A8E5EE7">
      <w:pPr>
        <w:jc w:val="center"/>
        <w:rPr>
          <w:rFonts w:eastAsia="仿宋_GB2312"/>
          <w:b/>
          <w:bCs/>
          <w:sz w:val="30"/>
        </w:rPr>
      </w:pPr>
      <w:r>
        <w:rPr>
          <w:rFonts w:eastAsia="黑体"/>
          <w:sz w:val="28"/>
        </w:rPr>
        <w:t>表1-3-</w:t>
      </w:r>
      <w:r>
        <w:rPr>
          <w:rFonts w:hint="eastAsia" w:eastAsia="黑体"/>
          <w:sz w:val="28"/>
        </w:rPr>
        <w:t>2</w:t>
      </w:r>
      <w:r>
        <w:rPr>
          <w:rFonts w:eastAsia="黑体"/>
          <w:sz w:val="28"/>
        </w:rPr>
        <w:t xml:space="preserve">6  </w:t>
      </w:r>
      <w:r>
        <w:rPr>
          <w:rFonts w:hint="eastAsia" w:eastAsia="黑体"/>
          <w:sz w:val="28"/>
        </w:rPr>
        <w:t>灰古镇</w:t>
      </w:r>
      <w:r>
        <w:rPr>
          <w:rFonts w:eastAsia="黑体"/>
          <w:sz w:val="28"/>
        </w:rPr>
        <w:t>镇区道路状况及其功能分及影响距离表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5"/>
        <w:gridCol w:w="1454"/>
        <w:gridCol w:w="1454"/>
        <w:gridCol w:w="1454"/>
        <w:gridCol w:w="876"/>
        <w:gridCol w:w="1165"/>
        <w:gridCol w:w="1454"/>
      </w:tblGrid>
      <w:tr w14:paraId="23E80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noWrap w:val="0"/>
            <w:vAlign w:val="center"/>
          </w:tcPr>
          <w:p w14:paraId="418E6CF5">
            <w:pPr>
              <w:jc w:val="center"/>
              <w:rPr>
                <w:rFonts w:eastAsia="楷体_GB2312"/>
              </w:rPr>
            </w:pPr>
            <w:r>
              <w:rPr>
                <w:rFonts w:eastAsia="楷体_GB2312"/>
              </w:rPr>
              <w:t>道路编号</w:t>
            </w:r>
          </w:p>
        </w:tc>
        <w:tc>
          <w:tcPr>
            <w:tcW w:w="0" w:type="auto"/>
            <w:noWrap w:val="0"/>
            <w:vAlign w:val="center"/>
          </w:tcPr>
          <w:p w14:paraId="6E946D24">
            <w:pPr>
              <w:jc w:val="center"/>
              <w:rPr>
                <w:rFonts w:eastAsia="楷体_GB2312"/>
              </w:rPr>
            </w:pPr>
            <w:r>
              <w:rPr>
                <w:rFonts w:eastAsia="楷体_GB2312"/>
              </w:rPr>
              <w:t>道路名称</w:t>
            </w:r>
          </w:p>
        </w:tc>
        <w:tc>
          <w:tcPr>
            <w:tcW w:w="0" w:type="auto"/>
            <w:noWrap w:val="0"/>
            <w:vAlign w:val="center"/>
          </w:tcPr>
          <w:p w14:paraId="2D2727AF">
            <w:pPr>
              <w:jc w:val="center"/>
              <w:rPr>
                <w:rFonts w:eastAsia="楷体_GB2312"/>
              </w:rPr>
            </w:pPr>
            <w:r>
              <w:rPr>
                <w:rFonts w:eastAsia="楷体_GB2312"/>
              </w:rPr>
              <w:t>道路类型</w:t>
            </w:r>
          </w:p>
        </w:tc>
        <w:tc>
          <w:tcPr>
            <w:tcW w:w="0" w:type="auto"/>
            <w:noWrap w:val="0"/>
            <w:vAlign w:val="center"/>
          </w:tcPr>
          <w:p w14:paraId="0B174214">
            <w:pPr>
              <w:jc w:val="center"/>
              <w:rPr>
                <w:rFonts w:eastAsia="楷体_GB2312"/>
              </w:rPr>
            </w:pPr>
            <w:r>
              <w:rPr>
                <w:rFonts w:eastAsia="楷体_GB2312"/>
              </w:rPr>
              <w:t>作用指数</w:t>
            </w:r>
          </w:p>
        </w:tc>
        <w:tc>
          <w:tcPr>
            <w:tcW w:w="0" w:type="auto"/>
            <w:noWrap w:val="0"/>
            <w:vAlign w:val="center"/>
          </w:tcPr>
          <w:p w14:paraId="1DB7136B">
            <w:pPr>
              <w:jc w:val="center"/>
              <w:rPr>
                <w:rFonts w:eastAsia="楷体_GB2312"/>
              </w:rPr>
            </w:pPr>
            <w:r>
              <w:rPr>
                <w:rFonts w:eastAsia="楷体_GB2312"/>
              </w:rPr>
              <w:t>级别</w:t>
            </w:r>
          </w:p>
        </w:tc>
        <w:tc>
          <w:tcPr>
            <w:tcW w:w="0" w:type="auto"/>
            <w:noWrap w:val="0"/>
            <w:vAlign w:val="center"/>
          </w:tcPr>
          <w:p w14:paraId="78A33FB7">
            <w:pPr>
              <w:jc w:val="center"/>
              <w:rPr>
                <w:rFonts w:eastAsia="楷体_GB2312"/>
              </w:rPr>
            </w:pPr>
            <w:r>
              <w:rPr>
                <w:rFonts w:eastAsia="楷体_GB2312"/>
              </w:rPr>
              <w:t>功能分</w:t>
            </w:r>
          </w:p>
        </w:tc>
        <w:tc>
          <w:tcPr>
            <w:tcW w:w="0" w:type="auto"/>
            <w:noWrap w:val="0"/>
            <w:vAlign w:val="center"/>
          </w:tcPr>
          <w:p w14:paraId="6FDA08FB">
            <w:pPr>
              <w:jc w:val="center"/>
              <w:rPr>
                <w:rFonts w:eastAsia="楷体_GB2312"/>
              </w:rPr>
            </w:pPr>
            <w:r>
              <w:rPr>
                <w:rFonts w:eastAsia="楷体_GB2312"/>
              </w:rPr>
              <w:t>影响半径</w:t>
            </w:r>
          </w:p>
        </w:tc>
      </w:tr>
      <w:tr w14:paraId="4C71D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5" w:type="dxa"/>
            <w:noWrap w:val="0"/>
            <w:vAlign w:val="center"/>
          </w:tcPr>
          <w:p w14:paraId="5C98FFAA">
            <w:pPr>
              <w:jc w:val="center"/>
              <w:rPr>
                <w:color w:val="000000"/>
                <w:szCs w:val="21"/>
              </w:rPr>
            </w:pPr>
            <w:r>
              <w:rPr>
                <w:rFonts w:hint="eastAsia"/>
                <w:color w:val="000000"/>
                <w:szCs w:val="21"/>
              </w:rPr>
              <w:t>0</w:t>
            </w:r>
            <w:r>
              <w:rPr>
                <w:color w:val="000000"/>
                <w:szCs w:val="21"/>
              </w:rPr>
              <w:t>1</w:t>
            </w:r>
          </w:p>
        </w:tc>
        <w:tc>
          <w:tcPr>
            <w:tcW w:w="0" w:type="auto"/>
            <w:noWrap w:val="0"/>
            <w:vAlign w:val="center"/>
          </w:tcPr>
          <w:p w14:paraId="6075C60F">
            <w:pPr>
              <w:jc w:val="center"/>
              <w:rPr>
                <w:rFonts w:ascii="楷体_GB2312" w:eastAsia="楷体_GB2312"/>
                <w:color w:val="000000"/>
                <w:szCs w:val="21"/>
              </w:rPr>
            </w:pPr>
            <w:r>
              <w:rPr>
                <w:rFonts w:hint="eastAsia" w:ascii="楷体_GB2312" w:eastAsia="楷体_GB2312"/>
                <w:color w:val="000000"/>
                <w:szCs w:val="21"/>
              </w:rPr>
              <w:t>府前路</w:t>
            </w:r>
          </w:p>
        </w:tc>
        <w:tc>
          <w:tcPr>
            <w:tcW w:w="0" w:type="auto"/>
            <w:noWrap w:val="0"/>
            <w:vAlign w:val="center"/>
          </w:tcPr>
          <w:p w14:paraId="66947A48">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5DE657F4">
            <w:pPr>
              <w:jc w:val="center"/>
              <w:rPr>
                <w:color w:val="000000"/>
                <w:szCs w:val="21"/>
              </w:rPr>
            </w:pPr>
            <w:r>
              <w:rPr>
                <w:color w:val="000000"/>
                <w:szCs w:val="21"/>
              </w:rPr>
              <w:t>1</w:t>
            </w:r>
          </w:p>
        </w:tc>
        <w:tc>
          <w:tcPr>
            <w:tcW w:w="0" w:type="auto"/>
            <w:noWrap w:val="0"/>
            <w:vAlign w:val="center"/>
          </w:tcPr>
          <w:p w14:paraId="7A36E97D">
            <w:pPr>
              <w:jc w:val="center"/>
              <w:rPr>
                <w:color w:val="000000"/>
                <w:szCs w:val="21"/>
              </w:rPr>
            </w:pPr>
            <w:r>
              <w:rPr>
                <w:color w:val="000000"/>
                <w:szCs w:val="21"/>
              </w:rPr>
              <w:t>1</w:t>
            </w:r>
          </w:p>
        </w:tc>
        <w:tc>
          <w:tcPr>
            <w:tcW w:w="0" w:type="auto"/>
            <w:noWrap w:val="0"/>
            <w:vAlign w:val="center"/>
          </w:tcPr>
          <w:p w14:paraId="0D224ABA">
            <w:pPr>
              <w:jc w:val="center"/>
              <w:rPr>
                <w:color w:val="000000"/>
                <w:szCs w:val="21"/>
              </w:rPr>
            </w:pPr>
            <w:r>
              <w:rPr>
                <w:color w:val="000000"/>
                <w:szCs w:val="21"/>
              </w:rPr>
              <w:t>100</w:t>
            </w:r>
          </w:p>
        </w:tc>
        <w:tc>
          <w:tcPr>
            <w:tcW w:w="0" w:type="auto"/>
            <w:noWrap w:val="0"/>
            <w:vAlign w:val="center"/>
          </w:tcPr>
          <w:p w14:paraId="765CA2BC">
            <w:pPr>
              <w:jc w:val="center"/>
              <w:rPr>
                <w:color w:val="000000"/>
                <w:szCs w:val="21"/>
              </w:rPr>
            </w:pPr>
            <w:r>
              <w:rPr>
                <w:color w:val="000000"/>
                <w:szCs w:val="21"/>
              </w:rPr>
              <w:t>220</w:t>
            </w:r>
          </w:p>
        </w:tc>
      </w:tr>
      <w:tr w14:paraId="39060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2A3B7C15">
            <w:pPr>
              <w:jc w:val="center"/>
              <w:rPr>
                <w:color w:val="000000"/>
                <w:szCs w:val="21"/>
              </w:rPr>
            </w:pPr>
            <w:r>
              <w:rPr>
                <w:rFonts w:hint="eastAsia"/>
                <w:color w:val="000000"/>
                <w:szCs w:val="21"/>
              </w:rPr>
              <w:t>0</w:t>
            </w:r>
            <w:r>
              <w:rPr>
                <w:color w:val="000000"/>
                <w:szCs w:val="21"/>
              </w:rPr>
              <w:t>2</w:t>
            </w:r>
          </w:p>
        </w:tc>
        <w:tc>
          <w:tcPr>
            <w:tcW w:w="0" w:type="auto"/>
            <w:noWrap w:val="0"/>
            <w:vAlign w:val="center"/>
          </w:tcPr>
          <w:p w14:paraId="7AA3F2B8">
            <w:pPr>
              <w:jc w:val="center"/>
              <w:rPr>
                <w:rFonts w:ascii="楷体_GB2312" w:eastAsia="楷体_GB2312"/>
                <w:color w:val="000000"/>
                <w:szCs w:val="21"/>
              </w:rPr>
            </w:pPr>
            <w:r>
              <w:rPr>
                <w:rFonts w:hint="eastAsia" w:ascii="楷体_GB2312" w:eastAsia="楷体_GB2312"/>
                <w:color w:val="000000"/>
                <w:szCs w:val="21"/>
              </w:rPr>
              <w:t>二徐路</w:t>
            </w:r>
          </w:p>
        </w:tc>
        <w:tc>
          <w:tcPr>
            <w:tcW w:w="0" w:type="auto"/>
            <w:noWrap w:val="0"/>
            <w:vAlign w:val="center"/>
          </w:tcPr>
          <w:p w14:paraId="5D1AC393">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435387CF">
            <w:pPr>
              <w:jc w:val="center"/>
              <w:rPr>
                <w:color w:val="000000"/>
                <w:szCs w:val="21"/>
              </w:rPr>
            </w:pPr>
            <w:r>
              <w:rPr>
                <w:color w:val="000000"/>
                <w:szCs w:val="21"/>
              </w:rPr>
              <w:t>1</w:t>
            </w:r>
          </w:p>
        </w:tc>
        <w:tc>
          <w:tcPr>
            <w:tcW w:w="0" w:type="auto"/>
            <w:noWrap w:val="0"/>
            <w:vAlign w:val="center"/>
          </w:tcPr>
          <w:p w14:paraId="0196A04A">
            <w:pPr>
              <w:jc w:val="center"/>
              <w:rPr>
                <w:color w:val="000000"/>
                <w:szCs w:val="21"/>
              </w:rPr>
            </w:pPr>
            <w:r>
              <w:rPr>
                <w:color w:val="000000"/>
                <w:szCs w:val="21"/>
              </w:rPr>
              <w:t>1</w:t>
            </w:r>
          </w:p>
        </w:tc>
        <w:tc>
          <w:tcPr>
            <w:tcW w:w="0" w:type="auto"/>
            <w:noWrap w:val="0"/>
            <w:vAlign w:val="center"/>
          </w:tcPr>
          <w:p w14:paraId="2C891319">
            <w:pPr>
              <w:jc w:val="center"/>
              <w:rPr>
                <w:color w:val="000000"/>
                <w:szCs w:val="21"/>
              </w:rPr>
            </w:pPr>
            <w:r>
              <w:rPr>
                <w:color w:val="000000"/>
                <w:szCs w:val="21"/>
              </w:rPr>
              <w:t>100</w:t>
            </w:r>
          </w:p>
        </w:tc>
        <w:tc>
          <w:tcPr>
            <w:tcW w:w="0" w:type="auto"/>
            <w:noWrap w:val="0"/>
            <w:vAlign w:val="center"/>
          </w:tcPr>
          <w:p w14:paraId="75FF1243">
            <w:pPr>
              <w:jc w:val="center"/>
              <w:rPr>
                <w:color w:val="000000"/>
                <w:szCs w:val="21"/>
              </w:rPr>
            </w:pPr>
            <w:r>
              <w:rPr>
                <w:color w:val="000000"/>
                <w:szCs w:val="21"/>
              </w:rPr>
              <w:t>220</w:t>
            </w:r>
          </w:p>
        </w:tc>
      </w:tr>
      <w:tr w14:paraId="7E53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2F2DF783">
            <w:pPr>
              <w:jc w:val="center"/>
              <w:rPr>
                <w:color w:val="000000"/>
                <w:szCs w:val="21"/>
              </w:rPr>
            </w:pPr>
            <w:r>
              <w:rPr>
                <w:rFonts w:hint="eastAsia"/>
                <w:color w:val="000000"/>
                <w:szCs w:val="21"/>
              </w:rPr>
              <w:t>0</w:t>
            </w:r>
            <w:r>
              <w:rPr>
                <w:color w:val="000000"/>
                <w:szCs w:val="21"/>
              </w:rPr>
              <w:t>3</w:t>
            </w:r>
          </w:p>
        </w:tc>
        <w:tc>
          <w:tcPr>
            <w:tcW w:w="0" w:type="auto"/>
            <w:noWrap w:val="0"/>
            <w:vAlign w:val="center"/>
          </w:tcPr>
          <w:p w14:paraId="3CF97A7A">
            <w:pPr>
              <w:jc w:val="center"/>
              <w:rPr>
                <w:rFonts w:ascii="楷体_GB2312" w:eastAsia="楷体_GB2312"/>
                <w:color w:val="000000"/>
                <w:szCs w:val="21"/>
              </w:rPr>
            </w:pPr>
            <w:r>
              <w:rPr>
                <w:rFonts w:hint="eastAsia" w:ascii="楷体_GB2312" w:eastAsia="楷体_GB2312"/>
                <w:color w:val="000000"/>
                <w:szCs w:val="21"/>
              </w:rPr>
              <w:t>灰南路</w:t>
            </w:r>
          </w:p>
        </w:tc>
        <w:tc>
          <w:tcPr>
            <w:tcW w:w="0" w:type="auto"/>
            <w:noWrap w:val="0"/>
            <w:vAlign w:val="center"/>
          </w:tcPr>
          <w:p w14:paraId="1BBAB81F">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09070274">
            <w:pPr>
              <w:jc w:val="center"/>
              <w:rPr>
                <w:color w:val="000000"/>
                <w:szCs w:val="21"/>
              </w:rPr>
            </w:pPr>
            <w:r>
              <w:rPr>
                <w:color w:val="000000"/>
                <w:szCs w:val="21"/>
              </w:rPr>
              <w:t>1</w:t>
            </w:r>
          </w:p>
        </w:tc>
        <w:tc>
          <w:tcPr>
            <w:tcW w:w="0" w:type="auto"/>
            <w:noWrap w:val="0"/>
            <w:vAlign w:val="center"/>
          </w:tcPr>
          <w:p w14:paraId="5EBF6C54">
            <w:pPr>
              <w:jc w:val="center"/>
              <w:rPr>
                <w:color w:val="000000"/>
                <w:szCs w:val="21"/>
              </w:rPr>
            </w:pPr>
            <w:r>
              <w:rPr>
                <w:color w:val="000000"/>
                <w:szCs w:val="21"/>
              </w:rPr>
              <w:t>1</w:t>
            </w:r>
          </w:p>
        </w:tc>
        <w:tc>
          <w:tcPr>
            <w:tcW w:w="0" w:type="auto"/>
            <w:noWrap w:val="0"/>
            <w:vAlign w:val="center"/>
          </w:tcPr>
          <w:p w14:paraId="199E9B77">
            <w:pPr>
              <w:jc w:val="center"/>
              <w:rPr>
                <w:color w:val="000000"/>
                <w:szCs w:val="21"/>
              </w:rPr>
            </w:pPr>
            <w:r>
              <w:rPr>
                <w:color w:val="000000"/>
                <w:szCs w:val="21"/>
              </w:rPr>
              <w:t>100</w:t>
            </w:r>
          </w:p>
        </w:tc>
        <w:tc>
          <w:tcPr>
            <w:tcW w:w="0" w:type="auto"/>
            <w:noWrap w:val="0"/>
            <w:vAlign w:val="center"/>
          </w:tcPr>
          <w:p w14:paraId="46DABACC">
            <w:pPr>
              <w:jc w:val="center"/>
              <w:rPr>
                <w:color w:val="000000"/>
                <w:szCs w:val="21"/>
              </w:rPr>
            </w:pPr>
            <w:r>
              <w:rPr>
                <w:color w:val="000000"/>
                <w:szCs w:val="21"/>
              </w:rPr>
              <w:t>220</w:t>
            </w:r>
          </w:p>
        </w:tc>
      </w:tr>
      <w:tr w14:paraId="40317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04982C23">
            <w:pPr>
              <w:jc w:val="center"/>
              <w:rPr>
                <w:color w:val="000000"/>
                <w:szCs w:val="21"/>
              </w:rPr>
            </w:pPr>
            <w:r>
              <w:rPr>
                <w:rFonts w:hint="eastAsia"/>
                <w:color w:val="000000"/>
                <w:szCs w:val="21"/>
              </w:rPr>
              <w:t>0</w:t>
            </w:r>
            <w:r>
              <w:rPr>
                <w:color w:val="000000"/>
                <w:szCs w:val="21"/>
              </w:rPr>
              <w:t>4</w:t>
            </w:r>
          </w:p>
        </w:tc>
        <w:tc>
          <w:tcPr>
            <w:tcW w:w="0" w:type="auto"/>
            <w:noWrap w:val="0"/>
            <w:vAlign w:val="center"/>
          </w:tcPr>
          <w:p w14:paraId="4EC4F08B">
            <w:pPr>
              <w:jc w:val="center"/>
              <w:rPr>
                <w:rFonts w:ascii="楷体_GB2312" w:eastAsia="楷体_GB2312"/>
                <w:color w:val="000000"/>
                <w:szCs w:val="21"/>
              </w:rPr>
            </w:pPr>
            <w:r>
              <w:rPr>
                <w:rFonts w:hint="eastAsia" w:ascii="楷体_GB2312" w:eastAsia="楷体_GB2312"/>
                <w:color w:val="000000"/>
                <w:szCs w:val="21"/>
              </w:rPr>
              <w:t>朱徐路</w:t>
            </w:r>
          </w:p>
        </w:tc>
        <w:tc>
          <w:tcPr>
            <w:tcW w:w="0" w:type="auto"/>
            <w:noWrap w:val="0"/>
            <w:vAlign w:val="center"/>
          </w:tcPr>
          <w:p w14:paraId="7F9FE2A2">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224BB81D">
            <w:pPr>
              <w:jc w:val="center"/>
              <w:rPr>
                <w:color w:val="000000"/>
                <w:szCs w:val="21"/>
              </w:rPr>
            </w:pPr>
            <w:r>
              <w:rPr>
                <w:color w:val="000000"/>
                <w:szCs w:val="21"/>
              </w:rPr>
              <w:t>1</w:t>
            </w:r>
          </w:p>
        </w:tc>
        <w:tc>
          <w:tcPr>
            <w:tcW w:w="0" w:type="auto"/>
            <w:noWrap w:val="0"/>
            <w:vAlign w:val="center"/>
          </w:tcPr>
          <w:p w14:paraId="672B2D02">
            <w:pPr>
              <w:jc w:val="center"/>
              <w:rPr>
                <w:color w:val="000000"/>
                <w:szCs w:val="21"/>
              </w:rPr>
            </w:pPr>
            <w:r>
              <w:rPr>
                <w:color w:val="000000"/>
                <w:szCs w:val="21"/>
              </w:rPr>
              <w:t>1</w:t>
            </w:r>
          </w:p>
        </w:tc>
        <w:tc>
          <w:tcPr>
            <w:tcW w:w="0" w:type="auto"/>
            <w:noWrap w:val="0"/>
            <w:vAlign w:val="center"/>
          </w:tcPr>
          <w:p w14:paraId="560D329C">
            <w:pPr>
              <w:jc w:val="center"/>
              <w:rPr>
                <w:color w:val="000000"/>
                <w:szCs w:val="21"/>
              </w:rPr>
            </w:pPr>
            <w:r>
              <w:rPr>
                <w:color w:val="000000"/>
                <w:szCs w:val="21"/>
              </w:rPr>
              <w:t>100</w:t>
            </w:r>
          </w:p>
        </w:tc>
        <w:tc>
          <w:tcPr>
            <w:tcW w:w="0" w:type="auto"/>
            <w:noWrap w:val="0"/>
            <w:vAlign w:val="center"/>
          </w:tcPr>
          <w:p w14:paraId="64685D6A">
            <w:pPr>
              <w:jc w:val="center"/>
              <w:rPr>
                <w:color w:val="000000"/>
                <w:szCs w:val="21"/>
              </w:rPr>
            </w:pPr>
            <w:r>
              <w:rPr>
                <w:color w:val="000000"/>
                <w:szCs w:val="21"/>
              </w:rPr>
              <w:t>220</w:t>
            </w:r>
          </w:p>
        </w:tc>
      </w:tr>
      <w:tr w14:paraId="65D09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151BBE7A">
            <w:pPr>
              <w:jc w:val="center"/>
              <w:rPr>
                <w:color w:val="000000"/>
                <w:szCs w:val="21"/>
              </w:rPr>
            </w:pPr>
            <w:r>
              <w:rPr>
                <w:rFonts w:hint="eastAsia"/>
                <w:color w:val="000000"/>
                <w:szCs w:val="21"/>
              </w:rPr>
              <w:t>0</w:t>
            </w:r>
            <w:r>
              <w:rPr>
                <w:color w:val="000000"/>
                <w:szCs w:val="21"/>
              </w:rPr>
              <w:t>5</w:t>
            </w:r>
          </w:p>
        </w:tc>
        <w:tc>
          <w:tcPr>
            <w:tcW w:w="0" w:type="auto"/>
            <w:noWrap w:val="0"/>
            <w:vAlign w:val="center"/>
          </w:tcPr>
          <w:p w14:paraId="467854B1">
            <w:pPr>
              <w:jc w:val="center"/>
              <w:rPr>
                <w:rFonts w:ascii="楷体_GB2312" w:eastAsia="楷体_GB2312"/>
                <w:color w:val="000000"/>
                <w:szCs w:val="21"/>
              </w:rPr>
            </w:pPr>
            <w:r>
              <w:rPr>
                <w:rFonts w:hint="eastAsia" w:ascii="楷体_GB2312" w:eastAsia="楷体_GB2312"/>
                <w:color w:val="000000"/>
                <w:szCs w:val="21"/>
              </w:rPr>
              <w:t>东外环路</w:t>
            </w:r>
          </w:p>
        </w:tc>
        <w:tc>
          <w:tcPr>
            <w:tcW w:w="0" w:type="auto"/>
            <w:noWrap w:val="0"/>
            <w:vAlign w:val="center"/>
          </w:tcPr>
          <w:p w14:paraId="7917234E">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594B58AC">
            <w:pPr>
              <w:jc w:val="center"/>
              <w:rPr>
                <w:color w:val="000000"/>
                <w:szCs w:val="21"/>
              </w:rPr>
            </w:pPr>
            <w:r>
              <w:rPr>
                <w:color w:val="000000"/>
                <w:szCs w:val="21"/>
              </w:rPr>
              <w:t>1</w:t>
            </w:r>
          </w:p>
        </w:tc>
        <w:tc>
          <w:tcPr>
            <w:tcW w:w="0" w:type="auto"/>
            <w:noWrap w:val="0"/>
            <w:vAlign w:val="center"/>
          </w:tcPr>
          <w:p w14:paraId="4ACAB57F">
            <w:pPr>
              <w:jc w:val="center"/>
              <w:rPr>
                <w:color w:val="000000"/>
                <w:szCs w:val="21"/>
              </w:rPr>
            </w:pPr>
            <w:r>
              <w:rPr>
                <w:color w:val="000000"/>
                <w:szCs w:val="21"/>
              </w:rPr>
              <w:t>1</w:t>
            </w:r>
          </w:p>
        </w:tc>
        <w:tc>
          <w:tcPr>
            <w:tcW w:w="0" w:type="auto"/>
            <w:noWrap w:val="0"/>
            <w:vAlign w:val="center"/>
          </w:tcPr>
          <w:p w14:paraId="50CF6856">
            <w:pPr>
              <w:jc w:val="center"/>
              <w:rPr>
                <w:color w:val="000000"/>
                <w:szCs w:val="21"/>
              </w:rPr>
            </w:pPr>
            <w:r>
              <w:rPr>
                <w:color w:val="000000"/>
                <w:szCs w:val="21"/>
              </w:rPr>
              <w:t>100</w:t>
            </w:r>
          </w:p>
        </w:tc>
        <w:tc>
          <w:tcPr>
            <w:tcW w:w="0" w:type="auto"/>
            <w:noWrap w:val="0"/>
            <w:vAlign w:val="center"/>
          </w:tcPr>
          <w:p w14:paraId="06B9CDF6">
            <w:pPr>
              <w:jc w:val="center"/>
              <w:rPr>
                <w:color w:val="000000"/>
                <w:szCs w:val="21"/>
              </w:rPr>
            </w:pPr>
            <w:r>
              <w:rPr>
                <w:color w:val="000000"/>
                <w:szCs w:val="21"/>
              </w:rPr>
              <w:t>220</w:t>
            </w:r>
          </w:p>
        </w:tc>
      </w:tr>
      <w:tr w14:paraId="300F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3F6B572A">
            <w:pPr>
              <w:jc w:val="center"/>
              <w:rPr>
                <w:color w:val="000000"/>
                <w:szCs w:val="21"/>
              </w:rPr>
            </w:pPr>
            <w:r>
              <w:rPr>
                <w:rFonts w:hint="eastAsia"/>
                <w:color w:val="000000"/>
                <w:szCs w:val="21"/>
              </w:rPr>
              <w:t>0</w:t>
            </w:r>
            <w:r>
              <w:rPr>
                <w:color w:val="000000"/>
                <w:szCs w:val="21"/>
              </w:rPr>
              <w:t>6</w:t>
            </w:r>
          </w:p>
        </w:tc>
        <w:tc>
          <w:tcPr>
            <w:tcW w:w="0" w:type="auto"/>
            <w:noWrap w:val="0"/>
            <w:vAlign w:val="center"/>
          </w:tcPr>
          <w:p w14:paraId="1472D5AE">
            <w:pPr>
              <w:jc w:val="center"/>
              <w:rPr>
                <w:rFonts w:ascii="楷体_GB2312" w:eastAsia="楷体_GB2312"/>
                <w:color w:val="000000"/>
                <w:szCs w:val="21"/>
              </w:rPr>
            </w:pPr>
            <w:r>
              <w:rPr>
                <w:rFonts w:hint="eastAsia" w:ascii="楷体_GB2312" w:eastAsia="楷体_GB2312"/>
                <w:color w:val="000000"/>
                <w:szCs w:val="21"/>
              </w:rPr>
              <w:t>灰毛路</w:t>
            </w:r>
          </w:p>
        </w:tc>
        <w:tc>
          <w:tcPr>
            <w:tcW w:w="0" w:type="auto"/>
            <w:noWrap w:val="0"/>
            <w:vAlign w:val="center"/>
          </w:tcPr>
          <w:p w14:paraId="2752B8BE">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5C870D75">
            <w:pPr>
              <w:jc w:val="center"/>
              <w:rPr>
                <w:color w:val="000000"/>
                <w:szCs w:val="21"/>
              </w:rPr>
            </w:pPr>
            <w:r>
              <w:rPr>
                <w:color w:val="000000"/>
                <w:szCs w:val="21"/>
              </w:rPr>
              <w:t>0.7</w:t>
            </w:r>
          </w:p>
        </w:tc>
        <w:tc>
          <w:tcPr>
            <w:tcW w:w="0" w:type="auto"/>
            <w:noWrap w:val="0"/>
            <w:vAlign w:val="center"/>
          </w:tcPr>
          <w:p w14:paraId="4B43130B">
            <w:pPr>
              <w:jc w:val="center"/>
              <w:rPr>
                <w:color w:val="000000"/>
                <w:szCs w:val="21"/>
              </w:rPr>
            </w:pPr>
            <w:r>
              <w:rPr>
                <w:color w:val="000000"/>
                <w:szCs w:val="21"/>
              </w:rPr>
              <w:t>2</w:t>
            </w:r>
          </w:p>
        </w:tc>
        <w:tc>
          <w:tcPr>
            <w:tcW w:w="0" w:type="auto"/>
            <w:noWrap w:val="0"/>
            <w:vAlign w:val="center"/>
          </w:tcPr>
          <w:p w14:paraId="31107B5A">
            <w:pPr>
              <w:jc w:val="center"/>
              <w:rPr>
                <w:color w:val="000000"/>
                <w:szCs w:val="21"/>
              </w:rPr>
            </w:pPr>
            <w:r>
              <w:rPr>
                <w:color w:val="000000"/>
                <w:szCs w:val="21"/>
              </w:rPr>
              <w:t>70</w:t>
            </w:r>
          </w:p>
        </w:tc>
        <w:tc>
          <w:tcPr>
            <w:tcW w:w="0" w:type="auto"/>
            <w:noWrap w:val="0"/>
            <w:vAlign w:val="center"/>
          </w:tcPr>
          <w:p w14:paraId="0DADEB0F">
            <w:pPr>
              <w:jc w:val="center"/>
              <w:rPr>
                <w:color w:val="000000"/>
                <w:szCs w:val="21"/>
              </w:rPr>
            </w:pPr>
            <w:r>
              <w:rPr>
                <w:color w:val="000000"/>
                <w:szCs w:val="21"/>
              </w:rPr>
              <w:t>180</w:t>
            </w:r>
          </w:p>
        </w:tc>
      </w:tr>
      <w:tr w14:paraId="538A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32CAAEE7">
            <w:pPr>
              <w:jc w:val="center"/>
              <w:rPr>
                <w:color w:val="000000"/>
                <w:szCs w:val="21"/>
              </w:rPr>
            </w:pPr>
            <w:r>
              <w:rPr>
                <w:rFonts w:hint="eastAsia"/>
                <w:color w:val="000000"/>
                <w:szCs w:val="21"/>
              </w:rPr>
              <w:t>0</w:t>
            </w:r>
            <w:r>
              <w:rPr>
                <w:color w:val="000000"/>
                <w:szCs w:val="21"/>
              </w:rPr>
              <w:t>7</w:t>
            </w:r>
          </w:p>
        </w:tc>
        <w:tc>
          <w:tcPr>
            <w:tcW w:w="0" w:type="auto"/>
            <w:noWrap w:val="0"/>
            <w:vAlign w:val="center"/>
          </w:tcPr>
          <w:p w14:paraId="461D8B9F">
            <w:pPr>
              <w:jc w:val="center"/>
              <w:rPr>
                <w:rFonts w:ascii="楷体_GB2312" w:eastAsia="楷体_GB2312"/>
                <w:color w:val="000000"/>
                <w:szCs w:val="21"/>
              </w:rPr>
            </w:pPr>
            <w:r>
              <w:rPr>
                <w:rFonts w:hint="eastAsia" w:ascii="楷体_GB2312" w:eastAsia="楷体_GB2312"/>
                <w:color w:val="000000"/>
                <w:szCs w:val="21"/>
              </w:rPr>
              <w:t>北集路</w:t>
            </w:r>
          </w:p>
        </w:tc>
        <w:tc>
          <w:tcPr>
            <w:tcW w:w="0" w:type="auto"/>
            <w:noWrap w:val="0"/>
            <w:vAlign w:val="center"/>
          </w:tcPr>
          <w:p w14:paraId="66472C66">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5FCEC455">
            <w:pPr>
              <w:jc w:val="center"/>
              <w:rPr>
                <w:color w:val="000000"/>
                <w:szCs w:val="21"/>
              </w:rPr>
            </w:pPr>
            <w:r>
              <w:rPr>
                <w:color w:val="000000"/>
                <w:szCs w:val="21"/>
              </w:rPr>
              <w:t>0.7</w:t>
            </w:r>
          </w:p>
        </w:tc>
        <w:tc>
          <w:tcPr>
            <w:tcW w:w="0" w:type="auto"/>
            <w:noWrap w:val="0"/>
            <w:vAlign w:val="center"/>
          </w:tcPr>
          <w:p w14:paraId="6CE4861F">
            <w:pPr>
              <w:jc w:val="center"/>
              <w:rPr>
                <w:color w:val="000000"/>
                <w:szCs w:val="21"/>
              </w:rPr>
            </w:pPr>
            <w:r>
              <w:rPr>
                <w:color w:val="000000"/>
                <w:szCs w:val="21"/>
              </w:rPr>
              <w:t>2</w:t>
            </w:r>
          </w:p>
        </w:tc>
        <w:tc>
          <w:tcPr>
            <w:tcW w:w="0" w:type="auto"/>
            <w:noWrap w:val="0"/>
            <w:vAlign w:val="center"/>
          </w:tcPr>
          <w:p w14:paraId="094ADF63">
            <w:pPr>
              <w:jc w:val="center"/>
              <w:rPr>
                <w:color w:val="000000"/>
                <w:szCs w:val="21"/>
              </w:rPr>
            </w:pPr>
            <w:r>
              <w:rPr>
                <w:color w:val="000000"/>
                <w:szCs w:val="21"/>
              </w:rPr>
              <w:t>70</w:t>
            </w:r>
          </w:p>
        </w:tc>
        <w:tc>
          <w:tcPr>
            <w:tcW w:w="0" w:type="auto"/>
            <w:noWrap w:val="0"/>
            <w:vAlign w:val="center"/>
          </w:tcPr>
          <w:p w14:paraId="47021E4C">
            <w:pPr>
              <w:jc w:val="center"/>
              <w:rPr>
                <w:color w:val="000000"/>
                <w:szCs w:val="21"/>
              </w:rPr>
            </w:pPr>
            <w:r>
              <w:rPr>
                <w:color w:val="000000"/>
                <w:szCs w:val="21"/>
              </w:rPr>
              <w:t>180</w:t>
            </w:r>
          </w:p>
        </w:tc>
      </w:tr>
      <w:tr w14:paraId="32472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67826A32">
            <w:pPr>
              <w:jc w:val="center"/>
              <w:rPr>
                <w:color w:val="000000"/>
                <w:szCs w:val="21"/>
              </w:rPr>
            </w:pPr>
            <w:r>
              <w:rPr>
                <w:rFonts w:hint="eastAsia"/>
                <w:color w:val="000000"/>
                <w:szCs w:val="21"/>
              </w:rPr>
              <w:t>0</w:t>
            </w:r>
            <w:r>
              <w:rPr>
                <w:color w:val="000000"/>
                <w:szCs w:val="21"/>
              </w:rPr>
              <w:t>8</w:t>
            </w:r>
          </w:p>
        </w:tc>
        <w:tc>
          <w:tcPr>
            <w:tcW w:w="0" w:type="auto"/>
            <w:noWrap w:val="0"/>
            <w:vAlign w:val="center"/>
          </w:tcPr>
          <w:p w14:paraId="61635872">
            <w:pPr>
              <w:jc w:val="center"/>
              <w:rPr>
                <w:rFonts w:ascii="楷体_GB2312" w:eastAsia="楷体_GB2312"/>
                <w:color w:val="000000"/>
                <w:szCs w:val="21"/>
              </w:rPr>
            </w:pPr>
            <w:r>
              <w:rPr>
                <w:rFonts w:hint="eastAsia" w:ascii="楷体_GB2312" w:eastAsia="楷体_GB2312"/>
                <w:color w:val="000000"/>
                <w:szCs w:val="21"/>
              </w:rPr>
              <w:t>南集路</w:t>
            </w:r>
          </w:p>
        </w:tc>
        <w:tc>
          <w:tcPr>
            <w:tcW w:w="0" w:type="auto"/>
            <w:noWrap w:val="0"/>
            <w:vAlign w:val="center"/>
          </w:tcPr>
          <w:p w14:paraId="349A2E09">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544279C1">
            <w:pPr>
              <w:jc w:val="center"/>
              <w:rPr>
                <w:color w:val="000000"/>
                <w:szCs w:val="21"/>
              </w:rPr>
            </w:pPr>
            <w:r>
              <w:rPr>
                <w:color w:val="000000"/>
                <w:szCs w:val="21"/>
              </w:rPr>
              <w:t>0.7</w:t>
            </w:r>
          </w:p>
        </w:tc>
        <w:tc>
          <w:tcPr>
            <w:tcW w:w="0" w:type="auto"/>
            <w:noWrap w:val="0"/>
            <w:vAlign w:val="center"/>
          </w:tcPr>
          <w:p w14:paraId="30C8DE05">
            <w:pPr>
              <w:jc w:val="center"/>
              <w:rPr>
                <w:color w:val="000000"/>
                <w:szCs w:val="21"/>
              </w:rPr>
            </w:pPr>
            <w:r>
              <w:rPr>
                <w:color w:val="000000"/>
                <w:szCs w:val="21"/>
              </w:rPr>
              <w:t>2</w:t>
            </w:r>
          </w:p>
        </w:tc>
        <w:tc>
          <w:tcPr>
            <w:tcW w:w="0" w:type="auto"/>
            <w:noWrap w:val="0"/>
            <w:vAlign w:val="center"/>
          </w:tcPr>
          <w:p w14:paraId="74DF864D">
            <w:pPr>
              <w:jc w:val="center"/>
              <w:rPr>
                <w:color w:val="000000"/>
                <w:szCs w:val="21"/>
              </w:rPr>
            </w:pPr>
            <w:r>
              <w:rPr>
                <w:color w:val="000000"/>
                <w:szCs w:val="21"/>
              </w:rPr>
              <w:t>70</w:t>
            </w:r>
          </w:p>
        </w:tc>
        <w:tc>
          <w:tcPr>
            <w:tcW w:w="0" w:type="auto"/>
            <w:noWrap w:val="0"/>
            <w:vAlign w:val="center"/>
          </w:tcPr>
          <w:p w14:paraId="67EA3557">
            <w:pPr>
              <w:jc w:val="center"/>
              <w:rPr>
                <w:color w:val="000000"/>
                <w:szCs w:val="21"/>
              </w:rPr>
            </w:pPr>
            <w:r>
              <w:rPr>
                <w:color w:val="000000"/>
                <w:szCs w:val="21"/>
              </w:rPr>
              <w:t>180</w:t>
            </w:r>
          </w:p>
        </w:tc>
      </w:tr>
      <w:tr w14:paraId="2B17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2BA8B63C">
            <w:pPr>
              <w:jc w:val="center"/>
              <w:rPr>
                <w:color w:val="000000"/>
                <w:szCs w:val="21"/>
              </w:rPr>
            </w:pPr>
            <w:r>
              <w:rPr>
                <w:rFonts w:hint="eastAsia"/>
                <w:color w:val="000000"/>
                <w:szCs w:val="21"/>
              </w:rPr>
              <w:t>0</w:t>
            </w:r>
            <w:r>
              <w:rPr>
                <w:color w:val="000000"/>
                <w:szCs w:val="21"/>
              </w:rPr>
              <w:t>9</w:t>
            </w:r>
          </w:p>
        </w:tc>
        <w:tc>
          <w:tcPr>
            <w:tcW w:w="0" w:type="auto"/>
            <w:noWrap w:val="0"/>
            <w:vAlign w:val="center"/>
          </w:tcPr>
          <w:p w14:paraId="305C07AD">
            <w:pPr>
              <w:jc w:val="center"/>
              <w:rPr>
                <w:rFonts w:ascii="楷体_GB2312" w:eastAsia="楷体_GB2312"/>
                <w:color w:val="000000"/>
                <w:szCs w:val="21"/>
              </w:rPr>
            </w:pPr>
            <w:r>
              <w:rPr>
                <w:rFonts w:hint="eastAsia" w:ascii="楷体_GB2312" w:eastAsia="楷体_GB2312"/>
                <w:color w:val="000000"/>
                <w:szCs w:val="21"/>
              </w:rPr>
              <w:t>沿河路</w:t>
            </w:r>
          </w:p>
        </w:tc>
        <w:tc>
          <w:tcPr>
            <w:tcW w:w="0" w:type="auto"/>
            <w:noWrap w:val="0"/>
            <w:vAlign w:val="center"/>
          </w:tcPr>
          <w:p w14:paraId="2E4D3639">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4348FC8A">
            <w:pPr>
              <w:jc w:val="center"/>
              <w:rPr>
                <w:color w:val="000000"/>
                <w:szCs w:val="21"/>
              </w:rPr>
            </w:pPr>
            <w:r>
              <w:rPr>
                <w:color w:val="000000"/>
                <w:szCs w:val="21"/>
              </w:rPr>
              <w:t>0.4</w:t>
            </w:r>
          </w:p>
        </w:tc>
        <w:tc>
          <w:tcPr>
            <w:tcW w:w="0" w:type="auto"/>
            <w:noWrap w:val="0"/>
            <w:vAlign w:val="center"/>
          </w:tcPr>
          <w:p w14:paraId="5167F3DE">
            <w:pPr>
              <w:jc w:val="center"/>
              <w:rPr>
                <w:color w:val="000000"/>
                <w:szCs w:val="21"/>
              </w:rPr>
            </w:pPr>
            <w:r>
              <w:rPr>
                <w:color w:val="000000"/>
                <w:szCs w:val="21"/>
              </w:rPr>
              <w:t>3</w:t>
            </w:r>
          </w:p>
        </w:tc>
        <w:tc>
          <w:tcPr>
            <w:tcW w:w="0" w:type="auto"/>
            <w:noWrap w:val="0"/>
            <w:vAlign w:val="center"/>
          </w:tcPr>
          <w:p w14:paraId="5DA833DD">
            <w:pPr>
              <w:jc w:val="center"/>
              <w:rPr>
                <w:color w:val="000000"/>
                <w:szCs w:val="21"/>
              </w:rPr>
            </w:pPr>
            <w:r>
              <w:rPr>
                <w:color w:val="000000"/>
                <w:szCs w:val="21"/>
              </w:rPr>
              <w:t>40</w:t>
            </w:r>
          </w:p>
        </w:tc>
        <w:tc>
          <w:tcPr>
            <w:tcW w:w="0" w:type="auto"/>
            <w:noWrap w:val="0"/>
            <w:vAlign w:val="center"/>
          </w:tcPr>
          <w:p w14:paraId="4DFCD57F">
            <w:pPr>
              <w:jc w:val="center"/>
              <w:rPr>
                <w:color w:val="000000"/>
                <w:szCs w:val="21"/>
              </w:rPr>
            </w:pPr>
            <w:r>
              <w:rPr>
                <w:color w:val="000000"/>
                <w:szCs w:val="21"/>
              </w:rPr>
              <w:t>150</w:t>
            </w:r>
          </w:p>
        </w:tc>
      </w:tr>
      <w:tr w14:paraId="0491E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12C1440C">
            <w:pPr>
              <w:jc w:val="center"/>
              <w:rPr>
                <w:color w:val="000000"/>
                <w:szCs w:val="21"/>
              </w:rPr>
            </w:pPr>
            <w:r>
              <w:rPr>
                <w:color w:val="000000"/>
                <w:szCs w:val="21"/>
              </w:rPr>
              <w:t>10</w:t>
            </w:r>
          </w:p>
        </w:tc>
        <w:tc>
          <w:tcPr>
            <w:tcW w:w="0" w:type="auto"/>
            <w:noWrap w:val="0"/>
            <w:vAlign w:val="center"/>
          </w:tcPr>
          <w:p w14:paraId="2F5458C4">
            <w:pPr>
              <w:jc w:val="center"/>
              <w:rPr>
                <w:rFonts w:ascii="楷体_GB2312" w:eastAsia="楷体_GB2312"/>
                <w:color w:val="000000"/>
                <w:szCs w:val="21"/>
              </w:rPr>
            </w:pPr>
            <w:r>
              <w:rPr>
                <w:rFonts w:hint="eastAsia" w:ascii="楷体_GB2312" w:eastAsia="楷体_GB2312"/>
                <w:color w:val="000000"/>
                <w:szCs w:val="21"/>
              </w:rPr>
              <w:t>菜市街</w:t>
            </w:r>
          </w:p>
        </w:tc>
        <w:tc>
          <w:tcPr>
            <w:tcW w:w="0" w:type="auto"/>
            <w:noWrap w:val="0"/>
            <w:vAlign w:val="center"/>
          </w:tcPr>
          <w:p w14:paraId="2659C792">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6599313">
            <w:pPr>
              <w:jc w:val="center"/>
              <w:rPr>
                <w:color w:val="000000"/>
                <w:szCs w:val="21"/>
              </w:rPr>
            </w:pPr>
            <w:r>
              <w:rPr>
                <w:color w:val="000000"/>
                <w:szCs w:val="21"/>
              </w:rPr>
              <w:t>0.4</w:t>
            </w:r>
          </w:p>
        </w:tc>
        <w:tc>
          <w:tcPr>
            <w:tcW w:w="0" w:type="auto"/>
            <w:noWrap w:val="0"/>
            <w:vAlign w:val="center"/>
          </w:tcPr>
          <w:p w14:paraId="293031B8">
            <w:pPr>
              <w:jc w:val="center"/>
              <w:rPr>
                <w:color w:val="000000"/>
                <w:szCs w:val="21"/>
              </w:rPr>
            </w:pPr>
            <w:r>
              <w:rPr>
                <w:color w:val="000000"/>
                <w:szCs w:val="21"/>
              </w:rPr>
              <w:t>3</w:t>
            </w:r>
          </w:p>
        </w:tc>
        <w:tc>
          <w:tcPr>
            <w:tcW w:w="0" w:type="auto"/>
            <w:noWrap w:val="0"/>
            <w:vAlign w:val="center"/>
          </w:tcPr>
          <w:p w14:paraId="4CE8C161">
            <w:pPr>
              <w:jc w:val="center"/>
              <w:rPr>
                <w:color w:val="000000"/>
                <w:szCs w:val="21"/>
              </w:rPr>
            </w:pPr>
            <w:r>
              <w:rPr>
                <w:color w:val="000000"/>
                <w:szCs w:val="21"/>
              </w:rPr>
              <w:t>40</w:t>
            </w:r>
          </w:p>
        </w:tc>
        <w:tc>
          <w:tcPr>
            <w:tcW w:w="0" w:type="auto"/>
            <w:noWrap w:val="0"/>
            <w:vAlign w:val="center"/>
          </w:tcPr>
          <w:p w14:paraId="09643F19">
            <w:pPr>
              <w:jc w:val="center"/>
              <w:rPr>
                <w:color w:val="000000"/>
                <w:szCs w:val="21"/>
              </w:rPr>
            </w:pPr>
            <w:r>
              <w:rPr>
                <w:color w:val="000000"/>
                <w:szCs w:val="21"/>
              </w:rPr>
              <w:t>150</w:t>
            </w:r>
          </w:p>
        </w:tc>
      </w:tr>
      <w:tr w14:paraId="2D9A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15" w:type="dxa"/>
            <w:noWrap w:val="0"/>
            <w:vAlign w:val="center"/>
          </w:tcPr>
          <w:p w14:paraId="64651062">
            <w:pPr>
              <w:jc w:val="center"/>
              <w:rPr>
                <w:color w:val="000000"/>
                <w:szCs w:val="21"/>
              </w:rPr>
            </w:pPr>
            <w:r>
              <w:rPr>
                <w:color w:val="000000"/>
                <w:szCs w:val="21"/>
              </w:rPr>
              <w:t>11</w:t>
            </w:r>
          </w:p>
        </w:tc>
        <w:tc>
          <w:tcPr>
            <w:tcW w:w="0" w:type="auto"/>
            <w:noWrap w:val="0"/>
            <w:vAlign w:val="center"/>
          </w:tcPr>
          <w:p w14:paraId="453CD719">
            <w:pPr>
              <w:jc w:val="center"/>
              <w:rPr>
                <w:rFonts w:ascii="楷体_GB2312" w:eastAsia="楷体_GB2312"/>
                <w:color w:val="000000"/>
                <w:szCs w:val="21"/>
              </w:rPr>
            </w:pPr>
            <w:r>
              <w:rPr>
                <w:rFonts w:hint="eastAsia" w:ascii="楷体_GB2312" w:eastAsia="楷体_GB2312"/>
                <w:color w:val="000000"/>
                <w:szCs w:val="21"/>
              </w:rPr>
              <w:t>镇东路</w:t>
            </w:r>
          </w:p>
        </w:tc>
        <w:tc>
          <w:tcPr>
            <w:tcW w:w="0" w:type="auto"/>
            <w:noWrap w:val="0"/>
            <w:vAlign w:val="center"/>
          </w:tcPr>
          <w:p w14:paraId="5329FEAC">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4F579FB">
            <w:pPr>
              <w:jc w:val="center"/>
              <w:rPr>
                <w:color w:val="000000"/>
                <w:szCs w:val="21"/>
              </w:rPr>
            </w:pPr>
            <w:r>
              <w:rPr>
                <w:color w:val="000000"/>
                <w:szCs w:val="21"/>
              </w:rPr>
              <w:t>0.4</w:t>
            </w:r>
          </w:p>
        </w:tc>
        <w:tc>
          <w:tcPr>
            <w:tcW w:w="0" w:type="auto"/>
            <w:noWrap w:val="0"/>
            <w:vAlign w:val="center"/>
          </w:tcPr>
          <w:p w14:paraId="752E9F42">
            <w:pPr>
              <w:jc w:val="center"/>
              <w:rPr>
                <w:color w:val="000000"/>
                <w:szCs w:val="21"/>
              </w:rPr>
            </w:pPr>
            <w:r>
              <w:rPr>
                <w:color w:val="000000"/>
                <w:szCs w:val="21"/>
              </w:rPr>
              <w:t>3</w:t>
            </w:r>
          </w:p>
        </w:tc>
        <w:tc>
          <w:tcPr>
            <w:tcW w:w="0" w:type="auto"/>
            <w:noWrap w:val="0"/>
            <w:vAlign w:val="center"/>
          </w:tcPr>
          <w:p w14:paraId="58CFF9CC">
            <w:pPr>
              <w:jc w:val="center"/>
              <w:rPr>
                <w:color w:val="000000"/>
                <w:szCs w:val="21"/>
              </w:rPr>
            </w:pPr>
            <w:r>
              <w:rPr>
                <w:color w:val="000000"/>
                <w:szCs w:val="21"/>
              </w:rPr>
              <w:t>40</w:t>
            </w:r>
          </w:p>
        </w:tc>
        <w:tc>
          <w:tcPr>
            <w:tcW w:w="0" w:type="auto"/>
            <w:noWrap w:val="0"/>
            <w:vAlign w:val="center"/>
          </w:tcPr>
          <w:p w14:paraId="133602E0">
            <w:pPr>
              <w:jc w:val="center"/>
              <w:rPr>
                <w:color w:val="000000"/>
                <w:szCs w:val="21"/>
              </w:rPr>
            </w:pPr>
            <w:r>
              <w:rPr>
                <w:color w:val="000000"/>
                <w:szCs w:val="21"/>
              </w:rPr>
              <w:t>150</w:t>
            </w:r>
          </w:p>
        </w:tc>
      </w:tr>
    </w:tbl>
    <w:p w14:paraId="78733299">
      <w:pPr>
        <w:jc w:val="center"/>
        <w:rPr>
          <w:rFonts w:eastAsia="仿宋_GB2312"/>
          <w:sz w:val="18"/>
        </w:rPr>
      </w:pPr>
      <w:r>
        <w:rPr>
          <w:rFonts w:eastAsia="黑体"/>
          <w:sz w:val="28"/>
        </w:rPr>
        <w:t>表1-3-</w:t>
      </w:r>
      <w:r>
        <w:rPr>
          <w:rFonts w:hint="eastAsia" w:eastAsia="黑体"/>
          <w:sz w:val="28"/>
        </w:rPr>
        <w:t>2</w:t>
      </w:r>
      <w:r>
        <w:rPr>
          <w:rFonts w:eastAsia="黑体"/>
          <w:sz w:val="28"/>
        </w:rPr>
        <w:t xml:space="preserve">7  </w:t>
      </w:r>
      <w:r>
        <w:rPr>
          <w:rFonts w:hint="eastAsia" w:eastAsia="黑体"/>
          <w:sz w:val="28"/>
        </w:rPr>
        <w:t>桃沟乡</w:t>
      </w:r>
      <w:r>
        <w:rPr>
          <w:rFonts w:eastAsia="黑体"/>
          <w:sz w:val="28"/>
        </w:rPr>
        <w:t>镇区道路状况及其功能分及影响距离表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3"/>
        <w:gridCol w:w="1460"/>
        <w:gridCol w:w="1460"/>
        <w:gridCol w:w="1460"/>
        <w:gridCol w:w="879"/>
        <w:gridCol w:w="1170"/>
        <w:gridCol w:w="1460"/>
      </w:tblGrid>
      <w:tr w14:paraId="1FA1A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83" w:type="dxa"/>
            <w:noWrap w:val="0"/>
            <w:vAlign w:val="center"/>
          </w:tcPr>
          <w:p w14:paraId="7E11FF99">
            <w:pPr>
              <w:jc w:val="center"/>
              <w:rPr>
                <w:rFonts w:eastAsia="楷体_GB2312"/>
              </w:rPr>
            </w:pPr>
            <w:r>
              <w:rPr>
                <w:rFonts w:eastAsia="楷体_GB2312"/>
              </w:rPr>
              <w:t>道路编号</w:t>
            </w:r>
          </w:p>
        </w:tc>
        <w:tc>
          <w:tcPr>
            <w:tcW w:w="0" w:type="auto"/>
            <w:noWrap w:val="0"/>
            <w:vAlign w:val="center"/>
          </w:tcPr>
          <w:p w14:paraId="504D4625">
            <w:pPr>
              <w:jc w:val="center"/>
              <w:rPr>
                <w:rFonts w:eastAsia="楷体_GB2312"/>
              </w:rPr>
            </w:pPr>
            <w:r>
              <w:rPr>
                <w:rFonts w:eastAsia="楷体_GB2312"/>
              </w:rPr>
              <w:t>道路名称</w:t>
            </w:r>
          </w:p>
        </w:tc>
        <w:tc>
          <w:tcPr>
            <w:tcW w:w="0" w:type="auto"/>
            <w:noWrap w:val="0"/>
            <w:vAlign w:val="center"/>
          </w:tcPr>
          <w:p w14:paraId="27CCDEC0">
            <w:pPr>
              <w:jc w:val="center"/>
              <w:rPr>
                <w:rFonts w:eastAsia="楷体_GB2312"/>
              </w:rPr>
            </w:pPr>
            <w:r>
              <w:rPr>
                <w:rFonts w:eastAsia="楷体_GB2312"/>
              </w:rPr>
              <w:t>道路类型</w:t>
            </w:r>
          </w:p>
        </w:tc>
        <w:tc>
          <w:tcPr>
            <w:tcW w:w="0" w:type="auto"/>
            <w:noWrap w:val="0"/>
            <w:vAlign w:val="center"/>
          </w:tcPr>
          <w:p w14:paraId="33BDEDB6">
            <w:pPr>
              <w:jc w:val="center"/>
              <w:rPr>
                <w:rFonts w:eastAsia="楷体_GB2312"/>
              </w:rPr>
            </w:pPr>
            <w:r>
              <w:rPr>
                <w:rFonts w:eastAsia="楷体_GB2312"/>
              </w:rPr>
              <w:t>作用指数</w:t>
            </w:r>
          </w:p>
        </w:tc>
        <w:tc>
          <w:tcPr>
            <w:tcW w:w="0" w:type="auto"/>
            <w:noWrap w:val="0"/>
            <w:vAlign w:val="center"/>
          </w:tcPr>
          <w:p w14:paraId="723092BD">
            <w:pPr>
              <w:jc w:val="center"/>
              <w:rPr>
                <w:rFonts w:eastAsia="楷体_GB2312"/>
              </w:rPr>
            </w:pPr>
            <w:r>
              <w:rPr>
                <w:rFonts w:eastAsia="楷体_GB2312"/>
              </w:rPr>
              <w:t>级别</w:t>
            </w:r>
          </w:p>
        </w:tc>
        <w:tc>
          <w:tcPr>
            <w:tcW w:w="0" w:type="auto"/>
            <w:noWrap w:val="0"/>
            <w:vAlign w:val="center"/>
          </w:tcPr>
          <w:p w14:paraId="50871572">
            <w:pPr>
              <w:jc w:val="center"/>
              <w:rPr>
                <w:rFonts w:eastAsia="楷体_GB2312"/>
              </w:rPr>
            </w:pPr>
            <w:r>
              <w:rPr>
                <w:rFonts w:eastAsia="楷体_GB2312"/>
              </w:rPr>
              <w:t>功能分</w:t>
            </w:r>
          </w:p>
        </w:tc>
        <w:tc>
          <w:tcPr>
            <w:tcW w:w="0" w:type="auto"/>
            <w:noWrap w:val="0"/>
            <w:vAlign w:val="center"/>
          </w:tcPr>
          <w:p w14:paraId="1654B49B">
            <w:pPr>
              <w:jc w:val="center"/>
              <w:rPr>
                <w:rFonts w:eastAsia="楷体_GB2312"/>
              </w:rPr>
            </w:pPr>
            <w:r>
              <w:rPr>
                <w:rFonts w:eastAsia="楷体_GB2312"/>
              </w:rPr>
              <w:t>影响半径</w:t>
            </w:r>
          </w:p>
        </w:tc>
      </w:tr>
      <w:tr w14:paraId="507C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35205E7">
            <w:pPr>
              <w:jc w:val="center"/>
              <w:rPr>
                <w:color w:val="000000"/>
                <w:szCs w:val="21"/>
              </w:rPr>
            </w:pPr>
            <w:r>
              <w:rPr>
                <w:rFonts w:hint="eastAsia"/>
                <w:color w:val="000000"/>
                <w:szCs w:val="21"/>
              </w:rPr>
              <w:t>0</w:t>
            </w:r>
            <w:r>
              <w:rPr>
                <w:color w:val="000000"/>
                <w:szCs w:val="21"/>
              </w:rPr>
              <w:t>1</w:t>
            </w:r>
          </w:p>
        </w:tc>
        <w:tc>
          <w:tcPr>
            <w:tcW w:w="0" w:type="auto"/>
            <w:noWrap w:val="0"/>
            <w:vAlign w:val="center"/>
          </w:tcPr>
          <w:p w14:paraId="0D56BC04">
            <w:pPr>
              <w:jc w:val="center"/>
              <w:rPr>
                <w:rFonts w:ascii="楷体_GB2312" w:eastAsia="楷体_GB2312"/>
                <w:color w:val="000000"/>
                <w:szCs w:val="21"/>
              </w:rPr>
            </w:pPr>
            <w:r>
              <w:rPr>
                <w:rFonts w:hint="eastAsia" w:ascii="楷体_GB2312" w:eastAsia="楷体_GB2312"/>
                <w:color w:val="000000"/>
                <w:szCs w:val="21"/>
              </w:rPr>
              <w:t>桃花大道</w:t>
            </w:r>
          </w:p>
        </w:tc>
        <w:tc>
          <w:tcPr>
            <w:tcW w:w="0" w:type="auto"/>
            <w:noWrap w:val="0"/>
            <w:vAlign w:val="center"/>
          </w:tcPr>
          <w:p w14:paraId="3E3E7609">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39D486EE">
            <w:pPr>
              <w:jc w:val="center"/>
              <w:rPr>
                <w:color w:val="000000"/>
                <w:szCs w:val="21"/>
              </w:rPr>
            </w:pPr>
            <w:r>
              <w:rPr>
                <w:color w:val="000000"/>
                <w:szCs w:val="21"/>
              </w:rPr>
              <w:t>1</w:t>
            </w:r>
          </w:p>
        </w:tc>
        <w:tc>
          <w:tcPr>
            <w:tcW w:w="0" w:type="auto"/>
            <w:noWrap w:val="0"/>
            <w:vAlign w:val="center"/>
          </w:tcPr>
          <w:p w14:paraId="3F826BD7">
            <w:pPr>
              <w:jc w:val="center"/>
              <w:rPr>
                <w:color w:val="000000"/>
                <w:szCs w:val="21"/>
              </w:rPr>
            </w:pPr>
            <w:r>
              <w:rPr>
                <w:color w:val="000000"/>
                <w:szCs w:val="21"/>
              </w:rPr>
              <w:t>1</w:t>
            </w:r>
          </w:p>
        </w:tc>
        <w:tc>
          <w:tcPr>
            <w:tcW w:w="0" w:type="auto"/>
            <w:noWrap w:val="0"/>
            <w:vAlign w:val="center"/>
          </w:tcPr>
          <w:p w14:paraId="65888470">
            <w:pPr>
              <w:jc w:val="center"/>
              <w:rPr>
                <w:color w:val="000000"/>
                <w:szCs w:val="21"/>
              </w:rPr>
            </w:pPr>
            <w:r>
              <w:rPr>
                <w:color w:val="000000"/>
                <w:szCs w:val="21"/>
              </w:rPr>
              <w:t>100</w:t>
            </w:r>
          </w:p>
        </w:tc>
        <w:tc>
          <w:tcPr>
            <w:tcW w:w="0" w:type="auto"/>
            <w:noWrap w:val="0"/>
            <w:vAlign w:val="center"/>
          </w:tcPr>
          <w:p w14:paraId="621F6EE6">
            <w:pPr>
              <w:jc w:val="center"/>
              <w:rPr>
                <w:color w:val="000000"/>
                <w:szCs w:val="21"/>
              </w:rPr>
            </w:pPr>
            <w:r>
              <w:rPr>
                <w:color w:val="000000"/>
                <w:szCs w:val="21"/>
              </w:rPr>
              <w:t>220</w:t>
            </w:r>
          </w:p>
        </w:tc>
      </w:tr>
      <w:tr w14:paraId="19EFB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658BCDD">
            <w:pPr>
              <w:jc w:val="center"/>
              <w:rPr>
                <w:color w:val="000000"/>
                <w:szCs w:val="21"/>
              </w:rPr>
            </w:pPr>
            <w:r>
              <w:rPr>
                <w:rFonts w:hint="eastAsia"/>
                <w:color w:val="000000"/>
                <w:szCs w:val="21"/>
              </w:rPr>
              <w:t>0</w:t>
            </w:r>
            <w:r>
              <w:rPr>
                <w:color w:val="000000"/>
                <w:szCs w:val="21"/>
              </w:rPr>
              <w:t>2</w:t>
            </w:r>
          </w:p>
        </w:tc>
        <w:tc>
          <w:tcPr>
            <w:tcW w:w="0" w:type="auto"/>
            <w:noWrap w:val="0"/>
            <w:vAlign w:val="center"/>
          </w:tcPr>
          <w:p w14:paraId="6C22FB8E">
            <w:pPr>
              <w:jc w:val="center"/>
              <w:rPr>
                <w:rFonts w:ascii="楷体_GB2312" w:eastAsia="楷体_GB2312"/>
                <w:color w:val="000000"/>
                <w:szCs w:val="21"/>
              </w:rPr>
            </w:pPr>
            <w:r>
              <w:rPr>
                <w:rFonts w:hint="eastAsia" w:ascii="楷体_GB2312" w:eastAsia="楷体_GB2312"/>
                <w:color w:val="000000"/>
                <w:szCs w:val="21"/>
              </w:rPr>
              <w:t>东外环</w:t>
            </w:r>
          </w:p>
        </w:tc>
        <w:tc>
          <w:tcPr>
            <w:tcW w:w="0" w:type="auto"/>
            <w:noWrap w:val="0"/>
            <w:vAlign w:val="center"/>
          </w:tcPr>
          <w:p w14:paraId="088ABF47">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704F29E8">
            <w:pPr>
              <w:jc w:val="center"/>
              <w:rPr>
                <w:color w:val="000000"/>
                <w:szCs w:val="21"/>
              </w:rPr>
            </w:pPr>
            <w:r>
              <w:rPr>
                <w:color w:val="000000"/>
                <w:szCs w:val="21"/>
              </w:rPr>
              <w:t>1</w:t>
            </w:r>
          </w:p>
        </w:tc>
        <w:tc>
          <w:tcPr>
            <w:tcW w:w="0" w:type="auto"/>
            <w:noWrap w:val="0"/>
            <w:vAlign w:val="center"/>
          </w:tcPr>
          <w:p w14:paraId="59A4CE3F">
            <w:pPr>
              <w:jc w:val="center"/>
              <w:rPr>
                <w:color w:val="000000"/>
                <w:szCs w:val="21"/>
              </w:rPr>
            </w:pPr>
            <w:r>
              <w:rPr>
                <w:color w:val="000000"/>
                <w:szCs w:val="21"/>
              </w:rPr>
              <w:t>1</w:t>
            </w:r>
          </w:p>
        </w:tc>
        <w:tc>
          <w:tcPr>
            <w:tcW w:w="0" w:type="auto"/>
            <w:noWrap w:val="0"/>
            <w:vAlign w:val="center"/>
          </w:tcPr>
          <w:p w14:paraId="6C3AA947">
            <w:pPr>
              <w:jc w:val="center"/>
              <w:rPr>
                <w:color w:val="000000"/>
                <w:szCs w:val="21"/>
              </w:rPr>
            </w:pPr>
            <w:r>
              <w:rPr>
                <w:color w:val="000000"/>
                <w:szCs w:val="21"/>
              </w:rPr>
              <w:t>100</w:t>
            </w:r>
          </w:p>
        </w:tc>
        <w:tc>
          <w:tcPr>
            <w:tcW w:w="0" w:type="auto"/>
            <w:noWrap w:val="0"/>
            <w:vAlign w:val="center"/>
          </w:tcPr>
          <w:p w14:paraId="2FA30088">
            <w:pPr>
              <w:jc w:val="center"/>
              <w:rPr>
                <w:color w:val="000000"/>
                <w:szCs w:val="21"/>
              </w:rPr>
            </w:pPr>
            <w:r>
              <w:rPr>
                <w:color w:val="000000"/>
                <w:szCs w:val="21"/>
              </w:rPr>
              <w:t>220</w:t>
            </w:r>
          </w:p>
        </w:tc>
      </w:tr>
      <w:tr w14:paraId="1EE5C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5ADEB82">
            <w:pPr>
              <w:jc w:val="center"/>
              <w:rPr>
                <w:color w:val="000000"/>
                <w:szCs w:val="21"/>
              </w:rPr>
            </w:pPr>
            <w:r>
              <w:rPr>
                <w:rFonts w:hint="eastAsia"/>
                <w:color w:val="000000"/>
                <w:szCs w:val="21"/>
              </w:rPr>
              <w:t>0</w:t>
            </w:r>
            <w:r>
              <w:rPr>
                <w:color w:val="000000"/>
                <w:szCs w:val="21"/>
              </w:rPr>
              <w:t>3</w:t>
            </w:r>
          </w:p>
        </w:tc>
        <w:tc>
          <w:tcPr>
            <w:tcW w:w="0" w:type="auto"/>
            <w:noWrap w:val="0"/>
            <w:vAlign w:val="center"/>
          </w:tcPr>
          <w:p w14:paraId="423736FB">
            <w:pPr>
              <w:jc w:val="center"/>
              <w:rPr>
                <w:rFonts w:ascii="楷体_GB2312" w:eastAsia="楷体_GB2312"/>
                <w:color w:val="000000"/>
                <w:szCs w:val="21"/>
              </w:rPr>
            </w:pPr>
            <w:r>
              <w:rPr>
                <w:rFonts w:hint="eastAsia" w:ascii="楷体_GB2312" w:eastAsia="楷体_GB2312"/>
                <w:color w:val="000000"/>
                <w:szCs w:val="21"/>
              </w:rPr>
              <w:t>桃时路</w:t>
            </w:r>
          </w:p>
        </w:tc>
        <w:tc>
          <w:tcPr>
            <w:tcW w:w="0" w:type="auto"/>
            <w:noWrap w:val="0"/>
            <w:vAlign w:val="center"/>
          </w:tcPr>
          <w:p w14:paraId="1EF83E83">
            <w:pPr>
              <w:jc w:val="center"/>
              <w:rPr>
                <w:rFonts w:ascii="楷体_GB2312" w:hAnsi="宋体" w:eastAsia="楷体_GB2312" w:cs="宋体"/>
                <w:color w:val="000000"/>
                <w:szCs w:val="21"/>
              </w:rPr>
            </w:pPr>
            <w:r>
              <w:rPr>
                <w:rFonts w:hint="eastAsia" w:ascii="楷体_GB2312" w:eastAsia="楷体_GB2312"/>
                <w:color w:val="000000"/>
                <w:szCs w:val="21"/>
              </w:rPr>
              <w:t>主干道</w:t>
            </w:r>
          </w:p>
        </w:tc>
        <w:tc>
          <w:tcPr>
            <w:tcW w:w="0" w:type="auto"/>
            <w:noWrap w:val="0"/>
            <w:vAlign w:val="center"/>
          </w:tcPr>
          <w:p w14:paraId="796B8048">
            <w:pPr>
              <w:jc w:val="center"/>
              <w:rPr>
                <w:color w:val="000000"/>
                <w:szCs w:val="21"/>
              </w:rPr>
            </w:pPr>
            <w:r>
              <w:rPr>
                <w:color w:val="000000"/>
                <w:szCs w:val="21"/>
              </w:rPr>
              <w:t>1</w:t>
            </w:r>
          </w:p>
        </w:tc>
        <w:tc>
          <w:tcPr>
            <w:tcW w:w="0" w:type="auto"/>
            <w:noWrap w:val="0"/>
            <w:vAlign w:val="center"/>
          </w:tcPr>
          <w:p w14:paraId="2BAF0FB7">
            <w:pPr>
              <w:jc w:val="center"/>
              <w:rPr>
                <w:color w:val="000000"/>
                <w:szCs w:val="21"/>
              </w:rPr>
            </w:pPr>
            <w:r>
              <w:rPr>
                <w:color w:val="000000"/>
                <w:szCs w:val="21"/>
              </w:rPr>
              <w:t>1</w:t>
            </w:r>
          </w:p>
        </w:tc>
        <w:tc>
          <w:tcPr>
            <w:tcW w:w="0" w:type="auto"/>
            <w:noWrap w:val="0"/>
            <w:vAlign w:val="center"/>
          </w:tcPr>
          <w:p w14:paraId="36500A0C">
            <w:pPr>
              <w:jc w:val="center"/>
              <w:rPr>
                <w:color w:val="000000"/>
                <w:szCs w:val="21"/>
              </w:rPr>
            </w:pPr>
            <w:r>
              <w:rPr>
                <w:color w:val="000000"/>
                <w:szCs w:val="21"/>
              </w:rPr>
              <w:t>100</w:t>
            </w:r>
          </w:p>
        </w:tc>
        <w:tc>
          <w:tcPr>
            <w:tcW w:w="0" w:type="auto"/>
            <w:noWrap w:val="0"/>
            <w:vAlign w:val="center"/>
          </w:tcPr>
          <w:p w14:paraId="247D9AD6">
            <w:pPr>
              <w:jc w:val="center"/>
              <w:rPr>
                <w:color w:val="000000"/>
                <w:szCs w:val="21"/>
              </w:rPr>
            </w:pPr>
            <w:r>
              <w:rPr>
                <w:color w:val="000000"/>
                <w:szCs w:val="21"/>
              </w:rPr>
              <w:t>220</w:t>
            </w:r>
          </w:p>
        </w:tc>
      </w:tr>
      <w:tr w14:paraId="29E56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CE46CC8">
            <w:pPr>
              <w:jc w:val="center"/>
              <w:rPr>
                <w:color w:val="000000"/>
                <w:szCs w:val="21"/>
              </w:rPr>
            </w:pPr>
            <w:r>
              <w:rPr>
                <w:rFonts w:hint="eastAsia"/>
                <w:color w:val="000000"/>
                <w:szCs w:val="21"/>
              </w:rPr>
              <w:t>0</w:t>
            </w:r>
            <w:r>
              <w:rPr>
                <w:color w:val="000000"/>
                <w:szCs w:val="21"/>
              </w:rPr>
              <w:t>4</w:t>
            </w:r>
          </w:p>
        </w:tc>
        <w:tc>
          <w:tcPr>
            <w:tcW w:w="0" w:type="auto"/>
            <w:noWrap w:val="0"/>
            <w:vAlign w:val="center"/>
          </w:tcPr>
          <w:p w14:paraId="74F1E50C">
            <w:pPr>
              <w:jc w:val="center"/>
              <w:rPr>
                <w:rFonts w:ascii="楷体_GB2312" w:eastAsia="楷体_GB2312"/>
                <w:color w:val="000000"/>
                <w:szCs w:val="21"/>
              </w:rPr>
            </w:pPr>
            <w:r>
              <w:rPr>
                <w:rFonts w:hint="eastAsia" w:ascii="楷体_GB2312" w:eastAsia="楷体_GB2312"/>
                <w:color w:val="000000"/>
                <w:szCs w:val="21"/>
              </w:rPr>
              <w:t>北外环</w:t>
            </w:r>
          </w:p>
        </w:tc>
        <w:tc>
          <w:tcPr>
            <w:tcW w:w="0" w:type="auto"/>
            <w:noWrap w:val="0"/>
            <w:vAlign w:val="center"/>
          </w:tcPr>
          <w:p w14:paraId="0CB1D931">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620DABC3">
            <w:pPr>
              <w:jc w:val="center"/>
              <w:rPr>
                <w:color w:val="000000"/>
                <w:szCs w:val="21"/>
              </w:rPr>
            </w:pPr>
            <w:r>
              <w:rPr>
                <w:color w:val="000000"/>
                <w:szCs w:val="21"/>
              </w:rPr>
              <w:t>0.7</w:t>
            </w:r>
          </w:p>
        </w:tc>
        <w:tc>
          <w:tcPr>
            <w:tcW w:w="0" w:type="auto"/>
            <w:noWrap w:val="0"/>
            <w:vAlign w:val="center"/>
          </w:tcPr>
          <w:p w14:paraId="562304F3">
            <w:pPr>
              <w:jc w:val="center"/>
              <w:rPr>
                <w:color w:val="000000"/>
                <w:szCs w:val="21"/>
              </w:rPr>
            </w:pPr>
            <w:r>
              <w:rPr>
                <w:color w:val="000000"/>
                <w:szCs w:val="21"/>
              </w:rPr>
              <w:t>2</w:t>
            </w:r>
          </w:p>
        </w:tc>
        <w:tc>
          <w:tcPr>
            <w:tcW w:w="0" w:type="auto"/>
            <w:noWrap w:val="0"/>
            <w:vAlign w:val="center"/>
          </w:tcPr>
          <w:p w14:paraId="77317FA4">
            <w:pPr>
              <w:jc w:val="center"/>
              <w:rPr>
                <w:color w:val="000000"/>
                <w:szCs w:val="21"/>
              </w:rPr>
            </w:pPr>
            <w:r>
              <w:rPr>
                <w:color w:val="000000"/>
                <w:szCs w:val="21"/>
              </w:rPr>
              <w:t>70</w:t>
            </w:r>
          </w:p>
        </w:tc>
        <w:tc>
          <w:tcPr>
            <w:tcW w:w="0" w:type="auto"/>
            <w:noWrap w:val="0"/>
            <w:vAlign w:val="center"/>
          </w:tcPr>
          <w:p w14:paraId="5860C3F3">
            <w:pPr>
              <w:jc w:val="center"/>
              <w:rPr>
                <w:color w:val="000000"/>
                <w:szCs w:val="21"/>
              </w:rPr>
            </w:pPr>
            <w:r>
              <w:rPr>
                <w:color w:val="000000"/>
                <w:szCs w:val="21"/>
              </w:rPr>
              <w:t>180</w:t>
            </w:r>
          </w:p>
        </w:tc>
      </w:tr>
      <w:tr w14:paraId="718B2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798B398">
            <w:pPr>
              <w:jc w:val="center"/>
              <w:rPr>
                <w:color w:val="000000"/>
                <w:szCs w:val="21"/>
              </w:rPr>
            </w:pPr>
            <w:r>
              <w:rPr>
                <w:rFonts w:hint="eastAsia"/>
                <w:color w:val="000000"/>
                <w:szCs w:val="21"/>
              </w:rPr>
              <w:t>0</w:t>
            </w:r>
            <w:r>
              <w:rPr>
                <w:color w:val="000000"/>
                <w:szCs w:val="21"/>
              </w:rPr>
              <w:t>5</w:t>
            </w:r>
          </w:p>
        </w:tc>
        <w:tc>
          <w:tcPr>
            <w:tcW w:w="0" w:type="auto"/>
            <w:noWrap w:val="0"/>
            <w:vAlign w:val="center"/>
          </w:tcPr>
          <w:p w14:paraId="7405F422">
            <w:pPr>
              <w:jc w:val="center"/>
              <w:rPr>
                <w:rFonts w:ascii="楷体_GB2312" w:eastAsia="楷体_GB2312"/>
                <w:color w:val="000000"/>
                <w:szCs w:val="21"/>
              </w:rPr>
            </w:pPr>
            <w:r>
              <w:rPr>
                <w:rFonts w:hint="eastAsia" w:ascii="楷体_GB2312" w:eastAsia="楷体_GB2312"/>
                <w:color w:val="000000"/>
                <w:szCs w:val="21"/>
              </w:rPr>
              <w:t>北苑路</w:t>
            </w:r>
          </w:p>
        </w:tc>
        <w:tc>
          <w:tcPr>
            <w:tcW w:w="0" w:type="auto"/>
            <w:noWrap w:val="0"/>
            <w:vAlign w:val="center"/>
          </w:tcPr>
          <w:p w14:paraId="21DA3C67">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410CFABA">
            <w:pPr>
              <w:jc w:val="center"/>
              <w:rPr>
                <w:color w:val="000000"/>
                <w:szCs w:val="21"/>
              </w:rPr>
            </w:pPr>
            <w:r>
              <w:rPr>
                <w:color w:val="000000"/>
                <w:szCs w:val="21"/>
              </w:rPr>
              <w:t>0.7</w:t>
            </w:r>
          </w:p>
        </w:tc>
        <w:tc>
          <w:tcPr>
            <w:tcW w:w="0" w:type="auto"/>
            <w:noWrap w:val="0"/>
            <w:vAlign w:val="center"/>
          </w:tcPr>
          <w:p w14:paraId="7324A8AA">
            <w:pPr>
              <w:jc w:val="center"/>
              <w:rPr>
                <w:color w:val="000000"/>
                <w:szCs w:val="21"/>
              </w:rPr>
            </w:pPr>
            <w:r>
              <w:rPr>
                <w:color w:val="000000"/>
                <w:szCs w:val="21"/>
              </w:rPr>
              <w:t>2</w:t>
            </w:r>
          </w:p>
        </w:tc>
        <w:tc>
          <w:tcPr>
            <w:tcW w:w="0" w:type="auto"/>
            <w:noWrap w:val="0"/>
            <w:vAlign w:val="center"/>
          </w:tcPr>
          <w:p w14:paraId="3643000B">
            <w:pPr>
              <w:jc w:val="center"/>
              <w:rPr>
                <w:color w:val="000000"/>
                <w:szCs w:val="21"/>
              </w:rPr>
            </w:pPr>
            <w:r>
              <w:rPr>
                <w:color w:val="000000"/>
                <w:szCs w:val="21"/>
              </w:rPr>
              <w:t>70</w:t>
            </w:r>
          </w:p>
        </w:tc>
        <w:tc>
          <w:tcPr>
            <w:tcW w:w="0" w:type="auto"/>
            <w:noWrap w:val="0"/>
            <w:vAlign w:val="center"/>
          </w:tcPr>
          <w:p w14:paraId="489498DA">
            <w:pPr>
              <w:jc w:val="center"/>
              <w:rPr>
                <w:color w:val="000000"/>
                <w:szCs w:val="21"/>
              </w:rPr>
            </w:pPr>
            <w:r>
              <w:rPr>
                <w:color w:val="000000"/>
                <w:szCs w:val="21"/>
              </w:rPr>
              <w:t>180</w:t>
            </w:r>
          </w:p>
        </w:tc>
      </w:tr>
      <w:tr w14:paraId="64D4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1B65355">
            <w:pPr>
              <w:jc w:val="center"/>
              <w:rPr>
                <w:color w:val="000000"/>
                <w:szCs w:val="21"/>
              </w:rPr>
            </w:pPr>
            <w:r>
              <w:rPr>
                <w:rFonts w:hint="eastAsia"/>
                <w:color w:val="000000"/>
                <w:szCs w:val="21"/>
              </w:rPr>
              <w:t>0</w:t>
            </w:r>
            <w:r>
              <w:rPr>
                <w:color w:val="000000"/>
                <w:szCs w:val="21"/>
              </w:rPr>
              <w:t>6</w:t>
            </w:r>
          </w:p>
        </w:tc>
        <w:tc>
          <w:tcPr>
            <w:tcW w:w="0" w:type="auto"/>
            <w:noWrap w:val="0"/>
            <w:vAlign w:val="center"/>
          </w:tcPr>
          <w:p w14:paraId="5370CE1C">
            <w:pPr>
              <w:jc w:val="center"/>
              <w:rPr>
                <w:rFonts w:ascii="楷体_GB2312" w:eastAsia="楷体_GB2312"/>
                <w:color w:val="000000"/>
                <w:szCs w:val="21"/>
              </w:rPr>
            </w:pPr>
            <w:r>
              <w:rPr>
                <w:rFonts w:hint="eastAsia" w:ascii="楷体_GB2312" w:eastAsia="楷体_GB2312"/>
                <w:color w:val="000000"/>
                <w:szCs w:val="21"/>
              </w:rPr>
              <w:t>学府路</w:t>
            </w:r>
          </w:p>
        </w:tc>
        <w:tc>
          <w:tcPr>
            <w:tcW w:w="0" w:type="auto"/>
            <w:noWrap w:val="0"/>
            <w:vAlign w:val="center"/>
          </w:tcPr>
          <w:p w14:paraId="280C7E0B">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3E70FF8E">
            <w:pPr>
              <w:jc w:val="center"/>
              <w:rPr>
                <w:color w:val="000000"/>
                <w:szCs w:val="21"/>
              </w:rPr>
            </w:pPr>
            <w:r>
              <w:rPr>
                <w:color w:val="000000"/>
                <w:szCs w:val="21"/>
              </w:rPr>
              <w:t>0.7</w:t>
            </w:r>
          </w:p>
        </w:tc>
        <w:tc>
          <w:tcPr>
            <w:tcW w:w="0" w:type="auto"/>
            <w:noWrap w:val="0"/>
            <w:vAlign w:val="center"/>
          </w:tcPr>
          <w:p w14:paraId="280C4223">
            <w:pPr>
              <w:jc w:val="center"/>
              <w:rPr>
                <w:color w:val="000000"/>
                <w:szCs w:val="21"/>
              </w:rPr>
            </w:pPr>
            <w:r>
              <w:rPr>
                <w:color w:val="000000"/>
                <w:szCs w:val="21"/>
              </w:rPr>
              <w:t>2</w:t>
            </w:r>
          </w:p>
        </w:tc>
        <w:tc>
          <w:tcPr>
            <w:tcW w:w="0" w:type="auto"/>
            <w:noWrap w:val="0"/>
            <w:vAlign w:val="center"/>
          </w:tcPr>
          <w:p w14:paraId="1ED355C5">
            <w:pPr>
              <w:jc w:val="center"/>
              <w:rPr>
                <w:color w:val="000000"/>
                <w:szCs w:val="21"/>
              </w:rPr>
            </w:pPr>
            <w:r>
              <w:rPr>
                <w:color w:val="000000"/>
                <w:szCs w:val="21"/>
              </w:rPr>
              <w:t>70</w:t>
            </w:r>
          </w:p>
        </w:tc>
        <w:tc>
          <w:tcPr>
            <w:tcW w:w="0" w:type="auto"/>
            <w:noWrap w:val="0"/>
            <w:vAlign w:val="center"/>
          </w:tcPr>
          <w:p w14:paraId="063663C9">
            <w:pPr>
              <w:jc w:val="center"/>
              <w:rPr>
                <w:color w:val="000000"/>
                <w:szCs w:val="21"/>
              </w:rPr>
            </w:pPr>
            <w:r>
              <w:rPr>
                <w:color w:val="000000"/>
                <w:szCs w:val="21"/>
              </w:rPr>
              <w:t>180</w:t>
            </w:r>
          </w:p>
        </w:tc>
      </w:tr>
      <w:tr w14:paraId="5061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CC0FBF8">
            <w:pPr>
              <w:jc w:val="center"/>
              <w:rPr>
                <w:color w:val="000000"/>
                <w:szCs w:val="21"/>
              </w:rPr>
            </w:pPr>
            <w:r>
              <w:rPr>
                <w:rFonts w:hint="eastAsia"/>
                <w:color w:val="000000"/>
                <w:szCs w:val="21"/>
              </w:rPr>
              <w:t>0</w:t>
            </w:r>
            <w:r>
              <w:rPr>
                <w:color w:val="000000"/>
                <w:szCs w:val="21"/>
              </w:rPr>
              <w:t>7</w:t>
            </w:r>
          </w:p>
        </w:tc>
        <w:tc>
          <w:tcPr>
            <w:tcW w:w="0" w:type="auto"/>
            <w:noWrap w:val="0"/>
            <w:vAlign w:val="center"/>
          </w:tcPr>
          <w:p w14:paraId="550460BA">
            <w:pPr>
              <w:jc w:val="center"/>
              <w:rPr>
                <w:rFonts w:ascii="楷体_GB2312" w:eastAsia="楷体_GB2312"/>
                <w:color w:val="000000"/>
                <w:szCs w:val="21"/>
              </w:rPr>
            </w:pPr>
            <w:r>
              <w:rPr>
                <w:rFonts w:hint="eastAsia" w:ascii="楷体_GB2312" w:eastAsia="楷体_GB2312"/>
                <w:color w:val="000000"/>
                <w:szCs w:val="21"/>
              </w:rPr>
              <w:t>南苑路</w:t>
            </w:r>
          </w:p>
        </w:tc>
        <w:tc>
          <w:tcPr>
            <w:tcW w:w="0" w:type="auto"/>
            <w:noWrap w:val="0"/>
            <w:vAlign w:val="center"/>
          </w:tcPr>
          <w:p w14:paraId="03808291">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25DE5837">
            <w:pPr>
              <w:jc w:val="center"/>
              <w:rPr>
                <w:color w:val="000000"/>
                <w:szCs w:val="21"/>
              </w:rPr>
            </w:pPr>
            <w:r>
              <w:rPr>
                <w:color w:val="000000"/>
                <w:szCs w:val="21"/>
              </w:rPr>
              <w:t>0.7</w:t>
            </w:r>
          </w:p>
        </w:tc>
        <w:tc>
          <w:tcPr>
            <w:tcW w:w="0" w:type="auto"/>
            <w:noWrap w:val="0"/>
            <w:vAlign w:val="center"/>
          </w:tcPr>
          <w:p w14:paraId="4B46D517">
            <w:pPr>
              <w:jc w:val="center"/>
              <w:rPr>
                <w:color w:val="000000"/>
                <w:szCs w:val="21"/>
              </w:rPr>
            </w:pPr>
            <w:r>
              <w:rPr>
                <w:color w:val="000000"/>
                <w:szCs w:val="21"/>
              </w:rPr>
              <w:t>2</w:t>
            </w:r>
          </w:p>
        </w:tc>
        <w:tc>
          <w:tcPr>
            <w:tcW w:w="0" w:type="auto"/>
            <w:noWrap w:val="0"/>
            <w:vAlign w:val="center"/>
          </w:tcPr>
          <w:p w14:paraId="4F638F8E">
            <w:pPr>
              <w:jc w:val="center"/>
              <w:rPr>
                <w:color w:val="000000"/>
                <w:szCs w:val="21"/>
              </w:rPr>
            </w:pPr>
            <w:r>
              <w:rPr>
                <w:color w:val="000000"/>
                <w:szCs w:val="21"/>
              </w:rPr>
              <w:t>70</w:t>
            </w:r>
          </w:p>
        </w:tc>
        <w:tc>
          <w:tcPr>
            <w:tcW w:w="0" w:type="auto"/>
            <w:noWrap w:val="0"/>
            <w:vAlign w:val="center"/>
          </w:tcPr>
          <w:p w14:paraId="34DC38A4">
            <w:pPr>
              <w:jc w:val="center"/>
              <w:rPr>
                <w:color w:val="000000"/>
                <w:szCs w:val="21"/>
              </w:rPr>
            </w:pPr>
            <w:r>
              <w:rPr>
                <w:color w:val="000000"/>
                <w:szCs w:val="21"/>
              </w:rPr>
              <w:t>180</w:t>
            </w:r>
          </w:p>
        </w:tc>
      </w:tr>
      <w:tr w14:paraId="37027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AE0BBB8">
            <w:pPr>
              <w:jc w:val="center"/>
              <w:rPr>
                <w:color w:val="000000"/>
                <w:szCs w:val="21"/>
              </w:rPr>
            </w:pPr>
            <w:r>
              <w:rPr>
                <w:rFonts w:hint="eastAsia"/>
                <w:color w:val="000000"/>
                <w:szCs w:val="21"/>
              </w:rPr>
              <w:t>0</w:t>
            </w:r>
            <w:r>
              <w:rPr>
                <w:color w:val="000000"/>
                <w:szCs w:val="21"/>
              </w:rPr>
              <w:t>8</w:t>
            </w:r>
          </w:p>
        </w:tc>
        <w:tc>
          <w:tcPr>
            <w:tcW w:w="0" w:type="auto"/>
            <w:noWrap w:val="0"/>
            <w:vAlign w:val="center"/>
          </w:tcPr>
          <w:p w14:paraId="22157AAF">
            <w:pPr>
              <w:jc w:val="center"/>
              <w:rPr>
                <w:rFonts w:ascii="楷体_GB2312" w:eastAsia="楷体_GB2312"/>
                <w:color w:val="000000"/>
                <w:szCs w:val="21"/>
              </w:rPr>
            </w:pPr>
            <w:r>
              <w:rPr>
                <w:rFonts w:hint="eastAsia" w:ascii="楷体_GB2312" w:eastAsia="楷体_GB2312"/>
                <w:color w:val="000000"/>
                <w:szCs w:val="21"/>
              </w:rPr>
              <w:t>南外环</w:t>
            </w:r>
          </w:p>
        </w:tc>
        <w:tc>
          <w:tcPr>
            <w:tcW w:w="0" w:type="auto"/>
            <w:noWrap w:val="0"/>
            <w:vAlign w:val="center"/>
          </w:tcPr>
          <w:p w14:paraId="52FB06C5">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1F6D3F1C">
            <w:pPr>
              <w:jc w:val="center"/>
              <w:rPr>
                <w:color w:val="000000"/>
                <w:szCs w:val="21"/>
              </w:rPr>
            </w:pPr>
            <w:r>
              <w:rPr>
                <w:color w:val="000000"/>
                <w:szCs w:val="21"/>
              </w:rPr>
              <w:t>0.7</w:t>
            </w:r>
          </w:p>
        </w:tc>
        <w:tc>
          <w:tcPr>
            <w:tcW w:w="0" w:type="auto"/>
            <w:noWrap w:val="0"/>
            <w:vAlign w:val="center"/>
          </w:tcPr>
          <w:p w14:paraId="093A3A14">
            <w:pPr>
              <w:jc w:val="center"/>
              <w:rPr>
                <w:color w:val="000000"/>
                <w:szCs w:val="21"/>
              </w:rPr>
            </w:pPr>
            <w:r>
              <w:rPr>
                <w:color w:val="000000"/>
                <w:szCs w:val="21"/>
              </w:rPr>
              <w:t>2</w:t>
            </w:r>
          </w:p>
        </w:tc>
        <w:tc>
          <w:tcPr>
            <w:tcW w:w="0" w:type="auto"/>
            <w:noWrap w:val="0"/>
            <w:vAlign w:val="center"/>
          </w:tcPr>
          <w:p w14:paraId="260B1BD8">
            <w:pPr>
              <w:jc w:val="center"/>
              <w:rPr>
                <w:color w:val="000000"/>
                <w:szCs w:val="21"/>
              </w:rPr>
            </w:pPr>
            <w:r>
              <w:rPr>
                <w:color w:val="000000"/>
                <w:szCs w:val="21"/>
              </w:rPr>
              <w:t>70</w:t>
            </w:r>
          </w:p>
        </w:tc>
        <w:tc>
          <w:tcPr>
            <w:tcW w:w="0" w:type="auto"/>
            <w:noWrap w:val="0"/>
            <w:vAlign w:val="center"/>
          </w:tcPr>
          <w:p w14:paraId="6BDCE417">
            <w:pPr>
              <w:jc w:val="center"/>
              <w:rPr>
                <w:color w:val="000000"/>
                <w:szCs w:val="21"/>
              </w:rPr>
            </w:pPr>
            <w:r>
              <w:rPr>
                <w:color w:val="000000"/>
                <w:szCs w:val="21"/>
              </w:rPr>
              <w:t>180</w:t>
            </w:r>
          </w:p>
        </w:tc>
      </w:tr>
      <w:tr w14:paraId="00D9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72807F65">
            <w:pPr>
              <w:jc w:val="center"/>
              <w:rPr>
                <w:color w:val="000000"/>
                <w:szCs w:val="21"/>
              </w:rPr>
            </w:pPr>
            <w:r>
              <w:rPr>
                <w:rFonts w:hint="eastAsia"/>
                <w:color w:val="000000"/>
                <w:szCs w:val="21"/>
              </w:rPr>
              <w:t>0</w:t>
            </w:r>
            <w:r>
              <w:rPr>
                <w:color w:val="000000"/>
                <w:szCs w:val="21"/>
              </w:rPr>
              <w:t>9</w:t>
            </w:r>
          </w:p>
        </w:tc>
        <w:tc>
          <w:tcPr>
            <w:tcW w:w="0" w:type="auto"/>
            <w:noWrap w:val="0"/>
            <w:vAlign w:val="center"/>
          </w:tcPr>
          <w:p w14:paraId="5E33F72D">
            <w:pPr>
              <w:jc w:val="center"/>
              <w:rPr>
                <w:rFonts w:ascii="楷体_GB2312" w:eastAsia="楷体_GB2312"/>
                <w:color w:val="000000"/>
                <w:szCs w:val="21"/>
              </w:rPr>
            </w:pPr>
            <w:r>
              <w:rPr>
                <w:rFonts w:hint="eastAsia" w:ascii="楷体_GB2312" w:eastAsia="楷体_GB2312"/>
                <w:color w:val="000000"/>
                <w:szCs w:val="21"/>
              </w:rPr>
              <w:t>西外环</w:t>
            </w:r>
          </w:p>
        </w:tc>
        <w:tc>
          <w:tcPr>
            <w:tcW w:w="0" w:type="auto"/>
            <w:noWrap w:val="0"/>
            <w:vAlign w:val="center"/>
          </w:tcPr>
          <w:p w14:paraId="4161A3C2">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12A68ED8">
            <w:pPr>
              <w:jc w:val="center"/>
              <w:rPr>
                <w:color w:val="000000"/>
                <w:szCs w:val="21"/>
              </w:rPr>
            </w:pPr>
            <w:r>
              <w:rPr>
                <w:color w:val="000000"/>
                <w:szCs w:val="21"/>
              </w:rPr>
              <w:t>0.7</w:t>
            </w:r>
          </w:p>
        </w:tc>
        <w:tc>
          <w:tcPr>
            <w:tcW w:w="0" w:type="auto"/>
            <w:noWrap w:val="0"/>
            <w:vAlign w:val="center"/>
          </w:tcPr>
          <w:p w14:paraId="2349D147">
            <w:pPr>
              <w:jc w:val="center"/>
              <w:rPr>
                <w:color w:val="000000"/>
                <w:szCs w:val="21"/>
              </w:rPr>
            </w:pPr>
            <w:r>
              <w:rPr>
                <w:color w:val="000000"/>
                <w:szCs w:val="21"/>
              </w:rPr>
              <w:t>2</w:t>
            </w:r>
          </w:p>
        </w:tc>
        <w:tc>
          <w:tcPr>
            <w:tcW w:w="0" w:type="auto"/>
            <w:noWrap w:val="0"/>
            <w:vAlign w:val="center"/>
          </w:tcPr>
          <w:p w14:paraId="2B33CCF0">
            <w:pPr>
              <w:jc w:val="center"/>
              <w:rPr>
                <w:color w:val="000000"/>
                <w:szCs w:val="21"/>
              </w:rPr>
            </w:pPr>
            <w:r>
              <w:rPr>
                <w:color w:val="000000"/>
                <w:szCs w:val="21"/>
              </w:rPr>
              <w:t>70</w:t>
            </w:r>
          </w:p>
        </w:tc>
        <w:tc>
          <w:tcPr>
            <w:tcW w:w="0" w:type="auto"/>
            <w:noWrap w:val="0"/>
            <w:vAlign w:val="center"/>
          </w:tcPr>
          <w:p w14:paraId="66CDD391">
            <w:pPr>
              <w:jc w:val="center"/>
              <w:rPr>
                <w:color w:val="000000"/>
                <w:szCs w:val="21"/>
              </w:rPr>
            </w:pPr>
            <w:r>
              <w:rPr>
                <w:color w:val="000000"/>
                <w:szCs w:val="21"/>
              </w:rPr>
              <w:t>180</w:t>
            </w:r>
          </w:p>
        </w:tc>
      </w:tr>
      <w:tr w14:paraId="32CDA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4A0C6075">
            <w:pPr>
              <w:jc w:val="center"/>
              <w:rPr>
                <w:color w:val="000000"/>
                <w:szCs w:val="21"/>
              </w:rPr>
            </w:pPr>
            <w:r>
              <w:rPr>
                <w:color w:val="000000"/>
                <w:szCs w:val="21"/>
              </w:rPr>
              <w:t>10</w:t>
            </w:r>
          </w:p>
        </w:tc>
        <w:tc>
          <w:tcPr>
            <w:tcW w:w="0" w:type="auto"/>
            <w:noWrap w:val="0"/>
            <w:vAlign w:val="center"/>
          </w:tcPr>
          <w:p w14:paraId="00951F93">
            <w:pPr>
              <w:jc w:val="center"/>
              <w:rPr>
                <w:rFonts w:ascii="楷体_GB2312" w:eastAsia="楷体_GB2312"/>
                <w:color w:val="000000"/>
                <w:szCs w:val="21"/>
              </w:rPr>
            </w:pPr>
            <w:r>
              <w:rPr>
                <w:rFonts w:hint="eastAsia" w:ascii="楷体_GB2312" w:eastAsia="楷体_GB2312"/>
                <w:color w:val="000000"/>
                <w:szCs w:val="21"/>
              </w:rPr>
              <w:t>世纪大道</w:t>
            </w:r>
          </w:p>
        </w:tc>
        <w:tc>
          <w:tcPr>
            <w:tcW w:w="0" w:type="auto"/>
            <w:noWrap w:val="0"/>
            <w:vAlign w:val="center"/>
          </w:tcPr>
          <w:p w14:paraId="42AD7991">
            <w:pPr>
              <w:jc w:val="center"/>
              <w:rPr>
                <w:rFonts w:ascii="楷体_GB2312" w:hAnsi="宋体" w:eastAsia="楷体_GB2312" w:cs="宋体"/>
                <w:color w:val="000000"/>
                <w:szCs w:val="21"/>
              </w:rPr>
            </w:pPr>
            <w:r>
              <w:rPr>
                <w:rFonts w:hint="eastAsia" w:ascii="楷体_GB2312" w:eastAsia="楷体_GB2312"/>
                <w:color w:val="000000"/>
                <w:szCs w:val="21"/>
              </w:rPr>
              <w:t>次干道</w:t>
            </w:r>
          </w:p>
        </w:tc>
        <w:tc>
          <w:tcPr>
            <w:tcW w:w="0" w:type="auto"/>
            <w:noWrap w:val="0"/>
            <w:vAlign w:val="center"/>
          </w:tcPr>
          <w:p w14:paraId="203FF1A4">
            <w:pPr>
              <w:jc w:val="center"/>
              <w:rPr>
                <w:color w:val="000000"/>
                <w:szCs w:val="21"/>
              </w:rPr>
            </w:pPr>
            <w:r>
              <w:rPr>
                <w:color w:val="000000"/>
                <w:szCs w:val="21"/>
              </w:rPr>
              <w:t>0.7</w:t>
            </w:r>
          </w:p>
        </w:tc>
        <w:tc>
          <w:tcPr>
            <w:tcW w:w="0" w:type="auto"/>
            <w:noWrap w:val="0"/>
            <w:vAlign w:val="center"/>
          </w:tcPr>
          <w:p w14:paraId="2521C385">
            <w:pPr>
              <w:jc w:val="center"/>
              <w:rPr>
                <w:color w:val="000000"/>
                <w:szCs w:val="21"/>
              </w:rPr>
            </w:pPr>
            <w:r>
              <w:rPr>
                <w:color w:val="000000"/>
                <w:szCs w:val="21"/>
              </w:rPr>
              <w:t>2</w:t>
            </w:r>
          </w:p>
        </w:tc>
        <w:tc>
          <w:tcPr>
            <w:tcW w:w="0" w:type="auto"/>
            <w:noWrap w:val="0"/>
            <w:vAlign w:val="center"/>
          </w:tcPr>
          <w:p w14:paraId="29F4ADAB">
            <w:pPr>
              <w:jc w:val="center"/>
              <w:rPr>
                <w:color w:val="000000"/>
                <w:szCs w:val="21"/>
              </w:rPr>
            </w:pPr>
            <w:r>
              <w:rPr>
                <w:color w:val="000000"/>
                <w:szCs w:val="21"/>
              </w:rPr>
              <w:t>70</w:t>
            </w:r>
          </w:p>
        </w:tc>
        <w:tc>
          <w:tcPr>
            <w:tcW w:w="0" w:type="auto"/>
            <w:noWrap w:val="0"/>
            <w:vAlign w:val="center"/>
          </w:tcPr>
          <w:p w14:paraId="3742AD44">
            <w:pPr>
              <w:jc w:val="center"/>
              <w:rPr>
                <w:color w:val="000000"/>
                <w:szCs w:val="21"/>
              </w:rPr>
            </w:pPr>
            <w:r>
              <w:rPr>
                <w:color w:val="000000"/>
                <w:szCs w:val="21"/>
              </w:rPr>
              <w:t>180</w:t>
            </w:r>
          </w:p>
        </w:tc>
      </w:tr>
      <w:tr w14:paraId="0766B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6C718C8">
            <w:pPr>
              <w:jc w:val="center"/>
              <w:rPr>
                <w:color w:val="000000"/>
                <w:szCs w:val="21"/>
              </w:rPr>
            </w:pPr>
            <w:r>
              <w:rPr>
                <w:color w:val="000000"/>
                <w:szCs w:val="21"/>
              </w:rPr>
              <w:t>11</w:t>
            </w:r>
          </w:p>
        </w:tc>
        <w:tc>
          <w:tcPr>
            <w:tcW w:w="0" w:type="auto"/>
            <w:noWrap w:val="0"/>
            <w:vAlign w:val="center"/>
          </w:tcPr>
          <w:p w14:paraId="45E6B4BE">
            <w:pPr>
              <w:jc w:val="center"/>
              <w:rPr>
                <w:rFonts w:ascii="楷体_GB2312" w:eastAsia="楷体_GB2312"/>
                <w:color w:val="000000"/>
                <w:szCs w:val="21"/>
              </w:rPr>
            </w:pPr>
            <w:r>
              <w:rPr>
                <w:rFonts w:hint="eastAsia" w:ascii="楷体_GB2312" w:eastAsia="楷体_GB2312"/>
                <w:color w:val="000000"/>
                <w:szCs w:val="21"/>
              </w:rPr>
              <w:t>安居路</w:t>
            </w:r>
          </w:p>
        </w:tc>
        <w:tc>
          <w:tcPr>
            <w:tcW w:w="0" w:type="auto"/>
            <w:noWrap w:val="0"/>
            <w:vAlign w:val="center"/>
          </w:tcPr>
          <w:p w14:paraId="4AF482C6">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26DA0C8B">
            <w:pPr>
              <w:jc w:val="center"/>
              <w:rPr>
                <w:color w:val="000000"/>
                <w:szCs w:val="21"/>
              </w:rPr>
            </w:pPr>
            <w:r>
              <w:rPr>
                <w:color w:val="000000"/>
                <w:szCs w:val="21"/>
              </w:rPr>
              <w:t>0.4</w:t>
            </w:r>
          </w:p>
        </w:tc>
        <w:tc>
          <w:tcPr>
            <w:tcW w:w="0" w:type="auto"/>
            <w:noWrap w:val="0"/>
            <w:vAlign w:val="center"/>
          </w:tcPr>
          <w:p w14:paraId="29277DC9">
            <w:pPr>
              <w:jc w:val="center"/>
              <w:rPr>
                <w:color w:val="000000"/>
                <w:szCs w:val="21"/>
              </w:rPr>
            </w:pPr>
            <w:r>
              <w:rPr>
                <w:color w:val="000000"/>
                <w:szCs w:val="21"/>
              </w:rPr>
              <w:t>3</w:t>
            </w:r>
          </w:p>
        </w:tc>
        <w:tc>
          <w:tcPr>
            <w:tcW w:w="0" w:type="auto"/>
            <w:noWrap w:val="0"/>
            <w:vAlign w:val="center"/>
          </w:tcPr>
          <w:p w14:paraId="4CE3A241">
            <w:pPr>
              <w:jc w:val="center"/>
              <w:rPr>
                <w:color w:val="000000"/>
                <w:szCs w:val="21"/>
              </w:rPr>
            </w:pPr>
            <w:r>
              <w:rPr>
                <w:color w:val="000000"/>
                <w:szCs w:val="21"/>
              </w:rPr>
              <w:t>40</w:t>
            </w:r>
          </w:p>
        </w:tc>
        <w:tc>
          <w:tcPr>
            <w:tcW w:w="0" w:type="auto"/>
            <w:noWrap w:val="0"/>
            <w:vAlign w:val="center"/>
          </w:tcPr>
          <w:p w14:paraId="53199D6E">
            <w:pPr>
              <w:jc w:val="center"/>
              <w:rPr>
                <w:color w:val="000000"/>
                <w:szCs w:val="21"/>
              </w:rPr>
            </w:pPr>
            <w:r>
              <w:rPr>
                <w:color w:val="000000"/>
                <w:szCs w:val="21"/>
              </w:rPr>
              <w:t>150</w:t>
            </w:r>
          </w:p>
        </w:tc>
      </w:tr>
      <w:tr w14:paraId="30A55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2A74B59F">
            <w:pPr>
              <w:jc w:val="center"/>
              <w:rPr>
                <w:color w:val="000000"/>
                <w:szCs w:val="21"/>
              </w:rPr>
            </w:pPr>
            <w:r>
              <w:rPr>
                <w:color w:val="000000"/>
                <w:szCs w:val="21"/>
              </w:rPr>
              <w:t>12</w:t>
            </w:r>
          </w:p>
        </w:tc>
        <w:tc>
          <w:tcPr>
            <w:tcW w:w="0" w:type="auto"/>
            <w:noWrap w:val="0"/>
            <w:vAlign w:val="center"/>
          </w:tcPr>
          <w:p w14:paraId="1A086297">
            <w:pPr>
              <w:jc w:val="center"/>
              <w:rPr>
                <w:rFonts w:ascii="楷体_GB2312" w:eastAsia="楷体_GB2312"/>
                <w:color w:val="000000"/>
                <w:szCs w:val="21"/>
              </w:rPr>
            </w:pPr>
            <w:r>
              <w:rPr>
                <w:rFonts w:hint="eastAsia" w:ascii="楷体_GB2312" w:eastAsia="楷体_GB2312"/>
                <w:color w:val="000000"/>
                <w:szCs w:val="21"/>
              </w:rPr>
              <w:t>公园路</w:t>
            </w:r>
          </w:p>
        </w:tc>
        <w:tc>
          <w:tcPr>
            <w:tcW w:w="0" w:type="auto"/>
            <w:noWrap w:val="0"/>
            <w:vAlign w:val="center"/>
          </w:tcPr>
          <w:p w14:paraId="05BBAD8A">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249133EB">
            <w:pPr>
              <w:jc w:val="center"/>
              <w:rPr>
                <w:color w:val="000000"/>
                <w:szCs w:val="21"/>
              </w:rPr>
            </w:pPr>
            <w:r>
              <w:rPr>
                <w:color w:val="000000"/>
                <w:szCs w:val="21"/>
              </w:rPr>
              <w:t>0.4</w:t>
            </w:r>
          </w:p>
        </w:tc>
        <w:tc>
          <w:tcPr>
            <w:tcW w:w="0" w:type="auto"/>
            <w:noWrap w:val="0"/>
            <w:vAlign w:val="center"/>
          </w:tcPr>
          <w:p w14:paraId="1E2DF113">
            <w:pPr>
              <w:jc w:val="center"/>
              <w:rPr>
                <w:color w:val="000000"/>
                <w:szCs w:val="21"/>
              </w:rPr>
            </w:pPr>
            <w:r>
              <w:rPr>
                <w:color w:val="000000"/>
                <w:szCs w:val="21"/>
              </w:rPr>
              <w:t>3</w:t>
            </w:r>
          </w:p>
        </w:tc>
        <w:tc>
          <w:tcPr>
            <w:tcW w:w="0" w:type="auto"/>
            <w:noWrap w:val="0"/>
            <w:vAlign w:val="center"/>
          </w:tcPr>
          <w:p w14:paraId="203DCBE4">
            <w:pPr>
              <w:jc w:val="center"/>
              <w:rPr>
                <w:color w:val="000000"/>
                <w:szCs w:val="21"/>
              </w:rPr>
            </w:pPr>
            <w:r>
              <w:rPr>
                <w:color w:val="000000"/>
                <w:szCs w:val="21"/>
              </w:rPr>
              <w:t>40</w:t>
            </w:r>
          </w:p>
        </w:tc>
        <w:tc>
          <w:tcPr>
            <w:tcW w:w="0" w:type="auto"/>
            <w:noWrap w:val="0"/>
            <w:vAlign w:val="center"/>
          </w:tcPr>
          <w:p w14:paraId="2356CC46">
            <w:pPr>
              <w:jc w:val="center"/>
              <w:rPr>
                <w:color w:val="000000"/>
                <w:szCs w:val="21"/>
              </w:rPr>
            </w:pPr>
            <w:r>
              <w:rPr>
                <w:color w:val="000000"/>
                <w:szCs w:val="21"/>
              </w:rPr>
              <w:t>150</w:t>
            </w:r>
          </w:p>
        </w:tc>
      </w:tr>
      <w:tr w14:paraId="5DCCC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50BAF374">
            <w:pPr>
              <w:jc w:val="center"/>
              <w:rPr>
                <w:color w:val="000000"/>
                <w:szCs w:val="21"/>
              </w:rPr>
            </w:pPr>
            <w:r>
              <w:rPr>
                <w:color w:val="000000"/>
                <w:szCs w:val="21"/>
              </w:rPr>
              <w:t>13</w:t>
            </w:r>
          </w:p>
        </w:tc>
        <w:tc>
          <w:tcPr>
            <w:tcW w:w="0" w:type="auto"/>
            <w:noWrap w:val="0"/>
            <w:vAlign w:val="center"/>
          </w:tcPr>
          <w:p w14:paraId="40A69501">
            <w:pPr>
              <w:jc w:val="center"/>
              <w:rPr>
                <w:rFonts w:ascii="楷体_GB2312" w:eastAsia="楷体_GB2312"/>
                <w:color w:val="000000"/>
                <w:szCs w:val="21"/>
              </w:rPr>
            </w:pPr>
            <w:r>
              <w:rPr>
                <w:rFonts w:hint="eastAsia" w:ascii="楷体_GB2312" w:eastAsia="楷体_GB2312"/>
                <w:color w:val="000000"/>
                <w:szCs w:val="21"/>
              </w:rPr>
              <w:t>教育路</w:t>
            </w:r>
          </w:p>
        </w:tc>
        <w:tc>
          <w:tcPr>
            <w:tcW w:w="0" w:type="auto"/>
            <w:noWrap w:val="0"/>
            <w:vAlign w:val="center"/>
          </w:tcPr>
          <w:p w14:paraId="003AF853">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78268430">
            <w:pPr>
              <w:jc w:val="center"/>
              <w:rPr>
                <w:color w:val="000000"/>
                <w:szCs w:val="21"/>
              </w:rPr>
            </w:pPr>
            <w:r>
              <w:rPr>
                <w:color w:val="000000"/>
                <w:szCs w:val="21"/>
              </w:rPr>
              <w:t>0.4</w:t>
            </w:r>
          </w:p>
        </w:tc>
        <w:tc>
          <w:tcPr>
            <w:tcW w:w="0" w:type="auto"/>
            <w:noWrap w:val="0"/>
            <w:vAlign w:val="center"/>
          </w:tcPr>
          <w:p w14:paraId="35B4DD62">
            <w:pPr>
              <w:jc w:val="center"/>
              <w:rPr>
                <w:color w:val="000000"/>
                <w:szCs w:val="21"/>
              </w:rPr>
            </w:pPr>
            <w:r>
              <w:rPr>
                <w:color w:val="000000"/>
                <w:szCs w:val="21"/>
              </w:rPr>
              <w:t>3</w:t>
            </w:r>
          </w:p>
        </w:tc>
        <w:tc>
          <w:tcPr>
            <w:tcW w:w="0" w:type="auto"/>
            <w:noWrap w:val="0"/>
            <w:vAlign w:val="center"/>
          </w:tcPr>
          <w:p w14:paraId="7AB76A22">
            <w:pPr>
              <w:jc w:val="center"/>
              <w:rPr>
                <w:color w:val="000000"/>
                <w:szCs w:val="21"/>
              </w:rPr>
            </w:pPr>
            <w:r>
              <w:rPr>
                <w:color w:val="000000"/>
                <w:szCs w:val="21"/>
              </w:rPr>
              <w:t>40</w:t>
            </w:r>
          </w:p>
        </w:tc>
        <w:tc>
          <w:tcPr>
            <w:tcW w:w="0" w:type="auto"/>
            <w:noWrap w:val="0"/>
            <w:vAlign w:val="center"/>
          </w:tcPr>
          <w:p w14:paraId="670A206F">
            <w:pPr>
              <w:jc w:val="center"/>
              <w:rPr>
                <w:color w:val="000000"/>
                <w:szCs w:val="21"/>
              </w:rPr>
            </w:pPr>
            <w:r>
              <w:rPr>
                <w:color w:val="000000"/>
                <w:szCs w:val="21"/>
              </w:rPr>
              <w:t>150</w:t>
            </w:r>
          </w:p>
        </w:tc>
      </w:tr>
      <w:tr w14:paraId="55FF8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1F4F387D">
            <w:pPr>
              <w:jc w:val="center"/>
              <w:rPr>
                <w:color w:val="000000"/>
                <w:szCs w:val="21"/>
              </w:rPr>
            </w:pPr>
            <w:r>
              <w:rPr>
                <w:color w:val="000000"/>
                <w:szCs w:val="21"/>
              </w:rPr>
              <w:t>14</w:t>
            </w:r>
          </w:p>
        </w:tc>
        <w:tc>
          <w:tcPr>
            <w:tcW w:w="0" w:type="auto"/>
            <w:noWrap w:val="0"/>
            <w:vAlign w:val="center"/>
          </w:tcPr>
          <w:p w14:paraId="600A1354">
            <w:pPr>
              <w:jc w:val="center"/>
              <w:rPr>
                <w:rFonts w:ascii="楷体_GB2312" w:eastAsia="楷体_GB2312"/>
                <w:color w:val="000000"/>
                <w:szCs w:val="21"/>
              </w:rPr>
            </w:pPr>
            <w:r>
              <w:rPr>
                <w:rFonts w:hint="eastAsia" w:ascii="楷体_GB2312" w:eastAsia="楷体_GB2312"/>
                <w:color w:val="000000"/>
                <w:szCs w:val="21"/>
              </w:rPr>
              <w:t>健康路</w:t>
            </w:r>
          </w:p>
        </w:tc>
        <w:tc>
          <w:tcPr>
            <w:tcW w:w="0" w:type="auto"/>
            <w:noWrap w:val="0"/>
            <w:vAlign w:val="center"/>
          </w:tcPr>
          <w:p w14:paraId="0982068A">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611678D9">
            <w:pPr>
              <w:jc w:val="center"/>
              <w:rPr>
                <w:color w:val="000000"/>
                <w:szCs w:val="21"/>
              </w:rPr>
            </w:pPr>
            <w:r>
              <w:rPr>
                <w:color w:val="000000"/>
                <w:szCs w:val="21"/>
              </w:rPr>
              <w:t>0.4</w:t>
            </w:r>
          </w:p>
        </w:tc>
        <w:tc>
          <w:tcPr>
            <w:tcW w:w="0" w:type="auto"/>
            <w:noWrap w:val="0"/>
            <w:vAlign w:val="center"/>
          </w:tcPr>
          <w:p w14:paraId="6154CD81">
            <w:pPr>
              <w:jc w:val="center"/>
              <w:rPr>
                <w:color w:val="000000"/>
                <w:szCs w:val="21"/>
              </w:rPr>
            </w:pPr>
            <w:r>
              <w:rPr>
                <w:color w:val="000000"/>
                <w:szCs w:val="21"/>
              </w:rPr>
              <w:t>3</w:t>
            </w:r>
          </w:p>
        </w:tc>
        <w:tc>
          <w:tcPr>
            <w:tcW w:w="0" w:type="auto"/>
            <w:noWrap w:val="0"/>
            <w:vAlign w:val="center"/>
          </w:tcPr>
          <w:p w14:paraId="19E79208">
            <w:pPr>
              <w:jc w:val="center"/>
              <w:rPr>
                <w:color w:val="000000"/>
                <w:szCs w:val="21"/>
              </w:rPr>
            </w:pPr>
            <w:r>
              <w:rPr>
                <w:color w:val="000000"/>
                <w:szCs w:val="21"/>
              </w:rPr>
              <w:t>40</w:t>
            </w:r>
          </w:p>
        </w:tc>
        <w:tc>
          <w:tcPr>
            <w:tcW w:w="0" w:type="auto"/>
            <w:noWrap w:val="0"/>
            <w:vAlign w:val="center"/>
          </w:tcPr>
          <w:p w14:paraId="746CB282">
            <w:pPr>
              <w:jc w:val="center"/>
              <w:rPr>
                <w:color w:val="000000"/>
                <w:szCs w:val="21"/>
              </w:rPr>
            </w:pPr>
            <w:r>
              <w:rPr>
                <w:color w:val="000000"/>
                <w:szCs w:val="21"/>
              </w:rPr>
              <w:t>150</w:t>
            </w:r>
          </w:p>
        </w:tc>
      </w:tr>
      <w:tr w14:paraId="3EEEF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D2504BE">
            <w:pPr>
              <w:jc w:val="center"/>
              <w:rPr>
                <w:color w:val="000000"/>
                <w:szCs w:val="21"/>
              </w:rPr>
            </w:pPr>
            <w:r>
              <w:rPr>
                <w:color w:val="000000"/>
                <w:szCs w:val="21"/>
              </w:rPr>
              <w:t>15</w:t>
            </w:r>
          </w:p>
        </w:tc>
        <w:tc>
          <w:tcPr>
            <w:tcW w:w="0" w:type="auto"/>
            <w:noWrap w:val="0"/>
            <w:vAlign w:val="center"/>
          </w:tcPr>
          <w:p w14:paraId="73B0FBA1">
            <w:pPr>
              <w:jc w:val="center"/>
              <w:rPr>
                <w:rFonts w:ascii="楷体_GB2312" w:eastAsia="楷体_GB2312"/>
                <w:color w:val="000000"/>
                <w:szCs w:val="21"/>
              </w:rPr>
            </w:pPr>
            <w:r>
              <w:rPr>
                <w:rFonts w:hint="eastAsia" w:ascii="楷体_GB2312" w:eastAsia="楷体_GB2312"/>
                <w:color w:val="000000"/>
                <w:szCs w:val="21"/>
              </w:rPr>
              <w:t>桃园路</w:t>
            </w:r>
          </w:p>
        </w:tc>
        <w:tc>
          <w:tcPr>
            <w:tcW w:w="0" w:type="auto"/>
            <w:noWrap w:val="0"/>
            <w:vAlign w:val="center"/>
          </w:tcPr>
          <w:p w14:paraId="1AA05134">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60369BBE">
            <w:pPr>
              <w:jc w:val="center"/>
              <w:rPr>
                <w:color w:val="000000"/>
                <w:szCs w:val="21"/>
              </w:rPr>
            </w:pPr>
            <w:r>
              <w:rPr>
                <w:color w:val="000000"/>
                <w:szCs w:val="21"/>
              </w:rPr>
              <w:t>0.4</w:t>
            </w:r>
          </w:p>
        </w:tc>
        <w:tc>
          <w:tcPr>
            <w:tcW w:w="0" w:type="auto"/>
            <w:noWrap w:val="0"/>
            <w:vAlign w:val="center"/>
          </w:tcPr>
          <w:p w14:paraId="08B220EE">
            <w:pPr>
              <w:jc w:val="center"/>
              <w:rPr>
                <w:color w:val="000000"/>
                <w:szCs w:val="21"/>
              </w:rPr>
            </w:pPr>
            <w:r>
              <w:rPr>
                <w:color w:val="000000"/>
                <w:szCs w:val="21"/>
              </w:rPr>
              <w:t>3</w:t>
            </w:r>
          </w:p>
        </w:tc>
        <w:tc>
          <w:tcPr>
            <w:tcW w:w="0" w:type="auto"/>
            <w:noWrap w:val="0"/>
            <w:vAlign w:val="center"/>
          </w:tcPr>
          <w:p w14:paraId="13469F16">
            <w:pPr>
              <w:jc w:val="center"/>
              <w:rPr>
                <w:color w:val="000000"/>
                <w:szCs w:val="21"/>
              </w:rPr>
            </w:pPr>
            <w:r>
              <w:rPr>
                <w:color w:val="000000"/>
                <w:szCs w:val="21"/>
              </w:rPr>
              <w:t>40</w:t>
            </w:r>
          </w:p>
        </w:tc>
        <w:tc>
          <w:tcPr>
            <w:tcW w:w="0" w:type="auto"/>
            <w:noWrap w:val="0"/>
            <w:vAlign w:val="center"/>
          </w:tcPr>
          <w:p w14:paraId="02EF926C">
            <w:pPr>
              <w:jc w:val="center"/>
              <w:rPr>
                <w:color w:val="000000"/>
                <w:szCs w:val="21"/>
              </w:rPr>
            </w:pPr>
            <w:r>
              <w:rPr>
                <w:color w:val="000000"/>
                <w:szCs w:val="21"/>
              </w:rPr>
              <w:t>150</w:t>
            </w:r>
          </w:p>
        </w:tc>
      </w:tr>
      <w:tr w14:paraId="5F651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0C6080D6">
            <w:pPr>
              <w:jc w:val="center"/>
              <w:rPr>
                <w:color w:val="000000"/>
                <w:szCs w:val="21"/>
              </w:rPr>
            </w:pPr>
            <w:r>
              <w:rPr>
                <w:color w:val="000000"/>
                <w:szCs w:val="21"/>
              </w:rPr>
              <w:t>16</w:t>
            </w:r>
          </w:p>
        </w:tc>
        <w:tc>
          <w:tcPr>
            <w:tcW w:w="0" w:type="auto"/>
            <w:noWrap w:val="0"/>
            <w:vAlign w:val="center"/>
          </w:tcPr>
          <w:p w14:paraId="705E5880">
            <w:pPr>
              <w:jc w:val="center"/>
              <w:rPr>
                <w:rFonts w:ascii="楷体_GB2312" w:eastAsia="楷体_GB2312"/>
                <w:color w:val="000000"/>
                <w:szCs w:val="21"/>
              </w:rPr>
            </w:pPr>
            <w:r>
              <w:rPr>
                <w:rFonts w:hint="eastAsia" w:ascii="楷体_GB2312" w:eastAsia="楷体_GB2312"/>
                <w:color w:val="000000"/>
                <w:szCs w:val="21"/>
              </w:rPr>
              <w:t>学苑路</w:t>
            </w:r>
          </w:p>
        </w:tc>
        <w:tc>
          <w:tcPr>
            <w:tcW w:w="0" w:type="auto"/>
            <w:noWrap w:val="0"/>
            <w:vAlign w:val="center"/>
          </w:tcPr>
          <w:p w14:paraId="16B8D09C">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57B7F537">
            <w:pPr>
              <w:jc w:val="center"/>
              <w:rPr>
                <w:color w:val="000000"/>
                <w:szCs w:val="21"/>
              </w:rPr>
            </w:pPr>
            <w:r>
              <w:rPr>
                <w:color w:val="000000"/>
                <w:szCs w:val="21"/>
              </w:rPr>
              <w:t>0.4</w:t>
            </w:r>
          </w:p>
        </w:tc>
        <w:tc>
          <w:tcPr>
            <w:tcW w:w="0" w:type="auto"/>
            <w:noWrap w:val="0"/>
            <w:vAlign w:val="center"/>
          </w:tcPr>
          <w:p w14:paraId="4EF0BB6F">
            <w:pPr>
              <w:jc w:val="center"/>
              <w:rPr>
                <w:color w:val="000000"/>
                <w:szCs w:val="21"/>
              </w:rPr>
            </w:pPr>
            <w:r>
              <w:rPr>
                <w:color w:val="000000"/>
                <w:szCs w:val="21"/>
              </w:rPr>
              <w:t>3</w:t>
            </w:r>
          </w:p>
        </w:tc>
        <w:tc>
          <w:tcPr>
            <w:tcW w:w="0" w:type="auto"/>
            <w:noWrap w:val="0"/>
            <w:vAlign w:val="center"/>
          </w:tcPr>
          <w:p w14:paraId="2303B617">
            <w:pPr>
              <w:jc w:val="center"/>
              <w:rPr>
                <w:color w:val="000000"/>
                <w:szCs w:val="21"/>
              </w:rPr>
            </w:pPr>
            <w:r>
              <w:rPr>
                <w:color w:val="000000"/>
                <w:szCs w:val="21"/>
              </w:rPr>
              <w:t>40</w:t>
            </w:r>
          </w:p>
        </w:tc>
        <w:tc>
          <w:tcPr>
            <w:tcW w:w="0" w:type="auto"/>
            <w:noWrap w:val="0"/>
            <w:vAlign w:val="center"/>
          </w:tcPr>
          <w:p w14:paraId="4598D288">
            <w:pPr>
              <w:jc w:val="center"/>
              <w:rPr>
                <w:color w:val="000000"/>
                <w:szCs w:val="21"/>
              </w:rPr>
            </w:pPr>
            <w:r>
              <w:rPr>
                <w:color w:val="000000"/>
                <w:szCs w:val="21"/>
              </w:rPr>
              <w:t>150</w:t>
            </w:r>
          </w:p>
        </w:tc>
      </w:tr>
      <w:tr w14:paraId="705C9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3024AA46">
            <w:pPr>
              <w:jc w:val="center"/>
              <w:rPr>
                <w:color w:val="000000"/>
                <w:szCs w:val="21"/>
              </w:rPr>
            </w:pPr>
            <w:r>
              <w:rPr>
                <w:color w:val="000000"/>
                <w:szCs w:val="21"/>
              </w:rPr>
              <w:t>17</w:t>
            </w:r>
          </w:p>
        </w:tc>
        <w:tc>
          <w:tcPr>
            <w:tcW w:w="0" w:type="auto"/>
            <w:noWrap w:val="0"/>
            <w:vAlign w:val="center"/>
          </w:tcPr>
          <w:p w14:paraId="2BC6054E">
            <w:pPr>
              <w:jc w:val="center"/>
              <w:rPr>
                <w:rFonts w:ascii="楷体_GB2312" w:eastAsia="楷体_GB2312"/>
                <w:color w:val="000000"/>
                <w:szCs w:val="21"/>
              </w:rPr>
            </w:pPr>
            <w:r>
              <w:rPr>
                <w:rFonts w:hint="eastAsia" w:ascii="楷体_GB2312" w:eastAsia="楷体_GB2312"/>
                <w:color w:val="000000"/>
                <w:szCs w:val="21"/>
              </w:rPr>
              <w:t>政府路</w:t>
            </w:r>
          </w:p>
        </w:tc>
        <w:tc>
          <w:tcPr>
            <w:tcW w:w="0" w:type="auto"/>
            <w:noWrap w:val="0"/>
            <w:vAlign w:val="center"/>
          </w:tcPr>
          <w:p w14:paraId="68AB0F39">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61187960">
            <w:pPr>
              <w:jc w:val="center"/>
              <w:rPr>
                <w:color w:val="000000"/>
                <w:szCs w:val="21"/>
              </w:rPr>
            </w:pPr>
            <w:r>
              <w:rPr>
                <w:color w:val="000000"/>
                <w:szCs w:val="21"/>
              </w:rPr>
              <w:t>0.4</w:t>
            </w:r>
          </w:p>
        </w:tc>
        <w:tc>
          <w:tcPr>
            <w:tcW w:w="0" w:type="auto"/>
            <w:noWrap w:val="0"/>
            <w:vAlign w:val="center"/>
          </w:tcPr>
          <w:p w14:paraId="23B945ED">
            <w:pPr>
              <w:jc w:val="center"/>
              <w:rPr>
                <w:color w:val="000000"/>
                <w:szCs w:val="21"/>
              </w:rPr>
            </w:pPr>
            <w:r>
              <w:rPr>
                <w:color w:val="000000"/>
                <w:szCs w:val="21"/>
              </w:rPr>
              <w:t>3</w:t>
            </w:r>
          </w:p>
        </w:tc>
        <w:tc>
          <w:tcPr>
            <w:tcW w:w="0" w:type="auto"/>
            <w:noWrap w:val="0"/>
            <w:vAlign w:val="center"/>
          </w:tcPr>
          <w:p w14:paraId="2BBDA441">
            <w:pPr>
              <w:jc w:val="center"/>
              <w:rPr>
                <w:color w:val="000000"/>
                <w:szCs w:val="21"/>
              </w:rPr>
            </w:pPr>
            <w:r>
              <w:rPr>
                <w:color w:val="000000"/>
                <w:szCs w:val="21"/>
              </w:rPr>
              <w:t>40</w:t>
            </w:r>
          </w:p>
        </w:tc>
        <w:tc>
          <w:tcPr>
            <w:tcW w:w="0" w:type="auto"/>
            <w:noWrap w:val="0"/>
            <w:vAlign w:val="center"/>
          </w:tcPr>
          <w:p w14:paraId="3C3C7270">
            <w:pPr>
              <w:jc w:val="center"/>
              <w:rPr>
                <w:color w:val="000000"/>
                <w:szCs w:val="21"/>
              </w:rPr>
            </w:pPr>
            <w:r>
              <w:rPr>
                <w:color w:val="000000"/>
                <w:szCs w:val="21"/>
              </w:rPr>
              <w:t>150</w:t>
            </w:r>
          </w:p>
        </w:tc>
      </w:tr>
      <w:tr w14:paraId="248B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3" w:type="dxa"/>
            <w:noWrap w:val="0"/>
            <w:vAlign w:val="center"/>
          </w:tcPr>
          <w:p w14:paraId="6B76DB95">
            <w:pPr>
              <w:jc w:val="center"/>
              <w:rPr>
                <w:color w:val="000000"/>
                <w:szCs w:val="21"/>
              </w:rPr>
            </w:pPr>
            <w:r>
              <w:rPr>
                <w:color w:val="000000"/>
                <w:szCs w:val="21"/>
              </w:rPr>
              <w:t>18</w:t>
            </w:r>
          </w:p>
        </w:tc>
        <w:tc>
          <w:tcPr>
            <w:tcW w:w="0" w:type="auto"/>
            <w:noWrap w:val="0"/>
            <w:vAlign w:val="center"/>
          </w:tcPr>
          <w:p w14:paraId="3DB9CC35">
            <w:pPr>
              <w:jc w:val="center"/>
              <w:rPr>
                <w:rFonts w:ascii="楷体_GB2312" w:eastAsia="楷体_GB2312"/>
                <w:color w:val="000000"/>
                <w:szCs w:val="21"/>
              </w:rPr>
            </w:pPr>
            <w:r>
              <w:rPr>
                <w:rFonts w:hint="eastAsia" w:ascii="楷体_GB2312" w:eastAsia="楷体_GB2312"/>
                <w:color w:val="000000"/>
                <w:szCs w:val="21"/>
              </w:rPr>
              <w:t>创新路</w:t>
            </w:r>
          </w:p>
        </w:tc>
        <w:tc>
          <w:tcPr>
            <w:tcW w:w="0" w:type="auto"/>
            <w:noWrap w:val="0"/>
            <w:vAlign w:val="center"/>
          </w:tcPr>
          <w:p w14:paraId="228DFD92">
            <w:pPr>
              <w:jc w:val="center"/>
              <w:rPr>
                <w:rFonts w:ascii="楷体_GB2312" w:hAnsi="宋体" w:eastAsia="楷体_GB2312" w:cs="宋体"/>
                <w:color w:val="000000"/>
                <w:szCs w:val="21"/>
              </w:rPr>
            </w:pPr>
            <w:r>
              <w:rPr>
                <w:rFonts w:hint="eastAsia" w:ascii="楷体_GB2312" w:eastAsia="楷体_GB2312"/>
                <w:color w:val="000000"/>
                <w:szCs w:val="21"/>
              </w:rPr>
              <w:t>支路</w:t>
            </w:r>
          </w:p>
        </w:tc>
        <w:tc>
          <w:tcPr>
            <w:tcW w:w="0" w:type="auto"/>
            <w:noWrap w:val="0"/>
            <w:vAlign w:val="center"/>
          </w:tcPr>
          <w:p w14:paraId="305DAD59">
            <w:pPr>
              <w:jc w:val="center"/>
              <w:rPr>
                <w:color w:val="000000"/>
                <w:szCs w:val="21"/>
              </w:rPr>
            </w:pPr>
            <w:r>
              <w:rPr>
                <w:color w:val="000000"/>
                <w:szCs w:val="21"/>
              </w:rPr>
              <w:t>0.4</w:t>
            </w:r>
          </w:p>
        </w:tc>
        <w:tc>
          <w:tcPr>
            <w:tcW w:w="0" w:type="auto"/>
            <w:noWrap w:val="0"/>
            <w:vAlign w:val="center"/>
          </w:tcPr>
          <w:p w14:paraId="483A022A">
            <w:pPr>
              <w:jc w:val="center"/>
              <w:rPr>
                <w:color w:val="000000"/>
                <w:szCs w:val="21"/>
              </w:rPr>
            </w:pPr>
            <w:r>
              <w:rPr>
                <w:color w:val="000000"/>
                <w:szCs w:val="21"/>
              </w:rPr>
              <w:t>3</w:t>
            </w:r>
          </w:p>
        </w:tc>
        <w:tc>
          <w:tcPr>
            <w:tcW w:w="0" w:type="auto"/>
            <w:noWrap w:val="0"/>
            <w:vAlign w:val="center"/>
          </w:tcPr>
          <w:p w14:paraId="66A30418">
            <w:pPr>
              <w:jc w:val="center"/>
              <w:rPr>
                <w:color w:val="000000"/>
                <w:szCs w:val="21"/>
              </w:rPr>
            </w:pPr>
            <w:r>
              <w:rPr>
                <w:color w:val="000000"/>
                <w:szCs w:val="21"/>
              </w:rPr>
              <w:t>40</w:t>
            </w:r>
          </w:p>
        </w:tc>
        <w:tc>
          <w:tcPr>
            <w:tcW w:w="0" w:type="auto"/>
            <w:noWrap w:val="0"/>
            <w:vAlign w:val="center"/>
          </w:tcPr>
          <w:p w14:paraId="00141FA3">
            <w:pPr>
              <w:jc w:val="center"/>
              <w:rPr>
                <w:color w:val="000000"/>
                <w:szCs w:val="21"/>
              </w:rPr>
            </w:pPr>
            <w:r>
              <w:rPr>
                <w:color w:val="000000"/>
                <w:szCs w:val="21"/>
              </w:rPr>
              <w:t>150</w:t>
            </w:r>
          </w:p>
        </w:tc>
      </w:tr>
    </w:tbl>
    <w:p w14:paraId="2988942B">
      <w:pPr>
        <w:jc w:val="center"/>
        <w:rPr>
          <w:rFonts w:eastAsia="黑体"/>
          <w:sz w:val="28"/>
        </w:rPr>
      </w:pPr>
    </w:p>
    <w:p w14:paraId="34E6CFF4">
      <w:pPr>
        <w:pStyle w:val="4"/>
        <w:numPr>
          <w:ilvl w:val="0"/>
          <w:numId w:val="0"/>
        </w:numPr>
        <w:spacing w:after="0" w:line="380" w:lineRule="exact"/>
        <w:jc w:val="center"/>
        <w:rPr>
          <w:rFonts w:eastAsia="仿宋_GB2312"/>
          <w:bCs w:val="0"/>
        </w:rPr>
      </w:pPr>
      <w:bookmarkStart w:id="35" w:name="_Toc62563656"/>
      <w:r>
        <w:rPr>
          <w:rFonts w:eastAsia="仿宋_GB2312"/>
          <w:bCs w:val="0"/>
        </w:rPr>
        <w:t>第三节  对外交通便利度定量处理</w:t>
      </w:r>
      <w:bookmarkEnd w:id="35"/>
    </w:p>
    <w:p w14:paraId="560342A0">
      <w:pPr>
        <w:pStyle w:val="20"/>
        <w:spacing w:line="480" w:lineRule="exact"/>
        <w:rPr>
          <w:rFonts w:ascii="Times New Roman" w:hAnsi="Times New Roman" w:cs="Times New Roman"/>
          <w:b/>
          <w:sz w:val="28"/>
        </w:rPr>
      </w:pPr>
      <w:r>
        <w:rPr>
          <w:rFonts w:ascii="Times New Roman" w:hAnsi="Times New Roman" w:cs="Times New Roman"/>
          <w:b/>
          <w:sz w:val="28"/>
        </w:rPr>
        <w:t>一、对外交通设施现状分析</w:t>
      </w:r>
    </w:p>
    <w:p w14:paraId="44091AC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对外交通是城镇对外联系的主要方式之一。从宏观上讲，城镇对外交通影响城镇在区域中的经济区位；从微观上讲，距离各类对外交通设施的远近，影响人流、货流和运输成本，从而直接影响土地的经济效益。同时，对外交通设施点派生出来的大量人流和货流的集聚也导致商服繁华程度的提高，从而间接地影响土地级别。</w:t>
      </w:r>
    </w:p>
    <w:p w14:paraId="25655AC4">
      <w:pPr>
        <w:pStyle w:val="20"/>
        <w:spacing w:line="480" w:lineRule="exact"/>
        <w:ind w:firstLine="560" w:firstLineChars="200"/>
        <w:rPr>
          <w:rFonts w:ascii="Times New Roman" w:hAnsi="Times New Roman" w:eastAsia="楷体_GB2312" w:cs="Times New Roman"/>
          <w:sz w:val="28"/>
        </w:rPr>
      </w:pPr>
      <w:r>
        <w:rPr>
          <w:rFonts w:hint="eastAsia" w:ascii="楷体" w:hAnsi="楷体" w:eastAsia="楷体" w:cs="楷体_GB2312"/>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各乡镇镇区大多无固定的汽车站，部分乡镇的汽车站尚在规划之中，大多车辆采用招手即停、边走边载的方式进行运营。本次根据各乡镇的实际情况，对有汽车站的乡镇将该站作为该镇对外交通设施，对于无汽车站的乡镇将车辆集中停靠等客点作为该镇对外交通设施。</w:t>
      </w:r>
    </w:p>
    <w:p w14:paraId="0583718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在本次定级的乡镇中，</w:t>
      </w:r>
      <w:r>
        <w:rPr>
          <w:rFonts w:hint="eastAsia" w:ascii="Times New Roman" w:hAnsi="Times New Roman" w:eastAsia="楷体_GB2312" w:cs="Times New Roman"/>
          <w:sz w:val="28"/>
        </w:rPr>
        <w:t>符离镇、大泽乡镇、曹村镇有货运火车站，</w:t>
      </w:r>
      <w:r>
        <w:rPr>
          <w:rFonts w:ascii="Times New Roman" w:hAnsi="Times New Roman" w:eastAsia="楷体_GB2312" w:cs="Times New Roman"/>
          <w:sz w:val="28"/>
        </w:rPr>
        <w:t>对外设施为汽车站</w:t>
      </w:r>
      <w:r>
        <w:rPr>
          <w:rFonts w:hint="eastAsia" w:ascii="Times New Roman" w:hAnsi="Times New Roman" w:eastAsia="楷体_GB2312" w:cs="Times New Roman"/>
          <w:sz w:val="28"/>
        </w:rPr>
        <w:t>、火车站。其他</w:t>
      </w:r>
      <w:r>
        <w:rPr>
          <w:rFonts w:ascii="Times New Roman" w:hAnsi="Times New Roman" w:eastAsia="楷体_GB2312" w:cs="Times New Roman"/>
          <w:sz w:val="28"/>
        </w:rPr>
        <w:t>各乡镇对外设施均为汽车站，其调查情况见表1-3-</w:t>
      </w:r>
      <w:r>
        <w:rPr>
          <w:rFonts w:hint="eastAsia" w:ascii="Times New Roman" w:hAnsi="Times New Roman" w:eastAsia="楷体_GB2312" w:cs="Times New Roman"/>
          <w:sz w:val="28"/>
        </w:rPr>
        <w:t>28</w:t>
      </w:r>
      <w:r>
        <w:rPr>
          <w:rFonts w:ascii="Times New Roman" w:hAnsi="Times New Roman" w:eastAsia="楷体_GB2312" w:cs="Times New Roman"/>
          <w:sz w:val="28"/>
        </w:rPr>
        <w:t>。</w:t>
      </w:r>
    </w:p>
    <w:p w14:paraId="1DED046C">
      <w:pPr>
        <w:pStyle w:val="20"/>
        <w:spacing w:line="480" w:lineRule="exact"/>
        <w:jc w:val="center"/>
        <w:rPr>
          <w:rFonts w:ascii="Times New Roman" w:hAnsi="Times New Roman" w:eastAsia="黑体" w:cs="Times New Roman"/>
          <w:sz w:val="28"/>
        </w:rPr>
      </w:pPr>
      <w:r>
        <w:rPr>
          <w:rFonts w:ascii="Times New Roman" w:hAnsi="Times New Roman" w:eastAsia="黑体" w:cs="Times New Roman"/>
          <w:sz w:val="28"/>
        </w:rPr>
        <w:t>表1-3-</w:t>
      </w:r>
      <w:r>
        <w:rPr>
          <w:rFonts w:hint="eastAsia" w:ascii="Times New Roman" w:hAnsi="Times New Roman" w:eastAsia="黑体" w:cs="Times New Roman"/>
          <w:sz w:val="28"/>
        </w:rPr>
        <w:t>28</w:t>
      </w:r>
      <w:r>
        <w:rPr>
          <w:rFonts w:ascii="Times New Roman" w:hAnsi="Times New Roman" w:eastAsia="黑体" w:cs="Times New Roman"/>
          <w:sz w:val="28"/>
        </w:rPr>
        <w:t xml:space="preserve"> 埇桥区各乡镇</w:t>
      </w:r>
      <w:r>
        <w:rPr>
          <w:rFonts w:hint="eastAsia" w:ascii="Times New Roman" w:hAnsi="Times New Roman" w:eastAsia="黑体" w:cs="Times New Roman"/>
          <w:sz w:val="28"/>
        </w:rPr>
        <w:t>汽车站</w:t>
      </w:r>
      <w:r>
        <w:rPr>
          <w:rFonts w:ascii="Times New Roman" w:hAnsi="Times New Roman" w:eastAsia="黑体" w:cs="Times New Roman"/>
          <w:sz w:val="28"/>
        </w:rPr>
        <w:t>调查表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1520"/>
        <w:gridCol w:w="1393"/>
        <w:gridCol w:w="2718"/>
        <w:gridCol w:w="2091"/>
      </w:tblGrid>
      <w:tr w14:paraId="4A920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81" w:type="dxa"/>
            <w:noWrap w:val="0"/>
            <w:vAlign w:val="center"/>
          </w:tcPr>
          <w:p w14:paraId="73561B47">
            <w:pPr>
              <w:pStyle w:val="100"/>
              <w:widowControl w:val="0"/>
              <w:pBdr>
                <w:left w:val="none" w:color="auto" w:sz="0" w:space="0"/>
                <w:bottom w:val="none" w:color="auto" w:sz="0" w:space="0"/>
                <w:right w:val="none" w:color="auto" w:sz="0" w:space="0"/>
              </w:pBdr>
              <w:spacing w:before="0" w:beforeAutospacing="0" w:after="0" w:afterAutospacing="0" w:line="0" w:lineRule="atLeast"/>
              <w:jc w:val="center"/>
              <w:textAlignment w:val="auto"/>
              <w:rPr>
                <w:rFonts w:eastAsia="楷体_GB2312"/>
                <w:kern w:val="2"/>
              </w:rPr>
            </w:pPr>
            <w:r>
              <w:rPr>
                <w:rFonts w:eastAsia="楷体_GB2312"/>
                <w:kern w:val="2"/>
              </w:rPr>
              <w:t>城镇编号</w:t>
            </w:r>
          </w:p>
        </w:tc>
        <w:tc>
          <w:tcPr>
            <w:tcW w:w="1520" w:type="dxa"/>
            <w:noWrap w:val="0"/>
            <w:vAlign w:val="center"/>
          </w:tcPr>
          <w:p w14:paraId="03D6A13C">
            <w:pPr>
              <w:spacing w:line="0" w:lineRule="atLeast"/>
              <w:jc w:val="center"/>
              <w:rPr>
                <w:rFonts w:eastAsia="楷体_GB2312"/>
                <w:szCs w:val="21"/>
              </w:rPr>
            </w:pPr>
            <w:r>
              <w:rPr>
                <w:rFonts w:eastAsia="楷体_GB2312"/>
                <w:szCs w:val="21"/>
              </w:rPr>
              <w:t>乡镇名称</w:t>
            </w:r>
          </w:p>
        </w:tc>
        <w:tc>
          <w:tcPr>
            <w:tcW w:w="1393" w:type="dxa"/>
            <w:noWrap w:val="0"/>
            <w:vAlign w:val="center"/>
          </w:tcPr>
          <w:p w14:paraId="44F5E981">
            <w:pPr>
              <w:spacing w:line="0" w:lineRule="atLeast"/>
              <w:jc w:val="center"/>
              <w:rPr>
                <w:rFonts w:eastAsia="楷体_GB2312"/>
              </w:rPr>
            </w:pPr>
            <w:r>
              <w:rPr>
                <w:rFonts w:eastAsia="楷体_GB2312"/>
              </w:rPr>
              <w:t>汽车站编号</w:t>
            </w:r>
          </w:p>
        </w:tc>
        <w:tc>
          <w:tcPr>
            <w:tcW w:w="2718" w:type="dxa"/>
            <w:noWrap w:val="0"/>
            <w:vAlign w:val="center"/>
          </w:tcPr>
          <w:p w14:paraId="4D3ABAA4">
            <w:pPr>
              <w:pStyle w:val="94"/>
              <w:spacing w:line="0" w:lineRule="atLeast"/>
              <w:jc w:val="center"/>
              <w:rPr>
                <w:rFonts w:eastAsia="楷体_GB2312"/>
              </w:rPr>
            </w:pPr>
            <w:r>
              <w:rPr>
                <w:rFonts w:eastAsia="楷体_GB2312"/>
              </w:rPr>
              <w:t>汽车站名称</w:t>
            </w:r>
          </w:p>
        </w:tc>
        <w:tc>
          <w:tcPr>
            <w:tcW w:w="2091" w:type="dxa"/>
            <w:noWrap w:val="0"/>
            <w:vAlign w:val="center"/>
          </w:tcPr>
          <w:p w14:paraId="2AB4CF99">
            <w:pPr>
              <w:pStyle w:val="150"/>
              <w:rPr>
                <w:rFonts w:eastAsia="楷体_GB2312"/>
              </w:rPr>
            </w:pPr>
            <w:r>
              <w:rPr>
                <w:rFonts w:eastAsia="楷体_GB2312"/>
              </w:rPr>
              <w:t>客运量（万人次/年）</w:t>
            </w:r>
          </w:p>
        </w:tc>
      </w:tr>
      <w:tr w14:paraId="1E42F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281" w:type="dxa"/>
            <w:noWrap w:val="0"/>
            <w:vAlign w:val="center"/>
          </w:tcPr>
          <w:p w14:paraId="7C9EEDEA">
            <w:pPr>
              <w:tabs>
                <w:tab w:val="left" w:pos="0"/>
                <w:tab w:val="left" w:pos="295"/>
              </w:tabs>
              <w:jc w:val="center"/>
              <w:rPr>
                <w:rFonts w:eastAsia="楷体_GB2312"/>
                <w:szCs w:val="21"/>
              </w:rPr>
            </w:pPr>
            <w:r>
              <w:rPr>
                <w:rFonts w:eastAsia="楷体_GB2312"/>
                <w:szCs w:val="21"/>
              </w:rPr>
              <w:t>1</w:t>
            </w:r>
          </w:p>
        </w:tc>
        <w:tc>
          <w:tcPr>
            <w:tcW w:w="1520" w:type="dxa"/>
            <w:noWrap w:val="0"/>
            <w:vAlign w:val="center"/>
          </w:tcPr>
          <w:p w14:paraId="43184C25">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符离镇</w:t>
            </w:r>
          </w:p>
        </w:tc>
        <w:tc>
          <w:tcPr>
            <w:tcW w:w="1393" w:type="dxa"/>
            <w:noWrap w:val="0"/>
            <w:vAlign w:val="center"/>
          </w:tcPr>
          <w:p w14:paraId="226CFD4C">
            <w:pPr>
              <w:spacing w:line="0" w:lineRule="atLeast"/>
              <w:jc w:val="center"/>
              <w:rPr>
                <w:rFonts w:eastAsia="楷体_GB2312"/>
              </w:rPr>
            </w:pPr>
            <w:r>
              <w:rPr>
                <w:rFonts w:eastAsia="楷体_GB2312"/>
              </w:rPr>
              <w:t>01</w:t>
            </w:r>
          </w:p>
        </w:tc>
        <w:tc>
          <w:tcPr>
            <w:tcW w:w="2718" w:type="dxa"/>
            <w:noWrap w:val="0"/>
            <w:vAlign w:val="center"/>
          </w:tcPr>
          <w:p w14:paraId="52E6CE25">
            <w:pPr>
              <w:jc w:val="center"/>
              <w:rPr>
                <w:rFonts w:eastAsia="楷体_GB2312"/>
                <w:szCs w:val="21"/>
              </w:rPr>
            </w:pPr>
            <w:r>
              <w:rPr>
                <w:rFonts w:eastAsia="楷体_GB2312"/>
              </w:rPr>
              <w:t>符离</w:t>
            </w:r>
            <w:r>
              <w:rPr>
                <w:rFonts w:eastAsia="楷体_GB2312"/>
                <w:szCs w:val="21"/>
              </w:rPr>
              <w:t>汽车站</w:t>
            </w:r>
          </w:p>
        </w:tc>
        <w:tc>
          <w:tcPr>
            <w:tcW w:w="2091" w:type="dxa"/>
            <w:noWrap w:val="0"/>
            <w:vAlign w:val="center"/>
          </w:tcPr>
          <w:p w14:paraId="677AAFAB">
            <w:pPr>
              <w:jc w:val="center"/>
              <w:rPr>
                <w:szCs w:val="21"/>
              </w:rPr>
            </w:pPr>
            <w:r>
              <w:rPr>
                <w:rFonts w:hint="eastAsia"/>
                <w:szCs w:val="21"/>
              </w:rPr>
              <w:t>10.5</w:t>
            </w:r>
          </w:p>
        </w:tc>
      </w:tr>
      <w:tr w14:paraId="5CAD3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281" w:type="dxa"/>
            <w:noWrap w:val="0"/>
            <w:vAlign w:val="center"/>
          </w:tcPr>
          <w:p w14:paraId="02C0620D">
            <w:pPr>
              <w:tabs>
                <w:tab w:val="left" w:pos="0"/>
                <w:tab w:val="left" w:pos="295"/>
              </w:tabs>
              <w:jc w:val="center"/>
              <w:rPr>
                <w:rFonts w:eastAsia="楷体_GB2312"/>
                <w:szCs w:val="21"/>
              </w:rPr>
            </w:pPr>
            <w:r>
              <w:rPr>
                <w:rFonts w:eastAsia="楷体_GB2312"/>
                <w:szCs w:val="21"/>
              </w:rPr>
              <w:t>2</w:t>
            </w:r>
          </w:p>
        </w:tc>
        <w:tc>
          <w:tcPr>
            <w:tcW w:w="1520" w:type="dxa"/>
            <w:noWrap w:val="0"/>
            <w:vAlign w:val="center"/>
          </w:tcPr>
          <w:p w14:paraId="5F485D4C">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朱仙庄镇</w:t>
            </w:r>
          </w:p>
        </w:tc>
        <w:tc>
          <w:tcPr>
            <w:tcW w:w="1393" w:type="dxa"/>
            <w:noWrap w:val="0"/>
            <w:vAlign w:val="center"/>
          </w:tcPr>
          <w:p w14:paraId="24C53282">
            <w:pPr>
              <w:spacing w:line="0" w:lineRule="atLeast"/>
              <w:jc w:val="center"/>
              <w:rPr>
                <w:rFonts w:eastAsia="楷体_GB2312"/>
              </w:rPr>
            </w:pPr>
            <w:r>
              <w:rPr>
                <w:rFonts w:eastAsia="楷体_GB2312"/>
              </w:rPr>
              <w:t>01</w:t>
            </w:r>
          </w:p>
        </w:tc>
        <w:tc>
          <w:tcPr>
            <w:tcW w:w="2718" w:type="dxa"/>
            <w:noWrap w:val="0"/>
            <w:vAlign w:val="center"/>
          </w:tcPr>
          <w:p w14:paraId="2CE7A2EE">
            <w:pPr>
              <w:jc w:val="center"/>
              <w:rPr>
                <w:rFonts w:eastAsia="楷体_GB2312"/>
                <w:szCs w:val="21"/>
              </w:rPr>
            </w:pPr>
            <w:r>
              <w:rPr>
                <w:rFonts w:eastAsia="楷体_GB2312"/>
              </w:rPr>
              <w:t>朱仙庄镇</w:t>
            </w:r>
            <w:r>
              <w:rPr>
                <w:rFonts w:eastAsia="楷体_GB2312"/>
                <w:szCs w:val="21"/>
              </w:rPr>
              <w:t>汽车停靠站</w:t>
            </w:r>
          </w:p>
        </w:tc>
        <w:tc>
          <w:tcPr>
            <w:tcW w:w="2091" w:type="dxa"/>
            <w:noWrap w:val="0"/>
            <w:vAlign w:val="center"/>
          </w:tcPr>
          <w:p w14:paraId="4242307D">
            <w:pPr>
              <w:jc w:val="center"/>
              <w:rPr>
                <w:szCs w:val="21"/>
              </w:rPr>
            </w:pPr>
            <w:r>
              <w:rPr>
                <w:rFonts w:hint="eastAsia"/>
                <w:szCs w:val="21"/>
              </w:rPr>
              <w:t>8.8</w:t>
            </w:r>
          </w:p>
        </w:tc>
      </w:tr>
      <w:tr w14:paraId="7703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281" w:type="dxa"/>
            <w:noWrap w:val="0"/>
            <w:vAlign w:val="center"/>
          </w:tcPr>
          <w:p w14:paraId="39891CB6">
            <w:pPr>
              <w:tabs>
                <w:tab w:val="left" w:pos="0"/>
                <w:tab w:val="left" w:pos="295"/>
              </w:tabs>
              <w:jc w:val="center"/>
              <w:rPr>
                <w:rFonts w:eastAsia="楷体_GB2312"/>
                <w:szCs w:val="21"/>
              </w:rPr>
            </w:pPr>
            <w:r>
              <w:rPr>
                <w:rFonts w:eastAsia="楷体_GB2312"/>
                <w:szCs w:val="21"/>
              </w:rPr>
              <w:t>3</w:t>
            </w:r>
          </w:p>
        </w:tc>
        <w:tc>
          <w:tcPr>
            <w:tcW w:w="1520" w:type="dxa"/>
            <w:noWrap w:val="0"/>
            <w:vAlign w:val="center"/>
          </w:tcPr>
          <w:p w14:paraId="747D30B8">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蕲县镇</w:t>
            </w:r>
          </w:p>
        </w:tc>
        <w:tc>
          <w:tcPr>
            <w:tcW w:w="1393" w:type="dxa"/>
            <w:noWrap w:val="0"/>
            <w:vAlign w:val="center"/>
          </w:tcPr>
          <w:p w14:paraId="6AF8ABC3">
            <w:pPr>
              <w:spacing w:line="0" w:lineRule="atLeast"/>
              <w:jc w:val="center"/>
              <w:rPr>
                <w:rFonts w:eastAsia="楷体_GB2312"/>
              </w:rPr>
            </w:pPr>
            <w:r>
              <w:rPr>
                <w:rFonts w:eastAsia="楷体_GB2312"/>
              </w:rPr>
              <w:t>01</w:t>
            </w:r>
          </w:p>
        </w:tc>
        <w:tc>
          <w:tcPr>
            <w:tcW w:w="2718" w:type="dxa"/>
            <w:noWrap w:val="0"/>
            <w:vAlign w:val="center"/>
          </w:tcPr>
          <w:p w14:paraId="2C549239">
            <w:pPr>
              <w:jc w:val="center"/>
              <w:rPr>
                <w:rFonts w:eastAsia="楷体_GB2312"/>
                <w:szCs w:val="21"/>
              </w:rPr>
            </w:pPr>
            <w:r>
              <w:rPr>
                <w:rFonts w:eastAsia="楷体_GB2312"/>
              </w:rPr>
              <w:t>蕲县镇</w:t>
            </w:r>
            <w:r>
              <w:rPr>
                <w:rFonts w:hint="eastAsia" w:eastAsia="楷体_GB2312"/>
              </w:rPr>
              <w:t>客运站</w:t>
            </w:r>
          </w:p>
        </w:tc>
        <w:tc>
          <w:tcPr>
            <w:tcW w:w="2091" w:type="dxa"/>
            <w:noWrap w:val="0"/>
            <w:vAlign w:val="center"/>
          </w:tcPr>
          <w:p w14:paraId="042AC9B1">
            <w:pPr>
              <w:jc w:val="center"/>
              <w:rPr>
                <w:szCs w:val="21"/>
              </w:rPr>
            </w:pPr>
            <w:r>
              <w:rPr>
                <w:rFonts w:hint="eastAsia"/>
                <w:szCs w:val="21"/>
              </w:rPr>
              <w:t>9.4</w:t>
            </w:r>
          </w:p>
        </w:tc>
      </w:tr>
      <w:tr w14:paraId="7A490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281" w:type="dxa"/>
            <w:noWrap w:val="0"/>
            <w:vAlign w:val="center"/>
          </w:tcPr>
          <w:p w14:paraId="0D07AFF1">
            <w:pPr>
              <w:tabs>
                <w:tab w:val="left" w:pos="0"/>
                <w:tab w:val="left" w:pos="295"/>
              </w:tabs>
              <w:jc w:val="center"/>
              <w:rPr>
                <w:rFonts w:eastAsia="楷体_GB2312"/>
                <w:szCs w:val="21"/>
              </w:rPr>
            </w:pPr>
            <w:r>
              <w:rPr>
                <w:rFonts w:eastAsia="楷体_GB2312"/>
                <w:szCs w:val="21"/>
              </w:rPr>
              <w:t>4</w:t>
            </w:r>
          </w:p>
        </w:tc>
        <w:tc>
          <w:tcPr>
            <w:tcW w:w="1520" w:type="dxa"/>
            <w:noWrap w:val="0"/>
            <w:vAlign w:val="center"/>
          </w:tcPr>
          <w:p w14:paraId="4F006599">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芦岭镇</w:t>
            </w:r>
          </w:p>
        </w:tc>
        <w:tc>
          <w:tcPr>
            <w:tcW w:w="1393" w:type="dxa"/>
            <w:noWrap w:val="0"/>
            <w:vAlign w:val="center"/>
          </w:tcPr>
          <w:p w14:paraId="147ACF0F">
            <w:pPr>
              <w:spacing w:line="0" w:lineRule="atLeast"/>
              <w:jc w:val="center"/>
              <w:rPr>
                <w:rFonts w:eastAsia="楷体_GB2312"/>
              </w:rPr>
            </w:pPr>
            <w:r>
              <w:rPr>
                <w:rFonts w:eastAsia="楷体_GB2312"/>
              </w:rPr>
              <w:t>01</w:t>
            </w:r>
          </w:p>
        </w:tc>
        <w:tc>
          <w:tcPr>
            <w:tcW w:w="2718" w:type="dxa"/>
            <w:noWrap w:val="0"/>
            <w:vAlign w:val="center"/>
          </w:tcPr>
          <w:p w14:paraId="4B7D13FD">
            <w:pPr>
              <w:jc w:val="center"/>
              <w:rPr>
                <w:rFonts w:eastAsia="楷体_GB2312"/>
                <w:szCs w:val="21"/>
              </w:rPr>
            </w:pPr>
            <w:r>
              <w:rPr>
                <w:rFonts w:eastAsia="楷体_GB2312"/>
              </w:rPr>
              <w:t>芦岭</w:t>
            </w:r>
            <w:r>
              <w:rPr>
                <w:rFonts w:eastAsia="楷体_GB2312"/>
                <w:szCs w:val="21"/>
              </w:rPr>
              <w:t>汽车站</w:t>
            </w:r>
          </w:p>
        </w:tc>
        <w:tc>
          <w:tcPr>
            <w:tcW w:w="2091" w:type="dxa"/>
            <w:noWrap w:val="0"/>
            <w:vAlign w:val="center"/>
          </w:tcPr>
          <w:p w14:paraId="4ECFD335">
            <w:pPr>
              <w:jc w:val="center"/>
              <w:rPr>
                <w:szCs w:val="21"/>
              </w:rPr>
            </w:pPr>
            <w:r>
              <w:rPr>
                <w:rFonts w:hint="eastAsia"/>
                <w:szCs w:val="21"/>
              </w:rPr>
              <w:t>7.4</w:t>
            </w:r>
          </w:p>
        </w:tc>
      </w:tr>
      <w:tr w14:paraId="02446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281" w:type="dxa"/>
            <w:noWrap w:val="0"/>
            <w:vAlign w:val="center"/>
          </w:tcPr>
          <w:p w14:paraId="36CA4AF6">
            <w:pPr>
              <w:tabs>
                <w:tab w:val="left" w:pos="0"/>
                <w:tab w:val="left" w:pos="295"/>
              </w:tabs>
              <w:jc w:val="center"/>
              <w:rPr>
                <w:rFonts w:eastAsia="楷体_GB2312"/>
                <w:szCs w:val="21"/>
              </w:rPr>
            </w:pPr>
            <w:r>
              <w:rPr>
                <w:rFonts w:eastAsia="楷体_GB2312"/>
                <w:szCs w:val="21"/>
              </w:rPr>
              <w:t>5</w:t>
            </w:r>
          </w:p>
        </w:tc>
        <w:tc>
          <w:tcPr>
            <w:tcW w:w="1520" w:type="dxa"/>
            <w:noWrap w:val="0"/>
            <w:vAlign w:val="center"/>
          </w:tcPr>
          <w:p w14:paraId="5F47242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大店镇</w:t>
            </w:r>
          </w:p>
        </w:tc>
        <w:tc>
          <w:tcPr>
            <w:tcW w:w="1393" w:type="dxa"/>
            <w:noWrap w:val="0"/>
            <w:vAlign w:val="center"/>
          </w:tcPr>
          <w:p w14:paraId="27C489E4">
            <w:pPr>
              <w:spacing w:line="0" w:lineRule="atLeast"/>
              <w:jc w:val="center"/>
              <w:rPr>
                <w:rFonts w:eastAsia="楷体_GB2312"/>
              </w:rPr>
            </w:pPr>
            <w:r>
              <w:rPr>
                <w:rFonts w:eastAsia="楷体_GB2312"/>
              </w:rPr>
              <w:t>01</w:t>
            </w:r>
          </w:p>
        </w:tc>
        <w:tc>
          <w:tcPr>
            <w:tcW w:w="2718" w:type="dxa"/>
            <w:noWrap w:val="0"/>
            <w:vAlign w:val="center"/>
          </w:tcPr>
          <w:p w14:paraId="028D8D98">
            <w:pPr>
              <w:jc w:val="center"/>
              <w:rPr>
                <w:rFonts w:eastAsia="楷体_GB2312"/>
                <w:szCs w:val="21"/>
              </w:rPr>
            </w:pPr>
            <w:r>
              <w:rPr>
                <w:rFonts w:eastAsia="楷体_GB2312"/>
              </w:rPr>
              <w:t>大店镇</w:t>
            </w:r>
            <w:r>
              <w:rPr>
                <w:rFonts w:eastAsia="楷体_GB2312"/>
                <w:szCs w:val="21"/>
              </w:rPr>
              <w:t>汽车停靠站</w:t>
            </w:r>
          </w:p>
        </w:tc>
        <w:tc>
          <w:tcPr>
            <w:tcW w:w="2091" w:type="dxa"/>
            <w:noWrap w:val="0"/>
            <w:vAlign w:val="center"/>
          </w:tcPr>
          <w:p w14:paraId="6DC54CD9">
            <w:pPr>
              <w:jc w:val="center"/>
              <w:rPr>
                <w:szCs w:val="21"/>
              </w:rPr>
            </w:pPr>
            <w:r>
              <w:rPr>
                <w:rFonts w:hint="eastAsia"/>
                <w:szCs w:val="21"/>
              </w:rPr>
              <w:t>5.8</w:t>
            </w:r>
          </w:p>
        </w:tc>
      </w:tr>
      <w:tr w14:paraId="4412C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1281" w:type="dxa"/>
            <w:noWrap w:val="0"/>
            <w:vAlign w:val="center"/>
          </w:tcPr>
          <w:p w14:paraId="13F8E69B">
            <w:pPr>
              <w:tabs>
                <w:tab w:val="left" w:pos="0"/>
                <w:tab w:val="left" w:pos="295"/>
              </w:tabs>
              <w:jc w:val="center"/>
              <w:rPr>
                <w:rFonts w:eastAsia="楷体_GB2312"/>
                <w:szCs w:val="21"/>
              </w:rPr>
            </w:pPr>
            <w:r>
              <w:rPr>
                <w:rFonts w:eastAsia="楷体_GB2312"/>
                <w:szCs w:val="21"/>
              </w:rPr>
              <w:t>6</w:t>
            </w:r>
          </w:p>
        </w:tc>
        <w:tc>
          <w:tcPr>
            <w:tcW w:w="1520" w:type="dxa"/>
            <w:noWrap w:val="0"/>
            <w:vAlign w:val="center"/>
          </w:tcPr>
          <w:p w14:paraId="4329B25D">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栏杆镇</w:t>
            </w:r>
          </w:p>
        </w:tc>
        <w:tc>
          <w:tcPr>
            <w:tcW w:w="1393" w:type="dxa"/>
            <w:noWrap w:val="0"/>
            <w:vAlign w:val="center"/>
          </w:tcPr>
          <w:p w14:paraId="4E90170F">
            <w:pPr>
              <w:spacing w:line="0" w:lineRule="atLeast"/>
              <w:jc w:val="center"/>
              <w:rPr>
                <w:rFonts w:eastAsia="楷体_GB2312"/>
              </w:rPr>
            </w:pPr>
            <w:r>
              <w:rPr>
                <w:rFonts w:eastAsia="楷体_GB2312"/>
              </w:rPr>
              <w:t>01</w:t>
            </w:r>
          </w:p>
        </w:tc>
        <w:tc>
          <w:tcPr>
            <w:tcW w:w="2718" w:type="dxa"/>
            <w:noWrap w:val="0"/>
            <w:vAlign w:val="center"/>
          </w:tcPr>
          <w:p w14:paraId="5BDA81A5">
            <w:pPr>
              <w:jc w:val="center"/>
              <w:rPr>
                <w:rFonts w:eastAsia="楷体_GB2312"/>
                <w:szCs w:val="21"/>
              </w:rPr>
            </w:pPr>
            <w:r>
              <w:rPr>
                <w:rFonts w:eastAsia="楷体_GB2312"/>
              </w:rPr>
              <w:t>栏杆镇</w:t>
            </w:r>
            <w:r>
              <w:rPr>
                <w:rFonts w:eastAsia="楷体_GB2312"/>
                <w:szCs w:val="21"/>
              </w:rPr>
              <w:t>汽车站</w:t>
            </w:r>
          </w:p>
        </w:tc>
        <w:tc>
          <w:tcPr>
            <w:tcW w:w="2091" w:type="dxa"/>
            <w:noWrap w:val="0"/>
            <w:vAlign w:val="center"/>
          </w:tcPr>
          <w:p w14:paraId="66FAD25D">
            <w:pPr>
              <w:jc w:val="center"/>
              <w:rPr>
                <w:szCs w:val="21"/>
              </w:rPr>
            </w:pPr>
            <w:r>
              <w:rPr>
                <w:rFonts w:hint="eastAsia"/>
                <w:szCs w:val="21"/>
              </w:rPr>
              <w:t>6.3</w:t>
            </w:r>
          </w:p>
        </w:tc>
      </w:tr>
      <w:tr w14:paraId="243AD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trPr>
        <w:tc>
          <w:tcPr>
            <w:tcW w:w="1281" w:type="dxa"/>
            <w:noWrap w:val="0"/>
            <w:vAlign w:val="center"/>
          </w:tcPr>
          <w:p w14:paraId="7120CD4F">
            <w:pPr>
              <w:tabs>
                <w:tab w:val="left" w:pos="0"/>
                <w:tab w:val="left" w:pos="295"/>
              </w:tabs>
              <w:jc w:val="center"/>
              <w:rPr>
                <w:rFonts w:eastAsia="楷体_GB2312"/>
                <w:szCs w:val="21"/>
              </w:rPr>
            </w:pPr>
            <w:r>
              <w:rPr>
                <w:rFonts w:eastAsia="楷体_GB2312"/>
                <w:szCs w:val="21"/>
              </w:rPr>
              <w:t>7</w:t>
            </w:r>
          </w:p>
        </w:tc>
        <w:tc>
          <w:tcPr>
            <w:tcW w:w="1520" w:type="dxa"/>
            <w:noWrap w:val="0"/>
            <w:vAlign w:val="center"/>
          </w:tcPr>
          <w:p w14:paraId="1DCE1CAD">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时村镇</w:t>
            </w:r>
          </w:p>
        </w:tc>
        <w:tc>
          <w:tcPr>
            <w:tcW w:w="1393" w:type="dxa"/>
            <w:noWrap w:val="0"/>
            <w:vAlign w:val="center"/>
          </w:tcPr>
          <w:p w14:paraId="61853A30">
            <w:pPr>
              <w:spacing w:line="0" w:lineRule="atLeast"/>
              <w:jc w:val="center"/>
              <w:rPr>
                <w:rFonts w:eastAsia="楷体_GB2312"/>
              </w:rPr>
            </w:pPr>
            <w:r>
              <w:rPr>
                <w:rFonts w:eastAsia="楷体_GB2312"/>
              </w:rPr>
              <w:t>01</w:t>
            </w:r>
          </w:p>
        </w:tc>
        <w:tc>
          <w:tcPr>
            <w:tcW w:w="2718" w:type="dxa"/>
            <w:noWrap w:val="0"/>
            <w:vAlign w:val="center"/>
          </w:tcPr>
          <w:p w14:paraId="6FC0E9F4">
            <w:pPr>
              <w:jc w:val="center"/>
              <w:rPr>
                <w:rFonts w:eastAsia="楷体_GB2312"/>
                <w:szCs w:val="21"/>
              </w:rPr>
            </w:pPr>
            <w:r>
              <w:rPr>
                <w:rFonts w:eastAsia="楷体_GB2312"/>
              </w:rPr>
              <w:t>时村镇</w:t>
            </w:r>
            <w:r>
              <w:rPr>
                <w:rFonts w:eastAsia="楷体_GB2312"/>
                <w:szCs w:val="21"/>
              </w:rPr>
              <w:t>汽车停靠站</w:t>
            </w:r>
          </w:p>
        </w:tc>
        <w:tc>
          <w:tcPr>
            <w:tcW w:w="2091" w:type="dxa"/>
            <w:noWrap w:val="0"/>
            <w:vAlign w:val="center"/>
          </w:tcPr>
          <w:p w14:paraId="7C29C3C1">
            <w:pPr>
              <w:jc w:val="center"/>
              <w:rPr>
                <w:szCs w:val="21"/>
              </w:rPr>
            </w:pPr>
            <w:r>
              <w:rPr>
                <w:rFonts w:hint="eastAsia"/>
                <w:szCs w:val="21"/>
              </w:rPr>
              <w:t>4.7</w:t>
            </w:r>
          </w:p>
        </w:tc>
      </w:tr>
      <w:tr w14:paraId="1648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281" w:type="dxa"/>
            <w:noWrap w:val="0"/>
            <w:vAlign w:val="center"/>
          </w:tcPr>
          <w:p w14:paraId="7A30435A">
            <w:pPr>
              <w:tabs>
                <w:tab w:val="left" w:pos="0"/>
                <w:tab w:val="left" w:pos="295"/>
              </w:tabs>
              <w:jc w:val="center"/>
              <w:rPr>
                <w:rFonts w:eastAsia="楷体_GB2312"/>
                <w:szCs w:val="21"/>
              </w:rPr>
            </w:pPr>
            <w:r>
              <w:rPr>
                <w:rFonts w:eastAsia="楷体_GB2312"/>
                <w:szCs w:val="21"/>
              </w:rPr>
              <w:t>8</w:t>
            </w:r>
          </w:p>
        </w:tc>
        <w:tc>
          <w:tcPr>
            <w:tcW w:w="1520" w:type="dxa"/>
            <w:noWrap w:val="0"/>
            <w:vAlign w:val="center"/>
          </w:tcPr>
          <w:p w14:paraId="69FB4F05">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夹沟镇</w:t>
            </w:r>
          </w:p>
        </w:tc>
        <w:tc>
          <w:tcPr>
            <w:tcW w:w="1393" w:type="dxa"/>
            <w:noWrap w:val="0"/>
            <w:vAlign w:val="center"/>
          </w:tcPr>
          <w:p w14:paraId="60DDAD9A">
            <w:pPr>
              <w:spacing w:line="0" w:lineRule="atLeast"/>
              <w:jc w:val="center"/>
              <w:rPr>
                <w:rFonts w:eastAsia="楷体_GB2312"/>
              </w:rPr>
            </w:pPr>
            <w:r>
              <w:rPr>
                <w:rFonts w:eastAsia="楷体_GB2312"/>
              </w:rPr>
              <w:t>01</w:t>
            </w:r>
          </w:p>
        </w:tc>
        <w:tc>
          <w:tcPr>
            <w:tcW w:w="2718" w:type="dxa"/>
            <w:noWrap w:val="0"/>
            <w:vAlign w:val="center"/>
          </w:tcPr>
          <w:p w14:paraId="196FAF51">
            <w:pPr>
              <w:jc w:val="center"/>
              <w:rPr>
                <w:rFonts w:eastAsia="楷体_GB2312"/>
                <w:szCs w:val="21"/>
              </w:rPr>
            </w:pPr>
            <w:r>
              <w:rPr>
                <w:rFonts w:eastAsia="楷体_GB2312"/>
              </w:rPr>
              <w:t>夹沟镇</w:t>
            </w:r>
            <w:r>
              <w:rPr>
                <w:rFonts w:eastAsia="楷体_GB2312"/>
                <w:szCs w:val="21"/>
              </w:rPr>
              <w:t>汽车停靠站</w:t>
            </w:r>
          </w:p>
        </w:tc>
        <w:tc>
          <w:tcPr>
            <w:tcW w:w="2091" w:type="dxa"/>
            <w:noWrap w:val="0"/>
            <w:vAlign w:val="center"/>
          </w:tcPr>
          <w:p w14:paraId="70C788D5">
            <w:pPr>
              <w:jc w:val="center"/>
              <w:rPr>
                <w:szCs w:val="21"/>
              </w:rPr>
            </w:pPr>
            <w:r>
              <w:rPr>
                <w:rFonts w:hint="eastAsia"/>
                <w:szCs w:val="21"/>
              </w:rPr>
              <w:t>4.9</w:t>
            </w:r>
          </w:p>
        </w:tc>
      </w:tr>
      <w:tr w14:paraId="2E0B8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281" w:type="dxa"/>
            <w:noWrap w:val="0"/>
            <w:vAlign w:val="center"/>
          </w:tcPr>
          <w:p w14:paraId="1E5E30F4">
            <w:pPr>
              <w:tabs>
                <w:tab w:val="left" w:pos="0"/>
                <w:tab w:val="left" w:pos="295"/>
              </w:tabs>
              <w:jc w:val="center"/>
              <w:rPr>
                <w:rFonts w:eastAsia="楷体_GB2312"/>
                <w:szCs w:val="21"/>
              </w:rPr>
            </w:pPr>
            <w:r>
              <w:rPr>
                <w:rFonts w:eastAsia="楷体_GB2312"/>
                <w:szCs w:val="21"/>
              </w:rPr>
              <w:t>9</w:t>
            </w:r>
          </w:p>
        </w:tc>
        <w:tc>
          <w:tcPr>
            <w:tcW w:w="1520" w:type="dxa"/>
            <w:noWrap w:val="0"/>
            <w:vAlign w:val="center"/>
          </w:tcPr>
          <w:p w14:paraId="10EE5821">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西二铺乡</w:t>
            </w:r>
          </w:p>
        </w:tc>
        <w:tc>
          <w:tcPr>
            <w:tcW w:w="1393" w:type="dxa"/>
            <w:noWrap w:val="0"/>
            <w:vAlign w:val="center"/>
          </w:tcPr>
          <w:p w14:paraId="4D641BCB">
            <w:pPr>
              <w:spacing w:line="0" w:lineRule="atLeast"/>
              <w:jc w:val="center"/>
              <w:rPr>
                <w:rFonts w:eastAsia="楷体_GB2312"/>
              </w:rPr>
            </w:pPr>
            <w:r>
              <w:rPr>
                <w:rFonts w:eastAsia="楷体_GB2312"/>
              </w:rPr>
              <w:t>01</w:t>
            </w:r>
          </w:p>
        </w:tc>
        <w:tc>
          <w:tcPr>
            <w:tcW w:w="2718" w:type="dxa"/>
            <w:noWrap w:val="0"/>
            <w:vAlign w:val="center"/>
          </w:tcPr>
          <w:p w14:paraId="245973B7">
            <w:pPr>
              <w:jc w:val="center"/>
              <w:rPr>
                <w:rFonts w:eastAsia="楷体_GB2312"/>
                <w:szCs w:val="21"/>
              </w:rPr>
            </w:pPr>
            <w:r>
              <w:rPr>
                <w:rFonts w:eastAsia="楷体_GB2312"/>
              </w:rPr>
              <w:t>西二铺乡</w:t>
            </w:r>
            <w:r>
              <w:rPr>
                <w:rFonts w:eastAsia="楷体_GB2312"/>
                <w:szCs w:val="21"/>
              </w:rPr>
              <w:t>汽车停靠站</w:t>
            </w:r>
          </w:p>
        </w:tc>
        <w:tc>
          <w:tcPr>
            <w:tcW w:w="2091" w:type="dxa"/>
            <w:noWrap w:val="0"/>
            <w:vAlign w:val="center"/>
          </w:tcPr>
          <w:p w14:paraId="08618026">
            <w:pPr>
              <w:jc w:val="center"/>
              <w:rPr>
                <w:szCs w:val="21"/>
              </w:rPr>
            </w:pPr>
            <w:r>
              <w:rPr>
                <w:rFonts w:hint="eastAsia"/>
                <w:szCs w:val="21"/>
              </w:rPr>
              <w:t>7.5</w:t>
            </w:r>
          </w:p>
        </w:tc>
      </w:tr>
      <w:tr w14:paraId="0C8C4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281" w:type="dxa"/>
            <w:noWrap w:val="0"/>
            <w:vAlign w:val="center"/>
          </w:tcPr>
          <w:p w14:paraId="496B4362">
            <w:pPr>
              <w:tabs>
                <w:tab w:val="left" w:pos="0"/>
                <w:tab w:val="left" w:pos="295"/>
              </w:tabs>
              <w:jc w:val="center"/>
              <w:rPr>
                <w:rFonts w:eastAsia="楷体_GB2312"/>
                <w:szCs w:val="21"/>
              </w:rPr>
            </w:pPr>
            <w:r>
              <w:rPr>
                <w:rFonts w:eastAsia="楷体_GB2312"/>
                <w:szCs w:val="21"/>
              </w:rPr>
              <w:t>10</w:t>
            </w:r>
          </w:p>
        </w:tc>
        <w:tc>
          <w:tcPr>
            <w:tcW w:w="1520" w:type="dxa"/>
            <w:noWrap w:val="0"/>
            <w:vAlign w:val="center"/>
          </w:tcPr>
          <w:p w14:paraId="6257D1AE">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桃园镇</w:t>
            </w:r>
          </w:p>
        </w:tc>
        <w:tc>
          <w:tcPr>
            <w:tcW w:w="1393" w:type="dxa"/>
            <w:noWrap w:val="0"/>
            <w:vAlign w:val="center"/>
          </w:tcPr>
          <w:p w14:paraId="00A24CE2">
            <w:pPr>
              <w:spacing w:line="0" w:lineRule="atLeast"/>
              <w:jc w:val="center"/>
              <w:rPr>
                <w:rFonts w:eastAsia="楷体_GB2312"/>
              </w:rPr>
            </w:pPr>
            <w:r>
              <w:rPr>
                <w:rFonts w:eastAsia="楷体_GB2312"/>
              </w:rPr>
              <w:t>01</w:t>
            </w:r>
          </w:p>
        </w:tc>
        <w:tc>
          <w:tcPr>
            <w:tcW w:w="2718" w:type="dxa"/>
            <w:noWrap w:val="0"/>
            <w:vAlign w:val="center"/>
          </w:tcPr>
          <w:p w14:paraId="4E040B9C">
            <w:pPr>
              <w:jc w:val="center"/>
              <w:rPr>
                <w:rFonts w:eastAsia="楷体_GB2312"/>
                <w:szCs w:val="21"/>
              </w:rPr>
            </w:pPr>
            <w:r>
              <w:rPr>
                <w:rFonts w:eastAsia="楷体_GB2312"/>
              </w:rPr>
              <w:t>桃园镇</w:t>
            </w:r>
            <w:r>
              <w:rPr>
                <w:rFonts w:eastAsia="楷体_GB2312"/>
                <w:szCs w:val="21"/>
              </w:rPr>
              <w:t>汽车停靠站</w:t>
            </w:r>
          </w:p>
        </w:tc>
        <w:tc>
          <w:tcPr>
            <w:tcW w:w="2091" w:type="dxa"/>
            <w:noWrap w:val="0"/>
            <w:vAlign w:val="center"/>
          </w:tcPr>
          <w:p w14:paraId="45452692">
            <w:pPr>
              <w:jc w:val="center"/>
              <w:rPr>
                <w:szCs w:val="21"/>
              </w:rPr>
            </w:pPr>
            <w:r>
              <w:rPr>
                <w:rFonts w:hint="eastAsia"/>
                <w:szCs w:val="21"/>
              </w:rPr>
              <w:t>3.8</w:t>
            </w:r>
          </w:p>
        </w:tc>
      </w:tr>
      <w:tr w14:paraId="3EB9F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281" w:type="dxa"/>
            <w:noWrap w:val="0"/>
            <w:vAlign w:val="center"/>
          </w:tcPr>
          <w:p w14:paraId="2C0544D3">
            <w:pPr>
              <w:tabs>
                <w:tab w:val="left" w:pos="0"/>
                <w:tab w:val="left" w:pos="295"/>
              </w:tabs>
              <w:jc w:val="center"/>
              <w:rPr>
                <w:rFonts w:eastAsia="楷体_GB2312"/>
                <w:szCs w:val="21"/>
              </w:rPr>
            </w:pPr>
            <w:r>
              <w:rPr>
                <w:rFonts w:hint="eastAsia" w:eastAsia="楷体_GB2312"/>
                <w:szCs w:val="21"/>
              </w:rPr>
              <w:t>11</w:t>
            </w:r>
          </w:p>
        </w:tc>
        <w:tc>
          <w:tcPr>
            <w:tcW w:w="1520" w:type="dxa"/>
            <w:noWrap w:val="0"/>
            <w:vAlign w:val="center"/>
          </w:tcPr>
          <w:p w14:paraId="524AC11A">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曹村镇</w:t>
            </w:r>
          </w:p>
        </w:tc>
        <w:tc>
          <w:tcPr>
            <w:tcW w:w="1393" w:type="dxa"/>
            <w:noWrap w:val="0"/>
            <w:vAlign w:val="top"/>
          </w:tcPr>
          <w:p w14:paraId="3F237E93">
            <w:pPr>
              <w:jc w:val="center"/>
            </w:pPr>
            <w:r>
              <w:rPr>
                <w:rFonts w:eastAsia="楷体_GB2312"/>
              </w:rPr>
              <w:t>01</w:t>
            </w:r>
          </w:p>
        </w:tc>
        <w:tc>
          <w:tcPr>
            <w:tcW w:w="2718" w:type="dxa"/>
            <w:noWrap w:val="0"/>
            <w:vAlign w:val="top"/>
          </w:tcPr>
          <w:p w14:paraId="6828EF43">
            <w:pPr>
              <w:jc w:val="center"/>
            </w:pPr>
            <w:r>
              <w:rPr>
                <w:rFonts w:eastAsia="楷体_GB2312"/>
              </w:rPr>
              <w:t>曹村镇</w:t>
            </w:r>
            <w:r>
              <w:rPr>
                <w:rFonts w:eastAsia="楷体_GB2312"/>
                <w:szCs w:val="21"/>
              </w:rPr>
              <w:t>汽车停靠站</w:t>
            </w:r>
          </w:p>
        </w:tc>
        <w:tc>
          <w:tcPr>
            <w:tcW w:w="2091" w:type="dxa"/>
            <w:noWrap w:val="0"/>
            <w:vAlign w:val="center"/>
          </w:tcPr>
          <w:p w14:paraId="3DB6D0FE">
            <w:pPr>
              <w:jc w:val="center"/>
              <w:rPr>
                <w:szCs w:val="21"/>
              </w:rPr>
            </w:pPr>
            <w:r>
              <w:rPr>
                <w:rFonts w:hint="eastAsia"/>
                <w:szCs w:val="21"/>
              </w:rPr>
              <w:t>7.8</w:t>
            </w:r>
          </w:p>
        </w:tc>
      </w:tr>
      <w:tr w14:paraId="656DE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281" w:type="dxa"/>
            <w:noWrap w:val="0"/>
            <w:vAlign w:val="center"/>
          </w:tcPr>
          <w:p w14:paraId="15499AC4">
            <w:pPr>
              <w:tabs>
                <w:tab w:val="left" w:pos="0"/>
                <w:tab w:val="left" w:pos="295"/>
              </w:tabs>
              <w:jc w:val="center"/>
              <w:rPr>
                <w:rFonts w:eastAsia="楷体_GB2312"/>
                <w:szCs w:val="21"/>
              </w:rPr>
            </w:pPr>
            <w:r>
              <w:rPr>
                <w:rFonts w:hint="eastAsia" w:eastAsia="楷体_GB2312"/>
                <w:szCs w:val="21"/>
              </w:rPr>
              <w:t>12</w:t>
            </w:r>
          </w:p>
        </w:tc>
        <w:tc>
          <w:tcPr>
            <w:tcW w:w="1520" w:type="dxa"/>
            <w:noWrap w:val="0"/>
            <w:vAlign w:val="center"/>
          </w:tcPr>
          <w:p w14:paraId="7723A8C3">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大营镇</w:t>
            </w:r>
          </w:p>
        </w:tc>
        <w:tc>
          <w:tcPr>
            <w:tcW w:w="1393" w:type="dxa"/>
            <w:noWrap w:val="0"/>
            <w:vAlign w:val="top"/>
          </w:tcPr>
          <w:p w14:paraId="2521A264">
            <w:pPr>
              <w:jc w:val="center"/>
            </w:pPr>
            <w:r>
              <w:rPr>
                <w:rFonts w:eastAsia="楷体_GB2312"/>
              </w:rPr>
              <w:t>01</w:t>
            </w:r>
          </w:p>
        </w:tc>
        <w:tc>
          <w:tcPr>
            <w:tcW w:w="2718" w:type="dxa"/>
            <w:noWrap w:val="0"/>
            <w:vAlign w:val="top"/>
          </w:tcPr>
          <w:p w14:paraId="1C9FEF38">
            <w:pPr>
              <w:jc w:val="center"/>
            </w:pPr>
            <w:r>
              <w:rPr>
                <w:rFonts w:eastAsia="楷体_GB2312"/>
              </w:rPr>
              <w:t>大营镇</w:t>
            </w:r>
            <w:r>
              <w:rPr>
                <w:rFonts w:eastAsia="楷体_GB2312"/>
                <w:szCs w:val="21"/>
              </w:rPr>
              <w:t>汽车站</w:t>
            </w:r>
          </w:p>
        </w:tc>
        <w:tc>
          <w:tcPr>
            <w:tcW w:w="2091" w:type="dxa"/>
            <w:noWrap w:val="0"/>
            <w:vAlign w:val="center"/>
          </w:tcPr>
          <w:p w14:paraId="27BB72C5">
            <w:pPr>
              <w:jc w:val="center"/>
              <w:rPr>
                <w:szCs w:val="21"/>
              </w:rPr>
            </w:pPr>
            <w:r>
              <w:rPr>
                <w:rFonts w:hint="eastAsia"/>
                <w:szCs w:val="21"/>
              </w:rPr>
              <w:t>5.4</w:t>
            </w:r>
          </w:p>
        </w:tc>
      </w:tr>
      <w:tr w14:paraId="735ED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281" w:type="dxa"/>
            <w:noWrap w:val="0"/>
            <w:vAlign w:val="center"/>
          </w:tcPr>
          <w:p w14:paraId="16347F84">
            <w:pPr>
              <w:tabs>
                <w:tab w:val="left" w:pos="0"/>
                <w:tab w:val="left" w:pos="295"/>
              </w:tabs>
              <w:jc w:val="center"/>
              <w:rPr>
                <w:rFonts w:eastAsia="楷体_GB2312"/>
                <w:szCs w:val="21"/>
              </w:rPr>
            </w:pPr>
            <w:r>
              <w:rPr>
                <w:rFonts w:hint="eastAsia" w:eastAsia="楷体_GB2312"/>
                <w:szCs w:val="21"/>
              </w:rPr>
              <w:t>13</w:t>
            </w:r>
          </w:p>
        </w:tc>
        <w:tc>
          <w:tcPr>
            <w:tcW w:w="1520" w:type="dxa"/>
            <w:noWrap w:val="0"/>
            <w:vAlign w:val="center"/>
          </w:tcPr>
          <w:p w14:paraId="55545620">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褚兰镇</w:t>
            </w:r>
          </w:p>
        </w:tc>
        <w:tc>
          <w:tcPr>
            <w:tcW w:w="1393" w:type="dxa"/>
            <w:noWrap w:val="0"/>
            <w:vAlign w:val="top"/>
          </w:tcPr>
          <w:p w14:paraId="6893B6C5">
            <w:pPr>
              <w:jc w:val="center"/>
            </w:pPr>
            <w:r>
              <w:rPr>
                <w:rFonts w:eastAsia="楷体_GB2312"/>
              </w:rPr>
              <w:t>01</w:t>
            </w:r>
          </w:p>
        </w:tc>
        <w:tc>
          <w:tcPr>
            <w:tcW w:w="2718" w:type="dxa"/>
            <w:noWrap w:val="0"/>
            <w:vAlign w:val="top"/>
          </w:tcPr>
          <w:p w14:paraId="5CB7C755">
            <w:pPr>
              <w:jc w:val="center"/>
            </w:pPr>
            <w:r>
              <w:rPr>
                <w:rFonts w:eastAsia="楷体_GB2312"/>
              </w:rPr>
              <w:t>褚兰镇</w:t>
            </w:r>
            <w:r>
              <w:rPr>
                <w:rFonts w:eastAsia="楷体_GB2312"/>
                <w:szCs w:val="21"/>
              </w:rPr>
              <w:t>汽车停靠站</w:t>
            </w:r>
          </w:p>
        </w:tc>
        <w:tc>
          <w:tcPr>
            <w:tcW w:w="2091" w:type="dxa"/>
            <w:noWrap w:val="0"/>
            <w:vAlign w:val="center"/>
          </w:tcPr>
          <w:p w14:paraId="28252321">
            <w:pPr>
              <w:jc w:val="center"/>
              <w:rPr>
                <w:szCs w:val="21"/>
              </w:rPr>
            </w:pPr>
            <w:r>
              <w:rPr>
                <w:rFonts w:hint="eastAsia"/>
                <w:szCs w:val="21"/>
              </w:rPr>
              <w:t>3.9</w:t>
            </w:r>
          </w:p>
        </w:tc>
      </w:tr>
      <w:tr w14:paraId="18BA0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281" w:type="dxa"/>
            <w:noWrap w:val="0"/>
            <w:vAlign w:val="center"/>
          </w:tcPr>
          <w:p w14:paraId="7F93BCE1">
            <w:pPr>
              <w:tabs>
                <w:tab w:val="left" w:pos="0"/>
                <w:tab w:val="left" w:pos="295"/>
              </w:tabs>
              <w:jc w:val="center"/>
              <w:rPr>
                <w:rFonts w:eastAsia="楷体_GB2312"/>
                <w:szCs w:val="21"/>
              </w:rPr>
            </w:pPr>
            <w:r>
              <w:rPr>
                <w:rFonts w:hint="eastAsia" w:eastAsia="楷体_GB2312"/>
                <w:szCs w:val="21"/>
              </w:rPr>
              <w:t>14</w:t>
            </w:r>
          </w:p>
        </w:tc>
        <w:tc>
          <w:tcPr>
            <w:tcW w:w="1520" w:type="dxa"/>
            <w:noWrap w:val="0"/>
            <w:vAlign w:val="center"/>
          </w:tcPr>
          <w:p w14:paraId="39BE2300">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顺河镇</w:t>
            </w:r>
          </w:p>
        </w:tc>
        <w:tc>
          <w:tcPr>
            <w:tcW w:w="1393" w:type="dxa"/>
            <w:noWrap w:val="0"/>
            <w:vAlign w:val="top"/>
          </w:tcPr>
          <w:p w14:paraId="0CBAF99D">
            <w:pPr>
              <w:jc w:val="center"/>
            </w:pPr>
            <w:r>
              <w:rPr>
                <w:rFonts w:eastAsia="楷体_GB2312"/>
              </w:rPr>
              <w:t>01</w:t>
            </w:r>
          </w:p>
        </w:tc>
        <w:tc>
          <w:tcPr>
            <w:tcW w:w="2718" w:type="dxa"/>
            <w:noWrap w:val="0"/>
            <w:vAlign w:val="top"/>
          </w:tcPr>
          <w:p w14:paraId="506CEE0E">
            <w:pPr>
              <w:jc w:val="center"/>
            </w:pPr>
            <w:r>
              <w:rPr>
                <w:rFonts w:eastAsia="楷体_GB2312"/>
              </w:rPr>
              <w:t>顺河镇</w:t>
            </w:r>
            <w:r>
              <w:rPr>
                <w:rFonts w:eastAsia="楷体_GB2312"/>
                <w:szCs w:val="21"/>
              </w:rPr>
              <w:t>汽车停靠站</w:t>
            </w:r>
          </w:p>
        </w:tc>
        <w:tc>
          <w:tcPr>
            <w:tcW w:w="2091" w:type="dxa"/>
            <w:noWrap w:val="0"/>
            <w:vAlign w:val="center"/>
          </w:tcPr>
          <w:p w14:paraId="56C7830E">
            <w:pPr>
              <w:jc w:val="center"/>
              <w:rPr>
                <w:szCs w:val="21"/>
              </w:rPr>
            </w:pPr>
            <w:r>
              <w:rPr>
                <w:rFonts w:hint="eastAsia"/>
                <w:szCs w:val="21"/>
              </w:rPr>
              <w:t>4.2</w:t>
            </w:r>
          </w:p>
        </w:tc>
      </w:tr>
      <w:tr w14:paraId="5713E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281" w:type="dxa"/>
            <w:noWrap w:val="0"/>
            <w:vAlign w:val="center"/>
          </w:tcPr>
          <w:p w14:paraId="173E877A">
            <w:pPr>
              <w:tabs>
                <w:tab w:val="left" w:pos="0"/>
                <w:tab w:val="left" w:pos="295"/>
              </w:tabs>
              <w:jc w:val="center"/>
              <w:rPr>
                <w:rFonts w:eastAsia="楷体_GB2312"/>
                <w:szCs w:val="21"/>
              </w:rPr>
            </w:pPr>
            <w:r>
              <w:rPr>
                <w:rFonts w:hint="eastAsia" w:eastAsia="楷体_GB2312"/>
                <w:szCs w:val="21"/>
              </w:rPr>
              <w:t>15</w:t>
            </w:r>
          </w:p>
        </w:tc>
        <w:tc>
          <w:tcPr>
            <w:tcW w:w="1520" w:type="dxa"/>
            <w:noWrap w:val="0"/>
            <w:vAlign w:val="center"/>
          </w:tcPr>
          <w:p w14:paraId="25B899EC">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杨庄镇</w:t>
            </w:r>
          </w:p>
        </w:tc>
        <w:tc>
          <w:tcPr>
            <w:tcW w:w="1393" w:type="dxa"/>
            <w:noWrap w:val="0"/>
            <w:vAlign w:val="top"/>
          </w:tcPr>
          <w:p w14:paraId="549EB7C4">
            <w:pPr>
              <w:jc w:val="center"/>
            </w:pPr>
            <w:r>
              <w:rPr>
                <w:rFonts w:eastAsia="楷体_GB2312"/>
              </w:rPr>
              <w:t>01</w:t>
            </w:r>
          </w:p>
        </w:tc>
        <w:tc>
          <w:tcPr>
            <w:tcW w:w="2718" w:type="dxa"/>
            <w:noWrap w:val="0"/>
            <w:vAlign w:val="top"/>
          </w:tcPr>
          <w:p w14:paraId="3D3B7445">
            <w:pPr>
              <w:jc w:val="center"/>
            </w:pPr>
            <w:r>
              <w:rPr>
                <w:rFonts w:eastAsia="楷体_GB2312"/>
              </w:rPr>
              <w:t>杨庄镇</w:t>
            </w:r>
            <w:r>
              <w:rPr>
                <w:rFonts w:eastAsia="楷体_GB2312"/>
                <w:szCs w:val="21"/>
              </w:rPr>
              <w:t>汽车停靠站</w:t>
            </w:r>
          </w:p>
        </w:tc>
        <w:tc>
          <w:tcPr>
            <w:tcW w:w="2091" w:type="dxa"/>
            <w:noWrap w:val="0"/>
            <w:vAlign w:val="center"/>
          </w:tcPr>
          <w:p w14:paraId="7BF9AC60">
            <w:pPr>
              <w:jc w:val="center"/>
              <w:rPr>
                <w:szCs w:val="21"/>
              </w:rPr>
            </w:pPr>
            <w:r>
              <w:rPr>
                <w:rFonts w:hint="eastAsia"/>
                <w:szCs w:val="21"/>
              </w:rPr>
              <w:t>3.5</w:t>
            </w:r>
          </w:p>
        </w:tc>
      </w:tr>
      <w:tr w14:paraId="5DC51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281" w:type="dxa"/>
            <w:noWrap w:val="0"/>
            <w:vAlign w:val="center"/>
          </w:tcPr>
          <w:p w14:paraId="5B778A9D">
            <w:pPr>
              <w:tabs>
                <w:tab w:val="left" w:pos="0"/>
                <w:tab w:val="left" w:pos="295"/>
              </w:tabs>
              <w:jc w:val="center"/>
              <w:rPr>
                <w:rFonts w:eastAsia="楷体_GB2312"/>
                <w:szCs w:val="21"/>
              </w:rPr>
            </w:pPr>
            <w:r>
              <w:rPr>
                <w:rFonts w:hint="eastAsia" w:eastAsia="楷体_GB2312"/>
                <w:szCs w:val="21"/>
              </w:rPr>
              <w:t>16</w:t>
            </w:r>
          </w:p>
        </w:tc>
        <w:tc>
          <w:tcPr>
            <w:tcW w:w="1520" w:type="dxa"/>
            <w:noWrap w:val="0"/>
            <w:vAlign w:val="center"/>
          </w:tcPr>
          <w:p w14:paraId="0F992035">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永镇乡</w:t>
            </w:r>
          </w:p>
        </w:tc>
        <w:tc>
          <w:tcPr>
            <w:tcW w:w="1393" w:type="dxa"/>
            <w:noWrap w:val="0"/>
            <w:vAlign w:val="top"/>
          </w:tcPr>
          <w:p w14:paraId="2C882E9B">
            <w:pPr>
              <w:jc w:val="center"/>
            </w:pPr>
            <w:r>
              <w:rPr>
                <w:rFonts w:eastAsia="楷体_GB2312"/>
              </w:rPr>
              <w:t>01</w:t>
            </w:r>
          </w:p>
        </w:tc>
        <w:tc>
          <w:tcPr>
            <w:tcW w:w="2718" w:type="dxa"/>
            <w:noWrap w:val="0"/>
            <w:vAlign w:val="top"/>
          </w:tcPr>
          <w:p w14:paraId="55D50FCA">
            <w:pPr>
              <w:jc w:val="center"/>
            </w:pPr>
            <w:r>
              <w:rPr>
                <w:rFonts w:eastAsia="楷体_GB2312"/>
              </w:rPr>
              <w:t>永镇乡</w:t>
            </w:r>
            <w:r>
              <w:rPr>
                <w:rFonts w:eastAsia="楷体_GB2312"/>
                <w:szCs w:val="21"/>
              </w:rPr>
              <w:t>汽车站</w:t>
            </w:r>
          </w:p>
        </w:tc>
        <w:tc>
          <w:tcPr>
            <w:tcW w:w="2091" w:type="dxa"/>
            <w:noWrap w:val="0"/>
            <w:vAlign w:val="center"/>
          </w:tcPr>
          <w:p w14:paraId="77DA43E6">
            <w:pPr>
              <w:jc w:val="center"/>
              <w:rPr>
                <w:szCs w:val="21"/>
              </w:rPr>
            </w:pPr>
            <w:r>
              <w:rPr>
                <w:rFonts w:hint="eastAsia"/>
                <w:szCs w:val="21"/>
              </w:rPr>
              <w:t>3.6</w:t>
            </w:r>
          </w:p>
        </w:tc>
      </w:tr>
      <w:tr w14:paraId="5D15F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281" w:type="dxa"/>
            <w:noWrap w:val="0"/>
            <w:vAlign w:val="center"/>
          </w:tcPr>
          <w:p w14:paraId="3BA50C6D">
            <w:pPr>
              <w:tabs>
                <w:tab w:val="left" w:pos="0"/>
                <w:tab w:val="left" w:pos="295"/>
              </w:tabs>
              <w:jc w:val="center"/>
              <w:rPr>
                <w:rFonts w:eastAsia="楷体_GB2312"/>
                <w:szCs w:val="21"/>
              </w:rPr>
            </w:pPr>
            <w:r>
              <w:rPr>
                <w:rFonts w:hint="eastAsia" w:eastAsia="楷体_GB2312"/>
                <w:szCs w:val="21"/>
              </w:rPr>
              <w:t>17</w:t>
            </w:r>
          </w:p>
        </w:tc>
        <w:tc>
          <w:tcPr>
            <w:tcW w:w="1520" w:type="dxa"/>
            <w:noWrap w:val="0"/>
            <w:vAlign w:val="center"/>
          </w:tcPr>
          <w:p w14:paraId="6D5792BE">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解集镇</w:t>
            </w:r>
          </w:p>
        </w:tc>
        <w:tc>
          <w:tcPr>
            <w:tcW w:w="1393" w:type="dxa"/>
            <w:noWrap w:val="0"/>
            <w:vAlign w:val="top"/>
          </w:tcPr>
          <w:p w14:paraId="6B9E6359">
            <w:pPr>
              <w:jc w:val="center"/>
            </w:pPr>
            <w:r>
              <w:rPr>
                <w:rFonts w:eastAsia="楷体_GB2312"/>
              </w:rPr>
              <w:t>01</w:t>
            </w:r>
          </w:p>
        </w:tc>
        <w:tc>
          <w:tcPr>
            <w:tcW w:w="2718" w:type="dxa"/>
            <w:noWrap w:val="0"/>
            <w:vAlign w:val="top"/>
          </w:tcPr>
          <w:p w14:paraId="5E31CA57">
            <w:pPr>
              <w:jc w:val="center"/>
            </w:pPr>
            <w:r>
              <w:rPr>
                <w:rFonts w:eastAsia="楷体_GB2312"/>
              </w:rPr>
              <w:t>解集镇</w:t>
            </w:r>
            <w:r>
              <w:rPr>
                <w:rFonts w:eastAsia="楷体_GB2312"/>
                <w:szCs w:val="21"/>
              </w:rPr>
              <w:t>汽车站</w:t>
            </w:r>
          </w:p>
        </w:tc>
        <w:tc>
          <w:tcPr>
            <w:tcW w:w="2091" w:type="dxa"/>
            <w:noWrap w:val="0"/>
            <w:vAlign w:val="center"/>
          </w:tcPr>
          <w:p w14:paraId="570AE332">
            <w:pPr>
              <w:jc w:val="center"/>
              <w:rPr>
                <w:szCs w:val="21"/>
              </w:rPr>
            </w:pPr>
            <w:r>
              <w:rPr>
                <w:rFonts w:hint="eastAsia"/>
                <w:szCs w:val="21"/>
              </w:rPr>
              <w:t>5.1</w:t>
            </w:r>
          </w:p>
        </w:tc>
      </w:tr>
      <w:tr w14:paraId="34DD9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281" w:type="dxa"/>
            <w:noWrap w:val="0"/>
            <w:vAlign w:val="center"/>
          </w:tcPr>
          <w:p w14:paraId="08152F43">
            <w:pPr>
              <w:tabs>
                <w:tab w:val="left" w:pos="0"/>
                <w:tab w:val="left" w:pos="295"/>
              </w:tabs>
              <w:jc w:val="center"/>
              <w:rPr>
                <w:rFonts w:eastAsia="楷体_GB2312"/>
                <w:szCs w:val="21"/>
              </w:rPr>
            </w:pPr>
            <w:r>
              <w:rPr>
                <w:rFonts w:hint="eastAsia" w:eastAsia="楷体_GB2312"/>
                <w:szCs w:val="21"/>
              </w:rPr>
              <w:t>18</w:t>
            </w:r>
          </w:p>
        </w:tc>
        <w:tc>
          <w:tcPr>
            <w:tcW w:w="1520" w:type="dxa"/>
            <w:noWrap w:val="0"/>
            <w:vAlign w:val="center"/>
          </w:tcPr>
          <w:p w14:paraId="5004DB78">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大泽乡镇</w:t>
            </w:r>
          </w:p>
        </w:tc>
        <w:tc>
          <w:tcPr>
            <w:tcW w:w="1393" w:type="dxa"/>
            <w:noWrap w:val="0"/>
            <w:vAlign w:val="top"/>
          </w:tcPr>
          <w:p w14:paraId="74EE789E">
            <w:pPr>
              <w:jc w:val="center"/>
            </w:pPr>
            <w:r>
              <w:rPr>
                <w:rFonts w:eastAsia="楷体_GB2312"/>
              </w:rPr>
              <w:t>01</w:t>
            </w:r>
          </w:p>
        </w:tc>
        <w:tc>
          <w:tcPr>
            <w:tcW w:w="2718" w:type="dxa"/>
            <w:noWrap w:val="0"/>
            <w:vAlign w:val="top"/>
          </w:tcPr>
          <w:p w14:paraId="2CF8C98E">
            <w:pPr>
              <w:jc w:val="center"/>
            </w:pPr>
            <w:r>
              <w:rPr>
                <w:rFonts w:hint="eastAsia" w:eastAsia="楷体_GB2312"/>
              </w:rPr>
              <w:t>西寺坡客运站</w:t>
            </w:r>
          </w:p>
        </w:tc>
        <w:tc>
          <w:tcPr>
            <w:tcW w:w="2091" w:type="dxa"/>
            <w:noWrap w:val="0"/>
            <w:vAlign w:val="center"/>
          </w:tcPr>
          <w:p w14:paraId="412AB009">
            <w:pPr>
              <w:jc w:val="center"/>
              <w:rPr>
                <w:szCs w:val="21"/>
              </w:rPr>
            </w:pPr>
            <w:r>
              <w:rPr>
                <w:rFonts w:hint="eastAsia"/>
                <w:szCs w:val="21"/>
              </w:rPr>
              <w:t>6.4</w:t>
            </w:r>
          </w:p>
        </w:tc>
      </w:tr>
      <w:tr w14:paraId="31878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281" w:type="dxa"/>
            <w:noWrap w:val="0"/>
            <w:vAlign w:val="center"/>
          </w:tcPr>
          <w:p w14:paraId="2568583F">
            <w:pPr>
              <w:tabs>
                <w:tab w:val="left" w:pos="0"/>
                <w:tab w:val="left" w:pos="295"/>
              </w:tabs>
              <w:jc w:val="center"/>
              <w:rPr>
                <w:rFonts w:eastAsia="楷体_GB2312"/>
                <w:szCs w:val="21"/>
              </w:rPr>
            </w:pPr>
            <w:r>
              <w:rPr>
                <w:rFonts w:hint="eastAsia" w:eastAsia="楷体_GB2312"/>
                <w:szCs w:val="21"/>
              </w:rPr>
              <w:t>19</w:t>
            </w:r>
          </w:p>
        </w:tc>
        <w:tc>
          <w:tcPr>
            <w:tcW w:w="1520" w:type="dxa"/>
            <w:noWrap w:val="0"/>
            <w:vAlign w:val="center"/>
          </w:tcPr>
          <w:p w14:paraId="6A629C99">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永安镇</w:t>
            </w:r>
          </w:p>
        </w:tc>
        <w:tc>
          <w:tcPr>
            <w:tcW w:w="1393" w:type="dxa"/>
            <w:noWrap w:val="0"/>
            <w:vAlign w:val="top"/>
          </w:tcPr>
          <w:p w14:paraId="7387946D">
            <w:pPr>
              <w:jc w:val="center"/>
            </w:pPr>
            <w:r>
              <w:rPr>
                <w:rFonts w:eastAsia="楷体_GB2312"/>
              </w:rPr>
              <w:t>01</w:t>
            </w:r>
          </w:p>
        </w:tc>
        <w:tc>
          <w:tcPr>
            <w:tcW w:w="2718" w:type="dxa"/>
            <w:noWrap w:val="0"/>
            <w:vAlign w:val="top"/>
          </w:tcPr>
          <w:p w14:paraId="3B56DEA8">
            <w:pPr>
              <w:jc w:val="center"/>
            </w:pPr>
            <w:r>
              <w:rPr>
                <w:rFonts w:eastAsia="楷体_GB2312"/>
              </w:rPr>
              <w:t>永安镇</w:t>
            </w:r>
            <w:r>
              <w:rPr>
                <w:rFonts w:eastAsia="楷体_GB2312"/>
                <w:szCs w:val="21"/>
              </w:rPr>
              <w:t>汽车停靠站</w:t>
            </w:r>
          </w:p>
        </w:tc>
        <w:tc>
          <w:tcPr>
            <w:tcW w:w="2091" w:type="dxa"/>
            <w:noWrap w:val="0"/>
            <w:vAlign w:val="center"/>
          </w:tcPr>
          <w:p w14:paraId="4E4EE54D">
            <w:pPr>
              <w:jc w:val="center"/>
              <w:rPr>
                <w:szCs w:val="21"/>
              </w:rPr>
            </w:pPr>
            <w:r>
              <w:rPr>
                <w:rFonts w:hint="eastAsia"/>
                <w:szCs w:val="21"/>
              </w:rPr>
              <w:t>4.1</w:t>
            </w:r>
          </w:p>
        </w:tc>
      </w:tr>
      <w:tr w14:paraId="5C81D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281" w:type="dxa"/>
            <w:noWrap w:val="0"/>
            <w:vAlign w:val="center"/>
          </w:tcPr>
          <w:p w14:paraId="1819431D">
            <w:pPr>
              <w:tabs>
                <w:tab w:val="left" w:pos="0"/>
                <w:tab w:val="left" w:pos="295"/>
              </w:tabs>
              <w:jc w:val="center"/>
              <w:rPr>
                <w:rFonts w:eastAsia="楷体_GB2312"/>
                <w:szCs w:val="21"/>
              </w:rPr>
            </w:pPr>
            <w:r>
              <w:rPr>
                <w:rFonts w:hint="eastAsia" w:eastAsia="楷体_GB2312"/>
                <w:szCs w:val="21"/>
              </w:rPr>
              <w:t>20</w:t>
            </w:r>
          </w:p>
        </w:tc>
        <w:tc>
          <w:tcPr>
            <w:tcW w:w="1520" w:type="dxa"/>
            <w:noWrap w:val="0"/>
            <w:vAlign w:val="center"/>
          </w:tcPr>
          <w:p w14:paraId="25AE8798">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支河乡</w:t>
            </w:r>
          </w:p>
        </w:tc>
        <w:tc>
          <w:tcPr>
            <w:tcW w:w="1393" w:type="dxa"/>
            <w:noWrap w:val="0"/>
            <w:vAlign w:val="top"/>
          </w:tcPr>
          <w:p w14:paraId="483456FB">
            <w:pPr>
              <w:jc w:val="center"/>
            </w:pPr>
            <w:r>
              <w:rPr>
                <w:rFonts w:eastAsia="楷体_GB2312"/>
              </w:rPr>
              <w:t>01</w:t>
            </w:r>
          </w:p>
        </w:tc>
        <w:tc>
          <w:tcPr>
            <w:tcW w:w="2718" w:type="dxa"/>
            <w:noWrap w:val="0"/>
            <w:vAlign w:val="top"/>
          </w:tcPr>
          <w:p w14:paraId="5E7EC8E5">
            <w:pPr>
              <w:jc w:val="center"/>
            </w:pPr>
            <w:r>
              <w:rPr>
                <w:rFonts w:eastAsia="楷体_GB2312"/>
              </w:rPr>
              <w:t>支河乡</w:t>
            </w:r>
            <w:r>
              <w:rPr>
                <w:rFonts w:eastAsia="楷体_GB2312"/>
                <w:szCs w:val="21"/>
              </w:rPr>
              <w:t>汽车停靠站</w:t>
            </w:r>
          </w:p>
        </w:tc>
        <w:tc>
          <w:tcPr>
            <w:tcW w:w="2091" w:type="dxa"/>
            <w:noWrap w:val="0"/>
            <w:vAlign w:val="center"/>
          </w:tcPr>
          <w:p w14:paraId="1A1A40A4">
            <w:pPr>
              <w:jc w:val="center"/>
              <w:rPr>
                <w:szCs w:val="21"/>
              </w:rPr>
            </w:pPr>
            <w:r>
              <w:rPr>
                <w:rFonts w:hint="eastAsia"/>
                <w:szCs w:val="21"/>
              </w:rPr>
              <w:t>3.7</w:t>
            </w:r>
          </w:p>
        </w:tc>
      </w:tr>
      <w:tr w14:paraId="556D3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281" w:type="dxa"/>
            <w:noWrap w:val="0"/>
            <w:vAlign w:val="center"/>
          </w:tcPr>
          <w:p w14:paraId="0DE2A5DF">
            <w:pPr>
              <w:tabs>
                <w:tab w:val="left" w:pos="0"/>
                <w:tab w:val="left" w:pos="295"/>
              </w:tabs>
              <w:jc w:val="center"/>
              <w:rPr>
                <w:rFonts w:eastAsia="楷体_GB2312"/>
                <w:szCs w:val="21"/>
              </w:rPr>
            </w:pPr>
            <w:r>
              <w:rPr>
                <w:rFonts w:hint="eastAsia" w:eastAsia="楷体_GB2312"/>
                <w:szCs w:val="21"/>
              </w:rPr>
              <w:t>21</w:t>
            </w:r>
          </w:p>
        </w:tc>
        <w:tc>
          <w:tcPr>
            <w:tcW w:w="1520" w:type="dxa"/>
            <w:noWrap w:val="0"/>
            <w:vAlign w:val="center"/>
          </w:tcPr>
          <w:p w14:paraId="3085144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灰古镇</w:t>
            </w:r>
          </w:p>
        </w:tc>
        <w:tc>
          <w:tcPr>
            <w:tcW w:w="1393" w:type="dxa"/>
            <w:noWrap w:val="0"/>
            <w:vAlign w:val="top"/>
          </w:tcPr>
          <w:p w14:paraId="35919ADB">
            <w:pPr>
              <w:jc w:val="center"/>
            </w:pPr>
            <w:r>
              <w:rPr>
                <w:rFonts w:eastAsia="楷体_GB2312"/>
              </w:rPr>
              <w:t>01</w:t>
            </w:r>
          </w:p>
        </w:tc>
        <w:tc>
          <w:tcPr>
            <w:tcW w:w="2718" w:type="dxa"/>
            <w:noWrap w:val="0"/>
            <w:vAlign w:val="top"/>
          </w:tcPr>
          <w:p w14:paraId="3E6E8FC6">
            <w:pPr>
              <w:jc w:val="center"/>
            </w:pPr>
            <w:r>
              <w:rPr>
                <w:rFonts w:eastAsia="楷体_GB2312"/>
              </w:rPr>
              <w:t>灰古镇</w:t>
            </w:r>
            <w:r>
              <w:rPr>
                <w:rFonts w:eastAsia="楷体_GB2312"/>
                <w:szCs w:val="21"/>
              </w:rPr>
              <w:t>汽车停靠站</w:t>
            </w:r>
          </w:p>
        </w:tc>
        <w:tc>
          <w:tcPr>
            <w:tcW w:w="2091" w:type="dxa"/>
            <w:noWrap w:val="0"/>
            <w:vAlign w:val="center"/>
          </w:tcPr>
          <w:p w14:paraId="0BC11CD6">
            <w:pPr>
              <w:jc w:val="center"/>
              <w:rPr>
                <w:szCs w:val="21"/>
              </w:rPr>
            </w:pPr>
            <w:r>
              <w:rPr>
                <w:rFonts w:hint="eastAsia"/>
                <w:szCs w:val="21"/>
              </w:rPr>
              <w:t>4.5</w:t>
            </w:r>
          </w:p>
        </w:tc>
      </w:tr>
      <w:tr w14:paraId="5737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281" w:type="dxa"/>
            <w:noWrap w:val="0"/>
            <w:vAlign w:val="center"/>
          </w:tcPr>
          <w:p w14:paraId="706BAB7E">
            <w:pPr>
              <w:tabs>
                <w:tab w:val="left" w:pos="0"/>
                <w:tab w:val="left" w:pos="295"/>
              </w:tabs>
              <w:jc w:val="center"/>
              <w:rPr>
                <w:rFonts w:eastAsia="楷体_GB2312"/>
                <w:szCs w:val="21"/>
              </w:rPr>
            </w:pPr>
            <w:r>
              <w:rPr>
                <w:rFonts w:hint="eastAsia" w:eastAsia="楷体_GB2312"/>
                <w:szCs w:val="21"/>
              </w:rPr>
              <w:t>22</w:t>
            </w:r>
          </w:p>
        </w:tc>
        <w:tc>
          <w:tcPr>
            <w:tcW w:w="1520" w:type="dxa"/>
            <w:noWrap w:val="0"/>
            <w:vAlign w:val="center"/>
          </w:tcPr>
          <w:p w14:paraId="5BDC0408">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桃沟乡</w:t>
            </w:r>
          </w:p>
        </w:tc>
        <w:tc>
          <w:tcPr>
            <w:tcW w:w="1393" w:type="dxa"/>
            <w:noWrap w:val="0"/>
            <w:vAlign w:val="top"/>
          </w:tcPr>
          <w:p w14:paraId="26F19092">
            <w:pPr>
              <w:jc w:val="center"/>
            </w:pPr>
            <w:r>
              <w:rPr>
                <w:rFonts w:eastAsia="楷体_GB2312"/>
              </w:rPr>
              <w:t>01</w:t>
            </w:r>
          </w:p>
        </w:tc>
        <w:tc>
          <w:tcPr>
            <w:tcW w:w="2718" w:type="dxa"/>
            <w:noWrap w:val="0"/>
            <w:vAlign w:val="top"/>
          </w:tcPr>
          <w:p w14:paraId="289E34AF">
            <w:pPr>
              <w:jc w:val="center"/>
            </w:pPr>
            <w:r>
              <w:rPr>
                <w:rFonts w:eastAsia="楷体_GB2312"/>
              </w:rPr>
              <w:t>桃沟乡</w:t>
            </w:r>
            <w:r>
              <w:rPr>
                <w:rFonts w:eastAsia="楷体_GB2312"/>
                <w:szCs w:val="21"/>
              </w:rPr>
              <w:t>汽车停靠站</w:t>
            </w:r>
          </w:p>
        </w:tc>
        <w:tc>
          <w:tcPr>
            <w:tcW w:w="2091" w:type="dxa"/>
            <w:noWrap w:val="0"/>
            <w:vAlign w:val="center"/>
          </w:tcPr>
          <w:p w14:paraId="10E4CADD">
            <w:pPr>
              <w:jc w:val="center"/>
              <w:rPr>
                <w:szCs w:val="21"/>
              </w:rPr>
            </w:pPr>
            <w:r>
              <w:rPr>
                <w:rFonts w:hint="eastAsia"/>
                <w:szCs w:val="21"/>
              </w:rPr>
              <w:t>4.3</w:t>
            </w:r>
          </w:p>
        </w:tc>
      </w:tr>
    </w:tbl>
    <w:p w14:paraId="72DFAFB3">
      <w:pPr>
        <w:pStyle w:val="20"/>
        <w:spacing w:line="480" w:lineRule="exact"/>
        <w:jc w:val="center"/>
        <w:rPr>
          <w:rFonts w:ascii="Times New Roman" w:hAnsi="Times New Roman" w:eastAsia="黑体" w:cs="Times New Roman"/>
          <w:sz w:val="28"/>
        </w:rPr>
      </w:pPr>
      <w:r>
        <w:rPr>
          <w:rFonts w:ascii="Times New Roman" w:hAnsi="Times New Roman" w:eastAsia="黑体" w:cs="Times New Roman"/>
          <w:sz w:val="28"/>
        </w:rPr>
        <w:t>表1-3-</w:t>
      </w:r>
      <w:r>
        <w:rPr>
          <w:rFonts w:hint="eastAsia" w:ascii="Times New Roman" w:hAnsi="Times New Roman" w:eastAsia="黑体" w:cs="Times New Roman"/>
          <w:sz w:val="28"/>
        </w:rPr>
        <w:t>29</w:t>
      </w:r>
      <w:r>
        <w:rPr>
          <w:rFonts w:ascii="Times New Roman" w:hAnsi="Times New Roman" w:eastAsia="黑体" w:cs="Times New Roman"/>
          <w:sz w:val="28"/>
        </w:rPr>
        <w:t xml:space="preserve">  埇桥区各乡镇</w:t>
      </w:r>
      <w:r>
        <w:rPr>
          <w:rFonts w:hint="eastAsia" w:ascii="Times New Roman" w:hAnsi="Times New Roman" w:eastAsia="黑体" w:cs="Times New Roman"/>
          <w:sz w:val="28"/>
        </w:rPr>
        <w:t>火车站</w:t>
      </w:r>
      <w:r>
        <w:rPr>
          <w:rFonts w:ascii="Times New Roman" w:hAnsi="Times New Roman" w:eastAsia="黑体" w:cs="Times New Roman"/>
          <w:sz w:val="28"/>
        </w:rPr>
        <w:t>调查表</w:t>
      </w:r>
    </w:p>
    <w:tbl>
      <w:tblPr>
        <w:tblStyle w:val="3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1"/>
        <w:gridCol w:w="1379"/>
        <w:gridCol w:w="1534"/>
        <w:gridCol w:w="2718"/>
        <w:gridCol w:w="2091"/>
      </w:tblGrid>
      <w:tr w14:paraId="17A26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1" w:type="dxa"/>
            <w:noWrap w:val="0"/>
            <w:vAlign w:val="center"/>
          </w:tcPr>
          <w:p w14:paraId="64566E41">
            <w:pPr>
              <w:pStyle w:val="100"/>
              <w:widowControl w:val="0"/>
              <w:pBdr>
                <w:left w:val="none" w:color="auto" w:sz="0" w:space="0"/>
                <w:bottom w:val="none" w:color="auto" w:sz="0" w:space="0"/>
                <w:right w:val="none" w:color="auto" w:sz="0" w:space="0"/>
              </w:pBdr>
              <w:spacing w:before="0" w:beforeAutospacing="0" w:after="0" w:afterAutospacing="0" w:line="0" w:lineRule="atLeast"/>
              <w:jc w:val="center"/>
              <w:textAlignment w:val="auto"/>
              <w:rPr>
                <w:rFonts w:eastAsia="楷体_GB2312"/>
                <w:kern w:val="2"/>
              </w:rPr>
            </w:pPr>
            <w:r>
              <w:rPr>
                <w:rFonts w:eastAsia="楷体_GB2312"/>
                <w:kern w:val="2"/>
              </w:rPr>
              <w:t>城镇编号</w:t>
            </w:r>
          </w:p>
        </w:tc>
        <w:tc>
          <w:tcPr>
            <w:tcW w:w="1379" w:type="dxa"/>
            <w:noWrap w:val="0"/>
            <w:vAlign w:val="center"/>
          </w:tcPr>
          <w:p w14:paraId="0F771558">
            <w:pPr>
              <w:spacing w:line="0" w:lineRule="atLeast"/>
              <w:jc w:val="center"/>
              <w:rPr>
                <w:rFonts w:eastAsia="楷体_GB2312"/>
                <w:szCs w:val="21"/>
              </w:rPr>
            </w:pPr>
            <w:r>
              <w:rPr>
                <w:rFonts w:eastAsia="楷体_GB2312"/>
                <w:szCs w:val="21"/>
              </w:rPr>
              <w:t>乡镇名称</w:t>
            </w:r>
          </w:p>
        </w:tc>
        <w:tc>
          <w:tcPr>
            <w:tcW w:w="1534" w:type="dxa"/>
            <w:noWrap w:val="0"/>
            <w:vAlign w:val="center"/>
          </w:tcPr>
          <w:p w14:paraId="52B6426D">
            <w:pPr>
              <w:spacing w:line="0" w:lineRule="atLeast"/>
              <w:jc w:val="center"/>
              <w:rPr>
                <w:rFonts w:eastAsia="楷体_GB2312"/>
              </w:rPr>
            </w:pPr>
            <w:r>
              <w:rPr>
                <w:rFonts w:eastAsia="楷体_GB2312"/>
              </w:rPr>
              <w:t>汽车站编号</w:t>
            </w:r>
          </w:p>
        </w:tc>
        <w:tc>
          <w:tcPr>
            <w:tcW w:w="2718" w:type="dxa"/>
            <w:noWrap w:val="0"/>
            <w:vAlign w:val="center"/>
          </w:tcPr>
          <w:p w14:paraId="06C0E7CA">
            <w:pPr>
              <w:pStyle w:val="94"/>
              <w:spacing w:line="0" w:lineRule="atLeast"/>
              <w:jc w:val="center"/>
              <w:rPr>
                <w:rFonts w:eastAsia="楷体_GB2312"/>
              </w:rPr>
            </w:pPr>
            <w:r>
              <w:rPr>
                <w:rFonts w:eastAsia="楷体_GB2312"/>
              </w:rPr>
              <w:t>汽车站名称</w:t>
            </w:r>
          </w:p>
        </w:tc>
        <w:tc>
          <w:tcPr>
            <w:tcW w:w="2091" w:type="dxa"/>
            <w:noWrap w:val="0"/>
            <w:vAlign w:val="center"/>
          </w:tcPr>
          <w:p w14:paraId="156CEF46">
            <w:pPr>
              <w:pStyle w:val="150"/>
              <w:rPr>
                <w:rFonts w:eastAsia="楷体_GB2312"/>
              </w:rPr>
            </w:pPr>
            <w:r>
              <w:rPr>
                <w:rFonts w:hint="eastAsia" w:eastAsia="楷体_GB2312"/>
              </w:rPr>
              <w:t>货</w:t>
            </w:r>
            <w:r>
              <w:rPr>
                <w:rFonts w:eastAsia="楷体_GB2312"/>
              </w:rPr>
              <w:t>运量（万</w:t>
            </w:r>
            <w:r>
              <w:rPr>
                <w:rFonts w:hint="eastAsia" w:eastAsia="楷体_GB2312"/>
              </w:rPr>
              <w:t>吨</w:t>
            </w:r>
            <w:r>
              <w:rPr>
                <w:rFonts w:eastAsia="楷体_GB2312"/>
              </w:rPr>
              <w:t>/年）</w:t>
            </w:r>
          </w:p>
        </w:tc>
      </w:tr>
      <w:tr w14:paraId="1BB8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281" w:type="dxa"/>
            <w:noWrap w:val="0"/>
            <w:vAlign w:val="center"/>
          </w:tcPr>
          <w:p w14:paraId="7F8E0D54">
            <w:pPr>
              <w:tabs>
                <w:tab w:val="left" w:pos="0"/>
                <w:tab w:val="left" w:pos="295"/>
              </w:tabs>
              <w:jc w:val="center"/>
              <w:rPr>
                <w:rFonts w:eastAsia="楷体_GB2312"/>
                <w:szCs w:val="21"/>
              </w:rPr>
            </w:pPr>
            <w:r>
              <w:rPr>
                <w:rFonts w:eastAsia="楷体_GB2312"/>
                <w:szCs w:val="21"/>
              </w:rPr>
              <w:t>1</w:t>
            </w:r>
          </w:p>
        </w:tc>
        <w:tc>
          <w:tcPr>
            <w:tcW w:w="1379" w:type="dxa"/>
            <w:noWrap w:val="0"/>
            <w:vAlign w:val="center"/>
          </w:tcPr>
          <w:p w14:paraId="72A43630">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符离镇</w:t>
            </w:r>
          </w:p>
        </w:tc>
        <w:tc>
          <w:tcPr>
            <w:tcW w:w="1534" w:type="dxa"/>
            <w:noWrap w:val="0"/>
            <w:vAlign w:val="center"/>
          </w:tcPr>
          <w:p w14:paraId="453BB420">
            <w:pPr>
              <w:spacing w:line="0" w:lineRule="atLeast"/>
              <w:jc w:val="center"/>
              <w:rPr>
                <w:rFonts w:eastAsia="楷体_GB2312"/>
              </w:rPr>
            </w:pPr>
            <w:r>
              <w:rPr>
                <w:rFonts w:eastAsia="楷体_GB2312"/>
              </w:rPr>
              <w:t>01</w:t>
            </w:r>
          </w:p>
        </w:tc>
        <w:tc>
          <w:tcPr>
            <w:tcW w:w="2718" w:type="dxa"/>
            <w:noWrap w:val="0"/>
            <w:vAlign w:val="center"/>
          </w:tcPr>
          <w:p w14:paraId="1ED4D5B9">
            <w:pPr>
              <w:jc w:val="center"/>
              <w:rPr>
                <w:rFonts w:eastAsia="楷体_GB2312"/>
                <w:szCs w:val="21"/>
              </w:rPr>
            </w:pPr>
            <w:r>
              <w:rPr>
                <w:rFonts w:hint="eastAsia" w:eastAsia="楷体_GB2312"/>
                <w:szCs w:val="21"/>
              </w:rPr>
              <w:t>符离火车站</w:t>
            </w:r>
          </w:p>
        </w:tc>
        <w:tc>
          <w:tcPr>
            <w:tcW w:w="2091" w:type="dxa"/>
            <w:noWrap w:val="0"/>
            <w:vAlign w:val="center"/>
          </w:tcPr>
          <w:p w14:paraId="61CA276D">
            <w:pPr>
              <w:jc w:val="center"/>
              <w:rPr>
                <w:szCs w:val="21"/>
              </w:rPr>
            </w:pPr>
            <w:r>
              <w:rPr>
                <w:rFonts w:hint="eastAsia"/>
                <w:szCs w:val="21"/>
              </w:rPr>
              <w:t>18.5</w:t>
            </w:r>
          </w:p>
        </w:tc>
      </w:tr>
      <w:tr w14:paraId="5E7D8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281" w:type="dxa"/>
            <w:noWrap w:val="0"/>
            <w:vAlign w:val="center"/>
          </w:tcPr>
          <w:p w14:paraId="53F2B588">
            <w:pPr>
              <w:tabs>
                <w:tab w:val="left" w:pos="0"/>
                <w:tab w:val="left" w:pos="295"/>
              </w:tabs>
              <w:jc w:val="center"/>
              <w:rPr>
                <w:rFonts w:eastAsia="楷体_GB2312"/>
                <w:szCs w:val="21"/>
              </w:rPr>
            </w:pPr>
            <w:r>
              <w:rPr>
                <w:rFonts w:eastAsia="楷体_GB2312"/>
                <w:szCs w:val="21"/>
              </w:rPr>
              <w:t>2</w:t>
            </w:r>
          </w:p>
        </w:tc>
        <w:tc>
          <w:tcPr>
            <w:tcW w:w="1379" w:type="dxa"/>
            <w:noWrap w:val="0"/>
            <w:vAlign w:val="center"/>
          </w:tcPr>
          <w:p w14:paraId="39434939">
            <w:pPr>
              <w:pStyle w:val="20"/>
              <w:tabs>
                <w:tab w:val="left" w:pos="0"/>
                <w:tab w:val="left" w:pos="295"/>
              </w:tabs>
              <w:jc w:val="center"/>
              <w:rPr>
                <w:rFonts w:ascii="Times New Roman" w:hAnsi="Times New Roman" w:eastAsia="楷体_GB2312" w:cs="Times New Roman"/>
              </w:rPr>
            </w:pPr>
            <w:r>
              <w:rPr>
                <w:rFonts w:hint="eastAsia" w:ascii="Times New Roman" w:hAnsi="Times New Roman" w:eastAsia="楷体_GB2312" w:cs="Times New Roman"/>
              </w:rPr>
              <w:t>曹村镇</w:t>
            </w:r>
          </w:p>
        </w:tc>
        <w:tc>
          <w:tcPr>
            <w:tcW w:w="1534" w:type="dxa"/>
            <w:noWrap w:val="0"/>
            <w:vAlign w:val="center"/>
          </w:tcPr>
          <w:p w14:paraId="43ADDF60">
            <w:pPr>
              <w:spacing w:line="0" w:lineRule="atLeast"/>
              <w:jc w:val="center"/>
              <w:rPr>
                <w:rFonts w:eastAsia="楷体_GB2312"/>
              </w:rPr>
            </w:pPr>
            <w:r>
              <w:rPr>
                <w:rFonts w:hint="eastAsia" w:eastAsia="楷体_GB2312"/>
              </w:rPr>
              <w:t>01</w:t>
            </w:r>
          </w:p>
        </w:tc>
        <w:tc>
          <w:tcPr>
            <w:tcW w:w="2718" w:type="dxa"/>
            <w:noWrap w:val="0"/>
            <w:vAlign w:val="center"/>
          </w:tcPr>
          <w:p w14:paraId="0CBAE923">
            <w:pPr>
              <w:jc w:val="center"/>
              <w:rPr>
                <w:rFonts w:eastAsia="楷体_GB2312"/>
                <w:szCs w:val="21"/>
              </w:rPr>
            </w:pPr>
            <w:r>
              <w:rPr>
                <w:rFonts w:hint="eastAsia" w:eastAsia="楷体_GB2312"/>
                <w:szCs w:val="21"/>
              </w:rPr>
              <w:t>曹村火车站</w:t>
            </w:r>
          </w:p>
        </w:tc>
        <w:tc>
          <w:tcPr>
            <w:tcW w:w="2091" w:type="dxa"/>
            <w:noWrap w:val="0"/>
            <w:vAlign w:val="center"/>
          </w:tcPr>
          <w:p w14:paraId="6326A9A2">
            <w:pPr>
              <w:jc w:val="center"/>
              <w:rPr>
                <w:szCs w:val="21"/>
              </w:rPr>
            </w:pPr>
            <w:r>
              <w:rPr>
                <w:rFonts w:hint="eastAsia"/>
                <w:szCs w:val="21"/>
              </w:rPr>
              <w:t>10.3</w:t>
            </w:r>
          </w:p>
        </w:tc>
      </w:tr>
      <w:tr w14:paraId="4340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1281" w:type="dxa"/>
            <w:noWrap w:val="0"/>
            <w:vAlign w:val="center"/>
          </w:tcPr>
          <w:p w14:paraId="4DAA6D6A">
            <w:pPr>
              <w:tabs>
                <w:tab w:val="left" w:pos="0"/>
                <w:tab w:val="left" w:pos="295"/>
              </w:tabs>
              <w:jc w:val="center"/>
              <w:rPr>
                <w:rFonts w:eastAsia="楷体_GB2312"/>
                <w:szCs w:val="21"/>
              </w:rPr>
            </w:pPr>
            <w:r>
              <w:rPr>
                <w:rFonts w:eastAsia="楷体_GB2312"/>
                <w:szCs w:val="21"/>
              </w:rPr>
              <w:t>3</w:t>
            </w:r>
          </w:p>
        </w:tc>
        <w:tc>
          <w:tcPr>
            <w:tcW w:w="1379" w:type="dxa"/>
            <w:noWrap w:val="0"/>
            <w:vAlign w:val="center"/>
          </w:tcPr>
          <w:p w14:paraId="1A593D8E">
            <w:pPr>
              <w:pStyle w:val="20"/>
              <w:tabs>
                <w:tab w:val="left" w:pos="0"/>
                <w:tab w:val="left" w:pos="295"/>
              </w:tabs>
              <w:jc w:val="center"/>
              <w:rPr>
                <w:rFonts w:ascii="Times New Roman" w:hAnsi="Times New Roman" w:eastAsia="楷体_GB2312" w:cs="Times New Roman"/>
              </w:rPr>
            </w:pPr>
            <w:r>
              <w:rPr>
                <w:rFonts w:hint="eastAsia" w:ascii="Times New Roman" w:hAnsi="Times New Roman" w:eastAsia="楷体_GB2312" w:cs="Times New Roman"/>
              </w:rPr>
              <w:t>大泽乡镇</w:t>
            </w:r>
          </w:p>
        </w:tc>
        <w:tc>
          <w:tcPr>
            <w:tcW w:w="1534" w:type="dxa"/>
            <w:noWrap w:val="0"/>
            <w:vAlign w:val="center"/>
          </w:tcPr>
          <w:p w14:paraId="0C5348B0">
            <w:pPr>
              <w:spacing w:line="0" w:lineRule="atLeast"/>
              <w:jc w:val="center"/>
              <w:rPr>
                <w:rFonts w:eastAsia="楷体_GB2312"/>
              </w:rPr>
            </w:pPr>
            <w:r>
              <w:rPr>
                <w:rFonts w:hint="eastAsia" w:eastAsia="楷体_GB2312"/>
              </w:rPr>
              <w:t>01</w:t>
            </w:r>
          </w:p>
        </w:tc>
        <w:tc>
          <w:tcPr>
            <w:tcW w:w="2718" w:type="dxa"/>
            <w:noWrap w:val="0"/>
            <w:vAlign w:val="center"/>
          </w:tcPr>
          <w:p w14:paraId="4C0E655A">
            <w:pPr>
              <w:jc w:val="center"/>
              <w:rPr>
                <w:rFonts w:eastAsia="楷体_GB2312"/>
                <w:szCs w:val="21"/>
              </w:rPr>
            </w:pPr>
            <w:r>
              <w:rPr>
                <w:rFonts w:hint="eastAsia" w:eastAsia="楷体_GB2312"/>
                <w:szCs w:val="21"/>
              </w:rPr>
              <w:t>西寺坡火车站</w:t>
            </w:r>
          </w:p>
        </w:tc>
        <w:tc>
          <w:tcPr>
            <w:tcW w:w="2091" w:type="dxa"/>
            <w:noWrap w:val="0"/>
            <w:vAlign w:val="center"/>
          </w:tcPr>
          <w:p w14:paraId="058E016A">
            <w:pPr>
              <w:jc w:val="center"/>
              <w:rPr>
                <w:szCs w:val="21"/>
              </w:rPr>
            </w:pPr>
            <w:r>
              <w:rPr>
                <w:rFonts w:hint="eastAsia"/>
                <w:szCs w:val="21"/>
              </w:rPr>
              <w:t>4.8</w:t>
            </w:r>
          </w:p>
        </w:tc>
      </w:tr>
    </w:tbl>
    <w:p w14:paraId="42A4FE60">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二、对外交通设施功能分和服务半径的确定</w:t>
      </w:r>
    </w:p>
    <w:p w14:paraId="4649CC32">
      <w:pPr>
        <w:pStyle w:val="20"/>
        <w:spacing w:line="470" w:lineRule="exact"/>
        <w:ind w:firstLine="562" w:firstLineChars="200"/>
        <w:rPr>
          <w:rFonts w:ascii="Times New Roman" w:hAnsi="Times New Roman" w:eastAsia="楷体_GB2312" w:cs="Times New Roman"/>
          <w:b/>
          <w:sz w:val="28"/>
        </w:rPr>
      </w:pPr>
      <w:r>
        <w:rPr>
          <w:rFonts w:hint="eastAsia" w:ascii="Times New Roman" w:hAnsi="Times New Roman" w:eastAsia="楷体_GB2312" w:cs="Times New Roman"/>
          <w:b/>
          <w:sz w:val="28"/>
        </w:rPr>
        <w:t>1</w:t>
      </w:r>
      <w:r>
        <w:rPr>
          <w:rFonts w:ascii="Times New Roman" w:hAnsi="Times New Roman" w:eastAsia="楷体_GB2312" w:cs="Times New Roman"/>
          <w:b/>
          <w:sz w:val="28"/>
        </w:rPr>
        <w:t>、</w:t>
      </w:r>
      <w:r>
        <w:rPr>
          <w:rFonts w:hint="eastAsia" w:ascii="Times New Roman" w:hAnsi="Times New Roman" w:eastAsia="楷体_GB2312" w:cs="Times New Roman"/>
          <w:b/>
          <w:sz w:val="28"/>
        </w:rPr>
        <w:t>汽</w:t>
      </w:r>
      <w:r>
        <w:rPr>
          <w:rFonts w:ascii="Times New Roman" w:hAnsi="Times New Roman" w:eastAsia="楷体_GB2312" w:cs="Times New Roman"/>
          <w:b/>
          <w:sz w:val="28"/>
        </w:rPr>
        <w:t>车站作用指数、功能分和服务半径的确定</w:t>
      </w:r>
    </w:p>
    <w:p w14:paraId="5E19E18C">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 xml:space="preserve">目前各乡镇镇区有1个汽车集中停靠点，如果只有一个汽车集中停靠点，其作用指数为1，功能分直接赋100分，服务半径为该设施到连片建成区的最大距离，即到本次定级范围的最大距离；如有1个以上汽车集中停靠点，汽车站功能分和服务半径的确定按下列步骤进行： </w:t>
      </w:r>
    </w:p>
    <w:p w14:paraId="76CF9A17">
      <w:pPr>
        <w:pStyle w:val="20"/>
        <w:spacing w:line="480" w:lineRule="exact"/>
        <w:ind w:firstLine="560" w:firstLineChars="200"/>
        <w:rPr>
          <w:rFonts w:ascii="Times New Roman" w:hAnsi="Times New Roman" w:eastAsia="楷体_GB2312" w:cs="Times New Roman"/>
          <w:sz w:val="28"/>
        </w:rPr>
      </w:pPr>
      <w:r>
        <w:rPr>
          <w:rFonts w:hint="eastAsia" w:ascii="Times New Roman" w:hAnsi="Times New Roman" w:eastAsia="楷体_GB2312" w:cs="Times New Roman"/>
          <w:sz w:val="28"/>
        </w:rPr>
        <w:t>（1）</w:t>
      </w:r>
      <w:r>
        <w:rPr>
          <w:rFonts w:ascii="Times New Roman" w:hAnsi="Times New Roman" w:eastAsia="楷体_GB2312" w:cs="Times New Roman"/>
          <w:sz w:val="28"/>
        </w:rPr>
        <w:t>将汽车站的客运量进行最大值标准化处理，计算出作用指数。</w:t>
      </w:r>
    </w:p>
    <w:p w14:paraId="54881445">
      <w:pPr>
        <w:pStyle w:val="20"/>
        <w:spacing w:line="480" w:lineRule="exact"/>
        <w:ind w:firstLine="560" w:firstLineChars="200"/>
        <w:rPr>
          <w:rFonts w:ascii="Times New Roman" w:hAnsi="Times New Roman" w:eastAsia="楷体_GB2312" w:cs="Times New Roman"/>
          <w:sz w:val="28"/>
        </w:rPr>
      </w:pPr>
      <w:r>
        <w:rPr>
          <w:rFonts w:hint="eastAsia" w:ascii="Times New Roman" w:hAnsi="Times New Roman" w:eastAsia="楷体_GB2312" w:cs="Times New Roman"/>
          <w:sz w:val="28"/>
        </w:rPr>
        <w:t>（2）</w:t>
      </w:r>
      <w:r>
        <w:rPr>
          <w:rFonts w:ascii="Times New Roman" w:hAnsi="Times New Roman" w:eastAsia="楷体_GB2312" w:cs="Times New Roman"/>
          <w:sz w:val="28"/>
        </w:rPr>
        <w:t>按汽车站的作用指数和实际情况将其划分级别。</w:t>
      </w:r>
    </w:p>
    <w:p w14:paraId="19C19612">
      <w:pPr>
        <w:pStyle w:val="20"/>
        <w:spacing w:line="480" w:lineRule="exact"/>
        <w:ind w:firstLine="560" w:firstLineChars="200"/>
        <w:rPr>
          <w:rFonts w:ascii="Times New Roman" w:hAnsi="Times New Roman" w:eastAsia="楷体_GB2312" w:cs="Times New Roman"/>
          <w:sz w:val="28"/>
        </w:rPr>
      </w:pPr>
      <w:r>
        <w:rPr>
          <w:rFonts w:hint="eastAsia" w:ascii="Times New Roman" w:hAnsi="Times New Roman" w:eastAsia="楷体_GB2312" w:cs="Times New Roman"/>
          <w:sz w:val="28"/>
        </w:rPr>
        <w:t>（3）</w:t>
      </w:r>
      <w:r>
        <w:rPr>
          <w:rFonts w:ascii="Times New Roman" w:hAnsi="Times New Roman" w:eastAsia="楷体_GB2312" w:cs="Times New Roman"/>
          <w:sz w:val="28"/>
        </w:rPr>
        <w:t>汽车站作用指数反映汽车站在对外交通运输中的重要程度，指数与设施作用大小呈正比，数值在0-1之间，各指数值之和等于1。</w:t>
      </w:r>
    </w:p>
    <w:p w14:paraId="1901194B">
      <w:pPr>
        <w:pStyle w:val="20"/>
        <w:spacing w:line="480" w:lineRule="exact"/>
        <w:ind w:firstLine="700" w:firstLineChars="250"/>
        <w:rPr>
          <w:rFonts w:ascii="Times New Roman" w:hAnsi="Times New Roman" w:eastAsia="楷体_GB2312" w:cs="Times New Roman"/>
          <w:sz w:val="28"/>
        </w:rPr>
      </w:pPr>
      <w:r>
        <w:rPr>
          <w:rFonts w:hint="eastAsia" w:ascii="Times New Roman" w:hAnsi="Times New Roman" w:eastAsia="楷体_GB2312" w:cs="Times New Roman"/>
          <w:sz w:val="28"/>
        </w:rPr>
        <w:t>（4）</w:t>
      </w:r>
      <w:r>
        <w:rPr>
          <w:rFonts w:ascii="Times New Roman" w:hAnsi="Times New Roman" w:eastAsia="楷体_GB2312" w:cs="Times New Roman"/>
          <w:sz w:val="28"/>
        </w:rPr>
        <w:t>汽车站功能分按下式计算：</w:t>
      </w:r>
    </w:p>
    <w:p w14:paraId="22F71F8B">
      <w:pPr>
        <w:pStyle w:val="20"/>
        <w:spacing w:line="480" w:lineRule="exact"/>
        <w:jc w:val="center"/>
        <w:rPr>
          <w:rFonts w:ascii="Times New Roman" w:hAnsi="Times New Roman" w:eastAsia="仿宋_GB2312" w:cs="Times New Roman"/>
          <w:sz w:val="28"/>
        </w:rPr>
      </w:pPr>
      <w:r>
        <w:rPr>
          <w:rFonts w:ascii="Times New Roman" w:hAnsi="Times New Roman" w:eastAsia="仿宋_GB2312" w:cs="Times New Roman"/>
          <w:sz w:val="28"/>
        </w:rPr>
        <w:object>
          <v:shape id="_x0000_i1034" o:spt="75" type="#_x0000_t75" style="height:19pt;width:70pt;" o:ole="t" filled="f" o:preferrelative="t" stroked="f" coordsize="21600,21600">
            <v:path/>
            <v:fill on="f" alignshape="1" focussize="0,0"/>
            <v:stroke on="f"/>
            <v:imagedata r:id="rId54" o:title=""/>
            <o:lock v:ext="edit" aspectratio="t"/>
            <w10:wrap type="none"/>
            <w10:anchorlock/>
          </v:shape>
          <o:OLEObject Type="Embed" ProgID="Equation.3" ShapeID="_x0000_i1034" DrawAspect="Content" ObjectID="_1468075734" r:id="rId53">
            <o:LockedField>false</o:LockedField>
          </o:OLEObject>
        </w:object>
      </w:r>
    </w:p>
    <w:p w14:paraId="3A324E02">
      <w:pPr>
        <w:pStyle w:val="20"/>
        <w:spacing w:line="480" w:lineRule="exact"/>
        <w:ind w:firstLine="700" w:firstLineChars="250"/>
        <w:rPr>
          <w:rFonts w:ascii="Times New Roman" w:hAnsi="Times New Roman" w:eastAsia="楷体_GB2312" w:cs="Times New Roman"/>
          <w:sz w:val="28"/>
        </w:rPr>
      </w:pPr>
      <w:r>
        <w:rPr>
          <w:rFonts w:ascii="Times New Roman" w:hAnsi="Times New Roman" w:eastAsia="楷体_GB2312" w:cs="Times New Roman"/>
          <w:sz w:val="28"/>
        </w:rPr>
        <w:t>式中：</w:t>
      </w:r>
    </w:p>
    <w:p w14:paraId="5CB8B4CF">
      <w:pPr>
        <w:pStyle w:val="20"/>
        <w:spacing w:line="480" w:lineRule="exact"/>
        <w:ind w:firstLine="1400" w:firstLineChars="500"/>
        <w:rPr>
          <w:rFonts w:ascii="Times New Roman" w:hAnsi="Times New Roman" w:eastAsia="仿宋_GB2312" w:cs="Times New Roman"/>
          <w:sz w:val="28"/>
        </w:rPr>
      </w:pPr>
      <w:r>
        <w:rPr>
          <w:rFonts w:ascii="Times New Roman" w:hAnsi="Times New Roman" w:eastAsia="仿宋_GB2312" w:cs="Times New Roman"/>
          <w:sz w:val="28"/>
        </w:rPr>
        <w:object>
          <v:shape id="_x0000_i1035" o:spt="75" type="#_x0000_t75" style="height:19pt;width:17pt;" o:ole="t" filled="f" stroked="f" coordsize="21600,21600">
            <v:path/>
            <v:fill on="f" focussize="0,0"/>
            <v:stroke on="f"/>
            <v:imagedata r:id="rId56" o:title=""/>
            <o:lock v:ext="edit" aspectratio="t"/>
            <w10:wrap type="none"/>
            <w10:anchorlock/>
          </v:shape>
          <o:OLEObject Type="Embed" ProgID="Equation.3" ShapeID="_x0000_i1035" DrawAspect="Content" ObjectID="_1468075735" r:id="rId55">
            <o:LockedField>false</o:LockedField>
          </o:OLEObject>
        </w:object>
      </w:r>
      <w:r>
        <w:rPr>
          <w:rFonts w:ascii="Times New Roman" w:hAnsi="Times New Roman" w:eastAsia="仿宋_GB2312" w:cs="Times New Roman"/>
          <w:sz w:val="28"/>
        </w:rPr>
        <w:t>—i</w:t>
      </w:r>
      <w:r>
        <w:rPr>
          <w:rFonts w:ascii="Times New Roman" w:hAnsi="Times New Roman" w:eastAsia="楷体_GB2312" w:cs="Times New Roman"/>
          <w:sz w:val="28"/>
        </w:rPr>
        <w:t>汽车站的功能分</w:t>
      </w:r>
      <w:r>
        <w:rPr>
          <w:rFonts w:ascii="Times New Roman" w:hAnsi="Times New Roman" w:eastAsia="仿宋_GB2312" w:cs="Times New Roman"/>
          <w:sz w:val="28"/>
        </w:rPr>
        <w:t>；</w:t>
      </w:r>
    </w:p>
    <w:p w14:paraId="3954640F">
      <w:pPr>
        <w:pStyle w:val="20"/>
        <w:spacing w:line="480" w:lineRule="exact"/>
        <w:ind w:firstLine="1400" w:firstLineChars="500"/>
        <w:rPr>
          <w:rFonts w:ascii="Times New Roman" w:hAnsi="Times New Roman" w:eastAsia="仿宋_GB2312" w:cs="Times New Roman"/>
          <w:sz w:val="28"/>
        </w:rPr>
      </w:pPr>
      <w:r>
        <w:rPr>
          <w:rFonts w:ascii="Times New Roman" w:hAnsi="Times New Roman" w:eastAsia="仿宋_GB2312" w:cs="Times New Roman"/>
          <w:sz w:val="28"/>
        </w:rPr>
        <w:object>
          <v:shape id="_x0000_i1036" o:spt="75" type="#_x0000_t75" style="height:19pt;width:15pt;" o:ole="t" filled="f" stroked="f" coordsize="21600,21600">
            <v:path/>
            <v:fill on="f" focussize="0,0"/>
            <v:stroke on="f"/>
            <v:imagedata r:id="rId58" o:title=""/>
            <o:lock v:ext="edit" aspectratio="t"/>
            <w10:wrap type="none"/>
            <w10:anchorlock/>
          </v:shape>
          <o:OLEObject Type="Embed" ProgID="Equation.3" ShapeID="_x0000_i1036" DrawAspect="Content" ObjectID="_1468075736" r:id="rId57">
            <o:LockedField>false</o:LockedField>
          </o:OLEObject>
        </w:object>
      </w:r>
      <w:r>
        <w:rPr>
          <w:rFonts w:ascii="Times New Roman" w:hAnsi="Times New Roman" w:eastAsia="仿宋_GB2312" w:cs="Times New Roman"/>
          <w:sz w:val="28"/>
        </w:rPr>
        <w:t>—i</w:t>
      </w:r>
      <w:r>
        <w:rPr>
          <w:rFonts w:ascii="Times New Roman" w:hAnsi="Times New Roman" w:eastAsia="楷体_GB2312" w:cs="Times New Roman"/>
          <w:sz w:val="28"/>
        </w:rPr>
        <w:t>汽车站的作用指数，见下式</w:t>
      </w:r>
      <w:r>
        <w:rPr>
          <w:rFonts w:ascii="Times New Roman" w:hAnsi="Times New Roman" w:eastAsia="仿宋_GB2312" w:cs="Times New Roman"/>
          <w:sz w:val="28"/>
        </w:rPr>
        <w:t>：</w:t>
      </w:r>
    </w:p>
    <w:p w14:paraId="6901F321">
      <w:pPr>
        <w:pStyle w:val="20"/>
        <w:spacing w:line="480" w:lineRule="exact"/>
        <w:jc w:val="center"/>
        <w:rPr>
          <w:rFonts w:ascii="Times New Roman" w:hAnsi="Times New Roman" w:eastAsia="仿宋_GB2312" w:cs="Times New Roman"/>
          <w:sz w:val="28"/>
        </w:rPr>
      </w:pPr>
      <w:r>
        <w:rPr>
          <w:rFonts w:ascii="Times New Roman" w:hAnsi="Times New Roman" w:eastAsia="仿宋_GB2312" w:cs="Times New Roman"/>
          <w:sz w:val="28"/>
        </w:rPr>
        <w:object>
          <v:shape id="_x0000_i1037" o:spt="75" type="#_x0000_t75" style="height:19pt;width:70pt;" o:ole="t" filled="f" o:preferrelative="t" stroked="f" coordsize="21600,21600">
            <v:path/>
            <v:fill on="f" alignshape="1" focussize="0,0"/>
            <v:stroke on="f"/>
            <v:imagedata r:id="rId60" o:title=""/>
            <o:lock v:ext="edit" aspectratio="t"/>
            <w10:wrap type="none"/>
            <w10:anchorlock/>
          </v:shape>
          <o:OLEObject Type="Embed" ProgID="Equation.3" ShapeID="_x0000_i1037" DrawAspect="Content" ObjectID="_1468075737" r:id="rId59">
            <o:LockedField>false</o:LockedField>
          </o:OLEObject>
        </w:object>
      </w:r>
    </w:p>
    <w:p w14:paraId="25D0EEC8">
      <w:pPr>
        <w:pStyle w:val="20"/>
        <w:spacing w:line="480" w:lineRule="exact"/>
        <w:ind w:firstLine="1400" w:firstLineChars="500"/>
        <w:rPr>
          <w:rFonts w:ascii="Times New Roman" w:hAnsi="Times New Roman" w:eastAsia="楷体_GB2312" w:cs="Times New Roman"/>
          <w:sz w:val="28"/>
        </w:rPr>
      </w:pPr>
      <w:r>
        <w:rPr>
          <w:rFonts w:ascii="Times New Roman" w:hAnsi="Times New Roman" w:eastAsia="仿宋_GB2312" w:cs="Times New Roman"/>
          <w:sz w:val="28"/>
        </w:rPr>
        <w:object>
          <v:shape id="_x0000_i1038" o:spt="75" type="#_x0000_t75" style="height:19pt;width:15pt;" o:ole="t" filled="f" stroked="f" coordsize="21600,21600">
            <v:path/>
            <v:fill on="f" focussize="0,0"/>
            <v:stroke on="f"/>
            <v:imagedata r:id="rId62" o:title=""/>
            <o:lock v:ext="edit" aspectratio="t"/>
            <w10:wrap type="none"/>
            <w10:anchorlock/>
          </v:shape>
          <o:OLEObject Type="Embed" ProgID="Equation.3" ShapeID="_x0000_i1038" DrawAspect="Content" ObjectID="_1468075738" r:id="rId61">
            <o:LockedField>false</o:LockedField>
          </o:OLEObject>
        </w:object>
      </w:r>
      <w:r>
        <w:rPr>
          <w:rFonts w:ascii="Times New Roman" w:hAnsi="Times New Roman" w:eastAsia="仿宋_GB2312" w:cs="Times New Roman"/>
          <w:sz w:val="28"/>
        </w:rPr>
        <w:t>—i</w:t>
      </w:r>
      <w:r>
        <w:rPr>
          <w:rFonts w:ascii="Times New Roman" w:hAnsi="Times New Roman" w:eastAsia="楷体_GB2312" w:cs="Times New Roman"/>
          <w:sz w:val="28"/>
        </w:rPr>
        <w:t>汽车站的作用指数</w:t>
      </w:r>
    </w:p>
    <w:p w14:paraId="17F20BEF">
      <w:pPr>
        <w:pStyle w:val="20"/>
        <w:spacing w:line="480" w:lineRule="exact"/>
        <w:ind w:left="1960" w:hanging="1960" w:hangingChars="700"/>
        <w:rPr>
          <w:rFonts w:ascii="Times New Roman" w:hAnsi="Times New Roman" w:eastAsia="仿宋_GB2312" w:cs="Times New Roman"/>
          <w:sz w:val="28"/>
        </w:rPr>
      </w:pPr>
      <w:r>
        <w:rPr>
          <w:rFonts w:ascii="Times New Roman" w:hAnsi="Times New Roman" w:eastAsia="仿宋_GB2312" w:cs="Times New Roman"/>
          <w:sz w:val="28"/>
        </w:rPr>
        <w:t xml:space="preserve">         </w:t>
      </w:r>
      <w:r>
        <w:rPr>
          <w:rFonts w:ascii="Times New Roman" w:hAnsi="Times New Roman" w:eastAsia="仿宋_GB2312" w:cs="Times New Roman"/>
          <w:sz w:val="28"/>
        </w:rPr>
        <w:object>
          <v:shape id="_x0000_i1039" o:spt="75" type="#_x0000_t75" style="height:19pt;width:21pt;" o:ole="t" filled="f" stroked="f" coordsize="21600,21600">
            <v:path/>
            <v:fill on="f" focussize="0,0"/>
            <v:stroke on="f"/>
            <v:imagedata r:id="rId64" o:title=""/>
            <o:lock v:ext="edit" aspectratio="t"/>
            <w10:wrap type="none"/>
            <w10:anchorlock/>
          </v:shape>
          <o:OLEObject Type="Embed" ProgID="Equation.3" ShapeID="_x0000_i1039" DrawAspect="Content" ObjectID="_1468075739" r:id="rId63">
            <o:LockedField>false</o:LockedField>
          </o:OLEObject>
        </w:object>
      </w:r>
      <w:r>
        <w:rPr>
          <w:rFonts w:ascii="Times New Roman" w:hAnsi="Times New Roman" w:eastAsia="仿宋_GB2312" w:cs="Times New Roman"/>
          <w:sz w:val="28"/>
        </w:rPr>
        <w:t>—i</w:t>
      </w:r>
      <w:r>
        <w:rPr>
          <w:rFonts w:ascii="Times New Roman" w:hAnsi="Times New Roman" w:eastAsia="楷体_GB2312" w:cs="Times New Roman"/>
          <w:sz w:val="28"/>
        </w:rPr>
        <w:t>设施所属的某类对外交通设施规模及影响最大者的作    用指数，可参照确定因素权重的方法进行计算；</w:t>
      </w:r>
    </w:p>
    <w:p w14:paraId="637F6820">
      <w:pPr>
        <w:pStyle w:val="20"/>
        <w:spacing w:line="480" w:lineRule="exact"/>
        <w:ind w:left="1960" w:hanging="1960" w:hangingChars="700"/>
        <w:rPr>
          <w:rFonts w:ascii="Times New Roman" w:hAnsi="Times New Roman" w:eastAsia="楷体_GB2312" w:cs="Times New Roman"/>
          <w:sz w:val="28"/>
        </w:rPr>
      </w:pPr>
      <w:r>
        <w:rPr>
          <w:rFonts w:ascii="Times New Roman" w:hAnsi="Times New Roman" w:eastAsia="仿宋_GB2312" w:cs="Times New Roman"/>
          <w:sz w:val="28"/>
        </w:rPr>
        <w:t xml:space="preserve">         </w:t>
      </w:r>
      <w:r>
        <w:rPr>
          <w:rFonts w:ascii="Times New Roman" w:hAnsi="Times New Roman" w:eastAsia="仿宋_GB2312" w:cs="Times New Roman"/>
          <w:sz w:val="28"/>
        </w:rPr>
        <w:object>
          <v:shape id="_x0000_i1040" o:spt="75" type="#_x0000_t75" style="height:19pt;width:15pt;" o:ole="t" filled="f" stroked="f" coordsize="21600,21600">
            <v:path/>
            <v:fill on="f" focussize="0,0"/>
            <v:stroke on="f"/>
            <v:imagedata r:id="rId66" o:title=""/>
            <o:lock v:ext="edit" aspectratio="t"/>
            <w10:wrap type="none"/>
            <w10:anchorlock/>
          </v:shape>
          <o:OLEObject Type="Embed" ProgID="Equation.3" ShapeID="_x0000_i1040" DrawAspect="Content" ObjectID="_1468075740" r:id="rId65">
            <o:LockedField>false</o:LockedField>
          </o:OLEObject>
        </w:object>
      </w:r>
      <w:r>
        <w:rPr>
          <w:rFonts w:ascii="Times New Roman" w:hAnsi="Times New Roman" w:eastAsia="仿宋_GB2312" w:cs="Times New Roman"/>
          <w:sz w:val="28"/>
        </w:rPr>
        <w:t>—i</w:t>
      </w:r>
      <w:r>
        <w:rPr>
          <w:rFonts w:ascii="Times New Roman" w:hAnsi="Times New Roman" w:eastAsia="楷体_GB2312" w:cs="Times New Roman"/>
          <w:sz w:val="28"/>
        </w:rPr>
        <w:t>汽车站相对于规模及影响最大的同类设施的作用折算系数，可参照确定因素权重的方法进行计算或选择规模、客运等指标比较确定。</w:t>
      </w:r>
    </w:p>
    <w:p w14:paraId="6E7E7300">
      <w:pPr>
        <w:pStyle w:val="20"/>
        <w:spacing w:line="480" w:lineRule="exact"/>
        <w:ind w:firstLine="560" w:firstLineChars="200"/>
        <w:rPr>
          <w:rFonts w:ascii="Times New Roman" w:hAnsi="Times New Roman" w:eastAsia="楷体_GB2312" w:cs="Times New Roman"/>
          <w:sz w:val="28"/>
        </w:rPr>
      </w:pPr>
      <w:r>
        <w:rPr>
          <w:rFonts w:hint="eastAsia" w:ascii="Times New Roman" w:hAnsi="Times New Roman" w:eastAsia="楷体_GB2312" w:cs="Times New Roman"/>
          <w:sz w:val="28"/>
        </w:rPr>
        <w:t>（5）</w:t>
      </w:r>
      <w:r>
        <w:rPr>
          <w:rFonts w:ascii="Times New Roman" w:hAnsi="Times New Roman" w:eastAsia="楷体_GB2312" w:cs="Times New Roman"/>
          <w:sz w:val="28"/>
        </w:rPr>
        <w:t>服务半径的确定：一级设施的服务半径为该设施到连片建成区的最大距离，其它级别设施的服务半径为同级设施最大服务距离。根据《城镇土地分等定级规程》，各级汽车站的服务半径在2~20km之间确定，由于本次各乡镇镇区规划和定级范围大部分较小，为了能体现出各汽车停靠点对镇区土地质量影响的差别，本次各汽车停靠点影响半径按照镇区规划和定级范围大小而最终确定。</w:t>
      </w:r>
    </w:p>
    <w:p w14:paraId="0B47414F">
      <w:pPr>
        <w:pStyle w:val="20"/>
        <w:spacing w:line="480" w:lineRule="exact"/>
        <w:ind w:firstLine="560" w:firstLineChars="200"/>
        <w:rPr>
          <w:rFonts w:ascii="Times New Roman" w:hAnsi="Times New Roman" w:eastAsia="楷体_GB2312" w:cs="Times New Roman"/>
          <w:sz w:val="28"/>
        </w:rPr>
      </w:pPr>
      <w:r>
        <w:rPr>
          <w:rFonts w:hint="eastAsia" w:ascii="Times New Roman" w:hAnsi="Times New Roman" w:eastAsia="楷体_GB2312" w:cs="Times New Roman"/>
          <w:sz w:val="28"/>
        </w:rPr>
        <w:t>（6）</w:t>
      </w:r>
      <w:r>
        <w:rPr>
          <w:rFonts w:ascii="Times New Roman" w:hAnsi="Times New Roman" w:eastAsia="楷体_GB2312" w:cs="Times New Roman"/>
          <w:sz w:val="28"/>
        </w:rPr>
        <w:t>功能分及服务半径表编制</w:t>
      </w:r>
    </w:p>
    <w:p w14:paraId="1400822C">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根据各乡镇各级汽车站的功能分和服务半径，编制综合定级汽车站功能分及服务半径表，结果见表1-3-</w:t>
      </w:r>
      <w:r>
        <w:rPr>
          <w:rFonts w:hint="eastAsia" w:ascii="Times New Roman" w:hAnsi="Times New Roman" w:eastAsia="楷体_GB2312" w:cs="Times New Roman"/>
          <w:sz w:val="28"/>
        </w:rPr>
        <w:t>30</w:t>
      </w:r>
      <w:r>
        <w:rPr>
          <w:rFonts w:ascii="Times New Roman" w:hAnsi="Times New Roman" w:eastAsia="楷体_GB2312" w:cs="Times New Roman"/>
          <w:sz w:val="28"/>
        </w:rPr>
        <w:t>。</w:t>
      </w:r>
    </w:p>
    <w:p w14:paraId="433E8AC2">
      <w:pPr>
        <w:pStyle w:val="20"/>
        <w:spacing w:line="480" w:lineRule="exact"/>
        <w:ind w:firstLine="560" w:firstLineChars="200"/>
        <w:jc w:val="center"/>
        <w:rPr>
          <w:rFonts w:ascii="Times New Roman" w:hAnsi="Times New Roman" w:eastAsia="黑体" w:cs="Times New Roman"/>
          <w:sz w:val="28"/>
          <w:szCs w:val="24"/>
        </w:rPr>
      </w:pPr>
      <w:r>
        <w:rPr>
          <w:rFonts w:ascii="Times New Roman" w:hAnsi="Times New Roman" w:eastAsia="黑体" w:cs="Times New Roman"/>
          <w:sz w:val="28"/>
          <w:szCs w:val="24"/>
        </w:rPr>
        <w:t>表1-3-</w:t>
      </w:r>
      <w:r>
        <w:rPr>
          <w:rFonts w:hint="eastAsia" w:ascii="Times New Roman" w:hAnsi="Times New Roman" w:eastAsia="黑体" w:cs="Times New Roman"/>
          <w:sz w:val="28"/>
          <w:szCs w:val="24"/>
        </w:rPr>
        <w:t>30</w:t>
      </w:r>
      <w:r>
        <w:rPr>
          <w:rFonts w:ascii="Times New Roman" w:hAnsi="Times New Roman" w:eastAsia="黑体" w:cs="Times New Roman"/>
          <w:sz w:val="28"/>
          <w:szCs w:val="24"/>
        </w:rPr>
        <w:t xml:space="preserve">  埇桥区各乡镇汽车停靠站功能分及服务半径表</w:t>
      </w:r>
    </w:p>
    <w:tbl>
      <w:tblPr>
        <w:tblStyle w:val="38"/>
        <w:tblW w:w="51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408"/>
        <w:gridCol w:w="1146"/>
        <w:gridCol w:w="2401"/>
        <w:gridCol w:w="1019"/>
        <w:gridCol w:w="637"/>
        <w:gridCol w:w="785"/>
        <w:gridCol w:w="1041"/>
      </w:tblGrid>
      <w:tr w14:paraId="3916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noWrap w:val="0"/>
            <w:vAlign w:val="center"/>
          </w:tcPr>
          <w:p w14:paraId="2C755684">
            <w:pPr>
              <w:pStyle w:val="100"/>
              <w:widowControl w:val="0"/>
              <w:pBdr>
                <w:left w:val="none" w:color="auto" w:sz="0" w:space="0"/>
                <w:bottom w:val="none" w:color="auto" w:sz="0" w:space="0"/>
                <w:right w:val="none" w:color="auto" w:sz="0" w:space="0"/>
              </w:pBdr>
              <w:spacing w:before="0" w:beforeAutospacing="0" w:after="0" w:afterAutospacing="0" w:line="260" w:lineRule="exact"/>
              <w:jc w:val="center"/>
              <w:textAlignment w:val="auto"/>
              <w:rPr>
                <w:rFonts w:eastAsia="楷体_GB2312"/>
                <w:kern w:val="2"/>
              </w:rPr>
            </w:pPr>
            <w:r>
              <w:rPr>
                <w:rFonts w:eastAsia="楷体_GB2312"/>
                <w:kern w:val="2"/>
              </w:rPr>
              <w:t>城镇编号</w:t>
            </w:r>
          </w:p>
        </w:tc>
        <w:tc>
          <w:tcPr>
            <w:tcW w:w="1408" w:type="dxa"/>
            <w:noWrap w:val="0"/>
            <w:vAlign w:val="center"/>
          </w:tcPr>
          <w:p w14:paraId="0162F3CB">
            <w:pPr>
              <w:spacing w:line="260" w:lineRule="exact"/>
              <w:jc w:val="center"/>
              <w:rPr>
                <w:rFonts w:eastAsia="楷体_GB2312"/>
                <w:szCs w:val="21"/>
              </w:rPr>
            </w:pPr>
            <w:r>
              <w:rPr>
                <w:rFonts w:eastAsia="楷体_GB2312"/>
                <w:szCs w:val="21"/>
              </w:rPr>
              <w:t>乡镇</w:t>
            </w:r>
          </w:p>
          <w:p w14:paraId="2FBB476B">
            <w:pPr>
              <w:spacing w:line="260" w:lineRule="exact"/>
              <w:jc w:val="center"/>
              <w:rPr>
                <w:rFonts w:eastAsia="楷体_GB2312"/>
                <w:szCs w:val="21"/>
              </w:rPr>
            </w:pPr>
            <w:r>
              <w:rPr>
                <w:rFonts w:eastAsia="楷体_GB2312"/>
                <w:szCs w:val="21"/>
              </w:rPr>
              <w:t>名称</w:t>
            </w:r>
          </w:p>
        </w:tc>
        <w:tc>
          <w:tcPr>
            <w:tcW w:w="1146" w:type="dxa"/>
            <w:noWrap w:val="0"/>
            <w:vAlign w:val="center"/>
          </w:tcPr>
          <w:p w14:paraId="71C58138">
            <w:pPr>
              <w:spacing w:line="260" w:lineRule="exact"/>
              <w:jc w:val="center"/>
              <w:rPr>
                <w:rFonts w:eastAsia="楷体_GB2312"/>
                <w:szCs w:val="21"/>
              </w:rPr>
            </w:pPr>
            <w:r>
              <w:rPr>
                <w:rFonts w:eastAsia="楷体_GB2312"/>
                <w:szCs w:val="21"/>
              </w:rPr>
              <w:t>汽车站编号</w:t>
            </w:r>
          </w:p>
        </w:tc>
        <w:tc>
          <w:tcPr>
            <w:tcW w:w="2401" w:type="dxa"/>
            <w:noWrap w:val="0"/>
            <w:vAlign w:val="center"/>
          </w:tcPr>
          <w:p w14:paraId="7ABA57F2">
            <w:pPr>
              <w:pStyle w:val="94"/>
              <w:spacing w:line="260" w:lineRule="exact"/>
              <w:jc w:val="center"/>
              <w:rPr>
                <w:rFonts w:eastAsia="楷体_GB2312"/>
                <w:szCs w:val="21"/>
              </w:rPr>
            </w:pPr>
            <w:r>
              <w:rPr>
                <w:rFonts w:eastAsia="楷体_GB2312"/>
                <w:szCs w:val="21"/>
              </w:rPr>
              <w:t>汽车站名称</w:t>
            </w:r>
          </w:p>
        </w:tc>
        <w:tc>
          <w:tcPr>
            <w:tcW w:w="1019" w:type="dxa"/>
            <w:noWrap w:val="0"/>
            <w:vAlign w:val="center"/>
          </w:tcPr>
          <w:p w14:paraId="2309548E">
            <w:pPr>
              <w:spacing w:line="260" w:lineRule="exact"/>
              <w:jc w:val="center"/>
              <w:rPr>
                <w:rFonts w:eastAsia="楷体_GB2312"/>
                <w:szCs w:val="21"/>
              </w:rPr>
            </w:pPr>
            <w:r>
              <w:rPr>
                <w:rFonts w:eastAsia="楷体_GB2312"/>
                <w:szCs w:val="21"/>
              </w:rPr>
              <w:t>作用指数</w:t>
            </w:r>
          </w:p>
        </w:tc>
        <w:tc>
          <w:tcPr>
            <w:tcW w:w="637" w:type="dxa"/>
            <w:noWrap w:val="0"/>
            <w:vAlign w:val="center"/>
          </w:tcPr>
          <w:p w14:paraId="454F2F9C">
            <w:pPr>
              <w:spacing w:line="260" w:lineRule="exact"/>
              <w:jc w:val="center"/>
              <w:rPr>
                <w:rFonts w:eastAsia="楷体_GB2312"/>
                <w:szCs w:val="21"/>
              </w:rPr>
            </w:pPr>
            <w:r>
              <w:rPr>
                <w:rFonts w:eastAsia="楷体_GB2312"/>
                <w:szCs w:val="21"/>
              </w:rPr>
              <w:t>级别</w:t>
            </w:r>
          </w:p>
        </w:tc>
        <w:tc>
          <w:tcPr>
            <w:tcW w:w="785" w:type="dxa"/>
            <w:noWrap w:val="0"/>
            <w:vAlign w:val="center"/>
          </w:tcPr>
          <w:p w14:paraId="69B6300D">
            <w:pPr>
              <w:spacing w:line="260" w:lineRule="exact"/>
              <w:jc w:val="center"/>
              <w:rPr>
                <w:rFonts w:eastAsia="楷体_GB2312"/>
                <w:szCs w:val="21"/>
              </w:rPr>
            </w:pPr>
            <w:r>
              <w:rPr>
                <w:rFonts w:eastAsia="楷体_GB2312"/>
                <w:szCs w:val="21"/>
              </w:rPr>
              <w:t>功能分</w:t>
            </w:r>
          </w:p>
        </w:tc>
        <w:tc>
          <w:tcPr>
            <w:tcW w:w="1041" w:type="dxa"/>
            <w:noWrap w:val="0"/>
            <w:vAlign w:val="center"/>
          </w:tcPr>
          <w:p w14:paraId="6610D77C">
            <w:pPr>
              <w:pStyle w:val="100"/>
              <w:widowControl w:val="0"/>
              <w:pBdr>
                <w:left w:val="none" w:color="auto" w:sz="0" w:space="0"/>
                <w:bottom w:val="none" w:color="auto" w:sz="0" w:space="0"/>
                <w:right w:val="none" w:color="auto" w:sz="0" w:space="0"/>
              </w:pBdr>
              <w:spacing w:before="0" w:beforeAutospacing="0" w:after="0" w:afterAutospacing="0" w:line="260" w:lineRule="exact"/>
              <w:jc w:val="center"/>
              <w:textAlignment w:val="auto"/>
              <w:rPr>
                <w:rFonts w:eastAsia="楷体_GB2312"/>
                <w:kern w:val="2"/>
              </w:rPr>
            </w:pPr>
            <w:r>
              <w:rPr>
                <w:rFonts w:eastAsia="楷体_GB2312"/>
                <w:kern w:val="2"/>
              </w:rPr>
              <w:t>影响半径（m）</w:t>
            </w:r>
          </w:p>
        </w:tc>
      </w:tr>
      <w:tr w14:paraId="37C21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802" w:type="dxa"/>
            <w:noWrap w:val="0"/>
            <w:vAlign w:val="center"/>
          </w:tcPr>
          <w:p w14:paraId="592371DA">
            <w:pPr>
              <w:tabs>
                <w:tab w:val="left" w:pos="0"/>
                <w:tab w:val="left" w:pos="295"/>
              </w:tabs>
              <w:spacing w:line="260" w:lineRule="exact"/>
              <w:jc w:val="center"/>
              <w:rPr>
                <w:rFonts w:eastAsia="楷体_GB2312"/>
                <w:szCs w:val="21"/>
              </w:rPr>
            </w:pPr>
            <w:r>
              <w:rPr>
                <w:rFonts w:eastAsia="楷体_GB2312"/>
                <w:szCs w:val="21"/>
              </w:rPr>
              <w:t>1</w:t>
            </w:r>
          </w:p>
        </w:tc>
        <w:tc>
          <w:tcPr>
            <w:tcW w:w="1408" w:type="dxa"/>
            <w:noWrap w:val="0"/>
            <w:vAlign w:val="center"/>
          </w:tcPr>
          <w:p w14:paraId="18A0E69B">
            <w:pPr>
              <w:pStyle w:val="20"/>
              <w:tabs>
                <w:tab w:val="left" w:pos="0"/>
                <w:tab w:val="left" w:pos="295"/>
              </w:tabs>
              <w:spacing w:line="260" w:lineRule="exact"/>
              <w:jc w:val="center"/>
              <w:rPr>
                <w:rFonts w:ascii="Times New Roman" w:hAnsi="Times New Roman" w:eastAsia="楷体_GB2312" w:cs="Times New Roman"/>
              </w:rPr>
            </w:pPr>
            <w:r>
              <w:rPr>
                <w:rFonts w:ascii="Times New Roman" w:hAnsi="Times New Roman" w:eastAsia="楷体_GB2312" w:cs="Times New Roman"/>
              </w:rPr>
              <w:t>符离镇</w:t>
            </w:r>
          </w:p>
        </w:tc>
        <w:tc>
          <w:tcPr>
            <w:tcW w:w="1146" w:type="dxa"/>
            <w:noWrap w:val="0"/>
            <w:vAlign w:val="center"/>
          </w:tcPr>
          <w:p w14:paraId="1D87B8FA">
            <w:pPr>
              <w:spacing w:line="260" w:lineRule="exact"/>
              <w:jc w:val="center"/>
              <w:rPr>
                <w:rFonts w:eastAsia="楷体_GB2312"/>
              </w:rPr>
            </w:pPr>
            <w:r>
              <w:rPr>
                <w:rFonts w:eastAsia="楷体_GB2312"/>
              </w:rPr>
              <w:t>01</w:t>
            </w:r>
          </w:p>
        </w:tc>
        <w:tc>
          <w:tcPr>
            <w:tcW w:w="2401" w:type="dxa"/>
            <w:noWrap w:val="0"/>
            <w:vAlign w:val="center"/>
          </w:tcPr>
          <w:p w14:paraId="103D0D12">
            <w:pPr>
              <w:spacing w:line="260" w:lineRule="exact"/>
              <w:jc w:val="center"/>
              <w:rPr>
                <w:rFonts w:eastAsia="楷体_GB2312"/>
                <w:szCs w:val="21"/>
              </w:rPr>
            </w:pPr>
            <w:r>
              <w:rPr>
                <w:rFonts w:eastAsia="楷体_GB2312"/>
              </w:rPr>
              <w:t>符离</w:t>
            </w:r>
            <w:r>
              <w:rPr>
                <w:rFonts w:eastAsia="楷体_GB2312"/>
                <w:szCs w:val="21"/>
              </w:rPr>
              <w:t>汽车站</w:t>
            </w:r>
          </w:p>
        </w:tc>
        <w:tc>
          <w:tcPr>
            <w:tcW w:w="1019" w:type="dxa"/>
            <w:noWrap w:val="0"/>
            <w:vAlign w:val="center"/>
          </w:tcPr>
          <w:p w14:paraId="024A2EC9">
            <w:pPr>
              <w:spacing w:line="260" w:lineRule="exact"/>
              <w:jc w:val="center"/>
              <w:rPr>
                <w:rFonts w:eastAsia="楷体_GB2312"/>
                <w:szCs w:val="21"/>
              </w:rPr>
            </w:pPr>
            <w:r>
              <w:rPr>
                <w:rFonts w:eastAsia="楷体_GB2312"/>
                <w:szCs w:val="21"/>
              </w:rPr>
              <w:t>1</w:t>
            </w:r>
          </w:p>
        </w:tc>
        <w:tc>
          <w:tcPr>
            <w:tcW w:w="637" w:type="dxa"/>
            <w:noWrap w:val="0"/>
            <w:vAlign w:val="center"/>
          </w:tcPr>
          <w:p w14:paraId="3282B9D3">
            <w:pPr>
              <w:spacing w:line="260" w:lineRule="exact"/>
              <w:jc w:val="center"/>
              <w:rPr>
                <w:rFonts w:eastAsia="楷体_GB2312"/>
                <w:szCs w:val="21"/>
              </w:rPr>
            </w:pPr>
            <w:r>
              <w:rPr>
                <w:rFonts w:eastAsia="楷体_GB2312"/>
                <w:szCs w:val="21"/>
              </w:rPr>
              <w:t>1</w:t>
            </w:r>
          </w:p>
        </w:tc>
        <w:tc>
          <w:tcPr>
            <w:tcW w:w="785" w:type="dxa"/>
            <w:noWrap w:val="0"/>
            <w:vAlign w:val="center"/>
          </w:tcPr>
          <w:p w14:paraId="4E95A04B">
            <w:pPr>
              <w:spacing w:line="260" w:lineRule="exact"/>
              <w:jc w:val="center"/>
              <w:rPr>
                <w:rFonts w:eastAsia="楷体_GB2312"/>
                <w:szCs w:val="21"/>
              </w:rPr>
            </w:pPr>
            <w:r>
              <w:rPr>
                <w:rFonts w:eastAsia="楷体_GB2312"/>
                <w:szCs w:val="21"/>
              </w:rPr>
              <w:t>100</w:t>
            </w:r>
          </w:p>
        </w:tc>
        <w:tc>
          <w:tcPr>
            <w:tcW w:w="1041" w:type="dxa"/>
            <w:noWrap w:val="0"/>
            <w:vAlign w:val="center"/>
          </w:tcPr>
          <w:p w14:paraId="41079F95">
            <w:pPr>
              <w:spacing w:line="260" w:lineRule="exact"/>
              <w:jc w:val="center"/>
              <w:rPr>
                <w:rFonts w:eastAsia="楷体_GB2312"/>
              </w:rPr>
            </w:pPr>
            <w:r>
              <w:rPr>
                <w:rFonts w:hint="eastAsia" w:eastAsia="楷体_GB2312"/>
              </w:rPr>
              <w:t>4300</w:t>
            </w:r>
          </w:p>
        </w:tc>
      </w:tr>
      <w:tr w14:paraId="185E5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02" w:type="dxa"/>
            <w:noWrap w:val="0"/>
            <w:vAlign w:val="center"/>
          </w:tcPr>
          <w:p w14:paraId="7DA863F7">
            <w:pPr>
              <w:tabs>
                <w:tab w:val="left" w:pos="0"/>
                <w:tab w:val="left" w:pos="295"/>
              </w:tabs>
              <w:spacing w:line="260" w:lineRule="exact"/>
              <w:jc w:val="center"/>
              <w:rPr>
                <w:rFonts w:eastAsia="楷体_GB2312"/>
                <w:szCs w:val="21"/>
              </w:rPr>
            </w:pPr>
            <w:r>
              <w:rPr>
                <w:rFonts w:eastAsia="楷体_GB2312"/>
                <w:szCs w:val="21"/>
              </w:rPr>
              <w:t>2</w:t>
            </w:r>
          </w:p>
        </w:tc>
        <w:tc>
          <w:tcPr>
            <w:tcW w:w="1408" w:type="dxa"/>
            <w:noWrap w:val="0"/>
            <w:vAlign w:val="center"/>
          </w:tcPr>
          <w:p w14:paraId="00FEFAC4">
            <w:pPr>
              <w:pStyle w:val="20"/>
              <w:tabs>
                <w:tab w:val="left" w:pos="0"/>
                <w:tab w:val="left" w:pos="295"/>
              </w:tabs>
              <w:spacing w:line="260" w:lineRule="exact"/>
              <w:jc w:val="center"/>
              <w:rPr>
                <w:rFonts w:ascii="Times New Roman" w:hAnsi="Times New Roman" w:eastAsia="楷体_GB2312" w:cs="Times New Roman"/>
              </w:rPr>
            </w:pPr>
            <w:r>
              <w:rPr>
                <w:rFonts w:ascii="Times New Roman" w:hAnsi="Times New Roman" w:eastAsia="楷体_GB2312" w:cs="Times New Roman"/>
              </w:rPr>
              <w:t>朱仙庄镇</w:t>
            </w:r>
          </w:p>
        </w:tc>
        <w:tc>
          <w:tcPr>
            <w:tcW w:w="1146" w:type="dxa"/>
            <w:noWrap w:val="0"/>
            <w:vAlign w:val="center"/>
          </w:tcPr>
          <w:p w14:paraId="3EA66A0B">
            <w:pPr>
              <w:spacing w:line="260" w:lineRule="exact"/>
              <w:jc w:val="center"/>
              <w:rPr>
                <w:rFonts w:eastAsia="楷体_GB2312"/>
              </w:rPr>
            </w:pPr>
            <w:r>
              <w:rPr>
                <w:rFonts w:eastAsia="楷体_GB2312"/>
              </w:rPr>
              <w:t>01</w:t>
            </w:r>
          </w:p>
        </w:tc>
        <w:tc>
          <w:tcPr>
            <w:tcW w:w="2401" w:type="dxa"/>
            <w:noWrap w:val="0"/>
            <w:vAlign w:val="center"/>
          </w:tcPr>
          <w:p w14:paraId="43A21D3B">
            <w:pPr>
              <w:spacing w:line="260" w:lineRule="exact"/>
              <w:jc w:val="center"/>
              <w:rPr>
                <w:rFonts w:eastAsia="楷体_GB2312"/>
                <w:szCs w:val="21"/>
              </w:rPr>
            </w:pPr>
            <w:r>
              <w:rPr>
                <w:rFonts w:eastAsia="楷体_GB2312"/>
              </w:rPr>
              <w:t>朱仙庄镇</w:t>
            </w:r>
            <w:r>
              <w:rPr>
                <w:rFonts w:eastAsia="楷体_GB2312"/>
                <w:szCs w:val="21"/>
              </w:rPr>
              <w:t>汽车停靠站</w:t>
            </w:r>
          </w:p>
        </w:tc>
        <w:tc>
          <w:tcPr>
            <w:tcW w:w="1019" w:type="dxa"/>
            <w:noWrap w:val="0"/>
            <w:vAlign w:val="center"/>
          </w:tcPr>
          <w:p w14:paraId="5D895B90">
            <w:pPr>
              <w:pStyle w:val="150"/>
              <w:spacing w:line="260" w:lineRule="exact"/>
              <w:rPr>
                <w:rFonts w:eastAsia="楷体_GB2312"/>
                <w:szCs w:val="21"/>
              </w:rPr>
            </w:pPr>
            <w:r>
              <w:rPr>
                <w:rFonts w:eastAsia="楷体_GB2312"/>
                <w:szCs w:val="21"/>
              </w:rPr>
              <w:t>1</w:t>
            </w:r>
          </w:p>
        </w:tc>
        <w:tc>
          <w:tcPr>
            <w:tcW w:w="637" w:type="dxa"/>
            <w:noWrap w:val="0"/>
            <w:vAlign w:val="center"/>
          </w:tcPr>
          <w:p w14:paraId="1369C1BC">
            <w:pPr>
              <w:spacing w:line="260" w:lineRule="exact"/>
              <w:jc w:val="center"/>
              <w:rPr>
                <w:rFonts w:eastAsia="楷体_GB2312"/>
                <w:szCs w:val="21"/>
              </w:rPr>
            </w:pPr>
            <w:r>
              <w:rPr>
                <w:rFonts w:eastAsia="楷体_GB2312"/>
                <w:szCs w:val="21"/>
              </w:rPr>
              <w:t>1</w:t>
            </w:r>
          </w:p>
        </w:tc>
        <w:tc>
          <w:tcPr>
            <w:tcW w:w="785" w:type="dxa"/>
            <w:noWrap w:val="0"/>
            <w:vAlign w:val="center"/>
          </w:tcPr>
          <w:p w14:paraId="2437F2D0">
            <w:pPr>
              <w:spacing w:line="260" w:lineRule="exact"/>
              <w:jc w:val="center"/>
              <w:rPr>
                <w:rFonts w:eastAsia="楷体_GB2312"/>
                <w:szCs w:val="21"/>
              </w:rPr>
            </w:pPr>
            <w:r>
              <w:rPr>
                <w:rFonts w:eastAsia="楷体_GB2312"/>
                <w:szCs w:val="21"/>
              </w:rPr>
              <w:t>100</w:t>
            </w:r>
          </w:p>
        </w:tc>
        <w:tc>
          <w:tcPr>
            <w:tcW w:w="1041" w:type="dxa"/>
            <w:noWrap w:val="0"/>
            <w:vAlign w:val="center"/>
          </w:tcPr>
          <w:p w14:paraId="5C5ECA2A">
            <w:pPr>
              <w:spacing w:line="260" w:lineRule="exact"/>
              <w:jc w:val="center"/>
              <w:rPr>
                <w:rFonts w:eastAsia="楷体_GB2312"/>
                <w:szCs w:val="21"/>
              </w:rPr>
            </w:pPr>
            <w:r>
              <w:rPr>
                <w:rFonts w:hint="eastAsia" w:eastAsia="楷体_GB2312"/>
                <w:szCs w:val="21"/>
              </w:rPr>
              <w:t>7000</w:t>
            </w:r>
          </w:p>
        </w:tc>
      </w:tr>
      <w:tr w14:paraId="20F9D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02" w:type="dxa"/>
            <w:noWrap w:val="0"/>
            <w:vAlign w:val="center"/>
          </w:tcPr>
          <w:p w14:paraId="20108069">
            <w:pPr>
              <w:tabs>
                <w:tab w:val="left" w:pos="0"/>
                <w:tab w:val="left" w:pos="295"/>
              </w:tabs>
              <w:spacing w:line="260" w:lineRule="exact"/>
              <w:jc w:val="center"/>
              <w:rPr>
                <w:rFonts w:eastAsia="楷体_GB2312"/>
                <w:szCs w:val="21"/>
              </w:rPr>
            </w:pPr>
            <w:r>
              <w:rPr>
                <w:rFonts w:eastAsia="楷体_GB2312"/>
                <w:szCs w:val="21"/>
              </w:rPr>
              <w:t>3</w:t>
            </w:r>
          </w:p>
        </w:tc>
        <w:tc>
          <w:tcPr>
            <w:tcW w:w="1408" w:type="dxa"/>
            <w:noWrap w:val="0"/>
            <w:vAlign w:val="center"/>
          </w:tcPr>
          <w:p w14:paraId="75FD07D4">
            <w:pPr>
              <w:pStyle w:val="20"/>
              <w:tabs>
                <w:tab w:val="left" w:pos="0"/>
                <w:tab w:val="left" w:pos="295"/>
              </w:tabs>
              <w:spacing w:line="260" w:lineRule="exact"/>
              <w:jc w:val="center"/>
              <w:rPr>
                <w:rFonts w:ascii="Times New Roman" w:hAnsi="Times New Roman" w:eastAsia="楷体_GB2312" w:cs="Times New Roman"/>
              </w:rPr>
            </w:pPr>
            <w:r>
              <w:rPr>
                <w:rFonts w:ascii="Times New Roman" w:hAnsi="Times New Roman" w:eastAsia="楷体_GB2312" w:cs="Times New Roman"/>
              </w:rPr>
              <w:t>蕲县镇</w:t>
            </w:r>
          </w:p>
        </w:tc>
        <w:tc>
          <w:tcPr>
            <w:tcW w:w="1146" w:type="dxa"/>
            <w:noWrap w:val="0"/>
            <w:vAlign w:val="center"/>
          </w:tcPr>
          <w:p w14:paraId="44550137">
            <w:pPr>
              <w:spacing w:line="260" w:lineRule="exact"/>
              <w:jc w:val="center"/>
              <w:rPr>
                <w:rFonts w:eastAsia="楷体_GB2312"/>
              </w:rPr>
            </w:pPr>
            <w:r>
              <w:rPr>
                <w:rFonts w:eastAsia="楷体_GB2312"/>
              </w:rPr>
              <w:t>01</w:t>
            </w:r>
          </w:p>
        </w:tc>
        <w:tc>
          <w:tcPr>
            <w:tcW w:w="2401" w:type="dxa"/>
            <w:noWrap w:val="0"/>
            <w:vAlign w:val="center"/>
          </w:tcPr>
          <w:p w14:paraId="56006C91">
            <w:pPr>
              <w:spacing w:line="260" w:lineRule="exact"/>
              <w:jc w:val="center"/>
              <w:rPr>
                <w:rFonts w:eastAsia="楷体_GB2312"/>
                <w:szCs w:val="21"/>
              </w:rPr>
            </w:pPr>
            <w:r>
              <w:rPr>
                <w:rFonts w:eastAsia="楷体_GB2312"/>
              </w:rPr>
              <w:t>蕲县镇</w:t>
            </w:r>
            <w:r>
              <w:rPr>
                <w:rFonts w:hint="eastAsia" w:eastAsia="楷体_GB2312"/>
              </w:rPr>
              <w:t>客运站</w:t>
            </w:r>
          </w:p>
        </w:tc>
        <w:tc>
          <w:tcPr>
            <w:tcW w:w="1019" w:type="dxa"/>
            <w:noWrap w:val="0"/>
            <w:vAlign w:val="center"/>
          </w:tcPr>
          <w:p w14:paraId="01ADA36F">
            <w:pPr>
              <w:spacing w:line="260" w:lineRule="exact"/>
              <w:jc w:val="center"/>
              <w:rPr>
                <w:rFonts w:eastAsia="楷体_GB2312"/>
                <w:szCs w:val="21"/>
              </w:rPr>
            </w:pPr>
            <w:r>
              <w:rPr>
                <w:rFonts w:eastAsia="楷体_GB2312"/>
                <w:szCs w:val="21"/>
              </w:rPr>
              <w:t>1</w:t>
            </w:r>
          </w:p>
        </w:tc>
        <w:tc>
          <w:tcPr>
            <w:tcW w:w="637" w:type="dxa"/>
            <w:noWrap w:val="0"/>
            <w:vAlign w:val="center"/>
          </w:tcPr>
          <w:p w14:paraId="53C7D118">
            <w:pPr>
              <w:spacing w:line="260" w:lineRule="exact"/>
              <w:jc w:val="center"/>
              <w:rPr>
                <w:rFonts w:eastAsia="楷体_GB2312"/>
                <w:szCs w:val="21"/>
              </w:rPr>
            </w:pPr>
            <w:r>
              <w:rPr>
                <w:rFonts w:eastAsia="楷体_GB2312"/>
                <w:szCs w:val="21"/>
              </w:rPr>
              <w:t>1</w:t>
            </w:r>
          </w:p>
        </w:tc>
        <w:tc>
          <w:tcPr>
            <w:tcW w:w="785" w:type="dxa"/>
            <w:noWrap w:val="0"/>
            <w:vAlign w:val="center"/>
          </w:tcPr>
          <w:p w14:paraId="2271ADAE">
            <w:pPr>
              <w:spacing w:line="260" w:lineRule="exact"/>
              <w:jc w:val="center"/>
              <w:rPr>
                <w:rFonts w:eastAsia="楷体_GB2312"/>
                <w:szCs w:val="21"/>
              </w:rPr>
            </w:pPr>
            <w:r>
              <w:rPr>
                <w:rFonts w:eastAsia="楷体_GB2312"/>
                <w:szCs w:val="21"/>
              </w:rPr>
              <w:t>100</w:t>
            </w:r>
          </w:p>
        </w:tc>
        <w:tc>
          <w:tcPr>
            <w:tcW w:w="1041" w:type="dxa"/>
            <w:noWrap w:val="0"/>
            <w:vAlign w:val="center"/>
          </w:tcPr>
          <w:p w14:paraId="27CB7B81">
            <w:pPr>
              <w:spacing w:line="260" w:lineRule="exact"/>
              <w:jc w:val="center"/>
              <w:rPr>
                <w:rFonts w:eastAsia="楷体_GB2312"/>
              </w:rPr>
            </w:pPr>
            <w:r>
              <w:rPr>
                <w:rFonts w:hint="eastAsia" w:eastAsia="楷体_GB2312"/>
              </w:rPr>
              <w:t>2100</w:t>
            </w:r>
          </w:p>
        </w:tc>
      </w:tr>
      <w:tr w14:paraId="66A7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02" w:type="dxa"/>
            <w:noWrap w:val="0"/>
            <w:vAlign w:val="center"/>
          </w:tcPr>
          <w:p w14:paraId="647717B1">
            <w:pPr>
              <w:tabs>
                <w:tab w:val="left" w:pos="0"/>
                <w:tab w:val="left" w:pos="295"/>
              </w:tabs>
              <w:spacing w:line="260" w:lineRule="exact"/>
              <w:jc w:val="center"/>
              <w:rPr>
                <w:rFonts w:eastAsia="楷体_GB2312"/>
                <w:szCs w:val="21"/>
              </w:rPr>
            </w:pPr>
            <w:r>
              <w:rPr>
                <w:rFonts w:eastAsia="楷体_GB2312"/>
                <w:szCs w:val="21"/>
              </w:rPr>
              <w:t>4</w:t>
            </w:r>
          </w:p>
        </w:tc>
        <w:tc>
          <w:tcPr>
            <w:tcW w:w="1408" w:type="dxa"/>
            <w:noWrap w:val="0"/>
            <w:vAlign w:val="center"/>
          </w:tcPr>
          <w:p w14:paraId="607A1F61">
            <w:pPr>
              <w:pStyle w:val="20"/>
              <w:tabs>
                <w:tab w:val="left" w:pos="0"/>
                <w:tab w:val="left" w:pos="295"/>
              </w:tabs>
              <w:spacing w:line="260" w:lineRule="exact"/>
              <w:jc w:val="center"/>
              <w:rPr>
                <w:rFonts w:ascii="Times New Roman" w:hAnsi="Times New Roman" w:eastAsia="楷体_GB2312" w:cs="Times New Roman"/>
              </w:rPr>
            </w:pPr>
            <w:r>
              <w:rPr>
                <w:rFonts w:ascii="Times New Roman" w:hAnsi="Times New Roman" w:eastAsia="楷体_GB2312" w:cs="Times New Roman"/>
              </w:rPr>
              <w:t>芦岭镇</w:t>
            </w:r>
          </w:p>
        </w:tc>
        <w:tc>
          <w:tcPr>
            <w:tcW w:w="1146" w:type="dxa"/>
            <w:noWrap w:val="0"/>
            <w:vAlign w:val="center"/>
          </w:tcPr>
          <w:p w14:paraId="6D92361F">
            <w:pPr>
              <w:spacing w:line="260" w:lineRule="exact"/>
              <w:jc w:val="center"/>
              <w:rPr>
                <w:rFonts w:eastAsia="楷体_GB2312"/>
              </w:rPr>
            </w:pPr>
            <w:r>
              <w:rPr>
                <w:rFonts w:eastAsia="楷体_GB2312"/>
              </w:rPr>
              <w:t>01</w:t>
            </w:r>
          </w:p>
        </w:tc>
        <w:tc>
          <w:tcPr>
            <w:tcW w:w="2401" w:type="dxa"/>
            <w:noWrap w:val="0"/>
            <w:vAlign w:val="center"/>
          </w:tcPr>
          <w:p w14:paraId="1406C19D">
            <w:pPr>
              <w:spacing w:line="260" w:lineRule="exact"/>
              <w:jc w:val="center"/>
              <w:rPr>
                <w:rFonts w:eastAsia="楷体_GB2312"/>
                <w:szCs w:val="21"/>
              </w:rPr>
            </w:pPr>
            <w:r>
              <w:rPr>
                <w:rFonts w:eastAsia="楷体_GB2312"/>
              </w:rPr>
              <w:t>芦岭</w:t>
            </w:r>
            <w:r>
              <w:rPr>
                <w:rFonts w:eastAsia="楷体_GB2312"/>
                <w:szCs w:val="21"/>
              </w:rPr>
              <w:t>汽车站</w:t>
            </w:r>
          </w:p>
        </w:tc>
        <w:tc>
          <w:tcPr>
            <w:tcW w:w="1019" w:type="dxa"/>
            <w:noWrap w:val="0"/>
            <w:vAlign w:val="center"/>
          </w:tcPr>
          <w:p w14:paraId="19BFD5E3">
            <w:pPr>
              <w:spacing w:line="260" w:lineRule="exact"/>
              <w:jc w:val="center"/>
              <w:rPr>
                <w:rFonts w:eastAsia="楷体_GB2312"/>
                <w:szCs w:val="21"/>
              </w:rPr>
            </w:pPr>
            <w:r>
              <w:rPr>
                <w:rFonts w:eastAsia="楷体_GB2312"/>
                <w:szCs w:val="21"/>
              </w:rPr>
              <w:t>1</w:t>
            </w:r>
          </w:p>
        </w:tc>
        <w:tc>
          <w:tcPr>
            <w:tcW w:w="637" w:type="dxa"/>
            <w:noWrap w:val="0"/>
            <w:vAlign w:val="center"/>
          </w:tcPr>
          <w:p w14:paraId="78DA3D9F">
            <w:pPr>
              <w:spacing w:line="260" w:lineRule="exact"/>
              <w:jc w:val="center"/>
              <w:rPr>
                <w:rFonts w:eastAsia="楷体_GB2312"/>
                <w:szCs w:val="21"/>
              </w:rPr>
            </w:pPr>
            <w:r>
              <w:rPr>
                <w:rFonts w:eastAsia="楷体_GB2312"/>
                <w:szCs w:val="21"/>
              </w:rPr>
              <w:t>1</w:t>
            </w:r>
          </w:p>
        </w:tc>
        <w:tc>
          <w:tcPr>
            <w:tcW w:w="785" w:type="dxa"/>
            <w:noWrap w:val="0"/>
            <w:vAlign w:val="center"/>
          </w:tcPr>
          <w:p w14:paraId="7FE554FF">
            <w:pPr>
              <w:spacing w:line="260" w:lineRule="exact"/>
              <w:jc w:val="center"/>
              <w:rPr>
                <w:rFonts w:eastAsia="楷体_GB2312"/>
                <w:szCs w:val="21"/>
              </w:rPr>
            </w:pPr>
            <w:r>
              <w:rPr>
                <w:rFonts w:eastAsia="楷体_GB2312"/>
                <w:szCs w:val="21"/>
              </w:rPr>
              <w:t>100</w:t>
            </w:r>
          </w:p>
        </w:tc>
        <w:tc>
          <w:tcPr>
            <w:tcW w:w="1041" w:type="dxa"/>
            <w:noWrap w:val="0"/>
            <w:vAlign w:val="center"/>
          </w:tcPr>
          <w:p w14:paraId="0FFEEE48">
            <w:pPr>
              <w:spacing w:line="260" w:lineRule="exact"/>
              <w:jc w:val="center"/>
              <w:rPr>
                <w:rFonts w:eastAsia="楷体_GB2312"/>
                <w:szCs w:val="21"/>
              </w:rPr>
            </w:pPr>
            <w:r>
              <w:rPr>
                <w:rFonts w:hint="eastAsia" w:eastAsia="楷体_GB2312"/>
                <w:szCs w:val="21"/>
              </w:rPr>
              <w:t>2100</w:t>
            </w:r>
          </w:p>
        </w:tc>
      </w:tr>
      <w:tr w14:paraId="55C8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02" w:type="dxa"/>
            <w:noWrap w:val="0"/>
            <w:vAlign w:val="center"/>
          </w:tcPr>
          <w:p w14:paraId="03D22687">
            <w:pPr>
              <w:tabs>
                <w:tab w:val="left" w:pos="0"/>
                <w:tab w:val="left" w:pos="295"/>
              </w:tabs>
              <w:spacing w:line="260" w:lineRule="exact"/>
              <w:jc w:val="center"/>
              <w:rPr>
                <w:rFonts w:eastAsia="楷体_GB2312"/>
                <w:szCs w:val="21"/>
              </w:rPr>
            </w:pPr>
            <w:r>
              <w:rPr>
                <w:rFonts w:eastAsia="楷体_GB2312"/>
                <w:szCs w:val="21"/>
              </w:rPr>
              <w:t>5</w:t>
            </w:r>
          </w:p>
        </w:tc>
        <w:tc>
          <w:tcPr>
            <w:tcW w:w="1408" w:type="dxa"/>
            <w:noWrap w:val="0"/>
            <w:vAlign w:val="center"/>
          </w:tcPr>
          <w:p w14:paraId="63EF45B5">
            <w:pPr>
              <w:pStyle w:val="20"/>
              <w:tabs>
                <w:tab w:val="left" w:pos="0"/>
                <w:tab w:val="left" w:pos="295"/>
              </w:tabs>
              <w:spacing w:line="260" w:lineRule="exact"/>
              <w:jc w:val="center"/>
              <w:rPr>
                <w:rFonts w:ascii="Times New Roman" w:hAnsi="Times New Roman" w:eastAsia="楷体_GB2312" w:cs="Times New Roman"/>
              </w:rPr>
            </w:pPr>
            <w:r>
              <w:rPr>
                <w:rFonts w:ascii="Times New Roman" w:hAnsi="Times New Roman" w:eastAsia="楷体_GB2312" w:cs="Times New Roman"/>
              </w:rPr>
              <w:t>大店镇</w:t>
            </w:r>
          </w:p>
        </w:tc>
        <w:tc>
          <w:tcPr>
            <w:tcW w:w="1146" w:type="dxa"/>
            <w:noWrap w:val="0"/>
            <w:vAlign w:val="center"/>
          </w:tcPr>
          <w:p w14:paraId="58937B65">
            <w:pPr>
              <w:spacing w:line="260" w:lineRule="exact"/>
              <w:jc w:val="center"/>
              <w:rPr>
                <w:rFonts w:eastAsia="楷体_GB2312"/>
              </w:rPr>
            </w:pPr>
            <w:r>
              <w:rPr>
                <w:rFonts w:eastAsia="楷体_GB2312"/>
              </w:rPr>
              <w:t>01</w:t>
            </w:r>
          </w:p>
        </w:tc>
        <w:tc>
          <w:tcPr>
            <w:tcW w:w="2401" w:type="dxa"/>
            <w:noWrap w:val="0"/>
            <w:vAlign w:val="center"/>
          </w:tcPr>
          <w:p w14:paraId="2697C3BB">
            <w:pPr>
              <w:spacing w:line="260" w:lineRule="exact"/>
              <w:jc w:val="center"/>
              <w:rPr>
                <w:rFonts w:eastAsia="楷体_GB2312"/>
                <w:szCs w:val="21"/>
              </w:rPr>
            </w:pPr>
            <w:r>
              <w:rPr>
                <w:rFonts w:eastAsia="楷体_GB2312"/>
              </w:rPr>
              <w:t>大店镇</w:t>
            </w:r>
            <w:r>
              <w:rPr>
                <w:rFonts w:eastAsia="楷体_GB2312"/>
                <w:szCs w:val="21"/>
              </w:rPr>
              <w:t>汽车停靠站</w:t>
            </w:r>
          </w:p>
        </w:tc>
        <w:tc>
          <w:tcPr>
            <w:tcW w:w="1019" w:type="dxa"/>
            <w:noWrap w:val="0"/>
            <w:vAlign w:val="center"/>
          </w:tcPr>
          <w:p w14:paraId="4AA996AE">
            <w:pPr>
              <w:spacing w:line="260" w:lineRule="exact"/>
              <w:jc w:val="center"/>
              <w:rPr>
                <w:rFonts w:eastAsia="楷体_GB2312"/>
                <w:szCs w:val="21"/>
              </w:rPr>
            </w:pPr>
            <w:r>
              <w:rPr>
                <w:rFonts w:eastAsia="楷体_GB2312"/>
                <w:szCs w:val="21"/>
              </w:rPr>
              <w:t>1</w:t>
            </w:r>
          </w:p>
        </w:tc>
        <w:tc>
          <w:tcPr>
            <w:tcW w:w="637" w:type="dxa"/>
            <w:noWrap w:val="0"/>
            <w:vAlign w:val="center"/>
          </w:tcPr>
          <w:p w14:paraId="0C44E8AE">
            <w:pPr>
              <w:spacing w:line="260" w:lineRule="exact"/>
              <w:jc w:val="center"/>
              <w:rPr>
                <w:rFonts w:eastAsia="楷体_GB2312"/>
                <w:szCs w:val="21"/>
              </w:rPr>
            </w:pPr>
            <w:r>
              <w:rPr>
                <w:rFonts w:eastAsia="楷体_GB2312"/>
                <w:szCs w:val="21"/>
              </w:rPr>
              <w:t>1</w:t>
            </w:r>
          </w:p>
        </w:tc>
        <w:tc>
          <w:tcPr>
            <w:tcW w:w="785" w:type="dxa"/>
            <w:noWrap w:val="0"/>
            <w:vAlign w:val="center"/>
          </w:tcPr>
          <w:p w14:paraId="573F1B92">
            <w:pPr>
              <w:spacing w:line="260" w:lineRule="exact"/>
              <w:jc w:val="center"/>
              <w:rPr>
                <w:rFonts w:eastAsia="楷体_GB2312"/>
                <w:szCs w:val="21"/>
              </w:rPr>
            </w:pPr>
            <w:r>
              <w:rPr>
                <w:rFonts w:eastAsia="楷体_GB2312"/>
                <w:szCs w:val="21"/>
              </w:rPr>
              <w:t>100</w:t>
            </w:r>
          </w:p>
        </w:tc>
        <w:tc>
          <w:tcPr>
            <w:tcW w:w="1041" w:type="dxa"/>
            <w:noWrap w:val="0"/>
            <w:vAlign w:val="center"/>
          </w:tcPr>
          <w:p w14:paraId="1AD64A62">
            <w:pPr>
              <w:spacing w:line="260" w:lineRule="exact"/>
              <w:jc w:val="center"/>
              <w:rPr>
                <w:rFonts w:eastAsia="楷体_GB2312"/>
              </w:rPr>
            </w:pPr>
            <w:r>
              <w:rPr>
                <w:rFonts w:hint="eastAsia" w:eastAsia="楷体_GB2312"/>
              </w:rPr>
              <w:t>2600</w:t>
            </w:r>
          </w:p>
        </w:tc>
      </w:tr>
      <w:tr w14:paraId="5DC8A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02" w:type="dxa"/>
            <w:noWrap w:val="0"/>
            <w:vAlign w:val="center"/>
          </w:tcPr>
          <w:p w14:paraId="7E05EE51">
            <w:pPr>
              <w:tabs>
                <w:tab w:val="left" w:pos="0"/>
                <w:tab w:val="left" w:pos="295"/>
              </w:tabs>
              <w:spacing w:line="260" w:lineRule="exact"/>
              <w:jc w:val="center"/>
              <w:rPr>
                <w:rFonts w:eastAsia="楷体_GB2312"/>
                <w:szCs w:val="21"/>
              </w:rPr>
            </w:pPr>
            <w:r>
              <w:rPr>
                <w:rFonts w:eastAsia="楷体_GB2312"/>
                <w:szCs w:val="21"/>
              </w:rPr>
              <w:t>6</w:t>
            </w:r>
          </w:p>
        </w:tc>
        <w:tc>
          <w:tcPr>
            <w:tcW w:w="1408" w:type="dxa"/>
            <w:noWrap w:val="0"/>
            <w:vAlign w:val="center"/>
          </w:tcPr>
          <w:p w14:paraId="717A6689">
            <w:pPr>
              <w:pStyle w:val="20"/>
              <w:tabs>
                <w:tab w:val="left" w:pos="0"/>
                <w:tab w:val="left" w:pos="295"/>
              </w:tabs>
              <w:spacing w:line="260" w:lineRule="exact"/>
              <w:jc w:val="center"/>
              <w:rPr>
                <w:rFonts w:ascii="Times New Roman" w:hAnsi="Times New Roman" w:eastAsia="楷体_GB2312" w:cs="Times New Roman"/>
              </w:rPr>
            </w:pPr>
            <w:r>
              <w:rPr>
                <w:rFonts w:ascii="Times New Roman" w:hAnsi="Times New Roman" w:eastAsia="楷体_GB2312" w:cs="Times New Roman"/>
              </w:rPr>
              <w:t>栏杆镇</w:t>
            </w:r>
          </w:p>
        </w:tc>
        <w:tc>
          <w:tcPr>
            <w:tcW w:w="1146" w:type="dxa"/>
            <w:noWrap w:val="0"/>
            <w:vAlign w:val="center"/>
          </w:tcPr>
          <w:p w14:paraId="1D667AB3">
            <w:pPr>
              <w:spacing w:line="260" w:lineRule="exact"/>
              <w:jc w:val="center"/>
              <w:rPr>
                <w:rFonts w:eastAsia="楷体_GB2312"/>
              </w:rPr>
            </w:pPr>
            <w:r>
              <w:rPr>
                <w:rFonts w:eastAsia="楷体_GB2312"/>
              </w:rPr>
              <w:t>01</w:t>
            </w:r>
          </w:p>
        </w:tc>
        <w:tc>
          <w:tcPr>
            <w:tcW w:w="2401" w:type="dxa"/>
            <w:noWrap w:val="0"/>
            <w:vAlign w:val="center"/>
          </w:tcPr>
          <w:p w14:paraId="0474AA8D">
            <w:pPr>
              <w:spacing w:line="260" w:lineRule="exact"/>
              <w:jc w:val="center"/>
              <w:rPr>
                <w:rFonts w:eastAsia="楷体_GB2312"/>
                <w:szCs w:val="21"/>
              </w:rPr>
            </w:pPr>
            <w:r>
              <w:rPr>
                <w:rFonts w:eastAsia="楷体_GB2312"/>
              </w:rPr>
              <w:t>栏杆镇</w:t>
            </w:r>
            <w:r>
              <w:rPr>
                <w:rFonts w:eastAsia="楷体_GB2312"/>
                <w:szCs w:val="21"/>
              </w:rPr>
              <w:t>汽车站</w:t>
            </w:r>
          </w:p>
        </w:tc>
        <w:tc>
          <w:tcPr>
            <w:tcW w:w="1019" w:type="dxa"/>
            <w:noWrap w:val="0"/>
            <w:vAlign w:val="center"/>
          </w:tcPr>
          <w:p w14:paraId="5F1718AB">
            <w:pPr>
              <w:spacing w:line="260" w:lineRule="exact"/>
              <w:jc w:val="center"/>
              <w:rPr>
                <w:rFonts w:eastAsia="楷体_GB2312"/>
                <w:szCs w:val="21"/>
              </w:rPr>
            </w:pPr>
            <w:r>
              <w:rPr>
                <w:rFonts w:eastAsia="楷体_GB2312"/>
                <w:szCs w:val="21"/>
              </w:rPr>
              <w:t>1</w:t>
            </w:r>
          </w:p>
        </w:tc>
        <w:tc>
          <w:tcPr>
            <w:tcW w:w="637" w:type="dxa"/>
            <w:noWrap w:val="0"/>
            <w:vAlign w:val="center"/>
          </w:tcPr>
          <w:p w14:paraId="6182ACF4">
            <w:pPr>
              <w:spacing w:line="260" w:lineRule="exact"/>
              <w:jc w:val="center"/>
              <w:rPr>
                <w:rFonts w:eastAsia="楷体_GB2312"/>
                <w:szCs w:val="21"/>
              </w:rPr>
            </w:pPr>
            <w:r>
              <w:rPr>
                <w:rFonts w:eastAsia="楷体_GB2312"/>
                <w:szCs w:val="21"/>
              </w:rPr>
              <w:t>1</w:t>
            </w:r>
          </w:p>
        </w:tc>
        <w:tc>
          <w:tcPr>
            <w:tcW w:w="785" w:type="dxa"/>
            <w:noWrap w:val="0"/>
            <w:vAlign w:val="center"/>
          </w:tcPr>
          <w:p w14:paraId="7A5EFFEB">
            <w:pPr>
              <w:spacing w:line="260" w:lineRule="exact"/>
              <w:jc w:val="center"/>
              <w:rPr>
                <w:rFonts w:eastAsia="楷体_GB2312"/>
                <w:szCs w:val="21"/>
              </w:rPr>
            </w:pPr>
            <w:r>
              <w:rPr>
                <w:rFonts w:eastAsia="楷体_GB2312"/>
                <w:szCs w:val="21"/>
              </w:rPr>
              <w:t>100</w:t>
            </w:r>
          </w:p>
        </w:tc>
        <w:tc>
          <w:tcPr>
            <w:tcW w:w="1041" w:type="dxa"/>
            <w:noWrap w:val="0"/>
            <w:vAlign w:val="center"/>
          </w:tcPr>
          <w:p w14:paraId="795D9A91">
            <w:pPr>
              <w:spacing w:line="260" w:lineRule="exact"/>
              <w:jc w:val="center"/>
              <w:rPr>
                <w:rFonts w:eastAsia="楷体_GB2312"/>
              </w:rPr>
            </w:pPr>
            <w:r>
              <w:rPr>
                <w:rFonts w:hint="eastAsia" w:eastAsia="楷体_GB2312"/>
              </w:rPr>
              <w:t>1800</w:t>
            </w:r>
          </w:p>
        </w:tc>
      </w:tr>
      <w:tr w14:paraId="2286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02" w:type="dxa"/>
            <w:noWrap w:val="0"/>
            <w:vAlign w:val="center"/>
          </w:tcPr>
          <w:p w14:paraId="521B23E0">
            <w:pPr>
              <w:tabs>
                <w:tab w:val="left" w:pos="0"/>
                <w:tab w:val="left" w:pos="295"/>
              </w:tabs>
              <w:spacing w:line="260" w:lineRule="exact"/>
              <w:jc w:val="center"/>
              <w:rPr>
                <w:rFonts w:eastAsia="楷体_GB2312"/>
                <w:szCs w:val="21"/>
              </w:rPr>
            </w:pPr>
            <w:r>
              <w:rPr>
                <w:rFonts w:eastAsia="楷体_GB2312"/>
                <w:szCs w:val="21"/>
              </w:rPr>
              <w:t>7</w:t>
            </w:r>
          </w:p>
        </w:tc>
        <w:tc>
          <w:tcPr>
            <w:tcW w:w="1408" w:type="dxa"/>
            <w:noWrap w:val="0"/>
            <w:vAlign w:val="center"/>
          </w:tcPr>
          <w:p w14:paraId="57345BA4">
            <w:pPr>
              <w:pStyle w:val="20"/>
              <w:tabs>
                <w:tab w:val="left" w:pos="0"/>
                <w:tab w:val="left" w:pos="295"/>
              </w:tabs>
              <w:spacing w:line="260" w:lineRule="exact"/>
              <w:jc w:val="center"/>
              <w:rPr>
                <w:rFonts w:ascii="Times New Roman" w:hAnsi="Times New Roman" w:eastAsia="楷体_GB2312" w:cs="Times New Roman"/>
              </w:rPr>
            </w:pPr>
            <w:r>
              <w:rPr>
                <w:rFonts w:ascii="Times New Roman" w:hAnsi="Times New Roman" w:eastAsia="楷体_GB2312" w:cs="Times New Roman"/>
              </w:rPr>
              <w:t>时村镇</w:t>
            </w:r>
          </w:p>
        </w:tc>
        <w:tc>
          <w:tcPr>
            <w:tcW w:w="1146" w:type="dxa"/>
            <w:noWrap w:val="0"/>
            <w:vAlign w:val="center"/>
          </w:tcPr>
          <w:p w14:paraId="54B946E2">
            <w:pPr>
              <w:spacing w:line="260" w:lineRule="exact"/>
              <w:jc w:val="center"/>
              <w:rPr>
                <w:rFonts w:eastAsia="楷体_GB2312"/>
              </w:rPr>
            </w:pPr>
            <w:r>
              <w:rPr>
                <w:rFonts w:eastAsia="楷体_GB2312"/>
              </w:rPr>
              <w:t>01</w:t>
            </w:r>
          </w:p>
        </w:tc>
        <w:tc>
          <w:tcPr>
            <w:tcW w:w="2401" w:type="dxa"/>
            <w:noWrap w:val="0"/>
            <w:vAlign w:val="center"/>
          </w:tcPr>
          <w:p w14:paraId="514FF0A6">
            <w:pPr>
              <w:spacing w:line="260" w:lineRule="exact"/>
              <w:jc w:val="center"/>
              <w:rPr>
                <w:rFonts w:eastAsia="楷体_GB2312"/>
                <w:szCs w:val="21"/>
              </w:rPr>
            </w:pPr>
            <w:r>
              <w:rPr>
                <w:rFonts w:eastAsia="楷体_GB2312"/>
              </w:rPr>
              <w:t>时村镇</w:t>
            </w:r>
            <w:r>
              <w:rPr>
                <w:rFonts w:eastAsia="楷体_GB2312"/>
                <w:szCs w:val="21"/>
              </w:rPr>
              <w:t>汽车停靠站</w:t>
            </w:r>
          </w:p>
        </w:tc>
        <w:tc>
          <w:tcPr>
            <w:tcW w:w="1019" w:type="dxa"/>
            <w:noWrap w:val="0"/>
            <w:vAlign w:val="center"/>
          </w:tcPr>
          <w:p w14:paraId="393BEAD1">
            <w:pPr>
              <w:spacing w:line="260" w:lineRule="exact"/>
              <w:jc w:val="center"/>
              <w:rPr>
                <w:rFonts w:eastAsia="楷体_GB2312"/>
                <w:szCs w:val="21"/>
              </w:rPr>
            </w:pPr>
            <w:r>
              <w:rPr>
                <w:rFonts w:eastAsia="楷体_GB2312"/>
                <w:szCs w:val="21"/>
              </w:rPr>
              <w:t>1</w:t>
            </w:r>
          </w:p>
        </w:tc>
        <w:tc>
          <w:tcPr>
            <w:tcW w:w="637" w:type="dxa"/>
            <w:noWrap w:val="0"/>
            <w:vAlign w:val="center"/>
          </w:tcPr>
          <w:p w14:paraId="29035986">
            <w:pPr>
              <w:spacing w:line="260" w:lineRule="exact"/>
              <w:jc w:val="center"/>
              <w:rPr>
                <w:rFonts w:eastAsia="楷体_GB2312"/>
                <w:szCs w:val="21"/>
              </w:rPr>
            </w:pPr>
            <w:r>
              <w:rPr>
                <w:rFonts w:eastAsia="楷体_GB2312"/>
                <w:szCs w:val="21"/>
              </w:rPr>
              <w:t>1</w:t>
            </w:r>
          </w:p>
        </w:tc>
        <w:tc>
          <w:tcPr>
            <w:tcW w:w="785" w:type="dxa"/>
            <w:noWrap w:val="0"/>
            <w:vAlign w:val="center"/>
          </w:tcPr>
          <w:p w14:paraId="369EA386">
            <w:pPr>
              <w:spacing w:line="260" w:lineRule="exact"/>
              <w:jc w:val="center"/>
              <w:rPr>
                <w:rFonts w:eastAsia="楷体_GB2312"/>
                <w:szCs w:val="21"/>
              </w:rPr>
            </w:pPr>
            <w:r>
              <w:rPr>
                <w:rFonts w:eastAsia="楷体_GB2312"/>
                <w:szCs w:val="21"/>
              </w:rPr>
              <w:t>100</w:t>
            </w:r>
          </w:p>
        </w:tc>
        <w:tc>
          <w:tcPr>
            <w:tcW w:w="1041" w:type="dxa"/>
            <w:noWrap w:val="0"/>
            <w:vAlign w:val="center"/>
          </w:tcPr>
          <w:p w14:paraId="6AA65280">
            <w:pPr>
              <w:spacing w:line="260" w:lineRule="exact"/>
              <w:jc w:val="center"/>
              <w:rPr>
                <w:rFonts w:eastAsia="楷体_GB2312"/>
                <w:szCs w:val="21"/>
              </w:rPr>
            </w:pPr>
            <w:r>
              <w:rPr>
                <w:rFonts w:hint="eastAsia" w:eastAsia="楷体_GB2312"/>
                <w:szCs w:val="21"/>
              </w:rPr>
              <w:t>1700</w:t>
            </w:r>
          </w:p>
        </w:tc>
      </w:tr>
      <w:tr w14:paraId="5C78D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02" w:type="dxa"/>
            <w:noWrap w:val="0"/>
            <w:vAlign w:val="center"/>
          </w:tcPr>
          <w:p w14:paraId="36FF9597">
            <w:pPr>
              <w:tabs>
                <w:tab w:val="left" w:pos="0"/>
                <w:tab w:val="left" w:pos="295"/>
              </w:tabs>
              <w:spacing w:line="260" w:lineRule="exact"/>
              <w:jc w:val="center"/>
              <w:rPr>
                <w:rFonts w:eastAsia="楷体_GB2312"/>
                <w:szCs w:val="21"/>
              </w:rPr>
            </w:pPr>
            <w:r>
              <w:rPr>
                <w:rFonts w:eastAsia="楷体_GB2312"/>
                <w:szCs w:val="21"/>
              </w:rPr>
              <w:t>8</w:t>
            </w:r>
          </w:p>
        </w:tc>
        <w:tc>
          <w:tcPr>
            <w:tcW w:w="1408" w:type="dxa"/>
            <w:noWrap w:val="0"/>
            <w:vAlign w:val="center"/>
          </w:tcPr>
          <w:p w14:paraId="1A93F932">
            <w:pPr>
              <w:pStyle w:val="20"/>
              <w:tabs>
                <w:tab w:val="left" w:pos="0"/>
                <w:tab w:val="left" w:pos="295"/>
              </w:tabs>
              <w:spacing w:line="260" w:lineRule="exact"/>
              <w:jc w:val="center"/>
              <w:rPr>
                <w:rFonts w:ascii="Times New Roman" w:hAnsi="Times New Roman" w:eastAsia="楷体_GB2312" w:cs="Times New Roman"/>
              </w:rPr>
            </w:pPr>
            <w:r>
              <w:rPr>
                <w:rFonts w:ascii="Times New Roman" w:hAnsi="Times New Roman" w:eastAsia="楷体_GB2312" w:cs="Times New Roman"/>
              </w:rPr>
              <w:t>夹沟镇</w:t>
            </w:r>
          </w:p>
        </w:tc>
        <w:tc>
          <w:tcPr>
            <w:tcW w:w="1146" w:type="dxa"/>
            <w:noWrap w:val="0"/>
            <w:vAlign w:val="center"/>
          </w:tcPr>
          <w:p w14:paraId="699C63AE">
            <w:pPr>
              <w:spacing w:line="260" w:lineRule="exact"/>
              <w:jc w:val="center"/>
              <w:rPr>
                <w:rFonts w:eastAsia="楷体_GB2312"/>
              </w:rPr>
            </w:pPr>
            <w:r>
              <w:rPr>
                <w:rFonts w:eastAsia="楷体_GB2312"/>
              </w:rPr>
              <w:t>01</w:t>
            </w:r>
          </w:p>
        </w:tc>
        <w:tc>
          <w:tcPr>
            <w:tcW w:w="2401" w:type="dxa"/>
            <w:noWrap w:val="0"/>
            <w:vAlign w:val="center"/>
          </w:tcPr>
          <w:p w14:paraId="59B77150">
            <w:pPr>
              <w:spacing w:line="260" w:lineRule="exact"/>
              <w:jc w:val="center"/>
              <w:rPr>
                <w:rFonts w:eastAsia="楷体_GB2312"/>
                <w:szCs w:val="21"/>
              </w:rPr>
            </w:pPr>
            <w:r>
              <w:rPr>
                <w:rFonts w:eastAsia="楷体_GB2312"/>
              </w:rPr>
              <w:t>夹沟镇</w:t>
            </w:r>
            <w:r>
              <w:rPr>
                <w:rFonts w:eastAsia="楷体_GB2312"/>
                <w:szCs w:val="21"/>
              </w:rPr>
              <w:t>汽车停靠站</w:t>
            </w:r>
          </w:p>
        </w:tc>
        <w:tc>
          <w:tcPr>
            <w:tcW w:w="1019" w:type="dxa"/>
            <w:noWrap w:val="0"/>
            <w:vAlign w:val="center"/>
          </w:tcPr>
          <w:p w14:paraId="2A4ADC9A">
            <w:pPr>
              <w:spacing w:line="260" w:lineRule="exact"/>
              <w:jc w:val="center"/>
              <w:rPr>
                <w:rFonts w:eastAsia="楷体_GB2312"/>
                <w:szCs w:val="21"/>
              </w:rPr>
            </w:pPr>
            <w:r>
              <w:rPr>
                <w:rFonts w:eastAsia="楷体_GB2312"/>
                <w:szCs w:val="21"/>
              </w:rPr>
              <w:t>1</w:t>
            </w:r>
          </w:p>
        </w:tc>
        <w:tc>
          <w:tcPr>
            <w:tcW w:w="637" w:type="dxa"/>
            <w:noWrap w:val="0"/>
            <w:vAlign w:val="center"/>
          </w:tcPr>
          <w:p w14:paraId="634FCB4F">
            <w:pPr>
              <w:spacing w:line="260" w:lineRule="exact"/>
              <w:jc w:val="center"/>
              <w:rPr>
                <w:rFonts w:eastAsia="楷体_GB2312"/>
                <w:szCs w:val="21"/>
              </w:rPr>
            </w:pPr>
            <w:r>
              <w:rPr>
                <w:rFonts w:eastAsia="楷体_GB2312"/>
                <w:szCs w:val="21"/>
              </w:rPr>
              <w:t>1</w:t>
            </w:r>
          </w:p>
        </w:tc>
        <w:tc>
          <w:tcPr>
            <w:tcW w:w="785" w:type="dxa"/>
            <w:noWrap w:val="0"/>
            <w:vAlign w:val="center"/>
          </w:tcPr>
          <w:p w14:paraId="204AC546">
            <w:pPr>
              <w:spacing w:line="260" w:lineRule="exact"/>
              <w:jc w:val="center"/>
              <w:rPr>
                <w:rFonts w:eastAsia="楷体_GB2312"/>
                <w:szCs w:val="21"/>
              </w:rPr>
            </w:pPr>
            <w:r>
              <w:rPr>
                <w:rFonts w:eastAsia="楷体_GB2312"/>
                <w:szCs w:val="21"/>
              </w:rPr>
              <w:t>100</w:t>
            </w:r>
          </w:p>
        </w:tc>
        <w:tc>
          <w:tcPr>
            <w:tcW w:w="1041" w:type="dxa"/>
            <w:noWrap w:val="0"/>
            <w:vAlign w:val="center"/>
          </w:tcPr>
          <w:p w14:paraId="00682D5B">
            <w:pPr>
              <w:spacing w:line="260" w:lineRule="exact"/>
              <w:jc w:val="center"/>
              <w:rPr>
                <w:rFonts w:eastAsia="楷体_GB2312"/>
                <w:szCs w:val="21"/>
              </w:rPr>
            </w:pPr>
            <w:r>
              <w:rPr>
                <w:rFonts w:hint="eastAsia" w:eastAsia="楷体_GB2312"/>
                <w:szCs w:val="21"/>
              </w:rPr>
              <w:t>2000</w:t>
            </w:r>
          </w:p>
        </w:tc>
      </w:tr>
      <w:tr w14:paraId="574C3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02" w:type="dxa"/>
            <w:noWrap w:val="0"/>
            <w:vAlign w:val="center"/>
          </w:tcPr>
          <w:p w14:paraId="2967997D">
            <w:pPr>
              <w:tabs>
                <w:tab w:val="left" w:pos="0"/>
                <w:tab w:val="left" w:pos="295"/>
              </w:tabs>
              <w:spacing w:line="260" w:lineRule="exact"/>
              <w:jc w:val="center"/>
              <w:rPr>
                <w:rFonts w:eastAsia="楷体_GB2312"/>
                <w:szCs w:val="21"/>
              </w:rPr>
            </w:pPr>
            <w:r>
              <w:rPr>
                <w:rFonts w:eastAsia="楷体_GB2312"/>
                <w:szCs w:val="21"/>
              </w:rPr>
              <w:t>9</w:t>
            </w:r>
          </w:p>
        </w:tc>
        <w:tc>
          <w:tcPr>
            <w:tcW w:w="1408" w:type="dxa"/>
            <w:noWrap w:val="0"/>
            <w:vAlign w:val="center"/>
          </w:tcPr>
          <w:p w14:paraId="4B90E682">
            <w:pPr>
              <w:pStyle w:val="20"/>
              <w:tabs>
                <w:tab w:val="left" w:pos="0"/>
                <w:tab w:val="left" w:pos="295"/>
              </w:tabs>
              <w:spacing w:line="260" w:lineRule="exact"/>
              <w:jc w:val="center"/>
              <w:rPr>
                <w:rFonts w:ascii="Times New Roman" w:hAnsi="Times New Roman" w:eastAsia="楷体_GB2312" w:cs="Times New Roman"/>
              </w:rPr>
            </w:pPr>
            <w:r>
              <w:rPr>
                <w:rFonts w:ascii="Times New Roman" w:hAnsi="Times New Roman" w:eastAsia="楷体_GB2312" w:cs="Times New Roman"/>
              </w:rPr>
              <w:t>西二铺乡</w:t>
            </w:r>
          </w:p>
        </w:tc>
        <w:tc>
          <w:tcPr>
            <w:tcW w:w="1146" w:type="dxa"/>
            <w:noWrap w:val="0"/>
            <w:vAlign w:val="center"/>
          </w:tcPr>
          <w:p w14:paraId="254C64C0">
            <w:pPr>
              <w:spacing w:line="260" w:lineRule="exact"/>
              <w:jc w:val="center"/>
              <w:rPr>
                <w:rFonts w:eastAsia="楷体_GB2312"/>
              </w:rPr>
            </w:pPr>
            <w:r>
              <w:rPr>
                <w:rFonts w:eastAsia="楷体_GB2312"/>
              </w:rPr>
              <w:t>01</w:t>
            </w:r>
          </w:p>
        </w:tc>
        <w:tc>
          <w:tcPr>
            <w:tcW w:w="2401" w:type="dxa"/>
            <w:noWrap w:val="0"/>
            <w:vAlign w:val="center"/>
          </w:tcPr>
          <w:p w14:paraId="117200A8">
            <w:pPr>
              <w:spacing w:line="260" w:lineRule="exact"/>
              <w:jc w:val="center"/>
              <w:rPr>
                <w:rFonts w:eastAsia="楷体_GB2312"/>
                <w:szCs w:val="21"/>
              </w:rPr>
            </w:pPr>
            <w:r>
              <w:rPr>
                <w:rFonts w:eastAsia="楷体_GB2312"/>
              </w:rPr>
              <w:t>西二铺乡</w:t>
            </w:r>
            <w:r>
              <w:rPr>
                <w:rFonts w:eastAsia="楷体_GB2312"/>
                <w:szCs w:val="21"/>
              </w:rPr>
              <w:t>汽车停靠站</w:t>
            </w:r>
          </w:p>
        </w:tc>
        <w:tc>
          <w:tcPr>
            <w:tcW w:w="1019" w:type="dxa"/>
            <w:noWrap w:val="0"/>
            <w:vAlign w:val="center"/>
          </w:tcPr>
          <w:p w14:paraId="6418274C">
            <w:pPr>
              <w:spacing w:line="260" w:lineRule="exact"/>
              <w:jc w:val="center"/>
              <w:rPr>
                <w:rFonts w:eastAsia="楷体_GB2312"/>
                <w:szCs w:val="21"/>
              </w:rPr>
            </w:pPr>
            <w:r>
              <w:rPr>
                <w:rFonts w:eastAsia="楷体_GB2312"/>
                <w:szCs w:val="21"/>
              </w:rPr>
              <w:t>1</w:t>
            </w:r>
          </w:p>
        </w:tc>
        <w:tc>
          <w:tcPr>
            <w:tcW w:w="637" w:type="dxa"/>
            <w:noWrap w:val="0"/>
            <w:vAlign w:val="center"/>
          </w:tcPr>
          <w:p w14:paraId="5992AD7B">
            <w:pPr>
              <w:spacing w:line="260" w:lineRule="exact"/>
              <w:jc w:val="center"/>
              <w:rPr>
                <w:rFonts w:eastAsia="楷体_GB2312"/>
                <w:szCs w:val="21"/>
              </w:rPr>
            </w:pPr>
            <w:r>
              <w:rPr>
                <w:rFonts w:eastAsia="楷体_GB2312"/>
                <w:szCs w:val="21"/>
              </w:rPr>
              <w:t>1</w:t>
            </w:r>
          </w:p>
        </w:tc>
        <w:tc>
          <w:tcPr>
            <w:tcW w:w="785" w:type="dxa"/>
            <w:noWrap w:val="0"/>
            <w:vAlign w:val="center"/>
          </w:tcPr>
          <w:p w14:paraId="7DCE494A">
            <w:pPr>
              <w:spacing w:line="260" w:lineRule="exact"/>
              <w:jc w:val="center"/>
              <w:rPr>
                <w:rFonts w:eastAsia="楷体_GB2312"/>
                <w:szCs w:val="21"/>
              </w:rPr>
            </w:pPr>
            <w:r>
              <w:rPr>
                <w:rFonts w:eastAsia="楷体_GB2312"/>
                <w:szCs w:val="21"/>
              </w:rPr>
              <w:t>100</w:t>
            </w:r>
          </w:p>
        </w:tc>
        <w:tc>
          <w:tcPr>
            <w:tcW w:w="1041" w:type="dxa"/>
            <w:noWrap w:val="0"/>
            <w:vAlign w:val="center"/>
          </w:tcPr>
          <w:p w14:paraId="6D8ABB75">
            <w:pPr>
              <w:spacing w:line="260" w:lineRule="exact"/>
              <w:jc w:val="center"/>
              <w:rPr>
                <w:rFonts w:eastAsia="楷体_GB2312"/>
                <w:szCs w:val="21"/>
              </w:rPr>
            </w:pPr>
            <w:r>
              <w:rPr>
                <w:rFonts w:hint="eastAsia" w:eastAsia="楷体_GB2312"/>
                <w:szCs w:val="21"/>
              </w:rPr>
              <w:t>1900</w:t>
            </w:r>
          </w:p>
        </w:tc>
      </w:tr>
      <w:tr w14:paraId="7DDBE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02" w:type="dxa"/>
            <w:noWrap w:val="0"/>
            <w:vAlign w:val="center"/>
          </w:tcPr>
          <w:p w14:paraId="1FDA8DCA">
            <w:pPr>
              <w:tabs>
                <w:tab w:val="left" w:pos="0"/>
                <w:tab w:val="left" w:pos="295"/>
              </w:tabs>
              <w:spacing w:line="260" w:lineRule="exact"/>
              <w:jc w:val="center"/>
              <w:rPr>
                <w:rFonts w:eastAsia="楷体_GB2312"/>
                <w:szCs w:val="21"/>
              </w:rPr>
            </w:pPr>
            <w:r>
              <w:rPr>
                <w:rFonts w:eastAsia="楷体_GB2312"/>
                <w:szCs w:val="21"/>
              </w:rPr>
              <w:t>10</w:t>
            </w:r>
          </w:p>
        </w:tc>
        <w:tc>
          <w:tcPr>
            <w:tcW w:w="1408" w:type="dxa"/>
            <w:noWrap w:val="0"/>
            <w:vAlign w:val="center"/>
          </w:tcPr>
          <w:p w14:paraId="75AE0A05">
            <w:pPr>
              <w:pStyle w:val="20"/>
              <w:tabs>
                <w:tab w:val="left" w:pos="0"/>
                <w:tab w:val="left" w:pos="295"/>
              </w:tabs>
              <w:spacing w:line="260" w:lineRule="exact"/>
              <w:jc w:val="center"/>
              <w:rPr>
                <w:rFonts w:ascii="Times New Roman" w:hAnsi="Times New Roman" w:eastAsia="楷体_GB2312" w:cs="Times New Roman"/>
              </w:rPr>
            </w:pPr>
            <w:r>
              <w:rPr>
                <w:rFonts w:ascii="Times New Roman" w:hAnsi="Times New Roman" w:eastAsia="楷体_GB2312" w:cs="Times New Roman"/>
              </w:rPr>
              <w:t>桃园镇</w:t>
            </w:r>
          </w:p>
        </w:tc>
        <w:tc>
          <w:tcPr>
            <w:tcW w:w="1146" w:type="dxa"/>
            <w:noWrap w:val="0"/>
            <w:vAlign w:val="center"/>
          </w:tcPr>
          <w:p w14:paraId="49EB7156">
            <w:pPr>
              <w:spacing w:line="260" w:lineRule="exact"/>
              <w:jc w:val="center"/>
              <w:rPr>
                <w:rFonts w:eastAsia="楷体_GB2312"/>
              </w:rPr>
            </w:pPr>
            <w:r>
              <w:rPr>
                <w:rFonts w:eastAsia="楷体_GB2312"/>
              </w:rPr>
              <w:t>01</w:t>
            </w:r>
          </w:p>
        </w:tc>
        <w:tc>
          <w:tcPr>
            <w:tcW w:w="2401" w:type="dxa"/>
            <w:noWrap w:val="0"/>
            <w:vAlign w:val="center"/>
          </w:tcPr>
          <w:p w14:paraId="678F189F">
            <w:pPr>
              <w:spacing w:line="260" w:lineRule="exact"/>
              <w:jc w:val="center"/>
              <w:rPr>
                <w:rFonts w:eastAsia="楷体_GB2312"/>
                <w:szCs w:val="21"/>
              </w:rPr>
            </w:pPr>
            <w:r>
              <w:rPr>
                <w:rFonts w:eastAsia="楷体_GB2312"/>
              </w:rPr>
              <w:t>桃园镇</w:t>
            </w:r>
            <w:r>
              <w:rPr>
                <w:rFonts w:eastAsia="楷体_GB2312"/>
                <w:szCs w:val="21"/>
              </w:rPr>
              <w:t>汽车停靠站</w:t>
            </w:r>
          </w:p>
        </w:tc>
        <w:tc>
          <w:tcPr>
            <w:tcW w:w="1019" w:type="dxa"/>
            <w:noWrap w:val="0"/>
            <w:vAlign w:val="center"/>
          </w:tcPr>
          <w:p w14:paraId="4DBA3E6B">
            <w:pPr>
              <w:spacing w:line="260" w:lineRule="exact"/>
              <w:jc w:val="center"/>
              <w:rPr>
                <w:rFonts w:eastAsia="楷体_GB2312"/>
                <w:szCs w:val="21"/>
              </w:rPr>
            </w:pPr>
            <w:r>
              <w:rPr>
                <w:rFonts w:eastAsia="楷体_GB2312"/>
                <w:szCs w:val="21"/>
              </w:rPr>
              <w:t>1</w:t>
            </w:r>
          </w:p>
        </w:tc>
        <w:tc>
          <w:tcPr>
            <w:tcW w:w="637" w:type="dxa"/>
            <w:noWrap w:val="0"/>
            <w:vAlign w:val="center"/>
          </w:tcPr>
          <w:p w14:paraId="63CCD15B">
            <w:pPr>
              <w:spacing w:line="260" w:lineRule="exact"/>
              <w:jc w:val="center"/>
              <w:rPr>
                <w:rFonts w:eastAsia="楷体_GB2312"/>
                <w:szCs w:val="21"/>
              </w:rPr>
            </w:pPr>
            <w:r>
              <w:rPr>
                <w:rFonts w:eastAsia="楷体_GB2312"/>
                <w:szCs w:val="21"/>
              </w:rPr>
              <w:t>1</w:t>
            </w:r>
          </w:p>
        </w:tc>
        <w:tc>
          <w:tcPr>
            <w:tcW w:w="785" w:type="dxa"/>
            <w:noWrap w:val="0"/>
            <w:vAlign w:val="center"/>
          </w:tcPr>
          <w:p w14:paraId="2E72D4EC">
            <w:pPr>
              <w:spacing w:line="260" w:lineRule="exact"/>
              <w:jc w:val="center"/>
              <w:rPr>
                <w:rFonts w:eastAsia="楷体_GB2312"/>
                <w:szCs w:val="21"/>
              </w:rPr>
            </w:pPr>
            <w:r>
              <w:rPr>
                <w:rFonts w:eastAsia="楷体_GB2312"/>
                <w:szCs w:val="21"/>
              </w:rPr>
              <w:t>100</w:t>
            </w:r>
          </w:p>
        </w:tc>
        <w:tc>
          <w:tcPr>
            <w:tcW w:w="1041" w:type="dxa"/>
            <w:noWrap w:val="0"/>
            <w:vAlign w:val="center"/>
          </w:tcPr>
          <w:p w14:paraId="514E5455">
            <w:pPr>
              <w:spacing w:line="260" w:lineRule="exact"/>
              <w:jc w:val="center"/>
              <w:rPr>
                <w:rFonts w:eastAsia="楷体_GB2312"/>
                <w:szCs w:val="21"/>
              </w:rPr>
            </w:pPr>
            <w:r>
              <w:rPr>
                <w:rFonts w:hint="eastAsia" w:eastAsia="楷体_GB2312"/>
                <w:szCs w:val="21"/>
              </w:rPr>
              <w:t>2400</w:t>
            </w:r>
          </w:p>
        </w:tc>
      </w:tr>
      <w:tr w14:paraId="7B10A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02" w:type="dxa"/>
            <w:noWrap w:val="0"/>
            <w:vAlign w:val="center"/>
          </w:tcPr>
          <w:p w14:paraId="1DD522B1">
            <w:pPr>
              <w:tabs>
                <w:tab w:val="left" w:pos="0"/>
                <w:tab w:val="left" w:pos="295"/>
              </w:tabs>
              <w:spacing w:line="260" w:lineRule="exact"/>
              <w:jc w:val="center"/>
              <w:rPr>
                <w:rFonts w:eastAsia="楷体_GB2312"/>
                <w:szCs w:val="21"/>
              </w:rPr>
            </w:pPr>
            <w:r>
              <w:rPr>
                <w:rFonts w:hint="eastAsia" w:eastAsia="楷体_GB2312"/>
                <w:szCs w:val="21"/>
              </w:rPr>
              <w:t>11</w:t>
            </w:r>
          </w:p>
        </w:tc>
        <w:tc>
          <w:tcPr>
            <w:tcW w:w="1408" w:type="dxa"/>
            <w:noWrap w:val="0"/>
            <w:vAlign w:val="center"/>
          </w:tcPr>
          <w:p w14:paraId="16C0C5AA">
            <w:pPr>
              <w:pStyle w:val="20"/>
              <w:tabs>
                <w:tab w:val="left" w:pos="0"/>
                <w:tab w:val="left" w:pos="295"/>
              </w:tabs>
              <w:spacing w:line="260" w:lineRule="exact"/>
              <w:jc w:val="center"/>
              <w:rPr>
                <w:rFonts w:ascii="Times New Roman" w:hAnsi="Times New Roman" w:eastAsia="楷体_GB2312" w:cs="Times New Roman"/>
              </w:rPr>
            </w:pPr>
            <w:r>
              <w:rPr>
                <w:rFonts w:ascii="Times New Roman" w:hAnsi="Times New Roman" w:eastAsia="楷体_GB2312" w:cs="Times New Roman"/>
              </w:rPr>
              <w:t>曹村镇</w:t>
            </w:r>
          </w:p>
        </w:tc>
        <w:tc>
          <w:tcPr>
            <w:tcW w:w="1146" w:type="dxa"/>
            <w:noWrap w:val="0"/>
            <w:vAlign w:val="top"/>
          </w:tcPr>
          <w:p w14:paraId="65B7ACB3">
            <w:pPr>
              <w:spacing w:line="260" w:lineRule="exact"/>
              <w:jc w:val="center"/>
            </w:pPr>
            <w:r>
              <w:rPr>
                <w:rFonts w:eastAsia="楷体_GB2312"/>
              </w:rPr>
              <w:t>01</w:t>
            </w:r>
          </w:p>
        </w:tc>
        <w:tc>
          <w:tcPr>
            <w:tcW w:w="2401" w:type="dxa"/>
            <w:noWrap w:val="0"/>
            <w:vAlign w:val="top"/>
          </w:tcPr>
          <w:p w14:paraId="3DD46383">
            <w:pPr>
              <w:spacing w:line="260" w:lineRule="exact"/>
              <w:jc w:val="center"/>
            </w:pPr>
            <w:r>
              <w:rPr>
                <w:rFonts w:eastAsia="楷体_GB2312"/>
              </w:rPr>
              <w:t>曹村镇</w:t>
            </w:r>
            <w:r>
              <w:rPr>
                <w:rFonts w:eastAsia="楷体_GB2312"/>
                <w:szCs w:val="21"/>
              </w:rPr>
              <w:t>汽车停靠站</w:t>
            </w:r>
          </w:p>
        </w:tc>
        <w:tc>
          <w:tcPr>
            <w:tcW w:w="1019" w:type="dxa"/>
            <w:noWrap w:val="0"/>
            <w:vAlign w:val="center"/>
          </w:tcPr>
          <w:p w14:paraId="6A7ACB3B">
            <w:pPr>
              <w:spacing w:line="260" w:lineRule="exact"/>
              <w:jc w:val="center"/>
              <w:rPr>
                <w:rFonts w:eastAsia="楷体_GB2312"/>
                <w:szCs w:val="21"/>
              </w:rPr>
            </w:pPr>
            <w:r>
              <w:rPr>
                <w:rFonts w:eastAsia="楷体_GB2312"/>
                <w:szCs w:val="21"/>
              </w:rPr>
              <w:t>1</w:t>
            </w:r>
          </w:p>
        </w:tc>
        <w:tc>
          <w:tcPr>
            <w:tcW w:w="637" w:type="dxa"/>
            <w:noWrap w:val="0"/>
            <w:vAlign w:val="center"/>
          </w:tcPr>
          <w:p w14:paraId="50CAB29D">
            <w:pPr>
              <w:spacing w:line="260" w:lineRule="exact"/>
              <w:jc w:val="center"/>
              <w:rPr>
                <w:rFonts w:eastAsia="楷体_GB2312"/>
                <w:szCs w:val="21"/>
              </w:rPr>
            </w:pPr>
            <w:r>
              <w:rPr>
                <w:rFonts w:eastAsia="楷体_GB2312"/>
                <w:szCs w:val="21"/>
              </w:rPr>
              <w:t>1</w:t>
            </w:r>
          </w:p>
        </w:tc>
        <w:tc>
          <w:tcPr>
            <w:tcW w:w="785" w:type="dxa"/>
            <w:noWrap w:val="0"/>
            <w:vAlign w:val="center"/>
          </w:tcPr>
          <w:p w14:paraId="2215A81A">
            <w:pPr>
              <w:spacing w:line="260" w:lineRule="exact"/>
              <w:jc w:val="center"/>
              <w:rPr>
                <w:rFonts w:eastAsia="楷体_GB2312"/>
                <w:szCs w:val="21"/>
              </w:rPr>
            </w:pPr>
            <w:r>
              <w:rPr>
                <w:rFonts w:eastAsia="楷体_GB2312"/>
                <w:szCs w:val="21"/>
              </w:rPr>
              <w:t>100</w:t>
            </w:r>
          </w:p>
        </w:tc>
        <w:tc>
          <w:tcPr>
            <w:tcW w:w="1041" w:type="dxa"/>
            <w:noWrap w:val="0"/>
            <w:vAlign w:val="center"/>
          </w:tcPr>
          <w:p w14:paraId="525EC085">
            <w:pPr>
              <w:spacing w:line="260" w:lineRule="exact"/>
              <w:jc w:val="center"/>
              <w:rPr>
                <w:rFonts w:eastAsia="楷体_GB2312"/>
                <w:szCs w:val="21"/>
              </w:rPr>
            </w:pPr>
            <w:r>
              <w:rPr>
                <w:rFonts w:hint="eastAsia" w:eastAsia="楷体_GB2312"/>
                <w:szCs w:val="21"/>
              </w:rPr>
              <w:t>2500</w:t>
            </w:r>
          </w:p>
        </w:tc>
      </w:tr>
      <w:tr w14:paraId="542FC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02" w:type="dxa"/>
            <w:noWrap w:val="0"/>
            <w:vAlign w:val="center"/>
          </w:tcPr>
          <w:p w14:paraId="0A8F1CA7">
            <w:pPr>
              <w:tabs>
                <w:tab w:val="left" w:pos="0"/>
                <w:tab w:val="left" w:pos="295"/>
              </w:tabs>
              <w:spacing w:line="260" w:lineRule="exact"/>
              <w:jc w:val="center"/>
              <w:rPr>
                <w:rFonts w:eastAsia="楷体_GB2312"/>
                <w:szCs w:val="21"/>
              </w:rPr>
            </w:pPr>
            <w:r>
              <w:rPr>
                <w:rFonts w:hint="eastAsia" w:eastAsia="楷体_GB2312"/>
                <w:szCs w:val="21"/>
              </w:rPr>
              <w:t>12</w:t>
            </w:r>
          </w:p>
        </w:tc>
        <w:tc>
          <w:tcPr>
            <w:tcW w:w="1408" w:type="dxa"/>
            <w:noWrap w:val="0"/>
            <w:vAlign w:val="center"/>
          </w:tcPr>
          <w:p w14:paraId="456AADCC">
            <w:pPr>
              <w:pStyle w:val="20"/>
              <w:tabs>
                <w:tab w:val="left" w:pos="0"/>
                <w:tab w:val="left" w:pos="295"/>
              </w:tabs>
              <w:spacing w:line="260" w:lineRule="exact"/>
              <w:jc w:val="center"/>
              <w:rPr>
                <w:rFonts w:ascii="Times New Roman" w:hAnsi="Times New Roman" w:eastAsia="楷体_GB2312" w:cs="Times New Roman"/>
              </w:rPr>
            </w:pPr>
            <w:r>
              <w:rPr>
                <w:rFonts w:ascii="Times New Roman" w:hAnsi="Times New Roman" w:eastAsia="楷体_GB2312" w:cs="Times New Roman"/>
              </w:rPr>
              <w:t>大营镇</w:t>
            </w:r>
          </w:p>
        </w:tc>
        <w:tc>
          <w:tcPr>
            <w:tcW w:w="1146" w:type="dxa"/>
            <w:noWrap w:val="0"/>
            <w:vAlign w:val="top"/>
          </w:tcPr>
          <w:p w14:paraId="6947A47E">
            <w:pPr>
              <w:spacing w:line="260" w:lineRule="exact"/>
              <w:jc w:val="center"/>
            </w:pPr>
            <w:r>
              <w:rPr>
                <w:rFonts w:eastAsia="楷体_GB2312"/>
              </w:rPr>
              <w:t>01</w:t>
            </w:r>
          </w:p>
        </w:tc>
        <w:tc>
          <w:tcPr>
            <w:tcW w:w="2401" w:type="dxa"/>
            <w:noWrap w:val="0"/>
            <w:vAlign w:val="top"/>
          </w:tcPr>
          <w:p w14:paraId="1E90F432">
            <w:pPr>
              <w:spacing w:line="260" w:lineRule="exact"/>
              <w:jc w:val="center"/>
            </w:pPr>
            <w:r>
              <w:rPr>
                <w:rFonts w:eastAsia="楷体_GB2312"/>
              </w:rPr>
              <w:t>大营镇</w:t>
            </w:r>
            <w:r>
              <w:rPr>
                <w:rFonts w:eastAsia="楷体_GB2312"/>
                <w:szCs w:val="21"/>
              </w:rPr>
              <w:t>汽车站</w:t>
            </w:r>
          </w:p>
        </w:tc>
        <w:tc>
          <w:tcPr>
            <w:tcW w:w="1019" w:type="dxa"/>
            <w:noWrap w:val="0"/>
            <w:vAlign w:val="center"/>
          </w:tcPr>
          <w:p w14:paraId="5D35AE2B">
            <w:pPr>
              <w:spacing w:line="260" w:lineRule="exact"/>
              <w:jc w:val="center"/>
              <w:rPr>
                <w:rFonts w:eastAsia="楷体_GB2312"/>
                <w:szCs w:val="21"/>
              </w:rPr>
            </w:pPr>
            <w:r>
              <w:rPr>
                <w:rFonts w:eastAsia="楷体_GB2312"/>
                <w:szCs w:val="21"/>
              </w:rPr>
              <w:t>1</w:t>
            </w:r>
          </w:p>
        </w:tc>
        <w:tc>
          <w:tcPr>
            <w:tcW w:w="637" w:type="dxa"/>
            <w:noWrap w:val="0"/>
            <w:vAlign w:val="center"/>
          </w:tcPr>
          <w:p w14:paraId="03AFF4EF">
            <w:pPr>
              <w:spacing w:line="260" w:lineRule="exact"/>
              <w:jc w:val="center"/>
              <w:rPr>
                <w:rFonts w:eastAsia="楷体_GB2312"/>
                <w:szCs w:val="21"/>
              </w:rPr>
            </w:pPr>
            <w:r>
              <w:rPr>
                <w:rFonts w:eastAsia="楷体_GB2312"/>
                <w:szCs w:val="21"/>
              </w:rPr>
              <w:t>1</w:t>
            </w:r>
          </w:p>
        </w:tc>
        <w:tc>
          <w:tcPr>
            <w:tcW w:w="785" w:type="dxa"/>
            <w:noWrap w:val="0"/>
            <w:vAlign w:val="center"/>
          </w:tcPr>
          <w:p w14:paraId="55FE430A">
            <w:pPr>
              <w:spacing w:line="260" w:lineRule="exact"/>
              <w:jc w:val="center"/>
              <w:rPr>
                <w:rFonts w:eastAsia="楷体_GB2312"/>
                <w:szCs w:val="21"/>
              </w:rPr>
            </w:pPr>
            <w:r>
              <w:rPr>
                <w:rFonts w:eastAsia="楷体_GB2312"/>
                <w:szCs w:val="21"/>
              </w:rPr>
              <w:t>100</w:t>
            </w:r>
          </w:p>
        </w:tc>
        <w:tc>
          <w:tcPr>
            <w:tcW w:w="1041" w:type="dxa"/>
            <w:noWrap w:val="0"/>
            <w:vAlign w:val="center"/>
          </w:tcPr>
          <w:p w14:paraId="7E3FB529">
            <w:pPr>
              <w:spacing w:line="260" w:lineRule="exact"/>
              <w:jc w:val="center"/>
              <w:rPr>
                <w:rFonts w:eastAsia="楷体_GB2312"/>
                <w:szCs w:val="21"/>
              </w:rPr>
            </w:pPr>
            <w:r>
              <w:rPr>
                <w:rFonts w:hint="eastAsia" w:eastAsia="楷体_GB2312"/>
                <w:szCs w:val="21"/>
              </w:rPr>
              <w:t>1900</w:t>
            </w:r>
          </w:p>
        </w:tc>
      </w:tr>
      <w:tr w14:paraId="599A4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02" w:type="dxa"/>
            <w:noWrap w:val="0"/>
            <w:vAlign w:val="center"/>
          </w:tcPr>
          <w:p w14:paraId="65CD7FE4">
            <w:pPr>
              <w:tabs>
                <w:tab w:val="left" w:pos="0"/>
                <w:tab w:val="left" w:pos="295"/>
              </w:tabs>
              <w:spacing w:line="260" w:lineRule="exact"/>
              <w:jc w:val="center"/>
              <w:rPr>
                <w:rFonts w:eastAsia="楷体_GB2312"/>
                <w:szCs w:val="21"/>
              </w:rPr>
            </w:pPr>
            <w:r>
              <w:rPr>
                <w:rFonts w:hint="eastAsia" w:eastAsia="楷体_GB2312"/>
                <w:szCs w:val="21"/>
              </w:rPr>
              <w:t>13</w:t>
            </w:r>
          </w:p>
        </w:tc>
        <w:tc>
          <w:tcPr>
            <w:tcW w:w="1408" w:type="dxa"/>
            <w:noWrap w:val="0"/>
            <w:vAlign w:val="center"/>
          </w:tcPr>
          <w:p w14:paraId="5614FFC6">
            <w:pPr>
              <w:pStyle w:val="20"/>
              <w:tabs>
                <w:tab w:val="left" w:pos="0"/>
                <w:tab w:val="left" w:pos="295"/>
              </w:tabs>
              <w:spacing w:line="260" w:lineRule="exact"/>
              <w:jc w:val="center"/>
              <w:rPr>
                <w:rFonts w:ascii="Times New Roman" w:hAnsi="Times New Roman" w:eastAsia="楷体_GB2312" w:cs="Times New Roman"/>
              </w:rPr>
            </w:pPr>
            <w:r>
              <w:rPr>
                <w:rFonts w:ascii="Times New Roman" w:hAnsi="Times New Roman" w:eastAsia="楷体_GB2312" w:cs="Times New Roman"/>
              </w:rPr>
              <w:t>褚兰镇</w:t>
            </w:r>
          </w:p>
        </w:tc>
        <w:tc>
          <w:tcPr>
            <w:tcW w:w="1146" w:type="dxa"/>
            <w:noWrap w:val="0"/>
            <w:vAlign w:val="top"/>
          </w:tcPr>
          <w:p w14:paraId="250A73B2">
            <w:pPr>
              <w:spacing w:line="260" w:lineRule="exact"/>
              <w:jc w:val="center"/>
            </w:pPr>
            <w:r>
              <w:rPr>
                <w:rFonts w:eastAsia="楷体_GB2312"/>
              </w:rPr>
              <w:t>01</w:t>
            </w:r>
          </w:p>
        </w:tc>
        <w:tc>
          <w:tcPr>
            <w:tcW w:w="2401" w:type="dxa"/>
            <w:noWrap w:val="0"/>
            <w:vAlign w:val="top"/>
          </w:tcPr>
          <w:p w14:paraId="30F86F54">
            <w:pPr>
              <w:spacing w:line="260" w:lineRule="exact"/>
              <w:jc w:val="center"/>
            </w:pPr>
            <w:r>
              <w:rPr>
                <w:rFonts w:eastAsia="楷体_GB2312"/>
              </w:rPr>
              <w:t>褚兰镇</w:t>
            </w:r>
            <w:r>
              <w:rPr>
                <w:rFonts w:eastAsia="楷体_GB2312"/>
                <w:szCs w:val="21"/>
              </w:rPr>
              <w:t>汽车停靠站</w:t>
            </w:r>
          </w:p>
        </w:tc>
        <w:tc>
          <w:tcPr>
            <w:tcW w:w="1019" w:type="dxa"/>
            <w:noWrap w:val="0"/>
            <w:vAlign w:val="center"/>
          </w:tcPr>
          <w:p w14:paraId="6F33D3EA">
            <w:pPr>
              <w:spacing w:line="260" w:lineRule="exact"/>
              <w:jc w:val="center"/>
              <w:rPr>
                <w:rFonts w:eastAsia="楷体_GB2312"/>
                <w:szCs w:val="21"/>
              </w:rPr>
            </w:pPr>
            <w:r>
              <w:rPr>
                <w:rFonts w:eastAsia="楷体_GB2312"/>
                <w:szCs w:val="21"/>
              </w:rPr>
              <w:t>1</w:t>
            </w:r>
          </w:p>
        </w:tc>
        <w:tc>
          <w:tcPr>
            <w:tcW w:w="637" w:type="dxa"/>
            <w:noWrap w:val="0"/>
            <w:vAlign w:val="center"/>
          </w:tcPr>
          <w:p w14:paraId="6A64115F">
            <w:pPr>
              <w:spacing w:line="260" w:lineRule="exact"/>
              <w:jc w:val="center"/>
              <w:rPr>
                <w:rFonts w:eastAsia="楷体_GB2312"/>
                <w:szCs w:val="21"/>
              </w:rPr>
            </w:pPr>
            <w:r>
              <w:rPr>
                <w:rFonts w:eastAsia="楷体_GB2312"/>
                <w:szCs w:val="21"/>
              </w:rPr>
              <w:t>1</w:t>
            </w:r>
          </w:p>
        </w:tc>
        <w:tc>
          <w:tcPr>
            <w:tcW w:w="785" w:type="dxa"/>
            <w:noWrap w:val="0"/>
            <w:vAlign w:val="center"/>
          </w:tcPr>
          <w:p w14:paraId="066150D2">
            <w:pPr>
              <w:spacing w:line="260" w:lineRule="exact"/>
              <w:jc w:val="center"/>
              <w:rPr>
                <w:rFonts w:eastAsia="楷体_GB2312"/>
                <w:szCs w:val="21"/>
              </w:rPr>
            </w:pPr>
            <w:r>
              <w:rPr>
                <w:rFonts w:eastAsia="楷体_GB2312"/>
                <w:szCs w:val="21"/>
              </w:rPr>
              <w:t>100</w:t>
            </w:r>
          </w:p>
        </w:tc>
        <w:tc>
          <w:tcPr>
            <w:tcW w:w="1041" w:type="dxa"/>
            <w:noWrap w:val="0"/>
            <w:vAlign w:val="center"/>
          </w:tcPr>
          <w:p w14:paraId="0938489B">
            <w:pPr>
              <w:spacing w:line="260" w:lineRule="exact"/>
              <w:jc w:val="center"/>
              <w:rPr>
                <w:rFonts w:eastAsia="楷体_GB2312"/>
                <w:szCs w:val="21"/>
              </w:rPr>
            </w:pPr>
            <w:r>
              <w:rPr>
                <w:rFonts w:hint="eastAsia" w:eastAsia="楷体_GB2312"/>
                <w:szCs w:val="21"/>
              </w:rPr>
              <w:t>1400</w:t>
            </w:r>
          </w:p>
        </w:tc>
      </w:tr>
      <w:tr w14:paraId="1640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02" w:type="dxa"/>
            <w:noWrap w:val="0"/>
            <w:vAlign w:val="center"/>
          </w:tcPr>
          <w:p w14:paraId="6AB7D0F5">
            <w:pPr>
              <w:tabs>
                <w:tab w:val="left" w:pos="0"/>
                <w:tab w:val="left" w:pos="295"/>
              </w:tabs>
              <w:spacing w:line="260" w:lineRule="exact"/>
              <w:jc w:val="center"/>
              <w:rPr>
                <w:rFonts w:eastAsia="楷体_GB2312"/>
                <w:szCs w:val="21"/>
              </w:rPr>
            </w:pPr>
            <w:r>
              <w:rPr>
                <w:rFonts w:hint="eastAsia" w:eastAsia="楷体_GB2312"/>
                <w:szCs w:val="21"/>
              </w:rPr>
              <w:t>14</w:t>
            </w:r>
          </w:p>
        </w:tc>
        <w:tc>
          <w:tcPr>
            <w:tcW w:w="1408" w:type="dxa"/>
            <w:noWrap w:val="0"/>
            <w:vAlign w:val="center"/>
          </w:tcPr>
          <w:p w14:paraId="1B021389">
            <w:pPr>
              <w:pStyle w:val="20"/>
              <w:tabs>
                <w:tab w:val="left" w:pos="0"/>
                <w:tab w:val="left" w:pos="295"/>
              </w:tabs>
              <w:spacing w:line="260" w:lineRule="exact"/>
              <w:jc w:val="center"/>
              <w:rPr>
                <w:rFonts w:ascii="Times New Roman" w:hAnsi="Times New Roman" w:eastAsia="楷体_GB2312" w:cs="Times New Roman"/>
              </w:rPr>
            </w:pPr>
            <w:r>
              <w:rPr>
                <w:rFonts w:ascii="Times New Roman" w:hAnsi="Times New Roman" w:eastAsia="楷体_GB2312" w:cs="Times New Roman"/>
              </w:rPr>
              <w:t>顺河镇</w:t>
            </w:r>
          </w:p>
        </w:tc>
        <w:tc>
          <w:tcPr>
            <w:tcW w:w="1146" w:type="dxa"/>
            <w:noWrap w:val="0"/>
            <w:vAlign w:val="top"/>
          </w:tcPr>
          <w:p w14:paraId="6D91E170">
            <w:pPr>
              <w:spacing w:line="260" w:lineRule="exact"/>
              <w:jc w:val="center"/>
            </w:pPr>
            <w:r>
              <w:rPr>
                <w:rFonts w:eastAsia="楷体_GB2312"/>
              </w:rPr>
              <w:t>01</w:t>
            </w:r>
          </w:p>
        </w:tc>
        <w:tc>
          <w:tcPr>
            <w:tcW w:w="2401" w:type="dxa"/>
            <w:noWrap w:val="0"/>
            <w:vAlign w:val="top"/>
          </w:tcPr>
          <w:p w14:paraId="2C54671F">
            <w:pPr>
              <w:spacing w:line="260" w:lineRule="exact"/>
              <w:jc w:val="center"/>
            </w:pPr>
            <w:r>
              <w:rPr>
                <w:rFonts w:eastAsia="楷体_GB2312"/>
              </w:rPr>
              <w:t>顺河镇</w:t>
            </w:r>
            <w:r>
              <w:rPr>
                <w:rFonts w:eastAsia="楷体_GB2312"/>
                <w:szCs w:val="21"/>
              </w:rPr>
              <w:t>汽车停靠站</w:t>
            </w:r>
          </w:p>
        </w:tc>
        <w:tc>
          <w:tcPr>
            <w:tcW w:w="1019" w:type="dxa"/>
            <w:noWrap w:val="0"/>
            <w:vAlign w:val="center"/>
          </w:tcPr>
          <w:p w14:paraId="3B4A2547">
            <w:pPr>
              <w:spacing w:line="260" w:lineRule="exact"/>
              <w:jc w:val="center"/>
              <w:rPr>
                <w:rFonts w:eastAsia="楷体_GB2312"/>
                <w:szCs w:val="21"/>
              </w:rPr>
            </w:pPr>
            <w:r>
              <w:rPr>
                <w:rFonts w:eastAsia="楷体_GB2312"/>
                <w:szCs w:val="21"/>
              </w:rPr>
              <w:t>1</w:t>
            </w:r>
          </w:p>
        </w:tc>
        <w:tc>
          <w:tcPr>
            <w:tcW w:w="637" w:type="dxa"/>
            <w:noWrap w:val="0"/>
            <w:vAlign w:val="center"/>
          </w:tcPr>
          <w:p w14:paraId="0B2DC349">
            <w:pPr>
              <w:spacing w:line="260" w:lineRule="exact"/>
              <w:jc w:val="center"/>
              <w:rPr>
                <w:rFonts w:eastAsia="楷体_GB2312"/>
                <w:szCs w:val="21"/>
              </w:rPr>
            </w:pPr>
            <w:r>
              <w:rPr>
                <w:rFonts w:eastAsia="楷体_GB2312"/>
                <w:szCs w:val="21"/>
              </w:rPr>
              <w:t>1</w:t>
            </w:r>
          </w:p>
        </w:tc>
        <w:tc>
          <w:tcPr>
            <w:tcW w:w="785" w:type="dxa"/>
            <w:noWrap w:val="0"/>
            <w:vAlign w:val="center"/>
          </w:tcPr>
          <w:p w14:paraId="4AD994D9">
            <w:pPr>
              <w:spacing w:line="260" w:lineRule="exact"/>
              <w:jc w:val="center"/>
              <w:rPr>
                <w:rFonts w:eastAsia="楷体_GB2312"/>
                <w:szCs w:val="21"/>
              </w:rPr>
            </w:pPr>
            <w:r>
              <w:rPr>
                <w:rFonts w:eastAsia="楷体_GB2312"/>
                <w:szCs w:val="21"/>
              </w:rPr>
              <w:t>100</w:t>
            </w:r>
          </w:p>
        </w:tc>
        <w:tc>
          <w:tcPr>
            <w:tcW w:w="1041" w:type="dxa"/>
            <w:noWrap w:val="0"/>
            <w:vAlign w:val="center"/>
          </w:tcPr>
          <w:p w14:paraId="4916DC3F">
            <w:pPr>
              <w:spacing w:line="260" w:lineRule="exact"/>
              <w:jc w:val="center"/>
              <w:rPr>
                <w:rFonts w:eastAsia="楷体_GB2312"/>
                <w:szCs w:val="21"/>
              </w:rPr>
            </w:pPr>
            <w:r>
              <w:rPr>
                <w:rFonts w:hint="eastAsia" w:eastAsia="楷体_GB2312"/>
                <w:szCs w:val="21"/>
              </w:rPr>
              <w:t>3900</w:t>
            </w:r>
          </w:p>
        </w:tc>
      </w:tr>
      <w:tr w14:paraId="5FC5E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02" w:type="dxa"/>
            <w:noWrap w:val="0"/>
            <w:vAlign w:val="center"/>
          </w:tcPr>
          <w:p w14:paraId="70670289">
            <w:pPr>
              <w:tabs>
                <w:tab w:val="left" w:pos="0"/>
                <w:tab w:val="left" w:pos="295"/>
              </w:tabs>
              <w:spacing w:line="260" w:lineRule="exact"/>
              <w:jc w:val="center"/>
              <w:rPr>
                <w:rFonts w:eastAsia="楷体_GB2312"/>
                <w:szCs w:val="21"/>
              </w:rPr>
            </w:pPr>
            <w:r>
              <w:rPr>
                <w:rFonts w:hint="eastAsia" w:eastAsia="楷体_GB2312"/>
                <w:szCs w:val="21"/>
              </w:rPr>
              <w:t>15</w:t>
            </w:r>
          </w:p>
        </w:tc>
        <w:tc>
          <w:tcPr>
            <w:tcW w:w="1408" w:type="dxa"/>
            <w:noWrap w:val="0"/>
            <w:vAlign w:val="center"/>
          </w:tcPr>
          <w:p w14:paraId="59ABAF17">
            <w:pPr>
              <w:pStyle w:val="20"/>
              <w:tabs>
                <w:tab w:val="left" w:pos="0"/>
                <w:tab w:val="left" w:pos="295"/>
              </w:tabs>
              <w:spacing w:line="260" w:lineRule="exact"/>
              <w:jc w:val="center"/>
              <w:rPr>
                <w:rFonts w:ascii="Times New Roman" w:hAnsi="Times New Roman" w:eastAsia="楷体_GB2312" w:cs="Times New Roman"/>
              </w:rPr>
            </w:pPr>
            <w:r>
              <w:rPr>
                <w:rFonts w:ascii="Times New Roman" w:hAnsi="Times New Roman" w:eastAsia="楷体_GB2312" w:cs="Times New Roman"/>
              </w:rPr>
              <w:t>杨庄镇</w:t>
            </w:r>
          </w:p>
        </w:tc>
        <w:tc>
          <w:tcPr>
            <w:tcW w:w="1146" w:type="dxa"/>
            <w:noWrap w:val="0"/>
            <w:vAlign w:val="top"/>
          </w:tcPr>
          <w:p w14:paraId="09DCA419">
            <w:pPr>
              <w:spacing w:line="260" w:lineRule="exact"/>
              <w:jc w:val="center"/>
            </w:pPr>
            <w:r>
              <w:rPr>
                <w:rFonts w:eastAsia="楷体_GB2312"/>
              </w:rPr>
              <w:t>01</w:t>
            </w:r>
          </w:p>
        </w:tc>
        <w:tc>
          <w:tcPr>
            <w:tcW w:w="2401" w:type="dxa"/>
            <w:noWrap w:val="0"/>
            <w:vAlign w:val="top"/>
          </w:tcPr>
          <w:p w14:paraId="690250BD">
            <w:pPr>
              <w:spacing w:line="260" w:lineRule="exact"/>
              <w:jc w:val="center"/>
            </w:pPr>
            <w:r>
              <w:rPr>
                <w:rFonts w:eastAsia="楷体_GB2312"/>
              </w:rPr>
              <w:t>杨庄镇</w:t>
            </w:r>
            <w:r>
              <w:rPr>
                <w:rFonts w:eastAsia="楷体_GB2312"/>
                <w:szCs w:val="21"/>
              </w:rPr>
              <w:t>汽车停靠站</w:t>
            </w:r>
          </w:p>
        </w:tc>
        <w:tc>
          <w:tcPr>
            <w:tcW w:w="1019" w:type="dxa"/>
            <w:noWrap w:val="0"/>
            <w:vAlign w:val="center"/>
          </w:tcPr>
          <w:p w14:paraId="0D420878">
            <w:pPr>
              <w:spacing w:line="260" w:lineRule="exact"/>
              <w:jc w:val="center"/>
              <w:rPr>
                <w:rFonts w:eastAsia="楷体_GB2312"/>
                <w:szCs w:val="21"/>
              </w:rPr>
            </w:pPr>
            <w:r>
              <w:rPr>
                <w:rFonts w:eastAsia="楷体_GB2312"/>
                <w:szCs w:val="21"/>
              </w:rPr>
              <w:t>1</w:t>
            </w:r>
          </w:p>
        </w:tc>
        <w:tc>
          <w:tcPr>
            <w:tcW w:w="637" w:type="dxa"/>
            <w:noWrap w:val="0"/>
            <w:vAlign w:val="center"/>
          </w:tcPr>
          <w:p w14:paraId="26A4FBF7">
            <w:pPr>
              <w:spacing w:line="260" w:lineRule="exact"/>
              <w:jc w:val="center"/>
              <w:rPr>
                <w:rFonts w:eastAsia="楷体_GB2312"/>
                <w:szCs w:val="21"/>
              </w:rPr>
            </w:pPr>
            <w:r>
              <w:rPr>
                <w:rFonts w:eastAsia="楷体_GB2312"/>
                <w:szCs w:val="21"/>
              </w:rPr>
              <w:t>1</w:t>
            </w:r>
          </w:p>
        </w:tc>
        <w:tc>
          <w:tcPr>
            <w:tcW w:w="785" w:type="dxa"/>
            <w:noWrap w:val="0"/>
            <w:vAlign w:val="center"/>
          </w:tcPr>
          <w:p w14:paraId="7B5942D7">
            <w:pPr>
              <w:spacing w:line="260" w:lineRule="exact"/>
              <w:jc w:val="center"/>
              <w:rPr>
                <w:rFonts w:eastAsia="楷体_GB2312"/>
                <w:szCs w:val="21"/>
              </w:rPr>
            </w:pPr>
            <w:r>
              <w:rPr>
                <w:rFonts w:eastAsia="楷体_GB2312"/>
                <w:szCs w:val="21"/>
              </w:rPr>
              <w:t>100</w:t>
            </w:r>
          </w:p>
        </w:tc>
        <w:tc>
          <w:tcPr>
            <w:tcW w:w="1041" w:type="dxa"/>
            <w:noWrap w:val="0"/>
            <w:vAlign w:val="center"/>
          </w:tcPr>
          <w:p w14:paraId="1465D41F">
            <w:pPr>
              <w:spacing w:line="260" w:lineRule="exact"/>
              <w:jc w:val="center"/>
              <w:rPr>
                <w:rFonts w:eastAsia="楷体_GB2312"/>
                <w:szCs w:val="21"/>
              </w:rPr>
            </w:pPr>
            <w:r>
              <w:rPr>
                <w:rFonts w:hint="eastAsia" w:eastAsia="楷体_GB2312"/>
                <w:szCs w:val="21"/>
              </w:rPr>
              <w:t>1200</w:t>
            </w:r>
          </w:p>
        </w:tc>
      </w:tr>
      <w:tr w14:paraId="18C3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02" w:type="dxa"/>
            <w:noWrap w:val="0"/>
            <w:vAlign w:val="center"/>
          </w:tcPr>
          <w:p w14:paraId="5A8D257F">
            <w:pPr>
              <w:tabs>
                <w:tab w:val="left" w:pos="0"/>
                <w:tab w:val="left" w:pos="295"/>
              </w:tabs>
              <w:spacing w:line="260" w:lineRule="exact"/>
              <w:jc w:val="center"/>
              <w:rPr>
                <w:rFonts w:eastAsia="楷体_GB2312"/>
                <w:szCs w:val="21"/>
              </w:rPr>
            </w:pPr>
            <w:r>
              <w:rPr>
                <w:rFonts w:hint="eastAsia" w:eastAsia="楷体_GB2312"/>
                <w:szCs w:val="21"/>
              </w:rPr>
              <w:t>16</w:t>
            </w:r>
          </w:p>
        </w:tc>
        <w:tc>
          <w:tcPr>
            <w:tcW w:w="1408" w:type="dxa"/>
            <w:noWrap w:val="0"/>
            <w:vAlign w:val="center"/>
          </w:tcPr>
          <w:p w14:paraId="3F7388D7">
            <w:pPr>
              <w:pStyle w:val="20"/>
              <w:tabs>
                <w:tab w:val="left" w:pos="0"/>
                <w:tab w:val="left" w:pos="295"/>
              </w:tabs>
              <w:spacing w:line="260" w:lineRule="exact"/>
              <w:jc w:val="center"/>
              <w:rPr>
                <w:rFonts w:ascii="Times New Roman" w:hAnsi="Times New Roman" w:eastAsia="楷体_GB2312" w:cs="Times New Roman"/>
              </w:rPr>
            </w:pPr>
            <w:r>
              <w:rPr>
                <w:rFonts w:ascii="Times New Roman" w:hAnsi="Times New Roman" w:eastAsia="楷体_GB2312" w:cs="Times New Roman"/>
              </w:rPr>
              <w:t>永镇乡</w:t>
            </w:r>
          </w:p>
        </w:tc>
        <w:tc>
          <w:tcPr>
            <w:tcW w:w="1146" w:type="dxa"/>
            <w:noWrap w:val="0"/>
            <w:vAlign w:val="top"/>
          </w:tcPr>
          <w:p w14:paraId="4C1C9A45">
            <w:pPr>
              <w:spacing w:line="260" w:lineRule="exact"/>
              <w:jc w:val="center"/>
            </w:pPr>
            <w:r>
              <w:rPr>
                <w:rFonts w:eastAsia="楷体_GB2312"/>
              </w:rPr>
              <w:t>01</w:t>
            </w:r>
          </w:p>
        </w:tc>
        <w:tc>
          <w:tcPr>
            <w:tcW w:w="2401" w:type="dxa"/>
            <w:noWrap w:val="0"/>
            <w:vAlign w:val="top"/>
          </w:tcPr>
          <w:p w14:paraId="087E05EB">
            <w:pPr>
              <w:spacing w:line="260" w:lineRule="exact"/>
              <w:jc w:val="center"/>
            </w:pPr>
            <w:r>
              <w:rPr>
                <w:rFonts w:eastAsia="楷体_GB2312"/>
              </w:rPr>
              <w:t>永镇乡</w:t>
            </w:r>
            <w:r>
              <w:rPr>
                <w:rFonts w:eastAsia="楷体_GB2312"/>
                <w:szCs w:val="21"/>
              </w:rPr>
              <w:t>汽车站</w:t>
            </w:r>
          </w:p>
        </w:tc>
        <w:tc>
          <w:tcPr>
            <w:tcW w:w="1019" w:type="dxa"/>
            <w:noWrap w:val="0"/>
            <w:vAlign w:val="center"/>
          </w:tcPr>
          <w:p w14:paraId="3F963CE0">
            <w:pPr>
              <w:spacing w:line="260" w:lineRule="exact"/>
              <w:jc w:val="center"/>
              <w:rPr>
                <w:rFonts w:eastAsia="楷体_GB2312"/>
                <w:szCs w:val="21"/>
              </w:rPr>
            </w:pPr>
            <w:r>
              <w:rPr>
                <w:rFonts w:eastAsia="楷体_GB2312"/>
                <w:szCs w:val="21"/>
              </w:rPr>
              <w:t>1</w:t>
            </w:r>
          </w:p>
        </w:tc>
        <w:tc>
          <w:tcPr>
            <w:tcW w:w="637" w:type="dxa"/>
            <w:noWrap w:val="0"/>
            <w:vAlign w:val="center"/>
          </w:tcPr>
          <w:p w14:paraId="1C7C09ED">
            <w:pPr>
              <w:spacing w:line="260" w:lineRule="exact"/>
              <w:jc w:val="center"/>
              <w:rPr>
                <w:rFonts w:eastAsia="楷体_GB2312"/>
                <w:szCs w:val="21"/>
              </w:rPr>
            </w:pPr>
            <w:r>
              <w:rPr>
                <w:rFonts w:eastAsia="楷体_GB2312"/>
                <w:szCs w:val="21"/>
              </w:rPr>
              <w:t>1</w:t>
            </w:r>
          </w:p>
        </w:tc>
        <w:tc>
          <w:tcPr>
            <w:tcW w:w="785" w:type="dxa"/>
            <w:noWrap w:val="0"/>
            <w:vAlign w:val="center"/>
          </w:tcPr>
          <w:p w14:paraId="2ED7D4EF">
            <w:pPr>
              <w:spacing w:line="260" w:lineRule="exact"/>
              <w:jc w:val="center"/>
              <w:rPr>
                <w:rFonts w:eastAsia="楷体_GB2312"/>
                <w:szCs w:val="21"/>
              </w:rPr>
            </w:pPr>
            <w:r>
              <w:rPr>
                <w:rFonts w:eastAsia="楷体_GB2312"/>
                <w:szCs w:val="21"/>
              </w:rPr>
              <w:t>100</w:t>
            </w:r>
          </w:p>
        </w:tc>
        <w:tc>
          <w:tcPr>
            <w:tcW w:w="1041" w:type="dxa"/>
            <w:noWrap w:val="0"/>
            <w:vAlign w:val="center"/>
          </w:tcPr>
          <w:p w14:paraId="235B003F">
            <w:pPr>
              <w:spacing w:line="260" w:lineRule="exact"/>
              <w:jc w:val="center"/>
              <w:rPr>
                <w:rFonts w:eastAsia="楷体_GB2312"/>
                <w:szCs w:val="21"/>
              </w:rPr>
            </w:pPr>
            <w:r>
              <w:rPr>
                <w:rFonts w:hint="eastAsia" w:eastAsia="楷体_GB2312"/>
                <w:szCs w:val="21"/>
              </w:rPr>
              <w:t>1400</w:t>
            </w:r>
          </w:p>
        </w:tc>
      </w:tr>
      <w:tr w14:paraId="0D74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02" w:type="dxa"/>
            <w:noWrap w:val="0"/>
            <w:vAlign w:val="center"/>
          </w:tcPr>
          <w:p w14:paraId="49B87AD6">
            <w:pPr>
              <w:tabs>
                <w:tab w:val="left" w:pos="0"/>
                <w:tab w:val="left" w:pos="295"/>
              </w:tabs>
              <w:spacing w:line="260" w:lineRule="exact"/>
              <w:jc w:val="center"/>
              <w:rPr>
                <w:rFonts w:eastAsia="楷体_GB2312"/>
                <w:szCs w:val="21"/>
              </w:rPr>
            </w:pPr>
            <w:r>
              <w:rPr>
                <w:rFonts w:hint="eastAsia" w:eastAsia="楷体_GB2312"/>
                <w:szCs w:val="21"/>
              </w:rPr>
              <w:t>17</w:t>
            </w:r>
          </w:p>
        </w:tc>
        <w:tc>
          <w:tcPr>
            <w:tcW w:w="1408" w:type="dxa"/>
            <w:noWrap w:val="0"/>
            <w:vAlign w:val="center"/>
          </w:tcPr>
          <w:p w14:paraId="14ADD3A0">
            <w:pPr>
              <w:pStyle w:val="20"/>
              <w:tabs>
                <w:tab w:val="left" w:pos="0"/>
                <w:tab w:val="left" w:pos="295"/>
              </w:tabs>
              <w:spacing w:line="260" w:lineRule="exact"/>
              <w:jc w:val="center"/>
              <w:rPr>
                <w:rFonts w:ascii="Times New Roman" w:hAnsi="Times New Roman" w:eastAsia="楷体_GB2312" w:cs="Times New Roman"/>
              </w:rPr>
            </w:pPr>
            <w:r>
              <w:rPr>
                <w:rFonts w:ascii="Times New Roman" w:hAnsi="Times New Roman" w:eastAsia="楷体_GB2312" w:cs="Times New Roman"/>
              </w:rPr>
              <w:t>解集镇</w:t>
            </w:r>
          </w:p>
        </w:tc>
        <w:tc>
          <w:tcPr>
            <w:tcW w:w="1146" w:type="dxa"/>
            <w:noWrap w:val="0"/>
            <w:vAlign w:val="top"/>
          </w:tcPr>
          <w:p w14:paraId="559BBE2E">
            <w:pPr>
              <w:spacing w:line="260" w:lineRule="exact"/>
              <w:jc w:val="center"/>
            </w:pPr>
            <w:r>
              <w:rPr>
                <w:rFonts w:eastAsia="楷体_GB2312"/>
              </w:rPr>
              <w:t>01</w:t>
            </w:r>
          </w:p>
        </w:tc>
        <w:tc>
          <w:tcPr>
            <w:tcW w:w="2401" w:type="dxa"/>
            <w:noWrap w:val="0"/>
            <w:vAlign w:val="top"/>
          </w:tcPr>
          <w:p w14:paraId="4A051BC5">
            <w:pPr>
              <w:spacing w:line="260" w:lineRule="exact"/>
              <w:jc w:val="center"/>
            </w:pPr>
            <w:r>
              <w:rPr>
                <w:rFonts w:eastAsia="楷体_GB2312"/>
              </w:rPr>
              <w:t>解集镇</w:t>
            </w:r>
            <w:r>
              <w:rPr>
                <w:rFonts w:eastAsia="楷体_GB2312"/>
                <w:szCs w:val="21"/>
              </w:rPr>
              <w:t>汽车站</w:t>
            </w:r>
          </w:p>
        </w:tc>
        <w:tc>
          <w:tcPr>
            <w:tcW w:w="1019" w:type="dxa"/>
            <w:noWrap w:val="0"/>
            <w:vAlign w:val="center"/>
          </w:tcPr>
          <w:p w14:paraId="0CB8076C">
            <w:pPr>
              <w:spacing w:line="260" w:lineRule="exact"/>
              <w:jc w:val="center"/>
              <w:rPr>
                <w:rFonts w:eastAsia="楷体_GB2312"/>
                <w:szCs w:val="21"/>
              </w:rPr>
            </w:pPr>
            <w:r>
              <w:rPr>
                <w:rFonts w:eastAsia="楷体_GB2312"/>
                <w:szCs w:val="21"/>
              </w:rPr>
              <w:t>1</w:t>
            </w:r>
          </w:p>
        </w:tc>
        <w:tc>
          <w:tcPr>
            <w:tcW w:w="637" w:type="dxa"/>
            <w:noWrap w:val="0"/>
            <w:vAlign w:val="center"/>
          </w:tcPr>
          <w:p w14:paraId="2C1F126E">
            <w:pPr>
              <w:spacing w:line="260" w:lineRule="exact"/>
              <w:jc w:val="center"/>
              <w:rPr>
                <w:rFonts w:eastAsia="楷体_GB2312"/>
                <w:szCs w:val="21"/>
              </w:rPr>
            </w:pPr>
            <w:r>
              <w:rPr>
                <w:rFonts w:eastAsia="楷体_GB2312"/>
                <w:szCs w:val="21"/>
              </w:rPr>
              <w:t>1</w:t>
            </w:r>
          </w:p>
        </w:tc>
        <w:tc>
          <w:tcPr>
            <w:tcW w:w="785" w:type="dxa"/>
            <w:noWrap w:val="0"/>
            <w:vAlign w:val="center"/>
          </w:tcPr>
          <w:p w14:paraId="6492B6E0">
            <w:pPr>
              <w:spacing w:line="260" w:lineRule="exact"/>
              <w:jc w:val="center"/>
              <w:rPr>
                <w:rFonts w:eastAsia="楷体_GB2312"/>
                <w:szCs w:val="21"/>
              </w:rPr>
            </w:pPr>
            <w:r>
              <w:rPr>
                <w:rFonts w:eastAsia="楷体_GB2312"/>
                <w:szCs w:val="21"/>
              </w:rPr>
              <w:t>100</w:t>
            </w:r>
          </w:p>
        </w:tc>
        <w:tc>
          <w:tcPr>
            <w:tcW w:w="1041" w:type="dxa"/>
            <w:noWrap w:val="0"/>
            <w:vAlign w:val="center"/>
          </w:tcPr>
          <w:p w14:paraId="06F013E0">
            <w:pPr>
              <w:spacing w:line="260" w:lineRule="exact"/>
              <w:jc w:val="center"/>
              <w:rPr>
                <w:rFonts w:eastAsia="楷体_GB2312"/>
                <w:szCs w:val="21"/>
              </w:rPr>
            </w:pPr>
            <w:r>
              <w:rPr>
                <w:rFonts w:hint="eastAsia" w:eastAsia="楷体_GB2312"/>
                <w:szCs w:val="21"/>
              </w:rPr>
              <w:t>1500</w:t>
            </w:r>
          </w:p>
        </w:tc>
      </w:tr>
      <w:tr w14:paraId="2034E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02" w:type="dxa"/>
            <w:noWrap w:val="0"/>
            <w:vAlign w:val="center"/>
          </w:tcPr>
          <w:p w14:paraId="3A695D00">
            <w:pPr>
              <w:tabs>
                <w:tab w:val="left" w:pos="0"/>
                <w:tab w:val="left" w:pos="295"/>
              </w:tabs>
              <w:spacing w:line="260" w:lineRule="exact"/>
              <w:jc w:val="center"/>
              <w:rPr>
                <w:rFonts w:eastAsia="楷体_GB2312"/>
                <w:szCs w:val="21"/>
              </w:rPr>
            </w:pPr>
            <w:r>
              <w:rPr>
                <w:rFonts w:hint="eastAsia" w:eastAsia="楷体_GB2312"/>
                <w:szCs w:val="21"/>
              </w:rPr>
              <w:t>18</w:t>
            </w:r>
          </w:p>
        </w:tc>
        <w:tc>
          <w:tcPr>
            <w:tcW w:w="1408" w:type="dxa"/>
            <w:noWrap w:val="0"/>
            <w:vAlign w:val="center"/>
          </w:tcPr>
          <w:p w14:paraId="295175E1">
            <w:pPr>
              <w:pStyle w:val="20"/>
              <w:tabs>
                <w:tab w:val="left" w:pos="0"/>
                <w:tab w:val="left" w:pos="295"/>
              </w:tabs>
              <w:spacing w:line="260" w:lineRule="exact"/>
              <w:jc w:val="center"/>
              <w:rPr>
                <w:rFonts w:ascii="Times New Roman" w:hAnsi="Times New Roman" w:eastAsia="楷体_GB2312" w:cs="Times New Roman"/>
              </w:rPr>
            </w:pPr>
            <w:r>
              <w:rPr>
                <w:rFonts w:ascii="Times New Roman" w:hAnsi="Times New Roman" w:eastAsia="楷体_GB2312" w:cs="Times New Roman"/>
              </w:rPr>
              <w:t>大泽乡镇</w:t>
            </w:r>
          </w:p>
        </w:tc>
        <w:tc>
          <w:tcPr>
            <w:tcW w:w="1146" w:type="dxa"/>
            <w:noWrap w:val="0"/>
            <w:vAlign w:val="top"/>
          </w:tcPr>
          <w:p w14:paraId="05257430">
            <w:pPr>
              <w:spacing w:line="260" w:lineRule="exact"/>
              <w:jc w:val="center"/>
            </w:pPr>
            <w:r>
              <w:rPr>
                <w:rFonts w:eastAsia="楷体_GB2312"/>
              </w:rPr>
              <w:t>01</w:t>
            </w:r>
          </w:p>
        </w:tc>
        <w:tc>
          <w:tcPr>
            <w:tcW w:w="2401" w:type="dxa"/>
            <w:noWrap w:val="0"/>
            <w:vAlign w:val="top"/>
          </w:tcPr>
          <w:p w14:paraId="6B00FAE3">
            <w:pPr>
              <w:spacing w:line="260" w:lineRule="exact"/>
              <w:jc w:val="center"/>
            </w:pPr>
            <w:r>
              <w:rPr>
                <w:rFonts w:hint="eastAsia" w:eastAsia="楷体_GB2312"/>
              </w:rPr>
              <w:t>西寺坡客运站</w:t>
            </w:r>
          </w:p>
        </w:tc>
        <w:tc>
          <w:tcPr>
            <w:tcW w:w="1019" w:type="dxa"/>
            <w:noWrap w:val="0"/>
            <w:vAlign w:val="center"/>
          </w:tcPr>
          <w:p w14:paraId="0364BA82">
            <w:pPr>
              <w:spacing w:line="260" w:lineRule="exact"/>
              <w:jc w:val="center"/>
              <w:rPr>
                <w:rFonts w:eastAsia="楷体_GB2312"/>
                <w:szCs w:val="21"/>
              </w:rPr>
            </w:pPr>
            <w:r>
              <w:rPr>
                <w:rFonts w:eastAsia="楷体_GB2312"/>
                <w:szCs w:val="21"/>
              </w:rPr>
              <w:t>1</w:t>
            </w:r>
          </w:p>
        </w:tc>
        <w:tc>
          <w:tcPr>
            <w:tcW w:w="637" w:type="dxa"/>
            <w:noWrap w:val="0"/>
            <w:vAlign w:val="center"/>
          </w:tcPr>
          <w:p w14:paraId="569A7A13">
            <w:pPr>
              <w:spacing w:line="260" w:lineRule="exact"/>
              <w:jc w:val="center"/>
              <w:rPr>
                <w:rFonts w:eastAsia="楷体_GB2312"/>
                <w:szCs w:val="21"/>
              </w:rPr>
            </w:pPr>
            <w:r>
              <w:rPr>
                <w:rFonts w:eastAsia="楷体_GB2312"/>
                <w:szCs w:val="21"/>
              </w:rPr>
              <w:t>1</w:t>
            </w:r>
          </w:p>
        </w:tc>
        <w:tc>
          <w:tcPr>
            <w:tcW w:w="785" w:type="dxa"/>
            <w:noWrap w:val="0"/>
            <w:vAlign w:val="center"/>
          </w:tcPr>
          <w:p w14:paraId="259E921F">
            <w:pPr>
              <w:spacing w:line="260" w:lineRule="exact"/>
              <w:jc w:val="center"/>
              <w:rPr>
                <w:rFonts w:eastAsia="楷体_GB2312"/>
                <w:szCs w:val="21"/>
              </w:rPr>
            </w:pPr>
            <w:r>
              <w:rPr>
                <w:rFonts w:eastAsia="楷体_GB2312"/>
                <w:szCs w:val="21"/>
              </w:rPr>
              <w:t>100</w:t>
            </w:r>
          </w:p>
        </w:tc>
        <w:tc>
          <w:tcPr>
            <w:tcW w:w="1041" w:type="dxa"/>
            <w:noWrap w:val="0"/>
            <w:vAlign w:val="center"/>
          </w:tcPr>
          <w:p w14:paraId="438C6C95">
            <w:pPr>
              <w:spacing w:line="260" w:lineRule="exact"/>
              <w:jc w:val="center"/>
              <w:rPr>
                <w:rFonts w:eastAsia="楷体_GB2312"/>
                <w:szCs w:val="21"/>
              </w:rPr>
            </w:pPr>
            <w:r>
              <w:rPr>
                <w:rFonts w:hint="eastAsia" w:eastAsia="楷体_GB2312"/>
                <w:szCs w:val="21"/>
              </w:rPr>
              <w:t>1600</w:t>
            </w:r>
          </w:p>
        </w:tc>
      </w:tr>
      <w:tr w14:paraId="6C0DA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02" w:type="dxa"/>
            <w:noWrap w:val="0"/>
            <w:vAlign w:val="center"/>
          </w:tcPr>
          <w:p w14:paraId="5C4AC28A">
            <w:pPr>
              <w:tabs>
                <w:tab w:val="left" w:pos="0"/>
                <w:tab w:val="left" w:pos="295"/>
              </w:tabs>
              <w:spacing w:line="260" w:lineRule="exact"/>
              <w:jc w:val="center"/>
              <w:rPr>
                <w:rFonts w:eastAsia="楷体_GB2312"/>
                <w:szCs w:val="21"/>
              </w:rPr>
            </w:pPr>
            <w:r>
              <w:rPr>
                <w:rFonts w:hint="eastAsia" w:eastAsia="楷体_GB2312"/>
                <w:szCs w:val="21"/>
              </w:rPr>
              <w:t>19</w:t>
            </w:r>
          </w:p>
        </w:tc>
        <w:tc>
          <w:tcPr>
            <w:tcW w:w="1408" w:type="dxa"/>
            <w:noWrap w:val="0"/>
            <w:vAlign w:val="center"/>
          </w:tcPr>
          <w:p w14:paraId="0C3EC25E">
            <w:pPr>
              <w:pStyle w:val="20"/>
              <w:tabs>
                <w:tab w:val="left" w:pos="0"/>
                <w:tab w:val="left" w:pos="295"/>
              </w:tabs>
              <w:spacing w:line="260" w:lineRule="exact"/>
              <w:jc w:val="center"/>
              <w:rPr>
                <w:rFonts w:ascii="Times New Roman" w:hAnsi="Times New Roman" w:eastAsia="楷体_GB2312" w:cs="Times New Roman"/>
              </w:rPr>
            </w:pPr>
            <w:r>
              <w:rPr>
                <w:rFonts w:ascii="Times New Roman" w:hAnsi="Times New Roman" w:eastAsia="楷体_GB2312" w:cs="Times New Roman"/>
              </w:rPr>
              <w:t>永安镇</w:t>
            </w:r>
          </w:p>
        </w:tc>
        <w:tc>
          <w:tcPr>
            <w:tcW w:w="1146" w:type="dxa"/>
            <w:noWrap w:val="0"/>
            <w:vAlign w:val="top"/>
          </w:tcPr>
          <w:p w14:paraId="7C787A9B">
            <w:pPr>
              <w:spacing w:line="260" w:lineRule="exact"/>
              <w:jc w:val="center"/>
            </w:pPr>
            <w:r>
              <w:rPr>
                <w:rFonts w:eastAsia="楷体_GB2312"/>
              </w:rPr>
              <w:t>01</w:t>
            </w:r>
          </w:p>
        </w:tc>
        <w:tc>
          <w:tcPr>
            <w:tcW w:w="2401" w:type="dxa"/>
            <w:noWrap w:val="0"/>
            <w:vAlign w:val="top"/>
          </w:tcPr>
          <w:p w14:paraId="0460FEE4">
            <w:pPr>
              <w:spacing w:line="260" w:lineRule="exact"/>
              <w:jc w:val="center"/>
            </w:pPr>
            <w:r>
              <w:rPr>
                <w:rFonts w:eastAsia="楷体_GB2312"/>
              </w:rPr>
              <w:t>永安镇</w:t>
            </w:r>
            <w:r>
              <w:rPr>
                <w:rFonts w:eastAsia="楷体_GB2312"/>
                <w:szCs w:val="21"/>
              </w:rPr>
              <w:t>汽车停靠站</w:t>
            </w:r>
          </w:p>
        </w:tc>
        <w:tc>
          <w:tcPr>
            <w:tcW w:w="1019" w:type="dxa"/>
            <w:noWrap w:val="0"/>
            <w:vAlign w:val="center"/>
          </w:tcPr>
          <w:p w14:paraId="3335A03C">
            <w:pPr>
              <w:spacing w:line="260" w:lineRule="exact"/>
              <w:jc w:val="center"/>
              <w:rPr>
                <w:rFonts w:eastAsia="楷体_GB2312"/>
                <w:szCs w:val="21"/>
              </w:rPr>
            </w:pPr>
            <w:r>
              <w:rPr>
                <w:rFonts w:eastAsia="楷体_GB2312"/>
                <w:szCs w:val="21"/>
              </w:rPr>
              <w:t>1</w:t>
            </w:r>
          </w:p>
        </w:tc>
        <w:tc>
          <w:tcPr>
            <w:tcW w:w="637" w:type="dxa"/>
            <w:noWrap w:val="0"/>
            <w:vAlign w:val="center"/>
          </w:tcPr>
          <w:p w14:paraId="15C4E446">
            <w:pPr>
              <w:spacing w:line="260" w:lineRule="exact"/>
              <w:jc w:val="center"/>
              <w:rPr>
                <w:rFonts w:eastAsia="楷体_GB2312"/>
                <w:szCs w:val="21"/>
              </w:rPr>
            </w:pPr>
            <w:r>
              <w:rPr>
                <w:rFonts w:eastAsia="楷体_GB2312"/>
                <w:szCs w:val="21"/>
              </w:rPr>
              <w:t>1</w:t>
            </w:r>
          </w:p>
        </w:tc>
        <w:tc>
          <w:tcPr>
            <w:tcW w:w="785" w:type="dxa"/>
            <w:noWrap w:val="0"/>
            <w:vAlign w:val="center"/>
          </w:tcPr>
          <w:p w14:paraId="0F131ABE">
            <w:pPr>
              <w:spacing w:line="260" w:lineRule="exact"/>
              <w:jc w:val="center"/>
              <w:rPr>
                <w:rFonts w:eastAsia="楷体_GB2312"/>
                <w:szCs w:val="21"/>
              </w:rPr>
            </w:pPr>
            <w:r>
              <w:rPr>
                <w:rFonts w:eastAsia="楷体_GB2312"/>
                <w:szCs w:val="21"/>
              </w:rPr>
              <w:t>100</w:t>
            </w:r>
          </w:p>
        </w:tc>
        <w:tc>
          <w:tcPr>
            <w:tcW w:w="1041" w:type="dxa"/>
            <w:noWrap w:val="0"/>
            <w:vAlign w:val="center"/>
          </w:tcPr>
          <w:p w14:paraId="535CBF87">
            <w:pPr>
              <w:spacing w:line="260" w:lineRule="exact"/>
              <w:jc w:val="center"/>
              <w:rPr>
                <w:rFonts w:eastAsia="楷体_GB2312"/>
                <w:szCs w:val="21"/>
              </w:rPr>
            </w:pPr>
            <w:r>
              <w:rPr>
                <w:rFonts w:hint="eastAsia" w:eastAsia="楷体_GB2312"/>
                <w:szCs w:val="21"/>
              </w:rPr>
              <w:t>1600</w:t>
            </w:r>
          </w:p>
        </w:tc>
      </w:tr>
      <w:tr w14:paraId="26DD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02" w:type="dxa"/>
            <w:noWrap w:val="0"/>
            <w:vAlign w:val="center"/>
          </w:tcPr>
          <w:p w14:paraId="5B44E53C">
            <w:pPr>
              <w:tabs>
                <w:tab w:val="left" w:pos="0"/>
                <w:tab w:val="left" w:pos="295"/>
              </w:tabs>
              <w:spacing w:line="260" w:lineRule="exact"/>
              <w:jc w:val="center"/>
              <w:rPr>
                <w:rFonts w:eastAsia="楷体_GB2312"/>
                <w:szCs w:val="21"/>
              </w:rPr>
            </w:pPr>
            <w:r>
              <w:rPr>
                <w:rFonts w:hint="eastAsia" w:eastAsia="楷体_GB2312"/>
                <w:szCs w:val="21"/>
              </w:rPr>
              <w:t>20</w:t>
            </w:r>
          </w:p>
        </w:tc>
        <w:tc>
          <w:tcPr>
            <w:tcW w:w="1408" w:type="dxa"/>
            <w:noWrap w:val="0"/>
            <w:vAlign w:val="center"/>
          </w:tcPr>
          <w:p w14:paraId="680135B7">
            <w:pPr>
              <w:pStyle w:val="20"/>
              <w:tabs>
                <w:tab w:val="left" w:pos="0"/>
                <w:tab w:val="left" w:pos="295"/>
              </w:tabs>
              <w:spacing w:line="260" w:lineRule="exact"/>
              <w:jc w:val="center"/>
              <w:rPr>
                <w:rFonts w:ascii="Times New Roman" w:hAnsi="Times New Roman" w:eastAsia="楷体_GB2312" w:cs="Times New Roman"/>
              </w:rPr>
            </w:pPr>
            <w:r>
              <w:rPr>
                <w:rFonts w:ascii="Times New Roman" w:hAnsi="Times New Roman" w:eastAsia="楷体_GB2312" w:cs="Times New Roman"/>
              </w:rPr>
              <w:t>支河乡</w:t>
            </w:r>
          </w:p>
        </w:tc>
        <w:tc>
          <w:tcPr>
            <w:tcW w:w="1146" w:type="dxa"/>
            <w:noWrap w:val="0"/>
            <w:vAlign w:val="top"/>
          </w:tcPr>
          <w:p w14:paraId="64389D1B">
            <w:pPr>
              <w:spacing w:line="260" w:lineRule="exact"/>
              <w:jc w:val="center"/>
            </w:pPr>
            <w:r>
              <w:rPr>
                <w:rFonts w:eastAsia="楷体_GB2312"/>
              </w:rPr>
              <w:t>01</w:t>
            </w:r>
          </w:p>
        </w:tc>
        <w:tc>
          <w:tcPr>
            <w:tcW w:w="2401" w:type="dxa"/>
            <w:noWrap w:val="0"/>
            <w:vAlign w:val="top"/>
          </w:tcPr>
          <w:p w14:paraId="27E10E99">
            <w:pPr>
              <w:spacing w:line="260" w:lineRule="exact"/>
              <w:jc w:val="center"/>
            </w:pPr>
            <w:r>
              <w:rPr>
                <w:rFonts w:eastAsia="楷体_GB2312"/>
              </w:rPr>
              <w:t>支河乡</w:t>
            </w:r>
            <w:r>
              <w:rPr>
                <w:rFonts w:eastAsia="楷体_GB2312"/>
                <w:szCs w:val="21"/>
              </w:rPr>
              <w:t>汽车停靠站</w:t>
            </w:r>
          </w:p>
        </w:tc>
        <w:tc>
          <w:tcPr>
            <w:tcW w:w="1019" w:type="dxa"/>
            <w:noWrap w:val="0"/>
            <w:vAlign w:val="center"/>
          </w:tcPr>
          <w:p w14:paraId="264978FD">
            <w:pPr>
              <w:spacing w:line="260" w:lineRule="exact"/>
              <w:jc w:val="center"/>
              <w:rPr>
                <w:rFonts w:eastAsia="楷体_GB2312"/>
                <w:szCs w:val="21"/>
              </w:rPr>
            </w:pPr>
            <w:r>
              <w:rPr>
                <w:rFonts w:eastAsia="楷体_GB2312"/>
                <w:szCs w:val="21"/>
              </w:rPr>
              <w:t>1</w:t>
            </w:r>
          </w:p>
        </w:tc>
        <w:tc>
          <w:tcPr>
            <w:tcW w:w="637" w:type="dxa"/>
            <w:noWrap w:val="0"/>
            <w:vAlign w:val="center"/>
          </w:tcPr>
          <w:p w14:paraId="11C485AD">
            <w:pPr>
              <w:spacing w:line="260" w:lineRule="exact"/>
              <w:jc w:val="center"/>
              <w:rPr>
                <w:rFonts w:eastAsia="楷体_GB2312"/>
                <w:szCs w:val="21"/>
              </w:rPr>
            </w:pPr>
            <w:r>
              <w:rPr>
                <w:rFonts w:eastAsia="楷体_GB2312"/>
                <w:szCs w:val="21"/>
              </w:rPr>
              <w:t>1</w:t>
            </w:r>
          </w:p>
        </w:tc>
        <w:tc>
          <w:tcPr>
            <w:tcW w:w="785" w:type="dxa"/>
            <w:noWrap w:val="0"/>
            <w:vAlign w:val="center"/>
          </w:tcPr>
          <w:p w14:paraId="6AB885F9">
            <w:pPr>
              <w:spacing w:line="260" w:lineRule="exact"/>
              <w:jc w:val="center"/>
              <w:rPr>
                <w:rFonts w:eastAsia="楷体_GB2312"/>
                <w:szCs w:val="21"/>
              </w:rPr>
            </w:pPr>
            <w:r>
              <w:rPr>
                <w:rFonts w:eastAsia="楷体_GB2312"/>
                <w:szCs w:val="21"/>
              </w:rPr>
              <w:t>100</w:t>
            </w:r>
          </w:p>
        </w:tc>
        <w:tc>
          <w:tcPr>
            <w:tcW w:w="1041" w:type="dxa"/>
            <w:noWrap w:val="0"/>
            <w:vAlign w:val="center"/>
          </w:tcPr>
          <w:p w14:paraId="58689F04">
            <w:pPr>
              <w:spacing w:line="260" w:lineRule="exact"/>
              <w:jc w:val="center"/>
              <w:rPr>
                <w:rFonts w:eastAsia="楷体_GB2312"/>
                <w:szCs w:val="21"/>
              </w:rPr>
            </w:pPr>
            <w:r>
              <w:rPr>
                <w:rFonts w:hint="eastAsia" w:eastAsia="楷体_GB2312"/>
                <w:szCs w:val="21"/>
              </w:rPr>
              <w:t>2000</w:t>
            </w:r>
          </w:p>
        </w:tc>
      </w:tr>
      <w:tr w14:paraId="6AF8E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02" w:type="dxa"/>
            <w:noWrap w:val="0"/>
            <w:vAlign w:val="center"/>
          </w:tcPr>
          <w:p w14:paraId="0FB259AA">
            <w:pPr>
              <w:tabs>
                <w:tab w:val="left" w:pos="0"/>
                <w:tab w:val="left" w:pos="295"/>
              </w:tabs>
              <w:spacing w:line="260" w:lineRule="exact"/>
              <w:jc w:val="center"/>
              <w:rPr>
                <w:rFonts w:eastAsia="楷体_GB2312"/>
                <w:szCs w:val="21"/>
              </w:rPr>
            </w:pPr>
            <w:r>
              <w:rPr>
                <w:rFonts w:hint="eastAsia" w:eastAsia="楷体_GB2312"/>
                <w:szCs w:val="21"/>
              </w:rPr>
              <w:t>21</w:t>
            </w:r>
          </w:p>
        </w:tc>
        <w:tc>
          <w:tcPr>
            <w:tcW w:w="1408" w:type="dxa"/>
            <w:noWrap w:val="0"/>
            <w:vAlign w:val="center"/>
          </w:tcPr>
          <w:p w14:paraId="4006AECF">
            <w:pPr>
              <w:pStyle w:val="20"/>
              <w:tabs>
                <w:tab w:val="left" w:pos="0"/>
                <w:tab w:val="left" w:pos="295"/>
              </w:tabs>
              <w:spacing w:line="260" w:lineRule="exact"/>
              <w:jc w:val="center"/>
              <w:rPr>
                <w:rFonts w:ascii="Times New Roman" w:hAnsi="Times New Roman" w:eastAsia="楷体_GB2312" w:cs="Times New Roman"/>
              </w:rPr>
            </w:pPr>
            <w:r>
              <w:rPr>
                <w:rFonts w:ascii="Times New Roman" w:hAnsi="Times New Roman" w:eastAsia="楷体_GB2312" w:cs="Times New Roman"/>
              </w:rPr>
              <w:t>灰古镇</w:t>
            </w:r>
          </w:p>
        </w:tc>
        <w:tc>
          <w:tcPr>
            <w:tcW w:w="1146" w:type="dxa"/>
            <w:noWrap w:val="0"/>
            <w:vAlign w:val="top"/>
          </w:tcPr>
          <w:p w14:paraId="1CBE8175">
            <w:pPr>
              <w:spacing w:line="260" w:lineRule="exact"/>
              <w:jc w:val="center"/>
            </w:pPr>
            <w:r>
              <w:rPr>
                <w:rFonts w:eastAsia="楷体_GB2312"/>
              </w:rPr>
              <w:t>01</w:t>
            </w:r>
          </w:p>
        </w:tc>
        <w:tc>
          <w:tcPr>
            <w:tcW w:w="2401" w:type="dxa"/>
            <w:noWrap w:val="0"/>
            <w:vAlign w:val="top"/>
          </w:tcPr>
          <w:p w14:paraId="5B156BDE">
            <w:pPr>
              <w:spacing w:line="260" w:lineRule="exact"/>
              <w:jc w:val="center"/>
            </w:pPr>
            <w:r>
              <w:rPr>
                <w:rFonts w:eastAsia="楷体_GB2312"/>
              </w:rPr>
              <w:t>灰古镇</w:t>
            </w:r>
            <w:r>
              <w:rPr>
                <w:rFonts w:eastAsia="楷体_GB2312"/>
                <w:szCs w:val="21"/>
              </w:rPr>
              <w:t>汽车停靠站</w:t>
            </w:r>
          </w:p>
        </w:tc>
        <w:tc>
          <w:tcPr>
            <w:tcW w:w="1019" w:type="dxa"/>
            <w:noWrap w:val="0"/>
            <w:vAlign w:val="center"/>
          </w:tcPr>
          <w:p w14:paraId="2704F89B">
            <w:pPr>
              <w:spacing w:line="260" w:lineRule="exact"/>
              <w:jc w:val="center"/>
              <w:rPr>
                <w:rFonts w:eastAsia="楷体_GB2312"/>
                <w:szCs w:val="21"/>
              </w:rPr>
            </w:pPr>
            <w:r>
              <w:rPr>
                <w:rFonts w:eastAsia="楷体_GB2312"/>
                <w:szCs w:val="21"/>
              </w:rPr>
              <w:t>1</w:t>
            </w:r>
          </w:p>
        </w:tc>
        <w:tc>
          <w:tcPr>
            <w:tcW w:w="637" w:type="dxa"/>
            <w:noWrap w:val="0"/>
            <w:vAlign w:val="center"/>
          </w:tcPr>
          <w:p w14:paraId="579540CA">
            <w:pPr>
              <w:spacing w:line="260" w:lineRule="exact"/>
              <w:jc w:val="center"/>
              <w:rPr>
                <w:rFonts w:eastAsia="楷体_GB2312"/>
                <w:szCs w:val="21"/>
              </w:rPr>
            </w:pPr>
            <w:r>
              <w:rPr>
                <w:rFonts w:eastAsia="楷体_GB2312"/>
                <w:szCs w:val="21"/>
              </w:rPr>
              <w:t>1</w:t>
            </w:r>
          </w:p>
        </w:tc>
        <w:tc>
          <w:tcPr>
            <w:tcW w:w="785" w:type="dxa"/>
            <w:noWrap w:val="0"/>
            <w:vAlign w:val="center"/>
          </w:tcPr>
          <w:p w14:paraId="2AEFBC41">
            <w:pPr>
              <w:spacing w:line="260" w:lineRule="exact"/>
              <w:jc w:val="center"/>
              <w:rPr>
                <w:rFonts w:eastAsia="楷体_GB2312"/>
                <w:szCs w:val="21"/>
              </w:rPr>
            </w:pPr>
            <w:r>
              <w:rPr>
                <w:rFonts w:eastAsia="楷体_GB2312"/>
                <w:szCs w:val="21"/>
              </w:rPr>
              <w:t>100</w:t>
            </w:r>
          </w:p>
        </w:tc>
        <w:tc>
          <w:tcPr>
            <w:tcW w:w="1041" w:type="dxa"/>
            <w:noWrap w:val="0"/>
            <w:vAlign w:val="center"/>
          </w:tcPr>
          <w:p w14:paraId="4F3492F2">
            <w:pPr>
              <w:spacing w:line="260" w:lineRule="exact"/>
              <w:jc w:val="center"/>
              <w:rPr>
                <w:rFonts w:eastAsia="楷体_GB2312"/>
                <w:szCs w:val="21"/>
              </w:rPr>
            </w:pPr>
            <w:r>
              <w:rPr>
                <w:rFonts w:hint="eastAsia" w:eastAsia="楷体_GB2312"/>
                <w:szCs w:val="21"/>
              </w:rPr>
              <w:t>1000</w:t>
            </w:r>
          </w:p>
        </w:tc>
      </w:tr>
      <w:tr w14:paraId="7B24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02" w:type="dxa"/>
            <w:noWrap w:val="0"/>
            <w:vAlign w:val="center"/>
          </w:tcPr>
          <w:p w14:paraId="50D73435">
            <w:pPr>
              <w:tabs>
                <w:tab w:val="left" w:pos="0"/>
                <w:tab w:val="left" w:pos="295"/>
              </w:tabs>
              <w:spacing w:line="260" w:lineRule="exact"/>
              <w:jc w:val="center"/>
              <w:rPr>
                <w:rFonts w:eastAsia="楷体_GB2312"/>
                <w:szCs w:val="21"/>
              </w:rPr>
            </w:pPr>
            <w:r>
              <w:rPr>
                <w:rFonts w:hint="eastAsia" w:eastAsia="楷体_GB2312"/>
                <w:szCs w:val="21"/>
              </w:rPr>
              <w:t>22</w:t>
            </w:r>
          </w:p>
        </w:tc>
        <w:tc>
          <w:tcPr>
            <w:tcW w:w="1408" w:type="dxa"/>
            <w:noWrap w:val="0"/>
            <w:vAlign w:val="center"/>
          </w:tcPr>
          <w:p w14:paraId="643976E5">
            <w:pPr>
              <w:pStyle w:val="20"/>
              <w:tabs>
                <w:tab w:val="left" w:pos="0"/>
                <w:tab w:val="left" w:pos="295"/>
              </w:tabs>
              <w:spacing w:line="260" w:lineRule="exact"/>
              <w:jc w:val="center"/>
              <w:rPr>
                <w:rFonts w:ascii="Times New Roman" w:hAnsi="Times New Roman" w:eastAsia="楷体_GB2312" w:cs="Times New Roman"/>
              </w:rPr>
            </w:pPr>
            <w:r>
              <w:rPr>
                <w:rFonts w:ascii="Times New Roman" w:hAnsi="Times New Roman" w:eastAsia="楷体_GB2312" w:cs="Times New Roman"/>
              </w:rPr>
              <w:t>桃沟乡</w:t>
            </w:r>
          </w:p>
        </w:tc>
        <w:tc>
          <w:tcPr>
            <w:tcW w:w="1146" w:type="dxa"/>
            <w:noWrap w:val="0"/>
            <w:vAlign w:val="top"/>
          </w:tcPr>
          <w:p w14:paraId="2D70F045">
            <w:pPr>
              <w:spacing w:line="260" w:lineRule="exact"/>
              <w:jc w:val="center"/>
            </w:pPr>
            <w:r>
              <w:rPr>
                <w:rFonts w:eastAsia="楷体_GB2312"/>
              </w:rPr>
              <w:t>01</w:t>
            </w:r>
          </w:p>
        </w:tc>
        <w:tc>
          <w:tcPr>
            <w:tcW w:w="2401" w:type="dxa"/>
            <w:noWrap w:val="0"/>
            <w:vAlign w:val="top"/>
          </w:tcPr>
          <w:p w14:paraId="232608E8">
            <w:pPr>
              <w:spacing w:line="260" w:lineRule="exact"/>
              <w:jc w:val="center"/>
            </w:pPr>
            <w:r>
              <w:rPr>
                <w:rFonts w:eastAsia="楷体_GB2312"/>
              </w:rPr>
              <w:t>桃沟乡</w:t>
            </w:r>
            <w:r>
              <w:rPr>
                <w:rFonts w:eastAsia="楷体_GB2312"/>
                <w:szCs w:val="21"/>
              </w:rPr>
              <w:t>汽车停靠站</w:t>
            </w:r>
          </w:p>
        </w:tc>
        <w:tc>
          <w:tcPr>
            <w:tcW w:w="1019" w:type="dxa"/>
            <w:noWrap w:val="0"/>
            <w:vAlign w:val="center"/>
          </w:tcPr>
          <w:p w14:paraId="39ECF586">
            <w:pPr>
              <w:spacing w:line="260" w:lineRule="exact"/>
              <w:jc w:val="center"/>
              <w:rPr>
                <w:rFonts w:eastAsia="楷体_GB2312"/>
                <w:szCs w:val="21"/>
              </w:rPr>
            </w:pPr>
            <w:r>
              <w:rPr>
                <w:rFonts w:eastAsia="楷体_GB2312"/>
                <w:szCs w:val="21"/>
              </w:rPr>
              <w:t>1</w:t>
            </w:r>
          </w:p>
        </w:tc>
        <w:tc>
          <w:tcPr>
            <w:tcW w:w="637" w:type="dxa"/>
            <w:noWrap w:val="0"/>
            <w:vAlign w:val="center"/>
          </w:tcPr>
          <w:p w14:paraId="58BC78A4">
            <w:pPr>
              <w:spacing w:line="260" w:lineRule="exact"/>
              <w:jc w:val="center"/>
              <w:rPr>
                <w:rFonts w:eastAsia="楷体_GB2312"/>
                <w:szCs w:val="21"/>
              </w:rPr>
            </w:pPr>
            <w:r>
              <w:rPr>
                <w:rFonts w:eastAsia="楷体_GB2312"/>
                <w:szCs w:val="21"/>
              </w:rPr>
              <w:t>1</w:t>
            </w:r>
          </w:p>
        </w:tc>
        <w:tc>
          <w:tcPr>
            <w:tcW w:w="785" w:type="dxa"/>
            <w:noWrap w:val="0"/>
            <w:vAlign w:val="center"/>
          </w:tcPr>
          <w:p w14:paraId="3BEA2118">
            <w:pPr>
              <w:spacing w:line="260" w:lineRule="exact"/>
              <w:jc w:val="center"/>
              <w:rPr>
                <w:rFonts w:eastAsia="楷体_GB2312"/>
                <w:szCs w:val="21"/>
              </w:rPr>
            </w:pPr>
            <w:r>
              <w:rPr>
                <w:rFonts w:eastAsia="楷体_GB2312"/>
                <w:szCs w:val="21"/>
              </w:rPr>
              <w:t>100</w:t>
            </w:r>
          </w:p>
        </w:tc>
        <w:tc>
          <w:tcPr>
            <w:tcW w:w="1041" w:type="dxa"/>
            <w:noWrap w:val="0"/>
            <w:vAlign w:val="center"/>
          </w:tcPr>
          <w:p w14:paraId="2CFB1AC3">
            <w:pPr>
              <w:spacing w:line="260" w:lineRule="exact"/>
              <w:jc w:val="center"/>
              <w:rPr>
                <w:rFonts w:eastAsia="楷体_GB2312"/>
                <w:szCs w:val="21"/>
              </w:rPr>
            </w:pPr>
            <w:r>
              <w:rPr>
                <w:rFonts w:hint="eastAsia" w:eastAsia="楷体_GB2312"/>
                <w:szCs w:val="21"/>
              </w:rPr>
              <w:t>1000</w:t>
            </w:r>
          </w:p>
        </w:tc>
      </w:tr>
    </w:tbl>
    <w:p w14:paraId="7F8654B3">
      <w:pPr>
        <w:pStyle w:val="20"/>
        <w:spacing w:line="470" w:lineRule="exact"/>
        <w:ind w:firstLine="562" w:firstLineChars="200"/>
        <w:rPr>
          <w:rFonts w:ascii="Times New Roman" w:hAnsi="Times New Roman" w:eastAsia="楷体_GB2312" w:cs="Times New Roman"/>
          <w:b/>
          <w:sz w:val="28"/>
        </w:rPr>
      </w:pPr>
      <w:bookmarkStart w:id="36" w:name="_Toc62563657"/>
      <w:bookmarkStart w:id="37" w:name="_Toc285700450"/>
      <w:r>
        <w:rPr>
          <w:rFonts w:ascii="Times New Roman" w:hAnsi="Times New Roman" w:eastAsia="楷体_GB2312" w:cs="Times New Roman"/>
          <w:b/>
          <w:sz w:val="28"/>
        </w:rPr>
        <w:t>2、火车站作用指数、功能分和服务半径的确定</w:t>
      </w:r>
    </w:p>
    <w:p w14:paraId="2EA2929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目前</w:t>
      </w:r>
      <w:r>
        <w:rPr>
          <w:rFonts w:hint="eastAsia" w:ascii="Times New Roman" w:hAnsi="Times New Roman" w:eastAsia="楷体_GB2312" w:cs="Times New Roman"/>
          <w:sz w:val="28"/>
        </w:rPr>
        <w:t>符离镇、大泽乡镇、曹村镇</w:t>
      </w:r>
      <w:r>
        <w:rPr>
          <w:rFonts w:ascii="Times New Roman" w:hAnsi="Times New Roman" w:eastAsia="楷体_GB2312" w:cs="Times New Roman"/>
          <w:sz w:val="28"/>
        </w:rPr>
        <w:t>镇区有1个</w:t>
      </w:r>
      <w:r>
        <w:rPr>
          <w:rFonts w:hint="eastAsia" w:ascii="Times New Roman" w:hAnsi="Times New Roman" w:eastAsia="楷体_GB2312" w:cs="Times New Roman"/>
          <w:sz w:val="28"/>
        </w:rPr>
        <w:t>火车站</w:t>
      </w:r>
      <w:r>
        <w:rPr>
          <w:rFonts w:ascii="Times New Roman" w:hAnsi="Times New Roman" w:eastAsia="楷体_GB2312" w:cs="Times New Roman"/>
          <w:sz w:val="28"/>
        </w:rPr>
        <w:t>，如果只有一个</w:t>
      </w:r>
      <w:r>
        <w:rPr>
          <w:rFonts w:hint="eastAsia" w:ascii="Times New Roman" w:hAnsi="Times New Roman" w:eastAsia="楷体_GB2312" w:cs="Times New Roman"/>
          <w:sz w:val="28"/>
        </w:rPr>
        <w:t>火车站</w:t>
      </w:r>
      <w:r>
        <w:rPr>
          <w:rFonts w:ascii="Times New Roman" w:hAnsi="Times New Roman" w:eastAsia="楷体_GB2312" w:cs="Times New Roman"/>
          <w:sz w:val="28"/>
        </w:rPr>
        <w:t>，其作用指数为1，功能分直接赋100分，服务半径为该设施到连片建成区的最大距离，即到本次定级范围的最大距离；如有1个以上</w:t>
      </w:r>
      <w:r>
        <w:rPr>
          <w:rFonts w:hint="eastAsia" w:ascii="Times New Roman" w:hAnsi="Times New Roman" w:eastAsia="楷体_GB2312" w:cs="Times New Roman"/>
          <w:sz w:val="28"/>
        </w:rPr>
        <w:t>火</w:t>
      </w:r>
      <w:r>
        <w:rPr>
          <w:rFonts w:ascii="Times New Roman" w:hAnsi="Times New Roman" w:eastAsia="楷体_GB2312" w:cs="Times New Roman"/>
          <w:sz w:val="28"/>
        </w:rPr>
        <w:t>车</w:t>
      </w:r>
      <w:r>
        <w:rPr>
          <w:rFonts w:hint="eastAsia" w:ascii="Times New Roman" w:hAnsi="Times New Roman" w:eastAsia="楷体_GB2312" w:cs="Times New Roman"/>
          <w:sz w:val="28"/>
        </w:rPr>
        <w:t>站</w:t>
      </w:r>
      <w:r>
        <w:rPr>
          <w:rFonts w:ascii="Times New Roman" w:hAnsi="Times New Roman" w:eastAsia="楷体_GB2312" w:cs="Times New Roman"/>
          <w:sz w:val="28"/>
        </w:rPr>
        <w:t>，</w:t>
      </w:r>
      <w:r>
        <w:rPr>
          <w:rFonts w:hint="eastAsia" w:ascii="Times New Roman" w:hAnsi="Times New Roman" w:eastAsia="楷体_GB2312" w:cs="Times New Roman"/>
          <w:sz w:val="28"/>
        </w:rPr>
        <w:t>火车站</w:t>
      </w:r>
      <w:r>
        <w:rPr>
          <w:rFonts w:ascii="Times New Roman" w:hAnsi="Times New Roman" w:eastAsia="楷体_GB2312" w:cs="Times New Roman"/>
          <w:sz w:val="28"/>
        </w:rPr>
        <w:t>功能分和服务半径的确定按下列步骤进行：</w:t>
      </w:r>
    </w:p>
    <w:p w14:paraId="00A03E43">
      <w:pPr>
        <w:pStyle w:val="20"/>
        <w:spacing w:line="480" w:lineRule="exact"/>
        <w:ind w:firstLine="560" w:firstLineChars="200"/>
        <w:rPr>
          <w:rFonts w:ascii="Times New Roman" w:hAnsi="Times New Roman" w:eastAsia="楷体_GB2312" w:cs="Times New Roman"/>
          <w:sz w:val="28"/>
        </w:rPr>
      </w:pPr>
      <w:r>
        <w:rPr>
          <w:rFonts w:hint="eastAsia" w:ascii="Times New Roman" w:hAnsi="Times New Roman" w:eastAsia="楷体_GB2312" w:cs="Times New Roman"/>
          <w:sz w:val="28"/>
        </w:rPr>
        <w:t>（1）</w:t>
      </w:r>
      <w:r>
        <w:rPr>
          <w:rFonts w:ascii="Times New Roman" w:hAnsi="Times New Roman" w:eastAsia="楷体_GB2312" w:cs="Times New Roman"/>
          <w:sz w:val="28"/>
        </w:rPr>
        <w:t>将</w:t>
      </w:r>
      <w:r>
        <w:rPr>
          <w:rFonts w:hint="eastAsia" w:ascii="Times New Roman" w:hAnsi="Times New Roman" w:eastAsia="楷体_GB2312" w:cs="Times New Roman"/>
          <w:sz w:val="28"/>
        </w:rPr>
        <w:t>火车站的货</w:t>
      </w:r>
      <w:r>
        <w:rPr>
          <w:rFonts w:ascii="Times New Roman" w:hAnsi="Times New Roman" w:eastAsia="楷体_GB2312" w:cs="Times New Roman"/>
          <w:sz w:val="28"/>
        </w:rPr>
        <w:t>运量进行最大值标准化处理，计算出作用指数。</w:t>
      </w:r>
    </w:p>
    <w:p w14:paraId="60E079A0">
      <w:pPr>
        <w:pStyle w:val="20"/>
        <w:spacing w:line="480" w:lineRule="exact"/>
        <w:ind w:firstLine="560" w:firstLineChars="200"/>
        <w:rPr>
          <w:rFonts w:ascii="Times New Roman" w:hAnsi="Times New Roman" w:eastAsia="楷体_GB2312" w:cs="Times New Roman"/>
          <w:sz w:val="28"/>
        </w:rPr>
      </w:pPr>
      <w:r>
        <w:rPr>
          <w:rFonts w:hint="eastAsia" w:ascii="Times New Roman" w:hAnsi="Times New Roman" w:eastAsia="楷体_GB2312" w:cs="Times New Roman"/>
          <w:sz w:val="28"/>
        </w:rPr>
        <w:t>（2）</w:t>
      </w:r>
      <w:r>
        <w:rPr>
          <w:rFonts w:ascii="Times New Roman" w:hAnsi="Times New Roman" w:eastAsia="楷体_GB2312" w:cs="Times New Roman"/>
          <w:sz w:val="28"/>
        </w:rPr>
        <w:t>按</w:t>
      </w:r>
      <w:r>
        <w:rPr>
          <w:rFonts w:hint="eastAsia" w:ascii="Times New Roman" w:hAnsi="Times New Roman" w:eastAsia="楷体_GB2312" w:cs="Times New Roman"/>
          <w:sz w:val="28"/>
        </w:rPr>
        <w:t>火</w:t>
      </w:r>
      <w:r>
        <w:rPr>
          <w:rFonts w:ascii="Times New Roman" w:hAnsi="Times New Roman" w:eastAsia="楷体_GB2312" w:cs="Times New Roman"/>
          <w:sz w:val="28"/>
        </w:rPr>
        <w:t>车站的作用指数和实际情况将其划分级别。</w:t>
      </w:r>
    </w:p>
    <w:p w14:paraId="3518460B">
      <w:pPr>
        <w:pStyle w:val="20"/>
        <w:spacing w:line="480" w:lineRule="exact"/>
        <w:ind w:firstLine="560" w:firstLineChars="200"/>
        <w:rPr>
          <w:rFonts w:ascii="Times New Roman" w:hAnsi="Times New Roman" w:eastAsia="楷体_GB2312" w:cs="Times New Roman"/>
          <w:sz w:val="28"/>
        </w:rPr>
      </w:pPr>
      <w:r>
        <w:rPr>
          <w:rFonts w:hint="eastAsia" w:ascii="Times New Roman" w:hAnsi="Times New Roman" w:eastAsia="楷体_GB2312" w:cs="Times New Roman"/>
          <w:sz w:val="28"/>
        </w:rPr>
        <w:t>（3）</w:t>
      </w:r>
      <w:r>
        <w:rPr>
          <w:rFonts w:ascii="Times New Roman" w:hAnsi="Times New Roman" w:eastAsia="楷体_GB2312" w:cs="Times New Roman"/>
          <w:sz w:val="28"/>
        </w:rPr>
        <w:t>火车站作用指数反映火车站在对外交通运输中的重要程度，指数与设施作用大小呈正比，数值在0-1之间，各指数值之和等于1。</w:t>
      </w:r>
    </w:p>
    <w:p w14:paraId="6FA5903D">
      <w:pPr>
        <w:pStyle w:val="20"/>
        <w:spacing w:line="470" w:lineRule="exact"/>
        <w:ind w:firstLine="560" w:firstLineChars="200"/>
        <w:rPr>
          <w:rFonts w:ascii="Times New Roman" w:hAnsi="Times New Roman" w:eastAsia="楷体_GB2312" w:cs="Times New Roman"/>
          <w:sz w:val="28"/>
        </w:rPr>
      </w:pPr>
      <w:r>
        <w:rPr>
          <w:rFonts w:hint="eastAsia" w:ascii="Times New Roman" w:hAnsi="Times New Roman" w:eastAsia="楷体_GB2312" w:cs="Times New Roman"/>
          <w:sz w:val="28"/>
        </w:rPr>
        <w:t>（4）</w:t>
      </w:r>
      <w:r>
        <w:rPr>
          <w:rFonts w:ascii="Times New Roman" w:hAnsi="Times New Roman" w:eastAsia="楷体_GB2312" w:cs="Times New Roman"/>
          <w:sz w:val="28"/>
        </w:rPr>
        <w:t>火车站功能分按下式计算：</w:t>
      </w:r>
    </w:p>
    <w:p w14:paraId="098FAE42">
      <w:pPr>
        <w:pStyle w:val="20"/>
        <w:spacing w:line="480" w:lineRule="exact"/>
        <w:jc w:val="center"/>
        <w:rPr>
          <w:rFonts w:ascii="Times New Roman" w:hAnsi="Times New Roman" w:eastAsia="仿宋_GB2312" w:cs="Times New Roman"/>
          <w:sz w:val="28"/>
        </w:rPr>
      </w:pPr>
      <w:r>
        <w:rPr>
          <w:rFonts w:ascii="Times New Roman" w:hAnsi="Times New Roman" w:eastAsia="仿宋_GB2312" w:cs="Times New Roman"/>
          <w:sz w:val="28"/>
        </w:rPr>
        <w:object>
          <v:shape id="_x0000_i1041" o:spt="75" type="#_x0000_t75" style="height:19pt;width:70pt;" o:ole="t" filled="f" o:preferrelative="t" stroked="f" coordsize="21600,21600">
            <v:path/>
            <v:fill on="f" alignshape="1" focussize="0,0"/>
            <v:stroke on="f"/>
            <v:imagedata r:id="rId54" o:title=""/>
            <o:lock v:ext="edit" aspectratio="t"/>
            <w10:wrap type="none"/>
            <w10:anchorlock/>
          </v:shape>
          <o:OLEObject Type="Embed" ProgID="Equation.3" ShapeID="_x0000_i1041" DrawAspect="Content" ObjectID="_1468075741" r:id="rId67">
            <o:LockedField>false</o:LockedField>
          </o:OLEObject>
        </w:object>
      </w:r>
    </w:p>
    <w:p w14:paraId="27753DCD">
      <w:pPr>
        <w:pStyle w:val="20"/>
        <w:spacing w:line="480" w:lineRule="exact"/>
        <w:ind w:firstLine="700" w:firstLineChars="250"/>
        <w:rPr>
          <w:rFonts w:ascii="Times New Roman" w:hAnsi="Times New Roman" w:eastAsia="楷体_GB2312" w:cs="Times New Roman"/>
          <w:sz w:val="28"/>
        </w:rPr>
      </w:pPr>
      <w:r>
        <w:rPr>
          <w:rFonts w:ascii="Times New Roman" w:hAnsi="Times New Roman" w:eastAsia="楷体_GB2312" w:cs="Times New Roman"/>
          <w:sz w:val="28"/>
        </w:rPr>
        <w:t>式中：</w:t>
      </w:r>
    </w:p>
    <w:p w14:paraId="117B1A15">
      <w:pPr>
        <w:pStyle w:val="20"/>
        <w:spacing w:line="480" w:lineRule="exact"/>
        <w:ind w:firstLine="1400" w:firstLineChars="500"/>
        <w:rPr>
          <w:rFonts w:ascii="Times New Roman" w:hAnsi="Times New Roman" w:eastAsia="仿宋_GB2312" w:cs="Times New Roman"/>
          <w:sz w:val="28"/>
        </w:rPr>
      </w:pPr>
      <w:r>
        <w:rPr>
          <w:rFonts w:ascii="Times New Roman" w:hAnsi="Times New Roman" w:eastAsia="仿宋_GB2312" w:cs="Times New Roman"/>
          <w:sz w:val="28"/>
        </w:rPr>
        <w:object>
          <v:shape id="_x0000_i1042" o:spt="75" type="#_x0000_t75" style="height:19pt;width:17pt;" o:ole="t" filled="f" stroked="f" coordsize="21600,21600">
            <v:path/>
            <v:fill on="f" focussize="0,0"/>
            <v:stroke on="f"/>
            <v:imagedata r:id="rId56" o:title=""/>
            <o:lock v:ext="edit" aspectratio="t"/>
            <w10:wrap type="none"/>
            <w10:anchorlock/>
          </v:shape>
          <o:OLEObject Type="Embed" ProgID="Equation.3" ShapeID="_x0000_i1042" DrawAspect="Content" ObjectID="_1468075742" r:id="rId68">
            <o:LockedField>false</o:LockedField>
          </o:OLEObject>
        </w:object>
      </w:r>
      <w:r>
        <w:rPr>
          <w:rFonts w:ascii="Times New Roman" w:hAnsi="Times New Roman" w:eastAsia="仿宋_GB2312" w:cs="Times New Roman"/>
          <w:sz w:val="28"/>
        </w:rPr>
        <w:t>—i</w:t>
      </w:r>
      <w:r>
        <w:rPr>
          <w:rFonts w:ascii="Times New Roman" w:hAnsi="Times New Roman" w:eastAsia="楷体_GB2312" w:cs="Times New Roman"/>
          <w:sz w:val="28"/>
        </w:rPr>
        <w:t>火车站的功能分</w:t>
      </w:r>
      <w:r>
        <w:rPr>
          <w:rFonts w:ascii="Times New Roman" w:hAnsi="Times New Roman" w:eastAsia="仿宋_GB2312" w:cs="Times New Roman"/>
          <w:sz w:val="28"/>
        </w:rPr>
        <w:t>；</w:t>
      </w:r>
    </w:p>
    <w:p w14:paraId="76721CE5">
      <w:pPr>
        <w:pStyle w:val="20"/>
        <w:spacing w:line="480" w:lineRule="exact"/>
        <w:ind w:firstLine="1400" w:firstLineChars="500"/>
        <w:rPr>
          <w:rFonts w:ascii="Times New Roman" w:hAnsi="Times New Roman" w:eastAsia="仿宋_GB2312" w:cs="Times New Roman"/>
          <w:sz w:val="28"/>
        </w:rPr>
      </w:pPr>
      <w:r>
        <w:rPr>
          <w:rFonts w:ascii="Times New Roman" w:hAnsi="Times New Roman" w:eastAsia="仿宋_GB2312" w:cs="Times New Roman"/>
          <w:sz w:val="28"/>
        </w:rPr>
        <w:object>
          <v:shape id="_x0000_i1043" o:spt="75" type="#_x0000_t75" style="height:19pt;width:15pt;" o:ole="t" filled="f" stroked="f" coordsize="21600,21600">
            <v:path/>
            <v:fill on="f" focussize="0,0"/>
            <v:stroke on="f"/>
            <v:imagedata r:id="rId58" o:title=""/>
            <o:lock v:ext="edit" aspectratio="t"/>
            <w10:wrap type="none"/>
            <w10:anchorlock/>
          </v:shape>
          <o:OLEObject Type="Embed" ProgID="Equation.3" ShapeID="_x0000_i1043" DrawAspect="Content" ObjectID="_1468075743" r:id="rId69">
            <o:LockedField>false</o:LockedField>
          </o:OLEObject>
        </w:object>
      </w:r>
      <w:r>
        <w:rPr>
          <w:rFonts w:ascii="Times New Roman" w:hAnsi="Times New Roman" w:eastAsia="仿宋_GB2312" w:cs="Times New Roman"/>
          <w:sz w:val="28"/>
        </w:rPr>
        <w:t>—i</w:t>
      </w:r>
      <w:r>
        <w:rPr>
          <w:rFonts w:ascii="Times New Roman" w:hAnsi="Times New Roman" w:eastAsia="楷体_GB2312" w:cs="Times New Roman"/>
          <w:sz w:val="28"/>
        </w:rPr>
        <w:t>火车站的作用指数，见下式</w:t>
      </w:r>
      <w:r>
        <w:rPr>
          <w:rFonts w:ascii="Times New Roman" w:hAnsi="Times New Roman" w:eastAsia="仿宋_GB2312" w:cs="Times New Roman"/>
          <w:sz w:val="28"/>
        </w:rPr>
        <w:t>：</w:t>
      </w:r>
    </w:p>
    <w:p w14:paraId="16FDB1FB">
      <w:pPr>
        <w:pStyle w:val="20"/>
        <w:spacing w:line="480" w:lineRule="exact"/>
        <w:jc w:val="center"/>
        <w:rPr>
          <w:rFonts w:ascii="Times New Roman" w:hAnsi="Times New Roman" w:eastAsia="仿宋_GB2312" w:cs="Times New Roman"/>
          <w:sz w:val="28"/>
        </w:rPr>
      </w:pPr>
      <w:r>
        <w:rPr>
          <w:rFonts w:ascii="Times New Roman" w:hAnsi="Times New Roman" w:eastAsia="仿宋_GB2312" w:cs="Times New Roman"/>
          <w:sz w:val="28"/>
        </w:rPr>
        <w:object>
          <v:shape id="_x0000_i1044" o:spt="75" type="#_x0000_t75" style="height:19pt;width:70pt;" o:ole="t" filled="f" o:preferrelative="t" stroked="f" coordsize="21600,21600">
            <v:path/>
            <v:fill on="f" alignshape="1" focussize="0,0"/>
            <v:stroke on="f"/>
            <v:imagedata r:id="rId60" o:title=""/>
            <o:lock v:ext="edit" aspectratio="t"/>
            <w10:wrap type="none"/>
            <w10:anchorlock/>
          </v:shape>
          <o:OLEObject Type="Embed" ProgID="Equation.3" ShapeID="_x0000_i1044" DrawAspect="Content" ObjectID="_1468075744" r:id="rId70">
            <o:LockedField>false</o:LockedField>
          </o:OLEObject>
        </w:object>
      </w:r>
    </w:p>
    <w:p w14:paraId="7E8DCE44">
      <w:pPr>
        <w:pStyle w:val="20"/>
        <w:spacing w:line="480" w:lineRule="exact"/>
        <w:ind w:firstLine="1400" w:firstLineChars="500"/>
        <w:rPr>
          <w:rFonts w:ascii="Times New Roman" w:hAnsi="Times New Roman" w:eastAsia="楷体_GB2312" w:cs="Times New Roman"/>
          <w:sz w:val="28"/>
        </w:rPr>
      </w:pPr>
      <w:r>
        <w:rPr>
          <w:rFonts w:ascii="Times New Roman" w:hAnsi="Times New Roman" w:eastAsia="仿宋_GB2312" w:cs="Times New Roman"/>
          <w:sz w:val="28"/>
        </w:rPr>
        <w:object>
          <v:shape id="_x0000_i1045" o:spt="75" type="#_x0000_t75" style="height:19pt;width:15pt;" o:ole="t" filled="f" stroked="f" coordsize="21600,21600">
            <v:path/>
            <v:fill on="f" focussize="0,0"/>
            <v:stroke on="f"/>
            <v:imagedata r:id="rId62" o:title=""/>
            <o:lock v:ext="edit" aspectratio="t"/>
            <w10:wrap type="none"/>
            <w10:anchorlock/>
          </v:shape>
          <o:OLEObject Type="Embed" ProgID="Equation.3" ShapeID="_x0000_i1045" DrawAspect="Content" ObjectID="_1468075745" r:id="rId71">
            <o:LockedField>false</o:LockedField>
          </o:OLEObject>
        </w:object>
      </w:r>
      <w:r>
        <w:rPr>
          <w:rFonts w:ascii="Times New Roman" w:hAnsi="Times New Roman" w:eastAsia="仿宋_GB2312" w:cs="Times New Roman"/>
          <w:sz w:val="28"/>
        </w:rPr>
        <w:t>—i</w:t>
      </w:r>
      <w:r>
        <w:rPr>
          <w:rFonts w:ascii="Times New Roman" w:hAnsi="Times New Roman" w:eastAsia="楷体_GB2312" w:cs="Times New Roman"/>
          <w:sz w:val="28"/>
        </w:rPr>
        <w:t>火车站的作用指数</w:t>
      </w:r>
    </w:p>
    <w:p w14:paraId="71C75230">
      <w:pPr>
        <w:pStyle w:val="20"/>
        <w:spacing w:line="480" w:lineRule="exact"/>
        <w:ind w:left="1960" w:hanging="1960" w:hangingChars="700"/>
        <w:rPr>
          <w:rFonts w:ascii="Times New Roman" w:hAnsi="Times New Roman" w:eastAsia="仿宋_GB2312" w:cs="Times New Roman"/>
          <w:sz w:val="28"/>
        </w:rPr>
      </w:pPr>
      <w:r>
        <w:rPr>
          <w:rFonts w:ascii="Times New Roman" w:hAnsi="Times New Roman" w:eastAsia="仿宋_GB2312" w:cs="Times New Roman"/>
          <w:sz w:val="28"/>
        </w:rPr>
        <w:t xml:space="preserve">         </w:t>
      </w:r>
      <w:r>
        <w:rPr>
          <w:rFonts w:ascii="Times New Roman" w:hAnsi="Times New Roman" w:eastAsia="仿宋_GB2312" w:cs="Times New Roman"/>
          <w:sz w:val="28"/>
        </w:rPr>
        <w:object>
          <v:shape id="_x0000_i1046" o:spt="75" type="#_x0000_t75" style="height:19pt;width:21pt;" o:ole="t" filled="f" stroked="f" coordsize="21600,21600">
            <v:path/>
            <v:fill on="f" focussize="0,0"/>
            <v:stroke on="f"/>
            <v:imagedata r:id="rId64" o:title=""/>
            <o:lock v:ext="edit" aspectratio="t"/>
            <w10:wrap type="none"/>
            <w10:anchorlock/>
          </v:shape>
          <o:OLEObject Type="Embed" ProgID="Equation.3" ShapeID="_x0000_i1046" DrawAspect="Content" ObjectID="_1468075746" r:id="rId72">
            <o:LockedField>false</o:LockedField>
          </o:OLEObject>
        </w:object>
      </w:r>
      <w:r>
        <w:rPr>
          <w:rFonts w:ascii="Times New Roman" w:hAnsi="Times New Roman" w:eastAsia="仿宋_GB2312" w:cs="Times New Roman"/>
          <w:sz w:val="28"/>
        </w:rPr>
        <w:t>—i</w:t>
      </w:r>
      <w:r>
        <w:rPr>
          <w:rFonts w:ascii="Times New Roman" w:hAnsi="Times New Roman" w:eastAsia="楷体_GB2312" w:cs="Times New Roman"/>
          <w:sz w:val="28"/>
        </w:rPr>
        <w:t>设施所属的某类对外交通设施规模及影响最大者的作    用指数，可参照确定因素权重的方法进行计算；</w:t>
      </w:r>
    </w:p>
    <w:p w14:paraId="7D7BDEA1">
      <w:pPr>
        <w:pStyle w:val="20"/>
        <w:spacing w:line="480" w:lineRule="exact"/>
        <w:ind w:left="1960" w:hanging="1960" w:hangingChars="700"/>
        <w:rPr>
          <w:rFonts w:ascii="Times New Roman" w:hAnsi="Times New Roman" w:eastAsia="楷体_GB2312" w:cs="Times New Roman"/>
          <w:sz w:val="28"/>
        </w:rPr>
      </w:pPr>
      <w:r>
        <w:rPr>
          <w:rFonts w:ascii="Times New Roman" w:hAnsi="Times New Roman" w:eastAsia="仿宋_GB2312" w:cs="Times New Roman"/>
          <w:sz w:val="28"/>
        </w:rPr>
        <w:t xml:space="preserve">         </w:t>
      </w:r>
      <w:r>
        <w:rPr>
          <w:rFonts w:ascii="Times New Roman" w:hAnsi="Times New Roman" w:eastAsia="仿宋_GB2312" w:cs="Times New Roman"/>
          <w:sz w:val="28"/>
        </w:rPr>
        <w:object>
          <v:shape id="_x0000_i1047" o:spt="75" type="#_x0000_t75" style="height:19pt;width:15pt;" o:ole="t" filled="f" stroked="f" coordsize="21600,21600">
            <v:path/>
            <v:fill on="f" focussize="0,0"/>
            <v:stroke on="f"/>
            <v:imagedata r:id="rId66" o:title=""/>
            <o:lock v:ext="edit" aspectratio="t"/>
            <w10:wrap type="none"/>
            <w10:anchorlock/>
          </v:shape>
          <o:OLEObject Type="Embed" ProgID="Equation.3" ShapeID="_x0000_i1047" DrawAspect="Content" ObjectID="_1468075747" r:id="rId73">
            <o:LockedField>false</o:LockedField>
          </o:OLEObject>
        </w:object>
      </w:r>
      <w:r>
        <w:rPr>
          <w:rFonts w:ascii="Times New Roman" w:hAnsi="Times New Roman" w:eastAsia="仿宋_GB2312" w:cs="Times New Roman"/>
          <w:sz w:val="28"/>
        </w:rPr>
        <w:t>—i</w:t>
      </w:r>
      <w:r>
        <w:rPr>
          <w:rFonts w:ascii="Times New Roman" w:hAnsi="Times New Roman" w:eastAsia="楷体_GB2312" w:cs="Times New Roman"/>
          <w:sz w:val="28"/>
        </w:rPr>
        <w:t>火车站相对于规模及影响最大的同类设施的作用折算系数，可参照确定因素权重的方法进行计算或选择规模、客运等指标比较确定。</w:t>
      </w:r>
    </w:p>
    <w:p w14:paraId="60D0EF9D">
      <w:pPr>
        <w:pStyle w:val="20"/>
        <w:spacing w:line="480" w:lineRule="exact"/>
        <w:ind w:firstLine="560" w:firstLineChars="200"/>
        <w:rPr>
          <w:rFonts w:ascii="Times New Roman" w:hAnsi="Times New Roman" w:eastAsia="楷体_GB2312" w:cs="Times New Roman"/>
          <w:sz w:val="28"/>
        </w:rPr>
      </w:pPr>
      <w:r>
        <w:rPr>
          <w:rFonts w:hint="eastAsia" w:ascii="Times New Roman" w:hAnsi="Times New Roman" w:eastAsia="楷体_GB2312" w:cs="Times New Roman"/>
          <w:sz w:val="28"/>
        </w:rPr>
        <w:t>（5）</w:t>
      </w:r>
      <w:r>
        <w:rPr>
          <w:rFonts w:ascii="Times New Roman" w:hAnsi="Times New Roman" w:eastAsia="楷体_GB2312" w:cs="Times New Roman"/>
          <w:sz w:val="28"/>
        </w:rPr>
        <w:t>服务半径的确定：一级设施的服务半径为该设施到连片建成区的最大距离，其它级别设施的服务半径为同级设施最大服务距离。根据《城镇土地分等定级规程》，各级汽车站的服务半径在2~20km之间确定，由于本次各乡镇镇区规划和定级范围大部分较小，为了能体现出各</w:t>
      </w:r>
      <w:r>
        <w:rPr>
          <w:rFonts w:hint="eastAsia" w:ascii="Times New Roman" w:hAnsi="Times New Roman" w:eastAsia="楷体_GB2312" w:cs="Times New Roman"/>
          <w:sz w:val="28"/>
        </w:rPr>
        <w:t>火车站</w:t>
      </w:r>
      <w:r>
        <w:rPr>
          <w:rFonts w:ascii="Times New Roman" w:hAnsi="Times New Roman" w:eastAsia="楷体_GB2312" w:cs="Times New Roman"/>
          <w:sz w:val="28"/>
        </w:rPr>
        <w:t>对镇区土地质量影响的差别，本次各</w:t>
      </w:r>
      <w:r>
        <w:rPr>
          <w:rFonts w:hint="eastAsia" w:ascii="Times New Roman" w:hAnsi="Times New Roman" w:eastAsia="楷体_GB2312" w:cs="Times New Roman"/>
          <w:sz w:val="28"/>
        </w:rPr>
        <w:t>火车站</w:t>
      </w:r>
      <w:r>
        <w:rPr>
          <w:rFonts w:ascii="Times New Roman" w:hAnsi="Times New Roman" w:eastAsia="楷体_GB2312" w:cs="Times New Roman"/>
          <w:sz w:val="28"/>
        </w:rPr>
        <w:t>影响半径按照镇区规划和定级范围大小而最终确定。</w:t>
      </w:r>
    </w:p>
    <w:p w14:paraId="37206DBC">
      <w:pPr>
        <w:pStyle w:val="20"/>
        <w:spacing w:line="480" w:lineRule="exact"/>
        <w:ind w:firstLine="560" w:firstLineChars="200"/>
        <w:rPr>
          <w:rFonts w:ascii="Times New Roman" w:hAnsi="Times New Roman" w:eastAsia="楷体_GB2312" w:cs="Times New Roman"/>
          <w:sz w:val="28"/>
        </w:rPr>
      </w:pPr>
      <w:r>
        <w:rPr>
          <w:rFonts w:hint="eastAsia" w:ascii="Times New Roman" w:hAnsi="Times New Roman" w:eastAsia="楷体_GB2312" w:cs="Times New Roman"/>
          <w:sz w:val="28"/>
        </w:rPr>
        <w:t>（6）</w:t>
      </w:r>
      <w:r>
        <w:rPr>
          <w:rFonts w:ascii="Times New Roman" w:hAnsi="Times New Roman" w:eastAsia="楷体_GB2312" w:cs="Times New Roman"/>
          <w:sz w:val="28"/>
        </w:rPr>
        <w:t>功能分及服务半径表编制</w:t>
      </w:r>
    </w:p>
    <w:p w14:paraId="678178B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根据各乡镇各级</w:t>
      </w:r>
      <w:r>
        <w:rPr>
          <w:rFonts w:hint="eastAsia" w:ascii="Times New Roman" w:hAnsi="Times New Roman" w:eastAsia="楷体_GB2312" w:cs="Times New Roman"/>
          <w:sz w:val="28"/>
        </w:rPr>
        <w:t>火车站</w:t>
      </w:r>
      <w:r>
        <w:rPr>
          <w:rFonts w:ascii="Times New Roman" w:hAnsi="Times New Roman" w:eastAsia="楷体_GB2312" w:cs="Times New Roman"/>
          <w:sz w:val="28"/>
        </w:rPr>
        <w:t>的功能分和服务半径，编制综合定级</w:t>
      </w:r>
      <w:r>
        <w:rPr>
          <w:rFonts w:hint="eastAsia" w:ascii="Times New Roman" w:hAnsi="Times New Roman" w:eastAsia="楷体_GB2312" w:cs="Times New Roman"/>
          <w:sz w:val="28"/>
        </w:rPr>
        <w:t>火</w:t>
      </w:r>
      <w:r>
        <w:rPr>
          <w:rFonts w:ascii="Times New Roman" w:hAnsi="Times New Roman" w:eastAsia="楷体_GB2312" w:cs="Times New Roman"/>
          <w:sz w:val="28"/>
        </w:rPr>
        <w:t>车站功能分及服务半径表，结果见表1-3-</w:t>
      </w:r>
      <w:r>
        <w:rPr>
          <w:rFonts w:hint="eastAsia" w:ascii="Times New Roman" w:hAnsi="Times New Roman" w:eastAsia="楷体_GB2312" w:cs="Times New Roman"/>
          <w:sz w:val="28"/>
        </w:rPr>
        <w:t>31</w:t>
      </w:r>
      <w:r>
        <w:rPr>
          <w:rFonts w:ascii="Times New Roman" w:hAnsi="Times New Roman" w:eastAsia="楷体_GB2312" w:cs="Times New Roman"/>
          <w:sz w:val="28"/>
        </w:rPr>
        <w:t>。</w:t>
      </w:r>
    </w:p>
    <w:p w14:paraId="4762CFE6">
      <w:pPr>
        <w:pStyle w:val="20"/>
        <w:spacing w:line="480" w:lineRule="exact"/>
        <w:jc w:val="center"/>
        <w:rPr>
          <w:rFonts w:ascii="Times New Roman" w:hAnsi="Times New Roman" w:eastAsia="黑体" w:cs="Times New Roman"/>
          <w:sz w:val="28"/>
        </w:rPr>
      </w:pPr>
      <w:r>
        <w:rPr>
          <w:rFonts w:ascii="Times New Roman" w:hAnsi="Times New Roman" w:eastAsia="黑体" w:cs="Times New Roman"/>
          <w:sz w:val="28"/>
        </w:rPr>
        <w:t>表1-3-</w:t>
      </w:r>
      <w:r>
        <w:rPr>
          <w:rFonts w:hint="eastAsia" w:ascii="Times New Roman" w:hAnsi="Times New Roman" w:eastAsia="黑体" w:cs="Times New Roman"/>
          <w:sz w:val="28"/>
        </w:rPr>
        <w:t>31</w:t>
      </w:r>
      <w:r>
        <w:rPr>
          <w:rFonts w:ascii="Times New Roman" w:hAnsi="Times New Roman" w:eastAsia="黑体" w:cs="Times New Roman"/>
          <w:sz w:val="28"/>
        </w:rPr>
        <w:t xml:space="preserve">  </w:t>
      </w:r>
      <w:r>
        <w:rPr>
          <w:rFonts w:ascii="Times New Roman" w:hAnsi="Times New Roman" w:eastAsia="黑体" w:cs="Times New Roman"/>
          <w:sz w:val="28"/>
          <w:szCs w:val="24"/>
        </w:rPr>
        <w:t>埇桥区各乡镇</w:t>
      </w:r>
      <w:r>
        <w:rPr>
          <w:rFonts w:ascii="Times New Roman" w:hAnsi="Times New Roman" w:eastAsia="黑体" w:cs="Times New Roman"/>
          <w:sz w:val="28"/>
        </w:rPr>
        <w:t>火车站功能分及服务半径表</w:t>
      </w:r>
    </w:p>
    <w:tbl>
      <w:tblPr>
        <w:tblStyle w:val="38"/>
        <w:tblW w:w="51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408"/>
        <w:gridCol w:w="1146"/>
        <w:gridCol w:w="2401"/>
        <w:gridCol w:w="1019"/>
        <w:gridCol w:w="637"/>
        <w:gridCol w:w="785"/>
        <w:gridCol w:w="1041"/>
      </w:tblGrid>
      <w:tr w14:paraId="3220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2" w:type="dxa"/>
            <w:noWrap w:val="0"/>
            <w:vAlign w:val="center"/>
          </w:tcPr>
          <w:p w14:paraId="736AC781">
            <w:pPr>
              <w:pStyle w:val="100"/>
              <w:widowControl w:val="0"/>
              <w:pBdr>
                <w:left w:val="none" w:color="auto" w:sz="0" w:space="0"/>
                <w:bottom w:val="none" w:color="auto" w:sz="0" w:space="0"/>
                <w:right w:val="none" w:color="auto" w:sz="0" w:space="0"/>
              </w:pBdr>
              <w:spacing w:before="0" w:beforeAutospacing="0" w:after="0" w:afterAutospacing="0" w:line="0" w:lineRule="atLeast"/>
              <w:jc w:val="center"/>
              <w:textAlignment w:val="auto"/>
              <w:rPr>
                <w:rFonts w:eastAsia="楷体_GB2312"/>
                <w:kern w:val="2"/>
              </w:rPr>
            </w:pPr>
            <w:r>
              <w:rPr>
                <w:rFonts w:eastAsia="楷体_GB2312"/>
                <w:kern w:val="2"/>
              </w:rPr>
              <w:t>城镇编号</w:t>
            </w:r>
          </w:p>
        </w:tc>
        <w:tc>
          <w:tcPr>
            <w:tcW w:w="1408" w:type="dxa"/>
            <w:noWrap w:val="0"/>
            <w:vAlign w:val="center"/>
          </w:tcPr>
          <w:p w14:paraId="400ECC3F">
            <w:pPr>
              <w:spacing w:line="0" w:lineRule="atLeast"/>
              <w:jc w:val="center"/>
              <w:rPr>
                <w:rFonts w:eastAsia="楷体_GB2312"/>
                <w:szCs w:val="21"/>
              </w:rPr>
            </w:pPr>
            <w:r>
              <w:rPr>
                <w:rFonts w:eastAsia="楷体_GB2312"/>
                <w:szCs w:val="21"/>
              </w:rPr>
              <w:t>乡镇</w:t>
            </w:r>
          </w:p>
          <w:p w14:paraId="04505DE5">
            <w:pPr>
              <w:spacing w:line="0" w:lineRule="atLeast"/>
              <w:jc w:val="center"/>
              <w:rPr>
                <w:rFonts w:eastAsia="楷体_GB2312"/>
                <w:szCs w:val="21"/>
              </w:rPr>
            </w:pPr>
            <w:r>
              <w:rPr>
                <w:rFonts w:eastAsia="楷体_GB2312"/>
                <w:szCs w:val="21"/>
              </w:rPr>
              <w:t>名称</w:t>
            </w:r>
          </w:p>
        </w:tc>
        <w:tc>
          <w:tcPr>
            <w:tcW w:w="1146" w:type="dxa"/>
            <w:noWrap w:val="0"/>
            <w:vAlign w:val="center"/>
          </w:tcPr>
          <w:p w14:paraId="5213E7F8">
            <w:pPr>
              <w:spacing w:line="0" w:lineRule="atLeast"/>
              <w:jc w:val="center"/>
              <w:rPr>
                <w:rFonts w:eastAsia="楷体_GB2312"/>
                <w:szCs w:val="21"/>
              </w:rPr>
            </w:pPr>
            <w:r>
              <w:rPr>
                <w:rFonts w:hint="eastAsia" w:eastAsia="楷体_GB2312"/>
                <w:szCs w:val="21"/>
              </w:rPr>
              <w:t>火车站</w:t>
            </w:r>
            <w:r>
              <w:rPr>
                <w:rFonts w:eastAsia="楷体_GB2312"/>
                <w:szCs w:val="21"/>
              </w:rPr>
              <w:t>编号</w:t>
            </w:r>
          </w:p>
        </w:tc>
        <w:tc>
          <w:tcPr>
            <w:tcW w:w="2401" w:type="dxa"/>
            <w:noWrap w:val="0"/>
            <w:vAlign w:val="center"/>
          </w:tcPr>
          <w:p w14:paraId="0BE74335">
            <w:pPr>
              <w:pStyle w:val="94"/>
              <w:spacing w:line="0" w:lineRule="atLeast"/>
              <w:jc w:val="center"/>
              <w:rPr>
                <w:rFonts w:eastAsia="楷体_GB2312"/>
                <w:szCs w:val="21"/>
              </w:rPr>
            </w:pPr>
            <w:r>
              <w:rPr>
                <w:rFonts w:hint="eastAsia" w:eastAsia="楷体_GB2312"/>
                <w:szCs w:val="21"/>
              </w:rPr>
              <w:t>火车站</w:t>
            </w:r>
            <w:r>
              <w:rPr>
                <w:rFonts w:eastAsia="楷体_GB2312"/>
                <w:szCs w:val="21"/>
              </w:rPr>
              <w:t>名称</w:t>
            </w:r>
          </w:p>
        </w:tc>
        <w:tc>
          <w:tcPr>
            <w:tcW w:w="1019" w:type="dxa"/>
            <w:noWrap w:val="0"/>
            <w:vAlign w:val="center"/>
          </w:tcPr>
          <w:p w14:paraId="02C597CD">
            <w:pPr>
              <w:spacing w:line="0" w:lineRule="atLeast"/>
              <w:jc w:val="center"/>
              <w:rPr>
                <w:rFonts w:eastAsia="楷体_GB2312"/>
                <w:szCs w:val="21"/>
              </w:rPr>
            </w:pPr>
            <w:r>
              <w:rPr>
                <w:rFonts w:eastAsia="楷体_GB2312"/>
                <w:szCs w:val="21"/>
              </w:rPr>
              <w:t>作用指数</w:t>
            </w:r>
          </w:p>
        </w:tc>
        <w:tc>
          <w:tcPr>
            <w:tcW w:w="637" w:type="dxa"/>
            <w:noWrap w:val="0"/>
            <w:vAlign w:val="center"/>
          </w:tcPr>
          <w:p w14:paraId="659BAA75">
            <w:pPr>
              <w:spacing w:line="0" w:lineRule="atLeast"/>
              <w:jc w:val="center"/>
              <w:rPr>
                <w:rFonts w:eastAsia="楷体_GB2312"/>
                <w:szCs w:val="21"/>
              </w:rPr>
            </w:pPr>
            <w:r>
              <w:rPr>
                <w:rFonts w:eastAsia="楷体_GB2312"/>
                <w:szCs w:val="21"/>
              </w:rPr>
              <w:t>级别</w:t>
            </w:r>
          </w:p>
        </w:tc>
        <w:tc>
          <w:tcPr>
            <w:tcW w:w="785" w:type="dxa"/>
            <w:noWrap w:val="0"/>
            <w:vAlign w:val="center"/>
          </w:tcPr>
          <w:p w14:paraId="1769F4E6">
            <w:pPr>
              <w:spacing w:line="0" w:lineRule="atLeast"/>
              <w:jc w:val="center"/>
              <w:rPr>
                <w:rFonts w:eastAsia="楷体_GB2312"/>
                <w:szCs w:val="21"/>
              </w:rPr>
            </w:pPr>
            <w:r>
              <w:rPr>
                <w:rFonts w:eastAsia="楷体_GB2312"/>
                <w:szCs w:val="21"/>
              </w:rPr>
              <w:t>功能分</w:t>
            </w:r>
          </w:p>
        </w:tc>
        <w:tc>
          <w:tcPr>
            <w:tcW w:w="1041" w:type="dxa"/>
            <w:noWrap w:val="0"/>
            <w:vAlign w:val="center"/>
          </w:tcPr>
          <w:p w14:paraId="0B024EF1">
            <w:pPr>
              <w:pStyle w:val="100"/>
              <w:widowControl w:val="0"/>
              <w:pBdr>
                <w:left w:val="none" w:color="auto" w:sz="0" w:space="0"/>
                <w:bottom w:val="none" w:color="auto" w:sz="0" w:space="0"/>
                <w:right w:val="none" w:color="auto" w:sz="0" w:space="0"/>
              </w:pBdr>
              <w:spacing w:before="0" w:beforeAutospacing="0" w:after="0" w:afterAutospacing="0" w:line="0" w:lineRule="atLeast"/>
              <w:jc w:val="center"/>
              <w:textAlignment w:val="auto"/>
              <w:rPr>
                <w:rFonts w:eastAsia="楷体_GB2312"/>
                <w:kern w:val="2"/>
              </w:rPr>
            </w:pPr>
            <w:r>
              <w:rPr>
                <w:rFonts w:eastAsia="楷体_GB2312"/>
                <w:kern w:val="2"/>
              </w:rPr>
              <w:t>影响半径（m）</w:t>
            </w:r>
          </w:p>
        </w:tc>
      </w:tr>
      <w:tr w14:paraId="32A72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802" w:type="dxa"/>
            <w:noWrap w:val="0"/>
            <w:vAlign w:val="center"/>
          </w:tcPr>
          <w:p w14:paraId="462C721C">
            <w:pPr>
              <w:tabs>
                <w:tab w:val="left" w:pos="0"/>
                <w:tab w:val="left" w:pos="295"/>
              </w:tabs>
              <w:jc w:val="center"/>
              <w:rPr>
                <w:rFonts w:eastAsia="楷体_GB2312"/>
                <w:szCs w:val="21"/>
              </w:rPr>
            </w:pPr>
            <w:r>
              <w:rPr>
                <w:rFonts w:eastAsia="楷体_GB2312"/>
                <w:szCs w:val="21"/>
              </w:rPr>
              <w:t>1</w:t>
            </w:r>
          </w:p>
        </w:tc>
        <w:tc>
          <w:tcPr>
            <w:tcW w:w="1408" w:type="dxa"/>
            <w:noWrap w:val="0"/>
            <w:vAlign w:val="center"/>
          </w:tcPr>
          <w:p w14:paraId="373EF396">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符离镇</w:t>
            </w:r>
          </w:p>
        </w:tc>
        <w:tc>
          <w:tcPr>
            <w:tcW w:w="1146" w:type="dxa"/>
            <w:noWrap w:val="0"/>
            <w:vAlign w:val="center"/>
          </w:tcPr>
          <w:p w14:paraId="6EFE6769">
            <w:pPr>
              <w:spacing w:line="0" w:lineRule="atLeast"/>
              <w:jc w:val="center"/>
              <w:rPr>
                <w:rFonts w:eastAsia="楷体_GB2312"/>
              </w:rPr>
            </w:pPr>
            <w:r>
              <w:rPr>
                <w:rFonts w:eastAsia="楷体_GB2312"/>
              </w:rPr>
              <w:t>01</w:t>
            </w:r>
          </w:p>
        </w:tc>
        <w:tc>
          <w:tcPr>
            <w:tcW w:w="2401" w:type="dxa"/>
            <w:noWrap w:val="0"/>
            <w:vAlign w:val="center"/>
          </w:tcPr>
          <w:p w14:paraId="3AE3A5E7">
            <w:pPr>
              <w:jc w:val="center"/>
              <w:rPr>
                <w:rFonts w:eastAsia="楷体_GB2312"/>
                <w:szCs w:val="21"/>
              </w:rPr>
            </w:pPr>
            <w:r>
              <w:rPr>
                <w:rFonts w:hint="eastAsia" w:eastAsia="楷体_GB2312"/>
                <w:szCs w:val="21"/>
              </w:rPr>
              <w:t>符离火车站</w:t>
            </w:r>
          </w:p>
        </w:tc>
        <w:tc>
          <w:tcPr>
            <w:tcW w:w="1019" w:type="dxa"/>
            <w:noWrap w:val="0"/>
            <w:vAlign w:val="center"/>
          </w:tcPr>
          <w:p w14:paraId="5406320C">
            <w:pPr>
              <w:spacing w:line="0" w:lineRule="atLeast"/>
              <w:jc w:val="center"/>
              <w:rPr>
                <w:rFonts w:eastAsia="楷体_GB2312"/>
                <w:szCs w:val="21"/>
              </w:rPr>
            </w:pPr>
            <w:r>
              <w:rPr>
                <w:rFonts w:eastAsia="楷体_GB2312"/>
                <w:szCs w:val="21"/>
              </w:rPr>
              <w:t>1</w:t>
            </w:r>
          </w:p>
        </w:tc>
        <w:tc>
          <w:tcPr>
            <w:tcW w:w="637" w:type="dxa"/>
            <w:noWrap w:val="0"/>
            <w:vAlign w:val="center"/>
          </w:tcPr>
          <w:p w14:paraId="31397DB9">
            <w:pPr>
              <w:spacing w:line="0" w:lineRule="atLeast"/>
              <w:jc w:val="center"/>
              <w:rPr>
                <w:rFonts w:eastAsia="楷体_GB2312"/>
                <w:szCs w:val="21"/>
              </w:rPr>
            </w:pPr>
            <w:r>
              <w:rPr>
                <w:rFonts w:eastAsia="楷体_GB2312"/>
                <w:szCs w:val="21"/>
              </w:rPr>
              <w:t>1</w:t>
            </w:r>
          </w:p>
        </w:tc>
        <w:tc>
          <w:tcPr>
            <w:tcW w:w="785" w:type="dxa"/>
            <w:noWrap w:val="0"/>
            <w:vAlign w:val="center"/>
          </w:tcPr>
          <w:p w14:paraId="5627499E">
            <w:pPr>
              <w:spacing w:line="0" w:lineRule="atLeast"/>
              <w:jc w:val="center"/>
              <w:rPr>
                <w:rFonts w:eastAsia="楷体_GB2312"/>
                <w:szCs w:val="21"/>
              </w:rPr>
            </w:pPr>
            <w:r>
              <w:rPr>
                <w:rFonts w:eastAsia="楷体_GB2312"/>
                <w:szCs w:val="21"/>
              </w:rPr>
              <w:t>100</w:t>
            </w:r>
          </w:p>
        </w:tc>
        <w:tc>
          <w:tcPr>
            <w:tcW w:w="1041" w:type="dxa"/>
            <w:noWrap w:val="0"/>
            <w:vAlign w:val="center"/>
          </w:tcPr>
          <w:p w14:paraId="7B3BF041">
            <w:pPr>
              <w:jc w:val="center"/>
              <w:rPr>
                <w:rFonts w:eastAsia="楷体_GB2312"/>
              </w:rPr>
            </w:pPr>
            <w:r>
              <w:rPr>
                <w:rFonts w:hint="eastAsia" w:eastAsia="楷体_GB2312"/>
              </w:rPr>
              <w:t>3800</w:t>
            </w:r>
          </w:p>
        </w:tc>
      </w:tr>
      <w:tr w14:paraId="52BCF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02" w:type="dxa"/>
            <w:noWrap w:val="0"/>
            <w:vAlign w:val="center"/>
          </w:tcPr>
          <w:p w14:paraId="6B1B9AE6">
            <w:pPr>
              <w:tabs>
                <w:tab w:val="left" w:pos="0"/>
                <w:tab w:val="left" w:pos="295"/>
              </w:tabs>
              <w:jc w:val="center"/>
              <w:rPr>
                <w:rFonts w:eastAsia="楷体_GB2312"/>
                <w:szCs w:val="21"/>
              </w:rPr>
            </w:pPr>
            <w:r>
              <w:rPr>
                <w:rFonts w:eastAsia="楷体_GB2312"/>
                <w:szCs w:val="21"/>
              </w:rPr>
              <w:t>2</w:t>
            </w:r>
          </w:p>
        </w:tc>
        <w:tc>
          <w:tcPr>
            <w:tcW w:w="1408" w:type="dxa"/>
            <w:noWrap w:val="0"/>
            <w:vAlign w:val="center"/>
          </w:tcPr>
          <w:p w14:paraId="0E839C9A">
            <w:pPr>
              <w:pStyle w:val="20"/>
              <w:tabs>
                <w:tab w:val="left" w:pos="0"/>
                <w:tab w:val="left" w:pos="295"/>
              </w:tabs>
              <w:jc w:val="center"/>
              <w:rPr>
                <w:rFonts w:ascii="Times New Roman" w:hAnsi="Times New Roman" w:eastAsia="楷体_GB2312" w:cs="Times New Roman"/>
              </w:rPr>
            </w:pPr>
            <w:r>
              <w:rPr>
                <w:rFonts w:hint="eastAsia" w:ascii="Times New Roman" w:hAnsi="Times New Roman" w:eastAsia="楷体_GB2312" w:cs="Times New Roman"/>
              </w:rPr>
              <w:t>曹村镇</w:t>
            </w:r>
          </w:p>
        </w:tc>
        <w:tc>
          <w:tcPr>
            <w:tcW w:w="1146" w:type="dxa"/>
            <w:noWrap w:val="0"/>
            <w:vAlign w:val="center"/>
          </w:tcPr>
          <w:p w14:paraId="6053FA55">
            <w:pPr>
              <w:spacing w:line="0" w:lineRule="atLeast"/>
              <w:jc w:val="center"/>
              <w:rPr>
                <w:rFonts w:eastAsia="楷体_GB2312"/>
              </w:rPr>
            </w:pPr>
            <w:r>
              <w:rPr>
                <w:rFonts w:eastAsia="楷体_GB2312"/>
              </w:rPr>
              <w:t>01</w:t>
            </w:r>
          </w:p>
        </w:tc>
        <w:tc>
          <w:tcPr>
            <w:tcW w:w="2401" w:type="dxa"/>
            <w:noWrap w:val="0"/>
            <w:vAlign w:val="center"/>
          </w:tcPr>
          <w:p w14:paraId="66EA2CEC">
            <w:pPr>
              <w:jc w:val="center"/>
              <w:rPr>
                <w:rFonts w:eastAsia="楷体_GB2312"/>
                <w:szCs w:val="21"/>
              </w:rPr>
            </w:pPr>
            <w:r>
              <w:rPr>
                <w:rFonts w:hint="eastAsia" w:eastAsia="楷体_GB2312"/>
                <w:szCs w:val="21"/>
              </w:rPr>
              <w:t>曹村火车站</w:t>
            </w:r>
          </w:p>
        </w:tc>
        <w:tc>
          <w:tcPr>
            <w:tcW w:w="1019" w:type="dxa"/>
            <w:noWrap w:val="0"/>
            <w:vAlign w:val="center"/>
          </w:tcPr>
          <w:p w14:paraId="622D96F8">
            <w:pPr>
              <w:pStyle w:val="150"/>
              <w:rPr>
                <w:rFonts w:eastAsia="楷体_GB2312"/>
                <w:szCs w:val="21"/>
              </w:rPr>
            </w:pPr>
            <w:r>
              <w:rPr>
                <w:rFonts w:eastAsia="楷体_GB2312"/>
                <w:szCs w:val="21"/>
              </w:rPr>
              <w:t>1</w:t>
            </w:r>
          </w:p>
        </w:tc>
        <w:tc>
          <w:tcPr>
            <w:tcW w:w="637" w:type="dxa"/>
            <w:noWrap w:val="0"/>
            <w:vAlign w:val="center"/>
          </w:tcPr>
          <w:p w14:paraId="58601937">
            <w:pPr>
              <w:spacing w:line="0" w:lineRule="atLeast"/>
              <w:jc w:val="center"/>
              <w:rPr>
                <w:rFonts w:eastAsia="楷体_GB2312"/>
                <w:szCs w:val="21"/>
              </w:rPr>
            </w:pPr>
            <w:r>
              <w:rPr>
                <w:rFonts w:eastAsia="楷体_GB2312"/>
                <w:szCs w:val="21"/>
              </w:rPr>
              <w:t>1</w:t>
            </w:r>
          </w:p>
        </w:tc>
        <w:tc>
          <w:tcPr>
            <w:tcW w:w="785" w:type="dxa"/>
            <w:noWrap w:val="0"/>
            <w:vAlign w:val="center"/>
          </w:tcPr>
          <w:p w14:paraId="498274DC">
            <w:pPr>
              <w:spacing w:line="0" w:lineRule="atLeast"/>
              <w:jc w:val="center"/>
              <w:rPr>
                <w:rFonts w:eastAsia="楷体_GB2312"/>
                <w:szCs w:val="21"/>
              </w:rPr>
            </w:pPr>
            <w:r>
              <w:rPr>
                <w:rFonts w:eastAsia="楷体_GB2312"/>
                <w:szCs w:val="21"/>
              </w:rPr>
              <w:t>100</w:t>
            </w:r>
          </w:p>
        </w:tc>
        <w:tc>
          <w:tcPr>
            <w:tcW w:w="1041" w:type="dxa"/>
            <w:noWrap w:val="0"/>
            <w:vAlign w:val="center"/>
          </w:tcPr>
          <w:p w14:paraId="1F1F9C59">
            <w:pPr>
              <w:spacing w:line="0" w:lineRule="atLeast"/>
              <w:jc w:val="center"/>
              <w:rPr>
                <w:rFonts w:eastAsia="楷体_GB2312"/>
                <w:szCs w:val="21"/>
              </w:rPr>
            </w:pPr>
            <w:r>
              <w:rPr>
                <w:rFonts w:hint="eastAsia" w:eastAsia="楷体_GB2312"/>
                <w:szCs w:val="21"/>
              </w:rPr>
              <w:t>2500</w:t>
            </w:r>
          </w:p>
        </w:tc>
      </w:tr>
      <w:tr w14:paraId="6938E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802" w:type="dxa"/>
            <w:noWrap w:val="0"/>
            <w:vAlign w:val="center"/>
          </w:tcPr>
          <w:p w14:paraId="28658FA2">
            <w:pPr>
              <w:tabs>
                <w:tab w:val="left" w:pos="0"/>
                <w:tab w:val="left" w:pos="295"/>
              </w:tabs>
              <w:jc w:val="center"/>
              <w:rPr>
                <w:rFonts w:eastAsia="楷体_GB2312"/>
                <w:szCs w:val="21"/>
              </w:rPr>
            </w:pPr>
            <w:r>
              <w:rPr>
                <w:rFonts w:eastAsia="楷体_GB2312"/>
                <w:szCs w:val="21"/>
              </w:rPr>
              <w:t>3</w:t>
            </w:r>
          </w:p>
        </w:tc>
        <w:tc>
          <w:tcPr>
            <w:tcW w:w="1408" w:type="dxa"/>
            <w:noWrap w:val="0"/>
            <w:vAlign w:val="center"/>
          </w:tcPr>
          <w:p w14:paraId="3D8B2BD7">
            <w:pPr>
              <w:pStyle w:val="20"/>
              <w:tabs>
                <w:tab w:val="left" w:pos="0"/>
                <w:tab w:val="left" w:pos="295"/>
              </w:tabs>
              <w:jc w:val="center"/>
              <w:rPr>
                <w:rFonts w:ascii="Times New Roman" w:hAnsi="Times New Roman" w:eastAsia="楷体_GB2312" w:cs="Times New Roman"/>
              </w:rPr>
            </w:pPr>
            <w:r>
              <w:rPr>
                <w:rFonts w:hint="eastAsia" w:ascii="Times New Roman" w:hAnsi="Times New Roman" w:eastAsia="楷体_GB2312" w:cs="Times New Roman"/>
              </w:rPr>
              <w:t>大泽乡镇</w:t>
            </w:r>
          </w:p>
        </w:tc>
        <w:tc>
          <w:tcPr>
            <w:tcW w:w="1146" w:type="dxa"/>
            <w:noWrap w:val="0"/>
            <w:vAlign w:val="center"/>
          </w:tcPr>
          <w:p w14:paraId="467BE344">
            <w:pPr>
              <w:spacing w:line="0" w:lineRule="atLeast"/>
              <w:jc w:val="center"/>
              <w:rPr>
                <w:rFonts w:eastAsia="楷体_GB2312"/>
              </w:rPr>
            </w:pPr>
            <w:r>
              <w:rPr>
                <w:rFonts w:eastAsia="楷体_GB2312"/>
              </w:rPr>
              <w:t>01</w:t>
            </w:r>
          </w:p>
        </w:tc>
        <w:tc>
          <w:tcPr>
            <w:tcW w:w="2401" w:type="dxa"/>
            <w:noWrap w:val="0"/>
            <w:vAlign w:val="center"/>
          </w:tcPr>
          <w:p w14:paraId="53AE75B6">
            <w:pPr>
              <w:jc w:val="center"/>
              <w:rPr>
                <w:rFonts w:eastAsia="楷体_GB2312"/>
                <w:szCs w:val="21"/>
              </w:rPr>
            </w:pPr>
            <w:r>
              <w:rPr>
                <w:rFonts w:hint="eastAsia" w:eastAsia="楷体_GB2312"/>
                <w:szCs w:val="21"/>
              </w:rPr>
              <w:t>西寺坡火车站</w:t>
            </w:r>
          </w:p>
        </w:tc>
        <w:tc>
          <w:tcPr>
            <w:tcW w:w="1019" w:type="dxa"/>
            <w:noWrap w:val="0"/>
            <w:vAlign w:val="center"/>
          </w:tcPr>
          <w:p w14:paraId="63BA68DA">
            <w:pPr>
              <w:spacing w:line="0" w:lineRule="atLeast"/>
              <w:jc w:val="center"/>
              <w:rPr>
                <w:rFonts w:eastAsia="楷体_GB2312"/>
                <w:szCs w:val="21"/>
              </w:rPr>
            </w:pPr>
            <w:r>
              <w:rPr>
                <w:rFonts w:eastAsia="楷体_GB2312"/>
                <w:szCs w:val="21"/>
              </w:rPr>
              <w:t>1</w:t>
            </w:r>
          </w:p>
        </w:tc>
        <w:tc>
          <w:tcPr>
            <w:tcW w:w="637" w:type="dxa"/>
            <w:noWrap w:val="0"/>
            <w:vAlign w:val="center"/>
          </w:tcPr>
          <w:p w14:paraId="1E3EA50E">
            <w:pPr>
              <w:spacing w:line="0" w:lineRule="atLeast"/>
              <w:jc w:val="center"/>
              <w:rPr>
                <w:rFonts w:eastAsia="楷体_GB2312"/>
                <w:szCs w:val="21"/>
              </w:rPr>
            </w:pPr>
            <w:r>
              <w:rPr>
                <w:rFonts w:eastAsia="楷体_GB2312"/>
                <w:szCs w:val="21"/>
              </w:rPr>
              <w:t>1</w:t>
            </w:r>
          </w:p>
        </w:tc>
        <w:tc>
          <w:tcPr>
            <w:tcW w:w="785" w:type="dxa"/>
            <w:noWrap w:val="0"/>
            <w:vAlign w:val="center"/>
          </w:tcPr>
          <w:p w14:paraId="121DABCC">
            <w:pPr>
              <w:spacing w:line="0" w:lineRule="atLeast"/>
              <w:jc w:val="center"/>
              <w:rPr>
                <w:rFonts w:eastAsia="楷体_GB2312"/>
                <w:szCs w:val="21"/>
              </w:rPr>
            </w:pPr>
            <w:r>
              <w:rPr>
                <w:rFonts w:eastAsia="楷体_GB2312"/>
                <w:szCs w:val="21"/>
              </w:rPr>
              <w:t>100</w:t>
            </w:r>
          </w:p>
        </w:tc>
        <w:tc>
          <w:tcPr>
            <w:tcW w:w="1041" w:type="dxa"/>
            <w:noWrap w:val="0"/>
            <w:vAlign w:val="center"/>
          </w:tcPr>
          <w:p w14:paraId="094F3FC2">
            <w:pPr>
              <w:jc w:val="center"/>
              <w:rPr>
                <w:rFonts w:eastAsia="楷体_GB2312"/>
              </w:rPr>
            </w:pPr>
            <w:r>
              <w:rPr>
                <w:rFonts w:hint="eastAsia" w:eastAsia="楷体_GB2312"/>
              </w:rPr>
              <w:t>1900</w:t>
            </w:r>
          </w:p>
        </w:tc>
      </w:tr>
    </w:tbl>
    <w:p w14:paraId="6F4058AC">
      <w:pPr>
        <w:pStyle w:val="20"/>
        <w:spacing w:line="480" w:lineRule="exact"/>
        <w:ind w:firstLine="560" w:firstLineChars="200"/>
        <w:rPr>
          <w:rFonts w:ascii="Times New Roman" w:hAnsi="Times New Roman" w:eastAsia="楷体_GB2312" w:cs="Times New Roman"/>
          <w:sz w:val="28"/>
        </w:rPr>
      </w:pPr>
    </w:p>
    <w:p w14:paraId="79505921">
      <w:pPr>
        <w:pStyle w:val="4"/>
        <w:numPr>
          <w:ilvl w:val="0"/>
          <w:numId w:val="0"/>
        </w:numPr>
        <w:spacing w:line="380" w:lineRule="exact"/>
        <w:jc w:val="center"/>
        <w:rPr>
          <w:rFonts w:eastAsia="仿宋_GB2312"/>
          <w:bCs w:val="0"/>
        </w:rPr>
      </w:pPr>
      <w:r>
        <w:rPr>
          <w:rFonts w:eastAsia="仿宋_GB2312"/>
          <w:bCs w:val="0"/>
        </w:rPr>
        <w:t>第四节  基础设施完善度定量化处理</w:t>
      </w:r>
      <w:bookmarkEnd w:id="36"/>
      <w:bookmarkEnd w:id="37"/>
    </w:p>
    <w:p w14:paraId="715EA430">
      <w:pPr>
        <w:pStyle w:val="20"/>
        <w:spacing w:line="480" w:lineRule="exact"/>
        <w:ind w:firstLine="700" w:firstLineChars="250"/>
        <w:rPr>
          <w:rFonts w:ascii="Times New Roman" w:hAnsi="Times New Roman" w:eastAsia="楷体_GB2312" w:cs="Times New Roman"/>
          <w:sz w:val="28"/>
        </w:rPr>
      </w:pPr>
      <w:r>
        <w:rPr>
          <w:rFonts w:ascii="Times New Roman" w:hAnsi="Times New Roman" w:eastAsia="楷体_GB2312" w:cs="Times New Roman"/>
          <w:sz w:val="28"/>
        </w:rPr>
        <w:t>基础设施完善度是指供电、供水、排水、电讯、供气等设施的完善程度。它主要反映某一类基础设施与日常生活、生产的密切程度，完善度指数与各类基础设施作用大小成正比，是反映土地质量优劣度的重要标志。基础设施的完善程度一般可以从三个方面来衡量，即设施类型是否齐备、设施水平的高低以及保证率的高低。</w:t>
      </w:r>
    </w:p>
    <w:p w14:paraId="5F2E1CC3">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在</w:t>
      </w:r>
      <w:r>
        <w:rPr>
          <w:rFonts w:hint="eastAsia" w:ascii="楷体" w:hAnsi="楷体" w:eastAsia="楷体" w:cs="楷体_GB2312"/>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各乡镇镇区均无供气设施，故不考虑其对土地质量的影响；电讯设施在各评价区内基本无差异，也不考虑其对土地质量的影响。本次定级基础设施完善度根据各乡镇区实际情况，仅考虑供电、供水、排水三个因子。</w:t>
      </w:r>
    </w:p>
    <w:p w14:paraId="76B4508B">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一、供电设施作用分的确定</w:t>
      </w:r>
    </w:p>
    <w:p w14:paraId="3C058688">
      <w:pPr>
        <w:pStyle w:val="20"/>
        <w:spacing w:line="480" w:lineRule="exact"/>
        <w:ind w:firstLine="700" w:firstLineChars="250"/>
        <w:rPr>
          <w:rFonts w:ascii="Times New Roman" w:hAnsi="Times New Roman" w:eastAsia="楷体_GB2312" w:cs="Times New Roman"/>
          <w:sz w:val="28"/>
        </w:rPr>
      </w:pPr>
      <w:r>
        <w:rPr>
          <w:rFonts w:ascii="Times New Roman" w:hAnsi="Times New Roman" w:eastAsia="楷体_GB2312" w:cs="Times New Roman"/>
          <w:sz w:val="28"/>
        </w:rPr>
        <w:t>根据本次外业调查所收集的供电方面的资料和《城镇土地分等定级规程》规定，供电设施作用分的确定过程如下：</w:t>
      </w:r>
    </w:p>
    <w:p w14:paraId="2704F098">
      <w:pPr>
        <w:pStyle w:val="20"/>
        <w:spacing w:line="480" w:lineRule="exact"/>
        <w:ind w:firstLine="700" w:firstLineChars="250"/>
        <w:rPr>
          <w:rFonts w:ascii="Times New Roman" w:hAnsi="Times New Roman" w:eastAsia="楷体_GB2312" w:cs="Times New Roman"/>
          <w:sz w:val="28"/>
        </w:rPr>
      </w:pPr>
      <w:r>
        <w:rPr>
          <w:rFonts w:ascii="Times New Roman" w:hAnsi="Times New Roman" w:cs="Times New Roman"/>
          <w:sz w:val="28"/>
        </w:rPr>
        <w:t>1、</w:t>
      </w:r>
      <w:r>
        <w:rPr>
          <w:rFonts w:ascii="Times New Roman" w:hAnsi="Times New Roman" w:eastAsia="楷体_GB2312" w:cs="Times New Roman"/>
          <w:sz w:val="28"/>
        </w:rPr>
        <w:t>根据各乡镇供电的实际情况，结合供电容量与用电负荷状况和其它相关统计资料，将定级范围划分成3个不同的供电评价区域，见表1-3-17。</w:t>
      </w:r>
    </w:p>
    <w:p w14:paraId="35F84269">
      <w:pPr>
        <w:pStyle w:val="20"/>
        <w:spacing w:line="480" w:lineRule="exact"/>
        <w:ind w:firstLine="700" w:firstLineChars="250"/>
        <w:rPr>
          <w:rFonts w:ascii="Times New Roman" w:hAnsi="Times New Roman" w:eastAsia="楷体_GB2312" w:cs="Times New Roman"/>
          <w:sz w:val="28"/>
        </w:rPr>
      </w:pPr>
      <w:r>
        <w:rPr>
          <w:rFonts w:ascii="Times New Roman" w:hAnsi="Times New Roman" w:cs="Times New Roman"/>
          <w:sz w:val="28"/>
        </w:rPr>
        <w:t>2、</w:t>
      </w:r>
      <w:r>
        <w:rPr>
          <w:rFonts w:ascii="Times New Roman" w:hAnsi="Times New Roman" w:eastAsia="楷体_GB2312" w:cs="Times New Roman"/>
          <w:sz w:val="28"/>
        </w:rPr>
        <w:t>根据供电方面的有关资料，依据供电设施完善水平1（用水平系数表示）</w:t>
      </w:r>
      <w:r>
        <w:rPr>
          <w:rFonts w:ascii="Times New Roman" w:hAnsi="Times New Roman" w:eastAsia="楷体_GB2312" w:cs="Times New Roman"/>
          <w:position w:val="-14"/>
          <w:sz w:val="28"/>
        </w:rPr>
        <w:object>
          <v:shape id="_x0000_i1048" o:spt="75" type="#_x0000_t75" style="height:20pt;width:20pt;" o:ole="t" filled="f" o:preferrelative="t" stroked="f" coordsize="21600,21600">
            <v:path/>
            <v:fill on="f" alignshape="1" focussize="0,0"/>
            <v:stroke on="f"/>
            <v:imagedata r:id="rId75" o:title=""/>
            <o:lock v:ext="edit" aspectratio="t"/>
            <w10:wrap type="none"/>
            <w10:anchorlock/>
          </v:shape>
          <o:OLEObject Type="Embed" ProgID="Equation.3" ShapeID="_x0000_i1048" DrawAspect="Content" ObjectID="_1468075748" r:id="rId74">
            <o:LockedField>false</o:LockedField>
          </o:OLEObject>
        </w:object>
      </w:r>
      <w:r>
        <w:rPr>
          <w:rFonts w:ascii="Times New Roman" w:hAnsi="Times New Roman" w:eastAsia="楷体_GB2312" w:cs="Times New Roman"/>
          <w:sz w:val="28"/>
        </w:rPr>
        <w:t>和供电保证率</w:t>
      </w:r>
      <w:r>
        <w:rPr>
          <w:rFonts w:ascii="Times New Roman" w:hAnsi="Times New Roman" w:eastAsia="楷体_GB2312" w:cs="Times New Roman"/>
          <w:position w:val="-14"/>
          <w:sz w:val="28"/>
        </w:rPr>
        <w:object>
          <v:shape id="_x0000_i1049" o:spt="75" type="#_x0000_t75" style="height:20pt;width:21pt;" o:ole="t" filled="f" o:preferrelative="t" stroked="f" coordsize="21600,21600">
            <v:path/>
            <v:fill on="f" alignshape="1" focussize="0,0"/>
            <v:stroke on="f"/>
            <v:imagedata r:id="rId77" o:title=""/>
            <o:lock v:ext="edit" aspectratio="t"/>
            <w10:wrap type="none"/>
            <w10:anchorlock/>
          </v:shape>
          <o:OLEObject Type="Embed" ProgID="Equation.3" ShapeID="_x0000_i1049" DrawAspect="Content" ObjectID="_1468075749" r:id="rId76">
            <o:LockedField>false</o:LockedField>
          </o:OLEObject>
        </w:object>
      </w:r>
      <w:r>
        <w:rPr>
          <w:rFonts w:ascii="Times New Roman" w:hAnsi="Times New Roman" w:eastAsia="楷体_GB2312" w:cs="Times New Roman"/>
          <w:sz w:val="28"/>
        </w:rPr>
        <w:t xml:space="preserve">。 </w:t>
      </w:r>
    </w:p>
    <w:p w14:paraId="1DE93671">
      <w:pPr>
        <w:pStyle w:val="20"/>
        <w:spacing w:line="480" w:lineRule="exact"/>
        <w:ind w:firstLine="700" w:firstLineChars="250"/>
        <w:rPr>
          <w:rFonts w:ascii="Times New Roman" w:hAnsi="Times New Roman" w:eastAsia="楷体_GB2312" w:cs="Times New Roman"/>
          <w:sz w:val="28"/>
        </w:rPr>
      </w:pPr>
      <w:r>
        <w:rPr>
          <w:rFonts w:ascii="Times New Roman" w:hAnsi="Times New Roman" w:eastAsia="楷体_GB2312" w:cs="Times New Roman"/>
          <w:sz w:val="28"/>
        </w:rPr>
        <w:t>3、供电作用指数反映供电与日常生活、工作的密切程度，指数与各类基础设施作用大小呈正比，可参照确定因素权重的方法进行计算，数值在0-1之间，各指数值之和等于1。</w:t>
      </w:r>
    </w:p>
    <w:p w14:paraId="1FF12126">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因本次</w:t>
      </w:r>
      <w:r>
        <w:rPr>
          <w:rFonts w:hint="eastAsia" w:ascii="楷体" w:hAnsi="楷体" w:eastAsia="楷体" w:cs="楷体_GB2312"/>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乡镇基础设施包含供电、供水、排水三个因子，所以根据规程参照确定因素权重，则供电的作用指数符离镇、大泽乡镇、曹村镇为0.3514，朱仙庄镇等</w:t>
      </w:r>
      <w:r>
        <w:rPr>
          <w:rFonts w:hint="eastAsia" w:ascii="Times New Roman" w:hAnsi="Times New Roman" w:eastAsia="楷体_GB2312" w:cs="Times New Roman"/>
          <w:sz w:val="28"/>
        </w:rPr>
        <w:t>19</w:t>
      </w:r>
      <w:r>
        <w:rPr>
          <w:rFonts w:ascii="Times New Roman" w:hAnsi="Times New Roman" w:eastAsia="楷体_GB2312" w:cs="Times New Roman"/>
          <w:sz w:val="28"/>
        </w:rPr>
        <w:t>个乡镇为0.3715。</w:t>
      </w:r>
    </w:p>
    <w:p w14:paraId="041F4CDB">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4、各评价区域供电设施作用指数的计算</w:t>
      </w:r>
    </w:p>
    <w:p w14:paraId="30CFFE0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按公式1-3-</w:t>
      </w:r>
      <w:r>
        <w:rPr>
          <w:rFonts w:hint="eastAsia" w:ascii="Times New Roman" w:hAnsi="Times New Roman" w:eastAsia="楷体_GB2312" w:cs="Times New Roman"/>
          <w:sz w:val="28"/>
        </w:rPr>
        <w:t>2</w:t>
      </w:r>
      <w:r>
        <w:rPr>
          <w:rFonts w:ascii="Times New Roman" w:hAnsi="Times New Roman" w:eastAsia="楷体_GB2312" w:cs="Times New Roman"/>
          <w:sz w:val="28"/>
        </w:rPr>
        <w:t>，计算评价区域供电设施完善度作用分</w:t>
      </w:r>
      <w:r>
        <w:rPr>
          <w:rFonts w:ascii="Times New Roman" w:hAnsi="Times New Roman" w:eastAsia="楷体_GB2312" w:cs="Times New Roman"/>
          <w:position w:val="-14"/>
          <w:sz w:val="28"/>
        </w:rPr>
        <w:object>
          <v:shape id="_x0000_i1050" o:spt="75" type="#_x0000_t75" style="height:20pt;width:13pt;" o:ole="t" filled="f" o:preferrelative="t" stroked="f" coordsize="21600,21600">
            <v:path/>
            <v:fill on="f" alignshape="1" focussize="0,0"/>
            <v:stroke on="f"/>
            <v:imagedata r:id="rId79" o:title=""/>
            <o:lock v:ext="edit" aspectratio="t"/>
            <w10:wrap type="none"/>
            <w10:anchorlock/>
          </v:shape>
          <o:OLEObject Type="Embed" ProgID="Equation.3" ShapeID="_x0000_i1050" DrawAspect="Content" ObjectID="_1468075750" r:id="rId78">
            <o:LockedField>false</o:LockedField>
          </o:OLEObject>
        </w:object>
      </w:r>
      <w:r>
        <w:rPr>
          <w:rFonts w:ascii="Times New Roman" w:hAnsi="Times New Roman" w:eastAsia="楷体_GB2312" w:cs="Times New Roman"/>
          <w:sz w:val="28"/>
        </w:rPr>
        <w:t>。</w:t>
      </w:r>
    </w:p>
    <w:p w14:paraId="26BF0D23">
      <w:pPr>
        <w:pStyle w:val="20"/>
        <w:spacing w:line="480" w:lineRule="exact"/>
        <w:ind w:firstLine="1400" w:firstLineChars="500"/>
        <w:rPr>
          <w:rFonts w:ascii="Times New Roman" w:hAnsi="Times New Roman" w:eastAsia="楷体_GB2312" w:cs="Times New Roman"/>
          <w:sz w:val="28"/>
        </w:rPr>
      </w:pPr>
      <w:r>
        <w:rPr>
          <w:rFonts w:ascii="Times New Roman" w:hAnsi="Times New Roman" w:eastAsia="楷体_GB2312" w:cs="Times New Roman"/>
          <w:sz w:val="28"/>
        </w:rPr>
        <w:t>公式1-3-</w:t>
      </w:r>
      <w:r>
        <w:rPr>
          <w:rFonts w:hint="eastAsia" w:ascii="Times New Roman" w:hAnsi="Times New Roman" w:eastAsia="楷体_GB2312" w:cs="Times New Roman"/>
          <w:sz w:val="28"/>
        </w:rPr>
        <w:t>2</w:t>
      </w:r>
      <w:r>
        <w:rPr>
          <w:rFonts w:ascii="Times New Roman" w:hAnsi="Times New Roman" w:eastAsia="楷体_GB2312" w:cs="Times New Roman"/>
          <w:sz w:val="28"/>
        </w:rPr>
        <w:t>：</w:t>
      </w:r>
      <w:r>
        <w:rPr>
          <w:rFonts w:ascii="Times New Roman" w:hAnsi="Times New Roman" w:eastAsia="楷体_GB2312" w:cs="Times New Roman"/>
          <w:position w:val="-14"/>
          <w:sz w:val="28"/>
        </w:rPr>
        <w:object>
          <v:shape id="_x0000_i1051" o:spt="75" type="#_x0000_t75" style="height:20pt;width:114pt;" o:ole="t" filled="f" o:preferrelative="t" stroked="f" coordsize="21600,21600">
            <v:path/>
            <v:fill on="f" alignshape="1" focussize="0,0"/>
            <v:stroke on="f"/>
            <v:imagedata r:id="rId81" o:title=""/>
            <o:lock v:ext="edit" aspectratio="t"/>
            <w10:wrap type="none"/>
            <w10:anchorlock/>
          </v:shape>
          <o:OLEObject Type="Embed" ProgID="Equation.3" ShapeID="_x0000_i1051" DrawAspect="Content" ObjectID="_1468075751" r:id="rId80">
            <o:LockedField>false</o:LockedField>
          </o:OLEObject>
        </w:object>
      </w:r>
    </w:p>
    <w:p w14:paraId="39508146">
      <w:pPr>
        <w:pStyle w:val="20"/>
        <w:spacing w:line="480" w:lineRule="exact"/>
        <w:ind w:firstLine="1400" w:firstLineChars="500"/>
        <w:rPr>
          <w:rFonts w:ascii="Times New Roman" w:hAnsi="Times New Roman" w:eastAsia="楷体_GB2312" w:cs="Times New Roman"/>
          <w:sz w:val="28"/>
        </w:rPr>
      </w:pPr>
      <w:r>
        <w:rPr>
          <w:rFonts w:ascii="Times New Roman" w:hAnsi="Times New Roman" w:eastAsia="楷体_GB2312" w:cs="Times New Roman"/>
          <w:sz w:val="28"/>
        </w:rPr>
        <w:t>式中：</w:t>
      </w:r>
      <w:r>
        <w:rPr>
          <w:rFonts w:ascii="Times New Roman" w:hAnsi="Times New Roman" w:eastAsia="楷体_GB2312" w:cs="Times New Roman"/>
          <w:position w:val="-14"/>
        </w:rPr>
        <w:object>
          <v:shape id="_x0000_i1052" o:spt="75" type="#_x0000_t75" style="height:20pt;width:13pt;" o:ole="t" filled="f" stroked="f" coordsize="21600,21600">
            <v:path/>
            <v:fill on="f" focussize="0,0"/>
            <v:stroke on="f"/>
            <v:imagedata r:id="rId83" o:title=""/>
            <o:lock v:ext="edit" aspectratio="t"/>
            <w10:wrap type="none"/>
            <w10:anchorlock/>
          </v:shape>
          <o:OLEObject Type="Embed" ProgID="Equation.3" ShapeID="_x0000_i1052" DrawAspect="Content" ObjectID="_1468075752" r:id="rId82">
            <o:LockedField>false</o:LockedField>
          </o:OLEObject>
        </w:object>
      </w:r>
      <w:r>
        <w:rPr>
          <w:rFonts w:ascii="Times New Roman" w:hAnsi="Times New Roman" w:eastAsia="楷体_GB2312" w:cs="Times New Roman"/>
          <w:sz w:val="28"/>
        </w:rPr>
        <w:t>－i类基础设施在j区域的完善度作用分；</w:t>
      </w:r>
    </w:p>
    <w:p w14:paraId="05EF6647">
      <w:pPr>
        <w:pStyle w:val="20"/>
        <w:spacing w:line="480" w:lineRule="exact"/>
        <w:ind w:firstLine="2205" w:firstLineChars="1050"/>
        <w:rPr>
          <w:rFonts w:ascii="Times New Roman" w:hAnsi="Times New Roman" w:eastAsia="楷体_GB2312" w:cs="Times New Roman"/>
        </w:rPr>
      </w:pPr>
      <w:r>
        <w:rPr>
          <w:rFonts w:ascii="Times New Roman" w:hAnsi="Times New Roman" w:eastAsia="楷体_GB2312" w:cs="Times New Roman"/>
          <w:position w:val="-12"/>
        </w:rPr>
        <w:object>
          <v:shape id="_x0000_i1053" o:spt="75" type="#_x0000_t75" style="height:19pt;width:13.95pt;" o:ole="t" filled="f" stroked="f" coordsize="21600,21600">
            <v:path/>
            <v:fill on="f" focussize="0,0"/>
            <v:stroke on="f"/>
            <v:imagedata r:id="rId85" o:title=""/>
            <o:lock v:ext="edit" aspectratio="t"/>
            <w10:wrap type="none"/>
            <w10:anchorlock/>
          </v:shape>
          <o:OLEObject Type="Embed" ProgID="Equation.3" ShapeID="_x0000_i1053" DrawAspect="Content" ObjectID="_1468075753" r:id="rId84">
            <o:LockedField>false</o:LockedField>
          </o:OLEObject>
        </w:object>
      </w:r>
      <w:r>
        <w:rPr>
          <w:rFonts w:ascii="Times New Roman" w:hAnsi="Times New Roman" w:eastAsia="楷体_GB2312" w:cs="Times New Roman"/>
          <w:sz w:val="28"/>
        </w:rPr>
        <w:t>－i类基础设施的作用指数；</w:t>
      </w:r>
    </w:p>
    <w:p w14:paraId="516C1E64">
      <w:pPr>
        <w:pStyle w:val="20"/>
        <w:spacing w:line="480" w:lineRule="exact"/>
        <w:ind w:firstLine="2205" w:firstLineChars="1050"/>
        <w:rPr>
          <w:rFonts w:ascii="Times New Roman" w:hAnsi="Times New Roman" w:eastAsia="楷体_GB2312" w:cs="Times New Roman"/>
          <w:sz w:val="28"/>
        </w:rPr>
      </w:pPr>
      <w:r>
        <w:rPr>
          <w:rFonts w:ascii="Times New Roman" w:hAnsi="Times New Roman" w:eastAsia="楷体_GB2312" w:cs="Times New Roman"/>
          <w:position w:val="-14"/>
        </w:rPr>
        <w:object>
          <v:shape id="_x0000_i1054" o:spt="75" type="#_x0000_t75" style="height:20pt;width:19pt;" o:ole="t" filled="f" stroked="f" coordsize="21600,21600">
            <v:path/>
            <v:fill on="f" focussize="0,0"/>
            <v:stroke on="f"/>
            <v:imagedata r:id="rId87" o:title=""/>
            <o:lock v:ext="edit" aspectratio="t"/>
            <w10:wrap type="none"/>
            <w10:anchorlock/>
          </v:shape>
          <o:OLEObject Type="Embed" ProgID="Equation.3" ShapeID="_x0000_i1054" DrawAspect="Content" ObjectID="_1468075754" r:id="rId86">
            <o:LockedField>false</o:LockedField>
          </o:OLEObject>
        </w:object>
      </w:r>
      <w:r>
        <w:rPr>
          <w:rFonts w:ascii="Times New Roman" w:hAnsi="Times New Roman" w:eastAsia="楷体_GB2312" w:cs="Times New Roman"/>
          <w:sz w:val="28"/>
        </w:rPr>
        <w:t>－i类基础设施在j区域水平系数；</w:t>
      </w:r>
    </w:p>
    <w:p w14:paraId="43C065C5">
      <w:pPr>
        <w:pStyle w:val="20"/>
        <w:spacing w:line="480" w:lineRule="exact"/>
        <w:ind w:firstLine="2240" w:firstLineChars="800"/>
        <w:rPr>
          <w:rFonts w:ascii="Times New Roman" w:hAnsi="Times New Roman" w:eastAsia="楷体_GB2312" w:cs="Times New Roman"/>
          <w:sz w:val="28"/>
        </w:rPr>
      </w:pPr>
      <w:r>
        <w:rPr>
          <w:rFonts w:ascii="Times New Roman" w:hAnsi="Times New Roman" w:eastAsia="楷体_GB2312" w:cs="Times New Roman"/>
          <w:position w:val="-14"/>
          <w:sz w:val="28"/>
        </w:rPr>
        <w:object>
          <v:shape id="_x0000_i1055" o:spt="75" type="#_x0000_t75" style="height:20pt;width:21pt;" o:ole="t" filled="f" o:preferrelative="t" stroked="f" coordsize="21600,21600">
            <v:path/>
            <v:fill on="f" alignshape="1" focussize="0,0"/>
            <v:stroke on="f"/>
            <v:imagedata r:id="rId77" o:title=""/>
            <o:lock v:ext="edit" aspectratio="t"/>
            <w10:wrap type="none"/>
            <w10:anchorlock/>
          </v:shape>
          <o:OLEObject Type="Embed" ProgID="Equation.3" ShapeID="_x0000_i1055" DrawAspect="Content" ObjectID="_1468075755" r:id="rId88">
            <o:LockedField>false</o:LockedField>
          </o:OLEObject>
        </w:object>
      </w:r>
      <w:r>
        <w:rPr>
          <w:rFonts w:ascii="Times New Roman" w:hAnsi="Times New Roman" w:eastAsia="楷体_GB2312" w:cs="Times New Roman"/>
          <w:sz w:val="28"/>
        </w:rPr>
        <w:t>－i类基础设施在j区域使用保证率。</w:t>
      </w:r>
    </w:p>
    <w:p w14:paraId="46D1EA33">
      <w:pPr>
        <w:pStyle w:val="20"/>
        <w:spacing w:line="480" w:lineRule="exact"/>
        <w:jc w:val="center"/>
        <w:rPr>
          <w:rFonts w:ascii="Times New Roman" w:hAnsi="Times New Roman" w:eastAsia="楷体_GB2312" w:cs="Times New Roman"/>
          <w:sz w:val="28"/>
        </w:rPr>
      </w:pPr>
      <w:r>
        <w:rPr>
          <w:rFonts w:ascii="Times New Roman" w:hAnsi="Times New Roman" w:eastAsia="黑体" w:cs="Times New Roman"/>
          <w:sz w:val="28"/>
          <w:szCs w:val="24"/>
        </w:rPr>
        <w:t>表1-3-</w:t>
      </w:r>
      <w:r>
        <w:rPr>
          <w:rFonts w:hint="eastAsia" w:ascii="Times New Roman" w:hAnsi="Times New Roman" w:eastAsia="黑体" w:cs="Times New Roman"/>
          <w:sz w:val="28"/>
          <w:szCs w:val="24"/>
        </w:rPr>
        <w:t>32</w:t>
      </w:r>
      <w:r>
        <w:rPr>
          <w:rFonts w:ascii="Times New Roman" w:hAnsi="Times New Roman" w:eastAsia="黑体" w:cs="Times New Roman"/>
          <w:sz w:val="28"/>
          <w:szCs w:val="24"/>
        </w:rPr>
        <w:t xml:space="preserve">  埇桥区各乡镇镇区供电设施作用分表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553"/>
        <w:gridCol w:w="552"/>
        <w:gridCol w:w="4015"/>
        <w:gridCol w:w="746"/>
        <w:gridCol w:w="685"/>
        <w:gridCol w:w="858"/>
        <w:gridCol w:w="548"/>
        <w:gridCol w:w="563"/>
      </w:tblGrid>
      <w:tr w14:paraId="7B24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552" w:type="dxa"/>
            <w:noWrap w:val="0"/>
            <w:vAlign w:val="center"/>
          </w:tcPr>
          <w:p w14:paraId="5D441F40">
            <w:pPr>
              <w:ind w:left="-63" w:leftChars="-30" w:right="-63" w:rightChars="-30"/>
              <w:jc w:val="center"/>
              <w:rPr>
                <w:rFonts w:ascii="楷体_GB2312" w:hAnsi="宋体" w:eastAsia="楷体_GB2312" w:cs="宋体"/>
                <w:color w:val="000000"/>
                <w:kern w:val="0"/>
                <w:szCs w:val="21"/>
              </w:rPr>
            </w:pPr>
            <w:bookmarkStart w:id="38" w:name="RANGE!A1"/>
            <w:r>
              <w:rPr>
                <w:rFonts w:hint="eastAsia" w:ascii="楷体_GB2312" w:hAnsi="宋体" w:eastAsia="楷体_GB2312" w:cs="宋体"/>
                <w:color w:val="000000"/>
                <w:kern w:val="0"/>
                <w:szCs w:val="21"/>
              </w:rPr>
              <w:t>序号</w:t>
            </w:r>
            <w:bookmarkEnd w:id="38"/>
          </w:p>
        </w:tc>
        <w:tc>
          <w:tcPr>
            <w:tcW w:w="553" w:type="dxa"/>
            <w:noWrap w:val="0"/>
            <w:vAlign w:val="center"/>
          </w:tcPr>
          <w:p w14:paraId="60D4A641">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乡镇</w:t>
            </w:r>
          </w:p>
          <w:p w14:paraId="08AB028E">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名称</w:t>
            </w:r>
          </w:p>
        </w:tc>
        <w:tc>
          <w:tcPr>
            <w:tcW w:w="552" w:type="dxa"/>
            <w:noWrap w:val="0"/>
            <w:vAlign w:val="center"/>
          </w:tcPr>
          <w:p w14:paraId="07A23CEA">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区域编号</w:t>
            </w:r>
          </w:p>
        </w:tc>
        <w:tc>
          <w:tcPr>
            <w:tcW w:w="4015" w:type="dxa"/>
            <w:noWrap w:val="0"/>
            <w:vAlign w:val="center"/>
          </w:tcPr>
          <w:p w14:paraId="1CE46A99">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分布范围</w:t>
            </w:r>
          </w:p>
        </w:tc>
        <w:tc>
          <w:tcPr>
            <w:tcW w:w="746" w:type="dxa"/>
            <w:noWrap w:val="0"/>
            <w:vAlign w:val="center"/>
          </w:tcPr>
          <w:p w14:paraId="284630F6">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供电设施水平系数</w:t>
            </w:r>
          </w:p>
        </w:tc>
        <w:tc>
          <w:tcPr>
            <w:tcW w:w="685" w:type="dxa"/>
            <w:noWrap w:val="0"/>
            <w:vAlign w:val="center"/>
          </w:tcPr>
          <w:p w14:paraId="12A63D99">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供电保证率（</w:t>
            </w:r>
            <w:r>
              <w:rPr>
                <w:rFonts w:eastAsia="楷体_GB2312"/>
                <w:color w:val="000000"/>
                <w:kern w:val="0"/>
                <w:szCs w:val="21"/>
              </w:rPr>
              <w:t>%</w:t>
            </w:r>
            <w:r>
              <w:rPr>
                <w:rFonts w:hint="eastAsia" w:ascii="楷体_GB2312" w:hAnsi="宋体" w:eastAsia="楷体_GB2312" w:cs="宋体"/>
                <w:color w:val="000000"/>
                <w:kern w:val="0"/>
                <w:szCs w:val="21"/>
              </w:rPr>
              <w:t>）</w:t>
            </w:r>
          </w:p>
        </w:tc>
        <w:tc>
          <w:tcPr>
            <w:tcW w:w="858" w:type="dxa"/>
            <w:noWrap w:val="0"/>
            <w:vAlign w:val="center"/>
          </w:tcPr>
          <w:p w14:paraId="5DE48B6D">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供电设施作用指数</w:t>
            </w:r>
          </w:p>
        </w:tc>
        <w:tc>
          <w:tcPr>
            <w:tcW w:w="548" w:type="dxa"/>
            <w:noWrap w:val="0"/>
            <w:vAlign w:val="center"/>
          </w:tcPr>
          <w:p w14:paraId="7EAD6FCC">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级别</w:t>
            </w:r>
          </w:p>
        </w:tc>
        <w:tc>
          <w:tcPr>
            <w:tcW w:w="563" w:type="dxa"/>
            <w:noWrap w:val="0"/>
            <w:vAlign w:val="center"/>
          </w:tcPr>
          <w:p w14:paraId="73077F17">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作用分</w:t>
            </w:r>
          </w:p>
        </w:tc>
      </w:tr>
      <w:tr w14:paraId="3D483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restart"/>
            <w:noWrap w:val="0"/>
            <w:vAlign w:val="center"/>
          </w:tcPr>
          <w:p w14:paraId="1F4D58FB">
            <w:pPr>
              <w:ind w:left="-63" w:leftChars="-30" w:right="-63" w:rightChars="-30"/>
              <w:jc w:val="center"/>
              <w:rPr>
                <w:color w:val="000000"/>
                <w:kern w:val="0"/>
                <w:szCs w:val="21"/>
              </w:rPr>
            </w:pPr>
            <w:r>
              <w:rPr>
                <w:color w:val="000000"/>
                <w:kern w:val="0"/>
                <w:szCs w:val="21"/>
              </w:rPr>
              <w:t>1</w:t>
            </w:r>
          </w:p>
        </w:tc>
        <w:tc>
          <w:tcPr>
            <w:tcW w:w="553" w:type="dxa"/>
            <w:vMerge w:val="restart"/>
            <w:noWrap w:val="0"/>
            <w:vAlign w:val="center"/>
          </w:tcPr>
          <w:p w14:paraId="3C0FA06D">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符离镇</w:t>
            </w:r>
          </w:p>
        </w:tc>
        <w:tc>
          <w:tcPr>
            <w:tcW w:w="552" w:type="dxa"/>
            <w:noWrap w:val="0"/>
            <w:vAlign w:val="center"/>
          </w:tcPr>
          <w:p w14:paraId="3FB4B547">
            <w:pPr>
              <w:ind w:left="-63" w:leftChars="-30" w:right="-63" w:rightChars="-30"/>
              <w:jc w:val="center"/>
              <w:rPr>
                <w:color w:val="000000"/>
                <w:kern w:val="0"/>
                <w:szCs w:val="21"/>
              </w:rPr>
            </w:pPr>
            <w:r>
              <w:rPr>
                <w:color w:val="000000"/>
                <w:kern w:val="0"/>
                <w:szCs w:val="21"/>
              </w:rPr>
              <w:t>1</w:t>
            </w:r>
          </w:p>
        </w:tc>
        <w:tc>
          <w:tcPr>
            <w:tcW w:w="4015" w:type="dxa"/>
            <w:noWrap w:val="0"/>
            <w:vAlign w:val="center"/>
          </w:tcPr>
          <w:p w14:paraId="49D4A3FA">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东至京沪铁路，南至中华路，西至人民路，北至育才路</w:t>
            </w:r>
          </w:p>
        </w:tc>
        <w:tc>
          <w:tcPr>
            <w:tcW w:w="746" w:type="dxa"/>
            <w:noWrap w:val="0"/>
            <w:vAlign w:val="center"/>
          </w:tcPr>
          <w:p w14:paraId="53E546B6">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6351F1A0">
            <w:pPr>
              <w:ind w:left="-63" w:leftChars="-30" w:right="-63" w:rightChars="-30"/>
              <w:jc w:val="center"/>
              <w:rPr>
                <w:color w:val="000000"/>
                <w:kern w:val="0"/>
                <w:szCs w:val="21"/>
              </w:rPr>
            </w:pPr>
            <w:r>
              <w:rPr>
                <w:color w:val="000000"/>
                <w:kern w:val="0"/>
                <w:szCs w:val="21"/>
              </w:rPr>
              <w:t>98</w:t>
            </w:r>
          </w:p>
        </w:tc>
        <w:tc>
          <w:tcPr>
            <w:tcW w:w="858" w:type="dxa"/>
            <w:noWrap w:val="0"/>
            <w:vAlign w:val="center"/>
          </w:tcPr>
          <w:p w14:paraId="2CBFD544">
            <w:pPr>
              <w:ind w:left="-63" w:leftChars="-30" w:right="-63" w:rightChars="-30"/>
              <w:jc w:val="center"/>
              <w:rPr>
                <w:color w:val="000000"/>
                <w:kern w:val="0"/>
                <w:szCs w:val="21"/>
              </w:rPr>
            </w:pPr>
            <w:r>
              <w:rPr>
                <w:color w:val="000000"/>
                <w:kern w:val="0"/>
                <w:szCs w:val="21"/>
              </w:rPr>
              <w:t>0.3514</w:t>
            </w:r>
          </w:p>
        </w:tc>
        <w:tc>
          <w:tcPr>
            <w:tcW w:w="548" w:type="dxa"/>
            <w:noWrap w:val="0"/>
            <w:vAlign w:val="center"/>
          </w:tcPr>
          <w:p w14:paraId="14566230">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726B6187">
            <w:pPr>
              <w:ind w:left="-63" w:leftChars="-30" w:right="-63" w:rightChars="-30"/>
              <w:jc w:val="center"/>
              <w:rPr>
                <w:color w:val="000000"/>
                <w:kern w:val="0"/>
                <w:szCs w:val="21"/>
              </w:rPr>
            </w:pPr>
            <w:r>
              <w:rPr>
                <w:color w:val="000000"/>
                <w:kern w:val="0"/>
                <w:szCs w:val="21"/>
              </w:rPr>
              <w:t>34.44</w:t>
            </w:r>
          </w:p>
        </w:tc>
      </w:tr>
      <w:tr w14:paraId="1CE38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29038F9F">
            <w:pPr>
              <w:ind w:left="-63" w:leftChars="-30" w:right="-63" w:rightChars="-30"/>
              <w:rPr>
                <w:color w:val="000000"/>
                <w:kern w:val="0"/>
                <w:szCs w:val="21"/>
              </w:rPr>
            </w:pPr>
          </w:p>
        </w:tc>
        <w:tc>
          <w:tcPr>
            <w:tcW w:w="553" w:type="dxa"/>
            <w:vMerge w:val="continue"/>
            <w:noWrap w:val="0"/>
            <w:vAlign w:val="center"/>
          </w:tcPr>
          <w:p w14:paraId="0A044223">
            <w:pPr>
              <w:ind w:left="-63" w:leftChars="-30" w:right="-63" w:rightChars="-30"/>
              <w:rPr>
                <w:rFonts w:ascii="楷体_GB2312" w:hAnsi="宋体" w:eastAsia="楷体_GB2312" w:cs="宋体"/>
                <w:color w:val="000000"/>
                <w:kern w:val="0"/>
                <w:szCs w:val="21"/>
              </w:rPr>
            </w:pPr>
          </w:p>
        </w:tc>
        <w:tc>
          <w:tcPr>
            <w:tcW w:w="552" w:type="dxa"/>
            <w:noWrap w:val="0"/>
            <w:vAlign w:val="center"/>
          </w:tcPr>
          <w:p w14:paraId="2E2F5EF2">
            <w:pPr>
              <w:ind w:left="-63" w:leftChars="-30" w:right="-63" w:rightChars="-30"/>
              <w:jc w:val="center"/>
              <w:rPr>
                <w:color w:val="000000"/>
                <w:kern w:val="0"/>
                <w:szCs w:val="21"/>
              </w:rPr>
            </w:pPr>
            <w:r>
              <w:rPr>
                <w:color w:val="000000"/>
                <w:kern w:val="0"/>
                <w:szCs w:val="21"/>
              </w:rPr>
              <w:t>2</w:t>
            </w:r>
          </w:p>
        </w:tc>
        <w:tc>
          <w:tcPr>
            <w:tcW w:w="4015" w:type="dxa"/>
            <w:noWrap w:val="0"/>
            <w:vAlign w:val="center"/>
          </w:tcPr>
          <w:p w14:paraId="0AA1B65E">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东至京沪铁路、港口路，南至滨河路，西至景玉路西侧规划道路，北至北环路、山前路</w:t>
            </w:r>
          </w:p>
        </w:tc>
        <w:tc>
          <w:tcPr>
            <w:tcW w:w="746" w:type="dxa"/>
            <w:noWrap w:val="0"/>
            <w:vAlign w:val="center"/>
          </w:tcPr>
          <w:p w14:paraId="456244C8">
            <w:pPr>
              <w:ind w:left="-63" w:leftChars="-30" w:right="-63" w:rightChars="-30"/>
              <w:jc w:val="center"/>
              <w:rPr>
                <w:color w:val="000000"/>
                <w:kern w:val="0"/>
                <w:szCs w:val="21"/>
              </w:rPr>
            </w:pPr>
            <w:r>
              <w:rPr>
                <w:color w:val="000000"/>
                <w:kern w:val="0"/>
                <w:szCs w:val="21"/>
              </w:rPr>
              <w:t>0.98</w:t>
            </w:r>
          </w:p>
        </w:tc>
        <w:tc>
          <w:tcPr>
            <w:tcW w:w="685" w:type="dxa"/>
            <w:noWrap w:val="0"/>
            <w:vAlign w:val="center"/>
          </w:tcPr>
          <w:p w14:paraId="26C7A0DF">
            <w:pPr>
              <w:ind w:left="-63" w:leftChars="-30" w:right="-63" w:rightChars="-30"/>
              <w:jc w:val="center"/>
              <w:rPr>
                <w:color w:val="000000"/>
                <w:kern w:val="0"/>
                <w:szCs w:val="21"/>
              </w:rPr>
            </w:pPr>
            <w:r>
              <w:rPr>
                <w:color w:val="000000"/>
                <w:kern w:val="0"/>
                <w:szCs w:val="21"/>
              </w:rPr>
              <w:t>95</w:t>
            </w:r>
          </w:p>
        </w:tc>
        <w:tc>
          <w:tcPr>
            <w:tcW w:w="858" w:type="dxa"/>
            <w:noWrap w:val="0"/>
            <w:vAlign w:val="center"/>
          </w:tcPr>
          <w:p w14:paraId="0EDA69A6">
            <w:pPr>
              <w:ind w:left="-63" w:leftChars="-30" w:right="-63" w:rightChars="-30"/>
              <w:jc w:val="center"/>
              <w:rPr>
                <w:color w:val="000000"/>
                <w:kern w:val="0"/>
                <w:szCs w:val="21"/>
              </w:rPr>
            </w:pPr>
            <w:r>
              <w:rPr>
                <w:color w:val="000000"/>
                <w:kern w:val="0"/>
                <w:szCs w:val="21"/>
              </w:rPr>
              <w:t>0.3514</w:t>
            </w:r>
          </w:p>
        </w:tc>
        <w:tc>
          <w:tcPr>
            <w:tcW w:w="548" w:type="dxa"/>
            <w:noWrap w:val="0"/>
            <w:vAlign w:val="center"/>
          </w:tcPr>
          <w:p w14:paraId="2137CEC1">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0E3376F7">
            <w:pPr>
              <w:ind w:left="-63" w:leftChars="-30" w:right="-63" w:rightChars="-30"/>
              <w:jc w:val="center"/>
              <w:rPr>
                <w:color w:val="000000"/>
                <w:kern w:val="0"/>
                <w:szCs w:val="21"/>
              </w:rPr>
            </w:pPr>
            <w:r>
              <w:rPr>
                <w:color w:val="000000"/>
                <w:kern w:val="0"/>
                <w:szCs w:val="21"/>
              </w:rPr>
              <w:t>32.72</w:t>
            </w:r>
          </w:p>
        </w:tc>
      </w:tr>
      <w:tr w14:paraId="3113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27CB82C3">
            <w:pPr>
              <w:ind w:left="-63" w:leftChars="-30" w:right="-63" w:rightChars="-30"/>
              <w:rPr>
                <w:color w:val="000000"/>
                <w:kern w:val="0"/>
                <w:szCs w:val="21"/>
              </w:rPr>
            </w:pPr>
          </w:p>
        </w:tc>
        <w:tc>
          <w:tcPr>
            <w:tcW w:w="553" w:type="dxa"/>
            <w:vMerge w:val="continue"/>
            <w:noWrap w:val="0"/>
            <w:vAlign w:val="center"/>
          </w:tcPr>
          <w:p w14:paraId="14C6C5C8">
            <w:pPr>
              <w:ind w:left="-63" w:leftChars="-30" w:right="-63" w:rightChars="-30"/>
              <w:rPr>
                <w:rFonts w:ascii="楷体_GB2312" w:hAnsi="宋体" w:eastAsia="楷体_GB2312" w:cs="宋体"/>
                <w:color w:val="000000"/>
                <w:kern w:val="0"/>
                <w:szCs w:val="21"/>
              </w:rPr>
            </w:pPr>
          </w:p>
        </w:tc>
        <w:tc>
          <w:tcPr>
            <w:tcW w:w="552" w:type="dxa"/>
            <w:noWrap w:val="0"/>
            <w:vAlign w:val="center"/>
          </w:tcPr>
          <w:p w14:paraId="7869FBE5">
            <w:pPr>
              <w:ind w:left="-63" w:leftChars="-30" w:right="-63" w:rightChars="-30"/>
              <w:jc w:val="center"/>
              <w:rPr>
                <w:color w:val="000000"/>
                <w:kern w:val="0"/>
                <w:szCs w:val="21"/>
              </w:rPr>
            </w:pPr>
            <w:r>
              <w:rPr>
                <w:color w:val="000000"/>
                <w:kern w:val="0"/>
                <w:szCs w:val="21"/>
              </w:rPr>
              <w:t>3</w:t>
            </w:r>
          </w:p>
        </w:tc>
        <w:tc>
          <w:tcPr>
            <w:tcW w:w="4015" w:type="dxa"/>
            <w:noWrap w:val="0"/>
            <w:vAlign w:val="center"/>
          </w:tcPr>
          <w:p w14:paraId="72A01EDD">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46" w:type="dxa"/>
            <w:noWrap w:val="0"/>
            <w:vAlign w:val="center"/>
          </w:tcPr>
          <w:p w14:paraId="7D046150">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5E4E70E9">
            <w:pPr>
              <w:ind w:left="-63" w:leftChars="-30" w:right="-63" w:rightChars="-30"/>
              <w:jc w:val="center"/>
              <w:rPr>
                <w:color w:val="000000"/>
                <w:kern w:val="0"/>
                <w:szCs w:val="21"/>
              </w:rPr>
            </w:pPr>
            <w:r>
              <w:rPr>
                <w:color w:val="000000"/>
                <w:kern w:val="0"/>
                <w:szCs w:val="21"/>
              </w:rPr>
              <w:t>92</w:t>
            </w:r>
          </w:p>
        </w:tc>
        <w:tc>
          <w:tcPr>
            <w:tcW w:w="858" w:type="dxa"/>
            <w:noWrap w:val="0"/>
            <w:vAlign w:val="center"/>
          </w:tcPr>
          <w:p w14:paraId="260C0CBE">
            <w:pPr>
              <w:ind w:left="-63" w:leftChars="-30" w:right="-63" w:rightChars="-30"/>
              <w:jc w:val="center"/>
              <w:rPr>
                <w:color w:val="000000"/>
                <w:kern w:val="0"/>
                <w:szCs w:val="21"/>
              </w:rPr>
            </w:pPr>
            <w:r>
              <w:rPr>
                <w:color w:val="000000"/>
                <w:kern w:val="0"/>
                <w:szCs w:val="21"/>
              </w:rPr>
              <w:t>0.3514</w:t>
            </w:r>
          </w:p>
        </w:tc>
        <w:tc>
          <w:tcPr>
            <w:tcW w:w="548" w:type="dxa"/>
            <w:noWrap w:val="0"/>
            <w:vAlign w:val="center"/>
          </w:tcPr>
          <w:p w14:paraId="30252D29">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43A20B58">
            <w:pPr>
              <w:ind w:left="-63" w:leftChars="-30" w:right="-63" w:rightChars="-30"/>
              <w:jc w:val="center"/>
              <w:rPr>
                <w:color w:val="000000"/>
                <w:kern w:val="0"/>
                <w:szCs w:val="21"/>
              </w:rPr>
            </w:pPr>
            <w:r>
              <w:rPr>
                <w:color w:val="000000"/>
                <w:kern w:val="0"/>
                <w:szCs w:val="21"/>
              </w:rPr>
              <w:t>30.71</w:t>
            </w:r>
          </w:p>
        </w:tc>
      </w:tr>
      <w:tr w14:paraId="5F4C1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restart"/>
            <w:noWrap w:val="0"/>
            <w:vAlign w:val="center"/>
          </w:tcPr>
          <w:p w14:paraId="4A9092F6">
            <w:pPr>
              <w:ind w:left="-63" w:leftChars="-30" w:right="-63" w:rightChars="-30"/>
              <w:jc w:val="center"/>
              <w:rPr>
                <w:color w:val="000000"/>
                <w:kern w:val="0"/>
                <w:szCs w:val="21"/>
              </w:rPr>
            </w:pPr>
            <w:r>
              <w:rPr>
                <w:color w:val="000000"/>
                <w:kern w:val="0"/>
                <w:szCs w:val="21"/>
              </w:rPr>
              <w:t>2</w:t>
            </w:r>
          </w:p>
        </w:tc>
        <w:tc>
          <w:tcPr>
            <w:tcW w:w="553" w:type="dxa"/>
            <w:vMerge w:val="restart"/>
            <w:noWrap w:val="0"/>
            <w:vAlign w:val="center"/>
          </w:tcPr>
          <w:p w14:paraId="5FD428FA">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朱仙庄镇</w:t>
            </w:r>
          </w:p>
        </w:tc>
        <w:tc>
          <w:tcPr>
            <w:tcW w:w="552" w:type="dxa"/>
            <w:noWrap w:val="0"/>
            <w:vAlign w:val="center"/>
          </w:tcPr>
          <w:p w14:paraId="47FDF270">
            <w:pPr>
              <w:ind w:left="-63" w:leftChars="-30" w:right="-63" w:rightChars="-30"/>
              <w:jc w:val="center"/>
              <w:rPr>
                <w:color w:val="000000"/>
                <w:kern w:val="0"/>
                <w:szCs w:val="21"/>
              </w:rPr>
            </w:pPr>
            <w:r>
              <w:rPr>
                <w:color w:val="000000"/>
                <w:kern w:val="0"/>
                <w:szCs w:val="21"/>
              </w:rPr>
              <w:t>1</w:t>
            </w:r>
          </w:p>
        </w:tc>
        <w:tc>
          <w:tcPr>
            <w:tcW w:w="4015" w:type="dxa"/>
            <w:noWrap w:val="0"/>
            <w:vAlign w:val="center"/>
          </w:tcPr>
          <w:p w14:paraId="31CAEC8D">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东至环湖路，南至汴河东路，西至滨湖一路，北至望湖路</w:t>
            </w:r>
          </w:p>
        </w:tc>
        <w:tc>
          <w:tcPr>
            <w:tcW w:w="746" w:type="dxa"/>
            <w:noWrap w:val="0"/>
            <w:vAlign w:val="center"/>
          </w:tcPr>
          <w:p w14:paraId="62D38F79">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72D3C8D6">
            <w:pPr>
              <w:ind w:left="-63" w:leftChars="-30" w:right="-63" w:rightChars="-30"/>
              <w:jc w:val="center"/>
              <w:rPr>
                <w:color w:val="000000"/>
                <w:kern w:val="0"/>
                <w:szCs w:val="21"/>
              </w:rPr>
            </w:pPr>
            <w:r>
              <w:rPr>
                <w:color w:val="000000"/>
                <w:kern w:val="0"/>
                <w:szCs w:val="21"/>
              </w:rPr>
              <w:t>98</w:t>
            </w:r>
          </w:p>
        </w:tc>
        <w:tc>
          <w:tcPr>
            <w:tcW w:w="858" w:type="dxa"/>
            <w:noWrap w:val="0"/>
            <w:vAlign w:val="center"/>
          </w:tcPr>
          <w:p w14:paraId="66F77F31">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3ED58E66">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2D280030">
            <w:pPr>
              <w:ind w:left="-63" w:leftChars="-30" w:right="-63" w:rightChars="-30"/>
              <w:jc w:val="center"/>
              <w:rPr>
                <w:color w:val="000000"/>
                <w:kern w:val="0"/>
                <w:szCs w:val="21"/>
              </w:rPr>
            </w:pPr>
            <w:r>
              <w:rPr>
                <w:color w:val="000000"/>
                <w:kern w:val="0"/>
                <w:szCs w:val="21"/>
              </w:rPr>
              <w:t>36.41</w:t>
            </w:r>
          </w:p>
        </w:tc>
      </w:tr>
      <w:tr w14:paraId="0D8E3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4509DA4E">
            <w:pPr>
              <w:ind w:left="-63" w:leftChars="-30" w:right="-63" w:rightChars="-30"/>
              <w:rPr>
                <w:color w:val="000000"/>
                <w:kern w:val="0"/>
                <w:szCs w:val="21"/>
              </w:rPr>
            </w:pPr>
          </w:p>
        </w:tc>
        <w:tc>
          <w:tcPr>
            <w:tcW w:w="553" w:type="dxa"/>
            <w:vMerge w:val="continue"/>
            <w:noWrap w:val="0"/>
            <w:vAlign w:val="center"/>
          </w:tcPr>
          <w:p w14:paraId="5E205230">
            <w:pPr>
              <w:ind w:left="-63" w:leftChars="-30" w:right="-63" w:rightChars="-30"/>
              <w:rPr>
                <w:rFonts w:ascii="楷体_GB2312" w:hAnsi="宋体" w:eastAsia="楷体_GB2312" w:cs="宋体"/>
                <w:color w:val="000000"/>
                <w:kern w:val="0"/>
                <w:szCs w:val="21"/>
              </w:rPr>
            </w:pPr>
          </w:p>
        </w:tc>
        <w:tc>
          <w:tcPr>
            <w:tcW w:w="552" w:type="dxa"/>
            <w:noWrap w:val="0"/>
            <w:vAlign w:val="center"/>
          </w:tcPr>
          <w:p w14:paraId="35209E39">
            <w:pPr>
              <w:ind w:left="-63" w:leftChars="-30" w:right="-63" w:rightChars="-30"/>
              <w:jc w:val="center"/>
              <w:rPr>
                <w:color w:val="000000"/>
                <w:kern w:val="0"/>
                <w:szCs w:val="21"/>
              </w:rPr>
            </w:pPr>
            <w:r>
              <w:rPr>
                <w:color w:val="000000"/>
                <w:kern w:val="0"/>
                <w:szCs w:val="21"/>
              </w:rPr>
              <w:t>2</w:t>
            </w:r>
          </w:p>
        </w:tc>
        <w:tc>
          <w:tcPr>
            <w:tcW w:w="4015" w:type="dxa"/>
            <w:noWrap w:val="0"/>
            <w:vAlign w:val="center"/>
          </w:tcPr>
          <w:p w14:paraId="4659BF95">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东至环湖路，南至汴河东路，西至二徐路，北至北沱河、纬五路</w:t>
            </w:r>
          </w:p>
        </w:tc>
        <w:tc>
          <w:tcPr>
            <w:tcW w:w="746" w:type="dxa"/>
            <w:noWrap w:val="0"/>
            <w:vAlign w:val="center"/>
          </w:tcPr>
          <w:p w14:paraId="07AE4A43">
            <w:pPr>
              <w:ind w:left="-63" w:leftChars="-30" w:right="-63" w:rightChars="-30"/>
              <w:jc w:val="center"/>
              <w:rPr>
                <w:color w:val="000000"/>
                <w:kern w:val="0"/>
                <w:szCs w:val="21"/>
              </w:rPr>
            </w:pPr>
            <w:r>
              <w:rPr>
                <w:color w:val="000000"/>
                <w:kern w:val="0"/>
                <w:szCs w:val="21"/>
              </w:rPr>
              <w:t>0.98</w:t>
            </w:r>
          </w:p>
        </w:tc>
        <w:tc>
          <w:tcPr>
            <w:tcW w:w="685" w:type="dxa"/>
            <w:noWrap w:val="0"/>
            <w:vAlign w:val="center"/>
          </w:tcPr>
          <w:p w14:paraId="53583AE2">
            <w:pPr>
              <w:ind w:left="-63" w:leftChars="-30" w:right="-63" w:rightChars="-30"/>
              <w:jc w:val="center"/>
              <w:rPr>
                <w:color w:val="000000"/>
                <w:kern w:val="0"/>
                <w:szCs w:val="21"/>
              </w:rPr>
            </w:pPr>
            <w:r>
              <w:rPr>
                <w:color w:val="000000"/>
                <w:kern w:val="0"/>
                <w:szCs w:val="21"/>
              </w:rPr>
              <w:t>95</w:t>
            </w:r>
          </w:p>
        </w:tc>
        <w:tc>
          <w:tcPr>
            <w:tcW w:w="858" w:type="dxa"/>
            <w:noWrap w:val="0"/>
            <w:vAlign w:val="center"/>
          </w:tcPr>
          <w:p w14:paraId="598610EE">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05B19FB5">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03316B17">
            <w:pPr>
              <w:ind w:left="-63" w:leftChars="-30" w:right="-63" w:rightChars="-30"/>
              <w:jc w:val="center"/>
              <w:rPr>
                <w:color w:val="000000"/>
                <w:kern w:val="0"/>
                <w:szCs w:val="21"/>
              </w:rPr>
            </w:pPr>
            <w:r>
              <w:rPr>
                <w:color w:val="000000"/>
                <w:kern w:val="0"/>
                <w:szCs w:val="21"/>
              </w:rPr>
              <w:t>34.59</w:t>
            </w:r>
          </w:p>
        </w:tc>
      </w:tr>
      <w:tr w14:paraId="3DF4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29855DE8">
            <w:pPr>
              <w:ind w:left="-63" w:leftChars="-30" w:right="-63" w:rightChars="-30"/>
              <w:rPr>
                <w:color w:val="000000"/>
                <w:kern w:val="0"/>
                <w:szCs w:val="21"/>
              </w:rPr>
            </w:pPr>
          </w:p>
        </w:tc>
        <w:tc>
          <w:tcPr>
            <w:tcW w:w="553" w:type="dxa"/>
            <w:vMerge w:val="continue"/>
            <w:noWrap w:val="0"/>
            <w:vAlign w:val="center"/>
          </w:tcPr>
          <w:p w14:paraId="7F55B969">
            <w:pPr>
              <w:ind w:left="-63" w:leftChars="-30" w:right="-63" w:rightChars="-30"/>
              <w:rPr>
                <w:rFonts w:ascii="楷体_GB2312" w:hAnsi="宋体" w:eastAsia="楷体_GB2312" w:cs="宋体"/>
                <w:color w:val="000000"/>
                <w:kern w:val="0"/>
                <w:szCs w:val="21"/>
              </w:rPr>
            </w:pPr>
          </w:p>
        </w:tc>
        <w:tc>
          <w:tcPr>
            <w:tcW w:w="552" w:type="dxa"/>
            <w:noWrap w:val="0"/>
            <w:vAlign w:val="center"/>
          </w:tcPr>
          <w:p w14:paraId="20692A5D">
            <w:pPr>
              <w:ind w:left="-63" w:leftChars="-30" w:right="-63" w:rightChars="-30"/>
              <w:jc w:val="center"/>
              <w:rPr>
                <w:color w:val="000000"/>
                <w:kern w:val="0"/>
                <w:szCs w:val="21"/>
              </w:rPr>
            </w:pPr>
            <w:r>
              <w:rPr>
                <w:color w:val="000000"/>
                <w:kern w:val="0"/>
                <w:szCs w:val="21"/>
              </w:rPr>
              <w:t>3</w:t>
            </w:r>
          </w:p>
        </w:tc>
        <w:tc>
          <w:tcPr>
            <w:tcW w:w="4015" w:type="dxa"/>
            <w:noWrap w:val="0"/>
            <w:vAlign w:val="center"/>
          </w:tcPr>
          <w:p w14:paraId="18E3C1D7">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46" w:type="dxa"/>
            <w:noWrap w:val="0"/>
            <w:vAlign w:val="center"/>
          </w:tcPr>
          <w:p w14:paraId="32B3403F">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70CE3156">
            <w:pPr>
              <w:ind w:left="-63" w:leftChars="-30" w:right="-63" w:rightChars="-30"/>
              <w:jc w:val="center"/>
              <w:rPr>
                <w:color w:val="000000"/>
                <w:kern w:val="0"/>
                <w:szCs w:val="21"/>
              </w:rPr>
            </w:pPr>
            <w:r>
              <w:rPr>
                <w:color w:val="000000"/>
                <w:kern w:val="0"/>
                <w:szCs w:val="21"/>
              </w:rPr>
              <w:t>92</w:t>
            </w:r>
          </w:p>
        </w:tc>
        <w:tc>
          <w:tcPr>
            <w:tcW w:w="858" w:type="dxa"/>
            <w:noWrap w:val="0"/>
            <w:vAlign w:val="center"/>
          </w:tcPr>
          <w:p w14:paraId="17529209">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32485DFF">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4E8296A1">
            <w:pPr>
              <w:ind w:left="-63" w:leftChars="-30" w:right="-63" w:rightChars="-30"/>
              <w:jc w:val="center"/>
              <w:rPr>
                <w:color w:val="000000"/>
                <w:kern w:val="0"/>
                <w:szCs w:val="21"/>
              </w:rPr>
            </w:pPr>
            <w:r>
              <w:rPr>
                <w:color w:val="000000"/>
                <w:kern w:val="0"/>
                <w:szCs w:val="21"/>
              </w:rPr>
              <w:t>32.47</w:t>
            </w:r>
          </w:p>
        </w:tc>
      </w:tr>
      <w:tr w14:paraId="266E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restart"/>
            <w:noWrap w:val="0"/>
            <w:vAlign w:val="center"/>
          </w:tcPr>
          <w:p w14:paraId="55E2EA5C">
            <w:pPr>
              <w:ind w:left="-63" w:leftChars="-30" w:right="-63" w:rightChars="-30"/>
              <w:jc w:val="center"/>
              <w:rPr>
                <w:color w:val="000000"/>
                <w:kern w:val="0"/>
                <w:szCs w:val="21"/>
              </w:rPr>
            </w:pPr>
            <w:r>
              <w:rPr>
                <w:color w:val="000000"/>
                <w:kern w:val="0"/>
                <w:szCs w:val="21"/>
              </w:rPr>
              <w:t>3</w:t>
            </w:r>
          </w:p>
        </w:tc>
        <w:tc>
          <w:tcPr>
            <w:tcW w:w="553" w:type="dxa"/>
            <w:vMerge w:val="restart"/>
            <w:noWrap w:val="0"/>
            <w:vAlign w:val="center"/>
          </w:tcPr>
          <w:p w14:paraId="032AC785">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蕲县镇</w:t>
            </w:r>
          </w:p>
        </w:tc>
        <w:tc>
          <w:tcPr>
            <w:tcW w:w="552" w:type="dxa"/>
            <w:noWrap w:val="0"/>
            <w:vAlign w:val="center"/>
          </w:tcPr>
          <w:p w14:paraId="3BB34B38">
            <w:pPr>
              <w:ind w:left="-63" w:leftChars="-30" w:right="-63" w:rightChars="-30"/>
              <w:jc w:val="center"/>
              <w:rPr>
                <w:color w:val="000000"/>
                <w:kern w:val="0"/>
                <w:szCs w:val="21"/>
              </w:rPr>
            </w:pPr>
            <w:r>
              <w:rPr>
                <w:color w:val="000000"/>
                <w:kern w:val="0"/>
                <w:szCs w:val="21"/>
              </w:rPr>
              <w:t>1</w:t>
            </w:r>
          </w:p>
        </w:tc>
        <w:tc>
          <w:tcPr>
            <w:tcW w:w="4015" w:type="dxa"/>
            <w:noWrap w:val="0"/>
            <w:vAlign w:val="center"/>
          </w:tcPr>
          <w:p w14:paraId="12B76803">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w:t>
            </w:r>
            <w:r>
              <w:rPr>
                <w:rFonts w:eastAsia="楷体_GB2312"/>
                <w:color w:val="000000"/>
                <w:kern w:val="0"/>
                <w:szCs w:val="21"/>
              </w:rPr>
              <w:t>206</w:t>
            </w:r>
            <w:r>
              <w:rPr>
                <w:rFonts w:hint="eastAsia" w:ascii="楷体_GB2312" w:hAnsi="宋体" w:eastAsia="楷体_GB2312" w:cs="宋体"/>
                <w:color w:val="000000"/>
                <w:kern w:val="0"/>
                <w:szCs w:val="21"/>
              </w:rPr>
              <w:t>国道，南至浍河，西至浍水路，北至古城路</w:t>
            </w:r>
          </w:p>
        </w:tc>
        <w:tc>
          <w:tcPr>
            <w:tcW w:w="746" w:type="dxa"/>
            <w:noWrap w:val="0"/>
            <w:vAlign w:val="center"/>
          </w:tcPr>
          <w:p w14:paraId="0EFBACF4">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274E8262">
            <w:pPr>
              <w:ind w:left="-63" w:leftChars="-30" w:right="-63" w:rightChars="-30"/>
              <w:jc w:val="center"/>
              <w:rPr>
                <w:color w:val="000000"/>
                <w:kern w:val="0"/>
                <w:szCs w:val="21"/>
              </w:rPr>
            </w:pPr>
            <w:r>
              <w:rPr>
                <w:color w:val="000000"/>
                <w:kern w:val="0"/>
                <w:szCs w:val="21"/>
              </w:rPr>
              <w:t>98</w:t>
            </w:r>
          </w:p>
        </w:tc>
        <w:tc>
          <w:tcPr>
            <w:tcW w:w="858" w:type="dxa"/>
            <w:noWrap w:val="0"/>
            <w:vAlign w:val="center"/>
          </w:tcPr>
          <w:p w14:paraId="2D30B6CC">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01813FB3">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0F919A75">
            <w:pPr>
              <w:ind w:left="-63" w:leftChars="-30" w:right="-63" w:rightChars="-30"/>
              <w:jc w:val="center"/>
              <w:rPr>
                <w:color w:val="000000"/>
                <w:kern w:val="0"/>
                <w:szCs w:val="21"/>
              </w:rPr>
            </w:pPr>
            <w:r>
              <w:rPr>
                <w:color w:val="000000"/>
                <w:kern w:val="0"/>
                <w:szCs w:val="21"/>
              </w:rPr>
              <w:t>36.41</w:t>
            </w:r>
          </w:p>
        </w:tc>
      </w:tr>
      <w:tr w14:paraId="0580C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10D88616">
            <w:pPr>
              <w:ind w:left="-63" w:leftChars="-30" w:right="-63" w:rightChars="-30"/>
              <w:rPr>
                <w:color w:val="000000"/>
                <w:kern w:val="0"/>
                <w:szCs w:val="21"/>
              </w:rPr>
            </w:pPr>
          </w:p>
        </w:tc>
        <w:tc>
          <w:tcPr>
            <w:tcW w:w="553" w:type="dxa"/>
            <w:vMerge w:val="continue"/>
            <w:noWrap w:val="0"/>
            <w:vAlign w:val="center"/>
          </w:tcPr>
          <w:p w14:paraId="75B53489">
            <w:pPr>
              <w:ind w:left="-63" w:leftChars="-30" w:right="-63" w:rightChars="-30"/>
              <w:rPr>
                <w:rFonts w:ascii="楷体_GB2312" w:hAnsi="宋体" w:eastAsia="楷体_GB2312" w:cs="宋体"/>
                <w:color w:val="000000"/>
                <w:kern w:val="0"/>
                <w:szCs w:val="21"/>
              </w:rPr>
            </w:pPr>
          </w:p>
        </w:tc>
        <w:tc>
          <w:tcPr>
            <w:tcW w:w="552" w:type="dxa"/>
            <w:noWrap w:val="0"/>
            <w:vAlign w:val="center"/>
          </w:tcPr>
          <w:p w14:paraId="641ED328">
            <w:pPr>
              <w:ind w:left="-63" w:leftChars="-30" w:right="-63" w:rightChars="-30"/>
              <w:jc w:val="center"/>
              <w:rPr>
                <w:color w:val="000000"/>
                <w:kern w:val="0"/>
                <w:szCs w:val="21"/>
              </w:rPr>
            </w:pPr>
            <w:r>
              <w:rPr>
                <w:color w:val="000000"/>
                <w:kern w:val="0"/>
                <w:szCs w:val="21"/>
              </w:rPr>
              <w:t>2</w:t>
            </w:r>
          </w:p>
        </w:tc>
        <w:tc>
          <w:tcPr>
            <w:tcW w:w="4015" w:type="dxa"/>
            <w:noWrap w:val="0"/>
            <w:vAlign w:val="center"/>
          </w:tcPr>
          <w:p w14:paraId="79EFA1AA">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东至梅城路，南至浍河，西至</w:t>
            </w:r>
            <w:r>
              <w:rPr>
                <w:rFonts w:eastAsia="楷体_GB2312"/>
                <w:color w:val="000000"/>
                <w:kern w:val="0"/>
                <w:szCs w:val="21"/>
              </w:rPr>
              <w:t>206</w:t>
            </w:r>
            <w:r>
              <w:rPr>
                <w:rFonts w:hint="eastAsia" w:ascii="楷体_GB2312" w:hAnsi="宋体" w:eastAsia="楷体_GB2312" w:cs="宋体"/>
                <w:color w:val="000000"/>
                <w:kern w:val="0"/>
                <w:szCs w:val="21"/>
              </w:rPr>
              <w:t>国道、老街路、文苑路、浍河，北至鸿鹄路</w:t>
            </w:r>
          </w:p>
        </w:tc>
        <w:tc>
          <w:tcPr>
            <w:tcW w:w="746" w:type="dxa"/>
            <w:noWrap w:val="0"/>
            <w:vAlign w:val="center"/>
          </w:tcPr>
          <w:p w14:paraId="0047AD88">
            <w:pPr>
              <w:ind w:left="-63" w:leftChars="-30" w:right="-63" w:rightChars="-30"/>
              <w:jc w:val="center"/>
              <w:rPr>
                <w:color w:val="000000"/>
                <w:kern w:val="0"/>
                <w:szCs w:val="21"/>
              </w:rPr>
            </w:pPr>
            <w:r>
              <w:rPr>
                <w:color w:val="000000"/>
                <w:kern w:val="0"/>
                <w:szCs w:val="21"/>
              </w:rPr>
              <w:t>0.98</w:t>
            </w:r>
          </w:p>
        </w:tc>
        <w:tc>
          <w:tcPr>
            <w:tcW w:w="685" w:type="dxa"/>
            <w:noWrap w:val="0"/>
            <w:vAlign w:val="center"/>
          </w:tcPr>
          <w:p w14:paraId="4F4CE748">
            <w:pPr>
              <w:ind w:left="-63" w:leftChars="-30" w:right="-63" w:rightChars="-30"/>
              <w:jc w:val="center"/>
              <w:rPr>
                <w:color w:val="000000"/>
                <w:kern w:val="0"/>
                <w:szCs w:val="21"/>
              </w:rPr>
            </w:pPr>
            <w:r>
              <w:rPr>
                <w:color w:val="000000"/>
                <w:kern w:val="0"/>
                <w:szCs w:val="21"/>
              </w:rPr>
              <w:t>95</w:t>
            </w:r>
          </w:p>
        </w:tc>
        <w:tc>
          <w:tcPr>
            <w:tcW w:w="858" w:type="dxa"/>
            <w:noWrap w:val="0"/>
            <w:vAlign w:val="center"/>
          </w:tcPr>
          <w:p w14:paraId="2D25DFC6">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3054D449">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606CF08D">
            <w:pPr>
              <w:ind w:left="-63" w:leftChars="-30" w:right="-63" w:rightChars="-30"/>
              <w:jc w:val="center"/>
              <w:rPr>
                <w:color w:val="000000"/>
                <w:kern w:val="0"/>
                <w:szCs w:val="21"/>
              </w:rPr>
            </w:pPr>
            <w:r>
              <w:rPr>
                <w:color w:val="000000"/>
                <w:kern w:val="0"/>
                <w:szCs w:val="21"/>
              </w:rPr>
              <w:t>34.59</w:t>
            </w:r>
          </w:p>
        </w:tc>
      </w:tr>
      <w:tr w14:paraId="6DF07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2624A0EC">
            <w:pPr>
              <w:ind w:left="-63" w:leftChars="-30" w:right="-63" w:rightChars="-30"/>
              <w:rPr>
                <w:color w:val="000000"/>
                <w:kern w:val="0"/>
                <w:szCs w:val="21"/>
              </w:rPr>
            </w:pPr>
          </w:p>
        </w:tc>
        <w:tc>
          <w:tcPr>
            <w:tcW w:w="553" w:type="dxa"/>
            <w:vMerge w:val="continue"/>
            <w:noWrap w:val="0"/>
            <w:vAlign w:val="center"/>
          </w:tcPr>
          <w:p w14:paraId="04BC6B2C">
            <w:pPr>
              <w:ind w:left="-63" w:leftChars="-30" w:right="-63" w:rightChars="-30"/>
              <w:rPr>
                <w:rFonts w:ascii="楷体_GB2312" w:hAnsi="宋体" w:eastAsia="楷体_GB2312" w:cs="宋体"/>
                <w:color w:val="000000"/>
                <w:kern w:val="0"/>
                <w:szCs w:val="21"/>
              </w:rPr>
            </w:pPr>
          </w:p>
        </w:tc>
        <w:tc>
          <w:tcPr>
            <w:tcW w:w="552" w:type="dxa"/>
            <w:noWrap w:val="0"/>
            <w:vAlign w:val="center"/>
          </w:tcPr>
          <w:p w14:paraId="4CA8CEC5">
            <w:pPr>
              <w:ind w:left="-63" w:leftChars="-30" w:right="-63" w:rightChars="-30"/>
              <w:jc w:val="center"/>
              <w:rPr>
                <w:color w:val="000000"/>
                <w:kern w:val="0"/>
                <w:szCs w:val="21"/>
              </w:rPr>
            </w:pPr>
            <w:r>
              <w:rPr>
                <w:color w:val="000000"/>
                <w:kern w:val="0"/>
                <w:szCs w:val="21"/>
              </w:rPr>
              <w:t>3</w:t>
            </w:r>
          </w:p>
        </w:tc>
        <w:tc>
          <w:tcPr>
            <w:tcW w:w="4015" w:type="dxa"/>
            <w:noWrap w:val="0"/>
            <w:vAlign w:val="center"/>
          </w:tcPr>
          <w:p w14:paraId="1CB374C8">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46" w:type="dxa"/>
            <w:noWrap w:val="0"/>
            <w:vAlign w:val="center"/>
          </w:tcPr>
          <w:p w14:paraId="10A18294">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4B724844">
            <w:pPr>
              <w:ind w:left="-63" w:leftChars="-30" w:right="-63" w:rightChars="-30"/>
              <w:jc w:val="center"/>
              <w:rPr>
                <w:color w:val="000000"/>
                <w:kern w:val="0"/>
                <w:szCs w:val="21"/>
              </w:rPr>
            </w:pPr>
            <w:r>
              <w:rPr>
                <w:color w:val="000000"/>
                <w:kern w:val="0"/>
                <w:szCs w:val="21"/>
              </w:rPr>
              <w:t>92</w:t>
            </w:r>
          </w:p>
        </w:tc>
        <w:tc>
          <w:tcPr>
            <w:tcW w:w="858" w:type="dxa"/>
            <w:noWrap w:val="0"/>
            <w:vAlign w:val="center"/>
          </w:tcPr>
          <w:p w14:paraId="3DCC917B">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24F3AB72">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427881C6">
            <w:pPr>
              <w:ind w:left="-63" w:leftChars="-30" w:right="-63" w:rightChars="-30"/>
              <w:jc w:val="center"/>
              <w:rPr>
                <w:color w:val="000000"/>
                <w:kern w:val="0"/>
                <w:szCs w:val="21"/>
              </w:rPr>
            </w:pPr>
            <w:r>
              <w:rPr>
                <w:color w:val="000000"/>
                <w:kern w:val="0"/>
                <w:szCs w:val="21"/>
              </w:rPr>
              <w:t>32.47</w:t>
            </w:r>
          </w:p>
        </w:tc>
      </w:tr>
      <w:tr w14:paraId="23C78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restart"/>
            <w:noWrap w:val="0"/>
            <w:vAlign w:val="center"/>
          </w:tcPr>
          <w:p w14:paraId="0B0B1487">
            <w:pPr>
              <w:ind w:left="-63" w:leftChars="-30" w:right="-63" w:rightChars="-30"/>
              <w:jc w:val="center"/>
              <w:rPr>
                <w:color w:val="000000"/>
                <w:kern w:val="0"/>
                <w:szCs w:val="21"/>
              </w:rPr>
            </w:pPr>
            <w:r>
              <w:rPr>
                <w:color w:val="000000"/>
                <w:kern w:val="0"/>
                <w:szCs w:val="21"/>
              </w:rPr>
              <w:t>4</w:t>
            </w:r>
          </w:p>
        </w:tc>
        <w:tc>
          <w:tcPr>
            <w:tcW w:w="553" w:type="dxa"/>
            <w:vMerge w:val="restart"/>
            <w:noWrap w:val="0"/>
            <w:vAlign w:val="center"/>
          </w:tcPr>
          <w:p w14:paraId="6D7C3C94">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芦岭镇</w:t>
            </w:r>
          </w:p>
        </w:tc>
        <w:tc>
          <w:tcPr>
            <w:tcW w:w="552" w:type="dxa"/>
            <w:noWrap w:val="0"/>
            <w:vAlign w:val="center"/>
          </w:tcPr>
          <w:p w14:paraId="75C238BF">
            <w:pPr>
              <w:ind w:left="-63" w:leftChars="-30" w:right="-63" w:rightChars="-30"/>
              <w:jc w:val="center"/>
              <w:rPr>
                <w:color w:val="000000"/>
                <w:kern w:val="0"/>
                <w:szCs w:val="21"/>
              </w:rPr>
            </w:pPr>
            <w:r>
              <w:rPr>
                <w:color w:val="000000"/>
                <w:kern w:val="0"/>
                <w:szCs w:val="21"/>
              </w:rPr>
              <w:t>1</w:t>
            </w:r>
          </w:p>
        </w:tc>
        <w:tc>
          <w:tcPr>
            <w:tcW w:w="4015" w:type="dxa"/>
            <w:noWrap w:val="0"/>
            <w:vAlign w:val="center"/>
          </w:tcPr>
          <w:p w14:paraId="5B03484D">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东至工人街，南至工农路，西至中心大街、振兴路，北至求学路、兴业路</w:t>
            </w:r>
          </w:p>
        </w:tc>
        <w:tc>
          <w:tcPr>
            <w:tcW w:w="746" w:type="dxa"/>
            <w:noWrap w:val="0"/>
            <w:vAlign w:val="center"/>
          </w:tcPr>
          <w:p w14:paraId="6FA09E23">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6EA41141">
            <w:pPr>
              <w:ind w:left="-63" w:leftChars="-30" w:right="-63" w:rightChars="-30"/>
              <w:jc w:val="center"/>
              <w:rPr>
                <w:color w:val="000000"/>
                <w:kern w:val="0"/>
                <w:szCs w:val="21"/>
              </w:rPr>
            </w:pPr>
            <w:r>
              <w:rPr>
                <w:color w:val="000000"/>
                <w:kern w:val="0"/>
                <w:szCs w:val="21"/>
              </w:rPr>
              <w:t>98</w:t>
            </w:r>
          </w:p>
        </w:tc>
        <w:tc>
          <w:tcPr>
            <w:tcW w:w="858" w:type="dxa"/>
            <w:noWrap w:val="0"/>
            <w:vAlign w:val="center"/>
          </w:tcPr>
          <w:p w14:paraId="49F82ED3">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3EA49955">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22ECB1FB">
            <w:pPr>
              <w:ind w:left="-63" w:leftChars="-30" w:right="-63" w:rightChars="-30"/>
              <w:jc w:val="center"/>
              <w:rPr>
                <w:color w:val="000000"/>
                <w:kern w:val="0"/>
                <w:szCs w:val="21"/>
              </w:rPr>
            </w:pPr>
            <w:r>
              <w:rPr>
                <w:color w:val="000000"/>
                <w:kern w:val="0"/>
                <w:szCs w:val="21"/>
              </w:rPr>
              <w:t>36.41</w:t>
            </w:r>
          </w:p>
        </w:tc>
      </w:tr>
      <w:tr w14:paraId="279CE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6DCA3A36">
            <w:pPr>
              <w:ind w:left="-63" w:leftChars="-30" w:right="-63" w:rightChars="-30"/>
              <w:rPr>
                <w:color w:val="000000"/>
                <w:kern w:val="0"/>
                <w:szCs w:val="21"/>
              </w:rPr>
            </w:pPr>
          </w:p>
        </w:tc>
        <w:tc>
          <w:tcPr>
            <w:tcW w:w="553" w:type="dxa"/>
            <w:vMerge w:val="continue"/>
            <w:noWrap w:val="0"/>
            <w:vAlign w:val="center"/>
          </w:tcPr>
          <w:p w14:paraId="6C4D96AD">
            <w:pPr>
              <w:ind w:left="-63" w:leftChars="-30" w:right="-63" w:rightChars="-30"/>
              <w:rPr>
                <w:rFonts w:ascii="楷体_GB2312" w:hAnsi="宋体" w:eastAsia="楷体_GB2312" w:cs="宋体"/>
                <w:color w:val="000000"/>
                <w:kern w:val="0"/>
                <w:szCs w:val="21"/>
              </w:rPr>
            </w:pPr>
          </w:p>
        </w:tc>
        <w:tc>
          <w:tcPr>
            <w:tcW w:w="552" w:type="dxa"/>
            <w:noWrap w:val="0"/>
            <w:vAlign w:val="center"/>
          </w:tcPr>
          <w:p w14:paraId="179668CA">
            <w:pPr>
              <w:ind w:left="-63" w:leftChars="-30" w:right="-63" w:rightChars="-30"/>
              <w:jc w:val="center"/>
              <w:rPr>
                <w:color w:val="000000"/>
                <w:kern w:val="0"/>
                <w:szCs w:val="21"/>
              </w:rPr>
            </w:pPr>
            <w:r>
              <w:rPr>
                <w:color w:val="000000"/>
                <w:kern w:val="0"/>
                <w:szCs w:val="21"/>
              </w:rPr>
              <w:t>2</w:t>
            </w:r>
          </w:p>
        </w:tc>
        <w:tc>
          <w:tcPr>
            <w:tcW w:w="4015" w:type="dxa"/>
            <w:noWrap w:val="0"/>
            <w:vAlign w:val="center"/>
          </w:tcPr>
          <w:p w14:paraId="63100A4A">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东至学苑路、东城路，南至陵园路，西至环城路，北至富民路</w:t>
            </w:r>
          </w:p>
        </w:tc>
        <w:tc>
          <w:tcPr>
            <w:tcW w:w="746" w:type="dxa"/>
            <w:noWrap w:val="0"/>
            <w:vAlign w:val="center"/>
          </w:tcPr>
          <w:p w14:paraId="021325C9">
            <w:pPr>
              <w:ind w:left="-63" w:leftChars="-30" w:right="-63" w:rightChars="-30"/>
              <w:jc w:val="center"/>
              <w:rPr>
                <w:color w:val="000000"/>
                <w:kern w:val="0"/>
                <w:szCs w:val="21"/>
              </w:rPr>
            </w:pPr>
            <w:r>
              <w:rPr>
                <w:color w:val="000000"/>
                <w:kern w:val="0"/>
                <w:szCs w:val="21"/>
              </w:rPr>
              <w:t>0.98</w:t>
            </w:r>
          </w:p>
        </w:tc>
        <w:tc>
          <w:tcPr>
            <w:tcW w:w="685" w:type="dxa"/>
            <w:noWrap w:val="0"/>
            <w:vAlign w:val="center"/>
          </w:tcPr>
          <w:p w14:paraId="770EABB1">
            <w:pPr>
              <w:ind w:left="-63" w:leftChars="-30" w:right="-63" w:rightChars="-30"/>
              <w:jc w:val="center"/>
              <w:rPr>
                <w:color w:val="000000"/>
                <w:kern w:val="0"/>
                <w:szCs w:val="21"/>
              </w:rPr>
            </w:pPr>
            <w:r>
              <w:rPr>
                <w:color w:val="000000"/>
                <w:kern w:val="0"/>
                <w:szCs w:val="21"/>
              </w:rPr>
              <w:t>95</w:t>
            </w:r>
          </w:p>
        </w:tc>
        <w:tc>
          <w:tcPr>
            <w:tcW w:w="858" w:type="dxa"/>
            <w:noWrap w:val="0"/>
            <w:vAlign w:val="center"/>
          </w:tcPr>
          <w:p w14:paraId="4D937C91">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18F68440">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36D31660">
            <w:pPr>
              <w:ind w:left="-63" w:leftChars="-30" w:right="-63" w:rightChars="-30"/>
              <w:jc w:val="center"/>
              <w:rPr>
                <w:color w:val="000000"/>
                <w:kern w:val="0"/>
                <w:szCs w:val="21"/>
              </w:rPr>
            </w:pPr>
            <w:r>
              <w:rPr>
                <w:color w:val="000000"/>
                <w:kern w:val="0"/>
                <w:szCs w:val="21"/>
              </w:rPr>
              <w:t>34.59</w:t>
            </w:r>
          </w:p>
        </w:tc>
      </w:tr>
      <w:tr w14:paraId="1C54C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0276C9CC">
            <w:pPr>
              <w:ind w:left="-63" w:leftChars="-30" w:right="-63" w:rightChars="-30"/>
              <w:rPr>
                <w:color w:val="000000"/>
                <w:kern w:val="0"/>
                <w:szCs w:val="21"/>
              </w:rPr>
            </w:pPr>
          </w:p>
        </w:tc>
        <w:tc>
          <w:tcPr>
            <w:tcW w:w="553" w:type="dxa"/>
            <w:vMerge w:val="continue"/>
            <w:noWrap w:val="0"/>
            <w:vAlign w:val="center"/>
          </w:tcPr>
          <w:p w14:paraId="16062E73">
            <w:pPr>
              <w:ind w:left="-63" w:leftChars="-30" w:right="-63" w:rightChars="-30"/>
              <w:rPr>
                <w:rFonts w:ascii="楷体_GB2312" w:hAnsi="宋体" w:eastAsia="楷体_GB2312" w:cs="宋体"/>
                <w:color w:val="000000"/>
                <w:kern w:val="0"/>
                <w:szCs w:val="21"/>
              </w:rPr>
            </w:pPr>
          </w:p>
        </w:tc>
        <w:tc>
          <w:tcPr>
            <w:tcW w:w="552" w:type="dxa"/>
            <w:noWrap w:val="0"/>
            <w:vAlign w:val="center"/>
          </w:tcPr>
          <w:p w14:paraId="6929C755">
            <w:pPr>
              <w:ind w:left="-63" w:leftChars="-30" w:right="-63" w:rightChars="-30"/>
              <w:jc w:val="center"/>
              <w:rPr>
                <w:color w:val="000000"/>
                <w:kern w:val="0"/>
                <w:szCs w:val="21"/>
              </w:rPr>
            </w:pPr>
            <w:r>
              <w:rPr>
                <w:color w:val="000000"/>
                <w:kern w:val="0"/>
                <w:szCs w:val="21"/>
              </w:rPr>
              <w:t>3</w:t>
            </w:r>
          </w:p>
        </w:tc>
        <w:tc>
          <w:tcPr>
            <w:tcW w:w="4015" w:type="dxa"/>
            <w:noWrap w:val="0"/>
            <w:vAlign w:val="center"/>
          </w:tcPr>
          <w:p w14:paraId="0750195F">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46" w:type="dxa"/>
            <w:noWrap w:val="0"/>
            <w:vAlign w:val="center"/>
          </w:tcPr>
          <w:p w14:paraId="3BE0B252">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7B826E9D">
            <w:pPr>
              <w:ind w:left="-63" w:leftChars="-30" w:right="-63" w:rightChars="-30"/>
              <w:jc w:val="center"/>
              <w:rPr>
                <w:color w:val="000000"/>
                <w:kern w:val="0"/>
                <w:szCs w:val="21"/>
              </w:rPr>
            </w:pPr>
            <w:r>
              <w:rPr>
                <w:color w:val="000000"/>
                <w:kern w:val="0"/>
                <w:szCs w:val="21"/>
              </w:rPr>
              <w:t>92</w:t>
            </w:r>
          </w:p>
        </w:tc>
        <w:tc>
          <w:tcPr>
            <w:tcW w:w="858" w:type="dxa"/>
            <w:noWrap w:val="0"/>
            <w:vAlign w:val="center"/>
          </w:tcPr>
          <w:p w14:paraId="4F0BC37A">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56AB5790">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08218159">
            <w:pPr>
              <w:ind w:left="-63" w:leftChars="-30" w:right="-63" w:rightChars="-30"/>
              <w:jc w:val="center"/>
              <w:rPr>
                <w:color w:val="000000"/>
                <w:kern w:val="0"/>
                <w:szCs w:val="21"/>
              </w:rPr>
            </w:pPr>
            <w:r>
              <w:rPr>
                <w:color w:val="000000"/>
                <w:kern w:val="0"/>
                <w:szCs w:val="21"/>
              </w:rPr>
              <w:t>32.47</w:t>
            </w:r>
          </w:p>
        </w:tc>
      </w:tr>
      <w:tr w14:paraId="53ACD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restart"/>
            <w:noWrap w:val="0"/>
            <w:vAlign w:val="center"/>
          </w:tcPr>
          <w:p w14:paraId="625FD07A">
            <w:pPr>
              <w:ind w:left="-63" w:leftChars="-30" w:right="-63" w:rightChars="-30"/>
              <w:jc w:val="center"/>
              <w:rPr>
                <w:color w:val="000000"/>
                <w:kern w:val="0"/>
                <w:szCs w:val="21"/>
              </w:rPr>
            </w:pPr>
            <w:r>
              <w:rPr>
                <w:color w:val="000000"/>
                <w:kern w:val="0"/>
                <w:szCs w:val="21"/>
              </w:rPr>
              <w:t>5</w:t>
            </w:r>
          </w:p>
        </w:tc>
        <w:tc>
          <w:tcPr>
            <w:tcW w:w="553" w:type="dxa"/>
            <w:vMerge w:val="restart"/>
            <w:noWrap w:val="0"/>
            <w:vAlign w:val="center"/>
          </w:tcPr>
          <w:p w14:paraId="5BA56915">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大店镇</w:t>
            </w:r>
          </w:p>
        </w:tc>
        <w:tc>
          <w:tcPr>
            <w:tcW w:w="552" w:type="dxa"/>
            <w:noWrap w:val="0"/>
            <w:vAlign w:val="center"/>
          </w:tcPr>
          <w:p w14:paraId="7AA6F7FA">
            <w:pPr>
              <w:ind w:left="-63" w:leftChars="-30" w:right="-63" w:rightChars="-30"/>
              <w:jc w:val="center"/>
              <w:rPr>
                <w:color w:val="000000"/>
                <w:kern w:val="0"/>
                <w:szCs w:val="21"/>
              </w:rPr>
            </w:pPr>
            <w:r>
              <w:rPr>
                <w:color w:val="000000"/>
                <w:kern w:val="0"/>
                <w:szCs w:val="21"/>
              </w:rPr>
              <w:t>1</w:t>
            </w:r>
          </w:p>
        </w:tc>
        <w:tc>
          <w:tcPr>
            <w:tcW w:w="4015" w:type="dxa"/>
            <w:noWrap w:val="0"/>
            <w:vAlign w:val="center"/>
          </w:tcPr>
          <w:p w14:paraId="61B872A4">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东至东昌路，南至静安路，西至西昌路，北至</w:t>
            </w:r>
            <w:r>
              <w:rPr>
                <w:rFonts w:eastAsia="楷体_GB2312"/>
                <w:color w:val="000000"/>
                <w:kern w:val="0"/>
                <w:szCs w:val="21"/>
              </w:rPr>
              <w:t>303</w:t>
            </w:r>
            <w:r>
              <w:rPr>
                <w:rFonts w:hint="eastAsia" w:ascii="楷体_GB2312" w:hAnsi="宋体" w:eastAsia="楷体_GB2312" w:cs="宋体"/>
                <w:color w:val="000000"/>
                <w:kern w:val="0"/>
                <w:szCs w:val="21"/>
              </w:rPr>
              <w:t>省道</w:t>
            </w:r>
          </w:p>
        </w:tc>
        <w:tc>
          <w:tcPr>
            <w:tcW w:w="746" w:type="dxa"/>
            <w:noWrap w:val="0"/>
            <w:vAlign w:val="center"/>
          </w:tcPr>
          <w:p w14:paraId="3D00A4D0">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1499A9BF">
            <w:pPr>
              <w:ind w:left="-63" w:leftChars="-30" w:right="-63" w:rightChars="-30"/>
              <w:jc w:val="center"/>
              <w:rPr>
                <w:color w:val="000000"/>
                <w:kern w:val="0"/>
                <w:szCs w:val="21"/>
              </w:rPr>
            </w:pPr>
            <w:r>
              <w:rPr>
                <w:color w:val="000000"/>
                <w:kern w:val="0"/>
                <w:szCs w:val="21"/>
              </w:rPr>
              <w:t>98</w:t>
            </w:r>
          </w:p>
        </w:tc>
        <w:tc>
          <w:tcPr>
            <w:tcW w:w="858" w:type="dxa"/>
            <w:noWrap w:val="0"/>
            <w:vAlign w:val="center"/>
          </w:tcPr>
          <w:p w14:paraId="1A3A9038">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51C726F9">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7F493FCA">
            <w:pPr>
              <w:ind w:left="-63" w:leftChars="-30" w:right="-63" w:rightChars="-30"/>
              <w:jc w:val="center"/>
              <w:rPr>
                <w:color w:val="000000"/>
                <w:kern w:val="0"/>
                <w:szCs w:val="21"/>
              </w:rPr>
            </w:pPr>
            <w:r>
              <w:rPr>
                <w:color w:val="000000"/>
                <w:kern w:val="0"/>
                <w:szCs w:val="21"/>
              </w:rPr>
              <w:t>36.41</w:t>
            </w:r>
          </w:p>
        </w:tc>
      </w:tr>
      <w:tr w14:paraId="303C2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5A2AD62C">
            <w:pPr>
              <w:ind w:left="-63" w:leftChars="-30" w:right="-63" w:rightChars="-30"/>
              <w:rPr>
                <w:color w:val="000000"/>
                <w:kern w:val="0"/>
                <w:szCs w:val="21"/>
              </w:rPr>
            </w:pPr>
          </w:p>
        </w:tc>
        <w:tc>
          <w:tcPr>
            <w:tcW w:w="553" w:type="dxa"/>
            <w:vMerge w:val="continue"/>
            <w:noWrap w:val="0"/>
            <w:vAlign w:val="center"/>
          </w:tcPr>
          <w:p w14:paraId="399BB873">
            <w:pPr>
              <w:ind w:left="-63" w:leftChars="-30" w:right="-63" w:rightChars="-30"/>
              <w:rPr>
                <w:rFonts w:ascii="楷体_GB2312" w:hAnsi="宋体" w:eastAsia="楷体_GB2312" w:cs="宋体"/>
                <w:color w:val="000000"/>
                <w:kern w:val="0"/>
                <w:szCs w:val="21"/>
              </w:rPr>
            </w:pPr>
          </w:p>
        </w:tc>
        <w:tc>
          <w:tcPr>
            <w:tcW w:w="552" w:type="dxa"/>
            <w:noWrap w:val="0"/>
            <w:vAlign w:val="center"/>
          </w:tcPr>
          <w:p w14:paraId="68E3A778">
            <w:pPr>
              <w:ind w:left="-63" w:leftChars="-30" w:right="-63" w:rightChars="-30"/>
              <w:jc w:val="center"/>
              <w:rPr>
                <w:color w:val="000000"/>
                <w:kern w:val="0"/>
                <w:szCs w:val="21"/>
              </w:rPr>
            </w:pPr>
            <w:r>
              <w:rPr>
                <w:color w:val="000000"/>
                <w:kern w:val="0"/>
                <w:szCs w:val="21"/>
              </w:rPr>
              <w:t>2</w:t>
            </w:r>
          </w:p>
        </w:tc>
        <w:tc>
          <w:tcPr>
            <w:tcW w:w="4015" w:type="dxa"/>
            <w:noWrap w:val="0"/>
            <w:vAlign w:val="center"/>
          </w:tcPr>
          <w:p w14:paraId="267921B5">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东至滨水西路东侧水系，南至南一环路，西至幸福路、西昌路，北至</w:t>
            </w:r>
            <w:r>
              <w:rPr>
                <w:rFonts w:eastAsia="楷体_GB2312"/>
                <w:color w:val="000000"/>
                <w:kern w:val="0"/>
                <w:szCs w:val="21"/>
              </w:rPr>
              <w:t>303</w:t>
            </w:r>
            <w:r>
              <w:rPr>
                <w:rFonts w:hint="eastAsia" w:ascii="楷体_GB2312" w:hAnsi="宋体" w:eastAsia="楷体_GB2312" w:cs="宋体"/>
                <w:color w:val="000000"/>
                <w:kern w:val="0"/>
                <w:szCs w:val="21"/>
              </w:rPr>
              <w:t>省道</w:t>
            </w:r>
          </w:p>
        </w:tc>
        <w:tc>
          <w:tcPr>
            <w:tcW w:w="746" w:type="dxa"/>
            <w:noWrap w:val="0"/>
            <w:vAlign w:val="center"/>
          </w:tcPr>
          <w:p w14:paraId="2F0E9E84">
            <w:pPr>
              <w:ind w:left="-63" w:leftChars="-30" w:right="-63" w:rightChars="-30"/>
              <w:jc w:val="center"/>
              <w:rPr>
                <w:color w:val="000000"/>
                <w:kern w:val="0"/>
                <w:szCs w:val="21"/>
              </w:rPr>
            </w:pPr>
            <w:r>
              <w:rPr>
                <w:color w:val="000000"/>
                <w:kern w:val="0"/>
                <w:szCs w:val="21"/>
              </w:rPr>
              <w:t>0.98</w:t>
            </w:r>
          </w:p>
        </w:tc>
        <w:tc>
          <w:tcPr>
            <w:tcW w:w="685" w:type="dxa"/>
            <w:noWrap w:val="0"/>
            <w:vAlign w:val="center"/>
          </w:tcPr>
          <w:p w14:paraId="4A45D25E">
            <w:pPr>
              <w:ind w:left="-63" w:leftChars="-30" w:right="-63" w:rightChars="-30"/>
              <w:jc w:val="center"/>
              <w:rPr>
                <w:color w:val="000000"/>
                <w:kern w:val="0"/>
                <w:szCs w:val="21"/>
              </w:rPr>
            </w:pPr>
            <w:r>
              <w:rPr>
                <w:color w:val="000000"/>
                <w:kern w:val="0"/>
                <w:szCs w:val="21"/>
              </w:rPr>
              <w:t>95</w:t>
            </w:r>
          </w:p>
        </w:tc>
        <w:tc>
          <w:tcPr>
            <w:tcW w:w="858" w:type="dxa"/>
            <w:noWrap w:val="0"/>
            <w:vAlign w:val="center"/>
          </w:tcPr>
          <w:p w14:paraId="35297A86">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5501ADD5">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16CD5BAE">
            <w:pPr>
              <w:ind w:left="-63" w:leftChars="-30" w:right="-63" w:rightChars="-30"/>
              <w:jc w:val="center"/>
              <w:rPr>
                <w:color w:val="000000"/>
                <w:kern w:val="0"/>
                <w:szCs w:val="21"/>
              </w:rPr>
            </w:pPr>
            <w:r>
              <w:rPr>
                <w:color w:val="000000"/>
                <w:kern w:val="0"/>
                <w:szCs w:val="21"/>
              </w:rPr>
              <w:t>34.59</w:t>
            </w:r>
          </w:p>
        </w:tc>
      </w:tr>
      <w:tr w14:paraId="3C757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1447606D">
            <w:pPr>
              <w:ind w:left="-63" w:leftChars="-30" w:right="-63" w:rightChars="-30"/>
              <w:rPr>
                <w:color w:val="000000"/>
                <w:kern w:val="0"/>
                <w:szCs w:val="21"/>
              </w:rPr>
            </w:pPr>
          </w:p>
        </w:tc>
        <w:tc>
          <w:tcPr>
            <w:tcW w:w="553" w:type="dxa"/>
            <w:vMerge w:val="continue"/>
            <w:noWrap w:val="0"/>
            <w:vAlign w:val="center"/>
          </w:tcPr>
          <w:p w14:paraId="73F0F15D">
            <w:pPr>
              <w:ind w:left="-63" w:leftChars="-30" w:right="-63" w:rightChars="-30"/>
              <w:rPr>
                <w:rFonts w:ascii="楷体_GB2312" w:hAnsi="宋体" w:eastAsia="楷体_GB2312" w:cs="宋体"/>
                <w:color w:val="000000"/>
                <w:kern w:val="0"/>
                <w:szCs w:val="21"/>
              </w:rPr>
            </w:pPr>
          </w:p>
        </w:tc>
        <w:tc>
          <w:tcPr>
            <w:tcW w:w="552" w:type="dxa"/>
            <w:noWrap w:val="0"/>
            <w:vAlign w:val="center"/>
          </w:tcPr>
          <w:p w14:paraId="511F5239">
            <w:pPr>
              <w:ind w:left="-63" w:leftChars="-30" w:right="-63" w:rightChars="-30"/>
              <w:jc w:val="center"/>
              <w:rPr>
                <w:color w:val="000000"/>
                <w:kern w:val="0"/>
                <w:szCs w:val="21"/>
              </w:rPr>
            </w:pPr>
            <w:r>
              <w:rPr>
                <w:color w:val="000000"/>
                <w:kern w:val="0"/>
                <w:szCs w:val="21"/>
              </w:rPr>
              <w:t>3</w:t>
            </w:r>
          </w:p>
        </w:tc>
        <w:tc>
          <w:tcPr>
            <w:tcW w:w="4015" w:type="dxa"/>
            <w:noWrap w:val="0"/>
            <w:vAlign w:val="center"/>
          </w:tcPr>
          <w:p w14:paraId="4B93154D">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46" w:type="dxa"/>
            <w:noWrap w:val="0"/>
            <w:vAlign w:val="center"/>
          </w:tcPr>
          <w:p w14:paraId="1AB80792">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74F0EC5C">
            <w:pPr>
              <w:ind w:left="-63" w:leftChars="-30" w:right="-63" w:rightChars="-30"/>
              <w:jc w:val="center"/>
              <w:rPr>
                <w:color w:val="000000"/>
                <w:kern w:val="0"/>
                <w:szCs w:val="21"/>
              </w:rPr>
            </w:pPr>
            <w:r>
              <w:rPr>
                <w:color w:val="000000"/>
                <w:kern w:val="0"/>
                <w:szCs w:val="21"/>
              </w:rPr>
              <w:t>92</w:t>
            </w:r>
          </w:p>
        </w:tc>
        <w:tc>
          <w:tcPr>
            <w:tcW w:w="858" w:type="dxa"/>
            <w:noWrap w:val="0"/>
            <w:vAlign w:val="center"/>
          </w:tcPr>
          <w:p w14:paraId="44341E0C">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77746673">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12909E2D">
            <w:pPr>
              <w:ind w:left="-63" w:leftChars="-30" w:right="-63" w:rightChars="-30"/>
              <w:jc w:val="center"/>
              <w:rPr>
                <w:color w:val="000000"/>
                <w:kern w:val="0"/>
                <w:szCs w:val="21"/>
              </w:rPr>
            </w:pPr>
            <w:r>
              <w:rPr>
                <w:color w:val="000000"/>
                <w:kern w:val="0"/>
                <w:szCs w:val="21"/>
              </w:rPr>
              <w:t>32.47</w:t>
            </w:r>
          </w:p>
        </w:tc>
      </w:tr>
      <w:tr w14:paraId="1144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restart"/>
            <w:noWrap w:val="0"/>
            <w:vAlign w:val="center"/>
          </w:tcPr>
          <w:p w14:paraId="28E93CFA">
            <w:pPr>
              <w:ind w:left="-63" w:leftChars="-30" w:right="-63" w:rightChars="-30"/>
              <w:jc w:val="center"/>
              <w:rPr>
                <w:color w:val="000000"/>
                <w:kern w:val="0"/>
                <w:szCs w:val="21"/>
              </w:rPr>
            </w:pPr>
            <w:r>
              <w:rPr>
                <w:color w:val="000000"/>
                <w:kern w:val="0"/>
                <w:szCs w:val="21"/>
              </w:rPr>
              <w:t>6</w:t>
            </w:r>
          </w:p>
        </w:tc>
        <w:tc>
          <w:tcPr>
            <w:tcW w:w="553" w:type="dxa"/>
            <w:vMerge w:val="restart"/>
            <w:noWrap w:val="0"/>
            <w:vAlign w:val="center"/>
          </w:tcPr>
          <w:p w14:paraId="2DE302B2">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栏杆镇</w:t>
            </w:r>
          </w:p>
        </w:tc>
        <w:tc>
          <w:tcPr>
            <w:tcW w:w="552" w:type="dxa"/>
            <w:noWrap w:val="0"/>
            <w:vAlign w:val="center"/>
          </w:tcPr>
          <w:p w14:paraId="751E9B7C">
            <w:pPr>
              <w:ind w:left="-63" w:leftChars="-30" w:right="-63" w:rightChars="-30"/>
              <w:jc w:val="center"/>
              <w:rPr>
                <w:color w:val="000000"/>
                <w:kern w:val="0"/>
                <w:szCs w:val="21"/>
              </w:rPr>
            </w:pPr>
            <w:r>
              <w:rPr>
                <w:color w:val="000000"/>
                <w:kern w:val="0"/>
                <w:szCs w:val="21"/>
              </w:rPr>
              <w:t>1</w:t>
            </w:r>
          </w:p>
        </w:tc>
        <w:tc>
          <w:tcPr>
            <w:tcW w:w="4015" w:type="dxa"/>
            <w:noWrap w:val="0"/>
            <w:vAlign w:val="center"/>
          </w:tcPr>
          <w:p w14:paraId="4F97F7D5">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东至曹栏路，南至纳福路、振兴路，西至滨河东路，北至宜居路</w:t>
            </w:r>
          </w:p>
        </w:tc>
        <w:tc>
          <w:tcPr>
            <w:tcW w:w="746" w:type="dxa"/>
            <w:noWrap w:val="0"/>
            <w:vAlign w:val="center"/>
          </w:tcPr>
          <w:p w14:paraId="3CF53672">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706F1EC6">
            <w:pPr>
              <w:ind w:left="-63" w:leftChars="-30" w:right="-63" w:rightChars="-30"/>
              <w:jc w:val="center"/>
              <w:rPr>
                <w:color w:val="000000"/>
                <w:kern w:val="0"/>
                <w:szCs w:val="21"/>
              </w:rPr>
            </w:pPr>
            <w:r>
              <w:rPr>
                <w:color w:val="000000"/>
                <w:kern w:val="0"/>
                <w:szCs w:val="21"/>
              </w:rPr>
              <w:t>98</w:t>
            </w:r>
          </w:p>
        </w:tc>
        <w:tc>
          <w:tcPr>
            <w:tcW w:w="858" w:type="dxa"/>
            <w:noWrap w:val="0"/>
            <w:vAlign w:val="center"/>
          </w:tcPr>
          <w:p w14:paraId="477E7790">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69A8319B">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76E106F9">
            <w:pPr>
              <w:ind w:left="-63" w:leftChars="-30" w:right="-63" w:rightChars="-30"/>
              <w:jc w:val="center"/>
              <w:rPr>
                <w:color w:val="000000"/>
                <w:kern w:val="0"/>
                <w:szCs w:val="21"/>
              </w:rPr>
            </w:pPr>
            <w:r>
              <w:rPr>
                <w:color w:val="000000"/>
                <w:kern w:val="0"/>
                <w:szCs w:val="21"/>
              </w:rPr>
              <w:t>36.41</w:t>
            </w:r>
          </w:p>
        </w:tc>
      </w:tr>
      <w:tr w14:paraId="195BC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269AA483">
            <w:pPr>
              <w:ind w:left="-63" w:leftChars="-30" w:right="-63" w:rightChars="-30"/>
              <w:rPr>
                <w:color w:val="000000"/>
                <w:kern w:val="0"/>
                <w:szCs w:val="21"/>
              </w:rPr>
            </w:pPr>
          </w:p>
        </w:tc>
        <w:tc>
          <w:tcPr>
            <w:tcW w:w="553" w:type="dxa"/>
            <w:vMerge w:val="continue"/>
            <w:noWrap w:val="0"/>
            <w:vAlign w:val="center"/>
          </w:tcPr>
          <w:p w14:paraId="77BC711B">
            <w:pPr>
              <w:ind w:left="-63" w:leftChars="-30" w:right="-63" w:rightChars="-30"/>
              <w:rPr>
                <w:rFonts w:ascii="楷体_GB2312" w:hAnsi="宋体" w:eastAsia="楷体_GB2312" w:cs="宋体"/>
                <w:color w:val="000000"/>
                <w:kern w:val="0"/>
                <w:szCs w:val="21"/>
              </w:rPr>
            </w:pPr>
          </w:p>
        </w:tc>
        <w:tc>
          <w:tcPr>
            <w:tcW w:w="552" w:type="dxa"/>
            <w:vMerge w:val="restart"/>
            <w:noWrap w:val="0"/>
            <w:vAlign w:val="center"/>
          </w:tcPr>
          <w:p w14:paraId="71DEAC84">
            <w:pPr>
              <w:ind w:left="-63" w:leftChars="-30" w:right="-63" w:rightChars="-30"/>
              <w:jc w:val="center"/>
              <w:rPr>
                <w:color w:val="000000"/>
                <w:kern w:val="0"/>
                <w:szCs w:val="21"/>
              </w:rPr>
            </w:pPr>
            <w:r>
              <w:rPr>
                <w:color w:val="000000"/>
                <w:kern w:val="0"/>
                <w:szCs w:val="21"/>
              </w:rPr>
              <w:t>2</w:t>
            </w:r>
          </w:p>
        </w:tc>
        <w:tc>
          <w:tcPr>
            <w:tcW w:w="4015" w:type="dxa"/>
            <w:noWrap w:val="0"/>
            <w:vAlign w:val="center"/>
          </w:tcPr>
          <w:p w14:paraId="695107D4">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区域一：东至文明路、格致路，南至科技大道，西至滨河东路，北至德高路、北环路</w:t>
            </w:r>
          </w:p>
        </w:tc>
        <w:tc>
          <w:tcPr>
            <w:tcW w:w="746" w:type="dxa"/>
            <w:noWrap w:val="0"/>
            <w:vAlign w:val="center"/>
          </w:tcPr>
          <w:p w14:paraId="787EF1F5">
            <w:pPr>
              <w:ind w:left="-63" w:leftChars="-30" w:right="-63" w:rightChars="-30"/>
              <w:jc w:val="center"/>
              <w:rPr>
                <w:color w:val="000000"/>
                <w:kern w:val="0"/>
                <w:szCs w:val="21"/>
              </w:rPr>
            </w:pPr>
            <w:r>
              <w:rPr>
                <w:color w:val="000000"/>
                <w:kern w:val="0"/>
                <w:szCs w:val="21"/>
              </w:rPr>
              <w:t>0.98</w:t>
            </w:r>
          </w:p>
        </w:tc>
        <w:tc>
          <w:tcPr>
            <w:tcW w:w="685" w:type="dxa"/>
            <w:noWrap w:val="0"/>
            <w:vAlign w:val="center"/>
          </w:tcPr>
          <w:p w14:paraId="4B6F4287">
            <w:pPr>
              <w:ind w:left="-63" w:leftChars="-30" w:right="-63" w:rightChars="-30"/>
              <w:jc w:val="center"/>
              <w:rPr>
                <w:color w:val="000000"/>
                <w:kern w:val="0"/>
                <w:szCs w:val="21"/>
              </w:rPr>
            </w:pPr>
            <w:r>
              <w:rPr>
                <w:color w:val="000000"/>
                <w:kern w:val="0"/>
                <w:szCs w:val="21"/>
              </w:rPr>
              <w:t>95</w:t>
            </w:r>
          </w:p>
        </w:tc>
        <w:tc>
          <w:tcPr>
            <w:tcW w:w="858" w:type="dxa"/>
            <w:noWrap w:val="0"/>
            <w:vAlign w:val="center"/>
          </w:tcPr>
          <w:p w14:paraId="6CBFF0BD">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0BB17E54">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382A26C9">
            <w:pPr>
              <w:ind w:left="-63" w:leftChars="-30" w:right="-63" w:rightChars="-30"/>
              <w:jc w:val="center"/>
              <w:rPr>
                <w:color w:val="000000"/>
                <w:kern w:val="0"/>
                <w:szCs w:val="21"/>
              </w:rPr>
            </w:pPr>
            <w:r>
              <w:rPr>
                <w:color w:val="000000"/>
                <w:kern w:val="0"/>
                <w:szCs w:val="21"/>
              </w:rPr>
              <w:t>34.59</w:t>
            </w:r>
          </w:p>
        </w:tc>
      </w:tr>
      <w:tr w14:paraId="221A2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22DB1B65">
            <w:pPr>
              <w:ind w:left="-63" w:leftChars="-30" w:right="-63" w:rightChars="-30"/>
              <w:rPr>
                <w:color w:val="000000"/>
                <w:kern w:val="0"/>
                <w:szCs w:val="21"/>
              </w:rPr>
            </w:pPr>
          </w:p>
        </w:tc>
        <w:tc>
          <w:tcPr>
            <w:tcW w:w="553" w:type="dxa"/>
            <w:vMerge w:val="continue"/>
            <w:noWrap w:val="0"/>
            <w:vAlign w:val="center"/>
          </w:tcPr>
          <w:p w14:paraId="65A00E36">
            <w:pPr>
              <w:ind w:left="-63" w:leftChars="-30" w:right="-63" w:rightChars="-30"/>
              <w:rPr>
                <w:rFonts w:ascii="楷体_GB2312" w:hAnsi="宋体" w:eastAsia="楷体_GB2312" w:cs="宋体"/>
                <w:color w:val="000000"/>
                <w:kern w:val="0"/>
                <w:szCs w:val="21"/>
              </w:rPr>
            </w:pPr>
          </w:p>
        </w:tc>
        <w:tc>
          <w:tcPr>
            <w:tcW w:w="552" w:type="dxa"/>
            <w:vMerge w:val="continue"/>
            <w:noWrap w:val="0"/>
            <w:vAlign w:val="center"/>
          </w:tcPr>
          <w:p w14:paraId="7F6E0077">
            <w:pPr>
              <w:ind w:left="-63" w:leftChars="-30" w:right="-63" w:rightChars="-30"/>
              <w:rPr>
                <w:color w:val="000000"/>
                <w:kern w:val="0"/>
                <w:szCs w:val="21"/>
              </w:rPr>
            </w:pPr>
          </w:p>
        </w:tc>
        <w:tc>
          <w:tcPr>
            <w:tcW w:w="4015" w:type="dxa"/>
            <w:noWrap w:val="0"/>
            <w:vAlign w:val="center"/>
          </w:tcPr>
          <w:p w14:paraId="00AA0EFF">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区域二：东至滨河西路，南至迎朋路，西至亲民路，北至</w:t>
            </w:r>
            <w:r>
              <w:rPr>
                <w:rFonts w:eastAsia="楷体_GB2312"/>
                <w:color w:val="000000"/>
                <w:kern w:val="0"/>
                <w:szCs w:val="21"/>
              </w:rPr>
              <w:t>040</w:t>
            </w:r>
            <w:r>
              <w:rPr>
                <w:rFonts w:hint="eastAsia" w:ascii="楷体_GB2312" w:hAnsi="宋体" w:eastAsia="楷体_GB2312" w:cs="宋体"/>
                <w:color w:val="000000"/>
                <w:kern w:val="0"/>
                <w:szCs w:val="21"/>
              </w:rPr>
              <w:t>乡道</w:t>
            </w:r>
          </w:p>
        </w:tc>
        <w:tc>
          <w:tcPr>
            <w:tcW w:w="746" w:type="dxa"/>
            <w:noWrap w:val="0"/>
            <w:vAlign w:val="center"/>
          </w:tcPr>
          <w:p w14:paraId="79219827">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08F487B4">
            <w:pPr>
              <w:ind w:left="-63" w:leftChars="-30" w:right="-63" w:rightChars="-30"/>
              <w:jc w:val="center"/>
              <w:rPr>
                <w:color w:val="000000"/>
                <w:kern w:val="0"/>
                <w:szCs w:val="21"/>
              </w:rPr>
            </w:pPr>
            <w:r>
              <w:rPr>
                <w:color w:val="000000"/>
                <w:kern w:val="0"/>
                <w:szCs w:val="21"/>
              </w:rPr>
              <w:t>92</w:t>
            </w:r>
          </w:p>
        </w:tc>
        <w:tc>
          <w:tcPr>
            <w:tcW w:w="858" w:type="dxa"/>
            <w:noWrap w:val="0"/>
            <w:vAlign w:val="center"/>
          </w:tcPr>
          <w:p w14:paraId="40145F11">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448EAEF5">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28C4AF1F">
            <w:pPr>
              <w:ind w:left="-63" w:leftChars="-30" w:right="-63" w:rightChars="-30"/>
              <w:jc w:val="center"/>
              <w:rPr>
                <w:color w:val="000000"/>
                <w:kern w:val="0"/>
                <w:szCs w:val="21"/>
              </w:rPr>
            </w:pPr>
            <w:r>
              <w:rPr>
                <w:color w:val="000000"/>
                <w:kern w:val="0"/>
                <w:szCs w:val="21"/>
              </w:rPr>
              <w:t>32.47</w:t>
            </w:r>
          </w:p>
        </w:tc>
      </w:tr>
      <w:tr w14:paraId="2065D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57B53B04">
            <w:pPr>
              <w:ind w:left="-63" w:leftChars="-30" w:right="-63" w:rightChars="-30"/>
              <w:rPr>
                <w:color w:val="000000"/>
                <w:kern w:val="0"/>
                <w:szCs w:val="21"/>
              </w:rPr>
            </w:pPr>
          </w:p>
        </w:tc>
        <w:tc>
          <w:tcPr>
            <w:tcW w:w="553" w:type="dxa"/>
            <w:vMerge w:val="continue"/>
            <w:noWrap w:val="0"/>
            <w:vAlign w:val="center"/>
          </w:tcPr>
          <w:p w14:paraId="21E05AE9">
            <w:pPr>
              <w:ind w:left="-63" w:leftChars="-30" w:right="-63" w:rightChars="-30"/>
              <w:rPr>
                <w:rFonts w:ascii="楷体_GB2312" w:hAnsi="宋体" w:eastAsia="楷体_GB2312" w:cs="宋体"/>
                <w:color w:val="000000"/>
                <w:kern w:val="0"/>
                <w:szCs w:val="21"/>
              </w:rPr>
            </w:pPr>
          </w:p>
        </w:tc>
        <w:tc>
          <w:tcPr>
            <w:tcW w:w="552" w:type="dxa"/>
            <w:noWrap w:val="0"/>
            <w:vAlign w:val="center"/>
          </w:tcPr>
          <w:p w14:paraId="627EC1FB">
            <w:pPr>
              <w:ind w:left="-63" w:leftChars="-30" w:right="-63" w:rightChars="-30"/>
              <w:jc w:val="center"/>
              <w:rPr>
                <w:color w:val="000000"/>
                <w:kern w:val="0"/>
                <w:szCs w:val="21"/>
              </w:rPr>
            </w:pPr>
            <w:r>
              <w:rPr>
                <w:color w:val="000000"/>
                <w:kern w:val="0"/>
                <w:szCs w:val="21"/>
              </w:rPr>
              <w:t>3</w:t>
            </w:r>
          </w:p>
        </w:tc>
        <w:tc>
          <w:tcPr>
            <w:tcW w:w="4015" w:type="dxa"/>
            <w:noWrap w:val="0"/>
            <w:vAlign w:val="center"/>
          </w:tcPr>
          <w:p w14:paraId="4A7319E9">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46" w:type="dxa"/>
            <w:noWrap w:val="0"/>
            <w:vAlign w:val="center"/>
          </w:tcPr>
          <w:p w14:paraId="7DDFA453">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2D91404D">
            <w:pPr>
              <w:ind w:left="-63" w:leftChars="-30" w:right="-63" w:rightChars="-30"/>
              <w:jc w:val="center"/>
              <w:rPr>
                <w:color w:val="000000"/>
                <w:kern w:val="0"/>
                <w:szCs w:val="21"/>
              </w:rPr>
            </w:pPr>
            <w:r>
              <w:rPr>
                <w:color w:val="000000"/>
                <w:kern w:val="0"/>
                <w:szCs w:val="21"/>
              </w:rPr>
              <w:t>98</w:t>
            </w:r>
          </w:p>
        </w:tc>
        <w:tc>
          <w:tcPr>
            <w:tcW w:w="858" w:type="dxa"/>
            <w:noWrap w:val="0"/>
            <w:vAlign w:val="center"/>
          </w:tcPr>
          <w:p w14:paraId="686768EF">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3C05293C">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73D17C5C">
            <w:pPr>
              <w:ind w:left="-63" w:leftChars="-30" w:right="-63" w:rightChars="-30"/>
              <w:jc w:val="center"/>
              <w:rPr>
                <w:color w:val="000000"/>
                <w:kern w:val="0"/>
                <w:szCs w:val="21"/>
              </w:rPr>
            </w:pPr>
            <w:r>
              <w:rPr>
                <w:color w:val="000000"/>
                <w:kern w:val="0"/>
                <w:szCs w:val="21"/>
              </w:rPr>
              <w:t>36.41</w:t>
            </w:r>
          </w:p>
        </w:tc>
      </w:tr>
      <w:tr w14:paraId="23B2A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restart"/>
            <w:noWrap w:val="0"/>
            <w:vAlign w:val="center"/>
          </w:tcPr>
          <w:p w14:paraId="72B5E2AC">
            <w:pPr>
              <w:ind w:left="-63" w:leftChars="-30" w:right="-63" w:rightChars="-30"/>
              <w:jc w:val="center"/>
              <w:rPr>
                <w:color w:val="000000"/>
                <w:kern w:val="0"/>
                <w:szCs w:val="21"/>
              </w:rPr>
            </w:pPr>
            <w:r>
              <w:rPr>
                <w:color w:val="000000"/>
                <w:kern w:val="0"/>
                <w:szCs w:val="21"/>
              </w:rPr>
              <w:t>7</w:t>
            </w:r>
          </w:p>
        </w:tc>
        <w:tc>
          <w:tcPr>
            <w:tcW w:w="553" w:type="dxa"/>
            <w:vMerge w:val="restart"/>
            <w:noWrap w:val="0"/>
            <w:vAlign w:val="center"/>
          </w:tcPr>
          <w:p w14:paraId="092DA4CB">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时村镇</w:t>
            </w:r>
          </w:p>
        </w:tc>
        <w:tc>
          <w:tcPr>
            <w:tcW w:w="552" w:type="dxa"/>
            <w:noWrap w:val="0"/>
            <w:vAlign w:val="center"/>
          </w:tcPr>
          <w:p w14:paraId="552CD7C5">
            <w:pPr>
              <w:ind w:left="-63" w:leftChars="-30" w:right="-63" w:rightChars="-30"/>
              <w:jc w:val="center"/>
              <w:rPr>
                <w:color w:val="000000"/>
                <w:kern w:val="0"/>
                <w:szCs w:val="21"/>
              </w:rPr>
            </w:pPr>
            <w:r>
              <w:rPr>
                <w:color w:val="000000"/>
                <w:kern w:val="0"/>
                <w:szCs w:val="21"/>
              </w:rPr>
              <w:t>1</w:t>
            </w:r>
          </w:p>
        </w:tc>
        <w:tc>
          <w:tcPr>
            <w:tcW w:w="4015" w:type="dxa"/>
            <w:noWrap w:val="0"/>
            <w:vAlign w:val="center"/>
          </w:tcPr>
          <w:p w14:paraId="07744C37">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东至时东路，南至</w:t>
            </w:r>
            <w:r>
              <w:rPr>
                <w:rFonts w:eastAsia="楷体_GB2312"/>
                <w:color w:val="000000"/>
                <w:kern w:val="0"/>
                <w:szCs w:val="21"/>
              </w:rPr>
              <w:t>302</w:t>
            </w:r>
            <w:r>
              <w:rPr>
                <w:rFonts w:hint="eastAsia" w:ascii="楷体_GB2312" w:hAnsi="宋体" w:eastAsia="楷体_GB2312" w:cs="宋体"/>
                <w:color w:val="000000"/>
                <w:kern w:val="0"/>
                <w:szCs w:val="21"/>
              </w:rPr>
              <w:t>省道，西至西园路，北至创新大道</w:t>
            </w:r>
          </w:p>
        </w:tc>
        <w:tc>
          <w:tcPr>
            <w:tcW w:w="746" w:type="dxa"/>
            <w:noWrap w:val="0"/>
            <w:vAlign w:val="center"/>
          </w:tcPr>
          <w:p w14:paraId="0048CD90">
            <w:pPr>
              <w:ind w:left="-63" w:leftChars="-30" w:right="-63" w:rightChars="-30"/>
              <w:jc w:val="center"/>
              <w:rPr>
                <w:color w:val="000000"/>
                <w:kern w:val="0"/>
                <w:szCs w:val="21"/>
              </w:rPr>
            </w:pPr>
            <w:r>
              <w:rPr>
                <w:color w:val="000000"/>
                <w:kern w:val="0"/>
                <w:szCs w:val="21"/>
              </w:rPr>
              <w:t>0.98</w:t>
            </w:r>
          </w:p>
        </w:tc>
        <w:tc>
          <w:tcPr>
            <w:tcW w:w="685" w:type="dxa"/>
            <w:noWrap w:val="0"/>
            <w:vAlign w:val="center"/>
          </w:tcPr>
          <w:p w14:paraId="0D32389F">
            <w:pPr>
              <w:ind w:left="-63" w:leftChars="-30" w:right="-63" w:rightChars="-30"/>
              <w:jc w:val="center"/>
              <w:rPr>
                <w:color w:val="000000"/>
                <w:kern w:val="0"/>
                <w:szCs w:val="21"/>
              </w:rPr>
            </w:pPr>
            <w:r>
              <w:rPr>
                <w:color w:val="000000"/>
                <w:kern w:val="0"/>
                <w:szCs w:val="21"/>
              </w:rPr>
              <w:t>95</w:t>
            </w:r>
          </w:p>
        </w:tc>
        <w:tc>
          <w:tcPr>
            <w:tcW w:w="858" w:type="dxa"/>
            <w:noWrap w:val="0"/>
            <w:vAlign w:val="center"/>
          </w:tcPr>
          <w:p w14:paraId="4F3E69C4">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13D7B3E3">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62492D3A">
            <w:pPr>
              <w:ind w:left="-63" w:leftChars="-30" w:right="-63" w:rightChars="-30"/>
              <w:jc w:val="center"/>
              <w:rPr>
                <w:color w:val="000000"/>
                <w:kern w:val="0"/>
                <w:szCs w:val="21"/>
              </w:rPr>
            </w:pPr>
            <w:r>
              <w:rPr>
                <w:color w:val="000000"/>
                <w:kern w:val="0"/>
                <w:szCs w:val="21"/>
              </w:rPr>
              <w:t>34.59</w:t>
            </w:r>
          </w:p>
        </w:tc>
      </w:tr>
      <w:tr w14:paraId="2CD4C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374A0A4A">
            <w:pPr>
              <w:ind w:left="-63" w:leftChars="-30" w:right="-63" w:rightChars="-30"/>
              <w:rPr>
                <w:color w:val="000000"/>
                <w:kern w:val="0"/>
                <w:szCs w:val="21"/>
              </w:rPr>
            </w:pPr>
          </w:p>
        </w:tc>
        <w:tc>
          <w:tcPr>
            <w:tcW w:w="553" w:type="dxa"/>
            <w:vMerge w:val="continue"/>
            <w:noWrap w:val="0"/>
            <w:vAlign w:val="center"/>
          </w:tcPr>
          <w:p w14:paraId="58040279">
            <w:pPr>
              <w:ind w:left="-63" w:leftChars="-30" w:right="-63" w:rightChars="-30"/>
              <w:rPr>
                <w:rFonts w:ascii="楷体_GB2312" w:hAnsi="宋体" w:eastAsia="楷体_GB2312" w:cs="宋体"/>
                <w:color w:val="000000"/>
                <w:kern w:val="0"/>
                <w:szCs w:val="21"/>
              </w:rPr>
            </w:pPr>
          </w:p>
        </w:tc>
        <w:tc>
          <w:tcPr>
            <w:tcW w:w="552" w:type="dxa"/>
            <w:noWrap w:val="0"/>
            <w:vAlign w:val="center"/>
          </w:tcPr>
          <w:p w14:paraId="0AF950A3">
            <w:pPr>
              <w:ind w:left="-63" w:leftChars="-30" w:right="-63" w:rightChars="-30"/>
              <w:jc w:val="center"/>
              <w:rPr>
                <w:color w:val="000000"/>
                <w:kern w:val="0"/>
                <w:szCs w:val="21"/>
              </w:rPr>
            </w:pPr>
            <w:r>
              <w:rPr>
                <w:color w:val="000000"/>
                <w:kern w:val="0"/>
                <w:szCs w:val="21"/>
              </w:rPr>
              <w:t>2</w:t>
            </w:r>
          </w:p>
        </w:tc>
        <w:tc>
          <w:tcPr>
            <w:tcW w:w="4015" w:type="dxa"/>
            <w:noWrap w:val="0"/>
            <w:vAlign w:val="center"/>
          </w:tcPr>
          <w:p w14:paraId="3B1DAC46">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东至时村中心学校东侧道路、环城东路西侧道路，南至环城南路，西至时西路，北至时北路</w:t>
            </w:r>
          </w:p>
        </w:tc>
        <w:tc>
          <w:tcPr>
            <w:tcW w:w="746" w:type="dxa"/>
            <w:noWrap w:val="0"/>
            <w:vAlign w:val="center"/>
          </w:tcPr>
          <w:p w14:paraId="5FFBD7ED">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35AC0E99">
            <w:pPr>
              <w:ind w:left="-63" w:leftChars="-30" w:right="-63" w:rightChars="-30"/>
              <w:jc w:val="center"/>
              <w:rPr>
                <w:color w:val="000000"/>
                <w:kern w:val="0"/>
                <w:szCs w:val="21"/>
              </w:rPr>
            </w:pPr>
            <w:r>
              <w:rPr>
                <w:color w:val="000000"/>
                <w:kern w:val="0"/>
                <w:szCs w:val="21"/>
              </w:rPr>
              <w:t>92</w:t>
            </w:r>
          </w:p>
        </w:tc>
        <w:tc>
          <w:tcPr>
            <w:tcW w:w="858" w:type="dxa"/>
            <w:noWrap w:val="0"/>
            <w:vAlign w:val="center"/>
          </w:tcPr>
          <w:p w14:paraId="2D844174">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64DEAEEE">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5A2C3C94">
            <w:pPr>
              <w:ind w:left="-63" w:leftChars="-30" w:right="-63" w:rightChars="-30"/>
              <w:jc w:val="center"/>
              <w:rPr>
                <w:color w:val="000000"/>
                <w:kern w:val="0"/>
                <w:szCs w:val="21"/>
              </w:rPr>
            </w:pPr>
            <w:r>
              <w:rPr>
                <w:color w:val="000000"/>
                <w:kern w:val="0"/>
                <w:szCs w:val="21"/>
              </w:rPr>
              <w:t>32.47</w:t>
            </w:r>
          </w:p>
        </w:tc>
      </w:tr>
      <w:tr w14:paraId="06194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3D9B3E1A">
            <w:pPr>
              <w:ind w:left="-63" w:leftChars="-30" w:right="-63" w:rightChars="-30"/>
              <w:rPr>
                <w:color w:val="000000"/>
                <w:kern w:val="0"/>
                <w:szCs w:val="21"/>
              </w:rPr>
            </w:pPr>
          </w:p>
        </w:tc>
        <w:tc>
          <w:tcPr>
            <w:tcW w:w="553" w:type="dxa"/>
            <w:vMerge w:val="continue"/>
            <w:noWrap w:val="0"/>
            <w:vAlign w:val="center"/>
          </w:tcPr>
          <w:p w14:paraId="58300D46">
            <w:pPr>
              <w:ind w:left="-63" w:leftChars="-30" w:right="-63" w:rightChars="-30"/>
              <w:rPr>
                <w:rFonts w:ascii="楷体_GB2312" w:hAnsi="宋体" w:eastAsia="楷体_GB2312" w:cs="宋体"/>
                <w:color w:val="000000"/>
                <w:kern w:val="0"/>
                <w:szCs w:val="21"/>
              </w:rPr>
            </w:pPr>
          </w:p>
        </w:tc>
        <w:tc>
          <w:tcPr>
            <w:tcW w:w="552" w:type="dxa"/>
            <w:noWrap w:val="0"/>
            <w:vAlign w:val="center"/>
          </w:tcPr>
          <w:p w14:paraId="168D83B2">
            <w:pPr>
              <w:ind w:left="-63" w:leftChars="-30" w:right="-63" w:rightChars="-30"/>
              <w:jc w:val="center"/>
              <w:rPr>
                <w:color w:val="000000"/>
                <w:kern w:val="0"/>
                <w:szCs w:val="21"/>
              </w:rPr>
            </w:pPr>
            <w:r>
              <w:rPr>
                <w:color w:val="000000"/>
                <w:kern w:val="0"/>
                <w:szCs w:val="21"/>
              </w:rPr>
              <w:t>3</w:t>
            </w:r>
          </w:p>
        </w:tc>
        <w:tc>
          <w:tcPr>
            <w:tcW w:w="4015" w:type="dxa"/>
            <w:noWrap w:val="0"/>
            <w:vAlign w:val="center"/>
          </w:tcPr>
          <w:p w14:paraId="3CDBEC29">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46" w:type="dxa"/>
            <w:noWrap w:val="0"/>
            <w:vAlign w:val="center"/>
          </w:tcPr>
          <w:p w14:paraId="42068CB4">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77E05753">
            <w:pPr>
              <w:ind w:left="-63" w:leftChars="-30" w:right="-63" w:rightChars="-30"/>
              <w:jc w:val="center"/>
              <w:rPr>
                <w:color w:val="000000"/>
                <w:kern w:val="0"/>
                <w:szCs w:val="21"/>
              </w:rPr>
            </w:pPr>
            <w:r>
              <w:rPr>
                <w:color w:val="000000"/>
                <w:kern w:val="0"/>
                <w:szCs w:val="21"/>
              </w:rPr>
              <w:t>98</w:t>
            </w:r>
          </w:p>
        </w:tc>
        <w:tc>
          <w:tcPr>
            <w:tcW w:w="858" w:type="dxa"/>
            <w:noWrap w:val="0"/>
            <w:vAlign w:val="center"/>
          </w:tcPr>
          <w:p w14:paraId="7DF024D8">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299BD60C">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199E19DD">
            <w:pPr>
              <w:ind w:left="-63" w:leftChars="-30" w:right="-63" w:rightChars="-30"/>
              <w:jc w:val="center"/>
              <w:rPr>
                <w:color w:val="000000"/>
                <w:kern w:val="0"/>
                <w:szCs w:val="21"/>
              </w:rPr>
            </w:pPr>
            <w:r>
              <w:rPr>
                <w:color w:val="000000"/>
                <w:kern w:val="0"/>
                <w:szCs w:val="21"/>
              </w:rPr>
              <w:t>36.41</w:t>
            </w:r>
          </w:p>
        </w:tc>
      </w:tr>
      <w:tr w14:paraId="6D87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restart"/>
            <w:noWrap w:val="0"/>
            <w:vAlign w:val="center"/>
          </w:tcPr>
          <w:p w14:paraId="4543C9FB">
            <w:pPr>
              <w:ind w:left="-63" w:leftChars="-30" w:right="-63" w:rightChars="-30"/>
              <w:jc w:val="center"/>
              <w:rPr>
                <w:color w:val="000000"/>
                <w:kern w:val="0"/>
                <w:szCs w:val="21"/>
              </w:rPr>
            </w:pPr>
            <w:r>
              <w:rPr>
                <w:color w:val="000000"/>
                <w:kern w:val="0"/>
                <w:szCs w:val="21"/>
              </w:rPr>
              <w:t>8</w:t>
            </w:r>
          </w:p>
        </w:tc>
        <w:tc>
          <w:tcPr>
            <w:tcW w:w="553" w:type="dxa"/>
            <w:vMerge w:val="restart"/>
            <w:noWrap w:val="0"/>
            <w:vAlign w:val="center"/>
          </w:tcPr>
          <w:p w14:paraId="652BC0FD">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夹沟镇</w:t>
            </w:r>
          </w:p>
        </w:tc>
        <w:tc>
          <w:tcPr>
            <w:tcW w:w="552" w:type="dxa"/>
            <w:noWrap w:val="0"/>
            <w:vAlign w:val="center"/>
          </w:tcPr>
          <w:p w14:paraId="03B7A50D">
            <w:pPr>
              <w:ind w:left="-63" w:leftChars="-30" w:right="-63" w:rightChars="-30"/>
              <w:jc w:val="center"/>
              <w:rPr>
                <w:color w:val="000000"/>
                <w:kern w:val="0"/>
                <w:szCs w:val="21"/>
              </w:rPr>
            </w:pPr>
            <w:r>
              <w:rPr>
                <w:color w:val="000000"/>
                <w:kern w:val="0"/>
                <w:szCs w:val="21"/>
              </w:rPr>
              <w:t>1</w:t>
            </w:r>
          </w:p>
        </w:tc>
        <w:tc>
          <w:tcPr>
            <w:tcW w:w="4015" w:type="dxa"/>
            <w:noWrap w:val="0"/>
            <w:vAlign w:val="center"/>
          </w:tcPr>
          <w:p w14:paraId="1307431A">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东至夹外路，南至夹顺路，西至西三路、西二路，北至产业路、夹津路</w:t>
            </w:r>
          </w:p>
        </w:tc>
        <w:tc>
          <w:tcPr>
            <w:tcW w:w="746" w:type="dxa"/>
            <w:noWrap w:val="0"/>
            <w:vAlign w:val="center"/>
          </w:tcPr>
          <w:p w14:paraId="098485F6">
            <w:pPr>
              <w:ind w:left="-63" w:leftChars="-30" w:right="-63" w:rightChars="-30"/>
              <w:jc w:val="center"/>
              <w:rPr>
                <w:color w:val="000000"/>
                <w:kern w:val="0"/>
                <w:szCs w:val="21"/>
              </w:rPr>
            </w:pPr>
            <w:r>
              <w:rPr>
                <w:color w:val="000000"/>
                <w:kern w:val="0"/>
                <w:szCs w:val="21"/>
              </w:rPr>
              <w:t>0.98</w:t>
            </w:r>
          </w:p>
        </w:tc>
        <w:tc>
          <w:tcPr>
            <w:tcW w:w="685" w:type="dxa"/>
            <w:noWrap w:val="0"/>
            <w:vAlign w:val="center"/>
          </w:tcPr>
          <w:p w14:paraId="4A707C68">
            <w:pPr>
              <w:ind w:left="-63" w:leftChars="-30" w:right="-63" w:rightChars="-30"/>
              <w:jc w:val="center"/>
              <w:rPr>
                <w:color w:val="000000"/>
                <w:kern w:val="0"/>
                <w:szCs w:val="21"/>
              </w:rPr>
            </w:pPr>
            <w:r>
              <w:rPr>
                <w:color w:val="000000"/>
                <w:kern w:val="0"/>
                <w:szCs w:val="21"/>
              </w:rPr>
              <w:t>95</w:t>
            </w:r>
          </w:p>
        </w:tc>
        <w:tc>
          <w:tcPr>
            <w:tcW w:w="858" w:type="dxa"/>
            <w:noWrap w:val="0"/>
            <w:vAlign w:val="center"/>
          </w:tcPr>
          <w:p w14:paraId="48354DC3">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65E414A1">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177FAA31">
            <w:pPr>
              <w:ind w:left="-63" w:leftChars="-30" w:right="-63" w:rightChars="-30"/>
              <w:jc w:val="center"/>
              <w:rPr>
                <w:color w:val="000000"/>
                <w:kern w:val="0"/>
                <w:szCs w:val="21"/>
              </w:rPr>
            </w:pPr>
            <w:r>
              <w:rPr>
                <w:color w:val="000000"/>
                <w:kern w:val="0"/>
                <w:szCs w:val="21"/>
              </w:rPr>
              <w:t>34.59</w:t>
            </w:r>
          </w:p>
        </w:tc>
      </w:tr>
      <w:tr w14:paraId="2AB6E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2BF3891B">
            <w:pPr>
              <w:ind w:left="-63" w:leftChars="-30" w:right="-63" w:rightChars="-30"/>
              <w:rPr>
                <w:color w:val="000000"/>
                <w:kern w:val="0"/>
                <w:szCs w:val="21"/>
              </w:rPr>
            </w:pPr>
          </w:p>
        </w:tc>
        <w:tc>
          <w:tcPr>
            <w:tcW w:w="553" w:type="dxa"/>
            <w:vMerge w:val="continue"/>
            <w:noWrap w:val="0"/>
            <w:vAlign w:val="center"/>
          </w:tcPr>
          <w:p w14:paraId="1DFC445B">
            <w:pPr>
              <w:ind w:left="-63" w:leftChars="-30" w:right="-63" w:rightChars="-30"/>
              <w:rPr>
                <w:rFonts w:ascii="楷体_GB2312" w:hAnsi="宋体" w:eastAsia="楷体_GB2312" w:cs="宋体"/>
                <w:color w:val="000000"/>
                <w:kern w:val="0"/>
                <w:szCs w:val="21"/>
              </w:rPr>
            </w:pPr>
          </w:p>
        </w:tc>
        <w:tc>
          <w:tcPr>
            <w:tcW w:w="552" w:type="dxa"/>
            <w:noWrap w:val="0"/>
            <w:vAlign w:val="center"/>
          </w:tcPr>
          <w:p w14:paraId="5821CAFF">
            <w:pPr>
              <w:ind w:left="-63" w:leftChars="-30" w:right="-63" w:rightChars="-30"/>
              <w:jc w:val="center"/>
              <w:rPr>
                <w:color w:val="000000"/>
                <w:kern w:val="0"/>
                <w:szCs w:val="21"/>
              </w:rPr>
            </w:pPr>
            <w:r>
              <w:rPr>
                <w:color w:val="000000"/>
                <w:kern w:val="0"/>
                <w:szCs w:val="21"/>
              </w:rPr>
              <w:t>2</w:t>
            </w:r>
          </w:p>
        </w:tc>
        <w:tc>
          <w:tcPr>
            <w:tcW w:w="4015" w:type="dxa"/>
            <w:noWrap w:val="0"/>
            <w:vAlign w:val="center"/>
          </w:tcPr>
          <w:p w14:paraId="7F127CA7">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东至东一路，南至府前路，西至津浦铁路东侧规划道路，北至定级边界</w:t>
            </w:r>
          </w:p>
        </w:tc>
        <w:tc>
          <w:tcPr>
            <w:tcW w:w="746" w:type="dxa"/>
            <w:noWrap w:val="0"/>
            <w:vAlign w:val="center"/>
          </w:tcPr>
          <w:p w14:paraId="2F553D8B">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27058B8E">
            <w:pPr>
              <w:ind w:left="-63" w:leftChars="-30" w:right="-63" w:rightChars="-30"/>
              <w:jc w:val="center"/>
              <w:rPr>
                <w:color w:val="000000"/>
                <w:kern w:val="0"/>
                <w:szCs w:val="21"/>
              </w:rPr>
            </w:pPr>
            <w:r>
              <w:rPr>
                <w:color w:val="000000"/>
                <w:kern w:val="0"/>
                <w:szCs w:val="21"/>
              </w:rPr>
              <w:t>92</w:t>
            </w:r>
          </w:p>
        </w:tc>
        <w:tc>
          <w:tcPr>
            <w:tcW w:w="858" w:type="dxa"/>
            <w:noWrap w:val="0"/>
            <w:vAlign w:val="center"/>
          </w:tcPr>
          <w:p w14:paraId="3D06A03E">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637C1A48">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5CDC1636">
            <w:pPr>
              <w:ind w:left="-63" w:leftChars="-30" w:right="-63" w:rightChars="-30"/>
              <w:jc w:val="center"/>
              <w:rPr>
                <w:color w:val="000000"/>
                <w:kern w:val="0"/>
                <w:szCs w:val="21"/>
              </w:rPr>
            </w:pPr>
            <w:r>
              <w:rPr>
                <w:color w:val="000000"/>
                <w:kern w:val="0"/>
                <w:szCs w:val="21"/>
              </w:rPr>
              <w:t>32.47</w:t>
            </w:r>
          </w:p>
        </w:tc>
      </w:tr>
      <w:tr w14:paraId="4A59D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657DC633">
            <w:pPr>
              <w:ind w:left="-63" w:leftChars="-30" w:right="-63" w:rightChars="-30"/>
              <w:rPr>
                <w:color w:val="000000"/>
                <w:kern w:val="0"/>
                <w:szCs w:val="21"/>
              </w:rPr>
            </w:pPr>
          </w:p>
        </w:tc>
        <w:tc>
          <w:tcPr>
            <w:tcW w:w="553" w:type="dxa"/>
            <w:vMerge w:val="continue"/>
            <w:noWrap w:val="0"/>
            <w:vAlign w:val="center"/>
          </w:tcPr>
          <w:p w14:paraId="4D78B65D">
            <w:pPr>
              <w:ind w:left="-63" w:leftChars="-30" w:right="-63" w:rightChars="-30"/>
              <w:rPr>
                <w:rFonts w:ascii="楷体_GB2312" w:hAnsi="宋体" w:eastAsia="楷体_GB2312" w:cs="宋体"/>
                <w:color w:val="000000"/>
                <w:kern w:val="0"/>
                <w:szCs w:val="21"/>
              </w:rPr>
            </w:pPr>
          </w:p>
        </w:tc>
        <w:tc>
          <w:tcPr>
            <w:tcW w:w="552" w:type="dxa"/>
            <w:noWrap w:val="0"/>
            <w:vAlign w:val="center"/>
          </w:tcPr>
          <w:p w14:paraId="55271018">
            <w:pPr>
              <w:ind w:left="-63" w:leftChars="-30" w:right="-63" w:rightChars="-30"/>
              <w:jc w:val="center"/>
              <w:rPr>
                <w:color w:val="000000"/>
                <w:kern w:val="0"/>
                <w:szCs w:val="21"/>
              </w:rPr>
            </w:pPr>
            <w:r>
              <w:rPr>
                <w:color w:val="000000"/>
                <w:kern w:val="0"/>
                <w:szCs w:val="21"/>
              </w:rPr>
              <w:t>3</w:t>
            </w:r>
          </w:p>
        </w:tc>
        <w:tc>
          <w:tcPr>
            <w:tcW w:w="4015" w:type="dxa"/>
            <w:noWrap w:val="0"/>
            <w:vAlign w:val="center"/>
          </w:tcPr>
          <w:p w14:paraId="43E643CC">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46" w:type="dxa"/>
            <w:noWrap w:val="0"/>
            <w:vAlign w:val="center"/>
          </w:tcPr>
          <w:p w14:paraId="344432EC">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386C627C">
            <w:pPr>
              <w:ind w:left="-63" w:leftChars="-30" w:right="-63" w:rightChars="-30"/>
              <w:jc w:val="center"/>
              <w:rPr>
                <w:color w:val="000000"/>
                <w:kern w:val="0"/>
                <w:szCs w:val="21"/>
              </w:rPr>
            </w:pPr>
            <w:r>
              <w:rPr>
                <w:color w:val="000000"/>
                <w:kern w:val="0"/>
                <w:szCs w:val="21"/>
              </w:rPr>
              <w:t>98</w:t>
            </w:r>
          </w:p>
        </w:tc>
        <w:tc>
          <w:tcPr>
            <w:tcW w:w="858" w:type="dxa"/>
            <w:noWrap w:val="0"/>
            <w:vAlign w:val="center"/>
          </w:tcPr>
          <w:p w14:paraId="783FC385">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0EA63957">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6E8A6440">
            <w:pPr>
              <w:ind w:left="-63" w:leftChars="-30" w:right="-63" w:rightChars="-30"/>
              <w:jc w:val="center"/>
              <w:rPr>
                <w:color w:val="000000"/>
                <w:kern w:val="0"/>
                <w:szCs w:val="21"/>
              </w:rPr>
            </w:pPr>
            <w:r>
              <w:rPr>
                <w:color w:val="000000"/>
                <w:kern w:val="0"/>
                <w:szCs w:val="21"/>
              </w:rPr>
              <w:t>36.41</w:t>
            </w:r>
          </w:p>
        </w:tc>
      </w:tr>
      <w:tr w14:paraId="14531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restart"/>
            <w:noWrap w:val="0"/>
            <w:vAlign w:val="center"/>
          </w:tcPr>
          <w:p w14:paraId="480B9358">
            <w:pPr>
              <w:ind w:left="-63" w:leftChars="-30" w:right="-63" w:rightChars="-30"/>
              <w:jc w:val="center"/>
              <w:rPr>
                <w:color w:val="000000"/>
                <w:kern w:val="0"/>
                <w:szCs w:val="21"/>
              </w:rPr>
            </w:pPr>
            <w:r>
              <w:rPr>
                <w:color w:val="000000"/>
                <w:kern w:val="0"/>
                <w:szCs w:val="21"/>
              </w:rPr>
              <w:t>9</w:t>
            </w:r>
          </w:p>
        </w:tc>
        <w:tc>
          <w:tcPr>
            <w:tcW w:w="553" w:type="dxa"/>
            <w:vMerge w:val="restart"/>
            <w:noWrap w:val="0"/>
            <w:vAlign w:val="center"/>
          </w:tcPr>
          <w:p w14:paraId="4F34740D">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西二铺乡</w:t>
            </w:r>
          </w:p>
        </w:tc>
        <w:tc>
          <w:tcPr>
            <w:tcW w:w="552" w:type="dxa"/>
            <w:noWrap w:val="0"/>
            <w:vAlign w:val="center"/>
          </w:tcPr>
          <w:p w14:paraId="0A270694">
            <w:pPr>
              <w:ind w:left="-63" w:leftChars="-30" w:right="-63" w:rightChars="-30"/>
              <w:jc w:val="center"/>
              <w:rPr>
                <w:color w:val="000000"/>
                <w:kern w:val="0"/>
                <w:szCs w:val="21"/>
              </w:rPr>
            </w:pPr>
            <w:r>
              <w:rPr>
                <w:color w:val="000000"/>
                <w:kern w:val="0"/>
                <w:szCs w:val="21"/>
              </w:rPr>
              <w:t>1</w:t>
            </w:r>
          </w:p>
        </w:tc>
        <w:tc>
          <w:tcPr>
            <w:tcW w:w="4015" w:type="dxa"/>
            <w:noWrap w:val="0"/>
            <w:vAlign w:val="center"/>
          </w:tcPr>
          <w:p w14:paraId="1D0942DB">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东至文旅大街，南至宿永路，西至薛堂路，北至农贸市场北侧规划道路</w:t>
            </w:r>
          </w:p>
        </w:tc>
        <w:tc>
          <w:tcPr>
            <w:tcW w:w="746" w:type="dxa"/>
            <w:noWrap w:val="0"/>
            <w:vAlign w:val="center"/>
          </w:tcPr>
          <w:p w14:paraId="19A08527">
            <w:pPr>
              <w:ind w:left="-63" w:leftChars="-30" w:right="-63" w:rightChars="-30"/>
              <w:jc w:val="center"/>
              <w:rPr>
                <w:color w:val="000000"/>
                <w:kern w:val="0"/>
                <w:szCs w:val="21"/>
              </w:rPr>
            </w:pPr>
            <w:r>
              <w:rPr>
                <w:color w:val="000000"/>
                <w:kern w:val="0"/>
                <w:szCs w:val="21"/>
              </w:rPr>
              <w:t>0.98</w:t>
            </w:r>
          </w:p>
        </w:tc>
        <w:tc>
          <w:tcPr>
            <w:tcW w:w="685" w:type="dxa"/>
            <w:noWrap w:val="0"/>
            <w:vAlign w:val="center"/>
          </w:tcPr>
          <w:p w14:paraId="47BA50DE">
            <w:pPr>
              <w:ind w:left="-63" w:leftChars="-30" w:right="-63" w:rightChars="-30"/>
              <w:jc w:val="center"/>
              <w:rPr>
                <w:color w:val="000000"/>
                <w:kern w:val="0"/>
                <w:szCs w:val="21"/>
              </w:rPr>
            </w:pPr>
            <w:r>
              <w:rPr>
                <w:color w:val="000000"/>
                <w:kern w:val="0"/>
                <w:szCs w:val="21"/>
              </w:rPr>
              <w:t>95</w:t>
            </w:r>
          </w:p>
        </w:tc>
        <w:tc>
          <w:tcPr>
            <w:tcW w:w="858" w:type="dxa"/>
            <w:noWrap w:val="0"/>
            <w:vAlign w:val="center"/>
          </w:tcPr>
          <w:p w14:paraId="1D9BAB2B">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0FB62ED9">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4650A4DA">
            <w:pPr>
              <w:ind w:left="-63" w:leftChars="-30" w:right="-63" w:rightChars="-30"/>
              <w:jc w:val="center"/>
              <w:rPr>
                <w:color w:val="000000"/>
                <w:kern w:val="0"/>
                <w:szCs w:val="21"/>
              </w:rPr>
            </w:pPr>
            <w:r>
              <w:rPr>
                <w:color w:val="000000"/>
                <w:kern w:val="0"/>
                <w:szCs w:val="21"/>
              </w:rPr>
              <w:t>34.59</w:t>
            </w:r>
          </w:p>
        </w:tc>
      </w:tr>
      <w:tr w14:paraId="1C600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667BF661">
            <w:pPr>
              <w:ind w:left="-63" w:leftChars="-30" w:right="-63" w:rightChars="-30"/>
              <w:rPr>
                <w:color w:val="000000"/>
                <w:kern w:val="0"/>
                <w:szCs w:val="21"/>
              </w:rPr>
            </w:pPr>
          </w:p>
        </w:tc>
        <w:tc>
          <w:tcPr>
            <w:tcW w:w="553" w:type="dxa"/>
            <w:vMerge w:val="continue"/>
            <w:noWrap w:val="0"/>
            <w:vAlign w:val="center"/>
          </w:tcPr>
          <w:p w14:paraId="2BE5A149">
            <w:pPr>
              <w:ind w:left="-63" w:leftChars="-30" w:right="-63" w:rightChars="-30"/>
              <w:rPr>
                <w:rFonts w:ascii="楷体_GB2312" w:hAnsi="宋体" w:eastAsia="楷体_GB2312" w:cs="宋体"/>
                <w:color w:val="000000"/>
                <w:kern w:val="0"/>
                <w:szCs w:val="21"/>
              </w:rPr>
            </w:pPr>
          </w:p>
        </w:tc>
        <w:tc>
          <w:tcPr>
            <w:tcW w:w="552" w:type="dxa"/>
            <w:noWrap w:val="0"/>
            <w:vAlign w:val="center"/>
          </w:tcPr>
          <w:p w14:paraId="733B2E29">
            <w:pPr>
              <w:ind w:left="-63" w:leftChars="-30" w:right="-63" w:rightChars="-30"/>
              <w:jc w:val="center"/>
              <w:rPr>
                <w:color w:val="000000"/>
                <w:kern w:val="0"/>
                <w:szCs w:val="21"/>
              </w:rPr>
            </w:pPr>
            <w:r>
              <w:rPr>
                <w:color w:val="000000"/>
                <w:kern w:val="0"/>
                <w:szCs w:val="21"/>
              </w:rPr>
              <w:t>2</w:t>
            </w:r>
          </w:p>
        </w:tc>
        <w:tc>
          <w:tcPr>
            <w:tcW w:w="4015" w:type="dxa"/>
            <w:noWrap w:val="0"/>
            <w:vAlign w:val="center"/>
          </w:tcPr>
          <w:p w14:paraId="402DD60E">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东至昌盛路，南至福顺路，西至薛堂路，北至吕黄路</w:t>
            </w:r>
          </w:p>
        </w:tc>
        <w:tc>
          <w:tcPr>
            <w:tcW w:w="746" w:type="dxa"/>
            <w:noWrap w:val="0"/>
            <w:vAlign w:val="center"/>
          </w:tcPr>
          <w:p w14:paraId="2A47C29C">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0422EA68">
            <w:pPr>
              <w:ind w:left="-63" w:leftChars="-30" w:right="-63" w:rightChars="-30"/>
              <w:jc w:val="center"/>
              <w:rPr>
                <w:color w:val="000000"/>
                <w:kern w:val="0"/>
                <w:szCs w:val="21"/>
              </w:rPr>
            </w:pPr>
            <w:r>
              <w:rPr>
                <w:color w:val="000000"/>
                <w:kern w:val="0"/>
                <w:szCs w:val="21"/>
              </w:rPr>
              <w:t>92</w:t>
            </w:r>
          </w:p>
        </w:tc>
        <w:tc>
          <w:tcPr>
            <w:tcW w:w="858" w:type="dxa"/>
            <w:noWrap w:val="0"/>
            <w:vAlign w:val="center"/>
          </w:tcPr>
          <w:p w14:paraId="271F51C7">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12E97B7E">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5746804A">
            <w:pPr>
              <w:ind w:left="-63" w:leftChars="-30" w:right="-63" w:rightChars="-30"/>
              <w:jc w:val="center"/>
              <w:rPr>
                <w:color w:val="000000"/>
                <w:kern w:val="0"/>
                <w:szCs w:val="21"/>
              </w:rPr>
            </w:pPr>
            <w:r>
              <w:rPr>
                <w:color w:val="000000"/>
                <w:kern w:val="0"/>
                <w:szCs w:val="21"/>
              </w:rPr>
              <w:t>32.47</w:t>
            </w:r>
          </w:p>
        </w:tc>
      </w:tr>
      <w:tr w14:paraId="54AA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7F2BDC6C">
            <w:pPr>
              <w:ind w:left="-63" w:leftChars="-30" w:right="-63" w:rightChars="-30"/>
              <w:rPr>
                <w:color w:val="000000"/>
                <w:kern w:val="0"/>
                <w:szCs w:val="21"/>
              </w:rPr>
            </w:pPr>
          </w:p>
        </w:tc>
        <w:tc>
          <w:tcPr>
            <w:tcW w:w="553" w:type="dxa"/>
            <w:vMerge w:val="continue"/>
            <w:noWrap w:val="0"/>
            <w:vAlign w:val="center"/>
          </w:tcPr>
          <w:p w14:paraId="67278C17">
            <w:pPr>
              <w:ind w:left="-63" w:leftChars="-30" w:right="-63" w:rightChars="-30"/>
              <w:rPr>
                <w:rFonts w:ascii="楷体_GB2312" w:hAnsi="宋体" w:eastAsia="楷体_GB2312" w:cs="宋体"/>
                <w:color w:val="000000"/>
                <w:kern w:val="0"/>
                <w:szCs w:val="21"/>
              </w:rPr>
            </w:pPr>
          </w:p>
        </w:tc>
        <w:tc>
          <w:tcPr>
            <w:tcW w:w="552" w:type="dxa"/>
            <w:noWrap w:val="0"/>
            <w:vAlign w:val="center"/>
          </w:tcPr>
          <w:p w14:paraId="5C8C1A4A">
            <w:pPr>
              <w:ind w:left="-63" w:leftChars="-30" w:right="-63" w:rightChars="-30"/>
              <w:jc w:val="center"/>
              <w:rPr>
                <w:color w:val="000000"/>
                <w:kern w:val="0"/>
                <w:szCs w:val="21"/>
              </w:rPr>
            </w:pPr>
            <w:r>
              <w:rPr>
                <w:color w:val="000000"/>
                <w:kern w:val="0"/>
                <w:szCs w:val="21"/>
              </w:rPr>
              <w:t>3</w:t>
            </w:r>
          </w:p>
        </w:tc>
        <w:tc>
          <w:tcPr>
            <w:tcW w:w="4015" w:type="dxa"/>
            <w:noWrap w:val="0"/>
            <w:vAlign w:val="center"/>
          </w:tcPr>
          <w:p w14:paraId="220B590B">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46" w:type="dxa"/>
            <w:noWrap w:val="0"/>
            <w:vAlign w:val="center"/>
          </w:tcPr>
          <w:p w14:paraId="026F2795">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790B87C4">
            <w:pPr>
              <w:ind w:left="-63" w:leftChars="-30" w:right="-63" w:rightChars="-30"/>
              <w:jc w:val="center"/>
              <w:rPr>
                <w:color w:val="000000"/>
                <w:kern w:val="0"/>
                <w:szCs w:val="21"/>
              </w:rPr>
            </w:pPr>
            <w:r>
              <w:rPr>
                <w:color w:val="000000"/>
                <w:kern w:val="0"/>
                <w:szCs w:val="21"/>
              </w:rPr>
              <w:t>95</w:t>
            </w:r>
          </w:p>
        </w:tc>
        <w:tc>
          <w:tcPr>
            <w:tcW w:w="858" w:type="dxa"/>
            <w:noWrap w:val="0"/>
            <w:vAlign w:val="center"/>
          </w:tcPr>
          <w:p w14:paraId="38644BD4">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6B347B9C">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602F6377">
            <w:pPr>
              <w:ind w:left="-63" w:leftChars="-30" w:right="-63" w:rightChars="-30"/>
              <w:jc w:val="center"/>
              <w:rPr>
                <w:color w:val="000000"/>
                <w:kern w:val="0"/>
                <w:szCs w:val="21"/>
              </w:rPr>
            </w:pPr>
            <w:r>
              <w:rPr>
                <w:color w:val="000000"/>
                <w:kern w:val="0"/>
                <w:szCs w:val="21"/>
              </w:rPr>
              <w:t>35.29</w:t>
            </w:r>
          </w:p>
        </w:tc>
      </w:tr>
      <w:tr w14:paraId="1EAE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restart"/>
            <w:noWrap w:val="0"/>
            <w:vAlign w:val="center"/>
          </w:tcPr>
          <w:p w14:paraId="01D26536">
            <w:pPr>
              <w:ind w:left="-63" w:leftChars="-30" w:right="-63" w:rightChars="-30"/>
              <w:jc w:val="center"/>
              <w:rPr>
                <w:color w:val="000000"/>
                <w:kern w:val="0"/>
                <w:szCs w:val="21"/>
              </w:rPr>
            </w:pPr>
            <w:r>
              <w:rPr>
                <w:color w:val="000000"/>
                <w:kern w:val="0"/>
                <w:szCs w:val="21"/>
              </w:rPr>
              <w:t>10</w:t>
            </w:r>
          </w:p>
        </w:tc>
        <w:tc>
          <w:tcPr>
            <w:tcW w:w="553" w:type="dxa"/>
            <w:vMerge w:val="restart"/>
            <w:noWrap w:val="0"/>
            <w:vAlign w:val="center"/>
          </w:tcPr>
          <w:p w14:paraId="780107C7">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桃园镇</w:t>
            </w:r>
          </w:p>
        </w:tc>
        <w:tc>
          <w:tcPr>
            <w:tcW w:w="552" w:type="dxa"/>
            <w:vMerge w:val="restart"/>
            <w:noWrap w:val="0"/>
            <w:vAlign w:val="center"/>
          </w:tcPr>
          <w:p w14:paraId="7189EC9A">
            <w:pPr>
              <w:ind w:left="-63" w:leftChars="-30" w:right="-63" w:rightChars="-30"/>
              <w:jc w:val="center"/>
              <w:rPr>
                <w:color w:val="000000"/>
                <w:kern w:val="0"/>
                <w:szCs w:val="21"/>
              </w:rPr>
            </w:pPr>
            <w:r>
              <w:rPr>
                <w:color w:val="000000"/>
                <w:kern w:val="0"/>
                <w:szCs w:val="21"/>
              </w:rPr>
              <w:t>1</w:t>
            </w:r>
          </w:p>
        </w:tc>
        <w:tc>
          <w:tcPr>
            <w:tcW w:w="4015" w:type="dxa"/>
            <w:noWrap w:val="0"/>
            <w:vAlign w:val="center"/>
          </w:tcPr>
          <w:p w14:paraId="53C27771">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区域一：东至宿怀南路，南至农贸市场南侧道路，西至谷岭路，北至桃园大街、新园路</w:t>
            </w:r>
          </w:p>
        </w:tc>
        <w:tc>
          <w:tcPr>
            <w:tcW w:w="746" w:type="dxa"/>
            <w:noWrap w:val="0"/>
            <w:vAlign w:val="center"/>
          </w:tcPr>
          <w:p w14:paraId="46E1D5D8">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6B068724">
            <w:pPr>
              <w:ind w:left="-63" w:leftChars="-30" w:right="-63" w:rightChars="-30"/>
              <w:jc w:val="center"/>
              <w:rPr>
                <w:color w:val="000000"/>
                <w:kern w:val="0"/>
                <w:szCs w:val="21"/>
              </w:rPr>
            </w:pPr>
            <w:r>
              <w:rPr>
                <w:color w:val="000000"/>
                <w:kern w:val="0"/>
                <w:szCs w:val="21"/>
              </w:rPr>
              <w:t>92</w:t>
            </w:r>
          </w:p>
        </w:tc>
        <w:tc>
          <w:tcPr>
            <w:tcW w:w="858" w:type="dxa"/>
            <w:noWrap w:val="0"/>
            <w:vAlign w:val="center"/>
          </w:tcPr>
          <w:p w14:paraId="1C512194">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01B4D2D2">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704D823C">
            <w:pPr>
              <w:ind w:left="-63" w:leftChars="-30" w:right="-63" w:rightChars="-30"/>
              <w:jc w:val="center"/>
              <w:rPr>
                <w:color w:val="000000"/>
                <w:kern w:val="0"/>
                <w:szCs w:val="21"/>
              </w:rPr>
            </w:pPr>
            <w:r>
              <w:rPr>
                <w:color w:val="000000"/>
                <w:kern w:val="0"/>
                <w:szCs w:val="21"/>
              </w:rPr>
              <w:t>32.47</w:t>
            </w:r>
          </w:p>
        </w:tc>
      </w:tr>
      <w:tr w14:paraId="3AB94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772E9A8D">
            <w:pPr>
              <w:ind w:left="-63" w:leftChars="-30" w:right="-63" w:rightChars="-30"/>
              <w:rPr>
                <w:color w:val="000000"/>
                <w:kern w:val="0"/>
                <w:szCs w:val="21"/>
              </w:rPr>
            </w:pPr>
          </w:p>
        </w:tc>
        <w:tc>
          <w:tcPr>
            <w:tcW w:w="553" w:type="dxa"/>
            <w:vMerge w:val="continue"/>
            <w:noWrap w:val="0"/>
            <w:vAlign w:val="center"/>
          </w:tcPr>
          <w:p w14:paraId="4056349E">
            <w:pPr>
              <w:ind w:left="-63" w:leftChars="-30" w:right="-63" w:rightChars="-30"/>
              <w:rPr>
                <w:rFonts w:ascii="楷体_GB2312" w:hAnsi="宋体" w:eastAsia="楷体_GB2312" w:cs="宋体"/>
                <w:color w:val="000000"/>
                <w:kern w:val="0"/>
                <w:szCs w:val="21"/>
              </w:rPr>
            </w:pPr>
          </w:p>
        </w:tc>
        <w:tc>
          <w:tcPr>
            <w:tcW w:w="552" w:type="dxa"/>
            <w:vMerge w:val="continue"/>
            <w:noWrap w:val="0"/>
            <w:vAlign w:val="center"/>
          </w:tcPr>
          <w:p w14:paraId="4ACA568C">
            <w:pPr>
              <w:ind w:left="-63" w:leftChars="-30" w:right="-63" w:rightChars="-30"/>
              <w:rPr>
                <w:color w:val="000000"/>
                <w:kern w:val="0"/>
                <w:szCs w:val="21"/>
              </w:rPr>
            </w:pPr>
          </w:p>
        </w:tc>
        <w:tc>
          <w:tcPr>
            <w:tcW w:w="4015" w:type="dxa"/>
            <w:noWrap w:val="0"/>
            <w:vAlign w:val="center"/>
          </w:tcPr>
          <w:p w14:paraId="0F819CC0">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区域二：东至振北路，南至加油站北侧道路，西至宿怀南路，北至北杨寨中心小学北侧道路</w:t>
            </w:r>
          </w:p>
        </w:tc>
        <w:tc>
          <w:tcPr>
            <w:tcW w:w="746" w:type="dxa"/>
            <w:noWrap w:val="0"/>
            <w:vAlign w:val="center"/>
          </w:tcPr>
          <w:p w14:paraId="39CE6BCB">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79C0AC3D">
            <w:pPr>
              <w:ind w:left="-63" w:leftChars="-30" w:right="-63" w:rightChars="-30"/>
              <w:jc w:val="center"/>
              <w:rPr>
                <w:color w:val="000000"/>
                <w:kern w:val="0"/>
                <w:szCs w:val="21"/>
              </w:rPr>
            </w:pPr>
            <w:r>
              <w:rPr>
                <w:color w:val="000000"/>
                <w:kern w:val="0"/>
                <w:szCs w:val="21"/>
              </w:rPr>
              <w:t>90</w:t>
            </w:r>
          </w:p>
        </w:tc>
        <w:tc>
          <w:tcPr>
            <w:tcW w:w="858" w:type="dxa"/>
            <w:noWrap w:val="0"/>
            <w:vAlign w:val="center"/>
          </w:tcPr>
          <w:p w14:paraId="759775C3">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62A059C7">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685309C4">
            <w:pPr>
              <w:ind w:left="-63" w:leftChars="-30" w:right="-63" w:rightChars="-30"/>
              <w:jc w:val="center"/>
              <w:rPr>
                <w:color w:val="000000"/>
                <w:kern w:val="0"/>
                <w:szCs w:val="21"/>
              </w:rPr>
            </w:pPr>
            <w:r>
              <w:rPr>
                <w:color w:val="000000"/>
                <w:kern w:val="0"/>
                <w:szCs w:val="21"/>
              </w:rPr>
              <w:t>30.76</w:t>
            </w:r>
          </w:p>
        </w:tc>
      </w:tr>
      <w:tr w14:paraId="290B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617DBED9">
            <w:pPr>
              <w:ind w:left="-63" w:leftChars="-30" w:right="-63" w:rightChars="-30"/>
              <w:rPr>
                <w:color w:val="000000"/>
                <w:kern w:val="0"/>
                <w:szCs w:val="21"/>
              </w:rPr>
            </w:pPr>
          </w:p>
        </w:tc>
        <w:tc>
          <w:tcPr>
            <w:tcW w:w="553" w:type="dxa"/>
            <w:vMerge w:val="continue"/>
            <w:noWrap w:val="0"/>
            <w:vAlign w:val="center"/>
          </w:tcPr>
          <w:p w14:paraId="5554499A">
            <w:pPr>
              <w:ind w:left="-63" w:leftChars="-30" w:right="-63" w:rightChars="-30"/>
              <w:rPr>
                <w:rFonts w:ascii="楷体_GB2312" w:hAnsi="宋体" w:eastAsia="楷体_GB2312" w:cs="宋体"/>
                <w:color w:val="000000"/>
                <w:kern w:val="0"/>
                <w:szCs w:val="21"/>
              </w:rPr>
            </w:pPr>
          </w:p>
        </w:tc>
        <w:tc>
          <w:tcPr>
            <w:tcW w:w="552" w:type="dxa"/>
            <w:vMerge w:val="restart"/>
            <w:noWrap w:val="0"/>
            <w:vAlign w:val="center"/>
          </w:tcPr>
          <w:p w14:paraId="26FA5DEC">
            <w:pPr>
              <w:ind w:left="-63" w:leftChars="-30" w:right="-63" w:rightChars="-30"/>
              <w:jc w:val="center"/>
              <w:rPr>
                <w:color w:val="000000"/>
                <w:kern w:val="0"/>
                <w:szCs w:val="21"/>
              </w:rPr>
            </w:pPr>
            <w:r>
              <w:rPr>
                <w:color w:val="000000"/>
                <w:kern w:val="0"/>
                <w:szCs w:val="21"/>
              </w:rPr>
              <w:t>2</w:t>
            </w:r>
          </w:p>
        </w:tc>
        <w:tc>
          <w:tcPr>
            <w:tcW w:w="4015" w:type="dxa"/>
            <w:noWrap w:val="0"/>
            <w:vAlign w:val="center"/>
          </w:tcPr>
          <w:p w14:paraId="709ACD6D">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区域一：东至宿怀南路、定级边界，南至学前路，西至运西路，北至新园路</w:t>
            </w:r>
          </w:p>
        </w:tc>
        <w:tc>
          <w:tcPr>
            <w:tcW w:w="746" w:type="dxa"/>
            <w:noWrap w:val="0"/>
            <w:vAlign w:val="center"/>
          </w:tcPr>
          <w:p w14:paraId="147C88A1">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0378497E">
            <w:pPr>
              <w:ind w:left="-63" w:leftChars="-30" w:right="-63" w:rightChars="-30"/>
              <w:jc w:val="center"/>
              <w:rPr>
                <w:color w:val="000000"/>
                <w:kern w:val="0"/>
                <w:szCs w:val="21"/>
              </w:rPr>
            </w:pPr>
            <w:r>
              <w:rPr>
                <w:color w:val="000000"/>
                <w:kern w:val="0"/>
                <w:szCs w:val="21"/>
              </w:rPr>
              <w:t>95</w:t>
            </w:r>
          </w:p>
        </w:tc>
        <w:tc>
          <w:tcPr>
            <w:tcW w:w="858" w:type="dxa"/>
            <w:noWrap w:val="0"/>
            <w:vAlign w:val="center"/>
          </w:tcPr>
          <w:p w14:paraId="5A9B193F">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7E9754BB">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794E06D7">
            <w:pPr>
              <w:ind w:left="-63" w:leftChars="-30" w:right="-63" w:rightChars="-30"/>
              <w:jc w:val="center"/>
              <w:rPr>
                <w:color w:val="000000"/>
                <w:kern w:val="0"/>
                <w:szCs w:val="21"/>
              </w:rPr>
            </w:pPr>
            <w:r>
              <w:rPr>
                <w:color w:val="000000"/>
                <w:kern w:val="0"/>
                <w:szCs w:val="21"/>
              </w:rPr>
              <w:t>35.29</w:t>
            </w:r>
          </w:p>
        </w:tc>
      </w:tr>
      <w:tr w14:paraId="241C1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70D972BC">
            <w:pPr>
              <w:ind w:left="-63" w:leftChars="-30" w:right="-63" w:rightChars="-30"/>
              <w:rPr>
                <w:color w:val="000000"/>
                <w:kern w:val="0"/>
                <w:szCs w:val="21"/>
              </w:rPr>
            </w:pPr>
          </w:p>
        </w:tc>
        <w:tc>
          <w:tcPr>
            <w:tcW w:w="553" w:type="dxa"/>
            <w:vMerge w:val="continue"/>
            <w:noWrap w:val="0"/>
            <w:vAlign w:val="center"/>
          </w:tcPr>
          <w:p w14:paraId="04CEC453">
            <w:pPr>
              <w:ind w:left="-63" w:leftChars="-30" w:right="-63" w:rightChars="-30"/>
              <w:rPr>
                <w:rFonts w:ascii="楷体_GB2312" w:hAnsi="宋体" w:eastAsia="楷体_GB2312" w:cs="宋体"/>
                <w:color w:val="000000"/>
                <w:kern w:val="0"/>
                <w:szCs w:val="21"/>
              </w:rPr>
            </w:pPr>
          </w:p>
        </w:tc>
        <w:tc>
          <w:tcPr>
            <w:tcW w:w="552" w:type="dxa"/>
            <w:vMerge w:val="continue"/>
            <w:noWrap w:val="0"/>
            <w:vAlign w:val="center"/>
          </w:tcPr>
          <w:p w14:paraId="4D8056BC">
            <w:pPr>
              <w:ind w:left="-63" w:leftChars="-30" w:right="-63" w:rightChars="-30"/>
              <w:rPr>
                <w:color w:val="000000"/>
                <w:kern w:val="0"/>
                <w:szCs w:val="21"/>
              </w:rPr>
            </w:pPr>
          </w:p>
        </w:tc>
        <w:tc>
          <w:tcPr>
            <w:tcW w:w="4015" w:type="dxa"/>
            <w:noWrap w:val="0"/>
            <w:vAlign w:val="center"/>
          </w:tcPr>
          <w:p w14:paraId="34581DE2">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区域二：东至杨寨路，南至交通路，西至广场路，北至池湖路</w:t>
            </w:r>
          </w:p>
        </w:tc>
        <w:tc>
          <w:tcPr>
            <w:tcW w:w="746" w:type="dxa"/>
            <w:noWrap w:val="0"/>
            <w:vAlign w:val="center"/>
          </w:tcPr>
          <w:p w14:paraId="2135AAA5">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2FB0122B">
            <w:pPr>
              <w:ind w:left="-63" w:leftChars="-30" w:right="-63" w:rightChars="-30"/>
              <w:jc w:val="center"/>
              <w:rPr>
                <w:color w:val="000000"/>
                <w:kern w:val="0"/>
                <w:szCs w:val="21"/>
              </w:rPr>
            </w:pPr>
            <w:r>
              <w:rPr>
                <w:color w:val="000000"/>
                <w:kern w:val="0"/>
                <w:szCs w:val="21"/>
              </w:rPr>
              <w:t>92</w:t>
            </w:r>
          </w:p>
        </w:tc>
        <w:tc>
          <w:tcPr>
            <w:tcW w:w="858" w:type="dxa"/>
            <w:noWrap w:val="0"/>
            <w:vAlign w:val="center"/>
          </w:tcPr>
          <w:p w14:paraId="5214A8BF">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257108D2">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2A37ED3C">
            <w:pPr>
              <w:ind w:left="-63" w:leftChars="-30" w:right="-63" w:rightChars="-30"/>
              <w:jc w:val="center"/>
              <w:rPr>
                <w:color w:val="000000"/>
                <w:kern w:val="0"/>
                <w:szCs w:val="21"/>
              </w:rPr>
            </w:pPr>
            <w:r>
              <w:rPr>
                <w:color w:val="000000"/>
                <w:kern w:val="0"/>
                <w:szCs w:val="21"/>
              </w:rPr>
              <w:t>32.47</w:t>
            </w:r>
          </w:p>
        </w:tc>
      </w:tr>
      <w:tr w14:paraId="5D39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12E7B43E">
            <w:pPr>
              <w:ind w:left="-63" w:leftChars="-30" w:right="-63" w:rightChars="-30"/>
              <w:rPr>
                <w:color w:val="000000"/>
                <w:kern w:val="0"/>
                <w:szCs w:val="21"/>
              </w:rPr>
            </w:pPr>
          </w:p>
        </w:tc>
        <w:tc>
          <w:tcPr>
            <w:tcW w:w="553" w:type="dxa"/>
            <w:vMerge w:val="continue"/>
            <w:noWrap w:val="0"/>
            <w:vAlign w:val="center"/>
          </w:tcPr>
          <w:p w14:paraId="635BF5CD">
            <w:pPr>
              <w:ind w:left="-63" w:leftChars="-30" w:right="-63" w:rightChars="-30"/>
              <w:rPr>
                <w:rFonts w:ascii="楷体_GB2312" w:hAnsi="宋体" w:eastAsia="楷体_GB2312" w:cs="宋体"/>
                <w:color w:val="000000"/>
                <w:kern w:val="0"/>
                <w:szCs w:val="21"/>
              </w:rPr>
            </w:pPr>
          </w:p>
        </w:tc>
        <w:tc>
          <w:tcPr>
            <w:tcW w:w="552" w:type="dxa"/>
            <w:noWrap w:val="0"/>
            <w:vAlign w:val="center"/>
          </w:tcPr>
          <w:p w14:paraId="1D29D93C">
            <w:pPr>
              <w:ind w:left="-63" w:leftChars="-30" w:right="-63" w:rightChars="-30"/>
              <w:jc w:val="center"/>
              <w:rPr>
                <w:color w:val="000000"/>
                <w:kern w:val="0"/>
                <w:szCs w:val="21"/>
              </w:rPr>
            </w:pPr>
            <w:r>
              <w:rPr>
                <w:color w:val="000000"/>
                <w:kern w:val="0"/>
                <w:szCs w:val="21"/>
              </w:rPr>
              <w:t>3</w:t>
            </w:r>
          </w:p>
        </w:tc>
        <w:tc>
          <w:tcPr>
            <w:tcW w:w="4015" w:type="dxa"/>
            <w:noWrap w:val="0"/>
            <w:vAlign w:val="center"/>
          </w:tcPr>
          <w:p w14:paraId="644C3E46">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46" w:type="dxa"/>
            <w:noWrap w:val="0"/>
            <w:vAlign w:val="center"/>
          </w:tcPr>
          <w:p w14:paraId="0DCAF380">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5DE21049">
            <w:pPr>
              <w:ind w:left="-63" w:leftChars="-30" w:right="-63" w:rightChars="-30"/>
              <w:jc w:val="center"/>
              <w:rPr>
                <w:color w:val="000000"/>
                <w:kern w:val="0"/>
                <w:szCs w:val="21"/>
              </w:rPr>
            </w:pPr>
            <w:r>
              <w:rPr>
                <w:color w:val="000000"/>
                <w:kern w:val="0"/>
                <w:szCs w:val="21"/>
              </w:rPr>
              <w:t>90</w:t>
            </w:r>
          </w:p>
        </w:tc>
        <w:tc>
          <w:tcPr>
            <w:tcW w:w="858" w:type="dxa"/>
            <w:noWrap w:val="0"/>
            <w:vAlign w:val="center"/>
          </w:tcPr>
          <w:p w14:paraId="2225CF53">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0F4B43CD">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5455AA26">
            <w:pPr>
              <w:ind w:left="-63" w:leftChars="-30" w:right="-63" w:rightChars="-30"/>
              <w:jc w:val="center"/>
              <w:rPr>
                <w:color w:val="000000"/>
                <w:kern w:val="0"/>
                <w:szCs w:val="21"/>
              </w:rPr>
            </w:pPr>
            <w:r>
              <w:rPr>
                <w:color w:val="000000"/>
                <w:kern w:val="0"/>
                <w:szCs w:val="21"/>
              </w:rPr>
              <w:t>30.76</w:t>
            </w:r>
          </w:p>
        </w:tc>
      </w:tr>
      <w:tr w14:paraId="2198E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restart"/>
            <w:noWrap w:val="0"/>
            <w:vAlign w:val="center"/>
          </w:tcPr>
          <w:p w14:paraId="051AA2FE">
            <w:pPr>
              <w:ind w:left="-63" w:leftChars="-30" w:right="-63" w:rightChars="-30"/>
              <w:jc w:val="center"/>
              <w:rPr>
                <w:color w:val="000000"/>
                <w:kern w:val="0"/>
                <w:szCs w:val="21"/>
              </w:rPr>
            </w:pPr>
            <w:r>
              <w:rPr>
                <w:color w:val="000000"/>
                <w:kern w:val="0"/>
                <w:szCs w:val="21"/>
              </w:rPr>
              <w:t>11</w:t>
            </w:r>
          </w:p>
        </w:tc>
        <w:tc>
          <w:tcPr>
            <w:tcW w:w="553" w:type="dxa"/>
            <w:vMerge w:val="restart"/>
            <w:noWrap w:val="0"/>
            <w:vAlign w:val="center"/>
          </w:tcPr>
          <w:p w14:paraId="103077D7">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曹村镇</w:t>
            </w:r>
          </w:p>
        </w:tc>
        <w:tc>
          <w:tcPr>
            <w:tcW w:w="552" w:type="dxa"/>
            <w:noWrap w:val="0"/>
            <w:vAlign w:val="center"/>
          </w:tcPr>
          <w:p w14:paraId="7E59B3BC">
            <w:pPr>
              <w:ind w:left="-63" w:leftChars="-30" w:right="-63" w:rightChars="-30"/>
              <w:jc w:val="center"/>
              <w:rPr>
                <w:color w:val="000000"/>
                <w:kern w:val="0"/>
                <w:szCs w:val="21"/>
              </w:rPr>
            </w:pPr>
            <w:r>
              <w:rPr>
                <w:color w:val="000000"/>
                <w:kern w:val="0"/>
                <w:szCs w:val="21"/>
              </w:rPr>
              <w:t>1</w:t>
            </w:r>
          </w:p>
        </w:tc>
        <w:tc>
          <w:tcPr>
            <w:tcW w:w="4015" w:type="dxa"/>
            <w:noWrap w:val="0"/>
            <w:vAlign w:val="center"/>
          </w:tcPr>
          <w:p w14:paraId="3AC2E0FF">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东至曹村中心小学东侧道路、环东路，南至镇中一路，西至西环路，北至中学路</w:t>
            </w:r>
          </w:p>
        </w:tc>
        <w:tc>
          <w:tcPr>
            <w:tcW w:w="746" w:type="dxa"/>
            <w:noWrap w:val="0"/>
            <w:vAlign w:val="center"/>
          </w:tcPr>
          <w:p w14:paraId="35DBBBAC">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7C72B8DA">
            <w:pPr>
              <w:ind w:left="-63" w:leftChars="-30" w:right="-63" w:rightChars="-30"/>
              <w:jc w:val="center"/>
              <w:rPr>
                <w:color w:val="000000"/>
                <w:kern w:val="0"/>
                <w:szCs w:val="21"/>
              </w:rPr>
            </w:pPr>
            <w:r>
              <w:rPr>
                <w:color w:val="000000"/>
                <w:kern w:val="0"/>
                <w:szCs w:val="21"/>
              </w:rPr>
              <w:t>95</w:t>
            </w:r>
          </w:p>
        </w:tc>
        <w:tc>
          <w:tcPr>
            <w:tcW w:w="858" w:type="dxa"/>
            <w:noWrap w:val="0"/>
            <w:vAlign w:val="center"/>
          </w:tcPr>
          <w:p w14:paraId="75A6AC3E">
            <w:pPr>
              <w:ind w:left="-63" w:leftChars="-30" w:right="-63" w:rightChars="-30"/>
              <w:jc w:val="center"/>
              <w:rPr>
                <w:color w:val="000000"/>
                <w:kern w:val="0"/>
                <w:szCs w:val="21"/>
              </w:rPr>
            </w:pPr>
            <w:r>
              <w:rPr>
                <w:color w:val="000000"/>
                <w:kern w:val="0"/>
                <w:szCs w:val="21"/>
              </w:rPr>
              <w:t>0.3514</w:t>
            </w:r>
          </w:p>
        </w:tc>
        <w:tc>
          <w:tcPr>
            <w:tcW w:w="548" w:type="dxa"/>
            <w:noWrap w:val="0"/>
            <w:vAlign w:val="center"/>
          </w:tcPr>
          <w:p w14:paraId="265C5159">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3E6BA113">
            <w:pPr>
              <w:ind w:left="-63" w:leftChars="-30" w:right="-63" w:rightChars="-30"/>
              <w:jc w:val="center"/>
              <w:rPr>
                <w:color w:val="000000"/>
                <w:kern w:val="0"/>
                <w:szCs w:val="21"/>
              </w:rPr>
            </w:pPr>
            <w:r>
              <w:rPr>
                <w:color w:val="000000"/>
                <w:kern w:val="0"/>
                <w:szCs w:val="21"/>
              </w:rPr>
              <w:t>33.38</w:t>
            </w:r>
          </w:p>
        </w:tc>
      </w:tr>
      <w:tr w14:paraId="61040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50DC34BA">
            <w:pPr>
              <w:ind w:left="-63" w:leftChars="-30" w:right="-63" w:rightChars="-30"/>
              <w:rPr>
                <w:color w:val="000000"/>
                <w:kern w:val="0"/>
                <w:szCs w:val="21"/>
              </w:rPr>
            </w:pPr>
          </w:p>
        </w:tc>
        <w:tc>
          <w:tcPr>
            <w:tcW w:w="553" w:type="dxa"/>
            <w:vMerge w:val="continue"/>
            <w:noWrap w:val="0"/>
            <w:vAlign w:val="center"/>
          </w:tcPr>
          <w:p w14:paraId="1F2CBCCA">
            <w:pPr>
              <w:ind w:left="-63" w:leftChars="-30" w:right="-63" w:rightChars="-30"/>
              <w:rPr>
                <w:rFonts w:ascii="楷体_GB2312" w:hAnsi="宋体" w:eastAsia="楷体_GB2312" w:cs="宋体"/>
                <w:color w:val="000000"/>
                <w:kern w:val="0"/>
                <w:szCs w:val="21"/>
              </w:rPr>
            </w:pPr>
          </w:p>
        </w:tc>
        <w:tc>
          <w:tcPr>
            <w:tcW w:w="552" w:type="dxa"/>
            <w:noWrap w:val="0"/>
            <w:vAlign w:val="center"/>
          </w:tcPr>
          <w:p w14:paraId="0719A8A2">
            <w:pPr>
              <w:ind w:left="-63" w:leftChars="-30" w:right="-63" w:rightChars="-30"/>
              <w:jc w:val="center"/>
              <w:rPr>
                <w:color w:val="000000"/>
                <w:kern w:val="0"/>
                <w:szCs w:val="21"/>
              </w:rPr>
            </w:pPr>
            <w:r>
              <w:rPr>
                <w:color w:val="000000"/>
                <w:kern w:val="0"/>
                <w:szCs w:val="21"/>
              </w:rPr>
              <w:t>2</w:t>
            </w:r>
          </w:p>
        </w:tc>
        <w:tc>
          <w:tcPr>
            <w:tcW w:w="4015" w:type="dxa"/>
            <w:noWrap w:val="0"/>
            <w:vAlign w:val="center"/>
          </w:tcPr>
          <w:p w14:paraId="7CDFC58E">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东至镇东路、环东路，南至环南路，西至京沪铁路，北至环北路</w:t>
            </w:r>
          </w:p>
        </w:tc>
        <w:tc>
          <w:tcPr>
            <w:tcW w:w="746" w:type="dxa"/>
            <w:noWrap w:val="0"/>
            <w:vAlign w:val="center"/>
          </w:tcPr>
          <w:p w14:paraId="0EF756D1">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632AA3D9">
            <w:pPr>
              <w:ind w:left="-63" w:leftChars="-30" w:right="-63" w:rightChars="-30"/>
              <w:jc w:val="center"/>
              <w:rPr>
                <w:color w:val="000000"/>
                <w:kern w:val="0"/>
                <w:szCs w:val="21"/>
              </w:rPr>
            </w:pPr>
            <w:r>
              <w:rPr>
                <w:color w:val="000000"/>
                <w:kern w:val="0"/>
                <w:szCs w:val="21"/>
              </w:rPr>
              <w:t>92</w:t>
            </w:r>
          </w:p>
        </w:tc>
        <w:tc>
          <w:tcPr>
            <w:tcW w:w="858" w:type="dxa"/>
            <w:noWrap w:val="0"/>
            <w:vAlign w:val="center"/>
          </w:tcPr>
          <w:p w14:paraId="2EEC4FC8">
            <w:pPr>
              <w:ind w:left="-63" w:leftChars="-30" w:right="-63" w:rightChars="-30"/>
              <w:jc w:val="center"/>
              <w:rPr>
                <w:color w:val="000000"/>
                <w:kern w:val="0"/>
                <w:szCs w:val="21"/>
              </w:rPr>
            </w:pPr>
            <w:r>
              <w:rPr>
                <w:color w:val="000000"/>
                <w:kern w:val="0"/>
                <w:szCs w:val="21"/>
              </w:rPr>
              <w:t>0.3514</w:t>
            </w:r>
          </w:p>
        </w:tc>
        <w:tc>
          <w:tcPr>
            <w:tcW w:w="548" w:type="dxa"/>
            <w:noWrap w:val="0"/>
            <w:vAlign w:val="center"/>
          </w:tcPr>
          <w:p w14:paraId="4A5243CF">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0C297DBE">
            <w:pPr>
              <w:ind w:left="-63" w:leftChars="-30" w:right="-63" w:rightChars="-30"/>
              <w:jc w:val="center"/>
              <w:rPr>
                <w:color w:val="000000"/>
                <w:kern w:val="0"/>
                <w:szCs w:val="21"/>
              </w:rPr>
            </w:pPr>
            <w:r>
              <w:rPr>
                <w:color w:val="000000"/>
                <w:kern w:val="0"/>
                <w:szCs w:val="21"/>
              </w:rPr>
              <w:t>30.71</w:t>
            </w:r>
          </w:p>
        </w:tc>
      </w:tr>
      <w:tr w14:paraId="65187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036CF3C4">
            <w:pPr>
              <w:ind w:left="-63" w:leftChars="-30" w:right="-63" w:rightChars="-30"/>
              <w:rPr>
                <w:color w:val="000000"/>
                <w:kern w:val="0"/>
                <w:szCs w:val="21"/>
              </w:rPr>
            </w:pPr>
          </w:p>
        </w:tc>
        <w:tc>
          <w:tcPr>
            <w:tcW w:w="553" w:type="dxa"/>
            <w:vMerge w:val="continue"/>
            <w:noWrap w:val="0"/>
            <w:vAlign w:val="center"/>
          </w:tcPr>
          <w:p w14:paraId="4D3EF3E8">
            <w:pPr>
              <w:ind w:left="-63" w:leftChars="-30" w:right="-63" w:rightChars="-30"/>
              <w:rPr>
                <w:rFonts w:ascii="楷体_GB2312" w:hAnsi="宋体" w:eastAsia="楷体_GB2312" w:cs="宋体"/>
                <w:color w:val="000000"/>
                <w:kern w:val="0"/>
                <w:szCs w:val="21"/>
              </w:rPr>
            </w:pPr>
          </w:p>
        </w:tc>
        <w:tc>
          <w:tcPr>
            <w:tcW w:w="552" w:type="dxa"/>
            <w:noWrap w:val="0"/>
            <w:vAlign w:val="center"/>
          </w:tcPr>
          <w:p w14:paraId="6D587B5C">
            <w:pPr>
              <w:ind w:left="-63" w:leftChars="-30" w:right="-63" w:rightChars="-30"/>
              <w:jc w:val="center"/>
              <w:rPr>
                <w:color w:val="000000"/>
                <w:kern w:val="0"/>
                <w:szCs w:val="21"/>
              </w:rPr>
            </w:pPr>
            <w:r>
              <w:rPr>
                <w:color w:val="000000"/>
                <w:kern w:val="0"/>
                <w:szCs w:val="21"/>
              </w:rPr>
              <w:t>3</w:t>
            </w:r>
          </w:p>
        </w:tc>
        <w:tc>
          <w:tcPr>
            <w:tcW w:w="4015" w:type="dxa"/>
            <w:noWrap w:val="0"/>
            <w:vAlign w:val="center"/>
          </w:tcPr>
          <w:p w14:paraId="2517C7B2">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46" w:type="dxa"/>
            <w:noWrap w:val="0"/>
            <w:vAlign w:val="center"/>
          </w:tcPr>
          <w:p w14:paraId="5934BFF1">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1AD34220">
            <w:pPr>
              <w:ind w:left="-63" w:leftChars="-30" w:right="-63" w:rightChars="-30"/>
              <w:jc w:val="center"/>
              <w:rPr>
                <w:color w:val="000000"/>
                <w:kern w:val="0"/>
                <w:szCs w:val="21"/>
              </w:rPr>
            </w:pPr>
            <w:r>
              <w:rPr>
                <w:color w:val="000000"/>
                <w:kern w:val="0"/>
                <w:szCs w:val="21"/>
              </w:rPr>
              <w:t>90</w:t>
            </w:r>
          </w:p>
        </w:tc>
        <w:tc>
          <w:tcPr>
            <w:tcW w:w="858" w:type="dxa"/>
            <w:noWrap w:val="0"/>
            <w:vAlign w:val="center"/>
          </w:tcPr>
          <w:p w14:paraId="098773CB">
            <w:pPr>
              <w:ind w:left="-63" w:leftChars="-30" w:right="-63" w:rightChars="-30"/>
              <w:jc w:val="center"/>
              <w:rPr>
                <w:color w:val="000000"/>
                <w:kern w:val="0"/>
                <w:szCs w:val="21"/>
              </w:rPr>
            </w:pPr>
            <w:r>
              <w:rPr>
                <w:color w:val="000000"/>
                <w:kern w:val="0"/>
                <w:szCs w:val="21"/>
              </w:rPr>
              <w:t>0.3514</w:t>
            </w:r>
          </w:p>
        </w:tc>
        <w:tc>
          <w:tcPr>
            <w:tcW w:w="548" w:type="dxa"/>
            <w:noWrap w:val="0"/>
            <w:vAlign w:val="center"/>
          </w:tcPr>
          <w:p w14:paraId="64C55652">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5D954B22">
            <w:pPr>
              <w:ind w:left="-63" w:leftChars="-30" w:right="-63" w:rightChars="-30"/>
              <w:jc w:val="center"/>
              <w:rPr>
                <w:color w:val="000000"/>
                <w:kern w:val="0"/>
                <w:szCs w:val="21"/>
              </w:rPr>
            </w:pPr>
            <w:r>
              <w:rPr>
                <w:color w:val="000000"/>
                <w:kern w:val="0"/>
                <w:szCs w:val="21"/>
              </w:rPr>
              <w:t>29.1</w:t>
            </w:r>
          </w:p>
        </w:tc>
      </w:tr>
      <w:tr w14:paraId="5FC82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restart"/>
            <w:noWrap w:val="0"/>
            <w:vAlign w:val="center"/>
          </w:tcPr>
          <w:p w14:paraId="6049A914">
            <w:pPr>
              <w:ind w:left="-63" w:leftChars="-30" w:right="-63" w:rightChars="-30"/>
              <w:jc w:val="center"/>
              <w:rPr>
                <w:color w:val="000000"/>
                <w:kern w:val="0"/>
                <w:szCs w:val="21"/>
              </w:rPr>
            </w:pPr>
            <w:r>
              <w:rPr>
                <w:color w:val="000000"/>
                <w:kern w:val="0"/>
                <w:szCs w:val="21"/>
              </w:rPr>
              <w:t>12</w:t>
            </w:r>
          </w:p>
        </w:tc>
        <w:tc>
          <w:tcPr>
            <w:tcW w:w="553" w:type="dxa"/>
            <w:vMerge w:val="restart"/>
            <w:noWrap w:val="0"/>
            <w:vAlign w:val="center"/>
          </w:tcPr>
          <w:p w14:paraId="24EE59E1">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大营镇</w:t>
            </w:r>
          </w:p>
        </w:tc>
        <w:tc>
          <w:tcPr>
            <w:tcW w:w="552" w:type="dxa"/>
            <w:noWrap w:val="0"/>
            <w:vAlign w:val="center"/>
          </w:tcPr>
          <w:p w14:paraId="32798E69">
            <w:pPr>
              <w:ind w:left="-63" w:leftChars="-30" w:right="-63" w:rightChars="-30"/>
              <w:jc w:val="center"/>
              <w:rPr>
                <w:color w:val="000000"/>
                <w:kern w:val="0"/>
                <w:szCs w:val="21"/>
              </w:rPr>
            </w:pPr>
            <w:r>
              <w:rPr>
                <w:color w:val="000000"/>
                <w:kern w:val="0"/>
                <w:szCs w:val="21"/>
              </w:rPr>
              <w:t>1</w:t>
            </w:r>
          </w:p>
        </w:tc>
        <w:tc>
          <w:tcPr>
            <w:tcW w:w="4015" w:type="dxa"/>
            <w:noWrap w:val="0"/>
            <w:vAlign w:val="center"/>
          </w:tcPr>
          <w:p w14:paraId="0A01CA21">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东至振兴路、解放路，南至兴国路，西至便民路、蕲大路，北至健康路、邓陈路</w:t>
            </w:r>
          </w:p>
        </w:tc>
        <w:tc>
          <w:tcPr>
            <w:tcW w:w="746" w:type="dxa"/>
            <w:noWrap w:val="0"/>
            <w:vAlign w:val="center"/>
          </w:tcPr>
          <w:p w14:paraId="7438E23D">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0729DC1C">
            <w:pPr>
              <w:ind w:left="-63" w:leftChars="-30" w:right="-63" w:rightChars="-30"/>
              <w:jc w:val="center"/>
              <w:rPr>
                <w:color w:val="000000"/>
                <w:kern w:val="0"/>
                <w:szCs w:val="21"/>
              </w:rPr>
            </w:pPr>
            <w:r>
              <w:rPr>
                <w:color w:val="000000"/>
                <w:kern w:val="0"/>
                <w:szCs w:val="21"/>
              </w:rPr>
              <w:t>95</w:t>
            </w:r>
          </w:p>
        </w:tc>
        <w:tc>
          <w:tcPr>
            <w:tcW w:w="858" w:type="dxa"/>
            <w:noWrap w:val="0"/>
            <w:vAlign w:val="center"/>
          </w:tcPr>
          <w:p w14:paraId="36CA1120">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09D7C0FB">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74315900">
            <w:pPr>
              <w:ind w:left="-63" w:leftChars="-30" w:right="-63" w:rightChars="-30"/>
              <w:jc w:val="center"/>
              <w:rPr>
                <w:color w:val="000000"/>
                <w:kern w:val="0"/>
                <w:szCs w:val="21"/>
              </w:rPr>
            </w:pPr>
            <w:r>
              <w:rPr>
                <w:color w:val="000000"/>
                <w:kern w:val="0"/>
                <w:szCs w:val="21"/>
              </w:rPr>
              <w:t>35.29</w:t>
            </w:r>
          </w:p>
        </w:tc>
      </w:tr>
      <w:tr w14:paraId="6AD02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50A243A6">
            <w:pPr>
              <w:ind w:left="-63" w:leftChars="-30" w:right="-63" w:rightChars="-30"/>
              <w:rPr>
                <w:color w:val="000000"/>
                <w:kern w:val="0"/>
                <w:szCs w:val="21"/>
              </w:rPr>
            </w:pPr>
          </w:p>
        </w:tc>
        <w:tc>
          <w:tcPr>
            <w:tcW w:w="553" w:type="dxa"/>
            <w:vMerge w:val="continue"/>
            <w:noWrap w:val="0"/>
            <w:vAlign w:val="center"/>
          </w:tcPr>
          <w:p w14:paraId="1234B6E7">
            <w:pPr>
              <w:ind w:left="-63" w:leftChars="-30" w:right="-63" w:rightChars="-30"/>
              <w:rPr>
                <w:rFonts w:ascii="楷体_GB2312" w:hAnsi="宋体" w:eastAsia="楷体_GB2312" w:cs="宋体"/>
                <w:color w:val="000000"/>
                <w:kern w:val="0"/>
                <w:szCs w:val="21"/>
              </w:rPr>
            </w:pPr>
          </w:p>
        </w:tc>
        <w:tc>
          <w:tcPr>
            <w:tcW w:w="552" w:type="dxa"/>
            <w:noWrap w:val="0"/>
            <w:vAlign w:val="center"/>
          </w:tcPr>
          <w:p w14:paraId="1553D7DE">
            <w:pPr>
              <w:ind w:left="-63" w:leftChars="-30" w:right="-63" w:rightChars="-30"/>
              <w:jc w:val="center"/>
              <w:rPr>
                <w:color w:val="000000"/>
                <w:kern w:val="0"/>
                <w:szCs w:val="21"/>
              </w:rPr>
            </w:pPr>
            <w:r>
              <w:rPr>
                <w:color w:val="000000"/>
                <w:kern w:val="0"/>
                <w:szCs w:val="21"/>
              </w:rPr>
              <w:t>2</w:t>
            </w:r>
          </w:p>
        </w:tc>
        <w:tc>
          <w:tcPr>
            <w:tcW w:w="4015" w:type="dxa"/>
            <w:noWrap w:val="0"/>
            <w:vAlign w:val="center"/>
          </w:tcPr>
          <w:p w14:paraId="001F7942">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东至兴大路、解放沟，南至</w:t>
            </w:r>
            <w:r>
              <w:rPr>
                <w:rFonts w:hint="eastAsia" w:ascii="宋体" w:hAnsi="宋体" w:cs="宋体"/>
                <w:color w:val="000000"/>
                <w:kern w:val="0"/>
                <w:szCs w:val="21"/>
              </w:rPr>
              <w:t>澥</w:t>
            </w:r>
            <w:r>
              <w:rPr>
                <w:rFonts w:hint="eastAsia" w:ascii="楷体_GB2312" w:hAnsi="宋体" w:eastAsia="楷体_GB2312" w:cs="宋体"/>
                <w:color w:val="000000"/>
                <w:kern w:val="0"/>
                <w:szCs w:val="21"/>
              </w:rPr>
              <w:t>河路、民安路，西至蕲大路、银兴河路，北至邓陈路、沿江路</w:t>
            </w:r>
          </w:p>
        </w:tc>
        <w:tc>
          <w:tcPr>
            <w:tcW w:w="746" w:type="dxa"/>
            <w:noWrap w:val="0"/>
            <w:vAlign w:val="center"/>
          </w:tcPr>
          <w:p w14:paraId="0073872E">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026F29D0">
            <w:pPr>
              <w:ind w:left="-63" w:leftChars="-30" w:right="-63" w:rightChars="-30"/>
              <w:jc w:val="center"/>
              <w:rPr>
                <w:color w:val="000000"/>
                <w:kern w:val="0"/>
                <w:szCs w:val="21"/>
              </w:rPr>
            </w:pPr>
            <w:r>
              <w:rPr>
                <w:color w:val="000000"/>
                <w:kern w:val="0"/>
                <w:szCs w:val="21"/>
              </w:rPr>
              <w:t>92</w:t>
            </w:r>
          </w:p>
        </w:tc>
        <w:tc>
          <w:tcPr>
            <w:tcW w:w="858" w:type="dxa"/>
            <w:noWrap w:val="0"/>
            <w:vAlign w:val="center"/>
          </w:tcPr>
          <w:p w14:paraId="52EE44D0">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7973C0EE">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6CEF1A85">
            <w:pPr>
              <w:ind w:left="-63" w:leftChars="-30" w:right="-63" w:rightChars="-30"/>
              <w:jc w:val="center"/>
              <w:rPr>
                <w:color w:val="000000"/>
                <w:kern w:val="0"/>
                <w:szCs w:val="21"/>
              </w:rPr>
            </w:pPr>
            <w:r>
              <w:rPr>
                <w:color w:val="000000"/>
                <w:kern w:val="0"/>
                <w:szCs w:val="21"/>
              </w:rPr>
              <w:t>32.47</w:t>
            </w:r>
          </w:p>
        </w:tc>
      </w:tr>
      <w:tr w14:paraId="4F79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743A28FC">
            <w:pPr>
              <w:ind w:left="-63" w:leftChars="-30" w:right="-63" w:rightChars="-30"/>
              <w:rPr>
                <w:color w:val="000000"/>
                <w:kern w:val="0"/>
                <w:szCs w:val="21"/>
              </w:rPr>
            </w:pPr>
          </w:p>
        </w:tc>
        <w:tc>
          <w:tcPr>
            <w:tcW w:w="553" w:type="dxa"/>
            <w:vMerge w:val="continue"/>
            <w:noWrap w:val="0"/>
            <w:vAlign w:val="center"/>
          </w:tcPr>
          <w:p w14:paraId="0E292439">
            <w:pPr>
              <w:ind w:left="-63" w:leftChars="-30" w:right="-63" w:rightChars="-30"/>
              <w:rPr>
                <w:rFonts w:ascii="楷体_GB2312" w:hAnsi="宋体" w:eastAsia="楷体_GB2312" w:cs="宋体"/>
                <w:color w:val="000000"/>
                <w:kern w:val="0"/>
                <w:szCs w:val="21"/>
              </w:rPr>
            </w:pPr>
          </w:p>
        </w:tc>
        <w:tc>
          <w:tcPr>
            <w:tcW w:w="552" w:type="dxa"/>
            <w:noWrap w:val="0"/>
            <w:vAlign w:val="center"/>
          </w:tcPr>
          <w:p w14:paraId="47844B9D">
            <w:pPr>
              <w:ind w:left="-63" w:leftChars="-30" w:right="-63" w:rightChars="-30"/>
              <w:jc w:val="center"/>
              <w:rPr>
                <w:color w:val="000000"/>
                <w:kern w:val="0"/>
                <w:szCs w:val="21"/>
              </w:rPr>
            </w:pPr>
            <w:r>
              <w:rPr>
                <w:color w:val="000000"/>
                <w:kern w:val="0"/>
                <w:szCs w:val="21"/>
              </w:rPr>
              <w:t>3</w:t>
            </w:r>
          </w:p>
        </w:tc>
        <w:tc>
          <w:tcPr>
            <w:tcW w:w="4015" w:type="dxa"/>
            <w:noWrap w:val="0"/>
            <w:vAlign w:val="center"/>
          </w:tcPr>
          <w:p w14:paraId="644390D4">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46" w:type="dxa"/>
            <w:noWrap w:val="0"/>
            <w:vAlign w:val="center"/>
          </w:tcPr>
          <w:p w14:paraId="61B82665">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2DA0E887">
            <w:pPr>
              <w:ind w:left="-63" w:leftChars="-30" w:right="-63" w:rightChars="-30"/>
              <w:jc w:val="center"/>
              <w:rPr>
                <w:color w:val="000000"/>
                <w:kern w:val="0"/>
                <w:szCs w:val="21"/>
              </w:rPr>
            </w:pPr>
            <w:r>
              <w:rPr>
                <w:color w:val="000000"/>
                <w:kern w:val="0"/>
                <w:szCs w:val="21"/>
              </w:rPr>
              <w:t>90</w:t>
            </w:r>
          </w:p>
        </w:tc>
        <w:tc>
          <w:tcPr>
            <w:tcW w:w="858" w:type="dxa"/>
            <w:noWrap w:val="0"/>
            <w:vAlign w:val="center"/>
          </w:tcPr>
          <w:p w14:paraId="621E9006">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56CA1823">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4A357BF5">
            <w:pPr>
              <w:ind w:left="-63" w:leftChars="-30" w:right="-63" w:rightChars="-30"/>
              <w:jc w:val="center"/>
              <w:rPr>
                <w:color w:val="000000"/>
                <w:kern w:val="0"/>
                <w:szCs w:val="21"/>
              </w:rPr>
            </w:pPr>
            <w:r>
              <w:rPr>
                <w:color w:val="000000"/>
                <w:kern w:val="0"/>
                <w:szCs w:val="21"/>
              </w:rPr>
              <w:t>30.76</w:t>
            </w:r>
          </w:p>
        </w:tc>
      </w:tr>
      <w:tr w14:paraId="3DA71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restart"/>
            <w:noWrap w:val="0"/>
            <w:vAlign w:val="center"/>
          </w:tcPr>
          <w:p w14:paraId="2670AB9B">
            <w:pPr>
              <w:ind w:left="-63" w:leftChars="-30" w:right="-63" w:rightChars="-30"/>
              <w:jc w:val="center"/>
              <w:rPr>
                <w:color w:val="000000"/>
                <w:kern w:val="0"/>
                <w:szCs w:val="21"/>
              </w:rPr>
            </w:pPr>
            <w:r>
              <w:rPr>
                <w:color w:val="000000"/>
                <w:kern w:val="0"/>
                <w:szCs w:val="21"/>
              </w:rPr>
              <w:t>13</w:t>
            </w:r>
          </w:p>
        </w:tc>
        <w:tc>
          <w:tcPr>
            <w:tcW w:w="553" w:type="dxa"/>
            <w:vMerge w:val="restart"/>
            <w:noWrap w:val="0"/>
            <w:vAlign w:val="center"/>
          </w:tcPr>
          <w:p w14:paraId="2EF45B54">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褚兰镇</w:t>
            </w:r>
          </w:p>
        </w:tc>
        <w:tc>
          <w:tcPr>
            <w:tcW w:w="552" w:type="dxa"/>
            <w:noWrap w:val="0"/>
            <w:vAlign w:val="center"/>
          </w:tcPr>
          <w:p w14:paraId="5F0F5F9D">
            <w:pPr>
              <w:ind w:left="-63" w:leftChars="-30" w:right="-63" w:rightChars="-30"/>
              <w:jc w:val="center"/>
              <w:rPr>
                <w:color w:val="000000"/>
                <w:kern w:val="0"/>
                <w:szCs w:val="21"/>
              </w:rPr>
            </w:pPr>
            <w:r>
              <w:rPr>
                <w:color w:val="000000"/>
                <w:kern w:val="0"/>
                <w:szCs w:val="21"/>
              </w:rPr>
              <w:t>1</w:t>
            </w:r>
          </w:p>
        </w:tc>
        <w:tc>
          <w:tcPr>
            <w:tcW w:w="4015" w:type="dxa"/>
            <w:noWrap w:val="0"/>
            <w:vAlign w:val="center"/>
          </w:tcPr>
          <w:p w14:paraId="0EF393F2">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东至和悦路，南至政府大街，西至畅购路，北至二徐路</w:t>
            </w:r>
          </w:p>
        </w:tc>
        <w:tc>
          <w:tcPr>
            <w:tcW w:w="746" w:type="dxa"/>
            <w:noWrap w:val="0"/>
            <w:vAlign w:val="center"/>
          </w:tcPr>
          <w:p w14:paraId="7C3333D9">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19B108A1">
            <w:pPr>
              <w:ind w:left="-63" w:leftChars="-30" w:right="-63" w:rightChars="-30"/>
              <w:jc w:val="center"/>
              <w:rPr>
                <w:color w:val="000000"/>
                <w:kern w:val="0"/>
                <w:szCs w:val="21"/>
              </w:rPr>
            </w:pPr>
            <w:r>
              <w:rPr>
                <w:color w:val="000000"/>
                <w:kern w:val="0"/>
                <w:szCs w:val="21"/>
              </w:rPr>
              <w:t>95</w:t>
            </w:r>
          </w:p>
        </w:tc>
        <w:tc>
          <w:tcPr>
            <w:tcW w:w="858" w:type="dxa"/>
            <w:noWrap w:val="0"/>
            <w:vAlign w:val="center"/>
          </w:tcPr>
          <w:p w14:paraId="2300C432">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0F029950">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61EBAFC8">
            <w:pPr>
              <w:ind w:left="-63" w:leftChars="-30" w:right="-63" w:rightChars="-30"/>
              <w:jc w:val="center"/>
              <w:rPr>
                <w:color w:val="000000"/>
                <w:kern w:val="0"/>
                <w:szCs w:val="21"/>
              </w:rPr>
            </w:pPr>
            <w:r>
              <w:rPr>
                <w:color w:val="000000"/>
                <w:kern w:val="0"/>
                <w:szCs w:val="21"/>
              </w:rPr>
              <w:t>35.29</w:t>
            </w:r>
          </w:p>
        </w:tc>
      </w:tr>
      <w:tr w14:paraId="782BA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1C3BD062">
            <w:pPr>
              <w:ind w:left="-63" w:leftChars="-30" w:right="-63" w:rightChars="-30"/>
              <w:rPr>
                <w:color w:val="000000"/>
                <w:kern w:val="0"/>
                <w:szCs w:val="21"/>
              </w:rPr>
            </w:pPr>
          </w:p>
        </w:tc>
        <w:tc>
          <w:tcPr>
            <w:tcW w:w="553" w:type="dxa"/>
            <w:vMerge w:val="continue"/>
            <w:noWrap w:val="0"/>
            <w:vAlign w:val="center"/>
          </w:tcPr>
          <w:p w14:paraId="0D6FD6E1">
            <w:pPr>
              <w:ind w:left="-63" w:leftChars="-30" w:right="-63" w:rightChars="-30"/>
              <w:rPr>
                <w:rFonts w:ascii="楷体_GB2312" w:hAnsi="宋体" w:eastAsia="楷体_GB2312" w:cs="宋体"/>
                <w:color w:val="000000"/>
                <w:kern w:val="0"/>
                <w:szCs w:val="21"/>
              </w:rPr>
            </w:pPr>
          </w:p>
        </w:tc>
        <w:tc>
          <w:tcPr>
            <w:tcW w:w="552" w:type="dxa"/>
            <w:noWrap w:val="0"/>
            <w:vAlign w:val="center"/>
          </w:tcPr>
          <w:p w14:paraId="1417E653">
            <w:pPr>
              <w:ind w:left="-63" w:leftChars="-30" w:right="-63" w:rightChars="-30"/>
              <w:jc w:val="center"/>
              <w:rPr>
                <w:color w:val="000000"/>
                <w:kern w:val="0"/>
                <w:szCs w:val="21"/>
              </w:rPr>
            </w:pPr>
            <w:r>
              <w:rPr>
                <w:color w:val="000000"/>
                <w:kern w:val="0"/>
                <w:szCs w:val="21"/>
              </w:rPr>
              <w:t>2</w:t>
            </w:r>
          </w:p>
        </w:tc>
        <w:tc>
          <w:tcPr>
            <w:tcW w:w="4015" w:type="dxa"/>
            <w:noWrap w:val="0"/>
            <w:vAlign w:val="center"/>
          </w:tcPr>
          <w:p w14:paraId="090A0623">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东至康安路，南至腾飞路、定级边界，西至滨水路，北至褚岗路</w:t>
            </w:r>
          </w:p>
        </w:tc>
        <w:tc>
          <w:tcPr>
            <w:tcW w:w="746" w:type="dxa"/>
            <w:noWrap w:val="0"/>
            <w:vAlign w:val="center"/>
          </w:tcPr>
          <w:p w14:paraId="684709AD">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6E175BA5">
            <w:pPr>
              <w:ind w:left="-63" w:leftChars="-30" w:right="-63" w:rightChars="-30"/>
              <w:jc w:val="center"/>
              <w:rPr>
                <w:color w:val="000000"/>
                <w:kern w:val="0"/>
                <w:szCs w:val="21"/>
              </w:rPr>
            </w:pPr>
            <w:r>
              <w:rPr>
                <w:color w:val="000000"/>
                <w:kern w:val="0"/>
                <w:szCs w:val="21"/>
              </w:rPr>
              <w:t>92</w:t>
            </w:r>
          </w:p>
        </w:tc>
        <w:tc>
          <w:tcPr>
            <w:tcW w:w="858" w:type="dxa"/>
            <w:noWrap w:val="0"/>
            <w:vAlign w:val="center"/>
          </w:tcPr>
          <w:p w14:paraId="617A769C">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4EBAB3F7">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725D4118">
            <w:pPr>
              <w:ind w:left="-63" w:leftChars="-30" w:right="-63" w:rightChars="-30"/>
              <w:jc w:val="center"/>
              <w:rPr>
                <w:color w:val="000000"/>
                <w:kern w:val="0"/>
                <w:szCs w:val="21"/>
              </w:rPr>
            </w:pPr>
            <w:r>
              <w:rPr>
                <w:color w:val="000000"/>
                <w:kern w:val="0"/>
                <w:szCs w:val="21"/>
              </w:rPr>
              <w:t>32.47</w:t>
            </w:r>
          </w:p>
        </w:tc>
      </w:tr>
      <w:tr w14:paraId="073E6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1A32D040">
            <w:pPr>
              <w:ind w:left="-63" w:leftChars="-30" w:right="-63" w:rightChars="-30"/>
              <w:rPr>
                <w:color w:val="000000"/>
                <w:kern w:val="0"/>
                <w:szCs w:val="21"/>
              </w:rPr>
            </w:pPr>
          </w:p>
        </w:tc>
        <w:tc>
          <w:tcPr>
            <w:tcW w:w="553" w:type="dxa"/>
            <w:vMerge w:val="continue"/>
            <w:noWrap w:val="0"/>
            <w:vAlign w:val="center"/>
          </w:tcPr>
          <w:p w14:paraId="0A49F948">
            <w:pPr>
              <w:ind w:left="-63" w:leftChars="-30" w:right="-63" w:rightChars="-30"/>
              <w:rPr>
                <w:rFonts w:ascii="楷体_GB2312" w:hAnsi="宋体" w:eastAsia="楷体_GB2312" w:cs="宋体"/>
                <w:color w:val="000000"/>
                <w:kern w:val="0"/>
                <w:szCs w:val="21"/>
              </w:rPr>
            </w:pPr>
          </w:p>
        </w:tc>
        <w:tc>
          <w:tcPr>
            <w:tcW w:w="552" w:type="dxa"/>
            <w:noWrap w:val="0"/>
            <w:vAlign w:val="center"/>
          </w:tcPr>
          <w:p w14:paraId="302AFB37">
            <w:pPr>
              <w:ind w:left="-63" w:leftChars="-30" w:right="-63" w:rightChars="-30"/>
              <w:jc w:val="center"/>
              <w:rPr>
                <w:color w:val="000000"/>
                <w:kern w:val="0"/>
                <w:szCs w:val="21"/>
              </w:rPr>
            </w:pPr>
            <w:r>
              <w:rPr>
                <w:color w:val="000000"/>
                <w:kern w:val="0"/>
                <w:szCs w:val="21"/>
              </w:rPr>
              <w:t>3</w:t>
            </w:r>
          </w:p>
        </w:tc>
        <w:tc>
          <w:tcPr>
            <w:tcW w:w="4015" w:type="dxa"/>
            <w:noWrap w:val="0"/>
            <w:vAlign w:val="center"/>
          </w:tcPr>
          <w:p w14:paraId="28339AA9">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46" w:type="dxa"/>
            <w:noWrap w:val="0"/>
            <w:vAlign w:val="center"/>
          </w:tcPr>
          <w:p w14:paraId="6B26C463">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5EEAA369">
            <w:pPr>
              <w:ind w:left="-63" w:leftChars="-30" w:right="-63" w:rightChars="-30"/>
              <w:jc w:val="center"/>
              <w:rPr>
                <w:color w:val="000000"/>
                <w:kern w:val="0"/>
                <w:szCs w:val="21"/>
              </w:rPr>
            </w:pPr>
            <w:r>
              <w:rPr>
                <w:color w:val="000000"/>
                <w:kern w:val="0"/>
                <w:szCs w:val="21"/>
              </w:rPr>
              <w:t>90</w:t>
            </w:r>
          </w:p>
        </w:tc>
        <w:tc>
          <w:tcPr>
            <w:tcW w:w="858" w:type="dxa"/>
            <w:noWrap w:val="0"/>
            <w:vAlign w:val="center"/>
          </w:tcPr>
          <w:p w14:paraId="670B92C9">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4C24F621">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0B7EE603">
            <w:pPr>
              <w:ind w:left="-63" w:leftChars="-30" w:right="-63" w:rightChars="-30"/>
              <w:jc w:val="center"/>
              <w:rPr>
                <w:color w:val="000000"/>
                <w:kern w:val="0"/>
                <w:szCs w:val="21"/>
              </w:rPr>
            </w:pPr>
            <w:r>
              <w:rPr>
                <w:color w:val="000000"/>
                <w:kern w:val="0"/>
                <w:szCs w:val="21"/>
              </w:rPr>
              <w:t>30.76</w:t>
            </w:r>
          </w:p>
        </w:tc>
      </w:tr>
      <w:tr w14:paraId="2D78A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restart"/>
            <w:noWrap w:val="0"/>
            <w:vAlign w:val="center"/>
          </w:tcPr>
          <w:p w14:paraId="66260111">
            <w:pPr>
              <w:ind w:left="-63" w:leftChars="-30" w:right="-63" w:rightChars="-30"/>
              <w:jc w:val="center"/>
              <w:rPr>
                <w:color w:val="000000"/>
                <w:kern w:val="0"/>
                <w:szCs w:val="21"/>
              </w:rPr>
            </w:pPr>
            <w:r>
              <w:rPr>
                <w:color w:val="000000"/>
                <w:kern w:val="0"/>
                <w:szCs w:val="21"/>
              </w:rPr>
              <w:t>14</w:t>
            </w:r>
          </w:p>
        </w:tc>
        <w:tc>
          <w:tcPr>
            <w:tcW w:w="553" w:type="dxa"/>
            <w:vMerge w:val="restart"/>
            <w:noWrap w:val="0"/>
            <w:vAlign w:val="center"/>
          </w:tcPr>
          <w:p w14:paraId="4CFBF1EE">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顺河镇</w:t>
            </w:r>
          </w:p>
        </w:tc>
        <w:tc>
          <w:tcPr>
            <w:tcW w:w="552" w:type="dxa"/>
            <w:noWrap w:val="0"/>
            <w:vAlign w:val="center"/>
          </w:tcPr>
          <w:p w14:paraId="71AC5953">
            <w:pPr>
              <w:ind w:left="-63" w:leftChars="-30" w:right="-63" w:rightChars="-30"/>
              <w:jc w:val="center"/>
              <w:rPr>
                <w:color w:val="000000"/>
                <w:kern w:val="0"/>
                <w:szCs w:val="21"/>
              </w:rPr>
            </w:pPr>
            <w:r>
              <w:rPr>
                <w:color w:val="000000"/>
                <w:kern w:val="0"/>
                <w:szCs w:val="21"/>
              </w:rPr>
              <w:t>1</w:t>
            </w:r>
          </w:p>
        </w:tc>
        <w:tc>
          <w:tcPr>
            <w:tcW w:w="4015" w:type="dxa"/>
            <w:noWrap w:val="0"/>
            <w:vAlign w:val="center"/>
          </w:tcPr>
          <w:p w14:paraId="40F673AF">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东至诚信路，南至平安路，西至民主路，北至</w:t>
            </w:r>
            <w:r>
              <w:rPr>
                <w:rFonts w:eastAsia="楷体_GB2312"/>
                <w:color w:val="000000"/>
                <w:kern w:val="0"/>
                <w:szCs w:val="21"/>
              </w:rPr>
              <w:t>302</w:t>
            </w:r>
            <w:r>
              <w:rPr>
                <w:rFonts w:hint="eastAsia" w:ascii="楷体_GB2312" w:hAnsi="宋体" w:eastAsia="楷体_GB2312" w:cs="宋体"/>
                <w:color w:val="000000"/>
                <w:kern w:val="0"/>
                <w:szCs w:val="21"/>
              </w:rPr>
              <w:t>省道</w:t>
            </w:r>
          </w:p>
        </w:tc>
        <w:tc>
          <w:tcPr>
            <w:tcW w:w="746" w:type="dxa"/>
            <w:noWrap w:val="0"/>
            <w:vAlign w:val="center"/>
          </w:tcPr>
          <w:p w14:paraId="398DFDB4">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02A043BF">
            <w:pPr>
              <w:ind w:left="-63" w:leftChars="-30" w:right="-63" w:rightChars="-30"/>
              <w:jc w:val="center"/>
              <w:rPr>
                <w:color w:val="000000"/>
                <w:kern w:val="0"/>
                <w:szCs w:val="21"/>
              </w:rPr>
            </w:pPr>
            <w:r>
              <w:rPr>
                <w:color w:val="000000"/>
                <w:kern w:val="0"/>
                <w:szCs w:val="21"/>
              </w:rPr>
              <w:t>95</w:t>
            </w:r>
          </w:p>
        </w:tc>
        <w:tc>
          <w:tcPr>
            <w:tcW w:w="858" w:type="dxa"/>
            <w:noWrap w:val="0"/>
            <w:vAlign w:val="center"/>
          </w:tcPr>
          <w:p w14:paraId="05E7E957">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106E2A2B">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60930CD4">
            <w:pPr>
              <w:ind w:left="-63" w:leftChars="-30" w:right="-63" w:rightChars="-30"/>
              <w:jc w:val="center"/>
              <w:rPr>
                <w:color w:val="000000"/>
                <w:kern w:val="0"/>
                <w:szCs w:val="21"/>
              </w:rPr>
            </w:pPr>
            <w:r>
              <w:rPr>
                <w:color w:val="000000"/>
                <w:kern w:val="0"/>
                <w:szCs w:val="21"/>
              </w:rPr>
              <w:t>35.29</w:t>
            </w:r>
          </w:p>
        </w:tc>
      </w:tr>
      <w:tr w14:paraId="388E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58EBEAB3">
            <w:pPr>
              <w:ind w:left="-63" w:leftChars="-30" w:right="-63" w:rightChars="-30"/>
              <w:rPr>
                <w:color w:val="000000"/>
                <w:kern w:val="0"/>
                <w:szCs w:val="21"/>
              </w:rPr>
            </w:pPr>
          </w:p>
        </w:tc>
        <w:tc>
          <w:tcPr>
            <w:tcW w:w="553" w:type="dxa"/>
            <w:vMerge w:val="continue"/>
            <w:noWrap w:val="0"/>
            <w:vAlign w:val="center"/>
          </w:tcPr>
          <w:p w14:paraId="10CDDBA3">
            <w:pPr>
              <w:ind w:left="-63" w:leftChars="-30" w:right="-63" w:rightChars="-30"/>
              <w:rPr>
                <w:rFonts w:ascii="楷体_GB2312" w:hAnsi="宋体" w:eastAsia="楷体_GB2312" w:cs="宋体"/>
                <w:color w:val="000000"/>
                <w:kern w:val="0"/>
                <w:szCs w:val="21"/>
              </w:rPr>
            </w:pPr>
          </w:p>
        </w:tc>
        <w:tc>
          <w:tcPr>
            <w:tcW w:w="552" w:type="dxa"/>
            <w:noWrap w:val="0"/>
            <w:vAlign w:val="center"/>
          </w:tcPr>
          <w:p w14:paraId="18A4AE7C">
            <w:pPr>
              <w:ind w:left="-63" w:leftChars="-30" w:right="-63" w:rightChars="-30"/>
              <w:jc w:val="center"/>
              <w:rPr>
                <w:color w:val="000000"/>
                <w:kern w:val="0"/>
                <w:szCs w:val="21"/>
              </w:rPr>
            </w:pPr>
            <w:r>
              <w:rPr>
                <w:color w:val="000000"/>
                <w:kern w:val="0"/>
                <w:szCs w:val="21"/>
              </w:rPr>
              <w:t>2</w:t>
            </w:r>
          </w:p>
        </w:tc>
        <w:tc>
          <w:tcPr>
            <w:tcW w:w="4015" w:type="dxa"/>
            <w:noWrap w:val="0"/>
            <w:vAlign w:val="center"/>
          </w:tcPr>
          <w:p w14:paraId="36FF6474">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东至万顺路，南至定级边界，西至经十二路，北至</w:t>
            </w:r>
            <w:r>
              <w:rPr>
                <w:rFonts w:eastAsia="楷体_GB2312"/>
                <w:color w:val="000000"/>
                <w:kern w:val="0"/>
                <w:szCs w:val="21"/>
              </w:rPr>
              <w:t>032</w:t>
            </w:r>
            <w:r>
              <w:rPr>
                <w:rFonts w:hint="eastAsia" w:ascii="楷体_GB2312" w:hAnsi="宋体" w:eastAsia="楷体_GB2312" w:cs="宋体"/>
                <w:color w:val="000000"/>
                <w:kern w:val="0"/>
                <w:szCs w:val="21"/>
              </w:rPr>
              <w:t>省道</w:t>
            </w:r>
          </w:p>
        </w:tc>
        <w:tc>
          <w:tcPr>
            <w:tcW w:w="746" w:type="dxa"/>
            <w:noWrap w:val="0"/>
            <w:vAlign w:val="center"/>
          </w:tcPr>
          <w:p w14:paraId="7DF92634">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591019F1">
            <w:pPr>
              <w:ind w:left="-63" w:leftChars="-30" w:right="-63" w:rightChars="-30"/>
              <w:jc w:val="center"/>
              <w:rPr>
                <w:color w:val="000000"/>
                <w:kern w:val="0"/>
                <w:szCs w:val="21"/>
              </w:rPr>
            </w:pPr>
            <w:r>
              <w:rPr>
                <w:color w:val="000000"/>
                <w:kern w:val="0"/>
                <w:szCs w:val="21"/>
              </w:rPr>
              <w:t>92</w:t>
            </w:r>
          </w:p>
        </w:tc>
        <w:tc>
          <w:tcPr>
            <w:tcW w:w="858" w:type="dxa"/>
            <w:noWrap w:val="0"/>
            <w:vAlign w:val="center"/>
          </w:tcPr>
          <w:p w14:paraId="0BDF47FE">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4C52C113">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4A91B0FC">
            <w:pPr>
              <w:ind w:left="-63" w:leftChars="-30" w:right="-63" w:rightChars="-30"/>
              <w:jc w:val="center"/>
              <w:rPr>
                <w:color w:val="000000"/>
                <w:kern w:val="0"/>
                <w:szCs w:val="21"/>
              </w:rPr>
            </w:pPr>
            <w:r>
              <w:rPr>
                <w:color w:val="000000"/>
                <w:kern w:val="0"/>
                <w:szCs w:val="21"/>
              </w:rPr>
              <w:t>32.47</w:t>
            </w:r>
          </w:p>
        </w:tc>
      </w:tr>
      <w:tr w14:paraId="1D869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2BD2467E">
            <w:pPr>
              <w:ind w:left="-63" w:leftChars="-30" w:right="-63" w:rightChars="-30"/>
              <w:rPr>
                <w:color w:val="000000"/>
                <w:kern w:val="0"/>
                <w:szCs w:val="21"/>
              </w:rPr>
            </w:pPr>
          </w:p>
        </w:tc>
        <w:tc>
          <w:tcPr>
            <w:tcW w:w="553" w:type="dxa"/>
            <w:vMerge w:val="continue"/>
            <w:noWrap w:val="0"/>
            <w:vAlign w:val="center"/>
          </w:tcPr>
          <w:p w14:paraId="354DA92F">
            <w:pPr>
              <w:ind w:left="-63" w:leftChars="-30" w:right="-63" w:rightChars="-30"/>
              <w:rPr>
                <w:rFonts w:ascii="楷体_GB2312" w:hAnsi="宋体" w:eastAsia="楷体_GB2312" w:cs="宋体"/>
                <w:color w:val="000000"/>
                <w:kern w:val="0"/>
                <w:szCs w:val="21"/>
              </w:rPr>
            </w:pPr>
          </w:p>
        </w:tc>
        <w:tc>
          <w:tcPr>
            <w:tcW w:w="552" w:type="dxa"/>
            <w:noWrap w:val="0"/>
            <w:vAlign w:val="center"/>
          </w:tcPr>
          <w:p w14:paraId="745001A7">
            <w:pPr>
              <w:ind w:left="-63" w:leftChars="-30" w:right="-63" w:rightChars="-30"/>
              <w:jc w:val="center"/>
              <w:rPr>
                <w:color w:val="000000"/>
                <w:kern w:val="0"/>
                <w:szCs w:val="21"/>
              </w:rPr>
            </w:pPr>
            <w:r>
              <w:rPr>
                <w:color w:val="000000"/>
                <w:kern w:val="0"/>
                <w:szCs w:val="21"/>
              </w:rPr>
              <w:t>3</w:t>
            </w:r>
          </w:p>
        </w:tc>
        <w:tc>
          <w:tcPr>
            <w:tcW w:w="4015" w:type="dxa"/>
            <w:noWrap w:val="0"/>
            <w:vAlign w:val="center"/>
          </w:tcPr>
          <w:p w14:paraId="731A6B17">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46" w:type="dxa"/>
            <w:noWrap w:val="0"/>
            <w:vAlign w:val="center"/>
          </w:tcPr>
          <w:p w14:paraId="38A0C42D">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54B24030">
            <w:pPr>
              <w:ind w:left="-63" w:leftChars="-30" w:right="-63" w:rightChars="-30"/>
              <w:jc w:val="center"/>
              <w:rPr>
                <w:color w:val="000000"/>
                <w:kern w:val="0"/>
                <w:szCs w:val="21"/>
              </w:rPr>
            </w:pPr>
            <w:r>
              <w:rPr>
                <w:color w:val="000000"/>
                <w:kern w:val="0"/>
                <w:szCs w:val="21"/>
              </w:rPr>
              <w:t>90</w:t>
            </w:r>
          </w:p>
        </w:tc>
        <w:tc>
          <w:tcPr>
            <w:tcW w:w="858" w:type="dxa"/>
            <w:noWrap w:val="0"/>
            <w:vAlign w:val="center"/>
          </w:tcPr>
          <w:p w14:paraId="628355EB">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462C2208">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6ABFA0B1">
            <w:pPr>
              <w:ind w:left="-63" w:leftChars="-30" w:right="-63" w:rightChars="-30"/>
              <w:jc w:val="center"/>
              <w:rPr>
                <w:color w:val="000000"/>
                <w:kern w:val="0"/>
                <w:szCs w:val="21"/>
              </w:rPr>
            </w:pPr>
            <w:r>
              <w:rPr>
                <w:color w:val="000000"/>
                <w:kern w:val="0"/>
                <w:szCs w:val="21"/>
              </w:rPr>
              <w:t>30.76</w:t>
            </w:r>
          </w:p>
        </w:tc>
      </w:tr>
      <w:tr w14:paraId="68F43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restart"/>
            <w:noWrap w:val="0"/>
            <w:vAlign w:val="center"/>
          </w:tcPr>
          <w:p w14:paraId="5F61EF30">
            <w:pPr>
              <w:ind w:left="-63" w:leftChars="-30" w:right="-63" w:rightChars="-30"/>
              <w:jc w:val="center"/>
              <w:rPr>
                <w:color w:val="000000"/>
                <w:kern w:val="0"/>
                <w:szCs w:val="21"/>
              </w:rPr>
            </w:pPr>
            <w:r>
              <w:rPr>
                <w:color w:val="000000"/>
                <w:kern w:val="0"/>
                <w:szCs w:val="21"/>
              </w:rPr>
              <w:t>15</w:t>
            </w:r>
          </w:p>
        </w:tc>
        <w:tc>
          <w:tcPr>
            <w:tcW w:w="553" w:type="dxa"/>
            <w:vMerge w:val="restart"/>
            <w:noWrap w:val="0"/>
            <w:vAlign w:val="center"/>
          </w:tcPr>
          <w:p w14:paraId="3304DD59">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杨庄镇</w:t>
            </w:r>
          </w:p>
        </w:tc>
        <w:tc>
          <w:tcPr>
            <w:tcW w:w="552" w:type="dxa"/>
            <w:noWrap w:val="0"/>
            <w:vAlign w:val="center"/>
          </w:tcPr>
          <w:p w14:paraId="771BF678">
            <w:pPr>
              <w:ind w:left="-63" w:leftChars="-30" w:right="-63" w:rightChars="-30"/>
              <w:jc w:val="center"/>
              <w:rPr>
                <w:color w:val="000000"/>
                <w:kern w:val="0"/>
                <w:szCs w:val="21"/>
              </w:rPr>
            </w:pPr>
            <w:r>
              <w:rPr>
                <w:color w:val="000000"/>
                <w:kern w:val="0"/>
                <w:szCs w:val="21"/>
              </w:rPr>
              <w:t>1</w:t>
            </w:r>
          </w:p>
        </w:tc>
        <w:tc>
          <w:tcPr>
            <w:tcW w:w="4015" w:type="dxa"/>
            <w:noWrap w:val="0"/>
            <w:vAlign w:val="center"/>
          </w:tcPr>
          <w:p w14:paraId="020E67B4">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东至东大路，南至曹褚路、健康路，西至西新大街，北至萧灵路</w:t>
            </w:r>
          </w:p>
        </w:tc>
        <w:tc>
          <w:tcPr>
            <w:tcW w:w="746" w:type="dxa"/>
            <w:noWrap w:val="0"/>
            <w:vAlign w:val="center"/>
          </w:tcPr>
          <w:p w14:paraId="260789E0">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74D95DD1">
            <w:pPr>
              <w:ind w:left="-63" w:leftChars="-30" w:right="-63" w:rightChars="-30"/>
              <w:jc w:val="center"/>
              <w:rPr>
                <w:color w:val="000000"/>
                <w:kern w:val="0"/>
                <w:szCs w:val="21"/>
              </w:rPr>
            </w:pPr>
            <w:r>
              <w:rPr>
                <w:color w:val="000000"/>
                <w:kern w:val="0"/>
                <w:szCs w:val="21"/>
              </w:rPr>
              <w:t>95</w:t>
            </w:r>
          </w:p>
        </w:tc>
        <w:tc>
          <w:tcPr>
            <w:tcW w:w="858" w:type="dxa"/>
            <w:noWrap w:val="0"/>
            <w:vAlign w:val="center"/>
          </w:tcPr>
          <w:p w14:paraId="2D5D6A75">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7EA28FAE">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04F2F74E">
            <w:pPr>
              <w:ind w:left="-63" w:leftChars="-30" w:right="-63" w:rightChars="-30"/>
              <w:jc w:val="center"/>
              <w:rPr>
                <w:color w:val="000000"/>
                <w:kern w:val="0"/>
                <w:szCs w:val="21"/>
              </w:rPr>
            </w:pPr>
            <w:r>
              <w:rPr>
                <w:color w:val="000000"/>
                <w:kern w:val="0"/>
                <w:szCs w:val="21"/>
              </w:rPr>
              <w:t>35.29</w:t>
            </w:r>
          </w:p>
        </w:tc>
      </w:tr>
      <w:tr w14:paraId="1C8A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0E896CC0">
            <w:pPr>
              <w:ind w:left="-63" w:leftChars="-30" w:right="-63" w:rightChars="-30"/>
              <w:rPr>
                <w:color w:val="000000"/>
                <w:kern w:val="0"/>
                <w:szCs w:val="21"/>
              </w:rPr>
            </w:pPr>
          </w:p>
        </w:tc>
        <w:tc>
          <w:tcPr>
            <w:tcW w:w="553" w:type="dxa"/>
            <w:vMerge w:val="continue"/>
            <w:noWrap w:val="0"/>
            <w:vAlign w:val="center"/>
          </w:tcPr>
          <w:p w14:paraId="6B80C7AA">
            <w:pPr>
              <w:ind w:left="-63" w:leftChars="-30" w:right="-63" w:rightChars="-30"/>
              <w:rPr>
                <w:rFonts w:ascii="楷体_GB2312" w:hAnsi="宋体" w:eastAsia="楷体_GB2312" w:cs="宋体"/>
                <w:color w:val="000000"/>
                <w:kern w:val="0"/>
                <w:szCs w:val="21"/>
              </w:rPr>
            </w:pPr>
          </w:p>
        </w:tc>
        <w:tc>
          <w:tcPr>
            <w:tcW w:w="552" w:type="dxa"/>
            <w:noWrap w:val="0"/>
            <w:vAlign w:val="center"/>
          </w:tcPr>
          <w:p w14:paraId="574F5240">
            <w:pPr>
              <w:ind w:left="-63" w:leftChars="-30" w:right="-63" w:rightChars="-30"/>
              <w:jc w:val="center"/>
              <w:rPr>
                <w:color w:val="000000"/>
                <w:kern w:val="0"/>
                <w:szCs w:val="21"/>
              </w:rPr>
            </w:pPr>
            <w:r>
              <w:rPr>
                <w:color w:val="000000"/>
                <w:kern w:val="0"/>
                <w:szCs w:val="21"/>
              </w:rPr>
              <w:t>2</w:t>
            </w:r>
          </w:p>
        </w:tc>
        <w:tc>
          <w:tcPr>
            <w:tcW w:w="4015" w:type="dxa"/>
            <w:noWrap w:val="0"/>
            <w:vAlign w:val="center"/>
          </w:tcPr>
          <w:p w14:paraId="7F967F37">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东至科技大道，南至人民路，西至西外环路，北至北外环路</w:t>
            </w:r>
          </w:p>
        </w:tc>
        <w:tc>
          <w:tcPr>
            <w:tcW w:w="746" w:type="dxa"/>
            <w:noWrap w:val="0"/>
            <w:vAlign w:val="center"/>
          </w:tcPr>
          <w:p w14:paraId="22C4EEFF">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106BCC16">
            <w:pPr>
              <w:ind w:left="-63" w:leftChars="-30" w:right="-63" w:rightChars="-30"/>
              <w:jc w:val="center"/>
              <w:rPr>
                <w:color w:val="000000"/>
                <w:kern w:val="0"/>
                <w:szCs w:val="21"/>
              </w:rPr>
            </w:pPr>
            <w:r>
              <w:rPr>
                <w:color w:val="000000"/>
                <w:kern w:val="0"/>
                <w:szCs w:val="21"/>
              </w:rPr>
              <w:t>92</w:t>
            </w:r>
          </w:p>
        </w:tc>
        <w:tc>
          <w:tcPr>
            <w:tcW w:w="858" w:type="dxa"/>
            <w:noWrap w:val="0"/>
            <w:vAlign w:val="center"/>
          </w:tcPr>
          <w:p w14:paraId="70D0E7D8">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171FE60A">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58F2C7A7">
            <w:pPr>
              <w:ind w:left="-63" w:leftChars="-30" w:right="-63" w:rightChars="-30"/>
              <w:jc w:val="center"/>
              <w:rPr>
                <w:color w:val="000000"/>
                <w:kern w:val="0"/>
                <w:szCs w:val="21"/>
              </w:rPr>
            </w:pPr>
            <w:r>
              <w:rPr>
                <w:color w:val="000000"/>
                <w:kern w:val="0"/>
                <w:szCs w:val="21"/>
              </w:rPr>
              <w:t>32.47</w:t>
            </w:r>
          </w:p>
        </w:tc>
      </w:tr>
      <w:tr w14:paraId="6A328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1E92F511">
            <w:pPr>
              <w:ind w:left="-63" w:leftChars="-30" w:right="-63" w:rightChars="-30"/>
              <w:rPr>
                <w:color w:val="000000"/>
                <w:kern w:val="0"/>
                <w:szCs w:val="21"/>
              </w:rPr>
            </w:pPr>
          </w:p>
        </w:tc>
        <w:tc>
          <w:tcPr>
            <w:tcW w:w="553" w:type="dxa"/>
            <w:vMerge w:val="continue"/>
            <w:noWrap w:val="0"/>
            <w:vAlign w:val="center"/>
          </w:tcPr>
          <w:p w14:paraId="34CBA3A1">
            <w:pPr>
              <w:ind w:left="-63" w:leftChars="-30" w:right="-63" w:rightChars="-30"/>
              <w:rPr>
                <w:rFonts w:ascii="楷体_GB2312" w:hAnsi="宋体" w:eastAsia="楷体_GB2312" w:cs="宋体"/>
                <w:color w:val="000000"/>
                <w:kern w:val="0"/>
                <w:szCs w:val="21"/>
              </w:rPr>
            </w:pPr>
          </w:p>
        </w:tc>
        <w:tc>
          <w:tcPr>
            <w:tcW w:w="552" w:type="dxa"/>
            <w:noWrap w:val="0"/>
            <w:vAlign w:val="center"/>
          </w:tcPr>
          <w:p w14:paraId="6996C62D">
            <w:pPr>
              <w:ind w:left="-63" w:leftChars="-30" w:right="-63" w:rightChars="-30"/>
              <w:jc w:val="center"/>
              <w:rPr>
                <w:color w:val="000000"/>
                <w:kern w:val="0"/>
                <w:szCs w:val="21"/>
              </w:rPr>
            </w:pPr>
            <w:r>
              <w:rPr>
                <w:color w:val="000000"/>
                <w:kern w:val="0"/>
                <w:szCs w:val="21"/>
              </w:rPr>
              <w:t>3</w:t>
            </w:r>
          </w:p>
        </w:tc>
        <w:tc>
          <w:tcPr>
            <w:tcW w:w="4015" w:type="dxa"/>
            <w:noWrap w:val="0"/>
            <w:vAlign w:val="center"/>
          </w:tcPr>
          <w:p w14:paraId="1A5380BB">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46" w:type="dxa"/>
            <w:noWrap w:val="0"/>
            <w:vAlign w:val="center"/>
          </w:tcPr>
          <w:p w14:paraId="33CB7909">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2E174599">
            <w:pPr>
              <w:ind w:left="-63" w:leftChars="-30" w:right="-63" w:rightChars="-30"/>
              <w:jc w:val="center"/>
              <w:rPr>
                <w:color w:val="000000"/>
                <w:kern w:val="0"/>
                <w:szCs w:val="21"/>
              </w:rPr>
            </w:pPr>
            <w:r>
              <w:rPr>
                <w:color w:val="000000"/>
                <w:kern w:val="0"/>
                <w:szCs w:val="21"/>
              </w:rPr>
              <w:t>90</w:t>
            </w:r>
          </w:p>
        </w:tc>
        <w:tc>
          <w:tcPr>
            <w:tcW w:w="858" w:type="dxa"/>
            <w:noWrap w:val="0"/>
            <w:vAlign w:val="center"/>
          </w:tcPr>
          <w:p w14:paraId="2A79F747">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353B9591">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438ED2ED">
            <w:pPr>
              <w:ind w:left="-63" w:leftChars="-30" w:right="-63" w:rightChars="-30"/>
              <w:jc w:val="center"/>
              <w:rPr>
                <w:color w:val="000000"/>
                <w:kern w:val="0"/>
                <w:szCs w:val="21"/>
              </w:rPr>
            </w:pPr>
            <w:r>
              <w:rPr>
                <w:color w:val="000000"/>
                <w:kern w:val="0"/>
                <w:szCs w:val="21"/>
              </w:rPr>
              <w:t>30.76</w:t>
            </w:r>
          </w:p>
        </w:tc>
      </w:tr>
      <w:tr w14:paraId="7E85D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restart"/>
            <w:noWrap w:val="0"/>
            <w:vAlign w:val="center"/>
          </w:tcPr>
          <w:p w14:paraId="38AB00B3">
            <w:pPr>
              <w:ind w:left="-63" w:leftChars="-30" w:right="-63" w:rightChars="-30"/>
              <w:jc w:val="center"/>
              <w:rPr>
                <w:color w:val="000000"/>
                <w:kern w:val="0"/>
                <w:szCs w:val="21"/>
              </w:rPr>
            </w:pPr>
            <w:r>
              <w:rPr>
                <w:color w:val="000000"/>
                <w:kern w:val="0"/>
                <w:szCs w:val="21"/>
              </w:rPr>
              <w:t>16</w:t>
            </w:r>
          </w:p>
        </w:tc>
        <w:tc>
          <w:tcPr>
            <w:tcW w:w="553" w:type="dxa"/>
            <w:vMerge w:val="restart"/>
            <w:noWrap w:val="0"/>
            <w:vAlign w:val="center"/>
          </w:tcPr>
          <w:p w14:paraId="792BF6E0">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永镇乡</w:t>
            </w:r>
          </w:p>
        </w:tc>
        <w:tc>
          <w:tcPr>
            <w:tcW w:w="552" w:type="dxa"/>
            <w:noWrap w:val="0"/>
            <w:vAlign w:val="center"/>
          </w:tcPr>
          <w:p w14:paraId="228E02A4">
            <w:pPr>
              <w:ind w:left="-63" w:leftChars="-30" w:right="-63" w:rightChars="-30"/>
              <w:jc w:val="center"/>
              <w:rPr>
                <w:color w:val="000000"/>
                <w:kern w:val="0"/>
                <w:szCs w:val="21"/>
              </w:rPr>
            </w:pPr>
            <w:r>
              <w:rPr>
                <w:color w:val="000000"/>
                <w:kern w:val="0"/>
                <w:szCs w:val="21"/>
              </w:rPr>
              <w:t>1</w:t>
            </w:r>
          </w:p>
        </w:tc>
        <w:tc>
          <w:tcPr>
            <w:tcW w:w="4015" w:type="dxa"/>
            <w:noWrap w:val="0"/>
            <w:vAlign w:val="center"/>
          </w:tcPr>
          <w:p w14:paraId="6B6F8740">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东至永安路，南至永乐路，西至</w:t>
            </w:r>
            <w:r>
              <w:rPr>
                <w:rFonts w:eastAsia="楷体_GB2312"/>
                <w:color w:val="000000"/>
                <w:kern w:val="0"/>
                <w:szCs w:val="21"/>
              </w:rPr>
              <w:t>206</w:t>
            </w:r>
            <w:r>
              <w:rPr>
                <w:rFonts w:hint="eastAsia" w:ascii="楷体_GB2312" w:hAnsi="宋体" w:eastAsia="楷体_GB2312" w:cs="宋体"/>
                <w:color w:val="000000"/>
                <w:kern w:val="0"/>
                <w:szCs w:val="21"/>
              </w:rPr>
              <w:t>国道，北至永尚路</w:t>
            </w:r>
          </w:p>
        </w:tc>
        <w:tc>
          <w:tcPr>
            <w:tcW w:w="746" w:type="dxa"/>
            <w:noWrap w:val="0"/>
            <w:vAlign w:val="center"/>
          </w:tcPr>
          <w:p w14:paraId="4DFA963F">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27716A3E">
            <w:pPr>
              <w:ind w:left="-63" w:leftChars="-30" w:right="-63" w:rightChars="-30"/>
              <w:jc w:val="center"/>
              <w:rPr>
                <w:color w:val="000000"/>
                <w:kern w:val="0"/>
                <w:szCs w:val="21"/>
              </w:rPr>
            </w:pPr>
            <w:r>
              <w:rPr>
                <w:color w:val="000000"/>
                <w:kern w:val="0"/>
                <w:szCs w:val="21"/>
              </w:rPr>
              <w:t>95</w:t>
            </w:r>
          </w:p>
        </w:tc>
        <w:tc>
          <w:tcPr>
            <w:tcW w:w="858" w:type="dxa"/>
            <w:noWrap w:val="0"/>
            <w:vAlign w:val="center"/>
          </w:tcPr>
          <w:p w14:paraId="7A18EAA8">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19EDFA74">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782A18CF">
            <w:pPr>
              <w:ind w:left="-63" w:leftChars="-30" w:right="-63" w:rightChars="-30"/>
              <w:jc w:val="center"/>
              <w:rPr>
                <w:color w:val="000000"/>
                <w:kern w:val="0"/>
                <w:szCs w:val="21"/>
              </w:rPr>
            </w:pPr>
            <w:r>
              <w:rPr>
                <w:color w:val="000000"/>
                <w:kern w:val="0"/>
                <w:szCs w:val="21"/>
              </w:rPr>
              <w:t>35.29</w:t>
            </w:r>
          </w:p>
        </w:tc>
      </w:tr>
      <w:tr w14:paraId="15F4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44536D11">
            <w:pPr>
              <w:ind w:left="-63" w:leftChars="-30" w:right="-63" w:rightChars="-30"/>
              <w:rPr>
                <w:color w:val="000000"/>
                <w:kern w:val="0"/>
                <w:szCs w:val="21"/>
              </w:rPr>
            </w:pPr>
          </w:p>
        </w:tc>
        <w:tc>
          <w:tcPr>
            <w:tcW w:w="553" w:type="dxa"/>
            <w:vMerge w:val="continue"/>
            <w:noWrap w:val="0"/>
            <w:vAlign w:val="center"/>
          </w:tcPr>
          <w:p w14:paraId="67B11C88">
            <w:pPr>
              <w:ind w:left="-63" w:leftChars="-30" w:right="-63" w:rightChars="-30"/>
              <w:rPr>
                <w:rFonts w:ascii="楷体_GB2312" w:hAnsi="宋体" w:eastAsia="楷体_GB2312" w:cs="宋体"/>
                <w:color w:val="000000"/>
                <w:kern w:val="0"/>
                <w:szCs w:val="21"/>
              </w:rPr>
            </w:pPr>
          </w:p>
        </w:tc>
        <w:tc>
          <w:tcPr>
            <w:tcW w:w="552" w:type="dxa"/>
            <w:noWrap w:val="0"/>
            <w:vAlign w:val="center"/>
          </w:tcPr>
          <w:p w14:paraId="2FE5B95D">
            <w:pPr>
              <w:ind w:left="-63" w:leftChars="-30" w:right="-63" w:rightChars="-30"/>
              <w:jc w:val="center"/>
              <w:rPr>
                <w:color w:val="000000"/>
                <w:kern w:val="0"/>
                <w:szCs w:val="21"/>
              </w:rPr>
            </w:pPr>
            <w:r>
              <w:rPr>
                <w:color w:val="000000"/>
                <w:kern w:val="0"/>
                <w:szCs w:val="21"/>
              </w:rPr>
              <w:t>2</w:t>
            </w:r>
          </w:p>
        </w:tc>
        <w:tc>
          <w:tcPr>
            <w:tcW w:w="4015" w:type="dxa"/>
            <w:noWrap w:val="0"/>
            <w:vAlign w:val="center"/>
          </w:tcPr>
          <w:p w14:paraId="5951534A">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东至永明路，南至永富路，西至</w:t>
            </w:r>
            <w:r>
              <w:rPr>
                <w:rFonts w:eastAsia="楷体_GB2312"/>
                <w:color w:val="000000"/>
                <w:kern w:val="0"/>
                <w:szCs w:val="21"/>
              </w:rPr>
              <w:t>206</w:t>
            </w:r>
            <w:r>
              <w:rPr>
                <w:rFonts w:hint="eastAsia" w:ascii="楷体_GB2312" w:hAnsi="宋体" w:eastAsia="楷体_GB2312" w:cs="宋体"/>
                <w:color w:val="000000"/>
                <w:kern w:val="0"/>
                <w:szCs w:val="21"/>
              </w:rPr>
              <w:t>国道、卫生院西侧，北至永振路</w:t>
            </w:r>
          </w:p>
        </w:tc>
        <w:tc>
          <w:tcPr>
            <w:tcW w:w="746" w:type="dxa"/>
            <w:noWrap w:val="0"/>
            <w:vAlign w:val="center"/>
          </w:tcPr>
          <w:p w14:paraId="7F270393">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5763FA3B">
            <w:pPr>
              <w:ind w:left="-63" w:leftChars="-30" w:right="-63" w:rightChars="-30"/>
              <w:jc w:val="center"/>
              <w:rPr>
                <w:color w:val="000000"/>
                <w:kern w:val="0"/>
                <w:szCs w:val="21"/>
              </w:rPr>
            </w:pPr>
            <w:r>
              <w:rPr>
                <w:color w:val="000000"/>
                <w:kern w:val="0"/>
                <w:szCs w:val="21"/>
              </w:rPr>
              <w:t>92</w:t>
            </w:r>
          </w:p>
        </w:tc>
        <w:tc>
          <w:tcPr>
            <w:tcW w:w="858" w:type="dxa"/>
            <w:noWrap w:val="0"/>
            <w:vAlign w:val="center"/>
          </w:tcPr>
          <w:p w14:paraId="67392AD6">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5BD0123D">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73044571">
            <w:pPr>
              <w:ind w:left="-63" w:leftChars="-30" w:right="-63" w:rightChars="-30"/>
              <w:jc w:val="center"/>
              <w:rPr>
                <w:color w:val="000000"/>
                <w:kern w:val="0"/>
                <w:szCs w:val="21"/>
              </w:rPr>
            </w:pPr>
            <w:r>
              <w:rPr>
                <w:color w:val="000000"/>
                <w:kern w:val="0"/>
                <w:szCs w:val="21"/>
              </w:rPr>
              <w:t>32.47</w:t>
            </w:r>
          </w:p>
        </w:tc>
      </w:tr>
      <w:tr w14:paraId="5E46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48FD944B">
            <w:pPr>
              <w:ind w:left="-63" w:leftChars="-30" w:right="-63" w:rightChars="-30"/>
              <w:rPr>
                <w:color w:val="000000"/>
                <w:kern w:val="0"/>
                <w:szCs w:val="21"/>
              </w:rPr>
            </w:pPr>
          </w:p>
        </w:tc>
        <w:tc>
          <w:tcPr>
            <w:tcW w:w="553" w:type="dxa"/>
            <w:vMerge w:val="continue"/>
            <w:noWrap w:val="0"/>
            <w:vAlign w:val="center"/>
          </w:tcPr>
          <w:p w14:paraId="51F96749">
            <w:pPr>
              <w:ind w:left="-63" w:leftChars="-30" w:right="-63" w:rightChars="-30"/>
              <w:rPr>
                <w:rFonts w:ascii="楷体_GB2312" w:hAnsi="宋体" w:eastAsia="楷体_GB2312" w:cs="宋体"/>
                <w:color w:val="000000"/>
                <w:kern w:val="0"/>
                <w:szCs w:val="21"/>
              </w:rPr>
            </w:pPr>
          </w:p>
        </w:tc>
        <w:tc>
          <w:tcPr>
            <w:tcW w:w="552" w:type="dxa"/>
            <w:noWrap w:val="0"/>
            <w:vAlign w:val="center"/>
          </w:tcPr>
          <w:p w14:paraId="14A5EF30">
            <w:pPr>
              <w:ind w:left="-63" w:leftChars="-30" w:right="-63" w:rightChars="-30"/>
              <w:jc w:val="center"/>
              <w:rPr>
                <w:color w:val="000000"/>
                <w:kern w:val="0"/>
                <w:szCs w:val="21"/>
              </w:rPr>
            </w:pPr>
            <w:r>
              <w:rPr>
                <w:color w:val="000000"/>
                <w:kern w:val="0"/>
                <w:szCs w:val="21"/>
              </w:rPr>
              <w:t>3</w:t>
            </w:r>
          </w:p>
        </w:tc>
        <w:tc>
          <w:tcPr>
            <w:tcW w:w="4015" w:type="dxa"/>
            <w:noWrap w:val="0"/>
            <w:vAlign w:val="center"/>
          </w:tcPr>
          <w:p w14:paraId="5F630FF8">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46" w:type="dxa"/>
            <w:noWrap w:val="0"/>
            <w:vAlign w:val="center"/>
          </w:tcPr>
          <w:p w14:paraId="55099113">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06A8FDB6">
            <w:pPr>
              <w:ind w:left="-63" w:leftChars="-30" w:right="-63" w:rightChars="-30"/>
              <w:jc w:val="center"/>
              <w:rPr>
                <w:color w:val="000000"/>
                <w:kern w:val="0"/>
                <w:szCs w:val="21"/>
              </w:rPr>
            </w:pPr>
            <w:r>
              <w:rPr>
                <w:color w:val="000000"/>
                <w:kern w:val="0"/>
                <w:szCs w:val="21"/>
              </w:rPr>
              <w:t>90</w:t>
            </w:r>
          </w:p>
        </w:tc>
        <w:tc>
          <w:tcPr>
            <w:tcW w:w="858" w:type="dxa"/>
            <w:noWrap w:val="0"/>
            <w:vAlign w:val="center"/>
          </w:tcPr>
          <w:p w14:paraId="05988A0E">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28DD4881">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10D97A25">
            <w:pPr>
              <w:ind w:left="-63" w:leftChars="-30" w:right="-63" w:rightChars="-30"/>
              <w:jc w:val="center"/>
              <w:rPr>
                <w:color w:val="000000"/>
                <w:kern w:val="0"/>
                <w:szCs w:val="21"/>
              </w:rPr>
            </w:pPr>
            <w:r>
              <w:rPr>
                <w:color w:val="000000"/>
                <w:kern w:val="0"/>
                <w:szCs w:val="21"/>
              </w:rPr>
              <w:t>30.76</w:t>
            </w:r>
          </w:p>
        </w:tc>
      </w:tr>
      <w:tr w14:paraId="0B45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restart"/>
            <w:noWrap w:val="0"/>
            <w:vAlign w:val="center"/>
          </w:tcPr>
          <w:p w14:paraId="43634E3A">
            <w:pPr>
              <w:ind w:left="-63" w:leftChars="-30" w:right="-63" w:rightChars="-30"/>
              <w:jc w:val="center"/>
              <w:rPr>
                <w:color w:val="000000"/>
                <w:kern w:val="0"/>
                <w:szCs w:val="21"/>
              </w:rPr>
            </w:pPr>
            <w:r>
              <w:rPr>
                <w:color w:val="000000"/>
                <w:kern w:val="0"/>
                <w:szCs w:val="21"/>
              </w:rPr>
              <w:t>17</w:t>
            </w:r>
          </w:p>
        </w:tc>
        <w:tc>
          <w:tcPr>
            <w:tcW w:w="553" w:type="dxa"/>
            <w:vMerge w:val="restart"/>
            <w:noWrap w:val="0"/>
            <w:vAlign w:val="center"/>
          </w:tcPr>
          <w:p w14:paraId="0DDDD3B6">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解集镇</w:t>
            </w:r>
          </w:p>
        </w:tc>
        <w:tc>
          <w:tcPr>
            <w:tcW w:w="552" w:type="dxa"/>
            <w:noWrap w:val="0"/>
            <w:vAlign w:val="center"/>
          </w:tcPr>
          <w:p w14:paraId="0E97917E">
            <w:pPr>
              <w:ind w:left="-63" w:leftChars="-30" w:right="-63" w:rightChars="-30"/>
              <w:jc w:val="center"/>
              <w:rPr>
                <w:color w:val="000000"/>
                <w:kern w:val="0"/>
                <w:szCs w:val="21"/>
              </w:rPr>
            </w:pPr>
            <w:r>
              <w:rPr>
                <w:color w:val="000000"/>
                <w:kern w:val="0"/>
                <w:szCs w:val="21"/>
              </w:rPr>
              <w:t>1</w:t>
            </w:r>
          </w:p>
        </w:tc>
        <w:tc>
          <w:tcPr>
            <w:tcW w:w="4015" w:type="dxa"/>
            <w:noWrap w:val="0"/>
            <w:vAlign w:val="center"/>
          </w:tcPr>
          <w:p w14:paraId="28B71217">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东至三岔路、芳草路、原家居街，南至肉食街，西至公园路，北至怡情路、装潢街</w:t>
            </w:r>
          </w:p>
        </w:tc>
        <w:tc>
          <w:tcPr>
            <w:tcW w:w="746" w:type="dxa"/>
            <w:noWrap w:val="0"/>
            <w:vAlign w:val="center"/>
          </w:tcPr>
          <w:p w14:paraId="2875E9A5">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1DDE0D0B">
            <w:pPr>
              <w:ind w:left="-63" w:leftChars="-30" w:right="-63" w:rightChars="-30"/>
              <w:jc w:val="center"/>
              <w:rPr>
                <w:color w:val="000000"/>
                <w:kern w:val="0"/>
                <w:szCs w:val="21"/>
              </w:rPr>
            </w:pPr>
            <w:r>
              <w:rPr>
                <w:color w:val="000000"/>
                <w:kern w:val="0"/>
                <w:szCs w:val="21"/>
              </w:rPr>
              <w:t>95</w:t>
            </w:r>
          </w:p>
        </w:tc>
        <w:tc>
          <w:tcPr>
            <w:tcW w:w="858" w:type="dxa"/>
            <w:noWrap w:val="0"/>
            <w:vAlign w:val="center"/>
          </w:tcPr>
          <w:p w14:paraId="7F718B16">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6ED3F979">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511F7B8E">
            <w:pPr>
              <w:ind w:left="-63" w:leftChars="-30" w:right="-63" w:rightChars="-30"/>
              <w:jc w:val="center"/>
              <w:rPr>
                <w:color w:val="000000"/>
                <w:kern w:val="0"/>
                <w:szCs w:val="21"/>
              </w:rPr>
            </w:pPr>
            <w:r>
              <w:rPr>
                <w:color w:val="000000"/>
                <w:kern w:val="0"/>
                <w:szCs w:val="21"/>
              </w:rPr>
              <w:t>35.29</w:t>
            </w:r>
          </w:p>
        </w:tc>
      </w:tr>
      <w:tr w14:paraId="0B0E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3F1EB061">
            <w:pPr>
              <w:ind w:left="-63" w:leftChars="-30" w:right="-63" w:rightChars="-30"/>
              <w:rPr>
                <w:color w:val="000000"/>
                <w:kern w:val="0"/>
                <w:szCs w:val="21"/>
              </w:rPr>
            </w:pPr>
          </w:p>
        </w:tc>
        <w:tc>
          <w:tcPr>
            <w:tcW w:w="553" w:type="dxa"/>
            <w:vMerge w:val="continue"/>
            <w:noWrap w:val="0"/>
            <w:vAlign w:val="center"/>
          </w:tcPr>
          <w:p w14:paraId="3B98D755">
            <w:pPr>
              <w:ind w:left="-63" w:leftChars="-30" w:right="-63" w:rightChars="-30"/>
              <w:rPr>
                <w:rFonts w:ascii="楷体_GB2312" w:hAnsi="宋体" w:eastAsia="楷体_GB2312" w:cs="宋体"/>
                <w:color w:val="000000"/>
                <w:kern w:val="0"/>
                <w:szCs w:val="21"/>
              </w:rPr>
            </w:pPr>
          </w:p>
        </w:tc>
        <w:tc>
          <w:tcPr>
            <w:tcW w:w="552" w:type="dxa"/>
            <w:noWrap w:val="0"/>
            <w:vAlign w:val="center"/>
          </w:tcPr>
          <w:p w14:paraId="77CDF5FE">
            <w:pPr>
              <w:ind w:left="-63" w:leftChars="-30" w:right="-63" w:rightChars="-30"/>
              <w:jc w:val="center"/>
              <w:rPr>
                <w:color w:val="000000"/>
                <w:kern w:val="0"/>
                <w:szCs w:val="21"/>
              </w:rPr>
            </w:pPr>
            <w:r>
              <w:rPr>
                <w:color w:val="000000"/>
                <w:kern w:val="0"/>
                <w:szCs w:val="21"/>
              </w:rPr>
              <w:t>2</w:t>
            </w:r>
          </w:p>
        </w:tc>
        <w:tc>
          <w:tcPr>
            <w:tcW w:w="4015" w:type="dxa"/>
            <w:noWrap w:val="0"/>
            <w:vAlign w:val="center"/>
          </w:tcPr>
          <w:p w14:paraId="11040697">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东至盛安路、福安路，南至新大街，西至河西路、拖尾河，北至山闵路</w:t>
            </w:r>
          </w:p>
        </w:tc>
        <w:tc>
          <w:tcPr>
            <w:tcW w:w="746" w:type="dxa"/>
            <w:noWrap w:val="0"/>
            <w:vAlign w:val="center"/>
          </w:tcPr>
          <w:p w14:paraId="51A8642E">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46499589">
            <w:pPr>
              <w:ind w:left="-63" w:leftChars="-30" w:right="-63" w:rightChars="-30"/>
              <w:jc w:val="center"/>
              <w:rPr>
                <w:color w:val="000000"/>
                <w:kern w:val="0"/>
                <w:szCs w:val="21"/>
              </w:rPr>
            </w:pPr>
            <w:r>
              <w:rPr>
                <w:color w:val="000000"/>
                <w:kern w:val="0"/>
                <w:szCs w:val="21"/>
              </w:rPr>
              <w:t>92</w:t>
            </w:r>
          </w:p>
        </w:tc>
        <w:tc>
          <w:tcPr>
            <w:tcW w:w="858" w:type="dxa"/>
            <w:noWrap w:val="0"/>
            <w:vAlign w:val="center"/>
          </w:tcPr>
          <w:p w14:paraId="2D7A05A4">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56C407A5">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41A4F514">
            <w:pPr>
              <w:ind w:left="-63" w:leftChars="-30" w:right="-63" w:rightChars="-30"/>
              <w:jc w:val="center"/>
              <w:rPr>
                <w:color w:val="000000"/>
                <w:kern w:val="0"/>
                <w:szCs w:val="21"/>
              </w:rPr>
            </w:pPr>
            <w:r>
              <w:rPr>
                <w:color w:val="000000"/>
                <w:kern w:val="0"/>
                <w:szCs w:val="21"/>
              </w:rPr>
              <w:t>32.47</w:t>
            </w:r>
          </w:p>
        </w:tc>
      </w:tr>
      <w:tr w14:paraId="1CA40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2AA237DB">
            <w:pPr>
              <w:ind w:left="-63" w:leftChars="-30" w:right="-63" w:rightChars="-30"/>
              <w:rPr>
                <w:color w:val="000000"/>
                <w:kern w:val="0"/>
                <w:szCs w:val="21"/>
              </w:rPr>
            </w:pPr>
          </w:p>
        </w:tc>
        <w:tc>
          <w:tcPr>
            <w:tcW w:w="553" w:type="dxa"/>
            <w:vMerge w:val="continue"/>
            <w:noWrap w:val="0"/>
            <w:vAlign w:val="center"/>
          </w:tcPr>
          <w:p w14:paraId="6E1D0EB9">
            <w:pPr>
              <w:ind w:left="-63" w:leftChars="-30" w:right="-63" w:rightChars="-30"/>
              <w:rPr>
                <w:rFonts w:ascii="楷体_GB2312" w:hAnsi="宋体" w:eastAsia="楷体_GB2312" w:cs="宋体"/>
                <w:color w:val="000000"/>
                <w:kern w:val="0"/>
                <w:szCs w:val="21"/>
              </w:rPr>
            </w:pPr>
          </w:p>
        </w:tc>
        <w:tc>
          <w:tcPr>
            <w:tcW w:w="552" w:type="dxa"/>
            <w:noWrap w:val="0"/>
            <w:vAlign w:val="center"/>
          </w:tcPr>
          <w:p w14:paraId="79BD6442">
            <w:pPr>
              <w:ind w:left="-63" w:leftChars="-30" w:right="-63" w:rightChars="-30"/>
              <w:jc w:val="center"/>
              <w:rPr>
                <w:color w:val="000000"/>
                <w:kern w:val="0"/>
                <w:szCs w:val="21"/>
              </w:rPr>
            </w:pPr>
            <w:r>
              <w:rPr>
                <w:color w:val="000000"/>
                <w:kern w:val="0"/>
                <w:szCs w:val="21"/>
              </w:rPr>
              <w:t>3</w:t>
            </w:r>
          </w:p>
        </w:tc>
        <w:tc>
          <w:tcPr>
            <w:tcW w:w="4015" w:type="dxa"/>
            <w:noWrap w:val="0"/>
            <w:vAlign w:val="center"/>
          </w:tcPr>
          <w:p w14:paraId="107263F9">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46" w:type="dxa"/>
            <w:noWrap w:val="0"/>
            <w:vAlign w:val="center"/>
          </w:tcPr>
          <w:p w14:paraId="52300F0F">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464EB168">
            <w:pPr>
              <w:ind w:left="-63" w:leftChars="-30" w:right="-63" w:rightChars="-30"/>
              <w:jc w:val="center"/>
              <w:rPr>
                <w:color w:val="000000"/>
                <w:kern w:val="0"/>
                <w:szCs w:val="21"/>
              </w:rPr>
            </w:pPr>
            <w:r>
              <w:rPr>
                <w:color w:val="000000"/>
                <w:kern w:val="0"/>
                <w:szCs w:val="21"/>
              </w:rPr>
              <w:t>90</w:t>
            </w:r>
          </w:p>
        </w:tc>
        <w:tc>
          <w:tcPr>
            <w:tcW w:w="858" w:type="dxa"/>
            <w:noWrap w:val="0"/>
            <w:vAlign w:val="center"/>
          </w:tcPr>
          <w:p w14:paraId="1FA79DF3">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26C417DD">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6709AB42">
            <w:pPr>
              <w:ind w:left="-63" w:leftChars="-30" w:right="-63" w:rightChars="-30"/>
              <w:jc w:val="center"/>
              <w:rPr>
                <w:color w:val="000000"/>
                <w:kern w:val="0"/>
                <w:szCs w:val="21"/>
              </w:rPr>
            </w:pPr>
            <w:r>
              <w:rPr>
                <w:color w:val="000000"/>
                <w:kern w:val="0"/>
                <w:szCs w:val="21"/>
              </w:rPr>
              <w:t>30.76</w:t>
            </w:r>
          </w:p>
        </w:tc>
      </w:tr>
      <w:tr w14:paraId="6E321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restart"/>
            <w:noWrap w:val="0"/>
            <w:vAlign w:val="center"/>
          </w:tcPr>
          <w:p w14:paraId="5750C83B">
            <w:pPr>
              <w:ind w:left="-63" w:leftChars="-30" w:right="-63" w:rightChars="-30"/>
              <w:jc w:val="center"/>
              <w:rPr>
                <w:color w:val="000000"/>
                <w:kern w:val="0"/>
                <w:szCs w:val="21"/>
              </w:rPr>
            </w:pPr>
            <w:r>
              <w:rPr>
                <w:color w:val="000000"/>
                <w:kern w:val="0"/>
                <w:szCs w:val="21"/>
              </w:rPr>
              <w:t>18</w:t>
            </w:r>
          </w:p>
        </w:tc>
        <w:tc>
          <w:tcPr>
            <w:tcW w:w="553" w:type="dxa"/>
            <w:vMerge w:val="restart"/>
            <w:noWrap w:val="0"/>
            <w:vAlign w:val="center"/>
          </w:tcPr>
          <w:p w14:paraId="72AD9C41">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大泽乡镇</w:t>
            </w:r>
          </w:p>
        </w:tc>
        <w:tc>
          <w:tcPr>
            <w:tcW w:w="552" w:type="dxa"/>
            <w:noWrap w:val="0"/>
            <w:vAlign w:val="center"/>
          </w:tcPr>
          <w:p w14:paraId="7051C51B">
            <w:pPr>
              <w:ind w:left="-63" w:leftChars="-30" w:right="-63" w:rightChars="-30"/>
              <w:jc w:val="center"/>
              <w:rPr>
                <w:color w:val="000000"/>
                <w:kern w:val="0"/>
                <w:szCs w:val="21"/>
              </w:rPr>
            </w:pPr>
            <w:r>
              <w:rPr>
                <w:color w:val="000000"/>
                <w:kern w:val="0"/>
                <w:szCs w:val="21"/>
              </w:rPr>
              <w:t>1</w:t>
            </w:r>
          </w:p>
        </w:tc>
        <w:tc>
          <w:tcPr>
            <w:tcW w:w="4015" w:type="dxa"/>
            <w:noWrap w:val="0"/>
            <w:vAlign w:val="center"/>
          </w:tcPr>
          <w:p w14:paraId="0FBA6323">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东至涉故路，南至求知路，西至鸿鹄路，北至站前路、京沪铁路</w:t>
            </w:r>
          </w:p>
        </w:tc>
        <w:tc>
          <w:tcPr>
            <w:tcW w:w="746" w:type="dxa"/>
            <w:noWrap w:val="0"/>
            <w:vAlign w:val="center"/>
          </w:tcPr>
          <w:p w14:paraId="2FC673FF">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3E8C00A0">
            <w:pPr>
              <w:ind w:left="-63" w:leftChars="-30" w:right="-63" w:rightChars="-30"/>
              <w:jc w:val="center"/>
              <w:rPr>
                <w:color w:val="000000"/>
                <w:kern w:val="0"/>
                <w:szCs w:val="21"/>
              </w:rPr>
            </w:pPr>
            <w:r>
              <w:rPr>
                <w:color w:val="000000"/>
                <w:kern w:val="0"/>
                <w:szCs w:val="21"/>
              </w:rPr>
              <w:t>95</w:t>
            </w:r>
          </w:p>
        </w:tc>
        <w:tc>
          <w:tcPr>
            <w:tcW w:w="858" w:type="dxa"/>
            <w:noWrap w:val="0"/>
            <w:vAlign w:val="center"/>
          </w:tcPr>
          <w:p w14:paraId="2917AEEA">
            <w:pPr>
              <w:ind w:left="-63" w:leftChars="-30" w:right="-63" w:rightChars="-30"/>
              <w:jc w:val="center"/>
              <w:rPr>
                <w:color w:val="000000"/>
                <w:kern w:val="0"/>
                <w:szCs w:val="21"/>
              </w:rPr>
            </w:pPr>
            <w:r>
              <w:rPr>
                <w:color w:val="000000"/>
                <w:kern w:val="0"/>
                <w:szCs w:val="21"/>
              </w:rPr>
              <w:t>0.3514</w:t>
            </w:r>
          </w:p>
        </w:tc>
        <w:tc>
          <w:tcPr>
            <w:tcW w:w="548" w:type="dxa"/>
            <w:noWrap w:val="0"/>
            <w:vAlign w:val="center"/>
          </w:tcPr>
          <w:p w14:paraId="2FD5C794">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4F8FF59F">
            <w:pPr>
              <w:ind w:left="-63" w:leftChars="-30" w:right="-63" w:rightChars="-30"/>
              <w:jc w:val="center"/>
              <w:rPr>
                <w:color w:val="000000"/>
                <w:kern w:val="0"/>
                <w:szCs w:val="21"/>
              </w:rPr>
            </w:pPr>
            <w:r>
              <w:rPr>
                <w:color w:val="000000"/>
                <w:kern w:val="0"/>
                <w:szCs w:val="21"/>
              </w:rPr>
              <w:t>33.38</w:t>
            </w:r>
          </w:p>
        </w:tc>
      </w:tr>
      <w:tr w14:paraId="03B97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100585CB">
            <w:pPr>
              <w:ind w:left="-63" w:leftChars="-30" w:right="-63" w:rightChars="-30"/>
              <w:rPr>
                <w:color w:val="000000"/>
                <w:kern w:val="0"/>
                <w:szCs w:val="21"/>
              </w:rPr>
            </w:pPr>
          </w:p>
        </w:tc>
        <w:tc>
          <w:tcPr>
            <w:tcW w:w="553" w:type="dxa"/>
            <w:vMerge w:val="continue"/>
            <w:noWrap w:val="0"/>
            <w:vAlign w:val="center"/>
          </w:tcPr>
          <w:p w14:paraId="7A02BAC5">
            <w:pPr>
              <w:ind w:left="-63" w:leftChars="-30" w:right="-63" w:rightChars="-30"/>
              <w:rPr>
                <w:rFonts w:ascii="楷体_GB2312" w:hAnsi="宋体" w:eastAsia="楷体_GB2312" w:cs="宋体"/>
                <w:color w:val="000000"/>
                <w:kern w:val="0"/>
                <w:szCs w:val="21"/>
              </w:rPr>
            </w:pPr>
          </w:p>
        </w:tc>
        <w:tc>
          <w:tcPr>
            <w:tcW w:w="552" w:type="dxa"/>
            <w:noWrap w:val="0"/>
            <w:vAlign w:val="center"/>
          </w:tcPr>
          <w:p w14:paraId="76FA8BB2">
            <w:pPr>
              <w:ind w:left="-63" w:leftChars="-30" w:right="-63" w:rightChars="-30"/>
              <w:jc w:val="center"/>
              <w:rPr>
                <w:color w:val="000000"/>
                <w:kern w:val="0"/>
                <w:szCs w:val="21"/>
              </w:rPr>
            </w:pPr>
            <w:r>
              <w:rPr>
                <w:color w:val="000000"/>
                <w:kern w:val="0"/>
                <w:szCs w:val="21"/>
              </w:rPr>
              <w:t>2</w:t>
            </w:r>
          </w:p>
        </w:tc>
        <w:tc>
          <w:tcPr>
            <w:tcW w:w="4015" w:type="dxa"/>
            <w:noWrap w:val="0"/>
            <w:vAlign w:val="center"/>
          </w:tcPr>
          <w:p w14:paraId="6BDEDA00">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东至亲民路，南至富民路，西至大泽路、新团沟，北至西桃路、</w:t>
            </w:r>
            <w:r>
              <w:rPr>
                <w:rFonts w:eastAsia="楷体_GB2312"/>
                <w:color w:val="000000"/>
                <w:kern w:val="0"/>
                <w:szCs w:val="21"/>
              </w:rPr>
              <w:t>344</w:t>
            </w:r>
            <w:r>
              <w:rPr>
                <w:rFonts w:hint="eastAsia" w:ascii="楷体_GB2312" w:hAnsi="宋体" w:eastAsia="楷体_GB2312" w:cs="宋体"/>
                <w:color w:val="000000"/>
                <w:kern w:val="0"/>
                <w:szCs w:val="21"/>
              </w:rPr>
              <w:t>国道</w:t>
            </w:r>
          </w:p>
        </w:tc>
        <w:tc>
          <w:tcPr>
            <w:tcW w:w="746" w:type="dxa"/>
            <w:noWrap w:val="0"/>
            <w:vAlign w:val="center"/>
          </w:tcPr>
          <w:p w14:paraId="7185D029">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76FAAE81">
            <w:pPr>
              <w:ind w:left="-63" w:leftChars="-30" w:right="-63" w:rightChars="-30"/>
              <w:jc w:val="center"/>
              <w:rPr>
                <w:color w:val="000000"/>
                <w:kern w:val="0"/>
                <w:szCs w:val="21"/>
              </w:rPr>
            </w:pPr>
            <w:r>
              <w:rPr>
                <w:color w:val="000000"/>
                <w:kern w:val="0"/>
                <w:szCs w:val="21"/>
              </w:rPr>
              <w:t>92</w:t>
            </w:r>
          </w:p>
        </w:tc>
        <w:tc>
          <w:tcPr>
            <w:tcW w:w="858" w:type="dxa"/>
            <w:noWrap w:val="0"/>
            <w:vAlign w:val="center"/>
          </w:tcPr>
          <w:p w14:paraId="0AFE44F9">
            <w:pPr>
              <w:ind w:left="-63" w:leftChars="-30" w:right="-63" w:rightChars="-30"/>
              <w:jc w:val="center"/>
              <w:rPr>
                <w:color w:val="000000"/>
                <w:kern w:val="0"/>
                <w:szCs w:val="21"/>
              </w:rPr>
            </w:pPr>
            <w:r>
              <w:rPr>
                <w:color w:val="000000"/>
                <w:kern w:val="0"/>
                <w:szCs w:val="21"/>
              </w:rPr>
              <w:t>0.3514</w:t>
            </w:r>
          </w:p>
        </w:tc>
        <w:tc>
          <w:tcPr>
            <w:tcW w:w="548" w:type="dxa"/>
            <w:noWrap w:val="0"/>
            <w:vAlign w:val="center"/>
          </w:tcPr>
          <w:p w14:paraId="15A03C78">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64E1D137">
            <w:pPr>
              <w:ind w:left="-63" w:leftChars="-30" w:right="-63" w:rightChars="-30"/>
              <w:jc w:val="center"/>
              <w:rPr>
                <w:color w:val="000000"/>
                <w:kern w:val="0"/>
                <w:szCs w:val="21"/>
              </w:rPr>
            </w:pPr>
            <w:r>
              <w:rPr>
                <w:color w:val="000000"/>
                <w:kern w:val="0"/>
                <w:szCs w:val="21"/>
              </w:rPr>
              <w:t>30.71</w:t>
            </w:r>
          </w:p>
        </w:tc>
      </w:tr>
      <w:tr w14:paraId="4A8C3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3585C6BA">
            <w:pPr>
              <w:ind w:left="-63" w:leftChars="-30" w:right="-63" w:rightChars="-30"/>
              <w:rPr>
                <w:color w:val="000000"/>
                <w:kern w:val="0"/>
                <w:szCs w:val="21"/>
              </w:rPr>
            </w:pPr>
          </w:p>
        </w:tc>
        <w:tc>
          <w:tcPr>
            <w:tcW w:w="553" w:type="dxa"/>
            <w:vMerge w:val="continue"/>
            <w:noWrap w:val="0"/>
            <w:vAlign w:val="center"/>
          </w:tcPr>
          <w:p w14:paraId="6184A0BE">
            <w:pPr>
              <w:ind w:left="-63" w:leftChars="-30" w:right="-63" w:rightChars="-30"/>
              <w:rPr>
                <w:rFonts w:ascii="楷体_GB2312" w:hAnsi="宋体" w:eastAsia="楷体_GB2312" w:cs="宋体"/>
                <w:color w:val="000000"/>
                <w:kern w:val="0"/>
                <w:szCs w:val="21"/>
              </w:rPr>
            </w:pPr>
          </w:p>
        </w:tc>
        <w:tc>
          <w:tcPr>
            <w:tcW w:w="552" w:type="dxa"/>
            <w:noWrap w:val="0"/>
            <w:vAlign w:val="center"/>
          </w:tcPr>
          <w:p w14:paraId="4C67C3B6">
            <w:pPr>
              <w:ind w:left="-63" w:leftChars="-30" w:right="-63" w:rightChars="-30"/>
              <w:jc w:val="center"/>
              <w:rPr>
                <w:color w:val="000000"/>
                <w:kern w:val="0"/>
                <w:szCs w:val="21"/>
              </w:rPr>
            </w:pPr>
            <w:r>
              <w:rPr>
                <w:color w:val="000000"/>
                <w:kern w:val="0"/>
                <w:szCs w:val="21"/>
              </w:rPr>
              <w:t>3</w:t>
            </w:r>
          </w:p>
        </w:tc>
        <w:tc>
          <w:tcPr>
            <w:tcW w:w="4015" w:type="dxa"/>
            <w:noWrap w:val="0"/>
            <w:vAlign w:val="center"/>
          </w:tcPr>
          <w:p w14:paraId="3FA7C0D0">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46" w:type="dxa"/>
            <w:noWrap w:val="0"/>
            <w:vAlign w:val="center"/>
          </w:tcPr>
          <w:p w14:paraId="57639505">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067A8408">
            <w:pPr>
              <w:ind w:left="-63" w:leftChars="-30" w:right="-63" w:rightChars="-30"/>
              <w:jc w:val="center"/>
              <w:rPr>
                <w:color w:val="000000"/>
                <w:kern w:val="0"/>
                <w:szCs w:val="21"/>
              </w:rPr>
            </w:pPr>
            <w:r>
              <w:rPr>
                <w:color w:val="000000"/>
                <w:kern w:val="0"/>
                <w:szCs w:val="21"/>
              </w:rPr>
              <w:t>90</w:t>
            </w:r>
          </w:p>
        </w:tc>
        <w:tc>
          <w:tcPr>
            <w:tcW w:w="858" w:type="dxa"/>
            <w:noWrap w:val="0"/>
            <w:vAlign w:val="center"/>
          </w:tcPr>
          <w:p w14:paraId="5FBCAF96">
            <w:pPr>
              <w:ind w:left="-63" w:leftChars="-30" w:right="-63" w:rightChars="-30"/>
              <w:jc w:val="center"/>
              <w:rPr>
                <w:color w:val="000000"/>
                <w:kern w:val="0"/>
                <w:szCs w:val="21"/>
              </w:rPr>
            </w:pPr>
            <w:r>
              <w:rPr>
                <w:color w:val="000000"/>
                <w:kern w:val="0"/>
                <w:szCs w:val="21"/>
              </w:rPr>
              <w:t>0.3514</w:t>
            </w:r>
          </w:p>
        </w:tc>
        <w:tc>
          <w:tcPr>
            <w:tcW w:w="548" w:type="dxa"/>
            <w:noWrap w:val="0"/>
            <w:vAlign w:val="center"/>
          </w:tcPr>
          <w:p w14:paraId="7FEE9B06">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7B494BB4">
            <w:pPr>
              <w:ind w:left="-63" w:leftChars="-30" w:right="-63" w:rightChars="-30"/>
              <w:jc w:val="center"/>
              <w:rPr>
                <w:color w:val="000000"/>
                <w:kern w:val="0"/>
                <w:szCs w:val="21"/>
              </w:rPr>
            </w:pPr>
            <w:r>
              <w:rPr>
                <w:color w:val="000000"/>
                <w:kern w:val="0"/>
                <w:szCs w:val="21"/>
              </w:rPr>
              <w:t>29.1</w:t>
            </w:r>
          </w:p>
        </w:tc>
      </w:tr>
      <w:tr w14:paraId="5DBB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restart"/>
            <w:noWrap w:val="0"/>
            <w:vAlign w:val="center"/>
          </w:tcPr>
          <w:p w14:paraId="6324FE74">
            <w:pPr>
              <w:ind w:left="-63" w:leftChars="-30" w:right="-63" w:rightChars="-30"/>
              <w:jc w:val="center"/>
              <w:rPr>
                <w:color w:val="000000"/>
                <w:kern w:val="0"/>
                <w:szCs w:val="21"/>
              </w:rPr>
            </w:pPr>
            <w:r>
              <w:rPr>
                <w:color w:val="000000"/>
                <w:kern w:val="0"/>
                <w:szCs w:val="21"/>
              </w:rPr>
              <w:t>19</w:t>
            </w:r>
          </w:p>
        </w:tc>
        <w:tc>
          <w:tcPr>
            <w:tcW w:w="553" w:type="dxa"/>
            <w:vMerge w:val="restart"/>
            <w:noWrap w:val="0"/>
            <w:vAlign w:val="center"/>
          </w:tcPr>
          <w:p w14:paraId="26956716">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永安镇</w:t>
            </w:r>
          </w:p>
        </w:tc>
        <w:tc>
          <w:tcPr>
            <w:tcW w:w="552" w:type="dxa"/>
            <w:noWrap w:val="0"/>
            <w:vAlign w:val="center"/>
          </w:tcPr>
          <w:p w14:paraId="6EB4D051">
            <w:pPr>
              <w:ind w:left="-63" w:leftChars="-30" w:right="-63" w:rightChars="-30"/>
              <w:jc w:val="center"/>
              <w:rPr>
                <w:color w:val="000000"/>
                <w:kern w:val="0"/>
                <w:szCs w:val="21"/>
              </w:rPr>
            </w:pPr>
            <w:r>
              <w:rPr>
                <w:color w:val="000000"/>
                <w:kern w:val="0"/>
                <w:szCs w:val="21"/>
              </w:rPr>
              <w:t>1</w:t>
            </w:r>
          </w:p>
        </w:tc>
        <w:tc>
          <w:tcPr>
            <w:tcW w:w="4015" w:type="dxa"/>
            <w:noWrap w:val="0"/>
            <w:vAlign w:val="center"/>
          </w:tcPr>
          <w:p w14:paraId="42D0E0C5">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东至永三路、永商路，南至永胜路，西至平安大道，北至永中路、永庆路</w:t>
            </w:r>
          </w:p>
        </w:tc>
        <w:tc>
          <w:tcPr>
            <w:tcW w:w="746" w:type="dxa"/>
            <w:noWrap w:val="0"/>
            <w:vAlign w:val="center"/>
          </w:tcPr>
          <w:p w14:paraId="2EF8CE81">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3DDD8CE7">
            <w:pPr>
              <w:ind w:left="-63" w:leftChars="-30" w:right="-63" w:rightChars="-30"/>
              <w:jc w:val="center"/>
              <w:rPr>
                <w:color w:val="000000"/>
                <w:kern w:val="0"/>
                <w:szCs w:val="21"/>
              </w:rPr>
            </w:pPr>
            <w:r>
              <w:rPr>
                <w:color w:val="000000"/>
                <w:kern w:val="0"/>
                <w:szCs w:val="21"/>
              </w:rPr>
              <w:t>95</w:t>
            </w:r>
          </w:p>
        </w:tc>
        <w:tc>
          <w:tcPr>
            <w:tcW w:w="858" w:type="dxa"/>
            <w:noWrap w:val="0"/>
            <w:vAlign w:val="center"/>
          </w:tcPr>
          <w:p w14:paraId="1D7B5FB7">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2FDB8643">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36FAAC0A">
            <w:pPr>
              <w:ind w:left="-63" w:leftChars="-30" w:right="-63" w:rightChars="-30"/>
              <w:jc w:val="center"/>
              <w:rPr>
                <w:color w:val="000000"/>
                <w:kern w:val="0"/>
                <w:szCs w:val="21"/>
              </w:rPr>
            </w:pPr>
            <w:r>
              <w:rPr>
                <w:color w:val="000000"/>
                <w:kern w:val="0"/>
                <w:szCs w:val="21"/>
              </w:rPr>
              <w:t>35.29</w:t>
            </w:r>
          </w:p>
        </w:tc>
      </w:tr>
      <w:tr w14:paraId="668E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5C568EAD">
            <w:pPr>
              <w:ind w:left="-63" w:leftChars="-30" w:right="-63" w:rightChars="-30"/>
              <w:rPr>
                <w:color w:val="000000"/>
                <w:kern w:val="0"/>
                <w:szCs w:val="21"/>
              </w:rPr>
            </w:pPr>
          </w:p>
        </w:tc>
        <w:tc>
          <w:tcPr>
            <w:tcW w:w="553" w:type="dxa"/>
            <w:vMerge w:val="continue"/>
            <w:noWrap w:val="0"/>
            <w:vAlign w:val="center"/>
          </w:tcPr>
          <w:p w14:paraId="1290DEA6">
            <w:pPr>
              <w:ind w:left="-63" w:leftChars="-30" w:right="-63" w:rightChars="-30"/>
              <w:rPr>
                <w:rFonts w:ascii="楷体_GB2312" w:hAnsi="宋体" w:eastAsia="楷体_GB2312" w:cs="宋体"/>
                <w:color w:val="000000"/>
                <w:kern w:val="0"/>
                <w:szCs w:val="21"/>
              </w:rPr>
            </w:pPr>
          </w:p>
        </w:tc>
        <w:tc>
          <w:tcPr>
            <w:tcW w:w="552" w:type="dxa"/>
            <w:noWrap w:val="0"/>
            <w:vAlign w:val="center"/>
          </w:tcPr>
          <w:p w14:paraId="153928D1">
            <w:pPr>
              <w:ind w:left="-63" w:leftChars="-30" w:right="-63" w:rightChars="-30"/>
              <w:jc w:val="center"/>
              <w:rPr>
                <w:color w:val="000000"/>
                <w:kern w:val="0"/>
                <w:szCs w:val="21"/>
              </w:rPr>
            </w:pPr>
            <w:r>
              <w:rPr>
                <w:color w:val="000000"/>
                <w:kern w:val="0"/>
                <w:szCs w:val="21"/>
              </w:rPr>
              <w:t>2</w:t>
            </w:r>
          </w:p>
        </w:tc>
        <w:tc>
          <w:tcPr>
            <w:tcW w:w="4015" w:type="dxa"/>
            <w:noWrap w:val="0"/>
            <w:vAlign w:val="center"/>
          </w:tcPr>
          <w:p w14:paraId="796E97C3">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东至振兴路，南至永中沟，西至二徐路，北至镇北路</w:t>
            </w:r>
          </w:p>
        </w:tc>
        <w:tc>
          <w:tcPr>
            <w:tcW w:w="746" w:type="dxa"/>
            <w:noWrap w:val="0"/>
            <w:vAlign w:val="center"/>
          </w:tcPr>
          <w:p w14:paraId="71285424">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775BAB9E">
            <w:pPr>
              <w:ind w:left="-63" w:leftChars="-30" w:right="-63" w:rightChars="-30"/>
              <w:jc w:val="center"/>
              <w:rPr>
                <w:color w:val="000000"/>
                <w:kern w:val="0"/>
                <w:szCs w:val="21"/>
              </w:rPr>
            </w:pPr>
            <w:r>
              <w:rPr>
                <w:color w:val="000000"/>
                <w:kern w:val="0"/>
                <w:szCs w:val="21"/>
              </w:rPr>
              <w:t>92</w:t>
            </w:r>
          </w:p>
        </w:tc>
        <w:tc>
          <w:tcPr>
            <w:tcW w:w="858" w:type="dxa"/>
            <w:noWrap w:val="0"/>
            <w:vAlign w:val="center"/>
          </w:tcPr>
          <w:p w14:paraId="4A2B6929">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71893B83">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4E5B65F0">
            <w:pPr>
              <w:ind w:left="-63" w:leftChars="-30" w:right="-63" w:rightChars="-30"/>
              <w:jc w:val="center"/>
              <w:rPr>
                <w:color w:val="000000"/>
                <w:kern w:val="0"/>
                <w:szCs w:val="21"/>
              </w:rPr>
            </w:pPr>
            <w:r>
              <w:rPr>
                <w:color w:val="000000"/>
                <w:kern w:val="0"/>
                <w:szCs w:val="21"/>
              </w:rPr>
              <w:t>32.47</w:t>
            </w:r>
          </w:p>
        </w:tc>
      </w:tr>
      <w:tr w14:paraId="7F8E1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769AF259">
            <w:pPr>
              <w:ind w:left="-63" w:leftChars="-30" w:right="-63" w:rightChars="-30"/>
              <w:rPr>
                <w:color w:val="000000"/>
                <w:kern w:val="0"/>
                <w:szCs w:val="21"/>
              </w:rPr>
            </w:pPr>
          </w:p>
        </w:tc>
        <w:tc>
          <w:tcPr>
            <w:tcW w:w="553" w:type="dxa"/>
            <w:vMerge w:val="continue"/>
            <w:noWrap w:val="0"/>
            <w:vAlign w:val="center"/>
          </w:tcPr>
          <w:p w14:paraId="1387629B">
            <w:pPr>
              <w:ind w:left="-63" w:leftChars="-30" w:right="-63" w:rightChars="-30"/>
              <w:rPr>
                <w:rFonts w:ascii="楷体_GB2312" w:hAnsi="宋体" w:eastAsia="楷体_GB2312" w:cs="宋体"/>
                <w:color w:val="000000"/>
                <w:kern w:val="0"/>
                <w:szCs w:val="21"/>
              </w:rPr>
            </w:pPr>
          </w:p>
        </w:tc>
        <w:tc>
          <w:tcPr>
            <w:tcW w:w="552" w:type="dxa"/>
            <w:noWrap w:val="0"/>
            <w:vAlign w:val="center"/>
          </w:tcPr>
          <w:p w14:paraId="0220F295">
            <w:pPr>
              <w:ind w:left="-63" w:leftChars="-30" w:right="-63" w:rightChars="-30"/>
              <w:jc w:val="center"/>
              <w:rPr>
                <w:color w:val="000000"/>
                <w:kern w:val="0"/>
                <w:szCs w:val="21"/>
              </w:rPr>
            </w:pPr>
            <w:r>
              <w:rPr>
                <w:color w:val="000000"/>
                <w:kern w:val="0"/>
                <w:szCs w:val="21"/>
              </w:rPr>
              <w:t>3</w:t>
            </w:r>
          </w:p>
        </w:tc>
        <w:tc>
          <w:tcPr>
            <w:tcW w:w="4015" w:type="dxa"/>
            <w:noWrap w:val="0"/>
            <w:vAlign w:val="center"/>
          </w:tcPr>
          <w:p w14:paraId="680151BC">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46" w:type="dxa"/>
            <w:noWrap w:val="0"/>
            <w:vAlign w:val="center"/>
          </w:tcPr>
          <w:p w14:paraId="4C6B3DBF">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568A81EB">
            <w:pPr>
              <w:ind w:left="-63" w:leftChars="-30" w:right="-63" w:rightChars="-30"/>
              <w:jc w:val="center"/>
              <w:rPr>
                <w:color w:val="000000"/>
                <w:kern w:val="0"/>
                <w:szCs w:val="21"/>
              </w:rPr>
            </w:pPr>
            <w:r>
              <w:rPr>
                <w:color w:val="000000"/>
                <w:kern w:val="0"/>
                <w:szCs w:val="21"/>
              </w:rPr>
              <w:t>90</w:t>
            </w:r>
          </w:p>
        </w:tc>
        <w:tc>
          <w:tcPr>
            <w:tcW w:w="858" w:type="dxa"/>
            <w:noWrap w:val="0"/>
            <w:vAlign w:val="center"/>
          </w:tcPr>
          <w:p w14:paraId="6FE3E16D">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1F6B91D5">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4ADE24D6">
            <w:pPr>
              <w:ind w:left="-63" w:leftChars="-30" w:right="-63" w:rightChars="-30"/>
              <w:jc w:val="center"/>
              <w:rPr>
                <w:color w:val="000000"/>
                <w:kern w:val="0"/>
                <w:szCs w:val="21"/>
              </w:rPr>
            </w:pPr>
            <w:r>
              <w:rPr>
                <w:color w:val="000000"/>
                <w:kern w:val="0"/>
                <w:szCs w:val="21"/>
              </w:rPr>
              <w:t>30.76</w:t>
            </w:r>
          </w:p>
        </w:tc>
      </w:tr>
      <w:tr w14:paraId="042A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restart"/>
            <w:noWrap w:val="0"/>
            <w:vAlign w:val="center"/>
          </w:tcPr>
          <w:p w14:paraId="46E77F16">
            <w:pPr>
              <w:ind w:left="-63" w:leftChars="-30" w:right="-63" w:rightChars="-30"/>
              <w:jc w:val="center"/>
              <w:rPr>
                <w:color w:val="000000"/>
                <w:kern w:val="0"/>
                <w:szCs w:val="21"/>
              </w:rPr>
            </w:pPr>
            <w:r>
              <w:rPr>
                <w:color w:val="000000"/>
                <w:kern w:val="0"/>
                <w:szCs w:val="21"/>
              </w:rPr>
              <w:t>20</w:t>
            </w:r>
          </w:p>
        </w:tc>
        <w:tc>
          <w:tcPr>
            <w:tcW w:w="553" w:type="dxa"/>
            <w:vMerge w:val="restart"/>
            <w:noWrap w:val="0"/>
            <w:vAlign w:val="center"/>
          </w:tcPr>
          <w:p w14:paraId="2BEF8489">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支河乡</w:t>
            </w:r>
          </w:p>
        </w:tc>
        <w:tc>
          <w:tcPr>
            <w:tcW w:w="552" w:type="dxa"/>
            <w:noWrap w:val="0"/>
            <w:vAlign w:val="center"/>
          </w:tcPr>
          <w:p w14:paraId="2CF1270C">
            <w:pPr>
              <w:ind w:left="-63" w:leftChars="-30" w:right="-63" w:rightChars="-30"/>
              <w:jc w:val="center"/>
              <w:rPr>
                <w:color w:val="000000"/>
                <w:kern w:val="0"/>
                <w:szCs w:val="21"/>
              </w:rPr>
            </w:pPr>
            <w:r>
              <w:rPr>
                <w:color w:val="000000"/>
                <w:kern w:val="0"/>
                <w:szCs w:val="21"/>
              </w:rPr>
              <w:t>1</w:t>
            </w:r>
          </w:p>
        </w:tc>
        <w:tc>
          <w:tcPr>
            <w:tcW w:w="4015" w:type="dxa"/>
            <w:noWrap w:val="0"/>
            <w:vAlign w:val="center"/>
          </w:tcPr>
          <w:p w14:paraId="00DE3896">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东至金屯路，南至和谐路，西至富强路，北至滨河路</w:t>
            </w:r>
          </w:p>
        </w:tc>
        <w:tc>
          <w:tcPr>
            <w:tcW w:w="746" w:type="dxa"/>
            <w:noWrap w:val="0"/>
            <w:vAlign w:val="center"/>
          </w:tcPr>
          <w:p w14:paraId="00EACDEF">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36CE16E2">
            <w:pPr>
              <w:ind w:left="-63" w:leftChars="-30" w:right="-63" w:rightChars="-30"/>
              <w:jc w:val="center"/>
              <w:rPr>
                <w:color w:val="000000"/>
                <w:kern w:val="0"/>
                <w:szCs w:val="21"/>
              </w:rPr>
            </w:pPr>
            <w:r>
              <w:rPr>
                <w:color w:val="000000"/>
                <w:kern w:val="0"/>
                <w:szCs w:val="21"/>
              </w:rPr>
              <w:t>95</w:t>
            </w:r>
          </w:p>
        </w:tc>
        <w:tc>
          <w:tcPr>
            <w:tcW w:w="858" w:type="dxa"/>
            <w:noWrap w:val="0"/>
            <w:vAlign w:val="center"/>
          </w:tcPr>
          <w:p w14:paraId="4AACD6FB">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090BB42E">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7CE46F65">
            <w:pPr>
              <w:ind w:left="-63" w:leftChars="-30" w:right="-63" w:rightChars="-30"/>
              <w:jc w:val="center"/>
              <w:rPr>
                <w:color w:val="000000"/>
                <w:kern w:val="0"/>
                <w:szCs w:val="21"/>
              </w:rPr>
            </w:pPr>
            <w:r>
              <w:rPr>
                <w:color w:val="000000"/>
                <w:kern w:val="0"/>
                <w:szCs w:val="21"/>
              </w:rPr>
              <w:t>35.29</w:t>
            </w:r>
          </w:p>
        </w:tc>
      </w:tr>
      <w:tr w14:paraId="05C8C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489AF538">
            <w:pPr>
              <w:ind w:left="-63" w:leftChars="-30" w:right="-63" w:rightChars="-30"/>
              <w:rPr>
                <w:color w:val="000000"/>
                <w:kern w:val="0"/>
                <w:szCs w:val="21"/>
              </w:rPr>
            </w:pPr>
          </w:p>
        </w:tc>
        <w:tc>
          <w:tcPr>
            <w:tcW w:w="553" w:type="dxa"/>
            <w:vMerge w:val="continue"/>
            <w:noWrap w:val="0"/>
            <w:vAlign w:val="center"/>
          </w:tcPr>
          <w:p w14:paraId="10E88C2C">
            <w:pPr>
              <w:ind w:left="-63" w:leftChars="-30" w:right="-63" w:rightChars="-30"/>
              <w:rPr>
                <w:rFonts w:ascii="楷体_GB2312" w:hAnsi="宋体" w:eastAsia="楷体_GB2312" w:cs="宋体"/>
                <w:color w:val="000000"/>
                <w:kern w:val="0"/>
                <w:szCs w:val="21"/>
              </w:rPr>
            </w:pPr>
          </w:p>
        </w:tc>
        <w:tc>
          <w:tcPr>
            <w:tcW w:w="552" w:type="dxa"/>
            <w:noWrap w:val="0"/>
            <w:vAlign w:val="center"/>
          </w:tcPr>
          <w:p w14:paraId="64E16ACD">
            <w:pPr>
              <w:ind w:left="-63" w:leftChars="-30" w:right="-63" w:rightChars="-30"/>
              <w:jc w:val="center"/>
              <w:rPr>
                <w:color w:val="000000"/>
                <w:kern w:val="0"/>
                <w:szCs w:val="21"/>
              </w:rPr>
            </w:pPr>
            <w:r>
              <w:rPr>
                <w:color w:val="000000"/>
                <w:kern w:val="0"/>
                <w:szCs w:val="21"/>
              </w:rPr>
              <w:t>2</w:t>
            </w:r>
          </w:p>
        </w:tc>
        <w:tc>
          <w:tcPr>
            <w:tcW w:w="4015" w:type="dxa"/>
            <w:noWrap w:val="0"/>
            <w:vAlign w:val="center"/>
          </w:tcPr>
          <w:p w14:paraId="324BD6DF">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东至中学路，南至外环南路，西至欧河路，北至定级边界</w:t>
            </w:r>
          </w:p>
        </w:tc>
        <w:tc>
          <w:tcPr>
            <w:tcW w:w="746" w:type="dxa"/>
            <w:noWrap w:val="0"/>
            <w:vAlign w:val="center"/>
          </w:tcPr>
          <w:p w14:paraId="2B51E714">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683C056C">
            <w:pPr>
              <w:ind w:left="-63" w:leftChars="-30" w:right="-63" w:rightChars="-30"/>
              <w:jc w:val="center"/>
              <w:rPr>
                <w:color w:val="000000"/>
                <w:kern w:val="0"/>
                <w:szCs w:val="21"/>
              </w:rPr>
            </w:pPr>
            <w:r>
              <w:rPr>
                <w:color w:val="000000"/>
                <w:kern w:val="0"/>
                <w:szCs w:val="21"/>
              </w:rPr>
              <w:t>92</w:t>
            </w:r>
          </w:p>
        </w:tc>
        <w:tc>
          <w:tcPr>
            <w:tcW w:w="858" w:type="dxa"/>
            <w:noWrap w:val="0"/>
            <w:vAlign w:val="center"/>
          </w:tcPr>
          <w:p w14:paraId="4BE82FBE">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7CB0FAB0">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5D1DC2D3">
            <w:pPr>
              <w:ind w:left="-63" w:leftChars="-30" w:right="-63" w:rightChars="-30"/>
              <w:jc w:val="center"/>
              <w:rPr>
                <w:color w:val="000000"/>
                <w:kern w:val="0"/>
                <w:szCs w:val="21"/>
              </w:rPr>
            </w:pPr>
            <w:r>
              <w:rPr>
                <w:color w:val="000000"/>
                <w:kern w:val="0"/>
                <w:szCs w:val="21"/>
              </w:rPr>
              <w:t>32.47</w:t>
            </w:r>
          </w:p>
        </w:tc>
      </w:tr>
      <w:tr w14:paraId="31E8E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1329EF55">
            <w:pPr>
              <w:ind w:left="-63" w:leftChars="-30" w:right="-63" w:rightChars="-30"/>
              <w:rPr>
                <w:color w:val="000000"/>
                <w:kern w:val="0"/>
                <w:szCs w:val="21"/>
              </w:rPr>
            </w:pPr>
          </w:p>
        </w:tc>
        <w:tc>
          <w:tcPr>
            <w:tcW w:w="553" w:type="dxa"/>
            <w:vMerge w:val="continue"/>
            <w:noWrap w:val="0"/>
            <w:vAlign w:val="center"/>
          </w:tcPr>
          <w:p w14:paraId="43C99FDB">
            <w:pPr>
              <w:ind w:left="-63" w:leftChars="-30" w:right="-63" w:rightChars="-30"/>
              <w:rPr>
                <w:rFonts w:ascii="楷体_GB2312" w:hAnsi="宋体" w:eastAsia="楷体_GB2312" w:cs="宋体"/>
                <w:color w:val="000000"/>
                <w:kern w:val="0"/>
                <w:szCs w:val="21"/>
              </w:rPr>
            </w:pPr>
          </w:p>
        </w:tc>
        <w:tc>
          <w:tcPr>
            <w:tcW w:w="552" w:type="dxa"/>
            <w:noWrap w:val="0"/>
            <w:vAlign w:val="center"/>
          </w:tcPr>
          <w:p w14:paraId="37A78EA2">
            <w:pPr>
              <w:ind w:left="-63" w:leftChars="-30" w:right="-63" w:rightChars="-30"/>
              <w:jc w:val="center"/>
              <w:rPr>
                <w:color w:val="000000"/>
                <w:kern w:val="0"/>
                <w:szCs w:val="21"/>
              </w:rPr>
            </w:pPr>
            <w:r>
              <w:rPr>
                <w:color w:val="000000"/>
                <w:kern w:val="0"/>
                <w:szCs w:val="21"/>
              </w:rPr>
              <w:t>3</w:t>
            </w:r>
          </w:p>
        </w:tc>
        <w:tc>
          <w:tcPr>
            <w:tcW w:w="4015" w:type="dxa"/>
            <w:noWrap w:val="0"/>
            <w:vAlign w:val="center"/>
          </w:tcPr>
          <w:p w14:paraId="767840B3">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46" w:type="dxa"/>
            <w:noWrap w:val="0"/>
            <w:vAlign w:val="center"/>
          </w:tcPr>
          <w:p w14:paraId="4BCEC04C">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7531D4A2">
            <w:pPr>
              <w:ind w:left="-63" w:leftChars="-30" w:right="-63" w:rightChars="-30"/>
              <w:jc w:val="center"/>
              <w:rPr>
                <w:color w:val="000000"/>
                <w:kern w:val="0"/>
                <w:szCs w:val="21"/>
              </w:rPr>
            </w:pPr>
            <w:r>
              <w:rPr>
                <w:color w:val="000000"/>
                <w:kern w:val="0"/>
                <w:szCs w:val="21"/>
              </w:rPr>
              <w:t>90</w:t>
            </w:r>
          </w:p>
        </w:tc>
        <w:tc>
          <w:tcPr>
            <w:tcW w:w="858" w:type="dxa"/>
            <w:noWrap w:val="0"/>
            <w:vAlign w:val="center"/>
          </w:tcPr>
          <w:p w14:paraId="74BDF147">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086B2D12">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29DD621E">
            <w:pPr>
              <w:ind w:left="-63" w:leftChars="-30" w:right="-63" w:rightChars="-30"/>
              <w:jc w:val="center"/>
              <w:rPr>
                <w:color w:val="000000"/>
                <w:kern w:val="0"/>
                <w:szCs w:val="21"/>
              </w:rPr>
            </w:pPr>
            <w:r>
              <w:rPr>
                <w:color w:val="000000"/>
                <w:kern w:val="0"/>
                <w:szCs w:val="21"/>
              </w:rPr>
              <w:t>30.76</w:t>
            </w:r>
          </w:p>
        </w:tc>
      </w:tr>
      <w:tr w14:paraId="76A2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restart"/>
            <w:noWrap w:val="0"/>
            <w:vAlign w:val="center"/>
          </w:tcPr>
          <w:p w14:paraId="11C2D37F">
            <w:pPr>
              <w:ind w:left="-63" w:leftChars="-30" w:right="-63" w:rightChars="-30"/>
              <w:jc w:val="center"/>
              <w:rPr>
                <w:color w:val="000000"/>
                <w:kern w:val="0"/>
                <w:szCs w:val="21"/>
              </w:rPr>
            </w:pPr>
            <w:r>
              <w:rPr>
                <w:color w:val="000000"/>
                <w:kern w:val="0"/>
                <w:szCs w:val="21"/>
              </w:rPr>
              <w:t>21</w:t>
            </w:r>
          </w:p>
        </w:tc>
        <w:tc>
          <w:tcPr>
            <w:tcW w:w="553" w:type="dxa"/>
            <w:vMerge w:val="restart"/>
            <w:noWrap w:val="0"/>
            <w:vAlign w:val="center"/>
          </w:tcPr>
          <w:p w14:paraId="6FC32133">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灰古镇</w:t>
            </w:r>
          </w:p>
        </w:tc>
        <w:tc>
          <w:tcPr>
            <w:tcW w:w="552" w:type="dxa"/>
            <w:noWrap w:val="0"/>
            <w:vAlign w:val="center"/>
          </w:tcPr>
          <w:p w14:paraId="61A09C3C">
            <w:pPr>
              <w:ind w:left="-63" w:leftChars="-30" w:right="-63" w:rightChars="-30"/>
              <w:jc w:val="center"/>
              <w:rPr>
                <w:color w:val="000000"/>
                <w:kern w:val="0"/>
                <w:szCs w:val="21"/>
              </w:rPr>
            </w:pPr>
            <w:r>
              <w:rPr>
                <w:color w:val="000000"/>
                <w:kern w:val="0"/>
                <w:szCs w:val="21"/>
              </w:rPr>
              <w:t>1</w:t>
            </w:r>
          </w:p>
        </w:tc>
        <w:tc>
          <w:tcPr>
            <w:tcW w:w="4015" w:type="dxa"/>
            <w:noWrap w:val="0"/>
            <w:vAlign w:val="center"/>
          </w:tcPr>
          <w:p w14:paraId="68367C84">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东至菜市街，南至群爱家纺北侧道路，西至二徐路、灰毛路，北至沿河路</w:t>
            </w:r>
          </w:p>
        </w:tc>
        <w:tc>
          <w:tcPr>
            <w:tcW w:w="746" w:type="dxa"/>
            <w:noWrap w:val="0"/>
            <w:vAlign w:val="center"/>
          </w:tcPr>
          <w:p w14:paraId="2CDC0BAC">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006CAAEC">
            <w:pPr>
              <w:ind w:left="-63" w:leftChars="-30" w:right="-63" w:rightChars="-30"/>
              <w:jc w:val="center"/>
              <w:rPr>
                <w:color w:val="000000"/>
                <w:kern w:val="0"/>
                <w:szCs w:val="21"/>
              </w:rPr>
            </w:pPr>
            <w:r>
              <w:rPr>
                <w:color w:val="000000"/>
                <w:kern w:val="0"/>
                <w:szCs w:val="21"/>
              </w:rPr>
              <w:t>95</w:t>
            </w:r>
          </w:p>
        </w:tc>
        <w:tc>
          <w:tcPr>
            <w:tcW w:w="858" w:type="dxa"/>
            <w:noWrap w:val="0"/>
            <w:vAlign w:val="center"/>
          </w:tcPr>
          <w:p w14:paraId="1F9FC841">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0F45E00B">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60589961">
            <w:pPr>
              <w:ind w:left="-63" w:leftChars="-30" w:right="-63" w:rightChars="-30"/>
              <w:jc w:val="center"/>
              <w:rPr>
                <w:color w:val="000000"/>
                <w:kern w:val="0"/>
                <w:szCs w:val="21"/>
              </w:rPr>
            </w:pPr>
            <w:r>
              <w:rPr>
                <w:color w:val="000000"/>
                <w:kern w:val="0"/>
                <w:szCs w:val="21"/>
              </w:rPr>
              <w:t>35.29</w:t>
            </w:r>
          </w:p>
        </w:tc>
      </w:tr>
      <w:tr w14:paraId="554E6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121343A7">
            <w:pPr>
              <w:ind w:left="-63" w:leftChars="-30" w:right="-63" w:rightChars="-30"/>
              <w:rPr>
                <w:color w:val="000000"/>
                <w:kern w:val="0"/>
                <w:szCs w:val="21"/>
              </w:rPr>
            </w:pPr>
          </w:p>
        </w:tc>
        <w:tc>
          <w:tcPr>
            <w:tcW w:w="553" w:type="dxa"/>
            <w:vMerge w:val="continue"/>
            <w:noWrap w:val="0"/>
            <w:vAlign w:val="center"/>
          </w:tcPr>
          <w:p w14:paraId="6D87C5B3">
            <w:pPr>
              <w:ind w:left="-63" w:leftChars="-30" w:right="-63" w:rightChars="-30"/>
              <w:rPr>
                <w:rFonts w:ascii="楷体_GB2312" w:hAnsi="宋体" w:eastAsia="楷体_GB2312" w:cs="宋体"/>
                <w:color w:val="000000"/>
                <w:kern w:val="0"/>
                <w:szCs w:val="21"/>
              </w:rPr>
            </w:pPr>
          </w:p>
        </w:tc>
        <w:tc>
          <w:tcPr>
            <w:tcW w:w="552" w:type="dxa"/>
            <w:noWrap w:val="0"/>
            <w:vAlign w:val="center"/>
          </w:tcPr>
          <w:p w14:paraId="4BBF5232">
            <w:pPr>
              <w:ind w:left="-63" w:leftChars="-30" w:right="-63" w:rightChars="-30"/>
              <w:jc w:val="center"/>
              <w:rPr>
                <w:color w:val="000000"/>
                <w:kern w:val="0"/>
                <w:szCs w:val="21"/>
              </w:rPr>
            </w:pPr>
            <w:r>
              <w:rPr>
                <w:color w:val="000000"/>
                <w:kern w:val="0"/>
                <w:szCs w:val="21"/>
              </w:rPr>
              <w:t>2</w:t>
            </w:r>
          </w:p>
        </w:tc>
        <w:tc>
          <w:tcPr>
            <w:tcW w:w="4015" w:type="dxa"/>
            <w:noWrap w:val="0"/>
            <w:vAlign w:val="center"/>
          </w:tcPr>
          <w:p w14:paraId="1C5163C6">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东至北集路，南至南集路，西至二徐路西侧规划东路、二徐路，北至沿河路</w:t>
            </w:r>
          </w:p>
        </w:tc>
        <w:tc>
          <w:tcPr>
            <w:tcW w:w="746" w:type="dxa"/>
            <w:noWrap w:val="0"/>
            <w:vAlign w:val="center"/>
          </w:tcPr>
          <w:p w14:paraId="578EB0E1">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2C2A63F0">
            <w:pPr>
              <w:ind w:left="-63" w:leftChars="-30" w:right="-63" w:rightChars="-30"/>
              <w:jc w:val="center"/>
              <w:rPr>
                <w:color w:val="000000"/>
                <w:kern w:val="0"/>
                <w:szCs w:val="21"/>
              </w:rPr>
            </w:pPr>
            <w:r>
              <w:rPr>
                <w:color w:val="000000"/>
                <w:kern w:val="0"/>
                <w:szCs w:val="21"/>
              </w:rPr>
              <w:t>92</w:t>
            </w:r>
          </w:p>
        </w:tc>
        <w:tc>
          <w:tcPr>
            <w:tcW w:w="858" w:type="dxa"/>
            <w:noWrap w:val="0"/>
            <w:vAlign w:val="center"/>
          </w:tcPr>
          <w:p w14:paraId="36713C1A">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254C3F00">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462EB218">
            <w:pPr>
              <w:ind w:left="-63" w:leftChars="-30" w:right="-63" w:rightChars="-30"/>
              <w:jc w:val="center"/>
              <w:rPr>
                <w:color w:val="000000"/>
                <w:kern w:val="0"/>
                <w:szCs w:val="21"/>
              </w:rPr>
            </w:pPr>
            <w:r>
              <w:rPr>
                <w:color w:val="000000"/>
                <w:kern w:val="0"/>
                <w:szCs w:val="21"/>
              </w:rPr>
              <w:t>32.47</w:t>
            </w:r>
          </w:p>
        </w:tc>
      </w:tr>
      <w:tr w14:paraId="7DBA1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575C1376">
            <w:pPr>
              <w:ind w:left="-63" w:leftChars="-30" w:right="-63" w:rightChars="-30"/>
              <w:rPr>
                <w:color w:val="000000"/>
                <w:kern w:val="0"/>
                <w:szCs w:val="21"/>
              </w:rPr>
            </w:pPr>
          </w:p>
        </w:tc>
        <w:tc>
          <w:tcPr>
            <w:tcW w:w="553" w:type="dxa"/>
            <w:vMerge w:val="continue"/>
            <w:noWrap w:val="0"/>
            <w:vAlign w:val="center"/>
          </w:tcPr>
          <w:p w14:paraId="25B19280">
            <w:pPr>
              <w:ind w:left="-63" w:leftChars="-30" w:right="-63" w:rightChars="-30"/>
              <w:rPr>
                <w:rFonts w:ascii="楷体_GB2312" w:hAnsi="宋体" w:eastAsia="楷体_GB2312" w:cs="宋体"/>
                <w:color w:val="000000"/>
                <w:kern w:val="0"/>
                <w:szCs w:val="21"/>
              </w:rPr>
            </w:pPr>
          </w:p>
        </w:tc>
        <w:tc>
          <w:tcPr>
            <w:tcW w:w="552" w:type="dxa"/>
            <w:noWrap w:val="0"/>
            <w:vAlign w:val="center"/>
          </w:tcPr>
          <w:p w14:paraId="0D948AD8">
            <w:pPr>
              <w:ind w:left="-63" w:leftChars="-30" w:right="-63" w:rightChars="-30"/>
              <w:jc w:val="center"/>
              <w:rPr>
                <w:color w:val="000000"/>
                <w:kern w:val="0"/>
                <w:szCs w:val="21"/>
              </w:rPr>
            </w:pPr>
            <w:r>
              <w:rPr>
                <w:color w:val="000000"/>
                <w:kern w:val="0"/>
                <w:szCs w:val="21"/>
              </w:rPr>
              <w:t>3</w:t>
            </w:r>
          </w:p>
        </w:tc>
        <w:tc>
          <w:tcPr>
            <w:tcW w:w="4015" w:type="dxa"/>
            <w:noWrap w:val="0"/>
            <w:vAlign w:val="center"/>
          </w:tcPr>
          <w:p w14:paraId="042F8951">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46" w:type="dxa"/>
            <w:noWrap w:val="0"/>
            <w:vAlign w:val="center"/>
          </w:tcPr>
          <w:p w14:paraId="72166309">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12B899CB">
            <w:pPr>
              <w:ind w:left="-63" w:leftChars="-30" w:right="-63" w:rightChars="-30"/>
              <w:jc w:val="center"/>
              <w:rPr>
                <w:color w:val="000000"/>
                <w:kern w:val="0"/>
                <w:szCs w:val="21"/>
              </w:rPr>
            </w:pPr>
            <w:r>
              <w:rPr>
                <w:color w:val="000000"/>
                <w:kern w:val="0"/>
                <w:szCs w:val="21"/>
              </w:rPr>
              <w:t>90</w:t>
            </w:r>
          </w:p>
        </w:tc>
        <w:tc>
          <w:tcPr>
            <w:tcW w:w="858" w:type="dxa"/>
            <w:noWrap w:val="0"/>
            <w:vAlign w:val="center"/>
          </w:tcPr>
          <w:p w14:paraId="74583A0E">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075C9F96">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39E86AB9">
            <w:pPr>
              <w:ind w:left="-63" w:leftChars="-30" w:right="-63" w:rightChars="-30"/>
              <w:jc w:val="center"/>
              <w:rPr>
                <w:color w:val="000000"/>
                <w:kern w:val="0"/>
                <w:szCs w:val="21"/>
              </w:rPr>
            </w:pPr>
            <w:r>
              <w:rPr>
                <w:color w:val="000000"/>
                <w:kern w:val="0"/>
                <w:szCs w:val="21"/>
              </w:rPr>
              <w:t>30.76</w:t>
            </w:r>
          </w:p>
        </w:tc>
      </w:tr>
      <w:tr w14:paraId="6BD53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restart"/>
            <w:noWrap w:val="0"/>
            <w:vAlign w:val="center"/>
          </w:tcPr>
          <w:p w14:paraId="577D0D28">
            <w:pPr>
              <w:ind w:left="-63" w:leftChars="-30" w:right="-63" w:rightChars="-30"/>
              <w:jc w:val="center"/>
              <w:rPr>
                <w:color w:val="000000"/>
                <w:kern w:val="0"/>
                <w:szCs w:val="21"/>
              </w:rPr>
            </w:pPr>
            <w:r>
              <w:rPr>
                <w:color w:val="000000"/>
                <w:kern w:val="0"/>
                <w:szCs w:val="21"/>
              </w:rPr>
              <w:t>22</w:t>
            </w:r>
          </w:p>
        </w:tc>
        <w:tc>
          <w:tcPr>
            <w:tcW w:w="553" w:type="dxa"/>
            <w:vMerge w:val="restart"/>
            <w:noWrap w:val="0"/>
            <w:vAlign w:val="center"/>
          </w:tcPr>
          <w:p w14:paraId="0DAADE29">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桃沟乡</w:t>
            </w:r>
          </w:p>
        </w:tc>
        <w:tc>
          <w:tcPr>
            <w:tcW w:w="552" w:type="dxa"/>
            <w:noWrap w:val="0"/>
            <w:vAlign w:val="center"/>
          </w:tcPr>
          <w:p w14:paraId="1CB74069">
            <w:pPr>
              <w:ind w:left="-63" w:leftChars="-30" w:right="-63" w:rightChars="-30"/>
              <w:jc w:val="center"/>
              <w:rPr>
                <w:color w:val="000000"/>
                <w:kern w:val="0"/>
                <w:szCs w:val="21"/>
              </w:rPr>
            </w:pPr>
            <w:r>
              <w:rPr>
                <w:color w:val="000000"/>
                <w:kern w:val="0"/>
                <w:szCs w:val="21"/>
              </w:rPr>
              <w:t>1</w:t>
            </w:r>
          </w:p>
        </w:tc>
        <w:tc>
          <w:tcPr>
            <w:tcW w:w="4015" w:type="dxa"/>
            <w:noWrap w:val="0"/>
            <w:vAlign w:val="center"/>
          </w:tcPr>
          <w:p w14:paraId="72F051C6">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东至政府路，南至南苑路，西至桃花大道，北至桃时路</w:t>
            </w:r>
          </w:p>
        </w:tc>
        <w:tc>
          <w:tcPr>
            <w:tcW w:w="746" w:type="dxa"/>
            <w:noWrap w:val="0"/>
            <w:vAlign w:val="center"/>
          </w:tcPr>
          <w:p w14:paraId="16C07457">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3FBEBF3D">
            <w:pPr>
              <w:ind w:left="-63" w:leftChars="-30" w:right="-63" w:rightChars="-30"/>
              <w:jc w:val="center"/>
              <w:rPr>
                <w:color w:val="000000"/>
                <w:kern w:val="0"/>
                <w:szCs w:val="21"/>
              </w:rPr>
            </w:pPr>
            <w:r>
              <w:rPr>
                <w:color w:val="000000"/>
                <w:kern w:val="0"/>
                <w:szCs w:val="21"/>
              </w:rPr>
              <w:t>95</w:t>
            </w:r>
          </w:p>
        </w:tc>
        <w:tc>
          <w:tcPr>
            <w:tcW w:w="858" w:type="dxa"/>
            <w:noWrap w:val="0"/>
            <w:vAlign w:val="center"/>
          </w:tcPr>
          <w:p w14:paraId="6D48E7D1">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17F089BB">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4184C460">
            <w:pPr>
              <w:ind w:left="-63" w:leftChars="-30" w:right="-63" w:rightChars="-30"/>
              <w:jc w:val="center"/>
              <w:rPr>
                <w:color w:val="000000"/>
                <w:kern w:val="0"/>
                <w:szCs w:val="21"/>
              </w:rPr>
            </w:pPr>
            <w:r>
              <w:rPr>
                <w:color w:val="000000"/>
                <w:kern w:val="0"/>
                <w:szCs w:val="21"/>
              </w:rPr>
              <w:t>35.29</w:t>
            </w:r>
          </w:p>
        </w:tc>
      </w:tr>
      <w:tr w14:paraId="1C149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667B0581">
            <w:pPr>
              <w:ind w:left="-63" w:leftChars="-30" w:right="-63" w:rightChars="-30"/>
              <w:rPr>
                <w:color w:val="000000"/>
                <w:kern w:val="0"/>
                <w:szCs w:val="21"/>
              </w:rPr>
            </w:pPr>
          </w:p>
        </w:tc>
        <w:tc>
          <w:tcPr>
            <w:tcW w:w="553" w:type="dxa"/>
            <w:vMerge w:val="continue"/>
            <w:noWrap w:val="0"/>
            <w:vAlign w:val="center"/>
          </w:tcPr>
          <w:p w14:paraId="29BCC734">
            <w:pPr>
              <w:ind w:left="-63" w:leftChars="-30" w:right="-63" w:rightChars="-30"/>
              <w:rPr>
                <w:rFonts w:ascii="楷体_GB2312" w:hAnsi="宋体" w:eastAsia="楷体_GB2312" w:cs="宋体"/>
                <w:color w:val="000000"/>
                <w:kern w:val="0"/>
                <w:szCs w:val="21"/>
              </w:rPr>
            </w:pPr>
          </w:p>
        </w:tc>
        <w:tc>
          <w:tcPr>
            <w:tcW w:w="552" w:type="dxa"/>
            <w:noWrap w:val="0"/>
            <w:vAlign w:val="center"/>
          </w:tcPr>
          <w:p w14:paraId="7C7D3679">
            <w:pPr>
              <w:ind w:left="-63" w:leftChars="-30" w:right="-63" w:rightChars="-30"/>
              <w:jc w:val="center"/>
              <w:rPr>
                <w:color w:val="000000"/>
                <w:kern w:val="0"/>
                <w:szCs w:val="21"/>
              </w:rPr>
            </w:pPr>
            <w:r>
              <w:rPr>
                <w:color w:val="000000"/>
                <w:kern w:val="0"/>
                <w:szCs w:val="21"/>
              </w:rPr>
              <w:t>2</w:t>
            </w:r>
          </w:p>
        </w:tc>
        <w:tc>
          <w:tcPr>
            <w:tcW w:w="4015" w:type="dxa"/>
            <w:noWrap w:val="0"/>
            <w:vAlign w:val="center"/>
          </w:tcPr>
          <w:p w14:paraId="2A380E7B">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东至创新路、世纪大道，南至南外环，西至学苑路，北至学府路</w:t>
            </w:r>
          </w:p>
        </w:tc>
        <w:tc>
          <w:tcPr>
            <w:tcW w:w="746" w:type="dxa"/>
            <w:noWrap w:val="0"/>
            <w:vAlign w:val="center"/>
          </w:tcPr>
          <w:p w14:paraId="1CB3E354">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55294D98">
            <w:pPr>
              <w:ind w:left="-63" w:leftChars="-30" w:right="-63" w:rightChars="-30"/>
              <w:jc w:val="center"/>
              <w:rPr>
                <w:color w:val="000000"/>
                <w:kern w:val="0"/>
                <w:szCs w:val="21"/>
              </w:rPr>
            </w:pPr>
            <w:r>
              <w:rPr>
                <w:color w:val="000000"/>
                <w:kern w:val="0"/>
                <w:szCs w:val="21"/>
              </w:rPr>
              <w:t>92</w:t>
            </w:r>
          </w:p>
        </w:tc>
        <w:tc>
          <w:tcPr>
            <w:tcW w:w="858" w:type="dxa"/>
            <w:noWrap w:val="0"/>
            <w:vAlign w:val="center"/>
          </w:tcPr>
          <w:p w14:paraId="5EF16F47">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03132463">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7A16EC9E">
            <w:pPr>
              <w:ind w:left="-63" w:leftChars="-30" w:right="-63" w:rightChars="-30"/>
              <w:jc w:val="center"/>
              <w:rPr>
                <w:color w:val="000000"/>
                <w:kern w:val="0"/>
                <w:szCs w:val="21"/>
              </w:rPr>
            </w:pPr>
            <w:r>
              <w:rPr>
                <w:color w:val="000000"/>
                <w:kern w:val="0"/>
                <w:szCs w:val="21"/>
              </w:rPr>
              <w:t>32.47</w:t>
            </w:r>
          </w:p>
        </w:tc>
      </w:tr>
      <w:tr w14:paraId="3D2A7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52" w:type="dxa"/>
            <w:vMerge w:val="continue"/>
            <w:noWrap w:val="0"/>
            <w:vAlign w:val="center"/>
          </w:tcPr>
          <w:p w14:paraId="619ED80F">
            <w:pPr>
              <w:ind w:left="-63" w:leftChars="-30" w:right="-63" w:rightChars="-30"/>
              <w:rPr>
                <w:color w:val="000000"/>
                <w:kern w:val="0"/>
                <w:szCs w:val="21"/>
              </w:rPr>
            </w:pPr>
          </w:p>
        </w:tc>
        <w:tc>
          <w:tcPr>
            <w:tcW w:w="553" w:type="dxa"/>
            <w:vMerge w:val="continue"/>
            <w:noWrap w:val="0"/>
            <w:vAlign w:val="center"/>
          </w:tcPr>
          <w:p w14:paraId="2858D979">
            <w:pPr>
              <w:ind w:left="-63" w:leftChars="-30" w:right="-63" w:rightChars="-30"/>
              <w:rPr>
                <w:rFonts w:ascii="楷体_GB2312" w:hAnsi="宋体" w:eastAsia="楷体_GB2312" w:cs="宋体"/>
                <w:color w:val="000000"/>
                <w:kern w:val="0"/>
                <w:szCs w:val="21"/>
              </w:rPr>
            </w:pPr>
          </w:p>
        </w:tc>
        <w:tc>
          <w:tcPr>
            <w:tcW w:w="552" w:type="dxa"/>
            <w:noWrap w:val="0"/>
            <w:vAlign w:val="center"/>
          </w:tcPr>
          <w:p w14:paraId="66951A90">
            <w:pPr>
              <w:ind w:left="-63" w:leftChars="-30" w:right="-63" w:rightChars="-30"/>
              <w:jc w:val="center"/>
              <w:rPr>
                <w:color w:val="000000"/>
                <w:kern w:val="0"/>
                <w:szCs w:val="21"/>
              </w:rPr>
            </w:pPr>
            <w:r>
              <w:rPr>
                <w:color w:val="000000"/>
                <w:kern w:val="0"/>
                <w:szCs w:val="21"/>
              </w:rPr>
              <w:t>3</w:t>
            </w:r>
          </w:p>
        </w:tc>
        <w:tc>
          <w:tcPr>
            <w:tcW w:w="4015" w:type="dxa"/>
            <w:noWrap w:val="0"/>
            <w:vAlign w:val="center"/>
          </w:tcPr>
          <w:p w14:paraId="30B67745">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46" w:type="dxa"/>
            <w:noWrap w:val="0"/>
            <w:vAlign w:val="center"/>
          </w:tcPr>
          <w:p w14:paraId="6630FBC0">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04003122">
            <w:pPr>
              <w:ind w:left="-63" w:leftChars="-30" w:right="-63" w:rightChars="-30"/>
              <w:jc w:val="center"/>
              <w:rPr>
                <w:color w:val="000000"/>
                <w:kern w:val="0"/>
                <w:szCs w:val="21"/>
              </w:rPr>
            </w:pPr>
            <w:r>
              <w:rPr>
                <w:color w:val="000000"/>
                <w:kern w:val="0"/>
                <w:szCs w:val="21"/>
              </w:rPr>
              <w:t>90</w:t>
            </w:r>
          </w:p>
        </w:tc>
        <w:tc>
          <w:tcPr>
            <w:tcW w:w="858" w:type="dxa"/>
            <w:noWrap w:val="0"/>
            <w:vAlign w:val="center"/>
          </w:tcPr>
          <w:p w14:paraId="6B5F5B52">
            <w:pPr>
              <w:ind w:left="-63" w:leftChars="-30" w:right="-63" w:rightChars="-30"/>
              <w:jc w:val="center"/>
              <w:rPr>
                <w:color w:val="000000"/>
                <w:kern w:val="0"/>
                <w:szCs w:val="21"/>
              </w:rPr>
            </w:pPr>
            <w:r>
              <w:rPr>
                <w:color w:val="000000"/>
                <w:kern w:val="0"/>
                <w:szCs w:val="21"/>
              </w:rPr>
              <w:t>0.3715</w:t>
            </w:r>
          </w:p>
        </w:tc>
        <w:tc>
          <w:tcPr>
            <w:tcW w:w="548" w:type="dxa"/>
            <w:noWrap w:val="0"/>
            <w:vAlign w:val="center"/>
          </w:tcPr>
          <w:p w14:paraId="3E2F6E1A">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00CAD95E">
            <w:pPr>
              <w:ind w:left="-63" w:leftChars="-30" w:right="-63" w:rightChars="-30"/>
              <w:jc w:val="center"/>
              <w:rPr>
                <w:color w:val="000000"/>
                <w:kern w:val="0"/>
                <w:szCs w:val="21"/>
              </w:rPr>
            </w:pPr>
            <w:r>
              <w:rPr>
                <w:color w:val="000000"/>
                <w:kern w:val="0"/>
                <w:szCs w:val="21"/>
              </w:rPr>
              <w:t>30.76</w:t>
            </w:r>
          </w:p>
        </w:tc>
      </w:tr>
    </w:tbl>
    <w:p w14:paraId="5A217500">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二、供水设施作用分的确定</w:t>
      </w:r>
    </w:p>
    <w:p w14:paraId="6B7529C9">
      <w:pPr>
        <w:pStyle w:val="20"/>
        <w:spacing w:line="480" w:lineRule="exact"/>
        <w:ind w:firstLine="560"/>
        <w:rPr>
          <w:rFonts w:ascii="Times New Roman" w:hAnsi="Times New Roman" w:eastAsia="楷体_GB2312" w:cs="Times New Roman"/>
          <w:sz w:val="28"/>
        </w:rPr>
      </w:pPr>
      <w:r>
        <w:rPr>
          <w:rFonts w:ascii="Times New Roman" w:hAnsi="Times New Roman" w:eastAsia="楷体_GB2312" w:cs="Times New Roman"/>
          <w:sz w:val="28"/>
        </w:rPr>
        <w:t>根据本次外业调查所收集的供水方面的资料并参照《城镇土地分等定级规程》规定，各乡镇镇区供水设施作用分的确定过程如下：</w:t>
      </w:r>
    </w:p>
    <w:p w14:paraId="71897344">
      <w:pPr>
        <w:pStyle w:val="20"/>
        <w:spacing w:line="480" w:lineRule="exact"/>
        <w:ind w:firstLine="560" w:firstLineChars="200"/>
        <w:rPr>
          <w:rFonts w:ascii="Times New Roman" w:hAnsi="Times New Roman" w:eastAsia="楷体_GB2312" w:cs="Times New Roman"/>
          <w:sz w:val="28"/>
        </w:rPr>
      </w:pPr>
      <w:r>
        <w:rPr>
          <w:rFonts w:ascii="Times New Roman" w:hAnsi="Times New Roman" w:cs="Times New Roman"/>
          <w:sz w:val="28"/>
        </w:rPr>
        <w:t>1、</w:t>
      </w:r>
      <w:r>
        <w:rPr>
          <w:rFonts w:ascii="Times New Roman" w:hAnsi="Times New Roman" w:eastAsia="楷体_GB2312" w:cs="Times New Roman"/>
          <w:sz w:val="28"/>
        </w:rPr>
        <w:t>本次各乡镇定级范围内包含有供水区域和无供水区域，各乡镇镇区有供水区域根据供水管网分布图和相关统计资料，结合供水管网密度、管径大小、供水压力计算供水作用分，无供水区域根据取水设施分布密度以及取水深度和难度计算供水作用分。各乡镇区划分的供水评价区域数为3个。</w:t>
      </w:r>
    </w:p>
    <w:p w14:paraId="41FCCA1D">
      <w:pPr>
        <w:pStyle w:val="20"/>
        <w:spacing w:line="480" w:lineRule="exact"/>
        <w:ind w:firstLine="560" w:firstLineChars="200"/>
        <w:rPr>
          <w:rFonts w:ascii="Times New Roman" w:hAnsi="Times New Roman" w:eastAsia="楷体_GB2312" w:cs="Times New Roman"/>
          <w:sz w:val="28"/>
        </w:rPr>
      </w:pPr>
      <w:r>
        <w:rPr>
          <w:rFonts w:ascii="Times New Roman" w:hAnsi="Times New Roman" w:cs="Times New Roman"/>
          <w:sz w:val="28"/>
        </w:rPr>
        <w:t>2、</w:t>
      </w:r>
      <w:r>
        <w:rPr>
          <w:rFonts w:ascii="Times New Roman" w:hAnsi="Times New Roman" w:eastAsia="楷体_GB2312" w:cs="Times New Roman"/>
          <w:sz w:val="28"/>
        </w:rPr>
        <w:t>根据供水方面的有关资料，依据供水设施完善水平（用水平系数表示）</w:t>
      </w:r>
      <w:r>
        <w:rPr>
          <w:rFonts w:ascii="Times New Roman" w:hAnsi="Times New Roman" w:eastAsia="楷体_GB2312" w:cs="Times New Roman"/>
          <w:position w:val="-14"/>
          <w:sz w:val="28"/>
        </w:rPr>
        <w:object>
          <v:shape id="_x0000_i1056" o:spt="75" type="#_x0000_t75" style="height:20pt;width:20pt;" o:ole="t" filled="f" o:preferrelative="t" stroked="f" coordsize="21600,21600">
            <v:path/>
            <v:fill on="f" alignshape="1" focussize="0,0"/>
            <v:stroke on="f"/>
            <v:imagedata r:id="rId75" o:title=""/>
            <o:lock v:ext="edit" aspectratio="t"/>
            <w10:wrap type="none"/>
            <w10:anchorlock/>
          </v:shape>
          <o:OLEObject Type="Embed" ProgID="Equation.3" ShapeID="_x0000_i1056" DrawAspect="Content" ObjectID="_1468075756" r:id="rId89">
            <o:LockedField>false</o:LockedField>
          </o:OLEObject>
        </w:object>
      </w:r>
      <w:r>
        <w:rPr>
          <w:rFonts w:ascii="Times New Roman" w:hAnsi="Times New Roman" w:eastAsia="楷体_GB2312" w:cs="Times New Roman"/>
          <w:sz w:val="28"/>
        </w:rPr>
        <w:t>和供水保证率</w:t>
      </w:r>
      <w:r>
        <w:rPr>
          <w:rFonts w:ascii="Times New Roman" w:hAnsi="Times New Roman" w:eastAsia="楷体_GB2312" w:cs="Times New Roman"/>
          <w:position w:val="-14"/>
          <w:sz w:val="28"/>
        </w:rPr>
        <w:object>
          <v:shape id="_x0000_i1057" o:spt="75" type="#_x0000_t75" style="height:20pt;width:21pt;" o:ole="t" filled="f" o:preferrelative="t" stroked="f" coordsize="21600,21600">
            <v:path/>
            <v:fill on="f" alignshape="1" focussize="0,0"/>
            <v:stroke on="f"/>
            <v:imagedata r:id="rId77" o:title=""/>
            <o:lock v:ext="edit" aspectratio="t"/>
            <w10:wrap type="none"/>
            <w10:anchorlock/>
          </v:shape>
          <o:OLEObject Type="Embed" ProgID="Equation.3" ShapeID="_x0000_i1057" DrawAspect="Content" ObjectID="_1468075757" r:id="rId90">
            <o:LockedField>false</o:LockedField>
          </o:OLEObject>
        </w:object>
      </w:r>
      <w:r>
        <w:rPr>
          <w:rFonts w:ascii="Times New Roman" w:hAnsi="Times New Roman" w:eastAsia="楷体_GB2312" w:cs="Times New Roman"/>
          <w:sz w:val="28"/>
        </w:rPr>
        <w:t>。</w:t>
      </w:r>
    </w:p>
    <w:p w14:paraId="5E74F4B9">
      <w:pPr>
        <w:pStyle w:val="20"/>
        <w:spacing w:line="480" w:lineRule="exact"/>
        <w:ind w:firstLine="560" w:firstLineChars="200"/>
        <w:rPr>
          <w:rFonts w:ascii="Times New Roman" w:hAnsi="Times New Roman" w:eastAsia="楷体_GB2312" w:cs="Times New Roman"/>
          <w:sz w:val="28"/>
        </w:rPr>
      </w:pPr>
      <w:r>
        <w:rPr>
          <w:rFonts w:ascii="Times New Roman" w:hAnsi="Times New Roman" w:cs="Times New Roman"/>
          <w:sz w:val="28"/>
        </w:rPr>
        <w:t>3、</w:t>
      </w:r>
      <w:r>
        <w:rPr>
          <w:rFonts w:ascii="Times New Roman" w:hAnsi="Times New Roman" w:eastAsia="楷体_GB2312" w:cs="Times New Roman"/>
          <w:sz w:val="28"/>
        </w:rPr>
        <w:t>供水作用指数反映供水与日常生活、工作的密切程度，指数与各类基础设施作用大小呈正比，可参照确定因素权重的方法进行计算，数值在0-1之间，各指数值之和等于1。</w:t>
      </w:r>
    </w:p>
    <w:p w14:paraId="596CD4F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因本次</w:t>
      </w:r>
      <w:r>
        <w:rPr>
          <w:rFonts w:hint="eastAsia" w:ascii="楷体" w:hAnsi="楷体" w:eastAsia="楷体" w:cs="楷体_GB2312"/>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乡镇基础设施包含供电、供水、排水三个因子，所以根据规程参照确定因素权重，则供水的作用指数符离镇、大泽乡镇、曹村镇为0.3412，朱仙庄镇等19个乡镇为0.3314。</w:t>
      </w:r>
    </w:p>
    <w:p w14:paraId="68D0D9B1">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4、各评价区域供水设施作用指数的计算</w:t>
      </w:r>
    </w:p>
    <w:p w14:paraId="3D3F4B03">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按公式1-3-</w:t>
      </w:r>
      <w:r>
        <w:rPr>
          <w:rFonts w:hint="eastAsia" w:ascii="Times New Roman" w:hAnsi="Times New Roman" w:eastAsia="楷体_GB2312" w:cs="Times New Roman"/>
          <w:sz w:val="28"/>
        </w:rPr>
        <w:t>3</w:t>
      </w:r>
      <w:r>
        <w:rPr>
          <w:rFonts w:ascii="Times New Roman" w:hAnsi="Times New Roman" w:eastAsia="楷体_GB2312" w:cs="Times New Roman"/>
          <w:sz w:val="28"/>
        </w:rPr>
        <w:t>，计算评价区域供水设施完善度作用分</w:t>
      </w:r>
      <w:r>
        <w:rPr>
          <w:rFonts w:ascii="Times New Roman" w:hAnsi="Times New Roman" w:eastAsia="楷体_GB2312" w:cs="Times New Roman"/>
          <w:position w:val="-14"/>
          <w:sz w:val="28"/>
        </w:rPr>
        <w:object>
          <v:shape id="_x0000_i1058" o:spt="75" type="#_x0000_t75" style="height:20pt;width:13pt;" o:ole="t" filled="f" o:preferrelative="t" stroked="f" coordsize="21600,21600">
            <v:path/>
            <v:fill on="f" alignshape="1" focussize="0,0"/>
            <v:stroke on="f"/>
            <v:imagedata r:id="rId79" o:title=""/>
            <o:lock v:ext="edit" aspectratio="t"/>
            <w10:wrap type="none"/>
            <w10:anchorlock/>
          </v:shape>
          <o:OLEObject Type="Embed" ProgID="Equation.3" ShapeID="_x0000_i1058" DrawAspect="Content" ObjectID="_1468075758" r:id="rId91">
            <o:LockedField>false</o:LockedField>
          </o:OLEObject>
        </w:object>
      </w:r>
      <w:r>
        <w:rPr>
          <w:rFonts w:ascii="Times New Roman" w:hAnsi="Times New Roman" w:eastAsia="楷体_GB2312" w:cs="Times New Roman"/>
          <w:sz w:val="28"/>
        </w:rPr>
        <w:t>。</w:t>
      </w:r>
    </w:p>
    <w:p w14:paraId="1A3D0A16">
      <w:pPr>
        <w:pStyle w:val="20"/>
        <w:spacing w:line="480" w:lineRule="exact"/>
        <w:ind w:firstLine="1400" w:firstLineChars="500"/>
        <w:rPr>
          <w:rFonts w:ascii="Times New Roman" w:hAnsi="Times New Roman" w:eastAsia="楷体_GB2312" w:cs="Times New Roman"/>
          <w:sz w:val="28"/>
        </w:rPr>
      </w:pPr>
      <w:r>
        <w:rPr>
          <w:rFonts w:ascii="Times New Roman" w:hAnsi="Times New Roman" w:eastAsia="楷体_GB2312" w:cs="Times New Roman"/>
          <w:sz w:val="28"/>
        </w:rPr>
        <w:t>公式1-3-</w:t>
      </w:r>
      <w:r>
        <w:rPr>
          <w:rFonts w:hint="eastAsia" w:ascii="Times New Roman" w:hAnsi="Times New Roman" w:eastAsia="楷体_GB2312" w:cs="Times New Roman"/>
          <w:sz w:val="28"/>
        </w:rPr>
        <w:t>3</w:t>
      </w:r>
      <w:r>
        <w:rPr>
          <w:rFonts w:ascii="Times New Roman" w:hAnsi="Times New Roman" w:eastAsia="楷体_GB2312" w:cs="Times New Roman"/>
          <w:sz w:val="28"/>
        </w:rPr>
        <w:t>：</w:t>
      </w:r>
      <w:r>
        <w:rPr>
          <w:rFonts w:ascii="Times New Roman" w:hAnsi="Times New Roman" w:eastAsia="楷体_GB2312" w:cs="Times New Roman"/>
          <w:position w:val="-14"/>
          <w:sz w:val="28"/>
        </w:rPr>
        <w:object>
          <v:shape id="_x0000_i1059" o:spt="75" type="#_x0000_t75" style="height:20pt;width:114pt;" o:ole="t" filled="f" o:preferrelative="t" stroked="f" coordsize="21600,21600">
            <v:path/>
            <v:fill on="f" alignshape="1" focussize="0,0"/>
            <v:stroke on="f"/>
            <v:imagedata r:id="rId81" o:title=""/>
            <o:lock v:ext="edit" aspectratio="t"/>
            <w10:wrap type="none"/>
            <w10:anchorlock/>
          </v:shape>
          <o:OLEObject Type="Embed" ProgID="Equation.3" ShapeID="_x0000_i1059" DrawAspect="Content" ObjectID="_1468075759" r:id="rId92">
            <o:LockedField>false</o:LockedField>
          </o:OLEObject>
        </w:object>
      </w:r>
    </w:p>
    <w:p w14:paraId="1325A978">
      <w:pPr>
        <w:pStyle w:val="20"/>
        <w:spacing w:line="480" w:lineRule="exact"/>
        <w:ind w:firstLine="1400" w:firstLineChars="500"/>
        <w:rPr>
          <w:rFonts w:ascii="Times New Roman" w:hAnsi="Times New Roman" w:eastAsia="楷体_GB2312" w:cs="Times New Roman"/>
          <w:sz w:val="28"/>
        </w:rPr>
      </w:pPr>
      <w:r>
        <w:rPr>
          <w:rFonts w:ascii="Times New Roman" w:hAnsi="Times New Roman" w:eastAsia="楷体_GB2312" w:cs="Times New Roman"/>
          <w:sz w:val="28"/>
        </w:rPr>
        <w:t>式中：</w:t>
      </w:r>
      <w:r>
        <w:rPr>
          <w:rFonts w:ascii="Times New Roman" w:hAnsi="Times New Roman" w:eastAsia="楷体_GB2312" w:cs="Times New Roman"/>
          <w:position w:val="-14"/>
        </w:rPr>
        <w:object>
          <v:shape id="_x0000_i1060" o:spt="75" type="#_x0000_t75" style="height:20pt;width:13pt;" o:ole="t" filled="f" stroked="f" coordsize="21600,21600">
            <v:path/>
            <v:fill on="f" focussize="0,0"/>
            <v:stroke on="f"/>
            <v:imagedata r:id="rId83" o:title=""/>
            <o:lock v:ext="edit" aspectratio="t"/>
            <w10:wrap type="none"/>
            <w10:anchorlock/>
          </v:shape>
          <o:OLEObject Type="Embed" ProgID="Equation.3" ShapeID="_x0000_i1060" DrawAspect="Content" ObjectID="_1468075760" r:id="rId93">
            <o:LockedField>false</o:LockedField>
          </o:OLEObject>
        </w:object>
      </w:r>
      <w:r>
        <w:rPr>
          <w:rFonts w:ascii="Times New Roman" w:hAnsi="Times New Roman" w:eastAsia="楷体_GB2312" w:cs="Times New Roman"/>
          <w:sz w:val="28"/>
        </w:rPr>
        <w:t>－i类基础设施在j区域的完善度作用分；</w:t>
      </w:r>
    </w:p>
    <w:p w14:paraId="7926323B">
      <w:pPr>
        <w:pStyle w:val="20"/>
        <w:spacing w:line="480" w:lineRule="exact"/>
        <w:ind w:firstLine="2205" w:firstLineChars="1050"/>
        <w:rPr>
          <w:rFonts w:ascii="Times New Roman" w:hAnsi="Times New Roman" w:eastAsia="楷体_GB2312" w:cs="Times New Roman"/>
        </w:rPr>
      </w:pPr>
      <w:r>
        <w:rPr>
          <w:rFonts w:ascii="Times New Roman" w:hAnsi="Times New Roman" w:eastAsia="楷体_GB2312" w:cs="Times New Roman"/>
          <w:position w:val="-12"/>
        </w:rPr>
        <w:object>
          <v:shape id="_x0000_i1061" o:spt="75" type="#_x0000_t75" style="height:19pt;width:13.95pt;" o:ole="t" filled="f" stroked="f" coordsize="21600,21600">
            <v:path/>
            <v:fill on="f" focussize="0,0"/>
            <v:stroke on="f"/>
            <v:imagedata r:id="rId85" o:title=""/>
            <o:lock v:ext="edit" aspectratio="t"/>
            <w10:wrap type="none"/>
            <w10:anchorlock/>
          </v:shape>
          <o:OLEObject Type="Embed" ProgID="Equation.3" ShapeID="_x0000_i1061" DrawAspect="Content" ObjectID="_1468075761" r:id="rId94">
            <o:LockedField>false</o:LockedField>
          </o:OLEObject>
        </w:object>
      </w:r>
      <w:r>
        <w:rPr>
          <w:rFonts w:ascii="Times New Roman" w:hAnsi="Times New Roman" w:eastAsia="楷体_GB2312" w:cs="Times New Roman"/>
          <w:sz w:val="28"/>
        </w:rPr>
        <w:t>－i类基础设施的作用指数；</w:t>
      </w:r>
    </w:p>
    <w:p w14:paraId="28B2027D">
      <w:pPr>
        <w:pStyle w:val="20"/>
        <w:spacing w:line="480" w:lineRule="exact"/>
        <w:ind w:firstLine="2205" w:firstLineChars="1050"/>
        <w:rPr>
          <w:rFonts w:ascii="Times New Roman" w:hAnsi="Times New Roman" w:eastAsia="楷体_GB2312" w:cs="Times New Roman"/>
          <w:sz w:val="28"/>
        </w:rPr>
      </w:pPr>
      <w:r>
        <w:rPr>
          <w:rFonts w:ascii="Times New Roman" w:hAnsi="Times New Roman" w:eastAsia="楷体_GB2312" w:cs="Times New Roman"/>
          <w:position w:val="-14"/>
        </w:rPr>
        <w:object>
          <v:shape id="_x0000_i1062" o:spt="75" type="#_x0000_t75" style="height:20pt;width:19pt;" o:ole="t" filled="f" stroked="f" coordsize="21600,21600">
            <v:path/>
            <v:fill on="f" focussize="0,0"/>
            <v:stroke on="f"/>
            <v:imagedata r:id="rId87" o:title=""/>
            <o:lock v:ext="edit" aspectratio="t"/>
            <w10:wrap type="none"/>
            <w10:anchorlock/>
          </v:shape>
          <o:OLEObject Type="Embed" ProgID="Equation.3" ShapeID="_x0000_i1062" DrawAspect="Content" ObjectID="_1468075762" r:id="rId95">
            <o:LockedField>false</o:LockedField>
          </o:OLEObject>
        </w:object>
      </w:r>
      <w:r>
        <w:rPr>
          <w:rFonts w:ascii="Times New Roman" w:hAnsi="Times New Roman" w:eastAsia="楷体_GB2312" w:cs="Times New Roman"/>
          <w:sz w:val="28"/>
        </w:rPr>
        <w:t>－i类基础设施在j区域水平系数；</w:t>
      </w:r>
    </w:p>
    <w:p w14:paraId="4C6DE729">
      <w:pPr>
        <w:pStyle w:val="20"/>
        <w:spacing w:line="480" w:lineRule="exact"/>
        <w:ind w:firstLine="2240" w:firstLineChars="800"/>
        <w:rPr>
          <w:rFonts w:ascii="Times New Roman" w:hAnsi="Times New Roman" w:eastAsia="楷体_GB2312" w:cs="Times New Roman"/>
          <w:sz w:val="28"/>
        </w:rPr>
      </w:pPr>
      <w:r>
        <w:rPr>
          <w:rFonts w:ascii="Times New Roman" w:hAnsi="Times New Roman" w:eastAsia="楷体_GB2312" w:cs="Times New Roman"/>
          <w:position w:val="-14"/>
          <w:sz w:val="28"/>
        </w:rPr>
        <w:object>
          <v:shape id="_x0000_i1063" o:spt="75" type="#_x0000_t75" style="height:20pt;width:21pt;" o:ole="t" filled="f" o:preferrelative="t" stroked="f" coordsize="21600,21600">
            <v:path/>
            <v:fill on="f" alignshape="1" focussize="0,0"/>
            <v:stroke on="f"/>
            <v:imagedata r:id="rId77" o:title=""/>
            <o:lock v:ext="edit" aspectratio="t"/>
            <w10:wrap type="none"/>
            <w10:anchorlock/>
          </v:shape>
          <o:OLEObject Type="Embed" ProgID="Equation.3" ShapeID="_x0000_i1063" DrawAspect="Content" ObjectID="_1468075763" r:id="rId96">
            <o:LockedField>false</o:LockedField>
          </o:OLEObject>
        </w:object>
      </w:r>
      <w:r>
        <w:rPr>
          <w:rFonts w:ascii="Times New Roman" w:hAnsi="Times New Roman" w:eastAsia="楷体_GB2312" w:cs="Times New Roman"/>
          <w:sz w:val="28"/>
        </w:rPr>
        <w:t>－i类基础设施在j区域使用保证率。</w:t>
      </w:r>
    </w:p>
    <w:p w14:paraId="6067DE33">
      <w:pPr>
        <w:pStyle w:val="20"/>
        <w:spacing w:line="480" w:lineRule="exact"/>
        <w:jc w:val="center"/>
        <w:rPr>
          <w:rFonts w:ascii="Times New Roman" w:hAnsi="Times New Roman" w:eastAsia="黑体" w:cs="Times New Roman"/>
          <w:sz w:val="28"/>
        </w:rPr>
      </w:pPr>
      <w:r>
        <w:rPr>
          <w:rFonts w:ascii="Times New Roman" w:hAnsi="Times New Roman" w:eastAsia="黑体" w:cs="Times New Roman"/>
          <w:sz w:val="28"/>
          <w:szCs w:val="24"/>
        </w:rPr>
        <w:t>表1-3-</w:t>
      </w:r>
      <w:r>
        <w:rPr>
          <w:rFonts w:hint="eastAsia" w:ascii="Times New Roman" w:hAnsi="Times New Roman" w:eastAsia="黑体" w:cs="Times New Roman"/>
          <w:sz w:val="28"/>
          <w:szCs w:val="24"/>
        </w:rPr>
        <w:t>33</w:t>
      </w:r>
      <w:r>
        <w:rPr>
          <w:rFonts w:ascii="Times New Roman" w:hAnsi="Times New Roman" w:eastAsia="黑体" w:cs="Times New Roman"/>
          <w:sz w:val="28"/>
          <w:szCs w:val="24"/>
        </w:rPr>
        <w:t xml:space="preserve">  埇桥区各乡镇镇区</w:t>
      </w:r>
      <w:r>
        <w:rPr>
          <w:rFonts w:ascii="Times New Roman" w:hAnsi="Times New Roman" w:eastAsia="黑体" w:cs="Times New Roman"/>
          <w:sz w:val="28"/>
        </w:rPr>
        <w:t>供水设施作用分表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
        <w:gridCol w:w="635"/>
        <w:gridCol w:w="567"/>
        <w:gridCol w:w="4394"/>
        <w:gridCol w:w="733"/>
        <w:gridCol w:w="685"/>
        <w:gridCol w:w="836"/>
        <w:gridCol w:w="300"/>
        <w:gridCol w:w="563"/>
      </w:tblGrid>
      <w:tr w14:paraId="2F979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atLeast"/>
          <w:tblHeader/>
          <w:jc w:val="center"/>
        </w:trPr>
        <w:tc>
          <w:tcPr>
            <w:tcW w:w="0" w:type="auto"/>
            <w:noWrap w:val="0"/>
            <w:vAlign w:val="center"/>
          </w:tcPr>
          <w:p w14:paraId="54B1CDB5">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序号</w:t>
            </w:r>
          </w:p>
        </w:tc>
        <w:tc>
          <w:tcPr>
            <w:tcW w:w="635" w:type="dxa"/>
            <w:noWrap w:val="0"/>
            <w:vAlign w:val="center"/>
          </w:tcPr>
          <w:p w14:paraId="63AA8C20">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乡镇</w:t>
            </w:r>
          </w:p>
          <w:p w14:paraId="26686722">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名称</w:t>
            </w:r>
          </w:p>
        </w:tc>
        <w:tc>
          <w:tcPr>
            <w:tcW w:w="567" w:type="dxa"/>
            <w:noWrap w:val="0"/>
            <w:vAlign w:val="center"/>
          </w:tcPr>
          <w:p w14:paraId="45471BCD">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区域编号</w:t>
            </w:r>
          </w:p>
        </w:tc>
        <w:tc>
          <w:tcPr>
            <w:tcW w:w="4394" w:type="dxa"/>
            <w:noWrap w:val="0"/>
            <w:vAlign w:val="center"/>
          </w:tcPr>
          <w:p w14:paraId="4CE1CD57">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分布范围</w:t>
            </w:r>
          </w:p>
        </w:tc>
        <w:tc>
          <w:tcPr>
            <w:tcW w:w="733" w:type="dxa"/>
            <w:noWrap w:val="0"/>
            <w:vAlign w:val="center"/>
          </w:tcPr>
          <w:p w14:paraId="333BD922">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供水设施水平系数</w:t>
            </w:r>
          </w:p>
        </w:tc>
        <w:tc>
          <w:tcPr>
            <w:tcW w:w="685" w:type="dxa"/>
            <w:noWrap w:val="0"/>
            <w:vAlign w:val="center"/>
          </w:tcPr>
          <w:p w14:paraId="120742DD">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供水保证率（</w:t>
            </w:r>
            <w:r>
              <w:rPr>
                <w:rFonts w:eastAsia="楷体_GB2312"/>
                <w:color w:val="000000"/>
                <w:kern w:val="0"/>
                <w:szCs w:val="21"/>
              </w:rPr>
              <w:t>%</w:t>
            </w:r>
            <w:r>
              <w:rPr>
                <w:rFonts w:hint="eastAsia" w:ascii="楷体_GB2312" w:hAnsi="宋体" w:eastAsia="楷体_GB2312" w:cs="宋体"/>
                <w:color w:val="000000"/>
                <w:kern w:val="0"/>
                <w:szCs w:val="21"/>
              </w:rPr>
              <w:t>）</w:t>
            </w:r>
          </w:p>
        </w:tc>
        <w:tc>
          <w:tcPr>
            <w:tcW w:w="836" w:type="dxa"/>
            <w:noWrap w:val="0"/>
            <w:vAlign w:val="center"/>
          </w:tcPr>
          <w:p w14:paraId="3F2B7966">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供水设施作用指数</w:t>
            </w:r>
          </w:p>
        </w:tc>
        <w:tc>
          <w:tcPr>
            <w:tcW w:w="300" w:type="dxa"/>
            <w:noWrap w:val="0"/>
            <w:vAlign w:val="center"/>
          </w:tcPr>
          <w:p w14:paraId="18754E01">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级别</w:t>
            </w:r>
          </w:p>
        </w:tc>
        <w:tc>
          <w:tcPr>
            <w:tcW w:w="563" w:type="dxa"/>
            <w:noWrap w:val="0"/>
            <w:vAlign w:val="center"/>
          </w:tcPr>
          <w:p w14:paraId="2E4B97A7">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作用分</w:t>
            </w:r>
          </w:p>
        </w:tc>
      </w:tr>
      <w:tr w14:paraId="282C9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noWrap w:val="0"/>
            <w:vAlign w:val="center"/>
          </w:tcPr>
          <w:p w14:paraId="024576C3">
            <w:pPr>
              <w:ind w:left="-63" w:leftChars="-30" w:right="-63" w:rightChars="-30"/>
              <w:jc w:val="center"/>
              <w:rPr>
                <w:color w:val="000000"/>
                <w:kern w:val="0"/>
                <w:szCs w:val="21"/>
              </w:rPr>
            </w:pPr>
            <w:r>
              <w:rPr>
                <w:color w:val="000000"/>
                <w:kern w:val="0"/>
                <w:szCs w:val="21"/>
              </w:rPr>
              <w:t>1</w:t>
            </w:r>
          </w:p>
        </w:tc>
        <w:tc>
          <w:tcPr>
            <w:tcW w:w="635" w:type="dxa"/>
            <w:vMerge w:val="restart"/>
            <w:noWrap w:val="0"/>
            <w:vAlign w:val="center"/>
          </w:tcPr>
          <w:p w14:paraId="5B0596E4">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符离镇</w:t>
            </w:r>
          </w:p>
        </w:tc>
        <w:tc>
          <w:tcPr>
            <w:tcW w:w="567" w:type="dxa"/>
            <w:noWrap w:val="0"/>
            <w:vAlign w:val="center"/>
          </w:tcPr>
          <w:p w14:paraId="38CE1000">
            <w:pPr>
              <w:ind w:left="-63" w:leftChars="-30" w:right="-63" w:rightChars="-30"/>
              <w:jc w:val="center"/>
              <w:rPr>
                <w:color w:val="000000"/>
                <w:kern w:val="0"/>
                <w:szCs w:val="21"/>
              </w:rPr>
            </w:pPr>
            <w:r>
              <w:rPr>
                <w:color w:val="000000"/>
                <w:kern w:val="0"/>
                <w:szCs w:val="21"/>
              </w:rPr>
              <w:t>1</w:t>
            </w:r>
          </w:p>
        </w:tc>
        <w:tc>
          <w:tcPr>
            <w:tcW w:w="4394" w:type="dxa"/>
            <w:noWrap w:val="0"/>
            <w:vAlign w:val="center"/>
          </w:tcPr>
          <w:p w14:paraId="00BAE9E0">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东至京沪铁路，南至中华路，西至人民路，北至育才路</w:t>
            </w:r>
          </w:p>
        </w:tc>
        <w:tc>
          <w:tcPr>
            <w:tcW w:w="733" w:type="dxa"/>
            <w:noWrap w:val="0"/>
            <w:vAlign w:val="center"/>
          </w:tcPr>
          <w:p w14:paraId="2ABBBF1B">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024A4144">
            <w:pPr>
              <w:ind w:left="-63" w:leftChars="-30" w:right="-63" w:rightChars="-30"/>
              <w:jc w:val="center"/>
              <w:rPr>
                <w:color w:val="000000"/>
                <w:kern w:val="0"/>
                <w:szCs w:val="21"/>
              </w:rPr>
            </w:pPr>
            <w:r>
              <w:rPr>
                <w:color w:val="000000"/>
                <w:kern w:val="0"/>
                <w:szCs w:val="21"/>
              </w:rPr>
              <w:t>98</w:t>
            </w:r>
          </w:p>
        </w:tc>
        <w:tc>
          <w:tcPr>
            <w:tcW w:w="836" w:type="dxa"/>
            <w:noWrap w:val="0"/>
            <w:vAlign w:val="center"/>
          </w:tcPr>
          <w:p w14:paraId="5A3FF6BE">
            <w:pPr>
              <w:ind w:left="-63" w:leftChars="-30" w:right="-63" w:rightChars="-30"/>
              <w:jc w:val="center"/>
              <w:rPr>
                <w:color w:val="000000"/>
                <w:kern w:val="0"/>
                <w:szCs w:val="21"/>
              </w:rPr>
            </w:pPr>
            <w:r>
              <w:rPr>
                <w:color w:val="000000"/>
                <w:kern w:val="0"/>
                <w:szCs w:val="21"/>
              </w:rPr>
              <w:t>0.3412</w:t>
            </w:r>
          </w:p>
        </w:tc>
        <w:tc>
          <w:tcPr>
            <w:tcW w:w="300" w:type="dxa"/>
            <w:noWrap w:val="0"/>
            <w:vAlign w:val="center"/>
          </w:tcPr>
          <w:p w14:paraId="6754DFBD">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399030D1">
            <w:pPr>
              <w:ind w:left="-63" w:leftChars="-30" w:right="-63" w:rightChars="-30"/>
              <w:jc w:val="center"/>
              <w:rPr>
                <w:color w:val="000000"/>
                <w:kern w:val="0"/>
                <w:szCs w:val="21"/>
              </w:rPr>
            </w:pPr>
            <w:r>
              <w:rPr>
                <w:color w:val="000000"/>
                <w:kern w:val="0"/>
                <w:szCs w:val="21"/>
              </w:rPr>
              <w:t>33.44</w:t>
            </w:r>
          </w:p>
        </w:tc>
      </w:tr>
      <w:tr w14:paraId="51642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0B13EAB2">
            <w:pPr>
              <w:ind w:left="-63" w:leftChars="-30" w:right="-63" w:rightChars="-30"/>
              <w:rPr>
                <w:color w:val="000000"/>
                <w:kern w:val="0"/>
                <w:szCs w:val="21"/>
              </w:rPr>
            </w:pPr>
          </w:p>
        </w:tc>
        <w:tc>
          <w:tcPr>
            <w:tcW w:w="635" w:type="dxa"/>
            <w:vMerge w:val="continue"/>
            <w:noWrap w:val="0"/>
            <w:vAlign w:val="center"/>
          </w:tcPr>
          <w:p w14:paraId="783B0409">
            <w:pPr>
              <w:ind w:left="-63" w:leftChars="-30" w:right="-63" w:rightChars="-30"/>
              <w:rPr>
                <w:rFonts w:ascii="楷体_GB2312" w:hAnsi="宋体" w:eastAsia="楷体_GB2312" w:cs="宋体"/>
                <w:color w:val="000000"/>
                <w:kern w:val="0"/>
                <w:szCs w:val="21"/>
              </w:rPr>
            </w:pPr>
          </w:p>
        </w:tc>
        <w:tc>
          <w:tcPr>
            <w:tcW w:w="567" w:type="dxa"/>
            <w:noWrap w:val="0"/>
            <w:vAlign w:val="center"/>
          </w:tcPr>
          <w:p w14:paraId="05272D68">
            <w:pPr>
              <w:ind w:left="-63" w:leftChars="-30" w:right="-63" w:rightChars="-30"/>
              <w:jc w:val="center"/>
              <w:rPr>
                <w:color w:val="000000"/>
                <w:kern w:val="0"/>
                <w:szCs w:val="21"/>
              </w:rPr>
            </w:pPr>
            <w:r>
              <w:rPr>
                <w:color w:val="000000"/>
                <w:kern w:val="0"/>
                <w:szCs w:val="21"/>
              </w:rPr>
              <w:t>2</w:t>
            </w:r>
          </w:p>
        </w:tc>
        <w:tc>
          <w:tcPr>
            <w:tcW w:w="4394" w:type="dxa"/>
            <w:noWrap w:val="0"/>
            <w:vAlign w:val="center"/>
          </w:tcPr>
          <w:p w14:paraId="5668D93D">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东至京沪铁路、港口路，南至滨河路，西至景玉路西侧规划道路，北至北环路、山前路</w:t>
            </w:r>
          </w:p>
        </w:tc>
        <w:tc>
          <w:tcPr>
            <w:tcW w:w="733" w:type="dxa"/>
            <w:noWrap w:val="0"/>
            <w:vAlign w:val="center"/>
          </w:tcPr>
          <w:p w14:paraId="5847E90B">
            <w:pPr>
              <w:ind w:left="-63" w:leftChars="-30" w:right="-63" w:rightChars="-30"/>
              <w:jc w:val="center"/>
              <w:rPr>
                <w:color w:val="000000"/>
                <w:kern w:val="0"/>
                <w:szCs w:val="21"/>
              </w:rPr>
            </w:pPr>
            <w:r>
              <w:rPr>
                <w:color w:val="000000"/>
                <w:kern w:val="0"/>
                <w:szCs w:val="21"/>
              </w:rPr>
              <w:t>0.98</w:t>
            </w:r>
          </w:p>
        </w:tc>
        <w:tc>
          <w:tcPr>
            <w:tcW w:w="685" w:type="dxa"/>
            <w:noWrap w:val="0"/>
            <w:vAlign w:val="center"/>
          </w:tcPr>
          <w:p w14:paraId="387CAEDF">
            <w:pPr>
              <w:ind w:left="-63" w:leftChars="-30" w:right="-63" w:rightChars="-30"/>
              <w:jc w:val="center"/>
              <w:rPr>
                <w:color w:val="000000"/>
                <w:kern w:val="0"/>
                <w:szCs w:val="21"/>
              </w:rPr>
            </w:pPr>
            <w:r>
              <w:rPr>
                <w:color w:val="000000"/>
                <w:kern w:val="0"/>
                <w:szCs w:val="21"/>
              </w:rPr>
              <w:t>95</w:t>
            </w:r>
          </w:p>
        </w:tc>
        <w:tc>
          <w:tcPr>
            <w:tcW w:w="836" w:type="dxa"/>
            <w:noWrap w:val="0"/>
            <w:vAlign w:val="center"/>
          </w:tcPr>
          <w:p w14:paraId="0A6E4186">
            <w:pPr>
              <w:ind w:left="-63" w:leftChars="-30" w:right="-63" w:rightChars="-30"/>
              <w:jc w:val="center"/>
              <w:rPr>
                <w:color w:val="000000"/>
                <w:kern w:val="0"/>
                <w:szCs w:val="21"/>
              </w:rPr>
            </w:pPr>
            <w:r>
              <w:rPr>
                <w:color w:val="000000"/>
                <w:kern w:val="0"/>
                <w:szCs w:val="21"/>
              </w:rPr>
              <w:t>0.3412</w:t>
            </w:r>
          </w:p>
        </w:tc>
        <w:tc>
          <w:tcPr>
            <w:tcW w:w="300" w:type="dxa"/>
            <w:noWrap w:val="0"/>
            <w:vAlign w:val="center"/>
          </w:tcPr>
          <w:p w14:paraId="166E7B19">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020513BF">
            <w:pPr>
              <w:ind w:left="-63" w:leftChars="-30" w:right="-63" w:rightChars="-30"/>
              <w:jc w:val="center"/>
              <w:rPr>
                <w:color w:val="000000"/>
                <w:kern w:val="0"/>
                <w:szCs w:val="21"/>
              </w:rPr>
            </w:pPr>
            <w:r>
              <w:rPr>
                <w:color w:val="000000"/>
                <w:kern w:val="0"/>
                <w:szCs w:val="21"/>
              </w:rPr>
              <w:t>31.77</w:t>
            </w:r>
          </w:p>
        </w:tc>
      </w:tr>
      <w:tr w14:paraId="45B4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611F082F">
            <w:pPr>
              <w:ind w:left="-63" w:leftChars="-30" w:right="-63" w:rightChars="-30"/>
              <w:rPr>
                <w:color w:val="000000"/>
                <w:kern w:val="0"/>
                <w:szCs w:val="21"/>
              </w:rPr>
            </w:pPr>
          </w:p>
        </w:tc>
        <w:tc>
          <w:tcPr>
            <w:tcW w:w="635" w:type="dxa"/>
            <w:vMerge w:val="continue"/>
            <w:noWrap w:val="0"/>
            <w:vAlign w:val="center"/>
          </w:tcPr>
          <w:p w14:paraId="4AE3A229">
            <w:pPr>
              <w:ind w:left="-63" w:leftChars="-30" w:right="-63" w:rightChars="-30"/>
              <w:rPr>
                <w:rFonts w:ascii="楷体_GB2312" w:hAnsi="宋体" w:eastAsia="楷体_GB2312" w:cs="宋体"/>
                <w:color w:val="000000"/>
                <w:kern w:val="0"/>
                <w:szCs w:val="21"/>
              </w:rPr>
            </w:pPr>
          </w:p>
        </w:tc>
        <w:tc>
          <w:tcPr>
            <w:tcW w:w="567" w:type="dxa"/>
            <w:noWrap w:val="0"/>
            <w:vAlign w:val="center"/>
          </w:tcPr>
          <w:p w14:paraId="7C02EEFF">
            <w:pPr>
              <w:ind w:left="-63" w:leftChars="-30" w:right="-63" w:rightChars="-30"/>
              <w:jc w:val="center"/>
              <w:rPr>
                <w:color w:val="000000"/>
                <w:kern w:val="0"/>
                <w:szCs w:val="21"/>
              </w:rPr>
            </w:pPr>
            <w:r>
              <w:rPr>
                <w:color w:val="000000"/>
                <w:kern w:val="0"/>
                <w:szCs w:val="21"/>
              </w:rPr>
              <w:t>3</w:t>
            </w:r>
          </w:p>
        </w:tc>
        <w:tc>
          <w:tcPr>
            <w:tcW w:w="4394" w:type="dxa"/>
            <w:noWrap w:val="0"/>
            <w:vAlign w:val="center"/>
          </w:tcPr>
          <w:p w14:paraId="654D3E06">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33" w:type="dxa"/>
            <w:noWrap w:val="0"/>
            <w:vAlign w:val="center"/>
          </w:tcPr>
          <w:p w14:paraId="3559653B">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7DBE3BFE">
            <w:pPr>
              <w:ind w:left="-63" w:leftChars="-30" w:right="-63" w:rightChars="-30"/>
              <w:jc w:val="center"/>
              <w:rPr>
                <w:color w:val="000000"/>
                <w:kern w:val="0"/>
                <w:szCs w:val="21"/>
              </w:rPr>
            </w:pPr>
            <w:r>
              <w:rPr>
                <w:color w:val="000000"/>
                <w:kern w:val="0"/>
                <w:szCs w:val="21"/>
              </w:rPr>
              <w:t>92</w:t>
            </w:r>
          </w:p>
        </w:tc>
        <w:tc>
          <w:tcPr>
            <w:tcW w:w="836" w:type="dxa"/>
            <w:noWrap w:val="0"/>
            <w:vAlign w:val="center"/>
          </w:tcPr>
          <w:p w14:paraId="74BF5B7A">
            <w:pPr>
              <w:ind w:left="-63" w:leftChars="-30" w:right="-63" w:rightChars="-30"/>
              <w:jc w:val="center"/>
              <w:rPr>
                <w:color w:val="000000"/>
                <w:kern w:val="0"/>
                <w:szCs w:val="21"/>
              </w:rPr>
            </w:pPr>
            <w:r>
              <w:rPr>
                <w:color w:val="000000"/>
                <w:kern w:val="0"/>
                <w:szCs w:val="21"/>
              </w:rPr>
              <w:t>0.3412</w:t>
            </w:r>
          </w:p>
        </w:tc>
        <w:tc>
          <w:tcPr>
            <w:tcW w:w="300" w:type="dxa"/>
            <w:noWrap w:val="0"/>
            <w:vAlign w:val="center"/>
          </w:tcPr>
          <w:p w14:paraId="31A35B99">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5E6E9BDA">
            <w:pPr>
              <w:ind w:left="-63" w:leftChars="-30" w:right="-63" w:rightChars="-30"/>
              <w:jc w:val="center"/>
              <w:rPr>
                <w:color w:val="000000"/>
                <w:kern w:val="0"/>
                <w:szCs w:val="21"/>
              </w:rPr>
            </w:pPr>
            <w:r>
              <w:rPr>
                <w:color w:val="000000"/>
                <w:kern w:val="0"/>
                <w:szCs w:val="21"/>
              </w:rPr>
              <w:t>29.82</w:t>
            </w:r>
          </w:p>
        </w:tc>
      </w:tr>
      <w:tr w14:paraId="055C2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noWrap w:val="0"/>
            <w:vAlign w:val="center"/>
          </w:tcPr>
          <w:p w14:paraId="1CDA7A05">
            <w:pPr>
              <w:ind w:left="-63" w:leftChars="-30" w:right="-63" w:rightChars="-30"/>
              <w:jc w:val="center"/>
              <w:rPr>
                <w:color w:val="000000"/>
                <w:kern w:val="0"/>
                <w:szCs w:val="21"/>
              </w:rPr>
            </w:pPr>
            <w:r>
              <w:rPr>
                <w:color w:val="000000"/>
                <w:kern w:val="0"/>
                <w:szCs w:val="21"/>
              </w:rPr>
              <w:t>2</w:t>
            </w:r>
          </w:p>
        </w:tc>
        <w:tc>
          <w:tcPr>
            <w:tcW w:w="635" w:type="dxa"/>
            <w:vMerge w:val="restart"/>
            <w:noWrap w:val="0"/>
            <w:vAlign w:val="center"/>
          </w:tcPr>
          <w:p w14:paraId="3A3618F3">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朱仙庄镇</w:t>
            </w:r>
          </w:p>
        </w:tc>
        <w:tc>
          <w:tcPr>
            <w:tcW w:w="567" w:type="dxa"/>
            <w:noWrap w:val="0"/>
            <w:vAlign w:val="center"/>
          </w:tcPr>
          <w:p w14:paraId="03EA7DCB">
            <w:pPr>
              <w:ind w:left="-63" w:leftChars="-30" w:right="-63" w:rightChars="-30"/>
              <w:jc w:val="center"/>
              <w:rPr>
                <w:color w:val="000000"/>
                <w:kern w:val="0"/>
                <w:szCs w:val="21"/>
              </w:rPr>
            </w:pPr>
            <w:r>
              <w:rPr>
                <w:color w:val="000000"/>
                <w:kern w:val="0"/>
                <w:szCs w:val="21"/>
              </w:rPr>
              <w:t>1</w:t>
            </w:r>
          </w:p>
        </w:tc>
        <w:tc>
          <w:tcPr>
            <w:tcW w:w="4394" w:type="dxa"/>
            <w:noWrap w:val="0"/>
            <w:vAlign w:val="center"/>
          </w:tcPr>
          <w:p w14:paraId="59A07087">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东至环湖路，南至汴河东路，西至滨湖一路，北至望湖路</w:t>
            </w:r>
          </w:p>
        </w:tc>
        <w:tc>
          <w:tcPr>
            <w:tcW w:w="733" w:type="dxa"/>
            <w:noWrap w:val="0"/>
            <w:vAlign w:val="center"/>
          </w:tcPr>
          <w:p w14:paraId="1A8AB412">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2ECFEDC0">
            <w:pPr>
              <w:ind w:left="-63" w:leftChars="-30" w:right="-63" w:rightChars="-30"/>
              <w:jc w:val="center"/>
              <w:rPr>
                <w:color w:val="000000"/>
                <w:kern w:val="0"/>
                <w:szCs w:val="21"/>
              </w:rPr>
            </w:pPr>
            <w:r>
              <w:rPr>
                <w:color w:val="000000"/>
                <w:kern w:val="0"/>
                <w:szCs w:val="21"/>
              </w:rPr>
              <w:t>98</w:t>
            </w:r>
          </w:p>
        </w:tc>
        <w:tc>
          <w:tcPr>
            <w:tcW w:w="836" w:type="dxa"/>
            <w:noWrap w:val="0"/>
            <w:vAlign w:val="center"/>
          </w:tcPr>
          <w:p w14:paraId="4C2328BF">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2A1DF6F5">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1F8B9903">
            <w:pPr>
              <w:ind w:left="-63" w:leftChars="-30" w:right="-63" w:rightChars="-30"/>
              <w:jc w:val="center"/>
              <w:rPr>
                <w:color w:val="000000"/>
                <w:kern w:val="0"/>
                <w:szCs w:val="21"/>
              </w:rPr>
            </w:pPr>
            <w:r>
              <w:rPr>
                <w:color w:val="000000"/>
                <w:kern w:val="0"/>
                <w:szCs w:val="21"/>
              </w:rPr>
              <w:t>32.48</w:t>
            </w:r>
          </w:p>
        </w:tc>
      </w:tr>
      <w:tr w14:paraId="2F00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7D02939F">
            <w:pPr>
              <w:ind w:left="-63" w:leftChars="-30" w:right="-63" w:rightChars="-30"/>
              <w:rPr>
                <w:color w:val="000000"/>
                <w:kern w:val="0"/>
                <w:szCs w:val="21"/>
              </w:rPr>
            </w:pPr>
          </w:p>
        </w:tc>
        <w:tc>
          <w:tcPr>
            <w:tcW w:w="635" w:type="dxa"/>
            <w:vMerge w:val="continue"/>
            <w:noWrap w:val="0"/>
            <w:vAlign w:val="center"/>
          </w:tcPr>
          <w:p w14:paraId="1AD36BCB">
            <w:pPr>
              <w:ind w:left="-63" w:leftChars="-30" w:right="-63" w:rightChars="-30"/>
              <w:rPr>
                <w:rFonts w:ascii="楷体_GB2312" w:hAnsi="宋体" w:eastAsia="楷体_GB2312" w:cs="宋体"/>
                <w:color w:val="000000"/>
                <w:kern w:val="0"/>
                <w:szCs w:val="21"/>
              </w:rPr>
            </w:pPr>
          </w:p>
        </w:tc>
        <w:tc>
          <w:tcPr>
            <w:tcW w:w="567" w:type="dxa"/>
            <w:noWrap w:val="0"/>
            <w:vAlign w:val="center"/>
          </w:tcPr>
          <w:p w14:paraId="251D8529">
            <w:pPr>
              <w:ind w:left="-63" w:leftChars="-30" w:right="-63" w:rightChars="-30"/>
              <w:jc w:val="center"/>
              <w:rPr>
                <w:color w:val="000000"/>
                <w:kern w:val="0"/>
                <w:szCs w:val="21"/>
              </w:rPr>
            </w:pPr>
            <w:r>
              <w:rPr>
                <w:color w:val="000000"/>
                <w:kern w:val="0"/>
                <w:szCs w:val="21"/>
              </w:rPr>
              <w:t>2</w:t>
            </w:r>
          </w:p>
        </w:tc>
        <w:tc>
          <w:tcPr>
            <w:tcW w:w="4394" w:type="dxa"/>
            <w:noWrap w:val="0"/>
            <w:vAlign w:val="center"/>
          </w:tcPr>
          <w:p w14:paraId="31819857">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东至环湖路，南至汴河东路，西至二徐路，北至北沱河、纬五路</w:t>
            </w:r>
          </w:p>
        </w:tc>
        <w:tc>
          <w:tcPr>
            <w:tcW w:w="733" w:type="dxa"/>
            <w:noWrap w:val="0"/>
            <w:vAlign w:val="center"/>
          </w:tcPr>
          <w:p w14:paraId="00CA478C">
            <w:pPr>
              <w:ind w:left="-63" w:leftChars="-30" w:right="-63" w:rightChars="-30"/>
              <w:jc w:val="center"/>
              <w:rPr>
                <w:color w:val="000000"/>
                <w:kern w:val="0"/>
                <w:szCs w:val="21"/>
              </w:rPr>
            </w:pPr>
            <w:r>
              <w:rPr>
                <w:color w:val="000000"/>
                <w:kern w:val="0"/>
                <w:szCs w:val="21"/>
              </w:rPr>
              <w:t>0.98</w:t>
            </w:r>
          </w:p>
        </w:tc>
        <w:tc>
          <w:tcPr>
            <w:tcW w:w="685" w:type="dxa"/>
            <w:noWrap w:val="0"/>
            <w:vAlign w:val="center"/>
          </w:tcPr>
          <w:p w14:paraId="2A5C8693">
            <w:pPr>
              <w:ind w:left="-63" w:leftChars="-30" w:right="-63" w:rightChars="-30"/>
              <w:jc w:val="center"/>
              <w:rPr>
                <w:color w:val="000000"/>
                <w:kern w:val="0"/>
                <w:szCs w:val="21"/>
              </w:rPr>
            </w:pPr>
            <w:r>
              <w:rPr>
                <w:color w:val="000000"/>
                <w:kern w:val="0"/>
                <w:szCs w:val="21"/>
              </w:rPr>
              <w:t>95</w:t>
            </w:r>
          </w:p>
        </w:tc>
        <w:tc>
          <w:tcPr>
            <w:tcW w:w="836" w:type="dxa"/>
            <w:noWrap w:val="0"/>
            <w:vAlign w:val="center"/>
          </w:tcPr>
          <w:p w14:paraId="56A1906F">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451429B3">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236A2989">
            <w:pPr>
              <w:ind w:left="-63" w:leftChars="-30" w:right="-63" w:rightChars="-30"/>
              <w:jc w:val="center"/>
              <w:rPr>
                <w:color w:val="000000"/>
                <w:kern w:val="0"/>
                <w:szCs w:val="21"/>
              </w:rPr>
            </w:pPr>
            <w:r>
              <w:rPr>
                <w:color w:val="000000"/>
                <w:kern w:val="0"/>
                <w:szCs w:val="21"/>
              </w:rPr>
              <w:t>30.85</w:t>
            </w:r>
          </w:p>
        </w:tc>
      </w:tr>
      <w:tr w14:paraId="6FFE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37EE2176">
            <w:pPr>
              <w:ind w:left="-63" w:leftChars="-30" w:right="-63" w:rightChars="-30"/>
              <w:rPr>
                <w:color w:val="000000"/>
                <w:kern w:val="0"/>
                <w:szCs w:val="21"/>
              </w:rPr>
            </w:pPr>
          </w:p>
        </w:tc>
        <w:tc>
          <w:tcPr>
            <w:tcW w:w="635" w:type="dxa"/>
            <w:vMerge w:val="continue"/>
            <w:noWrap w:val="0"/>
            <w:vAlign w:val="center"/>
          </w:tcPr>
          <w:p w14:paraId="4F1E89E4">
            <w:pPr>
              <w:ind w:left="-63" w:leftChars="-30" w:right="-63" w:rightChars="-30"/>
              <w:rPr>
                <w:rFonts w:ascii="楷体_GB2312" w:hAnsi="宋体" w:eastAsia="楷体_GB2312" w:cs="宋体"/>
                <w:color w:val="000000"/>
                <w:kern w:val="0"/>
                <w:szCs w:val="21"/>
              </w:rPr>
            </w:pPr>
          </w:p>
        </w:tc>
        <w:tc>
          <w:tcPr>
            <w:tcW w:w="567" w:type="dxa"/>
            <w:noWrap w:val="0"/>
            <w:vAlign w:val="center"/>
          </w:tcPr>
          <w:p w14:paraId="169D30CB">
            <w:pPr>
              <w:ind w:left="-63" w:leftChars="-30" w:right="-63" w:rightChars="-30"/>
              <w:jc w:val="center"/>
              <w:rPr>
                <w:color w:val="000000"/>
                <w:kern w:val="0"/>
                <w:szCs w:val="21"/>
              </w:rPr>
            </w:pPr>
            <w:r>
              <w:rPr>
                <w:color w:val="000000"/>
                <w:kern w:val="0"/>
                <w:szCs w:val="21"/>
              </w:rPr>
              <w:t>3</w:t>
            </w:r>
          </w:p>
        </w:tc>
        <w:tc>
          <w:tcPr>
            <w:tcW w:w="4394" w:type="dxa"/>
            <w:noWrap w:val="0"/>
            <w:vAlign w:val="center"/>
          </w:tcPr>
          <w:p w14:paraId="658D7BB6">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33" w:type="dxa"/>
            <w:noWrap w:val="0"/>
            <w:vAlign w:val="center"/>
          </w:tcPr>
          <w:p w14:paraId="1AEDF315">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563F062C">
            <w:pPr>
              <w:ind w:left="-63" w:leftChars="-30" w:right="-63" w:rightChars="-30"/>
              <w:jc w:val="center"/>
              <w:rPr>
                <w:color w:val="000000"/>
                <w:kern w:val="0"/>
                <w:szCs w:val="21"/>
              </w:rPr>
            </w:pPr>
            <w:r>
              <w:rPr>
                <w:color w:val="000000"/>
                <w:kern w:val="0"/>
                <w:szCs w:val="21"/>
              </w:rPr>
              <w:t>92</w:t>
            </w:r>
          </w:p>
        </w:tc>
        <w:tc>
          <w:tcPr>
            <w:tcW w:w="836" w:type="dxa"/>
            <w:noWrap w:val="0"/>
            <w:vAlign w:val="center"/>
          </w:tcPr>
          <w:p w14:paraId="7E33F75F">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30B807A5">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1AB1186F">
            <w:pPr>
              <w:ind w:left="-63" w:leftChars="-30" w:right="-63" w:rightChars="-30"/>
              <w:jc w:val="center"/>
              <w:rPr>
                <w:color w:val="000000"/>
                <w:kern w:val="0"/>
                <w:szCs w:val="21"/>
              </w:rPr>
            </w:pPr>
            <w:r>
              <w:rPr>
                <w:color w:val="000000"/>
                <w:kern w:val="0"/>
                <w:szCs w:val="21"/>
              </w:rPr>
              <w:t>28.96</w:t>
            </w:r>
          </w:p>
        </w:tc>
      </w:tr>
      <w:tr w14:paraId="15D5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noWrap w:val="0"/>
            <w:vAlign w:val="center"/>
          </w:tcPr>
          <w:p w14:paraId="594AC105">
            <w:pPr>
              <w:ind w:left="-63" w:leftChars="-30" w:right="-63" w:rightChars="-30"/>
              <w:jc w:val="center"/>
              <w:rPr>
                <w:color w:val="000000"/>
                <w:kern w:val="0"/>
                <w:szCs w:val="21"/>
              </w:rPr>
            </w:pPr>
            <w:r>
              <w:rPr>
                <w:color w:val="000000"/>
                <w:kern w:val="0"/>
                <w:szCs w:val="21"/>
              </w:rPr>
              <w:t>3</w:t>
            </w:r>
          </w:p>
        </w:tc>
        <w:tc>
          <w:tcPr>
            <w:tcW w:w="635" w:type="dxa"/>
            <w:vMerge w:val="restart"/>
            <w:noWrap w:val="0"/>
            <w:vAlign w:val="center"/>
          </w:tcPr>
          <w:p w14:paraId="1762644B">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蕲县镇</w:t>
            </w:r>
          </w:p>
        </w:tc>
        <w:tc>
          <w:tcPr>
            <w:tcW w:w="567" w:type="dxa"/>
            <w:noWrap w:val="0"/>
            <w:vAlign w:val="center"/>
          </w:tcPr>
          <w:p w14:paraId="25050EC9">
            <w:pPr>
              <w:ind w:left="-63" w:leftChars="-30" w:right="-63" w:rightChars="-30"/>
              <w:jc w:val="center"/>
              <w:rPr>
                <w:color w:val="000000"/>
                <w:kern w:val="0"/>
                <w:szCs w:val="21"/>
              </w:rPr>
            </w:pPr>
            <w:r>
              <w:rPr>
                <w:color w:val="000000"/>
                <w:kern w:val="0"/>
                <w:szCs w:val="21"/>
              </w:rPr>
              <w:t>1</w:t>
            </w:r>
          </w:p>
        </w:tc>
        <w:tc>
          <w:tcPr>
            <w:tcW w:w="4394" w:type="dxa"/>
            <w:noWrap w:val="0"/>
            <w:vAlign w:val="center"/>
          </w:tcPr>
          <w:p w14:paraId="65A19658">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w:t>
            </w:r>
            <w:r>
              <w:rPr>
                <w:rFonts w:eastAsia="楷体_GB2312"/>
                <w:color w:val="000000"/>
                <w:kern w:val="0"/>
                <w:szCs w:val="21"/>
              </w:rPr>
              <w:t>206</w:t>
            </w:r>
            <w:r>
              <w:rPr>
                <w:rFonts w:hint="eastAsia" w:ascii="楷体_GB2312" w:hAnsi="宋体" w:eastAsia="楷体_GB2312" w:cs="宋体"/>
                <w:color w:val="000000"/>
                <w:kern w:val="0"/>
                <w:szCs w:val="21"/>
              </w:rPr>
              <w:t>国道，南至浍河，西至浍水路，北至古城路</w:t>
            </w:r>
          </w:p>
        </w:tc>
        <w:tc>
          <w:tcPr>
            <w:tcW w:w="733" w:type="dxa"/>
            <w:noWrap w:val="0"/>
            <w:vAlign w:val="center"/>
          </w:tcPr>
          <w:p w14:paraId="270013E0">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0A6BCCBB">
            <w:pPr>
              <w:ind w:left="-63" w:leftChars="-30" w:right="-63" w:rightChars="-30"/>
              <w:jc w:val="center"/>
              <w:rPr>
                <w:color w:val="000000"/>
                <w:kern w:val="0"/>
                <w:szCs w:val="21"/>
              </w:rPr>
            </w:pPr>
            <w:r>
              <w:rPr>
                <w:color w:val="000000"/>
                <w:kern w:val="0"/>
                <w:szCs w:val="21"/>
              </w:rPr>
              <w:t>98</w:t>
            </w:r>
          </w:p>
        </w:tc>
        <w:tc>
          <w:tcPr>
            <w:tcW w:w="836" w:type="dxa"/>
            <w:noWrap w:val="0"/>
            <w:vAlign w:val="center"/>
          </w:tcPr>
          <w:p w14:paraId="00A5CBFA">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57828FB9">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784FEDF1">
            <w:pPr>
              <w:ind w:left="-63" w:leftChars="-30" w:right="-63" w:rightChars="-30"/>
              <w:jc w:val="center"/>
              <w:rPr>
                <w:color w:val="000000"/>
                <w:kern w:val="0"/>
                <w:szCs w:val="21"/>
              </w:rPr>
            </w:pPr>
            <w:r>
              <w:rPr>
                <w:color w:val="000000"/>
                <w:kern w:val="0"/>
                <w:szCs w:val="21"/>
              </w:rPr>
              <w:t>32.48</w:t>
            </w:r>
          </w:p>
        </w:tc>
      </w:tr>
      <w:tr w14:paraId="407C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588640DC">
            <w:pPr>
              <w:ind w:left="-63" w:leftChars="-30" w:right="-63" w:rightChars="-30"/>
              <w:rPr>
                <w:color w:val="000000"/>
                <w:kern w:val="0"/>
                <w:szCs w:val="21"/>
              </w:rPr>
            </w:pPr>
          </w:p>
        </w:tc>
        <w:tc>
          <w:tcPr>
            <w:tcW w:w="635" w:type="dxa"/>
            <w:vMerge w:val="continue"/>
            <w:noWrap w:val="0"/>
            <w:vAlign w:val="center"/>
          </w:tcPr>
          <w:p w14:paraId="57773E32">
            <w:pPr>
              <w:ind w:left="-63" w:leftChars="-30" w:right="-63" w:rightChars="-30"/>
              <w:rPr>
                <w:rFonts w:ascii="楷体_GB2312" w:hAnsi="宋体" w:eastAsia="楷体_GB2312" w:cs="宋体"/>
                <w:color w:val="000000"/>
                <w:kern w:val="0"/>
                <w:szCs w:val="21"/>
              </w:rPr>
            </w:pPr>
          </w:p>
        </w:tc>
        <w:tc>
          <w:tcPr>
            <w:tcW w:w="567" w:type="dxa"/>
            <w:noWrap w:val="0"/>
            <w:vAlign w:val="center"/>
          </w:tcPr>
          <w:p w14:paraId="4F82B60D">
            <w:pPr>
              <w:ind w:left="-63" w:leftChars="-30" w:right="-63" w:rightChars="-30"/>
              <w:jc w:val="center"/>
              <w:rPr>
                <w:color w:val="000000"/>
                <w:kern w:val="0"/>
                <w:szCs w:val="21"/>
              </w:rPr>
            </w:pPr>
            <w:r>
              <w:rPr>
                <w:color w:val="000000"/>
                <w:kern w:val="0"/>
                <w:szCs w:val="21"/>
              </w:rPr>
              <w:t>2</w:t>
            </w:r>
          </w:p>
        </w:tc>
        <w:tc>
          <w:tcPr>
            <w:tcW w:w="4394" w:type="dxa"/>
            <w:noWrap w:val="0"/>
            <w:vAlign w:val="center"/>
          </w:tcPr>
          <w:p w14:paraId="6E94EA84">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东至梅城路，南至浍河，西至</w:t>
            </w:r>
            <w:r>
              <w:rPr>
                <w:rFonts w:eastAsia="楷体_GB2312"/>
                <w:color w:val="000000"/>
                <w:kern w:val="0"/>
                <w:szCs w:val="21"/>
              </w:rPr>
              <w:t>206</w:t>
            </w:r>
            <w:r>
              <w:rPr>
                <w:rFonts w:hint="eastAsia" w:ascii="楷体_GB2312" w:hAnsi="宋体" w:eastAsia="楷体_GB2312" w:cs="宋体"/>
                <w:color w:val="000000"/>
                <w:kern w:val="0"/>
                <w:szCs w:val="21"/>
              </w:rPr>
              <w:t>国道、老街路、文苑路、浍河，北至鸿鹄路</w:t>
            </w:r>
          </w:p>
        </w:tc>
        <w:tc>
          <w:tcPr>
            <w:tcW w:w="733" w:type="dxa"/>
            <w:noWrap w:val="0"/>
            <w:vAlign w:val="center"/>
          </w:tcPr>
          <w:p w14:paraId="7B7D8F00">
            <w:pPr>
              <w:ind w:left="-63" w:leftChars="-30" w:right="-63" w:rightChars="-30"/>
              <w:jc w:val="center"/>
              <w:rPr>
                <w:color w:val="000000"/>
                <w:kern w:val="0"/>
                <w:szCs w:val="21"/>
              </w:rPr>
            </w:pPr>
            <w:r>
              <w:rPr>
                <w:color w:val="000000"/>
                <w:kern w:val="0"/>
                <w:szCs w:val="21"/>
              </w:rPr>
              <w:t>0.98</w:t>
            </w:r>
          </w:p>
        </w:tc>
        <w:tc>
          <w:tcPr>
            <w:tcW w:w="685" w:type="dxa"/>
            <w:noWrap w:val="0"/>
            <w:vAlign w:val="center"/>
          </w:tcPr>
          <w:p w14:paraId="4E5E0901">
            <w:pPr>
              <w:ind w:left="-63" w:leftChars="-30" w:right="-63" w:rightChars="-30"/>
              <w:jc w:val="center"/>
              <w:rPr>
                <w:color w:val="000000"/>
                <w:kern w:val="0"/>
                <w:szCs w:val="21"/>
              </w:rPr>
            </w:pPr>
            <w:r>
              <w:rPr>
                <w:color w:val="000000"/>
                <w:kern w:val="0"/>
                <w:szCs w:val="21"/>
              </w:rPr>
              <w:t>95</w:t>
            </w:r>
          </w:p>
        </w:tc>
        <w:tc>
          <w:tcPr>
            <w:tcW w:w="836" w:type="dxa"/>
            <w:noWrap w:val="0"/>
            <w:vAlign w:val="center"/>
          </w:tcPr>
          <w:p w14:paraId="7A26A5D4">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5E0F2139">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18A033C5">
            <w:pPr>
              <w:ind w:left="-63" w:leftChars="-30" w:right="-63" w:rightChars="-30"/>
              <w:jc w:val="center"/>
              <w:rPr>
                <w:color w:val="000000"/>
                <w:kern w:val="0"/>
                <w:szCs w:val="21"/>
              </w:rPr>
            </w:pPr>
            <w:r>
              <w:rPr>
                <w:color w:val="000000"/>
                <w:kern w:val="0"/>
                <w:szCs w:val="21"/>
              </w:rPr>
              <w:t>30.85</w:t>
            </w:r>
          </w:p>
        </w:tc>
      </w:tr>
      <w:tr w14:paraId="5C42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737687CC">
            <w:pPr>
              <w:ind w:left="-63" w:leftChars="-30" w:right="-63" w:rightChars="-30"/>
              <w:rPr>
                <w:color w:val="000000"/>
                <w:kern w:val="0"/>
                <w:szCs w:val="21"/>
              </w:rPr>
            </w:pPr>
          </w:p>
        </w:tc>
        <w:tc>
          <w:tcPr>
            <w:tcW w:w="635" w:type="dxa"/>
            <w:vMerge w:val="continue"/>
            <w:noWrap w:val="0"/>
            <w:vAlign w:val="center"/>
          </w:tcPr>
          <w:p w14:paraId="38EC6FC1">
            <w:pPr>
              <w:ind w:left="-63" w:leftChars="-30" w:right="-63" w:rightChars="-30"/>
              <w:rPr>
                <w:rFonts w:ascii="楷体_GB2312" w:hAnsi="宋体" w:eastAsia="楷体_GB2312" w:cs="宋体"/>
                <w:color w:val="000000"/>
                <w:kern w:val="0"/>
                <w:szCs w:val="21"/>
              </w:rPr>
            </w:pPr>
          </w:p>
        </w:tc>
        <w:tc>
          <w:tcPr>
            <w:tcW w:w="567" w:type="dxa"/>
            <w:noWrap w:val="0"/>
            <w:vAlign w:val="center"/>
          </w:tcPr>
          <w:p w14:paraId="7D5ECD74">
            <w:pPr>
              <w:ind w:left="-63" w:leftChars="-30" w:right="-63" w:rightChars="-30"/>
              <w:jc w:val="center"/>
              <w:rPr>
                <w:color w:val="000000"/>
                <w:kern w:val="0"/>
                <w:szCs w:val="21"/>
              </w:rPr>
            </w:pPr>
            <w:r>
              <w:rPr>
                <w:color w:val="000000"/>
                <w:kern w:val="0"/>
                <w:szCs w:val="21"/>
              </w:rPr>
              <w:t>3</w:t>
            </w:r>
          </w:p>
        </w:tc>
        <w:tc>
          <w:tcPr>
            <w:tcW w:w="4394" w:type="dxa"/>
            <w:noWrap w:val="0"/>
            <w:vAlign w:val="center"/>
          </w:tcPr>
          <w:p w14:paraId="1CB8D8E5">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33" w:type="dxa"/>
            <w:noWrap w:val="0"/>
            <w:vAlign w:val="center"/>
          </w:tcPr>
          <w:p w14:paraId="1667DA4E">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4EB0C592">
            <w:pPr>
              <w:ind w:left="-63" w:leftChars="-30" w:right="-63" w:rightChars="-30"/>
              <w:jc w:val="center"/>
              <w:rPr>
                <w:color w:val="000000"/>
                <w:kern w:val="0"/>
                <w:szCs w:val="21"/>
              </w:rPr>
            </w:pPr>
            <w:r>
              <w:rPr>
                <w:color w:val="000000"/>
                <w:kern w:val="0"/>
                <w:szCs w:val="21"/>
              </w:rPr>
              <w:t>92</w:t>
            </w:r>
          </w:p>
        </w:tc>
        <w:tc>
          <w:tcPr>
            <w:tcW w:w="836" w:type="dxa"/>
            <w:noWrap w:val="0"/>
            <w:vAlign w:val="center"/>
          </w:tcPr>
          <w:p w14:paraId="4634B1C2">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5A200C66">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59408C76">
            <w:pPr>
              <w:ind w:left="-63" w:leftChars="-30" w:right="-63" w:rightChars="-30"/>
              <w:jc w:val="center"/>
              <w:rPr>
                <w:color w:val="000000"/>
                <w:kern w:val="0"/>
                <w:szCs w:val="21"/>
              </w:rPr>
            </w:pPr>
            <w:r>
              <w:rPr>
                <w:color w:val="000000"/>
                <w:kern w:val="0"/>
                <w:szCs w:val="21"/>
              </w:rPr>
              <w:t>28.96</w:t>
            </w:r>
          </w:p>
        </w:tc>
      </w:tr>
      <w:tr w14:paraId="36D02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noWrap w:val="0"/>
            <w:vAlign w:val="center"/>
          </w:tcPr>
          <w:p w14:paraId="0108842A">
            <w:pPr>
              <w:ind w:left="-63" w:leftChars="-30" w:right="-63" w:rightChars="-30"/>
              <w:jc w:val="center"/>
              <w:rPr>
                <w:color w:val="000000"/>
                <w:kern w:val="0"/>
                <w:szCs w:val="21"/>
              </w:rPr>
            </w:pPr>
            <w:r>
              <w:rPr>
                <w:color w:val="000000"/>
                <w:kern w:val="0"/>
                <w:szCs w:val="21"/>
              </w:rPr>
              <w:t>4</w:t>
            </w:r>
          </w:p>
        </w:tc>
        <w:tc>
          <w:tcPr>
            <w:tcW w:w="635" w:type="dxa"/>
            <w:vMerge w:val="restart"/>
            <w:noWrap w:val="0"/>
            <w:vAlign w:val="center"/>
          </w:tcPr>
          <w:p w14:paraId="5EC446FD">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芦岭镇</w:t>
            </w:r>
          </w:p>
        </w:tc>
        <w:tc>
          <w:tcPr>
            <w:tcW w:w="567" w:type="dxa"/>
            <w:noWrap w:val="0"/>
            <w:vAlign w:val="center"/>
          </w:tcPr>
          <w:p w14:paraId="0CF1B871">
            <w:pPr>
              <w:ind w:left="-63" w:leftChars="-30" w:right="-63" w:rightChars="-30"/>
              <w:jc w:val="center"/>
              <w:rPr>
                <w:color w:val="000000"/>
                <w:kern w:val="0"/>
                <w:szCs w:val="21"/>
              </w:rPr>
            </w:pPr>
            <w:r>
              <w:rPr>
                <w:color w:val="000000"/>
                <w:kern w:val="0"/>
                <w:szCs w:val="21"/>
              </w:rPr>
              <w:t>1</w:t>
            </w:r>
          </w:p>
        </w:tc>
        <w:tc>
          <w:tcPr>
            <w:tcW w:w="4394" w:type="dxa"/>
            <w:noWrap w:val="0"/>
            <w:vAlign w:val="center"/>
          </w:tcPr>
          <w:p w14:paraId="4771F227">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东至工人街，南至工农路，西至中心大街、振兴路，北至求学路、兴业路</w:t>
            </w:r>
          </w:p>
        </w:tc>
        <w:tc>
          <w:tcPr>
            <w:tcW w:w="733" w:type="dxa"/>
            <w:noWrap w:val="0"/>
            <w:vAlign w:val="center"/>
          </w:tcPr>
          <w:p w14:paraId="0AE15F8C">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028B3B6A">
            <w:pPr>
              <w:ind w:left="-63" w:leftChars="-30" w:right="-63" w:rightChars="-30"/>
              <w:jc w:val="center"/>
              <w:rPr>
                <w:color w:val="000000"/>
                <w:kern w:val="0"/>
                <w:szCs w:val="21"/>
              </w:rPr>
            </w:pPr>
            <w:r>
              <w:rPr>
                <w:color w:val="000000"/>
                <w:kern w:val="0"/>
                <w:szCs w:val="21"/>
              </w:rPr>
              <w:t>98</w:t>
            </w:r>
          </w:p>
        </w:tc>
        <w:tc>
          <w:tcPr>
            <w:tcW w:w="836" w:type="dxa"/>
            <w:noWrap w:val="0"/>
            <w:vAlign w:val="center"/>
          </w:tcPr>
          <w:p w14:paraId="316C2EF3">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4FACDA79">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7E2ED5BA">
            <w:pPr>
              <w:ind w:left="-63" w:leftChars="-30" w:right="-63" w:rightChars="-30"/>
              <w:jc w:val="center"/>
              <w:rPr>
                <w:color w:val="000000"/>
                <w:kern w:val="0"/>
                <w:szCs w:val="21"/>
              </w:rPr>
            </w:pPr>
            <w:r>
              <w:rPr>
                <w:color w:val="000000"/>
                <w:kern w:val="0"/>
                <w:szCs w:val="21"/>
              </w:rPr>
              <w:t>32.48</w:t>
            </w:r>
          </w:p>
        </w:tc>
      </w:tr>
      <w:tr w14:paraId="3BAC9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28B24D6C">
            <w:pPr>
              <w:ind w:left="-63" w:leftChars="-30" w:right="-63" w:rightChars="-30"/>
              <w:rPr>
                <w:color w:val="000000"/>
                <w:kern w:val="0"/>
                <w:szCs w:val="21"/>
              </w:rPr>
            </w:pPr>
          </w:p>
        </w:tc>
        <w:tc>
          <w:tcPr>
            <w:tcW w:w="635" w:type="dxa"/>
            <w:vMerge w:val="continue"/>
            <w:noWrap w:val="0"/>
            <w:vAlign w:val="center"/>
          </w:tcPr>
          <w:p w14:paraId="73580D2D">
            <w:pPr>
              <w:ind w:left="-63" w:leftChars="-30" w:right="-63" w:rightChars="-30"/>
              <w:rPr>
                <w:rFonts w:ascii="楷体_GB2312" w:hAnsi="宋体" w:eastAsia="楷体_GB2312" w:cs="宋体"/>
                <w:color w:val="000000"/>
                <w:kern w:val="0"/>
                <w:szCs w:val="21"/>
              </w:rPr>
            </w:pPr>
          </w:p>
        </w:tc>
        <w:tc>
          <w:tcPr>
            <w:tcW w:w="567" w:type="dxa"/>
            <w:noWrap w:val="0"/>
            <w:vAlign w:val="center"/>
          </w:tcPr>
          <w:p w14:paraId="49170152">
            <w:pPr>
              <w:ind w:left="-63" w:leftChars="-30" w:right="-63" w:rightChars="-30"/>
              <w:jc w:val="center"/>
              <w:rPr>
                <w:color w:val="000000"/>
                <w:kern w:val="0"/>
                <w:szCs w:val="21"/>
              </w:rPr>
            </w:pPr>
            <w:r>
              <w:rPr>
                <w:color w:val="000000"/>
                <w:kern w:val="0"/>
                <w:szCs w:val="21"/>
              </w:rPr>
              <w:t>2</w:t>
            </w:r>
          </w:p>
        </w:tc>
        <w:tc>
          <w:tcPr>
            <w:tcW w:w="4394" w:type="dxa"/>
            <w:noWrap w:val="0"/>
            <w:vAlign w:val="center"/>
          </w:tcPr>
          <w:p w14:paraId="53A13168">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东至学苑路、东城路，南至陵园路，西至环城路，北至富民路</w:t>
            </w:r>
          </w:p>
        </w:tc>
        <w:tc>
          <w:tcPr>
            <w:tcW w:w="733" w:type="dxa"/>
            <w:noWrap w:val="0"/>
            <w:vAlign w:val="center"/>
          </w:tcPr>
          <w:p w14:paraId="6D2751EF">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41C3E60B">
            <w:pPr>
              <w:ind w:left="-63" w:leftChars="-30" w:right="-63" w:rightChars="-30"/>
              <w:jc w:val="center"/>
              <w:rPr>
                <w:color w:val="000000"/>
                <w:kern w:val="0"/>
                <w:szCs w:val="21"/>
              </w:rPr>
            </w:pPr>
            <w:r>
              <w:rPr>
                <w:color w:val="000000"/>
                <w:kern w:val="0"/>
                <w:szCs w:val="21"/>
              </w:rPr>
              <w:t>95</w:t>
            </w:r>
          </w:p>
        </w:tc>
        <w:tc>
          <w:tcPr>
            <w:tcW w:w="836" w:type="dxa"/>
            <w:noWrap w:val="0"/>
            <w:vAlign w:val="center"/>
          </w:tcPr>
          <w:p w14:paraId="6B51B5D4">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313A4557">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0894E03D">
            <w:pPr>
              <w:ind w:left="-63" w:leftChars="-30" w:right="-63" w:rightChars="-30"/>
              <w:jc w:val="center"/>
              <w:rPr>
                <w:color w:val="000000"/>
                <w:kern w:val="0"/>
                <w:szCs w:val="21"/>
              </w:rPr>
            </w:pPr>
            <w:r>
              <w:rPr>
                <w:color w:val="000000"/>
                <w:kern w:val="0"/>
                <w:szCs w:val="21"/>
              </w:rPr>
              <w:t>29.91</w:t>
            </w:r>
          </w:p>
        </w:tc>
      </w:tr>
      <w:tr w14:paraId="0808A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3A969BF6">
            <w:pPr>
              <w:ind w:left="-63" w:leftChars="-30" w:right="-63" w:rightChars="-30"/>
              <w:rPr>
                <w:color w:val="000000"/>
                <w:kern w:val="0"/>
                <w:szCs w:val="21"/>
              </w:rPr>
            </w:pPr>
          </w:p>
        </w:tc>
        <w:tc>
          <w:tcPr>
            <w:tcW w:w="635" w:type="dxa"/>
            <w:vMerge w:val="continue"/>
            <w:noWrap w:val="0"/>
            <w:vAlign w:val="center"/>
          </w:tcPr>
          <w:p w14:paraId="1A0000A6">
            <w:pPr>
              <w:ind w:left="-63" w:leftChars="-30" w:right="-63" w:rightChars="-30"/>
              <w:rPr>
                <w:rFonts w:ascii="楷体_GB2312" w:hAnsi="宋体" w:eastAsia="楷体_GB2312" w:cs="宋体"/>
                <w:color w:val="000000"/>
                <w:kern w:val="0"/>
                <w:szCs w:val="21"/>
              </w:rPr>
            </w:pPr>
          </w:p>
        </w:tc>
        <w:tc>
          <w:tcPr>
            <w:tcW w:w="567" w:type="dxa"/>
            <w:noWrap w:val="0"/>
            <w:vAlign w:val="center"/>
          </w:tcPr>
          <w:p w14:paraId="45987EB4">
            <w:pPr>
              <w:ind w:left="-63" w:leftChars="-30" w:right="-63" w:rightChars="-30"/>
              <w:jc w:val="center"/>
              <w:rPr>
                <w:color w:val="000000"/>
                <w:kern w:val="0"/>
                <w:szCs w:val="21"/>
              </w:rPr>
            </w:pPr>
            <w:r>
              <w:rPr>
                <w:color w:val="000000"/>
                <w:kern w:val="0"/>
                <w:szCs w:val="21"/>
              </w:rPr>
              <w:t>3</w:t>
            </w:r>
          </w:p>
        </w:tc>
        <w:tc>
          <w:tcPr>
            <w:tcW w:w="4394" w:type="dxa"/>
            <w:noWrap w:val="0"/>
            <w:vAlign w:val="center"/>
          </w:tcPr>
          <w:p w14:paraId="18B89239">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33" w:type="dxa"/>
            <w:noWrap w:val="0"/>
            <w:vAlign w:val="center"/>
          </w:tcPr>
          <w:p w14:paraId="753D8B46">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55D4E819">
            <w:pPr>
              <w:ind w:left="-63" w:leftChars="-30" w:right="-63" w:rightChars="-30"/>
              <w:jc w:val="center"/>
              <w:rPr>
                <w:color w:val="000000"/>
                <w:kern w:val="0"/>
                <w:szCs w:val="21"/>
              </w:rPr>
            </w:pPr>
            <w:r>
              <w:rPr>
                <w:color w:val="000000"/>
                <w:kern w:val="0"/>
                <w:szCs w:val="21"/>
              </w:rPr>
              <w:t>92</w:t>
            </w:r>
          </w:p>
        </w:tc>
        <w:tc>
          <w:tcPr>
            <w:tcW w:w="836" w:type="dxa"/>
            <w:noWrap w:val="0"/>
            <w:vAlign w:val="center"/>
          </w:tcPr>
          <w:p w14:paraId="61E1FBD7">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119B7EE2">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5FF499C7">
            <w:pPr>
              <w:ind w:left="-63" w:leftChars="-30" w:right="-63" w:rightChars="-30"/>
              <w:jc w:val="center"/>
              <w:rPr>
                <w:color w:val="000000"/>
                <w:kern w:val="0"/>
                <w:szCs w:val="21"/>
              </w:rPr>
            </w:pPr>
            <w:r>
              <w:rPr>
                <w:color w:val="000000"/>
                <w:kern w:val="0"/>
                <w:szCs w:val="21"/>
              </w:rPr>
              <w:t>28.05</w:t>
            </w:r>
          </w:p>
        </w:tc>
      </w:tr>
      <w:tr w14:paraId="03C9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noWrap w:val="0"/>
            <w:vAlign w:val="center"/>
          </w:tcPr>
          <w:p w14:paraId="4AB0E689">
            <w:pPr>
              <w:ind w:left="-63" w:leftChars="-30" w:right="-63" w:rightChars="-30"/>
              <w:jc w:val="center"/>
              <w:rPr>
                <w:color w:val="000000"/>
                <w:kern w:val="0"/>
                <w:szCs w:val="21"/>
              </w:rPr>
            </w:pPr>
            <w:r>
              <w:rPr>
                <w:color w:val="000000"/>
                <w:kern w:val="0"/>
                <w:szCs w:val="21"/>
              </w:rPr>
              <w:t>5</w:t>
            </w:r>
          </w:p>
        </w:tc>
        <w:tc>
          <w:tcPr>
            <w:tcW w:w="635" w:type="dxa"/>
            <w:vMerge w:val="restart"/>
            <w:noWrap w:val="0"/>
            <w:vAlign w:val="center"/>
          </w:tcPr>
          <w:p w14:paraId="5E514EA6">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大店镇</w:t>
            </w:r>
          </w:p>
        </w:tc>
        <w:tc>
          <w:tcPr>
            <w:tcW w:w="567" w:type="dxa"/>
            <w:noWrap w:val="0"/>
            <w:vAlign w:val="center"/>
          </w:tcPr>
          <w:p w14:paraId="5B536144">
            <w:pPr>
              <w:ind w:left="-63" w:leftChars="-30" w:right="-63" w:rightChars="-30"/>
              <w:jc w:val="center"/>
              <w:rPr>
                <w:color w:val="000000"/>
                <w:kern w:val="0"/>
                <w:szCs w:val="21"/>
              </w:rPr>
            </w:pPr>
            <w:r>
              <w:rPr>
                <w:color w:val="000000"/>
                <w:kern w:val="0"/>
                <w:szCs w:val="21"/>
              </w:rPr>
              <w:t>1</w:t>
            </w:r>
          </w:p>
        </w:tc>
        <w:tc>
          <w:tcPr>
            <w:tcW w:w="4394" w:type="dxa"/>
            <w:noWrap w:val="0"/>
            <w:vAlign w:val="center"/>
          </w:tcPr>
          <w:p w14:paraId="08FBDEDB">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东至东昌路，南至静安路，西至西昌路，北至</w:t>
            </w:r>
            <w:r>
              <w:rPr>
                <w:rFonts w:eastAsia="楷体_GB2312"/>
                <w:color w:val="000000"/>
                <w:kern w:val="0"/>
                <w:szCs w:val="21"/>
              </w:rPr>
              <w:t>303</w:t>
            </w:r>
            <w:r>
              <w:rPr>
                <w:rFonts w:hint="eastAsia" w:ascii="楷体_GB2312" w:hAnsi="宋体" w:eastAsia="楷体_GB2312" w:cs="宋体"/>
                <w:color w:val="000000"/>
                <w:kern w:val="0"/>
                <w:szCs w:val="21"/>
              </w:rPr>
              <w:t>省道</w:t>
            </w:r>
          </w:p>
        </w:tc>
        <w:tc>
          <w:tcPr>
            <w:tcW w:w="733" w:type="dxa"/>
            <w:noWrap w:val="0"/>
            <w:vAlign w:val="center"/>
          </w:tcPr>
          <w:p w14:paraId="3788F67E">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394B8794">
            <w:pPr>
              <w:ind w:left="-63" w:leftChars="-30" w:right="-63" w:rightChars="-30"/>
              <w:jc w:val="center"/>
              <w:rPr>
                <w:color w:val="000000"/>
                <w:kern w:val="0"/>
                <w:szCs w:val="21"/>
              </w:rPr>
            </w:pPr>
            <w:r>
              <w:rPr>
                <w:color w:val="000000"/>
                <w:kern w:val="0"/>
                <w:szCs w:val="21"/>
              </w:rPr>
              <w:t>98</w:t>
            </w:r>
          </w:p>
        </w:tc>
        <w:tc>
          <w:tcPr>
            <w:tcW w:w="836" w:type="dxa"/>
            <w:noWrap w:val="0"/>
            <w:vAlign w:val="center"/>
          </w:tcPr>
          <w:p w14:paraId="246E94D5">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07075533">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44742162">
            <w:pPr>
              <w:ind w:left="-63" w:leftChars="-30" w:right="-63" w:rightChars="-30"/>
              <w:jc w:val="center"/>
              <w:rPr>
                <w:color w:val="000000"/>
                <w:kern w:val="0"/>
                <w:szCs w:val="21"/>
              </w:rPr>
            </w:pPr>
            <w:r>
              <w:rPr>
                <w:color w:val="000000"/>
                <w:kern w:val="0"/>
                <w:szCs w:val="21"/>
              </w:rPr>
              <w:t>32.48</w:t>
            </w:r>
          </w:p>
        </w:tc>
      </w:tr>
      <w:tr w14:paraId="7FEEB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044E245F">
            <w:pPr>
              <w:ind w:left="-63" w:leftChars="-30" w:right="-63" w:rightChars="-30"/>
              <w:rPr>
                <w:color w:val="000000"/>
                <w:kern w:val="0"/>
                <w:szCs w:val="21"/>
              </w:rPr>
            </w:pPr>
          </w:p>
        </w:tc>
        <w:tc>
          <w:tcPr>
            <w:tcW w:w="635" w:type="dxa"/>
            <w:vMerge w:val="continue"/>
            <w:noWrap w:val="0"/>
            <w:vAlign w:val="center"/>
          </w:tcPr>
          <w:p w14:paraId="43341BA6">
            <w:pPr>
              <w:ind w:left="-63" w:leftChars="-30" w:right="-63" w:rightChars="-30"/>
              <w:rPr>
                <w:rFonts w:ascii="楷体_GB2312" w:hAnsi="宋体" w:eastAsia="楷体_GB2312" w:cs="宋体"/>
                <w:color w:val="000000"/>
                <w:kern w:val="0"/>
                <w:szCs w:val="21"/>
              </w:rPr>
            </w:pPr>
          </w:p>
        </w:tc>
        <w:tc>
          <w:tcPr>
            <w:tcW w:w="567" w:type="dxa"/>
            <w:noWrap w:val="0"/>
            <w:vAlign w:val="center"/>
          </w:tcPr>
          <w:p w14:paraId="3BAB258C">
            <w:pPr>
              <w:ind w:left="-63" w:leftChars="-30" w:right="-63" w:rightChars="-30"/>
              <w:jc w:val="center"/>
              <w:rPr>
                <w:color w:val="000000"/>
                <w:kern w:val="0"/>
                <w:szCs w:val="21"/>
              </w:rPr>
            </w:pPr>
            <w:r>
              <w:rPr>
                <w:color w:val="000000"/>
                <w:kern w:val="0"/>
                <w:szCs w:val="21"/>
              </w:rPr>
              <w:t>2</w:t>
            </w:r>
          </w:p>
        </w:tc>
        <w:tc>
          <w:tcPr>
            <w:tcW w:w="4394" w:type="dxa"/>
            <w:noWrap w:val="0"/>
            <w:vAlign w:val="center"/>
          </w:tcPr>
          <w:p w14:paraId="6C927703">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东至滨水西路东侧水系，南至南一环路，西至幸福路、西昌路，北至</w:t>
            </w:r>
            <w:r>
              <w:rPr>
                <w:rFonts w:eastAsia="楷体_GB2312"/>
                <w:color w:val="000000"/>
                <w:kern w:val="0"/>
                <w:szCs w:val="21"/>
              </w:rPr>
              <w:t>303</w:t>
            </w:r>
            <w:r>
              <w:rPr>
                <w:rFonts w:hint="eastAsia" w:ascii="楷体_GB2312" w:hAnsi="宋体" w:eastAsia="楷体_GB2312" w:cs="宋体"/>
                <w:color w:val="000000"/>
                <w:kern w:val="0"/>
                <w:szCs w:val="21"/>
              </w:rPr>
              <w:t>省道</w:t>
            </w:r>
          </w:p>
        </w:tc>
        <w:tc>
          <w:tcPr>
            <w:tcW w:w="733" w:type="dxa"/>
            <w:noWrap w:val="0"/>
            <w:vAlign w:val="center"/>
          </w:tcPr>
          <w:p w14:paraId="5E69B09C">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7C557AFA">
            <w:pPr>
              <w:ind w:left="-63" w:leftChars="-30" w:right="-63" w:rightChars="-30"/>
              <w:jc w:val="center"/>
              <w:rPr>
                <w:color w:val="000000"/>
                <w:kern w:val="0"/>
                <w:szCs w:val="21"/>
              </w:rPr>
            </w:pPr>
            <w:r>
              <w:rPr>
                <w:color w:val="000000"/>
                <w:kern w:val="0"/>
                <w:szCs w:val="21"/>
              </w:rPr>
              <w:t>95</w:t>
            </w:r>
          </w:p>
        </w:tc>
        <w:tc>
          <w:tcPr>
            <w:tcW w:w="836" w:type="dxa"/>
            <w:noWrap w:val="0"/>
            <w:vAlign w:val="center"/>
          </w:tcPr>
          <w:p w14:paraId="1B6D9ED6">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2C658258">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5E3469E9">
            <w:pPr>
              <w:ind w:left="-63" w:leftChars="-30" w:right="-63" w:rightChars="-30"/>
              <w:jc w:val="center"/>
              <w:rPr>
                <w:color w:val="000000"/>
                <w:kern w:val="0"/>
                <w:szCs w:val="21"/>
              </w:rPr>
            </w:pPr>
            <w:r>
              <w:rPr>
                <w:color w:val="000000"/>
                <w:kern w:val="0"/>
                <w:szCs w:val="21"/>
              </w:rPr>
              <w:t>29.91</w:t>
            </w:r>
          </w:p>
        </w:tc>
      </w:tr>
      <w:tr w14:paraId="3CAC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7D83491A">
            <w:pPr>
              <w:ind w:left="-63" w:leftChars="-30" w:right="-63" w:rightChars="-30"/>
              <w:rPr>
                <w:color w:val="000000"/>
                <w:kern w:val="0"/>
                <w:szCs w:val="21"/>
              </w:rPr>
            </w:pPr>
          </w:p>
        </w:tc>
        <w:tc>
          <w:tcPr>
            <w:tcW w:w="635" w:type="dxa"/>
            <w:vMerge w:val="continue"/>
            <w:noWrap w:val="0"/>
            <w:vAlign w:val="center"/>
          </w:tcPr>
          <w:p w14:paraId="232DC394">
            <w:pPr>
              <w:ind w:left="-63" w:leftChars="-30" w:right="-63" w:rightChars="-30"/>
              <w:rPr>
                <w:rFonts w:ascii="楷体_GB2312" w:hAnsi="宋体" w:eastAsia="楷体_GB2312" w:cs="宋体"/>
                <w:color w:val="000000"/>
                <w:kern w:val="0"/>
                <w:szCs w:val="21"/>
              </w:rPr>
            </w:pPr>
          </w:p>
        </w:tc>
        <w:tc>
          <w:tcPr>
            <w:tcW w:w="567" w:type="dxa"/>
            <w:noWrap w:val="0"/>
            <w:vAlign w:val="center"/>
          </w:tcPr>
          <w:p w14:paraId="6917B39E">
            <w:pPr>
              <w:ind w:left="-63" w:leftChars="-30" w:right="-63" w:rightChars="-30"/>
              <w:jc w:val="center"/>
              <w:rPr>
                <w:color w:val="000000"/>
                <w:kern w:val="0"/>
                <w:szCs w:val="21"/>
              </w:rPr>
            </w:pPr>
            <w:r>
              <w:rPr>
                <w:color w:val="000000"/>
                <w:kern w:val="0"/>
                <w:szCs w:val="21"/>
              </w:rPr>
              <w:t>3</w:t>
            </w:r>
          </w:p>
        </w:tc>
        <w:tc>
          <w:tcPr>
            <w:tcW w:w="4394" w:type="dxa"/>
            <w:noWrap w:val="0"/>
            <w:vAlign w:val="center"/>
          </w:tcPr>
          <w:p w14:paraId="0CFD664C">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33" w:type="dxa"/>
            <w:noWrap w:val="0"/>
            <w:vAlign w:val="center"/>
          </w:tcPr>
          <w:p w14:paraId="0CC527C1">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5F8DEE1D">
            <w:pPr>
              <w:ind w:left="-63" w:leftChars="-30" w:right="-63" w:rightChars="-30"/>
              <w:jc w:val="center"/>
              <w:rPr>
                <w:color w:val="000000"/>
                <w:kern w:val="0"/>
                <w:szCs w:val="21"/>
              </w:rPr>
            </w:pPr>
            <w:r>
              <w:rPr>
                <w:color w:val="000000"/>
                <w:kern w:val="0"/>
                <w:szCs w:val="21"/>
              </w:rPr>
              <w:t>92</w:t>
            </w:r>
          </w:p>
        </w:tc>
        <w:tc>
          <w:tcPr>
            <w:tcW w:w="836" w:type="dxa"/>
            <w:noWrap w:val="0"/>
            <w:vAlign w:val="center"/>
          </w:tcPr>
          <w:p w14:paraId="2EAB597E">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18B771AA">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5BD2E8D6">
            <w:pPr>
              <w:ind w:left="-63" w:leftChars="-30" w:right="-63" w:rightChars="-30"/>
              <w:jc w:val="center"/>
              <w:rPr>
                <w:color w:val="000000"/>
                <w:kern w:val="0"/>
                <w:szCs w:val="21"/>
              </w:rPr>
            </w:pPr>
            <w:r>
              <w:rPr>
                <w:color w:val="000000"/>
                <w:kern w:val="0"/>
                <w:szCs w:val="21"/>
              </w:rPr>
              <w:t>28.05</w:t>
            </w:r>
          </w:p>
        </w:tc>
      </w:tr>
      <w:tr w14:paraId="5974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noWrap w:val="0"/>
            <w:vAlign w:val="center"/>
          </w:tcPr>
          <w:p w14:paraId="12FCD55E">
            <w:pPr>
              <w:ind w:left="-63" w:leftChars="-30" w:right="-63" w:rightChars="-30"/>
              <w:jc w:val="center"/>
              <w:rPr>
                <w:color w:val="000000"/>
                <w:kern w:val="0"/>
                <w:szCs w:val="21"/>
              </w:rPr>
            </w:pPr>
            <w:r>
              <w:rPr>
                <w:color w:val="000000"/>
                <w:kern w:val="0"/>
                <w:szCs w:val="21"/>
              </w:rPr>
              <w:t>6</w:t>
            </w:r>
          </w:p>
        </w:tc>
        <w:tc>
          <w:tcPr>
            <w:tcW w:w="635" w:type="dxa"/>
            <w:vMerge w:val="restart"/>
            <w:noWrap w:val="0"/>
            <w:vAlign w:val="center"/>
          </w:tcPr>
          <w:p w14:paraId="15E5A808">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栏杆镇</w:t>
            </w:r>
          </w:p>
        </w:tc>
        <w:tc>
          <w:tcPr>
            <w:tcW w:w="567" w:type="dxa"/>
            <w:noWrap w:val="0"/>
            <w:vAlign w:val="center"/>
          </w:tcPr>
          <w:p w14:paraId="329E03F0">
            <w:pPr>
              <w:ind w:left="-63" w:leftChars="-30" w:right="-63" w:rightChars="-30"/>
              <w:jc w:val="center"/>
              <w:rPr>
                <w:color w:val="000000"/>
                <w:kern w:val="0"/>
                <w:szCs w:val="21"/>
              </w:rPr>
            </w:pPr>
            <w:r>
              <w:rPr>
                <w:color w:val="000000"/>
                <w:kern w:val="0"/>
                <w:szCs w:val="21"/>
              </w:rPr>
              <w:t>1</w:t>
            </w:r>
          </w:p>
        </w:tc>
        <w:tc>
          <w:tcPr>
            <w:tcW w:w="4394" w:type="dxa"/>
            <w:noWrap w:val="0"/>
            <w:vAlign w:val="center"/>
          </w:tcPr>
          <w:p w14:paraId="32C3D430">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东至曹栏路，南至纳福路、振兴路，西至滨河东路，北至宜居路</w:t>
            </w:r>
          </w:p>
        </w:tc>
        <w:tc>
          <w:tcPr>
            <w:tcW w:w="733" w:type="dxa"/>
            <w:noWrap w:val="0"/>
            <w:vAlign w:val="center"/>
          </w:tcPr>
          <w:p w14:paraId="5416AB3A">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7DAE1E7D">
            <w:pPr>
              <w:ind w:left="-63" w:leftChars="-30" w:right="-63" w:rightChars="-30"/>
              <w:jc w:val="center"/>
              <w:rPr>
                <w:color w:val="000000"/>
                <w:kern w:val="0"/>
                <w:szCs w:val="21"/>
              </w:rPr>
            </w:pPr>
            <w:r>
              <w:rPr>
                <w:color w:val="000000"/>
                <w:kern w:val="0"/>
                <w:szCs w:val="21"/>
              </w:rPr>
              <w:t>98</w:t>
            </w:r>
          </w:p>
        </w:tc>
        <w:tc>
          <w:tcPr>
            <w:tcW w:w="836" w:type="dxa"/>
            <w:noWrap w:val="0"/>
            <w:vAlign w:val="center"/>
          </w:tcPr>
          <w:p w14:paraId="08BB4EA9">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756F748B">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07FD813B">
            <w:pPr>
              <w:ind w:left="-63" w:leftChars="-30" w:right="-63" w:rightChars="-30"/>
              <w:jc w:val="center"/>
              <w:rPr>
                <w:color w:val="000000"/>
                <w:kern w:val="0"/>
                <w:szCs w:val="21"/>
              </w:rPr>
            </w:pPr>
            <w:r>
              <w:rPr>
                <w:color w:val="000000"/>
                <w:kern w:val="0"/>
                <w:szCs w:val="21"/>
              </w:rPr>
              <w:t>32.48</w:t>
            </w:r>
          </w:p>
        </w:tc>
      </w:tr>
      <w:tr w14:paraId="6CB6C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9" w:hRule="atLeast"/>
          <w:jc w:val="center"/>
        </w:trPr>
        <w:tc>
          <w:tcPr>
            <w:tcW w:w="0" w:type="auto"/>
            <w:vMerge w:val="continue"/>
            <w:noWrap w:val="0"/>
            <w:vAlign w:val="center"/>
          </w:tcPr>
          <w:p w14:paraId="43F545DF">
            <w:pPr>
              <w:ind w:left="-63" w:leftChars="-30" w:right="-63" w:rightChars="-30"/>
              <w:rPr>
                <w:color w:val="000000"/>
                <w:kern w:val="0"/>
                <w:szCs w:val="21"/>
              </w:rPr>
            </w:pPr>
          </w:p>
        </w:tc>
        <w:tc>
          <w:tcPr>
            <w:tcW w:w="635" w:type="dxa"/>
            <w:vMerge w:val="continue"/>
            <w:noWrap w:val="0"/>
            <w:vAlign w:val="center"/>
          </w:tcPr>
          <w:p w14:paraId="6848A50F">
            <w:pPr>
              <w:ind w:left="-63" w:leftChars="-30" w:right="-63" w:rightChars="-30"/>
              <w:rPr>
                <w:rFonts w:ascii="楷体_GB2312" w:hAnsi="宋体" w:eastAsia="楷体_GB2312" w:cs="宋体"/>
                <w:color w:val="000000"/>
                <w:kern w:val="0"/>
                <w:szCs w:val="21"/>
              </w:rPr>
            </w:pPr>
          </w:p>
        </w:tc>
        <w:tc>
          <w:tcPr>
            <w:tcW w:w="567" w:type="dxa"/>
            <w:noWrap w:val="0"/>
            <w:vAlign w:val="center"/>
          </w:tcPr>
          <w:p w14:paraId="087328B0">
            <w:pPr>
              <w:ind w:left="-63" w:leftChars="-30" w:right="-63" w:rightChars="-30"/>
              <w:jc w:val="center"/>
              <w:rPr>
                <w:color w:val="000000"/>
                <w:kern w:val="0"/>
                <w:szCs w:val="21"/>
              </w:rPr>
            </w:pPr>
            <w:r>
              <w:rPr>
                <w:color w:val="000000"/>
                <w:kern w:val="0"/>
                <w:szCs w:val="21"/>
              </w:rPr>
              <w:t>2</w:t>
            </w:r>
          </w:p>
        </w:tc>
        <w:tc>
          <w:tcPr>
            <w:tcW w:w="4394" w:type="dxa"/>
            <w:noWrap w:val="0"/>
            <w:vAlign w:val="center"/>
          </w:tcPr>
          <w:p w14:paraId="3D39B92D">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区域一：东至文明路、格致路，南至科技大道，西至滨河东路，北至德高路、北环路</w:t>
            </w:r>
          </w:p>
          <w:p w14:paraId="52596AB6">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区域二：东至滨河西路，南至迎朋路，西至亲民路，北至</w:t>
            </w:r>
            <w:r>
              <w:rPr>
                <w:rFonts w:eastAsia="楷体_GB2312"/>
                <w:color w:val="000000"/>
                <w:kern w:val="0"/>
                <w:szCs w:val="21"/>
              </w:rPr>
              <w:t>040</w:t>
            </w:r>
            <w:r>
              <w:rPr>
                <w:rFonts w:hint="eastAsia" w:ascii="楷体_GB2312" w:hAnsi="宋体" w:eastAsia="楷体_GB2312" w:cs="宋体"/>
                <w:color w:val="000000"/>
                <w:kern w:val="0"/>
                <w:szCs w:val="21"/>
              </w:rPr>
              <w:t>乡道</w:t>
            </w:r>
          </w:p>
        </w:tc>
        <w:tc>
          <w:tcPr>
            <w:tcW w:w="733" w:type="dxa"/>
            <w:noWrap w:val="0"/>
            <w:vAlign w:val="center"/>
          </w:tcPr>
          <w:p w14:paraId="2E81C0A6">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3FA35E32">
            <w:pPr>
              <w:ind w:left="-63" w:leftChars="-30" w:right="-63" w:rightChars="-30"/>
              <w:jc w:val="center"/>
              <w:rPr>
                <w:color w:val="000000"/>
                <w:kern w:val="0"/>
                <w:szCs w:val="21"/>
              </w:rPr>
            </w:pPr>
            <w:r>
              <w:rPr>
                <w:color w:val="000000"/>
                <w:kern w:val="0"/>
                <w:szCs w:val="21"/>
              </w:rPr>
              <w:t>95</w:t>
            </w:r>
          </w:p>
        </w:tc>
        <w:tc>
          <w:tcPr>
            <w:tcW w:w="836" w:type="dxa"/>
            <w:noWrap w:val="0"/>
            <w:vAlign w:val="center"/>
          </w:tcPr>
          <w:p w14:paraId="21022001">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39D8A5EE">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596B33D1">
            <w:pPr>
              <w:ind w:left="-63" w:leftChars="-30" w:right="-63" w:rightChars="-30"/>
              <w:jc w:val="center"/>
              <w:rPr>
                <w:color w:val="000000"/>
                <w:kern w:val="0"/>
                <w:szCs w:val="21"/>
              </w:rPr>
            </w:pPr>
            <w:r>
              <w:rPr>
                <w:color w:val="000000"/>
                <w:kern w:val="0"/>
                <w:szCs w:val="21"/>
              </w:rPr>
              <w:t>29.91</w:t>
            </w:r>
          </w:p>
        </w:tc>
      </w:tr>
      <w:tr w14:paraId="2E7CF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1C273B6F">
            <w:pPr>
              <w:ind w:left="-63" w:leftChars="-30" w:right="-63" w:rightChars="-30"/>
              <w:rPr>
                <w:color w:val="000000"/>
                <w:kern w:val="0"/>
                <w:szCs w:val="21"/>
              </w:rPr>
            </w:pPr>
          </w:p>
        </w:tc>
        <w:tc>
          <w:tcPr>
            <w:tcW w:w="635" w:type="dxa"/>
            <w:vMerge w:val="continue"/>
            <w:noWrap w:val="0"/>
            <w:vAlign w:val="center"/>
          </w:tcPr>
          <w:p w14:paraId="3E04316D">
            <w:pPr>
              <w:ind w:left="-63" w:leftChars="-30" w:right="-63" w:rightChars="-30"/>
              <w:rPr>
                <w:rFonts w:ascii="楷体_GB2312" w:hAnsi="宋体" w:eastAsia="楷体_GB2312" w:cs="宋体"/>
                <w:color w:val="000000"/>
                <w:kern w:val="0"/>
                <w:szCs w:val="21"/>
              </w:rPr>
            </w:pPr>
          </w:p>
        </w:tc>
        <w:tc>
          <w:tcPr>
            <w:tcW w:w="567" w:type="dxa"/>
            <w:noWrap w:val="0"/>
            <w:vAlign w:val="center"/>
          </w:tcPr>
          <w:p w14:paraId="187AB249">
            <w:pPr>
              <w:ind w:left="-63" w:leftChars="-30" w:right="-63" w:rightChars="-30"/>
              <w:jc w:val="center"/>
              <w:rPr>
                <w:color w:val="000000"/>
                <w:kern w:val="0"/>
                <w:szCs w:val="21"/>
              </w:rPr>
            </w:pPr>
            <w:r>
              <w:rPr>
                <w:color w:val="000000"/>
                <w:kern w:val="0"/>
                <w:szCs w:val="21"/>
              </w:rPr>
              <w:t>3</w:t>
            </w:r>
          </w:p>
        </w:tc>
        <w:tc>
          <w:tcPr>
            <w:tcW w:w="4394" w:type="dxa"/>
            <w:noWrap w:val="0"/>
            <w:vAlign w:val="center"/>
          </w:tcPr>
          <w:p w14:paraId="4FCB6245">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33" w:type="dxa"/>
            <w:noWrap w:val="0"/>
            <w:vAlign w:val="center"/>
          </w:tcPr>
          <w:p w14:paraId="21BEB05F">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4BC3EB89">
            <w:pPr>
              <w:ind w:left="-63" w:leftChars="-30" w:right="-63" w:rightChars="-30"/>
              <w:jc w:val="center"/>
              <w:rPr>
                <w:color w:val="000000"/>
                <w:kern w:val="0"/>
                <w:szCs w:val="21"/>
              </w:rPr>
            </w:pPr>
            <w:r>
              <w:rPr>
                <w:color w:val="000000"/>
                <w:kern w:val="0"/>
                <w:szCs w:val="21"/>
              </w:rPr>
              <w:t>92</w:t>
            </w:r>
          </w:p>
        </w:tc>
        <w:tc>
          <w:tcPr>
            <w:tcW w:w="836" w:type="dxa"/>
            <w:noWrap w:val="0"/>
            <w:vAlign w:val="center"/>
          </w:tcPr>
          <w:p w14:paraId="53D8517B">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43FC82E3">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2CC77CF7">
            <w:pPr>
              <w:ind w:left="-63" w:leftChars="-30" w:right="-63" w:rightChars="-30"/>
              <w:jc w:val="center"/>
              <w:rPr>
                <w:color w:val="000000"/>
                <w:kern w:val="0"/>
                <w:szCs w:val="21"/>
              </w:rPr>
            </w:pPr>
            <w:r>
              <w:rPr>
                <w:color w:val="000000"/>
                <w:kern w:val="0"/>
                <w:szCs w:val="21"/>
              </w:rPr>
              <w:t>28.05</w:t>
            </w:r>
          </w:p>
        </w:tc>
      </w:tr>
      <w:tr w14:paraId="1BE6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noWrap w:val="0"/>
            <w:vAlign w:val="center"/>
          </w:tcPr>
          <w:p w14:paraId="08DE81A5">
            <w:pPr>
              <w:ind w:left="-63" w:leftChars="-30" w:right="-63" w:rightChars="-30"/>
              <w:jc w:val="center"/>
              <w:rPr>
                <w:color w:val="000000"/>
                <w:kern w:val="0"/>
                <w:szCs w:val="21"/>
              </w:rPr>
            </w:pPr>
            <w:r>
              <w:rPr>
                <w:color w:val="000000"/>
                <w:kern w:val="0"/>
                <w:szCs w:val="21"/>
              </w:rPr>
              <w:t>7</w:t>
            </w:r>
          </w:p>
        </w:tc>
        <w:tc>
          <w:tcPr>
            <w:tcW w:w="635" w:type="dxa"/>
            <w:vMerge w:val="restart"/>
            <w:noWrap w:val="0"/>
            <w:vAlign w:val="center"/>
          </w:tcPr>
          <w:p w14:paraId="21116E68">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时村镇</w:t>
            </w:r>
          </w:p>
        </w:tc>
        <w:tc>
          <w:tcPr>
            <w:tcW w:w="567" w:type="dxa"/>
            <w:noWrap w:val="0"/>
            <w:vAlign w:val="center"/>
          </w:tcPr>
          <w:p w14:paraId="1A5EECEB">
            <w:pPr>
              <w:ind w:left="-63" w:leftChars="-30" w:right="-63" w:rightChars="-30"/>
              <w:jc w:val="center"/>
              <w:rPr>
                <w:color w:val="000000"/>
                <w:kern w:val="0"/>
                <w:szCs w:val="21"/>
              </w:rPr>
            </w:pPr>
            <w:r>
              <w:rPr>
                <w:color w:val="000000"/>
                <w:kern w:val="0"/>
                <w:szCs w:val="21"/>
              </w:rPr>
              <w:t>1</w:t>
            </w:r>
          </w:p>
        </w:tc>
        <w:tc>
          <w:tcPr>
            <w:tcW w:w="4394" w:type="dxa"/>
            <w:noWrap w:val="0"/>
            <w:vAlign w:val="center"/>
          </w:tcPr>
          <w:p w14:paraId="0F544B25">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东至时东路，南至</w:t>
            </w:r>
            <w:r>
              <w:rPr>
                <w:rFonts w:eastAsia="楷体_GB2312"/>
                <w:color w:val="000000"/>
                <w:kern w:val="0"/>
                <w:szCs w:val="21"/>
              </w:rPr>
              <w:t>302</w:t>
            </w:r>
            <w:r>
              <w:rPr>
                <w:rFonts w:hint="eastAsia" w:ascii="楷体_GB2312" w:hAnsi="宋体" w:eastAsia="楷体_GB2312" w:cs="宋体"/>
                <w:color w:val="000000"/>
                <w:kern w:val="0"/>
                <w:szCs w:val="21"/>
              </w:rPr>
              <w:t>省道，西至西园路，北至创新大道</w:t>
            </w:r>
          </w:p>
        </w:tc>
        <w:tc>
          <w:tcPr>
            <w:tcW w:w="733" w:type="dxa"/>
            <w:noWrap w:val="0"/>
            <w:vAlign w:val="center"/>
          </w:tcPr>
          <w:p w14:paraId="34FB9347">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4E1179A9">
            <w:pPr>
              <w:ind w:left="-63" w:leftChars="-30" w:right="-63" w:rightChars="-30"/>
              <w:jc w:val="center"/>
              <w:rPr>
                <w:color w:val="000000"/>
                <w:kern w:val="0"/>
                <w:szCs w:val="21"/>
              </w:rPr>
            </w:pPr>
            <w:r>
              <w:rPr>
                <w:color w:val="000000"/>
                <w:kern w:val="0"/>
                <w:szCs w:val="21"/>
              </w:rPr>
              <w:t>98</w:t>
            </w:r>
          </w:p>
        </w:tc>
        <w:tc>
          <w:tcPr>
            <w:tcW w:w="836" w:type="dxa"/>
            <w:noWrap w:val="0"/>
            <w:vAlign w:val="center"/>
          </w:tcPr>
          <w:p w14:paraId="7DD9AD57">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0F92A6BC">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002895EF">
            <w:pPr>
              <w:ind w:left="-63" w:leftChars="-30" w:right="-63" w:rightChars="-30"/>
              <w:jc w:val="center"/>
              <w:rPr>
                <w:color w:val="000000"/>
                <w:kern w:val="0"/>
                <w:szCs w:val="21"/>
              </w:rPr>
            </w:pPr>
            <w:r>
              <w:rPr>
                <w:color w:val="000000"/>
                <w:kern w:val="0"/>
                <w:szCs w:val="21"/>
              </w:rPr>
              <w:t>32.48</w:t>
            </w:r>
          </w:p>
        </w:tc>
      </w:tr>
      <w:tr w14:paraId="4D19F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19B322C7">
            <w:pPr>
              <w:ind w:left="-63" w:leftChars="-30" w:right="-63" w:rightChars="-30"/>
              <w:rPr>
                <w:color w:val="000000"/>
                <w:kern w:val="0"/>
                <w:szCs w:val="21"/>
              </w:rPr>
            </w:pPr>
          </w:p>
        </w:tc>
        <w:tc>
          <w:tcPr>
            <w:tcW w:w="635" w:type="dxa"/>
            <w:vMerge w:val="continue"/>
            <w:noWrap w:val="0"/>
            <w:vAlign w:val="center"/>
          </w:tcPr>
          <w:p w14:paraId="5FAE5781">
            <w:pPr>
              <w:ind w:left="-63" w:leftChars="-30" w:right="-63" w:rightChars="-30"/>
              <w:rPr>
                <w:rFonts w:ascii="楷体_GB2312" w:hAnsi="宋体" w:eastAsia="楷体_GB2312" w:cs="宋体"/>
                <w:color w:val="000000"/>
                <w:kern w:val="0"/>
                <w:szCs w:val="21"/>
              </w:rPr>
            </w:pPr>
          </w:p>
        </w:tc>
        <w:tc>
          <w:tcPr>
            <w:tcW w:w="567" w:type="dxa"/>
            <w:noWrap w:val="0"/>
            <w:vAlign w:val="center"/>
          </w:tcPr>
          <w:p w14:paraId="17F4CC0D">
            <w:pPr>
              <w:ind w:left="-63" w:leftChars="-30" w:right="-63" w:rightChars="-30"/>
              <w:jc w:val="center"/>
              <w:rPr>
                <w:color w:val="000000"/>
                <w:kern w:val="0"/>
                <w:szCs w:val="21"/>
              </w:rPr>
            </w:pPr>
            <w:r>
              <w:rPr>
                <w:color w:val="000000"/>
                <w:kern w:val="0"/>
                <w:szCs w:val="21"/>
              </w:rPr>
              <w:t>2</w:t>
            </w:r>
          </w:p>
        </w:tc>
        <w:tc>
          <w:tcPr>
            <w:tcW w:w="4394" w:type="dxa"/>
            <w:noWrap w:val="0"/>
            <w:vAlign w:val="center"/>
          </w:tcPr>
          <w:p w14:paraId="50F1F6DF">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东至时村中心学校东侧道路、环城东路西侧道路，南至环城南路，西至时西路，北至时北路</w:t>
            </w:r>
          </w:p>
        </w:tc>
        <w:tc>
          <w:tcPr>
            <w:tcW w:w="733" w:type="dxa"/>
            <w:noWrap w:val="0"/>
            <w:vAlign w:val="center"/>
          </w:tcPr>
          <w:p w14:paraId="77925A9D">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44750BD7">
            <w:pPr>
              <w:ind w:left="-63" w:leftChars="-30" w:right="-63" w:rightChars="-30"/>
              <w:jc w:val="center"/>
              <w:rPr>
                <w:color w:val="000000"/>
                <w:kern w:val="0"/>
                <w:szCs w:val="21"/>
              </w:rPr>
            </w:pPr>
            <w:r>
              <w:rPr>
                <w:color w:val="000000"/>
                <w:kern w:val="0"/>
                <w:szCs w:val="21"/>
              </w:rPr>
              <w:t>95</w:t>
            </w:r>
          </w:p>
        </w:tc>
        <w:tc>
          <w:tcPr>
            <w:tcW w:w="836" w:type="dxa"/>
            <w:noWrap w:val="0"/>
            <w:vAlign w:val="center"/>
          </w:tcPr>
          <w:p w14:paraId="55C14770">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39518440">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4378BF40">
            <w:pPr>
              <w:ind w:left="-63" w:leftChars="-30" w:right="-63" w:rightChars="-30"/>
              <w:jc w:val="center"/>
              <w:rPr>
                <w:color w:val="000000"/>
                <w:kern w:val="0"/>
                <w:szCs w:val="21"/>
              </w:rPr>
            </w:pPr>
            <w:r>
              <w:rPr>
                <w:color w:val="000000"/>
                <w:kern w:val="0"/>
                <w:szCs w:val="21"/>
              </w:rPr>
              <w:t>29.91</w:t>
            </w:r>
          </w:p>
        </w:tc>
      </w:tr>
      <w:tr w14:paraId="5BA13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36F84640">
            <w:pPr>
              <w:ind w:left="-63" w:leftChars="-30" w:right="-63" w:rightChars="-30"/>
              <w:rPr>
                <w:color w:val="000000"/>
                <w:kern w:val="0"/>
                <w:szCs w:val="21"/>
              </w:rPr>
            </w:pPr>
          </w:p>
        </w:tc>
        <w:tc>
          <w:tcPr>
            <w:tcW w:w="635" w:type="dxa"/>
            <w:vMerge w:val="continue"/>
            <w:noWrap w:val="0"/>
            <w:vAlign w:val="center"/>
          </w:tcPr>
          <w:p w14:paraId="187CE17F">
            <w:pPr>
              <w:ind w:left="-63" w:leftChars="-30" w:right="-63" w:rightChars="-30"/>
              <w:rPr>
                <w:rFonts w:ascii="楷体_GB2312" w:hAnsi="宋体" w:eastAsia="楷体_GB2312" w:cs="宋体"/>
                <w:color w:val="000000"/>
                <w:kern w:val="0"/>
                <w:szCs w:val="21"/>
              </w:rPr>
            </w:pPr>
          </w:p>
        </w:tc>
        <w:tc>
          <w:tcPr>
            <w:tcW w:w="567" w:type="dxa"/>
            <w:noWrap w:val="0"/>
            <w:vAlign w:val="center"/>
          </w:tcPr>
          <w:p w14:paraId="58E60D8D">
            <w:pPr>
              <w:ind w:left="-63" w:leftChars="-30" w:right="-63" w:rightChars="-30"/>
              <w:jc w:val="center"/>
              <w:rPr>
                <w:color w:val="000000"/>
                <w:kern w:val="0"/>
                <w:szCs w:val="21"/>
              </w:rPr>
            </w:pPr>
            <w:r>
              <w:rPr>
                <w:color w:val="000000"/>
                <w:kern w:val="0"/>
                <w:szCs w:val="21"/>
              </w:rPr>
              <w:t>3</w:t>
            </w:r>
          </w:p>
        </w:tc>
        <w:tc>
          <w:tcPr>
            <w:tcW w:w="4394" w:type="dxa"/>
            <w:noWrap w:val="0"/>
            <w:vAlign w:val="center"/>
          </w:tcPr>
          <w:p w14:paraId="016C7CFD">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33" w:type="dxa"/>
            <w:noWrap w:val="0"/>
            <w:vAlign w:val="center"/>
          </w:tcPr>
          <w:p w14:paraId="60DA06AF">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64F0B54B">
            <w:pPr>
              <w:ind w:left="-63" w:leftChars="-30" w:right="-63" w:rightChars="-30"/>
              <w:jc w:val="center"/>
              <w:rPr>
                <w:color w:val="000000"/>
                <w:kern w:val="0"/>
                <w:szCs w:val="21"/>
              </w:rPr>
            </w:pPr>
            <w:r>
              <w:rPr>
                <w:color w:val="000000"/>
                <w:kern w:val="0"/>
                <w:szCs w:val="21"/>
              </w:rPr>
              <w:t>92</w:t>
            </w:r>
          </w:p>
        </w:tc>
        <w:tc>
          <w:tcPr>
            <w:tcW w:w="836" w:type="dxa"/>
            <w:noWrap w:val="0"/>
            <w:vAlign w:val="center"/>
          </w:tcPr>
          <w:p w14:paraId="035FC1DC">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4BE635A2">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750365AB">
            <w:pPr>
              <w:ind w:left="-63" w:leftChars="-30" w:right="-63" w:rightChars="-30"/>
              <w:jc w:val="center"/>
              <w:rPr>
                <w:color w:val="000000"/>
                <w:kern w:val="0"/>
                <w:szCs w:val="21"/>
              </w:rPr>
            </w:pPr>
            <w:r>
              <w:rPr>
                <w:color w:val="000000"/>
                <w:kern w:val="0"/>
                <w:szCs w:val="21"/>
              </w:rPr>
              <w:t>28.05</w:t>
            </w:r>
          </w:p>
        </w:tc>
      </w:tr>
      <w:tr w14:paraId="6323A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noWrap w:val="0"/>
            <w:vAlign w:val="center"/>
          </w:tcPr>
          <w:p w14:paraId="23E0F179">
            <w:pPr>
              <w:ind w:left="-63" w:leftChars="-30" w:right="-63" w:rightChars="-30"/>
              <w:jc w:val="center"/>
              <w:rPr>
                <w:color w:val="000000"/>
                <w:kern w:val="0"/>
                <w:szCs w:val="21"/>
              </w:rPr>
            </w:pPr>
            <w:r>
              <w:rPr>
                <w:color w:val="000000"/>
                <w:kern w:val="0"/>
                <w:szCs w:val="21"/>
              </w:rPr>
              <w:t>8</w:t>
            </w:r>
          </w:p>
        </w:tc>
        <w:tc>
          <w:tcPr>
            <w:tcW w:w="635" w:type="dxa"/>
            <w:vMerge w:val="restart"/>
            <w:noWrap w:val="0"/>
            <w:vAlign w:val="center"/>
          </w:tcPr>
          <w:p w14:paraId="545EE649">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夹沟镇</w:t>
            </w:r>
          </w:p>
        </w:tc>
        <w:tc>
          <w:tcPr>
            <w:tcW w:w="567" w:type="dxa"/>
            <w:noWrap w:val="0"/>
            <w:vAlign w:val="center"/>
          </w:tcPr>
          <w:p w14:paraId="3AD6CFF6">
            <w:pPr>
              <w:ind w:left="-63" w:leftChars="-30" w:right="-63" w:rightChars="-30"/>
              <w:jc w:val="center"/>
              <w:rPr>
                <w:color w:val="000000"/>
                <w:kern w:val="0"/>
                <w:szCs w:val="21"/>
              </w:rPr>
            </w:pPr>
            <w:r>
              <w:rPr>
                <w:color w:val="000000"/>
                <w:kern w:val="0"/>
                <w:szCs w:val="21"/>
              </w:rPr>
              <w:t>1</w:t>
            </w:r>
          </w:p>
        </w:tc>
        <w:tc>
          <w:tcPr>
            <w:tcW w:w="4394" w:type="dxa"/>
            <w:noWrap w:val="0"/>
            <w:vAlign w:val="center"/>
          </w:tcPr>
          <w:p w14:paraId="6E42666D">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东至夹外路，南至夹顺路，西至西三路、西二路，北至产业路、夹津路</w:t>
            </w:r>
          </w:p>
        </w:tc>
        <w:tc>
          <w:tcPr>
            <w:tcW w:w="733" w:type="dxa"/>
            <w:noWrap w:val="0"/>
            <w:vAlign w:val="center"/>
          </w:tcPr>
          <w:p w14:paraId="0F1DF6DB">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6F1A8280">
            <w:pPr>
              <w:ind w:left="-63" w:leftChars="-30" w:right="-63" w:rightChars="-30"/>
              <w:jc w:val="center"/>
              <w:rPr>
                <w:color w:val="000000"/>
                <w:kern w:val="0"/>
                <w:szCs w:val="21"/>
              </w:rPr>
            </w:pPr>
            <w:r>
              <w:rPr>
                <w:color w:val="000000"/>
                <w:kern w:val="0"/>
                <w:szCs w:val="21"/>
              </w:rPr>
              <w:t>98</w:t>
            </w:r>
          </w:p>
        </w:tc>
        <w:tc>
          <w:tcPr>
            <w:tcW w:w="836" w:type="dxa"/>
            <w:noWrap w:val="0"/>
            <w:vAlign w:val="center"/>
          </w:tcPr>
          <w:p w14:paraId="67CEC1D7">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2261FE0C">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6FC66D82">
            <w:pPr>
              <w:ind w:left="-63" w:leftChars="-30" w:right="-63" w:rightChars="-30"/>
              <w:jc w:val="center"/>
              <w:rPr>
                <w:color w:val="000000"/>
                <w:kern w:val="0"/>
                <w:szCs w:val="21"/>
              </w:rPr>
            </w:pPr>
            <w:r>
              <w:rPr>
                <w:color w:val="000000"/>
                <w:kern w:val="0"/>
                <w:szCs w:val="21"/>
              </w:rPr>
              <w:t>32.48</w:t>
            </w:r>
          </w:p>
        </w:tc>
      </w:tr>
      <w:tr w14:paraId="03A2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46F2B255">
            <w:pPr>
              <w:ind w:left="-63" w:leftChars="-30" w:right="-63" w:rightChars="-30"/>
              <w:rPr>
                <w:color w:val="000000"/>
                <w:kern w:val="0"/>
                <w:szCs w:val="21"/>
              </w:rPr>
            </w:pPr>
          </w:p>
        </w:tc>
        <w:tc>
          <w:tcPr>
            <w:tcW w:w="635" w:type="dxa"/>
            <w:vMerge w:val="continue"/>
            <w:noWrap w:val="0"/>
            <w:vAlign w:val="center"/>
          </w:tcPr>
          <w:p w14:paraId="3D66AEDD">
            <w:pPr>
              <w:ind w:left="-63" w:leftChars="-30" w:right="-63" w:rightChars="-30"/>
              <w:rPr>
                <w:rFonts w:ascii="楷体_GB2312" w:hAnsi="宋体" w:eastAsia="楷体_GB2312" w:cs="宋体"/>
                <w:color w:val="000000"/>
                <w:kern w:val="0"/>
                <w:szCs w:val="21"/>
              </w:rPr>
            </w:pPr>
          </w:p>
        </w:tc>
        <w:tc>
          <w:tcPr>
            <w:tcW w:w="567" w:type="dxa"/>
            <w:noWrap w:val="0"/>
            <w:vAlign w:val="center"/>
          </w:tcPr>
          <w:p w14:paraId="214ABA44">
            <w:pPr>
              <w:ind w:left="-63" w:leftChars="-30" w:right="-63" w:rightChars="-30"/>
              <w:jc w:val="center"/>
              <w:rPr>
                <w:color w:val="000000"/>
                <w:kern w:val="0"/>
                <w:szCs w:val="21"/>
              </w:rPr>
            </w:pPr>
            <w:r>
              <w:rPr>
                <w:color w:val="000000"/>
                <w:kern w:val="0"/>
                <w:szCs w:val="21"/>
              </w:rPr>
              <w:t>2</w:t>
            </w:r>
          </w:p>
        </w:tc>
        <w:tc>
          <w:tcPr>
            <w:tcW w:w="4394" w:type="dxa"/>
            <w:noWrap w:val="0"/>
            <w:vAlign w:val="center"/>
          </w:tcPr>
          <w:p w14:paraId="1DECAF44">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东至东一路，南至府前路，西至津浦铁路东侧规划道路，北至定级边界</w:t>
            </w:r>
          </w:p>
        </w:tc>
        <w:tc>
          <w:tcPr>
            <w:tcW w:w="733" w:type="dxa"/>
            <w:noWrap w:val="0"/>
            <w:vAlign w:val="center"/>
          </w:tcPr>
          <w:p w14:paraId="74E13372">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547CCD64">
            <w:pPr>
              <w:ind w:left="-63" w:leftChars="-30" w:right="-63" w:rightChars="-30"/>
              <w:jc w:val="center"/>
              <w:rPr>
                <w:color w:val="000000"/>
                <w:kern w:val="0"/>
                <w:szCs w:val="21"/>
              </w:rPr>
            </w:pPr>
            <w:r>
              <w:rPr>
                <w:color w:val="000000"/>
                <w:kern w:val="0"/>
                <w:szCs w:val="21"/>
              </w:rPr>
              <w:t>95</w:t>
            </w:r>
          </w:p>
        </w:tc>
        <w:tc>
          <w:tcPr>
            <w:tcW w:w="836" w:type="dxa"/>
            <w:noWrap w:val="0"/>
            <w:vAlign w:val="center"/>
          </w:tcPr>
          <w:p w14:paraId="663F9A30">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230F2CE5">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617FBEEB">
            <w:pPr>
              <w:ind w:left="-63" w:leftChars="-30" w:right="-63" w:rightChars="-30"/>
              <w:jc w:val="center"/>
              <w:rPr>
                <w:color w:val="000000"/>
                <w:kern w:val="0"/>
                <w:szCs w:val="21"/>
              </w:rPr>
            </w:pPr>
            <w:r>
              <w:rPr>
                <w:color w:val="000000"/>
                <w:kern w:val="0"/>
                <w:szCs w:val="21"/>
              </w:rPr>
              <w:t>29.91</w:t>
            </w:r>
          </w:p>
        </w:tc>
      </w:tr>
      <w:tr w14:paraId="04B1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5FB26D48">
            <w:pPr>
              <w:ind w:left="-63" w:leftChars="-30" w:right="-63" w:rightChars="-30"/>
              <w:rPr>
                <w:color w:val="000000"/>
                <w:kern w:val="0"/>
                <w:szCs w:val="21"/>
              </w:rPr>
            </w:pPr>
          </w:p>
        </w:tc>
        <w:tc>
          <w:tcPr>
            <w:tcW w:w="635" w:type="dxa"/>
            <w:vMerge w:val="continue"/>
            <w:noWrap w:val="0"/>
            <w:vAlign w:val="center"/>
          </w:tcPr>
          <w:p w14:paraId="6512E548">
            <w:pPr>
              <w:ind w:left="-63" w:leftChars="-30" w:right="-63" w:rightChars="-30"/>
              <w:rPr>
                <w:rFonts w:ascii="楷体_GB2312" w:hAnsi="宋体" w:eastAsia="楷体_GB2312" w:cs="宋体"/>
                <w:color w:val="000000"/>
                <w:kern w:val="0"/>
                <w:szCs w:val="21"/>
              </w:rPr>
            </w:pPr>
          </w:p>
        </w:tc>
        <w:tc>
          <w:tcPr>
            <w:tcW w:w="567" w:type="dxa"/>
            <w:noWrap w:val="0"/>
            <w:vAlign w:val="center"/>
          </w:tcPr>
          <w:p w14:paraId="120EAAC9">
            <w:pPr>
              <w:ind w:left="-63" w:leftChars="-30" w:right="-63" w:rightChars="-30"/>
              <w:jc w:val="center"/>
              <w:rPr>
                <w:color w:val="000000"/>
                <w:kern w:val="0"/>
                <w:szCs w:val="21"/>
              </w:rPr>
            </w:pPr>
            <w:r>
              <w:rPr>
                <w:color w:val="000000"/>
                <w:kern w:val="0"/>
                <w:szCs w:val="21"/>
              </w:rPr>
              <w:t>3</w:t>
            </w:r>
          </w:p>
        </w:tc>
        <w:tc>
          <w:tcPr>
            <w:tcW w:w="4394" w:type="dxa"/>
            <w:noWrap w:val="0"/>
            <w:vAlign w:val="center"/>
          </w:tcPr>
          <w:p w14:paraId="7FEEC1E2">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33" w:type="dxa"/>
            <w:noWrap w:val="0"/>
            <w:vAlign w:val="center"/>
          </w:tcPr>
          <w:p w14:paraId="7EA3C18F">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286A2B15">
            <w:pPr>
              <w:ind w:left="-63" w:leftChars="-30" w:right="-63" w:rightChars="-30"/>
              <w:jc w:val="center"/>
              <w:rPr>
                <w:color w:val="000000"/>
                <w:kern w:val="0"/>
                <w:szCs w:val="21"/>
              </w:rPr>
            </w:pPr>
            <w:r>
              <w:rPr>
                <w:color w:val="000000"/>
                <w:kern w:val="0"/>
                <w:szCs w:val="21"/>
              </w:rPr>
              <w:t>92</w:t>
            </w:r>
          </w:p>
        </w:tc>
        <w:tc>
          <w:tcPr>
            <w:tcW w:w="836" w:type="dxa"/>
            <w:noWrap w:val="0"/>
            <w:vAlign w:val="center"/>
          </w:tcPr>
          <w:p w14:paraId="742170E5">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6F27EB49">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54C05E42">
            <w:pPr>
              <w:ind w:left="-63" w:leftChars="-30" w:right="-63" w:rightChars="-30"/>
              <w:jc w:val="center"/>
              <w:rPr>
                <w:color w:val="000000"/>
                <w:kern w:val="0"/>
                <w:szCs w:val="21"/>
              </w:rPr>
            </w:pPr>
            <w:r>
              <w:rPr>
                <w:color w:val="000000"/>
                <w:kern w:val="0"/>
                <w:szCs w:val="21"/>
              </w:rPr>
              <w:t>28.05</w:t>
            </w:r>
          </w:p>
        </w:tc>
      </w:tr>
      <w:tr w14:paraId="4810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noWrap w:val="0"/>
            <w:vAlign w:val="center"/>
          </w:tcPr>
          <w:p w14:paraId="12DF31E2">
            <w:pPr>
              <w:ind w:left="-63" w:leftChars="-30" w:right="-63" w:rightChars="-30"/>
              <w:jc w:val="center"/>
              <w:rPr>
                <w:color w:val="000000"/>
                <w:kern w:val="0"/>
                <w:szCs w:val="21"/>
              </w:rPr>
            </w:pPr>
            <w:r>
              <w:rPr>
                <w:color w:val="000000"/>
                <w:kern w:val="0"/>
                <w:szCs w:val="21"/>
              </w:rPr>
              <w:t>9</w:t>
            </w:r>
          </w:p>
        </w:tc>
        <w:tc>
          <w:tcPr>
            <w:tcW w:w="635" w:type="dxa"/>
            <w:vMerge w:val="restart"/>
            <w:noWrap w:val="0"/>
            <w:vAlign w:val="center"/>
          </w:tcPr>
          <w:p w14:paraId="3533F652">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西二铺乡</w:t>
            </w:r>
          </w:p>
        </w:tc>
        <w:tc>
          <w:tcPr>
            <w:tcW w:w="567" w:type="dxa"/>
            <w:noWrap w:val="0"/>
            <w:vAlign w:val="center"/>
          </w:tcPr>
          <w:p w14:paraId="55B85F9B">
            <w:pPr>
              <w:ind w:left="-63" w:leftChars="-30" w:right="-63" w:rightChars="-30"/>
              <w:jc w:val="center"/>
              <w:rPr>
                <w:color w:val="000000"/>
                <w:kern w:val="0"/>
                <w:szCs w:val="21"/>
              </w:rPr>
            </w:pPr>
            <w:r>
              <w:rPr>
                <w:color w:val="000000"/>
                <w:kern w:val="0"/>
                <w:szCs w:val="21"/>
              </w:rPr>
              <w:t>1</w:t>
            </w:r>
          </w:p>
        </w:tc>
        <w:tc>
          <w:tcPr>
            <w:tcW w:w="4394" w:type="dxa"/>
            <w:noWrap w:val="0"/>
            <w:vAlign w:val="center"/>
          </w:tcPr>
          <w:p w14:paraId="1EAA5344">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东至文旅大街，南至宿永路，西至薛堂路，北至农贸市场北侧规划道路</w:t>
            </w:r>
          </w:p>
        </w:tc>
        <w:tc>
          <w:tcPr>
            <w:tcW w:w="733" w:type="dxa"/>
            <w:noWrap w:val="0"/>
            <w:vAlign w:val="center"/>
          </w:tcPr>
          <w:p w14:paraId="24850765">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0C324745">
            <w:pPr>
              <w:ind w:left="-63" w:leftChars="-30" w:right="-63" w:rightChars="-30"/>
              <w:jc w:val="center"/>
              <w:rPr>
                <w:color w:val="000000"/>
                <w:kern w:val="0"/>
                <w:szCs w:val="21"/>
              </w:rPr>
            </w:pPr>
            <w:r>
              <w:rPr>
                <w:color w:val="000000"/>
                <w:kern w:val="0"/>
                <w:szCs w:val="21"/>
              </w:rPr>
              <w:t>95</w:t>
            </w:r>
          </w:p>
        </w:tc>
        <w:tc>
          <w:tcPr>
            <w:tcW w:w="836" w:type="dxa"/>
            <w:noWrap w:val="0"/>
            <w:vAlign w:val="center"/>
          </w:tcPr>
          <w:p w14:paraId="38C645F4">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2BEAA682">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3C01139A">
            <w:pPr>
              <w:ind w:left="-63" w:leftChars="-30" w:right="-63" w:rightChars="-30"/>
              <w:jc w:val="center"/>
              <w:rPr>
                <w:color w:val="000000"/>
                <w:kern w:val="0"/>
                <w:szCs w:val="21"/>
              </w:rPr>
            </w:pPr>
            <w:r>
              <w:rPr>
                <w:color w:val="000000"/>
                <w:kern w:val="0"/>
                <w:szCs w:val="21"/>
              </w:rPr>
              <w:t>31.48</w:t>
            </w:r>
          </w:p>
        </w:tc>
      </w:tr>
      <w:tr w14:paraId="676A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3A740E26">
            <w:pPr>
              <w:ind w:left="-63" w:leftChars="-30" w:right="-63" w:rightChars="-30"/>
              <w:rPr>
                <w:color w:val="000000"/>
                <w:kern w:val="0"/>
                <w:szCs w:val="21"/>
              </w:rPr>
            </w:pPr>
          </w:p>
        </w:tc>
        <w:tc>
          <w:tcPr>
            <w:tcW w:w="635" w:type="dxa"/>
            <w:vMerge w:val="continue"/>
            <w:noWrap w:val="0"/>
            <w:vAlign w:val="center"/>
          </w:tcPr>
          <w:p w14:paraId="47690F7D">
            <w:pPr>
              <w:ind w:left="-63" w:leftChars="-30" w:right="-63" w:rightChars="-30"/>
              <w:rPr>
                <w:rFonts w:ascii="楷体_GB2312" w:hAnsi="宋体" w:eastAsia="楷体_GB2312" w:cs="宋体"/>
                <w:color w:val="000000"/>
                <w:kern w:val="0"/>
                <w:szCs w:val="21"/>
              </w:rPr>
            </w:pPr>
          </w:p>
        </w:tc>
        <w:tc>
          <w:tcPr>
            <w:tcW w:w="567" w:type="dxa"/>
            <w:noWrap w:val="0"/>
            <w:vAlign w:val="center"/>
          </w:tcPr>
          <w:p w14:paraId="53AB9E3C">
            <w:pPr>
              <w:ind w:left="-63" w:leftChars="-30" w:right="-63" w:rightChars="-30"/>
              <w:jc w:val="center"/>
              <w:rPr>
                <w:color w:val="000000"/>
                <w:kern w:val="0"/>
                <w:szCs w:val="21"/>
              </w:rPr>
            </w:pPr>
            <w:r>
              <w:rPr>
                <w:color w:val="000000"/>
                <w:kern w:val="0"/>
                <w:szCs w:val="21"/>
              </w:rPr>
              <w:t>2</w:t>
            </w:r>
          </w:p>
        </w:tc>
        <w:tc>
          <w:tcPr>
            <w:tcW w:w="4394" w:type="dxa"/>
            <w:noWrap w:val="0"/>
            <w:vAlign w:val="center"/>
          </w:tcPr>
          <w:p w14:paraId="06C6BE29">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东至昌盛路，南至福顺路，西至薛堂路，北至吕黄路</w:t>
            </w:r>
          </w:p>
        </w:tc>
        <w:tc>
          <w:tcPr>
            <w:tcW w:w="733" w:type="dxa"/>
            <w:noWrap w:val="0"/>
            <w:vAlign w:val="center"/>
          </w:tcPr>
          <w:p w14:paraId="7E608A62">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016FA8AD">
            <w:pPr>
              <w:ind w:left="-63" w:leftChars="-30" w:right="-63" w:rightChars="-30"/>
              <w:jc w:val="center"/>
              <w:rPr>
                <w:color w:val="000000"/>
                <w:kern w:val="0"/>
                <w:szCs w:val="21"/>
              </w:rPr>
            </w:pPr>
            <w:r>
              <w:rPr>
                <w:color w:val="000000"/>
                <w:kern w:val="0"/>
                <w:szCs w:val="21"/>
              </w:rPr>
              <w:t>92</w:t>
            </w:r>
          </w:p>
        </w:tc>
        <w:tc>
          <w:tcPr>
            <w:tcW w:w="836" w:type="dxa"/>
            <w:noWrap w:val="0"/>
            <w:vAlign w:val="center"/>
          </w:tcPr>
          <w:p w14:paraId="5071389E">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18AD08EC">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6191A550">
            <w:pPr>
              <w:ind w:left="-63" w:leftChars="-30" w:right="-63" w:rightChars="-30"/>
              <w:jc w:val="center"/>
              <w:rPr>
                <w:color w:val="000000"/>
                <w:kern w:val="0"/>
                <w:szCs w:val="21"/>
              </w:rPr>
            </w:pPr>
            <w:r>
              <w:rPr>
                <w:color w:val="000000"/>
                <w:kern w:val="0"/>
                <w:szCs w:val="21"/>
              </w:rPr>
              <w:t>28.96</w:t>
            </w:r>
          </w:p>
        </w:tc>
      </w:tr>
      <w:tr w14:paraId="0CF1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000DE781">
            <w:pPr>
              <w:ind w:left="-63" w:leftChars="-30" w:right="-63" w:rightChars="-30"/>
              <w:rPr>
                <w:color w:val="000000"/>
                <w:kern w:val="0"/>
                <w:szCs w:val="21"/>
              </w:rPr>
            </w:pPr>
          </w:p>
        </w:tc>
        <w:tc>
          <w:tcPr>
            <w:tcW w:w="635" w:type="dxa"/>
            <w:vMerge w:val="continue"/>
            <w:noWrap w:val="0"/>
            <w:vAlign w:val="center"/>
          </w:tcPr>
          <w:p w14:paraId="56CE5DE2">
            <w:pPr>
              <w:ind w:left="-63" w:leftChars="-30" w:right="-63" w:rightChars="-30"/>
              <w:rPr>
                <w:rFonts w:ascii="楷体_GB2312" w:hAnsi="宋体" w:eastAsia="楷体_GB2312" w:cs="宋体"/>
                <w:color w:val="000000"/>
                <w:kern w:val="0"/>
                <w:szCs w:val="21"/>
              </w:rPr>
            </w:pPr>
          </w:p>
        </w:tc>
        <w:tc>
          <w:tcPr>
            <w:tcW w:w="567" w:type="dxa"/>
            <w:noWrap w:val="0"/>
            <w:vAlign w:val="center"/>
          </w:tcPr>
          <w:p w14:paraId="4C6A6B04">
            <w:pPr>
              <w:ind w:left="-63" w:leftChars="-30" w:right="-63" w:rightChars="-30"/>
              <w:jc w:val="center"/>
              <w:rPr>
                <w:color w:val="000000"/>
                <w:kern w:val="0"/>
                <w:szCs w:val="21"/>
              </w:rPr>
            </w:pPr>
            <w:r>
              <w:rPr>
                <w:color w:val="000000"/>
                <w:kern w:val="0"/>
                <w:szCs w:val="21"/>
              </w:rPr>
              <w:t>3</w:t>
            </w:r>
          </w:p>
        </w:tc>
        <w:tc>
          <w:tcPr>
            <w:tcW w:w="4394" w:type="dxa"/>
            <w:noWrap w:val="0"/>
            <w:vAlign w:val="center"/>
          </w:tcPr>
          <w:p w14:paraId="6A3B2731">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33" w:type="dxa"/>
            <w:noWrap w:val="0"/>
            <w:vAlign w:val="center"/>
          </w:tcPr>
          <w:p w14:paraId="6B3E7E05">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59D7B57B">
            <w:pPr>
              <w:ind w:left="-63" w:leftChars="-30" w:right="-63" w:rightChars="-30"/>
              <w:jc w:val="center"/>
              <w:rPr>
                <w:color w:val="000000"/>
                <w:kern w:val="0"/>
                <w:szCs w:val="21"/>
              </w:rPr>
            </w:pPr>
            <w:r>
              <w:rPr>
                <w:color w:val="000000"/>
                <w:kern w:val="0"/>
                <w:szCs w:val="21"/>
              </w:rPr>
              <w:t>90</w:t>
            </w:r>
          </w:p>
        </w:tc>
        <w:tc>
          <w:tcPr>
            <w:tcW w:w="836" w:type="dxa"/>
            <w:noWrap w:val="0"/>
            <w:vAlign w:val="center"/>
          </w:tcPr>
          <w:p w14:paraId="5EAFCFE8">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201718FF">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08549904">
            <w:pPr>
              <w:ind w:left="-63" w:leftChars="-30" w:right="-63" w:rightChars="-30"/>
              <w:jc w:val="center"/>
              <w:rPr>
                <w:color w:val="000000"/>
                <w:kern w:val="0"/>
                <w:szCs w:val="21"/>
              </w:rPr>
            </w:pPr>
            <w:r>
              <w:rPr>
                <w:color w:val="000000"/>
                <w:kern w:val="0"/>
                <w:szCs w:val="21"/>
              </w:rPr>
              <w:t>27.44</w:t>
            </w:r>
          </w:p>
        </w:tc>
      </w:tr>
      <w:tr w14:paraId="254E0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9" w:hRule="atLeast"/>
          <w:jc w:val="center"/>
        </w:trPr>
        <w:tc>
          <w:tcPr>
            <w:tcW w:w="0" w:type="auto"/>
            <w:vMerge w:val="restart"/>
            <w:noWrap w:val="0"/>
            <w:vAlign w:val="center"/>
          </w:tcPr>
          <w:p w14:paraId="563934EA">
            <w:pPr>
              <w:ind w:left="-63" w:leftChars="-30" w:right="-63" w:rightChars="-30"/>
              <w:jc w:val="center"/>
              <w:rPr>
                <w:color w:val="000000"/>
                <w:kern w:val="0"/>
                <w:szCs w:val="21"/>
              </w:rPr>
            </w:pPr>
            <w:r>
              <w:rPr>
                <w:color w:val="000000"/>
                <w:kern w:val="0"/>
                <w:szCs w:val="21"/>
              </w:rPr>
              <w:t>10</w:t>
            </w:r>
          </w:p>
        </w:tc>
        <w:tc>
          <w:tcPr>
            <w:tcW w:w="635" w:type="dxa"/>
            <w:vMerge w:val="restart"/>
            <w:noWrap w:val="0"/>
            <w:vAlign w:val="center"/>
          </w:tcPr>
          <w:p w14:paraId="69F6D585">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桃园镇</w:t>
            </w:r>
          </w:p>
        </w:tc>
        <w:tc>
          <w:tcPr>
            <w:tcW w:w="567" w:type="dxa"/>
            <w:noWrap w:val="0"/>
            <w:vAlign w:val="center"/>
          </w:tcPr>
          <w:p w14:paraId="271FC588">
            <w:pPr>
              <w:ind w:left="-63" w:leftChars="-30" w:right="-63" w:rightChars="-30"/>
              <w:jc w:val="center"/>
              <w:rPr>
                <w:color w:val="000000"/>
                <w:kern w:val="0"/>
                <w:szCs w:val="21"/>
              </w:rPr>
            </w:pPr>
            <w:r>
              <w:rPr>
                <w:color w:val="000000"/>
                <w:kern w:val="0"/>
                <w:szCs w:val="21"/>
              </w:rPr>
              <w:t>1</w:t>
            </w:r>
          </w:p>
        </w:tc>
        <w:tc>
          <w:tcPr>
            <w:tcW w:w="4394" w:type="dxa"/>
            <w:noWrap w:val="0"/>
            <w:vAlign w:val="center"/>
          </w:tcPr>
          <w:p w14:paraId="4BE5A82F">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区域一：东至宿怀南路，南至农贸市场南侧道路，西至谷岭路，北至桃园大街、新园路</w:t>
            </w:r>
          </w:p>
          <w:p w14:paraId="1F52711D">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区域二：东至振北路，南至加油站北侧道路，西至宿怀南路，北至北杨寨中心小学北侧道路</w:t>
            </w:r>
          </w:p>
        </w:tc>
        <w:tc>
          <w:tcPr>
            <w:tcW w:w="733" w:type="dxa"/>
            <w:noWrap w:val="0"/>
            <w:vAlign w:val="center"/>
          </w:tcPr>
          <w:p w14:paraId="5A8D1A76">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5F677361">
            <w:pPr>
              <w:ind w:left="-63" w:leftChars="-30" w:right="-63" w:rightChars="-30"/>
              <w:jc w:val="center"/>
              <w:rPr>
                <w:color w:val="000000"/>
                <w:kern w:val="0"/>
                <w:szCs w:val="21"/>
              </w:rPr>
            </w:pPr>
            <w:r>
              <w:rPr>
                <w:color w:val="000000"/>
                <w:kern w:val="0"/>
                <w:szCs w:val="21"/>
              </w:rPr>
              <w:t>95</w:t>
            </w:r>
          </w:p>
        </w:tc>
        <w:tc>
          <w:tcPr>
            <w:tcW w:w="836" w:type="dxa"/>
            <w:noWrap w:val="0"/>
            <w:vAlign w:val="center"/>
          </w:tcPr>
          <w:p w14:paraId="39E89056">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2084D522">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1CD9D605">
            <w:pPr>
              <w:ind w:left="-63" w:leftChars="-30" w:right="-63" w:rightChars="-30"/>
              <w:jc w:val="center"/>
              <w:rPr>
                <w:color w:val="000000"/>
                <w:kern w:val="0"/>
                <w:szCs w:val="21"/>
              </w:rPr>
            </w:pPr>
            <w:r>
              <w:rPr>
                <w:color w:val="000000"/>
                <w:kern w:val="0"/>
                <w:szCs w:val="21"/>
              </w:rPr>
              <w:t>31.48</w:t>
            </w:r>
          </w:p>
        </w:tc>
      </w:tr>
      <w:tr w14:paraId="7CF0D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9" w:hRule="atLeast"/>
          <w:jc w:val="center"/>
        </w:trPr>
        <w:tc>
          <w:tcPr>
            <w:tcW w:w="0" w:type="auto"/>
            <w:vMerge w:val="continue"/>
            <w:noWrap w:val="0"/>
            <w:vAlign w:val="center"/>
          </w:tcPr>
          <w:p w14:paraId="360F6D32">
            <w:pPr>
              <w:ind w:left="-63" w:leftChars="-30" w:right="-63" w:rightChars="-30"/>
              <w:rPr>
                <w:color w:val="000000"/>
                <w:kern w:val="0"/>
                <w:szCs w:val="21"/>
              </w:rPr>
            </w:pPr>
          </w:p>
        </w:tc>
        <w:tc>
          <w:tcPr>
            <w:tcW w:w="635" w:type="dxa"/>
            <w:vMerge w:val="continue"/>
            <w:noWrap w:val="0"/>
            <w:vAlign w:val="center"/>
          </w:tcPr>
          <w:p w14:paraId="74601B3F">
            <w:pPr>
              <w:ind w:left="-63" w:leftChars="-30" w:right="-63" w:rightChars="-30"/>
              <w:rPr>
                <w:rFonts w:ascii="楷体_GB2312" w:hAnsi="宋体" w:eastAsia="楷体_GB2312" w:cs="宋体"/>
                <w:color w:val="000000"/>
                <w:kern w:val="0"/>
                <w:szCs w:val="21"/>
              </w:rPr>
            </w:pPr>
          </w:p>
        </w:tc>
        <w:tc>
          <w:tcPr>
            <w:tcW w:w="567" w:type="dxa"/>
            <w:noWrap w:val="0"/>
            <w:vAlign w:val="center"/>
          </w:tcPr>
          <w:p w14:paraId="652A227E">
            <w:pPr>
              <w:ind w:left="-63" w:leftChars="-30" w:right="-63" w:rightChars="-30"/>
              <w:jc w:val="center"/>
              <w:rPr>
                <w:color w:val="000000"/>
                <w:kern w:val="0"/>
                <w:szCs w:val="21"/>
              </w:rPr>
            </w:pPr>
            <w:r>
              <w:rPr>
                <w:color w:val="000000"/>
                <w:kern w:val="0"/>
                <w:szCs w:val="21"/>
              </w:rPr>
              <w:t>2</w:t>
            </w:r>
          </w:p>
        </w:tc>
        <w:tc>
          <w:tcPr>
            <w:tcW w:w="4394" w:type="dxa"/>
            <w:noWrap w:val="0"/>
            <w:vAlign w:val="center"/>
          </w:tcPr>
          <w:p w14:paraId="4F64D266">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区域一：东至宿怀南路、定级边界，南至学前路，西至运西路，北至新园路</w:t>
            </w:r>
          </w:p>
          <w:p w14:paraId="7F265EB4">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区域二：东至杨寨路，南至交通路，西至广场路，北至池湖路</w:t>
            </w:r>
          </w:p>
        </w:tc>
        <w:tc>
          <w:tcPr>
            <w:tcW w:w="733" w:type="dxa"/>
            <w:noWrap w:val="0"/>
            <w:vAlign w:val="center"/>
          </w:tcPr>
          <w:p w14:paraId="7F8B3EF0">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12D28498">
            <w:pPr>
              <w:ind w:left="-63" w:leftChars="-30" w:right="-63" w:rightChars="-30"/>
              <w:jc w:val="center"/>
              <w:rPr>
                <w:color w:val="000000"/>
                <w:kern w:val="0"/>
                <w:szCs w:val="21"/>
              </w:rPr>
            </w:pPr>
            <w:r>
              <w:rPr>
                <w:color w:val="000000"/>
                <w:kern w:val="0"/>
                <w:szCs w:val="21"/>
              </w:rPr>
              <w:t>92</w:t>
            </w:r>
          </w:p>
        </w:tc>
        <w:tc>
          <w:tcPr>
            <w:tcW w:w="836" w:type="dxa"/>
            <w:noWrap w:val="0"/>
            <w:vAlign w:val="center"/>
          </w:tcPr>
          <w:p w14:paraId="7D93CFAE">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37700D7F">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38495F26">
            <w:pPr>
              <w:ind w:left="-63" w:leftChars="-30" w:right="-63" w:rightChars="-30"/>
              <w:jc w:val="center"/>
              <w:rPr>
                <w:color w:val="000000"/>
                <w:kern w:val="0"/>
                <w:szCs w:val="21"/>
              </w:rPr>
            </w:pPr>
            <w:r>
              <w:rPr>
                <w:color w:val="000000"/>
                <w:kern w:val="0"/>
                <w:szCs w:val="21"/>
              </w:rPr>
              <w:t>28.96</w:t>
            </w:r>
          </w:p>
        </w:tc>
      </w:tr>
      <w:tr w14:paraId="611C3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533D7BE8">
            <w:pPr>
              <w:ind w:left="-63" w:leftChars="-30" w:right="-63" w:rightChars="-30"/>
              <w:rPr>
                <w:color w:val="000000"/>
                <w:kern w:val="0"/>
                <w:szCs w:val="21"/>
              </w:rPr>
            </w:pPr>
          </w:p>
        </w:tc>
        <w:tc>
          <w:tcPr>
            <w:tcW w:w="635" w:type="dxa"/>
            <w:vMerge w:val="continue"/>
            <w:noWrap w:val="0"/>
            <w:vAlign w:val="center"/>
          </w:tcPr>
          <w:p w14:paraId="5CD02917">
            <w:pPr>
              <w:ind w:left="-63" w:leftChars="-30" w:right="-63" w:rightChars="-30"/>
              <w:rPr>
                <w:rFonts w:ascii="楷体_GB2312" w:hAnsi="宋体" w:eastAsia="楷体_GB2312" w:cs="宋体"/>
                <w:color w:val="000000"/>
                <w:kern w:val="0"/>
                <w:szCs w:val="21"/>
              </w:rPr>
            </w:pPr>
          </w:p>
        </w:tc>
        <w:tc>
          <w:tcPr>
            <w:tcW w:w="567" w:type="dxa"/>
            <w:noWrap w:val="0"/>
            <w:vAlign w:val="center"/>
          </w:tcPr>
          <w:p w14:paraId="3010AEBB">
            <w:pPr>
              <w:ind w:left="-63" w:leftChars="-30" w:right="-63" w:rightChars="-30"/>
              <w:jc w:val="center"/>
              <w:rPr>
                <w:color w:val="000000"/>
                <w:kern w:val="0"/>
                <w:szCs w:val="21"/>
              </w:rPr>
            </w:pPr>
            <w:r>
              <w:rPr>
                <w:color w:val="000000"/>
                <w:kern w:val="0"/>
                <w:szCs w:val="21"/>
              </w:rPr>
              <w:t>3</w:t>
            </w:r>
          </w:p>
        </w:tc>
        <w:tc>
          <w:tcPr>
            <w:tcW w:w="4394" w:type="dxa"/>
            <w:noWrap w:val="0"/>
            <w:vAlign w:val="center"/>
          </w:tcPr>
          <w:p w14:paraId="14B62FF8">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33" w:type="dxa"/>
            <w:noWrap w:val="0"/>
            <w:vAlign w:val="center"/>
          </w:tcPr>
          <w:p w14:paraId="61057DDF">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4789727C">
            <w:pPr>
              <w:ind w:left="-63" w:leftChars="-30" w:right="-63" w:rightChars="-30"/>
              <w:jc w:val="center"/>
              <w:rPr>
                <w:color w:val="000000"/>
                <w:kern w:val="0"/>
                <w:szCs w:val="21"/>
              </w:rPr>
            </w:pPr>
            <w:r>
              <w:rPr>
                <w:color w:val="000000"/>
                <w:kern w:val="0"/>
                <w:szCs w:val="21"/>
              </w:rPr>
              <w:t>90</w:t>
            </w:r>
          </w:p>
        </w:tc>
        <w:tc>
          <w:tcPr>
            <w:tcW w:w="836" w:type="dxa"/>
            <w:noWrap w:val="0"/>
            <w:vAlign w:val="center"/>
          </w:tcPr>
          <w:p w14:paraId="47D5D7EE">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5B206CD2">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13F806A3">
            <w:pPr>
              <w:ind w:left="-63" w:leftChars="-30" w:right="-63" w:rightChars="-30"/>
              <w:jc w:val="center"/>
              <w:rPr>
                <w:color w:val="000000"/>
                <w:kern w:val="0"/>
                <w:szCs w:val="21"/>
              </w:rPr>
            </w:pPr>
            <w:r>
              <w:rPr>
                <w:color w:val="000000"/>
                <w:kern w:val="0"/>
                <w:szCs w:val="21"/>
              </w:rPr>
              <w:t>27.44</w:t>
            </w:r>
          </w:p>
        </w:tc>
      </w:tr>
      <w:tr w14:paraId="4F46B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noWrap w:val="0"/>
            <w:vAlign w:val="center"/>
          </w:tcPr>
          <w:p w14:paraId="08036AA1">
            <w:pPr>
              <w:ind w:left="-63" w:leftChars="-30" w:right="-63" w:rightChars="-30"/>
              <w:jc w:val="center"/>
              <w:rPr>
                <w:color w:val="000000"/>
                <w:kern w:val="0"/>
                <w:szCs w:val="21"/>
              </w:rPr>
            </w:pPr>
            <w:r>
              <w:rPr>
                <w:color w:val="000000"/>
                <w:kern w:val="0"/>
                <w:szCs w:val="21"/>
              </w:rPr>
              <w:t>11</w:t>
            </w:r>
          </w:p>
        </w:tc>
        <w:tc>
          <w:tcPr>
            <w:tcW w:w="635" w:type="dxa"/>
            <w:vMerge w:val="restart"/>
            <w:noWrap w:val="0"/>
            <w:vAlign w:val="center"/>
          </w:tcPr>
          <w:p w14:paraId="1F4A07BA">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曹村镇</w:t>
            </w:r>
          </w:p>
        </w:tc>
        <w:tc>
          <w:tcPr>
            <w:tcW w:w="567" w:type="dxa"/>
            <w:noWrap w:val="0"/>
            <w:vAlign w:val="center"/>
          </w:tcPr>
          <w:p w14:paraId="0A2A8EA9">
            <w:pPr>
              <w:ind w:left="-63" w:leftChars="-30" w:right="-63" w:rightChars="-30"/>
              <w:jc w:val="center"/>
              <w:rPr>
                <w:color w:val="000000"/>
                <w:kern w:val="0"/>
                <w:szCs w:val="21"/>
              </w:rPr>
            </w:pPr>
            <w:r>
              <w:rPr>
                <w:color w:val="000000"/>
                <w:kern w:val="0"/>
                <w:szCs w:val="21"/>
              </w:rPr>
              <w:t>1</w:t>
            </w:r>
          </w:p>
        </w:tc>
        <w:tc>
          <w:tcPr>
            <w:tcW w:w="4394" w:type="dxa"/>
            <w:noWrap w:val="0"/>
            <w:vAlign w:val="center"/>
          </w:tcPr>
          <w:p w14:paraId="75E97432">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东至曹村中心小学东侧道路、环东路，南至镇中一路，西至西环路，北至中学路</w:t>
            </w:r>
          </w:p>
        </w:tc>
        <w:tc>
          <w:tcPr>
            <w:tcW w:w="733" w:type="dxa"/>
            <w:noWrap w:val="0"/>
            <w:vAlign w:val="center"/>
          </w:tcPr>
          <w:p w14:paraId="70C18215">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1CB89526">
            <w:pPr>
              <w:ind w:left="-63" w:leftChars="-30" w:right="-63" w:rightChars="-30"/>
              <w:jc w:val="center"/>
              <w:rPr>
                <w:color w:val="000000"/>
                <w:kern w:val="0"/>
                <w:szCs w:val="21"/>
              </w:rPr>
            </w:pPr>
            <w:r>
              <w:rPr>
                <w:color w:val="000000"/>
                <w:kern w:val="0"/>
                <w:szCs w:val="21"/>
              </w:rPr>
              <w:t>95</w:t>
            </w:r>
          </w:p>
        </w:tc>
        <w:tc>
          <w:tcPr>
            <w:tcW w:w="836" w:type="dxa"/>
            <w:noWrap w:val="0"/>
            <w:vAlign w:val="center"/>
          </w:tcPr>
          <w:p w14:paraId="17AD7ED2">
            <w:pPr>
              <w:ind w:left="-63" w:leftChars="-30" w:right="-63" w:rightChars="-30"/>
              <w:jc w:val="center"/>
              <w:rPr>
                <w:color w:val="000000"/>
                <w:kern w:val="0"/>
                <w:szCs w:val="21"/>
              </w:rPr>
            </w:pPr>
            <w:r>
              <w:rPr>
                <w:color w:val="000000"/>
                <w:kern w:val="0"/>
                <w:szCs w:val="21"/>
              </w:rPr>
              <w:t>0.3412</w:t>
            </w:r>
          </w:p>
        </w:tc>
        <w:tc>
          <w:tcPr>
            <w:tcW w:w="300" w:type="dxa"/>
            <w:noWrap w:val="0"/>
            <w:vAlign w:val="center"/>
          </w:tcPr>
          <w:p w14:paraId="587B84B7">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102B9727">
            <w:pPr>
              <w:ind w:left="-63" w:leftChars="-30" w:right="-63" w:rightChars="-30"/>
              <w:jc w:val="center"/>
              <w:rPr>
                <w:color w:val="000000"/>
                <w:kern w:val="0"/>
                <w:szCs w:val="21"/>
              </w:rPr>
            </w:pPr>
            <w:r>
              <w:rPr>
                <w:color w:val="000000"/>
                <w:kern w:val="0"/>
                <w:szCs w:val="21"/>
              </w:rPr>
              <w:t>32.41</w:t>
            </w:r>
          </w:p>
        </w:tc>
      </w:tr>
      <w:tr w14:paraId="40404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7F12E4DA">
            <w:pPr>
              <w:ind w:left="-63" w:leftChars="-30" w:right="-63" w:rightChars="-30"/>
              <w:rPr>
                <w:color w:val="000000"/>
                <w:kern w:val="0"/>
                <w:szCs w:val="21"/>
              </w:rPr>
            </w:pPr>
          </w:p>
        </w:tc>
        <w:tc>
          <w:tcPr>
            <w:tcW w:w="635" w:type="dxa"/>
            <w:vMerge w:val="continue"/>
            <w:noWrap w:val="0"/>
            <w:vAlign w:val="center"/>
          </w:tcPr>
          <w:p w14:paraId="3BFF27A7">
            <w:pPr>
              <w:ind w:left="-63" w:leftChars="-30" w:right="-63" w:rightChars="-30"/>
              <w:rPr>
                <w:rFonts w:ascii="楷体_GB2312" w:hAnsi="宋体" w:eastAsia="楷体_GB2312" w:cs="宋体"/>
                <w:color w:val="000000"/>
                <w:kern w:val="0"/>
                <w:szCs w:val="21"/>
              </w:rPr>
            </w:pPr>
          </w:p>
        </w:tc>
        <w:tc>
          <w:tcPr>
            <w:tcW w:w="567" w:type="dxa"/>
            <w:noWrap w:val="0"/>
            <w:vAlign w:val="center"/>
          </w:tcPr>
          <w:p w14:paraId="5914177F">
            <w:pPr>
              <w:ind w:left="-63" w:leftChars="-30" w:right="-63" w:rightChars="-30"/>
              <w:jc w:val="center"/>
              <w:rPr>
                <w:color w:val="000000"/>
                <w:kern w:val="0"/>
                <w:szCs w:val="21"/>
              </w:rPr>
            </w:pPr>
            <w:r>
              <w:rPr>
                <w:color w:val="000000"/>
                <w:kern w:val="0"/>
                <w:szCs w:val="21"/>
              </w:rPr>
              <w:t>2</w:t>
            </w:r>
          </w:p>
        </w:tc>
        <w:tc>
          <w:tcPr>
            <w:tcW w:w="4394" w:type="dxa"/>
            <w:noWrap w:val="0"/>
            <w:vAlign w:val="center"/>
          </w:tcPr>
          <w:p w14:paraId="38A88AEA">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东至镇东路、环东路，南至环南路，西至京沪铁路，北至环北路</w:t>
            </w:r>
          </w:p>
        </w:tc>
        <w:tc>
          <w:tcPr>
            <w:tcW w:w="733" w:type="dxa"/>
            <w:noWrap w:val="0"/>
            <w:vAlign w:val="center"/>
          </w:tcPr>
          <w:p w14:paraId="2168BADA">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684074CE">
            <w:pPr>
              <w:ind w:left="-63" w:leftChars="-30" w:right="-63" w:rightChars="-30"/>
              <w:jc w:val="center"/>
              <w:rPr>
                <w:color w:val="000000"/>
                <w:kern w:val="0"/>
                <w:szCs w:val="21"/>
              </w:rPr>
            </w:pPr>
            <w:r>
              <w:rPr>
                <w:color w:val="000000"/>
                <w:kern w:val="0"/>
                <w:szCs w:val="21"/>
              </w:rPr>
              <w:t>92</w:t>
            </w:r>
          </w:p>
        </w:tc>
        <w:tc>
          <w:tcPr>
            <w:tcW w:w="836" w:type="dxa"/>
            <w:noWrap w:val="0"/>
            <w:vAlign w:val="center"/>
          </w:tcPr>
          <w:p w14:paraId="4D0A5EBE">
            <w:pPr>
              <w:ind w:left="-63" w:leftChars="-30" w:right="-63" w:rightChars="-30"/>
              <w:jc w:val="center"/>
              <w:rPr>
                <w:color w:val="000000"/>
                <w:kern w:val="0"/>
                <w:szCs w:val="21"/>
              </w:rPr>
            </w:pPr>
            <w:r>
              <w:rPr>
                <w:color w:val="000000"/>
                <w:kern w:val="0"/>
                <w:szCs w:val="21"/>
              </w:rPr>
              <w:t>0.3412</w:t>
            </w:r>
          </w:p>
        </w:tc>
        <w:tc>
          <w:tcPr>
            <w:tcW w:w="300" w:type="dxa"/>
            <w:noWrap w:val="0"/>
            <w:vAlign w:val="center"/>
          </w:tcPr>
          <w:p w14:paraId="0781342C">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15E6685C">
            <w:pPr>
              <w:ind w:left="-63" w:leftChars="-30" w:right="-63" w:rightChars="-30"/>
              <w:jc w:val="center"/>
              <w:rPr>
                <w:color w:val="000000"/>
                <w:kern w:val="0"/>
                <w:szCs w:val="21"/>
              </w:rPr>
            </w:pPr>
            <w:r>
              <w:rPr>
                <w:color w:val="000000"/>
                <w:kern w:val="0"/>
                <w:szCs w:val="21"/>
              </w:rPr>
              <w:t>29.82</w:t>
            </w:r>
          </w:p>
        </w:tc>
      </w:tr>
      <w:tr w14:paraId="2CD0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64671317">
            <w:pPr>
              <w:ind w:left="-63" w:leftChars="-30" w:right="-63" w:rightChars="-30"/>
              <w:rPr>
                <w:color w:val="000000"/>
                <w:kern w:val="0"/>
                <w:szCs w:val="21"/>
              </w:rPr>
            </w:pPr>
          </w:p>
        </w:tc>
        <w:tc>
          <w:tcPr>
            <w:tcW w:w="635" w:type="dxa"/>
            <w:vMerge w:val="continue"/>
            <w:noWrap w:val="0"/>
            <w:vAlign w:val="center"/>
          </w:tcPr>
          <w:p w14:paraId="054C6D51">
            <w:pPr>
              <w:ind w:left="-63" w:leftChars="-30" w:right="-63" w:rightChars="-30"/>
              <w:rPr>
                <w:rFonts w:ascii="楷体_GB2312" w:hAnsi="宋体" w:eastAsia="楷体_GB2312" w:cs="宋体"/>
                <w:color w:val="000000"/>
                <w:kern w:val="0"/>
                <w:szCs w:val="21"/>
              </w:rPr>
            </w:pPr>
          </w:p>
        </w:tc>
        <w:tc>
          <w:tcPr>
            <w:tcW w:w="567" w:type="dxa"/>
            <w:noWrap w:val="0"/>
            <w:vAlign w:val="center"/>
          </w:tcPr>
          <w:p w14:paraId="4878DF5C">
            <w:pPr>
              <w:ind w:left="-63" w:leftChars="-30" w:right="-63" w:rightChars="-30"/>
              <w:jc w:val="center"/>
              <w:rPr>
                <w:color w:val="000000"/>
                <w:kern w:val="0"/>
                <w:szCs w:val="21"/>
              </w:rPr>
            </w:pPr>
            <w:r>
              <w:rPr>
                <w:color w:val="000000"/>
                <w:kern w:val="0"/>
                <w:szCs w:val="21"/>
              </w:rPr>
              <w:t>3</w:t>
            </w:r>
          </w:p>
        </w:tc>
        <w:tc>
          <w:tcPr>
            <w:tcW w:w="4394" w:type="dxa"/>
            <w:noWrap w:val="0"/>
            <w:vAlign w:val="center"/>
          </w:tcPr>
          <w:p w14:paraId="446721B9">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33" w:type="dxa"/>
            <w:noWrap w:val="0"/>
            <w:vAlign w:val="center"/>
          </w:tcPr>
          <w:p w14:paraId="2180879C">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1DE92FEB">
            <w:pPr>
              <w:ind w:left="-63" w:leftChars="-30" w:right="-63" w:rightChars="-30"/>
              <w:jc w:val="center"/>
              <w:rPr>
                <w:color w:val="000000"/>
                <w:kern w:val="0"/>
                <w:szCs w:val="21"/>
              </w:rPr>
            </w:pPr>
            <w:r>
              <w:rPr>
                <w:color w:val="000000"/>
                <w:kern w:val="0"/>
                <w:szCs w:val="21"/>
              </w:rPr>
              <w:t>90</w:t>
            </w:r>
          </w:p>
        </w:tc>
        <w:tc>
          <w:tcPr>
            <w:tcW w:w="836" w:type="dxa"/>
            <w:noWrap w:val="0"/>
            <w:vAlign w:val="center"/>
          </w:tcPr>
          <w:p w14:paraId="112098A2">
            <w:pPr>
              <w:ind w:left="-63" w:leftChars="-30" w:right="-63" w:rightChars="-30"/>
              <w:jc w:val="center"/>
              <w:rPr>
                <w:color w:val="000000"/>
                <w:kern w:val="0"/>
                <w:szCs w:val="21"/>
              </w:rPr>
            </w:pPr>
            <w:r>
              <w:rPr>
                <w:color w:val="000000"/>
                <w:kern w:val="0"/>
                <w:szCs w:val="21"/>
              </w:rPr>
              <w:t>0.3412</w:t>
            </w:r>
          </w:p>
        </w:tc>
        <w:tc>
          <w:tcPr>
            <w:tcW w:w="300" w:type="dxa"/>
            <w:noWrap w:val="0"/>
            <w:vAlign w:val="center"/>
          </w:tcPr>
          <w:p w14:paraId="6724BFDC">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1DBAD374">
            <w:pPr>
              <w:ind w:left="-63" w:leftChars="-30" w:right="-63" w:rightChars="-30"/>
              <w:jc w:val="center"/>
              <w:rPr>
                <w:color w:val="000000"/>
                <w:kern w:val="0"/>
                <w:szCs w:val="21"/>
              </w:rPr>
            </w:pPr>
            <w:r>
              <w:rPr>
                <w:color w:val="000000"/>
                <w:kern w:val="0"/>
                <w:szCs w:val="21"/>
              </w:rPr>
              <w:t>28.25</w:t>
            </w:r>
          </w:p>
        </w:tc>
      </w:tr>
      <w:tr w14:paraId="313A0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noWrap w:val="0"/>
            <w:vAlign w:val="center"/>
          </w:tcPr>
          <w:p w14:paraId="4F87BA1A">
            <w:pPr>
              <w:ind w:left="-63" w:leftChars="-30" w:right="-63" w:rightChars="-30"/>
              <w:jc w:val="center"/>
              <w:rPr>
                <w:color w:val="000000"/>
                <w:kern w:val="0"/>
                <w:szCs w:val="21"/>
              </w:rPr>
            </w:pPr>
            <w:r>
              <w:rPr>
                <w:color w:val="000000"/>
                <w:kern w:val="0"/>
                <w:szCs w:val="21"/>
              </w:rPr>
              <w:t>12</w:t>
            </w:r>
          </w:p>
        </w:tc>
        <w:tc>
          <w:tcPr>
            <w:tcW w:w="635" w:type="dxa"/>
            <w:vMerge w:val="restart"/>
            <w:noWrap w:val="0"/>
            <w:vAlign w:val="center"/>
          </w:tcPr>
          <w:p w14:paraId="43017326">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大营镇</w:t>
            </w:r>
          </w:p>
        </w:tc>
        <w:tc>
          <w:tcPr>
            <w:tcW w:w="567" w:type="dxa"/>
            <w:noWrap w:val="0"/>
            <w:vAlign w:val="center"/>
          </w:tcPr>
          <w:p w14:paraId="277C9035">
            <w:pPr>
              <w:ind w:left="-63" w:leftChars="-30" w:right="-63" w:rightChars="-30"/>
              <w:jc w:val="center"/>
              <w:rPr>
                <w:color w:val="000000"/>
                <w:kern w:val="0"/>
                <w:szCs w:val="21"/>
              </w:rPr>
            </w:pPr>
            <w:r>
              <w:rPr>
                <w:color w:val="000000"/>
                <w:kern w:val="0"/>
                <w:szCs w:val="21"/>
              </w:rPr>
              <w:t>1</w:t>
            </w:r>
          </w:p>
        </w:tc>
        <w:tc>
          <w:tcPr>
            <w:tcW w:w="4394" w:type="dxa"/>
            <w:noWrap w:val="0"/>
            <w:vAlign w:val="center"/>
          </w:tcPr>
          <w:p w14:paraId="0327C61A">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东至振兴路、解放路，南至兴国路，西至便民路、蕲大路，北至健康路、邓陈路</w:t>
            </w:r>
          </w:p>
        </w:tc>
        <w:tc>
          <w:tcPr>
            <w:tcW w:w="733" w:type="dxa"/>
            <w:noWrap w:val="0"/>
            <w:vAlign w:val="center"/>
          </w:tcPr>
          <w:p w14:paraId="54E88E21">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5DD76366">
            <w:pPr>
              <w:ind w:left="-63" w:leftChars="-30" w:right="-63" w:rightChars="-30"/>
              <w:jc w:val="center"/>
              <w:rPr>
                <w:color w:val="000000"/>
                <w:kern w:val="0"/>
                <w:szCs w:val="21"/>
              </w:rPr>
            </w:pPr>
            <w:r>
              <w:rPr>
                <w:color w:val="000000"/>
                <w:kern w:val="0"/>
                <w:szCs w:val="21"/>
              </w:rPr>
              <w:t>95</w:t>
            </w:r>
          </w:p>
        </w:tc>
        <w:tc>
          <w:tcPr>
            <w:tcW w:w="836" w:type="dxa"/>
            <w:noWrap w:val="0"/>
            <w:vAlign w:val="center"/>
          </w:tcPr>
          <w:p w14:paraId="6505C882">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3CB82E06">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0F61BCA0">
            <w:pPr>
              <w:ind w:left="-63" w:leftChars="-30" w:right="-63" w:rightChars="-30"/>
              <w:jc w:val="center"/>
              <w:rPr>
                <w:color w:val="000000"/>
                <w:kern w:val="0"/>
                <w:szCs w:val="21"/>
              </w:rPr>
            </w:pPr>
            <w:r>
              <w:rPr>
                <w:color w:val="000000"/>
                <w:kern w:val="0"/>
                <w:szCs w:val="21"/>
              </w:rPr>
              <w:t>31.48</w:t>
            </w:r>
          </w:p>
        </w:tc>
      </w:tr>
      <w:tr w14:paraId="47D1F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4A33E723">
            <w:pPr>
              <w:ind w:left="-63" w:leftChars="-30" w:right="-63" w:rightChars="-30"/>
              <w:rPr>
                <w:color w:val="000000"/>
                <w:kern w:val="0"/>
                <w:szCs w:val="21"/>
              </w:rPr>
            </w:pPr>
          </w:p>
        </w:tc>
        <w:tc>
          <w:tcPr>
            <w:tcW w:w="635" w:type="dxa"/>
            <w:vMerge w:val="continue"/>
            <w:noWrap w:val="0"/>
            <w:vAlign w:val="center"/>
          </w:tcPr>
          <w:p w14:paraId="7561771D">
            <w:pPr>
              <w:ind w:left="-63" w:leftChars="-30" w:right="-63" w:rightChars="-30"/>
              <w:rPr>
                <w:rFonts w:ascii="楷体_GB2312" w:hAnsi="宋体" w:eastAsia="楷体_GB2312" w:cs="宋体"/>
                <w:color w:val="000000"/>
                <w:kern w:val="0"/>
                <w:szCs w:val="21"/>
              </w:rPr>
            </w:pPr>
          </w:p>
        </w:tc>
        <w:tc>
          <w:tcPr>
            <w:tcW w:w="567" w:type="dxa"/>
            <w:noWrap w:val="0"/>
            <w:vAlign w:val="center"/>
          </w:tcPr>
          <w:p w14:paraId="0506BF46">
            <w:pPr>
              <w:ind w:left="-63" w:leftChars="-30" w:right="-63" w:rightChars="-30"/>
              <w:jc w:val="center"/>
              <w:rPr>
                <w:color w:val="000000"/>
                <w:kern w:val="0"/>
                <w:szCs w:val="21"/>
              </w:rPr>
            </w:pPr>
            <w:r>
              <w:rPr>
                <w:color w:val="000000"/>
                <w:kern w:val="0"/>
                <w:szCs w:val="21"/>
              </w:rPr>
              <w:t>2</w:t>
            </w:r>
          </w:p>
        </w:tc>
        <w:tc>
          <w:tcPr>
            <w:tcW w:w="4394" w:type="dxa"/>
            <w:noWrap w:val="0"/>
            <w:vAlign w:val="center"/>
          </w:tcPr>
          <w:p w14:paraId="5E9E51D8">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东至兴大路、解放沟，南至</w:t>
            </w:r>
            <w:r>
              <w:rPr>
                <w:rFonts w:hint="eastAsia" w:ascii="宋体" w:hAnsi="宋体" w:cs="宋体"/>
                <w:color w:val="000000"/>
                <w:kern w:val="0"/>
                <w:szCs w:val="21"/>
              </w:rPr>
              <w:t>澥</w:t>
            </w:r>
            <w:r>
              <w:rPr>
                <w:rFonts w:hint="eastAsia" w:ascii="楷体_GB2312" w:hAnsi="宋体" w:eastAsia="楷体_GB2312" w:cs="宋体"/>
                <w:color w:val="000000"/>
                <w:kern w:val="0"/>
                <w:szCs w:val="21"/>
              </w:rPr>
              <w:t>河路、民安路，西至蕲大路、银兴河路，北至邓陈路、沿江路</w:t>
            </w:r>
          </w:p>
        </w:tc>
        <w:tc>
          <w:tcPr>
            <w:tcW w:w="733" w:type="dxa"/>
            <w:noWrap w:val="0"/>
            <w:vAlign w:val="center"/>
          </w:tcPr>
          <w:p w14:paraId="3EE0D5A1">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46E60CFA">
            <w:pPr>
              <w:ind w:left="-63" w:leftChars="-30" w:right="-63" w:rightChars="-30"/>
              <w:jc w:val="center"/>
              <w:rPr>
                <w:color w:val="000000"/>
                <w:kern w:val="0"/>
                <w:szCs w:val="21"/>
              </w:rPr>
            </w:pPr>
            <w:r>
              <w:rPr>
                <w:color w:val="000000"/>
                <w:kern w:val="0"/>
                <w:szCs w:val="21"/>
              </w:rPr>
              <w:t>92</w:t>
            </w:r>
          </w:p>
        </w:tc>
        <w:tc>
          <w:tcPr>
            <w:tcW w:w="836" w:type="dxa"/>
            <w:noWrap w:val="0"/>
            <w:vAlign w:val="center"/>
          </w:tcPr>
          <w:p w14:paraId="6E49384C">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3507EA44">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4F8D9548">
            <w:pPr>
              <w:ind w:left="-63" w:leftChars="-30" w:right="-63" w:rightChars="-30"/>
              <w:jc w:val="center"/>
              <w:rPr>
                <w:color w:val="000000"/>
                <w:kern w:val="0"/>
                <w:szCs w:val="21"/>
              </w:rPr>
            </w:pPr>
            <w:r>
              <w:rPr>
                <w:color w:val="000000"/>
                <w:kern w:val="0"/>
                <w:szCs w:val="21"/>
              </w:rPr>
              <w:t>28.96</w:t>
            </w:r>
          </w:p>
        </w:tc>
      </w:tr>
      <w:tr w14:paraId="1CB6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2AF4E940">
            <w:pPr>
              <w:ind w:left="-63" w:leftChars="-30" w:right="-63" w:rightChars="-30"/>
              <w:rPr>
                <w:color w:val="000000"/>
                <w:kern w:val="0"/>
                <w:szCs w:val="21"/>
              </w:rPr>
            </w:pPr>
          </w:p>
        </w:tc>
        <w:tc>
          <w:tcPr>
            <w:tcW w:w="635" w:type="dxa"/>
            <w:vMerge w:val="continue"/>
            <w:noWrap w:val="0"/>
            <w:vAlign w:val="center"/>
          </w:tcPr>
          <w:p w14:paraId="7029F426">
            <w:pPr>
              <w:ind w:left="-63" w:leftChars="-30" w:right="-63" w:rightChars="-30"/>
              <w:rPr>
                <w:rFonts w:ascii="楷体_GB2312" w:hAnsi="宋体" w:eastAsia="楷体_GB2312" w:cs="宋体"/>
                <w:color w:val="000000"/>
                <w:kern w:val="0"/>
                <w:szCs w:val="21"/>
              </w:rPr>
            </w:pPr>
          </w:p>
        </w:tc>
        <w:tc>
          <w:tcPr>
            <w:tcW w:w="567" w:type="dxa"/>
            <w:noWrap w:val="0"/>
            <w:vAlign w:val="center"/>
          </w:tcPr>
          <w:p w14:paraId="06EC1800">
            <w:pPr>
              <w:ind w:left="-63" w:leftChars="-30" w:right="-63" w:rightChars="-30"/>
              <w:jc w:val="center"/>
              <w:rPr>
                <w:color w:val="000000"/>
                <w:kern w:val="0"/>
                <w:szCs w:val="21"/>
              </w:rPr>
            </w:pPr>
            <w:r>
              <w:rPr>
                <w:color w:val="000000"/>
                <w:kern w:val="0"/>
                <w:szCs w:val="21"/>
              </w:rPr>
              <w:t>3</w:t>
            </w:r>
          </w:p>
        </w:tc>
        <w:tc>
          <w:tcPr>
            <w:tcW w:w="4394" w:type="dxa"/>
            <w:noWrap w:val="0"/>
            <w:vAlign w:val="center"/>
          </w:tcPr>
          <w:p w14:paraId="7A35E6E9">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33" w:type="dxa"/>
            <w:noWrap w:val="0"/>
            <w:vAlign w:val="center"/>
          </w:tcPr>
          <w:p w14:paraId="461DF7E2">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636F1578">
            <w:pPr>
              <w:ind w:left="-63" w:leftChars="-30" w:right="-63" w:rightChars="-30"/>
              <w:jc w:val="center"/>
              <w:rPr>
                <w:color w:val="000000"/>
                <w:kern w:val="0"/>
                <w:szCs w:val="21"/>
              </w:rPr>
            </w:pPr>
            <w:r>
              <w:rPr>
                <w:color w:val="000000"/>
                <w:kern w:val="0"/>
                <w:szCs w:val="21"/>
              </w:rPr>
              <w:t>90</w:t>
            </w:r>
          </w:p>
        </w:tc>
        <w:tc>
          <w:tcPr>
            <w:tcW w:w="836" w:type="dxa"/>
            <w:noWrap w:val="0"/>
            <w:vAlign w:val="center"/>
          </w:tcPr>
          <w:p w14:paraId="15AE5E87">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447F92BA">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3EFA4042">
            <w:pPr>
              <w:ind w:left="-63" w:leftChars="-30" w:right="-63" w:rightChars="-30"/>
              <w:jc w:val="center"/>
              <w:rPr>
                <w:color w:val="000000"/>
                <w:kern w:val="0"/>
                <w:szCs w:val="21"/>
              </w:rPr>
            </w:pPr>
            <w:r>
              <w:rPr>
                <w:color w:val="000000"/>
                <w:kern w:val="0"/>
                <w:szCs w:val="21"/>
              </w:rPr>
              <w:t>27.44</w:t>
            </w:r>
          </w:p>
        </w:tc>
      </w:tr>
      <w:tr w14:paraId="26F6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noWrap w:val="0"/>
            <w:vAlign w:val="center"/>
          </w:tcPr>
          <w:p w14:paraId="299B8210">
            <w:pPr>
              <w:ind w:left="-63" w:leftChars="-30" w:right="-63" w:rightChars="-30"/>
              <w:jc w:val="center"/>
              <w:rPr>
                <w:color w:val="000000"/>
                <w:kern w:val="0"/>
                <w:szCs w:val="21"/>
              </w:rPr>
            </w:pPr>
            <w:r>
              <w:rPr>
                <w:color w:val="000000"/>
                <w:kern w:val="0"/>
                <w:szCs w:val="21"/>
              </w:rPr>
              <w:t>13</w:t>
            </w:r>
          </w:p>
        </w:tc>
        <w:tc>
          <w:tcPr>
            <w:tcW w:w="635" w:type="dxa"/>
            <w:vMerge w:val="restart"/>
            <w:noWrap w:val="0"/>
            <w:vAlign w:val="center"/>
          </w:tcPr>
          <w:p w14:paraId="41FB212F">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褚兰镇</w:t>
            </w:r>
          </w:p>
        </w:tc>
        <w:tc>
          <w:tcPr>
            <w:tcW w:w="567" w:type="dxa"/>
            <w:noWrap w:val="0"/>
            <w:vAlign w:val="center"/>
          </w:tcPr>
          <w:p w14:paraId="5D7B69CC">
            <w:pPr>
              <w:ind w:left="-63" w:leftChars="-30" w:right="-63" w:rightChars="-30"/>
              <w:jc w:val="center"/>
              <w:rPr>
                <w:color w:val="000000"/>
                <w:kern w:val="0"/>
                <w:szCs w:val="21"/>
              </w:rPr>
            </w:pPr>
            <w:r>
              <w:rPr>
                <w:color w:val="000000"/>
                <w:kern w:val="0"/>
                <w:szCs w:val="21"/>
              </w:rPr>
              <w:t>1</w:t>
            </w:r>
          </w:p>
        </w:tc>
        <w:tc>
          <w:tcPr>
            <w:tcW w:w="4394" w:type="dxa"/>
            <w:noWrap w:val="0"/>
            <w:vAlign w:val="center"/>
          </w:tcPr>
          <w:p w14:paraId="13B1C8D8">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东至和悦路，南至政府大街，西至畅购路，北至二徐路</w:t>
            </w:r>
          </w:p>
        </w:tc>
        <w:tc>
          <w:tcPr>
            <w:tcW w:w="733" w:type="dxa"/>
            <w:noWrap w:val="0"/>
            <w:vAlign w:val="center"/>
          </w:tcPr>
          <w:p w14:paraId="715DAD86">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28B4A250">
            <w:pPr>
              <w:ind w:left="-63" w:leftChars="-30" w:right="-63" w:rightChars="-30"/>
              <w:jc w:val="center"/>
              <w:rPr>
                <w:color w:val="000000"/>
                <w:kern w:val="0"/>
                <w:szCs w:val="21"/>
              </w:rPr>
            </w:pPr>
            <w:r>
              <w:rPr>
                <w:color w:val="000000"/>
                <w:kern w:val="0"/>
                <w:szCs w:val="21"/>
              </w:rPr>
              <w:t>95</w:t>
            </w:r>
          </w:p>
        </w:tc>
        <w:tc>
          <w:tcPr>
            <w:tcW w:w="836" w:type="dxa"/>
            <w:noWrap w:val="0"/>
            <w:vAlign w:val="center"/>
          </w:tcPr>
          <w:p w14:paraId="72B16FDA">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5E9318CE">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3276A968">
            <w:pPr>
              <w:ind w:left="-63" w:leftChars="-30" w:right="-63" w:rightChars="-30"/>
              <w:jc w:val="center"/>
              <w:rPr>
                <w:color w:val="000000"/>
                <w:kern w:val="0"/>
                <w:szCs w:val="21"/>
              </w:rPr>
            </w:pPr>
            <w:r>
              <w:rPr>
                <w:color w:val="000000"/>
                <w:kern w:val="0"/>
                <w:szCs w:val="21"/>
              </w:rPr>
              <w:t>31.48</w:t>
            </w:r>
          </w:p>
        </w:tc>
      </w:tr>
      <w:tr w14:paraId="2373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6BB40140">
            <w:pPr>
              <w:ind w:left="-63" w:leftChars="-30" w:right="-63" w:rightChars="-30"/>
              <w:rPr>
                <w:color w:val="000000"/>
                <w:kern w:val="0"/>
                <w:szCs w:val="21"/>
              </w:rPr>
            </w:pPr>
          </w:p>
        </w:tc>
        <w:tc>
          <w:tcPr>
            <w:tcW w:w="635" w:type="dxa"/>
            <w:vMerge w:val="continue"/>
            <w:noWrap w:val="0"/>
            <w:vAlign w:val="center"/>
          </w:tcPr>
          <w:p w14:paraId="2848522E">
            <w:pPr>
              <w:ind w:left="-63" w:leftChars="-30" w:right="-63" w:rightChars="-30"/>
              <w:rPr>
                <w:rFonts w:ascii="楷体_GB2312" w:hAnsi="宋体" w:eastAsia="楷体_GB2312" w:cs="宋体"/>
                <w:color w:val="000000"/>
                <w:kern w:val="0"/>
                <w:szCs w:val="21"/>
              </w:rPr>
            </w:pPr>
          </w:p>
        </w:tc>
        <w:tc>
          <w:tcPr>
            <w:tcW w:w="567" w:type="dxa"/>
            <w:noWrap w:val="0"/>
            <w:vAlign w:val="center"/>
          </w:tcPr>
          <w:p w14:paraId="11F64D76">
            <w:pPr>
              <w:ind w:left="-63" w:leftChars="-30" w:right="-63" w:rightChars="-30"/>
              <w:jc w:val="center"/>
              <w:rPr>
                <w:color w:val="000000"/>
                <w:kern w:val="0"/>
                <w:szCs w:val="21"/>
              </w:rPr>
            </w:pPr>
            <w:r>
              <w:rPr>
                <w:color w:val="000000"/>
                <w:kern w:val="0"/>
                <w:szCs w:val="21"/>
              </w:rPr>
              <w:t>2</w:t>
            </w:r>
          </w:p>
        </w:tc>
        <w:tc>
          <w:tcPr>
            <w:tcW w:w="4394" w:type="dxa"/>
            <w:noWrap w:val="0"/>
            <w:vAlign w:val="center"/>
          </w:tcPr>
          <w:p w14:paraId="1BED0C3E">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东至康安路，南至腾飞路、定级边界，西至滨水路，北至褚岗路</w:t>
            </w:r>
          </w:p>
        </w:tc>
        <w:tc>
          <w:tcPr>
            <w:tcW w:w="733" w:type="dxa"/>
            <w:noWrap w:val="0"/>
            <w:vAlign w:val="center"/>
          </w:tcPr>
          <w:p w14:paraId="5E5EC317">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522C90B9">
            <w:pPr>
              <w:ind w:left="-63" w:leftChars="-30" w:right="-63" w:rightChars="-30"/>
              <w:jc w:val="center"/>
              <w:rPr>
                <w:color w:val="000000"/>
                <w:kern w:val="0"/>
                <w:szCs w:val="21"/>
              </w:rPr>
            </w:pPr>
            <w:r>
              <w:rPr>
                <w:color w:val="000000"/>
                <w:kern w:val="0"/>
                <w:szCs w:val="21"/>
              </w:rPr>
              <w:t>92</w:t>
            </w:r>
          </w:p>
        </w:tc>
        <w:tc>
          <w:tcPr>
            <w:tcW w:w="836" w:type="dxa"/>
            <w:noWrap w:val="0"/>
            <w:vAlign w:val="center"/>
          </w:tcPr>
          <w:p w14:paraId="723BF04F">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40BA4369">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47ECE4D8">
            <w:pPr>
              <w:ind w:left="-63" w:leftChars="-30" w:right="-63" w:rightChars="-30"/>
              <w:jc w:val="center"/>
              <w:rPr>
                <w:color w:val="000000"/>
                <w:kern w:val="0"/>
                <w:szCs w:val="21"/>
              </w:rPr>
            </w:pPr>
            <w:r>
              <w:rPr>
                <w:color w:val="000000"/>
                <w:kern w:val="0"/>
                <w:szCs w:val="21"/>
              </w:rPr>
              <w:t>28.96</w:t>
            </w:r>
          </w:p>
        </w:tc>
      </w:tr>
      <w:tr w14:paraId="3AEC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504614BD">
            <w:pPr>
              <w:ind w:left="-63" w:leftChars="-30" w:right="-63" w:rightChars="-30"/>
              <w:rPr>
                <w:color w:val="000000"/>
                <w:kern w:val="0"/>
                <w:szCs w:val="21"/>
              </w:rPr>
            </w:pPr>
          </w:p>
        </w:tc>
        <w:tc>
          <w:tcPr>
            <w:tcW w:w="635" w:type="dxa"/>
            <w:vMerge w:val="continue"/>
            <w:noWrap w:val="0"/>
            <w:vAlign w:val="center"/>
          </w:tcPr>
          <w:p w14:paraId="4B615024">
            <w:pPr>
              <w:ind w:left="-63" w:leftChars="-30" w:right="-63" w:rightChars="-30"/>
              <w:rPr>
                <w:rFonts w:ascii="楷体_GB2312" w:hAnsi="宋体" w:eastAsia="楷体_GB2312" w:cs="宋体"/>
                <w:color w:val="000000"/>
                <w:kern w:val="0"/>
                <w:szCs w:val="21"/>
              </w:rPr>
            </w:pPr>
          </w:p>
        </w:tc>
        <w:tc>
          <w:tcPr>
            <w:tcW w:w="567" w:type="dxa"/>
            <w:noWrap w:val="0"/>
            <w:vAlign w:val="center"/>
          </w:tcPr>
          <w:p w14:paraId="39019C4E">
            <w:pPr>
              <w:ind w:left="-63" w:leftChars="-30" w:right="-63" w:rightChars="-30"/>
              <w:jc w:val="center"/>
              <w:rPr>
                <w:color w:val="000000"/>
                <w:kern w:val="0"/>
                <w:szCs w:val="21"/>
              </w:rPr>
            </w:pPr>
            <w:r>
              <w:rPr>
                <w:color w:val="000000"/>
                <w:kern w:val="0"/>
                <w:szCs w:val="21"/>
              </w:rPr>
              <w:t>3</w:t>
            </w:r>
          </w:p>
        </w:tc>
        <w:tc>
          <w:tcPr>
            <w:tcW w:w="4394" w:type="dxa"/>
            <w:noWrap w:val="0"/>
            <w:vAlign w:val="center"/>
          </w:tcPr>
          <w:p w14:paraId="5944E7E7">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33" w:type="dxa"/>
            <w:noWrap w:val="0"/>
            <w:vAlign w:val="center"/>
          </w:tcPr>
          <w:p w14:paraId="15B8BCCA">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61BA5BF6">
            <w:pPr>
              <w:ind w:left="-63" w:leftChars="-30" w:right="-63" w:rightChars="-30"/>
              <w:jc w:val="center"/>
              <w:rPr>
                <w:color w:val="000000"/>
                <w:kern w:val="0"/>
                <w:szCs w:val="21"/>
              </w:rPr>
            </w:pPr>
            <w:r>
              <w:rPr>
                <w:color w:val="000000"/>
                <w:kern w:val="0"/>
                <w:szCs w:val="21"/>
              </w:rPr>
              <w:t>90</w:t>
            </w:r>
          </w:p>
        </w:tc>
        <w:tc>
          <w:tcPr>
            <w:tcW w:w="836" w:type="dxa"/>
            <w:noWrap w:val="0"/>
            <w:vAlign w:val="center"/>
          </w:tcPr>
          <w:p w14:paraId="29025152">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2A1BED4C">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63EA826F">
            <w:pPr>
              <w:ind w:left="-63" w:leftChars="-30" w:right="-63" w:rightChars="-30"/>
              <w:jc w:val="center"/>
              <w:rPr>
                <w:color w:val="000000"/>
                <w:kern w:val="0"/>
                <w:szCs w:val="21"/>
              </w:rPr>
            </w:pPr>
            <w:r>
              <w:rPr>
                <w:color w:val="000000"/>
                <w:kern w:val="0"/>
                <w:szCs w:val="21"/>
              </w:rPr>
              <w:t>27.44</w:t>
            </w:r>
          </w:p>
        </w:tc>
      </w:tr>
      <w:tr w14:paraId="028D0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noWrap w:val="0"/>
            <w:vAlign w:val="center"/>
          </w:tcPr>
          <w:p w14:paraId="628FFC26">
            <w:pPr>
              <w:ind w:left="-63" w:leftChars="-30" w:right="-63" w:rightChars="-30"/>
              <w:jc w:val="center"/>
              <w:rPr>
                <w:color w:val="000000"/>
                <w:kern w:val="0"/>
                <w:szCs w:val="21"/>
              </w:rPr>
            </w:pPr>
            <w:r>
              <w:rPr>
                <w:color w:val="000000"/>
                <w:kern w:val="0"/>
                <w:szCs w:val="21"/>
              </w:rPr>
              <w:t>14</w:t>
            </w:r>
          </w:p>
        </w:tc>
        <w:tc>
          <w:tcPr>
            <w:tcW w:w="635" w:type="dxa"/>
            <w:vMerge w:val="restart"/>
            <w:noWrap w:val="0"/>
            <w:vAlign w:val="center"/>
          </w:tcPr>
          <w:p w14:paraId="3F4AE399">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顺河镇</w:t>
            </w:r>
          </w:p>
        </w:tc>
        <w:tc>
          <w:tcPr>
            <w:tcW w:w="567" w:type="dxa"/>
            <w:noWrap w:val="0"/>
            <w:vAlign w:val="center"/>
          </w:tcPr>
          <w:p w14:paraId="6EE311A9">
            <w:pPr>
              <w:ind w:left="-63" w:leftChars="-30" w:right="-63" w:rightChars="-30"/>
              <w:jc w:val="center"/>
              <w:rPr>
                <w:color w:val="000000"/>
                <w:kern w:val="0"/>
                <w:szCs w:val="21"/>
              </w:rPr>
            </w:pPr>
            <w:r>
              <w:rPr>
                <w:color w:val="000000"/>
                <w:kern w:val="0"/>
                <w:szCs w:val="21"/>
              </w:rPr>
              <w:t>1</w:t>
            </w:r>
          </w:p>
        </w:tc>
        <w:tc>
          <w:tcPr>
            <w:tcW w:w="4394" w:type="dxa"/>
            <w:noWrap w:val="0"/>
            <w:vAlign w:val="center"/>
          </w:tcPr>
          <w:p w14:paraId="263A6144">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东至诚信路，南至平安路，西至民主路，北至</w:t>
            </w:r>
            <w:r>
              <w:rPr>
                <w:rFonts w:eastAsia="楷体_GB2312"/>
                <w:color w:val="000000"/>
                <w:kern w:val="0"/>
                <w:szCs w:val="21"/>
              </w:rPr>
              <w:t>302</w:t>
            </w:r>
            <w:r>
              <w:rPr>
                <w:rFonts w:hint="eastAsia" w:ascii="楷体_GB2312" w:hAnsi="宋体" w:eastAsia="楷体_GB2312" w:cs="宋体"/>
                <w:color w:val="000000"/>
                <w:kern w:val="0"/>
                <w:szCs w:val="21"/>
              </w:rPr>
              <w:t>省道</w:t>
            </w:r>
          </w:p>
        </w:tc>
        <w:tc>
          <w:tcPr>
            <w:tcW w:w="733" w:type="dxa"/>
            <w:noWrap w:val="0"/>
            <w:vAlign w:val="center"/>
          </w:tcPr>
          <w:p w14:paraId="46242F76">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56F46388">
            <w:pPr>
              <w:ind w:left="-63" w:leftChars="-30" w:right="-63" w:rightChars="-30"/>
              <w:jc w:val="center"/>
              <w:rPr>
                <w:color w:val="000000"/>
                <w:kern w:val="0"/>
                <w:szCs w:val="21"/>
              </w:rPr>
            </w:pPr>
            <w:r>
              <w:rPr>
                <w:color w:val="000000"/>
                <w:kern w:val="0"/>
                <w:szCs w:val="21"/>
              </w:rPr>
              <w:t>95</w:t>
            </w:r>
          </w:p>
        </w:tc>
        <w:tc>
          <w:tcPr>
            <w:tcW w:w="836" w:type="dxa"/>
            <w:noWrap w:val="0"/>
            <w:vAlign w:val="center"/>
          </w:tcPr>
          <w:p w14:paraId="317F040D">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69DD27AE">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179B7FA6">
            <w:pPr>
              <w:ind w:left="-63" w:leftChars="-30" w:right="-63" w:rightChars="-30"/>
              <w:jc w:val="center"/>
              <w:rPr>
                <w:color w:val="000000"/>
                <w:kern w:val="0"/>
                <w:szCs w:val="21"/>
              </w:rPr>
            </w:pPr>
            <w:r>
              <w:rPr>
                <w:color w:val="000000"/>
                <w:kern w:val="0"/>
                <w:szCs w:val="21"/>
              </w:rPr>
              <w:t>31.48</w:t>
            </w:r>
          </w:p>
        </w:tc>
      </w:tr>
      <w:tr w14:paraId="712CB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5F15A711">
            <w:pPr>
              <w:ind w:left="-63" w:leftChars="-30" w:right="-63" w:rightChars="-30"/>
              <w:rPr>
                <w:color w:val="000000"/>
                <w:kern w:val="0"/>
                <w:szCs w:val="21"/>
              </w:rPr>
            </w:pPr>
          </w:p>
        </w:tc>
        <w:tc>
          <w:tcPr>
            <w:tcW w:w="635" w:type="dxa"/>
            <w:vMerge w:val="continue"/>
            <w:noWrap w:val="0"/>
            <w:vAlign w:val="center"/>
          </w:tcPr>
          <w:p w14:paraId="67C8360D">
            <w:pPr>
              <w:ind w:left="-63" w:leftChars="-30" w:right="-63" w:rightChars="-30"/>
              <w:rPr>
                <w:rFonts w:ascii="楷体_GB2312" w:hAnsi="宋体" w:eastAsia="楷体_GB2312" w:cs="宋体"/>
                <w:color w:val="000000"/>
                <w:kern w:val="0"/>
                <w:szCs w:val="21"/>
              </w:rPr>
            </w:pPr>
          </w:p>
        </w:tc>
        <w:tc>
          <w:tcPr>
            <w:tcW w:w="567" w:type="dxa"/>
            <w:noWrap w:val="0"/>
            <w:vAlign w:val="center"/>
          </w:tcPr>
          <w:p w14:paraId="1512712A">
            <w:pPr>
              <w:ind w:left="-63" w:leftChars="-30" w:right="-63" w:rightChars="-30"/>
              <w:jc w:val="center"/>
              <w:rPr>
                <w:color w:val="000000"/>
                <w:kern w:val="0"/>
                <w:szCs w:val="21"/>
              </w:rPr>
            </w:pPr>
            <w:r>
              <w:rPr>
                <w:color w:val="000000"/>
                <w:kern w:val="0"/>
                <w:szCs w:val="21"/>
              </w:rPr>
              <w:t>2</w:t>
            </w:r>
          </w:p>
        </w:tc>
        <w:tc>
          <w:tcPr>
            <w:tcW w:w="4394" w:type="dxa"/>
            <w:noWrap w:val="0"/>
            <w:vAlign w:val="center"/>
          </w:tcPr>
          <w:p w14:paraId="2F7BCFBF">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东至万顺路，南至定级边界，西至经十二路，北至</w:t>
            </w:r>
            <w:r>
              <w:rPr>
                <w:rFonts w:eastAsia="楷体_GB2312"/>
                <w:color w:val="000000"/>
                <w:kern w:val="0"/>
                <w:szCs w:val="21"/>
              </w:rPr>
              <w:t>032</w:t>
            </w:r>
            <w:r>
              <w:rPr>
                <w:rFonts w:hint="eastAsia" w:ascii="楷体_GB2312" w:hAnsi="宋体" w:eastAsia="楷体_GB2312" w:cs="宋体"/>
                <w:color w:val="000000"/>
                <w:kern w:val="0"/>
                <w:szCs w:val="21"/>
              </w:rPr>
              <w:t>省道</w:t>
            </w:r>
          </w:p>
        </w:tc>
        <w:tc>
          <w:tcPr>
            <w:tcW w:w="733" w:type="dxa"/>
            <w:noWrap w:val="0"/>
            <w:vAlign w:val="center"/>
          </w:tcPr>
          <w:p w14:paraId="76B460B8">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0073E7E9">
            <w:pPr>
              <w:ind w:left="-63" w:leftChars="-30" w:right="-63" w:rightChars="-30"/>
              <w:jc w:val="center"/>
              <w:rPr>
                <w:color w:val="000000"/>
                <w:kern w:val="0"/>
                <w:szCs w:val="21"/>
              </w:rPr>
            </w:pPr>
            <w:r>
              <w:rPr>
                <w:color w:val="000000"/>
                <w:kern w:val="0"/>
                <w:szCs w:val="21"/>
              </w:rPr>
              <w:t>92</w:t>
            </w:r>
          </w:p>
        </w:tc>
        <w:tc>
          <w:tcPr>
            <w:tcW w:w="836" w:type="dxa"/>
            <w:noWrap w:val="0"/>
            <w:vAlign w:val="center"/>
          </w:tcPr>
          <w:p w14:paraId="60BE427F">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3075F96E">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520E9EAE">
            <w:pPr>
              <w:ind w:left="-63" w:leftChars="-30" w:right="-63" w:rightChars="-30"/>
              <w:jc w:val="center"/>
              <w:rPr>
                <w:color w:val="000000"/>
                <w:kern w:val="0"/>
                <w:szCs w:val="21"/>
              </w:rPr>
            </w:pPr>
            <w:r>
              <w:rPr>
                <w:color w:val="000000"/>
                <w:kern w:val="0"/>
                <w:szCs w:val="21"/>
              </w:rPr>
              <w:t>28.96</w:t>
            </w:r>
          </w:p>
        </w:tc>
      </w:tr>
      <w:tr w14:paraId="4FA1F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609A502D">
            <w:pPr>
              <w:ind w:left="-63" w:leftChars="-30" w:right="-63" w:rightChars="-30"/>
              <w:rPr>
                <w:color w:val="000000"/>
                <w:kern w:val="0"/>
                <w:szCs w:val="21"/>
              </w:rPr>
            </w:pPr>
          </w:p>
        </w:tc>
        <w:tc>
          <w:tcPr>
            <w:tcW w:w="635" w:type="dxa"/>
            <w:vMerge w:val="continue"/>
            <w:noWrap w:val="0"/>
            <w:vAlign w:val="center"/>
          </w:tcPr>
          <w:p w14:paraId="29DAF5F2">
            <w:pPr>
              <w:ind w:left="-63" w:leftChars="-30" w:right="-63" w:rightChars="-30"/>
              <w:rPr>
                <w:rFonts w:ascii="楷体_GB2312" w:hAnsi="宋体" w:eastAsia="楷体_GB2312" w:cs="宋体"/>
                <w:color w:val="000000"/>
                <w:kern w:val="0"/>
                <w:szCs w:val="21"/>
              </w:rPr>
            </w:pPr>
          </w:p>
        </w:tc>
        <w:tc>
          <w:tcPr>
            <w:tcW w:w="567" w:type="dxa"/>
            <w:noWrap w:val="0"/>
            <w:vAlign w:val="center"/>
          </w:tcPr>
          <w:p w14:paraId="2BBB97AE">
            <w:pPr>
              <w:ind w:left="-63" w:leftChars="-30" w:right="-63" w:rightChars="-30"/>
              <w:jc w:val="center"/>
              <w:rPr>
                <w:color w:val="000000"/>
                <w:kern w:val="0"/>
                <w:szCs w:val="21"/>
              </w:rPr>
            </w:pPr>
            <w:r>
              <w:rPr>
                <w:color w:val="000000"/>
                <w:kern w:val="0"/>
                <w:szCs w:val="21"/>
              </w:rPr>
              <w:t>3</w:t>
            </w:r>
          </w:p>
        </w:tc>
        <w:tc>
          <w:tcPr>
            <w:tcW w:w="4394" w:type="dxa"/>
            <w:noWrap w:val="0"/>
            <w:vAlign w:val="center"/>
          </w:tcPr>
          <w:p w14:paraId="3945DA22">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33" w:type="dxa"/>
            <w:noWrap w:val="0"/>
            <w:vAlign w:val="center"/>
          </w:tcPr>
          <w:p w14:paraId="384BA8B6">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5EA6E793">
            <w:pPr>
              <w:ind w:left="-63" w:leftChars="-30" w:right="-63" w:rightChars="-30"/>
              <w:jc w:val="center"/>
              <w:rPr>
                <w:color w:val="000000"/>
                <w:kern w:val="0"/>
                <w:szCs w:val="21"/>
              </w:rPr>
            </w:pPr>
            <w:r>
              <w:rPr>
                <w:color w:val="000000"/>
                <w:kern w:val="0"/>
                <w:szCs w:val="21"/>
              </w:rPr>
              <w:t>90</w:t>
            </w:r>
          </w:p>
        </w:tc>
        <w:tc>
          <w:tcPr>
            <w:tcW w:w="836" w:type="dxa"/>
            <w:noWrap w:val="0"/>
            <w:vAlign w:val="center"/>
          </w:tcPr>
          <w:p w14:paraId="06370AD9">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611A36C7">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11123BD5">
            <w:pPr>
              <w:ind w:left="-63" w:leftChars="-30" w:right="-63" w:rightChars="-30"/>
              <w:jc w:val="center"/>
              <w:rPr>
                <w:color w:val="000000"/>
                <w:kern w:val="0"/>
                <w:szCs w:val="21"/>
              </w:rPr>
            </w:pPr>
            <w:r>
              <w:rPr>
                <w:color w:val="000000"/>
                <w:kern w:val="0"/>
                <w:szCs w:val="21"/>
              </w:rPr>
              <w:t>27.44</w:t>
            </w:r>
          </w:p>
        </w:tc>
      </w:tr>
      <w:tr w14:paraId="6AC95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noWrap w:val="0"/>
            <w:vAlign w:val="center"/>
          </w:tcPr>
          <w:p w14:paraId="28007172">
            <w:pPr>
              <w:ind w:left="-63" w:leftChars="-30" w:right="-63" w:rightChars="-30"/>
              <w:jc w:val="center"/>
              <w:rPr>
                <w:color w:val="000000"/>
                <w:kern w:val="0"/>
                <w:szCs w:val="21"/>
              </w:rPr>
            </w:pPr>
            <w:r>
              <w:rPr>
                <w:color w:val="000000"/>
                <w:kern w:val="0"/>
                <w:szCs w:val="21"/>
              </w:rPr>
              <w:t>15</w:t>
            </w:r>
          </w:p>
        </w:tc>
        <w:tc>
          <w:tcPr>
            <w:tcW w:w="635" w:type="dxa"/>
            <w:vMerge w:val="restart"/>
            <w:noWrap w:val="0"/>
            <w:vAlign w:val="center"/>
          </w:tcPr>
          <w:p w14:paraId="2B960067">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杨庄镇</w:t>
            </w:r>
          </w:p>
        </w:tc>
        <w:tc>
          <w:tcPr>
            <w:tcW w:w="567" w:type="dxa"/>
            <w:noWrap w:val="0"/>
            <w:vAlign w:val="center"/>
          </w:tcPr>
          <w:p w14:paraId="57383F97">
            <w:pPr>
              <w:ind w:left="-63" w:leftChars="-30" w:right="-63" w:rightChars="-30"/>
              <w:jc w:val="center"/>
              <w:rPr>
                <w:color w:val="000000"/>
                <w:kern w:val="0"/>
                <w:szCs w:val="21"/>
              </w:rPr>
            </w:pPr>
            <w:r>
              <w:rPr>
                <w:color w:val="000000"/>
                <w:kern w:val="0"/>
                <w:szCs w:val="21"/>
              </w:rPr>
              <w:t>1</w:t>
            </w:r>
          </w:p>
        </w:tc>
        <w:tc>
          <w:tcPr>
            <w:tcW w:w="4394" w:type="dxa"/>
            <w:noWrap w:val="0"/>
            <w:vAlign w:val="center"/>
          </w:tcPr>
          <w:p w14:paraId="17DCB153">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东至东大路，南至曹褚路、健康路，西至西新大街，北至萧灵路</w:t>
            </w:r>
          </w:p>
        </w:tc>
        <w:tc>
          <w:tcPr>
            <w:tcW w:w="733" w:type="dxa"/>
            <w:noWrap w:val="0"/>
            <w:vAlign w:val="center"/>
          </w:tcPr>
          <w:p w14:paraId="2DA7D51A">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438C62A1">
            <w:pPr>
              <w:ind w:left="-63" w:leftChars="-30" w:right="-63" w:rightChars="-30"/>
              <w:jc w:val="center"/>
              <w:rPr>
                <w:color w:val="000000"/>
                <w:kern w:val="0"/>
                <w:szCs w:val="21"/>
              </w:rPr>
            </w:pPr>
            <w:r>
              <w:rPr>
                <w:color w:val="000000"/>
                <w:kern w:val="0"/>
                <w:szCs w:val="21"/>
              </w:rPr>
              <w:t>95</w:t>
            </w:r>
          </w:p>
        </w:tc>
        <w:tc>
          <w:tcPr>
            <w:tcW w:w="836" w:type="dxa"/>
            <w:noWrap w:val="0"/>
            <w:vAlign w:val="center"/>
          </w:tcPr>
          <w:p w14:paraId="300B06D0">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7629FD30">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5D17E80B">
            <w:pPr>
              <w:ind w:left="-63" w:leftChars="-30" w:right="-63" w:rightChars="-30"/>
              <w:jc w:val="center"/>
              <w:rPr>
                <w:color w:val="000000"/>
                <w:kern w:val="0"/>
                <w:szCs w:val="21"/>
              </w:rPr>
            </w:pPr>
            <w:r>
              <w:rPr>
                <w:color w:val="000000"/>
                <w:kern w:val="0"/>
                <w:szCs w:val="21"/>
              </w:rPr>
              <w:t>31.48</w:t>
            </w:r>
          </w:p>
        </w:tc>
      </w:tr>
      <w:tr w14:paraId="0185F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2E62D813">
            <w:pPr>
              <w:ind w:left="-63" w:leftChars="-30" w:right="-63" w:rightChars="-30"/>
              <w:rPr>
                <w:color w:val="000000"/>
                <w:kern w:val="0"/>
                <w:szCs w:val="21"/>
              </w:rPr>
            </w:pPr>
          </w:p>
        </w:tc>
        <w:tc>
          <w:tcPr>
            <w:tcW w:w="635" w:type="dxa"/>
            <w:vMerge w:val="continue"/>
            <w:noWrap w:val="0"/>
            <w:vAlign w:val="center"/>
          </w:tcPr>
          <w:p w14:paraId="43452493">
            <w:pPr>
              <w:ind w:left="-63" w:leftChars="-30" w:right="-63" w:rightChars="-30"/>
              <w:rPr>
                <w:rFonts w:ascii="楷体_GB2312" w:hAnsi="宋体" w:eastAsia="楷体_GB2312" w:cs="宋体"/>
                <w:color w:val="000000"/>
                <w:kern w:val="0"/>
                <w:szCs w:val="21"/>
              </w:rPr>
            </w:pPr>
          </w:p>
        </w:tc>
        <w:tc>
          <w:tcPr>
            <w:tcW w:w="567" w:type="dxa"/>
            <w:noWrap w:val="0"/>
            <w:vAlign w:val="center"/>
          </w:tcPr>
          <w:p w14:paraId="48807C3F">
            <w:pPr>
              <w:ind w:left="-63" w:leftChars="-30" w:right="-63" w:rightChars="-30"/>
              <w:jc w:val="center"/>
              <w:rPr>
                <w:color w:val="000000"/>
                <w:kern w:val="0"/>
                <w:szCs w:val="21"/>
              </w:rPr>
            </w:pPr>
            <w:r>
              <w:rPr>
                <w:color w:val="000000"/>
                <w:kern w:val="0"/>
                <w:szCs w:val="21"/>
              </w:rPr>
              <w:t>2</w:t>
            </w:r>
          </w:p>
        </w:tc>
        <w:tc>
          <w:tcPr>
            <w:tcW w:w="4394" w:type="dxa"/>
            <w:noWrap w:val="0"/>
            <w:vAlign w:val="center"/>
          </w:tcPr>
          <w:p w14:paraId="5C8DF21D">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东至科技大道，南至人民路，西至西外环路，北至北外环路</w:t>
            </w:r>
          </w:p>
        </w:tc>
        <w:tc>
          <w:tcPr>
            <w:tcW w:w="733" w:type="dxa"/>
            <w:noWrap w:val="0"/>
            <w:vAlign w:val="center"/>
          </w:tcPr>
          <w:p w14:paraId="361DD50C">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4C0259A7">
            <w:pPr>
              <w:ind w:left="-63" w:leftChars="-30" w:right="-63" w:rightChars="-30"/>
              <w:jc w:val="center"/>
              <w:rPr>
                <w:color w:val="000000"/>
                <w:kern w:val="0"/>
                <w:szCs w:val="21"/>
              </w:rPr>
            </w:pPr>
            <w:r>
              <w:rPr>
                <w:color w:val="000000"/>
                <w:kern w:val="0"/>
                <w:szCs w:val="21"/>
              </w:rPr>
              <w:t>92</w:t>
            </w:r>
          </w:p>
        </w:tc>
        <w:tc>
          <w:tcPr>
            <w:tcW w:w="836" w:type="dxa"/>
            <w:noWrap w:val="0"/>
            <w:vAlign w:val="center"/>
          </w:tcPr>
          <w:p w14:paraId="32C79224">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78C95A81">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5AF8CDFD">
            <w:pPr>
              <w:ind w:left="-63" w:leftChars="-30" w:right="-63" w:rightChars="-30"/>
              <w:jc w:val="center"/>
              <w:rPr>
                <w:color w:val="000000"/>
                <w:kern w:val="0"/>
                <w:szCs w:val="21"/>
              </w:rPr>
            </w:pPr>
            <w:r>
              <w:rPr>
                <w:color w:val="000000"/>
                <w:kern w:val="0"/>
                <w:szCs w:val="21"/>
              </w:rPr>
              <w:t>28.96</w:t>
            </w:r>
          </w:p>
        </w:tc>
      </w:tr>
      <w:tr w14:paraId="5360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392D11CF">
            <w:pPr>
              <w:ind w:left="-63" w:leftChars="-30" w:right="-63" w:rightChars="-30"/>
              <w:rPr>
                <w:color w:val="000000"/>
                <w:kern w:val="0"/>
                <w:szCs w:val="21"/>
              </w:rPr>
            </w:pPr>
          </w:p>
        </w:tc>
        <w:tc>
          <w:tcPr>
            <w:tcW w:w="635" w:type="dxa"/>
            <w:vMerge w:val="continue"/>
            <w:noWrap w:val="0"/>
            <w:vAlign w:val="center"/>
          </w:tcPr>
          <w:p w14:paraId="1B4B5BE0">
            <w:pPr>
              <w:ind w:left="-63" w:leftChars="-30" w:right="-63" w:rightChars="-30"/>
              <w:rPr>
                <w:rFonts w:ascii="楷体_GB2312" w:hAnsi="宋体" w:eastAsia="楷体_GB2312" w:cs="宋体"/>
                <w:color w:val="000000"/>
                <w:kern w:val="0"/>
                <w:szCs w:val="21"/>
              </w:rPr>
            </w:pPr>
          </w:p>
        </w:tc>
        <w:tc>
          <w:tcPr>
            <w:tcW w:w="567" w:type="dxa"/>
            <w:noWrap w:val="0"/>
            <w:vAlign w:val="center"/>
          </w:tcPr>
          <w:p w14:paraId="4E136CED">
            <w:pPr>
              <w:ind w:left="-63" w:leftChars="-30" w:right="-63" w:rightChars="-30"/>
              <w:jc w:val="center"/>
              <w:rPr>
                <w:color w:val="000000"/>
                <w:kern w:val="0"/>
                <w:szCs w:val="21"/>
              </w:rPr>
            </w:pPr>
            <w:r>
              <w:rPr>
                <w:color w:val="000000"/>
                <w:kern w:val="0"/>
                <w:szCs w:val="21"/>
              </w:rPr>
              <w:t>3</w:t>
            </w:r>
          </w:p>
        </w:tc>
        <w:tc>
          <w:tcPr>
            <w:tcW w:w="4394" w:type="dxa"/>
            <w:noWrap w:val="0"/>
            <w:vAlign w:val="center"/>
          </w:tcPr>
          <w:p w14:paraId="022D19D7">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33" w:type="dxa"/>
            <w:noWrap w:val="0"/>
            <w:vAlign w:val="center"/>
          </w:tcPr>
          <w:p w14:paraId="6BB047C4">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54926912">
            <w:pPr>
              <w:ind w:left="-63" w:leftChars="-30" w:right="-63" w:rightChars="-30"/>
              <w:jc w:val="center"/>
              <w:rPr>
                <w:color w:val="000000"/>
                <w:kern w:val="0"/>
                <w:szCs w:val="21"/>
              </w:rPr>
            </w:pPr>
            <w:r>
              <w:rPr>
                <w:color w:val="000000"/>
                <w:kern w:val="0"/>
                <w:szCs w:val="21"/>
              </w:rPr>
              <w:t>90</w:t>
            </w:r>
          </w:p>
        </w:tc>
        <w:tc>
          <w:tcPr>
            <w:tcW w:w="836" w:type="dxa"/>
            <w:noWrap w:val="0"/>
            <w:vAlign w:val="center"/>
          </w:tcPr>
          <w:p w14:paraId="2C978A3F">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39FCD95E">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3183805C">
            <w:pPr>
              <w:ind w:left="-63" w:leftChars="-30" w:right="-63" w:rightChars="-30"/>
              <w:jc w:val="center"/>
              <w:rPr>
                <w:color w:val="000000"/>
                <w:kern w:val="0"/>
                <w:szCs w:val="21"/>
              </w:rPr>
            </w:pPr>
            <w:r>
              <w:rPr>
                <w:color w:val="000000"/>
                <w:kern w:val="0"/>
                <w:szCs w:val="21"/>
              </w:rPr>
              <w:t>27.44</w:t>
            </w:r>
          </w:p>
        </w:tc>
      </w:tr>
      <w:tr w14:paraId="312D9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noWrap w:val="0"/>
            <w:vAlign w:val="center"/>
          </w:tcPr>
          <w:p w14:paraId="74C9E421">
            <w:pPr>
              <w:ind w:left="-63" w:leftChars="-30" w:right="-63" w:rightChars="-30"/>
              <w:jc w:val="center"/>
              <w:rPr>
                <w:color w:val="000000"/>
                <w:kern w:val="0"/>
                <w:szCs w:val="21"/>
              </w:rPr>
            </w:pPr>
            <w:r>
              <w:rPr>
                <w:color w:val="000000"/>
                <w:kern w:val="0"/>
                <w:szCs w:val="21"/>
              </w:rPr>
              <w:t>16</w:t>
            </w:r>
          </w:p>
        </w:tc>
        <w:tc>
          <w:tcPr>
            <w:tcW w:w="635" w:type="dxa"/>
            <w:vMerge w:val="restart"/>
            <w:noWrap w:val="0"/>
            <w:vAlign w:val="center"/>
          </w:tcPr>
          <w:p w14:paraId="7730F37C">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永镇乡</w:t>
            </w:r>
          </w:p>
        </w:tc>
        <w:tc>
          <w:tcPr>
            <w:tcW w:w="567" w:type="dxa"/>
            <w:noWrap w:val="0"/>
            <w:vAlign w:val="center"/>
          </w:tcPr>
          <w:p w14:paraId="02CBAAE1">
            <w:pPr>
              <w:ind w:left="-63" w:leftChars="-30" w:right="-63" w:rightChars="-30"/>
              <w:jc w:val="center"/>
              <w:rPr>
                <w:color w:val="000000"/>
                <w:kern w:val="0"/>
                <w:szCs w:val="21"/>
              </w:rPr>
            </w:pPr>
            <w:r>
              <w:rPr>
                <w:color w:val="000000"/>
                <w:kern w:val="0"/>
                <w:szCs w:val="21"/>
              </w:rPr>
              <w:t>1</w:t>
            </w:r>
          </w:p>
        </w:tc>
        <w:tc>
          <w:tcPr>
            <w:tcW w:w="4394" w:type="dxa"/>
            <w:noWrap w:val="0"/>
            <w:vAlign w:val="center"/>
          </w:tcPr>
          <w:p w14:paraId="0D7EA0B2">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东至永安路，南至永乐路，西至</w:t>
            </w:r>
            <w:r>
              <w:rPr>
                <w:rFonts w:eastAsia="楷体_GB2312"/>
                <w:color w:val="000000"/>
                <w:kern w:val="0"/>
                <w:szCs w:val="21"/>
              </w:rPr>
              <w:t>206</w:t>
            </w:r>
            <w:r>
              <w:rPr>
                <w:rFonts w:hint="eastAsia" w:ascii="楷体_GB2312" w:hAnsi="宋体" w:eastAsia="楷体_GB2312" w:cs="宋体"/>
                <w:color w:val="000000"/>
                <w:kern w:val="0"/>
                <w:szCs w:val="21"/>
              </w:rPr>
              <w:t>国道，北至永尚路</w:t>
            </w:r>
          </w:p>
        </w:tc>
        <w:tc>
          <w:tcPr>
            <w:tcW w:w="733" w:type="dxa"/>
            <w:noWrap w:val="0"/>
            <w:vAlign w:val="center"/>
          </w:tcPr>
          <w:p w14:paraId="7645ABD5">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4C890806">
            <w:pPr>
              <w:ind w:left="-63" w:leftChars="-30" w:right="-63" w:rightChars="-30"/>
              <w:jc w:val="center"/>
              <w:rPr>
                <w:color w:val="000000"/>
                <w:kern w:val="0"/>
                <w:szCs w:val="21"/>
              </w:rPr>
            </w:pPr>
            <w:r>
              <w:rPr>
                <w:color w:val="000000"/>
                <w:kern w:val="0"/>
                <w:szCs w:val="21"/>
              </w:rPr>
              <w:t>95</w:t>
            </w:r>
          </w:p>
        </w:tc>
        <w:tc>
          <w:tcPr>
            <w:tcW w:w="836" w:type="dxa"/>
            <w:noWrap w:val="0"/>
            <w:vAlign w:val="center"/>
          </w:tcPr>
          <w:p w14:paraId="6735BE6A">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7D84BB3E">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2979C794">
            <w:pPr>
              <w:ind w:left="-63" w:leftChars="-30" w:right="-63" w:rightChars="-30"/>
              <w:jc w:val="center"/>
              <w:rPr>
                <w:color w:val="000000"/>
                <w:kern w:val="0"/>
                <w:szCs w:val="21"/>
              </w:rPr>
            </w:pPr>
            <w:r>
              <w:rPr>
                <w:color w:val="000000"/>
                <w:kern w:val="0"/>
                <w:szCs w:val="21"/>
              </w:rPr>
              <w:t>31.48</w:t>
            </w:r>
          </w:p>
        </w:tc>
      </w:tr>
      <w:tr w14:paraId="00062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6FB275B0">
            <w:pPr>
              <w:ind w:left="-63" w:leftChars="-30" w:right="-63" w:rightChars="-30"/>
              <w:rPr>
                <w:color w:val="000000"/>
                <w:kern w:val="0"/>
                <w:szCs w:val="21"/>
              </w:rPr>
            </w:pPr>
          </w:p>
        </w:tc>
        <w:tc>
          <w:tcPr>
            <w:tcW w:w="635" w:type="dxa"/>
            <w:vMerge w:val="continue"/>
            <w:noWrap w:val="0"/>
            <w:vAlign w:val="center"/>
          </w:tcPr>
          <w:p w14:paraId="4FC6D13E">
            <w:pPr>
              <w:ind w:left="-63" w:leftChars="-30" w:right="-63" w:rightChars="-30"/>
              <w:rPr>
                <w:rFonts w:ascii="楷体_GB2312" w:hAnsi="宋体" w:eastAsia="楷体_GB2312" w:cs="宋体"/>
                <w:color w:val="000000"/>
                <w:kern w:val="0"/>
                <w:szCs w:val="21"/>
              </w:rPr>
            </w:pPr>
          </w:p>
        </w:tc>
        <w:tc>
          <w:tcPr>
            <w:tcW w:w="567" w:type="dxa"/>
            <w:noWrap w:val="0"/>
            <w:vAlign w:val="center"/>
          </w:tcPr>
          <w:p w14:paraId="71E69264">
            <w:pPr>
              <w:ind w:left="-63" w:leftChars="-30" w:right="-63" w:rightChars="-30"/>
              <w:jc w:val="center"/>
              <w:rPr>
                <w:color w:val="000000"/>
                <w:kern w:val="0"/>
                <w:szCs w:val="21"/>
              </w:rPr>
            </w:pPr>
            <w:r>
              <w:rPr>
                <w:color w:val="000000"/>
                <w:kern w:val="0"/>
                <w:szCs w:val="21"/>
              </w:rPr>
              <w:t>2</w:t>
            </w:r>
          </w:p>
        </w:tc>
        <w:tc>
          <w:tcPr>
            <w:tcW w:w="4394" w:type="dxa"/>
            <w:noWrap w:val="0"/>
            <w:vAlign w:val="center"/>
          </w:tcPr>
          <w:p w14:paraId="2A169C50">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东至永明路，南至永富路，西至</w:t>
            </w:r>
            <w:r>
              <w:rPr>
                <w:rFonts w:eastAsia="楷体_GB2312"/>
                <w:color w:val="000000"/>
                <w:kern w:val="0"/>
                <w:szCs w:val="21"/>
              </w:rPr>
              <w:t>206</w:t>
            </w:r>
            <w:r>
              <w:rPr>
                <w:rFonts w:hint="eastAsia" w:ascii="楷体_GB2312" w:hAnsi="宋体" w:eastAsia="楷体_GB2312" w:cs="宋体"/>
                <w:color w:val="000000"/>
                <w:kern w:val="0"/>
                <w:szCs w:val="21"/>
              </w:rPr>
              <w:t>国道、卫生院西侧，北至永振路</w:t>
            </w:r>
          </w:p>
        </w:tc>
        <w:tc>
          <w:tcPr>
            <w:tcW w:w="733" w:type="dxa"/>
            <w:noWrap w:val="0"/>
            <w:vAlign w:val="center"/>
          </w:tcPr>
          <w:p w14:paraId="622B5E56">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085236B6">
            <w:pPr>
              <w:ind w:left="-63" w:leftChars="-30" w:right="-63" w:rightChars="-30"/>
              <w:jc w:val="center"/>
              <w:rPr>
                <w:color w:val="000000"/>
                <w:kern w:val="0"/>
                <w:szCs w:val="21"/>
              </w:rPr>
            </w:pPr>
            <w:r>
              <w:rPr>
                <w:color w:val="000000"/>
                <w:kern w:val="0"/>
                <w:szCs w:val="21"/>
              </w:rPr>
              <w:t>92</w:t>
            </w:r>
          </w:p>
        </w:tc>
        <w:tc>
          <w:tcPr>
            <w:tcW w:w="836" w:type="dxa"/>
            <w:noWrap w:val="0"/>
            <w:vAlign w:val="center"/>
          </w:tcPr>
          <w:p w14:paraId="08857D11">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27014222">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4A70B329">
            <w:pPr>
              <w:ind w:left="-63" w:leftChars="-30" w:right="-63" w:rightChars="-30"/>
              <w:jc w:val="center"/>
              <w:rPr>
                <w:color w:val="000000"/>
                <w:kern w:val="0"/>
                <w:szCs w:val="21"/>
              </w:rPr>
            </w:pPr>
            <w:r>
              <w:rPr>
                <w:color w:val="000000"/>
                <w:kern w:val="0"/>
                <w:szCs w:val="21"/>
              </w:rPr>
              <w:t>28.96</w:t>
            </w:r>
          </w:p>
        </w:tc>
      </w:tr>
      <w:tr w14:paraId="50E17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390AA762">
            <w:pPr>
              <w:ind w:left="-63" w:leftChars="-30" w:right="-63" w:rightChars="-30"/>
              <w:rPr>
                <w:color w:val="000000"/>
                <w:kern w:val="0"/>
                <w:szCs w:val="21"/>
              </w:rPr>
            </w:pPr>
          </w:p>
        </w:tc>
        <w:tc>
          <w:tcPr>
            <w:tcW w:w="635" w:type="dxa"/>
            <w:vMerge w:val="continue"/>
            <w:noWrap w:val="0"/>
            <w:vAlign w:val="center"/>
          </w:tcPr>
          <w:p w14:paraId="5F960B9F">
            <w:pPr>
              <w:ind w:left="-63" w:leftChars="-30" w:right="-63" w:rightChars="-30"/>
              <w:rPr>
                <w:rFonts w:ascii="楷体_GB2312" w:hAnsi="宋体" w:eastAsia="楷体_GB2312" w:cs="宋体"/>
                <w:color w:val="000000"/>
                <w:kern w:val="0"/>
                <w:szCs w:val="21"/>
              </w:rPr>
            </w:pPr>
          </w:p>
        </w:tc>
        <w:tc>
          <w:tcPr>
            <w:tcW w:w="567" w:type="dxa"/>
            <w:noWrap w:val="0"/>
            <w:vAlign w:val="center"/>
          </w:tcPr>
          <w:p w14:paraId="31506AA2">
            <w:pPr>
              <w:ind w:left="-63" w:leftChars="-30" w:right="-63" w:rightChars="-30"/>
              <w:jc w:val="center"/>
              <w:rPr>
                <w:color w:val="000000"/>
                <w:kern w:val="0"/>
                <w:szCs w:val="21"/>
              </w:rPr>
            </w:pPr>
            <w:r>
              <w:rPr>
                <w:color w:val="000000"/>
                <w:kern w:val="0"/>
                <w:szCs w:val="21"/>
              </w:rPr>
              <w:t>3</w:t>
            </w:r>
          </w:p>
        </w:tc>
        <w:tc>
          <w:tcPr>
            <w:tcW w:w="4394" w:type="dxa"/>
            <w:noWrap w:val="0"/>
            <w:vAlign w:val="center"/>
          </w:tcPr>
          <w:p w14:paraId="7CA732C1">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33" w:type="dxa"/>
            <w:noWrap w:val="0"/>
            <w:vAlign w:val="center"/>
          </w:tcPr>
          <w:p w14:paraId="04E712DC">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6479C20C">
            <w:pPr>
              <w:ind w:left="-63" w:leftChars="-30" w:right="-63" w:rightChars="-30"/>
              <w:jc w:val="center"/>
              <w:rPr>
                <w:color w:val="000000"/>
                <w:kern w:val="0"/>
                <w:szCs w:val="21"/>
              </w:rPr>
            </w:pPr>
            <w:r>
              <w:rPr>
                <w:color w:val="000000"/>
                <w:kern w:val="0"/>
                <w:szCs w:val="21"/>
              </w:rPr>
              <w:t>90</w:t>
            </w:r>
          </w:p>
        </w:tc>
        <w:tc>
          <w:tcPr>
            <w:tcW w:w="836" w:type="dxa"/>
            <w:noWrap w:val="0"/>
            <w:vAlign w:val="center"/>
          </w:tcPr>
          <w:p w14:paraId="29E2F93A">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18B8A133">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74222AC3">
            <w:pPr>
              <w:ind w:left="-63" w:leftChars="-30" w:right="-63" w:rightChars="-30"/>
              <w:jc w:val="center"/>
              <w:rPr>
                <w:color w:val="000000"/>
                <w:kern w:val="0"/>
                <w:szCs w:val="21"/>
              </w:rPr>
            </w:pPr>
            <w:r>
              <w:rPr>
                <w:color w:val="000000"/>
                <w:kern w:val="0"/>
                <w:szCs w:val="21"/>
              </w:rPr>
              <w:t>27.44</w:t>
            </w:r>
          </w:p>
        </w:tc>
      </w:tr>
      <w:tr w14:paraId="78B8E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noWrap w:val="0"/>
            <w:vAlign w:val="center"/>
          </w:tcPr>
          <w:p w14:paraId="752BFF55">
            <w:pPr>
              <w:ind w:left="-63" w:leftChars="-30" w:right="-63" w:rightChars="-30"/>
              <w:jc w:val="center"/>
              <w:rPr>
                <w:color w:val="000000"/>
                <w:kern w:val="0"/>
                <w:szCs w:val="21"/>
              </w:rPr>
            </w:pPr>
            <w:r>
              <w:rPr>
                <w:color w:val="000000"/>
                <w:kern w:val="0"/>
                <w:szCs w:val="21"/>
              </w:rPr>
              <w:t>17</w:t>
            </w:r>
          </w:p>
        </w:tc>
        <w:tc>
          <w:tcPr>
            <w:tcW w:w="635" w:type="dxa"/>
            <w:vMerge w:val="restart"/>
            <w:noWrap w:val="0"/>
            <w:vAlign w:val="center"/>
          </w:tcPr>
          <w:p w14:paraId="2AE44AFF">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解集镇</w:t>
            </w:r>
          </w:p>
        </w:tc>
        <w:tc>
          <w:tcPr>
            <w:tcW w:w="567" w:type="dxa"/>
            <w:noWrap w:val="0"/>
            <w:vAlign w:val="center"/>
          </w:tcPr>
          <w:p w14:paraId="10FADC3C">
            <w:pPr>
              <w:ind w:left="-63" w:leftChars="-30" w:right="-63" w:rightChars="-30"/>
              <w:jc w:val="center"/>
              <w:rPr>
                <w:color w:val="000000"/>
                <w:kern w:val="0"/>
                <w:szCs w:val="21"/>
              </w:rPr>
            </w:pPr>
            <w:r>
              <w:rPr>
                <w:color w:val="000000"/>
                <w:kern w:val="0"/>
                <w:szCs w:val="21"/>
              </w:rPr>
              <w:t>1</w:t>
            </w:r>
          </w:p>
        </w:tc>
        <w:tc>
          <w:tcPr>
            <w:tcW w:w="4394" w:type="dxa"/>
            <w:noWrap w:val="0"/>
            <w:vAlign w:val="center"/>
          </w:tcPr>
          <w:p w14:paraId="346409EE">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东至三岔路、芳草路、原家居街，南至肉食街，西至公园路，北至怡情路、装潢街</w:t>
            </w:r>
          </w:p>
        </w:tc>
        <w:tc>
          <w:tcPr>
            <w:tcW w:w="733" w:type="dxa"/>
            <w:noWrap w:val="0"/>
            <w:vAlign w:val="center"/>
          </w:tcPr>
          <w:p w14:paraId="301BE9F2">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6226E0E4">
            <w:pPr>
              <w:ind w:left="-63" w:leftChars="-30" w:right="-63" w:rightChars="-30"/>
              <w:jc w:val="center"/>
              <w:rPr>
                <w:color w:val="000000"/>
                <w:kern w:val="0"/>
                <w:szCs w:val="21"/>
              </w:rPr>
            </w:pPr>
            <w:r>
              <w:rPr>
                <w:color w:val="000000"/>
                <w:kern w:val="0"/>
                <w:szCs w:val="21"/>
              </w:rPr>
              <w:t>95</w:t>
            </w:r>
          </w:p>
        </w:tc>
        <w:tc>
          <w:tcPr>
            <w:tcW w:w="836" w:type="dxa"/>
            <w:noWrap w:val="0"/>
            <w:vAlign w:val="center"/>
          </w:tcPr>
          <w:p w14:paraId="66ECFF00">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26C05DDE">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1D1FE7B8">
            <w:pPr>
              <w:ind w:left="-63" w:leftChars="-30" w:right="-63" w:rightChars="-30"/>
              <w:jc w:val="center"/>
              <w:rPr>
                <w:color w:val="000000"/>
                <w:kern w:val="0"/>
                <w:szCs w:val="21"/>
              </w:rPr>
            </w:pPr>
            <w:r>
              <w:rPr>
                <w:color w:val="000000"/>
                <w:kern w:val="0"/>
                <w:szCs w:val="21"/>
              </w:rPr>
              <w:t>31.48</w:t>
            </w:r>
          </w:p>
        </w:tc>
      </w:tr>
      <w:tr w14:paraId="56DD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5099D422">
            <w:pPr>
              <w:ind w:left="-63" w:leftChars="-30" w:right="-63" w:rightChars="-30"/>
              <w:rPr>
                <w:color w:val="000000"/>
                <w:kern w:val="0"/>
                <w:szCs w:val="21"/>
              </w:rPr>
            </w:pPr>
          </w:p>
        </w:tc>
        <w:tc>
          <w:tcPr>
            <w:tcW w:w="635" w:type="dxa"/>
            <w:vMerge w:val="continue"/>
            <w:noWrap w:val="0"/>
            <w:vAlign w:val="center"/>
          </w:tcPr>
          <w:p w14:paraId="28062723">
            <w:pPr>
              <w:ind w:left="-63" w:leftChars="-30" w:right="-63" w:rightChars="-30"/>
              <w:rPr>
                <w:rFonts w:ascii="楷体_GB2312" w:hAnsi="宋体" w:eastAsia="楷体_GB2312" w:cs="宋体"/>
                <w:color w:val="000000"/>
                <w:kern w:val="0"/>
                <w:szCs w:val="21"/>
              </w:rPr>
            </w:pPr>
          </w:p>
        </w:tc>
        <w:tc>
          <w:tcPr>
            <w:tcW w:w="567" w:type="dxa"/>
            <w:noWrap w:val="0"/>
            <w:vAlign w:val="center"/>
          </w:tcPr>
          <w:p w14:paraId="54E50CC8">
            <w:pPr>
              <w:ind w:left="-63" w:leftChars="-30" w:right="-63" w:rightChars="-30"/>
              <w:jc w:val="center"/>
              <w:rPr>
                <w:color w:val="000000"/>
                <w:kern w:val="0"/>
                <w:szCs w:val="21"/>
              </w:rPr>
            </w:pPr>
            <w:r>
              <w:rPr>
                <w:color w:val="000000"/>
                <w:kern w:val="0"/>
                <w:szCs w:val="21"/>
              </w:rPr>
              <w:t>2</w:t>
            </w:r>
          </w:p>
        </w:tc>
        <w:tc>
          <w:tcPr>
            <w:tcW w:w="4394" w:type="dxa"/>
            <w:noWrap w:val="0"/>
            <w:vAlign w:val="center"/>
          </w:tcPr>
          <w:p w14:paraId="068A5508">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东至盛安路、福安路，南至新大街，西至河西路、拖尾河，北至山闵路</w:t>
            </w:r>
          </w:p>
        </w:tc>
        <w:tc>
          <w:tcPr>
            <w:tcW w:w="733" w:type="dxa"/>
            <w:noWrap w:val="0"/>
            <w:vAlign w:val="center"/>
          </w:tcPr>
          <w:p w14:paraId="2D47E763">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05563650">
            <w:pPr>
              <w:ind w:left="-63" w:leftChars="-30" w:right="-63" w:rightChars="-30"/>
              <w:jc w:val="center"/>
              <w:rPr>
                <w:color w:val="000000"/>
                <w:kern w:val="0"/>
                <w:szCs w:val="21"/>
              </w:rPr>
            </w:pPr>
            <w:r>
              <w:rPr>
                <w:color w:val="000000"/>
                <w:kern w:val="0"/>
                <w:szCs w:val="21"/>
              </w:rPr>
              <w:t>92</w:t>
            </w:r>
          </w:p>
        </w:tc>
        <w:tc>
          <w:tcPr>
            <w:tcW w:w="836" w:type="dxa"/>
            <w:noWrap w:val="0"/>
            <w:vAlign w:val="center"/>
          </w:tcPr>
          <w:p w14:paraId="32A723DB">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5703872A">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6DD00781">
            <w:pPr>
              <w:ind w:left="-63" w:leftChars="-30" w:right="-63" w:rightChars="-30"/>
              <w:jc w:val="center"/>
              <w:rPr>
                <w:color w:val="000000"/>
                <w:kern w:val="0"/>
                <w:szCs w:val="21"/>
              </w:rPr>
            </w:pPr>
            <w:r>
              <w:rPr>
                <w:color w:val="000000"/>
                <w:kern w:val="0"/>
                <w:szCs w:val="21"/>
              </w:rPr>
              <w:t>28.96</w:t>
            </w:r>
          </w:p>
        </w:tc>
      </w:tr>
      <w:tr w14:paraId="347EA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300563A7">
            <w:pPr>
              <w:ind w:left="-63" w:leftChars="-30" w:right="-63" w:rightChars="-30"/>
              <w:rPr>
                <w:color w:val="000000"/>
                <w:kern w:val="0"/>
                <w:szCs w:val="21"/>
              </w:rPr>
            </w:pPr>
          </w:p>
        </w:tc>
        <w:tc>
          <w:tcPr>
            <w:tcW w:w="635" w:type="dxa"/>
            <w:vMerge w:val="continue"/>
            <w:noWrap w:val="0"/>
            <w:vAlign w:val="center"/>
          </w:tcPr>
          <w:p w14:paraId="01951411">
            <w:pPr>
              <w:ind w:left="-63" w:leftChars="-30" w:right="-63" w:rightChars="-30"/>
              <w:rPr>
                <w:rFonts w:ascii="楷体_GB2312" w:hAnsi="宋体" w:eastAsia="楷体_GB2312" w:cs="宋体"/>
                <w:color w:val="000000"/>
                <w:kern w:val="0"/>
                <w:szCs w:val="21"/>
              </w:rPr>
            </w:pPr>
          </w:p>
        </w:tc>
        <w:tc>
          <w:tcPr>
            <w:tcW w:w="567" w:type="dxa"/>
            <w:noWrap w:val="0"/>
            <w:vAlign w:val="center"/>
          </w:tcPr>
          <w:p w14:paraId="06462369">
            <w:pPr>
              <w:ind w:left="-63" w:leftChars="-30" w:right="-63" w:rightChars="-30"/>
              <w:jc w:val="center"/>
              <w:rPr>
                <w:color w:val="000000"/>
                <w:kern w:val="0"/>
                <w:szCs w:val="21"/>
              </w:rPr>
            </w:pPr>
            <w:r>
              <w:rPr>
                <w:color w:val="000000"/>
                <w:kern w:val="0"/>
                <w:szCs w:val="21"/>
              </w:rPr>
              <w:t>3</w:t>
            </w:r>
          </w:p>
        </w:tc>
        <w:tc>
          <w:tcPr>
            <w:tcW w:w="4394" w:type="dxa"/>
            <w:noWrap w:val="0"/>
            <w:vAlign w:val="center"/>
          </w:tcPr>
          <w:p w14:paraId="040B3ED9">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33" w:type="dxa"/>
            <w:noWrap w:val="0"/>
            <w:vAlign w:val="center"/>
          </w:tcPr>
          <w:p w14:paraId="36997BB8">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6A59BA74">
            <w:pPr>
              <w:ind w:left="-63" w:leftChars="-30" w:right="-63" w:rightChars="-30"/>
              <w:jc w:val="center"/>
              <w:rPr>
                <w:color w:val="000000"/>
                <w:kern w:val="0"/>
                <w:szCs w:val="21"/>
              </w:rPr>
            </w:pPr>
            <w:r>
              <w:rPr>
                <w:color w:val="000000"/>
                <w:kern w:val="0"/>
                <w:szCs w:val="21"/>
              </w:rPr>
              <w:t>90</w:t>
            </w:r>
          </w:p>
        </w:tc>
        <w:tc>
          <w:tcPr>
            <w:tcW w:w="836" w:type="dxa"/>
            <w:noWrap w:val="0"/>
            <w:vAlign w:val="center"/>
          </w:tcPr>
          <w:p w14:paraId="6D25EEFC">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07707D29">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4FA731E9">
            <w:pPr>
              <w:ind w:left="-63" w:leftChars="-30" w:right="-63" w:rightChars="-30"/>
              <w:jc w:val="center"/>
              <w:rPr>
                <w:color w:val="000000"/>
                <w:kern w:val="0"/>
                <w:szCs w:val="21"/>
              </w:rPr>
            </w:pPr>
            <w:r>
              <w:rPr>
                <w:color w:val="000000"/>
                <w:kern w:val="0"/>
                <w:szCs w:val="21"/>
              </w:rPr>
              <w:t>27.44</w:t>
            </w:r>
          </w:p>
        </w:tc>
      </w:tr>
      <w:tr w14:paraId="139CA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noWrap w:val="0"/>
            <w:vAlign w:val="center"/>
          </w:tcPr>
          <w:p w14:paraId="7684A4D9">
            <w:pPr>
              <w:ind w:left="-63" w:leftChars="-30" w:right="-63" w:rightChars="-30"/>
              <w:jc w:val="center"/>
              <w:rPr>
                <w:color w:val="000000"/>
                <w:kern w:val="0"/>
                <w:szCs w:val="21"/>
              </w:rPr>
            </w:pPr>
            <w:r>
              <w:rPr>
                <w:color w:val="000000"/>
                <w:kern w:val="0"/>
                <w:szCs w:val="21"/>
              </w:rPr>
              <w:t>18</w:t>
            </w:r>
          </w:p>
        </w:tc>
        <w:tc>
          <w:tcPr>
            <w:tcW w:w="635" w:type="dxa"/>
            <w:vMerge w:val="restart"/>
            <w:noWrap w:val="0"/>
            <w:vAlign w:val="center"/>
          </w:tcPr>
          <w:p w14:paraId="432B2838">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大泽乡镇</w:t>
            </w:r>
          </w:p>
        </w:tc>
        <w:tc>
          <w:tcPr>
            <w:tcW w:w="567" w:type="dxa"/>
            <w:noWrap w:val="0"/>
            <w:vAlign w:val="center"/>
          </w:tcPr>
          <w:p w14:paraId="0D94E8BC">
            <w:pPr>
              <w:ind w:left="-63" w:leftChars="-30" w:right="-63" w:rightChars="-30"/>
              <w:jc w:val="center"/>
              <w:rPr>
                <w:color w:val="000000"/>
                <w:kern w:val="0"/>
                <w:szCs w:val="21"/>
              </w:rPr>
            </w:pPr>
            <w:r>
              <w:rPr>
                <w:color w:val="000000"/>
                <w:kern w:val="0"/>
                <w:szCs w:val="21"/>
              </w:rPr>
              <w:t>1</w:t>
            </w:r>
          </w:p>
        </w:tc>
        <w:tc>
          <w:tcPr>
            <w:tcW w:w="4394" w:type="dxa"/>
            <w:noWrap w:val="0"/>
            <w:vAlign w:val="center"/>
          </w:tcPr>
          <w:p w14:paraId="413BB72B">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东至涉故路，南至求知路，西至鸿鹄路，北至站前路、京沪铁路</w:t>
            </w:r>
          </w:p>
        </w:tc>
        <w:tc>
          <w:tcPr>
            <w:tcW w:w="733" w:type="dxa"/>
            <w:noWrap w:val="0"/>
            <w:vAlign w:val="center"/>
          </w:tcPr>
          <w:p w14:paraId="5976385B">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716FFEDD">
            <w:pPr>
              <w:ind w:left="-63" w:leftChars="-30" w:right="-63" w:rightChars="-30"/>
              <w:jc w:val="center"/>
              <w:rPr>
                <w:color w:val="000000"/>
                <w:kern w:val="0"/>
                <w:szCs w:val="21"/>
              </w:rPr>
            </w:pPr>
            <w:r>
              <w:rPr>
                <w:color w:val="000000"/>
                <w:kern w:val="0"/>
                <w:szCs w:val="21"/>
              </w:rPr>
              <w:t>95</w:t>
            </w:r>
          </w:p>
        </w:tc>
        <w:tc>
          <w:tcPr>
            <w:tcW w:w="836" w:type="dxa"/>
            <w:noWrap w:val="0"/>
            <w:vAlign w:val="center"/>
          </w:tcPr>
          <w:p w14:paraId="7013BE0E">
            <w:pPr>
              <w:ind w:left="-63" w:leftChars="-30" w:right="-63" w:rightChars="-30"/>
              <w:jc w:val="center"/>
              <w:rPr>
                <w:color w:val="000000"/>
                <w:kern w:val="0"/>
                <w:szCs w:val="21"/>
              </w:rPr>
            </w:pPr>
            <w:r>
              <w:rPr>
                <w:color w:val="000000"/>
                <w:kern w:val="0"/>
                <w:szCs w:val="21"/>
              </w:rPr>
              <w:t>0.3412</w:t>
            </w:r>
          </w:p>
        </w:tc>
        <w:tc>
          <w:tcPr>
            <w:tcW w:w="300" w:type="dxa"/>
            <w:noWrap w:val="0"/>
            <w:vAlign w:val="center"/>
          </w:tcPr>
          <w:p w14:paraId="7BF886FD">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5D7660E1">
            <w:pPr>
              <w:ind w:left="-63" w:leftChars="-30" w:right="-63" w:rightChars="-30"/>
              <w:jc w:val="center"/>
              <w:rPr>
                <w:color w:val="000000"/>
                <w:kern w:val="0"/>
                <w:szCs w:val="21"/>
              </w:rPr>
            </w:pPr>
            <w:r>
              <w:rPr>
                <w:color w:val="000000"/>
                <w:kern w:val="0"/>
                <w:szCs w:val="21"/>
              </w:rPr>
              <w:t>32.41</w:t>
            </w:r>
          </w:p>
        </w:tc>
      </w:tr>
      <w:tr w14:paraId="2ECDC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6097B59F">
            <w:pPr>
              <w:ind w:left="-63" w:leftChars="-30" w:right="-63" w:rightChars="-30"/>
              <w:rPr>
                <w:color w:val="000000"/>
                <w:kern w:val="0"/>
                <w:szCs w:val="21"/>
              </w:rPr>
            </w:pPr>
          </w:p>
        </w:tc>
        <w:tc>
          <w:tcPr>
            <w:tcW w:w="635" w:type="dxa"/>
            <w:vMerge w:val="continue"/>
            <w:noWrap w:val="0"/>
            <w:vAlign w:val="center"/>
          </w:tcPr>
          <w:p w14:paraId="628B5A04">
            <w:pPr>
              <w:ind w:left="-63" w:leftChars="-30" w:right="-63" w:rightChars="-30"/>
              <w:rPr>
                <w:rFonts w:ascii="楷体_GB2312" w:hAnsi="宋体" w:eastAsia="楷体_GB2312" w:cs="宋体"/>
                <w:color w:val="000000"/>
                <w:kern w:val="0"/>
                <w:szCs w:val="21"/>
              </w:rPr>
            </w:pPr>
          </w:p>
        </w:tc>
        <w:tc>
          <w:tcPr>
            <w:tcW w:w="567" w:type="dxa"/>
            <w:noWrap w:val="0"/>
            <w:vAlign w:val="center"/>
          </w:tcPr>
          <w:p w14:paraId="576796C3">
            <w:pPr>
              <w:ind w:left="-63" w:leftChars="-30" w:right="-63" w:rightChars="-30"/>
              <w:jc w:val="center"/>
              <w:rPr>
                <w:color w:val="000000"/>
                <w:kern w:val="0"/>
                <w:szCs w:val="21"/>
              </w:rPr>
            </w:pPr>
            <w:r>
              <w:rPr>
                <w:color w:val="000000"/>
                <w:kern w:val="0"/>
                <w:szCs w:val="21"/>
              </w:rPr>
              <w:t>2</w:t>
            </w:r>
          </w:p>
        </w:tc>
        <w:tc>
          <w:tcPr>
            <w:tcW w:w="4394" w:type="dxa"/>
            <w:noWrap w:val="0"/>
            <w:vAlign w:val="center"/>
          </w:tcPr>
          <w:p w14:paraId="456629CB">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东至亲民路，南至富民路，西至大泽路、新团沟，北至西桃路、</w:t>
            </w:r>
            <w:r>
              <w:rPr>
                <w:rFonts w:eastAsia="楷体_GB2312"/>
                <w:color w:val="000000"/>
                <w:kern w:val="0"/>
                <w:szCs w:val="21"/>
              </w:rPr>
              <w:t>344</w:t>
            </w:r>
            <w:r>
              <w:rPr>
                <w:rFonts w:hint="eastAsia" w:ascii="楷体_GB2312" w:hAnsi="宋体" w:eastAsia="楷体_GB2312" w:cs="宋体"/>
                <w:color w:val="000000"/>
                <w:kern w:val="0"/>
                <w:szCs w:val="21"/>
              </w:rPr>
              <w:t>国道</w:t>
            </w:r>
          </w:p>
        </w:tc>
        <w:tc>
          <w:tcPr>
            <w:tcW w:w="733" w:type="dxa"/>
            <w:noWrap w:val="0"/>
            <w:vAlign w:val="center"/>
          </w:tcPr>
          <w:p w14:paraId="67F3F465">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55C143A4">
            <w:pPr>
              <w:ind w:left="-63" w:leftChars="-30" w:right="-63" w:rightChars="-30"/>
              <w:jc w:val="center"/>
              <w:rPr>
                <w:color w:val="000000"/>
                <w:kern w:val="0"/>
                <w:szCs w:val="21"/>
              </w:rPr>
            </w:pPr>
            <w:r>
              <w:rPr>
                <w:color w:val="000000"/>
                <w:kern w:val="0"/>
                <w:szCs w:val="21"/>
              </w:rPr>
              <w:t>92</w:t>
            </w:r>
          </w:p>
        </w:tc>
        <w:tc>
          <w:tcPr>
            <w:tcW w:w="836" w:type="dxa"/>
            <w:noWrap w:val="0"/>
            <w:vAlign w:val="center"/>
          </w:tcPr>
          <w:p w14:paraId="7BBF90FF">
            <w:pPr>
              <w:ind w:left="-63" w:leftChars="-30" w:right="-63" w:rightChars="-30"/>
              <w:jc w:val="center"/>
              <w:rPr>
                <w:color w:val="000000"/>
                <w:kern w:val="0"/>
                <w:szCs w:val="21"/>
              </w:rPr>
            </w:pPr>
            <w:r>
              <w:rPr>
                <w:color w:val="000000"/>
                <w:kern w:val="0"/>
                <w:szCs w:val="21"/>
              </w:rPr>
              <w:t>0.3412</w:t>
            </w:r>
          </w:p>
        </w:tc>
        <w:tc>
          <w:tcPr>
            <w:tcW w:w="300" w:type="dxa"/>
            <w:noWrap w:val="0"/>
            <w:vAlign w:val="center"/>
          </w:tcPr>
          <w:p w14:paraId="6947BA53">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0E3AE7CC">
            <w:pPr>
              <w:ind w:left="-63" w:leftChars="-30" w:right="-63" w:rightChars="-30"/>
              <w:jc w:val="center"/>
              <w:rPr>
                <w:color w:val="000000"/>
                <w:kern w:val="0"/>
                <w:szCs w:val="21"/>
              </w:rPr>
            </w:pPr>
            <w:r>
              <w:rPr>
                <w:color w:val="000000"/>
                <w:kern w:val="0"/>
                <w:szCs w:val="21"/>
              </w:rPr>
              <w:t>29.82</w:t>
            </w:r>
          </w:p>
        </w:tc>
      </w:tr>
      <w:tr w14:paraId="15C20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7B9DF68E">
            <w:pPr>
              <w:ind w:left="-63" w:leftChars="-30" w:right="-63" w:rightChars="-30"/>
              <w:rPr>
                <w:color w:val="000000"/>
                <w:kern w:val="0"/>
                <w:szCs w:val="21"/>
              </w:rPr>
            </w:pPr>
          </w:p>
        </w:tc>
        <w:tc>
          <w:tcPr>
            <w:tcW w:w="635" w:type="dxa"/>
            <w:vMerge w:val="continue"/>
            <w:noWrap w:val="0"/>
            <w:vAlign w:val="center"/>
          </w:tcPr>
          <w:p w14:paraId="6CDD0C3D">
            <w:pPr>
              <w:ind w:left="-63" w:leftChars="-30" w:right="-63" w:rightChars="-30"/>
              <w:rPr>
                <w:rFonts w:ascii="楷体_GB2312" w:hAnsi="宋体" w:eastAsia="楷体_GB2312" w:cs="宋体"/>
                <w:color w:val="000000"/>
                <w:kern w:val="0"/>
                <w:szCs w:val="21"/>
              </w:rPr>
            </w:pPr>
          </w:p>
        </w:tc>
        <w:tc>
          <w:tcPr>
            <w:tcW w:w="567" w:type="dxa"/>
            <w:noWrap w:val="0"/>
            <w:vAlign w:val="center"/>
          </w:tcPr>
          <w:p w14:paraId="6E0BBCEC">
            <w:pPr>
              <w:ind w:left="-63" w:leftChars="-30" w:right="-63" w:rightChars="-30"/>
              <w:jc w:val="center"/>
              <w:rPr>
                <w:color w:val="000000"/>
                <w:kern w:val="0"/>
                <w:szCs w:val="21"/>
              </w:rPr>
            </w:pPr>
            <w:r>
              <w:rPr>
                <w:color w:val="000000"/>
                <w:kern w:val="0"/>
                <w:szCs w:val="21"/>
              </w:rPr>
              <w:t>3</w:t>
            </w:r>
          </w:p>
        </w:tc>
        <w:tc>
          <w:tcPr>
            <w:tcW w:w="4394" w:type="dxa"/>
            <w:noWrap w:val="0"/>
            <w:vAlign w:val="center"/>
          </w:tcPr>
          <w:p w14:paraId="07B18C68">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33" w:type="dxa"/>
            <w:noWrap w:val="0"/>
            <w:vAlign w:val="center"/>
          </w:tcPr>
          <w:p w14:paraId="5A6E34A3">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486819D9">
            <w:pPr>
              <w:ind w:left="-63" w:leftChars="-30" w:right="-63" w:rightChars="-30"/>
              <w:jc w:val="center"/>
              <w:rPr>
                <w:color w:val="000000"/>
                <w:kern w:val="0"/>
                <w:szCs w:val="21"/>
              </w:rPr>
            </w:pPr>
            <w:r>
              <w:rPr>
                <w:color w:val="000000"/>
                <w:kern w:val="0"/>
                <w:szCs w:val="21"/>
              </w:rPr>
              <w:t>90</w:t>
            </w:r>
          </w:p>
        </w:tc>
        <w:tc>
          <w:tcPr>
            <w:tcW w:w="836" w:type="dxa"/>
            <w:noWrap w:val="0"/>
            <w:vAlign w:val="center"/>
          </w:tcPr>
          <w:p w14:paraId="267F5CF2">
            <w:pPr>
              <w:ind w:left="-63" w:leftChars="-30" w:right="-63" w:rightChars="-30"/>
              <w:jc w:val="center"/>
              <w:rPr>
                <w:color w:val="000000"/>
                <w:kern w:val="0"/>
                <w:szCs w:val="21"/>
              </w:rPr>
            </w:pPr>
            <w:r>
              <w:rPr>
                <w:color w:val="000000"/>
                <w:kern w:val="0"/>
                <w:szCs w:val="21"/>
              </w:rPr>
              <w:t>0.3412</w:t>
            </w:r>
          </w:p>
        </w:tc>
        <w:tc>
          <w:tcPr>
            <w:tcW w:w="300" w:type="dxa"/>
            <w:noWrap w:val="0"/>
            <w:vAlign w:val="center"/>
          </w:tcPr>
          <w:p w14:paraId="33C884EC">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22245837">
            <w:pPr>
              <w:ind w:left="-63" w:leftChars="-30" w:right="-63" w:rightChars="-30"/>
              <w:jc w:val="center"/>
              <w:rPr>
                <w:color w:val="000000"/>
                <w:kern w:val="0"/>
                <w:szCs w:val="21"/>
              </w:rPr>
            </w:pPr>
            <w:r>
              <w:rPr>
                <w:color w:val="000000"/>
                <w:kern w:val="0"/>
                <w:szCs w:val="21"/>
              </w:rPr>
              <w:t>28.25</w:t>
            </w:r>
          </w:p>
        </w:tc>
      </w:tr>
      <w:tr w14:paraId="1A06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noWrap w:val="0"/>
            <w:vAlign w:val="center"/>
          </w:tcPr>
          <w:p w14:paraId="70DB62A2">
            <w:pPr>
              <w:ind w:left="-63" w:leftChars="-30" w:right="-63" w:rightChars="-30"/>
              <w:jc w:val="center"/>
              <w:rPr>
                <w:color w:val="000000"/>
                <w:kern w:val="0"/>
                <w:szCs w:val="21"/>
              </w:rPr>
            </w:pPr>
            <w:r>
              <w:rPr>
                <w:color w:val="000000"/>
                <w:kern w:val="0"/>
                <w:szCs w:val="21"/>
              </w:rPr>
              <w:t>19</w:t>
            </w:r>
          </w:p>
        </w:tc>
        <w:tc>
          <w:tcPr>
            <w:tcW w:w="635" w:type="dxa"/>
            <w:vMerge w:val="restart"/>
            <w:noWrap w:val="0"/>
            <w:vAlign w:val="center"/>
          </w:tcPr>
          <w:p w14:paraId="080AFD6C">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永安镇</w:t>
            </w:r>
          </w:p>
        </w:tc>
        <w:tc>
          <w:tcPr>
            <w:tcW w:w="567" w:type="dxa"/>
            <w:noWrap w:val="0"/>
            <w:vAlign w:val="center"/>
          </w:tcPr>
          <w:p w14:paraId="5C76FBA9">
            <w:pPr>
              <w:ind w:left="-63" w:leftChars="-30" w:right="-63" w:rightChars="-30"/>
              <w:jc w:val="center"/>
              <w:rPr>
                <w:color w:val="000000"/>
                <w:kern w:val="0"/>
                <w:szCs w:val="21"/>
              </w:rPr>
            </w:pPr>
            <w:r>
              <w:rPr>
                <w:color w:val="000000"/>
                <w:kern w:val="0"/>
                <w:szCs w:val="21"/>
              </w:rPr>
              <w:t>1</w:t>
            </w:r>
          </w:p>
        </w:tc>
        <w:tc>
          <w:tcPr>
            <w:tcW w:w="4394" w:type="dxa"/>
            <w:noWrap w:val="0"/>
            <w:vAlign w:val="center"/>
          </w:tcPr>
          <w:p w14:paraId="06FB873E">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东至永三路、永商路，南至永胜路，西至平安大道，北至永中路、永庆路</w:t>
            </w:r>
          </w:p>
        </w:tc>
        <w:tc>
          <w:tcPr>
            <w:tcW w:w="733" w:type="dxa"/>
            <w:noWrap w:val="0"/>
            <w:vAlign w:val="center"/>
          </w:tcPr>
          <w:p w14:paraId="6C619814">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62AE4B37">
            <w:pPr>
              <w:ind w:left="-63" w:leftChars="-30" w:right="-63" w:rightChars="-30"/>
              <w:jc w:val="center"/>
              <w:rPr>
                <w:color w:val="000000"/>
                <w:kern w:val="0"/>
                <w:szCs w:val="21"/>
              </w:rPr>
            </w:pPr>
            <w:r>
              <w:rPr>
                <w:color w:val="000000"/>
                <w:kern w:val="0"/>
                <w:szCs w:val="21"/>
              </w:rPr>
              <w:t>95</w:t>
            </w:r>
          </w:p>
        </w:tc>
        <w:tc>
          <w:tcPr>
            <w:tcW w:w="836" w:type="dxa"/>
            <w:noWrap w:val="0"/>
            <w:vAlign w:val="center"/>
          </w:tcPr>
          <w:p w14:paraId="630E62A1">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4458753F">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4ABD9CED">
            <w:pPr>
              <w:ind w:left="-63" w:leftChars="-30" w:right="-63" w:rightChars="-30"/>
              <w:jc w:val="center"/>
              <w:rPr>
                <w:color w:val="000000"/>
                <w:kern w:val="0"/>
                <w:szCs w:val="21"/>
              </w:rPr>
            </w:pPr>
            <w:r>
              <w:rPr>
                <w:color w:val="000000"/>
                <w:kern w:val="0"/>
                <w:szCs w:val="21"/>
              </w:rPr>
              <w:t>31.48</w:t>
            </w:r>
          </w:p>
        </w:tc>
      </w:tr>
      <w:tr w14:paraId="57C25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43D7E9B5">
            <w:pPr>
              <w:ind w:left="-63" w:leftChars="-30" w:right="-63" w:rightChars="-30"/>
              <w:rPr>
                <w:color w:val="000000"/>
                <w:kern w:val="0"/>
                <w:szCs w:val="21"/>
              </w:rPr>
            </w:pPr>
          </w:p>
        </w:tc>
        <w:tc>
          <w:tcPr>
            <w:tcW w:w="635" w:type="dxa"/>
            <w:vMerge w:val="continue"/>
            <w:noWrap w:val="0"/>
            <w:vAlign w:val="center"/>
          </w:tcPr>
          <w:p w14:paraId="1A7AB104">
            <w:pPr>
              <w:ind w:left="-63" w:leftChars="-30" w:right="-63" w:rightChars="-30"/>
              <w:rPr>
                <w:rFonts w:ascii="楷体_GB2312" w:hAnsi="宋体" w:eastAsia="楷体_GB2312" w:cs="宋体"/>
                <w:color w:val="000000"/>
                <w:kern w:val="0"/>
                <w:szCs w:val="21"/>
              </w:rPr>
            </w:pPr>
          </w:p>
        </w:tc>
        <w:tc>
          <w:tcPr>
            <w:tcW w:w="567" w:type="dxa"/>
            <w:noWrap w:val="0"/>
            <w:vAlign w:val="center"/>
          </w:tcPr>
          <w:p w14:paraId="5B5C10BF">
            <w:pPr>
              <w:ind w:left="-63" w:leftChars="-30" w:right="-63" w:rightChars="-30"/>
              <w:jc w:val="center"/>
              <w:rPr>
                <w:color w:val="000000"/>
                <w:kern w:val="0"/>
                <w:szCs w:val="21"/>
              </w:rPr>
            </w:pPr>
            <w:r>
              <w:rPr>
                <w:color w:val="000000"/>
                <w:kern w:val="0"/>
                <w:szCs w:val="21"/>
              </w:rPr>
              <w:t>2</w:t>
            </w:r>
          </w:p>
        </w:tc>
        <w:tc>
          <w:tcPr>
            <w:tcW w:w="4394" w:type="dxa"/>
            <w:noWrap w:val="0"/>
            <w:vAlign w:val="center"/>
          </w:tcPr>
          <w:p w14:paraId="785FE29B">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东至振兴路，南至永中沟，西至二徐路，北至镇北路</w:t>
            </w:r>
          </w:p>
        </w:tc>
        <w:tc>
          <w:tcPr>
            <w:tcW w:w="733" w:type="dxa"/>
            <w:noWrap w:val="0"/>
            <w:vAlign w:val="center"/>
          </w:tcPr>
          <w:p w14:paraId="1C4A1500">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50539EB7">
            <w:pPr>
              <w:ind w:left="-63" w:leftChars="-30" w:right="-63" w:rightChars="-30"/>
              <w:jc w:val="center"/>
              <w:rPr>
                <w:color w:val="000000"/>
                <w:kern w:val="0"/>
                <w:szCs w:val="21"/>
              </w:rPr>
            </w:pPr>
            <w:r>
              <w:rPr>
                <w:color w:val="000000"/>
                <w:kern w:val="0"/>
                <w:szCs w:val="21"/>
              </w:rPr>
              <w:t>92</w:t>
            </w:r>
          </w:p>
        </w:tc>
        <w:tc>
          <w:tcPr>
            <w:tcW w:w="836" w:type="dxa"/>
            <w:noWrap w:val="0"/>
            <w:vAlign w:val="center"/>
          </w:tcPr>
          <w:p w14:paraId="782495E2">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2B26106F">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745D435A">
            <w:pPr>
              <w:ind w:left="-63" w:leftChars="-30" w:right="-63" w:rightChars="-30"/>
              <w:jc w:val="center"/>
              <w:rPr>
                <w:color w:val="000000"/>
                <w:kern w:val="0"/>
                <w:szCs w:val="21"/>
              </w:rPr>
            </w:pPr>
            <w:r>
              <w:rPr>
                <w:color w:val="000000"/>
                <w:kern w:val="0"/>
                <w:szCs w:val="21"/>
              </w:rPr>
              <w:t>28.96</w:t>
            </w:r>
          </w:p>
        </w:tc>
      </w:tr>
      <w:tr w14:paraId="2480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18B8637D">
            <w:pPr>
              <w:ind w:left="-63" w:leftChars="-30" w:right="-63" w:rightChars="-30"/>
              <w:rPr>
                <w:color w:val="000000"/>
                <w:kern w:val="0"/>
                <w:szCs w:val="21"/>
              </w:rPr>
            </w:pPr>
          </w:p>
        </w:tc>
        <w:tc>
          <w:tcPr>
            <w:tcW w:w="635" w:type="dxa"/>
            <w:vMerge w:val="continue"/>
            <w:noWrap w:val="0"/>
            <w:vAlign w:val="center"/>
          </w:tcPr>
          <w:p w14:paraId="592D977B">
            <w:pPr>
              <w:ind w:left="-63" w:leftChars="-30" w:right="-63" w:rightChars="-30"/>
              <w:rPr>
                <w:rFonts w:ascii="楷体_GB2312" w:hAnsi="宋体" w:eastAsia="楷体_GB2312" w:cs="宋体"/>
                <w:color w:val="000000"/>
                <w:kern w:val="0"/>
                <w:szCs w:val="21"/>
              </w:rPr>
            </w:pPr>
          </w:p>
        </w:tc>
        <w:tc>
          <w:tcPr>
            <w:tcW w:w="567" w:type="dxa"/>
            <w:noWrap w:val="0"/>
            <w:vAlign w:val="center"/>
          </w:tcPr>
          <w:p w14:paraId="51E386E9">
            <w:pPr>
              <w:ind w:left="-63" w:leftChars="-30" w:right="-63" w:rightChars="-30"/>
              <w:jc w:val="center"/>
              <w:rPr>
                <w:color w:val="000000"/>
                <w:kern w:val="0"/>
                <w:szCs w:val="21"/>
              </w:rPr>
            </w:pPr>
            <w:r>
              <w:rPr>
                <w:color w:val="000000"/>
                <w:kern w:val="0"/>
                <w:szCs w:val="21"/>
              </w:rPr>
              <w:t>3</w:t>
            </w:r>
          </w:p>
        </w:tc>
        <w:tc>
          <w:tcPr>
            <w:tcW w:w="4394" w:type="dxa"/>
            <w:noWrap w:val="0"/>
            <w:vAlign w:val="center"/>
          </w:tcPr>
          <w:p w14:paraId="7A4897E6">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33" w:type="dxa"/>
            <w:noWrap w:val="0"/>
            <w:vAlign w:val="center"/>
          </w:tcPr>
          <w:p w14:paraId="01E03CB8">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3D3835B8">
            <w:pPr>
              <w:ind w:left="-63" w:leftChars="-30" w:right="-63" w:rightChars="-30"/>
              <w:jc w:val="center"/>
              <w:rPr>
                <w:color w:val="000000"/>
                <w:kern w:val="0"/>
                <w:szCs w:val="21"/>
              </w:rPr>
            </w:pPr>
            <w:r>
              <w:rPr>
                <w:color w:val="000000"/>
                <w:kern w:val="0"/>
                <w:szCs w:val="21"/>
              </w:rPr>
              <w:t>90</w:t>
            </w:r>
          </w:p>
        </w:tc>
        <w:tc>
          <w:tcPr>
            <w:tcW w:w="836" w:type="dxa"/>
            <w:noWrap w:val="0"/>
            <w:vAlign w:val="center"/>
          </w:tcPr>
          <w:p w14:paraId="0B9763C7">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68588FF3">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3696554C">
            <w:pPr>
              <w:ind w:left="-63" w:leftChars="-30" w:right="-63" w:rightChars="-30"/>
              <w:jc w:val="center"/>
              <w:rPr>
                <w:color w:val="000000"/>
                <w:kern w:val="0"/>
                <w:szCs w:val="21"/>
              </w:rPr>
            </w:pPr>
            <w:r>
              <w:rPr>
                <w:color w:val="000000"/>
                <w:kern w:val="0"/>
                <w:szCs w:val="21"/>
              </w:rPr>
              <w:t>27.44</w:t>
            </w:r>
          </w:p>
        </w:tc>
      </w:tr>
      <w:tr w14:paraId="72EF0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noWrap w:val="0"/>
            <w:vAlign w:val="center"/>
          </w:tcPr>
          <w:p w14:paraId="68E2F575">
            <w:pPr>
              <w:ind w:left="-63" w:leftChars="-30" w:right="-63" w:rightChars="-30"/>
              <w:jc w:val="center"/>
              <w:rPr>
                <w:color w:val="000000"/>
                <w:kern w:val="0"/>
                <w:szCs w:val="21"/>
              </w:rPr>
            </w:pPr>
            <w:r>
              <w:rPr>
                <w:color w:val="000000"/>
                <w:kern w:val="0"/>
                <w:szCs w:val="21"/>
              </w:rPr>
              <w:t>20</w:t>
            </w:r>
          </w:p>
        </w:tc>
        <w:tc>
          <w:tcPr>
            <w:tcW w:w="635" w:type="dxa"/>
            <w:vMerge w:val="restart"/>
            <w:noWrap w:val="0"/>
            <w:vAlign w:val="center"/>
          </w:tcPr>
          <w:p w14:paraId="73905482">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支河乡</w:t>
            </w:r>
          </w:p>
        </w:tc>
        <w:tc>
          <w:tcPr>
            <w:tcW w:w="567" w:type="dxa"/>
            <w:noWrap w:val="0"/>
            <w:vAlign w:val="center"/>
          </w:tcPr>
          <w:p w14:paraId="2F60A1C1">
            <w:pPr>
              <w:ind w:left="-63" w:leftChars="-30" w:right="-63" w:rightChars="-30"/>
              <w:jc w:val="center"/>
              <w:rPr>
                <w:color w:val="000000"/>
                <w:kern w:val="0"/>
                <w:szCs w:val="21"/>
              </w:rPr>
            </w:pPr>
            <w:r>
              <w:rPr>
                <w:color w:val="000000"/>
                <w:kern w:val="0"/>
                <w:szCs w:val="21"/>
              </w:rPr>
              <w:t>1</w:t>
            </w:r>
          </w:p>
        </w:tc>
        <w:tc>
          <w:tcPr>
            <w:tcW w:w="4394" w:type="dxa"/>
            <w:noWrap w:val="0"/>
            <w:vAlign w:val="center"/>
          </w:tcPr>
          <w:p w14:paraId="1BC97830">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东至金屯路，南至和谐路，西至富强路，北至滨河路</w:t>
            </w:r>
          </w:p>
        </w:tc>
        <w:tc>
          <w:tcPr>
            <w:tcW w:w="733" w:type="dxa"/>
            <w:noWrap w:val="0"/>
            <w:vAlign w:val="center"/>
          </w:tcPr>
          <w:p w14:paraId="1E7E91A8">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515D981E">
            <w:pPr>
              <w:ind w:left="-63" w:leftChars="-30" w:right="-63" w:rightChars="-30"/>
              <w:jc w:val="center"/>
              <w:rPr>
                <w:color w:val="000000"/>
                <w:kern w:val="0"/>
                <w:szCs w:val="21"/>
              </w:rPr>
            </w:pPr>
            <w:r>
              <w:rPr>
                <w:color w:val="000000"/>
                <w:kern w:val="0"/>
                <w:szCs w:val="21"/>
              </w:rPr>
              <w:t>95</w:t>
            </w:r>
          </w:p>
        </w:tc>
        <w:tc>
          <w:tcPr>
            <w:tcW w:w="836" w:type="dxa"/>
            <w:noWrap w:val="0"/>
            <w:vAlign w:val="center"/>
          </w:tcPr>
          <w:p w14:paraId="31804D1F">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168A2043">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1F5DA5EF">
            <w:pPr>
              <w:ind w:left="-63" w:leftChars="-30" w:right="-63" w:rightChars="-30"/>
              <w:jc w:val="center"/>
              <w:rPr>
                <w:color w:val="000000"/>
                <w:kern w:val="0"/>
                <w:szCs w:val="21"/>
              </w:rPr>
            </w:pPr>
            <w:r>
              <w:rPr>
                <w:color w:val="000000"/>
                <w:kern w:val="0"/>
                <w:szCs w:val="21"/>
              </w:rPr>
              <w:t>31.48</w:t>
            </w:r>
          </w:p>
        </w:tc>
      </w:tr>
      <w:tr w14:paraId="2243B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1C139314">
            <w:pPr>
              <w:ind w:left="-63" w:leftChars="-30" w:right="-63" w:rightChars="-30"/>
              <w:rPr>
                <w:color w:val="000000"/>
                <w:kern w:val="0"/>
                <w:szCs w:val="21"/>
              </w:rPr>
            </w:pPr>
          </w:p>
        </w:tc>
        <w:tc>
          <w:tcPr>
            <w:tcW w:w="635" w:type="dxa"/>
            <w:vMerge w:val="continue"/>
            <w:noWrap w:val="0"/>
            <w:vAlign w:val="center"/>
          </w:tcPr>
          <w:p w14:paraId="3026D766">
            <w:pPr>
              <w:ind w:left="-63" w:leftChars="-30" w:right="-63" w:rightChars="-30"/>
              <w:rPr>
                <w:rFonts w:ascii="楷体_GB2312" w:hAnsi="宋体" w:eastAsia="楷体_GB2312" w:cs="宋体"/>
                <w:color w:val="000000"/>
                <w:kern w:val="0"/>
                <w:szCs w:val="21"/>
              </w:rPr>
            </w:pPr>
          </w:p>
        </w:tc>
        <w:tc>
          <w:tcPr>
            <w:tcW w:w="567" w:type="dxa"/>
            <w:noWrap w:val="0"/>
            <w:vAlign w:val="center"/>
          </w:tcPr>
          <w:p w14:paraId="5DF06767">
            <w:pPr>
              <w:ind w:left="-63" w:leftChars="-30" w:right="-63" w:rightChars="-30"/>
              <w:jc w:val="center"/>
              <w:rPr>
                <w:color w:val="000000"/>
                <w:kern w:val="0"/>
                <w:szCs w:val="21"/>
              </w:rPr>
            </w:pPr>
            <w:r>
              <w:rPr>
                <w:color w:val="000000"/>
                <w:kern w:val="0"/>
                <w:szCs w:val="21"/>
              </w:rPr>
              <w:t>2</w:t>
            </w:r>
          </w:p>
        </w:tc>
        <w:tc>
          <w:tcPr>
            <w:tcW w:w="4394" w:type="dxa"/>
            <w:noWrap w:val="0"/>
            <w:vAlign w:val="center"/>
          </w:tcPr>
          <w:p w14:paraId="18C9E4DB">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东至中学路，南至外环南路，西至欧河路，北至定级边界</w:t>
            </w:r>
          </w:p>
        </w:tc>
        <w:tc>
          <w:tcPr>
            <w:tcW w:w="733" w:type="dxa"/>
            <w:noWrap w:val="0"/>
            <w:vAlign w:val="center"/>
          </w:tcPr>
          <w:p w14:paraId="1E94253F">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459A6BAB">
            <w:pPr>
              <w:ind w:left="-63" w:leftChars="-30" w:right="-63" w:rightChars="-30"/>
              <w:jc w:val="center"/>
              <w:rPr>
                <w:color w:val="000000"/>
                <w:kern w:val="0"/>
                <w:szCs w:val="21"/>
              </w:rPr>
            </w:pPr>
            <w:r>
              <w:rPr>
                <w:color w:val="000000"/>
                <w:kern w:val="0"/>
                <w:szCs w:val="21"/>
              </w:rPr>
              <w:t>92</w:t>
            </w:r>
          </w:p>
        </w:tc>
        <w:tc>
          <w:tcPr>
            <w:tcW w:w="836" w:type="dxa"/>
            <w:noWrap w:val="0"/>
            <w:vAlign w:val="center"/>
          </w:tcPr>
          <w:p w14:paraId="38D69F90">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3271CDDD">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489100F1">
            <w:pPr>
              <w:ind w:left="-63" w:leftChars="-30" w:right="-63" w:rightChars="-30"/>
              <w:jc w:val="center"/>
              <w:rPr>
                <w:color w:val="000000"/>
                <w:kern w:val="0"/>
                <w:szCs w:val="21"/>
              </w:rPr>
            </w:pPr>
            <w:r>
              <w:rPr>
                <w:color w:val="000000"/>
                <w:kern w:val="0"/>
                <w:szCs w:val="21"/>
              </w:rPr>
              <w:t>28.96</w:t>
            </w:r>
          </w:p>
        </w:tc>
      </w:tr>
      <w:tr w14:paraId="04914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732286B5">
            <w:pPr>
              <w:ind w:left="-63" w:leftChars="-30" w:right="-63" w:rightChars="-30"/>
              <w:rPr>
                <w:color w:val="000000"/>
                <w:kern w:val="0"/>
                <w:szCs w:val="21"/>
              </w:rPr>
            </w:pPr>
          </w:p>
        </w:tc>
        <w:tc>
          <w:tcPr>
            <w:tcW w:w="635" w:type="dxa"/>
            <w:vMerge w:val="continue"/>
            <w:noWrap w:val="0"/>
            <w:vAlign w:val="center"/>
          </w:tcPr>
          <w:p w14:paraId="1B53BDEB">
            <w:pPr>
              <w:ind w:left="-63" w:leftChars="-30" w:right="-63" w:rightChars="-30"/>
              <w:rPr>
                <w:rFonts w:ascii="楷体_GB2312" w:hAnsi="宋体" w:eastAsia="楷体_GB2312" w:cs="宋体"/>
                <w:color w:val="000000"/>
                <w:kern w:val="0"/>
                <w:szCs w:val="21"/>
              </w:rPr>
            </w:pPr>
          </w:p>
        </w:tc>
        <w:tc>
          <w:tcPr>
            <w:tcW w:w="567" w:type="dxa"/>
            <w:noWrap w:val="0"/>
            <w:vAlign w:val="center"/>
          </w:tcPr>
          <w:p w14:paraId="4BCD86E9">
            <w:pPr>
              <w:ind w:left="-63" w:leftChars="-30" w:right="-63" w:rightChars="-30"/>
              <w:jc w:val="center"/>
              <w:rPr>
                <w:color w:val="000000"/>
                <w:kern w:val="0"/>
                <w:szCs w:val="21"/>
              </w:rPr>
            </w:pPr>
            <w:r>
              <w:rPr>
                <w:color w:val="000000"/>
                <w:kern w:val="0"/>
                <w:szCs w:val="21"/>
              </w:rPr>
              <w:t>3</w:t>
            </w:r>
          </w:p>
        </w:tc>
        <w:tc>
          <w:tcPr>
            <w:tcW w:w="4394" w:type="dxa"/>
            <w:noWrap w:val="0"/>
            <w:vAlign w:val="center"/>
          </w:tcPr>
          <w:p w14:paraId="7C6380D4">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33" w:type="dxa"/>
            <w:noWrap w:val="0"/>
            <w:vAlign w:val="center"/>
          </w:tcPr>
          <w:p w14:paraId="16ABCBE5">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7717B206">
            <w:pPr>
              <w:ind w:left="-63" w:leftChars="-30" w:right="-63" w:rightChars="-30"/>
              <w:jc w:val="center"/>
              <w:rPr>
                <w:color w:val="000000"/>
                <w:kern w:val="0"/>
                <w:szCs w:val="21"/>
              </w:rPr>
            </w:pPr>
            <w:r>
              <w:rPr>
                <w:color w:val="000000"/>
                <w:kern w:val="0"/>
                <w:szCs w:val="21"/>
              </w:rPr>
              <w:t>90</w:t>
            </w:r>
          </w:p>
        </w:tc>
        <w:tc>
          <w:tcPr>
            <w:tcW w:w="836" w:type="dxa"/>
            <w:noWrap w:val="0"/>
            <w:vAlign w:val="center"/>
          </w:tcPr>
          <w:p w14:paraId="43C4D67B">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74C1FD62">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0A2B3FAA">
            <w:pPr>
              <w:ind w:left="-63" w:leftChars="-30" w:right="-63" w:rightChars="-30"/>
              <w:jc w:val="center"/>
              <w:rPr>
                <w:color w:val="000000"/>
                <w:kern w:val="0"/>
                <w:szCs w:val="21"/>
              </w:rPr>
            </w:pPr>
            <w:r>
              <w:rPr>
                <w:color w:val="000000"/>
                <w:kern w:val="0"/>
                <w:szCs w:val="21"/>
              </w:rPr>
              <w:t>27.44</w:t>
            </w:r>
          </w:p>
        </w:tc>
      </w:tr>
      <w:tr w14:paraId="17CFD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noWrap w:val="0"/>
            <w:vAlign w:val="center"/>
          </w:tcPr>
          <w:p w14:paraId="4AC810FC">
            <w:pPr>
              <w:ind w:left="-63" w:leftChars="-30" w:right="-63" w:rightChars="-30"/>
              <w:jc w:val="center"/>
              <w:rPr>
                <w:color w:val="000000"/>
                <w:kern w:val="0"/>
                <w:szCs w:val="21"/>
              </w:rPr>
            </w:pPr>
            <w:r>
              <w:rPr>
                <w:color w:val="000000"/>
                <w:kern w:val="0"/>
                <w:szCs w:val="21"/>
              </w:rPr>
              <w:t>21</w:t>
            </w:r>
          </w:p>
        </w:tc>
        <w:tc>
          <w:tcPr>
            <w:tcW w:w="635" w:type="dxa"/>
            <w:vMerge w:val="restart"/>
            <w:noWrap w:val="0"/>
            <w:vAlign w:val="center"/>
          </w:tcPr>
          <w:p w14:paraId="0806F366">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灰古镇</w:t>
            </w:r>
          </w:p>
        </w:tc>
        <w:tc>
          <w:tcPr>
            <w:tcW w:w="567" w:type="dxa"/>
            <w:noWrap w:val="0"/>
            <w:vAlign w:val="center"/>
          </w:tcPr>
          <w:p w14:paraId="5E54DD43">
            <w:pPr>
              <w:ind w:left="-63" w:leftChars="-30" w:right="-63" w:rightChars="-30"/>
              <w:jc w:val="center"/>
              <w:rPr>
                <w:color w:val="000000"/>
                <w:kern w:val="0"/>
                <w:szCs w:val="21"/>
              </w:rPr>
            </w:pPr>
            <w:r>
              <w:rPr>
                <w:color w:val="000000"/>
                <w:kern w:val="0"/>
                <w:szCs w:val="21"/>
              </w:rPr>
              <w:t>1</w:t>
            </w:r>
          </w:p>
        </w:tc>
        <w:tc>
          <w:tcPr>
            <w:tcW w:w="4394" w:type="dxa"/>
            <w:noWrap w:val="0"/>
            <w:vAlign w:val="center"/>
          </w:tcPr>
          <w:p w14:paraId="49153776">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东至菜市街，南至群爱家纺北侧道路，西至二徐路、灰毛路，北至沿河路</w:t>
            </w:r>
          </w:p>
        </w:tc>
        <w:tc>
          <w:tcPr>
            <w:tcW w:w="733" w:type="dxa"/>
            <w:noWrap w:val="0"/>
            <w:vAlign w:val="center"/>
          </w:tcPr>
          <w:p w14:paraId="30299D01">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4EDD0A6B">
            <w:pPr>
              <w:ind w:left="-63" w:leftChars="-30" w:right="-63" w:rightChars="-30"/>
              <w:jc w:val="center"/>
              <w:rPr>
                <w:color w:val="000000"/>
                <w:kern w:val="0"/>
                <w:szCs w:val="21"/>
              </w:rPr>
            </w:pPr>
            <w:r>
              <w:rPr>
                <w:color w:val="000000"/>
                <w:kern w:val="0"/>
                <w:szCs w:val="21"/>
              </w:rPr>
              <w:t>95</w:t>
            </w:r>
          </w:p>
        </w:tc>
        <w:tc>
          <w:tcPr>
            <w:tcW w:w="836" w:type="dxa"/>
            <w:noWrap w:val="0"/>
            <w:vAlign w:val="center"/>
          </w:tcPr>
          <w:p w14:paraId="12735D1F">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25CB5265">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1C0EBEF7">
            <w:pPr>
              <w:ind w:left="-63" w:leftChars="-30" w:right="-63" w:rightChars="-30"/>
              <w:jc w:val="center"/>
              <w:rPr>
                <w:color w:val="000000"/>
                <w:kern w:val="0"/>
                <w:szCs w:val="21"/>
              </w:rPr>
            </w:pPr>
            <w:r>
              <w:rPr>
                <w:color w:val="000000"/>
                <w:kern w:val="0"/>
                <w:szCs w:val="21"/>
              </w:rPr>
              <w:t>31.48</w:t>
            </w:r>
          </w:p>
        </w:tc>
      </w:tr>
      <w:tr w14:paraId="3F1B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4AF5BD3E">
            <w:pPr>
              <w:ind w:left="-63" w:leftChars="-30" w:right="-63" w:rightChars="-30"/>
              <w:rPr>
                <w:color w:val="000000"/>
                <w:kern w:val="0"/>
                <w:szCs w:val="21"/>
              </w:rPr>
            </w:pPr>
          </w:p>
        </w:tc>
        <w:tc>
          <w:tcPr>
            <w:tcW w:w="635" w:type="dxa"/>
            <w:vMerge w:val="continue"/>
            <w:noWrap w:val="0"/>
            <w:vAlign w:val="center"/>
          </w:tcPr>
          <w:p w14:paraId="221E12E1">
            <w:pPr>
              <w:ind w:left="-63" w:leftChars="-30" w:right="-63" w:rightChars="-30"/>
              <w:rPr>
                <w:rFonts w:ascii="楷体_GB2312" w:hAnsi="宋体" w:eastAsia="楷体_GB2312" w:cs="宋体"/>
                <w:color w:val="000000"/>
                <w:kern w:val="0"/>
                <w:szCs w:val="21"/>
              </w:rPr>
            </w:pPr>
          </w:p>
        </w:tc>
        <w:tc>
          <w:tcPr>
            <w:tcW w:w="567" w:type="dxa"/>
            <w:noWrap w:val="0"/>
            <w:vAlign w:val="center"/>
          </w:tcPr>
          <w:p w14:paraId="0C181289">
            <w:pPr>
              <w:ind w:left="-63" w:leftChars="-30" w:right="-63" w:rightChars="-30"/>
              <w:jc w:val="center"/>
              <w:rPr>
                <w:color w:val="000000"/>
                <w:kern w:val="0"/>
                <w:szCs w:val="21"/>
              </w:rPr>
            </w:pPr>
            <w:r>
              <w:rPr>
                <w:color w:val="000000"/>
                <w:kern w:val="0"/>
                <w:szCs w:val="21"/>
              </w:rPr>
              <w:t>2</w:t>
            </w:r>
          </w:p>
        </w:tc>
        <w:tc>
          <w:tcPr>
            <w:tcW w:w="4394" w:type="dxa"/>
            <w:noWrap w:val="0"/>
            <w:vAlign w:val="center"/>
          </w:tcPr>
          <w:p w14:paraId="33465BAB">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东至北集路，南至南集路，西至二徐路西侧规划东路、二徐路，北至沿河路</w:t>
            </w:r>
          </w:p>
        </w:tc>
        <w:tc>
          <w:tcPr>
            <w:tcW w:w="733" w:type="dxa"/>
            <w:noWrap w:val="0"/>
            <w:vAlign w:val="center"/>
          </w:tcPr>
          <w:p w14:paraId="679300EA">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687286D9">
            <w:pPr>
              <w:ind w:left="-63" w:leftChars="-30" w:right="-63" w:rightChars="-30"/>
              <w:jc w:val="center"/>
              <w:rPr>
                <w:color w:val="000000"/>
                <w:kern w:val="0"/>
                <w:szCs w:val="21"/>
              </w:rPr>
            </w:pPr>
            <w:r>
              <w:rPr>
                <w:color w:val="000000"/>
                <w:kern w:val="0"/>
                <w:szCs w:val="21"/>
              </w:rPr>
              <w:t>92</w:t>
            </w:r>
          </w:p>
        </w:tc>
        <w:tc>
          <w:tcPr>
            <w:tcW w:w="836" w:type="dxa"/>
            <w:noWrap w:val="0"/>
            <w:vAlign w:val="center"/>
          </w:tcPr>
          <w:p w14:paraId="1DC6B771">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2F0F4977">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32A9B58E">
            <w:pPr>
              <w:ind w:left="-63" w:leftChars="-30" w:right="-63" w:rightChars="-30"/>
              <w:jc w:val="center"/>
              <w:rPr>
                <w:color w:val="000000"/>
                <w:kern w:val="0"/>
                <w:szCs w:val="21"/>
              </w:rPr>
            </w:pPr>
            <w:r>
              <w:rPr>
                <w:color w:val="000000"/>
                <w:kern w:val="0"/>
                <w:szCs w:val="21"/>
              </w:rPr>
              <w:t>28.96</w:t>
            </w:r>
          </w:p>
        </w:tc>
      </w:tr>
      <w:tr w14:paraId="65085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0B8EC3CC">
            <w:pPr>
              <w:ind w:left="-63" w:leftChars="-30" w:right="-63" w:rightChars="-30"/>
              <w:rPr>
                <w:color w:val="000000"/>
                <w:kern w:val="0"/>
                <w:szCs w:val="21"/>
              </w:rPr>
            </w:pPr>
          </w:p>
        </w:tc>
        <w:tc>
          <w:tcPr>
            <w:tcW w:w="635" w:type="dxa"/>
            <w:vMerge w:val="continue"/>
            <w:noWrap w:val="0"/>
            <w:vAlign w:val="center"/>
          </w:tcPr>
          <w:p w14:paraId="2CD9DCCB">
            <w:pPr>
              <w:ind w:left="-63" w:leftChars="-30" w:right="-63" w:rightChars="-30"/>
              <w:rPr>
                <w:rFonts w:ascii="楷体_GB2312" w:hAnsi="宋体" w:eastAsia="楷体_GB2312" w:cs="宋体"/>
                <w:color w:val="000000"/>
                <w:kern w:val="0"/>
                <w:szCs w:val="21"/>
              </w:rPr>
            </w:pPr>
          </w:p>
        </w:tc>
        <w:tc>
          <w:tcPr>
            <w:tcW w:w="567" w:type="dxa"/>
            <w:noWrap w:val="0"/>
            <w:vAlign w:val="center"/>
          </w:tcPr>
          <w:p w14:paraId="55C5778A">
            <w:pPr>
              <w:ind w:left="-63" w:leftChars="-30" w:right="-63" w:rightChars="-30"/>
              <w:jc w:val="center"/>
              <w:rPr>
                <w:color w:val="000000"/>
                <w:kern w:val="0"/>
                <w:szCs w:val="21"/>
              </w:rPr>
            </w:pPr>
            <w:r>
              <w:rPr>
                <w:color w:val="000000"/>
                <w:kern w:val="0"/>
                <w:szCs w:val="21"/>
              </w:rPr>
              <w:t>3</w:t>
            </w:r>
          </w:p>
        </w:tc>
        <w:tc>
          <w:tcPr>
            <w:tcW w:w="4394" w:type="dxa"/>
            <w:noWrap w:val="0"/>
            <w:vAlign w:val="center"/>
          </w:tcPr>
          <w:p w14:paraId="20521E76">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33" w:type="dxa"/>
            <w:noWrap w:val="0"/>
            <w:vAlign w:val="center"/>
          </w:tcPr>
          <w:p w14:paraId="492B7502">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6972CB28">
            <w:pPr>
              <w:ind w:left="-63" w:leftChars="-30" w:right="-63" w:rightChars="-30"/>
              <w:jc w:val="center"/>
              <w:rPr>
                <w:color w:val="000000"/>
                <w:kern w:val="0"/>
                <w:szCs w:val="21"/>
              </w:rPr>
            </w:pPr>
            <w:r>
              <w:rPr>
                <w:color w:val="000000"/>
                <w:kern w:val="0"/>
                <w:szCs w:val="21"/>
              </w:rPr>
              <w:t>90</w:t>
            </w:r>
          </w:p>
        </w:tc>
        <w:tc>
          <w:tcPr>
            <w:tcW w:w="836" w:type="dxa"/>
            <w:noWrap w:val="0"/>
            <w:vAlign w:val="center"/>
          </w:tcPr>
          <w:p w14:paraId="067CAD98">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588E9507">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0CB490E9">
            <w:pPr>
              <w:ind w:left="-63" w:leftChars="-30" w:right="-63" w:rightChars="-30"/>
              <w:jc w:val="center"/>
              <w:rPr>
                <w:color w:val="000000"/>
                <w:kern w:val="0"/>
                <w:szCs w:val="21"/>
              </w:rPr>
            </w:pPr>
            <w:r>
              <w:rPr>
                <w:color w:val="000000"/>
                <w:kern w:val="0"/>
                <w:szCs w:val="21"/>
              </w:rPr>
              <w:t>27.44</w:t>
            </w:r>
          </w:p>
        </w:tc>
      </w:tr>
      <w:tr w14:paraId="3B7D0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noWrap w:val="0"/>
            <w:vAlign w:val="center"/>
          </w:tcPr>
          <w:p w14:paraId="332F7F88">
            <w:pPr>
              <w:ind w:left="-63" w:leftChars="-30" w:right="-63" w:rightChars="-30"/>
              <w:jc w:val="center"/>
              <w:rPr>
                <w:color w:val="000000"/>
                <w:kern w:val="0"/>
                <w:szCs w:val="21"/>
              </w:rPr>
            </w:pPr>
            <w:r>
              <w:rPr>
                <w:color w:val="000000"/>
                <w:kern w:val="0"/>
                <w:szCs w:val="21"/>
              </w:rPr>
              <w:t>22</w:t>
            </w:r>
          </w:p>
        </w:tc>
        <w:tc>
          <w:tcPr>
            <w:tcW w:w="635" w:type="dxa"/>
            <w:vMerge w:val="restart"/>
            <w:noWrap w:val="0"/>
            <w:vAlign w:val="center"/>
          </w:tcPr>
          <w:p w14:paraId="594531AB">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桃沟乡</w:t>
            </w:r>
          </w:p>
        </w:tc>
        <w:tc>
          <w:tcPr>
            <w:tcW w:w="567" w:type="dxa"/>
            <w:noWrap w:val="0"/>
            <w:vAlign w:val="center"/>
          </w:tcPr>
          <w:p w14:paraId="66B66F3C">
            <w:pPr>
              <w:ind w:left="-63" w:leftChars="-30" w:right="-63" w:rightChars="-30"/>
              <w:jc w:val="center"/>
              <w:rPr>
                <w:color w:val="000000"/>
                <w:kern w:val="0"/>
                <w:szCs w:val="21"/>
              </w:rPr>
            </w:pPr>
            <w:r>
              <w:rPr>
                <w:color w:val="000000"/>
                <w:kern w:val="0"/>
                <w:szCs w:val="21"/>
              </w:rPr>
              <w:t>1</w:t>
            </w:r>
          </w:p>
        </w:tc>
        <w:tc>
          <w:tcPr>
            <w:tcW w:w="4394" w:type="dxa"/>
            <w:noWrap w:val="0"/>
            <w:vAlign w:val="center"/>
          </w:tcPr>
          <w:p w14:paraId="3D819888">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东至政府路，南至南苑路，西至桃花大道，北至桃时路</w:t>
            </w:r>
          </w:p>
        </w:tc>
        <w:tc>
          <w:tcPr>
            <w:tcW w:w="733" w:type="dxa"/>
            <w:noWrap w:val="0"/>
            <w:vAlign w:val="center"/>
          </w:tcPr>
          <w:p w14:paraId="2AA72413">
            <w:pPr>
              <w:ind w:left="-63" w:leftChars="-30" w:right="-63" w:rightChars="-30"/>
              <w:jc w:val="center"/>
              <w:rPr>
                <w:color w:val="000000"/>
                <w:kern w:val="0"/>
                <w:szCs w:val="21"/>
              </w:rPr>
            </w:pPr>
            <w:r>
              <w:rPr>
                <w:color w:val="000000"/>
                <w:kern w:val="0"/>
                <w:szCs w:val="21"/>
              </w:rPr>
              <w:t>1</w:t>
            </w:r>
          </w:p>
        </w:tc>
        <w:tc>
          <w:tcPr>
            <w:tcW w:w="685" w:type="dxa"/>
            <w:noWrap w:val="0"/>
            <w:vAlign w:val="center"/>
          </w:tcPr>
          <w:p w14:paraId="5020C04B">
            <w:pPr>
              <w:ind w:left="-63" w:leftChars="-30" w:right="-63" w:rightChars="-30"/>
              <w:jc w:val="center"/>
              <w:rPr>
                <w:color w:val="000000"/>
                <w:kern w:val="0"/>
                <w:szCs w:val="21"/>
              </w:rPr>
            </w:pPr>
            <w:r>
              <w:rPr>
                <w:color w:val="000000"/>
                <w:kern w:val="0"/>
                <w:szCs w:val="21"/>
              </w:rPr>
              <w:t>95</w:t>
            </w:r>
          </w:p>
        </w:tc>
        <w:tc>
          <w:tcPr>
            <w:tcW w:w="836" w:type="dxa"/>
            <w:noWrap w:val="0"/>
            <w:vAlign w:val="center"/>
          </w:tcPr>
          <w:p w14:paraId="3A96DD56">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3D753A59">
            <w:pPr>
              <w:ind w:left="-63" w:leftChars="-30" w:right="-63" w:rightChars="-30"/>
              <w:jc w:val="center"/>
              <w:rPr>
                <w:color w:val="000000"/>
                <w:kern w:val="0"/>
                <w:szCs w:val="21"/>
              </w:rPr>
            </w:pPr>
            <w:r>
              <w:rPr>
                <w:color w:val="000000"/>
                <w:kern w:val="0"/>
                <w:szCs w:val="21"/>
              </w:rPr>
              <w:t>1</w:t>
            </w:r>
          </w:p>
        </w:tc>
        <w:tc>
          <w:tcPr>
            <w:tcW w:w="563" w:type="dxa"/>
            <w:noWrap w:val="0"/>
            <w:vAlign w:val="center"/>
          </w:tcPr>
          <w:p w14:paraId="69CA3B79">
            <w:pPr>
              <w:ind w:left="-63" w:leftChars="-30" w:right="-63" w:rightChars="-30"/>
              <w:jc w:val="center"/>
              <w:rPr>
                <w:color w:val="000000"/>
                <w:kern w:val="0"/>
                <w:szCs w:val="21"/>
              </w:rPr>
            </w:pPr>
            <w:r>
              <w:rPr>
                <w:color w:val="000000"/>
                <w:kern w:val="0"/>
                <w:szCs w:val="21"/>
              </w:rPr>
              <w:t>31.48</w:t>
            </w:r>
          </w:p>
        </w:tc>
      </w:tr>
      <w:tr w14:paraId="5E87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33CDC0ED">
            <w:pPr>
              <w:ind w:left="-63" w:leftChars="-30" w:right="-63" w:rightChars="-30"/>
              <w:rPr>
                <w:color w:val="000000"/>
                <w:kern w:val="0"/>
                <w:szCs w:val="21"/>
              </w:rPr>
            </w:pPr>
          </w:p>
        </w:tc>
        <w:tc>
          <w:tcPr>
            <w:tcW w:w="635" w:type="dxa"/>
            <w:vMerge w:val="continue"/>
            <w:noWrap w:val="0"/>
            <w:vAlign w:val="center"/>
          </w:tcPr>
          <w:p w14:paraId="071CB47D">
            <w:pPr>
              <w:ind w:left="-63" w:leftChars="-30" w:right="-63" w:rightChars="-30"/>
              <w:rPr>
                <w:rFonts w:ascii="楷体_GB2312" w:hAnsi="宋体" w:eastAsia="楷体_GB2312" w:cs="宋体"/>
                <w:color w:val="000000"/>
                <w:kern w:val="0"/>
                <w:szCs w:val="21"/>
              </w:rPr>
            </w:pPr>
          </w:p>
        </w:tc>
        <w:tc>
          <w:tcPr>
            <w:tcW w:w="567" w:type="dxa"/>
            <w:noWrap w:val="0"/>
            <w:vAlign w:val="center"/>
          </w:tcPr>
          <w:p w14:paraId="1438D1B8">
            <w:pPr>
              <w:ind w:left="-63" w:leftChars="-30" w:right="-63" w:rightChars="-30"/>
              <w:jc w:val="center"/>
              <w:rPr>
                <w:color w:val="000000"/>
                <w:kern w:val="0"/>
                <w:szCs w:val="21"/>
              </w:rPr>
            </w:pPr>
            <w:r>
              <w:rPr>
                <w:color w:val="000000"/>
                <w:kern w:val="0"/>
                <w:szCs w:val="21"/>
              </w:rPr>
              <w:t>2</w:t>
            </w:r>
          </w:p>
        </w:tc>
        <w:tc>
          <w:tcPr>
            <w:tcW w:w="4394" w:type="dxa"/>
            <w:noWrap w:val="0"/>
            <w:vAlign w:val="center"/>
          </w:tcPr>
          <w:p w14:paraId="4B5584E9">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东至创新路、世纪大道，南至南外环，西至学苑路，北至学府路</w:t>
            </w:r>
          </w:p>
        </w:tc>
        <w:tc>
          <w:tcPr>
            <w:tcW w:w="733" w:type="dxa"/>
            <w:noWrap w:val="0"/>
            <w:vAlign w:val="center"/>
          </w:tcPr>
          <w:p w14:paraId="2462772E">
            <w:pPr>
              <w:ind w:left="-63" w:leftChars="-30" w:right="-63" w:rightChars="-30"/>
              <w:jc w:val="center"/>
              <w:rPr>
                <w:color w:val="000000"/>
                <w:kern w:val="0"/>
                <w:szCs w:val="21"/>
              </w:rPr>
            </w:pPr>
            <w:r>
              <w:rPr>
                <w:color w:val="000000"/>
                <w:kern w:val="0"/>
                <w:szCs w:val="21"/>
              </w:rPr>
              <w:t>0.95</w:t>
            </w:r>
          </w:p>
        </w:tc>
        <w:tc>
          <w:tcPr>
            <w:tcW w:w="685" w:type="dxa"/>
            <w:noWrap w:val="0"/>
            <w:vAlign w:val="center"/>
          </w:tcPr>
          <w:p w14:paraId="419EC6D0">
            <w:pPr>
              <w:ind w:left="-63" w:leftChars="-30" w:right="-63" w:rightChars="-30"/>
              <w:jc w:val="center"/>
              <w:rPr>
                <w:color w:val="000000"/>
                <w:kern w:val="0"/>
                <w:szCs w:val="21"/>
              </w:rPr>
            </w:pPr>
            <w:r>
              <w:rPr>
                <w:color w:val="000000"/>
                <w:kern w:val="0"/>
                <w:szCs w:val="21"/>
              </w:rPr>
              <w:t>92</w:t>
            </w:r>
          </w:p>
        </w:tc>
        <w:tc>
          <w:tcPr>
            <w:tcW w:w="836" w:type="dxa"/>
            <w:noWrap w:val="0"/>
            <w:vAlign w:val="center"/>
          </w:tcPr>
          <w:p w14:paraId="68BAE714">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70B52441">
            <w:pPr>
              <w:ind w:left="-63" w:leftChars="-30" w:right="-63" w:rightChars="-30"/>
              <w:jc w:val="center"/>
              <w:rPr>
                <w:color w:val="000000"/>
                <w:kern w:val="0"/>
                <w:szCs w:val="21"/>
              </w:rPr>
            </w:pPr>
            <w:r>
              <w:rPr>
                <w:color w:val="000000"/>
                <w:kern w:val="0"/>
                <w:szCs w:val="21"/>
              </w:rPr>
              <w:t>2</w:t>
            </w:r>
          </w:p>
        </w:tc>
        <w:tc>
          <w:tcPr>
            <w:tcW w:w="563" w:type="dxa"/>
            <w:noWrap w:val="0"/>
            <w:vAlign w:val="center"/>
          </w:tcPr>
          <w:p w14:paraId="320AB3E3">
            <w:pPr>
              <w:ind w:left="-63" w:leftChars="-30" w:right="-63" w:rightChars="-30"/>
              <w:jc w:val="center"/>
              <w:rPr>
                <w:color w:val="000000"/>
                <w:kern w:val="0"/>
                <w:szCs w:val="21"/>
              </w:rPr>
            </w:pPr>
            <w:r>
              <w:rPr>
                <w:color w:val="000000"/>
                <w:kern w:val="0"/>
                <w:szCs w:val="21"/>
              </w:rPr>
              <w:t>28.96</w:t>
            </w:r>
          </w:p>
        </w:tc>
      </w:tr>
      <w:tr w14:paraId="50F7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6B0C6E23">
            <w:pPr>
              <w:ind w:left="-63" w:leftChars="-30" w:right="-63" w:rightChars="-30"/>
              <w:rPr>
                <w:color w:val="000000"/>
                <w:kern w:val="0"/>
                <w:szCs w:val="21"/>
              </w:rPr>
            </w:pPr>
          </w:p>
        </w:tc>
        <w:tc>
          <w:tcPr>
            <w:tcW w:w="635" w:type="dxa"/>
            <w:vMerge w:val="continue"/>
            <w:noWrap w:val="0"/>
            <w:vAlign w:val="center"/>
          </w:tcPr>
          <w:p w14:paraId="5579E7CE">
            <w:pPr>
              <w:ind w:left="-63" w:leftChars="-30" w:right="-63" w:rightChars="-30"/>
              <w:rPr>
                <w:rFonts w:ascii="楷体_GB2312" w:hAnsi="宋体" w:eastAsia="楷体_GB2312" w:cs="宋体"/>
                <w:color w:val="000000"/>
                <w:kern w:val="0"/>
                <w:szCs w:val="21"/>
              </w:rPr>
            </w:pPr>
          </w:p>
        </w:tc>
        <w:tc>
          <w:tcPr>
            <w:tcW w:w="567" w:type="dxa"/>
            <w:noWrap w:val="0"/>
            <w:vAlign w:val="center"/>
          </w:tcPr>
          <w:p w14:paraId="7E7C8A9A">
            <w:pPr>
              <w:ind w:left="-63" w:leftChars="-30" w:right="-63" w:rightChars="-30"/>
              <w:jc w:val="center"/>
              <w:rPr>
                <w:color w:val="000000"/>
                <w:kern w:val="0"/>
                <w:szCs w:val="21"/>
              </w:rPr>
            </w:pPr>
            <w:r>
              <w:rPr>
                <w:color w:val="000000"/>
                <w:kern w:val="0"/>
                <w:szCs w:val="21"/>
              </w:rPr>
              <w:t>3</w:t>
            </w:r>
          </w:p>
        </w:tc>
        <w:tc>
          <w:tcPr>
            <w:tcW w:w="4394" w:type="dxa"/>
            <w:noWrap w:val="0"/>
            <w:vAlign w:val="center"/>
          </w:tcPr>
          <w:p w14:paraId="1F1BD16C">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33" w:type="dxa"/>
            <w:noWrap w:val="0"/>
            <w:vAlign w:val="center"/>
          </w:tcPr>
          <w:p w14:paraId="6F632E50">
            <w:pPr>
              <w:ind w:left="-63" w:leftChars="-30" w:right="-63" w:rightChars="-30"/>
              <w:jc w:val="center"/>
              <w:rPr>
                <w:color w:val="000000"/>
                <w:kern w:val="0"/>
                <w:szCs w:val="21"/>
              </w:rPr>
            </w:pPr>
            <w:r>
              <w:rPr>
                <w:color w:val="000000"/>
                <w:kern w:val="0"/>
                <w:szCs w:val="21"/>
              </w:rPr>
              <w:t>0.92</w:t>
            </w:r>
          </w:p>
        </w:tc>
        <w:tc>
          <w:tcPr>
            <w:tcW w:w="685" w:type="dxa"/>
            <w:noWrap w:val="0"/>
            <w:vAlign w:val="center"/>
          </w:tcPr>
          <w:p w14:paraId="495F0D01">
            <w:pPr>
              <w:ind w:left="-63" w:leftChars="-30" w:right="-63" w:rightChars="-30"/>
              <w:jc w:val="center"/>
              <w:rPr>
                <w:color w:val="000000"/>
                <w:kern w:val="0"/>
                <w:szCs w:val="21"/>
              </w:rPr>
            </w:pPr>
            <w:r>
              <w:rPr>
                <w:color w:val="000000"/>
                <w:kern w:val="0"/>
                <w:szCs w:val="21"/>
              </w:rPr>
              <w:t>90</w:t>
            </w:r>
          </w:p>
        </w:tc>
        <w:tc>
          <w:tcPr>
            <w:tcW w:w="836" w:type="dxa"/>
            <w:noWrap w:val="0"/>
            <w:vAlign w:val="center"/>
          </w:tcPr>
          <w:p w14:paraId="112569C5">
            <w:pPr>
              <w:ind w:left="-63" w:leftChars="-30" w:right="-63" w:rightChars="-30"/>
              <w:jc w:val="center"/>
              <w:rPr>
                <w:color w:val="000000"/>
                <w:kern w:val="0"/>
                <w:szCs w:val="21"/>
              </w:rPr>
            </w:pPr>
            <w:r>
              <w:rPr>
                <w:color w:val="000000"/>
                <w:kern w:val="0"/>
                <w:szCs w:val="21"/>
              </w:rPr>
              <w:t>0.3314</w:t>
            </w:r>
          </w:p>
        </w:tc>
        <w:tc>
          <w:tcPr>
            <w:tcW w:w="300" w:type="dxa"/>
            <w:noWrap w:val="0"/>
            <w:vAlign w:val="center"/>
          </w:tcPr>
          <w:p w14:paraId="37812C60">
            <w:pPr>
              <w:ind w:left="-63" w:leftChars="-30" w:right="-63" w:rightChars="-30"/>
              <w:jc w:val="center"/>
              <w:rPr>
                <w:color w:val="000000"/>
                <w:kern w:val="0"/>
                <w:szCs w:val="21"/>
              </w:rPr>
            </w:pPr>
            <w:r>
              <w:rPr>
                <w:color w:val="000000"/>
                <w:kern w:val="0"/>
                <w:szCs w:val="21"/>
              </w:rPr>
              <w:t>3</w:t>
            </w:r>
          </w:p>
        </w:tc>
        <w:tc>
          <w:tcPr>
            <w:tcW w:w="563" w:type="dxa"/>
            <w:noWrap w:val="0"/>
            <w:vAlign w:val="center"/>
          </w:tcPr>
          <w:p w14:paraId="0A3A5778">
            <w:pPr>
              <w:ind w:left="-63" w:leftChars="-30" w:right="-63" w:rightChars="-30"/>
              <w:jc w:val="center"/>
              <w:rPr>
                <w:color w:val="000000"/>
                <w:kern w:val="0"/>
                <w:szCs w:val="21"/>
              </w:rPr>
            </w:pPr>
            <w:r>
              <w:rPr>
                <w:color w:val="000000"/>
                <w:kern w:val="0"/>
                <w:szCs w:val="21"/>
              </w:rPr>
              <w:t>27.44</w:t>
            </w:r>
          </w:p>
        </w:tc>
      </w:tr>
    </w:tbl>
    <w:p w14:paraId="2277CC78">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三、排水设施作用分的确定</w:t>
      </w:r>
    </w:p>
    <w:p w14:paraId="5FFC32A9">
      <w:pPr>
        <w:pStyle w:val="20"/>
        <w:spacing w:line="480" w:lineRule="exact"/>
        <w:ind w:firstLine="560"/>
        <w:rPr>
          <w:rFonts w:ascii="Times New Roman" w:hAnsi="Times New Roman" w:eastAsia="楷体_GB2312" w:cs="Times New Roman"/>
          <w:sz w:val="28"/>
        </w:rPr>
      </w:pPr>
      <w:r>
        <w:rPr>
          <w:rFonts w:ascii="Times New Roman" w:hAnsi="Times New Roman" w:eastAsia="楷体_GB2312" w:cs="Times New Roman"/>
          <w:sz w:val="28"/>
        </w:rPr>
        <w:t>根据本次外业调查所收集的排水方面的资料并参照《城镇土地分等定级规程》规定，各乡镇镇区排水设施作用分的确定过程如下：</w:t>
      </w:r>
    </w:p>
    <w:p w14:paraId="238D8ACF">
      <w:pPr>
        <w:pStyle w:val="20"/>
        <w:spacing w:line="480" w:lineRule="exact"/>
        <w:ind w:firstLine="560" w:firstLineChars="200"/>
        <w:rPr>
          <w:rFonts w:ascii="Times New Roman" w:hAnsi="Times New Roman" w:eastAsia="楷体_GB2312" w:cs="Times New Roman"/>
          <w:sz w:val="28"/>
        </w:rPr>
      </w:pPr>
      <w:r>
        <w:rPr>
          <w:rFonts w:ascii="Times New Roman" w:hAnsi="Times New Roman" w:cs="Times New Roman"/>
          <w:sz w:val="28"/>
        </w:rPr>
        <w:t>1、</w:t>
      </w:r>
      <w:r>
        <w:rPr>
          <w:rFonts w:ascii="Times New Roman" w:hAnsi="Times New Roman" w:eastAsia="楷体_GB2312" w:cs="Times New Roman"/>
          <w:sz w:val="28"/>
        </w:rPr>
        <w:t>本次各乡镇定级范围内包含有排水区域和无排水区域，各乡镇镇区有排水区域根据排水管网分布图和相关统计资料，结合排水管网密度、管径大小计算排水作用分，无排水区域根据地势高低、暴雨天淹没状况计算排水作用分。各乡镇区划分的排水评价区域数为3个。</w:t>
      </w:r>
    </w:p>
    <w:p w14:paraId="5BBA4459">
      <w:pPr>
        <w:pStyle w:val="20"/>
        <w:spacing w:line="480" w:lineRule="exact"/>
        <w:ind w:firstLine="560" w:firstLineChars="200"/>
        <w:rPr>
          <w:rFonts w:ascii="Times New Roman" w:hAnsi="Times New Roman" w:eastAsia="楷体_GB2312" w:cs="Times New Roman"/>
          <w:sz w:val="28"/>
        </w:rPr>
      </w:pPr>
      <w:r>
        <w:rPr>
          <w:rFonts w:ascii="Times New Roman" w:hAnsi="Times New Roman" w:cs="Times New Roman"/>
          <w:sz w:val="28"/>
        </w:rPr>
        <w:t>2、</w:t>
      </w:r>
      <w:r>
        <w:rPr>
          <w:rFonts w:ascii="Times New Roman" w:hAnsi="Times New Roman" w:eastAsia="楷体_GB2312" w:cs="Times New Roman"/>
          <w:sz w:val="28"/>
        </w:rPr>
        <w:t>根据排水方面的有关资料和镇区实际情况，有排水区域依据排水设施完善水平（主要反映排水设施是否到位、管网密度、管径大小等差异，用水平系数表示）和排水保证率，无排水区域根据取地势高低、暴雨天淹没状况，按公式1-3-</w:t>
      </w:r>
      <w:r>
        <w:rPr>
          <w:rFonts w:hint="eastAsia" w:ascii="Times New Roman" w:hAnsi="Times New Roman" w:eastAsia="楷体_GB2312" w:cs="Times New Roman"/>
          <w:sz w:val="28"/>
        </w:rPr>
        <w:t>4</w:t>
      </w:r>
      <w:r>
        <w:rPr>
          <w:rFonts w:ascii="Times New Roman" w:hAnsi="Times New Roman" w:eastAsia="楷体_GB2312" w:cs="Times New Roman"/>
          <w:sz w:val="28"/>
        </w:rPr>
        <w:t>计算各个评价区域的排水设施作用分再适当调整。</w:t>
      </w:r>
    </w:p>
    <w:p w14:paraId="1919FE07">
      <w:pPr>
        <w:pStyle w:val="20"/>
        <w:spacing w:line="480" w:lineRule="exact"/>
        <w:ind w:firstLine="560" w:firstLineChars="200"/>
        <w:rPr>
          <w:rFonts w:ascii="Times New Roman" w:hAnsi="Times New Roman" w:eastAsia="楷体_GB2312" w:cs="Times New Roman"/>
          <w:sz w:val="28"/>
        </w:rPr>
      </w:pPr>
      <w:r>
        <w:rPr>
          <w:rFonts w:ascii="Times New Roman" w:hAnsi="Times New Roman" w:cs="Times New Roman"/>
          <w:sz w:val="28"/>
        </w:rPr>
        <w:t>3、</w:t>
      </w:r>
      <w:r>
        <w:rPr>
          <w:rFonts w:ascii="Times New Roman" w:hAnsi="Times New Roman" w:eastAsia="楷体_GB2312" w:cs="Times New Roman"/>
          <w:sz w:val="28"/>
        </w:rPr>
        <w:t>排水作用指数反映排水与日常生活、工作的密切程度，指数与各类基础设施作用大小呈正比，可参照确定因素权重的方法进行计算，数值在0-1之间，各指数值之和等于1。</w:t>
      </w:r>
    </w:p>
    <w:p w14:paraId="5832F6F3">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因本次</w:t>
      </w:r>
      <w:r>
        <w:rPr>
          <w:rFonts w:hint="eastAsia" w:ascii="楷体" w:hAnsi="楷体" w:eastAsia="楷体" w:cs="楷体_GB2312"/>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乡镇基础设施包含供电、供水、排水三个因子，所以根据规程参照确定因素权重，则排水的作用指数符离镇、大泽乡镇、曹村镇为0.3074，朱仙庄镇等19个乡镇为0.2971。</w:t>
      </w:r>
    </w:p>
    <w:p w14:paraId="0521154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4、各评价区域排水设施作用指数的计算</w:t>
      </w:r>
    </w:p>
    <w:p w14:paraId="34CD58C3">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按公式1-3-</w:t>
      </w:r>
      <w:r>
        <w:rPr>
          <w:rFonts w:hint="eastAsia" w:ascii="Times New Roman" w:hAnsi="Times New Roman" w:eastAsia="楷体_GB2312" w:cs="Times New Roman"/>
          <w:sz w:val="28"/>
        </w:rPr>
        <w:t>4</w:t>
      </w:r>
      <w:r>
        <w:rPr>
          <w:rFonts w:ascii="Times New Roman" w:hAnsi="Times New Roman" w:eastAsia="楷体_GB2312" w:cs="Times New Roman"/>
          <w:sz w:val="28"/>
        </w:rPr>
        <w:t>，计算评价区域排水设施完善度作用分</w:t>
      </w:r>
      <w:r>
        <w:rPr>
          <w:rFonts w:ascii="Times New Roman" w:hAnsi="Times New Roman" w:eastAsia="楷体_GB2312" w:cs="Times New Roman"/>
          <w:position w:val="-14"/>
          <w:sz w:val="28"/>
        </w:rPr>
        <w:object>
          <v:shape id="_x0000_i1064" o:spt="75" type="#_x0000_t75" style="height:20pt;width:13pt;" o:ole="t" filled="f" o:preferrelative="t" stroked="f" coordsize="21600,21600">
            <v:path/>
            <v:fill on="f" alignshape="1" focussize="0,0"/>
            <v:stroke on="f"/>
            <v:imagedata r:id="rId79" o:title=""/>
            <o:lock v:ext="edit" aspectratio="t"/>
            <w10:wrap type="none"/>
            <w10:anchorlock/>
          </v:shape>
          <o:OLEObject Type="Embed" ProgID="Equation.3" ShapeID="_x0000_i1064" DrawAspect="Content" ObjectID="_1468075764" r:id="rId97">
            <o:LockedField>false</o:LockedField>
          </o:OLEObject>
        </w:object>
      </w:r>
      <w:r>
        <w:rPr>
          <w:rFonts w:ascii="Times New Roman" w:hAnsi="Times New Roman" w:eastAsia="楷体_GB2312" w:cs="Times New Roman"/>
          <w:sz w:val="28"/>
        </w:rPr>
        <w:t>。</w:t>
      </w:r>
    </w:p>
    <w:p w14:paraId="502F1FBF">
      <w:pPr>
        <w:pStyle w:val="20"/>
        <w:spacing w:line="480" w:lineRule="exact"/>
        <w:ind w:firstLine="1400" w:firstLineChars="500"/>
        <w:rPr>
          <w:rFonts w:ascii="Times New Roman" w:hAnsi="Times New Roman" w:eastAsia="楷体_GB2312" w:cs="Times New Roman"/>
          <w:sz w:val="28"/>
        </w:rPr>
      </w:pPr>
      <w:r>
        <w:rPr>
          <w:rFonts w:ascii="Times New Roman" w:hAnsi="Times New Roman" w:eastAsia="楷体_GB2312" w:cs="Times New Roman"/>
          <w:sz w:val="28"/>
        </w:rPr>
        <w:t>公式1-3-</w:t>
      </w:r>
      <w:r>
        <w:rPr>
          <w:rFonts w:hint="eastAsia" w:ascii="Times New Roman" w:hAnsi="Times New Roman" w:eastAsia="楷体_GB2312" w:cs="Times New Roman"/>
          <w:sz w:val="28"/>
        </w:rPr>
        <w:t>4</w:t>
      </w:r>
      <w:r>
        <w:rPr>
          <w:rFonts w:ascii="Times New Roman" w:hAnsi="Times New Roman" w:eastAsia="楷体_GB2312" w:cs="Times New Roman"/>
          <w:sz w:val="28"/>
        </w:rPr>
        <w:t>：</w:t>
      </w:r>
      <w:r>
        <w:rPr>
          <w:rFonts w:ascii="Times New Roman" w:hAnsi="Times New Roman" w:eastAsia="楷体_GB2312" w:cs="Times New Roman"/>
          <w:position w:val="-14"/>
          <w:sz w:val="28"/>
        </w:rPr>
        <w:object>
          <v:shape id="_x0000_i1065" o:spt="75" type="#_x0000_t75" style="height:20pt;width:114pt;" o:ole="t" filled="f" o:preferrelative="t" stroked="f" coordsize="21600,21600">
            <v:path/>
            <v:fill on="f" alignshape="1" focussize="0,0"/>
            <v:stroke on="f"/>
            <v:imagedata r:id="rId81" o:title=""/>
            <o:lock v:ext="edit" aspectratio="t"/>
            <w10:wrap type="none"/>
            <w10:anchorlock/>
          </v:shape>
          <o:OLEObject Type="Embed" ProgID="Equation.3" ShapeID="_x0000_i1065" DrawAspect="Content" ObjectID="_1468075765" r:id="rId98">
            <o:LockedField>false</o:LockedField>
          </o:OLEObject>
        </w:object>
      </w:r>
    </w:p>
    <w:p w14:paraId="3B7ACC0A">
      <w:pPr>
        <w:pStyle w:val="20"/>
        <w:spacing w:line="480" w:lineRule="exact"/>
        <w:ind w:firstLine="1400" w:firstLineChars="500"/>
        <w:rPr>
          <w:rFonts w:ascii="Times New Roman" w:hAnsi="Times New Roman" w:eastAsia="楷体_GB2312" w:cs="Times New Roman"/>
          <w:sz w:val="28"/>
        </w:rPr>
      </w:pPr>
      <w:r>
        <w:rPr>
          <w:rFonts w:ascii="Times New Roman" w:hAnsi="Times New Roman" w:eastAsia="楷体_GB2312" w:cs="Times New Roman"/>
          <w:sz w:val="28"/>
        </w:rPr>
        <w:t>式中：</w:t>
      </w:r>
      <w:r>
        <w:rPr>
          <w:rFonts w:ascii="Times New Roman" w:hAnsi="Times New Roman" w:eastAsia="楷体_GB2312" w:cs="Times New Roman"/>
          <w:position w:val="-14"/>
        </w:rPr>
        <w:object>
          <v:shape id="_x0000_i1066" o:spt="75" type="#_x0000_t75" style="height:20pt;width:13pt;" o:ole="t" filled="f" stroked="f" coordsize="21600,21600">
            <v:path/>
            <v:fill on="f" focussize="0,0"/>
            <v:stroke on="f"/>
            <v:imagedata r:id="rId83" o:title=""/>
            <o:lock v:ext="edit" aspectratio="t"/>
            <w10:wrap type="none"/>
            <w10:anchorlock/>
          </v:shape>
          <o:OLEObject Type="Embed" ProgID="Equation.3" ShapeID="_x0000_i1066" DrawAspect="Content" ObjectID="_1468075766" r:id="rId99">
            <o:LockedField>false</o:LockedField>
          </o:OLEObject>
        </w:object>
      </w:r>
      <w:r>
        <w:rPr>
          <w:rFonts w:ascii="Times New Roman" w:hAnsi="Times New Roman" w:eastAsia="楷体_GB2312" w:cs="Times New Roman"/>
          <w:sz w:val="28"/>
        </w:rPr>
        <w:t>－i类基础设施在j区域的完善度作用分；</w:t>
      </w:r>
    </w:p>
    <w:p w14:paraId="2F640C59">
      <w:pPr>
        <w:pStyle w:val="20"/>
        <w:spacing w:line="480" w:lineRule="exact"/>
        <w:ind w:firstLine="2205" w:firstLineChars="1050"/>
        <w:rPr>
          <w:rFonts w:ascii="Times New Roman" w:hAnsi="Times New Roman" w:eastAsia="楷体_GB2312" w:cs="Times New Roman"/>
        </w:rPr>
      </w:pPr>
      <w:r>
        <w:rPr>
          <w:rFonts w:ascii="Times New Roman" w:hAnsi="Times New Roman" w:eastAsia="楷体_GB2312" w:cs="Times New Roman"/>
          <w:position w:val="-12"/>
        </w:rPr>
        <w:object>
          <v:shape id="_x0000_i1067" o:spt="75" type="#_x0000_t75" style="height:19pt;width:13.95pt;" o:ole="t" filled="f" stroked="f" coordsize="21600,21600">
            <v:path/>
            <v:fill on="f" focussize="0,0"/>
            <v:stroke on="f"/>
            <v:imagedata r:id="rId85" o:title=""/>
            <o:lock v:ext="edit" aspectratio="t"/>
            <w10:wrap type="none"/>
            <w10:anchorlock/>
          </v:shape>
          <o:OLEObject Type="Embed" ProgID="Equation.3" ShapeID="_x0000_i1067" DrawAspect="Content" ObjectID="_1468075767" r:id="rId100">
            <o:LockedField>false</o:LockedField>
          </o:OLEObject>
        </w:object>
      </w:r>
      <w:r>
        <w:rPr>
          <w:rFonts w:ascii="Times New Roman" w:hAnsi="Times New Roman" w:eastAsia="楷体_GB2312" w:cs="Times New Roman"/>
          <w:sz w:val="28"/>
        </w:rPr>
        <w:t>－i类基础设施的作用指数；</w:t>
      </w:r>
    </w:p>
    <w:p w14:paraId="05A220D1">
      <w:pPr>
        <w:pStyle w:val="20"/>
        <w:spacing w:line="480" w:lineRule="exact"/>
        <w:ind w:firstLine="2205" w:firstLineChars="1050"/>
        <w:rPr>
          <w:rFonts w:ascii="Times New Roman" w:hAnsi="Times New Roman" w:eastAsia="楷体_GB2312" w:cs="Times New Roman"/>
          <w:sz w:val="28"/>
        </w:rPr>
      </w:pPr>
      <w:r>
        <w:rPr>
          <w:rFonts w:ascii="Times New Roman" w:hAnsi="Times New Roman" w:eastAsia="楷体_GB2312" w:cs="Times New Roman"/>
          <w:position w:val="-14"/>
        </w:rPr>
        <w:object>
          <v:shape id="_x0000_i1068" o:spt="75" type="#_x0000_t75" style="height:20pt;width:19pt;" o:ole="t" filled="f" stroked="f" coordsize="21600,21600">
            <v:path/>
            <v:fill on="f" focussize="0,0"/>
            <v:stroke on="f"/>
            <v:imagedata r:id="rId87" o:title=""/>
            <o:lock v:ext="edit" aspectratio="t"/>
            <w10:wrap type="none"/>
            <w10:anchorlock/>
          </v:shape>
          <o:OLEObject Type="Embed" ProgID="Equation.3" ShapeID="_x0000_i1068" DrawAspect="Content" ObjectID="_1468075768" r:id="rId101">
            <o:LockedField>false</o:LockedField>
          </o:OLEObject>
        </w:object>
      </w:r>
      <w:r>
        <w:rPr>
          <w:rFonts w:ascii="Times New Roman" w:hAnsi="Times New Roman" w:eastAsia="楷体_GB2312" w:cs="Times New Roman"/>
          <w:sz w:val="28"/>
        </w:rPr>
        <w:t>－i类基础设施在j区域水平系数；</w:t>
      </w:r>
    </w:p>
    <w:p w14:paraId="1AA8DB06">
      <w:pPr>
        <w:pStyle w:val="20"/>
        <w:spacing w:line="480" w:lineRule="exact"/>
        <w:ind w:firstLine="2240" w:firstLineChars="800"/>
        <w:rPr>
          <w:rFonts w:ascii="Times New Roman" w:hAnsi="Times New Roman" w:eastAsia="楷体_GB2312" w:cs="Times New Roman"/>
          <w:sz w:val="28"/>
        </w:rPr>
      </w:pPr>
      <w:r>
        <w:rPr>
          <w:rFonts w:ascii="Times New Roman" w:hAnsi="Times New Roman" w:eastAsia="楷体_GB2312" w:cs="Times New Roman"/>
          <w:position w:val="-14"/>
          <w:sz w:val="28"/>
        </w:rPr>
        <w:object>
          <v:shape id="_x0000_i1069" o:spt="75" type="#_x0000_t75" style="height:20pt;width:21pt;" o:ole="t" filled="f" o:preferrelative="t" stroked="f" coordsize="21600,21600">
            <v:path/>
            <v:fill on="f" alignshape="1" focussize="0,0"/>
            <v:stroke on="f"/>
            <v:imagedata r:id="rId77" o:title=""/>
            <o:lock v:ext="edit" aspectratio="t"/>
            <w10:wrap type="none"/>
            <w10:anchorlock/>
          </v:shape>
          <o:OLEObject Type="Embed" ProgID="Equation.3" ShapeID="_x0000_i1069" DrawAspect="Content" ObjectID="_1468075769" r:id="rId102">
            <o:LockedField>false</o:LockedField>
          </o:OLEObject>
        </w:object>
      </w:r>
      <w:r>
        <w:rPr>
          <w:rFonts w:ascii="Times New Roman" w:hAnsi="Times New Roman" w:eastAsia="楷体_GB2312" w:cs="Times New Roman"/>
          <w:sz w:val="28"/>
        </w:rPr>
        <w:t>－i类基础设施在j区域使用保证率。</w:t>
      </w:r>
    </w:p>
    <w:p w14:paraId="23DB914D">
      <w:pPr>
        <w:pStyle w:val="20"/>
        <w:spacing w:line="480" w:lineRule="exact"/>
        <w:jc w:val="center"/>
        <w:rPr>
          <w:rFonts w:ascii="Times New Roman" w:hAnsi="Times New Roman" w:eastAsia="黑体" w:cs="Times New Roman"/>
          <w:sz w:val="28"/>
          <w:szCs w:val="24"/>
        </w:rPr>
      </w:pPr>
      <w:r>
        <w:rPr>
          <w:rFonts w:ascii="Times New Roman" w:hAnsi="Times New Roman" w:eastAsia="黑体" w:cs="Times New Roman"/>
          <w:sz w:val="28"/>
          <w:szCs w:val="24"/>
        </w:rPr>
        <w:t>表1-3-</w:t>
      </w:r>
      <w:r>
        <w:rPr>
          <w:rFonts w:hint="eastAsia" w:ascii="Times New Roman" w:hAnsi="Times New Roman" w:eastAsia="黑体" w:cs="Times New Roman"/>
          <w:sz w:val="28"/>
          <w:szCs w:val="24"/>
        </w:rPr>
        <w:t>34</w:t>
      </w:r>
      <w:r>
        <w:rPr>
          <w:rFonts w:ascii="Times New Roman" w:hAnsi="Times New Roman" w:eastAsia="黑体" w:cs="Times New Roman"/>
          <w:sz w:val="28"/>
          <w:szCs w:val="24"/>
        </w:rPr>
        <w:t xml:space="preserve"> 埇桥区各乡镇镇区排水设施作用分表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567"/>
        <w:gridCol w:w="567"/>
        <w:gridCol w:w="4252"/>
        <w:gridCol w:w="851"/>
        <w:gridCol w:w="709"/>
        <w:gridCol w:w="850"/>
        <w:gridCol w:w="284"/>
        <w:gridCol w:w="565"/>
      </w:tblGrid>
      <w:tr w14:paraId="3805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atLeast"/>
          <w:tblHeader/>
          <w:jc w:val="center"/>
        </w:trPr>
        <w:tc>
          <w:tcPr>
            <w:tcW w:w="427" w:type="dxa"/>
            <w:noWrap w:val="0"/>
            <w:vAlign w:val="center"/>
          </w:tcPr>
          <w:p w14:paraId="4DF9726C">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序号</w:t>
            </w:r>
          </w:p>
        </w:tc>
        <w:tc>
          <w:tcPr>
            <w:tcW w:w="567" w:type="dxa"/>
            <w:noWrap w:val="0"/>
            <w:vAlign w:val="center"/>
          </w:tcPr>
          <w:p w14:paraId="0C39E226">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乡镇</w:t>
            </w:r>
          </w:p>
          <w:p w14:paraId="41FC8504">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名称</w:t>
            </w:r>
          </w:p>
        </w:tc>
        <w:tc>
          <w:tcPr>
            <w:tcW w:w="567" w:type="dxa"/>
            <w:noWrap w:val="0"/>
            <w:vAlign w:val="center"/>
          </w:tcPr>
          <w:p w14:paraId="3438DE57">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区域编号</w:t>
            </w:r>
          </w:p>
        </w:tc>
        <w:tc>
          <w:tcPr>
            <w:tcW w:w="4252" w:type="dxa"/>
            <w:noWrap w:val="0"/>
            <w:vAlign w:val="center"/>
          </w:tcPr>
          <w:p w14:paraId="3CB73EBB">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分布范围</w:t>
            </w:r>
          </w:p>
        </w:tc>
        <w:tc>
          <w:tcPr>
            <w:tcW w:w="851" w:type="dxa"/>
            <w:noWrap w:val="0"/>
            <w:vAlign w:val="center"/>
          </w:tcPr>
          <w:p w14:paraId="1A6F2568">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排水设施水平系数</w:t>
            </w:r>
          </w:p>
        </w:tc>
        <w:tc>
          <w:tcPr>
            <w:tcW w:w="709" w:type="dxa"/>
            <w:noWrap w:val="0"/>
            <w:vAlign w:val="center"/>
          </w:tcPr>
          <w:p w14:paraId="5A974A2B">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排水保证率（</w:t>
            </w:r>
            <w:r>
              <w:rPr>
                <w:rFonts w:eastAsia="楷体_GB2312"/>
                <w:color w:val="000000"/>
                <w:kern w:val="0"/>
                <w:szCs w:val="21"/>
              </w:rPr>
              <w:t>%</w:t>
            </w:r>
            <w:r>
              <w:rPr>
                <w:rFonts w:hint="eastAsia" w:ascii="楷体_GB2312" w:hAnsi="宋体" w:eastAsia="楷体_GB2312" w:cs="宋体"/>
                <w:color w:val="000000"/>
                <w:kern w:val="0"/>
                <w:szCs w:val="21"/>
              </w:rPr>
              <w:t>）</w:t>
            </w:r>
          </w:p>
        </w:tc>
        <w:tc>
          <w:tcPr>
            <w:tcW w:w="850" w:type="dxa"/>
            <w:noWrap w:val="0"/>
            <w:vAlign w:val="center"/>
          </w:tcPr>
          <w:p w14:paraId="643F845B">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排水设施作用指数</w:t>
            </w:r>
          </w:p>
        </w:tc>
        <w:tc>
          <w:tcPr>
            <w:tcW w:w="284" w:type="dxa"/>
            <w:noWrap w:val="0"/>
            <w:vAlign w:val="center"/>
          </w:tcPr>
          <w:p w14:paraId="4530FE92">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级别</w:t>
            </w:r>
          </w:p>
        </w:tc>
        <w:tc>
          <w:tcPr>
            <w:tcW w:w="565" w:type="dxa"/>
            <w:noWrap w:val="0"/>
            <w:vAlign w:val="center"/>
          </w:tcPr>
          <w:p w14:paraId="5F68B710">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作用分</w:t>
            </w:r>
          </w:p>
        </w:tc>
      </w:tr>
      <w:tr w14:paraId="6F9F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restart"/>
            <w:noWrap w:val="0"/>
            <w:vAlign w:val="center"/>
          </w:tcPr>
          <w:p w14:paraId="22EA0940">
            <w:pPr>
              <w:ind w:left="-63" w:leftChars="-30" w:right="-63" w:rightChars="-30"/>
              <w:jc w:val="center"/>
              <w:rPr>
                <w:color w:val="000000"/>
                <w:kern w:val="0"/>
                <w:szCs w:val="21"/>
              </w:rPr>
            </w:pPr>
            <w:r>
              <w:rPr>
                <w:color w:val="000000"/>
                <w:kern w:val="0"/>
                <w:szCs w:val="21"/>
              </w:rPr>
              <w:t>1</w:t>
            </w:r>
          </w:p>
        </w:tc>
        <w:tc>
          <w:tcPr>
            <w:tcW w:w="567" w:type="dxa"/>
            <w:vMerge w:val="restart"/>
            <w:noWrap w:val="0"/>
            <w:vAlign w:val="center"/>
          </w:tcPr>
          <w:p w14:paraId="5C3CB0B9">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符离镇</w:t>
            </w:r>
          </w:p>
        </w:tc>
        <w:tc>
          <w:tcPr>
            <w:tcW w:w="567" w:type="dxa"/>
            <w:noWrap w:val="0"/>
            <w:vAlign w:val="center"/>
          </w:tcPr>
          <w:p w14:paraId="6F2E7A52">
            <w:pPr>
              <w:ind w:left="-63" w:leftChars="-30" w:right="-63" w:rightChars="-30"/>
              <w:jc w:val="center"/>
              <w:rPr>
                <w:color w:val="000000"/>
                <w:kern w:val="0"/>
                <w:szCs w:val="21"/>
              </w:rPr>
            </w:pPr>
            <w:r>
              <w:rPr>
                <w:color w:val="000000"/>
                <w:kern w:val="0"/>
                <w:szCs w:val="21"/>
              </w:rPr>
              <w:t>1</w:t>
            </w:r>
          </w:p>
        </w:tc>
        <w:tc>
          <w:tcPr>
            <w:tcW w:w="4252" w:type="dxa"/>
            <w:noWrap w:val="0"/>
            <w:vAlign w:val="center"/>
          </w:tcPr>
          <w:p w14:paraId="77CEBC64">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东至京沪铁路，南至中华路，西至人民路，北至育才路</w:t>
            </w:r>
          </w:p>
        </w:tc>
        <w:tc>
          <w:tcPr>
            <w:tcW w:w="851" w:type="dxa"/>
            <w:noWrap w:val="0"/>
            <w:vAlign w:val="center"/>
          </w:tcPr>
          <w:p w14:paraId="2FD77C65">
            <w:pPr>
              <w:ind w:left="-63" w:leftChars="-30" w:right="-63" w:rightChars="-30"/>
              <w:jc w:val="center"/>
              <w:rPr>
                <w:color w:val="000000"/>
                <w:kern w:val="0"/>
                <w:szCs w:val="21"/>
              </w:rPr>
            </w:pPr>
            <w:r>
              <w:rPr>
                <w:color w:val="000000"/>
                <w:kern w:val="0"/>
                <w:szCs w:val="21"/>
              </w:rPr>
              <w:t>1</w:t>
            </w:r>
          </w:p>
        </w:tc>
        <w:tc>
          <w:tcPr>
            <w:tcW w:w="709" w:type="dxa"/>
            <w:noWrap w:val="0"/>
            <w:vAlign w:val="center"/>
          </w:tcPr>
          <w:p w14:paraId="4B29DA5E">
            <w:pPr>
              <w:ind w:left="-63" w:leftChars="-30" w:right="-63" w:rightChars="-30"/>
              <w:jc w:val="center"/>
              <w:rPr>
                <w:color w:val="000000"/>
                <w:kern w:val="0"/>
                <w:szCs w:val="21"/>
              </w:rPr>
            </w:pPr>
            <w:r>
              <w:rPr>
                <w:color w:val="000000"/>
                <w:kern w:val="0"/>
                <w:szCs w:val="21"/>
              </w:rPr>
              <w:t>95</w:t>
            </w:r>
          </w:p>
        </w:tc>
        <w:tc>
          <w:tcPr>
            <w:tcW w:w="850" w:type="dxa"/>
            <w:noWrap w:val="0"/>
            <w:vAlign w:val="center"/>
          </w:tcPr>
          <w:p w14:paraId="0702F5B8">
            <w:pPr>
              <w:ind w:left="-63" w:leftChars="-30" w:right="-63" w:rightChars="-30"/>
              <w:jc w:val="center"/>
              <w:rPr>
                <w:color w:val="000000"/>
                <w:kern w:val="0"/>
                <w:szCs w:val="21"/>
              </w:rPr>
            </w:pPr>
            <w:r>
              <w:rPr>
                <w:color w:val="000000"/>
                <w:kern w:val="0"/>
                <w:szCs w:val="21"/>
              </w:rPr>
              <w:t>0.3074</w:t>
            </w:r>
          </w:p>
        </w:tc>
        <w:tc>
          <w:tcPr>
            <w:tcW w:w="284" w:type="dxa"/>
            <w:noWrap w:val="0"/>
            <w:vAlign w:val="center"/>
          </w:tcPr>
          <w:p w14:paraId="784F0A53">
            <w:pPr>
              <w:ind w:left="-63" w:leftChars="-30" w:right="-63" w:rightChars="-30"/>
              <w:jc w:val="center"/>
              <w:rPr>
                <w:color w:val="000000"/>
                <w:kern w:val="0"/>
                <w:szCs w:val="21"/>
              </w:rPr>
            </w:pPr>
            <w:r>
              <w:rPr>
                <w:color w:val="000000"/>
                <w:kern w:val="0"/>
                <w:szCs w:val="21"/>
              </w:rPr>
              <w:t>1</w:t>
            </w:r>
          </w:p>
        </w:tc>
        <w:tc>
          <w:tcPr>
            <w:tcW w:w="565" w:type="dxa"/>
            <w:noWrap w:val="0"/>
            <w:vAlign w:val="center"/>
          </w:tcPr>
          <w:p w14:paraId="6A8B5D49">
            <w:pPr>
              <w:ind w:left="-63" w:leftChars="-30" w:right="-63" w:rightChars="-30"/>
              <w:jc w:val="center"/>
              <w:rPr>
                <w:color w:val="000000"/>
                <w:kern w:val="0"/>
                <w:szCs w:val="21"/>
              </w:rPr>
            </w:pPr>
            <w:r>
              <w:rPr>
                <w:color w:val="000000"/>
                <w:kern w:val="0"/>
                <w:szCs w:val="21"/>
              </w:rPr>
              <w:t>29.2</w:t>
            </w:r>
          </w:p>
        </w:tc>
      </w:tr>
      <w:tr w14:paraId="63241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568FB91B">
            <w:pPr>
              <w:ind w:left="-63" w:leftChars="-30" w:right="-63" w:rightChars="-30"/>
              <w:rPr>
                <w:color w:val="000000"/>
                <w:kern w:val="0"/>
                <w:szCs w:val="21"/>
              </w:rPr>
            </w:pPr>
          </w:p>
        </w:tc>
        <w:tc>
          <w:tcPr>
            <w:tcW w:w="567" w:type="dxa"/>
            <w:vMerge w:val="continue"/>
            <w:noWrap w:val="0"/>
            <w:vAlign w:val="center"/>
          </w:tcPr>
          <w:p w14:paraId="3AB08107">
            <w:pPr>
              <w:ind w:left="-63" w:leftChars="-30" w:right="-63" w:rightChars="-30"/>
              <w:rPr>
                <w:rFonts w:ascii="楷体_GB2312" w:hAnsi="宋体" w:eastAsia="楷体_GB2312" w:cs="宋体"/>
                <w:color w:val="000000"/>
                <w:kern w:val="0"/>
                <w:szCs w:val="21"/>
              </w:rPr>
            </w:pPr>
          </w:p>
        </w:tc>
        <w:tc>
          <w:tcPr>
            <w:tcW w:w="567" w:type="dxa"/>
            <w:noWrap w:val="0"/>
            <w:vAlign w:val="center"/>
          </w:tcPr>
          <w:p w14:paraId="44BA6B2F">
            <w:pPr>
              <w:ind w:left="-63" w:leftChars="-30" w:right="-63" w:rightChars="-30"/>
              <w:jc w:val="center"/>
              <w:rPr>
                <w:color w:val="000000"/>
                <w:kern w:val="0"/>
                <w:szCs w:val="21"/>
              </w:rPr>
            </w:pPr>
            <w:r>
              <w:rPr>
                <w:color w:val="000000"/>
                <w:kern w:val="0"/>
                <w:szCs w:val="21"/>
              </w:rPr>
              <w:t>2</w:t>
            </w:r>
          </w:p>
        </w:tc>
        <w:tc>
          <w:tcPr>
            <w:tcW w:w="4252" w:type="dxa"/>
            <w:noWrap w:val="0"/>
            <w:vAlign w:val="center"/>
          </w:tcPr>
          <w:p w14:paraId="45F310F4">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东至京沪铁路、港口路，南至滨河路，西至景玉路西侧规划道路，北至北环路、山前路</w:t>
            </w:r>
          </w:p>
        </w:tc>
        <w:tc>
          <w:tcPr>
            <w:tcW w:w="851" w:type="dxa"/>
            <w:noWrap w:val="0"/>
            <w:vAlign w:val="center"/>
          </w:tcPr>
          <w:p w14:paraId="1177D646">
            <w:pPr>
              <w:ind w:left="-63" w:leftChars="-30" w:right="-63" w:rightChars="-30"/>
              <w:jc w:val="center"/>
              <w:rPr>
                <w:color w:val="000000"/>
                <w:kern w:val="0"/>
                <w:szCs w:val="21"/>
              </w:rPr>
            </w:pPr>
            <w:r>
              <w:rPr>
                <w:color w:val="000000"/>
                <w:kern w:val="0"/>
                <w:szCs w:val="21"/>
              </w:rPr>
              <w:t>0.95</w:t>
            </w:r>
          </w:p>
        </w:tc>
        <w:tc>
          <w:tcPr>
            <w:tcW w:w="709" w:type="dxa"/>
            <w:noWrap w:val="0"/>
            <w:vAlign w:val="center"/>
          </w:tcPr>
          <w:p w14:paraId="245F9371">
            <w:pPr>
              <w:ind w:left="-63" w:leftChars="-30" w:right="-63" w:rightChars="-30"/>
              <w:jc w:val="center"/>
              <w:rPr>
                <w:color w:val="000000"/>
                <w:kern w:val="0"/>
                <w:szCs w:val="21"/>
              </w:rPr>
            </w:pPr>
            <w:r>
              <w:rPr>
                <w:color w:val="000000"/>
                <w:kern w:val="0"/>
                <w:szCs w:val="21"/>
              </w:rPr>
              <w:t>92</w:t>
            </w:r>
          </w:p>
        </w:tc>
        <w:tc>
          <w:tcPr>
            <w:tcW w:w="850" w:type="dxa"/>
            <w:noWrap w:val="0"/>
            <w:vAlign w:val="center"/>
          </w:tcPr>
          <w:p w14:paraId="3A7842FA">
            <w:pPr>
              <w:ind w:left="-63" w:leftChars="-30" w:right="-63" w:rightChars="-30"/>
              <w:jc w:val="center"/>
              <w:rPr>
                <w:color w:val="000000"/>
                <w:kern w:val="0"/>
                <w:szCs w:val="21"/>
              </w:rPr>
            </w:pPr>
            <w:r>
              <w:rPr>
                <w:color w:val="000000"/>
                <w:kern w:val="0"/>
                <w:szCs w:val="21"/>
              </w:rPr>
              <w:t>0.3074</w:t>
            </w:r>
          </w:p>
        </w:tc>
        <w:tc>
          <w:tcPr>
            <w:tcW w:w="284" w:type="dxa"/>
            <w:noWrap w:val="0"/>
            <w:vAlign w:val="center"/>
          </w:tcPr>
          <w:p w14:paraId="31572014">
            <w:pPr>
              <w:ind w:left="-63" w:leftChars="-30" w:right="-63" w:rightChars="-30"/>
              <w:jc w:val="center"/>
              <w:rPr>
                <w:color w:val="000000"/>
                <w:kern w:val="0"/>
                <w:szCs w:val="21"/>
              </w:rPr>
            </w:pPr>
            <w:r>
              <w:rPr>
                <w:color w:val="000000"/>
                <w:kern w:val="0"/>
                <w:szCs w:val="21"/>
              </w:rPr>
              <w:t>2</w:t>
            </w:r>
          </w:p>
        </w:tc>
        <w:tc>
          <w:tcPr>
            <w:tcW w:w="565" w:type="dxa"/>
            <w:noWrap w:val="0"/>
            <w:vAlign w:val="center"/>
          </w:tcPr>
          <w:p w14:paraId="27A5AD66">
            <w:pPr>
              <w:ind w:left="-63" w:leftChars="-30" w:right="-63" w:rightChars="-30"/>
              <w:jc w:val="center"/>
              <w:rPr>
                <w:color w:val="000000"/>
                <w:kern w:val="0"/>
                <w:szCs w:val="21"/>
              </w:rPr>
            </w:pPr>
            <w:r>
              <w:rPr>
                <w:color w:val="000000"/>
                <w:kern w:val="0"/>
                <w:szCs w:val="21"/>
              </w:rPr>
              <w:t>26.87</w:t>
            </w:r>
          </w:p>
        </w:tc>
      </w:tr>
      <w:tr w14:paraId="23D40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3B823BCF">
            <w:pPr>
              <w:ind w:left="-63" w:leftChars="-30" w:right="-63" w:rightChars="-30"/>
              <w:rPr>
                <w:color w:val="000000"/>
                <w:kern w:val="0"/>
                <w:szCs w:val="21"/>
              </w:rPr>
            </w:pPr>
          </w:p>
        </w:tc>
        <w:tc>
          <w:tcPr>
            <w:tcW w:w="567" w:type="dxa"/>
            <w:vMerge w:val="continue"/>
            <w:noWrap w:val="0"/>
            <w:vAlign w:val="center"/>
          </w:tcPr>
          <w:p w14:paraId="75612031">
            <w:pPr>
              <w:ind w:left="-63" w:leftChars="-30" w:right="-63" w:rightChars="-30"/>
              <w:rPr>
                <w:rFonts w:ascii="楷体_GB2312" w:hAnsi="宋体" w:eastAsia="楷体_GB2312" w:cs="宋体"/>
                <w:color w:val="000000"/>
                <w:kern w:val="0"/>
                <w:szCs w:val="21"/>
              </w:rPr>
            </w:pPr>
          </w:p>
        </w:tc>
        <w:tc>
          <w:tcPr>
            <w:tcW w:w="567" w:type="dxa"/>
            <w:noWrap w:val="0"/>
            <w:vAlign w:val="center"/>
          </w:tcPr>
          <w:p w14:paraId="5AFA8360">
            <w:pPr>
              <w:ind w:left="-63" w:leftChars="-30" w:right="-63" w:rightChars="-30"/>
              <w:jc w:val="center"/>
              <w:rPr>
                <w:color w:val="000000"/>
                <w:kern w:val="0"/>
                <w:szCs w:val="21"/>
              </w:rPr>
            </w:pPr>
            <w:r>
              <w:rPr>
                <w:color w:val="000000"/>
                <w:kern w:val="0"/>
                <w:szCs w:val="21"/>
              </w:rPr>
              <w:t>3</w:t>
            </w:r>
          </w:p>
        </w:tc>
        <w:tc>
          <w:tcPr>
            <w:tcW w:w="4252" w:type="dxa"/>
            <w:noWrap w:val="0"/>
            <w:vAlign w:val="center"/>
          </w:tcPr>
          <w:p w14:paraId="73F172B0">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851" w:type="dxa"/>
            <w:noWrap w:val="0"/>
            <w:vAlign w:val="center"/>
          </w:tcPr>
          <w:p w14:paraId="2B38D5F0">
            <w:pPr>
              <w:ind w:left="-63" w:leftChars="-30" w:right="-63" w:rightChars="-30"/>
              <w:jc w:val="center"/>
              <w:rPr>
                <w:color w:val="000000"/>
                <w:kern w:val="0"/>
                <w:szCs w:val="21"/>
              </w:rPr>
            </w:pPr>
            <w:r>
              <w:rPr>
                <w:color w:val="000000"/>
                <w:kern w:val="0"/>
                <w:szCs w:val="21"/>
              </w:rPr>
              <w:t>0.92</w:t>
            </w:r>
          </w:p>
        </w:tc>
        <w:tc>
          <w:tcPr>
            <w:tcW w:w="709" w:type="dxa"/>
            <w:noWrap w:val="0"/>
            <w:vAlign w:val="center"/>
          </w:tcPr>
          <w:p w14:paraId="1FD212AC">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593A59E6">
            <w:pPr>
              <w:ind w:left="-63" w:leftChars="-30" w:right="-63" w:rightChars="-30"/>
              <w:jc w:val="center"/>
              <w:rPr>
                <w:color w:val="000000"/>
                <w:kern w:val="0"/>
                <w:szCs w:val="21"/>
              </w:rPr>
            </w:pPr>
            <w:r>
              <w:rPr>
                <w:color w:val="000000"/>
                <w:kern w:val="0"/>
                <w:szCs w:val="21"/>
              </w:rPr>
              <w:t>0.3074</w:t>
            </w:r>
          </w:p>
        </w:tc>
        <w:tc>
          <w:tcPr>
            <w:tcW w:w="284" w:type="dxa"/>
            <w:noWrap w:val="0"/>
            <w:vAlign w:val="center"/>
          </w:tcPr>
          <w:p w14:paraId="51215B50">
            <w:pPr>
              <w:ind w:left="-63" w:leftChars="-30" w:right="-63" w:rightChars="-30"/>
              <w:jc w:val="center"/>
              <w:rPr>
                <w:color w:val="000000"/>
                <w:kern w:val="0"/>
                <w:szCs w:val="21"/>
              </w:rPr>
            </w:pPr>
            <w:r>
              <w:rPr>
                <w:color w:val="000000"/>
                <w:kern w:val="0"/>
                <w:szCs w:val="21"/>
              </w:rPr>
              <w:t>3</w:t>
            </w:r>
          </w:p>
        </w:tc>
        <w:tc>
          <w:tcPr>
            <w:tcW w:w="565" w:type="dxa"/>
            <w:noWrap w:val="0"/>
            <w:vAlign w:val="center"/>
          </w:tcPr>
          <w:p w14:paraId="60014B0D">
            <w:pPr>
              <w:ind w:left="-63" w:leftChars="-30" w:right="-63" w:rightChars="-30"/>
              <w:jc w:val="center"/>
              <w:rPr>
                <w:color w:val="000000"/>
                <w:kern w:val="0"/>
                <w:szCs w:val="21"/>
              </w:rPr>
            </w:pPr>
            <w:r>
              <w:rPr>
                <w:color w:val="000000"/>
                <w:kern w:val="0"/>
                <w:szCs w:val="21"/>
              </w:rPr>
              <w:t>25.45</w:t>
            </w:r>
          </w:p>
        </w:tc>
      </w:tr>
      <w:tr w14:paraId="310CB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restart"/>
            <w:noWrap w:val="0"/>
            <w:vAlign w:val="center"/>
          </w:tcPr>
          <w:p w14:paraId="15A5C383">
            <w:pPr>
              <w:ind w:left="-63" w:leftChars="-30" w:right="-63" w:rightChars="-30"/>
              <w:jc w:val="center"/>
              <w:rPr>
                <w:color w:val="000000"/>
                <w:kern w:val="0"/>
                <w:szCs w:val="21"/>
              </w:rPr>
            </w:pPr>
            <w:r>
              <w:rPr>
                <w:color w:val="000000"/>
                <w:kern w:val="0"/>
                <w:szCs w:val="21"/>
              </w:rPr>
              <w:t>2</w:t>
            </w:r>
          </w:p>
        </w:tc>
        <w:tc>
          <w:tcPr>
            <w:tcW w:w="567" w:type="dxa"/>
            <w:vMerge w:val="restart"/>
            <w:noWrap w:val="0"/>
            <w:vAlign w:val="center"/>
          </w:tcPr>
          <w:p w14:paraId="52CA6292">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朱仙庄镇</w:t>
            </w:r>
          </w:p>
        </w:tc>
        <w:tc>
          <w:tcPr>
            <w:tcW w:w="567" w:type="dxa"/>
            <w:noWrap w:val="0"/>
            <w:vAlign w:val="center"/>
          </w:tcPr>
          <w:p w14:paraId="24CE78CB">
            <w:pPr>
              <w:ind w:left="-63" w:leftChars="-30" w:right="-63" w:rightChars="-30"/>
              <w:jc w:val="center"/>
              <w:rPr>
                <w:color w:val="000000"/>
                <w:kern w:val="0"/>
                <w:szCs w:val="21"/>
              </w:rPr>
            </w:pPr>
            <w:r>
              <w:rPr>
                <w:color w:val="000000"/>
                <w:kern w:val="0"/>
                <w:szCs w:val="21"/>
              </w:rPr>
              <w:t>1</w:t>
            </w:r>
          </w:p>
        </w:tc>
        <w:tc>
          <w:tcPr>
            <w:tcW w:w="4252" w:type="dxa"/>
            <w:noWrap w:val="0"/>
            <w:vAlign w:val="center"/>
          </w:tcPr>
          <w:p w14:paraId="284C2654">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东至环湖路，南至汴河东路，西至滨湖一路，北至望湖路</w:t>
            </w:r>
          </w:p>
        </w:tc>
        <w:tc>
          <w:tcPr>
            <w:tcW w:w="851" w:type="dxa"/>
            <w:noWrap w:val="0"/>
            <w:vAlign w:val="center"/>
          </w:tcPr>
          <w:p w14:paraId="40F70886">
            <w:pPr>
              <w:ind w:left="-63" w:leftChars="-30" w:right="-63" w:rightChars="-30"/>
              <w:jc w:val="center"/>
              <w:rPr>
                <w:color w:val="000000"/>
                <w:kern w:val="0"/>
                <w:szCs w:val="21"/>
              </w:rPr>
            </w:pPr>
            <w:r>
              <w:rPr>
                <w:color w:val="000000"/>
                <w:kern w:val="0"/>
                <w:szCs w:val="21"/>
              </w:rPr>
              <w:t>1</w:t>
            </w:r>
          </w:p>
        </w:tc>
        <w:tc>
          <w:tcPr>
            <w:tcW w:w="709" w:type="dxa"/>
            <w:noWrap w:val="0"/>
            <w:vAlign w:val="center"/>
          </w:tcPr>
          <w:p w14:paraId="0E22F819">
            <w:pPr>
              <w:ind w:left="-63" w:leftChars="-30" w:right="-63" w:rightChars="-30"/>
              <w:jc w:val="center"/>
              <w:rPr>
                <w:color w:val="000000"/>
                <w:kern w:val="0"/>
                <w:szCs w:val="21"/>
              </w:rPr>
            </w:pPr>
            <w:r>
              <w:rPr>
                <w:color w:val="000000"/>
                <w:kern w:val="0"/>
                <w:szCs w:val="21"/>
              </w:rPr>
              <w:t>95</w:t>
            </w:r>
          </w:p>
        </w:tc>
        <w:tc>
          <w:tcPr>
            <w:tcW w:w="850" w:type="dxa"/>
            <w:noWrap w:val="0"/>
            <w:vAlign w:val="center"/>
          </w:tcPr>
          <w:p w14:paraId="3269CF0E">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46B32EAA">
            <w:pPr>
              <w:ind w:left="-63" w:leftChars="-30" w:right="-63" w:rightChars="-30"/>
              <w:jc w:val="center"/>
              <w:rPr>
                <w:color w:val="000000"/>
                <w:kern w:val="0"/>
                <w:szCs w:val="21"/>
              </w:rPr>
            </w:pPr>
            <w:r>
              <w:rPr>
                <w:color w:val="000000"/>
                <w:kern w:val="0"/>
                <w:szCs w:val="21"/>
              </w:rPr>
              <w:t>1</w:t>
            </w:r>
          </w:p>
        </w:tc>
        <w:tc>
          <w:tcPr>
            <w:tcW w:w="565" w:type="dxa"/>
            <w:noWrap w:val="0"/>
            <w:vAlign w:val="center"/>
          </w:tcPr>
          <w:p w14:paraId="6AC58A15">
            <w:pPr>
              <w:ind w:left="-63" w:leftChars="-30" w:right="-63" w:rightChars="-30"/>
              <w:jc w:val="center"/>
              <w:rPr>
                <w:color w:val="000000"/>
                <w:kern w:val="0"/>
                <w:szCs w:val="21"/>
              </w:rPr>
            </w:pPr>
            <w:r>
              <w:rPr>
                <w:color w:val="000000"/>
                <w:kern w:val="0"/>
                <w:szCs w:val="21"/>
              </w:rPr>
              <w:t>28.22</w:t>
            </w:r>
          </w:p>
        </w:tc>
      </w:tr>
      <w:tr w14:paraId="26FA2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760065D4">
            <w:pPr>
              <w:ind w:left="-63" w:leftChars="-30" w:right="-63" w:rightChars="-30"/>
              <w:rPr>
                <w:color w:val="000000"/>
                <w:kern w:val="0"/>
                <w:szCs w:val="21"/>
              </w:rPr>
            </w:pPr>
          </w:p>
        </w:tc>
        <w:tc>
          <w:tcPr>
            <w:tcW w:w="567" w:type="dxa"/>
            <w:vMerge w:val="continue"/>
            <w:noWrap w:val="0"/>
            <w:vAlign w:val="center"/>
          </w:tcPr>
          <w:p w14:paraId="30536D3A">
            <w:pPr>
              <w:ind w:left="-63" w:leftChars="-30" w:right="-63" w:rightChars="-30"/>
              <w:rPr>
                <w:rFonts w:ascii="楷体_GB2312" w:hAnsi="宋体" w:eastAsia="楷体_GB2312" w:cs="宋体"/>
                <w:color w:val="000000"/>
                <w:kern w:val="0"/>
                <w:szCs w:val="21"/>
              </w:rPr>
            </w:pPr>
          </w:p>
        </w:tc>
        <w:tc>
          <w:tcPr>
            <w:tcW w:w="567" w:type="dxa"/>
            <w:noWrap w:val="0"/>
            <w:vAlign w:val="center"/>
          </w:tcPr>
          <w:p w14:paraId="161D08DD">
            <w:pPr>
              <w:ind w:left="-63" w:leftChars="-30" w:right="-63" w:rightChars="-30"/>
              <w:jc w:val="center"/>
              <w:rPr>
                <w:color w:val="000000"/>
                <w:kern w:val="0"/>
                <w:szCs w:val="21"/>
              </w:rPr>
            </w:pPr>
            <w:r>
              <w:rPr>
                <w:color w:val="000000"/>
                <w:kern w:val="0"/>
                <w:szCs w:val="21"/>
              </w:rPr>
              <w:t>2</w:t>
            </w:r>
          </w:p>
        </w:tc>
        <w:tc>
          <w:tcPr>
            <w:tcW w:w="4252" w:type="dxa"/>
            <w:noWrap w:val="0"/>
            <w:vAlign w:val="center"/>
          </w:tcPr>
          <w:p w14:paraId="681E1893">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东至环湖路，南至汴河东路，西至二徐路，北至北沱河、纬五路</w:t>
            </w:r>
          </w:p>
        </w:tc>
        <w:tc>
          <w:tcPr>
            <w:tcW w:w="851" w:type="dxa"/>
            <w:noWrap w:val="0"/>
            <w:vAlign w:val="center"/>
          </w:tcPr>
          <w:p w14:paraId="51DAF0B3">
            <w:pPr>
              <w:ind w:left="-63" w:leftChars="-30" w:right="-63" w:rightChars="-30"/>
              <w:jc w:val="center"/>
              <w:rPr>
                <w:color w:val="000000"/>
                <w:kern w:val="0"/>
                <w:szCs w:val="21"/>
              </w:rPr>
            </w:pPr>
            <w:r>
              <w:rPr>
                <w:color w:val="000000"/>
                <w:kern w:val="0"/>
                <w:szCs w:val="21"/>
              </w:rPr>
              <w:t>0.95</w:t>
            </w:r>
          </w:p>
        </w:tc>
        <w:tc>
          <w:tcPr>
            <w:tcW w:w="709" w:type="dxa"/>
            <w:noWrap w:val="0"/>
            <w:vAlign w:val="center"/>
          </w:tcPr>
          <w:p w14:paraId="38F8231B">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6BAF9DDF">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12611EE2">
            <w:pPr>
              <w:ind w:left="-63" w:leftChars="-30" w:right="-63" w:rightChars="-30"/>
              <w:jc w:val="center"/>
              <w:rPr>
                <w:color w:val="000000"/>
                <w:kern w:val="0"/>
                <w:szCs w:val="21"/>
              </w:rPr>
            </w:pPr>
            <w:r>
              <w:rPr>
                <w:color w:val="000000"/>
                <w:kern w:val="0"/>
                <w:szCs w:val="21"/>
              </w:rPr>
              <w:t>2</w:t>
            </w:r>
          </w:p>
        </w:tc>
        <w:tc>
          <w:tcPr>
            <w:tcW w:w="565" w:type="dxa"/>
            <w:noWrap w:val="0"/>
            <w:vAlign w:val="center"/>
          </w:tcPr>
          <w:p w14:paraId="0FB16EB9">
            <w:pPr>
              <w:ind w:left="-63" w:leftChars="-30" w:right="-63" w:rightChars="-30"/>
              <w:jc w:val="center"/>
              <w:rPr>
                <w:color w:val="000000"/>
                <w:kern w:val="0"/>
                <w:szCs w:val="21"/>
              </w:rPr>
            </w:pPr>
            <w:r>
              <w:rPr>
                <w:color w:val="000000"/>
                <w:kern w:val="0"/>
                <w:szCs w:val="21"/>
              </w:rPr>
              <w:t>25.4</w:t>
            </w:r>
          </w:p>
        </w:tc>
      </w:tr>
      <w:tr w14:paraId="038E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413D88D6">
            <w:pPr>
              <w:ind w:left="-63" w:leftChars="-30" w:right="-63" w:rightChars="-30"/>
              <w:rPr>
                <w:color w:val="000000"/>
                <w:kern w:val="0"/>
                <w:szCs w:val="21"/>
              </w:rPr>
            </w:pPr>
          </w:p>
        </w:tc>
        <w:tc>
          <w:tcPr>
            <w:tcW w:w="567" w:type="dxa"/>
            <w:vMerge w:val="continue"/>
            <w:noWrap w:val="0"/>
            <w:vAlign w:val="center"/>
          </w:tcPr>
          <w:p w14:paraId="04234D80">
            <w:pPr>
              <w:ind w:left="-63" w:leftChars="-30" w:right="-63" w:rightChars="-30"/>
              <w:rPr>
                <w:rFonts w:ascii="楷体_GB2312" w:hAnsi="宋体" w:eastAsia="楷体_GB2312" w:cs="宋体"/>
                <w:color w:val="000000"/>
                <w:kern w:val="0"/>
                <w:szCs w:val="21"/>
              </w:rPr>
            </w:pPr>
          </w:p>
        </w:tc>
        <w:tc>
          <w:tcPr>
            <w:tcW w:w="567" w:type="dxa"/>
            <w:noWrap w:val="0"/>
            <w:vAlign w:val="center"/>
          </w:tcPr>
          <w:p w14:paraId="4CB14F1A">
            <w:pPr>
              <w:ind w:left="-63" w:leftChars="-30" w:right="-63" w:rightChars="-30"/>
              <w:jc w:val="center"/>
              <w:rPr>
                <w:color w:val="000000"/>
                <w:kern w:val="0"/>
                <w:szCs w:val="21"/>
              </w:rPr>
            </w:pPr>
            <w:r>
              <w:rPr>
                <w:color w:val="000000"/>
                <w:kern w:val="0"/>
                <w:szCs w:val="21"/>
              </w:rPr>
              <w:t>3</w:t>
            </w:r>
          </w:p>
        </w:tc>
        <w:tc>
          <w:tcPr>
            <w:tcW w:w="4252" w:type="dxa"/>
            <w:noWrap w:val="0"/>
            <w:vAlign w:val="center"/>
          </w:tcPr>
          <w:p w14:paraId="41623043">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851" w:type="dxa"/>
            <w:noWrap w:val="0"/>
            <w:vAlign w:val="center"/>
          </w:tcPr>
          <w:p w14:paraId="3F50B9DF">
            <w:pPr>
              <w:ind w:left="-63" w:leftChars="-30" w:right="-63" w:rightChars="-30"/>
              <w:jc w:val="center"/>
              <w:rPr>
                <w:color w:val="000000"/>
                <w:kern w:val="0"/>
                <w:szCs w:val="21"/>
              </w:rPr>
            </w:pPr>
            <w:r>
              <w:rPr>
                <w:color w:val="000000"/>
                <w:kern w:val="0"/>
                <w:szCs w:val="21"/>
              </w:rPr>
              <w:t>0.92</w:t>
            </w:r>
          </w:p>
        </w:tc>
        <w:tc>
          <w:tcPr>
            <w:tcW w:w="709" w:type="dxa"/>
            <w:noWrap w:val="0"/>
            <w:vAlign w:val="center"/>
          </w:tcPr>
          <w:p w14:paraId="778E32EC">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0B8391A4">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06482A22">
            <w:pPr>
              <w:ind w:left="-63" w:leftChars="-30" w:right="-63" w:rightChars="-30"/>
              <w:jc w:val="center"/>
              <w:rPr>
                <w:color w:val="000000"/>
                <w:kern w:val="0"/>
                <w:szCs w:val="21"/>
              </w:rPr>
            </w:pPr>
            <w:r>
              <w:rPr>
                <w:color w:val="000000"/>
                <w:kern w:val="0"/>
                <w:szCs w:val="21"/>
              </w:rPr>
              <w:t>3</w:t>
            </w:r>
          </w:p>
        </w:tc>
        <w:tc>
          <w:tcPr>
            <w:tcW w:w="565" w:type="dxa"/>
            <w:noWrap w:val="0"/>
            <w:vAlign w:val="center"/>
          </w:tcPr>
          <w:p w14:paraId="2440720F">
            <w:pPr>
              <w:ind w:left="-63" w:leftChars="-30" w:right="-63" w:rightChars="-30"/>
              <w:jc w:val="center"/>
              <w:rPr>
                <w:color w:val="000000"/>
                <w:kern w:val="0"/>
                <w:szCs w:val="21"/>
              </w:rPr>
            </w:pPr>
            <w:r>
              <w:rPr>
                <w:color w:val="000000"/>
                <w:kern w:val="0"/>
                <w:szCs w:val="21"/>
              </w:rPr>
              <w:t>24.6</w:t>
            </w:r>
          </w:p>
        </w:tc>
      </w:tr>
      <w:tr w14:paraId="035C4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restart"/>
            <w:noWrap w:val="0"/>
            <w:vAlign w:val="center"/>
          </w:tcPr>
          <w:p w14:paraId="46D0D8FA">
            <w:pPr>
              <w:ind w:left="-63" w:leftChars="-30" w:right="-63" w:rightChars="-30"/>
              <w:jc w:val="center"/>
              <w:rPr>
                <w:color w:val="000000"/>
                <w:kern w:val="0"/>
                <w:szCs w:val="21"/>
              </w:rPr>
            </w:pPr>
            <w:r>
              <w:rPr>
                <w:color w:val="000000"/>
                <w:kern w:val="0"/>
                <w:szCs w:val="21"/>
              </w:rPr>
              <w:t>3</w:t>
            </w:r>
          </w:p>
        </w:tc>
        <w:tc>
          <w:tcPr>
            <w:tcW w:w="567" w:type="dxa"/>
            <w:vMerge w:val="restart"/>
            <w:noWrap w:val="0"/>
            <w:vAlign w:val="center"/>
          </w:tcPr>
          <w:p w14:paraId="39570E65">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蕲县镇</w:t>
            </w:r>
          </w:p>
        </w:tc>
        <w:tc>
          <w:tcPr>
            <w:tcW w:w="567" w:type="dxa"/>
            <w:noWrap w:val="0"/>
            <w:vAlign w:val="center"/>
          </w:tcPr>
          <w:p w14:paraId="77B823F8">
            <w:pPr>
              <w:ind w:left="-63" w:leftChars="-30" w:right="-63" w:rightChars="-30"/>
              <w:jc w:val="center"/>
              <w:rPr>
                <w:color w:val="000000"/>
                <w:kern w:val="0"/>
                <w:szCs w:val="21"/>
              </w:rPr>
            </w:pPr>
            <w:r>
              <w:rPr>
                <w:color w:val="000000"/>
                <w:kern w:val="0"/>
                <w:szCs w:val="21"/>
              </w:rPr>
              <w:t>1</w:t>
            </w:r>
          </w:p>
        </w:tc>
        <w:tc>
          <w:tcPr>
            <w:tcW w:w="4252" w:type="dxa"/>
            <w:noWrap w:val="0"/>
            <w:vAlign w:val="center"/>
          </w:tcPr>
          <w:p w14:paraId="5EDC8727">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w:t>
            </w:r>
            <w:r>
              <w:rPr>
                <w:rFonts w:eastAsia="楷体_GB2312"/>
                <w:color w:val="000000"/>
                <w:kern w:val="0"/>
                <w:szCs w:val="21"/>
              </w:rPr>
              <w:t>206</w:t>
            </w:r>
            <w:r>
              <w:rPr>
                <w:rFonts w:hint="eastAsia" w:ascii="楷体_GB2312" w:hAnsi="宋体" w:eastAsia="楷体_GB2312" w:cs="宋体"/>
                <w:color w:val="000000"/>
                <w:kern w:val="0"/>
                <w:szCs w:val="21"/>
              </w:rPr>
              <w:t>国道，南至浍河，西至浍水路，北至古城路</w:t>
            </w:r>
          </w:p>
        </w:tc>
        <w:tc>
          <w:tcPr>
            <w:tcW w:w="851" w:type="dxa"/>
            <w:noWrap w:val="0"/>
            <w:vAlign w:val="center"/>
          </w:tcPr>
          <w:p w14:paraId="23B68790">
            <w:pPr>
              <w:ind w:left="-63" w:leftChars="-30" w:right="-63" w:rightChars="-30"/>
              <w:jc w:val="center"/>
              <w:rPr>
                <w:color w:val="000000"/>
                <w:kern w:val="0"/>
                <w:szCs w:val="21"/>
              </w:rPr>
            </w:pPr>
            <w:r>
              <w:rPr>
                <w:color w:val="000000"/>
                <w:kern w:val="0"/>
                <w:szCs w:val="21"/>
              </w:rPr>
              <w:t>1</w:t>
            </w:r>
          </w:p>
        </w:tc>
        <w:tc>
          <w:tcPr>
            <w:tcW w:w="709" w:type="dxa"/>
            <w:noWrap w:val="0"/>
            <w:vAlign w:val="center"/>
          </w:tcPr>
          <w:p w14:paraId="1FA7634C">
            <w:pPr>
              <w:ind w:left="-63" w:leftChars="-30" w:right="-63" w:rightChars="-30"/>
              <w:jc w:val="center"/>
              <w:rPr>
                <w:color w:val="000000"/>
                <w:kern w:val="0"/>
                <w:szCs w:val="21"/>
              </w:rPr>
            </w:pPr>
            <w:r>
              <w:rPr>
                <w:color w:val="000000"/>
                <w:kern w:val="0"/>
                <w:szCs w:val="21"/>
              </w:rPr>
              <w:t>95</w:t>
            </w:r>
          </w:p>
        </w:tc>
        <w:tc>
          <w:tcPr>
            <w:tcW w:w="850" w:type="dxa"/>
            <w:noWrap w:val="0"/>
            <w:vAlign w:val="center"/>
          </w:tcPr>
          <w:p w14:paraId="4617F122">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56699B33">
            <w:pPr>
              <w:ind w:left="-63" w:leftChars="-30" w:right="-63" w:rightChars="-30"/>
              <w:jc w:val="center"/>
              <w:rPr>
                <w:color w:val="000000"/>
                <w:kern w:val="0"/>
                <w:szCs w:val="21"/>
              </w:rPr>
            </w:pPr>
            <w:r>
              <w:rPr>
                <w:color w:val="000000"/>
                <w:kern w:val="0"/>
                <w:szCs w:val="21"/>
              </w:rPr>
              <w:t>1</w:t>
            </w:r>
          </w:p>
        </w:tc>
        <w:tc>
          <w:tcPr>
            <w:tcW w:w="565" w:type="dxa"/>
            <w:noWrap w:val="0"/>
            <w:vAlign w:val="center"/>
          </w:tcPr>
          <w:p w14:paraId="733371ED">
            <w:pPr>
              <w:ind w:left="-63" w:leftChars="-30" w:right="-63" w:rightChars="-30"/>
              <w:jc w:val="center"/>
              <w:rPr>
                <w:color w:val="000000"/>
                <w:kern w:val="0"/>
                <w:szCs w:val="21"/>
              </w:rPr>
            </w:pPr>
            <w:r>
              <w:rPr>
                <w:color w:val="000000"/>
                <w:kern w:val="0"/>
                <w:szCs w:val="21"/>
              </w:rPr>
              <w:t>28.22</w:t>
            </w:r>
          </w:p>
        </w:tc>
      </w:tr>
      <w:tr w14:paraId="3872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30209A79">
            <w:pPr>
              <w:ind w:left="-63" w:leftChars="-30" w:right="-63" w:rightChars="-30"/>
              <w:rPr>
                <w:color w:val="000000"/>
                <w:kern w:val="0"/>
                <w:szCs w:val="21"/>
              </w:rPr>
            </w:pPr>
          </w:p>
        </w:tc>
        <w:tc>
          <w:tcPr>
            <w:tcW w:w="567" w:type="dxa"/>
            <w:vMerge w:val="continue"/>
            <w:noWrap w:val="0"/>
            <w:vAlign w:val="center"/>
          </w:tcPr>
          <w:p w14:paraId="282AD509">
            <w:pPr>
              <w:ind w:left="-63" w:leftChars="-30" w:right="-63" w:rightChars="-30"/>
              <w:rPr>
                <w:rFonts w:ascii="楷体_GB2312" w:hAnsi="宋体" w:eastAsia="楷体_GB2312" w:cs="宋体"/>
                <w:color w:val="000000"/>
                <w:kern w:val="0"/>
                <w:szCs w:val="21"/>
              </w:rPr>
            </w:pPr>
          </w:p>
        </w:tc>
        <w:tc>
          <w:tcPr>
            <w:tcW w:w="567" w:type="dxa"/>
            <w:noWrap w:val="0"/>
            <w:vAlign w:val="center"/>
          </w:tcPr>
          <w:p w14:paraId="07AA68E4">
            <w:pPr>
              <w:ind w:left="-63" w:leftChars="-30" w:right="-63" w:rightChars="-30"/>
              <w:jc w:val="center"/>
              <w:rPr>
                <w:color w:val="000000"/>
                <w:kern w:val="0"/>
                <w:szCs w:val="21"/>
              </w:rPr>
            </w:pPr>
            <w:r>
              <w:rPr>
                <w:color w:val="000000"/>
                <w:kern w:val="0"/>
                <w:szCs w:val="21"/>
              </w:rPr>
              <w:t>2</w:t>
            </w:r>
          </w:p>
        </w:tc>
        <w:tc>
          <w:tcPr>
            <w:tcW w:w="4252" w:type="dxa"/>
            <w:noWrap w:val="0"/>
            <w:vAlign w:val="center"/>
          </w:tcPr>
          <w:p w14:paraId="03535522">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东至梅城路，南至浍河，西至</w:t>
            </w:r>
            <w:r>
              <w:rPr>
                <w:rFonts w:eastAsia="楷体_GB2312"/>
                <w:color w:val="000000"/>
                <w:kern w:val="0"/>
                <w:szCs w:val="21"/>
              </w:rPr>
              <w:t>206</w:t>
            </w:r>
            <w:r>
              <w:rPr>
                <w:rFonts w:hint="eastAsia" w:ascii="楷体_GB2312" w:hAnsi="宋体" w:eastAsia="楷体_GB2312" w:cs="宋体"/>
                <w:color w:val="000000"/>
                <w:kern w:val="0"/>
                <w:szCs w:val="21"/>
              </w:rPr>
              <w:t>国道、老街路、文苑路、浍河，北至鸿鹄路</w:t>
            </w:r>
          </w:p>
        </w:tc>
        <w:tc>
          <w:tcPr>
            <w:tcW w:w="851" w:type="dxa"/>
            <w:noWrap w:val="0"/>
            <w:vAlign w:val="center"/>
          </w:tcPr>
          <w:p w14:paraId="4E030E2C">
            <w:pPr>
              <w:ind w:left="-63" w:leftChars="-30" w:right="-63" w:rightChars="-30"/>
              <w:jc w:val="center"/>
              <w:rPr>
                <w:color w:val="000000"/>
                <w:kern w:val="0"/>
                <w:szCs w:val="21"/>
              </w:rPr>
            </w:pPr>
            <w:r>
              <w:rPr>
                <w:color w:val="000000"/>
                <w:kern w:val="0"/>
                <w:szCs w:val="21"/>
              </w:rPr>
              <w:t>0.95</w:t>
            </w:r>
          </w:p>
        </w:tc>
        <w:tc>
          <w:tcPr>
            <w:tcW w:w="709" w:type="dxa"/>
            <w:noWrap w:val="0"/>
            <w:vAlign w:val="center"/>
          </w:tcPr>
          <w:p w14:paraId="78F819CB">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4E50F4DE">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11D2236D">
            <w:pPr>
              <w:ind w:left="-63" w:leftChars="-30" w:right="-63" w:rightChars="-30"/>
              <w:jc w:val="center"/>
              <w:rPr>
                <w:color w:val="000000"/>
                <w:kern w:val="0"/>
                <w:szCs w:val="21"/>
              </w:rPr>
            </w:pPr>
            <w:r>
              <w:rPr>
                <w:color w:val="000000"/>
                <w:kern w:val="0"/>
                <w:szCs w:val="21"/>
              </w:rPr>
              <w:t>2</w:t>
            </w:r>
          </w:p>
        </w:tc>
        <w:tc>
          <w:tcPr>
            <w:tcW w:w="565" w:type="dxa"/>
            <w:noWrap w:val="0"/>
            <w:vAlign w:val="center"/>
          </w:tcPr>
          <w:p w14:paraId="0D892E18">
            <w:pPr>
              <w:ind w:left="-63" w:leftChars="-30" w:right="-63" w:rightChars="-30"/>
              <w:jc w:val="center"/>
              <w:rPr>
                <w:color w:val="000000"/>
                <w:kern w:val="0"/>
                <w:szCs w:val="21"/>
              </w:rPr>
            </w:pPr>
            <w:r>
              <w:rPr>
                <w:color w:val="000000"/>
                <w:kern w:val="0"/>
                <w:szCs w:val="21"/>
              </w:rPr>
              <w:t>25.4</w:t>
            </w:r>
          </w:p>
        </w:tc>
      </w:tr>
      <w:tr w14:paraId="66C6D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74AC0B5C">
            <w:pPr>
              <w:ind w:left="-63" w:leftChars="-30" w:right="-63" w:rightChars="-30"/>
              <w:rPr>
                <w:color w:val="000000"/>
                <w:kern w:val="0"/>
                <w:szCs w:val="21"/>
              </w:rPr>
            </w:pPr>
          </w:p>
        </w:tc>
        <w:tc>
          <w:tcPr>
            <w:tcW w:w="567" w:type="dxa"/>
            <w:vMerge w:val="continue"/>
            <w:noWrap w:val="0"/>
            <w:vAlign w:val="center"/>
          </w:tcPr>
          <w:p w14:paraId="2F322826">
            <w:pPr>
              <w:ind w:left="-63" w:leftChars="-30" w:right="-63" w:rightChars="-30"/>
              <w:rPr>
                <w:rFonts w:ascii="楷体_GB2312" w:hAnsi="宋体" w:eastAsia="楷体_GB2312" w:cs="宋体"/>
                <w:color w:val="000000"/>
                <w:kern w:val="0"/>
                <w:szCs w:val="21"/>
              </w:rPr>
            </w:pPr>
          </w:p>
        </w:tc>
        <w:tc>
          <w:tcPr>
            <w:tcW w:w="567" w:type="dxa"/>
            <w:noWrap w:val="0"/>
            <w:vAlign w:val="center"/>
          </w:tcPr>
          <w:p w14:paraId="52E5E568">
            <w:pPr>
              <w:ind w:left="-63" w:leftChars="-30" w:right="-63" w:rightChars="-30"/>
              <w:jc w:val="center"/>
              <w:rPr>
                <w:color w:val="000000"/>
                <w:kern w:val="0"/>
                <w:szCs w:val="21"/>
              </w:rPr>
            </w:pPr>
            <w:r>
              <w:rPr>
                <w:color w:val="000000"/>
                <w:kern w:val="0"/>
                <w:szCs w:val="21"/>
              </w:rPr>
              <w:t>3</w:t>
            </w:r>
          </w:p>
        </w:tc>
        <w:tc>
          <w:tcPr>
            <w:tcW w:w="4252" w:type="dxa"/>
            <w:noWrap w:val="0"/>
            <w:vAlign w:val="center"/>
          </w:tcPr>
          <w:p w14:paraId="7F8EE7D0">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851" w:type="dxa"/>
            <w:noWrap w:val="0"/>
            <w:vAlign w:val="center"/>
          </w:tcPr>
          <w:p w14:paraId="63E754A0">
            <w:pPr>
              <w:ind w:left="-63" w:leftChars="-30" w:right="-63" w:rightChars="-30"/>
              <w:jc w:val="center"/>
              <w:rPr>
                <w:color w:val="000000"/>
                <w:kern w:val="0"/>
                <w:szCs w:val="21"/>
              </w:rPr>
            </w:pPr>
            <w:r>
              <w:rPr>
                <w:color w:val="000000"/>
                <w:kern w:val="0"/>
                <w:szCs w:val="21"/>
              </w:rPr>
              <w:t>0.92</w:t>
            </w:r>
          </w:p>
        </w:tc>
        <w:tc>
          <w:tcPr>
            <w:tcW w:w="709" w:type="dxa"/>
            <w:noWrap w:val="0"/>
            <w:vAlign w:val="center"/>
          </w:tcPr>
          <w:p w14:paraId="0716EAFE">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6A556DE9">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0D316FBB">
            <w:pPr>
              <w:ind w:left="-63" w:leftChars="-30" w:right="-63" w:rightChars="-30"/>
              <w:jc w:val="center"/>
              <w:rPr>
                <w:color w:val="000000"/>
                <w:kern w:val="0"/>
                <w:szCs w:val="21"/>
              </w:rPr>
            </w:pPr>
            <w:r>
              <w:rPr>
                <w:color w:val="000000"/>
                <w:kern w:val="0"/>
                <w:szCs w:val="21"/>
              </w:rPr>
              <w:t>3</w:t>
            </w:r>
          </w:p>
        </w:tc>
        <w:tc>
          <w:tcPr>
            <w:tcW w:w="565" w:type="dxa"/>
            <w:noWrap w:val="0"/>
            <w:vAlign w:val="center"/>
          </w:tcPr>
          <w:p w14:paraId="02142AB5">
            <w:pPr>
              <w:ind w:left="-63" w:leftChars="-30" w:right="-63" w:rightChars="-30"/>
              <w:jc w:val="center"/>
              <w:rPr>
                <w:color w:val="000000"/>
                <w:kern w:val="0"/>
                <w:szCs w:val="21"/>
              </w:rPr>
            </w:pPr>
            <w:r>
              <w:rPr>
                <w:color w:val="000000"/>
                <w:kern w:val="0"/>
                <w:szCs w:val="21"/>
              </w:rPr>
              <w:t>24.6</w:t>
            </w:r>
          </w:p>
        </w:tc>
      </w:tr>
      <w:tr w14:paraId="0D732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restart"/>
            <w:noWrap w:val="0"/>
            <w:vAlign w:val="center"/>
          </w:tcPr>
          <w:p w14:paraId="232C2A68">
            <w:pPr>
              <w:ind w:left="-63" w:leftChars="-30" w:right="-63" w:rightChars="-30"/>
              <w:jc w:val="center"/>
              <w:rPr>
                <w:color w:val="000000"/>
                <w:kern w:val="0"/>
                <w:szCs w:val="21"/>
              </w:rPr>
            </w:pPr>
            <w:r>
              <w:rPr>
                <w:color w:val="000000"/>
                <w:kern w:val="0"/>
                <w:szCs w:val="21"/>
              </w:rPr>
              <w:t>4</w:t>
            </w:r>
          </w:p>
        </w:tc>
        <w:tc>
          <w:tcPr>
            <w:tcW w:w="567" w:type="dxa"/>
            <w:vMerge w:val="restart"/>
            <w:noWrap w:val="0"/>
            <w:vAlign w:val="center"/>
          </w:tcPr>
          <w:p w14:paraId="730B2E0F">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芦岭镇</w:t>
            </w:r>
          </w:p>
        </w:tc>
        <w:tc>
          <w:tcPr>
            <w:tcW w:w="567" w:type="dxa"/>
            <w:noWrap w:val="0"/>
            <w:vAlign w:val="center"/>
          </w:tcPr>
          <w:p w14:paraId="136B14A4">
            <w:pPr>
              <w:ind w:left="-63" w:leftChars="-30" w:right="-63" w:rightChars="-30"/>
              <w:jc w:val="center"/>
              <w:rPr>
                <w:color w:val="000000"/>
                <w:kern w:val="0"/>
                <w:szCs w:val="21"/>
              </w:rPr>
            </w:pPr>
            <w:r>
              <w:rPr>
                <w:color w:val="000000"/>
                <w:kern w:val="0"/>
                <w:szCs w:val="21"/>
              </w:rPr>
              <w:t>1</w:t>
            </w:r>
          </w:p>
        </w:tc>
        <w:tc>
          <w:tcPr>
            <w:tcW w:w="4252" w:type="dxa"/>
            <w:noWrap w:val="0"/>
            <w:vAlign w:val="center"/>
          </w:tcPr>
          <w:p w14:paraId="3F115DAA">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东至工人街，南至工农路，西至中心大街、振兴路，北至求学路、兴业路</w:t>
            </w:r>
          </w:p>
        </w:tc>
        <w:tc>
          <w:tcPr>
            <w:tcW w:w="851" w:type="dxa"/>
            <w:noWrap w:val="0"/>
            <w:vAlign w:val="center"/>
          </w:tcPr>
          <w:p w14:paraId="199074C8">
            <w:pPr>
              <w:ind w:left="-63" w:leftChars="-30" w:right="-63" w:rightChars="-30"/>
              <w:jc w:val="center"/>
              <w:rPr>
                <w:color w:val="000000"/>
                <w:kern w:val="0"/>
                <w:szCs w:val="21"/>
              </w:rPr>
            </w:pPr>
            <w:r>
              <w:rPr>
                <w:color w:val="000000"/>
                <w:kern w:val="0"/>
                <w:szCs w:val="21"/>
              </w:rPr>
              <w:t>1</w:t>
            </w:r>
          </w:p>
        </w:tc>
        <w:tc>
          <w:tcPr>
            <w:tcW w:w="709" w:type="dxa"/>
            <w:noWrap w:val="0"/>
            <w:vAlign w:val="center"/>
          </w:tcPr>
          <w:p w14:paraId="0F1C29F1">
            <w:pPr>
              <w:ind w:left="-63" w:leftChars="-30" w:right="-63" w:rightChars="-30"/>
              <w:jc w:val="center"/>
              <w:rPr>
                <w:color w:val="000000"/>
                <w:kern w:val="0"/>
                <w:szCs w:val="21"/>
              </w:rPr>
            </w:pPr>
            <w:r>
              <w:rPr>
                <w:color w:val="000000"/>
                <w:kern w:val="0"/>
                <w:szCs w:val="21"/>
              </w:rPr>
              <w:t>95</w:t>
            </w:r>
          </w:p>
        </w:tc>
        <w:tc>
          <w:tcPr>
            <w:tcW w:w="850" w:type="dxa"/>
            <w:noWrap w:val="0"/>
            <w:vAlign w:val="center"/>
          </w:tcPr>
          <w:p w14:paraId="2E0D9FB8">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6705657C">
            <w:pPr>
              <w:ind w:left="-63" w:leftChars="-30" w:right="-63" w:rightChars="-30"/>
              <w:jc w:val="center"/>
              <w:rPr>
                <w:color w:val="000000"/>
                <w:kern w:val="0"/>
                <w:szCs w:val="21"/>
              </w:rPr>
            </w:pPr>
            <w:r>
              <w:rPr>
                <w:color w:val="000000"/>
                <w:kern w:val="0"/>
                <w:szCs w:val="21"/>
              </w:rPr>
              <w:t>1</w:t>
            </w:r>
          </w:p>
        </w:tc>
        <w:tc>
          <w:tcPr>
            <w:tcW w:w="565" w:type="dxa"/>
            <w:noWrap w:val="0"/>
            <w:vAlign w:val="center"/>
          </w:tcPr>
          <w:p w14:paraId="13E9B32B">
            <w:pPr>
              <w:ind w:left="-63" w:leftChars="-30" w:right="-63" w:rightChars="-30"/>
              <w:jc w:val="center"/>
              <w:rPr>
                <w:color w:val="000000"/>
                <w:kern w:val="0"/>
                <w:szCs w:val="21"/>
              </w:rPr>
            </w:pPr>
            <w:r>
              <w:rPr>
                <w:color w:val="000000"/>
                <w:kern w:val="0"/>
                <w:szCs w:val="21"/>
              </w:rPr>
              <w:t>28.22</w:t>
            </w:r>
          </w:p>
        </w:tc>
      </w:tr>
      <w:tr w14:paraId="575E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60F7BB27">
            <w:pPr>
              <w:ind w:left="-63" w:leftChars="-30" w:right="-63" w:rightChars="-30"/>
              <w:rPr>
                <w:color w:val="000000"/>
                <w:kern w:val="0"/>
                <w:szCs w:val="21"/>
              </w:rPr>
            </w:pPr>
          </w:p>
        </w:tc>
        <w:tc>
          <w:tcPr>
            <w:tcW w:w="567" w:type="dxa"/>
            <w:vMerge w:val="continue"/>
            <w:noWrap w:val="0"/>
            <w:vAlign w:val="center"/>
          </w:tcPr>
          <w:p w14:paraId="4943C230">
            <w:pPr>
              <w:ind w:left="-63" w:leftChars="-30" w:right="-63" w:rightChars="-30"/>
              <w:rPr>
                <w:rFonts w:ascii="楷体_GB2312" w:hAnsi="宋体" w:eastAsia="楷体_GB2312" w:cs="宋体"/>
                <w:color w:val="000000"/>
                <w:kern w:val="0"/>
                <w:szCs w:val="21"/>
              </w:rPr>
            </w:pPr>
          </w:p>
        </w:tc>
        <w:tc>
          <w:tcPr>
            <w:tcW w:w="567" w:type="dxa"/>
            <w:noWrap w:val="0"/>
            <w:vAlign w:val="center"/>
          </w:tcPr>
          <w:p w14:paraId="5E73E166">
            <w:pPr>
              <w:ind w:left="-63" w:leftChars="-30" w:right="-63" w:rightChars="-30"/>
              <w:jc w:val="center"/>
              <w:rPr>
                <w:color w:val="000000"/>
                <w:kern w:val="0"/>
                <w:szCs w:val="21"/>
              </w:rPr>
            </w:pPr>
            <w:r>
              <w:rPr>
                <w:color w:val="000000"/>
                <w:kern w:val="0"/>
                <w:szCs w:val="21"/>
              </w:rPr>
              <w:t>2</w:t>
            </w:r>
          </w:p>
        </w:tc>
        <w:tc>
          <w:tcPr>
            <w:tcW w:w="4252" w:type="dxa"/>
            <w:noWrap w:val="0"/>
            <w:vAlign w:val="center"/>
          </w:tcPr>
          <w:p w14:paraId="6D2A122A">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东至学苑路、东城路，南至陵园路，西至环城路，北至富民路</w:t>
            </w:r>
          </w:p>
        </w:tc>
        <w:tc>
          <w:tcPr>
            <w:tcW w:w="851" w:type="dxa"/>
            <w:noWrap w:val="0"/>
            <w:vAlign w:val="center"/>
          </w:tcPr>
          <w:p w14:paraId="78DB8787">
            <w:pPr>
              <w:ind w:left="-63" w:leftChars="-30" w:right="-63" w:rightChars="-30"/>
              <w:jc w:val="center"/>
              <w:rPr>
                <w:color w:val="000000"/>
                <w:kern w:val="0"/>
                <w:szCs w:val="21"/>
              </w:rPr>
            </w:pPr>
            <w:r>
              <w:rPr>
                <w:color w:val="000000"/>
                <w:kern w:val="0"/>
                <w:szCs w:val="21"/>
              </w:rPr>
              <w:t>0.95</w:t>
            </w:r>
          </w:p>
        </w:tc>
        <w:tc>
          <w:tcPr>
            <w:tcW w:w="709" w:type="dxa"/>
            <w:noWrap w:val="0"/>
            <w:vAlign w:val="center"/>
          </w:tcPr>
          <w:p w14:paraId="506A576F">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18188CBF">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7BE220DA">
            <w:pPr>
              <w:ind w:left="-63" w:leftChars="-30" w:right="-63" w:rightChars="-30"/>
              <w:jc w:val="center"/>
              <w:rPr>
                <w:color w:val="000000"/>
                <w:kern w:val="0"/>
                <w:szCs w:val="21"/>
              </w:rPr>
            </w:pPr>
            <w:r>
              <w:rPr>
                <w:color w:val="000000"/>
                <w:kern w:val="0"/>
                <w:szCs w:val="21"/>
              </w:rPr>
              <w:t>2</w:t>
            </w:r>
          </w:p>
        </w:tc>
        <w:tc>
          <w:tcPr>
            <w:tcW w:w="565" w:type="dxa"/>
            <w:noWrap w:val="0"/>
            <w:vAlign w:val="center"/>
          </w:tcPr>
          <w:p w14:paraId="6A390E9D">
            <w:pPr>
              <w:ind w:left="-63" w:leftChars="-30" w:right="-63" w:rightChars="-30"/>
              <w:jc w:val="center"/>
              <w:rPr>
                <w:color w:val="000000"/>
                <w:kern w:val="0"/>
                <w:szCs w:val="21"/>
              </w:rPr>
            </w:pPr>
            <w:r>
              <w:rPr>
                <w:color w:val="000000"/>
                <w:kern w:val="0"/>
                <w:szCs w:val="21"/>
              </w:rPr>
              <w:t>25.4</w:t>
            </w:r>
          </w:p>
        </w:tc>
      </w:tr>
      <w:tr w14:paraId="20040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79B3092D">
            <w:pPr>
              <w:ind w:left="-63" w:leftChars="-30" w:right="-63" w:rightChars="-30"/>
              <w:rPr>
                <w:color w:val="000000"/>
                <w:kern w:val="0"/>
                <w:szCs w:val="21"/>
              </w:rPr>
            </w:pPr>
          </w:p>
        </w:tc>
        <w:tc>
          <w:tcPr>
            <w:tcW w:w="567" w:type="dxa"/>
            <w:vMerge w:val="continue"/>
            <w:noWrap w:val="0"/>
            <w:vAlign w:val="center"/>
          </w:tcPr>
          <w:p w14:paraId="2BD2183F">
            <w:pPr>
              <w:ind w:left="-63" w:leftChars="-30" w:right="-63" w:rightChars="-30"/>
              <w:rPr>
                <w:rFonts w:ascii="楷体_GB2312" w:hAnsi="宋体" w:eastAsia="楷体_GB2312" w:cs="宋体"/>
                <w:color w:val="000000"/>
                <w:kern w:val="0"/>
                <w:szCs w:val="21"/>
              </w:rPr>
            </w:pPr>
          </w:p>
        </w:tc>
        <w:tc>
          <w:tcPr>
            <w:tcW w:w="567" w:type="dxa"/>
            <w:noWrap w:val="0"/>
            <w:vAlign w:val="center"/>
          </w:tcPr>
          <w:p w14:paraId="329372E1">
            <w:pPr>
              <w:ind w:left="-63" w:leftChars="-30" w:right="-63" w:rightChars="-30"/>
              <w:jc w:val="center"/>
              <w:rPr>
                <w:color w:val="000000"/>
                <w:kern w:val="0"/>
                <w:szCs w:val="21"/>
              </w:rPr>
            </w:pPr>
            <w:r>
              <w:rPr>
                <w:color w:val="000000"/>
                <w:kern w:val="0"/>
                <w:szCs w:val="21"/>
              </w:rPr>
              <w:t>3</w:t>
            </w:r>
          </w:p>
        </w:tc>
        <w:tc>
          <w:tcPr>
            <w:tcW w:w="4252" w:type="dxa"/>
            <w:noWrap w:val="0"/>
            <w:vAlign w:val="center"/>
          </w:tcPr>
          <w:p w14:paraId="076CB36D">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851" w:type="dxa"/>
            <w:noWrap w:val="0"/>
            <w:vAlign w:val="center"/>
          </w:tcPr>
          <w:p w14:paraId="00A01F3E">
            <w:pPr>
              <w:ind w:left="-63" w:leftChars="-30" w:right="-63" w:rightChars="-30"/>
              <w:jc w:val="center"/>
              <w:rPr>
                <w:color w:val="000000"/>
                <w:kern w:val="0"/>
                <w:szCs w:val="21"/>
              </w:rPr>
            </w:pPr>
            <w:r>
              <w:rPr>
                <w:color w:val="000000"/>
                <w:kern w:val="0"/>
                <w:szCs w:val="21"/>
              </w:rPr>
              <w:t>0.9</w:t>
            </w:r>
          </w:p>
        </w:tc>
        <w:tc>
          <w:tcPr>
            <w:tcW w:w="709" w:type="dxa"/>
            <w:noWrap w:val="0"/>
            <w:vAlign w:val="center"/>
          </w:tcPr>
          <w:p w14:paraId="1470A9CC">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52A94114">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7F25839B">
            <w:pPr>
              <w:ind w:left="-63" w:leftChars="-30" w:right="-63" w:rightChars="-30"/>
              <w:jc w:val="center"/>
              <w:rPr>
                <w:color w:val="000000"/>
                <w:kern w:val="0"/>
                <w:szCs w:val="21"/>
              </w:rPr>
            </w:pPr>
            <w:r>
              <w:rPr>
                <w:color w:val="000000"/>
                <w:kern w:val="0"/>
                <w:szCs w:val="21"/>
              </w:rPr>
              <w:t>3</w:t>
            </w:r>
          </w:p>
        </w:tc>
        <w:tc>
          <w:tcPr>
            <w:tcW w:w="565" w:type="dxa"/>
            <w:noWrap w:val="0"/>
            <w:vAlign w:val="center"/>
          </w:tcPr>
          <w:p w14:paraId="77DAA6F9">
            <w:pPr>
              <w:ind w:left="-63" w:leftChars="-30" w:right="-63" w:rightChars="-30"/>
              <w:jc w:val="center"/>
              <w:rPr>
                <w:color w:val="000000"/>
                <w:kern w:val="0"/>
                <w:szCs w:val="21"/>
              </w:rPr>
            </w:pPr>
            <w:r>
              <w:rPr>
                <w:color w:val="000000"/>
                <w:kern w:val="0"/>
                <w:szCs w:val="21"/>
              </w:rPr>
              <w:t>24.07</w:t>
            </w:r>
          </w:p>
        </w:tc>
      </w:tr>
      <w:tr w14:paraId="559B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restart"/>
            <w:noWrap w:val="0"/>
            <w:vAlign w:val="center"/>
          </w:tcPr>
          <w:p w14:paraId="14BDEC71">
            <w:pPr>
              <w:ind w:left="-63" w:leftChars="-30" w:right="-63" w:rightChars="-30"/>
              <w:jc w:val="center"/>
              <w:rPr>
                <w:color w:val="000000"/>
                <w:kern w:val="0"/>
                <w:szCs w:val="21"/>
              </w:rPr>
            </w:pPr>
            <w:r>
              <w:rPr>
                <w:color w:val="000000"/>
                <w:kern w:val="0"/>
                <w:szCs w:val="21"/>
              </w:rPr>
              <w:t>5</w:t>
            </w:r>
          </w:p>
        </w:tc>
        <w:tc>
          <w:tcPr>
            <w:tcW w:w="567" w:type="dxa"/>
            <w:vMerge w:val="restart"/>
            <w:noWrap w:val="0"/>
            <w:vAlign w:val="center"/>
          </w:tcPr>
          <w:p w14:paraId="6B2A9772">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大店镇</w:t>
            </w:r>
          </w:p>
        </w:tc>
        <w:tc>
          <w:tcPr>
            <w:tcW w:w="567" w:type="dxa"/>
            <w:noWrap w:val="0"/>
            <w:vAlign w:val="center"/>
          </w:tcPr>
          <w:p w14:paraId="4BE92BAF">
            <w:pPr>
              <w:ind w:left="-63" w:leftChars="-30" w:right="-63" w:rightChars="-30"/>
              <w:jc w:val="center"/>
              <w:rPr>
                <w:color w:val="000000"/>
                <w:kern w:val="0"/>
                <w:szCs w:val="21"/>
              </w:rPr>
            </w:pPr>
            <w:r>
              <w:rPr>
                <w:color w:val="000000"/>
                <w:kern w:val="0"/>
                <w:szCs w:val="21"/>
              </w:rPr>
              <w:t>1</w:t>
            </w:r>
          </w:p>
        </w:tc>
        <w:tc>
          <w:tcPr>
            <w:tcW w:w="4252" w:type="dxa"/>
            <w:noWrap w:val="0"/>
            <w:vAlign w:val="center"/>
          </w:tcPr>
          <w:p w14:paraId="26279ADA">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东至东昌路，南至静安路，西至西昌路，北至</w:t>
            </w:r>
            <w:r>
              <w:rPr>
                <w:rFonts w:eastAsia="楷体_GB2312"/>
                <w:color w:val="000000"/>
                <w:kern w:val="0"/>
                <w:szCs w:val="21"/>
              </w:rPr>
              <w:t>303</w:t>
            </w:r>
            <w:r>
              <w:rPr>
                <w:rFonts w:hint="eastAsia" w:ascii="楷体_GB2312" w:hAnsi="宋体" w:eastAsia="楷体_GB2312" w:cs="宋体"/>
                <w:color w:val="000000"/>
                <w:kern w:val="0"/>
                <w:szCs w:val="21"/>
              </w:rPr>
              <w:t>省道</w:t>
            </w:r>
          </w:p>
        </w:tc>
        <w:tc>
          <w:tcPr>
            <w:tcW w:w="851" w:type="dxa"/>
            <w:noWrap w:val="0"/>
            <w:vAlign w:val="center"/>
          </w:tcPr>
          <w:p w14:paraId="01E47ABA">
            <w:pPr>
              <w:ind w:left="-63" w:leftChars="-30" w:right="-63" w:rightChars="-30"/>
              <w:jc w:val="center"/>
              <w:rPr>
                <w:color w:val="000000"/>
                <w:kern w:val="0"/>
                <w:szCs w:val="21"/>
              </w:rPr>
            </w:pPr>
            <w:r>
              <w:rPr>
                <w:color w:val="000000"/>
                <w:kern w:val="0"/>
                <w:szCs w:val="21"/>
              </w:rPr>
              <w:t>1</w:t>
            </w:r>
          </w:p>
        </w:tc>
        <w:tc>
          <w:tcPr>
            <w:tcW w:w="709" w:type="dxa"/>
            <w:noWrap w:val="0"/>
            <w:vAlign w:val="center"/>
          </w:tcPr>
          <w:p w14:paraId="20A257E1">
            <w:pPr>
              <w:ind w:left="-63" w:leftChars="-30" w:right="-63" w:rightChars="-30"/>
              <w:jc w:val="center"/>
              <w:rPr>
                <w:color w:val="000000"/>
                <w:kern w:val="0"/>
                <w:szCs w:val="21"/>
              </w:rPr>
            </w:pPr>
            <w:r>
              <w:rPr>
                <w:color w:val="000000"/>
                <w:kern w:val="0"/>
                <w:szCs w:val="21"/>
              </w:rPr>
              <w:t>95</w:t>
            </w:r>
          </w:p>
        </w:tc>
        <w:tc>
          <w:tcPr>
            <w:tcW w:w="850" w:type="dxa"/>
            <w:noWrap w:val="0"/>
            <w:vAlign w:val="center"/>
          </w:tcPr>
          <w:p w14:paraId="4AC4D6CA">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6A5B1553">
            <w:pPr>
              <w:ind w:left="-63" w:leftChars="-30" w:right="-63" w:rightChars="-30"/>
              <w:jc w:val="center"/>
              <w:rPr>
                <w:color w:val="000000"/>
                <w:kern w:val="0"/>
                <w:szCs w:val="21"/>
              </w:rPr>
            </w:pPr>
            <w:r>
              <w:rPr>
                <w:color w:val="000000"/>
                <w:kern w:val="0"/>
                <w:szCs w:val="21"/>
              </w:rPr>
              <w:t>1</w:t>
            </w:r>
          </w:p>
        </w:tc>
        <w:tc>
          <w:tcPr>
            <w:tcW w:w="565" w:type="dxa"/>
            <w:noWrap w:val="0"/>
            <w:vAlign w:val="center"/>
          </w:tcPr>
          <w:p w14:paraId="2F954FC7">
            <w:pPr>
              <w:ind w:left="-63" w:leftChars="-30" w:right="-63" w:rightChars="-30"/>
              <w:jc w:val="center"/>
              <w:rPr>
                <w:color w:val="000000"/>
                <w:kern w:val="0"/>
                <w:szCs w:val="21"/>
              </w:rPr>
            </w:pPr>
            <w:r>
              <w:rPr>
                <w:color w:val="000000"/>
                <w:kern w:val="0"/>
                <w:szCs w:val="21"/>
              </w:rPr>
              <w:t>28.22</w:t>
            </w:r>
          </w:p>
        </w:tc>
      </w:tr>
      <w:tr w14:paraId="31163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7D64D7D5">
            <w:pPr>
              <w:ind w:left="-63" w:leftChars="-30" w:right="-63" w:rightChars="-30"/>
              <w:rPr>
                <w:color w:val="000000"/>
                <w:kern w:val="0"/>
                <w:szCs w:val="21"/>
              </w:rPr>
            </w:pPr>
          </w:p>
        </w:tc>
        <w:tc>
          <w:tcPr>
            <w:tcW w:w="567" w:type="dxa"/>
            <w:vMerge w:val="continue"/>
            <w:noWrap w:val="0"/>
            <w:vAlign w:val="center"/>
          </w:tcPr>
          <w:p w14:paraId="51693829">
            <w:pPr>
              <w:ind w:left="-63" w:leftChars="-30" w:right="-63" w:rightChars="-30"/>
              <w:rPr>
                <w:rFonts w:ascii="楷体_GB2312" w:hAnsi="宋体" w:eastAsia="楷体_GB2312" w:cs="宋体"/>
                <w:color w:val="000000"/>
                <w:kern w:val="0"/>
                <w:szCs w:val="21"/>
              </w:rPr>
            </w:pPr>
          </w:p>
        </w:tc>
        <w:tc>
          <w:tcPr>
            <w:tcW w:w="567" w:type="dxa"/>
            <w:noWrap w:val="0"/>
            <w:vAlign w:val="center"/>
          </w:tcPr>
          <w:p w14:paraId="59C1F8FF">
            <w:pPr>
              <w:ind w:left="-63" w:leftChars="-30" w:right="-63" w:rightChars="-30"/>
              <w:jc w:val="center"/>
              <w:rPr>
                <w:color w:val="000000"/>
                <w:kern w:val="0"/>
                <w:szCs w:val="21"/>
              </w:rPr>
            </w:pPr>
            <w:r>
              <w:rPr>
                <w:color w:val="000000"/>
                <w:kern w:val="0"/>
                <w:szCs w:val="21"/>
              </w:rPr>
              <w:t>2</w:t>
            </w:r>
          </w:p>
        </w:tc>
        <w:tc>
          <w:tcPr>
            <w:tcW w:w="4252" w:type="dxa"/>
            <w:noWrap w:val="0"/>
            <w:vAlign w:val="center"/>
          </w:tcPr>
          <w:p w14:paraId="38B810E9">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东至滨水西路东侧水系，南至南一环路，西至幸福路、西昌路，北至</w:t>
            </w:r>
            <w:r>
              <w:rPr>
                <w:rFonts w:eastAsia="楷体_GB2312"/>
                <w:color w:val="000000"/>
                <w:kern w:val="0"/>
                <w:szCs w:val="21"/>
              </w:rPr>
              <w:t>303</w:t>
            </w:r>
            <w:r>
              <w:rPr>
                <w:rFonts w:hint="eastAsia" w:ascii="楷体_GB2312" w:hAnsi="宋体" w:eastAsia="楷体_GB2312" w:cs="宋体"/>
                <w:color w:val="000000"/>
                <w:kern w:val="0"/>
                <w:szCs w:val="21"/>
              </w:rPr>
              <w:t>省道</w:t>
            </w:r>
          </w:p>
        </w:tc>
        <w:tc>
          <w:tcPr>
            <w:tcW w:w="851" w:type="dxa"/>
            <w:noWrap w:val="0"/>
            <w:vAlign w:val="center"/>
          </w:tcPr>
          <w:p w14:paraId="01038692">
            <w:pPr>
              <w:ind w:left="-63" w:leftChars="-30" w:right="-63" w:rightChars="-30"/>
              <w:jc w:val="center"/>
              <w:rPr>
                <w:color w:val="000000"/>
                <w:kern w:val="0"/>
                <w:szCs w:val="21"/>
              </w:rPr>
            </w:pPr>
            <w:r>
              <w:rPr>
                <w:color w:val="000000"/>
                <w:kern w:val="0"/>
                <w:szCs w:val="21"/>
              </w:rPr>
              <w:t>0.95</w:t>
            </w:r>
          </w:p>
        </w:tc>
        <w:tc>
          <w:tcPr>
            <w:tcW w:w="709" w:type="dxa"/>
            <w:noWrap w:val="0"/>
            <w:vAlign w:val="center"/>
          </w:tcPr>
          <w:p w14:paraId="7FBF2C55">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7AD5E65E">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16789EA0">
            <w:pPr>
              <w:ind w:left="-63" w:leftChars="-30" w:right="-63" w:rightChars="-30"/>
              <w:jc w:val="center"/>
              <w:rPr>
                <w:color w:val="000000"/>
                <w:kern w:val="0"/>
                <w:szCs w:val="21"/>
              </w:rPr>
            </w:pPr>
            <w:r>
              <w:rPr>
                <w:color w:val="000000"/>
                <w:kern w:val="0"/>
                <w:szCs w:val="21"/>
              </w:rPr>
              <w:t>2</w:t>
            </w:r>
          </w:p>
        </w:tc>
        <w:tc>
          <w:tcPr>
            <w:tcW w:w="565" w:type="dxa"/>
            <w:noWrap w:val="0"/>
            <w:vAlign w:val="center"/>
          </w:tcPr>
          <w:p w14:paraId="19710E76">
            <w:pPr>
              <w:ind w:left="-63" w:leftChars="-30" w:right="-63" w:rightChars="-30"/>
              <w:jc w:val="center"/>
              <w:rPr>
                <w:color w:val="000000"/>
                <w:kern w:val="0"/>
                <w:szCs w:val="21"/>
              </w:rPr>
            </w:pPr>
            <w:r>
              <w:rPr>
                <w:color w:val="000000"/>
                <w:kern w:val="0"/>
                <w:szCs w:val="21"/>
              </w:rPr>
              <w:t>25.4</w:t>
            </w:r>
          </w:p>
        </w:tc>
      </w:tr>
      <w:tr w14:paraId="60A2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2F0365CC">
            <w:pPr>
              <w:ind w:left="-63" w:leftChars="-30" w:right="-63" w:rightChars="-30"/>
              <w:rPr>
                <w:color w:val="000000"/>
                <w:kern w:val="0"/>
                <w:szCs w:val="21"/>
              </w:rPr>
            </w:pPr>
          </w:p>
        </w:tc>
        <w:tc>
          <w:tcPr>
            <w:tcW w:w="567" w:type="dxa"/>
            <w:vMerge w:val="continue"/>
            <w:noWrap w:val="0"/>
            <w:vAlign w:val="center"/>
          </w:tcPr>
          <w:p w14:paraId="1CD4AFC6">
            <w:pPr>
              <w:ind w:left="-63" w:leftChars="-30" w:right="-63" w:rightChars="-30"/>
              <w:rPr>
                <w:rFonts w:ascii="楷体_GB2312" w:hAnsi="宋体" w:eastAsia="楷体_GB2312" w:cs="宋体"/>
                <w:color w:val="000000"/>
                <w:kern w:val="0"/>
                <w:szCs w:val="21"/>
              </w:rPr>
            </w:pPr>
          </w:p>
        </w:tc>
        <w:tc>
          <w:tcPr>
            <w:tcW w:w="567" w:type="dxa"/>
            <w:noWrap w:val="0"/>
            <w:vAlign w:val="center"/>
          </w:tcPr>
          <w:p w14:paraId="2CA17DF2">
            <w:pPr>
              <w:ind w:left="-63" w:leftChars="-30" w:right="-63" w:rightChars="-30"/>
              <w:jc w:val="center"/>
              <w:rPr>
                <w:color w:val="000000"/>
                <w:kern w:val="0"/>
                <w:szCs w:val="21"/>
              </w:rPr>
            </w:pPr>
            <w:r>
              <w:rPr>
                <w:color w:val="000000"/>
                <w:kern w:val="0"/>
                <w:szCs w:val="21"/>
              </w:rPr>
              <w:t>3</w:t>
            </w:r>
          </w:p>
        </w:tc>
        <w:tc>
          <w:tcPr>
            <w:tcW w:w="4252" w:type="dxa"/>
            <w:noWrap w:val="0"/>
            <w:vAlign w:val="center"/>
          </w:tcPr>
          <w:p w14:paraId="1DDB29D9">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851" w:type="dxa"/>
            <w:noWrap w:val="0"/>
            <w:vAlign w:val="center"/>
          </w:tcPr>
          <w:p w14:paraId="3EF9E2B8">
            <w:pPr>
              <w:ind w:left="-63" w:leftChars="-30" w:right="-63" w:rightChars="-30"/>
              <w:jc w:val="center"/>
              <w:rPr>
                <w:color w:val="000000"/>
                <w:kern w:val="0"/>
                <w:szCs w:val="21"/>
              </w:rPr>
            </w:pPr>
            <w:r>
              <w:rPr>
                <w:color w:val="000000"/>
                <w:kern w:val="0"/>
                <w:szCs w:val="21"/>
              </w:rPr>
              <w:t>0.9</w:t>
            </w:r>
          </w:p>
        </w:tc>
        <w:tc>
          <w:tcPr>
            <w:tcW w:w="709" w:type="dxa"/>
            <w:noWrap w:val="0"/>
            <w:vAlign w:val="center"/>
          </w:tcPr>
          <w:p w14:paraId="2858B7D2">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0153F322">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01D90921">
            <w:pPr>
              <w:ind w:left="-63" w:leftChars="-30" w:right="-63" w:rightChars="-30"/>
              <w:jc w:val="center"/>
              <w:rPr>
                <w:color w:val="000000"/>
                <w:kern w:val="0"/>
                <w:szCs w:val="21"/>
              </w:rPr>
            </w:pPr>
            <w:r>
              <w:rPr>
                <w:color w:val="000000"/>
                <w:kern w:val="0"/>
                <w:szCs w:val="21"/>
              </w:rPr>
              <w:t>3</w:t>
            </w:r>
          </w:p>
        </w:tc>
        <w:tc>
          <w:tcPr>
            <w:tcW w:w="565" w:type="dxa"/>
            <w:noWrap w:val="0"/>
            <w:vAlign w:val="center"/>
          </w:tcPr>
          <w:p w14:paraId="3E80BD38">
            <w:pPr>
              <w:ind w:left="-63" w:leftChars="-30" w:right="-63" w:rightChars="-30"/>
              <w:jc w:val="center"/>
              <w:rPr>
                <w:color w:val="000000"/>
                <w:kern w:val="0"/>
                <w:szCs w:val="21"/>
              </w:rPr>
            </w:pPr>
            <w:r>
              <w:rPr>
                <w:color w:val="000000"/>
                <w:kern w:val="0"/>
                <w:szCs w:val="21"/>
              </w:rPr>
              <w:t>24.07</w:t>
            </w:r>
          </w:p>
        </w:tc>
      </w:tr>
      <w:tr w14:paraId="6896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restart"/>
            <w:noWrap w:val="0"/>
            <w:vAlign w:val="center"/>
          </w:tcPr>
          <w:p w14:paraId="13125566">
            <w:pPr>
              <w:ind w:left="-63" w:leftChars="-30" w:right="-63" w:rightChars="-30"/>
              <w:jc w:val="center"/>
              <w:rPr>
                <w:color w:val="000000"/>
                <w:kern w:val="0"/>
                <w:szCs w:val="21"/>
              </w:rPr>
            </w:pPr>
            <w:r>
              <w:rPr>
                <w:color w:val="000000"/>
                <w:kern w:val="0"/>
                <w:szCs w:val="21"/>
              </w:rPr>
              <w:t>6</w:t>
            </w:r>
          </w:p>
        </w:tc>
        <w:tc>
          <w:tcPr>
            <w:tcW w:w="567" w:type="dxa"/>
            <w:vMerge w:val="restart"/>
            <w:noWrap w:val="0"/>
            <w:vAlign w:val="center"/>
          </w:tcPr>
          <w:p w14:paraId="5883F2C5">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栏杆镇</w:t>
            </w:r>
          </w:p>
        </w:tc>
        <w:tc>
          <w:tcPr>
            <w:tcW w:w="567" w:type="dxa"/>
            <w:noWrap w:val="0"/>
            <w:vAlign w:val="center"/>
          </w:tcPr>
          <w:p w14:paraId="15BD0771">
            <w:pPr>
              <w:ind w:left="-63" w:leftChars="-30" w:right="-63" w:rightChars="-30"/>
              <w:jc w:val="center"/>
              <w:rPr>
                <w:color w:val="000000"/>
                <w:kern w:val="0"/>
                <w:szCs w:val="21"/>
              </w:rPr>
            </w:pPr>
            <w:r>
              <w:rPr>
                <w:color w:val="000000"/>
                <w:kern w:val="0"/>
                <w:szCs w:val="21"/>
              </w:rPr>
              <w:t>1</w:t>
            </w:r>
          </w:p>
        </w:tc>
        <w:tc>
          <w:tcPr>
            <w:tcW w:w="4252" w:type="dxa"/>
            <w:noWrap w:val="0"/>
            <w:vAlign w:val="center"/>
          </w:tcPr>
          <w:p w14:paraId="26113EE8">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东至曹栏路，南至纳福路、振兴路，西至滨河东路，北至宜居路</w:t>
            </w:r>
          </w:p>
        </w:tc>
        <w:tc>
          <w:tcPr>
            <w:tcW w:w="851" w:type="dxa"/>
            <w:noWrap w:val="0"/>
            <w:vAlign w:val="center"/>
          </w:tcPr>
          <w:p w14:paraId="6092FDA8">
            <w:pPr>
              <w:ind w:left="-63" w:leftChars="-30" w:right="-63" w:rightChars="-30"/>
              <w:jc w:val="center"/>
              <w:rPr>
                <w:color w:val="000000"/>
                <w:kern w:val="0"/>
                <w:szCs w:val="21"/>
              </w:rPr>
            </w:pPr>
            <w:r>
              <w:rPr>
                <w:color w:val="000000"/>
                <w:kern w:val="0"/>
                <w:szCs w:val="21"/>
              </w:rPr>
              <w:t>1</w:t>
            </w:r>
          </w:p>
        </w:tc>
        <w:tc>
          <w:tcPr>
            <w:tcW w:w="709" w:type="dxa"/>
            <w:noWrap w:val="0"/>
            <w:vAlign w:val="center"/>
          </w:tcPr>
          <w:p w14:paraId="6F24B319">
            <w:pPr>
              <w:ind w:left="-63" w:leftChars="-30" w:right="-63" w:rightChars="-30"/>
              <w:jc w:val="center"/>
              <w:rPr>
                <w:color w:val="000000"/>
                <w:kern w:val="0"/>
                <w:szCs w:val="21"/>
              </w:rPr>
            </w:pPr>
            <w:r>
              <w:rPr>
                <w:color w:val="000000"/>
                <w:kern w:val="0"/>
                <w:szCs w:val="21"/>
              </w:rPr>
              <w:t>95</w:t>
            </w:r>
          </w:p>
        </w:tc>
        <w:tc>
          <w:tcPr>
            <w:tcW w:w="850" w:type="dxa"/>
            <w:noWrap w:val="0"/>
            <w:vAlign w:val="center"/>
          </w:tcPr>
          <w:p w14:paraId="3ADDEB92">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16ACB9CB">
            <w:pPr>
              <w:ind w:left="-63" w:leftChars="-30" w:right="-63" w:rightChars="-30"/>
              <w:jc w:val="center"/>
              <w:rPr>
                <w:color w:val="000000"/>
                <w:kern w:val="0"/>
                <w:szCs w:val="21"/>
              </w:rPr>
            </w:pPr>
            <w:r>
              <w:rPr>
                <w:color w:val="000000"/>
                <w:kern w:val="0"/>
                <w:szCs w:val="21"/>
              </w:rPr>
              <w:t>1</w:t>
            </w:r>
          </w:p>
        </w:tc>
        <w:tc>
          <w:tcPr>
            <w:tcW w:w="565" w:type="dxa"/>
            <w:noWrap w:val="0"/>
            <w:vAlign w:val="center"/>
          </w:tcPr>
          <w:p w14:paraId="55DF9259">
            <w:pPr>
              <w:ind w:left="-63" w:leftChars="-30" w:right="-63" w:rightChars="-30"/>
              <w:jc w:val="center"/>
              <w:rPr>
                <w:color w:val="000000"/>
                <w:kern w:val="0"/>
                <w:szCs w:val="21"/>
              </w:rPr>
            </w:pPr>
            <w:r>
              <w:rPr>
                <w:color w:val="000000"/>
                <w:kern w:val="0"/>
                <w:szCs w:val="21"/>
              </w:rPr>
              <w:t>28.22</w:t>
            </w:r>
          </w:p>
        </w:tc>
      </w:tr>
      <w:tr w14:paraId="0628E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9" w:hRule="atLeast"/>
          <w:jc w:val="center"/>
        </w:trPr>
        <w:tc>
          <w:tcPr>
            <w:tcW w:w="427" w:type="dxa"/>
            <w:vMerge w:val="continue"/>
            <w:noWrap w:val="0"/>
            <w:vAlign w:val="center"/>
          </w:tcPr>
          <w:p w14:paraId="697515A2">
            <w:pPr>
              <w:ind w:left="-63" w:leftChars="-30" w:right="-63" w:rightChars="-30"/>
              <w:rPr>
                <w:color w:val="000000"/>
                <w:kern w:val="0"/>
                <w:szCs w:val="21"/>
              </w:rPr>
            </w:pPr>
          </w:p>
        </w:tc>
        <w:tc>
          <w:tcPr>
            <w:tcW w:w="567" w:type="dxa"/>
            <w:vMerge w:val="continue"/>
            <w:noWrap w:val="0"/>
            <w:vAlign w:val="center"/>
          </w:tcPr>
          <w:p w14:paraId="6D3107A3">
            <w:pPr>
              <w:ind w:left="-63" w:leftChars="-30" w:right="-63" w:rightChars="-30"/>
              <w:rPr>
                <w:rFonts w:ascii="楷体_GB2312" w:hAnsi="宋体" w:eastAsia="楷体_GB2312" w:cs="宋体"/>
                <w:color w:val="000000"/>
                <w:kern w:val="0"/>
                <w:szCs w:val="21"/>
              </w:rPr>
            </w:pPr>
          </w:p>
        </w:tc>
        <w:tc>
          <w:tcPr>
            <w:tcW w:w="567" w:type="dxa"/>
            <w:noWrap w:val="0"/>
            <w:vAlign w:val="center"/>
          </w:tcPr>
          <w:p w14:paraId="52B2197A">
            <w:pPr>
              <w:ind w:left="-63" w:leftChars="-30" w:right="-63" w:rightChars="-30"/>
              <w:jc w:val="center"/>
              <w:rPr>
                <w:color w:val="000000"/>
                <w:kern w:val="0"/>
                <w:szCs w:val="21"/>
              </w:rPr>
            </w:pPr>
            <w:r>
              <w:rPr>
                <w:color w:val="000000"/>
                <w:kern w:val="0"/>
                <w:szCs w:val="21"/>
              </w:rPr>
              <w:t>2</w:t>
            </w:r>
          </w:p>
        </w:tc>
        <w:tc>
          <w:tcPr>
            <w:tcW w:w="4252" w:type="dxa"/>
            <w:noWrap w:val="0"/>
            <w:vAlign w:val="center"/>
          </w:tcPr>
          <w:p w14:paraId="3FA89451">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区域一：东至文明路、格致路，南至科技大道，西至滨河东路，北至德高路、北环路</w:t>
            </w:r>
          </w:p>
          <w:p w14:paraId="783EAD08">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区域二：东至滨河西路，南至迎朋路，西至亲民路，北至</w:t>
            </w:r>
            <w:r>
              <w:rPr>
                <w:rFonts w:eastAsia="楷体_GB2312"/>
                <w:color w:val="000000"/>
                <w:kern w:val="0"/>
                <w:szCs w:val="21"/>
              </w:rPr>
              <w:t>040</w:t>
            </w:r>
            <w:r>
              <w:rPr>
                <w:rFonts w:hint="eastAsia" w:ascii="楷体_GB2312" w:hAnsi="宋体" w:eastAsia="楷体_GB2312" w:cs="宋体"/>
                <w:color w:val="000000"/>
                <w:kern w:val="0"/>
                <w:szCs w:val="21"/>
              </w:rPr>
              <w:t>乡道</w:t>
            </w:r>
          </w:p>
        </w:tc>
        <w:tc>
          <w:tcPr>
            <w:tcW w:w="851" w:type="dxa"/>
            <w:noWrap w:val="0"/>
            <w:vAlign w:val="center"/>
          </w:tcPr>
          <w:p w14:paraId="38E7F82C">
            <w:pPr>
              <w:ind w:left="-63" w:leftChars="-30" w:right="-63" w:rightChars="-30"/>
              <w:jc w:val="center"/>
              <w:rPr>
                <w:color w:val="000000"/>
                <w:kern w:val="0"/>
                <w:szCs w:val="21"/>
              </w:rPr>
            </w:pPr>
            <w:r>
              <w:rPr>
                <w:color w:val="000000"/>
                <w:kern w:val="0"/>
                <w:szCs w:val="21"/>
              </w:rPr>
              <w:t>0.95</w:t>
            </w:r>
          </w:p>
        </w:tc>
        <w:tc>
          <w:tcPr>
            <w:tcW w:w="709" w:type="dxa"/>
            <w:noWrap w:val="0"/>
            <w:vAlign w:val="center"/>
          </w:tcPr>
          <w:p w14:paraId="1087BDF3">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69EDC962">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52778153">
            <w:pPr>
              <w:ind w:left="-63" w:leftChars="-30" w:right="-63" w:rightChars="-30"/>
              <w:jc w:val="center"/>
              <w:rPr>
                <w:color w:val="000000"/>
                <w:kern w:val="0"/>
                <w:szCs w:val="21"/>
              </w:rPr>
            </w:pPr>
            <w:r>
              <w:rPr>
                <w:color w:val="000000"/>
                <w:kern w:val="0"/>
                <w:szCs w:val="21"/>
              </w:rPr>
              <w:t>2</w:t>
            </w:r>
          </w:p>
        </w:tc>
        <w:tc>
          <w:tcPr>
            <w:tcW w:w="565" w:type="dxa"/>
            <w:noWrap w:val="0"/>
            <w:vAlign w:val="center"/>
          </w:tcPr>
          <w:p w14:paraId="3014429C">
            <w:pPr>
              <w:ind w:left="-63" w:leftChars="-30" w:right="-63" w:rightChars="-30"/>
              <w:jc w:val="center"/>
              <w:rPr>
                <w:color w:val="000000"/>
                <w:kern w:val="0"/>
                <w:szCs w:val="21"/>
              </w:rPr>
            </w:pPr>
            <w:r>
              <w:rPr>
                <w:color w:val="000000"/>
                <w:kern w:val="0"/>
                <w:szCs w:val="21"/>
              </w:rPr>
              <w:t>25.4</w:t>
            </w:r>
          </w:p>
        </w:tc>
      </w:tr>
      <w:tr w14:paraId="0E175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25C7D23E">
            <w:pPr>
              <w:ind w:left="-63" w:leftChars="-30" w:right="-63" w:rightChars="-30"/>
              <w:rPr>
                <w:color w:val="000000"/>
                <w:kern w:val="0"/>
                <w:szCs w:val="21"/>
              </w:rPr>
            </w:pPr>
          </w:p>
        </w:tc>
        <w:tc>
          <w:tcPr>
            <w:tcW w:w="567" w:type="dxa"/>
            <w:vMerge w:val="continue"/>
            <w:noWrap w:val="0"/>
            <w:vAlign w:val="center"/>
          </w:tcPr>
          <w:p w14:paraId="611B52AC">
            <w:pPr>
              <w:ind w:left="-63" w:leftChars="-30" w:right="-63" w:rightChars="-30"/>
              <w:rPr>
                <w:rFonts w:ascii="楷体_GB2312" w:hAnsi="宋体" w:eastAsia="楷体_GB2312" w:cs="宋体"/>
                <w:color w:val="000000"/>
                <w:kern w:val="0"/>
                <w:szCs w:val="21"/>
              </w:rPr>
            </w:pPr>
          </w:p>
        </w:tc>
        <w:tc>
          <w:tcPr>
            <w:tcW w:w="567" w:type="dxa"/>
            <w:noWrap w:val="0"/>
            <w:vAlign w:val="center"/>
          </w:tcPr>
          <w:p w14:paraId="61FAB68C">
            <w:pPr>
              <w:ind w:left="-63" w:leftChars="-30" w:right="-63" w:rightChars="-30"/>
              <w:jc w:val="center"/>
              <w:rPr>
                <w:color w:val="000000"/>
                <w:kern w:val="0"/>
                <w:szCs w:val="21"/>
              </w:rPr>
            </w:pPr>
            <w:r>
              <w:rPr>
                <w:color w:val="000000"/>
                <w:kern w:val="0"/>
                <w:szCs w:val="21"/>
              </w:rPr>
              <w:t>3</w:t>
            </w:r>
          </w:p>
        </w:tc>
        <w:tc>
          <w:tcPr>
            <w:tcW w:w="4252" w:type="dxa"/>
            <w:noWrap w:val="0"/>
            <w:vAlign w:val="center"/>
          </w:tcPr>
          <w:p w14:paraId="20826079">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851" w:type="dxa"/>
            <w:noWrap w:val="0"/>
            <w:vAlign w:val="center"/>
          </w:tcPr>
          <w:p w14:paraId="1ABF253D">
            <w:pPr>
              <w:ind w:left="-63" w:leftChars="-30" w:right="-63" w:rightChars="-30"/>
              <w:jc w:val="center"/>
              <w:rPr>
                <w:color w:val="000000"/>
                <w:kern w:val="0"/>
                <w:szCs w:val="21"/>
              </w:rPr>
            </w:pPr>
            <w:r>
              <w:rPr>
                <w:color w:val="000000"/>
                <w:kern w:val="0"/>
                <w:szCs w:val="21"/>
              </w:rPr>
              <w:t>0.9</w:t>
            </w:r>
          </w:p>
        </w:tc>
        <w:tc>
          <w:tcPr>
            <w:tcW w:w="709" w:type="dxa"/>
            <w:noWrap w:val="0"/>
            <w:vAlign w:val="center"/>
          </w:tcPr>
          <w:p w14:paraId="660B66B8">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4B6FA1D9">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326EFCF8">
            <w:pPr>
              <w:ind w:left="-63" w:leftChars="-30" w:right="-63" w:rightChars="-30"/>
              <w:jc w:val="center"/>
              <w:rPr>
                <w:color w:val="000000"/>
                <w:kern w:val="0"/>
                <w:szCs w:val="21"/>
              </w:rPr>
            </w:pPr>
            <w:r>
              <w:rPr>
                <w:color w:val="000000"/>
                <w:kern w:val="0"/>
                <w:szCs w:val="21"/>
              </w:rPr>
              <w:t>3</w:t>
            </w:r>
          </w:p>
        </w:tc>
        <w:tc>
          <w:tcPr>
            <w:tcW w:w="565" w:type="dxa"/>
            <w:noWrap w:val="0"/>
            <w:vAlign w:val="center"/>
          </w:tcPr>
          <w:p w14:paraId="043CA300">
            <w:pPr>
              <w:ind w:left="-63" w:leftChars="-30" w:right="-63" w:rightChars="-30"/>
              <w:jc w:val="center"/>
              <w:rPr>
                <w:color w:val="000000"/>
                <w:kern w:val="0"/>
                <w:szCs w:val="21"/>
              </w:rPr>
            </w:pPr>
            <w:r>
              <w:rPr>
                <w:color w:val="000000"/>
                <w:kern w:val="0"/>
                <w:szCs w:val="21"/>
              </w:rPr>
              <w:t>24.07</w:t>
            </w:r>
          </w:p>
        </w:tc>
      </w:tr>
      <w:tr w14:paraId="76FD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restart"/>
            <w:noWrap w:val="0"/>
            <w:vAlign w:val="center"/>
          </w:tcPr>
          <w:p w14:paraId="61439F50">
            <w:pPr>
              <w:ind w:left="-63" w:leftChars="-30" w:right="-63" w:rightChars="-30"/>
              <w:jc w:val="center"/>
              <w:rPr>
                <w:color w:val="000000"/>
                <w:kern w:val="0"/>
                <w:szCs w:val="21"/>
              </w:rPr>
            </w:pPr>
            <w:r>
              <w:rPr>
                <w:color w:val="000000"/>
                <w:kern w:val="0"/>
                <w:szCs w:val="21"/>
              </w:rPr>
              <w:t>7</w:t>
            </w:r>
          </w:p>
        </w:tc>
        <w:tc>
          <w:tcPr>
            <w:tcW w:w="567" w:type="dxa"/>
            <w:vMerge w:val="restart"/>
            <w:noWrap w:val="0"/>
            <w:vAlign w:val="center"/>
          </w:tcPr>
          <w:p w14:paraId="7CD96B83">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时村镇</w:t>
            </w:r>
          </w:p>
        </w:tc>
        <w:tc>
          <w:tcPr>
            <w:tcW w:w="567" w:type="dxa"/>
            <w:noWrap w:val="0"/>
            <w:vAlign w:val="center"/>
          </w:tcPr>
          <w:p w14:paraId="5F1176C5">
            <w:pPr>
              <w:ind w:left="-63" w:leftChars="-30" w:right="-63" w:rightChars="-30"/>
              <w:jc w:val="center"/>
              <w:rPr>
                <w:color w:val="000000"/>
                <w:kern w:val="0"/>
                <w:szCs w:val="21"/>
              </w:rPr>
            </w:pPr>
            <w:r>
              <w:rPr>
                <w:color w:val="000000"/>
                <w:kern w:val="0"/>
                <w:szCs w:val="21"/>
              </w:rPr>
              <w:t>1</w:t>
            </w:r>
          </w:p>
        </w:tc>
        <w:tc>
          <w:tcPr>
            <w:tcW w:w="4252" w:type="dxa"/>
            <w:noWrap w:val="0"/>
            <w:vAlign w:val="center"/>
          </w:tcPr>
          <w:p w14:paraId="29E38DCB">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东至时东路，南至</w:t>
            </w:r>
            <w:r>
              <w:rPr>
                <w:rFonts w:eastAsia="楷体_GB2312"/>
                <w:color w:val="000000"/>
                <w:kern w:val="0"/>
                <w:szCs w:val="21"/>
              </w:rPr>
              <w:t>302</w:t>
            </w:r>
            <w:r>
              <w:rPr>
                <w:rFonts w:hint="eastAsia" w:ascii="楷体_GB2312" w:hAnsi="宋体" w:eastAsia="楷体_GB2312" w:cs="宋体"/>
                <w:color w:val="000000"/>
                <w:kern w:val="0"/>
                <w:szCs w:val="21"/>
              </w:rPr>
              <w:t>省道，西至西园路，北至创新大道</w:t>
            </w:r>
          </w:p>
        </w:tc>
        <w:tc>
          <w:tcPr>
            <w:tcW w:w="851" w:type="dxa"/>
            <w:noWrap w:val="0"/>
            <w:vAlign w:val="center"/>
          </w:tcPr>
          <w:p w14:paraId="57D1AC10">
            <w:pPr>
              <w:ind w:left="-63" w:leftChars="-30" w:right="-63" w:rightChars="-30"/>
              <w:jc w:val="center"/>
              <w:rPr>
                <w:color w:val="000000"/>
                <w:kern w:val="0"/>
                <w:szCs w:val="21"/>
              </w:rPr>
            </w:pPr>
            <w:r>
              <w:rPr>
                <w:color w:val="000000"/>
                <w:kern w:val="0"/>
                <w:szCs w:val="21"/>
              </w:rPr>
              <w:t>1</w:t>
            </w:r>
          </w:p>
        </w:tc>
        <w:tc>
          <w:tcPr>
            <w:tcW w:w="709" w:type="dxa"/>
            <w:noWrap w:val="0"/>
            <w:vAlign w:val="center"/>
          </w:tcPr>
          <w:p w14:paraId="6B7D4366">
            <w:pPr>
              <w:ind w:left="-63" w:leftChars="-30" w:right="-63" w:rightChars="-30"/>
              <w:jc w:val="center"/>
              <w:rPr>
                <w:color w:val="000000"/>
                <w:kern w:val="0"/>
                <w:szCs w:val="21"/>
              </w:rPr>
            </w:pPr>
            <w:r>
              <w:rPr>
                <w:color w:val="000000"/>
                <w:kern w:val="0"/>
                <w:szCs w:val="21"/>
              </w:rPr>
              <w:t>95</w:t>
            </w:r>
          </w:p>
        </w:tc>
        <w:tc>
          <w:tcPr>
            <w:tcW w:w="850" w:type="dxa"/>
            <w:noWrap w:val="0"/>
            <w:vAlign w:val="center"/>
          </w:tcPr>
          <w:p w14:paraId="0AD88D4A">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0C2DBF98">
            <w:pPr>
              <w:ind w:left="-63" w:leftChars="-30" w:right="-63" w:rightChars="-30"/>
              <w:jc w:val="center"/>
              <w:rPr>
                <w:color w:val="000000"/>
                <w:kern w:val="0"/>
                <w:szCs w:val="21"/>
              </w:rPr>
            </w:pPr>
            <w:r>
              <w:rPr>
                <w:color w:val="000000"/>
                <w:kern w:val="0"/>
                <w:szCs w:val="21"/>
              </w:rPr>
              <w:t>1</w:t>
            </w:r>
          </w:p>
        </w:tc>
        <w:tc>
          <w:tcPr>
            <w:tcW w:w="565" w:type="dxa"/>
            <w:noWrap w:val="0"/>
            <w:vAlign w:val="center"/>
          </w:tcPr>
          <w:p w14:paraId="3276FFB0">
            <w:pPr>
              <w:ind w:left="-63" w:leftChars="-30" w:right="-63" w:rightChars="-30"/>
              <w:jc w:val="center"/>
              <w:rPr>
                <w:color w:val="000000"/>
                <w:kern w:val="0"/>
                <w:szCs w:val="21"/>
              </w:rPr>
            </w:pPr>
            <w:r>
              <w:rPr>
                <w:color w:val="000000"/>
                <w:kern w:val="0"/>
                <w:szCs w:val="21"/>
              </w:rPr>
              <w:t>28.22</w:t>
            </w:r>
          </w:p>
        </w:tc>
      </w:tr>
      <w:tr w14:paraId="3B61D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0D480F68">
            <w:pPr>
              <w:ind w:left="-63" w:leftChars="-30" w:right="-63" w:rightChars="-30"/>
              <w:rPr>
                <w:color w:val="000000"/>
                <w:kern w:val="0"/>
                <w:szCs w:val="21"/>
              </w:rPr>
            </w:pPr>
          </w:p>
        </w:tc>
        <w:tc>
          <w:tcPr>
            <w:tcW w:w="567" w:type="dxa"/>
            <w:vMerge w:val="continue"/>
            <w:noWrap w:val="0"/>
            <w:vAlign w:val="center"/>
          </w:tcPr>
          <w:p w14:paraId="6CD4781E">
            <w:pPr>
              <w:ind w:left="-63" w:leftChars="-30" w:right="-63" w:rightChars="-30"/>
              <w:rPr>
                <w:rFonts w:ascii="楷体_GB2312" w:hAnsi="宋体" w:eastAsia="楷体_GB2312" w:cs="宋体"/>
                <w:color w:val="000000"/>
                <w:kern w:val="0"/>
                <w:szCs w:val="21"/>
              </w:rPr>
            </w:pPr>
          </w:p>
        </w:tc>
        <w:tc>
          <w:tcPr>
            <w:tcW w:w="567" w:type="dxa"/>
            <w:noWrap w:val="0"/>
            <w:vAlign w:val="center"/>
          </w:tcPr>
          <w:p w14:paraId="109CDAFA">
            <w:pPr>
              <w:ind w:left="-63" w:leftChars="-30" w:right="-63" w:rightChars="-30"/>
              <w:jc w:val="center"/>
              <w:rPr>
                <w:color w:val="000000"/>
                <w:kern w:val="0"/>
                <w:szCs w:val="21"/>
              </w:rPr>
            </w:pPr>
            <w:r>
              <w:rPr>
                <w:color w:val="000000"/>
                <w:kern w:val="0"/>
                <w:szCs w:val="21"/>
              </w:rPr>
              <w:t>2</w:t>
            </w:r>
          </w:p>
        </w:tc>
        <w:tc>
          <w:tcPr>
            <w:tcW w:w="4252" w:type="dxa"/>
            <w:noWrap w:val="0"/>
            <w:vAlign w:val="center"/>
          </w:tcPr>
          <w:p w14:paraId="0A677685">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东至时村中心学校东侧道路、环城东路西侧道路，南至环城南路，西至时西路，北至时北路</w:t>
            </w:r>
          </w:p>
        </w:tc>
        <w:tc>
          <w:tcPr>
            <w:tcW w:w="851" w:type="dxa"/>
            <w:noWrap w:val="0"/>
            <w:vAlign w:val="center"/>
          </w:tcPr>
          <w:p w14:paraId="108B2434">
            <w:pPr>
              <w:ind w:left="-63" w:leftChars="-30" w:right="-63" w:rightChars="-30"/>
              <w:jc w:val="center"/>
              <w:rPr>
                <w:color w:val="000000"/>
                <w:kern w:val="0"/>
                <w:szCs w:val="21"/>
              </w:rPr>
            </w:pPr>
            <w:r>
              <w:rPr>
                <w:color w:val="000000"/>
                <w:kern w:val="0"/>
                <w:szCs w:val="21"/>
              </w:rPr>
              <w:t>0.95</w:t>
            </w:r>
          </w:p>
        </w:tc>
        <w:tc>
          <w:tcPr>
            <w:tcW w:w="709" w:type="dxa"/>
            <w:noWrap w:val="0"/>
            <w:vAlign w:val="center"/>
          </w:tcPr>
          <w:p w14:paraId="04DBF551">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081FD147">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6142B839">
            <w:pPr>
              <w:ind w:left="-63" w:leftChars="-30" w:right="-63" w:rightChars="-30"/>
              <w:jc w:val="center"/>
              <w:rPr>
                <w:color w:val="000000"/>
                <w:kern w:val="0"/>
                <w:szCs w:val="21"/>
              </w:rPr>
            </w:pPr>
            <w:r>
              <w:rPr>
                <w:color w:val="000000"/>
                <w:kern w:val="0"/>
                <w:szCs w:val="21"/>
              </w:rPr>
              <w:t>2</w:t>
            </w:r>
          </w:p>
        </w:tc>
        <w:tc>
          <w:tcPr>
            <w:tcW w:w="565" w:type="dxa"/>
            <w:noWrap w:val="0"/>
            <w:vAlign w:val="center"/>
          </w:tcPr>
          <w:p w14:paraId="6C45D9A8">
            <w:pPr>
              <w:ind w:left="-63" w:leftChars="-30" w:right="-63" w:rightChars="-30"/>
              <w:jc w:val="center"/>
              <w:rPr>
                <w:color w:val="000000"/>
                <w:kern w:val="0"/>
                <w:szCs w:val="21"/>
              </w:rPr>
            </w:pPr>
            <w:r>
              <w:rPr>
                <w:color w:val="000000"/>
                <w:kern w:val="0"/>
                <w:szCs w:val="21"/>
              </w:rPr>
              <w:t>25.4</w:t>
            </w:r>
          </w:p>
        </w:tc>
      </w:tr>
      <w:tr w14:paraId="59DF3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78DEC011">
            <w:pPr>
              <w:ind w:left="-63" w:leftChars="-30" w:right="-63" w:rightChars="-30"/>
              <w:rPr>
                <w:color w:val="000000"/>
                <w:kern w:val="0"/>
                <w:szCs w:val="21"/>
              </w:rPr>
            </w:pPr>
          </w:p>
        </w:tc>
        <w:tc>
          <w:tcPr>
            <w:tcW w:w="567" w:type="dxa"/>
            <w:vMerge w:val="continue"/>
            <w:noWrap w:val="0"/>
            <w:vAlign w:val="center"/>
          </w:tcPr>
          <w:p w14:paraId="050481B0">
            <w:pPr>
              <w:ind w:left="-63" w:leftChars="-30" w:right="-63" w:rightChars="-30"/>
              <w:rPr>
                <w:rFonts w:ascii="楷体_GB2312" w:hAnsi="宋体" w:eastAsia="楷体_GB2312" w:cs="宋体"/>
                <w:color w:val="000000"/>
                <w:kern w:val="0"/>
                <w:szCs w:val="21"/>
              </w:rPr>
            </w:pPr>
          </w:p>
        </w:tc>
        <w:tc>
          <w:tcPr>
            <w:tcW w:w="567" w:type="dxa"/>
            <w:noWrap w:val="0"/>
            <w:vAlign w:val="center"/>
          </w:tcPr>
          <w:p w14:paraId="1A1C6617">
            <w:pPr>
              <w:ind w:left="-63" w:leftChars="-30" w:right="-63" w:rightChars="-30"/>
              <w:jc w:val="center"/>
              <w:rPr>
                <w:color w:val="000000"/>
                <w:kern w:val="0"/>
                <w:szCs w:val="21"/>
              </w:rPr>
            </w:pPr>
            <w:r>
              <w:rPr>
                <w:color w:val="000000"/>
                <w:kern w:val="0"/>
                <w:szCs w:val="21"/>
              </w:rPr>
              <w:t>3</w:t>
            </w:r>
          </w:p>
        </w:tc>
        <w:tc>
          <w:tcPr>
            <w:tcW w:w="4252" w:type="dxa"/>
            <w:noWrap w:val="0"/>
            <w:vAlign w:val="center"/>
          </w:tcPr>
          <w:p w14:paraId="6F471163">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851" w:type="dxa"/>
            <w:noWrap w:val="0"/>
            <w:vAlign w:val="center"/>
          </w:tcPr>
          <w:p w14:paraId="6E3FD78E">
            <w:pPr>
              <w:ind w:left="-63" w:leftChars="-30" w:right="-63" w:rightChars="-30"/>
              <w:jc w:val="center"/>
              <w:rPr>
                <w:color w:val="000000"/>
                <w:kern w:val="0"/>
                <w:szCs w:val="21"/>
              </w:rPr>
            </w:pPr>
            <w:r>
              <w:rPr>
                <w:color w:val="000000"/>
                <w:kern w:val="0"/>
                <w:szCs w:val="21"/>
              </w:rPr>
              <w:t>0.9</w:t>
            </w:r>
          </w:p>
        </w:tc>
        <w:tc>
          <w:tcPr>
            <w:tcW w:w="709" w:type="dxa"/>
            <w:noWrap w:val="0"/>
            <w:vAlign w:val="center"/>
          </w:tcPr>
          <w:p w14:paraId="5FCFF509">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7E217B2C">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64576FEA">
            <w:pPr>
              <w:ind w:left="-63" w:leftChars="-30" w:right="-63" w:rightChars="-30"/>
              <w:jc w:val="center"/>
              <w:rPr>
                <w:color w:val="000000"/>
                <w:kern w:val="0"/>
                <w:szCs w:val="21"/>
              </w:rPr>
            </w:pPr>
            <w:r>
              <w:rPr>
                <w:color w:val="000000"/>
                <w:kern w:val="0"/>
                <w:szCs w:val="21"/>
              </w:rPr>
              <w:t>3</w:t>
            </w:r>
          </w:p>
        </w:tc>
        <w:tc>
          <w:tcPr>
            <w:tcW w:w="565" w:type="dxa"/>
            <w:noWrap w:val="0"/>
            <w:vAlign w:val="center"/>
          </w:tcPr>
          <w:p w14:paraId="1C5462FF">
            <w:pPr>
              <w:ind w:left="-63" w:leftChars="-30" w:right="-63" w:rightChars="-30"/>
              <w:jc w:val="center"/>
              <w:rPr>
                <w:color w:val="000000"/>
                <w:kern w:val="0"/>
                <w:szCs w:val="21"/>
              </w:rPr>
            </w:pPr>
            <w:r>
              <w:rPr>
                <w:color w:val="000000"/>
                <w:kern w:val="0"/>
                <w:szCs w:val="21"/>
              </w:rPr>
              <w:t>24.07</w:t>
            </w:r>
          </w:p>
        </w:tc>
      </w:tr>
      <w:tr w14:paraId="3D9AD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restart"/>
            <w:noWrap w:val="0"/>
            <w:vAlign w:val="center"/>
          </w:tcPr>
          <w:p w14:paraId="2F6D3BAC">
            <w:pPr>
              <w:ind w:left="-63" w:leftChars="-30" w:right="-63" w:rightChars="-30"/>
              <w:jc w:val="center"/>
              <w:rPr>
                <w:color w:val="000000"/>
                <w:kern w:val="0"/>
                <w:szCs w:val="21"/>
              </w:rPr>
            </w:pPr>
            <w:r>
              <w:rPr>
                <w:color w:val="000000"/>
                <w:kern w:val="0"/>
                <w:szCs w:val="21"/>
              </w:rPr>
              <w:t>8</w:t>
            </w:r>
          </w:p>
        </w:tc>
        <w:tc>
          <w:tcPr>
            <w:tcW w:w="567" w:type="dxa"/>
            <w:vMerge w:val="restart"/>
            <w:noWrap w:val="0"/>
            <w:vAlign w:val="center"/>
          </w:tcPr>
          <w:p w14:paraId="09C55E7B">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夹沟镇</w:t>
            </w:r>
          </w:p>
        </w:tc>
        <w:tc>
          <w:tcPr>
            <w:tcW w:w="567" w:type="dxa"/>
            <w:noWrap w:val="0"/>
            <w:vAlign w:val="center"/>
          </w:tcPr>
          <w:p w14:paraId="7DCA2F13">
            <w:pPr>
              <w:ind w:left="-63" w:leftChars="-30" w:right="-63" w:rightChars="-30"/>
              <w:jc w:val="center"/>
              <w:rPr>
                <w:color w:val="000000"/>
                <w:kern w:val="0"/>
                <w:szCs w:val="21"/>
              </w:rPr>
            </w:pPr>
            <w:r>
              <w:rPr>
                <w:color w:val="000000"/>
                <w:kern w:val="0"/>
                <w:szCs w:val="21"/>
              </w:rPr>
              <w:t>1</w:t>
            </w:r>
          </w:p>
        </w:tc>
        <w:tc>
          <w:tcPr>
            <w:tcW w:w="4252" w:type="dxa"/>
            <w:noWrap w:val="0"/>
            <w:vAlign w:val="center"/>
          </w:tcPr>
          <w:p w14:paraId="66E6F2B2">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东至夹外路，南至夹顺路，西至西三路、西二路，北至产业路、夹津路</w:t>
            </w:r>
          </w:p>
        </w:tc>
        <w:tc>
          <w:tcPr>
            <w:tcW w:w="851" w:type="dxa"/>
            <w:noWrap w:val="0"/>
            <w:vAlign w:val="center"/>
          </w:tcPr>
          <w:p w14:paraId="27DB89A6">
            <w:pPr>
              <w:ind w:left="-63" w:leftChars="-30" w:right="-63" w:rightChars="-30"/>
              <w:jc w:val="center"/>
              <w:rPr>
                <w:color w:val="000000"/>
                <w:kern w:val="0"/>
                <w:szCs w:val="21"/>
              </w:rPr>
            </w:pPr>
            <w:r>
              <w:rPr>
                <w:color w:val="000000"/>
                <w:kern w:val="0"/>
                <w:szCs w:val="21"/>
              </w:rPr>
              <w:t>1</w:t>
            </w:r>
          </w:p>
        </w:tc>
        <w:tc>
          <w:tcPr>
            <w:tcW w:w="709" w:type="dxa"/>
            <w:noWrap w:val="0"/>
            <w:vAlign w:val="center"/>
          </w:tcPr>
          <w:p w14:paraId="64410FED">
            <w:pPr>
              <w:ind w:left="-63" w:leftChars="-30" w:right="-63" w:rightChars="-30"/>
              <w:jc w:val="center"/>
              <w:rPr>
                <w:color w:val="000000"/>
                <w:kern w:val="0"/>
                <w:szCs w:val="21"/>
              </w:rPr>
            </w:pPr>
            <w:r>
              <w:rPr>
                <w:color w:val="000000"/>
                <w:kern w:val="0"/>
                <w:szCs w:val="21"/>
              </w:rPr>
              <w:t>95</w:t>
            </w:r>
          </w:p>
        </w:tc>
        <w:tc>
          <w:tcPr>
            <w:tcW w:w="850" w:type="dxa"/>
            <w:noWrap w:val="0"/>
            <w:vAlign w:val="center"/>
          </w:tcPr>
          <w:p w14:paraId="4C75C1CA">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62BD4C09">
            <w:pPr>
              <w:ind w:left="-63" w:leftChars="-30" w:right="-63" w:rightChars="-30"/>
              <w:jc w:val="center"/>
              <w:rPr>
                <w:color w:val="000000"/>
                <w:kern w:val="0"/>
                <w:szCs w:val="21"/>
              </w:rPr>
            </w:pPr>
            <w:r>
              <w:rPr>
                <w:color w:val="000000"/>
                <w:kern w:val="0"/>
                <w:szCs w:val="21"/>
              </w:rPr>
              <w:t>1</w:t>
            </w:r>
          </w:p>
        </w:tc>
        <w:tc>
          <w:tcPr>
            <w:tcW w:w="565" w:type="dxa"/>
            <w:noWrap w:val="0"/>
            <w:vAlign w:val="center"/>
          </w:tcPr>
          <w:p w14:paraId="62027A36">
            <w:pPr>
              <w:ind w:left="-63" w:leftChars="-30" w:right="-63" w:rightChars="-30"/>
              <w:jc w:val="center"/>
              <w:rPr>
                <w:color w:val="000000"/>
                <w:kern w:val="0"/>
                <w:szCs w:val="21"/>
              </w:rPr>
            </w:pPr>
            <w:r>
              <w:rPr>
                <w:color w:val="000000"/>
                <w:kern w:val="0"/>
                <w:szCs w:val="21"/>
              </w:rPr>
              <w:t>28.22</w:t>
            </w:r>
          </w:p>
        </w:tc>
      </w:tr>
      <w:tr w14:paraId="50331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6E5C3F86">
            <w:pPr>
              <w:ind w:left="-63" w:leftChars="-30" w:right="-63" w:rightChars="-30"/>
              <w:rPr>
                <w:color w:val="000000"/>
                <w:kern w:val="0"/>
                <w:szCs w:val="21"/>
              </w:rPr>
            </w:pPr>
          </w:p>
        </w:tc>
        <w:tc>
          <w:tcPr>
            <w:tcW w:w="567" w:type="dxa"/>
            <w:vMerge w:val="continue"/>
            <w:noWrap w:val="0"/>
            <w:vAlign w:val="center"/>
          </w:tcPr>
          <w:p w14:paraId="193A4796">
            <w:pPr>
              <w:ind w:left="-63" w:leftChars="-30" w:right="-63" w:rightChars="-30"/>
              <w:rPr>
                <w:rFonts w:ascii="楷体_GB2312" w:hAnsi="宋体" w:eastAsia="楷体_GB2312" w:cs="宋体"/>
                <w:color w:val="000000"/>
                <w:kern w:val="0"/>
                <w:szCs w:val="21"/>
              </w:rPr>
            </w:pPr>
          </w:p>
        </w:tc>
        <w:tc>
          <w:tcPr>
            <w:tcW w:w="567" w:type="dxa"/>
            <w:noWrap w:val="0"/>
            <w:vAlign w:val="center"/>
          </w:tcPr>
          <w:p w14:paraId="23A2C3C3">
            <w:pPr>
              <w:ind w:left="-63" w:leftChars="-30" w:right="-63" w:rightChars="-30"/>
              <w:jc w:val="center"/>
              <w:rPr>
                <w:color w:val="000000"/>
                <w:kern w:val="0"/>
                <w:szCs w:val="21"/>
              </w:rPr>
            </w:pPr>
            <w:r>
              <w:rPr>
                <w:color w:val="000000"/>
                <w:kern w:val="0"/>
                <w:szCs w:val="21"/>
              </w:rPr>
              <w:t>2</w:t>
            </w:r>
          </w:p>
        </w:tc>
        <w:tc>
          <w:tcPr>
            <w:tcW w:w="4252" w:type="dxa"/>
            <w:noWrap w:val="0"/>
            <w:vAlign w:val="center"/>
          </w:tcPr>
          <w:p w14:paraId="16668449">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东至东一路，南至府前路，西至津浦铁路东侧规划道路，北至定级边界</w:t>
            </w:r>
          </w:p>
        </w:tc>
        <w:tc>
          <w:tcPr>
            <w:tcW w:w="851" w:type="dxa"/>
            <w:noWrap w:val="0"/>
            <w:vAlign w:val="center"/>
          </w:tcPr>
          <w:p w14:paraId="4659DFCA">
            <w:pPr>
              <w:ind w:left="-63" w:leftChars="-30" w:right="-63" w:rightChars="-30"/>
              <w:jc w:val="center"/>
              <w:rPr>
                <w:color w:val="000000"/>
                <w:kern w:val="0"/>
                <w:szCs w:val="21"/>
              </w:rPr>
            </w:pPr>
            <w:r>
              <w:rPr>
                <w:color w:val="000000"/>
                <w:kern w:val="0"/>
                <w:szCs w:val="21"/>
              </w:rPr>
              <w:t>0.95</w:t>
            </w:r>
          </w:p>
        </w:tc>
        <w:tc>
          <w:tcPr>
            <w:tcW w:w="709" w:type="dxa"/>
            <w:noWrap w:val="0"/>
            <w:vAlign w:val="center"/>
          </w:tcPr>
          <w:p w14:paraId="09F38AE1">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74BA751D">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2CBF8144">
            <w:pPr>
              <w:ind w:left="-63" w:leftChars="-30" w:right="-63" w:rightChars="-30"/>
              <w:jc w:val="center"/>
              <w:rPr>
                <w:color w:val="000000"/>
                <w:kern w:val="0"/>
                <w:szCs w:val="21"/>
              </w:rPr>
            </w:pPr>
            <w:r>
              <w:rPr>
                <w:color w:val="000000"/>
                <w:kern w:val="0"/>
                <w:szCs w:val="21"/>
              </w:rPr>
              <w:t>2</w:t>
            </w:r>
          </w:p>
        </w:tc>
        <w:tc>
          <w:tcPr>
            <w:tcW w:w="565" w:type="dxa"/>
            <w:noWrap w:val="0"/>
            <w:vAlign w:val="center"/>
          </w:tcPr>
          <w:p w14:paraId="629713BB">
            <w:pPr>
              <w:ind w:left="-63" w:leftChars="-30" w:right="-63" w:rightChars="-30"/>
              <w:jc w:val="center"/>
              <w:rPr>
                <w:color w:val="000000"/>
                <w:kern w:val="0"/>
                <w:szCs w:val="21"/>
              </w:rPr>
            </w:pPr>
            <w:r>
              <w:rPr>
                <w:color w:val="000000"/>
                <w:kern w:val="0"/>
                <w:szCs w:val="21"/>
              </w:rPr>
              <w:t>25.4</w:t>
            </w:r>
          </w:p>
        </w:tc>
      </w:tr>
      <w:tr w14:paraId="31D1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10A8A498">
            <w:pPr>
              <w:ind w:left="-63" w:leftChars="-30" w:right="-63" w:rightChars="-30"/>
              <w:rPr>
                <w:color w:val="000000"/>
                <w:kern w:val="0"/>
                <w:szCs w:val="21"/>
              </w:rPr>
            </w:pPr>
          </w:p>
        </w:tc>
        <w:tc>
          <w:tcPr>
            <w:tcW w:w="567" w:type="dxa"/>
            <w:vMerge w:val="continue"/>
            <w:noWrap w:val="0"/>
            <w:vAlign w:val="center"/>
          </w:tcPr>
          <w:p w14:paraId="31BB6814">
            <w:pPr>
              <w:ind w:left="-63" w:leftChars="-30" w:right="-63" w:rightChars="-30"/>
              <w:rPr>
                <w:rFonts w:ascii="楷体_GB2312" w:hAnsi="宋体" w:eastAsia="楷体_GB2312" w:cs="宋体"/>
                <w:color w:val="000000"/>
                <w:kern w:val="0"/>
                <w:szCs w:val="21"/>
              </w:rPr>
            </w:pPr>
          </w:p>
        </w:tc>
        <w:tc>
          <w:tcPr>
            <w:tcW w:w="567" w:type="dxa"/>
            <w:noWrap w:val="0"/>
            <w:vAlign w:val="center"/>
          </w:tcPr>
          <w:p w14:paraId="4499506B">
            <w:pPr>
              <w:ind w:left="-63" w:leftChars="-30" w:right="-63" w:rightChars="-30"/>
              <w:jc w:val="center"/>
              <w:rPr>
                <w:color w:val="000000"/>
                <w:kern w:val="0"/>
                <w:szCs w:val="21"/>
              </w:rPr>
            </w:pPr>
            <w:r>
              <w:rPr>
                <w:color w:val="000000"/>
                <w:kern w:val="0"/>
                <w:szCs w:val="21"/>
              </w:rPr>
              <w:t>3</w:t>
            </w:r>
          </w:p>
        </w:tc>
        <w:tc>
          <w:tcPr>
            <w:tcW w:w="4252" w:type="dxa"/>
            <w:noWrap w:val="0"/>
            <w:vAlign w:val="center"/>
          </w:tcPr>
          <w:p w14:paraId="7B80FA4B">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851" w:type="dxa"/>
            <w:noWrap w:val="0"/>
            <w:vAlign w:val="center"/>
          </w:tcPr>
          <w:p w14:paraId="0AD0DB86">
            <w:pPr>
              <w:ind w:left="-63" w:leftChars="-30" w:right="-63" w:rightChars="-30"/>
              <w:jc w:val="center"/>
              <w:rPr>
                <w:color w:val="000000"/>
                <w:kern w:val="0"/>
                <w:szCs w:val="21"/>
              </w:rPr>
            </w:pPr>
            <w:r>
              <w:rPr>
                <w:color w:val="000000"/>
                <w:kern w:val="0"/>
                <w:szCs w:val="21"/>
              </w:rPr>
              <w:t>0.9</w:t>
            </w:r>
          </w:p>
        </w:tc>
        <w:tc>
          <w:tcPr>
            <w:tcW w:w="709" w:type="dxa"/>
            <w:noWrap w:val="0"/>
            <w:vAlign w:val="center"/>
          </w:tcPr>
          <w:p w14:paraId="25C49A33">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42643683">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2949B3D0">
            <w:pPr>
              <w:ind w:left="-63" w:leftChars="-30" w:right="-63" w:rightChars="-30"/>
              <w:jc w:val="center"/>
              <w:rPr>
                <w:color w:val="000000"/>
                <w:kern w:val="0"/>
                <w:szCs w:val="21"/>
              </w:rPr>
            </w:pPr>
            <w:r>
              <w:rPr>
                <w:color w:val="000000"/>
                <w:kern w:val="0"/>
                <w:szCs w:val="21"/>
              </w:rPr>
              <w:t>3</w:t>
            </w:r>
          </w:p>
        </w:tc>
        <w:tc>
          <w:tcPr>
            <w:tcW w:w="565" w:type="dxa"/>
            <w:noWrap w:val="0"/>
            <w:vAlign w:val="center"/>
          </w:tcPr>
          <w:p w14:paraId="5C285C55">
            <w:pPr>
              <w:ind w:left="-63" w:leftChars="-30" w:right="-63" w:rightChars="-30"/>
              <w:jc w:val="center"/>
              <w:rPr>
                <w:color w:val="000000"/>
                <w:kern w:val="0"/>
                <w:szCs w:val="21"/>
              </w:rPr>
            </w:pPr>
            <w:r>
              <w:rPr>
                <w:color w:val="000000"/>
                <w:kern w:val="0"/>
                <w:szCs w:val="21"/>
              </w:rPr>
              <w:t>24.07</w:t>
            </w:r>
          </w:p>
        </w:tc>
      </w:tr>
      <w:tr w14:paraId="733C3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restart"/>
            <w:noWrap w:val="0"/>
            <w:vAlign w:val="center"/>
          </w:tcPr>
          <w:p w14:paraId="73F3FC40">
            <w:pPr>
              <w:ind w:left="-63" w:leftChars="-30" w:right="-63" w:rightChars="-30"/>
              <w:jc w:val="center"/>
              <w:rPr>
                <w:color w:val="000000"/>
                <w:kern w:val="0"/>
                <w:szCs w:val="21"/>
              </w:rPr>
            </w:pPr>
            <w:r>
              <w:rPr>
                <w:color w:val="000000"/>
                <w:kern w:val="0"/>
                <w:szCs w:val="21"/>
              </w:rPr>
              <w:t>9</w:t>
            </w:r>
          </w:p>
        </w:tc>
        <w:tc>
          <w:tcPr>
            <w:tcW w:w="567" w:type="dxa"/>
            <w:vMerge w:val="restart"/>
            <w:noWrap w:val="0"/>
            <w:vAlign w:val="center"/>
          </w:tcPr>
          <w:p w14:paraId="62BA7C01">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西二铺乡</w:t>
            </w:r>
          </w:p>
        </w:tc>
        <w:tc>
          <w:tcPr>
            <w:tcW w:w="567" w:type="dxa"/>
            <w:noWrap w:val="0"/>
            <w:vAlign w:val="center"/>
          </w:tcPr>
          <w:p w14:paraId="26E658C1">
            <w:pPr>
              <w:ind w:left="-63" w:leftChars="-30" w:right="-63" w:rightChars="-30"/>
              <w:jc w:val="center"/>
              <w:rPr>
                <w:color w:val="000000"/>
                <w:kern w:val="0"/>
                <w:szCs w:val="21"/>
              </w:rPr>
            </w:pPr>
            <w:r>
              <w:rPr>
                <w:color w:val="000000"/>
                <w:kern w:val="0"/>
                <w:szCs w:val="21"/>
              </w:rPr>
              <w:t>1</w:t>
            </w:r>
          </w:p>
        </w:tc>
        <w:tc>
          <w:tcPr>
            <w:tcW w:w="4252" w:type="dxa"/>
            <w:noWrap w:val="0"/>
            <w:vAlign w:val="center"/>
          </w:tcPr>
          <w:p w14:paraId="0A20C2BE">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东至文旅大街，南至宿永路，西至薛堂路，北至农贸市场北侧规划道路</w:t>
            </w:r>
          </w:p>
        </w:tc>
        <w:tc>
          <w:tcPr>
            <w:tcW w:w="851" w:type="dxa"/>
            <w:noWrap w:val="0"/>
            <w:vAlign w:val="center"/>
          </w:tcPr>
          <w:p w14:paraId="2013A5E2">
            <w:pPr>
              <w:ind w:left="-63" w:leftChars="-30" w:right="-63" w:rightChars="-30"/>
              <w:jc w:val="center"/>
              <w:rPr>
                <w:color w:val="000000"/>
                <w:kern w:val="0"/>
                <w:szCs w:val="21"/>
              </w:rPr>
            </w:pPr>
            <w:r>
              <w:rPr>
                <w:color w:val="000000"/>
                <w:kern w:val="0"/>
                <w:szCs w:val="21"/>
              </w:rPr>
              <w:t>1</w:t>
            </w:r>
          </w:p>
        </w:tc>
        <w:tc>
          <w:tcPr>
            <w:tcW w:w="709" w:type="dxa"/>
            <w:noWrap w:val="0"/>
            <w:vAlign w:val="center"/>
          </w:tcPr>
          <w:p w14:paraId="4012EB06">
            <w:pPr>
              <w:ind w:left="-63" w:leftChars="-30" w:right="-63" w:rightChars="-30"/>
              <w:jc w:val="center"/>
              <w:rPr>
                <w:color w:val="000000"/>
                <w:kern w:val="0"/>
                <w:szCs w:val="21"/>
              </w:rPr>
            </w:pPr>
            <w:r>
              <w:rPr>
                <w:color w:val="000000"/>
                <w:kern w:val="0"/>
                <w:szCs w:val="21"/>
              </w:rPr>
              <w:t>95</w:t>
            </w:r>
          </w:p>
        </w:tc>
        <w:tc>
          <w:tcPr>
            <w:tcW w:w="850" w:type="dxa"/>
            <w:noWrap w:val="0"/>
            <w:vAlign w:val="center"/>
          </w:tcPr>
          <w:p w14:paraId="43ED607B">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52C324D3">
            <w:pPr>
              <w:ind w:left="-63" w:leftChars="-30" w:right="-63" w:rightChars="-30"/>
              <w:jc w:val="center"/>
              <w:rPr>
                <w:color w:val="000000"/>
                <w:kern w:val="0"/>
                <w:szCs w:val="21"/>
              </w:rPr>
            </w:pPr>
            <w:r>
              <w:rPr>
                <w:color w:val="000000"/>
                <w:kern w:val="0"/>
                <w:szCs w:val="21"/>
              </w:rPr>
              <w:t>1</w:t>
            </w:r>
          </w:p>
        </w:tc>
        <w:tc>
          <w:tcPr>
            <w:tcW w:w="565" w:type="dxa"/>
            <w:noWrap w:val="0"/>
            <w:vAlign w:val="center"/>
          </w:tcPr>
          <w:p w14:paraId="3185374F">
            <w:pPr>
              <w:ind w:left="-63" w:leftChars="-30" w:right="-63" w:rightChars="-30"/>
              <w:jc w:val="center"/>
              <w:rPr>
                <w:color w:val="000000"/>
                <w:kern w:val="0"/>
                <w:szCs w:val="21"/>
              </w:rPr>
            </w:pPr>
            <w:r>
              <w:rPr>
                <w:color w:val="000000"/>
                <w:kern w:val="0"/>
                <w:szCs w:val="21"/>
              </w:rPr>
              <w:t>28.22</w:t>
            </w:r>
          </w:p>
        </w:tc>
      </w:tr>
      <w:tr w14:paraId="2749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131E6BA0">
            <w:pPr>
              <w:ind w:left="-63" w:leftChars="-30" w:right="-63" w:rightChars="-30"/>
              <w:rPr>
                <w:color w:val="000000"/>
                <w:kern w:val="0"/>
                <w:szCs w:val="21"/>
              </w:rPr>
            </w:pPr>
          </w:p>
        </w:tc>
        <w:tc>
          <w:tcPr>
            <w:tcW w:w="567" w:type="dxa"/>
            <w:vMerge w:val="continue"/>
            <w:noWrap w:val="0"/>
            <w:vAlign w:val="center"/>
          </w:tcPr>
          <w:p w14:paraId="779349E1">
            <w:pPr>
              <w:ind w:left="-63" w:leftChars="-30" w:right="-63" w:rightChars="-30"/>
              <w:rPr>
                <w:rFonts w:ascii="楷体_GB2312" w:hAnsi="宋体" w:eastAsia="楷体_GB2312" w:cs="宋体"/>
                <w:color w:val="000000"/>
                <w:kern w:val="0"/>
                <w:szCs w:val="21"/>
              </w:rPr>
            </w:pPr>
          </w:p>
        </w:tc>
        <w:tc>
          <w:tcPr>
            <w:tcW w:w="567" w:type="dxa"/>
            <w:noWrap w:val="0"/>
            <w:vAlign w:val="center"/>
          </w:tcPr>
          <w:p w14:paraId="640BCC63">
            <w:pPr>
              <w:ind w:left="-63" w:leftChars="-30" w:right="-63" w:rightChars="-30"/>
              <w:jc w:val="center"/>
              <w:rPr>
                <w:color w:val="000000"/>
                <w:kern w:val="0"/>
                <w:szCs w:val="21"/>
              </w:rPr>
            </w:pPr>
            <w:r>
              <w:rPr>
                <w:color w:val="000000"/>
                <w:kern w:val="0"/>
                <w:szCs w:val="21"/>
              </w:rPr>
              <w:t>2</w:t>
            </w:r>
          </w:p>
        </w:tc>
        <w:tc>
          <w:tcPr>
            <w:tcW w:w="4252" w:type="dxa"/>
            <w:noWrap w:val="0"/>
            <w:vAlign w:val="center"/>
          </w:tcPr>
          <w:p w14:paraId="3250ABCF">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东至昌盛路，南至福顺路，西至薛堂路，北至吕黄路</w:t>
            </w:r>
          </w:p>
        </w:tc>
        <w:tc>
          <w:tcPr>
            <w:tcW w:w="851" w:type="dxa"/>
            <w:noWrap w:val="0"/>
            <w:vAlign w:val="center"/>
          </w:tcPr>
          <w:p w14:paraId="7429E29F">
            <w:pPr>
              <w:ind w:left="-63" w:leftChars="-30" w:right="-63" w:rightChars="-30"/>
              <w:jc w:val="center"/>
              <w:rPr>
                <w:color w:val="000000"/>
                <w:kern w:val="0"/>
                <w:szCs w:val="21"/>
              </w:rPr>
            </w:pPr>
            <w:r>
              <w:rPr>
                <w:color w:val="000000"/>
                <w:kern w:val="0"/>
                <w:szCs w:val="21"/>
              </w:rPr>
              <w:t>0.95</w:t>
            </w:r>
          </w:p>
        </w:tc>
        <w:tc>
          <w:tcPr>
            <w:tcW w:w="709" w:type="dxa"/>
            <w:noWrap w:val="0"/>
            <w:vAlign w:val="center"/>
          </w:tcPr>
          <w:p w14:paraId="2E84DE43">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725C66D7">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6B10F3C8">
            <w:pPr>
              <w:ind w:left="-63" w:leftChars="-30" w:right="-63" w:rightChars="-30"/>
              <w:jc w:val="center"/>
              <w:rPr>
                <w:color w:val="000000"/>
                <w:kern w:val="0"/>
                <w:szCs w:val="21"/>
              </w:rPr>
            </w:pPr>
            <w:r>
              <w:rPr>
                <w:color w:val="000000"/>
                <w:kern w:val="0"/>
                <w:szCs w:val="21"/>
              </w:rPr>
              <w:t>2</w:t>
            </w:r>
          </w:p>
        </w:tc>
        <w:tc>
          <w:tcPr>
            <w:tcW w:w="565" w:type="dxa"/>
            <w:noWrap w:val="0"/>
            <w:vAlign w:val="center"/>
          </w:tcPr>
          <w:p w14:paraId="647A07C2">
            <w:pPr>
              <w:ind w:left="-63" w:leftChars="-30" w:right="-63" w:rightChars="-30"/>
              <w:jc w:val="center"/>
              <w:rPr>
                <w:color w:val="000000"/>
                <w:kern w:val="0"/>
                <w:szCs w:val="21"/>
              </w:rPr>
            </w:pPr>
            <w:r>
              <w:rPr>
                <w:color w:val="000000"/>
                <w:kern w:val="0"/>
                <w:szCs w:val="21"/>
              </w:rPr>
              <w:t>25.4</w:t>
            </w:r>
          </w:p>
        </w:tc>
      </w:tr>
      <w:tr w14:paraId="3596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7883F8EC">
            <w:pPr>
              <w:ind w:left="-63" w:leftChars="-30" w:right="-63" w:rightChars="-30"/>
              <w:rPr>
                <w:color w:val="000000"/>
                <w:kern w:val="0"/>
                <w:szCs w:val="21"/>
              </w:rPr>
            </w:pPr>
          </w:p>
        </w:tc>
        <w:tc>
          <w:tcPr>
            <w:tcW w:w="567" w:type="dxa"/>
            <w:vMerge w:val="continue"/>
            <w:noWrap w:val="0"/>
            <w:vAlign w:val="center"/>
          </w:tcPr>
          <w:p w14:paraId="3C33532E">
            <w:pPr>
              <w:ind w:left="-63" w:leftChars="-30" w:right="-63" w:rightChars="-30"/>
              <w:rPr>
                <w:rFonts w:ascii="楷体_GB2312" w:hAnsi="宋体" w:eastAsia="楷体_GB2312" w:cs="宋体"/>
                <w:color w:val="000000"/>
                <w:kern w:val="0"/>
                <w:szCs w:val="21"/>
              </w:rPr>
            </w:pPr>
          </w:p>
        </w:tc>
        <w:tc>
          <w:tcPr>
            <w:tcW w:w="567" w:type="dxa"/>
            <w:noWrap w:val="0"/>
            <w:vAlign w:val="center"/>
          </w:tcPr>
          <w:p w14:paraId="41A14209">
            <w:pPr>
              <w:ind w:left="-63" w:leftChars="-30" w:right="-63" w:rightChars="-30"/>
              <w:jc w:val="center"/>
              <w:rPr>
                <w:color w:val="000000"/>
                <w:kern w:val="0"/>
                <w:szCs w:val="21"/>
              </w:rPr>
            </w:pPr>
            <w:r>
              <w:rPr>
                <w:color w:val="000000"/>
                <w:kern w:val="0"/>
                <w:szCs w:val="21"/>
              </w:rPr>
              <w:t>3</w:t>
            </w:r>
          </w:p>
        </w:tc>
        <w:tc>
          <w:tcPr>
            <w:tcW w:w="4252" w:type="dxa"/>
            <w:noWrap w:val="0"/>
            <w:vAlign w:val="center"/>
          </w:tcPr>
          <w:p w14:paraId="1226953D">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851" w:type="dxa"/>
            <w:noWrap w:val="0"/>
            <w:vAlign w:val="center"/>
          </w:tcPr>
          <w:p w14:paraId="18DE0BF9">
            <w:pPr>
              <w:ind w:left="-63" w:leftChars="-30" w:right="-63" w:rightChars="-30"/>
              <w:jc w:val="center"/>
              <w:rPr>
                <w:color w:val="000000"/>
                <w:kern w:val="0"/>
                <w:szCs w:val="21"/>
              </w:rPr>
            </w:pPr>
            <w:r>
              <w:rPr>
                <w:color w:val="000000"/>
                <w:kern w:val="0"/>
                <w:szCs w:val="21"/>
              </w:rPr>
              <w:t>0.9</w:t>
            </w:r>
          </w:p>
        </w:tc>
        <w:tc>
          <w:tcPr>
            <w:tcW w:w="709" w:type="dxa"/>
            <w:noWrap w:val="0"/>
            <w:vAlign w:val="center"/>
          </w:tcPr>
          <w:p w14:paraId="6E5DD623">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56C78D8E">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07D45829">
            <w:pPr>
              <w:ind w:left="-63" w:leftChars="-30" w:right="-63" w:rightChars="-30"/>
              <w:jc w:val="center"/>
              <w:rPr>
                <w:color w:val="000000"/>
                <w:kern w:val="0"/>
                <w:szCs w:val="21"/>
              </w:rPr>
            </w:pPr>
            <w:r>
              <w:rPr>
                <w:color w:val="000000"/>
                <w:kern w:val="0"/>
                <w:szCs w:val="21"/>
              </w:rPr>
              <w:t>3</w:t>
            </w:r>
          </w:p>
        </w:tc>
        <w:tc>
          <w:tcPr>
            <w:tcW w:w="565" w:type="dxa"/>
            <w:noWrap w:val="0"/>
            <w:vAlign w:val="center"/>
          </w:tcPr>
          <w:p w14:paraId="3AA25AD1">
            <w:pPr>
              <w:ind w:left="-63" w:leftChars="-30" w:right="-63" w:rightChars="-30"/>
              <w:jc w:val="center"/>
              <w:rPr>
                <w:color w:val="000000"/>
                <w:kern w:val="0"/>
                <w:szCs w:val="21"/>
              </w:rPr>
            </w:pPr>
            <w:r>
              <w:rPr>
                <w:color w:val="000000"/>
                <w:kern w:val="0"/>
                <w:szCs w:val="21"/>
              </w:rPr>
              <w:t>24.07</w:t>
            </w:r>
          </w:p>
        </w:tc>
      </w:tr>
      <w:tr w14:paraId="67F24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9" w:hRule="atLeast"/>
          <w:jc w:val="center"/>
        </w:trPr>
        <w:tc>
          <w:tcPr>
            <w:tcW w:w="427" w:type="dxa"/>
            <w:vMerge w:val="restart"/>
            <w:noWrap w:val="0"/>
            <w:vAlign w:val="center"/>
          </w:tcPr>
          <w:p w14:paraId="263A9D46">
            <w:pPr>
              <w:ind w:left="-63" w:leftChars="-30" w:right="-63" w:rightChars="-30"/>
              <w:jc w:val="center"/>
              <w:rPr>
                <w:color w:val="000000"/>
                <w:kern w:val="0"/>
                <w:szCs w:val="21"/>
              </w:rPr>
            </w:pPr>
            <w:r>
              <w:rPr>
                <w:color w:val="000000"/>
                <w:kern w:val="0"/>
                <w:szCs w:val="21"/>
              </w:rPr>
              <w:t>10</w:t>
            </w:r>
          </w:p>
        </w:tc>
        <w:tc>
          <w:tcPr>
            <w:tcW w:w="567" w:type="dxa"/>
            <w:vMerge w:val="restart"/>
            <w:noWrap w:val="0"/>
            <w:vAlign w:val="center"/>
          </w:tcPr>
          <w:p w14:paraId="47F7F11F">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桃园镇</w:t>
            </w:r>
          </w:p>
        </w:tc>
        <w:tc>
          <w:tcPr>
            <w:tcW w:w="567" w:type="dxa"/>
            <w:noWrap w:val="0"/>
            <w:vAlign w:val="center"/>
          </w:tcPr>
          <w:p w14:paraId="32299BCD">
            <w:pPr>
              <w:ind w:left="-63" w:leftChars="-30" w:right="-63" w:rightChars="-30"/>
              <w:jc w:val="center"/>
              <w:rPr>
                <w:color w:val="000000"/>
                <w:kern w:val="0"/>
                <w:szCs w:val="21"/>
              </w:rPr>
            </w:pPr>
            <w:r>
              <w:rPr>
                <w:color w:val="000000"/>
                <w:kern w:val="0"/>
                <w:szCs w:val="21"/>
              </w:rPr>
              <w:t>1</w:t>
            </w:r>
          </w:p>
        </w:tc>
        <w:tc>
          <w:tcPr>
            <w:tcW w:w="4252" w:type="dxa"/>
            <w:noWrap w:val="0"/>
            <w:vAlign w:val="center"/>
          </w:tcPr>
          <w:p w14:paraId="7184C603">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区域一：东至宿怀南路，南至农贸市场南侧道路，西至谷岭路，北至桃园大街、新园路</w:t>
            </w:r>
          </w:p>
          <w:p w14:paraId="4388E602">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区域二：东至振北路，南至加油站北侧道路，西至宿怀南路，北至北杨寨中心小学北侧道路</w:t>
            </w:r>
          </w:p>
        </w:tc>
        <w:tc>
          <w:tcPr>
            <w:tcW w:w="851" w:type="dxa"/>
            <w:noWrap w:val="0"/>
            <w:vAlign w:val="center"/>
          </w:tcPr>
          <w:p w14:paraId="3FE570D0">
            <w:pPr>
              <w:ind w:left="-63" w:leftChars="-30" w:right="-63" w:rightChars="-30"/>
              <w:jc w:val="center"/>
              <w:rPr>
                <w:color w:val="000000"/>
                <w:kern w:val="0"/>
                <w:szCs w:val="21"/>
              </w:rPr>
            </w:pPr>
            <w:r>
              <w:rPr>
                <w:color w:val="000000"/>
                <w:kern w:val="0"/>
                <w:szCs w:val="21"/>
              </w:rPr>
              <w:t>1</w:t>
            </w:r>
          </w:p>
        </w:tc>
        <w:tc>
          <w:tcPr>
            <w:tcW w:w="709" w:type="dxa"/>
            <w:noWrap w:val="0"/>
            <w:vAlign w:val="center"/>
          </w:tcPr>
          <w:p w14:paraId="084C0208">
            <w:pPr>
              <w:ind w:left="-63" w:leftChars="-30" w:right="-63" w:rightChars="-30"/>
              <w:jc w:val="center"/>
              <w:rPr>
                <w:color w:val="000000"/>
                <w:kern w:val="0"/>
                <w:szCs w:val="21"/>
              </w:rPr>
            </w:pPr>
            <w:r>
              <w:rPr>
                <w:color w:val="000000"/>
                <w:kern w:val="0"/>
                <w:szCs w:val="21"/>
              </w:rPr>
              <w:t>95</w:t>
            </w:r>
          </w:p>
        </w:tc>
        <w:tc>
          <w:tcPr>
            <w:tcW w:w="850" w:type="dxa"/>
            <w:noWrap w:val="0"/>
            <w:vAlign w:val="center"/>
          </w:tcPr>
          <w:p w14:paraId="66CFA2A8">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0D6D23D6">
            <w:pPr>
              <w:ind w:left="-63" w:leftChars="-30" w:right="-63" w:rightChars="-30"/>
              <w:jc w:val="center"/>
              <w:rPr>
                <w:color w:val="000000"/>
                <w:kern w:val="0"/>
                <w:szCs w:val="21"/>
              </w:rPr>
            </w:pPr>
            <w:r>
              <w:rPr>
                <w:color w:val="000000"/>
                <w:kern w:val="0"/>
                <w:szCs w:val="21"/>
              </w:rPr>
              <w:t>1</w:t>
            </w:r>
          </w:p>
        </w:tc>
        <w:tc>
          <w:tcPr>
            <w:tcW w:w="565" w:type="dxa"/>
            <w:noWrap w:val="0"/>
            <w:vAlign w:val="center"/>
          </w:tcPr>
          <w:p w14:paraId="035EFB62">
            <w:pPr>
              <w:ind w:left="-63" w:leftChars="-30" w:right="-63" w:rightChars="-30"/>
              <w:jc w:val="center"/>
              <w:rPr>
                <w:color w:val="000000"/>
                <w:kern w:val="0"/>
                <w:szCs w:val="21"/>
              </w:rPr>
            </w:pPr>
            <w:r>
              <w:rPr>
                <w:color w:val="000000"/>
                <w:kern w:val="0"/>
                <w:szCs w:val="21"/>
              </w:rPr>
              <w:t>28.22</w:t>
            </w:r>
          </w:p>
        </w:tc>
      </w:tr>
      <w:tr w14:paraId="3DAD9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9" w:hRule="atLeast"/>
          <w:jc w:val="center"/>
        </w:trPr>
        <w:tc>
          <w:tcPr>
            <w:tcW w:w="427" w:type="dxa"/>
            <w:vMerge w:val="continue"/>
            <w:noWrap w:val="0"/>
            <w:vAlign w:val="center"/>
          </w:tcPr>
          <w:p w14:paraId="5246D768">
            <w:pPr>
              <w:ind w:left="-63" w:leftChars="-30" w:right="-63" w:rightChars="-30"/>
              <w:rPr>
                <w:color w:val="000000"/>
                <w:kern w:val="0"/>
                <w:szCs w:val="21"/>
              </w:rPr>
            </w:pPr>
          </w:p>
        </w:tc>
        <w:tc>
          <w:tcPr>
            <w:tcW w:w="567" w:type="dxa"/>
            <w:vMerge w:val="continue"/>
            <w:noWrap w:val="0"/>
            <w:vAlign w:val="center"/>
          </w:tcPr>
          <w:p w14:paraId="1330793E">
            <w:pPr>
              <w:ind w:left="-63" w:leftChars="-30" w:right="-63" w:rightChars="-30"/>
              <w:rPr>
                <w:rFonts w:ascii="楷体_GB2312" w:hAnsi="宋体" w:eastAsia="楷体_GB2312" w:cs="宋体"/>
                <w:color w:val="000000"/>
                <w:kern w:val="0"/>
                <w:szCs w:val="21"/>
              </w:rPr>
            </w:pPr>
          </w:p>
        </w:tc>
        <w:tc>
          <w:tcPr>
            <w:tcW w:w="567" w:type="dxa"/>
            <w:noWrap w:val="0"/>
            <w:vAlign w:val="center"/>
          </w:tcPr>
          <w:p w14:paraId="63107C6A">
            <w:pPr>
              <w:ind w:left="-63" w:leftChars="-30" w:right="-63" w:rightChars="-30"/>
              <w:jc w:val="center"/>
              <w:rPr>
                <w:color w:val="000000"/>
                <w:kern w:val="0"/>
                <w:szCs w:val="21"/>
              </w:rPr>
            </w:pPr>
            <w:r>
              <w:rPr>
                <w:color w:val="000000"/>
                <w:kern w:val="0"/>
                <w:szCs w:val="21"/>
              </w:rPr>
              <w:t>2</w:t>
            </w:r>
          </w:p>
        </w:tc>
        <w:tc>
          <w:tcPr>
            <w:tcW w:w="4252" w:type="dxa"/>
            <w:noWrap w:val="0"/>
            <w:vAlign w:val="center"/>
          </w:tcPr>
          <w:p w14:paraId="76EDD302">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区域一：东至宿怀南路、定级边界，南至学前路，西至运西路，北至新园路</w:t>
            </w:r>
          </w:p>
          <w:p w14:paraId="4E91BDA3">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区域二：东至杨寨路，南至交通路，西至广场路，北至池湖路</w:t>
            </w:r>
          </w:p>
        </w:tc>
        <w:tc>
          <w:tcPr>
            <w:tcW w:w="851" w:type="dxa"/>
            <w:noWrap w:val="0"/>
            <w:vAlign w:val="center"/>
          </w:tcPr>
          <w:p w14:paraId="1187A632">
            <w:pPr>
              <w:ind w:left="-63" w:leftChars="-30" w:right="-63" w:rightChars="-30"/>
              <w:jc w:val="center"/>
              <w:rPr>
                <w:color w:val="000000"/>
                <w:kern w:val="0"/>
                <w:szCs w:val="21"/>
              </w:rPr>
            </w:pPr>
            <w:r>
              <w:rPr>
                <w:color w:val="000000"/>
                <w:kern w:val="0"/>
                <w:szCs w:val="21"/>
              </w:rPr>
              <w:t>0.95</w:t>
            </w:r>
          </w:p>
        </w:tc>
        <w:tc>
          <w:tcPr>
            <w:tcW w:w="709" w:type="dxa"/>
            <w:noWrap w:val="0"/>
            <w:vAlign w:val="center"/>
          </w:tcPr>
          <w:p w14:paraId="0403C6A0">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01659306">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79DE6FBF">
            <w:pPr>
              <w:ind w:left="-63" w:leftChars="-30" w:right="-63" w:rightChars="-30"/>
              <w:jc w:val="center"/>
              <w:rPr>
                <w:color w:val="000000"/>
                <w:kern w:val="0"/>
                <w:szCs w:val="21"/>
              </w:rPr>
            </w:pPr>
            <w:r>
              <w:rPr>
                <w:color w:val="000000"/>
                <w:kern w:val="0"/>
                <w:szCs w:val="21"/>
              </w:rPr>
              <w:t>2</w:t>
            </w:r>
          </w:p>
        </w:tc>
        <w:tc>
          <w:tcPr>
            <w:tcW w:w="565" w:type="dxa"/>
            <w:noWrap w:val="0"/>
            <w:vAlign w:val="center"/>
          </w:tcPr>
          <w:p w14:paraId="01C80683">
            <w:pPr>
              <w:ind w:left="-63" w:leftChars="-30" w:right="-63" w:rightChars="-30"/>
              <w:jc w:val="center"/>
              <w:rPr>
                <w:color w:val="000000"/>
                <w:kern w:val="0"/>
                <w:szCs w:val="21"/>
              </w:rPr>
            </w:pPr>
            <w:r>
              <w:rPr>
                <w:color w:val="000000"/>
                <w:kern w:val="0"/>
                <w:szCs w:val="21"/>
              </w:rPr>
              <w:t>25.4</w:t>
            </w:r>
          </w:p>
        </w:tc>
      </w:tr>
      <w:tr w14:paraId="1F8F3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142AD1F5">
            <w:pPr>
              <w:ind w:left="-63" w:leftChars="-30" w:right="-63" w:rightChars="-30"/>
              <w:rPr>
                <w:color w:val="000000"/>
                <w:kern w:val="0"/>
                <w:szCs w:val="21"/>
              </w:rPr>
            </w:pPr>
          </w:p>
        </w:tc>
        <w:tc>
          <w:tcPr>
            <w:tcW w:w="567" w:type="dxa"/>
            <w:vMerge w:val="continue"/>
            <w:noWrap w:val="0"/>
            <w:vAlign w:val="center"/>
          </w:tcPr>
          <w:p w14:paraId="276D2AC7">
            <w:pPr>
              <w:ind w:left="-63" w:leftChars="-30" w:right="-63" w:rightChars="-30"/>
              <w:rPr>
                <w:rFonts w:ascii="楷体_GB2312" w:hAnsi="宋体" w:eastAsia="楷体_GB2312" w:cs="宋体"/>
                <w:color w:val="000000"/>
                <w:kern w:val="0"/>
                <w:szCs w:val="21"/>
              </w:rPr>
            </w:pPr>
          </w:p>
        </w:tc>
        <w:tc>
          <w:tcPr>
            <w:tcW w:w="567" w:type="dxa"/>
            <w:noWrap w:val="0"/>
            <w:vAlign w:val="center"/>
          </w:tcPr>
          <w:p w14:paraId="4D24A91F">
            <w:pPr>
              <w:ind w:left="-63" w:leftChars="-30" w:right="-63" w:rightChars="-30"/>
              <w:jc w:val="center"/>
              <w:rPr>
                <w:color w:val="000000"/>
                <w:kern w:val="0"/>
                <w:szCs w:val="21"/>
              </w:rPr>
            </w:pPr>
            <w:r>
              <w:rPr>
                <w:color w:val="000000"/>
                <w:kern w:val="0"/>
                <w:szCs w:val="21"/>
              </w:rPr>
              <w:t>3</w:t>
            </w:r>
          </w:p>
        </w:tc>
        <w:tc>
          <w:tcPr>
            <w:tcW w:w="4252" w:type="dxa"/>
            <w:noWrap w:val="0"/>
            <w:vAlign w:val="center"/>
          </w:tcPr>
          <w:p w14:paraId="2952FAFB">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851" w:type="dxa"/>
            <w:noWrap w:val="0"/>
            <w:vAlign w:val="center"/>
          </w:tcPr>
          <w:p w14:paraId="70A103E5">
            <w:pPr>
              <w:ind w:left="-63" w:leftChars="-30" w:right="-63" w:rightChars="-30"/>
              <w:jc w:val="center"/>
              <w:rPr>
                <w:color w:val="000000"/>
                <w:kern w:val="0"/>
                <w:szCs w:val="21"/>
              </w:rPr>
            </w:pPr>
            <w:r>
              <w:rPr>
                <w:color w:val="000000"/>
                <w:kern w:val="0"/>
                <w:szCs w:val="21"/>
              </w:rPr>
              <w:t>0.9</w:t>
            </w:r>
          </w:p>
        </w:tc>
        <w:tc>
          <w:tcPr>
            <w:tcW w:w="709" w:type="dxa"/>
            <w:noWrap w:val="0"/>
            <w:vAlign w:val="center"/>
          </w:tcPr>
          <w:p w14:paraId="6D238E93">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47609681">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2AD91391">
            <w:pPr>
              <w:ind w:left="-63" w:leftChars="-30" w:right="-63" w:rightChars="-30"/>
              <w:jc w:val="center"/>
              <w:rPr>
                <w:color w:val="000000"/>
                <w:kern w:val="0"/>
                <w:szCs w:val="21"/>
              </w:rPr>
            </w:pPr>
            <w:r>
              <w:rPr>
                <w:color w:val="000000"/>
                <w:kern w:val="0"/>
                <w:szCs w:val="21"/>
              </w:rPr>
              <w:t>3</w:t>
            </w:r>
          </w:p>
        </w:tc>
        <w:tc>
          <w:tcPr>
            <w:tcW w:w="565" w:type="dxa"/>
            <w:noWrap w:val="0"/>
            <w:vAlign w:val="center"/>
          </w:tcPr>
          <w:p w14:paraId="067EA130">
            <w:pPr>
              <w:ind w:left="-63" w:leftChars="-30" w:right="-63" w:rightChars="-30"/>
              <w:jc w:val="center"/>
              <w:rPr>
                <w:color w:val="000000"/>
                <w:kern w:val="0"/>
                <w:szCs w:val="21"/>
              </w:rPr>
            </w:pPr>
            <w:r>
              <w:rPr>
                <w:color w:val="000000"/>
                <w:kern w:val="0"/>
                <w:szCs w:val="21"/>
              </w:rPr>
              <w:t>24.07</w:t>
            </w:r>
          </w:p>
        </w:tc>
      </w:tr>
      <w:tr w14:paraId="081BF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restart"/>
            <w:noWrap w:val="0"/>
            <w:vAlign w:val="center"/>
          </w:tcPr>
          <w:p w14:paraId="24ED22E7">
            <w:pPr>
              <w:ind w:left="-63" w:leftChars="-30" w:right="-63" w:rightChars="-30"/>
              <w:jc w:val="center"/>
              <w:rPr>
                <w:color w:val="000000"/>
                <w:kern w:val="0"/>
                <w:szCs w:val="21"/>
              </w:rPr>
            </w:pPr>
            <w:r>
              <w:rPr>
                <w:color w:val="000000"/>
                <w:kern w:val="0"/>
                <w:szCs w:val="21"/>
              </w:rPr>
              <w:t>11</w:t>
            </w:r>
          </w:p>
        </w:tc>
        <w:tc>
          <w:tcPr>
            <w:tcW w:w="567" w:type="dxa"/>
            <w:vMerge w:val="restart"/>
            <w:noWrap w:val="0"/>
            <w:vAlign w:val="center"/>
          </w:tcPr>
          <w:p w14:paraId="51BD352E">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曹村镇</w:t>
            </w:r>
          </w:p>
        </w:tc>
        <w:tc>
          <w:tcPr>
            <w:tcW w:w="567" w:type="dxa"/>
            <w:noWrap w:val="0"/>
            <w:vAlign w:val="center"/>
          </w:tcPr>
          <w:p w14:paraId="3BF5506A">
            <w:pPr>
              <w:ind w:left="-63" w:leftChars="-30" w:right="-63" w:rightChars="-30"/>
              <w:jc w:val="center"/>
              <w:rPr>
                <w:color w:val="000000"/>
                <w:kern w:val="0"/>
                <w:szCs w:val="21"/>
              </w:rPr>
            </w:pPr>
            <w:r>
              <w:rPr>
                <w:color w:val="000000"/>
                <w:kern w:val="0"/>
                <w:szCs w:val="21"/>
              </w:rPr>
              <w:t>1</w:t>
            </w:r>
          </w:p>
        </w:tc>
        <w:tc>
          <w:tcPr>
            <w:tcW w:w="4252" w:type="dxa"/>
            <w:noWrap w:val="0"/>
            <w:vAlign w:val="center"/>
          </w:tcPr>
          <w:p w14:paraId="60618C62">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东至曹村中心小学东侧道路、环东路，南至镇中一路，西至西环路，北至中学路</w:t>
            </w:r>
          </w:p>
        </w:tc>
        <w:tc>
          <w:tcPr>
            <w:tcW w:w="851" w:type="dxa"/>
            <w:noWrap w:val="0"/>
            <w:vAlign w:val="center"/>
          </w:tcPr>
          <w:p w14:paraId="4536C38E">
            <w:pPr>
              <w:ind w:left="-63" w:leftChars="-30" w:right="-63" w:rightChars="-30"/>
              <w:jc w:val="center"/>
              <w:rPr>
                <w:color w:val="000000"/>
                <w:kern w:val="0"/>
                <w:szCs w:val="21"/>
              </w:rPr>
            </w:pPr>
            <w:r>
              <w:rPr>
                <w:color w:val="000000"/>
                <w:kern w:val="0"/>
                <w:szCs w:val="21"/>
              </w:rPr>
              <w:t>1</w:t>
            </w:r>
          </w:p>
        </w:tc>
        <w:tc>
          <w:tcPr>
            <w:tcW w:w="709" w:type="dxa"/>
            <w:noWrap w:val="0"/>
            <w:vAlign w:val="center"/>
          </w:tcPr>
          <w:p w14:paraId="272BADC4">
            <w:pPr>
              <w:ind w:left="-63" w:leftChars="-30" w:right="-63" w:rightChars="-30"/>
              <w:jc w:val="center"/>
              <w:rPr>
                <w:color w:val="000000"/>
                <w:kern w:val="0"/>
                <w:szCs w:val="21"/>
              </w:rPr>
            </w:pPr>
            <w:r>
              <w:rPr>
                <w:color w:val="000000"/>
                <w:kern w:val="0"/>
                <w:szCs w:val="21"/>
              </w:rPr>
              <w:t>95</w:t>
            </w:r>
          </w:p>
        </w:tc>
        <w:tc>
          <w:tcPr>
            <w:tcW w:w="850" w:type="dxa"/>
            <w:noWrap w:val="0"/>
            <w:vAlign w:val="center"/>
          </w:tcPr>
          <w:p w14:paraId="4BF26CFE">
            <w:pPr>
              <w:ind w:left="-63" w:leftChars="-30" w:right="-63" w:rightChars="-30"/>
              <w:jc w:val="center"/>
              <w:rPr>
                <w:color w:val="000000"/>
                <w:kern w:val="0"/>
                <w:szCs w:val="21"/>
              </w:rPr>
            </w:pPr>
            <w:r>
              <w:rPr>
                <w:color w:val="000000"/>
                <w:kern w:val="0"/>
                <w:szCs w:val="21"/>
              </w:rPr>
              <w:t>0.3074</w:t>
            </w:r>
          </w:p>
        </w:tc>
        <w:tc>
          <w:tcPr>
            <w:tcW w:w="284" w:type="dxa"/>
            <w:noWrap w:val="0"/>
            <w:vAlign w:val="center"/>
          </w:tcPr>
          <w:p w14:paraId="6D9516CD">
            <w:pPr>
              <w:ind w:left="-63" w:leftChars="-30" w:right="-63" w:rightChars="-30"/>
              <w:jc w:val="center"/>
              <w:rPr>
                <w:color w:val="000000"/>
                <w:kern w:val="0"/>
                <w:szCs w:val="21"/>
              </w:rPr>
            </w:pPr>
            <w:r>
              <w:rPr>
                <w:color w:val="000000"/>
                <w:kern w:val="0"/>
                <w:szCs w:val="21"/>
              </w:rPr>
              <w:t>1</w:t>
            </w:r>
          </w:p>
        </w:tc>
        <w:tc>
          <w:tcPr>
            <w:tcW w:w="565" w:type="dxa"/>
            <w:noWrap w:val="0"/>
            <w:vAlign w:val="center"/>
          </w:tcPr>
          <w:p w14:paraId="75132CC7">
            <w:pPr>
              <w:ind w:left="-63" w:leftChars="-30" w:right="-63" w:rightChars="-30"/>
              <w:jc w:val="center"/>
              <w:rPr>
                <w:color w:val="000000"/>
                <w:kern w:val="0"/>
                <w:szCs w:val="21"/>
              </w:rPr>
            </w:pPr>
            <w:r>
              <w:rPr>
                <w:color w:val="000000"/>
                <w:kern w:val="0"/>
                <w:szCs w:val="21"/>
              </w:rPr>
              <w:t>29.2</w:t>
            </w:r>
          </w:p>
        </w:tc>
      </w:tr>
      <w:tr w14:paraId="508C2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1815826A">
            <w:pPr>
              <w:ind w:left="-63" w:leftChars="-30" w:right="-63" w:rightChars="-30"/>
              <w:rPr>
                <w:color w:val="000000"/>
                <w:kern w:val="0"/>
                <w:szCs w:val="21"/>
              </w:rPr>
            </w:pPr>
          </w:p>
        </w:tc>
        <w:tc>
          <w:tcPr>
            <w:tcW w:w="567" w:type="dxa"/>
            <w:vMerge w:val="continue"/>
            <w:noWrap w:val="0"/>
            <w:vAlign w:val="center"/>
          </w:tcPr>
          <w:p w14:paraId="70B8666E">
            <w:pPr>
              <w:ind w:left="-63" w:leftChars="-30" w:right="-63" w:rightChars="-30"/>
              <w:rPr>
                <w:rFonts w:ascii="楷体_GB2312" w:hAnsi="宋体" w:eastAsia="楷体_GB2312" w:cs="宋体"/>
                <w:color w:val="000000"/>
                <w:kern w:val="0"/>
                <w:szCs w:val="21"/>
              </w:rPr>
            </w:pPr>
          </w:p>
        </w:tc>
        <w:tc>
          <w:tcPr>
            <w:tcW w:w="567" w:type="dxa"/>
            <w:noWrap w:val="0"/>
            <w:vAlign w:val="center"/>
          </w:tcPr>
          <w:p w14:paraId="6A61B8A4">
            <w:pPr>
              <w:ind w:left="-63" w:leftChars="-30" w:right="-63" w:rightChars="-30"/>
              <w:jc w:val="center"/>
              <w:rPr>
                <w:color w:val="000000"/>
                <w:kern w:val="0"/>
                <w:szCs w:val="21"/>
              </w:rPr>
            </w:pPr>
            <w:r>
              <w:rPr>
                <w:color w:val="000000"/>
                <w:kern w:val="0"/>
                <w:szCs w:val="21"/>
              </w:rPr>
              <w:t>2</w:t>
            </w:r>
          </w:p>
        </w:tc>
        <w:tc>
          <w:tcPr>
            <w:tcW w:w="4252" w:type="dxa"/>
            <w:noWrap w:val="0"/>
            <w:vAlign w:val="center"/>
          </w:tcPr>
          <w:p w14:paraId="743B6E2F">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东至镇东路、环东路，南至环南路，西至京沪铁路，北至环北路</w:t>
            </w:r>
          </w:p>
        </w:tc>
        <w:tc>
          <w:tcPr>
            <w:tcW w:w="851" w:type="dxa"/>
            <w:noWrap w:val="0"/>
            <w:vAlign w:val="center"/>
          </w:tcPr>
          <w:p w14:paraId="3454F443">
            <w:pPr>
              <w:ind w:left="-63" w:leftChars="-30" w:right="-63" w:rightChars="-30"/>
              <w:jc w:val="center"/>
              <w:rPr>
                <w:color w:val="000000"/>
                <w:kern w:val="0"/>
                <w:szCs w:val="21"/>
              </w:rPr>
            </w:pPr>
            <w:r>
              <w:rPr>
                <w:color w:val="000000"/>
                <w:kern w:val="0"/>
                <w:szCs w:val="21"/>
              </w:rPr>
              <w:t>0.95</w:t>
            </w:r>
          </w:p>
        </w:tc>
        <w:tc>
          <w:tcPr>
            <w:tcW w:w="709" w:type="dxa"/>
            <w:noWrap w:val="0"/>
            <w:vAlign w:val="center"/>
          </w:tcPr>
          <w:p w14:paraId="6E72B89C">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2572A2E4">
            <w:pPr>
              <w:ind w:left="-63" w:leftChars="-30" w:right="-63" w:rightChars="-30"/>
              <w:jc w:val="center"/>
              <w:rPr>
                <w:color w:val="000000"/>
                <w:kern w:val="0"/>
                <w:szCs w:val="21"/>
              </w:rPr>
            </w:pPr>
            <w:r>
              <w:rPr>
                <w:color w:val="000000"/>
                <w:kern w:val="0"/>
                <w:szCs w:val="21"/>
              </w:rPr>
              <w:t>0.3074</w:t>
            </w:r>
          </w:p>
        </w:tc>
        <w:tc>
          <w:tcPr>
            <w:tcW w:w="284" w:type="dxa"/>
            <w:noWrap w:val="0"/>
            <w:vAlign w:val="center"/>
          </w:tcPr>
          <w:p w14:paraId="34EBA918">
            <w:pPr>
              <w:ind w:left="-63" w:leftChars="-30" w:right="-63" w:rightChars="-30"/>
              <w:jc w:val="center"/>
              <w:rPr>
                <w:color w:val="000000"/>
                <w:kern w:val="0"/>
                <w:szCs w:val="21"/>
              </w:rPr>
            </w:pPr>
            <w:r>
              <w:rPr>
                <w:color w:val="000000"/>
                <w:kern w:val="0"/>
                <w:szCs w:val="21"/>
              </w:rPr>
              <w:t>2</w:t>
            </w:r>
          </w:p>
        </w:tc>
        <w:tc>
          <w:tcPr>
            <w:tcW w:w="565" w:type="dxa"/>
            <w:noWrap w:val="0"/>
            <w:vAlign w:val="center"/>
          </w:tcPr>
          <w:p w14:paraId="0A9267F9">
            <w:pPr>
              <w:ind w:left="-63" w:leftChars="-30" w:right="-63" w:rightChars="-30"/>
              <w:jc w:val="center"/>
              <w:rPr>
                <w:color w:val="000000"/>
                <w:kern w:val="0"/>
                <w:szCs w:val="21"/>
              </w:rPr>
            </w:pPr>
            <w:r>
              <w:rPr>
                <w:color w:val="000000"/>
                <w:kern w:val="0"/>
                <w:szCs w:val="21"/>
              </w:rPr>
              <w:t>26.28</w:t>
            </w:r>
          </w:p>
        </w:tc>
      </w:tr>
      <w:tr w14:paraId="26D5F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6D1ADDB9">
            <w:pPr>
              <w:ind w:left="-63" w:leftChars="-30" w:right="-63" w:rightChars="-30"/>
              <w:rPr>
                <w:color w:val="000000"/>
                <w:kern w:val="0"/>
                <w:szCs w:val="21"/>
              </w:rPr>
            </w:pPr>
          </w:p>
        </w:tc>
        <w:tc>
          <w:tcPr>
            <w:tcW w:w="567" w:type="dxa"/>
            <w:vMerge w:val="continue"/>
            <w:noWrap w:val="0"/>
            <w:vAlign w:val="center"/>
          </w:tcPr>
          <w:p w14:paraId="32E78839">
            <w:pPr>
              <w:ind w:left="-63" w:leftChars="-30" w:right="-63" w:rightChars="-30"/>
              <w:rPr>
                <w:rFonts w:ascii="楷体_GB2312" w:hAnsi="宋体" w:eastAsia="楷体_GB2312" w:cs="宋体"/>
                <w:color w:val="000000"/>
                <w:kern w:val="0"/>
                <w:szCs w:val="21"/>
              </w:rPr>
            </w:pPr>
          </w:p>
        </w:tc>
        <w:tc>
          <w:tcPr>
            <w:tcW w:w="567" w:type="dxa"/>
            <w:noWrap w:val="0"/>
            <w:vAlign w:val="center"/>
          </w:tcPr>
          <w:p w14:paraId="6CD18B92">
            <w:pPr>
              <w:ind w:left="-63" w:leftChars="-30" w:right="-63" w:rightChars="-30"/>
              <w:jc w:val="center"/>
              <w:rPr>
                <w:color w:val="000000"/>
                <w:kern w:val="0"/>
                <w:szCs w:val="21"/>
              </w:rPr>
            </w:pPr>
            <w:r>
              <w:rPr>
                <w:color w:val="000000"/>
                <w:kern w:val="0"/>
                <w:szCs w:val="21"/>
              </w:rPr>
              <w:t>3</w:t>
            </w:r>
          </w:p>
        </w:tc>
        <w:tc>
          <w:tcPr>
            <w:tcW w:w="4252" w:type="dxa"/>
            <w:noWrap w:val="0"/>
            <w:vAlign w:val="center"/>
          </w:tcPr>
          <w:p w14:paraId="41FAF6F8">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851" w:type="dxa"/>
            <w:noWrap w:val="0"/>
            <w:vAlign w:val="center"/>
          </w:tcPr>
          <w:p w14:paraId="6F8D6790">
            <w:pPr>
              <w:ind w:left="-63" w:leftChars="-30" w:right="-63" w:rightChars="-30"/>
              <w:jc w:val="center"/>
              <w:rPr>
                <w:color w:val="000000"/>
                <w:kern w:val="0"/>
                <w:szCs w:val="21"/>
              </w:rPr>
            </w:pPr>
            <w:r>
              <w:rPr>
                <w:color w:val="000000"/>
                <w:kern w:val="0"/>
                <w:szCs w:val="21"/>
              </w:rPr>
              <w:t>0.9</w:t>
            </w:r>
          </w:p>
        </w:tc>
        <w:tc>
          <w:tcPr>
            <w:tcW w:w="709" w:type="dxa"/>
            <w:noWrap w:val="0"/>
            <w:vAlign w:val="center"/>
          </w:tcPr>
          <w:p w14:paraId="3D67A9DF">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542BEA1C">
            <w:pPr>
              <w:ind w:left="-63" w:leftChars="-30" w:right="-63" w:rightChars="-30"/>
              <w:jc w:val="center"/>
              <w:rPr>
                <w:color w:val="000000"/>
                <w:kern w:val="0"/>
                <w:szCs w:val="21"/>
              </w:rPr>
            </w:pPr>
            <w:r>
              <w:rPr>
                <w:color w:val="000000"/>
                <w:kern w:val="0"/>
                <w:szCs w:val="21"/>
              </w:rPr>
              <w:t>0.3074</w:t>
            </w:r>
          </w:p>
        </w:tc>
        <w:tc>
          <w:tcPr>
            <w:tcW w:w="284" w:type="dxa"/>
            <w:noWrap w:val="0"/>
            <w:vAlign w:val="center"/>
          </w:tcPr>
          <w:p w14:paraId="1321EBBF">
            <w:pPr>
              <w:ind w:left="-63" w:leftChars="-30" w:right="-63" w:rightChars="-30"/>
              <w:jc w:val="center"/>
              <w:rPr>
                <w:color w:val="000000"/>
                <w:kern w:val="0"/>
                <w:szCs w:val="21"/>
              </w:rPr>
            </w:pPr>
            <w:r>
              <w:rPr>
                <w:color w:val="000000"/>
                <w:kern w:val="0"/>
                <w:szCs w:val="21"/>
              </w:rPr>
              <w:t>3</w:t>
            </w:r>
          </w:p>
        </w:tc>
        <w:tc>
          <w:tcPr>
            <w:tcW w:w="565" w:type="dxa"/>
            <w:noWrap w:val="0"/>
            <w:vAlign w:val="center"/>
          </w:tcPr>
          <w:p w14:paraId="5CC9F64D">
            <w:pPr>
              <w:ind w:left="-63" w:leftChars="-30" w:right="-63" w:rightChars="-30"/>
              <w:jc w:val="center"/>
              <w:rPr>
                <w:color w:val="000000"/>
                <w:kern w:val="0"/>
                <w:szCs w:val="21"/>
              </w:rPr>
            </w:pPr>
            <w:r>
              <w:rPr>
                <w:color w:val="000000"/>
                <w:kern w:val="0"/>
                <w:szCs w:val="21"/>
              </w:rPr>
              <w:t>24.9</w:t>
            </w:r>
          </w:p>
        </w:tc>
      </w:tr>
      <w:tr w14:paraId="4B977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restart"/>
            <w:noWrap w:val="0"/>
            <w:vAlign w:val="center"/>
          </w:tcPr>
          <w:p w14:paraId="62FA7F1B">
            <w:pPr>
              <w:ind w:left="-63" w:leftChars="-30" w:right="-63" w:rightChars="-30"/>
              <w:jc w:val="center"/>
              <w:rPr>
                <w:color w:val="000000"/>
                <w:kern w:val="0"/>
                <w:szCs w:val="21"/>
              </w:rPr>
            </w:pPr>
            <w:r>
              <w:rPr>
                <w:color w:val="000000"/>
                <w:kern w:val="0"/>
                <w:szCs w:val="21"/>
              </w:rPr>
              <w:t>12</w:t>
            </w:r>
          </w:p>
        </w:tc>
        <w:tc>
          <w:tcPr>
            <w:tcW w:w="567" w:type="dxa"/>
            <w:vMerge w:val="restart"/>
            <w:noWrap w:val="0"/>
            <w:vAlign w:val="center"/>
          </w:tcPr>
          <w:p w14:paraId="4B7103FC">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大营镇</w:t>
            </w:r>
          </w:p>
        </w:tc>
        <w:tc>
          <w:tcPr>
            <w:tcW w:w="567" w:type="dxa"/>
            <w:noWrap w:val="0"/>
            <w:vAlign w:val="center"/>
          </w:tcPr>
          <w:p w14:paraId="371C775B">
            <w:pPr>
              <w:ind w:left="-63" w:leftChars="-30" w:right="-63" w:rightChars="-30"/>
              <w:jc w:val="center"/>
              <w:rPr>
                <w:color w:val="000000"/>
                <w:kern w:val="0"/>
                <w:szCs w:val="21"/>
              </w:rPr>
            </w:pPr>
            <w:r>
              <w:rPr>
                <w:color w:val="000000"/>
                <w:kern w:val="0"/>
                <w:szCs w:val="21"/>
              </w:rPr>
              <w:t>1</w:t>
            </w:r>
          </w:p>
        </w:tc>
        <w:tc>
          <w:tcPr>
            <w:tcW w:w="4252" w:type="dxa"/>
            <w:noWrap w:val="0"/>
            <w:vAlign w:val="center"/>
          </w:tcPr>
          <w:p w14:paraId="6C45EA87">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东至振兴路、解放路，南至兴国路，西至便民路、蕲大路，北至健康路、邓陈路</w:t>
            </w:r>
          </w:p>
        </w:tc>
        <w:tc>
          <w:tcPr>
            <w:tcW w:w="851" w:type="dxa"/>
            <w:noWrap w:val="0"/>
            <w:vAlign w:val="center"/>
          </w:tcPr>
          <w:p w14:paraId="0BB7FC12">
            <w:pPr>
              <w:ind w:left="-63" w:leftChars="-30" w:right="-63" w:rightChars="-30"/>
              <w:jc w:val="center"/>
              <w:rPr>
                <w:color w:val="000000"/>
                <w:kern w:val="0"/>
                <w:szCs w:val="21"/>
              </w:rPr>
            </w:pPr>
            <w:r>
              <w:rPr>
                <w:color w:val="000000"/>
                <w:kern w:val="0"/>
                <w:szCs w:val="21"/>
              </w:rPr>
              <w:t>1</w:t>
            </w:r>
          </w:p>
        </w:tc>
        <w:tc>
          <w:tcPr>
            <w:tcW w:w="709" w:type="dxa"/>
            <w:noWrap w:val="0"/>
            <w:vAlign w:val="center"/>
          </w:tcPr>
          <w:p w14:paraId="404A98C0">
            <w:pPr>
              <w:ind w:left="-63" w:leftChars="-30" w:right="-63" w:rightChars="-30"/>
              <w:jc w:val="center"/>
              <w:rPr>
                <w:color w:val="000000"/>
                <w:kern w:val="0"/>
                <w:szCs w:val="21"/>
              </w:rPr>
            </w:pPr>
            <w:r>
              <w:rPr>
                <w:color w:val="000000"/>
                <w:kern w:val="0"/>
                <w:szCs w:val="21"/>
              </w:rPr>
              <w:t>95</w:t>
            </w:r>
          </w:p>
        </w:tc>
        <w:tc>
          <w:tcPr>
            <w:tcW w:w="850" w:type="dxa"/>
            <w:noWrap w:val="0"/>
            <w:vAlign w:val="center"/>
          </w:tcPr>
          <w:p w14:paraId="57350330">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7FFFA22F">
            <w:pPr>
              <w:ind w:left="-63" w:leftChars="-30" w:right="-63" w:rightChars="-30"/>
              <w:jc w:val="center"/>
              <w:rPr>
                <w:color w:val="000000"/>
                <w:kern w:val="0"/>
                <w:szCs w:val="21"/>
              </w:rPr>
            </w:pPr>
            <w:r>
              <w:rPr>
                <w:color w:val="000000"/>
                <w:kern w:val="0"/>
                <w:szCs w:val="21"/>
              </w:rPr>
              <w:t>1</w:t>
            </w:r>
          </w:p>
        </w:tc>
        <w:tc>
          <w:tcPr>
            <w:tcW w:w="565" w:type="dxa"/>
            <w:noWrap w:val="0"/>
            <w:vAlign w:val="center"/>
          </w:tcPr>
          <w:p w14:paraId="6AB154D3">
            <w:pPr>
              <w:ind w:left="-63" w:leftChars="-30" w:right="-63" w:rightChars="-30"/>
              <w:jc w:val="center"/>
              <w:rPr>
                <w:color w:val="000000"/>
                <w:kern w:val="0"/>
                <w:szCs w:val="21"/>
              </w:rPr>
            </w:pPr>
            <w:r>
              <w:rPr>
                <w:color w:val="000000"/>
                <w:kern w:val="0"/>
                <w:szCs w:val="21"/>
              </w:rPr>
              <w:t>28.22</w:t>
            </w:r>
          </w:p>
        </w:tc>
      </w:tr>
      <w:tr w14:paraId="5904A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4D31CF8A">
            <w:pPr>
              <w:ind w:left="-63" w:leftChars="-30" w:right="-63" w:rightChars="-30"/>
              <w:rPr>
                <w:color w:val="000000"/>
                <w:kern w:val="0"/>
                <w:szCs w:val="21"/>
              </w:rPr>
            </w:pPr>
          </w:p>
        </w:tc>
        <w:tc>
          <w:tcPr>
            <w:tcW w:w="567" w:type="dxa"/>
            <w:vMerge w:val="continue"/>
            <w:noWrap w:val="0"/>
            <w:vAlign w:val="center"/>
          </w:tcPr>
          <w:p w14:paraId="2E29A320">
            <w:pPr>
              <w:ind w:left="-63" w:leftChars="-30" w:right="-63" w:rightChars="-30"/>
              <w:rPr>
                <w:rFonts w:ascii="楷体_GB2312" w:hAnsi="宋体" w:eastAsia="楷体_GB2312" w:cs="宋体"/>
                <w:color w:val="000000"/>
                <w:kern w:val="0"/>
                <w:szCs w:val="21"/>
              </w:rPr>
            </w:pPr>
          </w:p>
        </w:tc>
        <w:tc>
          <w:tcPr>
            <w:tcW w:w="567" w:type="dxa"/>
            <w:noWrap w:val="0"/>
            <w:vAlign w:val="center"/>
          </w:tcPr>
          <w:p w14:paraId="36C8469D">
            <w:pPr>
              <w:ind w:left="-63" w:leftChars="-30" w:right="-63" w:rightChars="-30"/>
              <w:jc w:val="center"/>
              <w:rPr>
                <w:color w:val="000000"/>
                <w:kern w:val="0"/>
                <w:szCs w:val="21"/>
              </w:rPr>
            </w:pPr>
            <w:r>
              <w:rPr>
                <w:color w:val="000000"/>
                <w:kern w:val="0"/>
                <w:szCs w:val="21"/>
              </w:rPr>
              <w:t>2</w:t>
            </w:r>
          </w:p>
        </w:tc>
        <w:tc>
          <w:tcPr>
            <w:tcW w:w="4252" w:type="dxa"/>
            <w:noWrap w:val="0"/>
            <w:vAlign w:val="center"/>
          </w:tcPr>
          <w:p w14:paraId="1B79D916">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东至兴大路、解放沟，南至</w:t>
            </w:r>
            <w:r>
              <w:rPr>
                <w:rFonts w:hint="eastAsia" w:ascii="宋体" w:hAnsi="宋体" w:cs="宋体"/>
                <w:color w:val="000000"/>
                <w:kern w:val="0"/>
                <w:szCs w:val="21"/>
              </w:rPr>
              <w:t>澥</w:t>
            </w:r>
            <w:r>
              <w:rPr>
                <w:rFonts w:hint="eastAsia" w:ascii="楷体_GB2312" w:hAnsi="宋体" w:eastAsia="楷体_GB2312" w:cs="宋体"/>
                <w:color w:val="000000"/>
                <w:kern w:val="0"/>
                <w:szCs w:val="21"/>
              </w:rPr>
              <w:t>河路、民安路，西至蕲大路、银兴河路，北至邓陈路、沿江路</w:t>
            </w:r>
          </w:p>
        </w:tc>
        <w:tc>
          <w:tcPr>
            <w:tcW w:w="851" w:type="dxa"/>
            <w:noWrap w:val="0"/>
            <w:vAlign w:val="center"/>
          </w:tcPr>
          <w:p w14:paraId="605B0006">
            <w:pPr>
              <w:ind w:left="-63" w:leftChars="-30" w:right="-63" w:rightChars="-30"/>
              <w:jc w:val="center"/>
              <w:rPr>
                <w:color w:val="000000"/>
                <w:kern w:val="0"/>
                <w:szCs w:val="21"/>
              </w:rPr>
            </w:pPr>
            <w:r>
              <w:rPr>
                <w:color w:val="000000"/>
                <w:kern w:val="0"/>
                <w:szCs w:val="21"/>
              </w:rPr>
              <w:t>0.95</w:t>
            </w:r>
          </w:p>
        </w:tc>
        <w:tc>
          <w:tcPr>
            <w:tcW w:w="709" w:type="dxa"/>
            <w:noWrap w:val="0"/>
            <w:vAlign w:val="center"/>
          </w:tcPr>
          <w:p w14:paraId="0E38027D">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4831DE3D">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364F42EE">
            <w:pPr>
              <w:ind w:left="-63" w:leftChars="-30" w:right="-63" w:rightChars="-30"/>
              <w:jc w:val="center"/>
              <w:rPr>
                <w:color w:val="000000"/>
                <w:kern w:val="0"/>
                <w:szCs w:val="21"/>
              </w:rPr>
            </w:pPr>
            <w:r>
              <w:rPr>
                <w:color w:val="000000"/>
                <w:kern w:val="0"/>
                <w:szCs w:val="21"/>
              </w:rPr>
              <w:t>2</w:t>
            </w:r>
          </w:p>
        </w:tc>
        <w:tc>
          <w:tcPr>
            <w:tcW w:w="565" w:type="dxa"/>
            <w:noWrap w:val="0"/>
            <w:vAlign w:val="center"/>
          </w:tcPr>
          <w:p w14:paraId="5BFADE9B">
            <w:pPr>
              <w:ind w:left="-63" w:leftChars="-30" w:right="-63" w:rightChars="-30"/>
              <w:jc w:val="center"/>
              <w:rPr>
                <w:color w:val="000000"/>
                <w:kern w:val="0"/>
                <w:szCs w:val="21"/>
              </w:rPr>
            </w:pPr>
            <w:r>
              <w:rPr>
                <w:color w:val="000000"/>
                <w:kern w:val="0"/>
                <w:szCs w:val="21"/>
              </w:rPr>
              <w:t>25.4</w:t>
            </w:r>
          </w:p>
        </w:tc>
      </w:tr>
      <w:tr w14:paraId="4793E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76672053">
            <w:pPr>
              <w:ind w:left="-63" w:leftChars="-30" w:right="-63" w:rightChars="-30"/>
              <w:rPr>
                <w:color w:val="000000"/>
                <w:kern w:val="0"/>
                <w:szCs w:val="21"/>
              </w:rPr>
            </w:pPr>
          </w:p>
        </w:tc>
        <w:tc>
          <w:tcPr>
            <w:tcW w:w="567" w:type="dxa"/>
            <w:vMerge w:val="continue"/>
            <w:noWrap w:val="0"/>
            <w:vAlign w:val="center"/>
          </w:tcPr>
          <w:p w14:paraId="1F003975">
            <w:pPr>
              <w:ind w:left="-63" w:leftChars="-30" w:right="-63" w:rightChars="-30"/>
              <w:rPr>
                <w:rFonts w:ascii="楷体_GB2312" w:hAnsi="宋体" w:eastAsia="楷体_GB2312" w:cs="宋体"/>
                <w:color w:val="000000"/>
                <w:kern w:val="0"/>
                <w:szCs w:val="21"/>
              </w:rPr>
            </w:pPr>
          </w:p>
        </w:tc>
        <w:tc>
          <w:tcPr>
            <w:tcW w:w="567" w:type="dxa"/>
            <w:noWrap w:val="0"/>
            <w:vAlign w:val="center"/>
          </w:tcPr>
          <w:p w14:paraId="3D65BA89">
            <w:pPr>
              <w:ind w:left="-63" w:leftChars="-30" w:right="-63" w:rightChars="-30"/>
              <w:jc w:val="center"/>
              <w:rPr>
                <w:color w:val="000000"/>
                <w:kern w:val="0"/>
                <w:szCs w:val="21"/>
              </w:rPr>
            </w:pPr>
            <w:r>
              <w:rPr>
                <w:color w:val="000000"/>
                <w:kern w:val="0"/>
                <w:szCs w:val="21"/>
              </w:rPr>
              <w:t>3</w:t>
            </w:r>
          </w:p>
        </w:tc>
        <w:tc>
          <w:tcPr>
            <w:tcW w:w="4252" w:type="dxa"/>
            <w:noWrap w:val="0"/>
            <w:vAlign w:val="center"/>
          </w:tcPr>
          <w:p w14:paraId="01DC9F44">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851" w:type="dxa"/>
            <w:noWrap w:val="0"/>
            <w:vAlign w:val="center"/>
          </w:tcPr>
          <w:p w14:paraId="092AB235">
            <w:pPr>
              <w:ind w:left="-63" w:leftChars="-30" w:right="-63" w:rightChars="-30"/>
              <w:jc w:val="center"/>
              <w:rPr>
                <w:color w:val="000000"/>
                <w:kern w:val="0"/>
                <w:szCs w:val="21"/>
              </w:rPr>
            </w:pPr>
            <w:r>
              <w:rPr>
                <w:color w:val="000000"/>
                <w:kern w:val="0"/>
                <w:szCs w:val="21"/>
              </w:rPr>
              <w:t>0.9</w:t>
            </w:r>
          </w:p>
        </w:tc>
        <w:tc>
          <w:tcPr>
            <w:tcW w:w="709" w:type="dxa"/>
            <w:noWrap w:val="0"/>
            <w:vAlign w:val="center"/>
          </w:tcPr>
          <w:p w14:paraId="57B3DA57">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7F993D94">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0D62E220">
            <w:pPr>
              <w:ind w:left="-63" w:leftChars="-30" w:right="-63" w:rightChars="-30"/>
              <w:jc w:val="center"/>
              <w:rPr>
                <w:color w:val="000000"/>
                <w:kern w:val="0"/>
                <w:szCs w:val="21"/>
              </w:rPr>
            </w:pPr>
            <w:r>
              <w:rPr>
                <w:color w:val="000000"/>
                <w:kern w:val="0"/>
                <w:szCs w:val="21"/>
              </w:rPr>
              <w:t>3</w:t>
            </w:r>
          </w:p>
        </w:tc>
        <w:tc>
          <w:tcPr>
            <w:tcW w:w="565" w:type="dxa"/>
            <w:noWrap w:val="0"/>
            <w:vAlign w:val="center"/>
          </w:tcPr>
          <w:p w14:paraId="2ACED4E5">
            <w:pPr>
              <w:ind w:left="-63" w:leftChars="-30" w:right="-63" w:rightChars="-30"/>
              <w:jc w:val="center"/>
              <w:rPr>
                <w:color w:val="000000"/>
                <w:kern w:val="0"/>
                <w:szCs w:val="21"/>
              </w:rPr>
            </w:pPr>
            <w:r>
              <w:rPr>
                <w:color w:val="000000"/>
                <w:kern w:val="0"/>
                <w:szCs w:val="21"/>
              </w:rPr>
              <w:t>24.07</w:t>
            </w:r>
          </w:p>
        </w:tc>
      </w:tr>
      <w:tr w14:paraId="3890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restart"/>
            <w:noWrap w:val="0"/>
            <w:vAlign w:val="center"/>
          </w:tcPr>
          <w:p w14:paraId="18A28350">
            <w:pPr>
              <w:ind w:left="-63" w:leftChars="-30" w:right="-63" w:rightChars="-30"/>
              <w:jc w:val="center"/>
              <w:rPr>
                <w:color w:val="000000"/>
                <w:kern w:val="0"/>
                <w:szCs w:val="21"/>
              </w:rPr>
            </w:pPr>
            <w:r>
              <w:rPr>
                <w:color w:val="000000"/>
                <w:kern w:val="0"/>
                <w:szCs w:val="21"/>
              </w:rPr>
              <w:t>13</w:t>
            </w:r>
          </w:p>
        </w:tc>
        <w:tc>
          <w:tcPr>
            <w:tcW w:w="567" w:type="dxa"/>
            <w:vMerge w:val="restart"/>
            <w:noWrap w:val="0"/>
            <w:vAlign w:val="center"/>
          </w:tcPr>
          <w:p w14:paraId="1E9B8B28">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褚兰镇</w:t>
            </w:r>
          </w:p>
        </w:tc>
        <w:tc>
          <w:tcPr>
            <w:tcW w:w="567" w:type="dxa"/>
            <w:noWrap w:val="0"/>
            <w:vAlign w:val="center"/>
          </w:tcPr>
          <w:p w14:paraId="606D8D3F">
            <w:pPr>
              <w:ind w:left="-63" w:leftChars="-30" w:right="-63" w:rightChars="-30"/>
              <w:jc w:val="center"/>
              <w:rPr>
                <w:color w:val="000000"/>
                <w:kern w:val="0"/>
                <w:szCs w:val="21"/>
              </w:rPr>
            </w:pPr>
            <w:r>
              <w:rPr>
                <w:color w:val="000000"/>
                <w:kern w:val="0"/>
                <w:szCs w:val="21"/>
              </w:rPr>
              <w:t>1</w:t>
            </w:r>
          </w:p>
        </w:tc>
        <w:tc>
          <w:tcPr>
            <w:tcW w:w="4252" w:type="dxa"/>
            <w:noWrap w:val="0"/>
            <w:vAlign w:val="center"/>
          </w:tcPr>
          <w:p w14:paraId="06929024">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东至和悦路，南至政府大街，西至畅购路，北至二徐路</w:t>
            </w:r>
          </w:p>
        </w:tc>
        <w:tc>
          <w:tcPr>
            <w:tcW w:w="851" w:type="dxa"/>
            <w:noWrap w:val="0"/>
            <w:vAlign w:val="center"/>
          </w:tcPr>
          <w:p w14:paraId="27A84206">
            <w:pPr>
              <w:ind w:left="-63" w:leftChars="-30" w:right="-63" w:rightChars="-30"/>
              <w:jc w:val="center"/>
              <w:rPr>
                <w:color w:val="000000"/>
                <w:kern w:val="0"/>
                <w:szCs w:val="21"/>
              </w:rPr>
            </w:pPr>
            <w:r>
              <w:rPr>
                <w:color w:val="000000"/>
                <w:kern w:val="0"/>
                <w:szCs w:val="21"/>
              </w:rPr>
              <w:t>1</w:t>
            </w:r>
          </w:p>
        </w:tc>
        <w:tc>
          <w:tcPr>
            <w:tcW w:w="709" w:type="dxa"/>
            <w:noWrap w:val="0"/>
            <w:vAlign w:val="center"/>
          </w:tcPr>
          <w:p w14:paraId="2CF7545F">
            <w:pPr>
              <w:ind w:left="-63" w:leftChars="-30" w:right="-63" w:rightChars="-30"/>
              <w:jc w:val="center"/>
              <w:rPr>
                <w:color w:val="000000"/>
                <w:kern w:val="0"/>
                <w:szCs w:val="21"/>
              </w:rPr>
            </w:pPr>
            <w:r>
              <w:rPr>
                <w:color w:val="000000"/>
                <w:kern w:val="0"/>
                <w:szCs w:val="21"/>
              </w:rPr>
              <w:t>95</w:t>
            </w:r>
          </w:p>
        </w:tc>
        <w:tc>
          <w:tcPr>
            <w:tcW w:w="850" w:type="dxa"/>
            <w:noWrap w:val="0"/>
            <w:vAlign w:val="center"/>
          </w:tcPr>
          <w:p w14:paraId="22C697B1">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0C0196F6">
            <w:pPr>
              <w:ind w:left="-63" w:leftChars="-30" w:right="-63" w:rightChars="-30"/>
              <w:jc w:val="center"/>
              <w:rPr>
                <w:color w:val="000000"/>
                <w:kern w:val="0"/>
                <w:szCs w:val="21"/>
              </w:rPr>
            </w:pPr>
            <w:r>
              <w:rPr>
                <w:color w:val="000000"/>
                <w:kern w:val="0"/>
                <w:szCs w:val="21"/>
              </w:rPr>
              <w:t>1</w:t>
            </w:r>
          </w:p>
        </w:tc>
        <w:tc>
          <w:tcPr>
            <w:tcW w:w="565" w:type="dxa"/>
            <w:noWrap w:val="0"/>
            <w:vAlign w:val="center"/>
          </w:tcPr>
          <w:p w14:paraId="6B4F9890">
            <w:pPr>
              <w:ind w:left="-63" w:leftChars="-30" w:right="-63" w:rightChars="-30"/>
              <w:jc w:val="center"/>
              <w:rPr>
                <w:color w:val="000000"/>
                <w:kern w:val="0"/>
                <w:szCs w:val="21"/>
              </w:rPr>
            </w:pPr>
            <w:r>
              <w:rPr>
                <w:color w:val="000000"/>
                <w:kern w:val="0"/>
                <w:szCs w:val="21"/>
              </w:rPr>
              <w:t>28.22</w:t>
            </w:r>
          </w:p>
        </w:tc>
      </w:tr>
      <w:tr w14:paraId="5FCC8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039B6727">
            <w:pPr>
              <w:ind w:left="-63" w:leftChars="-30" w:right="-63" w:rightChars="-30"/>
              <w:rPr>
                <w:color w:val="000000"/>
                <w:kern w:val="0"/>
                <w:szCs w:val="21"/>
              </w:rPr>
            </w:pPr>
          </w:p>
        </w:tc>
        <w:tc>
          <w:tcPr>
            <w:tcW w:w="567" w:type="dxa"/>
            <w:vMerge w:val="continue"/>
            <w:noWrap w:val="0"/>
            <w:vAlign w:val="center"/>
          </w:tcPr>
          <w:p w14:paraId="349C060F">
            <w:pPr>
              <w:ind w:left="-63" w:leftChars="-30" w:right="-63" w:rightChars="-30"/>
              <w:rPr>
                <w:rFonts w:ascii="楷体_GB2312" w:hAnsi="宋体" w:eastAsia="楷体_GB2312" w:cs="宋体"/>
                <w:color w:val="000000"/>
                <w:kern w:val="0"/>
                <w:szCs w:val="21"/>
              </w:rPr>
            </w:pPr>
          </w:p>
        </w:tc>
        <w:tc>
          <w:tcPr>
            <w:tcW w:w="567" w:type="dxa"/>
            <w:noWrap w:val="0"/>
            <w:vAlign w:val="center"/>
          </w:tcPr>
          <w:p w14:paraId="53C75F1C">
            <w:pPr>
              <w:ind w:left="-63" w:leftChars="-30" w:right="-63" w:rightChars="-30"/>
              <w:jc w:val="center"/>
              <w:rPr>
                <w:color w:val="000000"/>
                <w:kern w:val="0"/>
                <w:szCs w:val="21"/>
              </w:rPr>
            </w:pPr>
            <w:r>
              <w:rPr>
                <w:color w:val="000000"/>
                <w:kern w:val="0"/>
                <w:szCs w:val="21"/>
              </w:rPr>
              <w:t>2</w:t>
            </w:r>
          </w:p>
        </w:tc>
        <w:tc>
          <w:tcPr>
            <w:tcW w:w="4252" w:type="dxa"/>
            <w:noWrap w:val="0"/>
            <w:vAlign w:val="center"/>
          </w:tcPr>
          <w:p w14:paraId="4C6A0361">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东至康安路，南至腾飞路、定级边界，西至滨水路，北至褚岗路</w:t>
            </w:r>
          </w:p>
        </w:tc>
        <w:tc>
          <w:tcPr>
            <w:tcW w:w="851" w:type="dxa"/>
            <w:noWrap w:val="0"/>
            <w:vAlign w:val="center"/>
          </w:tcPr>
          <w:p w14:paraId="1104AC4B">
            <w:pPr>
              <w:ind w:left="-63" w:leftChars="-30" w:right="-63" w:rightChars="-30"/>
              <w:jc w:val="center"/>
              <w:rPr>
                <w:color w:val="000000"/>
                <w:kern w:val="0"/>
                <w:szCs w:val="21"/>
              </w:rPr>
            </w:pPr>
            <w:r>
              <w:rPr>
                <w:color w:val="000000"/>
                <w:kern w:val="0"/>
                <w:szCs w:val="21"/>
              </w:rPr>
              <w:t>0.95</w:t>
            </w:r>
          </w:p>
        </w:tc>
        <w:tc>
          <w:tcPr>
            <w:tcW w:w="709" w:type="dxa"/>
            <w:noWrap w:val="0"/>
            <w:vAlign w:val="center"/>
          </w:tcPr>
          <w:p w14:paraId="6B873422">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5F3BF372">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59FE397B">
            <w:pPr>
              <w:ind w:left="-63" w:leftChars="-30" w:right="-63" w:rightChars="-30"/>
              <w:jc w:val="center"/>
              <w:rPr>
                <w:color w:val="000000"/>
                <w:kern w:val="0"/>
                <w:szCs w:val="21"/>
              </w:rPr>
            </w:pPr>
            <w:r>
              <w:rPr>
                <w:color w:val="000000"/>
                <w:kern w:val="0"/>
                <w:szCs w:val="21"/>
              </w:rPr>
              <w:t>2</w:t>
            </w:r>
          </w:p>
        </w:tc>
        <w:tc>
          <w:tcPr>
            <w:tcW w:w="565" w:type="dxa"/>
            <w:noWrap w:val="0"/>
            <w:vAlign w:val="center"/>
          </w:tcPr>
          <w:p w14:paraId="1CDB12B1">
            <w:pPr>
              <w:ind w:left="-63" w:leftChars="-30" w:right="-63" w:rightChars="-30"/>
              <w:jc w:val="center"/>
              <w:rPr>
                <w:color w:val="000000"/>
                <w:kern w:val="0"/>
                <w:szCs w:val="21"/>
              </w:rPr>
            </w:pPr>
            <w:r>
              <w:rPr>
                <w:color w:val="000000"/>
                <w:kern w:val="0"/>
                <w:szCs w:val="21"/>
              </w:rPr>
              <w:t>25.4</w:t>
            </w:r>
          </w:p>
        </w:tc>
      </w:tr>
      <w:tr w14:paraId="47460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121280F5">
            <w:pPr>
              <w:ind w:left="-63" w:leftChars="-30" w:right="-63" w:rightChars="-30"/>
              <w:rPr>
                <w:color w:val="000000"/>
                <w:kern w:val="0"/>
                <w:szCs w:val="21"/>
              </w:rPr>
            </w:pPr>
          </w:p>
        </w:tc>
        <w:tc>
          <w:tcPr>
            <w:tcW w:w="567" w:type="dxa"/>
            <w:vMerge w:val="continue"/>
            <w:noWrap w:val="0"/>
            <w:vAlign w:val="center"/>
          </w:tcPr>
          <w:p w14:paraId="4473361F">
            <w:pPr>
              <w:ind w:left="-63" w:leftChars="-30" w:right="-63" w:rightChars="-30"/>
              <w:rPr>
                <w:rFonts w:ascii="楷体_GB2312" w:hAnsi="宋体" w:eastAsia="楷体_GB2312" w:cs="宋体"/>
                <w:color w:val="000000"/>
                <w:kern w:val="0"/>
                <w:szCs w:val="21"/>
              </w:rPr>
            </w:pPr>
          </w:p>
        </w:tc>
        <w:tc>
          <w:tcPr>
            <w:tcW w:w="567" w:type="dxa"/>
            <w:noWrap w:val="0"/>
            <w:vAlign w:val="center"/>
          </w:tcPr>
          <w:p w14:paraId="7638F7F9">
            <w:pPr>
              <w:ind w:left="-63" w:leftChars="-30" w:right="-63" w:rightChars="-30"/>
              <w:jc w:val="center"/>
              <w:rPr>
                <w:color w:val="000000"/>
                <w:kern w:val="0"/>
                <w:szCs w:val="21"/>
              </w:rPr>
            </w:pPr>
            <w:r>
              <w:rPr>
                <w:color w:val="000000"/>
                <w:kern w:val="0"/>
                <w:szCs w:val="21"/>
              </w:rPr>
              <w:t>3</w:t>
            </w:r>
          </w:p>
        </w:tc>
        <w:tc>
          <w:tcPr>
            <w:tcW w:w="4252" w:type="dxa"/>
            <w:noWrap w:val="0"/>
            <w:vAlign w:val="center"/>
          </w:tcPr>
          <w:p w14:paraId="4AB7BCC9">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851" w:type="dxa"/>
            <w:noWrap w:val="0"/>
            <w:vAlign w:val="center"/>
          </w:tcPr>
          <w:p w14:paraId="59F20CD5">
            <w:pPr>
              <w:ind w:left="-63" w:leftChars="-30" w:right="-63" w:rightChars="-30"/>
              <w:jc w:val="center"/>
              <w:rPr>
                <w:color w:val="000000"/>
                <w:kern w:val="0"/>
                <w:szCs w:val="21"/>
              </w:rPr>
            </w:pPr>
            <w:r>
              <w:rPr>
                <w:color w:val="000000"/>
                <w:kern w:val="0"/>
                <w:szCs w:val="21"/>
              </w:rPr>
              <w:t>0.9</w:t>
            </w:r>
          </w:p>
        </w:tc>
        <w:tc>
          <w:tcPr>
            <w:tcW w:w="709" w:type="dxa"/>
            <w:noWrap w:val="0"/>
            <w:vAlign w:val="center"/>
          </w:tcPr>
          <w:p w14:paraId="6150FB68">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6781541E">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673B1F21">
            <w:pPr>
              <w:ind w:left="-63" w:leftChars="-30" w:right="-63" w:rightChars="-30"/>
              <w:jc w:val="center"/>
              <w:rPr>
                <w:color w:val="000000"/>
                <w:kern w:val="0"/>
                <w:szCs w:val="21"/>
              </w:rPr>
            </w:pPr>
            <w:r>
              <w:rPr>
                <w:color w:val="000000"/>
                <w:kern w:val="0"/>
                <w:szCs w:val="21"/>
              </w:rPr>
              <w:t>3</w:t>
            </w:r>
          </w:p>
        </w:tc>
        <w:tc>
          <w:tcPr>
            <w:tcW w:w="565" w:type="dxa"/>
            <w:noWrap w:val="0"/>
            <w:vAlign w:val="center"/>
          </w:tcPr>
          <w:p w14:paraId="4E4E920E">
            <w:pPr>
              <w:ind w:left="-63" w:leftChars="-30" w:right="-63" w:rightChars="-30"/>
              <w:jc w:val="center"/>
              <w:rPr>
                <w:color w:val="000000"/>
                <w:kern w:val="0"/>
                <w:szCs w:val="21"/>
              </w:rPr>
            </w:pPr>
            <w:r>
              <w:rPr>
                <w:color w:val="000000"/>
                <w:kern w:val="0"/>
                <w:szCs w:val="21"/>
              </w:rPr>
              <w:t>24.07</w:t>
            </w:r>
          </w:p>
        </w:tc>
      </w:tr>
      <w:tr w14:paraId="0C9CD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restart"/>
            <w:noWrap w:val="0"/>
            <w:vAlign w:val="center"/>
          </w:tcPr>
          <w:p w14:paraId="5E8C21DB">
            <w:pPr>
              <w:ind w:left="-63" w:leftChars="-30" w:right="-63" w:rightChars="-30"/>
              <w:jc w:val="center"/>
              <w:rPr>
                <w:color w:val="000000"/>
                <w:kern w:val="0"/>
                <w:szCs w:val="21"/>
              </w:rPr>
            </w:pPr>
            <w:r>
              <w:rPr>
                <w:color w:val="000000"/>
                <w:kern w:val="0"/>
                <w:szCs w:val="21"/>
              </w:rPr>
              <w:t>14</w:t>
            </w:r>
          </w:p>
        </w:tc>
        <w:tc>
          <w:tcPr>
            <w:tcW w:w="567" w:type="dxa"/>
            <w:vMerge w:val="restart"/>
            <w:noWrap w:val="0"/>
            <w:vAlign w:val="center"/>
          </w:tcPr>
          <w:p w14:paraId="264A98E0">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顺河镇</w:t>
            </w:r>
          </w:p>
        </w:tc>
        <w:tc>
          <w:tcPr>
            <w:tcW w:w="567" w:type="dxa"/>
            <w:noWrap w:val="0"/>
            <w:vAlign w:val="center"/>
          </w:tcPr>
          <w:p w14:paraId="7B65C678">
            <w:pPr>
              <w:ind w:left="-63" w:leftChars="-30" w:right="-63" w:rightChars="-30"/>
              <w:jc w:val="center"/>
              <w:rPr>
                <w:color w:val="000000"/>
                <w:kern w:val="0"/>
                <w:szCs w:val="21"/>
              </w:rPr>
            </w:pPr>
            <w:r>
              <w:rPr>
                <w:color w:val="000000"/>
                <w:kern w:val="0"/>
                <w:szCs w:val="21"/>
              </w:rPr>
              <w:t>1</w:t>
            </w:r>
          </w:p>
        </w:tc>
        <w:tc>
          <w:tcPr>
            <w:tcW w:w="4252" w:type="dxa"/>
            <w:noWrap w:val="0"/>
            <w:vAlign w:val="center"/>
          </w:tcPr>
          <w:p w14:paraId="33D09E93">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东至诚信路，南至平安路，西至民主路，北至</w:t>
            </w:r>
            <w:r>
              <w:rPr>
                <w:rFonts w:eastAsia="楷体_GB2312"/>
                <w:color w:val="000000"/>
                <w:kern w:val="0"/>
                <w:szCs w:val="21"/>
              </w:rPr>
              <w:t>302</w:t>
            </w:r>
            <w:r>
              <w:rPr>
                <w:rFonts w:hint="eastAsia" w:ascii="楷体_GB2312" w:hAnsi="宋体" w:eastAsia="楷体_GB2312" w:cs="宋体"/>
                <w:color w:val="000000"/>
                <w:kern w:val="0"/>
                <w:szCs w:val="21"/>
              </w:rPr>
              <w:t>省道</w:t>
            </w:r>
          </w:p>
        </w:tc>
        <w:tc>
          <w:tcPr>
            <w:tcW w:w="851" w:type="dxa"/>
            <w:noWrap w:val="0"/>
            <w:vAlign w:val="center"/>
          </w:tcPr>
          <w:p w14:paraId="2B335F23">
            <w:pPr>
              <w:ind w:left="-63" w:leftChars="-30" w:right="-63" w:rightChars="-30"/>
              <w:jc w:val="center"/>
              <w:rPr>
                <w:color w:val="000000"/>
                <w:kern w:val="0"/>
                <w:szCs w:val="21"/>
              </w:rPr>
            </w:pPr>
            <w:r>
              <w:rPr>
                <w:color w:val="000000"/>
                <w:kern w:val="0"/>
                <w:szCs w:val="21"/>
              </w:rPr>
              <w:t>1</w:t>
            </w:r>
          </w:p>
        </w:tc>
        <w:tc>
          <w:tcPr>
            <w:tcW w:w="709" w:type="dxa"/>
            <w:noWrap w:val="0"/>
            <w:vAlign w:val="center"/>
          </w:tcPr>
          <w:p w14:paraId="6BB31CDD">
            <w:pPr>
              <w:ind w:left="-63" w:leftChars="-30" w:right="-63" w:rightChars="-30"/>
              <w:jc w:val="center"/>
              <w:rPr>
                <w:color w:val="000000"/>
                <w:kern w:val="0"/>
                <w:szCs w:val="21"/>
              </w:rPr>
            </w:pPr>
            <w:r>
              <w:rPr>
                <w:color w:val="000000"/>
                <w:kern w:val="0"/>
                <w:szCs w:val="21"/>
              </w:rPr>
              <w:t>95</w:t>
            </w:r>
          </w:p>
        </w:tc>
        <w:tc>
          <w:tcPr>
            <w:tcW w:w="850" w:type="dxa"/>
            <w:noWrap w:val="0"/>
            <w:vAlign w:val="center"/>
          </w:tcPr>
          <w:p w14:paraId="43C5C966">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78F8B2DD">
            <w:pPr>
              <w:ind w:left="-63" w:leftChars="-30" w:right="-63" w:rightChars="-30"/>
              <w:jc w:val="center"/>
              <w:rPr>
                <w:color w:val="000000"/>
                <w:kern w:val="0"/>
                <w:szCs w:val="21"/>
              </w:rPr>
            </w:pPr>
            <w:r>
              <w:rPr>
                <w:color w:val="000000"/>
                <w:kern w:val="0"/>
                <w:szCs w:val="21"/>
              </w:rPr>
              <w:t>1</w:t>
            </w:r>
          </w:p>
        </w:tc>
        <w:tc>
          <w:tcPr>
            <w:tcW w:w="565" w:type="dxa"/>
            <w:noWrap w:val="0"/>
            <w:vAlign w:val="center"/>
          </w:tcPr>
          <w:p w14:paraId="2F133405">
            <w:pPr>
              <w:ind w:left="-63" w:leftChars="-30" w:right="-63" w:rightChars="-30"/>
              <w:jc w:val="center"/>
              <w:rPr>
                <w:color w:val="000000"/>
                <w:kern w:val="0"/>
                <w:szCs w:val="21"/>
              </w:rPr>
            </w:pPr>
            <w:r>
              <w:rPr>
                <w:color w:val="000000"/>
                <w:kern w:val="0"/>
                <w:szCs w:val="21"/>
              </w:rPr>
              <w:t>28.22</w:t>
            </w:r>
          </w:p>
        </w:tc>
      </w:tr>
      <w:tr w14:paraId="6FE76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4DBC94F7">
            <w:pPr>
              <w:ind w:left="-63" w:leftChars="-30" w:right="-63" w:rightChars="-30"/>
              <w:rPr>
                <w:color w:val="000000"/>
                <w:kern w:val="0"/>
                <w:szCs w:val="21"/>
              </w:rPr>
            </w:pPr>
          </w:p>
        </w:tc>
        <w:tc>
          <w:tcPr>
            <w:tcW w:w="567" w:type="dxa"/>
            <w:vMerge w:val="continue"/>
            <w:noWrap w:val="0"/>
            <w:vAlign w:val="center"/>
          </w:tcPr>
          <w:p w14:paraId="4832A408">
            <w:pPr>
              <w:ind w:left="-63" w:leftChars="-30" w:right="-63" w:rightChars="-30"/>
              <w:rPr>
                <w:rFonts w:ascii="楷体_GB2312" w:hAnsi="宋体" w:eastAsia="楷体_GB2312" w:cs="宋体"/>
                <w:color w:val="000000"/>
                <w:kern w:val="0"/>
                <w:szCs w:val="21"/>
              </w:rPr>
            </w:pPr>
          </w:p>
        </w:tc>
        <w:tc>
          <w:tcPr>
            <w:tcW w:w="567" w:type="dxa"/>
            <w:noWrap w:val="0"/>
            <w:vAlign w:val="center"/>
          </w:tcPr>
          <w:p w14:paraId="0A91F0F8">
            <w:pPr>
              <w:ind w:left="-63" w:leftChars="-30" w:right="-63" w:rightChars="-30"/>
              <w:jc w:val="center"/>
              <w:rPr>
                <w:color w:val="000000"/>
                <w:kern w:val="0"/>
                <w:szCs w:val="21"/>
              </w:rPr>
            </w:pPr>
            <w:r>
              <w:rPr>
                <w:color w:val="000000"/>
                <w:kern w:val="0"/>
                <w:szCs w:val="21"/>
              </w:rPr>
              <w:t>2</w:t>
            </w:r>
          </w:p>
        </w:tc>
        <w:tc>
          <w:tcPr>
            <w:tcW w:w="4252" w:type="dxa"/>
            <w:noWrap w:val="0"/>
            <w:vAlign w:val="center"/>
          </w:tcPr>
          <w:p w14:paraId="473A8C64">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东至万顺路，南至定级边界，西至经十二路，北至</w:t>
            </w:r>
            <w:r>
              <w:rPr>
                <w:rFonts w:eastAsia="楷体_GB2312"/>
                <w:color w:val="000000"/>
                <w:kern w:val="0"/>
                <w:szCs w:val="21"/>
              </w:rPr>
              <w:t>032</w:t>
            </w:r>
            <w:r>
              <w:rPr>
                <w:rFonts w:hint="eastAsia" w:ascii="楷体_GB2312" w:hAnsi="宋体" w:eastAsia="楷体_GB2312" w:cs="宋体"/>
                <w:color w:val="000000"/>
                <w:kern w:val="0"/>
                <w:szCs w:val="21"/>
              </w:rPr>
              <w:t>省道</w:t>
            </w:r>
          </w:p>
        </w:tc>
        <w:tc>
          <w:tcPr>
            <w:tcW w:w="851" w:type="dxa"/>
            <w:noWrap w:val="0"/>
            <w:vAlign w:val="center"/>
          </w:tcPr>
          <w:p w14:paraId="76D3D79C">
            <w:pPr>
              <w:ind w:left="-63" w:leftChars="-30" w:right="-63" w:rightChars="-30"/>
              <w:jc w:val="center"/>
              <w:rPr>
                <w:color w:val="000000"/>
                <w:kern w:val="0"/>
                <w:szCs w:val="21"/>
              </w:rPr>
            </w:pPr>
            <w:r>
              <w:rPr>
                <w:color w:val="000000"/>
                <w:kern w:val="0"/>
                <w:szCs w:val="21"/>
              </w:rPr>
              <w:t>0.95</w:t>
            </w:r>
          </w:p>
        </w:tc>
        <w:tc>
          <w:tcPr>
            <w:tcW w:w="709" w:type="dxa"/>
            <w:noWrap w:val="0"/>
            <w:vAlign w:val="center"/>
          </w:tcPr>
          <w:p w14:paraId="71769744">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5EE31ABE">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587C0A6E">
            <w:pPr>
              <w:ind w:left="-63" w:leftChars="-30" w:right="-63" w:rightChars="-30"/>
              <w:jc w:val="center"/>
              <w:rPr>
                <w:color w:val="000000"/>
                <w:kern w:val="0"/>
                <w:szCs w:val="21"/>
              </w:rPr>
            </w:pPr>
            <w:r>
              <w:rPr>
                <w:color w:val="000000"/>
                <w:kern w:val="0"/>
                <w:szCs w:val="21"/>
              </w:rPr>
              <w:t>2</w:t>
            </w:r>
          </w:p>
        </w:tc>
        <w:tc>
          <w:tcPr>
            <w:tcW w:w="565" w:type="dxa"/>
            <w:noWrap w:val="0"/>
            <w:vAlign w:val="center"/>
          </w:tcPr>
          <w:p w14:paraId="64337BD6">
            <w:pPr>
              <w:ind w:left="-63" w:leftChars="-30" w:right="-63" w:rightChars="-30"/>
              <w:jc w:val="center"/>
              <w:rPr>
                <w:color w:val="000000"/>
                <w:kern w:val="0"/>
                <w:szCs w:val="21"/>
              </w:rPr>
            </w:pPr>
            <w:r>
              <w:rPr>
                <w:color w:val="000000"/>
                <w:kern w:val="0"/>
                <w:szCs w:val="21"/>
              </w:rPr>
              <w:t>25.4</w:t>
            </w:r>
          </w:p>
        </w:tc>
      </w:tr>
      <w:tr w14:paraId="5B5C0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392B2E2D">
            <w:pPr>
              <w:ind w:left="-63" w:leftChars="-30" w:right="-63" w:rightChars="-30"/>
              <w:rPr>
                <w:color w:val="000000"/>
                <w:kern w:val="0"/>
                <w:szCs w:val="21"/>
              </w:rPr>
            </w:pPr>
          </w:p>
        </w:tc>
        <w:tc>
          <w:tcPr>
            <w:tcW w:w="567" w:type="dxa"/>
            <w:vMerge w:val="continue"/>
            <w:noWrap w:val="0"/>
            <w:vAlign w:val="center"/>
          </w:tcPr>
          <w:p w14:paraId="75C911D7">
            <w:pPr>
              <w:ind w:left="-63" w:leftChars="-30" w:right="-63" w:rightChars="-30"/>
              <w:rPr>
                <w:rFonts w:ascii="楷体_GB2312" w:hAnsi="宋体" w:eastAsia="楷体_GB2312" w:cs="宋体"/>
                <w:color w:val="000000"/>
                <w:kern w:val="0"/>
                <w:szCs w:val="21"/>
              </w:rPr>
            </w:pPr>
          </w:p>
        </w:tc>
        <w:tc>
          <w:tcPr>
            <w:tcW w:w="567" w:type="dxa"/>
            <w:noWrap w:val="0"/>
            <w:vAlign w:val="center"/>
          </w:tcPr>
          <w:p w14:paraId="1CCD97F5">
            <w:pPr>
              <w:ind w:left="-63" w:leftChars="-30" w:right="-63" w:rightChars="-30"/>
              <w:jc w:val="center"/>
              <w:rPr>
                <w:color w:val="000000"/>
                <w:kern w:val="0"/>
                <w:szCs w:val="21"/>
              </w:rPr>
            </w:pPr>
            <w:r>
              <w:rPr>
                <w:color w:val="000000"/>
                <w:kern w:val="0"/>
                <w:szCs w:val="21"/>
              </w:rPr>
              <w:t>3</w:t>
            </w:r>
          </w:p>
        </w:tc>
        <w:tc>
          <w:tcPr>
            <w:tcW w:w="4252" w:type="dxa"/>
            <w:noWrap w:val="0"/>
            <w:vAlign w:val="center"/>
          </w:tcPr>
          <w:p w14:paraId="12152D7D">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851" w:type="dxa"/>
            <w:noWrap w:val="0"/>
            <w:vAlign w:val="center"/>
          </w:tcPr>
          <w:p w14:paraId="6FD0596B">
            <w:pPr>
              <w:ind w:left="-63" w:leftChars="-30" w:right="-63" w:rightChars="-30"/>
              <w:jc w:val="center"/>
              <w:rPr>
                <w:color w:val="000000"/>
                <w:kern w:val="0"/>
                <w:szCs w:val="21"/>
              </w:rPr>
            </w:pPr>
            <w:r>
              <w:rPr>
                <w:color w:val="000000"/>
                <w:kern w:val="0"/>
                <w:szCs w:val="21"/>
              </w:rPr>
              <w:t>0.9</w:t>
            </w:r>
          </w:p>
        </w:tc>
        <w:tc>
          <w:tcPr>
            <w:tcW w:w="709" w:type="dxa"/>
            <w:noWrap w:val="0"/>
            <w:vAlign w:val="center"/>
          </w:tcPr>
          <w:p w14:paraId="415184C0">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375EACB9">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4325F39A">
            <w:pPr>
              <w:ind w:left="-63" w:leftChars="-30" w:right="-63" w:rightChars="-30"/>
              <w:jc w:val="center"/>
              <w:rPr>
                <w:color w:val="000000"/>
                <w:kern w:val="0"/>
                <w:szCs w:val="21"/>
              </w:rPr>
            </w:pPr>
            <w:r>
              <w:rPr>
                <w:color w:val="000000"/>
                <w:kern w:val="0"/>
                <w:szCs w:val="21"/>
              </w:rPr>
              <w:t>3</w:t>
            </w:r>
          </w:p>
        </w:tc>
        <w:tc>
          <w:tcPr>
            <w:tcW w:w="565" w:type="dxa"/>
            <w:noWrap w:val="0"/>
            <w:vAlign w:val="center"/>
          </w:tcPr>
          <w:p w14:paraId="55AA44A6">
            <w:pPr>
              <w:ind w:left="-63" w:leftChars="-30" w:right="-63" w:rightChars="-30"/>
              <w:jc w:val="center"/>
              <w:rPr>
                <w:color w:val="000000"/>
                <w:kern w:val="0"/>
                <w:szCs w:val="21"/>
              </w:rPr>
            </w:pPr>
            <w:r>
              <w:rPr>
                <w:color w:val="000000"/>
                <w:kern w:val="0"/>
                <w:szCs w:val="21"/>
              </w:rPr>
              <w:t>24.07</w:t>
            </w:r>
          </w:p>
        </w:tc>
      </w:tr>
      <w:tr w14:paraId="60F89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restart"/>
            <w:noWrap w:val="0"/>
            <w:vAlign w:val="center"/>
          </w:tcPr>
          <w:p w14:paraId="52B71808">
            <w:pPr>
              <w:ind w:left="-63" w:leftChars="-30" w:right="-63" w:rightChars="-30"/>
              <w:jc w:val="center"/>
              <w:rPr>
                <w:color w:val="000000"/>
                <w:kern w:val="0"/>
                <w:szCs w:val="21"/>
              </w:rPr>
            </w:pPr>
            <w:r>
              <w:rPr>
                <w:color w:val="000000"/>
                <w:kern w:val="0"/>
                <w:szCs w:val="21"/>
              </w:rPr>
              <w:t>15</w:t>
            </w:r>
          </w:p>
        </w:tc>
        <w:tc>
          <w:tcPr>
            <w:tcW w:w="567" w:type="dxa"/>
            <w:vMerge w:val="restart"/>
            <w:noWrap w:val="0"/>
            <w:vAlign w:val="center"/>
          </w:tcPr>
          <w:p w14:paraId="2FB34102">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杨庄镇</w:t>
            </w:r>
          </w:p>
        </w:tc>
        <w:tc>
          <w:tcPr>
            <w:tcW w:w="567" w:type="dxa"/>
            <w:noWrap w:val="0"/>
            <w:vAlign w:val="center"/>
          </w:tcPr>
          <w:p w14:paraId="7E4ABE7E">
            <w:pPr>
              <w:ind w:left="-63" w:leftChars="-30" w:right="-63" w:rightChars="-30"/>
              <w:jc w:val="center"/>
              <w:rPr>
                <w:color w:val="000000"/>
                <w:kern w:val="0"/>
                <w:szCs w:val="21"/>
              </w:rPr>
            </w:pPr>
            <w:r>
              <w:rPr>
                <w:color w:val="000000"/>
                <w:kern w:val="0"/>
                <w:szCs w:val="21"/>
              </w:rPr>
              <w:t>1</w:t>
            </w:r>
          </w:p>
        </w:tc>
        <w:tc>
          <w:tcPr>
            <w:tcW w:w="4252" w:type="dxa"/>
            <w:noWrap w:val="0"/>
            <w:vAlign w:val="center"/>
          </w:tcPr>
          <w:p w14:paraId="79E9228A">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东至东大路，南至曹褚路、健康路，西至西新大街，北至萧灵路</w:t>
            </w:r>
          </w:p>
        </w:tc>
        <w:tc>
          <w:tcPr>
            <w:tcW w:w="851" w:type="dxa"/>
            <w:noWrap w:val="0"/>
            <w:vAlign w:val="center"/>
          </w:tcPr>
          <w:p w14:paraId="6297FDAD">
            <w:pPr>
              <w:ind w:left="-63" w:leftChars="-30" w:right="-63" w:rightChars="-30"/>
              <w:jc w:val="center"/>
              <w:rPr>
                <w:color w:val="000000"/>
                <w:kern w:val="0"/>
                <w:szCs w:val="21"/>
              </w:rPr>
            </w:pPr>
            <w:r>
              <w:rPr>
                <w:color w:val="000000"/>
                <w:kern w:val="0"/>
                <w:szCs w:val="21"/>
              </w:rPr>
              <w:t>1</w:t>
            </w:r>
          </w:p>
        </w:tc>
        <w:tc>
          <w:tcPr>
            <w:tcW w:w="709" w:type="dxa"/>
            <w:noWrap w:val="0"/>
            <w:vAlign w:val="center"/>
          </w:tcPr>
          <w:p w14:paraId="013804F1">
            <w:pPr>
              <w:ind w:left="-63" w:leftChars="-30" w:right="-63" w:rightChars="-30"/>
              <w:jc w:val="center"/>
              <w:rPr>
                <w:color w:val="000000"/>
                <w:kern w:val="0"/>
                <w:szCs w:val="21"/>
              </w:rPr>
            </w:pPr>
            <w:r>
              <w:rPr>
                <w:color w:val="000000"/>
                <w:kern w:val="0"/>
                <w:szCs w:val="21"/>
              </w:rPr>
              <w:t>95</w:t>
            </w:r>
          </w:p>
        </w:tc>
        <w:tc>
          <w:tcPr>
            <w:tcW w:w="850" w:type="dxa"/>
            <w:noWrap w:val="0"/>
            <w:vAlign w:val="center"/>
          </w:tcPr>
          <w:p w14:paraId="26571AC1">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3B5ECB31">
            <w:pPr>
              <w:ind w:left="-63" w:leftChars="-30" w:right="-63" w:rightChars="-30"/>
              <w:jc w:val="center"/>
              <w:rPr>
                <w:color w:val="000000"/>
                <w:kern w:val="0"/>
                <w:szCs w:val="21"/>
              </w:rPr>
            </w:pPr>
            <w:r>
              <w:rPr>
                <w:color w:val="000000"/>
                <w:kern w:val="0"/>
                <w:szCs w:val="21"/>
              </w:rPr>
              <w:t>1</w:t>
            </w:r>
          </w:p>
        </w:tc>
        <w:tc>
          <w:tcPr>
            <w:tcW w:w="565" w:type="dxa"/>
            <w:noWrap w:val="0"/>
            <w:vAlign w:val="center"/>
          </w:tcPr>
          <w:p w14:paraId="2FCC457C">
            <w:pPr>
              <w:ind w:left="-63" w:leftChars="-30" w:right="-63" w:rightChars="-30"/>
              <w:jc w:val="center"/>
              <w:rPr>
                <w:color w:val="000000"/>
                <w:kern w:val="0"/>
                <w:szCs w:val="21"/>
              </w:rPr>
            </w:pPr>
            <w:r>
              <w:rPr>
                <w:color w:val="000000"/>
                <w:kern w:val="0"/>
                <w:szCs w:val="21"/>
              </w:rPr>
              <w:t>28.22</w:t>
            </w:r>
          </w:p>
        </w:tc>
      </w:tr>
      <w:tr w14:paraId="77B15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349914C8">
            <w:pPr>
              <w:ind w:left="-63" w:leftChars="-30" w:right="-63" w:rightChars="-30"/>
              <w:rPr>
                <w:color w:val="000000"/>
                <w:kern w:val="0"/>
                <w:szCs w:val="21"/>
              </w:rPr>
            </w:pPr>
          </w:p>
        </w:tc>
        <w:tc>
          <w:tcPr>
            <w:tcW w:w="567" w:type="dxa"/>
            <w:vMerge w:val="continue"/>
            <w:noWrap w:val="0"/>
            <w:vAlign w:val="center"/>
          </w:tcPr>
          <w:p w14:paraId="270ACF85">
            <w:pPr>
              <w:ind w:left="-63" w:leftChars="-30" w:right="-63" w:rightChars="-30"/>
              <w:rPr>
                <w:rFonts w:ascii="楷体_GB2312" w:hAnsi="宋体" w:eastAsia="楷体_GB2312" w:cs="宋体"/>
                <w:color w:val="000000"/>
                <w:kern w:val="0"/>
                <w:szCs w:val="21"/>
              </w:rPr>
            </w:pPr>
          </w:p>
        </w:tc>
        <w:tc>
          <w:tcPr>
            <w:tcW w:w="567" w:type="dxa"/>
            <w:noWrap w:val="0"/>
            <w:vAlign w:val="center"/>
          </w:tcPr>
          <w:p w14:paraId="67276411">
            <w:pPr>
              <w:ind w:left="-63" w:leftChars="-30" w:right="-63" w:rightChars="-30"/>
              <w:jc w:val="center"/>
              <w:rPr>
                <w:color w:val="000000"/>
                <w:kern w:val="0"/>
                <w:szCs w:val="21"/>
              </w:rPr>
            </w:pPr>
            <w:r>
              <w:rPr>
                <w:color w:val="000000"/>
                <w:kern w:val="0"/>
                <w:szCs w:val="21"/>
              </w:rPr>
              <w:t>2</w:t>
            </w:r>
          </w:p>
        </w:tc>
        <w:tc>
          <w:tcPr>
            <w:tcW w:w="4252" w:type="dxa"/>
            <w:noWrap w:val="0"/>
            <w:vAlign w:val="center"/>
          </w:tcPr>
          <w:p w14:paraId="17C5C803">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东至科技大道，南至人民路，西至西外环路，北至北外环路</w:t>
            </w:r>
          </w:p>
        </w:tc>
        <w:tc>
          <w:tcPr>
            <w:tcW w:w="851" w:type="dxa"/>
            <w:noWrap w:val="0"/>
            <w:vAlign w:val="center"/>
          </w:tcPr>
          <w:p w14:paraId="198E8A32">
            <w:pPr>
              <w:ind w:left="-63" w:leftChars="-30" w:right="-63" w:rightChars="-30"/>
              <w:jc w:val="center"/>
              <w:rPr>
                <w:color w:val="000000"/>
                <w:kern w:val="0"/>
                <w:szCs w:val="21"/>
              </w:rPr>
            </w:pPr>
            <w:r>
              <w:rPr>
                <w:color w:val="000000"/>
                <w:kern w:val="0"/>
                <w:szCs w:val="21"/>
              </w:rPr>
              <w:t>0.95</w:t>
            </w:r>
          </w:p>
        </w:tc>
        <w:tc>
          <w:tcPr>
            <w:tcW w:w="709" w:type="dxa"/>
            <w:noWrap w:val="0"/>
            <w:vAlign w:val="center"/>
          </w:tcPr>
          <w:p w14:paraId="39F4A70C">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70AD5CED">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6A2271C9">
            <w:pPr>
              <w:ind w:left="-63" w:leftChars="-30" w:right="-63" w:rightChars="-30"/>
              <w:jc w:val="center"/>
              <w:rPr>
                <w:color w:val="000000"/>
                <w:kern w:val="0"/>
                <w:szCs w:val="21"/>
              </w:rPr>
            </w:pPr>
            <w:r>
              <w:rPr>
                <w:color w:val="000000"/>
                <w:kern w:val="0"/>
                <w:szCs w:val="21"/>
              </w:rPr>
              <w:t>2</w:t>
            </w:r>
          </w:p>
        </w:tc>
        <w:tc>
          <w:tcPr>
            <w:tcW w:w="565" w:type="dxa"/>
            <w:noWrap w:val="0"/>
            <w:vAlign w:val="center"/>
          </w:tcPr>
          <w:p w14:paraId="7A14125D">
            <w:pPr>
              <w:ind w:left="-63" w:leftChars="-30" w:right="-63" w:rightChars="-30"/>
              <w:jc w:val="center"/>
              <w:rPr>
                <w:color w:val="000000"/>
                <w:kern w:val="0"/>
                <w:szCs w:val="21"/>
              </w:rPr>
            </w:pPr>
            <w:r>
              <w:rPr>
                <w:color w:val="000000"/>
                <w:kern w:val="0"/>
                <w:szCs w:val="21"/>
              </w:rPr>
              <w:t>25.4</w:t>
            </w:r>
          </w:p>
        </w:tc>
      </w:tr>
      <w:tr w14:paraId="39C76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1C901B02">
            <w:pPr>
              <w:ind w:left="-63" w:leftChars="-30" w:right="-63" w:rightChars="-30"/>
              <w:rPr>
                <w:color w:val="000000"/>
                <w:kern w:val="0"/>
                <w:szCs w:val="21"/>
              </w:rPr>
            </w:pPr>
          </w:p>
        </w:tc>
        <w:tc>
          <w:tcPr>
            <w:tcW w:w="567" w:type="dxa"/>
            <w:vMerge w:val="continue"/>
            <w:noWrap w:val="0"/>
            <w:vAlign w:val="center"/>
          </w:tcPr>
          <w:p w14:paraId="3BD6D40D">
            <w:pPr>
              <w:ind w:left="-63" w:leftChars="-30" w:right="-63" w:rightChars="-30"/>
              <w:rPr>
                <w:rFonts w:ascii="楷体_GB2312" w:hAnsi="宋体" w:eastAsia="楷体_GB2312" w:cs="宋体"/>
                <w:color w:val="000000"/>
                <w:kern w:val="0"/>
                <w:szCs w:val="21"/>
              </w:rPr>
            </w:pPr>
          </w:p>
        </w:tc>
        <w:tc>
          <w:tcPr>
            <w:tcW w:w="567" w:type="dxa"/>
            <w:noWrap w:val="0"/>
            <w:vAlign w:val="center"/>
          </w:tcPr>
          <w:p w14:paraId="5F5131C9">
            <w:pPr>
              <w:ind w:left="-63" w:leftChars="-30" w:right="-63" w:rightChars="-30"/>
              <w:jc w:val="center"/>
              <w:rPr>
                <w:color w:val="000000"/>
                <w:kern w:val="0"/>
                <w:szCs w:val="21"/>
              </w:rPr>
            </w:pPr>
            <w:r>
              <w:rPr>
                <w:color w:val="000000"/>
                <w:kern w:val="0"/>
                <w:szCs w:val="21"/>
              </w:rPr>
              <w:t>3</w:t>
            </w:r>
          </w:p>
        </w:tc>
        <w:tc>
          <w:tcPr>
            <w:tcW w:w="4252" w:type="dxa"/>
            <w:noWrap w:val="0"/>
            <w:vAlign w:val="center"/>
          </w:tcPr>
          <w:p w14:paraId="7FCCB995">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851" w:type="dxa"/>
            <w:noWrap w:val="0"/>
            <w:vAlign w:val="center"/>
          </w:tcPr>
          <w:p w14:paraId="32B2EE03">
            <w:pPr>
              <w:ind w:left="-63" w:leftChars="-30" w:right="-63" w:rightChars="-30"/>
              <w:jc w:val="center"/>
              <w:rPr>
                <w:color w:val="000000"/>
                <w:kern w:val="0"/>
                <w:szCs w:val="21"/>
              </w:rPr>
            </w:pPr>
            <w:r>
              <w:rPr>
                <w:color w:val="000000"/>
                <w:kern w:val="0"/>
                <w:szCs w:val="21"/>
              </w:rPr>
              <w:t>0.9</w:t>
            </w:r>
          </w:p>
        </w:tc>
        <w:tc>
          <w:tcPr>
            <w:tcW w:w="709" w:type="dxa"/>
            <w:noWrap w:val="0"/>
            <w:vAlign w:val="center"/>
          </w:tcPr>
          <w:p w14:paraId="5BC70043">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5AF9AD5F">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7F065D2D">
            <w:pPr>
              <w:ind w:left="-63" w:leftChars="-30" w:right="-63" w:rightChars="-30"/>
              <w:jc w:val="center"/>
              <w:rPr>
                <w:color w:val="000000"/>
                <w:kern w:val="0"/>
                <w:szCs w:val="21"/>
              </w:rPr>
            </w:pPr>
            <w:r>
              <w:rPr>
                <w:color w:val="000000"/>
                <w:kern w:val="0"/>
                <w:szCs w:val="21"/>
              </w:rPr>
              <w:t>3</w:t>
            </w:r>
          </w:p>
        </w:tc>
        <w:tc>
          <w:tcPr>
            <w:tcW w:w="565" w:type="dxa"/>
            <w:noWrap w:val="0"/>
            <w:vAlign w:val="center"/>
          </w:tcPr>
          <w:p w14:paraId="458D3041">
            <w:pPr>
              <w:ind w:left="-63" w:leftChars="-30" w:right="-63" w:rightChars="-30"/>
              <w:jc w:val="center"/>
              <w:rPr>
                <w:color w:val="000000"/>
                <w:kern w:val="0"/>
                <w:szCs w:val="21"/>
              </w:rPr>
            </w:pPr>
            <w:r>
              <w:rPr>
                <w:color w:val="000000"/>
                <w:kern w:val="0"/>
                <w:szCs w:val="21"/>
              </w:rPr>
              <w:t>24.07</w:t>
            </w:r>
          </w:p>
        </w:tc>
      </w:tr>
      <w:tr w14:paraId="16C11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restart"/>
            <w:noWrap w:val="0"/>
            <w:vAlign w:val="center"/>
          </w:tcPr>
          <w:p w14:paraId="421B1732">
            <w:pPr>
              <w:ind w:left="-63" w:leftChars="-30" w:right="-63" w:rightChars="-30"/>
              <w:jc w:val="center"/>
              <w:rPr>
                <w:color w:val="000000"/>
                <w:kern w:val="0"/>
                <w:szCs w:val="21"/>
              </w:rPr>
            </w:pPr>
            <w:r>
              <w:rPr>
                <w:color w:val="000000"/>
                <w:kern w:val="0"/>
                <w:szCs w:val="21"/>
              </w:rPr>
              <w:t>16</w:t>
            </w:r>
          </w:p>
        </w:tc>
        <w:tc>
          <w:tcPr>
            <w:tcW w:w="567" w:type="dxa"/>
            <w:vMerge w:val="restart"/>
            <w:noWrap w:val="0"/>
            <w:vAlign w:val="center"/>
          </w:tcPr>
          <w:p w14:paraId="24A1B608">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永镇乡</w:t>
            </w:r>
          </w:p>
        </w:tc>
        <w:tc>
          <w:tcPr>
            <w:tcW w:w="567" w:type="dxa"/>
            <w:noWrap w:val="0"/>
            <w:vAlign w:val="center"/>
          </w:tcPr>
          <w:p w14:paraId="200A40CC">
            <w:pPr>
              <w:ind w:left="-63" w:leftChars="-30" w:right="-63" w:rightChars="-30"/>
              <w:jc w:val="center"/>
              <w:rPr>
                <w:color w:val="000000"/>
                <w:kern w:val="0"/>
                <w:szCs w:val="21"/>
              </w:rPr>
            </w:pPr>
            <w:r>
              <w:rPr>
                <w:color w:val="000000"/>
                <w:kern w:val="0"/>
                <w:szCs w:val="21"/>
              </w:rPr>
              <w:t>1</w:t>
            </w:r>
          </w:p>
        </w:tc>
        <w:tc>
          <w:tcPr>
            <w:tcW w:w="4252" w:type="dxa"/>
            <w:noWrap w:val="0"/>
            <w:vAlign w:val="center"/>
          </w:tcPr>
          <w:p w14:paraId="1C5236C9">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东至永安路，南至永乐路，西至</w:t>
            </w:r>
            <w:r>
              <w:rPr>
                <w:rFonts w:eastAsia="楷体_GB2312"/>
                <w:color w:val="000000"/>
                <w:kern w:val="0"/>
                <w:szCs w:val="21"/>
              </w:rPr>
              <w:t>206</w:t>
            </w:r>
            <w:r>
              <w:rPr>
                <w:rFonts w:hint="eastAsia" w:ascii="楷体_GB2312" w:hAnsi="宋体" w:eastAsia="楷体_GB2312" w:cs="宋体"/>
                <w:color w:val="000000"/>
                <w:kern w:val="0"/>
                <w:szCs w:val="21"/>
              </w:rPr>
              <w:t>国道，北至永尚路</w:t>
            </w:r>
          </w:p>
        </w:tc>
        <w:tc>
          <w:tcPr>
            <w:tcW w:w="851" w:type="dxa"/>
            <w:noWrap w:val="0"/>
            <w:vAlign w:val="center"/>
          </w:tcPr>
          <w:p w14:paraId="0B0E035B">
            <w:pPr>
              <w:ind w:left="-63" w:leftChars="-30" w:right="-63" w:rightChars="-30"/>
              <w:jc w:val="center"/>
              <w:rPr>
                <w:color w:val="000000"/>
                <w:kern w:val="0"/>
                <w:szCs w:val="21"/>
              </w:rPr>
            </w:pPr>
            <w:r>
              <w:rPr>
                <w:color w:val="000000"/>
                <w:kern w:val="0"/>
                <w:szCs w:val="21"/>
              </w:rPr>
              <w:t>1</w:t>
            </w:r>
          </w:p>
        </w:tc>
        <w:tc>
          <w:tcPr>
            <w:tcW w:w="709" w:type="dxa"/>
            <w:noWrap w:val="0"/>
            <w:vAlign w:val="center"/>
          </w:tcPr>
          <w:p w14:paraId="2465F32C">
            <w:pPr>
              <w:ind w:left="-63" w:leftChars="-30" w:right="-63" w:rightChars="-30"/>
              <w:jc w:val="center"/>
              <w:rPr>
                <w:color w:val="000000"/>
                <w:kern w:val="0"/>
                <w:szCs w:val="21"/>
              </w:rPr>
            </w:pPr>
            <w:r>
              <w:rPr>
                <w:color w:val="000000"/>
                <w:kern w:val="0"/>
                <w:szCs w:val="21"/>
              </w:rPr>
              <w:t>95</w:t>
            </w:r>
          </w:p>
        </w:tc>
        <w:tc>
          <w:tcPr>
            <w:tcW w:w="850" w:type="dxa"/>
            <w:noWrap w:val="0"/>
            <w:vAlign w:val="center"/>
          </w:tcPr>
          <w:p w14:paraId="5BE66DC5">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0C6D062B">
            <w:pPr>
              <w:ind w:left="-63" w:leftChars="-30" w:right="-63" w:rightChars="-30"/>
              <w:jc w:val="center"/>
              <w:rPr>
                <w:color w:val="000000"/>
                <w:kern w:val="0"/>
                <w:szCs w:val="21"/>
              </w:rPr>
            </w:pPr>
            <w:r>
              <w:rPr>
                <w:color w:val="000000"/>
                <w:kern w:val="0"/>
                <w:szCs w:val="21"/>
              </w:rPr>
              <w:t>1</w:t>
            </w:r>
          </w:p>
        </w:tc>
        <w:tc>
          <w:tcPr>
            <w:tcW w:w="565" w:type="dxa"/>
            <w:noWrap w:val="0"/>
            <w:vAlign w:val="center"/>
          </w:tcPr>
          <w:p w14:paraId="4A1A8DA1">
            <w:pPr>
              <w:ind w:left="-63" w:leftChars="-30" w:right="-63" w:rightChars="-30"/>
              <w:jc w:val="center"/>
              <w:rPr>
                <w:color w:val="000000"/>
                <w:kern w:val="0"/>
                <w:szCs w:val="21"/>
              </w:rPr>
            </w:pPr>
            <w:r>
              <w:rPr>
                <w:color w:val="000000"/>
                <w:kern w:val="0"/>
                <w:szCs w:val="21"/>
              </w:rPr>
              <w:t>28.22</w:t>
            </w:r>
          </w:p>
        </w:tc>
      </w:tr>
      <w:tr w14:paraId="1203E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3F0435DB">
            <w:pPr>
              <w:ind w:left="-63" w:leftChars="-30" w:right="-63" w:rightChars="-30"/>
              <w:rPr>
                <w:color w:val="000000"/>
                <w:kern w:val="0"/>
                <w:szCs w:val="21"/>
              </w:rPr>
            </w:pPr>
          </w:p>
        </w:tc>
        <w:tc>
          <w:tcPr>
            <w:tcW w:w="567" w:type="dxa"/>
            <w:vMerge w:val="continue"/>
            <w:noWrap w:val="0"/>
            <w:vAlign w:val="center"/>
          </w:tcPr>
          <w:p w14:paraId="0896BFC2">
            <w:pPr>
              <w:ind w:left="-63" w:leftChars="-30" w:right="-63" w:rightChars="-30"/>
              <w:rPr>
                <w:rFonts w:ascii="楷体_GB2312" w:hAnsi="宋体" w:eastAsia="楷体_GB2312" w:cs="宋体"/>
                <w:color w:val="000000"/>
                <w:kern w:val="0"/>
                <w:szCs w:val="21"/>
              </w:rPr>
            </w:pPr>
          </w:p>
        </w:tc>
        <w:tc>
          <w:tcPr>
            <w:tcW w:w="567" w:type="dxa"/>
            <w:noWrap w:val="0"/>
            <w:vAlign w:val="center"/>
          </w:tcPr>
          <w:p w14:paraId="0ADB3389">
            <w:pPr>
              <w:ind w:left="-63" w:leftChars="-30" w:right="-63" w:rightChars="-30"/>
              <w:jc w:val="center"/>
              <w:rPr>
                <w:color w:val="000000"/>
                <w:kern w:val="0"/>
                <w:szCs w:val="21"/>
              </w:rPr>
            </w:pPr>
            <w:r>
              <w:rPr>
                <w:color w:val="000000"/>
                <w:kern w:val="0"/>
                <w:szCs w:val="21"/>
              </w:rPr>
              <w:t>2</w:t>
            </w:r>
          </w:p>
        </w:tc>
        <w:tc>
          <w:tcPr>
            <w:tcW w:w="4252" w:type="dxa"/>
            <w:noWrap w:val="0"/>
            <w:vAlign w:val="center"/>
          </w:tcPr>
          <w:p w14:paraId="0D7167D5">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东至永明路，南至永富路，西至</w:t>
            </w:r>
            <w:r>
              <w:rPr>
                <w:rFonts w:eastAsia="楷体_GB2312"/>
                <w:color w:val="000000"/>
                <w:kern w:val="0"/>
                <w:szCs w:val="21"/>
              </w:rPr>
              <w:t>206</w:t>
            </w:r>
            <w:r>
              <w:rPr>
                <w:rFonts w:hint="eastAsia" w:ascii="楷体_GB2312" w:hAnsi="宋体" w:eastAsia="楷体_GB2312" w:cs="宋体"/>
                <w:color w:val="000000"/>
                <w:kern w:val="0"/>
                <w:szCs w:val="21"/>
              </w:rPr>
              <w:t>国道、卫生院西侧，北至永振路</w:t>
            </w:r>
          </w:p>
        </w:tc>
        <w:tc>
          <w:tcPr>
            <w:tcW w:w="851" w:type="dxa"/>
            <w:noWrap w:val="0"/>
            <w:vAlign w:val="center"/>
          </w:tcPr>
          <w:p w14:paraId="1B8EE85A">
            <w:pPr>
              <w:ind w:left="-63" w:leftChars="-30" w:right="-63" w:rightChars="-30"/>
              <w:jc w:val="center"/>
              <w:rPr>
                <w:color w:val="000000"/>
                <w:kern w:val="0"/>
                <w:szCs w:val="21"/>
              </w:rPr>
            </w:pPr>
            <w:r>
              <w:rPr>
                <w:color w:val="000000"/>
                <w:kern w:val="0"/>
                <w:szCs w:val="21"/>
              </w:rPr>
              <w:t>0.95</w:t>
            </w:r>
          </w:p>
        </w:tc>
        <w:tc>
          <w:tcPr>
            <w:tcW w:w="709" w:type="dxa"/>
            <w:noWrap w:val="0"/>
            <w:vAlign w:val="center"/>
          </w:tcPr>
          <w:p w14:paraId="3A60969F">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05EE4CA4">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2872B0C3">
            <w:pPr>
              <w:ind w:left="-63" w:leftChars="-30" w:right="-63" w:rightChars="-30"/>
              <w:jc w:val="center"/>
              <w:rPr>
                <w:color w:val="000000"/>
                <w:kern w:val="0"/>
                <w:szCs w:val="21"/>
              </w:rPr>
            </w:pPr>
            <w:r>
              <w:rPr>
                <w:color w:val="000000"/>
                <w:kern w:val="0"/>
                <w:szCs w:val="21"/>
              </w:rPr>
              <w:t>2</w:t>
            </w:r>
          </w:p>
        </w:tc>
        <w:tc>
          <w:tcPr>
            <w:tcW w:w="565" w:type="dxa"/>
            <w:noWrap w:val="0"/>
            <w:vAlign w:val="center"/>
          </w:tcPr>
          <w:p w14:paraId="0BA1AC67">
            <w:pPr>
              <w:ind w:left="-63" w:leftChars="-30" w:right="-63" w:rightChars="-30"/>
              <w:jc w:val="center"/>
              <w:rPr>
                <w:color w:val="000000"/>
                <w:kern w:val="0"/>
                <w:szCs w:val="21"/>
              </w:rPr>
            </w:pPr>
            <w:r>
              <w:rPr>
                <w:color w:val="000000"/>
                <w:kern w:val="0"/>
                <w:szCs w:val="21"/>
              </w:rPr>
              <w:t>25.4</w:t>
            </w:r>
          </w:p>
        </w:tc>
      </w:tr>
      <w:tr w14:paraId="3768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4BD7D48C">
            <w:pPr>
              <w:ind w:left="-63" w:leftChars="-30" w:right="-63" w:rightChars="-30"/>
              <w:rPr>
                <w:color w:val="000000"/>
                <w:kern w:val="0"/>
                <w:szCs w:val="21"/>
              </w:rPr>
            </w:pPr>
          </w:p>
        </w:tc>
        <w:tc>
          <w:tcPr>
            <w:tcW w:w="567" w:type="dxa"/>
            <w:vMerge w:val="continue"/>
            <w:noWrap w:val="0"/>
            <w:vAlign w:val="center"/>
          </w:tcPr>
          <w:p w14:paraId="6CC96536">
            <w:pPr>
              <w:ind w:left="-63" w:leftChars="-30" w:right="-63" w:rightChars="-30"/>
              <w:rPr>
                <w:rFonts w:ascii="楷体_GB2312" w:hAnsi="宋体" w:eastAsia="楷体_GB2312" w:cs="宋体"/>
                <w:color w:val="000000"/>
                <w:kern w:val="0"/>
                <w:szCs w:val="21"/>
              </w:rPr>
            </w:pPr>
          </w:p>
        </w:tc>
        <w:tc>
          <w:tcPr>
            <w:tcW w:w="567" w:type="dxa"/>
            <w:noWrap w:val="0"/>
            <w:vAlign w:val="center"/>
          </w:tcPr>
          <w:p w14:paraId="22447218">
            <w:pPr>
              <w:ind w:left="-63" w:leftChars="-30" w:right="-63" w:rightChars="-30"/>
              <w:jc w:val="center"/>
              <w:rPr>
                <w:color w:val="000000"/>
                <w:kern w:val="0"/>
                <w:szCs w:val="21"/>
              </w:rPr>
            </w:pPr>
            <w:r>
              <w:rPr>
                <w:color w:val="000000"/>
                <w:kern w:val="0"/>
                <w:szCs w:val="21"/>
              </w:rPr>
              <w:t>3</w:t>
            </w:r>
          </w:p>
        </w:tc>
        <w:tc>
          <w:tcPr>
            <w:tcW w:w="4252" w:type="dxa"/>
            <w:noWrap w:val="0"/>
            <w:vAlign w:val="center"/>
          </w:tcPr>
          <w:p w14:paraId="1C3FFB35">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851" w:type="dxa"/>
            <w:noWrap w:val="0"/>
            <w:vAlign w:val="center"/>
          </w:tcPr>
          <w:p w14:paraId="0EC1496D">
            <w:pPr>
              <w:ind w:left="-63" w:leftChars="-30" w:right="-63" w:rightChars="-30"/>
              <w:jc w:val="center"/>
              <w:rPr>
                <w:color w:val="000000"/>
                <w:kern w:val="0"/>
                <w:szCs w:val="21"/>
              </w:rPr>
            </w:pPr>
            <w:r>
              <w:rPr>
                <w:color w:val="000000"/>
                <w:kern w:val="0"/>
                <w:szCs w:val="21"/>
              </w:rPr>
              <w:t>0.9</w:t>
            </w:r>
          </w:p>
        </w:tc>
        <w:tc>
          <w:tcPr>
            <w:tcW w:w="709" w:type="dxa"/>
            <w:noWrap w:val="0"/>
            <w:vAlign w:val="center"/>
          </w:tcPr>
          <w:p w14:paraId="6AD1E949">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6EF14AC5">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6C597759">
            <w:pPr>
              <w:ind w:left="-63" w:leftChars="-30" w:right="-63" w:rightChars="-30"/>
              <w:jc w:val="center"/>
              <w:rPr>
                <w:color w:val="000000"/>
                <w:kern w:val="0"/>
                <w:szCs w:val="21"/>
              </w:rPr>
            </w:pPr>
            <w:r>
              <w:rPr>
                <w:color w:val="000000"/>
                <w:kern w:val="0"/>
                <w:szCs w:val="21"/>
              </w:rPr>
              <w:t>3</w:t>
            </w:r>
          </w:p>
        </w:tc>
        <w:tc>
          <w:tcPr>
            <w:tcW w:w="565" w:type="dxa"/>
            <w:noWrap w:val="0"/>
            <w:vAlign w:val="center"/>
          </w:tcPr>
          <w:p w14:paraId="23068D7A">
            <w:pPr>
              <w:ind w:left="-63" w:leftChars="-30" w:right="-63" w:rightChars="-30"/>
              <w:jc w:val="center"/>
              <w:rPr>
                <w:color w:val="000000"/>
                <w:kern w:val="0"/>
                <w:szCs w:val="21"/>
              </w:rPr>
            </w:pPr>
            <w:r>
              <w:rPr>
                <w:color w:val="000000"/>
                <w:kern w:val="0"/>
                <w:szCs w:val="21"/>
              </w:rPr>
              <w:t>24.07</w:t>
            </w:r>
          </w:p>
        </w:tc>
      </w:tr>
      <w:tr w14:paraId="053D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restart"/>
            <w:noWrap w:val="0"/>
            <w:vAlign w:val="center"/>
          </w:tcPr>
          <w:p w14:paraId="55BBFFDF">
            <w:pPr>
              <w:ind w:left="-63" w:leftChars="-30" w:right="-63" w:rightChars="-30"/>
              <w:jc w:val="center"/>
              <w:rPr>
                <w:color w:val="000000"/>
                <w:kern w:val="0"/>
                <w:szCs w:val="21"/>
              </w:rPr>
            </w:pPr>
            <w:r>
              <w:rPr>
                <w:color w:val="000000"/>
                <w:kern w:val="0"/>
                <w:szCs w:val="21"/>
              </w:rPr>
              <w:t>17</w:t>
            </w:r>
          </w:p>
        </w:tc>
        <w:tc>
          <w:tcPr>
            <w:tcW w:w="567" w:type="dxa"/>
            <w:vMerge w:val="restart"/>
            <w:noWrap w:val="0"/>
            <w:vAlign w:val="center"/>
          </w:tcPr>
          <w:p w14:paraId="03E21A1F">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解集镇</w:t>
            </w:r>
          </w:p>
        </w:tc>
        <w:tc>
          <w:tcPr>
            <w:tcW w:w="567" w:type="dxa"/>
            <w:noWrap w:val="0"/>
            <w:vAlign w:val="center"/>
          </w:tcPr>
          <w:p w14:paraId="40EFFFC0">
            <w:pPr>
              <w:ind w:left="-63" w:leftChars="-30" w:right="-63" w:rightChars="-30"/>
              <w:jc w:val="center"/>
              <w:rPr>
                <w:color w:val="000000"/>
                <w:kern w:val="0"/>
                <w:szCs w:val="21"/>
              </w:rPr>
            </w:pPr>
            <w:r>
              <w:rPr>
                <w:color w:val="000000"/>
                <w:kern w:val="0"/>
                <w:szCs w:val="21"/>
              </w:rPr>
              <w:t>1</w:t>
            </w:r>
          </w:p>
        </w:tc>
        <w:tc>
          <w:tcPr>
            <w:tcW w:w="4252" w:type="dxa"/>
            <w:noWrap w:val="0"/>
            <w:vAlign w:val="center"/>
          </w:tcPr>
          <w:p w14:paraId="57536F4A">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东至三岔路、芳草路、原家居街，南至肉食街，西至公园路，北至怡情路、装潢街</w:t>
            </w:r>
          </w:p>
        </w:tc>
        <w:tc>
          <w:tcPr>
            <w:tcW w:w="851" w:type="dxa"/>
            <w:noWrap w:val="0"/>
            <w:vAlign w:val="center"/>
          </w:tcPr>
          <w:p w14:paraId="742A94E5">
            <w:pPr>
              <w:ind w:left="-63" w:leftChars="-30" w:right="-63" w:rightChars="-30"/>
              <w:jc w:val="center"/>
              <w:rPr>
                <w:color w:val="000000"/>
                <w:kern w:val="0"/>
                <w:szCs w:val="21"/>
              </w:rPr>
            </w:pPr>
            <w:r>
              <w:rPr>
                <w:color w:val="000000"/>
                <w:kern w:val="0"/>
                <w:szCs w:val="21"/>
              </w:rPr>
              <w:t>1</w:t>
            </w:r>
          </w:p>
        </w:tc>
        <w:tc>
          <w:tcPr>
            <w:tcW w:w="709" w:type="dxa"/>
            <w:noWrap w:val="0"/>
            <w:vAlign w:val="center"/>
          </w:tcPr>
          <w:p w14:paraId="189AE364">
            <w:pPr>
              <w:ind w:left="-63" w:leftChars="-30" w:right="-63" w:rightChars="-30"/>
              <w:jc w:val="center"/>
              <w:rPr>
                <w:color w:val="000000"/>
                <w:kern w:val="0"/>
                <w:szCs w:val="21"/>
              </w:rPr>
            </w:pPr>
            <w:r>
              <w:rPr>
                <w:color w:val="000000"/>
                <w:kern w:val="0"/>
                <w:szCs w:val="21"/>
              </w:rPr>
              <w:t>95</w:t>
            </w:r>
          </w:p>
        </w:tc>
        <w:tc>
          <w:tcPr>
            <w:tcW w:w="850" w:type="dxa"/>
            <w:noWrap w:val="0"/>
            <w:vAlign w:val="center"/>
          </w:tcPr>
          <w:p w14:paraId="1C4C6115">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5378A7C4">
            <w:pPr>
              <w:ind w:left="-63" w:leftChars="-30" w:right="-63" w:rightChars="-30"/>
              <w:jc w:val="center"/>
              <w:rPr>
                <w:color w:val="000000"/>
                <w:kern w:val="0"/>
                <w:szCs w:val="21"/>
              </w:rPr>
            </w:pPr>
            <w:r>
              <w:rPr>
                <w:color w:val="000000"/>
                <w:kern w:val="0"/>
                <w:szCs w:val="21"/>
              </w:rPr>
              <w:t>1</w:t>
            </w:r>
          </w:p>
        </w:tc>
        <w:tc>
          <w:tcPr>
            <w:tcW w:w="565" w:type="dxa"/>
            <w:noWrap w:val="0"/>
            <w:vAlign w:val="center"/>
          </w:tcPr>
          <w:p w14:paraId="217E0269">
            <w:pPr>
              <w:ind w:left="-63" w:leftChars="-30" w:right="-63" w:rightChars="-30"/>
              <w:jc w:val="center"/>
              <w:rPr>
                <w:color w:val="000000"/>
                <w:kern w:val="0"/>
                <w:szCs w:val="21"/>
              </w:rPr>
            </w:pPr>
            <w:r>
              <w:rPr>
                <w:color w:val="000000"/>
                <w:kern w:val="0"/>
                <w:szCs w:val="21"/>
              </w:rPr>
              <w:t>28.22</w:t>
            </w:r>
          </w:p>
        </w:tc>
      </w:tr>
      <w:tr w14:paraId="0CA6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16A1263C">
            <w:pPr>
              <w:ind w:left="-63" w:leftChars="-30" w:right="-63" w:rightChars="-30"/>
              <w:rPr>
                <w:color w:val="000000"/>
                <w:kern w:val="0"/>
                <w:szCs w:val="21"/>
              </w:rPr>
            </w:pPr>
          </w:p>
        </w:tc>
        <w:tc>
          <w:tcPr>
            <w:tcW w:w="567" w:type="dxa"/>
            <w:vMerge w:val="continue"/>
            <w:noWrap w:val="0"/>
            <w:vAlign w:val="center"/>
          </w:tcPr>
          <w:p w14:paraId="77594BA0">
            <w:pPr>
              <w:ind w:left="-63" w:leftChars="-30" w:right="-63" w:rightChars="-30"/>
              <w:rPr>
                <w:rFonts w:ascii="楷体_GB2312" w:hAnsi="宋体" w:eastAsia="楷体_GB2312" w:cs="宋体"/>
                <w:color w:val="000000"/>
                <w:kern w:val="0"/>
                <w:szCs w:val="21"/>
              </w:rPr>
            </w:pPr>
          </w:p>
        </w:tc>
        <w:tc>
          <w:tcPr>
            <w:tcW w:w="567" w:type="dxa"/>
            <w:noWrap w:val="0"/>
            <w:vAlign w:val="center"/>
          </w:tcPr>
          <w:p w14:paraId="6232FDEA">
            <w:pPr>
              <w:ind w:left="-63" w:leftChars="-30" w:right="-63" w:rightChars="-30"/>
              <w:jc w:val="center"/>
              <w:rPr>
                <w:color w:val="000000"/>
                <w:kern w:val="0"/>
                <w:szCs w:val="21"/>
              </w:rPr>
            </w:pPr>
            <w:r>
              <w:rPr>
                <w:color w:val="000000"/>
                <w:kern w:val="0"/>
                <w:szCs w:val="21"/>
              </w:rPr>
              <w:t>2</w:t>
            </w:r>
          </w:p>
        </w:tc>
        <w:tc>
          <w:tcPr>
            <w:tcW w:w="4252" w:type="dxa"/>
            <w:noWrap w:val="0"/>
            <w:vAlign w:val="center"/>
          </w:tcPr>
          <w:p w14:paraId="12CDC94B">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东至盛安路、福安路，南至新大街，西至河西路、拖尾河，北至山闵路</w:t>
            </w:r>
          </w:p>
        </w:tc>
        <w:tc>
          <w:tcPr>
            <w:tcW w:w="851" w:type="dxa"/>
            <w:noWrap w:val="0"/>
            <w:vAlign w:val="center"/>
          </w:tcPr>
          <w:p w14:paraId="7A05AFC6">
            <w:pPr>
              <w:ind w:left="-63" w:leftChars="-30" w:right="-63" w:rightChars="-30"/>
              <w:jc w:val="center"/>
              <w:rPr>
                <w:color w:val="000000"/>
                <w:kern w:val="0"/>
                <w:szCs w:val="21"/>
              </w:rPr>
            </w:pPr>
            <w:r>
              <w:rPr>
                <w:color w:val="000000"/>
                <w:kern w:val="0"/>
                <w:szCs w:val="21"/>
              </w:rPr>
              <w:t>0.95</w:t>
            </w:r>
          </w:p>
        </w:tc>
        <w:tc>
          <w:tcPr>
            <w:tcW w:w="709" w:type="dxa"/>
            <w:noWrap w:val="0"/>
            <w:vAlign w:val="center"/>
          </w:tcPr>
          <w:p w14:paraId="47BFDF1A">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2E952A7D">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624F9756">
            <w:pPr>
              <w:ind w:left="-63" w:leftChars="-30" w:right="-63" w:rightChars="-30"/>
              <w:jc w:val="center"/>
              <w:rPr>
                <w:color w:val="000000"/>
                <w:kern w:val="0"/>
                <w:szCs w:val="21"/>
              </w:rPr>
            </w:pPr>
            <w:r>
              <w:rPr>
                <w:color w:val="000000"/>
                <w:kern w:val="0"/>
                <w:szCs w:val="21"/>
              </w:rPr>
              <w:t>2</w:t>
            </w:r>
          </w:p>
        </w:tc>
        <w:tc>
          <w:tcPr>
            <w:tcW w:w="565" w:type="dxa"/>
            <w:noWrap w:val="0"/>
            <w:vAlign w:val="center"/>
          </w:tcPr>
          <w:p w14:paraId="690DEDEB">
            <w:pPr>
              <w:ind w:left="-63" w:leftChars="-30" w:right="-63" w:rightChars="-30"/>
              <w:jc w:val="center"/>
              <w:rPr>
                <w:color w:val="000000"/>
                <w:kern w:val="0"/>
                <w:szCs w:val="21"/>
              </w:rPr>
            </w:pPr>
            <w:r>
              <w:rPr>
                <w:color w:val="000000"/>
                <w:kern w:val="0"/>
                <w:szCs w:val="21"/>
              </w:rPr>
              <w:t>25.4</w:t>
            </w:r>
          </w:p>
        </w:tc>
      </w:tr>
      <w:tr w14:paraId="4564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4D402E80">
            <w:pPr>
              <w:ind w:left="-63" w:leftChars="-30" w:right="-63" w:rightChars="-30"/>
              <w:rPr>
                <w:color w:val="000000"/>
                <w:kern w:val="0"/>
                <w:szCs w:val="21"/>
              </w:rPr>
            </w:pPr>
          </w:p>
        </w:tc>
        <w:tc>
          <w:tcPr>
            <w:tcW w:w="567" w:type="dxa"/>
            <w:vMerge w:val="continue"/>
            <w:noWrap w:val="0"/>
            <w:vAlign w:val="center"/>
          </w:tcPr>
          <w:p w14:paraId="22DDB666">
            <w:pPr>
              <w:ind w:left="-63" w:leftChars="-30" w:right="-63" w:rightChars="-30"/>
              <w:rPr>
                <w:rFonts w:ascii="楷体_GB2312" w:hAnsi="宋体" w:eastAsia="楷体_GB2312" w:cs="宋体"/>
                <w:color w:val="000000"/>
                <w:kern w:val="0"/>
                <w:szCs w:val="21"/>
              </w:rPr>
            </w:pPr>
          </w:p>
        </w:tc>
        <w:tc>
          <w:tcPr>
            <w:tcW w:w="567" w:type="dxa"/>
            <w:noWrap w:val="0"/>
            <w:vAlign w:val="center"/>
          </w:tcPr>
          <w:p w14:paraId="59E7EAAE">
            <w:pPr>
              <w:ind w:left="-63" w:leftChars="-30" w:right="-63" w:rightChars="-30"/>
              <w:jc w:val="center"/>
              <w:rPr>
                <w:color w:val="000000"/>
                <w:kern w:val="0"/>
                <w:szCs w:val="21"/>
              </w:rPr>
            </w:pPr>
            <w:r>
              <w:rPr>
                <w:color w:val="000000"/>
                <w:kern w:val="0"/>
                <w:szCs w:val="21"/>
              </w:rPr>
              <w:t>3</w:t>
            </w:r>
          </w:p>
        </w:tc>
        <w:tc>
          <w:tcPr>
            <w:tcW w:w="4252" w:type="dxa"/>
            <w:noWrap w:val="0"/>
            <w:vAlign w:val="center"/>
          </w:tcPr>
          <w:p w14:paraId="09F904EB">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851" w:type="dxa"/>
            <w:noWrap w:val="0"/>
            <w:vAlign w:val="center"/>
          </w:tcPr>
          <w:p w14:paraId="5F82DA94">
            <w:pPr>
              <w:ind w:left="-63" w:leftChars="-30" w:right="-63" w:rightChars="-30"/>
              <w:jc w:val="center"/>
              <w:rPr>
                <w:color w:val="000000"/>
                <w:kern w:val="0"/>
                <w:szCs w:val="21"/>
              </w:rPr>
            </w:pPr>
            <w:r>
              <w:rPr>
                <w:color w:val="000000"/>
                <w:kern w:val="0"/>
                <w:szCs w:val="21"/>
              </w:rPr>
              <w:t>0.9</w:t>
            </w:r>
          </w:p>
        </w:tc>
        <w:tc>
          <w:tcPr>
            <w:tcW w:w="709" w:type="dxa"/>
            <w:noWrap w:val="0"/>
            <w:vAlign w:val="center"/>
          </w:tcPr>
          <w:p w14:paraId="72ED87D1">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3E367781">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4046FAD3">
            <w:pPr>
              <w:ind w:left="-63" w:leftChars="-30" w:right="-63" w:rightChars="-30"/>
              <w:jc w:val="center"/>
              <w:rPr>
                <w:color w:val="000000"/>
                <w:kern w:val="0"/>
                <w:szCs w:val="21"/>
              </w:rPr>
            </w:pPr>
            <w:r>
              <w:rPr>
                <w:color w:val="000000"/>
                <w:kern w:val="0"/>
                <w:szCs w:val="21"/>
              </w:rPr>
              <w:t>3</w:t>
            </w:r>
          </w:p>
        </w:tc>
        <w:tc>
          <w:tcPr>
            <w:tcW w:w="565" w:type="dxa"/>
            <w:noWrap w:val="0"/>
            <w:vAlign w:val="center"/>
          </w:tcPr>
          <w:p w14:paraId="19CF093C">
            <w:pPr>
              <w:ind w:left="-63" w:leftChars="-30" w:right="-63" w:rightChars="-30"/>
              <w:jc w:val="center"/>
              <w:rPr>
                <w:color w:val="000000"/>
                <w:kern w:val="0"/>
                <w:szCs w:val="21"/>
              </w:rPr>
            </w:pPr>
            <w:r>
              <w:rPr>
                <w:color w:val="000000"/>
                <w:kern w:val="0"/>
                <w:szCs w:val="21"/>
              </w:rPr>
              <w:t>24.07</w:t>
            </w:r>
          </w:p>
        </w:tc>
      </w:tr>
      <w:tr w14:paraId="51E81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restart"/>
            <w:noWrap w:val="0"/>
            <w:vAlign w:val="center"/>
          </w:tcPr>
          <w:p w14:paraId="2F8C5916">
            <w:pPr>
              <w:ind w:left="-63" w:leftChars="-30" w:right="-63" w:rightChars="-30"/>
              <w:jc w:val="center"/>
              <w:rPr>
                <w:color w:val="000000"/>
                <w:kern w:val="0"/>
                <w:szCs w:val="21"/>
              </w:rPr>
            </w:pPr>
            <w:r>
              <w:rPr>
                <w:color w:val="000000"/>
                <w:kern w:val="0"/>
                <w:szCs w:val="21"/>
              </w:rPr>
              <w:t>18</w:t>
            </w:r>
          </w:p>
        </w:tc>
        <w:tc>
          <w:tcPr>
            <w:tcW w:w="567" w:type="dxa"/>
            <w:vMerge w:val="restart"/>
            <w:noWrap w:val="0"/>
            <w:vAlign w:val="center"/>
          </w:tcPr>
          <w:p w14:paraId="4530FB2C">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大泽乡镇</w:t>
            </w:r>
          </w:p>
        </w:tc>
        <w:tc>
          <w:tcPr>
            <w:tcW w:w="567" w:type="dxa"/>
            <w:noWrap w:val="0"/>
            <w:vAlign w:val="center"/>
          </w:tcPr>
          <w:p w14:paraId="7DF71B41">
            <w:pPr>
              <w:ind w:left="-63" w:leftChars="-30" w:right="-63" w:rightChars="-30"/>
              <w:jc w:val="center"/>
              <w:rPr>
                <w:color w:val="000000"/>
                <w:kern w:val="0"/>
                <w:szCs w:val="21"/>
              </w:rPr>
            </w:pPr>
            <w:r>
              <w:rPr>
                <w:color w:val="000000"/>
                <w:kern w:val="0"/>
                <w:szCs w:val="21"/>
              </w:rPr>
              <w:t>1</w:t>
            </w:r>
          </w:p>
        </w:tc>
        <w:tc>
          <w:tcPr>
            <w:tcW w:w="4252" w:type="dxa"/>
            <w:noWrap w:val="0"/>
            <w:vAlign w:val="center"/>
          </w:tcPr>
          <w:p w14:paraId="1441700B">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东至涉故路，南至求知路，西至鸿鹄路，北至站前路、京沪铁路</w:t>
            </w:r>
          </w:p>
        </w:tc>
        <w:tc>
          <w:tcPr>
            <w:tcW w:w="851" w:type="dxa"/>
            <w:noWrap w:val="0"/>
            <w:vAlign w:val="center"/>
          </w:tcPr>
          <w:p w14:paraId="7130B034">
            <w:pPr>
              <w:ind w:left="-63" w:leftChars="-30" w:right="-63" w:rightChars="-30"/>
              <w:jc w:val="center"/>
              <w:rPr>
                <w:color w:val="000000"/>
                <w:kern w:val="0"/>
                <w:szCs w:val="21"/>
              </w:rPr>
            </w:pPr>
            <w:r>
              <w:rPr>
                <w:color w:val="000000"/>
                <w:kern w:val="0"/>
                <w:szCs w:val="21"/>
              </w:rPr>
              <w:t>1</w:t>
            </w:r>
          </w:p>
        </w:tc>
        <w:tc>
          <w:tcPr>
            <w:tcW w:w="709" w:type="dxa"/>
            <w:noWrap w:val="0"/>
            <w:vAlign w:val="center"/>
          </w:tcPr>
          <w:p w14:paraId="0B5FBC39">
            <w:pPr>
              <w:ind w:left="-63" w:leftChars="-30" w:right="-63" w:rightChars="-30"/>
              <w:jc w:val="center"/>
              <w:rPr>
                <w:color w:val="000000"/>
                <w:kern w:val="0"/>
                <w:szCs w:val="21"/>
              </w:rPr>
            </w:pPr>
            <w:r>
              <w:rPr>
                <w:color w:val="000000"/>
                <w:kern w:val="0"/>
                <w:szCs w:val="21"/>
              </w:rPr>
              <w:t>95</w:t>
            </w:r>
          </w:p>
        </w:tc>
        <w:tc>
          <w:tcPr>
            <w:tcW w:w="850" w:type="dxa"/>
            <w:noWrap w:val="0"/>
            <w:vAlign w:val="center"/>
          </w:tcPr>
          <w:p w14:paraId="4CEDC4F4">
            <w:pPr>
              <w:ind w:left="-63" w:leftChars="-30" w:right="-63" w:rightChars="-30"/>
              <w:jc w:val="center"/>
              <w:rPr>
                <w:color w:val="000000"/>
                <w:kern w:val="0"/>
                <w:szCs w:val="21"/>
              </w:rPr>
            </w:pPr>
            <w:r>
              <w:rPr>
                <w:color w:val="000000"/>
                <w:kern w:val="0"/>
                <w:szCs w:val="21"/>
              </w:rPr>
              <w:t>0.3074</w:t>
            </w:r>
          </w:p>
        </w:tc>
        <w:tc>
          <w:tcPr>
            <w:tcW w:w="284" w:type="dxa"/>
            <w:noWrap w:val="0"/>
            <w:vAlign w:val="center"/>
          </w:tcPr>
          <w:p w14:paraId="68EF2D5C">
            <w:pPr>
              <w:ind w:left="-63" w:leftChars="-30" w:right="-63" w:rightChars="-30"/>
              <w:jc w:val="center"/>
              <w:rPr>
                <w:color w:val="000000"/>
                <w:kern w:val="0"/>
                <w:szCs w:val="21"/>
              </w:rPr>
            </w:pPr>
            <w:r>
              <w:rPr>
                <w:color w:val="000000"/>
                <w:kern w:val="0"/>
                <w:szCs w:val="21"/>
              </w:rPr>
              <w:t>1</w:t>
            </w:r>
          </w:p>
        </w:tc>
        <w:tc>
          <w:tcPr>
            <w:tcW w:w="565" w:type="dxa"/>
            <w:noWrap w:val="0"/>
            <w:vAlign w:val="center"/>
          </w:tcPr>
          <w:p w14:paraId="30203BC5">
            <w:pPr>
              <w:ind w:left="-63" w:leftChars="-30" w:right="-63" w:rightChars="-30"/>
              <w:jc w:val="center"/>
              <w:rPr>
                <w:color w:val="000000"/>
                <w:kern w:val="0"/>
                <w:szCs w:val="21"/>
              </w:rPr>
            </w:pPr>
            <w:r>
              <w:rPr>
                <w:color w:val="000000"/>
                <w:kern w:val="0"/>
                <w:szCs w:val="21"/>
              </w:rPr>
              <w:t>29.2</w:t>
            </w:r>
          </w:p>
        </w:tc>
      </w:tr>
      <w:tr w14:paraId="4CBD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0C16202A">
            <w:pPr>
              <w:ind w:left="-63" w:leftChars="-30" w:right="-63" w:rightChars="-30"/>
              <w:rPr>
                <w:color w:val="000000"/>
                <w:kern w:val="0"/>
                <w:szCs w:val="21"/>
              </w:rPr>
            </w:pPr>
          </w:p>
        </w:tc>
        <w:tc>
          <w:tcPr>
            <w:tcW w:w="567" w:type="dxa"/>
            <w:vMerge w:val="continue"/>
            <w:noWrap w:val="0"/>
            <w:vAlign w:val="center"/>
          </w:tcPr>
          <w:p w14:paraId="4A6A06F6">
            <w:pPr>
              <w:ind w:left="-63" w:leftChars="-30" w:right="-63" w:rightChars="-30"/>
              <w:rPr>
                <w:rFonts w:ascii="楷体_GB2312" w:hAnsi="宋体" w:eastAsia="楷体_GB2312" w:cs="宋体"/>
                <w:color w:val="000000"/>
                <w:kern w:val="0"/>
                <w:szCs w:val="21"/>
              </w:rPr>
            </w:pPr>
          </w:p>
        </w:tc>
        <w:tc>
          <w:tcPr>
            <w:tcW w:w="567" w:type="dxa"/>
            <w:noWrap w:val="0"/>
            <w:vAlign w:val="center"/>
          </w:tcPr>
          <w:p w14:paraId="5FAC3EDB">
            <w:pPr>
              <w:ind w:left="-63" w:leftChars="-30" w:right="-63" w:rightChars="-30"/>
              <w:jc w:val="center"/>
              <w:rPr>
                <w:color w:val="000000"/>
                <w:kern w:val="0"/>
                <w:szCs w:val="21"/>
              </w:rPr>
            </w:pPr>
            <w:r>
              <w:rPr>
                <w:color w:val="000000"/>
                <w:kern w:val="0"/>
                <w:szCs w:val="21"/>
              </w:rPr>
              <w:t>2</w:t>
            </w:r>
          </w:p>
        </w:tc>
        <w:tc>
          <w:tcPr>
            <w:tcW w:w="4252" w:type="dxa"/>
            <w:noWrap w:val="0"/>
            <w:vAlign w:val="center"/>
          </w:tcPr>
          <w:p w14:paraId="3F9AC054">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东至亲民路，南至富民路，西至大泽路、新团沟，北至西桃路、</w:t>
            </w:r>
            <w:r>
              <w:rPr>
                <w:rFonts w:eastAsia="楷体_GB2312"/>
                <w:color w:val="000000"/>
                <w:kern w:val="0"/>
                <w:szCs w:val="21"/>
              </w:rPr>
              <w:t>344</w:t>
            </w:r>
            <w:r>
              <w:rPr>
                <w:rFonts w:hint="eastAsia" w:ascii="楷体_GB2312" w:hAnsi="宋体" w:eastAsia="楷体_GB2312" w:cs="宋体"/>
                <w:color w:val="000000"/>
                <w:kern w:val="0"/>
                <w:szCs w:val="21"/>
              </w:rPr>
              <w:t>国道</w:t>
            </w:r>
          </w:p>
        </w:tc>
        <w:tc>
          <w:tcPr>
            <w:tcW w:w="851" w:type="dxa"/>
            <w:noWrap w:val="0"/>
            <w:vAlign w:val="center"/>
          </w:tcPr>
          <w:p w14:paraId="4F52616B">
            <w:pPr>
              <w:ind w:left="-63" w:leftChars="-30" w:right="-63" w:rightChars="-30"/>
              <w:jc w:val="center"/>
              <w:rPr>
                <w:color w:val="000000"/>
                <w:kern w:val="0"/>
                <w:szCs w:val="21"/>
              </w:rPr>
            </w:pPr>
            <w:r>
              <w:rPr>
                <w:color w:val="000000"/>
                <w:kern w:val="0"/>
                <w:szCs w:val="21"/>
              </w:rPr>
              <w:t>0.95</w:t>
            </w:r>
          </w:p>
        </w:tc>
        <w:tc>
          <w:tcPr>
            <w:tcW w:w="709" w:type="dxa"/>
            <w:noWrap w:val="0"/>
            <w:vAlign w:val="center"/>
          </w:tcPr>
          <w:p w14:paraId="709FC4E9">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64D9360A">
            <w:pPr>
              <w:ind w:left="-63" w:leftChars="-30" w:right="-63" w:rightChars="-30"/>
              <w:jc w:val="center"/>
              <w:rPr>
                <w:color w:val="000000"/>
                <w:kern w:val="0"/>
                <w:szCs w:val="21"/>
              </w:rPr>
            </w:pPr>
            <w:r>
              <w:rPr>
                <w:color w:val="000000"/>
                <w:kern w:val="0"/>
                <w:szCs w:val="21"/>
              </w:rPr>
              <w:t>0.3074</w:t>
            </w:r>
          </w:p>
        </w:tc>
        <w:tc>
          <w:tcPr>
            <w:tcW w:w="284" w:type="dxa"/>
            <w:noWrap w:val="0"/>
            <w:vAlign w:val="center"/>
          </w:tcPr>
          <w:p w14:paraId="1D35A8B2">
            <w:pPr>
              <w:ind w:left="-63" w:leftChars="-30" w:right="-63" w:rightChars="-30"/>
              <w:jc w:val="center"/>
              <w:rPr>
                <w:color w:val="000000"/>
                <w:kern w:val="0"/>
                <w:szCs w:val="21"/>
              </w:rPr>
            </w:pPr>
            <w:r>
              <w:rPr>
                <w:color w:val="000000"/>
                <w:kern w:val="0"/>
                <w:szCs w:val="21"/>
              </w:rPr>
              <w:t>2</w:t>
            </w:r>
          </w:p>
        </w:tc>
        <w:tc>
          <w:tcPr>
            <w:tcW w:w="565" w:type="dxa"/>
            <w:noWrap w:val="0"/>
            <w:vAlign w:val="center"/>
          </w:tcPr>
          <w:p w14:paraId="6E4A849A">
            <w:pPr>
              <w:ind w:left="-63" w:leftChars="-30" w:right="-63" w:rightChars="-30"/>
              <w:jc w:val="center"/>
              <w:rPr>
                <w:color w:val="000000"/>
                <w:kern w:val="0"/>
                <w:szCs w:val="21"/>
              </w:rPr>
            </w:pPr>
            <w:r>
              <w:rPr>
                <w:color w:val="000000"/>
                <w:kern w:val="0"/>
                <w:szCs w:val="21"/>
              </w:rPr>
              <w:t>26.28</w:t>
            </w:r>
          </w:p>
        </w:tc>
      </w:tr>
      <w:tr w14:paraId="68EC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4B4F3B8C">
            <w:pPr>
              <w:ind w:left="-63" w:leftChars="-30" w:right="-63" w:rightChars="-30"/>
              <w:rPr>
                <w:color w:val="000000"/>
                <w:kern w:val="0"/>
                <w:szCs w:val="21"/>
              </w:rPr>
            </w:pPr>
          </w:p>
        </w:tc>
        <w:tc>
          <w:tcPr>
            <w:tcW w:w="567" w:type="dxa"/>
            <w:vMerge w:val="continue"/>
            <w:noWrap w:val="0"/>
            <w:vAlign w:val="center"/>
          </w:tcPr>
          <w:p w14:paraId="61AB475A">
            <w:pPr>
              <w:ind w:left="-63" w:leftChars="-30" w:right="-63" w:rightChars="-30"/>
              <w:rPr>
                <w:rFonts w:ascii="楷体_GB2312" w:hAnsi="宋体" w:eastAsia="楷体_GB2312" w:cs="宋体"/>
                <w:color w:val="000000"/>
                <w:kern w:val="0"/>
                <w:szCs w:val="21"/>
              </w:rPr>
            </w:pPr>
          </w:p>
        </w:tc>
        <w:tc>
          <w:tcPr>
            <w:tcW w:w="567" w:type="dxa"/>
            <w:noWrap w:val="0"/>
            <w:vAlign w:val="center"/>
          </w:tcPr>
          <w:p w14:paraId="77D53AC7">
            <w:pPr>
              <w:ind w:left="-63" w:leftChars="-30" w:right="-63" w:rightChars="-30"/>
              <w:jc w:val="center"/>
              <w:rPr>
                <w:color w:val="000000"/>
                <w:kern w:val="0"/>
                <w:szCs w:val="21"/>
              </w:rPr>
            </w:pPr>
            <w:r>
              <w:rPr>
                <w:color w:val="000000"/>
                <w:kern w:val="0"/>
                <w:szCs w:val="21"/>
              </w:rPr>
              <w:t>3</w:t>
            </w:r>
          </w:p>
        </w:tc>
        <w:tc>
          <w:tcPr>
            <w:tcW w:w="4252" w:type="dxa"/>
            <w:noWrap w:val="0"/>
            <w:vAlign w:val="center"/>
          </w:tcPr>
          <w:p w14:paraId="08F73397">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851" w:type="dxa"/>
            <w:noWrap w:val="0"/>
            <w:vAlign w:val="center"/>
          </w:tcPr>
          <w:p w14:paraId="736C479F">
            <w:pPr>
              <w:ind w:left="-63" w:leftChars="-30" w:right="-63" w:rightChars="-30"/>
              <w:jc w:val="center"/>
              <w:rPr>
                <w:color w:val="000000"/>
                <w:kern w:val="0"/>
                <w:szCs w:val="21"/>
              </w:rPr>
            </w:pPr>
            <w:r>
              <w:rPr>
                <w:color w:val="000000"/>
                <w:kern w:val="0"/>
                <w:szCs w:val="21"/>
              </w:rPr>
              <w:t>0.9</w:t>
            </w:r>
          </w:p>
        </w:tc>
        <w:tc>
          <w:tcPr>
            <w:tcW w:w="709" w:type="dxa"/>
            <w:noWrap w:val="0"/>
            <w:vAlign w:val="center"/>
          </w:tcPr>
          <w:p w14:paraId="47502C33">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6BF26F79">
            <w:pPr>
              <w:ind w:left="-63" w:leftChars="-30" w:right="-63" w:rightChars="-30"/>
              <w:jc w:val="center"/>
              <w:rPr>
                <w:color w:val="000000"/>
                <w:kern w:val="0"/>
                <w:szCs w:val="21"/>
              </w:rPr>
            </w:pPr>
            <w:r>
              <w:rPr>
                <w:color w:val="000000"/>
                <w:kern w:val="0"/>
                <w:szCs w:val="21"/>
              </w:rPr>
              <w:t>0.3074</w:t>
            </w:r>
          </w:p>
        </w:tc>
        <w:tc>
          <w:tcPr>
            <w:tcW w:w="284" w:type="dxa"/>
            <w:noWrap w:val="0"/>
            <w:vAlign w:val="center"/>
          </w:tcPr>
          <w:p w14:paraId="13148E3C">
            <w:pPr>
              <w:ind w:left="-63" w:leftChars="-30" w:right="-63" w:rightChars="-30"/>
              <w:jc w:val="center"/>
              <w:rPr>
                <w:color w:val="000000"/>
                <w:kern w:val="0"/>
                <w:szCs w:val="21"/>
              </w:rPr>
            </w:pPr>
            <w:r>
              <w:rPr>
                <w:color w:val="000000"/>
                <w:kern w:val="0"/>
                <w:szCs w:val="21"/>
              </w:rPr>
              <w:t>3</w:t>
            </w:r>
          </w:p>
        </w:tc>
        <w:tc>
          <w:tcPr>
            <w:tcW w:w="565" w:type="dxa"/>
            <w:noWrap w:val="0"/>
            <w:vAlign w:val="center"/>
          </w:tcPr>
          <w:p w14:paraId="590579ED">
            <w:pPr>
              <w:ind w:left="-63" w:leftChars="-30" w:right="-63" w:rightChars="-30"/>
              <w:jc w:val="center"/>
              <w:rPr>
                <w:color w:val="000000"/>
                <w:kern w:val="0"/>
                <w:szCs w:val="21"/>
              </w:rPr>
            </w:pPr>
            <w:r>
              <w:rPr>
                <w:color w:val="000000"/>
                <w:kern w:val="0"/>
                <w:szCs w:val="21"/>
              </w:rPr>
              <w:t>24.9</w:t>
            </w:r>
          </w:p>
        </w:tc>
      </w:tr>
      <w:tr w14:paraId="3DCBD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restart"/>
            <w:noWrap w:val="0"/>
            <w:vAlign w:val="center"/>
          </w:tcPr>
          <w:p w14:paraId="30D28D3F">
            <w:pPr>
              <w:ind w:left="-63" w:leftChars="-30" w:right="-63" w:rightChars="-30"/>
              <w:jc w:val="center"/>
              <w:rPr>
                <w:color w:val="000000"/>
                <w:kern w:val="0"/>
                <w:szCs w:val="21"/>
              </w:rPr>
            </w:pPr>
            <w:r>
              <w:rPr>
                <w:color w:val="000000"/>
                <w:kern w:val="0"/>
                <w:szCs w:val="21"/>
              </w:rPr>
              <w:t>19</w:t>
            </w:r>
          </w:p>
        </w:tc>
        <w:tc>
          <w:tcPr>
            <w:tcW w:w="567" w:type="dxa"/>
            <w:vMerge w:val="restart"/>
            <w:noWrap w:val="0"/>
            <w:vAlign w:val="center"/>
          </w:tcPr>
          <w:p w14:paraId="60F8EAA4">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永安镇</w:t>
            </w:r>
          </w:p>
        </w:tc>
        <w:tc>
          <w:tcPr>
            <w:tcW w:w="567" w:type="dxa"/>
            <w:noWrap w:val="0"/>
            <w:vAlign w:val="center"/>
          </w:tcPr>
          <w:p w14:paraId="05428630">
            <w:pPr>
              <w:ind w:left="-63" w:leftChars="-30" w:right="-63" w:rightChars="-30"/>
              <w:jc w:val="center"/>
              <w:rPr>
                <w:color w:val="000000"/>
                <w:kern w:val="0"/>
                <w:szCs w:val="21"/>
              </w:rPr>
            </w:pPr>
            <w:r>
              <w:rPr>
                <w:color w:val="000000"/>
                <w:kern w:val="0"/>
                <w:szCs w:val="21"/>
              </w:rPr>
              <w:t>1</w:t>
            </w:r>
          </w:p>
        </w:tc>
        <w:tc>
          <w:tcPr>
            <w:tcW w:w="4252" w:type="dxa"/>
            <w:noWrap w:val="0"/>
            <w:vAlign w:val="center"/>
          </w:tcPr>
          <w:p w14:paraId="05899A22">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东至永三路、永商路，南至永胜路，西至平安大道，北至永中路、永庆路</w:t>
            </w:r>
          </w:p>
        </w:tc>
        <w:tc>
          <w:tcPr>
            <w:tcW w:w="851" w:type="dxa"/>
            <w:noWrap w:val="0"/>
            <w:vAlign w:val="center"/>
          </w:tcPr>
          <w:p w14:paraId="0089C654">
            <w:pPr>
              <w:ind w:left="-63" w:leftChars="-30" w:right="-63" w:rightChars="-30"/>
              <w:jc w:val="center"/>
              <w:rPr>
                <w:color w:val="000000"/>
                <w:kern w:val="0"/>
                <w:szCs w:val="21"/>
              </w:rPr>
            </w:pPr>
            <w:r>
              <w:rPr>
                <w:color w:val="000000"/>
                <w:kern w:val="0"/>
                <w:szCs w:val="21"/>
              </w:rPr>
              <w:t>1</w:t>
            </w:r>
          </w:p>
        </w:tc>
        <w:tc>
          <w:tcPr>
            <w:tcW w:w="709" w:type="dxa"/>
            <w:noWrap w:val="0"/>
            <w:vAlign w:val="center"/>
          </w:tcPr>
          <w:p w14:paraId="60D501A1">
            <w:pPr>
              <w:ind w:left="-63" w:leftChars="-30" w:right="-63" w:rightChars="-30"/>
              <w:jc w:val="center"/>
              <w:rPr>
                <w:color w:val="000000"/>
                <w:kern w:val="0"/>
                <w:szCs w:val="21"/>
              </w:rPr>
            </w:pPr>
            <w:r>
              <w:rPr>
                <w:color w:val="000000"/>
                <w:kern w:val="0"/>
                <w:szCs w:val="21"/>
              </w:rPr>
              <w:t>95</w:t>
            </w:r>
          </w:p>
        </w:tc>
        <w:tc>
          <w:tcPr>
            <w:tcW w:w="850" w:type="dxa"/>
            <w:noWrap w:val="0"/>
            <w:vAlign w:val="center"/>
          </w:tcPr>
          <w:p w14:paraId="3AA14875">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137386D2">
            <w:pPr>
              <w:ind w:left="-63" w:leftChars="-30" w:right="-63" w:rightChars="-30"/>
              <w:jc w:val="center"/>
              <w:rPr>
                <w:color w:val="000000"/>
                <w:kern w:val="0"/>
                <w:szCs w:val="21"/>
              </w:rPr>
            </w:pPr>
            <w:r>
              <w:rPr>
                <w:color w:val="000000"/>
                <w:kern w:val="0"/>
                <w:szCs w:val="21"/>
              </w:rPr>
              <w:t>1</w:t>
            </w:r>
          </w:p>
        </w:tc>
        <w:tc>
          <w:tcPr>
            <w:tcW w:w="565" w:type="dxa"/>
            <w:noWrap w:val="0"/>
            <w:vAlign w:val="center"/>
          </w:tcPr>
          <w:p w14:paraId="0A88C264">
            <w:pPr>
              <w:ind w:left="-63" w:leftChars="-30" w:right="-63" w:rightChars="-30"/>
              <w:jc w:val="center"/>
              <w:rPr>
                <w:color w:val="000000"/>
                <w:kern w:val="0"/>
                <w:szCs w:val="21"/>
              </w:rPr>
            </w:pPr>
            <w:r>
              <w:rPr>
                <w:color w:val="000000"/>
                <w:kern w:val="0"/>
                <w:szCs w:val="21"/>
              </w:rPr>
              <w:t>28.22</w:t>
            </w:r>
          </w:p>
        </w:tc>
      </w:tr>
      <w:tr w14:paraId="0782E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2E5AE360">
            <w:pPr>
              <w:ind w:left="-63" w:leftChars="-30" w:right="-63" w:rightChars="-30"/>
              <w:rPr>
                <w:color w:val="000000"/>
                <w:kern w:val="0"/>
                <w:szCs w:val="21"/>
              </w:rPr>
            </w:pPr>
          </w:p>
        </w:tc>
        <w:tc>
          <w:tcPr>
            <w:tcW w:w="567" w:type="dxa"/>
            <w:vMerge w:val="continue"/>
            <w:noWrap w:val="0"/>
            <w:vAlign w:val="center"/>
          </w:tcPr>
          <w:p w14:paraId="72962B5D">
            <w:pPr>
              <w:ind w:left="-63" w:leftChars="-30" w:right="-63" w:rightChars="-30"/>
              <w:rPr>
                <w:rFonts w:ascii="楷体_GB2312" w:hAnsi="宋体" w:eastAsia="楷体_GB2312" w:cs="宋体"/>
                <w:color w:val="000000"/>
                <w:kern w:val="0"/>
                <w:szCs w:val="21"/>
              </w:rPr>
            </w:pPr>
          </w:p>
        </w:tc>
        <w:tc>
          <w:tcPr>
            <w:tcW w:w="567" w:type="dxa"/>
            <w:noWrap w:val="0"/>
            <w:vAlign w:val="center"/>
          </w:tcPr>
          <w:p w14:paraId="3529964B">
            <w:pPr>
              <w:ind w:left="-63" w:leftChars="-30" w:right="-63" w:rightChars="-30"/>
              <w:jc w:val="center"/>
              <w:rPr>
                <w:color w:val="000000"/>
                <w:kern w:val="0"/>
                <w:szCs w:val="21"/>
              </w:rPr>
            </w:pPr>
            <w:r>
              <w:rPr>
                <w:color w:val="000000"/>
                <w:kern w:val="0"/>
                <w:szCs w:val="21"/>
              </w:rPr>
              <w:t>2</w:t>
            </w:r>
          </w:p>
        </w:tc>
        <w:tc>
          <w:tcPr>
            <w:tcW w:w="4252" w:type="dxa"/>
            <w:noWrap w:val="0"/>
            <w:vAlign w:val="center"/>
          </w:tcPr>
          <w:p w14:paraId="4765A5E1">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东至振兴路，南至永中沟，西至二徐路，北至镇北路</w:t>
            </w:r>
          </w:p>
        </w:tc>
        <w:tc>
          <w:tcPr>
            <w:tcW w:w="851" w:type="dxa"/>
            <w:noWrap w:val="0"/>
            <w:vAlign w:val="center"/>
          </w:tcPr>
          <w:p w14:paraId="3729ED2E">
            <w:pPr>
              <w:ind w:left="-63" w:leftChars="-30" w:right="-63" w:rightChars="-30"/>
              <w:jc w:val="center"/>
              <w:rPr>
                <w:color w:val="000000"/>
                <w:kern w:val="0"/>
                <w:szCs w:val="21"/>
              </w:rPr>
            </w:pPr>
            <w:r>
              <w:rPr>
                <w:color w:val="000000"/>
                <w:kern w:val="0"/>
                <w:szCs w:val="21"/>
              </w:rPr>
              <w:t>0.95</w:t>
            </w:r>
          </w:p>
        </w:tc>
        <w:tc>
          <w:tcPr>
            <w:tcW w:w="709" w:type="dxa"/>
            <w:noWrap w:val="0"/>
            <w:vAlign w:val="center"/>
          </w:tcPr>
          <w:p w14:paraId="0673A24D">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30D72CED">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5D488AE1">
            <w:pPr>
              <w:ind w:left="-63" w:leftChars="-30" w:right="-63" w:rightChars="-30"/>
              <w:jc w:val="center"/>
              <w:rPr>
                <w:color w:val="000000"/>
                <w:kern w:val="0"/>
                <w:szCs w:val="21"/>
              </w:rPr>
            </w:pPr>
            <w:r>
              <w:rPr>
                <w:color w:val="000000"/>
                <w:kern w:val="0"/>
                <w:szCs w:val="21"/>
              </w:rPr>
              <w:t>2</w:t>
            </w:r>
          </w:p>
        </w:tc>
        <w:tc>
          <w:tcPr>
            <w:tcW w:w="565" w:type="dxa"/>
            <w:noWrap w:val="0"/>
            <w:vAlign w:val="center"/>
          </w:tcPr>
          <w:p w14:paraId="010FABC2">
            <w:pPr>
              <w:ind w:left="-63" w:leftChars="-30" w:right="-63" w:rightChars="-30"/>
              <w:jc w:val="center"/>
              <w:rPr>
                <w:color w:val="000000"/>
                <w:kern w:val="0"/>
                <w:szCs w:val="21"/>
              </w:rPr>
            </w:pPr>
            <w:r>
              <w:rPr>
                <w:color w:val="000000"/>
                <w:kern w:val="0"/>
                <w:szCs w:val="21"/>
              </w:rPr>
              <w:t>25.4</w:t>
            </w:r>
          </w:p>
        </w:tc>
      </w:tr>
      <w:tr w14:paraId="10F57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1C5C3D63">
            <w:pPr>
              <w:ind w:left="-63" w:leftChars="-30" w:right="-63" w:rightChars="-30"/>
              <w:rPr>
                <w:color w:val="000000"/>
                <w:kern w:val="0"/>
                <w:szCs w:val="21"/>
              </w:rPr>
            </w:pPr>
          </w:p>
        </w:tc>
        <w:tc>
          <w:tcPr>
            <w:tcW w:w="567" w:type="dxa"/>
            <w:vMerge w:val="continue"/>
            <w:noWrap w:val="0"/>
            <w:vAlign w:val="center"/>
          </w:tcPr>
          <w:p w14:paraId="7EBA3900">
            <w:pPr>
              <w:ind w:left="-63" w:leftChars="-30" w:right="-63" w:rightChars="-30"/>
              <w:rPr>
                <w:rFonts w:ascii="楷体_GB2312" w:hAnsi="宋体" w:eastAsia="楷体_GB2312" w:cs="宋体"/>
                <w:color w:val="000000"/>
                <w:kern w:val="0"/>
                <w:szCs w:val="21"/>
              </w:rPr>
            </w:pPr>
          </w:p>
        </w:tc>
        <w:tc>
          <w:tcPr>
            <w:tcW w:w="567" w:type="dxa"/>
            <w:noWrap w:val="0"/>
            <w:vAlign w:val="center"/>
          </w:tcPr>
          <w:p w14:paraId="51FF3946">
            <w:pPr>
              <w:ind w:left="-63" w:leftChars="-30" w:right="-63" w:rightChars="-30"/>
              <w:jc w:val="center"/>
              <w:rPr>
                <w:color w:val="000000"/>
                <w:kern w:val="0"/>
                <w:szCs w:val="21"/>
              </w:rPr>
            </w:pPr>
            <w:r>
              <w:rPr>
                <w:color w:val="000000"/>
                <w:kern w:val="0"/>
                <w:szCs w:val="21"/>
              </w:rPr>
              <w:t>3</w:t>
            </w:r>
          </w:p>
        </w:tc>
        <w:tc>
          <w:tcPr>
            <w:tcW w:w="4252" w:type="dxa"/>
            <w:noWrap w:val="0"/>
            <w:vAlign w:val="center"/>
          </w:tcPr>
          <w:p w14:paraId="08B3DCB1">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851" w:type="dxa"/>
            <w:noWrap w:val="0"/>
            <w:vAlign w:val="center"/>
          </w:tcPr>
          <w:p w14:paraId="5E86B98D">
            <w:pPr>
              <w:ind w:left="-63" w:leftChars="-30" w:right="-63" w:rightChars="-30"/>
              <w:jc w:val="center"/>
              <w:rPr>
                <w:color w:val="000000"/>
                <w:kern w:val="0"/>
                <w:szCs w:val="21"/>
              </w:rPr>
            </w:pPr>
            <w:r>
              <w:rPr>
                <w:color w:val="000000"/>
                <w:kern w:val="0"/>
                <w:szCs w:val="21"/>
              </w:rPr>
              <w:t>0.9</w:t>
            </w:r>
          </w:p>
        </w:tc>
        <w:tc>
          <w:tcPr>
            <w:tcW w:w="709" w:type="dxa"/>
            <w:noWrap w:val="0"/>
            <w:vAlign w:val="center"/>
          </w:tcPr>
          <w:p w14:paraId="58429472">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7458682E">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788D60AD">
            <w:pPr>
              <w:ind w:left="-63" w:leftChars="-30" w:right="-63" w:rightChars="-30"/>
              <w:jc w:val="center"/>
              <w:rPr>
                <w:color w:val="000000"/>
                <w:kern w:val="0"/>
                <w:szCs w:val="21"/>
              </w:rPr>
            </w:pPr>
            <w:r>
              <w:rPr>
                <w:color w:val="000000"/>
                <w:kern w:val="0"/>
                <w:szCs w:val="21"/>
              </w:rPr>
              <w:t>3</w:t>
            </w:r>
          </w:p>
        </w:tc>
        <w:tc>
          <w:tcPr>
            <w:tcW w:w="565" w:type="dxa"/>
            <w:noWrap w:val="0"/>
            <w:vAlign w:val="center"/>
          </w:tcPr>
          <w:p w14:paraId="1DB2B420">
            <w:pPr>
              <w:ind w:left="-63" w:leftChars="-30" w:right="-63" w:rightChars="-30"/>
              <w:jc w:val="center"/>
              <w:rPr>
                <w:color w:val="000000"/>
                <w:kern w:val="0"/>
                <w:szCs w:val="21"/>
              </w:rPr>
            </w:pPr>
            <w:r>
              <w:rPr>
                <w:color w:val="000000"/>
                <w:kern w:val="0"/>
                <w:szCs w:val="21"/>
              </w:rPr>
              <w:t>24.07</w:t>
            </w:r>
          </w:p>
        </w:tc>
      </w:tr>
      <w:tr w14:paraId="1AF5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restart"/>
            <w:noWrap w:val="0"/>
            <w:vAlign w:val="center"/>
          </w:tcPr>
          <w:p w14:paraId="5077F461">
            <w:pPr>
              <w:ind w:left="-63" w:leftChars="-30" w:right="-63" w:rightChars="-30"/>
              <w:jc w:val="center"/>
              <w:rPr>
                <w:color w:val="000000"/>
                <w:kern w:val="0"/>
                <w:szCs w:val="21"/>
              </w:rPr>
            </w:pPr>
            <w:r>
              <w:rPr>
                <w:color w:val="000000"/>
                <w:kern w:val="0"/>
                <w:szCs w:val="21"/>
              </w:rPr>
              <w:t>20</w:t>
            </w:r>
          </w:p>
        </w:tc>
        <w:tc>
          <w:tcPr>
            <w:tcW w:w="567" w:type="dxa"/>
            <w:vMerge w:val="restart"/>
            <w:noWrap w:val="0"/>
            <w:vAlign w:val="center"/>
          </w:tcPr>
          <w:p w14:paraId="3D117467">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支河乡</w:t>
            </w:r>
          </w:p>
        </w:tc>
        <w:tc>
          <w:tcPr>
            <w:tcW w:w="567" w:type="dxa"/>
            <w:noWrap w:val="0"/>
            <w:vAlign w:val="center"/>
          </w:tcPr>
          <w:p w14:paraId="67A12428">
            <w:pPr>
              <w:ind w:left="-63" w:leftChars="-30" w:right="-63" w:rightChars="-30"/>
              <w:jc w:val="center"/>
              <w:rPr>
                <w:color w:val="000000"/>
                <w:kern w:val="0"/>
                <w:szCs w:val="21"/>
              </w:rPr>
            </w:pPr>
            <w:r>
              <w:rPr>
                <w:color w:val="000000"/>
                <w:kern w:val="0"/>
                <w:szCs w:val="21"/>
              </w:rPr>
              <w:t>1</w:t>
            </w:r>
          </w:p>
        </w:tc>
        <w:tc>
          <w:tcPr>
            <w:tcW w:w="4252" w:type="dxa"/>
            <w:noWrap w:val="0"/>
            <w:vAlign w:val="center"/>
          </w:tcPr>
          <w:p w14:paraId="5D9EC64A">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东至金屯路，南至和谐路，西至富强路，北至滨河路</w:t>
            </w:r>
          </w:p>
        </w:tc>
        <w:tc>
          <w:tcPr>
            <w:tcW w:w="851" w:type="dxa"/>
            <w:noWrap w:val="0"/>
            <w:vAlign w:val="center"/>
          </w:tcPr>
          <w:p w14:paraId="4AED1F49">
            <w:pPr>
              <w:ind w:left="-63" w:leftChars="-30" w:right="-63" w:rightChars="-30"/>
              <w:jc w:val="center"/>
              <w:rPr>
                <w:color w:val="000000"/>
                <w:kern w:val="0"/>
                <w:szCs w:val="21"/>
              </w:rPr>
            </w:pPr>
            <w:r>
              <w:rPr>
                <w:color w:val="000000"/>
                <w:kern w:val="0"/>
                <w:szCs w:val="21"/>
              </w:rPr>
              <w:t>1</w:t>
            </w:r>
          </w:p>
        </w:tc>
        <w:tc>
          <w:tcPr>
            <w:tcW w:w="709" w:type="dxa"/>
            <w:noWrap w:val="0"/>
            <w:vAlign w:val="center"/>
          </w:tcPr>
          <w:p w14:paraId="16BD7E4F">
            <w:pPr>
              <w:ind w:left="-63" w:leftChars="-30" w:right="-63" w:rightChars="-30"/>
              <w:jc w:val="center"/>
              <w:rPr>
                <w:color w:val="000000"/>
                <w:kern w:val="0"/>
                <w:szCs w:val="21"/>
              </w:rPr>
            </w:pPr>
            <w:r>
              <w:rPr>
                <w:color w:val="000000"/>
                <w:kern w:val="0"/>
                <w:szCs w:val="21"/>
              </w:rPr>
              <w:t>95</w:t>
            </w:r>
          </w:p>
        </w:tc>
        <w:tc>
          <w:tcPr>
            <w:tcW w:w="850" w:type="dxa"/>
            <w:noWrap w:val="0"/>
            <w:vAlign w:val="center"/>
          </w:tcPr>
          <w:p w14:paraId="06886A0B">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6EE307EA">
            <w:pPr>
              <w:ind w:left="-63" w:leftChars="-30" w:right="-63" w:rightChars="-30"/>
              <w:jc w:val="center"/>
              <w:rPr>
                <w:color w:val="000000"/>
                <w:kern w:val="0"/>
                <w:szCs w:val="21"/>
              </w:rPr>
            </w:pPr>
            <w:r>
              <w:rPr>
                <w:color w:val="000000"/>
                <w:kern w:val="0"/>
                <w:szCs w:val="21"/>
              </w:rPr>
              <w:t>1</w:t>
            </w:r>
          </w:p>
        </w:tc>
        <w:tc>
          <w:tcPr>
            <w:tcW w:w="565" w:type="dxa"/>
            <w:noWrap w:val="0"/>
            <w:vAlign w:val="center"/>
          </w:tcPr>
          <w:p w14:paraId="6B5A7E98">
            <w:pPr>
              <w:ind w:left="-63" w:leftChars="-30" w:right="-63" w:rightChars="-30"/>
              <w:jc w:val="center"/>
              <w:rPr>
                <w:color w:val="000000"/>
                <w:kern w:val="0"/>
                <w:szCs w:val="21"/>
              </w:rPr>
            </w:pPr>
            <w:r>
              <w:rPr>
                <w:color w:val="000000"/>
                <w:kern w:val="0"/>
                <w:szCs w:val="21"/>
              </w:rPr>
              <w:t>28.22</w:t>
            </w:r>
          </w:p>
        </w:tc>
      </w:tr>
      <w:tr w14:paraId="07CE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3705EE5E">
            <w:pPr>
              <w:ind w:left="-63" w:leftChars="-30" w:right="-63" w:rightChars="-30"/>
              <w:rPr>
                <w:color w:val="000000"/>
                <w:kern w:val="0"/>
                <w:szCs w:val="21"/>
              </w:rPr>
            </w:pPr>
          </w:p>
        </w:tc>
        <w:tc>
          <w:tcPr>
            <w:tcW w:w="567" w:type="dxa"/>
            <w:vMerge w:val="continue"/>
            <w:noWrap w:val="0"/>
            <w:vAlign w:val="center"/>
          </w:tcPr>
          <w:p w14:paraId="28F30C3B">
            <w:pPr>
              <w:ind w:left="-63" w:leftChars="-30" w:right="-63" w:rightChars="-30"/>
              <w:rPr>
                <w:rFonts w:ascii="楷体_GB2312" w:hAnsi="宋体" w:eastAsia="楷体_GB2312" w:cs="宋体"/>
                <w:color w:val="000000"/>
                <w:kern w:val="0"/>
                <w:szCs w:val="21"/>
              </w:rPr>
            </w:pPr>
          </w:p>
        </w:tc>
        <w:tc>
          <w:tcPr>
            <w:tcW w:w="567" w:type="dxa"/>
            <w:noWrap w:val="0"/>
            <w:vAlign w:val="center"/>
          </w:tcPr>
          <w:p w14:paraId="3BEE834F">
            <w:pPr>
              <w:ind w:left="-63" w:leftChars="-30" w:right="-63" w:rightChars="-30"/>
              <w:jc w:val="center"/>
              <w:rPr>
                <w:color w:val="000000"/>
                <w:kern w:val="0"/>
                <w:szCs w:val="21"/>
              </w:rPr>
            </w:pPr>
            <w:r>
              <w:rPr>
                <w:color w:val="000000"/>
                <w:kern w:val="0"/>
                <w:szCs w:val="21"/>
              </w:rPr>
              <w:t>2</w:t>
            </w:r>
          </w:p>
        </w:tc>
        <w:tc>
          <w:tcPr>
            <w:tcW w:w="4252" w:type="dxa"/>
            <w:noWrap w:val="0"/>
            <w:vAlign w:val="center"/>
          </w:tcPr>
          <w:p w14:paraId="5F6C04D3">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东至中学路，南至外环南路，西至欧河路，北至定级边界</w:t>
            </w:r>
          </w:p>
        </w:tc>
        <w:tc>
          <w:tcPr>
            <w:tcW w:w="851" w:type="dxa"/>
            <w:noWrap w:val="0"/>
            <w:vAlign w:val="center"/>
          </w:tcPr>
          <w:p w14:paraId="2FBBB732">
            <w:pPr>
              <w:ind w:left="-63" w:leftChars="-30" w:right="-63" w:rightChars="-30"/>
              <w:jc w:val="center"/>
              <w:rPr>
                <w:color w:val="000000"/>
                <w:kern w:val="0"/>
                <w:szCs w:val="21"/>
              </w:rPr>
            </w:pPr>
            <w:r>
              <w:rPr>
                <w:color w:val="000000"/>
                <w:kern w:val="0"/>
                <w:szCs w:val="21"/>
              </w:rPr>
              <w:t>0.95</w:t>
            </w:r>
          </w:p>
        </w:tc>
        <w:tc>
          <w:tcPr>
            <w:tcW w:w="709" w:type="dxa"/>
            <w:noWrap w:val="0"/>
            <w:vAlign w:val="center"/>
          </w:tcPr>
          <w:p w14:paraId="164E3067">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53752777">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457FD2E8">
            <w:pPr>
              <w:ind w:left="-63" w:leftChars="-30" w:right="-63" w:rightChars="-30"/>
              <w:jc w:val="center"/>
              <w:rPr>
                <w:color w:val="000000"/>
                <w:kern w:val="0"/>
                <w:szCs w:val="21"/>
              </w:rPr>
            </w:pPr>
            <w:r>
              <w:rPr>
                <w:color w:val="000000"/>
                <w:kern w:val="0"/>
                <w:szCs w:val="21"/>
              </w:rPr>
              <w:t>2</w:t>
            </w:r>
          </w:p>
        </w:tc>
        <w:tc>
          <w:tcPr>
            <w:tcW w:w="565" w:type="dxa"/>
            <w:noWrap w:val="0"/>
            <w:vAlign w:val="center"/>
          </w:tcPr>
          <w:p w14:paraId="4DA88FDF">
            <w:pPr>
              <w:ind w:left="-63" w:leftChars="-30" w:right="-63" w:rightChars="-30"/>
              <w:jc w:val="center"/>
              <w:rPr>
                <w:color w:val="000000"/>
                <w:kern w:val="0"/>
                <w:szCs w:val="21"/>
              </w:rPr>
            </w:pPr>
            <w:r>
              <w:rPr>
                <w:color w:val="000000"/>
                <w:kern w:val="0"/>
                <w:szCs w:val="21"/>
              </w:rPr>
              <w:t>25.4</w:t>
            </w:r>
          </w:p>
        </w:tc>
      </w:tr>
      <w:tr w14:paraId="1D955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013D9FB1">
            <w:pPr>
              <w:ind w:left="-63" w:leftChars="-30" w:right="-63" w:rightChars="-30"/>
              <w:rPr>
                <w:color w:val="000000"/>
                <w:kern w:val="0"/>
                <w:szCs w:val="21"/>
              </w:rPr>
            </w:pPr>
          </w:p>
        </w:tc>
        <w:tc>
          <w:tcPr>
            <w:tcW w:w="567" w:type="dxa"/>
            <w:vMerge w:val="continue"/>
            <w:noWrap w:val="0"/>
            <w:vAlign w:val="center"/>
          </w:tcPr>
          <w:p w14:paraId="4833DB2C">
            <w:pPr>
              <w:ind w:left="-63" w:leftChars="-30" w:right="-63" w:rightChars="-30"/>
              <w:rPr>
                <w:rFonts w:ascii="楷体_GB2312" w:hAnsi="宋体" w:eastAsia="楷体_GB2312" w:cs="宋体"/>
                <w:color w:val="000000"/>
                <w:kern w:val="0"/>
                <w:szCs w:val="21"/>
              </w:rPr>
            </w:pPr>
          </w:p>
        </w:tc>
        <w:tc>
          <w:tcPr>
            <w:tcW w:w="567" w:type="dxa"/>
            <w:noWrap w:val="0"/>
            <w:vAlign w:val="center"/>
          </w:tcPr>
          <w:p w14:paraId="49CDB41E">
            <w:pPr>
              <w:ind w:left="-63" w:leftChars="-30" w:right="-63" w:rightChars="-30"/>
              <w:jc w:val="center"/>
              <w:rPr>
                <w:color w:val="000000"/>
                <w:kern w:val="0"/>
                <w:szCs w:val="21"/>
              </w:rPr>
            </w:pPr>
            <w:r>
              <w:rPr>
                <w:color w:val="000000"/>
                <w:kern w:val="0"/>
                <w:szCs w:val="21"/>
              </w:rPr>
              <w:t>3</w:t>
            </w:r>
          </w:p>
        </w:tc>
        <w:tc>
          <w:tcPr>
            <w:tcW w:w="4252" w:type="dxa"/>
            <w:noWrap w:val="0"/>
            <w:vAlign w:val="center"/>
          </w:tcPr>
          <w:p w14:paraId="59D08DA1">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851" w:type="dxa"/>
            <w:noWrap w:val="0"/>
            <w:vAlign w:val="center"/>
          </w:tcPr>
          <w:p w14:paraId="155908B4">
            <w:pPr>
              <w:ind w:left="-63" w:leftChars="-30" w:right="-63" w:rightChars="-30"/>
              <w:jc w:val="center"/>
              <w:rPr>
                <w:color w:val="000000"/>
                <w:kern w:val="0"/>
                <w:szCs w:val="21"/>
              </w:rPr>
            </w:pPr>
            <w:r>
              <w:rPr>
                <w:color w:val="000000"/>
                <w:kern w:val="0"/>
                <w:szCs w:val="21"/>
              </w:rPr>
              <w:t>0.9</w:t>
            </w:r>
          </w:p>
        </w:tc>
        <w:tc>
          <w:tcPr>
            <w:tcW w:w="709" w:type="dxa"/>
            <w:noWrap w:val="0"/>
            <w:vAlign w:val="center"/>
          </w:tcPr>
          <w:p w14:paraId="5EF23744">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19B8B830">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121711F8">
            <w:pPr>
              <w:ind w:left="-63" w:leftChars="-30" w:right="-63" w:rightChars="-30"/>
              <w:jc w:val="center"/>
              <w:rPr>
                <w:color w:val="000000"/>
                <w:kern w:val="0"/>
                <w:szCs w:val="21"/>
              </w:rPr>
            </w:pPr>
            <w:r>
              <w:rPr>
                <w:color w:val="000000"/>
                <w:kern w:val="0"/>
                <w:szCs w:val="21"/>
              </w:rPr>
              <w:t>3</w:t>
            </w:r>
          </w:p>
        </w:tc>
        <w:tc>
          <w:tcPr>
            <w:tcW w:w="565" w:type="dxa"/>
            <w:noWrap w:val="0"/>
            <w:vAlign w:val="center"/>
          </w:tcPr>
          <w:p w14:paraId="60FDDC2B">
            <w:pPr>
              <w:ind w:left="-63" w:leftChars="-30" w:right="-63" w:rightChars="-30"/>
              <w:jc w:val="center"/>
              <w:rPr>
                <w:color w:val="000000"/>
                <w:kern w:val="0"/>
                <w:szCs w:val="21"/>
              </w:rPr>
            </w:pPr>
            <w:r>
              <w:rPr>
                <w:color w:val="000000"/>
                <w:kern w:val="0"/>
                <w:szCs w:val="21"/>
              </w:rPr>
              <w:t>24.07</w:t>
            </w:r>
          </w:p>
        </w:tc>
      </w:tr>
      <w:tr w14:paraId="660C2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restart"/>
            <w:noWrap w:val="0"/>
            <w:vAlign w:val="center"/>
          </w:tcPr>
          <w:p w14:paraId="75B457B6">
            <w:pPr>
              <w:ind w:left="-63" w:leftChars="-30" w:right="-63" w:rightChars="-30"/>
              <w:jc w:val="center"/>
              <w:rPr>
                <w:color w:val="000000"/>
                <w:kern w:val="0"/>
                <w:szCs w:val="21"/>
              </w:rPr>
            </w:pPr>
            <w:r>
              <w:rPr>
                <w:color w:val="000000"/>
                <w:kern w:val="0"/>
                <w:szCs w:val="21"/>
              </w:rPr>
              <w:t>21</w:t>
            </w:r>
          </w:p>
        </w:tc>
        <w:tc>
          <w:tcPr>
            <w:tcW w:w="567" w:type="dxa"/>
            <w:vMerge w:val="restart"/>
            <w:noWrap w:val="0"/>
            <w:vAlign w:val="center"/>
          </w:tcPr>
          <w:p w14:paraId="232A5E42">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灰古镇</w:t>
            </w:r>
          </w:p>
        </w:tc>
        <w:tc>
          <w:tcPr>
            <w:tcW w:w="567" w:type="dxa"/>
            <w:noWrap w:val="0"/>
            <w:vAlign w:val="center"/>
          </w:tcPr>
          <w:p w14:paraId="6039A991">
            <w:pPr>
              <w:ind w:left="-63" w:leftChars="-30" w:right="-63" w:rightChars="-30"/>
              <w:jc w:val="center"/>
              <w:rPr>
                <w:color w:val="000000"/>
                <w:kern w:val="0"/>
                <w:szCs w:val="21"/>
              </w:rPr>
            </w:pPr>
            <w:r>
              <w:rPr>
                <w:color w:val="000000"/>
                <w:kern w:val="0"/>
                <w:szCs w:val="21"/>
              </w:rPr>
              <w:t>1</w:t>
            </w:r>
          </w:p>
        </w:tc>
        <w:tc>
          <w:tcPr>
            <w:tcW w:w="4252" w:type="dxa"/>
            <w:noWrap w:val="0"/>
            <w:vAlign w:val="center"/>
          </w:tcPr>
          <w:p w14:paraId="269B88FA">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东至菜市街，南至群爱家纺北侧道路，西至二徐路、灰毛路，北至沿河路</w:t>
            </w:r>
          </w:p>
        </w:tc>
        <w:tc>
          <w:tcPr>
            <w:tcW w:w="851" w:type="dxa"/>
            <w:noWrap w:val="0"/>
            <w:vAlign w:val="center"/>
          </w:tcPr>
          <w:p w14:paraId="393708E0">
            <w:pPr>
              <w:ind w:left="-63" w:leftChars="-30" w:right="-63" w:rightChars="-30"/>
              <w:jc w:val="center"/>
              <w:rPr>
                <w:color w:val="000000"/>
                <w:kern w:val="0"/>
                <w:szCs w:val="21"/>
              </w:rPr>
            </w:pPr>
            <w:r>
              <w:rPr>
                <w:color w:val="000000"/>
                <w:kern w:val="0"/>
                <w:szCs w:val="21"/>
              </w:rPr>
              <w:t>1</w:t>
            </w:r>
          </w:p>
        </w:tc>
        <w:tc>
          <w:tcPr>
            <w:tcW w:w="709" w:type="dxa"/>
            <w:noWrap w:val="0"/>
            <w:vAlign w:val="center"/>
          </w:tcPr>
          <w:p w14:paraId="25418E54">
            <w:pPr>
              <w:ind w:left="-63" w:leftChars="-30" w:right="-63" w:rightChars="-30"/>
              <w:jc w:val="center"/>
              <w:rPr>
                <w:color w:val="000000"/>
                <w:kern w:val="0"/>
                <w:szCs w:val="21"/>
              </w:rPr>
            </w:pPr>
            <w:r>
              <w:rPr>
                <w:color w:val="000000"/>
                <w:kern w:val="0"/>
                <w:szCs w:val="21"/>
              </w:rPr>
              <w:t>95</w:t>
            </w:r>
          </w:p>
        </w:tc>
        <w:tc>
          <w:tcPr>
            <w:tcW w:w="850" w:type="dxa"/>
            <w:noWrap w:val="0"/>
            <w:vAlign w:val="center"/>
          </w:tcPr>
          <w:p w14:paraId="46175280">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2FEC17B0">
            <w:pPr>
              <w:ind w:left="-63" w:leftChars="-30" w:right="-63" w:rightChars="-30"/>
              <w:jc w:val="center"/>
              <w:rPr>
                <w:color w:val="000000"/>
                <w:kern w:val="0"/>
                <w:szCs w:val="21"/>
              </w:rPr>
            </w:pPr>
            <w:r>
              <w:rPr>
                <w:color w:val="000000"/>
                <w:kern w:val="0"/>
                <w:szCs w:val="21"/>
              </w:rPr>
              <w:t>1</w:t>
            </w:r>
          </w:p>
        </w:tc>
        <w:tc>
          <w:tcPr>
            <w:tcW w:w="565" w:type="dxa"/>
            <w:noWrap w:val="0"/>
            <w:vAlign w:val="center"/>
          </w:tcPr>
          <w:p w14:paraId="4C1A1998">
            <w:pPr>
              <w:ind w:left="-63" w:leftChars="-30" w:right="-63" w:rightChars="-30"/>
              <w:jc w:val="center"/>
              <w:rPr>
                <w:color w:val="000000"/>
                <w:kern w:val="0"/>
                <w:szCs w:val="21"/>
              </w:rPr>
            </w:pPr>
            <w:r>
              <w:rPr>
                <w:color w:val="000000"/>
                <w:kern w:val="0"/>
                <w:szCs w:val="21"/>
              </w:rPr>
              <w:t>28.22</w:t>
            </w:r>
          </w:p>
        </w:tc>
      </w:tr>
      <w:tr w14:paraId="3D31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2B8C6909">
            <w:pPr>
              <w:ind w:left="-63" w:leftChars="-30" w:right="-63" w:rightChars="-30"/>
              <w:rPr>
                <w:color w:val="000000"/>
                <w:kern w:val="0"/>
                <w:szCs w:val="21"/>
              </w:rPr>
            </w:pPr>
          </w:p>
        </w:tc>
        <w:tc>
          <w:tcPr>
            <w:tcW w:w="567" w:type="dxa"/>
            <w:vMerge w:val="continue"/>
            <w:noWrap w:val="0"/>
            <w:vAlign w:val="center"/>
          </w:tcPr>
          <w:p w14:paraId="0064E24C">
            <w:pPr>
              <w:ind w:left="-63" w:leftChars="-30" w:right="-63" w:rightChars="-30"/>
              <w:rPr>
                <w:rFonts w:ascii="楷体_GB2312" w:hAnsi="宋体" w:eastAsia="楷体_GB2312" w:cs="宋体"/>
                <w:color w:val="000000"/>
                <w:kern w:val="0"/>
                <w:szCs w:val="21"/>
              </w:rPr>
            </w:pPr>
          </w:p>
        </w:tc>
        <w:tc>
          <w:tcPr>
            <w:tcW w:w="567" w:type="dxa"/>
            <w:noWrap w:val="0"/>
            <w:vAlign w:val="center"/>
          </w:tcPr>
          <w:p w14:paraId="18EE1382">
            <w:pPr>
              <w:ind w:left="-63" w:leftChars="-30" w:right="-63" w:rightChars="-30"/>
              <w:jc w:val="center"/>
              <w:rPr>
                <w:color w:val="000000"/>
                <w:kern w:val="0"/>
                <w:szCs w:val="21"/>
              </w:rPr>
            </w:pPr>
            <w:r>
              <w:rPr>
                <w:color w:val="000000"/>
                <w:kern w:val="0"/>
                <w:szCs w:val="21"/>
              </w:rPr>
              <w:t>2</w:t>
            </w:r>
          </w:p>
        </w:tc>
        <w:tc>
          <w:tcPr>
            <w:tcW w:w="4252" w:type="dxa"/>
            <w:noWrap w:val="0"/>
            <w:vAlign w:val="center"/>
          </w:tcPr>
          <w:p w14:paraId="2A633E31">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东至北集路，南至南集路，西至二徐路西侧规划东路、二徐路，北至沿河路</w:t>
            </w:r>
          </w:p>
        </w:tc>
        <w:tc>
          <w:tcPr>
            <w:tcW w:w="851" w:type="dxa"/>
            <w:noWrap w:val="0"/>
            <w:vAlign w:val="center"/>
          </w:tcPr>
          <w:p w14:paraId="3FB6F531">
            <w:pPr>
              <w:ind w:left="-63" w:leftChars="-30" w:right="-63" w:rightChars="-30"/>
              <w:jc w:val="center"/>
              <w:rPr>
                <w:color w:val="000000"/>
                <w:kern w:val="0"/>
                <w:szCs w:val="21"/>
              </w:rPr>
            </w:pPr>
            <w:r>
              <w:rPr>
                <w:color w:val="000000"/>
                <w:kern w:val="0"/>
                <w:szCs w:val="21"/>
              </w:rPr>
              <w:t>0.95</w:t>
            </w:r>
          </w:p>
        </w:tc>
        <w:tc>
          <w:tcPr>
            <w:tcW w:w="709" w:type="dxa"/>
            <w:noWrap w:val="0"/>
            <w:vAlign w:val="center"/>
          </w:tcPr>
          <w:p w14:paraId="147083E9">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20B54B94">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33812D0E">
            <w:pPr>
              <w:ind w:left="-63" w:leftChars="-30" w:right="-63" w:rightChars="-30"/>
              <w:jc w:val="center"/>
              <w:rPr>
                <w:color w:val="000000"/>
                <w:kern w:val="0"/>
                <w:szCs w:val="21"/>
              </w:rPr>
            </w:pPr>
            <w:r>
              <w:rPr>
                <w:color w:val="000000"/>
                <w:kern w:val="0"/>
                <w:szCs w:val="21"/>
              </w:rPr>
              <w:t>2</w:t>
            </w:r>
          </w:p>
        </w:tc>
        <w:tc>
          <w:tcPr>
            <w:tcW w:w="565" w:type="dxa"/>
            <w:noWrap w:val="0"/>
            <w:vAlign w:val="center"/>
          </w:tcPr>
          <w:p w14:paraId="1EE0298E">
            <w:pPr>
              <w:ind w:left="-63" w:leftChars="-30" w:right="-63" w:rightChars="-30"/>
              <w:jc w:val="center"/>
              <w:rPr>
                <w:color w:val="000000"/>
                <w:kern w:val="0"/>
                <w:szCs w:val="21"/>
              </w:rPr>
            </w:pPr>
            <w:r>
              <w:rPr>
                <w:color w:val="000000"/>
                <w:kern w:val="0"/>
                <w:szCs w:val="21"/>
              </w:rPr>
              <w:t>25.4</w:t>
            </w:r>
          </w:p>
        </w:tc>
      </w:tr>
      <w:tr w14:paraId="4202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1EA6F204">
            <w:pPr>
              <w:ind w:left="-63" w:leftChars="-30" w:right="-63" w:rightChars="-30"/>
              <w:rPr>
                <w:color w:val="000000"/>
                <w:kern w:val="0"/>
                <w:szCs w:val="21"/>
              </w:rPr>
            </w:pPr>
          </w:p>
        </w:tc>
        <w:tc>
          <w:tcPr>
            <w:tcW w:w="567" w:type="dxa"/>
            <w:vMerge w:val="continue"/>
            <w:noWrap w:val="0"/>
            <w:vAlign w:val="center"/>
          </w:tcPr>
          <w:p w14:paraId="523496C7">
            <w:pPr>
              <w:ind w:left="-63" w:leftChars="-30" w:right="-63" w:rightChars="-30"/>
              <w:rPr>
                <w:rFonts w:ascii="楷体_GB2312" w:hAnsi="宋体" w:eastAsia="楷体_GB2312" w:cs="宋体"/>
                <w:color w:val="000000"/>
                <w:kern w:val="0"/>
                <w:szCs w:val="21"/>
              </w:rPr>
            </w:pPr>
          </w:p>
        </w:tc>
        <w:tc>
          <w:tcPr>
            <w:tcW w:w="567" w:type="dxa"/>
            <w:noWrap w:val="0"/>
            <w:vAlign w:val="center"/>
          </w:tcPr>
          <w:p w14:paraId="5F81B51F">
            <w:pPr>
              <w:ind w:left="-63" w:leftChars="-30" w:right="-63" w:rightChars="-30"/>
              <w:jc w:val="center"/>
              <w:rPr>
                <w:color w:val="000000"/>
                <w:kern w:val="0"/>
                <w:szCs w:val="21"/>
              </w:rPr>
            </w:pPr>
            <w:r>
              <w:rPr>
                <w:color w:val="000000"/>
                <w:kern w:val="0"/>
                <w:szCs w:val="21"/>
              </w:rPr>
              <w:t>3</w:t>
            </w:r>
          </w:p>
        </w:tc>
        <w:tc>
          <w:tcPr>
            <w:tcW w:w="4252" w:type="dxa"/>
            <w:noWrap w:val="0"/>
            <w:vAlign w:val="center"/>
          </w:tcPr>
          <w:p w14:paraId="5AA222F7">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851" w:type="dxa"/>
            <w:noWrap w:val="0"/>
            <w:vAlign w:val="center"/>
          </w:tcPr>
          <w:p w14:paraId="379946C2">
            <w:pPr>
              <w:ind w:left="-63" w:leftChars="-30" w:right="-63" w:rightChars="-30"/>
              <w:jc w:val="center"/>
              <w:rPr>
                <w:color w:val="000000"/>
                <w:kern w:val="0"/>
                <w:szCs w:val="21"/>
              </w:rPr>
            </w:pPr>
            <w:r>
              <w:rPr>
                <w:color w:val="000000"/>
                <w:kern w:val="0"/>
                <w:szCs w:val="21"/>
              </w:rPr>
              <w:t>0.9</w:t>
            </w:r>
          </w:p>
        </w:tc>
        <w:tc>
          <w:tcPr>
            <w:tcW w:w="709" w:type="dxa"/>
            <w:noWrap w:val="0"/>
            <w:vAlign w:val="center"/>
          </w:tcPr>
          <w:p w14:paraId="60ED29F8">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3717A203">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025FF8E4">
            <w:pPr>
              <w:ind w:left="-63" w:leftChars="-30" w:right="-63" w:rightChars="-30"/>
              <w:jc w:val="center"/>
              <w:rPr>
                <w:color w:val="000000"/>
                <w:kern w:val="0"/>
                <w:szCs w:val="21"/>
              </w:rPr>
            </w:pPr>
            <w:r>
              <w:rPr>
                <w:color w:val="000000"/>
                <w:kern w:val="0"/>
                <w:szCs w:val="21"/>
              </w:rPr>
              <w:t>3</w:t>
            </w:r>
          </w:p>
        </w:tc>
        <w:tc>
          <w:tcPr>
            <w:tcW w:w="565" w:type="dxa"/>
            <w:noWrap w:val="0"/>
            <w:vAlign w:val="center"/>
          </w:tcPr>
          <w:p w14:paraId="6AD3BF54">
            <w:pPr>
              <w:ind w:left="-63" w:leftChars="-30" w:right="-63" w:rightChars="-30"/>
              <w:jc w:val="center"/>
              <w:rPr>
                <w:color w:val="000000"/>
                <w:kern w:val="0"/>
                <w:szCs w:val="21"/>
              </w:rPr>
            </w:pPr>
            <w:r>
              <w:rPr>
                <w:color w:val="000000"/>
                <w:kern w:val="0"/>
                <w:szCs w:val="21"/>
              </w:rPr>
              <w:t>24.07</w:t>
            </w:r>
          </w:p>
        </w:tc>
      </w:tr>
      <w:tr w14:paraId="179C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restart"/>
            <w:noWrap w:val="0"/>
            <w:vAlign w:val="center"/>
          </w:tcPr>
          <w:p w14:paraId="751D88DD">
            <w:pPr>
              <w:ind w:left="-63" w:leftChars="-30" w:right="-63" w:rightChars="-30"/>
              <w:jc w:val="center"/>
              <w:rPr>
                <w:color w:val="000000"/>
                <w:kern w:val="0"/>
                <w:szCs w:val="21"/>
              </w:rPr>
            </w:pPr>
            <w:r>
              <w:rPr>
                <w:color w:val="000000"/>
                <w:kern w:val="0"/>
                <w:szCs w:val="21"/>
              </w:rPr>
              <w:t>22</w:t>
            </w:r>
          </w:p>
        </w:tc>
        <w:tc>
          <w:tcPr>
            <w:tcW w:w="567" w:type="dxa"/>
            <w:vMerge w:val="restart"/>
            <w:noWrap w:val="0"/>
            <w:vAlign w:val="center"/>
          </w:tcPr>
          <w:p w14:paraId="03CC6885">
            <w:pPr>
              <w:ind w:left="-63" w:leftChars="-30" w:right="-63" w:rightChars="-3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桃沟乡</w:t>
            </w:r>
          </w:p>
        </w:tc>
        <w:tc>
          <w:tcPr>
            <w:tcW w:w="567" w:type="dxa"/>
            <w:noWrap w:val="0"/>
            <w:vAlign w:val="center"/>
          </w:tcPr>
          <w:p w14:paraId="066F83CA">
            <w:pPr>
              <w:ind w:left="-63" w:leftChars="-30" w:right="-63" w:rightChars="-30"/>
              <w:jc w:val="center"/>
              <w:rPr>
                <w:color w:val="000000"/>
                <w:kern w:val="0"/>
                <w:szCs w:val="21"/>
              </w:rPr>
            </w:pPr>
            <w:r>
              <w:rPr>
                <w:color w:val="000000"/>
                <w:kern w:val="0"/>
                <w:szCs w:val="21"/>
              </w:rPr>
              <w:t>1</w:t>
            </w:r>
          </w:p>
        </w:tc>
        <w:tc>
          <w:tcPr>
            <w:tcW w:w="4252" w:type="dxa"/>
            <w:noWrap w:val="0"/>
            <w:vAlign w:val="center"/>
          </w:tcPr>
          <w:p w14:paraId="5D19FA68">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东至政府路，南至南苑路，西至桃花大道，北至桃时路</w:t>
            </w:r>
          </w:p>
        </w:tc>
        <w:tc>
          <w:tcPr>
            <w:tcW w:w="851" w:type="dxa"/>
            <w:noWrap w:val="0"/>
            <w:vAlign w:val="center"/>
          </w:tcPr>
          <w:p w14:paraId="306B125A">
            <w:pPr>
              <w:ind w:left="-63" w:leftChars="-30" w:right="-63" w:rightChars="-30"/>
              <w:jc w:val="center"/>
              <w:rPr>
                <w:color w:val="000000"/>
                <w:kern w:val="0"/>
                <w:szCs w:val="21"/>
              </w:rPr>
            </w:pPr>
            <w:r>
              <w:rPr>
                <w:color w:val="000000"/>
                <w:kern w:val="0"/>
                <w:szCs w:val="21"/>
              </w:rPr>
              <w:t>1</w:t>
            </w:r>
          </w:p>
        </w:tc>
        <w:tc>
          <w:tcPr>
            <w:tcW w:w="709" w:type="dxa"/>
            <w:noWrap w:val="0"/>
            <w:vAlign w:val="center"/>
          </w:tcPr>
          <w:p w14:paraId="646D18F8">
            <w:pPr>
              <w:ind w:left="-63" w:leftChars="-30" w:right="-63" w:rightChars="-30"/>
              <w:jc w:val="center"/>
              <w:rPr>
                <w:color w:val="000000"/>
                <w:kern w:val="0"/>
                <w:szCs w:val="21"/>
              </w:rPr>
            </w:pPr>
            <w:r>
              <w:rPr>
                <w:color w:val="000000"/>
                <w:kern w:val="0"/>
                <w:szCs w:val="21"/>
              </w:rPr>
              <w:t>95</w:t>
            </w:r>
          </w:p>
        </w:tc>
        <w:tc>
          <w:tcPr>
            <w:tcW w:w="850" w:type="dxa"/>
            <w:noWrap w:val="0"/>
            <w:vAlign w:val="center"/>
          </w:tcPr>
          <w:p w14:paraId="13336685">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4D433F06">
            <w:pPr>
              <w:ind w:left="-63" w:leftChars="-30" w:right="-63" w:rightChars="-30"/>
              <w:jc w:val="center"/>
              <w:rPr>
                <w:color w:val="000000"/>
                <w:kern w:val="0"/>
                <w:szCs w:val="21"/>
              </w:rPr>
            </w:pPr>
            <w:r>
              <w:rPr>
                <w:color w:val="000000"/>
                <w:kern w:val="0"/>
                <w:szCs w:val="21"/>
              </w:rPr>
              <w:t>1</w:t>
            </w:r>
          </w:p>
        </w:tc>
        <w:tc>
          <w:tcPr>
            <w:tcW w:w="565" w:type="dxa"/>
            <w:noWrap w:val="0"/>
            <w:vAlign w:val="center"/>
          </w:tcPr>
          <w:p w14:paraId="72B71326">
            <w:pPr>
              <w:ind w:left="-63" w:leftChars="-30" w:right="-63" w:rightChars="-30"/>
              <w:jc w:val="center"/>
              <w:rPr>
                <w:color w:val="000000"/>
                <w:kern w:val="0"/>
                <w:szCs w:val="21"/>
              </w:rPr>
            </w:pPr>
            <w:r>
              <w:rPr>
                <w:color w:val="000000"/>
                <w:kern w:val="0"/>
                <w:szCs w:val="21"/>
              </w:rPr>
              <w:t>28.22</w:t>
            </w:r>
          </w:p>
        </w:tc>
      </w:tr>
      <w:tr w14:paraId="1984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2A0E4673">
            <w:pPr>
              <w:ind w:left="-63" w:leftChars="-30" w:right="-63" w:rightChars="-30"/>
              <w:rPr>
                <w:color w:val="000000"/>
                <w:kern w:val="0"/>
                <w:szCs w:val="21"/>
              </w:rPr>
            </w:pPr>
          </w:p>
        </w:tc>
        <w:tc>
          <w:tcPr>
            <w:tcW w:w="567" w:type="dxa"/>
            <w:vMerge w:val="continue"/>
            <w:noWrap w:val="0"/>
            <w:vAlign w:val="center"/>
          </w:tcPr>
          <w:p w14:paraId="67106F00">
            <w:pPr>
              <w:ind w:left="-63" w:leftChars="-30" w:right="-63" w:rightChars="-30"/>
              <w:rPr>
                <w:rFonts w:ascii="楷体_GB2312" w:hAnsi="宋体" w:eastAsia="楷体_GB2312" w:cs="宋体"/>
                <w:color w:val="000000"/>
                <w:kern w:val="0"/>
                <w:szCs w:val="21"/>
              </w:rPr>
            </w:pPr>
          </w:p>
        </w:tc>
        <w:tc>
          <w:tcPr>
            <w:tcW w:w="567" w:type="dxa"/>
            <w:noWrap w:val="0"/>
            <w:vAlign w:val="center"/>
          </w:tcPr>
          <w:p w14:paraId="48BAD135">
            <w:pPr>
              <w:ind w:left="-63" w:leftChars="-30" w:right="-63" w:rightChars="-30"/>
              <w:jc w:val="center"/>
              <w:rPr>
                <w:color w:val="000000"/>
                <w:kern w:val="0"/>
                <w:szCs w:val="21"/>
              </w:rPr>
            </w:pPr>
            <w:r>
              <w:rPr>
                <w:color w:val="000000"/>
                <w:kern w:val="0"/>
                <w:szCs w:val="21"/>
              </w:rPr>
              <w:t>2</w:t>
            </w:r>
          </w:p>
        </w:tc>
        <w:tc>
          <w:tcPr>
            <w:tcW w:w="4252" w:type="dxa"/>
            <w:noWrap w:val="0"/>
            <w:vAlign w:val="center"/>
          </w:tcPr>
          <w:p w14:paraId="4D375D92">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东至创新路、世纪大道，南至南外环，西至学苑路，北至学府路</w:t>
            </w:r>
          </w:p>
        </w:tc>
        <w:tc>
          <w:tcPr>
            <w:tcW w:w="851" w:type="dxa"/>
            <w:noWrap w:val="0"/>
            <w:vAlign w:val="center"/>
          </w:tcPr>
          <w:p w14:paraId="321CA728">
            <w:pPr>
              <w:ind w:left="-63" w:leftChars="-30" w:right="-63" w:rightChars="-30"/>
              <w:jc w:val="center"/>
              <w:rPr>
                <w:color w:val="000000"/>
                <w:kern w:val="0"/>
                <w:szCs w:val="21"/>
              </w:rPr>
            </w:pPr>
            <w:r>
              <w:rPr>
                <w:color w:val="000000"/>
                <w:kern w:val="0"/>
                <w:szCs w:val="21"/>
              </w:rPr>
              <w:t>0.95</w:t>
            </w:r>
          </w:p>
        </w:tc>
        <w:tc>
          <w:tcPr>
            <w:tcW w:w="709" w:type="dxa"/>
            <w:noWrap w:val="0"/>
            <w:vAlign w:val="center"/>
          </w:tcPr>
          <w:p w14:paraId="38E265DD">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1A066AA8">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5FCA56AC">
            <w:pPr>
              <w:ind w:left="-63" w:leftChars="-30" w:right="-63" w:rightChars="-30"/>
              <w:jc w:val="center"/>
              <w:rPr>
                <w:color w:val="000000"/>
                <w:kern w:val="0"/>
                <w:szCs w:val="21"/>
              </w:rPr>
            </w:pPr>
            <w:r>
              <w:rPr>
                <w:color w:val="000000"/>
                <w:kern w:val="0"/>
                <w:szCs w:val="21"/>
              </w:rPr>
              <w:t>2</w:t>
            </w:r>
          </w:p>
        </w:tc>
        <w:tc>
          <w:tcPr>
            <w:tcW w:w="565" w:type="dxa"/>
            <w:noWrap w:val="0"/>
            <w:vAlign w:val="center"/>
          </w:tcPr>
          <w:p w14:paraId="43660D85">
            <w:pPr>
              <w:ind w:left="-63" w:leftChars="-30" w:right="-63" w:rightChars="-30"/>
              <w:jc w:val="center"/>
              <w:rPr>
                <w:color w:val="000000"/>
                <w:kern w:val="0"/>
                <w:szCs w:val="21"/>
              </w:rPr>
            </w:pPr>
            <w:r>
              <w:rPr>
                <w:color w:val="000000"/>
                <w:kern w:val="0"/>
                <w:szCs w:val="21"/>
              </w:rPr>
              <w:t>25.4</w:t>
            </w:r>
          </w:p>
        </w:tc>
      </w:tr>
      <w:tr w14:paraId="55924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7" w:type="dxa"/>
            <w:vMerge w:val="continue"/>
            <w:noWrap w:val="0"/>
            <w:vAlign w:val="center"/>
          </w:tcPr>
          <w:p w14:paraId="48FF993D">
            <w:pPr>
              <w:ind w:left="-63" w:leftChars="-30" w:right="-63" w:rightChars="-30"/>
              <w:rPr>
                <w:color w:val="000000"/>
                <w:kern w:val="0"/>
                <w:szCs w:val="21"/>
              </w:rPr>
            </w:pPr>
          </w:p>
        </w:tc>
        <w:tc>
          <w:tcPr>
            <w:tcW w:w="567" w:type="dxa"/>
            <w:vMerge w:val="continue"/>
            <w:noWrap w:val="0"/>
            <w:vAlign w:val="center"/>
          </w:tcPr>
          <w:p w14:paraId="40592277">
            <w:pPr>
              <w:ind w:left="-63" w:leftChars="-30" w:right="-63" w:rightChars="-30"/>
              <w:rPr>
                <w:rFonts w:ascii="楷体_GB2312" w:hAnsi="宋体" w:eastAsia="楷体_GB2312" w:cs="宋体"/>
                <w:color w:val="000000"/>
                <w:kern w:val="0"/>
                <w:szCs w:val="21"/>
              </w:rPr>
            </w:pPr>
          </w:p>
        </w:tc>
        <w:tc>
          <w:tcPr>
            <w:tcW w:w="567" w:type="dxa"/>
            <w:noWrap w:val="0"/>
            <w:vAlign w:val="center"/>
          </w:tcPr>
          <w:p w14:paraId="73300859">
            <w:pPr>
              <w:ind w:left="-63" w:leftChars="-30" w:right="-63" w:rightChars="-30"/>
              <w:jc w:val="center"/>
              <w:rPr>
                <w:color w:val="000000"/>
                <w:kern w:val="0"/>
                <w:szCs w:val="21"/>
              </w:rPr>
            </w:pPr>
            <w:r>
              <w:rPr>
                <w:color w:val="000000"/>
                <w:kern w:val="0"/>
                <w:szCs w:val="21"/>
              </w:rPr>
              <w:t>3</w:t>
            </w:r>
          </w:p>
        </w:tc>
        <w:tc>
          <w:tcPr>
            <w:tcW w:w="4252" w:type="dxa"/>
            <w:noWrap w:val="0"/>
            <w:vAlign w:val="center"/>
          </w:tcPr>
          <w:p w14:paraId="2B0ED666">
            <w:pPr>
              <w:ind w:left="-63" w:leftChars="-30" w:right="-63" w:rightChars="-30"/>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851" w:type="dxa"/>
            <w:noWrap w:val="0"/>
            <w:vAlign w:val="center"/>
          </w:tcPr>
          <w:p w14:paraId="12631000">
            <w:pPr>
              <w:ind w:left="-63" w:leftChars="-30" w:right="-63" w:rightChars="-30"/>
              <w:jc w:val="center"/>
              <w:rPr>
                <w:color w:val="000000"/>
                <w:kern w:val="0"/>
                <w:szCs w:val="21"/>
              </w:rPr>
            </w:pPr>
            <w:r>
              <w:rPr>
                <w:color w:val="000000"/>
                <w:kern w:val="0"/>
                <w:szCs w:val="21"/>
              </w:rPr>
              <w:t>0.9</w:t>
            </w:r>
          </w:p>
        </w:tc>
        <w:tc>
          <w:tcPr>
            <w:tcW w:w="709" w:type="dxa"/>
            <w:noWrap w:val="0"/>
            <w:vAlign w:val="center"/>
          </w:tcPr>
          <w:p w14:paraId="72855BAB">
            <w:pPr>
              <w:ind w:left="-63" w:leftChars="-30" w:right="-63" w:rightChars="-30"/>
              <w:jc w:val="center"/>
              <w:rPr>
                <w:color w:val="000000"/>
                <w:kern w:val="0"/>
                <w:szCs w:val="21"/>
              </w:rPr>
            </w:pPr>
            <w:r>
              <w:rPr>
                <w:color w:val="000000"/>
                <w:kern w:val="0"/>
                <w:szCs w:val="21"/>
              </w:rPr>
              <w:t>90</w:t>
            </w:r>
          </w:p>
        </w:tc>
        <w:tc>
          <w:tcPr>
            <w:tcW w:w="850" w:type="dxa"/>
            <w:noWrap w:val="0"/>
            <w:vAlign w:val="center"/>
          </w:tcPr>
          <w:p w14:paraId="658A64A5">
            <w:pPr>
              <w:ind w:left="-63" w:leftChars="-30" w:right="-63" w:rightChars="-30"/>
              <w:jc w:val="center"/>
              <w:rPr>
                <w:color w:val="000000"/>
                <w:kern w:val="0"/>
                <w:szCs w:val="21"/>
              </w:rPr>
            </w:pPr>
            <w:r>
              <w:rPr>
                <w:color w:val="000000"/>
                <w:kern w:val="0"/>
                <w:szCs w:val="21"/>
              </w:rPr>
              <w:t>0.2971</w:t>
            </w:r>
          </w:p>
        </w:tc>
        <w:tc>
          <w:tcPr>
            <w:tcW w:w="284" w:type="dxa"/>
            <w:noWrap w:val="0"/>
            <w:vAlign w:val="center"/>
          </w:tcPr>
          <w:p w14:paraId="60CBC164">
            <w:pPr>
              <w:ind w:left="-63" w:leftChars="-30" w:right="-63" w:rightChars="-30"/>
              <w:jc w:val="center"/>
              <w:rPr>
                <w:color w:val="000000"/>
                <w:kern w:val="0"/>
                <w:szCs w:val="21"/>
              </w:rPr>
            </w:pPr>
            <w:r>
              <w:rPr>
                <w:color w:val="000000"/>
                <w:kern w:val="0"/>
                <w:szCs w:val="21"/>
              </w:rPr>
              <w:t>3</w:t>
            </w:r>
          </w:p>
        </w:tc>
        <w:tc>
          <w:tcPr>
            <w:tcW w:w="565" w:type="dxa"/>
            <w:noWrap w:val="0"/>
            <w:vAlign w:val="center"/>
          </w:tcPr>
          <w:p w14:paraId="10177080">
            <w:pPr>
              <w:ind w:left="-63" w:leftChars="-30" w:right="-63" w:rightChars="-30"/>
              <w:jc w:val="center"/>
              <w:rPr>
                <w:color w:val="000000"/>
                <w:kern w:val="0"/>
                <w:szCs w:val="21"/>
              </w:rPr>
            </w:pPr>
            <w:r>
              <w:rPr>
                <w:color w:val="000000"/>
                <w:kern w:val="0"/>
                <w:szCs w:val="21"/>
              </w:rPr>
              <w:t>24.07</w:t>
            </w:r>
          </w:p>
        </w:tc>
      </w:tr>
    </w:tbl>
    <w:p w14:paraId="1C1EA424">
      <w:pPr>
        <w:pStyle w:val="20"/>
        <w:spacing w:line="480" w:lineRule="exact"/>
        <w:jc w:val="center"/>
        <w:rPr>
          <w:rFonts w:ascii="Times New Roman" w:hAnsi="Times New Roman" w:eastAsia="黑体" w:cs="Times New Roman"/>
          <w:sz w:val="28"/>
          <w:szCs w:val="24"/>
        </w:rPr>
      </w:pPr>
    </w:p>
    <w:p w14:paraId="599DEF21">
      <w:pPr>
        <w:pStyle w:val="4"/>
        <w:numPr>
          <w:ilvl w:val="0"/>
          <w:numId w:val="0"/>
        </w:numPr>
        <w:spacing w:line="380" w:lineRule="exact"/>
        <w:jc w:val="center"/>
        <w:rPr>
          <w:rFonts w:eastAsia="仿宋_GB2312"/>
          <w:bCs w:val="0"/>
        </w:rPr>
      </w:pPr>
      <w:bookmarkStart w:id="39" w:name="_Toc285700451"/>
      <w:bookmarkStart w:id="40" w:name="_Toc62563658"/>
      <w:bookmarkStart w:id="41" w:name="_Toc111358939"/>
      <w:r>
        <w:rPr>
          <w:rFonts w:eastAsia="仿宋_GB2312"/>
          <w:bCs w:val="0"/>
        </w:rPr>
        <w:t>第五节  公用设施完备度定量化处理</w:t>
      </w:r>
      <w:bookmarkEnd w:id="39"/>
      <w:bookmarkEnd w:id="40"/>
      <w:bookmarkEnd w:id="41"/>
    </w:p>
    <w:p w14:paraId="37C8C8B8">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一、公用设施现状</w:t>
      </w:r>
    </w:p>
    <w:p w14:paraId="5C66272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公用设施完备度主要考虑与日常生活密切相关的中小学、幼儿园、医院、邮电局等。本次定级在各乡镇区分别调查了中小学、幼儿园、医院、银行、农贸市场。</w:t>
      </w:r>
    </w:p>
    <w:p w14:paraId="567F2CA0">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w:t>
      </w:r>
      <w:r>
        <w:rPr>
          <w:rFonts w:hint="eastAsia" w:ascii="Times New Roman" w:hAnsi="Times New Roman" w:eastAsia="楷体_GB2312" w:cs="Times New Roman"/>
          <w:sz w:val="28"/>
        </w:rPr>
        <w:t>区</w:t>
      </w:r>
      <w:r>
        <w:rPr>
          <w:rFonts w:ascii="Times New Roman" w:hAnsi="Times New Roman" w:eastAsia="楷体_GB2312" w:cs="Times New Roman"/>
          <w:sz w:val="28"/>
        </w:rPr>
        <w:t>教育局提供的资料和各乡镇的调查材料，剔除评价区内但对土地质量影响很小的学校和私立幼儿园（由单位开办的且仅对内部招生的学校、仅对特殊人群招生的学校等）。</w:t>
      </w:r>
    </w:p>
    <w:p w14:paraId="740F7B9C">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在对医院的调查中，一些小型诊所未予考虑，只对评价区内的各类大型医院进行了调查。</w:t>
      </w:r>
    </w:p>
    <w:p w14:paraId="2B9AA626">
      <w:pPr>
        <w:pStyle w:val="20"/>
        <w:spacing w:line="480" w:lineRule="exact"/>
        <w:ind w:firstLine="560" w:firstLineChars="200"/>
        <w:rPr>
          <w:rFonts w:ascii="Times New Roman" w:hAnsi="Times New Roman" w:eastAsia="楷体_GB2312" w:cs="Times New Roman"/>
          <w:sz w:val="28"/>
        </w:rPr>
      </w:pPr>
      <w:r>
        <w:rPr>
          <w:rFonts w:hint="eastAsia" w:ascii="楷体" w:hAnsi="楷体" w:eastAsia="楷体" w:cs="楷体_GB2312"/>
          <w:sz w:val="28"/>
        </w:rPr>
        <w:t>埇</w:t>
      </w:r>
      <w:r>
        <w:rPr>
          <w:rFonts w:hint="eastAsia" w:ascii="楷体_GB2312" w:hAnsi="楷体_GB2312" w:eastAsia="楷体_GB2312" w:cs="楷体_GB2312"/>
          <w:sz w:val="28"/>
        </w:rPr>
        <w:t>桥区</w:t>
      </w:r>
      <w:r>
        <w:rPr>
          <w:rFonts w:hint="eastAsia" w:ascii="Times New Roman" w:hAnsi="Times New Roman" w:eastAsia="楷体_GB2312" w:cs="Times New Roman"/>
          <w:sz w:val="28"/>
        </w:rPr>
        <w:t>部分</w:t>
      </w:r>
      <w:r>
        <w:rPr>
          <w:rFonts w:ascii="Times New Roman" w:hAnsi="Times New Roman" w:eastAsia="楷体_GB2312" w:cs="Times New Roman"/>
          <w:sz w:val="28"/>
        </w:rPr>
        <w:t>乡镇镇区无固定摊位的农贸市场，大多采用路边集中设摊经营的方式。本次根据各乡镇的实际情况，对于无固定摊位农贸市场的乡镇，将商贩集中设摊销售蔬菜、肉禽的地点，作为农贸市场。</w:t>
      </w:r>
    </w:p>
    <w:p w14:paraId="7A36CDED">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目前这些设施状况能基本满足各乡镇区居民的日常生活需求。各乡镇公用设施调查状况见表1-3-</w:t>
      </w:r>
      <w:r>
        <w:rPr>
          <w:rFonts w:hint="eastAsia" w:ascii="Times New Roman" w:hAnsi="Times New Roman" w:eastAsia="楷体_GB2312" w:cs="Times New Roman"/>
          <w:sz w:val="28"/>
        </w:rPr>
        <w:t>35</w:t>
      </w:r>
      <w:r>
        <w:rPr>
          <w:rFonts w:ascii="Times New Roman" w:hAnsi="Times New Roman" w:eastAsia="楷体_GB2312" w:cs="Times New Roman"/>
          <w:sz w:val="28"/>
        </w:rPr>
        <w:t>至1-3-</w:t>
      </w:r>
      <w:r>
        <w:rPr>
          <w:rFonts w:hint="eastAsia" w:ascii="Times New Roman" w:hAnsi="Times New Roman" w:eastAsia="楷体_GB2312" w:cs="Times New Roman"/>
          <w:sz w:val="28"/>
        </w:rPr>
        <w:t>40</w:t>
      </w:r>
      <w:r>
        <w:rPr>
          <w:rFonts w:ascii="Times New Roman" w:hAnsi="Times New Roman" w:eastAsia="楷体_GB2312" w:cs="Times New Roman"/>
          <w:sz w:val="28"/>
        </w:rPr>
        <w:t>。</w:t>
      </w:r>
    </w:p>
    <w:p w14:paraId="0E3BFC1D">
      <w:pPr>
        <w:spacing w:line="480" w:lineRule="exact"/>
        <w:jc w:val="center"/>
        <w:rPr>
          <w:sz w:val="26"/>
        </w:rPr>
      </w:pPr>
      <w:r>
        <w:rPr>
          <w:rFonts w:eastAsia="黑体"/>
          <w:sz w:val="28"/>
        </w:rPr>
        <w:t>表1-3-</w:t>
      </w:r>
      <w:r>
        <w:rPr>
          <w:rFonts w:hint="eastAsia" w:eastAsia="黑体"/>
          <w:sz w:val="28"/>
        </w:rPr>
        <w:t>35</w:t>
      </w:r>
      <w:r>
        <w:rPr>
          <w:rFonts w:eastAsia="黑体"/>
          <w:sz w:val="28"/>
        </w:rPr>
        <w:t xml:space="preserve"> 埇桥区各乡镇镇区中学调查表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1134"/>
        <w:gridCol w:w="567"/>
        <w:gridCol w:w="2126"/>
        <w:gridCol w:w="1276"/>
        <w:gridCol w:w="1276"/>
        <w:gridCol w:w="1631"/>
      </w:tblGrid>
      <w:tr w14:paraId="2A255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42" w:type="dxa"/>
            <w:noWrap w:val="0"/>
            <w:vAlign w:val="center"/>
          </w:tcPr>
          <w:p w14:paraId="456CA691">
            <w:pPr>
              <w:spacing w:line="280" w:lineRule="exact"/>
              <w:ind w:left="-63" w:leftChars="-30" w:right="-63" w:rightChars="-30"/>
              <w:jc w:val="center"/>
              <w:rPr>
                <w:rFonts w:eastAsia="楷体_GB2312"/>
              </w:rPr>
            </w:pPr>
            <w:r>
              <w:rPr>
                <w:rFonts w:eastAsia="楷体_GB2312"/>
              </w:rPr>
              <w:t>编号</w:t>
            </w:r>
          </w:p>
        </w:tc>
        <w:tc>
          <w:tcPr>
            <w:tcW w:w="1134" w:type="dxa"/>
            <w:noWrap w:val="0"/>
            <w:vAlign w:val="center"/>
          </w:tcPr>
          <w:p w14:paraId="4BFE7373">
            <w:pPr>
              <w:spacing w:line="280" w:lineRule="exact"/>
              <w:ind w:left="-63" w:leftChars="-30" w:right="-63" w:rightChars="-30"/>
              <w:jc w:val="center"/>
              <w:rPr>
                <w:rFonts w:eastAsia="楷体_GB2312"/>
              </w:rPr>
            </w:pPr>
            <w:r>
              <w:rPr>
                <w:rFonts w:eastAsia="楷体_GB2312"/>
              </w:rPr>
              <w:t>乡镇名称</w:t>
            </w:r>
          </w:p>
        </w:tc>
        <w:tc>
          <w:tcPr>
            <w:tcW w:w="567" w:type="dxa"/>
            <w:noWrap w:val="0"/>
            <w:vAlign w:val="center"/>
          </w:tcPr>
          <w:p w14:paraId="69C49053">
            <w:pPr>
              <w:spacing w:line="280" w:lineRule="exact"/>
              <w:ind w:left="-63" w:leftChars="-30" w:right="-63" w:rightChars="-30"/>
              <w:jc w:val="center"/>
              <w:rPr>
                <w:rFonts w:eastAsia="楷体_GB2312"/>
              </w:rPr>
            </w:pPr>
            <w:r>
              <w:rPr>
                <w:rFonts w:eastAsia="楷体_GB2312"/>
              </w:rPr>
              <w:t>编号</w:t>
            </w:r>
          </w:p>
        </w:tc>
        <w:tc>
          <w:tcPr>
            <w:tcW w:w="2126" w:type="dxa"/>
            <w:noWrap w:val="0"/>
            <w:vAlign w:val="center"/>
          </w:tcPr>
          <w:p w14:paraId="3E74C768">
            <w:pPr>
              <w:spacing w:line="280" w:lineRule="exact"/>
              <w:ind w:left="-63" w:leftChars="-30" w:right="-63" w:rightChars="-30"/>
              <w:jc w:val="center"/>
              <w:rPr>
                <w:rFonts w:eastAsia="楷体_GB2312"/>
              </w:rPr>
            </w:pPr>
            <w:r>
              <w:rPr>
                <w:rFonts w:eastAsia="楷体_GB2312"/>
              </w:rPr>
              <w:t>中学名称</w:t>
            </w:r>
          </w:p>
        </w:tc>
        <w:tc>
          <w:tcPr>
            <w:tcW w:w="1276" w:type="dxa"/>
            <w:noWrap w:val="0"/>
            <w:vAlign w:val="center"/>
          </w:tcPr>
          <w:p w14:paraId="6723C340">
            <w:pPr>
              <w:spacing w:line="280" w:lineRule="exact"/>
              <w:ind w:left="-63" w:leftChars="-30" w:right="-63" w:rightChars="-30"/>
              <w:jc w:val="center"/>
              <w:rPr>
                <w:rFonts w:eastAsia="楷体_GB2312"/>
              </w:rPr>
            </w:pPr>
            <w:r>
              <w:rPr>
                <w:rFonts w:eastAsia="楷体_GB2312"/>
              </w:rPr>
              <w:t>班级数（个）</w:t>
            </w:r>
          </w:p>
        </w:tc>
        <w:tc>
          <w:tcPr>
            <w:tcW w:w="1276" w:type="dxa"/>
            <w:noWrap w:val="0"/>
            <w:vAlign w:val="center"/>
          </w:tcPr>
          <w:p w14:paraId="06030083">
            <w:pPr>
              <w:spacing w:line="280" w:lineRule="exact"/>
              <w:ind w:left="-63" w:leftChars="-30" w:right="-63" w:rightChars="-30"/>
              <w:jc w:val="center"/>
              <w:rPr>
                <w:rFonts w:eastAsia="楷体_GB2312"/>
              </w:rPr>
            </w:pPr>
            <w:r>
              <w:rPr>
                <w:rFonts w:eastAsia="楷体_GB2312"/>
              </w:rPr>
              <w:t>学生数（人）</w:t>
            </w:r>
          </w:p>
        </w:tc>
        <w:tc>
          <w:tcPr>
            <w:tcW w:w="1631" w:type="dxa"/>
            <w:noWrap w:val="0"/>
            <w:vAlign w:val="center"/>
          </w:tcPr>
          <w:p w14:paraId="577C4958">
            <w:pPr>
              <w:spacing w:line="280" w:lineRule="exact"/>
              <w:ind w:left="-63" w:leftChars="-30" w:right="-63" w:rightChars="-30"/>
              <w:jc w:val="center"/>
              <w:rPr>
                <w:rFonts w:eastAsia="楷体_GB2312"/>
              </w:rPr>
            </w:pPr>
            <w:r>
              <w:rPr>
                <w:rFonts w:eastAsia="楷体_GB2312"/>
              </w:rPr>
              <w:t>教职工人数（人）</w:t>
            </w:r>
          </w:p>
        </w:tc>
      </w:tr>
      <w:tr w14:paraId="519C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642" w:type="dxa"/>
            <w:noWrap w:val="0"/>
            <w:vAlign w:val="center"/>
          </w:tcPr>
          <w:p w14:paraId="05C08424">
            <w:pPr>
              <w:tabs>
                <w:tab w:val="left" w:pos="0"/>
                <w:tab w:val="left" w:pos="295"/>
              </w:tabs>
              <w:jc w:val="center"/>
              <w:rPr>
                <w:rFonts w:eastAsia="楷体_GB2312"/>
                <w:szCs w:val="21"/>
              </w:rPr>
            </w:pPr>
            <w:r>
              <w:rPr>
                <w:rFonts w:eastAsia="楷体_GB2312"/>
                <w:szCs w:val="21"/>
              </w:rPr>
              <w:t>1</w:t>
            </w:r>
          </w:p>
        </w:tc>
        <w:tc>
          <w:tcPr>
            <w:tcW w:w="1134" w:type="dxa"/>
            <w:noWrap w:val="0"/>
            <w:vAlign w:val="center"/>
          </w:tcPr>
          <w:p w14:paraId="4C9980DB">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符离镇</w:t>
            </w:r>
          </w:p>
        </w:tc>
        <w:tc>
          <w:tcPr>
            <w:tcW w:w="567" w:type="dxa"/>
            <w:noWrap w:val="0"/>
            <w:vAlign w:val="center"/>
          </w:tcPr>
          <w:p w14:paraId="4205A006">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2126" w:type="dxa"/>
            <w:noWrap w:val="0"/>
            <w:vAlign w:val="center"/>
          </w:tcPr>
          <w:p w14:paraId="2DBA6ACD">
            <w:pPr>
              <w:spacing w:line="250" w:lineRule="atLeast"/>
              <w:jc w:val="center"/>
              <w:rPr>
                <w:rFonts w:eastAsia="楷体_GB2312"/>
                <w:szCs w:val="21"/>
              </w:rPr>
            </w:pPr>
            <w:r>
              <w:rPr>
                <w:rFonts w:hint="eastAsia" w:eastAsia="楷体_GB2312"/>
                <w:szCs w:val="21"/>
              </w:rPr>
              <w:t>符离中学</w:t>
            </w:r>
          </w:p>
        </w:tc>
        <w:tc>
          <w:tcPr>
            <w:tcW w:w="1276" w:type="dxa"/>
            <w:noWrap w:val="0"/>
            <w:vAlign w:val="center"/>
          </w:tcPr>
          <w:p w14:paraId="1E2DA17E">
            <w:pPr>
              <w:spacing w:line="280" w:lineRule="exact"/>
              <w:jc w:val="center"/>
              <w:rPr>
                <w:rFonts w:eastAsia="楷体_GB2312"/>
              </w:rPr>
            </w:pPr>
            <w:r>
              <w:rPr>
                <w:rFonts w:hint="eastAsia" w:eastAsia="楷体_GB2312"/>
              </w:rPr>
              <w:t>40</w:t>
            </w:r>
          </w:p>
        </w:tc>
        <w:tc>
          <w:tcPr>
            <w:tcW w:w="1276" w:type="dxa"/>
            <w:noWrap w:val="0"/>
            <w:vAlign w:val="center"/>
          </w:tcPr>
          <w:p w14:paraId="26A88B5A">
            <w:pPr>
              <w:spacing w:line="280" w:lineRule="exact"/>
              <w:jc w:val="center"/>
              <w:rPr>
                <w:rFonts w:eastAsia="楷体_GB2312"/>
              </w:rPr>
            </w:pPr>
            <w:r>
              <w:rPr>
                <w:rFonts w:hint="eastAsia" w:eastAsia="楷体_GB2312"/>
              </w:rPr>
              <w:t>1938</w:t>
            </w:r>
          </w:p>
        </w:tc>
        <w:tc>
          <w:tcPr>
            <w:tcW w:w="1631" w:type="dxa"/>
            <w:noWrap w:val="0"/>
            <w:vAlign w:val="center"/>
          </w:tcPr>
          <w:p w14:paraId="7D585683">
            <w:pPr>
              <w:spacing w:line="280" w:lineRule="exact"/>
              <w:jc w:val="center"/>
              <w:rPr>
                <w:rFonts w:eastAsia="楷体_GB2312"/>
              </w:rPr>
            </w:pPr>
            <w:r>
              <w:rPr>
                <w:rFonts w:hint="eastAsia" w:eastAsia="楷体_GB2312"/>
              </w:rPr>
              <w:t>190</w:t>
            </w:r>
          </w:p>
        </w:tc>
      </w:tr>
      <w:tr w14:paraId="3D04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Merge w:val="restart"/>
            <w:noWrap w:val="0"/>
            <w:vAlign w:val="center"/>
          </w:tcPr>
          <w:p w14:paraId="68DAB6E0">
            <w:pPr>
              <w:tabs>
                <w:tab w:val="left" w:pos="0"/>
                <w:tab w:val="left" w:pos="295"/>
              </w:tabs>
              <w:jc w:val="center"/>
              <w:rPr>
                <w:rFonts w:eastAsia="楷体_GB2312"/>
                <w:szCs w:val="21"/>
              </w:rPr>
            </w:pPr>
            <w:r>
              <w:rPr>
                <w:rFonts w:eastAsia="楷体_GB2312"/>
                <w:szCs w:val="21"/>
              </w:rPr>
              <w:t>2</w:t>
            </w:r>
          </w:p>
        </w:tc>
        <w:tc>
          <w:tcPr>
            <w:tcW w:w="1134" w:type="dxa"/>
            <w:vMerge w:val="restart"/>
            <w:noWrap w:val="0"/>
            <w:vAlign w:val="center"/>
          </w:tcPr>
          <w:p w14:paraId="39A5C9E1">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朱仙庄镇</w:t>
            </w:r>
          </w:p>
        </w:tc>
        <w:tc>
          <w:tcPr>
            <w:tcW w:w="567" w:type="dxa"/>
            <w:noWrap w:val="0"/>
            <w:vAlign w:val="center"/>
          </w:tcPr>
          <w:p w14:paraId="3E17023C">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2126" w:type="dxa"/>
            <w:noWrap w:val="0"/>
            <w:vAlign w:val="center"/>
          </w:tcPr>
          <w:p w14:paraId="01CE1E3F">
            <w:pPr>
              <w:spacing w:line="280" w:lineRule="exact"/>
              <w:jc w:val="center"/>
              <w:rPr>
                <w:rFonts w:eastAsia="楷体_GB2312"/>
              </w:rPr>
            </w:pPr>
            <w:r>
              <w:rPr>
                <w:rFonts w:hint="eastAsia" w:eastAsia="楷体_GB2312"/>
              </w:rPr>
              <w:t>朱仙庄初级中学</w:t>
            </w:r>
          </w:p>
        </w:tc>
        <w:tc>
          <w:tcPr>
            <w:tcW w:w="1276" w:type="dxa"/>
            <w:noWrap w:val="0"/>
            <w:vAlign w:val="center"/>
          </w:tcPr>
          <w:p w14:paraId="45323B78">
            <w:pPr>
              <w:spacing w:line="280" w:lineRule="exact"/>
              <w:jc w:val="center"/>
              <w:rPr>
                <w:rFonts w:eastAsia="楷体_GB2312"/>
              </w:rPr>
            </w:pPr>
            <w:r>
              <w:rPr>
                <w:rFonts w:hint="eastAsia" w:eastAsia="楷体_GB2312"/>
              </w:rPr>
              <w:t>13</w:t>
            </w:r>
          </w:p>
        </w:tc>
        <w:tc>
          <w:tcPr>
            <w:tcW w:w="1276" w:type="dxa"/>
            <w:noWrap w:val="0"/>
            <w:vAlign w:val="center"/>
          </w:tcPr>
          <w:p w14:paraId="122B04BA">
            <w:pPr>
              <w:spacing w:line="280" w:lineRule="exact"/>
              <w:jc w:val="center"/>
              <w:rPr>
                <w:rFonts w:eastAsia="楷体_GB2312"/>
              </w:rPr>
            </w:pPr>
            <w:r>
              <w:rPr>
                <w:rFonts w:hint="eastAsia" w:eastAsia="楷体_GB2312"/>
              </w:rPr>
              <w:t>634</w:t>
            </w:r>
          </w:p>
        </w:tc>
        <w:tc>
          <w:tcPr>
            <w:tcW w:w="1631" w:type="dxa"/>
            <w:noWrap w:val="0"/>
            <w:vAlign w:val="center"/>
          </w:tcPr>
          <w:p w14:paraId="6D7A1F97">
            <w:pPr>
              <w:spacing w:line="280" w:lineRule="exact"/>
              <w:jc w:val="center"/>
              <w:rPr>
                <w:rFonts w:eastAsia="楷体_GB2312"/>
              </w:rPr>
            </w:pPr>
            <w:r>
              <w:rPr>
                <w:rFonts w:hint="eastAsia" w:eastAsia="楷体_GB2312"/>
              </w:rPr>
              <w:t>76</w:t>
            </w:r>
          </w:p>
        </w:tc>
      </w:tr>
      <w:tr w14:paraId="011D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Merge w:val="continue"/>
            <w:noWrap w:val="0"/>
            <w:vAlign w:val="center"/>
          </w:tcPr>
          <w:p w14:paraId="1F2C006B">
            <w:pPr>
              <w:tabs>
                <w:tab w:val="left" w:pos="0"/>
                <w:tab w:val="left" w:pos="295"/>
              </w:tabs>
              <w:jc w:val="center"/>
              <w:rPr>
                <w:rFonts w:eastAsia="楷体_GB2312"/>
                <w:szCs w:val="21"/>
              </w:rPr>
            </w:pPr>
          </w:p>
        </w:tc>
        <w:tc>
          <w:tcPr>
            <w:tcW w:w="1134" w:type="dxa"/>
            <w:vMerge w:val="continue"/>
            <w:noWrap w:val="0"/>
            <w:vAlign w:val="center"/>
          </w:tcPr>
          <w:p w14:paraId="5AEB7327">
            <w:pPr>
              <w:pStyle w:val="20"/>
              <w:tabs>
                <w:tab w:val="left" w:pos="0"/>
                <w:tab w:val="left" w:pos="295"/>
              </w:tabs>
              <w:jc w:val="center"/>
              <w:rPr>
                <w:rFonts w:ascii="Times New Roman" w:hAnsi="Times New Roman" w:eastAsia="楷体_GB2312" w:cs="Times New Roman"/>
              </w:rPr>
            </w:pPr>
          </w:p>
        </w:tc>
        <w:tc>
          <w:tcPr>
            <w:tcW w:w="567" w:type="dxa"/>
            <w:noWrap w:val="0"/>
            <w:vAlign w:val="center"/>
          </w:tcPr>
          <w:p w14:paraId="0AC1F91D">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hint="eastAsia" w:eastAsia="楷体_GB2312"/>
                <w:kern w:val="2"/>
                <w:szCs w:val="24"/>
              </w:rPr>
              <w:t>02</w:t>
            </w:r>
          </w:p>
        </w:tc>
        <w:tc>
          <w:tcPr>
            <w:tcW w:w="2126" w:type="dxa"/>
            <w:noWrap w:val="0"/>
            <w:vAlign w:val="center"/>
          </w:tcPr>
          <w:p w14:paraId="6502F112">
            <w:pPr>
              <w:spacing w:line="280" w:lineRule="exact"/>
              <w:jc w:val="center"/>
              <w:rPr>
                <w:rFonts w:eastAsia="楷体_GB2312"/>
              </w:rPr>
            </w:pPr>
            <w:r>
              <w:rPr>
                <w:rFonts w:hint="eastAsia" w:eastAsia="楷体_GB2312"/>
              </w:rPr>
              <w:t>朱仙庄矿中学</w:t>
            </w:r>
          </w:p>
        </w:tc>
        <w:tc>
          <w:tcPr>
            <w:tcW w:w="1276" w:type="dxa"/>
            <w:noWrap w:val="0"/>
            <w:vAlign w:val="center"/>
          </w:tcPr>
          <w:p w14:paraId="56ADFE0C">
            <w:pPr>
              <w:spacing w:line="280" w:lineRule="exact"/>
              <w:jc w:val="center"/>
              <w:rPr>
                <w:rFonts w:eastAsia="楷体_GB2312"/>
              </w:rPr>
            </w:pPr>
            <w:r>
              <w:rPr>
                <w:rFonts w:hint="eastAsia" w:eastAsia="楷体_GB2312"/>
              </w:rPr>
              <w:t>9</w:t>
            </w:r>
          </w:p>
        </w:tc>
        <w:tc>
          <w:tcPr>
            <w:tcW w:w="1276" w:type="dxa"/>
            <w:noWrap w:val="0"/>
            <w:vAlign w:val="center"/>
          </w:tcPr>
          <w:p w14:paraId="633309D5">
            <w:pPr>
              <w:spacing w:line="280" w:lineRule="exact"/>
              <w:jc w:val="center"/>
              <w:rPr>
                <w:rFonts w:eastAsia="楷体_GB2312"/>
              </w:rPr>
            </w:pPr>
            <w:r>
              <w:rPr>
                <w:rFonts w:hint="eastAsia" w:eastAsia="楷体_GB2312"/>
              </w:rPr>
              <w:t>366</w:t>
            </w:r>
          </w:p>
        </w:tc>
        <w:tc>
          <w:tcPr>
            <w:tcW w:w="1631" w:type="dxa"/>
            <w:noWrap w:val="0"/>
            <w:vAlign w:val="center"/>
          </w:tcPr>
          <w:p w14:paraId="43243A63">
            <w:pPr>
              <w:spacing w:line="280" w:lineRule="exact"/>
              <w:jc w:val="center"/>
              <w:rPr>
                <w:rFonts w:eastAsia="楷体_GB2312"/>
              </w:rPr>
            </w:pPr>
            <w:r>
              <w:rPr>
                <w:rFonts w:hint="eastAsia" w:eastAsia="楷体_GB2312"/>
              </w:rPr>
              <w:t>42</w:t>
            </w:r>
          </w:p>
        </w:tc>
      </w:tr>
      <w:tr w14:paraId="45D8A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Merge w:val="continue"/>
            <w:noWrap w:val="0"/>
            <w:vAlign w:val="center"/>
          </w:tcPr>
          <w:p w14:paraId="79E8064E">
            <w:pPr>
              <w:tabs>
                <w:tab w:val="left" w:pos="0"/>
                <w:tab w:val="left" w:pos="295"/>
              </w:tabs>
              <w:jc w:val="center"/>
              <w:rPr>
                <w:rFonts w:eastAsia="楷体_GB2312"/>
                <w:szCs w:val="21"/>
              </w:rPr>
            </w:pPr>
          </w:p>
        </w:tc>
        <w:tc>
          <w:tcPr>
            <w:tcW w:w="1134" w:type="dxa"/>
            <w:vMerge w:val="continue"/>
            <w:noWrap w:val="0"/>
            <w:vAlign w:val="center"/>
          </w:tcPr>
          <w:p w14:paraId="161CAE58">
            <w:pPr>
              <w:pStyle w:val="20"/>
              <w:tabs>
                <w:tab w:val="left" w:pos="0"/>
                <w:tab w:val="left" w:pos="295"/>
              </w:tabs>
              <w:jc w:val="center"/>
              <w:rPr>
                <w:rFonts w:ascii="Times New Roman" w:hAnsi="Times New Roman" w:eastAsia="楷体_GB2312" w:cs="Times New Roman"/>
              </w:rPr>
            </w:pPr>
          </w:p>
        </w:tc>
        <w:tc>
          <w:tcPr>
            <w:tcW w:w="567" w:type="dxa"/>
            <w:noWrap w:val="0"/>
            <w:vAlign w:val="center"/>
          </w:tcPr>
          <w:p w14:paraId="5F11DE9F">
            <w:pPr>
              <w:pStyle w:val="112"/>
              <w:widowControl w:val="0"/>
              <w:pBdr>
                <w:bottom w:val="none" w:color="auto" w:sz="0" w:space="0"/>
                <w:right w:val="none" w:color="auto" w:sz="0" w:space="0"/>
              </w:pBdr>
              <w:spacing w:before="0" w:beforeAutospacing="0" w:after="0" w:afterAutospacing="0" w:line="280" w:lineRule="exact"/>
              <w:jc w:val="center"/>
              <w:textAlignment w:val="auto"/>
              <w:rPr>
                <w:rFonts w:hint="eastAsia" w:eastAsia="楷体_GB2312"/>
                <w:kern w:val="2"/>
                <w:szCs w:val="24"/>
              </w:rPr>
            </w:pPr>
            <w:r>
              <w:rPr>
                <w:rFonts w:hint="eastAsia" w:eastAsia="楷体_GB2312"/>
                <w:kern w:val="2"/>
                <w:szCs w:val="24"/>
              </w:rPr>
              <w:t>03</w:t>
            </w:r>
          </w:p>
        </w:tc>
        <w:tc>
          <w:tcPr>
            <w:tcW w:w="2126" w:type="dxa"/>
            <w:noWrap w:val="0"/>
            <w:vAlign w:val="center"/>
          </w:tcPr>
          <w:p w14:paraId="7BF82A3A">
            <w:pPr>
              <w:spacing w:line="280" w:lineRule="exact"/>
              <w:jc w:val="center"/>
              <w:rPr>
                <w:rFonts w:hint="eastAsia" w:eastAsia="楷体_GB2312"/>
              </w:rPr>
            </w:pPr>
            <w:r>
              <w:rPr>
                <w:rFonts w:hint="eastAsia" w:eastAsia="楷体_GB2312"/>
              </w:rPr>
              <w:t>新河初级中学</w:t>
            </w:r>
          </w:p>
        </w:tc>
        <w:tc>
          <w:tcPr>
            <w:tcW w:w="1276" w:type="dxa"/>
            <w:noWrap w:val="0"/>
            <w:vAlign w:val="center"/>
          </w:tcPr>
          <w:p w14:paraId="7F902EDA">
            <w:pPr>
              <w:spacing w:line="280" w:lineRule="exact"/>
              <w:jc w:val="center"/>
              <w:rPr>
                <w:rFonts w:hint="eastAsia" w:eastAsia="楷体_GB2312"/>
              </w:rPr>
            </w:pPr>
            <w:r>
              <w:rPr>
                <w:rFonts w:hint="eastAsia" w:eastAsia="楷体_GB2312"/>
              </w:rPr>
              <w:t>9</w:t>
            </w:r>
          </w:p>
        </w:tc>
        <w:tc>
          <w:tcPr>
            <w:tcW w:w="1276" w:type="dxa"/>
            <w:noWrap w:val="0"/>
            <w:vAlign w:val="center"/>
          </w:tcPr>
          <w:p w14:paraId="25ED2764">
            <w:pPr>
              <w:spacing w:line="280" w:lineRule="exact"/>
              <w:jc w:val="center"/>
              <w:rPr>
                <w:rFonts w:hint="eastAsia" w:eastAsia="楷体_GB2312"/>
              </w:rPr>
            </w:pPr>
            <w:r>
              <w:rPr>
                <w:rFonts w:hint="eastAsia" w:eastAsia="楷体_GB2312"/>
              </w:rPr>
              <w:t>411</w:t>
            </w:r>
          </w:p>
        </w:tc>
        <w:tc>
          <w:tcPr>
            <w:tcW w:w="1631" w:type="dxa"/>
            <w:noWrap w:val="0"/>
            <w:vAlign w:val="center"/>
          </w:tcPr>
          <w:p w14:paraId="458844F7">
            <w:pPr>
              <w:spacing w:line="280" w:lineRule="exact"/>
              <w:jc w:val="center"/>
              <w:rPr>
                <w:rFonts w:hint="eastAsia" w:eastAsia="楷体_GB2312"/>
              </w:rPr>
            </w:pPr>
            <w:r>
              <w:rPr>
                <w:rFonts w:hint="eastAsia" w:eastAsia="楷体_GB2312"/>
              </w:rPr>
              <w:t>37</w:t>
            </w:r>
          </w:p>
        </w:tc>
      </w:tr>
      <w:tr w14:paraId="2981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Merge w:val="restart"/>
            <w:noWrap w:val="0"/>
            <w:vAlign w:val="center"/>
          </w:tcPr>
          <w:p w14:paraId="57EB5BF1">
            <w:pPr>
              <w:tabs>
                <w:tab w:val="left" w:pos="0"/>
                <w:tab w:val="left" w:pos="295"/>
              </w:tabs>
              <w:jc w:val="center"/>
              <w:rPr>
                <w:rFonts w:eastAsia="楷体_GB2312"/>
                <w:szCs w:val="21"/>
              </w:rPr>
            </w:pPr>
            <w:r>
              <w:rPr>
                <w:rFonts w:eastAsia="楷体_GB2312"/>
                <w:szCs w:val="21"/>
              </w:rPr>
              <w:t>3</w:t>
            </w:r>
          </w:p>
        </w:tc>
        <w:tc>
          <w:tcPr>
            <w:tcW w:w="1134" w:type="dxa"/>
            <w:vMerge w:val="restart"/>
            <w:noWrap w:val="0"/>
            <w:vAlign w:val="center"/>
          </w:tcPr>
          <w:p w14:paraId="2A7930E1">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蕲县镇</w:t>
            </w:r>
          </w:p>
        </w:tc>
        <w:tc>
          <w:tcPr>
            <w:tcW w:w="567" w:type="dxa"/>
            <w:noWrap w:val="0"/>
            <w:vAlign w:val="center"/>
          </w:tcPr>
          <w:p w14:paraId="607AA512">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2126" w:type="dxa"/>
            <w:noWrap w:val="0"/>
            <w:vAlign w:val="center"/>
          </w:tcPr>
          <w:p w14:paraId="739F8A49">
            <w:pPr>
              <w:spacing w:line="250" w:lineRule="atLeast"/>
              <w:jc w:val="center"/>
              <w:rPr>
                <w:rFonts w:hint="eastAsia" w:eastAsia="楷体_GB2312"/>
                <w:szCs w:val="21"/>
              </w:rPr>
            </w:pPr>
            <w:r>
              <w:rPr>
                <w:rFonts w:hint="eastAsia" w:eastAsia="楷体_GB2312"/>
                <w:szCs w:val="21"/>
              </w:rPr>
              <w:t>蕲县初级中学</w:t>
            </w:r>
          </w:p>
        </w:tc>
        <w:tc>
          <w:tcPr>
            <w:tcW w:w="1276" w:type="dxa"/>
            <w:noWrap w:val="0"/>
            <w:vAlign w:val="center"/>
          </w:tcPr>
          <w:p w14:paraId="0858BFCE">
            <w:pPr>
              <w:spacing w:line="280" w:lineRule="exact"/>
              <w:jc w:val="center"/>
              <w:rPr>
                <w:rFonts w:hint="eastAsia" w:eastAsia="楷体_GB2312"/>
              </w:rPr>
            </w:pPr>
            <w:r>
              <w:rPr>
                <w:rFonts w:hint="eastAsia" w:eastAsia="楷体_GB2312"/>
              </w:rPr>
              <w:t>30</w:t>
            </w:r>
          </w:p>
        </w:tc>
        <w:tc>
          <w:tcPr>
            <w:tcW w:w="1276" w:type="dxa"/>
            <w:noWrap w:val="0"/>
            <w:vAlign w:val="center"/>
          </w:tcPr>
          <w:p w14:paraId="1986867F">
            <w:pPr>
              <w:spacing w:line="280" w:lineRule="exact"/>
              <w:jc w:val="center"/>
              <w:rPr>
                <w:rFonts w:hint="eastAsia" w:eastAsia="楷体_GB2312"/>
              </w:rPr>
            </w:pPr>
            <w:r>
              <w:rPr>
                <w:rFonts w:hint="eastAsia" w:eastAsia="楷体_GB2312"/>
              </w:rPr>
              <w:t>1558</w:t>
            </w:r>
          </w:p>
        </w:tc>
        <w:tc>
          <w:tcPr>
            <w:tcW w:w="1631" w:type="dxa"/>
            <w:noWrap w:val="0"/>
            <w:vAlign w:val="center"/>
          </w:tcPr>
          <w:p w14:paraId="4A92E995">
            <w:pPr>
              <w:spacing w:line="280" w:lineRule="exact"/>
              <w:jc w:val="center"/>
              <w:rPr>
                <w:rFonts w:hint="eastAsia" w:eastAsia="楷体_GB2312"/>
              </w:rPr>
            </w:pPr>
            <w:r>
              <w:rPr>
                <w:rFonts w:hint="eastAsia" w:eastAsia="楷体_GB2312"/>
              </w:rPr>
              <w:t>105</w:t>
            </w:r>
          </w:p>
        </w:tc>
      </w:tr>
      <w:tr w14:paraId="1082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Merge w:val="continue"/>
            <w:noWrap w:val="0"/>
            <w:vAlign w:val="center"/>
          </w:tcPr>
          <w:p w14:paraId="6BAFD5F7">
            <w:pPr>
              <w:tabs>
                <w:tab w:val="left" w:pos="0"/>
                <w:tab w:val="left" w:pos="295"/>
              </w:tabs>
              <w:jc w:val="center"/>
              <w:rPr>
                <w:rFonts w:eastAsia="楷体_GB2312"/>
                <w:szCs w:val="21"/>
              </w:rPr>
            </w:pPr>
          </w:p>
        </w:tc>
        <w:tc>
          <w:tcPr>
            <w:tcW w:w="1134" w:type="dxa"/>
            <w:vMerge w:val="continue"/>
            <w:noWrap w:val="0"/>
            <w:vAlign w:val="center"/>
          </w:tcPr>
          <w:p w14:paraId="34CBBDC2">
            <w:pPr>
              <w:pStyle w:val="20"/>
              <w:tabs>
                <w:tab w:val="left" w:pos="0"/>
                <w:tab w:val="left" w:pos="295"/>
              </w:tabs>
              <w:jc w:val="center"/>
              <w:rPr>
                <w:rFonts w:ascii="Times New Roman" w:hAnsi="Times New Roman" w:eastAsia="楷体_GB2312" w:cs="Times New Roman"/>
              </w:rPr>
            </w:pPr>
          </w:p>
        </w:tc>
        <w:tc>
          <w:tcPr>
            <w:tcW w:w="567" w:type="dxa"/>
            <w:noWrap w:val="0"/>
            <w:vAlign w:val="center"/>
          </w:tcPr>
          <w:p w14:paraId="3F603E38">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hint="eastAsia" w:eastAsia="楷体_GB2312"/>
                <w:kern w:val="2"/>
                <w:szCs w:val="24"/>
              </w:rPr>
              <w:t>02</w:t>
            </w:r>
          </w:p>
        </w:tc>
        <w:tc>
          <w:tcPr>
            <w:tcW w:w="2126" w:type="dxa"/>
            <w:noWrap w:val="0"/>
            <w:vAlign w:val="center"/>
          </w:tcPr>
          <w:p w14:paraId="5FAB98C2">
            <w:pPr>
              <w:spacing w:line="250" w:lineRule="atLeast"/>
              <w:jc w:val="center"/>
              <w:rPr>
                <w:rFonts w:hint="eastAsia" w:eastAsia="楷体_GB2312"/>
                <w:szCs w:val="21"/>
              </w:rPr>
            </w:pPr>
            <w:r>
              <w:rPr>
                <w:rFonts w:hint="eastAsia" w:eastAsia="楷体_GB2312"/>
                <w:szCs w:val="21"/>
              </w:rPr>
              <w:t>祁南矿学校</w:t>
            </w:r>
          </w:p>
        </w:tc>
        <w:tc>
          <w:tcPr>
            <w:tcW w:w="1276" w:type="dxa"/>
            <w:noWrap w:val="0"/>
            <w:vAlign w:val="center"/>
          </w:tcPr>
          <w:p w14:paraId="06B88A05">
            <w:pPr>
              <w:spacing w:line="280" w:lineRule="exact"/>
              <w:jc w:val="center"/>
              <w:rPr>
                <w:rFonts w:hint="eastAsia" w:eastAsia="楷体_GB2312"/>
              </w:rPr>
            </w:pPr>
            <w:r>
              <w:rPr>
                <w:rFonts w:hint="eastAsia" w:eastAsia="楷体_GB2312"/>
              </w:rPr>
              <w:t>31</w:t>
            </w:r>
          </w:p>
        </w:tc>
        <w:tc>
          <w:tcPr>
            <w:tcW w:w="1276" w:type="dxa"/>
            <w:noWrap w:val="0"/>
            <w:vAlign w:val="center"/>
          </w:tcPr>
          <w:p w14:paraId="0183359D">
            <w:pPr>
              <w:spacing w:line="280" w:lineRule="exact"/>
              <w:jc w:val="center"/>
              <w:rPr>
                <w:rFonts w:hint="eastAsia" w:eastAsia="楷体_GB2312"/>
              </w:rPr>
            </w:pPr>
            <w:r>
              <w:rPr>
                <w:rFonts w:hint="eastAsia" w:eastAsia="楷体_GB2312"/>
              </w:rPr>
              <w:t>1460</w:t>
            </w:r>
          </w:p>
        </w:tc>
        <w:tc>
          <w:tcPr>
            <w:tcW w:w="1631" w:type="dxa"/>
            <w:noWrap w:val="0"/>
            <w:vAlign w:val="center"/>
          </w:tcPr>
          <w:p w14:paraId="6EC16FF9">
            <w:pPr>
              <w:spacing w:line="280" w:lineRule="exact"/>
              <w:jc w:val="center"/>
              <w:rPr>
                <w:rFonts w:hint="eastAsia" w:eastAsia="楷体_GB2312"/>
              </w:rPr>
            </w:pPr>
            <w:r>
              <w:rPr>
                <w:rFonts w:hint="eastAsia" w:eastAsia="楷体_GB2312"/>
              </w:rPr>
              <w:t>66</w:t>
            </w:r>
          </w:p>
        </w:tc>
      </w:tr>
      <w:tr w14:paraId="7A24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Merge w:val="restart"/>
            <w:noWrap w:val="0"/>
            <w:vAlign w:val="center"/>
          </w:tcPr>
          <w:p w14:paraId="0C79B447">
            <w:pPr>
              <w:tabs>
                <w:tab w:val="left" w:pos="0"/>
                <w:tab w:val="left" w:pos="295"/>
              </w:tabs>
              <w:jc w:val="center"/>
              <w:rPr>
                <w:rFonts w:eastAsia="楷体_GB2312"/>
                <w:szCs w:val="21"/>
              </w:rPr>
            </w:pPr>
            <w:r>
              <w:rPr>
                <w:rFonts w:eastAsia="楷体_GB2312"/>
                <w:szCs w:val="21"/>
              </w:rPr>
              <w:t>4</w:t>
            </w:r>
          </w:p>
        </w:tc>
        <w:tc>
          <w:tcPr>
            <w:tcW w:w="1134" w:type="dxa"/>
            <w:vMerge w:val="restart"/>
            <w:noWrap w:val="0"/>
            <w:vAlign w:val="center"/>
          </w:tcPr>
          <w:p w14:paraId="35D04EAA">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芦岭镇</w:t>
            </w:r>
          </w:p>
        </w:tc>
        <w:tc>
          <w:tcPr>
            <w:tcW w:w="567" w:type="dxa"/>
            <w:noWrap w:val="0"/>
            <w:vAlign w:val="center"/>
          </w:tcPr>
          <w:p w14:paraId="19DC6399">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2126" w:type="dxa"/>
            <w:noWrap w:val="0"/>
            <w:vAlign w:val="center"/>
          </w:tcPr>
          <w:p w14:paraId="0CDB3954">
            <w:pPr>
              <w:spacing w:line="250" w:lineRule="atLeast"/>
              <w:jc w:val="center"/>
              <w:rPr>
                <w:rFonts w:eastAsia="楷体_GB2312"/>
                <w:szCs w:val="21"/>
              </w:rPr>
            </w:pPr>
            <w:r>
              <w:rPr>
                <w:rFonts w:hint="eastAsia" w:eastAsia="楷体_GB2312"/>
                <w:szCs w:val="21"/>
              </w:rPr>
              <w:t>芦岭初级中学</w:t>
            </w:r>
          </w:p>
        </w:tc>
        <w:tc>
          <w:tcPr>
            <w:tcW w:w="1276" w:type="dxa"/>
            <w:noWrap w:val="0"/>
            <w:vAlign w:val="center"/>
          </w:tcPr>
          <w:p w14:paraId="5A6B122D">
            <w:pPr>
              <w:spacing w:line="280" w:lineRule="exact"/>
              <w:jc w:val="center"/>
              <w:rPr>
                <w:rFonts w:eastAsia="楷体_GB2312"/>
              </w:rPr>
            </w:pPr>
            <w:r>
              <w:rPr>
                <w:rFonts w:hint="eastAsia" w:eastAsia="楷体_GB2312"/>
              </w:rPr>
              <w:t>13</w:t>
            </w:r>
          </w:p>
        </w:tc>
        <w:tc>
          <w:tcPr>
            <w:tcW w:w="1276" w:type="dxa"/>
            <w:noWrap w:val="0"/>
            <w:vAlign w:val="center"/>
          </w:tcPr>
          <w:p w14:paraId="2380C519">
            <w:pPr>
              <w:spacing w:line="280" w:lineRule="exact"/>
              <w:jc w:val="center"/>
              <w:rPr>
                <w:rFonts w:eastAsia="楷体_GB2312"/>
              </w:rPr>
            </w:pPr>
            <w:r>
              <w:rPr>
                <w:rFonts w:hint="eastAsia" w:eastAsia="楷体_GB2312"/>
              </w:rPr>
              <w:t>663</w:t>
            </w:r>
          </w:p>
        </w:tc>
        <w:tc>
          <w:tcPr>
            <w:tcW w:w="1631" w:type="dxa"/>
            <w:noWrap w:val="0"/>
            <w:vAlign w:val="center"/>
          </w:tcPr>
          <w:p w14:paraId="4D365DCD">
            <w:pPr>
              <w:spacing w:line="280" w:lineRule="exact"/>
              <w:jc w:val="center"/>
              <w:rPr>
                <w:rFonts w:eastAsia="楷体_GB2312"/>
              </w:rPr>
            </w:pPr>
            <w:r>
              <w:rPr>
                <w:rFonts w:hint="eastAsia" w:eastAsia="楷体_GB2312"/>
              </w:rPr>
              <w:t>48</w:t>
            </w:r>
          </w:p>
        </w:tc>
      </w:tr>
      <w:tr w14:paraId="36ACB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Merge w:val="continue"/>
            <w:noWrap w:val="0"/>
            <w:vAlign w:val="center"/>
          </w:tcPr>
          <w:p w14:paraId="6230C2A1">
            <w:pPr>
              <w:tabs>
                <w:tab w:val="left" w:pos="0"/>
                <w:tab w:val="left" w:pos="295"/>
              </w:tabs>
              <w:jc w:val="center"/>
              <w:rPr>
                <w:rFonts w:eastAsia="楷体_GB2312"/>
                <w:szCs w:val="21"/>
              </w:rPr>
            </w:pPr>
          </w:p>
        </w:tc>
        <w:tc>
          <w:tcPr>
            <w:tcW w:w="1134" w:type="dxa"/>
            <w:vMerge w:val="continue"/>
            <w:noWrap w:val="0"/>
            <w:vAlign w:val="center"/>
          </w:tcPr>
          <w:p w14:paraId="58426777">
            <w:pPr>
              <w:pStyle w:val="20"/>
              <w:tabs>
                <w:tab w:val="left" w:pos="0"/>
                <w:tab w:val="left" w:pos="295"/>
              </w:tabs>
              <w:jc w:val="center"/>
              <w:rPr>
                <w:rFonts w:ascii="Times New Roman" w:hAnsi="Times New Roman" w:eastAsia="楷体_GB2312" w:cs="Times New Roman"/>
              </w:rPr>
            </w:pPr>
          </w:p>
        </w:tc>
        <w:tc>
          <w:tcPr>
            <w:tcW w:w="567" w:type="dxa"/>
            <w:noWrap w:val="0"/>
            <w:vAlign w:val="center"/>
          </w:tcPr>
          <w:p w14:paraId="2BD26304">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hint="eastAsia" w:eastAsia="楷体_GB2312"/>
                <w:kern w:val="2"/>
                <w:szCs w:val="24"/>
              </w:rPr>
              <w:t>02</w:t>
            </w:r>
          </w:p>
        </w:tc>
        <w:tc>
          <w:tcPr>
            <w:tcW w:w="2126" w:type="dxa"/>
            <w:noWrap w:val="0"/>
            <w:vAlign w:val="center"/>
          </w:tcPr>
          <w:p w14:paraId="189FC99C">
            <w:pPr>
              <w:spacing w:line="250" w:lineRule="atLeast"/>
              <w:jc w:val="center"/>
              <w:rPr>
                <w:rFonts w:hint="eastAsia" w:eastAsia="楷体_GB2312"/>
                <w:szCs w:val="21"/>
              </w:rPr>
            </w:pPr>
            <w:r>
              <w:rPr>
                <w:rFonts w:hint="eastAsia" w:eastAsia="楷体_GB2312"/>
                <w:szCs w:val="21"/>
              </w:rPr>
              <w:t>芦岭矿中学</w:t>
            </w:r>
          </w:p>
        </w:tc>
        <w:tc>
          <w:tcPr>
            <w:tcW w:w="1276" w:type="dxa"/>
            <w:noWrap w:val="0"/>
            <w:vAlign w:val="center"/>
          </w:tcPr>
          <w:p w14:paraId="2A384D14">
            <w:pPr>
              <w:spacing w:line="280" w:lineRule="exact"/>
              <w:jc w:val="center"/>
              <w:rPr>
                <w:rFonts w:hint="eastAsia" w:eastAsia="楷体_GB2312"/>
              </w:rPr>
            </w:pPr>
            <w:r>
              <w:rPr>
                <w:rFonts w:hint="eastAsia" w:eastAsia="楷体_GB2312"/>
              </w:rPr>
              <w:t>12</w:t>
            </w:r>
          </w:p>
        </w:tc>
        <w:tc>
          <w:tcPr>
            <w:tcW w:w="1276" w:type="dxa"/>
            <w:noWrap w:val="0"/>
            <w:vAlign w:val="center"/>
          </w:tcPr>
          <w:p w14:paraId="4587EBCB">
            <w:pPr>
              <w:spacing w:line="280" w:lineRule="exact"/>
              <w:jc w:val="center"/>
              <w:rPr>
                <w:rFonts w:hint="eastAsia" w:eastAsia="楷体_GB2312"/>
              </w:rPr>
            </w:pPr>
            <w:r>
              <w:rPr>
                <w:rFonts w:hint="eastAsia" w:eastAsia="楷体_GB2312"/>
              </w:rPr>
              <w:t>522</w:t>
            </w:r>
          </w:p>
        </w:tc>
        <w:tc>
          <w:tcPr>
            <w:tcW w:w="1631" w:type="dxa"/>
            <w:noWrap w:val="0"/>
            <w:vAlign w:val="center"/>
          </w:tcPr>
          <w:p w14:paraId="1B1A5E79">
            <w:pPr>
              <w:spacing w:line="280" w:lineRule="exact"/>
              <w:jc w:val="center"/>
              <w:rPr>
                <w:rFonts w:hint="eastAsia" w:eastAsia="楷体_GB2312"/>
              </w:rPr>
            </w:pPr>
            <w:r>
              <w:rPr>
                <w:rFonts w:hint="eastAsia" w:eastAsia="楷体_GB2312"/>
              </w:rPr>
              <w:t>59</w:t>
            </w:r>
          </w:p>
        </w:tc>
      </w:tr>
      <w:tr w14:paraId="72FE1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2161352C">
            <w:pPr>
              <w:tabs>
                <w:tab w:val="left" w:pos="0"/>
                <w:tab w:val="left" w:pos="295"/>
              </w:tabs>
              <w:jc w:val="center"/>
              <w:rPr>
                <w:rFonts w:eastAsia="楷体_GB2312"/>
                <w:szCs w:val="21"/>
              </w:rPr>
            </w:pPr>
            <w:r>
              <w:rPr>
                <w:rFonts w:eastAsia="楷体_GB2312"/>
                <w:szCs w:val="21"/>
              </w:rPr>
              <w:t>5</w:t>
            </w:r>
          </w:p>
        </w:tc>
        <w:tc>
          <w:tcPr>
            <w:tcW w:w="1134" w:type="dxa"/>
            <w:noWrap w:val="0"/>
            <w:vAlign w:val="center"/>
          </w:tcPr>
          <w:p w14:paraId="7D67DC6B">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大店镇</w:t>
            </w:r>
          </w:p>
        </w:tc>
        <w:tc>
          <w:tcPr>
            <w:tcW w:w="567" w:type="dxa"/>
            <w:noWrap w:val="0"/>
            <w:vAlign w:val="center"/>
          </w:tcPr>
          <w:p w14:paraId="286FD50B">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2126" w:type="dxa"/>
            <w:noWrap w:val="0"/>
            <w:vAlign w:val="center"/>
          </w:tcPr>
          <w:p w14:paraId="35CFDAB5">
            <w:pPr>
              <w:spacing w:line="250" w:lineRule="atLeast"/>
              <w:jc w:val="center"/>
              <w:rPr>
                <w:rFonts w:eastAsia="楷体_GB2312"/>
                <w:szCs w:val="21"/>
              </w:rPr>
            </w:pPr>
            <w:r>
              <w:rPr>
                <w:rFonts w:hint="eastAsia" w:eastAsia="楷体_GB2312"/>
                <w:szCs w:val="21"/>
              </w:rPr>
              <w:t>大店中学</w:t>
            </w:r>
          </w:p>
        </w:tc>
        <w:tc>
          <w:tcPr>
            <w:tcW w:w="1276" w:type="dxa"/>
            <w:noWrap w:val="0"/>
            <w:vAlign w:val="center"/>
          </w:tcPr>
          <w:p w14:paraId="216DBE1B">
            <w:pPr>
              <w:spacing w:line="280" w:lineRule="exact"/>
              <w:jc w:val="center"/>
              <w:rPr>
                <w:rFonts w:eastAsia="楷体_GB2312"/>
              </w:rPr>
            </w:pPr>
            <w:r>
              <w:rPr>
                <w:rFonts w:hint="eastAsia" w:eastAsia="楷体_GB2312"/>
              </w:rPr>
              <w:t>9</w:t>
            </w:r>
          </w:p>
        </w:tc>
        <w:tc>
          <w:tcPr>
            <w:tcW w:w="1276" w:type="dxa"/>
            <w:noWrap w:val="0"/>
            <w:vAlign w:val="center"/>
          </w:tcPr>
          <w:p w14:paraId="342C28B0">
            <w:pPr>
              <w:spacing w:line="280" w:lineRule="exact"/>
              <w:jc w:val="center"/>
              <w:rPr>
                <w:rFonts w:eastAsia="楷体_GB2312"/>
              </w:rPr>
            </w:pPr>
            <w:r>
              <w:rPr>
                <w:rFonts w:hint="eastAsia" w:eastAsia="楷体_GB2312"/>
              </w:rPr>
              <w:t>363</w:t>
            </w:r>
          </w:p>
        </w:tc>
        <w:tc>
          <w:tcPr>
            <w:tcW w:w="1631" w:type="dxa"/>
            <w:noWrap w:val="0"/>
            <w:vAlign w:val="center"/>
          </w:tcPr>
          <w:p w14:paraId="4CECF942">
            <w:pPr>
              <w:spacing w:line="280" w:lineRule="exact"/>
              <w:jc w:val="center"/>
              <w:rPr>
                <w:rFonts w:eastAsia="楷体_GB2312"/>
              </w:rPr>
            </w:pPr>
            <w:r>
              <w:rPr>
                <w:rFonts w:hint="eastAsia" w:eastAsia="楷体_GB2312"/>
              </w:rPr>
              <w:t>82</w:t>
            </w:r>
          </w:p>
        </w:tc>
      </w:tr>
      <w:tr w14:paraId="59D1A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2147E2DD">
            <w:pPr>
              <w:tabs>
                <w:tab w:val="left" w:pos="0"/>
                <w:tab w:val="left" w:pos="295"/>
              </w:tabs>
              <w:jc w:val="center"/>
              <w:rPr>
                <w:rFonts w:eastAsia="楷体_GB2312"/>
                <w:szCs w:val="21"/>
              </w:rPr>
            </w:pPr>
            <w:r>
              <w:rPr>
                <w:rFonts w:eastAsia="楷体_GB2312"/>
                <w:szCs w:val="21"/>
              </w:rPr>
              <w:t>6</w:t>
            </w:r>
          </w:p>
        </w:tc>
        <w:tc>
          <w:tcPr>
            <w:tcW w:w="1134" w:type="dxa"/>
            <w:noWrap w:val="0"/>
            <w:vAlign w:val="center"/>
          </w:tcPr>
          <w:p w14:paraId="4D071AF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栏杆镇</w:t>
            </w:r>
          </w:p>
        </w:tc>
        <w:tc>
          <w:tcPr>
            <w:tcW w:w="567" w:type="dxa"/>
            <w:noWrap w:val="0"/>
            <w:vAlign w:val="center"/>
          </w:tcPr>
          <w:p w14:paraId="36980299">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2126" w:type="dxa"/>
            <w:noWrap w:val="0"/>
            <w:vAlign w:val="center"/>
          </w:tcPr>
          <w:p w14:paraId="6B87CF19">
            <w:pPr>
              <w:spacing w:line="250" w:lineRule="atLeast"/>
              <w:jc w:val="center"/>
              <w:rPr>
                <w:rFonts w:eastAsia="楷体_GB2312"/>
                <w:szCs w:val="21"/>
              </w:rPr>
            </w:pPr>
            <w:r>
              <w:rPr>
                <w:rFonts w:hint="eastAsia" w:eastAsia="楷体_GB2312"/>
                <w:szCs w:val="21"/>
              </w:rPr>
              <w:t>栏杆初级中学</w:t>
            </w:r>
          </w:p>
        </w:tc>
        <w:tc>
          <w:tcPr>
            <w:tcW w:w="1276" w:type="dxa"/>
            <w:noWrap w:val="0"/>
            <w:vAlign w:val="center"/>
          </w:tcPr>
          <w:p w14:paraId="04B0A6F4">
            <w:pPr>
              <w:spacing w:line="280" w:lineRule="exact"/>
              <w:jc w:val="center"/>
              <w:rPr>
                <w:rFonts w:eastAsia="楷体_GB2312"/>
              </w:rPr>
            </w:pPr>
            <w:r>
              <w:rPr>
                <w:rFonts w:hint="eastAsia" w:eastAsia="楷体_GB2312"/>
              </w:rPr>
              <w:t>24</w:t>
            </w:r>
          </w:p>
        </w:tc>
        <w:tc>
          <w:tcPr>
            <w:tcW w:w="1276" w:type="dxa"/>
            <w:noWrap w:val="0"/>
            <w:vAlign w:val="center"/>
          </w:tcPr>
          <w:p w14:paraId="64B9AF6F">
            <w:pPr>
              <w:spacing w:line="280" w:lineRule="exact"/>
              <w:jc w:val="center"/>
              <w:rPr>
                <w:rFonts w:eastAsia="楷体_GB2312"/>
              </w:rPr>
            </w:pPr>
            <w:r>
              <w:rPr>
                <w:rFonts w:hint="eastAsia" w:eastAsia="楷体_GB2312"/>
              </w:rPr>
              <w:t>1165</w:t>
            </w:r>
          </w:p>
        </w:tc>
        <w:tc>
          <w:tcPr>
            <w:tcW w:w="1631" w:type="dxa"/>
            <w:noWrap w:val="0"/>
            <w:vAlign w:val="center"/>
          </w:tcPr>
          <w:p w14:paraId="1966127C">
            <w:pPr>
              <w:spacing w:line="280" w:lineRule="exact"/>
              <w:jc w:val="center"/>
              <w:rPr>
                <w:rFonts w:eastAsia="楷体_GB2312"/>
              </w:rPr>
            </w:pPr>
            <w:r>
              <w:rPr>
                <w:rFonts w:hint="eastAsia" w:eastAsia="楷体_GB2312"/>
              </w:rPr>
              <w:t>79</w:t>
            </w:r>
          </w:p>
        </w:tc>
      </w:tr>
      <w:tr w14:paraId="69744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Merge w:val="restart"/>
            <w:noWrap w:val="0"/>
            <w:vAlign w:val="center"/>
          </w:tcPr>
          <w:p w14:paraId="15F06C96">
            <w:pPr>
              <w:tabs>
                <w:tab w:val="left" w:pos="0"/>
                <w:tab w:val="left" w:pos="295"/>
              </w:tabs>
              <w:jc w:val="center"/>
              <w:rPr>
                <w:rFonts w:eastAsia="楷体_GB2312"/>
                <w:szCs w:val="21"/>
              </w:rPr>
            </w:pPr>
            <w:r>
              <w:rPr>
                <w:rFonts w:eastAsia="楷体_GB2312"/>
                <w:szCs w:val="21"/>
              </w:rPr>
              <w:t>7</w:t>
            </w:r>
          </w:p>
        </w:tc>
        <w:tc>
          <w:tcPr>
            <w:tcW w:w="1134" w:type="dxa"/>
            <w:vMerge w:val="restart"/>
            <w:noWrap w:val="0"/>
            <w:vAlign w:val="center"/>
          </w:tcPr>
          <w:p w14:paraId="167D0067">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时村镇</w:t>
            </w:r>
          </w:p>
        </w:tc>
        <w:tc>
          <w:tcPr>
            <w:tcW w:w="567" w:type="dxa"/>
            <w:noWrap w:val="0"/>
            <w:vAlign w:val="center"/>
          </w:tcPr>
          <w:p w14:paraId="7712B5C7">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2126" w:type="dxa"/>
            <w:noWrap w:val="0"/>
            <w:vAlign w:val="center"/>
          </w:tcPr>
          <w:p w14:paraId="5BEC24BF">
            <w:pPr>
              <w:spacing w:line="250" w:lineRule="atLeast"/>
              <w:jc w:val="center"/>
              <w:rPr>
                <w:rFonts w:eastAsia="楷体_GB2312"/>
                <w:szCs w:val="21"/>
              </w:rPr>
            </w:pPr>
            <w:r>
              <w:rPr>
                <w:rFonts w:hint="eastAsia" w:eastAsia="楷体_GB2312"/>
                <w:szCs w:val="21"/>
              </w:rPr>
              <w:t>时村镇第二初级中学</w:t>
            </w:r>
          </w:p>
        </w:tc>
        <w:tc>
          <w:tcPr>
            <w:tcW w:w="1276" w:type="dxa"/>
            <w:noWrap w:val="0"/>
            <w:vAlign w:val="center"/>
          </w:tcPr>
          <w:p w14:paraId="128437C7">
            <w:pPr>
              <w:spacing w:line="280" w:lineRule="exact"/>
              <w:jc w:val="center"/>
              <w:rPr>
                <w:rFonts w:eastAsia="楷体_GB2312"/>
              </w:rPr>
            </w:pPr>
            <w:r>
              <w:rPr>
                <w:rFonts w:hint="eastAsia" w:eastAsia="楷体_GB2312"/>
              </w:rPr>
              <w:t>26</w:t>
            </w:r>
          </w:p>
        </w:tc>
        <w:tc>
          <w:tcPr>
            <w:tcW w:w="1276" w:type="dxa"/>
            <w:noWrap w:val="0"/>
            <w:vAlign w:val="center"/>
          </w:tcPr>
          <w:p w14:paraId="113CF50C">
            <w:pPr>
              <w:spacing w:line="280" w:lineRule="exact"/>
              <w:jc w:val="center"/>
              <w:rPr>
                <w:rFonts w:eastAsia="楷体_GB2312"/>
              </w:rPr>
            </w:pPr>
            <w:r>
              <w:rPr>
                <w:rFonts w:hint="eastAsia" w:eastAsia="楷体_GB2312"/>
              </w:rPr>
              <w:t>1216</w:t>
            </w:r>
          </w:p>
        </w:tc>
        <w:tc>
          <w:tcPr>
            <w:tcW w:w="1631" w:type="dxa"/>
            <w:noWrap w:val="0"/>
            <w:vAlign w:val="center"/>
          </w:tcPr>
          <w:p w14:paraId="3314D608">
            <w:pPr>
              <w:spacing w:line="280" w:lineRule="exact"/>
              <w:jc w:val="center"/>
              <w:rPr>
                <w:rFonts w:eastAsia="楷体_GB2312"/>
              </w:rPr>
            </w:pPr>
            <w:r>
              <w:rPr>
                <w:rFonts w:hint="eastAsia" w:eastAsia="楷体_GB2312"/>
              </w:rPr>
              <w:t>78</w:t>
            </w:r>
          </w:p>
        </w:tc>
      </w:tr>
      <w:tr w14:paraId="136A9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Merge w:val="continue"/>
            <w:noWrap w:val="0"/>
            <w:vAlign w:val="center"/>
          </w:tcPr>
          <w:p w14:paraId="4D3623BB">
            <w:pPr>
              <w:tabs>
                <w:tab w:val="left" w:pos="0"/>
                <w:tab w:val="left" w:pos="295"/>
              </w:tabs>
              <w:jc w:val="center"/>
              <w:rPr>
                <w:rFonts w:eastAsia="楷体_GB2312"/>
                <w:szCs w:val="21"/>
              </w:rPr>
            </w:pPr>
          </w:p>
        </w:tc>
        <w:tc>
          <w:tcPr>
            <w:tcW w:w="1134" w:type="dxa"/>
            <w:vMerge w:val="continue"/>
            <w:noWrap w:val="0"/>
            <w:vAlign w:val="center"/>
          </w:tcPr>
          <w:p w14:paraId="4E10B160">
            <w:pPr>
              <w:pStyle w:val="20"/>
              <w:tabs>
                <w:tab w:val="left" w:pos="0"/>
                <w:tab w:val="left" w:pos="295"/>
              </w:tabs>
              <w:jc w:val="center"/>
              <w:rPr>
                <w:rFonts w:ascii="Times New Roman" w:hAnsi="Times New Roman" w:eastAsia="楷体_GB2312" w:cs="Times New Roman"/>
              </w:rPr>
            </w:pPr>
          </w:p>
        </w:tc>
        <w:tc>
          <w:tcPr>
            <w:tcW w:w="567" w:type="dxa"/>
            <w:noWrap w:val="0"/>
            <w:vAlign w:val="center"/>
          </w:tcPr>
          <w:p w14:paraId="5E04E2BB">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hint="eastAsia" w:eastAsia="楷体_GB2312"/>
                <w:kern w:val="2"/>
                <w:szCs w:val="24"/>
              </w:rPr>
              <w:t>02</w:t>
            </w:r>
          </w:p>
        </w:tc>
        <w:tc>
          <w:tcPr>
            <w:tcW w:w="2126" w:type="dxa"/>
            <w:noWrap w:val="0"/>
            <w:vAlign w:val="center"/>
          </w:tcPr>
          <w:p w14:paraId="53C0689D">
            <w:pPr>
              <w:spacing w:line="250" w:lineRule="atLeast"/>
              <w:jc w:val="center"/>
              <w:rPr>
                <w:rFonts w:hint="eastAsia" w:eastAsia="楷体_GB2312"/>
                <w:szCs w:val="21"/>
              </w:rPr>
            </w:pPr>
            <w:r>
              <w:rPr>
                <w:rFonts w:hint="eastAsia" w:eastAsia="楷体_GB2312"/>
                <w:szCs w:val="21"/>
              </w:rPr>
              <w:t>时村中学</w:t>
            </w:r>
          </w:p>
        </w:tc>
        <w:tc>
          <w:tcPr>
            <w:tcW w:w="1276" w:type="dxa"/>
            <w:noWrap w:val="0"/>
            <w:vAlign w:val="center"/>
          </w:tcPr>
          <w:p w14:paraId="0176D09C">
            <w:pPr>
              <w:spacing w:line="280" w:lineRule="exact"/>
              <w:jc w:val="center"/>
              <w:rPr>
                <w:rFonts w:hint="eastAsia" w:eastAsia="楷体_GB2312"/>
              </w:rPr>
            </w:pPr>
            <w:r>
              <w:rPr>
                <w:rFonts w:hint="eastAsia" w:eastAsia="楷体_GB2312"/>
              </w:rPr>
              <w:t>12</w:t>
            </w:r>
          </w:p>
        </w:tc>
        <w:tc>
          <w:tcPr>
            <w:tcW w:w="1276" w:type="dxa"/>
            <w:noWrap w:val="0"/>
            <w:vAlign w:val="center"/>
          </w:tcPr>
          <w:p w14:paraId="55825EA3">
            <w:pPr>
              <w:spacing w:line="280" w:lineRule="exact"/>
              <w:jc w:val="center"/>
              <w:rPr>
                <w:rFonts w:hint="eastAsia" w:eastAsia="楷体_GB2312"/>
              </w:rPr>
            </w:pPr>
            <w:r>
              <w:rPr>
                <w:rFonts w:hint="eastAsia" w:eastAsia="楷体_GB2312"/>
              </w:rPr>
              <w:t>569</w:t>
            </w:r>
          </w:p>
        </w:tc>
        <w:tc>
          <w:tcPr>
            <w:tcW w:w="1631" w:type="dxa"/>
            <w:noWrap w:val="0"/>
            <w:vAlign w:val="center"/>
          </w:tcPr>
          <w:p w14:paraId="34294AF4">
            <w:pPr>
              <w:spacing w:line="280" w:lineRule="exact"/>
              <w:jc w:val="center"/>
              <w:rPr>
                <w:rFonts w:hint="eastAsia" w:eastAsia="楷体_GB2312"/>
              </w:rPr>
            </w:pPr>
            <w:r>
              <w:rPr>
                <w:rFonts w:hint="eastAsia" w:eastAsia="楷体_GB2312"/>
              </w:rPr>
              <w:t>120</w:t>
            </w:r>
          </w:p>
        </w:tc>
      </w:tr>
      <w:tr w14:paraId="7A6C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5A5CA3AF">
            <w:pPr>
              <w:tabs>
                <w:tab w:val="left" w:pos="0"/>
                <w:tab w:val="left" w:pos="295"/>
              </w:tabs>
              <w:jc w:val="center"/>
              <w:rPr>
                <w:rFonts w:eastAsia="楷体_GB2312"/>
                <w:szCs w:val="21"/>
              </w:rPr>
            </w:pPr>
            <w:r>
              <w:rPr>
                <w:rFonts w:eastAsia="楷体_GB2312"/>
                <w:szCs w:val="21"/>
              </w:rPr>
              <w:t>8</w:t>
            </w:r>
          </w:p>
        </w:tc>
        <w:tc>
          <w:tcPr>
            <w:tcW w:w="1134" w:type="dxa"/>
            <w:noWrap w:val="0"/>
            <w:vAlign w:val="center"/>
          </w:tcPr>
          <w:p w14:paraId="2C52B4A4">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夹沟镇</w:t>
            </w:r>
          </w:p>
        </w:tc>
        <w:tc>
          <w:tcPr>
            <w:tcW w:w="567" w:type="dxa"/>
            <w:noWrap w:val="0"/>
            <w:vAlign w:val="center"/>
          </w:tcPr>
          <w:p w14:paraId="1A22A287">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2126" w:type="dxa"/>
            <w:noWrap w:val="0"/>
            <w:vAlign w:val="center"/>
          </w:tcPr>
          <w:p w14:paraId="50FC4C4A">
            <w:pPr>
              <w:spacing w:line="250" w:lineRule="atLeast"/>
              <w:jc w:val="center"/>
              <w:rPr>
                <w:rFonts w:eastAsia="楷体_GB2312"/>
                <w:szCs w:val="21"/>
              </w:rPr>
            </w:pPr>
            <w:r>
              <w:rPr>
                <w:rFonts w:hint="eastAsia" w:eastAsia="楷体_GB2312"/>
                <w:szCs w:val="21"/>
              </w:rPr>
              <w:t>夹沟初级中学</w:t>
            </w:r>
          </w:p>
        </w:tc>
        <w:tc>
          <w:tcPr>
            <w:tcW w:w="1276" w:type="dxa"/>
            <w:noWrap w:val="0"/>
            <w:vAlign w:val="center"/>
          </w:tcPr>
          <w:p w14:paraId="7BA88E74">
            <w:pPr>
              <w:spacing w:line="280" w:lineRule="exact"/>
              <w:jc w:val="center"/>
              <w:rPr>
                <w:rFonts w:eastAsia="楷体_GB2312"/>
              </w:rPr>
            </w:pPr>
            <w:r>
              <w:rPr>
                <w:rFonts w:hint="eastAsia" w:eastAsia="楷体_GB2312"/>
              </w:rPr>
              <w:t>16</w:t>
            </w:r>
          </w:p>
        </w:tc>
        <w:tc>
          <w:tcPr>
            <w:tcW w:w="1276" w:type="dxa"/>
            <w:noWrap w:val="0"/>
            <w:vAlign w:val="center"/>
          </w:tcPr>
          <w:p w14:paraId="2FF12025">
            <w:pPr>
              <w:spacing w:line="280" w:lineRule="exact"/>
              <w:jc w:val="center"/>
              <w:rPr>
                <w:rFonts w:eastAsia="楷体_GB2312"/>
              </w:rPr>
            </w:pPr>
            <w:r>
              <w:rPr>
                <w:rFonts w:hint="eastAsia" w:eastAsia="楷体_GB2312"/>
              </w:rPr>
              <w:t>686</w:t>
            </w:r>
          </w:p>
        </w:tc>
        <w:tc>
          <w:tcPr>
            <w:tcW w:w="1631" w:type="dxa"/>
            <w:noWrap w:val="0"/>
            <w:vAlign w:val="center"/>
          </w:tcPr>
          <w:p w14:paraId="51BEC999">
            <w:pPr>
              <w:spacing w:line="280" w:lineRule="exact"/>
              <w:jc w:val="center"/>
              <w:rPr>
                <w:rFonts w:eastAsia="楷体_GB2312"/>
              </w:rPr>
            </w:pPr>
            <w:r>
              <w:rPr>
                <w:rFonts w:hint="eastAsia" w:eastAsia="楷体_GB2312"/>
              </w:rPr>
              <w:t>50</w:t>
            </w:r>
          </w:p>
        </w:tc>
      </w:tr>
      <w:tr w14:paraId="21AEA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02265A7B">
            <w:pPr>
              <w:tabs>
                <w:tab w:val="left" w:pos="0"/>
                <w:tab w:val="left" w:pos="295"/>
              </w:tabs>
              <w:jc w:val="center"/>
              <w:rPr>
                <w:rFonts w:eastAsia="楷体_GB2312"/>
                <w:szCs w:val="21"/>
              </w:rPr>
            </w:pPr>
            <w:r>
              <w:rPr>
                <w:rFonts w:eastAsia="楷体_GB2312"/>
                <w:szCs w:val="21"/>
              </w:rPr>
              <w:t>9</w:t>
            </w:r>
          </w:p>
        </w:tc>
        <w:tc>
          <w:tcPr>
            <w:tcW w:w="1134" w:type="dxa"/>
            <w:noWrap w:val="0"/>
            <w:vAlign w:val="center"/>
          </w:tcPr>
          <w:p w14:paraId="3A7EAFCA">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西二铺乡</w:t>
            </w:r>
          </w:p>
        </w:tc>
        <w:tc>
          <w:tcPr>
            <w:tcW w:w="567" w:type="dxa"/>
            <w:noWrap w:val="0"/>
            <w:vAlign w:val="center"/>
          </w:tcPr>
          <w:p w14:paraId="234A8A42">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2126" w:type="dxa"/>
            <w:noWrap w:val="0"/>
            <w:vAlign w:val="center"/>
          </w:tcPr>
          <w:p w14:paraId="078A44BC">
            <w:pPr>
              <w:spacing w:line="250" w:lineRule="atLeast"/>
              <w:jc w:val="center"/>
              <w:rPr>
                <w:rFonts w:hint="eastAsia" w:eastAsia="楷体_GB2312"/>
                <w:szCs w:val="21"/>
              </w:rPr>
            </w:pPr>
            <w:r>
              <w:rPr>
                <w:rFonts w:hint="eastAsia" w:eastAsia="楷体_GB2312"/>
                <w:szCs w:val="21"/>
              </w:rPr>
              <w:t>西二铺初级中学</w:t>
            </w:r>
          </w:p>
        </w:tc>
        <w:tc>
          <w:tcPr>
            <w:tcW w:w="1276" w:type="dxa"/>
            <w:noWrap w:val="0"/>
            <w:vAlign w:val="center"/>
          </w:tcPr>
          <w:p w14:paraId="3AD94D30">
            <w:pPr>
              <w:spacing w:line="280" w:lineRule="exact"/>
              <w:jc w:val="center"/>
              <w:rPr>
                <w:rFonts w:eastAsia="楷体_GB2312"/>
              </w:rPr>
            </w:pPr>
            <w:r>
              <w:rPr>
                <w:rFonts w:hint="eastAsia" w:eastAsia="楷体_GB2312"/>
              </w:rPr>
              <w:t>8</w:t>
            </w:r>
          </w:p>
        </w:tc>
        <w:tc>
          <w:tcPr>
            <w:tcW w:w="1276" w:type="dxa"/>
            <w:noWrap w:val="0"/>
            <w:vAlign w:val="center"/>
          </w:tcPr>
          <w:p w14:paraId="5E946810">
            <w:pPr>
              <w:spacing w:line="280" w:lineRule="exact"/>
              <w:jc w:val="center"/>
              <w:rPr>
                <w:rFonts w:eastAsia="楷体_GB2312"/>
              </w:rPr>
            </w:pPr>
            <w:r>
              <w:rPr>
                <w:rFonts w:hint="eastAsia" w:eastAsia="楷体_GB2312"/>
              </w:rPr>
              <w:t>390</w:t>
            </w:r>
          </w:p>
        </w:tc>
        <w:tc>
          <w:tcPr>
            <w:tcW w:w="1631" w:type="dxa"/>
            <w:noWrap w:val="0"/>
            <w:vAlign w:val="center"/>
          </w:tcPr>
          <w:p w14:paraId="2022C478">
            <w:pPr>
              <w:spacing w:line="280" w:lineRule="exact"/>
              <w:jc w:val="center"/>
              <w:rPr>
                <w:rFonts w:eastAsia="楷体_GB2312"/>
              </w:rPr>
            </w:pPr>
            <w:r>
              <w:rPr>
                <w:rFonts w:hint="eastAsia" w:eastAsia="楷体_GB2312"/>
              </w:rPr>
              <w:t>50</w:t>
            </w:r>
          </w:p>
        </w:tc>
      </w:tr>
      <w:tr w14:paraId="1DBB7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Merge w:val="restart"/>
            <w:noWrap w:val="0"/>
            <w:vAlign w:val="center"/>
          </w:tcPr>
          <w:p w14:paraId="683F1B47">
            <w:pPr>
              <w:tabs>
                <w:tab w:val="left" w:pos="0"/>
                <w:tab w:val="left" w:pos="295"/>
              </w:tabs>
              <w:jc w:val="center"/>
              <w:rPr>
                <w:rFonts w:eastAsia="楷体_GB2312"/>
                <w:szCs w:val="21"/>
              </w:rPr>
            </w:pPr>
            <w:r>
              <w:rPr>
                <w:rFonts w:eastAsia="楷体_GB2312"/>
                <w:szCs w:val="21"/>
              </w:rPr>
              <w:t>10</w:t>
            </w:r>
          </w:p>
        </w:tc>
        <w:tc>
          <w:tcPr>
            <w:tcW w:w="1134" w:type="dxa"/>
            <w:vMerge w:val="restart"/>
            <w:noWrap w:val="0"/>
            <w:vAlign w:val="center"/>
          </w:tcPr>
          <w:p w14:paraId="64736B28">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桃园镇</w:t>
            </w:r>
          </w:p>
        </w:tc>
        <w:tc>
          <w:tcPr>
            <w:tcW w:w="567" w:type="dxa"/>
            <w:noWrap w:val="0"/>
            <w:vAlign w:val="center"/>
          </w:tcPr>
          <w:p w14:paraId="004F1A78">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2126" w:type="dxa"/>
            <w:noWrap w:val="0"/>
            <w:vAlign w:val="center"/>
          </w:tcPr>
          <w:p w14:paraId="5F682F94">
            <w:pPr>
              <w:spacing w:line="250" w:lineRule="atLeast"/>
              <w:jc w:val="center"/>
              <w:rPr>
                <w:rFonts w:hint="eastAsia" w:eastAsia="楷体_GB2312"/>
                <w:szCs w:val="21"/>
              </w:rPr>
            </w:pPr>
            <w:r>
              <w:rPr>
                <w:rFonts w:hint="eastAsia" w:eastAsia="楷体_GB2312"/>
                <w:szCs w:val="21"/>
              </w:rPr>
              <w:t>桃园中学</w:t>
            </w:r>
          </w:p>
        </w:tc>
        <w:tc>
          <w:tcPr>
            <w:tcW w:w="1276" w:type="dxa"/>
            <w:noWrap w:val="0"/>
            <w:vAlign w:val="center"/>
          </w:tcPr>
          <w:p w14:paraId="63B569D3">
            <w:pPr>
              <w:spacing w:line="280" w:lineRule="exact"/>
              <w:jc w:val="center"/>
              <w:rPr>
                <w:rFonts w:hint="eastAsia" w:eastAsia="楷体_GB2312"/>
              </w:rPr>
            </w:pPr>
            <w:r>
              <w:rPr>
                <w:rFonts w:hint="eastAsia" w:eastAsia="楷体_GB2312"/>
              </w:rPr>
              <w:t>12</w:t>
            </w:r>
          </w:p>
        </w:tc>
        <w:tc>
          <w:tcPr>
            <w:tcW w:w="1276" w:type="dxa"/>
            <w:noWrap w:val="0"/>
            <w:vAlign w:val="center"/>
          </w:tcPr>
          <w:p w14:paraId="42CE9EDF">
            <w:pPr>
              <w:spacing w:line="280" w:lineRule="exact"/>
              <w:jc w:val="center"/>
              <w:rPr>
                <w:rFonts w:hint="eastAsia" w:eastAsia="楷体_GB2312"/>
              </w:rPr>
            </w:pPr>
            <w:r>
              <w:rPr>
                <w:rFonts w:hint="eastAsia" w:eastAsia="楷体_GB2312"/>
              </w:rPr>
              <w:t>549</w:t>
            </w:r>
          </w:p>
        </w:tc>
        <w:tc>
          <w:tcPr>
            <w:tcW w:w="1631" w:type="dxa"/>
            <w:noWrap w:val="0"/>
            <w:vAlign w:val="center"/>
          </w:tcPr>
          <w:p w14:paraId="20672820">
            <w:pPr>
              <w:spacing w:line="280" w:lineRule="exact"/>
              <w:jc w:val="center"/>
              <w:rPr>
                <w:rFonts w:hint="eastAsia" w:eastAsia="楷体_GB2312"/>
              </w:rPr>
            </w:pPr>
            <w:r>
              <w:rPr>
                <w:rFonts w:hint="eastAsia" w:eastAsia="楷体_GB2312"/>
              </w:rPr>
              <w:t>70</w:t>
            </w:r>
          </w:p>
        </w:tc>
      </w:tr>
      <w:tr w14:paraId="7CEF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vMerge w:val="continue"/>
            <w:noWrap w:val="0"/>
            <w:vAlign w:val="center"/>
          </w:tcPr>
          <w:p w14:paraId="3C130C69">
            <w:pPr>
              <w:tabs>
                <w:tab w:val="left" w:pos="0"/>
                <w:tab w:val="left" w:pos="295"/>
              </w:tabs>
              <w:jc w:val="center"/>
              <w:rPr>
                <w:rFonts w:eastAsia="楷体_GB2312"/>
                <w:szCs w:val="21"/>
              </w:rPr>
            </w:pPr>
          </w:p>
        </w:tc>
        <w:tc>
          <w:tcPr>
            <w:tcW w:w="1134" w:type="dxa"/>
            <w:vMerge w:val="continue"/>
            <w:noWrap w:val="0"/>
            <w:vAlign w:val="center"/>
          </w:tcPr>
          <w:p w14:paraId="08FBF25D">
            <w:pPr>
              <w:pStyle w:val="20"/>
              <w:tabs>
                <w:tab w:val="left" w:pos="0"/>
                <w:tab w:val="left" w:pos="295"/>
              </w:tabs>
              <w:jc w:val="center"/>
              <w:rPr>
                <w:rFonts w:ascii="Times New Roman" w:hAnsi="Times New Roman" w:eastAsia="楷体_GB2312" w:cs="Times New Roman"/>
              </w:rPr>
            </w:pPr>
          </w:p>
        </w:tc>
        <w:tc>
          <w:tcPr>
            <w:tcW w:w="567" w:type="dxa"/>
            <w:noWrap w:val="0"/>
            <w:vAlign w:val="center"/>
          </w:tcPr>
          <w:p w14:paraId="1DA98678">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hint="eastAsia" w:eastAsia="楷体_GB2312"/>
                <w:kern w:val="2"/>
                <w:szCs w:val="24"/>
              </w:rPr>
              <w:t>02</w:t>
            </w:r>
          </w:p>
        </w:tc>
        <w:tc>
          <w:tcPr>
            <w:tcW w:w="2126" w:type="dxa"/>
            <w:noWrap w:val="0"/>
            <w:vAlign w:val="center"/>
          </w:tcPr>
          <w:p w14:paraId="39041038">
            <w:pPr>
              <w:spacing w:line="250" w:lineRule="atLeast"/>
              <w:jc w:val="center"/>
              <w:rPr>
                <w:rFonts w:hint="eastAsia" w:eastAsia="楷体_GB2312"/>
                <w:szCs w:val="21"/>
              </w:rPr>
            </w:pPr>
            <w:r>
              <w:rPr>
                <w:rFonts w:hint="eastAsia" w:eastAsia="楷体_GB2312"/>
                <w:szCs w:val="21"/>
              </w:rPr>
              <w:t>北杨寨中心学校</w:t>
            </w:r>
          </w:p>
        </w:tc>
        <w:tc>
          <w:tcPr>
            <w:tcW w:w="1276" w:type="dxa"/>
            <w:noWrap w:val="0"/>
            <w:vAlign w:val="center"/>
          </w:tcPr>
          <w:p w14:paraId="662128FB">
            <w:pPr>
              <w:spacing w:line="280" w:lineRule="exact"/>
              <w:jc w:val="center"/>
              <w:rPr>
                <w:rFonts w:eastAsia="楷体_GB2312"/>
              </w:rPr>
            </w:pPr>
            <w:r>
              <w:rPr>
                <w:rFonts w:hint="eastAsia" w:eastAsia="楷体_GB2312"/>
              </w:rPr>
              <w:t>9</w:t>
            </w:r>
          </w:p>
        </w:tc>
        <w:tc>
          <w:tcPr>
            <w:tcW w:w="1276" w:type="dxa"/>
            <w:noWrap w:val="0"/>
            <w:vAlign w:val="center"/>
          </w:tcPr>
          <w:p w14:paraId="016A954D">
            <w:pPr>
              <w:spacing w:line="280" w:lineRule="exact"/>
              <w:jc w:val="center"/>
              <w:rPr>
                <w:rFonts w:eastAsia="楷体_GB2312"/>
              </w:rPr>
            </w:pPr>
            <w:r>
              <w:rPr>
                <w:rFonts w:hint="eastAsia" w:eastAsia="楷体_GB2312"/>
              </w:rPr>
              <w:t>411</w:t>
            </w:r>
          </w:p>
        </w:tc>
        <w:tc>
          <w:tcPr>
            <w:tcW w:w="1631" w:type="dxa"/>
            <w:noWrap w:val="0"/>
            <w:vAlign w:val="center"/>
          </w:tcPr>
          <w:p w14:paraId="0213676E">
            <w:pPr>
              <w:spacing w:line="280" w:lineRule="exact"/>
              <w:jc w:val="center"/>
              <w:rPr>
                <w:rFonts w:eastAsia="楷体_GB2312"/>
              </w:rPr>
            </w:pPr>
            <w:r>
              <w:rPr>
                <w:rFonts w:hint="eastAsia" w:eastAsia="楷体_GB2312"/>
              </w:rPr>
              <w:t>33</w:t>
            </w:r>
          </w:p>
        </w:tc>
      </w:tr>
      <w:tr w14:paraId="64676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5AB4CC5B">
            <w:pPr>
              <w:tabs>
                <w:tab w:val="left" w:pos="0"/>
                <w:tab w:val="left" w:pos="295"/>
              </w:tabs>
              <w:jc w:val="center"/>
              <w:rPr>
                <w:rFonts w:eastAsia="楷体_GB2312"/>
                <w:szCs w:val="21"/>
              </w:rPr>
            </w:pPr>
            <w:r>
              <w:rPr>
                <w:rFonts w:hint="eastAsia" w:eastAsia="楷体_GB2312"/>
                <w:szCs w:val="21"/>
              </w:rPr>
              <w:t>11</w:t>
            </w:r>
          </w:p>
        </w:tc>
        <w:tc>
          <w:tcPr>
            <w:tcW w:w="1134" w:type="dxa"/>
            <w:noWrap w:val="0"/>
            <w:vAlign w:val="center"/>
          </w:tcPr>
          <w:p w14:paraId="41B2D5A6">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曹村镇</w:t>
            </w:r>
          </w:p>
        </w:tc>
        <w:tc>
          <w:tcPr>
            <w:tcW w:w="567" w:type="dxa"/>
            <w:noWrap w:val="0"/>
            <w:vAlign w:val="center"/>
          </w:tcPr>
          <w:p w14:paraId="5A7907B8">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2126" w:type="dxa"/>
            <w:noWrap w:val="0"/>
            <w:vAlign w:val="center"/>
          </w:tcPr>
          <w:p w14:paraId="772476D4">
            <w:pPr>
              <w:spacing w:line="250" w:lineRule="atLeast"/>
              <w:jc w:val="center"/>
              <w:rPr>
                <w:rFonts w:hint="eastAsia" w:eastAsia="楷体_GB2312"/>
                <w:szCs w:val="21"/>
              </w:rPr>
            </w:pPr>
            <w:r>
              <w:rPr>
                <w:rFonts w:hint="eastAsia" w:eastAsia="楷体_GB2312"/>
                <w:szCs w:val="21"/>
              </w:rPr>
              <w:t>曹村中学</w:t>
            </w:r>
          </w:p>
        </w:tc>
        <w:tc>
          <w:tcPr>
            <w:tcW w:w="1276" w:type="dxa"/>
            <w:noWrap w:val="0"/>
            <w:vAlign w:val="center"/>
          </w:tcPr>
          <w:p w14:paraId="369A8852">
            <w:pPr>
              <w:spacing w:line="280" w:lineRule="exact"/>
              <w:jc w:val="center"/>
              <w:rPr>
                <w:rFonts w:eastAsia="楷体_GB2312"/>
              </w:rPr>
            </w:pPr>
            <w:r>
              <w:rPr>
                <w:rFonts w:hint="eastAsia" w:eastAsia="楷体_GB2312"/>
              </w:rPr>
              <w:t>16</w:t>
            </w:r>
          </w:p>
        </w:tc>
        <w:tc>
          <w:tcPr>
            <w:tcW w:w="1276" w:type="dxa"/>
            <w:noWrap w:val="0"/>
            <w:vAlign w:val="center"/>
          </w:tcPr>
          <w:p w14:paraId="0720488C">
            <w:pPr>
              <w:spacing w:line="280" w:lineRule="exact"/>
              <w:jc w:val="center"/>
              <w:rPr>
                <w:rFonts w:eastAsia="楷体_GB2312"/>
              </w:rPr>
            </w:pPr>
            <w:r>
              <w:rPr>
                <w:rFonts w:hint="eastAsia" w:eastAsia="楷体_GB2312"/>
              </w:rPr>
              <w:t>698</w:t>
            </w:r>
          </w:p>
        </w:tc>
        <w:tc>
          <w:tcPr>
            <w:tcW w:w="1631" w:type="dxa"/>
            <w:noWrap w:val="0"/>
            <w:vAlign w:val="center"/>
          </w:tcPr>
          <w:p w14:paraId="6BCDBF21">
            <w:pPr>
              <w:spacing w:line="280" w:lineRule="exact"/>
              <w:jc w:val="center"/>
              <w:rPr>
                <w:rFonts w:eastAsia="楷体_GB2312"/>
              </w:rPr>
            </w:pPr>
            <w:r>
              <w:rPr>
                <w:rFonts w:hint="eastAsia" w:eastAsia="楷体_GB2312"/>
              </w:rPr>
              <w:t>107</w:t>
            </w:r>
          </w:p>
        </w:tc>
      </w:tr>
      <w:tr w14:paraId="5F236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1DC28CB4">
            <w:pPr>
              <w:tabs>
                <w:tab w:val="left" w:pos="0"/>
                <w:tab w:val="left" w:pos="295"/>
              </w:tabs>
              <w:jc w:val="center"/>
              <w:rPr>
                <w:rFonts w:eastAsia="楷体_GB2312"/>
                <w:szCs w:val="21"/>
              </w:rPr>
            </w:pPr>
            <w:r>
              <w:rPr>
                <w:rFonts w:hint="eastAsia" w:eastAsia="楷体_GB2312"/>
                <w:szCs w:val="21"/>
              </w:rPr>
              <w:t>12</w:t>
            </w:r>
          </w:p>
        </w:tc>
        <w:tc>
          <w:tcPr>
            <w:tcW w:w="1134" w:type="dxa"/>
            <w:noWrap w:val="0"/>
            <w:vAlign w:val="center"/>
          </w:tcPr>
          <w:p w14:paraId="24A4AB63">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大营镇</w:t>
            </w:r>
          </w:p>
        </w:tc>
        <w:tc>
          <w:tcPr>
            <w:tcW w:w="567" w:type="dxa"/>
            <w:noWrap w:val="0"/>
            <w:vAlign w:val="center"/>
          </w:tcPr>
          <w:p w14:paraId="1F5C3E9F">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2126" w:type="dxa"/>
            <w:noWrap w:val="0"/>
            <w:vAlign w:val="center"/>
          </w:tcPr>
          <w:p w14:paraId="1E2BB065">
            <w:pPr>
              <w:spacing w:line="250" w:lineRule="atLeast"/>
              <w:jc w:val="center"/>
              <w:rPr>
                <w:rFonts w:hint="eastAsia" w:eastAsia="楷体_GB2312"/>
                <w:szCs w:val="21"/>
              </w:rPr>
            </w:pPr>
            <w:r>
              <w:rPr>
                <w:rFonts w:hint="eastAsia" w:eastAsia="楷体_GB2312"/>
                <w:szCs w:val="21"/>
              </w:rPr>
              <w:t>大营初级中学</w:t>
            </w:r>
          </w:p>
        </w:tc>
        <w:tc>
          <w:tcPr>
            <w:tcW w:w="1276" w:type="dxa"/>
            <w:noWrap w:val="0"/>
            <w:vAlign w:val="center"/>
          </w:tcPr>
          <w:p w14:paraId="14B42A95">
            <w:pPr>
              <w:spacing w:line="280" w:lineRule="exact"/>
              <w:jc w:val="center"/>
              <w:rPr>
                <w:rFonts w:eastAsia="楷体_GB2312"/>
              </w:rPr>
            </w:pPr>
            <w:r>
              <w:rPr>
                <w:rFonts w:hint="eastAsia" w:eastAsia="楷体_GB2312"/>
              </w:rPr>
              <w:t>32</w:t>
            </w:r>
          </w:p>
        </w:tc>
        <w:tc>
          <w:tcPr>
            <w:tcW w:w="1276" w:type="dxa"/>
            <w:noWrap w:val="0"/>
            <w:vAlign w:val="center"/>
          </w:tcPr>
          <w:p w14:paraId="61AD3B16">
            <w:pPr>
              <w:spacing w:line="280" w:lineRule="exact"/>
              <w:jc w:val="center"/>
              <w:rPr>
                <w:rFonts w:eastAsia="楷体_GB2312"/>
              </w:rPr>
            </w:pPr>
            <w:r>
              <w:rPr>
                <w:rFonts w:hint="eastAsia" w:eastAsia="楷体_GB2312"/>
              </w:rPr>
              <w:t>1561</w:t>
            </w:r>
          </w:p>
        </w:tc>
        <w:tc>
          <w:tcPr>
            <w:tcW w:w="1631" w:type="dxa"/>
            <w:noWrap w:val="0"/>
            <w:vAlign w:val="center"/>
          </w:tcPr>
          <w:p w14:paraId="1298E7E8">
            <w:pPr>
              <w:spacing w:line="280" w:lineRule="exact"/>
              <w:jc w:val="center"/>
              <w:rPr>
                <w:rFonts w:eastAsia="楷体_GB2312"/>
              </w:rPr>
            </w:pPr>
            <w:r>
              <w:rPr>
                <w:rFonts w:hint="eastAsia" w:eastAsia="楷体_GB2312"/>
              </w:rPr>
              <w:t>116</w:t>
            </w:r>
          </w:p>
        </w:tc>
      </w:tr>
      <w:tr w14:paraId="7EAC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25C359FB">
            <w:pPr>
              <w:tabs>
                <w:tab w:val="left" w:pos="0"/>
                <w:tab w:val="left" w:pos="295"/>
              </w:tabs>
              <w:jc w:val="center"/>
              <w:rPr>
                <w:rFonts w:eastAsia="楷体_GB2312"/>
                <w:szCs w:val="21"/>
              </w:rPr>
            </w:pPr>
            <w:r>
              <w:rPr>
                <w:rFonts w:hint="eastAsia" w:eastAsia="楷体_GB2312"/>
                <w:szCs w:val="21"/>
              </w:rPr>
              <w:t>13</w:t>
            </w:r>
          </w:p>
        </w:tc>
        <w:tc>
          <w:tcPr>
            <w:tcW w:w="1134" w:type="dxa"/>
            <w:noWrap w:val="0"/>
            <w:vAlign w:val="center"/>
          </w:tcPr>
          <w:p w14:paraId="0F98482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褚兰镇</w:t>
            </w:r>
          </w:p>
        </w:tc>
        <w:tc>
          <w:tcPr>
            <w:tcW w:w="567" w:type="dxa"/>
            <w:noWrap w:val="0"/>
            <w:vAlign w:val="center"/>
          </w:tcPr>
          <w:p w14:paraId="63D93926">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2126" w:type="dxa"/>
            <w:noWrap w:val="0"/>
            <w:vAlign w:val="center"/>
          </w:tcPr>
          <w:p w14:paraId="1B1F497E">
            <w:pPr>
              <w:spacing w:line="250" w:lineRule="atLeast"/>
              <w:jc w:val="center"/>
              <w:rPr>
                <w:rFonts w:hint="eastAsia" w:eastAsia="楷体_GB2312"/>
                <w:szCs w:val="21"/>
              </w:rPr>
            </w:pPr>
            <w:r>
              <w:rPr>
                <w:rFonts w:hint="eastAsia" w:eastAsia="楷体_GB2312"/>
                <w:szCs w:val="21"/>
              </w:rPr>
              <w:t>褚兰镇中心学校</w:t>
            </w:r>
          </w:p>
        </w:tc>
        <w:tc>
          <w:tcPr>
            <w:tcW w:w="1276" w:type="dxa"/>
            <w:noWrap w:val="0"/>
            <w:vAlign w:val="center"/>
          </w:tcPr>
          <w:p w14:paraId="399D0AF6">
            <w:pPr>
              <w:spacing w:line="280" w:lineRule="exact"/>
              <w:jc w:val="center"/>
              <w:rPr>
                <w:rFonts w:eastAsia="楷体_GB2312"/>
              </w:rPr>
            </w:pPr>
            <w:r>
              <w:rPr>
                <w:rFonts w:hint="eastAsia" w:eastAsia="楷体_GB2312"/>
              </w:rPr>
              <w:t>26</w:t>
            </w:r>
          </w:p>
        </w:tc>
        <w:tc>
          <w:tcPr>
            <w:tcW w:w="1276" w:type="dxa"/>
            <w:noWrap w:val="0"/>
            <w:vAlign w:val="center"/>
          </w:tcPr>
          <w:p w14:paraId="17480D21">
            <w:pPr>
              <w:spacing w:line="280" w:lineRule="exact"/>
              <w:jc w:val="center"/>
              <w:rPr>
                <w:rFonts w:eastAsia="楷体_GB2312"/>
              </w:rPr>
            </w:pPr>
            <w:r>
              <w:rPr>
                <w:rFonts w:hint="eastAsia" w:eastAsia="楷体_GB2312"/>
              </w:rPr>
              <w:t>1211</w:t>
            </w:r>
          </w:p>
        </w:tc>
        <w:tc>
          <w:tcPr>
            <w:tcW w:w="1631" w:type="dxa"/>
            <w:noWrap w:val="0"/>
            <w:vAlign w:val="center"/>
          </w:tcPr>
          <w:p w14:paraId="0A856378">
            <w:pPr>
              <w:spacing w:line="280" w:lineRule="exact"/>
              <w:jc w:val="center"/>
              <w:rPr>
                <w:rFonts w:eastAsia="楷体_GB2312"/>
              </w:rPr>
            </w:pPr>
            <w:r>
              <w:rPr>
                <w:rFonts w:hint="eastAsia" w:eastAsia="楷体_GB2312"/>
              </w:rPr>
              <w:t>92</w:t>
            </w:r>
          </w:p>
        </w:tc>
      </w:tr>
      <w:tr w14:paraId="2391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29B03578">
            <w:pPr>
              <w:tabs>
                <w:tab w:val="left" w:pos="0"/>
                <w:tab w:val="left" w:pos="295"/>
              </w:tabs>
              <w:jc w:val="center"/>
              <w:rPr>
                <w:rFonts w:eastAsia="楷体_GB2312"/>
                <w:szCs w:val="21"/>
              </w:rPr>
            </w:pPr>
            <w:r>
              <w:rPr>
                <w:rFonts w:hint="eastAsia" w:eastAsia="楷体_GB2312"/>
                <w:szCs w:val="21"/>
              </w:rPr>
              <w:t>14</w:t>
            </w:r>
          </w:p>
        </w:tc>
        <w:tc>
          <w:tcPr>
            <w:tcW w:w="1134" w:type="dxa"/>
            <w:noWrap w:val="0"/>
            <w:vAlign w:val="center"/>
          </w:tcPr>
          <w:p w14:paraId="5B7AD6BC">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顺河镇</w:t>
            </w:r>
          </w:p>
        </w:tc>
        <w:tc>
          <w:tcPr>
            <w:tcW w:w="567" w:type="dxa"/>
            <w:noWrap w:val="0"/>
            <w:vAlign w:val="center"/>
          </w:tcPr>
          <w:p w14:paraId="3A098ED2">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2126" w:type="dxa"/>
            <w:noWrap w:val="0"/>
            <w:vAlign w:val="center"/>
          </w:tcPr>
          <w:p w14:paraId="2381E930">
            <w:pPr>
              <w:spacing w:line="250" w:lineRule="atLeast"/>
              <w:jc w:val="center"/>
              <w:rPr>
                <w:rFonts w:hint="eastAsia" w:eastAsia="楷体_GB2312"/>
                <w:szCs w:val="21"/>
              </w:rPr>
            </w:pPr>
            <w:r>
              <w:rPr>
                <w:rFonts w:hint="eastAsia" w:eastAsia="楷体_GB2312"/>
                <w:szCs w:val="21"/>
              </w:rPr>
              <w:t>顺河乡马场初级中学</w:t>
            </w:r>
          </w:p>
        </w:tc>
        <w:tc>
          <w:tcPr>
            <w:tcW w:w="1276" w:type="dxa"/>
            <w:noWrap w:val="0"/>
            <w:vAlign w:val="center"/>
          </w:tcPr>
          <w:p w14:paraId="16DFB734">
            <w:pPr>
              <w:spacing w:line="280" w:lineRule="exact"/>
              <w:jc w:val="center"/>
              <w:rPr>
                <w:rFonts w:eastAsia="楷体_GB2312"/>
              </w:rPr>
            </w:pPr>
            <w:r>
              <w:rPr>
                <w:rFonts w:hint="eastAsia" w:eastAsia="楷体_GB2312"/>
              </w:rPr>
              <w:t>14</w:t>
            </w:r>
          </w:p>
        </w:tc>
        <w:tc>
          <w:tcPr>
            <w:tcW w:w="1276" w:type="dxa"/>
            <w:noWrap w:val="0"/>
            <w:vAlign w:val="center"/>
          </w:tcPr>
          <w:p w14:paraId="75BDEABB">
            <w:pPr>
              <w:spacing w:line="280" w:lineRule="exact"/>
              <w:jc w:val="center"/>
              <w:rPr>
                <w:rFonts w:eastAsia="楷体_GB2312"/>
              </w:rPr>
            </w:pPr>
            <w:r>
              <w:rPr>
                <w:rFonts w:hint="eastAsia" w:eastAsia="楷体_GB2312"/>
              </w:rPr>
              <w:t>731</w:t>
            </w:r>
          </w:p>
        </w:tc>
        <w:tc>
          <w:tcPr>
            <w:tcW w:w="1631" w:type="dxa"/>
            <w:noWrap w:val="0"/>
            <w:vAlign w:val="center"/>
          </w:tcPr>
          <w:p w14:paraId="5D92BED9">
            <w:pPr>
              <w:spacing w:line="280" w:lineRule="exact"/>
              <w:jc w:val="center"/>
              <w:rPr>
                <w:rFonts w:eastAsia="楷体_GB2312"/>
              </w:rPr>
            </w:pPr>
            <w:r>
              <w:rPr>
                <w:rFonts w:hint="eastAsia" w:eastAsia="楷体_GB2312"/>
              </w:rPr>
              <w:t>75</w:t>
            </w:r>
          </w:p>
        </w:tc>
      </w:tr>
      <w:tr w14:paraId="302A7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127D697F">
            <w:pPr>
              <w:tabs>
                <w:tab w:val="left" w:pos="0"/>
                <w:tab w:val="left" w:pos="295"/>
              </w:tabs>
              <w:jc w:val="center"/>
              <w:rPr>
                <w:rFonts w:eastAsia="楷体_GB2312"/>
                <w:szCs w:val="21"/>
              </w:rPr>
            </w:pPr>
            <w:r>
              <w:rPr>
                <w:rFonts w:hint="eastAsia" w:eastAsia="楷体_GB2312"/>
                <w:szCs w:val="21"/>
              </w:rPr>
              <w:t>15</w:t>
            </w:r>
          </w:p>
        </w:tc>
        <w:tc>
          <w:tcPr>
            <w:tcW w:w="1134" w:type="dxa"/>
            <w:noWrap w:val="0"/>
            <w:vAlign w:val="center"/>
          </w:tcPr>
          <w:p w14:paraId="61CEDB5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杨庄镇</w:t>
            </w:r>
          </w:p>
        </w:tc>
        <w:tc>
          <w:tcPr>
            <w:tcW w:w="567" w:type="dxa"/>
            <w:noWrap w:val="0"/>
            <w:vAlign w:val="center"/>
          </w:tcPr>
          <w:p w14:paraId="183F4960">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2126" w:type="dxa"/>
            <w:noWrap w:val="0"/>
            <w:vAlign w:val="center"/>
          </w:tcPr>
          <w:p w14:paraId="534AE75C">
            <w:pPr>
              <w:spacing w:line="250" w:lineRule="atLeast"/>
              <w:jc w:val="center"/>
              <w:rPr>
                <w:rFonts w:hint="eastAsia" w:eastAsia="楷体_GB2312"/>
                <w:szCs w:val="21"/>
              </w:rPr>
            </w:pPr>
            <w:r>
              <w:rPr>
                <w:rFonts w:hint="eastAsia" w:eastAsia="楷体_GB2312"/>
                <w:szCs w:val="21"/>
              </w:rPr>
              <w:t>杨庄初级中学</w:t>
            </w:r>
          </w:p>
        </w:tc>
        <w:tc>
          <w:tcPr>
            <w:tcW w:w="1276" w:type="dxa"/>
            <w:noWrap w:val="0"/>
            <w:vAlign w:val="center"/>
          </w:tcPr>
          <w:p w14:paraId="24C10191">
            <w:pPr>
              <w:spacing w:line="280" w:lineRule="exact"/>
              <w:jc w:val="center"/>
              <w:rPr>
                <w:rFonts w:eastAsia="楷体_GB2312"/>
              </w:rPr>
            </w:pPr>
            <w:r>
              <w:rPr>
                <w:rFonts w:hint="eastAsia" w:eastAsia="楷体_GB2312"/>
              </w:rPr>
              <w:t>22</w:t>
            </w:r>
          </w:p>
        </w:tc>
        <w:tc>
          <w:tcPr>
            <w:tcW w:w="1276" w:type="dxa"/>
            <w:noWrap w:val="0"/>
            <w:vAlign w:val="center"/>
          </w:tcPr>
          <w:p w14:paraId="6EAC4203">
            <w:pPr>
              <w:spacing w:line="280" w:lineRule="exact"/>
              <w:jc w:val="center"/>
              <w:rPr>
                <w:rFonts w:eastAsia="楷体_GB2312"/>
              </w:rPr>
            </w:pPr>
            <w:r>
              <w:rPr>
                <w:rFonts w:hint="eastAsia" w:eastAsia="楷体_GB2312"/>
              </w:rPr>
              <w:t>1108</w:t>
            </w:r>
          </w:p>
        </w:tc>
        <w:tc>
          <w:tcPr>
            <w:tcW w:w="1631" w:type="dxa"/>
            <w:noWrap w:val="0"/>
            <w:vAlign w:val="center"/>
          </w:tcPr>
          <w:p w14:paraId="1E3E2151">
            <w:pPr>
              <w:spacing w:line="280" w:lineRule="exact"/>
              <w:jc w:val="center"/>
              <w:rPr>
                <w:rFonts w:eastAsia="楷体_GB2312"/>
              </w:rPr>
            </w:pPr>
            <w:r>
              <w:rPr>
                <w:rFonts w:hint="eastAsia" w:eastAsia="楷体_GB2312"/>
              </w:rPr>
              <w:t>68</w:t>
            </w:r>
          </w:p>
        </w:tc>
      </w:tr>
      <w:tr w14:paraId="2F37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66A8DA3E">
            <w:pPr>
              <w:tabs>
                <w:tab w:val="left" w:pos="0"/>
                <w:tab w:val="left" w:pos="295"/>
              </w:tabs>
              <w:jc w:val="center"/>
              <w:rPr>
                <w:rFonts w:eastAsia="楷体_GB2312"/>
                <w:szCs w:val="21"/>
              </w:rPr>
            </w:pPr>
            <w:r>
              <w:rPr>
                <w:rFonts w:hint="eastAsia" w:eastAsia="楷体_GB2312"/>
                <w:szCs w:val="21"/>
              </w:rPr>
              <w:t>16</w:t>
            </w:r>
          </w:p>
        </w:tc>
        <w:tc>
          <w:tcPr>
            <w:tcW w:w="1134" w:type="dxa"/>
            <w:noWrap w:val="0"/>
            <w:vAlign w:val="center"/>
          </w:tcPr>
          <w:p w14:paraId="6A1D16F7">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永镇乡</w:t>
            </w:r>
          </w:p>
        </w:tc>
        <w:tc>
          <w:tcPr>
            <w:tcW w:w="567" w:type="dxa"/>
            <w:noWrap w:val="0"/>
            <w:vAlign w:val="center"/>
          </w:tcPr>
          <w:p w14:paraId="3734C05F">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2126" w:type="dxa"/>
            <w:noWrap w:val="0"/>
            <w:vAlign w:val="center"/>
          </w:tcPr>
          <w:p w14:paraId="02700209">
            <w:pPr>
              <w:spacing w:line="250" w:lineRule="atLeast"/>
              <w:jc w:val="center"/>
              <w:rPr>
                <w:rFonts w:hint="eastAsia" w:eastAsia="楷体_GB2312"/>
                <w:szCs w:val="21"/>
              </w:rPr>
            </w:pPr>
            <w:r>
              <w:rPr>
                <w:rFonts w:hint="eastAsia" w:eastAsia="楷体_GB2312"/>
                <w:szCs w:val="21"/>
              </w:rPr>
              <w:t>永镇初级中学</w:t>
            </w:r>
          </w:p>
        </w:tc>
        <w:tc>
          <w:tcPr>
            <w:tcW w:w="1276" w:type="dxa"/>
            <w:noWrap w:val="0"/>
            <w:vAlign w:val="center"/>
          </w:tcPr>
          <w:p w14:paraId="520AB2C6">
            <w:pPr>
              <w:spacing w:line="280" w:lineRule="exact"/>
              <w:jc w:val="center"/>
              <w:rPr>
                <w:rFonts w:eastAsia="楷体_GB2312"/>
              </w:rPr>
            </w:pPr>
            <w:r>
              <w:rPr>
                <w:rFonts w:hint="eastAsia" w:eastAsia="楷体_GB2312"/>
              </w:rPr>
              <w:t>14</w:t>
            </w:r>
          </w:p>
        </w:tc>
        <w:tc>
          <w:tcPr>
            <w:tcW w:w="1276" w:type="dxa"/>
            <w:noWrap w:val="0"/>
            <w:vAlign w:val="center"/>
          </w:tcPr>
          <w:p w14:paraId="59F41E58">
            <w:pPr>
              <w:spacing w:line="280" w:lineRule="exact"/>
              <w:jc w:val="center"/>
              <w:rPr>
                <w:rFonts w:eastAsia="楷体_GB2312"/>
              </w:rPr>
            </w:pPr>
            <w:r>
              <w:rPr>
                <w:rFonts w:hint="eastAsia" w:eastAsia="楷体_GB2312"/>
              </w:rPr>
              <w:t>546</w:t>
            </w:r>
          </w:p>
        </w:tc>
        <w:tc>
          <w:tcPr>
            <w:tcW w:w="1631" w:type="dxa"/>
            <w:noWrap w:val="0"/>
            <w:vAlign w:val="center"/>
          </w:tcPr>
          <w:p w14:paraId="6E4D0F27">
            <w:pPr>
              <w:spacing w:line="280" w:lineRule="exact"/>
              <w:jc w:val="center"/>
              <w:rPr>
                <w:rFonts w:eastAsia="楷体_GB2312"/>
              </w:rPr>
            </w:pPr>
            <w:r>
              <w:rPr>
                <w:rFonts w:hint="eastAsia" w:eastAsia="楷体_GB2312"/>
              </w:rPr>
              <w:t>48</w:t>
            </w:r>
          </w:p>
        </w:tc>
      </w:tr>
      <w:tr w14:paraId="41F12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0AFA52A3">
            <w:pPr>
              <w:tabs>
                <w:tab w:val="left" w:pos="0"/>
                <w:tab w:val="left" w:pos="295"/>
              </w:tabs>
              <w:jc w:val="center"/>
              <w:rPr>
                <w:rFonts w:eastAsia="楷体_GB2312"/>
                <w:szCs w:val="21"/>
              </w:rPr>
            </w:pPr>
            <w:r>
              <w:rPr>
                <w:rFonts w:hint="eastAsia" w:eastAsia="楷体_GB2312"/>
                <w:szCs w:val="21"/>
              </w:rPr>
              <w:t>17</w:t>
            </w:r>
          </w:p>
        </w:tc>
        <w:tc>
          <w:tcPr>
            <w:tcW w:w="1134" w:type="dxa"/>
            <w:noWrap w:val="0"/>
            <w:vAlign w:val="center"/>
          </w:tcPr>
          <w:p w14:paraId="08F918D3">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解集镇</w:t>
            </w:r>
          </w:p>
        </w:tc>
        <w:tc>
          <w:tcPr>
            <w:tcW w:w="567" w:type="dxa"/>
            <w:noWrap w:val="0"/>
            <w:vAlign w:val="center"/>
          </w:tcPr>
          <w:p w14:paraId="0B22C48F">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2126" w:type="dxa"/>
            <w:noWrap w:val="0"/>
            <w:vAlign w:val="center"/>
          </w:tcPr>
          <w:p w14:paraId="06577084">
            <w:pPr>
              <w:spacing w:line="250" w:lineRule="atLeast"/>
              <w:jc w:val="center"/>
              <w:rPr>
                <w:rFonts w:hint="eastAsia" w:eastAsia="楷体_GB2312"/>
                <w:szCs w:val="21"/>
              </w:rPr>
            </w:pPr>
            <w:r>
              <w:rPr>
                <w:rFonts w:hint="eastAsia" w:eastAsia="楷体_GB2312"/>
                <w:szCs w:val="21"/>
              </w:rPr>
              <w:t>解集镇中心学校</w:t>
            </w:r>
          </w:p>
        </w:tc>
        <w:tc>
          <w:tcPr>
            <w:tcW w:w="1276" w:type="dxa"/>
            <w:noWrap w:val="0"/>
            <w:vAlign w:val="center"/>
          </w:tcPr>
          <w:p w14:paraId="71BA1208">
            <w:pPr>
              <w:spacing w:line="280" w:lineRule="exact"/>
              <w:jc w:val="center"/>
              <w:rPr>
                <w:rFonts w:eastAsia="楷体_GB2312"/>
              </w:rPr>
            </w:pPr>
            <w:r>
              <w:rPr>
                <w:rFonts w:hint="eastAsia" w:eastAsia="楷体_GB2312"/>
              </w:rPr>
              <w:t>40</w:t>
            </w:r>
          </w:p>
        </w:tc>
        <w:tc>
          <w:tcPr>
            <w:tcW w:w="1276" w:type="dxa"/>
            <w:noWrap w:val="0"/>
            <w:vAlign w:val="center"/>
          </w:tcPr>
          <w:p w14:paraId="49E5323B">
            <w:pPr>
              <w:spacing w:line="280" w:lineRule="exact"/>
              <w:jc w:val="center"/>
              <w:rPr>
                <w:rFonts w:eastAsia="楷体_GB2312"/>
              </w:rPr>
            </w:pPr>
            <w:r>
              <w:rPr>
                <w:rFonts w:hint="eastAsia" w:eastAsia="楷体_GB2312"/>
              </w:rPr>
              <w:t>1710</w:t>
            </w:r>
          </w:p>
        </w:tc>
        <w:tc>
          <w:tcPr>
            <w:tcW w:w="1631" w:type="dxa"/>
            <w:noWrap w:val="0"/>
            <w:vAlign w:val="center"/>
          </w:tcPr>
          <w:p w14:paraId="63410240">
            <w:pPr>
              <w:spacing w:line="280" w:lineRule="exact"/>
              <w:jc w:val="center"/>
              <w:rPr>
                <w:rFonts w:eastAsia="楷体_GB2312"/>
              </w:rPr>
            </w:pPr>
            <w:r>
              <w:rPr>
                <w:rFonts w:hint="eastAsia" w:eastAsia="楷体_GB2312"/>
              </w:rPr>
              <w:t>126</w:t>
            </w:r>
          </w:p>
        </w:tc>
      </w:tr>
      <w:tr w14:paraId="23F2B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050CA0E1">
            <w:pPr>
              <w:tabs>
                <w:tab w:val="left" w:pos="0"/>
                <w:tab w:val="left" w:pos="295"/>
              </w:tabs>
              <w:jc w:val="center"/>
              <w:rPr>
                <w:rFonts w:eastAsia="楷体_GB2312"/>
                <w:szCs w:val="21"/>
              </w:rPr>
            </w:pPr>
            <w:r>
              <w:rPr>
                <w:rFonts w:hint="eastAsia" w:eastAsia="楷体_GB2312"/>
                <w:szCs w:val="21"/>
              </w:rPr>
              <w:t>18</w:t>
            </w:r>
          </w:p>
        </w:tc>
        <w:tc>
          <w:tcPr>
            <w:tcW w:w="1134" w:type="dxa"/>
            <w:noWrap w:val="0"/>
            <w:vAlign w:val="center"/>
          </w:tcPr>
          <w:p w14:paraId="353B5301">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大泽乡镇</w:t>
            </w:r>
          </w:p>
        </w:tc>
        <w:tc>
          <w:tcPr>
            <w:tcW w:w="567" w:type="dxa"/>
            <w:noWrap w:val="0"/>
            <w:vAlign w:val="center"/>
          </w:tcPr>
          <w:p w14:paraId="0A91956D">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2126" w:type="dxa"/>
            <w:noWrap w:val="0"/>
            <w:vAlign w:val="center"/>
          </w:tcPr>
          <w:p w14:paraId="7B177B2E">
            <w:pPr>
              <w:spacing w:line="250" w:lineRule="atLeast"/>
              <w:jc w:val="center"/>
              <w:rPr>
                <w:rFonts w:hint="eastAsia" w:eastAsia="楷体_GB2312"/>
                <w:szCs w:val="21"/>
              </w:rPr>
            </w:pPr>
            <w:r>
              <w:rPr>
                <w:rFonts w:hint="eastAsia" w:eastAsia="楷体_GB2312"/>
                <w:szCs w:val="21"/>
              </w:rPr>
              <w:t>大泽乡镇中心学校</w:t>
            </w:r>
          </w:p>
        </w:tc>
        <w:tc>
          <w:tcPr>
            <w:tcW w:w="1276" w:type="dxa"/>
            <w:noWrap w:val="0"/>
            <w:vAlign w:val="center"/>
          </w:tcPr>
          <w:p w14:paraId="192535CC">
            <w:pPr>
              <w:spacing w:line="280" w:lineRule="exact"/>
              <w:jc w:val="center"/>
              <w:rPr>
                <w:rFonts w:eastAsia="楷体_GB2312"/>
              </w:rPr>
            </w:pPr>
            <w:r>
              <w:rPr>
                <w:rFonts w:hint="eastAsia" w:eastAsia="楷体_GB2312"/>
              </w:rPr>
              <w:t>32</w:t>
            </w:r>
          </w:p>
        </w:tc>
        <w:tc>
          <w:tcPr>
            <w:tcW w:w="1276" w:type="dxa"/>
            <w:noWrap w:val="0"/>
            <w:vAlign w:val="center"/>
          </w:tcPr>
          <w:p w14:paraId="676D0436">
            <w:pPr>
              <w:spacing w:line="280" w:lineRule="exact"/>
              <w:jc w:val="center"/>
              <w:rPr>
                <w:rFonts w:eastAsia="楷体_GB2312"/>
              </w:rPr>
            </w:pPr>
            <w:r>
              <w:rPr>
                <w:rFonts w:hint="eastAsia" w:eastAsia="楷体_GB2312"/>
              </w:rPr>
              <w:t>1609</w:t>
            </w:r>
          </w:p>
        </w:tc>
        <w:tc>
          <w:tcPr>
            <w:tcW w:w="1631" w:type="dxa"/>
            <w:noWrap w:val="0"/>
            <w:vAlign w:val="center"/>
          </w:tcPr>
          <w:p w14:paraId="562CDE9A">
            <w:pPr>
              <w:spacing w:line="280" w:lineRule="exact"/>
              <w:jc w:val="center"/>
              <w:rPr>
                <w:rFonts w:eastAsia="楷体_GB2312"/>
              </w:rPr>
            </w:pPr>
            <w:r>
              <w:rPr>
                <w:rFonts w:hint="eastAsia" w:eastAsia="楷体_GB2312"/>
              </w:rPr>
              <w:t>99</w:t>
            </w:r>
          </w:p>
        </w:tc>
      </w:tr>
      <w:tr w14:paraId="11D1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1725FFE9">
            <w:pPr>
              <w:tabs>
                <w:tab w:val="left" w:pos="0"/>
                <w:tab w:val="left" w:pos="295"/>
              </w:tabs>
              <w:jc w:val="center"/>
              <w:rPr>
                <w:rFonts w:eastAsia="楷体_GB2312"/>
                <w:szCs w:val="21"/>
              </w:rPr>
            </w:pPr>
            <w:r>
              <w:rPr>
                <w:rFonts w:hint="eastAsia" w:eastAsia="楷体_GB2312"/>
                <w:szCs w:val="21"/>
              </w:rPr>
              <w:t>19</w:t>
            </w:r>
          </w:p>
        </w:tc>
        <w:tc>
          <w:tcPr>
            <w:tcW w:w="1134" w:type="dxa"/>
            <w:noWrap w:val="0"/>
            <w:vAlign w:val="center"/>
          </w:tcPr>
          <w:p w14:paraId="072D6DB1">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永安镇</w:t>
            </w:r>
          </w:p>
        </w:tc>
        <w:tc>
          <w:tcPr>
            <w:tcW w:w="567" w:type="dxa"/>
            <w:noWrap w:val="0"/>
            <w:vAlign w:val="center"/>
          </w:tcPr>
          <w:p w14:paraId="4005DB74">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2126" w:type="dxa"/>
            <w:noWrap w:val="0"/>
            <w:vAlign w:val="center"/>
          </w:tcPr>
          <w:p w14:paraId="7FFC601F">
            <w:pPr>
              <w:spacing w:line="250" w:lineRule="atLeast"/>
              <w:jc w:val="center"/>
              <w:rPr>
                <w:rFonts w:hint="eastAsia" w:eastAsia="楷体_GB2312"/>
                <w:szCs w:val="21"/>
              </w:rPr>
            </w:pPr>
            <w:r>
              <w:rPr>
                <w:rFonts w:hint="eastAsia" w:eastAsia="楷体_GB2312"/>
                <w:szCs w:val="21"/>
              </w:rPr>
              <w:t>永安初级中学</w:t>
            </w:r>
          </w:p>
        </w:tc>
        <w:tc>
          <w:tcPr>
            <w:tcW w:w="1276" w:type="dxa"/>
            <w:noWrap w:val="0"/>
            <w:vAlign w:val="center"/>
          </w:tcPr>
          <w:p w14:paraId="53C888BE">
            <w:pPr>
              <w:spacing w:line="280" w:lineRule="exact"/>
              <w:jc w:val="center"/>
              <w:rPr>
                <w:rFonts w:eastAsia="楷体_GB2312"/>
              </w:rPr>
            </w:pPr>
            <w:r>
              <w:rPr>
                <w:rFonts w:hint="eastAsia" w:eastAsia="楷体_GB2312"/>
              </w:rPr>
              <w:t>16</w:t>
            </w:r>
          </w:p>
        </w:tc>
        <w:tc>
          <w:tcPr>
            <w:tcW w:w="1276" w:type="dxa"/>
            <w:noWrap w:val="0"/>
            <w:vAlign w:val="center"/>
          </w:tcPr>
          <w:p w14:paraId="4CB573D7">
            <w:pPr>
              <w:spacing w:line="280" w:lineRule="exact"/>
              <w:jc w:val="center"/>
              <w:rPr>
                <w:rFonts w:eastAsia="楷体_GB2312"/>
              </w:rPr>
            </w:pPr>
            <w:r>
              <w:rPr>
                <w:rFonts w:hint="eastAsia" w:eastAsia="楷体_GB2312"/>
              </w:rPr>
              <w:t>823</w:t>
            </w:r>
          </w:p>
        </w:tc>
        <w:tc>
          <w:tcPr>
            <w:tcW w:w="1631" w:type="dxa"/>
            <w:noWrap w:val="0"/>
            <w:vAlign w:val="center"/>
          </w:tcPr>
          <w:p w14:paraId="7BE651CD">
            <w:pPr>
              <w:spacing w:line="280" w:lineRule="exact"/>
              <w:jc w:val="center"/>
              <w:rPr>
                <w:rFonts w:eastAsia="楷体_GB2312"/>
              </w:rPr>
            </w:pPr>
            <w:r>
              <w:rPr>
                <w:rFonts w:hint="eastAsia" w:eastAsia="楷体_GB2312"/>
              </w:rPr>
              <w:t>58</w:t>
            </w:r>
          </w:p>
        </w:tc>
      </w:tr>
      <w:tr w14:paraId="047A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20C1C2C1">
            <w:pPr>
              <w:tabs>
                <w:tab w:val="left" w:pos="0"/>
                <w:tab w:val="left" w:pos="295"/>
              </w:tabs>
              <w:jc w:val="center"/>
              <w:rPr>
                <w:rFonts w:eastAsia="楷体_GB2312"/>
                <w:szCs w:val="21"/>
              </w:rPr>
            </w:pPr>
            <w:r>
              <w:rPr>
                <w:rFonts w:hint="eastAsia" w:eastAsia="楷体_GB2312"/>
                <w:szCs w:val="21"/>
              </w:rPr>
              <w:t>20</w:t>
            </w:r>
          </w:p>
        </w:tc>
        <w:tc>
          <w:tcPr>
            <w:tcW w:w="1134" w:type="dxa"/>
            <w:noWrap w:val="0"/>
            <w:vAlign w:val="center"/>
          </w:tcPr>
          <w:p w14:paraId="748FFFFC">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支河乡</w:t>
            </w:r>
          </w:p>
        </w:tc>
        <w:tc>
          <w:tcPr>
            <w:tcW w:w="567" w:type="dxa"/>
            <w:noWrap w:val="0"/>
            <w:vAlign w:val="center"/>
          </w:tcPr>
          <w:p w14:paraId="20AC3F7F">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2126" w:type="dxa"/>
            <w:noWrap w:val="0"/>
            <w:vAlign w:val="center"/>
          </w:tcPr>
          <w:p w14:paraId="50B078E9">
            <w:pPr>
              <w:spacing w:line="250" w:lineRule="atLeast"/>
              <w:jc w:val="center"/>
              <w:rPr>
                <w:rFonts w:hint="eastAsia" w:eastAsia="楷体_GB2312"/>
                <w:szCs w:val="21"/>
              </w:rPr>
            </w:pPr>
            <w:r>
              <w:rPr>
                <w:rFonts w:hint="eastAsia" w:eastAsia="楷体_GB2312"/>
                <w:szCs w:val="21"/>
              </w:rPr>
              <w:t>支河中心学校</w:t>
            </w:r>
          </w:p>
        </w:tc>
        <w:tc>
          <w:tcPr>
            <w:tcW w:w="1276" w:type="dxa"/>
            <w:noWrap w:val="0"/>
            <w:vAlign w:val="center"/>
          </w:tcPr>
          <w:p w14:paraId="5CF31FA9">
            <w:pPr>
              <w:spacing w:line="280" w:lineRule="exact"/>
              <w:jc w:val="center"/>
              <w:rPr>
                <w:rFonts w:eastAsia="楷体_GB2312"/>
              </w:rPr>
            </w:pPr>
            <w:r>
              <w:rPr>
                <w:rFonts w:hint="eastAsia" w:eastAsia="楷体_GB2312"/>
              </w:rPr>
              <w:t>9</w:t>
            </w:r>
          </w:p>
        </w:tc>
        <w:tc>
          <w:tcPr>
            <w:tcW w:w="1276" w:type="dxa"/>
            <w:noWrap w:val="0"/>
            <w:vAlign w:val="center"/>
          </w:tcPr>
          <w:p w14:paraId="7A14B3D6">
            <w:pPr>
              <w:spacing w:line="280" w:lineRule="exact"/>
              <w:jc w:val="center"/>
              <w:rPr>
                <w:rFonts w:eastAsia="楷体_GB2312"/>
              </w:rPr>
            </w:pPr>
            <w:r>
              <w:rPr>
                <w:rFonts w:hint="eastAsia" w:eastAsia="楷体_GB2312"/>
              </w:rPr>
              <w:t>461</w:t>
            </w:r>
          </w:p>
        </w:tc>
        <w:tc>
          <w:tcPr>
            <w:tcW w:w="1631" w:type="dxa"/>
            <w:noWrap w:val="0"/>
            <w:vAlign w:val="center"/>
          </w:tcPr>
          <w:p w14:paraId="2CDCE3EA">
            <w:pPr>
              <w:spacing w:line="280" w:lineRule="exact"/>
              <w:jc w:val="center"/>
              <w:rPr>
                <w:rFonts w:eastAsia="楷体_GB2312"/>
              </w:rPr>
            </w:pPr>
            <w:r>
              <w:rPr>
                <w:rFonts w:hint="eastAsia" w:eastAsia="楷体_GB2312"/>
              </w:rPr>
              <w:t>28</w:t>
            </w:r>
          </w:p>
        </w:tc>
      </w:tr>
      <w:tr w14:paraId="69BF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4BC0C0CA">
            <w:pPr>
              <w:tabs>
                <w:tab w:val="left" w:pos="0"/>
                <w:tab w:val="left" w:pos="295"/>
              </w:tabs>
              <w:jc w:val="center"/>
              <w:rPr>
                <w:rFonts w:eastAsia="楷体_GB2312"/>
                <w:szCs w:val="21"/>
              </w:rPr>
            </w:pPr>
            <w:r>
              <w:rPr>
                <w:rFonts w:hint="eastAsia" w:eastAsia="楷体_GB2312"/>
                <w:szCs w:val="21"/>
              </w:rPr>
              <w:t>21</w:t>
            </w:r>
          </w:p>
        </w:tc>
        <w:tc>
          <w:tcPr>
            <w:tcW w:w="1134" w:type="dxa"/>
            <w:noWrap w:val="0"/>
            <w:vAlign w:val="center"/>
          </w:tcPr>
          <w:p w14:paraId="051E53D5">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灰古镇</w:t>
            </w:r>
          </w:p>
        </w:tc>
        <w:tc>
          <w:tcPr>
            <w:tcW w:w="567" w:type="dxa"/>
            <w:noWrap w:val="0"/>
            <w:vAlign w:val="center"/>
          </w:tcPr>
          <w:p w14:paraId="105AA158">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2126" w:type="dxa"/>
            <w:noWrap w:val="0"/>
            <w:vAlign w:val="center"/>
          </w:tcPr>
          <w:p w14:paraId="12E278BC">
            <w:pPr>
              <w:spacing w:line="250" w:lineRule="atLeast"/>
              <w:jc w:val="center"/>
              <w:rPr>
                <w:rFonts w:hint="eastAsia" w:eastAsia="楷体_GB2312"/>
                <w:szCs w:val="21"/>
              </w:rPr>
            </w:pPr>
            <w:r>
              <w:rPr>
                <w:rFonts w:hint="eastAsia" w:eastAsia="楷体_GB2312"/>
                <w:szCs w:val="21"/>
              </w:rPr>
              <w:t>灰古中学</w:t>
            </w:r>
          </w:p>
        </w:tc>
        <w:tc>
          <w:tcPr>
            <w:tcW w:w="1276" w:type="dxa"/>
            <w:noWrap w:val="0"/>
            <w:vAlign w:val="center"/>
          </w:tcPr>
          <w:p w14:paraId="2ACB5A60">
            <w:pPr>
              <w:spacing w:line="280" w:lineRule="exact"/>
              <w:jc w:val="center"/>
              <w:rPr>
                <w:rFonts w:eastAsia="楷体_GB2312"/>
              </w:rPr>
            </w:pPr>
            <w:r>
              <w:rPr>
                <w:rFonts w:hint="eastAsia" w:eastAsia="楷体_GB2312"/>
              </w:rPr>
              <w:t>11</w:t>
            </w:r>
          </w:p>
        </w:tc>
        <w:tc>
          <w:tcPr>
            <w:tcW w:w="1276" w:type="dxa"/>
            <w:noWrap w:val="0"/>
            <w:vAlign w:val="center"/>
          </w:tcPr>
          <w:p w14:paraId="7E7AA7E7">
            <w:pPr>
              <w:spacing w:line="280" w:lineRule="exact"/>
              <w:jc w:val="center"/>
              <w:rPr>
                <w:rFonts w:eastAsia="楷体_GB2312"/>
              </w:rPr>
            </w:pPr>
            <w:r>
              <w:rPr>
                <w:rFonts w:hint="eastAsia" w:eastAsia="楷体_GB2312"/>
              </w:rPr>
              <w:t>562</w:t>
            </w:r>
          </w:p>
        </w:tc>
        <w:tc>
          <w:tcPr>
            <w:tcW w:w="1631" w:type="dxa"/>
            <w:noWrap w:val="0"/>
            <w:vAlign w:val="center"/>
          </w:tcPr>
          <w:p w14:paraId="36AAA8A4">
            <w:pPr>
              <w:spacing w:line="280" w:lineRule="exact"/>
              <w:jc w:val="center"/>
              <w:rPr>
                <w:rFonts w:eastAsia="楷体_GB2312"/>
              </w:rPr>
            </w:pPr>
            <w:r>
              <w:rPr>
                <w:rFonts w:hint="eastAsia" w:eastAsia="楷体_GB2312"/>
              </w:rPr>
              <w:t>53</w:t>
            </w:r>
          </w:p>
        </w:tc>
      </w:tr>
      <w:tr w14:paraId="52745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14:paraId="4F15460C">
            <w:pPr>
              <w:tabs>
                <w:tab w:val="left" w:pos="0"/>
                <w:tab w:val="left" w:pos="295"/>
              </w:tabs>
              <w:jc w:val="center"/>
              <w:rPr>
                <w:rFonts w:eastAsia="楷体_GB2312"/>
                <w:szCs w:val="21"/>
              </w:rPr>
            </w:pPr>
            <w:r>
              <w:rPr>
                <w:rFonts w:hint="eastAsia" w:eastAsia="楷体_GB2312"/>
                <w:szCs w:val="21"/>
              </w:rPr>
              <w:t>22</w:t>
            </w:r>
          </w:p>
        </w:tc>
        <w:tc>
          <w:tcPr>
            <w:tcW w:w="1134" w:type="dxa"/>
            <w:noWrap w:val="0"/>
            <w:vAlign w:val="center"/>
          </w:tcPr>
          <w:p w14:paraId="0DC99FA3">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桃沟乡</w:t>
            </w:r>
          </w:p>
        </w:tc>
        <w:tc>
          <w:tcPr>
            <w:tcW w:w="567" w:type="dxa"/>
            <w:noWrap w:val="0"/>
            <w:vAlign w:val="center"/>
          </w:tcPr>
          <w:p w14:paraId="5EF2EC30">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2126" w:type="dxa"/>
            <w:noWrap w:val="0"/>
            <w:vAlign w:val="center"/>
          </w:tcPr>
          <w:p w14:paraId="08D05CBC">
            <w:pPr>
              <w:spacing w:line="250" w:lineRule="atLeast"/>
              <w:jc w:val="center"/>
              <w:rPr>
                <w:rFonts w:hint="eastAsia" w:eastAsia="楷体_GB2312"/>
                <w:szCs w:val="21"/>
              </w:rPr>
            </w:pPr>
            <w:r>
              <w:rPr>
                <w:rFonts w:hint="eastAsia" w:eastAsia="楷体_GB2312"/>
                <w:szCs w:val="21"/>
              </w:rPr>
              <w:t>桃沟初级中学</w:t>
            </w:r>
          </w:p>
        </w:tc>
        <w:tc>
          <w:tcPr>
            <w:tcW w:w="1276" w:type="dxa"/>
            <w:noWrap w:val="0"/>
            <w:vAlign w:val="center"/>
          </w:tcPr>
          <w:p w14:paraId="31AFE852">
            <w:pPr>
              <w:spacing w:line="280" w:lineRule="exact"/>
              <w:jc w:val="center"/>
              <w:rPr>
                <w:rFonts w:eastAsia="楷体_GB2312"/>
              </w:rPr>
            </w:pPr>
            <w:r>
              <w:rPr>
                <w:rFonts w:hint="eastAsia" w:eastAsia="楷体_GB2312"/>
              </w:rPr>
              <w:t>9</w:t>
            </w:r>
          </w:p>
        </w:tc>
        <w:tc>
          <w:tcPr>
            <w:tcW w:w="1276" w:type="dxa"/>
            <w:noWrap w:val="0"/>
            <w:vAlign w:val="center"/>
          </w:tcPr>
          <w:p w14:paraId="0C13CD83">
            <w:pPr>
              <w:spacing w:line="280" w:lineRule="exact"/>
              <w:jc w:val="center"/>
              <w:rPr>
                <w:rFonts w:eastAsia="楷体_GB2312"/>
              </w:rPr>
            </w:pPr>
            <w:r>
              <w:rPr>
                <w:rFonts w:hint="eastAsia" w:eastAsia="楷体_GB2312"/>
              </w:rPr>
              <w:t>445</w:t>
            </w:r>
          </w:p>
        </w:tc>
        <w:tc>
          <w:tcPr>
            <w:tcW w:w="1631" w:type="dxa"/>
            <w:noWrap w:val="0"/>
            <w:vAlign w:val="center"/>
          </w:tcPr>
          <w:p w14:paraId="2CCC34A7">
            <w:pPr>
              <w:spacing w:line="280" w:lineRule="exact"/>
              <w:jc w:val="center"/>
              <w:rPr>
                <w:rFonts w:eastAsia="楷体_GB2312"/>
              </w:rPr>
            </w:pPr>
            <w:r>
              <w:rPr>
                <w:rFonts w:hint="eastAsia" w:eastAsia="楷体_GB2312"/>
              </w:rPr>
              <w:t>27</w:t>
            </w:r>
          </w:p>
        </w:tc>
      </w:tr>
    </w:tbl>
    <w:p w14:paraId="0601B4A9">
      <w:pPr>
        <w:spacing w:line="480" w:lineRule="exact"/>
        <w:jc w:val="center"/>
        <w:rPr>
          <w:sz w:val="26"/>
        </w:rPr>
      </w:pPr>
      <w:r>
        <w:rPr>
          <w:rFonts w:eastAsia="黑体"/>
          <w:sz w:val="28"/>
        </w:rPr>
        <w:t>表1-3-</w:t>
      </w:r>
      <w:r>
        <w:rPr>
          <w:rFonts w:hint="eastAsia" w:eastAsia="黑体"/>
          <w:sz w:val="28"/>
        </w:rPr>
        <w:t>36</w:t>
      </w:r>
      <w:r>
        <w:rPr>
          <w:rFonts w:eastAsia="黑体"/>
          <w:sz w:val="28"/>
        </w:rPr>
        <w:t xml:space="preserve"> 埇桥区各乡镇镇区小学调查表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134"/>
        <w:gridCol w:w="567"/>
        <w:gridCol w:w="1765"/>
        <w:gridCol w:w="1350"/>
        <w:gridCol w:w="1350"/>
        <w:gridCol w:w="1770"/>
      </w:tblGrid>
      <w:tr w14:paraId="5B7E9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817" w:type="dxa"/>
            <w:noWrap w:val="0"/>
            <w:vAlign w:val="center"/>
          </w:tcPr>
          <w:p w14:paraId="00E6F87D">
            <w:pPr>
              <w:ind w:left="-63" w:leftChars="-30" w:right="-63" w:rightChars="-30"/>
              <w:jc w:val="center"/>
              <w:rPr>
                <w:rFonts w:eastAsia="楷体_GB2312"/>
              </w:rPr>
            </w:pPr>
            <w:r>
              <w:rPr>
                <w:rFonts w:eastAsia="楷体_GB2312"/>
              </w:rPr>
              <w:t>编号</w:t>
            </w:r>
          </w:p>
        </w:tc>
        <w:tc>
          <w:tcPr>
            <w:tcW w:w="1134" w:type="dxa"/>
            <w:noWrap w:val="0"/>
            <w:vAlign w:val="center"/>
          </w:tcPr>
          <w:p w14:paraId="1DC45FB2">
            <w:pPr>
              <w:ind w:left="-63" w:leftChars="-30" w:right="-63" w:rightChars="-30"/>
              <w:jc w:val="center"/>
              <w:rPr>
                <w:rFonts w:eastAsia="楷体_GB2312"/>
              </w:rPr>
            </w:pPr>
            <w:r>
              <w:rPr>
                <w:rFonts w:eastAsia="楷体_GB2312"/>
              </w:rPr>
              <w:t>乡镇名称</w:t>
            </w:r>
          </w:p>
        </w:tc>
        <w:tc>
          <w:tcPr>
            <w:tcW w:w="567" w:type="dxa"/>
            <w:noWrap w:val="0"/>
            <w:vAlign w:val="center"/>
          </w:tcPr>
          <w:p w14:paraId="19CA6CF8">
            <w:pPr>
              <w:ind w:left="-63" w:leftChars="-30" w:right="-63" w:rightChars="-30"/>
              <w:jc w:val="center"/>
              <w:rPr>
                <w:rFonts w:eastAsia="楷体_GB2312"/>
              </w:rPr>
            </w:pPr>
            <w:r>
              <w:rPr>
                <w:rFonts w:eastAsia="楷体_GB2312"/>
              </w:rPr>
              <w:t>编号</w:t>
            </w:r>
          </w:p>
        </w:tc>
        <w:tc>
          <w:tcPr>
            <w:tcW w:w="1765" w:type="dxa"/>
            <w:noWrap w:val="0"/>
            <w:vAlign w:val="center"/>
          </w:tcPr>
          <w:p w14:paraId="5A460716">
            <w:pPr>
              <w:ind w:left="-63" w:leftChars="-30" w:right="-63" w:rightChars="-30"/>
              <w:jc w:val="center"/>
              <w:rPr>
                <w:rFonts w:eastAsia="楷体_GB2312"/>
              </w:rPr>
            </w:pPr>
            <w:r>
              <w:rPr>
                <w:rFonts w:eastAsia="楷体_GB2312"/>
              </w:rPr>
              <w:t>小学名称</w:t>
            </w:r>
          </w:p>
        </w:tc>
        <w:tc>
          <w:tcPr>
            <w:tcW w:w="0" w:type="auto"/>
            <w:noWrap w:val="0"/>
            <w:vAlign w:val="center"/>
          </w:tcPr>
          <w:p w14:paraId="54E67AE7">
            <w:pPr>
              <w:ind w:left="-63" w:leftChars="-30" w:right="-63" w:rightChars="-30"/>
              <w:jc w:val="center"/>
              <w:rPr>
                <w:rFonts w:eastAsia="楷体_GB2312"/>
              </w:rPr>
            </w:pPr>
            <w:r>
              <w:rPr>
                <w:rFonts w:eastAsia="楷体_GB2312"/>
              </w:rPr>
              <w:t>班级数（个）</w:t>
            </w:r>
          </w:p>
        </w:tc>
        <w:tc>
          <w:tcPr>
            <w:tcW w:w="0" w:type="auto"/>
            <w:noWrap w:val="0"/>
            <w:vAlign w:val="center"/>
          </w:tcPr>
          <w:p w14:paraId="239F4214">
            <w:pPr>
              <w:ind w:left="-63" w:leftChars="-30" w:right="-63" w:rightChars="-30"/>
              <w:jc w:val="center"/>
              <w:rPr>
                <w:rFonts w:eastAsia="楷体_GB2312"/>
              </w:rPr>
            </w:pPr>
            <w:r>
              <w:rPr>
                <w:rFonts w:eastAsia="楷体_GB2312"/>
              </w:rPr>
              <w:t>学生数（人）</w:t>
            </w:r>
          </w:p>
        </w:tc>
        <w:tc>
          <w:tcPr>
            <w:tcW w:w="0" w:type="auto"/>
            <w:noWrap w:val="0"/>
            <w:vAlign w:val="center"/>
          </w:tcPr>
          <w:p w14:paraId="29E4F137">
            <w:pPr>
              <w:ind w:left="-63" w:leftChars="-30" w:right="-63" w:rightChars="-30"/>
              <w:jc w:val="center"/>
              <w:rPr>
                <w:rFonts w:eastAsia="楷体_GB2312"/>
              </w:rPr>
            </w:pPr>
            <w:r>
              <w:rPr>
                <w:rFonts w:eastAsia="楷体_GB2312"/>
              </w:rPr>
              <w:t>教职工人数（人）</w:t>
            </w:r>
          </w:p>
        </w:tc>
      </w:tr>
      <w:tr w14:paraId="71FFB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vMerge w:val="restart"/>
            <w:noWrap w:val="0"/>
            <w:vAlign w:val="center"/>
          </w:tcPr>
          <w:p w14:paraId="4E87BD3A">
            <w:pPr>
              <w:tabs>
                <w:tab w:val="left" w:pos="0"/>
                <w:tab w:val="left" w:pos="295"/>
              </w:tabs>
              <w:jc w:val="center"/>
              <w:rPr>
                <w:rFonts w:eastAsia="楷体_GB2312"/>
                <w:szCs w:val="21"/>
              </w:rPr>
            </w:pPr>
            <w:r>
              <w:rPr>
                <w:rFonts w:eastAsia="楷体_GB2312"/>
                <w:szCs w:val="21"/>
              </w:rPr>
              <w:t>1</w:t>
            </w:r>
          </w:p>
        </w:tc>
        <w:tc>
          <w:tcPr>
            <w:tcW w:w="1134" w:type="dxa"/>
            <w:vMerge w:val="restart"/>
            <w:noWrap w:val="0"/>
            <w:vAlign w:val="center"/>
          </w:tcPr>
          <w:p w14:paraId="06042B44">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符离镇</w:t>
            </w:r>
          </w:p>
        </w:tc>
        <w:tc>
          <w:tcPr>
            <w:tcW w:w="567" w:type="dxa"/>
            <w:noWrap w:val="0"/>
            <w:vAlign w:val="center"/>
          </w:tcPr>
          <w:p w14:paraId="700F804D">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1765" w:type="dxa"/>
            <w:noWrap w:val="0"/>
            <w:vAlign w:val="center"/>
          </w:tcPr>
          <w:p w14:paraId="6256D17F">
            <w:pPr>
              <w:spacing w:line="250" w:lineRule="atLeast"/>
              <w:jc w:val="center"/>
              <w:rPr>
                <w:rFonts w:eastAsia="楷体_GB2312"/>
                <w:szCs w:val="21"/>
              </w:rPr>
            </w:pPr>
            <w:r>
              <w:rPr>
                <w:rFonts w:hint="eastAsia" w:eastAsia="楷体_GB2312"/>
                <w:szCs w:val="21"/>
              </w:rPr>
              <w:t>符离中心小学</w:t>
            </w:r>
          </w:p>
        </w:tc>
        <w:tc>
          <w:tcPr>
            <w:tcW w:w="0" w:type="auto"/>
            <w:noWrap w:val="0"/>
            <w:vAlign w:val="center"/>
          </w:tcPr>
          <w:p w14:paraId="1644297B">
            <w:pPr>
              <w:jc w:val="center"/>
              <w:rPr>
                <w:rFonts w:eastAsia="楷体_GB2312"/>
                <w:szCs w:val="21"/>
              </w:rPr>
            </w:pPr>
            <w:r>
              <w:rPr>
                <w:rFonts w:hint="eastAsia" w:eastAsia="楷体_GB2312"/>
                <w:szCs w:val="21"/>
              </w:rPr>
              <w:t>40</w:t>
            </w:r>
          </w:p>
        </w:tc>
        <w:tc>
          <w:tcPr>
            <w:tcW w:w="0" w:type="auto"/>
            <w:noWrap w:val="0"/>
            <w:vAlign w:val="center"/>
          </w:tcPr>
          <w:p w14:paraId="0D4B81C4">
            <w:pPr>
              <w:jc w:val="center"/>
              <w:rPr>
                <w:rFonts w:eastAsia="楷体_GB2312"/>
                <w:szCs w:val="21"/>
              </w:rPr>
            </w:pPr>
            <w:r>
              <w:rPr>
                <w:rFonts w:hint="eastAsia" w:eastAsia="楷体_GB2312"/>
                <w:szCs w:val="21"/>
              </w:rPr>
              <w:t>1910</w:t>
            </w:r>
          </w:p>
        </w:tc>
        <w:tc>
          <w:tcPr>
            <w:tcW w:w="0" w:type="auto"/>
            <w:noWrap w:val="0"/>
            <w:vAlign w:val="center"/>
          </w:tcPr>
          <w:p w14:paraId="2CC48C9D">
            <w:pPr>
              <w:jc w:val="center"/>
              <w:rPr>
                <w:rFonts w:eastAsia="楷体_GB2312"/>
                <w:szCs w:val="21"/>
              </w:rPr>
            </w:pPr>
            <w:r>
              <w:rPr>
                <w:rFonts w:hint="eastAsia" w:eastAsia="楷体_GB2312"/>
                <w:szCs w:val="21"/>
              </w:rPr>
              <w:t>105</w:t>
            </w:r>
          </w:p>
        </w:tc>
      </w:tr>
      <w:tr w14:paraId="0832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vMerge w:val="continue"/>
            <w:noWrap w:val="0"/>
            <w:vAlign w:val="center"/>
          </w:tcPr>
          <w:p w14:paraId="53F0CBFE">
            <w:pPr>
              <w:tabs>
                <w:tab w:val="left" w:pos="0"/>
                <w:tab w:val="left" w:pos="295"/>
              </w:tabs>
              <w:jc w:val="center"/>
              <w:rPr>
                <w:rFonts w:eastAsia="楷体_GB2312"/>
                <w:szCs w:val="21"/>
              </w:rPr>
            </w:pPr>
          </w:p>
        </w:tc>
        <w:tc>
          <w:tcPr>
            <w:tcW w:w="1134" w:type="dxa"/>
            <w:vMerge w:val="continue"/>
            <w:noWrap w:val="0"/>
            <w:vAlign w:val="center"/>
          </w:tcPr>
          <w:p w14:paraId="2D69D9E4">
            <w:pPr>
              <w:pStyle w:val="20"/>
              <w:tabs>
                <w:tab w:val="left" w:pos="0"/>
                <w:tab w:val="left" w:pos="295"/>
              </w:tabs>
              <w:jc w:val="center"/>
              <w:rPr>
                <w:rFonts w:ascii="Times New Roman" w:hAnsi="Times New Roman" w:eastAsia="楷体_GB2312" w:cs="Times New Roman"/>
              </w:rPr>
            </w:pPr>
          </w:p>
        </w:tc>
        <w:tc>
          <w:tcPr>
            <w:tcW w:w="567" w:type="dxa"/>
            <w:noWrap w:val="0"/>
            <w:vAlign w:val="center"/>
          </w:tcPr>
          <w:p w14:paraId="3EE01AB5">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hint="eastAsia" w:eastAsia="楷体_GB2312"/>
                <w:kern w:val="2"/>
                <w:szCs w:val="24"/>
              </w:rPr>
              <w:t>02</w:t>
            </w:r>
          </w:p>
        </w:tc>
        <w:tc>
          <w:tcPr>
            <w:tcW w:w="1765" w:type="dxa"/>
            <w:noWrap w:val="0"/>
            <w:vAlign w:val="center"/>
          </w:tcPr>
          <w:p w14:paraId="73DF777D">
            <w:pPr>
              <w:spacing w:line="250" w:lineRule="atLeast"/>
              <w:jc w:val="center"/>
              <w:rPr>
                <w:rFonts w:eastAsia="楷体_GB2312"/>
                <w:kern w:val="0"/>
                <w:szCs w:val="21"/>
              </w:rPr>
            </w:pPr>
            <w:r>
              <w:rPr>
                <w:rFonts w:hint="eastAsia" w:eastAsia="楷体_GB2312"/>
                <w:kern w:val="0"/>
                <w:szCs w:val="21"/>
              </w:rPr>
              <w:t>符离第三小学</w:t>
            </w:r>
          </w:p>
        </w:tc>
        <w:tc>
          <w:tcPr>
            <w:tcW w:w="0" w:type="auto"/>
            <w:noWrap w:val="0"/>
            <w:vAlign w:val="center"/>
          </w:tcPr>
          <w:p w14:paraId="0B8BA465">
            <w:pPr>
              <w:jc w:val="center"/>
              <w:rPr>
                <w:rFonts w:eastAsia="楷体_GB2312"/>
                <w:szCs w:val="21"/>
              </w:rPr>
            </w:pPr>
            <w:r>
              <w:rPr>
                <w:rFonts w:hint="eastAsia" w:eastAsia="楷体_GB2312"/>
                <w:szCs w:val="21"/>
              </w:rPr>
              <w:t>33</w:t>
            </w:r>
          </w:p>
        </w:tc>
        <w:tc>
          <w:tcPr>
            <w:tcW w:w="0" w:type="auto"/>
            <w:noWrap w:val="0"/>
            <w:vAlign w:val="center"/>
          </w:tcPr>
          <w:p w14:paraId="732086A0">
            <w:pPr>
              <w:jc w:val="center"/>
              <w:rPr>
                <w:rFonts w:eastAsia="楷体_GB2312"/>
                <w:szCs w:val="21"/>
              </w:rPr>
            </w:pPr>
            <w:r>
              <w:rPr>
                <w:rFonts w:hint="eastAsia" w:eastAsia="楷体_GB2312"/>
                <w:szCs w:val="21"/>
              </w:rPr>
              <w:t>1685</w:t>
            </w:r>
          </w:p>
        </w:tc>
        <w:tc>
          <w:tcPr>
            <w:tcW w:w="0" w:type="auto"/>
            <w:noWrap w:val="0"/>
            <w:vAlign w:val="center"/>
          </w:tcPr>
          <w:p w14:paraId="3844943E">
            <w:pPr>
              <w:jc w:val="center"/>
              <w:rPr>
                <w:rFonts w:eastAsia="楷体_GB2312"/>
                <w:szCs w:val="21"/>
              </w:rPr>
            </w:pPr>
            <w:r>
              <w:rPr>
                <w:rFonts w:hint="eastAsia" w:eastAsia="楷体_GB2312"/>
                <w:szCs w:val="21"/>
              </w:rPr>
              <w:t>72</w:t>
            </w:r>
          </w:p>
        </w:tc>
      </w:tr>
      <w:tr w14:paraId="6FAA5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vMerge w:val="restart"/>
            <w:noWrap w:val="0"/>
            <w:vAlign w:val="center"/>
          </w:tcPr>
          <w:p w14:paraId="3A9E4ACE">
            <w:pPr>
              <w:tabs>
                <w:tab w:val="left" w:pos="0"/>
                <w:tab w:val="left" w:pos="295"/>
              </w:tabs>
              <w:jc w:val="center"/>
              <w:rPr>
                <w:rFonts w:eastAsia="楷体_GB2312"/>
                <w:szCs w:val="21"/>
              </w:rPr>
            </w:pPr>
            <w:r>
              <w:rPr>
                <w:rFonts w:eastAsia="楷体_GB2312"/>
                <w:szCs w:val="21"/>
              </w:rPr>
              <w:t>2</w:t>
            </w:r>
          </w:p>
        </w:tc>
        <w:tc>
          <w:tcPr>
            <w:tcW w:w="1134" w:type="dxa"/>
            <w:vMerge w:val="restart"/>
            <w:noWrap w:val="0"/>
            <w:vAlign w:val="center"/>
          </w:tcPr>
          <w:p w14:paraId="19007D8D">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朱仙庄镇</w:t>
            </w:r>
          </w:p>
        </w:tc>
        <w:tc>
          <w:tcPr>
            <w:tcW w:w="567" w:type="dxa"/>
            <w:noWrap w:val="0"/>
            <w:vAlign w:val="center"/>
          </w:tcPr>
          <w:p w14:paraId="1780831A">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1765" w:type="dxa"/>
            <w:noWrap w:val="0"/>
            <w:vAlign w:val="center"/>
          </w:tcPr>
          <w:p w14:paraId="48DE00A1">
            <w:pPr>
              <w:spacing w:line="250" w:lineRule="atLeast"/>
              <w:jc w:val="center"/>
              <w:rPr>
                <w:rFonts w:eastAsia="楷体_GB2312"/>
                <w:kern w:val="0"/>
                <w:szCs w:val="21"/>
              </w:rPr>
            </w:pPr>
            <w:r>
              <w:rPr>
                <w:rFonts w:hint="eastAsia" w:eastAsia="楷体_GB2312"/>
                <w:kern w:val="0"/>
                <w:szCs w:val="21"/>
              </w:rPr>
              <w:t>胡李小学</w:t>
            </w:r>
          </w:p>
        </w:tc>
        <w:tc>
          <w:tcPr>
            <w:tcW w:w="0" w:type="auto"/>
            <w:noWrap w:val="0"/>
            <w:vAlign w:val="center"/>
          </w:tcPr>
          <w:p w14:paraId="5D672ED6">
            <w:pPr>
              <w:jc w:val="center"/>
              <w:rPr>
                <w:rFonts w:eastAsia="楷体_GB2312"/>
                <w:szCs w:val="21"/>
              </w:rPr>
            </w:pPr>
            <w:r>
              <w:rPr>
                <w:rFonts w:hint="eastAsia" w:eastAsia="楷体_GB2312"/>
                <w:szCs w:val="21"/>
              </w:rPr>
              <w:t>12</w:t>
            </w:r>
          </w:p>
        </w:tc>
        <w:tc>
          <w:tcPr>
            <w:tcW w:w="0" w:type="auto"/>
            <w:noWrap w:val="0"/>
            <w:vAlign w:val="center"/>
          </w:tcPr>
          <w:p w14:paraId="30FFD9D5">
            <w:pPr>
              <w:jc w:val="center"/>
              <w:rPr>
                <w:rFonts w:eastAsia="楷体_GB2312"/>
                <w:szCs w:val="21"/>
              </w:rPr>
            </w:pPr>
            <w:r>
              <w:rPr>
                <w:rFonts w:hint="eastAsia" w:eastAsia="楷体_GB2312"/>
                <w:szCs w:val="21"/>
              </w:rPr>
              <w:t>336</w:t>
            </w:r>
          </w:p>
        </w:tc>
        <w:tc>
          <w:tcPr>
            <w:tcW w:w="0" w:type="auto"/>
            <w:noWrap w:val="0"/>
            <w:vAlign w:val="center"/>
          </w:tcPr>
          <w:p w14:paraId="514FE7A5">
            <w:pPr>
              <w:jc w:val="center"/>
              <w:rPr>
                <w:rFonts w:eastAsia="楷体_GB2312"/>
                <w:szCs w:val="21"/>
              </w:rPr>
            </w:pPr>
            <w:r>
              <w:rPr>
                <w:rFonts w:hint="eastAsia" w:eastAsia="楷体_GB2312"/>
                <w:szCs w:val="21"/>
              </w:rPr>
              <w:t>14</w:t>
            </w:r>
          </w:p>
        </w:tc>
      </w:tr>
      <w:tr w14:paraId="5D385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vMerge w:val="continue"/>
            <w:noWrap w:val="0"/>
            <w:vAlign w:val="center"/>
          </w:tcPr>
          <w:p w14:paraId="2667D4C2">
            <w:pPr>
              <w:tabs>
                <w:tab w:val="left" w:pos="0"/>
                <w:tab w:val="left" w:pos="295"/>
              </w:tabs>
              <w:jc w:val="center"/>
              <w:rPr>
                <w:rFonts w:eastAsia="楷体_GB2312"/>
                <w:szCs w:val="21"/>
              </w:rPr>
            </w:pPr>
          </w:p>
        </w:tc>
        <w:tc>
          <w:tcPr>
            <w:tcW w:w="1134" w:type="dxa"/>
            <w:vMerge w:val="continue"/>
            <w:noWrap w:val="0"/>
            <w:vAlign w:val="center"/>
          </w:tcPr>
          <w:p w14:paraId="3982709F">
            <w:pPr>
              <w:pStyle w:val="20"/>
              <w:tabs>
                <w:tab w:val="left" w:pos="0"/>
                <w:tab w:val="left" w:pos="295"/>
              </w:tabs>
              <w:jc w:val="center"/>
              <w:rPr>
                <w:rFonts w:ascii="Times New Roman" w:hAnsi="Times New Roman" w:eastAsia="楷体_GB2312" w:cs="Times New Roman"/>
              </w:rPr>
            </w:pPr>
          </w:p>
        </w:tc>
        <w:tc>
          <w:tcPr>
            <w:tcW w:w="567" w:type="dxa"/>
            <w:noWrap w:val="0"/>
            <w:vAlign w:val="center"/>
          </w:tcPr>
          <w:p w14:paraId="6D2691AF">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hint="eastAsia" w:eastAsia="楷体_GB2312"/>
                <w:kern w:val="2"/>
                <w:szCs w:val="24"/>
              </w:rPr>
              <w:t>02</w:t>
            </w:r>
          </w:p>
        </w:tc>
        <w:tc>
          <w:tcPr>
            <w:tcW w:w="1765" w:type="dxa"/>
            <w:noWrap w:val="0"/>
            <w:vAlign w:val="center"/>
          </w:tcPr>
          <w:p w14:paraId="0DC22DCD">
            <w:pPr>
              <w:spacing w:line="250" w:lineRule="atLeast"/>
              <w:jc w:val="center"/>
              <w:rPr>
                <w:rFonts w:eastAsia="楷体_GB2312"/>
                <w:kern w:val="0"/>
                <w:szCs w:val="21"/>
              </w:rPr>
            </w:pPr>
            <w:r>
              <w:rPr>
                <w:rFonts w:hint="eastAsia" w:eastAsia="楷体_GB2312"/>
                <w:kern w:val="0"/>
                <w:szCs w:val="21"/>
              </w:rPr>
              <w:t>朱仙庄中心小学</w:t>
            </w:r>
          </w:p>
        </w:tc>
        <w:tc>
          <w:tcPr>
            <w:tcW w:w="0" w:type="auto"/>
            <w:noWrap w:val="0"/>
            <w:vAlign w:val="center"/>
          </w:tcPr>
          <w:p w14:paraId="5F448BD0">
            <w:pPr>
              <w:jc w:val="center"/>
              <w:rPr>
                <w:rFonts w:eastAsia="楷体_GB2312"/>
                <w:szCs w:val="21"/>
              </w:rPr>
            </w:pPr>
            <w:r>
              <w:rPr>
                <w:rFonts w:hint="eastAsia" w:eastAsia="楷体_GB2312"/>
                <w:szCs w:val="21"/>
              </w:rPr>
              <w:t>12</w:t>
            </w:r>
          </w:p>
        </w:tc>
        <w:tc>
          <w:tcPr>
            <w:tcW w:w="0" w:type="auto"/>
            <w:noWrap w:val="0"/>
            <w:vAlign w:val="center"/>
          </w:tcPr>
          <w:p w14:paraId="08F939F4">
            <w:pPr>
              <w:jc w:val="center"/>
              <w:rPr>
                <w:rFonts w:eastAsia="楷体_GB2312"/>
                <w:szCs w:val="21"/>
              </w:rPr>
            </w:pPr>
            <w:r>
              <w:rPr>
                <w:rFonts w:hint="eastAsia" w:eastAsia="楷体_GB2312"/>
                <w:szCs w:val="21"/>
              </w:rPr>
              <w:t>376</w:t>
            </w:r>
          </w:p>
        </w:tc>
        <w:tc>
          <w:tcPr>
            <w:tcW w:w="0" w:type="auto"/>
            <w:noWrap w:val="0"/>
            <w:vAlign w:val="center"/>
          </w:tcPr>
          <w:p w14:paraId="42D192C9">
            <w:pPr>
              <w:jc w:val="center"/>
              <w:rPr>
                <w:rFonts w:eastAsia="楷体_GB2312"/>
                <w:szCs w:val="21"/>
              </w:rPr>
            </w:pPr>
            <w:r>
              <w:rPr>
                <w:rFonts w:hint="eastAsia" w:eastAsia="楷体_GB2312"/>
                <w:szCs w:val="21"/>
              </w:rPr>
              <w:t>28</w:t>
            </w:r>
          </w:p>
        </w:tc>
      </w:tr>
      <w:tr w14:paraId="33E1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vMerge w:val="continue"/>
            <w:noWrap w:val="0"/>
            <w:vAlign w:val="center"/>
          </w:tcPr>
          <w:p w14:paraId="6C3DD6DC">
            <w:pPr>
              <w:tabs>
                <w:tab w:val="left" w:pos="0"/>
                <w:tab w:val="left" w:pos="295"/>
              </w:tabs>
              <w:jc w:val="center"/>
              <w:rPr>
                <w:rFonts w:eastAsia="楷体_GB2312"/>
                <w:szCs w:val="21"/>
              </w:rPr>
            </w:pPr>
          </w:p>
        </w:tc>
        <w:tc>
          <w:tcPr>
            <w:tcW w:w="1134" w:type="dxa"/>
            <w:vMerge w:val="continue"/>
            <w:noWrap w:val="0"/>
            <w:vAlign w:val="center"/>
          </w:tcPr>
          <w:p w14:paraId="6415554F">
            <w:pPr>
              <w:pStyle w:val="20"/>
              <w:tabs>
                <w:tab w:val="left" w:pos="0"/>
                <w:tab w:val="left" w:pos="295"/>
              </w:tabs>
              <w:jc w:val="center"/>
              <w:rPr>
                <w:rFonts w:ascii="Times New Roman" w:hAnsi="Times New Roman" w:eastAsia="楷体_GB2312" w:cs="Times New Roman"/>
              </w:rPr>
            </w:pPr>
          </w:p>
        </w:tc>
        <w:tc>
          <w:tcPr>
            <w:tcW w:w="567" w:type="dxa"/>
            <w:noWrap w:val="0"/>
            <w:vAlign w:val="center"/>
          </w:tcPr>
          <w:p w14:paraId="068664D8">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hint="eastAsia" w:eastAsia="楷体_GB2312"/>
                <w:kern w:val="2"/>
                <w:szCs w:val="24"/>
              </w:rPr>
              <w:t>03</w:t>
            </w:r>
          </w:p>
        </w:tc>
        <w:tc>
          <w:tcPr>
            <w:tcW w:w="1765" w:type="dxa"/>
            <w:noWrap w:val="0"/>
            <w:vAlign w:val="center"/>
          </w:tcPr>
          <w:p w14:paraId="496408E4">
            <w:pPr>
              <w:spacing w:line="250" w:lineRule="atLeast"/>
              <w:jc w:val="center"/>
              <w:rPr>
                <w:rFonts w:eastAsia="楷体_GB2312"/>
                <w:kern w:val="0"/>
                <w:szCs w:val="21"/>
              </w:rPr>
            </w:pPr>
            <w:r>
              <w:rPr>
                <w:rFonts w:hint="eastAsia" w:eastAsia="楷体_GB2312"/>
                <w:kern w:val="0"/>
                <w:szCs w:val="21"/>
              </w:rPr>
              <w:t>朱仙庄矿小学</w:t>
            </w:r>
          </w:p>
        </w:tc>
        <w:tc>
          <w:tcPr>
            <w:tcW w:w="0" w:type="auto"/>
            <w:noWrap w:val="0"/>
            <w:vAlign w:val="center"/>
          </w:tcPr>
          <w:p w14:paraId="39D2C4AD">
            <w:pPr>
              <w:jc w:val="center"/>
              <w:rPr>
                <w:rFonts w:eastAsia="楷体_GB2312"/>
                <w:szCs w:val="21"/>
              </w:rPr>
            </w:pPr>
            <w:r>
              <w:rPr>
                <w:rFonts w:hint="eastAsia" w:eastAsia="楷体_GB2312"/>
                <w:szCs w:val="21"/>
              </w:rPr>
              <w:t>22</w:t>
            </w:r>
          </w:p>
        </w:tc>
        <w:tc>
          <w:tcPr>
            <w:tcW w:w="0" w:type="auto"/>
            <w:noWrap w:val="0"/>
            <w:vAlign w:val="center"/>
          </w:tcPr>
          <w:p w14:paraId="7F531625">
            <w:pPr>
              <w:jc w:val="center"/>
              <w:rPr>
                <w:rFonts w:eastAsia="楷体_GB2312"/>
                <w:szCs w:val="21"/>
              </w:rPr>
            </w:pPr>
            <w:r>
              <w:rPr>
                <w:rFonts w:hint="eastAsia" w:eastAsia="楷体_GB2312"/>
                <w:szCs w:val="21"/>
              </w:rPr>
              <w:t>1020</w:t>
            </w:r>
          </w:p>
        </w:tc>
        <w:tc>
          <w:tcPr>
            <w:tcW w:w="0" w:type="auto"/>
            <w:noWrap w:val="0"/>
            <w:vAlign w:val="center"/>
          </w:tcPr>
          <w:p w14:paraId="58587C09">
            <w:pPr>
              <w:jc w:val="center"/>
              <w:rPr>
                <w:rFonts w:eastAsia="楷体_GB2312"/>
                <w:szCs w:val="21"/>
              </w:rPr>
            </w:pPr>
            <w:r>
              <w:rPr>
                <w:rFonts w:hint="eastAsia" w:eastAsia="楷体_GB2312"/>
                <w:szCs w:val="21"/>
              </w:rPr>
              <w:t>61</w:t>
            </w:r>
          </w:p>
        </w:tc>
      </w:tr>
      <w:tr w14:paraId="52609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vMerge w:val="continue"/>
            <w:noWrap w:val="0"/>
            <w:vAlign w:val="center"/>
          </w:tcPr>
          <w:p w14:paraId="29CCDDB1">
            <w:pPr>
              <w:tabs>
                <w:tab w:val="left" w:pos="0"/>
                <w:tab w:val="left" w:pos="295"/>
              </w:tabs>
              <w:jc w:val="center"/>
              <w:rPr>
                <w:rFonts w:eastAsia="楷体_GB2312"/>
                <w:szCs w:val="21"/>
              </w:rPr>
            </w:pPr>
          </w:p>
        </w:tc>
        <w:tc>
          <w:tcPr>
            <w:tcW w:w="1134" w:type="dxa"/>
            <w:vMerge w:val="continue"/>
            <w:noWrap w:val="0"/>
            <w:vAlign w:val="center"/>
          </w:tcPr>
          <w:p w14:paraId="7B611AFF">
            <w:pPr>
              <w:pStyle w:val="20"/>
              <w:tabs>
                <w:tab w:val="left" w:pos="0"/>
                <w:tab w:val="left" w:pos="295"/>
              </w:tabs>
              <w:jc w:val="center"/>
              <w:rPr>
                <w:rFonts w:ascii="Times New Roman" w:hAnsi="Times New Roman" w:eastAsia="楷体_GB2312" w:cs="Times New Roman"/>
              </w:rPr>
            </w:pPr>
          </w:p>
        </w:tc>
        <w:tc>
          <w:tcPr>
            <w:tcW w:w="567" w:type="dxa"/>
            <w:noWrap w:val="0"/>
            <w:vAlign w:val="center"/>
          </w:tcPr>
          <w:p w14:paraId="40553092">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hint="eastAsia" w:eastAsia="楷体_GB2312"/>
                <w:kern w:val="2"/>
                <w:szCs w:val="24"/>
              </w:rPr>
              <w:t>04</w:t>
            </w:r>
          </w:p>
        </w:tc>
        <w:tc>
          <w:tcPr>
            <w:tcW w:w="1765" w:type="dxa"/>
            <w:noWrap w:val="0"/>
            <w:vAlign w:val="center"/>
          </w:tcPr>
          <w:p w14:paraId="05C8BA68">
            <w:pPr>
              <w:spacing w:line="250" w:lineRule="atLeast"/>
              <w:jc w:val="center"/>
              <w:rPr>
                <w:rFonts w:eastAsia="楷体_GB2312"/>
                <w:kern w:val="0"/>
                <w:szCs w:val="21"/>
              </w:rPr>
            </w:pPr>
            <w:r>
              <w:rPr>
                <w:rFonts w:hint="eastAsia" w:eastAsia="楷体_GB2312"/>
                <w:kern w:val="0"/>
                <w:szCs w:val="21"/>
              </w:rPr>
              <w:t>大张小学</w:t>
            </w:r>
          </w:p>
        </w:tc>
        <w:tc>
          <w:tcPr>
            <w:tcW w:w="0" w:type="auto"/>
            <w:noWrap w:val="0"/>
            <w:vAlign w:val="center"/>
          </w:tcPr>
          <w:p w14:paraId="38125AA0">
            <w:pPr>
              <w:jc w:val="center"/>
              <w:rPr>
                <w:rFonts w:eastAsia="楷体_GB2312"/>
                <w:szCs w:val="21"/>
              </w:rPr>
            </w:pPr>
            <w:r>
              <w:rPr>
                <w:rFonts w:hint="eastAsia" w:eastAsia="楷体_GB2312"/>
                <w:szCs w:val="21"/>
              </w:rPr>
              <w:t>21</w:t>
            </w:r>
          </w:p>
        </w:tc>
        <w:tc>
          <w:tcPr>
            <w:tcW w:w="0" w:type="auto"/>
            <w:noWrap w:val="0"/>
            <w:vAlign w:val="center"/>
          </w:tcPr>
          <w:p w14:paraId="15902285">
            <w:pPr>
              <w:jc w:val="center"/>
              <w:rPr>
                <w:rFonts w:eastAsia="楷体_GB2312"/>
                <w:szCs w:val="21"/>
              </w:rPr>
            </w:pPr>
            <w:r>
              <w:rPr>
                <w:rFonts w:hint="eastAsia" w:eastAsia="楷体_GB2312"/>
                <w:szCs w:val="21"/>
              </w:rPr>
              <w:t>834</w:t>
            </w:r>
          </w:p>
        </w:tc>
        <w:tc>
          <w:tcPr>
            <w:tcW w:w="0" w:type="auto"/>
            <w:noWrap w:val="0"/>
            <w:vAlign w:val="center"/>
          </w:tcPr>
          <w:p w14:paraId="2771902D">
            <w:pPr>
              <w:jc w:val="center"/>
              <w:rPr>
                <w:rFonts w:eastAsia="楷体_GB2312"/>
                <w:szCs w:val="21"/>
              </w:rPr>
            </w:pPr>
            <w:r>
              <w:rPr>
                <w:rFonts w:hint="eastAsia" w:eastAsia="楷体_GB2312"/>
                <w:szCs w:val="21"/>
              </w:rPr>
              <w:t>28</w:t>
            </w:r>
          </w:p>
        </w:tc>
      </w:tr>
      <w:tr w14:paraId="61BCF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vMerge w:val="restart"/>
            <w:noWrap w:val="0"/>
            <w:vAlign w:val="center"/>
          </w:tcPr>
          <w:p w14:paraId="19D24EBC">
            <w:pPr>
              <w:tabs>
                <w:tab w:val="left" w:pos="0"/>
                <w:tab w:val="left" w:pos="295"/>
              </w:tabs>
              <w:jc w:val="center"/>
              <w:rPr>
                <w:rFonts w:eastAsia="楷体_GB2312"/>
                <w:szCs w:val="21"/>
              </w:rPr>
            </w:pPr>
            <w:r>
              <w:rPr>
                <w:rFonts w:eastAsia="楷体_GB2312"/>
                <w:szCs w:val="21"/>
              </w:rPr>
              <w:t>3</w:t>
            </w:r>
          </w:p>
        </w:tc>
        <w:tc>
          <w:tcPr>
            <w:tcW w:w="1134" w:type="dxa"/>
            <w:vMerge w:val="restart"/>
            <w:noWrap w:val="0"/>
            <w:vAlign w:val="center"/>
          </w:tcPr>
          <w:p w14:paraId="5EF0F2C5">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蕲县镇</w:t>
            </w:r>
          </w:p>
        </w:tc>
        <w:tc>
          <w:tcPr>
            <w:tcW w:w="567" w:type="dxa"/>
            <w:noWrap w:val="0"/>
            <w:vAlign w:val="center"/>
          </w:tcPr>
          <w:p w14:paraId="74793BCB">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1765" w:type="dxa"/>
            <w:noWrap w:val="0"/>
            <w:vAlign w:val="center"/>
          </w:tcPr>
          <w:p w14:paraId="21A09C40">
            <w:pPr>
              <w:spacing w:line="250" w:lineRule="atLeast"/>
              <w:jc w:val="center"/>
              <w:rPr>
                <w:rFonts w:eastAsia="楷体_GB2312"/>
                <w:szCs w:val="21"/>
              </w:rPr>
            </w:pPr>
            <w:r>
              <w:rPr>
                <w:rFonts w:hint="eastAsia" w:eastAsia="楷体_GB2312"/>
                <w:szCs w:val="21"/>
              </w:rPr>
              <w:t>祁县镇中心学校</w:t>
            </w:r>
          </w:p>
        </w:tc>
        <w:tc>
          <w:tcPr>
            <w:tcW w:w="0" w:type="auto"/>
            <w:noWrap w:val="0"/>
            <w:vAlign w:val="center"/>
          </w:tcPr>
          <w:p w14:paraId="0AE293E0">
            <w:pPr>
              <w:jc w:val="center"/>
              <w:rPr>
                <w:rFonts w:eastAsia="楷体_GB2312"/>
                <w:szCs w:val="21"/>
              </w:rPr>
            </w:pPr>
            <w:r>
              <w:rPr>
                <w:rFonts w:hint="eastAsia" w:eastAsia="楷体_GB2312"/>
                <w:szCs w:val="21"/>
              </w:rPr>
              <w:t>39</w:t>
            </w:r>
          </w:p>
        </w:tc>
        <w:tc>
          <w:tcPr>
            <w:tcW w:w="0" w:type="auto"/>
            <w:noWrap w:val="0"/>
            <w:vAlign w:val="center"/>
          </w:tcPr>
          <w:p w14:paraId="7659F70C">
            <w:pPr>
              <w:jc w:val="center"/>
              <w:rPr>
                <w:rFonts w:eastAsia="楷体_GB2312"/>
                <w:szCs w:val="21"/>
              </w:rPr>
            </w:pPr>
            <w:r>
              <w:rPr>
                <w:rFonts w:hint="eastAsia" w:eastAsia="楷体_GB2312"/>
                <w:szCs w:val="21"/>
              </w:rPr>
              <w:t>1970</w:t>
            </w:r>
          </w:p>
        </w:tc>
        <w:tc>
          <w:tcPr>
            <w:tcW w:w="0" w:type="auto"/>
            <w:noWrap w:val="0"/>
            <w:vAlign w:val="center"/>
          </w:tcPr>
          <w:p w14:paraId="3CD0031E">
            <w:pPr>
              <w:jc w:val="center"/>
              <w:rPr>
                <w:rFonts w:eastAsia="楷体_GB2312"/>
                <w:szCs w:val="21"/>
              </w:rPr>
            </w:pPr>
            <w:r>
              <w:rPr>
                <w:rFonts w:hint="eastAsia" w:eastAsia="楷体_GB2312"/>
                <w:szCs w:val="21"/>
              </w:rPr>
              <w:t>104</w:t>
            </w:r>
          </w:p>
        </w:tc>
      </w:tr>
      <w:tr w14:paraId="52543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vMerge w:val="continue"/>
            <w:noWrap w:val="0"/>
            <w:vAlign w:val="center"/>
          </w:tcPr>
          <w:p w14:paraId="470DFCE2">
            <w:pPr>
              <w:tabs>
                <w:tab w:val="left" w:pos="0"/>
                <w:tab w:val="left" w:pos="295"/>
              </w:tabs>
              <w:jc w:val="center"/>
              <w:rPr>
                <w:rFonts w:eastAsia="楷体_GB2312"/>
                <w:szCs w:val="21"/>
              </w:rPr>
            </w:pPr>
          </w:p>
        </w:tc>
        <w:tc>
          <w:tcPr>
            <w:tcW w:w="1134" w:type="dxa"/>
            <w:vMerge w:val="continue"/>
            <w:noWrap w:val="0"/>
            <w:vAlign w:val="center"/>
          </w:tcPr>
          <w:p w14:paraId="483E2590">
            <w:pPr>
              <w:pStyle w:val="20"/>
              <w:tabs>
                <w:tab w:val="left" w:pos="0"/>
                <w:tab w:val="left" w:pos="295"/>
              </w:tabs>
              <w:jc w:val="center"/>
              <w:rPr>
                <w:rFonts w:ascii="Times New Roman" w:hAnsi="Times New Roman" w:eastAsia="楷体_GB2312" w:cs="Times New Roman"/>
              </w:rPr>
            </w:pPr>
          </w:p>
        </w:tc>
        <w:tc>
          <w:tcPr>
            <w:tcW w:w="567" w:type="dxa"/>
            <w:noWrap w:val="0"/>
            <w:vAlign w:val="center"/>
          </w:tcPr>
          <w:p w14:paraId="4994558D">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hint="eastAsia" w:eastAsia="楷体_GB2312"/>
                <w:kern w:val="2"/>
                <w:szCs w:val="24"/>
              </w:rPr>
              <w:t>02</w:t>
            </w:r>
          </w:p>
        </w:tc>
        <w:tc>
          <w:tcPr>
            <w:tcW w:w="1765" w:type="dxa"/>
            <w:noWrap w:val="0"/>
            <w:vAlign w:val="center"/>
          </w:tcPr>
          <w:p w14:paraId="17B32E0D">
            <w:pPr>
              <w:spacing w:line="250" w:lineRule="atLeast"/>
              <w:jc w:val="center"/>
              <w:rPr>
                <w:rFonts w:eastAsia="楷体_GB2312"/>
                <w:szCs w:val="21"/>
              </w:rPr>
            </w:pPr>
            <w:r>
              <w:rPr>
                <w:rFonts w:hint="eastAsia" w:eastAsia="楷体_GB2312"/>
                <w:szCs w:val="21"/>
              </w:rPr>
              <w:t>祁南矿学校</w:t>
            </w:r>
          </w:p>
        </w:tc>
        <w:tc>
          <w:tcPr>
            <w:tcW w:w="0" w:type="auto"/>
            <w:noWrap w:val="0"/>
            <w:vAlign w:val="center"/>
          </w:tcPr>
          <w:p w14:paraId="6CD0132E">
            <w:pPr>
              <w:jc w:val="center"/>
              <w:rPr>
                <w:rFonts w:eastAsia="楷体_GB2312"/>
                <w:szCs w:val="21"/>
              </w:rPr>
            </w:pPr>
            <w:r>
              <w:rPr>
                <w:rFonts w:hint="eastAsia" w:eastAsia="楷体_GB2312"/>
                <w:szCs w:val="21"/>
              </w:rPr>
              <w:t>22</w:t>
            </w:r>
          </w:p>
        </w:tc>
        <w:tc>
          <w:tcPr>
            <w:tcW w:w="0" w:type="auto"/>
            <w:noWrap w:val="0"/>
            <w:vAlign w:val="center"/>
          </w:tcPr>
          <w:p w14:paraId="28E554EA">
            <w:pPr>
              <w:jc w:val="center"/>
              <w:rPr>
                <w:rFonts w:eastAsia="楷体_GB2312"/>
                <w:szCs w:val="21"/>
              </w:rPr>
            </w:pPr>
            <w:r>
              <w:rPr>
                <w:rFonts w:hint="eastAsia" w:eastAsia="楷体_GB2312"/>
                <w:szCs w:val="21"/>
              </w:rPr>
              <w:t>1075</w:t>
            </w:r>
          </w:p>
        </w:tc>
        <w:tc>
          <w:tcPr>
            <w:tcW w:w="0" w:type="auto"/>
            <w:noWrap w:val="0"/>
            <w:vAlign w:val="center"/>
          </w:tcPr>
          <w:p w14:paraId="78F4D6C1">
            <w:pPr>
              <w:jc w:val="center"/>
              <w:rPr>
                <w:rFonts w:eastAsia="楷体_GB2312"/>
                <w:szCs w:val="21"/>
              </w:rPr>
            </w:pPr>
            <w:r>
              <w:rPr>
                <w:rFonts w:hint="eastAsia" w:eastAsia="楷体_GB2312"/>
                <w:szCs w:val="21"/>
              </w:rPr>
              <w:t>66</w:t>
            </w:r>
          </w:p>
        </w:tc>
      </w:tr>
      <w:tr w14:paraId="0EB77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vMerge w:val="restart"/>
            <w:noWrap w:val="0"/>
            <w:vAlign w:val="center"/>
          </w:tcPr>
          <w:p w14:paraId="0D4A51CB">
            <w:pPr>
              <w:tabs>
                <w:tab w:val="left" w:pos="0"/>
                <w:tab w:val="left" w:pos="295"/>
              </w:tabs>
              <w:jc w:val="center"/>
              <w:rPr>
                <w:rFonts w:eastAsia="楷体_GB2312"/>
                <w:szCs w:val="21"/>
              </w:rPr>
            </w:pPr>
            <w:r>
              <w:rPr>
                <w:rFonts w:eastAsia="楷体_GB2312"/>
                <w:szCs w:val="21"/>
              </w:rPr>
              <w:t>4</w:t>
            </w:r>
          </w:p>
        </w:tc>
        <w:tc>
          <w:tcPr>
            <w:tcW w:w="1134" w:type="dxa"/>
            <w:vMerge w:val="restart"/>
            <w:noWrap w:val="0"/>
            <w:vAlign w:val="center"/>
          </w:tcPr>
          <w:p w14:paraId="52A59C5E">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芦岭镇</w:t>
            </w:r>
          </w:p>
        </w:tc>
        <w:tc>
          <w:tcPr>
            <w:tcW w:w="567" w:type="dxa"/>
            <w:noWrap w:val="0"/>
            <w:vAlign w:val="center"/>
          </w:tcPr>
          <w:p w14:paraId="5922C02B">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1765" w:type="dxa"/>
            <w:noWrap w:val="0"/>
            <w:vAlign w:val="center"/>
          </w:tcPr>
          <w:p w14:paraId="6AB8748C">
            <w:pPr>
              <w:spacing w:line="250" w:lineRule="atLeast"/>
              <w:jc w:val="center"/>
              <w:rPr>
                <w:rFonts w:eastAsia="楷体_GB2312"/>
                <w:szCs w:val="21"/>
              </w:rPr>
            </w:pPr>
            <w:r>
              <w:rPr>
                <w:rFonts w:hint="eastAsia" w:eastAsia="楷体_GB2312"/>
                <w:szCs w:val="21"/>
              </w:rPr>
              <w:t>芦岭矿小学</w:t>
            </w:r>
          </w:p>
        </w:tc>
        <w:tc>
          <w:tcPr>
            <w:tcW w:w="0" w:type="auto"/>
            <w:noWrap w:val="0"/>
            <w:vAlign w:val="center"/>
          </w:tcPr>
          <w:p w14:paraId="353EA15D">
            <w:pPr>
              <w:jc w:val="center"/>
              <w:rPr>
                <w:rFonts w:eastAsia="楷体_GB2312"/>
                <w:szCs w:val="21"/>
              </w:rPr>
            </w:pPr>
            <w:r>
              <w:rPr>
                <w:rFonts w:hint="eastAsia" w:eastAsia="楷体_GB2312"/>
                <w:szCs w:val="21"/>
              </w:rPr>
              <w:t>43</w:t>
            </w:r>
          </w:p>
        </w:tc>
        <w:tc>
          <w:tcPr>
            <w:tcW w:w="0" w:type="auto"/>
            <w:noWrap w:val="0"/>
            <w:vAlign w:val="center"/>
          </w:tcPr>
          <w:p w14:paraId="4B1CE046">
            <w:pPr>
              <w:jc w:val="center"/>
              <w:rPr>
                <w:rFonts w:eastAsia="楷体_GB2312"/>
                <w:szCs w:val="21"/>
              </w:rPr>
            </w:pPr>
            <w:r>
              <w:rPr>
                <w:rFonts w:hint="eastAsia" w:eastAsia="楷体_GB2312"/>
                <w:szCs w:val="21"/>
              </w:rPr>
              <w:t>2048</w:t>
            </w:r>
          </w:p>
        </w:tc>
        <w:tc>
          <w:tcPr>
            <w:tcW w:w="0" w:type="auto"/>
            <w:noWrap w:val="0"/>
            <w:vAlign w:val="center"/>
          </w:tcPr>
          <w:p w14:paraId="0EABF0D5">
            <w:pPr>
              <w:jc w:val="center"/>
              <w:rPr>
                <w:rFonts w:eastAsia="楷体_GB2312"/>
                <w:szCs w:val="21"/>
              </w:rPr>
            </w:pPr>
            <w:r>
              <w:rPr>
                <w:rFonts w:hint="eastAsia" w:eastAsia="楷体_GB2312"/>
                <w:szCs w:val="21"/>
              </w:rPr>
              <w:t>88</w:t>
            </w:r>
          </w:p>
        </w:tc>
      </w:tr>
      <w:tr w14:paraId="0679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vMerge w:val="continue"/>
            <w:noWrap w:val="0"/>
            <w:vAlign w:val="center"/>
          </w:tcPr>
          <w:p w14:paraId="449AB8C3">
            <w:pPr>
              <w:tabs>
                <w:tab w:val="left" w:pos="0"/>
                <w:tab w:val="left" w:pos="295"/>
              </w:tabs>
              <w:jc w:val="center"/>
              <w:rPr>
                <w:rFonts w:eastAsia="楷体_GB2312"/>
                <w:szCs w:val="21"/>
              </w:rPr>
            </w:pPr>
          </w:p>
        </w:tc>
        <w:tc>
          <w:tcPr>
            <w:tcW w:w="1134" w:type="dxa"/>
            <w:vMerge w:val="continue"/>
            <w:noWrap w:val="0"/>
            <w:vAlign w:val="center"/>
          </w:tcPr>
          <w:p w14:paraId="3488CAE1">
            <w:pPr>
              <w:pStyle w:val="20"/>
              <w:tabs>
                <w:tab w:val="left" w:pos="0"/>
                <w:tab w:val="left" w:pos="295"/>
              </w:tabs>
              <w:jc w:val="center"/>
              <w:rPr>
                <w:rFonts w:ascii="Times New Roman" w:hAnsi="Times New Roman" w:eastAsia="楷体_GB2312" w:cs="Times New Roman"/>
              </w:rPr>
            </w:pPr>
          </w:p>
        </w:tc>
        <w:tc>
          <w:tcPr>
            <w:tcW w:w="567" w:type="dxa"/>
            <w:noWrap w:val="0"/>
            <w:vAlign w:val="center"/>
          </w:tcPr>
          <w:p w14:paraId="706778C2">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hint="eastAsia" w:eastAsia="楷体_GB2312"/>
                <w:kern w:val="2"/>
                <w:szCs w:val="24"/>
              </w:rPr>
              <w:t>02</w:t>
            </w:r>
          </w:p>
        </w:tc>
        <w:tc>
          <w:tcPr>
            <w:tcW w:w="1765" w:type="dxa"/>
            <w:noWrap w:val="0"/>
            <w:vAlign w:val="center"/>
          </w:tcPr>
          <w:p w14:paraId="78C903EE">
            <w:pPr>
              <w:spacing w:line="250" w:lineRule="atLeast"/>
              <w:jc w:val="center"/>
              <w:rPr>
                <w:rFonts w:eastAsia="楷体_GB2312"/>
                <w:szCs w:val="21"/>
              </w:rPr>
            </w:pPr>
            <w:r>
              <w:rPr>
                <w:rFonts w:hint="eastAsia" w:eastAsia="楷体_GB2312"/>
                <w:szCs w:val="21"/>
              </w:rPr>
              <w:t>芦岭镇中心小学</w:t>
            </w:r>
          </w:p>
        </w:tc>
        <w:tc>
          <w:tcPr>
            <w:tcW w:w="0" w:type="auto"/>
            <w:noWrap w:val="0"/>
            <w:vAlign w:val="center"/>
          </w:tcPr>
          <w:p w14:paraId="75EF8D42">
            <w:pPr>
              <w:jc w:val="center"/>
              <w:rPr>
                <w:rFonts w:eastAsia="楷体_GB2312"/>
                <w:szCs w:val="21"/>
              </w:rPr>
            </w:pPr>
            <w:r>
              <w:rPr>
                <w:rFonts w:hint="eastAsia" w:eastAsia="楷体_GB2312"/>
                <w:szCs w:val="21"/>
              </w:rPr>
              <w:t>33</w:t>
            </w:r>
          </w:p>
        </w:tc>
        <w:tc>
          <w:tcPr>
            <w:tcW w:w="0" w:type="auto"/>
            <w:noWrap w:val="0"/>
            <w:vAlign w:val="center"/>
          </w:tcPr>
          <w:p w14:paraId="565D9115">
            <w:pPr>
              <w:jc w:val="center"/>
              <w:rPr>
                <w:rFonts w:eastAsia="楷体_GB2312"/>
                <w:szCs w:val="21"/>
              </w:rPr>
            </w:pPr>
            <w:r>
              <w:rPr>
                <w:rFonts w:hint="eastAsia" w:eastAsia="楷体_GB2312"/>
                <w:szCs w:val="21"/>
              </w:rPr>
              <w:t>1427</w:t>
            </w:r>
          </w:p>
        </w:tc>
        <w:tc>
          <w:tcPr>
            <w:tcW w:w="0" w:type="auto"/>
            <w:noWrap w:val="0"/>
            <w:vAlign w:val="center"/>
          </w:tcPr>
          <w:p w14:paraId="4CBAB0EE">
            <w:pPr>
              <w:jc w:val="center"/>
              <w:rPr>
                <w:rFonts w:eastAsia="楷体_GB2312"/>
                <w:szCs w:val="21"/>
              </w:rPr>
            </w:pPr>
            <w:r>
              <w:rPr>
                <w:rFonts w:hint="eastAsia" w:eastAsia="楷体_GB2312"/>
                <w:szCs w:val="21"/>
              </w:rPr>
              <w:t>72</w:t>
            </w:r>
          </w:p>
        </w:tc>
      </w:tr>
      <w:tr w14:paraId="3DD6C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vMerge w:val="continue"/>
            <w:noWrap w:val="0"/>
            <w:vAlign w:val="center"/>
          </w:tcPr>
          <w:p w14:paraId="48A19902">
            <w:pPr>
              <w:tabs>
                <w:tab w:val="left" w:pos="0"/>
                <w:tab w:val="left" w:pos="295"/>
              </w:tabs>
              <w:jc w:val="center"/>
              <w:rPr>
                <w:rFonts w:eastAsia="楷体_GB2312"/>
                <w:szCs w:val="21"/>
              </w:rPr>
            </w:pPr>
          </w:p>
        </w:tc>
        <w:tc>
          <w:tcPr>
            <w:tcW w:w="1134" w:type="dxa"/>
            <w:vMerge w:val="continue"/>
            <w:noWrap w:val="0"/>
            <w:vAlign w:val="center"/>
          </w:tcPr>
          <w:p w14:paraId="0692C152">
            <w:pPr>
              <w:pStyle w:val="20"/>
              <w:tabs>
                <w:tab w:val="left" w:pos="0"/>
                <w:tab w:val="left" w:pos="295"/>
              </w:tabs>
              <w:jc w:val="center"/>
              <w:rPr>
                <w:rFonts w:ascii="Times New Roman" w:hAnsi="Times New Roman" w:eastAsia="楷体_GB2312" w:cs="Times New Roman"/>
              </w:rPr>
            </w:pPr>
          </w:p>
        </w:tc>
        <w:tc>
          <w:tcPr>
            <w:tcW w:w="567" w:type="dxa"/>
            <w:noWrap w:val="0"/>
            <w:vAlign w:val="center"/>
          </w:tcPr>
          <w:p w14:paraId="301FE555">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hint="eastAsia" w:eastAsia="楷体_GB2312"/>
                <w:kern w:val="2"/>
                <w:szCs w:val="24"/>
              </w:rPr>
              <w:t>03</w:t>
            </w:r>
          </w:p>
        </w:tc>
        <w:tc>
          <w:tcPr>
            <w:tcW w:w="1765" w:type="dxa"/>
            <w:noWrap w:val="0"/>
            <w:vAlign w:val="center"/>
          </w:tcPr>
          <w:p w14:paraId="4150E634">
            <w:pPr>
              <w:spacing w:line="250" w:lineRule="atLeast"/>
              <w:jc w:val="center"/>
              <w:rPr>
                <w:rFonts w:eastAsia="楷体_GB2312"/>
                <w:szCs w:val="21"/>
              </w:rPr>
            </w:pPr>
            <w:r>
              <w:rPr>
                <w:rFonts w:hint="eastAsia" w:eastAsia="楷体_GB2312"/>
                <w:szCs w:val="21"/>
              </w:rPr>
              <w:t>王老庄小学</w:t>
            </w:r>
          </w:p>
        </w:tc>
        <w:tc>
          <w:tcPr>
            <w:tcW w:w="0" w:type="auto"/>
            <w:noWrap w:val="0"/>
            <w:vAlign w:val="center"/>
          </w:tcPr>
          <w:p w14:paraId="45F53175">
            <w:pPr>
              <w:jc w:val="center"/>
              <w:rPr>
                <w:rFonts w:eastAsia="楷体_GB2312"/>
                <w:szCs w:val="21"/>
              </w:rPr>
            </w:pPr>
            <w:r>
              <w:rPr>
                <w:rFonts w:hint="eastAsia" w:eastAsia="楷体_GB2312"/>
                <w:szCs w:val="21"/>
              </w:rPr>
              <w:t>2</w:t>
            </w:r>
          </w:p>
        </w:tc>
        <w:tc>
          <w:tcPr>
            <w:tcW w:w="0" w:type="auto"/>
            <w:noWrap w:val="0"/>
            <w:vAlign w:val="center"/>
          </w:tcPr>
          <w:p w14:paraId="3BF83CAD">
            <w:pPr>
              <w:jc w:val="center"/>
              <w:rPr>
                <w:rFonts w:eastAsia="楷体_GB2312"/>
                <w:szCs w:val="21"/>
              </w:rPr>
            </w:pPr>
            <w:r>
              <w:rPr>
                <w:rFonts w:hint="eastAsia" w:eastAsia="楷体_GB2312"/>
                <w:szCs w:val="21"/>
              </w:rPr>
              <w:t>12</w:t>
            </w:r>
          </w:p>
        </w:tc>
        <w:tc>
          <w:tcPr>
            <w:tcW w:w="0" w:type="auto"/>
            <w:noWrap w:val="0"/>
            <w:vAlign w:val="center"/>
          </w:tcPr>
          <w:p w14:paraId="536006F8">
            <w:pPr>
              <w:jc w:val="center"/>
              <w:rPr>
                <w:rFonts w:eastAsia="楷体_GB2312"/>
                <w:szCs w:val="21"/>
              </w:rPr>
            </w:pPr>
            <w:r>
              <w:rPr>
                <w:rFonts w:hint="eastAsia" w:eastAsia="楷体_GB2312"/>
                <w:szCs w:val="21"/>
              </w:rPr>
              <w:t>4</w:t>
            </w:r>
          </w:p>
        </w:tc>
      </w:tr>
      <w:tr w14:paraId="1EAA6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noWrap w:val="0"/>
            <w:vAlign w:val="center"/>
          </w:tcPr>
          <w:p w14:paraId="799391ED">
            <w:pPr>
              <w:tabs>
                <w:tab w:val="left" w:pos="0"/>
                <w:tab w:val="left" w:pos="295"/>
              </w:tabs>
              <w:jc w:val="center"/>
              <w:rPr>
                <w:rFonts w:eastAsia="楷体_GB2312"/>
                <w:szCs w:val="21"/>
              </w:rPr>
            </w:pPr>
            <w:r>
              <w:rPr>
                <w:rFonts w:eastAsia="楷体_GB2312"/>
                <w:szCs w:val="21"/>
              </w:rPr>
              <w:t>5</w:t>
            </w:r>
          </w:p>
        </w:tc>
        <w:tc>
          <w:tcPr>
            <w:tcW w:w="1134" w:type="dxa"/>
            <w:noWrap w:val="0"/>
            <w:vAlign w:val="center"/>
          </w:tcPr>
          <w:p w14:paraId="5CFFE3AD">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大店镇</w:t>
            </w:r>
          </w:p>
        </w:tc>
        <w:tc>
          <w:tcPr>
            <w:tcW w:w="567" w:type="dxa"/>
            <w:noWrap w:val="0"/>
            <w:vAlign w:val="center"/>
          </w:tcPr>
          <w:p w14:paraId="3073DB5D">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1765" w:type="dxa"/>
            <w:noWrap w:val="0"/>
            <w:vAlign w:val="center"/>
          </w:tcPr>
          <w:p w14:paraId="75C44A23">
            <w:pPr>
              <w:spacing w:line="250" w:lineRule="atLeast"/>
              <w:jc w:val="center"/>
              <w:rPr>
                <w:rFonts w:eastAsia="楷体_GB2312"/>
                <w:szCs w:val="21"/>
              </w:rPr>
            </w:pPr>
            <w:r>
              <w:rPr>
                <w:rFonts w:hint="eastAsia" w:eastAsia="楷体_GB2312"/>
                <w:szCs w:val="21"/>
              </w:rPr>
              <w:t>大店镇中心学校</w:t>
            </w:r>
          </w:p>
        </w:tc>
        <w:tc>
          <w:tcPr>
            <w:tcW w:w="0" w:type="auto"/>
            <w:noWrap w:val="0"/>
            <w:vAlign w:val="center"/>
          </w:tcPr>
          <w:p w14:paraId="5BF5EBEF">
            <w:pPr>
              <w:jc w:val="center"/>
              <w:rPr>
                <w:rFonts w:eastAsia="楷体_GB2312"/>
                <w:szCs w:val="21"/>
              </w:rPr>
            </w:pPr>
            <w:r>
              <w:rPr>
                <w:rFonts w:hint="eastAsia" w:eastAsia="楷体_GB2312"/>
                <w:szCs w:val="21"/>
              </w:rPr>
              <w:t>40</w:t>
            </w:r>
          </w:p>
        </w:tc>
        <w:tc>
          <w:tcPr>
            <w:tcW w:w="0" w:type="auto"/>
            <w:noWrap w:val="0"/>
            <w:vAlign w:val="center"/>
          </w:tcPr>
          <w:p w14:paraId="1ACEFFC8">
            <w:pPr>
              <w:jc w:val="center"/>
              <w:rPr>
                <w:rFonts w:eastAsia="楷体_GB2312"/>
                <w:szCs w:val="21"/>
              </w:rPr>
            </w:pPr>
            <w:r>
              <w:rPr>
                <w:rFonts w:hint="eastAsia" w:eastAsia="楷体_GB2312"/>
                <w:szCs w:val="21"/>
              </w:rPr>
              <w:t>1698</w:t>
            </w:r>
          </w:p>
        </w:tc>
        <w:tc>
          <w:tcPr>
            <w:tcW w:w="0" w:type="auto"/>
            <w:noWrap w:val="0"/>
            <w:vAlign w:val="center"/>
          </w:tcPr>
          <w:p w14:paraId="425DE3FF">
            <w:pPr>
              <w:jc w:val="center"/>
              <w:rPr>
                <w:rFonts w:eastAsia="楷体_GB2312"/>
                <w:szCs w:val="21"/>
              </w:rPr>
            </w:pPr>
            <w:r>
              <w:rPr>
                <w:rFonts w:hint="eastAsia" w:eastAsia="楷体_GB2312"/>
                <w:szCs w:val="21"/>
              </w:rPr>
              <w:t>74</w:t>
            </w:r>
          </w:p>
        </w:tc>
      </w:tr>
      <w:tr w14:paraId="4539C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noWrap w:val="0"/>
            <w:vAlign w:val="center"/>
          </w:tcPr>
          <w:p w14:paraId="55918FD0">
            <w:pPr>
              <w:tabs>
                <w:tab w:val="left" w:pos="0"/>
                <w:tab w:val="left" w:pos="295"/>
              </w:tabs>
              <w:jc w:val="center"/>
              <w:rPr>
                <w:rFonts w:eastAsia="楷体_GB2312"/>
                <w:szCs w:val="21"/>
              </w:rPr>
            </w:pPr>
            <w:r>
              <w:rPr>
                <w:rFonts w:eastAsia="楷体_GB2312"/>
                <w:szCs w:val="21"/>
              </w:rPr>
              <w:t>6</w:t>
            </w:r>
          </w:p>
        </w:tc>
        <w:tc>
          <w:tcPr>
            <w:tcW w:w="1134" w:type="dxa"/>
            <w:noWrap w:val="0"/>
            <w:vAlign w:val="center"/>
          </w:tcPr>
          <w:p w14:paraId="41D3A00F">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栏杆镇</w:t>
            </w:r>
          </w:p>
        </w:tc>
        <w:tc>
          <w:tcPr>
            <w:tcW w:w="567" w:type="dxa"/>
            <w:noWrap w:val="0"/>
            <w:vAlign w:val="center"/>
          </w:tcPr>
          <w:p w14:paraId="5DF7E259">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1765" w:type="dxa"/>
            <w:noWrap w:val="0"/>
            <w:vAlign w:val="center"/>
          </w:tcPr>
          <w:p w14:paraId="5EE75253">
            <w:pPr>
              <w:spacing w:line="250" w:lineRule="atLeast"/>
              <w:jc w:val="center"/>
              <w:rPr>
                <w:rFonts w:eastAsia="楷体_GB2312"/>
                <w:szCs w:val="21"/>
              </w:rPr>
            </w:pPr>
            <w:r>
              <w:rPr>
                <w:rFonts w:hint="eastAsia" w:eastAsia="楷体_GB2312"/>
                <w:szCs w:val="21"/>
              </w:rPr>
              <w:t>栏杆中心小学</w:t>
            </w:r>
          </w:p>
        </w:tc>
        <w:tc>
          <w:tcPr>
            <w:tcW w:w="0" w:type="auto"/>
            <w:noWrap w:val="0"/>
            <w:vAlign w:val="center"/>
          </w:tcPr>
          <w:p w14:paraId="7BC97DEF">
            <w:pPr>
              <w:jc w:val="center"/>
              <w:rPr>
                <w:rFonts w:eastAsia="楷体_GB2312"/>
                <w:szCs w:val="21"/>
              </w:rPr>
            </w:pPr>
            <w:r>
              <w:rPr>
                <w:rFonts w:hint="eastAsia" w:eastAsia="楷体_GB2312"/>
                <w:szCs w:val="21"/>
              </w:rPr>
              <w:t>33</w:t>
            </w:r>
          </w:p>
        </w:tc>
        <w:tc>
          <w:tcPr>
            <w:tcW w:w="0" w:type="auto"/>
            <w:noWrap w:val="0"/>
            <w:vAlign w:val="center"/>
          </w:tcPr>
          <w:p w14:paraId="2C4D6D8D">
            <w:pPr>
              <w:jc w:val="center"/>
              <w:rPr>
                <w:rFonts w:eastAsia="楷体_GB2312"/>
                <w:szCs w:val="21"/>
              </w:rPr>
            </w:pPr>
            <w:r>
              <w:rPr>
                <w:rFonts w:hint="eastAsia" w:eastAsia="楷体_GB2312"/>
                <w:szCs w:val="21"/>
              </w:rPr>
              <w:t>1591</w:t>
            </w:r>
          </w:p>
        </w:tc>
        <w:tc>
          <w:tcPr>
            <w:tcW w:w="0" w:type="auto"/>
            <w:noWrap w:val="0"/>
            <w:vAlign w:val="center"/>
          </w:tcPr>
          <w:p w14:paraId="2421C0C0">
            <w:pPr>
              <w:jc w:val="center"/>
              <w:rPr>
                <w:rFonts w:eastAsia="楷体_GB2312"/>
                <w:szCs w:val="21"/>
              </w:rPr>
            </w:pPr>
            <w:r>
              <w:rPr>
                <w:rFonts w:hint="eastAsia" w:eastAsia="楷体_GB2312"/>
                <w:szCs w:val="21"/>
              </w:rPr>
              <w:t>63</w:t>
            </w:r>
          </w:p>
        </w:tc>
      </w:tr>
      <w:tr w14:paraId="15D73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vMerge w:val="restart"/>
            <w:noWrap w:val="0"/>
            <w:vAlign w:val="center"/>
          </w:tcPr>
          <w:p w14:paraId="5D100462">
            <w:pPr>
              <w:tabs>
                <w:tab w:val="left" w:pos="0"/>
                <w:tab w:val="left" w:pos="295"/>
              </w:tabs>
              <w:jc w:val="center"/>
              <w:rPr>
                <w:rFonts w:eastAsia="楷体_GB2312"/>
                <w:szCs w:val="21"/>
              </w:rPr>
            </w:pPr>
            <w:r>
              <w:rPr>
                <w:rFonts w:eastAsia="楷体_GB2312"/>
                <w:szCs w:val="21"/>
              </w:rPr>
              <w:t>7</w:t>
            </w:r>
          </w:p>
        </w:tc>
        <w:tc>
          <w:tcPr>
            <w:tcW w:w="1134" w:type="dxa"/>
            <w:vMerge w:val="restart"/>
            <w:noWrap w:val="0"/>
            <w:vAlign w:val="center"/>
          </w:tcPr>
          <w:p w14:paraId="45E14A81">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时村镇</w:t>
            </w:r>
          </w:p>
        </w:tc>
        <w:tc>
          <w:tcPr>
            <w:tcW w:w="567" w:type="dxa"/>
            <w:noWrap w:val="0"/>
            <w:vAlign w:val="center"/>
          </w:tcPr>
          <w:p w14:paraId="7B7C295F">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1765" w:type="dxa"/>
            <w:noWrap w:val="0"/>
            <w:vAlign w:val="center"/>
          </w:tcPr>
          <w:p w14:paraId="1184263C">
            <w:pPr>
              <w:spacing w:line="250" w:lineRule="atLeast"/>
              <w:jc w:val="center"/>
              <w:rPr>
                <w:rFonts w:eastAsia="楷体_GB2312"/>
                <w:szCs w:val="21"/>
              </w:rPr>
            </w:pPr>
            <w:r>
              <w:rPr>
                <w:rFonts w:hint="eastAsia" w:eastAsia="楷体_GB2312"/>
                <w:szCs w:val="21"/>
              </w:rPr>
              <w:t>时村镇中心学校</w:t>
            </w:r>
          </w:p>
        </w:tc>
        <w:tc>
          <w:tcPr>
            <w:tcW w:w="0" w:type="auto"/>
            <w:noWrap w:val="0"/>
            <w:vAlign w:val="center"/>
          </w:tcPr>
          <w:p w14:paraId="257DD51D">
            <w:pPr>
              <w:jc w:val="center"/>
              <w:rPr>
                <w:rFonts w:eastAsia="楷体_GB2312"/>
                <w:szCs w:val="21"/>
              </w:rPr>
            </w:pPr>
            <w:r>
              <w:rPr>
                <w:rFonts w:hint="eastAsia" w:eastAsia="楷体_GB2312"/>
                <w:szCs w:val="21"/>
              </w:rPr>
              <w:t>38</w:t>
            </w:r>
          </w:p>
        </w:tc>
        <w:tc>
          <w:tcPr>
            <w:tcW w:w="0" w:type="auto"/>
            <w:noWrap w:val="0"/>
            <w:vAlign w:val="center"/>
          </w:tcPr>
          <w:p w14:paraId="26D15B4D">
            <w:pPr>
              <w:jc w:val="center"/>
              <w:rPr>
                <w:rFonts w:eastAsia="楷体_GB2312"/>
                <w:szCs w:val="21"/>
              </w:rPr>
            </w:pPr>
            <w:r>
              <w:rPr>
                <w:rFonts w:hint="eastAsia" w:eastAsia="楷体_GB2312"/>
                <w:szCs w:val="21"/>
              </w:rPr>
              <w:t>1828</w:t>
            </w:r>
          </w:p>
        </w:tc>
        <w:tc>
          <w:tcPr>
            <w:tcW w:w="0" w:type="auto"/>
            <w:noWrap w:val="0"/>
            <w:vAlign w:val="center"/>
          </w:tcPr>
          <w:p w14:paraId="38089AA4">
            <w:pPr>
              <w:jc w:val="center"/>
              <w:rPr>
                <w:rFonts w:eastAsia="楷体_GB2312"/>
                <w:szCs w:val="21"/>
              </w:rPr>
            </w:pPr>
            <w:r>
              <w:rPr>
                <w:rFonts w:hint="eastAsia" w:eastAsia="楷体_GB2312"/>
                <w:szCs w:val="21"/>
              </w:rPr>
              <w:t>102</w:t>
            </w:r>
          </w:p>
        </w:tc>
      </w:tr>
      <w:tr w14:paraId="1DE41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vMerge w:val="continue"/>
            <w:noWrap w:val="0"/>
            <w:vAlign w:val="center"/>
          </w:tcPr>
          <w:p w14:paraId="35892649">
            <w:pPr>
              <w:tabs>
                <w:tab w:val="left" w:pos="0"/>
                <w:tab w:val="left" w:pos="295"/>
              </w:tabs>
              <w:jc w:val="center"/>
              <w:rPr>
                <w:rFonts w:eastAsia="楷体_GB2312"/>
                <w:szCs w:val="21"/>
              </w:rPr>
            </w:pPr>
          </w:p>
        </w:tc>
        <w:tc>
          <w:tcPr>
            <w:tcW w:w="1134" w:type="dxa"/>
            <w:vMerge w:val="continue"/>
            <w:noWrap w:val="0"/>
            <w:vAlign w:val="center"/>
          </w:tcPr>
          <w:p w14:paraId="7AEC93EF">
            <w:pPr>
              <w:pStyle w:val="20"/>
              <w:tabs>
                <w:tab w:val="left" w:pos="0"/>
                <w:tab w:val="left" w:pos="295"/>
              </w:tabs>
              <w:jc w:val="center"/>
              <w:rPr>
                <w:rFonts w:ascii="Times New Roman" w:hAnsi="Times New Roman" w:eastAsia="楷体_GB2312" w:cs="Times New Roman"/>
              </w:rPr>
            </w:pPr>
          </w:p>
        </w:tc>
        <w:tc>
          <w:tcPr>
            <w:tcW w:w="567" w:type="dxa"/>
            <w:noWrap w:val="0"/>
            <w:vAlign w:val="center"/>
          </w:tcPr>
          <w:p w14:paraId="4767815D">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hint="eastAsia" w:eastAsia="楷体_GB2312"/>
                <w:kern w:val="2"/>
                <w:szCs w:val="24"/>
              </w:rPr>
              <w:t>02</w:t>
            </w:r>
          </w:p>
        </w:tc>
        <w:tc>
          <w:tcPr>
            <w:tcW w:w="1765" w:type="dxa"/>
            <w:noWrap w:val="0"/>
            <w:vAlign w:val="center"/>
          </w:tcPr>
          <w:p w14:paraId="6C1EA470">
            <w:pPr>
              <w:spacing w:line="250" w:lineRule="atLeast"/>
              <w:jc w:val="center"/>
              <w:rPr>
                <w:rFonts w:hint="eastAsia" w:eastAsia="楷体_GB2312"/>
                <w:szCs w:val="21"/>
              </w:rPr>
            </w:pPr>
            <w:r>
              <w:rPr>
                <w:rFonts w:hint="eastAsia" w:eastAsia="楷体_GB2312"/>
                <w:szCs w:val="21"/>
              </w:rPr>
              <w:t>时村镇第二小学</w:t>
            </w:r>
          </w:p>
        </w:tc>
        <w:tc>
          <w:tcPr>
            <w:tcW w:w="0" w:type="auto"/>
            <w:noWrap w:val="0"/>
            <w:vAlign w:val="center"/>
          </w:tcPr>
          <w:p w14:paraId="4905A9BB">
            <w:pPr>
              <w:jc w:val="center"/>
              <w:rPr>
                <w:rFonts w:eastAsia="楷体_GB2312"/>
                <w:szCs w:val="21"/>
              </w:rPr>
            </w:pPr>
            <w:r>
              <w:rPr>
                <w:rFonts w:hint="eastAsia" w:eastAsia="楷体_GB2312"/>
                <w:szCs w:val="21"/>
              </w:rPr>
              <w:t>22</w:t>
            </w:r>
          </w:p>
        </w:tc>
        <w:tc>
          <w:tcPr>
            <w:tcW w:w="0" w:type="auto"/>
            <w:noWrap w:val="0"/>
            <w:vAlign w:val="center"/>
          </w:tcPr>
          <w:p w14:paraId="70C497D2">
            <w:pPr>
              <w:jc w:val="center"/>
              <w:rPr>
                <w:rFonts w:eastAsia="楷体_GB2312"/>
                <w:szCs w:val="21"/>
              </w:rPr>
            </w:pPr>
            <w:r>
              <w:rPr>
                <w:rFonts w:hint="eastAsia" w:eastAsia="楷体_GB2312"/>
                <w:szCs w:val="21"/>
              </w:rPr>
              <w:t>923</w:t>
            </w:r>
          </w:p>
        </w:tc>
        <w:tc>
          <w:tcPr>
            <w:tcW w:w="0" w:type="auto"/>
            <w:noWrap w:val="0"/>
            <w:vAlign w:val="center"/>
          </w:tcPr>
          <w:p w14:paraId="35D446D0">
            <w:pPr>
              <w:jc w:val="center"/>
              <w:rPr>
                <w:rFonts w:eastAsia="楷体_GB2312"/>
                <w:szCs w:val="21"/>
              </w:rPr>
            </w:pPr>
            <w:r>
              <w:rPr>
                <w:rFonts w:hint="eastAsia" w:eastAsia="楷体_GB2312"/>
                <w:szCs w:val="21"/>
              </w:rPr>
              <w:t>41</w:t>
            </w:r>
          </w:p>
        </w:tc>
      </w:tr>
      <w:tr w14:paraId="35EDB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noWrap w:val="0"/>
            <w:vAlign w:val="center"/>
          </w:tcPr>
          <w:p w14:paraId="38447265">
            <w:pPr>
              <w:tabs>
                <w:tab w:val="left" w:pos="0"/>
                <w:tab w:val="left" w:pos="295"/>
              </w:tabs>
              <w:jc w:val="center"/>
              <w:rPr>
                <w:rFonts w:eastAsia="楷体_GB2312"/>
                <w:szCs w:val="21"/>
              </w:rPr>
            </w:pPr>
            <w:r>
              <w:rPr>
                <w:rFonts w:eastAsia="楷体_GB2312"/>
                <w:szCs w:val="21"/>
              </w:rPr>
              <w:t>8</w:t>
            </w:r>
          </w:p>
        </w:tc>
        <w:tc>
          <w:tcPr>
            <w:tcW w:w="1134" w:type="dxa"/>
            <w:noWrap w:val="0"/>
            <w:vAlign w:val="center"/>
          </w:tcPr>
          <w:p w14:paraId="48492920">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夹沟镇</w:t>
            </w:r>
          </w:p>
        </w:tc>
        <w:tc>
          <w:tcPr>
            <w:tcW w:w="567" w:type="dxa"/>
            <w:noWrap w:val="0"/>
            <w:vAlign w:val="center"/>
          </w:tcPr>
          <w:p w14:paraId="33741C2B">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1765" w:type="dxa"/>
            <w:noWrap w:val="0"/>
            <w:vAlign w:val="center"/>
          </w:tcPr>
          <w:p w14:paraId="64848433">
            <w:pPr>
              <w:spacing w:line="250" w:lineRule="atLeast"/>
              <w:jc w:val="center"/>
              <w:rPr>
                <w:rFonts w:eastAsia="楷体_GB2312"/>
                <w:szCs w:val="21"/>
              </w:rPr>
            </w:pPr>
            <w:r>
              <w:rPr>
                <w:rFonts w:hint="eastAsia" w:eastAsia="楷体_GB2312"/>
                <w:szCs w:val="21"/>
              </w:rPr>
              <w:t>夹沟镇中心小学</w:t>
            </w:r>
          </w:p>
        </w:tc>
        <w:tc>
          <w:tcPr>
            <w:tcW w:w="0" w:type="auto"/>
            <w:noWrap w:val="0"/>
            <w:vAlign w:val="center"/>
          </w:tcPr>
          <w:p w14:paraId="726724AE">
            <w:pPr>
              <w:jc w:val="center"/>
              <w:rPr>
                <w:rFonts w:eastAsia="楷体_GB2312"/>
                <w:szCs w:val="21"/>
              </w:rPr>
            </w:pPr>
            <w:r>
              <w:rPr>
                <w:rFonts w:hint="eastAsia" w:eastAsia="楷体_GB2312"/>
                <w:szCs w:val="21"/>
              </w:rPr>
              <w:t>28</w:t>
            </w:r>
          </w:p>
        </w:tc>
        <w:tc>
          <w:tcPr>
            <w:tcW w:w="0" w:type="auto"/>
            <w:noWrap w:val="0"/>
            <w:vAlign w:val="center"/>
          </w:tcPr>
          <w:p w14:paraId="7249D59B">
            <w:pPr>
              <w:jc w:val="center"/>
              <w:rPr>
                <w:rFonts w:eastAsia="楷体_GB2312"/>
                <w:szCs w:val="21"/>
              </w:rPr>
            </w:pPr>
            <w:r>
              <w:rPr>
                <w:rFonts w:hint="eastAsia" w:eastAsia="楷体_GB2312"/>
                <w:szCs w:val="21"/>
              </w:rPr>
              <w:t>1261</w:t>
            </w:r>
          </w:p>
        </w:tc>
        <w:tc>
          <w:tcPr>
            <w:tcW w:w="0" w:type="auto"/>
            <w:noWrap w:val="0"/>
            <w:vAlign w:val="center"/>
          </w:tcPr>
          <w:p w14:paraId="64DB77C6">
            <w:pPr>
              <w:jc w:val="center"/>
              <w:rPr>
                <w:rFonts w:eastAsia="楷体_GB2312"/>
                <w:szCs w:val="21"/>
              </w:rPr>
            </w:pPr>
            <w:r>
              <w:rPr>
                <w:rFonts w:hint="eastAsia" w:eastAsia="楷体_GB2312"/>
                <w:szCs w:val="21"/>
              </w:rPr>
              <w:t>80</w:t>
            </w:r>
          </w:p>
        </w:tc>
      </w:tr>
      <w:tr w14:paraId="63F8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noWrap w:val="0"/>
            <w:vAlign w:val="center"/>
          </w:tcPr>
          <w:p w14:paraId="530F1CA3">
            <w:pPr>
              <w:tabs>
                <w:tab w:val="left" w:pos="0"/>
                <w:tab w:val="left" w:pos="295"/>
              </w:tabs>
              <w:jc w:val="center"/>
              <w:rPr>
                <w:rFonts w:eastAsia="楷体_GB2312"/>
                <w:szCs w:val="21"/>
              </w:rPr>
            </w:pPr>
            <w:r>
              <w:rPr>
                <w:rFonts w:eastAsia="楷体_GB2312"/>
                <w:szCs w:val="21"/>
              </w:rPr>
              <w:t>9</w:t>
            </w:r>
          </w:p>
        </w:tc>
        <w:tc>
          <w:tcPr>
            <w:tcW w:w="1134" w:type="dxa"/>
            <w:noWrap w:val="0"/>
            <w:vAlign w:val="center"/>
          </w:tcPr>
          <w:p w14:paraId="7C7A51CB">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西二铺乡</w:t>
            </w:r>
          </w:p>
        </w:tc>
        <w:tc>
          <w:tcPr>
            <w:tcW w:w="567" w:type="dxa"/>
            <w:noWrap w:val="0"/>
            <w:vAlign w:val="center"/>
          </w:tcPr>
          <w:p w14:paraId="3F291031">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1765" w:type="dxa"/>
            <w:noWrap w:val="0"/>
            <w:vAlign w:val="center"/>
          </w:tcPr>
          <w:p w14:paraId="701266BC">
            <w:pPr>
              <w:spacing w:line="250" w:lineRule="atLeast"/>
              <w:jc w:val="center"/>
              <w:rPr>
                <w:rFonts w:eastAsia="楷体_GB2312"/>
                <w:szCs w:val="21"/>
              </w:rPr>
            </w:pPr>
            <w:r>
              <w:rPr>
                <w:rFonts w:hint="eastAsia" w:eastAsia="楷体_GB2312"/>
                <w:szCs w:val="21"/>
              </w:rPr>
              <w:t>西二铺小学</w:t>
            </w:r>
          </w:p>
        </w:tc>
        <w:tc>
          <w:tcPr>
            <w:tcW w:w="0" w:type="auto"/>
            <w:noWrap w:val="0"/>
            <w:vAlign w:val="center"/>
          </w:tcPr>
          <w:p w14:paraId="00F26C92">
            <w:pPr>
              <w:jc w:val="center"/>
              <w:rPr>
                <w:rFonts w:eastAsia="楷体_GB2312"/>
                <w:szCs w:val="21"/>
              </w:rPr>
            </w:pPr>
            <w:r>
              <w:rPr>
                <w:rFonts w:hint="eastAsia" w:eastAsia="楷体_GB2312"/>
                <w:szCs w:val="21"/>
              </w:rPr>
              <w:t>18</w:t>
            </w:r>
          </w:p>
        </w:tc>
        <w:tc>
          <w:tcPr>
            <w:tcW w:w="0" w:type="auto"/>
            <w:noWrap w:val="0"/>
            <w:vAlign w:val="center"/>
          </w:tcPr>
          <w:p w14:paraId="71AAE638">
            <w:pPr>
              <w:jc w:val="center"/>
              <w:rPr>
                <w:rFonts w:eastAsia="楷体_GB2312"/>
                <w:szCs w:val="21"/>
              </w:rPr>
            </w:pPr>
            <w:r>
              <w:rPr>
                <w:rFonts w:hint="eastAsia" w:eastAsia="楷体_GB2312"/>
                <w:szCs w:val="21"/>
              </w:rPr>
              <w:t>855</w:t>
            </w:r>
          </w:p>
        </w:tc>
        <w:tc>
          <w:tcPr>
            <w:tcW w:w="0" w:type="auto"/>
            <w:noWrap w:val="0"/>
            <w:vAlign w:val="center"/>
          </w:tcPr>
          <w:p w14:paraId="47C93C16">
            <w:pPr>
              <w:jc w:val="center"/>
              <w:rPr>
                <w:rFonts w:eastAsia="楷体_GB2312"/>
                <w:szCs w:val="21"/>
              </w:rPr>
            </w:pPr>
            <w:r>
              <w:rPr>
                <w:rFonts w:hint="eastAsia" w:eastAsia="楷体_GB2312"/>
                <w:szCs w:val="21"/>
              </w:rPr>
              <w:t>34</w:t>
            </w:r>
          </w:p>
        </w:tc>
      </w:tr>
      <w:tr w14:paraId="76AF9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vMerge w:val="restart"/>
            <w:noWrap w:val="0"/>
            <w:vAlign w:val="center"/>
          </w:tcPr>
          <w:p w14:paraId="05460133">
            <w:pPr>
              <w:tabs>
                <w:tab w:val="left" w:pos="0"/>
                <w:tab w:val="left" w:pos="295"/>
              </w:tabs>
              <w:jc w:val="center"/>
              <w:rPr>
                <w:rFonts w:eastAsia="楷体_GB2312"/>
                <w:szCs w:val="21"/>
              </w:rPr>
            </w:pPr>
            <w:r>
              <w:rPr>
                <w:rFonts w:eastAsia="楷体_GB2312"/>
                <w:szCs w:val="21"/>
              </w:rPr>
              <w:t>10</w:t>
            </w:r>
          </w:p>
        </w:tc>
        <w:tc>
          <w:tcPr>
            <w:tcW w:w="1134" w:type="dxa"/>
            <w:vMerge w:val="restart"/>
            <w:noWrap w:val="0"/>
            <w:vAlign w:val="center"/>
          </w:tcPr>
          <w:p w14:paraId="565AA767">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桃园镇</w:t>
            </w:r>
          </w:p>
        </w:tc>
        <w:tc>
          <w:tcPr>
            <w:tcW w:w="567" w:type="dxa"/>
            <w:noWrap w:val="0"/>
            <w:vAlign w:val="center"/>
          </w:tcPr>
          <w:p w14:paraId="7363AD8B">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eastAsia="楷体_GB2312"/>
                <w:kern w:val="2"/>
                <w:szCs w:val="24"/>
              </w:rPr>
              <w:t>01</w:t>
            </w:r>
          </w:p>
        </w:tc>
        <w:tc>
          <w:tcPr>
            <w:tcW w:w="1765" w:type="dxa"/>
            <w:noWrap w:val="0"/>
            <w:vAlign w:val="center"/>
          </w:tcPr>
          <w:p w14:paraId="45B6B991">
            <w:pPr>
              <w:spacing w:line="250" w:lineRule="atLeast"/>
              <w:jc w:val="center"/>
              <w:rPr>
                <w:rFonts w:eastAsia="楷体_GB2312"/>
                <w:szCs w:val="21"/>
              </w:rPr>
            </w:pPr>
            <w:r>
              <w:rPr>
                <w:rFonts w:hint="eastAsia" w:eastAsia="楷体_GB2312"/>
                <w:szCs w:val="21"/>
              </w:rPr>
              <w:t>桃园镇明德小学</w:t>
            </w:r>
          </w:p>
        </w:tc>
        <w:tc>
          <w:tcPr>
            <w:tcW w:w="0" w:type="auto"/>
            <w:noWrap w:val="0"/>
            <w:vAlign w:val="center"/>
          </w:tcPr>
          <w:p w14:paraId="1D53B050">
            <w:pPr>
              <w:jc w:val="center"/>
              <w:rPr>
                <w:rFonts w:eastAsia="楷体_GB2312"/>
                <w:szCs w:val="21"/>
              </w:rPr>
            </w:pPr>
            <w:r>
              <w:rPr>
                <w:rFonts w:hint="eastAsia" w:eastAsia="楷体_GB2312"/>
                <w:szCs w:val="21"/>
              </w:rPr>
              <w:t>16</w:t>
            </w:r>
          </w:p>
        </w:tc>
        <w:tc>
          <w:tcPr>
            <w:tcW w:w="0" w:type="auto"/>
            <w:noWrap w:val="0"/>
            <w:vAlign w:val="center"/>
          </w:tcPr>
          <w:p w14:paraId="1DCF3088">
            <w:pPr>
              <w:jc w:val="center"/>
              <w:rPr>
                <w:rFonts w:eastAsia="楷体_GB2312"/>
                <w:szCs w:val="21"/>
              </w:rPr>
            </w:pPr>
            <w:r>
              <w:rPr>
                <w:rFonts w:hint="eastAsia" w:eastAsia="楷体_GB2312"/>
                <w:szCs w:val="21"/>
              </w:rPr>
              <w:t>751</w:t>
            </w:r>
          </w:p>
        </w:tc>
        <w:tc>
          <w:tcPr>
            <w:tcW w:w="0" w:type="auto"/>
            <w:noWrap w:val="0"/>
            <w:vAlign w:val="center"/>
          </w:tcPr>
          <w:p w14:paraId="737AB5F7">
            <w:pPr>
              <w:jc w:val="center"/>
              <w:rPr>
                <w:rFonts w:eastAsia="楷体_GB2312"/>
                <w:szCs w:val="21"/>
              </w:rPr>
            </w:pPr>
            <w:r>
              <w:rPr>
                <w:rFonts w:hint="eastAsia" w:eastAsia="楷体_GB2312"/>
                <w:szCs w:val="21"/>
              </w:rPr>
              <w:t>34</w:t>
            </w:r>
          </w:p>
        </w:tc>
      </w:tr>
      <w:tr w14:paraId="1553D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vMerge w:val="continue"/>
            <w:noWrap w:val="0"/>
            <w:vAlign w:val="center"/>
          </w:tcPr>
          <w:p w14:paraId="5317233A">
            <w:pPr>
              <w:tabs>
                <w:tab w:val="left" w:pos="0"/>
                <w:tab w:val="left" w:pos="295"/>
              </w:tabs>
              <w:jc w:val="center"/>
              <w:rPr>
                <w:rFonts w:eastAsia="楷体_GB2312"/>
                <w:szCs w:val="21"/>
              </w:rPr>
            </w:pPr>
          </w:p>
        </w:tc>
        <w:tc>
          <w:tcPr>
            <w:tcW w:w="1134" w:type="dxa"/>
            <w:vMerge w:val="continue"/>
            <w:noWrap w:val="0"/>
            <w:vAlign w:val="center"/>
          </w:tcPr>
          <w:p w14:paraId="6E25D40A">
            <w:pPr>
              <w:pStyle w:val="20"/>
              <w:tabs>
                <w:tab w:val="left" w:pos="0"/>
                <w:tab w:val="left" w:pos="295"/>
              </w:tabs>
              <w:jc w:val="center"/>
              <w:rPr>
                <w:rFonts w:ascii="Times New Roman" w:hAnsi="Times New Roman" w:eastAsia="楷体_GB2312" w:cs="Times New Roman"/>
              </w:rPr>
            </w:pPr>
          </w:p>
        </w:tc>
        <w:tc>
          <w:tcPr>
            <w:tcW w:w="567" w:type="dxa"/>
            <w:noWrap w:val="0"/>
            <w:vAlign w:val="center"/>
          </w:tcPr>
          <w:p w14:paraId="6CD4B914">
            <w:pPr>
              <w:pStyle w:val="112"/>
              <w:widowControl w:val="0"/>
              <w:pBdr>
                <w:bottom w:val="none" w:color="auto" w:sz="0" w:space="0"/>
                <w:right w:val="none" w:color="auto" w:sz="0" w:space="0"/>
              </w:pBdr>
              <w:spacing w:before="0" w:beforeAutospacing="0" w:after="0" w:afterAutospacing="0" w:line="280" w:lineRule="exact"/>
              <w:jc w:val="center"/>
              <w:textAlignment w:val="auto"/>
              <w:rPr>
                <w:rFonts w:eastAsia="楷体_GB2312"/>
                <w:kern w:val="2"/>
                <w:szCs w:val="24"/>
              </w:rPr>
            </w:pPr>
            <w:r>
              <w:rPr>
                <w:rFonts w:hint="eastAsia" w:eastAsia="楷体_GB2312"/>
                <w:kern w:val="2"/>
                <w:szCs w:val="24"/>
              </w:rPr>
              <w:t>02</w:t>
            </w:r>
          </w:p>
        </w:tc>
        <w:tc>
          <w:tcPr>
            <w:tcW w:w="1765" w:type="dxa"/>
            <w:noWrap w:val="0"/>
            <w:vAlign w:val="center"/>
          </w:tcPr>
          <w:p w14:paraId="4630FC9A">
            <w:pPr>
              <w:spacing w:line="250" w:lineRule="atLeast"/>
              <w:jc w:val="center"/>
              <w:rPr>
                <w:rFonts w:hint="eastAsia" w:eastAsia="楷体_GB2312"/>
                <w:szCs w:val="21"/>
              </w:rPr>
            </w:pPr>
            <w:r>
              <w:rPr>
                <w:rFonts w:hint="eastAsia" w:eastAsia="楷体_GB2312"/>
                <w:szCs w:val="21"/>
              </w:rPr>
              <w:t>北杨寨中心小学</w:t>
            </w:r>
          </w:p>
        </w:tc>
        <w:tc>
          <w:tcPr>
            <w:tcW w:w="0" w:type="auto"/>
            <w:noWrap w:val="0"/>
            <w:vAlign w:val="center"/>
          </w:tcPr>
          <w:p w14:paraId="54321EFD">
            <w:pPr>
              <w:jc w:val="center"/>
              <w:rPr>
                <w:rFonts w:eastAsia="楷体_GB2312"/>
                <w:szCs w:val="21"/>
              </w:rPr>
            </w:pPr>
            <w:r>
              <w:rPr>
                <w:rFonts w:hint="eastAsia" w:eastAsia="楷体_GB2312"/>
                <w:szCs w:val="21"/>
              </w:rPr>
              <w:t>25</w:t>
            </w:r>
          </w:p>
        </w:tc>
        <w:tc>
          <w:tcPr>
            <w:tcW w:w="0" w:type="auto"/>
            <w:noWrap w:val="0"/>
            <w:vAlign w:val="center"/>
          </w:tcPr>
          <w:p w14:paraId="271D627E">
            <w:pPr>
              <w:jc w:val="center"/>
              <w:rPr>
                <w:rFonts w:eastAsia="楷体_GB2312"/>
                <w:szCs w:val="21"/>
              </w:rPr>
            </w:pPr>
            <w:r>
              <w:rPr>
                <w:rFonts w:hint="eastAsia" w:eastAsia="楷体_GB2312"/>
                <w:szCs w:val="21"/>
              </w:rPr>
              <w:t>1029</w:t>
            </w:r>
          </w:p>
        </w:tc>
        <w:tc>
          <w:tcPr>
            <w:tcW w:w="0" w:type="auto"/>
            <w:noWrap w:val="0"/>
            <w:vAlign w:val="center"/>
          </w:tcPr>
          <w:p w14:paraId="09BCC70E">
            <w:pPr>
              <w:jc w:val="center"/>
              <w:rPr>
                <w:rFonts w:eastAsia="楷体_GB2312"/>
                <w:szCs w:val="21"/>
              </w:rPr>
            </w:pPr>
            <w:r>
              <w:rPr>
                <w:rFonts w:hint="eastAsia" w:eastAsia="楷体_GB2312"/>
                <w:szCs w:val="21"/>
              </w:rPr>
              <w:t>39</w:t>
            </w:r>
          </w:p>
        </w:tc>
      </w:tr>
      <w:tr w14:paraId="088CB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noWrap w:val="0"/>
            <w:vAlign w:val="center"/>
          </w:tcPr>
          <w:p w14:paraId="1D43470E">
            <w:pPr>
              <w:tabs>
                <w:tab w:val="left" w:pos="0"/>
                <w:tab w:val="left" w:pos="295"/>
              </w:tabs>
              <w:jc w:val="center"/>
              <w:rPr>
                <w:rFonts w:eastAsia="楷体_GB2312"/>
                <w:szCs w:val="21"/>
              </w:rPr>
            </w:pPr>
            <w:r>
              <w:rPr>
                <w:rFonts w:hint="eastAsia" w:eastAsia="楷体_GB2312"/>
                <w:szCs w:val="21"/>
              </w:rPr>
              <w:t>11</w:t>
            </w:r>
          </w:p>
        </w:tc>
        <w:tc>
          <w:tcPr>
            <w:tcW w:w="1134" w:type="dxa"/>
            <w:noWrap w:val="0"/>
            <w:vAlign w:val="center"/>
          </w:tcPr>
          <w:p w14:paraId="56E7E7A1">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曹村镇</w:t>
            </w:r>
          </w:p>
        </w:tc>
        <w:tc>
          <w:tcPr>
            <w:tcW w:w="567" w:type="dxa"/>
            <w:noWrap w:val="0"/>
            <w:vAlign w:val="center"/>
          </w:tcPr>
          <w:p w14:paraId="13A33183">
            <w:pPr>
              <w:jc w:val="center"/>
            </w:pPr>
            <w:r>
              <w:rPr>
                <w:rFonts w:eastAsia="楷体_GB2312"/>
              </w:rPr>
              <w:t>01</w:t>
            </w:r>
          </w:p>
        </w:tc>
        <w:tc>
          <w:tcPr>
            <w:tcW w:w="1765" w:type="dxa"/>
            <w:noWrap w:val="0"/>
            <w:vAlign w:val="center"/>
          </w:tcPr>
          <w:p w14:paraId="7BA23423">
            <w:pPr>
              <w:spacing w:line="250" w:lineRule="atLeast"/>
              <w:jc w:val="center"/>
              <w:rPr>
                <w:rFonts w:hint="eastAsia" w:eastAsia="楷体_GB2312"/>
                <w:szCs w:val="21"/>
              </w:rPr>
            </w:pPr>
            <w:r>
              <w:rPr>
                <w:rFonts w:hint="eastAsia" w:eastAsia="楷体_GB2312"/>
                <w:szCs w:val="21"/>
              </w:rPr>
              <w:t>曹村镇中心学校</w:t>
            </w:r>
          </w:p>
        </w:tc>
        <w:tc>
          <w:tcPr>
            <w:tcW w:w="0" w:type="auto"/>
            <w:noWrap w:val="0"/>
            <w:vAlign w:val="center"/>
          </w:tcPr>
          <w:p w14:paraId="2A45F82B">
            <w:pPr>
              <w:jc w:val="center"/>
              <w:rPr>
                <w:rFonts w:eastAsia="楷体_GB2312"/>
                <w:szCs w:val="21"/>
              </w:rPr>
            </w:pPr>
            <w:r>
              <w:rPr>
                <w:rFonts w:hint="eastAsia" w:eastAsia="楷体_GB2312"/>
                <w:szCs w:val="21"/>
              </w:rPr>
              <w:t>24</w:t>
            </w:r>
          </w:p>
        </w:tc>
        <w:tc>
          <w:tcPr>
            <w:tcW w:w="0" w:type="auto"/>
            <w:noWrap w:val="0"/>
            <w:vAlign w:val="center"/>
          </w:tcPr>
          <w:p w14:paraId="7BD70E03">
            <w:pPr>
              <w:jc w:val="center"/>
              <w:rPr>
                <w:rFonts w:eastAsia="楷体_GB2312"/>
                <w:szCs w:val="21"/>
              </w:rPr>
            </w:pPr>
            <w:r>
              <w:rPr>
                <w:rFonts w:hint="eastAsia" w:eastAsia="楷体_GB2312"/>
                <w:szCs w:val="21"/>
              </w:rPr>
              <w:t>1048</w:t>
            </w:r>
          </w:p>
        </w:tc>
        <w:tc>
          <w:tcPr>
            <w:tcW w:w="0" w:type="auto"/>
            <w:noWrap w:val="0"/>
            <w:vAlign w:val="center"/>
          </w:tcPr>
          <w:p w14:paraId="4050AF6D">
            <w:pPr>
              <w:jc w:val="center"/>
              <w:rPr>
                <w:rFonts w:eastAsia="楷体_GB2312"/>
                <w:szCs w:val="21"/>
              </w:rPr>
            </w:pPr>
            <w:r>
              <w:rPr>
                <w:rFonts w:hint="eastAsia" w:eastAsia="楷体_GB2312"/>
                <w:szCs w:val="21"/>
              </w:rPr>
              <w:t>53</w:t>
            </w:r>
          </w:p>
        </w:tc>
      </w:tr>
      <w:tr w14:paraId="1D8BC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noWrap w:val="0"/>
            <w:vAlign w:val="center"/>
          </w:tcPr>
          <w:p w14:paraId="06C4B8A2">
            <w:pPr>
              <w:tabs>
                <w:tab w:val="left" w:pos="0"/>
                <w:tab w:val="left" w:pos="295"/>
              </w:tabs>
              <w:jc w:val="center"/>
              <w:rPr>
                <w:rFonts w:eastAsia="楷体_GB2312"/>
                <w:szCs w:val="21"/>
              </w:rPr>
            </w:pPr>
            <w:r>
              <w:rPr>
                <w:rFonts w:hint="eastAsia" w:eastAsia="楷体_GB2312"/>
                <w:szCs w:val="21"/>
              </w:rPr>
              <w:t>12</w:t>
            </w:r>
          </w:p>
        </w:tc>
        <w:tc>
          <w:tcPr>
            <w:tcW w:w="1134" w:type="dxa"/>
            <w:noWrap w:val="0"/>
            <w:vAlign w:val="center"/>
          </w:tcPr>
          <w:p w14:paraId="4A064CF7">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大营镇</w:t>
            </w:r>
          </w:p>
        </w:tc>
        <w:tc>
          <w:tcPr>
            <w:tcW w:w="567" w:type="dxa"/>
            <w:noWrap w:val="0"/>
            <w:vAlign w:val="center"/>
          </w:tcPr>
          <w:p w14:paraId="5E3ED44F">
            <w:pPr>
              <w:jc w:val="center"/>
            </w:pPr>
            <w:r>
              <w:rPr>
                <w:rFonts w:eastAsia="楷体_GB2312"/>
              </w:rPr>
              <w:t>01</w:t>
            </w:r>
          </w:p>
        </w:tc>
        <w:tc>
          <w:tcPr>
            <w:tcW w:w="1765" w:type="dxa"/>
            <w:noWrap w:val="0"/>
            <w:vAlign w:val="center"/>
          </w:tcPr>
          <w:p w14:paraId="1836A42B">
            <w:pPr>
              <w:spacing w:line="250" w:lineRule="atLeast"/>
              <w:jc w:val="center"/>
              <w:rPr>
                <w:rFonts w:hint="eastAsia" w:eastAsia="楷体_GB2312"/>
                <w:szCs w:val="21"/>
              </w:rPr>
            </w:pPr>
            <w:r>
              <w:rPr>
                <w:rFonts w:hint="eastAsia" w:eastAsia="楷体_GB2312"/>
                <w:szCs w:val="21"/>
              </w:rPr>
              <w:t>大营小学</w:t>
            </w:r>
          </w:p>
        </w:tc>
        <w:tc>
          <w:tcPr>
            <w:tcW w:w="0" w:type="auto"/>
            <w:noWrap w:val="0"/>
            <w:vAlign w:val="center"/>
          </w:tcPr>
          <w:p w14:paraId="15C1AE81">
            <w:pPr>
              <w:jc w:val="center"/>
              <w:rPr>
                <w:rFonts w:eastAsia="楷体_GB2312"/>
                <w:szCs w:val="21"/>
              </w:rPr>
            </w:pPr>
            <w:r>
              <w:rPr>
                <w:rFonts w:hint="eastAsia" w:eastAsia="楷体_GB2312"/>
                <w:szCs w:val="21"/>
              </w:rPr>
              <w:t>59</w:t>
            </w:r>
          </w:p>
        </w:tc>
        <w:tc>
          <w:tcPr>
            <w:tcW w:w="0" w:type="auto"/>
            <w:noWrap w:val="0"/>
            <w:vAlign w:val="center"/>
          </w:tcPr>
          <w:p w14:paraId="7C2F1CAE">
            <w:pPr>
              <w:jc w:val="center"/>
              <w:rPr>
                <w:rFonts w:eastAsia="楷体_GB2312"/>
                <w:szCs w:val="21"/>
              </w:rPr>
            </w:pPr>
            <w:r>
              <w:rPr>
                <w:rFonts w:hint="eastAsia" w:eastAsia="楷体_GB2312"/>
                <w:szCs w:val="21"/>
              </w:rPr>
              <w:t>3096</w:t>
            </w:r>
          </w:p>
        </w:tc>
        <w:tc>
          <w:tcPr>
            <w:tcW w:w="0" w:type="auto"/>
            <w:noWrap w:val="0"/>
            <w:vAlign w:val="center"/>
          </w:tcPr>
          <w:p w14:paraId="205CE51C">
            <w:pPr>
              <w:jc w:val="center"/>
              <w:rPr>
                <w:rFonts w:eastAsia="楷体_GB2312"/>
                <w:szCs w:val="21"/>
              </w:rPr>
            </w:pPr>
            <w:r>
              <w:rPr>
                <w:rFonts w:hint="eastAsia" w:eastAsia="楷体_GB2312"/>
                <w:szCs w:val="21"/>
              </w:rPr>
              <w:t>163</w:t>
            </w:r>
          </w:p>
        </w:tc>
      </w:tr>
      <w:tr w14:paraId="46BE3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vMerge w:val="restart"/>
            <w:noWrap w:val="0"/>
            <w:vAlign w:val="center"/>
          </w:tcPr>
          <w:p w14:paraId="485D04F9">
            <w:pPr>
              <w:tabs>
                <w:tab w:val="left" w:pos="0"/>
                <w:tab w:val="left" w:pos="295"/>
              </w:tabs>
              <w:jc w:val="center"/>
              <w:rPr>
                <w:rFonts w:eastAsia="楷体_GB2312"/>
                <w:szCs w:val="21"/>
              </w:rPr>
            </w:pPr>
            <w:r>
              <w:rPr>
                <w:rFonts w:hint="eastAsia" w:eastAsia="楷体_GB2312"/>
                <w:szCs w:val="21"/>
              </w:rPr>
              <w:t>13</w:t>
            </w:r>
          </w:p>
        </w:tc>
        <w:tc>
          <w:tcPr>
            <w:tcW w:w="1134" w:type="dxa"/>
            <w:vMerge w:val="restart"/>
            <w:noWrap w:val="0"/>
            <w:vAlign w:val="center"/>
          </w:tcPr>
          <w:p w14:paraId="001C883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褚兰镇</w:t>
            </w:r>
          </w:p>
        </w:tc>
        <w:tc>
          <w:tcPr>
            <w:tcW w:w="567" w:type="dxa"/>
            <w:noWrap w:val="0"/>
            <w:vAlign w:val="center"/>
          </w:tcPr>
          <w:p w14:paraId="31D362FD">
            <w:pPr>
              <w:jc w:val="center"/>
            </w:pPr>
            <w:r>
              <w:rPr>
                <w:rFonts w:eastAsia="楷体_GB2312"/>
              </w:rPr>
              <w:t>01</w:t>
            </w:r>
          </w:p>
        </w:tc>
        <w:tc>
          <w:tcPr>
            <w:tcW w:w="1765" w:type="dxa"/>
            <w:noWrap w:val="0"/>
            <w:vAlign w:val="center"/>
          </w:tcPr>
          <w:p w14:paraId="483A3CF4">
            <w:pPr>
              <w:spacing w:line="250" w:lineRule="atLeast"/>
              <w:jc w:val="center"/>
              <w:rPr>
                <w:rFonts w:hint="eastAsia" w:eastAsia="楷体_GB2312"/>
                <w:szCs w:val="21"/>
              </w:rPr>
            </w:pPr>
            <w:r>
              <w:rPr>
                <w:rFonts w:hint="eastAsia" w:eastAsia="楷体_GB2312"/>
                <w:szCs w:val="21"/>
              </w:rPr>
              <w:t>褚兰镇中心小学</w:t>
            </w:r>
          </w:p>
        </w:tc>
        <w:tc>
          <w:tcPr>
            <w:tcW w:w="0" w:type="auto"/>
            <w:noWrap w:val="0"/>
            <w:vAlign w:val="center"/>
          </w:tcPr>
          <w:p w14:paraId="6E0A081B">
            <w:pPr>
              <w:jc w:val="center"/>
              <w:rPr>
                <w:rFonts w:eastAsia="楷体_GB2312"/>
                <w:szCs w:val="21"/>
              </w:rPr>
            </w:pPr>
            <w:r>
              <w:rPr>
                <w:rFonts w:hint="eastAsia" w:eastAsia="楷体_GB2312"/>
                <w:szCs w:val="21"/>
              </w:rPr>
              <w:t>14</w:t>
            </w:r>
          </w:p>
        </w:tc>
        <w:tc>
          <w:tcPr>
            <w:tcW w:w="0" w:type="auto"/>
            <w:noWrap w:val="0"/>
            <w:vAlign w:val="center"/>
          </w:tcPr>
          <w:p w14:paraId="02194317">
            <w:pPr>
              <w:jc w:val="center"/>
              <w:rPr>
                <w:rFonts w:eastAsia="楷体_GB2312"/>
                <w:szCs w:val="21"/>
              </w:rPr>
            </w:pPr>
            <w:r>
              <w:rPr>
                <w:rFonts w:hint="eastAsia" w:eastAsia="楷体_GB2312"/>
                <w:szCs w:val="21"/>
              </w:rPr>
              <w:t>584</w:t>
            </w:r>
          </w:p>
        </w:tc>
        <w:tc>
          <w:tcPr>
            <w:tcW w:w="0" w:type="auto"/>
            <w:noWrap w:val="0"/>
            <w:vAlign w:val="center"/>
          </w:tcPr>
          <w:p w14:paraId="497B8375">
            <w:pPr>
              <w:jc w:val="center"/>
              <w:rPr>
                <w:rFonts w:eastAsia="楷体_GB2312"/>
                <w:szCs w:val="21"/>
              </w:rPr>
            </w:pPr>
            <w:r>
              <w:rPr>
                <w:rFonts w:hint="eastAsia" w:eastAsia="楷体_GB2312"/>
                <w:szCs w:val="21"/>
              </w:rPr>
              <w:t>31</w:t>
            </w:r>
          </w:p>
        </w:tc>
      </w:tr>
      <w:tr w14:paraId="02D3B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vMerge w:val="continue"/>
            <w:noWrap w:val="0"/>
            <w:vAlign w:val="center"/>
          </w:tcPr>
          <w:p w14:paraId="0AAEC554">
            <w:pPr>
              <w:tabs>
                <w:tab w:val="left" w:pos="0"/>
                <w:tab w:val="left" w:pos="295"/>
              </w:tabs>
              <w:jc w:val="center"/>
              <w:rPr>
                <w:rFonts w:hint="eastAsia" w:eastAsia="楷体_GB2312"/>
                <w:szCs w:val="21"/>
              </w:rPr>
            </w:pPr>
          </w:p>
        </w:tc>
        <w:tc>
          <w:tcPr>
            <w:tcW w:w="1134" w:type="dxa"/>
            <w:vMerge w:val="continue"/>
            <w:noWrap w:val="0"/>
            <w:vAlign w:val="center"/>
          </w:tcPr>
          <w:p w14:paraId="4D23E00F">
            <w:pPr>
              <w:pStyle w:val="20"/>
              <w:tabs>
                <w:tab w:val="left" w:pos="0"/>
                <w:tab w:val="left" w:pos="295"/>
              </w:tabs>
              <w:jc w:val="center"/>
              <w:rPr>
                <w:rFonts w:ascii="Times New Roman" w:hAnsi="Times New Roman" w:eastAsia="楷体_GB2312" w:cs="Times New Roman"/>
              </w:rPr>
            </w:pPr>
          </w:p>
        </w:tc>
        <w:tc>
          <w:tcPr>
            <w:tcW w:w="567" w:type="dxa"/>
            <w:noWrap w:val="0"/>
            <w:vAlign w:val="center"/>
          </w:tcPr>
          <w:p w14:paraId="4DE019B9">
            <w:pPr>
              <w:jc w:val="center"/>
              <w:rPr>
                <w:rFonts w:eastAsia="楷体_GB2312"/>
              </w:rPr>
            </w:pPr>
            <w:r>
              <w:rPr>
                <w:rFonts w:hint="eastAsia" w:eastAsia="楷体_GB2312"/>
              </w:rPr>
              <w:t>02</w:t>
            </w:r>
          </w:p>
        </w:tc>
        <w:tc>
          <w:tcPr>
            <w:tcW w:w="1765" w:type="dxa"/>
            <w:noWrap w:val="0"/>
            <w:vAlign w:val="center"/>
          </w:tcPr>
          <w:p w14:paraId="56C33503">
            <w:pPr>
              <w:spacing w:line="250" w:lineRule="atLeast"/>
              <w:jc w:val="center"/>
              <w:rPr>
                <w:rFonts w:hint="eastAsia" w:eastAsia="楷体_GB2312"/>
                <w:szCs w:val="21"/>
              </w:rPr>
            </w:pPr>
            <w:r>
              <w:rPr>
                <w:rFonts w:hint="eastAsia" w:eastAsia="楷体_GB2312"/>
                <w:szCs w:val="21"/>
              </w:rPr>
              <w:t>褚兰镇街东小学</w:t>
            </w:r>
          </w:p>
        </w:tc>
        <w:tc>
          <w:tcPr>
            <w:tcW w:w="0" w:type="auto"/>
            <w:noWrap w:val="0"/>
            <w:vAlign w:val="center"/>
          </w:tcPr>
          <w:p w14:paraId="49D4188C">
            <w:pPr>
              <w:jc w:val="center"/>
              <w:rPr>
                <w:rFonts w:hint="eastAsia" w:eastAsia="楷体_GB2312"/>
                <w:szCs w:val="21"/>
              </w:rPr>
            </w:pPr>
            <w:r>
              <w:rPr>
                <w:rFonts w:hint="eastAsia" w:eastAsia="楷体_GB2312"/>
                <w:szCs w:val="21"/>
              </w:rPr>
              <w:t>4</w:t>
            </w:r>
          </w:p>
        </w:tc>
        <w:tc>
          <w:tcPr>
            <w:tcW w:w="0" w:type="auto"/>
            <w:noWrap w:val="0"/>
            <w:vAlign w:val="center"/>
          </w:tcPr>
          <w:p w14:paraId="7975360D">
            <w:pPr>
              <w:jc w:val="center"/>
              <w:rPr>
                <w:rFonts w:hint="eastAsia" w:eastAsia="楷体_GB2312"/>
                <w:szCs w:val="21"/>
              </w:rPr>
            </w:pPr>
            <w:r>
              <w:rPr>
                <w:rFonts w:hint="eastAsia" w:eastAsia="楷体_GB2312"/>
                <w:szCs w:val="21"/>
              </w:rPr>
              <w:t>104</w:t>
            </w:r>
          </w:p>
        </w:tc>
        <w:tc>
          <w:tcPr>
            <w:tcW w:w="0" w:type="auto"/>
            <w:noWrap w:val="0"/>
            <w:vAlign w:val="center"/>
          </w:tcPr>
          <w:p w14:paraId="1A6B7A1B">
            <w:pPr>
              <w:jc w:val="center"/>
              <w:rPr>
                <w:rFonts w:hint="eastAsia" w:eastAsia="楷体_GB2312"/>
                <w:szCs w:val="21"/>
              </w:rPr>
            </w:pPr>
            <w:r>
              <w:rPr>
                <w:rFonts w:hint="eastAsia" w:eastAsia="楷体_GB2312"/>
                <w:szCs w:val="21"/>
              </w:rPr>
              <w:t>10</w:t>
            </w:r>
          </w:p>
        </w:tc>
      </w:tr>
      <w:tr w14:paraId="21071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vMerge w:val="restart"/>
            <w:noWrap w:val="0"/>
            <w:vAlign w:val="center"/>
          </w:tcPr>
          <w:p w14:paraId="1EA7C500">
            <w:pPr>
              <w:tabs>
                <w:tab w:val="left" w:pos="0"/>
                <w:tab w:val="left" w:pos="295"/>
              </w:tabs>
              <w:jc w:val="center"/>
              <w:rPr>
                <w:rFonts w:eastAsia="楷体_GB2312"/>
                <w:szCs w:val="21"/>
              </w:rPr>
            </w:pPr>
            <w:r>
              <w:rPr>
                <w:rFonts w:hint="eastAsia" w:eastAsia="楷体_GB2312"/>
                <w:szCs w:val="21"/>
              </w:rPr>
              <w:t>14</w:t>
            </w:r>
          </w:p>
        </w:tc>
        <w:tc>
          <w:tcPr>
            <w:tcW w:w="1134" w:type="dxa"/>
            <w:vMerge w:val="restart"/>
            <w:noWrap w:val="0"/>
            <w:vAlign w:val="center"/>
          </w:tcPr>
          <w:p w14:paraId="3F45070B">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顺河镇</w:t>
            </w:r>
          </w:p>
        </w:tc>
        <w:tc>
          <w:tcPr>
            <w:tcW w:w="567" w:type="dxa"/>
            <w:noWrap w:val="0"/>
            <w:vAlign w:val="center"/>
          </w:tcPr>
          <w:p w14:paraId="47984C59">
            <w:pPr>
              <w:jc w:val="center"/>
            </w:pPr>
            <w:r>
              <w:rPr>
                <w:rFonts w:eastAsia="楷体_GB2312"/>
              </w:rPr>
              <w:t>01</w:t>
            </w:r>
          </w:p>
        </w:tc>
        <w:tc>
          <w:tcPr>
            <w:tcW w:w="1765" w:type="dxa"/>
            <w:noWrap w:val="0"/>
            <w:vAlign w:val="center"/>
          </w:tcPr>
          <w:p w14:paraId="69411209">
            <w:pPr>
              <w:spacing w:line="250" w:lineRule="atLeast"/>
              <w:jc w:val="center"/>
              <w:rPr>
                <w:rFonts w:hint="eastAsia" w:eastAsia="楷体_GB2312"/>
                <w:szCs w:val="21"/>
              </w:rPr>
            </w:pPr>
            <w:r>
              <w:rPr>
                <w:rFonts w:hint="eastAsia" w:eastAsia="楷体_GB2312"/>
                <w:szCs w:val="21"/>
              </w:rPr>
              <w:t>顺河乡中心小学</w:t>
            </w:r>
          </w:p>
        </w:tc>
        <w:tc>
          <w:tcPr>
            <w:tcW w:w="0" w:type="auto"/>
            <w:noWrap w:val="0"/>
            <w:vAlign w:val="center"/>
          </w:tcPr>
          <w:p w14:paraId="256C1A28">
            <w:pPr>
              <w:jc w:val="center"/>
              <w:rPr>
                <w:rFonts w:eastAsia="楷体_GB2312"/>
                <w:szCs w:val="21"/>
              </w:rPr>
            </w:pPr>
            <w:r>
              <w:rPr>
                <w:rFonts w:hint="eastAsia" w:eastAsia="楷体_GB2312"/>
                <w:szCs w:val="21"/>
              </w:rPr>
              <w:t>16</w:t>
            </w:r>
          </w:p>
        </w:tc>
        <w:tc>
          <w:tcPr>
            <w:tcW w:w="0" w:type="auto"/>
            <w:noWrap w:val="0"/>
            <w:vAlign w:val="center"/>
          </w:tcPr>
          <w:p w14:paraId="66B59D94">
            <w:pPr>
              <w:jc w:val="center"/>
              <w:rPr>
                <w:rFonts w:eastAsia="楷体_GB2312"/>
                <w:szCs w:val="21"/>
              </w:rPr>
            </w:pPr>
            <w:r>
              <w:rPr>
                <w:rFonts w:hint="eastAsia" w:eastAsia="楷体_GB2312"/>
                <w:szCs w:val="21"/>
              </w:rPr>
              <w:t>595</w:t>
            </w:r>
          </w:p>
        </w:tc>
        <w:tc>
          <w:tcPr>
            <w:tcW w:w="0" w:type="auto"/>
            <w:noWrap w:val="0"/>
            <w:vAlign w:val="center"/>
          </w:tcPr>
          <w:p w14:paraId="441BEE01">
            <w:pPr>
              <w:jc w:val="center"/>
              <w:rPr>
                <w:rFonts w:eastAsia="楷体_GB2312"/>
                <w:szCs w:val="21"/>
              </w:rPr>
            </w:pPr>
            <w:r>
              <w:rPr>
                <w:rFonts w:hint="eastAsia" w:eastAsia="楷体_GB2312"/>
                <w:szCs w:val="21"/>
              </w:rPr>
              <w:t>31</w:t>
            </w:r>
          </w:p>
        </w:tc>
      </w:tr>
      <w:tr w14:paraId="35CA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vMerge w:val="continue"/>
            <w:noWrap w:val="0"/>
            <w:vAlign w:val="center"/>
          </w:tcPr>
          <w:p w14:paraId="2AC5BCAD">
            <w:pPr>
              <w:tabs>
                <w:tab w:val="left" w:pos="0"/>
                <w:tab w:val="left" w:pos="295"/>
              </w:tabs>
              <w:jc w:val="center"/>
              <w:rPr>
                <w:rFonts w:hint="eastAsia" w:eastAsia="楷体_GB2312"/>
                <w:szCs w:val="21"/>
              </w:rPr>
            </w:pPr>
          </w:p>
        </w:tc>
        <w:tc>
          <w:tcPr>
            <w:tcW w:w="1134" w:type="dxa"/>
            <w:vMerge w:val="continue"/>
            <w:noWrap w:val="0"/>
            <w:vAlign w:val="center"/>
          </w:tcPr>
          <w:p w14:paraId="005F4640">
            <w:pPr>
              <w:pStyle w:val="20"/>
              <w:tabs>
                <w:tab w:val="left" w:pos="0"/>
                <w:tab w:val="left" w:pos="295"/>
              </w:tabs>
              <w:jc w:val="center"/>
              <w:rPr>
                <w:rFonts w:ascii="Times New Roman" w:hAnsi="Times New Roman" w:eastAsia="楷体_GB2312" w:cs="Times New Roman"/>
              </w:rPr>
            </w:pPr>
          </w:p>
        </w:tc>
        <w:tc>
          <w:tcPr>
            <w:tcW w:w="567" w:type="dxa"/>
            <w:noWrap w:val="0"/>
            <w:vAlign w:val="center"/>
          </w:tcPr>
          <w:p w14:paraId="3D5B5AEF">
            <w:pPr>
              <w:jc w:val="center"/>
              <w:rPr>
                <w:rFonts w:eastAsia="楷体_GB2312"/>
              </w:rPr>
            </w:pPr>
            <w:r>
              <w:rPr>
                <w:rFonts w:hint="eastAsia" w:eastAsia="楷体_GB2312"/>
              </w:rPr>
              <w:t>02</w:t>
            </w:r>
          </w:p>
        </w:tc>
        <w:tc>
          <w:tcPr>
            <w:tcW w:w="1765" w:type="dxa"/>
            <w:noWrap w:val="0"/>
            <w:vAlign w:val="center"/>
          </w:tcPr>
          <w:p w14:paraId="7B7382C8">
            <w:pPr>
              <w:spacing w:line="250" w:lineRule="atLeast"/>
              <w:jc w:val="center"/>
              <w:rPr>
                <w:rFonts w:hint="eastAsia" w:eastAsia="楷体_GB2312"/>
                <w:szCs w:val="21"/>
              </w:rPr>
            </w:pPr>
            <w:r>
              <w:rPr>
                <w:rFonts w:hint="eastAsia" w:eastAsia="楷体_GB2312"/>
                <w:szCs w:val="21"/>
              </w:rPr>
              <w:t>八孔桥小学</w:t>
            </w:r>
          </w:p>
        </w:tc>
        <w:tc>
          <w:tcPr>
            <w:tcW w:w="0" w:type="auto"/>
            <w:noWrap w:val="0"/>
            <w:vAlign w:val="center"/>
          </w:tcPr>
          <w:p w14:paraId="6CE3AE3D">
            <w:pPr>
              <w:jc w:val="center"/>
              <w:rPr>
                <w:rFonts w:eastAsia="楷体_GB2312"/>
                <w:szCs w:val="21"/>
              </w:rPr>
            </w:pPr>
            <w:r>
              <w:rPr>
                <w:rFonts w:hint="eastAsia" w:eastAsia="楷体_GB2312"/>
                <w:szCs w:val="21"/>
              </w:rPr>
              <w:t>2</w:t>
            </w:r>
          </w:p>
        </w:tc>
        <w:tc>
          <w:tcPr>
            <w:tcW w:w="0" w:type="auto"/>
            <w:noWrap w:val="0"/>
            <w:vAlign w:val="center"/>
          </w:tcPr>
          <w:p w14:paraId="2E40968D">
            <w:pPr>
              <w:jc w:val="center"/>
              <w:rPr>
                <w:rFonts w:eastAsia="楷体_GB2312"/>
                <w:szCs w:val="21"/>
              </w:rPr>
            </w:pPr>
            <w:r>
              <w:rPr>
                <w:rFonts w:hint="eastAsia" w:eastAsia="楷体_GB2312"/>
                <w:szCs w:val="21"/>
              </w:rPr>
              <w:t>4</w:t>
            </w:r>
          </w:p>
        </w:tc>
        <w:tc>
          <w:tcPr>
            <w:tcW w:w="0" w:type="auto"/>
            <w:noWrap w:val="0"/>
            <w:vAlign w:val="center"/>
          </w:tcPr>
          <w:p w14:paraId="1185B278">
            <w:pPr>
              <w:jc w:val="center"/>
              <w:rPr>
                <w:rFonts w:eastAsia="楷体_GB2312"/>
                <w:szCs w:val="21"/>
              </w:rPr>
            </w:pPr>
            <w:r>
              <w:rPr>
                <w:rFonts w:hint="eastAsia" w:eastAsia="楷体_GB2312"/>
                <w:szCs w:val="21"/>
              </w:rPr>
              <w:t>3</w:t>
            </w:r>
          </w:p>
        </w:tc>
      </w:tr>
      <w:tr w14:paraId="14FC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noWrap w:val="0"/>
            <w:vAlign w:val="center"/>
          </w:tcPr>
          <w:p w14:paraId="4E29BD53">
            <w:pPr>
              <w:tabs>
                <w:tab w:val="left" w:pos="0"/>
                <w:tab w:val="left" w:pos="295"/>
              </w:tabs>
              <w:jc w:val="center"/>
              <w:rPr>
                <w:rFonts w:eastAsia="楷体_GB2312"/>
                <w:szCs w:val="21"/>
              </w:rPr>
            </w:pPr>
            <w:r>
              <w:rPr>
                <w:rFonts w:hint="eastAsia" w:eastAsia="楷体_GB2312"/>
                <w:szCs w:val="21"/>
              </w:rPr>
              <w:t>15</w:t>
            </w:r>
          </w:p>
        </w:tc>
        <w:tc>
          <w:tcPr>
            <w:tcW w:w="1134" w:type="dxa"/>
            <w:noWrap w:val="0"/>
            <w:vAlign w:val="center"/>
          </w:tcPr>
          <w:p w14:paraId="1BDD783C">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杨庄镇</w:t>
            </w:r>
          </w:p>
        </w:tc>
        <w:tc>
          <w:tcPr>
            <w:tcW w:w="567" w:type="dxa"/>
            <w:noWrap w:val="0"/>
            <w:vAlign w:val="center"/>
          </w:tcPr>
          <w:p w14:paraId="69B57929">
            <w:pPr>
              <w:jc w:val="center"/>
            </w:pPr>
            <w:r>
              <w:rPr>
                <w:rFonts w:eastAsia="楷体_GB2312"/>
              </w:rPr>
              <w:t>01</w:t>
            </w:r>
          </w:p>
        </w:tc>
        <w:tc>
          <w:tcPr>
            <w:tcW w:w="1765" w:type="dxa"/>
            <w:noWrap w:val="0"/>
            <w:vAlign w:val="center"/>
          </w:tcPr>
          <w:p w14:paraId="487D09A6">
            <w:pPr>
              <w:spacing w:line="250" w:lineRule="atLeast"/>
              <w:jc w:val="center"/>
              <w:rPr>
                <w:rFonts w:hint="eastAsia" w:eastAsia="楷体_GB2312"/>
                <w:szCs w:val="21"/>
              </w:rPr>
            </w:pPr>
            <w:r>
              <w:rPr>
                <w:rFonts w:hint="eastAsia" w:eastAsia="楷体_GB2312"/>
                <w:szCs w:val="21"/>
              </w:rPr>
              <w:t>杨庄中心小学</w:t>
            </w:r>
          </w:p>
        </w:tc>
        <w:tc>
          <w:tcPr>
            <w:tcW w:w="0" w:type="auto"/>
            <w:noWrap w:val="0"/>
            <w:vAlign w:val="center"/>
          </w:tcPr>
          <w:p w14:paraId="2C04ABAB">
            <w:pPr>
              <w:jc w:val="center"/>
              <w:rPr>
                <w:rFonts w:eastAsia="楷体_GB2312"/>
                <w:szCs w:val="21"/>
              </w:rPr>
            </w:pPr>
            <w:r>
              <w:rPr>
                <w:rFonts w:hint="eastAsia" w:eastAsia="楷体_GB2312"/>
                <w:szCs w:val="21"/>
              </w:rPr>
              <w:t>27</w:t>
            </w:r>
          </w:p>
        </w:tc>
        <w:tc>
          <w:tcPr>
            <w:tcW w:w="0" w:type="auto"/>
            <w:noWrap w:val="0"/>
            <w:vAlign w:val="center"/>
          </w:tcPr>
          <w:p w14:paraId="76D5F094">
            <w:pPr>
              <w:jc w:val="center"/>
              <w:rPr>
                <w:rFonts w:eastAsia="楷体_GB2312"/>
                <w:szCs w:val="21"/>
              </w:rPr>
            </w:pPr>
            <w:r>
              <w:rPr>
                <w:rFonts w:hint="eastAsia" w:eastAsia="楷体_GB2312"/>
                <w:szCs w:val="21"/>
              </w:rPr>
              <w:t>1297</w:t>
            </w:r>
          </w:p>
        </w:tc>
        <w:tc>
          <w:tcPr>
            <w:tcW w:w="0" w:type="auto"/>
            <w:noWrap w:val="0"/>
            <w:vAlign w:val="center"/>
          </w:tcPr>
          <w:p w14:paraId="20171F9C">
            <w:pPr>
              <w:jc w:val="center"/>
              <w:rPr>
                <w:rFonts w:eastAsia="楷体_GB2312"/>
                <w:szCs w:val="21"/>
              </w:rPr>
            </w:pPr>
            <w:r>
              <w:rPr>
                <w:rFonts w:hint="eastAsia" w:eastAsia="楷体_GB2312"/>
                <w:szCs w:val="21"/>
              </w:rPr>
              <w:t>46</w:t>
            </w:r>
          </w:p>
        </w:tc>
      </w:tr>
      <w:tr w14:paraId="30B41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noWrap w:val="0"/>
            <w:vAlign w:val="center"/>
          </w:tcPr>
          <w:p w14:paraId="51F645B1">
            <w:pPr>
              <w:tabs>
                <w:tab w:val="left" w:pos="0"/>
                <w:tab w:val="left" w:pos="295"/>
              </w:tabs>
              <w:jc w:val="center"/>
              <w:rPr>
                <w:rFonts w:eastAsia="楷体_GB2312"/>
                <w:szCs w:val="21"/>
              </w:rPr>
            </w:pPr>
            <w:r>
              <w:rPr>
                <w:rFonts w:hint="eastAsia" w:eastAsia="楷体_GB2312"/>
                <w:szCs w:val="21"/>
              </w:rPr>
              <w:t>16</w:t>
            </w:r>
          </w:p>
        </w:tc>
        <w:tc>
          <w:tcPr>
            <w:tcW w:w="1134" w:type="dxa"/>
            <w:noWrap w:val="0"/>
            <w:vAlign w:val="center"/>
          </w:tcPr>
          <w:p w14:paraId="302E6D9A">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永镇乡</w:t>
            </w:r>
          </w:p>
        </w:tc>
        <w:tc>
          <w:tcPr>
            <w:tcW w:w="567" w:type="dxa"/>
            <w:noWrap w:val="0"/>
            <w:vAlign w:val="center"/>
          </w:tcPr>
          <w:p w14:paraId="1161931F">
            <w:pPr>
              <w:jc w:val="center"/>
            </w:pPr>
            <w:r>
              <w:rPr>
                <w:rFonts w:eastAsia="楷体_GB2312"/>
              </w:rPr>
              <w:t>01</w:t>
            </w:r>
          </w:p>
        </w:tc>
        <w:tc>
          <w:tcPr>
            <w:tcW w:w="1765" w:type="dxa"/>
            <w:noWrap w:val="0"/>
            <w:vAlign w:val="center"/>
          </w:tcPr>
          <w:p w14:paraId="59F32D9A">
            <w:pPr>
              <w:spacing w:line="250" w:lineRule="atLeast"/>
              <w:jc w:val="center"/>
              <w:rPr>
                <w:rFonts w:hint="eastAsia" w:eastAsia="楷体_GB2312"/>
                <w:szCs w:val="21"/>
              </w:rPr>
            </w:pPr>
            <w:r>
              <w:rPr>
                <w:rFonts w:hint="eastAsia" w:eastAsia="楷体_GB2312"/>
                <w:szCs w:val="21"/>
              </w:rPr>
              <w:t>永镇乡中心小学</w:t>
            </w:r>
          </w:p>
        </w:tc>
        <w:tc>
          <w:tcPr>
            <w:tcW w:w="0" w:type="auto"/>
            <w:noWrap w:val="0"/>
            <w:vAlign w:val="center"/>
          </w:tcPr>
          <w:p w14:paraId="136DD03A">
            <w:pPr>
              <w:jc w:val="center"/>
              <w:rPr>
                <w:rFonts w:eastAsia="楷体_GB2312"/>
                <w:szCs w:val="21"/>
              </w:rPr>
            </w:pPr>
            <w:r>
              <w:rPr>
                <w:rFonts w:hint="eastAsia" w:eastAsia="楷体_GB2312"/>
                <w:szCs w:val="21"/>
              </w:rPr>
              <w:t>31</w:t>
            </w:r>
          </w:p>
        </w:tc>
        <w:tc>
          <w:tcPr>
            <w:tcW w:w="0" w:type="auto"/>
            <w:noWrap w:val="0"/>
            <w:vAlign w:val="center"/>
          </w:tcPr>
          <w:p w14:paraId="4D7CEC10">
            <w:pPr>
              <w:jc w:val="center"/>
              <w:rPr>
                <w:rFonts w:eastAsia="楷体_GB2312"/>
                <w:szCs w:val="21"/>
              </w:rPr>
            </w:pPr>
            <w:r>
              <w:rPr>
                <w:rFonts w:hint="eastAsia" w:eastAsia="楷体_GB2312"/>
                <w:szCs w:val="21"/>
              </w:rPr>
              <w:t>1313</w:t>
            </w:r>
          </w:p>
        </w:tc>
        <w:tc>
          <w:tcPr>
            <w:tcW w:w="0" w:type="auto"/>
            <w:noWrap w:val="0"/>
            <w:vAlign w:val="center"/>
          </w:tcPr>
          <w:p w14:paraId="6E2B5C4F">
            <w:pPr>
              <w:jc w:val="center"/>
              <w:rPr>
                <w:rFonts w:eastAsia="楷体_GB2312"/>
                <w:szCs w:val="21"/>
              </w:rPr>
            </w:pPr>
            <w:r>
              <w:rPr>
                <w:rFonts w:hint="eastAsia" w:eastAsia="楷体_GB2312"/>
                <w:szCs w:val="21"/>
              </w:rPr>
              <w:t>53</w:t>
            </w:r>
          </w:p>
        </w:tc>
      </w:tr>
      <w:tr w14:paraId="56EB3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vMerge w:val="restart"/>
            <w:noWrap w:val="0"/>
            <w:vAlign w:val="center"/>
          </w:tcPr>
          <w:p w14:paraId="23568589">
            <w:pPr>
              <w:tabs>
                <w:tab w:val="left" w:pos="0"/>
                <w:tab w:val="left" w:pos="295"/>
              </w:tabs>
              <w:jc w:val="center"/>
              <w:rPr>
                <w:rFonts w:eastAsia="楷体_GB2312"/>
                <w:szCs w:val="21"/>
              </w:rPr>
            </w:pPr>
            <w:r>
              <w:rPr>
                <w:rFonts w:hint="eastAsia" w:eastAsia="楷体_GB2312"/>
                <w:szCs w:val="21"/>
              </w:rPr>
              <w:t>17</w:t>
            </w:r>
          </w:p>
        </w:tc>
        <w:tc>
          <w:tcPr>
            <w:tcW w:w="1134" w:type="dxa"/>
            <w:vMerge w:val="restart"/>
            <w:noWrap w:val="0"/>
            <w:vAlign w:val="center"/>
          </w:tcPr>
          <w:p w14:paraId="395C83B4">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解集镇</w:t>
            </w:r>
          </w:p>
        </w:tc>
        <w:tc>
          <w:tcPr>
            <w:tcW w:w="567" w:type="dxa"/>
            <w:noWrap w:val="0"/>
            <w:vAlign w:val="center"/>
          </w:tcPr>
          <w:p w14:paraId="50F92F97">
            <w:pPr>
              <w:jc w:val="center"/>
            </w:pPr>
            <w:r>
              <w:rPr>
                <w:rFonts w:eastAsia="楷体_GB2312"/>
              </w:rPr>
              <w:t>01</w:t>
            </w:r>
          </w:p>
        </w:tc>
        <w:tc>
          <w:tcPr>
            <w:tcW w:w="1765" w:type="dxa"/>
            <w:noWrap w:val="0"/>
            <w:vAlign w:val="center"/>
          </w:tcPr>
          <w:p w14:paraId="58507851">
            <w:pPr>
              <w:spacing w:line="250" w:lineRule="atLeast"/>
              <w:jc w:val="center"/>
              <w:rPr>
                <w:rFonts w:hint="eastAsia" w:eastAsia="楷体_GB2312"/>
                <w:szCs w:val="21"/>
              </w:rPr>
            </w:pPr>
            <w:r>
              <w:rPr>
                <w:rFonts w:hint="eastAsia" w:eastAsia="楷体_GB2312"/>
                <w:szCs w:val="21"/>
              </w:rPr>
              <w:t>谢集中心小学</w:t>
            </w:r>
          </w:p>
        </w:tc>
        <w:tc>
          <w:tcPr>
            <w:tcW w:w="0" w:type="auto"/>
            <w:noWrap w:val="0"/>
            <w:vAlign w:val="center"/>
          </w:tcPr>
          <w:p w14:paraId="072A2F4E">
            <w:pPr>
              <w:jc w:val="center"/>
              <w:rPr>
                <w:rFonts w:eastAsia="楷体_GB2312"/>
                <w:szCs w:val="21"/>
              </w:rPr>
            </w:pPr>
            <w:r>
              <w:rPr>
                <w:rFonts w:hint="eastAsia" w:eastAsia="楷体_GB2312"/>
                <w:szCs w:val="21"/>
              </w:rPr>
              <w:t>18</w:t>
            </w:r>
          </w:p>
        </w:tc>
        <w:tc>
          <w:tcPr>
            <w:tcW w:w="0" w:type="auto"/>
            <w:noWrap w:val="0"/>
            <w:vAlign w:val="center"/>
          </w:tcPr>
          <w:p w14:paraId="73D483D1">
            <w:pPr>
              <w:jc w:val="center"/>
              <w:rPr>
                <w:rFonts w:eastAsia="楷体_GB2312"/>
                <w:szCs w:val="21"/>
              </w:rPr>
            </w:pPr>
            <w:r>
              <w:rPr>
                <w:rFonts w:hint="eastAsia" w:eastAsia="楷体_GB2312"/>
                <w:szCs w:val="21"/>
              </w:rPr>
              <w:t>721</w:t>
            </w:r>
          </w:p>
        </w:tc>
        <w:tc>
          <w:tcPr>
            <w:tcW w:w="0" w:type="auto"/>
            <w:noWrap w:val="0"/>
            <w:vAlign w:val="center"/>
          </w:tcPr>
          <w:p w14:paraId="4BE5CE40">
            <w:pPr>
              <w:jc w:val="center"/>
              <w:rPr>
                <w:rFonts w:eastAsia="楷体_GB2312"/>
                <w:szCs w:val="21"/>
              </w:rPr>
            </w:pPr>
            <w:r>
              <w:rPr>
                <w:rFonts w:hint="eastAsia" w:eastAsia="楷体_GB2312"/>
                <w:szCs w:val="21"/>
              </w:rPr>
              <w:t>22</w:t>
            </w:r>
          </w:p>
        </w:tc>
      </w:tr>
      <w:tr w14:paraId="1D16B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vMerge w:val="continue"/>
            <w:noWrap w:val="0"/>
            <w:vAlign w:val="center"/>
          </w:tcPr>
          <w:p w14:paraId="06AA96B7">
            <w:pPr>
              <w:tabs>
                <w:tab w:val="left" w:pos="0"/>
                <w:tab w:val="left" w:pos="295"/>
              </w:tabs>
              <w:jc w:val="center"/>
              <w:rPr>
                <w:rFonts w:hint="eastAsia" w:eastAsia="楷体_GB2312"/>
                <w:szCs w:val="21"/>
              </w:rPr>
            </w:pPr>
          </w:p>
        </w:tc>
        <w:tc>
          <w:tcPr>
            <w:tcW w:w="1134" w:type="dxa"/>
            <w:vMerge w:val="continue"/>
            <w:noWrap w:val="0"/>
            <w:vAlign w:val="center"/>
          </w:tcPr>
          <w:p w14:paraId="0E9A7841">
            <w:pPr>
              <w:pStyle w:val="20"/>
              <w:tabs>
                <w:tab w:val="left" w:pos="0"/>
                <w:tab w:val="left" w:pos="295"/>
              </w:tabs>
              <w:jc w:val="center"/>
              <w:rPr>
                <w:rFonts w:ascii="Times New Roman" w:hAnsi="Times New Roman" w:eastAsia="楷体_GB2312" w:cs="Times New Roman"/>
              </w:rPr>
            </w:pPr>
          </w:p>
        </w:tc>
        <w:tc>
          <w:tcPr>
            <w:tcW w:w="567" w:type="dxa"/>
            <w:noWrap w:val="0"/>
            <w:vAlign w:val="center"/>
          </w:tcPr>
          <w:p w14:paraId="167E3A43">
            <w:pPr>
              <w:jc w:val="center"/>
              <w:rPr>
                <w:rFonts w:eastAsia="楷体_GB2312"/>
              </w:rPr>
            </w:pPr>
            <w:r>
              <w:rPr>
                <w:rFonts w:hint="eastAsia" w:eastAsia="楷体_GB2312"/>
              </w:rPr>
              <w:t>02</w:t>
            </w:r>
          </w:p>
        </w:tc>
        <w:tc>
          <w:tcPr>
            <w:tcW w:w="1765" w:type="dxa"/>
            <w:noWrap w:val="0"/>
            <w:vAlign w:val="center"/>
          </w:tcPr>
          <w:p w14:paraId="64187649">
            <w:pPr>
              <w:spacing w:line="250" w:lineRule="atLeast"/>
              <w:jc w:val="center"/>
              <w:rPr>
                <w:rFonts w:hint="eastAsia" w:eastAsia="楷体_GB2312"/>
                <w:szCs w:val="21"/>
              </w:rPr>
            </w:pPr>
            <w:r>
              <w:rPr>
                <w:rFonts w:hint="eastAsia" w:eastAsia="楷体_GB2312"/>
                <w:szCs w:val="21"/>
              </w:rPr>
              <w:t>解集镇马台小学</w:t>
            </w:r>
          </w:p>
        </w:tc>
        <w:tc>
          <w:tcPr>
            <w:tcW w:w="0" w:type="auto"/>
            <w:noWrap w:val="0"/>
            <w:vAlign w:val="center"/>
          </w:tcPr>
          <w:p w14:paraId="4D9D0731">
            <w:pPr>
              <w:jc w:val="center"/>
              <w:rPr>
                <w:rFonts w:eastAsia="楷体_GB2312"/>
                <w:szCs w:val="21"/>
              </w:rPr>
            </w:pPr>
            <w:r>
              <w:rPr>
                <w:rFonts w:hint="eastAsia" w:eastAsia="楷体_GB2312"/>
                <w:szCs w:val="21"/>
              </w:rPr>
              <w:t>6</w:t>
            </w:r>
          </w:p>
        </w:tc>
        <w:tc>
          <w:tcPr>
            <w:tcW w:w="0" w:type="auto"/>
            <w:noWrap w:val="0"/>
            <w:vAlign w:val="center"/>
          </w:tcPr>
          <w:p w14:paraId="743B04BA">
            <w:pPr>
              <w:jc w:val="center"/>
              <w:rPr>
                <w:rFonts w:eastAsia="楷体_GB2312"/>
                <w:szCs w:val="21"/>
              </w:rPr>
            </w:pPr>
            <w:r>
              <w:rPr>
                <w:rFonts w:hint="eastAsia" w:eastAsia="楷体_GB2312"/>
                <w:szCs w:val="21"/>
              </w:rPr>
              <w:t>236</w:t>
            </w:r>
          </w:p>
        </w:tc>
        <w:tc>
          <w:tcPr>
            <w:tcW w:w="0" w:type="auto"/>
            <w:noWrap w:val="0"/>
            <w:vAlign w:val="center"/>
          </w:tcPr>
          <w:p w14:paraId="672E37DE">
            <w:pPr>
              <w:jc w:val="center"/>
              <w:rPr>
                <w:rFonts w:eastAsia="楷体_GB2312"/>
                <w:szCs w:val="21"/>
              </w:rPr>
            </w:pPr>
            <w:r>
              <w:rPr>
                <w:rFonts w:hint="eastAsia" w:eastAsia="楷体_GB2312"/>
                <w:szCs w:val="21"/>
              </w:rPr>
              <w:t>9</w:t>
            </w:r>
          </w:p>
        </w:tc>
      </w:tr>
      <w:tr w14:paraId="612AB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noWrap w:val="0"/>
            <w:vAlign w:val="center"/>
          </w:tcPr>
          <w:p w14:paraId="40C09E00">
            <w:pPr>
              <w:tabs>
                <w:tab w:val="left" w:pos="0"/>
                <w:tab w:val="left" w:pos="295"/>
              </w:tabs>
              <w:jc w:val="center"/>
              <w:rPr>
                <w:rFonts w:eastAsia="楷体_GB2312"/>
                <w:szCs w:val="21"/>
              </w:rPr>
            </w:pPr>
            <w:r>
              <w:rPr>
                <w:rFonts w:hint="eastAsia" w:eastAsia="楷体_GB2312"/>
                <w:szCs w:val="21"/>
              </w:rPr>
              <w:t>18</w:t>
            </w:r>
          </w:p>
        </w:tc>
        <w:tc>
          <w:tcPr>
            <w:tcW w:w="1134" w:type="dxa"/>
            <w:noWrap w:val="0"/>
            <w:vAlign w:val="center"/>
          </w:tcPr>
          <w:p w14:paraId="651F2FE5">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大泽乡镇</w:t>
            </w:r>
          </w:p>
        </w:tc>
        <w:tc>
          <w:tcPr>
            <w:tcW w:w="567" w:type="dxa"/>
            <w:noWrap w:val="0"/>
            <w:vAlign w:val="center"/>
          </w:tcPr>
          <w:p w14:paraId="161AFDE8">
            <w:pPr>
              <w:jc w:val="center"/>
            </w:pPr>
            <w:r>
              <w:rPr>
                <w:rFonts w:eastAsia="楷体_GB2312"/>
              </w:rPr>
              <w:t>01</w:t>
            </w:r>
          </w:p>
        </w:tc>
        <w:tc>
          <w:tcPr>
            <w:tcW w:w="1765" w:type="dxa"/>
            <w:noWrap w:val="0"/>
            <w:vAlign w:val="center"/>
          </w:tcPr>
          <w:p w14:paraId="2AAE28D2">
            <w:pPr>
              <w:spacing w:line="250" w:lineRule="atLeast"/>
              <w:jc w:val="center"/>
              <w:rPr>
                <w:rFonts w:hint="eastAsia" w:eastAsia="楷体_GB2312"/>
                <w:szCs w:val="21"/>
              </w:rPr>
            </w:pPr>
            <w:r>
              <w:rPr>
                <w:rFonts w:hint="eastAsia" w:eastAsia="楷体_GB2312"/>
                <w:szCs w:val="21"/>
              </w:rPr>
              <w:t>大泽乡镇小学</w:t>
            </w:r>
          </w:p>
        </w:tc>
        <w:tc>
          <w:tcPr>
            <w:tcW w:w="0" w:type="auto"/>
            <w:noWrap w:val="0"/>
            <w:vAlign w:val="center"/>
          </w:tcPr>
          <w:p w14:paraId="14A4BA3C">
            <w:pPr>
              <w:jc w:val="center"/>
              <w:rPr>
                <w:rFonts w:eastAsia="楷体_GB2312"/>
                <w:szCs w:val="21"/>
              </w:rPr>
            </w:pPr>
            <w:r>
              <w:rPr>
                <w:rFonts w:hint="eastAsia" w:eastAsia="楷体_GB2312"/>
                <w:szCs w:val="21"/>
              </w:rPr>
              <w:t>59</w:t>
            </w:r>
          </w:p>
        </w:tc>
        <w:tc>
          <w:tcPr>
            <w:tcW w:w="0" w:type="auto"/>
            <w:noWrap w:val="0"/>
            <w:vAlign w:val="center"/>
          </w:tcPr>
          <w:p w14:paraId="2F171400">
            <w:pPr>
              <w:jc w:val="center"/>
              <w:rPr>
                <w:rFonts w:eastAsia="楷体_GB2312"/>
                <w:szCs w:val="21"/>
              </w:rPr>
            </w:pPr>
            <w:r>
              <w:rPr>
                <w:rFonts w:hint="eastAsia" w:eastAsia="楷体_GB2312"/>
                <w:szCs w:val="21"/>
              </w:rPr>
              <w:t>2656</w:t>
            </w:r>
          </w:p>
        </w:tc>
        <w:tc>
          <w:tcPr>
            <w:tcW w:w="0" w:type="auto"/>
            <w:noWrap w:val="0"/>
            <w:vAlign w:val="center"/>
          </w:tcPr>
          <w:p w14:paraId="5D633D60">
            <w:pPr>
              <w:jc w:val="center"/>
              <w:rPr>
                <w:rFonts w:eastAsia="楷体_GB2312"/>
                <w:szCs w:val="21"/>
              </w:rPr>
            </w:pPr>
            <w:r>
              <w:rPr>
                <w:rFonts w:hint="eastAsia" w:eastAsia="楷体_GB2312"/>
                <w:szCs w:val="21"/>
              </w:rPr>
              <w:t>95</w:t>
            </w:r>
          </w:p>
        </w:tc>
      </w:tr>
      <w:tr w14:paraId="2C46D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noWrap w:val="0"/>
            <w:vAlign w:val="center"/>
          </w:tcPr>
          <w:p w14:paraId="4D3C2896">
            <w:pPr>
              <w:tabs>
                <w:tab w:val="left" w:pos="0"/>
                <w:tab w:val="left" w:pos="295"/>
              </w:tabs>
              <w:jc w:val="center"/>
              <w:rPr>
                <w:rFonts w:eastAsia="楷体_GB2312"/>
                <w:szCs w:val="21"/>
              </w:rPr>
            </w:pPr>
            <w:r>
              <w:rPr>
                <w:rFonts w:hint="eastAsia" w:eastAsia="楷体_GB2312"/>
                <w:szCs w:val="21"/>
              </w:rPr>
              <w:t>19</w:t>
            </w:r>
          </w:p>
        </w:tc>
        <w:tc>
          <w:tcPr>
            <w:tcW w:w="1134" w:type="dxa"/>
            <w:noWrap w:val="0"/>
            <w:vAlign w:val="center"/>
          </w:tcPr>
          <w:p w14:paraId="62B2B60B">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永安镇</w:t>
            </w:r>
          </w:p>
        </w:tc>
        <w:tc>
          <w:tcPr>
            <w:tcW w:w="567" w:type="dxa"/>
            <w:noWrap w:val="0"/>
            <w:vAlign w:val="center"/>
          </w:tcPr>
          <w:p w14:paraId="0D051A7F">
            <w:pPr>
              <w:jc w:val="center"/>
            </w:pPr>
            <w:r>
              <w:rPr>
                <w:rFonts w:eastAsia="楷体_GB2312"/>
              </w:rPr>
              <w:t>01</w:t>
            </w:r>
          </w:p>
        </w:tc>
        <w:tc>
          <w:tcPr>
            <w:tcW w:w="1765" w:type="dxa"/>
            <w:noWrap w:val="0"/>
            <w:vAlign w:val="center"/>
          </w:tcPr>
          <w:p w14:paraId="145AE08F">
            <w:pPr>
              <w:spacing w:line="250" w:lineRule="atLeast"/>
              <w:jc w:val="center"/>
              <w:rPr>
                <w:rFonts w:hint="eastAsia" w:eastAsia="楷体_GB2312"/>
                <w:szCs w:val="21"/>
              </w:rPr>
            </w:pPr>
            <w:r>
              <w:rPr>
                <w:rFonts w:hint="eastAsia" w:eastAsia="楷体_GB2312"/>
                <w:szCs w:val="21"/>
              </w:rPr>
              <w:t>永安中心小学</w:t>
            </w:r>
          </w:p>
        </w:tc>
        <w:tc>
          <w:tcPr>
            <w:tcW w:w="0" w:type="auto"/>
            <w:noWrap w:val="0"/>
            <w:vAlign w:val="center"/>
          </w:tcPr>
          <w:p w14:paraId="541A6D0C">
            <w:pPr>
              <w:jc w:val="center"/>
              <w:rPr>
                <w:rFonts w:eastAsia="楷体_GB2312"/>
                <w:szCs w:val="21"/>
              </w:rPr>
            </w:pPr>
            <w:r>
              <w:rPr>
                <w:rFonts w:hint="eastAsia" w:eastAsia="楷体_GB2312"/>
                <w:szCs w:val="21"/>
              </w:rPr>
              <w:t>36</w:t>
            </w:r>
          </w:p>
        </w:tc>
        <w:tc>
          <w:tcPr>
            <w:tcW w:w="0" w:type="auto"/>
            <w:noWrap w:val="0"/>
            <w:vAlign w:val="center"/>
          </w:tcPr>
          <w:p w14:paraId="18C58AEC">
            <w:pPr>
              <w:jc w:val="center"/>
              <w:rPr>
                <w:rFonts w:eastAsia="楷体_GB2312"/>
                <w:szCs w:val="21"/>
              </w:rPr>
            </w:pPr>
            <w:r>
              <w:rPr>
                <w:rFonts w:hint="eastAsia" w:eastAsia="楷体_GB2312"/>
                <w:szCs w:val="21"/>
              </w:rPr>
              <w:t>1469</w:t>
            </w:r>
          </w:p>
        </w:tc>
        <w:tc>
          <w:tcPr>
            <w:tcW w:w="0" w:type="auto"/>
            <w:noWrap w:val="0"/>
            <w:vAlign w:val="center"/>
          </w:tcPr>
          <w:p w14:paraId="6CD8DCE9">
            <w:pPr>
              <w:jc w:val="center"/>
              <w:rPr>
                <w:rFonts w:eastAsia="楷体_GB2312"/>
                <w:szCs w:val="21"/>
              </w:rPr>
            </w:pPr>
            <w:r>
              <w:rPr>
                <w:rFonts w:hint="eastAsia" w:eastAsia="楷体_GB2312"/>
                <w:szCs w:val="21"/>
              </w:rPr>
              <w:t>64</w:t>
            </w:r>
          </w:p>
        </w:tc>
      </w:tr>
      <w:tr w14:paraId="608B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noWrap w:val="0"/>
            <w:vAlign w:val="center"/>
          </w:tcPr>
          <w:p w14:paraId="5D9BC232">
            <w:pPr>
              <w:tabs>
                <w:tab w:val="left" w:pos="0"/>
                <w:tab w:val="left" w:pos="295"/>
              </w:tabs>
              <w:jc w:val="center"/>
              <w:rPr>
                <w:rFonts w:eastAsia="楷体_GB2312"/>
                <w:szCs w:val="21"/>
              </w:rPr>
            </w:pPr>
            <w:r>
              <w:rPr>
                <w:rFonts w:hint="eastAsia" w:eastAsia="楷体_GB2312"/>
                <w:szCs w:val="21"/>
              </w:rPr>
              <w:t>20</w:t>
            </w:r>
          </w:p>
        </w:tc>
        <w:tc>
          <w:tcPr>
            <w:tcW w:w="1134" w:type="dxa"/>
            <w:noWrap w:val="0"/>
            <w:vAlign w:val="center"/>
          </w:tcPr>
          <w:p w14:paraId="516756F5">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支河乡</w:t>
            </w:r>
          </w:p>
        </w:tc>
        <w:tc>
          <w:tcPr>
            <w:tcW w:w="567" w:type="dxa"/>
            <w:noWrap w:val="0"/>
            <w:vAlign w:val="center"/>
          </w:tcPr>
          <w:p w14:paraId="0F87C6EF">
            <w:pPr>
              <w:jc w:val="center"/>
            </w:pPr>
            <w:r>
              <w:rPr>
                <w:rFonts w:eastAsia="楷体_GB2312"/>
              </w:rPr>
              <w:t>01</w:t>
            </w:r>
          </w:p>
        </w:tc>
        <w:tc>
          <w:tcPr>
            <w:tcW w:w="1765" w:type="dxa"/>
            <w:noWrap w:val="0"/>
            <w:vAlign w:val="center"/>
          </w:tcPr>
          <w:p w14:paraId="2BE19D9B">
            <w:pPr>
              <w:spacing w:line="250" w:lineRule="atLeast"/>
              <w:jc w:val="center"/>
              <w:rPr>
                <w:rFonts w:hint="eastAsia" w:eastAsia="楷体_GB2312"/>
                <w:szCs w:val="21"/>
              </w:rPr>
            </w:pPr>
            <w:r>
              <w:rPr>
                <w:rFonts w:hint="eastAsia" w:eastAsia="楷体_GB2312"/>
                <w:szCs w:val="21"/>
              </w:rPr>
              <w:t>城孜小学</w:t>
            </w:r>
          </w:p>
        </w:tc>
        <w:tc>
          <w:tcPr>
            <w:tcW w:w="0" w:type="auto"/>
            <w:noWrap w:val="0"/>
            <w:vAlign w:val="center"/>
          </w:tcPr>
          <w:p w14:paraId="434E3268">
            <w:pPr>
              <w:jc w:val="center"/>
              <w:rPr>
                <w:rFonts w:eastAsia="楷体_GB2312"/>
                <w:szCs w:val="21"/>
              </w:rPr>
            </w:pPr>
            <w:r>
              <w:rPr>
                <w:rFonts w:hint="eastAsia" w:eastAsia="楷体_GB2312"/>
                <w:szCs w:val="21"/>
              </w:rPr>
              <w:t>12</w:t>
            </w:r>
          </w:p>
        </w:tc>
        <w:tc>
          <w:tcPr>
            <w:tcW w:w="0" w:type="auto"/>
            <w:noWrap w:val="0"/>
            <w:vAlign w:val="center"/>
          </w:tcPr>
          <w:p w14:paraId="56973A07">
            <w:pPr>
              <w:jc w:val="center"/>
              <w:rPr>
                <w:rFonts w:eastAsia="楷体_GB2312"/>
                <w:szCs w:val="21"/>
              </w:rPr>
            </w:pPr>
            <w:r>
              <w:rPr>
                <w:rFonts w:hint="eastAsia" w:eastAsia="楷体_GB2312"/>
                <w:szCs w:val="21"/>
              </w:rPr>
              <w:t>507</w:t>
            </w:r>
          </w:p>
        </w:tc>
        <w:tc>
          <w:tcPr>
            <w:tcW w:w="0" w:type="auto"/>
            <w:noWrap w:val="0"/>
            <w:vAlign w:val="center"/>
          </w:tcPr>
          <w:p w14:paraId="2D9B14BB">
            <w:pPr>
              <w:jc w:val="center"/>
              <w:rPr>
                <w:rFonts w:eastAsia="楷体_GB2312"/>
                <w:szCs w:val="21"/>
              </w:rPr>
            </w:pPr>
            <w:r>
              <w:rPr>
                <w:rFonts w:hint="eastAsia" w:eastAsia="楷体_GB2312"/>
                <w:szCs w:val="21"/>
              </w:rPr>
              <w:t>18</w:t>
            </w:r>
          </w:p>
        </w:tc>
      </w:tr>
      <w:tr w14:paraId="20AF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noWrap w:val="0"/>
            <w:vAlign w:val="center"/>
          </w:tcPr>
          <w:p w14:paraId="249B97DA">
            <w:pPr>
              <w:tabs>
                <w:tab w:val="left" w:pos="0"/>
                <w:tab w:val="left" w:pos="295"/>
              </w:tabs>
              <w:jc w:val="center"/>
              <w:rPr>
                <w:rFonts w:eastAsia="楷体_GB2312"/>
                <w:szCs w:val="21"/>
              </w:rPr>
            </w:pPr>
            <w:r>
              <w:rPr>
                <w:rFonts w:hint="eastAsia" w:eastAsia="楷体_GB2312"/>
                <w:szCs w:val="21"/>
              </w:rPr>
              <w:t>21</w:t>
            </w:r>
          </w:p>
        </w:tc>
        <w:tc>
          <w:tcPr>
            <w:tcW w:w="1134" w:type="dxa"/>
            <w:noWrap w:val="0"/>
            <w:vAlign w:val="center"/>
          </w:tcPr>
          <w:p w14:paraId="59C2DA80">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灰古镇</w:t>
            </w:r>
          </w:p>
        </w:tc>
        <w:tc>
          <w:tcPr>
            <w:tcW w:w="567" w:type="dxa"/>
            <w:noWrap w:val="0"/>
            <w:vAlign w:val="center"/>
          </w:tcPr>
          <w:p w14:paraId="4AC1596D">
            <w:pPr>
              <w:jc w:val="center"/>
            </w:pPr>
            <w:r>
              <w:rPr>
                <w:rFonts w:eastAsia="楷体_GB2312"/>
              </w:rPr>
              <w:t>01</w:t>
            </w:r>
          </w:p>
        </w:tc>
        <w:tc>
          <w:tcPr>
            <w:tcW w:w="1765" w:type="dxa"/>
            <w:noWrap w:val="0"/>
            <w:vAlign w:val="center"/>
          </w:tcPr>
          <w:p w14:paraId="46153ADA">
            <w:pPr>
              <w:spacing w:line="250" w:lineRule="atLeast"/>
              <w:jc w:val="center"/>
              <w:rPr>
                <w:rFonts w:hint="eastAsia" w:eastAsia="楷体_GB2312"/>
                <w:szCs w:val="21"/>
              </w:rPr>
            </w:pPr>
            <w:r>
              <w:rPr>
                <w:rFonts w:hint="eastAsia" w:eastAsia="楷体_GB2312"/>
                <w:szCs w:val="21"/>
              </w:rPr>
              <w:t>灰古镇中心学校</w:t>
            </w:r>
          </w:p>
        </w:tc>
        <w:tc>
          <w:tcPr>
            <w:tcW w:w="0" w:type="auto"/>
            <w:noWrap w:val="0"/>
            <w:vAlign w:val="center"/>
          </w:tcPr>
          <w:p w14:paraId="019B08A8">
            <w:pPr>
              <w:jc w:val="center"/>
              <w:rPr>
                <w:rFonts w:eastAsia="楷体_GB2312"/>
                <w:szCs w:val="21"/>
              </w:rPr>
            </w:pPr>
            <w:r>
              <w:rPr>
                <w:rFonts w:hint="eastAsia" w:eastAsia="楷体_GB2312"/>
                <w:szCs w:val="21"/>
              </w:rPr>
              <w:t>12</w:t>
            </w:r>
          </w:p>
        </w:tc>
        <w:tc>
          <w:tcPr>
            <w:tcW w:w="0" w:type="auto"/>
            <w:noWrap w:val="0"/>
            <w:vAlign w:val="center"/>
          </w:tcPr>
          <w:p w14:paraId="2B2BC2F6">
            <w:pPr>
              <w:jc w:val="center"/>
              <w:rPr>
                <w:rFonts w:eastAsia="楷体_GB2312"/>
                <w:szCs w:val="21"/>
              </w:rPr>
            </w:pPr>
            <w:r>
              <w:rPr>
                <w:rFonts w:hint="eastAsia" w:eastAsia="楷体_GB2312"/>
                <w:szCs w:val="21"/>
              </w:rPr>
              <w:t>549</w:t>
            </w:r>
          </w:p>
        </w:tc>
        <w:tc>
          <w:tcPr>
            <w:tcW w:w="0" w:type="auto"/>
            <w:noWrap w:val="0"/>
            <w:vAlign w:val="center"/>
          </w:tcPr>
          <w:p w14:paraId="6FC21923">
            <w:pPr>
              <w:jc w:val="center"/>
              <w:rPr>
                <w:rFonts w:eastAsia="楷体_GB2312"/>
                <w:szCs w:val="21"/>
              </w:rPr>
            </w:pPr>
            <w:r>
              <w:rPr>
                <w:rFonts w:hint="eastAsia" w:eastAsia="楷体_GB2312"/>
                <w:szCs w:val="21"/>
              </w:rPr>
              <w:t>24</w:t>
            </w:r>
          </w:p>
        </w:tc>
      </w:tr>
      <w:tr w14:paraId="35681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17" w:type="dxa"/>
            <w:noWrap w:val="0"/>
            <w:vAlign w:val="center"/>
          </w:tcPr>
          <w:p w14:paraId="23E12EB5">
            <w:pPr>
              <w:tabs>
                <w:tab w:val="left" w:pos="0"/>
                <w:tab w:val="left" w:pos="295"/>
              </w:tabs>
              <w:jc w:val="center"/>
              <w:rPr>
                <w:rFonts w:eastAsia="楷体_GB2312"/>
                <w:szCs w:val="21"/>
              </w:rPr>
            </w:pPr>
            <w:r>
              <w:rPr>
                <w:rFonts w:hint="eastAsia" w:eastAsia="楷体_GB2312"/>
                <w:szCs w:val="21"/>
              </w:rPr>
              <w:t>22</w:t>
            </w:r>
          </w:p>
        </w:tc>
        <w:tc>
          <w:tcPr>
            <w:tcW w:w="1134" w:type="dxa"/>
            <w:noWrap w:val="0"/>
            <w:vAlign w:val="center"/>
          </w:tcPr>
          <w:p w14:paraId="4EA7733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桃沟乡</w:t>
            </w:r>
          </w:p>
        </w:tc>
        <w:tc>
          <w:tcPr>
            <w:tcW w:w="567" w:type="dxa"/>
            <w:noWrap w:val="0"/>
            <w:vAlign w:val="center"/>
          </w:tcPr>
          <w:p w14:paraId="1D2B17D4">
            <w:pPr>
              <w:jc w:val="center"/>
            </w:pPr>
            <w:r>
              <w:rPr>
                <w:rFonts w:eastAsia="楷体_GB2312"/>
              </w:rPr>
              <w:t>01</w:t>
            </w:r>
          </w:p>
        </w:tc>
        <w:tc>
          <w:tcPr>
            <w:tcW w:w="1765" w:type="dxa"/>
            <w:noWrap w:val="0"/>
            <w:vAlign w:val="center"/>
          </w:tcPr>
          <w:p w14:paraId="39900F92">
            <w:pPr>
              <w:spacing w:line="250" w:lineRule="atLeast"/>
              <w:jc w:val="center"/>
              <w:rPr>
                <w:rFonts w:hint="eastAsia" w:eastAsia="楷体_GB2312"/>
                <w:szCs w:val="21"/>
              </w:rPr>
            </w:pPr>
            <w:r>
              <w:rPr>
                <w:rFonts w:hint="eastAsia" w:eastAsia="楷体_GB2312"/>
                <w:szCs w:val="21"/>
              </w:rPr>
              <w:t>桃沟小学</w:t>
            </w:r>
          </w:p>
        </w:tc>
        <w:tc>
          <w:tcPr>
            <w:tcW w:w="0" w:type="auto"/>
            <w:noWrap w:val="0"/>
            <w:vAlign w:val="center"/>
          </w:tcPr>
          <w:p w14:paraId="4B12FDEF">
            <w:pPr>
              <w:jc w:val="center"/>
              <w:rPr>
                <w:rFonts w:eastAsia="楷体_GB2312"/>
                <w:szCs w:val="21"/>
              </w:rPr>
            </w:pPr>
            <w:r>
              <w:rPr>
                <w:rFonts w:hint="eastAsia" w:eastAsia="楷体_GB2312"/>
                <w:szCs w:val="21"/>
              </w:rPr>
              <w:t>25</w:t>
            </w:r>
          </w:p>
        </w:tc>
        <w:tc>
          <w:tcPr>
            <w:tcW w:w="0" w:type="auto"/>
            <w:noWrap w:val="0"/>
            <w:vAlign w:val="center"/>
          </w:tcPr>
          <w:p w14:paraId="6C6CAB89">
            <w:pPr>
              <w:jc w:val="center"/>
              <w:rPr>
                <w:rFonts w:eastAsia="楷体_GB2312"/>
                <w:szCs w:val="21"/>
              </w:rPr>
            </w:pPr>
            <w:r>
              <w:rPr>
                <w:rFonts w:hint="eastAsia" w:eastAsia="楷体_GB2312"/>
                <w:szCs w:val="21"/>
              </w:rPr>
              <w:t>1007</w:t>
            </w:r>
          </w:p>
        </w:tc>
        <w:tc>
          <w:tcPr>
            <w:tcW w:w="0" w:type="auto"/>
            <w:noWrap w:val="0"/>
            <w:vAlign w:val="center"/>
          </w:tcPr>
          <w:p w14:paraId="4C2178AF">
            <w:pPr>
              <w:jc w:val="center"/>
              <w:rPr>
                <w:rFonts w:eastAsia="楷体_GB2312"/>
                <w:szCs w:val="21"/>
              </w:rPr>
            </w:pPr>
            <w:r>
              <w:rPr>
                <w:rFonts w:hint="eastAsia" w:eastAsia="楷体_GB2312"/>
                <w:szCs w:val="21"/>
              </w:rPr>
              <w:t>39</w:t>
            </w:r>
          </w:p>
        </w:tc>
      </w:tr>
    </w:tbl>
    <w:p w14:paraId="6AB18AE0">
      <w:pPr>
        <w:spacing w:line="480" w:lineRule="exact"/>
        <w:jc w:val="center"/>
        <w:rPr>
          <w:sz w:val="26"/>
        </w:rPr>
      </w:pPr>
      <w:r>
        <w:rPr>
          <w:rFonts w:eastAsia="黑体"/>
          <w:sz w:val="28"/>
        </w:rPr>
        <w:t>表1-3-</w:t>
      </w:r>
      <w:r>
        <w:rPr>
          <w:rFonts w:hint="eastAsia" w:eastAsia="黑体"/>
          <w:sz w:val="28"/>
        </w:rPr>
        <w:t>37</w:t>
      </w:r>
      <w:r>
        <w:rPr>
          <w:rFonts w:eastAsia="黑体"/>
          <w:sz w:val="28"/>
        </w:rPr>
        <w:t xml:space="preserve"> 埇桥区各乡镇镇区幼儿园调查表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
        <w:gridCol w:w="1164"/>
        <w:gridCol w:w="701"/>
        <w:gridCol w:w="2089"/>
        <w:gridCol w:w="1395"/>
        <w:gridCol w:w="1395"/>
        <w:gridCol w:w="1859"/>
      </w:tblGrid>
      <w:tr w14:paraId="4C476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4375A558">
            <w:pPr>
              <w:tabs>
                <w:tab w:val="center" w:pos="4153"/>
                <w:tab w:val="right" w:pos="8306"/>
              </w:tabs>
              <w:snapToGrid w:val="0"/>
              <w:spacing w:line="280" w:lineRule="exact"/>
              <w:ind w:left="-105" w:leftChars="-50" w:right="-105" w:rightChars="-50"/>
              <w:jc w:val="center"/>
              <w:rPr>
                <w:rFonts w:eastAsia="楷体_GB2312"/>
              </w:rPr>
            </w:pPr>
            <w:r>
              <w:rPr>
                <w:rFonts w:eastAsia="楷体_GB2312"/>
              </w:rPr>
              <w:t>编号</w:t>
            </w:r>
          </w:p>
        </w:tc>
        <w:tc>
          <w:tcPr>
            <w:tcW w:w="0" w:type="auto"/>
            <w:noWrap w:val="0"/>
            <w:vAlign w:val="center"/>
          </w:tcPr>
          <w:p w14:paraId="658A2F71">
            <w:pPr>
              <w:tabs>
                <w:tab w:val="center" w:pos="4153"/>
                <w:tab w:val="right" w:pos="8306"/>
              </w:tabs>
              <w:snapToGrid w:val="0"/>
              <w:spacing w:line="280" w:lineRule="exact"/>
              <w:ind w:left="-105" w:leftChars="-50" w:right="-105" w:rightChars="-50"/>
              <w:jc w:val="center"/>
              <w:rPr>
                <w:rFonts w:eastAsia="楷体_GB2312"/>
              </w:rPr>
            </w:pPr>
            <w:r>
              <w:rPr>
                <w:rFonts w:eastAsia="楷体_GB2312"/>
              </w:rPr>
              <w:t>乡镇名称</w:t>
            </w:r>
          </w:p>
        </w:tc>
        <w:tc>
          <w:tcPr>
            <w:tcW w:w="0" w:type="auto"/>
            <w:noWrap w:val="0"/>
            <w:vAlign w:val="center"/>
          </w:tcPr>
          <w:p w14:paraId="3796E29A">
            <w:pPr>
              <w:tabs>
                <w:tab w:val="center" w:pos="4153"/>
                <w:tab w:val="right" w:pos="8306"/>
              </w:tabs>
              <w:snapToGrid w:val="0"/>
              <w:spacing w:line="280" w:lineRule="exact"/>
              <w:ind w:left="-105" w:leftChars="-50" w:right="-105" w:rightChars="-50"/>
              <w:jc w:val="center"/>
              <w:rPr>
                <w:rFonts w:eastAsia="楷体_GB2312"/>
              </w:rPr>
            </w:pPr>
            <w:r>
              <w:rPr>
                <w:rFonts w:eastAsia="楷体_GB2312"/>
              </w:rPr>
              <w:t>幼儿园</w:t>
            </w:r>
          </w:p>
          <w:p w14:paraId="0DB59B05">
            <w:pPr>
              <w:tabs>
                <w:tab w:val="center" w:pos="4153"/>
                <w:tab w:val="right" w:pos="8306"/>
              </w:tabs>
              <w:snapToGrid w:val="0"/>
              <w:spacing w:line="280" w:lineRule="exact"/>
              <w:ind w:left="-105" w:leftChars="-50" w:right="-105" w:rightChars="-50"/>
              <w:jc w:val="center"/>
              <w:rPr>
                <w:rFonts w:eastAsia="楷体_GB2312"/>
              </w:rPr>
            </w:pPr>
            <w:r>
              <w:rPr>
                <w:rFonts w:eastAsia="楷体_GB2312"/>
              </w:rPr>
              <w:t>编号</w:t>
            </w:r>
          </w:p>
        </w:tc>
        <w:tc>
          <w:tcPr>
            <w:tcW w:w="0" w:type="auto"/>
            <w:noWrap w:val="0"/>
            <w:vAlign w:val="center"/>
          </w:tcPr>
          <w:p w14:paraId="2BFCF9AF">
            <w:pPr>
              <w:tabs>
                <w:tab w:val="center" w:pos="4153"/>
                <w:tab w:val="right" w:pos="8306"/>
              </w:tabs>
              <w:snapToGrid w:val="0"/>
              <w:spacing w:line="280" w:lineRule="exact"/>
              <w:ind w:left="-105" w:leftChars="-50" w:right="-105" w:rightChars="-50"/>
              <w:jc w:val="center"/>
              <w:rPr>
                <w:rFonts w:eastAsia="楷体_GB2312"/>
              </w:rPr>
            </w:pPr>
            <w:r>
              <w:rPr>
                <w:rFonts w:eastAsia="楷体_GB2312"/>
              </w:rPr>
              <w:t>幼儿园名称</w:t>
            </w:r>
          </w:p>
        </w:tc>
        <w:tc>
          <w:tcPr>
            <w:tcW w:w="0" w:type="auto"/>
            <w:noWrap w:val="0"/>
            <w:vAlign w:val="center"/>
          </w:tcPr>
          <w:p w14:paraId="13FC00B6">
            <w:pPr>
              <w:tabs>
                <w:tab w:val="center" w:pos="4153"/>
                <w:tab w:val="right" w:pos="8306"/>
              </w:tabs>
              <w:snapToGrid w:val="0"/>
              <w:spacing w:line="280" w:lineRule="exact"/>
              <w:ind w:left="-105" w:leftChars="-50" w:right="-105" w:rightChars="-50"/>
              <w:jc w:val="center"/>
              <w:rPr>
                <w:rFonts w:eastAsia="楷体_GB2312"/>
              </w:rPr>
            </w:pPr>
            <w:r>
              <w:rPr>
                <w:rFonts w:eastAsia="楷体_GB2312"/>
              </w:rPr>
              <w:t>班级数（个）</w:t>
            </w:r>
          </w:p>
        </w:tc>
        <w:tc>
          <w:tcPr>
            <w:tcW w:w="0" w:type="auto"/>
            <w:noWrap w:val="0"/>
            <w:vAlign w:val="center"/>
          </w:tcPr>
          <w:p w14:paraId="19130BBC">
            <w:pPr>
              <w:tabs>
                <w:tab w:val="center" w:pos="4153"/>
                <w:tab w:val="right" w:pos="8306"/>
              </w:tabs>
              <w:snapToGrid w:val="0"/>
              <w:spacing w:line="280" w:lineRule="exact"/>
              <w:ind w:left="-105" w:leftChars="-50" w:right="-105" w:rightChars="-50"/>
              <w:jc w:val="center"/>
              <w:rPr>
                <w:rFonts w:eastAsia="楷体_GB2312"/>
              </w:rPr>
            </w:pPr>
            <w:r>
              <w:rPr>
                <w:rFonts w:eastAsia="楷体_GB2312"/>
              </w:rPr>
              <w:t>学生数（人）</w:t>
            </w:r>
          </w:p>
        </w:tc>
        <w:tc>
          <w:tcPr>
            <w:tcW w:w="0" w:type="auto"/>
            <w:noWrap w:val="0"/>
            <w:vAlign w:val="center"/>
          </w:tcPr>
          <w:p w14:paraId="62874E3C">
            <w:pPr>
              <w:tabs>
                <w:tab w:val="center" w:pos="4153"/>
                <w:tab w:val="right" w:pos="8306"/>
              </w:tabs>
              <w:snapToGrid w:val="0"/>
              <w:spacing w:line="280" w:lineRule="exact"/>
              <w:ind w:left="-105" w:leftChars="-50" w:right="-105" w:rightChars="-50"/>
              <w:jc w:val="center"/>
              <w:rPr>
                <w:rFonts w:eastAsia="楷体_GB2312"/>
              </w:rPr>
            </w:pPr>
            <w:r>
              <w:rPr>
                <w:rFonts w:eastAsia="楷体_GB2312"/>
              </w:rPr>
              <w:t>教职工人数（人）</w:t>
            </w:r>
          </w:p>
        </w:tc>
      </w:tr>
      <w:tr w14:paraId="7AA3C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noWrap w:val="0"/>
            <w:vAlign w:val="center"/>
          </w:tcPr>
          <w:p w14:paraId="65AD45DA">
            <w:pPr>
              <w:tabs>
                <w:tab w:val="left" w:pos="0"/>
                <w:tab w:val="left" w:pos="295"/>
              </w:tabs>
              <w:jc w:val="center"/>
              <w:rPr>
                <w:rFonts w:eastAsia="楷体_GB2312"/>
                <w:szCs w:val="21"/>
              </w:rPr>
            </w:pPr>
            <w:r>
              <w:rPr>
                <w:rFonts w:eastAsia="楷体_GB2312"/>
                <w:szCs w:val="21"/>
              </w:rPr>
              <w:t>1</w:t>
            </w:r>
          </w:p>
        </w:tc>
        <w:tc>
          <w:tcPr>
            <w:tcW w:w="0" w:type="auto"/>
            <w:vMerge w:val="restart"/>
            <w:noWrap w:val="0"/>
            <w:vAlign w:val="center"/>
          </w:tcPr>
          <w:p w14:paraId="1EF582DE">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符离镇</w:t>
            </w:r>
          </w:p>
        </w:tc>
        <w:tc>
          <w:tcPr>
            <w:tcW w:w="0" w:type="auto"/>
            <w:noWrap w:val="0"/>
            <w:vAlign w:val="center"/>
          </w:tcPr>
          <w:p w14:paraId="591F2500">
            <w:pPr>
              <w:spacing w:line="280" w:lineRule="exact"/>
              <w:jc w:val="center"/>
              <w:rPr>
                <w:rFonts w:eastAsia="楷体_GB2312"/>
              </w:rPr>
            </w:pPr>
            <w:r>
              <w:rPr>
                <w:rFonts w:eastAsia="楷体_GB2312"/>
              </w:rPr>
              <w:t>01</w:t>
            </w:r>
          </w:p>
        </w:tc>
        <w:tc>
          <w:tcPr>
            <w:tcW w:w="0" w:type="auto"/>
            <w:noWrap w:val="0"/>
            <w:vAlign w:val="center"/>
          </w:tcPr>
          <w:p w14:paraId="1A9192EA">
            <w:pPr>
              <w:tabs>
                <w:tab w:val="center" w:pos="4153"/>
                <w:tab w:val="right" w:pos="8306"/>
              </w:tabs>
              <w:snapToGrid w:val="0"/>
              <w:spacing w:line="280" w:lineRule="exact"/>
              <w:jc w:val="center"/>
              <w:rPr>
                <w:rFonts w:eastAsia="楷体_GB2312"/>
              </w:rPr>
            </w:pPr>
            <w:r>
              <w:rPr>
                <w:rFonts w:hint="eastAsia" w:eastAsia="楷体_GB2312"/>
              </w:rPr>
              <w:t>符离第一幼儿园</w:t>
            </w:r>
          </w:p>
        </w:tc>
        <w:tc>
          <w:tcPr>
            <w:tcW w:w="0" w:type="auto"/>
            <w:noWrap w:val="0"/>
            <w:vAlign w:val="center"/>
          </w:tcPr>
          <w:p w14:paraId="5EBF253A">
            <w:pPr>
              <w:jc w:val="center"/>
              <w:rPr>
                <w:rFonts w:eastAsia="楷体_GB2312"/>
                <w:szCs w:val="21"/>
              </w:rPr>
            </w:pPr>
            <w:r>
              <w:rPr>
                <w:rFonts w:hint="eastAsia" w:eastAsia="楷体_GB2312"/>
                <w:szCs w:val="21"/>
              </w:rPr>
              <w:t>30</w:t>
            </w:r>
          </w:p>
        </w:tc>
        <w:tc>
          <w:tcPr>
            <w:tcW w:w="0" w:type="auto"/>
            <w:noWrap w:val="0"/>
            <w:vAlign w:val="center"/>
          </w:tcPr>
          <w:p w14:paraId="6A75A422">
            <w:pPr>
              <w:jc w:val="center"/>
              <w:rPr>
                <w:rFonts w:eastAsia="楷体_GB2312"/>
                <w:szCs w:val="21"/>
              </w:rPr>
            </w:pPr>
            <w:r>
              <w:rPr>
                <w:rFonts w:hint="eastAsia" w:eastAsia="楷体_GB2312"/>
                <w:szCs w:val="21"/>
              </w:rPr>
              <w:t>1313</w:t>
            </w:r>
          </w:p>
        </w:tc>
        <w:tc>
          <w:tcPr>
            <w:tcW w:w="0" w:type="auto"/>
            <w:noWrap w:val="0"/>
            <w:vAlign w:val="center"/>
          </w:tcPr>
          <w:p w14:paraId="12BC34D0">
            <w:pPr>
              <w:jc w:val="center"/>
              <w:rPr>
                <w:rFonts w:eastAsia="楷体_GB2312"/>
                <w:szCs w:val="21"/>
              </w:rPr>
            </w:pPr>
            <w:r>
              <w:rPr>
                <w:rFonts w:hint="eastAsia" w:eastAsia="楷体_GB2312"/>
                <w:szCs w:val="21"/>
              </w:rPr>
              <w:t>60</w:t>
            </w:r>
          </w:p>
        </w:tc>
      </w:tr>
      <w:tr w14:paraId="6D44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14:paraId="236144A9">
            <w:pPr>
              <w:tabs>
                <w:tab w:val="left" w:pos="0"/>
                <w:tab w:val="left" w:pos="295"/>
              </w:tabs>
              <w:jc w:val="center"/>
              <w:rPr>
                <w:rFonts w:eastAsia="楷体_GB2312"/>
                <w:szCs w:val="21"/>
              </w:rPr>
            </w:pPr>
          </w:p>
        </w:tc>
        <w:tc>
          <w:tcPr>
            <w:tcW w:w="0" w:type="auto"/>
            <w:vMerge w:val="continue"/>
            <w:noWrap w:val="0"/>
            <w:vAlign w:val="center"/>
          </w:tcPr>
          <w:p w14:paraId="14A4DE52">
            <w:pPr>
              <w:pStyle w:val="20"/>
              <w:tabs>
                <w:tab w:val="left" w:pos="0"/>
                <w:tab w:val="left" w:pos="295"/>
              </w:tabs>
              <w:jc w:val="center"/>
              <w:rPr>
                <w:rFonts w:ascii="Times New Roman" w:hAnsi="Times New Roman" w:eastAsia="楷体_GB2312" w:cs="Times New Roman"/>
              </w:rPr>
            </w:pPr>
          </w:p>
        </w:tc>
        <w:tc>
          <w:tcPr>
            <w:tcW w:w="0" w:type="auto"/>
            <w:noWrap w:val="0"/>
            <w:vAlign w:val="center"/>
          </w:tcPr>
          <w:p w14:paraId="040446FF">
            <w:pPr>
              <w:spacing w:line="280" w:lineRule="exact"/>
              <w:jc w:val="center"/>
              <w:rPr>
                <w:rFonts w:eastAsia="楷体_GB2312"/>
              </w:rPr>
            </w:pPr>
            <w:r>
              <w:rPr>
                <w:rFonts w:hint="eastAsia" w:eastAsia="楷体_GB2312"/>
              </w:rPr>
              <w:t>02</w:t>
            </w:r>
          </w:p>
        </w:tc>
        <w:tc>
          <w:tcPr>
            <w:tcW w:w="0" w:type="auto"/>
            <w:noWrap w:val="0"/>
            <w:vAlign w:val="center"/>
          </w:tcPr>
          <w:p w14:paraId="04D67C55">
            <w:pPr>
              <w:tabs>
                <w:tab w:val="center" w:pos="4153"/>
                <w:tab w:val="right" w:pos="8306"/>
              </w:tabs>
              <w:snapToGrid w:val="0"/>
              <w:spacing w:line="280" w:lineRule="exact"/>
              <w:jc w:val="center"/>
              <w:rPr>
                <w:rFonts w:hint="eastAsia" w:eastAsia="楷体_GB2312"/>
              </w:rPr>
            </w:pPr>
            <w:r>
              <w:rPr>
                <w:rFonts w:hint="eastAsia" w:eastAsia="楷体_GB2312"/>
              </w:rPr>
              <w:t>符离镇中心幼儿园</w:t>
            </w:r>
          </w:p>
        </w:tc>
        <w:tc>
          <w:tcPr>
            <w:tcW w:w="0" w:type="auto"/>
            <w:noWrap w:val="0"/>
            <w:vAlign w:val="center"/>
          </w:tcPr>
          <w:p w14:paraId="70E18872">
            <w:pPr>
              <w:jc w:val="center"/>
              <w:rPr>
                <w:rFonts w:hint="eastAsia" w:eastAsia="楷体_GB2312"/>
                <w:szCs w:val="21"/>
              </w:rPr>
            </w:pPr>
            <w:r>
              <w:rPr>
                <w:rFonts w:hint="eastAsia" w:eastAsia="楷体_GB2312"/>
                <w:szCs w:val="21"/>
              </w:rPr>
              <w:t>7</w:t>
            </w:r>
          </w:p>
        </w:tc>
        <w:tc>
          <w:tcPr>
            <w:tcW w:w="0" w:type="auto"/>
            <w:noWrap w:val="0"/>
            <w:vAlign w:val="center"/>
          </w:tcPr>
          <w:p w14:paraId="17DF2AD1">
            <w:pPr>
              <w:jc w:val="center"/>
              <w:rPr>
                <w:rFonts w:hint="eastAsia" w:eastAsia="楷体_GB2312"/>
                <w:szCs w:val="21"/>
              </w:rPr>
            </w:pPr>
            <w:r>
              <w:rPr>
                <w:rFonts w:hint="eastAsia" w:eastAsia="楷体_GB2312"/>
                <w:szCs w:val="21"/>
              </w:rPr>
              <w:t>232</w:t>
            </w:r>
          </w:p>
        </w:tc>
        <w:tc>
          <w:tcPr>
            <w:tcW w:w="0" w:type="auto"/>
            <w:noWrap w:val="0"/>
            <w:vAlign w:val="center"/>
          </w:tcPr>
          <w:p w14:paraId="722017CB">
            <w:pPr>
              <w:jc w:val="center"/>
              <w:rPr>
                <w:rFonts w:hint="eastAsia" w:eastAsia="楷体_GB2312"/>
                <w:szCs w:val="21"/>
              </w:rPr>
            </w:pPr>
            <w:r>
              <w:rPr>
                <w:rFonts w:hint="eastAsia" w:eastAsia="楷体_GB2312"/>
                <w:szCs w:val="21"/>
              </w:rPr>
              <w:t>18</w:t>
            </w:r>
          </w:p>
        </w:tc>
      </w:tr>
      <w:tr w14:paraId="799BA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6123ADDA">
            <w:pPr>
              <w:tabs>
                <w:tab w:val="left" w:pos="0"/>
                <w:tab w:val="left" w:pos="295"/>
              </w:tabs>
              <w:jc w:val="center"/>
              <w:rPr>
                <w:rFonts w:eastAsia="楷体_GB2312"/>
                <w:szCs w:val="21"/>
              </w:rPr>
            </w:pPr>
            <w:r>
              <w:rPr>
                <w:rFonts w:eastAsia="楷体_GB2312"/>
                <w:szCs w:val="21"/>
              </w:rPr>
              <w:t>2</w:t>
            </w:r>
          </w:p>
        </w:tc>
        <w:tc>
          <w:tcPr>
            <w:tcW w:w="0" w:type="auto"/>
            <w:noWrap w:val="0"/>
            <w:vAlign w:val="center"/>
          </w:tcPr>
          <w:p w14:paraId="7CEF49B9">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朱仙庄镇</w:t>
            </w:r>
          </w:p>
        </w:tc>
        <w:tc>
          <w:tcPr>
            <w:tcW w:w="0" w:type="auto"/>
            <w:noWrap w:val="0"/>
            <w:vAlign w:val="center"/>
          </w:tcPr>
          <w:p w14:paraId="65B7B711">
            <w:pPr>
              <w:spacing w:line="280" w:lineRule="exact"/>
              <w:jc w:val="center"/>
              <w:rPr>
                <w:rFonts w:eastAsia="楷体_GB2312"/>
              </w:rPr>
            </w:pPr>
            <w:r>
              <w:rPr>
                <w:rFonts w:eastAsia="楷体_GB2312"/>
              </w:rPr>
              <w:t>01</w:t>
            </w:r>
          </w:p>
        </w:tc>
        <w:tc>
          <w:tcPr>
            <w:tcW w:w="0" w:type="auto"/>
            <w:noWrap w:val="0"/>
            <w:vAlign w:val="center"/>
          </w:tcPr>
          <w:p w14:paraId="4E006F78">
            <w:pPr>
              <w:tabs>
                <w:tab w:val="center" w:pos="4153"/>
                <w:tab w:val="right" w:pos="8306"/>
              </w:tabs>
              <w:snapToGrid w:val="0"/>
              <w:spacing w:line="280" w:lineRule="exact"/>
              <w:jc w:val="center"/>
              <w:rPr>
                <w:rFonts w:eastAsia="楷体_GB2312"/>
              </w:rPr>
            </w:pPr>
            <w:r>
              <w:rPr>
                <w:rFonts w:hint="eastAsia" w:eastAsia="楷体_GB2312"/>
              </w:rPr>
              <w:t>朱仙庄幼儿园</w:t>
            </w:r>
          </w:p>
        </w:tc>
        <w:tc>
          <w:tcPr>
            <w:tcW w:w="0" w:type="auto"/>
            <w:noWrap w:val="0"/>
            <w:vAlign w:val="center"/>
          </w:tcPr>
          <w:p w14:paraId="0A64CA26">
            <w:pPr>
              <w:jc w:val="center"/>
              <w:rPr>
                <w:rFonts w:eastAsia="楷体_GB2312"/>
                <w:szCs w:val="21"/>
              </w:rPr>
            </w:pPr>
            <w:r>
              <w:rPr>
                <w:rFonts w:hint="eastAsia" w:eastAsia="楷体_GB2312"/>
                <w:szCs w:val="21"/>
              </w:rPr>
              <w:t>5</w:t>
            </w:r>
          </w:p>
        </w:tc>
        <w:tc>
          <w:tcPr>
            <w:tcW w:w="0" w:type="auto"/>
            <w:noWrap w:val="0"/>
            <w:vAlign w:val="center"/>
          </w:tcPr>
          <w:p w14:paraId="7F57F4AD">
            <w:pPr>
              <w:jc w:val="center"/>
              <w:rPr>
                <w:rFonts w:eastAsia="楷体_GB2312"/>
                <w:szCs w:val="21"/>
              </w:rPr>
            </w:pPr>
            <w:r>
              <w:rPr>
                <w:rFonts w:hint="eastAsia" w:eastAsia="楷体_GB2312"/>
                <w:szCs w:val="21"/>
              </w:rPr>
              <w:t>142</w:t>
            </w:r>
          </w:p>
        </w:tc>
        <w:tc>
          <w:tcPr>
            <w:tcW w:w="0" w:type="auto"/>
            <w:noWrap w:val="0"/>
            <w:vAlign w:val="center"/>
          </w:tcPr>
          <w:p w14:paraId="56004997">
            <w:pPr>
              <w:jc w:val="center"/>
              <w:rPr>
                <w:rFonts w:eastAsia="楷体_GB2312"/>
                <w:szCs w:val="21"/>
              </w:rPr>
            </w:pPr>
            <w:r>
              <w:rPr>
                <w:rFonts w:hint="eastAsia" w:eastAsia="楷体_GB2312"/>
                <w:szCs w:val="21"/>
              </w:rPr>
              <w:t>14</w:t>
            </w:r>
          </w:p>
        </w:tc>
      </w:tr>
      <w:tr w14:paraId="78D6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273F4204">
            <w:pPr>
              <w:tabs>
                <w:tab w:val="left" w:pos="0"/>
                <w:tab w:val="left" w:pos="295"/>
              </w:tabs>
              <w:jc w:val="center"/>
              <w:rPr>
                <w:rFonts w:eastAsia="楷体_GB2312"/>
                <w:szCs w:val="21"/>
              </w:rPr>
            </w:pPr>
            <w:r>
              <w:rPr>
                <w:rFonts w:eastAsia="楷体_GB2312"/>
                <w:szCs w:val="21"/>
              </w:rPr>
              <w:t>3</w:t>
            </w:r>
          </w:p>
        </w:tc>
        <w:tc>
          <w:tcPr>
            <w:tcW w:w="0" w:type="auto"/>
            <w:noWrap w:val="0"/>
            <w:vAlign w:val="center"/>
          </w:tcPr>
          <w:p w14:paraId="4EEE293F">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蕲县镇</w:t>
            </w:r>
          </w:p>
        </w:tc>
        <w:tc>
          <w:tcPr>
            <w:tcW w:w="0" w:type="auto"/>
            <w:noWrap w:val="0"/>
            <w:vAlign w:val="center"/>
          </w:tcPr>
          <w:p w14:paraId="58D9EC97">
            <w:pPr>
              <w:spacing w:line="280" w:lineRule="exact"/>
              <w:jc w:val="center"/>
              <w:rPr>
                <w:rFonts w:eastAsia="楷体_GB2312"/>
              </w:rPr>
            </w:pPr>
            <w:r>
              <w:rPr>
                <w:rFonts w:eastAsia="楷体_GB2312"/>
              </w:rPr>
              <w:t>01</w:t>
            </w:r>
          </w:p>
        </w:tc>
        <w:tc>
          <w:tcPr>
            <w:tcW w:w="0" w:type="auto"/>
            <w:noWrap w:val="0"/>
            <w:vAlign w:val="center"/>
          </w:tcPr>
          <w:p w14:paraId="1B5EA2C4">
            <w:pPr>
              <w:tabs>
                <w:tab w:val="center" w:pos="4153"/>
                <w:tab w:val="right" w:pos="8306"/>
              </w:tabs>
              <w:snapToGrid w:val="0"/>
              <w:spacing w:line="280" w:lineRule="exact"/>
              <w:jc w:val="center"/>
              <w:rPr>
                <w:rFonts w:eastAsia="楷体_GB2312"/>
              </w:rPr>
            </w:pPr>
            <w:r>
              <w:rPr>
                <w:rFonts w:hint="eastAsia" w:eastAsia="楷体_GB2312"/>
              </w:rPr>
              <w:t>蕲县幼儿园</w:t>
            </w:r>
          </w:p>
        </w:tc>
        <w:tc>
          <w:tcPr>
            <w:tcW w:w="0" w:type="auto"/>
            <w:noWrap w:val="0"/>
            <w:vAlign w:val="center"/>
          </w:tcPr>
          <w:p w14:paraId="47EB59F8">
            <w:pPr>
              <w:jc w:val="center"/>
              <w:rPr>
                <w:rFonts w:eastAsia="楷体_GB2312"/>
                <w:szCs w:val="21"/>
              </w:rPr>
            </w:pPr>
            <w:r>
              <w:rPr>
                <w:rFonts w:hint="eastAsia" w:eastAsia="楷体_GB2312"/>
                <w:szCs w:val="21"/>
              </w:rPr>
              <w:t>17</w:t>
            </w:r>
          </w:p>
        </w:tc>
        <w:tc>
          <w:tcPr>
            <w:tcW w:w="0" w:type="auto"/>
            <w:noWrap w:val="0"/>
            <w:vAlign w:val="center"/>
          </w:tcPr>
          <w:p w14:paraId="7949D645">
            <w:pPr>
              <w:jc w:val="center"/>
              <w:rPr>
                <w:rFonts w:eastAsia="楷体_GB2312"/>
                <w:szCs w:val="21"/>
              </w:rPr>
            </w:pPr>
            <w:r>
              <w:rPr>
                <w:rFonts w:hint="eastAsia" w:eastAsia="楷体_GB2312"/>
                <w:szCs w:val="21"/>
              </w:rPr>
              <w:t>560</w:t>
            </w:r>
          </w:p>
        </w:tc>
        <w:tc>
          <w:tcPr>
            <w:tcW w:w="0" w:type="auto"/>
            <w:noWrap w:val="0"/>
            <w:vAlign w:val="center"/>
          </w:tcPr>
          <w:p w14:paraId="0B8DAE75">
            <w:pPr>
              <w:jc w:val="center"/>
              <w:rPr>
                <w:rFonts w:eastAsia="楷体_GB2312"/>
                <w:szCs w:val="21"/>
              </w:rPr>
            </w:pPr>
            <w:r>
              <w:rPr>
                <w:rFonts w:hint="eastAsia" w:eastAsia="楷体_GB2312"/>
                <w:szCs w:val="21"/>
              </w:rPr>
              <w:t>24</w:t>
            </w:r>
          </w:p>
        </w:tc>
      </w:tr>
      <w:tr w14:paraId="086C4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3B6D654E">
            <w:pPr>
              <w:tabs>
                <w:tab w:val="left" w:pos="0"/>
                <w:tab w:val="left" w:pos="295"/>
              </w:tabs>
              <w:jc w:val="center"/>
              <w:rPr>
                <w:rFonts w:eastAsia="楷体_GB2312"/>
                <w:szCs w:val="21"/>
              </w:rPr>
            </w:pPr>
            <w:r>
              <w:rPr>
                <w:rFonts w:eastAsia="楷体_GB2312"/>
                <w:szCs w:val="21"/>
              </w:rPr>
              <w:t>4</w:t>
            </w:r>
          </w:p>
        </w:tc>
        <w:tc>
          <w:tcPr>
            <w:tcW w:w="0" w:type="auto"/>
            <w:noWrap w:val="0"/>
            <w:vAlign w:val="center"/>
          </w:tcPr>
          <w:p w14:paraId="7E6BD31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芦岭镇</w:t>
            </w:r>
          </w:p>
        </w:tc>
        <w:tc>
          <w:tcPr>
            <w:tcW w:w="0" w:type="auto"/>
            <w:noWrap w:val="0"/>
            <w:vAlign w:val="center"/>
          </w:tcPr>
          <w:p w14:paraId="781215DC">
            <w:pPr>
              <w:spacing w:line="280" w:lineRule="exact"/>
              <w:jc w:val="center"/>
              <w:rPr>
                <w:rFonts w:eastAsia="楷体_GB2312"/>
              </w:rPr>
            </w:pPr>
            <w:r>
              <w:rPr>
                <w:rFonts w:eastAsia="楷体_GB2312"/>
              </w:rPr>
              <w:t>01</w:t>
            </w:r>
          </w:p>
        </w:tc>
        <w:tc>
          <w:tcPr>
            <w:tcW w:w="0" w:type="auto"/>
            <w:noWrap w:val="0"/>
            <w:vAlign w:val="center"/>
          </w:tcPr>
          <w:p w14:paraId="53A80A12">
            <w:pPr>
              <w:tabs>
                <w:tab w:val="center" w:pos="4153"/>
                <w:tab w:val="right" w:pos="8306"/>
              </w:tabs>
              <w:snapToGrid w:val="0"/>
              <w:spacing w:line="280" w:lineRule="exact"/>
              <w:jc w:val="center"/>
              <w:rPr>
                <w:rFonts w:eastAsia="楷体_GB2312"/>
              </w:rPr>
            </w:pPr>
            <w:r>
              <w:rPr>
                <w:rFonts w:hint="eastAsia" w:eastAsia="楷体_GB2312"/>
              </w:rPr>
              <w:t>芦岭镇中心校</w:t>
            </w:r>
          </w:p>
        </w:tc>
        <w:tc>
          <w:tcPr>
            <w:tcW w:w="0" w:type="auto"/>
            <w:noWrap w:val="0"/>
            <w:vAlign w:val="center"/>
          </w:tcPr>
          <w:p w14:paraId="600FA49F">
            <w:pPr>
              <w:jc w:val="center"/>
              <w:rPr>
                <w:rFonts w:eastAsia="楷体_GB2312"/>
                <w:szCs w:val="21"/>
              </w:rPr>
            </w:pPr>
            <w:r>
              <w:rPr>
                <w:rFonts w:hint="eastAsia" w:eastAsia="楷体_GB2312"/>
                <w:szCs w:val="21"/>
              </w:rPr>
              <w:t>9</w:t>
            </w:r>
          </w:p>
        </w:tc>
        <w:tc>
          <w:tcPr>
            <w:tcW w:w="0" w:type="auto"/>
            <w:noWrap w:val="0"/>
            <w:vAlign w:val="center"/>
          </w:tcPr>
          <w:p w14:paraId="2B258785">
            <w:pPr>
              <w:jc w:val="center"/>
              <w:rPr>
                <w:rFonts w:eastAsia="楷体_GB2312"/>
                <w:szCs w:val="21"/>
              </w:rPr>
            </w:pPr>
            <w:r>
              <w:rPr>
                <w:rFonts w:hint="eastAsia" w:eastAsia="楷体_GB2312"/>
                <w:szCs w:val="21"/>
              </w:rPr>
              <w:t>338</w:t>
            </w:r>
          </w:p>
        </w:tc>
        <w:tc>
          <w:tcPr>
            <w:tcW w:w="0" w:type="auto"/>
            <w:noWrap w:val="0"/>
            <w:vAlign w:val="center"/>
          </w:tcPr>
          <w:p w14:paraId="2620B150">
            <w:pPr>
              <w:jc w:val="center"/>
              <w:rPr>
                <w:rFonts w:eastAsia="楷体_GB2312"/>
                <w:szCs w:val="21"/>
              </w:rPr>
            </w:pPr>
            <w:r>
              <w:rPr>
                <w:rFonts w:hint="eastAsia" w:eastAsia="楷体_GB2312"/>
                <w:szCs w:val="21"/>
              </w:rPr>
              <w:t>22</w:t>
            </w:r>
          </w:p>
        </w:tc>
      </w:tr>
      <w:tr w14:paraId="4DF4B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3203F75F">
            <w:pPr>
              <w:tabs>
                <w:tab w:val="left" w:pos="0"/>
                <w:tab w:val="left" w:pos="295"/>
              </w:tabs>
              <w:jc w:val="center"/>
              <w:rPr>
                <w:rFonts w:eastAsia="楷体_GB2312"/>
                <w:szCs w:val="21"/>
              </w:rPr>
            </w:pPr>
            <w:r>
              <w:rPr>
                <w:rFonts w:eastAsia="楷体_GB2312"/>
                <w:szCs w:val="21"/>
              </w:rPr>
              <w:t>5</w:t>
            </w:r>
          </w:p>
        </w:tc>
        <w:tc>
          <w:tcPr>
            <w:tcW w:w="0" w:type="auto"/>
            <w:noWrap w:val="0"/>
            <w:vAlign w:val="center"/>
          </w:tcPr>
          <w:p w14:paraId="085E8C2C">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大店镇</w:t>
            </w:r>
          </w:p>
        </w:tc>
        <w:tc>
          <w:tcPr>
            <w:tcW w:w="0" w:type="auto"/>
            <w:noWrap w:val="0"/>
            <w:vAlign w:val="center"/>
          </w:tcPr>
          <w:p w14:paraId="4842798C">
            <w:pPr>
              <w:spacing w:line="280" w:lineRule="exact"/>
              <w:jc w:val="center"/>
              <w:rPr>
                <w:rFonts w:eastAsia="楷体_GB2312"/>
              </w:rPr>
            </w:pPr>
            <w:r>
              <w:rPr>
                <w:rFonts w:eastAsia="楷体_GB2312"/>
              </w:rPr>
              <w:t>01</w:t>
            </w:r>
          </w:p>
        </w:tc>
        <w:tc>
          <w:tcPr>
            <w:tcW w:w="0" w:type="auto"/>
            <w:noWrap w:val="0"/>
            <w:vAlign w:val="center"/>
          </w:tcPr>
          <w:p w14:paraId="328EC496">
            <w:pPr>
              <w:tabs>
                <w:tab w:val="center" w:pos="4153"/>
                <w:tab w:val="right" w:pos="8306"/>
              </w:tabs>
              <w:snapToGrid w:val="0"/>
              <w:spacing w:line="280" w:lineRule="exact"/>
              <w:jc w:val="center"/>
              <w:rPr>
                <w:rFonts w:eastAsia="楷体_GB2312"/>
              </w:rPr>
            </w:pPr>
            <w:r>
              <w:rPr>
                <w:rFonts w:hint="eastAsia" w:eastAsia="楷体_GB2312"/>
              </w:rPr>
              <w:t>大店中心幼儿园</w:t>
            </w:r>
          </w:p>
        </w:tc>
        <w:tc>
          <w:tcPr>
            <w:tcW w:w="0" w:type="auto"/>
            <w:noWrap w:val="0"/>
            <w:vAlign w:val="center"/>
          </w:tcPr>
          <w:p w14:paraId="6AEB12D8">
            <w:pPr>
              <w:jc w:val="center"/>
              <w:rPr>
                <w:rFonts w:eastAsia="楷体_GB2312"/>
                <w:szCs w:val="21"/>
              </w:rPr>
            </w:pPr>
            <w:r>
              <w:rPr>
                <w:rFonts w:hint="eastAsia" w:eastAsia="楷体_GB2312"/>
                <w:szCs w:val="21"/>
              </w:rPr>
              <w:t>12</w:t>
            </w:r>
          </w:p>
        </w:tc>
        <w:tc>
          <w:tcPr>
            <w:tcW w:w="0" w:type="auto"/>
            <w:noWrap w:val="0"/>
            <w:vAlign w:val="center"/>
          </w:tcPr>
          <w:p w14:paraId="079BFA22">
            <w:pPr>
              <w:jc w:val="center"/>
              <w:rPr>
                <w:rFonts w:eastAsia="楷体_GB2312"/>
                <w:szCs w:val="21"/>
              </w:rPr>
            </w:pPr>
            <w:r>
              <w:rPr>
                <w:rFonts w:hint="eastAsia" w:eastAsia="楷体_GB2312"/>
                <w:szCs w:val="21"/>
              </w:rPr>
              <w:t>423</w:t>
            </w:r>
          </w:p>
        </w:tc>
        <w:tc>
          <w:tcPr>
            <w:tcW w:w="0" w:type="auto"/>
            <w:noWrap w:val="0"/>
            <w:vAlign w:val="center"/>
          </w:tcPr>
          <w:p w14:paraId="1AE391BE">
            <w:pPr>
              <w:jc w:val="center"/>
              <w:rPr>
                <w:rFonts w:eastAsia="楷体_GB2312"/>
                <w:szCs w:val="21"/>
              </w:rPr>
            </w:pPr>
            <w:r>
              <w:rPr>
                <w:rFonts w:hint="eastAsia" w:eastAsia="楷体_GB2312"/>
                <w:szCs w:val="21"/>
              </w:rPr>
              <w:t>20</w:t>
            </w:r>
          </w:p>
        </w:tc>
      </w:tr>
      <w:tr w14:paraId="49AC2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2225FE40">
            <w:pPr>
              <w:tabs>
                <w:tab w:val="left" w:pos="0"/>
                <w:tab w:val="left" w:pos="295"/>
              </w:tabs>
              <w:jc w:val="center"/>
              <w:rPr>
                <w:rFonts w:eastAsia="楷体_GB2312"/>
                <w:szCs w:val="21"/>
              </w:rPr>
            </w:pPr>
            <w:r>
              <w:rPr>
                <w:rFonts w:eastAsia="楷体_GB2312"/>
                <w:szCs w:val="21"/>
              </w:rPr>
              <w:t>6</w:t>
            </w:r>
          </w:p>
        </w:tc>
        <w:tc>
          <w:tcPr>
            <w:tcW w:w="0" w:type="auto"/>
            <w:noWrap w:val="0"/>
            <w:vAlign w:val="center"/>
          </w:tcPr>
          <w:p w14:paraId="01C3891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栏杆镇</w:t>
            </w:r>
          </w:p>
        </w:tc>
        <w:tc>
          <w:tcPr>
            <w:tcW w:w="0" w:type="auto"/>
            <w:noWrap w:val="0"/>
            <w:vAlign w:val="center"/>
          </w:tcPr>
          <w:p w14:paraId="3BE74004">
            <w:pPr>
              <w:spacing w:line="280" w:lineRule="exact"/>
              <w:jc w:val="center"/>
              <w:rPr>
                <w:rFonts w:eastAsia="楷体_GB2312"/>
              </w:rPr>
            </w:pPr>
            <w:r>
              <w:rPr>
                <w:rFonts w:eastAsia="楷体_GB2312"/>
              </w:rPr>
              <w:t>01</w:t>
            </w:r>
          </w:p>
        </w:tc>
        <w:tc>
          <w:tcPr>
            <w:tcW w:w="0" w:type="auto"/>
            <w:noWrap w:val="0"/>
            <w:vAlign w:val="center"/>
          </w:tcPr>
          <w:p w14:paraId="50129FEE">
            <w:pPr>
              <w:tabs>
                <w:tab w:val="center" w:pos="4153"/>
                <w:tab w:val="right" w:pos="8306"/>
              </w:tabs>
              <w:snapToGrid w:val="0"/>
              <w:spacing w:line="280" w:lineRule="exact"/>
              <w:jc w:val="center"/>
              <w:rPr>
                <w:rFonts w:eastAsia="楷体_GB2312"/>
              </w:rPr>
            </w:pPr>
            <w:r>
              <w:rPr>
                <w:rFonts w:hint="eastAsia" w:eastAsia="楷体_GB2312"/>
              </w:rPr>
              <w:t>栏杆幼儿园</w:t>
            </w:r>
          </w:p>
        </w:tc>
        <w:tc>
          <w:tcPr>
            <w:tcW w:w="0" w:type="auto"/>
            <w:noWrap w:val="0"/>
            <w:vAlign w:val="center"/>
          </w:tcPr>
          <w:p w14:paraId="1DDC6176">
            <w:pPr>
              <w:jc w:val="center"/>
              <w:rPr>
                <w:rFonts w:eastAsia="楷体_GB2312"/>
                <w:szCs w:val="21"/>
              </w:rPr>
            </w:pPr>
            <w:r>
              <w:rPr>
                <w:rFonts w:hint="eastAsia" w:eastAsia="楷体_GB2312"/>
                <w:szCs w:val="21"/>
              </w:rPr>
              <w:t>10</w:t>
            </w:r>
          </w:p>
        </w:tc>
        <w:tc>
          <w:tcPr>
            <w:tcW w:w="0" w:type="auto"/>
            <w:noWrap w:val="0"/>
            <w:vAlign w:val="center"/>
          </w:tcPr>
          <w:p w14:paraId="58577C17">
            <w:pPr>
              <w:jc w:val="center"/>
              <w:rPr>
                <w:rFonts w:eastAsia="楷体_GB2312"/>
                <w:szCs w:val="21"/>
              </w:rPr>
            </w:pPr>
            <w:r>
              <w:rPr>
                <w:rFonts w:hint="eastAsia" w:eastAsia="楷体_GB2312"/>
                <w:szCs w:val="21"/>
              </w:rPr>
              <w:t>322</w:t>
            </w:r>
          </w:p>
        </w:tc>
        <w:tc>
          <w:tcPr>
            <w:tcW w:w="0" w:type="auto"/>
            <w:noWrap w:val="0"/>
            <w:vAlign w:val="center"/>
          </w:tcPr>
          <w:p w14:paraId="68B18B28">
            <w:pPr>
              <w:jc w:val="center"/>
              <w:rPr>
                <w:rFonts w:eastAsia="楷体_GB2312"/>
                <w:szCs w:val="21"/>
              </w:rPr>
            </w:pPr>
            <w:r>
              <w:rPr>
                <w:rFonts w:hint="eastAsia" w:eastAsia="楷体_GB2312"/>
                <w:szCs w:val="21"/>
              </w:rPr>
              <w:t>14</w:t>
            </w:r>
          </w:p>
        </w:tc>
      </w:tr>
      <w:tr w14:paraId="62BA5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5846D32C">
            <w:pPr>
              <w:tabs>
                <w:tab w:val="left" w:pos="0"/>
                <w:tab w:val="left" w:pos="295"/>
              </w:tabs>
              <w:jc w:val="center"/>
              <w:rPr>
                <w:rFonts w:eastAsia="楷体_GB2312"/>
                <w:szCs w:val="21"/>
              </w:rPr>
            </w:pPr>
            <w:r>
              <w:rPr>
                <w:rFonts w:eastAsia="楷体_GB2312"/>
                <w:szCs w:val="21"/>
              </w:rPr>
              <w:t>7</w:t>
            </w:r>
          </w:p>
        </w:tc>
        <w:tc>
          <w:tcPr>
            <w:tcW w:w="0" w:type="auto"/>
            <w:noWrap w:val="0"/>
            <w:vAlign w:val="center"/>
          </w:tcPr>
          <w:p w14:paraId="191B1946">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时村镇</w:t>
            </w:r>
          </w:p>
        </w:tc>
        <w:tc>
          <w:tcPr>
            <w:tcW w:w="0" w:type="auto"/>
            <w:noWrap w:val="0"/>
            <w:vAlign w:val="center"/>
          </w:tcPr>
          <w:p w14:paraId="1E91AA5B">
            <w:pPr>
              <w:spacing w:line="280" w:lineRule="exact"/>
              <w:jc w:val="center"/>
              <w:rPr>
                <w:rFonts w:eastAsia="楷体_GB2312"/>
              </w:rPr>
            </w:pPr>
            <w:r>
              <w:rPr>
                <w:rFonts w:eastAsia="楷体_GB2312"/>
              </w:rPr>
              <w:t>01</w:t>
            </w:r>
          </w:p>
        </w:tc>
        <w:tc>
          <w:tcPr>
            <w:tcW w:w="0" w:type="auto"/>
            <w:noWrap w:val="0"/>
            <w:vAlign w:val="center"/>
          </w:tcPr>
          <w:p w14:paraId="21DE51C7">
            <w:pPr>
              <w:tabs>
                <w:tab w:val="center" w:pos="4153"/>
                <w:tab w:val="right" w:pos="8306"/>
              </w:tabs>
              <w:snapToGrid w:val="0"/>
              <w:spacing w:line="280" w:lineRule="exact"/>
              <w:jc w:val="center"/>
              <w:rPr>
                <w:rFonts w:eastAsia="楷体_GB2312"/>
              </w:rPr>
            </w:pPr>
            <w:r>
              <w:rPr>
                <w:rFonts w:hint="eastAsia" w:eastAsia="楷体_GB2312"/>
              </w:rPr>
              <w:t>时村镇幼儿园</w:t>
            </w:r>
          </w:p>
        </w:tc>
        <w:tc>
          <w:tcPr>
            <w:tcW w:w="0" w:type="auto"/>
            <w:noWrap w:val="0"/>
            <w:vAlign w:val="center"/>
          </w:tcPr>
          <w:p w14:paraId="01621FD4">
            <w:pPr>
              <w:jc w:val="center"/>
              <w:rPr>
                <w:rFonts w:eastAsia="楷体_GB2312"/>
                <w:szCs w:val="21"/>
              </w:rPr>
            </w:pPr>
            <w:r>
              <w:rPr>
                <w:rFonts w:hint="eastAsia" w:eastAsia="楷体_GB2312"/>
                <w:szCs w:val="21"/>
              </w:rPr>
              <w:t>9</w:t>
            </w:r>
          </w:p>
        </w:tc>
        <w:tc>
          <w:tcPr>
            <w:tcW w:w="0" w:type="auto"/>
            <w:noWrap w:val="0"/>
            <w:vAlign w:val="center"/>
          </w:tcPr>
          <w:p w14:paraId="6FD9C019">
            <w:pPr>
              <w:jc w:val="center"/>
              <w:rPr>
                <w:rFonts w:eastAsia="楷体_GB2312"/>
                <w:szCs w:val="21"/>
              </w:rPr>
            </w:pPr>
            <w:r>
              <w:rPr>
                <w:rFonts w:hint="eastAsia" w:eastAsia="楷体_GB2312"/>
                <w:szCs w:val="21"/>
              </w:rPr>
              <w:t>300</w:t>
            </w:r>
          </w:p>
        </w:tc>
        <w:tc>
          <w:tcPr>
            <w:tcW w:w="0" w:type="auto"/>
            <w:noWrap w:val="0"/>
            <w:vAlign w:val="center"/>
          </w:tcPr>
          <w:p w14:paraId="135FB991">
            <w:pPr>
              <w:jc w:val="center"/>
              <w:rPr>
                <w:rFonts w:eastAsia="楷体_GB2312"/>
                <w:szCs w:val="21"/>
              </w:rPr>
            </w:pPr>
            <w:r>
              <w:rPr>
                <w:rFonts w:hint="eastAsia" w:eastAsia="楷体_GB2312"/>
                <w:szCs w:val="21"/>
              </w:rPr>
              <w:t>16</w:t>
            </w:r>
          </w:p>
        </w:tc>
      </w:tr>
      <w:tr w14:paraId="50985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5A60A627">
            <w:pPr>
              <w:tabs>
                <w:tab w:val="left" w:pos="0"/>
                <w:tab w:val="left" w:pos="295"/>
              </w:tabs>
              <w:jc w:val="center"/>
              <w:rPr>
                <w:rFonts w:eastAsia="楷体_GB2312"/>
                <w:szCs w:val="21"/>
              </w:rPr>
            </w:pPr>
            <w:r>
              <w:rPr>
                <w:rFonts w:eastAsia="楷体_GB2312"/>
                <w:szCs w:val="21"/>
              </w:rPr>
              <w:t>8</w:t>
            </w:r>
          </w:p>
        </w:tc>
        <w:tc>
          <w:tcPr>
            <w:tcW w:w="0" w:type="auto"/>
            <w:noWrap w:val="0"/>
            <w:vAlign w:val="center"/>
          </w:tcPr>
          <w:p w14:paraId="7A4C06E5">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夹沟镇</w:t>
            </w:r>
          </w:p>
        </w:tc>
        <w:tc>
          <w:tcPr>
            <w:tcW w:w="0" w:type="auto"/>
            <w:noWrap w:val="0"/>
            <w:vAlign w:val="center"/>
          </w:tcPr>
          <w:p w14:paraId="356170C4">
            <w:pPr>
              <w:spacing w:line="280" w:lineRule="exact"/>
              <w:jc w:val="center"/>
              <w:rPr>
                <w:rFonts w:eastAsia="楷体_GB2312"/>
              </w:rPr>
            </w:pPr>
            <w:r>
              <w:rPr>
                <w:rFonts w:eastAsia="楷体_GB2312"/>
              </w:rPr>
              <w:t>01</w:t>
            </w:r>
          </w:p>
        </w:tc>
        <w:tc>
          <w:tcPr>
            <w:tcW w:w="0" w:type="auto"/>
            <w:noWrap w:val="0"/>
            <w:vAlign w:val="center"/>
          </w:tcPr>
          <w:p w14:paraId="6E24BFC9">
            <w:pPr>
              <w:tabs>
                <w:tab w:val="center" w:pos="4153"/>
                <w:tab w:val="right" w:pos="8306"/>
              </w:tabs>
              <w:snapToGrid w:val="0"/>
              <w:spacing w:line="280" w:lineRule="exact"/>
              <w:jc w:val="center"/>
              <w:rPr>
                <w:rFonts w:eastAsia="楷体_GB2312"/>
              </w:rPr>
            </w:pPr>
            <w:r>
              <w:rPr>
                <w:rFonts w:hint="eastAsia" w:eastAsia="楷体_GB2312"/>
              </w:rPr>
              <w:t>夹沟镇幼儿园</w:t>
            </w:r>
          </w:p>
        </w:tc>
        <w:tc>
          <w:tcPr>
            <w:tcW w:w="0" w:type="auto"/>
            <w:noWrap w:val="0"/>
            <w:vAlign w:val="center"/>
          </w:tcPr>
          <w:p w14:paraId="2C8AE14C">
            <w:pPr>
              <w:jc w:val="center"/>
              <w:rPr>
                <w:rFonts w:eastAsia="楷体_GB2312"/>
                <w:szCs w:val="21"/>
              </w:rPr>
            </w:pPr>
            <w:r>
              <w:rPr>
                <w:rFonts w:hint="eastAsia" w:eastAsia="楷体_GB2312"/>
                <w:szCs w:val="21"/>
              </w:rPr>
              <w:t>9</w:t>
            </w:r>
          </w:p>
        </w:tc>
        <w:tc>
          <w:tcPr>
            <w:tcW w:w="0" w:type="auto"/>
            <w:noWrap w:val="0"/>
            <w:vAlign w:val="center"/>
          </w:tcPr>
          <w:p w14:paraId="7566E7A8">
            <w:pPr>
              <w:jc w:val="center"/>
              <w:rPr>
                <w:rFonts w:eastAsia="楷体_GB2312"/>
                <w:szCs w:val="21"/>
              </w:rPr>
            </w:pPr>
            <w:r>
              <w:rPr>
                <w:rFonts w:hint="eastAsia" w:eastAsia="楷体_GB2312"/>
                <w:szCs w:val="21"/>
              </w:rPr>
              <w:t>271</w:t>
            </w:r>
          </w:p>
        </w:tc>
        <w:tc>
          <w:tcPr>
            <w:tcW w:w="0" w:type="auto"/>
            <w:noWrap w:val="0"/>
            <w:vAlign w:val="center"/>
          </w:tcPr>
          <w:p w14:paraId="6CEF8BA6">
            <w:pPr>
              <w:jc w:val="center"/>
              <w:rPr>
                <w:rFonts w:eastAsia="楷体_GB2312"/>
                <w:szCs w:val="21"/>
              </w:rPr>
            </w:pPr>
            <w:r>
              <w:rPr>
                <w:rFonts w:hint="eastAsia" w:eastAsia="楷体_GB2312"/>
                <w:szCs w:val="21"/>
              </w:rPr>
              <w:t>20</w:t>
            </w:r>
          </w:p>
        </w:tc>
      </w:tr>
      <w:tr w14:paraId="747D0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364B239C">
            <w:pPr>
              <w:tabs>
                <w:tab w:val="left" w:pos="0"/>
                <w:tab w:val="left" w:pos="295"/>
              </w:tabs>
              <w:jc w:val="center"/>
              <w:rPr>
                <w:rFonts w:eastAsia="楷体_GB2312"/>
                <w:szCs w:val="21"/>
              </w:rPr>
            </w:pPr>
            <w:r>
              <w:rPr>
                <w:rFonts w:eastAsia="楷体_GB2312"/>
                <w:szCs w:val="21"/>
              </w:rPr>
              <w:t>9</w:t>
            </w:r>
          </w:p>
        </w:tc>
        <w:tc>
          <w:tcPr>
            <w:tcW w:w="0" w:type="auto"/>
            <w:noWrap w:val="0"/>
            <w:vAlign w:val="center"/>
          </w:tcPr>
          <w:p w14:paraId="7207AA38">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西二铺乡</w:t>
            </w:r>
          </w:p>
        </w:tc>
        <w:tc>
          <w:tcPr>
            <w:tcW w:w="0" w:type="auto"/>
            <w:noWrap w:val="0"/>
            <w:vAlign w:val="center"/>
          </w:tcPr>
          <w:p w14:paraId="051E382D">
            <w:pPr>
              <w:spacing w:line="280" w:lineRule="exact"/>
              <w:jc w:val="center"/>
              <w:rPr>
                <w:rFonts w:eastAsia="楷体_GB2312"/>
              </w:rPr>
            </w:pPr>
            <w:r>
              <w:rPr>
                <w:rFonts w:eastAsia="楷体_GB2312"/>
              </w:rPr>
              <w:t>01</w:t>
            </w:r>
          </w:p>
        </w:tc>
        <w:tc>
          <w:tcPr>
            <w:tcW w:w="0" w:type="auto"/>
            <w:noWrap w:val="0"/>
            <w:vAlign w:val="center"/>
          </w:tcPr>
          <w:p w14:paraId="63B7DFD1">
            <w:pPr>
              <w:tabs>
                <w:tab w:val="center" w:pos="4153"/>
                <w:tab w:val="right" w:pos="8306"/>
              </w:tabs>
              <w:snapToGrid w:val="0"/>
              <w:spacing w:line="280" w:lineRule="exact"/>
              <w:jc w:val="center"/>
              <w:rPr>
                <w:rFonts w:eastAsia="楷体_GB2312"/>
              </w:rPr>
            </w:pPr>
            <w:r>
              <w:rPr>
                <w:rFonts w:hint="eastAsia" w:eastAsia="楷体_GB2312"/>
              </w:rPr>
              <w:t>西二铺中心幼儿园</w:t>
            </w:r>
          </w:p>
        </w:tc>
        <w:tc>
          <w:tcPr>
            <w:tcW w:w="0" w:type="auto"/>
            <w:noWrap w:val="0"/>
            <w:vAlign w:val="center"/>
          </w:tcPr>
          <w:p w14:paraId="5C8E284A">
            <w:pPr>
              <w:jc w:val="center"/>
              <w:rPr>
                <w:rFonts w:eastAsia="楷体_GB2312"/>
                <w:szCs w:val="21"/>
              </w:rPr>
            </w:pPr>
            <w:r>
              <w:rPr>
                <w:rFonts w:hint="eastAsia" w:eastAsia="楷体_GB2312"/>
                <w:szCs w:val="21"/>
              </w:rPr>
              <w:t>6</w:t>
            </w:r>
          </w:p>
        </w:tc>
        <w:tc>
          <w:tcPr>
            <w:tcW w:w="0" w:type="auto"/>
            <w:noWrap w:val="0"/>
            <w:vAlign w:val="center"/>
          </w:tcPr>
          <w:p w14:paraId="64A2BA48">
            <w:pPr>
              <w:jc w:val="center"/>
              <w:rPr>
                <w:rFonts w:eastAsia="楷体_GB2312"/>
                <w:szCs w:val="21"/>
              </w:rPr>
            </w:pPr>
            <w:r>
              <w:rPr>
                <w:rFonts w:hint="eastAsia" w:eastAsia="楷体_GB2312"/>
                <w:szCs w:val="21"/>
              </w:rPr>
              <w:t>255</w:t>
            </w:r>
          </w:p>
        </w:tc>
        <w:tc>
          <w:tcPr>
            <w:tcW w:w="0" w:type="auto"/>
            <w:noWrap w:val="0"/>
            <w:vAlign w:val="center"/>
          </w:tcPr>
          <w:p w14:paraId="319857DF">
            <w:pPr>
              <w:jc w:val="center"/>
              <w:rPr>
                <w:rFonts w:eastAsia="楷体_GB2312"/>
                <w:szCs w:val="21"/>
              </w:rPr>
            </w:pPr>
            <w:r>
              <w:rPr>
                <w:rFonts w:hint="eastAsia" w:eastAsia="楷体_GB2312"/>
                <w:szCs w:val="21"/>
              </w:rPr>
              <w:t>7</w:t>
            </w:r>
          </w:p>
        </w:tc>
      </w:tr>
      <w:tr w14:paraId="257F7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noWrap w:val="0"/>
            <w:vAlign w:val="center"/>
          </w:tcPr>
          <w:p w14:paraId="10A746D5">
            <w:pPr>
              <w:tabs>
                <w:tab w:val="left" w:pos="0"/>
                <w:tab w:val="left" w:pos="295"/>
              </w:tabs>
              <w:jc w:val="center"/>
              <w:rPr>
                <w:rFonts w:eastAsia="楷体_GB2312"/>
                <w:szCs w:val="21"/>
              </w:rPr>
            </w:pPr>
            <w:r>
              <w:rPr>
                <w:rFonts w:eastAsia="楷体_GB2312"/>
                <w:szCs w:val="21"/>
              </w:rPr>
              <w:t>10</w:t>
            </w:r>
          </w:p>
        </w:tc>
        <w:tc>
          <w:tcPr>
            <w:tcW w:w="0" w:type="auto"/>
            <w:vMerge w:val="restart"/>
            <w:noWrap w:val="0"/>
            <w:vAlign w:val="center"/>
          </w:tcPr>
          <w:p w14:paraId="78C33198">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桃园镇</w:t>
            </w:r>
          </w:p>
        </w:tc>
        <w:tc>
          <w:tcPr>
            <w:tcW w:w="0" w:type="auto"/>
            <w:noWrap w:val="0"/>
            <w:vAlign w:val="center"/>
          </w:tcPr>
          <w:p w14:paraId="27D0846A">
            <w:pPr>
              <w:spacing w:line="280" w:lineRule="exact"/>
              <w:jc w:val="center"/>
              <w:rPr>
                <w:rFonts w:eastAsia="楷体_GB2312"/>
              </w:rPr>
            </w:pPr>
            <w:r>
              <w:rPr>
                <w:rFonts w:hint="eastAsia" w:eastAsia="楷体_GB2312"/>
              </w:rPr>
              <w:t>01</w:t>
            </w:r>
          </w:p>
        </w:tc>
        <w:tc>
          <w:tcPr>
            <w:tcW w:w="0" w:type="auto"/>
            <w:noWrap w:val="0"/>
            <w:vAlign w:val="center"/>
          </w:tcPr>
          <w:p w14:paraId="7F441DEF">
            <w:pPr>
              <w:tabs>
                <w:tab w:val="center" w:pos="4153"/>
                <w:tab w:val="right" w:pos="8306"/>
              </w:tabs>
              <w:snapToGrid w:val="0"/>
              <w:spacing w:line="280" w:lineRule="exact"/>
              <w:jc w:val="center"/>
              <w:rPr>
                <w:rFonts w:eastAsia="楷体_GB2312"/>
              </w:rPr>
            </w:pPr>
            <w:r>
              <w:rPr>
                <w:rFonts w:hint="eastAsia" w:eastAsia="楷体_GB2312"/>
              </w:rPr>
              <w:t>北杨寨中心幼儿园</w:t>
            </w:r>
          </w:p>
        </w:tc>
        <w:tc>
          <w:tcPr>
            <w:tcW w:w="0" w:type="auto"/>
            <w:noWrap w:val="0"/>
            <w:vAlign w:val="center"/>
          </w:tcPr>
          <w:p w14:paraId="37675ADC">
            <w:pPr>
              <w:jc w:val="center"/>
              <w:rPr>
                <w:rFonts w:eastAsia="楷体_GB2312"/>
                <w:szCs w:val="21"/>
              </w:rPr>
            </w:pPr>
            <w:r>
              <w:rPr>
                <w:rFonts w:hint="eastAsia" w:eastAsia="楷体_GB2312"/>
                <w:szCs w:val="21"/>
              </w:rPr>
              <w:t>16</w:t>
            </w:r>
          </w:p>
        </w:tc>
        <w:tc>
          <w:tcPr>
            <w:tcW w:w="0" w:type="auto"/>
            <w:noWrap w:val="0"/>
            <w:vAlign w:val="center"/>
          </w:tcPr>
          <w:p w14:paraId="2C5B28B5">
            <w:pPr>
              <w:jc w:val="center"/>
              <w:rPr>
                <w:rFonts w:eastAsia="楷体_GB2312"/>
                <w:szCs w:val="21"/>
              </w:rPr>
            </w:pPr>
            <w:r>
              <w:rPr>
                <w:rFonts w:hint="eastAsia" w:eastAsia="楷体_GB2312"/>
                <w:szCs w:val="21"/>
              </w:rPr>
              <w:t>506</w:t>
            </w:r>
          </w:p>
        </w:tc>
        <w:tc>
          <w:tcPr>
            <w:tcW w:w="0" w:type="auto"/>
            <w:noWrap w:val="0"/>
            <w:vAlign w:val="center"/>
          </w:tcPr>
          <w:p w14:paraId="4AB4787D">
            <w:pPr>
              <w:jc w:val="center"/>
              <w:rPr>
                <w:rFonts w:eastAsia="楷体_GB2312"/>
                <w:szCs w:val="21"/>
              </w:rPr>
            </w:pPr>
            <w:r>
              <w:rPr>
                <w:rFonts w:hint="eastAsia" w:eastAsia="楷体_GB2312"/>
                <w:szCs w:val="21"/>
              </w:rPr>
              <w:t>28</w:t>
            </w:r>
          </w:p>
        </w:tc>
      </w:tr>
      <w:tr w14:paraId="56DE0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14:paraId="371E8EC2">
            <w:pPr>
              <w:tabs>
                <w:tab w:val="left" w:pos="0"/>
                <w:tab w:val="left" w:pos="295"/>
              </w:tabs>
              <w:jc w:val="center"/>
              <w:rPr>
                <w:rFonts w:eastAsia="楷体_GB2312"/>
                <w:szCs w:val="21"/>
              </w:rPr>
            </w:pPr>
          </w:p>
        </w:tc>
        <w:tc>
          <w:tcPr>
            <w:tcW w:w="0" w:type="auto"/>
            <w:vMerge w:val="continue"/>
            <w:noWrap w:val="0"/>
            <w:vAlign w:val="center"/>
          </w:tcPr>
          <w:p w14:paraId="5CF4B9AF">
            <w:pPr>
              <w:pStyle w:val="20"/>
              <w:tabs>
                <w:tab w:val="left" w:pos="0"/>
                <w:tab w:val="left" w:pos="295"/>
              </w:tabs>
              <w:jc w:val="center"/>
              <w:rPr>
                <w:rFonts w:ascii="Times New Roman" w:hAnsi="Times New Roman" w:eastAsia="楷体_GB2312" w:cs="Times New Roman"/>
              </w:rPr>
            </w:pPr>
          </w:p>
        </w:tc>
        <w:tc>
          <w:tcPr>
            <w:tcW w:w="0" w:type="auto"/>
            <w:noWrap w:val="0"/>
            <w:vAlign w:val="center"/>
          </w:tcPr>
          <w:p w14:paraId="70374633">
            <w:pPr>
              <w:spacing w:line="280" w:lineRule="exact"/>
              <w:jc w:val="center"/>
              <w:rPr>
                <w:rFonts w:eastAsia="楷体_GB2312"/>
              </w:rPr>
            </w:pPr>
            <w:r>
              <w:rPr>
                <w:rFonts w:eastAsia="楷体_GB2312"/>
              </w:rPr>
              <w:t>0</w:t>
            </w:r>
            <w:r>
              <w:rPr>
                <w:rFonts w:hint="eastAsia" w:eastAsia="楷体_GB2312"/>
              </w:rPr>
              <w:t>2</w:t>
            </w:r>
          </w:p>
        </w:tc>
        <w:tc>
          <w:tcPr>
            <w:tcW w:w="0" w:type="auto"/>
            <w:noWrap w:val="0"/>
            <w:vAlign w:val="center"/>
          </w:tcPr>
          <w:p w14:paraId="60F0C105">
            <w:pPr>
              <w:tabs>
                <w:tab w:val="center" w:pos="4153"/>
                <w:tab w:val="right" w:pos="8306"/>
              </w:tabs>
              <w:snapToGrid w:val="0"/>
              <w:spacing w:line="280" w:lineRule="exact"/>
              <w:jc w:val="center"/>
              <w:rPr>
                <w:rFonts w:hint="eastAsia" w:eastAsia="楷体_GB2312"/>
              </w:rPr>
            </w:pPr>
            <w:r>
              <w:rPr>
                <w:rFonts w:hint="eastAsia" w:eastAsia="楷体_GB2312"/>
              </w:rPr>
              <w:t>桃园镇幼儿园</w:t>
            </w:r>
          </w:p>
        </w:tc>
        <w:tc>
          <w:tcPr>
            <w:tcW w:w="0" w:type="auto"/>
            <w:noWrap w:val="0"/>
            <w:vAlign w:val="center"/>
          </w:tcPr>
          <w:p w14:paraId="07854487">
            <w:pPr>
              <w:jc w:val="center"/>
              <w:rPr>
                <w:rFonts w:hint="eastAsia" w:eastAsia="楷体_GB2312"/>
                <w:szCs w:val="21"/>
              </w:rPr>
            </w:pPr>
            <w:r>
              <w:rPr>
                <w:rFonts w:hint="eastAsia" w:eastAsia="楷体_GB2312"/>
                <w:szCs w:val="21"/>
              </w:rPr>
              <w:t>7</w:t>
            </w:r>
          </w:p>
        </w:tc>
        <w:tc>
          <w:tcPr>
            <w:tcW w:w="0" w:type="auto"/>
            <w:noWrap w:val="0"/>
            <w:vAlign w:val="center"/>
          </w:tcPr>
          <w:p w14:paraId="1A357290">
            <w:pPr>
              <w:jc w:val="center"/>
              <w:rPr>
                <w:rFonts w:hint="eastAsia" w:eastAsia="楷体_GB2312"/>
                <w:szCs w:val="21"/>
              </w:rPr>
            </w:pPr>
            <w:r>
              <w:rPr>
                <w:rFonts w:hint="eastAsia" w:eastAsia="楷体_GB2312"/>
                <w:szCs w:val="21"/>
              </w:rPr>
              <w:t>202</w:t>
            </w:r>
          </w:p>
        </w:tc>
        <w:tc>
          <w:tcPr>
            <w:tcW w:w="0" w:type="auto"/>
            <w:noWrap w:val="0"/>
            <w:vAlign w:val="center"/>
          </w:tcPr>
          <w:p w14:paraId="6B95F05C">
            <w:pPr>
              <w:jc w:val="center"/>
              <w:rPr>
                <w:rFonts w:hint="eastAsia" w:eastAsia="楷体_GB2312"/>
                <w:szCs w:val="21"/>
              </w:rPr>
            </w:pPr>
            <w:r>
              <w:rPr>
                <w:rFonts w:hint="eastAsia" w:eastAsia="楷体_GB2312"/>
                <w:szCs w:val="21"/>
              </w:rPr>
              <w:t>10</w:t>
            </w:r>
          </w:p>
        </w:tc>
      </w:tr>
      <w:tr w14:paraId="13D0E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533065BF">
            <w:pPr>
              <w:tabs>
                <w:tab w:val="left" w:pos="0"/>
                <w:tab w:val="left" w:pos="295"/>
              </w:tabs>
              <w:jc w:val="center"/>
              <w:rPr>
                <w:rFonts w:eastAsia="楷体_GB2312"/>
                <w:szCs w:val="21"/>
              </w:rPr>
            </w:pPr>
            <w:r>
              <w:rPr>
                <w:rFonts w:hint="eastAsia" w:eastAsia="楷体_GB2312"/>
                <w:szCs w:val="21"/>
              </w:rPr>
              <w:t>11</w:t>
            </w:r>
          </w:p>
        </w:tc>
        <w:tc>
          <w:tcPr>
            <w:tcW w:w="0" w:type="auto"/>
            <w:noWrap w:val="0"/>
            <w:vAlign w:val="center"/>
          </w:tcPr>
          <w:p w14:paraId="29A89C4D">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曹村镇</w:t>
            </w:r>
          </w:p>
        </w:tc>
        <w:tc>
          <w:tcPr>
            <w:tcW w:w="0" w:type="auto"/>
            <w:noWrap w:val="0"/>
            <w:vAlign w:val="center"/>
          </w:tcPr>
          <w:p w14:paraId="47599B5C">
            <w:pPr>
              <w:jc w:val="center"/>
            </w:pPr>
            <w:r>
              <w:rPr>
                <w:rFonts w:eastAsia="楷体_GB2312"/>
              </w:rPr>
              <w:t>01</w:t>
            </w:r>
          </w:p>
        </w:tc>
        <w:tc>
          <w:tcPr>
            <w:tcW w:w="0" w:type="auto"/>
            <w:noWrap w:val="0"/>
            <w:vAlign w:val="center"/>
          </w:tcPr>
          <w:p w14:paraId="24F84D78">
            <w:pPr>
              <w:tabs>
                <w:tab w:val="center" w:pos="4153"/>
                <w:tab w:val="right" w:pos="8306"/>
              </w:tabs>
              <w:snapToGrid w:val="0"/>
              <w:spacing w:line="280" w:lineRule="exact"/>
              <w:jc w:val="center"/>
              <w:rPr>
                <w:rFonts w:eastAsia="楷体_GB2312"/>
              </w:rPr>
            </w:pPr>
            <w:r>
              <w:rPr>
                <w:rFonts w:hint="eastAsia" w:eastAsia="楷体_GB2312"/>
              </w:rPr>
              <w:t>曹村幼儿园</w:t>
            </w:r>
          </w:p>
        </w:tc>
        <w:tc>
          <w:tcPr>
            <w:tcW w:w="0" w:type="auto"/>
            <w:noWrap w:val="0"/>
            <w:vAlign w:val="center"/>
          </w:tcPr>
          <w:p w14:paraId="794E4EC7">
            <w:pPr>
              <w:jc w:val="center"/>
              <w:rPr>
                <w:rFonts w:eastAsia="楷体_GB2312"/>
                <w:szCs w:val="21"/>
              </w:rPr>
            </w:pPr>
            <w:r>
              <w:rPr>
                <w:rFonts w:hint="eastAsia" w:eastAsia="楷体_GB2312"/>
                <w:szCs w:val="21"/>
              </w:rPr>
              <w:t>6</w:t>
            </w:r>
          </w:p>
        </w:tc>
        <w:tc>
          <w:tcPr>
            <w:tcW w:w="0" w:type="auto"/>
            <w:noWrap w:val="0"/>
            <w:vAlign w:val="center"/>
          </w:tcPr>
          <w:p w14:paraId="3A549EAD">
            <w:pPr>
              <w:jc w:val="center"/>
              <w:rPr>
                <w:rFonts w:eastAsia="楷体_GB2312"/>
                <w:szCs w:val="21"/>
              </w:rPr>
            </w:pPr>
            <w:r>
              <w:rPr>
                <w:rFonts w:hint="eastAsia" w:eastAsia="楷体_GB2312"/>
                <w:szCs w:val="21"/>
              </w:rPr>
              <w:t>240</w:t>
            </w:r>
          </w:p>
        </w:tc>
        <w:tc>
          <w:tcPr>
            <w:tcW w:w="0" w:type="auto"/>
            <w:noWrap w:val="0"/>
            <w:vAlign w:val="center"/>
          </w:tcPr>
          <w:p w14:paraId="6B98162D">
            <w:pPr>
              <w:jc w:val="center"/>
              <w:rPr>
                <w:rFonts w:eastAsia="楷体_GB2312"/>
                <w:szCs w:val="21"/>
              </w:rPr>
            </w:pPr>
            <w:r>
              <w:rPr>
                <w:rFonts w:hint="eastAsia" w:eastAsia="楷体_GB2312"/>
                <w:szCs w:val="21"/>
              </w:rPr>
              <w:t>13</w:t>
            </w:r>
          </w:p>
        </w:tc>
      </w:tr>
      <w:tr w14:paraId="2856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0B39659C">
            <w:pPr>
              <w:tabs>
                <w:tab w:val="left" w:pos="0"/>
                <w:tab w:val="left" w:pos="295"/>
              </w:tabs>
              <w:jc w:val="center"/>
              <w:rPr>
                <w:rFonts w:eastAsia="楷体_GB2312"/>
                <w:szCs w:val="21"/>
              </w:rPr>
            </w:pPr>
            <w:r>
              <w:rPr>
                <w:rFonts w:hint="eastAsia" w:eastAsia="楷体_GB2312"/>
                <w:szCs w:val="21"/>
              </w:rPr>
              <w:t>12</w:t>
            </w:r>
          </w:p>
        </w:tc>
        <w:tc>
          <w:tcPr>
            <w:tcW w:w="0" w:type="auto"/>
            <w:noWrap w:val="0"/>
            <w:vAlign w:val="center"/>
          </w:tcPr>
          <w:p w14:paraId="41717EE9">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大营镇</w:t>
            </w:r>
          </w:p>
        </w:tc>
        <w:tc>
          <w:tcPr>
            <w:tcW w:w="0" w:type="auto"/>
            <w:noWrap w:val="0"/>
            <w:vAlign w:val="center"/>
          </w:tcPr>
          <w:p w14:paraId="27470F40">
            <w:pPr>
              <w:jc w:val="center"/>
            </w:pPr>
            <w:r>
              <w:rPr>
                <w:rFonts w:eastAsia="楷体_GB2312"/>
              </w:rPr>
              <w:t>01</w:t>
            </w:r>
          </w:p>
        </w:tc>
        <w:tc>
          <w:tcPr>
            <w:tcW w:w="0" w:type="auto"/>
            <w:noWrap w:val="0"/>
            <w:vAlign w:val="center"/>
          </w:tcPr>
          <w:p w14:paraId="70E24CC0">
            <w:pPr>
              <w:tabs>
                <w:tab w:val="center" w:pos="4153"/>
                <w:tab w:val="right" w:pos="8306"/>
              </w:tabs>
              <w:snapToGrid w:val="0"/>
              <w:spacing w:line="280" w:lineRule="exact"/>
              <w:jc w:val="center"/>
              <w:rPr>
                <w:rFonts w:eastAsia="楷体_GB2312"/>
              </w:rPr>
            </w:pPr>
            <w:r>
              <w:rPr>
                <w:rFonts w:hint="eastAsia" w:eastAsia="楷体_GB2312"/>
              </w:rPr>
              <w:t>大营中心幼儿园</w:t>
            </w:r>
          </w:p>
        </w:tc>
        <w:tc>
          <w:tcPr>
            <w:tcW w:w="0" w:type="auto"/>
            <w:noWrap w:val="0"/>
            <w:vAlign w:val="center"/>
          </w:tcPr>
          <w:p w14:paraId="3CA41CE8">
            <w:pPr>
              <w:jc w:val="center"/>
              <w:rPr>
                <w:rFonts w:eastAsia="楷体_GB2312"/>
                <w:szCs w:val="21"/>
              </w:rPr>
            </w:pPr>
            <w:r>
              <w:rPr>
                <w:rFonts w:hint="eastAsia" w:eastAsia="楷体_GB2312"/>
                <w:szCs w:val="21"/>
              </w:rPr>
              <w:t>24</w:t>
            </w:r>
          </w:p>
        </w:tc>
        <w:tc>
          <w:tcPr>
            <w:tcW w:w="0" w:type="auto"/>
            <w:noWrap w:val="0"/>
            <w:vAlign w:val="center"/>
          </w:tcPr>
          <w:p w14:paraId="0EB246D0">
            <w:pPr>
              <w:jc w:val="center"/>
              <w:rPr>
                <w:rFonts w:eastAsia="楷体_GB2312"/>
                <w:szCs w:val="21"/>
              </w:rPr>
            </w:pPr>
            <w:r>
              <w:rPr>
                <w:rFonts w:hint="eastAsia" w:eastAsia="楷体_GB2312"/>
                <w:szCs w:val="21"/>
              </w:rPr>
              <w:t>853</w:t>
            </w:r>
          </w:p>
        </w:tc>
        <w:tc>
          <w:tcPr>
            <w:tcW w:w="0" w:type="auto"/>
            <w:noWrap w:val="0"/>
            <w:vAlign w:val="center"/>
          </w:tcPr>
          <w:p w14:paraId="6B66D898">
            <w:pPr>
              <w:jc w:val="center"/>
              <w:rPr>
                <w:rFonts w:eastAsia="楷体_GB2312"/>
                <w:szCs w:val="21"/>
              </w:rPr>
            </w:pPr>
            <w:r>
              <w:rPr>
                <w:rFonts w:hint="eastAsia" w:eastAsia="楷体_GB2312"/>
                <w:szCs w:val="21"/>
              </w:rPr>
              <w:t>32</w:t>
            </w:r>
          </w:p>
        </w:tc>
      </w:tr>
      <w:tr w14:paraId="01CF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438085A0">
            <w:pPr>
              <w:tabs>
                <w:tab w:val="left" w:pos="0"/>
                <w:tab w:val="left" w:pos="295"/>
              </w:tabs>
              <w:jc w:val="center"/>
              <w:rPr>
                <w:rFonts w:eastAsia="楷体_GB2312"/>
                <w:szCs w:val="21"/>
              </w:rPr>
            </w:pPr>
            <w:r>
              <w:rPr>
                <w:rFonts w:hint="eastAsia" w:eastAsia="楷体_GB2312"/>
                <w:szCs w:val="21"/>
              </w:rPr>
              <w:t>13</w:t>
            </w:r>
          </w:p>
        </w:tc>
        <w:tc>
          <w:tcPr>
            <w:tcW w:w="0" w:type="auto"/>
            <w:noWrap w:val="0"/>
            <w:vAlign w:val="center"/>
          </w:tcPr>
          <w:p w14:paraId="0F075709">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褚兰镇</w:t>
            </w:r>
          </w:p>
        </w:tc>
        <w:tc>
          <w:tcPr>
            <w:tcW w:w="0" w:type="auto"/>
            <w:noWrap w:val="0"/>
            <w:vAlign w:val="center"/>
          </w:tcPr>
          <w:p w14:paraId="739BA305">
            <w:pPr>
              <w:jc w:val="center"/>
            </w:pPr>
            <w:r>
              <w:rPr>
                <w:rFonts w:eastAsia="楷体_GB2312"/>
              </w:rPr>
              <w:t>01</w:t>
            </w:r>
          </w:p>
        </w:tc>
        <w:tc>
          <w:tcPr>
            <w:tcW w:w="0" w:type="auto"/>
            <w:noWrap w:val="0"/>
            <w:vAlign w:val="center"/>
          </w:tcPr>
          <w:p w14:paraId="7A36D366">
            <w:pPr>
              <w:tabs>
                <w:tab w:val="center" w:pos="4153"/>
                <w:tab w:val="right" w:pos="8306"/>
              </w:tabs>
              <w:snapToGrid w:val="0"/>
              <w:spacing w:line="280" w:lineRule="exact"/>
              <w:jc w:val="center"/>
              <w:rPr>
                <w:rFonts w:eastAsia="楷体_GB2312"/>
              </w:rPr>
            </w:pPr>
            <w:r>
              <w:rPr>
                <w:rFonts w:hint="eastAsia" w:eastAsia="楷体_GB2312"/>
              </w:rPr>
              <w:t>褚兰幼儿园</w:t>
            </w:r>
          </w:p>
        </w:tc>
        <w:tc>
          <w:tcPr>
            <w:tcW w:w="0" w:type="auto"/>
            <w:noWrap w:val="0"/>
            <w:vAlign w:val="center"/>
          </w:tcPr>
          <w:p w14:paraId="3CFA20DA">
            <w:pPr>
              <w:jc w:val="center"/>
              <w:rPr>
                <w:rFonts w:eastAsia="楷体_GB2312"/>
                <w:szCs w:val="21"/>
              </w:rPr>
            </w:pPr>
            <w:r>
              <w:rPr>
                <w:rFonts w:hint="eastAsia" w:eastAsia="楷体_GB2312"/>
                <w:szCs w:val="21"/>
              </w:rPr>
              <w:t>6</w:t>
            </w:r>
          </w:p>
        </w:tc>
        <w:tc>
          <w:tcPr>
            <w:tcW w:w="0" w:type="auto"/>
            <w:noWrap w:val="0"/>
            <w:vAlign w:val="center"/>
          </w:tcPr>
          <w:p w14:paraId="07AD9FB0">
            <w:pPr>
              <w:jc w:val="center"/>
              <w:rPr>
                <w:rFonts w:eastAsia="楷体_GB2312"/>
                <w:szCs w:val="21"/>
              </w:rPr>
            </w:pPr>
            <w:r>
              <w:rPr>
                <w:rFonts w:hint="eastAsia" w:eastAsia="楷体_GB2312"/>
                <w:szCs w:val="21"/>
              </w:rPr>
              <w:t>129</w:t>
            </w:r>
          </w:p>
        </w:tc>
        <w:tc>
          <w:tcPr>
            <w:tcW w:w="0" w:type="auto"/>
            <w:noWrap w:val="0"/>
            <w:vAlign w:val="center"/>
          </w:tcPr>
          <w:p w14:paraId="60E39BB1">
            <w:pPr>
              <w:jc w:val="center"/>
              <w:rPr>
                <w:rFonts w:eastAsia="楷体_GB2312"/>
                <w:szCs w:val="21"/>
              </w:rPr>
            </w:pPr>
            <w:r>
              <w:rPr>
                <w:rFonts w:hint="eastAsia" w:eastAsia="楷体_GB2312"/>
                <w:szCs w:val="21"/>
              </w:rPr>
              <w:t>15</w:t>
            </w:r>
          </w:p>
        </w:tc>
      </w:tr>
      <w:tr w14:paraId="42390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015F4A63">
            <w:pPr>
              <w:tabs>
                <w:tab w:val="left" w:pos="0"/>
                <w:tab w:val="left" w:pos="295"/>
              </w:tabs>
              <w:jc w:val="center"/>
              <w:rPr>
                <w:rFonts w:eastAsia="楷体_GB2312"/>
                <w:szCs w:val="21"/>
              </w:rPr>
            </w:pPr>
            <w:r>
              <w:rPr>
                <w:rFonts w:hint="eastAsia" w:eastAsia="楷体_GB2312"/>
                <w:szCs w:val="21"/>
              </w:rPr>
              <w:t>14</w:t>
            </w:r>
          </w:p>
        </w:tc>
        <w:tc>
          <w:tcPr>
            <w:tcW w:w="0" w:type="auto"/>
            <w:noWrap w:val="0"/>
            <w:vAlign w:val="center"/>
          </w:tcPr>
          <w:p w14:paraId="35A9DC49">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顺河镇</w:t>
            </w:r>
          </w:p>
        </w:tc>
        <w:tc>
          <w:tcPr>
            <w:tcW w:w="0" w:type="auto"/>
            <w:noWrap w:val="0"/>
            <w:vAlign w:val="center"/>
          </w:tcPr>
          <w:p w14:paraId="5E76B845">
            <w:pPr>
              <w:jc w:val="center"/>
            </w:pPr>
            <w:r>
              <w:rPr>
                <w:rFonts w:eastAsia="楷体_GB2312"/>
              </w:rPr>
              <w:t>01</w:t>
            </w:r>
          </w:p>
        </w:tc>
        <w:tc>
          <w:tcPr>
            <w:tcW w:w="0" w:type="auto"/>
            <w:noWrap w:val="0"/>
            <w:vAlign w:val="center"/>
          </w:tcPr>
          <w:p w14:paraId="2D4A3B87">
            <w:pPr>
              <w:tabs>
                <w:tab w:val="center" w:pos="4153"/>
                <w:tab w:val="right" w:pos="8306"/>
              </w:tabs>
              <w:snapToGrid w:val="0"/>
              <w:spacing w:line="280" w:lineRule="exact"/>
              <w:jc w:val="center"/>
              <w:rPr>
                <w:rFonts w:eastAsia="楷体_GB2312"/>
              </w:rPr>
            </w:pPr>
            <w:r>
              <w:rPr>
                <w:rFonts w:hint="eastAsia" w:eastAsia="楷体_GB2312"/>
              </w:rPr>
              <w:t>顺河乡中心幼儿园</w:t>
            </w:r>
          </w:p>
        </w:tc>
        <w:tc>
          <w:tcPr>
            <w:tcW w:w="0" w:type="auto"/>
            <w:noWrap w:val="0"/>
            <w:vAlign w:val="center"/>
          </w:tcPr>
          <w:p w14:paraId="4CB51633">
            <w:pPr>
              <w:jc w:val="center"/>
              <w:rPr>
                <w:rFonts w:eastAsia="楷体_GB2312"/>
                <w:szCs w:val="21"/>
              </w:rPr>
            </w:pPr>
            <w:r>
              <w:rPr>
                <w:rFonts w:hint="eastAsia" w:eastAsia="楷体_GB2312"/>
                <w:szCs w:val="21"/>
              </w:rPr>
              <w:t>6</w:t>
            </w:r>
          </w:p>
        </w:tc>
        <w:tc>
          <w:tcPr>
            <w:tcW w:w="0" w:type="auto"/>
            <w:noWrap w:val="0"/>
            <w:vAlign w:val="center"/>
          </w:tcPr>
          <w:p w14:paraId="59AB9CA3">
            <w:pPr>
              <w:jc w:val="center"/>
              <w:rPr>
                <w:rFonts w:eastAsia="楷体_GB2312"/>
                <w:szCs w:val="21"/>
              </w:rPr>
            </w:pPr>
            <w:r>
              <w:rPr>
                <w:rFonts w:hint="eastAsia" w:eastAsia="楷体_GB2312"/>
                <w:szCs w:val="21"/>
              </w:rPr>
              <w:t>203</w:t>
            </w:r>
          </w:p>
        </w:tc>
        <w:tc>
          <w:tcPr>
            <w:tcW w:w="0" w:type="auto"/>
            <w:noWrap w:val="0"/>
            <w:vAlign w:val="center"/>
          </w:tcPr>
          <w:p w14:paraId="21A0DE95">
            <w:pPr>
              <w:jc w:val="center"/>
              <w:rPr>
                <w:rFonts w:eastAsia="楷体_GB2312"/>
                <w:szCs w:val="21"/>
              </w:rPr>
            </w:pPr>
            <w:r>
              <w:rPr>
                <w:rFonts w:hint="eastAsia" w:eastAsia="楷体_GB2312"/>
                <w:szCs w:val="21"/>
              </w:rPr>
              <w:t>13</w:t>
            </w:r>
          </w:p>
        </w:tc>
      </w:tr>
      <w:tr w14:paraId="4370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0989710D">
            <w:pPr>
              <w:tabs>
                <w:tab w:val="left" w:pos="0"/>
                <w:tab w:val="left" w:pos="295"/>
              </w:tabs>
              <w:jc w:val="center"/>
              <w:rPr>
                <w:rFonts w:eastAsia="楷体_GB2312"/>
                <w:szCs w:val="21"/>
              </w:rPr>
            </w:pPr>
            <w:r>
              <w:rPr>
                <w:rFonts w:hint="eastAsia" w:eastAsia="楷体_GB2312"/>
                <w:szCs w:val="21"/>
              </w:rPr>
              <w:t>15</w:t>
            </w:r>
          </w:p>
        </w:tc>
        <w:tc>
          <w:tcPr>
            <w:tcW w:w="0" w:type="auto"/>
            <w:noWrap w:val="0"/>
            <w:vAlign w:val="center"/>
          </w:tcPr>
          <w:p w14:paraId="1C194AF7">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杨庄镇</w:t>
            </w:r>
          </w:p>
        </w:tc>
        <w:tc>
          <w:tcPr>
            <w:tcW w:w="0" w:type="auto"/>
            <w:noWrap w:val="0"/>
            <w:vAlign w:val="center"/>
          </w:tcPr>
          <w:p w14:paraId="6C1A329C">
            <w:pPr>
              <w:jc w:val="center"/>
            </w:pPr>
            <w:r>
              <w:rPr>
                <w:rFonts w:eastAsia="楷体_GB2312"/>
              </w:rPr>
              <w:t>01</w:t>
            </w:r>
          </w:p>
        </w:tc>
        <w:tc>
          <w:tcPr>
            <w:tcW w:w="0" w:type="auto"/>
            <w:noWrap w:val="0"/>
            <w:vAlign w:val="center"/>
          </w:tcPr>
          <w:p w14:paraId="6CEB474A">
            <w:pPr>
              <w:tabs>
                <w:tab w:val="center" w:pos="4153"/>
                <w:tab w:val="right" w:pos="8306"/>
              </w:tabs>
              <w:snapToGrid w:val="0"/>
              <w:spacing w:line="280" w:lineRule="exact"/>
              <w:jc w:val="center"/>
              <w:rPr>
                <w:rFonts w:eastAsia="楷体_GB2312"/>
              </w:rPr>
            </w:pPr>
            <w:r>
              <w:rPr>
                <w:rFonts w:hint="eastAsia" w:eastAsia="楷体_GB2312"/>
              </w:rPr>
              <w:t>杨庄镇中心幼儿园</w:t>
            </w:r>
          </w:p>
        </w:tc>
        <w:tc>
          <w:tcPr>
            <w:tcW w:w="0" w:type="auto"/>
            <w:noWrap w:val="0"/>
            <w:vAlign w:val="center"/>
          </w:tcPr>
          <w:p w14:paraId="5DF6AFCB">
            <w:pPr>
              <w:jc w:val="center"/>
              <w:rPr>
                <w:rFonts w:eastAsia="楷体_GB2312"/>
                <w:szCs w:val="21"/>
              </w:rPr>
            </w:pPr>
            <w:r>
              <w:rPr>
                <w:rFonts w:hint="eastAsia" w:eastAsia="楷体_GB2312"/>
                <w:szCs w:val="21"/>
              </w:rPr>
              <w:t>7</w:t>
            </w:r>
          </w:p>
        </w:tc>
        <w:tc>
          <w:tcPr>
            <w:tcW w:w="0" w:type="auto"/>
            <w:noWrap w:val="0"/>
            <w:vAlign w:val="center"/>
          </w:tcPr>
          <w:p w14:paraId="12BA8B5D">
            <w:pPr>
              <w:jc w:val="center"/>
              <w:rPr>
                <w:rFonts w:eastAsia="楷体_GB2312"/>
                <w:szCs w:val="21"/>
              </w:rPr>
            </w:pPr>
            <w:r>
              <w:rPr>
                <w:rFonts w:hint="eastAsia" w:eastAsia="楷体_GB2312"/>
                <w:szCs w:val="21"/>
              </w:rPr>
              <w:t>204</w:t>
            </w:r>
          </w:p>
        </w:tc>
        <w:tc>
          <w:tcPr>
            <w:tcW w:w="0" w:type="auto"/>
            <w:noWrap w:val="0"/>
            <w:vAlign w:val="center"/>
          </w:tcPr>
          <w:p w14:paraId="3E04032A">
            <w:pPr>
              <w:jc w:val="center"/>
              <w:rPr>
                <w:rFonts w:eastAsia="楷体_GB2312"/>
                <w:szCs w:val="21"/>
              </w:rPr>
            </w:pPr>
            <w:r>
              <w:rPr>
                <w:rFonts w:hint="eastAsia" w:eastAsia="楷体_GB2312"/>
                <w:szCs w:val="21"/>
              </w:rPr>
              <w:t>14</w:t>
            </w:r>
          </w:p>
        </w:tc>
      </w:tr>
      <w:tr w14:paraId="6CC23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3D478E52">
            <w:pPr>
              <w:tabs>
                <w:tab w:val="left" w:pos="0"/>
                <w:tab w:val="left" w:pos="295"/>
              </w:tabs>
              <w:jc w:val="center"/>
              <w:rPr>
                <w:rFonts w:eastAsia="楷体_GB2312"/>
                <w:szCs w:val="21"/>
              </w:rPr>
            </w:pPr>
            <w:r>
              <w:rPr>
                <w:rFonts w:hint="eastAsia" w:eastAsia="楷体_GB2312"/>
                <w:szCs w:val="21"/>
              </w:rPr>
              <w:t>16</w:t>
            </w:r>
          </w:p>
        </w:tc>
        <w:tc>
          <w:tcPr>
            <w:tcW w:w="0" w:type="auto"/>
            <w:noWrap w:val="0"/>
            <w:vAlign w:val="center"/>
          </w:tcPr>
          <w:p w14:paraId="0BDFE856">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永镇乡</w:t>
            </w:r>
          </w:p>
        </w:tc>
        <w:tc>
          <w:tcPr>
            <w:tcW w:w="0" w:type="auto"/>
            <w:noWrap w:val="0"/>
            <w:vAlign w:val="center"/>
          </w:tcPr>
          <w:p w14:paraId="6B6079D0">
            <w:pPr>
              <w:jc w:val="center"/>
            </w:pPr>
            <w:r>
              <w:rPr>
                <w:rFonts w:eastAsia="楷体_GB2312"/>
              </w:rPr>
              <w:t>01</w:t>
            </w:r>
          </w:p>
        </w:tc>
        <w:tc>
          <w:tcPr>
            <w:tcW w:w="0" w:type="auto"/>
            <w:noWrap w:val="0"/>
            <w:vAlign w:val="center"/>
          </w:tcPr>
          <w:p w14:paraId="31DF15A5">
            <w:pPr>
              <w:tabs>
                <w:tab w:val="center" w:pos="4153"/>
                <w:tab w:val="right" w:pos="8306"/>
              </w:tabs>
              <w:snapToGrid w:val="0"/>
              <w:spacing w:line="280" w:lineRule="exact"/>
              <w:jc w:val="center"/>
              <w:rPr>
                <w:rFonts w:eastAsia="楷体_GB2312"/>
              </w:rPr>
            </w:pPr>
            <w:r>
              <w:rPr>
                <w:rFonts w:hint="eastAsia" w:eastAsia="楷体_GB2312"/>
              </w:rPr>
              <w:t>永镇中心幼儿园</w:t>
            </w:r>
          </w:p>
        </w:tc>
        <w:tc>
          <w:tcPr>
            <w:tcW w:w="0" w:type="auto"/>
            <w:noWrap w:val="0"/>
            <w:vAlign w:val="center"/>
          </w:tcPr>
          <w:p w14:paraId="275A74A4">
            <w:pPr>
              <w:jc w:val="center"/>
              <w:rPr>
                <w:rFonts w:eastAsia="楷体_GB2312"/>
                <w:szCs w:val="21"/>
              </w:rPr>
            </w:pPr>
            <w:r>
              <w:rPr>
                <w:rFonts w:hint="eastAsia" w:eastAsia="楷体_GB2312"/>
                <w:szCs w:val="21"/>
              </w:rPr>
              <w:t>3</w:t>
            </w:r>
          </w:p>
        </w:tc>
        <w:tc>
          <w:tcPr>
            <w:tcW w:w="0" w:type="auto"/>
            <w:noWrap w:val="0"/>
            <w:vAlign w:val="center"/>
          </w:tcPr>
          <w:p w14:paraId="2EE8146F">
            <w:pPr>
              <w:jc w:val="center"/>
              <w:rPr>
                <w:rFonts w:eastAsia="楷体_GB2312"/>
                <w:szCs w:val="21"/>
              </w:rPr>
            </w:pPr>
            <w:r>
              <w:rPr>
                <w:rFonts w:hint="eastAsia" w:eastAsia="楷体_GB2312"/>
                <w:szCs w:val="21"/>
              </w:rPr>
              <w:t>71</w:t>
            </w:r>
          </w:p>
        </w:tc>
        <w:tc>
          <w:tcPr>
            <w:tcW w:w="0" w:type="auto"/>
            <w:noWrap w:val="0"/>
            <w:vAlign w:val="center"/>
          </w:tcPr>
          <w:p w14:paraId="601D413A">
            <w:pPr>
              <w:jc w:val="center"/>
              <w:rPr>
                <w:rFonts w:eastAsia="楷体_GB2312"/>
                <w:szCs w:val="21"/>
              </w:rPr>
            </w:pPr>
            <w:r>
              <w:rPr>
                <w:rFonts w:hint="eastAsia" w:eastAsia="楷体_GB2312"/>
                <w:szCs w:val="21"/>
              </w:rPr>
              <w:t>5</w:t>
            </w:r>
          </w:p>
        </w:tc>
      </w:tr>
      <w:tr w14:paraId="29E07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77E42676">
            <w:pPr>
              <w:tabs>
                <w:tab w:val="left" w:pos="0"/>
                <w:tab w:val="left" w:pos="295"/>
              </w:tabs>
              <w:jc w:val="center"/>
              <w:rPr>
                <w:rFonts w:eastAsia="楷体_GB2312"/>
                <w:szCs w:val="21"/>
              </w:rPr>
            </w:pPr>
            <w:r>
              <w:rPr>
                <w:rFonts w:hint="eastAsia" w:eastAsia="楷体_GB2312"/>
                <w:szCs w:val="21"/>
              </w:rPr>
              <w:t>17</w:t>
            </w:r>
          </w:p>
        </w:tc>
        <w:tc>
          <w:tcPr>
            <w:tcW w:w="0" w:type="auto"/>
            <w:noWrap w:val="0"/>
            <w:vAlign w:val="center"/>
          </w:tcPr>
          <w:p w14:paraId="09B1B650">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解集镇</w:t>
            </w:r>
          </w:p>
        </w:tc>
        <w:tc>
          <w:tcPr>
            <w:tcW w:w="0" w:type="auto"/>
            <w:noWrap w:val="0"/>
            <w:vAlign w:val="center"/>
          </w:tcPr>
          <w:p w14:paraId="5DDB33F5">
            <w:pPr>
              <w:jc w:val="center"/>
            </w:pPr>
            <w:r>
              <w:rPr>
                <w:rFonts w:eastAsia="楷体_GB2312"/>
              </w:rPr>
              <w:t>01</w:t>
            </w:r>
          </w:p>
        </w:tc>
        <w:tc>
          <w:tcPr>
            <w:tcW w:w="0" w:type="auto"/>
            <w:noWrap w:val="0"/>
            <w:vAlign w:val="center"/>
          </w:tcPr>
          <w:p w14:paraId="6578E4BE">
            <w:pPr>
              <w:tabs>
                <w:tab w:val="center" w:pos="4153"/>
                <w:tab w:val="right" w:pos="8306"/>
              </w:tabs>
              <w:snapToGrid w:val="0"/>
              <w:spacing w:line="280" w:lineRule="exact"/>
              <w:jc w:val="center"/>
              <w:rPr>
                <w:rFonts w:eastAsia="楷体_GB2312"/>
              </w:rPr>
            </w:pPr>
            <w:r>
              <w:rPr>
                <w:rFonts w:hint="eastAsia" w:eastAsia="楷体_GB2312"/>
              </w:rPr>
              <w:t>解集镇中心幼儿园</w:t>
            </w:r>
          </w:p>
        </w:tc>
        <w:tc>
          <w:tcPr>
            <w:tcW w:w="0" w:type="auto"/>
            <w:noWrap w:val="0"/>
            <w:vAlign w:val="center"/>
          </w:tcPr>
          <w:p w14:paraId="4DCD2487">
            <w:pPr>
              <w:jc w:val="center"/>
              <w:rPr>
                <w:rFonts w:eastAsia="楷体_GB2312"/>
                <w:szCs w:val="21"/>
              </w:rPr>
            </w:pPr>
            <w:r>
              <w:rPr>
                <w:rFonts w:hint="eastAsia" w:eastAsia="楷体_GB2312"/>
                <w:szCs w:val="21"/>
              </w:rPr>
              <w:t>6</w:t>
            </w:r>
          </w:p>
        </w:tc>
        <w:tc>
          <w:tcPr>
            <w:tcW w:w="0" w:type="auto"/>
            <w:noWrap w:val="0"/>
            <w:vAlign w:val="center"/>
          </w:tcPr>
          <w:p w14:paraId="3B7EFC08">
            <w:pPr>
              <w:jc w:val="center"/>
              <w:rPr>
                <w:rFonts w:eastAsia="楷体_GB2312"/>
                <w:szCs w:val="21"/>
              </w:rPr>
            </w:pPr>
            <w:r>
              <w:rPr>
                <w:rFonts w:hint="eastAsia" w:eastAsia="楷体_GB2312"/>
                <w:szCs w:val="21"/>
              </w:rPr>
              <w:t>210</w:t>
            </w:r>
          </w:p>
        </w:tc>
        <w:tc>
          <w:tcPr>
            <w:tcW w:w="0" w:type="auto"/>
            <w:noWrap w:val="0"/>
            <w:vAlign w:val="center"/>
          </w:tcPr>
          <w:p w14:paraId="1D168E5B">
            <w:pPr>
              <w:jc w:val="center"/>
              <w:rPr>
                <w:rFonts w:eastAsia="楷体_GB2312"/>
                <w:szCs w:val="21"/>
              </w:rPr>
            </w:pPr>
            <w:r>
              <w:rPr>
                <w:rFonts w:hint="eastAsia" w:eastAsia="楷体_GB2312"/>
                <w:szCs w:val="21"/>
              </w:rPr>
              <w:t>9</w:t>
            </w:r>
          </w:p>
        </w:tc>
      </w:tr>
      <w:tr w14:paraId="39C9C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56D8015C">
            <w:pPr>
              <w:tabs>
                <w:tab w:val="left" w:pos="0"/>
                <w:tab w:val="left" w:pos="295"/>
              </w:tabs>
              <w:jc w:val="center"/>
              <w:rPr>
                <w:rFonts w:eastAsia="楷体_GB2312"/>
                <w:szCs w:val="21"/>
              </w:rPr>
            </w:pPr>
            <w:r>
              <w:rPr>
                <w:rFonts w:hint="eastAsia" w:eastAsia="楷体_GB2312"/>
                <w:szCs w:val="21"/>
              </w:rPr>
              <w:t>18</w:t>
            </w:r>
          </w:p>
        </w:tc>
        <w:tc>
          <w:tcPr>
            <w:tcW w:w="0" w:type="auto"/>
            <w:noWrap w:val="0"/>
            <w:vAlign w:val="center"/>
          </w:tcPr>
          <w:p w14:paraId="3528D539">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大泽乡镇</w:t>
            </w:r>
          </w:p>
        </w:tc>
        <w:tc>
          <w:tcPr>
            <w:tcW w:w="0" w:type="auto"/>
            <w:noWrap w:val="0"/>
            <w:vAlign w:val="center"/>
          </w:tcPr>
          <w:p w14:paraId="26CC9E4B">
            <w:pPr>
              <w:jc w:val="center"/>
            </w:pPr>
            <w:r>
              <w:rPr>
                <w:rFonts w:eastAsia="楷体_GB2312"/>
              </w:rPr>
              <w:t>01</w:t>
            </w:r>
          </w:p>
        </w:tc>
        <w:tc>
          <w:tcPr>
            <w:tcW w:w="0" w:type="auto"/>
            <w:noWrap w:val="0"/>
            <w:vAlign w:val="center"/>
          </w:tcPr>
          <w:p w14:paraId="47794CFB">
            <w:pPr>
              <w:tabs>
                <w:tab w:val="center" w:pos="4153"/>
                <w:tab w:val="right" w:pos="8306"/>
              </w:tabs>
              <w:snapToGrid w:val="0"/>
              <w:spacing w:line="280" w:lineRule="exact"/>
              <w:jc w:val="center"/>
              <w:rPr>
                <w:rFonts w:eastAsia="楷体_GB2312"/>
              </w:rPr>
            </w:pPr>
            <w:r>
              <w:rPr>
                <w:rFonts w:hint="eastAsia" w:eastAsia="楷体_GB2312"/>
              </w:rPr>
              <w:t>大泽乡镇幼儿园</w:t>
            </w:r>
          </w:p>
        </w:tc>
        <w:tc>
          <w:tcPr>
            <w:tcW w:w="0" w:type="auto"/>
            <w:noWrap w:val="0"/>
            <w:vAlign w:val="center"/>
          </w:tcPr>
          <w:p w14:paraId="1FA9A568">
            <w:pPr>
              <w:jc w:val="center"/>
              <w:rPr>
                <w:rFonts w:eastAsia="楷体_GB2312"/>
                <w:szCs w:val="21"/>
              </w:rPr>
            </w:pPr>
            <w:r>
              <w:rPr>
                <w:rFonts w:hint="eastAsia" w:eastAsia="楷体_GB2312"/>
                <w:szCs w:val="21"/>
              </w:rPr>
              <w:t>10</w:t>
            </w:r>
          </w:p>
        </w:tc>
        <w:tc>
          <w:tcPr>
            <w:tcW w:w="0" w:type="auto"/>
            <w:noWrap w:val="0"/>
            <w:vAlign w:val="center"/>
          </w:tcPr>
          <w:p w14:paraId="6E4E61CE">
            <w:pPr>
              <w:jc w:val="center"/>
              <w:rPr>
                <w:rFonts w:eastAsia="楷体_GB2312"/>
                <w:szCs w:val="21"/>
              </w:rPr>
            </w:pPr>
            <w:r>
              <w:rPr>
                <w:rFonts w:hint="eastAsia" w:eastAsia="楷体_GB2312"/>
                <w:szCs w:val="21"/>
              </w:rPr>
              <w:t>389</w:t>
            </w:r>
          </w:p>
        </w:tc>
        <w:tc>
          <w:tcPr>
            <w:tcW w:w="0" w:type="auto"/>
            <w:noWrap w:val="0"/>
            <w:vAlign w:val="center"/>
          </w:tcPr>
          <w:p w14:paraId="57F8628A">
            <w:pPr>
              <w:jc w:val="center"/>
              <w:rPr>
                <w:rFonts w:eastAsia="楷体_GB2312"/>
                <w:szCs w:val="21"/>
              </w:rPr>
            </w:pPr>
            <w:r>
              <w:rPr>
                <w:rFonts w:hint="eastAsia" w:eastAsia="楷体_GB2312"/>
                <w:szCs w:val="21"/>
              </w:rPr>
              <w:t>17</w:t>
            </w:r>
          </w:p>
        </w:tc>
      </w:tr>
      <w:tr w14:paraId="1FFB7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6745FEE2">
            <w:pPr>
              <w:tabs>
                <w:tab w:val="left" w:pos="0"/>
                <w:tab w:val="left" w:pos="295"/>
              </w:tabs>
              <w:jc w:val="center"/>
              <w:rPr>
                <w:rFonts w:eastAsia="楷体_GB2312"/>
                <w:szCs w:val="21"/>
              </w:rPr>
            </w:pPr>
            <w:r>
              <w:rPr>
                <w:rFonts w:hint="eastAsia" w:eastAsia="楷体_GB2312"/>
                <w:szCs w:val="21"/>
              </w:rPr>
              <w:t>19</w:t>
            </w:r>
          </w:p>
        </w:tc>
        <w:tc>
          <w:tcPr>
            <w:tcW w:w="0" w:type="auto"/>
            <w:noWrap w:val="0"/>
            <w:vAlign w:val="center"/>
          </w:tcPr>
          <w:p w14:paraId="39BB1F51">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永安镇</w:t>
            </w:r>
          </w:p>
        </w:tc>
        <w:tc>
          <w:tcPr>
            <w:tcW w:w="0" w:type="auto"/>
            <w:noWrap w:val="0"/>
            <w:vAlign w:val="center"/>
          </w:tcPr>
          <w:p w14:paraId="47BAA6A6">
            <w:pPr>
              <w:jc w:val="center"/>
            </w:pPr>
            <w:r>
              <w:rPr>
                <w:rFonts w:eastAsia="楷体_GB2312"/>
              </w:rPr>
              <w:t>01</w:t>
            </w:r>
          </w:p>
        </w:tc>
        <w:tc>
          <w:tcPr>
            <w:tcW w:w="0" w:type="auto"/>
            <w:noWrap w:val="0"/>
            <w:vAlign w:val="center"/>
          </w:tcPr>
          <w:p w14:paraId="0CDA4BA0">
            <w:pPr>
              <w:tabs>
                <w:tab w:val="center" w:pos="4153"/>
                <w:tab w:val="right" w:pos="8306"/>
              </w:tabs>
              <w:snapToGrid w:val="0"/>
              <w:spacing w:line="280" w:lineRule="exact"/>
              <w:jc w:val="center"/>
              <w:rPr>
                <w:rFonts w:eastAsia="楷体_GB2312"/>
              </w:rPr>
            </w:pPr>
            <w:r>
              <w:rPr>
                <w:rFonts w:hint="eastAsia" w:eastAsia="楷体_GB2312"/>
              </w:rPr>
              <w:t>永安镇中心幼儿园</w:t>
            </w:r>
          </w:p>
        </w:tc>
        <w:tc>
          <w:tcPr>
            <w:tcW w:w="0" w:type="auto"/>
            <w:noWrap w:val="0"/>
            <w:vAlign w:val="center"/>
          </w:tcPr>
          <w:p w14:paraId="696F14E4">
            <w:pPr>
              <w:jc w:val="center"/>
              <w:rPr>
                <w:rFonts w:eastAsia="楷体_GB2312"/>
                <w:szCs w:val="21"/>
              </w:rPr>
            </w:pPr>
            <w:r>
              <w:rPr>
                <w:rFonts w:hint="eastAsia" w:eastAsia="楷体_GB2312"/>
                <w:szCs w:val="21"/>
              </w:rPr>
              <w:t>8</w:t>
            </w:r>
          </w:p>
        </w:tc>
        <w:tc>
          <w:tcPr>
            <w:tcW w:w="0" w:type="auto"/>
            <w:noWrap w:val="0"/>
            <w:vAlign w:val="center"/>
          </w:tcPr>
          <w:p w14:paraId="01DEBA08">
            <w:pPr>
              <w:jc w:val="center"/>
              <w:rPr>
                <w:rFonts w:eastAsia="楷体_GB2312"/>
                <w:szCs w:val="21"/>
              </w:rPr>
            </w:pPr>
            <w:r>
              <w:rPr>
                <w:rFonts w:hint="eastAsia" w:eastAsia="楷体_GB2312"/>
                <w:szCs w:val="21"/>
              </w:rPr>
              <w:t>257</w:t>
            </w:r>
          </w:p>
        </w:tc>
        <w:tc>
          <w:tcPr>
            <w:tcW w:w="0" w:type="auto"/>
            <w:noWrap w:val="0"/>
            <w:vAlign w:val="center"/>
          </w:tcPr>
          <w:p w14:paraId="271CB651">
            <w:pPr>
              <w:jc w:val="center"/>
              <w:rPr>
                <w:rFonts w:eastAsia="楷体_GB2312"/>
                <w:szCs w:val="21"/>
              </w:rPr>
            </w:pPr>
            <w:r>
              <w:rPr>
                <w:rFonts w:hint="eastAsia" w:eastAsia="楷体_GB2312"/>
                <w:szCs w:val="21"/>
              </w:rPr>
              <w:t>43</w:t>
            </w:r>
          </w:p>
        </w:tc>
      </w:tr>
      <w:tr w14:paraId="01DB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5EB9CE72">
            <w:pPr>
              <w:tabs>
                <w:tab w:val="left" w:pos="0"/>
                <w:tab w:val="left" w:pos="295"/>
              </w:tabs>
              <w:jc w:val="center"/>
              <w:rPr>
                <w:rFonts w:eastAsia="楷体_GB2312"/>
                <w:szCs w:val="21"/>
              </w:rPr>
            </w:pPr>
            <w:r>
              <w:rPr>
                <w:rFonts w:hint="eastAsia" w:eastAsia="楷体_GB2312"/>
                <w:szCs w:val="21"/>
              </w:rPr>
              <w:t>20</w:t>
            </w:r>
          </w:p>
        </w:tc>
        <w:tc>
          <w:tcPr>
            <w:tcW w:w="0" w:type="auto"/>
            <w:noWrap w:val="0"/>
            <w:vAlign w:val="center"/>
          </w:tcPr>
          <w:p w14:paraId="27357A96">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支河乡</w:t>
            </w:r>
          </w:p>
        </w:tc>
        <w:tc>
          <w:tcPr>
            <w:tcW w:w="0" w:type="auto"/>
            <w:noWrap w:val="0"/>
            <w:vAlign w:val="center"/>
          </w:tcPr>
          <w:p w14:paraId="785F1A3B">
            <w:pPr>
              <w:jc w:val="center"/>
            </w:pPr>
            <w:r>
              <w:rPr>
                <w:rFonts w:eastAsia="楷体_GB2312"/>
              </w:rPr>
              <w:t>01</w:t>
            </w:r>
          </w:p>
        </w:tc>
        <w:tc>
          <w:tcPr>
            <w:tcW w:w="0" w:type="auto"/>
            <w:noWrap w:val="0"/>
            <w:vAlign w:val="center"/>
          </w:tcPr>
          <w:p w14:paraId="011BD5E8">
            <w:pPr>
              <w:tabs>
                <w:tab w:val="center" w:pos="4153"/>
                <w:tab w:val="right" w:pos="8306"/>
              </w:tabs>
              <w:snapToGrid w:val="0"/>
              <w:spacing w:line="280" w:lineRule="exact"/>
              <w:jc w:val="center"/>
              <w:rPr>
                <w:rFonts w:eastAsia="楷体_GB2312"/>
              </w:rPr>
            </w:pPr>
            <w:r>
              <w:rPr>
                <w:rFonts w:hint="eastAsia" w:eastAsia="楷体_GB2312"/>
              </w:rPr>
              <w:t>支河乡中心幼儿园</w:t>
            </w:r>
          </w:p>
        </w:tc>
        <w:tc>
          <w:tcPr>
            <w:tcW w:w="0" w:type="auto"/>
            <w:noWrap w:val="0"/>
            <w:vAlign w:val="center"/>
          </w:tcPr>
          <w:p w14:paraId="4D21E638">
            <w:pPr>
              <w:jc w:val="center"/>
              <w:rPr>
                <w:rFonts w:eastAsia="楷体_GB2312"/>
                <w:szCs w:val="21"/>
              </w:rPr>
            </w:pPr>
            <w:r>
              <w:rPr>
                <w:rFonts w:hint="eastAsia" w:eastAsia="楷体_GB2312"/>
                <w:szCs w:val="21"/>
              </w:rPr>
              <w:t>6</w:t>
            </w:r>
          </w:p>
        </w:tc>
        <w:tc>
          <w:tcPr>
            <w:tcW w:w="0" w:type="auto"/>
            <w:noWrap w:val="0"/>
            <w:vAlign w:val="center"/>
          </w:tcPr>
          <w:p w14:paraId="488F99E2">
            <w:pPr>
              <w:jc w:val="center"/>
              <w:rPr>
                <w:rFonts w:eastAsia="楷体_GB2312"/>
                <w:szCs w:val="21"/>
              </w:rPr>
            </w:pPr>
            <w:r>
              <w:rPr>
                <w:rFonts w:hint="eastAsia" w:eastAsia="楷体_GB2312"/>
                <w:szCs w:val="21"/>
              </w:rPr>
              <w:t>203</w:t>
            </w:r>
          </w:p>
        </w:tc>
        <w:tc>
          <w:tcPr>
            <w:tcW w:w="0" w:type="auto"/>
            <w:noWrap w:val="0"/>
            <w:vAlign w:val="center"/>
          </w:tcPr>
          <w:p w14:paraId="05B0B3C2">
            <w:pPr>
              <w:jc w:val="center"/>
              <w:rPr>
                <w:rFonts w:eastAsia="楷体_GB2312"/>
                <w:szCs w:val="21"/>
              </w:rPr>
            </w:pPr>
            <w:r>
              <w:rPr>
                <w:rFonts w:hint="eastAsia" w:eastAsia="楷体_GB2312"/>
                <w:szCs w:val="21"/>
              </w:rPr>
              <w:t>9</w:t>
            </w:r>
          </w:p>
        </w:tc>
      </w:tr>
      <w:tr w14:paraId="0EBF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0E616841">
            <w:pPr>
              <w:tabs>
                <w:tab w:val="left" w:pos="0"/>
                <w:tab w:val="left" w:pos="295"/>
              </w:tabs>
              <w:jc w:val="center"/>
              <w:rPr>
                <w:rFonts w:eastAsia="楷体_GB2312"/>
                <w:szCs w:val="21"/>
              </w:rPr>
            </w:pPr>
            <w:r>
              <w:rPr>
                <w:rFonts w:hint="eastAsia" w:eastAsia="楷体_GB2312"/>
                <w:szCs w:val="21"/>
              </w:rPr>
              <w:t>21</w:t>
            </w:r>
          </w:p>
        </w:tc>
        <w:tc>
          <w:tcPr>
            <w:tcW w:w="0" w:type="auto"/>
            <w:noWrap w:val="0"/>
            <w:vAlign w:val="center"/>
          </w:tcPr>
          <w:p w14:paraId="52762A2C">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灰古镇</w:t>
            </w:r>
          </w:p>
        </w:tc>
        <w:tc>
          <w:tcPr>
            <w:tcW w:w="0" w:type="auto"/>
            <w:noWrap w:val="0"/>
            <w:vAlign w:val="center"/>
          </w:tcPr>
          <w:p w14:paraId="4D331A30">
            <w:pPr>
              <w:jc w:val="center"/>
            </w:pPr>
            <w:r>
              <w:rPr>
                <w:rFonts w:eastAsia="楷体_GB2312"/>
              </w:rPr>
              <w:t>01</w:t>
            </w:r>
          </w:p>
        </w:tc>
        <w:tc>
          <w:tcPr>
            <w:tcW w:w="0" w:type="auto"/>
            <w:noWrap w:val="0"/>
            <w:vAlign w:val="center"/>
          </w:tcPr>
          <w:p w14:paraId="15E6DAE6">
            <w:pPr>
              <w:tabs>
                <w:tab w:val="center" w:pos="4153"/>
                <w:tab w:val="right" w:pos="8306"/>
              </w:tabs>
              <w:snapToGrid w:val="0"/>
              <w:spacing w:line="280" w:lineRule="exact"/>
              <w:jc w:val="center"/>
              <w:rPr>
                <w:rFonts w:eastAsia="楷体_GB2312"/>
              </w:rPr>
            </w:pPr>
            <w:r>
              <w:rPr>
                <w:rFonts w:hint="eastAsia" w:eastAsia="楷体_GB2312"/>
              </w:rPr>
              <w:t>灰古镇中心幼儿园</w:t>
            </w:r>
          </w:p>
        </w:tc>
        <w:tc>
          <w:tcPr>
            <w:tcW w:w="0" w:type="auto"/>
            <w:noWrap w:val="0"/>
            <w:vAlign w:val="center"/>
          </w:tcPr>
          <w:p w14:paraId="2954127C">
            <w:pPr>
              <w:jc w:val="center"/>
              <w:rPr>
                <w:rFonts w:eastAsia="楷体_GB2312"/>
                <w:szCs w:val="21"/>
              </w:rPr>
            </w:pPr>
            <w:r>
              <w:rPr>
                <w:rFonts w:hint="eastAsia" w:eastAsia="楷体_GB2312"/>
                <w:szCs w:val="21"/>
              </w:rPr>
              <w:t>5</w:t>
            </w:r>
          </w:p>
        </w:tc>
        <w:tc>
          <w:tcPr>
            <w:tcW w:w="0" w:type="auto"/>
            <w:noWrap w:val="0"/>
            <w:vAlign w:val="center"/>
          </w:tcPr>
          <w:p w14:paraId="23149857">
            <w:pPr>
              <w:jc w:val="center"/>
              <w:rPr>
                <w:rFonts w:eastAsia="楷体_GB2312"/>
                <w:szCs w:val="21"/>
              </w:rPr>
            </w:pPr>
            <w:r>
              <w:rPr>
                <w:rFonts w:hint="eastAsia" w:eastAsia="楷体_GB2312"/>
                <w:szCs w:val="21"/>
              </w:rPr>
              <w:t>168</w:t>
            </w:r>
          </w:p>
        </w:tc>
        <w:tc>
          <w:tcPr>
            <w:tcW w:w="0" w:type="auto"/>
            <w:noWrap w:val="0"/>
            <w:vAlign w:val="center"/>
          </w:tcPr>
          <w:p w14:paraId="6EBF835E">
            <w:pPr>
              <w:jc w:val="center"/>
              <w:rPr>
                <w:rFonts w:eastAsia="楷体_GB2312"/>
                <w:szCs w:val="21"/>
              </w:rPr>
            </w:pPr>
            <w:r>
              <w:rPr>
                <w:rFonts w:hint="eastAsia" w:eastAsia="楷体_GB2312"/>
                <w:szCs w:val="21"/>
              </w:rPr>
              <w:t>8</w:t>
            </w:r>
          </w:p>
        </w:tc>
      </w:tr>
      <w:tr w14:paraId="672A5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3B32CE24">
            <w:pPr>
              <w:tabs>
                <w:tab w:val="left" w:pos="0"/>
                <w:tab w:val="left" w:pos="295"/>
              </w:tabs>
              <w:jc w:val="center"/>
              <w:rPr>
                <w:rFonts w:eastAsia="楷体_GB2312"/>
                <w:szCs w:val="21"/>
              </w:rPr>
            </w:pPr>
            <w:r>
              <w:rPr>
                <w:rFonts w:hint="eastAsia" w:eastAsia="楷体_GB2312"/>
                <w:szCs w:val="21"/>
              </w:rPr>
              <w:t>22</w:t>
            </w:r>
          </w:p>
        </w:tc>
        <w:tc>
          <w:tcPr>
            <w:tcW w:w="0" w:type="auto"/>
            <w:noWrap w:val="0"/>
            <w:vAlign w:val="center"/>
          </w:tcPr>
          <w:p w14:paraId="30738AAD">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桃沟乡</w:t>
            </w:r>
          </w:p>
        </w:tc>
        <w:tc>
          <w:tcPr>
            <w:tcW w:w="0" w:type="auto"/>
            <w:noWrap w:val="0"/>
            <w:vAlign w:val="center"/>
          </w:tcPr>
          <w:p w14:paraId="14531CD6">
            <w:pPr>
              <w:jc w:val="center"/>
            </w:pPr>
            <w:r>
              <w:rPr>
                <w:rFonts w:eastAsia="楷体_GB2312"/>
              </w:rPr>
              <w:t>01</w:t>
            </w:r>
          </w:p>
        </w:tc>
        <w:tc>
          <w:tcPr>
            <w:tcW w:w="0" w:type="auto"/>
            <w:noWrap w:val="0"/>
            <w:vAlign w:val="center"/>
          </w:tcPr>
          <w:p w14:paraId="434F4170">
            <w:pPr>
              <w:tabs>
                <w:tab w:val="center" w:pos="4153"/>
                <w:tab w:val="right" w:pos="8306"/>
              </w:tabs>
              <w:snapToGrid w:val="0"/>
              <w:spacing w:line="280" w:lineRule="exact"/>
              <w:jc w:val="center"/>
              <w:rPr>
                <w:rFonts w:eastAsia="楷体_GB2312"/>
              </w:rPr>
            </w:pPr>
            <w:r>
              <w:rPr>
                <w:rFonts w:hint="eastAsia" w:eastAsia="楷体_GB2312"/>
              </w:rPr>
              <w:t>桃沟乡中心幼儿园</w:t>
            </w:r>
          </w:p>
        </w:tc>
        <w:tc>
          <w:tcPr>
            <w:tcW w:w="0" w:type="auto"/>
            <w:noWrap w:val="0"/>
            <w:vAlign w:val="center"/>
          </w:tcPr>
          <w:p w14:paraId="7CB60696">
            <w:pPr>
              <w:jc w:val="center"/>
              <w:rPr>
                <w:rFonts w:eastAsia="楷体_GB2312"/>
                <w:szCs w:val="21"/>
              </w:rPr>
            </w:pPr>
            <w:r>
              <w:rPr>
                <w:rFonts w:hint="eastAsia" w:eastAsia="楷体_GB2312"/>
                <w:szCs w:val="21"/>
              </w:rPr>
              <w:t>5</w:t>
            </w:r>
          </w:p>
        </w:tc>
        <w:tc>
          <w:tcPr>
            <w:tcW w:w="0" w:type="auto"/>
            <w:noWrap w:val="0"/>
            <w:vAlign w:val="center"/>
          </w:tcPr>
          <w:p w14:paraId="11D81F45">
            <w:pPr>
              <w:jc w:val="center"/>
              <w:rPr>
                <w:rFonts w:eastAsia="楷体_GB2312"/>
                <w:szCs w:val="21"/>
              </w:rPr>
            </w:pPr>
            <w:r>
              <w:rPr>
                <w:rFonts w:hint="eastAsia" w:eastAsia="楷体_GB2312"/>
                <w:szCs w:val="21"/>
              </w:rPr>
              <w:t>130</w:t>
            </w:r>
          </w:p>
        </w:tc>
        <w:tc>
          <w:tcPr>
            <w:tcW w:w="0" w:type="auto"/>
            <w:noWrap w:val="0"/>
            <w:vAlign w:val="center"/>
          </w:tcPr>
          <w:p w14:paraId="0F90C548">
            <w:pPr>
              <w:jc w:val="center"/>
              <w:rPr>
                <w:rFonts w:eastAsia="楷体_GB2312"/>
                <w:szCs w:val="21"/>
              </w:rPr>
            </w:pPr>
            <w:r>
              <w:rPr>
                <w:rFonts w:hint="eastAsia" w:eastAsia="楷体_GB2312"/>
                <w:szCs w:val="21"/>
              </w:rPr>
              <w:t>9</w:t>
            </w:r>
          </w:p>
        </w:tc>
      </w:tr>
    </w:tbl>
    <w:p w14:paraId="29402780">
      <w:pPr>
        <w:spacing w:line="480" w:lineRule="exact"/>
        <w:jc w:val="center"/>
        <w:rPr>
          <w:sz w:val="26"/>
        </w:rPr>
      </w:pPr>
      <w:r>
        <w:rPr>
          <w:rFonts w:eastAsia="黑体"/>
          <w:sz w:val="28"/>
        </w:rPr>
        <w:t>表1-3-</w:t>
      </w:r>
      <w:r>
        <w:rPr>
          <w:rFonts w:hint="eastAsia" w:eastAsia="黑体"/>
          <w:sz w:val="28"/>
        </w:rPr>
        <w:t>38</w:t>
      </w:r>
      <w:r>
        <w:rPr>
          <w:rFonts w:eastAsia="黑体"/>
          <w:sz w:val="28"/>
        </w:rPr>
        <w:t xml:space="preserve"> 埇桥区各乡镇镇区医院调查表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056"/>
        <w:gridCol w:w="562"/>
        <w:gridCol w:w="2410"/>
        <w:gridCol w:w="1509"/>
        <w:gridCol w:w="1326"/>
        <w:gridCol w:w="1615"/>
      </w:tblGrid>
      <w:tr w14:paraId="39DE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noWrap w:val="0"/>
            <w:vAlign w:val="center"/>
          </w:tcPr>
          <w:p w14:paraId="059A56FB">
            <w:pPr>
              <w:tabs>
                <w:tab w:val="center" w:pos="4153"/>
                <w:tab w:val="right" w:pos="8306"/>
              </w:tabs>
              <w:snapToGrid w:val="0"/>
              <w:spacing w:line="280" w:lineRule="exact"/>
              <w:ind w:left="-105" w:leftChars="-50" w:right="-105" w:rightChars="-50"/>
              <w:jc w:val="center"/>
              <w:rPr>
                <w:rFonts w:eastAsia="楷体_GB2312"/>
              </w:rPr>
            </w:pPr>
            <w:r>
              <w:rPr>
                <w:rFonts w:eastAsia="楷体_GB2312"/>
              </w:rPr>
              <w:t>编号</w:t>
            </w:r>
          </w:p>
        </w:tc>
        <w:tc>
          <w:tcPr>
            <w:tcW w:w="0" w:type="auto"/>
            <w:noWrap w:val="0"/>
            <w:vAlign w:val="center"/>
          </w:tcPr>
          <w:p w14:paraId="0EB96E5A">
            <w:pPr>
              <w:tabs>
                <w:tab w:val="center" w:pos="4153"/>
                <w:tab w:val="right" w:pos="8306"/>
              </w:tabs>
              <w:snapToGrid w:val="0"/>
              <w:spacing w:line="280" w:lineRule="exact"/>
              <w:ind w:left="-105" w:leftChars="-50" w:right="-105" w:rightChars="-50"/>
              <w:jc w:val="center"/>
              <w:rPr>
                <w:rFonts w:eastAsia="楷体_GB2312"/>
              </w:rPr>
            </w:pPr>
            <w:r>
              <w:rPr>
                <w:rFonts w:eastAsia="楷体_GB2312"/>
              </w:rPr>
              <w:t>乡镇名称</w:t>
            </w:r>
          </w:p>
        </w:tc>
        <w:tc>
          <w:tcPr>
            <w:tcW w:w="562" w:type="dxa"/>
            <w:noWrap w:val="0"/>
            <w:vAlign w:val="center"/>
          </w:tcPr>
          <w:p w14:paraId="4FBFA119">
            <w:pPr>
              <w:tabs>
                <w:tab w:val="center" w:pos="4153"/>
                <w:tab w:val="right" w:pos="8306"/>
              </w:tabs>
              <w:snapToGrid w:val="0"/>
              <w:spacing w:line="280" w:lineRule="exact"/>
              <w:ind w:left="-105" w:leftChars="-50" w:right="-105" w:rightChars="-50"/>
              <w:jc w:val="center"/>
              <w:rPr>
                <w:rFonts w:eastAsia="楷体_GB2312"/>
              </w:rPr>
            </w:pPr>
            <w:r>
              <w:rPr>
                <w:rFonts w:eastAsia="楷体_GB2312"/>
              </w:rPr>
              <w:t>医院编号</w:t>
            </w:r>
          </w:p>
        </w:tc>
        <w:tc>
          <w:tcPr>
            <w:tcW w:w="2410" w:type="dxa"/>
            <w:noWrap w:val="0"/>
            <w:vAlign w:val="center"/>
          </w:tcPr>
          <w:p w14:paraId="692C57DD">
            <w:pPr>
              <w:tabs>
                <w:tab w:val="center" w:pos="4153"/>
                <w:tab w:val="right" w:pos="8306"/>
              </w:tabs>
              <w:snapToGrid w:val="0"/>
              <w:spacing w:line="280" w:lineRule="exact"/>
              <w:ind w:left="-105" w:leftChars="-50" w:right="-105" w:rightChars="-50"/>
              <w:jc w:val="center"/>
              <w:rPr>
                <w:rFonts w:eastAsia="楷体_GB2312"/>
              </w:rPr>
            </w:pPr>
            <w:r>
              <w:rPr>
                <w:rFonts w:eastAsia="楷体_GB2312"/>
              </w:rPr>
              <w:t>医院名称</w:t>
            </w:r>
          </w:p>
        </w:tc>
        <w:tc>
          <w:tcPr>
            <w:tcW w:w="1509" w:type="dxa"/>
            <w:noWrap w:val="0"/>
            <w:vAlign w:val="center"/>
          </w:tcPr>
          <w:p w14:paraId="6B826BF3">
            <w:pPr>
              <w:tabs>
                <w:tab w:val="center" w:pos="4153"/>
                <w:tab w:val="right" w:pos="8306"/>
              </w:tabs>
              <w:snapToGrid w:val="0"/>
              <w:spacing w:line="280" w:lineRule="exact"/>
              <w:ind w:left="-105" w:leftChars="-50" w:right="-105" w:rightChars="-50"/>
              <w:jc w:val="center"/>
              <w:rPr>
                <w:rFonts w:eastAsia="楷体_GB2312"/>
              </w:rPr>
            </w:pPr>
            <w:r>
              <w:rPr>
                <w:rFonts w:eastAsia="楷体_GB2312"/>
              </w:rPr>
              <w:t>医护人员数（人）</w:t>
            </w:r>
          </w:p>
        </w:tc>
        <w:tc>
          <w:tcPr>
            <w:tcW w:w="1326" w:type="dxa"/>
            <w:noWrap w:val="0"/>
            <w:vAlign w:val="center"/>
          </w:tcPr>
          <w:p w14:paraId="1287E56D">
            <w:pPr>
              <w:tabs>
                <w:tab w:val="center" w:pos="4153"/>
                <w:tab w:val="right" w:pos="8306"/>
              </w:tabs>
              <w:snapToGrid w:val="0"/>
              <w:spacing w:line="280" w:lineRule="exact"/>
              <w:ind w:left="-105" w:leftChars="-50" w:right="-105" w:rightChars="-50"/>
              <w:jc w:val="center"/>
              <w:rPr>
                <w:rFonts w:eastAsia="楷体_GB2312"/>
              </w:rPr>
            </w:pPr>
            <w:r>
              <w:rPr>
                <w:rFonts w:eastAsia="楷体_GB2312"/>
              </w:rPr>
              <w:t>床位数（张）</w:t>
            </w:r>
          </w:p>
        </w:tc>
        <w:tc>
          <w:tcPr>
            <w:tcW w:w="1615" w:type="dxa"/>
            <w:noWrap w:val="0"/>
            <w:vAlign w:val="center"/>
          </w:tcPr>
          <w:p w14:paraId="25520F2E">
            <w:pPr>
              <w:tabs>
                <w:tab w:val="center" w:pos="4153"/>
                <w:tab w:val="right" w:pos="8306"/>
              </w:tabs>
              <w:snapToGrid w:val="0"/>
              <w:spacing w:line="280" w:lineRule="exact"/>
              <w:ind w:left="-105" w:leftChars="-50" w:right="-105" w:rightChars="-50"/>
              <w:jc w:val="center"/>
              <w:rPr>
                <w:rFonts w:eastAsia="楷体_GB2312"/>
              </w:rPr>
            </w:pPr>
            <w:r>
              <w:rPr>
                <w:rFonts w:eastAsia="楷体_GB2312"/>
              </w:rPr>
              <w:t>年门诊人数（人）</w:t>
            </w:r>
          </w:p>
        </w:tc>
      </w:tr>
      <w:tr w14:paraId="39F87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0886B4DC">
            <w:pPr>
              <w:tabs>
                <w:tab w:val="left" w:pos="0"/>
                <w:tab w:val="left" w:pos="295"/>
              </w:tabs>
              <w:jc w:val="center"/>
              <w:rPr>
                <w:rFonts w:eastAsia="楷体_GB2312"/>
                <w:szCs w:val="21"/>
              </w:rPr>
            </w:pPr>
            <w:r>
              <w:rPr>
                <w:rFonts w:eastAsia="楷体_GB2312"/>
                <w:szCs w:val="21"/>
              </w:rPr>
              <w:t>1</w:t>
            </w:r>
          </w:p>
        </w:tc>
        <w:tc>
          <w:tcPr>
            <w:tcW w:w="0" w:type="auto"/>
            <w:noWrap w:val="0"/>
            <w:vAlign w:val="center"/>
          </w:tcPr>
          <w:p w14:paraId="0F2C2D8A">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符离镇</w:t>
            </w:r>
          </w:p>
        </w:tc>
        <w:tc>
          <w:tcPr>
            <w:tcW w:w="562" w:type="dxa"/>
            <w:noWrap w:val="0"/>
            <w:vAlign w:val="center"/>
          </w:tcPr>
          <w:p w14:paraId="5804EEA4">
            <w:pPr>
              <w:spacing w:line="280" w:lineRule="exact"/>
              <w:jc w:val="center"/>
              <w:rPr>
                <w:rFonts w:eastAsia="楷体_GB2312"/>
              </w:rPr>
            </w:pPr>
            <w:r>
              <w:rPr>
                <w:rFonts w:eastAsia="楷体_GB2312"/>
              </w:rPr>
              <w:t>01</w:t>
            </w:r>
          </w:p>
        </w:tc>
        <w:tc>
          <w:tcPr>
            <w:tcW w:w="2410" w:type="dxa"/>
            <w:noWrap w:val="0"/>
            <w:vAlign w:val="center"/>
          </w:tcPr>
          <w:p w14:paraId="40721A47">
            <w:pPr>
              <w:spacing w:line="280" w:lineRule="exact"/>
              <w:jc w:val="center"/>
              <w:rPr>
                <w:rFonts w:eastAsia="楷体_GB2312"/>
              </w:rPr>
            </w:pPr>
            <w:r>
              <w:rPr>
                <w:rFonts w:hint="eastAsia" w:eastAsia="楷体_GB2312"/>
              </w:rPr>
              <w:t>符离镇卫生院</w:t>
            </w:r>
          </w:p>
        </w:tc>
        <w:tc>
          <w:tcPr>
            <w:tcW w:w="1509" w:type="dxa"/>
            <w:noWrap w:val="0"/>
            <w:vAlign w:val="center"/>
          </w:tcPr>
          <w:p w14:paraId="48602C45">
            <w:pPr>
              <w:pStyle w:val="26"/>
              <w:pBdr>
                <w:bottom w:val="none" w:color="auto" w:sz="0" w:space="0"/>
              </w:pBdr>
              <w:spacing w:line="280" w:lineRule="exact"/>
              <w:rPr>
                <w:rFonts w:eastAsia="楷体_GB2312"/>
                <w:sz w:val="21"/>
                <w:szCs w:val="24"/>
              </w:rPr>
            </w:pPr>
            <w:r>
              <w:rPr>
                <w:rFonts w:hint="eastAsia" w:eastAsia="楷体_GB2312"/>
                <w:sz w:val="21"/>
                <w:szCs w:val="24"/>
              </w:rPr>
              <w:t>82</w:t>
            </w:r>
          </w:p>
        </w:tc>
        <w:tc>
          <w:tcPr>
            <w:tcW w:w="1326" w:type="dxa"/>
            <w:noWrap w:val="0"/>
            <w:vAlign w:val="center"/>
          </w:tcPr>
          <w:p w14:paraId="0ADBC05D">
            <w:pPr>
              <w:pStyle w:val="26"/>
              <w:pBdr>
                <w:bottom w:val="none" w:color="auto" w:sz="0" w:space="0"/>
              </w:pBdr>
              <w:spacing w:line="280" w:lineRule="exact"/>
              <w:rPr>
                <w:rFonts w:eastAsia="楷体_GB2312"/>
                <w:sz w:val="21"/>
                <w:szCs w:val="24"/>
              </w:rPr>
            </w:pPr>
            <w:r>
              <w:rPr>
                <w:rFonts w:hint="eastAsia" w:eastAsia="楷体_GB2312"/>
                <w:sz w:val="21"/>
                <w:szCs w:val="24"/>
              </w:rPr>
              <w:t>101</w:t>
            </w:r>
          </w:p>
        </w:tc>
        <w:tc>
          <w:tcPr>
            <w:tcW w:w="1615" w:type="dxa"/>
            <w:noWrap w:val="0"/>
            <w:vAlign w:val="center"/>
          </w:tcPr>
          <w:p w14:paraId="509C6D9D">
            <w:pPr>
              <w:pStyle w:val="26"/>
              <w:pBdr>
                <w:bottom w:val="none" w:color="auto" w:sz="0" w:space="0"/>
              </w:pBdr>
              <w:spacing w:line="280" w:lineRule="exact"/>
              <w:rPr>
                <w:rFonts w:eastAsia="楷体_GB2312"/>
                <w:sz w:val="21"/>
                <w:szCs w:val="24"/>
              </w:rPr>
            </w:pPr>
            <w:r>
              <w:rPr>
                <w:rFonts w:eastAsia="楷体_GB2312"/>
                <w:sz w:val="21"/>
                <w:szCs w:val="24"/>
              </w:rPr>
              <w:t>188412</w:t>
            </w:r>
          </w:p>
        </w:tc>
      </w:tr>
      <w:tr w14:paraId="7D94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5936011B">
            <w:pPr>
              <w:tabs>
                <w:tab w:val="left" w:pos="0"/>
                <w:tab w:val="left" w:pos="295"/>
              </w:tabs>
              <w:jc w:val="center"/>
              <w:rPr>
                <w:rFonts w:eastAsia="楷体_GB2312"/>
                <w:szCs w:val="21"/>
              </w:rPr>
            </w:pPr>
            <w:r>
              <w:rPr>
                <w:rFonts w:eastAsia="楷体_GB2312"/>
                <w:szCs w:val="21"/>
              </w:rPr>
              <w:t>2</w:t>
            </w:r>
          </w:p>
        </w:tc>
        <w:tc>
          <w:tcPr>
            <w:tcW w:w="0" w:type="auto"/>
            <w:noWrap w:val="0"/>
            <w:vAlign w:val="center"/>
          </w:tcPr>
          <w:p w14:paraId="5F916A2F">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朱仙庄镇</w:t>
            </w:r>
          </w:p>
        </w:tc>
        <w:tc>
          <w:tcPr>
            <w:tcW w:w="562" w:type="dxa"/>
            <w:noWrap w:val="0"/>
            <w:vAlign w:val="center"/>
          </w:tcPr>
          <w:p w14:paraId="7D78C53E">
            <w:pPr>
              <w:spacing w:line="280" w:lineRule="exact"/>
              <w:jc w:val="center"/>
              <w:rPr>
                <w:rFonts w:eastAsia="楷体_GB2312"/>
              </w:rPr>
            </w:pPr>
            <w:r>
              <w:rPr>
                <w:rFonts w:eastAsia="楷体_GB2312"/>
              </w:rPr>
              <w:t>01</w:t>
            </w:r>
          </w:p>
        </w:tc>
        <w:tc>
          <w:tcPr>
            <w:tcW w:w="2410" w:type="dxa"/>
            <w:noWrap w:val="0"/>
            <w:vAlign w:val="center"/>
          </w:tcPr>
          <w:p w14:paraId="1874D0B9">
            <w:pPr>
              <w:spacing w:line="280" w:lineRule="exact"/>
              <w:jc w:val="center"/>
              <w:rPr>
                <w:rFonts w:eastAsia="楷体_GB2312"/>
              </w:rPr>
            </w:pPr>
            <w:r>
              <w:rPr>
                <w:rFonts w:eastAsia="楷体_GB2312"/>
              </w:rPr>
              <w:t>朱仙庄</w:t>
            </w:r>
            <w:r>
              <w:rPr>
                <w:rFonts w:hint="eastAsia" w:eastAsia="楷体_GB2312"/>
              </w:rPr>
              <w:t>镇卫生院</w:t>
            </w:r>
          </w:p>
        </w:tc>
        <w:tc>
          <w:tcPr>
            <w:tcW w:w="1509" w:type="dxa"/>
            <w:noWrap w:val="0"/>
            <w:vAlign w:val="center"/>
          </w:tcPr>
          <w:p w14:paraId="6536D2A8">
            <w:pPr>
              <w:pStyle w:val="26"/>
              <w:pBdr>
                <w:bottom w:val="none" w:color="auto" w:sz="0" w:space="0"/>
              </w:pBdr>
              <w:spacing w:line="280" w:lineRule="exact"/>
              <w:rPr>
                <w:rFonts w:eastAsia="楷体_GB2312"/>
                <w:sz w:val="21"/>
                <w:szCs w:val="24"/>
              </w:rPr>
            </w:pPr>
            <w:r>
              <w:rPr>
                <w:rFonts w:hint="eastAsia" w:eastAsia="楷体_GB2312"/>
                <w:sz w:val="21"/>
                <w:szCs w:val="24"/>
              </w:rPr>
              <w:t>70</w:t>
            </w:r>
          </w:p>
        </w:tc>
        <w:tc>
          <w:tcPr>
            <w:tcW w:w="1326" w:type="dxa"/>
            <w:noWrap w:val="0"/>
            <w:vAlign w:val="center"/>
          </w:tcPr>
          <w:p w14:paraId="1EF69907">
            <w:pPr>
              <w:pStyle w:val="26"/>
              <w:pBdr>
                <w:bottom w:val="none" w:color="auto" w:sz="0" w:space="0"/>
              </w:pBdr>
              <w:spacing w:line="280" w:lineRule="exact"/>
              <w:rPr>
                <w:rFonts w:eastAsia="楷体_GB2312"/>
                <w:sz w:val="21"/>
                <w:szCs w:val="24"/>
              </w:rPr>
            </w:pPr>
            <w:r>
              <w:rPr>
                <w:rFonts w:hint="eastAsia" w:eastAsia="楷体_GB2312"/>
                <w:sz w:val="21"/>
                <w:szCs w:val="24"/>
              </w:rPr>
              <w:t>50</w:t>
            </w:r>
          </w:p>
        </w:tc>
        <w:tc>
          <w:tcPr>
            <w:tcW w:w="1615" w:type="dxa"/>
            <w:noWrap w:val="0"/>
            <w:vAlign w:val="center"/>
          </w:tcPr>
          <w:p w14:paraId="13455356">
            <w:pPr>
              <w:pStyle w:val="26"/>
              <w:pBdr>
                <w:bottom w:val="none" w:color="auto" w:sz="0" w:space="0"/>
              </w:pBdr>
              <w:spacing w:line="280" w:lineRule="exact"/>
              <w:rPr>
                <w:rFonts w:eastAsia="楷体_GB2312"/>
                <w:sz w:val="21"/>
                <w:szCs w:val="24"/>
              </w:rPr>
            </w:pPr>
            <w:r>
              <w:rPr>
                <w:rFonts w:eastAsia="楷体_GB2312"/>
                <w:sz w:val="21"/>
                <w:szCs w:val="24"/>
              </w:rPr>
              <w:t>61248</w:t>
            </w:r>
          </w:p>
        </w:tc>
      </w:tr>
      <w:tr w14:paraId="0F80F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noWrap w:val="0"/>
            <w:vAlign w:val="center"/>
          </w:tcPr>
          <w:p w14:paraId="3BABF0D6">
            <w:pPr>
              <w:tabs>
                <w:tab w:val="left" w:pos="0"/>
                <w:tab w:val="left" w:pos="295"/>
              </w:tabs>
              <w:jc w:val="center"/>
              <w:rPr>
                <w:rFonts w:eastAsia="楷体_GB2312"/>
                <w:szCs w:val="21"/>
              </w:rPr>
            </w:pPr>
            <w:r>
              <w:rPr>
                <w:rFonts w:eastAsia="楷体_GB2312"/>
                <w:szCs w:val="21"/>
              </w:rPr>
              <w:t>3</w:t>
            </w:r>
          </w:p>
        </w:tc>
        <w:tc>
          <w:tcPr>
            <w:tcW w:w="0" w:type="auto"/>
            <w:vMerge w:val="restart"/>
            <w:noWrap w:val="0"/>
            <w:vAlign w:val="center"/>
          </w:tcPr>
          <w:p w14:paraId="661C81F6">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蕲县镇</w:t>
            </w:r>
          </w:p>
        </w:tc>
        <w:tc>
          <w:tcPr>
            <w:tcW w:w="562" w:type="dxa"/>
            <w:noWrap w:val="0"/>
            <w:vAlign w:val="center"/>
          </w:tcPr>
          <w:p w14:paraId="16AE8698">
            <w:pPr>
              <w:spacing w:line="280" w:lineRule="exact"/>
              <w:jc w:val="center"/>
              <w:rPr>
                <w:rFonts w:eastAsia="楷体_GB2312"/>
              </w:rPr>
            </w:pPr>
            <w:r>
              <w:rPr>
                <w:rFonts w:eastAsia="楷体_GB2312"/>
              </w:rPr>
              <w:t>01</w:t>
            </w:r>
          </w:p>
        </w:tc>
        <w:tc>
          <w:tcPr>
            <w:tcW w:w="2410" w:type="dxa"/>
            <w:noWrap w:val="0"/>
            <w:vAlign w:val="center"/>
          </w:tcPr>
          <w:p w14:paraId="2C7014E8">
            <w:pPr>
              <w:spacing w:line="280" w:lineRule="exact"/>
              <w:jc w:val="center"/>
              <w:rPr>
                <w:rFonts w:eastAsia="楷体_GB2312"/>
              </w:rPr>
            </w:pPr>
            <w:r>
              <w:rPr>
                <w:rFonts w:eastAsia="楷体_GB2312"/>
              </w:rPr>
              <w:t>蕲县镇</w:t>
            </w:r>
            <w:r>
              <w:rPr>
                <w:rFonts w:hint="eastAsia" w:eastAsia="楷体_GB2312"/>
              </w:rPr>
              <w:t>卫生院</w:t>
            </w:r>
          </w:p>
        </w:tc>
        <w:tc>
          <w:tcPr>
            <w:tcW w:w="1509" w:type="dxa"/>
            <w:noWrap w:val="0"/>
            <w:vAlign w:val="center"/>
          </w:tcPr>
          <w:p w14:paraId="67DBB0DC">
            <w:pPr>
              <w:pStyle w:val="26"/>
              <w:pBdr>
                <w:bottom w:val="none" w:color="auto" w:sz="0" w:space="0"/>
              </w:pBdr>
              <w:spacing w:line="280" w:lineRule="exact"/>
              <w:rPr>
                <w:rFonts w:eastAsia="楷体_GB2312"/>
                <w:sz w:val="21"/>
                <w:szCs w:val="24"/>
              </w:rPr>
            </w:pPr>
            <w:r>
              <w:rPr>
                <w:rFonts w:eastAsia="楷体_GB2312"/>
                <w:sz w:val="21"/>
                <w:szCs w:val="24"/>
              </w:rPr>
              <w:t>67</w:t>
            </w:r>
          </w:p>
        </w:tc>
        <w:tc>
          <w:tcPr>
            <w:tcW w:w="1326" w:type="dxa"/>
            <w:noWrap w:val="0"/>
            <w:vAlign w:val="center"/>
          </w:tcPr>
          <w:p w14:paraId="49C1B492">
            <w:pPr>
              <w:pStyle w:val="26"/>
              <w:pBdr>
                <w:bottom w:val="none" w:color="auto" w:sz="0" w:space="0"/>
              </w:pBdr>
              <w:spacing w:line="280" w:lineRule="exact"/>
              <w:rPr>
                <w:rFonts w:eastAsia="楷体_GB2312"/>
                <w:sz w:val="21"/>
                <w:szCs w:val="24"/>
              </w:rPr>
            </w:pPr>
            <w:r>
              <w:rPr>
                <w:rFonts w:eastAsia="楷体_GB2312"/>
                <w:sz w:val="21"/>
                <w:szCs w:val="24"/>
              </w:rPr>
              <w:t>50</w:t>
            </w:r>
          </w:p>
        </w:tc>
        <w:tc>
          <w:tcPr>
            <w:tcW w:w="1615" w:type="dxa"/>
            <w:noWrap w:val="0"/>
            <w:vAlign w:val="center"/>
          </w:tcPr>
          <w:p w14:paraId="106E1F8B">
            <w:pPr>
              <w:pStyle w:val="26"/>
              <w:pBdr>
                <w:bottom w:val="none" w:color="auto" w:sz="0" w:space="0"/>
              </w:pBdr>
              <w:spacing w:line="280" w:lineRule="exact"/>
              <w:rPr>
                <w:rFonts w:eastAsia="楷体_GB2312"/>
                <w:sz w:val="21"/>
                <w:szCs w:val="24"/>
              </w:rPr>
            </w:pPr>
            <w:r>
              <w:rPr>
                <w:rFonts w:eastAsia="楷体_GB2312"/>
                <w:sz w:val="21"/>
                <w:szCs w:val="24"/>
              </w:rPr>
              <w:t>196562</w:t>
            </w:r>
          </w:p>
        </w:tc>
      </w:tr>
      <w:tr w14:paraId="7880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noWrap w:val="0"/>
            <w:vAlign w:val="center"/>
          </w:tcPr>
          <w:p w14:paraId="7BD332DF">
            <w:pPr>
              <w:tabs>
                <w:tab w:val="left" w:pos="0"/>
                <w:tab w:val="left" w:pos="295"/>
              </w:tabs>
              <w:jc w:val="center"/>
              <w:rPr>
                <w:rFonts w:eastAsia="楷体_GB2312"/>
                <w:szCs w:val="21"/>
              </w:rPr>
            </w:pPr>
          </w:p>
        </w:tc>
        <w:tc>
          <w:tcPr>
            <w:tcW w:w="0" w:type="auto"/>
            <w:vMerge w:val="continue"/>
            <w:noWrap w:val="0"/>
            <w:vAlign w:val="center"/>
          </w:tcPr>
          <w:p w14:paraId="61A764E8">
            <w:pPr>
              <w:pStyle w:val="20"/>
              <w:tabs>
                <w:tab w:val="left" w:pos="0"/>
                <w:tab w:val="left" w:pos="295"/>
              </w:tabs>
              <w:jc w:val="center"/>
              <w:rPr>
                <w:rFonts w:ascii="Times New Roman" w:hAnsi="Times New Roman" w:eastAsia="楷体_GB2312" w:cs="Times New Roman"/>
              </w:rPr>
            </w:pPr>
          </w:p>
        </w:tc>
        <w:tc>
          <w:tcPr>
            <w:tcW w:w="562" w:type="dxa"/>
            <w:noWrap w:val="0"/>
            <w:vAlign w:val="center"/>
          </w:tcPr>
          <w:p w14:paraId="38C17B56">
            <w:pPr>
              <w:spacing w:line="280" w:lineRule="exact"/>
              <w:jc w:val="center"/>
              <w:rPr>
                <w:rFonts w:eastAsia="楷体_GB2312"/>
              </w:rPr>
            </w:pPr>
            <w:r>
              <w:rPr>
                <w:rFonts w:hint="eastAsia" w:eastAsia="楷体_GB2312"/>
              </w:rPr>
              <w:t>02</w:t>
            </w:r>
          </w:p>
        </w:tc>
        <w:tc>
          <w:tcPr>
            <w:tcW w:w="2410" w:type="dxa"/>
            <w:noWrap w:val="0"/>
            <w:vAlign w:val="center"/>
          </w:tcPr>
          <w:p w14:paraId="71873AED">
            <w:pPr>
              <w:spacing w:line="280" w:lineRule="exact"/>
              <w:jc w:val="center"/>
              <w:rPr>
                <w:rFonts w:eastAsia="楷体_GB2312"/>
              </w:rPr>
            </w:pPr>
            <w:r>
              <w:rPr>
                <w:rFonts w:hint="eastAsia" w:eastAsia="楷体_GB2312"/>
              </w:rPr>
              <w:t>淮北矿工医院祁南分院</w:t>
            </w:r>
          </w:p>
        </w:tc>
        <w:tc>
          <w:tcPr>
            <w:tcW w:w="1509" w:type="dxa"/>
            <w:noWrap w:val="0"/>
            <w:vAlign w:val="center"/>
          </w:tcPr>
          <w:p w14:paraId="2EF31D72">
            <w:pPr>
              <w:pStyle w:val="26"/>
              <w:pBdr>
                <w:bottom w:val="none" w:color="auto" w:sz="0" w:space="0"/>
              </w:pBdr>
              <w:spacing w:line="280" w:lineRule="exact"/>
              <w:rPr>
                <w:rFonts w:eastAsia="楷体_GB2312"/>
                <w:sz w:val="21"/>
                <w:szCs w:val="24"/>
              </w:rPr>
            </w:pPr>
            <w:r>
              <w:rPr>
                <w:rFonts w:hint="eastAsia" w:eastAsia="楷体_GB2312"/>
                <w:sz w:val="21"/>
                <w:szCs w:val="24"/>
              </w:rPr>
              <w:t>34</w:t>
            </w:r>
          </w:p>
        </w:tc>
        <w:tc>
          <w:tcPr>
            <w:tcW w:w="1326" w:type="dxa"/>
            <w:noWrap w:val="0"/>
            <w:vAlign w:val="center"/>
          </w:tcPr>
          <w:p w14:paraId="07D89988">
            <w:pPr>
              <w:pStyle w:val="26"/>
              <w:pBdr>
                <w:bottom w:val="none" w:color="auto" w:sz="0" w:space="0"/>
              </w:pBdr>
              <w:spacing w:line="280" w:lineRule="exact"/>
              <w:rPr>
                <w:rFonts w:eastAsia="楷体_GB2312"/>
                <w:sz w:val="21"/>
                <w:szCs w:val="24"/>
              </w:rPr>
            </w:pPr>
            <w:r>
              <w:rPr>
                <w:rFonts w:hint="eastAsia" w:eastAsia="楷体_GB2312"/>
                <w:sz w:val="21"/>
                <w:szCs w:val="24"/>
              </w:rPr>
              <w:t>58</w:t>
            </w:r>
          </w:p>
        </w:tc>
        <w:tc>
          <w:tcPr>
            <w:tcW w:w="1615" w:type="dxa"/>
            <w:noWrap w:val="0"/>
            <w:vAlign w:val="center"/>
          </w:tcPr>
          <w:p w14:paraId="3D6FC563">
            <w:pPr>
              <w:pStyle w:val="26"/>
              <w:pBdr>
                <w:bottom w:val="none" w:color="auto" w:sz="0" w:space="0"/>
              </w:pBdr>
              <w:spacing w:line="280" w:lineRule="exact"/>
              <w:rPr>
                <w:rFonts w:eastAsia="楷体_GB2312"/>
                <w:sz w:val="21"/>
                <w:szCs w:val="24"/>
              </w:rPr>
            </w:pPr>
            <w:r>
              <w:rPr>
                <w:rFonts w:eastAsia="楷体_GB2312"/>
                <w:sz w:val="21"/>
                <w:szCs w:val="24"/>
              </w:rPr>
              <w:t>13535</w:t>
            </w:r>
          </w:p>
        </w:tc>
      </w:tr>
      <w:tr w14:paraId="637A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49B4ED8C">
            <w:pPr>
              <w:tabs>
                <w:tab w:val="left" w:pos="0"/>
                <w:tab w:val="left" w:pos="295"/>
              </w:tabs>
              <w:jc w:val="center"/>
              <w:rPr>
                <w:rFonts w:eastAsia="楷体_GB2312"/>
                <w:szCs w:val="21"/>
              </w:rPr>
            </w:pPr>
            <w:r>
              <w:rPr>
                <w:rFonts w:eastAsia="楷体_GB2312"/>
                <w:szCs w:val="21"/>
              </w:rPr>
              <w:t>4</w:t>
            </w:r>
          </w:p>
        </w:tc>
        <w:tc>
          <w:tcPr>
            <w:tcW w:w="0" w:type="auto"/>
            <w:noWrap w:val="0"/>
            <w:vAlign w:val="center"/>
          </w:tcPr>
          <w:p w14:paraId="75148DA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芦岭镇</w:t>
            </w:r>
          </w:p>
        </w:tc>
        <w:tc>
          <w:tcPr>
            <w:tcW w:w="562" w:type="dxa"/>
            <w:noWrap w:val="0"/>
            <w:vAlign w:val="center"/>
          </w:tcPr>
          <w:p w14:paraId="33D5EA41">
            <w:pPr>
              <w:spacing w:line="280" w:lineRule="exact"/>
              <w:jc w:val="center"/>
              <w:rPr>
                <w:rFonts w:eastAsia="楷体_GB2312"/>
              </w:rPr>
            </w:pPr>
            <w:r>
              <w:rPr>
                <w:rFonts w:eastAsia="楷体_GB2312"/>
              </w:rPr>
              <w:t>01</w:t>
            </w:r>
          </w:p>
        </w:tc>
        <w:tc>
          <w:tcPr>
            <w:tcW w:w="2410" w:type="dxa"/>
            <w:noWrap w:val="0"/>
            <w:vAlign w:val="center"/>
          </w:tcPr>
          <w:p w14:paraId="6D031596">
            <w:pPr>
              <w:spacing w:line="280" w:lineRule="exact"/>
              <w:jc w:val="center"/>
              <w:rPr>
                <w:rFonts w:eastAsia="楷体_GB2312"/>
              </w:rPr>
            </w:pPr>
            <w:r>
              <w:rPr>
                <w:rFonts w:eastAsia="楷体_GB2312"/>
              </w:rPr>
              <w:t>芦岭镇</w:t>
            </w:r>
            <w:r>
              <w:rPr>
                <w:rFonts w:hint="eastAsia" w:eastAsia="楷体_GB2312"/>
              </w:rPr>
              <w:t>卫生院</w:t>
            </w:r>
          </w:p>
        </w:tc>
        <w:tc>
          <w:tcPr>
            <w:tcW w:w="1509" w:type="dxa"/>
            <w:noWrap w:val="0"/>
            <w:vAlign w:val="center"/>
          </w:tcPr>
          <w:p w14:paraId="3A6F69E9">
            <w:pPr>
              <w:pStyle w:val="26"/>
              <w:pBdr>
                <w:bottom w:val="none" w:color="auto" w:sz="0" w:space="0"/>
              </w:pBdr>
              <w:spacing w:line="280" w:lineRule="exact"/>
              <w:rPr>
                <w:rFonts w:eastAsia="楷体_GB2312"/>
                <w:sz w:val="21"/>
                <w:szCs w:val="24"/>
              </w:rPr>
            </w:pPr>
            <w:r>
              <w:rPr>
                <w:rFonts w:eastAsia="楷体_GB2312"/>
                <w:sz w:val="21"/>
                <w:szCs w:val="24"/>
              </w:rPr>
              <w:t>62</w:t>
            </w:r>
          </w:p>
        </w:tc>
        <w:tc>
          <w:tcPr>
            <w:tcW w:w="1326" w:type="dxa"/>
            <w:noWrap w:val="0"/>
            <w:vAlign w:val="center"/>
          </w:tcPr>
          <w:p w14:paraId="5EA4D7C7">
            <w:pPr>
              <w:pStyle w:val="26"/>
              <w:pBdr>
                <w:bottom w:val="none" w:color="auto" w:sz="0" w:space="0"/>
              </w:pBdr>
              <w:spacing w:line="280" w:lineRule="exact"/>
              <w:rPr>
                <w:rFonts w:eastAsia="楷体_GB2312"/>
                <w:sz w:val="21"/>
                <w:szCs w:val="24"/>
              </w:rPr>
            </w:pPr>
            <w:r>
              <w:rPr>
                <w:rFonts w:eastAsia="楷体_GB2312"/>
                <w:sz w:val="21"/>
                <w:szCs w:val="24"/>
              </w:rPr>
              <w:t>106</w:t>
            </w:r>
          </w:p>
        </w:tc>
        <w:tc>
          <w:tcPr>
            <w:tcW w:w="1615" w:type="dxa"/>
            <w:noWrap w:val="0"/>
            <w:vAlign w:val="center"/>
          </w:tcPr>
          <w:p w14:paraId="4B30F408">
            <w:pPr>
              <w:pStyle w:val="26"/>
              <w:pBdr>
                <w:bottom w:val="none" w:color="auto" w:sz="0" w:space="0"/>
              </w:pBdr>
              <w:spacing w:line="280" w:lineRule="exact"/>
              <w:rPr>
                <w:rFonts w:eastAsia="楷体_GB2312"/>
                <w:sz w:val="21"/>
                <w:szCs w:val="24"/>
              </w:rPr>
            </w:pPr>
            <w:r>
              <w:rPr>
                <w:rFonts w:eastAsia="楷体_GB2312"/>
                <w:sz w:val="21"/>
                <w:szCs w:val="24"/>
              </w:rPr>
              <w:t>171164</w:t>
            </w:r>
          </w:p>
        </w:tc>
      </w:tr>
      <w:tr w14:paraId="3411E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55C851F1">
            <w:pPr>
              <w:tabs>
                <w:tab w:val="left" w:pos="0"/>
                <w:tab w:val="left" w:pos="295"/>
              </w:tabs>
              <w:jc w:val="center"/>
              <w:rPr>
                <w:rFonts w:eastAsia="楷体_GB2312"/>
                <w:szCs w:val="21"/>
              </w:rPr>
            </w:pPr>
            <w:r>
              <w:rPr>
                <w:rFonts w:eastAsia="楷体_GB2312"/>
                <w:szCs w:val="21"/>
              </w:rPr>
              <w:t>5</w:t>
            </w:r>
          </w:p>
        </w:tc>
        <w:tc>
          <w:tcPr>
            <w:tcW w:w="0" w:type="auto"/>
            <w:noWrap w:val="0"/>
            <w:vAlign w:val="center"/>
          </w:tcPr>
          <w:p w14:paraId="7DDAE929">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大店镇</w:t>
            </w:r>
          </w:p>
        </w:tc>
        <w:tc>
          <w:tcPr>
            <w:tcW w:w="562" w:type="dxa"/>
            <w:noWrap w:val="0"/>
            <w:vAlign w:val="center"/>
          </w:tcPr>
          <w:p w14:paraId="62F6FC4C">
            <w:pPr>
              <w:spacing w:line="280" w:lineRule="exact"/>
              <w:jc w:val="center"/>
              <w:rPr>
                <w:rFonts w:eastAsia="楷体_GB2312"/>
              </w:rPr>
            </w:pPr>
            <w:r>
              <w:rPr>
                <w:rFonts w:eastAsia="楷体_GB2312"/>
              </w:rPr>
              <w:t>01</w:t>
            </w:r>
          </w:p>
        </w:tc>
        <w:tc>
          <w:tcPr>
            <w:tcW w:w="2410" w:type="dxa"/>
            <w:noWrap w:val="0"/>
            <w:vAlign w:val="center"/>
          </w:tcPr>
          <w:p w14:paraId="04C14BDD">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大店镇</w:t>
            </w:r>
            <w:r>
              <w:rPr>
                <w:rFonts w:hint="eastAsia" w:eastAsia="楷体_GB2312"/>
              </w:rPr>
              <w:t>卫生院</w:t>
            </w:r>
          </w:p>
        </w:tc>
        <w:tc>
          <w:tcPr>
            <w:tcW w:w="1509" w:type="dxa"/>
            <w:noWrap w:val="0"/>
            <w:vAlign w:val="center"/>
          </w:tcPr>
          <w:p w14:paraId="29F637D5">
            <w:pPr>
              <w:pStyle w:val="26"/>
              <w:pBdr>
                <w:bottom w:val="none" w:color="auto" w:sz="0" w:space="0"/>
              </w:pBdr>
              <w:spacing w:line="280" w:lineRule="exact"/>
              <w:rPr>
                <w:rFonts w:eastAsia="楷体_GB2312"/>
                <w:sz w:val="21"/>
                <w:szCs w:val="24"/>
              </w:rPr>
            </w:pPr>
            <w:r>
              <w:rPr>
                <w:rFonts w:eastAsia="楷体_GB2312"/>
                <w:sz w:val="21"/>
                <w:szCs w:val="24"/>
              </w:rPr>
              <w:t>68</w:t>
            </w:r>
          </w:p>
        </w:tc>
        <w:tc>
          <w:tcPr>
            <w:tcW w:w="1326" w:type="dxa"/>
            <w:noWrap w:val="0"/>
            <w:vAlign w:val="center"/>
          </w:tcPr>
          <w:p w14:paraId="474E3B80">
            <w:pPr>
              <w:pStyle w:val="26"/>
              <w:pBdr>
                <w:bottom w:val="none" w:color="auto" w:sz="0" w:space="0"/>
              </w:pBdr>
              <w:spacing w:line="280" w:lineRule="exact"/>
              <w:rPr>
                <w:rFonts w:eastAsia="楷体_GB2312"/>
                <w:sz w:val="21"/>
                <w:szCs w:val="24"/>
              </w:rPr>
            </w:pPr>
            <w:r>
              <w:rPr>
                <w:rFonts w:eastAsia="楷体_GB2312"/>
                <w:sz w:val="21"/>
                <w:szCs w:val="24"/>
              </w:rPr>
              <w:t>100</w:t>
            </w:r>
          </w:p>
        </w:tc>
        <w:tc>
          <w:tcPr>
            <w:tcW w:w="1615" w:type="dxa"/>
            <w:noWrap w:val="0"/>
            <w:vAlign w:val="center"/>
          </w:tcPr>
          <w:p w14:paraId="75711D68">
            <w:pPr>
              <w:pStyle w:val="26"/>
              <w:pBdr>
                <w:bottom w:val="none" w:color="auto" w:sz="0" w:space="0"/>
              </w:pBdr>
              <w:spacing w:line="280" w:lineRule="exact"/>
              <w:rPr>
                <w:rFonts w:eastAsia="楷体_GB2312"/>
                <w:sz w:val="21"/>
                <w:szCs w:val="24"/>
              </w:rPr>
            </w:pPr>
            <w:r>
              <w:rPr>
                <w:rFonts w:eastAsia="楷体_GB2312"/>
                <w:sz w:val="21"/>
                <w:szCs w:val="24"/>
              </w:rPr>
              <w:t>81660</w:t>
            </w:r>
          </w:p>
        </w:tc>
      </w:tr>
      <w:tr w14:paraId="7F78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32CC4C02">
            <w:pPr>
              <w:tabs>
                <w:tab w:val="left" w:pos="0"/>
                <w:tab w:val="left" w:pos="295"/>
              </w:tabs>
              <w:jc w:val="center"/>
              <w:rPr>
                <w:rFonts w:eastAsia="楷体_GB2312"/>
                <w:szCs w:val="21"/>
              </w:rPr>
            </w:pPr>
            <w:r>
              <w:rPr>
                <w:rFonts w:eastAsia="楷体_GB2312"/>
                <w:szCs w:val="21"/>
              </w:rPr>
              <w:t>6</w:t>
            </w:r>
          </w:p>
        </w:tc>
        <w:tc>
          <w:tcPr>
            <w:tcW w:w="0" w:type="auto"/>
            <w:noWrap w:val="0"/>
            <w:vAlign w:val="center"/>
          </w:tcPr>
          <w:p w14:paraId="48437FC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栏杆镇</w:t>
            </w:r>
          </w:p>
        </w:tc>
        <w:tc>
          <w:tcPr>
            <w:tcW w:w="562" w:type="dxa"/>
            <w:noWrap w:val="0"/>
            <w:vAlign w:val="center"/>
          </w:tcPr>
          <w:p w14:paraId="75F2F24A">
            <w:pPr>
              <w:spacing w:line="280" w:lineRule="exact"/>
              <w:jc w:val="center"/>
              <w:rPr>
                <w:rFonts w:eastAsia="楷体_GB2312"/>
              </w:rPr>
            </w:pPr>
            <w:r>
              <w:rPr>
                <w:rFonts w:eastAsia="楷体_GB2312"/>
              </w:rPr>
              <w:t>01</w:t>
            </w:r>
          </w:p>
        </w:tc>
        <w:tc>
          <w:tcPr>
            <w:tcW w:w="2410" w:type="dxa"/>
            <w:noWrap w:val="0"/>
            <w:vAlign w:val="center"/>
          </w:tcPr>
          <w:p w14:paraId="26F2311E">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栏杆镇</w:t>
            </w:r>
            <w:r>
              <w:rPr>
                <w:rFonts w:hint="eastAsia" w:eastAsia="楷体_GB2312"/>
              </w:rPr>
              <w:t>卫生院</w:t>
            </w:r>
          </w:p>
        </w:tc>
        <w:tc>
          <w:tcPr>
            <w:tcW w:w="1509" w:type="dxa"/>
            <w:noWrap w:val="0"/>
            <w:vAlign w:val="center"/>
          </w:tcPr>
          <w:p w14:paraId="4E0B7B67">
            <w:pPr>
              <w:pStyle w:val="26"/>
              <w:pBdr>
                <w:bottom w:val="none" w:color="auto" w:sz="0" w:space="0"/>
              </w:pBdr>
              <w:spacing w:line="280" w:lineRule="exact"/>
              <w:rPr>
                <w:rFonts w:eastAsia="楷体_GB2312"/>
                <w:sz w:val="21"/>
                <w:szCs w:val="24"/>
              </w:rPr>
            </w:pPr>
            <w:r>
              <w:rPr>
                <w:rFonts w:eastAsia="楷体_GB2312"/>
                <w:sz w:val="21"/>
                <w:szCs w:val="24"/>
              </w:rPr>
              <w:t>85</w:t>
            </w:r>
          </w:p>
        </w:tc>
        <w:tc>
          <w:tcPr>
            <w:tcW w:w="1326" w:type="dxa"/>
            <w:noWrap w:val="0"/>
            <w:vAlign w:val="center"/>
          </w:tcPr>
          <w:p w14:paraId="23F5849A">
            <w:pPr>
              <w:pStyle w:val="26"/>
              <w:pBdr>
                <w:bottom w:val="none" w:color="auto" w:sz="0" w:space="0"/>
              </w:pBdr>
              <w:spacing w:line="280" w:lineRule="exact"/>
              <w:rPr>
                <w:rFonts w:eastAsia="楷体_GB2312"/>
                <w:sz w:val="21"/>
                <w:szCs w:val="24"/>
              </w:rPr>
            </w:pPr>
            <w:r>
              <w:rPr>
                <w:rFonts w:eastAsia="楷体_GB2312"/>
                <w:sz w:val="21"/>
                <w:szCs w:val="24"/>
              </w:rPr>
              <w:t>100</w:t>
            </w:r>
          </w:p>
        </w:tc>
        <w:tc>
          <w:tcPr>
            <w:tcW w:w="1615" w:type="dxa"/>
            <w:noWrap w:val="0"/>
            <w:vAlign w:val="center"/>
          </w:tcPr>
          <w:p w14:paraId="28C9AB3A">
            <w:pPr>
              <w:pStyle w:val="26"/>
              <w:pBdr>
                <w:bottom w:val="none" w:color="auto" w:sz="0" w:space="0"/>
              </w:pBdr>
              <w:spacing w:line="280" w:lineRule="exact"/>
              <w:rPr>
                <w:rFonts w:eastAsia="楷体_GB2312"/>
                <w:sz w:val="21"/>
                <w:szCs w:val="24"/>
              </w:rPr>
            </w:pPr>
            <w:r>
              <w:rPr>
                <w:rFonts w:eastAsia="楷体_GB2312"/>
                <w:sz w:val="21"/>
                <w:szCs w:val="24"/>
              </w:rPr>
              <w:t>211137</w:t>
            </w:r>
          </w:p>
        </w:tc>
      </w:tr>
      <w:tr w14:paraId="093C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2DF48FB8">
            <w:pPr>
              <w:tabs>
                <w:tab w:val="left" w:pos="0"/>
                <w:tab w:val="left" w:pos="295"/>
              </w:tabs>
              <w:jc w:val="center"/>
              <w:rPr>
                <w:rFonts w:eastAsia="楷体_GB2312"/>
                <w:szCs w:val="21"/>
              </w:rPr>
            </w:pPr>
            <w:r>
              <w:rPr>
                <w:rFonts w:eastAsia="楷体_GB2312"/>
                <w:szCs w:val="21"/>
              </w:rPr>
              <w:t>7</w:t>
            </w:r>
          </w:p>
        </w:tc>
        <w:tc>
          <w:tcPr>
            <w:tcW w:w="0" w:type="auto"/>
            <w:noWrap w:val="0"/>
            <w:vAlign w:val="center"/>
          </w:tcPr>
          <w:p w14:paraId="1DE89557">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时村镇</w:t>
            </w:r>
          </w:p>
        </w:tc>
        <w:tc>
          <w:tcPr>
            <w:tcW w:w="562" w:type="dxa"/>
            <w:noWrap w:val="0"/>
            <w:vAlign w:val="center"/>
          </w:tcPr>
          <w:p w14:paraId="4830620A">
            <w:pPr>
              <w:spacing w:line="280" w:lineRule="exact"/>
              <w:jc w:val="center"/>
              <w:rPr>
                <w:rFonts w:eastAsia="楷体_GB2312"/>
              </w:rPr>
            </w:pPr>
            <w:r>
              <w:rPr>
                <w:rFonts w:eastAsia="楷体_GB2312"/>
              </w:rPr>
              <w:t>01</w:t>
            </w:r>
          </w:p>
        </w:tc>
        <w:tc>
          <w:tcPr>
            <w:tcW w:w="2410" w:type="dxa"/>
            <w:noWrap w:val="0"/>
            <w:vAlign w:val="center"/>
          </w:tcPr>
          <w:p w14:paraId="5911E004">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时村镇</w:t>
            </w:r>
            <w:r>
              <w:rPr>
                <w:rFonts w:hint="eastAsia" w:eastAsia="楷体_GB2312"/>
              </w:rPr>
              <w:t>卫生院</w:t>
            </w:r>
          </w:p>
        </w:tc>
        <w:tc>
          <w:tcPr>
            <w:tcW w:w="1509" w:type="dxa"/>
            <w:noWrap w:val="0"/>
            <w:vAlign w:val="center"/>
          </w:tcPr>
          <w:p w14:paraId="7FFBD632">
            <w:pPr>
              <w:pStyle w:val="26"/>
              <w:pBdr>
                <w:bottom w:val="none" w:color="auto" w:sz="0" w:space="0"/>
              </w:pBdr>
              <w:spacing w:line="280" w:lineRule="exact"/>
              <w:rPr>
                <w:rFonts w:eastAsia="楷体_GB2312"/>
                <w:sz w:val="21"/>
                <w:szCs w:val="24"/>
              </w:rPr>
            </w:pPr>
            <w:r>
              <w:rPr>
                <w:rFonts w:eastAsia="楷体_GB2312"/>
                <w:sz w:val="21"/>
                <w:szCs w:val="24"/>
              </w:rPr>
              <w:t>74</w:t>
            </w:r>
          </w:p>
        </w:tc>
        <w:tc>
          <w:tcPr>
            <w:tcW w:w="1326" w:type="dxa"/>
            <w:noWrap w:val="0"/>
            <w:vAlign w:val="center"/>
          </w:tcPr>
          <w:p w14:paraId="7DE98963">
            <w:pPr>
              <w:pStyle w:val="26"/>
              <w:pBdr>
                <w:bottom w:val="none" w:color="auto" w:sz="0" w:space="0"/>
              </w:pBdr>
              <w:spacing w:line="280" w:lineRule="exact"/>
              <w:rPr>
                <w:rFonts w:eastAsia="楷体_GB2312"/>
                <w:sz w:val="21"/>
                <w:szCs w:val="24"/>
              </w:rPr>
            </w:pPr>
            <w:r>
              <w:rPr>
                <w:rFonts w:eastAsia="楷体_GB2312"/>
                <w:sz w:val="21"/>
                <w:szCs w:val="24"/>
              </w:rPr>
              <w:t>100</w:t>
            </w:r>
          </w:p>
        </w:tc>
        <w:tc>
          <w:tcPr>
            <w:tcW w:w="1615" w:type="dxa"/>
            <w:noWrap w:val="0"/>
            <w:vAlign w:val="center"/>
          </w:tcPr>
          <w:p w14:paraId="66F3B703">
            <w:pPr>
              <w:pStyle w:val="26"/>
              <w:pBdr>
                <w:bottom w:val="none" w:color="auto" w:sz="0" w:space="0"/>
              </w:pBdr>
              <w:spacing w:line="280" w:lineRule="exact"/>
              <w:rPr>
                <w:rFonts w:eastAsia="楷体_GB2312"/>
                <w:sz w:val="21"/>
                <w:szCs w:val="24"/>
              </w:rPr>
            </w:pPr>
            <w:r>
              <w:rPr>
                <w:rFonts w:eastAsia="楷体_GB2312"/>
                <w:sz w:val="21"/>
                <w:szCs w:val="24"/>
              </w:rPr>
              <w:t>96893</w:t>
            </w:r>
          </w:p>
        </w:tc>
      </w:tr>
      <w:tr w14:paraId="5B4E4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1A0C3E56">
            <w:pPr>
              <w:tabs>
                <w:tab w:val="left" w:pos="0"/>
                <w:tab w:val="left" w:pos="295"/>
              </w:tabs>
              <w:jc w:val="center"/>
              <w:rPr>
                <w:rFonts w:eastAsia="楷体_GB2312"/>
                <w:szCs w:val="21"/>
              </w:rPr>
            </w:pPr>
            <w:r>
              <w:rPr>
                <w:rFonts w:eastAsia="楷体_GB2312"/>
                <w:szCs w:val="21"/>
              </w:rPr>
              <w:t>8</w:t>
            </w:r>
          </w:p>
        </w:tc>
        <w:tc>
          <w:tcPr>
            <w:tcW w:w="0" w:type="auto"/>
            <w:noWrap w:val="0"/>
            <w:vAlign w:val="center"/>
          </w:tcPr>
          <w:p w14:paraId="1428967C">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夹沟镇</w:t>
            </w:r>
          </w:p>
        </w:tc>
        <w:tc>
          <w:tcPr>
            <w:tcW w:w="562" w:type="dxa"/>
            <w:noWrap w:val="0"/>
            <w:vAlign w:val="center"/>
          </w:tcPr>
          <w:p w14:paraId="22EF36F7">
            <w:pPr>
              <w:spacing w:line="280" w:lineRule="exact"/>
              <w:jc w:val="center"/>
              <w:rPr>
                <w:rFonts w:eastAsia="楷体_GB2312"/>
              </w:rPr>
            </w:pPr>
            <w:r>
              <w:rPr>
                <w:rFonts w:eastAsia="楷体_GB2312"/>
              </w:rPr>
              <w:t>01</w:t>
            </w:r>
          </w:p>
        </w:tc>
        <w:tc>
          <w:tcPr>
            <w:tcW w:w="2410" w:type="dxa"/>
            <w:noWrap w:val="0"/>
            <w:vAlign w:val="center"/>
          </w:tcPr>
          <w:p w14:paraId="6078A9EA">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夹沟镇</w:t>
            </w:r>
            <w:r>
              <w:rPr>
                <w:rFonts w:hint="eastAsia" w:eastAsia="楷体_GB2312"/>
              </w:rPr>
              <w:t>卫生院</w:t>
            </w:r>
          </w:p>
        </w:tc>
        <w:tc>
          <w:tcPr>
            <w:tcW w:w="1509" w:type="dxa"/>
            <w:noWrap w:val="0"/>
            <w:vAlign w:val="center"/>
          </w:tcPr>
          <w:p w14:paraId="6B7E563F">
            <w:pPr>
              <w:pStyle w:val="26"/>
              <w:pBdr>
                <w:bottom w:val="none" w:color="auto" w:sz="0" w:space="0"/>
              </w:pBdr>
              <w:spacing w:line="280" w:lineRule="exact"/>
              <w:rPr>
                <w:rFonts w:eastAsia="楷体_GB2312"/>
                <w:sz w:val="21"/>
                <w:szCs w:val="24"/>
              </w:rPr>
            </w:pPr>
            <w:r>
              <w:rPr>
                <w:rFonts w:eastAsia="楷体_GB2312"/>
                <w:sz w:val="21"/>
                <w:szCs w:val="24"/>
              </w:rPr>
              <w:t>65</w:t>
            </w:r>
          </w:p>
        </w:tc>
        <w:tc>
          <w:tcPr>
            <w:tcW w:w="1326" w:type="dxa"/>
            <w:noWrap w:val="0"/>
            <w:vAlign w:val="center"/>
          </w:tcPr>
          <w:p w14:paraId="20659B21">
            <w:pPr>
              <w:pStyle w:val="26"/>
              <w:pBdr>
                <w:bottom w:val="none" w:color="auto" w:sz="0" w:space="0"/>
              </w:pBdr>
              <w:spacing w:line="280" w:lineRule="exact"/>
              <w:rPr>
                <w:rFonts w:eastAsia="楷体_GB2312"/>
                <w:sz w:val="21"/>
                <w:szCs w:val="24"/>
              </w:rPr>
            </w:pPr>
            <w:r>
              <w:rPr>
                <w:rFonts w:eastAsia="楷体_GB2312"/>
                <w:sz w:val="21"/>
                <w:szCs w:val="24"/>
              </w:rPr>
              <w:t>80</w:t>
            </w:r>
          </w:p>
        </w:tc>
        <w:tc>
          <w:tcPr>
            <w:tcW w:w="1615" w:type="dxa"/>
            <w:noWrap w:val="0"/>
            <w:vAlign w:val="center"/>
          </w:tcPr>
          <w:p w14:paraId="6C244CD8">
            <w:pPr>
              <w:pStyle w:val="26"/>
              <w:pBdr>
                <w:bottom w:val="none" w:color="auto" w:sz="0" w:space="0"/>
              </w:pBdr>
              <w:spacing w:line="280" w:lineRule="exact"/>
              <w:rPr>
                <w:rFonts w:eastAsia="楷体_GB2312"/>
                <w:sz w:val="21"/>
                <w:szCs w:val="24"/>
              </w:rPr>
            </w:pPr>
            <w:r>
              <w:rPr>
                <w:rFonts w:eastAsia="楷体_GB2312"/>
                <w:sz w:val="21"/>
                <w:szCs w:val="24"/>
              </w:rPr>
              <w:t>143654</w:t>
            </w:r>
          </w:p>
        </w:tc>
      </w:tr>
      <w:tr w14:paraId="39B24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5AE8326A">
            <w:pPr>
              <w:tabs>
                <w:tab w:val="left" w:pos="0"/>
                <w:tab w:val="left" w:pos="295"/>
              </w:tabs>
              <w:jc w:val="center"/>
              <w:rPr>
                <w:rFonts w:eastAsia="楷体_GB2312"/>
                <w:szCs w:val="21"/>
              </w:rPr>
            </w:pPr>
            <w:r>
              <w:rPr>
                <w:rFonts w:eastAsia="楷体_GB2312"/>
                <w:szCs w:val="21"/>
              </w:rPr>
              <w:t>9</w:t>
            </w:r>
          </w:p>
        </w:tc>
        <w:tc>
          <w:tcPr>
            <w:tcW w:w="0" w:type="auto"/>
            <w:noWrap w:val="0"/>
            <w:vAlign w:val="center"/>
          </w:tcPr>
          <w:p w14:paraId="42ED7E7A">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西二铺乡</w:t>
            </w:r>
          </w:p>
        </w:tc>
        <w:tc>
          <w:tcPr>
            <w:tcW w:w="562" w:type="dxa"/>
            <w:noWrap w:val="0"/>
            <w:vAlign w:val="center"/>
          </w:tcPr>
          <w:p w14:paraId="1C2BC207">
            <w:pPr>
              <w:spacing w:line="280" w:lineRule="exact"/>
              <w:jc w:val="center"/>
              <w:rPr>
                <w:rFonts w:eastAsia="楷体_GB2312"/>
              </w:rPr>
            </w:pPr>
            <w:r>
              <w:rPr>
                <w:rFonts w:eastAsia="楷体_GB2312"/>
              </w:rPr>
              <w:t>01</w:t>
            </w:r>
          </w:p>
        </w:tc>
        <w:tc>
          <w:tcPr>
            <w:tcW w:w="2410" w:type="dxa"/>
            <w:noWrap w:val="0"/>
            <w:vAlign w:val="center"/>
          </w:tcPr>
          <w:p w14:paraId="61C84841">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西二铺乡</w:t>
            </w:r>
            <w:r>
              <w:rPr>
                <w:rFonts w:hint="eastAsia" w:eastAsia="楷体_GB2312"/>
              </w:rPr>
              <w:t>卫生院</w:t>
            </w:r>
          </w:p>
        </w:tc>
        <w:tc>
          <w:tcPr>
            <w:tcW w:w="1509" w:type="dxa"/>
            <w:noWrap w:val="0"/>
            <w:vAlign w:val="center"/>
          </w:tcPr>
          <w:p w14:paraId="10C30441">
            <w:pPr>
              <w:pStyle w:val="26"/>
              <w:pBdr>
                <w:bottom w:val="none" w:color="auto" w:sz="0" w:space="0"/>
              </w:pBdr>
              <w:spacing w:line="280" w:lineRule="exact"/>
              <w:rPr>
                <w:rFonts w:eastAsia="楷体_GB2312"/>
                <w:sz w:val="21"/>
                <w:szCs w:val="24"/>
              </w:rPr>
            </w:pPr>
            <w:r>
              <w:rPr>
                <w:rFonts w:eastAsia="楷体_GB2312"/>
                <w:sz w:val="21"/>
                <w:szCs w:val="24"/>
              </w:rPr>
              <w:t>31</w:t>
            </w:r>
          </w:p>
        </w:tc>
        <w:tc>
          <w:tcPr>
            <w:tcW w:w="1326" w:type="dxa"/>
            <w:noWrap w:val="0"/>
            <w:vAlign w:val="center"/>
          </w:tcPr>
          <w:p w14:paraId="67F54800">
            <w:pPr>
              <w:pStyle w:val="26"/>
              <w:pBdr>
                <w:bottom w:val="none" w:color="auto" w:sz="0" w:space="0"/>
              </w:pBdr>
              <w:spacing w:line="280" w:lineRule="exact"/>
              <w:rPr>
                <w:rFonts w:eastAsia="楷体_GB2312"/>
                <w:sz w:val="21"/>
                <w:szCs w:val="24"/>
              </w:rPr>
            </w:pPr>
            <w:r>
              <w:rPr>
                <w:rFonts w:eastAsia="楷体_GB2312"/>
                <w:sz w:val="21"/>
                <w:szCs w:val="24"/>
              </w:rPr>
              <w:t>30</w:t>
            </w:r>
          </w:p>
        </w:tc>
        <w:tc>
          <w:tcPr>
            <w:tcW w:w="1615" w:type="dxa"/>
            <w:noWrap w:val="0"/>
            <w:vAlign w:val="center"/>
          </w:tcPr>
          <w:p w14:paraId="18345115">
            <w:pPr>
              <w:pStyle w:val="26"/>
              <w:pBdr>
                <w:bottom w:val="none" w:color="auto" w:sz="0" w:space="0"/>
              </w:pBdr>
              <w:spacing w:line="280" w:lineRule="exact"/>
              <w:rPr>
                <w:rFonts w:eastAsia="楷体_GB2312"/>
                <w:sz w:val="21"/>
                <w:szCs w:val="24"/>
              </w:rPr>
            </w:pPr>
            <w:r>
              <w:rPr>
                <w:rFonts w:eastAsia="楷体_GB2312"/>
                <w:sz w:val="21"/>
                <w:szCs w:val="24"/>
              </w:rPr>
              <w:t>21100</w:t>
            </w:r>
          </w:p>
        </w:tc>
      </w:tr>
      <w:tr w14:paraId="69FF9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09DE799A">
            <w:pPr>
              <w:tabs>
                <w:tab w:val="left" w:pos="0"/>
                <w:tab w:val="left" w:pos="295"/>
              </w:tabs>
              <w:jc w:val="center"/>
              <w:rPr>
                <w:rFonts w:eastAsia="楷体_GB2312"/>
                <w:szCs w:val="21"/>
              </w:rPr>
            </w:pPr>
            <w:r>
              <w:rPr>
                <w:rFonts w:eastAsia="楷体_GB2312"/>
                <w:szCs w:val="21"/>
              </w:rPr>
              <w:t>10</w:t>
            </w:r>
          </w:p>
        </w:tc>
        <w:tc>
          <w:tcPr>
            <w:tcW w:w="0" w:type="auto"/>
            <w:noWrap w:val="0"/>
            <w:vAlign w:val="center"/>
          </w:tcPr>
          <w:p w14:paraId="26653803">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桃园镇</w:t>
            </w:r>
          </w:p>
        </w:tc>
        <w:tc>
          <w:tcPr>
            <w:tcW w:w="562" w:type="dxa"/>
            <w:noWrap w:val="0"/>
            <w:vAlign w:val="center"/>
          </w:tcPr>
          <w:p w14:paraId="5DCE6598">
            <w:pPr>
              <w:spacing w:line="280" w:lineRule="exact"/>
              <w:jc w:val="center"/>
              <w:rPr>
                <w:rFonts w:eastAsia="楷体_GB2312"/>
              </w:rPr>
            </w:pPr>
            <w:r>
              <w:rPr>
                <w:rFonts w:eastAsia="楷体_GB2312"/>
              </w:rPr>
              <w:t>01</w:t>
            </w:r>
          </w:p>
        </w:tc>
        <w:tc>
          <w:tcPr>
            <w:tcW w:w="2410" w:type="dxa"/>
            <w:noWrap w:val="0"/>
            <w:vAlign w:val="center"/>
          </w:tcPr>
          <w:p w14:paraId="478AC6F3">
            <w:pPr>
              <w:spacing w:line="280" w:lineRule="exact"/>
              <w:jc w:val="center"/>
              <w:rPr>
                <w:rFonts w:eastAsia="楷体_GB2312"/>
              </w:rPr>
            </w:pPr>
            <w:r>
              <w:rPr>
                <w:rFonts w:hint="eastAsia" w:eastAsia="楷体_GB2312"/>
              </w:rPr>
              <w:t>淮北矿工医院桃园分院</w:t>
            </w:r>
          </w:p>
        </w:tc>
        <w:tc>
          <w:tcPr>
            <w:tcW w:w="1509" w:type="dxa"/>
            <w:noWrap w:val="0"/>
            <w:vAlign w:val="center"/>
          </w:tcPr>
          <w:p w14:paraId="068B1448">
            <w:pPr>
              <w:pStyle w:val="26"/>
              <w:pBdr>
                <w:bottom w:val="none" w:color="auto" w:sz="0" w:space="0"/>
              </w:pBdr>
              <w:spacing w:line="280" w:lineRule="exact"/>
              <w:rPr>
                <w:rFonts w:eastAsia="楷体_GB2312"/>
                <w:sz w:val="21"/>
                <w:szCs w:val="24"/>
              </w:rPr>
            </w:pPr>
            <w:r>
              <w:rPr>
                <w:rFonts w:eastAsia="楷体_GB2312"/>
                <w:sz w:val="21"/>
                <w:szCs w:val="24"/>
              </w:rPr>
              <w:t>38</w:t>
            </w:r>
          </w:p>
        </w:tc>
        <w:tc>
          <w:tcPr>
            <w:tcW w:w="1326" w:type="dxa"/>
            <w:noWrap w:val="0"/>
            <w:vAlign w:val="center"/>
          </w:tcPr>
          <w:p w14:paraId="3201A08B">
            <w:pPr>
              <w:pStyle w:val="26"/>
              <w:pBdr>
                <w:bottom w:val="none" w:color="auto" w:sz="0" w:space="0"/>
              </w:pBdr>
              <w:spacing w:line="280" w:lineRule="exact"/>
              <w:rPr>
                <w:rFonts w:eastAsia="楷体_GB2312"/>
                <w:sz w:val="21"/>
                <w:szCs w:val="24"/>
              </w:rPr>
            </w:pPr>
            <w:r>
              <w:rPr>
                <w:rFonts w:eastAsia="楷体_GB2312"/>
                <w:sz w:val="21"/>
                <w:szCs w:val="24"/>
              </w:rPr>
              <w:t>90</w:t>
            </w:r>
          </w:p>
        </w:tc>
        <w:tc>
          <w:tcPr>
            <w:tcW w:w="1615" w:type="dxa"/>
            <w:noWrap w:val="0"/>
            <w:vAlign w:val="center"/>
          </w:tcPr>
          <w:p w14:paraId="10035354">
            <w:pPr>
              <w:pStyle w:val="26"/>
              <w:pBdr>
                <w:bottom w:val="none" w:color="auto" w:sz="0" w:space="0"/>
              </w:pBdr>
              <w:spacing w:line="280" w:lineRule="exact"/>
              <w:rPr>
                <w:rFonts w:eastAsia="楷体_GB2312"/>
                <w:sz w:val="21"/>
                <w:szCs w:val="24"/>
              </w:rPr>
            </w:pPr>
            <w:r>
              <w:rPr>
                <w:rFonts w:eastAsia="楷体_GB2312"/>
                <w:sz w:val="21"/>
                <w:szCs w:val="24"/>
              </w:rPr>
              <w:t>19244</w:t>
            </w:r>
          </w:p>
        </w:tc>
      </w:tr>
      <w:tr w14:paraId="73AC3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4D869D20">
            <w:pPr>
              <w:tabs>
                <w:tab w:val="left" w:pos="0"/>
                <w:tab w:val="left" w:pos="295"/>
              </w:tabs>
              <w:jc w:val="center"/>
              <w:rPr>
                <w:rFonts w:eastAsia="楷体_GB2312"/>
                <w:szCs w:val="21"/>
              </w:rPr>
            </w:pPr>
            <w:r>
              <w:rPr>
                <w:rFonts w:hint="eastAsia" w:eastAsia="楷体_GB2312"/>
                <w:szCs w:val="21"/>
              </w:rPr>
              <w:t>11</w:t>
            </w:r>
          </w:p>
        </w:tc>
        <w:tc>
          <w:tcPr>
            <w:tcW w:w="0" w:type="auto"/>
            <w:noWrap w:val="0"/>
            <w:vAlign w:val="center"/>
          </w:tcPr>
          <w:p w14:paraId="579CC65B">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曹村镇</w:t>
            </w:r>
          </w:p>
        </w:tc>
        <w:tc>
          <w:tcPr>
            <w:tcW w:w="562" w:type="dxa"/>
            <w:noWrap w:val="0"/>
            <w:vAlign w:val="center"/>
          </w:tcPr>
          <w:p w14:paraId="07953449">
            <w:pPr>
              <w:spacing w:line="280" w:lineRule="exact"/>
              <w:jc w:val="center"/>
              <w:rPr>
                <w:rFonts w:eastAsia="楷体_GB2312"/>
              </w:rPr>
            </w:pPr>
            <w:r>
              <w:rPr>
                <w:rFonts w:eastAsia="楷体_GB2312"/>
              </w:rPr>
              <w:t>01</w:t>
            </w:r>
          </w:p>
        </w:tc>
        <w:tc>
          <w:tcPr>
            <w:tcW w:w="2410" w:type="dxa"/>
            <w:noWrap w:val="0"/>
            <w:vAlign w:val="center"/>
          </w:tcPr>
          <w:p w14:paraId="01A13AF8">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曹村镇</w:t>
            </w:r>
            <w:r>
              <w:rPr>
                <w:rFonts w:hint="eastAsia" w:eastAsia="楷体_GB2312"/>
              </w:rPr>
              <w:t>卫生院</w:t>
            </w:r>
          </w:p>
        </w:tc>
        <w:tc>
          <w:tcPr>
            <w:tcW w:w="1509" w:type="dxa"/>
            <w:noWrap w:val="0"/>
            <w:vAlign w:val="center"/>
          </w:tcPr>
          <w:p w14:paraId="2319BDD2">
            <w:pPr>
              <w:pStyle w:val="26"/>
              <w:pBdr>
                <w:bottom w:val="none" w:color="auto" w:sz="0" w:space="0"/>
              </w:pBdr>
              <w:spacing w:line="280" w:lineRule="exact"/>
              <w:rPr>
                <w:rFonts w:eastAsia="楷体_GB2312"/>
                <w:sz w:val="21"/>
                <w:szCs w:val="24"/>
              </w:rPr>
            </w:pPr>
            <w:r>
              <w:rPr>
                <w:rFonts w:eastAsia="楷体_GB2312"/>
                <w:sz w:val="21"/>
                <w:szCs w:val="24"/>
              </w:rPr>
              <w:t>55</w:t>
            </w:r>
          </w:p>
        </w:tc>
        <w:tc>
          <w:tcPr>
            <w:tcW w:w="1326" w:type="dxa"/>
            <w:noWrap w:val="0"/>
            <w:vAlign w:val="center"/>
          </w:tcPr>
          <w:p w14:paraId="1D91B76A">
            <w:pPr>
              <w:pStyle w:val="26"/>
              <w:pBdr>
                <w:bottom w:val="none" w:color="auto" w:sz="0" w:space="0"/>
              </w:pBdr>
              <w:spacing w:line="280" w:lineRule="exact"/>
              <w:rPr>
                <w:rFonts w:eastAsia="楷体_GB2312"/>
                <w:sz w:val="21"/>
                <w:szCs w:val="24"/>
              </w:rPr>
            </w:pPr>
            <w:r>
              <w:rPr>
                <w:rFonts w:eastAsia="楷体_GB2312"/>
                <w:sz w:val="21"/>
                <w:szCs w:val="24"/>
              </w:rPr>
              <w:t>112</w:t>
            </w:r>
          </w:p>
        </w:tc>
        <w:tc>
          <w:tcPr>
            <w:tcW w:w="1615" w:type="dxa"/>
            <w:noWrap w:val="0"/>
            <w:vAlign w:val="center"/>
          </w:tcPr>
          <w:p w14:paraId="1C4D813F">
            <w:pPr>
              <w:pStyle w:val="26"/>
              <w:pBdr>
                <w:bottom w:val="none" w:color="auto" w:sz="0" w:space="0"/>
              </w:pBdr>
              <w:spacing w:line="280" w:lineRule="exact"/>
              <w:rPr>
                <w:rFonts w:eastAsia="楷体_GB2312"/>
                <w:sz w:val="21"/>
                <w:szCs w:val="24"/>
              </w:rPr>
            </w:pPr>
            <w:r>
              <w:rPr>
                <w:rFonts w:eastAsia="楷体_GB2312"/>
                <w:sz w:val="21"/>
                <w:szCs w:val="24"/>
              </w:rPr>
              <w:t>148457</w:t>
            </w:r>
          </w:p>
        </w:tc>
      </w:tr>
      <w:tr w14:paraId="75B7B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7D7ACE43">
            <w:pPr>
              <w:tabs>
                <w:tab w:val="left" w:pos="0"/>
                <w:tab w:val="left" w:pos="295"/>
              </w:tabs>
              <w:jc w:val="center"/>
              <w:rPr>
                <w:rFonts w:eastAsia="楷体_GB2312"/>
                <w:szCs w:val="21"/>
              </w:rPr>
            </w:pPr>
            <w:r>
              <w:rPr>
                <w:rFonts w:hint="eastAsia" w:eastAsia="楷体_GB2312"/>
                <w:szCs w:val="21"/>
              </w:rPr>
              <w:t>12</w:t>
            </w:r>
          </w:p>
        </w:tc>
        <w:tc>
          <w:tcPr>
            <w:tcW w:w="0" w:type="auto"/>
            <w:noWrap w:val="0"/>
            <w:vAlign w:val="center"/>
          </w:tcPr>
          <w:p w14:paraId="458933B8">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大营镇</w:t>
            </w:r>
          </w:p>
        </w:tc>
        <w:tc>
          <w:tcPr>
            <w:tcW w:w="562" w:type="dxa"/>
            <w:noWrap w:val="0"/>
            <w:vAlign w:val="center"/>
          </w:tcPr>
          <w:p w14:paraId="4A808D5E">
            <w:pPr>
              <w:spacing w:line="280" w:lineRule="exact"/>
              <w:jc w:val="center"/>
              <w:rPr>
                <w:rFonts w:eastAsia="楷体_GB2312"/>
              </w:rPr>
            </w:pPr>
            <w:r>
              <w:rPr>
                <w:rFonts w:eastAsia="楷体_GB2312"/>
              </w:rPr>
              <w:t>01</w:t>
            </w:r>
          </w:p>
        </w:tc>
        <w:tc>
          <w:tcPr>
            <w:tcW w:w="2410" w:type="dxa"/>
            <w:noWrap w:val="0"/>
            <w:vAlign w:val="center"/>
          </w:tcPr>
          <w:p w14:paraId="6A18CC19">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大营镇</w:t>
            </w:r>
            <w:r>
              <w:rPr>
                <w:rFonts w:hint="eastAsia" w:eastAsia="楷体_GB2312"/>
              </w:rPr>
              <w:t>卫生院</w:t>
            </w:r>
          </w:p>
        </w:tc>
        <w:tc>
          <w:tcPr>
            <w:tcW w:w="1509" w:type="dxa"/>
            <w:noWrap w:val="0"/>
            <w:vAlign w:val="center"/>
          </w:tcPr>
          <w:p w14:paraId="26216860">
            <w:pPr>
              <w:pStyle w:val="26"/>
              <w:pBdr>
                <w:bottom w:val="none" w:color="auto" w:sz="0" w:space="0"/>
              </w:pBdr>
              <w:spacing w:line="280" w:lineRule="exact"/>
              <w:rPr>
                <w:rFonts w:eastAsia="楷体_GB2312"/>
                <w:sz w:val="21"/>
                <w:szCs w:val="24"/>
              </w:rPr>
            </w:pPr>
            <w:r>
              <w:rPr>
                <w:rFonts w:eastAsia="楷体_GB2312"/>
                <w:sz w:val="21"/>
                <w:szCs w:val="24"/>
              </w:rPr>
              <w:t>67</w:t>
            </w:r>
          </w:p>
        </w:tc>
        <w:tc>
          <w:tcPr>
            <w:tcW w:w="1326" w:type="dxa"/>
            <w:noWrap w:val="0"/>
            <w:vAlign w:val="center"/>
          </w:tcPr>
          <w:p w14:paraId="4B33F60A">
            <w:pPr>
              <w:pStyle w:val="26"/>
              <w:pBdr>
                <w:bottom w:val="none" w:color="auto" w:sz="0" w:space="0"/>
              </w:pBdr>
              <w:spacing w:line="280" w:lineRule="exact"/>
              <w:rPr>
                <w:rFonts w:eastAsia="楷体_GB2312"/>
                <w:sz w:val="21"/>
                <w:szCs w:val="24"/>
              </w:rPr>
            </w:pPr>
            <w:r>
              <w:rPr>
                <w:rFonts w:eastAsia="楷体_GB2312"/>
                <w:sz w:val="21"/>
                <w:szCs w:val="24"/>
              </w:rPr>
              <w:t>166</w:t>
            </w:r>
          </w:p>
        </w:tc>
        <w:tc>
          <w:tcPr>
            <w:tcW w:w="1615" w:type="dxa"/>
            <w:noWrap w:val="0"/>
            <w:vAlign w:val="center"/>
          </w:tcPr>
          <w:p w14:paraId="16D28E17">
            <w:pPr>
              <w:pStyle w:val="26"/>
              <w:pBdr>
                <w:bottom w:val="none" w:color="auto" w:sz="0" w:space="0"/>
              </w:pBdr>
              <w:spacing w:line="280" w:lineRule="exact"/>
              <w:rPr>
                <w:rFonts w:eastAsia="楷体_GB2312"/>
                <w:sz w:val="21"/>
                <w:szCs w:val="24"/>
              </w:rPr>
            </w:pPr>
            <w:r>
              <w:rPr>
                <w:rFonts w:eastAsia="楷体_GB2312"/>
                <w:sz w:val="21"/>
                <w:szCs w:val="24"/>
              </w:rPr>
              <w:t>135793</w:t>
            </w:r>
          </w:p>
        </w:tc>
      </w:tr>
      <w:tr w14:paraId="07CC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743DF1F4">
            <w:pPr>
              <w:tabs>
                <w:tab w:val="left" w:pos="0"/>
                <w:tab w:val="left" w:pos="295"/>
              </w:tabs>
              <w:jc w:val="center"/>
              <w:rPr>
                <w:rFonts w:eastAsia="楷体_GB2312"/>
                <w:szCs w:val="21"/>
              </w:rPr>
            </w:pPr>
            <w:r>
              <w:rPr>
                <w:rFonts w:hint="eastAsia" w:eastAsia="楷体_GB2312"/>
                <w:szCs w:val="21"/>
              </w:rPr>
              <w:t>13</w:t>
            </w:r>
          </w:p>
        </w:tc>
        <w:tc>
          <w:tcPr>
            <w:tcW w:w="0" w:type="auto"/>
            <w:noWrap w:val="0"/>
            <w:vAlign w:val="center"/>
          </w:tcPr>
          <w:p w14:paraId="4CEADEB9">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褚兰镇</w:t>
            </w:r>
          </w:p>
        </w:tc>
        <w:tc>
          <w:tcPr>
            <w:tcW w:w="562" w:type="dxa"/>
            <w:noWrap w:val="0"/>
            <w:vAlign w:val="center"/>
          </w:tcPr>
          <w:p w14:paraId="7721D70D">
            <w:pPr>
              <w:spacing w:line="280" w:lineRule="exact"/>
              <w:jc w:val="center"/>
              <w:rPr>
                <w:rFonts w:eastAsia="楷体_GB2312"/>
              </w:rPr>
            </w:pPr>
            <w:r>
              <w:rPr>
                <w:rFonts w:eastAsia="楷体_GB2312"/>
              </w:rPr>
              <w:t>01</w:t>
            </w:r>
          </w:p>
        </w:tc>
        <w:tc>
          <w:tcPr>
            <w:tcW w:w="2410" w:type="dxa"/>
            <w:noWrap w:val="0"/>
            <w:vAlign w:val="center"/>
          </w:tcPr>
          <w:p w14:paraId="433AC670">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褚兰镇</w:t>
            </w:r>
            <w:r>
              <w:rPr>
                <w:rFonts w:hint="eastAsia" w:eastAsia="楷体_GB2312"/>
              </w:rPr>
              <w:t>卫生院</w:t>
            </w:r>
          </w:p>
        </w:tc>
        <w:tc>
          <w:tcPr>
            <w:tcW w:w="1509" w:type="dxa"/>
            <w:noWrap w:val="0"/>
            <w:vAlign w:val="center"/>
          </w:tcPr>
          <w:p w14:paraId="65B25024">
            <w:pPr>
              <w:pStyle w:val="26"/>
              <w:pBdr>
                <w:bottom w:val="none" w:color="auto" w:sz="0" w:space="0"/>
              </w:pBdr>
              <w:spacing w:line="280" w:lineRule="exact"/>
              <w:rPr>
                <w:rFonts w:eastAsia="楷体_GB2312"/>
                <w:sz w:val="21"/>
                <w:szCs w:val="24"/>
              </w:rPr>
            </w:pPr>
            <w:r>
              <w:rPr>
                <w:rFonts w:eastAsia="楷体_GB2312"/>
                <w:sz w:val="21"/>
                <w:szCs w:val="24"/>
              </w:rPr>
              <w:t>63</w:t>
            </w:r>
          </w:p>
        </w:tc>
        <w:tc>
          <w:tcPr>
            <w:tcW w:w="1326" w:type="dxa"/>
            <w:noWrap w:val="0"/>
            <w:vAlign w:val="center"/>
          </w:tcPr>
          <w:p w14:paraId="0188D989">
            <w:pPr>
              <w:pStyle w:val="26"/>
              <w:pBdr>
                <w:bottom w:val="none" w:color="auto" w:sz="0" w:space="0"/>
              </w:pBdr>
              <w:spacing w:line="280" w:lineRule="exact"/>
              <w:rPr>
                <w:rFonts w:eastAsia="楷体_GB2312"/>
                <w:sz w:val="21"/>
                <w:szCs w:val="24"/>
              </w:rPr>
            </w:pPr>
            <w:r>
              <w:rPr>
                <w:rFonts w:eastAsia="楷体_GB2312"/>
                <w:sz w:val="21"/>
                <w:szCs w:val="24"/>
              </w:rPr>
              <w:t>120</w:t>
            </w:r>
          </w:p>
        </w:tc>
        <w:tc>
          <w:tcPr>
            <w:tcW w:w="1615" w:type="dxa"/>
            <w:noWrap w:val="0"/>
            <w:vAlign w:val="center"/>
          </w:tcPr>
          <w:p w14:paraId="2142086A">
            <w:pPr>
              <w:pStyle w:val="26"/>
              <w:pBdr>
                <w:bottom w:val="none" w:color="auto" w:sz="0" w:space="0"/>
              </w:pBdr>
              <w:spacing w:line="280" w:lineRule="exact"/>
              <w:rPr>
                <w:rFonts w:eastAsia="楷体_GB2312"/>
                <w:sz w:val="21"/>
                <w:szCs w:val="24"/>
              </w:rPr>
            </w:pPr>
            <w:r>
              <w:rPr>
                <w:rFonts w:eastAsia="楷体_GB2312"/>
                <w:sz w:val="21"/>
                <w:szCs w:val="24"/>
              </w:rPr>
              <w:t>87544</w:t>
            </w:r>
          </w:p>
        </w:tc>
      </w:tr>
      <w:tr w14:paraId="6BF4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1D647DEB">
            <w:pPr>
              <w:tabs>
                <w:tab w:val="left" w:pos="0"/>
                <w:tab w:val="left" w:pos="295"/>
              </w:tabs>
              <w:jc w:val="center"/>
              <w:rPr>
                <w:rFonts w:eastAsia="楷体_GB2312"/>
                <w:szCs w:val="21"/>
              </w:rPr>
            </w:pPr>
            <w:r>
              <w:rPr>
                <w:rFonts w:hint="eastAsia" w:eastAsia="楷体_GB2312"/>
                <w:szCs w:val="21"/>
              </w:rPr>
              <w:t>14</w:t>
            </w:r>
          </w:p>
        </w:tc>
        <w:tc>
          <w:tcPr>
            <w:tcW w:w="0" w:type="auto"/>
            <w:noWrap w:val="0"/>
            <w:vAlign w:val="center"/>
          </w:tcPr>
          <w:p w14:paraId="725A993D">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顺河镇</w:t>
            </w:r>
          </w:p>
        </w:tc>
        <w:tc>
          <w:tcPr>
            <w:tcW w:w="562" w:type="dxa"/>
            <w:noWrap w:val="0"/>
            <w:vAlign w:val="center"/>
          </w:tcPr>
          <w:p w14:paraId="5C061D46">
            <w:pPr>
              <w:spacing w:line="280" w:lineRule="exact"/>
              <w:jc w:val="center"/>
              <w:rPr>
                <w:rFonts w:eastAsia="楷体_GB2312"/>
              </w:rPr>
            </w:pPr>
            <w:r>
              <w:rPr>
                <w:rFonts w:eastAsia="楷体_GB2312"/>
              </w:rPr>
              <w:t>01</w:t>
            </w:r>
          </w:p>
        </w:tc>
        <w:tc>
          <w:tcPr>
            <w:tcW w:w="2410" w:type="dxa"/>
            <w:noWrap w:val="0"/>
            <w:vAlign w:val="center"/>
          </w:tcPr>
          <w:p w14:paraId="4C5AE099">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顺河镇</w:t>
            </w:r>
            <w:r>
              <w:rPr>
                <w:rFonts w:hint="eastAsia" w:eastAsia="楷体_GB2312"/>
              </w:rPr>
              <w:t>卫生院</w:t>
            </w:r>
          </w:p>
        </w:tc>
        <w:tc>
          <w:tcPr>
            <w:tcW w:w="1509" w:type="dxa"/>
            <w:noWrap w:val="0"/>
            <w:vAlign w:val="center"/>
          </w:tcPr>
          <w:p w14:paraId="22F42E7A">
            <w:pPr>
              <w:pStyle w:val="26"/>
              <w:pBdr>
                <w:bottom w:val="none" w:color="auto" w:sz="0" w:space="0"/>
              </w:pBdr>
              <w:spacing w:line="280" w:lineRule="exact"/>
              <w:rPr>
                <w:rFonts w:eastAsia="楷体_GB2312"/>
                <w:sz w:val="21"/>
                <w:szCs w:val="24"/>
              </w:rPr>
            </w:pPr>
            <w:r>
              <w:rPr>
                <w:rFonts w:eastAsia="楷体_GB2312"/>
                <w:sz w:val="21"/>
                <w:szCs w:val="24"/>
              </w:rPr>
              <w:t>45</w:t>
            </w:r>
          </w:p>
        </w:tc>
        <w:tc>
          <w:tcPr>
            <w:tcW w:w="1326" w:type="dxa"/>
            <w:noWrap w:val="0"/>
            <w:vAlign w:val="center"/>
          </w:tcPr>
          <w:p w14:paraId="3EA0B728">
            <w:pPr>
              <w:pStyle w:val="26"/>
              <w:pBdr>
                <w:bottom w:val="none" w:color="auto" w:sz="0" w:space="0"/>
              </w:pBdr>
              <w:spacing w:line="280" w:lineRule="exact"/>
              <w:rPr>
                <w:rFonts w:eastAsia="楷体_GB2312"/>
                <w:sz w:val="21"/>
                <w:szCs w:val="24"/>
              </w:rPr>
            </w:pPr>
            <w:r>
              <w:rPr>
                <w:rFonts w:eastAsia="楷体_GB2312"/>
                <w:sz w:val="21"/>
                <w:szCs w:val="24"/>
              </w:rPr>
              <w:t>110</w:t>
            </w:r>
          </w:p>
        </w:tc>
        <w:tc>
          <w:tcPr>
            <w:tcW w:w="1615" w:type="dxa"/>
            <w:noWrap w:val="0"/>
            <w:vAlign w:val="center"/>
          </w:tcPr>
          <w:p w14:paraId="63DCCC4B">
            <w:pPr>
              <w:pStyle w:val="26"/>
              <w:pBdr>
                <w:bottom w:val="none" w:color="auto" w:sz="0" w:space="0"/>
              </w:pBdr>
              <w:spacing w:line="280" w:lineRule="exact"/>
              <w:rPr>
                <w:rFonts w:eastAsia="楷体_GB2312"/>
                <w:sz w:val="21"/>
                <w:szCs w:val="24"/>
              </w:rPr>
            </w:pPr>
            <w:r>
              <w:rPr>
                <w:rFonts w:eastAsia="楷体_GB2312"/>
                <w:sz w:val="21"/>
                <w:szCs w:val="24"/>
              </w:rPr>
              <w:t>49881</w:t>
            </w:r>
          </w:p>
        </w:tc>
      </w:tr>
      <w:tr w14:paraId="4765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0F3ECEBE">
            <w:pPr>
              <w:tabs>
                <w:tab w:val="left" w:pos="0"/>
                <w:tab w:val="left" w:pos="295"/>
              </w:tabs>
              <w:jc w:val="center"/>
              <w:rPr>
                <w:rFonts w:eastAsia="楷体_GB2312"/>
                <w:szCs w:val="21"/>
              </w:rPr>
            </w:pPr>
            <w:r>
              <w:rPr>
                <w:rFonts w:hint="eastAsia" w:eastAsia="楷体_GB2312"/>
                <w:szCs w:val="21"/>
              </w:rPr>
              <w:t>15</w:t>
            </w:r>
          </w:p>
        </w:tc>
        <w:tc>
          <w:tcPr>
            <w:tcW w:w="0" w:type="auto"/>
            <w:noWrap w:val="0"/>
            <w:vAlign w:val="center"/>
          </w:tcPr>
          <w:p w14:paraId="40C2137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杨庄镇</w:t>
            </w:r>
          </w:p>
        </w:tc>
        <w:tc>
          <w:tcPr>
            <w:tcW w:w="562" w:type="dxa"/>
            <w:noWrap w:val="0"/>
            <w:vAlign w:val="center"/>
          </w:tcPr>
          <w:p w14:paraId="3FE2295A">
            <w:pPr>
              <w:spacing w:line="280" w:lineRule="exact"/>
              <w:jc w:val="center"/>
              <w:rPr>
                <w:rFonts w:eastAsia="楷体_GB2312"/>
              </w:rPr>
            </w:pPr>
            <w:r>
              <w:rPr>
                <w:rFonts w:eastAsia="楷体_GB2312"/>
              </w:rPr>
              <w:t>01</w:t>
            </w:r>
          </w:p>
        </w:tc>
        <w:tc>
          <w:tcPr>
            <w:tcW w:w="2410" w:type="dxa"/>
            <w:noWrap w:val="0"/>
            <w:vAlign w:val="center"/>
          </w:tcPr>
          <w:p w14:paraId="0DD9BE9A">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杨庄镇</w:t>
            </w:r>
            <w:r>
              <w:rPr>
                <w:rFonts w:hint="eastAsia" w:eastAsia="楷体_GB2312"/>
              </w:rPr>
              <w:t>卫生院</w:t>
            </w:r>
          </w:p>
        </w:tc>
        <w:tc>
          <w:tcPr>
            <w:tcW w:w="1509" w:type="dxa"/>
            <w:noWrap w:val="0"/>
            <w:vAlign w:val="center"/>
          </w:tcPr>
          <w:p w14:paraId="2E5C716D">
            <w:pPr>
              <w:pStyle w:val="26"/>
              <w:pBdr>
                <w:bottom w:val="none" w:color="auto" w:sz="0" w:space="0"/>
              </w:pBdr>
              <w:spacing w:line="280" w:lineRule="exact"/>
              <w:rPr>
                <w:rFonts w:eastAsia="楷体_GB2312"/>
                <w:sz w:val="21"/>
                <w:szCs w:val="24"/>
              </w:rPr>
            </w:pPr>
            <w:r>
              <w:rPr>
                <w:rFonts w:eastAsia="楷体_GB2312"/>
                <w:sz w:val="21"/>
                <w:szCs w:val="24"/>
              </w:rPr>
              <w:t>42</w:t>
            </w:r>
          </w:p>
        </w:tc>
        <w:tc>
          <w:tcPr>
            <w:tcW w:w="1326" w:type="dxa"/>
            <w:noWrap w:val="0"/>
            <w:vAlign w:val="center"/>
          </w:tcPr>
          <w:p w14:paraId="06405141">
            <w:pPr>
              <w:pStyle w:val="26"/>
              <w:pBdr>
                <w:bottom w:val="none" w:color="auto" w:sz="0" w:space="0"/>
              </w:pBdr>
              <w:spacing w:line="280" w:lineRule="exact"/>
              <w:rPr>
                <w:rFonts w:eastAsia="楷体_GB2312"/>
                <w:sz w:val="21"/>
                <w:szCs w:val="24"/>
              </w:rPr>
            </w:pPr>
            <w:r>
              <w:rPr>
                <w:rFonts w:eastAsia="楷体_GB2312"/>
                <w:sz w:val="21"/>
                <w:szCs w:val="24"/>
              </w:rPr>
              <w:t>60</w:t>
            </w:r>
          </w:p>
        </w:tc>
        <w:tc>
          <w:tcPr>
            <w:tcW w:w="1615" w:type="dxa"/>
            <w:noWrap w:val="0"/>
            <w:vAlign w:val="center"/>
          </w:tcPr>
          <w:p w14:paraId="14AFC8AD">
            <w:pPr>
              <w:pStyle w:val="26"/>
              <w:pBdr>
                <w:bottom w:val="none" w:color="auto" w:sz="0" w:space="0"/>
              </w:pBdr>
              <w:spacing w:line="280" w:lineRule="exact"/>
              <w:rPr>
                <w:rFonts w:eastAsia="楷体_GB2312"/>
                <w:sz w:val="21"/>
                <w:szCs w:val="24"/>
              </w:rPr>
            </w:pPr>
            <w:r>
              <w:rPr>
                <w:rFonts w:eastAsia="楷体_GB2312"/>
                <w:sz w:val="21"/>
                <w:szCs w:val="24"/>
              </w:rPr>
              <w:t>37980</w:t>
            </w:r>
          </w:p>
        </w:tc>
      </w:tr>
      <w:tr w14:paraId="6A86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1FD1D1FB">
            <w:pPr>
              <w:tabs>
                <w:tab w:val="left" w:pos="0"/>
                <w:tab w:val="left" w:pos="295"/>
              </w:tabs>
              <w:jc w:val="center"/>
              <w:rPr>
                <w:rFonts w:eastAsia="楷体_GB2312"/>
                <w:szCs w:val="21"/>
              </w:rPr>
            </w:pPr>
            <w:r>
              <w:rPr>
                <w:rFonts w:hint="eastAsia" w:eastAsia="楷体_GB2312"/>
                <w:szCs w:val="21"/>
              </w:rPr>
              <w:t>16</w:t>
            </w:r>
          </w:p>
        </w:tc>
        <w:tc>
          <w:tcPr>
            <w:tcW w:w="0" w:type="auto"/>
            <w:noWrap w:val="0"/>
            <w:vAlign w:val="center"/>
          </w:tcPr>
          <w:p w14:paraId="04C26B16">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永镇乡</w:t>
            </w:r>
          </w:p>
        </w:tc>
        <w:tc>
          <w:tcPr>
            <w:tcW w:w="562" w:type="dxa"/>
            <w:noWrap w:val="0"/>
            <w:vAlign w:val="center"/>
          </w:tcPr>
          <w:p w14:paraId="740D7FB3">
            <w:pPr>
              <w:spacing w:line="280" w:lineRule="exact"/>
              <w:jc w:val="center"/>
              <w:rPr>
                <w:rFonts w:eastAsia="楷体_GB2312"/>
              </w:rPr>
            </w:pPr>
            <w:r>
              <w:rPr>
                <w:rFonts w:eastAsia="楷体_GB2312"/>
              </w:rPr>
              <w:t>01</w:t>
            </w:r>
          </w:p>
        </w:tc>
        <w:tc>
          <w:tcPr>
            <w:tcW w:w="2410" w:type="dxa"/>
            <w:noWrap w:val="0"/>
            <w:vAlign w:val="center"/>
          </w:tcPr>
          <w:p w14:paraId="470624AB">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永镇乡</w:t>
            </w:r>
            <w:r>
              <w:rPr>
                <w:rFonts w:hint="eastAsia" w:eastAsia="楷体_GB2312"/>
              </w:rPr>
              <w:t>卫生院</w:t>
            </w:r>
          </w:p>
        </w:tc>
        <w:tc>
          <w:tcPr>
            <w:tcW w:w="1509" w:type="dxa"/>
            <w:noWrap w:val="0"/>
            <w:vAlign w:val="center"/>
          </w:tcPr>
          <w:p w14:paraId="1CFCBBB0">
            <w:pPr>
              <w:pStyle w:val="26"/>
              <w:pBdr>
                <w:bottom w:val="none" w:color="auto" w:sz="0" w:space="0"/>
              </w:pBdr>
              <w:spacing w:line="280" w:lineRule="exact"/>
              <w:rPr>
                <w:rFonts w:eastAsia="楷体_GB2312"/>
                <w:sz w:val="21"/>
                <w:szCs w:val="24"/>
              </w:rPr>
            </w:pPr>
            <w:r>
              <w:rPr>
                <w:rFonts w:eastAsia="楷体_GB2312"/>
                <w:sz w:val="21"/>
                <w:szCs w:val="24"/>
              </w:rPr>
              <w:t>34</w:t>
            </w:r>
          </w:p>
        </w:tc>
        <w:tc>
          <w:tcPr>
            <w:tcW w:w="1326" w:type="dxa"/>
            <w:noWrap w:val="0"/>
            <w:vAlign w:val="center"/>
          </w:tcPr>
          <w:p w14:paraId="745828A1">
            <w:pPr>
              <w:pStyle w:val="26"/>
              <w:pBdr>
                <w:bottom w:val="none" w:color="auto" w:sz="0" w:space="0"/>
              </w:pBdr>
              <w:spacing w:line="280" w:lineRule="exact"/>
              <w:rPr>
                <w:rFonts w:eastAsia="楷体_GB2312"/>
                <w:sz w:val="21"/>
                <w:szCs w:val="24"/>
              </w:rPr>
            </w:pPr>
            <w:r>
              <w:rPr>
                <w:rFonts w:eastAsia="楷体_GB2312"/>
                <w:sz w:val="21"/>
                <w:szCs w:val="24"/>
              </w:rPr>
              <w:t>30</w:t>
            </w:r>
          </w:p>
        </w:tc>
        <w:tc>
          <w:tcPr>
            <w:tcW w:w="1615" w:type="dxa"/>
            <w:noWrap w:val="0"/>
            <w:vAlign w:val="center"/>
          </w:tcPr>
          <w:p w14:paraId="5F23701E">
            <w:pPr>
              <w:pStyle w:val="26"/>
              <w:pBdr>
                <w:bottom w:val="none" w:color="auto" w:sz="0" w:space="0"/>
              </w:pBdr>
              <w:spacing w:line="280" w:lineRule="exact"/>
              <w:rPr>
                <w:rFonts w:eastAsia="楷体_GB2312"/>
                <w:sz w:val="21"/>
                <w:szCs w:val="24"/>
              </w:rPr>
            </w:pPr>
            <w:r>
              <w:rPr>
                <w:rFonts w:eastAsia="楷体_GB2312"/>
                <w:sz w:val="21"/>
                <w:szCs w:val="24"/>
              </w:rPr>
              <w:t>77800</w:t>
            </w:r>
          </w:p>
        </w:tc>
      </w:tr>
      <w:tr w14:paraId="2272C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79EAAE3B">
            <w:pPr>
              <w:tabs>
                <w:tab w:val="left" w:pos="0"/>
                <w:tab w:val="left" w:pos="295"/>
              </w:tabs>
              <w:jc w:val="center"/>
              <w:rPr>
                <w:rFonts w:eastAsia="楷体_GB2312"/>
                <w:szCs w:val="21"/>
              </w:rPr>
            </w:pPr>
            <w:r>
              <w:rPr>
                <w:rFonts w:hint="eastAsia" w:eastAsia="楷体_GB2312"/>
                <w:szCs w:val="21"/>
              </w:rPr>
              <w:t>17</w:t>
            </w:r>
          </w:p>
        </w:tc>
        <w:tc>
          <w:tcPr>
            <w:tcW w:w="0" w:type="auto"/>
            <w:noWrap w:val="0"/>
            <w:vAlign w:val="center"/>
          </w:tcPr>
          <w:p w14:paraId="159416D5">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解集镇</w:t>
            </w:r>
          </w:p>
        </w:tc>
        <w:tc>
          <w:tcPr>
            <w:tcW w:w="562" w:type="dxa"/>
            <w:noWrap w:val="0"/>
            <w:vAlign w:val="center"/>
          </w:tcPr>
          <w:p w14:paraId="07640A34">
            <w:pPr>
              <w:spacing w:line="280" w:lineRule="exact"/>
              <w:jc w:val="center"/>
              <w:rPr>
                <w:rFonts w:eastAsia="楷体_GB2312"/>
              </w:rPr>
            </w:pPr>
            <w:r>
              <w:rPr>
                <w:rFonts w:eastAsia="楷体_GB2312"/>
              </w:rPr>
              <w:t>01</w:t>
            </w:r>
          </w:p>
        </w:tc>
        <w:tc>
          <w:tcPr>
            <w:tcW w:w="2410" w:type="dxa"/>
            <w:noWrap w:val="0"/>
            <w:vAlign w:val="center"/>
          </w:tcPr>
          <w:p w14:paraId="46D56B2A">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解集镇</w:t>
            </w:r>
            <w:r>
              <w:rPr>
                <w:rFonts w:hint="eastAsia" w:eastAsia="楷体_GB2312"/>
              </w:rPr>
              <w:t>卫生院</w:t>
            </w:r>
          </w:p>
        </w:tc>
        <w:tc>
          <w:tcPr>
            <w:tcW w:w="1509" w:type="dxa"/>
            <w:noWrap w:val="0"/>
            <w:vAlign w:val="center"/>
          </w:tcPr>
          <w:p w14:paraId="06B69FD4">
            <w:pPr>
              <w:pStyle w:val="26"/>
              <w:pBdr>
                <w:bottom w:val="none" w:color="auto" w:sz="0" w:space="0"/>
              </w:pBdr>
              <w:spacing w:line="280" w:lineRule="exact"/>
              <w:rPr>
                <w:rFonts w:eastAsia="楷体_GB2312"/>
                <w:sz w:val="21"/>
                <w:szCs w:val="24"/>
              </w:rPr>
            </w:pPr>
            <w:r>
              <w:rPr>
                <w:rFonts w:eastAsia="楷体_GB2312"/>
                <w:sz w:val="21"/>
                <w:szCs w:val="24"/>
              </w:rPr>
              <w:t>62</w:t>
            </w:r>
          </w:p>
        </w:tc>
        <w:tc>
          <w:tcPr>
            <w:tcW w:w="1326" w:type="dxa"/>
            <w:noWrap w:val="0"/>
            <w:vAlign w:val="center"/>
          </w:tcPr>
          <w:p w14:paraId="7640EE3F">
            <w:pPr>
              <w:pStyle w:val="26"/>
              <w:pBdr>
                <w:bottom w:val="none" w:color="auto" w:sz="0" w:space="0"/>
              </w:pBdr>
              <w:spacing w:line="280" w:lineRule="exact"/>
              <w:rPr>
                <w:rFonts w:eastAsia="楷体_GB2312"/>
                <w:sz w:val="21"/>
                <w:szCs w:val="24"/>
              </w:rPr>
            </w:pPr>
            <w:r>
              <w:rPr>
                <w:rFonts w:eastAsia="楷体_GB2312"/>
                <w:sz w:val="21"/>
                <w:szCs w:val="24"/>
              </w:rPr>
              <w:t>60</w:t>
            </w:r>
          </w:p>
        </w:tc>
        <w:tc>
          <w:tcPr>
            <w:tcW w:w="1615" w:type="dxa"/>
            <w:noWrap w:val="0"/>
            <w:vAlign w:val="center"/>
          </w:tcPr>
          <w:p w14:paraId="75E2DCBF">
            <w:pPr>
              <w:pStyle w:val="26"/>
              <w:pBdr>
                <w:bottom w:val="none" w:color="auto" w:sz="0" w:space="0"/>
              </w:pBdr>
              <w:spacing w:line="280" w:lineRule="exact"/>
              <w:rPr>
                <w:rFonts w:eastAsia="楷体_GB2312"/>
                <w:sz w:val="21"/>
                <w:szCs w:val="24"/>
              </w:rPr>
            </w:pPr>
            <w:r>
              <w:rPr>
                <w:rFonts w:eastAsia="楷体_GB2312"/>
                <w:sz w:val="21"/>
                <w:szCs w:val="24"/>
              </w:rPr>
              <w:t>125551</w:t>
            </w:r>
          </w:p>
        </w:tc>
      </w:tr>
      <w:tr w14:paraId="54365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5C8509FD">
            <w:pPr>
              <w:tabs>
                <w:tab w:val="left" w:pos="0"/>
                <w:tab w:val="left" w:pos="295"/>
              </w:tabs>
              <w:jc w:val="center"/>
              <w:rPr>
                <w:rFonts w:eastAsia="楷体_GB2312"/>
                <w:szCs w:val="21"/>
              </w:rPr>
            </w:pPr>
            <w:r>
              <w:rPr>
                <w:rFonts w:hint="eastAsia" w:eastAsia="楷体_GB2312"/>
                <w:szCs w:val="21"/>
              </w:rPr>
              <w:t>18</w:t>
            </w:r>
          </w:p>
        </w:tc>
        <w:tc>
          <w:tcPr>
            <w:tcW w:w="0" w:type="auto"/>
            <w:noWrap w:val="0"/>
            <w:vAlign w:val="center"/>
          </w:tcPr>
          <w:p w14:paraId="354C094A">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大泽乡镇</w:t>
            </w:r>
          </w:p>
        </w:tc>
        <w:tc>
          <w:tcPr>
            <w:tcW w:w="562" w:type="dxa"/>
            <w:noWrap w:val="0"/>
            <w:vAlign w:val="center"/>
          </w:tcPr>
          <w:p w14:paraId="58050B99">
            <w:pPr>
              <w:spacing w:line="280" w:lineRule="exact"/>
              <w:jc w:val="center"/>
              <w:rPr>
                <w:rFonts w:eastAsia="楷体_GB2312"/>
              </w:rPr>
            </w:pPr>
            <w:r>
              <w:rPr>
                <w:rFonts w:eastAsia="楷体_GB2312"/>
              </w:rPr>
              <w:t>01</w:t>
            </w:r>
          </w:p>
        </w:tc>
        <w:tc>
          <w:tcPr>
            <w:tcW w:w="2410" w:type="dxa"/>
            <w:noWrap w:val="0"/>
            <w:vAlign w:val="center"/>
          </w:tcPr>
          <w:p w14:paraId="0B8C5019">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大泽乡镇</w:t>
            </w:r>
            <w:r>
              <w:rPr>
                <w:rFonts w:hint="eastAsia" w:eastAsia="楷体_GB2312"/>
              </w:rPr>
              <w:t>卫生院</w:t>
            </w:r>
          </w:p>
        </w:tc>
        <w:tc>
          <w:tcPr>
            <w:tcW w:w="1509" w:type="dxa"/>
            <w:noWrap w:val="0"/>
            <w:vAlign w:val="center"/>
          </w:tcPr>
          <w:p w14:paraId="013A33FE">
            <w:pPr>
              <w:pStyle w:val="26"/>
              <w:pBdr>
                <w:bottom w:val="none" w:color="auto" w:sz="0" w:space="0"/>
              </w:pBdr>
              <w:spacing w:line="280" w:lineRule="exact"/>
              <w:rPr>
                <w:rFonts w:eastAsia="楷体_GB2312"/>
                <w:sz w:val="21"/>
                <w:szCs w:val="24"/>
              </w:rPr>
            </w:pPr>
            <w:r>
              <w:rPr>
                <w:rFonts w:eastAsia="楷体_GB2312"/>
                <w:sz w:val="21"/>
                <w:szCs w:val="24"/>
              </w:rPr>
              <w:t>51</w:t>
            </w:r>
          </w:p>
        </w:tc>
        <w:tc>
          <w:tcPr>
            <w:tcW w:w="1326" w:type="dxa"/>
            <w:noWrap w:val="0"/>
            <w:vAlign w:val="center"/>
          </w:tcPr>
          <w:p w14:paraId="71FECDF6">
            <w:pPr>
              <w:pStyle w:val="26"/>
              <w:pBdr>
                <w:bottom w:val="none" w:color="auto" w:sz="0" w:space="0"/>
              </w:pBdr>
              <w:spacing w:line="280" w:lineRule="exact"/>
              <w:rPr>
                <w:rFonts w:eastAsia="楷体_GB2312"/>
                <w:sz w:val="21"/>
                <w:szCs w:val="24"/>
              </w:rPr>
            </w:pPr>
            <w:r>
              <w:rPr>
                <w:rFonts w:eastAsia="楷体_GB2312"/>
                <w:sz w:val="21"/>
                <w:szCs w:val="24"/>
              </w:rPr>
              <w:t>100</w:t>
            </w:r>
          </w:p>
        </w:tc>
        <w:tc>
          <w:tcPr>
            <w:tcW w:w="1615" w:type="dxa"/>
            <w:noWrap w:val="0"/>
            <w:vAlign w:val="center"/>
          </w:tcPr>
          <w:p w14:paraId="0DC8A498">
            <w:pPr>
              <w:pStyle w:val="26"/>
              <w:pBdr>
                <w:bottom w:val="none" w:color="auto" w:sz="0" w:space="0"/>
              </w:pBdr>
              <w:spacing w:line="280" w:lineRule="exact"/>
              <w:rPr>
                <w:rFonts w:eastAsia="楷体_GB2312"/>
                <w:sz w:val="21"/>
                <w:szCs w:val="24"/>
              </w:rPr>
            </w:pPr>
            <w:r>
              <w:rPr>
                <w:rFonts w:eastAsia="楷体_GB2312"/>
                <w:sz w:val="21"/>
                <w:szCs w:val="24"/>
              </w:rPr>
              <w:t>119197</w:t>
            </w:r>
          </w:p>
        </w:tc>
      </w:tr>
      <w:tr w14:paraId="59863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57C5E711">
            <w:pPr>
              <w:tabs>
                <w:tab w:val="left" w:pos="0"/>
                <w:tab w:val="left" w:pos="295"/>
              </w:tabs>
              <w:jc w:val="center"/>
              <w:rPr>
                <w:rFonts w:eastAsia="楷体_GB2312"/>
                <w:szCs w:val="21"/>
              </w:rPr>
            </w:pPr>
            <w:r>
              <w:rPr>
                <w:rFonts w:hint="eastAsia" w:eastAsia="楷体_GB2312"/>
                <w:szCs w:val="21"/>
              </w:rPr>
              <w:t>19</w:t>
            </w:r>
          </w:p>
        </w:tc>
        <w:tc>
          <w:tcPr>
            <w:tcW w:w="0" w:type="auto"/>
            <w:noWrap w:val="0"/>
            <w:vAlign w:val="center"/>
          </w:tcPr>
          <w:p w14:paraId="0D341628">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永安镇</w:t>
            </w:r>
          </w:p>
        </w:tc>
        <w:tc>
          <w:tcPr>
            <w:tcW w:w="562" w:type="dxa"/>
            <w:noWrap w:val="0"/>
            <w:vAlign w:val="center"/>
          </w:tcPr>
          <w:p w14:paraId="788CB0C6">
            <w:pPr>
              <w:spacing w:line="280" w:lineRule="exact"/>
              <w:jc w:val="center"/>
              <w:rPr>
                <w:rFonts w:eastAsia="楷体_GB2312"/>
              </w:rPr>
            </w:pPr>
            <w:r>
              <w:rPr>
                <w:rFonts w:eastAsia="楷体_GB2312"/>
              </w:rPr>
              <w:t>01</w:t>
            </w:r>
          </w:p>
        </w:tc>
        <w:tc>
          <w:tcPr>
            <w:tcW w:w="2410" w:type="dxa"/>
            <w:noWrap w:val="0"/>
            <w:vAlign w:val="center"/>
          </w:tcPr>
          <w:p w14:paraId="05A70D0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永安镇</w:t>
            </w:r>
            <w:r>
              <w:rPr>
                <w:rFonts w:hint="eastAsia" w:eastAsia="楷体_GB2312"/>
              </w:rPr>
              <w:t>卫生院</w:t>
            </w:r>
          </w:p>
        </w:tc>
        <w:tc>
          <w:tcPr>
            <w:tcW w:w="1509" w:type="dxa"/>
            <w:noWrap w:val="0"/>
            <w:vAlign w:val="center"/>
          </w:tcPr>
          <w:p w14:paraId="120BC3DC">
            <w:pPr>
              <w:pStyle w:val="26"/>
              <w:pBdr>
                <w:bottom w:val="none" w:color="auto" w:sz="0" w:space="0"/>
              </w:pBdr>
              <w:spacing w:line="280" w:lineRule="exact"/>
              <w:rPr>
                <w:rFonts w:eastAsia="楷体_GB2312"/>
                <w:sz w:val="21"/>
                <w:szCs w:val="24"/>
              </w:rPr>
            </w:pPr>
            <w:r>
              <w:rPr>
                <w:rFonts w:eastAsia="楷体_GB2312"/>
                <w:sz w:val="21"/>
                <w:szCs w:val="24"/>
              </w:rPr>
              <w:t>66</w:t>
            </w:r>
          </w:p>
        </w:tc>
        <w:tc>
          <w:tcPr>
            <w:tcW w:w="1326" w:type="dxa"/>
            <w:noWrap w:val="0"/>
            <w:vAlign w:val="center"/>
          </w:tcPr>
          <w:p w14:paraId="28353863">
            <w:pPr>
              <w:pStyle w:val="26"/>
              <w:pBdr>
                <w:bottom w:val="none" w:color="auto" w:sz="0" w:space="0"/>
              </w:pBdr>
              <w:spacing w:line="280" w:lineRule="exact"/>
              <w:rPr>
                <w:rFonts w:eastAsia="楷体_GB2312"/>
                <w:sz w:val="21"/>
                <w:szCs w:val="24"/>
              </w:rPr>
            </w:pPr>
            <w:r>
              <w:rPr>
                <w:rFonts w:eastAsia="楷体_GB2312"/>
                <w:sz w:val="21"/>
                <w:szCs w:val="24"/>
              </w:rPr>
              <w:t>150</w:t>
            </w:r>
          </w:p>
        </w:tc>
        <w:tc>
          <w:tcPr>
            <w:tcW w:w="1615" w:type="dxa"/>
            <w:noWrap w:val="0"/>
            <w:vAlign w:val="center"/>
          </w:tcPr>
          <w:p w14:paraId="679F43CC">
            <w:pPr>
              <w:pStyle w:val="26"/>
              <w:pBdr>
                <w:bottom w:val="none" w:color="auto" w:sz="0" w:space="0"/>
              </w:pBdr>
              <w:spacing w:line="280" w:lineRule="exact"/>
              <w:rPr>
                <w:rFonts w:eastAsia="楷体_GB2312"/>
                <w:sz w:val="21"/>
                <w:szCs w:val="24"/>
              </w:rPr>
            </w:pPr>
            <w:r>
              <w:rPr>
                <w:rFonts w:eastAsia="楷体_GB2312"/>
                <w:sz w:val="21"/>
                <w:szCs w:val="24"/>
              </w:rPr>
              <w:t>119003</w:t>
            </w:r>
          </w:p>
        </w:tc>
      </w:tr>
      <w:tr w14:paraId="40248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1F05C1B6">
            <w:pPr>
              <w:tabs>
                <w:tab w:val="left" w:pos="0"/>
                <w:tab w:val="left" w:pos="295"/>
              </w:tabs>
              <w:jc w:val="center"/>
              <w:rPr>
                <w:rFonts w:eastAsia="楷体_GB2312"/>
                <w:szCs w:val="21"/>
              </w:rPr>
            </w:pPr>
            <w:r>
              <w:rPr>
                <w:rFonts w:hint="eastAsia" w:eastAsia="楷体_GB2312"/>
                <w:szCs w:val="21"/>
              </w:rPr>
              <w:t>20</w:t>
            </w:r>
          </w:p>
        </w:tc>
        <w:tc>
          <w:tcPr>
            <w:tcW w:w="0" w:type="auto"/>
            <w:noWrap w:val="0"/>
            <w:vAlign w:val="center"/>
          </w:tcPr>
          <w:p w14:paraId="1187D64E">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支河乡</w:t>
            </w:r>
          </w:p>
        </w:tc>
        <w:tc>
          <w:tcPr>
            <w:tcW w:w="562" w:type="dxa"/>
            <w:noWrap w:val="0"/>
            <w:vAlign w:val="center"/>
          </w:tcPr>
          <w:p w14:paraId="2EB99622">
            <w:pPr>
              <w:spacing w:line="280" w:lineRule="exact"/>
              <w:jc w:val="center"/>
              <w:rPr>
                <w:rFonts w:eastAsia="楷体_GB2312"/>
              </w:rPr>
            </w:pPr>
            <w:r>
              <w:rPr>
                <w:rFonts w:eastAsia="楷体_GB2312"/>
              </w:rPr>
              <w:t>01</w:t>
            </w:r>
          </w:p>
        </w:tc>
        <w:tc>
          <w:tcPr>
            <w:tcW w:w="2410" w:type="dxa"/>
            <w:noWrap w:val="0"/>
            <w:vAlign w:val="center"/>
          </w:tcPr>
          <w:p w14:paraId="29DA263E">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支河乡</w:t>
            </w:r>
            <w:r>
              <w:rPr>
                <w:rFonts w:hint="eastAsia" w:eastAsia="楷体_GB2312"/>
              </w:rPr>
              <w:t>卫生院</w:t>
            </w:r>
          </w:p>
        </w:tc>
        <w:tc>
          <w:tcPr>
            <w:tcW w:w="1509" w:type="dxa"/>
            <w:noWrap w:val="0"/>
            <w:vAlign w:val="center"/>
          </w:tcPr>
          <w:p w14:paraId="0608ACC3">
            <w:pPr>
              <w:pStyle w:val="26"/>
              <w:pBdr>
                <w:bottom w:val="none" w:color="auto" w:sz="0" w:space="0"/>
              </w:pBdr>
              <w:spacing w:line="280" w:lineRule="exact"/>
              <w:rPr>
                <w:rFonts w:eastAsia="楷体_GB2312"/>
                <w:sz w:val="21"/>
                <w:szCs w:val="24"/>
              </w:rPr>
            </w:pPr>
            <w:r>
              <w:rPr>
                <w:rFonts w:eastAsia="楷体_GB2312"/>
                <w:sz w:val="21"/>
                <w:szCs w:val="24"/>
              </w:rPr>
              <w:t>43</w:t>
            </w:r>
          </w:p>
        </w:tc>
        <w:tc>
          <w:tcPr>
            <w:tcW w:w="1326" w:type="dxa"/>
            <w:noWrap w:val="0"/>
            <w:vAlign w:val="center"/>
          </w:tcPr>
          <w:p w14:paraId="10A8A3F9">
            <w:pPr>
              <w:pStyle w:val="26"/>
              <w:pBdr>
                <w:bottom w:val="none" w:color="auto" w:sz="0" w:space="0"/>
              </w:pBdr>
              <w:spacing w:line="280" w:lineRule="exact"/>
              <w:rPr>
                <w:rFonts w:eastAsia="楷体_GB2312"/>
                <w:sz w:val="21"/>
                <w:szCs w:val="24"/>
              </w:rPr>
            </w:pPr>
            <w:r>
              <w:rPr>
                <w:rFonts w:eastAsia="楷体_GB2312"/>
                <w:sz w:val="21"/>
                <w:szCs w:val="24"/>
              </w:rPr>
              <w:t>80</w:t>
            </w:r>
          </w:p>
        </w:tc>
        <w:tc>
          <w:tcPr>
            <w:tcW w:w="1615" w:type="dxa"/>
            <w:noWrap w:val="0"/>
            <w:vAlign w:val="center"/>
          </w:tcPr>
          <w:p w14:paraId="6DC24148">
            <w:pPr>
              <w:pStyle w:val="26"/>
              <w:pBdr>
                <w:bottom w:val="none" w:color="auto" w:sz="0" w:space="0"/>
              </w:pBdr>
              <w:spacing w:line="280" w:lineRule="exact"/>
              <w:rPr>
                <w:rFonts w:eastAsia="楷体_GB2312"/>
                <w:sz w:val="21"/>
                <w:szCs w:val="24"/>
              </w:rPr>
            </w:pPr>
            <w:r>
              <w:rPr>
                <w:rFonts w:eastAsia="楷体_GB2312"/>
                <w:sz w:val="21"/>
                <w:szCs w:val="24"/>
              </w:rPr>
              <w:t>137895</w:t>
            </w:r>
          </w:p>
        </w:tc>
      </w:tr>
      <w:tr w14:paraId="54B7C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532C6D18">
            <w:pPr>
              <w:tabs>
                <w:tab w:val="left" w:pos="0"/>
                <w:tab w:val="left" w:pos="295"/>
              </w:tabs>
              <w:jc w:val="center"/>
              <w:rPr>
                <w:rFonts w:eastAsia="楷体_GB2312"/>
                <w:szCs w:val="21"/>
              </w:rPr>
            </w:pPr>
            <w:r>
              <w:rPr>
                <w:rFonts w:hint="eastAsia" w:eastAsia="楷体_GB2312"/>
                <w:szCs w:val="21"/>
              </w:rPr>
              <w:t>21</w:t>
            </w:r>
          </w:p>
        </w:tc>
        <w:tc>
          <w:tcPr>
            <w:tcW w:w="0" w:type="auto"/>
            <w:noWrap w:val="0"/>
            <w:vAlign w:val="center"/>
          </w:tcPr>
          <w:p w14:paraId="384F4DE4">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灰古镇</w:t>
            </w:r>
          </w:p>
        </w:tc>
        <w:tc>
          <w:tcPr>
            <w:tcW w:w="562" w:type="dxa"/>
            <w:noWrap w:val="0"/>
            <w:vAlign w:val="center"/>
          </w:tcPr>
          <w:p w14:paraId="55FDEB3D">
            <w:pPr>
              <w:spacing w:line="280" w:lineRule="exact"/>
              <w:jc w:val="center"/>
              <w:rPr>
                <w:rFonts w:eastAsia="楷体_GB2312"/>
              </w:rPr>
            </w:pPr>
            <w:r>
              <w:rPr>
                <w:rFonts w:eastAsia="楷体_GB2312"/>
              </w:rPr>
              <w:t>01</w:t>
            </w:r>
          </w:p>
        </w:tc>
        <w:tc>
          <w:tcPr>
            <w:tcW w:w="2410" w:type="dxa"/>
            <w:noWrap w:val="0"/>
            <w:vAlign w:val="center"/>
          </w:tcPr>
          <w:p w14:paraId="2848B2A4">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灰古镇</w:t>
            </w:r>
            <w:r>
              <w:rPr>
                <w:rFonts w:hint="eastAsia" w:eastAsia="楷体_GB2312"/>
              </w:rPr>
              <w:t>卫生院</w:t>
            </w:r>
          </w:p>
        </w:tc>
        <w:tc>
          <w:tcPr>
            <w:tcW w:w="1509" w:type="dxa"/>
            <w:noWrap w:val="0"/>
            <w:vAlign w:val="center"/>
          </w:tcPr>
          <w:p w14:paraId="1633F883">
            <w:pPr>
              <w:pStyle w:val="26"/>
              <w:pBdr>
                <w:bottom w:val="none" w:color="auto" w:sz="0" w:space="0"/>
              </w:pBdr>
              <w:spacing w:line="280" w:lineRule="exact"/>
              <w:rPr>
                <w:rFonts w:eastAsia="楷体_GB2312"/>
                <w:sz w:val="21"/>
                <w:szCs w:val="24"/>
              </w:rPr>
            </w:pPr>
            <w:r>
              <w:rPr>
                <w:rFonts w:eastAsia="楷体_GB2312"/>
                <w:sz w:val="21"/>
                <w:szCs w:val="24"/>
              </w:rPr>
              <w:t>38</w:t>
            </w:r>
          </w:p>
        </w:tc>
        <w:tc>
          <w:tcPr>
            <w:tcW w:w="1326" w:type="dxa"/>
            <w:noWrap w:val="0"/>
            <w:vAlign w:val="center"/>
          </w:tcPr>
          <w:p w14:paraId="7F2DEAF9">
            <w:pPr>
              <w:pStyle w:val="26"/>
              <w:pBdr>
                <w:bottom w:val="none" w:color="auto" w:sz="0" w:space="0"/>
              </w:pBdr>
              <w:spacing w:line="280" w:lineRule="exact"/>
              <w:rPr>
                <w:rFonts w:eastAsia="楷体_GB2312"/>
                <w:sz w:val="21"/>
                <w:szCs w:val="24"/>
              </w:rPr>
            </w:pPr>
            <w:r>
              <w:rPr>
                <w:rFonts w:eastAsia="楷体_GB2312"/>
                <w:sz w:val="21"/>
                <w:szCs w:val="24"/>
              </w:rPr>
              <w:t>108</w:t>
            </w:r>
          </w:p>
        </w:tc>
        <w:tc>
          <w:tcPr>
            <w:tcW w:w="1615" w:type="dxa"/>
            <w:noWrap w:val="0"/>
            <w:vAlign w:val="center"/>
          </w:tcPr>
          <w:p w14:paraId="183D9857">
            <w:pPr>
              <w:pStyle w:val="26"/>
              <w:pBdr>
                <w:bottom w:val="none" w:color="auto" w:sz="0" w:space="0"/>
              </w:pBdr>
              <w:spacing w:line="280" w:lineRule="exact"/>
              <w:rPr>
                <w:rFonts w:eastAsia="楷体_GB2312"/>
                <w:sz w:val="21"/>
                <w:szCs w:val="24"/>
              </w:rPr>
            </w:pPr>
            <w:r>
              <w:rPr>
                <w:rFonts w:eastAsia="楷体_GB2312"/>
                <w:sz w:val="21"/>
                <w:szCs w:val="24"/>
              </w:rPr>
              <w:t>56634</w:t>
            </w:r>
          </w:p>
        </w:tc>
      </w:tr>
      <w:tr w14:paraId="0E5C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14:paraId="6470D65D">
            <w:pPr>
              <w:tabs>
                <w:tab w:val="left" w:pos="0"/>
                <w:tab w:val="left" w:pos="295"/>
              </w:tabs>
              <w:jc w:val="center"/>
              <w:rPr>
                <w:rFonts w:eastAsia="楷体_GB2312"/>
                <w:szCs w:val="21"/>
              </w:rPr>
            </w:pPr>
            <w:r>
              <w:rPr>
                <w:rFonts w:hint="eastAsia" w:eastAsia="楷体_GB2312"/>
                <w:szCs w:val="21"/>
              </w:rPr>
              <w:t>22</w:t>
            </w:r>
          </w:p>
        </w:tc>
        <w:tc>
          <w:tcPr>
            <w:tcW w:w="0" w:type="auto"/>
            <w:noWrap w:val="0"/>
            <w:vAlign w:val="center"/>
          </w:tcPr>
          <w:p w14:paraId="2439859C">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桃沟乡</w:t>
            </w:r>
          </w:p>
        </w:tc>
        <w:tc>
          <w:tcPr>
            <w:tcW w:w="562" w:type="dxa"/>
            <w:noWrap w:val="0"/>
            <w:vAlign w:val="center"/>
          </w:tcPr>
          <w:p w14:paraId="42BD4F88">
            <w:pPr>
              <w:spacing w:line="280" w:lineRule="exact"/>
              <w:jc w:val="center"/>
              <w:rPr>
                <w:rFonts w:eastAsia="楷体_GB2312"/>
              </w:rPr>
            </w:pPr>
            <w:r>
              <w:rPr>
                <w:rFonts w:eastAsia="楷体_GB2312"/>
              </w:rPr>
              <w:t>01</w:t>
            </w:r>
          </w:p>
        </w:tc>
        <w:tc>
          <w:tcPr>
            <w:tcW w:w="2410" w:type="dxa"/>
            <w:noWrap w:val="0"/>
            <w:vAlign w:val="center"/>
          </w:tcPr>
          <w:p w14:paraId="2577D5E0">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桃沟乡</w:t>
            </w:r>
            <w:r>
              <w:rPr>
                <w:rFonts w:hint="eastAsia" w:eastAsia="楷体_GB2312"/>
              </w:rPr>
              <w:t>卫生院</w:t>
            </w:r>
          </w:p>
        </w:tc>
        <w:tc>
          <w:tcPr>
            <w:tcW w:w="1509" w:type="dxa"/>
            <w:noWrap w:val="0"/>
            <w:vAlign w:val="center"/>
          </w:tcPr>
          <w:p w14:paraId="1B8DC18D">
            <w:pPr>
              <w:pStyle w:val="26"/>
              <w:pBdr>
                <w:bottom w:val="none" w:color="auto" w:sz="0" w:space="0"/>
              </w:pBdr>
              <w:spacing w:line="280" w:lineRule="exact"/>
              <w:rPr>
                <w:rFonts w:eastAsia="楷体_GB2312"/>
                <w:sz w:val="21"/>
                <w:szCs w:val="24"/>
              </w:rPr>
            </w:pPr>
            <w:r>
              <w:rPr>
                <w:rFonts w:eastAsia="楷体_GB2312"/>
                <w:sz w:val="21"/>
                <w:szCs w:val="24"/>
              </w:rPr>
              <w:t>39</w:t>
            </w:r>
          </w:p>
        </w:tc>
        <w:tc>
          <w:tcPr>
            <w:tcW w:w="1326" w:type="dxa"/>
            <w:noWrap w:val="0"/>
            <w:vAlign w:val="center"/>
          </w:tcPr>
          <w:p w14:paraId="4867C77C">
            <w:pPr>
              <w:pStyle w:val="26"/>
              <w:pBdr>
                <w:bottom w:val="none" w:color="auto" w:sz="0" w:space="0"/>
              </w:pBdr>
              <w:spacing w:line="280" w:lineRule="exact"/>
              <w:rPr>
                <w:rFonts w:eastAsia="楷体_GB2312"/>
                <w:sz w:val="21"/>
                <w:szCs w:val="24"/>
              </w:rPr>
            </w:pPr>
            <w:r>
              <w:rPr>
                <w:rFonts w:eastAsia="楷体_GB2312"/>
                <w:sz w:val="21"/>
                <w:szCs w:val="24"/>
              </w:rPr>
              <w:t>35</w:t>
            </w:r>
          </w:p>
        </w:tc>
        <w:tc>
          <w:tcPr>
            <w:tcW w:w="1615" w:type="dxa"/>
            <w:noWrap w:val="0"/>
            <w:vAlign w:val="center"/>
          </w:tcPr>
          <w:p w14:paraId="4101BF71">
            <w:pPr>
              <w:pStyle w:val="26"/>
              <w:pBdr>
                <w:bottom w:val="none" w:color="auto" w:sz="0" w:space="0"/>
              </w:pBdr>
              <w:spacing w:line="280" w:lineRule="exact"/>
              <w:rPr>
                <w:rFonts w:eastAsia="楷体_GB2312"/>
                <w:sz w:val="21"/>
                <w:szCs w:val="24"/>
              </w:rPr>
            </w:pPr>
            <w:r>
              <w:rPr>
                <w:rFonts w:eastAsia="楷体_GB2312"/>
                <w:sz w:val="21"/>
                <w:szCs w:val="24"/>
              </w:rPr>
              <w:t>62123</w:t>
            </w:r>
          </w:p>
        </w:tc>
      </w:tr>
    </w:tbl>
    <w:p w14:paraId="2DD0ED2D">
      <w:pPr>
        <w:spacing w:line="480" w:lineRule="exact"/>
        <w:jc w:val="center"/>
        <w:rPr>
          <w:rFonts w:eastAsia="黑体"/>
          <w:sz w:val="28"/>
        </w:rPr>
      </w:pPr>
      <w:r>
        <w:rPr>
          <w:rFonts w:eastAsia="黑体"/>
          <w:sz w:val="28"/>
        </w:rPr>
        <w:t>表1-3-</w:t>
      </w:r>
      <w:r>
        <w:rPr>
          <w:rFonts w:hint="eastAsia" w:eastAsia="黑体"/>
          <w:sz w:val="28"/>
        </w:rPr>
        <w:t>39</w:t>
      </w:r>
      <w:r>
        <w:rPr>
          <w:rFonts w:eastAsia="黑体"/>
          <w:sz w:val="28"/>
        </w:rPr>
        <w:t xml:space="preserve"> 埇桥区各乡镇镇区银行调查表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1134"/>
        <w:gridCol w:w="992"/>
        <w:gridCol w:w="4536"/>
        <w:gridCol w:w="1841"/>
      </w:tblGrid>
      <w:tr w14:paraId="5D3F3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69" w:type="dxa"/>
            <w:noWrap w:val="0"/>
            <w:vAlign w:val="center"/>
          </w:tcPr>
          <w:p w14:paraId="0026FB38">
            <w:pPr>
              <w:tabs>
                <w:tab w:val="center" w:pos="4153"/>
                <w:tab w:val="right" w:pos="8306"/>
              </w:tabs>
              <w:snapToGrid w:val="0"/>
              <w:spacing w:line="280" w:lineRule="exact"/>
              <w:ind w:left="-63" w:leftChars="-30" w:right="-63" w:rightChars="-30"/>
              <w:jc w:val="center"/>
              <w:rPr>
                <w:rFonts w:eastAsia="楷体_GB2312"/>
              </w:rPr>
            </w:pPr>
            <w:r>
              <w:rPr>
                <w:rFonts w:eastAsia="楷体_GB2312"/>
              </w:rPr>
              <w:t>编号</w:t>
            </w:r>
          </w:p>
        </w:tc>
        <w:tc>
          <w:tcPr>
            <w:tcW w:w="1134" w:type="dxa"/>
            <w:noWrap w:val="0"/>
            <w:vAlign w:val="center"/>
          </w:tcPr>
          <w:p w14:paraId="094E7B29">
            <w:pPr>
              <w:tabs>
                <w:tab w:val="center" w:pos="4153"/>
                <w:tab w:val="right" w:pos="8306"/>
              </w:tabs>
              <w:snapToGrid w:val="0"/>
              <w:spacing w:line="280" w:lineRule="exact"/>
              <w:ind w:left="-63" w:leftChars="-30" w:right="-63" w:rightChars="-30"/>
              <w:jc w:val="center"/>
              <w:rPr>
                <w:rFonts w:eastAsia="楷体_GB2312"/>
              </w:rPr>
            </w:pPr>
            <w:r>
              <w:rPr>
                <w:rFonts w:eastAsia="楷体_GB2312"/>
              </w:rPr>
              <w:t>乡镇名称</w:t>
            </w:r>
          </w:p>
        </w:tc>
        <w:tc>
          <w:tcPr>
            <w:tcW w:w="992" w:type="dxa"/>
            <w:noWrap w:val="0"/>
            <w:vAlign w:val="center"/>
          </w:tcPr>
          <w:p w14:paraId="31E0CC74">
            <w:pPr>
              <w:tabs>
                <w:tab w:val="center" w:pos="4153"/>
                <w:tab w:val="right" w:pos="8306"/>
              </w:tabs>
              <w:snapToGrid w:val="0"/>
              <w:spacing w:line="280" w:lineRule="exact"/>
              <w:ind w:left="-63" w:leftChars="-30" w:right="-63" w:rightChars="-30"/>
              <w:jc w:val="center"/>
              <w:rPr>
                <w:rFonts w:eastAsia="楷体_GB2312"/>
              </w:rPr>
            </w:pPr>
            <w:r>
              <w:rPr>
                <w:rFonts w:eastAsia="楷体_GB2312"/>
              </w:rPr>
              <w:t>银行编号</w:t>
            </w:r>
          </w:p>
        </w:tc>
        <w:tc>
          <w:tcPr>
            <w:tcW w:w="4536" w:type="dxa"/>
            <w:noWrap w:val="0"/>
            <w:vAlign w:val="center"/>
          </w:tcPr>
          <w:p w14:paraId="33A0C9B9">
            <w:pPr>
              <w:tabs>
                <w:tab w:val="center" w:pos="4153"/>
                <w:tab w:val="right" w:pos="8306"/>
              </w:tabs>
              <w:snapToGrid w:val="0"/>
              <w:spacing w:line="280" w:lineRule="exact"/>
              <w:ind w:left="-63" w:leftChars="-30" w:right="-63" w:rightChars="-30"/>
              <w:jc w:val="center"/>
              <w:rPr>
                <w:rFonts w:eastAsia="楷体_GB2312"/>
              </w:rPr>
            </w:pPr>
            <w:r>
              <w:rPr>
                <w:rFonts w:eastAsia="楷体_GB2312"/>
              </w:rPr>
              <w:t>银行名称</w:t>
            </w:r>
          </w:p>
        </w:tc>
        <w:tc>
          <w:tcPr>
            <w:tcW w:w="1841" w:type="dxa"/>
            <w:noWrap w:val="0"/>
            <w:vAlign w:val="center"/>
          </w:tcPr>
          <w:p w14:paraId="7ED21655">
            <w:pPr>
              <w:tabs>
                <w:tab w:val="center" w:pos="4153"/>
                <w:tab w:val="right" w:pos="8306"/>
              </w:tabs>
              <w:snapToGrid w:val="0"/>
              <w:spacing w:line="280" w:lineRule="exact"/>
              <w:ind w:left="-63" w:leftChars="-30" w:right="-63" w:rightChars="-30"/>
              <w:jc w:val="center"/>
              <w:rPr>
                <w:rFonts w:eastAsia="楷体_GB2312"/>
              </w:rPr>
            </w:pPr>
            <w:r>
              <w:rPr>
                <w:rFonts w:eastAsia="楷体_GB2312"/>
              </w:rPr>
              <w:t>接待人数（人/日）</w:t>
            </w:r>
          </w:p>
        </w:tc>
      </w:tr>
      <w:tr w14:paraId="501B3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restart"/>
            <w:noWrap w:val="0"/>
            <w:vAlign w:val="center"/>
          </w:tcPr>
          <w:p w14:paraId="6E035F93">
            <w:pPr>
              <w:tabs>
                <w:tab w:val="left" w:pos="0"/>
                <w:tab w:val="left" w:pos="295"/>
              </w:tabs>
              <w:jc w:val="center"/>
              <w:rPr>
                <w:rFonts w:eastAsia="楷体_GB2312"/>
                <w:szCs w:val="21"/>
              </w:rPr>
            </w:pPr>
            <w:r>
              <w:rPr>
                <w:rFonts w:eastAsia="楷体_GB2312"/>
                <w:szCs w:val="21"/>
              </w:rPr>
              <w:t>1</w:t>
            </w:r>
          </w:p>
        </w:tc>
        <w:tc>
          <w:tcPr>
            <w:tcW w:w="1134" w:type="dxa"/>
            <w:vMerge w:val="restart"/>
            <w:noWrap w:val="0"/>
            <w:vAlign w:val="center"/>
          </w:tcPr>
          <w:p w14:paraId="28035151">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符离镇</w:t>
            </w:r>
          </w:p>
        </w:tc>
        <w:tc>
          <w:tcPr>
            <w:tcW w:w="992" w:type="dxa"/>
            <w:noWrap w:val="0"/>
            <w:vAlign w:val="center"/>
          </w:tcPr>
          <w:p w14:paraId="0BC6A43B">
            <w:pPr>
              <w:spacing w:line="280" w:lineRule="exact"/>
              <w:jc w:val="center"/>
              <w:rPr>
                <w:rFonts w:eastAsia="楷体_GB2312"/>
              </w:rPr>
            </w:pPr>
            <w:r>
              <w:rPr>
                <w:rFonts w:eastAsia="楷体_GB2312"/>
              </w:rPr>
              <w:t>01</w:t>
            </w:r>
          </w:p>
        </w:tc>
        <w:tc>
          <w:tcPr>
            <w:tcW w:w="4536" w:type="dxa"/>
            <w:noWrap w:val="0"/>
            <w:vAlign w:val="center"/>
          </w:tcPr>
          <w:p w14:paraId="197F224F">
            <w:pPr>
              <w:pStyle w:val="26"/>
              <w:pBdr>
                <w:bottom w:val="none" w:color="auto" w:sz="0" w:space="0"/>
              </w:pBdr>
              <w:spacing w:line="280" w:lineRule="exact"/>
              <w:rPr>
                <w:rFonts w:eastAsia="楷体_GB2312"/>
                <w:sz w:val="21"/>
                <w:szCs w:val="24"/>
              </w:rPr>
            </w:pPr>
            <w:r>
              <w:rPr>
                <w:rFonts w:hint="eastAsia" w:eastAsia="楷体_GB2312"/>
                <w:sz w:val="21"/>
                <w:szCs w:val="24"/>
              </w:rPr>
              <w:t>中国农业银行（宿州符离分理处）</w:t>
            </w:r>
          </w:p>
        </w:tc>
        <w:tc>
          <w:tcPr>
            <w:tcW w:w="1841" w:type="dxa"/>
            <w:noWrap w:val="0"/>
            <w:vAlign w:val="center"/>
          </w:tcPr>
          <w:p w14:paraId="17DCC043">
            <w:pPr>
              <w:jc w:val="center"/>
              <w:rPr>
                <w:rFonts w:eastAsia="楷体_GB2312"/>
                <w:szCs w:val="21"/>
              </w:rPr>
            </w:pPr>
            <w:r>
              <w:rPr>
                <w:rFonts w:eastAsia="楷体_GB2312"/>
                <w:szCs w:val="21"/>
              </w:rPr>
              <w:t>205</w:t>
            </w:r>
          </w:p>
        </w:tc>
      </w:tr>
      <w:tr w14:paraId="47169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613E917B">
            <w:pPr>
              <w:tabs>
                <w:tab w:val="left" w:pos="0"/>
                <w:tab w:val="left" w:pos="295"/>
              </w:tabs>
              <w:jc w:val="center"/>
              <w:rPr>
                <w:rFonts w:eastAsia="楷体_GB2312"/>
                <w:szCs w:val="21"/>
              </w:rPr>
            </w:pPr>
          </w:p>
        </w:tc>
        <w:tc>
          <w:tcPr>
            <w:tcW w:w="1134" w:type="dxa"/>
            <w:vMerge w:val="continue"/>
            <w:noWrap w:val="0"/>
            <w:vAlign w:val="center"/>
          </w:tcPr>
          <w:p w14:paraId="0C383A79">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0BD9AE81">
            <w:pPr>
              <w:spacing w:line="280" w:lineRule="exact"/>
              <w:jc w:val="center"/>
              <w:rPr>
                <w:rFonts w:eastAsia="楷体_GB2312"/>
              </w:rPr>
            </w:pPr>
            <w:r>
              <w:rPr>
                <w:rFonts w:hint="eastAsia" w:eastAsia="楷体_GB2312"/>
              </w:rPr>
              <w:t>02</w:t>
            </w:r>
          </w:p>
        </w:tc>
        <w:tc>
          <w:tcPr>
            <w:tcW w:w="4536" w:type="dxa"/>
            <w:noWrap w:val="0"/>
            <w:vAlign w:val="center"/>
          </w:tcPr>
          <w:p w14:paraId="3B5891FC">
            <w:pPr>
              <w:pStyle w:val="26"/>
              <w:pBdr>
                <w:bottom w:val="none" w:color="auto" w:sz="0" w:space="0"/>
              </w:pBdr>
              <w:spacing w:line="280" w:lineRule="exact"/>
              <w:rPr>
                <w:rFonts w:hint="eastAsia" w:eastAsia="楷体_GB2312"/>
                <w:sz w:val="21"/>
                <w:szCs w:val="24"/>
              </w:rPr>
            </w:pPr>
            <w:r>
              <w:rPr>
                <w:rFonts w:hint="eastAsia" w:eastAsia="楷体_GB2312"/>
                <w:sz w:val="21"/>
                <w:szCs w:val="24"/>
              </w:rPr>
              <w:t>宿州农商银行（符离支行）</w:t>
            </w:r>
          </w:p>
        </w:tc>
        <w:tc>
          <w:tcPr>
            <w:tcW w:w="1841" w:type="dxa"/>
            <w:noWrap w:val="0"/>
            <w:vAlign w:val="center"/>
          </w:tcPr>
          <w:p w14:paraId="3AB99080">
            <w:pPr>
              <w:jc w:val="center"/>
              <w:rPr>
                <w:rFonts w:eastAsia="楷体_GB2312"/>
                <w:szCs w:val="21"/>
              </w:rPr>
            </w:pPr>
            <w:r>
              <w:rPr>
                <w:rFonts w:hint="eastAsia" w:eastAsia="楷体_GB2312"/>
                <w:szCs w:val="21"/>
              </w:rPr>
              <w:t>201</w:t>
            </w:r>
          </w:p>
        </w:tc>
      </w:tr>
      <w:tr w14:paraId="1D87E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5D628900">
            <w:pPr>
              <w:tabs>
                <w:tab w:val="left" w:pos="0"/>
                <w:tab w:val="left" w:pos="295"/>
              </w:tabs>
              <w:jc w:val="center"/>
              <w:rPr>
                <w:rFonts w:eastAsia="楷体_GB2312"/>
                <w:szCs w:val="21"/>
              </w:rPr>
            </w:pPr>
          </w:p>
        </w:tc>
        <w:tc>
          <w:tcPr>
            <w:tcW w:w="1134" w:type="dxa"/>
            <w:vMerge w:val="continue"/>
            <w:noWrap w:val="0"/>
            <w:vAlign w:val="center"/>
          </w:tcPr>
          <w:p w14:paraId="21DD2F29">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030E5A0F">
            <w:pPr>
              <w:spacing w:line="280" w:lineRule="exact"/>
              <w:jc w:val="center"/>
              <w:rPr>
                <w:rFonts w:eastAsia="楷体_GB2312"/>
              </w:rPr>
            </w:pPr>
            <w:r>
              <w:rPr>
                <w:rFonts w:hint="eastAsia" w:eastAsia="楷体_GB2312"/>
              </w:rPr>
              <w:t>03</w:t>
            </w:r>
          </w:p>
        </w:tc>
        <w:tc>
          <w:tcPr>
            <w:tcW w:w="4536" w:type="dxa"/>
            <w:noWrap w:val="0"/>
            <w:vAlign w:val="center"/>
          </w:tcPr>
          <w:p w14:paraId="133B9F57">
            <w:pPr>
              <w:pStyle w:val="26"/>
              <w:pBdr>
                <w:bottom w:val="none" w:color="auto" w:sz="0" w:space="0"/>
              </w:pBdr>
              <w:spacing w:line="280" w:lineRule="exact"/>
              <w:rPr>
                <w:rFonts w:hint="eastAsia" w:eastAsia="楷体_GB2312"/>
                <w:sz w:val="21"/>
                <w:szCs w:val="24"/>
              </w:rPr>
            </w:pPr>
            <w:r>
              <w:rPr>
                <w:rFonts w:hint="eastAsia" w:eastAsia="楷体_GB2312"/>
                <w:sz w:val="21"/>
                <w:szCs w:val="24"/>
              </w:rPr>
              <w:t>淮海村镇银行（符离支行）</w:t>
            </w:r>
          </w:p>
        </w:tc>
        <w:tc>
          <w:tcPr>
            <w:tcW w:w="1841" w:type="dxa"/>
            <w:noWrap w:val="0"/>
            <w:vAlign w:val="center"/>
          </w:tcPr>
          <w:p w14:paraId="1BA2C1E2">
            <w:pPr>
              <w:jc w:val="center"/>
              <w:rPr>
                <w:rFonts w:eastAsia="楷体_GB2312"/>
                <w:szCs w:val="21"/>
              </w:rPr>
            </w:pPr>
            <w:r>
              <w:rPr>
                <w:rFonts w:hint="eastAsia" w:eastAsia="楷体_GB2312"/>
                <w:szCs w:val="21"/>
              </w:rPr>
              <w:t>52</w:t>
            </w:r>
          </w:p>
        </w:tc>
      </w:tr>
      <w:tr w14:paraId="2906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2085F577">
            <w:pPr>
              <w:tabs>
                <w:tab w:val="left" w:pos="0"/>
                <w:tab w:val="left" w:pos="295"/>
              </w:tabs>
              <w:jc w:val="center"/>
              <w:rPr>
                <w:rFonts w:eastAsia="楷体_GB2312"/>
                <w:szCs w:val="21"/>
              </w:rPr>
            </w:pPr>
          </w:p>
        </w:tc>
        <w:tc>
          <w:tcPr>
            <w:tcW w:w="1134" w:type="dxa"/>
            <w:vMerge w:val="continue"/>
            <w:noWrap w:val="0"/>
            <w:vAlign w:val="center"/>
          </w:tcPr>
          <w:p w14:paraId="1A43DE89">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371815C7">
            <w:pPr>
              <w:spacing w:line="280" w:lineRule="exact"/>
              <w:jc w:val="center"/>
              <w:rPr>
                <w:rFonts w:eastAsia="楷体_GB2312"/>
              </w:rPr>
            </w:pPr>
            <w:r>
              <w:rPr>
                <w:rFonts w:hint="eastAsia" w:eastAsia="楷体_GB2312"/>
              </w:rPr>
              <w:t>04</w:t>
            </w:r>
          </w:p>
        </w:tc>
        <w:tc>
          <w:tcPr>
            <w:tcW w:w="4536" w:type="dxa"/>
            <w:noWrap w:val="0"/>
            <w:vAlign w:val="center"/>
          </w:tcPr>
          <w:p w14:paraId="1F9AFB9E">
            <w:pPr>
              <w:pStyle w:val="26"/>
              <w:pBdr>
                <w:bottom w:val="none" w:color="auto" w:sz="0" w:space="0"/>
              </w:pBdr>
              <w:spacing w:line="280" w:lineRule="exact"/>
              <w:rPr>
                <w:rFonts w:hint="eastAsia" w:eastAsia="楷体_GB2312"/>
                <w:sz w:val="21"/>
                <w:szCs w:val="24"/>
              </w:rPr>
            </w:pPr>
            <w:r>
              <w:rPr>
                <w:rFonts w:hint="eastAsia" w:eastAsia="楷体_GB2312"/>
                <w:sz w:val="21"/>
                <w:szCs w:val="24"/>
              </w:rPr>
              <w:t>中国邮政储蓄银行（符离邮政支局）</w:t>
            </w:r>
          </w:p>
        </w:tc>
        <w:tc>
          <w:tcPr>
            <w:tcW w:w="1841" w:type="dxa"/>
            <w:noWrap w:val="0"/>
            <w:vAlign w:val="center"/>
          </w:tcPr>
          <w:p w14:paraId="55D804B0">
            <w:pPr>
              <w:jc w:val="center"/>
              <w:rPr>
                <w:rFonts w:eastAsia="楷体_GB2312"/>
                <w:szCs w:val="21"/>
              </w:rPr>
            </w:pPr>
            <w:r>
              <w:rPr>
                <w:rFonts w:hint="eastAsia" w:eastAsia="楷体_GB2312"/>
                <w:szCs w:val="21"/>
              </w:rPr>
              <w:t>188</w:t>
            </w:r>
          </w:p>
        </w:tc>
      </w:tr>
      <w:tr w14:paraId="3E5B8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3917357F">
            <w:pPr>
              <w:tabs>
                <w:tab w:val="left" w:pos="0"/>
                <w:tab w:val="left" w:pos="295"/>
              </w:tabs>
              <w:jc w:val="center"/>
              <w:rPr>
                <w:rFonts w:eastAsia="楷体_GB2312"/>
                <w:szCs w:val="21"/>
              </w:rPr>
            </w:pPr>
          </w:p>
        </w:tc>
        <w:tc>
          <w:tcPr>
            <w:tcW w:w="1134" w:type="dxa"/>
            <w:vMerge w:val="continue"/>
            <w:noWrap w:val="0"/>
            <w:vAlign w:val="center"/>
          </w:tcPr>
          <w:p w14:paraId="0B5D32E8">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5956F4F9">
            <w:pPr>
              <w:spacing w:line="280" w:lineRule="exact"/>
              <w:jc w:val="center"/>
              <w:rPr>
                <w:rFonts w:eastAsia="楷体_GB2312"/>
              </w:rPr>
            </w:pPr>
            <w:r>
              <w:rPr>
                <w:rFonts w:hint="eastAsia" w:eastAsia="楷体_GB2312"/>
              </w:rPr>
              <w:t>05</w:t>
            </w:r>
          </w:p>
        </w:tc>
        <w:tc>
          <w:tcPr>
            <w:tcW w:w="4536" w:type="dxa"/>
            <w:noWrap w:val="0"/>
            <w:vAlign w:val="center"/>
          </w:tcPr>
          <w:p w14:paraId="623C52B8">
            <w:pPr>
              <w:pStyle w:val="26"/>
              <w:pBdr>
                <w:bottom w:val="none" w:color="auto" w:sz="0" w:space="0"/>
              </w:pBdr>
              <w:spacing w:line="280" w:lineRule="exact"/>
              <w:rPr>
                <w:rFonts w:hint="eastAsia" w:eastAsia="楷体_GB2312"/>
                <w:sz w:val="21"/>
                <w:szCs w:val="24"/>
              </w:rPr>
            </w:pPr>
            <w:r>
              <w:rPr>
                <w:rFonts w:hint="eastAsia" w:eastAsia="楷体_GB2312"/>
                <w:sz w:val="21"/>
                <w:szCs w:val="24"/>
              </w:rPr>
              <w:t>徽商银行（符离支行）</w:t>
            </w:r>
          </w:p>
        </w:tc>
        <w:tc>
          <w:tcPr>
            <w:tcW w:w="1841" w:type="dxa"/>
            <w:noWrap w:val="0"/>
            <w:vAlign w:val="center"/>
          </w:tcPr>
          <w:p w14:paraId="6339F3F8">
            <w:pPr>
              <w:jc w:val="center"/>
              <w:rPr>
                <w:rFonts w:eastAsia="楷体_GB2312"/>
                <w:szCs w:val="21"/>
              </w:rPr>
            </w:pPr>
            <w:r>
              <w:rPr>
                <w:rFonts w:hint="eastAsia" w:eastAsia="楷体_GB2312"/>
                <w:szCs w:val="21"/>
              </w:rPr>
              <w:t>74</w:t>
            </w:r>
          </w:p>
        </w:tc>
      </w:tr>
      <w:tr w14:paraId="0356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restart"/>
            <w:noWrap w:val="0"/>
            <w:vAlign w:val="center"/>
          </w:tcPr>
          <w:p w14:paraId="03053436">
            <w:pPr>
              <w:tabs>
                <w:tab w:val="left" w:pos="0"/>
                <w:tab w:val="left" w:pos="295"/>
              </w:tabs>
              <w:jc w:val="center"/>
              <w:rPr>
                <w:rFonts w:eastAsia="楷体_GB2312"/>
                <w:szCs w:val="21"/>
              </w:rPr>
            </w:pPr>
            <w:r>
              <w:rPr>
                <w:rFonts w:eastAsia="楷体_GB2312"/>
                <w:szCs w:val="21"/>
              </w:rPr>
              <w:t>2</w:t>
            </w:r>
          </w:p>
        </w:tc>
        <w:tc>
          <w:tcPr>
            <w:tcW w:w="1134" w:type="dxa"/>
            <w:vMerge w:val="restart"/>
            <w:noWrap w:val="0"/>
            <w:vAlign w:val="center"/>
          </w:tcPr>
          <w:p w14:paraId="0BB4E43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朱仙庄镇</w:t>
            </w:r>
          </w:p>
        </w:tc>
        <w:tc>
          <w:tcPr>
            <w:tcW w:w="992" w:type="dxa"/>
            <w:noWrap w:val="0"/>
            <w:vAlign w:val="center"/>
          </w:tcPr>
          <w:p w14:paraId="109B0EBD">
            <w:pPr>
              <w:spacing w:line="280" w:lineRule="exact"/>
              <w:jc w:val="center"/>
              <w:rPr>
                <w:rFonts w:eastAsia="楷体_GB2312"/>
              </w:rPr>
            </w:pPr>
            <w:r>
              <w:rPr>
                <w:rFonts w:eastAsia="楷体_GB2312"/>
              </w:rPr>
              <w:t>01</w:t>
            </w:r>
          </w:p>
        </w:tc>
        <w:tc>
          <w:tcPr>
            <w:tcW w:w="4536" w:type="dxa"/>
            <w:noWrap w:val="0"/>
            <w:vAlign w:val="center"/>
          </w:tcPr>
          <w:p w14:paraId="1A1E489B">
            <w:pPr>
              <w:pStyle w:val="26"/>
              <w:pBdr>
                <w:bottom w:val="none" w:color="auto" w:sz="0" w:space="0"/>
              </w:pBdr>
              <w:spacing w:line="280" w:lineRule="exact"/>
              <w:rPr>
                <w:rFonts w:eastAsia="楷体_GB2312"/>
                <w:sz w:val="21"/>
                <w:szCs w:val="24"/>
              </w:rPr>
            </w:pPr>
            <w:r>
              <w:rPr>
                <w:rFonts w:hint="eastAsia" w:eastAsia="楷体_GB2312"/>
                <w:sz w:val="21"/>
                <w:szCs w:val="24"/>
              </w:rPr>
              <w:t>中国工商银行（宿州朱仙庄支行）</w:t>
            </w:r>
          </w:p>
        </w:tc>
        <w:tc>
          <w:tcPr>
            <w:tcW w:w="1841" w:type="dxa"/>
            <w:noWrap w:val="0"/>
            <w:vAlign w:val="center"/>
          </w:tcPr>
          <w:p w14:paraId="56D21A04">
            <w:pPr>
              <w:jc w:val="center"/>
              <w:rPr>
                <w:rFonts w:eastAsia="楷体_GB2312"/>
                <w:szCs w:val="21"/>
              </w:rPr>
            </w:pPr>
            <w:r>
              <w:rPr>
                <w:rFonts w:eastAsia="楷体_GB2312"/>
                <w:szCs w:val="21"/>
              </w:rPr>
              <w:t>145</w:t>
            </w:r>
          </w:p>
        </w:tc>
      </w:tr>
      <w:tr w14:paraId="2E57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64FDD420">
            <w:pPr>
              <w:tabs>
                <w:tab w:val="left" w:pos="0"/>
                <w:tab w:val="left" w:pos="295"/>
              </w:tabs>
              <w:jc w:val="center"/>
              <w:rPr>
                <w:rFonts w:eastAsia="楷体_GB2312"/>
                <w:szCs w:val="21"/>
              </w:rPr>
            </w:pPr>
          </w:p>
        </w:tc>
        <w:tc>
          <w:tcPr>
            <w:tcW w:w="1134" w:type="dxa"/>
            <w:vMerge w:val="continue"/>
            <w:noWrap w:val="0"/>
            <w:vAlign w:val="center"/>
          </w:tcPr>
          <w:p w14:paraId="5191A0E6">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1264AE8F">
            <w:pPr>
              <w:spacing w:line="280" w:lineRule="exact"/>
              <w:jc w:val="center"/>
              <w:rPr>
                <w:rFonts w:eastAsia="楷体_GB2312"/>
              </w:rPr>
            </w:pPr>
            <w:r>
              <w:rPr>
                <w:rFonts w:hint="eastAsia" w:eastAsia="楷体_GB2312"/>
              </w:rPr>
              <w:t>02</w:t>
            </w:r>
          </w:p>
        </w:tc>
        <w:tc>
          <w:tcPr>
            <w:tcW w:w="4536" w:type="dxa"/>
            <w:noWrap w:val="0"/>
            <w:vAlign w:val="center"/>
          </w:tcPr>
          <w:p w14:paraId="1297D801">
            <w:pPr>
              <w:pStyle w:val="26"/>
              <w:pBdr>
                <w:bottom w:val="none" w:color="auto" w:sz="0" w:space="0"/>
              </w:pBdr>
              <w:spacing w:line="280" w:lineRule="exact"/>
              <w:rPr>
                <w:rFonts w:hint="eastAsia" w:eastAsia="楷体_GB2312"/>
                <w:sz w:val="21"/>
                <w:szCs w:val="24"/>
              </w:rPr>
            </w:pPr>
            <w:r>
              <w:rPr>
                <w:rFonts w:hint="eastAsia" w:eastAsia="楷体_GB2312"/>
                <w:sz w:val="21"/>
                <w:szCs w:val="24"/>
              </w:rPr>
              <w:t>中国邮政储蓄银行（朱仙庄邮政支局）</w:t>
            </w:r>
          </w:p>
        </w:tc>
        <w:tc>
          <w:tcPr>
            <w:tcW w:w="1841" w:type="dxa"/>
            <w:noWrap w:val="0"/>
            <w:vAlign w:val="center"/>
          </w:tcPr>
          <w:p w14:paraId="3CC71B32">
            <w:pPr>
              <w:jc w:val="center"/>
              <w:rPr>
                <w:rFonts w:eastAsia="楷体_GB2312"/>
                <w:szCs w:val="21"/>
              </w:rPr>
            </w:pPr>
            <w:r>
              <w:rPr>
                <w:rFonts w:hint="eastAsia" w:eastAsia="楷体_GB2312"/>
                <w:szCs w:val="21"/>
              </w:rPr>
              <w:t>164</w:t>
            </w:r>
          </w:p>
        </w:tc>
      </w:tr>
      <w:tr w14:paraId="50DEC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6EE8F3D2">
            <w:pPr>
              <w:tabs>
                <w:tab w:val="left" w:pos="0"/>
                <w:tab w:val="left" w:pos="295"/>
              </w:tabs>
              <w:jc w:val="center"/>
              <w:rPr>
                <w:rFonts w:eastAsia="楷体_GB2312"/>
                <w:szCs w:val="21"/>
              </w:rPr>
            </w:pPr>
          </w:p>
        </w:tc>
        <w:tc>
          <w:tcPr>
            <w:tcW w:w="1134" w:type="dxa"/>
            <w:vMerge w:val="continue"/>
            <w:noWrap w:val="0"/>
            <w:vAlign w:val="center"/>
          </w:tcPr>
          <w:p w14:paraId="1FFD5D98">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2097D91B">
            <w:pPr>
              <w:spacing w:line="280" w:lineRule="exact"/>
              <w:jc w:val="center"/>
              <w:rPr>
                <w:rFonts w:eastAsia="楷体_GB2312"/>
              </w:rPr>
            </w:pPr>
            <w:r>
              <w:rPr>
                <w:rFonts w:hint="eastAsia" w:eastAsia="楷体_GB2312"/>
              </w:rPr>
              <w:t>03</w:t>
            </w:r>
          </w:p>
        </w:tc>
        <w:tc>
          <w:tcPr>
            <w:tcW w:w="4536" w:type="dxa"/>
            <w:noWrap w:val="0"/>
            <w:vAlign w:val="center"/>
          </w:tcPr>
          <w:p w14:paraId="1BD406AC">
            <w:pPr>
              <w:pStyle w:val="26"/>
              <w:pBdr>
                <w:bottom w:val="none" w:color="auto" w:sz="0" w:space="0"/>
              </w:pBdr>
              <w:spacing w:line="280" w:lineRule="exact"/>
              <w:rPr>
                <w:rFonts w:hint="eastAsia" w:eastAsia="楷体_GB2312"/>
                <w:sz w:val="21"/>
                <w:szCs w:val="24"/>
              </w:rPr>
            </w:pPr>
            <w:r>
              <w:rPr>
                <w:rFonts w:hint="eastAsia" w:eastAsia="楷体_GB2312"/>
                <w:sz w:val="21"/>
                <w:szCs w:val="24"/>
              </w:rPr>
              <w:t>宿州农商银行（朱仙庄支行）</w:t>
            </w:r>
          </w:p>
        </w:tc>
        <w:tc>
          <w:tcPr>
            <w:tcW w:w="1841" w:type="dxa"/>
            <w:noWrap w:val="0"/>
            <w:vAlign w:val="center"/>
          </w:tcPr>
          <w:p w14:paraId="6B050D83">
            <w:pPr>
              <w:jc w:val="center"/>
              <w:rPr>
                <w:rFonts w:eastAsia="楷体_GB2312"/>
                <w:szCs w:val="21"/>
              </w:rPr>
            </w:pPr>
            <w:r>
              <w:rPr>
                <w:rFonts w:hint="eastAsia" w:eastAsia="楷体_GB2312"/>
                <w:szCs w:val="21"/>
              </w:rPr>
              <w:t>189</w:t>
            </w:r>
          </w:p>
        </w:tc>
      </w:tr>
      <w:tr w14:paraId="76E7A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6EFDBAAF">
            <w:pPr>
              <w:tabs>
                <w:tab w:val="left" w:pos="0"/>
                <w:tab w:val="left" w:pos="295"/>
              </w:tabs>
              <w:jc w:val="center"/>
              <w:rPr>
                <w:rFonts w:eastAsia="楷体_GB2312"/>
                <w:szCs w:val="21"/>
              </w:rPr>
            </w:pPr>
          </w:p>
        </w:tc>
        <w:tc>
          <w:tcPr>
            <w:tcW w:w="1134" w:type="dxa"/>
            <w:vMerge w:val="continue"/>
            <w:noWrap w:val="0"/>
            <w:vAlign w:val="center"/>
          </w:tcPr>
          <w:p w14:paraId="74ACE5BA">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6CB1E729">
            <w:pPr>
              <w:spacing w:line="280" w:lineRule="exact"/>
              <w:jc w:val="center"/>
              <w:rPr>
                <w:rFonts w:eastAsia="楷体_GB2312"/>
              </w:rPr>
            </w:pPr>
            <w:r>
              <w:rPr>
                <w:rFonts w:hint="eastAsia" w:eastAsia="楷体_GB2312"/>
              </w:rPr>
              <w:t>04</w:t>
            </w:r>
          </w:p>
        </w:tc>
        <w:tc>
          <w:tcPr>
            <w:tcW w:w="4536" w:type="dxa"/>
            <w:noWrap w:val="0"/>
            <w:vAlign w:val="center"/>
          </w:tcPr>
          <w:p w14:paraId="15749DFE">
            <w:pPr>
              <w:pStyle w:val="26"/>
              <w:pBdr>
                <w:bottom w:val="none" w:color="auto" w:sz="0" w:space="0"/>
              </w:pBdr>
              <w:spacing w:line="280" w:lineRule="exact"/>
              <w:rPr>
                <w:rFonts w:hint="eastAsia" w:eastAsia="楷体_GB2312"/>
                <w:sz w:val="21"/>
                <w:szCs w:val="24"/>
              </w:rPr>
            </w:pPr>
            <w:r>
              <w:rPr>
                <w:rFonts w:hint="eastAsia" w:eastAsia="楷体_GB2312"/>
                <w:sz w:val="21"/>
                <w:szCs w:val="24"/>
              </w:rPr>
              <w:t>中国农业银行（宿州朱仙庄分理处）</w:t>
            </w:r>
          </w:p>
        </w:tc>
        <w:tc>
          <w:tcPr>
            <w:tcW w:w="1841" w:type="dxa"/>
            <w:noWrap w:val="0"/>
            <w:vAlign w:val="center"/>
          </w:tcPr>
          <w:p w14:paraId="1BB3AAB4">
            <w:pPr>
              <w:jc w:val="center"/>
              <w:rPr>
                <w:rFonts w:eastAsia="楷体_GB2312"/>
                <w:szCs w:val="21"/>
              </w:rPr>
            </w:pPr>
            <w:r>
              <w:rPr>
                <w:rFonts w:hint="eastAsia" w:eastAsia="楷体_GB2312"/>
                <w:szCs w:val="21"/>
              </w:rPr>
              <w:t>154</w:t>
            </w:r>
          </w:p>
        </w:tc>
      </w:tr>
      <w:tr w14:paraId="0D43E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4922A053">
            <w:pPr>
              <w:tabs>
                <w:tab w:val="left" w:pos="0"/>
                <w:tab w:val="left" w:pos="295"/>
              </w:tabs>
              <w:jc w:val="center"/>
              <w:rPr>
                <w:rFonts w:eastAsia="楷体_GB2312"/>
                <w:szCs w:val="21"/>
              </w:rPr>
            </w:pPr>
          </w:p>
        </w:tc>
        <w:tc>
          <w:tcPr>
            <w:tcW w:w="1134" w:type="dxa"/>
            <w:vMerge w:val="continue"/>
            <w:noWrap w:val="0"/>
            <w:vAlign w:val="center"/>
          </w:tcPr>
          <w:p w14:paraId="70035E46">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1B970FE5">
            <w:pPr>
              <w:spacing w:line="280" w:lineRule="exact"/>
              <w:jc w:val="center"/>
              <w:rPr>
                <w:rFonts w:eastAsia="楷体_GB2312"/>
              </w:rPr>
            </w:pPr>
            <w:r>
              <w:rPr>
                <w:rFonts w:hint="eastAsia" w:eastAsia="楷体_GB2312"/>
              </w:rPr>
              <w:t>05</w:t>
            </w:r>
          </w:p>
        </w:tc>
        <w:tc>
          <w:tcPr>
            <w:tcW w:w="4536" w:type="dxa"/>
            <w:noWrap w:val="0"/>
            <w:vAlign w:val="center"/>
          </w:tcPr>
          <w:p w14:paraId="76DFB7D9">
            <w:pPr>
              <w:pStyle w:val="26"/>
              <w:pBdr>
                <w:bottom w:val="none" w:color="auto" w:sz="0" w:space="0"/>
              </w:pBdr>
              <w:spacing w:line="280" w:lineRule="exact"/>
              <w:rPr>
                <w:rFonts w:hint="eastAsia" w:eastAsia="楷体_GB2312"/>
                <w:sz w:val="21"/>
                <w:szCs w:val="24"/>
              </w:rPr>
            </w:pPr>
            <w:r>
              <w:rPr>
                <w:rFonts w:hint="eastAsia" w:eastAsia="楷体_GB2312"/>
                <w:sz w:val="21"/>
                <w:szCs w:val="24"/>
              </w:rPr>
              <w:t>淮海村镇银行（朱仙庄支行）</w:t>
            </w:r>
          </w:p>
        </w:tc>
        <w:tc>
          <w:tcPr>
            <w:tcW w:w="1841" w:type="dxa"/>
            <w:noWrap w:val="0"/>
            <w:vAlign w:val="center"/>
          </w:tcPr>
          <w:p w14:paraId="18E54D9B">
            <w:pPr>
              <w:jc w:val="center"/>
              <w:rPr>
                <w:rFonts w:eastAsia="楷体_GB2312"/>
                <w:szCs w:val="21"/>
              </w:rPr>
            </w:pPr>
            <w:r>
              <w:rPr>
                <w:rFonts w:hint="eastAsia" w:eastAsia="楷体_GB2312"/>
                <w:szCs w:val="21"/>
              </w:rPr>
              <w:t>45</w:t>
            </w:r>
          </w:p>
        </w:tc>
      </w:tr>
      <w:tr w14:paraId="1CCDA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restart"/>
            <w:noWrap w:val="0"/>
            <w:vAlign w:val="center"/>
          </w:tcPr>
          <w:p w14:paraId="1F437F63">
            <w:pPr>
              <w:tabs>
                <w:tab w:val="left" w:pos="0"/>
                <w:tab w:val="left" w:pos="295"/>
              </w:tabs>
              <w:jc w:val="center"/>
              <w:rPr>
                <w:rFonts w:eastAsia="楷体_GB2312"/>
                <w:szCs w:val="21"/>
              </w:rPr>
            </w:pPr>
            <w:r>
              <w:rPr>
                <w:rFonts w:eastAsia="楷体_GB2312"/>
                <w:szCs w:val="21"/>
              </w:rPr>
              <w:t>3</w:t>
            </w:r>
          </w:p>
        </w:tc>
        <w:tc>
          <w:tcPr>
            <w:tcW w:w="1134" w:type="dxa"/>
            <w:vMerge w:val="restart"/>
            <w:noWrap w:val="0"/>
            <w:vAlign w:val="center"/>
          </w:tcPr>
          <w:p w14:paraId="4383966A">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蕲县镇</w:t>
            </w:r>
          </w:p>
        </w:tc>
        <w:tc>
          <w:tcPr>
            <w:tcW w:w="992" w:type="dxa"/>
            <w:noWrap w:val="0"/>
            <w:vAlign w:val="center"/>
          </w:tcPr>
          <w:p w14:paraId="3200C59C">
            <w:pPr>
              <w:spacing w:line="280" w:lineRule="exact"/>
              <w:jc w:val="center"/>
              <w:rPr>
                <w:rFonts w:eastAsia="楷体_GB2312"/>
              </w:rPr>
            </w:pPr>
            <w:r>
              <w:rPr>
                <w:rFonts w:eastAsia="楷体_GB2312"/>
              </w:rPr>
              <w:t>01</w:t>
            </w:r>
          </w:p>
        </w:tc>
        <w:tc>
          <w:tcPr>
            <w:tcW w:w="4536" w:type="dxa"/>
            <w:noWrap w:val="0"/>
            <w:vAlign w:val="center"/>
          </w:tcPr>
          <w:p w14:paraId="2F49C3C6">
            <w:pPr>
              <w:pStyle w:val="26"/>
              <w:pBdr>
                <w:bottom w:val="none" w:color="auto" w:sz="0" w:space="0"/>
              </w:pBdr>
              <w:spacing w:line="280" w:lineRule="exact"/>
              <w:rPr>
                <w:rFonts w:eastAsia="楷体_GB2312"/>
                <w:sz w:val="21"/>
                <w:szCs w:val="24"/>
              </w:rPr>
            </w:pPr>
            <w:r>
              <w:rPr>
                <w:rFonts w:hint="eastAsia" w:eastAsia="楷体_GB2312"/>
                <w:sz w:val="21"/>
                <w:szCs w:val="24"/>
              </w:rPr>
              <w:t>宿州农商银行（蕲县信用社）</w:t>
            </w:r>
          </w:p>
        </w:tc>
        <w:tc>
          <w:tcPr>
            <w:tcW w:w="1841" w:type="dxa"/>
            <w:noWrap w:val="0"/>
            <w:vAlign w:val="center"/>
          </w:tcPr>
          <w:p w14:paraId="16175C45">
            <w:pPr>
              <w:jc w:val="center"/>
              <w:rPr>
                <w:rFonts w:eastAsia="楷体_GB2312"/>
                <w:szCs w:val="21"/>
              </w:rPr>
            </w:pPr>
            <w:r>
              <w:rPr>
                <w:rFonts w:eastAsia="楷体_GB2312"/>
                <w:szCs w:val="21"/>
              </w:rPr>
              <w:t>186</w:t>
            </w:r>
          </w:p>
        </w:tc>
      </w:tr>
      <w:tr w14:paraId="3531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01D8627C">
            <w:pPr>
              <w:tabs>
                <w:tab w:val="left" w:pos="0"/>
                <w:tab w:val="left" w:pos="295"/>
              </w:tabs>
              <w:jc w:val="center"/>
              <w:rPr>
                <w:rFonts w:eastAsia="楷体_GB2312"/>
                <w:szCs w:val="21"/>
              </w:rPr>
            </w:pPr>
          </w:p>
        </w:tc>
        <w:tc>
          <w:tcPr>
            <w:tcW w:w="1134" w:type="dxa"/>
            <w:vMerge w:val="continue"/>
            <w:noWrap w:val="0"/>
            <w:vAlign w:val="center"/>
          </w:tcPr>
          <w:p w14:paraId="0D65CB32">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4410C2DF">
            <w:pPr>
              <w:spacing w:line="280" w:lineRule="exact"/>
              <w:jc w:val="center"/>
              <w:rPr>
                <w:rFonts w:eastAsia="楷体_GB2312"/>
              </w:rPr>
            </w:pPr>
            <w:r>
              <w:rPr>
                <w:rFonts w:hint="eastAsia" w:eastAsia="楷体_GB2312"/>
              </w:rPr>
              <w:t>02</w:t>
            </w:r>
          </w:p>
        </w:tc>
        <w:tc>
          <w:tcPr>
            <w:tcW w:w="4536" w:type="dxa"/>
            <w:noWrap w:val="0"/>
            <w:vAlign w:val="center"/>
          </w:tcPr>
          <w:p w14:paraId="65D32F75">
            <w:pPr>
              <w:pStyle w:val="26"/>
              <w:pBdr>
                <w:bottom w:val="none" w:color="auto" w:sz="0" w:space="0"/>
              </w:pBdr>
              <w:spacing w:line="280" w:lineRule="exact"/>
              <w:rPr>
                <w:rFonts w:eastAsia="楷体_GB2312"/>
                <w:sz w:val="21"/>
                <w:szCs w:val="24"/>
              </w:rPr>
            </w:pPr>
            <w:r>
              <w:rPr>
                <w:rFonts w:hint="eastAsia" w:eastAsia="楷体_GB2312"/>
                <w:sz w:val="21"/>
                <w:szCs w:val="24"/>
              </w:rPr>
              <w:t>淮海村镇银行（蕲县支行）</w:t>
            </w:r>
          </w:p>
        </w:tc>
        <w:tc>
          <w:tcPr>
            <w:tcW w:w="1841" w:type="dxa"/>
            <w:noWrap w:val="0"/>
            <w:vAlign w:val="center"/>
          </w:tcPr>
          <w:p w14:paraId="0B467F1D">
            <w:pPr>
              <w:jc w:val="center"/>
              <w:rPr>
                <w:rFonts w:eastAsia="楷体_GB2312"/>
                <w:szCs w:val="21"/>
              </w:rPr>
            </w:pPr>
            <w:r>
              <w:rPr>
                <w:rFonts w:hint="eastAsia" w:eastAsia="楷体_GB2312"/>
                <w:szCs w:val="21"/>
              </w:rPr>
              <w:t>22</w:t>
            </w:r>
          </w:p>
        </w:tc>
      </w:tr>
      <w:tr w14:paraId="631B9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68854A4A">
            <w:pPr>
              <w:tabs>
                <w:tab w:val="left" w:pos="0"/>
                <w:tab w:val="left" w:pos="295"/>
              </w:tabs>
              <w:jc w:val="center"/>
              <w:rPr>
                <w:rFonts w:eastAsia="楷体_GB2312"/>
                <w:szCs w:val="21"/>
              </w:rPr>
            </w:pPr>
          </w:p>
        </w:tc>
        <w:tc>
          <w:tcPr>
            <w:tcW w:w="1134" w:type="dxa"/>
            <w:vMerge w:val="continue"/>
            <w:noWrap w:val="0"/>
            <w:vAlign w:val="center"/>
          </w:tcPr>
          <w:p w14:paraId="1970A71F">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7C3C5DC8">
            <w:pPr>
              <w:spacing w:line="280" w:lineRule="exact"/>
              <w:jc w:val="center"/>
              <w:rPr>
                <w:rFonts w:eastAsia="楷体_GB2312"/>
              </w:rPr>
            </w:pPr>
            <w:r>
              <w:rPr>
                <w:rFonts w:hint="eastAsia" w:eastAsia="楷体_GB2312"/>
              </w:rPr>
              <w:t>03</w:t>
            </w:r>
          </w:p>
        </w:tc>
        <w:tc>
          <w:tcPr>
            <w:tcW w:w="4536" w:type="dxa"/>
            <w:noWrap w:val="0"/>
            <w:vAlign w:val="center"/>
          </w:tcPr>
          <w:p w14:paraId="0B1219F1">
            <w:pPr>
              <w:pStyle w:val="26"/>
              <w:pBdr>
                <w:bottom w:val="none" w:color="auto" w:sz="0" w:space="0"/>
              </w:pBdr>
              <w:spacing w:line="280" w:lineRule="exact"/>
              <w:rPr>
                <w:rFonts w:eastAsia="楷体_GB2312"/>
                <w:sz w:val="21"/>
                <w:szCs w:val="24"/>
              </w:rPr>
            </w:pPr>
            <w:r>
              <w:rPr>
                <w:rFonts w:hint="eastAsia" w:eastAsia="楷体_GB2312"/>
                <w:sz w:val="21"/>
                <w:szCs w:val="24"/>
              </w:rPr>
              <w:t>中国农业银行（宿州祁县分理处）</w:t>
            </w:r>
          </w:p>
        </w:tc>
        <w:tc>
          <w:tcPr>
            <w:tcW w:w="1841" w:type="dxa"/>
            <w:noWrap w:val="0"/>
            <w:vAlign w:val="center"/>
          </w:tcPr>
          <w:p w14:paraId="5490CDA2">
            <w:pPr>
              <w:jc w:val="center"/>
              <w:rPr>
                <w:rFonts w:eastAsia="楷体_GB2312"/>
                <w:szCs w:val="21"/>
              </w:rPr>
            </w:pPr>
            <w:r>
              <w:rPr>
                <w:rFonts w:hint="eastAsia" w:eastAsia="楷体_GB2312"/>
                <w:szCs w:val="21"/>
              </w:rPr>
              <w:t>135</w:t>
            </w:r>
          </w:p>
        </w:tc>
      </w:tr>
      <w:tr w14:paraId="696CA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restart"/>
            <w:noWrap w:val="0"/>
            <w:vAlign w:val="center"/>
          </w:tcPr>
          <w:p w14:paraId="1767B248">
            <w:pPr>
              <w:tabs>
                <w:tab w:val="left" w:pos="0"/>
                <w:tab w:val="left" w:pos="295"/>
              </w:tabs>
              <w:jc w:val="center"/>
              <w:rPr>
                <w:rFonts w:eastAsia="楷体_GB2312"/>
                <w:szCs w:val="21"/>
              </w:rPr>
            </w:pPr>
            <w:r>
              <w:rPr>
                <w:rFonts w:eastAsia="楷体_GB2312"/>
                <w:szCs w:val="21"/>
              </w:rPr>
              <w:t>4</w:t>
            </w:r>
          </w:p>
        </w:tc>
        <w:tc>
          <w:tcPr>
            <w:tcW w:w="1134" w:type="dxa"/>
            <w:vMerge w:val="restart"/>
            <w:noWrap w:val="0"/>
            <w:vAlign w:val="center"/>
          </w:tcPr>
          <w:p w14:paraId="2A7E4F31">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芦岭镇</w:t>
            </w:r>
          </w:p>
        </w:tc>
        <w:tc>
          <w:tcPr>
            <w:tcW w:w="992" w:type="dxa"/>
            <w:noWrap w:val="0"/>
            <w:vAlign w:val="center"/>
          </w:tcPr>
          <w:p w14:paraId="612CB97B">
            <w:pPr>
              <w:spacing w:line="280" w:lineRule="exact"/>
              <w:jc w:val="center"/>
              <w:rPr>
                <w:rFonts w:eastAsia="楷体_GB2312"/>
              </w:rPr>
            </w:pPr>
            <w:r>
              <w:rPr>
                <w:rFonts w:eastAsia="楷体_GB2312"/>
              </w:rPr>
              <w:t>01</w:t>
            </w:r>
          </w:p>
        </w:tc>
        <w:tc>
          <w:tcPr>
            <w:tcW w:w="4536" w:type="dxa"/>
            <w:noWrap w:val="0"/>
            <w:vAlign w:val="center"/>
          </w:tcPr>
          <w:p w14:paraId="1805E215">
            <w:pPr>
              <w:pStyle w:val="26"/>
              <w:pBdr>
                <w:bottom w:val="none" w:color="auto" w:sz="0" w:space="0"/>
              </w:pBdr>
              <w:spacing w:line="280" w:lineRule="exact"/>
              <w:rPr>
                <w:rFonts w:eastAsia="楷体_GB2312"/>
                <w:sz w:val="21"/>
                <w:szCs w:val="24"/>
              </w:rPr>
            </w:pPr>
            <w:r>
              <w:rPr>
                <w:rFonts w:hint="eastAsia" w:eastAsia="楷体_GB2312"/>
                <w:sz w:val="21"/>
                <w:szCs w:val="24"/>
              </w:rPr>
              <w:t>中国建设银行（芦岭分理处）</w:t>
            </w:r>
          </w:p>
        </w:tc>
        <w:tc>
          <w:tcPr>
            <w:tcW w:w="1841" w:type="dxa"/>
            <w:noWrap w:val="0"/>
            <w:vAlign w:val="center"/>
          </w:tcPr>
          <w:p w14:paraId="7FB20553">
            <w:pPr>
              <w:jc w:val="center"/>
              <w:rPr>
                <w:rFonts w:eastAsia="楷体_GB2312"/>
                <w:szCs w:val="21"/>
              </w:rPr>
            </w:pPr>
            <w:r>
              <w:rPr>
                <w:rFonts w:eastAsia="楷体_GB2312"/>
                <w:szCs w:val="21"/>
              </w:rPr>
              <w:t>200</w:t>
            </w:r>
          </w:p>
        </w:tc>
      </w:tr>
      <w:tr w14:paraId="772FD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719966D0">
            <w:pPr>
              <w:tabs>
                <w:tab w:val="left" w:pos="0"/>
                <w:tab w:val="left" w:pos="295"/>
              </w:tabs>
              <w:jc w:val="center"/>
              <w:rPr>
                <w:rFonts w:eastAsia="楷体_GB2312"/>
                <w:szCs w:val="21"/>
              </w:rPr>
            </w:pPr>
          </w:p>
        </w:tc>
        <w:tc>
          <w:tcPr>
            <w:tcW w:w="1134" w:type="dxa"/>
            <w:vMerge w:val="continue"/>
            <w:noWrap w:val="0"/>
            <w:vAlign w:val="center"/>
          </w:tcPr>
          <w:p w14:paraId="397CCE4C">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7AD49EAF">
            <w:pPr>
              <w:spacing w:line="280" w:lineRule="exact"/>
              <w:jc w:val="center"/>
              <w:rPr>
                <w:rFonts w:eastAsia="楷体_GB2312"/>
              </w:rPr>
            </w:pPr>
            <w:r>
              <w:rPr>
                <w:rFonts w:hint="eastAsia" w:eastAsia="楷体_GB2312"/>
              </w:rPr>
              <w:t>02</w:t>
            </w:r>
          </w:p>
        </w:tc>
        <w:tc>
          <w:tcPr>
            <w:tcW w:w="4536" w:type="dxa"/>
            <w:noWrap w:val="0"/>
            <w:vAlign w:val="center"/>
          </w:tcPr>
          <w:p w14:paraId="2079F518">
            <w:pPr>
              <w:pStyle w:val="26"/>
              <w:pBdr>
                <w:bottom w:val="none" w:color="auto" w:sz="0" w:space="0"/>
              </w:pBdr>
              <w:spacing w:line="280" w:lineRule="exact"/>
              <w:rPr>
                <w:rFonts w:eastAsia="楷体_GB2312"/>
                <w:sz w:val="21"/>
                <w:szCs w:val="24"/>
              </w:rPr>
            </w:pPr>
            <w:r>
              <w:rPr>
                <w:rFonts w:hint="eastAsia" w:eastAsia="楷体_GB2312"/>
                <w:sz w:val="21"/>
                <w:szCs w:val="24"/>
              </w:rPr>
              <w:t>中国工商银行（芦岭镇分理处）</w:t>
            </w:r>
          </w:p>
        </w:tc>
        <w:tc>
          <w:tcPr>
            <w:tcW w:w="1841" w:type="dxa"/>
            <w:noWrap w:val="0"/>
            <w:vAlign w:val="center"/>
          </w:tcPr>
          <w:p w14:paraId="2244ACE4">
            <w:pPr>
              <w:jc w:val="center"/>
              <w:rPr>
                <w:rFonts w:eastAsia="楷体_GB2312"/>
                <w:szCs w:val="21"/>
              </w:rPr>
            </w:pPr>
            <w:r>
              <w:rPr>
                <w:rFonts w:hint="eastAsia" w:eastAsia="楷体_GB2312"/>
                <w:szCs w:val="21"/>
              </w:rPr>
              <w:t>97</w:t>
            </w:r>
          </w:p>
        </w:tc>
      </w:tr>
      <w:tr w14:paraId="3D2E4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7B3B7B0E">
            <w:pPr>
              <w:tabs>
                <w:tab w:val="left" w:pos="0"/>
                <w:tab w:val="left" w:pos="295"/>
              </w:tabs>
              <w:jc w:val="center"/>
              <w:rPr>
                <w:rFonts w:eastAsia="楷体_GB2312"/>
                <w:szCs w:val="21"/>
              </w:rPr>
            </w:pPr>
          </w:p>
        </w:tc>
        <w:tc>
          <w:tcPr>
            <w:tcW w:w="1134" w:type="dxa"/>
            <w:vMerge w:val="continue"/>
            <w:noWrap w:val="0"/>
            <w:vAlign w:val="center"/>
          </w:tcPr>
          <w:p w14:paraId="46CC1927">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7A19FEBC">
            <w:pPr>
              <w:spacing w:line="280" w:lineRule="exact"/>
              <w:jc w:val="center"/>
              <w:rPr>
                <w:rFonts w:eastAsia="楷体_GB2312"/>
              </w:rPr>
            </w:pPr>
            <w:r>
              <w:rPr>
                <w:rFonts w:hint="eastAsia" w:eastAsia="楷体_GB2312"/>
              </w:rPr>
              <w:t>03</w:t>
            </w:r>
          </w:p>
        </w:tc>
        <w:tc>
          <w:tcPr>
            <w:tcW w:w="4536" w:type="dxa"/>
            <w:noWrap w:val="0"/>
            <w:vAlign w:val="center"/>
          </w:tcPr>
          <w:p w14:paraId="1E4B01F6">
            <w:pPr>
              <w:pStyle w:val="26"/>
              <w:pBdr>
                <w:bottom w:val="none" w:color="auto" w:sz="0" w:space="0"/>
              </w:pBdr>
              <w:spacing w:line="280" w:lineRule="exact"/>
              <w:rPr>
                <w:rFonts w:eastAsia="楷体_GB2312"/>
                <w:sz w:val="21"/>
                <w:szCs w:val="24"/>
              </w:rPr>
            </w:pPr>
            <w:r>
              <w:rPr>
                <w:rFonts w:hint="eastAsia" w:eastAsia="楷体_GB2312"/>
                <w:sz w:val="21"/>
                <w:szCs w:val="24"/>
              </w:rPr>
              <w:t>宿州农商银行（芦岭镇支行）</w:t>
            </w:r>
          </w:p>
        </w:tc>
        <w:tc>
          <w:tcPr>
            <w:tcW w:w="1841" w:type="dxa"/>
            <w:noWrap w:val="0"/>
            <w:vAlign w:val="center"/>
          </w:tcPr>
          <w:p w14:paraId="796D052E">
            <w:pPr>
              <w:jc w:val="center"/>
              <w:rPr>
                <w:rFonts w:eastAsia="楷体_GB2312"/>
                <w:szCs w:val="21"/>
              </w:rPr>
            </w:pPr>
            <w:r>
              <w:rPr>
                <w:rFonts w:hint="eastAsia" w:eastAsia="楷体_GB2312"/>
                <w:szCs w:val="21"/>
              </w:rPr>
              <w:t>191</w:t>
            </w:r>
          </w:p>
        </w:tc>
      </w:tr>
      <w:tr w14:paraId="649B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57C79035">
            <w:pPr>
              <w:tabs>
                <w:tab w:val="left" w:pos="0"/>
                <w:tab w:val="left" w:pos="295"/>
              </w:tabs>
              <w:jc w:val="center"/>
              <w:rPr>
                <w:rFonts w:eastAsia="楷体_GB2312"/>
                <w:szCs w:val="21"/>
              </w:rPr>
            </w:pPr>
          </w:p>
        </w:tc>
        <w:tc>
          <w:tcPr>
            <w:tcW w:w="1134" w:type="dxa"/>
            <w:vMerge w:val="continue"/>
            <w:noWrap w:val="0"/>
            <w:vAlign w:val="center"/>
          </w:tcPr>
          <w:p w14:paraId="14B15B1F">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5C505D6F">
            <w:pPr>
              <w:spacing w:line="280" w:lineRule="exact"/>
              <w:jc w:val="center"/>
              <w:rPr>
                <w:rFonts w:eastAsia="楷体_GB2312"/>
              </w:rPr>
            </w:pPr>
            <w:r>
              <w:rPr>
                <w:rFonts w:hint="eastAsia" w:eastAsia="楷体_GB2312"/>
              </w:rPr>
              <w:t>04</w:t>
            </w:r>
          </w:p>
        </w:tc>
        <w:tc>
          <w:tcPr>
            <w:tcW w:w="4536" w:type="dxa"/>
            <w:noWrap w:val="0"/>
            <w:vAlign w:val="center"/>
          </w:tcPr>
          <w:p w14:paraId="4AF89D2E">
            <w:pPr>
              <w:pStyle w:val="26"/>
              <w:pBdr>
                <w:bottom w:val="none" w:color="auto" w:sz="0" w:space="0"/>
              </w:pBdr>
              <w:spacing w:line="280" w:lineRule="exact"/>
              <w:rPr>
                <w:rFonts w:eastAsia="楷体_GB2312"/>
                <w:sz w:val="21"/>
                <w:szCs w:val="24"/>
              </w:rPr>
            </w:pPr>
            <w:r>
              <w:rPr>
                <w:rFonts w:hint="eastAsia" w:eastAsia="楷体_GB2312"/>
                <w:sz w:val="21"/>
                <w:szCs w:val="24"/>
              </w:rPr>
              <w:t>中国邮政储蓄银行（芦岭镇营业所）</w:t>
            </w:r>
          </w:p>
        </w:tc>
        <w:tc>
          <w:tcPr>
            <w:tcW w:w="1841" w:type="dxa"/>
            <w:noWrap w:val="0"/>
            <w:vAlign w:val="center"/>
          </w:tcPr>
          <w:p w14:paraId="30A87E97">
            <w:pPr>
              <w:jc w:val="center"/>
              <w:rPr>
                <w:rFonts w:eastAsia="楷体_GB2312"/>
                <w:szCs w:val="21"/>
              </w:rPr>
            </w:pPr>
            <w:r>
              <w:rPr>
                <w:rFonts w:hint="eastAsia" w:eastAsia="楷体_GB2312"/>
                <w:szCs w:val="21"/>
              </w:rPr>
              <w:t>167</w:t>
            </w:r>
          </w:p>
        </w:tc>
      </w:tr>
      <w:tr w14:paraId="6AB96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restart"/>
            <w:noWrap w:val="0"/>
            <w:vAlign w:val="center"/>
          </w:tcPr>
          <w:p w14:paraId="26FE6410">
            <w:pPr>
              <w:tabs>
                <w:tab w:val="left" w:pos="0"/>
                <w:tab w:val="left" w:pos="295"/>
              </w:tabs>
              <w:jc w:val="center"/>
              <w:rPr>
                <w:rFonts w:eastAsia="楷体_GB2312"/>
                <w:szCs w:val="21"/>
              </w:rPr>
            </w:pPr>
            <w:r>
              <w:rPr>
                <w:rFonts w:eastAsia="楷体_GB2312"/>
                <w:szCs w:val="21"/>
              </w:rPr>
              <w:t>5</w:t>
            </w:r>
          </w:p>
        </w:tc>
        <w:tc>
          <w:tcPr>
            <w:tcW w:w="1134" w:type="dxa"/>
            <w:vMerge w:val="restart"/>
            <w:noWrap w:val="0"/>
            <w:vAlign w:val="center"/>
          </w:tcPr>
          <w:p w14:paraId="49504C1B">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大店镇</w:t>
            </w:r>
          </w:p>
        </w:tc>
        <w:tc>
          <w:tcPr>
            <w:tcW w:w="992" w:type="dxa"/>
            <w:noWrap w:val="0"/>
            <w:vAlign w:val="center"/>
          </w:tcPr>
          <w:p w14:paraId="7A2D8D8A">
            <w:pPr>
              <w:spacing w:line="280" w:lineRule="exact"/>
              <w:jc w:val="center"/>
              <w:rPr>
                <w:rFonts w:eastAsia="楷体_GB2312"/>
              </w:rPr>
            </w:pPr>
            <w:r>
              <w:rPr>
                <w:rFonts w:eastAsia="楷体_GB2312"/>
              </w:rPr>
              <w:t>01</w:t>
            </w:r>
          </w:p>
        </w:tc>
        <w:tc>
          <w:tcPr>
            <w:tcW w:w="4536" w:type="dxa"/>
            <w:noWrap w:val="0"/>
            <w:vAlign w:val="center"/>
          </w:tcPr>
          <w:p w14:paraId="48C23B92">
            <w:pPr>
              <w:pStyle w:val="26"/>
              <w:pBdr>
                <w:bottom w:val="none" w:color="auto" w:sz="0" w:space="0"/>
              </w:pBdr>
              <w:spacing w:line="280" w:lineRule="exact"/>
              <w:rPr>
                <w:rFonts w:eastAsia="楷体_GB2312"/>
                <w:sz w:val="21"/>
                <w:szCs w:val="24"/>
              </w:rPr>
            </w:pPr>
            <w:r>
              <w:rPr>
                <w:rFonts w:hint="eastAsia" w:eastAsia="楷体_GB2312"/>
                <w:sz w:val="21"/>
                <w:szCs w:val="24"/>
              </w:rPr>
              <w:t>宿州农商银行（大店支行）</w:t>
            </w:r>
          </w:p>
        </w:tc>
        <w:tc>
          <w:tcPr>
            <w:tcW w:w="1841" w:type="dxa"/>
            <w:noWrap w:val="0"/>
            <w:vAlign w:val="center"/>
          </w:tcPr>
          <w:p w14:paraId="79BF7B7A">
            <w:pPr>
              <w:jc w:val="center"/>
              <w:rPr>
                <w:rFonts w:eastAsia="楷体_GB2312"/>
                <w:szCs w:val="21"/>
              </w:rPr>
            </w:pPr>
            <w:r>
              <w:rPr>
                <w:rFonts w:eastAsia="楷体_GB2312"/>
                <w:szCs w:val="21"/>
              </w:rPr>
              <w:t>180</w:t>
            </w:r>
          </w:p>
        </w:tc>
      </w:tr>
      <w:tr w14:paraId="0BA17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5CB68F29">
            <w:pPr>
              <w:tabs>
                <w:tab w:val="left" w:pos="0"/>
                <w:tab w:val="left" w:pos="295"/>
              </w:tabs>
              <w:jc w:val="center"/>
              <w:rPr>
                <w:rFonts w:eastAsia="楷体_GB2312"/>
                <w:szCs w:val="21"/>
              </w:rPr>
            </w:pPr>
          </w:p>
        </w:tc>
        <w:tc>
          <w:tcPr>
            <w:tcW w:w="1134" w:type="dxa"/>
            <w:vMerge w:val="continue"/>
            <w:noWrap w:val="0"/>
            <w:vAlign w:val="center"/>
          </w:tcPr>
          <w:p w14:paraId="0D0A7235">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1771DCD8">
            <w:pPr>
              <w:spacing w:line="280" w:lineRule="exact"/>
              <w:jc w:val="center"/>
              <w:rPr>
                <w:rFonts w:eastAsia="楷体_GB2312"/>
              </w:rPr>
            </w:pPr>
            <w:r>
              <w:rPr>
                <w:rFonts w:hint="eastAsia" w:eastAsia="楷体_GB2312"/>
              </w:rPr>
              <w:t>02</w:t>
            </w:r>
          </w:p>
        </w:tc>
        <w:tc>
          <w:tcPr>
            <w:tcW w:w="4536" w:type="dxa"/>
            <w:noWrap w:val="0"/>
            <w:vAlign w:val="center"/>
          </w:tcPr>
          <w:p w14:paraId="064D11C4">
            <w:pPr>
              <w:pStyle w:val="26"/>
              <w:pBdr>
                <w:bottom w:val="none" w:color="auto" w:sz="0" w:space="0"/>
              </w:pBdr>
              <w:spacing w:line="280" w:lineRule="exact"/>
              <w:rPr>
                <w:rFonts w:eastAsia="楷体_GB2312"/>
                <w:sz w:val="21"/>
                <w:szCs w:val="24"/>
              </w:rPr>
            </w:pPr>
            <w:r>
              <w:rPr>
                <w:rFonts w:hint="eastAsia" w:eastAsia="楷体_GB2312"/>
                <w:sz w:val="21"/>
                <w:szCs w:val="24"/>
              </w:rPr>
              <w:t>中国农业银行（宿州大店支行）</w:t>
            </w:r>
          </w:p>
        </w:tc>
        <w:tc>
          <w:tcPr>
            <w:tcW w:w="1841" w:type="dxa"/>
            <w:noWrap w:val="0"/>
            <w:vAlign w:val="center"/>
          </w:tcPr>
          <w:p w14:paraId="2E30FABA">
            <w:pPr>
              <w:jc w:val="center"/>
              <w:rPr>
                <w:rFonts w:eastAsia="楷体_GB2312"/>
                <w:szCs w:val="21"/>
              </w:rPr>
            </w:pPr>
            <w:r>
              <w:rPr>
                <w:rFonts w:hint="eastAsia" w:eastAsia="楷体_GB2312"/>
                <w:szCs w:val="21"/>
              </w:rPr>
              <w:t>168</w:t>
            </w:r>
          </w:p>
        </w:tc>
      </w:tr>
      <w:tr w14:paraId="4B28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69CED43B">
            <w:pPr>
              <w:tabs>
                <w:tab w:val="left" w:pos="0"/>
                <w:tab w:val="left" w:pos="295"/>
              </w:tabs>
              <w:jc w:val="center"/>
              <w:rPr>
                <w:rFonts w:eastAsia="楷体_GB2312"/>
                <w:szCs w:val="21"/>
              </w:rPr>
            </w:pPr>
          </w:p>
        </w:tc>
        <w:tc>
          <w:tcPr>
            <w:tcW w:w="1134" w:type="dxa"/>
            <w:vMerge w:val="continue"/>
            <w:noWrap w:val="0"/>
            <w:vAlign w:val="center"/>
          </w:tcPr>
          <w:p w14:paraId="1192B6AC">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37884086">
            <w:pPr>
              <w:spacing w:line="280" w:lineRule="exact"/>
              <w:jc w:val="center"/>
              <w:rPr>
                <w:rFonts w:eastAsia="楷体_GB2312"/>
              </w:rPr>
            </w:pPr>
            <w:r>
              <w:rPr>
                <w:rFonts w:hint="eastAsia" w:eastAsia="楷体_GB2312"/>
              </w:rPr>
              <w:t>03</w:t>
            </w:r>
          </w:p>
        </w:tc>
        <w:tc>
          <w:tcPr>
            <w:tcW w:w="4536" w:type="dxa"/>
            <w:noWrap w:val="0"/>
            <w:vAlign w:val="center"/>
          </w:tcPr>
          <w:p w14:paraId="556541EC">
            <w:pPr>
              <w:pStyle w:val="26"/>
              <w:pBdr>
                <w:bottom w:val="none" w:color="auto" w:sz="0" w:space="0"/>
              </w:pBdr>
              <w:spacing w:line="280" w:lineRule="exact"/>
              <w:rPr>
                <w:rFonts w:eastAsia="楷体_GB2312"/>
                <w:sz w:val="21"/>
                <w:szCs w:val="24"/>
              </w:rPr>
            </w:pPr>
            <w:r>
              <w:rPr>
                <w:rFonts w:hint="eastAsia" w:eastAsia="楷体_GB2312"/>
                <w:sz w:val="21"/>
                <w:szCs w:val="24"/>
              </w:rPr>
              <w:t>中国邮政储蓄银行（大店镇支行）</w:t>
            </w:r>
          </w:p>
        </w:tc>
        <w:tc>
          <w:tcPr>
            <w:tcW w:w="1841" w:type="dxa"/>
            <w:noWrap w:val="0"/>
            <w:vAlign w:val="center"/>
          </w:tcPr>
          <w:p w14:paraId="17C628F1">
            <w:pPr>
              <w:jc w:val="center"/>
              <w:rPr>
                <w:rFonts w:eastAsia="楷体_GB2312"/>
                <w:szCs w:val="21"/>
              </w:rPr>
            </w:pPr>
            <w:r>
              <w:rPr>
                <w:rFonts w:hint="eastAsia" w:eastAsia="楷体_GB2312"/>
                <w:szCs w:val="21"/>
              </w:rPr>
              <w:t>134</w:t>
            </w:r>
          </w:p>
        </w:tc>
      </w:tr>
      <w:tr w14:paraId="0058F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restart"/>
            <w:noWrap w:val="0"/>
            <w:vAlign w:val="center"/>
          </w:tcPr>
          <w:p w14:paraId="5D3A5D9A">
            <w:pPr>
              <w:tabs>
                <w:tab w:val="left" w:pos="0"/>
                <w:tab w:val="left" w:pos="295"/>
              </w:tabs>
              <w:jc w:val="center"/>
              <w:rPr>
                <w:rFonts w:eastAsia="楷体_GB2312"/>
                <w:szCs w:val="21"/>
              </w:rPr>
            </w:pPr>
            <w:r>
              <w:rPr>
                <w:rFonts w:eastAsia="楷体_GB2312"/>
                <w:szCs w:val="21"/>
              </w:rPr>
              <w:t>6</w:t>
            </w:r>
          </w:p>
        </w:tc>
        <w:tc>
          <w:tcPr>
            <w:tcW w:w="1134" w:type="dxa"/>
            <w:vMerge w:val="restart"/>
            <w:noWrap w:val="0"/>
            <w:vAlign w:val="center"/>
          </w:tcPr>
          <w:p w14:paraId="7BD40548">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栏杆镇</w:t>
            </w:r>
          </w:p>
        </w:tc>
        <w:tc>
          <w:tcPr>
            <w:tcW w:w="992" w:type="dxa"/>
            <w:noWrap w:val="0"/>
            <w:vAlign w:val="center"/>
          </w:tcPr>
          <w:p w14:paraId="30EBC625">
            <w:pPr>
              <w:spacing w:line="280" w:lineRule="exact"/>
              <w:jc w:val="center"/>
              <w:rPr>
                <w:rFonts w:eastAsia="楷体_GB2312"/>
              </w:rPr>
            </w:pPr>
            <w:r>
              <w:rPr>
                <w:rFonts w:eastAsia="楷体_GB2312"/>
              </w:rPr>
              <w:t>01</w:t>
            </w:r>
          </w:p>
        </w:tc>
        <w:tc>
          <w:tcPr>
            <w:tcW w:w="4536" w:type="dxa"/>
            <w:noWrap w:val="0"/>
            <w:vAlign w:val="center"/>
          </w:tcPr>
          <w:p w14:paraId="6F1633B1">
            <w:pPr>
              <w:pStyle w:val="26"/>
              <w:pBdr>
                <w:bottom w:val="none" w:color="auto" w:sz="0" w:space="0"/>
              </w:pBdr>
              <w:spacing w:line="280" w:lineRule="exact"/>
              <w:rPr>
                <w:rFonts w:eastAsia="楷体_GB2312"/>
                <w:sz w:val="21"/>
                <w:szCs w:val="24"/>
              </w:rPr>
            </w:pPr>
            <w:r>
              <w:rPr>
                <w:rFonts w:hint="eastAsia" w:eastAsia="楷体_GB2312"/>
                <w:sz w:val="21"/>
                <w:szCs w:val="24"/>
              </w:rPr>
              <w:t>中国邮政储蓄银行（栏杆镇支行）</w:t>
            </w:r>
          </w:p>
        </w:tc>
        <w:tc>
          <w:tcPr>
            <w:tcW w:w="1841" w:type="dxa"/>
            <w:noWrap w:val="0"/>
            <w:vAlign w:val="center"/>
          </w:tcPr>
          <w:p w14:paraId="0E2861CF">
            <w:pPr>
              <w:jc w:val="center"/>
              <w:rPr>
                <w:rFonts w:eastAsia="楷体_GB2312"/>
                <w:szCs w:val="21"/>
              </w:rPr>
            </w:pPr>
            <w:r>
              <w:rPr>
                <w:rFonts w:eastAsia="楷体_GB2312"/>
                <w:szCs w:val="21"/>
              </w:rPr>
              <w:t>140</w:t>
            </w:r>
          </w:p>
        </w:tc>
      </w:tr>
      <w:tr w14:paraId="00630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36790E52">
            <w:pPr>
              <w:tabs>
                <w:tab w:val="left" w:pos="0"/>
                <w:tab w:val="left" w:pos="295"/>
              </w:tabs>
              <w:jc w:val="center"/>
              <w:rPr>
                <w:rFonts w:eastAsia="楷体_GB2312"/>
                <w:szCs w:val="21"/>
              </w:rPr>
            </w:pPr>
          </w:p>
        </w:tc>
        <w:tc>
          <w:tcPr>
            <w:tcW w:w="1134" w:type="dxa"/>
            <w:vMerge w:val="continue"/>
            <w:noWrap w:val="0"/>
            <w:vAlign w:val="center"/>
          </w:tcPr>
          <w:p w14:paraId="5CAE7635">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60D42752">
            <w:pPr>
              <w:spacing w:line="280" w:lineRule="exact"/>
              <w:jc w:val="center"/>
              <w:rPr>
                <w:rFonts w:eastAsia="楷体_GB2312"/>
              </w:rPr>
            </w:pPr>
            <w:r>
              <w:rPr>
                <w:rFonts w:hint="eastAsia" w:eastAsia="楷体_GB2312"/>
              </w:rPr>
              <w:t>02</w:t>
            </w:r>
          </w:p>
        </w:tc>
        <w:tc>
          <w:tcPr>
            <w:tcW w:w="4536" w:type="dxa"/>
            <w:noWrap w:val="0"/>
            <w:vAlign w:val="center"/>
          </w:tcPr>
          <w:p w14:paraId="1FF14D63">
            <w:pPr>
              <w:pStyle w:val="26"/>
              <w:pBdr>
                <w:bottom w:val="none" w:color="auto" w:sz="0" w:space="0"/>
              </w:pBdr>
              <w:spacing w:line="280" w:lineRule="exact"/>
              <w:rPr>
                <w:rFonts w:hint="eastAsia" w:eastAsia="楷体_GB2312"/>
                <w:sz w:val="21"/>
                <w:szCs w:val="24"/>
              </w:rPr>
            </w:pPr>
            <w:r>
              <w:rPr>
                <w:rFonts w:hint="eastAsia" w:eastAsia="楷体_GB2312"/>
                <w:sz w:val="21"/>
                <w:szCs w:val="24"/>
              </w:rPr>
              <w:t>宿州农商银行（栏杆镇支行）</w:t>
            </w:r>
          </w:p>
        </w:tc>
        <w:tc>
          <w:tcPr>
            <w:tcW w:w="1841" w:type="dxa"/>
            <w:noWrap w:val="0"/>
            <w:vAlign w:val="center"/>
          </w:tcPr>
          <w:p w14:paraId="7FEDDDD2">
            <w:pPr>
              <w:jc w:val="center"/>
              <w:rPr>
                <w:rFonts w:eastAsia="楷体_GB2312"/>
                <w:szCs w:val="21"/>
              </w:rPr>
            </w:pPr>
            <w:r>
              <w:rPr>
                <w:rFonts w:hint="eastAsia" w:eastAsia="楷体_GB2312"/>
                <w:szCs w:val="21"/>
              </w:rPr>
              <w:t>102</w:t>
            </w:r>
          </w:p>
        </w:tc>
      </w:tr>
      <w:tr w14:paraId="67C2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4D271082">
            <w:pPr>
              <w:tabs>
                <w:tab w:val="left" w:pos="0"/>
                <w:tab w:val="left" w:pos="295"/>
              </w:tabs>
              <w:jc w:val="center"/>
              <w:rPr>
                <w:rFonts w:eastAsia="楷体_GB2312"/>
                <w:szCs w:val="21"/>
              </w:rPr>
            </w:pPr>
          </w:p>
        </w:tc>
        <w:tc>
          <w:tcPr>
            <w:tcW w:w="1134" w:type="dxa"/>
            <w:vMerge w:val="continue"/>
            <w:noWrap w:val="0"/>
            <w:vAlign w:val="center"/>
          </w:tcPr>
          <w:p w14:paraId="40C9A5B7">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7F67DF22">
            <w:pPr>
              <w:spacing w:line="280" w:lineRule="exact"/>
              <w:jc w:val="center"/>
              <w:rPr>
                <w:rFonts w:eastAsia="楷体_GB2312"/>
              </w:rPr>
            </w:pPr>
            <w:r>
              <w:rPr>
                <w:rFonts w:hint="eastAsia" w:eastAsia="楷体_GB2312"/>
              </w:rPr>
              <w:t>03</w:t>
            </w:r>
          </w:p>
        </w:tc>
        <w:tc>
          <w:tcPr>
            <w:tcW w:w="4536" w:type="dxa"/>
            <w:noWrap w:val="0"/>
            <w:vAlign w:val="center"/>
          </w:tcPr>
          <w:p w14:paraId="41D5C1A2">
            <w:pPr>
              <w:pStyle w:val="26"/>
              <w:pBdr>
                <w:bottom w:val="none" w:color="auto" w:sz="0" w:space="0"/>
              </w:pBdr>
              <w:spacing w:line="280" w:lineRule="exact"/>
              <w:rPr>
                <w:rFonts w:hint="eastAsia" w:eastAsia="楷体_GB2312"/>
                <w:sz w:val="21"/>
                <w:szCs w:val="24"/>
              </w:rPr>
            </w:pPr>
            <w:r>
              <w:rPr>
                <w:rFonts w:hint="eastAsia" w:eastAsia="楷体_GB2312"/>
                <w:sz w:val="21"/>
                <w:szCs w:val="24"/>
              </w:rPr>
              <w:t>中国农业银行（宿州栏杆支行）</w:t>
            </w:r>
          </w:p>
        </w:tc>
        <w:tc>
          <w:tcPr>
            <w:tcW w:w="1841" w:type="dxa"/>
            <w:noWrap w:val="0"/>
            <w:vAlign w:val="center"/>
          </w:tcPr>
          <w:p w14:paraId="319FFDEB">
            <w:pPr>
              <w:jc w:val="center"/>
              <w:rPr>
                <w:rFonts w:eastAsia="楷体_GB2312"/>
                <w:szCs w:val="21"/>
              </w:rPr>
            </w:pPr>
            <w:r>
              <w:rPr>
                <w:rFonts w:hint="eastAsia" w:eastAsia="楷体_GB2312"/>
                <w:szCs w:val="21"/>
              </w:rPr>
              <w:t>133</w:t>
            </w:r>
          </w:p>
        </w:tc>
      </w:tr>
      <w:tr w14:paraId="193DA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restart"/>
            <w:noWrap w:val="0"/>
            <w:vAlign w:val="center"/>
          </w:tcPr>
          <w:p w14:paraId="0DB13C85">
            <w:pPr>
              <w:tabs>
                <w:tab w:val="left" w:pos="0"/>
                <w:tab w:val="left" w:pos="295"/>
              </w:tabs>
              <w:jc w:val="center"/>
              <w:rPr>
                <w:rFonts w:eastAsia="楷体_GB2312"/>
                <w:szCs w:val="21"/>
              </w:rPr>
            </w:pPr>
            <w:r>
              <w:rPr>
                <w:rFonts w:eastAsia="楷体_GB2312"/>
                <w:szCs w:val="21"/>
              </w:rPr>
              <w:t>7</w:t>
            </w:r>
          </w:p>
        </w:tc>
        <w:tc>
          <w:tcPr>
            <w:tcW w:w="1134" w:type="dxa"/>
            <w:vMerge w:val="restart"/>
            <w:noWrap w:val="0"/>
            <w:vAlign w:val="center"/>
          </w:tcPr>
          <w:p w14:paraId="78ABE4C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时村镇</w:t>
            </w:r>
          </w:p>
        </w:tc>
        <w:tc>
          <w:tcPr>
            <w:tcW w:w="992" w:type="dxa"/>
            <w:noWrap w:val="0"/>
            <w:vAlign w:val="center"/>
          </w:tcPr>
          <w:p w14:paraId="345779AA">
            <w:pPr>
              <w:spacing w:line="280" w:lineRule="exact"/>
              <w:jc w:val="center"/>
              <w:rPr>
                <w:rFonts w:eastAsia="楷体_GB2312"/>
              </w:rPr>
            </w:pPr>
            <w:r>
              <w:rPr>
                <w:rFonts w:eastAsia="楷体_GB2312"/>
              </w:rPr>
              <w:t>01</w:t>
            </w:r>
          </w:p>
        </w:tc>
        <w:tc>
          <w:tcPr>
            <w:tcW w:w="4536" w:type="dxa"/>
            <w:noWrap w:val="0"/>
            <w:vAlign w:val="center"/>
          </w:tcPr>
          <w:p w14:paraId="662B6540">
            <w:pPr>
              <w:pStyle w:val="26"/>
              <w:pBdr>
                <w:bottom w:val="none" w:color="auto" w:sz="0" w:space="0"/>
              </w:pBdr>
              <w:spacing w:line="280" w:lineRule="exact"/>
              <w:rPr>
                <w:rFonts w:eastAsia="楷体_GB2312"/>
                <w:sz w:val="21"/>
                <w:szCs w:val="24"/>
              </w:rPr>
            </w:pPr>
            <w:r>
              <w:rPr>
                <w:rFonts w:hint="eastAsia" w:eastAsia="楷体_GB2312"/>
                <w:sz w:val="21"/>
                <w:szCs w:val="24"/>
              </w:rPr>
              <w:t>宿州农商银行（</w:t>
            </w:r>
            <w:r>
              <w:rPr>
                <w:rFonts w:eastAsia="楷体_GB2312"/>
              </w:rPr>
              <w:t>时村</w:t>
            </w:r>
            <w:r>
              <w:rPr>
                <w:rFonts w:hint="eastAsia" w:eastAsia="楷体_GB2312"/>
                <w:sz w:val="21"/>
                <w:szCs w:val="24"/>
              </w:rPr>
              <w:t>支行）</w:t>
            </w:r>
          </w:p>
        </w:tc>
        <w:tc>
          <w:tcPr>
            <w:tcW w:w="1841" w:type="dxa"/>
            <w:noWrap w:val="0"/>
            <w:vAlign w:val="center"/>
          </w:tcPr>
          <w:p w14:paraId="744E1975">
            <w:pPr>
              <w:jc w:val="center"/>
              <w:rPr>
                <w:rFonts w:eastAsia="楷体_GB2312"/>
                <w:szCs w:val="21"/>
              </w:rPr>
            </w:pPr>
            <w:r>
              <w:rPr>
                <w:rFonts w:eastAsia="楷体_GB2312"/>
                <w:szCs w:val="21"/>
              </w:rPr>
              <w:t>200</w:t>
            </w:r>
          </w:p>
        </w:tc>
      </w:tr>
      <w:tr w14:paraId="57BDD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07F4397A">
            <w:pPr>
              <w:tabs>
                <w:tab w:val="left" w:pos="0"/>
                <w:tab w:val="left" w:pos="295"/>
              </w:tabs>
              <w:jc w:val="center"/>
              <w:rPr>
                <w:rFonts w:eastAsia="楷体_GB2312"/>
                <w:szCs w:val="21"/>
              </w:rPr>
            </w:pPr>
          </w:p>
        </w:tc>
        <w:tc>
          <w:tcPr>
            <w:tcW w:w="1134" w:type="dxa"/>
            <w:vMerge w:val="continue"/>
            <w:noWrap w:val="0"/>
            <w:vAlign w:val="center"/>
          </w:tcPr>
          <w:p w14:paraId="26319258">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7D90735A">
            <w:pPr>
              <w:spacing w:line="280" w:lineRule="exact"/>
              <w:jc w:val="center"/>
              <w:rPr>
                <w:rFonts w:eastAsia="楷体_GB2312"/>
              </w:rPr>
            </w:pPr>
            <w:r>
              <w:rPr>
                <w:rFonts w:hint="eastAsia" w:eastAsia="楷体_GB2312"/>
              </w:rPr>
              <w:t>02</w:t>
            </w:r>
          </w:p>
        </w:tc>
        <w:tc>
          <w:tcPr>
            <w:tcW w:w="4536" w:type="dxa"/>
            <w:noWrap w:val="0"/>
            <w:vAlign w:val="center"/>
          </w:tcPr>
          <w:p w14:paraId="331276D1">
            <w:pPr>
              <w:pStyle w:val="26"/>
              <w:pBdr>
                <w:bottom w:val="none" w:color="auto" w:sz="0" w:space="0"/>
              </w:pBdr>
              <w:spacing w:line="280" w:lineRule="exact"/>
              <w:rPr>
                <w:rFonts w:hint="eastAsia" w:eastAsia="楷体_GB2312"/>
                <w:sz w:val="21"/>
                <w:szCs w:val="24"/>
              </w:rPr>
            </w:pPr>
            <w:r>
              <w:rPr>
                <w:rFonts w:hint="eastAsia" w:eastAsia="楷体_GB2312"/>
                <w:sz w:val="21"/>
                <w:szCs w:val="24"/>
              </w:rPr>
              <w:t>中国邮政储蓄银行 （时村二所营业所）</w:t>
            </w:r>
          </w:p>
        </w:tc>
        <w:tc>
          <w:tcPr>
            <w:tcW w:w="1841" w:type="dxa"/>
            <w:noWrap w:val="0"/>
            <w:vAlign w:val="center"/>
          </w:tcPr>
          <w:p w14:paraId="5EF20D63">
            <w:pPr>
              <w:jc w:val="center"/>
              <w:rPr>
                <w:rFonts w:eastAsia="楷体_GB2312"/>
                <w:szCs w:val="21"/>
              </w:rPr>
            </w:pPr>
            <w:r>
              <w:rPr>
                <w:rFonts w:hint="eastAsia" w:eastAsia="楷体_GB2312"/>
                <w:szCs w:val="21"/>
              </w:rPr>
              <w:t>89</w:t>
            </w:r>
          </w:p>
        </w:tc>
      </w:tr>
      <w:tr w14:paraId="34314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5673DC71">
            <w:pPr>
              <w:tabs>
                <w:tab w:val="left" w:pos="0"/>
                <w:tab w:val="left" w:pos="295"/>
              </w:tabs>
              <w:jc w:val="center"/>
              <w:rPr>
                <w:rFonts w:eastAsia="楷体_GB2312"/>
                <w:szCs w:val="21"/>
              </w:rPr>
            </w:pPr>
          </w:p>
        </w:tc>
        <w:tc>
          <w:tcPr>
            <w:tcW w:w="1134" w:type="dxa"/>
            <w:vMerge w:val="continue"/>
            <w:noWrap w:val="0"/>
            <w:vAlign w:val="center"/>
          </w:tcPr>
          <w:p w14:paraId="53773FC5">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223477FF">
            <w:pPr>
              <w:spacing w:line="280" w:lineRule="exact"/>
              <w:jc w:val="center"/>
              <w:rPr>
                <w:rFonts w:eastAsia="楷体_GB2312"/>
              </w:rPr>
            </w:pPr>
            <w:r>
              <w:rPr>
                <w:rFonts w:hint="eastAsia" w:eastAsia="楷体_GB2312"/>
              </w:rPr>
              <w:t>03</w:t>
            </w:r>
          </w:p>
        </w:tc>
        <w:tc>
          <w:tcPr>
            <w:tcW w:w="4536" w:type="dxa"/>
            <w:noWrap w:val="0"/>
            <w:vAlign w:val="center"/>
          </w:tcPr>
          <w:p w14:paraId="2F91E202">
            <w:pPr>
              <w:pStyle w:val="26"/>
              <w:pBdr>
                <w:bottom w:val="none" w:color="auto" w:sz="0" w:space="0"/>
              </w:pBdr>
              <w:spacing w:line="280" w:lineRule="exact"/>
              <w:rPr>
                <w:rFonts w:hint="eastAsia" w:eastAsia="楷体_GB2312"/>
                <w:sz w:val="21"/>
                <w:szCs w:val="24"/>
              </w:rPr>
            </w:pPr>
            <w:r>
              <w:rPr>
                <w:rFonts w:hint="eastAsia" w:eastAsia="楷体_GB2312"/>
                <w:sz w:val="21"/>
                <w:szCs w:val="24"/>
              </w:rPr>
              <w:t>中国农业银行 （时村镇分理处）</w:t>
            </w:r>
          </w:p>
        </w:tc>
        <w:tc>
          <w:tcPr>
            <w:tcW w:w="1841" w:type="dxa"/>
            <w:noWrap w:val="0"/>
            <w:vAlign w:val="center"/>
          </w:tcPr>
          <w:p w14:paraId="7167ED05">
            <w:pPr>
              <w:jc w:val="center"/>
              <w:rPr>
                <w:rFonts w:eastAsia="楷体_GB2312"/>
                <w:szCs w:val="21"/>
              </w:rPr>
            </w:pPr>
            <w:r>
              <w:rPr>
                <w:rFonts w:hint="eastAsia" w:eastAsia="楷体_GB2312"/>
                <w:szCs w:val="21"/>
              </w:rPr>
              <w:t>105</w:t>
            </w:r>
          </w:p>
        </w:tc>
      </w:tr>
      <w:tr w14:paraId="6677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78FADF07">
            <w:pPr>
              <w:tabs>
                <w:tab w:val="left" w:pos="0"/>
                <w:tab w:val="left" w:pos="295"/>
              </w:tabs>
              <w:jc w:val="center"/>
              <w:rPr>
                <w:rFonts w:eastAsia="楷体_GB2312"/>
                <w:szCs w:val="21"/>
              </w:rPr>
            </w:pPr>
          </w:p>
        </w:tc>
        <w:tc>
          <w:tcPr>
            <w:tcW w:w="1134" w:type="dxa"/>
            <w:vMerge w:val="continue"/>
            <w:noWrap w:val="0"/>
            <w:vAlign w:val="center"/>
          </w:tcPr>
          <w:p w14:paraId="4E298A0A">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1DB89989">
            <w:pPr>
              <w:spacing w:line="280" w:lineRule="exact"/>
              <w:jc w:val="center"/>
              <w:rPr>
                <w:rFonts w:eastAsia="楷体_GB2312"/>
              </w:rPr>
            </w:pPr>
            <w:r>
              <w:rPr>
                <w:rFonts w:hint="eastAsia" w:eastAsia="楷体_GB2312"/>
              </w:rPr>
              <w:t>04</w:t>
            </w:r>
          </w:p>
        </w:tc>
        <w:tc>
          <w:tcPr>
            <w:tcW w:w="4536" w:type="dxa"/>
            <w:noWrap w:val="0"/>
            <w:vAlign w:val="center"/>
          </w:tcPr>
          <w:p w14:paraId="16D70B93">
            <w:pPr>
              <w:pStyle w:val="26"/>
              <w:pBdr>
                <w:bottom w:val="none" w:color="auto" w:sz="0" w:space="0"/>
              </w:pBdr>
              <w:spacing w:line="280" w:lineRule="exact"/>
              <w:rPr>
                <w:rFonts w:hint="eastAsia" w:eastAsia="楷体_GB2312"/>
                <w:sz w:val="21"/>
                <w:szCs w:val="24"/>
              </w:rPr>
            </w:pPr>
            <w:r>
              <w:rPr>
                <w:rFonts w:hint="eastAsia" w:eastAsia="楷体_GB2312"/>
                <w:sz w:val="21"/>
                <w:szCs w:val="24"/>
              </w:rPr>
              <w:t>中国邮政储蓄银行（时村一所支行）</w:t>
            </w:r>
          </w:p>
        </w:tc>
        <w:tc>
          <w:tcPr>
            <w:tcW w:w="1841" w:type="dxa"/>
            <w:noWrap w:val="0"/>
            <w:vAlign w:val="center"/>
          </w:tcPr>
          <w:p w14:paraId="6E677463">
            <w:pPr>
              <w:jc w:val="center"/>
              <w:rPr>
                <w:rFonts w:eastAsia="楷体_GB2312"/>
                <w:szCs w:val="21"/>
              </w:rPr>
            </w:pPr>
            <w:r>
              <w:rPr>
                <w:rFonts w:hint="eastAsia" w:eastAsia="楷体_GB2312"/>
                <w:szCs w:val="21"/>
              </w:rPr>
              <w:t>77</w:t>
            </w:r>
          </w:p>
        </w:tc>
      </w:tr>
      <w:tr w14:paraId="6ECA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restart"/>
            <w:noWrap w:val="0"/>
            <w:vAlign w:val="center"/>
          </w:tcPr>
          <w:p w14:paraId="03C1377B">
            <w:pPr>
              <w:tabs>
                <w:tab w:val="left" w:pos="0"/>
                <w:tab w:val="left" w:pos="295"/>
              </w:tabs>
              <w:jc w:val="center"/>
              <w:rPr>
                <w:rFonts w:eastAsia="楷体_GB2312"/>
                <w:szCs w:val="21"/>
              </w:rPr>
            </w:pPr>
            <w:r>
              <w:rPr>
                <w:rFonts w:eastAsia="楷体_GB2312"/>
                <w:szCs w:val="21"/>
              </w:rPr>
              <w:t>8</w:t>
            </w:r>
          </w:p>
        </w:tc>
        <w:tc>
          <w:tcPr>
            <w:tcW w:w="1134" w:type="dxa"/>
            <w:vMerge w:val="restart"/>
            <w:noWrap w:val="0"/>
            <w:vAlign w:val="center"/>
          </w:tcPr>
          <w:p w14:paraId="74792C47">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夹沟镇</w:t>
            </w:r>
          </w:p>
        </w:tc>
        <w:tc>
          <w:tcPr>
            <w:tcW w:w="992" w:type="dxa"/>
            <w:noWrap w:val="0"/>
            <w:vAlign w:val="center"/>
          </w:tcPr>
          <w:p w14:paraId="5BADE4F3">
            <w:pPr>
              <w:spacing w:line="280" w:lineRule="exact"/>
              <w:jc w:val="center"/>
              <w:rPr>
                <w:rFonts w:eastAsia="楷体_GB2312"/>
              </w:rPr>
            </w:pPr>
            <w:r>
              <w:rPr>
                <w:rFonts w:eastAsia="楷体_GB2312"/>
              </w:rPr>
              <w:t>01</w:t>
            </w:r>
          </w:p>
        </w:tc>
        <w:tc>
          <w:tcPr>
            <w:tcW w:w="4536" w:type="dxa"/>
            <w:noWrap w:val="0"/>
            <w:vAlign w:val="center"/>
          </w:tcPr>
          <w:p w14:paraId="4447392A">
            <w:pPr>
              <w:pStyle w:val="26"/>
              <w:pBdr>
                <w:bottom w:val="none" w:color="auto" w:sz="0" w:space="0"/>
              </w:pBdr>
              <w:spacing w:line="280" w:lineRule="exact"/>
              <w:rPr>
                <w:rFonts w:eastAsia="楷体_GB2312"/>
                <w:sz w:val="21"/>
                <w:szCs w:val="24"/>
              </w:rPr>
            </w:pPr>
            <w:r>
              <w:rPr>
                <w:rFonts w:hint="eastAsia" w:eastAsia="楷体_GB2312"/>
                <w:sz w:val="21"/>
                <w:szCs w:val="24"/>
              </w:rPr>
              <w:t>中国邮政储蓄银行（夹沟支行）</w:t>
            </w:r>
          </w:p>
        </w:tc>
        <w:tc>
          <w:tcPr>
            <w:tcW w:w="1841" w:type="dxa"/>
            <w:noWrap w:val="0"/>
            <w:vAlign w:val="center"/>
          </w:tcPr>
          <w:p w14:paraId="46A99DC1">
            <w:pPr>
              <w:jc w:val="center"/>
              <w:rPr>
                <w:rFonts w:eastAsia="楷体_GB2312"/>
                <w:szCs w:val="21"/>
              </w:rPr>
            </w:pPr>
            <w:r>
              <w:rPr>
                <w:rFonts w:eastAsia="楷体_GB2312"/>
                <w:szCs w:val="21"/>
              </w:rPr>
              <w:t>100</w:t>
            </w:r>
          </w:p>
        </w:tc>
      </w:tr>
      <w:tr w14:paraId="6815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20A6C4A7">
            <w:pPr>
              <w:tabs>
                <w:tab w:val="left" w:pos="0"/>
                <w:tab w:val="left" w:pos="295"/>
              </w:tabs>
              <w:jc w:val="center"/>
              <w:rPr>
                <w:rFonts w:eastAsia="楷体_GB2312"/>
                <w:szCs w:val="21"/>
              </w:rPr>
            </w:pPr>
          </w:p>
        </w:tc>
        <w:tc>
          <w:tcPr>
            <w:tcW w:w="1134" w:type="dxa"/>
            <w:vMerge w:val="continue"/>
            <w:noWrap w:val="0"/>
            <w:vAlign w:val="center"/>
          </w:tcPr>
          <w:p w14:paraId="517ED40C">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03EA191D">
            <w:pPr>
              <w:spacing w:line="280" w:lineRule="exact"/>
              <w:jc w:val="center"/>
              <w:rPr>
                <w:rFonts w:eastAsia="楷体_GB2312"/>
              </w:rPr>
            </w:pPr>
            <w:r>
              <w:rPr>
                <w:rFonts w:hint="eastAsia" w:eastAsia="楷体_GB2312"/>
              </w:rPr>
              <w:t>02</w:t>
            </w:r>
          </w:p>
        </w:tc>
        <w:tc>
          <w:tcPr>
            <w:tcW w:w="4536" w:type="dxa"/>
            <w:noWrap w:val="0"/>
            <w:vAlign w:val="center"/>
          </w:tcPr>
          <w:p w14:paraId="66D71296">
            <w:pPr>
              <w:pStyle w:val="26"/>
              <w:pBdr>
                <w:bottom w:val="none" w:color="auto" w:sz="0" w:space="0"/>
              </w:pBdr>
              <w:spacing w:line="280" w:lineRule="exact"/>
              <w:rPr>
                <w:rFonts w:eastAsia="楷体_GB2312"/>
                <w:sz w:val="21"/>
                <w:szCs w:val="24"/>
              </w:rPr>
            </w:pPr>
            <w:r>
              <w:rPr>
                <w:rFonts w:hint="eastAsia" w:eastAsia="楷体_GB2312"/>
                <w:sz w:val="21"/>
                <w:szCs w:val="24"/>
              </w:rPr>
              <w:t>中国农业银行（夹沟分理处）</w:t>
            </w:r>
          </w:p>
        </w:tc>
        <w:tc>
          <w:tcPr>
            <w:tcW w:w="1841" w:type="dxa"/>
            <w:noWrap w:val="0"/>
            <w:vAlign w:val="center"/>
          </w:tcPr>
          <w:p w14:paraId="34AA4E9D">
            <w:pPr>
              <w:jc w:val="center"/>
              <w:rPr>
                <w:rFonts w:eastAsia="楷体_GB2312"/>
                <w:szCs w:val="21"/>
              </w:rPr>
            </w:pPr>
            <w:r>
              <w:rPr>
                <w:rFonts w:hint="eastAsia" w:eastAsia="楷体_GB2312"/>
                <w:szCs w:val="21"/>
              </w:rPr>
              <w:t>104</w:t>
            </w:r>
          </w:p>
        </w:tc>
      </w:tr>
      <w:tr w14:paraId="2B15F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6F7775BC">
            <w:pPr>
              <w:tabs>
                <w:tab w:val="left" w:pos="0"/>
                <w:tab w:val="left" w:pos="295"/>
              </w:tabs>
              <w:jc w:val="center"/>
              <w:rPr>
                <w:rFonts w:eastAsia="楷体_GB2312"/>
                <w:szCs w:val="21"/>
              </w:rPr>
            </w:pPr>
          </w:p>
        </w:tc>
        <w:tc>
          <w:tcPr>
            <w:tcW w:w="1134" w:type="dxa"/>
            <w:vMerge w:val="continue"/>
            <w:noWrap w:val="0"/>
            <w:vAlign w:val="center"/>
          </w:tcPr>
          <w:p w14:paraId="5FC89067">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03B4956B">
            <w:pPr>
              <w:spacing w:line="280" w:lineRule="exact"/>
              <w:jc w:val="center"/>
              <w:rPr>
                <w:rFonts w:eastAsia="楷体_GB2312"/>
              </w:rPr>
            </w:pPr>
            <w:r>
              <w:rPr>
                <w:rFonts w:hint="eastAsia" w:eastAsia="楷体_GB2312"/>
              </w:rPr>
              <w:t>03</w:t>
            </w:r>
          </w:p>
        </w:tc>
        <w:tc>
          <w:tcPr>
            <w:tcW w:w="4536" w:type="dxa"/>
            <w:noWrap w:val="0"/>
            <w:vAlign w:val="center"/>
          </w:tcPr>
          <w:p w14:paraId="5FB70868">
            <w:pPr>
              <w:pStyle w:val="26"/>
              <w:pBdr>
                <w:bottom w:val="none" w:color="auto" w:sz="0" w:space="0"/>
              </w:pBdr>
              <w:spacing w:line="280" w:lineRule="exact"/>
              <w:rPr>
                <w:rFonts w:eastAsia="楷体_GB2312"/>
                <w:sz w:val="21"/>
                <w:szCs w:val="24"/>
              </w:rPr>
            </w:pPr>
            <w:r>
              <w:rPr>
                <w:rFonts w:hint="eastAsia" w:eastAsia="楷体_GB2312"/>
                <w:sz w:val="21"/>
                <w:szCs w:val="24"/>
              </w:rPr>
              <w:t>宿州农商银行（夹沟支行）</w:t>
            </w:r>
          </w:p>
        </w:tc>
        <w:tc>
          <w:tcPr>
            <w:tcW w:w="1841" w:type="dxa"/>
            <w:noWrap w:val="0"/>
            <w:vAlign w:val="center"/>
          </w:tcPr>
          <w:p w14:paraId="3218ED42">
            <w:pPr>
              <w:jc w:val="center"/>
              <w:rPr>
                <w:rFonts w:eastAsia="楷体_GB2312"/>
                <w:szCs w:val="21"/>
              </w:rPr>
            </w:pPr>
            <w:r>
              <w:rPr>
                <w:rFonts w:hint="eastAsia" w:eastAsia="楷体_GB2312"/>
                <w:szCs w:val="21"/>
              </w:rPr>
              <w:t>87</w:t>
            </w:r>
          </w:p>
        </w:tc>
      </w:tr>
      <w:tr w14:paraId="0FDF4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noWrap w:val="0"/>
            <w:vAlign w:val="center"/>
          </w:tcPr>
          <w:p w14:paraId="69F085E3">
            <w:pPr>
              <w:tabs>
                <w:tab w:val="left" w:pos="0"/>
                <w:tab w:val="left" w:pos="295"/>
              </w:tabs>
              <w:jc w:val="center"/>
              <w:rPr>
                <w:rFonts w:eastAsia="楷体_GB2312"/>
                <w:szCs w:val="21"/>
              </w:rPr>
            </w:pPr>
            <w:r>
              <w:rPr>
                <w:rFonts w:eastAsia="楷体_GB2312"/>
                <w:szCs w:val="21"/>
              </w:rPr>
              <w:t>9</w:t>
            </w:r>
          </w:p>
        </w:tc>
        <w:tc>
          <w:tcPr>
            <w:tcW w:w="1134" w:type="dxa"/>
            <w:noWrap w:val="0"/>
            <w:vAlign w:val="center"/>
          </w:tcPr>
          <w:p w14:paraId="60785791">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西二铺乡</w:t>
            </w:r>
          </w:p>
        </w:tc>
        <w:tc>
          <w:tcPr>
            <w:tcW w:w="992" w:type="dxa"/>
            <w:noWrap w:val="0"/>
            <w:vAlign w:val="center"/>
          </w:tcPr>
          <w:p w14:paraId="0F8B038C">
            <w:pPr>
              <w:spacing w:line="280" w:lineRule="exact"/>
              <w:jc w:val="center"/>
              <w:rPr>
                <w:rFonts w:eastAsia="楷体_GB2312"/>
              </w:rPr>
            </w:pPr>
            <w:r>
              <w:rPr>
                <w:rFonts w:eastAsia="楷体_GB2312"/>
              </w:rPr>
              <w:t>01</w:t>
            </w:r>
          </w:p>
        </w:tc>
        <w:tc>
          <w:tcPr>
            <w:tcW w:w="4536" w:type="dxa"/>
            <w:noWrap w:val="0"/>
            <w:vAlign w:val="center"/>
          </w:tcPr>
          <w:p w14:paraId="7D88EFDB">
            <w:pPr>
              <w:pStyle w:val="26"/>
              <w:pBdr>
                <w:bottom w:val="none" w:color="auto" w:sz="0" w:space="0"/>
              </w:pBdr>
              <w:spacing w:line="280" w:lineRule="exact"/>
              <w:rPr>
                <w:rFonts w:eastAsia="楷体_GB2312"/>
                <w:sz w:val="21"/>
                <w:szCs w:val="24"/>
              </w:rPr>
            </w:pPr>
            <w:r>
              <w:rPr>
                <w:rFonts w:hint="eastAsia" w:eastAsia="楷体_GB2312"/>
                <w:sz w:val="21"/>
                <w:szCs w:val="24"/>
              </w:rPr>
              <w:t>宿州农商银行（西二铺支行）</w:t>
            </w:r>
          </w:p>
        </w:tc>
        <w:tc>
          <w:tcPr>
            <w:tcW w:w="1841" w:type="dxa"/>
            <w:noWrap w:val="0"/>
            <w:vAlign w:val="center"/>
          </w:tcPr>
          <w:p w14:paraId="7FF611B8">
            <w:pPr>
              <w:jc w:val="center"/>
              <w:rPr>
                <w:rFonts w:eastAsia="楷体_GB2312"/>
                <w:szCs w:val="21"/>
              </w:rPr>
            </w:pPr>
            <w:r>
              <w:rPr>
                <w:rFonts w:eastAsia="楷体_GB2312"/>
                <w:szCs w:val="21"/>
              </w:rPr>
              <w:t>1</w:t>
            </w:r>
            <w:r>
              <w:rPr>
                <w:rFonts w:hint="eastAsia" w:eastAsia="楷体_GB2312"/>
                <w:szCs w:val="21"/>
              </w:rPr>
              <w:t>82</w:t>
            </w:r>
          </w:p>
        </w:tc>
      </w:tr>
      <w:tr w14:paraId="0FBFA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vMerge w:val="restart"/>
            <w:noWrap w:val="0"/>
            <w:vAlign w:val="center"/>
          </w:tcPr>
          <w:p w14:paraId="5535B2A9">
            <w:pPr>
              <w:tabs>
                <w:tab w:val="left" w:pos="0"/>
                <w:tab w:val="left" w:pos="295"/>
              </w:tabs>
              <w:jc w:val="center"/>
              <w:rPr>
                <w:rFonts w:eastAsia="楷体_GB2312"/>
                <w:szCs w:val="21"/>
              </w:rPr>
            </w:pPr>
            <w:r>
              <w:rPr>
                <w:rFonts w:eastAsia="楷体_GB2312"/>
                <w:szCs w:val="21"/>
              </w:rPr>
              <w:t>10</w:t>
            </w:r>
          </w:p>
        </w:tc>
        <w:tc>
          <w:tcPr>
            <w:tcW w:w="1134" w:type="dxa"/>
            <w:vMerge w:val="restart"/>
            <w:noWrap w:val="0"/>
            <w:vAlign w:val="center"/>
          </w:tcPr>
          <w:p w14:paraId="6BE079BF">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桃园镇</w:t>
            </w:r>
          </w:p>
        </w:tc>
        <w:tc>
          <w:tcPr>
            <w:tcW w:w="992" w:type="dxa"/>
            <w:noWrap w:val="0"/>
            <w:vAlign w:val="center"/>
          </w:tcPr>
          <w:p w14:paraId="300C0C2F">
            <w:pPr>
              <w:spacing w:line="280" w:lineRule="exact"/>
              <w:jc w:val="center"/>
              <w:rPr>
                <w:rFonts w:eastAsia="楷体_GB2312"/>
              </w:rPr>
            </w:pPr>
            <w:r>
              <w:rPr>
                <w:rFonts w:eastAsia="楷体_GB2312"/>
              </w:rPr>
              <w:t>01</w:t>
            </w:r>
          </w:p>
        </w:tc>
        <w:tc>
          <w:tcPr>
            <w:tcW w:w="4536" w:type="dxa"/>
            <w:noWrap w:val="0"/>
            <w:vAlign w:val="center"/>
          </w:tcPr>
          <w:p w14:paraId="10B1E6F5">
            <w:pPr>
              <w:pStyle w:val="26"/>
              <w:pBdr>
                <w:bottom w:val="none" w:color="auto" w:sz="0" w:space="0"/>
              </w:pBdr>
              <w:spacing w:line="280" w:lineRule="exact"/>
              <w:rPr>
                <w:rFonts w:eastAsia="楷体_GB2312"/>
                <w:sz w:val="21"/>
                <w:szCs w:val="24"/>
              </w:rPr>
            </w:pPr>
            <w:r>
              <w:rPr>
                <w:rFonts w:hint="eastAsia" w:eastAsia="楷体_GB2312"/>
                <w:sz w:val="21"/>
                <w:szCs w:val="24"/>
              </w:rPr>
              <w:t>宿州农商银行（西二铺支行）</w:t>
            </w:r>
          </w:p>
        </w:tc>
        <w:tc>
          <w:tcPr>
            <w:tcW w:w="1841" w:type="dxa"/>
            <w:noWrap w:val="0"/>
            <w:vAlign w:val="center"/>
          </w:tcPr>
          <w:p w14:paraId="61B85004">
            <w:pPr>
              <w:jc w:val="center"/>
              <w:rPr>
                <w:rFonts w:eastAsia="楷体_GB2312"/>
                <w:szCs w:val="21"/>
              </w:rPr>
            </w:pPr>
            <w:r>
              <w:rPr>
                <w:rFonts w:eastAsia="楷体_GB2312"/>
                <w:szCs w:val="21"/>
              </w:rPr>
              <w:t>80</w:t>
            </w:r>
          </w:p>
        </w:tc>
      </w:tr>
      <w:tr w14:paraId="658DF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vMerge w:val="continue"/>
            <w:noWrap w:val="0"/>
            <w:vAlign w:val="center"/>
          </w:tcPr>
          <w:p w14:paraId="51AAD886">
            <w:pPr>
              <w:tabs>
                <w:tab w:val="left" w:pos="0"/>
                <w:tab w:val="left" w:pos="295"/>
              </w:tabs>
              <w:jc w:val="center"/>
              <w:rPr>
                <w:rFonts w:eastAsia="楷体_GB2312"/>
                <w:szCs w:val="21"/>
              </w:rPr>
            </w:pPr>
          </w:p>
        </w:tc>
        <w:tc>
          <w:tcPr>
            <w:tcW w:w="1134" w:type="dxa"/>
            <w:vMerge w:val="continue"/>
            <w:noWrap w:val="0"/>
            <w:vAlign w:val="center"/>
          </w:tcPr>
          <w:p w14:paraId="3FD4CF34">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0498908E">
            <w:pPr>
              <w:spacing w:line="280" w:lineRule="exact"/>
              <w:jc w:val="center"/>
              <w:rPr>
                <w:rFonts w:eastAsia="楷体_GB2312"/>
              </w:rPr>
            </w:pPr>
            <w:r>
              <w:rPr>
                <w:rFonts w:hint="eastAsia" w:eastAsia="楷体_GB2312"/>
              </w:rPr>
              <w:t>02</w:t>
            </w:r>
          </w:p>
        </w:tc>
        <w:tc>
          <w:tcPr>
            <w:tcW w:w="4536" w:type="dxa"/>
            <w:noWrap w:val="0"/>
            <w:vAlign w:val="center"/>
          </w:tcPr>
          <w:p w14:paraId="2D228279">
            <w:pPr>
              <w:pStyle w:val="26"/>
              <w:pBdr>
                <w:bottom w:val="none" w:color="auto" w:sz="0" w:space="0"/>
              </w:pBdr>
              <w:spacing w:line="280" w:lineRule="exact"/>
              <w:rPr>
                <w:rFonts w:hint="eastAsia" w:eastAsia="楷体_GB2312"/>
                <w:sz w:val="21"/>
                <w:szCs w:val="24"/>
              </w:rPr>
            </w:pPr>
            <w:r>
              <w:rPr>
                <w:rFonts w:hint="eastAsia" w:eastAsia="楷体_GB2312"/>
                <w:sz w:val="21"/>
                <w:szCs w:val="24"/>
              </w:rPr>
              <w:t>中国工商银行（宿州桃园支行）</w:t>
            </w:r>
          </w:p>
        </w:tc>
        <w:tc>
          <w:tcPr>
            <w:tcW w:w="1841" w:type="dxa"/>
            <w:noWrap w:val="0"/>
            <w:vAlign w:val="center"/>
          </w:tcPr>
          <w:p w14:paraId="4BC91D5C">
            <w:pPr>
              <w:jc w:val="center"/>
              <w:rPr>
                <w:rFonts w:eastAsia="楷体_GB2312"/>
                <w:szCs w:val="21"/>
              </w:rPr>
            </w:pPr>
            <w:r>
              <w:rPr>
                <w:rFonts w:hint="eastAsia" w:eastAsia="楷体_GB2312"/>
                <w:szCs w:val="21"/>
              </w:rPr>
              <w:t>102</w:t>
            </w:r>
          </w:p>
        </w:tc>
      </w:tr>
      <w:tr w14:paraId="23E3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vMerge w:val="continue"/>
            <w:noWrap w:val="0"/>
            <w:vAlign w:val="center"/>
          </w:tcPr>
          <w:p w14:paraId="57FA3EDE">
            <w:pPr>
              <w:tabs>
                <w:tab w:val="left" w:pos="0"/>
                <w:tab w:val="left" w:pos="295"/>
              </w:tabs>
              <w:jc w:val="center"/>
              <w:rPr>
                <w:rFonts w:eastAsia="楷体_GB2312"/>
                <w:szCs w:val="21"/>
              </w:rPr>
            </w:pPr>
          </w:p>
        </w:tc>
        <w:tc>
          <w:tcPr>
            <w:tcW w:w="1134" w:type="dxa"/>
            <w:vMerge w:val="continue"/>
            <w:noWrap w:val="0"/>
            <w:vAlign w:val="center"/>
          </w:tcPr>
          <w:p w14:paraId="0161D2CC">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0722BBC4">
            <w:pPr>
              <w:spacing w:line="280" w:lineRule="exact"/>
              <w:jc w:val="center"/>
              <w:rPr>
                <w:rFonts w:eastAsia="楷体_GB2312"/>
              </w:rPr>
            </w:pPr>
            <w:r>
              <w:rPr>
                <w:rFonts w:hint="eastAsia" w:eastAsia="楷体_GB2312"/>
              </w:rPr>
              <w:t>03</w:t>
            </w:r>
          </w:p>
        </w:tc>
        <w:tc>
          <w:tcPr>
            <w:tcW w:w="4536" w:type="dxa"/>
            <w:noWrap w:val="0"/>
            <w:vAlign w:val="center"/>
          </w:tcPr>
          <w:p w14:paraId="6553CFEE">
            <w:pPr>
              <w:pStyle w:val="26"/>
              <w:pBdr>
                <w:bottom w:val="none" w:color="auto" w:sz="0" w:space="0"/>
              </w:pBdr>
              <w:spacing w:line="280" w:lineRule="exact"/>
              <w:rPr>
                <w:rFonts w:hint="eastAsia" w:eastAsia="楷体_GB2312"/>
                <w:sz w:val="21"/>
                <w:szCs w:val="24"/>
              </w:rPr>
            </w:pPr>
            <w:r>
              <w:rPr>
                <w:rFonts w:hint="eastAsia" w:eastAsia="楷体_GB2312"/>
                <w:sz w:val="21"/>
                <w:szCs w:val="24"/>
              </w:rPr>
              <w:t>中国农业银行（北杨寨分理处）</w:t>
            </w:r>
          </w:p>
        </w:tc>
        <w:tc>
          <w:tcPr>
            <w:tcW w:w="1841" w:type="dxa"/>
            <w:noWrap w:val="0"/>
            <w:vAlign w:val="center"/>
          </w:tcPr>
          <w:p w14:paraId="1FD639CA">
            <w:pPr>
              <w:jc w:val="center"/>
              <w:rPr>
                <w:rFonts w:eastAsia="楷体_GB2312"/>
                <w:szCs w:val="21"/>
              </w:rPr>
            </w:pPr>
            <w:r>
              <w:rPr>
                <w:rFonts w:hint="eastAsia" w:eastAsia="楷体_GB2312"/>
                <w:szCs w:val="21"/>
              </w:rPr>
              <w:t>94</w:t>
            </w:r>
          </w:p>
        </w:tc>
      </w:tr>
      <w:tr w14:paraId="1378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69" w:type="dxa"/>
            <w:vMerge w:val="continue"/>
            <w:noWrap w:val="0"/>
            <w:vAlign w:val="center"/>
          </w:tcPr>
          <w:p w14:paraId="4BB4D940">
            <w:pPr>
              <w:tabs>
                <w:tab w:val="left" w:pos="0"/>
                <w:tab w:val="left" w:pos="295"/>
              </w:tabs>
              <w:jc w:val="center"/>
              <w:rPr>
                <w:rFonts w:eastAsia="楷体_GB2312"/>
                <w:szCs w:val="21"/>
              </w:rPr>
            </w:pPr>
          </w:p>
        </w:tc>
        <w:tc>
          <w:tcPr>
            <w:tcW w:w="1134" w:type="dxa"/>
            <w:vMerge w:val="continue"/>
            <w:noWrap w:val="0"/>
            <w:vAlign w:val="center"/>
          </w:tcPr>
          <w:p w14:paraId="67744C99">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025DDAB7">
            <w:pPr>
              <w:spacing w:line="280" w:lineRule="exact"/>
              <w:jc w:val="center"/>
              <w:rPr>
                <w:rFonts w:eastAsia="楷体_GB2312"/>
              </w:rPr>
            </w:pPr>
            <w:r>
              <w:rPr>
                <w:rFonts w:hint="eastAsia" w:eastAsia="楷体_GB2312"/>
              </w:rPr>
              <w:t>04</w:t>
            </w:r>
          </w:p>
        </w:tc>
        <w:tc>
          <w:tcPr>
            <w:tcW w:w="4536" w:type="dxa"/>
            <w:noWrap w:val="0"/>
            <w:vAlign w:val="center"/>
          </w:tcPr>
          <w:p w14:paraId="7F53A605">
            <w:pPr>
              <w:pStyle w:val="26"/>
              <w:pBdr>
                <w:bottom w:val="none" w:color="auto" w:sz="0" w:space="0"/>
              </w:pBdr>
              <w:spacing w:line="280" w:lineRule="exact"/>
              <w:rPr>
                <w:rFonts w:hint="eastAsia" w:eastAsia="楷体_GB2312"/>
                <w:sz w:val="21"/>
                <w:szCs w:val="24"/>
              </w:rPr>
            </w:pPr>
            <w:r>
              <w:rPr>
                <w:rFonts w:hint="eastAsia" w:eastAsia="楷体_GB2312"/>
                <w:sz w:val="21"/>
                <w:szCs w:val="24"/>
              </w:rPr>
              <w:t>中国邮政储蓄银行（桃园镇支行）</w:t>
            </w:r>
          </w:p>
        </w:tc>
        <w:tc>
          <w:tcPr>
            <w:tcW w:w="1841" w:type="dxa"/>
            <w:noWrap w:val="0"/>
            <w:vAlign w:val="center"/>
          </w:tcPr>
          <w:p w14:paraId="745B0AAC">
            <w:pPr>
              <w:jc w:val="center"/>
              <w:rPr>
                <w:rFonts w:eastAsia="楷体_GB2312"/>
                <w:szCs w:val="21"/>
              </w:rPr>
            </w:pPr>
            <w:r>
              <w:rPr>
                <w:rFonts w:hint="eastAsia" w:eastAsia="楷体_GB2312"/>
                <w:szCs w:val="21"/>
              </w:rPr>
              <w:t>110</w:t>
            </w:r>
          </w:p>
        </w:tc>
      </w:tr>
      <w:tr w14:paraId="5F3E4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restart"/>
            <w:noWrap w:val="0"/>
            <w:vAlign w:val="center"/>
          </w:tcPr>
          <w:p w14:paraId="29A172EF">
            <w:pPr>
              <w:tabs>
                <w:tab w:val="left" w:pos="0"/>
                <w:tab w:val="left" w:pos="295"/>
              </w:tabs>
              <w:jc w:val="center"/>
              <w:rPr>
                <w:rFonts w:eastAsia="楷体_GB2312"/>
                <w:szCs w:val="21"/>
              </w:rPr>
            </w:pPr>
            <w:r>
              <w:rPr>
                <w:rFonts w:hint="eastAsia" w:eastAsia="楷体_GB2312"/>
                <w:szCs w:val="21"/>
              </w:rPr>
              <w:t>11</w:t>
            </w:r>
          </w:p>
        </w:tc>
        <w:tc>
          <w:tcPr>
            <w:tcW w:w="1134" w:type="dxa"/>
            <w:vMerge w:val="restart"/>
            <w:noWrap w:val="0"/>
            <w:vAlign w:val="center"/>
          </w:tcPr>
          <w:p w14:paraId="3F9C823E">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曹村镇</w:t>
            </w:r>
          </w:p>
        </w:tc>
        <w:tc>
          <w:tcPr>
            <w:tcW w:w="992" w:type="dxa"/>
            <w:noWrap w:val="0"/>
            <w:vAlign w:val="center"/>
          </w:tcPr>
          <w:p w14:paraId="6BD98DB1">
            <w:pPr>
              <w:spacing w:line="280" w:lineRule="exact"/>
              <w:jc w:val="center"/>
              <w:rPr>
                <w:rFonts w:eastAsia="楷体_GB2312"/>
              </w:rPr>
            </w:pPr>
            <w:r>
              <w:rPr>
                <w:rFonts w:eastAsia="楷体_GB2312"/>
              </w:rPr>
              <w:t>01</w:t>
            </w:r>
          </w:p>
        </w:tc>
        <w:tc>
          <w:tcPr>
            <w:tcW w:w="4536" w:type="dxa"/>
            <w:noWrap w:val="0"/>
            <w:vAlign w:val="center"/>
          </w:tcPr>
          <w:p w14:paraId="72B4F6C5">
            <w:pPr>
              <w:pStyle w:val="26"/>
              <w:pBdr>
                <w:bottom w:val="none" w:color="auto" w:sz="0" w:space="0"/>
              </w:pBdr>
              <w:spacing w:line="280" w:lineRule="exact"/>
              <w:rPr>
                <w:rFonts w:eastAsia="楷体_GB2312"/>
                <w:sz w:val="21"/>
                <w:szCs w:val="24"/>
              </w:rPr>
            </w:pPr>
            <w:r>
              <w:rPr>
                <w:rFonts w:hint="eastAsia" w:eastAsia="楷体_GB2312"/>
                <w:sz w:val="21"/>
                <w:szCs w:val="24"/>
              </w:rPr>
              <w:t>中国邮政储蓄银行（宿州市曹村镇支行）</w:t>
            </w:r>
          </w:p>
        </w:tc>
        <w:tc>
          <w:tcPr>
            <w:tcW w:w="1841" w:type="dxa"/>
            <w:noWrap w:val="0"/>
            <w:vAlign w:val="center"/>
          </w:tcPr>
          <w:p w14:paraId="25E602D2">
            <w:pPr>
              <w:jc w:val="center"/>
              <w:rPr>
                <w:rFonts w:eastAsia="楷体_GB2312"/>
                <w:szCs w:val="21"/>
              </w:rPr>
            </w:pPr>
            <w:r>
              <w:rPr>
                <w:rFonts w:hint="eastAsia" w:eastAsia="楷体_GB2312"/>
                <w:szCs w:val="21"/>
              </w:rPr>
              <w:t>157</w:t>
            </w:r>
          </w:p>
        </w:tc>
      </w:tr>
      <w:tr w14:paraId="6AD89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7245076E">
            <w:pPr>
              <w:tabs>
                <w:tab w:val="left" w:pos="0"/>
                <w:tab w:val="left" w:pos="295"/>
              </w:tabs>
              <w:jc w:val="center"/>
              <w:rPr>
                <w:rFonts w:hint="eastAsia" w:eastAsia="楷体_GB2312"/>
                <w:szCs w:val="21"/>
              </w:rPr>
            </w:pPr>
          </w:p>
        </w:tc>
        <w:tc>
          <w:tcPr>
            <w:tcW w:w="1134" w:type="dxa"/>
            <w:vMerge w:val="continue"/>
            <w:noWrap w:val="0"/>
            <w:vAlign w:val="center"/>
          </w:tcPr>
          <w:p w14:paraId="3C2C8419">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19BB0512">
            <w:pPr>
              <w:spacing w:line="280" w:lineRule="exact"/>
              <w:jc w:val="center"/>
              <w:rPr>
                <w:rFonts w:eastAsia="楷体_GB2312"/>
              </w:rPr>
            </w:pPr>
            <w:r>
              <w:rPr>
                <w:rFonts w:hint="eastAsia" w:eastAsia="楷体_GB2312"/>
              </w:rPr>
              <w:t>02</w:t>
            </w:r>
          </w:p>
        </w:tc>
        <w:tc>
          <w:tcPr>
            <w:tcW w:w="4536" w:type="dxa"/>
            <w:noWrap w:val="0"/>
            <w:vAlign w:val="center"/>
          </w:tcPr>
          <w:p w14:paraId="2043C0FA">
            <w:pPr>
              <w:pStyle w:val="26"/>
              <w:pBdr>
                <w:bottom w:val="none" w:color="auto" w:sz="0" w:space="0"/>
              </w:pBdr>
              <w:spacing w:line="280" w:lineRule="exact"/>
              <w:rPr>
                <w:rFonts w:eastAsia="楷体_GB2312"/>
                <w:sz w:val="21"/>
                <w:szCs w:val="24"/>
              </w:rPr>
            </w:pPr>
            <w:r>
              <w:rPr>
                <w:rFonts w:hint="eastAsia" w:eastAsia="楷体_GB2312"/>
                <w:sz w:val="21"/>
                <w:szCs w:val="24"/>
              </w:rPr>
              <w:t>宿州农商银行（曹村支行）</w:t>
            </w:r>
          </w:p>
        </w:tc>
        <w:tc>
          <w:tcPr>
            <w:tcW w:w="1841" w:type="dxa"/>
            <w:noWrap w:val="0"/>
            <w:vAlign w:val="center"/>
          </w:tcPr>
          <w:p w14:paraId="15B7FA1A">
            <w:pPr>
              <w:jc w:val="center"/>
              <w:rPr>
                <w:rFonts w:eastAsia="楷体_GB2312"/>
                <w:szCs w:val="21"/>
              </w:rPr>
            </w:pPr>
            <w:r>
              <w:rPr>
                <w:rFonts w:hint="eastAsia" w:eastAsia="楷体_GB2312"/>
                <w:szCs w:val="21"/>
              </w:rPr>
              <w:t>186</w:t>
            </w:r>
          </w:p>
        </w:tc>
      </w:tr>
      <w:tr w14:paraId="26DFB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restart"/>
            <w:noWrap w:val="0"/>
            <w:vAlign w:val="center"/>
          </w:tcPr>
          <w:p w14:paraId="0C5C999D">
            <w:pPr>
              <w:tabs>
                <w:tab w:val="left" w:pos="0"/>
                <w:tab w:val="left" w:pos="295"/>
              </w:tabs>
              <w:jc w:val="center"/>
              <w:rPr>
                <w:rFonts w:eastAsia="楷体_GB2312"/>
                <w:szCs w:val="21"/>
              </w:rPr>
            </w:pPr>
            <w:r>
              <w:rPr>
                <w:rFonts w:hint="eastAsia" w:eastAsia="楷体_GB2312"/>
                <w:szCs w:val="21"/>
              </w:rPr>
              <w:t>12</w:t>
            </w:r>
          </w:p>
        </w:tc>
        <w:tc>
          <w:tcPr>
            <w:tcW w:w="1134" w:type="dxa"/>
            <w:vMerge w:val="restart"/>
            <w:noWrap w:val="0"/>
            <w:vAlign w:val="center"/>
          </w:tcPr>
          <w:p w14:paraId="31CD48C4">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大营镇</w:t>
            </w:r>
          </w:p>
        </w:tc>
        <w:tc>
          <w:tcPr>
            <w:tcW w:w="992" w:type="dxa"/>
            <w:noWrap w:val="0"/>
            <w:vAlign w:val="center"/>
          </w:tcPr>
          <w:p w14:paraId="52735E51">
            <w:pPr>
              <w:spacing w:line="280" w:lineRule="exact"/>
              <w:jc w:val="center"/>
              <w:rPr>
                <w:rFonts w:eastAsia="楷体_GB2312"/>
              </w:rPr>
            </w:pPr>
            <w:r>
              <w:rPr>
                <w:rFonts w:eastAsia="楷体_GB2312"/>
              </w:rPr>
              <w:t>01</w:t>
            </w:r>
          </w:p>
        </w:tc>
        <w:tc>
          <w:tcPr>
            <w:tcW w:w="4536" w:type="dxa"/>
            <w:noWrap w:val="0"/>
            <w:vAlign w:val="center"/>
          </w:tcPr>
          <w:p w14:paraId="2F2139A8">
            <w:pPr>
              <w:pStyle w:val="26"/>
              <w:pBdr>
                <w:bottom w:val="none" w:color="auto" w:sz="0" w:space="0"/>
              </w:pBdr>
              <w:spacing w:line="280" w:lineRule="exact"/>
              <w:rPr>
                <w:rFonts w:eastAsia="楷体_GB2312"/>
                <w:sz w:val="21"/>
                <w:szCs w:val="24"/>
              </w:rPr>
            </w:pPr>
            <w:r>
              <w:rPr>
                <w:rFonts w:hint="eastAsia" w:eastAsia="楷体_GB2312"/>
                <w:sz w:val="21"/>
                <w:szCs w:val="24"/>
              </w:rPr>
              <w:t>宿州农商银行（大营支行）</w:t>
            </w:r>
          </w:p>
        </w:tc>
        <w:tc>
          <w:tcPr>
            <w:tcW w:w="1841" w:type="dxa"/>
            <w:noWrap w:val="0"/>
            <w:vAlign w:val="center"/>
          </w:tcPr>
          <w:p w14:paraId="6C436F30">
            <w:pPr>
              <w:jc w:val="center"/>
              <w:rPr>
                <w:rFonts w:eastAsia="楷体_GB2312"/>
                <w:szCs w:val="21"/>
              </w:rPr>
            </w:pPr>
            <w:r>
              <w:rPr>
                <w:rFonts w:hint="eastAsia" w:eastAsia="楷体_GB2312"/>
                <w:szCs w:val="21"/>
              </w:rPr>
              <w:t>126</w:t>
            </w:r>
          </w:p>
        </w:tc>
      </w:tr>
      <w:tr w14:paraId="2A90F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1E4A0AD2">
            <w:pPr>
              <w:tabs>
                <w:tab w:val="left" w:pos="0"/>
                <w:tab w:val="left" w:pos="295"/>
              </w:tabs>
              <w:jc w:val="center"/>
              <w:rPr>
                <w:rFonts w:hint="eastAsia" w:eastAsia="楷体_GB2312"/>
                <w:szCs w:val="21"/>
              </w:rPr>
            </w:pPr>
          </w:p>
        </w:tc>
        <w:tc>
          <w:tcPr>
            <w:tcW w:w="1134" w:type="dxa"/>
            <w:vMerge w:val="continue"/>
            <w:noWrap w:val="0"/>
            <w:vAlign w:val="center"/>
          </w:tcPr>
          <w:p w14:paraId="6C44A984">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24E9A093">
            <w:pPr>
              <w:spacing w:line="280" w:lineRule="exact"/>
              <w:jc w:val="center"/>
              <w:rPr>
                <w:rFonts w:eastAsia="楷体_GB2312"/>
              </w:rPr>
            </w:pPr>
            <w:r>
              <w:rPr>
                <w:rFonts w:hint="eastAsia" w:eastAsia="楷体_GB2312"/>
              </w:rPr>
              <w:t>02</w:t>
            </w:r>
          </w:p>
        </w:tc>
        <w:tc>
          <w:tcPr>
            <w:tcW w:w="4536" w:type="dxa"/>
            <w:noWrap w:val="0"/>
            <w:vAlign w:val="center"/>
          </w:tcPr>
          <w:p w14:paraId="58F6F0E2">
            <w:pPr>
              <w:pStyle w:val="26"/>
              <w:pBdr>
                <w:bottom w:val="none" w:color="auto" w:sz="0" w:space="0"/>
              </w:pBdr>
              <w:spacing w:line="280" w:lineRule="exact"/>
              <w:rPr>
                <w:rFonts w:hint="eastAsia" w:eastAsia="楷体_GB2312"/>
                <w:sz w:val="21"/>
                <w:szCs w:val="24"/>
              </w:rPr>
            </w:pPr>
            <w:r>
              <w:rPr>
                <w:rFonts w:hint="eastAsia" w:eastAsia="楷体_GB2312"/>
                <w:sz w:val="21"/>
                <w:szCs w:val="24"/>
              </w:rPr>
              <w:t>中国邮政储蓄银行（大营支局）</w:t>
            </w:r>
          </w:p>
        </w:tc>
        <w:tc>
          <w:tcPr>
            <w:tcW w:w="1841" w:type="dxa"/>
            <w:noWrap w:val="0"/>
            <w:vAlign w:val="center"/>
          </w:tcPr>
          <w:p w14:paraId="225F447C">
            <w:pPr>
              <w:jc w:val="center"/>
              <w:rPr>
                <w:rFonts w:eastAsia="楷体_GB2312"/>
                <w:szCs w:val="21"/>
              </w:rPr>
            </w:pPr>
            <w:r>
              <w:rPr>
                <w:rFonts w:hint="eastAsia" w:eastAsia="楷体_GB2312"/>
                <w:szCs w:val="21"/>
              </w:rPr>
              <w:t>134</w:t>
            </w:r>
          </w:p>
        </w:tc>
      </w:tr>
      <w:tr w14:paraId="1ECF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restart"/>
            <w:noWrap w:val="0"/>
            <w:vAlign w:val="center"/>
          </w:tcPr>
          <w:p w14:paraId="603FCB1D">
            <w:pPr>
              <w:tabs>
                <w:tab w:val="left" w:pos="0"/>
                <w:tab w:val="left" w:pos="295"/>
              </w:tabs>
              <w:jc w:val="center"/>
              <w:rPr>
                <w:rFonts w:eastAsia="楷体_GB2312"/>
                <w:szCs w:val="21"/>
              </w:rPr>
            </w:pPr>
            <w:r>
              <w:rPr>
                <w:rFonts w:hint="eastAsia" w:eastAsia="楷体_GB2312"/>
                <w:szCs w:val="21"/>
              </w:rPr>
              <w:t>13</w:t>
            </w:r>
          </w:p>
        </w:tc>
        <w:tc>
          <w:tcPr>
            <w:tcW w:w="1134" w:type="dxa"/>
            <w:vMerge w:val="restart"/>
            <w:noWrap w:val="0"/>
            <w:vAlign w:val="center"/>
          </w:tcPr>
          <w:p w14:paraId="7E8F5739">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褚兰镇</w:t>
            </w:r>
          </w:p>
        </w:tc>
        <w:tc>
          <w:tcPr>
            <w:tcW w:w="992" w:type="dxa"/>
            <w:noWrap w:val="0"/>
            <w:vAlign w:val="center"/>
          </w:tcPr>
          <w:p w14:paraId="06A3A090">
            <w:pPr>
              <w:spacing w:line="280" w:lineRule="exact"/>
              <w:jc w:val="center"/>
              <w:rPr>
                <w:rFonts w:eastAsia="楷体_GB2312"/>
              </w:rPr>
            </w:pPr>
            <w:r>
              <w:rPr>
                <w:rFonts w:eastAsia="楷体_GB2312"/>
              </w:rPr>
              <w:t>01</w:t>
            </w:r>
          </w:p>
        </w:tc>
        <w:tc>
          <w:tcPr>
            <w:tcW w:w="4536" w:type="dxa"/>
            <w:noWrap w:val="0"/>
            <w:vAlign w:val="center"/>
          </w:tcPr>
          <w:p w14:paraId="0744A55C">
            <w:pPr>
              <w:pStyle w:val="26"/>
              <w:pBdr>
                <w:bottom w:val="none" w:color="auto" w:sz="0" w:space="0"/>
              </w:pBdr>
              <w:spacing w:line="280" w:lineRule="exact"/>
              <w:rPr>
                <w:rFonts w:eastAsia="楷体_GB2312"/>
                <w:sz w:val="21"/>
                <w:szCs w:val="24"/>
              </w:rPr>
            </w:pPr>
            <w:r>
              <w:rPr>
                <w:rFonts w:hint="eastAsia" w:eastAsia="楷体_GB2312"/>
                <w:sz w:val="21"/>
                <w:szCs w:val="24"/>
              </w:rPr>
              <w:t>宿州农商银行（褚兰支行）</w:t>
            </w:r>
          </w:p>
        </w:tc>
        <w:tc>
          <w:tcPr>
            <w:tcW w:w="1841" w:type="dxa"/>
            <w:noWrap w:val="0"/>
            <w:vAlign w:val="center"/>
          </w:tcPr>
          <w:p w14:paraId="0D2416D3">
            <w:pPr>
              <w:jc w:val="center"/>
              <w:rPr>
                <w:rFonts w:eastAsia="楷体_GB2312"/>
                <w:szCs w:val="21"/>
              </w:rPr>
            </w:pPr>
            <w:r>
              <w:rPr>
                <w:rFonts w:hint="eastAsia" w:eastAsia="楷体_GB2312"/>
                <w:szCs w:val="21"/>
              </w:rPr>
              <w:t>121</w:t>
            </w:r>
          </w:p>
        </w:tc>
      </w:tr>
      <w:tr w14:paraId="249D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33D79A1F">
            <w:pPr>
              <w:tabs>
                <w:tab w:val="left" w:pos="0"/>
                <w:tab w:val="left" w:pos="295"/>
              </w:tabs>
              <w:jc w:val="center"/>
              <w:rPr>
                <w:rFonts w:hint="eastAsia" w:eastAsia="楷体_GB2312"/>
                <w:szCs w:val="21"/>
              </w:rPr>
            </w:pPr>
          </w:p>
        </w:tc>
        <w:tc>
          <w:tcPr>
            <w:tcW w:w="1134" w:type="dxa"/>
            <w:vMerge w:val="continue"/>
            <w:noWrap w:val="0"/>
            <w:vAlign w:val="center"/>
          </w:tcPr>
          <w:p w14:paraId="65501D5E">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4AE7F81D">
            <w:pPr>
              <w:spacing w:line="280" w:lineRule="exact"/>
              <w:jc w:val="center"/>
              <w:rPr>
                <w:rFonts w:eastAsia="楷体_GB2312"/>
              </w:rPr>
            </w:pPr>
            <w:r>
              <w:rPr>
                <w:rFonts w:hint="eastAsia" w:eastAsia="楷体_GB2312"/>
              </w:rPr>
              <w:t>02</w:t>
            </w:r>
          </w:p>
        </w:tc>
        <w:tc>
          <w:tcPr>
            <w:tcW w:w="4536" w:type="dxa"/>
            <w:noWrap w:val="0"/>
            <w:vAlign w:val="center"/>
          </w:tcPr>
          <w:p w14:paraId="489163F7">
            <w:pPr>
              <w:pStyle w:val="26"/>
              <w:pBdr>
                <w:bottom w:val="none" w:color="auto" w:sz="0" w:space="0"/>
              </w:pBdr>
              <w:spacing w:line="280" w:lineRule="exact"/>
              <w:rPr>
                <w:rFonts w:hint="eastAsia" w:eastAsia="楷体_GB2312"/>
                <w:sz w:val="21"/>
                <w:szCs w:val="24"/>
              </w:rPr>
            </w:pPr>
            <w:r>
              <w:rPr>
                <w:rFonts w:hint="eastAsia" w:eastAsia="楷体_GB2312"/>
                <w:sz w:val="21"/>
                <w:szCs w:val="24"/>
              </w:rPr>
              <w:t>中国邮政邮政储蓄（褚兰支行店）</w:t>
            </w:r>
          </w:p>
        </w:tc>
        <w:tc>
          <w:tcPr>
            <w:tcW w:w="1841" w:type="dxa"/>
            <w:noWrap w:val="0"/>
            <w:vAlign w:val="center"/>
          </w:tcPr>
          <w:p w14:paraId="131730F4">
            <w:pPr>
              <w:jc w:val="center"/>
              <w:rPr>
                <w:rFonts w:eastAsia="楷体_GB2312"/>
                <w:szCs w:val="21"/>
              </w:rPr>
            </w:pPr>
            <w:r>
              <w:rPr>
                <w:rFonts w:hint="eastAsia" w:eastAsia="楷体_GB2312"/>
                <w:szCs w:val="21"/>
              </w:rPr>
              <w:t>100</w:t>
            </w:r>
          </w:p>
        </w:tc>
      </w:tr>
      <w:tr w14:paraId="7BD25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noWrap w:val="0"/>
            <w:vAlign w:val="center"/>
          </w:tcPr>
          <w:p w14:paraId="22463C69">
            <w:pPr>
              <w:tabs>
                <w:tab w:val="left" w:pos="0"/>
                <w:tab w:val="left" w:pos="295"/>
              </w:tabs>
              <w:jc w:val="center"/>
              <w:rPr>
                <w:rFonts w:eastAsia="楷体_GB2312"/>
                <w:szCs w:val="21"/>
              </w:rPr>
            </w:pPr>
            <w:r>
              <w:rPr>
                <w:rFonts w:hint="eastAsia" w:eastAsia="楷体_GB2312"/>
                <w:szCs w:val="21"/>
              </w:rPr>
              <w:t>14</w:t>
            </w:r>
          </w:p>
        </w:tc>
        <w:tc>
          <w:tcPr>
            <w:tcW w:w="1134" w:type="dxa"/>
            <w:noWrap w:val="0"/>
            <w:vAlign w:val="center"/>
          </w:tcPr>
          <w:p w14:paraId="0057F8F9">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顺河镇</w:t>
            </w:r>
          </w:p>
        </w:tc>
        <w:tc>
          <w:tcPr>
            <w:tcW w:w="992" w:type="dxa"/>
            <w:noWrap w:val="0"/>
            <w:vAlign w:val="center"/>
          </w:tcPr>
          <w:p w14:paraId="2B92B1E8">
            <w:pPr>
              <w:spacing w:line="280" w:lineRule="exact"/>
              <w:jc w:val="center"/>
              <w:rPr>
                <w:rFonts w:eastAsia="楷体_GB2312"/>
              </w:rPr>
            </w:pPr>
            <w:r>
              <w:rPr>
                <w:rFonts w:hint="eastAsia" w:eastAsia="楷体_GB2312"/>
              </w:rPr>
              <w:t>03</w:t>
            </w:r>
          </w:p>
        </w:tc>
        <w:tc>
          <w:tcPr>
            <w:tcW w:w="4536" w:type="dxa"/>
            <w:noWrap w:val="0"/>
            <w:vAlign w:val="center"/>
          </w:tcPr>
          <w:p w14:paraId="56A28F2C">
            <w:pPr>
              <w:pStyle w:val="26"/>
              <w:pBdr>
                <w:bottom w:val="none" w:color="auto" w:sz="0" w:space="0"/>
              </w:pBdr>
              <w:spacing w:line="280" w:lineRule="exact"/>
              <w:rPr>
                <w:rFonts w:eastAsia="楷体_GB2312"/>
                <w:sz w:val="21"/>
                <w:szCs w:val="24"/>
              </w:rPr>
            </w:pPr>
            <w:r>
              <w:rPr>
                <w:rFonts w:hint="eastAsia" w:eastAsia="楷体_GB2312"/>
                <w:sz w:val="21"/>
                <w:szCs w:val="24"/>
              </w:rPr>
              <w:t>宿州农商银行（顺河支行）</w:t>
            </w:r>
          </w:p>
        </w:tc>
        <w:tc>
          <w:tcPr>
            <w:tcW w:w="1841" w:type="dxa"/>
            <w:noWrap w:val="0"/>
            <w:vAlign w:val="center"/>
          </w:tcPr>
          <w:p w14:paraId="596A9970">
            <w:pPr>
              <w:jc w:val="center"/>
              <w:rPr>
                <w:rFonts w:eastAsia="楷体_GB2312"/>
                <w:szCs w:val="21"/>
              </w:rPr>
            </w:pPr>
            <w:r>
              <w:rPr>
                <w:rFonts w:hint="eastAsia" w:eastAsia="楷体_GB2312"/>
                <w:szCs w:val="21"/>
              </w:rPr>
              <w:t>194</w:t>
            </w:r>
          </w:p>
        </w:tc>
      </w:tr>
      <w:tr w14:paraId="2E5BE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restart"/>
            <w:noWrap w:val="0"/>
            <w:vAlign w:val="center"/>
          </w:tcPr>
          <w:p w14:paraId="36D35017">
            <w:pPr>
              <w:tabs>
                <w:tab w:val="left" w:pos="0"/>
                <w:tab w:val="left" w:pos="295"/>
              </w:tabs>
              <w:jc w:val="center"/>
              <w:rPr>
                <w:rFonts w:eastAsia="楷体_GB2312"/>
                <w:szCs w:val="21"/>
              </w:rPr>
            </w:pPr>
            <w:r>
              <w:rPr>
                <w:rFonts w:hint="eastAsia" w:eastAsia="楷体_GB2312"/>
                <w:szCs w:val="21"/>
              </w:rPr>
              <w:t>15</w:t>
            </w:r>
          </w:p>
        </w:tc>
        <w:tc>
          <w:tcPr>
            <w:tcW w:w="1134" w:type="dxa"/>
            <w:vMerge w:val="restart"/>
            <w:noWrap w:val="0"/>
            <w:vAlign w:val="center"/>
          </w:tcPr>
          <w:p w14:paraId="1EC4E3F6">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杨庄镇</w:t>
            </w:r>
          </w:p>
        </w:tc>
        <w:tc>
          <w:tcPr>
            <w:tcW w:w="992" w:type="dxa"/>
            <w:noWrap w:val="0"/>
            <w:vAlign w:val="center"/>
          </w:tcPr>
          <w:p w14:paraId="725C6AF7">
            <w:pPr>
              <w:spacing w:line="280" w:lineRule="exact"/>
              <w:jc w:val="center"/>
              <w:rPr>
                <w:rFonts w:eastAsia="楷体_GB2312"/>
              </w:rPr>
            </w:pPr>
            <w:r>
              <w:rPr>
                <w:rFonts w:eastAsia="楷体_GB2312"/>
              </w:rPr>
              <w:t>01</w:t>
            </w:r>
          </w:p>
        </w:tc>
        <w:tc>
          <w:tcPr>
            <w:tcW w:w="4536" w:type="dxa"/>
            <w:noWrap w:val="0"/>
            <w:vAlign w:val="center"/>
          </w:tcPr>
          <w:p w14:paraId="061202DF">
            <w:pPr>
              <w:pStyle w:val="26"/>
              <w:pBdr>
                <w:bottom w:val="none" w:color="auto" w:sz="0" w:space="0"/>
              </w:pBdr>
              <w:spacing w:line="280" w:lineRule="exact"/>
              <w:rPr>
                <w:rFonts w:eastAsia="楷体_GB2312"/>
                <w:sz w:val="21"/>
                <w:szCs w:val="24"/>
              </w:rPr>
            </w:pPr>
            <w:r>
              <w:rPr>
                <w:rFonts w:hint="eastAsia" w:eastAsia="楷体_GB2312"/>
                <w:sz w:val="21"/>
                <w:szCs w:val="24"/>
              </w:rPr>
              <w:t>中国邮政储蓄银行（杨庄镇支行）</w:t>
            </w:r>
          </w:p>
        </w:tc>
        <w:tc>
          <w:tcPr>
            <w:tcW w:w="1841" w:type="dxa"/>
            <w:noWrap w:val="0"/>
            <w:vAlign w:val="center"/>
          </w:tcPr>
          <w:p w14:paraId="0F84D700">
            <w:pPr>
              <w:jc w:val="center"/>
              <w:rPr>
                <w:rFonts w:eastAsia="楷体_GB2312"/>
                <w:szCs w:val="21"/>
              </w:rPr>
            </w:pPr>
            <w:r>
              <w:rPr>
                <w:rFonts w:hint="eastAsia" w:eastAsia="楷体_GB2312"/>
                <w:szCs w:val="21"/>
              </w:rPr>
              <w:t>98</w:t>
            </w:r>
          </w:p>
        </w:tc>
      </w:tr>
      <w:tr w14:paraId="06962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017BF256">
            <w:pPr>
              <w:tabs>
                <w:tab w:val="left" w:pos="0"/>
                <w:tab w:val="left" w:pos="295"/>
              </w:tabs>
              <w:jc w:val="center"/>
              <w:rPr>
                <w:rFonts w:hint="eastAsia" w:eastAsia="楷体_GB2312"/>
                <w:szCs w:val="21"/>
              </w:rPr>
            </w:pPr>
          </w:p>
        </w:tc>
        <w:tc>
          <w:tcPr>
            <w:tcW w:w="1134" w:type="dxa"/>
            <w:vMerge w:val="continue"/>
            <w:noWrap w:val="0"/>
            <w:vAlign w:val="center"/>
          </w:tcPr>
          <w:p w14:paraId="12D03877">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1A5E905D">
            <w:pPr>
              <w:spacing w:line="280" w:lineRule="exact"/>
              <w:jc w:val="center"/>
              <w:rPr>
                <w:rFonts w:eastAsia="楷体_GB2312"/>
              </w:rPr>
            </w:pPr>
            <w:r>
              <w:rPr>
                <w:rFonts w:hint="eastAsia" w:eastAsia="楷体_GB2312"/>
              </w:rPr>
              <w:t>02</w:t>
            </w:r>
          </w:p>
        </w:tc>
        <w:tc>
          <w:tcPr>
            <w:tcW w:w="4536" w:type="dxa"/>
            <w:noWrap w:val="0"/>
            <w:vAlign w:val="center"/>
          </w:tcPr>
          <w:p w14:paraId="2C8F5D07">
            <w:pPr>
              <w:pStyle w:val="26"/>
              <w:pBdr>
                <w:bottom w:val="none" w:color="auto" w:sz="0" w:space="0"/>
              </w:pBdr>
              <w:spacing w:line="280" w:lineRule="exact"/>
              <w:rPr>
                <w:rFonts w:hint="eastAsia" w:eastAsia="楷体_GB2312"/>
                <w:sz w:val="21"/>
                <w:szCs w:val="24"/>
              </w:rPr>
            </w:pPr>
            <w:r>
              <w:rPr>
                <w:rFonts w:hint="eastAsia" w:eastAsia="楷体_GB2312"/>
                <w:sz w:val="21"/>
                <w:szCs w:val="24"/>
              </w:rPr>
              <w:t>宿州农商银行（杨庄支行）</w:t>
            </w:r>
          </w:p>
        </w:tc>
        <w:tc>
          <w:tcPr>
            <w:tcW w:w="1841" w:type="dxa"/>
            <w:noWrap w:val="0"/>
            <w:vAlign w:val="center"/>
          </w:tcPr>
          <w:p w14:paraId="51D91A06">
            <w:pPr>
              <w:jc w:val="center"/>
              <w:rPr>
                <w:rFonts w:eastAsia="楷体_GB2312"/>
                <w:szCs w:val="21"/>
              </w:rPr>
            </w:pPr>
            <w:r>
              <w:rPr>
                <w:rFonts w:hint="eastAsia" w:eastAsia="楷体_GB2312"/>
                <w:szCs w:val="21"/>
              </w:rPr>
              <w:t>75</w:t>
            </w:r>
          </w:p>
        </w:tc>
      </w:tr>
      <w:tr w14:paraId="3D1F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noWrap w:val="0"/>
            <w:vAlign w:val="center"/>
          </w:tcPr>
          <w:p w14:paraId="441C3069">
            <w:pPr>
              <w:tabs>
                <w:tab w:val="left" w:pos="0"/>
                <w:tab w:val="left" w:pos="295"/>
              </w:tabs>
              <w:jc w:val="center"/>
              <w:rPr>
                <w:rFonts w:eastAsia="楷体_GB2312"/>
                <w:szCs w:val="21"/>
              </w:rPr>
            </w:pPr>
            <w:r>
              <w:rPr>
                <w:rFonts w:hint="eastAsia" w:eastAsia="楷体_GB2312"/>
                <w:szCs w:val="21"/>
              </w:rPr>
              <w:t>16</w:t>
            </w:r>
          </w:p>
        </w:tc>
        <w:tc>
          <w:tcPr>
            <w:tcW w:w="1134" w:type="dxa"/>
            <w:noWrap w:val="0"/>
            <w:vAlign w:val="center"/>
          </w:tcPr>
          <w:p w14:paraId="332F755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永镇乡</w:t>
            </w:r>
          </w:p>
        </w:tc>
        <w:tc>
          <w:tcPr>
            <w:tcW w:w="992" w:type="dxa"/>
            <w:noWrap w:val="0"/>
            <w:vAlign w:val="center"/>
          </w:tcPr>
          <w:p w14:paraId="7219A856">
            <w:pPr>
              <w:spacing w:line="280" w:lineRule="exact"/>
              <w:jc w:val="center"/>
              <w:rPr>
                <w:rFonts w:eastAsia="楷体_GB2312"/>
              </w:rPr>
            </w:pPr>
            <w:r>
              <w:rPr>
                <w:rFonts w:eastAsia="楷体_GB2312"/>
              </w:rPr>
              <w:t>01</w:t>
            </w:r>
          </w:p>
        </w:tc>
        <w:tc>
          <w:tcPr>
            <w:tcW w:w="4536" w:type="dxa"/>
            <w:noWrap w:val="0"/>
            <w:vAlign w:val="center"/>
          </w:tcPr>
          <w:p w14:paraId="1EB0EDB0">
            <w:pPr>
              <w:pStyle w:val="26"/>
              <w:pBdr>
                <w:bottom w:val="none" w:color="auto" w:sz="0" w:space="0"/>
              </w:pBdr>
              <w:spacing w:line="280" w:lineRule="exact"/>
              <w:rPr>
                <w:rFonts w:eastAsia="楷体_GB2312"/>
                <w:sz w:val="21"/>
                <w:szCs w:val="24"/>
              </w:rPr>
            </w:pPr>
            <w:r>
              <w:rPr>
                <w:rFonts w:hint="eastAsia" w:eastAsia="楷体_GB2312"/>
                <w:sz w:val="21"/>
                <w:szCs w:val="24"/>
              </w:rPr>
              <w:t>宿州农商银行（永镇支行）</w:t>
            </w:r>
          </w:p>
        </w:tc>
        <w:tc>
          <w:tcPr>
            <w:tcW w:w="1841" w:type="dxa"/>
            <w:noWrap w:val="0"/>
            <w:vAlign w:val="center"/>
          </w:tcPr>
          <w:p w14:paraId="07049014">
            <w:pPr>
              <w:jc w:val="center"/>
              <w:rPr>
                <w:rFonts w:eastAsia="楷体_GB2312"/>
                <w:szCs w:val="21"/>
              </w:rPr>
            </w:pPr>
            <w:r>
              <w:rPr>
                <w:rFonts w:hint="eastAsia" w:eastAsia="楷体_GB2312"/>
                <w:szCs w:val="21"/>
              </w:rPr>
              <w:t>156</w:t>
            </w:r>
          </w:p>
        </w:tc>
      </w:tr>
      <w:tr w14:paraId="3F99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restart"/>
            <w:noWrap w:val="0"/>
            <w:vAlign w:val="center"/>
          </w:tcPr>
          <w:p w14:paraId="6EA4407D">
            <w:pPr>
              <w:tabs>
                <w:tab w:val="left" w:pos="0"/>
                <w:tab w:val="left" w:pos="295"/>
              </w:tabs>
              <w:jc w:val="center"/>
              <w:rPr>
                <w:rFonts w:eastAsia="楷体_GB2312"/>
                <w:szCs w:val="21"/>
              </w:rPr>
            </w:pPr>
            <w:r>
              <w:rPr>
                <w:rFonts w:hint="eastAsia" w:eastAsia="楷体_GB2312"/>
                <w:szCs w:val="21"/>
              </w:rPr>
              <w:t>17</w:t>
            </w:r>
          </w:p>
        </w:tc>
        <w:tc>
          <w:tcPr>
            <w:tcW w:w="1134" w:type="dxa"/>
            <w:vMerge w:val="restart"/>
            <w:noWrap w:val="0"/>
            <w:vAlign w:val="center"/>
          </w:tcPr>
          <w:p w14:paraId="32DAFD2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解集镇</w:t>
            </w:r>
          </w:p>
        </w:tc>
        <w:tc>
          <w:tcPr>
            <w:tcW w:w="992" w:type="dxa"/>
            <w:noWrap w:val="0"/>
            <w:vAlign w:val="center"/>
          </w:tcPr>
          <w:p w14:paraId="40B18B83">
            <w:pPr>
              <w:spacing w:line="280" w:lineRule="exact"/>
              <w:jc w:val="center"/>
              <w:rPr>
                <w:rFonts w:eastAsia="楷体_GB2312"/>
              </w:rPr>
            </w:pPr>
            <w:r>
              <w:rPr>
                <w:rFonts w:eastAsia="楷体_GB2312"/>
              </w:rPr>
              <w:t>01</w:t>
            </w:r>
          </w:p>
        </w:tc>
        <w:tc>
          <w:tcPr>
            <w:tcW w:w="4536" w:type="dxa"/>
            <w:noWrap w:val="0"/>
            <w:vAlign w:val="center"/>
          </w:tcPr>
          <w:p w14:paraId="09320B41">
            <w:pPr>
              <w:pStyle w:val="26"/>
              <w:pBdr>
                <w:bottom w:val="none" w:color="auto" w:sz="0" w:space="0"/>
              </w:pBdr>
              <w:spacing w:line="280" w:lineRule="exact"/>
              <w:rPr>
                <w:rFonts w:eastAsia="楷体_GB2312"/>
                <w:sz w:val="21"/>
                <w:szCs w:val="24"/>
              </w:rPr>
            </w:pPr>
            <w:r>
              <w:rPr>
                <w:rFonts w:hint="eastAsia" w:eastAsia="楷体_GB2312"/>
                <w:sz w:val="21"/>
                <w:szCs w:val="24"/>
              </w:rPr>
              <w:t>宿州农商银行（解集支行）</w:t>
            </w:r>
          </w:p>
        </w:tc>
        <w:tc>
          <w:tcPr>
            <w:tcW w:w="1841" w:type="dxa"/>
            <w:noWrap w:val="0"/>
            <w:vAlign w:val="center"/>
          </w:tcPr>
          <w:p w14:paraId="14291027">
            <w:pPr>
              <w:jc w:val="center"/>
              <w:rPr>
                <w:rFonts w:eastAsia="楷体_GB2312"/>
                <w:szCs w:val="21"/>
              </w:rPr>
            </w:pPr>
            <w:r>
              <w:rPr>
                <w:rFonts w:hint="eastAsia" w:eastAsia="楷体_GB2312"/>
                <w:szCs w:val="21"/>
              </w:rPr>
              <w:t>120</w:t>
            </w:r>
          </w:p>
        </w:tc>
      </w:tr>
      <w:tr w14:paraId="57736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3F844B97">
            <w:pPr>
              <w:tabs>
                <w:tab w:val="left" w:pos="0"/>
                <w:tab w:val="left" w:pos="295"/>
              </w:tabs>
              <w:jc w:val="center"/>
              <w:rPr>
                <w:rFonts w:hint="eastAsia" w:eastAsia="楷体_GB2312"/>
                <w:szCs w:val="21"/>
              </w:rPr>
            </w:pPr>
          </w:p>
        </w:tc>
        <w:tc>
          <w:tcPr>
            <w:tcW w:w="1134" w:type="dxa"/>
            <w:vMerge w:val="continue"/>
            <w:noWrap w:val="0"/>
            <w:vAlign w:val="center"/>
          </w:tcPr>
          <w:p w14:paraId="7484C14D">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2309BB29">
            <w:pPr>
              <w:spacing w:line="280" w:lineRule="exact"/>
              <w:jc w:val="center"/>
              <w:rPr>
                <w:rFonts w:eastAsia="楷体_GB2312"/>
              </w:rPr>
            </w:pPr>
            <w:r>
              <w:rPr>
                <w:rFonts w:hint="eastAsia" w:eastAsia="楷体_GB2312"/>
              </w:rPr>
              <w:t>02</w:t>
            </w:r>
          </w:p>
        </w:tc>
        <w:tc>
          <w:tcPr>
            <w:tcW w:w="4536" w:type="dxa"/>
            <w:noWrap w:val="0"/>
            <w:vAlign w:val="center"/>
          </w:tcPr>
          <w:p w14:paraId="2E2A3E0E">
            <w:pPr>
              <w:pStyle w:val="26"/>
              <w:pBdr>
                <w:bottom w:val="none" w:color="auto" w:sz="0" w:space="0"/>
              </w:pBdr>
              <w:spacing w:line="280" w:lineRule="exact"/>
              <w:rPr>
                <w:rFonts w:hint="eastAsia" w:eastAsia="楷体_GB2312"/>
                <w:sz w:val="21"/>
                <w:szCs w:val="24"/>
              </w:rPr>
            </w:pPr>
            <w:r>
              <w:rPr>
                <w:rFonts w:hint="eastAsia" w:eastAsia="楷体_GB2312"/>
                <w:sz w:val="21"/>
                <w:szCs w:val="24"/>
              </w:rPr>
              <w:t>中国邮政储蓄银行（解集镇营业所）</w:t>
            </w:r>
          </w:p>
        </w:tc>
        <w:tc>
          <w:tcPr>
            <w:tcW w:w="1841" w:type="dxa"/>
            <w:noWrap w:val="0"/>
            <w:vAlign w:val="center"/>
          </w:tcPr>
          <w:p w14:paraId="09A10B65">
            <w:pPr>
              <w:jc w:val="center"/>
              <w:rPr>
                <w:rFonts w:eastAsia="楷体_GB2312"/>
                <w:szCs w:val="21"/>
              </w:rPr>
            </w:pPr>
            <w:r>
              <w:rPr>
                <w:rFonts w:hint="eastAsia" w:eastAsia="楷体_GB2312"/>
                <w:szCs w:val="21"/>
              </w:rPr>
              <w:t>184</w:t>
            </w:r>
          </w:p>
        </w:tc>
      </w:tr>
      <w:tr w14:paraId="7ECF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restart"/>
            <w:noWrap w:val="0"/>
            <w:vAlign w:val="center"/>
          </w:tcPr>
          <w:p w14:paraId="2EFAD08C">
            <w:pPr>
              <w:tabs>
                <w:tab w:val="left" w:pos="0"/>
                <w:tab w:val="left" w:pos="295"/>
              </w:tabs>
              <w:jc w:val="center"/>
              <w:rPr>
                <w:rFonts w:eastAsia="楷体_GB2312"/>
                <w:szCs w:val="21"/>
              </w:rPr>
            </w:pPr>
            <w:r>
              <w:rPr>
                <w:rFonts w:hint="eastAsia" w:eastAsia="楷体_GB2312"/>
                <w:szCs w:val="21"/>
              </w:rPr>
              <w:t>18</w:t>
            </w:r>
          </w:p>
        </w:tc>
        <w:tc>
          <w:tcPr>
            <w:tcW w:w="1134" w:type="dxa"/>
            <w:vMerge w:val="restart"/>
            <w:noWrap w:val="0"/>
            <w:vAlign w:val="center"/>
          </w:tcPr>
          <w:p w14:paraId="1B7909F3">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大泽乡镇</w:t>
            </w:r>
          </w:p>
        </w:tc>
        <w:tc>
          <w:tcPr>
            <w:tcW w:w="992" w:type="dxa"/>
            <w:noWrap w:val="0"/>
            <w:vAlign w:val="center"/>
          </w:tcPr>
          <w:p w14:paraId="51A7A7AE">
            <w:pPr>
              <w:spacing w:line="280" w:lineRule="exact"/>
              <w:jc w:val="center"/>
              <w:rPr>
                <w:rFonts w:eastAsia="楷体_GB2312"/>
              </w:rPr>
            </w:pPr>
            <w:r>
              <w:rPr>
                <w:rFonts w:eastAsia="楷体_GB2312"/>
              </w:rPr>
              <w:t>01</w:t>
            </w:r>
          </w:p>
        </w:tc>
        <w:tc>
          <w:tcPr>
            <w:tcW w:w="4536" w:type="dxa"/>
            <w:noWrap w:val="0"/>
            <w:vAlign w:val="center"/>
          </w:tcPr>
          <w:p w14:paraId="2E5147CE">
            <w:pPr>
              <w:pStyle w:val="26"/>
              <w:pBdr>
                <w:bottom w:val="none" w:color="auto" w:sz="0" w:space="0"/>
              </w:pBdr>
              <w:spacing w:line="280" w:lineRule="exact"/>
              <w:rPr>
                <w:rFonts w:eastAsia="楷体_GB2312"/>
                <w:sz w:val="21"/>
                <w:szCs w:val="24"/>
              </w:rPr>
            </w:pPr>
            <w:r>
              <w:rPr>
                <w:rFonts w:hint="eastAsia" w:eastAsia="楷体_GB2312"/>
                <w:sz w:val="21"/>
                <w:szCs w:val="24"/>
              </w:rPr>
              <w:t>中国邮政储蓄银行（西寺坡支局店）</w:t>
            </w:r>
          </w:p>
        </w:tc>
        <w:tc>
          <w:tcPr>
            <w:tcW w:w="1841" w:type="dxa"/>
            <w:noWrap w:val="0"/>
            <w:vAlign w:val="center"/>
          </w:tcPr>
          <w:p w14:paraId="7A2F7B6E">
            <w:pPr>
              <w:jc w:val="center"/>
              <w:rPr>
                <w:rFonts w:eastAsia="楷体_GB2312"/>
                <w:szCs w:val="21"/>
              </w:rPr>
            </w:pPr>
            <w:r>
              <w:rPr>
                <w:rFonts w:hint="eastAsia" w:eastAsia="楷体_GB2312"/>
                <w:szCs w:val="21"/>
              </w:rPr>
              <w:t>154</w:t>
            </w:r>
          </w:p>
        </w:tc>
      </w:tr>
      <w:tr w14:paraId="0357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60F1B4E6">
            <w:pPr>
              <w:tabs>
                <w:tab w:val="left" w:pos="0"/>
                <w:tab w:val="left" w:pos="295"/>
              </w:tabs>
              <w:jc w:val="center"/>
              <w:rPr>
                <w:rFonts w:hint="eastAsia" w:eastAsia="楷体_GB2312"/>
                <w:szCs w:val="21"/>
              </w:rPr>
            </w:pPr>
          </w:p>
        </w:tc>
        <w:tc>
          <w:tcPr>
            <w:tcW w:w="1134" w:type="dxa"/>
            <w:vMerge w:val="continue"/>
            <w:noWrap w:val="0"/>
            <w:vAlign w:val="center"/>
          </w:tcPr>
          <w:p w14:paraId="1FDA8135">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4CE7B149">
            <w:pPr>
              <w:spacing w:line="280" w:lineRule="exact"/>
              <w:jc w:val="center"/>
              <w:rPr>
                <w:rFonts w:eastAsia="楷体_GB2312"/>
              </w:rPr>
            </w:pPr>
            <w:r>
              <w:rPr>
                <w:rFonts w:hint="eastAsia" w:eastAsia="楷体_GB2312"/>
              </w:rPr>
              <w:t>02</w:t>
            </w:r>
          </w:p>
        </w:tc>
        <w:tc>
          <w:tcPr>
            <w:tcW w:w="4536" w:type="dxa"/>
            <w:noWrap w:val="0"/>
            <w:vAlign w:val="center"/>
          </w:tcPr>
          <w:p w14:paraId="3E34835D">
            <w:pPr>
              <w:pStyle w:val="26"/>
              <w:pBdr>
                <w:bottom w:val="none" w:color="auto" w:sz="0" w:space="0"/>
              </w:pBdr>
              <w:spacing w:line="280" w:lineRule="exact"/>
              <w:rPr>
                <w:rFonts w:hint="eastAsia" w:eastAsia="楷体_GB2312"/>
                <w:sz w:val="21"/>
                <w:szCs w:val="24"/>
              </w:rPr>
            </w:pPr>
            <w:r>
              <w:rPr>
                <w:rFonts w:hint="eastAsia" w:eastAsia="楷体_GB2312"/>
                <w:sz w:val="21"/>
                <w:szCs w:val="24"/>
              </w:rPr>
              <w:t>宿州农商银行（西寺坡支行）</w:t>
            </w:r>
          </w:p>
        </w:tc>
        <w:tc>
          <w:tcPr>
            <w:tcW w:w="1841" w:type="dxa"/>
            <w:noWrap w:val="0"/>
            <w:vAlign w:val="center"/>
          </w:tcPr>
          <w:p w14:paraId="17A7F892">
            <w:pPr>
              <w:jc w:val="center"/>
              <w:rPr>
                <w:rFonts w:eastAsia="楷体_GB2312"/>
                <w:szCs w:val="21"/>
              </w:rPr>
            </w:pPr>
            <w:r>
              <w:rPr>
                <w:rFonts w:hint="eastAsia" w:eastAsia="楷体_GB2312"/>
                <w:szCs w:val="21"/>
              </w:rPr>
              <w:t>177</w:t>
            </w:r>
          </w:p>
        </w:tc>
      </w:tr>
      <w:tr w14:paraId="22EF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restart"/>
            <w:noWrap w:val="0"/>
            <w:vAlign w:val="center"/>
          </w:tcPr>
          <w:p w14:paraId="4F952C4D">
            <w:pPr>
              <w:tabs>
                <w:tab w:val="left" w:pos="0"/>
                <w:tab w:val="left" w:pos="295"/>
              </w:tabs>
              <w:jc w:val="center"/>
              <w:rPr>
                <w:rFonts w:eastAsia="楷体_GB2312"/>
                <w:szCs w:val="21"/>
              </w:rPr>
            </w:pPr>
            <w:r>
              <w:rPr>
                <w:rFonts w:hint="eastAsia" w:eastAsia="楷体_GB2312"/>
                <w:szCs w:val="21"/>
              </w:rPr>
              <w:t>19</w:t>
            </w:r>
          </w:p>
        </w:tc>
        <w:tc>
          <w:tcPr>
            <w:tcW w:w="1134" w:type="dxa"/>
            <w:vMerge w:val="restart"/>
            <w:noWrap w:val="0"/>
            <w:vAlign w:val="center"/>
          </w:tcPr>
          <w:p w14:paraId="09155034">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永安镇</w:t>
            </w:r>
          </w:p>
        </w:tc>
        <w:tc>
          <w:tcPr>
            <w:tcW w:w="992" w:type="dxa"/>
            <w:noWrap w:val="0"/>
            <w:vAlign w:val="center"/>
          </w:tcPr>
          <w:p w14:paraId="624EE90C">
            <w:pPr>
              <w:spacing w:line="280" w:lineRule="exact"/>
              <w:jc w:val="center"/>
              <w:rPr>
                <w:rFonts w:eastAsia="楷体_GB2312"/>
              </w:rPr>
            </w:pPr>
            <w:r>
              <w:rPr>
                <w:rFonts w:eastAsia="楷体_GB2312"/>
              </w:rPr>
              <w:t>01</w:t>
            </w:r>
          </w:p>
        </w:tc>
        <w:tc>
          <w:tcPr>
            <w:tcW w:w="4536" w:type="dxa"/>
            <w:noWrap w:val="0"/>
            <w:vAlign w:val="center"/>
          </w:tcPr>
          <w:p w14:paraId="1B862AF5">
            <w:pPr>
              <w:pStyle w:val="26"/>
              <w:pBdr>
                <w:bottom w:val="none" w:color="auto" w:sz="0" w:space="0"/>
              </w:pBdr>
              <w:spacing w:line="280" w:lineRule="exact"/>
              <w:rPr>
                <w:rFonts w:eastAsia="楷体_GB2312"/>
                <w:sz w:val="21"/>
                <w:szCs w:val="24"/>
              </w:rPr>
            </w:pPr>
            <w:r>
              <w:rPr>
                <w:rFonts w:hint="eastAsia" w:eastAsia="楷体_GB2312"/>
                <w:sz w:val="21"/>
                <w:szCs w:val="24"/>
              </w:rPr>
              <w:t>宿州农商银行（永安支行）</w:t>
            </w:r>
          </w:p>
        </w:tc>
        <w:tc>
          <w:tcPr>
            <w:tcW w:w="1841" w:type="dxa"/>
            <w:noWrap w:val="0"/>
            <w:vAlign w:val="center"/>
          </w:tcPr>
          <w:p w14:paraId="389E695E">
            <w:pPr>
              <w:jc w:val="center"/>
              <w:rPr>
                <w:rFonts w:eastAsia="楷体_GB2312"/>
                <w:szCs w:val="21"/>
              </w:rPr>
            </w:pPr>
            <w:r>
              <w:rPr>
                <w:rFonts w:hint="eastAsia" w:eastAsia="楷体_GB2312"/>
                <w:szCs w:val="21"/>
              </w:rPr>
              <w:t>128</w:t>
            </w:r>
          </w:p>
        </w:tc>
      </w:tr>
      <w:tr w14:paraId="679F6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7023F4C9">
            <w:pPr>
              <w:tabs>
                <w:tab w:val="left" w:pos="0"/>
                <w:tab w:val="left" w:pos="295"/>
              </w:tabs>
              <w:jc w:val="center"/>
              <w:rPr>
                <w:rFonts w:hint="eastAsia" w:eastAsia="楷体_GB2312"/>
                <w:szCs w:val="21"/>
              </w:rPr>
            </w:pPr>
          </w:p>
        </w:tc>
        <w:tc>
          <w:tcPr>
            <w:tcW w:w="1134" w:type="dxa"/>
            <w:vMerge w:val="continue"/>
            <w:noWrap w:val="0"/>
            <w:vAlign w:val="center"/>
          </w:tcPr>
          <w:p w14:paraId="385E9397">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30F8D27D">
            <w:pPr>
              <w:spacing w:line="280" w:lineRule="exact"/>
              <w:jc w:val="center"/>
              <w:rPr>
                <w:rFonts w:eastAsia="楷体_GB2312"/>
              </w:rPr>
            </w:pPr>
            <w:r>
              <w:rPr>
                <w:rFonts w:hint="eastAsia" w:eastAsia="楷体_GB2312"/>
              </w:rPr>
              <w:t>02</w:t>
            </w:r>
          </w:p>
        </w:tc>
        <w:tc>
          <w:tcPr>
            <w:tcW w:w="4536" w:type="dxa"/>
            <w:noWrap w:val="0"/>
            <w:vAlign w:val="center"/>
          </w:tcPr>
          <w:p w14:paraId="7E0F2FC5">
            <w:pPr>
              <w:pStyle w:val="26"/>
              <w:pBdr>
                <w:bottom w:val="none" w:color="auto" w:sz="0" w:space="0"/>
              </w:pBdr>
              <w:spacing w:line="280" w:lineRule="exact"/>
              <w:rPr>
                <w:rFonts w:hint="eastAsia" w:eastAsia="楷体_GB2312"/>
                <w:sz w:val="21"/>
                <w:szCs w:val="24"/>
              </w:rPr>
            </w:pPr>
            <w:r>
              <w:rPr>
                <w:rFonts w:hint="eastAsia" w:eastAsia="楷体_GB2312"/>
                <w:sz w:val="21"/>
                <w:szCs w:val="24"/>
              </w:rPr>
              <w:t>中国农业银行（永安营业所）</w:t>
            </w:r>
          </w:p>
        </w:tc>
        <w:tc>
          <w:tcPr>
            <w:tcW w:w="1841" w:type="dxa"/>
            <w:noWrap w:val="0"/>
            <w:vAlign w:val="center"/>
          </w:tcPr>
          <w:p w14:paraId="6347667E">
            <w:pPr>
              <w:jc w:val="center"/>
              <w:rPr>
                <w:rFonts w:eastAsia="楷体_GB2312"/>
                <w:szCs w:val="21"/>
              </w:rPr>
            </w:pPr>
            <w:r>
              <w:rPr>
                <w:rFonts w:hint="eastAsia" w:eastAsia="楷体_GB2312"/>
                <w:szCs w:val="21"/>
              </w:rPr>
              <w:t>104</w:t>
            </w:r>
          </w:p>
        </w:tc>
      </w:tr>
      <w:tr w14:paraId="5544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vMerge w:val="continue"/>
            <w:noWrap w:val="0"/>
            <w:vAlign w:val="center"/>
          </w:tcPr>
          <w:p w14:paraId="2A7D0757">
            <w:pPr>
              <w:tabs>
                <w:tab w:val="left" w:pos="0"/>
                <w:tab w:val="left" w:pos="295"/>
              </w:tabs>
              <w:jc w:val="center"/>
              <w:rPr>
                <w:rFonts w:hint="eastAsia" w:eastAsia="楷体_GB2312"/>
                <w:szCs w:val="21"/>
              </w:rPr>
            </w:pPr>
          </w:p>
        </w:tc>
        <w:tc>
          <w:tcPr>
            <w:tcW w:w="1134" w:type="dxa"/>
            <w:vMerge w:val="continue"/>
            <w:noWrap w:val="0"/>
            <w:vAlign w:val="center"/>
          </w:tcPr>
          <w:p w14:paraId="6B4BF0AB">
            <w:pPr>
              <w:pStyle w:val="20"/>
              <w:tabs>
                <w:tab w:val="left" w:pos="0"/>
                <w:tab w:val="left" w:pos="295"/>
              </w:tabs>
              <w:jc w:val="center"/>
              <w:rPr>
                <w:rFonts w:ascii="Times New Roman" w:hAnsi="Times New Roman" w:eastAsia="楷体_GB2312" w:cs="Times New Roman"/>
              </w:rPr>
            </w:pPr>
          </w:p>
        </w:tc>
        <w:tc>
          <w:tcPr>
            <w:tcW w:w="992" w:type="dxa"/>
            <w:noWrap w:val="0"/>
            <w:vAlign w:val="center"/>
          </w:tcPr>
          <w:p w14:paraId="1E50F737">
            <w:pPr>
              <w:spacing w:line="280" w:lineRule="exact"/>
              <w:jc w:val="center"/>
              <w:rPr>
                <w:rFonts w:eastAsia="楷体_GB2312"/>
              </w:rPr>
            </w:pPr>
            <w:r>
              <w:rPr>
                <w:rFonts w:hint="eastAsia" w:eastAsia="楷体_GB2312"/>
              </w:rPr>
              <w:t>03</w:t>
            </w:r>
          </w:p>
        </w:tc>
        <w:tc>
          <w:tcPr>
            <w:tcW w:w="4536" w:type="dxa"/>
            <w:noWrap w:val="0"/>
            <w:vAlign w:val="center"/>
          </w:tcPr>
          <w:p w14:paraId="5A214BE6">
            <w:pPr>
              <w:pStyle w:val="26"/>
              <w:pBdr>
                <w:bottom w:val="none" w:color="auto" w:sz="0" w:space="0"/>
              </w:pBdr>
              <w:spacing w:line="280" w:lineRule="exact"/>
              <w:rPr>
                <w:rFonts w:hint="eastAsia" w:eastAsia="楷体_GB2312"/>
                <w:sz w:val="21"/>
                <w:szCs w:val="24"/>
              </w:rPr>
            </w:pPr>
            <w:r>
              <w:rPr>
                <w:rFonts w:hint="eastAsia" w:eastAsia="楷体_GB2312"/>
                <w:sz w:val="21"/>
                <w:szCs w:val="24"/>
              </w:rPr>
              <w:t>中国邮政储蓄银行（永安镇营业所）</w:t>
            </w:r>
          </w:p>
        </w:tc>
        <w:tc>
          <w:tcPr>
            <w:tcW w:w="1841" w:type="dxa"/>
            <w:noWrap w:val="0"/>
            <w:vAlign w:val="center"/>
          </w:tcPr>
          <w:p w14:paraId="077438E8">
            <w:pPr>
              <w:jc w:val="center"/>
              <w:rPr>
                <w:rFonts w:eastAsia="楷体_GB2312"/>
                <w:szCs w:val="21"/>
              </w:rPr>
            </w:pPr>
            <w:r>
              <w:rPr>
                <w:rFonts w:hint="eastAsia" w:eastAsia="楷体_GB2312"/>
                <w:szCs w:val="21"/>
              </w:rPr>
              <w:t>113</w:t>
            </w:r>
          </w:p>
        </w:tc>
      </w:tr>
      <w:tr w14:paraId="13744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noWrap w:val="0"/>
            <w:vAlign w:val="center"/>
          </w:tcPr>
          <w:p w14:paraId="2226231C">
            <w:pPr>
              <w:tabs>
                <w:tab w:val="left" w:pos="0"/>
                <w:tab w:val="left" w:pos="295"/>
              </w:tabs>
              <w:jc w:val="center"/>
              <w:rPr>
                <w:rFonts w:eastAsia="楷体_GB2312"/>
                <w:szCs w:val="21"/>
              </w:rPr>
            </w:pPr>
            <w:r>
              <w:rPr>
                <w:rFonts w:hint="eastAsia" w:eastAsia="楷体_GB2312"/>
                <w:szCs w:val="21"/>
              </w:rPr>
              <w:t>20</w:t>
            </w:r>
          </w:p>
        </w:tc>
        <w:tc>
          <w:tcPr>
            <w:tcW w:w="1134" w:type="dxa"/>
            <w:noWrap w:val="0"/>
            <w:vAlign w:val="center"/>
          </w:tcPr>
          <w:p w14:paraId="591E34CC">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支河乡</w:t>
            </w:r>
          </w:p>
        </w:tc>
        <w:tc>
          <w:tcPr>
            <w:tcW w:w="992" w:type="dxa"/>
            <w:noWrap w:val="0"/>
            <w:vAlign w:val="center"/>
          </w:tcPr>
          <w:p w14:paraId="3F617BAD">
            <w:pPr>
              <w:spacing w:line="280" w:lineRule="exact"/>
              <w:jc w:val="center"/>
              <w:rPr>
                <w:rFonts w:eastAsia="楷体_GB2312"/>
              </w:rPr>
            </w:pPr>
            <w:r>
              <w:rPr>
                <w:rFonts w:eastAsia="楷体_GB2312"/>
              </w:rPr>
              <w:t>01</w:t>
            </w:r>
          </w:p>
        </w:tc>
        <w:tc>
          <w:tcPr>
            <w:tcW w:w="4536" w:type="dxa"/>
            <w:noWrap w:val="0"/>
            <w:vAlign w:val="center"/>
          </w:tcPr>
          <w:p w14:paraId="5CC9996F">
            <w:pPr>
              <w:pStyle w:val="26"/>
              <w:pBdr>
                <w:bottom w:val="none" w:color="auto" w:sz="0" w:space="0"/>
              </w:pBdr>
              <w:spacing w:line="280" w:lineRule="exact"/>
              <w:rPr>
                <w:rFonts w:eastAsia="楷体_GB2312"/>
                <w:sz w:val="21"/>
                <w:szCs w:val="24"/>
              </w:rPr>
            </w:pPr>
            <w:r>
              <w:rPr>
                <w:rFonts w:hint="eastAsia" w:eastAsia="楷体_GB2312"/>
                <w:sz w:val="21"/>
                <w:szCs w:val="24"/>
              </w:rPr>
              <w:t>宿州农商银行（支河支行）</w:t>
            </w:r>
          </w:p>
        </w:tc>
        <w:tc>
          <w:tcPr>
            <w:tcW w:w="1841" w:type="dxa"/>
            <w:noWrap w:val="0"/>
            <w:vAlign w:val="center"/>
          </w:tcPr>
          <w:p w14:paraId="0D86DB94">
            <w:pPr>
              <w:jc w:val="center"/>
              <w:rPr>
                <w:rFonts w:eastAsia="楷体_GB2312"/>
                <w:szCs w:val="21"/>
              </w:rPr>
            </w:pPr>
            <w:r>
              <w:rPr>
                <w:rFonts w:hint="eastAsia" w:eastAsia="楷体_GB2312"/>
                <w:szCs w:val="21"/>
              </w:rPr>
              <w:t>190</w:t>
            </w:r>
          </w:p>
        </w:tc>
      </w:tr>
      <w:tr w14:paraId="0872C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noWrap w:val="0"/>
            <w:vAlign w:val="center"/>
          </w:tcPr>
          <w:p w14:paraId="5E769B46">
            <w:pPr>
              <w:tabs>
                <w:tab w:val="left" w:pos="0"/>
                <w:tab w:val="left" w:pos="295"/>
              </w:tabs>
              <w:jc w:val="center"/>
              <w:rPr>
                <w:rFonts w:eastAsia="楷体_GB2312"/>
                <w:szCs w:val="21"/>
              </w:rPr>
            </w:pPr>
            <w:r>
              <w:rPr>
                <w:rFonts w:hint="eastAsia" w:eastAsia="楷体_GB2312"/>
                <w:szCs w:val="21"/>
              </w:rPr>
              <w:t>21</w:t>
            </w:r>
          </w:p>
        </w:tc>
        <w:tc>
          <w:tcPr>
            <w:tcW w:w="1134" w:type="dxa"/>
            <w:noWrap w:val="0"/>
            <w:vAlign w:val="center"/>
          </w:tcPr>
          <w:p w14:paraId="16F44A84">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灰古镇</w:t>
            </w:r>
          </w:p>
        </w:tc>
        <w:tc>
          <w:tcPr>
            <w:tcW w:w="992" w:type="dxa"/>
            <w:noWrap w:val="0"/>
            <w:vAlign w:val="center"/>
          </w:tcPr>
          <w:p w14:paraId="2DD38482">
            <w:pPr>
              <w:spacing w:line="280" w:lineRule="exact"/>
              <w:jc w:val="center"/>
              <w:rPr>
                <w:rFonts w:eastAsia="楷体_GB2312"/>
              </w:rPr>
            </w:pPr>
            <w:r>
              <w:rPr>
                <w:rFonts w:hint="eastAsia" w:eastAsia="楷体_GB2312"/>
              </w:rPr>
              <w:t>02</w:t>
            </w:r>
          </w:p>
        </w:tc>
        <w:tc>
          <w:tcPr>
            <w:tcW w:w="4536" w:type="dxa"/>
            <w:noWrap w:val="0"/>
            <w:vAlign w:val="center"/>
          </w:tcPr>
          <w:p w14:paraId="3C703EE7">
            <w:pPr>
              <w:pStyle w:val="26"/>
              <w:pBdr>
                <w:bottom w:val="none" w:color="auto" w:sz="0" w:space="0"/>
              </w:pBdr>
              <w:spacing w:line="280" w:lineRule="exact"/>
              <w:rPr>
                <w:rFonts w:eastAsia="楷体_GB2312"/>
                <w:sz w:val="21"/>
                <w:szCs w:val="24"/>
              </w:rPr>
            </w:pPr>
            <w:r>
              <w:rPr>
                <w:rFonts w:hint="eastAsia" w:eastAsia="楷体_GB2312"/>
                <w:sz w:val="21"/>
                <w:szCs w:val="24"/>
              </w:rPr>
              <w:t>中国邮政储蓄银行（宿州市灰古镇支行）</w:t>
            </w:r>
          </w:p>
        </w:tc>
        <w:tc>
          <w:tcPr>
            <w:tcW w:w="1841" w:type="dxa"/>
            <w:noWrap w:val="0"/>
            <w:vAlign w:val="center"/>
          </w:tcPr>
          <w:p w14:paraId="5EBE7245">
            <w:pPr>
              <w:jc w:val="center"/>
              <w:rPr>
                <w:rFonts w:eastAsia="楷体_GB2312"/>
                <w:szCs w:val="21"/>
              </w:rPr>
            </w:pPr>
            <w:r>
              <w:rPr>
                <w:rFonts w:hint="eastAsia" w:eastAsia="楷体_GB2312"/>
                <w:szCs w:val="21"/>
              </w:rPr>
              <w:t>221</w:t>
            </w:r>
          </w:p>
        </w:tc>
      </w:tr>
      <w:tr w14:paraId="7396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dxa"/>
            <w:noWrap w:val="0"/>
            <w:vAlign w:val="center"/>
          </w:tcPr>
          <w:p w14:paraId="4955FF14">
            <w:pPr>
              <w:tabs>
                <w:tab w:val="left" w:pos="0"/>
                <w:tab w:val="left" w:pos="295"/>
              </w:tabs>
              <w:jc w:val="center"/>
              <w:rPr>
                <w:rFonts w:eastAsia="楷体_GB2312"/>
                <w:szCs w:val="21"/>
              </w:rPr>
            </w:pPr>
            <w:r>
              <w:rPr>
                <w:rFonts w:hint="eastAsia" w:eastAsia="楷体_GB2312"/>
                <w:szCs w:val="21"/>
              </w:rPr>
              <w:t>22</w:t>
            </w:r>
          </w:p>
        </w:tc>
        <w:tc>
          <w:tcPr>
            <w:tcW w:w="1134" w:type="dxa"/>
            <w:noWrap w:val="0"/>
            <w:vAlign w:val="center"/>
          </w:tcPr>
          <w:p w14:paraId="30A107A9">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桃沟乡</w:t>
            </w:r>
          </w:p>
        </w:tc>
        <w:tc>
          <w:tcPr>
            <w:tcW w:w="992" w:type="dxa"/>
            <w:noWrap w:val="0"/>
            <w:vAlign w:val="center"/>
          </w:tcPr>
          <w:p w14:paraId="03430A22">
            <w:pPr>
              <w:spacing w:line="280" w:lineRule="exact"/>
              <w:jc w:val="center"/>
              <w:rPr>
                <w:rFonts w:eastAsia="楷体_GB2312"/>
              </w:rPr>
            </w:pPr>
            <w:r>
              <w:rPr>
                <w:rFonts w:hint="eastAsia" w:eastAsia="楷体_GB2312"/>
              </w:rPr>
              <w:t>03</w:t>
            </w:r>
          </w:p>
        </w:tc>
        <w:tc>
          <w:tcPr>
            <w:tcW w:w="4536" w:type="dxa"/>
            <w:noWrap w:val="0"/>
            <w:vAlign w:val="center"/>
          </w:tcPr>
          <w:p w14:paraId="32B71627">
            <w:pPr>
              <w:pStyle w:val="26"/>
              <w:pBdr>
                <w:bottom w:val="none" w:color="auto" w:sz="0" w:space="0"/>
              </w:pBdr>
              <w:spacing w:line="280" w:lineRule="exact"/>
              <w:rPr>
                <w:rFonts w:eastAsia="楷体_GB2312"/>
                <w:sz w:val="21"/>
                <w:szCs w:val="24"/>
              </w:rPr>
            </w:pPr>
            <w:r>
              <w:rPr>
                <w:rFonts w:hint="eastAsia" w:eastAsia="楷体_GB2312"/>
                <w:sz w:val="21"/>
                <w:szCs w:val="24"/>
              </w:rPr>
              <w:t>宿州农村商业银行（桃沟支行）</w:t>
            </w:r>
          </w:p>
        </w:tc>
        <w:tc>
          <w:tcPr>
            <w:tcW w:w="1841" w:type="dxa"/>
            <w:noWrap w:val="0"/>
            <w:vAlign w:val="center"/>
          </w:tcPr>
          <w:p w14:paraId="10DF97CC">
            <w:pPr>
              <w:jc w:val="center"/>
              <w:rPr>
                <w:rFonts w:eastAsia="楷体_GB2312"/>
                <w:szCs w:val="21"/>
              </w:rPr>
            </w:pPr>
            <w:r>
              <w:rPr>
                <w:rFonts w:hint="eastAsia" w:eastAsia="楷体_GB2312"/>
                <w:szCs w:val="21"/>
              </w:rPr>
              <w:t>195</w:t>
            </w:r>
          </w:p>
        </w:tc>
      </w:tr>
    </w:tbl>
    <w:p w14:paraId="2C7DAA0F">
      <w:pPr>
        <w:spacing w:line="480" w:lineRule="exact"/>
        <w:jc w:val="center"/>
        <w:rPr>
          <w:rFonts w:eastAsia="黑体"/>
          <w:sz w:val="28"/>
        </w:rPr>
      </w:pPr>
      <w:r>
        <w:rPr>
          <w:rFonts w:eastAsia="黑体"/>
          <w:sz w:val="28"/>
        </w:rPr>
        <w:t>表1-3-</w:t>
      </w:r>
      <w:r>
        <w:rPr>
          <w:rFonts w:hint="eastAsia" w:eastAsia="黑体"/>
          <w:sz w:val="28"/>
        </w:rPr>
        <w:t>40</w:t>
      </w:r>
      <w:r>
        <w:rPr>
          <w:rFonts w:eastAsia="黑体"/>
          <w:sz w:val="28"/>
        </w:rPr>
        <w:t xml:space="preserve"> 埇桥区各乡镇镇区农贸市场调查表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2"/>
        <w:gridCol w:w="1731"/>
        <w:gridCol w:w="1478"/>
        <w:gridCol w:w="2851"/>
        <w:gridCol w:w="2020"/>
      </w:tblGrid>
      <w:tr w14:paraId="1F3F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992" w:type="dxa"/>
            <w:noWrap w:val="0"/>
            <w:vAlign w:val="center"/>
          </w:tcPr>
          <w:p w14:paraId="61959E09">
            <w:pPr>
              <w:tabs>
                <w:tab w:val="center" w:pos="4153"/>
                <w:tab w:val="right" w:pos="8306"/>
              </w:tabs>
              <w:snapToGrid w:val="0"/>
              <w:spacing w:line="280" w:lineRule="exact"/>
              <w:jc w:val="center"/>
              <w:rPr>
                <w:rFonts w:eastAsia="楷体_GB2312"/>
                <w:szCs w:val="21"/>
              </w:rPr>
            </w:pPr>
            <w:r>
              <w:rPr>
                <w:rFonts w:eastAsia="楷体_GB2312"/>
                <w:szCs w:val="21"/>
              </w:rPr>
              <w:t>编号</w:t>
            </w:r>
          </w:p>
        </w:tc>
        <w:tc>
          <w:tcPr>
            <w:tcW w:w="1731" w:type="dxa"/>
            <w:noWrap w:val="0"/>
            <w:vAlign w:val="center"/>
          </w:tcPr>
          <w:p w14:paraId="38F92576">
            <w:pPr>
              <w:tabs>
                <w:tab w:val="center" w:pos="4153"/>
                <w:tab w:val="right" w:pos="8306"/>
              </w:tabs>
              <w:snapToGrid w:val="0"/>
              <w:spacing w:line="280" w:lineRule="exact"/>
              <w:jc w:val="center"/>
              <w:rPr>
                <w:rFonts w:eastAsia="楷体_GB2312"/>
                <w:szCs w:val="21"/>
              </w:rPr>
            </w:pPr>
            <w:r>
              <w:rPr>
                <w:rFonts w:eastAsia="楷体_GB2312"/>
                <w:szCs w:val="21"/>
              </w:rPr>
              <w:t>乡镇名称</w:t>
            </w:r>
          </w:p>
        </w:tc>
        <w:tc>
          <w:tcPr>
            <w:tcW w:w="1478" w:type="dxa"/>
            <w:noWrap w:val="0"/>
            <w:vAlign w:val="center"/>
          </w:tcPr>
          <w:p w14:paraId="7F38FF41">
            <w:pPr>
              <w:tabs>
                <w:tab w:val="center" w:pos="4153"/>
                <w:tab w:val="right" w:pos="8306"/>
              </w:tabs>
              <w:snapToGrid w:val="0"/>
              <w:spacing w:line="280" w:lineRule="exact"/>
              <w:jc w:val="center"/>
              <w:rPr>
                <w:rFonts w:eastAsia="楷体_GB2312"/>
                <w:szCs w:val="21"/>
              </w:rPr>
            </w:pPr>
            <w:r>
              <w:rPr>
                <w:rFonts w:eastAsia="楷体_GB2312"/>
                <w:szCs w:val="21"/>
              </w:rPr>
              <w:t>农贸市场编号</w:t>
            </w:r>
          </w:p>
        </w:tc>
        <w:tc>
          <w:tcPr>
            <w:tcW w:w="2851" w:type="dxa"/>
            <w:noWrap w:val="0"/>
            <w:vAlign w:val="center"/>
          </w:tcPr>
          <w:p w14:paraId="4C4007C3">
            <w:pPr>
              <w:tabs>
                <w:tab w:val="center" w:pos="4153"/>
                <w:tab w:val="right" w:pos="8306"/>
              </w:tabs>
              <w:snapToGrid w:val="0"/>
              <w:spacing w:line="280" w:lineRule="exact"/>
              <w:jc w:val="center"/>
              <w:rPr>
                <w:rFonts w:eastAsia="楷体_GB2312"/>
                <w:szCs w:val="21"/>
              </w:rPr>
            </w:pPr>
            <w:r>
              <w:rPr>
                <w:rFonts w:eastAsia="楷体_GB2312"/>
                <w:szCs w:val="21"/>
              </w:rPr>
              <w:t>农贸市场名称</w:t>
            </w:r>
          </w:p>
        </w:tc>
        <w:tc>
          <w:tcPr>
            <w:tcW w:w="2020" w:type="dxa"/>
            <w:noWrap w:val="0"/>
            <w:vAlign w:val="center"/>
          </w:tcPr>
          <w:p w14:paraId="0E37B977">
            <w:pPr>
              <w:tabs>
                <w:tab w:val="center" w:pos="4153"/>
                <w:tab w:val="right" w:pos="8306"/>
              </w:tabs>
              <w:snapToGrid w:val="0"/>
              <w:spacing w:line="280" w:lineRule="exact"/>
              <w:jc w:val="center"/>
              <w:rPr>
                <w:rFonts w:eastAsia="楷体_GB2312"/>
                <w:szCs w:val="21"/>
              </w:rPr>
            </w:pPr>
            <w:r>
              <w:rPr>
                <w:rFonts w:eastAsia="楷体_GB2312"/>
                <w:szCs w:val="21"/>
              </w:rPr>
              <w:t>营业面积（平方米）</w:t>
            </w:r>
          </w:p>
        </w:tc>
      </w:tr>
      <w:tr w14:paraId="734D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14F89DB8">
            <w:pPr>
              <w:tabs>
                <w:tab w:val="left" w:pos="0"/>
                <w:tab w:val="left" w:pos="295"/>
              </w:tabs>
              <w:jc w:val="center"/>
              <w:rPr>
                <w:rFonts w:eastAsia="楷体_GB2312"/>
                <w:szCs w:val="21"/>
              </w:rPr>
            </w:pPr>
            <w:r>
              <w:rPr>
                <w:rFonts w:eastAsia="楷体_GB2312"/>
                <w:szCs w:val="21"/>
              </w:rPr>
              <w:t>1</w:t>
            </w:r>
          </w:p>
        </w:tc>
        <w:tc>
          <w:tcPr>
            <w:tcW w:w="1731" w:type="dxa"/>
            <w:noWrap w:val="0"/>
            <w:vAlign w:val="center"/>
          </w:tcPr>
          <w:p w14:paraId="769FE624">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符离镇</w:t>
            </w:r>
          </w:p>
        </w:tc>
        <w:tc>
          <w:tcPr>
            <w:tcW w:w="1478" w:type="dxa"/>
            <w:noWrap w:val="0"/>
            <w:vAlign w:val="center"/>
          </w:tcPr>
          <w:p w14:paraId="2A6E740E">
            <w:pPr>
              <w:tabs>
                <w:tab w:val="center" w:pos="4153"/>
                <w:tab w:val="right" w:pos="8306"/>
              </w:tabs>
              <w:snapToGrid w:val="0"/>
              <w:spacing w:line="280" w:lineRule="exact"/>
              <w:jc w:val="center"/>
              <w:rPr>
                <w:rFonts w:eastAsia="楷体_GB2312"/>
                <w:szCs w:val="21"/>
              </w:rPr>
            </w:pPr>
            <w:r>
              <w:rPr>
                <w:rFonts w:eastAsia="楷体_GB2312"/>
                <w:szCs w:val="21"/>
              </w:rPr>
              <w:t>01</w:t>
            </w:r>
          </w:p>
        </w:tc>
        <w:tc>
          <w:tcPr>
            <w:tcW w:w="2851" w:type="dxa"/>
            <w:noWrap w:val="0"/>
            <w:vAlign w:val="center"/>
          </w:tcPr>
          <w:p w14:paraId="640010BC">
            <w:pPr>
              <w:tabs>
                <w:tab w:val="center" w:pos="4153"/>
                <w:tab w:val="right" w:pos="8306"/>
              </w:tabs>
              <w:snapToGrid w:val="0"/>
              <w:spacing w:line="280" w:lineRule="exact"/>
              <w:jc w:val="center"/>
              <w:rPr>
                <w:rFonts w:eastAsia="楷体_GB2312"/>
                <w:szCs w:val="21"/>
              </w:rPr>
            </w:pPr>
            <w:r>
              <w:rPr>
                <w:rFonts w:hint="eastAsia" w:eastAsia="楷体_GB2312"/>
                <w:szCs w:val="21"/>
              </w:rPr>
              <w:t>永胜农贸市场</w:t>
            </w:r>
          </w:p>
        </w:tc>
        <w:tc>
          <w:tcPr>
            <w:tcW w:w="2020" w:type="dxa"/>
            <w:noWrap w:val="0"/>
            <w:vAlign w:val="center"/>
          </w:tcPr>
          <w:p w14:paraId="2B50760F">
            <w:pPr>
              <w:jc w:val="center"/>
              <w:rPr>
                <w:rFonts w:eastAsia="楷体_GB2312"/>
                <w:szCs w:val="21"/>
              </w:rPr>
            </w:pPr>
            <w:r>
              <w:rPr>
                <w:rFonts w:eastAsia="楷体_GB2312"/>
                <w:szCs w:val="21"/>
              </w:rPr>
              <w:t>1105</w:t>
            </w:r>
          </w:p>
        </w:tc>
      </w:tr>
      <w:tr w14:paraId="0626B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3914F5C3">
            <w:pPr>
              <w:tabs>
                <w:tab w:val="left" w:pos="0"/>
                <w:tab w:val="left" w:pos="295"/>
              </w:tabs>
              <w:jc w:val="center"/>
              <w:rPr>
                <w:rFonts w:eastAsia="楷体_GB2312"/>
                <w:szCs w:val="21"/>
              </w:rPr>
            </w:pPr>
            <w:r>
              <w:rPr>
                <w:rFonts w:eastAsia="楷体_GB2312"/>
                <w:szCs w:val="21"/>
              </w:rPr>
              <w:t>2</w:t>
            </w:r>
          </w:p>
        </w:tc>
        <w:tc>
          <w:tcPr>
            <w:tcW w:w="1731" w:type="dxa"/>
            <w:noWrap w:val="0"/>
            <w:vAlign w:val="center"/>
          </w:tcPr>
          <w:p w14:paraId="653C689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朱仙庄镇</w:t>
            </w:r>
          </w:p>
        </w:tc>
        <w:tc>
          <w:tcPr>
            <w:tcW w:w="1478" w:type="dxa"/>
            <w:noWrap w:val="0"/>
            <w:vAlign w:val="center"/>
          </w:tcPr>
          <w:p w14:paraId="24972F76">
            <w:pPr>
              <w:tabs>
                <w:tab w:val="center" w:pos="4153"/>
                <w:tab w:val="right" w:pos="8306"/>
              </w:tabs>
              <w:snapToGrid w:val="0"/>
              <w:spacing w:line="280" w:lineRule="exact"/>
              <w:jc w:val="center"/>
              <w:rPr>
                <w:rFonts w:eastAsia="楷体_GB2312"/>
                <w:szCs w:val="21"/>
              </w:rPr>
            </w:pPr>
            <w:r>
              <w:rPr>
                <w:rFonts w:eastAsia="楷体_GB2312"/>
                <w:szCs w:val="21"/>
              </w:rPr>
              <w:t>01</w:t>
            </w:r>
          </w:p>
        </w:tc>
        <w:tc>
          <w:tcPr>
            <w:tcW w:w="2851" w:type="dxa"/>
            <w:noWrap w:val="0"/>
            <w:vAlign w:val="center"/>
          </w:tcPr>
          <w:p w14:paraId="7C1E4F1A">
            <w:pPr>
              <w:tabs>
                <w:tab w:val="center" w:pos="4153"/>
                <w:tab w:val="right" w:pos="8306"/>
              </w:tabs>
              <w:snapToGrid w:val="0"/>
              <w:spacing w:line="280" w:lineRule="exact"/>
              <w:jc w:val="center"/>
              <w:rPr>
                <w:rFonts w:eastAsia="楷体_GB2312"/>
                <w:szCs w:val="21"/>
              </w:rPr>
            </w:pPr>
            <w:r>
              <w:rPr>
                <w:rFonts w:hint="eastAsia" w:eastAsia="楷体_GB2312"/>
                <w:szCs w:val="21"/>
              </w:rPr>
              <w:t>周庄大市场</w:t>
            </w:r>
          </w:p>
        </w:tc>
        <w:tc>
          <w:tcPr>
            <w:tcW w:w="2020" w:type="dxa"/>
            <w:noWrap w:val="0"/>
            <w:vAlign w:val="center"/>
          </w:tcPr>
          <w:p w14:paraId="40751FF2">
            <w:pPr>
              <w:jc w:val="center"/>
              <w:rPr>
                <w:rFonts w:eastAsia="楷体_GB2312"/>
                <w:szCs w:val="21"/>
              </w:rPr>
            </w:pPr>
            <w:r>
              <w:rPr>
                <w:rFonts w:eastAsia="楷体_GB2312"/>
                <w:szCs w:val="21"/>
              </w:rPr>
              <w:t>1030</w:t>
            </w:r>
          </w:p>
        </w:tc>
      </w:tr>
      <w:tr w14:paraId="003E3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Merge w:val="restart"/>
            <w:noWrap w:val="0"/>
            <w:vAlign w:val="center"/>
          </w:tcPr>
          <w:p w14:paraId="753A5DA1">
            <w:pPr>
              <w:tabs>
                <w:tab w:val="left" w:pos="0"/>
                <w:tab w:val="left" w:pos="295"/>
              </w:tabs>
              <w:jc w:val="center"/>
              <w:rPr>
                <w:rFonts w:eastAsia="楷体_GB2312"/>
                <w:szCs w:val="21"/>
              </w:rPr>
            </w:pPr>
            <w:r>
              <w:rPr>
                <w:rFonts w:eastAsia="楷体_GB2312"/>
                <w:szCs w:val="21"/>
              </w:rPr>
              <w:t>3</w:t>
            </w:r>
          </w:p>
        </w:tc>
        <w:tc>
          <w:tcPr>
            <w:tcW w:w="1731" w:type="dxa"/>
            <w:vMerge w:val="restart"/>
            <w:noWrap w:val="0"/>
            <w:vAlign w:val="center"/>
          </w:tcPr>
          <w:p w14:paraId="33577C4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蕲县镇</w:t>
            </w:r>
          </w:p>
        </w:tc>
        <w:tc>
          <w:tcPr>
            <w:tcW w:w="1478" w:type="dxa"/>
            <w:noWrap w:val="0"/>
            <w:vAlign w:val="center"/>
          </w:tcPr>
          <w:p w14:paraId="4539F540">
            <w:pPr>
              <w:tabs>
                <w:tab w:val="center" w:pos="4153"/>
                <w:tab w:val="right" w:pos="8306"/>
              </w:tabs>
              <w:snapToGrid w:val="0"/>
              <w:spacing w:line="280" w:lineRule="exact"/>
              <w:jc w:val="center"/>
              <w:rPr>
                <w:rFonts w:eastAsia="楷体_GB2312"/>
                <w:szCs w:val="21"/>
              </w:rPr>
            </w:pPr>
            <w:r>
              <w:rPr>
                <w:rFonts w:eastAsia="楷体_GB2312"/>
                <w:szCs w:val="21"/>
              </w:rPr>
              <w:t>01</w:t>
            </w:r>
          </w:p>
        </w:tc>
        <w:tc>
          <w:tcPr>
            <w:tcW w:w="2851" w:type="dxa"/>
            <w:noWrap w:val="0"/>
            <w:vAlign w:val="center"/>
          </w:tcPr>
          <w:p w14:paraId="72B81D5A">
            <w:pPr>
              <w:tabs>
                <w:tab w:val="center" w:pos="4153"/>
                <w:tab w:val="right" w:pos="8306"/>
              </w:tabs>
              <w:snapToGrid w:val="0"/>
              <w:spacing w:line="280" w:lineRule="exact"/>
              <w:jc w:val="center"/>
              <w:rPr>
                <w:rFonts w:eastAsia="楷体_GB2312"/>
                <w:szCs w:val="21"/>
              </w:rPr>
            </w:pPr>
            <w:r>
              <w:rPr>
                <w:rFonts w:hint="eastAsia" w:eastAsia="楷体_GB2312"/>
                <w:szCs w:val="21"/>
              </w:rPr>
              <w:t>祁南矿工人村菜市场</w:t>
            </w:r>
          </w:p>
        </w:tc>
        <w:tc>
          <w:tcPr>
            <w:tcW w:w="2020" w:type="dxa"/>
            <w:noWrap w:val="0"/>
            <w:vAlign w:val="center"/>
          </w:tcPr>
          <w:p w14:paraId="07705DA6">
            <w:pPr>
              <w:jc w:val="center"/>
              <w:rPr>
                <w:rFonts w:eastAsia="楷体_GB2312"/>
                <w:szCs w:val="21"/>
              </w:rPr>
            </w:pPr>
            <w:r>
              <w:rPr>
                <w:rFonts w:eastAsia="楷体_GB2312"/>
                <w:szCs w:val="21"/>
              </w:rPr>
              <w:t>1020</w:t>
            </w:r>
          </w:p>
        </w:tc>
      </w:tr>
      <w:tr w14:paraId="7CA66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Merge w:val="continue"/>
            <w:noWrap w:val="0"/>
            <w:vAlign w:val="center"/>
          </w:tcPr>
          <w:p w14:paraId="119AE5A8">
            <w:pPr>
              <w:tabs>
                <w:tab w:val="left" w:pos="0"/>
                <w:tab w:val="left" w:pos="295"/>
              </w:tabs>
              <w:jc w:val="center"/>
              <w:rPr>
                <w:rFonts w:eastAsia="楷体_GB2312"/>
                <w:szCs w:val="21"/>
              </w:rPr>
            </w:pPr>
          </w:p>
        </w:tc>
        <w:tc>
          <w:tcPr>
            <w:tcW w:w="1731" w:type="dxa"/>
            <w:vMerge w:val="continue"/>
            <w:noWrap w:val="0"/>
            <w:vAlign w:val="center"/>
          </w:tcPr>
          <w:p w14:paraId="397FAB94">
            <w:pPr>
              <w:pStyle w:val="20"/>
              <w:tabs>
                <w:tab w:val="left" w:pos="0"/>
                <w:tab w:val="left" w:pos="295"/>
              </w:tabs>
              <w:jc w:val="center"/>
              <w:rPr>
                <w:rFonts w:ascii="Times New Roman" w:hAnsi="Times New Roman" w:eastAsia="楷体_GB2312" w:cs="Times New Roman"/>
              </w:rPr>
            </w:pPr>
          </w:p>
        </w:tc>
        <w:tc>
          <w:tcPr>
            <w:tcW w:w="1478" w:type="dxa"/>
            <w:noWrap w:val="0"/>
            <w:vAlign w:val="center"/>
          </w:tcPr>
          <w:p w14:paraId="79085DBC">
            <w:pPr>
              <w:tabs>
                <w:tab w:val="center" w:pos="4153"/>
                <w:tab w:val="right" w:pos="8306"/>
              </w:tabs>
              <w:snapToGrid w:val="0"/>
              <w:spacing w:line="280" w:lineRule="exact"/>
              <w:jc w:val="center"/>
              <w:rPr>
                <w:rFonts w:eastAsia="楷体_GB2312"/>
                <w:szCs w:val="21"/>
              </w:rPr>
            </w:pPr>
            <w:r>
              <w:rPr>
                <w:rFonts w:hint="eastAsia" w:eastAsia="楷体_GB2312"/>
                <w:szCs w:val="21"/>
              </w:rPr>
              <w:t>02</w:t>
            </w:r>
          </w:p>
        </w:tc>
        <w:tc>
          <w:tcPr>
            <w:tcW w:w="2851" w:type="dxa"/>
            <w:noWrap w:val="0"/>
            <w:vAlign w:val="center"/>
          </w:tcPr>
          <w:p w14:paraId="6C7D55D7">
            <w:pPr>
              <w:tabs>
                <w:tab w:val="center" w:pos="4153"/>
                <w:tab w:val="right" w:pos="8306"/>
              </w:tabs>
              <w:snapToGrid w:val="0"/>
              <w:spacing w:line="280" w:lineRule="exact"/>
              <w:jc w:val="center"/>
              <w:rPr>
                <w:rFonts w:hint="eastAsia" w:eastAsia="楷体_GB2312"/>
                <w:szCs w:val="21"/>
              </w:rPr>
            </w:pPr>
            <w:r>
              <w:rPr>
                <w:rFonts w:eastAsia="楷体_GB2312"/>
              </w:rPr>
              <w:t>蕲县</w:t>
            </w:r>
            <w:r>
              <w:rPr>
                <w:rFonts w:hint="eastAsia" w:eastAsia="楷体_GB2312"/>
              </w:rPr>
              <w:t>镇农贸市场</w:t>
            </w:r>
          </w:p>
        </w:tc>
        <w:tc>
          <w:tcPr>
            <w:tcW w:w="2020" w:type="dxa"/>
            <w:noWrap w:val="0"/>
            <w:vAlign w:val="center"/>
          </w:tcPr>
          <w:p w14:paraId="468AE031">
            <w:pPr>
              <w:jc w:val="center"/>
              <w:rPr>
                <w:rFonts w:eastAsia="楷体_GB2312"/>
                <w:szCs w:val="21"/>
              </w:rPr>
            </w:pPr>
            <w:r>
              <w:rPr>
                <w:rFonts w:hint="eastAsia" w:eastAsia="楷体_GB2312"/>
                <w:szCs w:val="21"/>
              </w:rPr>
              <w:t>1120</w:t>
            </w:r>
          </w:p>
        </w:tc>
      </w:tr>
      <w:tr w14:paraId="57464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296FEEA0">
            <w:pPr>
              <w:tabs>
                <w:tab w:val="left" w:pos="0"/>
                <w:tab w:val="left" w:pos="295"/>
              </w:tabs>
              <w:jc w:val="center"/>
              <w:rPr>
                <w:rFonts w:eastAsia="楷体_GB2312"/>
                <w:szCs w:val="21"/>
              </w:rPr>
            </w:pPr>
            <w:r>
              <w:rPr>
                <w:rFonts w:eastAsia="楷体_GB2312"/>
                <w:szCs w:val="21"/>
              </w:rPr>
              <w:t>4</w:t>
            </w:r>
          </w:p>
        </w:tc>
        <w:tc>
          <w:tcPr>
            <w:tcW w:w="1731" w:type="dxa"/>
            <w:noWrap w:val="0"/>
            <w:vAlign w:val="center"/>
          </w:tcPr>
          <w:p w14:paraId="5023EB6D">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芦岭镇</w:t>
            </w:r>
          </w:p>
        </w:tc>
        <w:tc>
          <w:tcPr>
            <w:tcW w:w="1478" w:type="dxa"/>
            <w:noWrap w:val="0"/>
            <w:vAlign w:val="center"/>
          </w:tcPr>
          <w:p w14:paraId="1B5C8634">
            <w:pPr>
              <w:tabs>
                <w:tab w:val="center" w:pos="4153"/>
                <w:tab w:val="right" w:pos="8306"/>
              </w:tabs>
              <w:snapToGrid w:val="0"/>
              <w:spacing w:line="280" w:lineRule="exact"/>
              <w:jc w:val="center"/>
              <w:rPr>
                <w:rFonts w:eastAsia="楷体_GB2312"/>
                <w:szCs w:val="21"/>
              </w:rPr>
            </w:pPr>
            <w:r>
              <w:rPr>
                <w:rFonts w:eastAsia="楷体_GB2312"/>
                <w:szCs w:val="21"/>
              </w:rPr>
              <w:t>01</w:t>
            </w:r>
          </w:p>
        </w:tc>
        <w:tc>
          <w:tcPr>
            <w:tcW w:w="2851" w:type="dxa"/>
            <w:noWrap w:val="0"/>
            <w:vAlign w:val="center"/>
          </w:tcPr>
          <w:p w14:paraId="0B36CFB7">
            <w:pPr>
              <w:tabs>
                <w:tab w:val="center" w:pos="4153"/>
                <w:tab w:val="right" w:pos="8306"/>
              </w:tabs>
              <w:snapToGrid w:val="0"/>
              <w:spacing w:line="280" w:lineRule="exact"/>
              <w:jc w:val="center"/>
              <w:rPr>
                <w:rFonts w:eastAsia="楷体_GB2312"/>
                <w:szCs w:val="21"/>
              </w:rPr>
            </w:pPr>
            <w:r>
              <w:rPr>
                <w:rFonts w:hint="eastAsia" w:eastAsia="楷体_GB2312"/>
                <w:szCs w:val="21"/>
              </w:rPr>
              <w:t>芦岭西菜市场</w:t>
            </w:r>
          </w:p>
        </w:tc>
        <w:tc>
          <w:tcPr>
            <w:tcW w:w="2020" w:type="dxa"/>
            <w:noWrap w:val="0"/>
            <w:vAlign w:val="center"/>
          </w:tcPr>
          <w:p w14:paraId="60F8ED4B">
            <w:pPr>
              <w:jc w:val="center"/>
              <w:rPr>
                <w:rFonts w:eastAsia="楷体_GB2312"/>
                <w:szCs w:val="21"/>
              </w:rPr>
            </w:pPr>
            <w:r>
              <w:rPr>
                <w:rFonts w:eastAsia="楷体_GB2312"/>
                <w:szCs w:val="21"/>
              </w:rPr>
              <w:t>980</w:t>
            </w:r>
          </w:p>
        </w:tc>
      </w:tr>
      <w:tr w14:paraId="533EF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254EFB55">
            <w:pPr>
              <w:tabs>
                <w:tab w:val="left" w:pos="0"/>
                <w:tab w:val="left" w:pos="295"/>
              </w:tabs>
              <w:jc w:val="center"/>
              <w:rPr>
                <w:rFonts w:eastAsia="楷体_GB2312"/>
                <w:szCs w:val="21"/>
              </w:rPr>
            </w:pPr>
            <w:r>
              <w:rPr>
                <w:rFonts w:eastAsia="楷体_GB2312"/>
                <w:szCs w:val="21"/>
              </w:rPr>
              <w:t>5</w:t>
            </w:r>
          </w:p>
        </w:tc>
        <w:tc>
          <w:tcPr>
            <w:tcW w:w="1731" w:type="dxa"/>
            <w:noWrap w:val="0"/>
            <w:vAlign w:val="center"/>
          </w:tcPr>
          <w:p w14:paraId="7518BCC8">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大店镇</w:t>
            </w:r>
          </w:p>
        </w:tc>
        <w:tc>
          <w:tcPr>
            <w:tcW w:w="1478" w:type="dxa"/>
            <w:noWrap w:val="0"/>
            <w:vAlign w:val="center"/>
          </w:tcPr>
          <w:p w14:paraId="668F52F9">
            <w:pPr>
              <w:tabs>
                <w:tab w:val="center" w:pos="4153"/>
                <w:tab w:val="right" w:pos="8306"/>
              </w:tabs>
              <w:snapToGrid w:val="0"/>
              <w:spacing w:line="280" w:lineRule="exact"/>
              <w:jc w:val="center"/>
              <w:rPr>
                <w:rFonts w:eastAsia="楷体_GB2312"/>
                <w:szCs w:val="21"/>
              </w:rPr>
            </w:pPr>
            <w:r>
              <w:rPr>
                <w:rFonts w:eastAsia="楷体_GB2312"/>
                <w:szCs w:val="21"/>
              </w:rPr>
              <w:t>01</w:t>
            </w:r>
          </w:p>
        </w:tc>
        <w:tc>
          <w:tcPr>
            <w:tcW w:w="2851" w:type="dxa"/>
            <w:noWrap w:val="0"/>
            <w:vAlign w:val="center"/>
          </w:tcPr>
          <w:p w14:paraId="1D3DCD26">
            <w:pPr>
              <w:tabs>
                <w:tab w:val="center" w:pos="4153"/>
                <w:tab w:val="right" w:pos="8306"/>
              </w:tabs>
              <w:snapToGrid w:val="0"/>
              <w:spacing w:line="280" w:lineRule="exact"/>
              <w:jc w:val="center"/>
              <w:rPr>
                <w:rFonts w:eastAsia="楷体_GB2312"/>
                <w:szCs w:val="21"/>
              </w:rPr>
            </w:pPr>
            <w:r>
              <w:rPr>
                <w:rFonts w:eastAsia="楷体_GB2312"/>
              </w:rPr>
              <w:t>大店镇</w:t>
            </w:r>
            <w:r>
              <w:rPr>
                <w:rFonts w:hint="eastAsia" w:eastAsia="楷体_GB2312"/>
              </w:rPr>
              <w:t>农贸市场</w:t>
            </w:r>
          </w:p>
        </w:tc>
        <w:tc>
          <w:tcPr>
            <w:tcW w:w="2020" w:type="dxa"/>
            <w:noWrap w:val="0"/>
            <w:vAlign w:val="center"/>
          </w:tcPr>
          <w:p w14:paraId="1F7BCC6E">
            <w:pPr>
              <w:jc w:val="center"/>
              <w:rPr>
                <w:rFonts w:eastAsia="楷体_GB2312"/>
                <w:szCs w:val="21"/>
              </w:rPr>
            </w:pPr>
            <w:r>
              <w:rPr>
                <w:rFonts w:eastAsia="楷体_GB2312"/>
                <w:szCs w:val="21"/>
              </w:rPr>
              <w:t>970</w:t>
            </w:r>
          </w:p>
        </w:tc>
      </w:tr>
      <w:tr w14:paraId="46DD9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2C898E1A">
            <w:pPr>
              <w:tabs>
                <w:tab w:val="left" w:pos="0"/>
                <w:tab w:val="left" w:pos="295"/>
              </w:tabs>
              <w:jc w:val="center"/>
              <w:rPr>
                <w:rFonts w:eastAsia="楷体_GB2312"/>
                <w:szCs w:val="21"/>
              </w:rPr>
            </w:pPr>
            <w:r>
              <w:rPr>
                <w:rFonts w:eastAsia="楷体_GB2312"/>
                <w:szCs w:val="21"/>
              </w:rPr>
              <w:t>6</w:t>
            </w:r>
          </w:p>
        </w:tc>
        <w:tc>
          <w:tcPr>
            <w:tcW w:w="1731" w:type="dxa"/>
            <w:noWrap w:val="0"/>
            <w:vAlign w:val="center"/>
          </w:tcPr>
          <w:p w14:paraId="6A4CC0D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栏杆镇</w:t>
            </w:r>
          </w:p>
        </w:tc>
        <w:tc>
          <w:tcPr>
            <w:tcW w:w="1478" w:type="dxa"/>
            <w:noWrap w:val="0"/>
            <w:vAlign w:val="center"/>
          </w:tcPr>
          <w:p w14:paraId="4C3367EF">
            <w:pPr>
              <w:tabs>
                <w:tab w:val="center" w:pos="4153"/>
                <w:tab w:val="right" w:pos="8306"/>
              </w:tabs>
              <w:snapToGrid w:val="0"/>
              <w:spacing w:line="280" w:lineRule="exact"/>
              <w:jc w:val="center"/>
              <w:rPr>
                <w:rFonts w:eastAsia="楷体_GB2312"/>
                <w:szCs w:val="21"/>
              </w:rPr>
            </w:pPr>
            <w:r>
              <w:rPr>
                <w:rFonts w:eastAsia="楷体_GB2312"/>
                <w:szCs w:val="21"/>
              </w:rPr>
              <w:t>01</w:t>
            </w:r>
          </w:p>
        </w:tc>
        <w:tc>
          <w:tcPr>
            <w:tcW w:w="2851" w:type="dxa"/>
            <w:noWrap w:val="0"/>
            <w:vAlign w:val="center"/>
          </w:tcPr>
          <w:p w14:paraId="11B41DF4">
            <w:pPr>
              <w:tabs>
                <w:tab w:val="center" w:pos="4153"/>
                <w:tab w:val="right" w:pos="8306"/>
              </w:tabs>
              <w:snapToGrid w:val="0"/>
              <w:spacing w:line="280" w:lineRule="exact"/>
              <w:jc w:val="center"/>
              <w:rPr>
                <w:rFonts w:eastAsia="楷体_GB2312"/>
                <w:szCs w:val="21"/>
              </w:rPr>
            </w:pPr>
            <w:r>
              <w:rPr>
                <w:rFonts w:eastAsia="楷体_GB2312"/>
              </w:rPr>
              <w:t>栏杆镇</w:t>
            </w:r>
            <w:r>
              <w:rPr>
                <w:rFonts w:hint="eastAsia" w:eastAsia="楷体_GB2312"/>
              </w:rPr>
              <w:t>农贸市场</w:t>
            </w:r>
          </w:p>
        </w:tc>
        <w:tc>
          <w:tcPr>
            <w:tcW w:w="2020" w:type="dxa"/>
            <w:noWrap w:val="0"/>
            <w:vAlign w:val="center"/>
          </w:tcPr>
          <w:p w14:paraId="72810B8D">
            <w:pPr>
              <w:jc w:val="center"/>
              <w:rPr>
                <w:rFonts w:eastAsia="楷体_GB2312"/>
                <w:szCs w:val="21"/>
              </w:rPr>
            </w:pPr>
            <w:r>
              <w:rPr>
                <w:rFonts w:eastAsia="楷体_GB2312"/>
                <w:szCs w:val="21"/>
              </w:rPr>
              <w:t>950</w:t>
            </w:r>
          </w:p>
        </w:tc>
      </w:tr>
      <w:tr w14:paraId="2B1FD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3304389D">
            <w:pPr>
              <w:tabs>
                <w:tab w:val="left" w:pos="0"/>
                <w:tab w:val="left" w:pos="295"/>
              </w:tabs>
              <w:jc w:val="center"/>
              <w:rPr>
                <w:rFonts w:eastAsia="楷体_GB2312"/>
                <w:szCs w:val="21"/>
              </w:rPr>
            </w:pPr>
            <w:r>
              <w:rPr>
                <w:rFonts w:eastAsia="楷体_GB2312"/>
                <w:szCs w:val="21"/>
              </w:rPr>
              <w:t>7</w:t>
            </w:r>
          </w:p>
        </w:tc>
        <w:tc>
          <w:tcPr>
            <w:tcW w:w="1731" w:type="dxa"/>
            <w:noWrap w:val="0"/>
            <w:vAlign w:val="center"/>
          </w:tcPr>
          <w:p w14:paraId="7BA5F270">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时村镇</w:t>
            </w:r>
          </w:p>
        </w:tc>
        <w:tc>
          <w:tcPr>
            <w:tcW w:w="1478" w:type="dxa"/>
            <w:noWrap w:val="0"/>
            <w:vAlign w:val="center"/>
          </w:tcPr>
          <w:p w14:paraId="4BD722D2">
            <w:pPr>
              <w:tabs>
                <w:tab w:val="center" w:pos="4153"/>
                <w:tab w:val="right" w:pos="8306"/>
              </w:tabs>
              <w:snapToGrid w:val="0"/>
              <w:spacing w:line="280" w:lineRule="exact"/>
              <w:jc w:val="center"/>
              <w:rPr>
                <w:rFonts w:eastAsia="楷体_GB2312"/>
                <w:szCs w:val="21"/>
              </w:rPr>
            </w:pPr>
            <w:r>
              <w:rPr>
                <w:rFonts w:eastAsia="楷体_GB2312"/>
                <w:szCs w:val="21"/>
              </w:rPr>
              <w:t>01</w:t>
            </w:r>
          </w:p>
        </w:tc>
        <w:tc>
          <w:tcPr>
            <w:tcW w:w="2851" w:type="dxa"/>
            <w:noWrap w:val="0"/>
            <w:vAlign w:val="center"/>
          </w:tcPr>
          <w:p w14:paraId="26933914">
            <w:pPr>
              <w:tabs>
                <w:tab w:val="center" w:pos="4153"/>
                <w:tab w:val="right" w:pos="8306"/>
              </w:tabs>
              <w:snapToGrid w:val="0"/>
              <w:spacing w:line="280" w:lineRule="exact"/>
              <w:jc w:val="center"/>
              <w:rPr>
                <w:rFonts w:eastAsia="楷体_GB2312"/>
                <w:szCs w:val="21"/>
              </w:rPr>
            </w:pPr>
            <w:r>
              <w:rPr>
                <w:rFonts w:eastAsia="楷体_GB2312"/>
              </w:rPr>
              <w:t>时村镇</w:t>
            </w:r>
            <w:r>
              <w:rPr>
                <w:rFonts w:hint="eastAsia" w:eastAsia="楷体_GB2312"/>
                <w:szCs w:val="21"/>
              </w:rPr>
              <w:t>农贸市场</w:t>
            </w:r>
          </w:p>
        </w:tc>
        <w:tc>
          <w:tcPr>
            <w:tcW w:w="2020" w:type="dxa"/>
            <w:noWrap w:val="0"/>
            <w:vAlign w:val="center"/>
          </w:tcPr>
          <w:p w14:paraId="25B6BD7A">
            <w:pPr>
              <w:jc w:val="center"/>
              <w:rPr>
                <w:rFonts w:eastAsia="楷体_GB2312"/>
                <w:szCs w:val="21"/>
              </w:rPr>
            </w:pPr>
            <w:r>
              <w:rPr>
                <w:rFonts w:eastAsia="楷体_GB2312"/>
                <w:szCs w:val="21"/>
              </w:rPr>
              <w:t>910</w:t>
            </w:r>
          </w:p>
        </w:tc>
      </w:tr>
      <w:tr w14:paraId="529C6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543CE0D1">
            <w:pPr>
              <w:tabs>
                <w:tab w:val="left" w:pos="0"/>
                <w:tab w:val="left" w:pos="295"/>
              </w:tabs>
              <w:jc w:val="center"/>
              <w:rPr>
                <w:rFonts w:eastAsia="楷体_GB2312"/>
                <w:szCs w:val="21"/>
              </w:rPr>
            </w:pPr>
            <w:r>
              <w:rPr>
                <w:rFonts w:eastAsia="楷体_GB2312"/>
                <w:szCs w:val="21"/>
              </w:rPr>
              <w:t>8</w:t>
            </w:r>
          </w:p>
        </w:tc>
        <w:tc>
          <w:tcPr>
            <w:tcW w:w="1731" w:type="dxa"/>
            <w:noWrap w:val="0"/>
            <w:vAlign w:val="center"/>
          </w:tcPr>
          <w:p w14:paraId="47564EE5">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夹沟镇</w:t>
            </w:r>
          </w:p>
        </w:tc>
        <w:tc>
          <w:tcPr>
            <w:tcW w:w="1478" w:type="dxa"/>
            <w:noWrap w:val="0"/>
            <w:vAlign w:val="center"/>
          </w:tcPr>
          <w:p w14:paraId="6BBDDD13">
            <w:pPr>
              <w:tabs>
                <w:tab w:val="center" w:pos="4153"/>
                <w:tab w:val="right" w:pos="8306"/>
              </w:tabs>
              <w:snapToGrid w:val="0"/>
              <w:spacing w:line="280" w:lineRule="exact"/>
              <w:jc w:val="center"/>
              <w:rPr>
                <w:rFonts w:eastAsia="楷体_GB2312"/>
                <w:szCs w:val="21"/>
              </w:rPr>
            </w:pPr>
            <w:r>
              <w:rPr>
                <w:rFonts w:eastAsia="楷体_GB2312"/>
                <w:szCs w:val="21"/>
              </w:rPr>
              <w:t>01</w:t>
            </w:r>
          </w:p>
        </w:tc>
        <w:tc>
          <w:tcPr>
            <w:tcW w:w="2851" w:type="dxa"/>
            <w:noWrap w:val="0"/>
            <w:vAlign w:val="center"/>
          </w:tcPr>
          <w:p w14:paraId="693D9014">
            <w:pPr>
              <w:tabs>
                <w:tab w:val="center" w:pos="4153"/>
                <w:tab w:val="right" w:pos="8306"/>
              </w:tabs>
              <w:snapToGrid w:val="0"/>
              <w:spacing w:line="280" w:lineRule="exact"/>
              <w:jc w:val="center"/>
              <w:rPr>
                <w:rFonts w:eastAsia="楷体_GB2312"/>
                <w:szCs w:val="21"/>
              </w:rPr>
            </w:pPr>
            <w:r>
              <w:rPr>
                <w:rFonts w:eastAsia="楷体_GB2312"/>
              </w:rPr>
              <w:t>夹沟镇</w:t>
            </w:r>
            <w:r>
              <w:rPr>
                <w:rFonts w:hint="eastAsia" w:eastAsia="楷体_GB2312"/>
                <w:szCs w:val="21"/>
              </w:rPr>
              <w:t>农贸市场</w:t>
            </w:r>
          </w:p>
        </w:tc>
        <w:tc>
          <w:tcPr>
            <w:tcW w:w="2020" w:type="dxa"/>
            <w:noWrap w:val="0"/>
            <w:vAlign w:val="center"/>
          </w:tcPr>
          <w:p w14:paraId="20714AAE">
            <w:pPr>
              <w:jc w:val="center"/>
              <w:rPr>
                <w:rFonts w:eastAsia="楷体_GB2312"/>
                <w:szCs w:val="21"/>
              </w:rPr>
            </w:pPr>
            <w:r>
              <w:rPr>
                <w:rFonts w:eastAsia="楷体_GB2312"/>
                <w:szCs w:val="21"/>
              </w:rPr>
              <w:t>740</w:t>
            </w:r>
          </w:p>
        </w:tc>
      </w:tr>
      <w:tr w14:paraId="14CB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3561ED6E">
            <w:pPr>
              <w:tabs>
                <w:tab w:val="left" w:pos="0"/>
                <w:tab w:val="left" w:pos="295"/>
              </w:tabs>
              <w:jc w:val="center"/>
              <w:rPr>
                <w:rFonts w:eastAsia="楷体_GB2312"/>
                <w:szCs w:val="21"/>
              </w:rPr>
            </w:pPr>
            <w:r>
              <w:rPr>
                <w:rFonts w:eastAsia="楷体_GB2312"/>
                <w:szCs w:val="21"/>
              </w:rPr>
              <w:t>9</w:t>
            </w:r>
          </w:p>
        </w:tc>
        <w:tc>
          <w:tcPr>
            <w:tcW w:w="1731" w:type="dxa"/>
            <w:noWrap w:val="0"/>
            <w:vAlign w:val="center"/>
          </w:tcPr>
          <w:p w14:paraId="1A87AB1B">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西二铺乡</w:t>
            </w:r>
          </w:p>
        </w:tc>
        <w:tc>
          <w:tcPr>
            <w:tcW w:w="1478" w:type="dxa"/>
            <w:noWrap w:val="0"/>
            <w:vAlign w:val="center"/>
          </w:tcPr>
          <w:p w14:paraId="5B9C0022">
            <w:pPr>
              <w:tabs>
                <w:tab w:val="center" w:pos="4153"/>
                <w:tab w:val="right" w:pos="8306"/>
              </w:tabs>
              <w:snapToGrid w:val="0"/>
              <w:spacing w:line="280" w:lineRule="exact"/>
              <w:jc w:val="center"/>
              <w:rPr>
                <w:rFonts w:eastAsia="楷体_GB2312"/>
                <w:szCs w:val="21"/>
              </w:rPr>
            </w:pPr>
            <w:r>
              <w:rPr>
                <w:rFonts w:eastAsia="楷体_GB2312"/>
                <w:szCs w:val="21"/>
              </w:rPr>
              <w:t>01</w:t>
            </w:r>
          </w:p>
        </w:tc>
        <w:tc>
          <w:tcPr>
            <w:tcW w:w="2851" w:type="dxa"/>
            <w:noWrap w:val="0"/>
            <w:vAlign w:val="center"/>
          </w:tcPr>
          <w:p w14:paraId="61D5DDE2">
            <w:pPr>
              <w:tabs>
                <w:tab w:val="center" w:pos="4153"/>
                <w:tab w:val="right" w:pos="8306"/>
              </w:tabs>
              <w:snapToGrid w:val="0"/>
              <w:spacing w:line="280" w:lineRule="exact"/>
              <w:jc w:val="center"/>
              <w:rPr>
                <w:rFonts w:eastAsia="楷体_GB2312"/>
                <w:szCs w:val="21"/>
              </w:rPr>
            </w:pPr>
            <w:r>
              <w:rPr>
                <w:rFonts w:hint="eastAsia" w:eastAsia="楷体_GB2312"/>
                <w:szCs w:val="21"/>
              </w:rPr>
              <w:t>宏富农贸市场</w:t>
            </w:r>
          </w:p>
        </w:tc>
        <w:tc>
          <w:tcPr>
            <w:tcW w:w="2020" w:type="dxa"/>
            <w:noWrap w:val="0"/>
            <w:vAlign w:val="center"/>
          </w:tcPr>
          <w:p w14:paraId="5C9DC92F">
            <w:pPr>
              <w:jc w:val="center"/>
              <w:rPr>
                <w:rFonts w:eastAsia="楷体_GB2312"/>
                <w:szCs w:val="21"/>
              </w:rPr>
            </w:pPr>
            <w:r>
              <w:rPr>
                <w:rFonts w:eastAsia="楷体_GB2312"/>
                <w:szCs w:val="21"/>
              </w:rPr>
              <w:t>730</w:t>
            </w:r>
          </w:p>
        </w:tc>
      </w:tr>
      <w:tr w14:paraId="22B8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Merge w:val="restart"/>
            <w:noWrap w:val="0"/>
            <w:vAlign w:val="center"/>
          </w:tcPr>
          <w:p w14:paraId="0683B738">
            <w:pPr>
              <w:tabs>
                <w:tab w:val="left" w:pos="0"/>
                <w:tab w:val="left" w:pos="295"/>
              </w:tabs>
              <w:jc w:val="center"/>
              <w:rPr>
                <w:rFonts w:eastAsia="楷体_GB2312"/>
                <w:szCs w:val="21"/>
              </w:rPr>
            </w:pPr>
            <w:r>
              <w:rPr>
                <w:rFonts w:eastAsia="楷体_GB2312"/>
                <w:szCs w:val="21"/>
              </w:rPr>
              <w:t>10</w:t>
            </w:r>
          </w:p>
        </w:tc>
        <w:tc>
          <w:tcPr>
            <w:tcW w:w="1731" w:type="dxa"/>
            <w:vMerge w:val="restart"/>
            <w:noWrap w:val="0"/>
            <w:vAlign w:val="center"/>
          </w:tcPr>
          <w:p w14:paraId="2DDEF644">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桃园镇</w:t>
            </w:r>
          </w:p>
        </w:tc>
        <w:tc>
          <w:tcPr>
            <w:tcW w:w="1478" w:type="dxa"/>
            <w:noWrap w:val="0"/>
            <w:vAlign w:val="center"/>
          </w:tcPr>
          <w:p w14:paraId="402A81DC">
            <w:pPr>
              <w:tabs>
                <w:tab w:val="center" w:pos="4153"/>
                <w:tab w:val="right" w:pos="8306"/>
              </w:tabs>
              <w:snapToGrid w:val="0"/>
              <w:spacing w:line="280" w:lineRule="exact"/>
              <w:jc w:val="center"/>
              <w:rPr>
                <w:rFonts w:eastAsia="楷体_GB2312"/>
                <w:szCs w:val="21"/>
              </w:rPr>
            </w:pPr>
            <w:r>
              <w:rPr>
                <w:rFonts w:eastAsia="楷体_GB2312"/>
                <w:szCs w:val="21"/>
              </w:rPr>
              <w:t>01</w:t>
            </w:r>
          </w:p>
        </w:tc>
        <w:tc>
          <w:tcPr>
            <w:tcW w:w="2851" w:type="dxa"/>
            <w:noWrap w:val="0"/>
            <w:vAlign w:val="center"/>
          </w:tcPr>
          <w:p w14:paraId="7D10182F">
            <w:pPr>
              <w:tabs>
                <w:tab w:val="center" w:pos="4153"/>
                <w:tab w:val="right" w:pos="8306"/>
              </w:tabs>
              <w:snapToGrid w:val="0"/>
              <w:spacing w:line="280" w:lineRule="exact"/>
              <w:jc w:val="center"/>
              <w:rPr>
                <w:rFonts w:eastAsia="楷体_GB2312"/>
                <w:szCs w:val="21"/>
              </w:rPr>
            </w:pPr>
            <w:r>
              <w:rPr>
                <w:rFonts w:hint="eastAsia" w:eastAsia="楷体_GB2312"/>
                <w:szCs w:val="21"/>
              </w:rPr>
              <w:t>桃园新区农贸市场</w:t>
            </w:r>
          </w:p>
        </w:tc>
        <w:tc>
          <w:tcPr>
            <w:tcW w:w="2020" w:type="dxa"/>
            <w:noWrap w:val="0"/>
            <w:vAlign w:val="center"/>
          </w:tcPr>
          <w:p w14:paraId="640CFD06">
            <w:pPr>
              <w:jc w:val="center"/>
              <w:rPr>
                <w:rFonts w:eastAsia="楷体_GB2312"/>
                <w:szCs w:val="21"/>
              </w:rPr>
            </w:pPr>
            <w:r>
              <w:rPr>
                <w:rFonts w:eastAsia="楷体_GB2312"/>
                <w:szCs w:val="21"/>
              </w:rPr>
              <w:t>700</w:t>
            </w:r>
          </w:p>
        </w:tc>
      </w:tr>
      <w:tr w14:paraId="7D249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vMerge w:val="continue"/>
            <w:noWrap w:val="0"/>
            <w:vAlign w:val="center"/>
          </w:tcPr>
          <w:p w14:paraId="23D89ED9">
            <w:pPr>
              <w:tabs>
                <w:tab w:val="left" w:pos="0"/>
                <w:tab w:val="left" w:pos="295"/>
              </w:tabs>
              <w:jc w:val="center"/>
              <w:rPr>
                <w:rFonts w:eastAsia="楷体_GB2312"/>
                <w:szCs w:val="21"/>
              </w:rPr>
            </w:pPr>
          </w:p>
        </w:tc>
        <w:tc>
          <w:tcPr>
            <w:tcW w:w="1731" w:type="dxa"/>
            <w:vMerge w:val="continue"/>
            <w:noWrap w:val="0"/>
            <w:vAlign w:val="center"/>
          </w:tcPr>
          <w:p w14:paraId="5AB9593F">
            <w:pPr>
              <w:pStyle w:val="20"/>
              <w:tabs>
                <w:tab w:val="left" w:pos="0"/>
                <w:tab w:val="left" w:pos="295"/>
              </w:tabs>
              <w:jc w:val="center"/>
              <w:rPr>
                <w:rFonts w:ascii="Times New Roman" w:hAnsi="Times New Roman" w:eastAsia="楷体_GB2312" w:cs="Times New Roman"/>
              </w:rPr>
            </w:pPr>
          </w:p>
        </w:tc>
        <w:tc>
          <w:tcPr>
            <w:tcW w:w="1478" w:type="dxa"/>
            <w:noWrap w:val="0"/>
            <w:vAlign w:val="center"/>
          </w:tcPr>
          <w:p w14:paraId="457669F8">
            <w:pPr>
              <w:tabs>
                <w:tab w:val="center" w:pos="4153"/>
                <w:tab w:val="right" w:pos="8306"/>
              </w:tabs>
              <w:snapToGrid w:val="0"/>
              <w:spacing w:line="280" w:lineRule="exact"/>
              <w:jc w:val="center"/>
              <w:rPr>
                <w:rFonts w:eastAsia="楷体_GB2312"/>
                <w:szCs w:val="21"/>
              </w:rPr>
            </w:pPr>
            <w:r>
              <w:rPr>
                <w:rFonts w:hint="eastAsia" w:eastAsia="楷体_GB2312"/>
                <w:szCs w:val="21"/>
              </w:rPr>
              <w:t>02</w:t>
            </w:r>
          </w:p>
        </w:tc>
        <w:tc>
          <w:tcPr>
            <w:tcW w:w="2851" w:type="dxa"/>
            <w:noWrap w:val="0"/>
            <w:vAlign w:val="center"/>
          </w:tcPr>
          <w:p w14:paraId="1AF5DDB6">
            <w:pPr>
              <w:tabs>
                <w:tab w:val="center" w:pos="4153"/>
                <w:tab w:val="right" w:pos="8306"/>
              </w:tabs>
              <w:snapToGrid w:val="0"/>
              <w:spacing w:line="280" w:lineRule="exact"/>
              <w:jc w:val="center"/>
              <w:rPr>
                <w:rFonts w:hint="eastAsia" w:eastAsia="楷体_GB2312"/>
                <w:szCs w:val="21"/>
              </w:rPr>
            </w:pPr>
            <w:r>
              <w:rPr>
                <w:rFonts w:hint="eastAsia" w:eastAsia="楷体_GB2312"/>
                <w:szCs w:val="21"/>
              </w:rPr>
              <w:t>北杨寨农贸市场</w:t>
            </w:r>
          </w:p>
        </w:tc>
        <w:tc>
          <w:tcPr>
            <w:tcW w:w="2020" w:type="dxa"/>
            <w:noWrap w:val="0"/>
            <w:vAlign w:val="center"/>
          </w:tcPr>
          <w:p w14:paraId="0612FB60">
            <w:pPr>
              <w:jc w:val="center"/>
              <w:rPr>
                <w:rFonts w:eastAsia="楷体_GB2312"/>
                <w:szCs w:val="21"/>
              </w:rPr>
            </w:pPr>
            <w:r>
              <w:rPr>
                <w:rFonts w:hint="eastAsia" w:eastAsia="楷体_GB2312"/>
                <w:szCs w:val="21"/>
              </w:rPr>
              <w:t>850</w:t>
            </w:r>
          </w:p>
        </w:tc>
      </w:tr>
      <w:tr w14:paraId="512A5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645972CE">
            <w:pPr>
              <w:tabs>
                <w:tab w:val="left" w:pos="0"/>
                <w:tab w:val="left" w:pos="295"/>
              </w:tabs>
              <w:jc w:val="center"/>
              <w:rPr>
                <w:rFonts w:eastAsia="楷体_GB2312"/>
                <w:szCs w:val="21"/>
              </w:rPr>
            </w:pPr>
            <w:r>
              <w:rPr>
                <w:rFonts w:hint="eastAsia" w:eastAsia="楷体_GB2312"/>
                <w:szCs w:val="21"/>
              </w:rPr>
              <w:t>11</w:t>
            </w:r>
          </w:p>
        </w:tc>
        <w:tc>
          <w:tcPr>
            <w:tcW w:w="1731" w:type="dxa"/>
            <w:noWrap w:val="0"/>
            <w:vAlign w:val="center"/>
          </w:tcPr>
          <w:p w14:paraId="27F7F066">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曹村镇</w:t>
            </w:r>
          </w:p>
        </w:tc>
        <w:tc>
          <w:tcPr>
            <w:tcW w:w="1478" w:type="dxa"/>
            <w:noWrap w:val="0"/>
            <w:vAlign w:val="center"/>
          </w:tcPr>
          <w:p w14:paraId="4EB9E7B8">
            <w:pPr>
              <w:tabs>
                <w:tab w:val="center" w:pos="4153"/>
                <w:tab w:val="right" w:pos="8306"/>
              </w:tabs>
              <w:snapToGrid w:val="0"/>
              <w:spacing w:line="280" w:lineRule="exact"/>
              <w:jc w:val="center"/>
              <w:rPr>
                <w:rFonts w:eastAsia="楷体_GB2312"/>
                <w:szCs w:val="21"/>
              </w:rPr>
            </w:pPr>
            <w:r>
              <w:rPr>
                <w:rFonts w:eastAsia="楷体_GB2312"/>
                <w:szCs w:val="21"/>
              </w:rPr>
              <w:t>01</w:t>
            </w:r>
          </w:p>
        </w:tc>
        <w:tc>
          <w:tcPr>
            <w:tcW w:w="2851" w:type="dxa"/>
            <w:noWrap w:val="0"/>
            <w:vAlign w:val="center"/>
          </w:tcPr>
          <w:p w14:paraId="01F28329">
            <w:pPr>
              <w:tabs>
                <w:tab w:val="center" w:pos="4153"/>
                <w:tab w:val="right" w:pos="8306"/>
              </w:tabs>
              <w:snapToGrid w:val="0"/>
              <w:spacing w:line="280" w:lineRule="exact"/>
              <w:jc w:val="center"/>
              <w:rPr>
                <w:rFonts w:eastAsia="楷体_GB2312"/>
                <w:szCs w:val="21"/>
              </w:rPr>
            </w:pPr>
            <w:r>
              <w:rPr>
                <w:rFonts w:hint="eastAsia" w:eastAsia="楷体_GB2312"/>
                <w:szCs w:val="21"/>
              </w:rPr>
              <w:t>桃山村农贸市场</w:t>
            </w:r>
          </w:p>
        </w:tc>
        <w:tc>
          <w:tcPr>
            <w:tcW w:w="2020" w:type="dxa"/>
            <w:noWrap w:val="0"/>
            <w:vAlign w:val="center"/>
          </w:tcPr>
          <w:p w14:paraId="1E8202C2">
            <w:pPr>
              <w:jc w:val="center"/>
              <w:rPr>
                <w:rFonts w:eastAsia="楷体_GB2312"/>
                <w:szCs w:val="21"/>
              </w:rPr>
            </w:pPr>
            <w:r>
              <w:rPr>
                <w:rFonts w:hint="eastAsia" w:eastAsia="楷体_GB2312"/>
                <w:szCs w:val="21"/>
              </w:rPr>
              <w:t>1010</w:t>
            </w:r>
          </w:p>
        </w:tc>
      </w:tr>
      <w:tr w14:paraId="5FBA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2F018F49">
            <w:pPr>
              <w:tabs>
                <w:tab w:val="left" w:pos="0"/>
                <w:tab w:val="left" w:pos="295"/>
              </w:tabs>
              <w:jc w:val="center"/>
              <w:rPr>
                <w:rFonts w:eastAsia="楷体_GB2312"/>
                <w:szCs w:val="21"/>
              </w:rPr>
            </w:pPr>
            <w:r>
              <w:rPr>
                <w:rFonts w:hint="eastAsia" w:eastAsia="楷体_GB2312"/>
                <w:szCs w:val="21"/>
              </w:rPr>
              <w:t>12</w:t>
            </w:r>
          </w:p>
        </w:tc>
        <w:tc>
          <w:tcPr>
            <w:tcW w:w="1731" w:type="dxa"/>
            <w:noWrap w:val="0"/>
            <w:vAlign w:val="center"/>
          </w:tcPr>
          <w:p w14:paraId="4CB4D2ED">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大营镇</w:t>
            </w:r>
          </w:p>
        </w:tc>
        <w:tc>
          <w:tcPr>
            <w:tcW w:w="1478" w:type="dxa"/>
            <w:noWrap w:val="0"/>
            <w:vAlign w:val="center"/>
          </w:tcPr>
          <w:p w14:paraId="7199C949">
            <w:pPr>
              <w:tabs>
                <w:tab w:val="center" w:pos="4153"/>
                <w:tab w:val="right" w:pos="8306"/>
              </w:tabs>
              <w:snapToGrid w:val="0"/>
              <w:spacing w:line="280" w:lineRule="exact"/>
              <w:jc w:val="center"/>
              <w:rPr>
                <w:rFonts w:eastAsia="楷体_GB2312"/>
                <w:szCs w:val="21"/>
              </w:rPr>
            </w:pPr>
            <w:r>
              <w:rPr>
                <w:rFonts w:eastAsia="楷体_GB2312"/>
                <w:szCs w:val="21"/>
              </w:rPr>
              <w:t>01</w:t>
            </w:r>
          </w:p>
        </w:tc>
        <w:tc>
          <w:tcPr>
            <w:tcW w:w="2851" w:type="dxa"/>
            <w:noWrap w:val="0"/>
            <w:vAlign w:val="center"/>
          </w:tcPr>
          <w:p w14:paraId="4D2CC7A8">
            <w:pPr>
              <w:tabs>
                <w:tab w:val="center" w:pos="4153"/>
                <w:tab w:val="right" w:pos="8306"/>
              </w:tabs>
              <w:snapToGrid w:val="0"/>
              <w:spacing w:line="280" w:lineRule="exact"/>
              <w:jc w:val="center"/>
              <w:rPr>
                <w:rFonts w:eastAsia="楷体_GB2312"/>
                <w:szCs w:val="21"/>
              </w:rPr>
            </w:pPr>
            <w:r>
              <w:rPr>
                <w:rFonts w:eastAsia="楷体_GB2312"/>
              </w:rPr>
              <w:t>大营镇</w:t>
            </w:r>
            <w:r>
              <w:rPr>
                <w:rFonts w:hint="eastAsia" w:eastAsia="楷体_GB2312"/>
                <w:szCs w:val="21"/>
              </w:rPr>
              <w:t>农贸市场</w:t>
            </w:r>
          </w:p>
        </w:tc>
        <w:tc>
          <w:tcPr>
            <w:tcW w:w="2020" w:type="dxa"/>
            <w:noWrap w:val="0"/>
            <w:vAlign w:val="center"/>
          </w:tcPr>
          <w:p w14:paraId="5974FAFC">
            <w:pPr>
              <w:jc w:val="center"/>
              <w:rPr>
                <w:rFonts w:eastAsia="楷体_GB2312"/>
                <w:szCs w:val="21"/>
              </w:rPr>
            </w:pPr>
            <w:r>
              <w:rPr>
                <w:rFonts w:hint="eastAsia" w:eastAsia="楷体_GB2312"/>
                <w:szCs w:val="21"/>
              </w:rPr>
              <w:t>700</w:t>
            </w:r>
          </w:p>
        </w:tc>
      </w:tr>
      <w:tr w14:paraId="6502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506A930D">
            <w:pPr>
              <w:tabs>
                <w:tab w:val="left" w:pos="0"/>
                <w:tab w:val="left" w:pos="295"/>
              </w:tabs>
              <w:jc w:val="center"/>
              <w:rPr>
                <w:rFonts w:eastAsia="楷体_GB2312"/>
                <w:szCs w:val="21"/>
              </w:rPr>
            </w:pPr>
            <w:r>
              <w:rPr>
                <w:rFonts w:hint="eastAsia" w:eastAsia="楷体_GB2312"/>
                <w:szCs w:val="21"/>
              </w:rPr>
              <w:t>13</w:t>
            </w:r>
          </w:p>
        </w:tc>
        <w:tc>
          <w:tcPr>
            <w:tcW w:w="1731" w:type="dxa"/>
            <w:noWrap w:val="0"/>
            <w:vAlign w:val="center"/>
          </w:tcPr>
          <w:p w14:paraId="1067F633">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褚兰镇</w:t>
            </w:r>
          </w:p>
        </w:tc>
        <w:tc>
          <w:tcPr>
            <w:tcW w:w="1478" w:type="dxa"/>
            <w:noWrap w:val="0"/>
            <w:vAlign w:val="center"/>
          </w:tcPr>
          <w:p w14:paraId="59CD0B6B">
            <w:pPr>
              <w:tabs>
                <w:tab w:val="center" w:pos="4153"/>
                <w:tab w:val="right" w:pos="8306"/>
              </w:tabs>
              <w:snapToGrid w:val="0"/>
              <w:spacing w:line="280" w:lineRule="exact"/>
              <w:jc w:val="center"/>
              <w:rPr>
                <w:rFonts w:eastAsia="楷体_GB2312"/>
                <w:szCs w:val="21"/>
              </w:rPr>
            </w:pPr>
            <w:r>
              <w:rPr>
                <w:rFonts w:eastAsia="楷体_GB2312"/>
                <w:szCs w:val="21"/>
              </w:rPr>
              <w:t>01</w:t>
            </w:r>
          </w:p>
        </w:tc>
        <w:tc>
          <w:tcPr>
            <w:tcW w:w="2851" w:type="dxa"/>
            <w:noWrap w:val="0"/>
            <w:vAlign w:val="center"/>
          </w:tcPr>
          <w:p w14:paraId="72B32C49">
            <w:pPr>
              <w:tabs>
                <w:tab w:val="center" w:pos="4153"/>
                <w:tab w:val="right" w:pos="8306"/>
              </w:tabs>
              <w:snapToGrid w:val="0"/>
              <w:spacing w:line="280" w:lineRule="exact"/>
              <w:jc w:val="center"/>
              <w:rPr>
                <w:rFonts w:eastAsia="楷体_GB2312"/>
                <w:szCs w:val="21"/>
              </w:rPr>
            </w:pPr>
            <w:r>
              <w:rPr>
                <w:rFonts w:eastAsia="楷体_GB2312"/>
              </w:rPr>
              <w:t>褚兰镇</w:t>
            </w:r>
            <w:r>
              <w:rPr>
                <w:rFonts w:hint="eastAsia" w:eastAsia="楷体_GB2312"/>
                <w:szCs w:val="21"/>
              </w:rPr>
              <w:t>农贸市场</w:t>
            </w:r>
          </w:p>
        </w:tc>
        <w:tc>
          <w:tcPr>
            <w:tcW w:w="2020" w:type="dxa"/>
            <w:noWrap w:val="0"/>
            <w:vAlign w:val="center"/>
          </w:tcPr>
          <w:p w14:paraId="730DB37D">
            <w:pPr>
              <w:jc w:val="center"/>
              <w:rPr>
                <w:rFonts w:eastAsia="楷体_GB2312"/>
                <w:szCs w:val="21"/>
              </w:rPr>
            </w:pPr>
            <w:r>
              <w:rPr>
                <w:rFonts w:hint="eastAsia" w:eastAsia="楷体_GB2312"/>
                <w:szCs w:val="21"/>
              </w:rPr>
              <w:t>500</w:t>
            </w:r>
          </w:p>
        </w:tc>
      </w:tr>
      <w:tr w14:paraId="66797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790C7FE9">
            <w:pPr>
              <w:tabs>
                <w:tab w:val="left" w:pos="0"/>
                <w:tab w:val="left" w:pos="295"/>
              </w:tabs>
              <w:jc w:val="center"/>
              <w:rPr>
                <w:rFonts w:eastAsia="楷体_GB2312"/>
                <w:szCs w:val="21"/>
              </w:rPr>
            </w:pPr>
            <w:r>
              <w:rPr>
                <w:rFonts w:hint="eastAsia" w:eastAsia="楷体_GB2312"/>
                <w:szCs w:val="21"/>
              </w:rPr>
              <w:t>14</w:t>
            </w:r>
          </w:p>
        </w:tc>
        <w:tc>
          <w:tcPr>
            <w:tcW w:w="1731" w:type="dxa"/>
            <w:noWrap w:val="0"/>
            <w:vAlign w:val="center"/>
          </w:tcPr>
          <w:p w14:paraId="50509EA0">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顺河镇</w:t>
            </w:r>
          </w:p>
        </w:tc>
        <w:tc>
          <w:tcPr>
            <w:tcW w:w="1478" w:type="dxa"/>
            <w:noWrap w:val="0"/>
            <w:vAlign w:val="center"/>
          </w:tcPr>
          <w:p w14:paraId="041492F4">
            <w:pPr>
              <w:tabs>
                <w:tab w:val="center" w:pos="4153"/>
                <w:tab w:val="right" w:pos="8306"/>
              </w:tabs>
              <w:snapToGrid w:val="0"/>
              <w:spacing w:line="280" w:lineRule="exact"/>
              <w:jc w:val="center"/>
              <w:rPr>
                <w:rFonts w:eastAsia="楷体_GB2312"/>
                <w:szCs w:val="21"/>
              </w:rPr>
            </w:pPr>
            <w:r>
              <w:rPr>
                <w:rFonts w:eastAsia="楷体_GB2312"/>
                <w:szCs w:val="21"/>
              </w:rPr>
              <w:t>01</w:t>
            </w:r>
          </w:p>
        </w:tc>
        <w:tc>
          <w:tcPr>
            <w:tcW w:w="2851" w:type="dxa"/>
            <w:noWrap w:val="0"/>
            <w:vAlign w:val="center"/>
          </w:tcPr>
          <w:p w14:paraId="363F96A1">
            <w:pPr>
              <w:tabs>
                <w:tab w:val="center" w:pos="4153"/>
                <w:tab w:val="right" w:pos="8306"/>
              </w:tabs>
              <w:snapToGrid w:val="0"/>
              <w:spacing w:line="280" w:lineRule="exact"/>
              <w:jc w:val="center"/>
              <w:rPr>
                <w:rFonts w:eastAsia="楷体_GB2312"/>
                <w:szCs w:val="21"/>
              </w:rPr>
            </w:pPr>
            <w:r>
              <w:rPr>
                <w:rFonts w:eastAsia="楷体_GB2312"/>
              </w:rPr>
              <w:t>顺河镇</w:t>
            </w:r>
            <w:r>
              <w:rPr>
                <w:rFonts w:hint="eastAsia" w:eastAsia="楷体_GB2312"/>
                <w:szCs w:val="21"/>
              </w:rPr>
              <w:t>农贸市场</w:t>
            </w:r>
          </w:p>
        </w:tc>
        <w:tc>
          <w:tcPr>
            <w:tcW w:w="2020" w:type="dxa"/>
            <w:noWrap w:val="0"/>
            <w:vAlign w:val="center"/>
          </w:tcPr>
          <w:p w14:paraId="09A5E1BB">
            <w:pPr>
              <w:jc w:val="center"/>
              <w:rPr>
                <w:rFonts w:eastAsia="楷体_GB2312"/>
                <w:szCs w:val="21"/>
              </w:rPr>
            </w:pPr>
            <w:r>
              <w:rPr>
                <w:rFonts w:hint="eastAsia" w:eastAsia="楷体_GB2312"/>
                <w:szCs w:val="21"/>
              </w:rPr>
              <w:t>500</w:t>
            </w:r>
          </w:p>
        </w:tc>
      </w:tr>
      <w:tr w14:paraId="752D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0707BBC5">
            <w:pPr>
              <w:tabs>
                <w:tab w:val="left" w:pos="0"/>
                <w:tab w:val="left" w:pos="295"/>
              </w:tabs>
              <w:jc w:val="center"/>
              <w:rPr>
                <w:rFonts w:eastAsia="楷体_GB2312"/>
                <w:szCs w:val="21"/>
              </w:rPr>
            </w:pPr>
            <w:r>
              <w:rPr>
                <w:rFonts w:hint="eastAsia" w:eastAsia="楷体_GB2312"/>
                <w:szCs w:val="21"/>
              </w:rPr>
              <w:t>15</w:t>
            </w:r>
          </w:p>
        </w:tc>
        <w:tc>
          <w:tcPr>
            <w:tcW w:w="1731" w:type="dxa"/>
            <w:noWrap w:val="0"/>
            <w:vAlign w:val="center"/>
          </w:tcPr>
          <w:p w14:paraId="45A5B848">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杨庄镇</w:t>
            </w:r>
          </w:p>
        </w:tc>
        <w:tc>
          <w:tcPr>
            <w:tcW w:w="1478" w:type="dxa"/>
            <w:noWrap w:val="0"/>
            <w:vAlign w:val="center"/>
          </w:tcPr>
          <w:p w14:paraId="67C74FDC">
            <w:pPr>
              <w:tabs>
                <w:tab w:val="center" w:pos="4153"/>
                <w:tab w:val="right" w:pos="8306"/>
              </w:tabs>
              <w:snapToGrid w:val="0"/>
              <w:spacing w:line="280" w:lineRule="exact"/>
              <w:jc w:val="center"/>
              <w:rPr>
                <w:rFonts w:eastAsia="楷体_GB2312"/>
                <w:szCs w:val="21"/>
              </w:rPr>
            </w:pPr>
            <w:r>
              <w:rPr>
                <w:rFonts w:eastAsia="楷体_GB2312"/>
                <w:szCs w:val="21"/>
              </w:rPr>
              <w:t>01</w:t>
            </w:r>
          </w:p>
        </w:tc>
        <w:tc>
          <w:tcPr>
            <w:tcW w:w="2851" w:type="dxa"/>
            <w:noWrap w:val="0"/>
            <w:vAlign w:val="center"/>
          </w:tcPr>
          <w:p w14:paraId="32281E4A">
            <w:pPr>
              <w:tabs>
                <w:tab w:val="center" w:pos="4153"/>
                <w:tab w:val="right" w:pos="8306"/>
              </w:tabs>
              <w:snapToGrid w:val="0"/>
              <w:spacing w:line="280" w:lineRule="exact"/>
              <w:jc w:val="center"/>
              <w:rPr>
                <w:rFonts w:eastAsia="楷体_GB2312"/>
                <w:szCs w:val="21"/>
              </w:rPr>
            </w:pPr>
            <w:r>
              <w:rPr>
                <w:rFonts w:eastAsia="楷体_GB2312"/>
              </w:rPr>
              <w:t>杨庄镇</w:t>
            </w:r>
            <w:r>
              <w:rPr>
                <w:rFonts w:hint="eastAsia" w:eastAsia="楷体_GB2312"/>
                <w:szCs w:val="21"/>
              </w:rPr>
              <w:t>农贸市场</w:t>
            </w:r>
          </w:p>
        </w:tc>
        <w:tc>
          <w:tcPr>
            <w:tcW w:w="2020" w:type="dxa"/>
            <w:noWrap w:val="0"/>
            <w:vAlign w:val="center"/>
          </w:tcPr>
          <w:p w14:paraId="582BB325">
            <w:pPr>
              <w:jc w:val="center"/>
              <w:rPr>
                <w:rFonts w:eastAsia="楷体_GB2312"/>
                <w:szCs w:val="21"/>
              </w:rPr>
            </w:pPr>
            <w:r>
              <w:rPr>
                <w:rFonts w:hint="eastAsia" w:eastAsia="楷体_GB2312"/>
                <w:szCs w:val="21"/>
              </w:rPr>
              <w:t>400</w:t>
            </w:r>
          </w:p>
        </w:tc>
      </w:tr>
      <w:tr w14:paraId="73597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6B15970F">
            <w:pPr>
              <w:tabs>
                <w:tab w:val="left" w:pos="0"/>
                <w:tab w:val="left" w:pos="295"/>
              </w:tabs>
              <w:jc w:val="center"/>
              <w:rPr>
                <w:rFonts w:eastAsia="楷体_GB2312"/>
                <w:szCs w:val="21"/>
              </w:rPr>
            </w:pPr>
            <w:r>
              <w:rPr>
                <w:rFonts w:hint="eastAsia" w:eastAsia="楷体_GB2312"/>
                <w:szCs w:val="21"/>
              </w:rPr>
              <w:t>16</w:t>
            </w:r>
          </w:p>
        </w:tc>
        <w:tc>
          <w:tcPr>
            <w:tcW w:w="1731" w:type="dxa"/>
            <w:noWrap w:val="0"/>
            <w:vAlign w:val="center"/>
          </w:tcPr>
          <w:p w14:paraId="7972826C">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永镇乡</w:t>
            </w:r>
          </w:p>
        </w:tc>
        <w:tc>
          <w:tcPr>
            <w:tcW w:w="1478" w:type="dxa"/>
            <w:noWrap w:val="0"/>
            <w:vAlign w:val="center"/>
          </w:tcPr>
          <w:p w14:paraId="05D4ED6C">
            <w:pPr>
              <w:tabs>
                <w:tab w:val="center" w:pos="4153"/>
                <w:tab w:val="right" w:pos="8306"/>
              </w:tabs>
              <w:snapToGrid w:val="0"/>
              <w:spacing w:line="280" w:lineRule="exact"/>
              <w:jc w:val="center"/>
              <w:rPr>
                <w:rFonts w:eastAsia="楷体_GB2312"/>
                <w:szCs w:val="21"/>
              </w:rPr>
            </w:pPr>
            <w:r>
              <w:rPr>
                <w:rFonts w:eastAsia="楷体_GB2312"/>
                <w:szCs w:val="21"/>
              </w:rPr>
              <w:t>01</w:t>
            </w:r>
          </w:p>
        </w:tc>
        <w:tc>
          <w:tcPr>
            <w:tcW w:w="2851" w:type="dxa"/>
            <w:noWrap w:val="0"/>
            <w:vAlign w:val="center"/>
          </w:tcPr>
          <w:p w14:paraId="52CF4029">
            <w:pPr>
              <w:tabs>
                <w:tab w:val="center" w:pos="4153"/>
                <w:tab w:val="right" w:pos="8306"/>
              </w:tabs>
              <w:snapToGrid w:val="0"/>
              <w:spacing w:line="280" w:lineRule="exact"/>
              <w:jc w:val="center"/>
              <w:rPr>
                <w:rFonts w:eastAsia="楷体_GB2312"/>
                <w:szCs w:val="21"/>
              </w:rPr>
            </w:pPr>
            <w:r>
              <w:rPr>
                <w:rFonts w:hint="eastAsia" w:eastAsia="楷体_GB2312"/>
                <w:szCs w:val="21"/>
              </w:rPr>
              <w:t>永镇乡农贸市场</w:t>
            </w:r>
          </w:p>
        </w:tc>
        <w:tc>
          <w:tcPr>
            <w:tcW w:w="2020" w:type="dxa"/>
            <w:noWrap w:val="0"/>
            <w:vAlign w:val="center"/>
          </w:tcPr>
          <w:p w14:paraId="28445076">
            <w:pPr>
              <w:jc w:val="center"/>
              <w:rPr>
                <w:rFonts w:eastAsia="楷体_GB2312"/>
                <w:szCs w:val="21"/>
              </w:rPr>
            </w:pPr>
            <w:r>
              <w:rPr>
                <w:rFonts w:hint="eastAsia" w:eastAsia="楷体_GB2312"/>
                <w:szCs w:val="21"/>
              </w:rPr>
              <w:t>500</w:t>
            </w:r>
          </w:p>
        </w:tc>
      </w:tr>
      <w:tr w14:paraId="5F1D9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1C901230">
            <w:pPr>
              <w:tabs>
                <w:tab w:val="left" w:pos="0"/>
                <w:tab w:val="left" w:pos="295"/>
              </w:tabs>
              <w:jc w:val="center"/>
              <w:rPr>
                <w:rFonts w:eastAsia="楷体_GB2312"/>
                <w:szCs w:val="21"/>
              </w:rPr>
            </w:pPr>
            <w:r>
              <w:rPr>
                <w:rFonts w:hint="eastAsia" w:eastAsia="楷体_GB2312"/>
                <w:szCs w:val="21"/>
              </w:rPr>
              <w:t>17</w:t>
            </w:r>
          </w:p>
        </w:tc>
        <w:tc>
          <w:tcPr>
            <w:tcW w:w="1731" w:type="dxa"/>
            <w:noWrap w:val="0"/>
            <w:vAlign w:val="center"/>
          </w:tcPr>
          <w:p w14:paraId="09B196AF">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解集镇</w:t>
            </w:r>
          </w:p>
        </w:tc>
        <w:tc>
          <w:tcPr>
            <w:tcW w:w="1478" w:type="dxa"/>
            <w:noWrap w:val="0"/>
            <w:vAlign w:val="center"/>
          </w:tcPr>
          <w:p w14:paraId="19DACC16">
            <w:pPr>
              <w:tabs>
                <w:tab w:val="center" w:pos="4153"/>
                <w:tab w:val="right" w:pos="8306"/>
              </w:tabs>
              <w:snapToGrid w:val="0"/>
              <w:spacing w:line="280" w:lineRule="exact"/>
              <w:jc w:val="center"/>
              <w:rPr>
                <w:rFonts w:eastAsia="楷体_GB2312"/>
                <w:szCs w:val="21"/>
              </w:rPr>
            </w:pPr>
            <w:r>
              <w:rPr>
                <w:rFonts w:eastAsia="楷体_GB2312"/>
                <w:szCs w:val="21"/>
              </w:rPr>
              <w:t>01</w:t>
            </w:r>
          </w:p>
        </w:tc>
        <w:tc>
          <w:tcPr>
            <w:tcW w:w="2851" w:type="dxa"/>
            <w:noWrap w:val="0"/>
            <w:vAlign w:val="center"/>
          </w:tcPr>
          <w:p w14:paraId="0764248E">
            <w:pPr>
              <w:tabs>
                <w:tab w:val="center" w:pos="4153"/>
                <w:tab w:val="right" w:pos="8306"/>
              </w:tabs>
              <w:snapToGrid w:val="0"/>
              <w:spacing w:line="280" w:lineRule="exact"/>
              <w:jc w:val="center"/>
              <w:rPr>
                <w:rFonts w:eastAsia="楷体_GB2312"/>
                <w:szCs w:val="21"/>
              </w:rPr>
            </w:pPr>
            <w:r>
              <w:rPr>
                <w:rFonts w:eastAsia="楷体_GB2312"/>
              </w:rPr>
              <w:t>解集镇</w:t>
            </w:r>
            <w:r>
              <w:rPr>
                <w:rFonts w:hint="eastAsia" w:eastAsia="楷体_GB2312"/>
                <w:szCs w:val="21"/>
              </w:rPr>
              <w:t>农贸市场</w:t>
            </w:r>
          </w:p>
        </w:tc>
        <w:tc>
          <w:tcPr>
            <w:tcW w:w="2020" w:type="dxa"/>
            <w:noWrap w:val="0"/>
            <w:vAlign w:val="center"/>
          </w:tcPr>
          <w:p w14:paraId="5DFE58DF">
            <w:pPr>
              <w:jc w:val="center"/>
              <w:rPr>
                <w:rFonts w:eastAsia="楷体_GB2312"/>
                <w:szCs w:val="21"/>
              </w:rPr>
            </w:pPr>
            <w:r>
              <w:rPr>
                <w:rFonts w:hint="eastAsia" w:eastAsia="楷体_GB2312"/>
                <w:szCs w:val="21"/>
              </w:rPr>
              <w:t>450</w:t>
            </w:r>
          </w:p>
        </w:tc>
      </w:tr>
      <w:tr w14:paraId="5BB0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4C470DE5">
            <w:pPr>
              <w:tabs>
                <w:tab w:val="left" w:pos="0"/>
                <w:tab w:val="left" w:pos="295"/>
              </w:tabs>
              <w:jc w:val="center"/>
              <w:rPr>
                <w:rFonts w:eastAsia="楷体_GB2312"/>
                <w:szCs w:val="21"/>
              </w:rPr>
            </w:pPr>
            <w:r>
              <w:rPr>
                <w:rFonts w:hint="eastAsia" w:eastAsia="楷体_GB2312"/>
                <w:szCs w:val="21"/>
              </w:rPr>
              <w:t>18</w:t>
            </w:r>
          </w:p>
        </w:tc>
        <w:tc>
          <w:tcPr>
            <w:tcW w:w="1731" w:type="dxa"/>
            <w:noWrap w:val="0"/>
            <w:vAlign w:val="center"/>
          </w:tcPr>
          <w:p w14:paraId="1407BFDA">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大泽乡镇</w:t>
            </w:r>
          </w:p>
        </w:tc>
        <w:tc>
          <w:tcPr>
            <w:tcW w:w="1478" w:type="dxa"/>
            <w:noWrap w:val="0"/>
            <w:vAlign w:val="center"/>
          </w:tcPr>
          <w:p w14:paraId="3619378A">
            <w:pPr>
              <w:tabs>
                <w:tab w:val="center" w:pos="4153"/>
                <w:tab w:val="right" w:pos="8306"/>
              </w:tabs>
              <w:snapToGrid w:val="0"/>
              <w:spacing w:line="280" w:lineRule="exact"/>
              <w:jc w:val="center"/>
              <w:rPr>
                <w:rFonts w:eastAsia="楷体_GB2312"/>
                <w:szCs w:val="21"/>
              </w:rPr>
            </w:pPr>
            <w:r>
              <w:rPr>
                <w:rFonts w:eastAsia="楷体_GB2312"/>
                <w:szCs w:val="21"/>
              </w:rPr>
              <w:t>01</w:t>
            </w:r>
          </w:p>
        </w:tc>
        <w:tc>
          <w:tcPr>
            <w:tcW w:w="2851" w:type="dxa"/>
            <w:noWrap w:val="0"/>
            <w:vAlign w:val="center"/>
          </w:tcPr>
          <w:p w14:paraId="1FE7DBBF">
            <w:pPr>
              <w:tabs>
                <w:tab w:val="center" w:pos="4153"/>
                <w:tab w:val="right" w:pos="8306"/>
              </w:tabs>
              <w:snapToGrid w:val="0"/>
              <w:spacing w:line="280" w:lineRule="exact"/>
              <w:jc w:val="center"/>
              <w:rPr>
                <w:rFonts w:eastAsia="楷体_GB2312"/>
                <w:szCs w:val="21"/>
              </w:rPr>
            </w:pPr>
            <w:r>
              <w:rPr>
                <w:rFonts w:eastAsia="楷体_GB2312"/>
              </w:rPr>
              <w:t>大泽乡镇</w:t>
            </w:r>
            <w:r>
              <w:rPr>
                <w:rFonts w:hint="eastAsia" w:eastAsia="楷体_GB2312"/>
                <w:szCs w:val="21"/>
              </w:rPr>
              <w:t>农贸市场</w:t>
            </w:r>
          </w:p>
        </w:tc>
        <w:tc>
          <w:tcPr>
            <w:tcW w:w="2020" w:type="dxa"/>
            <w:noWrap w:val="0"/>
            <w:vAlign w:val="center"/>
          </w:tcPr>
          <w:p w14:paraId="09646611">
            <w:pPr>
              <w:jc w:val="center"/>
              <w:rPr>
                <w:rFonts w:eastAsia="楷体_GB2312"/>
                <w:szCs w:val="21"/>
              </w:rPr>
            </w:pPr>
            <w:r>
              <w:rPr>
                <w:rFonts w:hint="eastAsia" w:eastAsia="楷体_GB2312"/>
                <w:szCs w:val="21"/>
              </w:rPr>
              <w:t>680</w:t>
            </w:r>
          </w:p>
        </w:tc>
      </w:tr>
      <w:tr w14:paraId="3C15F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500E74AA">
            <w:pPr>
              <w:tabs>
                <w:tab w:val="left" w:pos="0"/>
                <w:tab w:val="left" w:pos="295"/>
              </w:tabs>
              <w:jc w:val="center"/>
              <w:rPr>
                <w:rFonts w:eastAsia="楷体_GB2312"/>
                <w:szCs w:val="21"/>
              </w:rPr>
            </w:pPr>
            <w:r>
              <w:rPr>
                <w:rFonts w:hint="eastAsia" w:eastAsia="楷体_GB2312"/>
                <w:szCs w:val="21"/>
              </w:rPr>
              <w:t>19</w:t>
            </w:r>
          </w:p>
        </w:tc>
        <w:tc>
          <w:tcPr>
            <w:tcW w:w="1731" w:type="dxa"/>
            <w:noWrap w:val="0"/>
            <w:vAlign w:val="center"/>
          </w:tcPr>
          <w:p w14:paraId="783D413D">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永安镇</w:t>
            </w:r>
          </w:p>
        </w:tc>
        <w:tc>
          <w:tcPr>
            <w:tcW w:w="1478" w:type="dxa"/>
            <w:noWrap w:val="0"/>
            <w:vAlign w:val="center"/>
          </w:tcPr>
          <w:p w14:paraId="32522846">
            <w:pPr>
              <w:tabs>
                <w:tab w:val="center" w:pos="4153"/>
                <w:tab w:val="right" w:pos="8306"/>
              </w:tabs>
              <w:snapToGrid w:val="0"/>
              <w:spacing w:line="280" w:lineRule="exact"/>
              <w:jc w:val="center"/>
              <w:rPr>
                <w:rFonts w:eastAsia="楷体_GB2312"/>
                <w:szCs w:val="21"/>
              </w:rPr>
            </w:pPr>
            <w:r>
              <w:rPr>
                <w:rFonts w:eastAsia="楷体_GB2312"/>
                <w:szCs w:val="21"/>
              </w:rPr>
              <w:t>01</w:t>
            </w:r>
          </w:p>
        </w:tc>
        <w:tc>
          <w:tcPr>
            <w:tcW w:w="2851" w:type="dxa"/>
            <w:noWrap w:val="0"/>
            <w:vAlign w:val="center"/>
          </w:tcPr>
          <w:p w14:paraId="6E1E2118">
            <w:pPr>
              <w:tabs>
                <w:tab w:val="center" w:pos="4153"/>
                <w:tab w:val="right" w:pos="8306"/>
              </w:tabs>
              <w:snapToGrid w:val="0"/>
              <w:spacing w:line="280" w:lineRule="exact"/>
              <w:jc w:val="center"/>
              <w:rPr>
                <w:rFonts w:eastAsia="楷体_GB2312"/>
                <w:szCs w:val="21"/>
              </w:rPr>
            </w:pPr>
            <w:r>
              <w:rPr>
                <w:rFonts w:eastAsia="楷体_GB2312"/>
              </w:rPr>
              <w:t>永安镇</w:t>
            </w:r>
            <w:r>
              <w:rPr>
                <w:rFonts w:hint="eastAsia" w:eastAsia="楷体_GB2312"/>
                <w:szCs w:val="21"/>
              </w:rPr>
              <w:t>农贸市场</w:t>
            </w:r>
          </w:p>
        </w:tc>
        <w:tc>
          <w:tcPr>
            <w:tcW w:w="2020" w:type="dxa"/>
            <w:noWrap w:val="0"/>
            <w:vAlign w:val="center"/>
          </w:tcPr>
          <w:p w14:paraId="7172F198">
            <w:pPr>
              <w:jc w:val="center"/>
              <w:rPr>
                <w:rFonts w:eastAsia="楷体_GB2312"/>
                <w:szCs w:val="21"/>
              </w:rPr>
            </w:pPr>
            <w:r>
              <w:rPr>
                <w:rFonts w:hint="eastAsia" w:eastAsia="楷体_GB2312"/>
                <w:szCs w:val="21"/>
              </w:rPr>
              <w:t>420</w:t>
            </w:r>
          </w:p>
        </w:tc>
      </w:tr>
      <w:tr w14:paraId="4FC2A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630FE40F">
            <w:pPr>
              <w:tabs>
                <w:tab w:val="left" w:pos="0"/>
                <w:tab w:val="left" w:pos="295"/>
              </w:tabs>
              <w:jc w:val="center"/>
              <w:rPr>
                <w:rFonts w:eastAsia="楷体_GB2312"/>
                <w:szCs w:val="21"/>
              </w:rPr>
            </w:pPr>
            <w:r>
              <w:rPr>
                <w:rFonts w:hint="eastAsia" w:eastAsia="楷体_GB2312"/>
                <w:szCs w:val="21"/>
              </w:rPr>
              <w:t>20</w:t>
            </w:r>
          </w:p>
        </w:tc>
        <w:tc>
          <w:tcPr>
            <w:tcW w:w="1731" w:type="dxa"/>
            <w:noWrap w:val="0"/>
            <w:vAlign w:val="center"/>
          </w:tcPr>
          <w:p w14:paraId="7893B253">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支河乡</w:t>
            </w:r>
          </w:p>
        </w:tc>
        <w:tc>
          <w:tcPr>
            <w:tcW w:w="1478" w:type="dxa"/>
            <w:noWrap w:val="0"/>
            <w:vAlign w:val="center"/>
          </w:tcPr>
          <w:p w14:paraId="1699D785">
            <w:pPr>
              <w:tabs>
                <w:tab w:val="center" w:pos="4153"/>
                <w:tab w:val="right" w:pos="8306"/>
              </w:tabs>
              <w:snapToGrid w:val="0"/>
              <w:spacing w:line="280" w:lineRule="exact"/>
              <w:jc w:val="center"/>
              <w:rPr>
                <w:rFonts w:eastAsia="楷体_GB2312"/>
                <w:szCs w:val="21"/>
              </w:rPr>
            </w:pPr>
            <w:r>
              <w:rPr>
                <w:rFonts w:eastAsia="楷体_GB2312"/>
                <w:szCs w:val="21"/>
              </w:rPr>
              <w:t>01</w:t>
            </w:r>
          </w:p>
        </w:tc>
        <w:tc>
          <w:tcPr>
            <w:tcW w:w="2851" w:type="dxa"/>
            <w:noWrap w:val="0"/>
            <w:vAlign w:val="center"/>
          </w:tcPr>
          <w:p w14:paraId="02F5B83F">
            <w:pPr>
              <w:tabs>
                <w:tab w:val="center" w:pos="4153"/>
                <w:tab w:val="right" w:pos="8306"/>
              </w:tabs>
              <w:snapToGrid w:val="0"/>
              <w:spacing w:line="280" w:lineRule="exact"/>
              <w:jc w:val="center"/>
              <w:rPr>
                <w:rFonts w:eastAsia="楷体_GB2312"/>
                <w:szCs w:val="21"/>
              </w:rPr>
            </w:pPr>
            <w:r>
              <w:rPr>
                <w:rFonts w:eastAsia="楷体_GB2312"/>
              </w:rPr>
              <w:t>支河乡</w:t>
            </w:r>
            <w:r>
              <w:rPr>
                <w:rFonts w:hint="eastAsia" w:eastAsia="楷体_GB2312"/>
                <w:szCs w:val="21"/>
              </w:rPr>
              <w:t>农贸市场</w:t>
            </w:r>
          </w:p>
        </w:tc>
        <w:tc>
          <w:tcPr>
            <w:tcW w:w="2020" w:type="dxa"/>
            <w:noWrap w:val="0"/>
            <w:vAlign w:val="center"/>
          </w:tcPr>
          <w:p w14:paraId="66A4B214">
            <w:pPr>
              <w:jc w:val="center"/>
              <w:rPr>
                <w:rFonts w:eastAsia="楷体_GB2312"/>
                <w:szCs w:val="21"/>
              </w:rPr>
            </w:pPr>
            <w:r>
              <w:rPr>
                <w:rFonts w:hint="eastAsia" w:eastAsia="楷体_GB2312"/>
                <w:szCs w:val="21"/>
              </w:rPr>
              <w:t>400</w:t>
            </w:r>
          </w:p>
        </w:tc>
      </w:tr>
      <w:tr w14:paraId="2E11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7E220E9D">
            <w:pPr>
              <w:tabs>
                <w:tab w:val="left" w:pos="0"/>
                <w:tab w:val="left" w:pos="295"/>
              </w:tabs>
              <w:jc w:val="center"/>
              <w:rPr>
                <w:rFonts w:eastAsia="楷体_GB2312"/>
                <w:szCs w:val="21"/>
              </w:rPr>
            </w:pPr>
            <w:r>
              <w:rPr>
                <w:rFonts w:hint="eastAsia" w:eastAsia="楷体_GB2312"/>
                <w:szCs w:val="21"/>
              </w:rPr>
              <w:t>21</w:t>
            </w:r>
          </w:p>
        </w:tc>
        <w:tc>
          <w:tcPr>
            <w:tcW w:w="1731" w:type="dxa"/>
            <w:noWrap w:val="0"/>
            <w:vAlign w:val="center"/>
          </w:tcPr>
          <w:p w14:paraId="3285456D">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灰古镇</w:t>
            </w:r>
          </w:p>
        </w:tc>
        <w:tc>
          <w:tcPr>
            <w:tcW w:w="1478" w:type="dxa"/>
            <w:noWrap w:val="0"/>
            <w:vAlign w:val="center"/>
          </w:tcPr>
          <w:p w14:paraId="7FBDFDDF">
            <w:pPr>
              <w:tabs>
                <w:tab w:val="center" w:pos="4153"/>
                <w:tab w:val="right" w:pos="8306"/>
              </w:tabs>
              <w:snapToGrid w:val="0"/>
              <w:spacing w:line="280" w:lineRule="exact"/>
              <w:jc w:val="center"/>
              <w:rPr>
                <w:rFonts w:eastAsia="楷体_GB2312"/>
                <w:szCs w:val="21"/>
              </w:rPr>
            </w:pPr>
            <w:r>
              <w:rPr>
                <w:rFonts w:eastAsia="楷体_GB2312"/>
                <w:szCs w:val="21"/>
              </w:rPr>
              <w:t>01</w:t>
            </w:r>
          </w:p>
        </w:tc>
        <w:tc>
          <w:tcPr>
            <w:tcW w:w="2851" w:type="dxa"/>
            <w:noWrap w:val="0"/>
            <w:vAlign w:val="center"/>
          </w:tcPr>
          <w:p w14:paraId="4F1425D3">
            <w:pPr>
              <w:tabs>
                <w:tab w:val="center" w:pos="4153"/>
                <w:tab w:val="right" w:pos="8306"/>
              </w:tabs>
              <w:snapToGrid w:val="0"/>
              <w:spacing w:line="280" w:lineRule="exact"/>
              <w:jc w:val="center"/>
              <w:rPr>
                <w:rFonts w:eastAsia="楷体_GB2312"/>
                <w:szCs w:val="21"/>
              </w:rPr>
            </w:pPr>
            <w:r>
              <w:rPr>
                <w:rFonts w:eastAsia="楷体_GB2312"/>
              </w:rPr>
              <w:t>灰古镇</w:t>
            </w:r>
            <w:r>
              <w:rPr>
                <w:rFonts w:hint="eastAsia" w:eastAsia="楷体_GB2312"/>
                <w:szCs w:val="21"/>
              </w:rPr>
              <w:t>农贸市场</w:t>
            </w:r>
          </w:p>
        </w:tc>
        <w:tc>
          <w:tcPr>
            <w:tcW w:w="2020" w:type="dxa"/>
            <w:noWrap w:val="0"/>
            <w:vAlign w:val="center"/>
          </w:tcPr>
          <w:p w14:paraId="400D7E6A">
            <w:pPr>
              <w:jc w:val="center"/>
              <w:rPr>
                <w:rFonts w:eastAsia="楷体_GB2312"/>
                <w:szCs w:val="21"/>
              </w:rPr>
            </w:pPr>
            <w:r>
              <w:rPr>
                <w:rFonts w:hint="eastAsia" w:eastAsia="楷体_GB2312"/>
                <w:szCs w:val="21"/>
              </w:rPr>
              <w:t>370</w:t>
            </w:r>
          </w:p>
        </w:tc>
      </w:tr>
      <w:tr w14:paraId="2B541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2" w:type="dxa"/>
            <w:noWrap w:val="0"/>
            <w:vAlign w:val="center"/>
          </w:tcPr>
          <w:p w14:paraId="0FC3BBF0">
            <w:pPr>
              <w:tabs>
                <w:tab w:val="left" w:pos="0"/>
                <w:tab w:val="left" w:pos="295"/>
              </w:tabs>
              <w:jc w:val="center"/>
              <w:rPr>
                <w:rFonts w:eastAsia="楷体_GB2312"/>
                <w:szCs w:val="21"/>
              </w:rPr>
            </w:pPr>
            <w:r>
              <w:rPr>
                <w:rFonts w:hint="eastAsia" w:eastAsia="楷体_GB2312"/>
                <w:szCs w:val="21"/>
              </w:rPr>
              <w:t>22</w:t>
            </w:r>
          </w:p>
        </w:tc>
        <w:tc>
          <w:tcPr>
            <w:tcW w:w="1731" w:type="dxa"/>
            <w:noWrap w:val="0"/>
            <w:vAlign w:val="center"/>
          </w:tcPr>
          <w:p w14:paraId="4D18028B">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桃沟乡</w:t>
            </w:r>
          </w:p>
        </w:tc>
        <w:tc>
          <w:tcPr>
            <w:tcW w:w="1478" w:type="dxa"/>
            <w:noWrap w:val="0"/>
            <w:vAlign w:val="center"/>
          </w:tcPr>
          <w:p w14:paraId="5CE0A94F">
            <w:pPr>
              <w:tabs>
                <w:tab w:val="center" w:pos="4153"/>
                <w:tab w:val="right" w:pos="8306"/>
              </w:tabs>
              <w:snapToGrid w:val="0"/>
              <w:spacing w:line="280" w:lineRule="exact"/>
              <w:jc w:val="center"/>
              <w:rPr>
                <w:rFonts w:eastAsia="楷体_GB2312"/>
                <w:szCs w:val="21"/>
              </w:rPr>
            </w:pPr>
            <w:r>
              <w:rPr>
                <w:rFonts w:eastAsia="楷体_GB2312"/>
                <w:szCs w:val="21"/>
              </w:rPr>
              <w:t>01</w:t>
            </w:r>
          </w:p>
        </w:tc>
        <w:tc>
          <w:tcPr>
            <w:tcW w:w="2851" w:type="dxa"/>
            <w:noWrap w:val="0"/>
            <w:vAlign w:val="center"/>
          </w:tcPr>
          <w:p w14:paraId="5C77439A">
            <w:pPr>
              <w:tabs>
                <w:tab w:val="center" w:pos="4153"/>
                <w:tab w:val="right" w:pos="8306"/>
              </w:tabs>
              <w:snapToGrid w:val="0"/>
              <w:spacing w:line="280" w:lineRule="exact"/>
              <w:jc w:val="center"/>
              <w:rPr>
                <w:rFonts w:eastAsia="楷体_GB2312"/>
                <w:szCs w:val="21"/>
              </w:rPr>
            </w:pPr>
            <w:r>
              <w:rPr>
                <w:rFonts w:eastAsia="楷体_GB2312"/>
              </w:rPr>
              <w:t>桃沟乡</w:t>
            </w:r>
            <w:r>
              <w:rPr>
                <w:rFonts w:hint="eastAsia" w:eastAsia="楷体_GB2312"/>
                <w:szCs w:val="21"/>
              </w:rPr>
              <w:t>农贸市场</w:t>
            </w:r>
          </w:p>
        </w:tc>
        <w:tc>
          <w:tcPr>
            <w:tcW w:w="2020" w:type="dxa"/>
            <w:noWrap w:val="0"/>
            <w:vAlign w:val="center"/>
          </w:tcPr>
          <w:p w14:paraId="0131E5F1">
            <w:pPr>
              <w:jc w:val="center"/>
              <w:rPr>
                <w:rFonts w:eastAsia="楷体_GB2312"/>
                <w:szCs w:val="21"/>
              </w:rPr>
            </w:pPr>
            <w:r>
              <w:rPr>
                <w:rFonts w:hint="eastAsia" w:eastAsia="楷体_GB2312"/>
                <w:szCs w:val="21"/>
              </w:rPr>
              <w:t>430</w:t>
            </w:r>
          </w:p>
        </w:tc>
      </w:tr>
    </w:tbl>
    <w:p w14:paraId="795B86A8">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二、公用设施功能分和服务半径的确定</w:t>
      </w:r>
    </w:p>
    <w:p w14:paraId="2AC435AF">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1、中学、小学、幼儿园功能分和服务半径的确定</w:t>
      </w:r>
    </w:p>
    <w:p w14:paraId="58F2095B">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参照《城镇土地分等定级规程》的规定，按下列步骤确定中小学和幼儿园的功能分和服务半径。</w:t>
      </w:r>
    </w:p>
    <w:p w14:paraId="64775D3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（1）计算作用指数</w:t>
      </w:r>
    </w:p>
    <w:p w14:paraId="01C76B28">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以学校的班级数、学生数</w:t>
      </w:r>
      <w:r>
        <w:rPr>
          <w:rFonts w:hint="eastAsia" w:ascii="Times New Roman" w:hAnsi="Times New Roman" w:eastAsia="楷体_GB2312" w:cs="Times New Roman"/>
          <w:sz w:val="28"/>
        </w:rPr>
        <w:t>、教职工人数</w:t>
      </w:r>
      <w:r>
        <w:rPr>
          <w:rFonts w:ascii="Times New Roman" w:hAnsi="Times New Roman" w:eastAsia="楷体_GB2312" w:cs="Times New Roman"/>
          <w:sz w:val="28"/>
        </w:rPr>
        <w:t>作为评价指标，对其进行最大值标准化处理，计算各学校的作用指数。</w:t>
      </w:r>
    </w:p>
    <w:p w14:paraId="4A77092E">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（2）学校级别划分</w:t>
      </w:r>
    </w:p>
    <w:p w14:paraId="21DA3CB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根据各学校的作用指数和实际情况划分学校的级别。</w:t>
      </w:r>
    </w:p>
    <w:p w14:paraId="5B4A2B3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（3）计算功能分</w:t>
      </w:r>
    </w:p>
    <w:p w14:paraId="328C24A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根据各学校的作用指数按级别求其平均值，再对其进行最大值标准化，所得结果乘以100，最终得到各级学校的功能分。</w:t>
      </w:r>
    </w:p>
    <w:p w14:paraId="5D0EDAA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（4）服务半径的确定</w:t>
      </w:r>
    </w:p>
    <w:p w14:paraId="044D193B">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参照《城镇土地分等定级规程》的规定，学校的服务半径按其分布状况、级别和影响力的大小在0.3-3公里之间确定。</w:t>
      </w:r>
    </w:p>
    <w:p w14:paraId="66760AEB">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各乡镇区中小学和幼儿园的功能分及服务半径确定结果见表1-3-</w:t>
      </w:r>
      <w:r>
        <w:rPr>
          <w:rFonts w:hint="eastAsia" w:ascii="Times New Roman" w:hAnsi="Times New Roman" w:eastAsia="楷体_GB2312" w:cs="Times New Roman"/>
          <w:sz w:val="28"/>
        </w:rPr>
        <w:t>41</w:t>
      </w:r>
      <w:r>
        <w:rPr>
          <w:rFonts w:ascii="Times New Roman" w:hAnsi="Times New Roman" w:eastAsia="楷体_GB2312" w:cs="Times New Roman"/>
          <w:sz w:val="28"/>
        </w:rPr>
        <w:t>至表1-3-</w:t>
      </w:r>
      <w:r>
        <w:rPr>
          <w:rFonts w:hint="eastAsia" w:ascii="Times New Roman" w:hAnsi="Times New Roman" w:eastAsia="楷体_GB2312" w:cs="Times New Roman"/>
          <w:sz w:val="28"/>
        </w:rPr>
        <w:t>43</w:t>
      </w:r>
      <w:r>
        <w:rPr>
          <w:rFonts w:ascii="Times New Roman" w:hAnsi="Times New Roman" w:eastAsia="楷体_GB2312" w:cs="Times New Roman"/>
          <w:sz w:val="28"/>
        </w:rPr>
        <w:t>。</w:t>
      </w:r>
    </w:p>
    <w:p w14:paraId="4DA6F615">
      <w:pPr>
        <w:spacing w:before="120" w:beforeLines="50" w:line="480" w:lineRule="exact"/>
        <w:jc w:val="center"/>
        <w:rPr>
          <w:rFonts w:eastAsia="黑体"/>
          <w:sz w:val="28"/>
        </w:rPr>
      </w:pPr>
      <w:r>
        <w:rPr>
          <w:rFonts w:eastAsia="黑体"/>
          <w:sz w:val="28"/>
        </w:rPr>
        <w:br w:type="page"/>
      </w:r>
      <w:r>
        <w:rPr>
          <w:rFonts w:eastAsia="黑体"/>
          <w:sz w:val="28"/>
        </w:rPr>
        <w:t>表1-3-</w:t>
      </w:r>
      <w:r>
        <w:rPr>
          <w:rFonts w:hint="eastAsia" w:eastAsia="黑体"/>
          <w:sz w:val="28"/>
        </w:rPr>
        <w:t>41</w:t>
      </w:r>
      <w:r>
        <w:rPr>
          <w:rFonts w:eastAsia="黑体"/>
          <w:sz w:val="28"/>
        </w:rPr>
        <w:t xml:space="preserve">  埇桥区各乡镇镇区中学功能分及服务半径表</w:t>
      </w:r>
    </w:p>
    <w:tbl>
      <w:tblPr>
        <w:tblStyle w:val="38"/>
        <w:tblW w:w="9072"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134"/>
        <w:gridCol w:w="992"/>
        <w:gridCol w:w="2527"/>
        <w:gridCol w:w="876"/>
        <w:gridCol w:w="567"/>
        <w:gridCol w:w="708"/>
        <w:gridCol w:w="1402"/>
      </w:tblGrid>
      <w:tr w14:paraId="1B10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trPr>
        <w:tc>
          <w:tcPr>
            <w:tcW w:w="866" w:type="dxa"/>
            <w:noWrap w:val="0"/>
            <w:vAlign w:val="center"/>
          </w:tcPr>
          <w:p w14:paraId="4EF3436B">
            <w:pPr>
              <w:ind w:left="-105" w:leftChars="-50" w:right="-105" w:rightChars="-50"/>
              <w:jc w:val="center"/>
              <w:rPr>
                <w:rFonts w:eastAsia="楷体_GB2312"/>
                <w:color w:val="000000"/>
                <w:kern w:val="0"/>
                <w:szCs w:val="21"/>
              </w:rPr>
            </w:pPr>
            <w:r>
              <w:rPr>
                <w:rFonts w:eastAsia="楷体_GB2312"/>
                <w:color w:val="000000"/>
                <w:kern w:val="0"/>
                <w:szCs w:val="21"/>
              </w:rPr>
              <w:t>城镇编号</w:t>
            </w:r>
          </w:p>
        </w:tc>
        <w:tc>
          <w:tcPr>
            <w:tcW w:w="1134" w:type="dxa"/>
            <w:noWrap w:val="0"/>
            <w:vAlign w:val="center"/>
          </w:tcPr>
          <w:p w14:paraId="257508A1">
            <w:pPr>
              <w:ind w:left="-105" w:leftChars="-50" w:right="-105" w:rightChars="-50"/>
              <w:jc w:val="center"/>
              <w:rPr>
                <w:rFonts w:eastAsia="楷体_GB2312"/>
                <w:color w:val="000000"/>
                <w:kern w:val="0"/>
                <w:szCs w:val="21"/>
              </w:rPr>
            </w:pPr>
            <w:r>
              <w:rPr>
                <w:rFonts w:eastAsia="楷体_GB2312"/>
                <w:color w:val="000000"/>
                <w:kern w:val="0"/>
                <w:szCs w:val="21"/>
              </w:rPr>
              <w:t>乡镇名称</w:t>
            </w:r>
          </w:p>
        </w:tc>
        <w:tc>
          <w:tcPr>
            <w:tcW w:w="992" w:type="dxa"/>
            <w:noWrap w:val="0"/>
            <w:vAlign w:val="center"/>
          </w:tcPr>
          <w:p w14:paraId="555D3671">
            <w:pPr>
              <w:ind w:left="-105" w:leftChars="-50" w:right="-105" w:rightChars="-50"/>
              <w:jc w:val="center"/>
              <w:rPr>
                <w:rFonts w:eastAsia="楷体_GB2312"/>
                <w:color w:val="000000"/>
                <w:kern w:val="0"/>
                <w:szCs w:val="21"/>
              </w:rPr>
            </w:pPr>
            <w:r>
              <w:rPr>
                <w:rFonts w:eastAsia="楷体_GB2312"/>
                <w:color w:val="000000"/>
                <w:kern w:val="0"/>
                <w:szCs w:val="21"/>
              </w:rPr>
              <w:t>中学编号</w:t>
            </w:r>
          </w:p>
        </w:tc>
        <w:tc>
          <w:tcPr>
            <w:tcW w:w="2527" w:type="dxa"/>
            <w:noWrap w:val="0"/>
            <w:vAlign w:val="center"/>
          </w:tcPr>
          <w:p w14:paraId="0193DB15">
            <w:pPr>
              <w:ind w:left="-105" w:leftChars="-50" w:right="-105" w:rightChars="-50"/>
              <w:jc w:val="center"/>
              <w:rPr>
                <w:rFonts w:eastAsia="楷体_GB2312"/>
                <w:color w:val="000000"/>
                <w:kern w:val="0"/>
                <w:szCs w:val="21"/>
              </w:rPr>
            </w:pPr>
            <w:r>
              <w:rPr>
                <w:rFonts w:eastAsia="楷体_GB2312"/>
                <w:color w:val="000000"/>
                <w:kern w:val="0"/>
                <w:szCs w:val="21"/>
              </w:rPr>
              <w:t>中学名称</w:t>
            </w:r>
          </w:p>
        </w:tc>
        <w:tc>
          <w:tcPr>
            <w:tcW w:w="876" w:type="dxa"/>
            <w:noWrap w:val="0"/>
            <w:vAlign w:val="center"/>
          </w:tcPr>
          <w:p w14:paraId="59C3A700">
            <w:pPr>
              <w:ind w:left="-105" w:leftChars="-50" w:right="-105" w:rightChars="-50"/>
              <w:jc w:val="center"/>
              <w:rPr>
                <w:rFonts w:eastAsia="楷体_GB2312"/>
                <w:color w:val="000000"/>
                <w:kern w:val="0"/>
                <w:szCs w:val="21"/>
              </w:rPr>
            </w:pPr>
            <w:r>
              <w:rPr>
                <w:rFonts w:eastAsia="楷体_GB2312"/>
                <w:color w:val="000000"/>
                <w:kern w:val="0"/>
                <w:szCs w:val="21"/>
              </w:rPr>
              <w:t>作用指数</w:t>
            </w:r>
          </w:p>
        </w:tc>
        <w:tc>
          <w:tcPr>
            <w:tcW w:w="567" w:type="dxa"/>
            <w:noWrap w:val="0"/>
            <w:vAlign w:val="center"/>
          </w:tcPr>
          <w:p w14:paraId="418270FC">
            <w:pPr>
              <w:ind w:left="-105" w:leftChars="-50" w:right="-105" w:rightChars="-50"/>
              <w:jc w:val="center"/>
              <w:rPr>
                <w:rFonts w:eastAsia="楷体_GB2312"/>
                <w:color w:val="000000"/>
                <w:kern w:val="0"/>
                <w:szCs w:val="21"/>
              </w:rPr>
            </w:pPr>
            <w:r>
              <w:rPr>
                <w:rFonts w:eastAsia="楷体_GB2312"/>
                <w:color w:val="000000"/>
                <w:kern w:val="0"/>
                <w:szCs w:val="21"/>
              </w:rPr>
              <w:t>级别</w:t>
            </w:r>
          </w:p>
        </w:tc>
        <w:tc>
          <w:tcPr>
            <w:tcW w:w="708" w:type="dxa"/>
            <w:noWrap w:val="0"/>
            <w:vAlign w:val="center"/>
          </w:tcPr>
          <w:p w14:paraId="1C8E08FE">
            <w:pPr>
              <w:ind w:left="-105" w:leftChars="-50" w:right="-105" w:rightChars="-50"/>
              <w:jc w:val="center"/>
              <w:rPr>
                <w:rFonts w:eastAsia="楷体_GB2312"/>
                <w:color w:val="000000"/>
                <w:kern w:val="0"/>
                <w:szCs w:val="21"/>
              </w:rPr>
            </w:pPr>
            <w:r>
              <w:rPr>
                <w:rFonts w:eastAsia="楷体_GB2312"/>
                <w:color w:val="000000"/>
                <w:kern w:val="0"/>
                <w:szCs w:val="21"/>
              </w:rPr>
              <w:t>功能分</w:t>
            </w:r>
          </w:p>
        </w:tc>
        <w:tc>
          <w:tcPr>
            <w:tcW w:w="1402" w:type="dxa"/>
            <w:noWrap w:val="0"/>
            <w:vAlign w:val="center"/>
          </w:tcPr>
          <w:p w14:paraId="0059E229">
            <w:pPr>
              <w:ind w:left="-105" w:leftChars="-50" w:right="-105" w:rightChars="-50"/>
              <w:jc w:val="center"/>
              <w:rPr>
                <w:rFonts w:eastAsia="楷体_GB2312"/>
                <w:color w:val="000000"/>
                <w:kern w:val="0"/>
                <w:szCs w:val="21"/>
              </w:rPr>
            </w:pPr>
            <w:r>
              <w:rPr>
                <w:rFonts w:eastAsia="楷体_GB2312"/>
                <w:color w:val="000000"/>
                <w:kern w:val="0"/>
                <w:szCs w:val="21"/>
              </w:rPr>
              <w:t>影响半径（米）</w:t>
            </w:r>
          </w:p>
        </w:tc>
      </w:tr>
      <w:tr w14:paraId="76C19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noWrap w:val="0"/>
            <w:vAlign w:val="center"/>
          </w:tcPr>
          <w:p w14:paraId="5E4265EA">
            <w:pPr>
              <w:jc w:val="center"/>
              <w:rPr>
                <w:color w:val="000000"/>
                <w:kern w:val="0"/>
                <w:szCs w:val="21"/>
              </w:rPr>
            </w:pPr>
            <w:r>
              <w:rPr>
                <w:color w:val="000000"/>
                <w:kern w:val="0"/>
                <w:szCs w:val="21"/>
              </w:rPr>
              <w:t>1</w:t>
            </w:r>
          </w:p>
        </w:tc>
        <w:tc>
          <w:tcPr>
            <w:tcW w:w="1134" w:type="dxa"/>
            <w:noWrap w:val="0"/>
            <w:vAlign w:val="center"/>
          </w:tcPr>
          <w:p w14:paraId="0BF0FE36">
            <w:pPr>
              <w:jc w:val="center"/>
              <w:rPr>
                <w:rFonts w:eastAsia="楷体_GB2312"/>
                <w:color w:val="000000"/>
                <w:kern w:val="0"/>
                <w:szCs w:val="21"/>
              </w:rPr>
            </w:pPr>
            <w:r>
              <w:rPr>
                <w:rFonts w:eastAsia="楷体_GB2312"/>
                <w:color w:val="000000"/>
                <w:kern w:val="0"/>
                <w:szCs w:val="21"/>
              </w:rPr>
              <w:t>符离镇</w:t>
            </w:r>
          </w:p>
        </w:tc>
        <w:tc>
          <w:tcPr>
            <w:tcW w:w="992" w:type="dxa"/>
            <w:noWrap w:val="0"/>
            <w:vAlign w:val="center"/>
          </w:tcPr>
          <w:p w14:paraId="778B37CF">
            <w:pPr>
              <w:jc w:val="center"/>
              <w:rPr>
                <w:color w:val="000000"/>
                <w:kern w:val="0"/>
                <w:szCs w:val="21"/>
              </w:rPr>
            </w:pPr>
            <w:r>
              <w:rPr>
                <w:rFonts w:hint="eastAsia"/>
                <w:color w:val="000000"/>
                <w:kern w:val="0"/>
                <w:szCs w:val="21"/>
              </w:rPr>
              <w:t>0</w:t>
            </w:r>
            <w:r>
              <w:rPr>
                <w:color w:val="000000"/>
                <w:kern w:val="0"/>
                <w:szCs w:val="21"/>
              </w:rPr>
              <w:t>1</w:t>
            </w:r>
          </w:p>
        </w:tc>
        <w:tc>
          <w:tcPr>
            <w:tcW w:w="2527" w:type="dxa"/>
            <w:noWrap w:val="0"/>
            <w:vAlign w:val="center"/>
          </w:tcPr>
          <w:p w14:paraId="667EE1E1">
            <w:pPr>
              <w:jc w:val="center"/>
              <w:rPr>
                <w:rFonts w:eastAsia="楷体_GB2312"/>
                <w:color w:val="000000"/>
                <w:kern w:val="0"/>
                <w:szCs w:val="21"/>
              </w:rPr>
            </w:pPr>
            <w:r>
              <w:rPr>
                <w:rFonts w:eastAsia="楷体_GB2312"/>
                <w:color w:val="000000"/>
                <w:kern w:val="0"/>
                <w:szCs w:val="21"/>
              </w:rPr>
              <w:t>符离中学</w:t>
            </w:r>
          </w:p>
        </w:tc>
        <w:tc>
          <w:tcPr>
            <w:tcW w:w="876" w:type="dxa"/>
            <w:noWrap w:val="0"/>
            <w:vAlign w:val="center"/>
          </w:tcPr>
          <w:p w14:paraId="58102071">
            <w:pPr>
              <w:jc w:val="center"/>
              <w:rPr>
                <w:color w:val="000000"/>
                <w:kern w:val="0"/>
                <w:szCs w:val="21"/>
              </w:rPr>
            </w:pPr>
            <w:r>
              <w:rPr>
                <w:color w:val="000000"/>
                <w:kern w:val="0"/>
                <w:szCs w:val="21"/>
              </w:rPr>
              <w:t xml:space="preserve">1.0000 </w:t>
            </w:r>
          </w:p>
        </w:tc>
        <w:tc>
          <w:tcPr>
            <w:tcW w:w="567" w:type="dxa"/>
            <w:noWrap w:val="0"/>
            <w:vAlign w:val="center"/>
          </w:tcPr>
          <w:p w14:paraId="395AAEBC">
            <w:pPr>
              <w:jc w:val="center"/>
              <w:rPr>
                <w:color w:val="000000"/>
                <w:kern w:val="0"/>
                <w:szCs w:val="21"/>
              </w:rPr>
            </w:pPr>
            <w:r>
              <w:rPr>
                <w:color w:val="000000"/>
                <w:kern w:val="0"/>
                <w:szCs w:val="21"/>
              </w:rPr>
              <w:t>1</w:t>
            </w:r>
          </w:p>
        </w:tc>
        <w:tc>
          <w:tcPr>
            <w:tcW w:w="708" w:type="dxa"/>
            <w:noWrap w:val="0"/>
            <w:vAlign w:val="center"/>
          </w:tcPr>
          <w:p w14:paraId="3154CEAE">
            <w:pPr>
              <w:jc w:val="center"/>
              <w:rPr>
                <w:color w:val="000000"/>
                <w:kern w:val="0"/>
                <w:szCs w:val="21"/>
              </w:rPr>
            </w:pPr>
            <w:r>
              <w:rPr>
                <w:color w:val="000000"/>
                <w:kern w:val="0"/>
                <w:szCs w:val="21"/>
              </w:rPr>
              <w:t>100</w:t>
            </w:r>
          </w:p>
        </w:tc>
        <w:tc>
          <w:tcPr>
            <w:tcW w:w="1402" w:type="dxa"/>
            <w:noWrap w:val="0"/>
            <w:vAlign w:val="center"/>
          </w:tcPr>
          <w:p w14:paraId="2562D6C1">
            <w:pPr>
              <w:jc w:val="center"/>
              <w:rPr>
                <w:color w:val="000000"/>
                <w:kern w:val="0"/>
                <w:szCs w:val="21"/>
              </w:rPr>
            </w:pPr>
            <w:r>
              <w:rPr>
                <w:rFonts w:hint="eastAsia"/>
                <w:color w:val="000000"/>
                <w:kern w:val="0"/>
                <w:szCs w:val="21"/>
              </w:rPr>
              <w:t>3000</w:t>
            </w:r>
          </w:p>
        </w:tc>
      </w:tr>
      <w:tr w14:paraId="15EEB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vMerge w:val="restart"/>
            <w:noWrap w:val="0"/>
            <w:vAlign w:val="center"/>
          </w:tcPr>
          <w:p w14:paraId="69B36D89">
            <w:pPr>
              <w:jc w:val="center"/>
              <w:rPr>
                <w:color w:val="000000"/>
                <w:kern w:val="0"/>
                <w:szCs w:val="21"/>
              </w:rPr>
            </w:pPr>
            <w:r>
              <w:rPr>
                <w:color w:val="000000"/>
                <w:kern w:val="0"/>
                <w:szCs w:val="21"/>
              </w:rPr>
              <w:t>2</w:t>
            </w:r>
          </w:p>
        </w:tc>
        <w:tc>
          <w:tcPr>
            <w:tcW w:w="1134" w:type="dxa"/>
            <w:vMerge w:val="restart"/>
            <w:noWrap w:val="0"/>
            <w:vAlign w:val="center"/>
          </w:tcPr>
          <w:p w14:paraId="0D0EC8B1">
            <w:pPr>
              <w:jc w:val="center"/>
              <w:rPr>
                <w:rFonts w:eastAsia="楷体_GB2312"/>
                <w:color w:val="000000"/>
                <w:kern w:val="0"/>
                <w:szCs w:val="21"/>
              </w:rPr>
            </w:pPr>
            <w:r>
              <w:rPr>
                <w:rFonts w:eastAsia="楷体_GB2312"/>
                <w:color w:val="000000"/>
                <w:kern w:val="0"/>
                <w:szCs w:val="21"/>
              </w:rPr>
              <w:t>朱仙庄镇</w:t>
            </w:r>
          </w:p>
        </w:tc>
        <w:tc>
          <w:tcPr>
            <w:tcW w:w="992" w:type="dxa"/>
            <w:noWrap w:val="0"/>
            <w:vAlign w:val="center"/>
          </w:tcPr>
          <w:p w14:paraId="3F691862">
            <w:pPr>
              <w:jc w:val="center"/>
              <w:rPr>
                <w:color w:val="000000"/>
                <w:kern w:val="0"/>
                <w:szCs w:val="21"/>
              </w:rPr>
            </w:pPr>
            <w:r>
              <w:rPr>
                <w:rFonts w:hint="eastAsia"/>
                <w:color w:val="000000"/>
                <w:kern w:val="0"/>
                <w:szCs w:val="21"/>
              </w:rPr>
              <w:t>0</w:t>
            </w:r>
            <w:r>
              <w:rPr>
                <w:color w:val="000000"/>
                <w:kern w:val="0"/>
                <w:szCs w:val="21"/>
              </w:rPr>
              <w:t>1</w:t>
            </w:r>
          </w:p>
        </w:tc>
        <w:tc>
          <w:tcPr>
            <w:tcW w:w="2527" w:type="dxa"/>
            <w:noWrap w:val="0"/>
            <w:vAlign w:val="center"/>
          </w:tcPr>
          <w:p w14:paraId="2DB134B9">
            <w:pPr>
              <w:jc w:val="center"/>
              <w:rPr>
                <w:rFonts w:eastAsia="楷体_GB2312"/>
                <w:color w:val="000000"/>
                <w:kern w:val="0"/>
                <w:szCs w:val="21"/>
              </w:rPr>
            </w:pPr>
            <w:r>
              <w:rPr>
                <w:rFonts w:eastAsia="楷体_GB2312"/>
                <w:color w:val="000000"/>
                <w:kern w:val="0"/>
                <w:szCs w:val="21"/>
              </w:rPr>
              <w:t>朱仙庄初级中学</w:t>
            </w:r>
          </w:p>
        </w:tc>
        <w:tc>
          <w:tcPr>
            <w:tcW w:w="876" w:type="dxa"/>
            <w:noWrap w:val="0"/>
            <w:vAlign w:val="center"/>
          </w:tcPr>
          <w:p w14:paraId="35172575">
            <w:pPr>
              <w:jc w:val="center"/>
              <w:rPr>
                <w:color w:val="000000"/>
                <w:kern w:val="0"/>
                <w:szCs w:val="21"/>
              </w:rPr>
            </w:pPr>
            <w:r>
              <w:rPr>
                <w:color w:val="000000"/>
                <w:kern w:val="0"/>
                <w:szCs w:val="21"/>
              </w:rPr>
              <w:t xml:space="preserve">1.0000 </w:t>
            </w:r>
          </w:p>
        </w:tc>
        <w:tc>
          <w:tcPr>
            <w:tcW w:w="567" w:type="dxa"/>
            <w:noWrap w:val="0"/>
            <w:vAlign w:val="center"/>
          </w:tcPr>
          <w:p w14:paraId="75BFD993">
            <w:pPr>
              <w:jc w:val="center"/>
              <w:rPr>
                <w:color w:val="000000"/>
                <w:kern w:val="0"/>
                <w:szCs w:val="21"/>
              </w:rPr>
            </w:pPr>
            <w:r>
              <w:rPr>
                <w:color w:val="000000"/>
                <w:kern w:val="0"/>
                <w:szCs w:val="21"/>
              </w:rPr>
              <w:t>1</w:t>
            </w:r>
          </w:p>
        </w:tc>
        <w:tc>
          <w:tcPr>
            <w:tcW w:w="708" w:type="dxa"/>
            <w:noWrap w:val="0"/>
            <w:vAlign w:val="center"/>
          </w:tcPr>
          <w:p w14:paraId="2D3E200C">
            <w:pPr>
              <w:jc w:val="center"/>
              <w:rPr>
                <w:color w:val="000000"/>
                <w:kern w:val="0"/>
                <w:szCs w:val="21"/>
              </w:rPr>
            </w:pPr>
            <w:r>
              <w:rPr>
                <w:color w:val="000000"/>
                <w:kern w:val="0"/>
                <w:szCs w:val="21"/>
              </w:rPr>
              <w:t>100</w:t>
            </w:r>
          </w:p>
        </w:tc>
        <w:tc>
          <w:tcPr>
            <w:tcW w:w="1402" w:type="dxa"/>
            <w:noWrap w:val="0"/>
            <w:vAlign w:val="center"/>
          </w:tcPr>
          <w:p w14:paraId="230A4C3E">
            <w:pPr>
              <w:jc w:val="center"/>
              <w:rPr>
                <w:color w:val="000000"/>
                <w:kern w:val="0"/>
                <w:szCs w:val="21"/>
              </w:rPr>
            </w:pPr>
            <w:r>
              <w:rPr>
                <w:rFonts w:hint="eastAsia"/>
                <w:color w:val="000000"/>
                <w:kern w:val="0"/>
                <w:szCs w:val="21"/>
              </w:rPr>
              <w:t>3000</w:t>
            </w:r>
          </w:p>
        </w:tc>
      </w:tr>
      <w:tr w14:paraId="3FEA0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vMerge w:val="continue"/>
            <w:noWrap w:val="0"/>
            <w:vAlign w:val="center"/>
          </w:tcPr>
          <w:p w14:paraId="350E57A3">
            <w:pPr>
              <w:rPr>
                <w:color w:val="000000"/>
                <w:kern w:val="0"/>
                <w:szCs w:val="21"/>
              </w:rPr>
            </w:pPr>
          </w:p>
        </w:tc>
        <w:tc>
          <w:tcPr>
            <w:tcW w:w="1134" w:type="dxa"/>
            <w:vMerge w:val="continue"/>
            <w:noWrap w:val="0"/>
            <w:vAlign w:val="center"/>
          </w:tcPr>
          <w:p w14:paraId="5F3A9BDE">
            <w:pPr>
              <w:rPr>
                <w:rFonts w:eastAsia="楷体_GB2312"/>
                <w:color w:val="000000"/>
                <w:kern w:val="0"/>
                <w:szCs w:val="21"/>
              </w:rPr>
            </w:pPr>
          </w:p>
        </w:tc>
        <w:tc>
          <w:tcPr>
            <w:tcW w:w="992" w:type="dxa"/>
            <w:noWrap w:val="0"/>
            <w:vAlign w:val="center"/>
          </w:tcPr>
          <w:p w14:paraId="1F0FBF15">
            <w:pPr>
              <w:jc w:val="center"/>
              <w:rPr>
                <w:color w:val="000000"/>
                <w:kern w:val="0"/>
                <w:szCs w:val="21"/>
              </w:rPr>
            </w:pPr>
            <w:r>
              <w:rPr>
                <w:rFonts w:hint="eastAsia"/>
                <w:color w:val="000000"/>
                <w:kern w:val="0"/>
                <w:szCs w:val="21"/>
              </w:rPr>
              <w:t>0</w:t>
            </w:r>
            <w:r>
              <w:rPr>
                <w:color w:val="000000"/>
                <w:kern w:val="0"/>
                <w:szCs w:val="21"/>
              </w:rPr>
              <w:t>2</w:t>
            </w:r>
          </w:p>
        </w:tc>
        <w:tc>
          <w:tcPr>
            <w:tcW w:w="2527" w:type="dxa"/>
            <w:noWrap w:val="0"/>
            <w:vAlign w:val="center"/>
          </w:tcPr>
          <w:p w14:paraId="18BEFAEA">
            <w:pPr>
              <w:jc w:val="center"/>
              <w:rPr>
                <w:rFonts w:eastAsia="楷体_GB2312"/>
                <w:color w:val="000000"/>
                <w:kern w:val="0"/>
                <w:szCs w:val="21"/>
              </w:rPr>
            </w:pPr>
            <w:r>
              <w:rPr>
                <w:rFonts w:eastAsia="楷体_GB2312"/>
                <w:color w:val="000000"/>
                <w:kern w:val="0"/>
                <w:szCs w:val="21"/>
              </w:rPr>
              <w:t>朱仙庄矿中学</w:t>
            </w:r>
          </w:p>
        </w:tc>
        <w:tc>
          <w:tcPr>
            <w:tcW w:w="876" w:type="dxa"/>
            <w:noWrap w:val="0"/>
            <w:vAlign w:val="center"/>
          </w:tcPr>
          <w:p w14:paraId="0BA7F887">
            <w:pPr>
              <w:jc w:val="center"/>
              <w:rPr>
                <w:color w:val="000000"/>
                <w:kern w:val="0"/>
                <w:szCs w:val="21"/>
              </w:rPr>
            </w:pPr>
            <w:r>
              <w:rPr>
                <w:color w:val="000000"/>
                <w:kern w:val="0"/>
                <w:szCs w:val="21"/>
              </w:rPr>
              <w:t xml:space="preserve">0.6074 </w:t>
            </w:r>
          </w:p>
        </w:tc>
        <w:tc>
          <w:tcPr>
            <w:tcW w:w="567" w:type="dxa"/>
            <w:noWrap w:val="0"/>
            <w:vAlign w:val="center"/>
          </w:tcPr>
          <w:p w14:paraId="2BC727F0">
            <w:pPr>
              <w:jc w:val="center"/>
              <w:rPr>
                <w:color w:val="000000"/>
                <w:kern w:val="0"/>
                <w:szCs w:val="21"/>
              </w:rPr>
            </w:pPr>
            <w:r>
              <w:rPr>
                <w:color w:val="000000"/>
                <w:kern w:val="0"/>
                <w:szCs w:val="21"/>
              </w:rPr>
              <w:t>2</w:t>
            </w:r>
          </w:p>
        </w:tc>
        <w:tc>
          <w:tcPr>
            <w:tcW w:w="708" w:type="dxa"/>
            <w:noWrap w:val="0"/>
            <w:vAlign w:val="center"/>
          </w:tcPr>
          <w:p w14:paraId="760759FF">
            <w:pPr>
              <w:jc w:val="center"/>
              <w:rPr>
                <w:color w:val="000000"/>
                <w:kern w:val="0"/>
                <w:szCs w:val="21"/>
              </w:rPr>
            </w:pPr>
            <w:r>
              <w:rPr>
                <w:color w:val="000000"/>
                <w:kern w:val="0"/>
                <w:szCs w:val="21"/>
              </w:rPr>
              <w:t>61</w:t>
            </w:r>
          </w:p>
        </w:tc>
        <w:tc>
          <w:tcPr>
            <w:tcW w:w="1402" w:type="dxa"/>
            <w:noWrap w:val="0"/>
            <w:vAlign w:val="center"/>
          </w:tcPr>
          <w:p w14:paraId="731CD0E6">
            <w:pPr>
              <w:jc w:val="center"/>
              <w:rPr>
                <w:color w:val="000000"/>
                <w:kern w:val="0"/>
                <w:szCs w:val="21"/>
              </w:rPr>
            </w:pPr>
            <w:r>
              <w:rPr>
                <w:rFonts w:hint="eastAsia"/>
                <w:color w:val="000000"/>
                <w:kern w:val="0"/>
                <w:szCs w:val="21"/>
              </w:rPr>
              <w:t>2800</w:t>
            </w:r>
          </w:p>
        </w:tc>
      </w:tr>
      <w:tr w14:paraId="694B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vMerge w:val="continue"/>
            <w:noWrap w:val="0"/>
            <w:vAlign w:val="center"/>
          </w:tcPr>
          <w:p w14:paraId="720F64D5">
            <w:pPr>
              <w:rPr>
                <w:color w:val="000000"/>
                <w:kern w:val="0"/>
                <w:szCs w:val="21"/>
              </w:rPr>
            </w:pPr>
          </w:p>
        </w:tc>
        <w:tc>
          <w:tcPr>
            <w:tcW w:w="1134" w:type="dxa"/>
            <w:vMerge w:val="continue"/>
            <w:noWrap w:val="0"/>
            <w:vAlign w:val="center"/>
          </w:tcPr>
          <w:p w14:paraId="251592BE">
            <w:pPr>
              <w:rPr>
                <w:rFonts w:eastAsia="楷体_GB2312"/>
                <w:color w:val="000000"/>
                <w:kern w:val="0"/>
                <w:szCs w:val="21"/>
              </w:rPr>
            </w:pPr>
          </w:p>
        </w:tc>
        <w:tc>
          <w:tcPr>
            <w:tcW w:w="992" w:type="dxa"/>
            <w:noWrap w:val="0"/>
            <w:vAlign w:val="center"/>
          </w:tcPr>
          <w:p w14:paraId="4152909A">
            <w:pPr>
              <w:jc w:val="center"/>
              <w:rPr>
                <w:rFonts w:hint="eastAsia"/>
                <w:color w:val="000000"/>
                <w:kern w:val="0"/>
                <w:szCs w:val="21"/>
              </w:rPr>
            </w:pPr>
            <w:r>
              <w:rPr>
                <w:rFonts w:hint="eastAsia"/>
                <w:color w:val="000000"/>
                <w:kern w:val="0"/>
                <w:szCs w:val="21"/>
              </w:rPr>
              <w:t>03</w:t>
            </w:r>
          </w:p>
        </w:tc>
        <w:tc>
          <w:tcPr>
            <w:tcW w:w="2527" w:type="dxa"/>
            <w:noWrap w:val="0"/>
            <w:vAlign w:val="center"/>
          </w:tcPr>
          <w:p w14:paraId="554E358F">
            <w:pPr>
              <w:jc w:val="center"/>
              <w:rPr>
                <w:rFonts w:eastAsia="楷体_GB2312"/>
                <w:color w:val="000000"/>
                <w:kern w:val="0"/>
                <w:szCs w:val="21"/>
              </w:rPr>
            </w:pPr>
            <w:r>
              <w:rPr>
                <w:rFonts w:hint="eastAsia" w:eastAsia="楷体_GB2312"/>
                <w:color w:val="000000"/>
                <w:kern w:val="0"/>
                <w:szCs w:val="21"/>
              </w:rPr>
              <w:t>新河初级中学</w:t>
            </w:r>
          </w:p>
        </w:tc>
        <w:tc>
          <w:tcPr>
            <w:tcW w:w="876" w:type="dxa"/>
            <w:noWrap w:val="0"/>
            <w:vAlign w:val="center"/>
          </w:tcPr>
          <w:p w14:paraId="1C8080E6">
            <w:pPr>
              <w:jc w:val="center"/>
              <w:rPr>
                <w:color w:val="000000"/>
                <w:kern w:val="0"/>
                <w:szCs w:val="21"/>
              </w:rPr>
            </w:pPr>
            <w:r>
              <w:rPr>
                <w:rFonts w:hint="eastAsia"/>
                <w:color w:val="000000"/>
                <w:kern w:val="0"/>
                <w:szCs w:val="21"/>
              </w:rPr>
              <w:t>0.6091</w:t>
            </w:r>
          </w:p>
        </w:tc>
        <w:tc>
          <w:tcPr>
            <w:tcW w:w="567" w:type="dxa"/>
            <w:noWrap w:val="0"/>
            <w:vAlign w:val="center"/>
          </w:tcPr>
          <w:p w14:paraId="0356AD63">
            <w:pPr>
              <w:jc w:val="center"/>
              <w:rPr>
                <w:color w:val="000000"/>
                <w:kern w:val="0"/>
                <w:szCs w:val="21"/>
              </w:rPr>
            </w:pPr>
            <w:r>
              <w:rPr>
                <w:rFonts w:hint="eastAsia"/>
                <w:color w:val="000000"/>
                <w:kern w:val="0"/>
                <w:szCs w:val="21"/>
              </w:rPr>
              <w:t>2</w:t>
            </w:r>
          </w:p>
        </w:tc>
        <w:tc>
          <w:tcPr>
            <w:tcW w:w="708" w:type="dxa"/>
            <w:noWrap w:val="0"/>
            <w:vAlign w:val="center"/>
          </w:tcPr>
          <w:p w14:paraId="689394D4">
            <w:pPr>
              <w:jc w:val="center"/>
              <w:rPr>
                <w:color w:val="000000"/>
                <w:kern w:val="0"/>
                <w:szCs w:val="21"/>
              </w:rPr>
            </w:pPr>
            <w:r>
              <w:rPr>
                <w:rFonts w:hint="eastAsia"/>
                <w:color w:val="000000"/>
                <w:kern w:val="0"/>
                <w:szCs w:val="21"/>
              </w:rPr>
              <w:t>61</w:t>
            </w:r>
          </w:p>
        </w:tc>
        <w:tc>
          <w:tcPr>
            <w:tcW w:w="1402" w:type="dxa"/>
            <w:noWrap w:val="0"/>
            <w:vAlign w:val="center"/>
          </w:tcPr>
          <w:p w14:paraId="03817985">
            <w:pPr>
              <w:jc w:val="center"/>
              <w:rPr>
                <w:rFonts w:hint="eastAsia"/>
                <w:color w:val="000000"/>
                <w:kern w:val="0"/>
                <w:szCs w:val="21"/>
              </w:rPr>
            </w:pPr>
            <w:r>
              <w:rPr>
                <w:rFonts w:hint="eastAsia"/>
                <w:color w:val="000000"/>
                <w:kern w:val="0"/>
                <w:szCs w:val="21"/>
              </w:rPr>
              <w:t>2800</w:t>
            </w:r>
          </w:p>
        </w:tc>
      </w:tr>
      <w:tr w14:paraId="7A7B2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vMerge w:val="restart"/>
            <w:noWrap w:val="0"/>
            <w:vAlign w:val="center"/>
          </w:tcPr>
          <w:p w14:paraId="44A96B90">
            <w:pPr>
              <w:jc w:val="center"/>
              <w:rPr>
                <w:color w:val="000000"/>
                <w:kern w:val="0"/>
                <w:szCs w:val="21"/>
              </w:rPr>
            </w:pPr>
            <w:r>
              <w:rPr>
                <w:color w:val="000000"/>
                <w:kern w:val="0"/>
                <w:szCs w:val="21"/>
              </w:rPr>
              <w:t>3</w:t>
            </w:r>
          </w:p>
        </w:tc>
        <w:tc>
          <w:tcPr>
            <w:tcW w:w="1134" w:type="dxa"/>
            <w:vMerge w:val="restart"/>
            <w:noWrap w:val="0"/>
            <w:vAlign w:val="center"/>
          </w:tcPr>
          <w:p w14:paraId="0DB69B48">
            <w:pPr>
              <w:jc w:val="center"/>
              <w:rPr>
                <w:rFonts w:eastAsia="楷体_GB2312"/>
                <w:color w:val="000000"/>
                <w:kern w:val="0"/>
                <w:szCs w:val="21"/>
              </w:rPr>
            </w:pPr>
            <w:r>
              <w:rPr>
                <w:rFonts w:eastAsia="楷体_GB2312"/>
                <w:color w:val="000000"/>
                <w:kern w:val="0"/>
                <w:szCs w:val="21"/>
              </w:rPr>
              <w:t>蕲县镇</w:t>
            </w:r>
          </w:p>
        </w:tc>
        <w:tc>
          <w:tcPr>
            <w:tcW w:w="992" w:type="dxa"/>
            <w:noWrap w:val="0"/>
            <w:vAlign w:val="center"/>
          </w:tcPr>
          <w:p w14:paraId="13390E94">
            <w:pPr>
              <w:jc w:val="center"/>
              <w:rPr>
                <w:color w:val="000000"/>
                <w:kern w:val="0"/>
                <w:szCs w:val="21"/>
              </w:rPr>
            </w:pPr>
            <w:r>
              <w:rPr>
                <w:rFonts w:hint="eastAsia"/>
                <w:color w:val="000000"/>
                <w:kern w:val="0"/>
                <w:szCs w:val="21"/>
              </w:rPr>
              <w:t>0</w:t>
            </w:r>
            <w:r>
              <w:rPr>
                <w:color w:val="000000"/>
                <w:kern w:val="0"/>
                <w:szCs w:val="21"/>
              </w:rPr>
              <w:t>1</w:t>
            </w:r>
          </w:p>
        </w:tc>
        <w:tc>
          <w:tcPr>
            <w:tcW w:w="2527" w:type="dxa"/>
            <w:noWrap w:val="0"/>
            <w:vAlign w:val="center"/>
          </w:tcPr>
          <w:p w14:paraId="57D576CE">
            <w:pPr>
              <w:jc w:val="center"/>
              <w:rPr>
                <w:rFonts w:eastAsia="楷体_GB2312"/>
                <w:color w:val="000000"/>
                <w:kern w:val="0"/>
                <w:szCs w:val="21"/>
              </w:rPr>
            </w:pPr>
            <w:r>
              <w:rPr>
                <w:rFonts w:eastAsia="楷体_GB2312"/>
                <w:color w:val="000000"/>
                <w:kern w:val="0"/>
                <w:szCs w:val="21"/>
              </w:rPr>
              <w:t>蕲县初级中学</w:t>
            </w:r>
          </w:p>
        </w:tc>
        <w:tc>
          <w:tcPr>
            <w:tcW w:w="876" w:type="dxa"/>
            <w:noWrap w:val="0"/>
            <w:vAlign w:val="center"/>
          </w:tcPr>
          <w:p w14:paraId="0A8B4663">
            <w:pPr>
              <w:jc w:val="center"/>
              <w:rPr>
                <w:color w:val="000000"/>
                <w:kern w:val="0"/>
                <w:szCs w:val="21"/>
              </w:rPr>
            </w:pPr>
            <w:r>
              <w:rPr>
                <w:color w:val="000000"/>
                <w:kern w:val="0"/>
                <w:szCs w:val="21"/>
              </w:rPr>
              <w:t xml:space="preserve">0.9892 </w:t>
            </w:r>
          </w:p>
        </w:tc>
        <w:tc>
          <w:tcPr>
            <w:tcW w:w="567" w:type="dxa"/>
            <w:noWrap w:val="0"/>
            <w:vAlign w:val="center"/>
          </w:tcPr>
          <w:p w14:paraId="230D6590">
            <w:pPr>
              <w:jc w:val="center"/>
              <w:rPr>
                <w:color w:val="000000"/>
                <w:kern w:val="0"/>
                <w:szCs w:val="21"/>
              </w:rPr>
            </w:pPr>
            <w:r>
              <w:rPr>
                <w:color w:val="000000"/>
                <w:kern w:val="0"/>
                <w:szCs w:val="21"/>
              </w:rPr>
              <w:t>1</w:t>
            </w:r>
          </w:p>
        </w:tc>
        <w:tc>
          <w:tcPr>
            <w:tcW w:w="708" w:type="dxa"/>
            <w:noWrap w:val="0"/>
            <w:vAlign w:val="center"/>
          </w:tcPr>
          <w:p w14:paraId="2A2F1D39">
            <w:pPr>
              <w:jc w:val="center"/>
              <w:rPr>
                <w:color w:val="000000"/>
                <w:kern w:val="0"/>
                <w:szCs w:val="21"/>
              </w:rPr>
            </w:pPr>
            <w:r>
              <w:rPr>
                <w:color w:val="000000"/>
                <w:kern w:val="0"/>
                <w:szCs w:val="21"/>
              </w:rPr>
              <w:t>100</w:t>
            </w:r>
          </w:p>
        </w:tc>
        <w:tc>
          <w:tcPr>
            <w:tcW w:w="1402" w:type="dxa"/>
            <w:noWrap w:val="0"/>
            <w:vAlign w:val="center"/>
          </w:tcPr>
          <w:p w14:paraId="4A7BCB13">
            <w:pPr>
              <w:jc w:val="center"/>
              <w:rPr>
                <w:color w:val="000000"/>
                <w:kern w:val="0"/>
                <w:szCs w:val="21"/>
              </w:rPr>
            </w:pPr>
            <w:r>
              <w:rPr>
                <w:rFonts w:hint="eastAsia"/>
                <w:color w:val="000000"/>
                <w:kern w:val="0"/>
                <w:szCs w:val="21"/>
              </w:rPr>
              <w:t>2700</w:t>
            </w:r>
          </w:p>
        </w:tc>
      </w:tr>
      <w:tr w14:paraId="1CC1A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vMerge w:val="continue"/>
            <w:noWrap w:val="0"/>
            <w:vAlign w:val="center"/>
          </w:tcPr>
          <w:p w14:paraId="3646BB3A">
            <w:pPr>
              <w:rPr>
                <w:color w:val="000000"/>
                <w:kern w:val="0"/>
                <w:szCs w:val="21"/>
              </w:rPr>
            </w:pPr>
          </w:p>
        </w:tc>
        <w:tc>
          <w:tcPr>
            <w:tcW w:w="1134" w:type="dxa"/>
            <w:vMerge w:val="continue"/>
            <w:noWrap w:val="0"/>
            <w:vAlign w:val="center"/>
          </w:tcPr>
          <w:p w14:paraId="4960D4BD">
            <w:pPr>
              <w:rPr>
                <w:rFonts w:eastAsia="楷体_GB2312"/>
                <w:color w:val="000000"/>
                <w:kern w:val="0"/>
                <w:szCs w:val="21"/>
              </w:rPr>
            </w:pPr>
          </w:p>
        </w:tc>
        <w:tc>
          <w:tcPr>
            <w:tcW w:w="992" w:type="dxa"/>
            <w:noWrap w:val="0"/>
            <w:vAlign w:val="center"/>
          </w:tcPr>
          <w:p w14:paraId="37928572">
            <w:pPr>
              <w:jc w:val="center"/>
              <w:rPr>
                <w:color w:val="000000"/>
                <w:kern w:val="0"/>
                <w:szCs w:val="21"/>
              </w:rPr>
            </w:pPr>
            <w:r>
              <w:rPr>
                <w:rFonts w:hint="eastAsia"/>
                <w:color w:val="000000"/>
                <w:kern w:val="0"/>
                <w:szCs w:val="21"/>
              </w:rPr>
              <w:t>0</w:t>
            </w:r>
            <w:r>
              <w:rPr>
                <w:color w:val="000000"/>
                <w:kern w:val="0"/>
                <w:szCs w:val="21"/>
              </w:rPr>
              <w:t>2</w:t>
            </w:r>
          </w:p>
        </w:tc>
        <w:tc>
          <w:tcPr>
            <w:tcW w:w="2527" w:type="dxa"/>
            <w:noWrap w:val="0"/>
            <w:vAlign w:val="center"/>
          </w:tcPr>
          <w:p w14:paraId="6114BBD4">
            <w:pPr>
              <w:jc w:val="center"/>
              <w:rPr>
                <w:rFonts w:eastAsia="楷体_GB2312"/>
                <w:color w:val="000000"/>
                <w:kern w:val="0"/>
                <w:szCs w:val="21"/>
              </w:rPr>
            </w:pPr>
            <w:r>
              <w:rPr>
                <w:rFonts w:eastAsia="楷体_GB2312"/>
                <w:color w:val="000000"/>
                <w:kern w:val="0"/>
                <w:szCs w:val="21"/>
              </w:rPr>
              <w:t>祁南矿学校</w:t>
            </w:r>
          </w:p>
        </w:tc>
        <w:tc>
          <w:tcPr>
            <w:tcW w:w="876" w:type="dxa"/>
            <w:noWrap w:val="0"/>
            <w:vAlign w:val="center"/>
          </w:tcPr>
          <w:p w14:paraId="0518BCE2">
            <w:pPr>
              <w:jc w:val="center"/>
              <w:rPr>
                <w:color w:val="000000"/>
                <w:kern w:val="0"/>
                <w:szCs w:val="21"/>
              </w:rPr>
            </w:pPr>
            <w:r>
              <w:rPr>
                <w:color w:val="000000"/>
                <w:kern w:val="0"/>
                <w:szCs w:val="21"/>
              </w:rPr>
              <w:t xml:space="preserve">0.8552 </w:t>
            </w:r>
          </w:p>
        </w:tc>
        <w:tc>
          <w:tcPr>
            <w:tcW w:w="567" w:type="dxa"/>
            <w:noWrap w:val="0"/>
            <w:vAlign w:val="center"/>
          </w:tcPr>
          <w:p w14:paraId="420FF45B">
            <w:pPr>
              <w:jc w:val="center"/>
              <w:rPr>
                <w:color w:val="000000"/>
                <w:kern w:val="0"/>
                <w:szCs w:val="21"/>
              </w:rPr>
            </w:pPr>
            <w:r>
              <w:rPr>
                <w:color w:val="000000"/>
                <w:kern w:val="0"/>
                <w:szCs w:val="21"/>
              </w:rPr>
              <w:t>2</w:t>
            </w:r>
          </w:p>
        </w:tc>
        <w:tc>
          <w:tcPr>
            <w:tcW w:w="708" w:type="dxa"/>
            <w:noWrap w:val="0"/>
            <w:vAlign w:val="center"/>
          </w:tcPr>
          <w:p w14:paraId="36233B08">
            <w:pPr>
              <w:jc w:val="center"/>
              <w:rPr>
                <w:color w:val="000000"/>
                <w:kern w:val="0"/>
                <w:szCs w:val="21"/>
              </w:rPr>
            </w:pPr>
            <w:r>
              <w:rPr>
                <w:color w:val="000000"/>
                <w:kern w:val="0"/>
                <w:szCs w:val="21"/>
              </w:rPr>
              <w:t>8</w:t>
            </w:r>
            <w:r>
              <w:rPr>
                <w:rFonts w:hint="eastAsia"/>
                <w:color w:val="000000"/>
                <w:kern w:val="0"/>
                <w:szCs w:val="21"/>
              </w:rPr>
              <w:t>6</w:t>
            </w:r>
          </w:p>
        </w:tc>
        <w:tc>
          <w:tcPr>
            <w:tcW w:w="1402" w:type="dxa"/>
            <w:noWrap w:val="0"/>
            <w:vAlign w:val="center"/>
          </w:tcPr>
          <w:p w14:paraId="1FCF0E64">
            <w:pPr>
              <w:jc w:val="center"/>
              <w:rPr>
                <w:color w:val="000000"/>
                <w:kern w:val="0"/>
                <w:szCs w:val="21"/>
              </w:rPr>
            </w:pPr>
            <w:r>
              <w:rPr>
                <w:rFonts w:hint="eastAsia"/>
                <w:color w:val="000000"/>
                <w:kern w:val="0"/>
                <w:szCs w:val="21"/>
              </w:rPr>
              <w:t>2300</w:t>
            </w:r>
          </w:p>
        </w:tc>
      </w:tr>
      <w:tr w14:paraId="6538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vMerge w:val="restart"/>
            <w:noWrap w:val="0"/>
            <w:vAlign w:val="center"/>
          </w:tcPr>
          <w:p w14:paraId="2E9212C0">
            <w:pPr>
              <w:jc w:val="center"/>
              <w:rPr>
                <w:color w:val="000000"/>
                <w:kern w:val="0"/>
                <w:szCs w:val="21"/>
              </w:rPr>
            </w:pPr>
            <w:r>
              <w:rPr>
                <w:color w:val="000000"/>
                <w:kern w:val="0"/>
                <w:szCs w:val="21"/>
              </w:rPr>
              <w:t>4</w:t>
            </w:r>
          </w:p>
        </w:tc>
        <w:tc>
          <w:tcPr>
            <w:tcW w:w="1134" w:type="dxa"/>
            <w:vMerge w:val="restart"/>
            <w:noWrap w:val="0"/>
            <w:vAlign w:val="center"/>
          </w:tcPr>
          <w:p w14:paraId="7647E897">
            <w:pPr>
              <w:jc w:val="center"/>
              <w:rPr>
                <w:rFonts w:eastAsia="楷体_GB2312"/>
                <w:color w:val="000000"/>
                <w:kern w:val="0"/>
                <w:szCs w:val="21"/>
              </w:rPr>
            </w:pPr>
            <w:r>
              <w:rPr>
                <w:rFonts w:eastAsia="楷体_GB2312"/>
                <w:color w:val="000000"/>
                <w:kern w:val="0"/>
                <w:szCs w:val="21"/>
              </w:rPr>
              <w:t>芦岭镇</w:t>
            </w:r>
          </w:p>
        </w:tc>
        <w:tc>
          <w:tcPr>
            <w:tcW w:w="992" w:type="dxa"/>
            <w:noWrap w:val="0"/>
            <w:vAlign w:val="center"/>
          </w:tcPr>
          <w:p w14:paraId="7E13CBE8">
            <w:pPr>
              <w:jc w:val="center"/>
              <w:rPr>
                <w:color w:val="000000"/>
                <w:kern w:val="0"/>
                <w:szCs w:val="21"/>
              </w:rPr>
            </w:pPr>
            <w:r>
              <w:rPr>
                <w:rFonts w:hint="eastAsia"/>
                <w:color w:val="000000"/>
                <w:kern w:val="0"/>
                <w:szCs w:val="21"/>
              </w:rPr>
              <w:t>0</w:t>
            </w:r>
            <w:r>
              <w:rPr>
                <w:color w:val="000000"/>
                <w:kern w:val="0"/>
                <w:szCs w:val="21"/>
              </w:rPr>
              <w:t>1</w:t>
            </w:r>
          </w:p>
        </w:tc>
        <w:tc>
          <w:tcPr>
            <w:tcW w:w="2527" w:type="dxa"/>
            <w:noWrap w:val="0"/>
            <w:vAlign w:val="center"/>
          </w:tcPr>
          <w:p w14:paraId="1788465C">
            <w:pPr>
              <w:jc w:val="center"/>
              <w:rPr>
                <w:rFonts w:eastAsia="楷体_GB2312"/>
                <w:color w:val="000000"/>
                <w:kern w:val="0"/>
                <w:szCs w:val="21"/>
              </w:rPr>
            </w:pPr>
            <w:r>
              <w:rPr>
                <w:rFonts w:eastAsia="楷体_GB2312"/>
                <w:color w:val="000000"/>
                <w:kern w:val="0"/>
                <w:szCs w:val="21"/>
              </w:rPr>
              <w:t>芦岭初级中学</w:t>
            </w:r>
          </w:p>
        </w:tc>
        <w:tc>
          <w:tcPr>
            <w:tcW w:w="876" w:type="dxa"/>
            <w:noWrap w:val="0"/>
            <w:vAlign w:val="center"/>
          </w:tcPr>
          <w:p w14:paraId="0DD8734D">
            <w:pPr>
              <w:jc w:val="center"/>
              <w:rPr>
                <w:color w:val="000000"/>
                <w:kern w:val="0"/>
                <w:szCs w:val="21"/>
              </w:rPr>
            </w:pPr>
            <w:r>
              <w:rPr>
                <w:color w:val="000000"/>
                <w:kern w:val="0"/>
                <w:szCs w:val="21"/>
              </w:rPr>
              <w:t xml:space="preserve">0.9379 </w:t>
            </w:r>
          </w:p>
        </w:tc>
        <w:tc>
          <w:tcPr>
            <w:tcW w:w="567" w:type="dxa"/>
            <w:noWrap w:val="0"/>
            <w:vAlign w:val="center"/>
          </w:tcPr>
          <w:p w14:paraId="0D039DBA">
            <w:pPr>
              <w:jc w:val="center"/>
              <w:rPr>
                <w:color w:val="000000"/>
                <w:kern w:val="0"/>
                <w:szCs w:val="21"/>
              </w:rPr>
            </w:pPr>
            <w:r>
              <w:rPr>
                <w:color w:val="000000"/>
                <w:kern w:val="0"/>
                <w:szCs w:val="21"/>
              </w:rPr>
              <w:t>1</w:t>
            </w:r>
          </w:p>
        </w:tc>
        <w:tc>
          <w:tcPr>
            <w:tcW w:w="708" w:type="dxa"/>
            <w:noWrap w:val="0"/>
            <w:vAlign w:val="center"/>
          </w:tcPr>
          <w:p w14:paraId="4C76482C">
            <w:pPr>
              <w:jc w:val="center"/>
              <w:rPr>
                <w:color w:val="000000"/>
                <w:kern w:val="0"/>
                <w:szCs w:val="21"/>
              </w:rPr>
            </w:pPr>
            <w:r>
              <w:rPr>
                <w:color w:val="000000"/>
                <w:kern w:val="0"/>
                <w:szCs w:val="21"/>
              </w:rPr>
              <w:t>100</w:t>
            </w:r>
          </w:p>
        </w:tc>
        <w:tc>
          <w:tcPr>
            <w:tcW w:w="1402" w:type="dxa"/>
            <w:noWrap w:val="0"/>
            <w:vAlign w:val="center"/>
          </w:tcPr>
          <w:p w14:paraId="50B09EA1">
            <w:pPr>
              <w:jc w:val="center"/>
              <w:rPr>
                <w:color w:val="000000"/>
                <w:kern w:val="0"/>
                <w:szCs w:val="21"/>
              </w:rPr>
            </w:pPr>
            <w:r>
              <w:rPr>
                <w:rFonts w:hint="eastAsia"/>
                <w:color w:val="000000"/>
                <w:kern w:val="0"/>
                <w:szCs w:val="21"/>
              </w:rPr>
              <w:t>2000</w:t>
            </w:r>
          </w:p>
        </w:tc>
      </w:tr>
      <w:tr w14:paraId="48CC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vMerge w:val="continue"/>
            <w:noWrap w:val="0"/>
            <w:vAlign w:val="center"/>
          </w:tcPr>
          <w:p w14:paraId="722F19D2">
            <w:pPr>
              <w:rPr>
                <w:color w:val="000000"/>
                <w:kern w:val="0"/>
                <w:szCs w:val="21"/>
              </w:rPr>
            </w:pPr>
          </w:p>
        </w:tc>
        <w:tc>
          <w:tcPr>
            <w:tcW w:w="1134" w:type="dxa"/>
            <w:vMerge w:val="continue"/>
            <w:noWrap w:val="0"/>
            <w:vAlign w:val="center"/>
          </w:tcPr>
          <w:p w14:paraId="5F75B1B7">
            <w:pPr>
              <w:rPr>
                <w:rFonts w:eastAsia="楷体_GB2312"/>
                <w:color w:val="000000"/>
                <w:kern w:val="0"/>
                <w:szCs w:val="21"/>
              </w:rPr>
            </w:pPr>
          </w:p>
        </w:tc>
        <w:tc>
          <w:tcPr>
            <w:tcW w:w="992" w:type="dxa"/>
            <w:noWrap w:val="0"/>
            <w:vAlign w:val="center"/>
          </w:tcPr>
          <w:p w14:paraId="6B60D85D">
            <w:pPr>
              <w:jc w:val="center"/>
              <w:rPr>
                <w:color w:val="000000"/>
                <w:kern w:val="0"/>
                <w:szCs w:val="21"/>
              </w:rPr>
            </w:pPr>
            <w:r>
              <w:rPr>
                <w:rFonts w:hint="eastAsia"/>
                <w:color w:val="000000"/>
                <w:kern w:val="0"/>
                <w:szCs w:val="21"/>
              </w:rPr>
              <w:t>02</w:t>
            </w:r>
          </w:p>
        </w:tc>
        <w:tc>
          <w:tcPr>
            <w:tcW w:w="2527" w:type="dxa"/>
            <w:noWrap w:val="0"/>
            <w:vAlign w:val="center"/>
          </w:tcPr>
          <w:p w14:paraId="01E7B657">
            <w:pPr>
              <w:jc w:val="center"/>
              <w:rPr>
                <w:rFonts w:eastAsia="楷体_GB2312"/>
                <w:color w:val="000000"/>
                <w:kern w:val="0"/>
                <w:szCs w:val="21"/>
              </w:rPr>
            </w:pPr>
            <w:r>
              <w:rPr>
                <w:rFonts w:eastAsia="楷体_GB2312"/>
                <w:color w:val="000000"/>
                <w:kern w:val="0"/>
                <w:szCs w:val="21"/>
              </w:rPr>
              <w:t>芦岭矿中学</w:t>
            </w:r>
          </w:p>
        </w:tc>
        <w:tc>
          <w:tcPr>
            <w:tcW w:w="876" w:type="dxa"/>
            <w:noWrap w:val="0"/>
            <w:vAlign w:val="center"/>
          </w:tcPr>
          <w:p w14:paraId="3255782F">
            <w:pPr>
              <w:jc w:val="center"/>
              <w:rPr>
                <w:color w:val="000000"/>
                <w:kern w:val="0"/>
                <w:szCs w:val="21"/>
              </w:rPr>
            </w:pPr>
            <w:r>
              <w:rPr>
                <w:color w:val="000000"/>
                <w:kern w:val="0"/>
                <w:szCs w:val="21"/>
              </w:rPr>
              <w:t xml:space="preserve">0.9035 </w:t>
            </w:r>
          </w:p>
        </w:tc>
        <w:tc>
          <w:tcPr>
            <w:tcW w:w="567" w:type="dxa"/>
            <w:noWrap w:val="0"/>
            <w:vAlign w:val="center"/>
          </w:tcPr>
          <w:p w14:paraId="06AA5EB9">
            <w:pPr>
              <w:jc w:val="center"/>
              <w:rPr>
                <w:color w:val="000000"/>
                <w:kern w:val="0"/>
                <w:szCs w:val="21"/>
              </w:rPr>
            </w:pPr>
            <w:r>
              <w:rPr>
                <w:color w:val="000000"/>
                <w:kern w:val="0"/>
                <w:szCs w:val="21"/>
              </w:rPr>
              <w:t>1</w:t>
            </w:r>
          </w:p>
        </w:tc>
        <w:tc>
          <w:tcPr>
            <w:tcW w:w="708" w:type="dxa"/>
            <w:noWrap w:val="0"/>
            <w:vAlign w:val="center"/>
          </w:tcPr>
          <w:p w14:paraId="47CB823C">
            <w:pPr>
              <w:jc w:val="center"/>
              <w:rPr>
                <w:color w:val="000000"/>
                <w:kern w:val="0"/>
                <w:szCs w:val="21"/>
              </w:rPr>
            </w:pPr>
            <w:r>
              <w:rPr>
                <w:rFonts w:hint="eastAsia"/>
                <w:color w:val="000000"/>
                <w:kern w:val="0"/>
                <w:szCs w:val="21"/>
              </w:rPr>
              <w:t>96</w:t>
            </w:r>
          </w:p>
        </w:tc>
        <w:tc>
          <w:tcPr>
            <w:tcW w:w="1402" w:type="dxa"/>
            <w:noWrap w:val="0"/>
            <w:vAlign w:val="center"/>
          </w:tcPr>
          <w:p w14:paraId="111DB0CC">
            <w:pPr>
              <w:jc w:val="center"/>
              <w:rPr>
                <w:color w:val="000000"/>
                <w:kern w:val="0"/>
                <w:szCs w:val="21"/>
              </w:rPr>
            </w:pPr>
            <w:r>
              <w:rPr>
                <w:rFonts w:hint="eastAsia"/>
                <w:color w:val="000000"/>
                <w:kern w:val="0"/>
                <w:szCs w:val="21"/>
              </w:rPr>
              <w:t>2000</w:t>
            </w:r>
          </w:p>
        </w:tc>
      </w:tr>
      <w:tr w14:paraId="6E3A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noWrap w:val="0"/>
            <w:vAlign w:val="center"/>
          </w:tcPr>
          <w:p w14:paraId="221A56EB">
            <w:pPr>
              <w:jc w:val="center"/>
              <w:rPr>
                <w:color w:val="000000"/>
                <w:kern w:val="0"/>
                <w:szCs w:val="21"/>
              </w:rPr>
            </w:pPr>
            <w:r>
              <w:rPr>
                <w:color w:val="000000"/>
                <w:kern w:val="0"/>
                <w:szCs w:val="21"/>
              </w:rPr>
              <w:t>5</w:t>
            </w:r>
          </w:p>
        </w:tc>
        <w:tc>
          <w:tcPr>
            <w:tcW w:w="1134" w:type="dxa"/>
            <w:noWrap w:val="0"/>
            <w:vAlign w:val="center"/>
          </w:tcPr>
          <w:p w14:paraId="208056EF">
            <w:pPr>
              <w:jc w:val="center"/>
              <w:rPr>
                <w:rFonts w:eastAsia="楷体_GB2312"/>
                <w:color w:val="000000"/>
                <w:kern w:val="0"/>
                <w:szCs w:val="21"/>
              </w:rPr>
            </w:pPr>
            <w:r>
              <w:rPr>
                <w:rFonts w:eastAsia="楷体_GB2312"/>
                <w:color w:val="000000"/>
                <w:kern w:val="0"/>
                <w:szCs w:val="21"/>
              </w:rPr>
              <w:t>大店镇</w:t>
            </w:r>
          </w:p>
        </w:tc>
        <w:tc>
          <w:tcPr>
            <w:tcW w:w="992" w:type="dxa"/>
            <w:noWrap w:val="0"/>
            <w:vAlign w:val="center"/>
          </w:tcPr>
          <w:p w14:paraId="25695F3E">
            <w:pPr>
              <w:jc w:val="center"/>
              <w:rPr>
                <w:color w:val="000000"/>
                <w:kern w:val="0"/>
                <w:szCs w:val="21"/>
              </w:rPr>
            </w:pPr>
            <w:r>
              <w:rPr>
                <w:rFonts w:hint="eastAsia"/>
                <w:color w:val="000000"/>
                <w:kern w:val="0"/>
                <w:szCs w:val="21"/>
              </w:rPr>
              <w:t>0</w:t>
            </w:r>
            <w:r>
              <w:rPr>
                <w:color w:val="000000"/>
                <w:kern w:val="0"/>
                <w:szCs w:val="21"/>
              </w:rPr>
              <w:t>1</w:t>
            </w:r>
          </w:p>
        </w:tc>
        <w:tc>
          <w:tcPr>
            <w:tcW w:w="2527" w:type="dxa"/>
            <w:noWrap w:val="0"/>
            <w:vAlign w:val="center"/>
          </w:tcPr>
          <w:p w14:paraId="1532A908">
            <w:pPr>
              <w:jc w:val="center"/>
              <w:rPr>
                <w:rFonts w:eastAsia="楷体_GB2312"/>
                <w:color w:val="000000"/>
                <w:kern w:val="0"/>
                <w:szCs w:val="21"/>
              </w:rPr>
            </w:pPr>
            <w:r>
              <w:rPr>
                <w:rFonts w:eastAsia="楷体_GB2312"/>
                <w:color w:val="000000"/>
                <w:kern w:val="0"/>
                <w:szCs w:val="21"/>
              </w:rPr>
              <w:t>大店中学</w:t>
            </w:r>
          </w:p>
        </w:tc>
        <w:tc>
          <w:tcPr>
            <w:tcW w:w="876" w:type="dxa"/>
            <w:noWrap w:val="0"/>
            <w:vAlign w:val="center"/>
          </w:tcPr>
          <w:p w14:paraId="7C9985DF">
            <w:pPr>
              <w:jc w:val="center"/>
              <w:rPr>
                <w:color w:val="000000"/>
                <w:kern w:val="0"/>
                <w:szCs w:val="21"/>
              </w:rPr>
            </w:pPr>
            <w:r>
              <w:rPr>
                <w:color w:val="000000"/>
                <w:kern w:val="0"/>
                <w:szCs w:val="21"/>
              </w:rPr>
              <w:t xml:space="preserve">1.0000 </w:t>
            </w:r>
          </w:p>
        </w:tc>
        <w:tc>
          <w:tcPr>
            <w:tcW w:w="567" w:type="dxa"/>
            <w:noWrap w:val="0"/>
            <w:vAlign w:val="center"/>
          </w:tcPr>
          <w:p w14:paraId="1B422E30">
            <w:pPr>
              <w:jc w:val="center"/>
              <w:rPr>
                <w:color w:val="000000"/>
                <w:kern w:val="0"/>
                <w:szCs w:val="21"/>
              </w:rPr>
            </w:pPr>
            <w:r>
              <w:rPr>
                <w:color w:val="000000"/>
                <w:kern w:val="0"/>
                <w:szCs w:val="21"/>
              </w:rPr>
              <w:t>1</w:t>
            </w:r>
          </w:p>
        </w:tc>
        <w:tc>
          <w:tcPr>
            <w:tcW w:w="708" w:type="dxa"/>
            <w:noWrap w:val="0"/>
            <w:vAlign w:val="center"/>
          </w:tcPr>
          <w:p w14:paraId="341DBC82">
            <w:pPr>
              <w:jc w:val="center"/>
              <w:rPr>
                <w:color w:val="000000"/>
                <w:kern w:val="0"/>
                <w:szCs w:val="21"/>
              </w:rPr>
            </w:pPr>
            <w:r>
              <w:rPr>
                <w:color w:val="000000"/>
                <w:kern w:val="0"/>
                <w:szCs w:val="21"/>
              </w:rPr>
              <w:t>100</w:t>
            </w:r>
          </w:p>
        </w:tc>
        <w:tc>
          <w:tcPr>
            <w:tcW w:w="1402" w:type="dxa"/>
            <w:noWrap w:val="0"/>
            <w:vAlign w:val="center"/>
          </w:tcPr>
          <w:p w14:paraId="2B72A324">
            <w:pPr>
              <w:jc w:val="center"/>
              <w:rPr>
                <w:color w:val="000000"/>
                <w:kern w:val="0"/>
                <w:szCs w:val="21"/>
              </w:rPr>
            </w:pPr>
            <w:r>
              <w:rPr>
                <w:rFonts w:hint="eastAsia"/>
                <w:color w:val="000000"/>
                <w:kern w:val="0"/>
                <w:szCs w:val="21"/>
              </w:rPr>
              <w:t>1900</w:t>
            </w:r>
          </w:p>
        </w:tc>
      </w:tr>
      <w:tr w14:paraId="1C9E2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noWrap w:val="0"/>
            <w:vAlign w:val="center"/>
          </w:tcPr>
          <w:p w14:paraId="571BA8DF">
            <w:pPr>
              <w:jc w:val="center"/>
              <w:rPr>
                <w:color w:val="000000"/>
                <w:kern w:val="0"/>
                <w:szCs w:val="21"/>
              </w:rPr>
            </w:pPr>
            <w:r>
              <w:rPr>
                <w:color w:val="000000"/>
                <w:kern w:val="0"/>
                <w:szCs w:val="21"/>
              </w:rPr>
              <w:t>6</w:t>
            </w:r>
          </w:p>
        </w:tc>
        <w:tc>
          <w:tcPr>
            <w:tcW w:w="1134" w:type="dxa"/>
            <w:noWrap w:val="0"/>
            <w:vAlign w:val="center"/>
          </w:tcPr>
          <w:p w14:paraId="476A7BEA">
            <w:pPr>
              <w:jc w:val="center"/>
              <w:rPr>
                <w:rFonts w:eastAsia="楷体_GB2312"/>
                <w:color w:val="000000"/>
                <w:kern w:val="0"/>
                <w:szCs w:val="21"/>
              </w:rPr>
            </w:pPr>
            <w:r>
              <w:rPr>
                <w:rFonts w:eastAsia="楷体_GB2312"/>
                <w:color w:val="000000"/>
                <w:kern w:val="0"/>
                <w:szCs w:val="21"/>
              </w:rPr>
              <w:t>栏杆镇</w:t>
            </w:r>
          </w:p>
        </w:tc>
        <w:tc>
          <w:tcPr>
            <w:tcW w:w="992" w:type="dxa"/>
            <w:noWrap w:val="0"/>
            <w:vAlign w:val="center"/>
          </w:tcPr>
          <w:p w14:paraId="375A5446">
            <w:pPr>
              <w:jc w:val="center"/>
              <w:rPr>
                <w:color w:val="000000"/>
                <w:kern w:val="0"/>
                <w:szCs w:val="21"/>
              </w:rPr>
            </w:pPr>
            <w:r>
              <w:rPr>
                <w:rFonts w:hint="eastAsia"/>
                <w:color w:val="000000"/>
                <w:kern w:val="0"/>
                <w:szCs w:val="21"/>
              </w:rPr>
              <w:t>0</w:t>
            </w:r>
            <w:r>
              <w:rPr>
                <w:color w:val="000000"/>
                <w:kern w:val="0"/>
                <w:szCs w:val="21"/>
              </w:rPr>
              <w:t>1</w:t>
            </w:r>
          </w:p>
        </w:tc>
        <w:tc>
          <w:tcPr>
            <w:tcW w:w="2527" w:type="dxa"/>
            <w:noWrap w:val="0"/>
            <w:vAlign w:val="center"/>
          </w:tcPr>
          <w:p w14:paraId="0F4CE6A7">
            <w:pPr>
              <w:jc w:val="center"/>
              <w:rPr>
                <w:rFonts w:eastAsia="楷体_GB2312"/>
                <w:color w:val="000000"/>
                <w:kern w:val="0"/>
                <w:szCs w:val="21"/>
              </w:rPr>
            </w:pPr>
            <w:r>
              <w:rPr>
                <w:rFonts w:eastAsia="楷体_GB2312"/>
                <w:color w:val="000000"/>
                <w:kern w:val="0"/>
                <w:szCs w:val="21"/>
              </w:rPr>
              <w:t>栏杆初级中学</w:t>
            </w:r>
          </w:p>
        </w:tc>
        <w:tc>
          <w:tcPr>
            <w:tcW w:w="876" w:type="dxa"/>
            <w:noWrap/>
            <w:vAlign w:val="center"/>
          </w:tcPr>
          <w:p w14:paraId="0A235540">
            <w:pPr>
              <w:jc w:val="right"/>
              <w:rPr>
                <w:color w:val="000000"/>
                <w:kern w:val="0"/>
                <w:sz w:val="22"/>
                <w:szCs w:val="22"/>
              </w:rPr>
            </w:pPr>
            <w:r>
              <w:rPr>
                <w:color w:val="000000"/>
                <w:kern w:val="0"/>
                <w:sz w:val="22"/>
                <w:szCs w:val="22"/>
              </w:rPr>
              <w:t xml:space="preserve">1.0000 </w:t>
            </w:r>
          </w:p>
        </w:tc>
        <w:tc>
          <w:tcPr>
            <w:tcW w:w="567" w:type="dxa"/>
            <w:noWrap w:val="0"/>
            <w:vAlign w:val="center"/>
          </w:tcPr>
          <w:p w14:paraId="12D701E4">
            <w:pPr>
              <w:jc w:val="center"/>
              <w:rPr>
                <w:color w:val="000000"/>
                <w:kern w:val="0"/>
                <w:szCs w:val="21"/>
              </w:rPr>
            </w:pPr>
            <w:r>
              <w:rPr>
                <w:color w:val="000000"/>
                <w:kern w:val="0"/>
                <w:szCs w:val="21"/>
              </w:rPr>
              <w:t>1</w:t>
            </w:r>
          </w:p>
        </w:tc>
        <w:tc>
          <w:tcPr>
            <w:tcW w:w="708" w:type="dxa"/>
            <w:noWrap w:val="0"/>
            <w:vAlign w:val="center"/>
          </w:tcPr>
          <w:p w14:paraId="5B318157">
            <w:pPr>
              <w:jc w:val="center"/>
              <w:rPr>
                <w:color w:val="000000"/>
                <w:kern w:val="0"/>
                <w:szCs w:val="21"/>
              </w:rPr>
            </w:pPr>
            <w:r>
              <w:rPr>
                <w:color w:val="000000"/>
                <w:kern w:val="0"/>
                <w:szCs w:val="21"/>
              </w:rPr>
              <w:t>100</w:t>
            </w:r>
          </w:p>
        </w:tc>
        <w:tc>
          <w:tcPr>
            <w:tcW w:w="1402" w:type="dxa"/>
            <w:noWrap/>
            <w:vAlign w:val="center"/>
          </w:tcPr>
          <w:p w14:paraId="1690CCA3">
            <w:pPr>
              <w:jc w:val="center"/>
              <w:rPr>
                <w:color w:val="000000"/>
                <w:kern w:val="0"/>
                <w:szCs w:val="21"/>
              </w:rPr>
            </w:pPr>
            <w:r>
              <w:rPr>
                <w:rFonts w:hint="eastAsia"/>
                <w:color w:val="000000"/>
                <w:kern w:val="0"/>
                <w:szCs w:val="21"/>
              </w:rPr>
              <w:t>1900</w:t>
            </w:r>
          </w:p>
        </w:tc>
      </w:tr>
      <w:tr w14:paraId="4C281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vMerge w:val="restart"/>
            <w:noWrap w:val="0"/>
            <w:vAlign w:val="center"/>
          </w:tcPr>
          <w:p w14:paraId="7F253700">
            <w:pPr>
              <w:jc w:val="center"/>
              <w:rPr>
                <w:color w:val="000000"/>
                <w:kern w:val="0"/>
                <w:szCs w:val="21"/>
              </w:rPr>
            </w:pPr>
            <w:r>
              <w:rPr>
                <w:color w:val="000000"/>
                <w:kern w:val="0"/>
                <w:szCs w:val="21"/>
              </w:rPr>
              <w:t>7</w:t>
            </w:r>
          </w:p>
        </w:tc>
        <w:tc>
          <w:tcPr>
            <w:tcW w:w="1134" w:type="dxa"/>
            <w:vMerge w:val="restart"/>
            <w:noWrap w:val="0"/>
            <w:vAlign w:val="center"/>
          </w:tcPr>
          <w:p w14:paraId="04B012C7">
            <w:pPr>
              <w:jc w:val="center"/>
              <w:rPr>
                <w:rFonts w:eastAsia="楷体_GB2312"/>
                <w:color w:val="000000"/>
                <w:kern w:val="0"/>
                <w:szCs w:val="21"/>
              </w:rPr>
            </w:pPr>
            <w:r>
              <w:rPr>
                <w:rFonts w:eastAsia="楷体_GB2312"/>
                <w:color w:val="000000"/>
                <w:kern w:val="0"/>
                <w:szCs w:val="21"/>
              </w:rPr>
              <w:t>时村镇</w:t>
            </w:r>
          </w:p>
        </w:tc>
        <w:tc>
          <w:tcPr>
            <w:tcW w:w="992" w:type="dxa"/>
            <w:noWrap w:val="0"/>
            <w:vAlign w:val="center"/>
          </w:tcPr>
          <w:p w14:paraId="4D13CA7D">
            <w:pPr>
              <w:jc w:val="center"/>
              <w:rPr>
                <w:color w:val="000000"/>
                <w:kern w:val="0"/>
                <w:szCs w:val="21"/>
              </w:rPr>
            </w:pPr>
            <w:r>
              <w:rPr>
                <w:rFonts w:hint="eastAsia"/>
                <w:color w:val="000000"/>
                <w:kern w:val="0"/>
                <w:szCs w:val="21"/>
              </w:rPr>
              <w:t>0</w:t>
            </w:r>
            <w:r>
              <w:rPr>
                <w:color w:val="000000"/>
                <w:kern w:val="0"/>
                <w:szCs w:val="21"/>
              </w:rPr>
              <w:t>1</w:t>
            </w:r>
          </w:p>
        </w:tc>
        <w:tc>
          <w:tcPr>
            <w:tcW w:w="2527" w:type="dxa"/>
            <w:noWrap w:val="0"/>
            <w:vAlign w:val="center"/>
          </w:tcPr>
          <w:p w14:paraId="1C753146">
            <w:pPr>
              <w:jc w:val="center"/>
              <w:rPr>
                <w:rFonts w:eastAsia="楷体_GB2312"/>
                <w:color w:val="000000"/>
                <w:kern w:val="0"/>
                <w:szCs w:val="21"/>
              </w:rPr>
            </w:pPr>
            <w:r>
              <w:rPr>
                <w:rFonts w:eastAsia="楷体_GB2312"/>
                <w:color w:val="000000"/>
                <w:kern w:val="0"/>
                <w:szCs w:val="21"/>
              </w:rPr>
              <w:t>时村镇第二初级中学</w:t>
            </w:r>
          </w:p>
        </w:tc>
        <w:tc>
          <w:tcPr>
            <w:tcW w:w="876" w:type="dxa"/>
            <w:noWrap/>
            <w:vAlign w:val="center"/>
          </w:tcPr>
          <w:p w14:paraId="458525D6">
            <w:pPr>
              <w:jc w:val="right"/>
              <w:rPr>
                <w:color w:val="000000"/>
                <w:kern w:val="0"/>
                <w:sz w:val="22"/>
                <w:szCs w:val="22"/>
              </w:rPr>
            </w:pPr>
            <w:r>
              <w:rPr>
                <w:color w:val="000000"/>
                <w:kern w:val="0"/>
                <w:sz w:val="22"/>
                <w:szCs w:val="22"/>
              </w:rPr>
              <w:t xml:space="preserve">0.8833 </w:t>
            </w:r>
          </w:p>
        </w:tc>
        <w:tc>
          <w:tcPr>
            <w:tcW w:w="567" w:type="dxa"/>
            <w:noWrap w:val="0"/>
            <w:vAlign w:val="center"/>
          </w:tcPr>
          <w:p w14:paraId="26AD63B8">
            <w:pPr>
              <w:jc w:val="center"/>
              <w:rPr>
                <w:color w:val="000000"/>
                <w:kern w:val="0"/>
                <w:szCs w:val="21"/>
              </w:rPr>
            </w:pPr>
            <w:r>
              <w:rPr>
                <w:color w:val="000000"/>
                <w:kern w:val="0"/>
                <w:szCs w:val="21"/>
              </w:rPr>
              <w:t>1</w:t>
            </w:r>
          </w:p>
        </w:tc>
        <w:tc>
          <w:tcPr>
            <w:tcW w:w="708" w:type="dxa"/>
            <w:noWrap w:val="0"/>
            <w:vAlign w:val="center"/>
          </w:tcPr>
          <w:p w14:paraId="5FF876B9">
            <w:pPr>
              <w:jc w:val="center"/>
              <w:rPr>
                <w:color w:val="000000"/>
                <w:kern w:val="0"/>
                <w:szCs w:val="21"/>
              </w:rPr>
            </w:pPr>
            <w:r>
              <w:rPr>
                <w:color w:val="000000"/>
                <w:kern w:val="0"/>
                <w:szCs w:val="21"/>
              </w:rPr>
              <w:t>100</w:t>
            </w:r>
          </w:p>
        </w:tc>
        <w:tc>
          <w:tcPr>
            <w:tcW w:w="1402" w:type="dxa"/>
            <w:noWrap/>
            <w:vAlign w:val="center"/>
          </w:tcPr>
          <w:p w14:paraId="45743600">
            <w:pPr>
              <w:jc w:val="center"/>
              <w:rPr>
                <w:color w:val="000000"/>
                <w:kern w:val="0"/>
                <w:szCs w:val="21"/>
              </w:rPr>
            </w:pPr>
            <w:r>
              <w:rPr>
                <w:rFonts w:hint="eastAsia"/>
                <w:color w:val="000000"/>
                <w:kern w:val="0"/>
                <w:szCs w:val="21"/>
              </w:rPr>
              <w:t>2100</w:t>
            </w:r>
          </w:p>
        </w:tc>
      </w:tr>
      <w:tr w14:paraId="52B5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vMerge w:val="continue"/>
            <w:noWrap w:val="0"/>
            <w:vAlign w:val="center"/>
          </w:tcPr>
          <w:p w14:paraId="3A219A4D">
            <w:pPr>
              <w:rPr>
                <w:color w:val="000000"/>
                <w:kern w:val="0"/>
                <w:szCs w:val="21"/>
              </w:rPr>
            </w:pPr>
          </w:p>
        </w:tc>
        <w:tc>
          <w:tcPr>
            <w:tcW w:w="1134" w:type="dxa"/>
            <w:vMerge w:val="continue"/>
            <w:noWrap w:val="0"/>
            <w:vAlign w:val="center"/>
          </w:tcPr>
          <w:p w14:paraId="7E0647AC">
            <w:pPr>
              <w:rPr>
                <w:rFonts w:eastAsia="楷体_GB2312"/>
                <w:color w:val="000000"/>
                <w:kern w:val="0"/>
                <w:szCs w:val="21"/>
              </w:rPr>
            </w:pPr>
          </w:p>
        </w:tc>
        <w:tc>
          <w:tcPr>
            <w:tcW w:w="992" w:type="dxa"/>
            <w:noWrap w:val="0"/>
            <w:vAlign w:val="center"/>
          </w:tcPr>
          <w:p w14:paraId="2592F76D">
            <w:pPr>
              <w:jc w:val="center"/>
              <w:rPr>
                <w:color w:val="000000"/>
                <w:kern w:val="0"/>
                <w:szCs w:val="21"/>
              </w:rPr>
            </w:pPr>
            <w:r>
              <w:rPr>
                <w:rFonts w:hint="eastAsia"/>
                <w:color w:val="000000"/>
                <w:kern w:val="0"/>
                <w:szCs w:val="21"/>
              </w:rPr>
              <w:t>0</w:t>
            </w:r>
            <w:r>
              <w:rPr>
                <w:color w:val="000000"/>
                <w:kern w:val="0"/>
                <w:szCs w:val="21"/>
              </w:rPr>
              <w:t>2</w:t>
            </w:r>
          </w:p>
        </w:tc>
        <w:tc>
          <w:tcPr>
            <w:tcW w:w="2527" w:type="dxa"/>
            <w:noWrap w:val="0"/>
            <w:vAlign w:val="center"/>
          </w:tcPr>
          <w:p w14:paraId="5E9FA2D0">
            <w:pPr>
              <w:jc w:val="center"/>
              <w:rPr>
                <w:rFonts w:eastAsia="楷体_GB2312"/>
                <w:color w:val="000000"/>
                <w:kern w:val="0"/>
                <w:szCs w:val="21"/>
              </w:rPr>
            </w:pPr>
            <w:r>
              <w:rPr>
                <w:rFonts w:eastAsia="楷体_GB2312"/>
                <w:color w:val="000000"/>
                <w:kern w:val="0"/>
                <w:szCs w:val="21"/>
              </w:rPr>
              <w:t>时村中学</w:t>
            </w:r>
          </w:p>
        </w:tc>
        <w:tc>
          <w:tcPr>
            <w:tcW w:w="876" w:type="dxa"/>
            <w:noWrap/>
            <w:vAlign w:val="center"/>
          </w:tcPr>
          <w:p w14:paraId="2FD0387B">
            <w:pPr>
              <w:jc w:val="right"/>
              <w:rPr>
                <w:color w:val="000000"/>
                <w:kern w:val="0"/>
                <w:sz w:val="22"/>
                <w:szCs w:val="22"/>
              </w:rPr>
            </w:pPr>
            <w:r>
              <w:rPr>
                <w:color w:val="000000"/>
                <w:kern w:val="0"/>
                <w:sz w:val="22"/>
                <w:szCs w:val="22"/>
              </w:rPr>
              <w:t xml:space="preserve">0.6431 </w:t>
            </w:r>
          </w:p>
        </w:tc>
        <w:tc>
          <w:tcPr>
            <w:tcW w:w="567" w:type="dxa"/>
            <w:noWrap w:val="0"/>
            <w:vAlign w:val="center"/>
          </w:tcPr>
          <w:p w14:paraId="0B2558A2">
            <w:pPr>
              <w:jc w:val="center"/>
              <w:rPr>
                <w:color w:val="000000"/>
                <w:kern w:val="0"/>
                <w:szCs w:val="21"/>
              </w:rPr>
            </w:pPr>
            <w:r>
              <w:rPr>
                <w:color w:val="000000"/>
                <w:kern w:val="0"/>
                <w:szCs w:val="21"/>
              </w:rPr>
              <w:t>2</w:t>
            </w:r>
          </w:p>
        </w:tc>
        <w:tc>
          <w:tcPr>
            <w:tcW w:w="708" w:type="dxa"/>
            <w:noWrap w:val="0"/>
            <w:vAlign w:val="center"/>
          </w:tcPr>
          <w:p w14:paraId="33BF7CF3">
            <w:pPr>
              <w:jc w:val="center"/>
              <w:rPr>
                <w:color w:val="000000"/>
                <w:kern w:val="0"/>
                <w:szCs w:val="21"/>
              </w:rPr>
            </w:pPr>
            <w:r>
              <w:rPr>
                <w:color w:val="000000"/>
                <w:kern w:val="0"/>
                <w:szCs w:val="21"/>
              </w:rPr>
              <w:t>73</w:t>
            </w:r>
          </w:p>
        </w:tc>
        <w:tc>
          <w:tcPr>
            <w:tcW w:w="1402" w:type="dxa"/>
            <w:noWrap/>
            <w:vAlign w:val="center"/>
          </w:tcPr>
          <w:p w14:paraId="442339BB">
            <w:pPr>
              <w:jc w:val="center"/>
              <w:rPr>
                <w:color w:val="000000"/>
                <w:kern w:val="0"/>
                <w:szCs w:val="21"/>
              </w:rPr>
            </w:pPr>
            <w:r>
              <w:rPr>
                <w:rFonts w:hint="eastAsia"/>
                <w:color w:val="000000"/>
                <w:kern w:val="0"/>
                <w:szCs w:val="21"/>
              </w:rPr>
              <w:t>2000</w:t>
            </w:r>
          </w:p>
        </w:tc>
      </w:tr>
      <w:tr w14:paraId="1F54D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noWrap w:val="0"/>
            <w:vAlign w:val="center"/>
          </w:tcPr>
          <w:p w14:paraId="5064F070">
            <w:pPr>
              <w:jc w:val="center"/>
              <w:rPr>
                <w:color w:val="000000"/>
                <w:kern w:val="0"/>
                <w:szCs w:val="21"/>
              </w:rPr>
            </w:pPr>
            <w:r>
              <w:rPr>
                <w:color w:val="000000"/>
                <w:kern w:val="0"/>
                <w:szCs w:val="21"/>
              </w:rPr>
              <w:t>8</w:t>
            </w:r>
          </w:p>
        </w:tc>
        <w:tc>
          <w:tcPr>
            <w:tcW w:w="1134" w:type="dxa"/>
            <w:noWrap w:val="0"/>
            <w:vAlign w:val="center"/>
          </w:tcPr>
          <w:p w14:paraId="72112342">
            <w:pPr>
              <w:jc w:val="center"/>
              <w:rPr>
                <w:rFonts w:eastAsia="楷体_GB2312"/>
                <w:color w:val="000000"/>
                <w:kern w:val="0"/>
                <w:szCs w:val="21"/>
              </w:rPr>
            </w:pPr>
            <w:r>
              <w:rPr>
                <w:rFonts w:eastAsia="楷体_GB2312"/>
                <w:color w:val="000000"/>
                <w:kern w:val="0"/>
                <w:szCs w:val="21"/>
              </w:rPr>
              <w:t>夹沟镇</w:t>
            </w:r>
          </w:p>
        </w:tc>
        <w:tc>
          <w:tcPr>
            <w:tcW w:w="992" w:type="dxa"/>
            <w:noWrap w:val="0"/>
            <w:vAlign w:val="center"/>
          </w:tcPr>
          <w:p w14:paraId="6C721A8C">
            <w:pPr>
              <w:jc w:val="center"/>
              <w:rPr>
                <w:color w:val="000000"/>
                <w:kern w:val="0"/>
                <w:szCs w:val="21"/>
              </w:rPr>
            </w:pPr>
            <w:r>
              <w:rPr>
                <w:rFonts w:hint="eastAsia"/>
                <w:color w:val="000000"/>
                <w:kern w:val="0"/>
                <w:szCs w:val="21"/>
              </w:rPr>
              <w:t>0</w:t>
            </w:r>
            <w:r>
              <w:rPr>
                <w:color w:val="000000"/>
                <w:kern w:val="0"/>
                <w:szCs w:val="21"/>
              </w:rPr>
              <w:t>1</w:t>
            </w:r>
          </w:p>
        </w:tc>
        <w:tc>
          <w:tcPr>
            <w:tcW w:w="2527" w:type="dxa"/>
            <w:noWrap w:val="0"/>
            <w:vAlign w:val="center"/>
          </w:tcPr>
          <w:p w14:paraId="1EDF7C7A">
            <w:pPr>
              <w:jc w:val="center"/>
              <w:rPr>
                <w:rFonts w:eastAsia="楷体_GB2312"/>
                <w:color w:val="000000"/>
                <w:kern w:val="0"/>
                <w:szCs w:val="21"/>
              </w:rPr>
            </w:pPr>
            <w:r>
              <w:rPr>
                <w:rFonts w:eastAsia="楷体_GB2312"/>
                <w:color w:val="000000"/>
                <w:kern w:val="0"/>
                <w:szCs w:val="21"/>
              </w:rPr>
              <w:t>夹沟初级中学</w:t>
            </w:r>
          </w:p>
        </w:tc>
        <w:tc>
          <w:tcPr>
            <w:tcW w:w="876" w:type="dxa"/>
            <w:noWrap/>
            <w:vAlign w:val="center"/>
          </w:tcPr>
          <w:p w14:paraId="74A666FE">
            <w:pPr>
              <w:jc w:val="right"/>
              <w:rPr>
                <w:color w:val="000000"/>
                <w:kern w:val="0"/>
                <w:sz w:val="22"/>
                <w:szCs w:val="22"/>
              </w:rPr>
            </w:pPr>
            <w:r>
              <w:rPr>
                <w:color w:val="000000"/>
                <w:kern w:val="0"/>
                <w:sz w:val="22"/>
                <w:szCs w:val="22"/>
              </w:rPr>
              <w:t xml:space="preserve">1.0000 </w:t>
            </w:r>
          </w:p>
        </w:tc>
        <w:tc>
          <w:tcPr>
            <w:tcW w:w="567" w:type="dxa"/>
            <w:noWrap w:val="0"/>
            <w:vAlign w:val="center"/>
          </w:tcPr>
          <w:p w14:paraId="50D449C9">
            <w:pPr>
              <w:jc w:val="center"/>
              <w:rPr>
                <w:color w:val="000000"/>
                <w:kern w:val="0"/>
                <w:szCs w:val="21"/>
              </w:rPr>
            </w:pPr>
            <w:r>
              <w:rPr>
                <w:color w:val="000000"/>
                <w:kern w:val="0"/>
                <w:szCs w:val="21"/>
              </w:rPr>
              <w:t>1</w:t>
            </w:r>
          </w:p>
        </w:tc>
        <w:tc>
          <w:tcPr>
            <w:tcW w:w="708" w:type="dxa"/>
            <w:noWrap w:val="0"/>
            <w:vAlign w:val="center"/>
          </w:tcPr>
          <w:p w14:paraId="03E867FB">
            <w:pPr>
              <w:jc w:val="center"/>
              <w:rPr>
                <w:color w:val="000000"/>
                <w:kern w:val="0"/>
                <w:szCs w:val="21"/>
              </w:rPr>
            </w:pPr>
            <w:r>
              <w:rPr>
                <w:color w:val="000000"/>
                <w:kern w:val="0"/>
                <w:szCs w:val="21"/>
              </w:rPr>
              <w:t>100</w:t>
            </w:r>
          </w:p>
        </w:tc>
        <w:tc>
          <w:tcPr>
            <w:tcW w:w="1402" w:type="dxa"/>
            <w:noWrap/>
            <w:vAlign w:val="center"/>
          </w:tcPr>
          <w:p w14:paraId="3F64C6BE">
            <w:pPr>
              <w:jc w:val="center"/>
              <w:rPr>
                <w:color w:val="000000"/>
                <w:kern w:val="0"/>
                <w:szCs w:val="21"/>
              </w:rPr>
            </w:pPr>
            <w:r>
              <w:rPr>
                <w:rFonts w:hint="eastAsia"/>
                <w:color w:val="000000"/>
                <w:kern w:val="0"/>
                <w:szCs w:val="21"/>
              </w:rPr>
              <w:t>1600</w:t>
            </w:r>
          </w:p>
        </w:tc>
      </w:tr>
      <w:tr w14:paraId="4E35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noWrap w:val="0"/>
            <w:vAlign w:val="center"/>
          </w:tcPr>
          <w:p w14:paraId="4340342F">
            <w:pPr>
              <w:jc w:val="center"/>
              <w:rPr>
                <w:color w:val="000000"/>
                <w:kern w:val="0"/>
                <w:szCs w:val="21"/>
              </w:rPr>
            </w:pPr>
            <w:r>
              <w:rPr>
                <w:color w:val="000000"/>
                <w:kern w:val="0"/>
                <w:szCs w:val="21"/>
              </w:rPr>
              <w:t>9</w:t>
            </w:r>
          </w:p>
        </w:tc>
        <w:tc>
          <w:tcPr>
            <w:tcW w:w="1134" w:type="dxa"/>
            <w:noWrap w:val="0"/>
            <w:vAlign w:val="center"/>
          </w:tcPr>
          <w:p w14:paraId="627DAC97">
            <w:pPr>
              <w:jc w:val="center"/>
              <w:rPr>
                <w:rFonts w:eastAsia="楷体_GB2312"/>
                <w:color w:val="000000"/>
                <w:kern w:val="0"/>
                <w:szCs w:val="21"/>
              </w:rPr>
            </w:pPr>
            <w:r>
              <w:rPr>
                <w:rFonts w:eastAsia="楷体_GB2312"/>
                <w:color w:val="000000"/>
                <w:kern w:val="0"/>
                <w:szCs w:val="21"/>
              </w:rPr>
              <w:t>西二铺乡</w:t>
            </w:r>
          </w:p>
        </w:tc>
        <w:tc>
          <w:tcPr>
            <w:tcW w:w="992" w:type="dxa"/>
            <w:noWrap w:val="0"/>
            <w:vAlign w:val="center"/>
          </w:tcPr>
          <w:p w14:paraId="541EAF38">
            <w:pPr>
              <w:jc w:val="center"/>
              <w:rPr>
                <w:color w:val="000000"/>
                <w:kern w:val="0"/>
                <w:szCs w:val="21"/>
              </w:rPr>
            </w:pPr>
            <w:r>
              <w:rPr>
                <w:rFonts w:hint="eastAsia"/>
                <w:color w:val="000000"/>
                <w:kern w:val="0"/>
                <w:szCs w:val="21"/>
              </w:rPr>
              <w:t>0</w:t>
            </w:r>
            <w:r>
              <w:rPr>
                <w:color w:val="000000"/>
                <w:kern w:val="0"/>
                <w:szCs w:val="21"/>
              </w:rPr>
              <w:t>1</w:t>
            </w:r>
          </w:p>
        </w:tc>
        <w:tc>
          <w:tcPr>
            <w:tcW w:w="2527" w:type="dxa"/>
            <w:noWrap w:val="0"/>
            <w:vAlign w:val="center"/>
          </w:tcPr>
          <w:p w14:paraId="6EA96E78">
            <w:pPr>
              <w:jc w:val="center"/>
              <w:rPr>
                <w:rFonts w:eastAsia="楷体_GB2312"/>
                <w:color w:val="000000"/>
                <w:kern w:val="0"/>
                <w:szCs w:val="21"/>
              </w:rPr>
            </w:pPr>
            <w:r>
              <w:rPr>
                <w:rFonts w:eastAsia="楷体_GB2312"/>
                <w:color w:val="000000"/>
                <w:kern w:val="0"/>
                <w:szCs w:val="21"/>
              </w:rPr>
              <w:t>西二铺初级中学</w:t>
            </w:r>
          </w:p>
        </w:tc>
        <w:tc>
          <w:tcPr>
            <w:tcW w:w="876" w:type="dxa"/>
            <w:noWrap/>
            <w:vAlign w:val="center"/>
          </w:tcPr>
          <w:p w14:paraId="1B9983B5">
            <w:pPr>
              <w:jc w:val="right"/>
              <w:rPr>
                <w:color w:val="000000"/>
                <w:kern w:val="0"/>
                <w:sz w:val="22"/>
                <w:szCs w:val="22"/>
              </w:rPr>
            </w:pPr>
            <w:r>
              <w:rPr>
                <w:color w:val="000000"/>
                <w:kern w:val="0"/>
                <w:sz w:val="22"/>
                <w:szCs w:val="22"/>
              </w:rPr>
              <w:t xml:space="preserve">1.0000 </w:t>
            </w:r>
          </w:p>
        </w:tc>
        <w:tc>
          <w:tcPr>
            <w:tcW w:w="567" w:type="dxa"/>
            <w:noWrap/>
            <w:vAlign w:val="center"/>
          </w:tcPr>
          <w:p w14:paraId="15BC7048">
            <w:pPr>
              <w:jc w:val="center"/>
              <w:rPr>
                <w:color w:val="000000"/>
                <w:kern w:val="0"/>
                <w:szCs w:val="21"/>
              </w:rPr>
            </w:pPr>
            <w:r>
              <w:rPr>
                <w:color w:val="000000"/>
                <w:kern w:val="0"/>
                <w:szCs w:val="21"/>
              </w:rPr>
              <w:t>1</w:t>
            </w:r>
          </w:p>
        </w:tc>
        <w:tc>
          <w:tcPr>
            <w:tcW w:w="708" w:type="dxa"/>
            <w:noWrap w:val="0"/>
            <w:vAlign w:val="center"/>
          </w:tcPr>
          <w:p w14:paraId="7F3563EE">
            <w:pPr>
              <w:jc w:val="center"/>
              <w:rPr>
                <w:color w:val="000000"/>
                <w:kern w:val="0"/>
                <w:szCs w:val="21"/>
              </w:rPr>
            </w:pPr>
            <w:r>
              <w:rPr>
                <w:color w:val="000000"/>
                <w:kern w:val="0"/>
                <w:szCs w:val="21"/>
              </w:rPr>
              <w:t>100</w:t>
            </w:r>
          </w:p>
        </w:tc>
        <w:tc>
          <w:tcPr>
            <w:tcW w:w="1402" w:type="dxa"/>
            <w:noWrap/>
            <w:vAlign w:val="center"/>
          </w:tcPr>
          <w:p w14:paraId="4D3FF622">
            <w:pPr>
              <w:jc w:val="center"/>
              <w:rPr>
                <w:color w:val="000000"/>
                <w:kern w:val="0"/>
                <w:szCs w:val="21"/>
              </w:rPr>
            </w:pPr>
            <w:r>
              <w:rPr>
                <w:rFonts w:hint="eastAsia"/>
                <w:color w:val="000000"/>
                <w:kern w:val="0"/>
                <w:szCs w:val="21"/>
              </w:rPr>
              <w:t>1700</w:t>
            </w:r>
          </w:p>
        </w:tc>
      </w:tr>
      <w:tr w14:paraId="6D91D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vMerge w:val="restart"/>
            <w:noWrap w:val="0"/>
            <w:vAlign w:val="center"/>
          </w:tcPr>
          <w:p w14:paraId="13701CBE">
            <w:pPr>
              <w:jc w:val="center"/>
              <w:rPr>
                <w:color w:val="000000"/>
                <w:kern w:val="0"/>
                <w:szCs w:val="21"/>
              </w:rPr>
            </w:pPr>
            <w:r>
              <w:rPr>
                <w:color w:val="000000"/>
                <w:kern w:val="0"/>
                <w:szCs w:val="21"/>
              </w:rPr>
              <w:t>10</w:t>
            </w:r>
          </w:p>
        </w:tc>
        <w:tc>
          <w:tcPr>
            <w:tcW w:w="1134" w:type="dxa"/>
            <w:vMerge w:val="restart"/>
            <w:noWrap w:val="0"/>
            <w:vAlign w:val="center"/>
          </w:tcPr>
          <w:p w14:paraId="6909B7F6">
            <w:pPr>
              <w:jc w:val="center"/>
              <w:rPr>
                <w:rFonts w:eastAsia="楷体_GB2312"/>
                <w:color w:val="000000"/>
                <w:kern w:val="0"/>
                <w:szCs w:val="21"/>
              </w:rPr>
            </w:pPr>
            <w:r>
              <w:rPr>
                <w:rFonts w:eastAsia="楷体_GB2312"/>
                <w:color w:val="000000"/>
                <w:kern w:val="0"/>
                <w:szCs w:val="21"/>
              </w:rPr>
              <w:t>桃园镇</w:t>
            </w:r>
          </w:p>
        </w:tc>
        <w:tc>
          <w:tcPr>
            <w:tcW w:w="992" w:type="dxa"/>
            <w:noWrap w:val="0"/>
            <w:vAlign w:val="center"/>
          </w:tcPr>
          <w:p w14:paraId="7DBA21C2">
            <w:pPr>
              <w:jc w:val="center"/>
              <w:rPr>
                <w:color w:val="000000"/>
                <w:kern w:val="0"/>
                <w:szCs w:val="21"/>
              </w:rPr>
            </w:pPr>
            <w:r>
              <w:rPr>
                <w:rFonts w:hint="eastAsia"/>
                <w:color w:val="000000"/>
                <w:kern w:val="0"/>
                <w:szCs w:val="21"/>
              </w:rPr>
              <w:t>0</w:t>
            </w:r>
            <w:r>
              <w:rPr>
                <w:color w:val="000000"/>
                <w:kern w:val="0"/>
                <w:szCs w:val="21"/>
              </w:rPr>
              <w:t>1</w:t>
            </w:r>
          </w:p>
        </w:tc>
        <w:tc>
          <w:tcPr>
            <w:tcW w:w="2527" w:type="dxa"/>
            <w:noWrap w:val="0"/>
            <w:vAlign w:val="center"/>
          </w:tcPr>
          <w:p w14:paraId="1551822F">
            <w:pPr>
              <w:jc w:val="center"/>
              <w:rPr>
                <w:rFonts w:eastAsia="楷体_GB2312"/>
                <w:color w:val="000000"/>
                <w:kern w:val="0"/>
                <w:szCs w:val="21"/>
              </w:rPr>
            </w:pPr>
            <w:r>
              <w:rPr>
                <w:rFonts w:eastAsia="楷体_GB2312"/>
                <w:color w:val="000000"/>
                <w:kern w:val="0"/>
                <w:szCs w:val="21"/>
              </w:rPr>
              <w:t>桃园中学</w:t>
            </w:r>
          </w:p>
        </w:tc>
        <w:tc>
          <w:tcPr>
            <w:tcW w:w="876" w:type="dxa"/>
            <w:noWrap/>
            <w:vAlign w:val="center"/>
          </w:tcPr>
          <w:p w14:paraId="69A0BDAF">
            <w:pPr>
              <w:jc w:val="right"/>
              <w:rPr>
                <w:color w:val="000000"/>
                <w:kern w:val="0"/>
                <w:sz w:val="22"/>
                <w:szCs w:val="22"/>
              </w:rPr>
            </w:pPr>
            <w:r>
              <w:rPr>
                <w:color w:val="000000"/>
                <w:kern w:val="0"/>
                <w:sz w:val="22"/>
                <w:szCs w:val="22"/>
              </w:rPr>
              <w:t xml:space="preserve">1.0000 </w:t>
            </w:r>
          </w:p>
        </w:tc>
        <w:tc>
          <w:tcPr>
            <w:tcW w:w="567" w:type="dxa"/>
            <w:noWrap/>
            <w:vAlign w:val="center"/>
          </w:tcPr>
          <w:p w14:paraId="0070E20A">
            <w:pPr>
              <w:jc w:val="center"/>
              <w:rPr>
                <w:color w:val="000000"/>
                <w:kern w:val="0"/>
                <w:szCs w:val="21"/>
              </w:rPr>
            </w:pPr>
            <w:r>
              <w:rPr>
                <w:color w:val="000000"/>
                <w:kern w:val="0"/>
                <w:szCs w:val="21"/>
              </w:rPr>
              <w:t>1</w:t>
            </w:r>
          </w:p>
        </w:tc>
        <w:tc>
          <w:tcPr>
            <w:tcW w:w="708" w:type="dxa"/>
            <w:noWrap w:val="0"/>
            <w:vAlign w:val="center"/>
          </w:tcPr>
          <w:p w14:paraId="326C19E4">
            <w:pPr>
              <w:jc w:val="center"/>
              <w:rPr>
                <w:color w:val="000000"/>
                <w:kern w:val="0"/>
                <w:szCs w:val="21"/>
              </w:rPr>
            </w:pPr>
            <w:r>
              <w:rPr>
                <w:color w:val="000000"/>
                <w:kern w:val="0"/>
                <w:szCs w:val="21"/>
              </w:rPr>
              <w:t>100</w:t>
            </w:r>
          </w:p>
        </w:tc>
        <w:tc>
          <w:tcPr>
            <w:tcW w:w="1402" w:type="dxa"/>
            <w:noWrap/>
            <w:vAlign w:val="center"/>
          </w:tcPr>
          <w:p w14:paraId="6763354F">
            <w:pPr>
              <w:jc w:val="center"/>
              <w:rPr>
                <w:color w:val="000000"/>
                <w:kern w:val="0"/>
                <w:szCs w:val="21"/>
              </w:rPr>
            </w:pPr>
            <w:r>
              <w:rPr>
                <w:rFonts w:hint="eastAsia"/>
                <w:color w:val="000000"/>
                <w:kern w:val="0"/>
                <w:szCs w:val="21"/>
              </w:rPr>
              <w:t>1400</w:t>
            </w:r>
          </w:p>
        </w:tc>
      </w:tr>
      <w:tr w14:paraId="065F7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vMerge w:val="continue"/>
            <w:noWrap w:val="0"/>
            <w:vAlign w:val="center"/>
          </w:tcPr>
          <w:p w14:paraId="68059DEC">
            <w:pPr>
              <w:rPr>
                <w:color w:val="000000"/>
                <w:kern w:val="0"/>
                <w:szCs w:val="21"/>
              </w:rPr>
            </w:pPr>
          </w:p>
        </w:tc>
        <w:tc>
          <w:tcPr>
            <w:tcW w:w="1134" w:type="dxa"/>
            <w:vMerge w:val="continue"/>
            <w:noWrap w:val="0"/>
            <w:vAlign w:val="center"/>
          </w:tcPr>
          <w:p w14:paraId="102BBEFF">
            <w:pPr>
              <w:rPr>
                <w:rFonts w:eastAsia="楷体_GB2312"/>
                <w:color w:val="000000"/>
                <w:kern w:val="0"/>
                <w:szCs w:val="21"/>
              </w:rPr>
            </w:pPr>
          </w:p>
        </w:tc>
        <w:tc>
          <w:tcPr>
            <w:tcW w:w="992" w:type="dxa"/>
            <w:noWrap w:val="0"/>
            <w:vAlign w:val="center"/>
          </w:tcPr>
          <w:p w14:paraId="7915FCD9">
            <w:pPr>
              <w:jc w:val="center"/>
              <w:rPr>
                <w:color w:val="000000"/>
                <w:kern w:val="0"/>
                <w:szCs w:val="21"/>
              </w:rPr>
            </w:pPr>
            <w:r>
              <w:rPr>
                <w:rFonts w:hint="eastAsia"/>
                <w:color w:val="000000"/>
                <w:kern w:val="0"/>
                <w:szCs w:val="21"/>
              </w:rPr>
              <w:t>0</w:t>
            </w:r>
            <w:r>
              <w:rPr>
                <w:color w:val="000000"/>
                <w:kern w:val="0"/>
                <w:szCs w:val="21"/>
              </w:rPr>
              <w:t>2</w:t>
            </w:r>
          </w:p>
        </w:tc>
        <w:tc>
          <w:tcPr>
            <w:tcW w:w="2527" w:type="dxa"/>
            <w:noWrap w:val="0"/>
            <w:vAlign w:val="center"/>
          </w:tcPr>
          <w:p w14:paraId="567EF832">
            <w:pPr>
              <w:jc w:val="center"/>
              <w:rPr>
                <w:rFonts w:eastAsia="楷体_GB2312"/>
                <w:color w:val="000000"/>
                <w:kern w:val="0"/>
                <w:szCs w:val="21"/>
              </w:rPr>
            </w:pPr>
            <w:r>
              <w:rPr>
                <w:rFonts w:eastAsia="楷体_GB2312"/>
                <w:color w:val="000000"/>
                <w:kern w:val="0"/>
                <w:szCs w:val="21"/>
              </w:rPr>
              <w:t>北杨寨中心学校</w:t>
            </w:r>
          </w:p>
        </w:tc>
        <w:tc>
          <w:tcPr>
            <w:tcW w:w="876" w:type="dxa"/>
            <w:noWrap/>
            <w:vAlign w:val="center"/>
          </w:tcPr>
          <w:p w14:paraId="0AE1B262">
            <w:pPr>
              <w:jc w:val="right"/>
              <w:rPr>
                <w:color w:val="000000"/>
                <w:kern w:val="0"/>
                <w:sz w:val="22"/>
                <w:szCs w:val="22"/>
              </w:rPr>
            </w:pPr>
            <w:r>
              <w:rPr>
                <w:color w:val="000000"/>
                <w:kern w:val="0"/>
                <w:sz w:val="22"/>
                <w:szCs w:val="22"/>
              </w:rPr>
              <w:t xml:space="preserve">0.6567 </w:t>
            </w:r>
          </w:p>
        </w:tc>
        <w:tc>
          <w:tcPr>
            <w:tcW w:w="567" w:type="dxa"/>
            <w:noWrap/>
            <w:vAlign w:val="center"/>
          </w:tcPr>
          <w:p w14:paraId="23FC1121">
            <w:pPr>
              <w:jc w:val="center"/>
              <w:rPr>
                <w:color w:val="000000"/>
                <w:kern w:val="0"/>
                <w:szCs w:val="21"/>
              </w:rPr>
            </w:pPr>
            <w:r>
              <w:rPr>
                <w:color w:val="000000"/>
                <w:kern w:val="0"/>
                <w:szCs w:val="21"/>
              </w:rPr>
              <w:t>2</w:t>
            </w:r>
          </w:p>
        </w:tc>
        <w:tc>
          <w:tcPr>
            <w:tcW w:w="708" w:type="dxa"/>
            <w:noWrap w:val="0"/>
            <w:vAlign w:val="center"/>
          </w:tcPr>
          <w:p w14:paraId="1CBBF421">
            <w:pPr>
              <w:jc w:val="center"/>
              <w:rPr>
                <w:color w:val="000000"/>
                <w:kern w:val="0"/>
                <w:szCs w:val="21"/>
              </w:rPr>
            </w:pPr>
            <w:r>
              <w:rPr>
                <w:color w:val="000000"/>
                <w:kern w:val="0"/>
                <w:szCs w:val="21"/>
              </w:rPr>
              <w:t>66</w:t>
            </w:r>
          </w:p>
        </w:tc>
        <w:tc>
          <w:tcPr>
            <w:tcW w:w="1402" w:type="dxa"/>
            <w:noWrap/>
            <w:vAlign w:val="center"/>
          </w:tcPr>
          <w:p w14:paraId="2CB5E151">
            <w:pPr>
              <w:jc w:val="center"/>
              <w:rPr>
                <w:color w:val="000000"/>
                <w:kern w:val="0"/>
                <w:szCs w:val="21"/>
              </w:rPr>
            </w:pPr>
            <w:r>
              <w:rPr>
                <w:rFonts w:hint="eastAsia"/>
                <w:color w:val="000000"/>
                <w:kern w:val="0"/>
                <w:szCs w:val="21"/>
              </w:rPr>
              <w:t>1300</w:t>
            </w:r>
          </w:p>
        </w:tc>
      </w:tr>
      <w:tr w14:paraId="526D8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noWrap w:val="0"/>
            <w:vAlign w:val="center"/>
          </w:tcPr>
          <w:p w14:paraId="46A74342">
            <w:pPr>
              <w:jc w:val="center"/>
              <w:rPr>
                <w:color w:val="000000"/>
                <w:kern w:val="0"/>
                <w:szCs w:val="21"/>
              </w:rPr>
            </w:pPr>
            <w:r>
              <w:rPr>
                <w:color w:val="000000"/>
                <w:kern w:val="0"/>
                <w:szCs w:val="21"/>
              </w:rPr>
              <w:t>11</w:t>
            </w:r>
          </w:p>
        </w:tc>
        <w:tc>
          <w:tcPr>
            <w:tcW w:w="1134" w:type="dxa"/>
            <w:noWrap w:val="0"/>
            <w:vAlign w:val="center"/>
          </w:tcPr>
          <w:p w14:paraId="7732F701">
            <w:pPr>
              <w:jc w:val="center"/>
              <w:rPr>
                <w:rFonts w:eastAsia="楷体_GB2312"/>
                <w:color w:val="000000"/>
                <w:kern w:val="0"/>
                <w:szCs w:val="21"/>
              </w:rPr>
            </w:pPr>
            <w:r>
              <w:rPr>
                <w:rFonts w:eastAsia="楷体_GB2312"/>
                <w:color w:val="000000"/>
                <w:kern w:val="0"/>
                <w:szCs w:val="21"/>
              </w:rPr>
              <w:t>曹村镇</w:t>
            </w:r>
          </w:p>
        </w:tc>
        <w:tc>
          <w:tcPr>
            <w:tcW w:w="992" w:type="dxa"/>
            <w:noWrap w:val="0"/>
            <w:vAlign w:val="center"/>
          </w:tcPr>
          <w:p w14:paraId="43A744DF">
            <w:pPr>
              <w:jc w:val="center"/>
              <w:rPr>
                <w:color w:val="000000"/>
                <w:kern w:val="0"/>
                <w:szCs w:val="21"/>
              </w:rPr>
            </w:pPr>
            <w:r>
              <w:rPr>
                <w:rFonts w:hint="eastAsia"/>
                <w:color w:val="000000"/>
                <w:kern w:val="0"/>
                <w:szCs w:val="21"/>
              </w:rPr>
              <w:t>0</w:t>
            </w:r>
            <w:r>
              <w:rPr>
                <w:color w:val="000000"/>
                <w:kern w:val="0"/>
                <w:szCs w:val="21"/>
              </w:rPr>
              <w:t>1</w:t>
            </w:r>
          </w:p>
        </w:tc>
        <w:tc>
          <w:tcPr>
            <w:tcW w:w="2527" w:type="dxa"/>
            <w:noWrap w:val="0"/>
            <w:vAlign w:val="center"/>
          </w:tcPr>
          <w:p w14:paraId="1D54F2B2">
            <w:pPr>
              <w:jc w:val="center"/>
              <w:rPr>
                <w:rFonts w:eastAsia="楷体_GB2312"/>
                <w:color w:val="000000"/>
                <w:kern w:val="0"/>
                <w:szCs w:val="21"/>
              </w:rPr>
            </w:pPr>
            <w:r>
              <w:rPr>
                <w:rFonts w:eastAsia="楷体_GB2312"/>
                <w:color w:val="000000"/>
                <w:kern w:val="0"/>
                <w:szCs w:val="21"/>
              </w:rPr>
              <w:t>曹村中学</w:t>
            </w:r>
          </w:p>
        </w:tc>
        <w:tc>
          <w:tcPr>
            <w:tcW w:w="876" w:type="dxa"/>
            <w:noWrap/>
            <w:vAlign w:val="center"/>
          </w:tcPr>
          <w:p w14:paraId="5F4DDFB4">
            <w:pPr>
              <w:jc w:val="right"/>
              <w:rPr>
                <w:color w:val="000000"/>
                <w:kern w:val="0"/>
                <w:sz w:val="22"/>
                <w:szCs w:val="22"/>
              </w:rPr>
            </w:pPr>
            <w:r>
              <w:rPr>
                <w:color w:val="000000"/>
                <w:kern w:val="0"/>
                <w:sz w:val="22"/>
                <w:szCs w:val="22"/>
              </w:rPr>
              <w:t xml:space="preserve">1.0000 </w:t>
            </w:r>
          </w:p>
        </w:tc>
        <w:tc>
          <w:tcPr>
            <w:tcW w:w="567" w:type="dxa"/>
            <w:noWrap/>
            <w:vAlign w:val="center"/>
          </w:tcPr>
          <w:p w14:paraId="67377186">
            <w:pPr>
              <w:jc w:val="center"/>
              <w:rPr>
                <w:color w:val="000000"/>
                <w:kern w:val="0"/>
                <w:szCs w:val="21"/>
              </w:rPr>
            </w:pPr>
            <w:r>
              <w:rPr>
                <w:color w:val="000000"/>
                <w:kern w:val="0"/>
                <w:szCs w:val="21"/>
              </w:rPr>
              <w:t>1</w:t>
            </w:r>
          </w:p>
        </w:tc>
        <w:tc>
          <w:tcPr>
            <w:tcW w:w="708" w:type="dxa"/>
            <w:noWrap w:val="0"/>
            <w:vAlign w:val="center"/>
          </w:tcPr>
          <w:p w14:paraId="35FF6BB3">
            <w:pPr>
              <w:jc w:val="center"/>
              <w:rPr>
                <w:color w:val="000000"/>
                <w:kern w:val="0"/>
                <w:szCs w:val="21"/>
              </w:rPr>
            </w:pPr>
            <w:r>
              <w:rPr>
                <w:color w:val="000000"/>
                <w:kern w:val="0"/>
                <w:szCs w:val="21"/>
              </w:rPr>
              <w:t>100</w:t>
            </w:r>
          </w:p>
        </w:tc>
        <w:tc>
          <w:tcPr>
            <w:tcW w:w="1402" w:type="dxa"/>
            <w:noWrap/>
            <w:vAlign w:val="center"/>
          </w:tcPr>
          <w:p w14:paraId="0B50578E">
            <w:pPr>
              <w:jc w:val="center"/>
              <w:rPr>
                <w:color w:val="000000"/>
                <w:kern w:val="0"/>
                <w:szCs w:val="21"/>
              </w:rPr>
            </w:pPr>
            <w:r>
              <w:rPr>
                <w:rFonts w:hint="eastAsia"/>
                <w:color w:val="000000"/>
                <w:kern w:val="0"/>
                <w:szCs w:val="21"/>
              </w:rPr>
              <w:t>3000</w:t>
            </w:r>
          </w:p>
        </w:tc>
      </w:tr>
      <w:tr w14:paraId="72AB1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noWrap w:val="0"/>
            <w:vAlign w:val="center"/>
          </w:tcPr>
          <w:p w14:paraId="2CC90AD2">
            <w:pPr>
              <w:jc w:val="center"/>
              <w:rPr>
                <w:color w:val="000000"/>
                <w:kern w:val="0"/>
                <w:szCs w:val="21"/>
              </w:rPr>
            </w:pPr>
            <w:r>
              <w:rPr>
                <w:color w:val="000000"/>
                <w:kern w:val="0"/>
                <w:szCs w:val="21"/>
              </w:rPr>
              <w:t>12</w:t>
            </w:r>
          </w:p>
        </w:tc>
        <w:tc>
          <w:tcPr>
            <w:tcW w:w="1134" w:type="dxa"/>
            <w:noWrap w:val="0"/>
            <w:vAlign w:val="center"/>
          </w:tcPr>
          <w:p w14:paraId="00C516F3">
            <w:pPr>
              <w:jc w:val="center"/>
              <w:rPr>
                <w:rFonts w:eastAsia="楷体_GB2312"/>
                <w:color w:val="000000"/>
                <w:kern w:val="0"/>
                <w:szCs w:val="21"/>
              </w:rPr>
            </w:pPr>
            <w:r>
              <w:rPr>
                <w:rFonts w:eastAsia="楷体_GB2312"/>
                <w:color w:val="000000"/>
                <w:kern w:val="0"/>
                <w:szCs w:val="21"/>
              </w:rPr>
              <w:t>大营镇</w:t>
            </w:r>
          </w:p>
        </w:tc>
        <w:tc>
          <w:tcPr>
            <w:tcW w:w="992" w:type="dxa"/>
            <w:noWrap w:val="0"/>
            <w:vAlign w:val="center"/>
          </w:tcPr>
          <w:p w14:paraId="1B1A3BFA">
            <w:pPr>
              <w:jc w:val="center"/>
              <w:rPr>
                <w:color w:val="000000"/>
                <w:kern w:val="0"/>
                <w:szCs w:val="21"/>
              </w:rPr>
            </w:pPr>
            <w:r>
              <w:rPr>
                <w:rFonts w:hint="eastAsia"/>
                <w:color w:val="000000"/>
                <w:kern w:val="0"/>
                <w:szCs w:val="21"/>
              </w:rPr>
              <w:t>0</w:t>
            </w:r>
            <w:r>
              <w:rPr>
                <w:color w:val="000000"/>
                <w:kern w:val="0"/>
                <w:szCs w:val="21"/>
              </w:rPr>
              <w:t>1</w:t>
            </w:r>
          </w:p>
        </w:tc>
        <w:tc>
          <w:tcPr>
            <w:tcW w:w="2527" w:type="dxa"/>
            <w:noWrap w:val="0"/>
            <w:vAlign w:val="center"/>
          </w:tcPr>
          <w:p w14:paraId="668AC347">
            <w:pPr>
              <w:jc w:val="center"/>
              <w:rPr>
                <w:rFonts w:eastAsia="楷体_GB2312"/>
                <w:color w:val="000000"/>
                <w:kern w:val="0"/>
                <w:szCs w:val="21"/>
              </w:rPr>
            </w:pPr>
            <w:r>
              <w:rPr>
                <w:rFonts w:eastAsia="楷体_GB2312"/>
                <w:color w:val="000000"/>
                <w:kern w:val="0"/>
                <w:szCs w:val="21"/>
              </w:rPr>
              <w:t>大营初级中学</w:t>
            </w:r>
          </w:p>
        </w:tc>
        <w:tc>
          <w:tcPr>
            <w:tcW w:w="876" w:type="dxa"/>
            <w:noWrap/>
            <w:vAlign w:val="center"/>
          </w:tcPr>
          <w:p w14:paraId="54E299A4">
            <w:pPr>
              <w:jc w:val="right"/>
              <w:rPr>
                <w:color w:val="000000"/>
                <w:kern w:val="0"/>
                <w:sz w:val="22"/>
                <w:szCs w:val="22"/>
              </w:rPr>
            </w:pPr>
            <w:r>
              <w:rPr>
                <w:color w:val="000000"/>
                <w:kern w:val="0"/>
                <w:sz w:val="22"/>
                <w:szCs w:val="22"/>
              </w:rPr>
              <w:t xml:space="preserve">1.0000 </w:t>
            </w:r>
          </w:p>
        </w:tc>
        <w:tc>
          <w:tcPr>
            <w:tcW w:w="567" w:type="dxa"/>
            <w:noWrap/>
            <w:vAlign w:val="center"/>
          </w:tcPr>
          <w:p w14:paraId="18FA164D">
            <w:pPr>
              <w:jc w:val="center"/>
              <w:rPr>
                <w:color w:val="000000"/>
                <w:kern w:val="0"/>
                <w:szCs w:val="21"/>
              </w:rPr>
            </w:pPr>
            <w:r>
              <w:rPr>
                <w:color w:val="000000"/>
                <w:kern w:val="0"/>
                <w:szCs w:val="21"/>
              </w:rPr>
              <w:t>1</w:t>
            </w:r>
          </w:p>
        </w:tc>
        <w:tc>
          <w:tcPr>
            <w:tcW w:w="708" w:type="dxa"/>
            <w:noWrap w:val="0"/>
            <w:vAlign w:val="center"/>
          </w:tcPr>
          <w:p w14:paraId="4355E6E7">
            <w:pPr>
              <w:jc w:val="center"/>
              <w:rPr>
                <w:color w:val="000000"/>
                <w:kern w:val="0"/>
                <w:szCs w:val="21"/>
              </w:rPr>
            </w:pPr>
            <w:r>
              <w:rPr>
                <w:color w:val="000000"/>
                <w:kern w:val="0"/>
                <w:szCs w:val="21"/>
              </w:rPr>
              <w:t>100</w:t>
            </w:r>
          </w:p>
        </w:tc>
        <w:tc>
          <w:tcPr>
            <w:tcW w:w="1402" w:type="dxa"/>
            <w:noWrap/>
            <w:vAlign w:val="center"/>
          </w:tcPr>
          <w:p w14:paraId="08296667">
            <w:pPr>
              <w:jc w:val="center"/>
              <w:rPr>
                <w:color w:val="000000"/>
                <w:kern w:val="0"/>
                <w:szCs w:val="21"/>
              </w:rPr>
            </w:pPr>
            <w:r>
              <w:rPr>
                <w:rFonts w:hint="eastAsia"/>
                <w:color w:val="000000"/>
                <w:kern w:val="0"/>
                <w:szCs w:val="21"/>
              </w:rPr>
              <w:t>2200</w:t>
            </w:r>
          </w:p>
        </w:tc>
      </w:tr>
      <w:tr w14:paraId="664EE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noWrap w:val="0"/>
            <w:vAlign w:val="center"/>
          </w:tcPr>
          <w:p w14:paraId="0FD37352">
            <w:pPr>
              <w:jc w:val="center"/>
              <w:rPr>
                <w:color w:val="000000"/>
                <w:kern w:val="0"/>
                <w:szCs w:val="21"/>
              </w:rPr>
            </w:pPr>
            <w:r>
              <w:rPr>
                <w:color w:val="000000"/>
                <w:kern w:val="0"/>
                <w:szCs w:val="21"/>
              </w:rPr>
              <w:t>13</w:t>
            </w:r>
          </w:p>
        </w:tc>
        <w:tc>
          <w:tcPr>
            <w:tcW w:w="1134" w:type="dxa"/>
            <w:noWrap w:val="0"/>
            <w:vAlign w:val="center"/>
          </w:tcPr>
          <w:p w14:paraId="2A5059DD">
            <w:pPr>
              <w:jc w:val="center"/>
              <w:rPr>
                <w:rFonts w:eastAsia="楷体_GB2312"/>
                <w:color w:val="000000"/>
                <w:kern w:val="0"/>
                <w:szCs w:val="21"/>
              </w:rPr>
            </w:pPr>
            <w:r>
              <w:rPr>
                <w:rFonts w:eastAsia="楷体_GB2312"/>
                <w:color w:val="000000"/>
                <w:kern w:val="0"/>
                <w:szCs w:val="21"/>
              </w:rPr>
              <w:t>褚兰镇</w:t>
            </w:r>
          </w:p>
        </w:tc>
        <w:tc>
          <w:tcPr>
            <w:tcW w:w="992" w:type="dxa"/>
            <w:noWrap w:val="0"/>
            <w:vAlign w:val="center"/>
          </w:tcPr>
          <w:p w14:paraId="1B83670C">
            <w:pPr>
              <w:jc w:val="center"/>
              <w:rPr>
                <w:color w:val="000000"/>
                <w:kern w:val="0"/>
                <w:szCs w:val="21"/>
              </w:rPr>
            </w:pPr>
            <w:r>
              <w:rPr>
                <w:rFonts w:hint="eastAsia"/>
                <w:color w:val="000000"/>
                <w:kern w:val="0"/>
                <w:szCs w:val="21"/>
              </w:rPr>
              <w:t>0</w:t>
            </w:r>
            <w:r>
              <w:rPr>
                <w:color w:val="000000"/>
                <w:kern w:val="0"/>
                <w:szCs w:val="21"/>
              </w:rPr>
              <w:t>1</w:t>
            </w:r>
          </w:p>
        </w:tc>
        <w:tc>
          <w:tcPr>
            <w:tcW w:w="2527" w:type="dxa"/>
            <w:noWrap w:val="0"/>
            <w:vAlign w:val="center"/>
          </w:tcPr>
          <w:p w14:paraId="3962A685">
            <w:pPr>
              <w:jc w:val="center"/>
              <w:rPr>
                <w:rFonts w:eastAsia="楷体_GB2312"/>
                <w:color w:val="000000"/>
                <w:kern w:val="0"/>
                <w:szCs w:val="21"/>
              </w:rPr>
            </w:pPr>
            <w:r>
              <w:rPr>
                <w:rFonts w:eastAsia="楷体_GB2312"/>
                <w:color w:val="000000"/>
                <w:kern w:val="0"/>
                <w:szCs w:val="21"/>
              </w:rPr>
              <w:t>褚兰镇中心学校</w:t>
            </w:r>
          </w:p>
        </w:tc>
        <w:tc>
          <w:tcPr>
            <w:tcW w:w="876" w:type="dxa"/>
            <w:noWrap/>
            <w:vAlign w:val="center"/>
          </w:tcPr>
          <w:p w14:paraId="6B67EC34">
            <w:pPr>
              <w:jc w:val="right"/>
              <w:rPr>
                <w:color w:val="000000"/>
                <w:kern w:val="0"/>
                <w:sz w:val="22"/>
                <w:szCs w:val="22"/>
              </w:rPr>
            </w:pPr>
            <w:r>
              <w:rPr>
                <w:color w:val="000000"/>
                <w:kern w:val="0"/>
                <w:sz w:val="22"/>
                <w:szCs w:val="22"/>
              </w:rPr>
              <w:t xml:space="preserve">1.0000 </w:t>
            </w:r>
          </w:p>
        </w:tc>
        <w:tc>
          <w:tcPr>
            <w:tcW w:w="567" w:type="dxa"/>
            <w:noWrap/>
            <w:vAlign w:val="center"/>
          </w:tcPr>
          <w:p w14:paraId="6D77293F">
            <w:pPr>
              <w:jc w:val="center"/>
              <w:rPr>
                <w:color w:val="000000"/>
                <w:kern w:val="0"/>
                <w:szCs w:val="21"/>
              </w:rPr>
            </w:pPr>
            <w:r>
              <w:rPr>
                <w:color w:val="000000"/>
                <w:kern w:val="0"/>
                <w:szCs w:val="21"/>
              </w:rPr>
              <w:t>1</w:t>
            </w:r>
          </w:p>
        </w:tc>
        <w:tc>
          <w:tcPr>
            <w:tcW w:w="708" w:type="dxa"/>
            <w:noWrap w:val="0"/>
            <w:vAlign w:val="center"/>
          </w:tcPr>
          <w:p w14:paraId="48F384D6">
            <w:pPr>
              <w:jc w:val="center"/>
              <w:rPr>
                <w:color w:val="000000"/>
                <w:kern w:val="0"/>
                <w:szCs w:val="21"/>
              </w:rPr>
            </w:pPr>
            <w:r>
              <w:rPr>
                <w:color w:val="000000"/>
                <w:kern w:val="0"/>
                <w:szCs w:val="21"/>
              </w:rPr>
              <w:t>100</w:t>
            </w:r>
          </w:p>
        </w:tc>
        <w:tc>
          <w:tcPr>
            <w:tcW w:w="1402" w:type="dxa"/>
            <w:noWrap/>
            <w:vAlign w:val="center"/>
          </w:tcPr>
          <w:p w14:paraId="09C89762">
            <w:pPr>
              <w:jc w:val="center"/>
              <w:rPr>
                <w:color w:val="000000"/>
                <w:kern w:val="0"/>
                <w:szCs w:val="21"/>
              </w:rPr>
            </w:pPr>
            <w:r>
              <w:rPr>
                <w:rFonts w:hint="eastAsia"/>
                <w:color w:val="000000"/>
                <w:kern w:val="0"/>
                <w:szCs w:val="21"/>
              </w:rPr>
              <w:t>1400</w:t>
            </w:r>
          </w:p>
        </w:tc>
      </w:tr>
      <w:tr w14:paraId="34496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noWrap w:val="0"/>
            <w:vAlign w:val="center"/>
          </w:tcPr>
          <w:p w14:paraId="351BB3A0">
            <w:pPr>
              <w:jc w:val="center"/>
              <w:rPr>
                <w:color w:val="000000"/>
                <w:kern w:val="0"/>
                <w:szCs w:val="21"/>
              </w:rPr>
            </w:pPr>
            <w:r>
              <w:rPr>
                <w:color w:val="000000"/>
                <w:kern w:val="0"/>
                <w:szCs w:val="21"/>
              </w:rPr>
              <w:t>14</w:t>
            </w:r>
          </w:p>
        </w:tc>
        <w:tc>
          <w:tcPr>
            <w:tcW w:w="1134" w:type="dxa"/>
            <w:noWrap w:val="0"/>
            <w:vAlign w:val="center"/>
          </w:tcPr>
          <w:p w14:paraId="55B669D8">
            <w:pPr>
              <w:jc w:val="center"/>
              <w:rPr>
                <w:rFonts w:eastAsia="楷体_GB2312"/>
                <w:color w:val="000000"/>
                <w:kern w:val="0"/>
                <w:szCs w:val="21"/>
              </w:rPr>
            </w:pPr>
            <w:r>
              <w:rPr>
                <w:rFonts w:eastAsia="楷体_GB2312"/>
                <w:color w:val="000000"/>
                <w:kern w:val="0"/>
                <w:szCs w:val="21"/>
              </w:rPr>
              <w:t>顺河镇</w:t>
            </w:r>
          </w:p>
        </w:tc>
        <w:tc>
          <w:tcPr>
            <w:tcW w:w="992" w:type="dxa"/>
            <w:noWrap w:val="0"/>
            <w:vAlign w:val="center"/>
          </w:tcPr>
          <w:p w14:paraId="047AEF30">
            <w:pPr>
              <w:jc w:val="center"/>
              <w:rPr>
                <w:color w:val="000000"/>
                <w:kern w:val="0"/>
                <w:szCs w:val="21"/>
              </w:rPr>
            </w:pPr>
            <w:r>
              <w:rPr>
                <w:rFonts w:hint="eastAsia"/>
                <w:color w:val="000000"/>
                <w:kern w:val="0"/>
                <w:szCs w:val="21"/>
              </w:rPr>
              <w:t>0</w:t>
            </w:r>
            <w:r>
              <w:rPr>
                <w:color w:val="000000"/>
                <w:kern w:val="0"/>
                <w:szCs w:val="21"/>
              </w:rPr>
              <w:t>1</w:t>
            </w:r>
          </w:p>
        </w:tc>
        <w:tc>
          <w:tcPr>
            <w:tcW w:w="2527" w:type="dxa"/>
            <w:noWrap w:val="0"/>
            <w:vAlign w:val="center"/>
          </w:tcPr>
          <w:p w14:paraId="2A00B4A5">
            <w:pPr>
              <w:jc w:val="center"/>
              <w:rPr>
                <w:rFonts w:eastAsia="楷体_GB2312"/>
                <w:color w:val="000000"/>
                <w:kern w:val="0"/>
                <w:szCs w:val="21"/>
              </w:rPr>
            </w:pPr>
            <w:r>
              <w:rPr>
                <w:rFonts w:eastAsia="楷体_GB2312"/>
                <w:color w:val="000000"/>
                <w:kern w:val="0"/>
                <w:szCs w:val="21"/>
              </w:rPr>
              <w:t>顺河乡马场初级中学</w:t>
            </w:r>
          </w:p>
        </w:tc>
        <w:tc>
          <w:tcPr>
            <w:tcW w:w="876" w:type="dxa"/>
            <w:noWrap/>
            <w:vAlign w:val="center"/>
          </w:tcPr>
          <w:p w14:paraId="75768825">
            <w:pPr>
              <w:jc w:val="right"/>
              <w:rPr>
                <w:color w:val="000000"/>
                <w:kern w:val="0"/>
                <w:sz w:val="22"/>
                <w:szCs w:val="22"/>
              </w:rPr>
            </w:pPr>
            <w:r>
              <w:rPr>
                <w:color w:val="000000"/>
                <w:kern w:val="0"/>
                <w:sz w:val="22"/>
                <w:szCs w:val="22"/>
              </w:rPr>
              <w:t xml:space="preserve">1.0000 </w:t>
            </w:r>
          </w:p>
        </w:tc>
        <w:tc>
          <w:tcPr>
            <w:tcW w:w="567" w:type="dxa"/>
            <w:noWrap/>
            <w:vAlign w:val="center"/>
          </w:tcPr>
          <w:p w14:paraId="1E109976">
            <w:pPr>
              <w:jc w:val="center"/>
              <w:rPr>
                <w:color w:val="000000"/>
                <w:kern w:val="0"/>
                <w:szCs w:val="21"/>
              </w:rPr>
            </w:pPr>
            <w:r>
              <w:rPr>
                <w:color w:val="000000"/>
                <w:kern w:val="0"/>
                <w:szCs w:val="21"/>
              </w:rPr>
              <w:t>1</w:t>
            </w:r>
          </w:p>
        </w:tc>
        <w:tc>
          <w:tcPr>
            <w:tcW w:w="708" w:type="dxa"/>
            <w:noWrap w:val="0"/>
            <w:vAlign w:val="center"/>
          </w:tcPr>
          <w:p w14:paraId="070F94F3">
            <w:pPr>
              <w:jc w:val="center"/>
              <w:rPr>
                <w:color w:val="000000"/>
                <w:kern w:val="0"/>
                <w:szCs w:val="21"/>
              </w:rPr>
            </w:pPr>
            <w:r>
              <w:rPr>
                <w:color w:val="000000"/>
                <w:kern w:val="0"/>
                <w:szCs w:val="21"/>
              </w:rPr>
              <w:t>100</w:t>
            </w:r>
          </w:p>
        </w:tc>
        <w:tc>
          <w:tcPr>
            <w:tcW w:w="1402" w:type="dxa"/>
            <w:noWrap/>
            <w:vAlign w:val="center"/>
          </w:tcPr>
          <w:p w14:paraId="05B069BB">
            <w:pPr>
              <w:jc w:val="center"/>
              <w:rPr>
                <w:color w:val="000000"/>
                <w:kern w:val="0"/>
                <w:szCs w:val="21"/>
              </w:rPr>
            </w:pPr>
            <w:r>
              <w:rPr>
                <w:rFonts w:hint="eastAsia"/>
                <w:color w:val="000000"/>
                <w:kern w:val="0"/>
                <w:szCs w:val="21"/>
              </w:rPr>
              <w:t>3000</w:t>
            </w:r>
          </w:p>
        </w:tc>
      </w:tr>
      <w:tr w14:paraId="5B05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noWrap w:val="0"/>
            <w:vAlign w:val="center"/>
          </w:tcPr>
          <w:p w14:paraId="1CA01EB6">
            <w:pPr>
              <w:jc w:val="center"/>
              <w:rPr>
                <w:color w:val="000000"/>
                <w:kern w:val="0"/>
                <w:szCs w:val="21"/>
              </w:rPr>
            </w:pPr>
            <w:r>
              <w:rPr>
                <w:color w:val="000000"/>
                <w:kern w:val="0"/>
                <w:szCs w:val="21"/>
              </w:rPr>
              <w:t>15</w:t>
            </w:r>
          </w:p>
        </w:tc>
        <w:tc>
          <w:tcPr>
            <w:tcW w:w="1134" w:type="dxa"/>
            <w:noWrap w:val="0"/>
            <w:vAlign w:val="center"/>
          </w:tcPr>
          <w:p w14:paraId="170084FC">
            <w:pPr>
              <w:jc w:val="center"/>
              <w:rPr>
                <w:rFonts w:eastAsia="楷体_GB2312"/>
                <w:color w:val="000000"/>
                <w:kern w:val="0"/>
                <w:szCs w:val="21"/>
              </w:rPr>
            </w:pPr>
            <w:r>
              <w:rPr>
                <w:rFonts w:eastAsia="楷体_GB2312"/>
                <w:color w:val="000000"/>
                <w:kern w:val="0"/>
                <w:szCs w:val="21"/>
              </w:rPr>
              <w:t>杨庄镇</w:t>
            </w:r>
          </w:p>
        </w:tc>
        <w:tc>
          <w:tcPr>
            <w:tcW w:w="992" w:type="dxa"/>
            <w:noWrap w:val="0"/>
            <w:vAlign w:val="center"/>
          </w:tcPr>
          <w:p w14:paraId="0F952863">
            <w:pPr>
              <w:jc w:val="center"/>
              <w:rPr>
                <w:color w:val="000000"/>
                <w:kern w:val="0"/>
                <w:szCs w:val="21"/>
              </w:rPr>
            </w:pPr>
            <w:r>
              <w:rPr>
                <w:rFonts w:hint="eastAsia"/>
                <w:color w:val="000000"/>
                <w:kern w:val="0"/>
                <w:szCs w:val="21"/>
              </w:rPr>
              <w:t>0</w:t>
            </w:r>
            <w:r>
              <w:rPr>
                <w:color w:val="000000"/>
                <w:kern w:val="0"/>
                <w:szCs w:val="21"/>
              </w:rPr>
              <w:t>1</w:t>
            </w:r>
          </w:p>
        </w:tc>
        <w:tc>
          <w:tcPr>
            <w:tcW w:w="2527" w:type="dxa"/>
            <w:noWrap w:val="0"/>
            <w:vAlign w:val="center"/>
          </w:tcPr>
          <w:p w14:paraId="21234CE1">
            <w:pPr>
              <w:jc w:val="center"/>
              <w:rPr>
                <w:rFonts w:eastAsia="楷体_GB2312"/>
                <w:color w:val="000000"/>
                <w:kern w:val="0"/>
                <w:szCs w:val="21"/>
              </w:rPr>
            </w:pPr>
            <w:r>
              <w:rPr>
                <w:rFonts w:eastAsia="楷体_GB2312"/>
                <w:color w:val="000000"/>
                <w:kern w:val="0"/>
                <w:szCs w:val="21"/>
              </w:rPr>
              <w:t>杨庄初级中学</w:t>
            </w:r>
          </w:p>
        </w:tc>
        <w:tc>
          <w:tcPr>
            <w:tcW w:w="876" w:type="dxa"/>
            <w:noWrap/>
            <w:vAlign w:val="center"/>
          </w:tcPr>
          <w:p w14:paraId="5E63E9DF">
            <w:pPr>
              <w:jc w:val="right"/>
              <w:rPr>
                <w:color w:val="000000"/>
                <w:kern w:val="0"/>
                <w:sz w:val="22"/>
                <w:szCs w:val="22"/>
              </w:rPr>
            </w:pPr>
            <w:r>
              <w:rPr>
                <w:color w:val="000000"/>
                <w:kern w:val="0"/>
                <w:sz w:val="22"/>
                <w:szCs w:val="22"/>
              </w:rPr>
              <w:t xml:space="preserve">1.0000 </w:t>
            </w:r>
          </w:p>
        </w:tc>
        <w:tc>
          <w:tcPr>
            <w:tcW w:w="567" w:type="dxa"/>
            <w:noWrap/>
            <w:vAlign w:val="center"/>
          </w:tcPr>
          <w:p w14:paraId="4104D711">
            <w:pPr>
              <w:jc w:val="center"/>
              <w:rPr>
                <w:color w:val="000000"/>
                <w:kern w:val="0"/>
                <w:szCs w:val="21"/>
              </w:rPr>
            </w:pPr>
            <w:r>
              <w:rPr>
                <w:color w:val="000000"/>
                <w:kern w:val="0"/>
                <w:szCs w:val="21"/>
              </w:rPr>
              <w:t>1</w:t>
            </w:r>
          </w:p>
        </w:tc>
        <w:tc>
          <w:tcPr>
            <w:tcW w:w="708" w:type="dxa"/>
            <w:noWrap w:val="0"/>
            <w:vAlign w:val="center"/>
          </w:tcPr>
          <w:p w14:paraId="74186A4F">
            <w:pPr>
              <w:jc w:val="center"/>
              <w:rPr>
                <w:color w:val="000000"/>
                <w:kern w:val="0"/>
                <w:szCs w:val="21"/>
              </w:rPr>
            </w:pPr>
            <w:r>
              <w:rPr>
                <w:color w:val="000000"/>
                <w:kern w:val="0"/>
                <w:szCs w:val="21"/>
              </w:rPr>
              <w:t>100</w:t>
            </w:r>
          </w:p>
        </w:tc>
        <w:tc>
          <w:tcPr>
            <w:tcW w:w="1402" w:type="dxa"/>
            <w:noWrap/>
            <w:vAlign w:val="center"/>
          </w:tcPr>
          <w:p w14:paraId="4F00F772">
            <w:pPr>
              <w:jc w:val="center"/>
              <w:rPr>
                <w:color w:val="000000"/>
                <w:kern w:val="0"/>
                <w:szCs w:val="21"/>
              </w:rPr>
            </w:pPr>
            <w:r>
              <w:rPr>
                <w:rFonts w:hint="eastAsia"/>
                <w:color w:val="000000"/>
                <w:kern w:val="0"/>
                <w:szCs w:val="21"/>
              </w:rPr>
              <w:t>1000</w:t>
            </w:r>
          </w:p>
        </w:tc>
      </w:tr>
      <w:tr w14:paraId="2B29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noWrap w:val="0"/>
            <w:vAlign w:val="center"/>
          </w:tcPr>
          <w:p w14:paraId="79C8058F">
            <w:pPr>
              <w:jc w:val="center"/>
              <w:rPr>
                <w:color w:val="000000"/>
                <w:kern w:val="0"/>
                <w:szCs w:val="21"/>
              </w:rPr>
            </w:pPr>
            <w:r>
              <w:rPr>
                <w:color w:val="000000"/>
                <w:kern w:val="0"/>
                <w:szCs w:val="21"/>
              </w:rPr>
              <w:t>16</w:t>
            </w:r>
          </w:p>
        </w:tc>
        <w:tc>
          <w:tcPr>
            <w:tcW w:w="1134" w:type="dxa"/>
            <w:noWrap w:val="0"/>
            <w:vAlign w:val="center"/>
          </w:tcPr>
          <w:p w14:paraId="1088C931">
            <w:pPr>
              <w:jc w:val="center"/>
              <w:rPr>
                <w:rFonts w:eastAsia="楷体_GB2312"/>
                <w:color w:val="000000"/>
                <w:kern w:val="0"/>
                <w:szCs w:val="21"/>
              </w:rPr>
            </w:pPr>
            <w:r>
              <w:rPr>
                <w:rFonts w:eastAsia="楷体_GB2312"/>
                <w:color w:val="000000"/>
                <w:kern w:val="0"/>
                <w:szCs w:val="21"/>
              </w:rPr>
              <w:t>永镇乡</w:t>
            </w:r>
          </w:p>
        </w:tc>
        <w:tc>
          <w:tcPr>
            <w:tcW w:w="992" w:type="dxa"/>
            <w:noWrap w:val="0"/>
            <w:vAlign w:val="center"/>
          </w:tcPr>
          <w:p w14:paraId="48003D60">
            <w:pPr>
              <w:jc w:val="center"/>
              <w:rPr>
                <w:color w:val="000000"/>
                <w:kern w:val="0"/>
                <w:szCs w:val="21"/>
              </w:rPr>
            </w:pPr>
            <w:r>
              <w:rPr>
                <w:rFonts w:hint="eastAsia"/>
                <w:color w:val="000000"/>
                <w:kern w:val="0"/>
                <w:szCs w:val="21"/>
              </w:rPr>
              <w:t>0</w:t>
            </w:r>
            <w:r>
              <w:rPr>
                <w:color w:val="000000"/>
                <w:kern w:val="0"/>
                <w:szCs w:val="21"/>
              </w:rPr>
              <w:t>1</w:t>
            </w:r>
          </w:p>
        </w:tc>
        <w:tc>
          <w:tcPr>
            <w:tcW w:w="2527" w:type="dxa"/>
            <w:noWrap w:val="0"/>
            <w:vAlign w:val="center"/>
          </w:tcPr>
          <w:p w14:paraId="4C2E8DD4">
            <w:pPr>
              <w:jc w:val="center"/>
              <w:rPr>
                <w:rFonts w:eastAsia="楷体_GB2312"/>
                <w:color w:val="000000"/>
                <w:kern w:val="0"/>
                <w:szCs w:val="21"/>
              </w:rPr>
            </w:pPr>
            <w:r>
              <w:rPr>
                <w:rFonts w:eastAsia="楷体_GB2312"/>
                <w:color w:val="000000"/>
                <w:kern w:val="0"/>
                <w:szCs w:val="21"/>
              </w:rPr>
              <w:t>永镇初级中学</w:t>
            </w:r>
          </w:p>
        </w:tc>
        <w:tc>
          <w:tcPr>
            <w:tcW w:w="876" w:type="dxa"/>
            <w:noWrap/>
            <w:vAlign w:val="center"/>
          </w:tcPr>
          <w:p w14:paraId="650322D1">
            <w:pPr>
              <w:jc w:val="right"/>
              <w:rPr>
                <w:color w:val="000000"/>
                <w:kern w:val="0"/>
                <w:sz w:val="22"/>
                <w:szCs w:val="22"/>
              </w:rPr>
            </w:pPr>
            <w:r>
              <w:rPr>
                <w:color w:val="000000"/>
                <w:kern w:val="0"/>
                <w:sz w:val="22"/>
                <w:szCs w:val="22"/>
              </w:rPr>
              <w:t xml:space="preserve">1.0000 </w:t>
            </w:r>
          </w:p>
        </w:tc>
        <w:tc>
          <w:tcPr>
            <w:tcW w:w="567" w:type="dxa"/>
            <w:noWrap/>
            <w:vAlign w:val="center"/>
          </w:tcPr>
          <w:p w14:paraId="5990C8DC">
            <w:pPr>
              <w:jc w:val="center"/>
              <w:rPr>
                <w:color w:val="000000"/>
                <w:kern w:val="0"/>
                <w:szCs w:val="21"/>
              </w:rPr>
            </w:pPr>
            <w:r>
              <w:rPr>
                <w:color w:val="000000"/>
                <w:kern w:val="0"/>
                <w:szCs w:val="21"/>
              </w:rPr>
              <w:t>1</w:t>
            </w:r>
          </w:p>
        </w:tc>
        <w:tc>
          <w:tcPr>
            <w:tcW w:w="708" w:type="dxa"/>
            <w:noWrap w:val="0"/>
            <w:vAlign w:val="center"/>
          </w:tcPr>
          <w:p w14:paraId="78ECF58E">
            <w:pPr>
              <w:jc w:val="center"/>
              <w:rPr>
                <w:color w:val="000000"/>
                <w:kern w:val="0"/>
                <w:szCs w:val="21"/>
              </w:rPr>
            </w:pPr>
            <w:r>
              <w:rPr>
                <w:color w:val="000000"/>
                <w:kern w:val="0"/>
                <w:szCs w:val="21"/>
              </w:rPr>
              <w:t>100</w:t>
            </w:r>
          </w:p>
        </w:tc>
        <w:tc>
          <w:tcPr>
            <w:tcW w:w="1402" w:type="dxa"/>
            <w:noWrap/>
            <w:vAlign w:val="center"/>
          </w:tcPr>
          <w:p w14:paraId="7AFAB6FB">
            <w:pPr>
              <w:jc w:val="center"/>
              <w:rPr>
                <w:color w:val="000000"/>
                <w:kern w:val="0"/>
                <w:szCs w:val="21"/>
              </w:rPr>
            </w:pPr>
            <w:r>
              <w:rPr>
                <w:rFonts w:hint="eastAsia"/>
                <w:color w:val="000000"/>
                <w:kern w:val="0"/>
                <w:szCs w:val="21"/>
              </w:rPr>
              <w:t>1800</w:t>
            </w:r>
          </w:p>
        </w:tc>
      </w:tr>
      <w:tr w14:paraId="7111C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noWrap w:val="0"/>
            <w:vAlign w:val="center"/>
          </w:tcPr>
          <w:p w14:paraId="13D44494">
            <w:pPr>
              <w:jc w:val="center"/>
              <w:rPr>
                <w:color w:val="000000"/>
                <w:kern w:val="0"/>
                <w:szCs w:val="21"/>
              </w:rPr>
            </w:pPr>
            <w:r>
              <w:rPr>
                <w:color w:val="000000"/>
                <w:kern w:val="0"/>
                <w:szCs w:val="21"/>
              </w:rPr>
              <w:t>17</w:t>
            </w:r>
          </w:p>
        </w:tc>
        <w:tc>
          <w:tcPr>
            <w:tcW w:w="1134" w:type="dxa"/>
            <w:noWrap w:val="0"/>
            <w:vAlign w:val="center"/>
          </w:tcPr>
          <w:p w14:paraId="715D0CCA">
            <w:pPr>
              <w:jc w:val="center"/>
              <w:rPr>
                <w:rFonts w:eastAsia="楷体_GB2312"/>
                <w:color w:val="000000"/>
                <w:kern w:val="0"/>
                <w:szCs w:val="21"/>
              </w:rPr>
            </w:pPr>
            <w:r>
              <w:rPr>
                <w:rFonts w:eastAsia="楷体_GB2312"/>
                <w:color w:val="000000"/>
                <w:kern w:val="0"/>
                <w:szCs w:val="21"/>
              </w:rPr>
              <w:t>解集镇</w:t>
            </w:r>
          </w:p>
        </w:tc>
        <w:tc>
          <w:tcPr>
            <w:tcW w:w="992" w:type="dxa"/>
            <w:noWrap w:val="0"/>
            <w:vAlign w:val="center"/>
          </w:tcPr>
          <w:p w14:paraId="19070A38">
            <w:pPr>
              <w:jc w:val="center"/>
              <w:rPr>
                <w:color w:val="000000"/>
                <w:kern w:val="0"/>
                <w:szCs w:val="21"/>
              </w:rPr>
            </w:pPr>
            <w:r>
              <w:rPr>
                <w:rFonts w:hint="eastAsia"/>
                <w:color w:val="000000"/>
                <w:kern w:val="0"/>
                <w:szCs w:val="21"/>
              </w:rPr>
              <w:t>0</w:t>
            </w:r>
            <w:r>
              <w:rPr>
                <w:color w:val="000000"/>
                <w:kern w:val="0"/>
                <w:szCs w:val="21"/>
              </w:rPr>
              <w:t>1</w:t>
            </w:r>
          </w:p>
        </w:tc>
        <w:tc>
          <w:tcPr>
            <w:tcW w:w="2527" w:type="dxa"/>
            <w:noWrap w:val="0"/>
            <w:vAlign w:val="center"/>
          </w:tcPr>
          <w:p w14:paraId="05D899D0">
            <w:pPr>
              <w:jc w:val="center"/>
              <w:rPr>
                <w:rFonts w:eastAsia="楷体_GB2312"/>
                <w:color w:val="000000"/>
                <w:kern w:val="0"/>
                <w:szCs w:val="21"/>
              </w:rPr>
            </w:pPr>
            <w:r>
              <w:rPr>
                <w:rFonts w:eastAsia="楷体_GB2312"/>
                <w:color w:val="000000"/>
                <w:kern w:val="0"/>
                <w:szCs w:val="21"/>
              </w:rPr>
              <w:t>解集镇中心学校</w:t>
            </w:r>
          </w:p>
        </w:tc>
        <w:tc>
          <w:tcPr>
            <w:tcW w:w="876" w:type="dxa"/>
            <w:noWrap/>
            <w:vAlign w:val="center"/>
          </w:tcPr>
          <w:p w14:paraId="3DD04EB8">
            <w:pPr>
              <w:jc w:val="right"/>
              <w:rPr>
                <w:color w:val="000000"/>
                <w:kern w:val="0"/>
                <w:sz w:val="22"/>
                <w:szCs w:val="22"/>
              </w:rPr>
            </w:pPr>
            <w:r>
              <w:rPr>
                <w:color w:val="000000"/>
                <w:kern w:val="0"/>
                <w:sz w:val="22"/>
                <w:szCs w:val="22"/>
              </w:rPr>
              <w:t xml:space="preserve">1.0000 </w:t>
            </w:r>
          </w:p>
        </w:tc>
        <w:tc>
          <w:tcPr>
            <w:tcW w:w="567" w:type="dxa"/>
            <w:noWrap/>
            <w:vAlign w:val="center"/>
          </w:tcPr>
          <w:p w14:paraId="4BC995C2">
            <w:pPr>
              <w:jc w:val="center"/>
              <w:rPr>
                <w:color w:val="000000"/>
                <w:kern w:val="0"/>
                <w:szCs w:val="21"/>
              </w:rPr>
            </w:pPr>
            <w:r>
              <w:rPr>
                <w:color w:val="000000"/>
                <w:kern w:val="0"/>
                <w:szCs w:val="21"/>
              </w:rPr>
              <w:t>1</w:t>
            </w:r>
          </w:p>
        </w:tc>
        <w:tc>
          <w:tcPr>
            <w:tcW w:w="708" w:type="dxa"/>
            <w:noWrap w:val="0"/>
            <w:vAlign w:val="center"/>
          </w:tcPr>
          <w:p w14:paraId="19CCCF1D">
            <w:pPr>
              <w:jc w:val="center"/>
              <w:rPr>
                <w:color w:val="000000"/>
                <w:kern w:val="0"/>
                <w:szCs w:val="21"/>
              </w:rPr>
            </w:pPr>
            <w:r>
              <w:rPr>
                <w:color w:val="000000"/>
                <w:kern w:val="0"/>
                <w:szCs w:val="21"/>
              </w:rPr>
              <w:t>100</w:t>
            </w:r>
          </w:p>
        </w:tc>
        <w:tc>
          <w:tcPr>
            <w:tcW w:w="1402" w:type="dxa"/>
            <w:noWrap/>
            <w:vAlign w:val="center"/>
          </w:tcPr>
          <w:p w14:paraId="7A6A8360">
            <w:pPr>
              <w:jc w:val="center"/>
              <w:rPr>
                <w:color w:val="000000"/>
                <w:kern w:val="0"/>
                <w:szCs w:val="21"/>
              </w:rPr>
            </w:pPr>
            <w:r>
              <w:rPr>
                <w:rFonts w:hint="eastAsia"/>
                <w:color w:val="000000"/>
                <w:kern w:val="0"/>
                <w:szCs w:val="21"/>
              </w:rPr>
              <w:t>1300</w:t>
            </w:r>
          </w:p>
        </w:tc>
      </w:tr>
      <w:tr w14:paraId="10FE4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noWrap w:val="0"/>
            <w:vAlign w:val="center"/>
          </w:tcPr>
          <w:p w14:paraId="629236A3">
            <w:pPr>
              <w:jc w:val="center"/>
              <w:rPr>
                <w:color w:val="000000"/>
                <w:kern w:val="0"/>
                <w:szCs w:val="21"/>
              </w:rPr>
            </w:pPr>
            <w:r>
              <w:rPr>
                <w:color w:val="000000"/>
                <w:kern w:val="0"/>
                <w:szCs w:val="21"/>
              </w:rPr>
              <w:t>18</w:t>
            </w:r>
          </w:p>
        </w:tc>
        <w:tc>
          <w:tcPr>
            <w:tcW w:w="1134" w:type="dxa"/>
            <w:noWrap w:val="0"/>
            <w:vAlign w:val="center"/>
          </w:tcPr>
          <w:p w14:paraId="785153DF">
            <w:pPr>
              <w:jc w:val="center"/>
              <w:rPr>
                <w:rFonts w:eastAsia="楷体_GB2312"/>
                <w:color w:val="000000"/>
                <w:kern w:val="0"/>
                <w:szCs w:val="21"/>
              </w:rPr>
            </w:pPr>
            <w:r>
              <w:rPr>
                <w:rFonts w:eastAsia="楷体_GB2312"/>
                <w:color w:val="000000"/>
                <w:kern w:val="0"/>
                <w:szCs w:val="21"/>
              </w:rPr>
              <w:t>大泽乡镇</w:t>
            </w:r>
          </w:p>
        </w:tc>
        <w:tc>
          <w:tcPr>
            <w:tcW w:w="992" w:type="dxa"/>
            <w:noWrap w:val="0"/>
            <w:vAlign w:val="center"/>
          </w:tcPr>
          <w:p w14:paraId="2099A72A">
            <w:pPr>
              <w:jc w:val="center"/>
              <w:rPr>
                <w:color w:val="000000"/>
                <w:kern w:val="0"/>
                <w:szCs w:val="21"/>
              </w:rPr>
            </w:pPr>
            <w:r>
              <w:rPr>
                <w:rFonts w:hint="eastAsia"/>
                <w:color w:val="000000"/>
                <w:kern w:val="0"/>
                <w:szCs w:val="21"/>
              </w:rPr>
              <w:t>0</w:t>
            </w:r>
            <w:r>
              <w:rPr>
                <w:color w:val="000000"/>
                <w:kern w:val="0"/>
                <w:szCs w:val="21"/>
              </w:rPr>
              <w:t>1</w:t>
            </w:r>
          </w:p>
        </w:tc>
        <w:tc>
          <w:tcPr>
            <w:tcW w:w="2527" w:type="dxa"/>
            <w:noWrap w:val="0"/>
            <w:vAlign w:val="center"/>
          </w:tcPr>
          <w:p w14:paraId="3F3BFD8F">
            <w:pPr>
              <w:jc w:val="center"/>
              <w:rPr>
                <w:rFonts w:eastAsia="楷体_GB2312"/>
                <w:color w:val="000000"/>
                <w:kern w:val="0"/>
                <w:szCs w:val="21"/>
              </w:rPr>
            </w:pPr>
            <w:r>
              <w:rPr>
                <w:rFonts w:eastAsia="楷体_GB2312"/>
                <w:color w:val="000000"/>
                <w:kern w:val="0"/>
                <w:szCs w:val="21"/>
              </w:rPr>
              <w:t>大泽乡镇中心学校</w:t>
            </w:r>
          </w:p>
        </w:tc>
        <w:tc>
          <w:tcPr>
            <w:tcW w:w="876" w:type="dxa"/>
            <w:noWrap/>
            <w:vAlign w:val="center"/>
          </w:tcPr>
          <w:p w14:paraId="0A90D267">
            <w:pPr>
              <w:jc w:val="right"/>
              <w:rPr>
                <w:color w:val="000000"/>
                <w:kern w:val="0"/>
                <w:sz w:val="22"/>
                <w:szCs w:val="22"/>
              </w:rPr>
            </w:pPr>
            <w:r>
              <w:rPr>
                <w:color w:val="000000"/>
                <w:kern w:val="0"/>
                <w:sz w:val="22"/>
                <w:szCs w:val="22"/>
              </w:rPr>
              <w:t xml:space="preserve">1.0000 </w:t>
            </w:r>
          </w:p>
        </w:tc>
        <w:tc>
          <w:tcPr>
            <w:tcW w:w="567" w:type="dxa"/>
            <w:noWrap/>
            <w:vAlign w:val="center"/>
          </w:tcPr>
          <w:p w14:paraId="4F485391">
            <w:pPr>
              <w:jc w:val="center"/>
              <w:rPr>
                <w:color w:val="000000"/>
                <w:kern w:val="0"/>
                <w:szCs w:val="21"/>
              </w:rPr>
            </w:pPr>
            <w:r>
              <w:rPr>
                <w:color w:val="000000"/>
                <w:kern w:val="0"/>
                <w:szCs w:val="21"/>
              </w:rPr>
              <w:t>1</w:t>
            </w:r>
          </w:p>
        </w:tc>
        <w:tc>
          <w:tcPr>
            <w:tcW w:w="708" w:type="dxa"/>
            <w:noWrap w:val="0"/>
            <w:vAlign w:val="center"/>
          </w:tcPr>
          <w:p w14:paraId="621320EE">
            <w:pPr>
              <w:jc w:val="center"/>
              <w:rPr>
                <w:color w:val="000000"/>
                <w:kern w:val="0"/>
                <w:szCs w:val="21"/>
              </w:rPr>
            </w:pPr>
            <w:r>
              <w:rPr>
                <w:color w:val="000000"/>
                <w:kern w:val="0"/>
                <w:szCs w:val="21"/>
              </w:rPr>
              <w:t>100</w:t>
            </w:r>
          </w:p>
        </w:tc>
        <w:tc>
          <w:tcPr>
            <w:tcW w:w="1402" w:type="dxa"/>
            <w:noWrap/>
            <w:vAlign w:val="center"/>
          </w:tcPr>
          <w:p w14:paraId="0527D048">
            <w:pPr>
              <w:jc w:val="center"/>
              <w:rPr>
                <w:color w:val="000000"/>
                <w:kern w:val="0"/>
                <w:szCs w:val="21"/>
              </w:rPr>
            </w:pPr>
            <w:r>
              <w:rPr>
                <w:rFonts w:hint="eastAsia"/>
                <w:color w:val="000000"/>
                <w:kern w:val="0"/>
                <w:szCs w:val="21"/>
              </w:rPr>
              <w:t>1300</w:t>
            </w:r>
          </w:p>
        </w:tc>
      </w:tr>
      <w:tr w14:paraId="37C87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noWrap w:val="0"/>
            <w:vAlign w:val="center"/>
          </w:tcPr>
          <w:p w14:paraId="3D9C0359">
            <w:pPr>
              <w:jc w:val="center"/>
              <w:rPr>
                <w:color w:val="000000"/>
                <w:kern w:val="0"/>
                <w:szCs w:val="21"/>
              </w:rPr>
            </w:pPr>
            <w:r>
              <w:rPr>
                <w:color w:val="000000"/>
                <w:kern w:val="0"/>
                <w:szCs w:val="21"/>
              </w:rPr>
              <w:t>19</w:t>
            </w:r>
          </w:p>
        </w:tc>
        <w:tc>
          <w:tcPr>
            <w:tcW w:w="1134" w:type="dxa"/>
            <w:noWrap w:val="0"/>
            <w:vAlign w:val="center"/>
          </w:tcPr>
          <w:p w14:paraId="20DFEDC0">
            <w:pPr>
              <w:jc w:val="center"/>
              <w:rPr>
                <w:rFonts w:eastAsia="楷体_GB2312"/>
                <w:color w:val="000000"/>
                <w:kern w:val="0"/>
                <w:szCs w:val="21"/>
              </w:rPr>
            </w:pPr>
            <w:r>
              <w:rPr>
                <w:rFonts w:eastAsia="楷体_GB2312"/>
                <w:color w:val="000000"/>
                <w:kern w:val="0"/>
                <w:szCs w:val="21"/>
              </w:rPr>
              <w:t>永安镇</w:t>
            </w:r>
          </w:p>
        </w:tc>
        <w:tc>
          <w:tcPr>
            <w:tcW w:w="992" w:type="dxa"/>
            <w:noWrap w:val="0"/>
            <w:vAlign w:val="center"/>
          </w:tcPr>
          <w:p w14:paraId="7B9343F8">
            <w:pPr>
              <w:jc w:val="center"/>
              <w:rPr>
                <w:color w:val="000000"/>
                <w:kern w:val="0"/>
                <w:szCs w:val="21"/>
              </w:rPr>
            </w:pPr>
            <w:r>
              <w:rPr>
                <w:rFonts w:hint="eastAsia"/>
                <w:color w:val="000000"/>
                <w:kern w:val="0"/>
                <w:szCs w:val="21"/>
              </w:rPr>
              <w:t>0</w:t>
            </w:r>
            <w:r>
              <w:rPr>
                <w:color w:val="000000"/>
                <w:kern w:val="0"/>
                <w:szCs w:val="21"/>
              </w:rPr>
              <w:t>1</w:t>
            </w:r>
          </w:p>
        </w:tc>
        <w:tc>
          <w:tcPr>
            <w:tcW w:w="2527" w:type="dxa"/>
            <w:noWrap w:val="0"/>
            <w:vAlign w:val="center"/>
          </w:tcPr>
          <w:p w14:paraId="0953A357">
            <w:pPr>
              <w:jc w:val="center"/>
              <w:rPr>
                <w:rFonts w:eastAsia="楷体_GB2312"/>
                <w:color w:val="000000"/>
                <w:kern w:val="0"/>
                <w:szCs w:val="21"/>
              </w:rPr>
            </w:pPr>
            <w:r>
              <w:rPr>
                <w:rFonts w:eastAsia="楷体_GB2312"/>
                <w:color w:val="000000"/>
                <w:kern w:val="0"/>
                <w:szCs w:val="21"/>
              </w:rPr>
              <w:t>永安初级中学</w:t>
            </w:r>
          </w:p>
        </w:tc>
        <w:tc>
          <w:tcPr>
            <w:tcW w:w="876" w:type="dxa"/>
            <w:noWrap/>
            <w:vAlign w:val="center"/>
          </w:tcPr>
          <w:p w14:paraId="733213D9">
            <w:pPr>
              <w:jc w:val="right"/>
              <w:rPr>
                <w:color w:val="000000"/>
                <w:kern w:val="0"/>
                <w:sz w:val="22"/>
                <w:szCs w:val="22"/>
              </w:rPr>
            </w:pPr>
            <w:r>
              <w:rPr>
                <w:color w:val="000000"/>
                <w:kern w:val="0"/>
                <w:sz w:val="22"/>
                <w:szCs w:val="22"/>
              </w:rPr>
              <w:t xml:space="preserve">1.0000 </w:t>
            </w:r>
          </w:p>
        </w:tc>
        <w:tc>
          <w:tcPr>
            <w:tcW w:w="567" w:type="dxa"/>
            <w:noWrap/>
            <w:vAlign w:val="center"/>
          </w:tcPr>
          <w:p w14:paraId="64933ACD">
            <w:pPr>
              <w:jc w:val="center"/>
              <w:rPr>
                <w:color w:val="000000"/>
                <w:kern w:val="0"/>
                <w:szCs w:val="21"/>
              </w:rPr>
            </w:pPr>
            <w:r>
              <w:rPr>
                <w:color w:val="000000"/>
                <w:kern w:val="0"/>
                <w:szCs w:val="21"/>
              </w:rPr>
              <w:t>1</w:t>
            </w:r>
          </w:p>
        </w:tc>
        <w:tc>
          <w:tcPr>
            <w:tcW w:w="708" w:type="dxa"/>
            <w:noWrap w:val="0"/>
            <w:vAlign w:val="center"/>
          </w:tcPr>
          <w:p w14:paraId="71DB4620">
            <w:pPr>
              <w:jc w:val="center"/>
              <w:rPr>
                <w:color w:val="000000"/>
                <w:kern w:val="0"/>
                <w:szCs w:val="21"/>
              </w:rPr>
            </w:pPr>
            <w:r>
              <w:rPr>
                <w:color w:val="000000"/>
                <w:kern w:val="0"/>
                <w:szCs w:val="21"/>
              </w:rPr>
              <w:t>100</w:t>
            </w:r>
          </w:p>
        </w:tc>
        <w:tc>
          <w:tcPr>
            <w:tcW w:w="1402" w:type="dxa"/>
            <w:noWrap/>
            <w:vAlign w:val="center"/>
          </w:tcPr>
          <w:p w14:paraId="04E6053F">
            <w:pPr>
              <w:jc w:val="center"/>
              <w:rPr>
                <w:color w:val="000000"/>
                <w:kern w:val="0"/>
                <w:szCs w:val="21"/>
              </w:rPr>
            </w:pPr>
            <w:r>
              <w:rPr>
                <w:rFonts w:hint="eastAsia"/>
                <w:color w:val="000000"/>
                <w:kern w:val="0"/>
                <w:szCs w:val="21"/>
              </w:rPr>
              <w:t>1500</w:t>
            </w:r>
          </w:p>
        </w:tc>
      </w:tr>
      <w:tr w14:paraId="28C67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noWrap w:val="0"/>
            <w:vAlign w:val="center"/>
          </w:tcPr>
          <w:p w14:paraId="35232A6C">
            <w:pPr>
              <w:jc w:val="center"/>
              <w:rPr>
                <w:color w:val="000000"/>
                <w:kern w:val="0"/>
                <w:szCs w:val="21"/>
              </w:rPr>
            </w:pPr>
            <w:r>
              <w:rPr>
                <w:color w:val="000000"/>
                <w:kern w:val="0"/>
                <w:szCs w:val="21"/>
              </w:rPr>
              <w:t>20</w:t>
            </w:r>
          </w:p>
        </w:tc>
        <w:tc>
          <w:tcPr>
            <w:tcW w:w="1134" w:type="dxa"/>
            <w:noWrap w:val="0"/>
            <w:vAlign w:val="center"/>
          </w:tcPr>
          <w:p w14:paraId="2558D9C0">
            <w:pPr>
              <w:jc w:val="center"/>
              <w:rPr>
                <w:rFonts w:eastAsia="楷体_GB2312"/>
                <w:color w:val="000000"/>
                <w:kern w:val="0"/>
                <w:szCs w:val="21"/>
              </w:rPr>
            </w:pPr>
            <w:r>
              <w:rPr>
                <w:rFonts w:eastAsia="楷体_GB2312"/>
                <w:color w:val="000000"/>
                <w:kern w:val="0"/>
                <w:szCs w:val="21"/>
              </w:rPr>
              <w:t>支河乡</w:t>
            </w:r>
          </w:p>
        </w:tc>
        <w:tc>
          <w:tcPr>
            <w:tcW w:w="992" w:type="dxa"/>
            <w:noWrap w:val="0"/>
            <w:vAlign w:val="center"/>
          </w:tcPr>
          <w:p w14:paraId="3C0E011F">
            <w:pPr>
              <w:jc w:val="center"/>
              <w:rPr>
                <w:color w:val="000000"/>
                <w:kern w:val="0"/>
                <w:szCs w:val="21"/>
              </w:rPr>
            </w:pPr>
            <w:r>
              <w:rPr>
                <w:rFonts w:hint="eastAsia"/>
                <w:color w:val="000000"/>
                <w:kern w:val="0"/>
                <w:szCs w:val="21"/>
              </w:rPr>
              <w:t>0</w:t>
            </w:r>
            <w:r>
              <w:rPr>
                <w:color w:val="000000"/>
                <w:kern w:val="0"/>
                <w:szCs w:val="21"/>
              </w:rPr>
              <w:t>1</w:t>
            </w:r>
          </w:p>
        </w:tc>
        <w:tc>
          <w:tcPr>
            <w:tcW w:w="2527" w:type="dxa"/>
            <w:noWrap w:val="0"/>
            <w:vAlign w:val="center"/>
          </w:tcPr>
          <w:p w14:paraId="5619BD62">
            <w:pPr>
              <w:jc w:val="center"/>
              <w:rPr>
                <w:rFonts w:eastAsia="楷体_GB2312"/>
                <w:color w:val="000000"/>
                <w:kern w:val="0"/>
                <w:szCs w:val="21"/>
              </w:rPr>
            </w:pPr>
            <w:r>
              <w:rPr>
                <w:rFonts w:eastAsia="楷体_GB2312"/>
                <w:color w:val="000000"/>
                <w:kern w:val="0"/>
                <w:szCs w:val="21"/>
              </w:rPr>
              <w:t>支河中心学校</w:t>
            </w:r>
          </w:p>
        </w:tc>
        <w:tc>
          <w:tcPr>
            <w:tcW w:w="876" w:type="dxa"/>
            <w:noWrap/>
            <w:vAlign w:val="center"/>
          </w:tcPr>
          <w:p w14:paraId="7AB3B968">
            <w:pPr>
              <w:jc w:val="right"/>
              <w:rPr>
                <w:color w:val="000000"/>
                <w:kern w:val="0"/>
                <w:sz w:val="22"/>
                <w:szCs w:val="22"/>
              </w:rPr>
            </w:pPr>
            <w:r>
              <w:rPr>
                <w:color w:val="000000"/>
                <w:kern w:val="0"/>
                <w:sz w:val="22"/>
                <w:szCs w:val="22"/>
              </w:rPr>
              <w:t xml:space="preserve">1.0000 </w:t>
            </w:r>
          </w:p>
        </w:tc>
        <w:tc>
          <w:tcPr>
            <w:tcW w:w="567" w:type="dxa"/>
            <w:noWrap/>
            <w:vAlign w:val="center"/>
          </w:tcPr>
          <w:p w14:paraId="66247316">
            <w:pPr>
              <w:jc w:val="center"/>
              <w:rPr>
                <w:color w:val="000000"/>
                <w:kern w:val="0"/>
                <w:szCs w:val="21"/>
              </w:rPr>
            </w:pPr>
            <w:r>
              <w:rPr>
                <w:color w:val="000000"/>
                <w:kern w:val="0"/>
                <w:szCs w:val="21"/>
              </w:rPr>
              <w:t>1</w:t>
            </w:r>
          </w:p>
        </w:tc>
        <w:tc>
          <w:tcPr>
            <w:tcW w:w="708" w:type="dxa"/>
            <w:noWrap w:val="0"/>
            <w:vAlign w:val="center"/>
          </w:tcPr>
          <w:p w14:paraId="1BCDC838">
            <w:pPr>
              <w:jc w:val="center"/>
              <w:rPr>
                <w:color w:val="000000"/>
                <w:kern w:val="0"/>
                <w:szCs w:val="21"/>
              </w:rPr>
            </w:pPr>
            <w:r>
              <w:rPr>
                <w:color w:val="000000"/>
                <w:kern w:val="0"/>
                <w:szCs w:val="21"/>
              </w:rPr>
              <w:t>100</w:t>
            </w:r>
          </w:p>
        </w:tc>
        <w:tc>
          <w:tcPr>
            <w:tcW w:w="1402" w:type="dxa"/>
            <w:noWrap/>
            <w:vAlign w:val="center"/>
          </w:tcPr>
          <w:p w14:paraId="3DE2C34B">
            <w:pPr>
              <w:jc w:val="center"/>
              <w:rPr>
                <w:color w:val="000000"/>
                <w:kern w:val="0"/>
                <w:szCs w:val="21"/>
              </w:rPr>
            </w:pPr>
            <w:r>
              <w:rPr>
                <w:rFonts w:hint="eastAsia"/>
                <w:color w:val="000000"/>
                <w:kern w:val="0"/>
                <w:szCs w:val="21"/>
              </w:rPr>
              <w:t>2200</w:t>
            </w:r>
          </w:p>
        </w:tc>
      </w:tr>
      <w:tr w14:paraId="257B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noWrap w:val="0"/>
            <w:vAlign w:val="center"/>
          </w:tcPr>
          <w:p w14:paraId="268FF674">
            <w:pPr>
              <w:jc w:val="center"/>
              <w:rPr>
                <w:color w:val="000000"/>
                <w:kern w:val="0"/>
                <w:szCs w:val="21"/>
              </w:rPr>
            </w:pPr>
            <w:r>
              <w:rPr>
                <w:color w:val="000000"/>
                <w:kern w:val="0"/>
                <w:szCs w:val="21"/>
              </w:rPr>
              <w:t>21</w:t>
            </w:r>
          </w:p>
        </w:tc>
        <w:tc>
          <w:tcPr>
            <w:tcW w:w="1134" w:type="dxa"/>
            <w:noWrap w:val="0"/>
            <w:vAlign w:val="center"/>
          </w:tcPr>
          <w:p w14:paraId="4FF8C21C">
            <w:pPr>
              <w:jc w:val="center"/>
              <w:rPr>
                <w:rFonts w:eastAsia="楷体_GB2312"/>
                <w:color w:val="000000"/>
                <w:kern w:val="0"/>
                <w:szCs w:val="21"/>
              </w:rPr>
            </w:pPr>
            <w:r>
              <w:rPr>
                <w:rFonts w:eastAsia="楷体_GB2312"/>
                <w:color w:val="000000"/>
                <w:kern w:val="0"/>
                <w:szCs w:val="21"/>
              </w:rPr>
              <w:t>灰古镇</w:t>
            </w:r>
          </w:p>
        </w:tc>
        <w:tc>
          <w:tcPr>
            <w:tcW w:w="992" w:type="dxa"/>
            <w:noWrap w:val="0"/>
            <w:vAlign w:val="center"/>
          </w:tcPr>
          <w:p w14:paraId="2BBB98FE">
            <w:pPr>
              <w:jc w:val="center"/>
              <w:rPr>
                <w:color w:val="000000"/>
                <w:kern w:val="0"/>
                <w:szCs w:val="21"/>
              </w:rPr>
            </w:pPr>
            <w:r>
              <w:rPr>
                <w:rFonts w:hint="eastAsia"/>
                <w:color w:val="000000"/>
                <w:kern w:val="0"/>
                <w:szCs w:val="21"/>
              </w:rPr>
              <w:t>0</w:t>
            </w:r>
            <w:r>
              <w:rPr>
                <w:color w:val="000000"/>
                <w:kern w:val="0"/>
                <w:szCs w:val="21"/>
              </w:rPr>
              <w:t>1</w:t>
            </w:r>
          </w:p>
        </w:tc>
        <w:tc>
          <w:tcPr>
            <w:tcW w:w="2527" w:type="dxa"/>
            <w:noWrap w:val="0"/>
            <w:vAlign w:val="center"/>
          </w:tcPr>
          <w:p w14:paraId="10356AAB">
            <w:pPr>
              <w:jc w:val="center"/>
              <w:rPr>
                <w:rFonts w:eastAsia="楷体_GB2312"/>
                <w:color w:val="000000"/>
                <w:kern w:val="0"/>
                <w:szCs w:val="21"/>
              </w:rPr>
            </w:pPr>
            <w:r>
              <w:rPr>
                <w:rFonts w:eastAsia="楷体_GB2312"/>
                <w:color w:val="000000"/>
                <w:kern w:val="0"/>
                <w:szCs w:val="21"/>
              </w:rPr>
              <w:t>灰古中学</w:t>
            </w:r>
          </w:p>
        </w:tc>
        <w:tc>
          <w:tcPr>
            <w:tcW w:w="876" w:type="dxa"/>
            <w:noWrap/>
            <w:vAlign w:val="center"/>
          </w:tcPr>
          <w:p w14:paraId="5470DD6F">
            <w:pPr>
              <w:jc w:val="right"/>
              <w:rPr>
                <w:color w:val="000000"/>
                <w:kern w:val="0"/>
                <w:sz w:val="22"/>
                <w:szCs w:val="22"/>
              </w:rPr>
            </w:pPr>
            <w:r>
              <w:rPr>
                <w:color w:val="000000"/>
                <w:kern w:val="0"/>
                <w:sz w:val="22"/>
                <w:szCs w:val="22"/>
              </w:rPr>
              <w:t xml:space="preserve">1.0000 </w:t>
            </w:r>
          </w:p>
        </w:tc>
        <w:tc>
          <w:tcPr>
            <w:tcW w:w="567" w:type="dxa"/>
            <w:noWrap/>
            <w:vAlign w:val="center"/>
          </w:tcPr>
          <w:p w14:paraId="23581B6B">
            <w:pPr>
              <w:jc w:val="center"/>
              <w:rPr>
                <w:color w:val="000000"/>
                <w:kern w:val="0"/>
                <w:szCs w:val="21"/>
              </w:rPr>
            </w:pPr>
            <w:r>
              <w:rPr>
                <w:color w:val="000000"/>
                <w:kern w:val="0"/>
                <w:szCs w:val="21"/>
              </w:rPr>
              <w:t>1</w:t>
            </w:r>
          </w:p>
        </w:tc>
        <w:tc>
          <w:tcPr>
            <w:tcW w:w="708" w:type="dxa"/>
            <w:noWrap w:val="0"/>
            <w:vAlign w:val="center"/>
          </w:tcPr>
          <w:p w14:paraId="54C72B82">
            <w:pPr>
              <w:jc w:val="center"/>
              <w:rPr>
                <w:color w:val="000000"/>
                <w:kern w:val="0"/>
                <w:szCs w:val="21"/>
              </w:rPr>
            </w:pPr>
            <w:r>
              <w:rPr>
                <w:color w:val="000000"/>
                <w:kern w:val="0"/>
                <w:szCs w:val="21"/>
              </w:rPr>
              <w:t>100</w:t>
            </w:r>
          </w:p>
        </w:tc>
        <w:tc>
          <w:tcPr>
            <w:tcW w:w="1402" w:type="dxa"/>
            <w:noWrap/>
            <w:vAlign w:val="center"/>
          </w:tcPr>
          <w:p w14:paraId="5AACE28B">
            <w:pPr>
              <w:jc w:val="center"/>
              <w:rPr>
                <w:color w:val="000000"/>
                <w:kern w:val="0"/>
                <w:szCs w:val="21"/>
              </w:rPr>
            </w:pPr>
            <w:r>
              <w:rPr>
                <w:rFonts w:hint="eastAsia"/>
                <w:color w:val="000000"/>
                <w:kern w:val="0"/>
                <w:szCs w:val="21"/>
              </w:rPr>
              <w:t>1700</w:t>
            </w:r>
          </w:p>
        </w:tc>
      </w:tr>
      <w:tr w14:paraId="15AAC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66" w:type="dxa"/>
            <w:noWrap w:val="0"/>
            <w:vAlign w:val="center"/>
          </w:tcPr>
          <w:p w14:paraId="2894E2DE">
            <w:pPr>
              <w:jc w:val="center"/>
              <w:rPr>
                <w:color w:val="000000"/>
                <w:kern w:val="0"/>
                <w:szCs w:val="21"/>
              </w:rPr>
            </w:pPr>
            <w:r>
              <w:rPr>
                <w:color w:val="000000"/>
                <w:kern w:val="0"/>
                <w:szCs w:val="21"/>
              </w:rPr>
              <w:t>22</w:t>
            </w:r>
          </w:p>
        </w:tc>
        <w:tc>
          <w:tcPr>
            <w:tcW w:w="1134" w:type="dxa"/>
            <w:noWrap w:val="0"/>
            <w:vAlign w:val="center"/>
          </w:tcPr>
          <w:p w14:paraId="2F97DC53">
            <w:pPr>
              <w:jc w:val="center"/>
              <w:rPr>
                <w:rFonts w:eastAsia="楷体_GB2312"/>
                <w:color w:val="000000"/>
                <w:kern w:val="0"/>
                <w:szCs w:val="21"/>
              </w:rPr>
            </w:pPr>
            <w:r>
              <w:rPr>
                <w:rFonts w:eastAsia="楷体_GB2312"/>
                <w:color w:val="000000"/>
                <w:kern w:val="0"/>
                <w:szCs w:val="21"/>
              </w:rPr>
              <w:t>桃沟乡</w:t>
            </w:r>
          </w:p>
        </w:tc>
        <w:tc>
          <w:tcPr>
            <w:tcW w:w="992" w:type="dxa"/>
            <w:noWrap w:val="0"/>
            <w:vAlign w:val="center"/>
          </w:tcPr>
          <w:p w14:paraId="65C179A3">
            <w:pPr>
              <w:jc w:val="center"/>
              <w:rPr>
                <w:color w:val="000000"/>
                <w:kern w:val="0"/>
                <w:szCs w:val="21"/>
              </w:rPr>
            </w:pPr>
            <w:r>
              <w:rPr>
                <w:rFonts w:hint="eastAsia"/>
                <w:color w:val="000000"/>
                <w:kern w:val="0"/>
                <w:szCs w:val="21"/>
              </w:rPr>
              <w:t>0</w:t>
            </w:r>
            <w:r>
              <w:rPr>
                <w:color w:val="000000"/>
                <w:kern w:val="0"/>
                <w:szCs w:val="21"/>
              </w:rPr>
              <w:t>1</w:t>
            </w:r>
          </w:p>
        </w:tc>
        <w:tc>
          <w:tcPr>
            <w:tcW w:w="2527" w:type="dxa"/>
            <w:noWrap w:val="0"/>
            <w:vAlign w:val="center"/>
          </w:tcPr>
          <w:p w14:paraId="7D542AE8">
            <w:pPr>
              <w:jc w:val="center"/>
              <w:rPr>
                <w:rFonts w:eastAsia="楷体_GB2312"/>
                <w:color w:val="000000"/>
                <w:kern w:val="0"/>
                <w:szCs w:val="21"/>
              </w:rPr>
            </w:pPr>
            <w:r>
              <w:rPr>
                <w:rFonts w:eastAsia="楷体_GB2312"/>
                <w:color w:val="000000"/>
                <w:kern w:val="0"/>
                <w:szCs w:val="21"/>
              </w:rPr>
              <w:t>桃沟初级中学</w:t>
            </w:r>
          </w:p>
        </w:tc>
        <w:tc>
          <w:tcPr>
            <w:tcW w:w="876" w:type="dxa"/>
            <w:noWrap/>
            <w:vAlign w:val="center"/>
          </w:tcPr>
          <w:p w14:paraId="0C889E05">
            <w:pPr>
              <w:jc w:val="right"/>
              <w:rPr>
                <w:color w:val="000000"/>
                <w:kern w:val="0"/>
                <w:sz w:val="22"/>
                <w:szCs w:val="22"/>
              </w:rPr>
            </w:pPr>
            <w:r>
              <w:rPr>
                <w:color w:val="000000"/>
                <w:kern w:val="0"/>
                <w:sz w:val="22"/>
                <w:szCs w:val="22"/>
              </w:rPr>
              <w:t xml:space="preserve">1.0000 </w:t>
            </w:r>
          </w:p>
        </w:tc>
        <w:tc>
          <w:tcPr>
            <w:tcW w:w="567" w:type="dxa"/>
            <w:noWrap/>
            <w:vAlign w:val="center"/>
          </w:tcPr>
          <w:p w14:paraId="229AA21F">
            <w:pPr>
              <w:jc w:val="center"/>
              <w:rPr>
                <w:color w:val="000000"/>
                <w:kern w:val="0"/>
                <w:szCs w:val="21"/>
              </w:rPr>
            </w:pPr>
            <w:r>
              <w:rPr>
                <w:color w:val="000000"/>
                <w:kern w:val="0"/>
                <w:szCs w:val="21"/>
              </w:rPr>
              <w:t>1</w:t>
            </w:r>
          </w:p>
        </w:tc>
        <w:tc>
          <w:tcPr>
            <w:tcW w:w="708" w:type="dxa"/>
            <w:noWrap w:val="0"/>
            <w:vAlign w:val="center"/>
          </w:tcPr>
          <w:p w14:paraId="3AB43C3B">
            <w:pPr>
              <w:jc w:val="center"/>
              <w:rPr>
                <w:color w:val="000000"/>
                <w:kern w:val="0"/>
                <w:szCs w:val="21"/>
              </w:rPr>
            </w:pPr>
            <w:r>
              <w:rPr>
                <w:color w:val="000000"/>
                <w:kern w:val="0"/>
                <w:szCs w:val="21"/>
              </w:rPr>
              <w:t>100</w:t>
            </w:r>
          </w:p>
        </w:tc>
        <w:tc>
          <w:tcPr>
            <w:tcW w:w="1402" w:type="dxa"/>
            <w:noWrap/>
            <w:vAlign w:val="center"/>
          </w:tcPr>
          <w:p w14:paraId="64E97433">
            <w:pPr>
              <w:jc w:val="center"/>
              <w:rPr>
                <w:color w:val="000000"/>
                <w:kern w:val="0"/>
                <w:szCs w:val="21"/>
              </w:rPr>
            </w:pPr>
            <w:r>
              <w:rPr>
                <w:rFonts w:hint="eastAsia"/>
                <w:color w:val="000000"/>
                <w:kern w:val="0"/>
                <w:szCs w:val="21"/>
              </w:rPr>
              <w:t>1100</w:t>
            </w:r>
          </w:p>
        </w:tc>
      </w:tr>
    </w:tbl>
    <w:p w14:paraId="46F08CAF">
      <w:pPr>
        <w:spacing w:before="120" w:beforeLines="50" w:line="480" w:lineRule="exact"/>
        <w:jc w:val="center"/>
        <w:rPr>
          <w:rFonts w:eastAsia="黑体"/>
          <w:sz w:val="28"/>
        </w:rPr>
      </w:pPr>
      <w:r>
        <w:rPr>
          <w:rFonts w:eastAsia="黑体"/>
          <w:sz w:val="28"/>
        </w:rPr>
        <w:t>表1-3-</w:t>
      </w:r>
      <w:r>
        <w:rPr>
          <w:rFonts w:hint="eastAsia" w:eastAsia="黑体"/>
          <w:sz w:val="28"/>
        </w:rPr>
        <w:t>42</w:t>
      </w:r>
      <w:r>
        <w:rPr>
          <w:rFonts w:eastAsia="黑体"/>
          <w:sz w:val="28"/>
        </w:rPr>
        <w:t xml:space="preserve">  埇桥区各乡镇镇区小学功能分及服务半径表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1134"/>
        <w:gridCol w:w="873"/>
        <w:gridCol w:w="2813"/>
        <w:gridCol w:w="850"/>
        <w:gridCol w:w="567"/>
        <w:gridCol w:w="709"/>
        <w:gridCol w:w="1274"/>
      </w:tblGrid>
      <w:tr w14:paraId="2EFC6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852" w:type="dxa"/>
            <w:noWrap w:val="0"/>
            <w:vAlign w:val="center"/>
          </w:tcPr>
          <w:p w14:paraId="091A9ED9">
            <w:pPr>
              <w:ind w:left="-105" w:leftChars="-50" w:right="-105" w:rightChars="-50"/>
              <w:jc w:val="center"/>
              <w:rPr>
                <w:rFonts w:eastAsia="楷体_GB2312"/>
                <w:color w:val="000000"/>
                <w:kern w:val="0"/>
                <w:szCs w:val="21"/>
              </w:rPr>
            </w:pPr>
            <w:r>
              <w:rPr>
                <w:rFonts w:eastAsia="楷体_GB2312"/>
                <w:color w:val="000000"/>
                <w:kern w:val="0"/>
                <w:szCs w:val="21"/>
              </w:rPr>
              <w:t>城镇编号</w:t>
            </w:r>
          </w:p>
        </w:tc>
        <w:tc>
          <w:tcPr>
            <w:tcW w:w="1134" w:type="dxa"/>
            <w:noWrap w:val="0"/>
            <w:vAlign w:val="center"/>
          </w:tcPr>
          <w:p w14:paraId="7A2469E1">
            <w:pPr>
              <w:ind w:left="-105" w:leftChars="-50" w:right="-105" w:rightChars="-50"/>
              <w:jc w:val="center"/>
              <w:rPr>
                <w:rFonts w:eastAsia="楷体_GB2312"/>
                <w:color w:val="000000"/>
                <w:kern w:val="0"/>
                <w:szCs w:val="21"/>
              </w:rPr>
            </w:pPr>
            <w:r>
              <w:rPr>
                <w:rFonts w:eastAsia="楷体_GB2312"/>
                <w:color w:val="000000"/>
                <w:kern w:val="0"/>
                <w:szCs w:val="21"/>
              </w:rPr>
              <w:t>乡镇名称</w:t>
            </w:r>
          </w:p>
        </w:tc>
        <w:tc>
          <w:tcPr>
            <w:tcW w:w="873" w:type="dxa"/>
            <w:noWrap w:val="0"/>
            <w:vAlign w:val="center"/>
          </w:tcPr>
          <w:p w14:paraId="4C6618CA">
            <w:pPr>
              <w:ind w:left="-105" w:leftChars="-50" w:right="-105" w:rightChars="-50"/>
              <w:jc w:val="center"/>
              <w:rPr>
                <w:rFonts w:eastAsia="楷体_GB2312"/>
                <w:color w:val="000000"/>
                <w:kern w:val="0"/>
                <w:szCs w:val="21"/>
              </w:rPr>
            </w:pPr>
            <w:r>
              <w:rPr>
                <w:rFonts w:eastAsia="楷体_GB2312"/>
                <w:color w:val="000000"/>
                <w:kern w:val="0"/>
                <w:szCs w:val="21"/>
              </w:rPr>
              <w:t>小学编号</w:t>
            </w:r>
          </w:p>
        </w:tc>
        <w:tc>
          <w:tcPr>
            <w:tcW w:w="2813" w:type="dxa"/>
            <w:noWrap w:val="0"/>
            <w:vAlign w:val="center"/>
          </w:tcPr>
          <w:p w14:paraId="76E480B9">
            <w:pPr>
              <w:ind w:left="-105" w:leftChars="-50" w:right="-105" w:rightChars="-50"/>
              <w:jc w:val="center"/>
              <w:rPr>
                <w:rFonts w:eastAsia="楷体_GB2312"/>
                <w:color w:val="000000"/>
                <w:kern w:val="0"/>
                <w:szCs w:val="21"/>
              </w:rPr>
            </w:pPr>
            <w:r>
              <w:rPr>
                <w:rFonts w:eastAsia="楷体_GB2312"/>
                <w:color w:val="000000"/>
                <w:kern w:val="0"/>
                <w:szCs w:val="21"/>
              </w:rPr>
              <w:t>小学名称</w:t>
            </w:r>
          </w:p>
        </w:tc>
        <w:tc>
          <w:tcPr>
            <w:tcW w:w="850" w:type="dxa"/>
            <w:noWrap w:val="0"/>
            <w:vAlign w:val="center"/>
          </w:tcPr>
          <w:p w14:paraId="7B5EF4C3">
            <w:pPr>
              <w:ind w:left="-105" w:leftChars="-50" w:right="-105" w:rightChars="-50"/>
              <w:jc w:val="center"/>
              <w:rPr>
                <w:rFonts w:eastAsia="楷体_GB2312"/>
                <w:color w:val="000000"/>
                <w:kern w:val="0"/>
                <w:szCs w:val="21"/>
              </w:rPr>
            </w:pPr>
            <w:r>
              <w:rPr>
                <w:rFonts w:eastAsia="楷体_GB2312"/>
                <w:color w:val="000000"/>
                <w:kern w:val="0"/>
                <w:szCs w:val="21"/>
              </w:rPr>
              <w:t>作用指数</w:t>
            </w:r>
          </w:p>
        </w:tc>
        <w:tc>
          <w:tcPr>
            <w:tcW w:w="567" w:type="dxa"/>
            <w:noWrap w:val="0"/>
            <w:vAlign w:val="center"/>
          </w:tcPr>
          <w:p w14:paraId="30330EBF">
            <w:pPr>
              <w:ind w:left="-105" w:leftChars="-50" w:right="-105" w:rightChars="-50"/>
              <w:jc w:val="center"/>
              <w:rPr>
                <w:rFonts w:eastAsia="楷体_GB2312"/>
                <w:color w:val="000000"/>
                <w:kern w:val="0"/>
                <w:szCs w:val="21"/>
              </w:rPr>
            </w:pPr>
            <w:r>
              <w:rPr>
                <w:rFonts w:eastAsia="楷体_GB2312"/>
                <w:color w:val="000000"/>
                <w:kern w:val="0"/>
                <w:szCs w:val="21"/>
              </w:rPr>
              <w:t>级别</w:t>
            </w:r>
          </w:p>
        </w:tc>
        <w:tc>
          <w:tcPr>
            <w:tcW w:w="709" w:type="dxa"/>
            <w:noWrap w:val="0"/>
            <w:vAlign w:val="center"/>
          </w:tcPr>
          <w:p w14:paraId="0C5AA4F5">
            <w:pPr>
              <w:ind w:left="-105" w:leftChars="-50" w:right="-105" w:rightChars="-50"/>
              <w:jc w:val="center"/>
              <w:rPr>
                <w:rFonts w:eastAsia="楷体_GB2312"/>
                <w:color w:val="000000"/>
                <w:kern w:val="0"/>
                <w:szCs w:val="21"/>
              </w:rPr>
            </w:pPr>
            <w:r>
              <w:rPr>
                <w:rFonts w:eastAsia="楷体_GB2312"/>
                <w:color w:val="000000"/>
                <w:kern w:val="0"/>
                <w:szCs w:val="21"/>
              </w:rPr>
              <w:t>功能分</w:t>
            </w:r>
          </w:p>
        </w:tc>
        <w:tc>
          <w:tcPr>
            <w:tcW w:w="1274" w:type="dxa"/>
            <w:noWrap w:val="0"/>
            <w:vAlign w:val="center"/>
          </w:tcPr>
          <w:p w14:paraId="3CC6DB20">
            <w:pPr>
              <w:ind w:left="-105" w:leftChars="-50" w:right="-105" w:rightChars="-50"/>
              <w:jc w:val="center"/>
              <w:rPr>
                <w:rFonts w:eastAsia="楷体_GB2312"/>
                <w:color w:val="000000"/>
                <w:kern w:val="0"/>
                <w:szCs w:val="21"/>
              </w:rPr>
            </w:pPr>
            <w:r>
              <w:rPr>
                <w:rFonts w:eastAsia="楷体_GB2312"/>
                <w:color w:val="000000"/>
                <w:kern w:val="0"/>
                <w:szCs w:val="21"/>
              </w:rPr>
              <w:t>影响半径（米）</w:t>
            </w:r>
          </w:p>
        </w:tc>
      </w:tr>
      <w:tr w14:paraId="133F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restart"/>
            <w:noWrap w:val="0"/>
            <w:vAlign w:val="center"/>
          </w:tcPr>
          <w:p w14:paraId="40DFC3CD">
            <w:pPr>
              <w:jc w:val="center"/>
              <w:rPr>
                <w:color w:val="000000"/>
                <w:kern w:val="0"/>
                <w:szCs w:val="21"/>
              </w:rPr>
            </w:pPr>
            <w:r>
              <w:rPr>
                <w:color w:val="000000"/>
                <w:kern w:val="0"/>
                <w:szCs w:val="21"/>
              </w:rPr>
              <w:t>1</w:t>
            </w:r>
          </w:p>
        </w:tc>
        <w:tc>
          <w:tcPr>
            <w:tcW w:w="1134" w:type="dxa"/>
            <w:vMerge w:val="restart"/>
            <w:noWrap w:val="0"/>
            <w:vAlign w:val="center"/>
          </w:tcPr>
          <w:p w14:paraId="0D2A63EC">
            <w:pPr>
              <w:jc w:val="center"/>
              <w:rPr>
                <w:rFonts w:eastAsia="楷体_GB2312"/>
                <w:color w:val="000000"/>
                <w:kern w:val="0"/>
                <w:szCs w:val="21"/>
              </w:rPr>
            </w:pPr>
            <w:r>
              <w:rPr>
                <w:rFonts w:eastAsia="楷体_GB2312"/>
                <w:color w:val="000000"/>
                <w:kern w:val="0"/>
                <w:szCs w:val="21"/>
              </w:rPr>
              <w:t>符离镇</w:t>
            </w:r>
          </w:p>
        </w:tc>
        <w:tc>
          <w:tcPr>
            <w:tcW w:w="873" w:type="dxa"/>
            <w:noWrap w:val="0"/>
            <w:vAlign w:val="center"/>
          </w:tcPr>
          <w:p w14:paraId="4AAF2CAE">
            <w:pPr>
              <w:jc w:val="center"/>
              <w:rPr>
                <w:color w:val="000000"/>
                <w:kern w:val="0"/>
                <w:szCs w:val="21"/>
              </w:rPr>
            </w:pPr>
            <w:r>
              <w:rPr>
                <w:color w:val="000000"/>
                <w:kern w:val="0"/>
                <w:szCs w:val="21"/>
              </w:rPr>
              <w:t>1</w:t>
            </w:r>
          </w:p>
        </w:tc>
        <w:tc>
          <w:tcPr>
            <w:tcW w:w="2813" w:type="dxa"/>
            <w:noWrap w:val="0"/>
            <w:vAlign w:val="center"/>
          </w:tcPr>
          <w:p w14:paraId="3CEB1F74">
            <w:pPr>
              <w:jc w:val="center"/>
              <w:rPr>
                <w:rFonts w:eastAsia="楷体_GB2312"/>
                <w:color w:val="000000"/>
                <w:kern w:val="0"/>
                <w:szCs w:val="21"/>
              </w:rPr>
            </w:pPr>
            <w:r>
              <w:rPr>
                <w:rFonts w:eastAsia="楷体_GB2312"/>
                <w:color w:val="000000"/>
                <w:kern w:val="0"/>
                <w:szCs w:val="21"/>
              </w:rPr>
              <w:t>符离中心小学</w:t>
            </w:r>
          </w:p>
        </w:tc>
        <w:tc>
          <w:tcPr>
            <w:tcW w:w="850" w:type="dxa"/>
            <w:noWrap w:val="0"/>
            <w:vAlign w:val="center"/>
          </w:tcPr>
          <w:p w14:paraId="7B95FD18">
            <w:pPr>
              <w:jc w:val="center"/>
              <w:rPr>
                <w:color w:val="000000"/>
                <w:kern w:val="0"/>
                <w:szCs w:val="21"/>
              </w:rPr>
            </w:pPr>
            <w:r>
              <w:rPr>
                <w:color w:val="000000"/>
                <w:kern w:val="0"/>
                <w:szCs w:val="21"/>
              </w:rPr>
              <w:t>1.0000</w:t>
            </w:r>
          </w:p>
        </w:tc>
        <w:tc>
          <w:tcPr>
            <w:tcW w:w="567" w:type="dxa"/>
            <w:noWrap w:val="0"/>
            <w:vAlign w:val="center"/>
          </w:tcPr>
          <w:p w14:paraId="15D7E768">
            <w:pPr>
              <w:jc w:val="center"/>
              <w:rPr>
                <w:color w:val="000000"/>
                <w:kern w:val="0"/>
                <w:szCs w:val="21"/>
              </w:rPr>
            </w:pPr>
            <w:r>
              <w:rPr>
                <w:color w:val="000000"/>
                <w:kern w:val="0"/>
                <w:szCs w:val="21"/>
              </w:rPr>
              <w:t>1</w:t>
            </w:r>
          </w:p>
        </w:tc>
        <w:tc>
          <w:tcPr>
            <w:tcW w:w="709" w:type="dxa"/>
            <w:noWrap w:val="0"/>
            <w:vAlign w:val="center"/>
          </w:tcPr>
          <w:p w14:paraId="0FFA25D5">
            <w:pPr>
              <w:jc w:val="center"/>
              <w:rPr>
                <w:color w:val="000000"/>
                <w:kern w:val="0"/>
                <w:szCs w:val="21"/>
              </w:rPr>
            </w:pPr>
            <w:r>
              <w:rPr>
                <w:color w:val="000000"/>
                <w:kern w:val="0"/>
                <w:szCs w:val="21"/>
              </w:rPr>
              <w:t>100</w:t>
            </w:r>
          </w:p>
        </w:tc>
        <w:tc>
          <w:tcPr>
            <w:tcW w:w="1274" w:type="dxa"/>
            <w:noWrap w:val="0"/>
            <w:vAlign w:val="center"/>
          </w:tcPr>
          <w:p w14:paraId="668BDBF1">
            <w:pPr>
              <w:jc w:val="center"/>
              <w:rPr>
                <w:color w:val="000000"/>
                <w:kern w:val="0"/>
                <w:szCs w:val="21"/>
              </w:rPr>
            </w:pPr>
            <w:r>
              <w:rPr>
                <w:rFonts w:hint="eastAsia"/>
                <w:color w:val="000000"/>
                <w:kern w:val="0"/>
                <w:szCs w:val="21"/>
              </w:rPr>
              <w:t>3000</w:t>
            </w:r>
          </w:p>
        </w:tc>
      </w:tr>
      <w:tr w14:paraId="4BEC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continue"/>
            <w:noWrap w:val="0"/>
            <w:vAlign w:val="center"/>
          </w:tcPr>
          <w:p w14:paraId="266C5C5A">
            <w:pPr>
              <w:jc w:val="center"/>
              <w:rPr>
                <w:color w:val="000000"/>
                <w:kern w:val="0"/>
                <w:szCs w:val="21"/>
              </w:rPr>
            </w:pPr>
          </w:p>
        </w:tc>
        <w:tc>
          <w:tcPr>
            <w:tcW w:w="1134" w:type="dxa"/>
            <w:vMerge w:val="continue"/>
            <w:noWrap w:val="0"/>
            <w:vAlign w:val="center"/>
          </w:tcPr>
          <w:p w14:paraId="7B701967">
            <w:pPr>
              <w:jc w:val="center"/>
              <w:rPr>
                <w:rFonts w:eastAsia="楷体_GB2312"/>
                <w:color w:val="000000"/>
                <w:kern w:val="0"/>
                <w:szCs w:val="21"/>
              </w:rPr>
            </w:pPr>
          </w:p>
        </w:tc>
        <w:tc>
          <w:tcPr>
            <w:tcW w:w="873" w:type="dxa"/>
            <w:noWrap w:val="0"/>
            <w:vAlign w:val="center"/>
          </w:tcPr>
          <w:p w14:paraId="0B2C30B5">
            <w:pPr>
              <w:jc w:val="center"/>
              <w:rPr>
                <w:color w:val="000000"/>
                <w:kern w:val="0"/>
                <w:szCs w:val="21"/>
              </w:rPr>
            </w:pPr>
            <w:r>
              <w:rPr>
                <w:color w:val="000000"/>
                <w:kern w:val="0"/>
                <w:szCs w:val="21"/>
              </w:rPr>
              <w:t>2</w:t>
            </w:r>
          </w:p>
        </w:tc>
        <w:tc>
          <w:tcPr>
            <w:tcW w:w="2813" w:type="dxa"/>
            <w:noWrap w:val="0"/>
            <w:vAlign w:val="center"/>
          </w:tcPr>
          <w:p w14:paraId="2491D90E">
            <w:pPr>
              <w:jc w:val="center"/>
              <w:rPr>
                <w:rFonts w:eastAsia="楷体_GB2312"/>
                <w:color w:val="000000"/>
                <w:kern w:val="0"/>
                <w:szCs w:val="21"/>
              </w:rPr>
            </w:pPr>
            <w:r>
              <w:rPr>
                <w:rFonts w:eastAsia="楷体_GB2312"/>
                <w:color w:val="000000"/>
                <w:kern w:val="0"/>
                <w:szCs w:val="21"/>
              </w:rPr>
              <w:t>符离第三小学</w:t>
            </w:r>
          </w:p>
        </w:tc>
        <w:tc>
          <w:tcPr>
            <w:tcW w:w="850" w:type="dxa"/>
            <w:noWrap w:val="0"/>
            <w:vAlign w:val="center"/>
          </w:tcPr>
          <w:p w14:paraId="02DB84AA">
            <w:pPr>
              <w:jc w:val="center"/>
              <w:rPr>
                <w:color w:val="000000"/>
                <w:kern w:val="0"/>
                <w:szCs w:val="21"/>
              </w:rPr>
            </w:pPr>
            <w:r>
              <w:rPr>
                <w:color w:val="000000"/>
                <w:kern w:val="0"/>
                <w:szCs w:val="21"/>
              </w:rPr>
              <w:t>0.7976</w:t>
            </w:r>
          </w:p>
        </w:tc>
        <w:tc>
          <w:tcPr>
            <w:tcW w:w="567" w:type="dxa"/>
            <w:noWrap w:val="0"/>
            <w:vAlign w:val="center"/>
          </w:tcPr>
          <w:p w14:paraId="06704F0E">
            <w:pPr>
              <w:jc w:val="center"/>
              <w:rPr>
                <w:color w:val="000000"/>
                <w:kern w:val="0"/>
                <w:szCs w:val="21"/>
              </w:rPr>
            </w:pPr>
            <w:r>
              <w:rPr>
                <w:color w:val="000000"/>
                <w:kern w:val="0"/>
                <w:szCs w:val="21"/>
              </w:rPr>
              <w:t>2</w:t>
            </w:r>
          </w:p>
        </w:tc>
        <w:tc>
          <w:tcPr>
            <w:tcW w:w="709" w:type="dxa"/>
            <w:noWrap w:val="0"/>
            <w:vAlign w:val="center"/>
          </w:tcPr>
          <w:p w14:paraId="30968DB5">
            <w:pPr>
              <w:jc w:val="center"/>
              <w:rPr>
                <w:color w:val="000000"/>
                <w:kern w:val="0"/>
                <w:szCs w:val="21"/>
              </w:rPr>
            </w:pPr>
            <w:r>
              <w:rPr>
                <w:color w:val="000000"/>
                <w:kern w:val="0"/>
                <w:szCs w:val="21"/>
              </w:rPr>
              <w:t>80</w:t>
            </w:r>
          </w:p>
        </w:tc>
        <w:tc>
          <w:tcPr>
            <w:tcW w:w="1274" w:type="dxa"/>
            <w:noWrap w:val="0"/>
            <w:vAlign w:val="center"/>
          </w:tcPr>
          <w:p w14:paraId="56252BDF">
            <w:pPr>
              <w:jc w:val="center"/>
              <w:rPr>
                <w:color w:val="000000"/>
                <w:kern w:val="0"/>
                <w:szCs w:val="21"/>
              </w:rPr>
            </w:pPr>
            <w:r>
              <w:rPr>
                <w:rFonts w:hint="eastAsia"/>
                <w:color w:val="000000"/>
                <w:kern w:val="0"/>
                <w:szCs w:val="21"/>
              </w:rPr>
              <w:t>2800</w:t>
            </w:r>
          </w:p>
        </w:tc>
      </w:tr>
      <w:tr w14:paraId="0C66F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852" w:type="dxa"/>
            <w:vMerge w:val="restart"/>
            <w:noWrap w:val="0"/>
            <w:vAlign w:val="center"/>
          </w:tcPr>
          <w:p w14:paraId="315BC89B">
            <w:pPr>
              <w:jc w:val="center"/>
              <w:rPr>
                <w:color w:val="000000"/>
                <w:kern w:val="0"/>
                <w:szCs w:val="21"/>
              </w:rPr>
            </w:pPr>
            <w:r>
              <w:rPr>
                <w:color w:val="000000"/>
                <w:kern w:val="0"/>
                <w:szCs w:val="21"/>
              </w:rPr>
              <w:t>2</w:t>
            </w:r>
          </w:p>
        </w:tc>
        <w:tc>
          <w:tcPr>
            <w:tcW w:w="1134" w:type="dxa"/>
            <w:vMerge w:val="restart"/>
            <w:noWrap w:val="0"/>
            <w:vAlign w:val="center"/>
          </w:tcPr>
          <w:p w14:paraId="75984364">
            <w:pPr>
              <w:jc w:val="center"/>
              <w:rPr>
                <w:rFonts w:eastAsia="楷体_GB2312"/>
                <w:color w:val="000000"/>
                <w:kern w:val="0"/>
                <w:szCs w:val="21"/>
              </w:rPr>
            </w:pPr>
            <w:r>
              <w:rPr>
                <w:rFonts w:eastAsia="楷体_GB2312"/>
                <w:color w:val="000000"/>
                <w:kern w:val="0"/>
                <w:szCs w:val="21"/>
              </w:rPr>
              <w:t>朱仙庄镇</w:t>
            </w:r>
          </w:p>
        </w:tc>
        <w:tc>
          <w:tcPr>
            <w:tcW w:w="873" w:type="dxa"/>
            <w:noWrap w:val="0"/>
            <w:vAlign w:val="center"/>
          </w:tcPr>
          <w:p w14:paraId="40FAE921">
            <w:pPr>
              <w:jc w:val="center"/>
              <w:rPr>
                <w:color w:val="000000"/>
                <w:kern w:val="0"/>
                <w:szCs w:val="21"/>
              </w:rPr>
            </w:pPr>
            <w:r>
              <w:rPr>
                <w:color w:val="000000"/>
                <w:kern w:val="0"/>
                <w:szCs w:val="21"/>
              </w:rPr>
              <w:t>1</w:t>
            </w:r>
          </w:p>
        </w:tc>
        <w:tc>
          <w:tcPr>
            <w:tcW w:w="2813" w:type="dxa"/>
            <w:noWrap w:val="0"/>
            <w:vAlign w:val="center"/>
          </w:tcPr>
          <w:p w14:paraId="4C6658E2">
            <w:pPr>
              <w:jc w:val="center"/>
              <w:rPr>
                <w:rFonts w:eastAsia="楷体_GB2312"/>
                <w:color w:val="000000"/>
                <w:kern w:val="0"/>
                <w:szCs w:val="21"/>
              </w:rPr>
            </w:pPr>
            <w:r>
              <w:rPr>
                <w:rFonts w:eastAsia="楷体_GB2312"/>
                <w:color w:val="000000"/>
                <w:kern w:val="0"/>
                <w:szCs w:val="21"/>
              </w:rPr>
              <w:t>胡李小学</w:t>
            </w:r>
          </w:p>
        </w:tc>
        <w:tc>
          <w:tcPr>
            <w:tcW w:w="850" w:type="dxa"/>
            <w:noWrap w:val="0"/>
            <w:vAlign w:val="center"/>
          </w:tcPr>
          <w:p w14:paraId="6E024F7B">
            <w:pPr>
              <w:jc w:val="center"/>
              <w:rPr>
                <w:color w:val="000000"/>
                <w:kern w:val="0"/>
                <w:szCs w:val="21"/>
              </w:rPr>
            </w:pPr>
            <w:r>
              <w:rPr>
                <w:color w:val="000000"/>
                <w:kern w:val="0"/>
                <w:szCs w:val="21"/>
              </w:rPr>
              <w:t>0.3681</w:t>
            </w:r>
          </w:p>
        </w:tc>
        <w:tc>
          <w:tcPr>
            <w:tcW w:w="567" w:type="dxa"/>
            <w:noWrap w:val="0"/>
            <w:vAlign w:val="center"/>
          </w:tcPr>
          <w:p w14:paraId="1B6A4637">
            <w:pPr>
              <w:jc w:val="center"/>
              <w:rPr>
                <w:color w:val="000000"/>
                <w:kern w:val="0"/>
                <w:szCs w:val="21"/>
              </w:rPr>
            </w:pPr>
            <w:r>
              <w:rPr>
                <w:color w:val="000000"/>
                <w:kern w:val="0"/>
                <w:szCs w:val="21"/>
              </w:rPr>
              <w:t>3</w:t>
            </w:r>
          </w:p>
        </w:tc>
        <w:tc>
          <w:tcPr>
            <w:tcW w:w="709" w:type="dxa"/>
            <w:noWrap w:val="0"/>
            <w:vAlign w:val="center"/>
          </w:tcPr>
          <w:p w14:paraId="57086B40">
            <w:pPr>
              <w:jc w:val="center"/>
              <w:rPr>
                <w:color w:val="000000"/>
                <w:kern w:val="0"/>
                <w:szCs w:val="21"/>
              </w:rPr>
            </w:pPr>
            <w:r>
              <w:rPr>
                <w:rFonts w:hint="eastAsia"/>
                <w:color w:val="000000"/>
                <w:kern w:val="0"/>
                <w:szCs w:val="21"/>
              </w:rPr>
              <w:t>46</w:t>
            </w:r>
          </w:p>
        </w:tc>
        <w:tc>
          <w:tcPr>
            <w:tcW w:w="1274" w:type="dxa"/>
            <w:noWrap w:val="0"/>
            <w:vAlign w:val="center"/>
          </w:tcPr>
          <w:p w14:paraId="33F22BE5">
            <w:pPr>
              <w:jc w:val="center"/>
              <w:rPr>
                <w:color w:val="000000"/>
                <w:kern w:val="0"/>
                <w:szCs w:val="21"/>
              </w:rPr>
            </w:pPr>
            <w:r>
              <w:rPr>
                <w:rFonts w:hint="eastAsia"/>
                <w:color w:val="000000"/>
                <w:kern w:val="0"/>
                <w:szCs w:val="21"/>
              </w:rPr>
              <w:t>2600</w:t>
            </w:r>
          </w:p>
        </w:tc>
      </w:tr>
      <w:tr w14:paraId="4277B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continue"/>
            <w:noWrap w:val="0"/>
            <w:vAlign w:val="center"/>
          </w:tcPr>
          <w:p w14:paraId="08B43A75">
            <w:pPr>
              <w:jc w:val="center"/>
              <w:rPr>
                <w:color w:val="000000"/>
                <w:kern w:val="0"/>
                <w:szCs w:val="21"/>
              </w:rPr>
            </w:pPr>
          </w:p>
        </w:tc>
        <w:tc>
          <w:tcPr>
            <w:tcW w:w="1134" w:type="dxa"/>
            <w:vMerge w:val="continue"/>
            <w:noWrap w:val="0"/>
            <w:vAlign w:val="center"/>
          </w:tcPr>
          <w:p w14:paraId="74BD2937">
            <w:pPr>
              <w:jc w:val="center"/>
              <w:rPr>
                <w:rFonts w:eastAsia="楷体_GB2312"/>
                <w:color w:val="000000"/>
                <w:kern w:val="0"/>
                <w:szCs w:val="21"/>
              </w:rPr>
            </w:pPr>
          </w:p>
        </w:tc>
        <w:tc>
          <w:tcPr>
            <w:tcW w:w="873" w:type="dxa"/>
            <w:noWrap w:val="0"/>
            <w:vAlign w:val="center"/>
          </w:tcPr>
          <w:p w14:paraId="3121D320">
            <w:pPr>
              <w:jc w:val="center"/>
              <w:rPr>
                <w:color w:val="000000"/>
                <w:kern w:val="0"/>
                <w:szCs w:val="21"/>
              </w:rPr>
            </w:pPr>
            <w:r>
              <w:rPr>
                <w:color w:val="000000"/>
                <w:kern w:val="0"/>
                <w:szCs w:val="21"/>
              </w:rPr>
              <w:t>2</w:t>
            </w:r>
          </w:p>
        </w:tc>
        <w:tc>
          <w:tcPr>
            <w:tcW w:w="2813" w:type="dxa"/>
            <w:noWrap w:val="0"/>
            <w:vAlign w:val="center"/>
          </w:tcPr>
          <w:p w14:paraId="51BB9960">
            <w:pPr>
              <w:jc w:val="center"/>
              <w:rPr>
                <w:rFonts w:eastAsia="楷体_GB2312"/>
                <w:color w:val="000000"/>
                <w:kern w:val="0"/>
                <w:szCs w:val="21"/>
              </w:rPr>
            </w:pPr>
            <w:r>
              <w:rPr>
                <w:rFonts w:eastAsia="楷体_GB2312"/>
                <w:color w:val="000000"/>
                <w:kern w:val="0"/>
                <w:szCs w:val="21"/>
              </w:rPr>
              <w:t>朱仙庄中心小学</w:t>
            </w:r>
          </w:p>
        </w:tc>
        <w:tc>
          <w:tcPr>
            <w:tcW w:w="850" w:type="dxa"/>
            <w:noWrap w:val="0"/>
            <w:vAlign w:val="center"/>
          </w:tcPr>
          <w:p w14:paraId="417F2E74">
            <w:pPr>
              <w:jc w:val="center"/>
              <w:rPr>
                <w:color w:val="000000"/>
                <w:kern w:val="0"/>
                <w:szCs w:val="21"/>
              </w:rPr>
            </w:pPr>
            <w:r>
              <w:rPr>
                <w:color w:val="000000"/>
                <w:kern w:val="0"/>
                <w:szCs w:val="21"/>
              </w:rPr>
              <w:t>0.4577</w:t>
            </w:r>
          </w:p>
        </w:tc>
        <w:tc>
          <w:tcPr>
            <w:tcW w:w="567" w:type="dxa"/>
            <w:noWrap w:val="0"/>
            <w:vAlign w:val="center"/>
          </w:tcPr>
          <w:p w14:paraId="49E094A9">
            <w:pPr>
              <w:jc w:val="center"/>
              <w:rPr>
                <w:color w:val="000000"/>
                <w:kern w:val="0"/>
                <w:szCs w:val="21"/>
              </w:rPr>
            </w:pPr>
            <w:r>
              <w:rPr>
                <w:color w:val="000000"/>
                <w:kern w:val="0"/>
                <w:szCs w:val="21"/>
              </w:rPr>
              <w:t>3</w:t>
            </w:r>
          </w:p>
        </w:tc>
        <w:tc>
          <w:tcPr>
            <w:tcW w:w="709" w:type="dxa"/>
            <w:noWrap w:val="0"/>
            <w:vAlign w:val="center"/>
          </w:tcPr>
          <w:p w14:paraId="7B875756">
            <w:pPr>
              <w:jc w:val="center"/>
              <w:rPr>
                <w:color w:val="000000"/>
                <w:kern w:val="0"/>
                <w:szCs w:val="21"/>
              </w:rPr>
            </w:pPr>
            <w:r>
              <w:rPr>
                <w:color w:val="000000"/>
                <w:kern w:val="0"/>
                <w:szCs w:val="21"/>
              </w:rPr>
              <w:t>46</w:t>
            </w:r>
          </w:p>
        </w:tc>
        <w:tc>
          <w:tcPr>
            <w:tcW w:w="1274" w:type="dxa"/>
            <w:noWrap w:val="0"/>
            <w:vAlign w:val="center"/>
          </w:tcPr>
          <w:p w14:paraId="2F955F9E">
            <w:pPr>
              <w:jc w:val="center"/>
              <w:rPr>
                <w:color w:val="000000"/>
                <w:kern w:val="0"/>
                <w:szCs w:val="21"/>
              </w:rPr>
            </w:pPr>
            <w:r>
              <w:rPr>
                <w:rFonts w:hint="eastAsia"/>
                <w:color w:val="000000"/>
                <w:kern w:val="0"/>
                <w:szCs w:val="21"/>
              </w:rPr>
              <w:t>2600</w:t>
            </w:r>
          </w:p>
        </w:tc>
      </w:tr>
      <w:tr w14:paraId="16757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continue"/>
            <w:noWrap w:val="0"/>
            <w:vAlign w:val="center"/>
          </w:tcPr>
          <w:p w14:paraId="7249483B">
            <w:pPr>
              <w:jc w:val="center"/>
              <w:rPr>
                <w:color w:val="000000"/>
                <w:kern w:val="0"/>
                <w:szCs w:val="21"/>
              </w:rPr>
            </w:pPr>
          </w:p>
        </w:tc>
        <w:tc>
          <w:tcPr>
            <w:tcW w:w="1134" w:type="dxa"/>
            <w:vMerge w:val="continue"/>
            <w:noWrap w:val="0"/>
            <w:vAlign w:val="center"/>
          </w:tcPr>
          <w:p w14:paraId="55CE28C7">
            <w:pPr>
              <w:jc w:val="center"/>
              <w:rPr>
                <w:rFonts w:eastAsia="楷体_GB2312"/>
                <w:color w:val="000000"/>
                <w:kern w:val="0"/>
                <w:szCs w:val="21"/>
              </w:rPr>
            </w:pPr>
          </w:p>
        </w:tc>
        <w:tc>
          <w:tcPr>
            <w:tcW w:w="873" w:type="dxa"/>
            <w:noWrap w:val="0"/>
            <w:vAlign w:val="center"/>
          </w:tcPr>
          <w:p w14:paraId="2AE1FDE9">
            <w:pPr>
              <w:jc w:val="center"/>
              <w:rPr>
                <w:color w:val="000000"/>
                <w:kern w:val="0"/>
                <w:szCs w:val="21"/>
              </w:rPr>
            </w:pPr>
            <w:r>
              <w:rPr>
                <w:color w:val="000000"/>
                <w:kern w:val="0"/>
                <w:szCs w:val="21"/>
              </w:rPr>
              <w:t>3</w:t>
            </w:r>
          </w:p>
        </w:tc>
        <w:tc>
          <w:tcPr>
            <w:tcW w:w="2813" w:type="dxa"/>
            <w:noWrap w:val="0"/>
            <w:vAlign w:val="center"/>
          </w:tcPr>
          <w:p w14:paraId="6F141ADD">
            <w:pPr>
              <w:jc w:val="center"/>
              <w:rPr>
                <w:rFonts w:eastAsia="楷体_GB2312"/>
                <w:color w:val="000000"/>
                <w:kern w:val="0"/>
                <w:szCs w:val="21"/>
              </w:rPr>
            </w:pPr>
            <w:r>
              <w:rPr>
                <w:rFonts w:eastAsia="楷体_GB2312"/>
                <w:color w:val="000000"/>
                <w:kern w:val="0"/>
                <w:szCs w:val="21"/>
              </w:rPr>
              <w:t>朱仙庄矿小学</w:t>
            </w:r>
          </w:p>
        </w:tc>
        <w:tc>
          <w:tcPr>
            <w:tcW w:w="850" w:type="dxa"/>
            <w:noWrap w:val="0"/>
            <w:vAlign w:val="center"/>
          </w:tcPr>
          <w:p w14:paraId="33F1B14E">
            <w:pPr>
              <w:jc w:val="center"/>
              <w:rPr>
                <w:color w:val="000000"/>
                <w:kern w:val="0"/>
                <w:szCs w:val="21"/>
              </w:rPr>
            </w:pPr>
            <w:r>
              <w:rPr>
                <w:color w:val="000000"/>
                <w:kern w:val="0"/>
                <w:szCs w:val="21"/>
              </w:rPr>
              <w:t>1.0000</w:t>
            </w:r>
          </w:p>
        </w:tc>
        <w:tc>
          <w:tcPr>
            <w:tcW w:w="567" w:type="dxa"/>
            <w:noWrap w:val="0"/>
            <w:vAlign w:val="center"/>
          </w:tcPr>
          <w:p w14:paraId="6D686BA0">
            <w:pPr>
              <w:jc w:val="center"/>
              <w:rPr>
                <w:color w:val="000000"/>
                <w:kern w:val="0"/>
                <w:szCs w:val="21"/>
              </w:rPr>
            </w:pPr>
            <w:r>
              <w:rPr>
                <w:color w:val="000000"/>
                <w:kern w:val="0"/>
                <w:szCs w:val="21"/>
              </w:rPr>
              <w:t>1</w:t>
            </w:r>
          </w:p>
        </w:tc>
        <w:tc>
          <w:tcPr>
            <w:tcW w:w="709" w:type="dxa"/>
            <w:noWrap w:val="0"/>
            <w:vAlign w:val="center"/>
          </w:tcPr>
          <w:p w14:paraId="6DC31C9E">
            <w:pPr>
              <w:jc w:val="center"/>
              <w:rPr>
                <w:color w:val="000000"/>
                <w:kern w:val="0"/>
                <w:szCs w:val="21"/>
              </w:rPr>
            </w:pPr>
            <w:r>
              <w:rPr>
                <w:color w:val="000000"/>
                <w:kern w:val="0"/>
                <w:szCs w:val="21"/>
              </w:rPr>
              <w:t>100</w:t>
            </w:r>
          </w:p>
        </w:tc>
        <w:tc>
          <w:tcPr>
            <w:tcW w:w="1274" w:type="dxa"/>
            <w:noWrap w:val="0"/>
            <w:vAlign w:val="center"/>
          </w:tcPr>
          <w:p w14:paraId="4A78831B">
            <w:pPr>
              <w:jc w:val="center"/>
              <w:rPr>
                <w:color w:val="000000"/>
                <w:kern w:val="0"/>
                <w:szCs w:val="21"/>
              </w:rPr>
            </w:pPr>
            <w:r>
              <w:rPr>
                <w:rFonts w:hint="eastAsia"/>
                <w:color w:val="000000"/>
                <w:kern w:val="0"/>
                <w:szCs w:val="21"/>
              </w:rPr>
              <w:t>3000</w:t>
            </w:r>
          </w:p>
        </w:tc>
      </w:tr>
      <w:tr w14:paraId="1940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continue"/>
            <w:noWrap w:val="0"/>
            <w:vAlign w:val="center"/>
          </w:tcPr>
          <w:p w14:paraId="52A3B428">
            <w:pPr>
              <w:jc w:val="center"/>
              <w:rPr>
                <w:color w:val="000000"/>
                <w:kern w:val="0"/>
                <w:szCs w:val="21"/>
              </w:rPr>
            </w:pPr>
          </w:p>
        </w:tc>
        <w:tc>
          <w:tcPr>
            <w:tcW w:w="1134" w:type="dxa"/>
            <w:vMerge w:val="continue"/>
            <w:noWrap w:val="0"/>
            <w:vAlign w:val="center"/>
          </w:tcPr>
          <w:p w14:paraId="198D2D0A">
            <w:pPr>
              <w:jc w:val="center"/>
              <w:rPr>
                <w:rFonts w:eastAsia="楷体_GB2312"/>
                <w:color w:val="000000"/>
                <w:kern w:val="0"/>
                <w:szCs w:val="21"/>
              </w:rPr>
            </w:pPr>
          </w:p>
        </w:tc>
        <w:tc>
          <w:tcPr>
            <w:tcW w:w="873" w:type="dxa"/>
            <w:noWrap w:val="0"/>
            <w:vAlign w:val="center"/>
          </w:tcPr>
          <w:p w14:paraId="27BEE9C9">
            <w:pPr>
              <w:jc w:val="center"/>
              <w:rPr>
                <w:color w:val="000000"/>
                <w:kern w:val="0"/>
                <w:szCs w:val="21"/>
              </w:rPr>
            </w:pPr>
            <w:r>
              <w:rPr>
                <w:color w:val="000000"/>
                <w:kern w:val="0"/>
                <w:szCs w:val="21"/>
              </w:rPr>
              <w:t>4</w:t>
            </w:r>
          </w:p>
        </w:tc>
        <w:tc>
          <w:tcPr>
            <w:tcW w:w="2813" w:type="dxa"/>
            <w:noWrap w:val="0"/>
            <w:vAlign w:val="center"/>
          </w:tcPr>
          <w:p w14:paraId="01A479F0">
            <w:pPr>
              <w:jc w:val="center"/>
              <w:rPr>
                <w:rFonts w:eastAsia="楷体_GB2312"/>
                <w:color w:val="000000"/>
                <w:kern w:val="0"/>
                <w:szCs w:val="21"/>
              </w:rPr>
            </w:pPr>
            <w:r>
              <w:rPr>
                <w:rFonts w:eastAsia="楷体_GB2312"/>
                <w:color w:val="000000"/>
                <w:kern w:val="0"/>
                <w:szCs w:val="21"/>
              </w:rPr>
              <w:t>大张小学</w:t>
            </w:r>
          </w:p>
        </w:tc>
        <w:tc>
          <w:tcPr>
            <w:tcW w:w="850" w:type="dxa"/>
            <w:noWrap w:val="0"/>
            <w:vAlign w:val="center"/>
          </w:tcPr>
          <w:p w14:paraId="36EF82E9">
            <w:pPr>
              <w:jc w:val="center"/>
              <w:rPr>
                <w:color w:val="000000"/>
                <w:kern w:val="0"/>
                <w:szCs w:val="21"/>
              </w:rPr>
            </w:pPr>
            <w:r>
              <w:rPr>
                <w:color w:val="000000"/>
                <w:kern w:val="0"/>
                <w:szCs w:val="21"/>
              </w:rPr>
              <w:t>0.7437</w:t>
            </w:r>
          </w:p>
        </w:tc>
        <w:tc>
          <w:tcPr>
            <w:tcW w:w="567" w:type="dxa"/>
            <w:noWrap w:val="0"/>
            <w:vAlign w:val="center"/>
          </w:tcPr>
          <w:p w14:paraId="2D338203">
            <w:pPr>
              <w:jc w:val="center"/>
              <w:rPr>
                <w:color w:val="000000"/>
                <w:kern w:val="0"/>
                <w:szCs w:val="21"/>
              </w:rPr>
            </w:pPr>
            <w:r>
              <w:rPr>
                <w:color w:val="000000"/>
                <w:kern w:val="0"/>
                <w:szCs w:val="21"/>
              </w:rPr>
              <w:t>2</w:t>
            </w:r>
          </w:p>
        </w:tc>
        <w:tc>
          <w:tcPr>
            <w:tcW w:w="709" w:type="dxa"/>
            <w:noWrap w:val="0"/>
            <w:vAlign w:val="center"/>
          </w:tcPr>
          <w:p w14:paraId="28DCA29D">
            <w:pPr>
              <w:jc w:val="center"/>
              <w:rPr>
                <w:color w:val="000000"/>
                <w:kern w:val="0"/>
                <w:szCs w:val="21"/>
              </w:rPr>
            </w:pPr>
            <w:r>
              <w:rPr>
                <w:color w:val="000000"/>
                <w:kern w:val="0"/>
                <w:szCs w:val="21"/>
              </w:rPr>
              <w:t>74</w:t>
            </w:r>
          </w:p>
        </w:tc>
        <w:tc>
          <w:tcPr>
            <w:tcW w:w="1274" w:type="dxa"/>
            <w:noWrap w:val="0"/>
            <w:vAlign w:val="center"/>
          </w:tcPr>
          <w:p w14:paraId="0F97C4C4">
            <w:pPr>
              <w:jc w:val="center"/>
              <w:rPr>
                <w:color w:val="000000"/>
                <w:kern w:val="0"/>
                <w:szCs w:val="21"/>
              </w:rPr>
            </w:pPr>
            <w:r>
              <w:rPr>
                <w:rFonts w:hint="eastAsia"/>
                <w:color w:val="000000"/>
                <w:kern w:val="0"/>
                <w:szCs w:val="21"/>
              </w:rPr>
              <w:t>2800</w:t>
            </w:r>
          </w:p>
        </w:tc>
      </w:tr>
      <w:tr w14:paraId="6608C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restart"/>
            <w:noWrap w:val="0"/>
            <w:vAlign w:val="center"/>
          </w:tcPr>
          <w:p w14:paraId="2B8C13F7">
            <w:pPr>
              <w:jc w:val="center"/>
              <w:rPr>
                <w:color w:val="000000"/>
                <w:kern w:val="0"/>
                <w:szCs w:val="21"/>
              </w:rPr>
            </w:pPr>
            <w:r>
              <w:rPr>
                <w:color w:val="000000"/>
                <w:kern w:val="0"/>
                <w:szCs w:val="21"/>
              </w:rPr>
              <w:t>3</w:t>
            </w:r>
          </w:p>
        </w:tc>
        <w:tc>
          <w:tcPr>
            <w:tcW w:w="1134" w:type="dxa"/>
            <w:vMerge w:val="restart"/>
            <w:noWrap w:val="0"/>
            <w:vAlign w:val="center"/>
          </w:tcPr>
          <w:p w14:paraId="39B853B5">
            <w:pPr>
              <w:jc w:val="center"/>
              <w:rPr>
                <w:rFonts w:eastAsia="楷体_GB2312"/>
                <w:color w:val="000000"/>
                <w:kern w:val="0"/>
                <w:szCs w:val="21"/>
              </w:rPr>
            </w:pPr>
            <w:r>
              <w:rPr>
                <w:rFonts w:eastAsia="楷体_GB2312"/>
                <w:color w:val="000000"/>
                <w:kern w:val="0"/>
                <w:szCs w:val="21"/>
              </w:rPr>
              <w:t>蕲县镇</w:t>
            </w:r>
          </w:p>
        </w:tc>
        <w:tc>
          <w:tcPr>
            <w:tcW w:w="873" w:type="dxa"/>
            <w:noWrap w:val="0"/>
            <w:vAlign w:val="center"/>
          </w:tcPr>
          <w:p w14:paraId="1DECE410">
            <w:pPr>
              <w:jc w:val="center"/>
              <w:rPr>
                <w:color w:val="000000"/>
                <w:kern w:val="0"/>
                <w:szCs w:val="21"/>
              </w:rPr>
            </w:pPr>
            <w:r>
              <w:rPr>
                <w:color w:val="000000"/>
                <w:kern w:val="0"/>
                <w:szCs w:val="21"/>
              </w:rPr>
              <w:t>1</w:t>
            </w:r>
          </w:p>
        </w:tc>
        <w:tc>
          <w:tcPr>
            <w:tcW w:w="2813" w:type="dxa"/>
            <w:noWrap w:val="0"/>
            <w:vAlign w:val="center"/>
          </w:tcPr>
          <w:p w14:paraId="1E93B512">
            <w:pPr>
              <w:jc w:val="center"/>
              <w:rPr>
                <w:rFonts w:eastAsia="楷体_GB2312"/>
                <w:color w:val="000000"/>
                <w:kern w:val="0"/>
                <w:szCs w:val="21"/>
              </w:rPr>
            </w:pPr>
            <w:r>
              <w:rPr>
                <w:rFonts w:eastAsia="楷体_GB2312"/>
                <w:color w:val="000000"/>
                <w:kern w:val="0"/>
                <w:szCs w:val="21"/>
              </w:rPr>
              <w:t>祁县镇中心学校</w:t>
            </w:r>
          </w:p>
        </w:tc>
        <w:tc>
          <w:tcPr>
            <w:tcW w:w="850" w:type="dxa"/>
            <w:noWrap w:val="0"/>
            <w:vAlign w:val="center"/>
          </w:tcPr>
          <w:p w14:paraId="23D6DCE1">
            <w:pPr>
              <w:jc w:val="center"/>
              <w:rPr>
                <w:color w:val="000000"/>
                <w:kern w:val="0"/>
                <w:szCs w:val="21"/>
              </w:rPr>
            </w:pPr>
            <w:r>
              <w:rPr>
                <w:color w:val="000000"/>
                <w:kern w:val="0"/>
                <w:szCs w:val="21"/>
              </w:rPr>
              <w:t>1.0000</w:t>
            </w:r>
          </w:p>
        </w:tc>
        <w:tc>
          <w:tcPr>
            <w:tcW w:w="567" w:type="dxa"/>
            <w:noWrap w:val="0"/>
            <w:vAlign w:val="center"/>
          </w:tcPr>
          <w:p w14:paraId="44BB766B">
            <w:pPr>
              <w:jc w:val="center"/>
              <w:rPr>
                <w:color w:val="000000"/>
                <w:kern w:val="0"/>
                <w:szCs w:val="21"/>
              </w:rPr>
            </w:pPr>
            <w:r>
              <w:rPr>
                <w:color w:val="000000"/>
                <w:kern w:val="0"/>
                <w:szCs w:val="21"/>
              </w:rPr>
              <w:t>1</w:t>
            </w:r>
          </w:p>
        </w:tc>
        <w:tc>
          <w:tcPr>
            <w:tcW w:w="709" w:type="dxa"/>
            <w:noWrap w:val="0"/>
            <w:vAlign w:val="center"/>
          </w:tcPr>
          <w:p w14:paraId="13BCABC1">
            <w:pPr>
              <w:jc w:val="center"/>
              <w:rPr>
                <w:color w:val="000000"/>
                <w:kern w:val="0"/>
                <w:szCs w:val="21"/>
              </w:rPr>
            </w:pPr>
            <w:r>
              <w:rPr>
                <w:color w:val="000000"/>
                <w:kern w:val="0"/>
                <w:szCs w:val="21"/>
              </w:rPr>
              <w:t>100</w:t>
            </w:r>
          </w:p>
        </w:tc>
        <w:tc>
          <w:tcPr>
            <w:tcW w:w="1274" w:type="dxa"/>
            <w:noWrap w:val="0"/>
            <w:vAlign w:val="center"/>
          </w:tcPr>
          <w:p w14:paraId="2E8D6D06">
            <w:pPr>
              <w:jc w:val="center"/>
              <w:rPr>
                <w:color w:val="000000"/>
                <w:kern w:val="0"/>
                <w:szCs w:val="21"/>
              </w:rPr>
            </w:pPr>
            <w:r>
              <w:rPr>
                <w:rFonts w:hint="eastAsia"/>
                <w:color w:val="000000"/>
                <w:kern w:val="0"/>
                <w:szCs w:val="21"/>
              </w:rPr>
              <w:t>2400</w:t>
            </w:r>
          </w:p>
        </w:tc>
      </w:tr>
      <w:tr w14:paraId="32664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continue"/>
            <w:noWrap w:val="0"/>
            <w:vAlign w:val="center"/>
          </w:tcPr>
          <w:p w14:paraId="5251BB23">
            <w:pPr>
              <w:jc w:val="center"/>
              <w:rPr>
                <w:color w:val="000000"/>
                <w:kern w:val="0"/>
                <w:szCs w:val="21"/>
              </w:rPr>
            </w:pPr>
          </w:p>
        </w:tc>
        <w:tc>
          <w:tcPr>
            <w:tcW w:w="1134" w:type="dxa"/>
            <w:vMerge w:val="continue"/>
            <w:noWrap w:val="0"/>
            <w:vAlign w:val="center"/>
          </w:tcPr>
          <w:p w14:paraId="07186C8E">
            <w:pPr>
              <w:jc w:val="center"/>
              <w:rPr>
                <w:rFonts w:eastAsia="楷体_GB2312"/>
                <w:color w:val="000000"/>
                <w:kern w:val="0"/>
                <w:szCs w:val="21"/>
              </w:rPr>
            </w:pPr>
          </w:p>
        </w:tc>
        <w:tc>
          <w:tcPr>
            <w:tcW w:w="873" w:type="dxa"/>
            <w:noWrap w:val="0"/>
            <w:vAlign w:val="center"/>
          </w:tcPr>
          <w:p w14:paraId="472234B7">
            <w:pPr>
              <w:jc w:val="center"/>
              <w:rPr>
                <w:color w:val="000000"/>
                <w:kern w:val="0"/>
                <w:szCs w:val="21"/>
              </w:rPr>
            </w:pPr>
            <w:r>
              <w:rPr>
                <w:color w:val="000000"/>
                <w:kern w:val="0"/>
                <w:szCs w:val="21"/>
              </w:rPr>
              <w:t>2</w:t>
            </w:r>
          </w:p>
        </w:tc>
        <w:tc>
          <w:tcPr>
            <w:tcW w:w="2813" w:type="dxa"/>
            <w:noWrap w:val="0"/>
            <w:vAlign w:val="center"/>
          </w:tcPr>
          <w:p w14:paraId="0B8695A5">
            <w:pPr>
              <w:jc w:val="center"/>
              <w:rPr>
                <w:rFonts w:eastAsia="楷体_GB2312"/>
                <w:color w:val="000000"/>
                <w:kern w:val="0"/>
                <w:szCs w:val="21"/>
              </w:rPr>
            </w:pPr>
            <w:r>
              <w:rPr>
                <w:rFonts w:eastAsia="楷体_GB2312"/>
                <w:color w:val="000000"/>
                <w:kern w:val="0"/>
                <w:szCs w:val="21"/>
              </w:rPr>
              <w:t>祁南矿学校</w:t>
            </w:r>
          </w:p>
        </w:tc>
        <w:tc>
          <w:tcPr>
            <w:tcW w:w="850" w:type="dxa"/>
            <w:noWrap w:val="0"/>
            <w:vAlign w:val="center"/>
          </w:tcPr>
          <w:p w14:paraId="7730D836">
            <w:pPr>
              <w:jc w:val="center"/>
              <w:rPr>
                <w:color w:val="000000"/>
                <w:kern w:val="0"/>
                <w:szCs w:val="21"/>
              </w:rPr>
            </w:pPr>
            <w:r>
              <w:rPr>
                <w:color w:val="000000"/>
                <w:kern w:val="0"/>
                <w:szCs w:val="21"/>
              </w:rPr>
              <w:t>0.5815</w:t>
            </w:r>
          </w:p>
        </w:tc>
        <w:tc>
          <w:tcPr>
            <w:tcW w:w="567" w:type="dxa"/>
            <w:noWrap w:val="0"/>
            <w:vAlign w:val="center"/>
          </w:tcPr>
          <w:p w14:paraId="2568EE31">
            <w:pPr>
              <w:jc w:val="center"/>
              <w:rPr>
                <w:color w:val="000000"/>
                <w:kern w:val="0"/>
                <w:szCs w:val="21"/>
              </w:rPr>
            </w:pPr>
            <w:r>
              <w:rPr>
                <w:color w:val="000000"/>
                <w:kern w:val="0"/>
                <w:szCs w:val="21"/>
              </w:rPr>
              <w:t>2</w:t>
            </w:r>
          </w:p>
        </w:tc>
        <w:tc>
          <w:tcPr>
            <w:tcW w:w="709" w:type="dxa"/>
            <w:noWrap w:val="0"/>
            <w:vAlign w:val="center"/>
          </w:tcPr>
          <w:p w14:paraId="7DCD71E4">
            <w:pPr>
              <w:jc w:val="center"/>
              <w:rPr>
                <w:color w:val="000000"/>
                <w:kern w:val="0"/>
                <w:szCs w:val="21"/>
              </w:rPr>
            </w:pPr>
            <w:r>
              <w:rPr>
                <w:color w:val="000000"/>
                <w:kern w:val="0"/>
                <w:szCs w:val="21"/>
              </w:rPr>
              <w:t>58</w:t>
            </w:r>
          </w:p>
        </w:tc>
        <w:tc>
          <w:tcPr>
            <w:tcW w:w="1274" w:type="dxa"/>
            <w:noWrap w:val="0"/>
            <w:vAlign w:val="center"/>
          </w:tcPr>
          <w:p w14:paraId="2F11A032">
            <w:pPr>
              <w:jc w:val="center"/>
              <w:rPr>
                <w:color w:val="000000"/>
                <w:kern w:val="0"/>
                <w:szCs w:val="21"/>
              </w:rPr>
            </w:pPr>
            <w:r>
              <w:rPr>
                <w:rFonts w:hint="eastAsia"/>
                <w:color w:val="000000"/>
                <w:kern w:val="0"/>
                <w:szCs w:val="21"/>
              </w:rPr>
              <w:t>2200</w:t>
            </w:r>
          </w:p>
        </w:tc>
      </w:tr>
      <w:tr w14:paraId="1E786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restart"/>
            <w:noWrap w:val="0"/>
            <w:vAlign w:val="center"/>
          </w:tcPr>
          <w:p w14:paraId="3DCAB849">
            <w:pPr>
              <w:jc w:val="center"/>
              <w:rPr>
                <w:color w:val="000000"/>
                <w:kern w:val="0"/>
                <w:szCs w:val="21"/>
              </w:rPr>
            </w:pPr>
            <w:r>
              <w:rPr>
                <w:color w:val="000000"/>
                <w:kern w:val="0"/>
                <w:szCs w:val="21"/>
              </w:rPr>
              <w:t>4</w:t>
            </w:r>
          </w:p>
        </w:tc>
        <w:tc>
          <w:tcPr>
            <w:tcW w:w="1134" w:type="dxa"/>
            <w:vMerge w:val="restart"/>
            <w:noWrap w:val="0"/>
            <w:vAlign w:val="center"/>
          </w:tcPr>
          <w:p w14:paraId="6F562015">
            <w:pPr>
              <w:jc w:val="center"/>
              <w:rPr>
                <w:rFonts w:eastAsia="楷体_GB2312"/>
                <w:color w:val="000000"/>
                <w:kern w:val="0"/>
                <w:szCs w:val="21"/>
              </w:rPr>
            </w:pPr>
            <w:r>
              <w:rPr>
                <w:rFonts w:eastAsia="楷体_GB2312"/>
                <w:color w:val="000000"/>
                <w:kern w:val="0"/>
                <w:szCs w:val="21"/>
              </w:rPr>
              <w:t>芦岭镇</w:t>
            </w:r>
          </w:p>
        </w:tc>
        <w:tc>
          <w:tcPr>
            <w:tcW w:w="873" w:type="dxa"/>
            <w:noWrap w:val="0"/>
            <w:vAlign w:val="center"/>
          </w:tcPr>
          <w:p w14:paraId="357C25F3">
            <w:pPr>
              <w:jc w:val="center"/>
              <w:rPr>
                <w:color w:val="000000"/>
                <w:kern w:val="0"/>
                <w:szCs w:val="21"/>
              </w:rPr>
            </w:pPr>
            <w:r>
              <w:rPr>
                <w:color w:val="000000"/>
                <w:kern w:val="0"/>
                <w:szCs w:val="21"/>
              </w:rPr>
              <w:t>1</w:t>
            </w:r>
          </w:p>
        </w:tc>
        <w:tc>
          <w:tcPr>
            <w:tcW w:w="2813" w:type="dxa"/>
            <w:noWrap w:val="0"/>
            <w:vAlign w:val="center"/>
          </w:tcPr>
          <w:p w14:paraId="49E18D6B">
            <w:pPr>
              <w:jc w:val="center"/>
              <w:rPr>
                <w:rFonts w:eastAsia="楷体_GB2312"/>
                <w:color w:val="000000"/>
                <w:kern w:val="0"/>
                <w:szCs w:val="21"/>
              </w:rPr>
            </w:pPr>
            <w:r>
              <w:rPr>
                <w:rFonts w:eastAsia="楷体_GB2312"/>
                <w:color w:val="000000"/>
                <w:kern w:val="0"/>
                <w:szCs w:val="21"/>
              </w:rPr>
              <w:t>芦岭矿小学</w:t>
            </w:r>
          </w:p>
        </w:tc>
        <w:tc>
          <w:tcPr>
            <w:tcW w:w="850" w:type="dxa"/>
            <w:noWrap w:val="0"/>
            <w:vAlign w:val="center"/>
          </w:tcPr>
          <w:p w14:paraId="4FB91407">
            <w:pPr>
              <w:jc w:val="center"/>
              <w:rPr>
                <w:color w:val="000000"/>
                <w:kern w:val="0"/>
                <w:szCs w:val="21"/>
              </w:rPr>
            </w:pPr>
            <w:r>
              <w:rPr>
                <w:color w:val="000000"/>
                <w:kern w:val="0"/>
                <w:szCs w:val="21"/>
              </w:rPr>
              <w:t>1.0000</w:t>
            </w:r>
          </w:p>
        </w:tc>
        <w:tc>
          <w:tcPr>
            <w:tcW w:w="567" w:type="dxa"/>
            <w:noWrap w:val="0"/>
            <w:vAlign w:val="center"/>
          </w:tcPr>
          <w:p w14:paraId="78F78A3F">
            <w:pPr>
              <w:jc w:val="center"/>
              <w:rPr>
                <w:color w:val="000000"/>
                <w:kern w:val="0"/>
                <w:szCs w:val="21"/>
              </w:rPr>
            </w:pPr>
            <w:r>
              <w:rPr>
                <w:color w:val="000000"/>
                <w:kern w:val="0"/>
                <w:szCs w:val="21"/>
              </w:rPr>
              <w:t>1</w:t>
            </w:r>
          </w:p>
        </w:tc>
        <w:tc>
          <w:tcPr>
            <w:tcW w:w="709" w:type="dxa"/>
            <w:noWrap w:val="0"/>
            <w:vAlign w:val="center"/>
          </w:tcPr>
          <w:p w14:paraId="7358BECD">
            <w:pPr>
              <w:jc w:val="center"/>
              <w:rPr>
                <w:color w:val="000000"/>
                <w:kern w:val="0"/>
                <w:szCs w:val="21"/>
              </w:rPr>
            </w:pPr>
            <w:r>
              <w:rPr>
                <w:color w:val="000000"/>
                <w:kern w:val="0"/>
                <w:szCs w:val="21"/>
              </w:rPr>
              <w:t>100</w:t>
            </w:r>
          </w:p>
        </w:tc>
        <w:tc>
          <w:tcPr>
            <w:tcW w:w="1274" w:type="dxa"/>
            <w:noWrap w:val="0"/>
            <w:vAlign w:val="center"/>
          </w:tcPr>
          <w:p w14:paraId="414B4E5E">
            <w:pPr>
              <w:jc w:val="center"/>
              <w:rPr>
                <w:color w:val="000000"/>
                <w:kern w:val="0"/>
                <w:szCs w:val="21"/>
              </w:rPr>
            </w:pPr>
            <w:r>
              <w:rPr>
                <w:rFonts w:hint="eastAsia"/>
                <w:color w:val="000000"/>
                <w:kern w:val="0"/>
                <w:szCs w:val="21"/>
              </w:rPr>
              <w:t>2000</w:t>
            </w:r>
          </w:p>
        </w:tc>
      </w:tr>
      <w:tr w14:paraId="6279E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continue"/>
            <w:noWrap w:val="0"/>
            <w:vAlign w:val="center"/>
          </w:tcPr>
          <w:p w14:paraId="76713E3B">
            <w:pPr>
              <w:jc w:val="center"/>
              <w:rPr>
                <w:color w:val="000000"/>
                <w:kern w:val="0"/>
                <w:szCs w:val="21"/>
              </w:rPr>
            </w:pPr>
          </w:p>
        </w:tc>
        <w:tc>
          <w:tcPr>
            <w:tcW w:w="1134" w:type="dxa"/>
            <w:vMerge w:val="continue"/>
            <w:noWrap w:val="0"/>
            <w:vAlign w:val="center"/>
          </w:tcPr>
          <w:p w14:paraId="2616BDB3">
            <w:pPr>
              <w:jc w:val="center"/>
              <w:rPr>
                <w:rFonts w:eastAsia="楷体_GB2312"/>
                <w:color w:val="000000"/>
                <w:kern w:val="0"/>
                <w:szCs w:val="21"/>
              </w:rPr>
            </w:pPr>
          </w:p>
        </w:tc>
        <w:tc>
          <w:tcPr>
            <w:tcW w:w="873" w:type="dxa"/>
            <w:noWrap w:val="0"/>
            <w:vAlign w:val="center"/>
          </w:tcPr>
          <w:p w14:paraId="3D56BEAA">
            <w:pPr>
              <w:jc w:val="center"/>
              <w:rPr>
                <w:color w:val="000000"/>
                <w:kern w:val="0"/>
                <w:szCs w:val="21"/>
              </w:rPr>
            </w:pPr>
            <w:r>
              <w:rPr>
                <w:color w:val="000000"/>
                <w:kern w:val="0"/>
                <w:szCs w:val="21"/>
              </w:rPr>
              <w:t>2</w:t>
            </w:r>
          </w:p>
        </w:tc>
        <w:tc>
          <w:tcPr>
            <w:tcW w:w="2813" w:type="dxa"/>
            <w:noWrap w:val="0"/>
            <w:vAlign w:val="center"/>
          </w:tcPr>
          <w:p w14:paraId="6562E1A9">
            <w:pPr>
              <w:jc w:val="center"/>
              <w:rPr>
                <w:rFonts w:eastAsia="楷体_GB2312"/>
                <w:color w:val="000000"/>
                <w:kern w:val="0"/>
                <w:szCs w:val="21"/>
              </w:rPr>
            </w:pPr>
            <w:r>
              <w:rPr>
                <w:rFonts w:eastAsia="楷体_GB2312"/>
                <w:color w:val="000000"/>
                <w:kern w:val="0"/>
                <w:szCs w:val="21"/>
              </w:rPr>
              <w:t>芦岭镇中心小学</w:t>
            </w:r>
          </w:p>
        </w:tc>
        <w:tc>
          <w:tcPr>
            <w:tcW w:w="850" w:type="dxa"/>
            <w:noWrap/>
            <w:vAlign w:val="center"/>
          </w:tcPr>
          <w:p w14:paraId="33E92E47">
            <w:pPr>
              <w:jc w:val="center"/>
              <w:rPr>
                <w:color w:val="000000"/>
                <w:kern w:val="0"/>
                <w:sz w:val="22"/>
                <w:szCs w:val="22"/>
              </w:rPr>
            </w:pPr>
            <w:r>
              <w:rPr>
                <w:color w:val="000000"/>
                <w:kern w:val="0"/>
                <w:sz w:val="22"/>
                <w:szCs w:val="22"/>
              </w:rPr>
              <w:t>0.7608</w:t>
            </w:r>
          </w:p>
        </w:tc>
        <w:tc>
          <w:tcPr>
            <w:tcW w:w="567" w:type="dxa"/>
            <w:noWrap/>
            <w:vAlign w:val="center"/>
          </w:tcPr>
          <w:p w14:paraId="35A8D83B">
            <w:pPr>
              <w:jc w:val="center"/>
              <w:rPr>
                <w:color w:val="000000"/>
                <w:kern w:val="0"/>
                <w:sz w:val="22"/>
                <w:szCs w:val="22"/>
              </w:rPr>
            </w:pPr>
            <w:r>
              <w:rPr>
                <w:color w:val="000000"/>
                <w:kern w:val="0"/>
                <w:sz w:val="22"/>
                <w:szCs w:val="22"/>
              </w:rPr>
              <w:t>2</w:t>
            </w:r>
          </w:p>
        </w:tc>
        <w:tc>
          <w:tcPr>
            <w:tcW w:w="709" w:type="dxa"/>
            <w:noWrap w:val="0"/>
            <w:vAlign w:val="center"/>
          </w:tcPr>
          <w:p w14:paraId="622CB2EF">
            <w:pPr>
              <w:jc w:val="center"/>
              <w:rPr>
                <w:color w:val="000000"/>
                <w:kern w:val="0"/>
                <w:szCs w:val="21"/>
              </w:rPr>
            </w:pPr>
            <w:r>
              <w:rPr>
                <w:color w:val="000000"/>
                <w:kern w:val="0"/>
                <w:szCs w:val="21"/>
              </w:rPr>
              <w:t>76</w:t>
            </w:r>
          </w:p>
        </w:tc>
        <w:tc>
          <w:tcPr>
            <w:tcW w:w="1274" w:type="dxa"/>
            <w:noWrap/>
            <w:vAlign w:val="center"/>
          </w:tcPr>
          <w:p w14:paraId="6485DDFC">
            <w:pPr>
              <w:jc w:val="center"/>
              <w:rPr>
                <w:color w:val="000000"/>
                <w:kern w:val="0"/>
                <w:sz w:val="22"/>
                <w:szCs w:val="22"/>
              </w:rPr>
            </w:pPr>
            <w:r>
              <w:rPr>
                <w:rFonts w:hint="eastAsia"/>
                <w:color w:val="000000"/>
                <w:kern w:val="0"/>
                <w:sz w:val="22"/>
                <w:szCs w:val="22"/>
              </w:rPr>
              <w:t>1800</w:t>
            </w:r>
          </w:p>
        </w:tc>
      </w:tr>
      <w:tr w14:paraId="065F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continue"/>
            <w:noWrap w:val="0"/>
            <w:vAlign w:val="center"/>
          </w:tcPr>
          <w:p w14:paraId="5A58F779">
            <w:pPr>
              <w:jc w:val="center"/>
              <w:rPr>
                <w:color w:val="000000"/>
                <w:kern w:val="0"/>
                <w:szCs w:val="21"/>
              </w:rPr>
            </w:pPr>
          </w:p>
        </w:tc>
        <w:tc>
          <w:tcPr>
            <w:tcW w:w="1134" w:type="dxa"/>
            <w:vMerge w:val="continue"/>
            <w:noWrap w:val="0"/>
            <w:vAlign w:val="center"/>
          </w:tcPr>
          <w:p w14:paraId="5402C0E9">
            <w:pPr>
              <w:jc w:val="center"/>
              <w:rPr>
                <w:rFonts w:eastAsia="楷体_GB2312"/>
                <w:color w:val="000000"/>
                <w:kern w:val="0"/>
                <w:szCs w:val="21"/>
              </w:rPr>
            </w:pPr>
          </w:p>
        </w:tc>
        <w:tc>
          <w:tcPr>
            <w:tcW w:w="873" w:type="dxa"/>
            <w:noWrap w:val="0"/>
            <w:vAlign w:val="center"/>
          </w:tcPr>
          <w:p w14:paraId="15596C03">
            <w:pPr>
              <w:jc w:val="center"/>
              <w:rPr>
                <w:color w:val="000000"/>
                <w:kern w:val="0"/>
                <w:szCs w:val="21"/>
              </w:rPr>
            </w:pPr>
            <w:r>
              <w:rPr>
                <w:color w:val="000000"/>
                <w:kern w:val="0"/>
                <w:szCs w:val="21"/>
              </w:rPr>
              <w:t>3</w:t>
            </w:r>
          </w:p>
        </w:tc>
        <w:tc>
          <w:tcPr>
            <w:tcW w:w="2813" w:type="dxa"/>
            <w:noWrap w:val="0"/>
            <w:vAlign w:val="center"/>
          </w:tcPr>
          <w:p w14:paraId="40973008">
            <w:pPr>
              <w:jc w:val="center"/>
              <w:rPr>
                <w:rFonts w:eastAsia="楷体_GB2312"/>
                <w:color w:val="000000"/>
                <w:kern w:val="0"/>
                <w:szCs w:val="21"/>
              </w:rPr>
            </w:pPr>
            <w:r>
              <w:rPr>
                <w:rFonts w:eastAsia="楷体_GB2312"/>
                <w:color w:val="000000"/>
                <w:kern w:val="0"/>
                <w:szCs w:val="21"/>
              </w:rPr>
              <w:t>王老庄小学</w:t>
            </w:r>
          </w:p>
        </w:tc>
        <w:tc>
          <w:tcPr>
            <w:tcW w:w="850" w:type="dxa"/>
            <w:noWrap/>
            <w:vAlign w:val="center"/>
          </w:tcPr>
          <w:p w14:paraId="223646DB">
            <w:pPr>
              <w:jc w:val="center"/>
              <w:rPr>
                <w:color w:val="000000"/>
                <w:kern w:val="0"/>
                <w:sz w:val="22"/>
                <w:szCs w:val="22"/>
              </w:rPr>
            </w:pPr>
            <w:r>
              <w:rPr>
                <w:color w:val="000000"/>
                <w:kern w:val="0"/>
                <w:sz w:val="22"/>
                <w:szCs w:val="22"/>
              </w:rPr>
              <w:t>0.0326</w:t>
            </w:r>
          </w:p>
        </w:tc>
        <w:tc>
          <w:tcPr>
            <w:tcW w:w="567" w:type="dxa"/>
            <w:noWrap/>
            <w:vAlign w:val="center"/>
          </w:tcPr>
          <w:p w14:paraId="75C964D2">
            <w:pPr>
              <w:jc w:val="center"/>
              <w:rPr>
                <w:color w:val="000000"/>
                <w:kern w:val="0"/>
                <w:sz w:val="22"/>
                <w:szCs w:val="22"/>
              </w:rPr>
            </w:pPr>
            <w:r>
              <w:rPr>
                <w:color w:val="000000"/>
                <w:kern w:val="0"/>
                <w:sz w:val="22"/>
                <w:szCs w:val="22"/>
              </w:rPr>
              <w:t>3</w:t>
            </w:r>
          </w:p>
        </w:tc>
        <w:tc>
          <w:tcPr>
            <w:tcW w:w="709" w:type="dxa"/>
            <w:noWrap w:val="0"/>
            <w:vAlign w:val="center"/>
          </w:tcPr>
          <w:p w14:paraId="78C044EA">
            <w:pPr>
              <w:jc w:val="center"/>
              <w:rPr>
                <w:color w:val="000000"/>
                <w:kern w:val="0"/>
                <w:szCs w:val="21"/>
              </w:rPr>
            </w:pPr>
            <w:r>
              <w:rPr>
                <w:color w:val="000000"/>
                <w:kern w:val="0"/>
                <w:szCs w:val="21"/>
              </w:rPr>
              <w:t>3</w:t>
            </w:r>
          </w:p>
        </w:tc>
        <w:tc>
          <w:tcPr>
            <w:tcW w:w="1274" w:type="dxa"/>
            <w:noWrap/>
            <w:vAlign w:val="center"/>
          </w:tcPr>
          <w:p w14:paraId="2E238E5F">
            <w:pPr>
              <w:jc w:val="center"/>
              <w:rPr>
                <w:color w:val="000000"/>
                <w:kern w:val="0"/>
                <w:sz w:val="22"/>
                <w:szCs w:val="22"/>
              </w:rPr>
            </w:pPr>
            <w:r>
              <w:rPr>
                <w:rFonts w:hint="eastAsia"/>
                <w:color w:val="000000"/>
                <w:kern w:val="0"/>
                <w:sz w:val="22"/>
                <w:szCs w:val="22"/>
              </w:rPr>
              <w:t>1600</w:t>
            </w:r>
          </w:p>
        </w:tc>
      </w:tr>
      <w:tr w14:paraId="24251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448EAE37">
            <w:pPr>
              <w:jc w:val="center"/>
              <w:rPr>
                <w:color w:val="000000"/>
                <w:kern w:val="0"/>
                <w:szCs w:val="21"/>
              </w:rPr>
            </w:pPr>
            <w:r>
              <w:rPr>
                <w:color w:val="000000"/>
                <w:kern w:val="0"/>
                <w:szCs w:val="21"/>
              </w:rPr>
              <w:t>5</w:t>
            </w:r>
          </w:p>
        </w:tc>
        <w:tc>
          <w:tcPr>
            <w:tcW w:w="1134" w:type="dxa"/>
            <w:noWrap w:val="0"/>
            <w:vAlign w:val="center"/>
          </w:tcPr>
          <w:p w14:paraId="068BA450">
            <w:pPr>
              <w:jc w:val="center"/>
              <w:rPr>
                <w:rFonts w:eastAsia="楷体_GB2312"/>
                <w:color w:val="000000"/>
                <w:kern w:val="0"/>
                <w:szCs w:val="21"/>
              </w:rPr>
            </w:pPr>
            <w:r>
              <w:rPr>
                <w:rFonts w:eastAsia="楷体_GB2312"/>
                <w:color w:val="000000"/>
                <w:kern w:val="0"/>
                <w:szCs w:val="21"/>
              </w:rPr>
              <w:t>大店镇</w:t>
            </w:r>
          </w:p>
        </w:tc>
        <w:tc>
          <w:tcPr>
            <w:tcW w:w="873" w:type="dxa"/>
            <w:noWrap w:val="0"/>
            <w:vAlign w:val="center"/>
          </w:tcPr>
          <w:p w14:paraId="0072157F">
            <w:pPr>
              <w:jc w:val="center"/>
              <w:rPr>
                <w:color w:val="000000"/>
                <w:kern w:val="0"/>
                <w:szCs w:val="21"/>
              </w:rPr>
            </w:pPr>
            <w:r>
              <w:rPr>
                <w:color w:val="000000"/>
                <w:kern w:val="0"/>
                <w:szCs w:val="21"/>
              </w:rPr>
              <w:t>1</w:t>
            </w:r>
          </w:p>
        </w:tc>
        <w:tc>
          <w:tcPr>
            <w:tcW w:w="2813" w:type="dxa"/>
            <w:noWrap w:val="0"/>
            <w:vAlign w:val="center"/>
          </w:tcPr>
          <w:p w14:paraId="0EC765F7">
            <w:pPr>
              <w:jc w:val="center"/>
              <w:rPr>
                <w:rFonts w:eastAsia="楷体_GB2312"/>
                <w:color w:val="000000"/>
                <w:kern w:val="0"/>
                <w:szCs w:val="21"/>
              </w:rPr>
            </w:pPr>
            <w:r>
              <w:rPr>
                <w:rFonts w:eastAsia="楷体_GB2312"/>
                <w:color w:val="000000"/>
                <w:kern w:val="0"/>
                <w:szCs w:val="21"/>
              </w:rPr>
              <w:t>大店镇中心学校</w:t>
            </w:r>
          </w:p>
        </w:tc>
        <w:tc>
          <w:tcPr>
            <w:tcW w:w="850" w:type="dxa"/>
            <w:noWrap/>
            <w:vAlign w:val="center"/>
          </w:tcPr>
          <w:p w14:paraId="332912A8">
            <w:pPr>
              <w:jc w:val="center"/>
              <w:rPr>
                <w:color w:val="000000"/>
                <w:kern w:val="0"/>
                <w:sz w:val="22"/>
                <w:szCs w:val="22"/>
              </w:rPr>
            </w:pPr>
            <w:r>
              <w:rPr>
                <w:color w:val="000000"/>
                <w:kern w:val="0"/>
                <w:sz w:val="22"/>
                <w:szCs w:val="22"/>
              </w:rPr>
              <w:t>1.0000</w:t>
            </w:r>
          </w:p>
        </w:tc>
        <w:tc>
          <w:tcPr>
            <w:tcW w:w="567" w:type="dxa"/>
            <w:noWrap/>
            <w:vAlign w:val="center"/>
          </w:tcPr>
          <w:p w14:paraId="158AE9DF">
            <w:pPr>
              <w:jc w:val="center"/>
              <w:rPr>
                <w:color w:val="000000"/>
                <w:kern w:val="0"/>
                <w:sz w:val="22"/>
                <w:szCs w:val="22"/>
              </w:rPr>
            </w:pPr>
            <w:r>
              <w:rPr>
                <w:color w:val="000000"/>
                <w:kern w:val="0"/>
                <w:sz w:val="22"/>
                <w:szCs w:val="22"/>
              </w:rPr>
              <w:t>1</w:t>
            </w:r>
          </w:p>
        </w:tc>
        <w:tc>
          <w:tcPr>
            <w:tcW w:w="709" w:type="dxa"/>
            <w:noWrap w:val="0"/>
            <w:vAlign w:val="center"/>
          </w:tcPr>
          <w:p w14:paraId="165F3BB9">
            <w:pPr>
              <w:jc w:val="center"/>
              <w:rPr>
                <w:color w:val="000000"/>
                <w:kern w:val="0"/>
                <w:szCs w:val="21"/>
              </w:rPr>
            </w:pPr>
            <w:r>
              <w:rPr>
                <w:color w:val="000000"/>
                <w:kern w:val="0"/>
                <w:szCs w:val="21"/>
              </w:rPr>
              <w:t>100</w:t>
            </w:r>
          </w:p>
        </w:tc>
        <w:tc>
          <w:tcPr>
            <w:tcW w:w="1274" w:type="dxa"/>
            <w:noWrap/>
            <w:vAlign w:val="center"/>
          </w:tcPr>
          <w:p w14:paraId="7042ABB4">
            <w:pPr>
              <w:jc w:val="center"/>
              <w:rPr>
                <w:color w:val="000000"/>
                <w:kern w:val="0"/>
                <w:sz w:val="22"/>
                <w:szCs w:val="22"/>
              </w:rPr>
            </w:pPr>
            <w:r>
              <w:rPr>
                <w:rFonts w:hint="eastAsia"/>
                <w:color w:val="000000"/>
                <w:kern w:val="0"/>
                <w:sz w:val="22"/>
                <w:szCs w:val="22"/>
              </w:rPr>
              <w:t>1700</w:t>
            </w:r>
          </w:p>
        </w:tc>
      </w:tr>
      <w:tr w14:paraId="6A6E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797F7165">
            <w:pPr>
              <w:jc w:val="center"/>
              <w:rPr>
                <w:color w:val="000000"/>
                <w:kern w:val="0"/>
                <w:szCs w:val="21"/>
              </w:rPr>
            </w:pPr>
            <w:r>
              <w:rPr>
                <w:color w:val="000000"/>
                <w:kern w:val="0"/>
                <w:szCs w:val="21"/>
              </w:rPr>
              <w:t>6</w:t>
            </w:r>
          </w:p>
        </w:tc>
        <w:tc>
          <w:tcPr>
            <w:tcW w:w="1134" w:type="dxa"/>
            <w:noWrap w:val="0"/>
            <w:vAlign w:val="center"/>
          </w:tcPr>
          <w:p w14:paraId="3FFF58C6">
            <w:pPr>
              <w:jc w:val="center"/>
              <w:rPr>
                <w:rFonts w:eastAsia="楷体_GB2312"/>
                <w:color w:val="000000"/>
                <w:kern w:val="0"/>
                <w:szCs w:val="21"/>
              </w:rPr>
            </w:pPr>
            <w:r>
              <w:rPr>
                <w:rFonts w:eastAsia="楷体_GB2312"/>
                <w:color w:val="000000"/>
                <w:kern w:val="0"/>
                <w:szCs w:val="21"/>
              </w:rPr>
              <w:t>栏杆镇</w:t>
            </w:r>
          </w:p>
        </w:tc>
        <w:tc>
          <w:tcPr>
            <w:tcW w:w="873" w:type="dxa"/>
            <w:noWrap w:val="0"/>
            <w:vAlign w:val="center"/>
          </w:tcPr>
          <w:p w14:paraId="409BC8AB">
            <w:pPr>
              <w:jc w:val="center"/>
              <w:rPr>
                <w:color w:val="000000"/>
                <w:kern w:val="0"/>
                <w:szCs w:val="21"/>
              </w:rPr>
            </w:pPr>
            <w:r>
              <w:rPr>
                <w:color w:val="000000"/>
                <w:kern w:val="0"/>
                <w:szCs w:val="21"/>
              </w:rPr>
              <w:t>1</w:t>
            </w:r>
          </w:p>
        </w:tc>
        <w:tc>
          <w:tcPr>
            <w:tcW w:w="2813" w:type="dxa"/>
            <w:noWrap w:val="0"/>
            <w:vAlign w:val="center"/>
          </w:tcPr>
          <w:p w14:paraId="1ED82632">
            <w:pPr>
              <w:jc w:val="center"/>
              <w:rPr>
                <w:rFonts w:eastAsia="楷体_GB2312"/>
                <w:color w:val="000000"/>
                <w:kern w:val="0"/>
                <w:szCs w:val="21"/>
              </w:rPr>
            </w:pPr>
            <w:r>
              <w:rPr>
                <w:rFonts w:eastAsia="楷体_GB2312"/>
                <w:color w:val="000000"/>
                <w:kern w:val="0"/>
                <w:szCs w:val="21"/>
              </w:rPr>
              <w:t>栏杆中心小学</w:t>
            </w:r>
          </w:p>
        </w:tc>
        <w:tc>
          <w:tcPr>
            <w:tcW w:w="850" w:type="dxa"/>
            <w:noWrap/>
            <w:vAlign w:val="center"/>
          </w:tcPr>
          <w:p w14:paraId="224CE331">
            <w:pPr>
              <w:jc w:val="center"/>
              <w:rPr>
                <w:color w:val="000000"/>
                <w:kern w:val="0"/>
                <w:sz w:val="22"/>
                <w:szCs w:val="22"/>
              </w:rPr>
            </w:pPr>
            <w:r>
              <w:rPr>
                <w:color w:val="000000"/>
                <w:kern w:val="0"/>
                <w:sz w:val="22"/>
                <w:szCs w:val="22"/>
              </w:rPr>
              <w:t>1.0000</w:t>
            </w:r>
          </w:p>
        </w:tc>
        <w:tc>
          <w:tcPr>
            <w:tcW w:w="567" w:type="dxa"/>
            <w:noWrap/>
            <w:vAlign w:val="center"/>
          </w:tcPr>
          <w:p w14:paraId="62EEB40C">
            <w:pPr>
              <w:jc w:val="center"/>
              <w:rPr>
                <w:color w:val="000000"/>
                <w:kern w:val="0"/>
                <w:sz w:val="22"/>
                <w:szCs w:val="22"/>
              </w:rPr>
            </w:pPr>
            <w:r>
              <w:rPr>
                <w:color w:val="000000"/>
                <w:kern w:val="0"/>
                <w:sz w:val="22"/>
                <w:szCs w:val="22"/>
              </w:rPr>
              <w:t>1</w:t>
            </w:r>
          </w:p>
        </w:tc>
        <w:tc>
          <w:tcPr>
            <w:tcW w:w="709" w:type="dxa"/>
            <w:noWrap w:val="0"/>
            <w:vAlign w:val="center"/>
          </w:tcPr>
          <w:p w14:paraId="60092D2F">
            <w:pPr>
              <w:jc w:val="center"/>
              <w:rPr>
                <w:color w:val="000000"/>
                <w:kern w:val="0"/>
                <w:szCs w:val="21"/>
              </w:rPr>
            </w:pPr>
            <w:r>
              <w:rPr>
                <w:color w:val="000000"/>
                <w:kern w:val="0"/>
                <w:szCs w:val="21"/>
              </w:rPr>
              <w:t>100</w:t>
            </w:r>
          </w:p>
        </w:tc>
        <w:tc>
          <w:tcPr>
            <w:tcW w:w="1274" w:type="dxa"/>
            <w:noWrap/>
            <w:vAlign w:val="center"/>
          </w:tcPr>
          <w:p w14:paraId="2F907871">
            <w:pPr>
              <w:jc w:val="center"/>
              <w:rPr>
                <w:color w:val="000000"/>
                <w:kern w:val="0"/>
                <w:sz w:val="22"/>
                <w:szCs w:val="22"/>
              </w:rPr>
            </w:pPr>
            <w:r>
              <w:rPr>
                <w:rFonts w:hint="eastAsia"/>
                <w:color w:val="000000"/>
                <w:kern w:val="0"/>
                <w:sz w:val="22"/>
                <w:szCs w:val="22"/>
              </w:rPr>
              <w:t>1600</w:t>
            </w:r>
          </w:p>
        </w:tc>
      </w:tr>
      <w:tr w14:paraId="58D6D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restart"/>
            <w:noWrap w:val="0"/>
            <w:vAlign w:val="center"/>
          </w:tcPr>
          <w:p w14:paraId="082782A6">
            <w:pPr>
              <w:jc w:val="center"/>
              <w:rPr>
                <w:color w:val="000000"/>
                <w:kern w:val="0"/>
                <w:szCs w:val="21"/>
              </w:rPr>
            </w:pPr>
            <w:r>
              <w:rPr>
                <w:color w:val="000000"/>
                <w:kern w:val="0"/>
                <w:szCs w:val="21"/>
              </w:rPr>
              <w:t>7</w:t>
            </w:r>
          </w:p>
        </w:tc>
        <w:tc>
          <w:tcPr>
            <w:tcW w:w="1134" w:type="dxa"/>
            <w:vMerge w:val="restart"/>
            <w:noWrap w:val="0"/>
            <w:vAlign w:val="center"/>
          </w:tcPr>
          <w:p w14:paraId="1C343C47">
            <w:pPr>
              <w:jc w:val="center"/>
              <w:rPr>
                <w:rFonts w:eastAsia="楷体_GB2312"/>
                <w:color w:val="000000"/>
                <w:kern w:val="0"/>
                <w:szCs w:val="21"/>
              </w:rPr>
            </w:pPr>
            <w:r>
              <w:rPr>
                <w:rFonts w:eastAsia="楷体_GB2312"/>
                <w:color w:val="000000"/>
                <w:kern w:val="0"/>
                <w:szCs w:val="21"/>
              </w:rPr>
              <w:t>时村镇</w:t>
            </w:r>
          </w:p>
        </w:tc>
        <w:tc>
          <w:tcPr>
            <w:tcW w:w="873" w:type="dxa"/>
            <w:noWrap w:val="0"/>
            <w:vAlign w:val="center"/>
          </w:tcPr>
          <w:p w14:paraId="1A7938E1">
            <w:pPr>
              <w:jc w:val="center"/>
              <w:rPr>
                <w:color w:val="000000"/>
                <w:kern w:val="0"/>
                <w:szCs w:val="21"/>
              </w:rPr>
            </w:pPr>
            <w:r>
              <w:rPr>
                <w:color w:val="000000"/>
                <w:kern w:val="0"/>
                <w:szCs w:val="21"/>
              </w:rPr>
              <w:t>1</w:t>
            </w:r>
          </w:p>
        </w:tc>
        <w:tc>
          <w:tcPr>
            <w:tcW w:w="2813" w:type="dxa"/>
            <w:noWrap w:val="0"/>
            <w:vAlign w:val="center"/>
          </w:tcPr>
          <w:p w14:paraId="54FEEA16">
            <w:pPr>
              <w:jc w:val="center"/>
              <w:rPr>
                <w:rFonts w:eastAsia="楷体_GB2312"/>
                <w:color w:val="000000"/>
                <w:kern w:val="0"/>
                <w:szCs w:val="21"/>
              </w:rPr>
            </w:pPr>
            <w:r>
              <w:rPr>
                <w:rFonts w:eastAsia="楷体_GB2312"/>
                <w:color w:val="000000"/>
                <w:kern w:val="0"/>
                <w:szCs w:val="21"/>
              </w:rPr>
              <w:t>时村镇中心学校</w:t>
            </w:r>
          </w:p>
        </w:tc>
        <w:tc>
          <w:tcPr>
            <w:tcW w:w="850" w:type="dxa"/>
            <w:noWrap/>
            <w:vAlign w:val="center"/>
          </w:tcPr>
          <w:p w14:paraId="681957E1">
            <w:pPr>
              <w:jc w:val="center"/>
              <w:rPr>
                <w:color w:val="000000"/>
                <w:kern w:val="0"/>
                <w:sz w:val="22"/>
                <w:szCs w:val="22"/>
              </w:rPr>
            </w:pPr>
            <w:r>
              <w:rPr>
                <w:color w:val="000000"/>
                <w:kern w:val="0"/>
                <w:sz w:val="22"/>
                <w:szCs w:val="22"/>
              </w:rPr>
              <w:t>1.0000</w:t>
            </w:r>
          </w:p>
        </w:tc>
        <w:tc>
          <w:tcPr>
            <w:tcW w:w="567" w:type="dxa"/>
            <w:noWrap/>
            <w:vAlign w:val="center"/>
          </w:tcPr>
          <w:p w14:paraId="232EAF84">
            <w:pPr>
              <w:jc w:val="center"/>
              <w:rPr>
                <w:color w:val="000000"/>
                <w:kern w:val="0"/>
                <w:sz w:val="22"/>
                <w:szCs w:val="22"/>
              </w:rPr>
            </w:pPr>
            <w:r>
              <w:rPr>
                <w:color w:val="000000"/>
                <w:kern w:val="0"/>
                <w:sz w:val="22"/>
                <w:szCs w:val="22"/>
              </w:rPr>
              <w:t>1</w:t>
            </w:r>
          </w:p>
        </w:tc>
        <w:tc>
          <w:tcPr>
            <w:tcW w:w="709" w:type="dxa"/>
            <w:noWrap w:val="0"/>
            <w:vAlign w:val="center"/>
          </w:tcPr>
          <w:p w14:paraId="510B816B">
            <w:pPr>
              <w:jc w:val="center"/>
              <w:rPr>
                <w:color w:val="000000"/>
                <w:kern w:val="0"/>
                <w:szCs w:val="21"/>
              </w:rPr>
            </w:pPr>
            <w:r>
              <w:rPr>
                <w:color w:val="000000"/>
                <w:kern w:val="0"/>
                <w:szCs w:val="21"/>
              </w:rPr>
              <w:t>100</w:t>
            </w:r>
          </w:p>
        </w:tc>
        <w:tc>
          <w:tcPr>
            <w:tcW w:w="1274" w:type="dxa"/>
            <w:noWrap/>
            <w:vAlign w:val="center"/>
          </w:tcPr>
          <w:p w14:paraId="0ECD01CE">
            <w:pPr>
              <w:jc w:val="center"/>
              <w:rPr>
                <w:color w:val="000000"/>
                <w:kern w:val="0"/>
                <w:sz w:val="22"/>
                <w:szCs w:val="22"/>
              </w:rPr>
            </w:pPr>
            <w:r>
              <w:rPr>
                <w:rFonts w:hint="eastAsia"/>
                <w:color w:val="000000"/>
                <w:kern w:val="0"/>
                <w:sz w:val="22"/>
                <w:szCs w:val="22"/>
              </w:rPr>
              <w:t>2300</w:t>
            </w:r>
          </w:p>
        </w:tc>
      </w:tr>
      <w:tr w14:paraId="0278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continue"/>
            <w:noWrap w:val="0"/>
            <w:vAlign w:val="center"/>
          </w:tcPr>
          <w:p w14:paraId="64095F27">
            <w:pPr>
              <w:jc w:val="center"/>
              <w:rPr>
                <w:color w:val="000000"/>
                <w:kern w:val="0"/>
                <w:szCs w:val="21"/>
              </w:rPr>
            </w:pPr>
          </w:p>
        </w:tc>
        <w:tc>
          <w:tcPr>
            <w:tcW w:w="1134" w:type="dxa"/>
            <w:vMerge w:val="continue"/>
            <w:noWrap w:val="0"/>
            <w:vAlign w:val="center"/>
          </w:tcPr>
          <w:p w14:paraId="137B522A">
            <w:pPr>
              <w:jc w:val="center"/>
              <w:rPr>
                <w:rFonts w:eastAsia="楷体_GB2312"/>
                <w:color w:val="000000"/>
                <w:kern w:val="0"/>
                <w:szCs w:val="21"/>
              </w:rPr>
            </w:pPr>
          </w:p>
        </w:tc>
        <w:tc>
          <w:tcPr>
            <w:tcW w:w="873" w:type="dxa"/>
            <w:noWrap w:val="0"/>
            <w:vAlign w:val="center"/>
          </w:tcPr>
          <w:p w14:paraId="2E19EFC5">
            <w:pPr>
              <w:jc w:val="center"/>
              <w:rPr>
                <w:color w:val="000000"/>
                <w:kern w:val="0"/>
                <w:szCs w:val="21"/>
              </w:rPr>
            </w:pPr>
            <w:r>
              <w:rPr>
                <w:color w:val="000000"/>
                <w:kern w:val="0"/>
                <w:szCs w:val="21"/>
              </w:rPr>
              <w:t>2</w:t>
            </w:r>
          </w:p>
        </w:tc>
        <w:tc>
          <w:tcPr>
            <w:tcW w:w="2813" w:type="dxa"/>
            <w:noWrap w:val="0"/>
            <w:vAlign w:val="center"/>
          </w:tcPr>
          <w:p w14:paraId="5C9B508D">
            <w:pPr>
              <w:jc w:val="center"/>
              <w:rPr>
                <w:rFonts w:eastAsia="楷体_GB2312"/>
                <w:color w:val="000000"/>
                <w:kern w:val="0"/>
                <w:szCs w:val="21"/>
              </w:rPr>
            </w:pPr>
            <w:r>
              <w:rPr>
                <w:rFonts w:eastAsia="楷体_GB2312"/>
                <w:color w:val="000000"/>
                <w:kern w:val="0"/>
                <w:szCs w:val="21"/>
              </w:rPr>
              <w:t>时村镇第二小学</w:t>
            </w:r>
          </w:p>
        </w:tc>
        <w:tc>
          <w:tcPr>
            <w:tcW w:w="850" w:type="dxa"/>
            <w:noWrap/>
            <w:vAlign w:val="center"/>
          </w:tcPr>
          <w:p w14:paraId="1F542D24">
            <w:pPr>
              <w:jc w:val="center"/>
              <w:rPr>
                <w:color w:val="000000"/>
                <w:kern w:val="0"/>
                <w:sz w:val="22"/>
                <w:szCs w:val="22"/>
              </w:rPr>
            </w:pPr>
            <w:r>
              <w:rPr>
                <w:color w:val="000000"/>
                <w:kern w:val="0"/>
                <w:sz w:val="22"/>
                <w:szCs w:val="22"/>
              </w:rPr>
              <w:t>0.4953</w:t>
            </w:r>
          </w:p>
        </w:tc>
        <w:tc>
          <w:tcPr>
            <w:tcW w:w="567" w:type="dxa"/>
            <w:noWrap/>
            <w:vAlign w:val="center"/>
          </w:tcPr>
          <w:p w14:paraId="0E9EFC35">
            <w:pPr>
              <w:jc w:val="center"/>
              <w:rPr>
                <w:color w:val="000000"/>
                <w:kern w:val="0"/>
                <w:sz w:val="22"/>
                <w:szCs w:val="22"/>
              </w:rPr>
            </w:pPr>
            <w:r>
              <w:rPr>
                <w:color w:val="000000"/>
                <w:kern w:val="0"/>
                <w:sz w:val="22"/>
                <w:szCs w:val="22"/>
              </w:rPr>
              <w:t>2</w:t>
            </w:r>
          </w:p>
        </w:tc>
        <w:tc>
          <w:tcPr>
            <w:tcW w:w="709" w:type="dxa"/>
            <w:noWrap w:val="0"/>
            <w:vAlign w:val="center"/>
          </w:tcPr>
          <w:p w14:paraId="1AE0322A">
            <w:pPr>
              <w:jc w:val="center"/>
              <w:rPr>
                <w:color w:val="000000"/>
                <w:kern w:val="0"/>
                <w:szCs w:val="21"/>
              </w:rPr>
            </w:pPr>
            <w:r>
              <w:rPr>
                <w:color w:val="000000"/>
                <w:kern w:val="0"/>
                <w:szCs w:val="21"/>
              </w:rPr>
              <w:t>50</w:t>
            </w:r>
          </w:p>
        </w:tc>
        <w:tc>
          <w:tcPr>
            <w:tcW w:w="1274" w:type="dxa"/>
            <w:noWrap/>
            <w:vAlign w:val="center"/>
          </w:tcPr>
          <w:p w14:paraId="1137A00F">
            <w:pPr>
              <w:jc w:val="center"/>
              <w:rPr>
                <w:color w:val="000000"/>
                <w:kern w:val="0"/>
                <w:sz w:val="22"/>
                <w:szCs w:val="22"/>
              </w:rPr>
            </w:pPr>
            <w:r>
              <w:rPr>
                <w:rFonts w:hint="eastAsia"/>
                <w:color w:val="000000"/>
                <w:kern w:val="0"/>
                <w:sz w:val="22"/>
                <w:szCs w:val="22"/>
              </w:rPr>
              <w:t>2200</w:t>
            </w:r>
          </w:p>
        </w:tc>
      </w:tr>
      <w:tr w14:paraId="0ECA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51A997B6">
            <w:pPr>
              <w:jc w:val="center"/>
              <w:rPr>
                <w:color w:val="000000"/>
                <w:kern w:val="0"/>
                <w:szCs w:val="21"/>
              </w:rPr>
            </w:pPr>
            <w:r>
              <w:rPr>
                <w:color w:val="000000"/>
                <w:kern w:val="0"/>
                <w:szCs w:val="21"/>
              </w:rPr>
              <w:t>8</w:t>
            </w:r>
          </w:p>
        </w:tc>
        <w:tc>
          <w:tcPr>
            <w:tcW w:w="1134" w:type="dxa"/>
            <w:noWrap w:val="0"/>
            <w:vAlign w:val="center"/>
          </w:tcPr>
          <w:p w14:paraId="078E0004">
            <w:pPr>
              <w:jc w:val="center"/>
              <w:rPr>
                <w:rFonts w:eastAsia="楷体_GB2312"/>
                <w:color w:val="000000"/>
                <w:kern w:val="0"/>
                <w:szCs w:val="21"/>
              </w:rPr>
            </w:pPr>
            <w:r>
              <w:rPr>
                <w:rFonts w:eastAsia="楷体_GB2312"/>
                <w:color w:val="000000"/>
                <w:kern w:val="0"/>
                <w:szCs w:val="21"/>
              </w:rPr>
              <w:t>夹沟镇</w:t>
            </w:r>
          </w:p>
        </w:tc>
        <w:tc>
          <w:tcPr>
            <w:tcW w:w="873" w:type="dxa"/>
            <w:noWrap w:val="0"/>
            <w:vAlign w:val="center"/>
          </w:tcPr>
          <w:p w14:paraId="67AFF194">
            <w:pPr>
              <w:jc w:val="center"/>
              <w:rPr>
                <w:color w:val="000000"/>
                <w:kern w:val="0"/>
                <w:szCs w:val="21"/>
              </w:rPr>
            </w:pPr>
            <w:r>
              <w:rPr>
                <w:color w:val="000000"/>
                <w:kern w:val="0"/>
                <w:szCs w:val="21"/>
              </w:rPr>
              <w:t>1</w:t>
            </w:r>
          </w:p>
        </w:tc>
        <w:tc>
          <w:tcPr>
            <w:tcW w:w="2813" w:type="dxa"/>
            <w:noWrap w:val="0"/>
            <w:vAlign w:val="center"/>
          </w:tcPr>
          <w:p w14:paraId="18FE0771">
            <w:pPr>
              <w:jc w:val="center"/>
              <w:rPr>
                <w:rFonts w:eastAsia="楷体_GB2312"/>
                <w:color w:val="000000"/>
                <w:kern w:val="0"/>
                <w:szCs w:val="21"/>
              </w:rPr>
            </w:pPr>
            <w:r>
              <w:rPr>
                <w:rFonts w:eastAsia="楷体_GB2312"/>
                <w:color w:val="000000"/>
                <w:kern w:val="0"/>
                <w:szCs w:val="21"/>
              </w:rPr>
              <w:t>夹沟镇中心小学</w:t>
            </w:r>
          </w:p>
        </w:tc>
        <w:tc>
          <w:tcPr>
            <w:tcW w:w="850" w:type="dxa"/>
            <w:noWrap/>
            <w:vAlign w:val="center"/>
          </w:tcPr>
          <w:p w14:paraId="44F1494F">
            <w:pPr>
              <w:jc w:val="center"/>
              <w:rPr>
                <w:color w:val="000000"/>
                <w:kern w:val="0"/>
                <w:sz w:val="22"/>
                <w:szCs w:val="22"/>
              </w:rPr>
            </w:pPr>
            <w:r>
              <w:rPr>
                <w:color w:val="000000"/>
                <w:kern w:val="0"/>
                <w:sz w:val="22"/>
                <w:szCs w:val="22"/>
              </w:rPr>
              <w:t>1.0000</w:t>
            </w:r>
          </w:p>
        </w:tc>
        <w:tc>
          <w:tcPr>
            <w:tcW w:w="567" w:type="dxa"/>
            <w:noWrap/>
            <w:vAlign w:val="center"/>
          </w:tcPr>
          <w:p w14:paraId="00FFD5C6">
            <w:pPr>
              <w:jc w:val="center"/>
              <w:rPr>
                <w:color w:val="000000"/>
                <w:kern w:val="0"/>
                <w:sz w:val="22"/>
                <w:szCs w:val="22"/>
              </w:rPr>
            </w:pPr>
            <w:r>
              <w:rPr>
                <w:color w:val="000000"/>
                <w:kern w:val="0"/>
                <w:sz w:val="22"/>
                <w:szCs w:val="22"/>
              </w:rPr>
              <w:t>1</w:t>
            </w:r>
          </w:p>
        </w:tc>
        <w:tc>
          <w:tcPr>
            <w:tcW w:w="709" w:type="dxa"/>
            <w:noWrap w:val="0"/>
            <w:vAlign w:val="center"/>
          </w:tcPr>
          <w:p w14:paraId="5DD9850A">
            <w:pPr>
              <w:jc w:val="center"/>
              <w:rPr>
                <w:color w:val="000000"/>
                <w:kern w:val="0"/>
                <w:szCs w:val="21"/>
              </w:rPr>
            </w:pPr>
            <w:r>
              <w:rPr>
                <w:color w:val="000000"/>
                <w:kern w:val="0"/>
                <w:szCs w:val="21"/>
              </w:rPr>
              <w:t>100</w:t>
            </w:r>
          </w:p>
        </w:tc>
        <w:tc>
          <w:tcPr>
            <w:tcW w:w="1274" w:type="dxa"/>
            <w:noWrap/>
            <w:vAlign w:val="center"/>
          </w:tcPr>
          <w:p w14:paraId="30FF8ED4">
            <w:pPr>
              <w:jc w:val="center"/>
              <w:rPr>
                <w:color w:val="000000"/>
                <w:kern w:val="0"/>
                <w:sz w:val="22"/>
                <w:szCs w:val="22"/>
              </w:rPr>
            </w:pPr>
            <w:r>
              <w:rPr>
                <w:rFonts w:hint="eastAsia"/>
                <w:color w:val="000000"/>
                <w:kern w:val="0"/>
                <w:sz w:val="22"/>
                <w:szCs w:val="22"/>
              </w:rPr>
              <w:t>1900</w:t>
            </w:r>
          </w:p>
        </w:tc>
      </w:tr>
      <w:tr w14:paraId="4D900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688EB979">
            <w:pPr>
              <w:jc w:val="center"/>
              <w:rPr>
                <w:color w:val="000000"/>
                <w:kern w:val="0"/>
                <w:szCs w:val="21"/>
              </w:rPr>
            </w:pPr>
            <w:r>
              <w:rPr>
                <w:color w:val="000000"/>
                <w:kern w:val="0"/>
                <w:szCs w:val="21"/>
              </w:rPr>
              <w:t>9</w:t>
            </w:r>
          </w:p>
        </w:tc>
        <w:tc>
          <w:tcPr>
            <w:tcW w:w="1134" w:type="dxa"/>
            <w:noWrap w:val="0"/>
            <w:vAlign w:val="center"/>
          </w:tcPr>
          <w:p w14:paraId="5C7CB91B">
            <w:pPr>
              <w:jc w:val="center"/>
              <w:rPr>
                <w:rFonts w:eastAsia="楷体_GB2312"/>
                <w:color w:val="000000"/>
                <w:kern w:val="0"/>
                <w:szCs w:val="21"/>
              </w:rPr>
            </w:pPr>
            <w:r>
              <w:rPr>
                <w:rFonts w:eastAsia="楷体_GB2312"/>
                <w:color w:val="000000"/>
                <w:kern w:val="0"/>
                <w:szCs w:val="21"/>
              </w:rPr>
              <w:t>西二铺乡</w:t>
            </w:r>
          </w:p>
        </w:tc>
        <w:tc>
          <w:tcPr>
            <w:tcW w:w="873" w:type="dxa"/>
            <w:noWrap w:val="0"/>
            <w:vAlign w:val="center"/>
          </w:tcPr>
          <w:p w14:paraId="623E335D">
            <w:pPr>
              <w:jc w:val="center"/>
              <w:rPr>
                <w:color w:val="000000"/>
                <w:kern w:val="0"/>
                <w:szCs w:val="21"/>
              </w:rPr>
            </w:pPr>
            <w:r>
              <w:rPr>
                <w:color w:val="000000"/>
                <w:kern w:val="0"/>
                <w:szCs w:val="21"/>
              </w:rPr>
              <w:t>1</w:t>
            </w:r>
          </w:p>
        </w:tc>
        <w:tc>
          <w:tcPr>
            <w:tcW w:w="2813" w:type="dxa"/>
            <w:noWrap w:val="0"/>
            <w:vAlign w:val="center"/>
          </w:tcPr>
          <w:p w14:paraId="1C095A25">
            <w:pPr>
              <w:jc w:val="center"/>
              <w:rPr>
                <w:rFonts w:eastAsia="楷体_GB2312"/>
                <w:color w:val="000000"/>
                <w:kern w:val="0"/>
                <w:szCs w:val="21"/>
              </w:rPr>
            </w:pPr>
            <w:r>
              <w:rPr>
                <w:rFonts w:eastAsia="楷体_GB2312"/>
                <w:color w:val="000000"/>
                <w:kern w:val="0"/>
                <w:szCs w:val="21"/>
              </w:rPr>
              <w:t>西二铺小学</w:t>
            </w:r>
          </w:p>
        </w:tc>
        <w:tc>
          <w:tcPr>
            <w:tcW w:w="850" w:type="dxa"/>
            <w:noWrap/>
            <w:vAlign w:val="center"/>
          </w:tcPr>
          <w:p w14:paraId="65C0AC55">
            <w:pPr>
              <w:jc w:val="center"/>
              <w:rPr>
                <w:color w:val="000000"/>
                <w:kern w:val="0"/>
                <w:sz w:val="22"/>
                <w:szCs w:val="22"/>
              </w:rPr>
            </w:pPr>
            <w:r>
              <w:rPr>
                <w:color w:val="000000"/>
                <w:kern w:val="0"/>
                <w:sz w:val="22"/>
                <w:szCs w:val="22"/>
              </w:rPr>
              <w:t>1.0000</w:t>
            </w:r>
          </w:p>
        </w:tc>
        <w:tc>
          <w:tcPr>
            <w:tcW w:w="567" w:type="dxa"/>
            <w:noWrap/>
            <w:vAlign w:val="center"/>
          </w:tcPr>
          <w:p w14:paraId="7C1E13B5">
            <w:pPr>
              <w:jc w:val="center"/>
              <w:rPr>
                <w:color w:val="000000"/>
                <w:kern w:val="0"/>
                <w:sz w:val="22"/>
                <w:szCs w:val="22"/>
              </w:rPr>
            </w:pPr>
            <w:r>
              <w:rPr>
                <w:color w:val="000000"/>
                <w:kern w:val="0"/>
                <w:sz w:val="22"/>
                <w:szCs w:val="22"/>
              </w:rPr>
              <w:t>1</w:t>
            </w:r>
          </w:p>
        </w:tc>
        <w:tc>
          <w:tcPr>
            <w:tcW w:w="709" w:type="dxa"/>
            <w:noWrap w:val="0"/>
            <w:vAlign w:val="center"/>
          </w:tcPr>
          <w:p w14:paraId="0D81CF10">
            <w:pPr>
              <w:jc w:val="center"/>
              <w:rPr>
                <w:color w:val="000000"/>
                <w:kern w:val="0"/>
                <w:szCs w:val="21"/>
              </w:rPr>
            </w:pPr>
            <w:r>
              <w:rPr>
                <w:color w:val="000000"/>
                <w:kern w:val="0"/>
                <w:szCs w:val="21"/>
              </w:rPr>
              <w:t>100</w:t>
            </w:r>
          </w:p>
        </w:tc>
        <w:tc>
          <w:tcPr>
            <w:tcW w:w="1274" w:type="dxa"/>
            <w:noWrap/>
            <w:vAlign w:val="center"/>
          </w:tcPr>
          <w:p w14:paraId="34DD4576">
            <w:pPr>
              <w:jc w:val="center"/>
              <w:rPr>
                <w:color w:val="000000"/>
                <w:kern w:val="0"/>
                <w:sz w:val="22"/>
                <w:szCs w:val="22"/>
              </w:rPr>
            </w:pPr>
            <w:r>
              <w:rPr>
                <w:rFonts w:hint="eastAsia"/>
                <w:color w:val="000000"/>
                <w:kern w:val="0"/>
                <w:sz w:val="22"/>
                <w:szCs w:val="22"/>
              </w:rPr>
              <w:t>1800</w:t>
            </w:r>
          </w:p>
        </w:tc>
      </w:tr>
      <w:tr w14:paraId="24499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restart"/>
            <w:noWrap w:val="0"/>
            <w:vAlign w:val="center"/>
          </w:tcPr>
          <w:p w14:paraId="29B0B04D">
            <w:pPr>
              <w:jc w:val="center"/>
              <w:rPr>
                <w:color w:val="000000"/>
                <w:kern w:val="0"/>
                <w:szCs w:val="21"/>
              </w:rPr>
            </w:pPr>
            <w:r>
              <w:rPr>
                <w:color w:val="000000"/>
                <w:kern w:val="0"/>
                <w:szCs w:val="21"/>
              </w:rPr>
              <w:t>10</w:t>
            </w:r>
          </w:p>
        </w:tc>
        <w:tc>
          <w:tcPr>
            <w:tcW w:w="1134" w:type="dxa"/>
            <w:vMerge w:val="restart"/>
            <w:noWrap w:val="0"/>
            <w:vAlign w:val="center"/>
          </w:tcPr>
          <w:p w14:paraId="4999144C">
            <w:pPr>
              <w:jc w:val="center"/>
              <w:rPr>
                <w:rFonts w:eastAsia="楷体_GB2312"/>
                <w:color w:val="000000"/>
                <w:kern w:val="0"/>
                <w:szCs w:val="21"/>
              </w:rPr>
            </w:pPr>
            <w:r>
              <w:rPr>
                <w:rFonts w:eastAsia="楷体_GB2312"/>
                <w:color w:val="000000"/>
                <w:kern w:val="0"/>
                <w:szCs w:val="21"/>
              </w:rPr>
              <w:t>桃园镇</w:t>
            </w:r>
          </w:p>
        </w:tc>
        <w:tc>
          <w:tcPr>
            <w:tcW w:w="873" w:type="dxa"/>
            <w:noWrap w:val="0"/>
            <w:vAlign w:val="center"/>
          </w:tcPr>
          <w:p w14:paraId="41CD511B">
            <w:pPr>
              <w:jc w:val="center"/>
              <w:rPr>
                <w:color w:val="000000"/>
                <w:kern w:val="0"/>
                <w:szCs w:val="21"/>
              </w:rPr>
            </w:pPr>
            <w:r>
              <w:rPr>
                <w:color w:val="000000"/>
                <w:kern w:val="0"/>
                <w:szCs w:val="21"/>
              </w:rPr>
              <w:t>1</w:t>
            </w:r>
          </w:p>
        </w:tc>
        <w:tc>
          <w:tcPr>
            <w:tcW w:w="2813" w:type="dxa"/>
            <w:noWrap w:val="0"/>
            <w:vAlign w:val="center"/>
          </w:tcPr>
          <w:p w14:paraId="2F24FE90">
            <w:pPr>
              <w:jc w:val="center"/>
              <w:rPr>
                <w:rFonts w:eastAsia="楷体_GB2312"/>
                <w:color w:val="000000"/>
                <w:kern w:val="0"/>
                <w:szCs w:val="21"/>
              </w:rPr>
            </w:pPr>
            <w:r>
              <w:rPr>
                <w:rFonts w:eastAsia="楷体_GB2312"/>
                <w:color w:val="000000"/>
                <w:kern w:val="0"/>
                <w:szCs w:val="21"/>
              </w:rPr>
              <w:t>桃园镇明德小学</w:t>
            </w:r>
          </w:p>
        </w:tc>
        <w:tc>
          <w:tcPr>
            <w:tcW w:w="850" w:type="dxa"/>
            <w:noWrap/>
            <w:vAlign w:val="center"/>
          </w:tcPr>
          <w:p w14:paraId="5DA56B06">
            <w:pPr>
              <w:jc w:val="center"/>
              <w:rPr>
                <w:color w:val="000000"/>
                <w:kern w:val="0"/>
                <w:sz w:val="22"/>
                <w:szCs w:val="22"/>
              </w:rPr>
            </w:pPr>
            <w:r>
              <w:rPr>
                <w:color w:val="000000"/>
                <w:kern w:val="0"/>
                <w:sz w:val="22"/>
                <w:szCs w:val="22"/>
              </w:rPr>
              <w:t>0.7472</w:t>
            </w:r>
          </w:p>
        </w:tc>
        <w:tc>
          <w:tcPr>
            <w:tcW w:w="567" w:type="dxa"/>
            <w:noWrap/>
            <w:vAlign w:val="center"/>
          </w:tcPr>
          <w:p w14:paraId="4796CA61">
            <w:pPr>
              <w:jc w:val="center"/>
              <w:rPr>
                <w:color w:val="000000"/>
                <w:kern w:val="0"/>
                <w:sz w:val="22"/>
                <w:szCs w:val="22"/>
              </w:rPr>
            </w:pPr>
            <w:r>
              <w:rPr>
                <w:color w:val="000000"/>
                <w:kern w:val="0"/>
                <w:sz w:val="22"/>
                <w:szCs w:val="22"/>
              </w:rPr>
              <w:t>2</w:t>
            </w:r>
          </w:p>
        </w:tc>
        <w:tc>
          <w:tcPr>
            <w:tcW w:w="709" w:type="dxa"/>
            <w:noWrap w:val="0"/>
            <w:vAlign w:val="center"/>
          </w:tcPr>
          <w:p w14:paraId="67FE1065">
            <w:pPr>
              <w:jc w:val="center"/>
              <w:rPr>
                <w:color w:val="000000"/>
                <w:kern w:val="0"/>
                <w:szCs w:val="21"/>
              </w:rPr>
            </w:pPr>
            <w:r>
              <w:rPr>
                <w:color w:val="000000"/>
                <w:kern w:val="0"/>
                <w:szCs w:val="21"/>
              </w:rPr>
              <w:t>75</w:t>
            </w:r>
          </w:p>
        </w:tc>
        <w:tc>
          <w:tcPr>
            <w:tcW w:w="1274" w:type="dxa"/>
            <w:noWrap/>
            <w:vAlign w:val="center"/>
          </w:tcPr>
          <w:p w14:paraId="334C32A3">
            <w:pPr>
              <w:jc w:val="center"/>
              <w:rPr>
                <w:color w:val="000000"/>
                <w:kern w:val="0"/>
                <w:sz w:val="22"/>
                <w:szCs w:val="22"/>
              </w:rPr>
            </w:pPr>
            <w:r>
              <w:rPr>
                <w:rFonts w:hint="eastAsia"/>
                <w:color w:val="000000"/>
                <w:kern w:val="0"/>
                <w:sz w:val="22"/>
                <w:szCs w:val="22"/>
              </w:rPr>
              <w:t>1000</w:t>
            </w:r>
          </w:p>
        </w:tc>
      </w:tr>
      <w:tr w14:paraId="073A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continue"/>
            <w:noWrap w:val="0"/>
            <w:vAlign w:val="center"/>
          </w:tcPr>
          <w:p w14:paraId="43DB1380">
            <w:pPr>
              <w:jc w:val="center"/>
              <w:rPr>
                <w:color w:val="000000"/>
                <w:kern w:val="0"/>
                <w:szCs w:val="21"/>
              </w:rPr>
            </w:pPr>
          </w:p>
        </w:tc>
        <w:tc>
          <w:tcPr>
            <w:tcW w:w="1134" w:type="dxa"/>
            <w:vMerge w:val="continue"/>
            <w:noWrap w:val="0"/>
            <w:vAlign w:val="center"/>
          </w:tcPr>
          <w:p w14:paraId="019AA65B">
            <w:pPr>
              <w:jc w:val="center"/>
              <w:rPr>
                <w:rFonts w:eastAsia="楷体_GB2312"/>
                <w:color w:val="000000"/>
                <w:kern w:val="0"/>
                <w:szCs w:val="21"/>
              </w:rPr>
            </w:pPr>
          </w:p>
        </w:tc>
        <w:tc>
          <w:tcPr>
            <w:tcW w:w="873" w:type="dxa"/>
            <w:noWrap w:val="0"/>
            <w:vAlign w:val="center"/>
          </w:tcPr>
          <w:p w14:paraId="5A621A35">
            <w:pPr>
              <w:jc w:val="center"/>
              <w:rPr>
                <w:color w:val="000000"/>
                <w:kern w:val="0"/>
                <w:szCs w:val="21"/>
              </w:rPr>
            </w:pPr>
            <w:r>
              <w:rPr>
                <w:color w:val="000000"/>
                <w:kern w:val="0"/>
                <w:szCs w:val="21"/>
              </w:rPr>
              <w:t>2</w:t>
            </w:r>
          </w:p>
        </w:tc>
        <w:tc>
          <w:tcPr>
            <w:tcW w:w="2813" w:type="dxa"/>
            <w:noWrap w:val="0"/>
            <w:vAlign w:val="center"/>
          </w:tcPr>
          <w:p w14:paraId="307EC198">
            <w:pPr>
              <w:jc w:val="center"/>
              <w:rPr>
                <w:rFonts w:eastAsia="楷体_GB2312"/>
                <w:color w:val="000000"/>
                <w:kern w:val="0"/>
                <w:szCs w:val="21"/>
              </w:rPr>
            </w:pPr>
            <w:r>
              <w:rPr>
                <w:rFonts w:eastAsia="楷体_GB2312"/>
                <w:color w:val="000000"/>
                <w:kern w:val="0"/>
                <w:szCs w:val="21"/>
              </w:rPr>
              <w:t>北杨寨中心小学</w:t>
            </w:r>
          </w:p>
        </w:tc>
        <w:tc>
          <w:tcPr>
            <w:tcW w:w="850" w:type="dxa"/>
            <w:noWrap/>
            <w:vAlign w:val="center"/>
          </w:tcPr>
          <w:p w14:paraId="56ACFDB9">
            <w:pPr>
              <w:jc w:val="center"/>
              <w:rPr>
                <w:color w:val="000000"/>
                <w:kern w:val="0"/>
                <w:sz w:val="22"/>
                <w:szCs w:val="22"/>
              </w:rPr>
            </w:pPr>
            <w:r>
              <w:rPr>
                <w:color w:val="000000"/>
                <w:kern w:val="0"/>
                <w:sz w:val="22"/>
                <w:szCs w:val="22"/>
              </w:rPr>
              <w:t>1.0000</w:t>
            </w:r>
          </w:p>
        </w:tc>
        <w:tc>
          <w:tcPr>
            <w:tcW w:w="567" w:type="dxa"/>
            <w:noWrap/>
            <w:vAlign w:val="center"/>
          </w:tcPr>
          <w:p w14:paraId="27438DE7">
            <w:pPr>
              <w:jc w:val="center"/>
              <w:rPr>
                <w:color w:val="000000"/>
                <w:kern w:val="0"/>
                <w:sz w:val="22"/>
                <w:szCs w:val="22"/>
              </w:rPr>
            </w:pPr>
            <w:r>
              <w:rPr>
                <w:color w:val="000000"/>
                <w:kern w:val="0"/>
                <w:sz w:val="22"/>
                <w:szCs w:val="22"/>
              </w:rPr>
              <w:t>1</w:t>
            </w:r>
          </w:p>
        </w:tc>
        <w:tc>
          <w:tcPr>
            <w:tcW w:w="709" w:type="dxa"/>
            <w:noWrap w:val="0"/>
            <w:vAlign w:val="center"/>
          </w:tcPr>
          <w:p w14:paraId="0CAA8F50">
            <w:pPr>
              <w:jc w:val="center"/>
              <w:rPr>
                <w:color w:val="000000"/>
                <w:kern w:val="0"/>
                <w:szCs w:val="21"/>
              </w:rPr>
            </w:pPr>
            <w:r>
              <w:rPr>
                <w:color w:val="000000"/>
                <w:kern w:val="0"/>
                <w:szCs w:val="21"/>
              </w:rPr>
              <w:t>100</w:t>
            </w:r>
          </w:p>
        </w:tc>
        <w:tc>
          <w:tcPr>
            <w:tcW w:w="1274" w:type="dxa"/>
            <w:noWrap/>
            <w:vAlign w:val="center"/>
          </w:tcPr>
          <w:p w14:paraId="4C939B3F">
            <w:pPr>
              <w:jc w:val="center"/>
              <w:rPr>
                <w:color w:val="000000"/>
                <w:kern w:val="0"/>
                <w:sz w:val="22"/>
                <w:szCs w:val="22"/>
              </w:rPr>
            </w:pPr>
            <w:r>
              <w:rPr>
                <w:rFonts w:hint="eastAsia"/>
                <w:color w:val="000000"/>
                <w:kern w:val="0"/>
                <w:sz w:val="22"/>
                <w:szCs w:val="22"/>
              </w:rPr>
              <w:t>1200</w:t>
            </w:r>
          </w:p>
        </w:tc>
      </w:tr>
      <w:tr w14:paraId="4805B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4DA1BD10">
            <w:pPr>
              <w:jc w:val="center"/>
              <w:rPr>
                <w:color w:val="000000"/>
                <w:kern w:val="0"/>
                <w:szCs w:val="21"/>
              </w:rPr>
            </w:pPr>
            <w:r>
              <w:rPr>
                <w:color w:val="000000"/>
                <w:kern w:val="0"/>
                <w:szCs w:val="21"/>
              </w:rPr>
              <w:t>11</w:t>
            </w:r>
          </w:p>
        </w:tc>
        <w:tc>
          <w:tcPr>
            <w:tcW w:w="1134" w:type="dxa"/>
            <w:noWrap w:val="0"/>
            <w:vAlign w:val="center"/>
          </w:tcPr>
          <w:p w14:paraId="582CAA70">
            <w:pPr>
              <w:jc w:val="center"/>
              <w:rPr>
                <w:rFonts w:eastAsia="楷体_GB2312"/>
                <w:color w:val="000000"/>
                <w:kern w:val="0"/>
                <w:szCs w:val="21"/>
              </w:rPr>
            </w:pPr>
            <w:r>
              <w:rPr>
                <w:rFonts w:eastAsia="楷体_GB2312"/>
                <w:color w:val="000000"/>
                <w:kern w:val="0"/>
                <w:szCs w:val="21"/>
              </w:rPr>
              <w:t>曹村镇</w:t>
            </w:r>
          </w:p>
        </w:tc>
        <w:tc>
          <w:tcPr>
            <w:tcW w:w="873" w:type="dxa"/>
            <w:noWrap w:val="0"/>
            <w:vAlign w:val="center"/>
          </w:tcPr>
          <w:p w14:paraId="53B2DE92">
            <w:pPr>
              <w:jc w:val="center"/>
              <w:rPr>
                <w:color w:val="000000"/>
                <w:kern w:val="0"/>
                <w:szCs w:val="21"/>
              </w:rPr>
            </w:pPr>
            <w:r>
              <w:rPr>
                <w:color w:val="000000"/>
                <w:kern w:val="0"/>
                <w:szCs w:val="21"/>
              </w:rPr>
              <w:t>1</w:t>
            </w:r>
          </w:p>
        </w:tc>
        <w:tc>
          <w:tcPr>
            <w:tcW w:w="2813" w:type="dxa"/>
            <w:noWrap w:val="0"/>
            <w:vAlign w:val="center"/>
          </w:tcPr>
          <w:p w14:paraId="6326BD9F">
            <w:pPr>
              <w:jc w:val="center"/>
              <w:rPr>
                <w:rFonts w:eastAsia="楷体_GB2312"/>
                <w:color w:val="000000"/>
                <w:kern w:val="0"/>
                <w:szCs w:val="21"/>
              </w:rPr>
            </w:pPr>
            <w:r>
              <w:rPr>
                <w:rFonts w:eastAsia="楷体_GB2312"/>
                <w:color w:val="000000"/>
                <w:kern w:val="0"/>
                <w:szCs w:val="21"/>
              </w:rPr>
              <w:t>曹村镇中心学校</w:t>
            </w:r>
          </w:p>
        </w:tc>
        <w:tc>
          <w:tcPr>
            <w:tcW w:w="850" w:type="dxa"/>
            <w:noWrap/>
            <w:vAlign w:val="center"/>
          </w:tcPr>
          <w:p w14:paraId="0904C3D2">
            <w:pPr>
              <w:jc w:val="center"/>
              <w:rPr>
                <w:color w:val="000000"/>
                <w:kern w:val="0"/>
                <w:sz w:val="22"/>
                <w:szCs w:val="22"/>
              </w:rPr>
            </w:pPr>
            <w:r>
              <w:rPr>
                <w:color w:val="000000"/>
                <w:kern w:val="0"/>
                <w:sz w:val="22"/>
                <w:szCs w:val="22"/>
              </w:rPr>
              <w:t>1.0000</w:t>
            </w:r>
          </w:p>
        </w:tc>
        <w:tc>
          <w:tcPr>
            <w:tcW w:w="567" w:type="dxa"/>
            <w:noWrap/>
            <w:vAlign w:val="center"/>
          </w:tcPr>
          <w:p w14:paraId="65617EB9">
            <w:pPr>
              <w:jc w:val="center"/>
              <w:rPr>
                <w:color w:val="000000"/>
                <w:kern w:val="0"/>
                <w:sz w:val="22"/>
                <w:szCs w:val="22"/>
              </w:rPr>
            </w:pPr>
            <w:r>
              <w:rPr>
                <w:color w:val="000000"/>
                <w:kern w:val="0"/>
                <w:sz w:val="22"/>
                <w:szCs w:val="22"/>
              </w:rPr>
              <w:t>1</w:t>
            </w:r>
          </w:p>
        </w:tc>
        <w:tc>
          <w:tcPr>
            <w:tcW w:w="709" w:type="dxa"/>
            <w:noWrap w:val="0"/>
            <w:vAlign w:val="center"/>
          </w:tcPr>
          <w:p w14:paraId="0B459188">
            <w:pPr>
              <w:jc w:val="center"/>
              <w:rPr>
                <w:color w:val="000000"/>
                <w:kern w:val="0"/>
                <w:szCs w:val="21"/>
              </w:rPr>
            </w:pPr>
            <w:r>
              <w:rPr>
                <w:color w:val="000000"/>
                <w:kern w:val="0"/>
                <w:szCs w:val="21"/>
              </w:rPr>
              <w:t>100</w:t>
            </w:r>
          </w:p>
        </w:tc>
        <w:tc>
          <w:tcPr>
            <w:tcW w:w="1274" w:type="dxa"/>
            <w:noWrap/>
            <w:vAlign w:val="center"/>
          </w:tcPr>
          <w:p w14:paraId="39239347">
            <w:pPr>
              <w:jc w:val="center"/>
              <w:rPr>
                <w:color w:val="000000"/>
                <w:kern w:val="0"/>
                <w:sz w:val="22"/>
                <w:szCs w:val="22"/>
              </w:rPr>
            </w:pPr>
            <w:r>
              <w:rPr>
                <w:rFonts w:hint="eastAsia"/>
                <w:color w:val="000000"/>
                <w:kern w:val="0"/>
                <w:sz w:val="22"/>
                <w:szCs w:val="22"/>
              </w:rPr>
              <w:t>3000</w:t>
            </w:r>
          </w:p>
        </w:tc>
      </w:tr>
      <w:tr w14:paraId="710B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393D6AFE">
            <w:pPr>
              <w:jc w:val="center"/>
              <w:rPr>
                <w:color w:val="000000"/>
                <w:kern w:val="0"/>
                <w:szCs w:val="21"/>
              </w:rPr>
            </w:pPr>
            <w:r>
              <w:rPr>
                <w:color w:val="000000"/>
                <w:kern w:val="0"/>
                <w:szCs w:val="21"/>
              </w:rPr>
              <w:t>12</w:t>
            </w:r>
          </w:p>
        </w:tc>
        <w:tc>
          <w:tcPr>
            <w:tcW w:w="1134" w:type="dxa"/>
            <w:noWrap w:val="0"/>
            <w:vAlign w:val="center"/>
          </w:tcPr>
          <w:p w14:paraId="739C90DE">
            <w:pPr>
              <w:jc w:val="center"/>
              <w:rPr>
                <w:rFonts w:eastAsia="楷体_GB2312"/>
                <w:color w:val="000000"/>
                <w:kern w:val="0"/>
                <w:szCs w:val="21"/>
              </w:rPr>
            </w:pPr>
            <w:r>
              <w:rPr>
                <w:rFonts w:eastAsia="楷体_GB2312"/>
                <w:color w:val="000000"/>
                <w:kern w:val="0"/>
                <w:szCs w:val="21"/>
              </w:rPr>
              <w:t>大营镇</w:t>
            </w:r>
          </w:p>
        </w:tc>
        <w:tc>
          <w:tcPr>
            <w:tcW w:w="873" w:type="dxa"/>
            <w:noWrap w:val="0"/>
            <w:vAlign w:val="center"/>
          </w:tcPr>
          <w:p w14:paraId="4AC73378">
            <w:pPr>
              <w:jc w:val="center"/>
              <w:rPr>
                <w:color w:val="000000"/>
                <w:kern w:val="0"/>
                <w:szCs w:val="21"/>
              </w:rPr>
            </w:pPr>
            <w:r>
              <w:rPr>
                <w:color w:val="000000"/>
                <w:kern w:val="0"/>
                <w:szCs w:val="21"/>
              </w:rPr>
              <w:t>1</w:t>
            </w:r>
          </w:p>
        </w:tc>
        <w:tc>
          <w:tcPr>
            <w:tcW w:w="2813" w:type="dxa"/>
            <w:noWrap w:val="0"/>
            <w:vAlign w:val="center"/>
          </w:tcPr>
          <w:p w14:paraId="7A87E8D3">
            <w:pPr>
              <w:jc w:val="center"/>
              <w:rPr>
                <w:rFonts w:eastAsia="楷体_GB2312"/>
                <w:color w:val="000000"/>
                <w:kern w:val="0"/>
                <w:szCs w:val="21"/>
              </w:rPr>
            </w:pPr>
            <w:r>
              <w:rPr>
                <w:rFonts w:eastAsia="楷体_GB2312"/>
                <w:color w:val="000000"/>
                <w:kern w:val="0"/>
                <w:szCs w:val="21"/>
              </w:rPr>
              <w:t>大营小学</w:t>
            </w:r>
          </w:p>
        </w:tc>
        <w:tc>
          <w:tcPr>
            <w:tcW w:w="850" w:type="dxa"/>
            <w:noWrap/>
            <w:vAlign w:val="center"/>
          </w:tcPr>
          <w:p w14:paraId="21E5595B">
            <w:pPr>
              <w:jc w:val="center"/>
              <w:rPr>
                <w:color w:val="000000"/>
                <w:kern w:val="0"/>
                <w:sz w:val="22"/>
                <w:szCs w:val="22"/>
              </w:rPr>
            </w:pPr>
            <w:r>
              <w:rPr>
                <w:color w:val="000000"/>
                <w:kern w:val="0"/>
                <w:sz w:val="22"/>
                <w:szCs w:val="22"/>
              </w:rPr>
              <w:t>1.0000</w:t>
            </w:r>
          </w:p>
        </w:tc>
        <w:tc>
          <w:tcPr>
            <w:tcW w:w="567" w:type="dxa"/>
            <w:noWrap/>
            <w:vAlign w:val="center"/>
          </w:tcPr>
          <w:p w14:paraId="6EC052D7">
            <w:pPr>
              <w:jc w:val="center"/>
              <w:rPr>
                <w:color w:val="000000"/>
                <w:kern w:val="0"/>
                <w:sz w:val="22"/>
                <w:szCs w:val="22"/>
              </w:rPr>
            </w:pPr>
            <w:r>
              <w:rPr>
                <w:color w:val="000000"/>
                <w:kern w:val="0"/>
                <w:sz w:val="22"/>
                <w:szCs w:val="22"/>
              </w:rPr>
              <w:t>1</w:t>
            </w:r>
          </w:p>
        </w:tc>
        <w:tc>
          <w:tcPr>
            <w:tcW w:w="709" w:type="dxa"/>
            <w:noWrap w:val="0"/>
            <w:vAlign w:val="center"/>
          </w:tcPr>
          <w:p w14:paraId="5B88DB00">
            <w:pPr>
              <w:jc w:val="center"/>
              <w:rPr>
                <w:color w:val="000000"/>
                <w:kern w:val="0"/>
                <w:szCs w:val="21"/>
              </w:rPr>
            </w:pPr>
            <w:r>
              <w:rPr>
                <w:color w:val="000000"/>
                <w:kern w:val="0"/>
                <w:szCs w:val="21"/>
              </w:rPr>
              <w:t>100</w:t>
            </w:r>
          </w:p>
        </w:tc>
        <w:tc>
          <w:tcPr>
            <w:tcW w:w="1274" w:type="dxa"/>
            <w:noWrap/>
            <w:vAlign w:val="center"/>
          </w:tcPr>
          <w:p w14:paraId="41A525D7">
            <w:pPr>
              <w:jc w:val="center"/>
              <w:rPr>
                <w:color w:val="000000"/>
                <w:kern w:val="0"/>
                <w:sz w:val="22"/>
                <w:szCs w:val="22"/>
              </w:rPr>
            </w:pPr>
            <w:r>
              <w:rPr>
                <w:rFonts w:hint="eastAsia"/>
                <w:color w:val="000000"/>
                <w:kern w:val="0"/>
                <w:sz w:val="22"/>
                <w:szCs w:val="22"/>
              </w:rPr>
              <w:t>1800</w:t>
            </w:r>
          </w:p>
        </w:tc>
      </w:tr>
      <w:tr w14:paraId="7170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restart"/>
            <w:noWrap w:val="0"/>
            <w:vAlign w:val="center"/>
          </w:tcPr>
          <w:p w14:paraId="14358DE2">
            <w:pPr>
              <w:jc w:val="center"/>
              <w:rPr>
                <w:color w:val="000000"/>
                <w:kern w:val="0"/>
                <w:szCs w:val="21"/>
              </w:rPr>
            </w:pPr>
            <w:r>
              <w:rPr>
                <w:color w:val="000000"/>
                <w:kern w:val="0"/>
                <w:szCs w:val="21"/>
              </w:rPr>
              <w:t>13</w:t>
            </w:r>
          </w:p>
        </w:tc>
        <w:tc>
          <w:tcPr>
            <w:tcW w:w="1134" w:type="dxa"/>
            <w:vMerge w:val="restart"/>
            <w:noWrap w:val="0"/>
            <w:vAlign w:val="center"/>
          </w:tcPr>
          <w:p w14:paraId="70CD26B4">
            <w:pPr>
              <w:jc w:val="center"/>
              <w:rPr>
                <w:rFonts w:eastAsia="楷体_GB2312"/>
                <w:color w:val="000000"/>
                <w:kern w:val="0"/>
                <w:szCs w:val="21"/>
              </w:rPr>
            </w:pPr>
            <w:r>
              <w:rPr>
                <w:rFonts w:eastAsia="楷体_GB2312"/>
                <w:color w:val="000000"/>
                <w:kern w:val="0"/>
                <w:szCs w:val="21"/>
              </w:rPr>
              <w:t>褚兰镇</w:t>
            </w:r>
          </w:p>
        </w:tc>
        <w:tc>
          <w:tcPr>
            <w:tcW w:w="873" w:type="dxa"/>
            <w:noWrap w:val="0"/>
            <w:vAlign w:val="center"/>
          </w:tcPr>
          <w:p w14:paraId="726700B7">
            <w:pPr>
              <w:jc w:val="center"/>
              <w:rPr>
                <w:color w:val="000000"/>
                <w:kern w:val="0"/>
                <w:szCs w:val="21"/>
              </w:rPr>
            </w:pPr>
            <w:r>
              <w:rPr>
                <w:color w:val="000000"/>
                <w:kern w:val="0"/>
                <w:szCs w:val="21"/>
              </w:rPr>
              <w:t>1</w:t>
            </w:r>
          </w:p>
        </w:tc>
        <w:tc>
          <w:tcPr>
            <w:tcW w:w="2813" w:type="dxa"/>
            <w:noWrap w:val="0"/>
            <w:vAlign w:val="center"/>
          </w:tcPr>
          <w:p w14:paraId="0E4B7D26">
            <w:pPr>
              <w:jc w:val="center"/>
              <w:rPr>
                <w:rFonts w:eastAsia="楷体_GB2312"/>
                <w:color w:val="000000"/>
                <w:kern w:val="0"/>
                <w:szCs w:val="21"/>
              </w:rPr>
            </w:pPr>
            <w:r>
              <w:rPr>
                <w:rFonts w:eastAsia="楷体_GB2312"/>
                <w:color w:val="000000"/>
                <w:kern w:val="0"/>
                <w:szCs w:val="21"/>
              </w:rPr>
              <w:t>褚兰镇中心小学</w:t>
            </w:r>
          </w:p>
        </w:tc>
        <w:tc>
          <w:tcPr>
            <w:tcW w:w="850" w:type="dxa"/>
            <w:noWrap/>
            <w:vAlign w:val="center"/>
          </w:tcPr>
          <w:p w14:paraId="4008A412">
            <w:pPr>
              <w:jc w:val="center"/>
              <w:rPr>
                <w:color w:val="000000"/>
                <w:kern w:val="0"/>
                <w:sz w:val="22"/>
                <w:szCs w:val="22"/>
              </w:rPr>
            </w:pPr>
            <w:r>
              <w:rPr>
                <w:color w:val="000000"/>
                <w:kern w:val="0"/>
                <w:sz w:val="22"/>
                <w:szCs w:val="22"/>
              </w:rPr>
              <w:t>1.0000</w:t>
            </w:r>
          </w:p>
        </w:tc>
        <w:tc>
          <w:tcPr>
            <w:tcW w:w="567" w:type="dxa"/>
            <w:noWrap/>
            <w:vAlign w:val="center"/>
          </w:tcPr>
          <w:p w14:paraId="50F38F47">
            <w:pPr>
              <w:jc w:val="center"/>
              <w:rPr>
                <w:color w:val="000000"/>
                <w:kern w:val="0"/>
                <w:sz w:val="22"/>
                <w:szCs w:val="22"/>
              </w:rPr>
            </w:pPr>
            <w:r>
              <w:rPr>
                <w:color w:val="000000"/>
                <w:kern w:val="0"/>
                <w:sz w:val="22"/>
                <w:szCs w:val="22"/>
              </w:rPr>
              <w:t>1</w:t>
            </w:r>
          </w:p>
        </w:tc>
        <w:tc>
          <w:tcPr>
            <w:tcW w:w="709" w:type="dxa"/>
            <w:noWrap w:val="0"/>
            <w:vAlign w:val="center"/>
          </w:tcPr>
          <w:p w14:paraId="36DD60B7">
            <w:pPr>
              <w:jc w:val="center"/>
              <w:rPr>
                <w:color w:val="000000"/>
                <w:kern w:val="0"/>
                <w:szCs w:val="21"/>
              </w:rPr>
            </w:pPr>
            <w:r>
              <w:rPr>
                <w:color w:val="000000"/>
                <w:kern w:val="0"/>
                <w:szCs w:val="21"/>
              </w:rPr>
              <w:t>100</w:t>
            </w:r>
          </w:p>
        </w:tc>
        <w:tc>
          <w:tcPr>
            <w:tcW w:w="1274" w:type="dxa"/>
            <w:noWrap/>
            <w:vAlign w:val="center"/>
          </w:tcPr>
          <w:p w14:paraId="695CD346">
            <w:pPr>
              <w:jc w:val="center"/>
              <w:rPr>
                <w:color w:val="000000"/>
                <w:kern w:val="0"/>
                <w:sz w:val="22"/>
                <w:szCs w:val="22"/>
              </w:rPr>
            </w:pPr>
            <w:r>
              <w:rPr>
                <w:rFonts w:hint="eastAsia"/>
                <w:color w:val="000000"/>
                <w:kern w:val="0"/>
                <w:sz w:val="22"/>
                <w:szCs w:val="22"/>
              </w:rPr>
              <w:t>1400</w:t>
            </w:r>
          </w:p>
        </w:tc>
      </w:tr>
      <w:tr w14:paraId="51263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continue"/>
            <w:noWrap w:val="0"/>
            <w:vAlign w:val="center"/>
          </w:tcPr>
          <w:p w14:paraId="6B821828">
            <w:pPr>
              <w:jc w:val="center"/>
              <w:rPr>
                <w:color w:val="000000"/>
                <w:kern w:val="0"/>
                <w:szCs w:val="21"/>
              </w:rPr>
            </w:pPr>
          </w:p>
        </w:tc>
        <w:tc>
          <w:tcPr>
            <w:tcW w:w="1134" w:type="dxa"/>
            <w:vMerge w:val="continue"/>
            <w:noWrap w:val="0"/>
            <w:vAlign w:val="center"/>
          </w:tcPr>
          <w:p w14:paraId="1CAE8E16">
            <w:pPr>
              <w:jc w:val="center"/>
              <w:rPr>
                <w:rFonts w:eastAsia="楷体_GB2312"/>
                <w:color w:val="000000"/>
                <w:kern w:val="0"/>
                <w:szCs w:val="21"/>
              </w:rPr>
            </w:pPr>
          </w:p>
        </w:tc>
        <w:tc>
          <w:tcPr>
            <w:tcW w:w="873" w:type="dxa"/>
            <w:noWrap w:val="0"/>
            <w:vAlign w:val="center"/>
          </w:tcPr>
          <w:p w14:paraId="7F477660">
            <w:pPr>
              <w:jc w:val="center"/>
              <w:rPr>
                <w:color w:val="000000"/>
                <w:kern w:val="0"/>
                <w:szCs w:val="21"/>
              </w:rPr>
            </w:pPr>
            <w:r>
              <w:rPr>
                <w:color w:val="000000"/>
                <w:kern w:val="0"/>
                <w:szCs w:val="21"/>
              </w:rPr>
              <w:t>2</w:t>
            </w:r>
          </w:p>
        </w:tc>
        <w:tc>
          <w:tcPr>
            <w:tcW w:w="2813" w:type="dxa"/>
            <w:noWrap w:val="0"/>
            <w:vAlign w:val="center"/>
          </w:tcPr>
          <w:p w14:paraId="0FBB9C2D">
            <w:pPr>
              <w:jc w:val="center"/>
              <w:rPr>
                <w:rFonts w:eastAsia="楷体_GB2312"/>
                <w:color w:val="000000"/>
                <w:kern w:val="0"/>
                <w:szCs w:val="21"/>
              </w:rPr>
            </w:pPr>
            <w:r>
              <w:rPr>
                <w:rFonts w:eastAsia="楷体_GB2312"/>
                <w:color w:val="000000"/>
                <w:kern w:val="0"/>
                <w:szCs w:val="21"/>
              </w:rPr>
              <w:t>褚兰镇街东小学</w:t>
            </w:r>
          </w:p>
        </w:tc>
        <w:tc>
          <w:tcPr>
            <w:tcW w:w="850" w:type="dxa"/>
            <w:noWrap/>
            <w:vAlign w:val="center"/>
          </w:tcPr>
          <w:p w14:paraId="00113B6C">
            <w:pPr>
              <w:jc w:val="center"/>
              <w:rPr>
                <w:color w:val="000000"/>
                <w:kern w:val="0"/>
                <w:sz w:val="22"/>
                <w:szCs w:val="22"/>
              </w:rPr>
            </w:pPr>
            <w:r>
              <w:rPr>
                <w:color w:val="000000"/>
                <w:kern w:val="0"/>
                <w:sz w:val="22"/>
                <w:szCs w:val="22"/>
              </w:rPr>
              <w:t>0.2621</w:t>
            </w:r>
          </w:p>
        </w:tc>
        <w:tc>
          <w:tcPr>
            <w:tcW w:w="567" w:type="dxa"/>
            <w:noWrap/>
            <w:vAlign w:val="center"/>
          </w:tcPr>
          <w:p w14:paraId="5B1ED091">
            <w:pPr>
              <w:jc w:val="center"/>
              <w:rPr>
                <w:color w:val="000000"/>
                <w:kern w:val="0"/>
                <w:sz w:val="22"/>
                <w:szCs w:val="22"/>
              </w:rPr>
            </w:pPr>
            <w:r>
              <w:rPr>
                <w:color w:val="000000"/>
                <w:kern w:val="0"/>
                <w:sz w:val="22"/>
                <w:szCs w:val="22"/>
              </w:rPr>
              <w:t>2</w:t>
            </w:r>
          </w:p>
        </w:tc>
        <w:tc>
          <w:tcPr>
            <w:tcW w:w="709" w:type="dxa"/>
            <w:noWrap w:val="0"/>
            <w:vAlign w:val="center"/>
          </w:tcPr>
          <w:p w14:paraId="790426CC">
            <w:pPr>
              <w:jc w:val="center"/>
              <w:rPr>
                <w:color w:val="000000"/>
                <w:kern w:val="0"/>
                <w:szCs w:val="21"/>
              </w:rPr>
            </w:pPr>
            <w:r>
              <w:rPr>
                <w:color w:val="000000"/>
                <w:kern w:val="0"/>
                <w:szCs w:val="21"/>
              </w:rPr>
              <w:t>26</w:t>
            </w:r>
          </w:p>
        </w:tc>
        <w:tc>
          <w:tcPr>
            <w:tcW w:w="1274" w:type="dxa"/>
            <w:noWrap/>
            <w:vAlign w:val="center"/>
          </w:tcPr>
          <w:p w14:paraId="2B8E20F4">
            <w:pPr>
              <w:jc w:val="center"/>
              <w:rPr>
                <w:color w:val="000000"/>
                <w:kern w:val="0"/>
                <w:sz w:val="22"/>
                <w:szCs w:val="22"/>
              </w:rPr>
            </w:pPr>
            <w:r>
              <w:rPr>
                <w:rFonts w:hint="eastAsia"/>
                <w:color w:val="000000"/>
                <w:kern w:val="0"/>
                <w:sz w:val="22"/>
                <w:szCs w:val="22"/>
              </w:rPr>
              <w:t>1300</w:t>
            </w:r>
          </w:p>
        </w:tc>
      </w:tr>
      <w:tr w14:paraId="65BC6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restart"/>
            <w:noWrap w:val="0"/>
            <w:vAlign w:val="center"/>
          </w:tcPr>
          <w:p w14:paraId="6A85A37D">
            <w:pPr>
              <w:jc w:val="center"/>
              <w:rPr>
                <w:color w:val="000000"/>
                <w:kern w:val="0"/>
                <w:szCs w:val="21"/>
              </w:rPr>
            </w:pPr>
            <w:r>
              <w:rPr>
                <w:color w:val="000000"/>
                <w:kern w:val="0"/>
                <w:szCs w:val="21"/>
              </w:rPr>
              <w:t>14</w:t>
            </w:r>
          </w:p>
        </w:tc>
        <w:tc>
          <w:tcPr>
            <w:tcW w:w="1134" w:type="dxa"/>
            <w:vMerge w:val="restart"/>
            <w:noWrap w:val="0"/>
            <w:vAlign w:val="center"/>
          </w:tcPr>
          <w:p w14:paraId="6B30B701">
            <w:pPr>
              <w:jc w:val="center"/>
              <w:rPr>
                <w:rFonts w:eastAsia="楷体_GB2312"/>
                <w:color w:val="000000"/>
                <w:kern w:val="0"/>
                <w:szCs w:val="21"/>
              </w:rPr>
            </w:pPr>
            <w:r>
              <w:rPr>
                <w:rFonts w:eastAsia="楷体_GB2312"/>
                <w:color w:val="000000"/>
                <w:kern w:val="0"/>
                <w:szCs w:val="21"/>
              </w:rPr>
              <w:t>顺河镇</w:t>
            </w:r>
          </w:p>
        </w:tc>
        <w:tc>
          <w:tcPr>
            <w:tcW w:w="873" w:type="dxa"/>
            <w:noWrap w:val="0"/>
            <w:vAlign w:val="center"/>
          </w:tcPr>
          <w:p w14:paraId="582FC936">
            <w:pPr>
              <w:jc w:val="center"/>
              <w:rPr>
                <w:color w:val="000000"/>
                <w:kern w:val="0"/>
                <w:szCs w:val="21"/>
              </w:rPr>
            </w:pPr>
            <w:r>
              <w:rPr>
                <w:color w:val="000000"/>
                <w:kern w:val="0"/>
                <w:szCs w:val="21"/>
              </w:rPr>
              <w:t>1</w:t>
            </w:r>
          </w:p>
        </w:tc>
        <w:tc>
          <w:tcPr>
            <w:tcW w:w="2813" w:type="dxa"/>
            <w:noWrap w:val="0"/>
            <w:vAlign w:val="center"/>
          </w:tcPr>
          <w:p w14:paraId="56A01BB8">
            <w:pPr>
              <w:jc w:val="center"/>
              <w:rPr>
                <w:rFonts w:eastAsia="楷体_GB2312"/>
                <w:color w:val="000000"/>
                <w:kern w:val="0"/>
                <w:szCs w:val="21"/>
              </w:rPr>
            </w:pPr>
            <w:r>
              <w:rPr>
                <w:rFonts w:eastAsia="楷体_GB2312"/>
                <w:color w:val="000000"/>
                <w:kern w:val="0"/>
                <w:szCs w:val="21"/>
              </w:rPr>
              <w:t>顺河乡中心小学</w:t>
            </w:r>
          </w:p>
        </w:tc>
        <w:tc>
          <w:tcPr>
            <w:tcW w:w="850" w:type="dxa"/>
            <w:noWrap/>
            <w:vAlign w:val="center"/>
          </w:tcPr>
          <w:p w14:paraId="701F0FF6">
            <w:pPr>
              <w:jc w:val="center"/>
              <w:rPr>
                <w:color w:val="000000"/>
                <w:kern w:val="0"/>
                <w:sz w:val="22"/>
                <w:szCs w:val="22"/>
              </w:rPr>
            </w:pPr>
            <w:r>
              <w:rPr>
                <w:color w:val="000000"/>
                <w:kern w:val="0"/>
                <w:sz w:val="22"/>
                <w:szCs w:val="22"/>
              </w:rPr>
              <w:t>1.0000</w:t>
            </w:r>
          </w:p>
        </w:tc>
        <w:tc>
          <w:tcPr>
            <w:tcW w:w="567" w:type="dxa"/>
            <w:noWrap/>
            <w:vAlign w:val="center"/>
          </w:tcPr>
          <w:p w14:paraId="4C56A517">
            <w:pPr>
              <w:jc w:val="center"/>
              <w:rPr>
                <w:color w:val="000000"/>
                <w:kern w:val="0"/>
                <w:sz w:val="22"/>
                <w:szCs w:val="22"/>
              </w:rPr>
            </w:pPr>
            <w:r>
              <w:rPr>
                <w:color w:val="000000"/>
                <w:kern w:val="0"/>
                <w:sz w:val="22"/>
                <w:szCs w:val="22"/>
              </w:rPr>
              <w:t>1</w:t>
            </w:r>
          </w:p>
        </w:tc>
        <w:tc>
          <w:tcPr>
            <w:tcW w:w="709" w:type="dxa"/>
            <w:noWrap w:val="0"/>
            <w:vAlign w:val="center"/>
          </w:tcPr>
          <w:p w14:paraId="32CBC8BA">
            <w:pPr>
              <w:jc w:val="center"/>
              <w:rPr>
                <w:color w:val="000000"/>
                <w:kern w:val="0"/>
                <w:szCs w:val="21"/>
              </w:rPr>
            </w:pPr>
            <w:r>
              <w:rPr>
                <w:color w:val="000000"/>
                <w:kern w:val="0"/>
                <w:szCs w:val="21"/>
              </w:rPr>
              <w:t>100</w:t>
            </w:r>
          </w:p>
        </w:tc>
        <w:tc>
          <w:tcPr>
            <w:tcW w:w="1274" w:type="dxa"/>
            <w:noWrap/>
            <w:vAlign w:val="center"/>
          </w:tcPr>
          <w:p w14:paraId="6E938EF3">
            <w:pPr>
              <w:jc w:val="center"/>
              <w:rPr>
                <w:color w:val="000000"/>
                <w:kern w:val="0"/>
                <w:sz w:val="22"/>
                <w:szCs w:val="22"/>
              </w:rPr>
            </w:pPr>
            <w:r>
              <w:rPr>
                <w:rFonts w:hint="eastAsia"/>
                <w:color w:val="000000"/>
                <w:kern w:val="0"/>
                <w:sz w:val="22"/>
                <w:szCs w:val="22"/>
              </w:rPr>
              <w:t>3000</w:t>
            </w:r>
          </w:p>
        </w:tc>
      </w:tr>
      <w:tr w14:paraId="4A868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continue"/>
            <w:noWrap w:val="0"/>
            <w:vAlign w:val="center"/>
          </w:tcPr>
          <w:p w14:paraId="4131D87E">
            <w:pPr>
              <w:jc w:val="center"/>
              <w:rPr>
                <w:color w:val="000000"/>
                <w:kern w:val="0"/>
                <w:szCs w:val="21"/>
              </w:rPr>
            </w:pPr>
          </w:p>
        </w:tc>
        <w:tc>
          <w:tcPr>
            <w:tcW w:w="1134" w:type="dxa"/>
            <w:vMerge w:val="continue"/>
            <w:noWrap w:val="0"/>
            <w:vAlign w:val="center"/>
          </w:tcPr>
          <w:p w14:paraId="00EBDA22">
            <w:pPr>
              <w:jc w:val="center"/>
              <w:rPr>
                <w:rFonts w:eastAsia="楷体_GB2312"/>
                <w:color w:val="000000"/>
                <w:kern w:val="0"/>
                <w:szCs w:val="21"/>
              </w:rPr>
            </w:pPr>
          </w:p>
        </w:tc>
        <w:tc>
          <w:tcPr>
            <w:tcW w:w="873" w:type="dxa"/>
            <w:noWrap w:val="0"/>
            <w:vAlign w:val="center"/>
          </w:tcPr>
          <w:p w14:paraId="2CAA2E0A">
            <w:pPr>
              <w:jc w:val="center"/>
              <w:rPr>
                <w:color w:val="000000"/>
                <w:kern w:val="0"/>
                <w:szCs w:val="21"/>
              </w:rPr>
            </w:pPr>
            <w:r>
              <w:rPr>
                <w:color w:val="000000"/>
                <w:kern w:val="0"/>
                <w:szCs w:val="21"/>
              </w:rPr>
              <w:t>2</w:t>
            </w:r>
          </w:p>
        </w:tc>
        <w:tc>
          <w:tcPr>
            <w:tcW w:w="2813" w:type="dxa"/>
            <w:noWrap w:val="0"/>
            <w:vAlign w:val="center"/>
          </w:tcPr>
          <w:p w14:paraId="3B856E5A">
            <w:pPr>
              <w:jc w:val="center"/>
              <w:rPr>
                <w:rFonts w:eastAsia="楷体_GB2312"/>
                <w:color w:val="000000"/>
                <w:kern w:val="0"/>
                <w:szCs w:val="21"/>
              </w:rPr>
            </w:pPr>
            <w:r>
              <w:rPr>
                <w:rFonts w:eastAsia="楷体_GB2312"/>
                <w:color w:val="000000"/>
                <w:kern w:val="0"/>
                <w:szCs w:val="21"/>
              </w:rPr>
              <w:t>八孔桥小学</w:t>
            </w:r>
          </w:p>
        </w:tc>
        <w:tc>
          <w:tcPr>
            <w:tcW w:w="850" w:type="dxa"/>
            <w:noWrap/>
            <w:vAlign w:val="center"/>
          </w:tcPr>
          <w:p w14:paraId="0316D066">
            <w:pPr>
              <w:jc w:val="center"/>
              <w:rPr>
                <w:color w:val="000000"/>
                <w:kern w:val="0"/>
                <w:sz w:val="22"/>
                <w:szCs w:val="22"/>
              </w:rPr>
            </w:pPr>
            <w:r>
              <w:rPr>
                <w:color w:val="000000"/>
                <w:kern w:val="0"/>
                <w:sz w:val="22"/>
                <w:szCs w:val="22"/>
              </w:rPr>
              <w:t>0.0762</w:t>
            </w:r>
          </w:p>
        </w:tc>
        <w:tc>
          <w:tcPr>
            <w:tcW w:w="567" w:type="dxa"/>
            <w:noWrap/>
            <w:vAlign w:val="center"/>
          </w:tcPr>
          <w:p w14:paraId="3A17FCC0">
            <w:pPr>
              <w:jc w:val="center"/>
              <w:rPr>
                <w:color w:val="000000"/>
                <w:kern w:val="0"/>
                <w:sz w:val="22"/>
                <w:szCs w:val="22"/>
              </w:rPr>
            </w:pPr>
            <w:r>
              <w:rPr>
                <w:color w:val="000000"/>
                <w:kern w:val="0"/>
                <w:sz w:val="22"/>
                <w:szCs w:val="22"/>
              </w:rPr>
              <w:t>2</w:t>
            </w:r>
          </w:p>
        </w:tc>
        <w:tc>
          <w:tcPr>
            <w:tcW w:w="709" w:type="dxa"/>
            <w:noWrap w:val="0"/>
            <w:vAlign w:val="center"/>
          </w:tcPr>
          <w:p w14:paraId="12D19D77">
            <w:pPr>
              <w:jc w:val="center"/>
              <w:rPr>
                <w:color w:val="000000"/>
                <w:kern w:val="0"/>
                <w:szCs w:val="21"/>
              </w:rPr>
            </w:pPr>
            <w:r>
              <w:rPr>
                <w:color w:val="000000"/>
                <w:kern w:val="0"/>
                <w:szCs w:val="21"/>
              </w:rPr>
              <w:t>8</w:t>
            </w:r>
          </w:p>
        </w:tc>
        <w:tc>
          <w:tcPr>
            <w:tcW w:w="1274" w:type="dxa"/>
            <w:noWrap/>
            <w:vAlign w:val="center"/>
          </w:tcPr>
          <w:p w14:paraId="7DFEA3E1">
            <w:pPr>
              <w:jc w:val="center"/>
              <w:rPr>
                <w:color w:val="000000"/>
                <w:kern w:val="0"/>
                <w:sz w:val="22"/>
                <w:szCs w:val="22"/>
              </w:rPr>
            </w:pPr>
            <w:r>
              <w:rPr>
                <w:rFonts w:hint="eastAsia"/>
                <w:color w:val="000000"/>
                <w:kern w:val="0"/>
                <w:sz w:val="22"/>
                <w:szCs w:val="22"/>
              </w:rPr>
              <w:t>2800</w:t>
            </w:r>
          </w:p>
        </w:tc>
      </w:tr>
      <w:tr w14:paraId="78C26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71EB6C51">
            <w:pPr>
              <w:jc w:val="center"/>
              <w:rPr>
                <w:color w:val="000000"/>
                <w:kern w:val="0"/>
                <w:szCs w:val="21"/>
              </w:rPr>
            </w:pPr>
            <w:r>
              <w:rPr>
                <w:color w:val="000000"/>
                <w:kern w:val="0"/>
                <w:szCs w:val="21"/>
              </w:rPr>
              <w:t>15</w:t>
            </w:r>
          </w:p>
        </w:tc>
        <w:tc>
          <w:tcPr>
            <w:tcW w:w="1134" w:type="dxa"/>
            <w:noWrap w:val="0"/>
            <w:vAlign w:val="center"/>
          </w:tcPr>
          <w:p w14:paraId="04EF37AE">
            <w:pPr>
              <w:jc w:val="center"/>
              <w:rPr>
                <w:rFonts w:eastAsia="楷体_GB2312"/>
                <w:color w:val="000000"/>
                <w:kern w:val="0"/>
                <w:szCs w:val="21"/>
              </w:rPr>
            </w:pPr>
            <w:r>
              <w:rPr>
                <w:rFonts w:eastAsia="楷体_GB2312"/>
                <w:color w:val="000000"/>
                <w:kern w:val="0"/>
                <w:szCs w:val="21"/>
              </w:rPr>
              <w:t>杨庄镇</w:t>
            </w:r>
          </w:p>
        </w:tc>
        <w:tc>
          <w:tcPr>
            <w:tcW w:w="873" w:type="dxa"/>
            <w:noWrap w:val="0"/>
            <w:vAlign w:val="center"/>
          </w:tcPr>
          <w:p w14:paraId="16CD351B">
            <w:pPr>
              <w:jc w:val="center"/>
              <w:rPr>
                <w:color w:val="000000"/>
                <w:kern w:val="0"/>
                <w:szCs w:val="21"/>
              </w:rPr>
            </w:pPr>
            <w:r>
              <w:rPr>
                <w:color w:val="000000"/>
                <w:kern w:val="0"/>
                <w:szCs w:val="21"/>
              </w:rPr>
              <w:t>1</w:t>
            </w:r>
          </w:p>
        </w:tc>
        <w:tc>
          <w:tcPr>
            <w:tcW w:w="2813" w:type="dxa"/>
            <w:noWrap w:val="0"/>
            <w:vAlign w:val="center"/>
          </w:tcPr>
          <w:p w14:paraId="728210D0">
            <w:pPr>
              <w:jc w:val="center"/>
              <w:rPr>
                <w:rFonts w:eastAsia="楷体_GB2312"/>
                <w:color w:val="000000"/>
                <w:kern w:val="0"/>
                <w:szCs w:val="21"/>
              </w:rPr>
            </w:pPr>
            <w:r>
              <w:rPr>
                <w:rFonts w:eastAsia="楷体_GB2312"/>
                <w:color w:val="000000"/>
                <w:kern w:val="0"/>
                <w:szCs w:val="21"/>
              </w:rPr>
              <w:t>杨庄中心小学</w:t>
            </w:r>
          </w:p>
        </w:tc>
        <w:tc>
          <w:tcPr>
            <w:tcW w:w="850" w:type="dxa"/>
            <w:noWrap/>
            <w:vAlign w:val="center"/>
          </w:tcPr>
          <w:p w14:paraId="29B9CFF2">
            <w:pPr>
              <w:jc w:val="center"/>
              <w:rPr>
                <w:color w:val="000000"/>
                <w:kern w:val="0"/>
                <w:sz w:val="22"/>
                <w:szCs w:val="22"/>
              </w:rPr>
            </w:pPr>
            <w:r>
              <w:rPr>
                <w:color w:val="000000"/>
                <w:kern w:val="0"/>
                <w:sz w:val="22"/>
                <w:szCs w:val="22"/>
              </w:rPr>
              <w:t>1.0000</w:t>
            </w:r>
          </w:p>
        </w:tc>
        <w:tc>
          <w:tcPr>
            <w:tcW w:w="567" w:type="dxa"/>
            <w:noWrap/>
            <w:vAlign w:val="center"/>
          </w:tcPr>
          <w:p w14:paraId="7B3CB839">
            <w:pPr>
              <w:jc w:val="center"/>
              <w:rPr>
                <w:color w:val="000000"/>
                <w:kern w:val="0"/>
                <w:sz w:val="22"/>
                <w:szCs w:val="22"/>
              </w:rPr>
            </w:pPr>
            <w:r>
              <w:rPr>
                <w:color w:val="000000"/>
                <w:kern w:val="0"/>
                <w:sz w:val="22"/>
                <w:szCs w:val="22"/>
              </w:rPr>
              <w:t>1</w:t>
            </w:r>
          </w:p>
        </w:tc>
        <w:tc>
          <w:tcPr>
            <w:tcW w:w="709" w:type="dxa"/>
            <w:noWrap w:val="0"/>
            <w:vAlign w:val="center"/>
          </w:tcPr>
          <w:p w14:paraId="3F4A4C4C">
            <w:pPr>
              <w:jc w:val="center"/>
              <w:rPr>
                <w:color w:val="000000"/>
                <w:kern w:val="0"/>
                <w:szCs w:val="21"/>
              </w:rPr>
            </w:pPr>
            <w:r>
              <w:rPr>
                <w:color w:val="000000"/>
                <w:kern w:val="0"/>
                <w:szCs w:val="21"/>
              </w:rPr>
              <w:t>100</w:t>
            </w:r>
          </w:p>
        </w:tc>
        <w:tc>
          <w:tcPr>
            <w:tcW w:w="1274" w:type="dxa"/>
            <w:noWrap/>
            <w:vAlign w:val="center"/>
          </w:tcPr>
          <w:p w14:paraId="2C0126BE">
            <w:pPr>
              <w:jc w:val="center"/>
              <w:rPr>
                <w:color w:val="000000"/>
                <w:kern w:val="0"/>
                <w:sz w:val="22"/>
                <w:szCs w:val="22"/>
              </w:rPr>
            </w:pPr>
            <w:r>
              <w:rPr>
                <w:rFonts w:hint="eastAsia"/>
                <w:color w:val="000000"/>
                <w:kern w:val="0"/>
                <w:sz w:val="22"/>
                <w:szCs w:val="22"/>
              </w:rPr>
              <w:t>1200</w:t>
            </w:r>
          </w:p>
        </w:tc>
      </w:tr>
      <w:tr w14:paraId="18B2D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71033A3D">
            <w:pPr>
              <w:jc w:val="center"/>
              <w:rPr>
                <w:color w:val="000000"/>
                <w:kern w:val="0"/>
                <w:szCs w:val="21"/>
              </w:rPr>
            </w:pPr>
            <w:r>
              <w:rPr>
                <w:color w:val="000000"/>
                <w:kern w:val="0"/>
                <w:szCs w:val="21"/>
              </w:rPr>
              <w:t>16</w:t>
            </w:r>
          </w:p>
        </w:tc>
        <w:tc>
          <w:tcPr>
            <w:tcW w:w="1134" w:type="dxa"/>
            <w:noWrap w:val="0"/>
            <w:vAlign w:val="center"/>
          </w:tcPr>
          <w:p w14:paraId="6EB565B8">
            <w:pPr>
              <w:jc w:val="center"/>
              <w:rPr>
                <w:rFonts w:eastAsia="楷体_GB2312"/>
                <w:color w:val="000000"/>
                <w:kern w:val="0"/>
                <w:szCs w:val="21"/>
              </w:rPr>
            </w:pPr>
            <w:r>
              <w:rPr>
                <w:rFonts w:eastAsia="楷体_GB2312"/>
                <w:color w:val="000000"/>
                <w:kern w:val="0"/>
                <w:szCs w:val="21"/>
              </w:rPr>
              <w:t>永镇乡</w:t>
            </w:r>
          </w:p>
        </w:tc>
        <w:tc>
          <w:tcPr>
            <w:tcW w:w="873" w:type="dxa"/>
            <w:noWrap w:val="0"/>
            <w:vAlign w:val="center"/>
          </w:tcPr>
          <w:p w14:paraId="5B9FEA2A">
            <w:pPr>
              <w:jc w:val="center"/>
              <w:rPr>
                <w:color w:val="000000"/>
                <w:kern w:val="0"/>
                <w:szCs w:val="21"/>
              </w:rPr>
            </w:pPr>
            <w:r>
              <w:rPr>
                <w:color w:val="000000"/>
                <w:kern w:val="0"/>
                <w:szCs w:val="21"/>
              </w:rPr>
              <w:t>1</w:t>
            </w:r>
          </w:p>
        </w:tc>
        <w:tc>
          <w:tcPr>
            <w:tcW w:w="2813" w:type="dxa"/>
            <w:noWrap w:val="0"/>
            <w:vAlign w:val="center"/>
          </w:tcPr>
          <w:p w14:paraId="250264E6">
            <w:pPr>
              <w:jc w:val="center"/>
              <w:rPr>
                <w:rFonts w:eastAsia="楷体_GB2312"/>
                <w:color w:val="000000"/>
                <w:kern w:val="0"/>
                <w:szCs w:val="21"/>
              </w:rPr>
            </w:pPr>
            <w:r>
              <w:rPr>
                <w:rFonts w:eastAsia="楷体_GB2312"/>
                <w:color w:val="000000"/>
                <w:kern w:val="0"/>
                <w:szCs w:val="21"/>
              </w:rPr>
              <w:t>永镇乡中心小学</w:t>
            </w:r>
          </w:p>
        </w:tc>
        <w:tc>
          <w:tcPr>
            <w:tcW w:w="850" w:type="dxa"/>
            <w:noWrap/>
            <w:vAlign w:val="center"/>
          </w:tcPr>
          <w:p w14:paraId="54AA9ECC">
            <w:pPr>
              <w:jc w:val="center"/>
              <w:rPr>
                <w:color w:val="000000"/>
                <w:kern w:val="0"/>
                <w:sz w:val="22"/>
                <w:szCs w:val="22"/>
              </w:rPr>
            </w:pPr>
            <w:r>
              <w:rPr>
                <w:color w:val="000000"/>
                <w:kern w:val="0"/>
                <w:sz w:val="22"/>
                <w:szCs w:val="22"/>
              </w:rPr>
              <w:t>1.0000</w:t>
            </w:r>
          </w:p>
        </w:tc>
        <w:tc>
          <w:tcPr>
            <w:tcW w:w="567" w:type="dxa"/>
            <w:noWrap/>
            <w:vAlign w:val="center"/>
          </w:tcPr>
          <w:p w14:paraId="1CF8D549">
            <w:pPr>
              <w:jc w:val="center"/>
              <w:rPr>
                <w:color w:val="000000"/>
                <w:kern w:val="0"/>
                <w:sz w:val="22"/>
                <w:szCs w:val="22"/>
              </w:rPr>
            </w:pPr>
            <w:r>
              <w:rPr>
                <w:rFonts w:hint="eastAsia"/>
                <w:color w:val="000000"/>
                <w:kern w:val="0"/>
                <w:sz w:val="22"/>
                <w:szCs w:val="22"/>
              </w:rPr>
              <w:t>1</w:t>
            </w:r>
          </w:p>
        </w:tc>
        <w:tc>
          <w:tcPr>
            <w:tcW w:w="709" w:type="dxa"/>
            <w:noWrap w:val="0"/>
            <w:vAlign w:val="center"/>
          </w:tcPr>
          <w:p w14:paraId="486420B7">
            <w:pPr>
              <w:jc w:val="center"/>
              <w:rPr>
                <w:color w:val="000000"/>
                <w:kern w:val="0"/>
                <w:szCs w:val="21"/>
              </w:rPr>
            </w:pPr>
            <w:r>
              <w:rPr>
                <w:color w:val="000000"/>
                <w:kern w:val="0"/>
                <w:szCs w:val="21"/>
              </w:rPr>
              <w:t>100</w:t>
            </w:r>
          </w:p>
        </w:tc>
        <w:tc>
          <w:tcPr>
            <w:tcW w:w="1274" w:type="dxa"/>
            <w:noWrap/>
            <w:vAlign w:val="center"/>
          </w:tcPr>
          <w:p w14:paraId="2426F854">
            <w:pPr>
              <w:jc w:val="center"/>
              <w:rPr>
                <w:color w:val="000000"/>
                <w:kern w:val="0"/>
                <w:sz w:val="22"/>
                <w:szCs w:val="22"/>
              </w:rPr>
            </w:pPr>
            <w:r>
              <w:rPr>
                <w:rFonts w:hint="eastAsia"/>
                <w:color w:val="000000"/>
                <w:kern w:val="0"/>
                <w:sz w:val="22"/>
                <w:szCs w:val="22"/>
              </w:rPr>
              <w:t>2000</w:t>
            </w:r>
          </w:p>
        </w:tc>
      </w:tr>
      <w:tr w14:paraId="2D6B7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restart"/>
            <w:noWrap w:val="0"/>
            <w:vAlign w:val="center"/>
          </w:tcPr>
          <w:p w14:paraId="7FF9FA89">
            <w:pPr>
              <w:jc w:val="center"/>
              <w:rPr>
                <w:color w:val="000000"/>
                <w:kern w:val="0"/>
                <w:szCs w:val="21"/>
              </w:rPr>
            </w:pPr>
            <w:r>
              <w:rPr>
                <w:color w:val="000000"/>
                <w:kern w:val="0"/>
                <w:szCs w:val="21"/>
              </w:rPr>
              <w:t>17</w:t>
            </w:r>
          </w:p>
        </w:tc>
        <w:tc>
          <w:tcPr>
            <w:tcW w:w="1134" w:type="dxa"/>
            <w:vMerge w:val="restart"/>
            <w:noWrap w:val="0"/>
            <w:vAlign w:val="center"/>
          </w:tcPr>
          <w:p w14:paraId="6746ECD4">
            <w:pPr>
              <w:jc w:val="center"/>
              <w:rPr>
                <w:rFonts w:eastAsia="楷体_GB2312"/>
                <w:color w:val="000000"/>
                <w:kern w:val="0"/>
                <w:szCs w:val="21"/>
              </w:rPr>
            </w:pPr>
            <w:r>
              <w:rPr>
                <w:rFonts w:eastAsia="楷体_GB2312"/>
                <w:color w:val="000000"/>
                <w:kern w:val="0"/>
                <w:szCs w:val="21"/>
              </w:rPr>
              <w:t>解集镇</w:t>
            </w:r>
          </w:p>
        </w:tc>
        <w:tc>
          <w:tcPr>
            <w:tcW w:w="873" w:type="dxa"/>
            <w:noWrap w:val="0"/>
            <w:vAlign w:val="center"/>
          </w:tcPr>
          <w:p w14:paraId="159A47DB">
            <w:pPr>
              <w:jc w:val="center"/>
              <w:rPr>
                <w:color w:val="000000"/>
                <w:kern w:val="0"/>
                <w:szCs w:val="21"/>
              </w:rPr>
            </w:pPr>
            <w:r>
              <w:rPr>
                <w:color w:val="000000"/>
                <w:kern w:val="0"/>
                <w:szCs w:val="21"/>
              </w:rPr>
              <w:t>1</w:t>
            </w:r>
          </w:p>
        </w:tc>
        <w:tc>
          <w:tcPr>
            <w:tcW w:w="2813" w:type="dxa"/>
            <w:noWrap w:val="0"/>
            <w:vAlign w:val="center"/>
          </w:tcPr>
          <w:p w14:paraId="5E5325B6">
            <w:pPr>
              <w:jc w:val="center"/>
              <w:rPr>
                <w:rFonts w:eastAsia="楷体_GB2312"/>
                <w:color w:val="000000"/>
                <w:kern w:val="0"/>
                <w:szCs w:val="21"/>
              </w:rPr>
            </w:pPr>
            <w:r>
              <w:rPr>
                <w:rFonts w:eastAsia="楷体_GB2312"/>
                <w:color w:val="000000"/>
                <w:kern w:val="0"/>
                <w:szCs w:val="21"/>
              </w:rPr>
              <w:t>谢集中心小学</w:t>
            </w:r>
          </w:p>
        </w:tc>
        <w:tc>
          <w:tcPr>
            <w:tcW w:w="850" w:type="dxa"/>
            <w:noWrap/>
            <w:vAlign w:val="center"/>
          </w:tcPr>
          <w:p w14:paraId="0A1E3572">
            <w:pPr>
              <w:jc w:val="center"/>
              <w:rPr>
                <w:color w:val="000000"/>
                <w:kern w:val="0"/>
                <w:sz w:val="22"/>
                <w:szCs w:val="22"/>
              </w:rPr>
            </w:pPr>
            <w:r>
              <w:rPr>
                <w:color w:val="000000"/>
                <w:kern w:val="0"/>
                <w:sz w:val="22"/>
                <w:szCs w:val="22"/>
              </w:rPr>
              <w:t>1.0000</w:t>
            </w:r>
          </w:p>
        </w:tc>
        <w:tc>
          <w:tcPr>
            <w:tcW w:w="567" w:type="dxa"/>
            <w:noWrap/>
            <w:vAlign w:val="center"/>
          </w:tcPr>
          <w:p w14:paraId="300E37A1">
            <w:pPr>
              <w:jc w:val="center"/>
              <w:rPr>
                <w:color w:val="000000"/>
                <w:kern w:val="0"/>
                <w:sz w:val="22"/>
                <w:szCs w:val="22"/>
              </w:rPr>
            </w:pPr>
            <w:r>
              <w:rPr>
                <w:rFonts w:hint="eastAsia"/>
                <w:color w:val="000000"/>
                <w:kern w:val="0"/>
                <w:sz w:val="22"/>
                <w:szCs w:val="22"/>
              </w:rPr>
              <w:t>1</w:t>
            </w:r>
          </w:p>
        </w:tc>
        <w:tc>
          <w:tcPr>
            <w:tcW w:w="709" w:type="dxa"/>
            <w:noWrap w:val="0"/>
            <w:vAlign w:val="center"/>
          </w:tcPr>
          <w:p w14:paraId="465337A9">
            <w:pPr>
              <w:jc w:val="center"/>
              <w:rPr>
                <w:color w:val="000000"/>
                <w:kern w:val="0"/>
                <w:szCs w:val="21"/>
              </w:rPr>
            </w:pPr>
            <w:r>
              <w:rPr>
                <w:color w:val="000000"/>
                <w:kern w:val="0"/>
                <w:szCs w:val="21"/>
              </w:rPr>
              <w:t>100</w:t>
            </w:r>
          </w:p>
        </w:tc>
        <w:tc>
          <w:tcPr>
            <w:tcW w:w="1274" w:type="dxa"/>
            <w:noWrap/>
            <w:vAlign w:val="center"/>
          </w:tcPr>
          <w:p w14:paraId="68025CED">
            <w:pPr>
              <w:jc w:val="center"/>
              <w:rPr>
                <w:color w:val="000000"/>
                <w:kern w:val="0"/>
                <w:sz w:val="22"/>
                <w:szCs w:val="22"/>
              </w:rPr>
            </w:pPr>
            <w:r>
              <w:rPr>
                <w:rFonts w:hint="eastAsia"/>
                <w:color w:val="000000"/>
                <w:kern w:val="0"/>
                <w:sz w:val="22"/>
                <w:szCs w:val="22"/>
              </w:rPr>
              <w:t>1500</w:t>
            </w:r>
          </w:p>
        </w:tc>
      </w:tr>
      <w:tr w14:paraId="40A1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continue"/>
            <w:noWrap w:val="0"/>
            <w:vAlign w:val="center"/>
          </w:tcPr>
          <w:p w14:paraId="766E293E">
            <w:pPr>
              <w:jc w:val="center"/>
              <w:rPr>
                <w:color w:val="000000"/>
                <w:kern w:val="0"/>
                <w:szCs w:val="21"/>
              </w:rPr>
            </w:pPr>
          </w:p>
        </w:tc>
        <w:tc>
          <w:tcPr>
            <w:tcW w:w="1134" w:type="dxa"/>
            <w:vMerge w:val="continue"/>
            <w:noWrap w:val="0"/>
            <w:vAlign w:val="center"/>
          </w:tcPr>
          <w:p w14:paraId="1E987C26">
            <w:pPr>
              <w:jc w:val="center"/>
              <w:rPr>
                <w:rFonts w:eastAsia="楷体_GB2312"/>
                <w:color w:val="000000"/>
                <w:kern w:val="0"/>
                <w:szCs w:val="21"/>
              </w:rPr>
            </w:pPr>
          </w:p>
        </w:tc>
        <w:tc>
          <w:tcPr>
            <w:tcW w:w="873" w:type="dxa"/>
            <w:noWrap w:val="0"/>
            <w:vAlign w:val="center"/>
          </w:tcPr>
          <w:p w14:paraId="68F06E5E">
            <w:pPr>
              <w:jc w:val="center"/>
              <w:rPr>
                <w:color w:val="000000"/>
                <w:kern w:val="0"/>
                <w:szCs w:val="21"/>
              </w:rPr>
            </w:pPr>
            <w:r>
              <w:rPr>
                <w:color w:val="000000"/>
                <w:kern w:val="0"/>
                <w:szCs w:val="21"/>
              </w:rPr>
              <w:t>2</w:t>
            </w:r>
          </w:p>
        </w:tc>
        <w:tc>
          <w:tcPr>
            <w:tcW w:w="2813" w:type="dxa"/>
            <w:noWrap w:val="0"/>
            <w:vAlign w:val="center"/>
          </w:tcPr>
          <w:p w14:paraId="2B39B78C">
            <w:pPr>
              <w:jc w:val="center"/>
              <w:rPr>
                <w:rFonts w:eastAsia="楷体_GB2312"/>
                <w:color w:val="000000"/>
                <w:kern w:val="0"/>
                <w:szCs w:val="21"/>
              </w:rPr>
            </w:pPr>
            <w:r>
              <w:rPr>
                <w:rFonts w:eastAsia="楷体_GB2312"/>
                <w:color w:val="000000"/>
                <w:kern w:val="0"/>
                <w:szCs w:val="21"/>
              </w:rPr>
              <w:t>解集镇马台小学</w:t>
            </w:r>
          </w:p>
        </w:tc>
        <w:tc>
          <w:tcPr>
            <w:tcW w:w="850" w:type="dxa"/>
            <w:noWrap/>
            <w:vAlign w:val="center"/>
          </w:tcPr>
          <w:p w14:paraId="44D95EF1">
            <w:pPr>
              <w:jc w:val="center"/>
              <w:rPr>
                <w:color w:val="000000"/>
                <w:kern w:val="0"/>
                <w:sz w:val="22"/>
                <w:szCs w:val="22"/>
              </w:rPr>
            </w:pPr>
            <w:r>
              <w:rPr>
                <w:color w:val="000000"/>
                <w:kern w:val="0"/>
                <w:sz w:val="22"/>
                <w:szCs w:val="22"/>
              </w:rPr>
              <w:t>0.3566</w:t>
            </w:r>
          </w:p>
        </w:tc>
        <w:tc>
          <w:tcPr>
            <w:tcW w:w="567" w:type="dxa"/>
            <w:noWrap/>
            <w:vAlign w:val="center"/>
          </w:tcPr>
          <w:p w14:paraId="5E555448">
            <w:pPr>
              <w:jc w:val="center"/>
              <w:rPr>
                <w:color w:val="000000"/>
                <w:kern w:val="0"/>
                <w:sz w:val="22"/>
                <w:szCs w:val="22"/>
              </w:rPr>
            </w:pPr>
            <w:r>
              <w:rPr>
                <w:rFonts w:hint="eastAsia"/>
                <w:color w:val="000000"/>
                <w:kern w:val="0"/>
                <w:sz w:val="22"/>
                <w:szCs w:val="22"/>
              </w:rPr>
              <w:t>2</w:t>
            </w:r>
          </w:p>
        </w:tc>
        <w:tc>
          <w:tcPr>
            <w:tcW w:w="709" w:type="dxa"/>
            <w:noWrap w:val="0"/>
            <w:vAlign w:val="center"/>
          </w:tcPr>
          <w:p w14:paraId="436096DD">
            <w:pPr>
              <w:jc w:val="center"/>
              <w:rPr>
                <w:color w:val="000000"/>
                <w:kern w:val="0"/>
                <w:szCs w:val="21"/>
              </w:rPr>
            </w:pPr>
            <w:r>
              <w:rPr>
                <w:color w:val="000000"/>
                <w:kern w:val="0"/>
                <w:szCs w:val="21"/>
              </w:rPr>
              <w:t>36</w:t>
            </w:r>
          </w:p>
        </w:tc>
        <w:tc>
          <w:tcPr>
            <w:tcW w:w="1274" w:type="dxa"/>
            <w:noWrap/>
            <w:vAlign w:val="center"/>
          </w:tcPr>
          <w:p w14:paraId="4166FAA7">
            <w:pPr>
              <w:jc w:val="center"/>
              <w:rPr>
                <w:color w:val="000000"/>
                <w:kern w:val="0"/>
                <w:sz w:val="22"/>
                <w:szCs w:val="22"/>
              </w:rPr>
            </w:pPr>
            <w:r>
              <w:rPr>
                <w:rFonts w:hint="eastAsia"/>
                <w:color w:val="000000"/>
                <w:kern w:val="0"/>
                <w:sz w:val="22"/>
                <w:szCs w:val="22"/>
              </w:rPr>
              <w:t>1400</w:t>
            </w:r>
          </w:p>
        </w:tc>
      </w:tr>
      <w:tr w14:paraId="16BD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5904DC2B">
            <w:pPr>
              <w:jc w:val="center"/>
              <w:rPr>
                <w:color w:val="000000"/>
                <w:kern w:val="0"/>
                <w:szCs w:val="21"/>
              </w:rPr>
            </w:pPr>
            <w:r>
              <w:rPr>
                <w:color w:val="000000"/>
                <w:kern w:val="0"/>
                <w:szCs w:val="21"/>
              </w:rPr>
              <w:t>18</w:t>
            </w:r>
          </w:p>
        </w:tc>
        <w:tc>
          <w:tcPr>
            <w:tcW w:w="1134" w:type="dxa"/>
            <w:noWrap w:val="0"/>
            <w:vAlign w:val="center"/>
          </w:tcPr>
          <w:p w14:paraId="5A0AB379">
            <w:pPr>
              <w:jc w:val="center"/>
              <w:rPr>
                <w:rFonts w:eastAsia="楷体_GB2312"/>
                <w:color w:val="000000"/>
                <w:kern w:val="0"/>
                <w:szCs w:val="21"/>
              </w:rPr>
            </w:pPr>
            <w:r>
              <w:rPr>
                <w:rFonts w:eastAsia="楷体_GB2312"/>
                <w:color w:val="000000"/>
                <w:kern w:val="0"/>
                <w:szCs w:val="21"/>
              </w:rPr>
              <w:t>大泽乡镇</w:t>
            </w:r>
          </w:p>
        </w:tc>
        <w:tc>
          <w:tcPr>
            <w:tcW w:w="873" w:type="dxa"/>
            <w:noWrap w:val="0"/>
            <w:vAlign w:val="center"/>
          </w:tcPr>
          <w:p w14:paraId="6BFC9C4A">
            <w:pPr>
              <w:jc w:val="center"/>
              <w:rPr>
                <w:color w:val="000000"/>
                <w:kern w:val="0"/>
                <w:szCs w:val="21"/>
              </w:rPr>
            </w:pPr>
            <w:r>
              <w:rPr>
                <w:color w:val="000000"/>
                <w:kern w:val="0"/>
                <w:szCs w:val="21"/>
              </w:rPr>
              <w:t>1</w:t>
            </w:r>
          </w:p>
        </w:tc>
        <w:tc>
          <w:tcPr>
            <w:tcW w:w="2813" w:type="dxa"/>
            <w:noWrap w:val="0"/>
            <w:vAlign w:val="center"/>
          </w:tcPr>
          <w:p w14:paraId="6B169E63">
            <w:pPr>
              <w:jc w:val="center"/>
              <w:rPr>
                <w:rFonts w:eastAsia="楷体_GB2312"/>
                <w:color w:val="000000"/>
                <w:kern w:val="0"/>
                <w:szCs w:val="21"/>
              </w:rPr>
            </w:pPr>
            <w:r>
              <w:rPr>
                <w:rFonts w:eastAsia="楷体_GB2312"/>
                <w:color w:val="000000"/>
                <w:kern w:val="0"/>
                <w:szCs w:val="21"/>
              </w:rPr>
              <w:t>大泽乡镇小学</w:t>
            </w:r>
          </w:p>
        </w:tc>
        <w:tc>
          <w:tcPr>
            <w:tcW w:w="850" w:type="dxa"/>
            <w:noWrap/>
            <w:vAlign w:val="center"/>
          </w:tcPr>
          <w:p w14:paraId="2F21AFCB">
            <w:pPr>
              <w:jc w:val="center"/>
              <w:rPr>
                <w:color w:val="000000"/>
                <w:kern w:val="0"/>
                <w:sz w:val="22"/>
                <w:szCs w:val="22"/>
              </w:rPr>
            </w:pPr>
            <w:r>
              <w:rPr>
                <w:color w:val="000000"/>
                <w:kern w:val="0"/>
                <w:sz w:val="22"/>
                <w:szCs w:val="22"/>
              </w:rPr>
              <w:t>1.0000</w:t>
            </w:r>
          </w:p>
        </w:tc>
        <w:tc>
          <w:tcPr>
            <w:tcW w:w="567" w:type="dxa"/>
            <w:noWrap/>
            <w:vAlign w:val="center"/>
          </w:tcPr>
          <w:p w14:paraId="2960D084">
            <w:pPr>
              <w:jc w:val="center"/>
              <w:rPr>
                <w:color w:val="000000"/>
                <w:kern w:val="0"/>
                <w:sz w:val="22"/>
                <w:szCs w:val="22"/>
              </w:rPr>
            </w:pPr>
            <w:r>
              <w:rPr>
                <w:rFonts w:hint="eastAsia"/>
                <w:color w:val="000000"/>
                <w:kern w:val="0"/>
                <w:sz w:val="22"/>
                <w:szCs w:val="22"/>
              </w:rPr>
              <w:t>1</w:t>
            </w:r>
          </w:p>
        </w:tc>
        <w:tc>
          <w:tcPr>
            <w:tcW w:w="709" w:type="dxa"/>
            <w:noWrap w:val="0"/>
            <w:vAlign w:val="center"/>
          </w:tcPr>
          <w:p w14:paraId="6118ECE0">
            <w:pPr>
              <w:jc w:val="center"/>
              <w:rPr>
                <w:color w:val="000000"/>
                <w:kern w:val="0"/>
                <w:szCs w:val="21"/>
              </w:rPr>
            </w:pPr>
            <w:r>
              <w:rPr>
                <w:color w:val="000000"/>
                <w:kern w:val="0"/>
                <w:szCs w:val="21"/>
              </w:rPr>
              <w:t>100</w:t>
            </w:r>
          </w:p>
        </w:tc>
        <w:tc>
          <w:tcPr>
            <w:tcW w:w="1274" w:type="dxa"/>
            <w:noWrap/>
            <w:vAlign w:val="center"/>
          </w:tcPr>
          <w:p w14:paraId="2CF41B72">
            <w:pPr>
              <w:jc w:val="center"/>
              <w:rPr>
                <w:color w:val="000000"/>
                <w:kern w:val="0"/>
                <w:sz w:val="22"/>
                <w:szCs w:val="22"/>
              </w:rPr>
            </w:pPr>
            <w:r>
              <w:rPr>
                <w:rFonts w:hint="eastAsia"/>
                <w:color w:val="000000"/>
                <w:kern w:val="0"/>
                <w:sz w:val="22"/>
                <w:szCs w:val="22"/>
              </w:rPr>
              <w:t>1400</w:t>
            </w:r>
          </w:p>
        </w:tc>
      </w:tr>
      <w:tr w14:paraId="5C793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4FB0B4B6">
            <w:pPr>
              <w:jc w:val="center"/>
              <w:rPr>
                <w:color w:val="000000"/>
                <w:kern w:val="0"/>
                <w:szCs w:val="21"/>
              </w:rPr>
            </w:pPr>
            <w:r>
              <w:rPr>
                <w:color w:val="000000"/>
                <w:kern w:val="0"/>
                <w:szCs w:val="21"/>
              </w:rPr>
              <w:t>19</w:t>
            </w:r>
          </w:p>
        </w:tc>
        <w:tc>
          <w:tcPr>
            <w:tcW w:w="1134" w:type="dxa"/>
            <w:noWrap w:val="0"/>
            <w:vAlign w:val="center"/>
          </w:tcPr>
          <w:p w14:paraId="608274B2">
            <w:pPr>
              <w:jc w:val="center"/>
              <w:rPr>
                <w:rFonts w:eastAsia="楷体_GB2312"/>
                <w:color w:val="000000"/>
                <w:kern w:val="0"/>
                <w:szCs w:val="21"/>
              </w:rPr>
            </w:pPr>
            <w:r>
              <w:rPr>
                <w:rFonts w:eastAsia="楷体_GB2312"/>
                <w:color w:val="000000"/>
                <w:kern w:val="0"/>
                <w:szCs w:val="21"/>
              </w:rPr>
              <w:t>永安镇</w:t>
            </w:r>
          </w:p>
        </w:tc>
        <w:tc>
          <w:tcPr>
            <w:tcW w:w="873" w:type="dxa"/>
            <w:noWrap w:val="0"/>
            <w:vAlign w:val="center"/>
          </w:tcPr>
          <w:p w14:paraId="448E1055">
            <w:pPr>
              <w:jc w:val="center"/>
              <w:rPr>
                <w:color w:val="000000"/>
                <w:kern w:val="0"/>
                <w:szCs w:val="21"/>
              </w:rPr>
            </w:pPr>
            <w:r>
              <w:rPr>
                <w:color w:val="000000"/>
                <w:kern w:val="0"/>
                <w:szCs w:val="21"/>
              </w:rPr>
              <w:t>1</w:t>
            </w:r>
          </w:p>
        </w:tc>
        <w:tc>
          <w:tcPr>
            <w:tcW w:w="2813" w:type="dxa"/>
            <w:noWrap w:val="0"/>
            <w:vAlign w:val="center"/>
          </w:tcPr>
          <w:p w14:paraId="22AD20B7">
            <w:pPr>
              <w:jc w:val="center"/>
              <w:rPr>
                <w:rFonts w:eastAsia="楷体_GB2312"/>
                <w:color w:val="000000"/>
                <w:kern w:val="0"/>
                <w:szCs w:val="21"/>
              </w:rPr>
            </w:pPr>
            <w:r>
              <w:rPr>
                <w:rFonts w:eastAsia="楷体_GB2312"/>
                <w:color w:val="000000"/>
                <w:kern w:val="0"/>
                <w:szCs w:val="21"/>
              </w:rPr>
              <w:t>永安中心小学</w:t>
            </w:r>
          </w:p>
        </w:tc>
        <w:tc>
          <w:tcPr>
            <w:tcW w:w="850" w:type="dxa"/>
            <w:noWrap/>
            <w:vAlign w:val="center"/>
          </w:tcPr>
          <w:p w14:paraId="44AA5683">
            <w:pPr>
              <w:jc w:val="center"/>
              <w:rPr>
                <w:color w:val="000000"/>
                <w:kern w:val="0"/>
                <w:sz w:val="22"/>
                <w:szCs w:val="22"/>
              </w:rPr>
            </w:pPr>
            <w:r>
              <w:rPr>
                <w:color w:val="000000"/>
                <w:kern w:val="0"/>
                <w:sz w:val="22"/>
                <w:szCs w:val="22"/>
              </w:rPr>
              <w:t>1.0000</w:t>
            </w:r>
          </w:p>
        </w:tc>
        <w:tc>
          <w:tcPr>
            <w:tcW w:w="567" w:type="dxa"/>
            <w:noWrap/>
            <w:vAlign w:val="center"/>
          </w:tcPr>
          <w:p w14:paraId="668F4E77">
            <w:pPr>
              <w:jc w:val="center"/>
              <w:rPr>
                <w:color w:val="000000"/>
                <w:kern w:val="0"/>
                <w:sz w:val="22"/>
                <w:szCs w:val="22"/>
              </w:rPr>
            </w:pPr>
            <w:r>
              <w:rPr>
                <w:rFonts w:hint="eastAsia"/>
                <w:color w:val="000000"/>
                <w:kern w:val="0"/>
                <w:sz w:val="22"/>
                <w:szCs w:val="22"/>
              </w:rPr>
              <w:t>1</w:t>
            </w:r>
          </w:p>
        </w:tc>
        <w:tc>
          <w:tcPr>
            <w:tcW w:w="709" w:type="dxa"/>
            <w:noWrap w:val="0"/>
            <w:vAlign w:val="center"/>
          </w:tcPr>
          <w:p w14:paraId="69C92C85">
            <w:pPr>
              <w:jc w:val="center"/>
              <w:rPr>
                <w:color w:val="000000"/>
                <w:kern w:val="0"/>
                <w:szCs w:val="21"/>
              </w:rPr>
            </w:pPr>
            <w:r>
              <w:rPr>
                <w:color w:val="000000"/>
                <w:kern w:val="0"/>
                <w:szCs w:val="21"/>
              </w:rPr>
              <w:t>100</w:t>
            </w:r>
          </w:p>
        </w:tc>
        <w:tc>
          <w:tcPr>
            <w:tcW w:w="1274" w:type="dxa"/>
            <w:noWrap/>
            <w:vAlign w:val="center"/>
          </w:tcPr>
          <w:p w14:paraId="20092C3A">
            <w:pPr>
              <w:jc w:val="center"/>
              <w:rPr>
                <w:color w:val="000000"/>
                <w:kern w:val="0"/>
                <w:sz w:val="22"/>
                <w:szCs w:val="22"/>
              </w:rPr>
            </w:pPr>
            <w:r>
              <w:rPr>
                <w:rFonts w:hint="eastAsia"/>
                <w:color w:val="000000"/>
                <w:kern w:val="0"/>
                <w:sz w:val="22"/>
                <w:szCs w:val="22"/>
              </w:rPr>
              <w:t>1300</w:t>
            </w:r>
          </w:p>
        </w:tc>
      </w:tr>
      <w:tr w14:paraId="50E0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72F6CB83">
            <w:pPr>
              <w:jc w:val="center"/>
              <w:rPr>
                <w:color w:val="000000"/>
                <w:kern w:val="0"/>
                <w:szCs w:val="21"/>
              </w:rPr>
            </w:pPr>
            <w:r>
              <w:rPr>
                <w:color w:val="000000"/>
                <w:kern w:val="0"/>
                <w:szCs w:val="21"/>
              </w:rPr>
              <w:t>20</w:t>
            </w:r>
          </w:p>
        </w:tc>
        <w:tc>
          <w:tcPr>
            <w:tcW w:w="1134" w:type="dxa"/>
            <w:noWrap w:val="0"/>
            <w:vAlign w:val="center"/>
          </w:tcPr>
          <w:p w14:paraId="26E689A0">
            <w:pPr>
              <w:jc w:val="center"/>
              <w:rPr>
                <w:rFonts w:eastAsia="楷体_GB2312"/>
                <w:color w:val="000000"/>
                <w:kern w:val="0"/>
                <w:szCs w:val="21"/>
              </w:rPr>
            </w:pPr>
            <w:r>
              <w:rPr>
                <w:rFonts w:eastAsia="楷体_GB2312"/>
                <w:color w:val="000000"/>
                <w:kern w:val="0"/>
                <w:szCs w:val="21"/>
              </w:rPr>
              <w:t>支河乡</w:t>
            </w:r>
          </w:p>
        </w:tc>
        <w:tc>
          <w:tcPr>
            <w:tcW w:w="873" w:type="dxa"/>
            <w:noWrap w:val="0"/>
            <w:vAlign w:val="center"/>
          </w:tcPr>
          <w:p w14:paraId="1621FBFA">
            <w:pPr>
              <w:jc w:val="center"/>
              <w:rPr>
                <w:color w:val="000000"/>
                <w:kern w:val="0"/>
                <w:szCs w:val="21"/>
              </w:rPr>
            </w:pPr>
            <w:r>
              <w:rPr>
                <w:color w:val="000000"/>
                <w:kern w:val="0"/>
                <w:szCs w:val="21"/>
              </w:rPr>
              <w:t>1</w:t>
            </w:r>
          </w:p>
        </w:tc>
        <w:tc>
          <w:tcPr>
            <w:tcW w:w="2813" w:type="dxa"/>
            <w:noWrap w:val="0"/>
            <w:vAlign w:val="center"/>
          </w:tcPr>
          <w:p w14:paraId="36A43FDF">
            <w:pPr>
              <w:jc w:val="center"/>
              <w:rPr>
                <w:rFonts w:eastAsia="楷体_GB2312"/>
                <w:color w:val="000000"/>
                <w:kern w:val="0"/>
                <w:szCs w:val="21"/>
              </w:rPr>
            </w:pPr>
            <w:r>
              <w:rPr>
                <w:rFonts w:eastAsia="楷体_GB2312"/>
                <w:color w:val="000000"/>
                <w:kern w:val="0"/>
                <w:szCs w:val="21"/>
              </w:rPr>
              <w:t>城孜小学</w:t>
            </w:r>
          </w:p>
        </w:tc>
        <w:tc>
          <w:tcPr>
            <w:tcW w:w="850" w:type="dxa"/>
            <w:noWrap/>
            <w:vAlign w:val="center"/>
          </w:tcPr>
          <w:p w14:paraId="0EF9317D">
            <w:pPr>
              <w:jc w:val="center"/>
              <w:rPr>
                <w:color w:val="000000"/>
                <w:kern w:val="0"/>
                <w:sz w:val="22"/>
                <w:szCs w:val="22"/>
              </w:rPr>
            </w:pPr>
            <w:r>
              <w:rPr>
                <w:color w:val="000000"/>
                <w:kern w:val="0"/>
                <w:sz w:val="22"/>
                <w:szCs w:val="22"/>
              </w:rPr>
              <w:t>1.0000</w:t>
            </w:r>
          </w:p>
        </w:tc>
        <w:tc>
          <w:tcPr>
            <w:tcW w:w="567" w:type="dxa"/>
            <w:noWrap/>
            <w:vAlign w:val="center"/>
          </w:tcPr>
          <w:p w14:paraId="2B585B09">
            <w:pPr>
              <w:jc w:val="center"/>
              <w:rPr>
                <w:color w:val="000000"/>
                <w:kern w:val="0"/>
                <w:sz w:val="22"/>
                <w:szCs w:val="22"/>
              </w:rPr>
            </w:pPr>
            <w:r>
              <w:rPr>
                <w:rFonts w:hint="eastAsia"/>
                <w:color w:val="000000"/>
                <w:kern w:val="0"/>
                <w:sz w:val="22"/>
                <w:szCs w:val="22"/>
              </w:rPr>
              <w:t>1</w:t>
            </w:r>
          </w:p>
        </w:tc>
        <w:tc>
          <w:tcPr>
            <w:tcW w:w="709" w:type="dxa"/>
            <w:noWrap w:val="0"/>
            <w:vAlign w:val="center"/>
          </w:tcPr>
          <w:p w14:paraId="51265793">
            <w:pPr>
              <w:jc w:val="center"/>
              <w:rPr>
                <w:color w:val="000000"/>
                <w:kern w:val="0"/>
                <w:szCs w:val="21"/>
              </w:rPr>
            </w:pPr>
            <w:r>
              <w:rPr>
                <w:color w:val="000000"/>
                <w:kern w:val="0"/>
                <w:szCs w:val="21"/>
              </w:rPr>
              <w:t>100</w:t>
            </w:r>
          </w:p>
        </w:tc>
        <w:tc>
          <w:tcPr>
            <w:tcW w:w="1274" w:type="dxa"/>
            <w:noWrap/>
            <w:vAlign w:val="center"/>
          </w:tcPr>
          <w:p w14:paraId="70F56F0B">
            <w:pPr>
              <w:jc w:val="center"/>
              <w:rPr>
                <w:color w:val="000000"/>
                <w:kern w:val="0"/>
                <w:sz w:val="22"/>
                <w:szCs w:val="22"/>
              </w:rPr>
            </w:pPr>
            <w:r>
              <w:rPr>
                <w:rFonts w:hint="eastAsia"/>
                <w:color w:val="000000"/>
                <w:kern w:val="0"/>
                <w:sz w:val="22"/>
                <w:szCs w:val="22"/>
              </w:rPr>
              <w:t>1700</w:t>
            </w:r>
          </w:p>
        </w:tc>
      </w:tr>
      <w:tr w14:paraId="646D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64F287AC">
            <w:pPr>
              <w:jc w:val="center"/>
              <w:rPr>
                <w:color w:val="000000"/>
                <w:kern w:val="0"/>
                <w:szCs w:val="21"/>
              </w:rPr>
            </w:pPr>
            <w:r>
              <w:rPr>
                <w:color w:val="000000"/>
                <w:kern w:val="0"/>
                <w:szCs w:val="21"/>
              </w:rPr>
              <w:t>21</w:t>
            </w:r>
          </w:p>
        </w:tc>
        <w:tc>
          <w:tcPr>
            <w:tcW w:w="1134" w:type="dxa"/>
            <w:noWrap w:val="0"/>
            <w:vAlign w:val="center"/>
          </w:tcPr>
          <w:p w14:paraId="2D27683B">
            <w:pPr>
              <w:jc w:val="center"/>
              <w:rPr>
                <w:rFonts w:eastAsia="楷体_GB2312"/>
                <w:color w:val="000000"/>
                <w:kern w:val="0"/>
                <w:szCs w:val="21"/>
              </w:rPr>
            </w:pPr>
            <w:r>
              <w:rPr>
                <w:rFonts w:eastAsia="楷体_GB2312"/>
                <w:color w:val="000000"/>
                <w:kern w:val="0"/>
                <w:szCs w:val="21"/>
              </w:rPr>
              <w:t>灰古镇</w:t>
            </w:r>
          </w:p>
        </w:tc>
        <w:tc>
          <w:tcPr>
            <w:tcW w:w="873" w:type="dxa"/>
            <w:noWrap w:val="0"/>
            <w:vAlign w:val="center"/>
          </w:tcPr>
          <w:p w14:paraId="5EFA1D90">
            <w:pPr>
              <w:jc w:val="center"/>
              <w:rPr>
                <w:color w:val="000000"/>
                <w:kern w:val="0"/>
                <w:szCs w:val="21"/>
              </w:rPr>
            </w:pPr>
            <w:r>
              <w:rPr>
                <w:color w:val="000000"/>
                <w:kern w:val="0"/>
                <w:szCs w:val="21"/>
              </w:rPr>
              <w:t>1</w:t>
            </w:r>
          </w:p>
        </w:tc>
        <w:tc>
          <w:tcPr>
            <w:tcW w:w="2813" w:type="dxa"/>
            <w:noWrap w:val="0"/>
            <w:vAlign w:val="center"/>
          </w:tcPr>
          <w:p w14:paraId="454BDDB6">
            <w:pPr>
              <w:jc w:val="center"/>
              <w:rPr>
                <w:rFonts w:eastAsia="楷体_GB2312"/>
                <w:color w:val="000000"/>
                <w:kern w:val="0"/>
                <w:szCs w:val="21"/>
              </w:rPr>
            </w:pPr>
            <w:r>
              <w:rPr>
                <w:rFonts w:eastAsia="楷体_GB2312"/>
                <w:color w:val="000000"/>
                <w:kern w:val="0"/>
                <w:szCs w:val="21"/>
              </w:rPr>
              <w:t>灰古镇中心学校</w:t>
            </w:r>
          </w:p>
        </w:tc>
        <w:tc>
          <w:tcPr>
            <w:tcW w:w="850" w:type="dxa"/>
            <w:noWrap/>
            <w:vAlign w:val="center"/>
          </w:tcPr>
          <w:p w14:paraId="03F62AEE">
            <w:pPr>
              <w:jc w:val="center"/>
              <w:rPr>
                <w:color w:val="000000"/>
                <w:kern w:val="0"/>
                <w:sz w:val="22"/>
                <w:szCs w:val="22"/>
              </w:rPr>
            </w:pPr>
            <w:r>
              <w:rPr>
                <w:color w:val="000000"/>
                <w:kern w:val="0"/>
                <w:sz w:val="22"/>
                <w:szCs w:val="22"/>
              </w:rPr>
              <w:t>1.0000</w:t>
            </w:r>
          </w:p>
        </w:tc>
        <w:tc>
          <w:tcPr>
            <w:tcW w:w="567" w:type="dxa"/>
            <w:noWrap/>
            <w:vAlign w:val="center"/>
          </w:tcPr>
          <w:p w14:paraId="19A0458E">
            <w:pPr>
              <w:jc w:val="center"/>
              <w:rPr>
                <w:color w:val="000000"/>
                <w:kern w:val="0"/>
                <w:sz w:val="22"/>
                <w:szCs w:val="22"/>
              </w:rPr>
            </w:pPr>
            <w:r>
              <w:rPr>
                <w:rFonts w:hint="eastAsia"/>
                <w:color w:val="000000"/>
                <w:kern w:val="0"/>
                <w:sz w:val="22"/>
                <w:szCs w:val="22"/>
              </w:rPr>
              <w:t>1</w:t>
            </w:r>
          </w:p>
        </w:tc>
        <w:tc>
          <w:tcPr>
            <w:tcW w:w="709" w:type="dxa"/>
            <w:noWrap w:val="0"/>
            <w:vAlign w:val="center"/>
          </w:tcPr>
          <w:p w14:paraId="11477EC9">
            <w:pPr>
              <w:jc w:val="center"/>
              <w:rPr>
                <w:color w:val="000000"/>
                <w:kern w:val="0"/>
                <w:szCs w:val="21"/>
              </w:rPr>
            </w:pPr>
            <w:r>
              <w:rPr>
                <w:color w:val="000000"/>
                <w:kern w:val="0"/>
                <w:szCs w:val="21"/>
              </w:rPr>
              <w:t>100</w:t>
            </w:r>
          </w:p>
        </w:tc>
        <w:tc>
          <w:tcPr>
            <w:tcW w:w="1274" w:type="dxa"/>
            <w:noWrap/>
            <w:vAlign w:val="center"/>
          </w:tcPr>
          <w:p w14:paraId="583CB1EF">
            <w:pPr>
              <w:jc w:val="center"/>
              <w:rPr>
                <w:color w:val="000000"/>
                <w:kern w:val="0"/>
                <w:sz w:val="22"/>
                <w:szCs w:val="22"/>
              </w:rPr>
            </w:pPr>
            <w:r>
              <w:rPr>
                <w:rFonts w:hint="eastAsia"/>
                <w:color w:val="000000"/>
                <w:kern w:val="0"/>
                <w:sz w:val="22"/>
                <w:szCs w:val="22"/>
              </w:rPr>
              <w:t>1400</w:t>
            </w:r>
          </w:p>
        </w:tc>
      </w:tr>
      <w:tr w14:paraId="30BC9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27788F03">
            <w:pPr>
              <w:jc w:val="center"/>
              <w:rPr>
                <w:color w:val="000000"/>
                <w:kern w:val="0"/>
                <w:szCs w:val="21"/>
              </w:rPr>
            </w:pPr>
            <w:r>
              <w:rPr>
                <w:color w:val="000000"/>
                <w:kern w:val="0"/>
                <w:szCs w:val="21"/>
              </w:rPr>
              <w:t>22</w:t>
            </w:r>
          </w:p>
        </w:tc>
        <w:tc>
          <w:tcPr>
            <w:tcW w:w="1134" w:type="dxa"/>
            <w:noWrap w:val="0"/>
            <w:vAlign w:val="center"/>
          </w:tcPr>
          <w:p w14:paraId="6A56CA85">
            <w:pPr>
              <w:jc w:val="center"/>
              <w:rPr>
                <w:rFonts w:eastAsia="楷体_GB2312"/>
                <w:color w:val="000000"/>
                <w:kern w:val="0"/>
                <w:szCs w:val="21"/>
              </w:rPr>
            </w:pPr>
            <w:r>
              <w:rPr>
                <w:rFonts w:eastAsia="楷体_GB2312"/>
                <w:color w:val="000000"/>
                <w:kern w:val="0"/>
                <w:szCs w:val="21"/>
              </w:rPr>
              <w:t>桃沟乡</w:t>
            </w:r>
          </w:p>
        </w:tc>
        <w:tc>
          <w:tcPr>
            <w:tcW w:w="873" w:type="dxa"/>
            <w:noWrap w:val="0"/>
            <w:vAlign w:val="center"/>
          </w:tcPr>
          <w:p w14:paraId="108FE62C">
            <w:pPr>
              <w:jc w:val="center"/>
              <w:rPr>
                <w:color w:val="000000"/>
                <w:kern w:val="0"/>
                <w:szCs w:val="21"/>
              </w:rPr>
            </w:pPr>
            <w:r>
              <w:rPr>
                <w:color w:val="000000"/>
                <w:kern w:val="0"/>
                <w:szCs w:val="21"/>
              </w:rPr>
              <w:t>1</w:t>
            </w:r>
          </w:p>
        </w:tc>
        <w:tc>
          <w:tcPr>
            <w:tcW w:w="2813" w:type="dxa"/>
            <w:noWrap w:val="0"/>
            <w:vAlign w:val="center"/>
          </w:tcPr>
          <w:p w14:paraId="09AB6070">
            <w:pPr>
              <w:jc w:val="center"/>
              <w:rPr>
                <w:rFonts w:eastAsia="楷体_GB2312"/>
                <w:color w:val="000000"/>
                <w:kern w:val="0"/>
                <w:szCs w:val="21"/>
              </w:rPr>
            </w:pPr>
            <w:r>
              <w:rPr>
                <w:rFonts w:eastAsia="楷体_GB2312"/>
                <w:color w:val="000000"/>
                <w:kern w:val="0"/>
                <w:szCs w:val="21"/>
              </w:rPr>
              <w:t>桃沟小学</w:t>
            </w:r>
          </w:p>
        </w:tc>
        <w:tc>
          <w:tcPr>
            <w:tcW w:w="850" w:type="dxa"/>
            <w:noWrap/>
            <w:vAlign w:val="center"/>
          </w:tcPr>
          <w:p w14:paraId="4154CF17">
            <w:pPr>
              <w:jc w:val="center"/>
              <w:rPr>
                <w:color w:val="000000"/>
                <w:kern w:val="0"/>
                <w:sz w:val="22"/>
                <w:szCs w:val="22"/>
              </w:rPr>
            </w:pPr>
            <w:r>
              <w:rPr>
                <w:color w:val="000000"/>
                <w:kern w:val="0"/>
                <w:sz w:val="22"/>
                <w:szCs w:val="22"/>
              </w:rPr>
              <w:t>1.0000</w:t>
            </w:r>
          </w:p>
        </w:tc>
        <w:tc>
          <w:tcPr>
            <w:tcW w:w="567" w:type="dxa"/>
            <w:noWrap/>
            <w:vAlign w:val="center"/>
          </w:tcPr>
          <w:p w14:paraId="2BDEF23B">
            <w:pPr>
              <w:jc w:val="center"/>
              <w:rPr>
                <w:color w:val="000000"/>
                <w:kern w:val="0"/>
                <w:sz w:val="22"/>
                <w:szCs w:val="22"/>
              </w:rPr>
            </w:pPr>
            <w:r>
              <w:rPr>
                <w:rFonts w:hint="eastAsia"/>
                <w:color w:val="000000"/>
                <w:kern w:val="0"/>
                <w:sz w:val="22"/>
                <w:szCs w:val="22"/>
              </w:rPr>
              <w:t>1</w:t>
            </w:r>
          </w:p>
        </w:tc>
        <w:tc>
          <w:tcPr>
            <w:tcW w:w="709" w:type="dxa"/>
            <w:noWrap w:val="0"/>
            <w:vAlign w:val="center"/>
          </w:tcPr>
          <w:p w14:paraId="7A813D36">
            <w:pPr>
              <w:jc w:val="center"/>
              <w:rPr>
                <w:color w:val="000000"/>
                <w:kern w:val="0"/>
                <w:szCs w:val="21"/>
              </w:rPr>
            </w:pPr>
            <w:r>
              <w:rPr>
                <w:color w:val="000000"/>
                <w:kern w:val="0"/>
                <w:szCs w:val="21"/>
              </w:rPr>
              <w:t>100</w:t>
            </w:r>
          </w:p>
        </w:tc>
        <w:tc>
          <w:tcPr>
            <w:tcW w:w="1274" w:type="dxa"/>
            <w:noWrap/>
            <w:vAlign w:val="center"/>
          </w:tcPr>
          <w:p w14:paraId="770044B6">
            <w:pPr>
              <w:jc w:val="center"/>
              <w:rPr>
                <w:color w:val="000000"/>
                <w:kern w:val="0"/>
                <w:sz w:val="22"/>
                <w:szCs w:val="22"/>
              </w:rPr>
            </w:pPr>
            <w:r>
              <w:rPr>
                <w:rFonts w:hint="eastAsia"/>
                <w:color w:val="000000"/>
                <w:kern w:val="0"/>
                <w:sz w:val="22"/>
                <w:szCs w:val="22"/>
              </w:rPr>
              <w:t>1200</w:t>
            </w:r>
          </w:p>
        </w:tc>
      </w:tr>
    </w:tbl>
    <w:p w14:paraId="58F3EDB5">
      <w:pPr>
        <w:spacing w:before="120" w:beforeLines="50" w:line="480" w:lineRule="exact"/>
        <w:jc w:val="center"/>
        <w:rPr>
          <w:rFonts w:eastAsia="黑体"/>
          <w:sz w:val="28"/>
        </w:rPr>
      </w:pPr>
      <w:r>
        <w:rPr>
          <w:rFonts w:eastAsia="黑体"/>
          <w:sz w:val="28"/>
        </w:rPr>
        <w:t>表1-3-</w:t>
      </w:r>
      <w:r>
        <w:rPr>
          <w:rFonts w:hint="eastAsia" w:eastAsia="黑体"/>
          <w:sz w:val="28"/>
        </w:rPr>
        <w:t>43</w:t>
      </w:r>
      <w:r>
        <w:rPr>
          <w:rFonts w:eastAsia="黑体"/>
          <w:sz w:val="28"/>
        </w:rPr>
        <w:t xml:space="preserve">  埇桥区各乡镇镇区幼儿园功能分及服务半径表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134"/>
        <w:gridCol w:w="1134"/>
        <w:gridCol w:w="2552"/>
        <w:gridCol w:w="850"/>
        <w:gridCol w:w="567"/>
        <w:gridCol w:w="709"/>
        <w:gridCol w:w="1274"/>
      </w:tblGrid>
      <w:tr w14:paraId="185F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502785E1">
            <w:pPr>
              <w:ind w:left="-105" w:leftChars="-50" w:right="-105" w:rightChars="-50"/>
              <w:jc w:val="center"/>
              <w:rPr>
                <w:rFonts w:eastAsia="楷体_GB2312"/>
                <w:color w:val="000000"/>
                <w:kern w:val="0"/>
                <w:szCs w:val="21"/>
              </w:rPr>
            </w:pPr>
            <w:r>
              <w:rPr>
                <w:rFonts w:eastAsia="楷体_GB2312"/>
                <w:color w:val="000000"/>
                <w:kern w:val="0"/>
                <w:szCs w:val="21"/>
              </w:rPr>
              <w:t>乡镇编号</w:t>
            </w:r>
          </w:p>
        </w:tc>
        <w:tc>
          <w:tcPr>
            <w:tcW w:w="1134" w:type="dxa"/>
            <w:noWrap w:val="0"/>
            <w:vAlign w:val="center"/>
          </w:tcPr>
          <w:p w14:paraId="5AD7CDA0">
            <w:pPr>
              <w:ind w:left="-105" w:leftChars="-50" w:right="-105" w:rightChars="-50"/>
              <w:jc w:val="center"/>
              <w:rPr>
                <w:rFonts w:eastAsia="楷体_GB2312"/>
                <w:color w:val="000000"/>
                <w:kern w:val="0"/>
                <w:szCs w:val="21"/>
              </w:rPr>
            </w:pPr>
            <w:r>
              <w:rPr>
                <w:rFonts w:eastAsia="楷体_GB2312"/>
                <w:color w:val="000000"/>
                <w:kern w:val="0"/>
                <w:szCs w:val="21"/>
              </w:rPr>
              <w:t>乡镇名称</w:t>
            </w:r>
          </w:p>
        </w:tc>
        <w:tc>
          <w:tcPr>
            <w:tcW w:w="1134" w:type="dxa"/>
            <w:noWrap w:val="0"/>
            <w:vAlign w:val="center"/>
          </w:tcPr>
          <w:p w14:paraId="01894493">
            <w:pPr>
              <w:ind w:left="-105" w:leftChars="-50" w:right="-105" w:rightChars="-50"/>
              <w:jc w:val="center"/>
              <w:rPr>
                <w:rFonts w:eastAsia="楷体_GB2312"/>
                <w:color w:val="000000"/>
                <w:kern w:val="0"/>
                <w:szCs w:val="21"/>
              </w:rPr>
            </w:pPr>
            <w:r>
              <w:rPr>
                <w:rFonts w:eastAsia="楷体_GB2312"/>
                <w:color w:val="000000"/>
                <w:kern w:val="0"/>
                <w:szCs w:val="21"/>
              </w:rPr>
              <w:t>幼儿园编号</w:t>
            </w:r>
          </w:p>
        </w:tc>
        <w:tc>
          <w:tcPr>
            <w:tcW w:w="2552" w:type="dxa"/>
            <w:noWrap w:val="0"/>
            <w:vAlign w:val="center"/>
          </w:tcPr>
          <w:p w14:paraId="77C5E8BC">
            <w:pPr>
              <w:ind w:left="-105" w:leftChars="-50" w:right="-105" w:rightChars="-50"/>
              <w:jc w:val="center"/>
              <w:rPr>
                <w:rFonts w:eastAsia="楷体_GB2312"/>
                <w:color w:val="000000"/>
                <w:kern w:val="0"/>
                <w:szCs w:val="21"/>
              </w:rPr>
            </w:pPr>
            <w:r>
              <w:rPr>
                <w:rFonts w:eastAsia="楷体_GB2312"/>
                <w:color w:val="000000"/>
                <w:kern w:val="0"/>
                <w:szCs w:val="21"/>
              </w:rPr>
              <w:t>幼儿园名称</w:t>
            </w:r>
          </w:p>
        </w:tc>
        <w:tc>
          <w:tcPr>
            <w:tcW w:w="850" w:type="dxa"/>
            <w:noWrap w:val="0"/>
            <w:vAlign w:val="center"/>
          </w:tcPr>
          <w:p w14:paraId="4B3C674B">
            <w:pPr>
              <w:ind w:left="-105" w:leftChars="-50" w:right="-105" w:rightChars="-50"/>
              <w:jc w:val="center"/>
              <w:rPr>
                <w:rFonts w:eastAsia="楷体_GB2312"/>
                <w:color w:val="000000"/>
                <w:kern w:val="0"/>
                <w:szCs w:val="21"/>
              </w:rPr>
            </w:pPr>
            <w:r>
              <w:rPr>
                <w:rFonts w:eastAsia="楷体_GB2312"/>
                <w:color w:val="000000"/>
                <w:kern w:val="0"/>
                <w:szCs w:val="21"/>
              </w:rPr>
              <w:t>作用指数</w:t>
            </w:r>
          </w:p>
        </w:tc>
        <w:tc>
          <w:tcPr>
            <w:tcW w:w="567" w:type="dxa"/>
            <w:noWrap w:val="0"/>
            <w:vAlign w:val="center"/>
          </w:tcPr>
          <w:p w14:paraId="15FF27D6">
            <w:pPr>
              <w:ind w:left="-105" w:leftChars="-50" w:right="-105" w:rightChars="-50"/>
              <w:jc w:val="center"/>
              <w:rPr>
                <w:rFonts w:eastAsia="楷体_GB2312"/>
                <w:color w:val="000000"/>
                <w:kern w:val="0"/>
                <w:szCs w:val="21"/>
              </w:rPr>
            </w:pPr>
            <w:r>
              <w:rPr>
                <w:rFonts w:eastAsia="楷体_GB2312"/>
                <w:color w:val="000000"/>
                <w:kern w:val="0"/>
                <w:szCs w:val="21"/>
              </w:rPr>
              <w:t>级别</w:t>
            </w:r>
          </w:p>
        </w:tc>
        <w:tc>
          <w:tcPr>
            <w:tcW w:w="709" w:type="dxa"/>
            <w:noWrap w:val="0"/>
            <w:vAlign w:val="center"/>
          </w:tcPr>
          <w:p w14:paraId="639CFF6A">
            <w:pPr>
              <w:ind w:left="-105" w:leftChars="-50" w:right="-105" w:rightChars="-50"/>
              <w:jc w:val="center"/>
              <w:rPr>
                <w:rFonts w:eastAsia="楷体_GB2312"/>
                <w:color w:val="000000"/>
                <w:kern w:val="0"/>
                <w:szCs w:val="21"/>
              </w:rPr>
            </w:pPr>
            <w:r>
              <w:rPr>
                <w:rFonts w:eastAsia="楷体_GB2312"/>
                <w:color w:val="000000"/>
                <w:kern w:val="0"/>
                <w:szCs w:val="21"/>
              </w:rPr>
              <w:t>功能分</w:t>
            </w:r>
          </w:p>
        </w:tc>
        <w:tc>
          <w:tcPr>
            <w:tcW w:w="1274" w:type="dxa"/>
            <w:noWrap w:val="0"/>
            <w:vAlign w:val="center"/>
          </w:tcPr>
          <w:p w14:paraId="482D3C34">
            <w:pPr>
              <w:ind w:left="-105" w:leftChars="-50" w:right="-105" w:rightChars="-50"/>
              <w:jc w:val="center"/>
              <w:rPr>
                <w:rFonts w:eastAsia="楷体_GB2312"/>
                <w:color w:val="000000"/>
                <w:kern w:val="0"/>
                <w:szCs w:val="21"/>
              </w:rPr>
            </w:pPr>
            <w:r>
              <w:rPr>
                <w:rFonts w:eastAsia="楷体_GB2312"/>
                <w:color w:val="000000"/>
                <w:kern w:val="0"/>
                <w:szCs w:val="21"/>
              </w:rPr>
              <w:t>影响半径（米）</w:t>
            </w:r>
          </w:p>
        </w:tc>
      </w:tr>
      <w:tr w14:paraId="2D7C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restart"/>
            <w:noWrap w:val="0"/>
            <w:vAlign w:val="center"/>
          </w:tcPr>
          <w:p w14:paraId="0E6F6CAB">
            <w:pPr>
              <w:jc w:val="center"/>
              <w:rPr>
                <w:color w:val="000000"/>
                <w:kern w:val="0"/>
                <w:szCs w:val="21"/>
              </w:rPr>
            </w:pPr>
            <w:r>
              <w:rPr>
                <w:color w:val="000000"/>
                <w:kern w:val="0"/>
                <w:szCs w:val="21"/>
              </w:rPr>
              <w:t>1</w:t>
            </w:r>
          </w:p>
        </w:tc>
        <w:tc>
          <w:tcPr>
            <w:tcW w:w="1134" w:type="dxa"/>
            <w:vMerge w:val="restart"/>
            <w:noWrap w:val="0"/>
            <w:vAlign w:val="center"/>
          </w:tcPr>
          <w:p w14:paraId="3356E6CC">
            <w:pPr>
              <w:jc w:val="center"/>
              <w:rPr>
                <w:rFonts w:eastAsia="楷体_GB2312"/>
                <w:color w:val="000000"/>
                <w:kern w:val="0"/>
                <w:szCs w:val="21"/>
              </w:rPr>
            </w:pPr>
            <w:r>
              <w:rPr>
                <w:rFonts w:eastAsia="楷体_GB2312"/>
                <w:color w:val="000000"/>
                <w:kern w:val="0"/>
                <w:szCs w:val="21"/>
              </w:rPr>
              <w:t>符离镇</w:t>
            </w:r>
          </w:p>
        </w:tc>
        <w:tc>
          <w:tcPr>
            <w:tcW w:w="1134" w:type="dxa"/>
            <w:noWrap w:val="0"/>
            <w:vAlign w:val="center"/>
          </w:tcPr>
          <w:p w14:paraId="7C7B1E30">
            <w:pPr>
              <w:jc w:val="center"/>
              <w:rPr>
                <w:color w:val="000000"/>
                <w:kern w:val="0"/>
                <w:szCs w:val="21"/>
              </w:rPr>
            </w:pPr>
            <w:r>
              <w:rPr>
                <w:color w:val="000000"/>
                <w:kern w:val="0"/>
                <w:szCs w:val="21"/>
              </w:rPr>
              <w:t>1</w:t>
            </w:r>
          </w:p>
        </w:tc>
        <w:tc>
          <w:tcPr>
            <w:tcW w:w="2552" w:type="dxa"/>
            <w:noWrap w:val="0"/>
            <w:vAlign w:val="center"/>
          </w:tcPr>
          <w:p w14:paraId="01604DC7">
            <w:pPr>
              <w:jc w:val="center"/>
              <w:rPr>
                <w:rFonts w:eastAsia="楷体_GB2312"/>
                <w:color w:val="000000"/>
                <w:kern w:val="0"/>
                <w:szCs w:val="21"/>
              </w:rPr>
            </w:pPr>
            <w:r>
              <w:rPr>
                <w:rFonts w:eastAsia="楷体_GB2312"/>
                <w:color w:val="000000"/>
                <w:kern w:val="0"/>
                <w:szCs w:val="21"/>
              </w:rPr>
              <w:t>符离第一幼儿园</w:t>
            </w:r>
          </w:p>
        </w:tc>
        <w:tc>
          <w:tcPr>
            <w:tcW w:w="850" w:type="dxa"/>
            <w:noWrap/>
            <w:vAlign w:val="center"/>
          </w:tcPr>
          <w:p w14:paraId="42F2BC5D">
            <w:pPr>
              <w:jc w:val="center"/>
              <w:rPr>
                <w:color w:val="000000"/>
                <w:kern w:val="0"/>
                <w:szCs w:val="21"/>
              </w:rPr>
            </w:pPr>
            <w:r>
              <w:rPr>
                <w:color w:val="000000"/>
                <w:kern w:val="0"/>
                <w:szCs w:val="21"/>
              </w:rPr>
              <w:t>1.0000</w:t>
            </w:r>
          </w:p>
        </w:tc>
        <w:tc>
          <w:tcPr>
            <w:tcW w:w="567" w:type="dxa"/>
            <w:noWrap/>
            <w:vAlign w:val="center"/>
          </w:tcPr>
          <w:p w14:paraId="1E08F890">
            <w:pPr>
              <w:jc w:val="center"/>
              <w:rPr>
                <w:color w:val="000000"/>
                <w:kern w:val="0"/>
                <w:szCs w:val="21"/>
              </w:rPr>
            </w:pPr>
            <w:r>
              <w:rPr>
                <w:color w:val="000000"/>
                <w:kern w:val="0"/>
                <w:szCs w:val="21"/>
              </w:rPr>
              <w:t>1</w:t>
            </w:r>
          </w:p>
        </w:tc>
        <w:tc>
          <w:tcPr>
            <w:tcW w:w="709" w:type="dxa"/>
            <w:noWrap/>
            <w:vAlign w:val="center"/>
          </w:tcPr>
          <w:p w14:paraId="3BF94F74">
            <w:pPr>
              <w:jc w:val="center"/>
              <w:rPr>
                <w:color w:val="000000"/>
                <w:kern w:val="0"/>
                <w:szCs w:val="21"/>
              </w:rPr>
            </w:pPr>
            <w:r>
              <w:rPr>
                <w:color w:val="000000"/>
                <w:kern w:val="0"/>
                <w:szCs w:val="21"/>
              </w:rPr>
              <w:t>100</w:t>
            </w:r>
          </w:p>
        </w:tc>
        <w:tc>
          <w:tcPr>
            <w:tcW w:w="1274" w:type="dxa"/>
            <w:noWrap/>
            <w:vAlign w:val="center"/>
          </w:tcPr>
          <w:p w14:paraId="47978649">
            <w:pPr>
              <w:jc w:val="center"/>
              <w:rPr>
                <w:color w:val="000000"/>
                <w:kern w:val="0"/>
                <w:szCs w:val="21"/>
              </w:rPr>
            </w:pPr>
            <w:r>
              <w:rPr>
                <w:rFonts w:hint="eastAsia"/>
                <w:color w:val="000000"/>
                <w:kern w:val="0"/>
                <w:szCs w:val="21"/>
              </w:rPr>
              <w:t>3000</w:t>
            </w:r>
          </w:p>
        </w:tc>
      </w:tr>
      <w:tr w14:paraId="14D5C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continue"/>
            <w:noWrap w:val="0"/>
            <w:vAlign w:val="center"/>
          </w:tcPr>
          <w:p w14:paraId="3F997E27">
            <w:pPr>
              <w:jc w:val="center"/>
              <w:rPr>
                <w:color w:val="000000"/>
                <w:kern w:val="0"/>
                <w:szCs w:val="21"/>
              </w:rPr>
            </w:pPr>
          </w:p>
        </w:tc>
        <w:tc>
          <w:tcPr>
            <w:tcW w:w="1134" w:type="dxa"/>
            <w:vMerge w:val="continue"/>
            <w:noWrap w:val="0"/>
            <w:vAlign w:val="center"/>
          </w:tcPr>
          <w:p w14:paraId="3599F301">
            <w:pPr>
              <w:jc w:val="center"/>
              <w:rPr>
                <w:rFonts w:eastAsia="楷体_GB2312"/>
                <w:color w:val="000000"/>
                <w:kern w:val="0"/>
                <w:szCs w:val="21"/>
              </w:rPr>
            </w:pPr>
          </w:p>
        </w:tc>
        <w:tc>
          <w:tcPr>
            <w:tcW w:w="1134" w:type="dxa"/>
            <w:noWrap w:val="0"/>
            <w:vAlign w:val="center"/>
          </w:tcPr>
          <w:p w14:paraId="68EFFE1C">
            <w:pPr>
              <w:jc w:val="center"/>
              <w:rPr>
                <w:color w:val="000000"/>
                <w:kern w:val="0"/>
                <w:szCs w:val="21"/>
              </w:rPr>
            </w:pPr>
            <w:r>
              <w:rPr>
                <w:color w:val="000000"/>
                <w:kern w:val="0"/>
                <w:szCs w:val="21"/>
              </w:rPr>
              <w:t>2</w:t>
            </w:r>
          </w:p>
        </w:tc>
        <w:tc>
          <w:tcPr>
            <w:tcW w:w="2552" w:type="dxa"/>
            <w:noWrap w:val="0"/>
            <w:vAlign w:val="center"/>
          </w:tcPr>
          <w:p w14:paraId="10A30B3B">
            <w:pPr>
              <w:jc w:val="center"/>
              <w:rPr>
                <w:rFonts w:eastAsia="楷体_GB2312"/>
                <w:color w:val="000000"/>
                <w:kern w:val="0"/>
                <w:szCs w:val="21"/>
              </w:rPr>
            </w:pPr>
            <w:r>
              <w:rPr>
                <w:rFonts w:eastAsia="楷体_GB2312"/>
                <w:color w:val="000000"/>
                <w:kern w:val="0"/>
                <w:szCs w:val="21"/>
              </w:rPr>
              <w:t>符离镇中心幼儿园</w:t>
            </w:r>
          </w:p>
        </w:tc>
        <w:tc>
          <w:tcPr>
            <w:tcW w:w="850" w:type="dxa"/>
            <w:noWrap/>
            <w:vAlign w:val="center"/>
          </w:tcPr>
          <w:p w14:paraId="3F53FF55">
            <w:pPr>
              <w:jc w:val="center"/>
              <w:rPr>
                <w:color w:val="000000"/>
                <w:kern w:val="0"/>
                <w:szCs w:val="21"/>
              </w:rPr>
            </w:pPr>
            <w:r>
              <w:rPr>
                <w:color w:val="000000"/>
                <w:kern w:val="0"/>
                <w:szCs w:val="21"/>
              </w:rPr>
              <w:t>0.2367</w:t>
            </w:r>
          </w:p>
        </w:tc>
        <w:tc>
          <w:tcPr>
            <w:tcW w:w="567" w:type="dxa"/>
            <w:noWrap/>
            <w:vAlign w:val="center"/>
          </w:tcPr>
          <w:p w14:paraId="6A66554C">
            <w:pPr>
              <w:jc w:val="center"/>
              <w:rPr>
                <w:color w:val="000000"/>
                <w:kern w:val="0"/>
                <w:szCs w:val="21"/>
              </w:rPr>
            </w:pPr>
            <w:r>
              <w:rPr>
                <w:color w:val="000000"/>
                <w:kern w:val="0"/>
                <w:szCs w:val="21"/>
              </w:rPr>
              <w:t>2</w:t>
            </w:r>
          </w:p>
        </w:tc>
        <w:tc>
          <w:tcPr>
            <w:tcW w:w="709" w:type="dxa"/>
            <w:noWrap/>
            <w:vAlign w:val="center"/>
          </w:tcPr>
          <w:p w14:paraId="4E069BEF">
            <w:pPr>
              <w:jc w:val="center"/>
              <w:rPr>
                <w:color w:val="000000"/>
                <w:kern w:val="0"/>
                <w:szCs w:val="21"/>
              </w:rPr>
            </w:pPr>
            <w:r>
              <w:rPr>
                <w:color w:val="000000"/>
                <w:kern w:val="0"/>
                <w:szCs w:val="21"/>
              </w:rPr>
              <w:t>24</w:t>
            </w:r>
          </w:p>
        </w:tc>
        <w:tc>
          <w:tcPr>
            <w:tcW w:w="1274" w:type="dxa"/>
            <w:noWrap/>
            <w:vAlign w:val="center"/>
          </w:tcPr>
          <w:p w14:paraId="52105DC8">
            <w:pPr>
              <w:jc w:val="center"/>
              <w:rPr>
                <w:color w:val="000000"/>
                <w:kern w:val="0"/>
                <w:szCs w:val="21"/>
              </w:rPr>
            </w:pPr>
            <w:r>
              <w:rPr>
                <w:rFonts w:hint="eastAsia"/>
                <w:color w:val="000000"/>
                <w:kern w:val="0"/>
                <w:szCs w:val="21"/>
              </w:rPr>
              <w:t>2800</w:t>
            </w:r>
          </w:p>
        </w:tc>
      </w:tr>
      <w:tr w14:paraId="02D81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78401461">
            <w:pPr>
              <w:jc w:val="center"/>
              <w:rPr>
                <w:color w:val="000000"/>
                <w:kern w:val="0"/>
                <w:szCs w:val="21"/>
              </w:rPr>
            </w:pPr>
            <w:r>
              <w:rPr>
                <w:color w:val="000000"/>
                <w:kern w:val="0"/>
                <w:szCs w:val="21"/>
              </w:rPr>
              <w:t>2</w:t>
            </w:r>
          </w:p>
        </w:tc>
        <w:tc>
          <w:tcPr>
            <w:tcW w:w="1134" w:type="dxa"/>
            <w:noWrap w:val="0"/>
            <w:vAlign w:val="center"/>
          </w:tcPr>
          <w:p w14:paraId="5862D1FF">
            <w:pPr>
              <w:jc w:val="center"/>
              <w:rPr>
                <w:rFonts w:eastAsia="楷体_GB2312"/>
                <w:color w:val="000000"/>
                <w:kern w:val="0"/>
                <w:szCs w:val="21"/>
              </w:rPr>
            </w:pPr>
            <w:r>
              <w:rPr>
                <w:rFonts w:eastAsia="楷体_GB2312"/>
                <w:color w:val="000000"/>
                <w:kern w:val="0"/>
                <w:szCs w:val="21"/>
              </w:rPr>
              <w:t>朱仙庄镇</w:t>
            </w:r>
          </w:p>
        </w:tc>
        <w:tc>
          <w:tcPr>
            <w:tcW w:w="1134" w:type="dxa"/>
            <w:noWrap w:val="0"/>
            <w:vAlign w:val="center"/>
          </w:tcPr>
          <w:p w14:paraId="262C7F13">
            <w:pPr>
              <w:jc w:val="center"/>
              <w:rPr>
                <w:color w:val="000000"/>
                <w:kern w:val="0"/>
                <w:szCs w:val="21"/>
              </w:rPr>
            </w:pPr>
            <w:r>
              <w:rPr>
                <w:color w:val="000000"/>
                <w:kern w:val="0"/>
                <w:szCs w:val="21"/>
              </w:rPr>
              <w:t>1</w:t>
            </w:r>
          </w:p>
        </w:tc>
        <w:tc>
          <w:tcPr>
            <w:tcW w:w="2552" w:type="dxa"/>
            <w:noWrap w:val="0"/>
            <w:vAlign w:val="center"/>
          </w:tcPr>
          <w:p w14:paraId="017B318B">
            <w:pPr>
              <w:jc w:val="center"/>
              <w:rPr>
                <w:rFonts w:eastAsia="楷体_GB2312"/>
                <w:color w:val="000000"/>
                <w:kern w:val="0"/>
                <w:szCs w:val="21"/>
              </w:rPr>
            </w:pPr>
            <w:r>
              <w:rPr>
                <w:rFonts w:eastAsia="楷体_GB2312"/>
                <w:color w:val="000000"/>
                <w:kern w:val="0"/>
                <w:szCs w:val="21"/>
              </w:rPr>
              <w:t>朱仙庄幼儿园</w:t>
            </w:r>
          </w:p>
        </w:tc>
        <w:tc>
          <w:tcPr>
            <w:tcW w:w="850" w:type="dxa"/>
            <w:noWrap/>
            <w:vAlign w:val="center"/>
          </w:tcPr>
          <w:p w14:paraId="149EE34E">
            <w:pPr>
              <w:jc w:val="center"/>
              <w:rPr>
                <w:color w:val="000000"/>
                <w:kern w:val="0"/>
                <w:szCs w:val="21"/>
              </w:rPr>
            </w:pPr>
            <w:r>
              <w:rPr>
                <w:color w:val="000000"/>
                <w:kern w:val="0"/>
                <w:szCs w:val="21"/>
              </w:rPr>
              <w:t>1.0000</w:t>
            </w:r>
          </w:p>
        </w:tc>
        <w:tc>
          <w:tcPr>
            <w:tcW w:w="567" w:type="dxa"/>
            <w:noWrap/>
            <w:vAlign w:val="center"/>
          </w:tcPr>
          <w:p w14:paraId="38834738">
            <w:pPr>
              <w:jc w:val="center"/>
              <w:rPr>
                <w:color w:val="000000"/>
                <w:kern w:val="0"/>
                <w:szCs w:val="21"/>
              </w:rPr>
            </w:pPr>
            <w:r>
              <w:rPr>
                <w:color w:val="000000"/>
                <w:kern w:val="0"/>
                <w:szCs w:val="21"/>
              </w:rPr>
              <w:t>1</w:t>
            </w:r>
          </w:p>
        </w:tc>
        <w:tc>
          <w:tcPr>
            <w:tcW w:w="709" w:type="dxa"/>
            <w:noWrap/>
            <w:vAlign w:val="center"/>
          </w:tcPr>
          <w:p w14:paraId="7DE44019">
            <w:pPr>
              <w:jc w:val="center"/>
              <w:rPr>
                <w:color w:val="000000"/>
                <w:kern w:val="0"/>
                <w:szCs w:val="21"/>
              </w:rPr>
            </w:pPr>
            <w:r>
              <w:rPr>
                <w:color w:val="000000"/>
                <w:kern w:val="0"/>
                <w:szCs w:val="21"/>
              </w:rPr>
              <w:t>100</w:t>
            </w:r>
          </w:p>
        </w:tc>
        <w:tc>
          <w:tcPr>
            <w:tcW w:w="1274" w:type="dxa"/>
            <w:noWrap/>
            <w:vAlign w:val="center"/>
          </w:tcPr>
          <w:p w14:paraId="5DF4A0ED">
            <w:pPr>
              <w:jc w:val="center"/>
              <w:rPr>
                <w:color w:val="000000"/>
                <w:kern w:val="0"/>
                <w:szCs w:val="21"/>
              </w:rPr>
            </w:pPr>
            <w:r>
              <w:rPr>
                <w:rFonts w:hint="eastAsia"/>
                <w:color w:val="000000"/>
                <w:kern w:val="0"/>
                <w:szCs w:val="21"/>
              </w:rPr>
              <w:t>3000</w:t>
            </w:r>
          </w:p>
        </w:tc>
      </w:tr>
      <w:tr w14:paraId="13C16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14E2C83B">
            <w:pPr>
              <w:jc w:val="center"/>
              <w:rPr>
                <w:color w:val="000000"/>
                <w:kern w:val="0"/>
                <w:szCs w:val="21"/>
              </w:rPr>
            </w:pPr>
            <w:r>
              <w:rPr>
                <w:color w:val="000000"/>
                <w:kern w:val="0"/>
                <w:szCs w:val="21"/>
              </w:rPr>
              <w:t>3</w:t>
            </w:r>
          </w:p>
        </w:tc>
        <w:tc>
          <w:tcPr>
            <w:tcW w:w="1134" w:type="dxa"/>
            <w:noWrap w:val="0"/>
            <w:vAlign w:val="center"/>
          </w:tcPr>
          <w:p w14:paraId="6B00F504">
            <w:pPr>
              <w:jc w:val="center"/>
              <w:rPr>
                <w:rFonts w:eastAsia="楷体_GB2312"/>
                <w:color w:val="000000"/>
                <w:kern w:val="0"/>
                <w:szCs w:val="21"/>
              </w:rPr>
            </w:pPr>
            <w:r>
              <w:rPr>
                <w:rFonts w:eastAsia="楷体_GB2312"/>
                <w:color w:val="000000"/>
                <w:kern w:val="0"/>
                <w:szCs w:val="21"/>
              </w:rPr>
              <w:t>蕲县镇</w:t>
            </w:r>
          </w:p>
        </w:tc>
        <w:tc>
          <w:tcPr>
            <w:tcW w:w="1134" w:type="dxa"/>
            <w:noWrap w:val="0"/>
            <w:vAlign w:val="center"/>
          </w:tcPr>
          <w:p w14:paraId="7005F7C2">
            <w:pPr>
              <w:jc w:val="center"/>
              <w:rPr>
                <w:color w:val="000000"/>
                <w:kern w:val="0"/>
                <w:szCs w:val="21"/>
              </w:rPr>
            </w:pPr>
            <w:r>
              <w:rPr>
                <w:color w:val="000000"/>
                <w:kern w:val="0"/>
                <w:szCs w:val="21"/>
              </w:rPr>
              <w:t>1</w:t>
            </w:r>
          </w:p>
        </w:tc>
        <w:tc>
          <w:tcPr>
            <w:tcW w:w="2552" w:type="dxa"/>
            <w:noWrap w:val="0"/>
            <w:vAlign w:val="center"/>
          </w:tcPr>
          <w:p w14:paraId="46C238D9">
            <w:pPr>
              <w:jc w:val="center"/>
              <w:rPr>
                <w:rFonts w:eastAsia="楷体_GB2312"/>
                <w:color w:val="000000"/>
                <w:kern w:val="0"/>
                <w:szCs w:val="21"/>
              </w:rPr>
            </w:pPr>
            <w:r>
              <w:rPr>
                <w:rFonts w:eastAsia="楷体_GB2312"/>
                <w:color w:val="000000"/>
                <w:kern w:val="0"/>
                <w:szCs w:val="21"/>
              </w:rPr>
              <w:t>蕲县幼儿园</w:t>
            </w:r>
          </w:p>
        </w:tc>
        <w:tc>
          <w:tcPr>
            <w:tcW w:w="850" w:type="dxa"/>
            <w:noWrap/>
            <w:vAlign w:val="center"/>
          </w:tcPr>
          <w:p w14:paraId="51ABF21C">
            <w:pPr>
              <w:jc w:val="center"/>
              <w:rPr>
                <w:color w:val="000000"/>
                <w:kern w:val="0"/>
                <w:szCs w:val="21"/>
              </w:rPr>
            </w:pPr>
            <w:r>
              <w:rPr>
                <w:color w:val="000000"/>
                <w:kern w:val="0"/>
                <w:szCs w:val="21"/>
              </w:rPr>
              <w:t>1.0000</w:t>
            </w:r>
          </w:p>
        </w:tc>
        <w:tc>
          <w:tcPr>
            <w:tcW w:w="567" w:type="dxa"/>
            <w:noWrap/>
            <w:vAlign w:val="center"/>
          </w:tcPr>
          <w:p w14:paraId="2234DDF0">
            <w:pPr>
              <w:jc w:val="center"/>
              <w:rPr>
                <w:color w:val="000000"/>
                <w:kern w:val="0"/>
                <w:szCs w:val="21"/>
              </w:rPr>
            </w:pPr>
            <w:r>
              <w:rPr>
                <w:color w:val="000000"/>
                <w:kern w:val="0"/>
                <w:szCs w:val="21"/>
              </w:rPr>
              <w:t>1</w:t>
            </w:r>
          </w:p>
        </w:tc>
        <w:tc>
          <w:tcPr>
            <w:tcW w:w="709" w:type="dxa"/>
            <w:noWrap/>
            <w:vAlign w:val="center"/>
          </w:tcPr>
          <w:p w14:paraId="73ABB03D">
            <w:pPr>
              <w:jc w:val="center"/>
              <w:rPr>
                <w:color w:val="000000"/>
                <w:kern w:val="0"/>
                <w:szCs w:val="21"/>
              </w:rPr>
            </w:pPr>
            <w:r>
              <w:rPr>
                <w:color w:val="000000"/>
                <w:kern w:val="0"/>
                <w:szCs w:val="21"/>
              </w:rPr>
              <w:t>100</w:t>
            </w:r>
          </w:p>
        </w:tc>
        <w:tc>
          <w:tcPr>
            <w:tcW w:w="1274" w:type="dxa"/>
            <w:noWrap/>
            <w:vAlign w:val="center"/>
          </w:tcPr>
          <w:p w14:paraId="20F53FFC">
            <w:pPr>
              <w:jc w:val="center"/>
              <w:rPr>
                <w:color w:val="000000"/>
                <w:kern w:val="0"/>
                <w:szCs w:val="21"/>
              </w:rPr>
            </w:pPr>
            <w:r>
              <w:rPr>
                <w:rFonts w:hint="eastAsia"/>
                <w:color w:val="000000"/>
                <w:kern w:val="0"/>
                <w:szCs w:val="21"/>
              </w:rPr>
              <w:t>2000</w:t>
            </w:r>
          </w:p>
        </w:tc>
      </w:tr>
      <w:tr w14:paraId="4FD8D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7D3768AD">
            <w:pPr>
              <w:jc w:val="center"/>
              <w:rPr>
                <w:color w:val="000000"/>
                <w:kern w:val="0"/>
                <w:szCs w:val="21"/>
              </w:rPr>
            </w:pPr>
            <w:r>
              <w:rPr>
                <w:color w:val="000000"/>
                <w:kern w:val="0"/>
                <w:szCs w:val="21"/>
              </w:rPr>
              <w:t>4</w:t>
            </w:r>
          </w:p>
        </w:tc>
        <w:tc>
          <w:tcPr>
            <w:tcW w:w="1134" w:type="dxa"/>
            <w:noWrap w:val="0"/>
            <w:vAlign w:val="center"/>
          </w:tcPr>
          <w:p w14:paraId="3D48AF9E">
            <w:pPr>
              <w:jc w:val="center"/>
              <w:rPr>
                <w:rFonts w:eastAsia="楷体_GB2312"/>
                <w:color w:val="000000"/>
                <w:kern w:val="0"/>
                <w:szCs w:val="21"/>
              </w:rPr>
            </w:pPr>
            <w:r>
              <w:rPr>
                <w:rFonts w:eastAsia="楷体_GB2312"/>
                <w:color w:val="000000"/>
                <w:kern w:val="0"/>
                <w:szCs w:val="21"/>
              </w:rPr>
              <w:t>芦岭镇</w:t>
            </w:r>
          </w:p>
        </w:tc>
        <w:tc>
          <w:tcPr>
            <w:tcW w:w="1134" w:type="dxa"/>
            <w:noWrap w:val="0"/>
            <w:vAlign w:val="center"/>
          </w:tcPr>
          <w:p w14:paraId="3B0B6875">
            <w:pPr>
              <w:jc w:val="center"/>
              <w:rPr>
                <w:color w:val="000000"/>
                <w:kern w:val="0"/>
                <w:szCs w:val="21"/>
              </w:rPr>
            </w:pPr>
            <w:r>
              <w:rPr>
                <w:color w:val="000000"/>
                <w:kern w:val="0"/>
                <w:szCs w:val="21"/>
              </w:rPr>
              <w:t>1</w:t>
            </w:r>
          </w:p>
        </w:tc>
        <w:tc>
          <w:tcPr>
            <w:tcW w:w="2552" w:type="dxa"/>
            <w:noWrap w:val="0"/>
            <w:vAlign w:val="center"/>
          </w:tcPr>
          <w:p w14:paraId="408A0FD5">
            <w:pPr>
              <w:jc w:val="center"/>
              <w:rPr>
                <w:rFonts w:eastAsia="楷体_GB2312"/>
                <w:color w:val="000000"/>
                <w:kern w:val="0"/>
                <w:szCs w:val="21"/>
              </w:rPr>
            </w:pPr>
            <w:r>
              <w:rPr>
                <w:rFonts w:eastAsia="楷体_GB2312"/>
                <w:color w:val="000000"/>
                <w:kern w:val="0"/>
                <w:szCs w:val="21"/>
              </w:rPr>
              <w:t>芦岭镇中心校</w:t>
            </w:r>
          </w:p>
        </w:tc>
        <w:tc>
          <w:tcPr>
            <w:tcW w:w="850" w:type="dxa"/>
            <w:noWrap/>
            <w:vAlign w:val="center"/>
          </w:tcPr>
          <w:p w14:paraId="5F1E7A98">
            <w:pPr>
              <w:jc w:val="center"/>
              <w:rPr>
                <w:color w:val="000000"/>
                <w:kern w:val="0"/>
                <w:szCs w:val="21"/>
              </w:rPr>
            </w:pPr>
            <w:r>
              <w:rPr>
                <w:color w:val="000000"/>
                <w:kern w:val="0"/>
                <w:szCs w:val="21"/>
              </w:rPr>
              <w:t>1.0000</w:t>
            </w:r>
          </w:p>
        </w:tc>
        <w:tc>
          <w:tcPr>
            <w:tcW w:w="567" w:type="dxa"/>
            <w:noWrap/>
            <w:vAlign w:val="center"/>
          </w:tcPr>
          <w:p w14:paraId="01A683A2">
            <w:pPr>
              <w:jc w:val="center"/>
              <w:rPr>
                <w:color w:val="000000"/>
                <w:kern w:val="0"/>
                <w:szCs w:val="21"/>
              </w:rPr>
            </w:pPr>
            <w:r>
              <w:rPr>
                <w:color w:val="000000"/>
                <w:kern w:val="0"/>
                <w:szCs w:val="21"/>
              </w:rPr>
              <w:t>1</w:t>
            </w:r>
          </w:p>
        </w:tc>
        <w:tc>
          <w:tcPr>
            <w:tcW w:w="709" w:type="dxa"/>
            <w:noWrap/>
            <w:vAlign w:val="center"/>
          </w:tcPr>
          <w:p w14:paraId="74563598">
            <w:pPr>
              <w:jc w:val="center"/>
              <w:rPr>
                <w:color w:val="000000"/>
                <w:kern w:val="0"/>
                <w:szCs w:val="21"/>
              </w:rPr>
            </w:pPr>
            <w:r>
              <w:rPr>
                <w:color w:val="000000"/>
                <w:kern w:val="0"/>
                <w:szCs w:val="21"/>
              </w:rPr>
              <w:t>100</w:t>
            </w:r>
          </w:p>
        </w:tc>
        <w:tc>
          <w:tcPr>
            <w:tcW w:w="1274" w:type="dxa"/>
            <w:noWrap/>
            <w:vAlign w:val="center"/>
          </w:tcPr>
          <w:p w14:paraId="786742B0">
            <w:pPr>
              <w:jc w:val="center"/>
              <w:rPr>
                <w:color w:val="000000"/>
                <w:kern w:val="0"/>
                <w:szCs w:val="21"/>
              </w:rPr>
            </w:pPr>
            <w:r>
              <w:rPr>
                <w:rFonts w:hint="eastAsia"/>
                <w:color w:val="000000"/>
                <w:kern w:val="0"/>
                <w:szCs w:val="21"/>
              </w:rPr>
              <w:t>1400</w:t>
            </w:r>
          </w:p>
        </w:tc>
      </w:tr>
      <w:tr w14:paraId="400D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080B77BD">
            <w:pPr>
              <w:jc w:val="center"/>
              <w:rPr>
                <w:color w:val="000000"/>
                <w:kern w:val="0"/>
                <w:szCs w:val="21"/>
              </w:rPr>
            </w:pPr>
            <w:r>
              <w:rPr>
                <w:color w:val="000000"/>
                <w:kern w:val="0"/>
                <w:szCs w:val="21"/>
              </w:rPr>
              <w:t>5</w:t>
            </w:r>
          </w:p>
        </w:tc>
        <w:tc>
          <w:tcPr>
            <w:tcW w:w="1134" w:type="dxa"/>
            <w:noWrap w:val="0"/>
            <w:vAlign w:val="center"/>
          </w:tcPr>
          <w:p w14:paraId="61A54A26">
            <w:pPr>
              <w:jc w:val="center"/>
              <w:rPr>
                <w:rFonts w:eastAsia="楷体_GB2312"/>
                <w:color w:val="000000"/>
                <w:kern w:val="0"/>
                <w:szCs w:val="21"/>
              </w:rPr>
            </w:pPr>
            <w:r>
              <w:rPr>
                <w:rFonts w:eastAsia="楷体_GB2312"/>
                <w:color w:val="000000"/>
                <w:kern w:val="0"/>
                <w:szCs w:val="21"/>
              </w:rPr>
              <w:t>大店镇</w:t>
            </w:r>
          </w:p>
        </w:tc>
        <w:tc>
          <w:tcPr>
            <w:tcW w:w="1134" w:type="dxa"/>
            <w:noWrap w:val="0"/>
            <w:vAlign w:val="center"/>
          </w:tcPr>
          <w:p w14:paraId="42FEE62D">
            <w:pPr>
              <w:jc w:val="center"/>
              <w:rPr>
                <w:color w:val="000000"/>
                <w:kern w:val="0"/>
                <w:szCs w:val="21"/>
              </w:rPr>
            </w:pPr>
            <w:r>
              <w:rPr>
                <w:color w:val="000000"/>
                <w:kern w:val="0"/>
                <w:szCs w:val="21"/>
              </w:rPr>
              <w:t>1</w:t>
            </w:r>
          </w:p>
        </w:tc>
        <w:tc>
          <w:tcPr>
            <w:tcW w:w="2552" w:type="dxa"/>
            <w:noWrap w:val="0"/>
            <w:vAlign w:val="center"/>
          </w:tcPr>
          <w:p w14:paraId="14CE0FB9">
            <w:pPr>
              <w:jc w:val="center"/>
              <w:rPr>
                <w:rFonts w:eastAsia="楷体_GB2312"/>
                <w:color w:val="000000"/>
                <w:kern w:val="0"/>
                <w:szCs w:val="21"/>
              </w:rPr>
            </w:pPr>
            <w:r>
              <w:rPr>
                <w:rFonts w:eastAsia="楷体_GB2312"/>
                <w:color w:val="000000"/>
                <w:kern w:val="0"/>
                <w:szCs w:val="21"/>
              </w:rPr>
              <w:t>大店中心幼儿园</w:t>
            </w:r>
          </w:p>
        </w:tc>
        <w:tc>
          <w:tcPr>
            <w:tcW w:w="850" w:type="dxa"/>
            <w:noWrap/>
            <w:vAlign w:val="center"/>
          </w:tcPr>
          <w:p w14:paraId="67A3E30A">
            <w:pPr>
              <w:jc w:val="center"/>
              <w:rPr>
                <w:color w:val="000000"/>
                <w:kern w:val="0"/>
                <w:szCs w:val="21"/>
              </w:rPr>
            </w:pPr>
            <w:r>
              <w:rPr>
                <w:color w:val="000000"/>
                <w:kern w:val="0"/>
                <w:szCs w:val="21"/>
              </w:rPr>
              <w:t>1.0000</w:t>
            </w:r>
          </w:p>
        </w:tc>
        <w:tc>
          <w:tcPr>
            <w:tcW w:w="567" w:type="dxa"/>
            <w:noWrap/>
            <w:vAlign w:val="center"/>
          </w:tcPr>
          <w:p w14:paraId="618B20E3">
            <w:pPr>
              <w:jc w:val="center"/>
              <w:rPr>
                <w:color w:val="000000"/>
                <w:kern w:val="0"/>
                <w:szCs w:val="21"/>
              </w:rPr>
            </w:pPr>
            <w:r>
              <w:rPr>
                <w:color w:val="000000"/>
                <w:kern w:val="0"/>
                <w:szCs w:val="21"/>
              </w:rPr>
              <w:t>1</w:t>
            </w:r>
          </w:p>
        </w:tc>
        <w:tc>
          <w:tcPr>
            <w:tcW w:w="709" w:type="dxa"/>
            <w:noWrap/>
            <w:vAlign w:val="center"/>
          </w:tcPr>
          <w:p w14:paraId="6024780E">
            <w:pPr>
              <w:jc w:val="center"/>
              <w:rPr>
                <w:color w:val="000000"/>
                <w:kern w:val="0"/>
                <w:szCs w:val="21"/>
              </w:rPr>
            </w:pPr>
            <w:r>
              <w:rPr>
                <w:color w:val="000000"/>
                <w:kern w:val="0"/>
                <w:szCs w:val="21"/>
              </w:rPr>
              <w:t>100</w:t>
            </w:r>
          </w:p>
        </w:tc>
        <w:tc>
          <w:tcPr>
            <w:tcW w:w="1274" w:type="dxa"/>
            <w:noWrap/>
            <w:vAlign w:val="center"/>
          </w:tcPr>
          <w:p w14:paraId="0579D328">
            <w:pPr>
              <w:jc w:val="center"/>
              <w:rPr>
                <w:color w:val="000000"/>
                <w:kern w:val="0"/>
                <w:szCs w:val="21"/>
              </w:rPr>
            </w:pPr>
            <w:r>
              <w:rPr>
                <w:rFonts w:hint="eastAsia"/>
                <w:color w:val="000000"/>
                <w:kern w:val="0"/>
                <w:szCs w:val="21"/>
              </w:rPr>
              <w:t>1700</w:t>
            </w:r>
          </w:p>
        </w:tc>
      </w:tr>
      <w:tr w14:paraId="1AC6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5D7D2C8C">
            <w:pPr>
              <w:jc w:val="center"/>
              <w:rPr>
                <w:color w:val="000000"/>
                <w:kern w:val="0"/>
                <w:szCs w:val="21"/>
              </w:rPr>
            </w:pPr>
            <w:r>
              <w:rPr>
                <w:color w:val="000000"/>
                <w:kern w:val="0"/>
                <w:szCs w:val="21"/>
              </w:rPr>
              <w:t>6</w:t>
            </w:r>
          </w:p>
        </w:tc>
        <w:tc>
          <w:tcPr>
            <w:tcW w:w="1134" w:type="dxa"/>
            <w:noWrap w:val="0"/>
            <w:vAlign w:val="center"/>
          </w:tcPr>
          <w:p w14:paraId="5BD08E9A">
            <w:pPr>
              <w:jc w:val="center"/>
              <w:rPr>
                <w:rFonts w:eastAsia="楷体_GB2312"/>
                <w:color w:val="000000"/>
                <w:kern w:val="0"/>
                <w:szCs w:val="21"/>
              </w:rPr>
            </w:pPr>
            <w:r>
              <w:rPr>
                <w:rFonts w:eastAsia="楷体_GB2312"/>
                <w:color w:val="000000"/>
                <w:kern w:val="0"/>
                <w:szCs w:val="21"/>
              </w:rPr>
              <w:t>栏杆镇</w:t>
            </w:r>
          </w:p>
        </w:tc>
        <w:tc>
          <w:tcPr>
            <w:tcW w:w="1134" w:type="dxa"/>
            <w:noWrap w:val="0"/>
            <w:vAlign w:val="center"/>
          </w:tcPr>
          <w:p w14:paraId="4F3DFE25">
            <w:pPr>
              <w:jc w:val="center"/>
              <w:rPr>
                <w:color w:val="000000"/>
                <w:kern w:val="0"/>
                <w:szCs w:val="21"/>
              </w:rPr>
            </w:pPr>
            <w:r>
              <w:rPr>
                <w:color w:val="000000"/>
                <w:kern w:val="0"/>
                <w:szCs w:val="21"/>
              </w:rPr>
              <w:t>1</w:t>
            </w:r>
          </w:p>
        </w:tc>
        <w:tc>
          <w:tcPr>
            <w:tcW w:w="2552" w:type="dxa"/>
            <w:noWrap w:val="0"/>
            <w:vAlign w:val="center"/>
          </w:tcPr>
          <w:p w14:paraId="7188947D">
            <w:pPr>
              <w:jc w:val="center"/>
              <w:rPr>
                <w:rFonts w:eastAsia="楷体_GB2312"/>
                <w:color w:val="000000"/>
                <w:kern w:val="0"/>
                <w:szCs w:val="21"/>
              </w:rPr>
            </w:pPr>
            <w:r>
              <w:rPr>
                <w:rFonts w:eastAsia="楷体_GB2312"/>
                <w:color w:val="000000"/>
                <w:kern w:val="0"/>
                <w:szCs w:val="21"/>
              </w:rPr>
              <w:t>栏杆幼儿园</w:t>
            </w:r>
          </w:p>
        </w:tc>
        <w:tc>
          <w:tcPr>
            <w:tcW w:w="850" w:type="dxa"/>
            <w:noWrap/>
            <w:vAlign w:val="center"/>
          </w:tcPr>
          <w:p w14:paraId="36F3446D">
            <w:pPr>
              <w:jc w:val="center"/>
              <w:rPr>
                <w:color w:val="000000"/>
                <w:kern w:val="0"/>
                <w:szCs w:val="21"/>
              </w:rPr>
            </w:pPr>
            <w:r>
              <w:rPr>
                <w:color w:val="000000"/>
                <w:kern w:val="0"/>
                <w:szCs w:val="21"/>
              </w:rPr>
              <w:t>1.0000</w:t>
            </w:r>
          </w:p>
        </w:tc>
        <w:tc>
          <w:tcPr>
            <w:tcW w:w="567" w:type="dxa"/>
            <w:noWrap/>
            <w:vAlign w:val="center"/>
          </w:tcPr>
          <w:p w14:paraId="0E383173">
            <w:pPr>
              <w:jc w:val="center"/>
              <w:rPr>
                <w:color w:val="000000"/>
                <w:kern w:val="0"/>
                <w:szCs w:val="21"/>
              </w:rPr>
            </w:pPr>
            <w:r>
              <w:rPr>
                <w:color w:val="000000"/>
                <w:kern w:val="0"/>
                <w:szCs w:val="21"/>
              </w:rPr>
              <w:t>1</w:t>
            </w:r>
          </w:p>
        </w:tc>
        <w:tc>
          <w:tcPr>
            <w:tcW w:w="709" w:type="dxa"/>
            <w:noWrap/>
            <w:vAlign w:val="center"/>
          </w:tcPr>
          <w:p w14:paraId="3846367B">
            <w:pPr>
              <w:jc w:val="center"/>
              <w:rPr>
                <w:color w:val="000000"/>
                <w:kern w:val="0"/>
                <w:szCs w:val="21"/>
              </w:rPr>
            </w:pPr>
            <w:r>
              <w:rPr>
                <w:color w:val="000000"/>
                <w:kern w:val="0"/>
                <w:szCs w:val="21"/>
              </w:rPr>
              <w:t>100</w:t>
            </w:r>
          </w:p>
        </w:tc>
        <w:tc>
          <w:tcPr>
            <w:tcW w:w="1274" w:type="dxa"/>
            <w:noWrap/>
            <w:vAlign w:val="center"/>
          </w:tcPr>
          <w:p w14:paraId="7AB87D24">
            <w:pPr>
              <w:jc w:val="center"/>
              <w:rPr>
                <w:color w:val="000000"/>
                <w:kern w:val="0"/>
                <w:szCs w:val="21"/>
              </w:rPr>
            </w:pPr>
            <w:r>
              <w:rPr>
                <w:rFonts w:hint="eastAsia"/>
                <w:color w:val="000000"/>
                <w:kern w:val="0"/>
                <w:szCs w:val="21"/>
              </w:rPr>
              <w:t>1600</w:t>
            </w:r>
          </w:p>
        </w:tc>
      </w:tr>
      <w:tr w14:paraId="644AE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4A614158">
            <w:pPr>
              <w:jc w:val="center"/>
              <w:rPr>
                <w:color w:val="000000"/>
                <w:kern w:val="0"/>
                <w:szCs w:val="21"/>
              </w:rPr>
            </w:pPr>
            <w:r>
              <w:rPr>
                <w:color w:val="000000"/>
                <w:kern w:val="0"/>
                <w:szCs w:val="21"/>
              </w:rPr>
              <w:t>7</w:t>
            </w:r>
          </w:p>
        </w:tc>
        <w:tc>
          <w:tcPr>
            <w:tcW w:w="1134" w:type="dxa"/>
            <w:noWrap w:val="0"/>
            <w:vAlign w:val="center"/>
          </w:tcPr>
          <w:p w14:paraId="2370391E">
            <w:pPr>
              <w:jc w:val="center"/>
              <w:rPr>
                <w:rFonts w:eastAsia="楷体_GB2312"/>
                <w:color w:val="000000"/>
                <w:kern w:val="0"/>
                <w:szCs w:val="21"/>
              </w:rPr>
            </w:pPr>
            <w:r>
              <w:rPr>
                <w:rFonts w:eastAsia="楷体_GB2312"/>
                <w:color w:val="000000"/>
                <w:kern w:val="0"/>
                <w:szCs w:val="21"/>
              </w:rPr>
              <w:t>时村镇</w:t>
            </w:r>
          </w:p>
        </w:tc>
        <w:tc>
          <w:tcPr>
            <w:tcW w:w="1134" w:type="dxa"/>
            <w:noWrap w:val="0"/>
            <w:vAlign w:val="center"/>
          </w:tcPr>
          <w:p w14:paraId="21725589">
            <w:pPr>
              <w:jc w:val="center"/>
              <w:rPr>
                <w:color w:val="000000"/>
                <w:kern w:val="0"/>
                <w:szCs w:val="21"/>
              </w:rPr>
            </w:pPr>
            <w:r>
              <w:rPr>
                <w:color w:val="000000"/>
                <w:kern w:val="0"/>
                <w:szCs w:val="21"/>
              </w:rPr>
              <w:t>1</w:t>
            </w:r>
          </w:p>
        </w:tc>
        <w:tc>
          <w:tcPr>
            <w:tcW w:w="2552" w:type="dxa"/>
            <w:noWrap w:val="0"/>
            <w:vAlign w:val="center"/>
          </w:tcPr>
          <w:p w14:paraId="3A863AD3">
            <w:pPr>
              <w:jc w:val="center"/>
              <w:rPr>
                <w:rFonts w:eastAsia="楷体_GB2312"/>
                <w:color w:val="000000"/>
                <w:kern w:val="0"/>
                <w:szCs w:val="21"/>
              </w:rPr>
            </w:pPr>
            <w:r>
              <w:rPr>
                <w:rFonts w:eastAsia="楷体_GB2312"/>
                <w:color w:val="000000"/>
                <w:kern w:val="0"/>
                <w:szCs w:val="21"/>
              </w:rPr>
              <w:t>时村镇幼儿园</w:t>
            </w:r>
          </w:p>
        </w:tc>
        <w:tc>
          <w:tcPr>
            <w:tcW w:w="850" w:type="dxa"/>
            <w:noWrap/>
            <w:vAlign w:val="center"/>
          </w:tcPr>
          <w:p w14:paraId="6ACC609C">
            <w:pPr>
              <w:jc w:val="center"/>
              <w:rPr>
                <w:color w:val="000000"/>
                <w:kern w:val="0"/>
                <w:szCs w:val="21"/>
              </w:rPr>
            </w:pPr>
            <w:r>
              <w:rPr>
                <w:color w:val="000000"/>
                <w:kern w:val="0"/>
                <w:szCs w:val="21"/>
              </w:rPr>
              <w:t>1.0000</w:t>
            </w:r>
          </w:p>
        </w:tc>
        <w:tc>
          <w:tcPr>
            <w:tcW w:w="567" w:type="dxa"/>
            <w:noWrap/>
            <w:vAlign w:val="center"/>
          </w:tcPr>
          <w:p w14:paraId="4746F2B3">
            <w:pPr>
              <w:jc w:val="center"/>
              <w:rPr>
                <w:color w:val="000000"/>
                <w:kern w:val="0"/>
                <w:szCs w:val="21"/>
              </w:rPr>
            </w:pPr>
            <w:r>
              <w:rPr>
                <w:color w:val="000000"/>
                <w:kern w:val="0"/>
                <w:szCs w:val="21"/>
              </w:rPr>
              <w:t>1</w:t>
            </w:r>
          </w:p>
        </w:tc>
        <w:tc>
          <w:tcPr>
            <w:tcW w:w="709" w:type="dxa"/>
            <w:noWrap/>
            <w:vAlign w:val="center"/>
          </w:tcPr>
          <w:p w14:paraId="212BD96F">
            <w:pPr>
              <w:jc w:val="center"/>
              <w:rPr>
                <w:color w:val="000000"/>
                <w:kern w:val="0"/>
                <w:szCs w:val="21"/>
              </w:rPr>
            </w:pPr>
            <w:r>
              <w:rPr>
                <w:color w:val="000000"/>
                <w:kern w:val="0"/>
                <w:szCs w:val="21"/>
              </w:rPr>
              <w:t>100</w:t>
            </w:r>
          </w:p>
        </w:tc>
        <w:tc>
          <w:tcPr>
            <w:tcW w:w="1274" w:type="dxa"/>
            <w:noWrap/>
            <w:vAlign w:val="center"/>
          </w:tcPr>
          <w:p w14:paraId="3A878A47">
            <w:pPr>
              <w:jc w:val="center"/>
              <w:rPr>
                <w:color w:val="000000"/>
                <w:kern w:val="0"/>
                <w:szCs w:val="21"/>
              </w:rPr>
            </w:pPr>
            <w:r>
              <w:rPr>
                <w:rFonts w:hint="eastAsia"/>
                <w:color w:val="000000"/>
                <w:kern w:val="0"/>
                <w:szCs w:val="21"/>
              </w:rPr>
              <w:t>1700</w:t>
            </w:r>
          </w:p>
        </w:tc>
      </w:tr>
      <w:tr w14:paraId="41697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1C64396D">
            <w:pPr>
              <w:jc w:val="center"/>
              <w:rPr>
                <w:color w:val="000000"/>
                <w:kern w:val="0"/>
                <w:szCs w:val="21"/>
              </w:rPr>
            </w:pPr>
            <w:r>
              <w:rPr>
                <w:color w:val="000000"/>
                <w:kern w:val="0"/>
                <w:szCs w:val="21"/>
              </w:rPr>
              <w:t>8</w:t>
            </w:r>
          </w:p>
        </w:tc>
        <w:tc>
          <w:tcPr>
            <w:tcW w:w="1134" w:type="dxa"/>
            <w:noWrap w:val="0"/>
            <w:vAlign w:val="center"/>
          </w:tcPr>
          <w:p w14:paraId="5B9CBC1A">
            <w:pPr>
              <w:jc w:val="center"/>
              <w:rPr>
                <w:rFonts w:eastAsia="楷体_GB2312"/>
                <w:color w:val="000000"/>
                <w:kern w:val="0"/>
                <w:szCs w:val="21"/>
              </w:rPr>
            </w:pPr>
            <w:r>
              <w:rPr>
                <w:rFonts w:eastAsia="楷体_GB2312"/>
                <w:color w:val="000000"/>
                <w:kern w:val="0"/>
                <w:szCs w:val="21"/>
              </w:rPr>
              <w:t>夹沟镇</w:t>
            </w:r>
          </w:p>
        </w:tc>
        <w:tc>
          <w:tcPr>
            <w:tcW w:w="1134" w:type="dxa"/>
            <w:noWrap w:val="0"/>
            <w:vAlign w:val="center"/>
          </w:tcPr>
          <w:p w14:paraId="10B02F6E">
            <w:pPr>
              <w:jc w:val="center"/>
              <w:rPr>
                <w:color w:val="000000"/>
                <w:kern w:val="0"/>
                <w:szCs w:val="21"/>
              </w:rPr>
            </w:pPr>
            <w:r>
              <w:rPr>
                <w:color w:val="000000"/>
                <w:kern w:val="0"/>
                <w:szCs w:val="21"/>
              </w:rPr>
              <w:t>1</w:t>
            </w:r>
          </w:p>
        </w:tc>
        <w:tc>
          <w:tcPr>
            <w:tcW w:w="2552" w:type="dxa"/>
            <w:noWrap w:val="0"/>
            <w:vAlign w:val="center"/>
          </w:tcPr>
          <w:p w14:paraId="33401717">
            <w:pPr>
              <w:jc w:val="center"/>
              <w:rPr>
                <w:rFonts w:eastAsia="楷体_GB2312"/>
                <w:color w:val="000000"/>
                <w:kern w:val="0"/>
                <w:szCs w:val="21"/>
              </w:rPr>
            </w:pPr>
            <w:r>
              <w:rPr>
                <w:rFonts w:eastAsia="楷体_GB2312"/>
                <w:color w:val="000000"/>
                <w:kern w:val="0"/>
                <w:szCs w:val="21"/>
              </w:rPr>
              <w:t>夹沟镇幼儿园</w:t>
            </w:r>
          </w:p>
        </w:tc>
        <w:tc>
          <w:tcPr>
            <w:tcW w:w="850" w:type="dxa"/>
            <w:noWrap/>
            <w:vAlign w:val="center"/>
          </w:tcPr>
          <w:p w14:paraId="7BE2AF2D">
            <w:pPr>
              <w:jc w:val="center"/>
              <w:rPr>
                <w:color w:val="000000"/>
                <w:kern w:val="0"/>
                <w:szCs w:val="21"/>
              </w:rPr>
            </w:pPr>
            <w:r>
              <w:rPr>
                <w:color w:val="000000"/>
                <w:kern w:val="0"/>
                <w:szCs w:val="21"/>
              </w:rPr>
              <w:t>1.0000</w:t>
            </w:r>
          </w:p>
        </w:tc>
        <w:tc>
          <w:tcPr>
            <w:tcW w:w="567" w:type="dxa"/>
            <w:noWrap/>
            <w:vAlign w:val="center"/>
          </w:tcPr>
          <w:p w14:paraId="613BD454">
            <w:pPr>
              <w:jc w:val="center"/>
              <w:rPr>
                <w:color w:val="000000"/>
                <w:kern w:val="0"/>
                <w:szCs w:val="21"/>
              </w:rPr>
            </w:pPr>
            <w:r>
              <w:rPr>
                <w:color w:val="000000"/>
                <w:kern w:val="0"/>
                <w:szCs w:val="21"/>
              </w:rPr>
              <w:t>1</w:t>
            </w:r>
          </w:p>
        </w:tc>
        <w:tc>
          <w:tcPr>
            <w:tcW w:w="709" w:type="dxa"/>
            <w:noWrap/>
            <w:vAlign w:val="center"/>
          </w:tcPr>
          <w:p w14:paraId="342DCFD6">
            <w:pPr>
              <w:jc w:val="center"/>
              <w:rPr>
                <w:color w:val="000000"/>
                <w:kern w:val="0"/>
                <w:szCs w:val="21"/>
              </w:rPr>
            </w:pPr>
            <w:r>
              <w:rPr>
                <w:color w:val="000000"/>
                <w:kern w:val="0"/>
                <w:szCs w:val="21"/>
              </w:rPr>
              <w:t>100</w:t>
            </w:r>
          </w:p>
        </w:tc>
        <w:tc>
          <w:tcPr>
            <w:tcW w:w="1274" w:type="dxa"/>
            <w:noWrap/>
            <w:vAlign w:val="center"/>
          </w:tcPr>
          <w:p w14:paraId="3B9546FF">
            <w:pPr>
              <w:jc w:val="center"/>
              <w:rPr>
                <w:color w:val="000000"/>
                <w:kern w:val="0"/>
                <w:szCs w:val="21"/>
              </w:rPr>
            </w:pPr>
            <w:r>
              <w:rPr>
                <w:rFonts w:hint="eastAsia"/>
                <w:color w:val="000000"/>
                <w:kern w:val="0"/>
                <w:szCs w:val="21"/>
              </w:rPr>
              <w:t>2300</w:t>
            </w:r>
          </w:p>
        </w:tc>
      </w:tr>
      <w:tr w14:paraId="1701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27DA54E1">
            <w:pPr>
              <w:jc w:val="center"/>
              <w:rPr>
                <w:color w:val="000000"/>
                <w:kern w:val="0"/>
                <w:szCs w:val="21"/>
              </w:rPr>
            </w:pPr>
            <w:r>
              <w:rPr>
                <w:color w:val="000000"/>
                <w:kern w:val="0"/>
                <w:szCs w:val="21"/>
              </w:rPr>
              <w:t>9</w:t>
            </w:r>
          </w:p>
        </w:tc>
        <w:tc>
          <w:tcPr>
            <w:tcW w:w="1134" w:type="dxa"/>
            <w:noWrap w:val="0"/>
            <w:vAlign w:val="center"/>
          </w:tcPr>
          <w:p w14:paraId="79B64E8E">
            <w:pPr>
              <w:jc w:val="center"/>
              <w:rPr>
                <w:rFonts w:eastAsia="楷体_GB2312"/>
                <w:color w:val="000000"/>
                <w:kern w:val="0"/>
                <w:szCs w:val="21"/>
              </w:rPr>
            </w:pPr>
            <w:r>
              <w:rPr>
                <w:rFonts w:eastAsia="楷体_GB2312"/>
                <w:color w:val="000000"/>
                <w:kern w:val="0"/>
                <w:szCs w:val="21"/>
              </w:rPr>
              <w:t>西二铺乡</w:t>
            </w:r>
          </w:p>
        </w:tc>
        <w:tc>
          <w:tcPr>
            <w:tcW w:w="1134" w:type="dxa"/>
            <w:noWrap w:val="0"/>
            <w:vAlign w:val="center"/>
          </w:tcPr>
          <w:p w14:paraId="0DBACB53">
            <w:pPr>
              <w:jc w:val="center"/>
              <w:rPr>
                <w:color w:val="000000"/>
                <w:kern w:val="0"/>
                <w:szCs w:val="21"/>
              </w:rPr>
            </w:pPr>
            <w:r>
              <w:rPr>
                <w:color w:val="000000"/>
                <w:kern w:val="0"/>
                <w:szCs w:val="21"/>
              </w:rPr>
              <w:t>1</w:t>
            </w:r>
          </w:p>
        </w:tc>
        <w:tc>
          <w:tcPr>
            <w:tcW w:w="2552" w:type="dxa"/>
            <w:noWrap w:val="0"/>
            <w:vAlign w:val="center"/>
          </w:tcPr>
          <w:p w14:paraId="7F32F64F">
            <w:pPr>
              <w:jc w:val="center"/>
              <w:rPr>
                <w:rFonts w:eastAsia="楷体_GB2312"/>
                <w:color w:val="000000"/>
                <w:kern w:val="0"/>
                <w:szCs w:val="21"/>
              </w:rPr>
            </w:pPr>
            <w:r>
              <w:rPr>
                <w:rFonts w:eastAsia="楷体_GB2312"/>
                <w:color w:val="000000"/>
                <w:kern w:val="0"/>
                <w:szCs w:val="21"/>
              </w:rPr>
              <w:t>西二铺中心幼儿园</w:t>
            </w:r>
          </w:p>
        </w:tc>
        <w:tc>
          <w:tcPr>
            <w:tcW w:w="850" w:type="dxa"/>
            <w:noWrap/>
            <w:vAlign w:val="center"/>
          </w:tcPr>
          <w:p w14:paraId="3B477679">
            <w:pPr>
              <w:jc w:val="center"/>
              <w:rPr>
                <w:color w:val="000000"/>
                <w:kern w:val="0"/>
                <w:szCs w:val="21"/>
              </w:rPr>
            </w:pPr>
            <w:r>
              <w:rPr>
                <w:color w:val="000000"/>
                <w:kern w:val="0"/>
                <w:szCs w:val="21"/>
              </w:rPr>
              <w:t>1.0000</w:t>
            </w:r>
          </w:p>
        </w:tc>
        <w:tc>
          <w:tcPr>
            <w:tcW w:w="567" w:type="dxa"/>
            <w:noWrap/>
            <w:vAlign w:val="center"/>
          </w:tcPr>
          <w:p w14:paraId="1A780EA7">
            <w:pPr>
              <w:jc w:val="center"/>
              <w:rPr>
                <w:color w:val="000000"/>
                <w:kern w:val="0"/>
                <w:szCs w:val="21"/>
              </w:rPr>
            </w:pPr>
            <w:r>
              <w:rPr>
                <w:color w:val="000000"/>
                <w:kern w:val="0"/>
                <w:szCs w:val="21"/>
              </w:rPr>
              <w:t>1</w:t>
            </w:r>
          </w:p>
        </w:tc>
        <w:tc>
          <w:tcPr>
            <w:tcW w:w="709" w:type="dxa"/>
            <w:noWrap/>
            <w:vAlign w:val="center"/>
          </w:tcPr>
          <w:p w14:paraId="4247A52F">
            <w:pPr>
              <w:jc w:val="center"/>
              <w:rPr>
                <w:color w:val="000000"/>
                <w:kern w:val="0"/>
                <w:szCs w:val="21"/>
              </w:rPr>
            </w:pPr>
            <w:r>
              <w:rPr>
                <w:color w:val="000000"/>
                <w:kern w:val="0"/>
                <w:szCs w:val="21"/>
              </w:rPr>
              <w:t>100</w:t>
            </w:r>
          </w:p>
        </w:tc>
        <w:tc>
          <w:tcPr>
            <w:tcW w:w="1274" w:type="dxa"/>
            <w:noWrap/>
            <w:vAlign w:val="center"/>
          </w:tcPr>
          <w:p w14:paraId="0E120A96">
            <w:pPr>
              <w:jc w:val="center"/>
              <w:rPr>
                <w:color w:val="000000"/>
                <w:kern w:val="0"/>
                <w:szCs w:val="21"/>
              </w:rPr>
            </w:pPr>
            <w:r>
              <w:rPr>
                <w:rFonts w:hint="eastAsia"/>
                <w:color w:val="000000"/>
                <w:kern w:val="0"/>
                <w:szCs w:val="21"/>
              </w:rPr>
              <w:t>1600</w:t>
            </w:r>
          </w:p>
        </w:tc>
      </w:tr>
      <w:tr w14:paraId="207D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restart"/>
            <w:noWrap w:val="0"/>
            <w:vAlign w:val="center"/>
          </w:tcPr>
          <w:p w14:paraId="764E0776">
            <w:pPr>
              <w:jc w:val="center"/>
              <w:rPr>
                <w:color w:val="000000"/>
                <w:kern w:val="0"/>
                <w:szCs w:val="21"/>
              </w:rPr>
            </w:pPr>
            <w:r>
              <w:rPr>
                <w:color w:val="000000"/>
                <w:kern w:val="0"/>
                <w:szCs w:val="21"/>
              </w:rPr>
              <w:t>10</w:t>
            </w:r>
          </w:p>
        </w:tc>
        <w:tc>
          <w:tcPr>
            <w:tcW w:w="1134" w:type="dxa"/>
            <w:vMerge w:val="restart"/>
            <w:noWrap w:val="0"/>
            <w:vAlign w:val="center"/>
          </w:tcPr>
          <w:p w14:paraId="4D56A3FE">
            <w:pPr>
              <w:jc w:val="center"/>
              <w:rPr>
                <w:rFonts w:eastAsia="楷体_GB2312"/>
                <w:color w:val="000000"/>
                <w:kern w:val="0"/>
                <w:szCs w:val="21"/>
              </w:rPr>
            </w:pPr>
            <w:r>
              <w:rPr>
                <w:rFonts w:eastAsia="楷体_GB2312"/>
                <w:color w:val="000000"/>
                <w:kern w:val="0"/>
                <w:szCs w:val="21"/>
              </w:rPr>
              <w:t>桃园镇</w:t>
            </w:r>
          </w:p>
        </w:tc>
        <w:tc>
          <w:tcPr>
            <w:tcW w:w="1134" w:type="dxa"/>
            <w:noWrap w:val="0"/>
            <w:vAlign w:val="center"/>
          </w:tcPr>
          <w:p w14:paraId="642BEC9D">
            <w:pPr>
              <w:jc w:val="center"/>
              <w:rPr>
                <w:color w:val="000000"/>
                <w:kern w:val="0"/>
                <w:szCs w:val="21"/>
              </w:rPr>
            </w:pPr>
            <w:r>
              <w:rPr>
                <w:color w:val="000000"/>
                <w:kern w:val="0"/>
                <w:szCs w:val="21"/>
              </w:rPr>
              <w:t>1</w:t>
            </w:r>
          </w:p>
        </w:tc>
        <w:tc>
          <w:tcPr>
            <w:tcW w:w="2552" w:type="dxa"/>
            <w:noWrap w:val="0"/>
            <w:vAlign w:val="center"/>
          </w:tcPr>
          <w:p w14:paraId="441236BA">
            <w:pPr>
              <w:jc w:val="center"/>
              <w:rPr>
                <w:rFonts w:eastAsia="楷体_GB2312"/>
                <w:color w:val="000000"/>
                <w:kern w:val="0"/>
                <w:szCs w:val="21"/>
              </w:rPr>
            </w:pPr>
            <w:r>
              <w:rPr>
                <w:rFonts w:eastAsia="楷体_GB2312"/>
                <w:color w:val="000000"/>
                <w:kern w:val="0"/>
                <w:szCs w:val="21"/>
              </w:rPr>
              <w:t>北杨寨中心幼儿园</w:t>
            </w:r>
          </w:p>
        </w:tc>
        <w:tc>
          <w:tcPr>
            <w:tcW w:w="850" w:type="dxa"/>
            <w:noWrap/>
            <w:vAlign w:val="center"/>
          </w:tcPr>
          <w:p w14:paraId="3596743D">
            <w:pPr>
              <w:jc w:val="center"/>
              <w:rPr>
                <w:color w:val="000000"/>
                <w:kern w:val="0"/>
                <w:szCs w:val="21"/>
              </w:rPr>
            </w:pPr>
            <w:r>
              <w:rPr>
                <w:color w:val="000000"/>
                <w:kern w:val="0"/>
                <w:szCs w:val="21"/>
              </w:rPr>
              <w:t>1.0000</w:t>
            </w:r>
          </w:p>
        </w:tc>
        <w:tc>
          <w:tcPr>
            <w:tcW w:w="567" w:type="dxa"/>
            <w:noWrap/>
            <w:vAlign w:val="center"/>
          </w:tcPr>
          <w:p w14:paraId="5D69C562">
            <w:pPr>
              <w:jc w:val="center"/>
              <w:rPr>
                <w:color w:val="000000"/>
                <w:kern w:val="0"/>
                <w:szCs w:val="21"/>
              </w:rPr>
            </w:pPr>
            <w:r>
              <w:rPr>
                <w:color w:val="000000"/>
                <w:kern w:val="0"/>
                <w:szCs w:val="21"/>
              </w:rPr>
              <w:t>1</w:t>
            </w:r>
          </w:p>
        </w:tc>
        <w:tc>
          <w:tcPr>
            <w:tcW w:w="709" w:type="dxa"/>
            <w:noWrap/>
            <w:vAlign w:val="center"/>
          </w:tcPr>
          <w:p w14:paraId="70D67833">
            <w:pPr>
              <w:jc w:val="center"/>
              <w:rPr>
                <w:color w:val="000000"/>
                <w:kern w:val="0"/>
                <w:szCs w:val="21"/>
              </w:rPr>
            </w:pPr>
            <w:r>
              <w:rPr>
                <w:color w:val="000000"/>
                <w:kern w:val="0"/>
                <w:szCs w:val="21"/>
              </w:rPr>
              <w:t>100</w:t>
            </w:r>
          </w:p>
        </w:tc>
        <w:tc>
          <w:tcPr>
            <w:tcW w:w="1274" w:type="dxa"/>
            <w:noWrap/>
            <w:vAlign w:val="center"/>
          </w:tcPr>
          <w:p w14:paraId="71F58E57">
            <w:pPr>
              <w:jc w:val="center"/>
              <w:rPr>
                <w:color w:val="000000"/>
                <w:kern w:val="0"/>
                <w:szCs w:val="21"/>
              </w:rPr>
            </w:pPr>
            <w:r>
              <w:rPr>
                <w:rFonts w:hint="eastAsia"/>
                <w:color w:val="000000"/>
                <w:kern w:val="0"/>
                <w:szCs w:val="21"/>
              </w:rPr>
              <w:t>1200</w:t>
            </w:r>
          </w:p>
        </w:tc>
      </w:tr>
      <w:tr w14:paraId="630CC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vMerge w:val="continue"/>
            <w:noWrap w:val="0"/>
            <w:vAlign w:val="center"/>
          </w:tcPr>
          <w:p w14:paraId="0DF5E79B">
            <w:pPr>
              <w:jc w:val="center"/>
              <w:rPr>
                <w:color w:val="000000"/>
                <w:kern w:val="0"/>
                <w:szCs w:val="21"/>
              </w:rPr>
            </w:pPr>
          </w:p>
        </w:tc>
        <w:tc>
          <w:tcPr>
            <w:tcW w:w="1134" w:type="dxa"/>
            <w:vMerge w:val="continue"/>
            <w:noWrap w:val="0"/>
            <w:vAlign w:val="center"/>
          </w:tcPr>
          <w:p w14:paraId="2AF35F85">
            <w:pPr>
              <w:jc w:val="center"/>
              <w:rPr>
                <w:rFonts w:eastAsia="楷体_GB2312"/>
                <w:color w:val="000000"/>
                <w:kern w:val="0"/>
                <w:szCs w:val="21"/>
              </w:rPr>
            </w:pPr>
          </w:p>
        </w:tc>
        <w:tc>
          <w:tcPr>
            <w:tcW w:w="1134" w:type="dxa"/>
            <w:noWrap w:val="0"/>
            <w:vAlign w:val="center"/>
          </w:tcPr>
          <w:p w14:paraId="3631CCF1">
            <w:pPr>
              <w:jc w:val="center"/>
              <w:rPr>
                <w:color w:val="000000"/>
                <w:kern w:val="0"/>
                <w:szCs w:val="21"/>
              </w:rPr>
            </w:pPr>
            <w:r>
              <w:rPr>
                <w:color w:val="000000"/>
                <w:kern w:val="0"/>
                <w:szCs w:val="21"/>
              </w:rPr>
              <w:t>2</w:t>
            </w:r>
          </w:p>
        </w:tc>
        <w:tc>
          <w:tcPr>
            <w:tcW w:w="2552" w:type="dxa"/>
            <w:noWrap w:val="0"/>
            <w:vAlign w:val="center"/>
          </w:tcPr>
          <w:p w14:paraId="73F0E3EF">
            <w:pPr>
              <w:jc w:val="center"/>
              <w:rPr>
                <w:rFonts w:eastAsia="楷体_GB2312"/>
                <w:color w:val="000000"/>
                <w:kern w:val="0"/>
                <w:szCs w:val="21"/>
              </w:rPr>
            </w:pPr>
            <w:r>
              <w:rPr>
                <w:rFonts w:eastAsia="楷体_GB2312"/>
                <w:color w:val="000000"/>
                <w:kern w:val="0"/>
                <w:szCs w:val="21"/>
              </w:rPr>
              <w:t>桃园镇幼儿园</w:t>
            </w:r>
          </w:p>
        </w:tc>
        <w:tc>
          <w:tcPr>
            <w:tcW w:w="850" w:type="dxa"/>
            <w:noWrap/>
            <w:vAlign w:val="center"/>
          </w:tcPr>
          <w:p w14:paraId="1709585B">
            <w:pPr>
              <w:jc w:val="center"/>
              <w:rPr>
                <w:color w:val="000000"/>
                <w:kern w:val="0"/>
                <w:szCs w:val="21"/>
              </w:rPr>
            </w:pPr>
            <w:r>
              <w:rPr>
                <w:color w:val="000000"/>
                <w:kern w:val="0"/>
                <w:szCs w:val="21"/>
              </w:rPr>
              <w:t>0.3979</w:t>
            </w:r>
          </w:p>
        </w:tc>
        <w:tc>
          <w:tcPr>
            <w:tcW w:w="567" w:type="dxa"/>
            <w:noWrap/>
            <w:vAlign w:val="center"/>
          </w:tcPr>
          <w:p w14:paraId="5A31BB27">
            <w:pPr>
              <w:jc w:val="center"/>
              <w:rPr>
                <w:color w:val="000000"/>
                <w:kern w:val="0"/>
                <w:szCs w:val="21"/>
              </w:rPr>
            </w:pPr>
            <w:r>
              <w:rPr>
                <w:color w:val="000000"/>
                <w:kern w:val="0"/>
                <w:szCs w:val="21"/>
              </w:rPr>
              <w:t>2</w:t>
            </w:r>
          </w:p>
        </w:tc>
        <w:tc>
          <w:tcPr>
            <w:tcW w:w="709" w:type="dxa"/>
            <w:noWrap/>
            <w:vAlign w:val="center"/>
          </w:tcPr>
          <w:p w14:paraId="1A76D888">
            <w:pPr>
              <w:jc w:val="center"/>
              <w:rPr>
                <w:color w:val="000000"/>
                <w:kern w:val="0"/>
                <w:szCs w:val="21"/>
              </w:rPr>
            </w:pPr>
            <w:r>
              <w:rPr>
                <w:color w:val="000000"/>
                <w:kern w:val="0"/>
                <w:szCs w:val="21"/>
              </w:rPr>
              <w:t>40</w:t>
            </w:r>
          </w:p>
        </w:tc>
        <w:tc>
          <w:tcPr>
            <w:tcW w:w="1274" w:type="dxa"/>
            <w:noWrap/>
            <w:vAlign w:val="center"/>
          </w:tcPr>
          <w:p w14:paraId="72406CE9">
            <w:pPr>
              <w:jc w:val="center"/>
              <w:rPr>
                <w:color w:val="000000"/>
                <w:kern w:val="0"/>
                <w:szCs w:val="21"/>
              </w:rPr>
            </w:pPr>
            <w:r>
              <w:rPr>
                <w:rFonts w:hint="eastAsia"/>
                <w:color w:val="000000"/>
                <w:kern w:val="0"/>
                <w:szCs w:val="21"/>
              </w:rPr>
              <w:t>1000</w:t>
            </w:r>
          </w:p>
        </w:tc>
      </w:tr>
      <w:tr w14:paraId="4EAE0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20DE1421">
            <w:pPr>
              <w:jc w:val="center"/>
              <w:rPr>
                <w:color w:val="000000"/>
                <w:kern w:val="0"/>
                <w:szCs w:val="21"/>
              </w:rPr>
            </w:pPr>
            <w:r>
              <w:rPr>
                <w:color w:val="000000"/>
                <w:kern w:val="0"/>
                <w:szCs w:val="21"/>
              </w:rPr>
              <w:t>11</w:t>
            </w:r>
          </w:p>
        </w:tc>
        <w:tc>
          <w:tcPr>
            <w:tcW w:w="1134" w:type="dxa"/>
            <w:noWrap w:val="0"/>
            <w:vAlign w:val="center"/>
          </w:tcPr>
          <w:p w14:paraId="550066B3">
            <w:pPr>
              <w:jc w:val="center"/>
              <w:rPr>
                <w:rFonts w:eastAsia="楷体_GB2312"/>
                <w:color w:val="000000"/>
                <w:kern w:val="0"/>
                <w:szCs w:val="21"/>
              </w:rPr>
            </w:pPr>
            <w:r>
              <w:rPr>
                <w:rFonts w:eastAsia="楷体_GB2312"/>
                <w:color w:val="000000"/>
                <w:kern w:val="0"/>
                <w:szCs w:val="21"/>
              </w:rPr>
              <w:t>曹村镇</w:t>
            </w:r>
          </w:p>
        </w:tc>
        <w:tc>
          <w:tcPr>
            <w:tcW w:w="1134" w:type="dxa"/>
            <w:noWrap w:val="0"/>
            <w:vAlign w:val="center"/>
          </w:tcPr>
          <w:p w14:paraId="0CF7EF8A">
            <w:pPr>
              <w:jc w:val="center"/>
              <w:rPr>
                <w:color w:val="000000"/>
                <w:kern w:val="0"/>
                <w:szCs w:val="21"/>
              </w:rPr>
            </w:pPr>
            <w:r>
              <w:rPr>
                <w:color w:val="000000"/>
                <w:kern w:val="0"/>
                <w:szCs w:val="21"/>
              </w:rPr>
              <w:t>1</w:t>
            </w:r>
          </w:p>
        </w:tc>
        <w:tc>
          <w:tcPr>
            <w:tcW w:w="2552" w:type="dxa"/>
            <w:noWrap w:val="0"/>
            <w:vAlign w:val="center"/>
          </w:tcPr>
          <w:p w14:paraId="39E5135E">
            <w:pPr>
              <w:jc w:val="center"/>
              <w:rPr>
                <w:rFonts w:eastAsia="楷体_GB2312"/>
                <w:color w:val="000000"/>
                <w:kern w:val="0"/>
                <w:szCs w:val="21"/>
              </w:rPr>
            </w:pPr>
            <w:r>
              <w:rPr>
                <w:rFonts w:eastAsia="楷体_GB2312"/>
                <w:color w:val="000000"/>
                <w:kern w:val="0"/>
                <w:szCs w:val="21"/>
              </w:rPr>
              <w:t>曹村幼儿园</w:t>
            </w:r>
          </w:p>
        </w:tc>
        <w:tc>
          <w:tcPr>
            <w:tcW w:w="850" w:type="dxa"/>
            <w:noWrap/>
            <w:vAlign w:val="center"/>
          </w:tcPr>
          <w:p w14:paraId="64A47796">
            <w:pPr>
              <w:jc w:val="center"/>
              <w:rPr>
                <w:color w:val="000000"/>
                <w:kern w:val="0"/>
                <w:szCs w:val="21"/>
              </w:rPr>
            </w:pPr>
            <w:r>
              <w:rPr>
                <w:color w:val="000000"/>
                <w:kern w:val="0"/>
                <w:szCs w:val="21"/>
              </w:rPr>
              <w:t>1.0000</w:t>
            </w:r>
          </w:p>
        </w:tc>
        <w:tc>
          <w:tcPr>
            <w:tcW w:w="567" w:type="dxa"/>
            <w:noWrap/>
            <w:vAlign w:val="center"/>
          </w:tcPr>
          <w:p w14:paraId="4EE78931">
            <w:pPr>
              <w:jc w:val="center"/>
              <w:rPr>
                <w:color w:val="000000"/>
                <w:kern w:val="0"/>
                <w:szCs w:val="21"/>
              </w:rPr>
            </w:pPr>
            <w:r>
              <w:rPr>
                <w:color w:val="000000"/>
                <w:kern w:val="0"/>
                <w:szCs w:val="21"/>
              </w:rPr>
              <w:t>1</w:t>
            </w:r>
          </w:p>
        </w:tc>
        <w:tc>
          <w:tcPr>
            <w:tcW w:w="709" w:type="dxa"/>
            <w:noWrap/>
            <w:vAlign w:val="center"/>
          </w:tcPr>
          <w:p w14:paraId="7F807757">
            <w:pPr>
              <w:jc w:val="center"/>
              <w:rPr>
                <w:color w:val="000000"/>
                <w:kern w:val="0"/>
                <w:szCs w:val="21"/>
              </w:rPr>
            </w:pPr>
            <w:r>
              <w:rPr>
                <w:color w:val="000000"/>
                <w:kern w:val="0"/>
                <w:szCs w:val="21"/>
              </w:rPr>
              <w:t>100</w:t>
            </w:r>
          </w:p>
        </w:tc>
        <w:tc>
          <w:tcPr>
            <w:tcW w:w="1274" w:type="dxa"/>
            <w:noWrap/>
            <w:vAlign w:val="center"/>
          </w:tcPr>
          <w:p w14:paraId="75F91CB9">
            <w:pPr>
              <w:jc w:val="center"/>
              <w:rPr>
                <w:color w:val="000000"/>
                <w:kern w:val="0"/>
                <w:szCs w:val="21"/>
              </w:rPr>
            </w:pPr>
            <w:r>
              <w:rPr>
                <w:rFonts w:hint="eastAsia"/>
                <w:color w:val="000000"/>
                <w:kern w:val="0"/>
                <w:szCs w:val="21"/>
              </w:rPr>
              <w:t>3000</w:t>
            </w:r>
          </w:p>
        </w:tc>
      </w:tr>
      <w:tr w14:paraId="780CF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6BFECC04">
            <w:pPr>
              <w:jc w:val="center"/>
              <w:rPr>
                <w:color w:val="000000"/>
                <w:kern w:val="0"/>
                <w:szCs w:val="21"/>
              </w:rPr>
            </w:pPr>
            <w:r>
              <w:rPr>
                <w:color w:val="000000"/>
                <w:kern w:val="0"/>
                <w:szCs w:val="21"/>
              </w:rPr>
              <w:t>12</w:t>
            </w:r>
          </w:p>
        </w:tc>
        <w:tc>
          <w:tcPr>
            <w:tcW w:w="1134" w:type="dxa"/>
            <w:noWrap w:val="0"/>
            <w:vAlign w:val="center"/>
          </w:tcPr>
          <w:p w14:paraId="00D19762">
            <w:pPr>
              <w:jc w:val="center"/>
              <w:rPr>
                <w:rFonts w:eastAsia="楷体_GB2312"/>
                <w:color w:val="000000"/>
                <w:kern w:val="0"/>
                <w:szCs w:val="21"/>
              </w:rPr>
            </w:pPr>
            <w:r>
              <w:rPr>
                <w:rFonts w:eastAsia="楷体_GB2312"/>
                <w:color w:val="000000"/>
                <w:kern w:val="0"/>
                <w:szCs w:val="21"/>
              </w:rPr>
              <w:t>大营镇</w:t>
            </w:r>
          </w:p>
        </w:tc>
        <w:tc>
          <w:tcPr>
            <w:tcW w:w="1134" w:type="dxa"/>
            <w:noWrap w:val="0"/>
            <w:vAlign w:val="center"/>
          </w:tcPr>
          <w:p w14:paraId="7B6CFC03">
            <w:pPr>
              <w:jc w:val="center"/>
              <w:rPr>
                <w:color w:val="000000"/>
                <w:kern w:val="0"/>
                <w:szCs w:val="21"/>
              </w:rPr>
            </w:pPr>
            <w:r>
              <w:rPr>
                <w:color w:val="000000"/>
                <w:kern w:val="0"/>
                <w:szCs w:val="21"/>
              </w:rPr>
              <w:t>1</w:t>
            </w:r>
          </w:p>
        </w:tc>
        <w:tc>
          <w:tcPr>
            <w:tcW w:w="2552" w:type="dxa"/>
            <w:noWrap w:val="0"/>
            <w:vAlign w:val="center"/>
          </w:tcPr>
          <w:p w14:paraId="0B5011FF">
            <w:pPr>
              <w:jc w:val="center"/>
              <w:rPr>
                <w:rFonts w:eastAsia="楷体_GB2312"/>
                <w:color w:val="000000"/>
                <w:kern w:val="0"/>
                <w:szCs w:val="21"/>
              </w:rPr>
            </w:pPr>
            <w:r>
              <w:rPr>
                <w:rFonts w:eastAsia="楷体_GB2312"/>
                <w:color w:val="000000"/>
                <w:kern w:val="0"/>
                <w:szCs w:val="21"/>
              </w:rPr>
              <w:t>大营中心幼儿园</w:t>
            </w:r>
          </w:p>
        </w:tc>
        <w:tc>
          <w:tcPr>
            <w:tcW w:w="850" w:type="dxa"/>
            <w:noWrap/>
            <w:vAlign w:val="center"/>
          </w:tcPr>
          <w:p w14:paraId="391A4E95">
            <w:pPr>
              <w:jc w:val="center"/>
              <w:rPr>
                <w:color w:val="000000"/>
                <w:kern w:val="0"/>
                <w:szCs w:val="21"/>
              </w:rPr>
            </w:pPr>
            <w:r>
              <w:rPr>
                <w:color w:val="000000"/>
                <w:kern w:val="0"/>
                <w:szCs w:val="21"/>
              </w:rPr>
              <w:t>1.0000</w:t>
            </w:r>
          </w:p>
        </w:tc>
        <w:tc>
          <w:tcPr>
            <w:tcW w:w="567" w:type="dxa"/>
            <w:noWrap/>
            <w:vAlign w:val="center"/>
          </w:tcPr>
          <w:p w14:paraId="143F5CAD">
            <w:pPr>
              <w:jc w:val="center"/>
              <w:rPr>
                <w:color w:val="000000"/>
                <w:kern w:val="0"/>
                <w:szCs w:val="21"/>
              </w:rPr>
            </w:pPr>
            <w:r>
              <w:rPr>
                <w:color w:val="000000"/>
                <w:kern w:val="0"/>
                <w:szCs w:val="21"/>
              </w:rPr>
              <w:t>1</w:t>
            </w:r>
          </w:p>
        </w:tc>
        <w:tc>
          <w:tcPr>
            <w:tcW w:w="709" w:type="dxa"/>
            <w:noWrap/>
            <w:vAlign w:val="center"/>
          </w:tcPr>
          <w:p w14:paraId="7BC0163D">
            <w:pPr>
              <w:jc w:val="center"/>
              <w:rPr>
                <w:color w:val="000000"/>
                <w:kern w:val="0"/>
                <w:szCs w:val="21"/>
              </w:rPr>
            </w:pPr>
            <w:r>
              <w:rPr>
                <w:color w:val="000000"/>
                <w:kern w:val="0"/>
                <w:szCs w:val="21"/>
              </w:rPr>
              <w:t>100</w:t>
            </w:r>
          </w:p>
        </w:tc>
        <w:tc>
          <w:tcPr>
            <w:tcW w:w="1274" w:type="dxa"/>
            <w:noWrap/>
            <w:vAlign w:val="center"/>
          </w:tcPr>
          <w:p w14:paraId="5CC28342">
            <w:pPr>
              <w:jc w:val="center"/>
              <w:rPr>
                <w:color w:val="000000"/>
                <w:kern w:val="0"/>
                <w:szCs w:val="21"/>
              </w:rPr>
            </w:pPr>
            <w:r>
              <w:rPr>
                <w:rFonts w:hint="eastAsia"/>
                <w:color w:val="000000"/>
                <w:kern w:val="0"/>
                <w:szCs w:val="21"/>
              </w:rPr>
              <w:t>1600</w:t>
            </w:r>
          </w:p>
        </w:tc>
      </w:tr>
      <w:tr w14:paraId="5D53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2709B633">
            <w:pPr>
              <w:jc w:val="center"/>
              <w:rPr>
                <w:color w:val="000000"/>
                <w:kern w:val="0"/>
                <w:szCs w:val="21"/>
              </w:rPr>
            </w:pPr>
            <w:r>
              <w:rPr>
                <w:color w:val="000000"/>
                <w:kern w:val="0"/>
                <w:szCs w:val="21"/>
              </w:rPr>
              <w:t>13</w:t>
            </w:r>
          </w:p>
        </w:tc>
        <w:tc>
          <w:tcPr>
            <w:tcW w:w="1134" w:type="dxa"/>
            <w:noWrap w:val="0"/>
            <w:vAlign w:val="center"/>
          </w:tcPr>
          <w:p w14:paraId="07D9F445">
            <w:pPr>
              <w:jc w:val="center"/>
              <w:rPr>
                <w:rFonts w:eastAsia="楷体_GB2312"/>
                <w:color w:val="000000"/>
                <w:kern w:val="0"/>
                <w:szCs w:val="21"/>
              </w:rPr>
            </w:pPr>
            <w:r>
              <w:rPr>
                <w:rFonts w:eastAsia="楷体_GB2312"/>
                <w:color w:val="000000"/>
                <w:kern w:val="0"/>
                <w:szCs w:val="21"/>
              </w:rPr>
              <w:t>褚兰镇</w:t>
            </w:r>
          </w:p>
        </w:tc>
        <w:tc>
          <w:tcPr>
            <w:tcW w:w="1134" w:type="dxa"/>
            <w:noWrap w:val="0"/>
            <w:vAlign w:val="center"/>
          </w:tcPr>
          <w:p w14:paraId="1C94AEFB">
            <w:pPr>
              <w:jc w:val="center"/>
              <w:rPr>
                <w:color w:val="000000"/>
                <w:kern w:val="0"/>
                <w:szCs w:val="21"/>
              </w:rPr>
            </w:pPr>
            <w:r>
              <w:rPr>
                <w:color w:val="000000"/>
                <w:kern w:val="0"/>
                <w:szCs w:val="21"/>
              </w:rPr>
              <w:t>1</w:t>
            </w:r>
          </w:p>
        </w:tc>
        <w:tc>
          <w:tcPr>
            <w:tcW w:w="2552" w:type="dxa"/>
            <w:noWrap w:val="0"/>
            <w:vAlign w:val="center"/>
          </w:tcPr>
          <w:p w14:paraId="0B68EB5F">
            <w:pPr>
              <w:jc w:val="center"/>
              <w:rPr>
                <w:rFonts w:eastAsia="楷体_GB2312"/>
                <w:color w:val="000000"/>
                <w:kern w:val="0"/>
                <w:szCs w:val="21"/>
              </w:rPr>
            </w:pPr>
            <w:r>
              <w:rPr>
                <w:rFonts w:eastAsia="楷体_GB2312"/>
                <w:color w:val="000000"/>
                <w:kern w:val="0"/>
                <w:szCs w:val="21"/>
              </w:rPr>
              <w:t>褚兰幼儿园</w:t>
            </w:r>
          </w:p>
        </w:tc>
        <w:tc>
          <w:tcPr>
            <w:tcW w:w="850" w:type="dxa"/>
            <w:noWrap/>
            <w:vAlign w:val="center"/>
          </w:tcPr>
          <w:p w14:paraId="60EBB2FF">
            <w:pPr>
              <w:jc w:val="center"/>
              <w:rPr>
                <w:color w:val="000000"/>
                <w:kern w:val="0"/>
                <w:szCs w:val="21"/>
              </w:rPr>
            </w:pPr>
            <w:r>
              <w:rPr>
                <w:color w:val="000000"/>
                <w:kern w:val="0"/>
                <w:szCs w:val="21"/>
              </w:rPr>
              <w:t>1.0000</w:t>
            </w:r>
          </w:p>
        </w:tc>
        <w:tc>
          <w:tcPr>
            <w:tcW w:w="567" w:type="dxa"/>
            <w:noWrap/>
            <w:vAlign w:val="center"/>
          </w:tcPr>
          <w:p w14:paraId="17AAF863">
            <w:pPr>
              <w:jc w:val="center"/>
              <w:rPr>
                <w:color w:val="000000"/>
                <w:kern w:val="0"/>
                <w:szCs w:val="21"/>
              </w:rPr>
            </w:pPr>
            <w:r>
              <w:rPr>
                <w:color w:val="000000"/>
                <w:kern w:val="0"/>
                <w:szCs w:val="21"/>
              </w:rPr>
              <w:t>1</w:t>
            </w:r>
          </w:p>
        </w:tc>
        <w:tc>
          <w:tcPr>
            <w:tcW w:w="709" w:type="dxa"/>
            <w:noWrap/>
            <w:vAlign w:val="center"/>
          </w:tcPr>
          <w:p w14:paraId="4FE42297">
            <w:pPr>
              <w:jc w:val="center"/>
              <w:rPr>
                <w:color w:val="000000"/>
                <w:kern w:val="0"/>
                <w:szCs w:val="21"/>
              </w:rPr>
            </w:pPr>
            <w:r>
              <w:rPr>
                <w:color w:val="000000"/>
                <w:kern w:val="0"/>
                <w:szCs w:val="21"/>
              </w:rPr>
              <w:t>100</w:t>
            </w:r>
          </w:p>
        </w:tc>
        <w:tc>
          <w:tcPr>
            <w:tcW w:w="1274" w:type="dxa"/>
            <w:noWrap/>
            <w:vAlign w:val="center"/>
          </w:tcPr>
          <w:p w14:paraId="3A9E7081">
            <w:pPr>
              <w:jc w:val="center"/>
              <w:rPr>
                <w:color w:val="000000"/>
                <w:kern w:val="0"/>
                <w:szCs w:val="21"/>
              </w:rPr>
            </w:pPr>
            <w:r>
              <w:rPr>
                <w:rFonts w:hint="eastAsia"/>
                <w:color w:val="000000"/>
                <w:kern w:val="0"/>
                <w:szCs w:val="21"/>
              </w:rPr>
              <w:t>2100</w:t>
            </w:r>
          </w:p>
        </w:tc>
      </w:tr>
      <w:tr w14:paraId="41D3E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6FBCD801">
            <w:pPr>
              <w:jc w:val="center"/>
              <w:rPr>
                <w:color w:val="000000"/>
                <w:kern w:val="0"/>
                <w:szCs w:val="21"/>
              </w:rPr>
            </w:pPr>
            <w:r>
              <w:rPr>
                <w:color w:val="000000"/>
                <w:kern w:val="0"/>
                <w:szCs w:val="21"/>
              </w:rPr>
              <w:t>14</w:t>
            </w:r>
          </w:p>
        </w:tc>
        <w:tc>
          <w:tcPr>
            <w:tcW w:w="1134" w:type="dxa"/>
            <w:noWrap w:val="0"/>
            <w:vAlign w:val="center"/>
          </w:tcPr>
          <w:p w14:paraId="4E271792">
            <w:pPr>
              <w:jc w:val="center"/>
              <w:rPr>
                <w:rFonts w:eastAsia="楷体_GB2312"/>
                <w:color w:val="000000"/>
                <w:kern w:val="0"/>
                <w:szCs w:val="21"/>
              </w:rPr>
            </w:pPr>
            <w:r>
              <w:rPr>
                <w:rFonts w:eastAsia="楷体_GB2312"/>
                <w:color w:val="000000"/>
                <w:kern w:val="0"/>
                <w:szCs w:val="21"/>
              </w:rPr>
              <w:t>顺河镇</w:t>
            </w:r>
          </w:p>
        </w:tc>
        <w:tc>
          <w:tcPr>
            <w:tcW w:w="1134" w:type="dxa"/>
            <w:noWrap w:val="0"/>
            <w:vAlign w:val="center"/>
          </w:tcPr>
          <w:p w14:paraId="3A1F7673">
            <w:pPr>
              <w:jc w:val="center"/>
              <w:rPr>
                <w:color w:val="000000"/>
                <w:kern w:val="0"/>
                <w:szCs w:val="21"/>
              </w:rPr>
            </w:pPr>
            <w:r>
              <w:rPr>
                <w:color w:val="000000"/>
                <w:kern w:val="0"/>
                <w:szCs w:val="21"/>
              </w:rPr>
              <w:t>1</w:t>
            </w:r>
          </w:p>
        </w:tc>
        <w:tc>
          <w:tcPr>
            <w:tcW w:w="2552" w:type="dxa"/>
            <w:noWrap w:val="0"/>
            <w:vAlign w:val="center"/>
          </w:tcPr>
          <w:p w14:paraId="64999A78">
            <w:pPr>
              <w:jc w:val="center"/>
              <w:rPr>
                <w:rFonts w:eastAsia="楷体_GB2312"/>
                <w:color w:val="000000"/>
                <w:kern w:val="0"/>
                <w:szCs w:val="21"/>
              </w:rPr>
            </w:pPr>
            <w:r>
              <w:rPr>
                <w:rFonts w:eastAsia="楷体_GB2312"/>
                <w:color w:val="000000"/>
                <w:kern w:val="0"/>
                <w:szCs w:val="21"/>
              </w:rPr>
              <w:t>顺河乡中心幼儿园</w:t>
            </w:r>
          </w:p>
        </w:tc>
        <w:tc>
          <w:tcPr>
            <w:tcW w:w="850" w:type="dxa"/>
            <w:noWrap/>
            <w:vAlign w:val="center"/>
          </w:tcPr>
          <w:p w14:paraId="3B040765">
            <w:pPr>
              <w:jc w:val="center"/>
              <w:rPr>
                <w:color w:val="000000"/>
                <w:kern w:val="0"/>
                <w:szCs w:val="21"/>
              </w:rPr>
            </w:pPr>
            <w:r>
              <w:rPr>
                <w:color w:val="000000"/>
                <w:kern w:val="0"/>
                <w:szCs w:val="21"/>
              </w:rPr>
              <w:t>1.0000</w:t>
            </w:r>
          </w:p>
        </w:tc>
        <w:tc>
          <w:tcPr>
            <w:tcW w:w="567" w:type="dxa"/>
            <w:noWrap/>
            <w:vAlign w:val="center"/>
          </w:tcPr>
          <w:p w14:paraId="4518D2E6">
            <w:pPr>
              <w:jc w:val="center"/>
              <w:rPr>
                <w:color w:val="000000"/>
                <w:kern w:val="0"/>
                <w:szCs w:val="21"/>
              </w:rPr>
            </w:pPr>
            <w:r>
              <w:rPr>
                <w:color w:val="000000"/>
                <w:kern w:val="0"/>
                <w:szCs w:val="21"/>
              </w:rPr>
              <w:t>1</w:t>
            </w:r>
          </w:p>
        </w:tc>
        <w:tc>
          <w:tcPr>
            <w:tcW w:w="709" w:type="dxa"/>
            <w:noWrap/>
            <w:vAlign w:val="center"/>
          </w:tcPr>
          <w:p w14:paraId="475A5D82">
            <w:pPr>
              <w:jc w:val="center"/>
              <w:rPr>
                <w:color w:val="000000"/>
                <w:kern w:val="0"/>
                <w:szCs w:val="21"/>
              </w:rPr>
            </w:pPr>
            <w:r>
              <w:rPr>
                <w:color w:val="000000"/>
                <w:kern w:val="0"/>
                <w:szCs w:val="21"/>
              </w:rPr>
              <w:t>100</w:t>
            </w:r>
          </w:p>
        </w:tc>
        <w:tc>
          <w:tcPr>
            <w:tcW w:w="1274" w:type="dxa"/>
            <w:noWrap/>
            <w:vAlign w:val="center"/>
          </w:tcPr>
          <w:p w14:paraId="08D9C75F">
            <w:pPr>
              <w:jc w:val="center"/>
              <w:rPr>
                <w:color w:val="000000"/>
                <w:kern w:val="0"/>
                <w:szCs w:val="21"/>
              </w:rPr>
            </w:pPr>
            <w:r>
              <w:rPr>
                <w:rFonts w:hint="eastAsia"/>
                <w:color w:val="000000"/>
                <w:kern w:val="0"/>
                <w:szCs w:val="21"/>
              </w:rPr>
              <w:t>3000</w:t>
            </w:r>
          </w:p>
        </w:tc>
      </w:tr>
      <w:tr w14:paraId="0A621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153C93FA">
            <w:pPr>
              <w:jc w:val="center"/>
              <w:rPr>
                <w:color w:val="000000"/>
                <w:kern w:val="0"/>
                <w:szCs w:val="21"/>
              </w:rPr>
            </w:pPr>
            <w:r>
              <w:rPr>
                <w:color w:val="000000"/>
                <w:kern w:val="0"/>
                <w:szCs w:val="21"/>
              </w:rPr>
              <w:t>15</w:t>
            </w:r>
          </w:p>
        </w:tc>
        <w:tc>
          <w:tcPr>
            <w:tcW w:w="1134" w:type="dxa"/>
            <w:noWrap w:val="0"/>
            <w:vAlign w:val="center"/>
          </w:tcPr>
          <w:p w14:paraId="43222AE7">
            <w:pPr>
              <w:jc w:val="center"/>
              <w:rPr>
                <w:rFonts w:eastAsia="楷体_GB2312"/>
                <w:color w:val="000000"/>
                <w:kern w:val="0"/>
                <w:szCs w:val="21"/>
              </w:rPr>
            </w:pPr>
            <w:r>
              <w:rPr>
                <w:rFonts w:eastAsia="楷体_GB2312"/>
                <w:color w:val="000000"/>
                <w:kern w:val="0"/>
                <w:szCs w:val="21"/>
              </w:rPr>
              <w:t>杨庄镇</w:t>
            </w:r>
          </w:p>
        </w:tc>
        <w:tc>
          <w:tcPr>
            <w:tcW w:w="1134" w:type="dxa"/>
            <w:noWrap w:val="0"/>
            <w:vAlign w:val="center"/>
          </w:tcPr>
          <w:p w14:paraId="61CFBF48">
            <w:pPr>
              <w:jc w:val="center"/>
              <w:rPr>
                <w:color w:val="000000"/>
                <w:kern w:val="0"/>
                <w:szCs w:val="21"/>
              </w:rPr>
            </w:pPr>
            <w:r>
              <w:rPr>
                <w:color w:val="000000"/>
                <w:kern w:val="0"/>
                <w:szCs w:val="21"/>
              </w:rPr>
              <w:t>1</w:t>
            </w:r>
          </w:p>
        </w:tc>
        <w:tc>
          <w:tcPr>
            <w:tcW w:w="2552" w:type="dxa"/>
            <w:noWrap w:val="0"/>
            <w:vAlign w:val="center"/>
          </w:tcPr>
          <w:p w14:paraId="3D7F5C9C">
            <w:pPr>
              <w:jc w:val="center"/>
              <w:rPr>
                <w:rFonts w:eastAsia="楷体_GB2312"/>
                <w:color w:val="000000"/>
                <w:kern w:val="0"/>
                <w:szCs w:val="21"/>
              </w:rPr>
            </w:pPr>
            <w:r>
              <w:rPr>
                <w:rFonts w:eastAsia="楷体_GB2312"/>
                <w:color w:val="000000"/>
                <w:kern w:val="0"/>
                <w:szCs w:val="21"/>
              </w:rPr>
              <w:t>杨庄镇中心幼儿园</w:t>
            </w:r>
          </w:p>
        </w:tc>
        <w:tc>
          <w:tcPr>
            <w:tcW w:w="850" w:type="dxa"/>
            <w:noWrap/>
            <w:vAlign w:val="center"/>
          </w:tcPr>
          <w:p w14:paraId="153810A0">
            <w:pPr>
              <w:jc w:val="center"/>
              <w:rPr>
                <w:color w:val="000000"/>
                <w:kern w:val="0"/>
                <w:szCs w:val="21"/>
              </w:rPr>
            </w:pPr>
            <w:r>
              <w:rPr>
                <w:color w:val="000000"/>
                <w:kern w:val="0"/>
                <w:szCs w:val="21"/>
              </w:rPr>
              <w:t>1.0000</w:t>
            </w:r>
          </w:p>
        </w:tc>
        <w:tc>
          <w:tcPr>
            <w:tcW w:w="567" w:type="dxa"/>
            <w:noWrap/>
            <w:vAlign w:val="center"/>
          </w:tcPr>
          <w:p w14:paraId="4E6DB6F8">
            <w:pPr>
              <w:jc w:val="center"/>
              <w:rPr>
                <w:color w:val="000000"/>
                <w:kern w:val="0"/>
                <w:szCs w:val="21"/>
              </w:rPr>
            </w:pPr>
            <w:r>
              <w:rPr>
                <w:color w:val="000000"/>
                <w:kern w:val="0"/>
                <w:szCs w:val="21"/>
              </w:rPr>
              <w:t>1</w:t>
            </w:r>
          </w:p>
        </w:tc>
        <w:tc>
          <w:tcPr>
            <w:tcW w:w="709" w:type="dxa"/>
            <w:noWrap/>
            <w:vAlign w:val="center"/>
          </w:tcPr>
          <w:p w14:paraId="2C33D92C">
            <w:pPr>
              <w:jc w:val="center"/>
              <w:rPr>
                <w:color w:val="000000"/>
                <w:kern w:val="0"/>
                <w:szCs w:val="21"/>
              </w:rPr>
            </w:pPr>
            <w:r>
              <w:rPr>
                <w:color w:val="000000"/>
                <w:kern w:val="0"/>
                <w:szCs w:val="21"/>
              </w:rPr>
              <w:t>100</w:t>
            </w:r>
          </w:p>
        </w:tc>
        <w:tc>
          <w:tcPr>
            <w:tcW w:w="1274" w:type="dxa"/>
            <w:noWrap/>
            <w:vAlign w:val="center"/>
          </w:tcPr>
          <w:p w14:paraId="72754E21">
            <w:pPr>
              <w:jc w:val="center"/>
              <w:rPr>
                <w:color w:val="000000"/>
                <w:kern w:val="0"/>
                <w:szCs w:val="21"/>
              </w:rPr>
            </w:pPr>
            <w:r>
              <w:rPr>
                <w:rFonts w:hint="eastAsia"/>
                <w:color w:val="000000"/>
                <w:kern w:val="0"/>
                <w:szCs w:val="21"/>
              </w:rPr>
              <w:t>900</w:t>
            </w:r>
          </w:p>
        </w:tc>
      </w:tr>
      <w:tr w14:paraId="2151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1D8C0612">
            <w:pPr>
              <w:jc w:val="center"/>
              <w:rPr>
                <w:color w:val="000000"/>
                <w:kern w:val="0"/>
                <w:szCs w:val="21"/>
              </w:rPr>
            </w:pPr>
            <w:r>
              <w:rPr>
                <w:color w:val="000000"/>
                <w:kern w:val="0"/>
                <w:szCs w:val="21"/>
              </w:rPr>
              <w:t>16</w:t>
            </w:r>
          </w:p>
        </w:tc>
        <w:tc>
          <w:tcPr>
            <w:tcW w:w="1134" w:type="dxa"/>
            <w:noWrap w:val="0"/>
            <w:vAlign w:val="center"/>
          </w:tcPr>
          <w:p w14:paraId="2B80D1CF">
            <w:pPr>
              <w:jc w:val="center"/>
              <w:rPr>
                <w:rFonts w:eastAsia="楷体_GB2312"/>
                <w:color w:val="000000"/>
                <w:kern w:val="0"/>
                <w:szCs w:val="21"/>
              </w:rPr>
            </w:pPr>
            <w:r>
              <w:rPr>
                <w:rFonts w:eastAsia="楷体_GB2312"/>
                <w:color w:val="000000"/>
                <w:kern w:val="0"/>
                <w:szCs w:val="21"/>
              </w:rPr>
              <w:t>永镇乡</w:t>
            </w:r>
          </w:p>
        </w:tc>
        <w:tc>
          <w:tcPr>
            <w:tcW w:w="1134" w:type="dxa"/>
            <w:noWrap w:val="0"/>
            <w:vAlign w:val="center"/>
          </w:tcPr>
          <w:p w14:paraId="4CCCFE8F">
            <w:pPr>
              <w:jc w:val="center"/>
              <w:rPr>
                <w:color w:val="000000"/>
                <w:kern w:val="0"/>
                <w:szCs w:val="21"/>
              </w:rPr>
            </w:pPr>
            <w:r>
              <w:rPr>
                <w:color w:val="000000"/>
                <w:kern w:val="0"/>
                <w:szCs w:val="21"/>
              </w:rPr>
              <w:t>1</w:t>
            </w:r>
          </w:p>
        </w:tc>
        <w:tc>
          <w:tcPr>
            <w:tcW w:w="2552" w:type="dxa"/>
            <w:noWrap w:val="0"/>
            <w:vAlign w:val="center"/>
          </w:tcPr>
          <w:p w14:paraId="021E03E7">
            <w:pPr>
              <w:jc w:val="center"/>
              <w:rPr>
                <w:rFonts w:eastAsia="楷体_GB2312"/>
                <w:color w:val="000000"/>
                <w:kern w:val="0"/>
                <w:szCs w:val="21"/>
              </w:rPr>
            </w:pPr>
            <w:r>
              <w:rPr>
                <w:rFonts w:eastAsia="楷体_GB2312"/>
                <w:color w:val="000000"/>
                <w:kern w:val="0"/>
                <w:szCs w:val="21"/>
              </w:rPr>
              <w:t>永镇中心幼儿园</w:t>
            </w:r>
          </w:p>
        </w:tc>
        <w:tc>
          <w:tcPr>
            <w:tcW w:w="850" w:type="dxa"/>
            <w:noWrap/>
            <w:vAlign w:val="center"/>
          </w:tcPr>
          <w:p w14:paraId="0EB91A09">
            <w:pPr>
              <w:jc w:val="center"/>
              <w:rPr>
                <w:color w:val="000000"/>
                <w:kern w:val="0"/>
                <w:szCs w:val="21"/>
              </w:rPr>
            </w:pPr>
            <w:r>
              <w:rPr>
                <w:color w:val="000000"/>
                <w:kern w:val="0"/>
                <w:szCs w:val="21"/>
              </w:rPr>
              <w:t>1.0000</w:t>
            </w:r>
          </w:p>
        </w:tc>
        <w:tc>
          <w:tcPr>
            <w:tcW w:w="567" w:type="dxa"/>
            <w:noWrap/>
            <w:vAlign w:val="center"/>
          </w:tcPr>
          <w:p w14:paraId="5FBED0BD">
            <w:pPr>
              <w:jc w:val="center"/>
              <w:rPr>
                <w:color w:val="000000"/>
                <w:kern w:val="0"/>
                <w:szCs w:val="21"/>
              </w:rPr>
            </w:pPr>
            <w:r>
              <w:rPr>
                <w:color w:val="000000"/>
                <w:kern w:val="0"/>
                <w:szCs w:val="21"/>
              </w:rPr>
              <w:t>1</w:t>
            </w:r>
          </w:p>
        </w:tc>
        <w:tc>
          <w:tcPr>
            <w:tcW w:w="709" w:type="dxa"/>
            <w:noWrap/>
            <w:vAlign w:val="center"/>
          </w:tcPr>
          <w:p w14:paraId="09247AD9">
            <w:pPr>
              <w:jc w:val="center"/>
              <w:rPr>
                <w:color w:val="000000"/>
                <w:kern w:val="0"/>
                <w:szCs w:val="21"/>
              </w:rPr>
            </w:pPr>
            <w:r>
              <w:rPr>
                <w:color w:val="000000"/>
                <w:kern w:val="0"/>
                <w:szCs w:val="21"/>
              </w:rPr>
              <w:t>100</w:t>
            </w:r>
          </w:p>
        </w:tc>
        <w:tc>
          <w:tcPr>
            <w:tcW w:w="1274" w:type="dxa"/>
            <w:noWrap/>
            <w:vAlign w:val="center"/>
          </w:tcPr>
          <w:p w14:paraId="143D9A99">
            <w:pPr>
              <w:jc w:val="center"/>
              <w:rPr>
                <w:color w:val="000000"/>
                <w:kern w:val="0"/>
                <w:szCs w:val="21"/>
              </w:rPr>
            </w:pPr>
            <w:r>
              <w:rPr>
                <w:rFonts w:hint="eastAsia"/>
                <w:color w:val="000000"/>
                <w:kern w:val="0"/>
                <w:szCs w:val="21"/>
              </w:rPr>
              <w:t>1800</w:t>
            </w:r>
          </w:p>
        </w:tc>
      </w:tr>
      <w:tr w14:paraId="2871C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57CBDB0E">
            <w:pPr>
              <w:jc w:val="center"/>
              <w:rPr>
                <w:color w:val="000000"/>
                <w:kern w:val="0"/>
                <w:szCs w:val="21"/>
              </w:rPr>
            </w:pPr>
            <w:r>
              <w:rPr>
                <w:color w:val="000000"/>
                <w:kern w:val="0"/>
                <w:szCs w:val="21"/>
              </w:rPr>
              <w:t>17</w:t>
            </w:r>
          </w:p>
        </w:tc>
        <w:tc>
          <w:tcPr>
            <w:tcW w:w="1134" w:type="dxa"/>
            <w:noWrap w:val="0"/>
            <w:vAlign w:val="center"/>
          </w:tcPr>
          <w:p w14:paraId="7E2221CA">
            <w:pPr>
              <w:jc w:val="center"/>
              <w:rPr>
                <w:rFonts w:eastAsia="楷体_GB2312"/>
                <w:color w:val="000000"/>
                <w:kern w:val="0"/>
                <w:szCs w:val="21"/>
              </w:rPr>
            </w:pPr>
            <w:r>
              <w:rPr>
                <w:rFonts w:eastAsia="楷体_GB2312"/>
                <w:color w:val="000000"/>
                <w:kern w:val="0"/>
                <w:szCs w:val="21"/>
              </w:rPr>
              <w:t>解集镇</w:t>
            </w:r>
          </w:p>
        </w:tc>
        <w:tc>
          <w:tcPr>
            <w:tcW w:w="1134" w:type="dxa"/>
            <w:noWrap w:val="0"/>
            <w:vAlign w:val="center"/>
          </w:tcPr>
          <w:p w14:paraId="40120099">
            <w:pPr>
              <w:jc w:val="center"/>
              <w:rPr>
                <w:color w:val="000000"/>
                <w:kern w:val="0"/>
                <w:szCs w:val="21"/>
              </w:rPr>
            </w:pPr>
            <w:r>
              <w:rPr>
                <w:color w:val="000000"/>
                <w:kern w:val="0"/>
                <w:szCs w:val="21"/>
              </w:rPr>
              <w:t>1</w:t>
            </w:r>
          </w:p>
        </w:tc>
        <w:tc>
          <w:tcPr>
            <w:tcW w:w="2552" w:type="dxa"/>
            <w:noWrap w:val="0"/>
            <w:vAlign w:val="center"/>
          </w:tcPr>
          <w:p w14:paraId="65EFDF1B">
            <w:pPr>
              <w:jc w:val="center"/>
              <w:rPr>
                <w:rFonts w:eastAsia="楷体_GB2312"/>
                <w:color w:val="000000"/>
                <w:kern w:val="0"/>
                <w:szCs w:val="21"/>
              </w:rPr>
            </w:pPr>
            <w:r>
              <w:rPr>
                <w:rFonts w:eastAsia="楷体_GB2312"/>
                <w:color w:val="000000"/>
                <w:kern w:val="0"/>
                <w:szCs w:val="21"/>
              </w:rPr>
              <w:t>解集镇中心幼儿园</w:t>
            </w:r>
          </w:p>
        </w:tc>
        <w:tc>
          <w:tcPr>
            <w:tcW w:w="850" w:type="dxa"/>
            <w:noWrap/>
            <w:vAlign w:val="center"/>
          </w:tcPr>
          <w:p w14:paraId="4B0369A0">
            <w:pPr>
              <w:jc w:val="center"/>
              <w:rPr>
                <w:color w:val="000000"/>
                <w:kern w:val="0"/>
                <w:szCs w:val="21"/>
              </w:rPr>
            </w:pPr>
            <w:r>
              <w:rPr>
                <w:color w:val="000000"/>
                <w:kern w:val="0"/>
                <w:szCs w:val="21"/>
              </w:rPr>
              <w:t>1.0000</w:t>
            </w:r>
          </w:p>
        </w:tc>
        <w:tc>
          <w:tcPr>
            <w:tcW w:w="567" w:type="dxa"/>
            <w:noWrap/>
            <w:vAlign w:val="center"/>
          </w:tcPr>
          <w:p w14:paraId="68BE9988">
            <w:pPr>
              <w:jc w:val="center"/>
              <w:rPr>
                <w:color w:val="000000"/>
                <w:kern w:val="0"/>
                <w:szCs w:val="21"/>
              </w:rPr>
            </w:pPr>
            <w:r>
              <w:rPr>
                <w:color w:val="000000"/>
                <w:kern w:val="0"/>
                <w:szCs w:val="21"/>
              </w:rPr>
              <w:t>1</w:t>
            </w:r>
          </w:p>
        </w:tc>
        <w:tc>
          <w:tcPr>
            <w:tcW w:w="709" w:type="dxa"/>
            <w:noWrap/>
            <w:vAlign w:val="center"/>
          </w:tcPr>
          <w:p w14:paraId="58F909BD">
            <w:pPr>
              <w:jc w:val="center"/>
              <w:rPr>
                <w:color w:val="000000"/>
                <w:kern w:val="0"/>
                <w:szCs w:val="21"/>
              </w:rPr>
            </w:pPr>
            <w:r>
              <w:rPr>
                <w:color w:val="000000"/>
                <w:kern w:val="0"/>
                <w:szCs w:val="21"/>
              </w:rPr>
              <w:t>100</w:t>
            </w:r>
          </w:p>
        </w:tc>
        <w:tc>
          <w:tcPr>
            <w:tcW w:w="1274" w:type="dxa"/>
            <w:noWrap/>
            <w:vAlign w:val="center"/>
          </w:tcPr>
          <w:p w14:paraId="0692EF0D">
            <w:pPr>
              <w:jc w:val="center"/>
              <w:rPr>
                <w:color w:val="000000"/>
                <w:kern w:val="0"/>
                <w:szCs w:val="21"/>
              </w:rPr>
            </w:pPr>
            <w:r>
              <w:rPr>
                <w:rFonts w:hint="eastAsia"/>
                <w:color w:val="000000"/>
                <w:kern w:val="0"/>
                <w:szCs w:val="21"/>
              </w:rPr>
              <w:t>1700</w:t>
            </w:r>
          </w:p>
        </w:tc>
      </w:tr>
      <w:tr w14:paraId="1AC6D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120756D0">
            <w:pPr>
              <w:jc w:val="center"/>
              <w:rPr>
                <w:color w:val="000000"/>
                <w:kern w:val="0"/>
                <w:szCs w:val="21"/>
              </w:rPr>
            </w:pPr>
            <w:r>
              <w:rPr>
                <w:color w:val="000000"/>
                <w:kern w:val="0"/>
                <w:szCs w:val="21"/>
              </w:rPr>
              <w:t>18</w:t>
            </w:r>
          </w:p>
        </w:tc>
        <w:tc>
          <w:tcPr>
            <w:tcW w:w="1134" w:type="dxa"/>
            <w:noWrap w:val="0"/>
            <w:vAlign w:val="center"/>
          </w:tcPr>
          <w:p w14:paraId="16246C65">
            <w:pPr>
              <w:jc w:val="center"/>
              <w:rPr>
                <w:rFonts w:eastAsia="楷体_GB2312"/>
                <w:color w:val="000000"/>
                <w:kern w:val="0"/>
                <w:szCs w:val="21"/>
              </w:rPr>
            </w:pPr>
            <w:r>
              <w:rPr>
                <w:rFonts w:eastAsia="楷体_GB2312"/>
                <w:color w:val="000000"/>
                <w:kern w:val="0"/>
                <w:szCs w:val="21"/>
              </w:rPr>
              <w:t>大泽乡镇</w:t>
            </w:r>
          </w:p>
        </w:tc>
        <w:tc>
          <w:tcPr>
            <w:tcW w:w="1134" w:type="dxa"/>
            <w:noWrap w:val="0"/>
            <w:vAlign w:val="center"/>
          </w:tcPr>
          <w:p w14:paraId="382DB287">
            <w:pPr>
              <w:jc w:val="center"/>
              <w:rPr>
                <w:color w:val="000000"/>
                <w:kern w:val="0"/>
                <w:szCs w:val="21"/>
              </w:rPr>
            </w:pPr>
            <w:r>
              <w:rPr>
                <w:color w:val="000000"/>
                <w:kern w:val="0"/>
                <w:szCs w:val="21"/>
              </w:rPr>
              <w:t>1</w:t>
            </w:r>
          </w:p>
        </w:tc>
        <w:tc>
          <w:tcPr>
            <w:tcW w:w="2552" w:type="dxa"/>
            <w:noWrap w:val="0"/>
            <w:vAlign w:val="center"/>
          </w:tcPr>
          <w:p w14:paraId="2ADE0511">
            <w:pPr>
              <w:jc w:val="center"/>
              <w:rPr>
                <w:rFonts w:eastAsia="楷体_GB2312"/>
                <w:color w:val="000000"/>
                <w:kern w:val="0"/>
                <w:szCs w:val="21"/>
              </w:rPr>
            </w:pPr>
            <w:r>
              <w:rPr>
                <w:rFonts w:eastAsia="楷体_GB2312"/>
                <w:color w:val="000000"/>
                <w:kern w:val="0"/>
                <w:szCs w:val="21"/>
              </w:rPr>
              <w:t>大泽乡镇幼儿园</w:t>
            </w:r>
          </w:p>
        </w:tc>
        <w:tc>
          <w:tcPr>
            <w:tcW w:w="850" w:type="dxa"/>
            <w:noWrap/>
            <w:vAlign w:val="center"/>
          </w:tcPr>
          <w:p w14:paraId="388D8145">
            <w:pPr>
              <w:jc w:val="center"/>
              <w:rPr>
                <w:color w:val="000000"/>
                <w:kern w:val="0"/>
                <w:szCs w:val="21"/>
              </w:rPr>
            </w:pPr>
            <w:r>
              <w:rPr>
                <w:color w:val="000000"/>
                <w:kern w:val="0"/>
                <w:szCs w:val="21"/>
              </w:rPr>
              <w:t>1.0000</w:t>
            </w:r>
          </w:p>
        </w:tc>
        <w:tc>
          <w:tcPr>
            <w:tcW w:w="567" w:type="dxa"/>
            <w:noWrap/>
            <w:vAlign w:val="center"/>
          </w:tcPr>
          <w:p w14:paraId="6E632C5B">
            <w:pPr>
              <w:jc w:val="center"/>
              <w:rPr>
                <w:color w:val="000000"/>
                <w:kern w:val="0"/>
                <w:szCs w:val="21"/>
              </w:rPr>
            </w:pPr>
            <w:r>
              <w:rPr>
                <w:color w:val="000000"/>
                <w:kern w:val="0"/>
                <w:szCs w:val="21"/>
              </w:rPr>
              <w:t>1</w:t>
            </w:r>
          </w:p>
        </w:tc>
        <w:tc>
          <w:tcPr>
            <w:tcW w:w="709" w:type="dxa"/>
            <w:noWrap/>
            <w:vAlign w:val="center"/>
          </w:tcPr>
          <w:p w14:paraId="4AFFD4A3">
            <w:pPr>
              <w:jc w:val="center"/>
              <w:rPr>
                <w:color w:val="000000"/>
                <w:kern w:val="0"/>
                <w:szCs w:val="21"/>
              </w:rPr>
            </w:pPr>
            <w:r>
              <w:rPr>
                <w:color w:val="000000"/>
                <w:kern w:val="0"/>
                <w:szCs w:val="21"/>
              </w:rPr>
              <w:t>100</w:t>
            </w:r>
          </w:p>
        </w:tc>
        <w:tc>
          <w:tcPr>
            <w:tcW w:w="1274" w:type="dxa"/>
            <w:noWrap/>
            <w:vAlign w:val="center"/>
          </w:tcPr>
          <w:p w14:paraId="4B4C5686">
            <w:pPr>
              <w:jc w:val="center"/>
              <w:rPr>
                <w:color w:val="000000"/>
                <w:kern w:val="0"/>
                <w:szCs w:val="21"/>
              </w:rPr>
            </w:pPr>
            <w:r>
              <w:rPr>
                <w:rFonts w:hint="eastAsia"/>
                <w:color w:val="000000"/>
                <w:kern w:val="0"/>
                <w:szCs w:val="21"/>
              </w:rPr>
              <w:t>1500</w:t>
            </w:r>
          </w:p>
        </w:tc>
      </w:tr>
      <w:tr w14:paraId="74980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1235CC70">
            <w:pPr>
              <w:jc w:val="center"/>
              <w:rPr>
                <w:color w:val="000000"/>
                <w:kern w:val="0"/>
                <w:szCs w:val="21"/>
              </w:rPr>
            </w:pPr>
            <w:r>
              <w:rPr>
                <w:color w:val="000000"/>
                <w:kern w:val="0"/>
                <w:szCs w:val="21"/>
              </w:rPr>
              <w:t>19</w:t>
            </w:r>
          </w:p>
        </w:tc>
        <w:tc>
          <w:tcPr>
            <w:tcW w:w="1134" w:type="dxa"/>
            <w:noWrap w:val="0"/>
            <w:vAlign w:val="center"/>
          </w:tcPr>
          <w:p w14:paraId="6AB7EDD4">
            <w:pPr>
              <w:jc w:val="center"/>
              <w:rPr>
                <w:rFonts w:eastAsia="楷体_GB2312"/>
                <w:color w:val="000000"/>
                <w:kern w:val="0"/>
                <w:szCs w:val="21"/>
              </w:rPr>
            </w:pPr>
            <w:r>
              <w:rPr>
                <w:rFonts w:eastAsia="楷体_GB2312"/>
                <w:color w:val="000000"/>
                <w:kern w:val="0"/>
                <w:szCs w:val="21"/>
              </w:rPr>
              <w:t>永安镇</w:t>
            </w:r>
          </w:p>
        </w:tc>
        <w:tc>
          <w:tcPr>
            <w:tcW w:w="1134" w:type="dxa"/>
            <w:noWrap w:val="0"/>
            <w:vAlign w:val="center"/>
          </w:tcPr>
          <w:p w14:paraId="2EAE7F40">
            <w:pPr>
              <w:jc w:val="center"/>
              <w:rPr>
                <w:color w:val="000000"/>
                <w:kern w:val="0"/>
                <w:szCs w:val="21"/>
              </w:rPr>
            </w:pPr>
            <w:r>
              <w:rPr>
                <w:color w:val="000000"/>
                <w:kern w:val="0"/>
                <w:szCs w:val="21"/>
              </w:rPr>
              <w:t>1</w:t>
            </w:r>
          </w:p>
        </w:tc>
        <w:tc>
          <w:tcPr>
            <w:tcW w:w="2552" w:type="dxa"/>
            <w:noWrap w:val="0"/>
            <w:vAlign w:val="center"/>
          </w:tcPr>
          <w:p w14:paraId="3634FAD2">
            <w:pPr>
              <w:jc w:val="center"/>
              <w:rPr>
                <w:rFonts w:eastAsia="楷体_GB2312"/>
                <w:color w:val="000000"/>
                <w:kern w:val="0"/>
                <w:szCs w:val="21"/>
              </w:rPr>
            </w:pPr>
            <w:r>
              <w:rPr>
                <w:rFonts w:eastAsia="楷体_GB2312"/>
                <w:color w:val="000000"/>
                <w:kern w:val="0"/>
                <w:szCs w:val="21"/>
              </w:rPr>
              <w:t>永安镇中心幼儿园</w:t>
            </w:r>
          </w:p>
        </w:tc>
        <w:tc>
          <w:tcPr>
            <w:tcW w:w="850" w:type="dxa"/>
            <w:noWrap/>
            <w:vAlign w:val="center"/>
          </w:tcPr>
          <w:p w14:paraId="24DCEEEC">
            <w:pPr>
              <w:jc w:val="center"/>
              <w:rPr>
                <w:color w:val="000000"/>
                <w:kern w:val="0"/>
                <w:szCs w:val="21"/>
              </w:rPr>
            </w:pPr>
            <w:r>
              <w:rPr>
                <w:color w:val="000000"/>
                <w:kern w:val="0"/>
                <w:szCs w:val="21"/>
              </w:rPr>
              <w:t>1.0000</w:t>
            </w:r>
          </w:p>
        </w:tc>
        <w:tc>
          <w:tcPr>
            <w:tcW w:w="567" w:type="dxa"/>
            <w:noWrap/>
            <w:vAlign w:val="center"/>
          </w:tcPr>
          <w:p w14:paraId="40561BC7">
            <w:pPr>
              <w:jc w:val="center"/>
              <w:rPr>
                <w:color w:val="000000"/>
                <w:kern w:val="0"/>
                <w:szCs w:val="21"/>
              </w:rPr>
            </w:pPr>
            <w:r>
              <w:rPr>
                <w:color w:val="000000"/>
                <w:kern w:val="0"/>
                <w:szCs w:val="21"/>
              </w:rPr>
              <w:t>1</w:t>
            </w:r>
          </w:p>
        </w:tc>
        <w:tc>
          <w:tcPr>
            <w:tcW w:w="709" w:type="dxa"/>
            <w:noWrap/>
            <w:vAlign w:val="center"/>
          </w:tcPr>
          <w:p w14:paraId="69818D72">
            <w:pPr>
              <w:jc w:val="center"/>
              <w:rPr>
                <w:color w:val="000000"/>
                <w:kern w:val="0"/>
                <w:szCs w:val="21"/>
              </w:rPr>
            </w:pPr>
            <w:r>
              <w:rPr>
                <w:color w:val="000000"/>
                <w:kern w:val="0"/>
                <w:szCs w:val="21"/>
              </w:rPr>
              <w:t>100</w:t>
            </w:r>
          </w:p>
        </w:tc>
        <w:tc>
          <w:tcPr>
            <w:tcW w:w="1274" w:type="dxa"/>
            <w:noWrap/>
            <w:vAlign w:val="center"/>
          </w:tcPr>
          <w:p w14:paraId="0BAD3017">
            <w:pPr>
              <w:jc w:val="center"/>
              <w:rPr>
                <w:color w:val="000000"/>
                <w:kern w:val="0"/>
                <w:szCs w:val="21"/>
              </w:rPr>
            </w:pPr>
            <w:r>
              <w:rPr>
                <w:rFonts w:hint="eastAsia"/>
                <w:color w:val="000000"/>
                <w:kern w:val="0"/>
                <w:szCs w:val="21"/>
              </w:rPr>
              <w:t>1500</w:t>
            </w:r>
          </w:p>
        </w:tc>
      </w:tr>
      <w:tr w14:paraId="30BF5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7D910436">
            <w:pPr>
              <w:jc w:val="center"/>
              <w:rPr>
                <w:color w:val="000000"/>
                <w:kern w:val="0"/>
                <w:szCs w:val="21"/>
              </w:rPr>
            </w:pPr>
            <w:r>
              <w:rPr>
                <w:color w:val="000000"/>
                <w:kern w:val="0"/>
                <w:szCs w:val="21"/>
              </w:rPr>
              <w:t>20</w:t>
            </w:r>
          </w:p>
        </w:tc>
        <w:tc>
          <w:tcPr>
            <w:tcW w:w="1134" w:type="dxa"/>
            <w:noWrap w:val="0"/>
            <w:vAlign w:val="center"/>
          </w:tcPr>
          <w:p w14:paraId="3259E462">
            <w:pPr>
              <w:jc w:val="center"/>
              <w:rPr>
                <w:rFonts w:eastAsia="楷体_GB2312"/>
                <w:color w:val="000000"/>
                <w:kern w:val="0"/>
                <w:szCs w:val="21"/>
              </w:rPr>
            </w:pPr>
            <w:r>
              <w:rPr>
                <w:rFonts w:eastAsia="楷体_GB2312"/>
                <w:color w:val="000000"/>
                <w:kern w:val="0"/>
                <w:szCs w:val="21"/>
              </w:rPr>
              <w:t>支河乡</w:t>
            </w:r>
          </w:p>
        </w:tc>
        <w:tc>
          <w:tcPr>
            <w:tcW w:w="1134" w:type="dxa"/>
            <w:noWrap w:val="0"/>
            <w:vAlign w:val="center"/>
          </w:tcPr>
          <w:p w14:paraId="7833300F">
            <w:pPr>
              <w:jc w:val="center"/>
              <w:rPr>
                <w:color w:val="000000"/>
                <w:kern w:val="0"/>
                <w:szCs w:val="21"/>
              </w:rPr>
            </w:pPr>
            <w:r>
              <w:rPr>
                <w:color w:val="000000"/>
                <w:kern w:val="0"/>
                <w:szCs w:val="21"/>
              </w:rPr>
              <w:t>1</w:t>
            </w:r>
          </w:p>
        </w:tc>
        <w:tc>
          <w:tcPr>
            <w:tcW w:w="2552" w:type="dxa"/>
            <w:noWrap w:val="0"/>
            <w:vAlign w:val="center"/>
          </w:tcPr>
          <w:p w14:paraId="16650D8C">
            <w:pPr>
              <w:jc w:val="center"/>
              <w:rPr>
                <w:rFonts w:eastAsia="楷体_GB2312"/>
                <w:color w:val="000000"/>
                <w:kern w:val="0"/>
                <w:szCs w:val="21"/>
              </w:rPr>
            </w:pPr>
            <w:r>
              <w:rPr>
                <w:rFonts w:eastAsia="楷体_GB2312"/>
                <w:color w:val="000000"/>
                <w:kern w:val="0"/>
                <w:szCs w:val="21"/>
              </w:rPr>
              <w:t>支河乡中心幼儿园</w:t>
            </w:r>
          </w:p>
        </w:tc>
        <w:tc>
          <w:tcPr>
            <w:tcW w:w="850" w:type="dxa"/>
            <w:noWrap/>
            <w:vAlign w:val="center"/>
          </w:tcPr>
          <w:p w14:paraId="4CD32564">
            <w:pPr>
              <w:jc w:val="center"/>
              <w:rPr>
                <w:color w:val="000000"/>
                <w:kern w:val="0"/>
                <w:szCs w:val="21"/>
              </w:rPr>
            </w:pPr>
            <w:r>
              <w:rPr>
                <w:color w:val="000000"/>
                <w:kern w:val="0"/>
                <w:szCs w:val="21"/>
              </w:rPr>
              <w:t>1.0000</w:t>
            </w:r>
          </w:p>
        </w:tc>
        <w:tc>
          <w:tcPr>
            <w:tcW w:w="567" w:type="dxa"/>
            <w:noWrap/>
            <w:vAlign w:val="center"/>
          </w:tcPr>
          <w:p w14:paraId="63485B34">
            <w:pPr>
              <w:jc w:val="center"/>
              <w:rPr>
                <w:color w:val="000000"/>
                <w:kern w:val="0"/>
                <w:szCs w:val="21"/>
              </w:rPr>
            </w:pPr>
            <w:r>
              <w:rPr>
                <w:color w:val="000000"/>
                <w:kern w:val="0"/>
                <w:szCs w:val="21"/>
              </w:rPr>
              <w:t>1</w:t>
            </w:r>
          </w:p>
        </w:tc>
        <w:tc>
          <w:tcPr>
            <w:tcW w:w="709" w:type="dxa"/>
            <w:noWrap/>
            <w:vAlign w:val="center"/>
          </w:tcPr>
          <w:p w14:paraId="2E37D055">
            <w:pPr>
              <w:jc w:val="center"/>
              <w:rPr>
                <w:color w:val="000000"/>
                <w:kern w:val="0"/>
                <w:szCs w:val="21"/>
              </w:rPr>
            </w:pPr>
            <w:r>
              <w:rPr>
                <w:color w:val="000000"/>
                <w:kern w:val="0"/>
                <w:szCs w:val="21"/>
              </w:rPr>
              <w:t>100</w:t>
            </w:r>
          </w:p>
        </w:tc>
        <w:tc>
          <w:tcPr>
            <w:tcW w:w="1274" w:type="dxa"/>
            <w:noWrap/>
            <w:vAlign w:val="center"/>
          </w:tcPr>
          <w:p w14:paraId="7FEE781F">
            <w:pPr>
              <w:jc w:val="center"/>
              <w:rPr>
                <w:color w:val="000000"/>
                <w:kern w:val="0"/>
                <w:szCs w:val="21"/>
              </w:rPr>
            </w:pPr>
            <w:r>
              <w:rPr>
                <w:rFonts w:hint="eastAsia"/>
                <w:color w:val="000000"/>
                <w:kern w:val="0"/>
                <w:szCs w:val="21"/>
              </w:rPr>
              <w:t>2300</w:t>
            </w:r>
          </w:p>
        </w:tc>
      </w:tr>
      <w:tr w14:paraId="50DD3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70B63DF2">
            <w:pPr>
              <w:jc w:val="center"/>
              <w:rPr>
                <w:color w:val="000000"/>
                <w:kern w:val="0"/>
                <w:szCs w:val="21"/>
              </w:rPr>
            </w:pPr>
            <w:r>
              <w:rPr>
                <w:color w:val="000000"/>
                <w:kern w:val="0"/>
                <w:szCs w:val="21"/>
              </w:rPr>
              <w:t>21</w:t>
            </w:r>
          </w:p>
        </w:tc>
        <w:tc>
          <w:tcPr>
            <w:tcW w:w="1134" w:type="dxa"/>
            <w:noWrap w:val="0"/>
            <w:vAlign w:val="center"/>
          </w:tcPr>
          <w:p w14:paraId="20446CE9">
            <w:pPr>
              <w:jc w:val="center"/>
              <w:rPr>
                <w:rFonts w:eastAsia="楷体_GB2312"/>
                <w:color w:val="000000"/>
                <w:kern w:val="0"/>
                <w:szCs w:val="21"/>
              </w:rPr>
            </w:pPr>
            <w:r>
              <w:rPr>
                <w:rFonts w:eastAsia="楷体_GB2312"/>
                <w:color w:val="000000"/>
                <w:kern w:val="0"/>
                <w:szCs w:val="21"/>
              </w:rPr>
              <w:t>灰古镇</w:t>
            </w:r>
          </w:p>
        </w:tc>
        <w:tc>
          <w:tcPr>
            <w:tcW w:w="1134" w:type="dxa"/>
            <w:noWrap w:val="0"/>
            <w:vAlign w:val="center"/>
          </w:tcPr>
          <w:p w14:paraId="517ABFC0">
            <w:pPr>
              <w:jc w:val="center"/>
              <w:rPr>
                <w:color w:val="000000"/>
                <w:kern w:val="0"/>
                <w:szCs w:val="21"/>
              </w:rPr>
            </w:pPr>
            <w:r>
              <w:rPr>
                <w:color w:val="000000"/>
                <w:kern w:val="0"/>
                <w:szCs w:val="21"/>
              </w:rPr>
              <w:t>1</w:t>
            </w:r>
          </w:p>
        </w:tc>
        <w:tc>
          <w:tcPr>
            <w:tcW w:w="2552" w:type="dxa"/>
            <w:noWrap w:val="0"/>
            <w:vAlign w:val="center"/>
          </w:tcPr>
          <w:p w14:paraId="7225A696">
            <w:pPr>
              <w:jc w:val="center"/>
              <w:rPr>
                <w:rFonts w:eastAsia="楷体_GB2312"/>
                <w:color w:val="000000"/>
                <w:kern w:val="0"/>
                <w:szCs w:val="21"/>
              </w:rPr>
            </w:pPr>
            <w:r>
              <w:rPr>
                <w:rFonts w:eastAsia="楷体_GB2312"/>
                <w:color w:val="000000"/>
                <w:kern w:val="0"/>
                <w:szCs w:val="21"/>
              </w:rPr>
              <w:t>灰古镇中心幼儿园</w:t>
            </w:r>
          </w:p>
        </w:tc>
        <w:tc>
          <w:tcPr>
            <w:tcW w:w="850" w:type="dxa"/>
            <w:noWrap/>
            <w:vAlign w:val="center"/>
          </w:tcPr>
          <w:p w14:paraId="4ADA084B">
            <w:pPr>
              <w:jc w:val="center"/>
              <w:rPr>
                <w:color w:val="000000"/>
                <w:kern w:val="0"/>
                <w:szCs w:val="21"/>
              </w:rPr>
            </w:pPr>
            <w:r>
              <w:rPr>
                <w:color w:val="000000"/>
                <w:kern w:val="0"/>
                <w:szCs w:val="21"/>
              </w:rPr>
              <w:t>1.0000</w:t>
            </w:r>
          </w:p>
        </w:tc>
        <w:tc>
          <w:tcPr>
            <w:tcW w:w="567" w:type="dxa"/>
            <w:noWrap/>
            <w:vAlign w:val="center"/>
          </w:tcPr>
          <w:p w14:paraId="267FE035">
            <w:pPr>
              <w:jc w:val="center"/>
              <w:rPr>
                <w:color w:val="000000"/>
                <w:kern w:val="0"/>
                <w:szCs w:val="21"/>
              </w:rPr>
            </w:pPr>
            <w:r>
              <w:rPr>
                <w:color w:val="000000"/>
                <w:kern w:val="0"/>
                <w:szCs w:val="21"/>
              </w:rPr>
              <w:t>1</w:t>
            </w:r>
          </w:p>
        </w:tc>
        <w:tc>
          <w:tcPr>
            <w:tcW w:w="709" w:type="dxa"/>
            <w:noWrap/>
            <w:vAlign w:val="center"/>
          </w:tcPr>
          <w:p w14:paraId="1DA1B931">
            <w:pPr>
              <w:jc w:val="center"/>
              <w:rPr>
                <w:color w:val="000000"/>
                <w:kern w:val="0"/>
                <w:szCs w:val="21"/>
              </w:rPr>
            </w:pPr>
            <w:r>
              <w:rPr>
                <w:color w:val="000000"/>
                <w:kern w:val="0"/>
                <w:szCs w:val="21"/>
              </w:rPr>
              <w:t>100</w:t>
            </w:r>
          </w:p>
        </w:tc>
        <w:tc>
          <w:tcPr>
            <w:tcW w:w="1274" w:type="dxa"/>
            <w:noWrap/>
            <w:vAlign w:val="center"/>
          </w:tcPr>
          <w:p w14:paraId="20970A6C">
            <w:pPr>
              <w:jc w:val="center"/>
              <w:rPr>
                <w:color w:val="000000"/>
                <w:kern w:val="0"/>
                <w:szCs w:val="21"/>
              </w:rPr>
            </w:pPr>
            <w:r>
              <w:rPr>
                <w:rFonts w:hint="eastAsia"/>
                <w:color w:val="000000"/>
                <w:kern w:val="0"/>
                <w:szCs w:val="21"/>
              </w:rPr>
              <w:t>1600</w:t>
            </w:r>
          </w:p>
        </w:tc>
      </w:tr>
      <w:tr w14:paraId="60EB5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52" w:type="dxa"/>
            <w:noWrap w:val="0"/>
            <w:vAlign w:val="center"/>
          </w:tcPr>
          <w:p w14:paraId="079B7059">
            <w:pPr>
              <w:jc w:val="center"/>
              <w:rPr>
                <w:color w:val="000000"/>
                <w:kern w:val="0"/>
                <w:szCs w:val="21"/>
              </w:rPr>
            </w:pPr>
            <w:r>
              <w:rPr>
                <w:color w:val="000000"/>
                <w:kern w:val="0"/>
                <w:szCs w:val="21"/>
              </w:rPr>
              <w:t>22</w:t>
            </w:r>
          </w:p>
        </w:tc>
        <w:tc>
          <w:tcPr>
            <w:tcW w:w="1134" w:type="dxa"/>
            <w:noWrap w:val="0"/>
            <w:vAlign w:val="center"/>
          </w:tcPr>
          <w:p w14:paraId="23CC1CCC">
            <w:pPr>
              <w:jc w:val="center"/>
              <w:rPr>
                <w:rFonts w:eastAsia="楷体_GB2312"/>
                <w:color w:val="000000"/>
                <w:kern w:val="0"/>
                <w:szCs w:val="21"/>
              </w:rPr>
            </w:pPr>
            <w:r>
              <w:rPr>
                <w:rFonts w:eastAsia="楷体_GB2312"/>
                <w:color w:val="000000"/>
                <w:kern w:val="0"/>
                <w:szCs w:val="21"/>
              </w:rPr>
              <w:t>桃沟乡</w:t>
            </w:r>
          </w:p>
        </w:tc>
        <w:tc>
          <w:tcPr>
            <w:tcW w:w="1134" w:type="dxa"/>
            <w:noWrap w:val="0"/>
            <w:vAlign w:val="center"/>
          </w:tcPr>
          <w:p w14:paraId="5E9D33DC">
            <w:pPr>
              <w:jc w:val="center"/>
              <w:rPr>
                <w:color w:val="000000"/>
                <w:kern w:val="0"/>
                <w:szCs w:val="21"/>
              </w:rPr>
            </w:pPr>
            <w:r>
              <w:rPr>
                <w:color w:val="000000"/>
                <w:kern w:val="0"/>
                <w:szCs w:val="21"/>
              </w:rPr>
              <w:t>1</w:t>
            </w:r>
          </w:p>
        </w:tc>
        <w:tc>
          <w:tcPr>
            <w:tcW w:w="2552" w:type="dxa"/>
            <w:noWrap w:val="0"/>
            <w:vAlign w:val="center"/>
          </w:tcPr>
          <w:p w14:paraId="6BCB6ABB">
            <w:pPr>
              <w:jc w:val="center"/>
              <w:rPr>
                <w:rFonts w:eastAsia="楷体_GB2312"/>
                <w:color w:val="000000"/>
                <w:kern w:val="0"/>
                <w:szCs w:val="21"/>
              </w:rPr>
            </w:pPr>
            <w:r>
              <w:rPr>
                <w:rFonts w:eastAsia="楷体_GB2312"/>
                <w:color w:val="000000"/>
                <w:kern w:val="0"/>
                <w:szCs w:val="21"/>
              </w:rPr>
              <w:t>桃沟乡中心幼儿园</w:t>
            </w:r>
          </w:p>
        </w:tc>
        <w:tc>
          <w:tcPr>
            <w:tcW w:w="850" w:type="dxa"/>
            <w:noWrap/>
            <w:vAlign w:val="center"/>
          </w:tcPr>
          <w:p w14:paraId="07E8CA43">
            <w:pPr>
              <w:jc w:val="center"/>
              <w:rPr>
                <w:color w:val="000000"/>
                <w:kern w:val="0"/>
                <w:szCs w:val="21"/>
              </w:rPr>
            </w:pPr>
            <w:r>
              <w:rPr>
                <w:color w:val="000000"/>
                <w:kern w:val="0"/>
                <w:szCs w:val="21"/>
              </w:rPr>
              <w:t>1.0000</w:t>
            </w:r>
          </w:p>
        </w:tc>
        <w:tc>
          <w:tcPr>
            <w:tcW w:w="567" w:type="dxa"/>
            <w:noWrap/>
            <w:vAlign w:val="center"/>
          </w:tcPr>
          <w:p w14:paraId="60C8405A">
            <w:pPr>
              <w:jc w:val="center"/>
              <w:rPr>
                <w:color w:val="000000"/>
                <w:kern w:val="0"/>
                <w:szCs w:val="21"/>
              </w:rPr>
            </w:pPr>
            <w:r>
              <w:rPr>
                <w:color w:val="000000"/>
                <w:kern w:val="0"/>
                <w:szCs w:val="21"/>
              </w:rPr>
              <w:t>1</w:t>
            </w:r>
          </w:p>
        </w:tc>
        <w:tc>
          <w:tcPr>
            <w:tcW w:w="709" w:type="dxa"/>
            <w:noWrap/>
            <w:vAlign w:val="center"/>
          </w:tcPr>
          <w:p w14:paraId="2E2E0BB3">
            <w:pPr>
              <w:jc w:val="center"/>
              <w:rPr>
                <w:color w:val="000000"/>
                <w:kern w:val="0"/>
                <w:szCs w:val="21"/>
              </w:rPr>
            </w:pPr>
            <w:r>
              <w:rPr>
                <w:color w:val="000000"/>
                <w:kern w:val="0"/>
                <w:szCs w:val="21"/>
              </w:rPr>
              <w:t>100</w:t>
            </w:r>
          </w:p>
        </w:tc>
        <w:tc>
          <w:tcPr>
            <w:tcW w:w="1274" w:type="dxa"/>
            <w:noWrap/>
            <w:vAlign w:val="center"/>
          </w:tcPr>
          <w:p w14:paraId="019BB33E">
            <w:pPr>
              <w:jc w:val="center"/>
              <w:rPr>
                <w:color w:val="000000"/>
                <w:kern w:val="0"/>
                <w:szCs w:val="21"/>
              </w:rPr>
            </w:pPr>
            <w:r>
              <w:rPr>
                <w:rFonts w:hint="eastAsia"/>
                <w:color w:val="000000"/>
                <w:kern w:val="0"/>
                <w:szCs w:val="21"/>
              </w:rPr>
              <w:t>1200</w:t>
            </w:r>
          </w:p>
        </w:tc>
      </w:tr>
    </w:tbl>
    <w:p w14:paraId="1B2DB420">
      <w:pPr>
        <w:tabs>
          <w:tab w:val="left" w:pos="0"/>
          <w:tab w:val="left" w:pos="295"/>
        </w:tabs>
        <w:spacing w:before="120" w:beforeLines="50" w:line="480" w:lineRule="exact"/>
        <w:ind w:firstLine="562" w:firstLineChars="200"/>
        <w:rPr>
          <w:rFonts w:eastAsia="楷体_GB2312"/>
          <w:b/>
          <w:sz w:val="28"/>
        </w:rPr>
      </w:pPr>
      <w:r>
        <w:rPr>
          <w:rFonts w:eastAsia="楷体_GB2312"/>
          <w:b/>
          <w:sz w:val="28"/>
        </w:rPr>
        <w:t>2、医院功能分和服务半径的确定</w:t>
      </w:r>
    </w:p>
    <w:p w14:paraId="3EAB5508">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医院功能分和服务半径的确定步骤如下：</w:t>
      </w:r>
    </w:p>
    <w:p w14:paraId="17F97F4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（1）按照各类医院的床位数、医护人员数和年门诊人数指标进行作用指数计算；</w:t>
      </w:r>
    </w:p>
    <w:p w14:paraId="13BBE10F">
      <w:pPr>
        <w:pStyle w:val="20"/>
        <w:spacing w:line="480" w:lineRule="exact"/>
        <w:ind w:firstLine="560" w:firstLineChars="200"/>
        <w:rPr>
          <w:rFonts w:ascii="Times New Roman" w:hAnsi="Times New Roman" w:eastAsia="楷体_GB2312" w:cs="Times New Roman"/>
          <w:sz w:val="28"/>
        </w:rPr>
      </w:pPr>
      <w:r>
        <w:rPr>
          <w:rFonts w:ascii="Times New Roman" w:hAnsi="Times New Roman" w:cs="Times New Roman"/>
          <w:sz w:val="28"/>
        </w:rPr>
        <w:t>（2）</w:t>
      </w:r>
      <w:r>
        <w:rPr>
          <w:rFonts w:ascii="Times New Roman" w:hAnsi="Times New Roman" w:eastAsia="楷体_GB2312" w:cs="Times New Roman"/>
          <w:sz w:val="28"/>
        </w:rPr>
        <w:t>按照定量与定性相结合的原则，综合考虑各医院的规模、功能、等级和影响力进行级别划分；</w:t>
      </w:r>
    </w:p>
    <w:p w14:paraId="2E435E3D">
      <w:pPr>
        <w:pStyle w:val="20"/>
        <w:spacing w:line="480" w:lineRule="exact"/>
        <w:ind w:firstLine="560" w:firstLineChars="200"/>
        <w:rPr>
          <w:rFonts w:ascii="Times New Roman" w:hAnsi="Times New Roman" w:eastAsia="楷体_GB2312" w:cs="Times New Roman"/>
          <w:sz w:val="28"/>
        </w:rPr>
      </w:pPr>
      <w:r>
        <w:rPr>
          <w:rFonts w:ascii="Times New Roman" w:hAnsi="Times New Roman" w:cs="Times New Roman"/>
          <w:sz w:val="28"/>
        </w:rPr>
        <w:t>（3）</w:t>
      </w:r>
      <w:r>
        <w:rPr>
          <w:rFonts w:ascii="Times New Roman" w:hAnsi="Times New Roman" w:eastAsia="楷体_GB2312" w:cs="Times New Roman"/>
          <w:sz w:val="28"/>
        </w:rPr>
        <w:t>对级别相同的医院的作用指数求平均值，再对其进行最大值标准化，所得结果乘以100，得到各级医院的功能分；</w:t>
      </w:r>
    </w:p>
    <w:p w14:paraId="40F37030">
      <w:pPr>
        <w:pStyle w:val="20"/>
        <w:spacing w:line="480" w:lineRule="exact"/>
        <w:ind w:firstLine="560" w:firstLineChars="200"/>
        <w:rPr>
          <w:rFonts w:ascii="Times New Roman" w:hAnsi="Times New Roman" w:eastAsia="楷体_GB2312" w:cs="Times New Roman"/>
          <w:sz w:val="28"/>
        </w:rPr>
      </w:pPr>
      <w:r>
        <w:rPr>
          <w:rFonts w:ascii="Times New Roman" w:hAnsi="Times New Roman" w:cs="Times New Roman"/>
          <w:sz w:val="28"/>
        </w:rPr>
        <w:t>（4）</w:t>
      </w:r>
      <w:r>
        <w:rPr>
          <w:rFonts w:ascii="Times New Roman" w:hAnsi="Times New Roman" w:eastAsia="楷体_GB2312" w:cs="Times New Roman"/>
          <w:sz w:val="28"/>
        </w:rPr>
        <w:t>医院服务半径依据其数量分布状况、级别、影响力在0.3-3公里之间确定。结果见表</w:t>
      </w:r>
      <w:r>
        <w:rPr>
          <w:rFonts w:ascii="Times New Roman" w:hAnsi="Times New Roman" w:eastAsia="楷体_GB2312" w:cs="Times New Roman"/>
          <w:sz w:val="28"/>
          <w:szCs w:val="24"/>
        </w:rPr>
        <w:t>1-3-</w:t>
      </w:r>
      <w:r>
        <w:rPr>
          <w:rFonts w:hint="eastAsia" w:ascii="Times New Roman" w:hAnsi="Times New Roman" w:eastAsia="楷体_GB2312" w:cs="Times New Roman"/>
          <w:sz w:val="28"/>
          <w:szCs w:val="24"/>
        </w:rPr>
        <w:t>44</w:t>
      </w:r>
      <w:r>
        <w:rPr>
          <w:rFonts w:ascii="Times New Roman" w:hAnsi="Times New Roman" w:eastAsia="楷体_GB2312" w:cs="Times New Roman"/>
          <w:sz w:val="28"/>
        </w:rPr>
        <w:t>。</w:t>
      </w:r>
    </w:p>
    <w:p w14:paraId="64D30C29">
      <w:pPr>
        <w:spacing w:line="480" w:lineRule="exact"/>
        <w:jc w:val="center"/>
        <w:rPr>
          <w:rFonts w:eastAsia="黑体"/>
          <w:sz w:val="28"/>
        </w:rPr>
      </w:pPr>
      <w:r>
        <w:rPr>
          <w:rFonts w:eastAsia="黑体"/>
          <w:sz w:val="28"/>
        </w:rPr>
        <w:t>表1-3-</w:t>
      </w:r>
      <w:r>
        <w:rPr>
          <w:rFonts w:hint="eastAsia" w:eastAsia="黑体"/>
          <w:sz w:val="28"/>
        </w:rPr>
        <w:t>44</w:t>
      </w:r>
      <w:r>
        <w:rPr>
          <w:rFonts w:eastAsia="黑体"/>
          <w:sz w:val="28"/>
        </w:rPr>
        <w:t xml:space="preserve">  埇桥区各乡镇镇区医院功能分及服务半径表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1132"/>
        <w:gridCol w:w="850"/>
        <w:gridCol w:w="2552"/>
        <w:gridCol w:w="992"/>
        <w:gridCol w:w="567"/>
        <w:gridCol w:w="709"/>
        <w:gridCol w:w="1274"/>
      </w:tblGrid>
      <w:tr w14:paraId="3EAAA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noWrap w:val="0"/>
            <w:vAlign w:val="center"/>
          </w:tcPr>
          <w:p w14:paraId="29DB2C0F">
            <w:pPr>
              <w:ind w:left="-105" w:leftChars="-50" w:right="-105" w:rightChars="-50"/>
              <w:jc w:val="center"/>
              <w:rPr>
                <w:rFonts w:eastAsia="楷体_GB2312"/>
                <w:color w:val="000000"/>
                <w:kern w:val="0"/>
                <w:szCs w:val="21"/>
              </w:rPr>
            </w:pPr>
            <w:r>
              <w:rPr>
                <w:rFonts w:eastAsia="楷体_GB2312"/>
                <w:color w:val="000000"/>
                <w:kern w:val="0"/>
                <w:szCs w:val="21"/>
              </w:rPr>
              <w:t>城镇编号</w:t>
            </w:r>
          </w:p>
        </w:tc>
        <w:tc>
          <w:tcPr>
            <w:tcW w:w="1132" w:type="dxa"/>
            <w:noWrap w:val="0"/>
            <w:vAlign w:val="center"/>
          </w:tcPr>
          <w:p w14:paraId="450022E8">
            <w:pPr>
              <w:ind w:left="-105" w:leftChars="-50" w:right="-105" w:rightChars="-50"/>
              <w:jc w:val="center"/>
              <w:rPr>
                <w:rFonts w:eastAsia="楷体_GB2312"/>
                <w:color w:val="000000"/>
                <w:kern w:val="0"/>
                <w:szCs w:val="21"/>
              </w:rPr>
            </w:pPr>
            <w:r>
              <w:rPr>
                <w:rFonts w:eastAsia="楷体_GB2312"/>
                <w:color w:val="000000"/>
                <w:kern w:val="0"/>
                <w:szCs w:val="21"/>
              </w:rPr>
              <w:t>乡镇名称</w:t>
            </w:r>
          </w:p>
        </w:tc>
        <w:tc>
          <w:tcPr>
            <w:tcW w:w="850" w:type="dxa"/>
            <w:noWrap w:val="0"/>
            <w:vAlign w:val="center"/>
          </w:tcPr>
          <w:p w14:paraId="3F201E58">
            <w:pPr>
              <w:ind w:left="-105" w:leftChars="-50" w:right="-105" w:rightChars="-50"/>
              <w:jc w:val="center"/>
              <w:rPr>
                <w:rFonts w:eastAsia="楷体_GB2312"/>
                <w:color w:val="000000"/>
                <w:kern w:val="0"/>
                <w:szCs w:val="21"/>
              </w:rPr>
            </w:pPr>
            <w:r>
              <w:rPr>
                <w:rFonts w:eastAsia="楷体_GB2312"/>
                <w:color w:val="000000"/>
                <w:kern w:val="0"/>
                <w:szCs w:val="21"/>
              </w:rPr>
              <w:t>医院编号</w:t>
            </w:r>
          </w:p>
        </w:tc>
        <w:tc>
          <w:tcPr>
            <w:tcW w:w="2552" w:type="dxa"/>
            <w:noWrap w:val="0"/>
            <w:vAlign w:val="center"/>
          </w:tcPr>
          <w:p w14:paraId="75A2F91A">
            <w:pPr>
              <w:ind w:left="-105" w:leftChars="-50" w:right="-105" w:rightChars="-50"/>
              <w:jc w:val="center"/>
              <w:rPr>
                <w:rFonts w:eastAsia="楷体_GB2312"/>
                <w:color w:val="000000"/>
                <w:kern w:val="0"/>
                <w:szCs w:val="21"/>
              </w:rPr>
            </w:pPr>
            <w:r>
              <w:rPr>
                <w:rFonts w:eastAsia="楷体_GB2312"/>
                <w:color w:val="000000"/>
                <w:kern w:val="0"/>
                <w:szCs w:val="21"/>
              </w:rPr>
              <w:t>医院名称</w:t>
            </w:r>
          </w:p>
        </w:tc>
        <w:tc>
          <w:tcPr>
            <w:tcW w:w="992" w:type="dxa"/>
            <w:noWrap w:val="0"/>
            <w:vAlign w:val="center"/>
          </w:tcPr>
          <w:p w14:paraId="28778C72">
            <w:pPr>
              <w:ind w:left="-105" w:leftChars="-50" w:right="-105" w:rightChars="-50"/>
              <w:jc w:val="center"/>
              <w:rPr>
                <w:rFonts w:eastAsia="楷体_GB2312"/>
                <w:color w:val="000000"/>
                <w:kern w:val="0"/>
                <w:szCs w:val="21"/>
              </w:rPr>
            </w:pPr>
            <w:r>
              <w:rPr>
                <w:rFonts w:eastAsia="楷体_GB2312"/>
                <w:color w:val="000000"/>
                <w:kern w:val="0"/>
                <w:szCs w:val="21"/>
              </w:rPr>
              <w:t>作用指数</w:t>
            </w:r>
          </w:p>
        </w:tc>
        <w:tc>
          <w:tcPr>
            <w:tcW w:w="567" w:type="dxa"/>
            <w:noWrap w:val="0"/>
            <w:vAlign w:val="center"/>
          </w:tcPr>
          <w:p w14:paraId="184BDD1E">
            <w:pPr>
              <w:ind w:left="-105" w:leftChars="-50" w:right="-105" w:rightChars="-50"/>
              <w:jc w:val="center"/>
              <w:rPr>
                <w:rFonts w:eastAsia="楷体_GB2312"/>
                <w:color w:val="000000"/>
                <w:kern w:val="0"/>
                <w:szCs w:val="21"/>
              </w:rPr>
            </w:pPr>
            <w:r>
              <w:rPr>
                <w:rFonts w:eastAsia="楷体_GB2312"/>
                <w:color w:val="000000"/>
                <w:kern w:val="0"/>
                <w:szCs w:val="21"/>
              </w:rPr>
              <w:t>级别</w:t>
            </w:r>
          </w:p>
        </w:tc>
        <w:tc>
          <w:tcPr>
            <w:tcW w:w="709" w:type="dxa"/>
            <w:noWrap w:val="0"/>
            <w:vAlign w:val="center"/>
          </w:tcPr>
          <w:p w14:paraId="6F14CDC1">
            <w:pPr>
              <w:ind w:left="-105" w:leftChars="-50" w:right="-105" w:rightChars="-50"/>
              <w:jc w:val="center"/>
              <w:rPr>
                <w:rFonts w:eastAsia="楷体_GB2312"/>
                <w:color w:val="000000"/>
                <w:kern w:val="0"/>
                <w:szCs w:val="21"/>
              </w:rPr>
            </w:pPr>
            <w:r>
              <w:rPr>
                <w:rFonts w:eastAsia="楷体_GB2312"/>
                <w:color w:val="000000"/>
                <w:kern w:val="0"/>
                <w:szCs w:val="21"/>
              </w:rPr>
              <w:t>功能分</w:t>
            </w:r>
          </w:p>
        </w:tc>
        <w:tc>
          <w:tcPr>
            <w:tcW w:w="1274" w:type="dxa"/>
            <w:noWrap w:val="0"/>
            <w:vAlign w:val="center"/>
          </w:tcPr>
          <w:p w14:paraId="0A151056">
            <w:pPr>
              <w:ind w:left="-105" w:leftChars="-50" w:right="-105" w:rightChars="-50"/>
              <w:jc w:val="center"/>
              <w:rPr>
                <w:rFonts w:eastAsia="楷体_GB2312"/>
                <w:color w:val="000000"/>
                <w:kern w:val="0"/>
                <w:szCs w:val="21"/>
              </w:rPr>
            </w:pPr>
            <w:r>
              <w:rPr>
                <w:rFonts w:eastAsia="楷体_GB2312"/>
                <w:color w:val="000000"/>
                <w:kern w:val="0"/>
                <w:szCs w:val="21"/>
              </w:rPr>
              <w:t>影响半径（米）</w:t>
            </w:r>
          </w:p>
        </w:tc>
      </w:tr>
      <w:tr w14:paraId="33DA6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noWrap w:val="0"/>
            <w:vAlign w:val="center"/>
          </w:tcPr>
          <w:p w14:paraId="6B321E71">
            <w:pPr>
              <w:jc w:val="center"/>
              <w:rPr>
                <w:color w:val="000000"/>
                <w:kern w:val="0"/>
                <w:szCs w:val="21"/>
              </w:rPr>
            </w:pPr>
            <w:r>
              <w:rPr>
                <w:color w:val="000000"/>
                <w:kern w:val="0"/>
                <w:szCs w:val="21"/>
              </w:rPr>
              <w:t>1</w:t>
            </w:r>
          </w:p>
        </w:tc>
        <w:tc>
          <w:tcPr>
            <w:tcW w:w="1132" w:type="dxa"/>
            <w:noWrap w:val="0"/>
            <w:vAlign w:val="center"/>
          </w:tcPr>
          <w:p w14:paraId="6C64D778">
            <w:pPr>
              <w:jc w:val="center"/>
              <w:rPr>
                <w:rFonts w:eastAsia="楷体_GB2312"/>
                <w:color w:val="000000"/>
                <w:kern w:val="0"/>
                <w:szCs w:val="21"/>
              </w:rPr>
            </w:pPr>
            <w:r>
              <w:rPr>
                <w:rFonts w:eastAsia="楷体_GB2312"/>
                <w:color w:val="000000"/>
                <w:kern w:val="0"/>
                <w:szCs w:val="21"/>
              </w:rPr>
              <w:t>符离镇</w:t>
            </w:r>
          </w:p>
        </w:tc>
        <w:tc>
          <w:tcPr>
            <w:tcW w:w="850" w:type="dxa"/>
            <w:noWrap w:val="0"/>
            <w:vAlign w:val="center"/>
          </w:tcPr>
          <w:p w14:paraId="62EEB8BA">
            <w:pPr>
              <w:jc w:val="center"/>
              <w:rPr>
                <w:color w:val="000000"/>
                <w:kern w:val="0"/>
                <w:szCs w:val="21"/>
              </w:rPr>
            </w:pPr>
            <w:r>
              <w:rPr>
                <w:color w:val="000000"/>
                <w:kern w:val="0"/>
                <w:szCs w:val="21"/>
              </w:rPr>
              <w:t>1</w:t>
            </w:r>
          </w:p>
        </w:tc>
        <w:tc>
          <w:tcPr>
            <w:tcW w:w="2552" w:type="dxa"/>
            <w:noWrap w:val="0"/>
            <w:vAlign w:val="center"/>
          </w:tcPr>
          <w:p w14:paraId="7F0A5E6B">
            <w:pPr>
              <w:jc w:val="center"/>
              <w:rPr>
                <w:rFonts w:eastAsia="楷体_GB2312"/>
                <w:color w:val="000000"/>
                <w:kern w:val="0"/>
                <w:szCs w:val="21"/>
              </w:rPr>
            </w:pPr>
            <w:r>
              <w:rPr>
                <w:rFonts w:eastAsia="楷体_GB2312"/>
                <w:color w:val="000000"/>
                <w:kern w:val="0"/>
                <w:szCs w:val="21"/>
              </w:rPr>
              <w:t>符离镇卫生院</w:t>
            </w:r>
          </w:p>
        </w:tc>
        <w:tc>
          <w:tcPr>
            <w:tcW w:w="992" w:type="dxa"/>
            <w:noWrap/>
            <w:vAlign w:val="center"/>
          </w:tcPr>
          <w:p w14:paraId="733BDC35">
            <w:pPr>
              <w:jc w:val="center"/>
              <w:rPr>
                <w:color w:val="000000"/>
                <w:kern w:val="0"/>
                <w:szCs w:val="21"/>
              </w:rPr>
            </w:pPr>
            <w:r>
              <w:rPr>
                <w:color w:val="000000"/>
                <w:kern w:val="0"/>
                <w:szCs w:val="21"/>
              </w:rPr>
              <w:t>1.0000</w:t>
            </w:r>
          </w:p>
        </w:tc>
        <w:tc>
          <w:tcPr>
            <w:tcW w:w="567" w:type="dxa"/>
            <w:noWrap/>
            <w:vAlign w:val="center"/>
          </w:tcPr>
          <w:p w14:paraId="62B393F8">
            <w:pPr>
              <w:jc w:val="center"/>
              <w:rPr>
                <w:color w:val="000000"/>
                <w:kern w:val="0"/>
                <w:szCs w:val="21"/>
              </w:rPr>
            </w:pPr>
            <w:r>
              <w:rPr>
                <w:color w:val="000000"/>
                <w:kern w:val="0"/>
                <w:szCs w:val="21"/>
              </w:rPr>
              <w:t>1</w:t>
            </w:r>
          </w:p>
        </w:tc>
        <w:tc>
          <w:tcPr>
            <w:tcW w:w="709" w:type="dxa"/>
            <w:noWrap/>
            <w:vAlign w:val="center"/>
          </w:tcPr>
          <w:p w14:paraId="160406F2">
            <w:pPr>
              <w:jc w:val="center"/>
              <w:rPr>
                <w:color w:val="000000"/>
                <w:kern w:val="0"/>
                <w:szCs w:val="21"/>
              </w:rPr>
            </w:pPr>
            <w:r>
              <w:rPr>
                <w:color w:val="000000"/>
                <w:kern w:val="0"/>
                <w:szCs w:val="21"/>
              </w:rPr>
              <w:t>100</w:t>
            </w:r>
          </w:p>
        </w:tc>
        <w:tc>
          <w:tcPr>
            <w:tcW w:w="1274" w:type="dxa"/>
            <w:noWrap/>
            <w:vAlign w:val="center"/>
          </w:tcPr>
          <w:p w14:paraId="6D147DD8">
            <w:pPr>
              <w:jc w:val="center"/>
              <w:rPr>
                <w:color w:val="000000"/>
                <w:kern w:val="0"/>
                <w:szCs w:val="21"/>
              </w:rPr>
            </w:pPr>
            <w:r>
              <w:rPr>
                <w:rFonts w:hint="eastAsia"/>
                <w:color w:val="000000"/>
                <w:kern w:val="0"/>
                <w:szCs w:val="21"/>
              </w:rPr>
              <w:t>3000</w:t>
            </w:r>
          </w:p>
        </w:tc>
      </w:tr>
      <w:tr w14:paraId="43A8E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noWrap w:val="0"/>
            <w:vAlign w:val="center"/>
          </w:tcPr>
          <w:p w14:paraId="0925D6B1">
            <w:pPr>
              <w:jc w:val="center"/>
              <w:rPr>
                <w:color w:val="000000"/>
                <w:kern w:val="0"/>
                <w:szCs w:val="21"/>
              </w:rPr>
            </w:pPr>
            <w:r>
              <w:rPr>
                <w:color w:val="000000"/>
                <w:kern w:val="0"/>
                <w:szCs w:val="21"/>
              </w:rPr>
              <w:t>2</w:t>
            </w:r>
          </w:p>
        </w:tc>
        <w:tc>
          <w:tcPr>
            <w:tcW w:w="1132" w:type="dxa"/>
            <w:noWrap w:val="0"/>
            <w:vAlign w:val="center"/>
          </w:tcPr>
          <w:p w14:paraId="6AE9B71F">
            <w:pPr>
              <w:jc w:val="center"/>
              <w:rPr>
                <w:rFonts w:eastAsia="楷体_GB2312"/>
                <w:color w:val="000000"/>
                <w:kern w:val="0"/>
                <w:szCs w:val="21"/>
              </w:rPr>
            </w:pPr>
            <w:r>
              <w:rPr>
                <w:rFonts w:eastAsia="楷体_GB2312"/>
                <w:color w:val="000000"/>
                <w:kern w:val="0"/>
                <w:szCs w:val="21"/>
              </w:rPr>
              <w:t>朱仙庄镇</w:t>
            </w:r>
          </w:p>
        </w:tc>
        <w:tc>
          <w:tcPr>
            <w:tcW w:w="850" w:type="dxa"/>
            <w:noWrap w:val="0"/>
            <w:vAlign w:val="center"/>
          </w:tcPr>
          <w:p w14:paraId="70CA22CD">
            <w:pPr>
              <w:jc w:val="center"/>
              <w:rPr>
                <w:color w:val="000000"/>
                <w:kern w:val="0"/>
                <w:szCs w:val="21"/>
              </w:rPr>
            </w:pPr>
            <w:r>
              <w:rPr>
                <w:color w:val="000000"/>
                <w:kern w:val="0"/>
                <w:szCs w:val="21"/>
              </w:rPr>
              <w:t>1</w:t>
            </w:r>
          </w:p>
        </w:tc>
        <w:tc>
          <w:tcPr>
            <w:tcW w:w="2552" w:type="dxa"/>
            <w:noWrap w:val="0"/>
            <w:vAlign w:val="center"/>
          </w:tcPr>
          <w:p w14:paraId="40D558C4">
            <w:pPr>
              <w:jc w:val="center"/>
              <w:rPr>
                <w:rFonts w:eastAsia="楷体_GB2312"/>
                <w:color w:val="000000"/>
                <w:kern w:val="0"/>
                <w:szCs w:val="21"/>
              </w:rPr>
            </w:pPr>
            <w:r>
              <w:rPr>
                <w:rFonts w:eastAsia="楷体_GB2312"/>
                <w:color w:val="000000"/>
                <w:kern w:val="0"/>
                <w:szCs w:val="21"/>
              </w:rPr>
              <w:t>朱仙庄镇卫生院</w:t>
            </w:r>
          </w:p>
        </w:tc>
        <w:tc>
          <w:tcPr>
            <w:tcW w:w="992" w:type="dxa"/>
            <w:noWrap/>
            <w:vAlign w:val="center"/>
          </w:tcPr>
          <w:p w14:paraId="6D955C55">
            <w:pPr>
              <w:jc w:val="center"/>
              <w:rPr>
                <w:color w:val="000000"/>
                <w:kern w:val="0"/>
                <w:szCs w:val="21"/>
              </w:rPr>
            </w:pPr>
            <w:r>
              <w:rPr>
                <w:color w:val="000000"/>
                <w:kern w:val="0"/>
                <w:szCs w:val="21"/>
              </w:rPr>
              <w:t>1.0000</w:t>
            </w:r>
          </w:p>
        </w:tc>
        <w:tc>
          <w:tcPr>
            <w:tcW w:w="567" w:type="dxa"/>
            <w:noWrap/>
            <w:vAlign w:val="center"/>
          </w:tcPr>
          <w:p w14:paraId="045248D3">
            <w:pPr>
              <w:jc w:val="center"/>
              <w:rPr>
                <w:color w:val="000000"/>
                <w:kern w:val="0"/>
                <w:szCs w:val="21"/>
              </w:rPr>
            </w:pPr>
            <w:r>
              <w:rPr>
                <w:color w:val="000000"/>
                <w:kern w:val="0"/>
                <w:szCs w:val="21"/>
              </w:rPr>
              <w:t>1</w:t>
            </w:r>
          </w:p>
        </w:tc>
        <w:tc>
          <w:tcPr>
            <w:tcW w:w="709" w:type="dxa"/>
            <w:noWrap/>
            <w:vAlign w:val="center"/>
          </w:tcPr>
          <w:p w14:paraId="67FAA14E">
            <w:pPr>
              <w:jc w:val="center"/>
              <w:rPr>
                <w:color w:val="000000"/>
                <w:kern w:val="0"/>
                <w:szCs w:val="21"/>
              </w:rPr>
            </w:pPr>
            <w:r>
              <w:rPr>
                <w:color w:val="000000"/>
                <w:kern w:val="0"/>
                <w:szCs w:val="21"/>
              </w:rPr>
              <w:t>100</w:t>
            </w:r>
          </w:p>
        </w:tc>
        <w:tc>
          <w:tcPr>
            <w:tcW w:w="1274" w:type="dxa"/>
            <w:noWrap/>
            <w:vAlign w:val="center"/>
          </w:tcPr>
          <w:p w14:paraId="28BD0D08">
            <w:pPr>
              <w:jc w:val="center"/>
              <w:rPr>
                <w:color w:val="000000"/>
                <w:kern w:val="0"/>
                <w:szCs w:val="21"/>
              </w:rPr>
            </w:pPr>
            <w:r>
              <w:rPr>
                <w:rFonts w:hint="eastAsia"/>
                <w:color w:val="000000"/>
                <w:kern w:val="0"/>
                <w:szCs w:val="21"/>
              </w:rPr>
              <w:t>3000</w:t>
            </w:r>
          </w:p>
        </w:tc>
      </w:tr>
      <w:tr w14:paraId="7BDF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vMerge w:val="restart"/>
            <w:noWrap w:val="0"/>
            <w:vAlign w:val="center"/>
          </w:tcPr>
          <w:p w14:paraId="6124D6F1">
            <w:pPr>
              <w:jc w:val="center"/>
              <w:rPr>
                <w:color w:val="000000"/>
                <w:kern w:val="0"/>
                <w:szCs w:val="21"/>
              </w:rPr>
            </w:pPr>
            <w:r>
              <w:rPr>
                <w:color w:val="000000"/>
                <w:kern w:val="0"/>
                <w:szCs w:val="21"/>
              </w:rPr>
              <w:t>3</w:t>
            </w:r>
          </w:p>
        </w:tc>
        <w:tc>
          <w:tcPr>
            <w:tcW w:w="1132" w:type="dxa"/>
            <w:vMerge w:val="restart"/>
            <w:noWrap w:val="0"/>
            <w:vAlign w:val="center"/>
          </w:tcPr>
          <w:p w14:paraId="3943DEAD">
            <w:pPr>
              <w:jc w:val="center"/>
              <w:rPr>
                <w:rFonts w:eastAsia="楷体_GB2312"/>
                <w:color w:val="000000"/>
                <w:kern w:val="0"/>
                <w:szCs w:val="21"/>
              </w:rPr>
            </w:pPr>
            <w:r>
              <w:rPr>
                <w:rFonts w:eastAsia="楷体_GB2312"/>
                <w:color w:val="000000"/>
                <w:kern w:val="0"/>
                <w:szCs w:val="21"/>
              </w:rPr>
              <w:t>蕲县镇</w:t>
            </w:r>
          </w:p>
        </w:tc>
        <w:tc>
          <w:tcPr>
            <w:tcW w:w="850" w:type="dxa"/>
            <w:noWrap w:val="0"/>
            <w:vAlign w:val="center"/>
          </w:tcPr>
          <w:p w14:paraId="02E2A13F">
            <w:pPr>
              <w:jc w:val="center"/>
              <w:rPr>
                <w:color w:val="000000"/>
                <w:kern w:val="0"/>
                <w:szCs w:val="21"/>
              </w:rPr>
            </w:pPr>
            <w:r>
              <w:rPr>
                <w:color w:val="000000"/>
                <w:kern w:val="0"/>
                <w:szCs w:val="21"/>
              </w:rPr>
              <w:t>1</w:t>
            </w:r>
          </w:p>
        </w:tc>
        <w:tc>
          <w:tcPr>
            <w:tcW w:w="2552" w:type="dxa"/>
            <w:noWrap w:val="0"/>
            <w:vAlign w:val="center"/>
          </w:tcPr>
          <w:p w14:paraId="57C82322">
            <w:pPr>
              <w:jc w:val="center"/>
              <w:rPr>
                <w:rFonts w:eastAsia="楷体_GB2312"/>
                <w:color w:val="000000"/>
                <w:kern w:val="0"/>
                <w:szCs w:val="21"/>
              </w:rPr>
            </w:pPr>
            <w:r>
              <w:rPr>
                <w:rFonts w:eastAsia="楷体_GB2312"/>
                <w:color w:val="000000"/>
                <w:kern w:val="0"/>
                <w:szCs w:val="21"/>
              </w:rPr>
              <w:t>蕲县镇卫生院</w:t>
            </w:r>
          </w:p>
        </w:tc>
        <w:tc>
          <w:tcPr>
            <w:tcW w:w="992" w:type="dxa"/>
            <w:noWrap/>
            <w:vAlign w:val="center"/>
          </w:tcPr>
          <w:p w14:paraId="55CA4B23">
            <w:pPr>
              <w:jc w:val="center"/>
              <w:rPr>
                <w:color w:val="000000"/>
                <w:kern w:val="0"/>
                <w:szCs w:val="21"/>
              </w:rPr>
            </w:pPr>
            <w:r>
              <w:rPr>
                <w:color w:val="000000"/>
                <w:kern w:val="0"/>
                <w:szCs w:val="21"/>
              </w:rPr>
              <w:t>0.9540</w:t>
            </w:r>
          </w:p>
        </w:tc>
        <w:tc>
          <w:tcPr>
            <w:tcW w:w="567" w:type="dxa"/>
            <w:noWrap/>
            <w:vAlign w:val="center"/>
          </w:tcPr>
          <w:p w14:paraId="1CBB3580">
            <w:pPr>
              <w:jc w:val="center"/>
              <w:rPr>
                <w:color w:val="000000"/>
                <w:kern w:val="0"/>
                <w:szCs w:val="21"/>
              </w:rPr>
            </w:pPr>
            <w:r>
              <w:rPr>
                <w:color w:val="000000"/>
                <w:kern w:val="0"/>
                <w:szCs w:val="21"/>
              </w:rPr>
              <w:t>1</w:t>
            </w:r>
          </w:p>
        </w:tc>
        <w:tc>
          <w:tcPr>
            <w:tcW w:w="709" w:type="dxa"/>
            <w:noWrap/>
            <w:vAlign w:val="center"/>
          </w:tcPr>
          <w:p w14:paraId="0CF49C3F">
            <w:pPr>
              <w:jc w:val="center"/>
              <w:rPr>
                <w:color w:val="000000"/>
                <w:kern w:val="0"/>
                <w:szCs w:val="21"/>
              </w:rPr>
            </w:pPr>
            <w:r>
              <w:rPr>
                <w:color w:val="000000"/>
                <w:kern w:val="0"/>
                <w:szCs w:val="21"/>
              </w:rPr>
              <w:t>100</w:t>
            </w:r>
          </w:p>
        </w:tc>
        <w:tc>
          <w:tcPr>
            <w:tcW w:w="1274" w:type="dxa"/>
            <w:noWrap/>
            <w:vAlign w:val="center"/>
          </w:tcPr>
          <w:p w14:paraId="482D0137">
            <w:pPr>
              <w:jc w:val="center"/>
              <w:rPr>
                <w:color w:val="000000"/>
                <w:kern w:val="0"/>
                <w:szCs w:val="21"/>
              </w:rPr>
            </w:pPr>
            <w:r>
              <w:rPr>
                <w:rFonts w:hint="eastAsia"/>
                <w:color w:val="000000"/>
                <w:kern w:val="0"/>
                <w:szCs w:val="21"/>
              </w:rPr>
              <w:t>2200</w:t>
            </w:r>
          </w:p>
        </w:tc>
      </w:tr>
      <w:tr w14:paraId="58882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vMerge w:val="continue"/>
            <w:noWrap w:val="0"/>
            <w:vAlign w:val="center"/>
          </w:tcPr>
          <w:p w14:paraId="33E12804">
            <w:pPr>
              <w:jc w:val="center"/>
              <w:rPr>
                <w:color w:val="000000"/>
                <w:kern w:val="0"/>
                <w:szCs w:val="21"/>
              </w:rPr>
            </w:pPr>
          </w:p>
        </w:tc>
        <w:tc>
          <w:tcPr>
            <w:tcW w:w="1132" w:type="dxa"/>
            <w:vMerge w:val="continue"/>
            <w:noWrap w:val="0"/>
            <w:vAlign w:val="center"/>
          </w:tcPr>
          <w:p w14:paraId="37C0A71B">
            <w:pPr>
              <w:jc w:val="center"/>
              <w:rPr>
                <w:rFonts w:eastAsia="楷体_GB2312"/>
                <w:color w:val="000000"/>
                <w:kern w:val="0"/>
                <w:szCs w:val="21"/>
              </w:rPr>
            </w:pPr>
          </w:p>
        </w:tc>
        <w:tc>
          <w:tcPr>
            <w:tcW w:w="850" w:type="dxa"/>
            <w:noWrap w:val="0"/>
            <w:vAlign w:val="center"/>
          </w:tcPr>
          <w:p w14:paraId="11D7D56F">
            <w:pPr>
              <w:jc w:val="center"/>
              <w:rPr>
                <w:color w:val="000000"/>
                <w:kern w:val="0"/>
                <w:szCs w:val="21"/>
              </w:rPr>
            </w:pPr>
            <w:r>
              <w:rPr>
                <w:color w:val="000000"/>
                <w:kern w:val="0"/>
                <w:szCs w:val="21"/>
              </w:rPr>
              <w:t>2</w:t>
            </w:r>
          </w:p>
        </w:tc>
        <w:tc>
          <w:tcPr>
            <w:tcW w:w="2552" w:type="dxa"/>
            <w:noWrap w:val="0"/>
            <w:vAlign w:val="center"/>
          </w:tcPr>
          <w:p w14:paraId="0418C6BC">
            <w:pPr>
              <w:jc w:val="center"/>
              <w:rPr>
                <w:rFonts w:eastAsia="楷体_GB2312"/>
                <w:color w:val="000000"/>
                <w:kern w:val="0"/>
                <w:szCs w:val="21"/>
              </w:rPr>
            </w:pPr>
            <w:r>
              <w:rPr>
                <w:rFonts w:eastAsia="楷体_GB2312"/>
                <w:color w:val="000000"/>
                <w:kern w:val="0"/>
                <w:szCs w:val="21"/>
              </w:rPr>
              <w:t>淮北矿工医院祁南分院</w:t>
            </w:r>
          </w:p>
        </w:tc>
        <w:tc>
          <w:tcPr>
            <w:tcW w:w="992" w:type="dxa"/>
            <w:noWrap/>
            <w:vAlign w:val="center"/>
          </w:tcPr>
          <w:p w14:paraId="7BE9DD58">
            <w:pPr>
              <w:jc w:val="center"/>
              <w:rPr>
                <w:color w:val="000000"/>
                <w:kern w:val="0"/>
                <w:szCs w:val="21"/>
              </w:rPr>
            </w:pPr>
            <w:r>
              <w:rPr>
                <w:color w:val="000000"/>
                <w:kern w:val="0"/>
                <w:szCs w:val="21"/>
              </w:rPr>
              <w:t>0.5255</w:t>
            </w:r>
          </w:p>
        </w:tc>
        <w:tc>
          <w:tcPr>
            <w:tcW w:w="567" w:type="dxa"/>
            <w:noWrap/>
            <w:vAlign w:val="center"/>
          </w:tcPr>
          <w:p w14:paraId="088F1C88">
            <w:pPr>
              <w:jc w:val="center"/>
              <w:rPr>
                <w:color w:val="000000"/>
                <w:kern w:val="0"/>
                <w:szCs w:val="21"/>
              </w:rPr>
            </w:pPr>
            <w:r>
              <w:rPr>
                <w:color w:val="000000"/>
                <w:kern w:val="0"/>
                <w:szCs w:val="21"/>
              </w:rPr>
              <w:t>2</w:t>
            </w:r>
          </w:p>
        </w:tc>
        <w:tc>
          <w:tcPr>
            <w:tcW w:w="709" w:type="dxa"/>
            <w:noWrap/>
            <w:vAlign w:val="center"/>
          </w:tcPr>
          <w:p w14:paraId="3B6B103D">
            <w:pPr>
              <w:jc w:val="center"/>
              <w:rPr>
                <w:color w:val="000000"/>
                <w:kern w:val="0"/>
                <w:szCs w:val="21"/>
              </w:rPr>
            </w:pPr>
            <w:r>
              <w:rPr>
                <w:color w:val="000000"/>
                <w:kern w:val="0"/>
                <w:szCs w:val="21"/>
              </w:rPr>
              <w:t>5</w:t>
            </w:r>
            <w:r>
              <w:rPr>
                <w:rFonts w:hint="eastAsia"/>
                <w:color w:val="000000"/>
                <w:kern w:val="0"/>
                <w:szCs w:val="21"/>
              </w:rPr>
              <w:t>5</w:t>
            </w:r>
          </w:p>
        </w:tc>
        <w:tc>
          <w:tcPr>
            <w:tcW w:w="1274" w:type="dxa"/>
            <w:noWrap/>
            <w:vAlign w:val="center"/>
          </w:tcPr>
          <w:p w14:paraId="0A07C9C3">
            <w:pPr>
              <w:jc w:val="center"/>
              <w:rPr>
                <w:color w:val="000000"/>
                <w:kern w:val="0"/>
                <w:szCs w:val="21"/>
              </w:rPr>
            </w:pPr>
            <w:r>
              <w:rPr>
                <w:rFonts w:hint="eastAsia"/>
                <w:color w:val="000000"/>
                <w:kern w:val="0"/>
                <w:szCs w:val="21"/>
              </w:rPr>
              <w:t>2100</w:t>
            </w:r>
          </w:p>
        </w:tc>
      </w:tr>
      <w:tr w14:paraId="2AE4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noWrap w:val="0"/>
            <w:vAlign w:val="center"/>
          </w:tcPr>
          <w:p w14:paraId="6FCC97C5">
            <w:pPr>
              <w:jc w:val="center"/>
              <w:rPr>
                <w:color w:val="000000"/>
                <w:kern w:val="0"/>
                <w:szCs w:val="21"/>
              </w:rPr>
            </w:pPr>
            <w:r>
              <w:rPr>
                <w:color w:val="000000"/>
                <w:kern w:val="0"/>
                <w:szCs w:val="21"/>
              </w:rPr>
              <w:t>4</w:t>
            </w:r>
          </w:p>
        </w:tc>
        <w:tc>
          <w:tcPr>
            <w:tcW w:w="1132" w:type="dxa"/>
            <w:noWrap w:val="0"/>
            <w:vAlign w:val="center"/>
          </w:tcPr>
          <w:p w14:paraId="69F7EBE0">
            <w:pPr>
              <w:jc w:val="center"/>
              <w:rPr>
                <w:rFonts w:eastAsia="楷体_GB2312"/>
                <w:color w:val="000000"/>
                <w:kern w:val="0"/>
                <w:szCs w:val="21"/>
              </w:rPr>
            </w:pPr>
            <w:r>
              <w:rPr>
                <w:rFonts w:eastAsia="楷体_GB2312"/>
                <w:color w:val="000000"/>
                <w:kern w:val="0"/>
                <w:szCs w:val="21"/>
              </w:rPr>
              <w:t>芦岭镇</w:t>
            </w:r>
          </w:p>
        </w:tc>
        <w:tc>
          <w:tcPr>
            <w:tcW w:w="850" w:type="dxa"/>
            <w:noWrap w:val="0"/>
            <w:vAlign w:val="center"/>
          </w:tcPr>
          <w:p w14:paraId="374483A9">
            <w:pPr>
              <w:jc w:val="center"/>
              <w:rPr>
                <w:color w:val="000000"/>
                <w:kern w:val="0"/>
                <w:szCs w:val="21"/>
              </w:rPr>
            </w:pPr>
            <w:r>
              <w:rPr>
                <w:color w:val="000000"/>
                <w:kern w:val="0"/>
                <w:szCs w:val="21"/>
              </w:rPr>
              <w:t>1</w:t>
            </w:r>
          </w:p>
        </w:tc>
        <w:tc>
          <w:tcPr>
            <w:tcW w:w="2552" w:type="dxa"/>
            <w:noWrap w:val="0"/>
            <w:vAlign w:val="center"/>
          </w:tcPr>
          <w:p w14:paraId="43B37C0E">
            <w:pPr>
              <w:jc w:val="center"/>
              <w:rPr>
                <w:rFonts w:eastAsia="楷体_GB2312"/>
                <w:color w:val="000000"/>
                <w:kern w:val="0"/>
                <w:szCs w:val="21"/>
              </w:rPr>
            </w:pPr>
            <w:r>
              <w:rPr>
                <w:rFonts w:eastAsia="楷体_GB2312"/>
                <w:color w:val="000000"/>
                <w:kern w:val="0"/>
                <w:szCs w:val="21"/>
              </w:rPr>
              <w:t>芦岭镇卫生院</w:t>
            </w:r>
          </w:p>
        </w:tc>
        <w:tc>
          <w:tcPr>
            <w:tcW w:w="992" w:type="dxa"/>
            <w:noWrap/>
            <w:vAlign w:val="center"/>
          </w:tcPr>
          <w:p w14:paraId="2715CA33">
            <w:pPr>
              <w:jc w:val="center"/>
              <w:rPr>
                <w:color w:val="000000"/>
                <w:kern w:val="0"/>
                <w:szCs w:val="21"/>
              </w:rPr>
            </w:pPr>
            <w:r>
              <w:rPr>
                <w:color w:val="000000"/>
                <w:kern w:val="0"/>
                <w:szCs w:val="21"/>
              </w:rPr>
              <w:t>1.0000</w:t>
            </w:r>
          </w:p>
        </w:tc>
        <w:tc>
          <w:tcPr>
            <w:tcW w:w="567" w:type="dxa"/>
            <w:noWrap/>
            <w:vAlign w:val="center"/>
          </w:tcPr>
          <w:p w14:paraId="4C8CC58B">
            <w:pPr>
              <w:jc w:val="center"/>
              <w:rPr>
                <w:color w:val="000000"/>
                <w:kern w:val="0"/>
                <w:szCs w:val="21"/>
              </w:rPr>
            </w:pPr>
            <w:r>
              <w:rPr>
                <w:color w:val="000000"/>
                <w:kern w:val="0"/>
                <w:szCs w:val="21"/>
              </w:rPr>
              <w:t>1</w:t>
            </w:r>
          </w:p>
        </w:tc>
        <w:tc>
          <w:tcPr>
            <w:tcW w:w="709" w:type="dxa"/>
            <w:noWrap/>
            <w:vAlign w:val="center"/>
          </w:tcPr>
          <w:p w14:paraId="6295FEEA">
            <w:pPr>
              <w:jc w:val="center"/>
              <w:rPr>
                <w:color w:val="000000"/>
                <w:kern w:val="0"/>
                <w:szCs w:val="21"/>
              </w:rPr>
            </w:pPr>
            <w:r>
              <w:rPr>
                <w:color w:val="000000"/>
                <w:kern w:val="0"/>
                <w:szCs w:val="21"/>
              </w:rPr>
              <w:t>100</w:t>
            </w:r>
          </w:p>
        </w:tc>
        <w:tc>
          <w:tcPr>
            <w:tcW w:w="1274" w:type="dxa"/>
            <w:noWrap/>
            <w:vAlign w:val="center"/>
          </w:tcPr>
          <w:p w14:paraId="2E3D05EF">
            <w:pPr>
              <w:jc w:val="center"/>
              <w:rPr>
                <w:color w:val="000000"/>
                <w:kern w:val="0"/>
                <w:szCs w:val="21"/>
              </w:rPr>
            </w:pPr>
            <w:r>
              <w:rPr>
                <w:rFonts w:hint="eastAsia"/>
                <w:color w:val="000000"/>
                <w:kern w:val="0"/>
                <w:szCs w:val="21"/>
              </w:rPr>
              <w:t>1800</w:t>
            </w:r>
          </w:p>
        </w:tc>
      </w:tr>
      <w:tr w14:paraId="6E818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noWrap w:val="0"/>
            <w:vAlign w:val="center"/>
          </w:tcPr>
          <w:p w14:paraId="326EAD4E">
            <w:pPr>
              <w:jc w:val="center"/>
              <w:rPr>
                <w:color w:val="000000"/>
                <w:kern w:val="0"/>
                <w:szCs w:val="21"/>
              </w:rPr>
            </w:pPr>
            <w:r>
              <w:rPr>
                <w:color w:val="000000"/>
                <w:kern w:val="0"/>
                <w:szCs w:val="21"/>
              </w:rPr>
              <w:t>5</w:t>
            </w:r>
          </w:p>
        </w:tc>
        <w:tc>
          <w:tcPr>
            <w:tcW w:w="1132" w:type="dxa"/>
            <w:noWrap w:val="0"/>
            <w:vAlign w:val="center"/>
          </w:tcPr>
          <w:p w14:paraId="7FFC85A5">
            <w:pPr>
              <w:jc w:val="center"/>
              <w:rPr>
                <w:rFonts w:eastAsia="楷体_GB2312"/>
                <w:color w:val="000000"/>
                <w:kern w:val="0"/>
                <w:szCs w:val="21"/>
              </w:rPr>
            </w:pPr>
            <w:r>
              <w:rPr>
                <w:rFonts w:eastAsia="楷体_GB2312"/>
                <w:color w:val="000000"/>
                <w:kern w:val="0"/>
                <w:szCs w:val="21"/>
              </w:rPr>
              <w:t>大店镇</w:t>
            </w:r>
          </w:p>
        </w:tc>
        <w:tc>
          <w:tcPr>
            <w:tcW w:w="850" w:type="dxa"/>
            <w:noWrap w:val="0"/>
            <w:vAlign w:val="center"/>
          </w:tcPr>
          <w:p w14:paraId="752DE23C">
            <w:pPr>
              <w:jc w:val="center"/>
              <w:rPr>
                <w:color w:val="000000"/>
                <w:kern w:val="0"/>
                <w:szCs w:val="21"/>
              </w:rPr>
            </w:pPr>
            <w:r>
              <w:rPr>
                <w:color w:val="000000"/>
                <w:kern w:val="0"/>
                <w:szCs w:val="21"/>
              </w:rPr>
              <w:t>1</w:t>
            </w:r>
          </w:p>
        </w:tc>
        <w:tc>
          <w:tcPr>
            <w:tcW w:w="2552" w:type="dxa"/>
            <w:noWrap w:val="0"/>
            <w:vAlign w:val="center"/>
          </w:tcPr>
          <w:p w14:paraId="13DCE03D">
            <w:pPr>
              <w:jc w:val="center"/>
              <w:rPr>
                <w:rFonts w:eastAsia="楷体_GB2312"/>
                <w:color w:val="000000"/>
                <w:kern w:val="0"/>
                <w:szCs w:val="21"/>
              </w:rPr>
            </w:pPr>
            <w:r>
              <w:rPr>
                <w:rFonts w:eastAsia="楷体_GB2312"/>
                <w:color w:val="000000"/>
                <w:kern w:val="0"/>
                <w:szCs w:val="21"/>
              </w:rPr>
              <w:t>大店镇卫生院</w:t>
            </w:r>
          </w:p>
        </w:tc>
        <w:tc>
          <w:tcPr>
            <w:tcW w:w="992" w:type="dxa"/>
            <w:noWrap/>
            <w:vAlign w:val="center"/>
          </w:tcPr>
          <w:p w14:paraId="163CEED9">
            <w:pPr>
              <w:jc w:val="center"/>
              <w:rPr>
                <w:color w:val="000000"/>
                <w:kern w:val="0"/>
                <w:szCs w:val="21"/>
              </w:rPr>
            </w:pPr>
            <w:r>
              <w:rPr>
                <w:color w:val="000000"/>
                <w:kern w:val="0"/>
                <w:szCs w:val="21"/>
              </w:rPr>
              <w:t>1.0000</w:t>
            </w:r>
          </w:p>
        </w:tc>
        <w:tc>
          <w:tcPr>
            <w:tcW w:w="567" w:type="dxa"/>
            <w:noWrap/>
            <w:vAlign w:val="center"/>
          </w:tcPr>
          <w:p w14:paraId="19F0B165">
            <w:pPr>
              <w:jc w:val="center"/>
              <w:rPr>
                <w:color w:val="000000"/>
                <w:kern w:val="0"/>
                <w:szCs w:val="21"/>
              </w:rPr>
            </w:pPr>
            <w:r>
              <w:rPr>
                <w:color w:val="000000"/>
                <w:kern w:val="0"/>
                <w:szCs w:val="21"/>
              </w:rPr>
              <w:t>1</w:t>
            </w:r>
          </w:p>
        </w:tc>
        <w:tc>
          <w:tcPr>
            <w:tcW w:w="709" w:type="dxa"/>
            <w:noWrap/>
            <w:vAlign w:val="center"/>
          </w:tcPr>
          <w:p w14:paraId="4F244A94">
            <w:pPr>
              <w:jc w:val="center"/>
              <w:rPr>
                <w:color w:val="000000"/>
                <w:kern w:val="0"/>
                <w:szCs w:val="21"/>
              </w:rPr>
            </w:pPr>
            <w:r>
              <w:rPr>
                <w:color w:val="000000"/>
                <w:kern w:val="0"/>
                <w:szCs w:val="21"/>
              </w:rPr>
              <w:t>100</w:t>
            </w:r>
          </w:p>
        </w:tc>
        <w:tc>
          <w:tcPr>
            <w:tcW w:w="1274" w:type="dxa"/>
            <w:noWrap/>
            <w:vAlign w:val="center"/>
          </w:tcPr>
          <w:p w14:paraId="6DD498C5">
            <w:pPr>
              <w:jc w:val="center"/>
              <w:rPr>
                <w:color w:val="000000"/>
                <w:kern w:val="0"/>
                <w:szCs w:val="21"/>
              </w:rPr>
            </w:pPr>
            <w:r>
              <w:rPr>
                <w:rFonts w:hint="eastAsia"/>
                <w:color w:val="000000"/>
                <w:kern w:val="0"/>
                <w:szCs w:val="21"/>
              </w:rPr>
              <w:t>2000</w:t>
            </w:r>
          </w:p>
        </w:tc>
      </w:tr>
      <w:tr w14:paraId="6D554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noWrap w:val="0"/>
            <w:vAlign w:val="center"/>
          </w:tcPr>
          <w:p w14:paraId="62AB1BE0">
            <w:pPr>
              <w:jc w:val="center"/>
              <w:rPr>
                <w:color w:val="000000"/>
                <w:kern w:val="0"/>
                <w:szCs w:val="21"/>
              </w:rPr>
            </w:pPr>
            <w:r>
              <w:rPr>
                <w:color w:val="000000"/>
                <w:kern w:val="0"/>
                <w:szCs w:val="21"/>
              </w:rPr>
              <w:t>6</w:t>
            </w:r>
          </w:p>
        </w:tc>
        <w:tc>
          <w:tcPr>
            <w:tcW w:w="1132" w:type="dxa"/>
            <w:noWrap w:val="0"/>
            <w:vAlign w:val="center"/>
          </w:tcPr>
          <w:p w14:paraId="1B1EFB45">
            <w:pPr>
              <w:jc w:val="center"/>
              <w:rPr>
                <w:rFonts w:eastAsia="楷体_GB2312"/>
                <w:color w:val="000000"/>
                <w:kern w:val="0"/>
                <w:szCs w:val="21"/>
              </w:rPr>
            </w:pPr>
            <w:r>
              <w:rPr>
                <w:rFonts w:eastAsia="楷体_GB2312"/>
                <w:color w:val="000000"/>
                <w:kern w:val="0"/>
                <w:szCs w:val="21"/>
              </w:rPr>
              <w:t>栏杆镇</w:t>
            </w:r>
          </w:p>
        </w:tc>
        <w:tc>
          <w:tcPr>
            <w:tcW w:w="850" w:type="dxa"/>
            <w:noWrap w:val="0"/>
            <w:vAlign w:val="center"/>
          </w:tcPr>
          <w:p w14:paraId="7DFCE55F">
            <w:pPr>
              <w:jc w:val="center"/>
              <w:rPr>
                <w:color w:val="000000"/>
                <w:kern w:val="0"/>
                <w:szCs w:val="21"/>
              </w:rPr>
            </w:pPr>
            <w:r>
              <w:rPr>
                <w:color w:val="000000"/>
                <w:kern w:val="0"/>
                <w:szCs w:val="21"/>
              </w:rPr>
              <w:t>1</w:t>
            </w:r>
          </w:p>
        </w:tc>
        <w:tc>
          <w:tcPr>
            <w:tcW w:w="2552" w:type="dxa"/>
            <w:noWrap w:val="0"/>
            <w:vAlign w:val="center"/>
          </w:tcPr>
          <w:p w14:paraId="046E0E20">
            <w:pPr>
              <w:jc w:val="center"/>
              <w:rPr>
                <w:rFonts w:eastAsia="楷体_GB2312"/>
                <w:color w:val="000000"/>
                <w:kern w:val="0"/>
                <w:szCs w:val="21"/>
              </w:rPr>
            </w:pPr>
            <w:r>
              <w:rPr>
                <w:rFonts w:eastAsia="楷体_GB2312"/>
                <w:color w:val="000000"/>
                <w:kern w:val="0"/>
                <w:szCs w:val="21"/>
              </w:rPr>
              <w:t>栏杆镇卫生院</w:t>
            </w:r>
          </w:p>
        </w:tc>
        <w:tc>
          <w:tcPr>
            <w:tcW w:w="992" w:type="dxa"/>
            <w:noWrap/>
            <w:vAlign w:val="center"/>
          </w:tcPr>
          <w:p w14:paraId="58711BB8">
            <w:pPr>
              <w:jc w:val="center"/>
              <w:rPr>
                <w:color w:val="000000"/>
                <w:kern w:val="0"/>
                <w:szCs w:val="21"/>
              </w:rPr>
            </w:pPr>
            <w:r>
              <w:rPr>
                <w:color w:val="000000"/>
                <w:kern w:val="0"/>
                <w:szCs w:val="21"/>
              </w:rPr>
              <w:t>1.0000</w:t>
            </w:r>
          </w:p>
        </w:tc>
        <w:tc>
          <w:tcPr>
            <w:tcW w:w="567" w:type="dxa"/>
            <w:noWrap/>
            <w:vAlign w:val="center"/>
          </w:tcPr>
          <w:p w14:paraId="355CFCAD">
            <w:pPr>
              <w:jc w:val="center"/>
              <w:rPr>
                <w:color w:val="000000"/>
                <w:kern w:val="0"/>
                <w:szCs w:val="21"/>
              </w:rPr>
            </w:pPr>
            <w:r>
              <w:rPr>
                <w:color w:val="000000"/>
                <w:kern w:val="0"/>
                <w:szCs w:val="21"/>
              </w:rPr>
              <w:t>1</w:t>
            </w:r>
          </w:p>
        </w:tc>
        <w:tc>
          <w:tcPr>
            <w:tcW w:w="709" w:type="dxa"/>
            <w:noWrap/>
            <w:vAlign w:val="center"/>
          </w:tcPr>
          <w:p w14:paraId="640790FD">
            <w:pPr>
              <w:jc w:val="center"/>
              <w:rPr>
                <w:color w:val="000000"/>
                <w:kern w:val="0"/>
                <w:szCs w:val="21"/>
              </w:rPr>
            </w:pPr>
            <w:r>
              <w:rPr>
                <w:color w:val="000000"/>
                <w:kern w:val="0"/>
                <w:szCs w:val="21"/>
              </w:rPr>
              <w:t>100</w:t>
            </w:r>
          </w:p>
        </w:tc>
        <w:tc>
          <w:tcPr>
            <w:tcW w:w="1274" w:type="dxa"/>
            <w:noWrap/>
            <w:vAlign w:val="center"/>
          </w:tcPr>
          <w:p w14:paraId="7C8C9BF4">
            <w:pPr>
              <w:jc w:val="center"/>
              <w:rPr>
                <w:color w:val="000000"/>
                <w:kern w:val="0"/>
                <w:szCs w:val="21"/>
              </w:rPr>
            </w:pPr>
            <w:r>
              <w:rPr>
                <w:rFonts w:hint="eastAsia"/>
                <w:color w:val="000000"/>
                <w:kern w:val="0"/>
                <w:szCs w:val="21"/>
              </w:rPr>
              <w:t>1500</w:t>
            </w:r>
          </w:p>
        </w:tc>
      </w:tr>
      <w:tr w14:paraId="3CEE1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noWrap w:val="0"/>
            <w:vAlign w:val="center"/>
          </w:tcPr>
          <w:p w14:paraId="72F41F13">
            <w:pPr>
              <w:jc w:val="center"/>
              <w:rPr>
                <w:color w:val="000000"/>
                <w:kern w:val="0"/>
                <w:szCs w:val="21"/>
              </w:rPr>
            </w:pPr>
            <w:r>
              <w:rPr>
                <w:color w:val="000000"/>
                <w:kern w:val="0"/>
                <w:szCs w:val="21"/>
              </w:rPr>
              <w:t>7</w:t>
            </w:r>
          </w:p>
        </w:tc>
        <w:tc>
          <w:tcPr>
            <w:tcW w:w="1132" w:type="dxa"/>
            <w:noWrap w:val="0"/>
            <w:vAlign w:val="center"/>
          </w:tcPr>
          <w:p w14:paraId="72B626EE">
            <w:pPr>
              <w:jc w:val="center"/>
              <w:rPr>
                <w:rFonts w:eastAsia="楷体_GB2312"/>
                <w:color w:val="000000"/>
                <w:kern w:val="0"/>
                <w:szCs w:val="21"/>
              </w:rPr>
            </w:pPr>
            <w:r>
              <w:rPr>
                <w:rFonts w:eastAsia="楷体_GB2312"/>
                <w:color w:val="000000"/>
                <w:kern w:val="0"/>
                <w:szCs w:val="21"/>
              </w:rPr>
              <w:t>时村镇</w:t>
            </w:r>
          </w:p>
        </w:tc>
        <w:tc>
          <w:tcPr>
            <w:tcW w:w="850" w:type="dxa"/>
            <w:noWrap w:val="0"/>
            <w:vAlign w:val="center"/>
          </w:tcPr>
          <w:p w14:paraId="0194BBE3">
            <w:pPr>
              <w:jc w:val="center"/>
              <w:rPr>
                <w:color w:val="000000"/>
                <w:kern w:val="0"/>
                <w:szCs w:val="21"/>
              </w:rPr>
            </w:pPr>
            <w:r>
              <w:rPr>
                <w:color w:val="000000"/>
                <w:kern w:val="0"/>
                <w:szCs w:val="21"/>
              </w:rPr>
              <w:t>1</w:t>
            </w:r>
          </w:p>
        </w:tc>
        <w:tc>
          <w:tcPr>
            <w:tcW w:w="2552" w:type="dxa"/>
            <w:noWrap w:val="0"/>
            <w:vAlign w:val="center"/>
          </w:tcPr>
          <w:p w14:paraId="379F8C6A">
            <w:pPr>
              <w:jc w:val="center"/>
              <w:rPr>
                <w:rFonts w:eastAsia="楷体_GB2312"/>
                <w:color w:val="000000"/>
                <w:kern w:val="0"/>
                <w:szCs w:val="21"/>
              </w:rPr>
            </w:pPr>
            <w:r>
              <w:rPr>
                <w:rFonts w:eastAsia="楷体_GB2312"/>
                <w:color w:val="000000"/>
                <w:kern w:val="0"/>
                <w:szCs w:val="21"/>
              </w:rPr>
              <w:t>时村镇卫生院</w:t>
            </w:r>
          </w:p>
        </w:tc>
        <w:tc>
          <w:tcPr>
            <w:tcW w:w="992" w:type="dxa"/>
            <w:noWrap/>
            <w:vAlign w:val="center"/>
          </w:tcPr>
          <w:p w14:paraId="2BE32057">
            <w:pPr>
              <w:jc w:val="center"/>
              <w:rPr>
                <w:color w:val="000000"/>
                <w:kern w:val="0"/>
                <w:szCs w:val="21"/>
              </w:rPr>
            </w:pPr>
            <w:r>
              <w:rPr>
                <w:color w:val="000000"/>
                <w:kern w:val="0"/>
                <w:szCs w:val="21"/>
              </w:rPr>
              <w:t>1.0000</w:t>
            </w:r>
          </w:p>
        </w:tc>
        <w:tc>
          <w:tcPr>
            <w:tcW w:w="567" w:type="dxa"/>
            <w:noWrap/>
            <w:vAlign w:val="center"/>
          </w:tcPr>
          <w:p w14:paraId="71A67AED">
            <w:pPr>
              <w:jc w:val="center"/>
              <w:rPr>
                <w:color w:val="000000"/>
                <w:kern w:val="0"/>
                <w:szCs w:val="21"/>
              </w:rPr>
            </w:pPr>
            <w:r>
              <w:rPr>
                <w:color w:val="000000"/>
                <w:kern w:val="0"/>
                <w:szCs w:val="21"/>
              </w:rPr>
              <w:t>1</w:t>
            </w:r>
          </w:p>
        </w:tc>
        <w:tc>
          <w:tcPr>
            <w:tcW w:w="709" w:type="dxa"/>
            <w:noWrap/>
            <w:vAlign w:val="center"/>
          </w:tcPr>
          <w:p w14:paraId="0D4DC694">
            <w:pPr>
              <w:jc w:val="center"/>
              <w:rPr>
                <w:color w:val="000000"/>
                <w:kern w:val="0"/>
                <w:szCs w:val="21"/>
              </w:rPr>
            </w:pPr>
            <w:r>
              <w:rPr>
                <w:color w:val="000000"/>
                <w:kern w:val="0"/>
                <w:szCs w:val="21"/>
              </w:rPr>
              <w:t>100</w:t>
            </w:r>
          </w:p>
        </w:tc>
        <w:tc>
          <w:tcPr>
            <w:tcW w:w="1274" w:type="dxa"/>
            <w:noWrap/>
            <w:vAlign w:val="center"/>
          </w:tcPr>
          <w:p w14:paraId="141A86E6">
            <w:pPr>
              <w:jc w:val="center"/>
              <w:rPr>
                <w:color w:val="000000"/>
                <w:kern w:val="0"/>
                <w:szCs w:val="21"/>
              </w:rPr>
            </w:pPr>
            <w:r>
              <w:rPr>
                <w:rFonts w:hint="eastAsia"/>
                <w:color w:val="000000"/>
                <w:kern w:val="0"/>
                <w:szCs w:val="21"/>
              </w:rPr>
              <w:t>1600</w:t>
            </w:r>
          </w:p>
        </w:tc>
      </w:tr>
      <w:tr w14:paraId="68674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noWrap w:val="0"/>
            <w:vAlign w:val="center"/>
          </w:tcPr>
          <w:p w14:paraId="2435358F">
            <w:pPr>
              <w:jc w:val="center"/>
              <w:rPr>
                <w:color w:val="000000"/>
                <w:kern w:val="0"/>
                <w:szCs w:val="21"/>
              </w:rPr>
            </w:pPr>
            <w:r>
              <w:rPr>
                <w:color w:val="000000"/>
                <w:kern w:val="0"/>
                <w:szCs w:val="21"/>
              </w:rPr>
              <w:t>8</w:t>
            </w:r>
          </w:p>
        </w:tc>
        <w:tc>
          <w:tcPr>
            <w:tcW w:w="1132" w:type="dxa"/>
            <w:noWrap w:val="0"/>
            <w:vAlign w:val="center"/>
          </w:tcPr>
          <w:p w14:paraId="6DCBF775">
            <w:pPr>
              <w:jc w:val="center"/>
              <w:rPr>
                <w:rFonts w:eastAsia="楷体_GB2312"/>
                <w:color w:val="000000"/>
                <w:kern w:val="0"/>
                <w:szCs w:val="21"/>
              </w:rPr>
            </w:pPr>
            <w:r>
              <w:rPr>
                <w:rFonts w:eastAsia="楷体_GB2312"/>
                <w:color w:val="000000"/>
                <w:kern w:val="0"/>
                <w:szCs w:val="21"/>
              </w:rPr>
              <w:t>夹沟镇</w:t>
            </w:r>
          </w:p>
        </w:tc>
        <w:tc>
          <w:tcPr>
            <w:tcW w:w="850" w:type="dxa"/>
            <w:noWrap w:val="0"/>
            <w:vAlign w:val="center"/>
          </w:tcPr>
          <w:p w14:paraId="4545F45E">
            <w:pPr>
              <w:jc w:val="center"/>
              <w:rPr>
                <w:color w:val="000000"/>
                <w:kern w:val="0"/>
                <w:szCs w:val="21"/>
              </w:rPr>
            </w:pPr>
            <w:r>
              <w:rPr>
                <w:color w:val="000000"/>
                <w:kern w:val="0"/>
                <w:szCs w:val="21"/>
              </w:rPr>
              <w:t>1</w:t>
            </w:r>
          </w:p>
        </w:tc>
        <w:tc>
          <w:tcPr>
            <w:tcW w:w="2552" w:type="dxa"/>
            <w:noWrap w:val="0"/>
            <w:vAlign w:val="center"/>
          </w:tcPr>
          <w:p w14:paraId="220F6F67">
            <w:pPr>
              <w:jc w:val="center"/>
              <w:rPr>
                <w:rFonts w:eastAsia="楷体_GB2312"/>
                <w:color w:val="000000"/>
                <w:kern w:val="0"/>
                <w:szCs w:val="21"/>
              </w:rPr>
            </w:pPr>
            <w:r>
              <w:rPr>
                <w:rFonts w:eastAsia="楷体_GB2312"/>
                <w:color w:val="000000"/>
                <w:kern w:val="0"/>
                <w:szCs w:val="21"/>
              </w:rPr>
              <w:t>夹沟镇卫生院</w:t>
            </w:r>
          </w:p>
        </w:tc>
        <w:tc>
          <w:tcPr>
            <w:tcW w:w="992" w:type="dxa"/>
            <w:noWrap/>
            <w:vAlign w:val="center"/>
          </w:tcPr>
          <w:p w14:paraId="657A1E72">
            <w:pPr>
              <w:jc w:val="center"/>
              <w:rPr>
                <w:color w:val="000000"/>
                <w:kern w:val="0"/>
                <w:szCs w:val="21"/>
              </w:rPr>
            </w:pPr>
            <w:r>
              <w:rPr>
                <w:color w:val="000000"/>
                <w:kern w:val="0"/>
                <w:szCs w:val="21"/>
              </w:rPr>
              <w:t>1.0000</w:t>
            </w:r>
          </w:p>
        </w:tc>
        <w:tc>
          <w:tcPr>
            <w:tcW w:w="567" w:type="dxa"/>
            <w:noWrap/>
            <w:vAlign w:val="center"/>
          </w:tcPr>
          <w:p w14:paraId="3BB5C7F2">
            <w:pPr>
              <w:jc w:val="center"/>
              <w:rPr>
                <w:color w:val="000000"/>
                <w:kern w:val="0"/>
                <w:szCs w:val="21"/>
              </w:rPr>
            </w:pPr>
            <w:r>
              <w:rPr>
                <w:color w:val="000000"/>
                <w:kern w:val="0"/>
                <w:szCs w:val="21"/>
              </w:rPr>
              <w:t>1</w:t>
            </w:r>
          </w:p>
        </w:tc>
        <w:tc>
          <w:tcPr>
            <w:tcW w:w="709" w:type="dxa"/>
            <w:noWrap/>
            <w:vAlign w:val="center"/>
          </w:tcPr>
          <w:p w14:paraId="09D32C06">
            <w:pPr>
              <w:jc w:val="center"/>
              <w:rPr>
                <w:color w:val="000000"/>
                <w:kern w:val="0"/>
                <w:szCs w:val="21"/>
              </w:rPr>
            </w:pPr>
            <w:r>
              <w:rPr>
                <w:color w:val="000000"/>
                <w:kern w:val="0"/>
                <w:szCs w:val="21"/>
              </w:rPr>
              <w:t>100</w:t>
            </w:r>
          </w:p>
        </w:tc>
        <w:tc>
          <w:tcPr>
            <w:tcW w:w="1274" w:type="dxa"/>
            <w:noWrap/>
            <w:vAlign w:val="center"/>
          </w:tcPr>
          <w:p w14:paraId="7B4EE3E5">
            <w:pPr>
              <w:jc w:val="center"/>
              <w:rPr>
                <w:color w:val="000000"/>
                <w:kern w:val="0"/>
                <w:szCs w:val="21"/>
              </w:rPr>
            </w:pPr>
            <w:r>
              <w:rPr>
                <w:rFonts w:hint="eastAsia"/>
                <w:color w:val="000000"/>
                <w:kern w:val="0"/>
                <w:szCs w:val="21"/>
              </w:rPr>
              <w:t>2200</w:t>
            </w:r>
          </w:p>
        </w:tc>
      </w:tr>
      <w:tr w14:paraId="32BF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noWrap w:val="0"/>
            <w:vAlign w:val="center"/>
          </w:tcPr>
          <w:p w14:paraId="6E0AA7ED">
            <w:pPr>
              <w:jc w:val="center"/>
              <w:rPr>
                <w:color w:val="000000"/>
                <w:kern w:val="0"/>
                <w:szCs w:val="21"/>
              </w:rPr>
            </w:pPr>
            <w:r>
              <w:rPr>
                <w:color w:val="000000"/>
                <w:kern w:val="0"/>
                <w:szCs w:val="21"/>
              </w:rPr>
              <w:t>9</w:t>
            </w:r>
          </w:p>
        </w:tc>
        <w:tc>
          <w:tcPr>
            <w:tcW w:w="1132" w:type="dxa"/>
            <w:noWrap w:val="0"/>
            <w:vAlign w:val="center"/>
          </w:tcPr>
          <w:p w14:paraId="4F3DB023">
            <w:pPr>
              <w:jc w:val="center"/>
              <w:rPr>
                <w:rFonts w:eastAsia="楷体_GB2312"/>
                <w:color w:val="000000"/>
                <w:kern w:val="0"/>
                <w:szCs w:val="21"/>
              </w:rPr>
            </w:pPr>
            <w:r>
              <w:rPr>
                <w:rFonts w:eastAsia="楷体_GB2312"/>
                <w:color w:val="000000"/>
                <w:kern w:val="0"/>
                <w:szCs w:val="21"/>
              </w:rPr>
              <w:t>西二铺乡</w:t>
            </w:r>
          </w:p>
        </w:tc>
        <w:tc>
          <w:tcPr>
            <w:tcW w:w="850" w:type="dxa"/>
            <w:noWrap w:val="0"/>
            <w:vAlign w:val="center"/>
          </w:tcPr>
          <w:p w14:paraId="4EDE6945">
            <w:pPr>
              <w:jc w:val="center"/>
              <w:rPr>
                <w:color w:val="000000"/>
                <w:kern w:val="0"/>
                <w:szCs w:val="21"/>
              </w:rPr>
            </w:pPr>
            <w:r>
              <w:rPr>
                <w:color w:val="000000"/>
                <w:kern w:val="0"/>
                <w:szCs w:val="21"/>
              </w:rPr>
              <w:t>1</w:t>
            </w:r>
          </w:p>
        </w:tc>
        <w:tc>
          <w:tcPr>
            <w:tcW w:w="2552" w:type="dxa"/>
            <w:noWrap w:val="0"/>
            <w:vAlign w:val="center"/>
          </w:tcPr>
          <w:p w14:paraId="54F15470">
            <w:pPr>
              <w:jc w:val="center"/>
              <w:rPr>
                <w:rFonts w:eastAsia="楷体_GB2312"/>
                <w:color w:val="000000"/>
                <w:kern w:val="0"/>
                <w:szCs w:val="21"/>
              </w:rPr>
            </w:pPr>
            <w:r>
              <w:rPr>
                <w:rFonts w:eastAsia="楷体_GB2312"/>
                <w:color w:val="000000"/>
                <w:kern w:val="0"/>
                <w:szCs w:val="21"/>
              </w:rPr>
              <w:t>西二铺乡卫生院</w:t>
            </w:r>
          </w:p>
        </w:tc>
        <w:tc>
          <w:tcPr>
            <w:tcW w:w="992" w:type="dxa"/>
            <w:noWrap/>
            <w:vAlign w:val="center"/>
          </w:tcPr>
          <w:p w14:paraId="1F117ABB">
            <w:pPr>
              <w:jc w:val="center"/>
              <w:rPr>
                <w:color w:val="000000"/>
                <w:kern w:val="0"/>
                <w:szCs w:val="21"/>
              </w:rPr>
            </w:pPr>
            <w:r>
              <w:rPr>
                <w:color w:val="000000"/>
                <w:kern w:val="0"/>
                <w:szCs w:val="21"/>
              </w:rPr>
              <w:t>1.0000</w:t>
            </w:r>
          </w:p>
        </w:tc>
        <w:tc>
          <w:tcPr>
            <w:tcW w:w="567" w:type="dxa"/>
            <w:noWrap/>
            <w:vAlign w:val="center"/>
          </w:tcPr>
          <w:p w14:paraId="53D1F0D1">
            <w:pPr>
              <w:jc w:val="center"/>
              <w:rPr>
                <w:color w:val="000000"/>
                <w:kern w:val="0"/>
                <w:szCs w:val="21"/>
              </w:rPr>
            </w:pPr>
            <w:r>
              <w:rPr>
                <w:color w:val="000000"/>
                <w:kern w:val="0"/>
                <w:szCs w:val="21"/>
              </w:rPr>
              <w:t>1</w:t>
            </w:r>
          </w:p>
        </w:tc>
        <w:tc>
          <w:tcPr>
            <w:tcW w:w="709" w:type="dxa"/>
            <w:noWrap/>
            <w:vAlign w:val="center"/>
          </w:tcPr>
          <w:p w14:paraId="7CFB689E">
            <w:pPr>
              <w:jc w:val="center"/>
              <w:rPr>
                <w:color w:val="000000"/>
                <w:kern w:val="0"/>
                <w:szCs w:val="21"/>
              </w:rPr>
            </w:pPr>
            <w:r>
              <w:rPr>
                <w:color w:val="000000"/>
                <w:kern w:val="0"/>
                <w:szCs w:val="21"/>
              </w:rPr>
              <w:t>100</w:t>
            </w:r>
          </w:p>
        </w:tc>
        <w:tc>
          <w:tcPr>
            <w:tcW w:w="1274" w:type="dxa"/>
            <w:noWrap/>
            <w:vAlign w:val="center"/>
          </w:tcPr>
          <w:p w14:paraId="747DBAB7">
            <w:pPr>
              <w:jc w:val="center"/>
              <w:rPr>
                <w:color w:val="000000"/>
                <w:kern w:val="0"/>
                <w:szCs w:val="21"/>
              </w:rPr>
            </w:pPr>
            <w:r>
              <w:rPr>
                <w:rFonts w:hint="eastAsia"/>
                <w:color w:val="000000"/>
                <w:kern w:val="0"/>
                <w:szCs w:val="21"/>
              </w:rPr>
              <w:t>1600</w:t>
            </w:r>
          </w:p>
        </w:tc>
      </w:tr>
      <w:tr w14:paraId="4A1A4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noWrap w:val="0"/>
            <w:vAlign w:val="center"/>
          </w:tcPr>
          <w:p w14:paraId="6DB11092">
            <w:pPr>
              <w:jc w:val="center"/>
              <w:rPr>
                <w:color w:val="000000"/>
                <w:kern w:val="0"/>
                <w:szCs w:val="21"/>
              </w:rPr>
            </w:pPr>
            <w:r>
              <w:rPr>
                <w:color w:val="000000"/>
                <w:kern w:val="0"/>
                <w:szCs w:val="21"/>
              </w:rPr>
              <w:t>10</w:t>
            </w:r>
          </w:p>
        </w:tc>
        <w:tc>
          <w:tcPr>
            <w:tcW w:w="1132" w:type="dxa"/>
            <w:noWrap w:val="0"/>
            <w:vAlign w:val="center"/>
          </w:tcPr>
          <w:p w14:paraId="30924704">
            <w:pPr>
              <w:jc w:val="center"/>
              <w:rPr>
                <w:rFonts w:eastAsia="楷体_GB2312"/>
                <w:color w:val="000000"/>
                <w:kern w:val="0"/>
                <w:szCs w:val="21"/>
              </w:rPr>
            </w:pPr>
            <w:r>
              <w:rPr>
                <w:rFonts w:eastAsia="楷体_GB2312"/>
                <w:color w:val="000000"/>
                <w:kern w:val="0"/>
                <w:szCs w:val="21"/>
              </w:rPr>
              <w:t>桃园镇</w:t>
            </w:r>
          </w:p>
        </w:tc>
        <w:tc>
          <w:tcPr>
            <w:tcW w:w="850" w:type="dxa"/>
            <w:noWrap w:val="0"/>
            <w:vAlign w:val="center"/>
          </w:tcPr>
          <w:p w14:paraId="48957266">
            <w:pPr>
              <w:jc w:val="center"/>
              <w:rPr>
                <w:color w:val="000000"/>
                <w:kern w:val="0"/>
                <w:szCs w:val="21"/>
              </w:rPr>
            </w:pPr>
            <w:r>
              <w:rPr>
                <w:color w:val="000000"/>
                <w:kern w:val="0"/>
                <w:szCs w:val="21"/>
              </w:rPr>
              <w:t>1</w:t>
            </w:r>
          </w:p>
        </w:tc>
        <w:tc>
          <w:tcPr>
            <w:tcW w:w="2552" w:type="dxa"/>
            <w:noWrap w:val="0"/>
            <w:vAlign w:val="center"/>
          </w:tcPr>
          <w:p w14:paraId="7B108A05">
            <w:pPr>
              <w:jc w:val="center"/>
              <w:rPr>
                <w:rFonts w:eastAsia="楷体_GB2312"/>
                <w:color w:val="000000"/>
                <w:kern w:val="0"/>
                <w:szCs w:val="21"/>
              </w:rPr>
            </w:pPr>
            <w:r>
              <w:rPr>
                <w:rFonts w:eastAsia="楷体_GB2312"/>
                <w:color w:val="000000"/>
                <w:kern w:val="0"/>
                <w:szCs w:val="21"/>
              </w:rPr>
              <w:t>淮北矿工医院桃园分院</w:t>
            </w:r>
          </w:p>
        </w:tc>
        <w:tc>
          <w:tcPr>
            <w:tcW w:w="992" w:type="dxa"/>
            <w:noWrap/>
            <w:vAlign w:val="center"/>
          </w:tcPr>
          <w:p w14:paraId="7DA018B8">
            <w:pPr>
              <w:jc w:val="center"/>
              <w:rPr>
                <w:color w:val="000000"/>
                <w:kern w:val="0"/>
                <w:szCs w:val="21"/>
              </w:rPr>
            </w:pPr>
            <w:r>
              <w:rPr>
                <w:color w:val="000000"/>
                <w:kern w:val="0"/>
                <w:szCs w:val="21"/>
              </w:rPr>
              <w:t>1.0000</w:t>
            </w:r>
          </w:p>
        </w:tc>
        <w:tc>
          <w:tcPr>
            <w:tcW w:w="567" w:type="dxa"/>
            <w:noWrap/>
            <w:vAlign w:val="center"/>
          </w:tcPr>
          <w:p w14:paraId="5A3BE0FC">
            <w:pPr>
              <w:jc w:val="center"/>
              <w:rPr>
                <w:color w:val="000000"/>
                <w:kern w:val="0"/>
                <w:szCs w:val="21"/>
              </w:rPr>
            </w:pPr>
            <w:r>
              <w:rPr>
                <w:color w:val="000000"/>
                <w:kern w:val="0"/>
                <w:szCs w:val="21"/>
              </w:rPr>
              <w:t>1</w:t>
            </w:r>
          </w:p>
        </w:tc>
        <w:tc>
          <w:tcPr>
            <w:tcW w:w="709" w:type="dxa"/>
            <w:noWrap/>
            <w:vAlign w:val="center"/>
          </w:tcPr>
          <w:p w14:paraId="6D63EC4C">
            <w:pPr>
              <w:jc w:val="center"/>
              <w:rPr>
                <w:color w:val="000000"/>
                <w:kern w:val="0"/>
                <w:szCs w:val="21"/>
              </w:rPr>
            </w:pPr>
            <w:r>
              <w:rPr>
                <w:color w:val="000000"/>
                <w:kern w:val="0"/>
                <w:szCs w:val="21"/>
              </w:rPr>
              <w:t>100</w:t>
            </w:r>
          </w:p>
        </w:tc>
        <w:tc>
          <w:tcPr>
            <w:tcW w:w="1274" w:type="dxa"/>
            <w:noWrap/>
            <w:vAlign w:val="center"/>
          </w:tcPr>
          <w:p w14:paraId="57E6A5A9">
            <w:pPr>
              <w:jc w:val="center"/>
              <w:rPr>
                <w:color w:val="000000"/>
                <w:kern w:val="0"/>
                <w:szCs w:val="21"/>
              </w:rPr>
            </w:pPr>
            <w:r>
              <w:rPr>
                <w:rFonts w:hint="eastAsia"/>
                <w:color w:val="000000"/>
                <w:kern w:val="0"/>
                <w:szCs w:val="21"/>
              </w:rPr>
              <w:t>2000</w:t>
            </w:r>
          </w:p>
        </w:tc>
      </w:tr>
      <w:tr w14:paraId="3BE4F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noWrap w:val="0"/>
            <w:vAlign w:val="center"/>
          </w:tcPr>
          <w:p w14:paraId="28313CD5">
            <w:pPr>
              <w:jc w:val="center"/>
              <w:rPr>
                <w:color w:val="000000"/>
                <w:kern w:val="0"/>
                <w:szCs w:val="21"/>
              </w:rPr>
            </w:pPr>
            <w:r>
              <w:rPr>
                <w:color w:val="000000"/>
                <w:kern w:val="0"/>
                <w:szCs w:val="21"/>
              </w:rPr>
              <w:t>11</w:t>
            </w:r>
          </w:p>
        </w:tc>
        <w:tc>
          <w:tcPr>
            <w:tcW w:w="1132" w:type="dxa"/>
            <w:noWrap w:val="0"/>
            <w:vAlign w:val="center"/>
          </w:tcPr>
          <w:p w14:paraId="4040FC7D">
            <w:pPr>
              <w:jc w:val="center"/>
              <w:rPr>
                <w:rFonts w:eastAsia="楷体_GB2312"/>
                <w:color w:val="000000"/>
                <w:kern w:val="0"/>
                <w:szCs w:val="21"/>
              </w:rPr>
            </w:pPr>
            <w:r>
              <w:rPr>
                <w:rFonts w:eastAsia="楷体_GB2312"/>
                <w:color w:val="000000"/>
                <w:kern w:val="0"/>
                <w:szCs w:val="21"/>
              </w:rPr>
              <w:t>曹村镇</w:t>
            </w:r>
          </w:p>
        </w:tc>
        <w:tc>
          <w:tcPr>
            <w:tcW w:w="850" w:type="dxa"/>
            <w:noWrap w:val="0"/>
            <w:vAlign w:val="center"/>
          </w:tcPr>
          <w:p w14:paraId="117B729F">
            <w:pPr>
              <w:jc w:val="center"/>
              <w:rPr>
                <w:color w:val="000000"/>
                <w:kern w:val="0"/>
                <w:szCs w:val="21"/>
              </w:rPr>
            </w:pPr>
            <w:r>
              <w:rPr>
                <w:color w:val="000000"/>
                <w:kern w:val="0"/>
                <w:szCs w:val="21"/>
              </w:rPr>
              <w:t>1</w:t>
            </w:r>
          </w:p>
        </w:tc>
        <w:tc>
          <w:tcPr>
            <w:tcW w:w="2552" w:type="dxa"/>
            <w:noWrap w:val="0"/>
            <w:vAlign w:val="center"/>
          </w:tcPr>
          <w:p w14:paraId="18683FF7">
            <w:pPr>
              <w:jc w:val="center"/>
              <w:rPr>
                <w:rFonts w:eastAsia="楷体_GB2312"/>
                <w:color w:val="000000"/>
                <w:kern w:val="0"/>
                <w:szCs w:val="21"/>
              </w:rPr>
            </w:pPr>
            <w:r>
              <w:rPr>
                <w:rFonts w:eastAsia="楷体_GB2312"/>
                <w:color w:val="000000"/>
                <w:kern w:val="0"/>
                <w:szCs w:val="21"/>
              </w:rPr>
              <w:t>曹村镇卫生院</w:t>
            </w:r>
          </w:p>
        </w:tc>
        <w:tc>
          <w:tcPr>
            <w:tcW w:w="992" w:type="dxa"/>
            <w:noWrap/>
            <w:vAlign w:val="center"/>
          </w:tcPr>
          <w:p w14:paraId="7773A7F8">
            <w:pPr>
              <w:jc w:val="center"/>
              <w:rPr>
                <w:color w:val="000000"/>
                <w:kern w:val="0"/>
                <w:szCs w:val="21"/>
              </w:rPr>
            </w:pPr>
            <w:r>
              <w:rPr>
                <w:color w:val="000000"/>
                <w:kern w:val="0"/>
                <w:szCs w:val="21"/>
              </w:rPr>
              <w:t>1.0000</w:t>
            </w:r>
          </w:p>
        </w:tc>
        <w:tc>
          <w:tcPr>
            <w:tcW w:w="567" w:type="dxa"/>
            <w:noWrap/>
            <w:vAlign w:val="center"/>
          </w:tcPr>
          <w:p w14:paraId="5A565495">
            <w:pPr>
              <w:jc w:val="center"/>
              <w:rPr>
                <w:color w:val="000000"/>
                <w:kern w:val="0"/>
                <w:szCs w:val="21"/>
              </w:rPr>
            </w:pPr>
            <w:r>
              <w:rPr>
                <w:color w:val="000000"/>
                <w:kern w:val="0"/>
                <w:szCs w:val="21"/>
              </w:rPr>
              <w:t>1</w:t>
            </w:r>
          </w:p>
        </w:tc>
        <w:tc>
          <w:tcPr>
            <w:tcW w:w="709" w:type="dxa"/>
            <w:noWrap/>
            <w:vAlign w:val="center"/>
          </w:tcPr>
          <w:p w14:paraId="7105FB6F">
            <w:pPr>
              <w:jc w:val="center"/>
              <w:rPr>
                <w:color w:val="000000"/>
                <w:kern w:val="0"/>
                <w:szCs w:val="21"/>
              </w:rPr>
            </w:pPr>
            <w:r>
              <w:rPr>
                <w:color w:val="000000"/>
                <w:kern w:val="0"/>
                <w:szCs w:val="21"/>
              </w:rPr>
              <w:t>100</w:t>
            </w:r>
          </w:p>
        </w:tc>
        <w:tc>
          <w:tcPr>
            <w:tcW w:w="1274" w:type="dxa"/>
            <w:noWrap/>
            <w:vAlign w:val="center"/>
          </w:tcPr>
          <w:p w14:paraId="2EFF95D8">
            <w:pPr>
              <w:jc w:val="center"/>
              <w:rPr>
                <w:color w:val="000000"/>
                <w:kern w:val="0"/>
                <w:szCs w:val="21"/>
              </w:rPr>
            </w:pPr>
            <w:r>
              <w:rPr>
                <w:rFonts w:hint="eastAsia"/>
                <w:color w:val="000000"/>
                <w:kern w:val="0"/>
                <w:szCs w:val="21"/>
              </w:rPr>
              <w:t>3000</w:t>
            </w:r>
          </w:p>
        </w:tc>
      </w:tr>
      <w:tr w14:paraId="6D77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noWrap w:val="0"/>
            <w:vAlign w:val="center"/>
          </w:tcPr>
          <w:p w14:paraId="0C6B311B">
            <w:pPr>
              <w:jc w:val="center"/>
              <w:rPr>
                <w:color w:val="000000"/>
                <w:kern w:val="0"/>
                <w:szCs w:val="21"/>
              </w:rPr>
            </w:pPr>
            <w:r>
              <w:rPr>
                <w:color w:val="000000"/>
                <w:kern w:val="0"/>
                <w:szCs w:val="21"/>
              </w:rPr>
              <w:t>12</w:t>
            </w:r>
          </w:p>
        </w:tc>
        <w:tc>
          <w:tcPr>
            <w:tcW w:w="1132" w:type="dxa"/>
            <w:noWrap w:val="0"/>
            <w:vAlign w:val="center"/>
          </w:tcPr>
          <w:p w14:paraId="21B7CA5C">
            <w:pPr>
              <w:jc w:val="center"/>
              <w:rPr>
                <w:rFonts w:eastAsia="楷体_GB2312"/>
                <w:color w:val="000000"/>
                <w:kern w:val="0"/>
                <w:szCs w:val="21"/>
              </w:rPr>
            </w:pPr>
            <w:r>
              <w:rPr>
                <w:rFonts w:eastAsia="楷体_GB2312"/>
                <w:color w:val="000000"/>
                <w:kern w:val="0"/>
                <w:szCs w:val="21"/>
              </w:rPr>
              <w:t>大营镇</w:t>
            </w:r>
          </w:p>
        </w:tc>
        <w:tc>
          <w:tcPr>
            <w:tcW w:w="850" w:type="dxa"/>
            <w:noWrap w:val="0"/>
            <w:vAlign w:val="center"/>
          </w:tcPr>
          <w:p w14:paraId="0CA32063">
            <w:pPr>
              <w:jc w:val="center"/>
              <w:rPr>
                <w:color w:val="000000"/>
                <w:kern w:val="0"/>
                <w:szCs w:val="21"/>
              </w:rPr>
            </w:pPr>
            <w:r>
              <w:rPr>
                <w:color w:val="000000"/>
                <w:kern w:val="0"/>
                <w:szCs w:val="21"/>
              </w:rPr>
              <w:t>1</w:t>
            </w:r>
          </w:p>
        </w:tc>
        <w:tc>
          <w:tcPr>
            <w:tcW w:w="2552" w:type="dxa"/>
            <w:noWrap w:val="0"/>
            <w:vAlign w:val="center"/>
          </w:tcPr>
          <w:p w14:paraId="6B4DADEF">
            <w:pPr>
              <w:jc w:val="center"/>
              <w:rPr>
                <w:rFonts w:eastAsia="楷体_GB2312"/>
                <w:color w:val="000000"/>
                <w:kern w:val="0"/>
                <w:szCs w:val="21"/>
              </w:rPr>
            </w:pPr>
            <w:r>
              <w:rPr>
                <w:rFonts w:eastAsia="楷体_GB2312"/>
                <w:color w:val="000000"/>
                <w:kern w:val="0"/>
                <w:szCs w:val="21"/>
              </w:rPr>
              <w:t>大营镇卫生院</w:t>
            </w:r>
          </w:p>
        </w:tc>
        <w:tc>
          <w:tcPr>
            <w:tcW w:w="992" w:type="dxa"/>
            <w:noWrap/>
            <w:vAlign w:val="center"/>
          </w:tcPr>
          <w:p w14:paraId="1A55B854">
            <w:pPr>
              <w:jc w:val="center"/>
              <w:rPr>
                <w:color w:val="000000"/>
                <w:kern w:val="0"/>
                <w:szCs w:val="21"/>
              </w:rPr>
            </w:pPr>
            <w:r>
              <w:rPr>
                <w:color w:val="000000"/>
                <w:kern w:val="0"/>
                <w:szCs w:val="21"/>
              </w:rPr>
              <w:t>1.0000</w:t>
            </w:r>
          </w:p>
        </w:tc>
        <w:tc>
          <w:tcPr>
            <w:tcW w:w="567" w:type="dxa"/>
            <w:noWrap/>
            <w:vAlign w:val="center"/>
          </w:tcPr>
          <w:p w14:paraId="7DFA5D55">
            <w:pPr>
              <w:jc w:val="center"/>
              <w:rPr>
                <w:color w:val="000000"/>
                <w:kern w:val="0"/>
                <w:szCs w:val="21"/>
              </w:rPr>
            </w:pPr>
            <w:r>
              <w:rPr>
                <w:color w:val="000000"/>
                <w:kern w:val="0"/>
                <w:szCs w:val="21"/>
              </w:rPr>
              <w:t>1</w:t>
            </w:r>
          </w:p>
        </w:tc>
        <w:tc>
          <w:tcPr>
            <w:tcW w:w="709" w:type="dxa"/>
            <w:noWrap/>
            <w:vAlign w:val="center"/>
          </w:tcPr>
          <w:p w14:paraId="030C9471">
            <w:pPr>
              <w:jc w:val="center"/>
              <w:rPr>
                <w:color w:val="000000"/>
                <w:kern w:val="0"/>
                <w:szCs w:val="21"/>
              </w:rPr>
            </w:pPr>
            <w:r>
              <w:rPr>
                <w:color w:val="000000"/>
                <w:kern w:val="0"/>
                <w:szCs w:val="21"/>
              </w:rPr>
              <w:t>100</w:t>
            </w:r>
          </w:p>
        </w:tc>
        <w:tc>
          <w:tcPr>
            <w:tcW w:w="1274" w:type="dxa"/>
            <w:noWrap/>
            <w:vAlign w:val="center"/>
          </w:tcPr>
          <w:p w14:paraId="4C2EB234">
            <w:pPr>
              <w:jc w:val="center"/>
              <w:rPr>
                <w:color w:val="000000"/>
                <w:kern w:val="0"/>
                <w:szCs w:val="21"/>
              </w:rPr>
            </w:pPr>
            <w:r>
              <w:rPr>
                <w:rFonts w:hint="eastAsia"/>
                <w:color w:val="000000"/>
                <w:kern w:val="0"/>
                <w:szCs w:val="21"/>
              </w:rPr>
              <w:t>2600</w:t>
            </w:r>
          </w:p>
        </w:tc>
      </w:tr>
      <w:tr w14:paraId="6B8DA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noWrap w:val="0"/>
            <w:vAlign w:val="center"/>
          </w:tcPr>
          <w:p w14:paraId="520283EE">
            <w:pPr>
              <w:jc w:val="center"/>
              <w:rPr>
                <w:color w:val="000000"/>
                <w:kern w:val="0"/>
                <w:szCs w:val="21"/>
              </w:rPr>
            </w:pPr>
            <w:r>
              <w:rPr>
                <w:color w:val="000000"/>
                <w:kern w:val="0"/>
                <w:szCs w:val="21"/>
              </w:rPr>
              <w:t>13</w:t>
            </w:r>
          </w:p>
        </w:tc>
        <w:tc>
          <w:tcPr>
            <w:tcW w:w="1132" w:type="dxa"/>
            <w:noWrap w:val="0"/>
            <w:vAlign w:val="center"/>
          </w:tcPr>
          <w:p w14:paraId="5578F81D">
            <w:pPr>
              <w:jc w:val="center"/>
              <w:rPr>
                <w:rFonts w:eastAsia="楷体_GB2312"/>
                <w:color w:val="000000"/>
                <w:kern w:val="0"/>
                <w:szCs w:val="21"/>
              </w:rPr>
            </w:pPr>
            <w:r>
              <w:rPr>
                <w:rFonts w:eastAsia="楷体_GB2312"/>
                <w:color w:val="000000"/>
                <w:kern w:val="0"/>
                <w:szCs w:val="21"/>
              </w:rPr>
              <w:t>褚兰镇</w:t>
            </w:r>
          </w:p>
        </w:tc>
        <w:tc>
          <w:tcPr>
            <w:tcW w:w="850" w:type="dxa"/>
            <w:noWrap w:val="0"/>
            <w:vAlign w:val="center"/>
          </w:tcPr>
          <w:p w14:paraId="65824916">
            <w:pPr>
              <w:jc w:val="center"/>
              <w:rPr>
                <w:color w:val="000000"/>
                <w:kern w:val="0"/>
                <w:szCs w:val="21"/>
              </w:rPr>
            </w:pPr>
            <w:r>
              <w:rPr>
                <w:color w:val="000000"/>
                <w:kern w:val="0"/>
                <w:szCs w:val="21"/>
              </w:rPr>
              <w:t>1</w:t>
            </w:r>
          </w:p>
        </w:tc>
        <w:tc>
          <w:tcPr>
            <w:tcW w:w="2552" w:type="dxa"/>
            <w:noWrap w:val="0"/>
            <w:vAlign w:val="center"/>
          </w:tcPr>
          <w:p w14:paraId="218ABB0A">
            <w:pPr>
              <w:jc w:val="center"/>
              <w:rPr>
                <w:rFonts w:eastAsia="楷体_GB2312"/>
                <w:color w:val="000000"/>
                <w:kern w:val="0"/>
                <w:szCs w:val="21"/>
              </w:rPr>
            </w:pPr>
            <w:r>
              <w:rPr>
                <w:rFonts w:eastAsia="楷体_GB2312"/>
                <w:color w:val="000000"/>
                <w:kern w:val="0"/>
                <w:szCs w:val="21"/>
              </w:rPr>
              <w:t>褚兰镇卫生院</w:t>
            </w:r>
          </w:p>
        </w:tc>
        <w:tc>
          <w:tcPr>
            <w:tcW w:w="992" w:type="dxa"/>
            <w:noWrap/>
            <w:vAlign w:val="center"/>
          </w:tcPr>
          <w:p w14:paraId="3B4F5EA2">
            <w:pPr>
              <w:jc w:val="center"/>
              <w:rPr>
                <w:color w:val="000000"/>
                <w:kern w:val="0"/>
                <w:szCs w:val="21"/>
              </w:rPr>
            </w:pPr>
            <w:r>
              <w:rPr>
                <w:color w:val="000000"/>
                <w:kern w:val="0"/>
                <w:szCs w:val="21"/>
              </w:rPr>
              <w:t>1.0000</w:t>
            </w:r>
          </w:p>
        </w:tc>
        <w:tc>
          <w:tcPr>
            <w:tcW w:w="567" w:type="dxa"/>
            <w:noWrap/>
            <w:vAlign w:val="center"/>
          </w:tcPr>
          <w:p w14:paraId="6F7DB6BF">
            <w:pPr>
              <w:jc w:val="center"/>
              <w:rPr>
                <w:color w:val="000000"/>
                <w:kern w:val="0"/>
                <w:szCs w:val="21"/>
              </w:rPr>
            </w:pPr>
            <w:r>
              <w:rPr>
                <w:color w:val="000000"/>
                <w:kern w:val="0"/>
                <w:szCs w:val="21"/>
              </w:rPr>
              <w:t>1</w:t>
            </w:r>
          </w:p>
        </w:tc>
        <w:tc>
          <w:tcPr>
            <w:tcW w:w="709" w:type="dxa"/>
            <w:noWrap/>
            <w:vAlign w:val="center"/>
          </w:tcPr>
          <w:p w14:paraId="240EB93D">
            <w:pPr>
              <w:jc w:val="center"/>
              <w:rPr>
                <w:color w:val="000000"/>
                <w:kern w:val="0"/>
                <w:szCs w:val="21"/>
              </w:rPr>
            </w:pPr>
            <w:r>
              <w:rPr>
                <w:color w:val="000000"/>
                <w:kern w:val="0"/>
                <w:szCs w:val="21"/>
              </w:rPr>
              <w:t>100</w:t>
            </w:r>
          </w:p>
        </w:tc>
        <w:tc>
          <w:tcPr>
            <w:tcW w:w="1274" w:type="dxa"/>
            <w:noWrap/>
            <w:vAlign w:val="center"/>
          </w:tcPr>
          <w:p w14:paraId="7AA7CD73">
            <w:pPr>
              <w:jc w:val="center"/>
              <w:rPr>
                <w:color w:val="000000"/>
                <w:kern w:val="0"/>
                <w:szCs w:val="21"/>
              </w:rPr>
            </w:pPr>
            <w:r>
              <w:rPr>
                <w:rFonts w:hint="eastAsia"/>
                <w:color w:val="000000"/>
                <w:kern w:val="0"/>
                <w:szCs w:val="21"/>
              </w:rPr>
              <w:t>1600</w:t>
            </w:r>
          </w:p>
        </w:tc>
      </w:tr>
      <w:tr w14:paraId="6343B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noWrap w:val="0"/>
            <w:vAlign w:val="center"/>
          </w:tcPr>
          <w:p w14:paraId="64BFD2A8">
            <w:pPr>
              <w:jc w:val="center"/>
              <w:rPr>
                <w:color w:val="000000"/>
                <w:kern w:val="0"/>
                <w:szCs w:val="21"/>
              </w:rPr>
            </w:pPr>
            <w:r>
              <w:rPr>
                <w:color w:val="000000"/>
                <w:kern w:val="0"/>
                <w:szCs w:val="21"/>
              </w:rPr>
              <w:t>14</w:t>
            </w:r>
          </w:p>
        </w:tc>
        <w:tc>
          <w:tcPr>
            <w:tcW w:w="1132" w:type="dxa"/>
            <w:noWrap w:val="0"/>
            <w:vAlign w:val="center"/>
          </w:tcPr>
          <w:p w14:paraId="1F9F15E0">
            <w:pPr>
              <w:jc w:val="center"/>
              <w:rPr>
                <w:rFonts w:eastAsia="楷体_GB2312"/>
                <w:color w:val="000000"/>
                <w:kern w:val="0"/>
                <w:szCs w:val="21"/>
              </w:rPr>
            </w:pPr>
            <w:r>
              <w:rPr>
                <w:rFonts w:eastAsia="楷体_GB2312"/>
                <w:color w:val="000000"/>
                <w:kern w:val="0"/>
                <w:szCs w:val="21"/>
              </w:rPr>
              <w:t>顺河镇</w:t>
            </w:r>
          </w:p>
        </w:tc>
        <w:tc>
          <w:tcPr>
            <w:tcW w:w="850" w:type="dxa"/>
            <w:noWrap w:val="0"/>
            <w:vAlign w:val="center"/>
          </w:tcPr>
          <w:p w14:paraId="07468454">
            <w:pPr>
              <w:jc w:val="center"/>
              <w:rPr>
                <w:color w:val="000000"/>
                <w:kern w:val="0"/>
                <w:szCs w:val="21"/>
              </w:rPr>
            </w:pPr>
            <w:r>
              <w:rPr>
                <w:color w:val="000000"/>
                <w:kern w:val="0"/>
                <w:szCs w:val="21"/>
              </w:rPr>
              <w:t>1</w:t>
            </w:r>
          </w:p>
        </w:tc>
        <w:tc>
          <w:tcPr>
            <w:tcW w:w="2552" w:type="dxa"/>
            <w:noWrap w:val="0"/>
            <w:vAlign w:val="center"/>
          </w:tcPr>
          <w:p w14:paraId="432BC3BC">
            <w:pPr>
              <w:jc w:val="center"/>
              <w:rPr>
                <w:rFonts w:eastAsia="楷体_GB2312"/>
                <w:color w:val="000000"/>
                <w:kern w:val="0"/>
                <w:szCs w:val="21"/>
              </w:rPr>
            </w:pPr>
            <w:r>
              <w:rPr>
                <w:rFonts w:eastAsia="楷体_GB2312"/>
                <w:color w:val="000000"/>
                <w:kern w:val="0"/>
                <w:szCs w:val="21"/>
              </w:rPr>
              <w:t>顺河镇卫生院</w:t>
            </w:r>
          </w:p>
        </w:tc>
        <w:tc>
          <w:tcPr>
            <w:tcW w:w="992" w:type="dxa"/>
            <w:noWrap/>
            <w:vAlign w:val="center"/>
          </w:tcPr>
          <w:p w14:paraId="329ED630">
            <w:pPr>
              <w:jc w:val="center"/>
              <w:rPr>
                <w:color w:val="000000"/>
                <w:kern w:val="0"/>
                <w:szCs w:val="21"/>
              </w:rPr>
            </w:pPr>
            <w:r>
              <w:rPr>
                <w:color w:val="000000"/>
                <w:kern w:val="0"/>
                <w:szCs w:val="21"/>
              </w:rPr>
              <w:t>1.0000</w:t>
            </w:r>
          </w:p>
        </w:tc>
        <w:tc>
          <w:tcPr>
            <w:tcW w:w="567" w:type="dxa"/>
            <w:noWrap/>
            <w:vAlign w:val="center"/>
          </w:tcPr>
          <w:p w14:paraId="179D13C6">
            <w:pPr>
              <w:jc w:val="center"/>
              <w:rPr>
                <w:color w:val="000000"/>
                <w:kern w:val="0"/>
                <w:szCs w:val="21"/>
              </w:rPr>
            </w:pPr>
            <w:r>
              <w:rPr>
                <w:color w:val="000000"/>
                <w:kern w:val="0"/>
                <w:szCs w:val="21"/>
              </w:rPr>
              <w:t>1</w:t>
            </w:r>
          </w:p>
        </w:tc>
        <w:tc>
          <w:tcPr>
            <w:tcW w:w="709" w:type="dxa"/>
            <w:noWrap/>
            <w:vAlign w:val="center"/>
          </w:tcPr>
          <w:p w14:paraId="352AC991">
            <w:pPr>
              <w:jc w:val="center"/>
              <w:rPr>
                <w:color w:val="000000"/>
                <w:kern w:val="0"/>
                <w:szCs w:val="21"/>
              </w:rPr>
            </w:pPr>
            <w:r>
              <w:rPr>
                <w:color w:val="000000"/>
                <w:kern w:val="0"/>
                <w:szCs w:val="21"/>
              </w:rPr>
              <w:t>100</w:t>
            </w:r>
          </w:p>
        </w:tc>
        <w:tc>
          <w:tcPr>
            <w:tcW w:w="1274" w:type="dxa"/>
            <w:noWrap/>
            <w:vAlign w:val="center"/>
          </w:tcPr>
          <w:p w14:paraId="501CB393">
            <w:pPr>
              <w:jc w:val="center"/>
              <w:rPr>
                <w:color w:val="000000"/>
                <w:kern w:val="0"/>
                <w:szCs w:val="21"/>
              </w:rPr>
            </w:pPr>
            <w:r>
              <w:rPr>
                <w:rFonts w:hint="eastAsia"/>
                <w:color w:val="000000"/>
                <w:kern w:val="0"/>
                <w:szCs w:val="21"/>
              </w:rPr>
              <w:t>3000</w:t>
            </w:r>
          </w:p>
        </w:tc>
      </w:tr>
      <w:tr w14:paraId="41D1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noWrap w:val="0"/>
            <w:vAlign w:val="center"/>
          </w:tcPr>
          <w:p w14:paraId="58F4DAF2">
            <w:pPr>
              <w:jc w:val="center"/>
              <w:rPr>
                <w:color w:val="000000"/>
                <w:kern w:val="0"/>
                <w:szCs w:val="21"/>
              </w:rPr>
            </w:pPr>
            <w:r>
              <w:rPr>
                <w:color w:val="000000"/>
                <w:kern w:val="0"/>
                <w:szCs w:val="21"/>
              </w:rPr>
              <w:t>15</w:t>
            </w:r>
          </w:p>
        </w:tc>
        <w:tc>
          <w:tcPr>
            <w:tcW w:w="1132" w:type="dxa"/>
            <w:noWrap w:val="0"/>
            <w:vAlign w:val="center"/>
          </w:tcPr>
          <w:p w14:paraId="363B07A6">
            <w:pPr>
              <w:jc w:val="center"/>
              <w:rPr>
                <w:rFonts w:eastAsia="楷体_GB2312"/>
                <w:color w:val="000000"/>
                <w:kern w:val="0"/>
                <w:szCs w:val="21"/>
              </w:rPr>
            </w:pPr>
            <w:r>
              <w:rPr>
                <w:rFonts w:eastAsia="楷体_GB2312"/>
                <w:color w:val="000000"/>
                <w:kern w:val="0"/>
                <w:szCs w:val="21"/>
              </w:rPr>
              <w:t>杨庄镇</w:t>
            </w:r>
          </w:p>
        </w:tc>
        <w:tc>
          <w:tcPr>
            <w:tcW w:w="850" w:type="dxa"/>
            <w:noWrap w:val="0"/>
            <w:vAlign w:val="center"/>
          </w:tcPr>
          <w:p w14:paraId="0F1132C2">
            <w:pPr>
              <w:jc w:val="center"/>
              <w:rPr>
                <w:color w:val="000000"/>
                <w:kern w:val="0"/>
                <w:szCs w:val="21"/>
              </w:rPr>
            </w:pPr>
            <w:r>
              <w:rPr>
                <w:color w:val="000000"/>
                <w:kern w:val="0"/>
                <w:szCs w:val="21"/>
              </w:rPr>
              <w:t>1</w:t>
            </w:r>
          </w:p>
        </w:tc>
        <w:tc>
          <w:tcPr>
            <w:tcW w:w="2552" w:type="dxa"/>
            <w:noWrap w:val="0"/>
            <w:vAlign w:val="center"/>
          </w:tcPr>
          <w:p w14:paraId="562449D3">
            <w:pPr>
              <w:jc w:val="center"/>
              <w:rPr>
                <w:rFonts w:eastAsia="楷体_GB2312"/>
                <w:color w:val="000000"/>
                <w:kern w:val="0"/>
                <w:szCs w:val="21"/>
              </w:rPr>
            </w:pPr>
            <w:r>
              <w:rPr>
                <w:rFonts w:eastAsia="楷体_GB2312"/>
                <w:color w:val="000000"/>
                <w:kern w:val="0"/>
                <w:szCs w:val="21"/>
              </w:rPr>
              <w:t>杨庄镇卫生院</w:t>
            </w:r>
          </w:p>
        </w:tc>
        <w:tc>
          <w:tcPr>
            <w:tcW w:w="992" w:type="dxa"/>
            <w:noWrap/>
            <w:vAlign w:val="center"/>
          </w:tcPr>
          <w:p w14:paraId="4B6823FD">
            <w:pPr>
              <w:jc w:val="center"/>
              <w:rPr>
                <w:color w:val="000000"/>
                <w:kern w:val="0"/>
                <w:szCs w:val="21"/>
              </w:rPr>
            </w:pPr>
            <w:r>
              <w:rPr>
                <w:color w:val="000000"/>
                <w:kern w:val="0"/>
                <w:szCs w:val="21"/>
              </w:rPr>
              <w:t>1.0000</w:t>
            </w:r>
          </w:p>
        </w:tc>
        <w:tc>
          <w:tcPr>
            <w:tcW w:w="567" w:type="dxa"/>
            <w:noWrap/>
            <w:vAlign w:val="center"/>
          </w:tcPr>
          <w:p w14:paraId="3E8AC5B3">
            <w:pPr>
              <w:jc w:val="center"/>
              <w:rPr>
                <w:color w:val="000000"/>
                <w:kern w:val="0"/>
                <w:szCs w:val="21"/>
              </w:rPr>
            </w:pPr>
            <w:r>
              <w:rPr>
                <w:color w:val="000000"/>
                <w:kern w:val="0"/>
                <w:szCs w:val="21"/>
              </w:rPr>
              <w:t>1</w:t>
            </w:r>
          </w:p>
        </w:tc>
        <w:tc>
          <w:tcPr>
            <w:tcW w:w="709" w:type="dxa"/>
            <w:noWrap/>
            <w:vAlign w:val="center"/>
          </w:tcPr>
          <w:p w14:paraId="24750A72">
            <w:pPr>
              <w:jc w:val="center"/>
              <w:rPr>
                <w:color w:val="000000"/>
                <w:kern w:val="0"/>
                <w:szCs w:val="21"/>
              </w:rPr>
            </w:pPr>
            <w:r>
              <w:rPr>
                <w:color w:val="000000"/>
                <w:kern w:val="0"/>
                <w:szCs w:val="21"/>
              </w:rPr>
              <w:t>100</w:t>
            </w:r>
          </w:p>
        </w:tc>
        <w:tc>
          <w:tcPr>
            <w:tcW w:w="1274" w:type="dxa"/>
            <w:noWrap/>
            <w:vAlign w:val="center"/>
          </w:tcPr>
          <w:p w14:paraId="767912D9">
            <w:pPr>
              <w:jc w:val="center"/>
              <w:rPr>
                <w:color w:val="000000"/>
                <w:kern w:val="0"/>
                <w:szCs w:val="21"/>
              </w:rPr>
            </w:pPr>
            <w:r>
              <w:rPr>
                <w:rFonts w:hint="eastAsia"/>
                <w:color w:val="000000"/>
                <w:kern w:val="0"/>
                <w:szCs w:val="21"/>
              </w:rPr>
              <w:t>1000</w:t>
            </w:r>
          </w:p>
        </w:tc>
      </w:tr>
      <w:tr w14:paraId="30B8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noWrap w:val="0"/>
            <w:vAlign w:val="center"/>
          </w:tcPr>
          <w:p w14:paraId="2CF70311">
            <w:pPr>
              <w:jc w:val="center"/>
              <w:rPr>
                <w:color w:val="000000"/>
                <w:kern w:val="0"/>
                <w:szCs w:val="21"/>
              </w:rPr>
            </w:pPr>
            <w:r>
              <w:rPr>
                <w:color w:val="000000"/>
                <w:kern w:val="0"/>
                <w:szCs w:val="21"/>
              </w:rPr>
              <w:t>16</w:t>
            </w:r>
          </w:p>
        </w:tc>
        <w:tc>
          <w:tcPr>
            <w:tcW w:w="1132" w:type="dxa"/>
            <w:noWrap w:val="0"/>
            <w:vAlign w:val="center"/>
          </w:tcPr>
          <w:p w14:paraId="66297CA4">
            <w:pPr>
              <w:jc w:val="center"/>
              <w:rPr>
                <w:rFonts w:eastAsia="楷体_GB2312"/>
                <w:color w:val="000000"/>
                <w:kern w:val="0"/>
                <w:szCs w:val="21"/>
              </w:rPr>
            </w:pPr>
            <w:r>
              <w:rPr>
                <w:rFonts w:eastAsia="楷体_GB2312"/>
                <w:color w:val="000000"/>
                <w:kern w:val="0"/>
                <w:szCs w:val="21"/>
              </w:rPr>
              <w:t>永镇乡</w:t>
            </w:r>
          </w:p>
        </w:tc>
        <w:tc>
          <w:tcPr>
            <w:tcW w:w="850" w:type="dxa"/>
            <w:noWrap w:val="0"/>
            <w:vAlign w:val="center"/>
          </w:tcPr>
          <w:p w14:paraId="118BABAA">
            <w:pPr>
              <w:jc w:val="center"/>
              <w:rPr>
                <w:color w:val="000000"/>
                <w:kern w:val="0"/>
                <w:szCs w:val="21"/>
              </w:rPr>
            </w:pPr>
            <w:r>
              <w:rPr>
                <w:color w:val="000000"/>
                <w:kern w:val="0"/>
                <w:szCs w:val="21"/>
              </w:rPr>
              <w:t>1</w:t>
            </w:r>
          </w:p>
        </w:tc>
        <w:tc>
          <w:tcPr>
            <w:tcW w:w="2552" w:type="dxa"/>
            <w:noWrap w:val="0"/>
            <w:vAlign w:val="center"/>
          </w:tcPr>
          <w:p w14:paraId="69B5E73D">
            <w:pPr>
              <w:jc w:val="center"/>
              <w:rPr>
                <w:rFonts w:eastAsia="楷体_GB2312"/>
                <w:color w:val="000000"/>
                <w:kern w:val="0"/>
                <w:szCs w:val="21"/>
              </w:rPr>
            </w:pPr>
            <w:r>
              <w:rPr>
                <w:rFonts w:eastAsia="楷体_GB2312"/>
                <w:color w:val="000000"/>
                <w:kern w:val="0"/>
                <w:szCs w:val="21"/>
              </w:rPr>
              <w:t>永镇乡卫生院</w:t>
            </w:r>
          </w:p>
        </w:tc>
        <w:tc>
          <w:tcPr>
            <w:tcW w:w="992" w:type="dxa"/>
            <w:noWrap/>
            <w:vAlign w:val="center"/>
          </w:tcPr>
          <w:p w14:paraId="39081789">
            <w:pPr>
              <w:jc w:val="center"/>
              <w:rPr>
                <w:color w:val="000000"/>
                <w:kern w:val="0"/>
                <w:szCs w:val="21"/>
              </w:rPr>
            </w:pPr>
            <w:r>
              <w:rPr>
                <w:color w:val="000000"/>
                <w:kern w:val="0"/>
                <w:szCs w:val="21"/>
              </w:rPr>
              <w:t>1.0000</w:t>
            </w:r>
          </w:p>
        </w:tc>
        <w:tc>
          <w:tcPr>
            <w:tcW w:w="567" w:type="dxa"/>
            <w:noWrap/>
            <w:vAlign w:val="center"/>
          </w:tcPr>
          <w:p w14:paraId="77623C8C">
            <w:pPr>
              <w:jc w:val="center"/>
              <w:rPr>
                <w:color w:val="000000"/>
                <w:kern w:val="0"/>
                <w:szCs w:val="21"/>
              </w:rPr>
            </w:pPr>
            <w:r>
              <w:rPr>
                <w:color w:val="000000"/>
                <w:kern w:val="0"/>
                <w:szCs w:val="21"/>
              </w:rPr>
              <w:t>1</w:t>
            </w:r>
          </w:p>
        </w:tc>
        <w:tc>
          <w:tcPr>
            <w:tcW w:w="709" w:type="dxa"/>
            <w:noWrap/>
            <w:vAlign w:val="center"/>
          </w:tcPr>
          <w:p w14:paraId="3B01561A">
            <w:pPr>
              <w:jc w:val="center"/>
              <w:rPr>
                <w:color w:val="000000"/>
                <w:kern w:val="0"/>
                <w:szCs w:val="21"/>
              </w:rPr>
            </w:pPr>
            <w:r>
              <w:rPr>
                <w:color w:val="000000"/>
                <w:kern w:val="0"/>
                <w:szCs w:val="21"/>
              </w:rPr>
              <w:t>100</w:t>
            </w:r>
          </w:p>
        </w:tc>
        <w:tc>
          <w:tcPr>
            <w:tcW w:w="1274" w:type="dxa"/>
            <w:noWrap/>
            <w:vAlign w:val="center"/>
          </w:tcPr>
          <w:p w14:paraId="5B8D7C59">
            <w:pPr>
              <w:jc w:val="center"/>
              <w:rPr>
                <w:color w:val="000000"/>
                <w:kern w:val="0"/>
                <w:szCs w:val="21"/>
              </w:rPr>
            </w:pPr>
            <w:r>
              <w:rPr>
                <w:rFonts w:hint="eastAsia"/>
                <w:color w:val="000000"/>
                <w:kern w:val="0"/>
                <w:szCs w:val="21"/>
              </w:rPr>
              <w:t>1500</w:t>
            </w:r>
          </w:p>
        </w:tc>
      </w:tr>
      <w:tr w14:paraId="76E78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noWrap w:val="0"/>
            <w:vAlign w:val="center"/>
          </w:tcPr>
          <w:p w14:paraId="7BC8CE7B">
            <w:pPr>
              <w:jc w:val="center"/>
              <w:rPr>
                <w:color w:val="000000"/>
                <w:kern w:val="0"/>
                <w:szCs w:val="21"/>
              </w:rPr>
            </w:pPr>
            <w:r>
              <w:rPr>
                <w:color w:val="000000"/>
                <w:kern w:val="0"/>
                <w:szCs w:val="21"/>
              </w:rPr>
              <w:t>17</w:t>
            </w:r>
          </w:p>
        </w:tc>
        <w:tc>
          <w:tcPr>
            <w:tcW w:w="1132" w:type="dxa"/>
            <w:noWrap w:val="0"/>
            <w:vAlign w:val="center"/>
          </w:tcPr>
          <w:p w14:paraId="49F989C3">
            <w:pPr>
              <w:jc w:val="center"/>
              <w:rPr>
                <w:rFonts w:eastAsia="楷体_GB2312"/>
                <w:color w:val="000000"/>
                <w:kern w:val="0"/>
                <w:szCs w:val="21"/>
              </w:rPr>
            </w:pPr>
            <w:r>
              <w:rPr>
                <w:rFonts w:eastAsia="楷体_GB2312"/>
                <w:color w:val="000000"/>
                <w:kern w:val="0"/>
                <w:szCs w:val="21"/>
              </w:rPr>
              <w:t>解集镇</w:t>
            </w:r>
          </w:p>
        </w:tc>
        <w:tc>
          <w:tcPr>
            <w:tcW w:w="850" w:type="dxa"/>
            <w:noWrap w:val="0"/>
            <w:vAlign w:val="center"/>
          </w:tcPr>
          <w:p w14:paraId="008118D3">
            <w:pPr>
              <w:jc w:val="center"/>
              <w:rPr>
                <w:color w:val="000000"/>
                <w:kern w:val="0"/>
                <w:szCs w:val="21"/>
              </w:rPr>
            </w:pPr>
            <w:r>
              <w:rPr>
                <w:color w:val="000000"/>
                <w:kern w:val="0"/>
                <w:szCs w:val="21"/>
              </w:rPr>
              <w:t>1</w:t>
            </w:r>
          </w:p>
        </w:tc>
        <w:tc>
          <w:tcPr>
            <w:tcW w:w="2552" w:type="dxa"/>
            <w:noWrap w:val="0"/>
            <w:vAlign w:val="center"/>
          </w:tcPr>
          <w:p w14:paraId="160BE2B7">
            <w:pPr>
              <w:jc w:val="center"/>
              <w:rPr>
                <w:rFonts w:eastAsia="楷体_GB2312"/>
                <w:color w:val="000000"/>
                <w:kern w:val="0"/>
                <w:szCs w:val="21"/>
              </w:rPr>
            </w:pPr>
            <w:r>
              <w:rPr>
                <w:rFonts w:eastAsia="楷体_GB2312"/>
                <w:color w:val="000000"/>
                <w:kern w:val="0"/>
                <w:szCs w:val="21"/>
              </w:rPr>
              <w:t>解集镇卫生院</w:t>
            </w:r>
          </w:p>
        </w:tc>
        <w:tc>
          <w:tcPr>
            <w:tcW w:w="992" w:type="dxa"/>
            <w:noWrap/>
            <w:vAlign w:val="center"/>
          </w:tcPr>
          <w:p w14:paraId="03BAB1F6">
            <w:pPr>
              <w:jc w:val="center"/>
              <w:rPr>
                <w:color w:val="000000"/>
                <w:kern w:val="0"/>
                <w:szCs w:val="21"/>
              </w:rPr>
            </w:pPr>
            <w:r>
              <w:rPr>
                <w:color w:val="000000"/>
                <w:kern w:val="0"/>
                <w:szCs w:val="21"/>
              </w:rPr>
              <w:t>1.0000</w:t>
            </w:r>
          </w:p>
        </w:tc>
        <w:tc>
          <w:tcPr>
            <w:tcW w:w="567" w:type="dxa"/>
            <w:noWrap/>
            <w:vAlign w:val="center"/>
          </w:tcPr>
          <w:p w14:paraId="75DE8834">
            <w:pPr>
              <w:jc w:val="center"/>
              <w:rPr>
                <w:color w:val="000000"/>
                <w:kern w:val="0"/>
                <w:szCs w:val="21"/>
              </w:rPr>
            </w:pPr>
            <w:r>
              <w:rPr>
                <w:color w:val="000000"/>
                <w:kern w:val="0"/>
                <w:szCs w:val="21"/>
              </w:rPr>
              <w:t>1</w:t>
            </w:r>
          </w:p>
        </w:tc>
        <w:tc>
          <w:tcPr>
            <w:tcW w:w="709" w:type="dxa"/>
            <w:noWrap/>
            <w:vAlign w:val="center"/>
          </w:tcPr>
          <w:p w14:paraId="49A4AADA">
            <w:pPr>
              <w:jc w:val="center"/>
              <w:rPr>
                <w:color w:val="000000"/>
                <w:kern w:val="0"/>
                <w:szCs w:val="21"/>
              </w:rPr>
            </w:pPr>
            <w:r>
              <w:rPr>
                <w:color w:val="000000"/>
                <w:kern w:val="0"/>
                <w:szCs w:val="21"/>
              </w:rPr>
              <w:t>100</w:t>
            </w:r>
          </w:p>
        </w:tc>
        <w:tc>
          <w:tcPr>
            <w:tcW w:w="1274" w:type="dxa"/>
            <w:noWrap/>
            <w:vAlign w:val="center"/>
          </w:tcPr>
          <w:p w14:paraId="380D17CC">
            <w:pPr>
              <w:jc w:val="center"/>
              <w:rPr>
                <w:color w:val="000000"/>
                <w:kern w:val="0"/>
                <w:szCs w:val="21"/>
              </w:rPr>
            </w:pPr>
            <w:r>
              <w:rPr>
                <w:rFonts w:hint="eastAsia"/>
                <w:color w:val="000000"/>
                <w:kern w:val="0"/>
                <w:szCs w:val="21"/>
              </w:rPr>
              <w:t>1400</w:t>
            </w:r>
          </w:p>
        </w:tc>
      </w:tr>
      <w:tr w14:paraId="11E70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noWrap w:val="0"/>
            <w:vAlign w:val="center"/>
          </w:tcPr>
          <w:p w14:paraId="380E9E6B">
            <w:pPr>
              <w:jc w:val="center"/>
              <w:rPr>
                <w:color w:val="000000"/>
                <w:kern w:val="0"/>
                <w:szCs w:val="21"/>
              </w:rPr>
            </w:pPr>
            <w:r>
              <w:rPr>
                <w:color w:val="000000"/>
                <w:kern w:val="0"/>
                <w:szCs w:val="21"/>
              </w:rPr>
              <w:t>18</w:t>
            </w:r>
          </w:p>
        </w:tc>
        <w:tc>
          <w:tcPr>
            <w:tcW w:w="1132" w:type="dxa"/>
            <w:noWrap w:val="0"/>
            <w:vAlign w:val="center"/>
          </w:tcPr>
          <w:p w14:paraId="2F7B5C4F">
            <w:pPr>
              <w:jc w:val="center"/>
              <w:rPr>
                <w:rFonts w:eastAsia="楷体_GB2312"/>
                <w:color w:val="000000"/>
                <w:kern w:val="0"/>
                <w:szCs w:val="21"/>
              </w:rPr>
            </w:pPr>
            <w:r>
              <w:rPr>
                <w:rFonts w:eastAsia="楷体_GB2312"/>
                <w:color w:val="000000"/>
                <w:kern w:val="0"/>
                <w:szCs w:val="21"/>
              </w:rPr>
              <w:t>大泽乡镇</w:t>
            </w:r>
          </w:p>
        </w:tc>
        <w:tc>
          <w:tcPr>
            <w:tcW w:w="850" w:type="dxa"/>
            <w:noWrap w:val="0"/>
            <w:vAlign w:val="center"/>
          </w:tcPr>
          <w:p w14:paraId="42D590EF">
            <w:pPr>
              <w:jc w:val="center"/>
              <w:rPr>
                <w:color w:val="000000"/>
                <w:kern w:val="0"/>
                <w:szCs w:val="21"/>
              </w:rPr>
            </w:pPr>
            <w:r>
              <w:rPr>
                <w:color w:val="000000"/>
                <w:kern w:val="0"/>
                <w:szCs w:val="21"/>
              </w:rPr>
              <w:t>1</w:t>
            </w:r>
          </w:p>
        </w:tc>
        <w:tc>
          <w:tcPr>
            <w:tcW w:w="2552" w:type="dxa"/>
            <w:noWrap w:val="0"/>
            <w:vAlign w:val="center"/>
          </w:tcPr>
          <w:p w14:paraId="0049A197">
            <w:pPr>
              <w:jc w:val="center"/>
              <w:rPr>
                <w:rFonts w:eastAsia="楷体_GB2312"/>
                <w:color w:val="000000"/>
                <w:kern w:val="0"/>
                <w:szCs w:val="21"/>
              </w:rPr>
            </w:pPr>
            <w:r>
              <w:rPr>
                <w:rFonts w:eastAsia="楷体_GB2312"/>
                <w:color w:val="000000"/>
                <w:kern w:val="0"/>
                <w:szCs w:val="21"/>
              </w:rPr>
              <w:t>大泽乡镇卫生院</w:t>
            </w:r>
          </w:p>
        </w:tc>
        <w:tc>
          <w:tcPr>
            <w:tcW w:w="992" w:type="dxa"/>
            <w:noWrap/>
            <w:vAlign w:val="center"/>
          </w:tcPr>
          <w:p w14:paraId="61DFC1DD">
            <w:pPr>
              <w:jc w:val="center"/>
              <w:rPr>
                <w:color w:val="000000"/>
                <w:kern w:val="0"/>
                <w:szCs w:val="21"/>
              </w:rPr>
            </w:pPr>
            <w:r>
              <w:rPr>
                <w:color w:val="000000"/>
                <w:kern w:val="0"/>
                <w:szCs w:val="21"/>
              </w:rPr>
              <w:t>1.0000</w:t>
            </w:r>
          </w:p>
        </w:tc>
        <w:tc>
          <w:tcPr>
            <w:tcW w:w="567" w:type="dxa"/>
            <w:noWrap/>
            <w:vAlign w:val="center"/>
          </w:tcPr>
          <w:p w14:paraId="3D2F4EA7">
            <w:pPr>
              <w:jc w:val="center"/>
              <w:rPr>
                <w:color w:val="000000"/>
                <w:kern w:val="0"/>
                <w:szCs w:val="21"/>
              </w:rPr>
            </w:pPr>
            <w:r>
              <w:rPr>
                <w:color w:val="000000"/>
                <w:kern w:val="0"/>
                <w:szCs w:val="21"/>
              </w:rPr>
              <w:t>1</w:t>
            </w:r>
          </w:p>
        </w:tc>
        <w:tc>
          <w:tcPr>
            <w:tcW w:w="709" w:type="dxa"/>
            <w:noWrap/>
            <w:vAlign w:val="center"/>
          </w:tcPr>
          <w:p w14:paraId="66457254">
            <w:pPr>
              <w:jc w:val="center"/>
              <w:rPr>
                <w:color w:val="000000"/>
                <w:kern w:val="0"/>
                <w:szCs w:val="21"/>
              </w:rPr>
            </w:pPr>
            <w:r>
              <w:rPr>
                <w:color w:val="000000"/>
                <w:kern w:val="0"/>
                <w:szCs w:val="21"/>
              </w:rPr>
              <w:t>100</w:t>
            </w:r>
          </w:p>
        </w:tc>
        <w:tc>
          <w:tcPr>
            <w:tcW w:w="1274" w:type="dxa"/>
            <w:noWrap/>
            <w:vAlign w:val="center"/>
          </w:tcPr>
          <w:p w14:paraId="5AF6AE0E">
            <w:pPr>
              <w:jc w:val="center"/>
              <w:rPr>
                <w:color w:val="000000"/>
                <w:kern w:val="0"/>
                <w:szCs w:val="21"/>
              </w:rPr>
            </w:pPr>
            <w:r>
              <w:rPr>
                <w:rFonts w:hint="eastAsia"/>
                <w:color w:val="000000"/>
                <w:kern w:val="0"/>
                <w:szCs w:val="21"/>
              </w:rPr>
              <w:t>1700</w:t>
            </w:r>
          </w:p>
        </w:tc>
      </w:tr>
      <w:tr w14:paraId="4A78E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noWrap w:val="0"/>
            <w:vAlign w:val="center"/>
          </w:tcPr>
          <w:p w14:paraId="4066A004">
            <w:pPr>
              <w:jc w:val="center"/>
              <w:rPr>
                <w:color w:val="000000"/>
                <w:kern w:val="0"/>
                <w:szCs w:val="21"/>
              </w:rPr>
            </w:pPr>
            <w:r>
              <w:rPr>
                <w:color w:val="000000"/>
                <w:kern w:val="0"/>
                <w:szCs w:val="21"/>
              </w:rPr>
              <w:t>19</w:t>
            </w:r>
          </w:p>
        </w:tc>
        <w:tc>
          <w:tcPr>
            <w:tcW w:w="1132" w:type="dxa"/>
            <w:noWrap w:val="0"/>
            <w:vAlign w:val="center"/>
          </w:tcPr>
          <w:p w14:paraId="417894E4">
            <w:pPr>
              <w:jc w:val="center"/>
              <w:rPr>
                <w:rFonts w:eastAsia="楷体_GB2312"/>
                <w:color w:val="000000"/>
                <w:kern w:val="0"/>
                <w:szCs w:val="21"/>
              </w:rPr>
            </w:pPr>
            <w:r>
              <w:rPr>
                <w:rFonts w:eastAsia="楷体_GB2312"/>
                <w:color w:val="000000"/>
                <w:kern w:val="0"/>
                <w:szCs w:val="21"/>
              </w:rPr>
              <w:t>永安镇</w:t>
            </w:r>
          </w:p>
        </w:tc>
        <w:tc>
          <w:tcPr>
            <w:tcW w:w="850" w:type="dxa"/>
            <w:noWrap w:val="0"/>
            <w:vAlign w:val="center"/>
          </w:tcPr>
          <w:p w14:paraId="6EF7ED0E">
            <w:pPr>
              <w:jc w:val="center"/>
              <w:rPr>
                <w:color w:val="000000"/>
                <w:kern w:val="0"/>
                <w:szCs w:val="21"/>
              </w:rPr>
            </w:pPr>
            <w:r>
              <w:rPr>
                <w:color w:val="000000"/>
                <w:kern w:val="0"/>
                <w:szCs w:val="21"/>
              </w:rPr>
              <w:t>1</w:t>
            </w:r>
          </w:p>
        </w:tc>
        <w:tc>
          <w:tcPr>
            <w:tcW w:w="2552" w:type="dxa"/>
            <w:noWrap w:val="0"/>
            <w:vAlign w:val="center"/>
          </w:tcPr>
          <w:p w14:paraId="071B6BB8">
            <w:pPr>
              <w:jc w:val="center"/>
              <w:rPr>
                <w:rFonts w:eastAsia="楷体_GB2312"/>
                <w:color w:val="000000"/>
                <w:kern w:val="0"/>
                <w:szCs w:val="21"/>
              </w:rPr>
            </w:pPr>
            <w:r>
              <w:rPr>
                <w:rFonts w:eastAsia="楷体_GB2312"/>
                <w:color w:val="000000"/>
                <w:kern w:val="0"/>
                <w:szCs w:val="21"/>
              </w:rPr>
              <w:t>永安镇卫生院</w:t>
            </w:r>
          </w:p>
        </w:tc>
        <w:tc>
          <w:tcPr>
            <w:tcW w:w="992" w:type="dxa"/>
            <w:noWrap/>
            <w:vAlign w:val="center"/>
          </w:tcPr>
          <w:p w14:paraId="0BA3C69C">
            <w:pPr>
              <w:jc w:val="center"/>
              <w:rPr>
                <w:color w:val="000000"/>
                <w:kern w:val="0"/>
                <w:szCs w:val="21"/>
              </w:rPr>
            </w:pPr>
            <w:r>
              <w:rPr>
                <w:color w:val="000000"/>
                <w:kern w:val="0"/>
                <w:szCs w:val="21"/>
              </w:rPr>
              <w:t>1.0000</w:t>
            </w:r>
          </w:p>
        </w:tc>
        <w:tc>
          <w:tcPr>
            <w:tcW w:w="567" w:type="dxa"/>
            <w:noWrap/>
            <w:vAlign w:val="center"/>
          </w:tcPr>
          <w:p w14:paraId="5B13E865">
            <w:pPr>
              <w:jc w:val="center"/>
              <w:rPr>
                <w:color w:val="000000"/>
                <w:kern w:val="0"/>
                <w:szCs w:val="21"/>
              </w:rPr>
            </w:pPr>
            <w:r>
              <w:rPr>
                <w:color w:val="000000"/>
                <w:kern w:val="0"/>
                <w:szCs w:val="21"/>
              </w:rPr>
              <w:t>1</w:t>
            </w:r>
          </w:p>
        </w:tc>
        <w:tc>
          <w:tcPr>
            <w:tcW w:w="709" w:type="dxa"/>
            <w:noWrap/>
            <w:vAlign w:val="center"/>
          </w:tcPr>
          <w:p w14:paraId="31E4AE05">
            <w:pPr>
              <w:jc w:val="center"/>
              <w:rPr>
                <w:color w:val="000000"/>
                <w:kern w:val="0"/>
                <w:szCs w:val="21"/>
              </w:rPr>
            </w:pPr>
            <w:r>
              <w:rPr>
                <w:color w:val="000000"/>
                <w:kern w:val="0"/>
                <w:szCs w:val="21"/>
              </w:rPr>
              <w:t>100</w:t>
            </w:r>
          </w:p>
        </w:tc>
        <w:tc>
          <w:tcPr>
            <w:tcW w:w="1274" w:type="dxa"/>
            <w:noWrap/>
            <w:vAlign w:val="center"/>
          </w:tcPr>
          <w:p w14:paraId="00EAC262">
            <w:pPr>
              <w:jc w:val="center"/>
              <w:rPr>
                <w:color w:val="000000"/>
                <w:kern w:val="0"/>
                <w:szCs w:val="21"/>
              </w:rPr>
            </w:pPr>
            <w:r>
              <w:rPr>
                <w:rFonts w:hint="eastAsia"/>
                <w:color w:val="000000"/>
                <w:kern w:val="0"/>
                <w:szCs w:val="21"/>
              </w:rPr>
              <w:t>1400</w:t>
            </w:r>
          </w:p>
        </w:tc>
      </w:tr>
      <w:tr w14:paraId="6BB29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noWrap w:val="0"/>
            <w:vAlign w:val="center"/>
          </w:tcPr>
          <w:p w14:paraId="23CBAD06">
            <w:pPr>
              <w:jc w:val="center"/>
              <w:rPr>
                <w:color w:val="000000"/>
                <w:kern w:val="0"/>
                <w:szCs w:val="21"/>
              </w:rPr>
            </w:pPr>
            <w:r>
              <w:rPr>
                <w:color w:val="000000"/>
                <w:kern w:val="0"/>
                <w:szCs w:val="21"/>
              </w:rPr>
              <w:t>20</w:t>
            </w:r>
          </w:p>
        </w:tc>
        <w:tc>
          <w:tcPr>
            <w:tcW w:w="1132" w:type="dxa"/>
            <w:noWrap w:val="0"/>
            <w:vAlign w:val="center"/>
          </w:tcPr>
          <w:p w14:paraId="2265BEE3">
            <w:pPr>
              <w:jc w:val="center"/>
              <w:rPr>
                <w:rFonts w:eastAsia="楷体_GB2312"/>
                <w:color w:val="000000"/>
                <w:kern w:val="0"/>
                <w:szCs w:val="21"/>
              </w:rPr>
            </w:pPr>
            <w:r>
              <w:rPr>
                <w:rFonts w:eastAsia="楷体_GB2312"/>
                <w:color w:val="000000"/>
                <w:kern w:val="0"/>
                <w:szCs w:val="21"/>
              </w:rPr>
              <w:t>支河乡</w:t>
            </w:r>
          </w:p>
        </w:tc>
        <w:tc>
          <w:tcPr>
            <w:tcW w:w="850" w:type="dxa"/>
            <w:noWrap w:val="0"/>
            <w:vAlign w:val="center"/>
          </w:tcPr>
          <w:p w14:paraId="4F09E8F7">
            <w:pPr>
              <w:jc w:val="center"/>
              <w:rPr>
                <w:color w:val="000000"/>
                <w:kern w:val="0"/>
                <w:szCs w:val="21"/>
              </w:rPr>
            </w:pPr>
            <w:r>
              <w:rPr>
                <w:color w:val="000000"/>
                <w:kern w:val="0"/>
                <w:szCs w:val="21"/>
              </w:rPr>
              <w:t>1</w:t>
            </w:r>
          </w:p>
        </w:tc>
        <w:tc>
          <w:tcPr>
            <w:tcW w:w="2552" w:type="dxa"/>
            <w:noWrap w:val="0"/>
            <w:vAlign w:val="center"/>
          </w:tcPr>
          <w:p w14:paraId="595CD9C5">
            <w:pPr>
              <w:jc w:val="center"/>
              <w:rPr>
                <w:rFonts w:eastAsia="楷体_GB2312"/>
                <w:color w:val="000000"/>
                <w:kern w:val="0"/>
                <w:szCs w:val="21"/>
              </w:rPr>
            </w:pPr>
            <w:r>
              <w:rPr>
                <w:rFonts w:eastAsia="楷体_GB2312"/>
                <w:color w:val="000000"/>
                <w:kern w:val="0"/>
                <w:szCs w:val="21"/>
              </w:rPr>
              <w:t>支河乡卫生院</w:t>
            </w:r>
          </w:p>
        </w:tc>
        <w:tc>
          <w:tcPr>
            <w:tcW w:w="992" w:type="dxa"/>
            <w:noWrap/>
            <w:vAlign w:val="center"/>
          </w:tcPr>
          <w:p w14:paraId="3F457287">
            <w:pPr>
              <w:jc w:val="center"/>
              <w:rPr>
                <w:color w:val="000000"/>
                <w:kern w:val="0"/>
                <w:szCs w:val="21"/>
              </w:rPr>
            </w:pPr>
            <w:r>
              <w:rPr>
                <w:color w:val="000000"/>
                <w:kern w:val="0"/>
                <w:szCs w:val="21"/>
              </w:rPr>
              <w:t>1.0000</w:t>
            </w:r>
          </w:p>
        </w:tc>
        <w:tc>
          <w:tcPr>
            <w:tcW w:w="567" w:type="dxa"/>
            <w:noWrap/>
            <w:vAlign w:val="center"/>
          </w:tcPr>
          <w:p w14:paraId="66D5B573">
            <w:pPr>
              <w:jc w:val="center"/>
              <w:rPr>
                <w:color w:val="000000"/>
                <w:kern w:val="0"/>
                <w:szCs w:val="21"/>
              </w:rPr>
            </w:pPr>
            <w:r>
              <w:rPr>
                <w:color w:val="000000"/>
                <w:kern w:val="0"/>
                <w:szCs w:val="21"/>
              </w:rPr>
              <w:t>1</w:t>
            </w:r>
          </w:p>
        </w:tc>
        <w:tc>
          <w:tcPr>
            <w:tcW w:w="709" w:type="dxa"/>
            <w:noWrap/>
            <w:vAlign w:val="center"/>
          </w:tcPr>
          <w:p w14:paraId="5BC31FE8">
            <w:pPr>
              <w:jc w:val="center"/>
              <w:rPr>
                <w:color w:val="000000"/>
                <w:kern w:val="0"/>
                <w:szCs w:val="21"/>
              </w:rPr>
            </w:pPr>
            <w:r>
              <w:rPr>
                <w:color w:val="000000"/>
                <w:kern w:val="0"/>
                <w:szCs w:val="21"/>
              </w:rPr>
              <w:t>100</w:t>
            </w:r>
          </w:p>
        </w:tc>
        <w:tc>
          <w:tcPr>
            <w:tcW w:w="1274" w:type="dxa"/>
            <w:noWrap/>
            <w:vAlign w:val="center"/>
          </w:tcPr>
          <w:p w14:paraId="05576AD4">
            <w:pPr>
              <w:jc w:val="center"/>
              <w:rPr>
                <w:color w:val="000000"/>
                <w:kern w:val="0"/>
                <w:szCs w:val="21"/>
              </w:rPr>
            </w:pPr>
            <w:r>
              <w:rPr>
                <w:rFonts w:hint="eastAsia"/>
                <w:color w:val="000000"/>
                <w:kern w:val="0"/>
                <w:szCs w:val="21"/>
              </w:rPr>
              <w:t>2200</w:t>
            </w:r>
          </w:p>
        </w:tc>
      </w:tr>
      <w:tr w14:paraId="64BB7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noWrap w:val="0"/>
            <w:vAlign w:val="center"/>
          </w:tcPr>
          <w:p w14:paraId="3E961BED">
            <w:pPr>
              <w:jc w:val="center"/>
              <w:rPr>
                <w:color w:val="000000"/>
                <w:kern w:val="0"/>
                <w:szCs w:val="21"/>
              </w:rPr>
            </w:pPr>
            <w:r>
              <w:rPr>
                <w:color w:val="000000"/>
                <w:kern w:val="0"/>
                <w:szCs w:val="21"/>
              </w:rPr>
              <w:t>21</w:t>
            </w:r>
          </w:p>
        </w:tc>
        <w:tc>
          <w:tcPr>
            <w:tcW w:w="1132" w:type="dxa"/>
            <w:noWrap w:val="0"/>
            <w:vAlign w:val="center"/>
          </w:tcPr>
          <w:p w14:paraId="71A607B0">
            <w:pPr>
              <w:jc w:val="center"/>
              <w:rPr>
                <w:rFonts w:eastAsia="楷体_GB2312"/>
                <w:color w:val="000000"/>
                <w:kern w:val="0"/>
                <w:szCs w:val="21"/>
              </w:rPr>
            </w:pPr>
            <w:r>
              <w:rPr>
                <w:rFonts w:eastAsia="楷体_GB2312"/>
                <w:color w:val="000000"/>
                <w:kern w:val="0"/>
                <w:szCs w:val="21"/>
              </w:rPr>
              <w:t>灰古镇</w:t>
            </w:r>
          </w:p>
        </w:tc>
        <w:tc>
          <w:tcPr>
            <w:tcW w:w="850" w:type="dxa"/>
            <w:noWrap w:val="0"/>
            <w:vAlign w:val="center"/>
          </w:tcPr>
          <w:p w14:paraId="60B9B384">
            <w:pPr>
              <w:jc w:val="center"/>
              <w:rPr>
                <w:color w:val="000000"/>
                <w:kern w:val="0"/>
                <w:szCs w:val="21"/>
              </w:rPr>
            </w:pPr>
            <w:r>
              <w:rPr>
                <w:color w:val="000000"/>
                <w:kern w:val="0"/>
                <w:szCs w:val="21"/>
              </w:rPr>
              <w:t>1</w:t>
            </w:r>
          </w:p>
        </w:tc>
        <w:tc>
          <w:tcPr>
            <w:tcW w:w="2552" w:type="dxa"/>
            <w:noWrap w:val="0"/>
            <w:vAlign w:val="center"/>
          </w:tcPr>
          <w:p w14:paraId="6006C11A">
            <w:pPr>
              <w:jc w:val="center"/>
              <w:rPr>
                <w:rFonts w:eastAsia="楷体_GB2312"/>
                <w:color w:val="000000"/>
                <w:kern w:val="0"/>
                <w:szCs w:val="21"/>
              </w:rPr>
            </w:pPr>
            <w:r>
              <w:rPr>
                <w:rFonts w:eastAsia="楷体_GB2312"/>
                <w:color w:val="000000"/>
                <w:kern w:val="0"/>
                <w:szCs w:val="21"/>
              </w:rPr>
              <w:t>灰古镇卫生院</w:t>
            </w:r>
          </w:p>
        </w:tc>
        <w:tc>
          <w:tcPr>
            <w:tcW w:w="992" w:type="dxa"/>
            <w:noWrap/>
            <w:vAlign w:val="center"/>
          </w:tcPr>
          <w:p w14:paraId="0AAF0168">
            <w:pPr>
              <w:jc w:val="center"/>
              <w:rPr>
                <w:color w:val="000000"/>
                <w:kern w:val="0"/>
                <w:szCs w:val="21"/>
              </w:rPr>
            </w:pPr>
            <w:r>
              <w:rPr>
                <w:color w:val="000000"/>
                <w:kern w:val="0"/>
                <w:szCs w:val="21"/>
              </w:rPr>
              <w:t>1.0000</w:t>
            </w:r>
          </w:p>
        </w:tc>
        <w:tc>
          <w:tcPr>
            <w:tcW w:w="567" w:type="dxa"/>
            <w:noWrap/>
            <w:vAlign w:val="center"/>
          </w:tcPr>
          <w:p w14:paraId="3EF5781A">
            <w:pPr>
              <w:jc w:val="center"/>
              <w:rPr>
                <w:color w:val="000000"/>
                <w:kern w:val="0"/>
                <w:szCs w:val="21"/>
              </w:rPr>
            </w:pPr>
            <w:r>
              <w:rPr>
                <w:color w:val="000000"/>
                <w:kern w:val="0"/>
                <w:szCs w:val="21"/>
              </w:rPr>
              <w:t>1</w:t>
            </w:r>
          </w:p>
        </w:tc>
        <w:tc>
          <w:tcPr>
            <w:tcW w:w="709" w:type="dxa"/>
            <w:noWrap/>
            <w:vAlign w:val="center"/>
          </w:tcPr>
          <w:p w14:paraId="7BA23F7F">
            <w:pPr>
              <w:jc w:val="center"/>
              <w:rPr>
                <w:color w:val="000000"/>
                <w:kern w:val="0"/>
                <w:szCs w:val="21"/>
              </w:rPr>
            </w:pPr>
            <w:r>
              <w:rPr>
                <w:color w:val="000000"/>
                <w:kern w:val="0"/>
                <w:szCs w:val="21"/>
              </w:rPr>
              <w:t>100</w:t>
            </w:r>
          </w:p>
        </w:tc>
        <w:tc>
          <w:tcPr>
            <w:tcW w:w="1274" w:type="dxa"/>
            <w:noWrap/>
            <w:vAlign w:val="center"/>
          </w:tcPr>
          <w:p w14:paraId="198514C0">
            <w:pPr>
              <w:jc w:val="center"/>
              <w:rPr>
                <w:color w:val="000000"/>
                <w:kern w:val="0"/>
                <w:szCs w:val="21"/>
              </w:rPr>
            </w:pPr>
            <w:r>
              <w:rPr>
                <w:rFonts w:hint="eastAsia"/>
                <w:color w:val="000000"/>
                <w:kern w:val="0"/>
                <w:szCs w:val="21"/>
              </w:rPr>
              <w:t>1300</w:t>
            </w:r>
          </w:p>
        </w:tc>
      </w:tr>
      <w:tr w14:paraId="0E36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96" w:type="dxa"/>
            <w:noWrap w:val="0"/>
            <w:vAlign w:val="center"/>
          </w:tcPr>
          <w:p w14:paraId="750841C3">
            <w:pPr>
              <w:jc w:val="center"/>
              <w:rPr>
                <w:color w:val="000000"/>
                <w:kern w:val="0"/>
                <w:szCs w:val="21"/>
              </w:rPr>
            </w:pPr>
            <w:r>
              <w:rPr>
                <w:color w:val="000000"/>
                <w:kern w:val="0"/>
                <w:szCs w:val="21"/>
              </w:rPr>
              <w:t>22</w:t>
            </w:r>
          </w:p>
        </w:tc>
        <w:tc>
          <w:tcPr>
            <w:tcW w:w="1132" w:type="dxa"/>
            <w:noWrap w:val="0"/>
            <w:vAlign w:val="center"/>
          </w:tcPr>
          <w:p w14:paraId="4E423343">
            <w:pPr>
              <w:jc w:val="center"/>
              <w:rPr>
                <w:rFonts w:eastAsia="楷体_GB2312"/>
                <w:color w:val="000000"/>
                <w:kern w:val="0"/>
                <w:szCs w:val="21"/>
              </w:rPr>
            </w:pPr>
            <w:r>
              <w:rPr>
                <w:rFonts w:eastAsia="楷体_GB2312"/>
                <w:color w:val="000000"/>
                <w:kern w:val="0"/>
                <w:szCs w:val="21"/>
              </w:rPr>
              <w:t>桃沟乡</w:t>
            </w:r>
          </w:p>
        </w:tc>
        <w:tc>
          <w:tcPr>
            <w:tcW w:w="850" w:type="dxa"/>
            <w:noWrap w:val="0"/>
            <w:vAlign w:val="center"/>
          </w:tcPr>
          <w:p w14:paraId="6FE08163">
            <w:pPr>
              <w:jc w:val="center"/>
              <w:rPr>
                <w:color w:val="000000"/>
                <w:kern w:val="0"/>
                <w:szCs w:val="21"/>
              </w:rPr>
            </w:pPr>
            <w:r>
              <w:rPr>
                <w:color w:val="000000"/>
                <w:kern w:val="0"/>
                <w:szCs w:val="21"/>
              </w:rPr>
              <w:t>1</w:t>
            </w:r>
          </w:p>
        </w:tc>
        <w:tc>
          <w:tcPr>
            <w:tcW w:w="2552" w:type="dxa"/>
            <w:noWrap w:val="0"/>
            <w:vAlign w:val="center"/>
          </w:tcPr>
          <w:p w14:paraId="0245F1D4">
            <w:pPr>
              <w:jc w:val="center"/>
              <w:rPr>
                <w:rFonts w:eastAsia="楷体_GB2312"/>
                <w:color w:val="000000"/>
                <w:kern w:val="0"/>
                <w:szCs w:val="21"/>
              </w:rPr>
            </w:pPr>
            <w:r>
              <w:rPr>
                <w:rFonts w:eastAsia="楷体_GB2312"/>
                <w:color w:val="000000"/>
                <w:kern w:val="0"/>
                <w:szCs w:val="21"/>
              </w:rPr>
              <w:t>桃沟乡卫生院</w:t>
            </w:r>
          </w:p>
        </w:tc>
        <w:tc>
          <w:tcPr>
            <w:tcW w:w="992" w:type="dxa"/>
            <w:noWrap/>
            <w:vAlign w:val="center"/>
          </w:tcPr>
          <w:p w14:paraId="68DE81BD">
            <w:pPr>
              <w:jc w:val="center"/>
              <w:rPr>
                <w:color w:val="000000"/>
                <w:kern w:val="0"/>
                <w:szCs w:val="21"/>
              </w:rPr>
            </w:pPr>
            <w:r>
              <w:rPr>
                <w:color w:val="000000"/>
                <w:kern w:val="0"/>
                <w:szCs w:val="21"/>
              </w:rPr>
              <w:t>1.0000</w:t>
            </w:r>
          </w:p>
        </w:tc>
        <w:tc>
          <w:tcPr>
            <w:tcW w:w="567" w:type="dxa"/>
            <w:noWrap/>
            <w:vAlign w:val="center"/>
          </w:tcPr>
          <w:p w14:paraId="0BC7792A">
            <w:pPr>
              <w:jc w:val="center"/>
              <w:rPr>
                <w:color w:val="000000"/>
                <w:kern w:val="0"/>
                <w:szCs w:val="21"/>
              </w:rPr>
            </w:pPr>
            <w:r>
              <w:rPr>
                <w:color w:val="000000"/>
                <w:kern w:val="0"/>
                <w:szCs w:val="21"/>
              </w:rPr>
              <w:t>1</w:t>
            </w:r>
          </w:p>
        </w:tc>
        <w:tc>
          <w:tcPr>
            <w:tcW w:w="709" w:type="dxa"/>
            <w:noWrap/>
            <w:vAlign w:val="center"/>
          </w:tcPr>
          <w:p w14:paraId="49C52014">
            <w:pPr>
              <w:jc w:val="center"/>
              <w:rPr>
                <w:color w:val="000000"/>
                <w:kern w:val="0"/>
                <w:szCs w:val="21"/>
              </w:rPr>
            </w:pPr>
            <w:r>
              <w:rPr>
                <w:color w:val="000000"/>
                <w:kern w:val="0"/>
                <w:szCs w:val="21"/>
              </w:rPr>
              <w:t>100</w:t>
            </w:r>
          </w:p>
        </w:tc>
        <w:tc>
          <w:tcPr>
            <w:tcW w:w="1274" w:type="dxa"/>
            <w:noWrap/>
            <w:vAlign w:val="center"/>
          </w:tcPr>
          <w:p w14:paraId="45199462">
            <w:pPr>
              <w:jc w:val="center"/>
              <w:rPr>
                <w:color w:val="000000"/>
                <w:kern w:val="0"/>
                <w:szCs w:val="21"/>
              </w:rPr>
            </w:pPr>
            <w:r>
              <w:rPr>
                <w:rFonts w:hint="eastAsia"/>
                <w:color w:val="000000"/>
                <w:kern w:val="0"/>
                <w:szCs w:val="21"/>
              </w:rPr>
              <w:t>1200</w:t>
            </w:r>
          </w:p>
        </w:tc>
      </w:tr>
    </w:tbl>
    <w:p w14:paraId="4936E3C1">
      <w:pPr>
        <w:pStyle w:val="20"/>
        <w:spacing w:before="120" w:beforeLines="50"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3、银行功能分和服务半径的确定</w:t>
      </w:r>
    </w:p>
    <w:p w14:paraId="0BCB6C1E">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银行功能分和服务半径的确定步骤如下：</w:t>
      </w:r>
    </w:p>
    <w:p w14:paraId="6F9965DF">
      <w:pPr>
        <w:pStyle w:val="20"/>
        <w:spacing w:line="480" w:lineRule="exact"/>
        <w:ind w:firstLine="560" w:firstLineChars="200"/>
        <w:rPr>
          <w:rFonts w:ascii="Times New Roman" w:hAnsi="Times New Roman" w:eastAsia="楷体_GB2312" w:cs="Times New Roman"/>
          <w:sz w:val="28"/>
        </w:rPr>
      </w:pPr>
      <w:r>
        <w:rPr>
          <w:rFonts w:ascii="Times New Roman" w:hAnsi="Times New Roman" w:cs="Times New Roman"/>
          <w:sz w:val="28"/>
        </w:rPr>
        <w:t>（1）</w:t>
      </w:r>
      <w:r>
        <w:rPr>
          <w:rFonts w:ascii="Times New Roman" w:hAnsi="Times New Roman" w:eastAsia="楷体_GB2312" w:cs="Times New Roman"/>
          <w:sz w:val="28"/>
        </w:rPr>
        <w:t>按照各银行的</w:t>
      </w:r>
      <w:r>
        <w:rPr>
          <w:rFonts w:hint="eastAsia" w:ascii="Times New Roman" w:hAnsi="Times New Roman" w:eastAsia="楷体_GB2312" w:cs="Times New Roman"/>
          <w:sz w:val="28"/>
        </w:rPr>
        <w:t>接待人数</w:t>
      </w:r>
      <w:r>
        <w:rPr>
          <w:rFonts w:ascii="Times New Roman" w:hAnsi="Times New Roman" w:eastAsia="楷体_GB2312" w:cs="Times New Roman"/>
          <w:sz w:val="28"/>
        </w:rPr>
        <w:t>指标进行作用指数计算；</w:t>
      </w:r>
    </w:p>
    <w:p w14:paraId="16FBB6B1">
      <w:pPr>
        <w:pStyle w:val="20"/>
        <w:spacing w:line="480" w:lineRule="exact"/>
        <w:ind w:firstLine="560" w:firstLineChars="200"/>
        <w:rPr>
          <w:rFonts w:ascii="Times New Roman" w:hAnsi="Times New Roman" w:eastAsia="楷体_GB2312" w:cs="Times New Roman"/>
          <w:sz w:val="28"/>
        </w:rPr>
      </w:pPr>
      <w:r>
        <w:rPr>
          <w:rFonts w:ascii="Times New Roman" w:hAnsi="Times New Roman" w:cs="Times New Roman"/>
          <w:sz w:val="28"/>
        </w:rPr>
        <w:t>（2）</w:t>
      </w:r>
      <w:r>
        <w:rPr>
          <w:rFonts w:ascii="Times New Roman" w:hAnsi="Times New Roman" w:eastAsia="楷体_GB2312" w:cs="Times New Roman"/>
          <w:sz w:val="28"/>
        </w:rPr>
        <w:t>按照定量与定性相结合的原则，根据其功能及等级和影响力进行级别划分；</w:t>
      </w:r>
    </w:p>
    <w:p w14:paraId="1850BE9E">
      <w:pPr>
        <w:pStyle w:val="20"/>
        <w:spacing w:line="480" w:lineRule="exact"/>
        <w:ind w:firstLine="560" w:firstLineChars="200"/>
        <w:rPr>
          <w:rFonts w:ascii="Times New Roman" w:hAnsi="Times New Roman" w:eastAsia="楷体_GB2312" w:cs="Times New Roman"/>
          <w:sz w:val="28"/>
        </w:rPr>
      </w:pPr>
      <w:r>
        <w:rPr>
          <w:rFonts w:ascii="Times New Roman" w:hAnsi="Times New Roman" w:cs="Times New Roman"/>
          <w:sz w:val="28"/>
        </w:rPr>
        <w:t>（3）</w:t>
      </w:r>
      <w:r>
        <w:rPr>
          <w:rFonts w:ascii="Times New Roman" w:hAnsi="Times New Roman" w:eastAsia="楷体_GB2312" w:cs="Times New Roman"/>
          <w:sz w:val="28"/>
        </w:rPr>
        <w:t>对级别相同的银行的作用指数求平均值，再对其进行最大值标准化，所得结果乘以100，得到各级银行的功能分；</w:t>
      </w:r>
    </w:p>
    <w:p w14:paraId="379A2936">
      <w:pPr>
        <w:pStyle w:val="20"/>
        <w:spacing w:line="480" w:lineRule="exact"/>
        <w:ind w:firstLine="560" w:firstLineChars="200"/>
        <w:rPr>
          <w:rFonts w:ascii="Times New Roman" w:hAnsi="Times New Roman" w:eastAsia="楷体_GB2312" w:cs="Times New Roman"/>
          <w:sz w:val="28"/>
        </w:rPr>
      </w:pPr>
      <w:r>
        <w:rPr>
          <w:rFonts w:ascii="Times New Roman" w:hAnsi="Times New Roman" w:cs="Times New Roman"/>
          <w:sz w:val="28"/>
        </w:rPr>
        <w:t>（4）</w:t>
      </w:r>
      <w:r>
        <w:rPr>
          <w:rFonts w:ascii="Times New Roman" w:hAnsi="Times New Roman" w:eastAsia="楷体_GB2312" w:cs="Times New Roman"/>
          <w:sz w:val="28"/>
        </w:rPr>
        <w:t>银行服务半径依据其数量分布状况、级别、影响力在0.3-3公里之间确定。结果见表1-3-</w:t>
      </w:r>
      <w:r>
        <w:rPr>
          <w:rFonts w:hint="eastAsia" w:ascii="Times New Roman" w:hAnsi="Times New Roman" w:eastAsia="楷体_GB2312" w:cs="Times New Roman"/>
          <w:sz w:val="28"/>
        </w:rPr>
        <w:t>45</w:t>
      </w:r>
      <w:r>
        <w:rPr>
          <w:rFonts w:ascii="Times New Roman" w:hAnsi="Times New Roman" w:eastAsia="楷体_GB2312" w:cs="Times New Roman"/>
          <w:sz w:val="28"/>
        </w:rPr>
        <w:t>：</w:t>
      </w:r>
    </w:p>
    <w:p w14:paraId="49F4146D">
      <w:pPr>
        <w:pStyle w:val="20"/>
        <w:spacing w:line="480" w:lineRule="exact"/>
        <w:jc w:val="center"/>
        <w:rPr>
          <w:rFonts w:ascii="Times New Roman" w:hAnsi="Times New Roman" w:eastAsia="黑体" w:cs="Times New Roman"/>
          <w:sz w:val="28"/>
        </w:rPr>
      </w:pPr>
      <w:r>
        <w:rPr>
          <w:rFonts w:ascii="Times New Roman" w:hAnsi="Times New Roman" w:eastAsia="黑体" w:cs="Times New Roman"/>
          <w:sz w:val="28"/>
        </w:rPr>
        <w:t>表1-3-</w:t>
      </w:r>
      <w:r>
        <w:rPr>
          <w:rFonts w:hint="eastAsia" w:ascii="Times New Roman" w:hAnsi="Times New Roman" w:eastAsia="黑体" w:cs="Times New Roman"/>
          <w:sz w:val="28"/>
        </w:rPr>
        <w:t>45</w:t>
      </w:r>
      <w:r>
        <w:rPr>
          <w:rFonts w:ascii="Times New Roman" w:hAnsi="Times New Roman" w:eastAsia="黑体" w:cs="Times New Roman"/>
          <w:sz w:val="28"/>
        </w:rPr>
        <w:t xml:space="preserve">  </w:t>
      </w:r>
      <w:r>
        <w:rPr>
          <w:rFonts w:ascii="Times New Roman" w:hAnsi="Times New Roman" w:eastAsia="黑体" w:cs="Times New Roman"/>
          <w:sz w:val="28"/>
          <w:szCs w:val="24"/>
        </w:rPr>
        <w:t>埇桥区</w:t>
      </w:r>
      <w:r>
        <w:rPr>
          <w:rFonts w:ascii="Times New Roman" w:hAnsi="Times New Roman" w:eastAsia="黑体" w:cs="Times New Roman"/>
          <w:sz w:val="28"/>
        </w:rPr>
        <w:t>各乡镇镇区银行功能分及服务半径表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9"/>
        <w:gridCol w:w="850"/>
        <w:gridCol w:w="567"/>
        <w:gridCol w:w="3686"/>
        <w:gridCol w:w="850"/>
        <w:gridCol w:w="567"/>
        <w:gridCol w:w="709"/>
        <w:gridCol w:w="1274"/>
      </w:tblGrid>
      <w:tr w14:paraId="7127F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69" w:type="dxa"/>
            <w:noWrap w:val="0"/>
            <w:vAlign w:val="center"/>
          </w:tcPr>
          <w:p w14:paraId="00B44046">
            <w:pPr>
              <w:ind w:left="-105" w:leftChars="-50" w:right="-105" w:rightChars="-50"/>
              <w:jc w:val="center"/>
              <w:rPr>
                <w:rFonts w:eastAsia="楷体_GB2312"/>
                <w:color w:val="000000"/>
                <w:kern w:val="0"/>
                <w:szCs w:val="21"/>
              </w:rPr>
            </w:pPr>
            <w:r>
              <w:rPr>
                <w:rFonts w:eastAsia="楷体_GB2312"/>
                <w:color w:val="000000"/>
                <w:kern w:val="0"/>
                <w:szCs w:val="21"/>
              </w:rPr>
              <w:t>乡镇编号</w:t>
            </w:r>
          </w:p>
        </w:tc>
        <w:tc>
          <w:tcPr>
            <w:tcW w:w="850" w:type="dxa"/>
            <w:noWrap w:val="0"/>
            <w:vAlign w:val="center"/>
          </w:tcPr>
          <w:p w14:paraId="1E64C324">
            <w:pPr>
              <w:ind w:left="-105" w:leftChars="-50" w:right="-105" w:rightChars="-50"/>
              <w:jc w:val="center"/>
              <w:rPr>
                <w:rFonts w:eastAsia="楷体_GB2312"/>
                <w:color w:val="000000"/>
                <w:kern w:val="0"/>
                <w:szCs w:val="21"/>
              </w:rPr>
            </w:pPr>
            <w:r>
              <w:rPr>
                <w:rFonts w:eastAsia="楷体_GB2312"/>
                <w:color w:val="000000"/>
                <w:kern w:val="0"/>
                <w:szCs w:val="21"/>
              </w:rPr>
              <w:t>乡镇名称</w:t>
            </w:r>
          </w:p>
        </w:tc>
        <w:tc>
          <w:tcPr>
            <w:tcW w:w="567" w:type="dxa"/>
            <w:noWrap w:val="0"/>
            <w:vAlign w:val="center"/>
          </w:tcPr>
          <w:p w14:paraId="644E139E">
            <w:pPr>
              <w:ind w:left="-105" w:leftChars="-50" w:right="-105" w:rightChars="-50"/>
              <w:jc w:val="center"/>
              <w:rPr>
                <w:rFonts w:eastAsia="楷体_GB2312"/>
                <w:color w:val="000000"/>
                <w:kern w:val="0"/>
                <w:szCs w:val="21"/>
              </w:rPr>
            </w:pPr>
            <w:r>
              <w:rPr>
                <w:rFonts w:eastAsia="楷体_GB2312"/>
                <w:color w:val="000000"/>
                <w:kern w:val="0"/>
                <w:szCs w:val="21"/>
              </w:rPr>
              <w:t>银行编号</w:t>
            </w:r>
          </w:p>
        </w:tc>
        <w:tc>
          <w:tcPr>
            <w:tcW w:w="3686" w:type="dxa"/>
            <w:noWrap w:val="0"/>
            <w:vAlign w:val="center"/>
          </w:tcPr>
          <w:p w14:paraId="42E4093C">
            <w:pPr>
              <w:ind w:left="-105" w:leftChars="-50" w:right="-105" w:rightChars="-50"/>
              <w:jc w:val="center"/>
              <w:rPr>
                <w:rFonts w:eastAsia="楷体_GB2312"/>
                <w:color w:val="000000"/>
                <w:kern w:val="0"/>
                <w:szCs w:val="21"/>
              </w:rPr>
            </w:pPr>
            <w:r>
              <w:rPr>
                <w:rFonts w:eastAsia="楷体_GB2312"/>
                <w:color w:val="000000"/>
                <w:kern w:val="0"/>
                <w:szCs w:val="21"/>
              </w:rPr>
              <w:t>银行名称</w:t>
            </w:r>
          </w:p>
        </w:tc>
        <w:tc>
          <w:tcPr>
            <w:tcW w:w="850" w:type="dxa"/>
            <w:noWrap w:val="0"/>
            <w:vAlign w:val="center"/>
          </w:tcPr>
          <w:p w14:paraId="3F312B01">
            <w:pPr>
              <w:ind w:left="-105" w:leftChars="-50" w:right="-105" w:rightChars="-50"/>
              <w:jc w:val="center"/>
              <w:rPr>
                <w:rFonts w:eastAsia="楷体_GB2312"/>
                <w:color w:val="000000"/>
                <w:kern w:val="0"/>
                <w:szCs w:val="21"/>
              </w:rPr>
            </w:pPr>
            <w:r>
              <w:rPr>
                <w:rFonts w:eastAsia="楷体_GB2312"/>
                <w:color w:val="000000"/>
                <w:kern w:val="0"/>
                <w:szCs w:val="21"/>
              </w:rPr>
              <w:t>作用指数</w:t>
            </w:r>
          </w:p>
        </w:tc>
        <w:tc>
          <w:tcPr>
            <w:tcW w:w="567" w:type="dxa"/>
            <w:noWrap w:val="0"/>
            <w:vAlign w:val="center"/>
          </w:tcPr>
          <w:p w14:paraId="3CA90D86">
            <w:pPr>
              <w:ind w:left="-105" w:leftChars="-50" w:right="-105" w:rightChars="-50"/>
              <w:jc w:val="center"/>
              <w:rPr>
                <w:rFonts w:eastAsia="楷体_GB2312"/>
                <w:color w:val="000000"/>
                <w:kern w:val="0"/>
                <w:szCs w:val="21"/>
              </w:rPr>
            </w:pPr>
            <w:r>
              <w:rPr>
                <w:rFonts w:eastAsia="楷体_GB2312"/>
                <w:color w:val="000000"/>
                <w:kern w:val="0"/>
                <w:szCs w:val="21"/>
              </w:rPr>
              <w:t>级别</w:t>
            </w:r>
          </w:p>
        </w:tc>
        <w:tc>
          <w:tcPr>
            <w:tcW w:w="709" w:type="dxa"/>
            <w:noWrap w:val="0"/>
            <w:vAlign w:val="center"/>
          </w:tcPr>
          <w:p w14:paraId="6EA8E15B">
            <w:pPr>
              <w:ind w:left="-105" w:leftChars="-50" w:right="-105" w:rightChars="-50"/>
              <w:jc w:val="center"/>
              <w:rPr>
                <w:rFonts w:eastAsia="楷体_GB2312"/>
                <w:color w:val="000000"/>
                <w:kern w:val="0"/>
                <w:szCs w:val="21"/>
              </w:rPr>
            </w:pPr>
            <w:r>
              <w:rPr>
                <w:rFonts w:eastAsia="楷体_GB2312"/>
                <w:color w:val="000000"/>
                <w:kern w:val="0"/>
                <w:szCs w:val="21"/>
              </w:rPr>
              <w:t>功能分</w:t>
            </w:r>
          </w:p>
        </w:tc>
        <w:tc>
          <w:tcPr>
            <w:tcW w:w="1274" w:type="dxa"/>
            <w:noWrap w:val="0"/>
            <w:vAlign w:val="center"/>
          </w:tcPr>
          <w:p w14:paraId="12BE0511">
            <w:pPr>
              <w:ind w:left="-105" w:leftChars="-50" w:right="-105" w:rightChars="-50"/>
              <w:jc w:val="center"/>
              <w:rPr>
                <w:rFonts w:eastAsia="楷体_GB2312"/>
                <w:color w:val="000000"/>
                <w:kern w:val="0"/>
                <w:szCs w:val="21"/>
              </w:rPr>
            </w:pPr>
            <w:r>
              <w:rPr>
                <w:rFonts w:eastAsia="楷体_GB2312"/>
                <w:color w:val="000000"/>
                <w:kern w:val="0"/>
                <w:szCs w:val="21"/>
              </w:rPr>
              <w:t>影响半径（米）</w:t>
            </w:r>
          </w:p>
        </w:tc>
      </w:tr>
      <w:tr w14:paraId="2307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restart"/>
            <w:noWrap w:val="0"/>
            <w:vAlign w:val="center"/>
          </w:tcPr>
          <w:p w14:paraId="4249D02F">
            <w:pPr>
              <w:jc w:val="center"/>
              <w:rPr>
                <w:color w:val="000000"/>
                <w:kern w:val="0"/>
                <w:szCs w:val="21"/>
              </w:rPr>
            </w:pPr>
            <w:r>
              <w:rPr>
                <w:color w:val="000000"/>
                <w:kern w:val="0"/>
                <w:szCs w:val="21"/>
              </w:rPr>
              <w:t>1</w:t>
            </w:r>
          </w:p>
        </w:tc>
        <w:tc>
          <w:tcPr>
            <w:tcW w:w="850" w:type="dxa"/>
            <w:vMerge w:val="restart"/>
            <w:noWrap w:val="0"/>
            <w:vAlign w:val="center"/>
          </w:tcPr>
          <w:p w14:paraId="4F51469A">
            <w:pPr>
              <w:jc w:val="center"/>
              <w:rPr>
                <w:rFonts w:eastAsia="楷体_GB2312"/>
                <w:color w:val="000000"/>
                <w:kern w:val="0"/>
                <w:szCs w:val="21"/>
              </w:rPr>
            </w:pPr>
            <w:r>
              <w:rPr>
                <w:rFonts w:eastAsia="楷体_GB2312"/>
                <w:color w:val="000000"/>
                <w:kern w:val="0"/>
                <w:szCs w:val="21"/>
              </w:rPr>
              <w:t>符离镇</w:t>
            </w:r>
          </w:p>
        </w:tc>
        <w:tc>
          <w:tcPr>
            <w:tcW w:w="567" w:type="dxa"/>
            <w:noWrap w:val="0"/>
            <w:vAlign w:val="center"/>
          </w:tcPr>
          <w:p w14:paraId="293DD025">
            <w:pPr>
              <w:jc w:val="center"/>
              <w:rPr>
                <w:color w:val="000000"/>
                <w:kern w:val="0"/>
                <w:szCs w:val="21"/>
              </w:rPr>
            </w:pPr>
            <w:r>
              <w:rPr>
                <w:color w:val="000000"/>
                <w:kern w:val="0"/>
                <w:szCs w:val="21"/>
              </w:rPr>
              <w:t>1</w:t>
            </w:r>
          </w:p>
        </w:tc>
        <w:tc>
          <w:tcPr>
            <w:tcW w:w="3686" w:type="dxa"/>
            <w:noWrap w:val="0"/>
            <w:vAlign w:val="center"/>
          </w:tcPr>
          <w:p w14:paraId="10208996">
            <w:pPr>
              <w:jc w:val="center"/>
              <w:rPr>
                <w:rFonts w:eastAsia="楷体_GB2312"/>
                <w:color w:val="000000"/>
                <w:kern w:val="0"/>
                <w:szCs w:val="21"/>
              </w:rPr>
            </w:pPr>
            <w:r>
              <w:rPr>
                <w:rFonts w:eastAsia="楷体_GB2312"/>
                <w:color w:val="000000"/>
                <w:kern w:val="0"/>
                <w:szCs w:val="21"/>
              </w:rPr>
              <w:t>中国农业银行（宿州符离分理处）</w:t>
            </w:r>
          </w:p>
        </w:tc>
        <w:tc>
          <w:tcPr>
            <w:tcW w:w="850" w:type="dxa"/>
            <w:noWrap/>
            <w:vAlign w:val="center"/>
          </w:tcPr>
          <w:p w14:paraId="5FAC9D49">
            <w:pPr>
              <w:jc w:val="center"/>
              <w:rPr>
                <w:color w:val="000000"/>
                <w:kern w:val="0"/>
                <w:szCs w:val="21"/>
              </w:rPr>
            </w:pPr>
            <w:r>
              <w:rPr>
                <w:color w:val="000000"/>
                <w:kern w:val="0"/>
                <w:szCs w:val="21"/>
              </w:rPr>
              <w:t>1.0000</w:t>
            </w:r>
          </w:p>
        </w:tc>
        <w:tc>
          <w:tcPr>
            <w:tcW w:w="567" w:type="dxa"/>
            <w:noWrap/>
            <w:vAlign w:val="center"/>
          </w:tcPr>
          <w:p w14:paraId="618C0438">
            <w:pPr>
              <w:jc w:val="center"/>
              <w:rPr>
                <w:color w:val="000000"/>
                <w:kern w:val="0"/>
                <w:szCs w:val="21"/>
              </w:rPr>
            </w:pPr>
            <w:r>
              <w:rPr>
                <w:color w:val="000000"/>
                <w:kern w:val="0"/>
                <w:szCs w:val="21"/>
              </w:rPr>
              <w:t>1</w:t>
            </w:r>
          </w:p>
        </w:tc>
        <w:tc>
          <w:tcPr>
            <w:tcW w:w="709" w:type="dxa"/>
            <w:noWrap/>
            <w:vAlign w:val="center"/>
          </w:tcPr>
          <w:p w14:paraId="5737DABC">
            <w:pPr>
              <w:jc w:val="center"/>
              <w:rPr>
                <w:color w:val="000000"/>
                <w:kern w:val="0"/>
                <w:szCs w:val="21"/>
              </w:rPr>
            </w:pPr>
            <w:r>
              <w:rPr>
                <w:color w:val="000000"/>
                <w:kern w:val="0"/>
                <w:szCs w:val="21"/>
              </w:rPr>
              <w:t>100</w:t>
            </w:r>
          </w:p>
        </w:tc>
        <w:tc>
          <w:tcPr>
            <w:tcW w:w="1274" w:type="dxa"/>
            <w:noWrap/>
            <w:vAlign w:val="center"/>
          </w:tcPr>
          <w:p w14:paraId="49134B2E">
            <w:pPr>
              <w:jc w:val="center"/>
              <w:rPr>
                <w:color w:val="000000"/>
                <w:kern w:val="0"/>
                <w:szCs w:val="21"/>
              </w:rPr>
            </w:pPr>
            <w:r>
              <w:rPr>
                <w:rFonts w:hint="eastAsia"/>
                <w:color w:val="000000"/>
                <w:kern w:val="0"/>
                <w:szCs w:val="21"/>
              </w:rPr>
              <w:t>3000</w:t>
            </w:r>
          </w:p>
        </w:tc>
      </w:tr>
      <w:tr w14:paraId="38D5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565067D7">
            <w:pPr>
              <w:jc w:val="center"/>
              <w:rPr>
                <w:color w:val="000000"/>
                <w:kern w:val="0"/>
                <w:szCs w:val="21"/>
              </w:rPr>
            </w:pPr>
          </w:p>
        </w:tc>
        <w:tc>
          <w:tcPr>
            <w:tcW w:w="850" w:type="dxa"/>
            <w:vMerge w:val="continue"/>
            <w:noWrap w:val="0"/>
            <w:vAlign w:val="center"/>
          </w:tcPr>
          <w:p w14:paraId="22E2F9C6">
            <w:pPr>
              <w:jc w:val="center"/>
              <w:rPr>
                <w:rFonts w:eastAsia="楷体_GB2312"/>
                <w:color w:val="000000"/>
                <w:kern w:val="0"/>
                <w:szCs w:val="21"/>
              </w:rPr>
            </w:pPr>
          </w:p>
        </w:tc>
        <w:tc>
          <w:tcPr>
            <w:tcW w:w="567" w:type="dxa"/>
            <w:noWrap w:val="0"/>
            <w:vAlign w:val="center"/>
          </w:tcPr>
          <w:p w14:paraId="2796C84F">
            <w:pPr>
              <w:jc w:val="center"/>
              <w:rPr>
                <w:color w:val="000000"/>
                <w:kern w:val="0"/>
                <w:szCs w:val="21"/>
              </w:rPr>
            </w:pPr>
            <w:r>
              <w:rPr>
                <w:color w:val="000000"/>
                <w:kern w:val="0"/>
                <w:szCs w:val="21"/>
              </w:rPr>
              <w:t>2</w:t>
            </w:r>
          </w:p>
        </w:tc>
        <w:tc>
          <w:tcPr>
            <w:tcW w:w="3686" w:type="dxa"/>
            <w:noWrap w:val="0"/>
            <w:vAlign w:val="center"/>
          </w:tcPr>
          <w:p w14:paraId="4DED37AC">
            <w:pPr>
              <w:jc w:val="center"/>
              <w:rPr>
                <w:rFonts w:eastAsia="楷体_GB2312"/>
                <w:color w:val="000000"/>
                <w:kern w:val="0"/>
                <w:szCs w:val="21"/>
              </w:rPr>
            </w:pPr>
            <w:r>
              <w:rPr>
                <w:rFonts w:eastAsia="楷体_GB2312"/>
                <w:color w:val="000000"/>
                <w:kern w:val="0"/>
                <w:szCs w:val="21"/>
              </w:rPr>
              <w:t>宿州农商银行（符离支行）</w:t>
            </w:r>
          </w:p>
        </w:tc>
        <w:tc>
          <w:tcPr>
            <w:tcW w:w="850" w:type="dxa"/>
            <w:noWrap/>
            <w:vAlign w:val="center"/>
          </w:tcPr>
          <w:p w14:paraId="151A78F4">
            <w:pPr>
              <w:jc w:val="center"/>
              <w:rPr>
                <w:color w:val="000000"/>
                <w:kern w:val="0"/>
                <w:szCs w:val="21"/>
              </w:rPr>
            </w:pPr>
            <w:r>
              <w:rPr>
                <w:color w:val="000000"/>
                <w:kern w:val="0"/>
                <w:szCs w:val="21"/>
              </w:rPr>
              <w:t>0.9805</w:t>
            </w:r>
          </w:p>
        </w:tc>
        <w:tc>
          <w:tcPr>
            <w:tcW w:w="567" w:type="dxa"/>
            <w:noWrap/>
            <w:vAlign w:val="center"/>
          </w:tcPr>
          <w:p w14:paraId="05C99857">
            <w:pPr>
              <w:jc w:val="center"/>
              <w:rPr>
                <w:color w:val="000000"/>
                <w:kern w:val="0"/>
                <w:szCs w:val="21"/>
              </w:rPr>
            </w:pPr>
            <w:r>
              <w:rPr>
                <w:color w:val="000000"/>
                <w:kern w:val="0"/>
                <w:szCs w:val="21"/>
              </w:rPr>
              <w:t>1</w:t>
            </w:r>
          </w:p>
        </w:tc>
        <w:tc>
          <w:tcPr>
            <w:tcW w:w="709" w:type="dxa"/>
            <w:noWrap/>
            <w:vAlign w:val="center"/>
          </w:tcPr>
          <w:p w14:paraId="4374E4A7">
            <w:pPr>
              <w:jc w:val="center"/>
              <w:rPr>
                <w:color w:val="000000"/>
                <w:kern w:val="0"/>
                <w:szCs w:val="21"/>
              </w:rPr>
            </w:pPr>
            <w:r>
              <w:rPr>
                <w:rFonts w:hint="eastAsia"/>
                <w:color w:val="000000"/>
                <w:kern w:val="0"/>
                <w:szCs w:val="21"/>
              </w:rPr>
              <w:t>98</w:t>
            </w:r>
          </w:p>
        </w:tc>
        <w:tc>
          <w:tcPr>
            <w:tcW w:w="1274" w:type="dxa"/>
            <w:noWrap/>
            <w:vAlign w:val="center"/>
          </w:tcPr>
          <w:p w14:paraId="6C5604C3">
            <w:pPr>
              <w:jc w:val="center"/>
              <w:rPr>
                <w:color w:val="000000"/>
                <w:kern w:val="0"/>
                <w:szCs w:val="21"/>
              </w:rPr>
            </w:pPr>
            <w:r>
              <w:rPr>
                <w:rFonts w:hint="eastAsia"/>
                <w:color w:val="000000"/>
                <w:kern w:val="0"/>
                <w:szCs w:val="21"/>
              </w:rPr>
              <w:t>3000</w:t>
            </w:r>
          </w:p>
        </w:tc>
      </w:tr>
      <w:tr w14:paraId="2916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6D85EA1C">
            <w:pPr>
              <w:jc w:val="center"/>
              <w:rPr>
                <w:color w:val="000000"/>
                <w:kern w:val="0"/>
                <w:szCs w:val="21"/>
              </w:rPr>
            </w:pPr>
          </w:p>
        </w:tc>
        <w:tc>
          <w:tcPr>
            <w:tcW w:w="850" w:type="dxa"/>
            <w:vMerge w:val="continue"/>
            <w:noWrap w:val="0"/>
            <w:vAlign w:val="center"/>
          </w:tcPr>
          <w:p w14:paraId="7448A549">
            <w:pPr>
              <w:jc w:val="center"/>
              <w:rPr>
                <w:rFonts w:eastAsia="楷体_GB2312"/>
                <w:color w:val="000000"/>
                <w:kern w:val="0"/>
                <w:szCs w:val="21"/>
              </w:rPr>
            </w:pPr>
          </w:p>
        </w:tc>
        <w:tc>
          <w:tcPr>
            <w:tcW w:w="567" w:type="dxa"/>
            <w:noWrap w:val="0"/>
            <w:vAlign w:val="center"/>
          </w:tcPr>
          <w:p w14:paraId="4B6CCF05">
            <w:pPr>
              <w:jc w:val="center"/>
              <w:rPr>
                <w:color w:val="000000"/>
                <w:kern w:val="0"/>
                <w:szCs w:val="21"/>
              </w:rPr>
            </w:pPr>
            <w:r>
              <w:rPr>
                <w:color w:val="000000"/>
                <w:kern w:val="0"/>
                <w:szCs w:val="21"/>
              </w:rPr>
              <w:t>3</w:t>
            </w:r>
          </w:p>
        </w:tc>
        <w:tc>
          <w:tcPr>
            <w:tcW w:w="3686" w:type="dxa"/>
            <w:noWrap w:val="0"/>
            <w:vAlign w:val="center"/>
          </w:tcPr>
          <w:p w14:paraId="314B5742">
            <w:pPr>
              <w:jc w:val="center"/>
              <w:rPr>
                <w:rFonts w:eastAsia="楷体_GB2312"/>
                <w:color w:val="000000"/>
                <w:kern w:val="0"/>
                <w:szCs w:val="21"/>
              </w:rPr>
            </w:pPr>
            <w:r>
              <w:rPr>
                <w:rFonts w:eastAsia="楷体_GB2312"/>
                <w:color w:val="000000"/>
                <w:kern w:val="0"/>
                <w:szCs w:val="21"/>
              </w:rPr>
              <w:t>淮海村镇银行（符离支行）</w:t>
            </w:r>
          </w:p>
        </w:tc>
        <w:tc>
          <w:tcPr>
            <w:tcW w:w="850" w:type="dxa"/>
            <w:noWrap/>
            <w:vAlign w:val="center"/>
          </w:tcPr>
          <w:p w14:paraId="5212D655">
            <w:pPr>
              <w:jc w:val="center"/>
              <w:rPr>
                <w:color w:val="000000"/>
                <w:kern w:val="0"/>
                <w:szCs w:val="21"/>
              </w:rPr>
            </w:pPr>
            <w:r>
              <w:rPr>
                <w:color w:val="000000"/>
                <w:kern w:val="0"/>
                <w:szCs w:val="21"/>
              </w:rPr>
              <w:t>0.2537</w:t>
            </w:r>
          </w:p>
        </w:tc>
        <w:tc>
          <w:tcPr>
            <w:tcW w:w="567" w:type="dxa"/>
            <w:noWrap/>
            <w:vAlign w:val="center"/>
          </w:tcPr>
          <w:p w14:paraId="6DC58E2A">
            <w:pPr>
              <w:jc w:val="center"/>
              <w:rPr>
                <w:color w:val="000000"/>
                <w:kern w:val="0"/>
                <w:szCs w:val="21"/>
              </w:rPr>
            </w:pPr>
            <w:r>
              <w:rPr>
                <w:color w:val="000000"/>
                <w:kern w:val="0"/>
                <w:szCs w:val="21"/>
              </w:rPr>
              <w:t>2</w:t>
            </w:r>
          </w:p>
        </w:tc>
        <w:tc>
          <w:tcPr>
            <w:tcW w:w="709" w:type="dxa"/>
            <w:noWrap/>
            <w:vAlign w:val="center"/>
          </w:tcPr>
          <w:p w14:paraId="02AD9FAA">
            <w:pPr>
              <w:jc w:val="center"/>
              <w:rPr>
                <w:color w:val="000000"/>
                <w:kern w:val="0"/>
                <w:szCs w:val="21"/>
              </w:rPr>
            </w:pPr>
            <w:r>
              <w:rPr>
                <w:rFonts w:hint="eastAsia"/>
                <w:color w:val="000000"/>
                <w:kern w:val="0"/>
                <w:szCs w:val="21"/>
              </w:rPr>
              <w:t>25</w:t>
            </w:r>
          </w:p>
        </w:tc>
        <w:tc>
          <w:tcPr>
            <w:tcW w:w="1274" w:type="dxa"/>
            <w:noWrap/>
            <w:vAlign w:val="center"/>
          </w:tcPr>
          <w:p w14:paraId="5BB61D2D">
            <w:pPr>
              <w:jc w:val="center"/>
              <w:rPr>
                <w:color w:val="000000"/>
                <w:kern w:val="0"/>
                <w:szCs w:val="21"/>
              </w:rPr>
            </w:pPr>
            <w:r>
              <w:rPr>
                <w:rFonts w:hint="eastAsia"/>
                <w:color w:val="000000"/>
                <w:kern w:val="0"/>
                <w:szCs w:val="21"/>
              </w:rPr>
              <w:t>2800</w:t>
            </w:r>
          </w:p>
        </w:tc>
      </w:tr>
      <w:tr w14:paraId="27DBD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358CDA01">
            <w:pPr>
              <w:jc w:val="center"/>
              <w:rPr>
                <w:color w:val="000000"/>
                <w:kern w:val="0"/>
                <w:szCs w:val="21"/>
              </w:rPr>
            </w:pPr>
          </w:p>
        </w:tc>
        <w:tc>
          <w:tcPr>
            <w:tcW w:w="850" w:type="dxa"/>
            <w:vMerge w:val="continue"/>
            <w:noWrap w:val="0"/>
            <w:vAlign w:val="center"/>
          </w:tcPr>
          <w:p w14:paraId="42C43BCF">
            <w:pPr>
              <w:jc w:val="center"/>
              <w:rPr>
                <w:rFonts w:eastAsia="楷体_GB2312"/>
                <w:color w:val="000000"/>
                <w:kern w:val="0"/>
                <w:szCs w:val="21"/>
              </w:rPr>
            </w:pPr>
          </w:p>
        </w:tc>
        <w:tc>
          <w:tcPr>
            <w:tcW w:w="567" w:type="dxa"/>
            <w:noWrap w:val="0"/>
            <w:vAlign w:val="center"/>
          </w:tcPr>
          <w:p w14:paraId="7892D366">
            <w:pPr>
              <w:jc w:val="center"/>
              <w:rPr>
                <w:color w:val="000000"/>
                <w:kern w:val="0"/>
                <w:szCs w:val="21"/>
              </w:rPr>
            </w:pPr>
            <w:r>
              <w:rPr>
                <w:color w:val="000000"/>
                <w:kern w:val="0"/>
                <w:szCs w:val="21"/>
              </w:rPr>
              <w:t>4</w:t>
            </w:r>
          </w:p>
        </w:tc>
        <w:tc>
          <w:tcPr>
            <w:tcW w:w="3686" w:type="dxa"/>
            <w:noWrap w:val="0"/>
            <w:vAlign w:val="center"/>
          </w:tcPr>
          <w:p w14:paraId="2451F2D5">
            <w:pPr>
              <w:jc w:val="center"/>
              <w:rPr>
                <w:rFonts w:eastAsia="楷体_GB2312"/>
                <w:color w:val="000000"/>
                <w:kern w:val="0"/>
                <w:szCs w:val="21"/>
              </w:rPr>
            </w:pPr>
            <w:r>
              <w:rPr>
                <w:rFonts w:eastAsia="楷体_GB2312"/>
                <w:color w:val="000000"/>
                <w:kern w:val="0"/>
                <w:szCs w:val="21"/>
              </w:rPr>
              <w:t>中国邮政储蓄银行（符离邮政支局）</w:t>
            </w:r>
          </w:p>
        </w:tc>
        <w:tc>
          <w:tcPr>
            <w:tcW w:w="850" w:type="dxa"/>
            <w:noWrap/>
            <w:vAlign w:val="center"/>
          </w:tcPr>
          <w:p w14:paraId="042CD50D">
            <w:pPr>
              <w:jc w:val="center"/>
              <w:rPr>
                <w:color w:val="000000"/>
                <w:kern w:val="0"/>
                <w:szCs w:val="21"/>
              </w:rPr>
            </w:pPr>
            <w:r>
              <w:rPr>
                <w:color w:val="000000"/>
                <w:kern w:val="0"/>
                <w:szCs w:val="21"/>
              </w:rPr>
              <w:t>0.9171</w:t>
            </w:r>
          </w:p>
        </w:tc>
        <w:tc>
          <w:tcPr>
            <w:tcW w:w="567" w:type="dxa"/>
            <w:noWrap/>
            <w:vAlign w:val="center"/>
          </w:tcPr>
          <w:p w14:paraId="7444BE4B">
            <w:pPr>
              <w:jc w:val="center"/>
              <w:rPr>
                <w:color w:val="000000"/>
                <w:kern w:val="0"/>
                <w:szCs w:val="21"/>
              </w:rPr>
            </w:pPr>
            <w:r>
              <w:rPr>
                <w:color w:val="000000"/>
                <w:kern w:val="0"/>
                <w:szCs w:val="21"/>
              </w:rPr>
              <w:t>1</w:t>
            </w:r>
          </w:p>
        </w:tc>
        <w:tc>
          <w:tcPr>
            <w:tcW w:w="709" w:type="dxa"/>
            <w:noWrap/>
            <w:vAlign w:val="center"/>
          </w:tcPr>
          <w:p w14:paraId="527B761F">
            <w:pPr>
              <w:jc w:val="center"/>
              <w:rPr>
                <w:color w:val="000000"/>
                <w:kern w:val="0"/>
                <w:szCs w:val="21"/>
              </w:rPr>
            </w:pPr>
            <w:r>
              <w:rPr>
                <w:rFonts w:hint="eastAsia"/>
                <w:color w:val="000000"/>
                <w:kern w:val="0"/>
                <w:szCs w:val="21"/>
              </w:rPr>
              <w:t>92</w:t>
            </w:r>
          </w:p>
        </w:tc>
        <w:tc>
          <w:tcPr>
            <w:tcW w:w="1274" w:type="dxa"/>
            <w:noWrap/>
            <w:vAlign w:val="center"/>
          </w:tcPr>
          <w:p w14:paraId="6BD2C214">
            <w:pPr>
              <w:jc w:val="center"/>
              <w:rPr>
                <w:color w:val="000000"/>
                <w:kern w:val="0"/>
                <w:szCs w:val="21"/>
              </w:rPr>
            </w:pPr>
            <w:r>
              <w:rPr>
                <w:rFonts w:hint="eastAsia"/>
                <w:color w:val="000000"/>
                <w:kern w:val="0"/>
                <w:szCs w:val="21"/>
              </w:rPr>
              <w:t>3000</w:t>
            </w:r>
          </w:p>
        </w:tc>
      </w:tr>
      <w:tr w14:paraId="65B81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75EE9B98">
            <w:pPr>
              <w:jc w:val="center"/>
              <w:rPr>
                <w:color w:val="000000"/>
                <w:kern w:val="0"/>
                <w:szCs w:val="21"/>
              </w:rPr>
            </w:pPr>
          </w:p>
        </w:tc>
        <w:tc>
          <w:tcPr>
            <w:tcW w:w="850" w:type="dxa"/>
            <w:vMerge w:val="continue"/>
            <w:noWrap w:val="0"/>
            <w:vAlign w:val="center"/>
          </w:tcPr>
          <w:p w14:paraId="3AD933A7">
            <w:pPr>
              <w:jc w:val="center"/>
              <w:rPr>
                <w:rFonts w:eastAsia="楷体_GB2312"/>
                <w:color w:val="000000"/>
                <w:kern w:val="0"/>
                <w:szCs w:val="21"/>
              </w:rPr>
            </w:pPr>
          </w:p>
        </w:tc>
        <w:tc>
          <w:tcPr>
            <w:tcW w:w="567" w:type="dxa"/>
            <w:noWrap w:val="0"/>
            <w:vAlign w:val="center"/>
          </w:tcPr>
          <w:p w14:paraId="38A0A857">
            <w:pPr>
              <w:jc w:val="center"/>
              <w:rPr>
                <w:color w:val="000000"/>
                <w:kern w:val="0"/>
                <w:szCs w:val="21"/>
              </w:rPr>
            </w:pPr>
            <w:r>
              <w:rPr>
                <w:color w:val="000000"/>
                <w:kern w:val="0"/>
                <w:szCs w:val="21"/>
              </w:rPr>
              <w:t>5</w:t>
            </w:r>
          </w:p>
        </w:tc>
        <w:tc>
          <w:tcPr>
            <w:tcW w:w="3686" w:type="dxa"/>
            <w:noWrap w:val="0"/>
            <w:vAlign w:val="center"/>
          </w:tcPr>
          <w:p w14:paraId="500FE848">
            <w:pPr>
              <w:jc w:val="center"/>
              <w:rPr>
                <w:rFonts w:eastAsia="楷体_GB2312"/>
                <w:color w:val="000000"/>
                <w:kern w:val="0"/>
                <w:szCs w:val="21"/>
              </w:rPr>
            </w:pPr>
            <w:r>
              <w:rPr>
                <w:rFonts w:eastAsia="楷体_GB2312"/>
                <w:color w:val="000000"/>
                <w:kern w:val="0"/>
                <w:szCs w:val="21"/>
              </w:rPr>
              <w:t>徽商银行（符离支行）</w:t>
            </w:r>
          </w:p>
        </w:tc>
        <w:tc>
          <w:tcPr>
            <w:tcW w:w="850" w:type="dxa"/>
            <w:noWrap/>
            <w:vAlign w:val="center"/>
          </w:tcPr>
          <w:p w14:paraId="51883A92">
            <w:pPr>
              <w:jc w:val="center"/>
              <w:rPr>
                <w:color w:val="000000"/>
                <w:kern w:val="0"/>
                <w:szCs w:val="21"/>
              </w:rPr>
            </w:pPr>
            <w:r>
              <w:rPr>
                <w:color w:val="000000"/>
                <w:kern w:val="0"/>
                <w:szCs w:val="21"/>
              </w:rPr>
              <w:t>0.3610</w:t>
            </w:r>
          </w:p>
        </w:tc>
        <w:tc>
          <w:tcPr>
            <w:tcW w:w="567" w:type="dxa"/>
            <w:noWrap/>
            <w:vAlign w:val="center"/>
          </w:tcPr>
          <w:p w14:paraId="5AA58802">
            <w:pPr>
              <w:jc w:val="center"/>
              <w:rPr>
                <w:color w:val="000000"/>
                <w:kern w:val="0"/>
                <w:szCs w:val="21"/>
              </w:rPr>
            </w:pPr>
            <w:r>
              <w:rPr>
                <w:color w:val="000000"/>
                <w:kern w:val="0"/>
                <w:szCs w:val="21"/>
              </w:rPr>
              <w:t>2</w:t>
            </w:r>
          </w:p>
        </w:tc>
        <w:tc>
          <w:tcPr>
            <w:tcW w:w="709" w:type="dxa"/>
            <w:noWrap/>
            <w:vAlign w:val="center"/>
          </w:tcPr>
          <w:p w14:paraId="57826687">
            <w:pPr>
              <w:jc w:val="center"/>
              <w:rPr>
                <w:color w:val="000000"/>
                <w:kern w:val="0"/>
                <w:szCs w:val="21"/>
              </w:rPr>
            </w:pPr>
            <w:r>
              <w:rPr>
                <w:color w:val="000000"/>
                <w:kern w:val="0"/>
                <w:szCs w:val="21"/>
              </w:rPr>
              <w:t>36</w:t>
            </w:r>
          </w:p>
        </w:tc>
        <w:tc>
          <w:tcPr>
            <w:tcW w:w="1274" w:type="dxa"/>
            <w:noWrap/>
            <w:vAlign w:val="center"/>
          </w:tcPr>
          <w:p w14:paraId="7941DB64">
            <w:pPr>
              <w:jc w:val="center"/>
              <w:rPr>
                <w:color w:val="000000"/>
                <w:kern w:val="0"/>
                <w:szCs w:val="21"/>
              </w:rPr>
            </w:pPr>
            <w:r>
              <w:rPr>
                <w:rFonts w:hint="eastAsia"/>
                <w:color w:val="000000"/>
                <w:kern w:val="0"/>
                <w:szCs w:val="21"/>
              </w:rPr>
              <w:t>2800</w:t>
            </w:r>
          </w:p>
        </w:tc>
      </w:tr>
      <w:tr w14:paraId="35B4B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restart"/>
            <w:noWrap w:val="0"/>
            <w:vAlign w:val="center"/>
          </w:tcPr>
          <w:p w14:paraId="3D02122B">
            <w:pPr>
              <w:jc w:val="center"/>
              <w:rPr>
                <w:color w:val="000000"/>
                <w:kern w:val="0"/>
                <w:szCs w:val="21"/>
              </w:rPr>
            </w:pPr>
            <w:r>
              <w:rPr>
                <w:color w:val="000000"/>
                <w:kern w:val="0"/>
                <w:szCs w:val="21"/>
              </w:rPr>
              <w:t>2</w:t>
            </w:r>
          </w:p>
        </w:tc>
        <w:tc>
          <w:tcPr>
            <w:tcW w:w="850" w:type="dxa"/>
            <w:vMerge w:val="restart"/>
            <w:noWrap w:val="0"/>
            <w:vAlign w:val="center"/>
          </w:tcPr>
          <w:p w14:paraId="15115C4C">
            <w:pPr>
              <w:jc w:val="center"/>
              <w:rPr>
                <w:rFonts w:eastAsia="楷体_GB2312"/>
                <w:color w:val="000000"/>
                <w:kern w:val="0"/>
                <w:szCs w:val="21"/>
              </w:rPr>
            </w:pPr>
            <w:r>
              <w:rPr>
                <w:rFonts w:eastAsia="楷体_GB2312"/>
                <w:color w:val="000000"/>
                <w:kern w:val="0"/>
                <w:szCs w:val="21"/>
              </w:rPr>
              <w:t>朱仙庄镇</w:t>
            </w:r>
          </w:p>
        </w:tc>
        <w:tc>
          <w:tcPr>
            <w:tcW w:w="567" w:type="dxa"/>
            <w:noWrap w:val="0"/>
            <w:vAlign w:val="center"/>
          </w:tcPr>
          <w:p w14:paraId="7507FB1E">
            <w:pPr>
              <w:jc w:val="center"/>
              <w:rPr>
                <w:color w:val="000000"/>
                <w:kern w:val="0"/>
                <w:szCs w:val="21"/>
              </w:rPr>
            </w:pPr>
            <w:r>
              <w:rPr>
                <w:color w:val="000000"/>
                <w:kern w:val="0"/>
                <w:szCs w:val="21"/>
              </w:rPr>
              <w:t>1</w:t>
            </w:r>
          </w:p>
        </w:tc>
        <w:tc>
          <w:tcPr>
            <w:tcW w:w="3686" w:type="dxa"/>
            <w:noWrap w:val="0"/>
            <w:vAlign w:val="center"/>
          </w:tcPr>
          <w:p w14:paraId="353C7E91">
            <w:pPr>
              <w:jc w:val="center"/>
              <w:rPr>
                <w:rFonts w:eastAsia="楷体_GB2312"/>
                <w:color w:val="000000"/>
                <w:kern w:val="0"/>
                <w:szCs w:val="21"/>
              </w:rPr>
            </w:pPr>
            <w:r>
              <w:rPr>
                <w:rFonts w:eastAsia="楷体_GB2312"/>
                <w:color w:val="000000"/>
                <w:kern w:val="0"/>
                <w:szCs w:val="21"/>
              </w:rPr>
              <w:t>中国工商银行（宿州朱仙庄支行）</w:t>
            </w:r>
          </w:p>
        </w:tc>
        <w:tc>
          <w:tcPr>
            <w:tcW w:w="850" w:type="dxa"/>
            <w:noWrap/>
            <w:vAlign w:val="center"/>
          </w:tcPr>
          <w:p w14:paraId="536F415D">
            <w:pPr>
              <w:jc w:val="center"/>
              <w:rPr>
                <w:color w:val="000000"/>
                <w:kern w:val="0"/>
                <w:szCs w:val="21"/>
              </w:rPr>
            </w:pPr>
            <w:r>
              <w:rPr>
                <w:color w:val="000000"/>
                <w:kern w:val="0"/>
                <w:szCs w:val="21"/>
              </w:rPr>
              <w:t>0.7672</w:t>
            </w:r>
          </w:p>
        </w:tc>
        <w:tc>
          <w:tcPr>
            <w:tcW w:w="567" w:type="dxa"/>
            <w:noWrap/>
            <w:vAlign w:val="center"/>
          </w:tcPr>
          <w:p w14:paraId="3FFDE6EA">
            <w:pPr>
              <w:jc w:val="center"/>
              <w:rPr>
                <w:color w:val="000000"/>
                <w:kern w:val="0"/>
                <w:szCs w:val="21"/>
              </w:rPr>
            </w:pPr>
            <w:r>
              <w:rPr>
                <w:color w:val="000000"/>
                <w:kern w:val="0"/>
                <w:szCs w:val="21"/>
              </w:rPr>
              <w:t>2</w:t>
            </w:r>
          </w:p>
        </w:tc>
        <w:tc>
          <w:tcPr>
            <w:tcW w:w="709" w:type="dxa"/>
            <w:noWrap/>
            <w:vAlign w:val="center"/>
          </w:tcPr>
          <w:p w14:paraId="21C1EA77">
            <w:pPr>
              <w:jc w:val="center"/>
              <w:rPr>
                <w:color w:val="000000"/>
                <w:kern w:val="0"/>
                <w:szCs w:val="21"/>
              </w:rPr>
            </w:pPr>
            <w:r>
              <w:rPr>
                <w:color w:val="000000"/>
                <w:kern w:val="0"/>
                <w:szCs w:val="21"/>
              </w:rPr>
              <w:t>77</w:t>
            </w:r>
          </w:p>
        </w:tc>
        <w:tc>
          <w:tcPr>
            <w:tcW w:w="1274" w:type="dxa"/>
            <w:noWrap/>
            <w:vAlign w:val="center"/>
          </w:tcPr>
          <w:p w14:paraId="2BDE065C">
            <w:pPr>
              <w:jc w:val="center"/>
              <w:rPr>
                <w:color w:val="000000"/>
                <w:kern w:val="0"/>
                <w:szCs w:val="21"/>
              </w:rPr>
            </w:pPr>
            <w:r>
              <w:rPr>
                <w:rFonts w:hint="eastAsia"/>
                <w:color w:val="000000"/>
                <w:kern w:val="0"/>
                <w:szCs w:val="21"/>
              </w:rPr>
              <w:t>2800</w:t>
            </w:r>
          </w:p>
        </w:tc>
      </w:tr>
      <w:tr w14:paraId="1D00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68AD7EF2">
            <w:pPr>
              <w:jc w:val="center"/>
              <w:rPr>
                <w:color w:val="000000"/>
                <w:kern w:val="0"/>
                <w:szCs w:val="21"/>
              </w:rPr>
            </w:pPr>
          </w:p>
        </w:tc>
        <w:tc>
          <w:tcPr>
            <w:tcW w:w="850" w:type="dxa"/>
            <w:vMerge w:val="continue"/>
            <w:noWrap w:val="0"/>
            <w:vAlign w:val="center"/>
          </w:tcPr>
          <w:p w14:paraId="2156AAC4">
            <w:pPr>
              <w:jc w:val="center"/>
              <w:rPr>
                <w:rFonts w:eastAsia="楷体_GB2312"/>
                <w:color w:val="000000"/>
                <w:kern w:val="0"/>
                <w:szCs w:val="21"/>
              </w:rPr>
            </w:pPr>
          </w:p>
        </w:tc>
        <w:tc>
          <w:tcPr>
            <w:tcW w:w="567" w:type="dxa"/>
            <w:noWrap w:val="0"/>
            <w:vAlign w:val="center"/>
          </w:tcPr>
          <w:p w14:paraId="3C100C46">
            <w:pPr>
              <w:jc w:val="center"/>
              <w:rPr>
                <w:color w:val="000000"/>
                <w:kern w:val="0"/>
                <w:szCs w:val="21"/>
              </w:rPr>
            </w:pPr>
            <w:r>
              <w:rPr>
                <w:color w:val="000000"/>
                <w:kern w:val="0"/>
                <w:szCs w:val="21"/>
              </w:rPr>
              <w:t>2</w:t>
            </w:r>
          </w:p>
        </w:tc>
        <w:tc>
          <w:tcPr>
            <w:tcW w:w="3686" w:type="dxa"/>
            <w:noWrap w:val="0"/>
            <w:vAlign w:val="center"/>
          </w:tcPr>
          <w:p w14:paraId="67755B34">
            <w:pPr>
              <w:jc w:val="center"/>
              <w:rPr>
                <w:rFonts w:eastAsia="楷体_GB2312"/>
                <w:color w:val="000000"/>
                <w:kern w:val="0"/>
                <w:szCs w:val="21"/>
              </w:rPr>
            </w:pPr>
            <w:r>
              <w:rPr>
                <w:rFonts w:eastAsia="楷体_GB2312"/>
                <w:color w:val="000000"/>
                <w:kern w:val="0"/>
                <w:szCs w:val="21"/>
              </w:rPr>
              <w:t>中国邮政储蓄银行（朱仙庄邮政支局）</w:t>
            </w:r>
          </w:p>
        </w:tc>
        <w:tc>
          <w:tcPr>
            <w:tcW w:w="850" w:type="dxa"/>
            <w:noWrap/>
            <w:vAlign w:val="center"/>
          </w:tcPr>
          <w:p w14:paraId="51A4ED59">
            <w:pPr>
              <w:jc w:val="center"/>
              <w:rPr>
                <w:color w:val="000000"/>
                <w:kern w:val="0"/>
                <w:szCs w:val="21"/>
              </w:rPr>
            </w:pPr>
            <w:r>
              <w:rPr>
                <w:color w:val="000000"/>
                <w:kern w:val="0"/>
                <w:szCs w:val="21"/>
              </w:rPr>
              <w:t>0.8677</w:t>
            </w:r>
          </w:p>
        </w:tc>
        <w:tc>
          <w:tcPr>
            <w:tcW w:w="567" w:type="dxa"/>
            <w:noWrap/>
            <w:vAlign w:val="center"/>
          </w:tcPr>
          <w:p w14:paraId="06E2D83F">
            <w:pPr>
              <w:jc w:val="center"/>
              <w:rPr>
                <w:color w:val="000000"/>
                <w:kern w:val="0"/>
                <w:szCs w:val="21"/>
              </w:rPr>
            </w:pPr>
            <w:r>
              <w:rPr>
                <w:color w:val="000000"/>
                <w:kern w:val="0"/>
                <w:szCs w:val="21"/>
              </w:rPr>
              <w:t>1</w:t>
            </w:r>
          </w:p>
        </w:tc>
        <w:tc>
          <w:tcPr>
            <w:tcW w:w="709" w:type="dxa"/>
            <w:noWrap/>
            <w:vAlign w:val="center"/>
          </w:tcPr>
          <w:p w14:paraId="03401256">
            <w:pPr>
              <w:jc w:val="center"/>
              <w:rPr>
                <w:color w:val="000000"/>
                <w:kern w:val="0"/>
                <w:szCs w:val="21"/>
              </w:rPr>
            </w:pPr>
            <w:r>
              <w:rPr>
                <w:rFonts w:hint="eastAsia"/>
                <w:color w:val="000000"/>
                <w:kern w:val="0"/>
                <w:szCs w:val="21"/>
              </w:rPr>
              <w:t>87</w:t>
            </w:r>
          </w:p>
        </w:tc>
        <w:tc>
          <w:tcPr>
            <w:tcW w:w="1274" w:type="dxa"/>
            <w:noWrap/>
            <w:vAlign w:val="center"/>
          </w:tcPr>
          <w:p w14:paraId="0FC63B74">
            <w:pPr>
              <w:jc w:val="center"/>
              <w:rPr>
                <w:color w:val="000000"/>
                <w:kern w:val="0"/>
                <w:szCs w:val="21"/>
              </w:rPr>
            </w:pPr>
            <w:r>
              <w:rPr>
                <w:rFonts w:hint="eastAsia"/>
                <w:color w:val="000000"/>
                <w:kern w:val="0"/>
                <w:szCs w:val="21"/>
              </w:rPr>
              <w:t>3000</w:t>
            </w:r>
          </w:p>
        </w:tc>
      </w:tr>
      <w:tr w14:paraId="793F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37122C6F">
            <w:pPr>
              <w:jc w:val="center"/>
              <w:rPr>
                <w:color w:val="000000"/>
                <w:kern w:val="0"/>
                <w:szCs w:val="21"/>
              </w:rPr>
            </w:pPr>
          </w:p>
        </w:tc>
        <w:tc>
          <w:tcPr>
            <w:tcW w:w="850" w:type="dxa"/>
            <w:vMerge w:val="continue"/>
            <w:noWrap w:val="0"/>
            <w:vAlign w:val="center"/>
          </w:tcPr>
          <w:p w14:paraId="403709B0">
            <w:pPr>
              <w:jc w:val="center"/>
              <w:rPr>
                <w:rFonts w:eastAsia="楷体_GB2312"/>
                <w:color w:val="000000"/>
                <w:kern w:val="0"/>
                <w:szCs w:val="21"/>
              </w:rPr>
            </w:pPr>
          </w:p>
        </w:tc>
        <w:tc>
          <w:tcPr>
            <w:tcW w:w="567" w:type="dxa"/>
            <w:noWrap w:val="0"/>
            <w:vAlign w:val="center"/>
          </w:tcPr>
          <w:p w14:paraId="5D66B299">
            <w:pPr>
              <w:jc w:val="center"/>
              <w:rPr>
                <w:color w:val="000000"/>
                <w:kern w:val="0"/>
                <w:szCs w:val="21"/>
              </w:rPr>
            </w:pPr>
            <w:r>
              <w:rPr>
                <w:color w:val="000000"/>
                <w:kern w:val="0"/>
                <w:szCs w:val="21"/>
              </w:rPr>
              <w:t>3</w:t>
            </w:r>
          </w:p>
        </w:tc>
        <w:tc>
          <w:tcPr>
            <w:tcW w:w="3686" w:type="dxa"/>
            <w:noWrap w:val="0"/>
            <w:vAlign w:val="center"/>
          </w:tcPr>
          <w:p w14:paraId="15395A9C">
            <w:pPr>
              <w:jc w:val="center"/>
              <w:rPr>
                <w:rFonts w:eastAsia="楷体_GB2312"/>
                <w:color w:val="000000"/>
                <w:kern w:val="0"/>
                <w:szCs w:val="21"/>
              </w:rPr>
            </w:pPr>
            <w:r>
              <w:rPr>
                <w:rFonts w:eastAsia="楷体_GB2312"/>
                <w:color w:val="000000"/>
                <w:kern w:val="0"/>
                <w:szCs w:val="21"/>
              </w:rPr>
              <w:t>宿州农商银行（朱仙庄支行）</w:t>
            </w:r>
          </w:p>
        </w:tc>
        <w:tc>
          <w:tcPr>
            <w:tcW w:w="850" w:type="dxa"/>
            <w:noWrap/>
            <w:vAlign w:val="center"/>
          </w:tcPr>
          <w:p w14:paraId="15708DA4">
            <w:pPr>
              <w:jc w:val="center"/>
              <w:rPr>
                <w:color w:val="000000"/>
                <w:kern w:val="0"/>
                <w:szCs w:val="21"/>
              </w:rPr>
            </w:pPr>
            <w:r>
              <w:rPr>
                <w:color w:val="000000"/>
                <w:kern w:val="0"/>
                <w:szCs w:val="21"/>
              </w:rPr>
              <w:t>1.0000</w:t>
            </w:r>
          </w:p>
        </w:tc>
        <w:tc>
          <w:tcPr>
            <w:tcW w:w="567" w:type="dxa"/>
            <w:noWrap/>
            <w:vAlign w:val="center"/>
          </w:tcPr>
          <w:p w14:paraId="20812E46">
            <w:pPr>
              <w:jc w:val="center"/>
              <w:rPr>
                <w:color w:val="000000"/>
                <w:kern w:val="0"/>
                <w:szCs w:val="21"/>
              </w:rPr>
            </w:pPr>
            <w:r>
              <w:rPr>
                <w:color w:val="000000"/>
                <w:kern w:val="0"/>
                <w:szCs w:val="21"/>
              </w:rPr>
              <w:t>1</w:t>
            </w:r>
          </w:p>
        </w:tc>
        <w:tc>
          <w:tcPr>
            <w:tcW w:w="709" w:type="dxa"/>
            <w:noWrap/>
            <w:vAlign w:val="center"/>
          </w:tcPr>
          <w:p w14:paraId="25C1863A">
            <w:pPr>
              <w:jc w:val="center"/>
              <w:rPr>
                <w:color w:val="000000"/>
                <w:kern w:val="0"/>
                <w:szCs w:val="21"/>
              </w:rPr>
            </w:pPr>
            <w:r>
              <w:rPr>
                <w:color w:val="000000"/>
                <w:kern w:val="0"/>
                <w:szCs w:val="21"/>
              </w:rPr>
              <w:t>100</w:t>
            </w:r>
          </w:p>
        </w:tc>
        <w:tc>
          <w:tcPr>
            <w:tcW w:w="1274" w:type="dxa"/>
            <w:noWrap/>
            <w:vAlign w:val="center"/>
          </w:tcPr>
          <w:p w14:paraId="5ACD0F83">
            <w:pPr>
              <w:jc w:val="center"/>
              <w:rPr>
                <w:color w:val="000000"/>
                <w:kern w:val="0"/>
                <w:szCs w:val="21"/>
              </w:rPr>
            </w:pPr>
            <w:r>
              <w:rPr>
                <w:rFonts w:hint="eastAsia"/>
                <w:color w:val="000000"/>
                <w:kern w:val="0"/>
                <w:szCs w:val="21"/>
              </w:rPr>
              <w:t>3000</w:t>
            </w:r>
          </w:p>
        </w:tc>
      </w:tr>
      <w:tr w14:paraId="0F76E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775F49C9">
            <w:pPr>
              <w:jc w:val="center"/>
              <w:rPr>
                <w:color w:val="000000"/>
                <w:kern w:val="0"/>
                <w:szCs w:val="21"/>
              </w:rPr>
            </w:pPr>
          </w:p>
        </w:tc>
        <w:tc>
          <w:tcPr>
            <w:tcW w:w="850" w:type="dxa"/>
            <w:vMerge w:val="continue"/>
            <w:noWrap w:val="0"/>
            <w:vAlign w:val="center"/>
          </w:tcPr>
          <w:p w14:paraId="299FC695">
            <w:pPr>
              <w:jc w:val="center"/>
              <w:rPr>
                <w:rFonts w:eastAsia="楷体_GB2312"/>
                <w:color w:val="000000"/>
                <w:kern w:val="0"/>
                <w:szCs w:val="21"/>
              </w:rPr>
            </w:pPr>
          </w:p>
        </w:tc>
        <w:tc>
          <w:tcPr>
            <w:tcW w:w="567" w:type="dxa"/>
            <w:noWrap w:val="0"/>
            <w:vAlign w:val="center"/>
          </w:tcPr>
          <w:p w14:paraId="7295EB0F">
            <w:pPr>
              <w:jc w:val="center"/>
              <w:rPr>
                <w:color w:val="000000"/>
                <w:kern w:val="0"/>
                <w:szCs w:val="21"/>
              </w:rPr>
            </w:pPr>
            <w:r>
              <w:rPr>
                <w:color w:val="000000"/>
                <w:kern w:val="0"/>
                <w:szCs w:val="21"/>
              </w:rPr>
              <w:t>4</w:t>
            </w:r>
          </w:p>
        </w:tc>
        <w:tc>
          <w:tcPr>
            <w:tcW w:w="3686" w:type="dxa"/>
            <w:noWrap w:val="0"/>
            <w:vAlign w:val="center"/>
          </w:tcPr>
          <w:p w14:paraId="5376E99D">
            <w:pPr>
              <w:jc w:val="center"/>
              <w:rPr>
                <w:rFonts w:eastAsia="楷体_GB2312"/>
                <w:color w:val="000000"/>
                <w:kern w:val="0"/>
                <w:szCs w:val="21"/>
              </w:rPr>
            </w:pPr>
            <w:r>
              <w:rPr>
                <w:rFonts w:eastAsia="楷体_GB2312"/>
                <w:color w:val="000000"/>
                <w:kern w:val="0"/>
                <w:szCs w:val="21"/>
              </w:rPr>
              <w:t>中国农业银行（宿州朱仙庄分理处）</w:t>
            </w:r>
          </w:p>
        </w:tc>
        <w:tc>
          <w:tcPr>
            <w:tcW w:w="850" w:type="dxa"/>
            <w:noWrap/>
            <w:vAlign w:val="center"/>
          </w:tcPr>
          <w:p w14:paraId="3CF956B5">
            <w:pPr>
              <w:jc w:val="center"/>
              <w:rPr>
                <w:color w:val="000000"/>
                <w:kern w:val="0"/>
                <w:szCs w:val="21"/>
              </w:rPr>
            </w:pPr>
            <w:r>
              <w:rPr>
                <w:color w:val="000000"/>
                <w:kern w:val="0"/>
                <w:szCs w:val="21"/>
              </w:rPr>
              <w:t>0.8148</w:t>
            </w:r>
          </w:p>
        </w:tc>
        <w:tc>
          <w:tcPr>
            <w:tcW w:w="567" w:type="dxa"/>
            <w:noWrap/>
            <w:vAlign w:val="center"/>
          </w:tcPr>
          <w:p w14:paraId="74A81E62">
            <w:pPr>
              <w:jc w:val="center"/>
              <w:rPr>
                <w:color w:val="000000"/>
                <w:kern w:val="0"/>
                <w:szCs w:val="21"/>
              </w:rPr>
            </w:pPr>
            <w:r>
              <w:rPr>
                <w:color w:val="000000"/>
                <w:kern w:val="0"/>
                <w:szCs w:val="21"/>
              </w:rPr>
              <w:t>1</w:t>
            </w:r>
          </w:p>
        </w:tc>
        <w:tc>
          <w:tcPr>
            <w:tcW w:w="709" w:type="dxa"/>
            <w:noWrap/>
            <w:vAlign w:val="center"/>
          </w:tcPr>
          <w:p w14:paraId="11F6C06D">
            <w:pPr>
              <w:jc w:val="center"/>
              <w:rPr>
                <w:color w:val="000000"/>
                <w:kern w:val="0"/>
                <w:szCs w:val="21"/>
              </w:rPr>
            </w:pPr>
            <w:r>
              <w:rPr>
                <w:rFonts w:hint="eastAsia"/>
                <w:color w:val="000000"/>
                <w:kern w:val="0"/>
                <w:szCs w:val="21"/>
              </w:rPr>
              <w:t>81</w:t>
            </w:r>
          </w:p>
        </w:tc>
        <w:tc>
          <w:tcPr>
            <w:tcW w:w="1274" w:type="dxa"/>
            <w:noWrap/>
            <w:vAlign w:val="center"/>
          </w:tcPr>
          <w:p w14:paraId="5571D1F5">
            <w:pPr>
              <w:jc w:val="center"/>
              <w:rPr>
                <w:color w:val="000000"/>
                <w:kern w:val="0"/>
                <w:szCs w:val="21"/>
              </w:rPr>
            </w:pPr>
            <w:r>
              <w:rPr>
                <w:rFonts w:hint="eastAsia"/>
                <w:color w:val="000000"/>
                <w:kern w:val="0"/>
                <w:szCs w:val="21"/>
              </w:rPr>
              <w:t>3000</w:t>
            </w:r>
          </w:p>
        </w:tc>
      </w:tr>
      <w:tr w14:paraId="02AA2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037F5A74">
            <w:pPr>
              <w:jc w:val="center"/>
              <w:rPr>
                <w:color w:val="000000"/>
                <w:kern w:val="0"/>
                <w:szCs w:val="21"/>
              </w:rPr>
            </w:pPr>
          </w:p>
        </w:tc>
        <w:tc>
          <w:tcPr>
            <w:tcW w:w="850" w:type="dxa"/>
            <w:vMerge w:val="continue"/>
            <w:noWrap w:val="0"/>
            <w:vAlign w:val="center"/>
          </w:tcPr>
          <w:p w14:paraId="44EE423A">
            <w:pPr>
              <w:jc w:val="center"/>
              <w:rPr>
                <w:rFonts w:eastAsia="楷体_GB2312"/>
                <w:color w:val="000000"/>
                <w:kern w:val="0"/>
                <w:szCs w:val="21"/>
              </w:rPr>
            </w:pPr>
          </w:p>
        </w:tc>
        <w:tc>
          <w:tcPr>
            <w:tcW w:w="567" w:type="dxa"/>
            <w:noWrap w:val="0"/>
            <w:vAlign w:val="center"/>
          </w:tcPr>
          <w:p w14:paraId="1B8637F3">
            <w:pPr>
              <w:jc w:val="center"/>
              <w:rPr>
                <w:color w:val="000000"/>
                <w:kern w:val="0"/>
                <w:szCs w:val="21"/>
              </w:rPr>
            </w:pPr>
            <w:r>
              <w:rPr>
                <w:color w:val="000000"/>
                <w:kern w:val="0"/>
                <w:szCs w:val="21"/>
              </w:rPr>
              <w:t>5</w:t>
            </w:r>
          </w:p>
        </w:tc>
        <w:tc>
          <w:tcPr>
            <w:tcW w:w="3686" w:type="dxa"/>
            <w:noWrap w:val="0"/>
            <w:vAlign w:val="center"/>
          </w:tcPr>
          <w:p w14:paraId="42DCE892">
            <w:pPr>
              <w:jc w:val="center"/>
              <w:rPr>
                <w:rFonts w:eastAsia="楷体_GB2312"/>
                <w:color w:val="000000"/>
                <w:kern w:val="0"/>
                <w:szCs w:val="21"/>
              </w:rPr>
            </w:pPr>
            <w:r>
              <w:rPr>
                <w:rFonts w:eastAsia="楷体_GB2312"/>
                <w:color w:val="000000"/>
                <w:kern w:val="0"/>
                <w:szCs w:val="21"/>
              </w:rPr>
              <w:t>淮海村镇银行（朱仙庄支行）</w:t>
            </w:r>
          </w:p>
        </w:tc>
        <w:tc>
          <w:tcPr>
            <w:tcW w:w="850" w:type="dxa"/>
            <w:noWrap/>
            <w:vAlign w:val="center"/>
          </w:tcPr>
          <w:p w14:paraId="35BA383B">
            <w:pPr>
              <w:jc w:val="center"/>
              <w:rPr>
                <w:color w:val="000000"/>
                <w:kern w:val="0"/>
                <w:szCs w:val="21"/>
              </w:rPr>
            </w:pPr>
            <w:r>
              <w:rPr>
                <w:color w:val="000000"/>
                <w:kern w:val="0"/>
                <w:szCs w:val="21"/>
              </w:rPr>
              <w:t>0.2381</w:t>
            </w:r>
          </w:p>
        </w:tc>
        <w:tc>
          <w:tcPr>
            <w:tcW w:w="567" w:type="dxa"/>
            <w:noWrap/>
            <w:vAlign w:val="center"/>
          </w:tcPr>
          <w:p w14:paraId="1A7037A2">
            <w:pPr>
              <w:jc w:val="center"/>
              <w:rPr>
                <w:color w:val="000000"/>
                <w:kern w:val="0"/>
                <w:szCs w:val="21"/>
              </w:rPr>
            </w:pPr>
            <w:r>
              <w:rPr>
                <w:color w:val="000000"/>
                <w:kern w:val="0"/>
                <w:szCs w:val="21"/>
              </w:rPr>
              <w:t>3</w:t>
            </w:r>
          </w:p>
        </w:tc>
        <w:tc>
          <w:tcPr>
            <w:tcW w:w="709" w:type="dxa"/>
            <w:noWrap/>
            <w:vAlign w:val="center"/>
          </w:tcPr>
          <w:p w14:paraId="703DAF96">
            <w:pPr>
              <w:jc w:val="center"/>
              <w:rPr>
                <w:color w:val="000000"/>
                <w:kern w:val="0"/>
                <w:szCs w:val="21"/>
              </w:rPr>
            </w:pPr>
            <w:r>
              <w:rPr>
                <w:color w:val="000000"/>
                <w:kern w:val="0"/>
                <w:szCs w:val="21"/>
              </w:rPr>
              <w:t>24</w:t>
            </w:r>
          </w:p>
        </w:tc>
        <w:tc>
          <w:tcPr>
            <w:tcW w:w="1274" w:type="dxa"/>
            <w:noWrap/>
            <w:vAlign w:val="center"/>
          </w:tcPr>
          <w:p w14:paraId="02BE1404">
            <w:pPr>
              <w:jc w:val="center"/>
              <w:rPr>
                <w:color w:val="000000"/>
                <w:kern w:val="0"/>
                <w:szCs w:val="21"/>
              </w:rPr>
            </w:pPr>
            <w:r>
              <w:rPr>
                <w:rFonts w:hint="eastAsia"/>
                <w:color w:val="000000"/>
                <w:kern w:val="0"/>
                <w:szCs w:val="21"/>
              </w:rPr>
              <w:t>2600</w:t>
            </w:r>
          </w:p>
        </w:tc>
      </w:tr>
      <w:tr w14:paraId="5FFA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restart"/>
            <w:noWrap w:val="0"/>
            <w:vAlign w:val="center"/>
          </w:tcPr>
          <w:p w14:paraId="6BF8087E">
            <w:pPr>
              <w:jc w:val="center"/>
              <w:rPr>
                <w:color w:val="000000"/>
                <w:kern w:val="0"/>
                <w:szCs w:val="21"/>
              </w:rPr>
            </w:pPr>
            <w:r>
              <w:rPr>
                <w:color w:val="000000"/>
                <w:kern w:val="0"/>
                <w:szCs w:val="21"/>
              </w:rPr>
              <w:t>3</w:t>
            </w:r>
          </w:p>
        </w:tc>
        <w:tc>
          <w:tcPr>
            <w:tcW w:w="850" w:type="dxa"/>
            <w:vMerge w:val="restart"/>
            <w:noWrap w:val="0"/>
            <w:vAlign w:val="center"/>
          </w:tcPr>
          <w:p w14:paraId="358C174D">
            <w:pPr>
              <w:jc w:val="center"/>
              <w:rPr>
                <w:rFonts w:eastAsia="楷体_GB2312"/>
                <w:color w:val="000000"/>
                <w:kern w:val="0"/>
                <w:szCs w:val="21"/>
              </w:rPr>
            </w:pPr>
            <w:r>
              <w:rPr>
                <w:rFonts w:eastAsia="楷体_GB2312"/>
                <w:color w:val="000000"/>
                <w:kern w:val="0"/>
                <w:szCs w:val="21"/>
              </w:rPr>
              <w:t>蕲县镇</w:t>
            </w:r>
          </w:p>
        </w:tc>
        <w:tc>
          <w:tcPr>
            <w:tcW w:w="567" w:type="dxa"/>
            <w:noWrap w:val="0"/>
            <w:vAlign w:val="center"/>
          </w:tcPr>
          <w:p w14:paraId="2EE5FE3F">
            <w:pPr>
              <w:jc w:val="center"/>
              <w:rPr>
                <w:color w:val="000000"/>
                <w:kern w:val="0"/>
                <w:szCs w:val="21"/>
              </w:rPr>
            </w:pPr>
            <w:r>
              <w:rPr>
                <w:color w:val="000000"/>
                <w:kern w:val="0"/>
                <w:szCs w:val="21"/>
              </w:rPr>
              <w:t>1</w:t>
            </w:r>
          </w:p>
        </w:tc>
        <w:tc>
          <w:tcPr>
            <w:tcW w:w="3686" w:type="dxa"/>
            <w:noWrap w:val="0"/>
            <w:vAlign w:val="center"/>
          </w:tcPr>
          <w:p w14:paraId="6C514973">
            <w:pPr>
              <w:jc w:val="center"/>
              <w:rPr>
                <w:rFonts w:eastAsia="楷体_GB2312"/>
                <w:color w:val="000000"/>
                <w:kern w:val="0"/>
                <w:szCs w:val="21"/>
              </w:rPr>
            </w:pPr>
            <w:r>
              <w:rPr>
                <w:rFonts w:eastAsia="楷体_GB2312"/>
                <w:color w:val="000000"/>
                <w:kern w:val="0"/>
                <w:szCs w:val="21"/>
              </w:rPr>
              <w:t>宿州农商银行（蕲县信用社）</w:t>
            </w:r>
          </w:p>
        </w:tc>
        <w:tc>
          <w:tcPr>
            <w:tcW w:w="850" w:type="dxa"/>
            <w:noWrap/>
            <w:vAlign w:val="center"/>
          </w:tcPr>
          <w:p w14:paraId="7E7E9F41">
            <w:pPr>
              <w:jc w:val="center"/>
              <w:rPr>
                <w:color w:val="000000"/>
                <w:kern w:val="0"/>
                <w:szCs w:val="21"/>
              </w:rPr>
            </w:pPr>
            <w:r>
              <w:rPr>
                <w:color w:val="000000"/>
                <w:kern w:val="0"/>
                <w:szCs w:val="21"/>
              </w:rPr>
              <w:t>1.0000</w:t>
            </w:r>
          </w:p>
        </w:tc>
        <w:tc>
          <w:tcPr>
            <w:tcW w:w="567" w:type="dxa"/>
            <w:noWrap/>
            <w:vAlign w:val="center"/>
          </w:tcPr>
          <w:p w14:paraId="0A511967">
            <w:pPr>
              <w:jc w:val="center"/>
              <w:rPr>
                <w:color w:val="000000"/>
                <w:kern w:val="0"/>
                <w:szCs w:val="21"/>
              </w:rPr>
            </w:pPr>
            <w:r>
              <w:rPr>
                <w:color w:val="000000"/>
                <w:kern w:val="0"/>
                <w:szCs w:val="21"/>
              </w:rPr>
              <w:t>1</w:t>
            </w:r>
          </w:p>
        </w:tc>
        <w:tc>
          <w:tcPr>
            <w:tcW w:w="709" w:type="dxa"/>
            <w:noWrap/>
            <w:vAlign w:val="center"/>
          </w:tcPr>
          <w:p w14:paraId="6A1492CD">
            <w:pPr>
              <w:jc w:val="center"/>
              <w:rPr>
                <w:color w:val="000000"/>
                <w:kern w:val="0"/>
                <w:szCs w:val="21"/>
              </w:rPr>
            </w:pPr>
            <w:r>
              <w:rPr>
                <w:color w:val="000000"/>
                <w:kern w:val="0"/>
                <w:szCs w:val="21"/>
              </w:rPr>
              <w:t>100</w:t>
            </w:r>
          </w:p>
        </w:tc>
        <w:tc>
          <w:tcPr>
            <w:tcW w:w="1274" w:type="dxa"/>
            <w:noWrap/>
            <w:vAlign w:val="center"/>
          </w:tcPr>
          <w:p w14:paraId="620B5052">
            <w:pPr>
              <w:jc w:val="center"/>
              <w:rPr>
                <w:color w:val="000000"/>
                <w:kern w:val="0"/>
                <w:szCs w:val="21"/>
              </w:rPr>
            </w:pPr>
            <w:r>
              <w:rPr>
                <w:rFonts w:hint="eastAsia"/>
                <w:color w:val="000000"/>
                <w:kern w:val="0"/>
                <w:szCs w:val="21"/>
              </w:rPr>
              <w:t>1800</w:t>
            </w:r>
          </w:p>
        </w:tc>
      </w:tr>
      <w:tr w14:paraId="4307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3875F746">
            <w:pPr>
              <w:jc w:val="center"/>
              <w:rPr>
                <w:color w:val="000000"/>
                <w:kern w:val="0"/>
                <w:szCs w:val="21"/>
              </w:rPr>
            </w:pPr>
          </w:p>
        </w:tc>
        <w:tc>
          <w:tcPr>
            <w:tcW w:w="850" w:type="dxa"/>
            <w:vMerge w:val="continue"/>
            <w:noWrap w:val="0"/>
            <w:vAlign w:val="center"/>
          </w:tcPr>
          <w:p w14:paraId="47A55BDC">
            <w:pPr>
              <w:jc w:val="center"/>
              <w:rPr>
                <w:rFonts w:eastAsia="楷体_GB2312"/>
                <w:color w:val="000000"/>
                <w:kern w:val="0"/>
                <w:szCs w:val="21"/>
              </w:rPr>
            </w:pPr>
          </w:p>
        </w:tc>
        <w:tc>
          <w:tcPr>
            <w:tcW w:w="567" w:type="dxa"/>
            <w:noWrap w:val="0"/>
            <w:vAlign w:val="center"/>
          </w:tcPr>
          <w:p w14:paraId="390BF46D">
            <w:pPr>
              <w:jc w:val="center"/>
              <w:rPr>
                <w:color w:val="000000"/>
                <w:kern w:val="0"/>
                <w:szCs w:val="21"/>
              </w:rPr>
            </w:pPr>
            <w:r>
              <w:rPr>
                <w:color w:val="000000"/>
                <w:kern w:val="0"/>
                <w:szCs w:val="21"/>
              </w:rPr>
              <w:t>2</w:t>
            </w:r>
          </w:p>
        </w:tc>
        <w:tc>
          <w:tcPr>
            <w:tcW w:w="3686" w:type="dxa"/>
            <w:noWrap w:val="0"/>
            <w:vAlign w:val="center"/>
          </w:tcPr>
          <w:p w14:paraId="0CB13278">
            <w:pPr>
              <w:jc w:val="center"/>
              <w:rPr>
                <w:rFonts w:eastAsia="楷体_GB2312"/>
                <w:color w:val="000000"/>
                <w:kern w:val="0"/>
                <w:szCs w:val="21"/>
              </w:rPr>
            </w:pPr>
            <w:r>
              <w:rPr>
                <w:rFonts w:eastAsia="楷体_GB2312"/>
                <w:color w:val="000000"/>
                <w:kern w:val="0"/>
                <w:szCs w:val="21"/>
              </w:rPr>
              <w:t>淮海村镇银行（蕲县支行）</w:t>
            </w:r>
          </w:p>
        </w:tc>
        <w:tc>
          <w:tcPr>
            <w:tcW w:w="850" w:type="dxa"/>
            <w:noWrap/>
            <w:vAlign w:val="center"/>
          </w:tcPr>
          <w:p w14:paraId="610AAFB1">
            <w:pPr>
              <w:jc w:val="center"/>
              <w:rPr>
                <w:color w:val="000000"/>
                <w:kern w:val="0"/>
                <w:szCs w:val="21"/>
              </w:rPr>
            </w:pPr>
            <w:r>
              <w:rPr>
                <w:color w:val="000000"/>
                <w:kern w:val="0"/>
                <w:szCs w:val="21"/>
              </w:rPr>
              <w:t>0.1183</w:t>
            </w:r>
          </w:p>
        </w:tc>
        <w:tc>
          <w:tcPr>
            <w:tcW w:w="567" w:type="dxa"/>
            <w:noWrap/>
            <w:vAlign w:val="center"/>
          </w:tcPr>
          <w:p w14:paraId="1DDEC134">
            <w:pPr>
              <w:jc w:val="center"/>
              <w:rPr>
                <w:color w:val="000000"/>
                <w:kern w:val="0"/>
                <w:szCs w:val="21"/>
              </w:rPr>
            </w:pPr>
            <w:r>
              <w:rPr>
                <w:color w:val="000000"/>
                <w:kern w:val="0"/>
                <w:szCs w:val="21"/>
              </w:rPr>
              <w:t>3</w:t>
            </w:r>
          </w:p>
        </w:tc>
        <w:tc>
          <w:tcPr>
            <w:tcW w:w="709" w:type="dxa"/>
            <w:noWrap/>
            <w:vAlign w:val="center"/>
          </w:tcPr>
          <w:p w14:paraId="28C4CE45">
            <w:pPr>
              <w:jc w:val="center"/>
              <w:rPr>
                <w:color w:val="000000"/>
                <w:kern w:val="0"/>
                <w:szCs w:val="21"/>
              </w:rPr>
            </w:pPr>
            <w:r>
              <w:rPr>
                <w:color w:val="000000"/>
                <w:kern w:val="0"/>
                <w:szCs w:val="21"/>
              </w:rPr>
              <w:t>12</w:t>
            </w:r>
          </w:p>
        </w:tc>
        <w:tc>
          <w:tcPr>
            <w:tcW w:w="1274" w:type="dxa"/>
            <w:noWrap/>
            <w:vAlign w:val="center"/>
          </w:tcPr>
          <w:p w14:paraId="76C660DC">
            <w:pPr>
              <w:jc w:val="center"/>
              <w:rPr>
                <w:color w:val="000000"/>
                <w:kern w:val="0"/>
                <w:szCs w:val="21"/>
              </w:rPr>
            </w:pPr>
            <w:r>
              <w:rPr>
                <w:rFonts w:hint="eastAsia"/>
                <w:color w:val="000000"/>
                <w:kern w:val="0"/>
                <w:szCs w:val="21"/>
              </w:rPr>
              <w:t>1600</w:t>
            </w:r>
          </w:p>
        </w:tc>
      </w:tr>
      <w:tr w14:paraId="0A77E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0CB5F87D">
            <w:pPr>
              <w:jc w:val="center"/>
              <w:rPr>
                <w:color w:val="000000"/>
                <w:kern w:val="0"/>
                <w:szCs w:val="21"/>
              </w:rPr>
            </w:pPr>
          </w:p>
        </w:tc>
        <w:tc>
          <w:tcPr>
            <w:tcW w:w="850" w:type="dxa"/>
            <w:vMerge w:val="continue"/>
            <w:noWrap w:val="0"/>
            <w:vAlign w:val="center"/>
          </w:tcPr>
          <w:p w14:paraId="524B74CD">
            <w:pPr>
              <w:jc w:val="center"/>
              <w:rPr>
                <w:rFonts w:eastAsia="楷体_GB2312"/>
                <w:color w:val="000000"/>
                <w:kern w:val="0"/>
                <w:szCs w:val="21"/>
              </w:rPr>
            </w:pPr>
          </w:p>
        </w:tc>
        <w:tc>
          <w:tcPr>
            <w:tcW w:w="567" w:type="dxa"/>
            <w:noWrap w:val="0"/>
            <w:vAlign w:val="center"/>
          </w:tcPr>
          <w:p w14:paraId="183BDD2C">
            <w:pPr>
              <w:jc w:val="center"/>
              <w:rPr>
                <w:color w:val="000000"/>
                <w:kern w:val="0"/>
                <w:szCs w:val="21"/>
              </w:rPr>
            </w:pPr>
            <w:r>
              <w:rPr>
                <w:color w:val="000000"/>
                <w:kern w:val="0"/>
                <w:szCs w:val="21"/>
              </w:rPr>
              <w:t>3</w:t>
            </w:r>
          </w:p>
        </w:tc>
        <w:tc>
          <w:tcPr>
            <w:tcW w:w="3686" w:type="dxa"/>
            <w:noWrap w:val="0"/>
            <w:vAlign w:val="center"/>
          </w:tcPr>
          <w:p w14:paraId="4C55C9F4">
            <w:pPr>
              <w:jc w:val="center"/>
              <w:rPr>
                <w:rFonts w:eastAsia="楷体_GB2312"/>
                <w:color w:val="000000"/>
                <w:kern w:val="0"/>
                <w:szCs w:val="21"/>
              </w:rPr>
            </w:pPr>
            <w:r>
              <w:rPr>
                <w:rFonts w:eastAsia="楷体_GB2312"/>
                <w:color w:val="000000"/>
                <w:kern w:val="0"/>
                <w:szCs w:val="21"/>
              </w:rPr>
              <w:t>中国农业银行（宿州祁县分理处）</w:t>
            </w:r>
          </w:p>
        </w:tc>
        <w:tc>
          <w:tcPr>
            <w:tcW w:w="850" w:type="dxa"/>
            <w:noWrap/>
            <w:vAlign w:val="center"/>
          </w:tcPr>
          <w:p w14:paraId="0D57A33A">
            <w:pPr>
              <w:jc w:val="center"/>
              <w:rPr>
                <w:color w:val="000000"/>
                <w:kern w:val="0"/>
                <w:szCs w:val="21"/>
              </w:rPr>
            </w:pPr>
            <w:r>
              <w:rPr>
                <w:color w:val="000000"/>
                <w:kern w:val="0"/>
                <w:szCs w:val="21"/>
              </w:rPr>
              <w:t>0.7258</w:t>
            </w:r>
          </w:p>
        </w:tc>
        <w:tc>
          <w:tcPr>
            <w:tcW w:w="567" w:type="dxa"/>
            <w:noWrap/>
            <w:vAlign w:val="center"/>
          </w:tcPr>
          <w:p w14:paraId="78B2F4CA">
            <w:pPr>
              <w:jc w:val="center"/>
              <w:rPr>
                <w:color w:val="000000"/>
                <w:kern w:val="0"/>
                <w:szCs w:val="21"/>
              </w:rPr>
            </w:pPr>
            <w:r>
              <w:rPr>
                <w:color w:val="000000"/>
                <w:kern w:val="0"/>
                <w:szCs w:val="21"/>
              </w:rPr>
              <w:t>2</w:t>
            </w:r>
          </w:p>
        </w:tc>
        <w:tc>
          <w:tcPr>
            <w:tcW w:w="709" w:type="dxa"/>
            <w:noWrap/>
            <w:vAlign w:val="center"/>
          </w:tcPr>
          <w:p w14:paraId="5064AF67">
            <w:pPr>
              <w:jc w:val="center"/>
              <w:rPr>
                <w:color w:val="000000"/>
                <w:kern w:val="0"/>
                <w:szCs w:val="21"/>
              </w:rPr>
            </w:pPr>
            <w:r>
              <w:rPr>
                <w:color w:val="000000"/>
                <w:kern w:val="0"/>
                <w:szCs w:val="21"/>
              </w:rPr>
              <w:t>73</w:t>
            </w:r>
          </w:p>
        </w:tc>
        <w:tc>
          <w:tcPr>
            <w:tcW w:w="1274" w:type="dxa"/>
            <w:noWrap/>
            <w:vAlign w:val="center"/>
          </w:tcPr>
          <w:p w14:paraId="4E10F3BE">
            <w:pPr>
              <w:jc w:val="center"/>
              <w:rPr>
                <w:color w:val="000000"/>
                <w:kern w:val="0"/>
                <w:szCs w:val="21"/>
              </w:rPr>
            </w:pPr>
            <w:r>
              <w:rPr>
                <w:rFonts w:hint="eastAsia"/>
                <w:color w:val="000000"/>
                <w:kern w:val="0"/>
                <w:szCs w:val="21"/>
              </w:rPr>
              <w:t>1700</w:t>
            </w:r>
          </w:p>
        </w:tc>
      </w:tr>
      <w:tr w14:paraId="0172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restart"/>
            <w:noWrap w:val="0"/>
            <w:vAlign w:val="center"/>
          </w:tcPr>
          <w:p w14:paraId="4627A149">
            <w:pPr>
              <w:jc w:val="center"/>
              <w:rPr>
                <w:color w:val="000000"/>
                <w:kern w:val="0"/>
                <w:szCs w:val="21"/>
              </w:rPr>
            </w:pPr>
            <w:r>
              <w:rPr>
                <w:color w:val="000000"/>
                <w:kern w:val="0"/>
                <w:szCs w:val="21"/>
              </w:rPr>
              <w:t>4</w:t>
            </w:r>
          </w:p>
        </w:tc>
        <w:tc>
          <w:tcPr>
            <w:tcW w:w="850" w:type="dxa"/>
            <w:vMerge w:val="restart"/>
            <w:noWrap w:val="0"/>
            <w:vAlign w:val="center"/>
          </w:tcPr>
          <w:p w14:paraId="12E9B8A3">
            <w:pPr>
              <w:jc w:val="center"/>
              <w:rPr>
                <w:rFonts w:eastAsia="楷体_GB2312"/>
                <w:color w:val="000000"/>
                <w:kern w:val="0"/>
                <w:szCs w:val="21"/>
              </w:rPr>
            </w:pPr>
            <w:r>
              <w:rPr>
                <w:rFonts w:eastAsia="楷体_GB2312"/>
                <w:color w:val="000000"/>
                <w:kern w:val="0"/>
                <w:szCs w:val="21"/>
              </w:rPr>
              <w:t>芦岭镇</w:t>
            </w:r>
          </w:p>
        </w:tc>
        <w:tc>
          <w:tcPr>
            <w:tcW w:w="567" w:type="dxa"/>
            <w:noWrap w:val="0"/>
            <w:vAlign w:val="center"/>
          </w:tcPr>
          <w:p w14:paraId="7BEA7DD1">
            <w:pPr>
              <w:jc w:val="center"/>
              <w:rPr>
                <w:color w:val="000000"/>
                <w:kern w:val="0"/>
                <w:szCs w:val="21"/>
              </w:rPr>
            </w:pPr>
            <w:r>
              <w:rPr>
                <w:color w:val="000000"/>
                <w:kern w:val="0"/>
                <w:szCs w:val="21"/>
              </w:rPr>
              <w:t>1</w:t>
            </w:r>
          </w:p>
        </w:tc>
        <w:tc>
          <w:tcPr>
            <w:tcW w:w="3686" w:type="dxa"/>
            <w:noWrap w:val="0"/>
            <w:vAlign w:val="center"/>
          </w:tcPr>
          <w:p w14:paraId="461386D1">
            <w:pPr>
              <w:jc w:val="center"/>
              <w:rPr>
                <w:rFonts w:eastAsia="楷体_GB2312"/>
                <w:color w:val="000000"/>
                <w:kern w:val="0"/>
                <w:szCs w:val="21"/>
              </w:rPr>
            </w:pPr>
            <w:r>
              <w:rPr>
                <w:rFonts w:eastAsia="楷体_GB2312"/>
                <w:color w:val="000000"/>
                <w:kern w:val="0"/>
                <w:szCs w:val="21"/>
              </w:rPr>
              <w:t>中国建设银行（芦岭分理处）</w:t>
            </w:r>
          </w:p>
        </w:tc>
        <w:tc>
          <w:tcPr>
            <w:tcW w:w="850" w:type="dxa"/>
            <w:noWrap/>
            <w:vAlign w:val="center"/>
          </w:tcPr>
          <w:p w14:paraId="56BBE1DF">
            <w:pPr>
              <w:jc w:val="center"/>
              <w:rPr>
                <w:color w:val="000000"/>
                <w:kern w:val="0"/>
                <w:szCs w:val="21"/>
              </w:rPr>
            </w:pPr>
            <w:r>
              <w:rPr>
                <w:color w:val="000000"/>
                <w:kern w:val="0"/>
                <w:szCs w:val="21"/>
              </w:rPr>
              <w:t>1.0000</w:t>
            </w:r>
          </w:p>
        </w:tc>
        <w:tc>
          <w:tcPr>
            <w:tcW w:w="567" w:type="dxa"/>
            <w:noWrap/>
            <w:vAlign w:val="center"/>
          </w:tcPr>
          <w:p w14:paraId="312C0E55">
            <w:pPr>
              <w:jc w:val="center"/>
              <w:rPr>
                <w:color w:val="000000"/>
                <w:kern w:val="0"/>
                <w:szCs w:val="21"/>
              </w:rPr>
            </w:pPr>
            <w:r>
              <w:rPr>
                <w:color w:val="000000"/>
                <w:kern w:val="0"/>
                <w:szCs w:val="21"/>
              </w:rPr>
              <w:t>1</w:t>
            </w:r>
          </w:p>
        </w:tc>
        <w:tc>
          <w:tcPr>
            <w:tcW w:w="709" w:type="dxa"/>
            <w:noWrap/>
            <w:vAlign w:val="center"/>
          </w:tcPr>
          <w:p w14:paraId="77C49258">
            <w:pPr>
              <w:jc w:val="center"/>
              <w:rPr>
                <w:color w:val="000000"/>
                <w:kern w:val="0"/>
                <w:szCs w:val="21"/>
              </w:rPr>
            </w:pPr>
            <w:r>
              <w:rPr>
                <w:color w:val="000000"/>
                <w:kern w:val="0"/>
                <w:szCs w:val="21"/>
              </w:rPr>
              <w:t>100</w:t>
            </w:r>
          </w:p>
        </w:tc>
        <w:tc>
          <w:tcPr>
            <w:tcW w:w="1274" w:type="dxa"/>
            <w:noWrap/>
            <w:vAlign w:val="center"/>
          </w:tcPr>
          <w:p w14:paraId="1A0273F4">
            <w:pPr>
              <w:jc w:val="center"/>
              <w:rPr>
                <w:color w:val="000000"/>
                <w:kern w:val="0"/>
                <w:szCs w:val="21"/>
              </w:rPr>
            </w:pPr>
            <w:r>
              <w:rPr>
                <w:rFonts w:hint="eastAsia"/>
                <w:color w:val="000000"/>
                <w:kern w:val="0"/>
                <w:szCs w:val="21"/>
              </w:rPr>
              <w:t>1800</w:t>
            </w:r>
          </w:p>
        </w:tc>
      </w:tr>
      <w:tr w14:paraId="021A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7C027E42">
            <w:pPr>
              <w:jc w:val="center"/>
              <w:rPr>
                <w:color w:val="000000"/>
                <w:kern w:val="0"/>
                <w:szCs w:val="21"/>
              </w:rPr>
            </w:pPr>
          </w:p>
        </w:tc>
        <w:tc>
          <w:tcPr>
            <w:tcW w:w="850" w:type="dxa"/>
            <w:vMerge w:val="continue"/>
            <w:noWrap w:val="0"/>
            <w:vAlign w:val="center"/>
          </w:tcPr>
          <w:p w14:paraId="021CCA57">
            <w:pPr>
              <w:jc w:val="center"/>
              <w:rPr>
                <w:rFonts w:eastAsia="楷体_GB2312"/>
                <w:color w:val="000000"/>
                <w:kern w:val="0"/>
                <w:szCs w:val="21"/>
              </w:rPr>
            </w:pPr>
          </w:p>
        </w:tc>
        <w:tc>
          <w:tcPr>
            <w:tcW w:w="567" w:type="dxa"/>
            <w:noWrap w:val="0"/>
            <w:vAlign w:val="center"/>
          </w:tcPr>
          <w:p w14:paraId="6CBB14DA">
            <w:pPr>
              <w:jc w:val="center"/>
              <w:rPr>
                <w:color w:val="000000"/>
                <w:kern w:val="0"/>
                <w:szCs w:val="21"/>
              </w:rPr>
            </w:pPr>
            <w:r>
              <w:rPr>
                <w:color w:val="000000"/>
                <w:kern w:val="0"/>
                <w:szCs w:val="21"/>
              </w:rPr>
              <w:t>2</w:t>
            </w:r>
          </w:p>
        </w:tc>
        <w:tc>
          <w:tcPr>
            <w:tcW w:w="3686" w:type="dxa"/>
            <w:noWrap w:val="0"/>
            <w:vAlign w:val="center"/>
          </w:tcPr>
          <w:p w14:paraId="6F51A1B0">
            <w:pPr>
              <w:jc w:val="center"/>
              <w:rPr>
                <w:rFonts w:eastAsia="楷体_GB2312"/>
                <w:color w:val="000000"/>
                <w:kern w:val="0"/>
                <w:szCs w:val="21"/>
              </w:rPr>
            </w:pPr>
            <w:r>
              <w:rPr>
                <w:rFonts w:eastAsia="楷体_GB2312"/>
                <w:color w:val="000000"/>
                <w:kern w:val="0"/>
                <w:szCs w:val="21"/>
              </w:rPr>
              <w:t>中国工商银行（芦岭镇分理处）</w:t>
            </w:r>
          </w:p>
        </w:tc>
        <w:tc>
          <w:tcPr>
            <w:tcW w:w="850" w:type="dxa"/>
            <w:noWrap/>
            <w:vAlign w:val="center"/>
          </w:tcPr>
          <w:p w14:paraId="647B89E5">
            <w:pPr>
              <w:jc w:val="center"/>
              <w:rPr>
                <w:color w:val="000000"/>
                <w:kern w:val="0"/>
                <w:szCs w:val="21"/>
              </w:rPr>
            </w:pPr>
            <w:r>
              <w:rPr>
                <w:color w:val="000000"/>
                <w:kern w:val="0"/>
                <w:szCs w:val="21"/>
              </w:rPr>
              <w:t>0.4850</w:t>
            </w:r>
          </w:p>
        </w:tc>
        <w:tc>
          <w:tcPr>
            <w:tcW w:w="567" w:type="dxa"/>
            <w:noWrap/>
            <w:vAlign w:val="center"/>
          </w:tcPr>
          <w:p w14:paraId="0A0BEB10">
            <w:pPr>
              <w:jc w:val="center"/>
              <w:rPr>
                <w:color w:val="000000"/>
                <w:kern w:val="0"/>
                <w:szCs w:val="21"/>
              </w:rPr>
            </w:pPr>
            <w:r>
              <w:rPr>
                <w:color w:val="000000"/>
                <w:kern w:val="0"/>
                <w:szCs w:val="21"/>
              </w:rPr>
              <w:t>3</w:t>
            </w:r>
          </w:p>
        </w:tc>
        <w:tc>
          <w:tcPr>
            <w:tcW w:w="709" w:type="dxa"/>
            <w:noWrap/>
            <w:vAlign w:val="center"/>
          </w:tcPr>
          <w:p w14:paraId="4F301108">
            <w:pPr>
              <w:jc w:val="center"/>
              <w:rPr>
                <w:color w:val="000000"/>
                <w:kern w:val="0"/>
                <w:szCs w:val="21"/>
              </w:rPr>
            </w:pPr>
            <w:r>
              <w:rPr>
                <w:color w:val="000000"/>
                <w:kern w:val="0"/>
                <w:szCs w:val="21"/>
              </w:rPr>
              <w:t>49</w:t>
            </w:r>
          </w:p>
        </w:tc>
        <w:tc>
          <w:tcPr>
            <w:tcW w:w="1274" w:type="dxa"/>
            <w:noWrap/>
            <w:vAlign w:val="center"/>
          </w:tcPr>
          <w:p w14:paraId="28B0CD8D">
            <w:pPr>
              <w:jc w:val="center"/>
              <w:rPr>
                <w:color w:val="000000"/>
                <w:kern w:val="0"/>
                <w:szCs w:val="21"/>
              </w:rPr>
            </w:pPr>
            <w:r>
              <w:rPr>
                <w:rFonts w:hint="eastAsia"/>
                <w:color w:val="000000"/>
                <w:kern w:val="0"/>
                <w:szCs w:val="21"/>
              </w:rPr>
              <w:t>1600</w:t>
            </w:r>
          </w:p>
        </w:tc>
      </w:tr>
      <w:tr w14:paraId="4DD1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285AD910">
            <w:pPr>
              <w:jc w:val="center"/>
              <w:rPr>
                <w:color w:val="000000"/>
                <w:kern w:val="0"/>
                <w:szCs w:val="21"/>
              </w:rPr>
            </w:pPr>
          </w:p>
        </w:tc>
        <w:tc>
          <w:tcPr>
            <w:tcW w:w="850" w:type="dxa"/>
            <w:vMerge w:val="continue"/>
            <w:noWrap w:val="0"/>
            <w:vAlign w:val="center"/>
          </w:tcPr>
          <w:p w14:paraId="64E0A409">
            <w:pPr>
              <w:jc w:val="center"/>
              <w:rPr>
                <w:rFonts w:eastAsia="楷体_GB2312"/>
                <w:color w:val="000000"/>
                <w:kern w:val="0"/>
                <w:szCs w:val="21"/>
              </w:rPr>
            </w:pPr>
          </w:p>
        </w:tc>
        <w:tc>
          <w:tcPr>
            <w:tcW w:w="567" w:type="dxa"/>
            <w:noWrap w:val="0"/>
            <w:vAlign w:val="center"/>
          </w:tcPr>
          <w:p w14:paraId="6B974019">
            <w:pPr>
              <w:jc w:val="center"/>
              <w:rPr>
                <w:color w:val="000000"/>
                <w:kern w:val="0"/>
                <w:szCs w:val="21"/>
              </w:rPr>
            </w:pPr>
            <w:r>
              <w:rPr>
                <w:color w:val="000000"/>
                <w:kern w:val="0"/>
                <w:szCs w:val="21"/>
              </w:rPr>
              <w:t>3</w:t>
            </w:r>
          </w:p>
        </w:tc>
        <w:tc>
          <w:tcPr>
            <w:tcW w:w="3686" w:type="dxa"/>
            <w:noWrap w:val="0"/>
            <w:vAlign w:val="center"/>
          </w:tcPr>
          <w:p w14:paraId="35BA306B">
            <w:pPr>
              <w:jc w:val="center"/>
              <w:rPr>
                <w:rFonts w:eastAsia="楷体_GB2312"/>
                <w:color w:val="000000"/>
                <w:kern w:val="0"/>
                <w:szCs w:val="21"/>
              </w:rPr>
            </w:pPr>
            <w:r>
              <w:rPr>
                <w:rFonts w:eastAsia="楷体_GB2312"/>
                <w:color w:val="000000"/>
                <w:kern w:val="0"/>
                <w:szCs w:val="21"/>
              </w:rPr>
              <w:t>宿州农商银行（芦岭镇支行）</w:t>
            </w:r>
          </w:p>
        </w:tc>
        <w:tc>
          <w:tcPr>
            <w:tcW w:w="850" w:type="dxa"/>
            <w:noWrap/>
            <w:vAlign w:val="center"/>
          </w:tcPr>
          <w:p w14:paraId="1E8B8FEA">
            <w:pPr>
              <w:jc w:val="center"/>
              <w:rPr>
                <w:color w:val="000000"/>
                <w:kern w:val="0"/>
                <w:szCs w:val="21"/>
              </w:rPr>
            </w:pPr>
            <w:r>
              <w:rPr>
                <w:color w:val="000000"/>
                <w:kern w:val="0"/>
                <w:szCs w:val="21"/>
              </w:rPr>
              <w:t>0.9550</w:t>
            </w:r>
          </w:p>
        </w:tc>
        <w:tc>
          <w:tcPr>
            <w:tcW w:w="567" w:type="dxa"/>
            <w:noWrap/>
            <w:vAlign w:val="center"/>
          </w:tcPr>
          <w:p w14:paraId="56576FB9">
            <w:pPr>
              <w:jc w:val="center"/>
              <w:rPr>
                <w:color w:val="000000"/>
                <w:kern w:val="0"/>
                <w:szCs w:val="21"/>
              </w:rPr>
            </w:pPr>
            <w:r>
              <w:rPr>
                <w:color w:val="000000"/>
                <w:kern w:val="0"/>
                <w:szCs w:val="21"/>
              </w:rPr>
              <w:t>1</w:t>
            </w:r>
          </w:p>
        </w:tc>
        <w:tc>
          <w:tcPr>
            <w:tcW w:w="709" w:type="dxa"/>
            <w:noWrap/>
            <w:vAlign w:val="center"/>
          </w:tcPr>
          <w:p w14:paraId="29C29574">
            <w:pPr>
              <w:jc w:val="center"/>
              <w:rPr>
                <w:color w:val="000000"/>
                <w:kern w:val="0"/>
                <w:szCs w:val="21"/>
              </w:rPr>
            </w:pPr>
            <w:r>
              <w:rPr>
                <w:rFonts w:hint="eastAsia"/>
                <w:color w:val="000000"/>
                <w:kern w:val="0"/>
                <w:szCs w:val="21"/>
              </w:rPr>
              <w:t>96</w:t>
            </w:r>
          </w:p>
        </w:tc>
        <w:tc>
          <w:tcPr>
            <w:tcW w:w="1274" w:type="dxa"/>
            <w:noWrap/>
            <w:vAlign w:val="center"/>
          </w:tcPr>
          <w:p w14:paraId="4EF2C195">
            <w:pPr>
              <w:jc w:val="center"/>
              <w:rPr>
                <w:color w:val="000000"/>
                <w:kern w:val="0"/>
                <w:szCs w:val="21"/>
              </w:rPr>
            </w:pPr>
            <w:r>
              <w:rPr>
                <w:rFonts w:hint="eastAsia"/>
                <w:color w:val="000000"/>
                <w:kern w:val="0"/>
                <w:szCs w:val="21"/>
              </w:rPr>
              <w:t>1800</w:t>
            </w:r>
          </w:p>
        </w:tc>
      </w:tr>
      <w:tr w14:paraId="77EC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326EF5CE">
            <w:pPr>
              <w:jc w:val="center"/>
              <w:rPr>
                <w:color w:val="000000"/>
                <w:kern w:val="0"/>
                <w:szCs w:val="21"/>
              </w:rPr>
            </w:pPr>
          </w:p>
        </w:tc>
        <w:tc>
          <w:tcPr>
            <w:tcW w:w="850" w:type="dxa"/>
            <w:vMerge w:val="continue"/>
            <w:noWrap w:val="0"/>
            <w:vAlign w:val="center"/>
          </w:tcPr>
          <w:p w14:paraId="522EFCE7">
            <w:pPr>
              <w:jc w:val="center"/>
              <w:rPr>
                <w:rFonts w:eastAsia="楷体_GB2312"/>
                <w:color w:val="000000"/>
                <w:kern w:val="0"/>
                <w:szCs w:val="21"/>
              </w:rPr>
            </w:pPr>
          </w:p>
        </w:tc>
        <w:tc>
          <w:tcPr>
            <w:tcW w:w="567" w:type="dxa"/>
            <w:noWrap w:val="0"/>
            <w:vAlign w:val="center"/>
          </w:tcPr>
          <w:p w14:paraId="54229974">
            <w:pPr>
              <w:jc w:val="center"/>
              <w:rPr>
                <w:color w:val="000000"/>
                <w:kern w:val="0"/>
                <w:szCs w:val="21"/>
              </w:rPr>
            </w:pPr>
            <w:r>
              <w:rPr>
                <w:color w:val="000000"/>
                <w:kern w:val="0"/>
                <w:szCs w:val="21"/>
              </w:rPr>
              <w:t>4</w:t>
            </w:r>
          </w:p>
        </w:tc>
        <w:tc>
          <w:tcPr>
            <w:tcW w:w="3686" w:type="dxa"/>
            <w:noWrap w:val="0"/>
            <w:vAlign w:val="center"/>
          </w:tcPr>
          <w:p w14:paraId="0D7C42BA">
            <w:pPr>
              <w:jc w:val="center"/>
              <w:rPr>
                <w:rFonts w:eastAsia="楷体_GB2312"/>
                <w:color w:val="000000"/>
                <w:kern w:val="0"/>
                <w:szCs w:val="21"/>
              </w:rPr>
            </w:pPr>
            <w:r>
              <w:rPr>
                <w:rFonts w:eastAsia="楷体_GB2312"/>
                <w:color w:val="000000"/>
                <w:kern w:val="0"/>
                <w:szCs w:val="21"/>
              </w:rPr>
              <w:t>中国邮政储蓄银行（芦岭镇营业所）</w:t>
            </w:r>
          </w:p>
        </w:tc>
        <w:tc>
          <w:tcPr>
            <w:tcW w:w="850" w:type="dxa"/>
            <w:noWrap/>
            <w:vAlign w:val="center"/>
          </w:tcPr>
          <w:p w14:paraId="49D75B37">
            <w:pPr>
              <w:jc w:val="center"/>
              <w:rPr>
                <w:color w:val="000000"/>
                <w:kern w:val="0"/>
                <w:szCs w:val="21"/>
              </w:rPr>
            </w:pPr>
            <w:r>
              <w:rPr>
                <w:color w:val="000000"/>
                <w:kern w:val="0"/>
                <w:szCs w:val="21"/>
              </w:rPr>
              <w:t>0.8350</w:t>
            </w:r>
          </w:p>
        </w:tc>
        <w:tc>
          <w:tcPr>
            <w:tcW w:w="567" w:type="dxa"/>
            <w:noWrap/>
            <w:vAlign w:val="center"/>
          </w:tcPr>
          <w:p w14:paraId="120D13CB">
            <w:pPr>
              <w:jc w:val="center"/>
              <w:rPr>
                <w:color w:val="000000"/>
                <w:kern w:val="0"/>
                <w:szCs w:val="21"/>
              </w:rPr>
            </w:pPr>
            <w:r>
              <w:rPr>
                <w:color w:val="000000"/>
                <w:kern w:val="0"/>
                <w:szCs w:val="21"/>
              </w:rPr>
              <w:t>2</w:t>
            </w:r>
          </w:p>
        </w:tc>
        <w:tc>
          <w:tcPr>
            <w:tcW w:w="709" w:type="dxa"/>
            <w:noWrap/>
            <w:vAlign w:val="center"/>
          </w:tcPr>
          <w:p w14:paraId="25727B79">
            <w:pPr>
              <w:jc w:val="center"/>
              <w:rPr>
                <w:color w:val="000000"/>
                <w:kern w:val="0"/>
                <w:szCs w:val="21"/>
              </w:rPr>
            </w:pPr>
            <w:r>
              <w:rPr>
                <w:color w:val="000000"/>
                <w:kern w:val="0"/>
                <w:szCs w:val="21"/>
              </w:rPr>
              <w:t>84</w:t>
            </w:r>
          </w:p>
        </w:tc>
        <w:tc>
          <w:tcPr>
            <w:tcW w:w="1274" w:type="dxa"/>
            <w:noWrap/>
            <w:vAlign w:val="center"/>
          </w:tcPr>
          <w:p w14:paraId="2FD1C9C9">
            <w:pPr>
              <w:jc w:val="center"/>
              <w:rPr>
                <w:color w:val="000000"/>
                <w:kern w:val="0"/>
                <w:szCs w:val="21"/>
              </w:rPr>
            </w:pPr>
            <w:r>
              <w:rPr>
                <w:rFonts w:hint="eastAsia"/>
                <w:color w:val="000000"/>
                <w:kern w:val="0"/>
                <w:szCs w:val="21"/>
              </w:rPr>
              <w:t>1700</w:t>
            </w:r>
          </w:p>
        </w:tc>
      </w:tr>
      <w:tr w14:paraId="10B24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restart"/>
            <w:noWrap w:val="0"/>
            <w:vAlign w:val="center"/>
          </w:tcPr>
          <w:p w14:paraId="2FB2B212">
            <w:pPr>
              <w:jc w:val="center"/>
              <w:rPr>
                <w:color w:val="000000"/>
                <w:kern w:val="0"/>
                <w:szCs w:val="21"/>
              </w:rPr>
            </w:pPr>
            <w:r>
              <w:rPr>
                <w:color w:val="000000"/>
                <w:kern w:val="0"/>
                <w:szCs w:val="21"/>
              </w:rPr>
              <w:t>5</w:t>
            </w:r>
          </w:p>
        </w:tc>
        <w:tc>
          <w:tcPr>
            <w:tcW w:w="850" w:type="dxa"/>
            <w:vMerge w:val="restart"/>
            <w:noWrap w:val="0"/>
            <w:vAlign w:val="center"/>
          </w:tcPr>
          <w:p w14:paraId="469F5C04">
            <w:pPr>
              <w:jc w:val="center"/>
              <w:rPr>
                <w:rFonts w:eastAsia="楷体_GB2312"/>
                <w:color w:val="000000"/>
                <w:kern w:val="0"/>
                <w:szCs w:val="21"/>
              </w:rPr>
            </w:pPr>
            <w:r>
              <w:rPr>
                <w:rFonts w:eastAsia="楷体_GB2312"/>
                <w:color w:val="000000"/>
                <w:kern w:val="0"/>
                <w:szCs w:val="21"/>
              </w:rPr>
              <w:t>大店镇</w:t>
            </w:r>
          </w:p>
        </w:tc>
        <w:tc>
          <w:tcPr>
            <w:tcW w:w="567" w:type="dxa"/>
            <w:noWrap w:val="0"/>
            <w:vAlign w:val="center"/>
          </w:tcPr>
          <w:p w14:paraId="671C6F7C">
            <w:pPr>
              <w:jc w:val="center"/>
              <w:rPr>
                <w:color w:val="000000"/>
                <w:kern w:val="0"/>
                <w:szCs w:val="21"/>
              </w:rPr>
            </w:pPr>
            <w:r>
              <w:rPr>
                <w:color w:val="000000"/>
                <w:kern w:val="0"/>
                <w:szCs w:val="21"/>
              </w:rPr>
              <w:t>1</w:t>
            </w:r>
          </w:p>
        </w:tc>
        <w:tc>
          <w:tcPr>
            <w:tcW w:w="3686" w:type="dxa"/>
            <w:noWrap w:val="0"/>
            <w:vAlign w:val="center"/>
          </w:tcPr>
          <w:p w14:paraId="3EBAB76E">
            <w:pPr>
              <w:jc w:val="center"/>
              <w:rPr>
                <w:rFonts w:eastAsia="楷体_GB2312"/>
                <w:color w:val="000000"/>
                <w:kern w:val="0"/>
                <w:szCs w:val="21"/>
              </w:rPr>
            </w:pPr>
            <w:r>
              <w:rPr>
                <w:rFonts w:eastAsia="楷体_GB2312"/>
                <w:color w:val="000000"/>
                <w:kern w:val="0"/>
                <w:szCs w:val="21"/>
              </w:rPr>
              <w:t>宿州农商银行（大店支行）</w:t>
            </w:r>
          </w:p>
        </w:tc>
        <w:tc>
          <w:tcPr>
            <w:tcW w:w="850" w:type="dxa"/>
            <w:noWrap/>
            <w:vAlign w:val="center"/>
          </w:tcPr>
          <w:p w14:paraId="53392EA7">
            <w:pPr>
              <w:jc w:val="center"/>
              <w:rPr>
                <w:color w:val="000000"/>
                <w:kern w:val="0"/>
                <w:szCs w:val="21"/>
              </w:rPr>
            </w:pPr>
            <w:r>
              <w:rPr>
                <w:color w:val="000000"/>
                <w:kern w:val="0"/>
                <w:szCs w:val="21"/>
              </w:rPr>
              <w:t>1.0000</w:t>
            </w:r>
          </w:p>
        </w:tc>
        <w:tc>
          <w:tcPr>
            <w:tcW w:w="567" w:type="dxa"/>
            <w:noWrap/>
            <w:vAlign w:val="center"/>
          </w:tcPr>
          <w:p w14:paraId="7EB266A1">
            <w:pPr>
              <w:jc w:val="center"/>
              <w:rPr>
                <w:color w:val="000000"/>
                <w:kern w:val="0"/>
                <w:szCs w:val="21"/>
              </w:rPr>
            </w:pPr>
            <w:r>
              <w:rPr>
                <w:color w:val="000000"/>
                <w:kern w:val="0"/>
                <w:szCs w:val="21"/>
              </w:rPr>
              <w:t>1</w:t>
            </w:r>
          </w:p>
        </w:tc>
        <w:tc>
          <w:tcPr>
            <w:tcW w:w="709" w:type="dxa"/>
            <w:noWrap/>
            <w:vAlign w:val="center"/>
          </w:tcPr>
          <w:p w14:paraId="038C4A24">
            <w:pPr>
              <w:jc w:val="center"/>
              <w:rPr>
                <w:color w:val="000000"/>
                <w:kern w:val="0"/>
                <w:szCs w:val="21"/>
              </w:rPr>
            </w:pPr>
            <w:r>
              <w:rPr>
                <w:color w:val="000000"/>
                <w:kern w:val="0"/>
                <w:szCs w:val="21"/>
              </w:rPr>
              <w:t>100</w:t>
            </w:r>
          </w:p>
        </w:tc>
        <w:tc>
          <w:tcPr>
            <w:tcW w:w="1274" w:type="dxa"/>
            <w:noWrap/>
            <w:vAlign w:val="center"/>
          </w:tcPr>
          <w:p w14:paraId="56950847">
            <w:pPr>
              <w:jc w:val="center"/>
              <w:rPr>
                <w:color w:val="000000"/>
                <w:kern w:val="0"/>
                <w:szCs w:val="21"/>
              </w:rPr>
            </w:pPr>
            <w:r>
              <w:rPr>
                <w:rFonts w:hint="eastAsia"/>
                <w:color w:val="000000"/>
                <w:kern w:val="0"/>
                <w:szCs w:val="21"/>
              </w:rPr>
              <w:t>2000</w:t>
            </w:r>
          </w:p>
        </w:tc>
      </w:tr>
      <w:tr w14:paraId="2AAAD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4E7B05E4">
            <w:pPr>
              <w:jc w:val="center"/>
              <w:rPr>
                <w:color w:val="000000"/>
                <w:kern w:val="0"/>
                <w:szCs w:val="21"/>
              </w:rPr>
            </w:pPr>
          </w:p>
        </w:tc>
        <w:tc>
          <w:tcPr>
            <w:tcW w:w="850" w:type="dxa"/>
            <w:vMerge w:val="continue"/>
            <w:noWrap w:val="0"/>
            <w:vAlign w:val="center"/>
          </w:tcPr>
          <w:p w14:paraId="3EB2B611">
            <w:pPr>
              <w:jc w:val="center"/>
              <w:rPr>
                <w:rFonts w:eastAsia="楷体_GB2312"/>
                <w:color w:val="000000"/>
                <w:kern w:val="0"/>
                <w:szCs w:val="21"/>
              </w:rPr>
            </w:pPr>
          </w:p>
        </w:tc>
        <w:tc>
          <w:tcPr>
            <w:tcW w:w="567" w:type="dxa"/>
            <w:noWrap w:val="0"/>
            <w:vAlign w:val="center"/>
          </w:tcPr>
          <w:p w14:paraId="67C68D3D">
            <w:pPr>
              <w:jc w:val="center"/>
              <w:rPr>
                <w:color w:val="000000"/>
                <w:kern w:val="0"/>
                <w:szCs w:val="21"/>
              </w:rPr>
            </w:pPr>
            <w:r>
              <w:rPr>
                <w:color w:val="000000"/>
                <w:kern w:val="0"/>
                <w:szCs w:val="21"/>
              </w:rPr>
              <w:t>2</w:t>
            </w:r>
          </w:p>
        </w:tc>
        <w:tc>
          <w:tcPr>
            <w:tcW w:w="3686" w:type="dxa"/>
            <w:noWrap w:val="0"/>
            <w:vAlign w:val="center"/>
          </w:tcPr>
          <w:p w14:paraId="17CF50BA">
            <w:pPr>
              <w:jc w:val="center"/>
              <w:rPr>
                <w:rFonts w:eastAsia="楷体_GB2312"/>
                <w:color w:val="000000"/>
                <w:kern w:val="0"/>
                <w:szCs w:val="21"/>
              </w:rPr>
            </w:pPr>
            <w:r>
              <w:rPr>
                <w:rFonts w:eastAsia="楷体_GB2312"/>
                <w:color w:val="000000"/>
                <w:kern w:val="0"/>
                <w:szCs w:val="21"/>
              </w:rPr>
              <w:t>中国农业银行（宿州大店支行）</w:t>
            </w:r>
          </w:p>
        </w:tc>
        <w:tc>
          <w:tcPr>
            <w:tcW w:w="850" w:type="dxa"/>
            <w:noWrap/>
            <w:vAlign w:val="center"/>
          </w:tcPr>
          <w:p w14:paraId="79869F81">
            <w:pPr>
              <w:jc w:val="center"/>
              <w:rPr>
                <w:color w:val="000000"/>
                <w:kern w:val="0"/>
                <w:szCs w:val="21"/>
              </w:rPr>
            </w:pPr>
            <w:r>
              <w:rPr>
                <w:color w:val="000000"/>
                <w:kern w:val="0"/>
                <w:szCs w:val="21"/>
              </w:rPr>
              <w:t>0.9333</w:t>
            </w:r>
          </w:p>
        </w:tc>
        <w:tc>
          <w:tcPr>
            <w:tcW w:w="567" w:type="dxa"/>
            <w:noWrap/>
            <w:vAlign w:val="center"/>
          </w:tcPr>
          <w:p w14:paraId="2CAD4280">
            <w:pPr>
              <w:jc w:val="center"/>
              <w:rPr>
                <w:color w:val="000000"/>
                <w:kern w:val="0"/>
                <w:szCs w:val="21"/>
              </w:rPr>
            </w:pPr>
            <w:r>
              <w:rPr>
                <w:color w:val="000000"/>
                <w:kern w:val="0"/>
                <w:szCs w:val="21"/>
              </w:rPr>
              <w:t>1</w:t>
            </w:r>
          </w:p>
        </w:tc>
        <w:tc>
          <w:tcPr>
            <w:tcW w:w="709" w:type="dxa"/>
            <w:noWrap/>
            <w:vAlign w:val="center"/>
          </w:tcPr>
          <w:p w14:paraId="28593DFF">
            <w:pPr>
              <w:jc w:val="center"/>
              <w:rPr>
                <w:color w:val="000000"/>
                <w:kern w:val="0"/>
                <w:szCs w:val="21"/>
              </w:rPr>
            </w:pPr>
            <w:r>
              <w:rPr>
                <w:rFonts w:hint="eastAsia"/>
                <w:color w:val="000000"/>
                <w:kern w:val="0"/>
                <w:szCs w:val="21"/>
              </w:rPr>
              <w:t>93</w:t>
            </w:r>
          </w:p>
        </w:tc>
        <w:tc>
          <w:tcPr>
            <w:tcW w:w="1274" w:type="dxa"/>
            <w:noWrap/>
            <w:vAlign w:val="center"/>
          </w:tcPr>
          <w:p w14:paraId="1555ABD2">
            <w:pPr>
              <w:jc w:val="center"/>
              <w:rPr>
                <w:color w:val="000000"/>
                <w:kern w:val="0"/>
                <w:szCs w:val="21"/>
              </w:rPr>
            </w:pPr>
            <w:r>
              <w:rPr>
                <w:rFonts w:hint="eastAsia"/>
                <w:color w:val="000000"/>
                <w:kern w:val="0"/>
                <w:szCs w:val="21"/>
              </w:rPr>
              <w:t>2000</w:t>
            </w:r>
          </w:p>
        </w:tc>
      </w:tr>
      <w:tr w14:paraId="4139B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6ACF9E1C">
            <w:pPr>
              <w:jc w:val="center"/>
              <w:rPr>
                <w:color w:val="000000"/>
                <w:kern w:val="0"/>
                <w:szCs w:val="21"/>
              </w:rPr>
            </w:pPr>
          </w:p>
        </w:tc>
        <w:tc>
          <w:tcPr>
            <w:tcW w:w="850" w:type="dxa"/>
            <w:vMerge w:val="continue"/>
            <w:noWrap w:val="0"/>
            <w:vAlign w:val="center"/>
          </w:tcPr>
          <w:p w14:paraId="543956DA">
            <w:pPr>
              <w:jc w:val="center"/>
              <w:rPr>
                <w:rFonts w:eastAsia="楷体_GB2312"/>
                <w:color w:val="000000"/>
                <w:kern w:val="0"/>
                <w:szCs w:val="21"/>
              </w:rPr>
            </w:pPr>
          </w:p>
        </w:tc>
        <w:tc>
          <w:tcPr>
            <w:tcW w:w="567" w:type="dxa"/>
            <w:noWrap w:val="0"/>
            <w:vAlign w:val="center"/>
          </w:tcPr>
          <w:p w14:paraId="6D68F6D2">
            <w:pPr>
              <w:jc w:val="center"/>
              <w:rPr>
                <w:color w:val="000000"/>
                <w:kern w:val="0"/>
                <w:szCs w:val="21"/>
              </w:rPr>
            </w:pPr>
            <w:r>
              <w:rPr>
                <w:color w:val="000000"/>
                <w:kern w:val="0"/>
                <w:szCs w:val="21"/>
              </w:rPr>
              <w:t>3</w:t>
            </w:r>
          </w:p>
        </w:tc>
        <w:tc>
          <w:tcPr>
            <w:tcW w:w="3686" w:type="dxa"/>
            <w:noWrap w:val="0"/>
            <w:vAlign w:val="center"/>
          </w:tcPr>
          <w:p w14:paraId="22A78451">
            <w:pPr>
              <w:jc w:val="center"/>
              <w:rPr>
                <w:rFonts w:eastAsia="楷体_GB2312"/>
                <w:color w:val="000000"/>
                <w:kern w:val="0"/>
                <w:szCs w:val="21"/>
              </w:rPr>
            </w:pPr>
            <w:r>
              <w:rPr>
                <w:rFonts w:eastAsia="楷体_GB2312"/>
                <w:color w:val="000000"/>
                <w:kern w:val="0"/>
                <w:szCs w:val="21"/>
              </w:rPr>
              <w:t>中国邮政储蓄银行（大店镇支行）</w:t>
            </w:r>
          </w:p>
        </w:tc>
        <w:tc>
          <w:tcPr>
            <w:tcW w:w="850" w:type="dxa"/>
            <w:noWrap/>
            <w:vAlign w:val="center"/>
          </w:tcPr>
          <w:p w14:paraId="4854E052">
            <w:pPr>
              <w:jc w:val="center"/>
              <w:rPr>
                <w:color w:val="000000"/>
                <w:kern w:val="0"/>
                <w:szCs w:val="21"/>
              </w:rPr>
            </w:pPr>
            <w:r>
              <w:rPr>
                <w:color w:val="000000"/>
                <w:kern w:val="0"/>
                <w:szCs w:val="21"/>
              </w:rPr>
              <w:t>0.7444</w:t>
            </w:r>
          </w:p>
        </w:tc>
        <w:tc>
          <w:tcPr>
            <w:tcW w:w="567" w:type="dxa"/>
            <w:noWrap/>
            <w:vAlign w:val="center"/>
          </w:tcPr>
          <w:p w14:paraId="490B12EC">
            <w:pPr>
              <w:jc w:val="center"/>
              <w:rPr>
                <w:color w:val="000000"/>
                <w:kern w:val="0"/>
                <w:szCs w:val="21"/>
              </w:rPr>
            </w:pPr>
            <w:r>
              <w:rPr>
                <w:color w:val="000000"/>
                <w:kern w:val="0"/>
                <w:szCs w:val="21"/>
              </w:rPr>
              <w:t>2</w:t>
            </w:r>
          </w:p>
        </w:tc>
        <w:tc>
          <w:tcPr>
            <w:tcW w:w="709" w:type="dxa"/>
            <w:noWrap/>
            <w:vAlign w:val="center"/>
          </w:tcPr>
          <w:p w14:paraId="24A0A9B0">
            <w:pPr>
              <w:jc w:val="center"/>
              <w:rPr>
                <w:color w:val="000000"/>
                <w:kern w:val="0"/>
                <w:szCs w:val="21"/>
              </w:rPr>
            </w:pPr>
            <w:r>
              <w:rPr>
                <w:color w:val="000000"/>
                <w:kern w:val="0"/>
                <w:szCs w:val="21"/>
              </w:rPr>
              <w:t>74</w:t>
            </w:r>
          </w:p>
        </w:tc>
        <w:tc>
          <w:tcPr>
            <w:tcW w:w="1274" w:type="dxa"/>
            <w:noWrap/>
            <w:vAlign w:val="center"/>
          </w:tcPr>
          <w:p w14:paraId="2FDC51E3">
            <w:pPr>
              <w:jc w:val="center"/>
              <w:rPr>
                <w:color w:val="000000"/>
                <w:kern w:val="0"/>
                <w:szCs w:val="21"/>
              </w:rPr>
            </w:pPr>
            <w:r>
              <w:rPr>
                <w:rFonts w:hint="eastAsia"/>
                <w:color w:val="000000"/>
                <w:kern w:val="0"/>
                <w:szCs w:val="21"/>
              </w:rPr>
              <w:t>1800</w:t>
            </w:r>
          </w:p>
        </w:tc>
      </w:tr>
      <w:tr w14:paraId="001FE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restart"/>
            <w:noWrap w:val="0"/>
            <w:vAlign w:val="center"/>
          </w:tcPr>
          <w:p w14:paraId="0199EA9D">
            <w:pPr>
              <w:jc w:val="center"/>
              <w:rPr>
                <w:color w:val="000000"/>
                <w:kern w:val="0"/>
                <w:szCs w:val="21"/>
              </w:rPr>
            </w:pPr>
            <w:r>
              <w:rPr>
                <w:color w:val="000000"/>
                <w:kern w:val="0"/>
                <w:szCs w:val="21"/>
              </w:rPr>
              <w:t>6</w:t>
            </w:r>
          </w:p>
        </w:tc>
        <w:tc>
          <w:tcPr>
            <w:tcW w:w="850" w:type="dxa"/>
            <w:vMerge w:val="restart"/>
            <w:noWrap w:val="0"/>
            <w:vAlign w:val="center"/>
          </w:tcPr>
          <w:p w14:paraId="5415C299">
            <w:pPr>
              <w:jc w:val="center"/>
              <w:rPr>
                <w:rFonts w:eastAsia="楷体_GB2312"/>
                <w:color w:val="000000"/>
                <w:kern w:val="0"/>
                <w:szCs w:val="21"/>
              </w:rPr>
            </w:pPr>
            <w:r>
              <w:rPr>
                <w:rFonts w:eastAsia="楷体_GB2312"/>
                <w:color w:val="000000"/>
                <w:kern w:val="0"/>
                <w:szCs w:val="21"/>
              </w:rPr>
              <w:t>栏杆镇</w:t>
            </w:r>
          </w:p>
        </w:tc>
        <w:tc>
          <w:tcPr>
            <w:tcW w:w="567" w:type="dxa"/>
            <w:noWrap w:val="0"/>
            <w:vAlign w:val="center"/>
          </w:tcPr>
          <w:p w14:paraId="51D40ECE">
            <w:pPr>
              <w:jc w:val="center"/>
              <w:rPr>
                <w:color w:val="000000"/>
                <w:kern w:val="0"/>
                <w:szCs w:val="21"/>
              </w:rPr>
            </w:pPr>
            <w:r>
              <w:rPr>
                <w:color w:val="000000"/>
                <w:kern w:val="0"/>
                <w:szCs w:val="21"/>
              </w:rPr>
              <w:t>1</w:t>
            </w:r>
          </w:p>
        </w:tc>
        <w:tc>
          <w:tcPr>
            <w:tcW w:w="3686" w:type="dxa"/>
            <w:noWrap w:val="0"/>
            <w:vAlign w:val="center"/>
          </w:tcPr>
          <w:p w14:paraId="3DAB1578">
            <w:pPr>
              <w:jc w:val="center"/>
              <w:rPr>
                <w:rFonts w:eastAsia="楷体_GB2312"/>
                <w:color w:val="000000"/>
                <w:kern w:val="0"/>
                <w:szCs w:val="21"/>
              </w:rPr>
            </w:pPr>
            <w:r>
              <w:rPr>
                <w:rFonts w:eastAsia="楷体_GB2312"/>
                <w:color w:val="000000"/>
                <w:kern w:val="0"/>
                <w:szCs w:val="21"/>
              </w:rPr>
              <w:t>中国邮政储蓄银行（栏杆镇支行）</w:t>
            </w:r>
          </w:p>
        </w:tc>
        <w:tc>
          <w:tcPr>
            <w:tcW w:w="850" w:type="dxa"/>
            <w:noWrap/>
            <w:vAlign w:val="center"/>
          </w:tcPr>
          <w:p w14:paraId="11464C3E">
            <w:pPr>
              <w:jc w:val="center"/>
              <w:rPr>
                <w:color w:val="000000"/>
                <w:kern w:val="0"/>
                <w:szCs w:val="21"/>
              </w:rPr>
            </w:pPr>
            <w:r>
              <w:rPr>
                <w:color w:val="000000"/>
                <w:kern w:val="0"/>
                <w:szCs w:val="21"/>
              </w:rPr>
              <w:t>1.0000</w:t>
            </w:r>
          </w:p>
        </w:tc>
        <w:tc>
          <w:tcPr>
            <w:tcW w:w="567" w:type="dxa"/>
            <w:noWrap/>
            <w:vAlign w:val="center"/>
          </w:tcPr>
          <w:p w14:paraId="21565E66">
            <w:pPr>
              <w:jc w:val="center"/>
              <w:rPr>
                <w:color w:val="000000"/>
                <w:kern w:val="0"/>
                <w:szCs w:val="21"/>
              </w:rPr>
            </w:pPr>
            <w:r>
              <w:rPr>
                <w:color w:val="000000"/>
                <w:kern w:val="0"/>
                <w:szCs w:val="21"/>
              </w:rPr>
              <w:t>1</w:t>
            </w:r>
          </w:p>
        </w:tc>
        <w:tc>
          <w:tcPr>
            <w:tcW w:w="709" w:type="dxa"/>
            <w:noWrap/>
            <w:vAlign w:val="center"/>
          </w:tcPr>
          <w:p w14:paraId="33DF4133">
            <w:pPr>
              <w:jc w:val="center"/>
              <w:rPr>
                <w:color w:val="000000"/>
                <w:kern w:val="0"/>
                <w:szCs w:val="21"/>
              </w:rPr>
            </w:pPr>
            <w:r>
              <w:rPr>
                <w:color w:val="000000"/>
                <w:kern w:val="0"/>
                <w:szCs w:val="21"/>
              </w:rPr>
              <w:t>100</w:t>
            </w:r>
          </w:p>
        </w:tc>
        <w:tc>
          <w:tcPr>
            <w:tcW w:w="1274" w:type="dxa"/>
            <w:noWrap/>
            <w:vAlign w:val="center"/>
          </w:tcPr>
          <w:p w14:paraId="3DDA1485">
            <w:pPr>
              <w:jc w:val="center"/>
              <w:rPr>
                <w:color w:val="000000"/>
                <w:kern w:val="0"/>
                <w:szCs w:val="21"/>
              </w:rPr>
            </w:pPr>
            <w:r>
              <w:rPr>
                <w:rFonts w:hint="eastAsia"/>
                <w:color w:val="000000"/>
                <w:kern w:val="0"/>
                <w:szCs w:val="21"/>
              </w:rPr>
              <w:t>1600</w:t>
            </w:r>
          </w:p>
        </w:tc>
      </w:tr>
      <w:tr w14:paraId="67820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335E6A21">
            <w:pPr>
              <w:jc w:val="center"/>
              <w:rPr>
                <w:color w:val="000000"/>
                <w:kern w:val="0"/>
                <w:szCs w:val="21"/>
              </w:rPr>
            </w:pPr>
          </w:p>
        </w:tc>
        <w:tc>
          <w:tcPr>
            <w:tcW w:w="850" w:type="dxa"/>
            <w:vMerge w:val="continue"/>
            <w:noWrap w:val="0"/>
            <w:vAlign w:val="center"/>
          </w:tcPr>
          <w:p w14:paraId="15AEF965">
            <w:pPr>
              <w:jc w:val="center"/>
              <w:rPr>
                <w:rFonts w:eastAsia="楷体_GB2312"/>
                <w:color w:val="000000"/>
                <w:kern w:val="0"/>
                <w:szCs w:val="21"/>
              </w:rPr>
            </w:pPr>
          </w:p>
        </w:tc>
        <w:tc>
          <w:tcPr>
            <w:tcW w:w="567" w:type="dxa"/>
            <w:noWrap w:val="0"/>
            <w:vAlign w:val="center"/>
          </w:tcPr>
          <w:p w14:paraId="22C2C000">
            <w:pPr>
              <w:jc w:val="center"/>
              <w:rPr>
                <w:color w:val="000000"/>
                <w:kern w:val="0"/>
                <w:szCs w:val="21"/>
              </w:rPr>
            </w:pPr>
            <w:r>
              <w:rPr>
                <w:color w:val="000000"/>
                <w:kern w:val="0"/>
                <w:szCs w:val="21"/>
              </w:rPr>
              <w:t>2</w:t>
            </w:r>
          </w:p>
        </w:tc>
        <w:tc>
          <w:tcPr>
            <w:tcW w:w="3686" w:type="dxa"/>
            <w:noWrap w:val="0"/>
            <w:vAlign w:val="center"/>
          </w:tcPr>
          <w:p w14:paraId="3BF594D9">
            <w:pPr>
              <w:jc w:val="center"/>
              <w:rPr>
                <w:rFonts w:eastAsia="楷体_GB2312"/>
                <w:color w:val="000000"/>
                <w:kern w:val="0"/>
                <w:szCs w:val="21"/>
              </w:rPr>
            </w:pPr>
            <w:r>
              <w:rPr>
                <w:rFonts w:eastAsia="楷体_GB2312"/>
                <w:color w:val="000000"/>
                <w:kern w:val="0"/>
                <w:szCs w:val="21"/>
              </w:rPr>
              <w:t>宿州农商银行（栏杆镇支行）</w:t>
            </w:r>
          </w:p>
        </w:tc>
        <w:tc>
          <w:tcPr>
            <w:tcW w:w="850" w:type="dxa"/>
            <w:noWrap/>
            <w:vAlign w:val="center"/>
          </w:tcPr>
          <w:p w14:paraId="0AD3473A">
            <w:pPr>
              <w:jc w:val="center"/>
              <w:rPr>
                <w:color w:val="000000"/>
                <w:kern w:val="0"/>
                <w:szCs w:val="21"/>
              </w:rPr>
            </w:pPr>
            <w:r>
              <w:rPr>
                <w:color w:val="000000"/>
                <w:kern w:val="0"/>
                <w:szCs w:val="21"/>
              </w:rPr>
              <w:t>0.7286</w:t>
            </w:r>
          </w:p>
        </w:tc>
        <w:tc>
          <w:tcPr>
            <w:tcW w:w="567" w:type="dxa"/>
            <w:noWrap/>
            <w:vAlign w:val="center"/>
          </w:tcPr>
          <w:p w14:paraId="7C23211D">
            <w:pPr>
              <w:jc w:val="center"/>
              <w:rPr>
                <w:color w:val="000000"/>
                <w:kern w:val="0"/>
                <w:szCs w:val="21"/>
              </w:rPr>
            </w:pPr>
            <w:r>
              <w:rPr>
                <w:color w:val="000000"/>
                <w:kern w:val="0"/>
                <w:szCs w:val="21"/>
              </w:rPr>
              <w:t>2</w:t>
            </w:r>
          </w:p>
        </w:tc>
        <w:tc>
          <w:tcPr>
            <w:tcW w:w="709" w:type="dxa"/>
            <w:noWrap/>
            <w:vAlign w:val="center"/>
          </w:tcPr>
          <w:p w14:paraId="018D7D4E">
            <w:pPr>
              <w:jc w:val="center"/>
              <w:rPr>
                <w:color w:val="000000"/>
                <w:kern w:val="0"/>
                <w:szCs w:val="21"/>
              </w:rPr>
            </w:pPr>
            <w:r>
              <w:rPr>
                <w:color w:val="000000"/>
                <w:kern w:val="0"/>
                <w:szCs w:val="21"/>
              </w:rPr>
              <w:t>73</w:t>
            </w:r>
          </w:p>
        </w:tc>
        <w:tc>
          <w:tcPr>
            <w:tcW w:w="1274" w:type="dxa"/>
            <w:noWrap/>
            <w:vAlign w:val="center"/>
          </w:tcPr>
          <w:p w14:paraId="15AABA47">
            <w:pPr>
              <w:jc w:val="center"/>
              <w:rPr>
                <w:color w:val="000000"/>
                <w:kern w:val="0"/>
                <w:szCs w:val="21"/>
              </w:rPr>
            </w:pPr>
            <w:r>
              <w:rPr>
                <w:rFonts w:hint="eastAsia"/>
                <w:color w:val="000000"/>
                <w:kern w:val="0"/>
                <w:szCs w:val="21"/>
              </w:rPr>
              <w:t>1500</w:t>
            </w:r>
          </w:p>
        </w:tc>
      </w:tr>
      <w:tr w14:paraId="44C11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5F6EE4F6">
            <w:pPr>
              <w:jc w:val="center"/>
              <w:rPr>
                <w:color w:val="000000"/>
                <w:kern w:val="0"/>
                <w:szCs w:val="21"/>
              </w:rPr>
            </w:pPr>
          </w:p>
        </w:tc>
        <w:tc>
          <w:tcPr>
            <w:tcW w:w="850" w:type="dxa"/>
            <w:vMerge w:val="continue"/>
            <w:noWrap w:val="0"/>
            <w:vAlign w:val="center"/>
          </w:tcPr>
          <w:p w14:paraId="51926846">
            <w:pPr>
              <w:jc w:val="center"/>
              <w:rPr>
                <w:rFonts w:eastAsia="楷体_GB2312"/>
                <w:color w:val="000000"/>
                <w:kern w:val="0"/>
                <w:szCs w:val="21"/>
              </w:rPr>
            </w:pPr>
          </w:p>
        </w:tc>
        <w:tc>
          <w:tcPr>
            <w:tcW w:w="567" w:type="dxa"/>
            <w:noWrap w:val="0"/>
            <w:vAlign w:val="center"/>
          </w:tcPr>
          <w:p w14:paraId="079A575F">
            <w:pPr>
              <w:jc w:val="center"/>
              <w:rPr>
                <w:color w:val="000000"/>
                <w:kern w:val="0"/>
                <w:szCs w:val="21"/>
              </w:rPr>
            </w:pPr>
            <w:r>
              <w:rPr>
                <w:color w:val="000000"/>
                <w:kern w:val="0"/>
                <w:szCs w:val="21"/>
              </w:rPr>
              <w:t>3</w:t>
            </w:r>
          </w:p>
        </w:tc>
        <w:tc>
          <w:tcPr>
            <w:tcW w:w="3686" w:type="dxa"/>
            <w:noWrap w:val="0"/>
            <w:vAlign w:val="center"/>
          </w:tcPr>
          <w:p w14:paraId="4AC2C474">
            <w:pPr>
              <w:jc w:val="center"/>
              <w:rPr>
                <w:rFonts w:eastAsia="楷体_GB2312"/>
                <w:color w:val="000000"/>
                <w:kern w:val="0"/>
                <w:szCs w:val="21"/>
              </w:rPr>
            </w:pPr>
            <w:r>
              <w:rPr>
                <w:rFonts w:eastAsia="楷体_GB2312"/>
                <w:color w:val="000000"/>
                <w:kern w:val="0"/>
                <w:szCs w:val="21"/>
              </w:rPr>
              <w:t>中国农业银行（宿州栏杆支行）</w:t>
            </w:r>
          </w:p>
        </w:tc>
        <w:tc>
          <w:tcPr>
            <w:tcW w:w="850" w:type="dxa"/>
            <w:noWrap/>
            <w:vAlign w:val="center"/>
          </w:tcPr>
          <w:p w14:paraId="615ACF27">
            <w:pPr>
              <w:jc w:val="center"/>
              <w:rPr>
                <w:color w:val="000000"/>
                <w:kern w:val="0"/>
                <w:szCs w:val="21"/>
              </w:rPr>
            </w:pPr>
            <w:r>
              <w:rPr>
                <w:color w:val="000000"/>
                <w:kern w:val="0"/>
                <w:szCs w:val="21"/>
              </w:rPr>
              <w:t>0.9500</w:t>
            </w:r>
          </w:p>
        </w:tc>
        <w:tc>
          <w:tcPr>
            <w:tcW w:w="567" w:type="dxa"/>
            <w:noWrap/>
            <w:vAlign w:val="center"/>
          </w:tcPr>
          <w:p w14:paraId="58266EC8">
            <w:pPr>
              <w:jc w:val="center"/>
              <w:rPr>
                <w:color w:val="000000"/>
                <w:kern w:val="0"/>
                <w:szCs w:val="21"/>
              </w:rPr>
            </w:pPr>
            <w:r>
              <w:rPr>
                <w:color w:val="000000"/>
                <w:kern w:val="0"/>
                <w:szCs w:val="21"/>
              </w:rPr>
              <w:t>1</w:t>
            </w:r>
          </w:p>
        </w:tc>
        <w:tc>
          <w:tcPr>
            <w:tcW w:w="709" w:type="dxa"/>
            <w:noWrap/>
            <w:vAlign w:val="center"/>
          </w:tcPr>
          <w:p w14:paraId="6C8AEABD">
            <w:pPr>
              <w:jc w:val="center"/>
              <w:rPr>
                <w:color w:val="000000"/>
                <w:kern w:val="0"/>
                <w:szCs w:val="21"/>
              </w:rPr>
            </w:pPr>
            <w:r>
              <w:rPr>
                <w:rFonts w:hint="eastAsia"/>
                <w:color w:val="000000"/>
                <w:kern w:val="0"/>
                <w:szCs w:val="21"/>
              </w:rPr>
              <w:t>95</w:t>
            </w:r>
          </w:p>
        </w:tc>
        <w:tc>
          <w:tcPr>
            <w:tcW w:w="1274" w:type="dxa"/>
            <w:noWrap/>
            <w:vAlign w:val="center"/>
          </w:tcPr>
          <w:p w14:paraId="2A3DBEC9">
            <w:pPr>
              <w:jc w:val="center"/>
              <w:rPr>
                <w:color w:val="000000"/>
                <w:kern w:val="0"/>
                <w:szCs w:val="21"/>
              </w:rPr>
            </w:pPr>
            <w:r>
              <w:rPr>
                <w:rFonts w:hint="eastAsia"/>
                <w:color w:val="000000"/>
                <w:kern w:val="0"/>
                <w:szCs w:val="21"/>
              </w:rPr>
              <w:t>1600</w:t>
            </w:r>
          </w:p>
        </w:tc>
      </w:tr>
      <w:tr w14:paraId="19B5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restart"/>
            <w:noWrap w:val="0"/>
            <w:vAlign w:val="center"/>
          </w:tcPr>
          <w:p w14:paraId="759623D1">
            <w:pPr>
              <w:jc w:val="center"/>
              <w:rPr>
                <w:color w:val="000000"/>
                <w:kern w:val="0"/>
                <w:szCs w:val="21"/>
              </w:rPr>
            </w:pPr>
            <w:r>
              <w:rPr>
                <w:color w:val="000000"/>
                <w:kern w:val="0"/>
                <w:szCs w:val="21"/>
              </w:rPr>
              <w:t>7</w:t>
            </w:r>
          </w:p>
        </w:tc>
        <w:tc>
          <w:tcPr>
            <w:tcW w:w="850" w:type="dxa"/>
            <w:vMerge w:val="restart"/>
            <w:noWrap w:val="0"/>
            <w:vAlign w:val="center"/>
          </w:tcPr>
          <w:p w14:paraId="11F7C40E">
            <w:pPr>
              <w:jc w:val="center"/>
              <w:rPr>
                <w:rFonts w:eastAsia="楷体_GB2312"/>
                <w:color w:val="000000"/>
                <w:kern w:val="0"/>
                <w:szCs w:val="21"/>
              </w:rPr>
            </w:pPr>
            <w:r>
              <w:rPr>
                <w:rFonts w:eastAsia="楷体_GB2312"/>
                <w:color w:val="000000"/>
                <w:kern w:val="0"/>
                <w:szCs w:val="21"/>
              </w:rPr>
              <w:t>时村镇</w:t>
            </w:r>
          </w:p>
        </w:tc>
        <w:tc>
          <w:tcPr>
            <w:tcW w:w="567" w:type="dxa"/>
            <w:noWrap w:val="0"/>
            <w:vAlign w:val="center"/>
          </w:tcPr>
          <w:p w14:paraId="6ECE0AA4">
            <w:pPr>
              <w:jc w:val="center"/>
              <w:rPr>
                <w:color w:val="000000"/>
                <w:kern w:val="0"/>
                <w:szCs w:val="21"/>
              </w:rPr>
            </w:pPr>
            <w:r>
              <w:rPr>
                <w:color w:val="000000"/>
                <w:kern w:val="0"/>
                <w:szCs w:val="21"/>
              </w:rPr>
              <w:t>1</w:t>
            </w:r>
          </w:p>
        </w:tc>
        <w:tc>
          <w:tcPr>
            <w:tcW w:w="3686" w:type="dxa"/>
            <w:noWrap w:val="0"/>
            <w:vAlign w:val="center"/>
          </w:tcPr>
          <w:p w14:paraId="2C630153">
            <w:pPr>
              <w:jc w:val="center"/>
              <w:rPr>
                <w:rFonts w:eastAsia="楷体_GB2312"/>
                <w:color w:val="000000"/>
                <w:kern w:val="0"/>
                <w:szCs w:val="21"/>
              </w:rPr>
            </w:pPr>
            <w:r>
              <w:rPr>
                <w:rFonts w:eastAsia="楷体_GB2312"/>
                <w:color w:val="000000"/>
                <w:kern w:val="0"/>
                <w:szCs w:val="21"/>
              </w:rPr>
              <w:t>宿州农商银行（时村支行）</w:t>
            </w:r>
          </w:p>
        </w:tc>
        <w:tc>
          <w:tcPr>
            <w:tcW w:w="850" w:type="dxa"/>
            <w:noWrap/>
            <w:vAlign w:val="center"/>
          </w:tcPr>
          <w:p w14:paraId="5384E7C8">
            <w:pPr>
              <w:jc w:val="center"/>
              <w:rPr>
                <w:color w:val="000000"/>
                <w:kern w:val="0"/>
                <w:szCs w:val="21"/>
              </w:rPr>
            </w:pPr>
            <w:r>
              <w:rPr>
                <w:color w:val="000000"/>
                <w:kern w:val="0"/>
                <w:szCs w:val="21"/>
              </w:rPr>
              <w:t>1.0000</w:t>
            </w:r>
          </w:p>
        </w:tc>
        <w:tc>
          <w:tcPr>
            <w:tcW w:w="567" w:type="dxa"/>
            <w:noWrap/>
            <w:vAlign w:val="center"/>
          </w:tcPr>
          <w:p w14:paraId="2A67350B">
            <w:pPr>
              <w:jc w:val="center"/>
              <w:rPr>
                <w:color w:val="000000"/>
                <w:kern w:val="0"/>
                <w:szCs w:val="21"/>
              </w:rPr>
            </w:pPr>
            <w:r>
              <w:rPr>
                <w:color w:val="000000"/>
                <w:kern w:val="0"/>
                <w:szCs w:val="21"/>
              </w:rPr>
              <w:t>1</w:t>
            </w:r>
          </w:p>
        </w:tc>
        <w:tc>
          <w:tcPr>
            <w:tcW w:w="709" w:type="dxa"/>
            <w:noWrap/>
            <w:vAlign w:val="center"/>
          </w:tcPr>
          <w:p w14:paraId="6FF74603">
            <w:pPr>
              <w:jc w:val="center"/>
              <w:rPr>
                <w:color w:val="000000"/>
                <w:kern w:val="0"/>
                <w:szCs w:val="21"/>
              </w:rPr>
            </w:pPr>
            <w:r>
              <w:rPr>
                <w:color w:val="000000"/>
                <w:kern w:val="0"/>
                <w:szCs w:val="21"/>
              </w:rPr>
              <w:t>100</w:t>
            </w:r>
          </w:p>
        </w:tc>
        <w:tc>
          <w:tcPr>
            <w:tcW w:w="1274" w:type="dxa"/>
            <w:noWrap/>
            <w:vAlign w:val="center"/>
          </w:tcPr>
          <w:p w14:paraId="479D887A">
            <w:pPr>
              <w:jc w:val="center"/>
              <w:rPr>
                <w:color w:val="000000"/>
                <w:kern w:val="0"/>
                <w:szCs w:val="21"/>
              </w:rPr>
            </w:pPr>
            <w:r>
              <w:rPr>
                <w:rFonts w:hint="eastAsia"/>
                <w:color w:val="000000"/>
                <w:kern w:val="0"/>
                <w:szCs w:val="21"/>
              </w:rPr>
              <w:t>1500</w:t>
            </w:r>
          </w:p>
        </w:tc>
      </w:tr>
      <w:tr w14:paraId="2697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5380EE39">
            <w:pPr>
              <w:jc w:val="center"/>
              <w:rPr>
                <w:color w:val="000000"/>
                <w:kern w:val="0"/>
                <w:szCs w:val="21"/>
              </w:rPr>
            </w:pPr>
          </w:p>
        </w:tc>
        <w:tc>
          <w:tcPr>
            <w:tcW w:w="850" w:type="dxa"/>
            <w:vMerge w:val="continue"/>
            <w:noWrap w:val="0"/>
            <w:vAlign w:val="center"/>
          </w:tcPr>
          <w:p w14:paraId="0BD81BA7">
            <w:pPr>
              <w:jc w:val="center"/>
              <w:rPr>
                <w:rFonts w:eastAsia="楷体_GB2312"/>
                <w:color w:val="000000"/>
                <w:kern w:val="0"/>
                <w:szCs w:val="21"/>
              </w:rPr>
            </w:pPr>
          </w:p>
        </w:tc>
        <w:tc>
          <w:tcPr>
            <w:tcW w:w="567" w:type="dxa"/>
            <w:noWrap w:val="0"/>
            <w:vAlign w:val="center"/>
          </w:tcPr>
          <w:p w14:paraId="754CD1E0">
            <w:pPr>
              <w:jc w:val="center"/>
              <w:rPr>
                <w:color w:val="000000"/>
                <w:kern w:val="0"/>
                <w:szCs w:val="21"/>
              </w:rPr>
            </w:pPr>
            <w:r>
              <w:rPr>
                <w:color w:val="000000"/>
                <w:kern w:val="0"/>
                <w:szCs w:val="21"/>
              </w:rPr>
              <w:t>2</w:t>
            </w:r>
          </w:p>
        </w:tc>
        <w:tc>
          <w:tcPr>
            <w:tcW w:w="3686" w:type="dxa"/>
            <w:noWrap w:val="0"/>
            <w:vAlign w:val="center"/>
          </w:tcPr>
          <w:p w14:paraId="00703A70">
            <w:pPr>
              <w:jc w:val="center"/>
              <w:rPr>
                <w:rFonts w:eastAsia="楷体_GB2312"/>
                <w:color w:val="000000"/>
                <w:kern w:val="0"/>
                <w:szCs w:val="21"/>
              </w:rPr>
            </w:pPr>
            <w:r>
              <w:rPr>
                <w:rFonts w:eastAsia="楷体_GB2312"/>
                <w:color w:val="000000"/>
                <w:kern w:val="0"/>
                <w:szCs w:val="21"/>
              </w:rPr>
              <w:t>中国邮政储蓄银行 （时村二所营业所）</w:t>
            </w:r>
          </w:p>
        </w:tc>
        <w:tc>
          <w:tcPr>
            <w:tcW w:w="850" w:type="dxa"/>
            <w:noWrap/>
            <w:vAlign w:val="center"/>
          </w:tcPr>
          <w:p w14:paraId="3D889BF6">
            <w:pPr>
              <w:jc w:val="center"/>
              <w:rPr>
                <w:color w:val="000000"/>
                <w:kern w:val="0"/>
                <w:szCs w:val="21"/>
              </w:rPr>
            </w:pPr>
            <w:r>
              <w:rPr>
                <w:color w:val="000000"/>
                <w:kern w:val="0"/>
                <w:szCs w:val="21"/>
              </w:rPr>
              <w:t>0.4450</w:t>
            </w:r>
          </w:p>
        </w:tc>
        <w:tc>
          <w:tcPr>
            <w:tcW w:w="567" w:type="dxa"/>
            <w:noWrap/>
            <w:vAlign w:val="center"/>
          </w:tcPr>
          <w:p w14:paraId="3968FD97">
            <w:pPr>
              <w:jc w:val="center"/>
              <w:rPr>
                <w:color w:val="000000"/>
                <w:kern w:val="0"/>
                <w:szCs w:val="21"/>
              </w:rPr>
            </w:pPr>
            <w:r>
              <w:rPr>
                <w:color w:val="000000"/>
                <w:kern w:val="0"/>
                <w:szCs w:val="21"/>
              </w:rPr>
              <w:t>2</w:t>
            </w:r>
          </w:p>
        </w:tc>
        <w:tc>
          <w:tcPr>
            <w:tcW w:w="709" w:type="dxa"/>
            <w:noWrap/>
            <w:vAlign w:val="center"/>
          </w:tcPr>
          <w:p w14:paraId="004C4FAF">
            <w:pPr>
              <w:jc w:val="center"/>
              <w:rPr>
                <w:color w:val="000000"/>
                <w:kern w:val="0"/>
                <w:szCs w:val="21"/>
              </w:rPr>
            </w:pPr>
            <w:r>
              <w:rPr>
                <w:rFonts w:hint="eastAsia"/>
                <w:color w:val="000000"/>
                <w:kern w:val="0"/>
                <w:szCs w:val="21"/>
              </w:rPr>
              <w:t>45</w:t>
            </w:r>
          </w:p>
        </w:tc>
        <w:tc>
          <w:tcPr>
            <w:tcW w:w="1274" w:type="dxa"/>
            <w:noWrap/>
            <w:vAlign w:val="center"/>
          </w:tcPr>
          <w:p w14:paraId="54194DA6">
            <w:pPr>
              <w:jc w:val="center"/>
              <w:rPr>
                <w:color w:val="000000"/>
                <w:kern w:val="0"/>
                <w:szCs w:val="21"/>
              </w:rPr>
            </w:pPr>
            <w:r>
              <w:rPr>
                <w:rFonts w:hint="eastAsia"/>
                <w:color w:val="000000"/>
                <w:kern w:val="0"/>
                <w:szCs w:val="21"/>
              </w:rPr>
              <w:t>1400</w:t>
            </w:r>
          </w:p>
        </w:tc>
      </w:tr>
      <w:tr w14:paraId="088B5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70AFED89">
            <w:pPr>
              <w:jc w:val="center"/>
              <w:rPr>
                <w:color w:val="000000"/>
                <w:kern w:val="0"/>
                <w:szCs w:val="21"/>
              </w:rPr>
            </w:pPr>
          </w:p>
        </w:tc>
        <w:tc>
          <w:tcPr>
            <w:tcW w:w="850" w:type="dxa"/>
            <w:vMerge w:val="continue"/>
            <w:noWrap w:val="0"/>
            <w:vAlign w:val="center"/>
          </w:tcPr>
          <w:p w14:paraId="53313C96">
            <w:pPr>
              <w:jc w:val="center"/>
              <w:rPr>
                <w:rFonts w:eastAsia="楷体_GB2312"/>
                <w:color w:val="000000"/>
                <w:kern w:val="0"/>
                <w:szCs w:val="21"/>
              </w:rPr>
            </w:pPr>
          </w:p>
        </w:tc>
        <w:tc>
          <w:tcPr>
            <w:tcW w:w="567" w:type="dxa"/>
            <w:noWrap w:val="0"/>
            <w:vAlign w:val="center"/>
          </w:tcPr>
          <w:p w14:paraId="2F22C583">
            <w:pPr>
              <w:jc w:val="center"/>
              <w:rPr>
                <w:color w:val="000000"/>
                <w:kern w:val="0"/>
                <w:szCs w:val="21"/>
              </w:rPr>
            </w:pPr>
            <w:r>
              <w:rPr>
                <w:color w:val="000000"/>
                <w:kern w:val="0"/>
                <w:szCs w:val="21"/>
              </w:rPr>
              <w:t>3</w:t>
            </w:r>
          </w:p>
        </w:tc>
        <w:tc>
          <w:tcPr>
            <w:tcW w:w="3686" w:type="dxa"/>
            <w:noWrap w:val="0"/>
            <w:vAlign w:val="center"/>
          </w:tcPr>
          <w:p w14:paraId="7B0CE49B">
            <w:pPr>
              <w:jc w:val="center"/>
              <w:rPr>
                <w:rFonts w:eastAsia="楷体_GB2312"/>
                <w:color w:val="000000"/>
                <w:kern w:val="0"/>
                <w:szCs w:val="21"/>
              </w:rPr>
            </w:pPr>
            <w:r>
              <w:rPr>
                <w:rFonts w:eastAsia="楷体_GB2312"/>
                <w:color w:val="000000"/>
                <w:kern w:val="0"/>
                <w:szCs w:val="21"/>
              </w:rPr>
              <w:t>中国农业银行 （时村镇分理处）</w:t>
            </w:r>
          </w:p>
        </w:tc>
        <w:tc>
          <w:tcPr>
            <w:tcW w:w="850" w:type="dxa"/>
            <w:noWrap/>
            <w:vAlign w:val="center"/>
          </w:tcPr>
          <w:p w14:paraId="38FE3007">
            <w:pPr>
              <w:jc w:val="center"/>
              <w:rPr>
                <w:color w:val="000000"/>
                <w:kern w:val="0"/>
                <w:szCs w:val="21"/>
              </w:rPr>
            </w:pPr>
            <w:r>
              <w:rPr>
                <w:color w:val="000000"/>
                <w:kern w:val="0"/>
                <w:szCs w:val="21"/>
              </w:rPr>
              <w:t>0.5250</w:t>
            </w:r>
          </w:p>
        </w:tc>
        <w:tc>
          <w:tcPr>
            <w:tcW w:w="567" w:type="dxa"/>
            <w:noWrap/>
            <w:vAlign w:val="center"/>
          </w:tcPr>
          <w:p w14:paraId="3E03DE3E">
            <w:pPr>
              <w:jc w:val="center"/>
              <w:rPr>
                <w:color w:val="000000"/>
                <w:kern w:val="0"/>
                <w:szCs w:val="21"/>
              </w:rPr>
            </w:pPr>
            <w:r>
              <w:rPr>
                <w:color w:val="000000"/>
                <w:kern w:val="0"/>
                <w:szCs w:val="21"/>
              </w:rPr>
              <w:t>2</w:t>
            </w:r>
          </w:p>
        </w:tc>
        <w:tc>
          <w:tcPr>
            <w:tcW w:w="709" w:type="dxa"/>
            <w:noWrap/>
            <w:vAlign w:val="center"/>
          </w:tcPr>
          <w:p w14:paraId="034B6A1B">
            <w:pPr>
              <w:jc w:val="center"/>
              <w:rPr>
                <w:color w:val="000000"/>
                <w:kern w:val="0"/>
                <w:szCs w:val="21"/>
              </w:rPr>
            </w:pPr>
            <w:r>
              <w:rPr>
                <w:color w:val="000000"/>
                <w:kern w:val="0"/>
                <w:szCs w:val="21"/>
              </w:rPr>
              <w:t>53</w:t>
            </w:r>
          </w:p>
        </w:tc>
        <w:tc>
          <w:tcPr>
            <w:tcW w:w="1274" w:type="dxa"/>
            <w:noWrap/>
            <w:vAlign w:val="center"/>
          </w:tcPr>
          <w:p w14:paraId="2C231841">
            <w:pPr>
              <w:jc w:val="center"/>
              <w:rPr>
                <w:color w:val="000000"/>
                <w:kern w:val="0"/>
                <w:szCs w:val="21"/>
              </w:rPr>
            </w:pPr>
            <w:r>
              <w:rPr>
                <w:rFonts w:hint="eastAsia"/>
                <w:color w:val="000000"/>
                <w:kern w:val="0"/>
                <w:szCs w:val="21"/>
              </w:rPr>
              <w:t>1400</w:t>
            </w:r>
          </w:p>
        </w:tc>
      </w:tr>
      <w:tr w14:paraId="3C3C4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52D1CA79">
            <w:pPr>
              <w:jc w:val="center"/>
              <w:rPr>
                <w:color w:val="000000"/>
                <w:kern w:val="0"/>
                <w:szCs w:val="21"/>
              </w:rPr>
            </w:pPr>
          </w:p>
        </w:tc>
        <w:tc>
          <w:tcPr>
            <w:tcW w:w="850" w:type="dxa"/>
            <w:vMerge w:val="continue"/>
            <w:noWrap w:val="0"/>
            <w:vAlign w:val="center"/>
          </w:tcPr>
          <w:p w14:paraId="7C0C99E6">
            <w:pPr>
              <w:jc w:val="center"/>
              <w:rPr>
                <w:rFonts w:eastAsia="楷体_GB2312"/>
                <w:color w:val="000000"/>
                <w:kern w:val="0"/>
                <w:szCs w:val="21"/>
              </w:rPr>
            </w:pPr>
          </w:p>
        </w:tc>
        <w:tc>
          <w:tcPr>
            <w:tcW w:w="567" w:type="dxa"/>
            <w:noWrap w:val="0"/>
            <w:vAlign w:val="center"/>
          </w:tcPr>
          <w:p w14:paraId="63D1B0BF">
            <w:pPr>
              <w:jc w:val="center"/>
              <w:rPr>
                <w:color w:val="000000"/>
                <w:kern w:val="0"/>
                <w:szCs w:val="21"/>
              </w:rPr>
            </w:pPr>
            <w:r>
              <w:rPr>
                <w:color w:val="000000"/>
                <w:kern w:val="0"/>
                <w:szCs w:val="21"/>
              </w:rPr>
              <w:t>4</w:t>
            </w:r>
          </w:p>
        </w:tc>
        <w:tc>
          <w:tcPr>
            <w:tcW w:w="3686" w:type="dxa"/>
            <w:noWrap w:val="0"/>
            <w:vAlign w:val="center"/>
          </w:tcPr>
          <w:p w14:paraId="16B82F29">
            <w:pPr>
              <w:jc w:val="center"/>
              <w:rPr>
                <w:rFonts w:eastAsia="楷体_GB2312"/>
                <w:color w:val="000000"/>
                <w:kern w:val="0"/>
                <w:szCs w:val="21"/>
              </w:rPr>
            </w:pPr>
            <w:r>
              <w:rPr>
                <w:rFonts w:eastAsia="楷体_GB2312"/>
                <w:color w:val="000000"/>
                <w:kern w:val="0"/>
                <w:szCs w:val="21"/>
              </w:rPr>
              <w:t>中国邮政储蓄银行（时村一所支行）</w:t>
            </w:r>
          </w:p>
        </w:tc>
        <w:tc>
          <w:tcPr>
            <w:tcW w:w="850" w:type="dxa"/>
            <w:noWrap/>
            <w:vAlign w:val="center"/>
          </w:tcPr>
          <w:p w14:paraId="42E2B920">
            <w:pPr>
              <w:jc w:val="center"/>
              <w:rPr>
                <w:color w:val="000000"/>
                <w:kern w:val="0"/>
                <w:szCs w:val="21"/>
              </w:rPr>
            </w:pPr>
            <w:r>
              <w:rPr>
                <w:color w:val="000000"/>
                <w:kern w:val="0"/>
                <w:szCs w:val="21"/>
              </w:rPr>
              <w:t>0.3850</w:t>
            </w:r>
          </w:p>
        </w:tc>
        <w:tc>
          <w:tcPr>
            <w:tcW w:w="567" w:type="dxa"/>
            <w:noWrap/>
            <w:vAlign w:val="center"/>
          </w:tcPr>
          <w:p w14:paraId="19B9DA87">
            <w:pPr>
              <w:jc w:val="center"/>
              <w:rPr>
                <w:color w:val="000000"/>
                <w:kern w:val="0"/>
                <w:szCs w:val="21"/>
              </w:rPr>
            </w:pPr>
            <w:r>
              <w:rPr>
                <w:color w:val="000000"/>
                <w:kern w:val="0"/>
                <w:szCs w:val="21"/>
              </w:rPr>
              <w:t>2</w:t>
            </w:r>
          </w:p>
        </w:tc>
        <w:tc>
          <w:tcPr>
            <w:tcW w:w="709" w:type="dxa"/>
            <w:noWrap/>
            <w:vAlign w:val="center"/>
          </w:tcPr>
          <w:p w14:paraId="67E942FB">
            <w:pPr>
              <w:jc w:val="center"/>
              <w:rPr>
                <w:color w:val="000000"/>
                <w:kern w:val="0"/>
                <w:szCs w:val="21"/>
              </w:rPr>
            </w:pPr>
            <w:r>
              <w:rPr>
                <w:rFonts w:hint="eastAsia"/>
                <w:color w:val="000000"/>
                <w:kern w:val="0"/>
                <w:szCs w:val="21"/>
              </w:rPr>
              <w:t>39</w:t>
            </w:r>
          </w:p>
        </w:tc>
        <w:tc>
          <w:tcPr>
            <w:tcW w:w="1274" w:type="dxa"/>
            <w:noWrap/>
            <w:vAlign w:val="center"/>
          </w:tcPr>
          <w:p w14:paraId="247433F5">
            <w:pPr>
              <w:jc w:val="center"/>
              <w:rPr>
                <w:color w:val="000000"/>
                <w:kern w:val="0"/>
                <w:szCs w:val="21"/>
              </w:rPr>
            </w:pPr>
            <w:r>
              <w:rPr>
                <w:rFonts w:hint="eastAsia"/>
                <w:color w:val="000000"/>
                <w:kern w:val="0"/>
                <w:szCs w:val="21"/>
              </w:rPr>
              <w:t>1400</w:t>
            </w:r>
          </w:p>
        </w:tc>
      </w:tr>
      <w:tr w14:paraId="52F7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restart"/>
            <w:noWrap w:val="0"/>
            <w:vAlign w:val="center"/>
          </w:tcPr>
          <w:p w14:paraId="0C4C512B">
            <w:pPr>
              <w:jc w:val="center"/>
              <w:rPr>
                <w:color w:val="000000"/>
                <w:kern w:val="0"/>
                <w:szCs w:val="21"/>
              </w:rPr>
            </w:pPr>
            <w:r>
              <w:rPr>
                <w:color w:val="000000"/>
                <w:kern w:val="0"/>
                <w:szCs w:val="21"/>
              </w:rPr>
              <w:t>8</w:t>
            </w:r>
          </w:p>
        </w:tc>
        <w:tc>
          <w:tcPr>
            <w:tcW w:w="850" w:type="dxa"/>
            <w:vMerge w:val="restart"/>
            <w:noWrap w:val="0"/>
            <w:vAlign w:val="center"/>
          </w:tcPr>
          <w:p w14:paraId="6C9AF6DA">
            <w:pPr>
              <w:jc w:val="center"/>
              <w:rPr>
                <w:rFonts w:eastAsia="楷体_GB2312"/>
                <w:color w:val="000000"/>
                <w:kern w:val="0"/>
                <w:szCs w:val="21"/>
              </w:rPr>
            </w:pPr>
            <w:r>
              <w:rPr>
                <w:rFonts w:eastAsia="楷体_GB2312"/>
                <w:color w:val="000000"/>
                <w:kern w:val="0"/>
                <w:szCs w:val="21"/>
              </w:rPr>
              <w:t>夹沟镇</w:t>
            </w:r>
          </w:p>
        </w:tc>
        <w:tc>
          <w:tcPr>
            <w:tcW w:w="567" w:type="dxa"/>
            <w:noWrap w:val="0"/>
            <w:vAlign w:val="center"/>
          </w:tcPr>
          <w:p w14:paraId="5F551965">
            <w:pPr>
              <w:jc w:val="center"/>
              <w:rPr>
                <w:color w:val="000000"/>
                <w:kern w:val="0"/>
                <w:szCs w:val="21"/>
              </w:rPr>
            </w:pPr>
            <w:r>
              <w:rPr>
                <w:color w:val="000000"/>
                <w:kern w:val="0"/>
                <w:szCs w:val="21"/>
              </w:rPr>
              <w:t>1</w:t>
            </w:r>
          </w:p>
        </w:tc>
        <w:tc>
          <w:tcPr>
            <w:tcW w:w="3686" w:type="dxa"/>
            <w:noWrap w:val="0"/>
            <w:vAlign w:val="center"/>
          </w:tcPr>
          <w:p w14:paraId="62D57FD2">
            <w:pPr>
              <w:jc w:val="center"/>
              <w:rPr>
                <w:rFonts w:eastAsia="楷体_GB2312"/>
                <w:color w:val="000000"/>
                <w:kern w:val="0"/>
                <w:szCs w:val="21"/>
              </w:rPr>
            </w:pPr>
            <w:r>
              <w:rPr>
                <w:rFonts w:eastAsia="楷体_GB2312"/>
                <w:color w:val="000000"/>
                <w:kern w:val="0"/>
                <w:szCs w:val="21"/>
              </w:rPr>
              <w:t>中国邮政储蓄银行（夹沟支行）</w:t>
            </w:r>
          </w:p>
        </w:tc>
        <w:tc>
          <w:tcPr>
            <w:tcW w:w="850" w:type="dxa"/>
            <w:noWrap/>
            <w:vAlign w:val="center"/>
          </w:tcPr>
          <w:p w14:paraId="5C65970B">
            <w:pPr>
              <w:jc w:val="center"/>
              <w:rPr>
                <w:color w:val="000000"/>
                <w:kern w:val="0"/>
                <w:szCs w:val="21"/>
              </w:rPr>
            </w:pPr>
            <w:r>
              <w:rPr>
                <w:color w:val="000000"/>
                <w:kern w:val="0"/>
                <w:szCs w:val="21"/>
              </w:rPr>
              <w:t>0.9615</w:t>
            </w:r>
          </w:p>
        </w:tc>
        <w:tc>
          <w:tcPr>
            <w:tcW w:w="567" w:type="dxa"/>
            <w:noWrap/>
            <w:vAlign w:val="center"/>
          </w:tcPr>
          <w:p w14:paraId="2FE68450">
            <w:pPr>
              <w:jc w:val="center"/>
              <w:rPr>
                <w:color w:val="000000"/>
                <w:kern w:val="0"/>
                <w:szCs w:val="21"/>
              </w:rPr>
            </w:pPr>
            <w:r>
              <w:rPr>
                <w:rFonts w:hint="eastAsia"/>
                <w:color w:val="000000"/>
                <w:kern w:val="0"/>
                <w:szCs w:val="21"/>
              </w:rPr>
              <w:t>1</w:t>
            </w:r>
          </w:p>
        </w:tc>
        <w:tc>
          <w:tcPr>
            <w:tcW w:w="709" w:type="dxa"/>
            <w:noWrap/>
            <w:vAlign w:val="center"/>
          </w:tcPr>
          <w:p w14:paraId="28215107">
            <w:pPr>
              <w:jc w:val="center"/>
              <w:rPr>
                <w:color w:val="000000"/>
                <w:kern w:val="0"/>
                <w:szCs w:val="21"/>
              </w:rPr>
            </w:pPr>
            <w:r>
              <w:rPr>
                <w:rFonts w:hint="eastAsia"/>
                <w:color w:val="000000"/>
                <w:kern w:val="0"/>
                <w:szCs w:val="21"/>
              </w:rPr>
              <w:t>96</w:t>
            </w:r>
          </w:p>
        </w:tc>
        <w:tc>
          <w:tcPr>
            <w:tcW w:w="1274" w:type="dxa"/>
            <w:noWrap/>
            <w:vAlign w:val="center"/>
          </w:tcPr>
          <w:p w14:paraId="3EE5FB68">
            <w:pPr>
              <w:jc w:val="center"/>
              <w:rPr>
                <w:color w:val="000000"/>
                <w:kern w:val="0"/>
                <w:szCs w:val="21"/>
              </w:rPr>
            </w:pPr>
            <w:r>
              <w:rPr>
                <w:rFonts w:hint="eastAsia"/>
                <w:color w:val="000000"/>
                <w:kern w:val="0"/>
                <w:szCs w:val="21"/>
              </w:rPr>
              <w:t>1700</w:t>
            </w:r>
          </w:p>
        </w:tc>
      </w:tr>
      <w:tr w14:paraId="63BE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03DB7B23">
            <w:pPr>
              <w:jc w:val="center"/>
              <w:rPr>
                <w:color w:val="000000"/>
                <w:kern w:val="0"/>
                <w:szCs w:val="21"/>
              </w:rPr>
            </w:pPr>
          </w:p>
        </w:tc>
        <w:tc>
          <w:tcPr>
            <w:tcW w:w="850" w:type="dxa"/>
            <w:vMerge w:val="continue"/>
            <w:noWrap w:val="0"/>
            <w:vAlign w:val="center"/>
          </w:tcPr>
          <w:p w14:paraId="12D5384D">
            <w:pPr>
              <w:jc w:val="center"/>
              <w:rPr>
                <w:rFonts w:eastAsia="楷体_GB2312"/>
                <w:color w:val="000000"/>
                <w:kern w:val="0"/>
                <w:szCs w:val="21"/>
              </w:rPr>
            </w:pPr>
          </w:p>
        </w:tc>
        <w:tc>
          <w:tcPr>
            <w:tcW w:w="567" w:type="dxa"/>
            <w:noWrap w:val="0"/>
            <w:vAlign w:val="center"/>
          </w:tcPr>
          <w:p w14:paraId="533E87A3">
            <w:pPr>
              <w:jc w:val="center"/>
              <w:rPr>
                <w:color w:val="000000"/>
                <w:kern w:val="0"/>
                <w:szCs w:val="21"/>
              </w:rPr>
            </w:pPr>
            <w:r>
              <w:rPr>
                <w:color w:val="000000"/>
                <w:kern w:val="0"/>
                <w:szCs w:val="21"/>
              </w:rPr>
              <w:t>2</w:t>
            </w:r>
          </w:p>
        </w:tc>
        <w:tc>
          <w:tcPr>
            <w:tcW w:w="3686" w:type="dxa"/>
            <w:noWrap w:val="0"/>
            <w:vAlign w:val="center"/>
          </w:tcPr>
          <w:p w14:paraId="2B0FD42B">
            <w:pPr>
              <w:jc w:val="center"/>
              <w:rPr>
                <w:rFonts w:eastAsia="楷体_GB2312"/>
                <w:color w:val="000000"/>
                <w:kern w:val="0"/>
                <w:szCs w:val="21"/>
              </w:rPr>
            </w:pPr>
            <w:r>
              <w:rPr>
                <w:rFonts w:eastAsia="楷体_GB2312"/>
                <w:color w:val="000000"/>
                <w:kern w:val="0"/>
                <w:szCs w:val="21"/>
              </w:rPr>
              <w:t>中国农业银行（夹沟分理处）</w:t>
            </w:r>
          </w:p>
        </w:tc>
        <w:tc>
          <w:tcPr>
            <w:tcW w:w="850" w:type="dxa"/>
            <w:noWrap/>
            <w:vAlign w:val="center"/>
          </w:tcPr>
          <w:p w14:paraId="0307A67E">
            <w:pPr>
              <w:jc w:val="center"/>
              <w:rPr>
                <w:color w:val="000000"/>
                <w:kern w:val="0"/>
                <w:szCs w:val="21"/>
              </w:rPr>
            </w:pPr>
            <w:r>
              <w:rPr>
                <w:color w:val="000000"/>
                <w:kern w:val="0"/>
                <w:szCs w:val="21"/>
              </w:rPr>
              <w:t>1.0000</w:t>
            </w:r>
          </w:p>
        </w:tc>
        <w:tc>
          <w:tcPr>
            <w:tcW w:w="567" w:type="dxa"/>
            <w:noWrap/>
            <w:vAlign w:val="center"/>
          </w:tcPr>
          <w:p w14:paraId="228C50CE">
            <w:pPr>
              <w:jc w:val="center"/>
              <w:rPr>
                <w:color w:val="000000"/>
                <w:kern w:val="0"/>
                <w:szCs w:val="21"/>
              </w:rPr>
            </w:pPr>
            <w:r>
              <w:rPr>
                <w:color w:val="000000"/>
                <w:kern w:val="0"/>
                <w:szCs w:val="21"/>
              </w:rPr>
              <w:t>1</w:t>
            </w:r>
          </w:p>
        </w:tc>
        <w:tc>
          <w:tcPr>
            <w:tcW w:w="709" w:type="dxa"/>
            <w:noWrap/>
            <w:vAlign w:val="center"/>
          </w:tcPr>
          <w:p w14:paraId="6744ABD5">
            <w:pPr>
              <w:jc w:val="center"/>
              <w:rPr>
                <w:color w:val="000000"/>
                <w:kern w:val="0"/>
                <w:szCs w:val="21"/>
              </w:rPr>
            </w:pPr>
            <w:r>
              <w:rPr>
                <w:color w:val="000000"/>
                <w:kern w:val="0"/>
                <w:szCs w:val="21"/>
              </w:rPr>
              <w:t>100</w:t>
            </w:r>
          </w:p>
        </w:tc>
        <w:tc>
          <w:tcPr>
            <w:tcW w:w="1274" w:type="dxa"/>
            <w:noWrap/>
            <w:vAlign w:val="center"/>
          </w:tcPr>
          <w:p w14:paraId="10054F72">
            <w:pPr>
              <w:jc w:val="center"/>
              <w:rPr>
                <w:color w:val="000000"/>
                <w:kern w:val="0"/>
                <w:szCs w:val="21"/>
              </w:rPr>
            </w:pPr>
            <w:r>
              <w:rPr>
                <w:rFonts w:hint="eastAsia"/>
                <w:color w:val="000000"/>
                <w:kern w:val="0"/>
                <w:szCs w:val="21"/>
              </w:rPr>
              <w:t>1700</w:t>
            </w:r>
          </w:p>
        </w:tc>
      </w:tr>
      <w:tr w14:paraId="590E0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0DF77CAE">
            <w:pPr>
              <w:jc w:val="center"/>
              <w:rPr>
                <w:color w:val="000000"/>
                <w:kern w:val="0"/>
                <w:szCs w:val="21"/>
              </w:rPr>
            </w:pPr>
          </w:p>
        </w:tc>
        <w:tc>
          <w:tcPr>
            <w:tcW w:w="850" w:type="dxa"/>
            <w:vMerge w:val="continue"/>
            <w:noWrap w:val="0"/>
            <w:vAlign w:val="center"/>
          </w:tcPr>
          <w:p w14:paraId="55EFD98D">
            <w:pPr>
              <w:jc w:val="center"/>
              <w:rPr>
                <w:rFonts w:eastAsia="楷体_GB2312"/>
                <w:color w:val="000000"/>
                <w:kern w:val="0"/>
                <w:szCs w:val="21"/>
              </w:rPr>
            </w:pPr>
          </w:p>
        </w:tc>
        <w:tc>
          <w:tcPr>
            <w:tcW w:w="567" w:type="dxa"/>
            <w:noWrap w:val="0"/>
            <w:vAlign w:val="center"/>
          </w:tcPr>
          <w:p w14:paraId="356606AD">
            <w:pPr>
              <w:jc w:val="center"/>
              <w:rPr>
                <w:color w:val="000000"/>
                <w:kern w:val="0"/>
                <w:szCs w:val="21"/>
              </w:rPr>
            </w:pPr>
            <w:r>
              <w:rPr>
                <w:color w:val="000000"/>
                <w:kern w:val="0"/>
                <w:szCs w:val="21"/>
              </w:rPr>
              <w:t>3</w:t>
            </w:r>
          </w:p>
        </w:tc>
        <w:tc>
          <w:tcPr>
            <w:tcW w:w="3686" w:type="dxa"/>
            <w:noWrap w:val="0"/>
            <w:vAlign w:val="center"/>
          </w:tcPr>
          <w:p w14:paraId="7054E428">
            <w:pPr>
              <w:jc w:val="center"/>
              <w:rPr>
                <w:rFonts w:eastAsia="楷体_GB2312"/>
                <w:color w:val="000000"/>
                <w:kern w:val="0"/>
                <w:szCs w:val="21"/>
              </w:rPr>
            </w:pPr>
            <w:r>
              <w:rPr>
                <w:rFonts w:eastAsia="楷体_GB2312"/>
                <w:color w:val="000000"/>
                <w:kern w:val="0"/>
                <w:szCs w:val="21"/>
              </w:rPr>
              <w:t>宿州农商银行（夹沟支行）</w:t>
            </w:r>
          </w:p>
        </w:tc>
        <w:tc>
          <w:tcPr>
            <w:tcW w:w="850" w:type="dxa"/>
            <w:noWrap/>
            <w:vAlign w:val="center"/>
          </w:tcPr>
          <w:p w14:paraId="53989B21">
            <w:pPr>
              <w:jc w:val="center"/>
              <w:rPr>
                <w:color w:val="000000"/>
                <w:kern w:val="0"/>
                <w:szCs w:val="21"/>
              </w:rPr>
            </w:pPr>
            <w:r>
              <w:rPr>
                <w:color w:val="000000"/>
                <w:kern w:val="0"/>
                <w:szCs w:val="21"/>
              </w:rPr>
              <w:t>0.8365</w:t>
            </w:r>
          </w:p>
        </w:tc>
        <w:tc>
          <w:tcPr>
            <w:tcW w:w="567" w:type="dxa"/>
            <w:noWrap/>
            <w:vAlign w:val="center"/>
          </w:tcPr>
          <w:p w14:paraId="726894D9">
            <w:pPr>
              <w:jc w:val="center"/>
              <w:rPr>
                <w:color w:val="000000"/>
                <w:kern w:val="0"/>
                <w:szCs w:val="21"/>
              </w:rPr>
            </w:pPr>
            <w:r>
              <w:rPr>
                <w:color w:val="000000"/>
                <w:kern w:val="0"/>
                <w:szCs w:val="21"/>
              </w:rPr>
              <w:t>2</w:t>
            </w:r>
          </w:p>
        </w:tc>
        <w:tc>
          <w:tcPr>
            <w:tcW w:w="709" w:type="dxa"/>
            <w:noWrap/>
            <w:vAlign w:val="center"/>
          </w:tcPr>
          <w:p w14:paraId="173DBB62">
            <w:pPr>
              <w:jc w:val="center"/>
              <w:rPr>
                <w:color w:val="000000"/>
                <w:kern w:val="0"/>
                <w:szCs w:val="21"/>
              </w:rPr>
            </w:pPr>
            <w:r>
              <w:rPr>
                <w:color w:val="000000"/>
                <w:kern w:val="0"/>
                <w:szCs w:val="21"/>
              </w:rPr>
              <w:t>84</w:t>
            </w:r>
          </w:p>
        </w:tc>
        <w:tc>
          <w:tcPr>
            <w:tcW w:w="1274" w:type="dxa"/>
            <w:noWrap/>
            <w:vAlign w:val="center"/>
          </w:tcPr>
          <w:p w14:paraId="2DD7DB85">
            <w:pPr>
              <w:jc w:val="center"/>
              <w:rPr>
                <w:color w:val="000000"/>
                <w:kern w:val="0"/>
                <w:szCs w:val="21"/>
              </w:rPr>
            </w:pPr>
            <w:r>
              <w:rPr>
                <w:rFonts w:hint="eastAsia"/>
                <w:color w:val="000000"/>
                <w:kern w:val="0"/>
                <w:szCs w:val="21"/>
              </w:rPr>
              <w:t>1600</w:t>
            </w:r>
          </w:p>
        </w:tc>
      </w:tr>
      <w:tr w14:paraId="35A0F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noWrap w:val="0"/>
            <w:vAlign w:val="center"/>
          </w:tcPr>
          <w:p w14:paraId="36BA9823">
            <w:pPr>
              <w:jc w:val="center"/>
              <w:rPr>
                <w:color w:val="000000"/>
                <w:kern w:val="0"/>
                <w:szCs w:val="21"/>
              </w:rPr>
            </w:pPr>
            <w:r>
              <w:rPr>
                <w:color w:val="000000"/>
                <w:kern w:val="0"/>
                <w:szCs w:val="21"/>
              </w:rPr>
              <w:t>9</w:t>
            </w:r>
          </w:p>
        </w:tc>
        <w:tc>
          <w:tcPr>
            <w:tcW w:w="850" w:type="dxa"/>
            <w:noWrap w:val="0"/>
            <w:vAlign w:val="center"/>
          </w:tcPr>
          <w:p w14:paraId="6C4BDA65">
            <w:pPr>
              <w:jc w:val="center"/>
              <w:rPr>
                <w:rFonts w:eastAsia="楷体_GB2312"/>
                <w:color w:val="000000"/>
                <w:kern w:val="0"/>
                <w:szCs w:val="21"/>
              </w:rPr>
            </w:pPr>
            <w:r>
              <w:rPr>
                <w:rFonts w:eastAsia="楷体_GB2312"/>
                <w:color w:val="000000"/>
                <w:kern w:val="0"/>
                <w:szCs w:val="21"/>
              </w:rPr>
              <w:t>西二铺乡</w:t>
            </w:r>
          </w:p>
        </w:tc>
        <w:tc>
          <w:tcPr>
            <w:tcW w:w="567" w:type="dxa"/>
            <w:noWrap w:val="0"/>
            <w:vAlign w:val="center"/>
          </w:tcPr>
          <w:p w14:paraId="38274D89">
            <w:pPr>
              <w:jc w:val="center"/>
              <w:rPr>
                <w:color w:val="000000"/>
                <w:kern w:val="0"/>
                <w:szCs w:val="21"/>
              </w:rPr>
            </w:pPr>
            <w:r>
              <w:rPr>
                <w:color w:val="000000"/>
                <w:kern w:val="0"/>
                <w:szCs w:val="21"/>
              </w:rPr>
              <w:t>1</w:t>
            </w:r>
          </w:p>
        </w:tc>
        <w:tc>
          <w:tcPr>
            <w:tcW w:w="3686" w:type="dxa"/>
            <w:noWrap w:val="0"/>
            <w:vAlign w:val="center"/>
          </w:tcPr>
          <w:p w14:paraId="5A31FAA9">
            <w:pPr>
              <w:jc w:val="center"/>
              <w:rPr>
                <w:rFonts w:eastAsia="楷体_GB2312"/>
                <w:color w:val="000000"/>
                <w:kern w:val="0"/>
                <w:szCs w:val="21"/>
              </w:rPr>
            </w:pPr>
            <w:r>
              <w:rPr>
                <w:rFonts w:eastAsia="楷体_GB2312"/>
                <w:color w:val="000000"/>
                <w:kern w:val="0"/>
                <w:szCs w:val="21"/>
              </w:rPr>
              <w:t>宿州农商银行（西二铺支行）</w:t>
            </w:r>
          </w:p>
        </w:tc>
        <w:tc>
          <w:tcPr>
            <w:tcW w:w="850" w:type="dxa"/>
            <w:noWrap/>
            <w:vAlign w:val="center"/>
          </w:tcPr>
          <w:p w14:paraId="6EE68442">
            <w:pPr>
              <w:jc w:val="center"/>
              <w:rPr>
                <w:color w:val="000000"/>
                <w:kern w:val="0"/>
                <w:szCs w:val="21"/>
              </w:rPr>
            </w:pPr>
            <w:r>
              <w:rPr>
                <w:color w:val="000000"/>
                <w:kern w:val="0"/>
                <w:szCs w:val="21"/>
              </w:rPr>
              <w:t>1.0000</w:t>
            </w:r>
          </w:p>
        </w:tc>
        <w:tc>
          <w:tcPr>
            <w:tcW w:w="567" w:type="dxa"/>
            <w:noWrap/>
            <w:vAlign w:val="center"/>
          </w:tcPr>
          <w:p w14:paraId="1A6D5A74">
            <w:pPr>
              <w:jc w:val="center"/>
              <w:rPr>
                <w:color w:val="000000"/>
                <w:kern w:val="0"/>
                <w:szCs w:val="21"/>
              </w:rPr>
            </w:pPr>
            <w:r>
              <w:rPr>
                <w:color w:val="000000"/>
                <w:kern w:val="0"/>
                <w:szCs w:val="21"/>
              </w:rPr>
              <w:t>1</w:t>
            </w:r>
          </w:p>
        </w:tc>
        <w:tc>
          <w:tcPr>
            <w:tcW w:w="709" w:type="dxa"/>
            <w:noWrap/>
            <w:vAlign w:val="center"/>
          </w:tcPr>
          <w:p w14:paraId="0954235A">
            <w:pPr>
              <w:jc w:val="center"/>
              <w:rPr>
                <w:color w:val="000000"/>
                <w:kern w:val="0"/>
                <w:szCs w:val="21"/>
              </w:rPr>
            </w:pPr>
            <w:r>
              <w:rPr>
                <w:color w:val="000000"/>
                <w:kern w:val="0"/>
                <w:szCs w:val="21"/>
              </w:rPr>
              <w:t>100</w:t>
            </w:r>
          </w:p>
        </w:tc>
        <w:tc>
          <w:tcPr>
            <w:tcW w:w="1274" w:type="dxa"/>
            <w:noWrap/>
            <w:vAlign w:val="center"/>
          </w:tcPr>
          <w:p w14:paraId="7F74C187">
            <w:pPr>
              <w:jc w:val="center"/>
              <w:rPr>
                <w:color w:val="000000"/>
                <w:kern w:val="0"/>
                <w:szCs w:val="21"/>
              </w:rPr>
            </w:pPr>
            <w:r>
              <w:rPr>
                <w:rFonts w:hint="eastAsia"/>
                <w:color w:val="000000"/>
                <w:kern w:val="0"/>
                <w:szCs w:val="21"/>
              </w:rPr>
              <w:t>1500</w:t>
            </w:r>
          </w:p>
        </w:tc>
      </w:tr>
      <w:tr w14:paraId="43FC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restart"/>
            <w:noWrap w:val="0"/>
            <w:vAlign w:val="center"/>
          </w:tcPr>
          <w:p w14:paraId="55D3CC55">
            <w:pPr>
              <w:jc w:val="center"/>
              <w:rPr>
                <w:color w:val="000000"/>
                <w:kern w:val="0"/>
                <w:szCs w:val="21"/>
              </w:rPr>
            </w:pPr>
            <w:r>
              <w:rPr>
                <w:color w:val="000000"/>
                <w:kern w:val="0"/>
                <w:szCs w:val="21"/>
              </w:rPr>
              <w:t>10</w:t>
            </w:r>
          </w:p>
        </w:tc>
        <w:tc>
          <w:tcPr>
            <w:tcW w:w="850" w:type="dxa"/>
            <w:vMerge w:val="restart"/>
            <w:noWrap w:val="0"/>
            <w:vAlign w:val="center"/>
          </w:tcPr>
          <w:p w14:paraId="5503BEA2">
            <w:pPr>
              <w:jc w:val="center"/>
              <w:rPr>
                <w:rFonts w:eastAsia="楷体_GB2312"/>
                <w:color w:val="000000"/>
                <w:kern w:val="0"/>
                <w:szCs w:val="21"/>
              </w:rPr>
            </w:pPr>
            <w:r>
              <w:rPr>
                <w:rFonts w:eastAsia="楷体_GB2312"/>
                <w:color w:val="000000"/>
                <w:kern w:val="0"/>
                <w:szCs w:val="21"/>
              </w:rPr>
              <w:t>桃园镇</w:t>
            </w:r>
          </w:p>
        </w:tc>
        <w:tc>
          <w:tcPr>
            <w:tcW w:w="567" w:type="dxa"/>
            <w:noWrap w:val="0"/>
            <w:vAlign w:val="center"/>
          </w:tcPr>
          <w:p w14:paraId="59D1F3EC">
            <w:pPr>
              <w:jc w:val="center"/>
              <w:rPr>
                <w:color w:val="000000"/>
                <w:kern w:val="0"/>
                <w:szCs w:val="21"/>
              </w:rPr>
            </w:pPr>
            <w:r>
              <w:rPr>
                <w:color w:val="000000"/>
                <w:kern w:val="0"/>
                <w:szCs w:val="21"/>
              </w:rPr>
              <w:t>1</w:t>
            </w:r>
          </w:p>
        </w:tc>
        <w:tc>
          <w:tcPr>
            <w:tcW w:w="3686" w:type="dxa"/>
            <w:noWrap w:val="0"/>
            <w:vAlign w:val="center"/>
          </w:tcPr>
          <w:p w14:paraId="03AB5B48">
            <w:pPr>
              <w:jc w:val="center"/>
              <w:rPr>
                <w:rFonts w:eastAsia="楷体_GB2312"/>
                <w:color w:val="000000"/>
                <w:kern w:val="0"/>
                <w:szCs w:val="21"/>
              </w:rPr>
            </w:pPr>
            <w:r>
              <w:rPr>
                <w:rFonts w:eastAsia="楷体_GB2312"/>
                <w:color w:val="000000"/>
                <w:kern w:val="0"/>
                <w:szCs w:val="21"/>
              </w:rPr>
              <w:t>宿州农商银行（西二铺支行）</w:t>
            </w:r>
          </w:p>
        </w:tc>
        <w:tc>
          <w:tcPr>
            <w:tcW w:w="850" w:type="dxa"/>
            <w:noWrap/>
            <w:vAlign w:val="center"/>
          </w:tcPr>
          <w:p w14:paraId="7AECE4F1">
            <w:pPr>
              <w:jc w:val="center"/>
              <w:rPr>
                <w:color w:val="000000"/>
                <w:kern w:val="0"/>
                <w:szCs w:val="21"/>
              </w:rPr>
            </w:pPr>
            <w:r>
              <w:rPr>
                <w:color w:val="000000"/>
                <w:kern w:val="0"/>
                <w:szCs w:val="21"/>
              </w:rPr>
              <w:t>0.7273</w:t>
            </w:r>
          </w:p>
        </w:tc>
        <w:tc>
          <w:tcPr>
            <w:tcW w:w="567" w:type="dxa"/>
            <w:noWrap/>
            <w:vAlign w:val="center"/>
          </w:tcPr>
          <w:p w14:paraId="369C9B85">
            <w:pPr>
              <w:jc w:val="center"/>
              <w:rPr>
                <w:color w:val="000000"/>
                <w:kern w:val="0"/>
                <w:szCs w:val="21"/>
              </w:rPr>
            </w:pPr>
            <w:r>
              <w:rPr>
                <w:color w:val="000000"/>
                <w:kern w:val="0"/>
                <w:szCs w:val="21"/>
              </w:rPr>
              <w:t>2</w:t>
            </w:r>
          </w:p>
        </w:tc>
        <w:tc>
          <w:tcPr>
            <w:tcW w:w="709" w:type="dxa"/>
            <w:noWrap/>
            <w:vAlign w:val="center"/>
          </w:tcPr>
          <w:p w14:paraId="193D83D9">
            <w:pPr>
              <w:jc w:val="center"/>
              <w:rPr>
                <w:color w:val="000000"/>
                <w:kern w:val="0"/>
                <w:szCs w:val="21"/>
              </w:rPr>
            </w:pPr>
            <w:r>
              <w:rPr>
                <w:rFonts w:hint="eastAsia"/>
                <w:color w:val="000000"/>
                <w:kern w:val="0"/>
                <w:szCs w:val="21"/>
              </w:rPr>
              <w:t>73</w:t>
            </w:r>
          </w:p>
        </w:tc>
        <w:tc>
          <w:tcPr>
            <w:tcW w:w="1274" w:type="dxa"/>
            <w:noWrap/>
            <w:vAlign w:val="center"/>
          </w:tcPr>
          <w:p w14:paraId="7D537A2D">
            <w:pPr>
              <w:jc w:val="center"/>
              <w:rPr>
                <w:color w:val="000000"/>
                <w:kern w:val="0"/>
                <w:szCs w:val="21"/>
              </w:rPr>
            </w:pPr>
            <w:r>
              <w:rPr>
                <w:rFonts w:hint="eastAsia"/>
                <w:color w:val="000000"/>
                <w:kern w:val="0"/>
                <w:szCs w:val="21"/>
              </w:rPr>
              <w:t>1800</w:t>
            </w:r>
          </w:p>
        </w:tc>
      </w:tr>
      <w:tr w14:paraId="7C3E6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17763130">
            <w:pPr>
              <w:jc w:val="center"/>
              <w:rPr>
                <w:color w:val="000000"/>
                <w:kern w:val="0"/>
                <w:szCs w:val="21"/>
              </w:rPr>
            </w:pPr>
          </w:p>
        </w:tc>
        <w:tc>
          <w:tcPr>
            <w:tcW w:w="850" w:type="dxa"/>
            <w:vMerge w:val="continue"/>
            <w:noWrap w:val="0"/>
            <w:vAlign w:val="center"/>
          </w:tcPr>
          <w:p w14:paraId="3C2CC111">
            <w:pPr>
              <w:jc w:val="center"/>
              <w:rPr>
                <w:rFonts w:eastAsia="楷体_GB2312"/>
                <w:color w:val="000000"/>
                <w:kern w:val="0"/>
                <w:szCs w:val="21"/>
              </w:rPr>
            </w:pPr>
          </w:p>
        </w:tc>
        <w:tc>
          <w:tcPr>
            <w:tcW w:w="567" w:type="dxa"/>
            <w:noWrap w:val="0"/>
            <w:vAlign w:val="center"/>
          </w:tcPr>
          <w:p w14:paraId="2E5C9150">
            <w:pPr>
              <w:jc w:val="center"/>
              <w:rPr>
                <w:color w:val="000000"/>
                <w:kern w:val="0"/>
                <w:szCs w:val="21"/>
              </w:rPr>
            </w:pPr>
            <w:r>
              <w:rPr>
                <w:color w:val="000000"/>
                <w:kern w:val="0"/>
                <w:szCs w:val="21"/>
              </w:rPr>
              <w:t>2</w:t>
            </w:r>
          </w:p>
        </w:tc>
        <w:tc>
          <w:tcPr>
            <w:tcW w:w="3686" w:type="dxa"/>
            <w:noWrap w:val="0"/>
            <w:vAlign w:val="center"/>
          </w:tcPr>
          <w:p w14:paraId="1D63BBB3">
            <w:pPr>
              <w:jc w:val="center"/>
              <w:rPr>
                <w:rFonts w:eastAsia="楷体_GB2312"/>
                <w:color w:val="000000"/>
                <w:kern w:val="0"/>
                <w:szCs w:val="21"/>
              </w:rPr>
            </w:pPr>
            <w:r>
              <w:rPr>
                <w:rFonts w:eastAsia="楷体_GB2312"/>
                <w:color w:val="000000"/>
                <w:kern w:val="0"/>
                <w:szCs w:val="21"/>
              </w:rPr>
              <w:t>中国工商银行（宿州桃园支行）</w:t>
            </w:r>
          </w:p>
        </w:tc>
        <w:tc>
          <w:tcPr>
            <w:tcW w:w="850" w:type="dxa"/>
            <w:noWrap/>
            <w:vAlign w:val="center"/>
          </w:tcPr>
          <w:p w14:paraId="115CC956">
            <w:pPr>
              <w:jc w:val="center"/>
              <w:rPr>
                <w:color w:val="000000"/>
                <w:kern w:val="0"/>
                <w:szCs w:val="21"/>
              </w:rPr>
            </w:pPr>
            <w:r>
              <w:rPr>
                <w:color w:val="000000"/>
                <w:kern w:val="0"/>
                <w:szCs w:val="21"/>
              </w:rPr>
              <w:t>0.9273</w:t>
            </w:r>
          </w:p>
        </w:tc>
        <w:tc>
          <w:tcPr>
            <w:tcW w:w="567" w:type="dxa"/>
            <w:noWrap/>
            <w:vAlign w:val="center"/>
          </w:tcPr>
          <w:p w14:paraId="0E466B08">
            <w:pPr>
              <w:jc w:val="center"/>
              <w:rPr>
                <w:color w:val="000000"/>
                <w:kern w:val="0"/>
                <w:szCs w:val="21"/>
              </w:rPr>
            </w:pPr>
            <w:r>
              <w:rPr>
                <w:color w:val="000000"/>
                <w:kern w:val="0"/>
                <w:szCs w:val="21"/>
              </w:rPr>
              <w:t>1</w:t>
            </w:r>
          </w:p>
        </w:tc>
        <w:tc>
          <w:tcPr>
            <w:tcW w:w="709" w:type="dxa"/>
            <w:noWrap/>
            <w:vAlign w:val="center"/>
          </w:tcPr>
          <w:p w14:paraId="23938BF8">
            <w:pPr>
              <w:jc w:val="center"/>
              <w:rPr>
                <w:color w:val="000000"/>
                <w:kern w:val="0"/>
                <w:szCs w:val="21"/>
              </w:rPr>
            </w:pPr>
            <w:r>
              <w:rPr>
                <w:color w:val="000000"/>
                <w:kern w:val="0"/>
                <w:szCs w:val="21"/>
              </w:rPr>
              <w:t>100</w:t>
            </w:r>
          </w:p>
        </w:tc>
        <w:tc>
          <w:tcPr>
            <w:tcW w:w="1274" w:type="dxa"/>
            <w:noWrap/>
            <w:vAlign w:val="center"/>
          </w:tcPr>
          <w:p w14:paraId="5466CC0A">
            <w:pPr>
              <w:jc w:val="center"/>
              <w:rPr>
                <w:color w:val="000000"/>
                <w:kern w:val="0"/>
                <w:szCs w:val="21"/>
              </w:rPr>
            </w:pPr>
            <w:r>
              <w:rPr>
                <w:rFonts w:hint="eastAsia"/>
                <w:color w:val="000000"/>
                <w:kern w:val="0"/>
                <w:szCs w:val="21"/>
              </w:rPr>
              <w:t>2000</w:t>
            </w:r>
          </w:p>
        </w:tc>
      </w:tr>
      <w:tr w14:paraId="6E1C0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503C18B0">
            <w:pPr>
              <w:jc w:val="center"/>
              <w:rPr>
                <w:color w:val="000000"/>
                <w:kern w:val="0"/>
                <w:szCs w:val="21"/>
              </w:rPr>
            </w:pPr>
          </w:p>
        </w:tc>
        <w:tc>
          <w:tcPr>
            <w:tcW w:w="850" w:type="dxa"/>
            <w:vMerge w:val="continue"/>
            <w:noWrap w:val="0"/>
            <w:vAlign w:val="center"/>
          </w:tcPr>
          <w:p w14:paraId="562FF9B9">
            <w:pPr>
              <w:jc w:val="center"/>
              <w:rPr>
                <w:rFonts w:eastAsia="楷体_GB2312"/>
                <w:color w:val="000000"/>
                <w:kern w:val="0"/>
                <w:szCs w:val="21"/>
              </w:rPr>
            </w:pPr>
          </w:p>
        </w:tc>
        <w:tc>
          <w:tcPr>
            <w:tcW w:w="567" w:type="dxa"/>
            <w:noWrap w:val="0"/>
            <w:vAlign w:val="center"/>
          </w:tcPr>
          <w:p w14:paraId="7C264D2A">
            <w:pPr>
              <w:jc w:val="center"/>
              <w:rPr>
                <w:color w:val="000000"/>
                <w:kern w:val="0"/>
                <w:szCs w:val="21"/>
              </w:rPr>
            </w:pPr>
            <w:r>
              <w:rPr>
                <w:color w:val="000000"/>
                <w:kern w:val="0"/>
                <w:szCs w:val="21"/>
              </w:rPr>
              <w:t>3</w:t>
            </w:r>
          </w:p>
        </w:tc>
        <w:tc>
          <w:tcPr>
            <w:tcW w:w="3686" w:type="dxa"/>
            <w:noWrap w:val="0"/>
            <w:vAlign w:val="center"/>
          </w:tcPr>
          <w:p w14:paraId="699A3432">
            <w:pPr>
              <w:jc w:val="center"/>
              <w:rPr>
                <w:rFonts w:eastAsia="楷体_GB2312"/>
                <w:color w:val="000000"/>
                <w:kern w:val="0"/>
                <w:szCs w:val="21"/>
              </w:rPr>
            </w:pPr>
            <w:r>
              <w:rPr>
                <w:rFonts w:eastAsia="楷体_GB2312"/>
                <w:color w:val="000000"/>
                <w:kern w:val="0"/>
                <w:szCs w:val="21"/>
              </w:rPr>
              <w:t>中国农业银行（北杨寨分理处）</w:t>
            </w:r>
          </w:p>
        </w:tc>
        <w:tc>
          <w:tcPr>
            <w:tcW w:w="850" w:type="dxa"/>
            <w:noWrap/>
            <w:vAlign w:val="center"/>
          </w:tcPr>
          <w:p w14:paraId="70D770C9">
            <w:pPr>
              <w:jc w:val="center"/>
              <w:rPr>
                <w:color w:val="000000"/>
                <w:kern w:val="0"/>
                <w:szCs w:val="21"/>
              </w:rPr>
            </w:pPr>
            <w:r>
              <w:rPr>
                <w:color w:val="000000"/>
                <w:kern w:val="0"/>
                <w:szCs w:val="21"/>
              </w:rPr>
              <w:t>0.8545</w:t>
            </w:r>
          </w:p>
        </w:tc>
        <w:tc>
          <w:tcPr>
            <w:tcW w:w="567" w:type="dxa"/>
            <w:noWrap/>
            <w:vAlign w:val="center"/>
          </w:tcPr>
          <w:p w14:paraId="1E668838">
            <w:pPr>
              <w:jc w:val="center"/>
              <w:rPr>
                <w:color w:val="000000"/>
                <w:kern w:val="0"/>
                <w:szCs w:val="21"/>
              </w:rPr>
            </w:pPr>
            <w:r>
              <w:rPr>
                <w:color w:val="000000"/>
                <w:kern w:val="0"/>
                <w:szCs w:val="21"/>
              </w:rPr>
              <w:t>2</w:t>
            </w:r>
          </w:p>
        </w:tc>
        <w:tc>
          <w:tcPr>
            <w:tcW w:w="709" w:type="dxa"/>
            <w:noWrap/>
            <w:vAlign w:val="center"/>
          </w:tcPr>
          <w:p w14:paraId="77396E77">
            <w:pPr>
              <w:jc w:val="center"/>
              <w:rPr>
                <w:color w:val="000000"/>
                <w:kern w:val="0"/>
                <w:szCs w:val="21"/>
              </w:rPr>
            </w:pPr>
            <w:r>
              <w:rPr>
                <w:color w:val="000000"/>
                <w:kern w:val="0"/>
                <w:szCs w:val="21"/>
              </w:rPr>
              <w:t>85</w:t>
            </w:r>
          </w:p>
        </w:tc>
        <w:tc>
          <w:tcPr>
            <w:tcW w:w="1274" w:type="dxa"/>
            <w:noWrap/>
            <w:vAlign w:val="center"/>
          </w:tcPr>
          <w:p w14:paraId="1654CA08">
            <w:pPr>
              <w:jc w:val="center"/>
              <w:rPr>
                <w:color w:val="000000"/>
                <w:kern w:val="0"/>
                <w:szCs w:val="21"/>
              </w:rPr>
            </w:pPr>
            <w:r>
              <w:rPr>
                <w:rFonts w:hint="eastAsia"/>
                <w:color w:val="000000"/>
                <w:kern w:val="0"/>
                <w:szCs w:val="21"/>
              </w:rPr>
              <w:t>1800</w:t>
            </w:r>
          </w:p>
        </w:tc>
      </w:tr>
      <w:tr w14:paraId="7129C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1A7E0A4F">
            <w:pPr>
              <w:jc w:val="center"/>
              <w:rPr>
                <w:color w:val="000000"/>
                <w:kern w:val="0"/>
                <w:szCs w:val="21"/>
              </w:rPr>
            </w:pPr>
          </w:p>
        </w:tc>
        <w:tc>
          <w:tcPr>
            <w:tcW w:w="850" w:type="dxa"/>
            <w:vMerge w:val="continue"/>
            <w:noWrap w:val="0"/>
            <w:vAlign w:val="center"/>
          </w:tcPr>
          <w:p w14:paraId="5597F0BB">
            <w:pPr>
              <w:jc w:val="center"/>
              <w:rPr>
                <w:rFonts w:eastAsia="楷体_GB2312"/>
                <w:color w:val="000000"/>
                <w:kern w:val="0"/>
                <w:szCs w:val="21"/>
              </w:rPr>
            </w:pPr>
          </w:p>
        </w:tc>
        <w:tc>
          <w:tcPr>
            <w:tcW w:w="567" w:type="dxa"/>
            <w:noWrap w:val="0"/>
            <w:vAlign w:val="center"/>
          </w:tcPr>
          <w:p w14:paraId="37F0BB6E">
            <w:pPr>
              <w:jc w:val="center"/>
              <w:rPr>
                <w:color w:val="000000"/>
                <w:kern w:val="0"/>
                <w:szCs w:val="21"/>
              </w:rPr>
            </w:pPr>
            <w:r>
              <w:rPr>
                <w:color w:val="000000"/>
                <w:kern w:val="0"/>
                <w:szCs w:val="21"/>
              </w:rPr>
              <w:t>4</w:t>
            </w:r>
          </w:p>
        </w:tc>
        <w:tc>
          <w:tcPr>
            <w:tcW w:w="3686" w:type="dxa"/>
            <w:noWrap w:val="0"/>
            <w:vAlign w:val="center"/>
          </w:tcPr>
          <w:p w14:paraId="5CD8DF33">
            <w:pPr>
              <w:jc w:val="center"/>
              <w:rPr>
                <w:rFonts w:eastAsia="楷体_GB2312"/>
                <w:color w:val="000000"/>
                <w:kern w:val="0"/>
                <w:szCs w:val="21"/>
              </w:rPr>
            </w:pPr>
            <w:r>
              <w:rPr>
                <w:rFonts w:eastAsia="楷体_GB2312"/>
                <w:color w:val="000000"/>
                <w:kern w:val="0"/>
                <w:szCs w:val="21"/>
              </w:rPr>
              <w:t>中国邮政储蓄银行（桃园镇支行）</w:t>
            </w:r>
          </w:p>
        </w:tc>
        <w:tc>
          <w:tcPr>
            <w:tcW w:w="850" w:type="dxa"/>
            <w:noWrap/>
            <w:vAlign w:val="center"/>
          </w:tcPr>
          <w:p w14:paraId="3942B4F0">
            <w:pPr>
              <w:jc w:val="center"/>
              <w:rPr>
                <w:color w:val="000000"/>
                <w:kern w:val="0"/>
                <w:szCs w:val="21"/>
              </w:rPr>
            </w:pPr>
            <w:r>
              <w:rPr>
                <w:color w:val="000000"/>
                <w:kern w:val="0"/>
                <w:szCs w:val="21"/>
              </w:rPr>
              <w:t>1.0000</w:t>
            </w:r>
          </w:p>
        </w:tc>
        <w:tc>
          <w:tcPr>
            <w:tcW w:w="567" w:type="dxa"/>
            <w:noWrap/>
            <w:vAlign w:val="center"/>
          </w:tcPr>
          <w:p w14:paraId="25E61168">
            <w:pPr>
              <w:jc w:val="center"/>
              <w:rPr>
                <w:color w:val="000000"/>
                <w:kern w:val="0"/>
                <w:szCs w:val="21"/>
              </w:rPr>
            </w:pPr>
            <w:r>
              <w:rPr>
                <w:color w:val="000000"/>
                <w:kern w:val="0"/>
                <w:szCs w:val="21"/>
              </w:rPr>
              <w:t>1</w:t>
            </w:r>
          </w:p>
        </w:tc>
        <w:tc>
          <w:tcPr>
            <w:tcW w:w="709" w:type="dxa"/>
            <w:noWrap/>
            <w:vAlign w:val="center"/>
          </w:tcPr>
          <w:p w14:paraId="0AB7999A">
            <w:pPr>
              <w:jc w:val="center"/>
              <w:rPr>
                <w:color w:val="000000"/>
                <w:kern w:val="0"/>
                <w:szCs w:val="21"/>
              </w:rPr>
            </w:pPr>
            <w:r>
              <w:rPr>
                <w:color w:val="000000"/>
                <w:kern w:val="0"/>
                <w:szCs w:val="21"/>
              </w:rPr>
              <w:t>100</w:t>
            </w:r>
          </w:p>
        </w:tc>
        <w:tc>
          <w:tcPr>
            <w:tcW w:w="1274" w:type="dxa"/>
            <w:noWrap/>
            <w:vAlign w:val="center"/>
          </w:tcPr>
          <w:p w14:paraId="5C3F00F9">
            <w:pPr>
              <w:jc w:val="center"/>
              <w:rPr>
                <w:color w:val="000000"/>
                <w:kern w:val="0"/>
                <w:szCs w:val="21"/>
              </w:rPr>
            </w:pPr>
            <w:r>
              <w:rPr>
                <w:rFonts w:hint="eastAsia"/>
                <w:color w:val="000000"/>
                <w:kern w:val="0"/>
                <w:szCs w:val="21"/>
              </w:rPr>
              <w:t>2000</w:t>
            </w:r>
          </w:p>
        </w:tc>
      </w:tr>
      <w:tr w14:paraId="0A9BF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restart"/>
            <w:noWrap w:val="0"/>
            <w:vAlign w:val="center"/>
          </w:tcPr>
          <w:p w14:paraId="5660363B">
            <w:pPr>
              <w:jc w:val="center"/>
              <w:rPr>
                <w:color w:val="000000"/>
                <w:kern w:val="0"/>
                <w:szCs w:val="21"/>
              </w:rPr>
            </w:pPr>
            <w:r>
              <w:rPr>
                <w:color w:val="000000"/>
                <w:kern w:val="0"/>
                <w:szCs w:val="21"/>
              </w:rPr>
              <w:t>11</w:t>
            </w:r>
          </w:p>
        </w:tc>
        <w:tc>
          <w:tcPr>
            <w:tcW w:w="850" w:type="dxa"/>
            <w:vMerge w:val="restart"/>
            <w:noWrap w:val="0"/>
            <w:vAlign w:val="center"/>
          </w:tcPr>
          <w:p w14:paraId="768BDD4D">
            <w:pPr>
              <w:jc w:val="center"/>
              <w:rPr>
                <w:rFonts w:eastAsia="楷体_GB2312"/>
                <w:color w:val="000000"/>
                <w:kern w:val="0"/>
                <w:szCs w:val="21"/>
              </w:rPr>
            </w:pPr>
            <w:r>
              <w:rPr>
                <w:rFonts w:eastAsia="楷体_GB2312"/>
                <w:color w:val="000000"/>
                <w:kern w:val="0"/>
                <w:szCs w:val="21"/>
              </w:rPr>
              <w:t>曹村镇</w:t>
            </w:r>
          </w:p>
        </w:tc>
        <w:tc>
          <w:tcPr>
            <w:tcW w:w="567" w:type="dxa"/>
            <w:noWrap w:val="0"/>
            <w:vAlign w:val="center"/>
          </w:tcPr>
          <w:p w14:paraId="4792C264">
            <w:pPr>
              <w:jc w:val="center"/>
              <w:rPr>
                <w:color w:val="000000"/>
                <w:kern w:val="0"/>
                <w:szCs w:val="21"/>
              </w:rPr>
            </w:pPr>
            <w:r>
              <w:rPr>
                <w:color w:val="000000"/>
                <w:kern w:val="0"/>
                <w:szCs w:val="21"/>
              </w:rPr>
              <w:t>1</w:t>
            </w:r>
          </w:p>
        </w:tc>
        <w:tc>
          <w:tcPr>
            <w:tcW w:w="3686" w:type="dxa"/>
            <w:noWrap w:val="0"/>
            <w:vAlign w:val="center"/>
          </w:tcPr>
          <w:p w14:paraId="507908E4">
            <w:pPr>
              <w:jc w:val="center"/>
              <w:rPr>
                <w:rFonts w:eastAsia="楷体_GB2312"/>
                <w:color w:val="000000"/>
                <w:kern w:val="0"/>
                <w:szCs w:val="21"/>
              </w:rPr>
            </w:pPr>
            <w:r>
              <w:rPr>
                <w:rFonts w:eastAsia="楷体_GB2312"/>
                <w:color w:val="000000"/>
                <w:kern w:val="0"/>
                <w:szCs w:val="21"/>
              </w:rPr>
              <w:t>中国邮政储蓄银行（宿州市曹村镇支行）</w:t>
            </w:r>
          </w:p>
        </w:tc>
        <w:tc>
          <w:tcPr>
            <w:tcW w:w="850" w:type="dxa"/>
            <w:noWrap/>
            <w:vAlign w:val="center"/>
          </w:tcPr>
          <w:p w14:paraId="73A523E6">
            <w:pPr>
              <w:jc w:val="center"/>
              <w:rPr>
                <w:color w:val="000000"/>
                <w:kern w:val="0"/>
                <w:szCs w:val="21"/>
              </w:rPr>
            </w:pPr>
            <w:r>
              <w:rPr>
                <w:color w:val="000000"/>
                <w:kern w:val="0"/>
                <w:szCs w:val="21"/>
              </w:rPr>
              <w:t>0.8441</w:t>
            </w:r>
          </w:p>
        </w:tc>
        <w:tc>
          <w:tcPr>
            <w:tcW w:w="567" w:type="dxa"/>
            <w:noWrap/>
            <w:vAlign w:val="center"/>
          </w:tcPr>
          <w:p w14:paraId="642A0914">
            <w:pPr>
              <w:jc w:val="center"/>
              <w:rPr>
                <w:color w:val="000000"/>
                <w:kern w:val="0"/>
                <w:szCs w:val="21"/>
              </w:rPr>
            </w:pPr>
            <w:r>
              <w:rPr>
                <w:color w:val="000000"/>
                <w:kern w:val="0"/>
                <w:szCs w:val="21"/>
              </w:rPr>
              <w:t>2</w:t>
            </w:r>
          </w:p>
        </w:tc>
        <w:tc>
          <w:tcPr>
            <w:tcW w:w="709" w:type="dxa"/>
            <w:noWrap/>
            <w:vAlign w:val="center"/>
          </w:tcPr>
          <w:p w14:paraId="665D5126">
            <w:pPr>
              <w:jc w:val="center"/>
              <w:rPr>
                <w:color w:val="000000"/>
                <w:kern w:val="0"/>
                <w:szCs w:val="21"/>
              </w:rPr>
            </w:pPr>
            <w:r>
              <w:rPr>
                <w:color w:val="000000"/>
                <w:kern w:val="0"/>
                <w:szCs w:val="21"/>
              </w:rPr>
              <w:t>84</w:t>
            </w:r>
          </w:p>
        </w:tc>
        <w:tc>
          <w:tcPr>
            <w:tcW w:w="1274" w:type="dxa"/>
            <w:noWrap/>
            <w:vAlign w:val="center"/>
          </w:tcPr>
          <w:p w14:paraId="1978FDED">
            <w:pPr>
              <w:jc w:val="center"/>
              <w:rPr>
                <w:color w:val="000000"/>
                <w:kern w:val="0"/>
                <w:szCs w:val="21"/>
              </w:rPr>
            </w:pPr>
            <w:r>
              <w:rPr>
                <w:rFonts w:hint="eastAsia"/>
                <w:color w:val="000000"/>
                <w:kern w:val="0"/>
                <w:szCs w:val="21"/>
              </w:rPr>
              <w:t>2800</w:t>
            </w:r>
          </w:p>
        </w:tc>
      </w:tr>
      <w:tr w14:paraId="0A75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4C6D49A9">
            <w:pPr>
              <w:jc w:val="center"/>
              <w:rPr>
                <w:color w:val="000000"/>
                <w:kern w:val="0"/>
                <w:szCs w:val="21"/>
              </w:rPr>
            </w:pPr>
          </w:p>
        </w:tc>
        <w:tc>
          <w:tcPr>
            <w:tcW w:w="850" w:type="dxa"/>
            <w:vMerge w:val="continue"/>
            <w:noWrap w:val="0"/>
            <w:vAlign w:val="center"/>
          </w:tcPr>
          <w:p w14:paraId="35726893">
            <w:pPr>
              <w:jc w:val="center"/>
              <w:rPr>
                <w:rFonts w:eastAsia="楷体_GB2312"/>
                <w:color w:val="000000"/>
                <w:kern w:val="0"/>
                <w:szCs w:val="21"/>
              </w:rPr>
            </w:pPr>
          </w:p>
        </w:tc>
        <w:tc>
          <w:tcPr>
            <w:tcW w:w="567" w:type="dxa"/>
            <w:noWrap w:val="0"/>
            <w:vAlign w:val="center"/>
          </w:tcPr>
          <w:p w14:paraId="0A57D890">
            <w:pPr>
              <w:jc w:val="center"/>
              <w:rPr>
                <w:color w:val="000000"/>
                <w:kern w:val="0"/>
                <w:szCs w:val="21"/>
              </w:rPr>
            </w:pPr>
            <w:r>
              <w:rPr>
                <w:color w:val="000000"/>
                <w:kern w:val="0"/>
                <w:szCs w:val="21"/>
              </w:rPr>
              <w:t>2</w:t>
            </w:r>
          </w:p>
        </w:tc>
        <w:tc>
          <w:tcPr>
            <w:tcW w:w="3686" w:type="dxa"/>
            <w:noWrap w:val="0"/>
            <w:vAlign w:val="center"/>
          </w:tcPr>
          <w:p w14:paraId="28AC265D">
            <w:pPr>
              <w:jc w:val="center"/>
              <w:rPr>
                <w:rFonts w:eastAsia="楷体_GB2312"/>
                <w:color w:val="000000"/>
                <w:kern w:val="0"/>
                <w:szCs w:val="21"/>
              </w:rPr>
            </w:pPr>
            <w:r>
              <w:rPr>
                <w:rFonts w:eastAsia="楷体_GB2312"/>
                <w:color w:val="000000"/>
                <w:kern w:val="0"/>
                <w:szCs w:val="21"/>
              </w:rPr>
              <w:t>宿州农商银行（曹村支行）</w:t>
            </w:r>
          </w:p>
        </w:tc>
        <w:tc>
          <w:tcPr>
            <w:tcW w:w="850" w:type="dxa"/>
            <w:noWrap/>
            <w:vAlign w:val="center"/>
          </w:tcPr>
          <w:p w14:paraId="7AE3BC90">
            <w:pPr>
              <w:jc w:val="center"/>
              <w:rPr>
                <w:color w:val="000000"/>
                <w:kern w:val="0"/>
                <w:szCs w:val="21"/>
              </w:rPr>
            </w:pPr>
            <w:r>
              <w:rPr>
                <w:color w:val="000000"/>
                <w:kern w:val="0"/>
                <w:szCs w:val="21"/>
              </w:rPr>
              <w:t>1.0000</w:t>
            </w:r>
          </w:p>
        </w:tc>
        <w:tc>
          <w:tcPr>
            <w:tcW w:w="567" w:type="dxa"/>
            <w:noWrap/>
            <w:vAlign w:val="center"/>
          </w:tcPr>
          <w:p w14:paraId="4201E2BD">
            <w:pPr>
              <w:jc w:val="center"/>
              <w:rPr>
                <w:color w:val="000000"/>
                <w:kern w:val="0"/>
                <w:szCs w:val="21"/>
              </w:rPr>
            </w:pPr>
            <w:r>
              <w:rPr>
                <w:color w:val="000000"/>
                <w:kern w:val="0"/>
                <w:szCs w:val="21"/>
              </w:rPr>
              <w:t>1</w:t>
            </w:r>
          </w:p>
        </w:tc>
        <w:tc>
          <w:tcPr>
            <w:tcW w:w="709" w:type="dxa"/>
            <w:noWrap/>
            <w:vAlign w:val="center"/>
          </w:tcPr>
          <w:p w14:paraId="34B7364B">
            <w:pPr>
              <w:jc w:val="center"/>
              <w:rPr>
                <w:color w:val="000000"/>
                <w:kern w:val="0"/>
                <w:szCs w:val="21"/>
              </w:rPr>
            </w:pPr>
            <w:r>
              <w:rPr>
                <w:color w:val="000000"/>
                <w:kern w:val="0"/>
                <w:szCs w:val="21"/>
              </w:rPr>
              <w:t>100</w:t>
            </w:r>
          </w:p>
        </w:tc>
        <w:tc>
          <w:tcPr>
            <w:tcW w:w="1274" w:type="dxa"/>
            <w:noWrap/>
            <w:vAlign w:val="center"/>
          </w:tcPr>
          <w:p w14:paraId="3EFE6E6A">
            <w:pPr>
              <w:jc w:val="center"/>
              <w:rPr>
                <w:color w:val="000000"/>
                <w:kern w:val="0"/>
                <w:szCs w:val="21"/>
              </w:rPr>
            </w:pPr>
            <w:r>
              <w:rPr>
                <w:rFonts w:hint="eastAsia"/>
                <w:color w:val="000000"/>
                <w:kern w:val="0"/>
                <w:szCs w:val="21"/>
              </w:rPr>
              <w:t>3000</w:t>
            </w:r>
          </w:p>
        </w:tc>
      </w:tr>
      <w:tr w14:paraId="78BB3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restart"/>
            <w:noWrap w:val="0"/>
            <w:vAlign w:val="center"/>
          </w:tcPr>
          <w:p w14:paraId="54CB89A7">
            <w:pPr>
              <w:jc w:val="center"/>
              <w:rPr>
                <w:color w:val="000000"/>
                <w:kern w:val="0"/>
                <w:szCs w:val="21"/>
              </w:rPr>
            </w:pPr>
            <w:r>
              <w:rPr>
                <w:color w:val="000000"/>
                <w:kern w:val="0"/>
                <w:szCs w:val="21"/>
              </w:rPr>
              <w:t>12</w:t>
            </w:r>
          </w:p>
        </w:tc>
        <w:tc>
          <w:tcPr>
            <w:tcW w:w="850" w:type="dxa"/>
            <w:vMerge w:val="restart"/>
            <w:noWrap w:val="0"/>
            <w:vAlign w:val="center"/>
          </w:tcPr>
          <w:p w14:paraId="38945821">
            <w:pPr>
              <w:jc w:val="center"/>
              <w:rPr>
                <w:rFonts w:eastAsia="楷体_GB2312"/>
                <w:color w:val="000000"/>
                <w:kern w:val="0"/>
                <w:szCs w:val="21"/>
              </w:rPr>
            </w:pPr>
            <w:r>
              <w:rPr>
                <w:rFonts w:eastAsia="楷体_GB2312"/>
                <w:color w:val="000000"/>
                <w:kern w:val="0"/>
                <w:szCs w:val="21"/>
              </w:rPr>
              <w:t>大营镇</w:t>
            </w:r>
          </w:p>
        </w:tc>
        <w:tc>
          <w:tcPr>
            <w:tcW w:w="567" w:type="dxa"/>
            <w:noWrap w:val="0"/>
            <w:vAlign w:val="center"/>
          </w:tcPr>
          <w:p w14:paraId="3B44F2BE">
            <w:pPr>
              <w:jc w:val="center"/>
              <w:rPr>
                <w:color w:val="000000"/>
                <w:kern w:val="0"/>
                <w:szCs w:val="21"/>
              </w:rPr>
            </w:pPr>
            <w:r>
              <w:rPr>
                <w:color w:val="000000"/>
                <w:kern w:val="0"/>
                <w:szCs w:val="21"/>
              </w:rPr>
              <w:t>1</w:t>
            </w:r>
          </w:p>
        </w:tc>
        <w:tc>
          <w:tcPr>
            <w:tcW w:w="3686" w:type="dxa"/>
            <w:noWrap w:val="0"/>
            <w:vAlign w:val="center"/>
          </w:tcPr>
          <w:p w14:paraId="57608DB5">
            <w:pPr>
              <w:jc w:val="center"/>
              <w:rPr>
                <w:rFonts w:eastAsia="楷体_GB2312"/>
                <w:color w:val="000000"/>
                <w:kern w:val="0"/>
                <w:szCs w:val="21"/>
              </w:rPr>
            </w:pPr>
            <w:r>
              <w:rPr>
                <w:rFonts w:eastAsia="楷体_GB2312"/>
                <w:color w:val="000000"/>
                <w:kern w:val="0"/>
                <w:szCs w:val="21"/>
              </w:rPr>
              <w:t>宿州农商银行（大营支行）</w:t>
            </w:r>
          </w:p>
        </w:tc>
        <w:tc>
          <w:tcPr>
            <w:tcW w:w="850" w:type="dxa"/>
            <w:noWrap/>
            <w:vAlign w:val="center"/>
          </w:tcPr>
          <w:p w14:paraId="7E306B5A">
            <w:pPr>
              <w:jc w:val="center"/>
              <w:rPr>
                <w:color w:val="000000"/>
                <w:kern w:val="0"/>
                <w:szCs w:val="21"/>
              </w:rPr>
            </w:pPr>
            <w:r>
              <w:rPr>
                <w:color w:val="000000"/>
                <w:kern w:val="0"/>
                <w:szCs w:val="21"/>
              </w:rPr>
              <w:t>0.9403</w:t>
            </w:r>
          </w:p>
        </w:tc>
        <w:tc>
          <w:tcPr>
            <w:tcW w:w="567" w:type="dxa"/>
            <w:noWrap/>
            <w:vAlign w:val="center"/>
          </w:tcPr>
          <w:p w14:paraId="06E0E91D">
            <w:pPr>
              <w:jc w:val="center"/>
              <w:rPr>
                <w:color w:val="000000"/>
                <w:kern w:val="0"/>
                <w:szCs w:val="21"/>
              </w:rPr>
            </w:pPr>
            <w:r>
              <w:rPr>
                <w:color w:val="000000"/>
                <w:kern w:val="0"/>
                <w:szCs w:val="21"/>
              </w:rPr>
              <w:t>2</w:t>
            </w:r>
          </w:p>
        </w:tc>
        <w:tc>
          <w:tcPr>
            <w:tcW w:w="709" w:type="dxa"/>
            <w:noWrap/>
            <w:vAlign w:val="center"/>
          </w:tcPr>
          <w:p w14:paraId="381D2DCC">
            <w:pPr>
              <w:jc w:val="center"/>
              <w:rPr>
                <w:color w:val="000000"/>
                <w:kern w:val="0"/>
                <w:szCs w:val="21"/>
              </w:rPr>
            </w:pPr>
            <w:r>
              <w:rPr>
                <w:color w:val="000000"/>
                <w:kern w:val="0"/>
                <w:szCs w:val="21"/>
              </w:rPr>
              <w:t>94</w:t>
            </w:r>
          </w:p>
        </w:tc>
        <w:tc>
          <w:tcPr>
            <w:tcW w:w="1274" w:type="dxa"/>
            <w:noWrap/>
            <w:vAlign w:val="center"/>
          </w:tcPr>
          <w:p w14:paraId="3393C43C">
            <w:pPr>
              <w:jc w:val="center"/>
              <w:rPr>
                <w:color w:val="000000"/>
                <w:kern w:val="0"/>
                <w:szCs w:val="21"/>
              </w:rPr>
            </w:pPr>
            <w:r>
              <w:rPr>
                <w:rFonts w:hint="eastAsia"/>
                <w:color w:val="000000"/>
                <w:kern w:val="0"/>
                <w:szCs w:val="21"/>
              </w:rPr>
              <w:t>1400</w:t>
            </w:r>
          </w:p>
        </w:tc>
      </w:tr>
      <w:tr w14:paraId="0FF4A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671D12E2">
            <w:pPr>
              <w:jc w:val="center"/>
              <w:rPr>
                <w:color w:val="000000"/>
                <w:kern w:val="0"/>
                <w:szCs w:val="21"/>
              </w:rPr>
            </w:pPr>
          </w:p>
        </w:tc>
        <w:tc>
          <w:tcPr>
            <w:tcW w:w="850" w:type="dxa"/>
            <w:vMerge w:val="continue"/>
            <w:noWrap w:val="0"/>
            <w:vAlign w:val="center"/>
          </w:tcPr>
          <w:p w14:paraId="38A3AB2E">
            <w:pPr>
              <w:jc w:val="center"/>
              <w:rPr>
                <w:rFonts w:eastAsia="楷体_GB2312"/>
                <w:color w:val="000000"/>
                <w:kern w:val="0"/>
                <w:szCs w:val="21"/>
              </w:rPr>
            </w:pPr>
          </w:p>
        </w:tc>
        <w:tc>
          <w:tcPr>
            <w:tcW w:w="567" w:type="dxa"/>
            <w:noWrap w:val="0"/>
            <w:vAlign w:val="center"/>
          </w:tcPr>
          <w:p w14:paraId="195F9022">
            <w:pPr>
              <w:jc w:val="center"/>
              <w:rPr>
                <w:color w:val="000000"/>
                <w:kern w:val="0"/>
                <w:szCs w:val="21"/>
              </w:rPr>
            </w:pPr>
            <w:r>
              <w:rPr>
                <w:color w:val="000000"/>
                <w:kern w:val="0"/>
                <w:szCs w:val="21"/>
              </w:rPr>
              <w:t>2</w:t>
            </w:r>
          </w:p>
        </w:tc>
        <w:tc>
          <w:tcPr>
            <w:tcW w:w="3686" w:type="dxa"/>
            <w:noWrap w:val="0"/>
            <w:vAlign w:val="center"/>
          </w:tcPr>
          <w:p w14:paraId="4F782F97">
            <w:pPr>
              <w:jc w:val="center"/>
              <w:rPr>
                <w:rFonts w:eastAsia="楷体_GB2312"/>
                <w:color w:val="000000"/>
                <w:kern w:val="0"/>
                <w:szCs w:val="21"/>
              </w:rPr>
            </w:pPr>
            <w:r>
              <w:rPr>
                <w:rFonts w:eastAsia="楷体_GB2312"/>
                <w:color w:val="000000"/>
                <w:kern w:val="0"/>
                <w:szCs w:val="21"/>
              </w:rPr>
              <w:t>中国邮政储蓄银行（大营支局）</w:t>
            </w:r>
          </w:p>
        </w:tc>
        <w:tc>
          <w:tcPr>
            <w:tcW w:w="850" w:type="dxa"/>
            <w:noWrap/>
            <w:vAlign w:val="center"/>
          </w:tcPr>
          <w:p w14:paraId="640629FA">
            <w:pPr>
              <w:jc w:val="center"/>
              <w:rPr>
                <w:color w:val="000000"/>
                <w:kern w:val="0"/>
                <w:szCs w:val="21"/>
              </w:rPr>
            </w:pPr>
            <w:r>
              <w:rPr>
                <w:color w:val="000000"/>
                <w:kern w:val="0"/>
                <w:szCs w:val="21"/>
              </w:rPr>
              <w:t>1.0000</w:t>
            </w:r>
          </w:p>
        </w:tc>
        <w:tc>
          <w:tcPr>
            <w:tcW w:w="567" w:type="dxa"/>
            <w:noWrap/>
            <w:vAlign w:val="center"/>
          </w:tcPr>
          <w:p w14:paraId="3DA92EEF">
            <w:pPr>
              <w:jc w:val="center"/>
              <w:rPr>
                <w:color w:val="000000"/>
                <w:kern w:val="0"/>
                <w:szCs w:val="21"/>
              </w:rPr>
            </w:pPr>
            <w:r>
              <w:rPr>
                <w:color w:val="000000"/>
                <w:kern w:val="0"/>
                <w:szCs w:val="21"/>
              </w:rPr>
              <w:t>1</w:t>
            </w:r>
          </w:p>
        </w:tc>
        <w:tc>
          <w:tcPr>
            <w:tcW w:w="709" w:type="dxa"/>
            <w:noWrap/>
            <w:vAlign w:val="center"/>
          </w:tcPr>
          <w:p w14:paraId="025119C2">
            <w:pPr>
              <w:jc w:val="center"/>
              <w:rPr>
                <w:color w:val="000000"/>
                <w:kern w:val="0"/>
                <w:szCs w:val="21"/>
              </w:rPr>
            </w:pPr>
            <w:r>
              <w:rPr>
                <w:color w:val="000000"/>
                <w:kern w:val="0"/>
                <w:szCs w:val="21"/>
              </w:rPr>
              <w:t>100</w:t>
            </w:r>
          </w:p>
        </w:tc>
        <w:tc>
          <w:tcPr>
            <w:tcW w:w="1274" w:type="dxa"/>
            <w:noWrap/>
            <w:vAlign w:val="center"/>
          </w:tcPr>
          <w:p w14:paraId="2F09AB09">
            <w:pPr>
              <w:jc w:val="center"/>
              <w:rPr>
                <w:color w:val="000000"/>
                <w:kern w:val="0"/>
                <w:szCs w:val="21"/>
              </w:rPr>
            </w:pPr>
            <w:r>
              <w:rPr>
                <w:rFonts w:hint="eastAsia"/>
                <w:color w:val="000000"/>
                <w:kern w:val="0"/>
                <w:szCs w:val="21"/>
              </w:rPr>
              <w:t>1500</w:t>
            </w:r>
          </w:p>
        </w:tc>
      </w:tr>
      <w:tr w14:paraId="51BBC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restart"/>
            <w:noWrap w:val="0"/>
            <w:vAlign w:val="center"/>
          </w:tcPr>
          <w:p w14:paraId="328C42A0">
            <w:pPr>
              <w:jc w:val="center"/>
              <w:rPr>
                <w:color w:val="000000"/>
                <w:kern w:val="0"/>
                <w:szCs w:val="21"/>
              </w:rPr>
            </w:pPr>
            <w:r>
              <w:rPr>
                <w:color w:val="000000"/>
                <w:kern w:val="0"/>
                <w:szCs w:val="21"/>
              </w:rPr>
              <w:t>13</w:t>
            </w:r>
          </w:p>
        </w:tc>
        <w:tc>
          <w:tcPr>
            <w:tcW w:w="850" w:type="dxa"/>
            <w:vMerge w:val="restart"/>
            <w:noWrap w:val="0"/>
            <w:vAlign w:val="center"/>
          </w:tcPr>
          <w:p w14:paraId="6B5E5E71">
            <w:pPr>
              <w:jc w:val="center"/>
              <w:rPr>
                <w:rFonts w:eastAsia="楷体_GB2312"/>
                <w:color w:val="000000"/>
                <w:kern w:val="0"/>
                <w:szCs w:val="21"/>
              </w:rPr>
            </w:pPr>
            <w:r>
              <w:rPr>
                <w:rFonts w:eastAsia="楷体_GB2312"/>
                <w:color w:val="000000"/>
                <w:kern w:val="0"/>
                <w:szCs w:val="21"/>
              </w:rPr>
              <w:t>褚兰镇</w:t>
            </w:r>
          </w:p>
        </w:tc>
        <w:tc>
          <w:tcPr>
            <w:tcW w:w="567" w:type="dxa"/>
            <w:noWrap w:val="0"/>
            <w:vAlign w:val="center"/>
          </w:tcPr>
          <w:p w14:paraId="222EB50A">
            <w:pPr>
              <w:jc w:val="center"/>
              <w:rPr>
                <w:color w:val="000000"/>
                <w:kern w:val="0"/>
                <w:szCs w:val="21"/>
              </w:rPr>
            </w:pPr>
            <w:r>
              <w:rPr>
                <w:color w:val="000000"/>
                <w:kern w:val="0"/>
                <w:szCs w:val="21"/>
              </w:rPr>
              <w:t>1</w:t>
            </w:r>
          </w:p>
        </w:tc>
        <w:tc>
          <w:tcPr>
            <w:tcW w:w="3686" w:type="dxa"/>
            <w:noWrap w:val="0"/>
            <w:vAlign w:val="center"/>
          </w:tcPr>
          <w:p w14:paraId="5BFB2B53">
            <w:pPr>
              <w:jc w:val="center"/>
              <w:rPr>
                <w:rFonts w:eastAsia="楷体_GB2312"/>
                <w:color w:val="000000"/>
                <w:kern w:val="0"/>
                <w:szCs w:val="21"/>
              </w:rPr>
            </w:pPr>
            <w:r>
              <w:rPr>
                <w:rFonts w:eastAsia="楷体_GB2312"/>
                <w:color w:val="000000"/>
                <w:kern w:val="0"/>
                <w:szCs w:val="21"/>
              </w:rPr>
              <w:t>宿州农商银行（褚兰支行）</w:t>
            </w:r>
          </w:p>
        </w:tc>
        <w:tc>
          <w:tcPr>
            <w:tcW w:w="850" w:type="dxa"/>
            <w:noWrap/>
            <w:vAlign w:val="center"/>
          </w:tcPr>
          <w:p w14:paraId="298BDC3A">
            <w:pPr>
              <w:jc w:val="center"/>
              <w:rPr>
                <w:color w:val="000000"/>
                <w:kern w:val="0"/>
                <w:szCs w:val="21"/>
              </w:rPr>
            </w:pPr>
            <w:r>
              <w:rPr>
                <w:color w:val="000000"/>
                <w:kern w:val="0"/>
                <w:szCs w:val="21"/>
              </w:rPr>
              <w:t>1.0000</w:t>
            </w:r>
          </w:p>
        </w:tc>
        <w:tc>
          <w:tcPr>
            <w:tcW w:w="567" w:type="dxa"/>
            <w:noWrap/>
            <w:vAlign w:val="center"/>
          </w:tcPr>
          <w:p w14:paraId="37A58BE3">
            <w:pPr>
              <w:jc w:val="center"/>
              <w:rPr>
                <w:color w:val="000000"/>
                <w:kern w:val="0"/>
                <w:szCs w:val="21"/>
              </w:rPr>
            </w:pPr>
            <w:r>
              <w:rPr>
                <w:color w:val="000000"/>
                <w:kern w:val="0"/>
                <w:szCs w:val="21"/>
              </w:rPr>
              <w:t>1</w:t>
            </w:r>
          </w:p>
        </w:tc>
        <w:tc>
          <w:tcPr>
            <w:tcW w:w="709" w:type="dxa"/>
            <w:noWrap/>
            <w:vAlign w:val="center"/>
          </w:tcPr>
          <w:p w14:paraId="402A4D80">
            <w:pPr>
              <w:jc w:val="center"/>
              <w:rPr>
                <w:color w:val="000000"/>
                <w:kern w:val="0"/>
                <w:szCs w:val="21"/>
              </w:rPr>
            </w:pPr>
            <w:r>
              <w:rPr>
                <w:color w:val="000000"/>
                <w:kern w:val="0"/>
                <w:szCs w:val="21"/>
              </w:rPr>
              <w:t>100</w:t>
            </w:r>
          </w:p>
        </w:tc>
        <w:tc>
          <w:tcPr>
            <w:tcW w:w="1274" w:type="dxa"/>
            <w:noWrap/>
            <w:vAlign w:val="center"/>
          </w:tcPr>
          <w:p w14:paraId="60C74E6F">
            <w:pPr>
              <w:jc w:val="center"/>
              <w:rPr>
                <w:color w:val="000000"/>
                <w:kern w:val="0"/>
                <w:szCs w:val="21"/>
              </w:rPr>
            </w:pPr>
            <w:r>
              <w:rPr>
                <w:rFonts w:hint="eastAsia"/>
                <w:color w:val="000000"/>
                <w:kern w:val="0"/>
                <w:szCs w:val="21"/>
              </w:rPr>
              <w:t>1300</w:t>
            </w:r>
          </w:p>
        </w:tc>
      </w:tr>
      <w:tr w14:paraId="7F7DD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5C2D831D">
            <w:pPr>
              <w:jc w:val="center"/>
              <w:rPr>
                <w:color w:val="000000"/>
                <w:kern w:val="0"/>
                <w:szCs w:val="21"/>
              </w:rPr>
            </w:pPr>
          </w:p>
        </w:tc>
        <w:tc>
          <w:tcPr>
            <w:tcW w:w="850" w:type="dxa"/>
            <w:vMerge w:val="continue"/>
            <w:noWrap w:val="0"/>
            <w:vAlign w:val="center"/>
          </w:tcPr>
          <w:p w14:paraId="5D5486C3">
            <w:pPr>
              <w:jc w:val="center"/>
              <w:rPr>
                <w:rFonts w:eastAsia="楷体_GB2312"/>
                <w:color w:val="000000"/>
                <w:kern w:val="0"/>
                <w:szCs w:val="21"/>
              </w:rPr>
            </w:pPr>
          </w:p>
        </w:tc>
        <w:tc>
          <w:tcPr>
            <w:tcW w:w="567" w:type="dxa"/>
            <w:noWrap w:val="0"/>
            <w:vAlign w:val="center"/>
          </w:tcPr>
          <w:p w14:paraId="4976B377">
            <w:pPr>
              <w:jc w:val="center"/>
              <w:rPr>
                <w:color w:val="000000"/>
                <w:kern w:val="0"/>
                <w:szCs w:val="21"/>
              </w:rPr>
            </w:pPr>
            <w:r>
              <w:rPr>
                <w:color w:val="000000"/>
                <w:kern w:val="0"/>
                <w:szCs w:val="21"/>
              </w:rPr>
              <w:t>2</w:t>
            </w:r>
          </w:p>
        </w:tc>
        <w:tc>
          <w:tcPr>
            <w:tcW w:w="3686" w:type="dxa"/>
            <w:noWrap w:val="0"/>
            <w:vAlign w:val="center"/>
          </w:tcPr>
          <w:p w14:paraId="4398E090">
            <w:pPr>
              <w:jc w:val="center"/>
              <w:rPr>
                <w:rFonts w:eastAsia="楷体_GB2312"/>
                <w:color w:val="000000"/>
                <w:kern w:val="0"/>
                <w:szCs w:val="21"/>
              </w:rPr>
            </w:pPr>
            <w:r>
              <w:rPr>
                <w:rFonts w:eastAsia="楷体_GB2312"/>
                <w:color w:val="000000"/>
                <w:kern w:val="0"/>
                <w:szCs w:val="21"/>
              </w:rPr>
              <w:t>中国邮政邮政储蓄（褚兰支行店）</w:t>
            </w:r>
          </w:p>
        </w:tc>
        <w:tc>
          <w:tcPr>
            <w:tcW w:w="850" w:type="dxa"/>
            <w:noWrap/>
            <w:vAlign w:val="center"/>
          </w:tcPr>
          <w:p w14:paraId="07D1F206">
            <w:pPr>
              <w:jc w:val="center"/>
              <w:rPr>
                <w:color w:val="000000"/>
                <w:kern w:val="0"/>
                <w:szCs w:val="21"/>
              </w:rPr>
            </w:pPr>
            <w:r>
              <w:rPr>
                <w:color w:val="000000"/>
                <w:kern w:val="0"/>
                <w:szCs w:val="21"/>
              </w:rPr>
              <w:t>0.8264</w:t>
            </w:r>
          </w:p>
        </w:tc>
        <w:tc>
          <w:tcPr>
            <w:tcW w:w="567" w:type="dxa"/>
            <w:noWrap/>
            <w:vAlign w:val="center"/>
          </w:tcPr>
          <w:p w14:paraId="44DE29AC">
            <w:pPr>
              <w:jc w:val="center"/>
              <w:rPr>
                <w:color w:val="000000"/>
                <w:kern w:val="0"/>
                <w:szCs w:val="21"/>
              </w:rPr>
            </w:pPr>
            <w:r>
              <w:rPr>
                <w:color w:val="000000"/>
                <w:kern w:val="0"/>
                <w:szCs w:val="21"/>
              </w:rPr>
              <w:t>2</w:t>
            </w:r>
          </w:p>
        </w:tc>
        <w:tc>
          <w:tcPr>
            <w:tcW w:w="709" w:type="dxa"/>
            <w:noWrap/>
            <w:vAlign w:val="center"/>
          </w:tcPr>
          <w:p w14:paraId="7EFA6DF0">
            <w:pPr>
              <w:jc w:val="center"/>
              <w:rPr>
                <w:color w:val="000000"/>
                <w:kern w:val="0"/>
                <w:szCs w:val="21"/>
              </w:rPr>
            </w:pPr>
            <w:r>
              <w:rPr>
                <w:color w:val="000000"/>
                <w:kern w:val="0"/>
                <w:szCs w:val="21"/>
              </w:rPr>
              <w:t>83</w:t>
            </w:r>
          </w:p>
        </w:tc>
        <w:tc>
          <w:tcPr>
            <w:tcW w:w="1274" w:type="dxa"/>
            <w:noWrap/>
            <w:vAlign w:val="center"/>
          </w:tcPr>
          <w:p w14:paraId="7691ED74">
            <w:pPr>
              <w:jc w:val="center"/>
              <w:rPr>
                <w:color w:val="000000"/>
                <w:kern w:val="0"/>
                <w:szCs w:val="21"/>
              </w:rPr>
            </w:pPr>
            <w:r>
              <w:rPr>
                <w:rFonts w:hint="eastAsia"/>
                <w:color w:val="000000"/>
                <w:kern w:val="0"/>
                <w:szCs w:val="21"/>
              </w:rPr>
              <w:t>1200</w:t>
            </w:r>
          </w:p>
        </w:tc>
      </w:tr>
      <w:tr w14:paraId="37A70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noWrap w:val="0"/>
            <w:vAlign w:val="center"/>
          </w:tcPr>
          <w:p w14:paraId="2E5C37E0">
            <w:pPr>
              <w:jc w:val="center"/>
              <w:rPr>
                <w:color w:val="000000"/>
                <w:kern w:val="0"/>
                <w:szCs w:val="21"/>
              </w:rPr>
            </w:pPr>
            <w:r>
              <w:rPr>
                <w:color w:val="000000"/>
                <w:kern w:val="0"/>
                <w:szCs w:val="21"/>
              </w:rPr>
              <w:t>14</w:t>
            </w:r>
          </w:p>
        </w:tc>
        <w:tc>
          <w:tcPr>
            <w:tcW w:w="850" w:type="dxa"/>
            <w:noWrap w:val="0"/>
            <w:vAlign w:val="center"/>
          </w:tcPr>
          <w:p w14:paraId="0A51C9EE">
            <w:pPr>
              <w:jc w:val="center"/>
              <w:rPr>
                <w:rFonts w:eastAsia="楷体_GB2312"/>
                <w:color w:val="000000"/>
                <w:kern w:val="0"/>
                <w:szCs w:val="21"/>
              </w:rPr>
            </w:pPr>
            <w:r>
              <w:rPr>
                <w:rFonts w:eastAsia="楷体_GB2312"/>
                <w:color w:val="000000"/>
                <w:kern w:val="0"/>
                <w:szCs w:val="21"/>
              </w:rPr>
              <w:t>顺河镇</w:t>
            </w:r>
          </w:p>
        </w:tc>
        <w:tc>
          <w:tcPr>
            <w:tcW w:w="567" w:type="dxa"/>
            <w:noWrap w:val="0"/>
            <w:vAlign w:val="center"/>
          </w:tcPr>
          <w:p w14:paraId="2FE996BF">
            <w:pPr>
              <w:jc w:val="center"/>
              <w:rPr>
                <w:color w:val="000000"/>
                <w:kern w:val="0"/>
                <w:szCs w:val="21"/>
              </w:rPr>
            </w:pPr>
            <w:r>
              <w:rPr>
                <w:color w:val="000000"/>
                <w:kern w:val="0"/>
                <w:szCs w:val="21"/>
              </w:rPr>
              <w:t>1</w:t>
            </w:r>
          </w:p>
        </w:tc>
        <w:tc>
          <w:tcPr>
            <w:tcW w:w="3686" w:type="dxa"/>
            <w:noWrap w:val="0"/>
            <w:vAlign w:val="center"/>
          </w:tcPr>
          <w:p w14:paraId="00C73971">
            <w:pPr>
              <w:jc w:val="center"/>
              <w:rPr>
                <w:rFonts w:eastAsia="楷体_GB2312"/>
                <w:color w:val="000000"/>
                <w:kern w:val="0"/>
                <w:szCs w:val="21"/>
              </w:rPr>
            </w:pPr>
            <w:r>
              <w:rPr>
                <w:rFonts w:eastAsia="楷体_GB2312"/>
                <w:color w:val="000000"/>
                <w:kern w:val="0"/>
                <w:szCs w:val="21"/>
              </w:rPr>
              <w:t>宿州农商银行（顺河支行）</w:t>
            </w:r>
          </w:p>
        </w:tc>
        <w:tc>
          <w:tcPr>
            <w:tcW w:w="850" w:type="dxa"/>
            <w:noWrap/>
            <w:vAlign w:val="center"/>
          </w:tcPr>
          <w:p w14:paraId="50545C42">
            <w:pPr>
              <w:jc w:val="center"/>
              <w:rPr>
                <w:color w:val="000000"/>
                <w:kern w:val="0"/>
                <w:szCs w:val="21"/>
              </w:rPr>
            </w:pPr>
            <w:r>
              <w:rPr>
                <w:color w:val="000000"/>
                <w:kern w:val="0"/>
                <w:szCs w:val="21"/>
              </w:rPr>
              <w:t>1.0000</w:t>
            </w:r>
          </w:p>
        </w:tc>
        <w:tc>
          <w:tcPr>
            <w:tcW w:w="567" w:type="dxa"/>
            <w:noWrap/>
            <w:vAlign w:val="center"/>
          </w:tcPr>
          <w:p w14:paraId="3310DE63">
            <w:pPr>
              <w:jc w:val="center"/>
              <w:rPr>
                <w:color w:val="000000"/>
                <w:kern w:val="0"/>
                <w:szCs w:val="21"/>
              </w:rPr>
            </w:pPr>
            <w:r>
              <w:rPr>
                <w:color w:val="000000"/>
                <w:kern w:val="0"/>
                <w:szCs w:val="21"/>
              </w:rPr>
              <w:t>1</w:t>
            </w:r>
          </w:p>
        </w:tc>
        <w:tc>
          <w:tcPr>
            <w:tcW w:w="709" w:type="dxa"/>
            <w:noWrap/>
            <w:vAlign w:val="center"/>
          </w:tcPr>
          <w:p w14:paraId="74020D7C">
            <w:pPr>
              <w:jc w:val="center"/>
              <w:rPr>
                <w:color w:val="000000"/>
                <w:kern w:val="0"/>
                <w:szCs w:val="21"/>
              </w:rPr>
            </w:pPr>
            <w:r>
              <w:rPr>
                <w:color w:val="000000"/>
                <w:kern w:val="0"/>
                <w:szCs w:val="21"/>
              </w:rPr>
              <w:t>100</w:t>
            </w:r>
          </w:p>
        </w:tc>
        <w:tc>
          <w:tcPr>
            <w:tcW w:w="1274" w:type="dxa"/>
            <w:noWrap/>
            <w:vAlign w:val="center"/>
          </w:tcPr>
          <w:p w14:paraId="5AA80C39">
            <w:pPr>
              <w:jc w:val="center"/>
              <w:rPr>
                <w:color w:val="000000"/>
                <w:kern w:val="0"/>
                <w:szCs w:val="21"/>
              </w:rPr>
            </w:pPr>
            <w:r>
              <w:rPr>
                <w:rFonts w:hint="eastAsia"/>
                <w:color w:val="000000"/>
                <w:kern w:val="0"/>
                <w:szCs w:val="21"/>
              </w:rPr>
              <w:t>3000</w:t>
            </w:r>
          </w:p>
        </w:tc>
      </w:tr>
      <w:tr w14:paraId="5A1D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restart"/>
            <w:noWrap w:val="0"/>
            <w:vAlign w:val="center"/>
          </w:tcPr>
          <w:p w14:paraId="27557D03">
            <w:pPr>
              <w:jc w:val="center"/>
              <w:rPr>
                <w:color w:val="000000"/>
                <w:kern w:val="0"/>
                <w:szCs w:val="21"/>
              </w:rPr>
            </w:pPr>
            <w:r>
              <w:rPr>
                <w:color w:val="000000"/>
                <w:kern w:val="0"/>
                <w:szCs w:val="21"/>
              </w:rPr>
              <w:t>15</w:t>
            </w:r>
          </w:p>
        </w:tc>
        <w:tc>
          <w:tcPr>
            <w:tcW w:w="850" w:type="dxa"/>
            <w:vMerge w:val="restart"/>
            <w:noWrap w:val="0"/>
            <w:vAlign w:val="center"/>
          </w:tcPr>
          <w:p w14:paraId="22EC0CB7">
            <w:pPr>
              <w:jc w:val="center"/>
              <w:rPr>
                <w:rFonts w:eastAsia="楷体_GB2312"/>
                <w:color w:val="000000"/>
                <w:kern w:val="0"/>
                <w:szCs w:val="21"/>
              </w:rPr>
            </w:pPr>
            <w:r>
              <w:rPr>
                <w:rFonts w:eastAsia="楷体_GB2312"/>
                <w:color w:val="000000"/>
                <w:kern w:val="0"/>
                <w:szCs w:val="21"/>
              </w:rPr>
              <w:t>杨庄镇</w:t>
            </w:r>
          </w:p>
        </w:tc>
        <w:tc>
          <w:tcPr>
            <w:tcW w:w="567" w:type="dxa"/>
            <w:noWrap w:val="0"/>
            <w:vAlign w:val="center"/>
          </w:tcPr>
          <w:p w14:paraId="029357C5">
            <w:pPr>
              <w:jc w:val="center"/>
              <w:rPr>
                <w:color w:val="000000"/>
                <w:kern w:val="0"/>
                <w:szCs w:val="21"/>
              </w:rPr>
            </w:pPr>
            <w:r>
              <w:rPr>
                <w:color w:val="000000"/>
                <w:kern w:val="0"/>
                <w:szCs w:val="21"/>
              </w:rPr>
              <w:t>1</w:t>
            </w:r>
          </w:p>
        </w:tc>
        <w:tc>
          <w:tcPr>
            <w:tcW w:w="3686" w:type="dxa"/>
            <w:noWrap w:val="0"/>
            <w:vAlign w:val="center"/>
          </w:tcPr>
          <w:p w14:paraId="6728D5DF">
            <w:pPr>
              <w:jc w:val="center"/>
              <w:rPr>
                <w:rFonts w:eastAsia="楷体_GB2312"/>
                <w:color w:val="000000"/>
                <w:kern w:val="0"/>
                <w:szCs w:val="21"/>
              </w:rPr>
            </w:pPr>
            <w:r>
              <w:rPr>
                <w:rFonts w:eastAsia="楷体_GB2312"/>
                <w:color w:val="000000"/>
                <w:kern w:val="0"/>
                <w:szCs w:val="21"/>
              </w:rPr>
              <w:t>中国邮政储蓄银行（杨庄镇支行）</w:t>
            </w:r>
          </w:p>
        </w:tc>
        <w:tc>
          <w:tcPr>
            <w:tcW w:w="850" w:type="dxa"/>
            <w:noWrap/>
            <w:vAlign w:val="center"/>
          </w:tcPr>
          <w:p w14:paraId="2C2BAF69">
            <w:pPr>
              <w:jc w:val="center"/>
              <w:rPr>
                <w:color w:val="000000"/>
                <w:kern w:val="0"/>
                <w:szCs w:val="21"/>
              </w:rPr>
            </w:pPr>
            <w:r>
              <w:rPr>
                <w:color w:val="000000"/>
                <w:kern w:val="0"/>
                <w:szCs w:val="21"/>
              </w:rPr>
              <w:t>1.0000</w:t>
            </w:r>
          </w:p>
        </w:tc>
        <w:tc>
          <w:tcPr>
            <w:tcW w:w="567" w:type="dxa"/>
            <w:noWrap/>
            <w:vAlign w:val="center"/>
          </w:tcPr>
          <w:p w14:paraId="1BA87D72">
            <w:pPr>
              <w:jc w:val="center"/>
              <w:rPr>
                <w:color w:val="000000"/>
                <w:kern w:val="0"/>
                <w:szCs w:val="21"/>
              </w:rPr>
            </w:pPr>
            <w:r>
              <w:rPr>
                <w:color w:val="000000"/>
                <w:kern w:val="0"/>
                <w:szCs w:val="21"/>
              </w:rPr>
              <w:t>1</w:t>
            </w:r>
          </w:p>
        </w:tc>
        <w:tc>
          <w:tcPr>
            <w:tcW w:w="709" w:type="dxa"/>
            <w:noWrap/>
            <w:vAlign w:val="center"/>
          </w:tcPr>
          <w:p w14:paraId="13FC12BC">
            <w:pPr>
              <w:jc w:val="center"/>
              <w:rPr>
                <w:color w:val="000000"/>
                <w:kern w:val="0"/>
                <w:szCs w:val="21"/>
              </w:rPr>
            </w:pPr>
            <w:r>
              <w:rPr>
                <w:color w:val="000000"/>
                <w:kern w:val="0"/>
                <w:szCs w:val="21"/>
              </w:rPr>
              <w:t>100</w:t>
            </w:r>
          </w:p>
        </w:tc>
        <w:tc>
          <w:tcPr>
            <w:tcW w:w="1274" w:type="dxa"/>
            <w:noWrap/>
            <w:vAlign w:val="center"/>
          </w:tcPr>
          <w:p w14:paraId="2BF7E4D4">
            <w:pPr>
              <w:jc w:val="center"/>
              <w:rPr>
                <w:color w:val="000000"/>
                <w:kern w:val="0"/>
                <w:szCs w:val="21"/>
              </w:rPr>
            </w:pPr>
            <w:r>
              <w:rPr>
                <w:rFonts w:hint="eastAsia"/>
                <w:color w:val="000000"/>
                <w:kern w:val="0"/>
                <w:szCs w:val="21"/>
              </w:rPr>
              <w:t>800</w:t>
            </w:r>
          </w:p>
        </w:tc>
      </w:tr>
      <w:tr w14:paraId="569E8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68F28D3A">
            <w:pPr>
              <w:jc w:val="center"/>
              <w:rPr>
                <w:color w:val="000000"/>
                <w:kern w:val="0"/>
                <w:szCs w:val="21"/>
              </w:rPr>
            </w:pPr>
          </w:p>
        </w:tc>
        <w:tc>
          <w:tcPr>
            <w:tcW w:w="850" w:type="dxa"/>
            <w:vMerge w:val="continue"/>
            <w:noWrap w:val="0"/>
            <w:vAlign w:val="center"/>
          </w:tcPr>
          <w:p w14:paraId="1E4E15CD">
            <w:pPr>
              <w:jc w:val="center"/>
              <w:rPr>
                <w:rFonts w:eastAsia="楷体_GB2312"/>
                <w:color w:val="000000"/>
                <w:kern w:val="0"/>
                <w:szCs w:val="21"/>
              </w:rPr>
            </w:pPr>
          </w:p>
        </w:tc>
        <w:tc>
          <w:tcPr>
            <w:tcW w:w="567" w:type="dxa"/>
            <w:noWrap w:val="0"/>
            <w:vAlign w:val="center"/>
          </w:tcPr>
          <w:p w14:paraId="336F6067">
            <w:pPr>
              <w:jc w:val="center"/>
              <w:rPr>
                <w:color w:val="000000"/>
                <w:kern w:val="0"/>
                <w:szCs w:val="21"/>
              </w:rPr>
            </w:pPr>
            <w:r>
              <w:rPr>
                <w:color w:val="000000"/>
                <w:kern w:val="0"/>
                <w:szCs w:val="21"/>
              </w:rPr>
              <w:t>2</w:t>
            </w:r>
          </w:p>
        </w:tc>
        <w:tc>
          <w:tcPr>
            <w:tcW w:w="3686" w:type="dxa"/>
            <w:noWrap w:val="0"/>
            <w:vAlign w:val="center"/>
          </w:tcPr>
          <w:p w14:paraId="4C96DD67">
            <w:pPr>
              <w:jc w:val="center"/>
              <w:rPr>
                <w:rFonts w:eastAsia="楷体_GB2312"/>
                <w:color w:val="000000"/>
                <w:kern w:val="0"/>
                <w:szCs w:val="21"/>
              </w:rPr>
            </w:pPr>
            <w:r>
              <w:rPr>
                <w:rFonts w:eastAsia="楷体_GB2312"/>
                <w:color w:val="000000"/>
                <w:kern w:val="0"/>
                <w:szCs w:val="21"/>
              </w:rPr>
              <w:t>宿州农商银行（杨庄支行）</w:t>
            </w:r>
          </w:p>
        </w:tc>
        <w:tc>
          <w:tcPr>
            <w:tcW w:w="850" w:type="dxa"/>
            <w:noWrap/>
            <w:vAlign w:val="center"/>
          </w:tcPr>
          <w:p w14:paraId="49026452">
            <w:pPr>
              <w:jc w:val="center"/>
              <w:rPr>
                <w:color w:val="000000"/>
                <w:kern w:val="0"/>
                <w:szCs w:val="21"/>
              </w:rPr>
            </w:pPr>
            <w:r>
              <w:rPr>
                <w:color w:val="000000"/>
                <w:kern w:val="0"/>
                <w:szCs w:val="21"/>
              </w:rPr>
              <w:t>0.7653</w:t>
            </w:r>
          </w:p>
        </w:tc>
        <w:tc>
          <w:tcPr>
            <w:tcW w:w="567" w:type="dxa"/>
            <w:noWrap/>
            <w:vAlign w:val="center"/>
          </w:tcPr>
          <w:p w14:paraId="4D6908F2">
            <w:pPr>
              <w:jc w:val="center"/>
              <w:rPr>
                <w:color w:val="000000"/>
                <w:kern w:val="0"/>
                <w:szCs w:val="21"/>
              </w:rPr>
            </w:pPr>
            <w:r>
              <w:rPr>
                <w:color w:val="000000"/>
                <w:kern w:val="0"/>
                <w:szCs w:val="21"/>
              </w:rPr>
              <w:t>2</w:t>
            </w:r>
          </w:p>
        </w:tc>
        <w:tc>
          <w:tcPr>
            <w:tcW w:w="709" w:type="dxa"/>
            <w:noWrap/>
            <w:vAlign w:val="center"/>
          </w:tcPr>
          <w:p w14:paraId="1A7C2020">
            <w:pPr>
              <w:jc w:val="center"/>
              <w:rPr>
                <w:color w:val="000000"/>
                <w:kern w:val="0"/>
                <w:szCs w:val="21"/>
              </w:rPr>
            </w:pPr>
            <w:r>
              <w:rPr>
                <w:color w:val="000000"/>
                <w:kern w:val="0"/>
                <w:szCs w:val="21"/>
              </w:rPr>
              <w:t>77</w:t>
            </w:r>
          </w:p>
        </w:tc>
        <w:tc>
          <w:tcPr>
            <w:tcW w:w="1274" w:type="dxa"/>
            <w:noWrap/>
            <w:vAlign w:val="center"/>
          </w:tcPr>
          <w:p w14:paraId="03B91909">
            <w:pPr>
              <w:jc w:val="center"/>
              <w:rPr>
                <w:color w:val="000000"/>
                <w:kern w:val="0"/>
                <w:szCs w:val="21"/>
              </w:rPr>
            </w:pPr>
            <w:r>
              <w:rPr>
                <w:rFonts w:hint="eastAsia"/>
                <w:color w:val="000000"/>
                <w:kern w:val="0"/>
                <w:szCs w:val="21"/>
              </w:rPr>
              <w:t>700</w:t>
            </w:r>
          </w:p>
        </w:tc>
      </w:tr>
      <w:tr w14:paraId="4B12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noWrap w:val="0"/>
            <w:vAlign w:val="center"/>
          </w:tcPr>
          <w:p w14:paraId="10DB2D21">
            <w:pPr>
              <w:jc w:val="center"/>
              <w:rPr>
                <w:color w:val="000000"/>
                <w:kern w:val="0"/>
                <w:szCs w:val="21"/>
              </w:rPr>
            </w:pPr>
            <w:r>
              <w:rPr>
                <w:color w:val="000000"/>
                <w:kern w:val="0"/>
                <w:szCs w:val="21"/>
              </w:rPr>
              <w:t>16</w:t>
            </w:r>
          </w:p>
        </w:tc>
        <w:tc>
          <w:tcPr>
            <w:tcW w:w="850" w:type="dxa"/>
            <w:noWrap w:val="0"/>
            <w:vAlign w:val="center"/>
          </w:tcPr>
          <w:p w14:paraId="58562A13">
            <w:pPr>
              <w:jc w:val="center"/>
              <w:rPr>
                <w:rFonts w:eastAsia="楷体_GB2312"/>
                <w:color w:val="000000"/>
                <w:kern w:val="0"/>
                <w:szCs w:val="21"/>
              </w:rPr>
            </w:pPr>
            <w:r>
              <w:rPr>
                <w:rFonts w:eastAsia="楷体_GB2312"/>
                <w:color w:val="000000"/>
                <w:kern w:val="0"/>
                <w:szCs w:val="21"/>
              </w:rPr>
              <w:t>永镇乡</w:t>
            </w:r>
          </w:p>
        </w:tc>
        <w:tc>
          <w:tcPr>
            <w:tcW w:w="567" w:type="dxa"/>
            <w:noWrap w:val="0"/>
            <w:vAlign w:val="center"/>
          </w:tcPr>
          <w:p w14:paraId="3FD44E8E">
            <w:pPr>
              <w:jc w:val="center"/>
              <w:rPr>
                <w:color w:val="000000"/>
                <w:kern w:val="0"/>
                <w:szCs w:val="21"/>
              </w:rPr>
            </w:pPr>
            <w:r>
              <w:rPr>
                <w:color w:val="000000"/>
                <w:kern w:val="0"/>
                <w:szCs w:val="21"/>
              </w:rPr>
              <w:t>1</w:t>
            </w:r>
          </w:p>
        </w:tc>
        <w:tc>
          <w:tcPr>
            <w:tcW w:w="3686" w:type="dxa"/>
            <w:noWrap w:val="0"/>
            <w:vAlign w:val="center"/>
          </w:tcPr>
          <w:p w14:paraId="6628FD2E">
            <w:pPr>
              <w:jc w:val="center"/>
              <w:rPr>
                <w:rFonts w:eastAsia="楷体_GB2312"/>
                <w:color w:val="000000"/>
                <w:kern w:val="0"/>
                <w:szCs w:val="21"/>
              </w:rPr>
            </w:pPr>
            <w:r>
              <w:rPr>
                <w:rFonts w:eastAsia="楷体_GB2312"/>
                <w:color w:val="000000"/>
                <w:kern w:val="0"/>
                <w:szCs w:val="21"/>
              </w:rPr>
              <w:t>宿州农商银行（永镇支行）</w:t>
            </w:r>
          </w:p>
        </w:tc>
        <w:tc>
          <w:tcPr>
            <w:tcW w:w="850" w:type="dxa"/>
            <w:noWrap/>
            <w:vAlign w:val="center"/>
          </w:tcPr>
          <w:p w14:paraId="3D1898BF">
            <w:pPr>
              <w:jc w:val="center"/>
              <w:rPr>
                <w:color w:val="000000"/>
                <w:kern w:val="0"/>
                <w:szCs w:val="21"/>
              </w:rPr>
            </w:pPr>
            <w:r>
              <w:rPr>
                <w:color w:val="000000"/>
                <w:kern w:val="0"/>
                <w:szCs w:val="21"/>
              </w:rPr>
              <w:t>1.0000</w:t>
            </w:r>
          </w:p>
        </w:tc>
        <w:tc>
          <w:tcPr>
            <w:tcW w:w="567" w:type="dxa"/>
            <w:noWrap/>
            <w:vAlign w:val="center"/>
          </w:tcPr>
          <w:p w14:paraId="7614BD95">
            <w:pPr>
              <w:jc w:val="center"/>
              <w:rPr>
                <w:color w:val="000000"/>
                <w:kern w:val="0"/>
                <w:szCs w:val="21"/>
              </w:rPr>
            </w:pPr>
            <w:r>
              <w:rPr>
                <w:color w:val="000000"/>
                <w:kern w:val="0"/>
                <w:szCs w:val="21"/>
              </w:rPr>
              <w:t>1</w:t>
            </w:r>
          </w:p>
        </w:tc>
        <w:tc>
          <w:tcPr>
            <w:tcW w:w="709" w:type="dxa"/>
            <w:noWrap/>
            <w:vAlign w:val="center"/>
          </w:tcPr>
          <w:p w14:paraId="6F714E9D">
            <w:pPr>
              <w:jc w:val="center"/>
              <w:rPr>
                <w:color w:val="000000"/>
                <w:kern w:val="0"/>
                <w:szCs w:val="21"/>
              </w:rPr>
            </w:pPr>
            <w:r>
              <w:rPr>
                <w:color w:val="000000"/>
                <w:kern w:val="0"/>
                <w:szCs w:val="21"/>
              </w:rPr>
              <w:t>100</w:t>
            </w:r>
          </w:p>
        </w:tc>
        <w:tc>
          <w:tcPr>
            <w:tcW w:w="1274" w:type="dxa"/>
            <w:noWrap/>
            <w:vAlign w:val="center"/>
          </w:tcPr>
          <w:p w14:paraId="0E6831C6">
            <w:pPr>
              <w:jc w:val="center"/>
              <w:rPr>
                <w:color w:val="000000"/>
                <w:kern w:val="0"/>
                <w:szCs w:val="21"/>
              </w:rPr>
            </w:pPr>
            <w:r>
              <w:rPr>
                <w:rFonts w:hint="eastAsia"/>
                <w:color w:val="000000"/>
                <w:kern w:val="0"/>
                <w:szCs w:val="21"/>
              </w:rPr>
              <w:t>1500</w:t>
            </w:r>
          </w:p>
        </w:tc>
      </w:tr>
      <w:tr w14:paraId="49210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restart"/>
            <w:noWrap w:val="0"/>
            <w:vAlign w:val="center"/>
          </w:tcPr>
          <w:p w14:paraId="3FFD1EEC">
            <w:pPr>
              <w:jc w:val="center"/>
              <w:rPr>
                <w:color w:val="000000"/>
                <w:kern w:val="0"/>
                <w:szCs w:val="21"/>
              </w:rPr>
            </w:pPr>
            <w:r>
              <w:rPr>
                <w:color w:val="000000"/>
                <w:kern w:val="0"/>
                <w:szCs w:val="21"/>
              </w:rPr>
              <w:t>17</w:t>
            </w:r>
          </w:p>
        </w:tc>
        <w:tc>
          <w:tcPr>
            <w:tcW w:w="850" w:type="dxa"/>
            <w:vMerge w:val="restart"/>
            <w:noWrap w:val="0"/>
            <w:vAlign w:val="center"/>
          </w:tcPr>
          <w:p w14:paraId="3E4AEF30">
            <w:pPr>
              <w:jc w:val="center"/>
              <w:rPr>
                <w:rFonts w:eastAsia="楷体_GB2312"/>
                <w:color w:val="000000"/>
                <w:kern w:val="0"/>
                <w:szCs w:val="21"/>
              </w:rPr>
            </w:pPr>
            <w:r>
              <w:rPr>
                <w:rFonts w:eastAsia="楷体_GB2312"/>
                <w:color w:val="000000"/>
                <w:kern w:val="0"/>
                <w:szCs w:val="21"/>
              </w:rPr>
              <w:t>解集镇</w:t>
            </w:r>
          </w:p>
        </w:tc>
        <w:tc>
          <w:tcPr>
            <w:tcW w:w="567" w:type="dxa"/>
            <w:noWrap w:val="0"/>
            <w:vAlign w:val="center"/>
          </w:tcPr>
          <w:p w14:paraId="7A6BDCD7">
            <w:pPr>
              <w:jc w:val="center"/>
              <w:rPr>
                <w:color w:val="000000"/>
                <w:kern w:val="0"/>
                <w:szCs w:val="21"/>
              </w:rPr>
            </w:pPr>
            <w:r>
              <w:rPr>
                <w:color w:val="000000"/>
                <w:kern w:val="0"/>
                <w:szCs w:val="21"/>
              </w:rPr>
              <w:t>1</w:t>
            </w:r>
          </w:p>
        </w:tc>
        <w:tc>
          <w:tcPr>
            <w:tcW w:w="3686" w:type="dxa"/>
            <w:noWrap w:val="0"/>
            <w:vAlign w:val="center"/>
          </w:tcPr>
          <w:p w14:paraId="68AB80A6">
            <w:pPr>
              <w:jc w:val="center"/>
              <w:rPr>
                <w:rFonts w:eastAsia="楷体_GB2312"/>
                <w:color w:val="000000"/>
                <w:kern w:val="0"/>
                <w:szCs w:val="21"/>
              </w:rPr>
            </w:pPr>
            <w:r>
              <w:rPr>
                <w:rFonts w:eastAsia="楷体_GB2312"/>
                <w:color w:val="000000"/>
                <w:kern w:val="0"/>
                <w:szCs w:val="21"/>
              </w:rPr>
              <w:t>宿州农商银行（解集支行）</w:t>
            </w:r>
          </w:p>
        </w:tc>
        <w:tc>
          <w:tcPr>
            <w:tcW w:w="850" w:type="dxa"/>
            <w:noWrap/>
            <w:vAlign w:val="center"/>
          </w:tcPr>
          <w:p w14:paraId="48E8F02E">
            <w:pPr>
              <w:jc w:val="center"/>
              <w:rPr>
                <w:color w:val="000000"/>
                <w:kern w:val="0"/>
                <w:szCs w:val="21"/>
              </w:rPr>
            </w:pPr>
            <w:r>
              <w:rPr>
                <w:color w:val="000000"/>
                <w:kern w:val="0"/>
                <w:szCs w:val="21"/>
              </w:rPr>
              <w:t>0.6522</w:t>
            </w:r>
          </w:p>
        </w:tc>
        <w:tc>
          <w:tcPr>
            <w:tcW w:w="567" w:type="dxa"/>
            <w:noWrap/>
            <w:vAlign w:val="center"/>
          </w:tcPr>
          <w:p w14:paraId="0BD68B3A">
            <w:pPr>
              <w:jc w:val="center"/>
              <w:rPr>
                <w:color w:val="000000"/>
                <w:kern w:val="0"/>
                <w:szCs w:val="21"/>
              </w:rPr>
            </w:pPr>
            <w:r>
              <w:rPr>
                <w:color w:val="000000"/>
                <w:kern w:val="0"/>
                <w:szCs w:val="21"/>
              </w:rPr>
              <w:t>2</w:t>
            </w:r>
          </w:p>
        </w:tc>
        <w:tc>
          <w:tcPr>
            <w:tcW w:w="709" w:type="dxa"/>
            <w:noWrap/>
            <w:vAlign w:val="center"/>
          </w:tcPr>
          <w:p w14:paraId="2A6CF5BA">
            <w:pPr>
              <w:jc w:val="center"/>
              <w:rPr>
                <w:color w:val="000000"/>
                <w:kern w:val="0"/>
                <w:szCs w:val="21"/>
              </w:rPr>
            </w:pPr>
            <w:r>
              <w:rPr>
                <w:color w:val="000000"/>
                <w:kern w:val="0"/>
                <w:szCs w:val="21"/>
              </w:rPr>
              <w:t>65</w:t>
            </w:r>
          </w:p>
        </w:tc>
        <w:tc>
          <w:tcPr>
            <w:tcW w:w="1274" w:type="dxa"/>
            <w:noWrap/>
            <w:vAlign w:val="center"/>
          </w:tcPr>
          <w:p w14:paraId="0AA42D94">
            <w:pPr>
              <w:jc w:val="center"/>
              <w:rPr>
                <w:color w:val="000000"/>
                <w:kern w:val="0"/>
                <w:szCs w:val="21"/>
              </w:rPr>
            </w:pPr>
            <w:r>
              <w:rPr>
                <w:rFonts w:hint="eastAsia"/>
                <w:color w:val="000000"/>
                <w:kern w:val="0"/>
                <w:szCs w:val="21"/>
              </w:rPr>
              <w:t>1000</w:t>
            </w:r>
          </w:p>
        </w:tc>
      </w:tr>
      <w:tr w14:paraId="5F601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6A1C77BC">
            <w:pPr>
              <w:jc w:val="center"/>
              <w:rPr>
                <w:color w:val="000000"/>
                <w:kern w:val="0"/>
                <w:szCs w:val="21"/>
              </w:rPr>
            </w:pPr>
          </w:p>
        </w:tc>
        <w:tc>
          <w:tcPr>
            <w:tcW w:w="850" w:type="dxa"/>
            <w:vMerge w:val="continue"/>
            <w:noWrap w:val="0"/>
            <w:vAlign w:val="center"/>
          </w:tcPr>
          <w:p w14:paraId="15CFA4CA">
            <w:pPr>
              <w:jc w:val="center"/>
              <w:rPr>
                <w:rFonts w:eastAsia="楷体_GB2312"/>
                <w:color w:val="000000"/>
                <w:kern w:val="0"/>
                <w:szCs w:val="21"/>
              </w:rPr>
            </w:pPr>
          </w:p>
        </w:tc>
        <w:tc>
          <w:tcPr>
            <w:tcW w:w="567" w:type="dxa"/>
            <w:noWrap w:val="0"/>
            <w:vAlign w:val="center"/>
          </w:tcPr>
          <w:p w14:paraId="6EC8FA9B">
            <w:pPr>
              <w:jc w:val="center"/>
              <w:rPr>
                <w:color w:val="000000"/>
                <w:kern w:val="0"/>
                <w:szCs w:val="21"/>
              </w:rPr>
            </w:pPr>
            <w:r>
              <w:rPr>
                <w:color w:val="000000"/>
                <w:kern w:val="0"/>
                <w:szCs w:val="21"/>
              </w:rPr>
              <w:t>2</w:t>
            </w:r>
          </w:p>
        </w:tc>
        <w:tc>
          <w:tcPr>
            <w:tcW w:w="3686" w:type="dxa"/>
            <w:noWrap w:val="0"/>
            <w:vAlign w:val="center"/>
          </w:tcPr>
          <w:p w14:paraId="15044A59">
            <w:pPr>
              <w:jc w:val="center"/>
              <w:rPr>
                <w:rFonts w:eastAsia="楷体_GB2312"/>
                <w:color w:val="000000"/>
                <w:kern w:val="0"/>
                <w:szCs w:val="21"/>
              </w:rPr>
            </w:pPr>
            <w:r>
              <w:rPr>
                <w:rFonts w:eastAsia="楷体_GB2312"/>
                <w:color w:val="000000"/>
                <w:kern w:val="0"/>
                <w:szCs w:val="21"/>
              </w:rPr>
              <w:t>中国邮政储蓄银行（解集镇营业所）</w:t>
            </w:r>
          </w:p>
        </w:tc>
        <w:tc>
          <w:tcPr>
            <w:tcW w:w="850" w:type="dxa"/>
            <w:noWrap/>
            <w:vAlign w:val="center"/>
          </w:tcPr>
          <w:p w14:paraId="4965BF2E">
            <w:pPr>
              <w:jc w:val="center"/>
              <w:rPr>
                <w:color w:val="000000"/>
                <w:kern w:val="0"/>
                <w:szCs w:val="21"/>
              </w:rPr>
            </w:pPr>
            <w:r>
              <w:rPr>
                <w:color w:val="000000"/>
                <w:kern w:val="0"/>
                <w:szCs w:val="21"/>
              </w:rPr>
              <w:t>1.0000</w:t>
            </w:r>
          </w:p>
        </w:tc>
        <w:tc>
          <w:tcPr>
            <w:tcW w:w="567" w:type="dxa"/>
            <w:noWrap/>
            <w:vAlign w:val="center"/>
          </w:tcPr>
          <w:p w14:paraId="17111601">
            <w:pPr>
              <w:jc w:val="center"/>
              <w:rPr>
                <w:color w:val="000000"/>
                <w:kern w:val="0"/>
                <w:szCs w:val="21"/>
              </w:rPr>
            </w:pPr>
            <w:r>
              <w:rPr>
                <w:color w:val="000000"/>
                <w:kern w:val="0"/>
                <w:szCs w:val="21"/>
              </w:rPr>
              <w:t>1</w:t>
            </w:r>
          </w:p>
        </w:tc>
        <w:tc>
          <w:tcPr>
            <w:tcW w:w="709" w:type="dxa"/>
            <w:noWrap/>
            <w:vAlign w:val="center"/>
          </w:tcPr>
          <w:p w14:paraId="7F93E58C">
            <w:pPr>
              <w:jc w:val="center"/>
              <w:rPr>
                <w:color w:val="000000"/>
                <w:kern w:val="0"/>
                <w:szCs w:val="21"/>
              </w:rPr>
            </w:pPr>
            <w:r>
              <w:rPr>
                <w:color w:val="000000"/>
                <w:kern w:val="0"/>
                <w:szCs w:val="21"/>
              </w:rPr>
              <w:t>100</w:t>
            </w:r>
          </w:p>
        </w:tc>
        <w:tc>
          <w:tcPr>
            <w:tcW w:w="1274" w:type="dxa"/>
            <w:noWrap/>
            <w:vAlign w:val="center"/>
          </w:tcPr>
          <w:p w14:paraId="1A08C2E7">
            <w:pPr>
              <w:jc w:val="center"/>
              <w:rPr>
                <w:color w:val="000000"/>
                <w:kern w:val="0"/>
                <w:szCs w:val="21"/>
              </w:rPr>
            </w:pPr>
            <w:r>
              <w:rPr>
                <w:rFonts w:hint="eastAsia"/>
                <w:color w:val="000000"/>
                <w:kern w:val="0"/>
                <w:szCs w:val="21"/>
              </w:rPr>
              <w:t>1100</w:t>
            </w:r>
          </w:p>
        </w:tc>
      </w:tr>
      <w:tr w14:paraId="5D201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restart"/>
            <w:noWrap w:val="0"/>
            <w:vAlign w:val="center"/>
          </w:tcPr>
          <w:p w14:paraId="4718E1B3">
            <w:pPr>
              <w:jc w:val="center"/>
              <w:rPr>
                <w:color w:val="000000"/>
                <w:kern w:val="0"/>
                <w:szCs w:val="21"/>
              </w:rPr>
            </w:pPr>
            <w:r>
              <w:rPr>
                <w:color w:val="000000"/>
                <w:kern w:val="0"/>
                <w:szCs w:val="21"/>
              </w:rPr>
              <w:t>18</w:t>
            </w:r>
          </w:p>
        </w:tc>
        <w:tc>
          <w:tcPr>
            <w:tcW w:w="850" w:type="dxa"/>
            <w:vMerge w:val="restart"/>
            <w:noWrap w:val="0"/>
            <w:vAlign w:val="center"/>
          </w:tcPr>
          <w:p w14:paraId="5C8C734D">
            <w:pPr>
              <w:jc w:val="center"/>
              <w:rPr>
                <w:rFonts w:eastAsia="楷体_GB2312"/>
                <w:color w:val="000000"/>
                <w:kern w:val="0"/>
                <w:szCs w:val="21"/>
              </w:rPr>
            </w:pPr>
            <w:r>
              <w:rPr>
                <w:rFonts w:eastAsia="楷体_GB2312"/>
                <w:color w:val="000000"/>
                <w:kern w:val="0"/>
                <w:szCs w:val="21"/>
              </w:rPr>
              <w:t>大泽乡镇</w:t>
            </w:r>
          </w:p>
        </w:tc>
        <w:tc>
          <w:tcPr>
            <w:tcW w:w="567" w:type="dxa"/>
            <w:noWrap w:val="0"/>
            <w:vAlign w:val="center"/>
          </w:tcPr>
          <w:p w14:paraId="2E6E6516">
            <w:pPr>
              <w:jc w:val="center"/>
              <w:rPr>
                <w:color w:val="000000"/>
                <w:kern w:val="0"/>
                <w:szCs w:val="21"/>
              </w:rPr>
            </w:pPr>
            <w:r>
              <w:rPr>
                <w:color w:val="000000"/>
                <w:kern w:val="0"/>
                <w:szCs w:val="21"/>
              </w:rPr>
              <w:t>1</w:t>
            </w:r>
          </w:p>
        </w:tc>
        <w:tc>
          <w:tcPr>
            <w:tcW w:w="3686" w:type="dxa"/>
            <w:noWrap w:val="0"/>
            <w:vAlign w:val="center"/>
          </w:tcPr>
          <w:p w14:paraId="3FE90B71">
            <w:pPr>
              <w:jc w:val="center"/>
              <w:rPr>
                <w:rFonts w:eastAsia="楷体_GB2312"/>
                <w:color w:val="000000"/>
                <w:kern w:val="0"/>
                <w:szCs w:val="21"/>
              </w:rPr>
            </w:pPr>
            <w:r>
              <w:rPr>
                <w:rFonts w:eastAsia="楷体_GB2312"/>
                <w:color w:val="000000"/>
                <w:kern w:val="0"/>
                <w:szCs w:val="21"/>
              </w:rPr>
              <w:t>中国邮政储蓄银行（西寺坡支局店）</w:t>
            </w:r>
          </w:p>
        </w:tc>
        <w:tc>
          <w:tcPr>
            <w:tcW w:w="850" w:type="dxa"/>
            <w:noWrap/>
            <w:vAlign w:val="center"/>
          </w:tcPr>
          <w:p w14:paraId="66AB8629">
            <w:pPr>
              <w:jc w:val="center"/>
              <w:rPr>
                <w:color w:val="000000"/>
                <w:kern w:val="0"/>
                <w:szCs w:val="21"/>
              </w:rPr>
            </w:pPr>
            <w:r>
              <w:rPr>
                <w:color w:val="000000"/>
                <w:kern w:val="0"/>
                <w:szCs w:val="21"/>
              </w:rPr>
              <w:t>0.8701</w:t>
            </w:r>
          </w:p>
        </w:tc>
        <w:tc>
          <w:tcPr>
            <w:tcW w:w="567" w:type="dxa"/>
            <w:noWrap/>
            <w:vAlign w:val="center"/>
          </w:tcPr>
          <w:p w14:paraId="165615D3">
            <w:pPr>
              <w:jc w:val="center"/>
              <w:rPr>
                <w:color w:val="000000"/>
                <w:kern w:val="0"/>
                <w:szCs w:val="21"/>
              </w:rPr>
            </w:pPr>
            <w:r>
              <w:rPr>
                <w:color w:val="000000"/>
                <w:kern w:val="0"/>
                <w:szCs w:val="21"/>
              </w:rPr>
              <w:t>2</w:t>
            </w:r>
          </w:p>
        </w:tc>
        <w:tc>
          <w:tcPr>
            <w:tcW w:w="709" w:type="dxa"/>
            <w:noWrap/>
            <w:vAlign w:val="center"/>
          </w:tcPr>
          <w:p w14:paraId="0FF84E8E">
            <w:pPr>
              <w:jc w:val="center"/>
              <w:rPr>
                <w:color w:val="000000"/>
                <w:kern w:val="0"/>
                <w:szCs w:val="21"/>
              </w:rPr>
            </w:pPr>
            <w:r>
              <w:rPr>
                <w:color w:val="000000"/>
                <w:kern w:val="0"/>
                <w:szCs w:val="21"/>
              </w:rPr>
              <w:t>87</w:t>
            </w:r>
          </w:p>
        </w:tc>
        <w:tc>
          <w:tcPr>
            <w:tcW w:w="1274" w:type="dxa"/>
            <w:noWrap/>
            <w:vAlign w:val="center"/>
          </w:tcPr>
          <w:p w14:paraId="6C6F7973">
            <w:pPr>
              <w:jc w:val="center"/>
              <w:rPr>
                <w:color w:val="000000"/>
                <w:kern w:val="0"/>
                <w:szCs w:val="21"/>
              </w:rPr>
            </w:pPr>
            <w:r>
              <w:rPr>
                <w:rFonts w:hint="eastAsia"/>
                <w:color w:val="000000"/>
                <w:kern w:val="0"/>
                <w:szCs w:val="21"/>
              </w:rPr>
              <w:t>1400</w:t>
            </w:r>
          </w:p>
        </w:tc>
      </w:tr>
      <w:tr w14:paraId="3CF04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22203185">
            <w:pPr>
              <w:jc w:val="center"/>
              <w:rPr>
                <w:color w:val="000000"/>
                <w:kern w:val="0"/>
                <w:szCs w:val="21"/>
              </w:rPr>
            </w:pPr>
          </w:p>
        </w:tc>
        <w:tc>
          <w:tcPr>
            <w:tcW w:w="850" w:type="dxa"/>
            <w:vMerge w:val="continue"/>
            <w:noWrap w:val="0"/>
            <w:vAlign w:val="center"/>
          </w:tcPr>
          <w:p w14:paraId="51D073AF">
            <w:pPr>
              <w:jc w:val="center"/>
              <w:rPr>
                <w:rFonts w:eastAsia="楷体_GB2312"/>
                <w:color w:val="000000"/>
                <w:kern w:val="0"/>
                <w:szCs w:val="21"/>
              </w:rPr>
            </w:pPr>
          </w:p>
        </w:tc>
        <w:tc>
          <w:tcPr>
            <w:tcW w:w="567" w:type="dxa"/>
            <w:noWrap w:val="0"/>
            <w:vAlign w:val="center"/>
          </w:tcPr>
          <w:p w14:paraId="47D0709B">
            <w:pPr>
              <w:jc w:val="center"/>
              <w:rPr>
                <w:color w:val="000000"/>
                <w:kern w:val="0"/>
                <w:szCs w:val="21"/>
              </w:rPr>
            </w:pPr>
            <w:r>
              <w:rPr>
                <w:color w:val="000000"/>
                <w:kern w:val="0"/>
                <w:szCs w:val="21"/>
              </w:rPr>
              <w:t>2</w:t>
            </w:r>
          </w:p>
        </w:tc>
        <w:tc>
          <w:tcPr>
            <w:tcW w:w="3686" w:type="dxa"/>
            <w:noWrap w:val="0"/>
            <w:vAlign w:val="center"/>
          </w:tcPr>
          <w:p w14:paraId="23E064FF">
            <w:pPr>
              <w:jc w:val="center"/>
              <w:rPr>
                <w:rFonts w:eastAsia="楷体_GB2312"/>
                <w:color w:val="000000"/>
                <w:kern w:val="0"/>
                <w:szCs w:val="21"/>
              </w:rPr>
            </w:pPr>
            <w:r>
              <w:rPr>
                <w:rFonts w:eastAsia="楷体_GB2312"/>
                <w:color w:val="000000"/>
                <w:kern w:val="0"/>
                <w:szCs w:val="21"/>
              </w:rPr>
              <w:t>宿州农商银行（西寺坡支行）</w:t>
            </w:r>
          </w:p>
        </w:tc>
        <w:tc>
          <w:tcPr>
            <w:tcW w:w="850" w:type="dxa"/>
            <w:noWrap/>
            <w:vAlign w:val="center"/>
          </w:tcPr>
          <w:p w14:paraId="1516B39D">
            <w:pPr>
              <w:jc w:val="center"/>
              <w:rPr>
                <w:color w:val="000000"/>
                <w:kern w:val="0"/>
                <w:szCs w:val="21"/>
              </w:rPr>
            </w:pPr>
            <w:r>
              <w:rPr>
                <w:color w:val="000000"/>
                <w:kern w:val="0"/>
                <w:szCs w:val="21"/>
              </w:rPr>
              <w:t>1.0000</w:t>
            </w:r>
          </w:p>
        </w:tc>
        <w:tc>
          <w:tcPr>
            <w:tcW w:w="567" w:type="dxa"/>
            <w:noWrap/>
            <w:vAlign w:val="center"/>
          </w:tcPr>
          <w:p w14:paraId="676290D8">
            <w:pPr>
              <w:jc w:val="center"/>
              <w:rPr>
                <w:color w:val="000000"/>
                <w:kern w:val="0"/>
                <w:szCs w:val="21"/>
              </w:rPr>
            </w:pPr>
            <w:r>
              <w:rPr>
                <w:color w:val="000000"/>
                <w:kern w:val="0"/>
                <w:szCs w:val="21"/>
              </w:rPr>
              <w:t>1</w:t>
            </w:r>
          </w:p>
        </w:tc>
        <w:tc>
          <w:tcPr>
            <w:tcW w:w="709" w:type="dxa"/>
            <w:noWrap/>
            <w:vAlign w:val="center"/>
          </w:tcPr>
          <w:p w14:paraId="7413CD35">
            <w:pPr>
              <w:jc w:val="center"/>
              <w:rPr>
                <w:color w:val="000000"/>
                <w:kern w:val="0"/>
                <w:szCs w:val="21"/>
              </w:rPr>
            </w:pPr>
            <w:r>
              <w:rPr>
                <w:color w:val="000000"/>
                <w:kern w:val="0"/>
                <w:szCs w:val="21"/>
              </w:rPr>
              <w:t>100</w:t>
            </w:r>
          </w:p>
        </w:tc>
        <w:tc>
          <w:tcPr>
            <w:tcW w:w="1274" w:type="dxa"/>
            <w:noWrap/>
            <w:vAlign w:val="center"/>
          </w:tcPr>
          <w:p w14:paraId="101C5AA9">
            <w:pPr>
              <w:jc w:val="center"/>
              <w:rPr>
                <w:color w:val="000000"/>
                <w:kern w:val="0"/>
                <w:szCs w:val="21"/>
              </w:rPr>
            </w:pPr>
            <w:r>
              <w:rPr>
                <w:rFonts w:hint="eastAsia"/>
                <w:color w:val="000000"/>
                <w:kern w:val="0"/>
                <w:szCs w:val="21"/>
              </w:rPr>
              <w:t>1500</w:t>
            </w:r>
          </w:p>
        </w:tc>
      </w:tr>
      <w:tr w14:paraId="23039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restart"/>
            <w:noWrap w:val="0"/>
            <w:vAlign w:val="center"/>
          </w:tcPr>
          <w:p w14:paraId="7389F991">
            <w:pPr>
              <w:jc w:val="center"/>
              <w:rPr>
                <w:color w:val="000000"/>
                <w:kern w:val="0"/>
                <w:szCs w:val="21"/>
              </w:rPr>
            </w:pPr>
            <w:r>
              <w:rPr>
                <w:color w:val="000000"/>
                <w:kern w:val="0"/>
                <w:szCs w:val="21"/>
              </w:rPr>
              <w:t>19</w:t>
            </w:r>
          </w:p>
        </w:tc>
        <w:tc>
          <w:tcPr>
            <w:tcW w:w="850" w:type="dxa"/>
            <w:vMerge w:val="restart"/>
            <w:noWrap w:val="0"/>
            <w:vAlign w:val="center"/>
          </w:tcPr>
          <w:p w14:paraId="464C3277">
            <w:pPr>
              <w:jc w:val="center"/>
              <w:rPr>
                <w:rFonts w:eastAsia="楷体_GB2312"/>
                <w:color w:val="000000"/>
                <w:kern w:val="0"/>
                <w:szCs w:val="21"/>
              </w:rPr>
            </w:pPr>
            <w:r>
              <w:rPr>
                <w:rFonts w:eastAsia="楷体_GB2312"/>
                <w:color w:val="000000"/>
                <w:kern w:val="0"/>
                <w:szCs w:val="21"/>
              </w:rPr>
              <w:t>永安镇</w:t>
            </w:r>
          </w:p>
        </w:tc>
        <w:tc>
          <w:tcPr>
            <w:tcW w:w="567" w:type="dxa"/>
            <w:noWrap w:val="0"/>
            <w:vAlign w:val="center"/>
          </w:tcPr>
          <w:p w14:paraId="5A445A25">
            <w:pPr>
              <w:jc w:val="center"/>
              <w:rPr>
                <w:color w:val="000000"/>
                <w:kern w:val="0"/>
                <w:szCs w:val="21"/>
              </w:rPr>
            </w:pPr>
            <w:r>
              <w:rPr>
                <w:color w:val="000000"/>
                <w:kern w:val="0"/>
                <w:szCs w:val="21"/>
              </w:rPr>
              <w:t>1</w:t>
            </w:r>
          </w:p>
        </w:tc>
        <w:tc>
          <w:tcPr>
            <w:tcW w:w="3686" w:type="dxa"/>
            <w:noWrap w:val="0"/>
            <w:vAlign w:val="center"/>
          </w:tcPr>
          <w:p w14:paraId="2D5AFF66">
            <w:pPr>
              <w:jc w:val="center"/>
              <w:rPr>
                <w:rFonts w:eastAsia="楷体_GB2312"/>
                <w:color w:val="000000"/>
                <w:kern w:val="0"/>
                <w:szCs w:val="21"/>
              </w:rPr>
            </w:pPr>
            <w:r>
              <w:rPr>
                <w:rFonts w:eastAsia="楷体_GB2312"/>
                <w:color w:val="000000"/>
                <w:kern w:val="0"/>
                <w:szCs w:val="21"/>
              </w:rPr>
              <w:t>宿州农商银行（永安支行）</w:t>
            </w:r>
          </w:p>
        </w:tc>
        <w:tc>
          <w:tcPr>
            <w:tcW w:w="850" w:type="dxa"/>
            <w:noWrap/>
            <w:vAlign w:val="center"/>
          </w:tcPr>
          <w:p w14:paraId="4125B0B9">
            <w:pPr>
              <w:jc w:val="center"/>
              <w:rPr>
                <w:color w:val="000000"/>
                <w:kern w:val="0"/>
                <w:szCs w:val="21"/>
              </w:rPr>
            </w:pPr>
            <w:r>
              <w:rPr>
                <w:color w:val="000000"/>
                <w:kern w:val="0"/>
                <w:szCs w:val="21"/>
              </w:rPr>
              <w:t>1.0000</w:t>
            </w:r>
          </w:p>
        </w:tc>
        <w:tc>
          <w:tcPr>
            <w:tcW w:w="567" w:type="dxa"/>
            <w:noWrap/>
            <w:vAlign w:val="center"/>
          </w:tcPr>
          <w:p w14:paraId="7C65C478">
            <w:pPr>
              <w:jc w:val="center"/>
              <w:rPr>
                <w:color w:val="000000"/>
                <w:kern w:val="0"/>
                <w:szCs w:val="21"/>
              </w:rPr>
            </w:pPr>
            <w:r>
              <w:rPr>
                <w:color w:val="000000"/>
                <w:kern w:val="0"/>
                <w:szCs w:val="21"/>
              </w:rPr>
              <w:t>1</w:t>
            </w:r>
          </w:p>
        </w:tc>
        <w:tc>
          <w:tcPr>
            <w:tcW w:w="709" w:type="dxa"/>
            <w:noWrap/>
            <w:vAlign w:val="center"/>
          </w:tcPr>
          <w:p w14:paraId="71A1C723">
            <w:pPr>
              <w:jc w:val="center"/>
              <w:rPr>
                <w:color w:val="000000"/>
                <w:kern w:val="0"/>
                <w:szCs w:val="21"/>
              </w:rPr>
            </w:pPr>
            <w:r>
              <w:rPr>
                <w:color w:val="000000"/>
                <w:kern w:val="0"/>
                <w:szCs w:val="21"/>
              </w:rPr>
              <w:t>100</w:t>
            </w:r>
          </w:p>
        </w:tc>
        <w:tc>
          <w:tcPr>
            <w:tcW w:w="1274" w:type="dxa"/>
            <w:noWrap/>
            <w:vAlign w:val="center"/>
          </w:tcPr>
          <w:p w14:paraId="19AA0853">
            <w:pPr>
              <w:jc w:val="center"/>
              <w:rPr>
                <w:color w:val="000000"/>
                <w:kern w:val="0"/>
                <w:szCs w:val="21"/>
              </w:rPr>
            </w:pPr>
            <w:r>
              <w:rPr>
                <w:rFonts w:hint="eastAsia"/>
                <w:color w:val="000000"/>
                <w:kern w:val="0"/>
                <w:szCs w:val="21"/>
              </w:rPr>
              <w:t>1500</w:t>
            </w:r>
          </w:p>
        </w:tc>
      </w:tr>
      <w:tr w14:paraId="5E580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44D82225">
            <w:pPr>
              <w:jc w:val="center"/>
              <w:rPr>
                <w:color w:val="000000"/>
                <w:kern w:val="0"/>
                <w:szCs w:val="21"/>
              </w:rPr>
            </w:pPr>
          </w:p>
        </w:tc>
        <w:tc>
          <w:tcPr>
            <w:tcW w:w="850" w:type="dxa"/>
            <w:vMerge w:val="continue"/>
            <w:noWrap w:val="0"/>
            <w:vAlign w:val="center"/>
          </w:tcPr>
          <w:p w14:paraId="1F4BE14F">
            <w:pPr>
              <w:jc w:val="center"/>
              <w:rPr>
                <w:rFonts w:eastAsia="楷体_GB2312"/>
                <w:color w:val="000000"/>
                <w:kern w:val="0"/>
                <w:szCs w:val="21"/>
              </w:rPr>
            </w:pPr>
          </w:p>
        </w:tc>
        <w:tc>
          <w:tcPr>
            <w:tcW w:w="567" w:type="dxa"/>
            <w:noWrap w:val="0"/>
            <w:vAlign w:val="center"/>
          </w:tcPr>
          <w:p w14:paraId="45A0791B">
            <w:pPr>
              <w:jc w:val="center"/>
              <w:rPr>
                <w:color w:val="000000"/>
                <w:kern w:val="0"/>
                <w:szCs w:val="21"/>
              </w:rPr>
            </w:pPr>
            <w:r>
              <w:rPr>
                <w:color w:val="000000"/>
                <w:kern w:val="0"/>
                <w:szCs w:val="21"/>
              </w:rPr>
              <w:t>2</w:t>
            </w:r>
          </w:p>
        </w:tc>
        <w:tc>
          <w:tcPr>
            <w:tcW w:w="3686" w:type="dxa"/>
            <w:noWrap w:val="0"/>
            <w:vAlign w:val="center"/>
          </w:tcPr>
          <w:p w14:paraId="7AF96D22">
            <w:pPr>
              <w:jc w:val="center"/>
              <w:rPr>
                <w:rFonts w:eastAsia="楷体_GB2312"/>
                <w:color w:val="000000"/>
                <w:kern w:val="0"/>
                <w:szCs w:val="21"/>
              </w:rPr>
            </w:pPr>
            <w:r>
              <w:rPr>
                <w:rFonts w:eastAsia="楷体_GB2312"/>
                <w:color w:val="000000"/>
                <w:kern w:val="0"/>
                <w:szCs w:val="21"/>
              </w:rPr>
              <w:t>中国农业银行（永安营业所）</w:t>
            </w:r>
          </w:p>
        </w:tc>
        <w:tc>
          <w:tcPr>
            <w:tcW w:w="850" w:type="dxa"/>
            <w:noWrap/>
            <w:vAlign w:val="center"/>
          </w:tcPr>
          <w:p w14:paraId="342714B4">
            <w:pPr>
              <w:jc w:val="center"/>
              <w:rPr>
                <w:color w:val="000000"/>
                <w:kern w:val="0"/>
                <w:szCs w:val="21"/>
              </w:rPr>
            </w:pPr>
            <w:r>
              <w:rPr>
                <w:color w:val="000000"/>
                <w:kern w:val="0"/>
                <w:szCs w:val="21"/>
              </w:rPr>
              <w:t>0.8125</w:t>
            </w:r>
          </w:p>
        </w:tc>
        <w:tc>
          <w:tcPr>
            <w:tcW w:w="567" w:type="dxa"/>
            <w:noWrap/>
            <w:vAlign w:val="center"/>
          </w:tcPr>
          <w:p w14:paraId="314F1134">
            <w:pPr>
              <w:jc w:val="center"/>
              <w:rPr>
                <w:color w:val="000000"/>
                <w:kern w:val="0"/>
                <w:szCs w:val="21"/>
              </w:rPr>
            </w:pPr>
            <w:r>
              <w:rPr>
                <w:color w:val="000000"/>
                <w:kern w:val="0"/>
                <w:szCs w:val="21"/>
              </w:rPr>
              <w:t>2</w:t>
            </w:r>
          </w:p>
        </w:tc>
        <w:tc>
          <w:tcPr>
            <w:tcW w:w="709" w:type="dxa"/>
            <w:noWrap/>
            <w:vAlign w:val="center"/>
          </w:tcPr>
          <w:p w14:paraId="135823D8">
            <w:pPr>
              <w:jc w:val="center"/>
              <w:rPr>
                <w:color w:val="000000"/>
                <w:kern w:val="0"/>
                <w:szCs w:val="21"/>
              </w:rPr>
            </w:pPr>
            <w:r>
              <w:rPr>
                <w:rFonts w:hint="eastAsia"/>
                <w:color w:val="000000"/>
                <w:kern w:val="0"/>
                <w:szCs w:val="21"/>
              </w:rPr>
              <w:t>81</w:t>
            </w:r>
          </w:p>
        </w:tc>
        <w:tc>
          <w:tcPr>
            <w:tcW w:w="1274" w:type="dxa"/>
            <w:noWrap/>
            <w:vAlign w:val="center"/>
          </w:tcPr>
          <w:p w14:paraId="1F7FE940">
            <w:pPr>
              <w:jc w:val="center"/>
              <w:rPr>
                <w:color w:val="000000"/>
                <w:kern w:val="0"/>
                <w:szCs w:val="21"/>
              </w:rPr>
            </w:pPr>
            <w:r>
              <w:rPr>
                <w:rFonts w:hint="eastAsia"/>
                <w:color w:val="000000"/>
                <w:kern w:val="0"/>
                <w:szCs w:val="21"/>
              </w:rPr>
              <w:t>1400</w:t>
            </w:r>
          </w:p>
        </w:tc>
      </w:tr>
      <w:tr w14:paraId="3857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vMerge w:val="continue"/>
            <w:noWrap w:val="0"/>
            <w:vAlign w:val="center"/>
          </w:tcPr>
          <w:p w14:paraId="68E7DA2B">
            <w:pPr>
              <w:jc w:val="center"/>
              <w:rPr>
                <w:color w:val="000000"/>
                <w:kern w:val="0"/>
                <w:szCs w:val="21"/>
              </w:rPr>
            </w:pPr>
          </w:p>
        </w:tc>
        <w:tc>
          <w:tcPr>
            <w:tcW w:w="850" w:type="dxa"/>
            <w:vMerge w:val="continue"/>
            <w:noWrap w:val="0"/>
            <w:vAlign w:val="center"/>
          </w:tcPr>
          <w:p w14:paraId="03FDFD2E">
            <w:pPr>
              <w:jc w:val="center"/>
              <w:rPr>
                <w:rFonts w:eastAsia="楷体_GB2312"/>
                <w:color w:val="000000"/>
                <w:kern w:val="0"/>
                <w:szCs w:val="21"/>
              </w:rPr>
            </w:pPr>
          </w:p>
        </w:tc>
        <w:tc>
          <w:tcPr>
            <w:tcW w:w="567" w:type="dxa"/>
            <w:noWrap w:val="0"/>
            <w:vAlign w:val="center"/>
          </w:tcPr>
          <w:p w14:paraId="639AF741">
            <w:pPr>
              <w:jc w:val="center"/>
              <w:rPr>
                <w:color w:val="000000"/>
                <w:kern w:val="0"/>
                <w:szCs w:val="21"/>
              </w:rPr>
            </w:pPr>
            <w:r>
              <w:rPr>
                <w:color w:val="000000"/>
                <w:kern w:val="0"/>
                <w:szCs w:val="21"/>
              </w:rPr>
              <w:t>3</w:t>
            </w:r>
          </w:p>
        </w:tc>
        <w:tc>
          <w:tcPr>
            <w:tcW w:w="3686" w:type="dxa"/>
            <w:noWrap w:val="0"/>
            <w:vAlign w:val="center"/>
          </w:tcPr>
          <w:p w14:paraId="2E82B7EE">
            <w:pPr>
              <w:jc w:val="center"/>
              <w:rPr>
                <w:rFonts w:eastAsia="楷体_GB2312"/>
                <w:color w:val="000000"/>
                <w:kern w:val="0"/>
                <w:szCs w:val="21"/>
              </w:rPr>
            </w:pPr>
            <w:r>
              <w:rPr>
                <w:rFonts w:eastAsia="楷体_GB2312"/>
                <w:color w:val="000000"/>
                <w:kern w:val="0"/>
                <w:szCs w:val="21"/>
              </w:rPr>
              <w:t>中国邮政储蓄银行（永安镇营业所）</w:t>
            </w:r>
          </w:p>
        </w:tc>
        <w:tc>
          <w:tcPr>
            <w:tcW w:w="850" w:type="dxa"/>
            <w:noWrap/>
            <w:vAlign w:val="center"/>
          </w:tcPr>
          <w:p w14:paraId="4C909632">
            <w:pPr>
              <w:jc w:val="center"/>
              <w:rPr>
                <w:color w:val="000000"/>
                <w:kern w:val="0"/>
                <w:szCs w:val="21"/>
              </w:rPr>
            </w:pPr>
            <w:r>
              <w:rPr>
                <w:color w:val="000000"/>
                <w:kern w:val="0"/>
                <w:szCs w:val="21"/>
              </w:rPr>
              <w:t>0.8828</w:t>
            </w:r>
          </w:p>
        </w:tc>
        <w:tc>
          <w:tcPr>
            <w:tcW w:w="567" w:type="dxa"/>
            <w:noWrap/>
            <w:vAlign w:val="center"/>
          </w:tcPr>
          <w:p w14:paraId="0572C8D6">
            <w:pPr>
              <w:jc w:val="center"/>
              <w:rPr>
                <w:color w:val="000000"/>
                <w:kern w:val="0"/>
                <w:szCs w:val="21"/>
              </w:rPr>
            </w:pPr>
            <w:r>
              <w:rPr>
                <w:color w:val="000000"/>
                <w:kern w:val="0"/>
                <w:szCs w:val="21"/>
              </w:rPr>
              <w:t>2</w:t>
            </w:r>
          </w:p>
        </w:tc>
        <w:tc>
          <w:tcPr>
            <w:tcW w:w="709" w:type="dxa"/>
            <w:noWrap/>
            <w:vAlign w:val="center"/>
          </w:tcPr>
          <w:p w14:paraId="47473CB2">
            <w:pPr>
              <w:jc w:val="center"/>
              <w:rPr>
                <w:color w:val="000000"/>
                <w:kern w:val="0"/>
                <w:szCs w:val="21"/>
              </w:rPr>
            </w:pPr>
            <w:r>
              <w:rPr>
                <w:color w:val="000000"/>
                <w:kern w:val="0"/>
                <w:szCs w:val="21"/>
              </w:rPr>
              <w:t>88</w:t>
            </w:r>
          </w:p>
        </w:tc>
        <w:tc>
          <w:tcPr>
            <w:tcW w:w="1274" w:type="dxa"/>
            <w:noWrap/>
            <w:vAlign w:val="center"/>
          </w:tcPr>
          <w:p w14:paraId="3A3EEE37">
            <w:pPr>
              <w:jc w:val="center"/>
              <w:rPr>
                <w:color w:val="000000"/>
                <w:kern w:val="0"/>
                <w:szCs w:val="21"/>
              </w:rPr>
            </w:pPr>
            <w:r>
              <w:rPr>
                <w:rFonts w:hint="eastAsia"/>
                <w:color w:val="000000"/>
                <w:kern w:val="0"/>
                <w:szCs w:val="21"/>
              </w:rPr>
              <w:t>1400</w:t>
            </w:r>
          </w:p>
        </w:tc>
      </w:tr>
      <w:tr w14:paraId="16BEF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noWrap w:val="0"/>
            <w:vAlign w:val="center"/>
          </w:tcPr>
          <w:p w14:paraId="70FC80A0">
            <w:pPr>
              <w:jc w:val="center"/>
              <w:rPr>
                <w:color w:val="000000"/>
                <w:kern w:val="0"/>
                <w:szCs w:val="21"/>
              </w:rPr>
            </w:pPr>
            <w:r>
              <w:rPr>
                <w:color w:val="000000"/>
                <w:kern w:val="0"/>
                <w:szCs w:val="21"/>
              </w:rPr>
              <w:t>20</w:t>
            </w:r>
          </w:p>
        </w:tc>
        <w:tc>
          <w:tcPr>
            <w:tcW w:w="850" w:type="dxa"/>
            <w:noWrap w:val="0"/>
            <w:vAlign w:val="center"/>
          </w:tcPr>
          <w:p w14:paraId="6C67CE35">
            <w:pPr>
              <w:jc w:val="center"/>
              <w:rPr>
                <w:rFonts w:eastAsia="楷体_GB2312"/>
                <w:color w:val="000000"/>
                <w:kern w:val="0"/>
                <w:szCs w:val="21"/>
              </w:rPr>
            </w:pPr>
            <w:r>
              <w:rPr>
                <w:rFonts w:eastAsia="楷体_GB2312"/>
                <w:color w:val="000000"/>
                <w:kern w:val="0"/>
                <w:szCs w:val="21"/>
              </w:rPr>
              <w:t>支河乡</w:t>
            </w:r>
          </w:p>
        </w:tc>
        <w:tc>
          <w:tcPr>
            <w:tcW w:w="567" w:type="dxa"/>
            <w:noWrap w:val="0"/>
            <w:vAlign w:val="center"/>
          </w:tcPr>
          <w:p w14:paraId="3F102B93">
            <w:pPr>
              <w:jc w:val="center"/>
              <w:rPr>
                <w:color w:val="000000"/>
                <w:kern w:val="0"/>
                <w:szCs w:val="21"/>
              </w:rPr>
            </w:pPr>
            <w:r>
              <w:rPr>
                <w:color w:val="000000"/>
                <w:kern w:val="0"/>
                <w:szCs w:val="21"/>
              </w:rPr>
              <w:t>1</w:t>
            </w:r>
          </w:p>
        </w:tc>
        <w:tc>
          <w:tcPr>
            <w:tcW w:w="3686" w:type="dxa"/>
            <w:noWrap w:val="0"/>
            <w:vAlign w:val="center"/>
          </w:tcPr>
          <w:p w14:paraId="21836941">
            <w:pPr>
              <w:jc w:val="center"/>
              <w:rPr>
                <w:rFonts w:eastAsia="楷体_GB2312"/>
                <w:color w:val="000000"/>
                <w:kern w:val="0"/>
                <w:szCs w:val="21"/>
              </w:rPr>
            </w:pPr>
            <w:r>
              <w:rPr>
                <w:rFonts w:eastAsia="楷体_GB2312"/>
                <w:color w:val="000000"/>
                <w:kern w:val="0"/>
                <w:szCs w:val="21"/>
              </w:rPr>
              <w:t>宿州农商银行（支河支行）</w:t>
            </w:r>
          </w:p>
        </w:tc>
        <w:tc>
          <w:tcPr>
            <w:tcW w:w="850" w:type="dxa"/>
            <w:noWrap/>
            <w:vAlign w:val="center"/>
          </w:tcPr>
          <w:p w14:paraId="2EE43511">
            <w:pPr>
              <w:jc w:val="center"/>
              <w:rPr>
                <w:color w:val="000000"/>
                <w:kern w:val="0"/>
                <w:szCs w:val="21"/>
              </w:rPr>
            </w:pPr>
            <w:r>
              <w:rPr>
                <w:color w:val="000000"/>
                <w:kern w:val="0"/>
                <w:szCs w:val="21"/>
              </w:rPr>
              <w:t>1.0000</w:t>
            </w:r>
          </w:p>
        </w:tc>
        <w:tc>
          <w:tcPr>
            <w:tcW w:w="567" w:type="dxa"/>
            <w:noWrap/>
            <w:vAlign w:val="center"/>
          </w:tcPr>
          <w:p w14:paraId="0C9EE618">
            <w:pPr>
              <w:jc w:val="center"/>
              <w:rPr>
                <w:color w:val="000000"/>
                <w:kern w:val="0"/>
                <w:szCs w:val="21"/>
              </w:rPr>
            </w:pPr>
            <w:r>
              <w:rPr>
                <w:color w:val="000000"/>
                <w:kern w:val="0"/>
                <w:szCs w:val="21"/>
              </w:rPr>
              <w:t>1</w:t>
            </w:r>
          </w:p>
        </w:tc>
        <w:tc>
          <w:tcPr>
            <w:tcW w:w="709" w:type="dxa"/>
            <w:noWrap/>
            <w:vAlign w:val="center"/>
          </w:tcPr>
          <w:p w14:paraId="382D3A87">
            <w:pPr>
              <w:jc w:val="center"/>
              <w:rPr>
                <w:color w:val="000000"/>
                <w:kern w:val="0"/>
                <w:szCs w:val="21"/>
              </w:rPr>
            </w:pPr>
            <w:r>
              <w:rPr>
                <w:color w:val="000000"/>
                <w:kern w:val="0"/>
                <w:szCs w:val="21"/>
              </w:rPr>
              <w:t>100</w:t>
            </w:r>
          </w:p>
        </w:tc>
        <w:tc>
          <w:tcPr>
            <w:tcW w:w="1274" w:type="dxa"/>
            <w:noWrap/>
            <w:vAlign w:val="center"/>
          </w:tcPr>
          <w:p w14:paraId="1D1FFF26">
            <w:pPr>
              <w:jc w:val="center"/>
              <w:rPr>
                <w:color w:val="000000"/>
                <w:kern w:val="0"/>
                <w:szCs w:val="21"/>
              </w:rPr>
            </w:pPr>
            <w:r>
              <w:rPr>
                <w:rFonts w:hint="eastAsia"/>
                <w:color w:val="000000"/>
                <w:kern w:val="0"/>
                <w:szCs w:val="21"/>
              </w:rPr>
              <w:t>1500</w:t>
            </w:r>
          </w:p>
        </w:tc>
      </w:tr>
      <w:tr w14:paraId="637A4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noWrap w:val="0"/>
            <w:vAlign w:val="center"/>
          </w:tcPr>
          <w:p w14:paraId="17059413">
            <w:pPr>
              <w:jc w:val="center"/>
              <w:rPr>
                <w:color w:val="000000"/>
                <w:kern w:val="0"/>
                <w:szCs w:val="21"/>
              </w:rPr>
            </w:pPr>
            <w:r>
              <w:rPr>
                <w:color w:val="000000"/>
                <w:kern w:val="0"/>
                <w:szCs w:val="21"/>
              </w:rPr>
              <w:t>21</w:t>
            </w:r>
          </w:p>
        </w:tc>
        <w:tc>
          <w:tcPr>
            <w:tcW w:w="850" w:type="dxa"/>
            <w:noWrap w:val="0"/>
            <w:vAlign w:val="center"/>
          </w:tcPr>
          <w:p w14:paraId="3FFA86EE">
            <w:pPr>
              <w:jc w:val="center"/>
              <w:rPr>
                <w:rFonts w:eastAsia="楷体_GB2312"/>
                <w:color w:val="000000"/>
                <w:kern w:val="0"/>
                <w:szCs w:val="21"/>
              </w:rPr>
            </w:pPr>
            <w:r>
              <w:rPr>
                <w:rFonts w:eastAsia="楷体_GB2312"/>
                <w:color w:val="000000"/>
                <w:kern w:val="0"/>
                <w:szCs w:val="21"/>
              </w:rPr>
              <w:t>灰古镇</w:t>
            </w:r>
          </w:p>
        </w:tc>
        <w:tc>
          <w:tcPr>
            <w:tcW w:w="567" w:type="dxa"/>
            <w:noWrap w:val="0"/>
            <w:vAlign w:val="center"/>
          </w:tcPr>
          <w:p w14:paraId="3863465B">
            <w:pPr>
              <w:jc w:val="center"/>
              <w:rPr>
                <w:color w:val="000000"/>
                <w:kern w:val="0"/>
                <w:szCs w:val="21"/>
              </w:rPr>
            </w:pPr>
            <w:r>
              <w:rPr>
                <w:color w:val="000000"/>
                <w:kern w:val="0"/>
                <w:szCs w:val="21"/>
              </w:rPr>
              <w:t>1</w:t>
            </w:r>
          </w:p>
        </w:tc>
        <w:tc>
          <w:tcPr>
            <w:tcW w:w="3686" w:type="dxa"/>
            <w:noWrap w:val="0"/>
            <w:vAlign w:val="center"/>
          </w:tcPr>
          <w:p w14:paraId="64B31F9B">
            <w:pPr>
              <w:jc w:val="center"/>
              <w:rPr>
                <w:rFonts w:eastAsia="楷体_GB2312"/>
                <w:color w:val="000000"/>
                <w:kern w:val="0"/>
                <w:szCs w:val="21"/>
              </w:rPr>
            </w:pPr>
            <w:r>
              <w:rPr>
                <w:rFonts w:eastAsia="楷体_GB2312"/>
                <w:color w:val="000000"/>
                <w:kern w:val="0"/>
                <w:szCs w:val="21"/>
              </w:rPr>
              <w:t>中国邮政储蓄银行（宿州市灰古镇支行）</w:t>
            </w:r>
          </w:p>
        </w:tc>
        <w:tc>
          <w:tcPr>
            <w:tcW w:w="850" w:type="dxa"/>
            <w:noWrap/>
            <w:vAlign w:val="center"/>
          </w:tcPr>
          <w:p w14:paraId="328F45FA">
            <w:pPr>
              <w:jc w:val="center"/>
              <w:rPr>
                <w:color w:val="000000"/>
                <w:kern w:val="0"/>
                <w:szCs w:val="21"/>
              </w:rPr>
            </w:pPr>
            <w:r>
              <w:rPr>
                <w:color w:val="000000"/>
                <w:kern w:val="0"/>
                <w:szCs w:val="21"/>
              </w:rPr>
              <w:t>1.0000</w:t>
            </w:r>
          </w:p>
        </w:tc>
        <w:tc>
          <w:tcPr>
            <w:tcW w:w="567" w:type="dxa"/>
            <w:noWrap/>
            <w:vAlign w:val="center"/>
          </w:tcPr>
          <w:p w14:paraId="01F3BB38">
            <w:pPr>
              <w:jc w:val="center"/>
              <w:rPr>
                <w:color w:val="000000"/>
                <w:kern w:val="0"/>
                <w:szCs w:val="21"/>
              </w:rPr>
            </w:pPr>
            <w:r>
              <w:rPr>
                <w:color w:val="000000"/>
                <w:kern w:val="0"/>
                <w:szCs w:val="21"/>
              </w:rPr>
              <w:t>1</w:t>
            </w:r>
          </w:p>
        </w:tc>
        <w:tc>
          <w:tcPr>
            <w:tcW w:w="709" w:type="dxa"/>
            <w:noWrap/>
            <w:vAlign w:val="center"/>
          </w:tcPr>
          <w:p w14:paraId="4E564634">
            <w:pPr>
              <w:jc w:val="center"/>
              <w:rPr>
                <w:color w:val="000000"/>
                <w:kern w:val="0"/>
                <w:szCs w:val="21"/>
              </w:rPr>
            </w:pPr>
            <w:r>
              <w:rPr>
                <w:color w:val="000000"/>
                <w:kern w:val="0"/>
                <w:szCs w:val="21"/>
              </w:rPr>
              <w:t>100</w:t>
            </w:r>
          </w:p>
        </w:tc>
        <w:tc>
          <w:tcPr>
            <w:tcW w:w="1274" w:type="dxa"/>
            <w:noWrap/>
            <w:vAlign w:val="center"/>
          </w:tcPr>
          <w:p w14:paraId="4229E752">
            <w:pPr>
              <w:jc w:val="center"/>
              <w:rPr>
                <w:color w:val="000000"/>
                <w:kern w:val="0"/>
                <w:szCs w:val="21"/>
              </w:rPr>
            </w:pPr>
            <w:r>
              <w:rPr>
                <w:rFonts w:hint="eastAsia"/>
                <w:color w:val="000000"/>
                <w:kern w:val="0"/>
                <w:szCs w:val="21"/>
              </w:rPr>
              <w:t>1100</w:t>
            </w:r>
          </w:p>
        </w:tc>
      </w:tr>
      <w:tr w14:paraId="5668F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69" w:type="dxa"/>
            <w:noWrap w:val="0"/>
            <w:vAlign w:val="center"/>
          </w:tcPr>
          <w:p w14:paraId="3EF8305D">
            <w:pPr>
              <w:jc w:val="center"/>
              <w:rPr>
                <w:color w:val="000000"/>
                <w:kern w:val="0"/>
                <w:szCs w:val="21"/>
              </w:rPr>
            </w:pPr>
            <w:r>
              <w:rPr>
                <w:color w:val="000000"/>
                <w:kern w:val="0"/>
                <w:szCs w:val="21"/>
              </w:rPr>
              <w:t>22</w:t>
            </w:r>
          </w:p>
        </w:tc>
        <w:tc>
          <w:tcPr>
            <w:tcW w:w="850" w:type="dxa"/>
            <w:noWrap w:val="0"/>
            <w:vAlign w:val="center"/>
          </w:tcPr>
          <w:p w14:paraId="6B164EED">
            <w:pPr>
              <w:jc w:val="center"/>
              <w:rPr>
                <w:rFonts w:eastAsia="楷体_GB2312"/>
                <w:color w:val="000000"/>
                <w:kern w:val="0"/>
                <w:szCs w:val="21"/>
              </w:rPr>
            </w:pPr>
            <w:r>
              <w:rPr>
                <w:rFonts w:eastAsia="楷体_GB2312"/>
                <w:color w:val="000000"/>
                <w:kern w:val="0"/>
                <w:szCs w:val="21"/>
              </w:rPr>
              <w:t>桃沟乡</w:t>
            </w:r>
          </w:p>
        </w:tc>
        <w:tc>
          <w:tcPr>
            <w:tcW w:w="567" w:type="dxa"/>
            <w:noWrap w:val="0"/>
            <w:vAlign w:val="center"/>
          </w:tcPr>
          <w:p w14:paraId="126C0AFF">
            <w:pPr>
              <w:jc w:val="center"/>
              <w:rPr>
                <w:color w:val="000000"/>
                <w:kern w:val="0"/>
                <w:szCs w:val="21"/>
              </w:rPr>
            </w:pPr>
            <w:r>
              <w:rPr>
                <w:color w:val="000000"/>
                <w:kern w:val="0"/>
                <w:szCs w:val="21"/>
              </w:rPr>
              <w:t>1</w:t>
            </w:r>
          </w:p>
        </w:tc>
        <w:tc>
          <w:tcPr>
            <w:tcW w:w="3686" w:type="dxa"/>
            <w:noWrap w:val="0"/>
            <w:vAlign w:val="center"/>
          </w:tcPr>
          <w:p w14:paraId="2C88EE0C">
            <w:pPr>
              <w:jc w:val="center"/>
              <w:rPr>
                <w:rFonts w:eastAsia="楷体_GB2312"/>
                <w:color w:val="000000"/>
                <w:kern w:val="0"/>
                <w:szCs w:val="21"/>
              </w:rPr>
            </w:pPr>
            <w:r>
              <w:rPr>
                <w:rFonts w:eastAsia="楷体_GB2312"/>
                <w:color w:val="000000"/>
                <w:kern w:val="0"/>
                <w:szCs w:val="21"/>
              </w:rPr>
              <w:t>宿州农村商业银行（桃沟支行）</w:t>
            </w:r>
          </w:p>
        </w:tc>
        <w:tc>
          <w:tcPr>
            <w:tcW w:w="850" w:type="dxa"/>
            <w:noWrap/>
            <w:vAlign w:val="center"/>
          </w:tcPr>
          <w:p w14:paraId="0CF59723">
            <w:pPr>
              <w:jc w:val="center"/>
              <w:rPr>
                <w:color w:val="000000"/>
                <w:kern w:val="0"/>
                <w:szCs w:val="21"/>
              </w:rPr>
            </w:pPr>
            <w:r>
              <w:rPr>
                <w:color w:val="000000"/>
                <w:kern w:val="0"/>
                <w:szCs w:val="21"/>
              </w:rPr>
              <w:t>1.0000</w:t>
            </w:r>
          </w:p>
        </w:tc>
        <w:tc>
          <w:tcPr>
            <w:tcW w:w="567" w:type="dxa"/>
            <w:noWrap/>
            <w:vAlign w:val="center"/>
          </w:tcPr>
          <w:p w14:paraId="71917ED1">
            <w:pPr>
              <w:jc w:val="center"/>
              <w:rPr>
                <w:color w:val="000000"/>
                <w:kern w:val="0"/>
                <w:szCs w:val="21"/>
              </w:rPr>
            </w:pPr>
            <w:r>
              <w:rPr>
                <w:color w:val="000000"/>
                <w:kern w:val="0"/>
                <w:szCs w:val="21"/>
              </w:rPr>
              <w:t>1</w:t>
            </w:r>
          </w:p>
        </w:tc>
        <w:tc>
          <w:tcPr>
            <w:tcW w:w="709" w:type="dxa"/>
            <w:noWrap/>
            <w:vAlign w:val="center"/>
          </w:tcPr>
          <w:p w14:paraId="6C33D85D">
            <w:pPr>
              <w:jc w:val="center"/>
              <w:rPr>
                <w:color w:val="000000"/>
                <w:kern w:val="0"/>
                <w:szCs w:val="21"/>
              </w:rPr>
            </w:pPr>
            <w:r>
              <w:rPr>
                <w:color w:val="000000"/>
                <w:kern w:val="0"/>
                <w:szCs w:val="21"/>
              </w:rPr>
              <w:t>100</w:t>
            </w:r>
          </w:p>
        </w:tc>
        <w:tc>
          <w:tcPr>
            <w:tcW w:w="1274" w:type="dxa"/>
            <w:noWrap/>
            <w:vAlign w:val="center"/>
          </w:tcPr>
          <w:p w14:paraId="20606A6C">
            <w:pPr>
              <w:jc w:val="center"/>
              <w:rPr>
                <w:color w:val="000000"/>
                <w:kern w:val="0"/>
                <w:szCs w:val="21"/>
              </w:rPr>
            </w:pPr>
            <w:r>
              <w:rPr>
                <w:rFonts w:hint="eastAsia"/>
                <w:color w:val="000000"/>
                <w:kern w:val="0"/>
                <w:szCs w:val="21"/>
              </w:rPr>
              <w:t>1000</w:t>
            </w:r>
          </w:p>
        </w:tc>
      </w:tr>
    </w:tbl>
    <w:p w14:paraId="44E77C4A">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4</w:t>
      </w:r>
      <w:bookmarkStart w:id="42" w:name="OLE_LINK2"/>
      <w:r>
        <w:rPr>
          <w:rFonts w:ascii="Times New Roman" w:hAnsi="Times New Roman" w:eastAsia="楷体_GB2312" w:cs="Times New Roman"/>
          <w:b/>
          <w:sz w:val="28"/>
        </w:rPr>
        <w:t>、农贸市场</w:t>
      </w:r>
      <w:bookmarkEnd w:id="42"/>
      <w:r>
        <w:rPr>
          <w:rFonts w:ascii="Times New Roman" w:hAnsi="Times New Roman" w:eastAsia="楷体_GB2312" w:cs="Times New Roman"/>
          <w:b/>
          <w:sz w:val="28"/>
        </w:rPr>
        <w:t>功能分和服务半径的确定</w:t>
      </w:r>
    </w:p>
    <w:p w14:paraId="64FA81D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农贸市场功能分和服务半径的确定步骤如下：</w:t>
      </w:r>
    </w:p>
    <w:p w14:paraId="709D4754">
      <w:pPr>
        <w:pStyle w:val="20"/>
        <w:spacing w:line="480" w:lineRule="exact"/>
        <w:ind w:firstLine="560" w:firstLineChars="200"/>
        <w:rPr>
          <w:rFonts w:ascii="Times New Roman" w:hAnsi="Times New Roman" w:eastAsia="楷体_GB2312" w:cs="Times New Roman"/>
          <w:sz w:val="28"/>
        </w:rPr>
      </w:pPr>
      <w:r>
        <w:rPr>
          <w:rFonts w:ascii="Times New Roman" w:hAnsi="Times New Roman" w:cs="Times New Roman"/>
          <w:sz w:val="28"/>
        </w:rPr>
        <w:t>（1）</w:t>
      </w:r>
      <w:r>
        <w:rPr>
          <w:rFonts w:ascii="Times New Roman" w:hAnsi="Times New Roman" w:eastAsia="楷体_GB2312" w:cs="Times New Roman"/>
          <w:sz w:val="28"/>
        </w:rPr>
        <w:t>按照各农贸市场的营业面积指标进行作用指数计算；</w:t>
      </w:r>
    </w:p>
    <w:p w14:paraId="08D062E6">
      <w:pPr>
        <w:pStyle w:val="20"/>
        <w:spacing w:line="480" w:lineRule="exact"/>
        <w:ind w:firstLine="560" w:firstLineChars="200"/>
        <w:rPr>
          <w:rFonts w:ascii="Times New Roman" w:hAnsi="Times New Roman" w:eastAsia="楷体_GB2312" w:cs="Times New Roman"/>
          <w:sz w:val="28"/>
        </w:rPr>
      </w:pPr>
      <w:r>
        <w:rPr>
          <w:rFonts w:ascii="Times New Roman" w:hAnsi="Times New Roman" w:cs="Times New Roman"/>
          <w:sz w:val="28"/>
        </w:rPr>
        <w:t>（2）</w:t>
      </w:r>
      <w:r>
        <w:rPr>
          <w:rFonts w:ascii="Times New Roman" w:hAnsi="Times New Roman" w:eastAsia="楷体_GB2312" w:cs="Times New Roman"/>
          <w:sz w:val="28"/>
        </w:rPr>
        <w:t>按照定量与定性相结合的原则，根据其功能及等级和影响力进行级别划分；</w:t>
      </w:r>
    </w:p>
    <w:p w14:paraId="382A1435">
      <w:pPr>
        <w:pStyle w:val="20"/>
        <w:spacing w:line="480" w:lineRule="exact"/>
        <w:ind w:firstLine="560" w:firstLineChars="200"/>
        <w:rPr>
          <w:rFonts w:ascii="Times New Roman" w:hAnsi="Times New Roman" w:eastAsia="楷体_GB2312" w:cs="Times New Roman"/>
          <w:sz w:val="28"/>
        </w:rPr>
      </w:pPr>
      <w:r>
        <w:rPr>
          <w:rFonts w:ascii="Times New Roman" w:hAnsi="Times New Roman" w:cs="Times New Roman"/>
          <w:sz w:val="28"/>
        </w:rPr>
        <w:t>（3）</w:t>
      </w:r>
      <w:r>
        <w:rPr>
          <w:rFonts w:ascii="Times New Roman" w:hAnsi="Times New Roman" w:eastAsia="楷体_GB2312" w:cs="Times New Roman"/>
          <w:sz w:val="28"/>
        </w:rPr>
        <w:t>对级别相同的农贸市场的作用指数求平均值，再对其进行最大值标准化，所得结果乘以100，得到各级农贸市场的功能分；</w:t>
      </w:r>
    </w:p>
    <w:p w14:paraId="54A75799">
      <w:pPr>
        <w:pStyle w:val="20"/>
        <w:spacing w:line="480" w:lineRule="exact"/>
        <w:ind w:firstLine="560" w:firstLineChars="200"/>
        <w:rPr>
          <w:rFonts w:ascii="Times New Roman" w:hAnsi="Times New Roman" w:eastAsia="楷体_GB2312" w:cs="Times New Roman"/>
          <w:sz w:val="28"/>
        </w:rPr>
      </w:pPr>
      <w:r>
        <w:rPr>
          <w:rFonts w:ascii="Times New Roman" w:hAnsi="Times New Roman" w:cs="Times New Roman"/>
          <w:sz w:val="28"/>
        </w:rPr>
        <w:t>（4）</w:t>
      </w:r>
      <w:r>
        <w:rPr>
          <w:rFonts w:ascii="Times New Roman" w:hAnsi="Times New Roman" w:eastAsia="楷体_GB2312" w:cs="Times New Roman"/>
          <w:sz w:val="28"/>
        </w:rPr>
        <w:t>农贸市场服务半径依据其数量分布状况、级别、影响力在0.3-3公里之间确定。结果见表1-3-</w:t>
      </w:r>
      <w:r>
        <w:rPr>
          <w:rFonts w:hint="eastAsia" w:ascii="Times New Roman" w:hAnsi="Times New Roman" w:eastAsia="楷体_GB2312" w:cs="Times New Roman"/>
          <w:sz w:val="28"/>
        </w:rPr>
        <w:t>46</w:t>
      </w:r>
      <w:r>
        <w:rPr>
          <w:rFonts w:ascii="Times New Roman" w:hAnsi="Times New Roman" w:eastAsia="楷体_GB2312" w:cs="Times New Roman"/>
          <w:sz w:val="28"/>
        </w:rPr>
        <w:t>：</w:t>
      </w:r>
    </w:p>
    <w:p w14:paraId="3E9C5BEA">
      <w:pPr>
        <w:spacing w:line="480" w:lineRule="exact"/>
        <w:jc w:val="center"/>
      </w:pPr>
      <w:r>
        <w:rPr>
          <w:rFonts w:eastAsia="黑体"/>
          <w:sz w:val="28"/>
        </w:rPr>
        <w:t>表1-3-</w:t>
      </w:r>
      <w:r>
        <w:rPr>
          <w:rFonts w:hint="eastAsia" w:eastAsia="黑体"/>
          <w:sz w:val="28"/>
        </w:rPr>
        <w:t>46</w:t>
      </w:r>
      <w:r>
        <w:rPr>
          <w:rFonts w:eastAsia="黑体"/>
          <w:sz w:val="28"/>
        </w:rPr>
        <w:t xml:space="preserve">  埇桥区各乡镇镇区农贸市场功能分及服务半径表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6"/>
        <w:gridCol w:w="1106"/>
        <w:gridCol w:w="1327"/>
        <w:gridCol w:w="2207"/>
        <w:gridCol w:w="886"/>
        <w:gridCol w:w="446"/>
        <w:gridCol w:w="666"/>
        <w:gridCol w:w="1548"/>
      </w:tblGrid>
      <w:tr w14:paraId="6221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0" w:type="auto"/>
            <w:noWrap w:val="0"/>
            <w:vAlign w:val="center"/>
          </w:tcPr>
          <w:p w14:paraId="38980793">
            <w:pPr>
              <w:ind w:left="-105" w:leftChars="-50" w:right="-105" w:rightChars="-50"/>
              <w:jc w:val="center"/>
              <w:rPr>
                <w:rFonts w:eastAsia="楷体_GB2312"/>
                <w:color w:val="000000"/>
                <w:kern w:val="0"/>
                <w:szCs w:val="21"/>
              </w:rPr>
            </w:pPr>
            <w:bookmarkStart w:id="43" w:name="_Toc388541429"/>
            <w:bookmarkStart w:id="44" w:name="_Toc62563659"/>
            <w:r>
              <w:rPr>
                <w:rFonts w:eastAsia="楷体_GB2312"/>
                <w:color w:val="000000"/>
                <w:kern w:val="0"/>
                <w:szCs w:val="21"/>
              </w:rPr>
              <w:t>城镇编号</w:t>
            </w:r>
          </w:p>
        </w:tc>
        <w:tc>
          <w:tcPr>
            <w:tcW w:w="0" w:type="auto"/>
            <w:noWrap w:val="0"/>
            <w:vAlign w:val="center"/>
          </w:tcPr>
          <w:p w14:paraId="2EB8561B">
            <w:pPr>
              <w:ind w:left="-105" w:leftChars="-50" w:right="-105" w:rightChars="-50"/>
              <w:jc w:val="center"/>
              <w:rPr>
                <w:rFonts w:eastAsia="楷体_GB2312"/>
                <w:color w:val="000000"/>
                <w:kern w:val="0"/>
                <w:szCs w:val="21"/>
              </w:rPr>
            </w:pPr>
            <w:r>
              <w:rPr>
                <w:rFonts w:eastAsia="楷体_GB2312"/>
                <w:color w:val="000000"/>
                <w:kern w:val="0"/>
                <w:szCs w:val="21"/>
              </w:rPr>
              <w:t>乡镇名称</w:t>
            </w:r>
          </w:p>
        </w:tc>
        <w:tc>
          <w:tcPr>
            <w:tcW w:w="0" w:type="auto"/>
            <w:noWrap w:val="0"/>
            <w:vAlign w:val="center"/>
          </w:tcPr>
          <w:p w14:paraId="76302071">
            <w:pPr>
              <w:ind w:left="-105" w:leftChars="-50" w:right="-105" w:rightChars="-50"/>
              <w:jc w:val="center"/>
              <w:rPr>
                <w:rFonts w:eastAsia="楷体_GB2312"/>
                <w:color w:val="000000"/>
                <w:kern w:val="0"/>
                <w:szCs w:val="21"/>
              </w:rPr>
            </w:pPr>
            <w:r>
              <w:rPr>
                <w:rFonts w:eastAsia="楷体_GB2312"/>
                <w:color w:val="000000"/>
                <w:kern w:val="0"/>
                <w:szCs w:val="21"/>
              </w:rPr>
              <w:t>农贸市场编号</w:t>
            </w:r>
          </w:p>
        </w:tc>
        <w:tc>
          <w:tcPr>
            <w:tcW w:w="0" w:type="auto"/>
            <w:noWrap w:val="0"/>
            <w:vAlign w:val="center"/>
          </w:tcPr>
          <w:p w14:paraId="67177052">
            <w:pPr>
              <w:ind w:left="-105" w:leftChars="-50" w:right="-105" w:rightChars="-50"/>
              <w:jc w:val="center"/>
              <w:rPr>
                <w:rFonts w:eastAsia="楷体_GB2312"/>
                <w:color w:val="000000"/>
                <w:kern w:val="0"/>
                <w:szCs w:val="21"/>
              </w:rPr>
            </w:pPr>
            <w:r>
              <w:rPr>
                <w:rFonts w:eastAsia="楷体_GB2312"/>
                <w:color w:val="000000"/>
                <w:kern w:val="0"/>
                <w:szCs w:val="21"/>
              </w:rPr>
              <w:t>农贸市场名称</w:t>
            </w:r>
          </w:p>
        </w:tc>
        <w:tc>
          <w:tcPr>
            <w:tcW w:w="0" w:type="auto"/>
            <w:noWrap w:val="0"/>
            <w:vAlign w:val="center"/>
          </w:tcPr>
          <w:p w14:paraId="4710EF17">
            <w:pPr>
              <w:ind w:left="-105" w:leftChars="-50" w:right="-105" w:rightChars="-50"/>
              <w:jc w:val="center"/>
              <w:rPr>
                <w:rFonts w:eastAsia="楷体_GB2312"/>
                <w:color w:val="000000"/>
                <w:kern w:val="0"/>
                <w:szCs w:val="21"/>
              </w:rPr>
            </w:pPr>
            <w:r>
              <w:rPr>
                <w:rFonts w:eastAsia="楷体_GB2312"/>
                <w:color w:val="000000"/>
                <w:kern w:val="0"/>
                <w:szCs w:val="21"/>
              </w:rPr>
              <w:t>作用指数</w:t>
            </w:r>
          </w:p>
        </w:tc>
        <w:tc>
          <w:tcPr>
            <w:tcW w:w="0" w:type="auto"/>
            <w:noWrap w:val="0"/>
            <w:vAlign w:val="center"/>
          </w:tcPr>
          <w:p w14:paraId="7B84196E">
            <w:pPr>
              <w:ind w:left="-105" w:leftChars="-50" w:right="-105" w:rightChars="-50"/>
              <w:jc w:val="center"/>
              <w:rPr>
                <w:rFonts w:eastAsia="楷体_GB2312"/>
                <w:color w:val="000000"/>
                <w:kern w:val="0"/>
                <w:szCs w:val="21"/>
              </w:rPr>
            </w:pPr>
            <w:r>
              <w:rPr>
                <w:rFonts w:eastAsia="楷体_GB2312"/>
                <w:color w:val="000000"/>
                <w:kern w:val="0"/>
                <w:szCs w:val="21"/>
              </w:rPr>
              <w:t>级别</w:t>
            </w:r>
          </w:p>
        </w:tc>
        <w:tc>
          <w:tcPr>
            <w:tcW w:w="0" w:type="auto"/>
            <w:noWrap w:val="0"/>
            <w:vAlign w:val="center"/>
          </w:tcPr>
          <w:p w14:paraId="25FDD021">
            <w:pPr>
              <w:ind w:left="-105" w:leftChars="-50" w:right="-105" w:rightChars="-50"/>
              <w:jc w:val="center"/>
              <w:rPr>
                <w:rFonts w:eastAsia="楷体_GB2312"/>
                <w:color w:val="000000"/>
                <w:kern w:val="0"/>
                <w:szCs w:val="21"/>
              </w:rPr>
            </w:pPr>
            <w:r>
              <w:rPr>
                <w:rFonts w:eastAsia="楷体_GB2312"/>
                <w:color w:val="000000"/>
                <w:kern w:val="0"/>
                <w:szCs w:val="21"/>
              </w:rPr>
              <w:t>功能分</w:t>
            </w:r>
          </w:p>
        </w:tc>
        <w:tc>
          <w:tcPr>
            <w:tcW w:w="0" w:type="auto"/>
            <w:noWrap w:val="0"/>
            <w:vAlign w:val="center"/>
          </w:tcPr>
          <w:p w14:paraId="4F78AD9A">
            <w:pPr>
              <w:ind w:left="-105" w:leftChars="-50" w:right="-105" w:rightChars="-50"/>
              <w:jc w:val="center"/>
              <w:rPr>
                <w:rFonts w:eastAsia="楷体_GB2312"/>
                <w:color w:val="000000"/>
                <w:kern w:val="0"/>
                <w:szCs w:val="21"/>
              </w:rPr>
            </w:pPr>
            <w:r>
              <w:rPr>
                <w:rFonts w:eastAsia="楷体_GB2312"/>
                <w:color w:val="000000"/>
                <w:kern w:val="0"/>
                <w:szCs w:val="21"/>
              </w:rPr>
              <w:t>影响半径（米）</w:t>
            </w:r>
          </w:p>
        </w:tc>
      </w:tr>
      <w:tr w14:paraId="7D220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656D1EDA">
            <w:pPr>
              <w:jc w:val="center"/>
              <w:rPr>
                <w:color w:val="000000"/>
                <w:kern w:val="0"/>
                <w:szCs w:val="21"/>
              </w:rPr>
            </w:pPr>
            <w:r>
              <w:rPr>
                <w:color w:val="000000"/>
                <w:kern w:val="0"/>
                <w:szCs w:val="21"/>
              </w:rPr>
              <w:t>1</w:t>
            </w:r>
          </w:p>
        </w:tc>
        <w:tc>
          <w:tcPr>
            <w:tcW w:w="0" w:type="auto"/>
            <w:noWrap w:val="0"/>
            <w:vAlign w:val="center"/>
          </w:tcPr>
          <w:p w14:paraId="6216EA08">
            <w:pPr>
              <w:jc w:val="center"/>
              <w:rPr>
                <w:rFonts w:eastAsia="楷体_GB2312"/>
                <w:color w:val="000000"/>
                <w:kern w:val="0"/>
                <w:szCs w:val="21"/>
              </w:rPr>
            </w:pPr>
            <w:r>
              <w:rPr>
                <w:rFonts w:eastAsia="楷体_GB2312"/>
                <w:color w:val="000000"/>
                <w:kern w:val="0"/>
                <w:szCs w:val="21"/>
              </w:rPr>
              <w:t>符离镇</w:t>
            </w:r>
          </w:p>
        </w:tc>
        <w:tc>
          <w:tcPr>
            <w:tcW w:w="0" w:type="auto"/>
            <w:noWrap w:val="0"/>
            <w:vAlign w:val="center"/>
          </w:tcPr>
          <w:p w14:paraId="11864F01">
            <w:pPr>
              <w:jc w:val="center"/>
              <w:rPr>
                <w:color w:val="000000"/>
                <w:kern w:val="0"/>
                <w:szCs w:val="21"/>
              </w:rPr>
            </w:pPr>
            <w:r>
              <w:rPr>
                <w:color w:val="000000"/>
                <w:kern w:val="0"/>
                <w:szCs w:val="21"/>
              </w:rPr>
              <w:t>1</w:t>
            </w:r>
          </w:p>
        </w:tc>
        <w:tc>
          <w:tcPr>
            <w:tcW w:w="0" w:type="auto"/>
            <w:noWrap w:val="0"/>
            <w:vAlign w:val="center"/>
          </w:tcPr>
          <w:p w14:paraId="5AACFDFE">
            <w:pPr>
              <w:jc w:val="center"/>
              <w:rPr>
                <w:rFonts w:eastAsia="楷体_GB2312"/>
                <w:color w:val="000000"/>
                <w:kern w:val="0"/>
                <w:szCs w:val="21"/>
              </w:rPr>
            </w:pPr>
            <w:r>
              <w:rPr>
                <w:rFonts w:eastAsia="楷体_GB2312"/>
                <w:color w:val="000000"/>
                <w:kern w:val="0"/>
                <w:szCs w:val="21"/>
              </w:rPr>
              <w:t>永胜农贸市场</w:t>
            </w:r>
          </w:p>
        </w:tc>
        <w:tc>
          <w:tcPr>
            <w:tcW w:w="0" w:type="auto"/>
            <w:noWrap/>
            <w:vAlign w:val="center"/>
          </w:tcPr>
          <w:p w14:paraId="4FAB0AD1">
            <w:pPr>
              <w:jc w:val="center"/>
              <w:rPr>
                <w:color w:val="000000"/>
                <w:kern w:val="0"/>
                <w:szCs w:val="21"/>
              </w:rPr>
            </w:pPr>
            <w:r>
              <w:rPr>
                <w:color w:val="000000"/>
                <w:kern w:val="0"/>
                <w:szCs w:val="21"/>
              </w:rPr>
              <w:t>1.0000</w:t>
            </w:r>
          </w:p>
        </w:tc>
        <w:tc>
          <w:tcPr>
            <w:tcW w:w="0" w:type="auto"/>
            <w:noWrap/>
            <w:vAlign w:val="center"/>
          </w:tcPr>
          <w:p w14:paraId="199F29A1">
            <w:pPr>
              <w:jc w:val="center"/>
              <w:rPr>
                <w:color w:val="000000"/>
                <w:kern w:val="0"/>
                <w:szCs w:val="21"/>
              </w:rPr>
            </w:pPr>
            <w:r>
              <w:rPr>
                <w:color w:val="000000"/>
                <w:kern w:val="0"/>
                <w:szCs w:val="21"/>
              </w:rPr>
              <w:t>1</w:t>
            </w:r>
          </w:p>
        </w:tc>
        <w:tc>
          <w:tcPr>
            <w:tcW w:w="0" w:type="auto"/>
            <w:noWrap/>
            <w:vAlign w:val="center"/>
          </w:tcPr>
          <w:p w14:paraId="0F6085A0">
            <w:pPr>
              <w:jc w:val="center"/>
              <w:rPr>
                <w:color w:val="000000"/>
                <w:kern w:val="0"/>
                <w:szCs w:val="21"/>
              </w:rPr>
            </w:pPr>
            <w:r>
              <w:rPr>
                <w:color w:val="000000"/>
                <w:kern w:val="0"/>
                <w:szCs w:val="21"/>
              </w:rPr>
              <w:t>100</w:t>
            </w:r>
          </w:p>
        </w:tc>
        <w:tc>
          <w:tcPr>
            <w:tcW w:w="0" w:type="auto"/>
            <w:noWrap/>
            <w:vAlign w:val="center"/>
          </w:tcPr>
          <w:p w14:paraId="3C07CD1E">
            <w:pPr>
              <w:jc w:val="center"/>
              <w:rPr>
                <w:color w:val="000000"/>
                <w:kern w:val="0"/>
                <w:szCs w:val="21"/>
              </w:rPr>
            </w:pPr>
            <w:r>
              <w:rPr>
                <w:rFonts w:hint="eastAsia"/>
                <w:color w:val="000000"/>
                <w:kern w:val="0"/>
                <w:szCs w:val="21"/>
              </w:rPr>
              <w:t>3000</w:t>
            </w:r>
          </w:p>
        </w:tc>
      </w:tr>
      <w:tr w14:paraId="26C40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6A3B7122">
            <w:pPr>
              <w:jc w:val="center"/>
              <w:rPr>
                <w:color w:val="000000"/>
                <w:kern w:val="0"/>
                <w:szCs w:val="21"/>
              </w:rPr>
            </w:pPr>
            <w:r>
              <w:rPr>
                <w:color w:val="000000"/>
                <w:kern w:val="0"/>
                <w:szCs w:val="21"/>
              </w:rPr>
              <w:t>2</w:t>
            </w:r>
          </w:p>
        </w:tc>
        <w:tc>
          <w:tcPr>
            <w:tcW w:w="0" w:type="auto"/>
            <w:noWrap w:val="0"/>
            <w:vAlign w:val="center"/>
          </w:tcPr>
          <w:p w14:paraId="0DF37742">
            <w:pPr>
              <w:jc w:val="center"/>
              <w:rPr>
                <w:rFonts w:eastAsia="楷体_GB2312"/>
                <w:color w:val="000000"/>
                <w:kern w:val="0"/>
                <w:szCs w:val="21"/>
              </w:rPr>
            </w:pPr>
            <w:r>
              <w:rPr>
                <w:rFonts w:eastAsia="楷体_GB2312"/>
                <w:color w:val="000000"/>
                <w:kern w:val="0"/>
                <w:szCs w:val="21"/>
              </w:rPr>
              <w:t>朱仙庄镇</w:t>
            </w:r>
          </w:p>
        </w:tc>
        <w:tc>
          <w:tcPr>
            <w:tcW w:w="0" w:type="auto"/>
            <w:noWrap w:val="0"/>
            <w:vAlign w:val="center"/>
          </w:tcPr>
          <w:p w14:paraId="1A31E7D7">
            <w:pPr>
              <w:jc w:val="center"/>
              <w:rPr>
                <w:color w:val="000000"/>
                <w:kern w:val="0"/>
                <w:szCs w:val="21"/>
              </w:rPr>
            </w:pPr>
            <w:r>
              <w:rPr>
                <w:color w:val="000000"/>
                <w:kern w:val="0"/>
                <w:szCs w:val="21"/>
              </w:rPr>
              <w:t>1</w:t>
            </w:r>
          </w:p>
        </w:tc>
        <w:tc>
          <w:tcPr>
            <w:tcW w:w="0" w:type="auto"/>
            <w:noWrap w:val="0"/>
            <w:vAlign w:val="center"/>
          </w:tcPr>
          <w:p w14:paraId="572C8BCA">
            <w:pPr>
              <w:jc w:val="center"/>
              <w:rPr>
                <w:rFonts w:eastAsia="楷体_GB2312"/>
                <w:color w:val="000000"/>
                <w:kern w:val="0"/>
                <w:szCs w:val="21"/>
              </w:rPr>
            </w:pPr>
            <w:r>
              <w:rPr>
                <w:rFonts w:eastAsia="楷体_GB2312"/>
                <w:color w:val="000000"/>
                <w:kern w:val="0"/>
                <w:szCs w:val="21"/>
              </w:rPr>
              <w:t>周庄大市场</w:t>
            </w:r>
          </w:p>
        </w:tc>
        <w:tc>
          <w:tcPr>
            <w:tcW w:w="0" w:type="auto"/>
            <w:noWrap/>
            <w:vAlign w:val="center"/>
          </w:tcPr>
          <w:p w14:paraId="7AB13ED1">
            <w:pPr>
              <w:jc w:val="center"/>
              <w:rPr>
                <w:color w:val="000000"/>
                <w:kern w:val="0"/>
                <w:szCs w:val="21"/>
              </w:rPr>
            </w:pPr>
            <w:r>
              <w:rPr>
                <w:color w:val="000000"/>
                <w:kern w:val="0"/>
                <w:szCs w:val="21"/>
              </w:rPr>
              <w:t>1.0000</w:t>
            </w:r>
          </w:p>
        </w:tc>
        <w:tc>
          <w:tcPr>
            <w:tcW w:w="0" w:type="auto"/>
            <w:noWrap/>
            <w:vAlign w:val="center"/>
          </w:tcPr>
          <w:p w14:paraId="51E47BFE">
            <w:pPr>
              <w:jc w:val="center"/>
              <w:rPr>
                <w:color w:val="000000"/>
                <w:kern w:val="0"/>
                <w:szCs w:val="21"/>
              </w:rPr>
            </w:pPr>
            <w:r>
              <w:rPr>
                <w:color w:val="000000"/>
                <w:kern w:val="0"/>
                <w:szCs w:val="21"/>
              </w:rPr>
              <w:t>1</w:t>
            </w:r>
          </w:p>
        </w:tc>
        <w:tc>
          <w:tcPr>
            <w:tcW w:w="0" w:type="auto"/>
            <w:noWrap/>
            <w:vAlign w:val="center"/>
          </w:tcPr>
          <w:p w14:paraId="7F7CEA2E">
            <w:pPr>
              <w:jc w:val="center"/>
              <w:rPr>
                <w:color w:val="000000"/>
                <w:kern w:val="0"/>
                <w:szCs w:val="21"/>
              </w:rPr>
            </w:pPr>
            <w:r>
              <w:rPr>
                <w:color w:val="000000"/>
                <w:kern w:val="0"/>
                <w:szCs w:val="21"/>
              </w:rPr>
              <w:t>100</w:t>
            </w:r>
          </w:p>
        </w:tc>
        <w:tc>
          <w:tcPr>
            <w:tcW w:w="0" w:type="auto"/>
            <w:noWrap/>
            <w:vAlign w:val="center"/>
          </w:tcPr>
          <w:p w14:paraId="1E29265A">
            <w:pPr>
              <w:jc w:val="center"/>
              <w:rPr>
                <w:color w:val="000000"/>
                <w:kern w:val="0"/>
                <w:szCs w:val="21"/>
              </w:rPr>
            </w:pPr>
            <w:r>
              <w:rPr>
                <w:rFonts w:hint="eastAsia"/>
                <w:color w:val="000000"/>
                <w:kern w:val="0"/>
                <w:szCs w:val="21"/>
              </w:rPr>
              <w:t>3000</w:t>
            </w:r>
          </w:p>
        </w:tc>
      </w:tr>
      <w:tr w14:paraId="65782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42E26C94">
            <w:pPr>
              <w:jc w:val="center"/>
              <w:rPr>
                <w:color w:val="000000"/>
                <w:kern w:val="0"/>
                <w:szCs w:val="21"/>
              </w:rPr>
            </w:pPr>
            <w:r>
              <w:rPr>
                <w:color w:val="000000"/>
                <w:kern w:val="0"/>
                <w:szCs w:val="21"/>
              </w:rPr>
              <w:t>3</w:t>
            </w:r>
          </w:p>
        </w:tc>
        <w:tc>
          <w:tcPr>
            <w:tcW w:w="0" w:type="auto"/>
            <w:vMerge w:val="restart"/>
            <w:noWrap w:val="0"/>
            <w:vAlign w:val="center"/>
          </w:tcPr>
          <w:p w14:paraId="3FF20EDB">
            <w:pPr>
              <w:jc w:val="center"/>
              <w:rPr>
                <w:rFonts w:eastAsia="楷体_GB2312"/>
                <w:color w:val="000000"/>
                <w:kern w:val="0"/>
                <w:szCs w:val="21"/>
              </w:rPr>
            </w:pPr>
            <w:r>
              <w:rPr>
                <w:rFonts w:eastAsia="楷体_GB2312"/>
                <w:color w:val="000000"/>
                <w:kern w:val="0"/>
                <w:szCs w:val="21"/>
              </w:rPr>
              <w:t>蕲县镇</w:t>
            </w:r>
          </w:p>
        </w:tc>
        <w:tc>
          <w:tcPr>
            <w:tcW w:w="0" w:type="auto"/>
            <w:noWrap w:val="0"/>
            <w:vAlign w:val="center"/>
          </w:tcPr>
          <w:p w14:paraId="30E28C20">
            <w:pPr>
              <w:jc w:val="center"/>
              <w:rPr>
                <w:color w:val="000000"/>
                <w:kern w:val="0"/>
                <w:szCs w:val="21"/>
              </w:rPr>
            </w:pPr>
            <w:r>
              <w:rPr>
                <w:color w:val="000000"/>
                <w:kern w:val="0"/>
                <w:szCs w:val="21"/>
              </w:rPr>
              <w:t>1</w:t>
            </w:r>
          </w:p>
        </w:tc>
        <w:tc>
          <w:tcPr>
            <w:tcW w:w="0" w:type="auto"/>
            <w:noWrap w:val="0"/>
            <w:vAlign w:val="center"/>
          </w:tcPr>
          <w:p w14:paraId="1FB59C33">
            <w:pPr>
              <w:jc w:val="center"/>
              <w:rPr>
                <w:rFonts w:eastAsia="楷体_GB2312"/>
                <w:color w:val="000000"/>
                <w:kern w:val="0"/>
                <w:szCs w:val="21"/>
              </w:rPr>
            </w:pPr>
            <w:r>
              <w:rPr>
                <w:rFonts w:eastAsia="楷体_GB2312"/>
                <w:color w:val="000000"/>
                <w:kern w:val="0"/>
                <w:szCs w:val="21"/>
              </w:rPr>
              <w:t>祁南矿工人村菜市场</w:t>
            </w:r>
          </w:p>
        </w:tc>
        <w:tc>
          <w:tcPr>
            <w:tcW w:w="0" w:type="auto"/>
            <w:noWrap/>
            <w:vAlign w:val="center"/>
          </w:tcPr>
          <w:p w14:paraId="214C5E4E">
            <w:pPr>
              <w:jc w:val="center"/>
              <w:rPr>
                <w:color w:val="000000"/>
                <w:kern w:val="0"/>
                <w:szCs w:val="21"/>
              </w:rPr>
            </w:pPr>
            <w:r>
              <w:rPr>
                <w:color w:val="000000"/>
                <w:kern w:val="0"/>
                <w:szCs w:val="21"/>
              </w:rPr>
              <w:t>0.9107</w:t>
            </w:r>
          </w:p>
        </w:tc>
        <w:tc>
          <w:tcPr>
            <w:tcW w:w="0" w:type="auto"/>
            <w:noWrap/>
            <w:vAlign w:val="center"/>
          </w:tcPr>
          <w:p w14:paraId="5E7CAEF3">
            <w:pPr>
              <w:jc w:val="center"/>
              <w:rPr>
                <w:color w:val="000000"/>
                <w:kern w:val="0"/>
                <w:szCs w:val="21"/>
              </w:rPr>
            </w:pPr>
            <w:r>
              <w:rPr>
                <w:color w:val="000000"/>
                <w:kern w:val="0"/>
                <w:szCs w:val="21"/>
              </w:rPr>
              <w:t>2</w:t>
            </w:r>
          </w:p>
        </w:tc>
        <w:tc>
          <w:tcPr>
            <w:tcW w:w="0" w:type="auto"/>
            <w:noWrap/>
            <w:vAlign w:val="center"/>
          </w:tcPr>
          <w:p w14:paraId="7241F6D3">
            <w:pPr>
              <w:jc w:val="center"/>
              <w:rPr>
                <w:color w:val="000000"/>
                <w:kern w:val="0"/>
                <w:szCs w:val="21"/>
              </w:rPr>
            </w:pPr>
            <w:r>
              <w:rPr>
                <w:color w:val="000000"/>
                <w:kern w:val="0"/>
                <w:szCs w:val="21"/>
              </w:rPr>
              <w:t>91</w:t>
            </w:r>
          </w:p>
        </w:tc>
        <w:tc>
          <w:tcPr>
            <w:tcW w:w="0" w:type="auto"/>
            <w:noWrap/>
            <w:vAlign w:val="center"/>
          </w:tcPr>
          <w:p w14:paraId="458E0706">
            <w:pPr>
              <w:jc w:val="center"/>
              <w:rPr>
                <w:color w:val="000000"/>
                <w:kern w:val="0"/>
                <w:szCs w:val="21"/>
              </w:rPr>
            </w:pPr>
            <w:r>
              <w:rPr>
                <w:rFonts w:hint="eastAsia"/>
                <w:color w:val="000000"/>
                <w:kern w:val="0"/>
                <w:szCs w:val="21"/>
              </w:rPr>
              <w:t>1700</w:t>
            </w:r>
          </w:p>
        </w:tc>
      </w:tr>
      <w:tr w14:paraId="58F1A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4194BC65">
            <w:pPr>
              <w:jc w:val="center"/>
              <w:rPr>
                <w:color w:val="000000"/>
                <w:kern w:val="0"/>
                <w:szCs w:val="21"/>
              </w:rPr>
            </w:pPr>
          </w:p>
        </w:tc>
        <w:tc>
          <w:tcPr>
            <w:tcW w:w="0" w:type="auto"/>
            <w:vMerge w:val="continue"/>
            <w:noWrap w:val="0"/>
            <w:vAlign w:val="center"/>
          </w:tcPr>
          <w:p w14:paraId="2267F74B">
            <w:pPr>
              <w:jc w:val="center"/>
              <w:rPr>
                <w:rFonts w:eastAsia="楷体_GB2312"/>
                <w:color w:val="000000"/>
                <w:kern w:val="0"/>
                <w:szCs w:val="21"/>
              </w:rPr>
            </w:pPr>
          </w:p>
        </w:tc>
        <w:tc>
          <w:tcPr>
            <w:tcW w:w="0" w:type="auto"/>
            <w:noWrap w:val="0"/>
            <w:vAlign w:val="center"/>
          </w:tcPr>
          <w:p w14:paraId="21B26111">
            <w:pPr>
              <w:jc w:val="center"/>
              <w:rPr>
                <w:color w:val="000000"/>
                <w:kern w:val="0"/>
                <w:szCs w:val="21"/>
              </w:rPr>
            </w:pPr>
            <w:r>
              <w:rPr>
                <w:color w:val="000000"/>
                <w:kern w:val="0"/>
                <w:szCs w:val="21"/>
              </w:rPr>
              <w:t>2</w:t>
            </w:r>
          </w:p>
        </w:tc>
        <w:tc>
          <w:tcPr>
            <w:tcW w:w="0" w:type="auto"/>
            <w:noWrap w:val="0"/>
            <w:vAlign w:val="center"/>
          </w:tcPr>
          <w:p w14:paraId="60AC6C50">
            <w:pPr>
              <w:jc w:val="center"/>
              <w:rPr>
                <w:rFonts w:eastAsia="楷体_GB2312"/>
                <w:color w:val="000000"/>
                <w:kern w:val="0"/>
                <w:szCs w:val="21"/>
              </w:rPr>
            </w:pPr>
            <w:r>
              <w:rPr>
                <w:rFonts w:eastAsia="楷体_GB2312"/>
                <w:color w:val="000000"/>
                <w:kern w:val="0"/>
                <w:szCs w:val="21"/>
              </w:rPr>
              <w:t>蕲县镇农贸市场</w:t>
            </w:r>
          </w:p>
        </w:tc>
        <w:tc>
          <w:tcPr>
            <w:tcW w:w="0" w:type="auto"/>
            <w:noWrap/>
            <w:vAlign w:val="center"/>
          </w:tcPr>
          <w:p w14:paraId="65CDC41E">
            <w:pPr>
              <w:jc w:val="center"/>
              <w:rPr>
                <w:color w:val="000000"/>
                <w:kern w:val="0"/>
                <w:szCs w:val="21"/>
              </w:rPr>
            </w:pPr>
            <w:r>
              <w:rPr>
                <w:color w:val="000000"/>
                <w:kern w:val="0"/>
                <w:szCs w:val="21"/>
              </w:rPr>
              <w:t>1.0000</w:t>
            </w:r>
          </w:p>
        </w:tc>
        <w:tc>
          <w:tcPr>
            <w:tcW w:w="0" w:type="auto"/>
            <w:noWrap/>
            <w:vAlign w:val="center"/>
          </w:tcPr>
          <w:p w14:paraId="1FDABD56">
            <w:pPr>
              <w:jc w:val="center"/>
              <w:rPr>
                <w:color w:val="000000"/>
                <w:kern w:val="0"/>
                <w:szCs w:val="21"/>
              </w:rPr>
            </w:pPr>
            <w:r>
              <w:rPr>
                <w:color w:val="000000"/>
                <w:kern w:val="0"/>
                <w:szCs w:val="21"/>
              </w:rPr>
              <w:t>1</w:t>
            </w:r>
          </w:p>
        </w:tc>
        <w:tc>
          <w:tcPr>
            <w:tcW w:w="0" w:type="auto"/>
            <w:noWrap/>
            <w:vAlign w:val="center"/>
          </w:tcPr>
          <w:p w14:paraId="483E2A2B">
            <w:pPr>
              <w:jc w:val="center"/>
              <w:rPr>
                <w:color w:val="000000"/>
                <w:kern w:val="0"/>
                <w:szCs w:val="21"/>
              </w:rPr>
            </w:pPr>
            <w:r>
              <w:rPr>
                <w:color w:val="000000"/>
                <w:kern w:val="0"/>
                <w:szCs w:val="21"/>
              </w:rPr>
              <w:t>100</w:t>
            </w:r>
          </w:p>
        </w:tc>
        <w:tc>
          <w:tcPr>
            <w:tcW w:w="0" w:type="auto"/>
            <w:noWrap/>
            <w:vAlign w:val="center"/>
          </w:tcPr>
          <w:p w14:paraId="429DDD3D">
            <w:pPr>
              <w:jc w:val="center"/>
              <w:rPr>
                <w:color w:val="000000"/>
                <w:kern w:val="0"/>
                <w:szCs w:val="21"/>
              </w:rPr>
            </w:pPr>
            <w:r>
              <w:rPr>
                <w:rFonts w:hint="eastAsia"/>
                <w:color w:val="000000"/>
                <w:kern w:val="0"/>
                <w:szCs w:val="21"/>
              </w:rPr>
              <w:t>1800</w:t>
            </w:r>
          </w:p>
        </w:tc>
      </w:tr>
      <w:tr w14:paraId="340C8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3E9F7717">
            <w:pPr>
              <w:jc w:val="center"/>
              <w:rPr>
                <w:color w:val="000000"/>
                <w:kern w:val="0"/>
                <w:szCs w:val="21"/>
              </w:rPr>
            </w:pPr>
            <w:r>
              <w:rPr>
                <w:color w:val="000000"/>
                <w:kern w:val="0"/>
                <w:szCs w:val="21"/>
              </w:rPr>
              <w:t>4</w:t>
            </w:r>
          </w:p>
        </w:tc>
        <w:tc>
          <w:tcPr>
            <w:tcW w:w="0" w:type="auto"/>
            <w:noWrap w:val="0"/>
            <w:vAlign w:val="center"/>
          </w:tcPr>
          <w:p w14:paraId="43D7A06B">
            <w:pPr>
              <w:jc w:val="center"/>
              <w:rPr>
                <w:rFonts w:eastAsia="楷体_GB2312"/>
                <w:color w:val="000000"/>
                <w:kern w:val="0"/>
                <w:szCs w:val="21"/>
              </w:rPr>
            </w:pPr>
            <w:r>
              <w:rPr>
                <w:rFonts w:eastAsia="楷体_GB2312"/>
                <w:color w:val="000000"/>
                <w:kern w:val="0"/>
                <w:szCs w:val="21"/>
              </w:rPr>
              <w:t>芦岭镇</w:t>
            </w:r>
          </w:p>
        </w:tc>
        <w:tc>
          <w:tcPr>
            <w:tcW w:w="0" w:type="auto"/>
            <w:noWrap w:val="0"/>
            <w:vAlign w:val="center"/>
          </w:tcPr>
          <w:p w14:paraId="074A4AC5">
            <w:pPr>
              <w:jc w:val="center"/>
              <w:rPr>
                <w:color w:val="000000"/>
                <w:kern w:val="0"/>
                <w:szCs w:val="21"/>
              </w:rPr>
            </w:pPr>
            <w:r>
              <w:rPr>
                <w:color w:val="000000"/>
                <w:kern w:val="0"/>
                <w:szCs w:val="21"/>
              </w:rPr>
              <w:t>1</w:t>
            </w:r>
          </w:p>
        </w:tc>
        <w:tc>
          <w:tcPr>
            <w:tcW w:w="0" w:type="auto"/>
            <w:noWrap w:val="0"/>
            <w:vAlign w:val="center"/>
          </w:tcPr>
          <w:p w14:paraId="378BC22A">
            <w:pPr>
              <w:jc w:val="center"/>
              <w:rPr>
                <w:rFonts w:eastAsia="楷体_GB2312"/>
                <w:color w:val="000000"/>
                <w:kern w:val="0"/>
                <w:szCs w:val="21"/>
              </w:rPr>
            </w:pPr>
            <w:r>
              <w:rPr>
                <w:rFonts w:eastAsia="楷体_GB2312"/>
                <w:color w:val="000000"/>
                <w:kern w:val="0"/>
                <w:szCs w:val="21"/>
              </w:rPr>
              <w:t>芦岭西菜市场</w:t>
            </w:r>
          </w:p>
        </w:tc>
        <w:tc>
          <w:tcPr>
            <w:tcW w:w="0" w:type="auto"/>
            <w:noWrap/>
            <w:vAlign w:val="center"/>
          </w:tcPr>
          <w:p w14:paraId="3164CC59">
            <w:pPr>
              <w:jc w:val="center"/>
              <w:rPr>
                <w:color w:val="000000"/>
                <w:kern w:val="0"/>
                <w:szCs w:val="21"/>
              </w:rPr>
            </w:pPr>
            <w:r>
              <w:rPr>
                <w:color w:val="000000"/>
                <w:kern w:val="0"/>
                <w:szCs w:val="21"/>
              </w:rPr>
              <w:t>1.0000</w:t>
            </w:r>
          </w:p>
        </w:tc>
        <w:tc>
          <w:tcPr>
            <w:tcW w:w="0" w:type="auto"/>
            <w:noWrap/>
            <w:vAlign w:val="center"/>
          </w:tcPr>
          <w:p w14:paraId="349CDECA">
            <w:pPr>
              <w:jc w:val="center"/>
              <w:rPr>
                <w:color w:val="000000"/>
                <w:kern w:val="0"/>
                <w:szCs w:val="21"/>
              </w:rPr>
            </w:pPr>
            <w:r>
              <w:rPr>
                <w:color w:val="000000"/>
                <w:kern w:val="0"/>
                <w:szCs w:val="21"/>
              </w:rPr>
              <w:t>1</w:t>
            </w:r>
          </w:p>
        </w:tc>
        <w:tc>
          <w:tcPr>
            <w:tcW w:w="0" w:type="auto"/>
            <w:noWrap/>
            <w:vAlign w:val="center"/>
          </w:tcPr>
          <w:p w14:paraId="2A8EE7A9">
            <w:pPr>
              <w:jc w:val="center"/>
              <w:rPr>
                <w:color w:val="000000"/>
                <w:kern w:val="0"/>
                <w:szCs w:val="21"/>
              </w:rPr>
            </w:pPr>
            <w:r>
              <w:rPr>
                <w:color w:val="000000"/>
                <w:kern w:val="0"/>
                <w:szCs w:val="21"/>
              </w:rPr>
              <w:t>100</w:t>
            </w:r>
          </w:p>
        </w:tc>
        <w:tc>
          <w:tcPr>
            <w:tcW w:w="0" w:type="auto"/>
            <w:noWrap/>
            <w:vAlign w:val="center"/>
          </w:tcPr>
          <w:p w14:paraId="5B6C9E34">
            <w:pPr>
              <w:jc w:val="center"/>
              <w:rPr>
                <w:color w:val="000000"/>
                <w:kern w:val="0"/>
                <w:szCs w:val="21"/>
              </w:rPr>
            </w:pPr>
            <w:r>
              <w:rPr>
                <w:rFonts w:hint="eastAsia"/>
                <w:color w:val="000000"/>
                <w:kern w:val="0"/>
                <w:szCs w:val="21"/>
              </w:rPr>
              <w:t>1900</w:t>
            </w:r>
          </w:p>
        </w:tc>
      </w:tr>
      <w:tr w14:paraId="34FC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7D50C8CD">
            <w:pPr>
              <w:jc w:val="center"/>
              <w:rPr>
                <w:color w:val="000000"/>
                <w:kern w:val="0"/>
                <w:szCs w:val="21"/>
              </w:rPr>
            </w:pPr>
            <w:r>
              <w:rPr>
                <w:color w:val="000000"/>
                <w:kern w:val="0"/>
                <w:szCs w:val="21"/>
              </w:rPr>
              <w:t>5</w:t>
            </w:r>
          </w:p>
        </w:tc>
        <w:tc>
          <w:tcPr>
            <w:tcW w:w="0" w:type="auto"/>
            <w:noWrap w:val="0"/>
            <w:vAlign w:val="center"/>
          </w:tcPr>
          <w:p w14:paraId="38BA72F1">
            <w:pPr>
              <w:jc w:val="center"/>
              <w:rPr>
                <w:rFonts w:eastAsia="楷体_GB2312"/>
                <w:color w:val="000000"/>
                <w:kern w:val="0"/>
                <w:szCs w:val="21"/>
              </w:rPr>
            </w:pPr>
            <w:r>
              <w:rPr>
                <w:rFonts w:eastAsia="楷体_GB2312"/>
                <w:color w:val="000000"/>
                <w:kern w:val="0"/>
                <w:szCs w:val="21"/>
              </w:rPr>
              <w:t>大店镇</w:t>
            </w:r>
          </w:p>
        </w:tc>
        <w:tc>
          <w:tcPr>
            <w:tcW w:w="0" w:type="auto"/>
            <w:noWrap w:val="0"/>
            <w:vAlign w:val="center"/>
          </w:tcPr>
          <w:p w14:paraId="7FBF6EB3">
            <w:pPr>
              <w:jc w:val="center"/>
              <w:rPr>
                <w:color w:val="000000"/>
                <w:kern w:val="0"/>
                <w:szCs w:val="21"/>
              </w:rPr>
            </w:pPr>
            <w:r>
              <w:rPr>
                <w:color w:val="000000"/>
                <w:kern w:val="0"/>
                <w:szCs w:val="21"/>
              </w:rPr>
              <w:t>1</w:t>
            </w:r>
          </w:p>
        </w:tc>
        <w:tc>
          <w:tcPr>
            <w:tcW w:w="0" w:type="auto"/>
            <w:noWrap w:val="0"/>
            <w:vAlign w:val="center"/>
          </w:tcPr>
          <w:p w14:paraId="3B481B5A">
            <w:pPr>
              <w:jc w:val="center"/>
              <w:rPr>
                <w:rFonts w:eastAsia="楷体_GB2312"/>
                <w:color w:val="000000"/>
                <w:kern w:val="0"/>
                <w:szCs w:val="21"/>
              </w:rPr>
            </w:pPr>
            <w:r>
              <w:rPr>
                <w:rFonts w:eastAsia="楷体_GB2312"/>
                <w:color w:val="000000"/>
                <w:kern w:val="0"/>
                <w:szCs w:val="21"/>
              </w:rPr>
              <w:t>大店镇农贸市场</w:t>
            </w:r>
          </w:p>
        </w:tc>
        <w:tc>
          <w:tcPr>
            <w:tcW w:w="0" w:type="auto"/>
            <w:noWrap/>
            <w:vAlign w:val="center"/>
          </w:tcPr>
          <w:p w14:paraId="08AF57E2">
            <w:pPr>
              <w:jc w:val="center"/>
              <w:rPr>
                <w:color w:val="000000"/>
                <w:kern w:val="0"/>
                <w:szCs w:val="21"/>
              </w:rPr>
            </w:pPr>
            <w:r>
              <w:rPr>
                <w:color w:val="000000"/>
                <w:kern w:val="0"/>
                <w:szCs w:val="21"/>
              </w:rPr>
              <w:t>1.0000</w:t>
            </w:r>
          </w:p>
        </w:tc>
        <w:tc>
          <w:tcPr>
            <w:tcW w:w="0" w:type="auto"/>
            <w:noWrap/>
            <w:vAlign w:val="center"/>
          </w:tcPr>
          <w:p w14:paraId="579E65FF">
            <w:pPr>
              <w:jc w:val="center"/>
              <w:rPr>
                <w:color w:val="000000"/>
                <w:kern w:val="0"/>
                <w:szCs w:val="21"/>
              </w:rPr>
            </w:pPr>
            <w:r>
              <w:rPr>
                <w:color w:val="000000"/>
                <w:kern w:val="0"/>
                <w:szCs w:val="21"/>
              </w:rPr>
              <w:t>1</w:t>
            </w:r>
          </w:p>
        </w:tc>
        <w:tc>
          <w:tcPr>
            <w:tcW w:w="0" w:type="auto"/>
            <w:noWrap/>
            <w:vAlign w:val="center"/>
          </w:tcPr>
          <w:p w14:paraId="098C85FD">
            <w:pPr>
              <w:jc w:val="center"/>
              <w:rPr>
                <w:color w:val="000000"/>
                <w:kern w:val="0"/>
                <w:szCs w:val="21"/>
              </w:rPr>
            </w:pPr>
            <w:r>
              <w:rPr>
                <w:color w:val="000000"/>
                <w:kern w:val="0"/>
                <w:szCs w:val="21"/>
              </w:rPr>
              <w:t>100</w:t>
            </w:r>
          </w:p>
        </w:tc>
        <w:tc>
          <w:tcPr>
            <w:tcW w:w="0" w:type="auto"/>
            <w:noWrap/>
            <w:vAlign w:val="center"/>
          </w:tcPr>
          <w:p w14:paraId="52A66BE9">
            <w:pPr>
              <w:jc w:val="center"/>
              <w:rPr>
                <w:color w:val="000000"/>
                <w:kern w:val="0"/>
                <w:szCs w:val="21"/>
              </w:rPr>
            </w:pPr>
            <w:r>
              <w:rPr>
                <w:rFonts w:hint="eastAsia"/>
                <w:color w:val="000000"/>
                <w:kern w:val="0"/>
                <w:szCs w:val="21"/>
              </w:rPr>
              <w:t>2000</w:t>
            </w:r>
          </w:p>
        </w:tc>
      </w:tr>
      <w:tr w14:paraId="58D83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2691B74C">
            <w:pPr>
              <w:jc w:val="center"/>
              <w:rPr>
                <w:color w:val="000000"/>
                <w:kern w:val="0"/>
                <w:szCs w:val="21"/>
              </w:rPr>
            </w:pPr>
            <w:r>
              <w:rPr>
                <w:color w:val="000000"/>
                <w:kern w:val="0"/>
                <w:szCs w:val="21"/>
              </w:rPr>
              <w:t>6</w:t>
            </w:r>
          </w:p>
        </w:tc>
        <w:tc>
          <w:tcPr>
            <w:tcW w:w="0" w:type="auto"/>
            <w:noWrap w:val="0"/>
            <w:vAlign w:val="center"/>
          </w:tcPr>
          <w:p w14:paraId="5E814CC9">
            <w:pPr>
              <w:jc w:val="center"/>
              <w:rPr>
                <w:rFonts w:eastAsia="楷体_GB2312"/>
                <w:color w:val="000000"/>
                <w:kern w:val="0"/>
                <w:szCs w:val="21"/>
              </w:rPr>
            </w:pPr>
            <w:r>
              <w:rPr>
                <w:rFonts w:eastAsia="楷体_GB2312"/>
                <w:color w:val="000000"/>
                <w:kern w:val="0"/>
                <w:szCs w:val="21"/>
              </w:rPr>
              <w:t>栏杆镇</w:t>
            </w:r>
          </w:p>
        </w:tc>
        <w:tc>
          <w:tcPr>
            <w:tcW w:w="0" w:type="auto"/>
            <w:noWrap w:val="0"/>
            <w:vAlign w:val="center"/>
          </w:tcPr>
          <w:p w14:paraId="1F38350D">
            <w:pPr>
              <w:jc w:val="center"/>
              <w:rPr>
                <w:color w:val="000000"/>
                <w:kern w:val="0"/>
                <w:szCs w:val="21"/>
              </w:rPr>
            </w:pPr>
            <w:r>
              <w:rPr>
                <w:color w:val="000000"/>
                <w:kern w:val="0"/>
                <w:szCs w:val="21"/>
              </w:rPr>
              <w:t>1</w:t>
            </w:r>
          </w:p>
        </w:tc>
        <w:tc>
          <w:tcPr>
            <w:tcW w:w="0" w:type="auto"/>
            <w:noWrap w:val="0"/>
            <w:vAlign w:val="center"/>
          </w:tcPr>
          <w:p w14:paraId="6927A37E">
            <w:pPr>
              <w:jc w:val="center"/>
              <w:rPr>
                <w:rFonts w:eastAsia="楷体_GB2312"/>
                <w:color w:val="000000"/>
                <w:kern w:val="0"/>
                <w:szCs w:val="21"/>
              </w:rPr>
            </w:pPr>
            <w:r>
              <w:rPr>
                <w:rFonts w:eastAsia="楷体_GB2312"/>
                <w:color w:val="000000"/>
                <w:kern w:val="0"/>
                <w:szCs w:val="21"/>
              </w:rPr>
              <w:t>栏杆镇农贸市场</w:t>
            </w:r>
          </w:p>
        </w:tc>
        <w:tc>
          <w:tcPr>
            <w:tcW w:w="0" w:type="auto"/>
            <w:noWrap/>
            <w:vAlign w:val="center"/>
          </w:tcPr>
          <w:p w14:paraId="163F01AE">
            <w:pPr>
              <w:jc w:val="center"/>
              <w:rPr>
                <w:color w:val="000000"/>
                <w:kern w:val="0"/>
                <w:szCs w:val="21"/>
              </w:rPr>
            </w:pPr>
            <w:r>
              <w:rPr>
                <w:color w:val="000000"/>
                <w:kern w:val="0"/>
                <w:szCs w:val="21"/>
              </w:rPr>
              <w:t>1.0000</w:t>
            </w:r>
          </w:p>
        </w:tc>
        <w:tc>
          <w:tcPr>
            <w:tcW w:w="0" w:type="auto"/>
            <w:noWrap/>
            <w:vAlign w:val="center"/>
          </w:tcPr>
          <w:p w14:paraId="2B1FA869">
            <w:pPr>
              <w:jc w:val="center"/>
              <w:rPr>
                <w:color w:val="000000"/>
                <w:kern w:val="0"/>
                <w:szCs w:val="21"/>
              </w:rPr>
            </w:pPr>
            <w:r>
              <w:rPr>
                <w:color w:val="000000"/>
                <w:kern w:val="0"/>
                <w:szCs w:val="21"/>
              </w:rPr>
              <w:t>1</w:t>
            </w:r>
          </w:p>
        </w:tc>
        <w:tc>
          <w:tcPr>
            <w:tcW w:w="0" w:type="auto"/>
            <w:noWrap/>
            <w:vAlign w:val="center"/>
          </w:tcPr>
          <w:p w14:paraId="52A50112">
            <w:pPr>
              <w:jc w:val="center"/>
              <w:rPr>
                <w:color w:val="000000"/>
                <w:kern w:val="0"/>
                <w:szCs w:val="21"/>
              </w:rPr>
            </w:pPr>
            <w:r>
              <w:rPr>
                <w:color w:val="000000"/>
                <w:kern w:val="0"/>
                <w:szCs w:val="21"/>
              </w:rPr>
              <w:t>100</w:t>
            </w:r>
          </w:p>
        </w:tc>
        <w:tc>
          <w:tcPr>
            <w:tcW w:w="0" w:type="auto"/>
            <w:noWrap/>
            <w:vAlign w:val="center"/>
          </w:tcPr>
          <w:p w14:paraId="06C7E1DD">
            <w:pPr>
              <w:jc w:val="center"/>
              <w:rPr>
                <w:color w:val="000000"/>
                <w:kern w:val="0"/>
                <w:szCs w:val="21"/>
              </w:rPr>
            </w:pPr>
            <w:r>
              <w:rPr>
                <w:rFonts w:hint="eastAsia"/>
                <w:color w:val="000000"/>
                <w:kern w:val="0"/>
                <w:szCs w:val="21"/>
              </w:rPr>
              <w:t>1500</w:t>
            </w:r>
          </w:p>
        </w:tc>
      </w:tr>
      <w:tr w14:paraId="156EE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496F076B">
            <w:pPr>
              <w:jc w:val="center"/>
              <w:rPr>
                <w:color w:val="000000"/>
                <w:kern w:val="0"/>
                <w:szCs w:val="21"/>
              </w:rPr>
            </w:pPr>
            <w:r>
              <w:rPr>
                <w:color w:val="000000"/>
                <w:kern w:val="0"/>
                <w:szCs w:val="21"/>
              </w:rPr>
              <w:t>7</w:t>
            </w:r>
          </w:p>
        </w:tc>
        <w:tc>
          <w:tcPr>
            <w:tcW w:w="0" w:type="auto"/>
            <w:noWrap w:val="0"/>
            <w:vAlign w:val="center"/>
          </w:tcPr>
          <w:p w14:paraId="51182782">
            <w:pPr>
              <w:jc w:val="center"/>
              <w:rPr>
                <w:rFonts w:eastAsia="楷体_GB2312"/>
                <w:color w:val="000000"/>
                <w:kern w:val="0"/>
                <w:szCs w:val="21"/>
              </w:rPr>
            </w:pPr>
            <w:r>
              <w:rPr>
                <w:rFonts w:eastAsia="楷体_GB2312"/>
                <w:color w:val="000000"/>
                <w:kern w:val="0"/>
                <w:szCs w:val="21"/>
              </w:rPr>
              <w:t>时村镇</w:t>
            </w:r>
          </w:p>
        </w:tc>
        <w:tc>
          <w:tcPr>
            <w:tcW w:w="0" w:type="auto"/>
            <w:noWrap w:val="0"/>
            <w:vAlign w:val="center"/>
          </w:tcPr>
          <w:p w14:paraId="729F5B35">
            <w:pPr>
              <w:jc w:val="center"/>
              <w:rPr>
                <w:color w:val="000000"/>
                <w:kern w:val="0"/>
                <w:szCs w:val="21"/>
              </w:rPr>
            </w:pPr>
            <w:r>
              <w:rPr>
                <w:color w:val="000000"/>
                <w:kern w:val="0"/>
                <w:szCs w:val="21"/>
              </w:rPr>
              <w:t>1</w:t>
            </w:r>
          </w:p>
        </w:tc>
        <w:tc>
          <w:tcPr>
            <w:tcW w:w="0" w:type="auto"/>
            <w:noWrap w:val="0"/>
            <w:vAlign w:val="center"/>
          </w:tcPr>
          <w:p w14:paraId="435E9917">
            <w:pPr>
              <w:jc w:val="center"/>
              <w:rPr>
                <w:rFonts w:eastAsia="楷体_GB2312"/>
                <w:color w:val="000000"/>
                <w:kern w:val="0"/>
                <w:szCs w:val="21"/>
              </w:rPr>
            </w:pPr>
            <w:r>
              <w:rPr>
                <w:rFonts w:eastAsia="楷体_GB2312"/>
                <w:color w:val="000000"/>
                <w:kern w:val="0"/>
                <w:szCs w:val="21"/>
              </w:rPr>
              <w:t>时村镇农贸市场</w:t>
            </w:r>
          </w:p>
        </w:tc>
        <w:tc>
          <w:tcPr>
            <w:tcW w:w="0" w:type="auto"/>
            <w:noWrap/>
            <w:vAlign w:val="center"/>
          </w:tcPr>
          <w:p w14:paraId="38D996B1">
            <w:pPr>
              <w:jc w:val="center"/>
              <w:rPr>
                <w:color w:val="000000"/>
                <w:kern w:val="0"/>
                <w:szCs w:val="21"/>
              </w:rPr>
            </w:pPr>
            <w:r>
              <w:rPr>
                <w:color w:val="000000"/>
                <w:kern w:val="0"/>
                <w:szCs w:val="21"/>
              </w:rPr>
              <w:t>1.0000</w:t>
            </w:r>
          </w:p>
        </w:tc>
        <w:tc>
          <w:tcPr>
            <w:tcW w:w="0" w:type="auto"/>
            <w:noWrap/>
            <w:vAlign w:val="center"/>
          </w:tcPr>
          <w:p w14:paraId="7E3AB5ED">
            <w:pPr>
              <w:jc w:val="center"/>
              <w:rPr>
                <w:color w:val="000000"/>
                <w:kern w:val="0"/>
                <w:szCs w:val="21"/>
              </w:rPr>
            </w:pPr>
            <w:r>
              <w:rPr>
                <w:color w:val="000000"/>
                <w:kern w:val="0"/>
                <w:szCs w:val="21"/>
              </w:rPr>
              <w:t>1</w:t>
            </w:r>
          </w:p>
        </w:tc>
        <w:tc>
          <w:tcPr>
            <w:tcW w:w="0" w:type="auto"/>
            <w:noWrap/>
            <w:vAlign w:val="center"/>
          </w:tcPr>
          <w:p w14:paraId="1113EF99">
            <w:pPr>
              <w:jc w:val="center"/>
              <w:rPr>
                <w:color w:val="000000"/>
                <w:kern w:val="0"/>
                <w:szCs w:val="21"/>
              </w:rPr>
            </w:pPr>
            <w:r>
              <w:rPr>
                <w:color w:val="000000"/>
                <w:kern w:val="0"/>
                <w:szCs w:val="21"/>
              </w:rPr>
              <w:t>100</w:t>
            </w:r>
          </w:p>
        </w:tc>
        <w:tc>
          <w:tcPr>
            <w:tcW w:w="0" w:type="auto"/>
            <w:noWrap/>
            <w:vAlign w:val="center"/>
          </w:tcPr>
          <w:p w14:paraId="1862CD64">
            <w:pPr>
              <w:jc w:val="center"/>
              <w:rPr>
                <w:color w:val="000000"/>
                <w:kern w:val="0"/>
                <w:szCs w:val="21"/>
              </w:rPr>
            </w:pPr>
            <w:r>
              <w:rPr>
                <w:rFonts w:hint="eastAsia"/>
                <w:color w:val="000000"/>
                <w:kern w:val="0"/>
                <w:szCs w:val="21"/>
              </w:rPr>
              <w:t>1700</w:t>
            </w:r>
          </w:p>
        </w:tc>
      </w:tr>
      <w:tr w14:paraId="57EC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586AD15C">
            <w:pPr>
              <w:jc w:val="center"/>
              <w:rPr>
                <w:color w:val="000000"/>
                <w:kern w:val="0"/>
                <w:szCs w:val="21"/>
              </w:rPr>
            </w:pPr>
            <w:r>
              <w:rPr>
                <w:color w:val="000000"/>
                <w:kern w:val="0"/>
                <w:szCs w:val="21"/>
              </w:rPr>
              <w:t>8</w:t>
            </w:r>
          </w:p>
        </w:tc>
        <w:tc>
          <w:tcPr>
            <w:tcW w:w="0" w:type="auto"/>
            <w:noWrap w:val="0"/>
            <w:vAlign w:val="center"/>
          </w:tcPr>
          <w:p w14:paraId="47CAF963">
            <w:pPr>
              <w:jc w:val="center"/>
              <w:rPr>
                <w:rFonts w:eastAsia="楷体_GB2312"/>
                <w:color w:val="000000"/>
                <w:kern w:val="0"/>
                <w:szCs w:val="21"/>
              </w:rPr>
            </w:pPr>
            <w:r>
              <w:rPr>
                <w:rFonts w:eastAsia="楷体_GB2312"/>
                <w:color w:val="000000"/>
                <w:kern w:val="0"/>
                <w:szCs w:val="21"/>
              </w:rPr>
              <w:t>夹沟镇</w:t>
            </w:r>
          </w:p>
        </w:tc>
        <w:tc>
          <w:tcPr>
            <w:tcW w:w="0" w:type="auto"/>
            <w:noWrap w:val="0"/>
            <w:vAlign w:val="center"/>
          </w:tcPr>
          <w:p w14:paraId="531B1CF6">
            <w:pPr>
              <w:jc w:val="center"/>
              <w:rPr>
                <w:color w:val="000000"/>
                <w:kern w:val="0"/>
                <w:szCs w:val="21"/>
              </w:rPr>
            </w:pPr>
            <w:r>
              <w:rPr>
                <w:color w:val="000000"/>
                <w:kern w:val="0"/>
                <w:szCs w:val="21"/>
              </w:rPr>
              <w:t>1</w:t>
            </w:r>
          </w:p>
        </w:tc>
        <w:tc>
          <w:tcPr>
            <w:tcW w:w="0" w:type="auto"/>
            <w:noWrap w:val="0"/>
            <w:vAlign w:val="center"/>
          </w:tcPr>
          <w:p w14:paraId="511C75CC">
            <w:pPr>
              <w:jc w:val="center"/>
              <w:rPr>
                <w:rFonts w:eastAsia="楷体_GB2312"/>
                <w:color w:val="000000"/>
                <w:kern w:val="0"/>
                <w:szCs w:val="21"/>
              </w:rPr>
            </w:pPr>
            <w:r>
              <w:rPr>
                <w:rFonts w:eastAsia="楷体_GB2312"/>
                <w:color w:val="000000"/>
                <w:kern w:val="0"/>
                <w:szCs w:val="21"/>
              </w:rPr>
              <w:t>夹沟镇农贸市场</w:t>
            </w:r>
          </w:p>
        </w:tc>
        <w:tc>
          <w:tcPr>
            <w:tcW w:w="0" w:type="auto"/>
            <w:noWrap/>
            <w:vAlign w:val="center"/>
          </w:tcPr>
          <w:p w14:paraId="660EA37E">
            <w:pPr>
              <w:jc w:val="center"/>
              <w:rPr>
                <w:color w:val="000000"/>
                <w:kern w:val="0"/>
                <w:szCs w:val="21"/>
              </w:rPr>
            </w:pPr>
            <w:r>
              <w:rPr>
                <w:color w:val="000000"/>
                <w:kern w:val="0"/>
                <w:szCs w:val="21"/>
              </w:rPr>
              <w:t>1.0000</w:t>
            </w:r>
          </w:p>
        </w:tc>
        <w:tc>
          <w:tcPr>
            <w:tcW w:w="0" w:type="auto"/>
            <w:noWrap/>
            <w:vAlign w:val="center"/>
          </w:tcPr>
          <w:p w14:paraId="49209DB2">
            <w:pPr>
              <w:jc w:val="center"/>
              <w:rPr>
                <w:color w:val="000000"/>
                <w:kern w:val="0"/>
                <w:szCs w:val="21"/>
              </w:rPr>
            </w:pPr>
            <w:r>
              <w:rPr>
                <w:color w:val="000000"/>
                <w:kern w:val="0"/>
                <w:szCs w:val="21"/>
              </w:rPr>
              <w:t>1</w:t>
            </w:r>
          </w:p>
        </w:tc>
        <w:tc>
          <w:tcPr>
            <w:tcW w:w="0" w:type="auto"/>
            <w:noWrap/>
            <w:vAlign w:val="center"/>
          </w:tcPr>
          <w:p w14:paraId="56ECD560">
            <w:pPr>
              <w:jc w:val="center"/>
              <w:rPr>
                <w:color w:val="000000"/>
                <w:kern w:val="0"/>
                <w:szCs w:val="21"/>
              </w:rPr>
            </w:pPr>
            <w:r>
              <w:rPr>
                <w:color w:val="000000"/>
                <w:kern w:val="0"/>
                <w:szCs w:val="21"/>
              </w:rPr>
              <w:t>100</w:t>
            </w:r>
          </w:p>
        </w:tc>
        <w:tc>
          <w:tcPr>
            <w:tcW w:w="0" w:type="auto"/>
            <w:noWrap/>
            <w:vAlign w:val="center"/>
          </w:tcPr>
          <w:p w14:paraId="18BAA4B7">
            <w:pPr>
              <w:jc w:val="center"/>
              <w:rPr>
                <w:color w:val="000000"/>
                <w:kern w:val="0"/>
                <w:szCs w:val="21"/>
              </w:rPr>
            </w:pPr>
            <w:r>
              <w:rPr>
                <w:rFonts w:hint="eastAsia"/>
                <w:color w:val="000000"/>
                <w:kern w:val="0"/>
                <w:szCs w:val="21"/>
              </w:rPr>
              <w:t>1900</w:t>
            </w:r>
          </w:p>
        </w:tc>
      </w:tr>
      <w:tr w14:paraId="5545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6FE69765">
            <w:pPr>
              <w:jc w:val="center"/>
              <w:rPr>
                <w:color w:val="000000"/>
                <w:kern w:val="0"/>
                <w:szCs w:val="21"/>
              </w:rPr>
            </w:pPr>
            <w:r>
              <w:rPr>
                <w:color w:val="000000"/>
                <w:kern w:val="0"/>
                <w:szCs w:val="21"/>
              </w:rPr>
              <w:t>9</w:t>
            </w:r>
          </w:p>
        </w:tc>
        <w:tc>
          <w:tcPr>
            <w:tcW w:w="0" w:type="auto"/>
            <w:noWrap w:val="0"/>
            <w:vAlign w:val="center"/>
          </w:tcPr>
          <w:p w14:paraId="32EEC31F">
            <w:pPr>
              <w:jc w:val="center"/>
              <w:rPr>
                <w:rFonts w:eastAsia="楷体_GB2312"/>
                <w:color w:val="000000"/>
                <w:kern w:val="0"/>
                <w:szCs w:val="21"/>
              </w:rPr>
            </w:pPr>
            <w:r>
              <w:rPr>
                <w:rFonts w:eastAsia="楷体_GB2312"/>
                <w:color w:val="000000"/>
                <w:kern w:val="0"/>
                <w:szCs w:val="21"/>
              </w:rPr>
              <w:t>西二铺乡</w:t>
            </w:r>
          </w:p>
        </w:tc>
        <w:tc>
          <w:tcPr>
            <w:tcW w:w="0" w:type="auto"/>
            <w:noWrap w:val="0"/>
            <w:vAlign w:val="center"/>
          </w:tcPr>
          <w:p w14:paraId="2B717ED5">
            <w:pPr>
              <w:jc w:val="center"/>
              <w:rPr>
                <w:color w:val="000000"/>
                <w:kern w:val="0"/>
                <w:szCs w:val="21"/>
              </w:rPr>
            </w:pPr>
            <w:r>
              <w:rPr>
                <w:color w:val="000000"/>
                <w:kern w:val="0"/>
                <w:szCs w:val="21"/>
              </w:rPr>
              <w:t>1</w:t>
            </w:r>
          </w:p>
        </w:tc>
        <w:tc>
          <w:tcPr>
            <w:tcW w:w="0" w:type="auto"/>
            <w:noWrap w:val="0"/>
            <w:vAlign w:val="center"/>
          </w:tcPr>
          <w:p w14:paraId="48C80E82">
            <w:pPr>
              <w:jc w:val="center"/>
              <w:rPr>
                <w:rFonts w:eastAsia="楷体_GB2312"/>
                <w:color w:val="000000"/>
                <w:kern w:val="0"/>
                <w:szCs w:val="21"/>
              </w:rPr>
            </w:pPr>
            <w:r>
              <w:rPr>
                <w:rFonts w:eastAsia="楷体_GB2312"/>
                <w:color w:val="000000"/>
                <w:kern w:val="0"/>
                <w:szCs w:val="21"/>
              </w:rPr>
              <w:t>宏富农贸市场</w:t>
            </w:r>
          </w:p>
        </w:tc>
        <w:tc>
          <w:tcPr>
            <w:tcW w:w="0" w:type="auto"/>
            <w:noWrap/>
            <w:vAlign w:val="center"/>
          </w:tcPr>
          <w:p w14:paraId="25BAAB94">
            <w:pPr>
              <w:jc w:val="center"/>
              <w:rPr>
                <w:color w:val="000000"/>
                <w:kern w:val="0"/>
                <w:szCs w:val="21"/>
              </w:rPr>
            </w:pPr>
            <w:r>
              <w:rPr>
                <w:color w:val="000000"/>
                <w:kern w:val="0"/>
                <w:szCs w:val="21"/>
              </w:rPr>
              <w:t>1.0000</w:t>
            </w:r>
          </w:p>
        </w:tc>
        <w:tc>
          <w:tcPr>
            <w:tcW w:w="0" w:type="auto"/>
            <w:noWrap/>
            <w:vAlign w:val="center"/>
          </w:tcPr>
          <w:p w14:paraId="5AF6179A">
            <w:pPr>
              <w:jc w:val="center"/>
              <w:rPr>
                <w:color w:val="000000"/>
                <w:kern w:val="0"/>
                <w:szCs w:val="21"/>
              </w:rPr>
            </w:pPr>
            <w:r>
              <w:rPr>
                <w:color w:val="000000"/>
                <w:kern w:val="0"/>
                <w:szCs w:val="21"/>
              </w:rPr>
              <w:t>1</w:t>
            </w:r>
          </w:p>
        </w:tc>
        <w:tc>
          <w:tcPr>
            <w:tcW w:w="0" w:type="auto"/>
            <w:noWrap/>
            <w:vAlign w:val="center"/>
          </w:tcPr>
          <w:p w14:paraId="7DCA2492">
            <w:pPr>
              <w:jc w:val="center"/>
              <w:rPr>
                <w:color w:val="000000"/>
                <w:kern w:val="0"/>
                <w:szCs w:val="21"/>
              </w:rPr>
            </w:pPr>
            <w:r>
              <w:rPr>
                <w:color w:val="000000"/>
                <w:kern w:val="0"/>
                <w:szCs w:val="21"/>
              </w:rPr>
              <w:t>100</w:t>
            </w:r>
          </w:p>
        </w:tc>
        <w:tc>
          <w:tcPr>
            <w:tcW w:w="0" w:type="auto"/>
            <w:noWrap/>
            <w:vAlign w:val="center"/>
          </w:tcPr>
          <w:p w14:paraId="6023DB0A">
            <w:pPr>
              <w:jc w:val="center"/>
              <w:rPr>
                <w:color w:val="000000"/>
                <w:kern w:val="0"/>
                <w:szCs w:val="21"/>
              </w:rPr>
            </w:pPr>
            <w:r>
              <w:rPr>
                <w:rFonts w:hint="eastAsia"/>
                <w:color w:val="000000"/>
                <w:kern w:val="0"/>
                <w:szCs w:val="21"/>
              </w:rPr>
              <w:t>2300</w:t>
            </w:r>
          </w:p>
        </w:tc>
      </w:tr>
      <w:tr w14:paraId="2236D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375FD527">
            <w:pPr>
              <w:jc w:val="center"/>
              <w:rPr>
                <w:color w:val="000000"/>
                <w:kern w:val="0"/>
                <w:szCs w:val="21"/>
              </w:rPr>
            </w:pPr>
            <w:r>
              <w:rPr>
                <w:color w:val="000000"/>
                <w:kern w:val="0"/>
                <w:szCs w:val="21"/>
              </w:rPr>
              <w:t>10</w:t>
            </w:r>
          </w:p>
        </w:tc>
        <w:tc>
          <w:tcPr>
            <w:tcW w:w="0" w:type="auto"/>
            <w:vMerge w:val="restart"/>
            <w:noWrap w:val="0"/>
            <w:vAlign w:val="center"/>
          </w:tcPr>
          <w:p w14:paraId="49D6CCDF">
            <w:pPr>
              <w:jc w:val="center"/>
              <w:rPr>
                <w:rFonts w:eastAsia="楷体_GB2312"/>
                <w:color w:val="000000"/>
                <w:kern w:val="0"/>
                <w:szCs w:val="21"/>
              </w:rPr>
            </w:pPr>
            <w:r>
              <w:rPr>
                <w:rFonts w:eastAsia="楷体_GB2312"/>
                <w:color w:val="000000"/>
                <w:kern w:val="0"/>
                <w:szCs w:val="21"/>
              </w:rPr>
              <w:t>桃园镇</w:t>
            </w:r>
          </w:p>
        </w:tc>
        <w:tc>
          <w:tcPr>
            <w:tcW w:w="0" w:type="auto"/>
            <w:noWrap w:val="0"/>
            <w:vAlign w:val="center"/>
          </w:tcPr>
          <w:p w14:paraId="4488EBE6">
            <w:pPr>
              <w:jc w:val="center"/>
              <w:rPr>
                <w:color w:val="000000"/>
                <w:kern w:val="0"/>
                <w:szCs w:val="21"/>
              </w:rPr>
            </w:pPr>
            <w:r>
              <w:rPr>
                <w:color w:val="000000"/>
                <w:kern w:val="0"/>
                <w:szCs w:val="21"/>
              </w:rPr>
              <w:t>1</w:t>
            </w:r>
          </w:p>
        </w:tc>
        <w:tc>
          <w:tcPr>
            <w:tcW w:w="0" w:type="auto"/>
            <w:noWrap w:val="0"/>
            <w:vAlign w:val="center"/>
          </w:tcPr>
          <w:p w14:paraId="3DEF1C55">
            <w:pPr>
              <w:jc w:val="center"/>
              <w:rPr>
                <w:rFonts w:eastAsia="楷体_GB2312"/>
                <w:color w:val="000000"/>
                <w:kern w:val="0"/>
                <w:szCs w:val="21"/>
              </w:rPr>
            </w:pPr>
            <w:r>
              <w:rPr>
                <w:rFonts w:eastAsia="楷体_GB2312"/>
                <w:color w:val="000000"/>
                <w:kern w:val="0"/>
                <w:szCs w:val="21"/>
              </w:rPr>
              <w:t>桃园新区农贸市场</w:t>
            </w:r>
          </w:p>
        </w:tc>
        <w:tc>
          <w:tcPr>
            <w:tcW w:w="0" w:type="auto"/>
            <w:noWrap/>
            <w:vAlign w:val="center"/>
          </w:tcPr>
          <w:p w14:paraId="0F700174">
            <w:pPr>
              <w:jc w:val="center"/>
              <w:rPr>
                <w:color w:val="000000"/>
                <w:kern w:val="0"/>
                <w:szCs w:val="21"/>
              </w:rPr>
            </w:pPr>
            <w:r>
              <w:rPr>
                <w:color w:val="000000"/>
                <w:kern w:val="0"/>
                <w:szCs w:val="21"/>
              </w:rPr>
              <w:t>0.8235</w:t>
            </w:r>
          </w:p>
        </w:tc>
        <w:tc>
          <w:tcPr>
            <w:tcW w:w="0" w:type="auto"/>
            <w:noWrap/>
            <w:vAlign w:val="center"/>
          </w:tcPr>
          <w:p w14:paraId="5379EDAC">
            <w:pPr>
              <w:jc w:val="center"/>
              <w:rPr>
                <w:color w:val="000000"/>
                <w:kern w:val="0"/>
                <w:szCs w:val="21"/>
              </w:rPr>
            </w:pPr>
            <w:r>
              <w:rPr>
                <w:color w:val="000000"/>
                <w:kern w:val="0"/>
                <w:szCs w:val="21"/>
              </w:rPr>
              <w:t>2</w:t>
            </w:r>
          </w:p>
        </w:tc>
        <w:tc>
          <w:tcPr>
            <w:tcW w:w="0" w:type="auto"/>
            <w:noWrap/>
            <w:vAlign w:val="center"/>
          </w:tcPr>
          <w:p w14:paraId="23EABED5">
            <w:pPr>
              <w:jc w:val="center"/>
              <w:rPr>
                <w:color w:val="000000"/>
                <w:kern w:val="0"/>
                <w:szCs w:val="21"/>
              </w:rPr>
            </w:pPr>
            <w:r>
              <w:rPr>
                <w:color w:val="000000"/>
                <w:kern w:val="0"/>
                <w:szCs w:val="21"/>
              </w:rPr>
              <w:t>82</w:t>
            </w:r>
          </w:p>
        </w:tc>
        <w:tc>
          <w:tcPr>
            <w:tcW w:w="0" w:type="auto"/>
            <w:noWrap/>
            <w:vAlign w:val="center"/>
          </w:tcPr>
          <w:p w14:paraId="77F4460B">
            <w:pPr>
              <w:jc w:val="center"/>
              <w:rPr>
                <w:color w:val="000000"/>
                <w:kern w:val="0"/>
                <w:szCs w:val="21"/>
              </w:rPr>
            </w:pPr>
            <w:r>
              <w:rPr>
                <w:rFonts w:hint="eastAsia"/>
                <w:color w:val="000000"/>
                <w:kern w:val="0"/>
                <w:szCs w:val="21"/>
              </w:rPr>
              <w:t>1200</w:t>
            </w:r>
          </w:p>
        </w:tc>
      </w:tr>
      <w:tr w14:paraId="150D4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37DD1FC6">
            <w:pPr>
              <w:jc w:val="center"/>
              <w:rPr>
                <w:color w:val="000000"/>
                <w:kern w:val="0"/>
                <w:szCs w:val="21"/>
              </w:rPr>
            </w:pPr>
          </w:p>
        </w:tc>
        <w:tc>
          <w:tcPr>
            <w:tcW w:w="0" w:type="auto"/>
            <w:vMerge w:val="continue"/>
            <w:noWrap w:val="0"/>
            <w:vAlign w:val="center"/>
          </w:tcPr>
          <w:p w14:paraId="2274E355">
            <w:pPr>
              <w:jc w:val="center"/>
              <w:rPr>
                <w:rFonts w:eastAsia="楷体_GB2312"/>
                <w:color w:val="000000"/>
                <w:kern w:val="0"/>
                <w:szCs w:val="21"/>
              </w:rPr>
            </w:pPr>
          </w:p>
        </w:tc>
        <w:tc>
          <w:tcPr>
            <w:tcW w:w="0" w:type="auto"/>
            <w:noWrap w:val="0"/>
            <w:vAlign w:val="center"/>
          </w:tcPr>
          <w:p w14:paraId="7259B321">
            <w:pPr>
              <w:jc w:val="center"/>
              <w:rPr>
                <w:color w:val="000000"/>
                <w:kern w:val="0"/>
                <w:szCs w:val="21"/>
              </w:rPr>
            </w:pPr>
            <w:r>
              <w:rPr>
                <w:color w:val="000000"/>
                <w:kern w:val="0"/>
                <w:szCs w:val="21"/>
              </w:rPr>
              <w:t>2</w:t>
            </w:r>
          </w:p>
        </w:tc>
        <w:tc>
          <w:tcPr>
            <w:tcW w:w="0" w:type="auto"/>
            <w:noWrap w:val="0"/>
            <w:vAlign w:val="center"/>
          </w:tcPr>
          <w:p w14:paraId="19A62E58">
            <w:pPr>
              <w:jc w:val="center"/>
              <w:rPr>
                <w:rFonts w:eastAsia="楷体_GB2312"/>
                <w:color w:val="000000"/>
                <w:kern w:val="0"/>
                <w:szCs w:val="21"/>
              </w:rPr>
            </w:pPr>
            <w:r>
              <w:rPr>
                <w:rFonts w:eastAsia="楷体_GB2312"/>
                <w:color w:val="000000"/>
                <w:kern w:val="0"/>
                <w:szCs w:val="21"/>
              </w:rPr>
              <w:t>北杨寨农贸市场</w:t>
            </w:r>
          </w:p>
        </w:tc>
        <w:tc>
          <w:tcPr>
            <w:tcW w:w="0" w:type="auto"/>
            <w:noWrap/>
            <w:vAlign w:val="center"/>
          </w:tcPr>
          <w:p w14:paraId="0F635724">
            <w:pPr>
              <w:jc w:val="center"/>
              <w:rPr>
                <w:color w:val="000000"/>
                <w:kern w:val="0"/>
                <w:szCs w:val="21"/>
              </w:rPr>
            </w:pPr>
            <w:r>
              <w:rPr>
                <w:color w:val="000000"/>
                <w:kern w:val="0"/>
                <w:szCs w:val="21"/>
              </w:rPr>
              <w:t>1.0000</w:t>
            </w:r>
          </w:p>
        </w:tc>
        <w:tc>
          <w:tcPr>
            <w:tcW w:w="0" w:type="auto"/>
            <w:noWrap/>
            <w:vAlign w:val="center"/>
          </w:tcPr>
          <w:p w14:paraId="5CA8AA54">
            <w:pPr>
              <w:jc w:val="center"/>
              <w:rPr>
                <w:color w:val="000000"/>
                <w:kern w:val="0"/>
                <w:szCs w:val="21"/>
              </w:rPr>
            </w:pPr>
            <w:r>
              <w:rPr>
                <w:color w:val="000000"/>
                <w:kern w:val="0"/>
                <w:szCs w:val="21"/>
              </w:rPr>
              <w:t>1</w:t>
            </w:r>
          </w:p>
        </w:tc>
        <w:tc>
          <w:tcPr>
            <w:tcW w:w="0" w:type="auto"/>
            <w:noWrap/>
            <w:vAlign w:val="center"/>
          </w:tcPr>
          <w:p w14:paraId="70A92122">
            <w:pPr>
              <w:jc w:val="center"/>
              <w:rPr>
                <w:color w:val="000000"/>
                <w:kern w:val="0"/>
                <w:szCs w:val="21"/>
              </w:rPr>
            </w:pPr>
            <w:r>
              <w:rPr>
                <w:color w:val="000000"/>
                <w:kern w:val="0"/>
                <w:szCs w:val="21"/>
              </w:rPr>
              <w:t>100</w:t>
            </w:r>
          </w:p>
        </w:tc>
        <w:tc>
          <w:tcPr>
            <w:tcW w:w="0" w:type="auto"/>
            <w:noWrap/>
            <w:vAlign w:val="center"/>
          </w:tcPr>
          <w:p w14:paraId="1F582143">
            <w:pPr>
              <w:jc w:val="center"/>
              <w:rPr>
                <w:color w:val="000000"/>
                <w:kern w:val="0"/>
                <w:szCs w:val="21"/>
              </w:rPr>
            </w:pPr>
            <w:r>
              <w:rPr>
                <w:rFonts w:hint="eastAsia"/>
                <w:color w:val="000000"/>
                <w:kern w:val="0"/>
                <w:szCs w:val="21"/>
              </w:rPr>
              <w:t>1400</w:t>
            </w:r>
          </w:p>
        </w:tc>
      </w:tr>
      <w:tr w14:paraId="4D748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2BD0D414">
            <w:pPr>
              <w:jc w:val="center"/>
              <w:rPr>
                <w:color w:val="000000"/>
                <w:kern w:val="0"/>
                <w:szCs w:val="21"/>
              </w:rPr>
            </w:pPr>
            <w:r>
              <w:rPr>
                <w:color w:val="000000"/>
                <w:kern w:val="0"/>
                <w:szCs w:val="21"/>
              </w:rPr>
              <w:t>11</w:t>
            </w:r>
          </w:p>
        </w:tc>
        <w:tc>
          <w:tcPr>
            <w:tcW w:w="0" w:type="auto"/>
            <w:noWrap w:val="0"/>
            <w:vAlign w:val="center"/>
          </w:tcPr>
          <w:p w14:paraId="4F040950">
            <w:pPr>
              <w:jc w:val="center"/>
              <w:rPr>
                <w:rFonts w:eastAsia="楷体_GB2312"/>
                <w:color w:val="000000"/>
                <w:kern w:val="0"/>
                <w:szCs w:val="21"/>
              </w:rPr>
            </w:pPr>
            <w:r>
              <w:rPr>
                <w:rFonts w:eastAsia="楷体_GB2312"/>
                <w:color w:val="000000"/>
                <w:kern w:val="0"/>
                <w:szCs w:val="21"/>
              </w:rPr>
              <w:t>曹村镇</w:t>
            </w:r>
          </w:p>
        </w:tc>
        <w:tc>
          <w:tcPr>
            <w:tcW w:w="0" w:type="auto"/>
            <w:noWrap w:val="0"/>
            <w:vAlign w:val="center"/>
          </w:tcPr>
          <w:p w14:paraId="387A41E5">
            <w:pPr>
              <w:jc w:val="center"/>
              <w:rPr>
                <w:color w:val="000000"/>
                <w:kern w:val="0"/>
                <w:szCs w:val="21"/>
              </w:rPr>
            </w:pPr>
            <w:r>
              <w:rPr>
                <w:color w:val="000000"/>
                <w:kern w:val="0"/>
                <w:szCs w:val="21"/>
              </w:rPr>
              <w:t>1</w:t>
            </w:r>
          </w:p>
        </w:tc>
        <w:tc>
          <w:tcPr>
            <w:tcW w:w="0" w:type="auto"/>
            <w:noWrap w:val="0"/>
            <w:vAlign w:val="center"/>
          </w:tcPr>
          <w:p w14:paraId="6FF6E2A1">
            <w:pPr>
              <w:jc w:val="center"/>
              <w:rPr>
                <w:rFonts w:eastAsia="楷体_GB2312"/>
                <w:color w:val="000000"/>
                <w:kern w:val="0"/>
                <w:szCs w:val="21"/>
              </w:rPr>
            </w:pPr>
            <w:r>
              <w:rPr>
                <w:rFonts w:eastAsia="楷体_GB2312"/>
                <w:color w:val="000000"/>
                <w:kern w:val="0"/>
                <w:szCs w:val="21"/>
              </w:rPr>
              <w:t>桃山村农贸市场</w:t>
            </w:r>
          </w:p>
        </w:tc>
        <w:tc>
          <w:tcPr>
            <w:tcW w:w="0" w:type="auto"/>
            <w:noWrap/>
            <w:vAlign w:val="center"/>
          </w:tcPr>
          <w:p w14:paraId="5669BC52">
            <w:pPr>
              <w:jc w:val="center"/>
              <w:rPr>
                <w:color w:val="000000"/>
                <w:kern w:val="0"/>
                <w:szCs w:val="21"/>
              </w:rPr>
            </w:pPr>
            <w:r>
              <w:rPr>
                <w:color w:val="000000"/>
                <w:kern w:val="0"/>
                <w:szCs w:val="21"/>
              </w:rPr>
              <w:t>1.0000</w:t>
            </w:r>
          </w:p>
        </w:tc>
        <w:tc>
          <w:tcPr>
            <w:tcW w:w="0" w:type="auto"/>
            <w:noWrap/>
            <w:vAlign w:val="center"/>
          </w:tcPr>
          <w:p w14:paraId="366CF4FE">
            <w:pPr>
              <w:jc w:val="center"/>
              <w:rPr>
                <w:color w:val="000000"/>
                <w:kern w:val="0"/>
                <w:szCs w:val="21"/>
              </w:rPr>
            </w:pPr>
            <w:r>
              <w:rPr>
                <w:color w:val="000000"/>
                <w:kern w:val="0"/>
                <w:szCs w:val="21"/>
              </w:rPr>
              <w:t>1</w:t>
            </w:r>
          </w:p>
        </w:tc>
        <w:tc>
          <w:tcPr>
            <w:tcW w:w="0" w:type="auto"/>
            <w:noWrap/>
            <w:vAlign w:val="center"/>
          </w:tcPr>
          <w:p w14:paraId="6AC278DF">
            <w:pPr>
              <w:jc w:val="center"/>
              <w:rPr>
                <w:color w:val="000000"/>
                <w:kern w:val="0"/>
                <w:szCs w:val="21"/>
              </w:rPr>
            </w:pPr>
            <w:r>
              <w:rPr>
                <w:color w:val="000000"/>
                <w:kern w:val="0"/>
                <w:szCs w:val="21"/>
              </w:rPr>
              <w:t>100</w:t>
            </w:r>
          </w:p>
        </w:tc>
        <w:tc>
          <w:tcPr>
            <w:tcW w:w="0" w:type="auto"/>
            <w:noWrap/>
            <w:vAlign w:val="center"/>
          </w:tcPr>
          <w:p w14:paraId="18248C3A">
            <w:pPr>
              <w:jc w:val="center"/>
              <w:rPr>
                <w:color w:val="000000"/>
                <w:kern w:val="0"/>
                <w:szCs w:val="21"/>
              </w:rPr>
            </w:pPr>
            <w:r>
              <w:rPr>
                <w:rFonts w:hint="eastAsia"/>
                <w:color w:val="000000"/>
                <w:kern w:val="0"/>
                <w:szCs w:val="21"/>
              </w:rPr>
              <w:t>3000</w:t>
            </w:r>
          </w:p>
        </w:tc>
      </w:tr>
      <w:tr w14:paraId="69FB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3EA7C5D3">
            <w:pPr>
              <w:jc w:val="center"/>
              <w:rPr>
                <w:color w:val="000000"/>
                <w:kern w:val="0"/>
                <w:szCs w:val="21"/>
              </w:rPr>
            </w:pPr>
            <w:r>
              <w:rPr>
                <w:color w:val="000000"/>
                <w:kern w:val="0"/>
                <w:szCs w:val="21"/>
              </w:rPr>
              <w:t>12</w:t>
            </w:r>
          </w:p>
        </w:tc>
        <w:tc>
          <w:tcPr>
            <w:tcW w:w="0" w:type="auto"/>
            <w:noWrap w:val="0"/>
            <w:vAlign w:val="center"/>
          </w:tcPr>
          <w:p w14:paraId="15C0990C">
            <w:pPr>
              <w:jc w:val="center"/>
              <w:rPr>
                <w:rFonts w:eastAsia="楷体_GB2312"/>
                <w:color w:val="000000"/>
                <w:kern w:val="0"/>
                <w:szCs w:val="21"/>
              </w:rPr>
            </w:pPr>
            <w:r>
              <w:rPr>
                <w:rFonts w:eastAsia="楷体_GB2312"/>
                <w:color w:val="000000"/>
                <w:kern w:val="0"/>
                <w:szCs w:val="21"/>
              </w:rPr>
              <w:t>大营镇</w:t>
            </w:r>
          </w:p>
        </w:tc>
        <w:tc>
          <w:tcPr>
            <w:tcW w:w="0" w:type="auto"/>
            <w:noWrap w:val="0"/>
            <w:vAlign w:val="center"/>
          </w:tcPr>
          <w:p w14:paraId="1C5C8D2A">
            <w:pPr>
              <w:jc w:val="center"/>
              <w:rPr>
                <w:color w:val="000000"/>
                <w:kern w:val="0"/>
                <w:szCs w:val="21"/>
              </w:rPr>
            </w:pPr>
            <w:r>
              <w:rPr>
                <w:color w:val="000000"/>
                <w:kern w:val="0"/>
                <w:szCs w:val="21"/>
              </w:rPr>
              <w:t>1</w:t>
            </w:r>
          </w:p>
        </w:tc>
        <w:tc>
          <w:tcPr>
            <w:tcW w:w="0" w:type="auto"/>
            <w:noWrap w:val="0"/>
            <w:vAlign w:val="center"/>
          </w:tcPr>
          <w:p w14:paraId="09F4461E">
            <w:pPr>
              <w:jc w:val="center"/>
              <w:rPr>
                <w:rFonts w:eastAsia="楷体_GB2312"/>
                <w:color w:val="000000"/>
                <w:kern w:val="0"/>
                <w:szCs w:val="21"/>
              </w:rPr>
            </w:pPr>
            <w:r>
              <w:rPr>
                <w:rFonts w:eastAsia="楷体_GB2312"/>
                <w:color w:val="000000"/>
                <w:kern w:val="0"/>
                <w:szCs w:val="21"/>
              </w:rPr>
              <w:t>大营镇农贸市场</w:t>
            </w:r>
          </w:p>
        </w:tc>
        <w:tc>
          <w:tcPr>
            <w:tcW w:w="0" w:type="auto"/>
            <w:noWrap/>
            <w:vAlign w:val="center"/>
          </w:tcPr>
          <w:p w14:paraId="59DD8DD6">
            <w:pPr>
              <w:jc w:val="center"/>
              <w:rPr>
                <w:color w:val="000000"/>
                <w:kern w:val="0"/>
                <w:szCs w:val="21"/>
              </w:rPr>
            </w:pPr>
            <w:r>
              <w:rPr>
                <w:color w:val="000000"/>
                <w:kern w:val="0"/>
                <w:szCs w:val="21"/>
              </w:rPr>
              <w:t>1.0000</w:t>
            </w:r>
          </w:p>
        </w:tc>
        <w:tc>
          <w:tcPr>
            <w:tcW w:w="0" w:type="auto"/>
            <w:noWrap/>
            <w:vAlign w:val="center"/>
          </w:tcPr>
          <w:p w14:paraId="42A5C3E3">
            <w:pPr>
              <w:jc w:val="center"/>
              <w:rPr>
                <w:color w:val="000000"/>
                <w:kern w:val="0"/>
                <w:szCs w:val="21"/>
              </w:rPr>
            </w:pPr>
            <w:r>
              <w:rPr>
                <w:color w:val="000000"/>
                <w:kern w:val="0"/>
                <w:szCs w:val="21"/>
              </w:rPr>
              <w:t>1</w:t>
            </w:r>
          </w:p>
        </w:tc>
        <w:tc>
          <w:tcPr>
            <w:tcW w:w="0" w:type="auto"/>
            <w:noWrap/>
            <w:vAlign w:val="center"/>
          </w:tcPr>
          <w:p w14:paraId="38FD7325">
            <w:pPr>
              <w:jc w:val="center"/>
              <w:rPr>
                <w:color w:val="000000"/>
                <w:kern w:val="0"/>
                <w:szCs w:val="21"/>
              </w:rPr>
            </w:pPr>
            <w:r>
              <w:rPr>
                <w:color w:val="000000"/>
                <w:kern w:val="0"/>
                <w:szCs w:val="21"/>
              </w:rPr>
              <w:t>100</w:t>
            </w:r>
          </w:p>
        </w:tc>
        <w:tc>
          <w:tcPr>
            <w:tcW w:w="0" w:type="auto"/>
            <w:noWrap/>
            <w:vAlign w:val="center"/>
          </w:tcPr>
          <w:p w14:paraId="308235CF">
            <w:pPr>
              <w:jc w:val="center"/>
              <w:rPr>
                <w:color w:val="000000"/>
                <w:kern w:val="0"/>
                <w:szCs w:val="21"/>
              </w:rPr>
            </w:pPr>
            <w:r>
              <w:rPr>
                <w:rFonts w:hint="eastAsia"/>
                <w:color w:val="000000"/>
                <w:kern w:val="0"/>
                <w:szCs w:val="21"/>
              </w:rPr>
              <w:t>1600</w:t>
            </w:r>
          </w:p>
        </w:tc>
      </w:tr>
      <w:tr w14:paraId="1D49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491273F9">
            <w:pPr>
              <w:jc w:val="center"/>
              <w:rPr>
                <w:color w:val="000000"/>
                <w:kern w:val="0"/>
                <w:szCs w:val="21"/>
              </w:rPr>
            </w:pPr>
            <w:r>
              <w:rPr>
                <w:color w:val="000000"/>
                <w:kern w:val="0"/>
                <w:szCs w:val="21"/>
              </w:rPr>
              <w:t>13</w:t>
            </w:r>
          </w:p>
        </w:tc>
        <w:tc>
          <w:tcPr>
            <w:tcW w:w="0" w:type="auto"/>
            <w:noWrap w:val="0"/>
            <w:vAlign w:val="center"/>
          </w:tcPr>
          <w:p w14:paraId="465F9D9E">
            <w:pPr>
              <w:jc w:val="center"/>
              <w:rPr>
                <w:rFonts w:eastAsia="楷体_GB2312"/>
                <w:color w:val="000000"/>
                <w:kern w:val="0"/>
                <w:szCs w:val="21"/>
              </w:rPr>
            </w:pPr>
            <w:r>
              <w:rPr>
                <w:rFonts w:eastAsia="楷体_GB2312"/>
                <w:color w:val="000000"/>
                <w:kern w:val="0"/>
                <w:szCs w:val="21"/>
              </w:rPr>
              <w:t>褚兰镇</w:t>
            </w:r>
          </w:p>
        </w:tc>
        <w:tc>
          <w:tcPr>
            <w:tcW w:w="0" w:type="auto"/>
            <w:noWrap w:val="0"/>
            <w:vAlign w:val="center"/>
          </w:tcPr>
          <w:p w14:paraId="1B49517F">
            <w:pPr>
              <w:jc w:val="center"/>
              <w:rPr>
                <w:color w:val="000000"/>
                <w:kern w:val="0"/>
                <w:szCs w:val="21"/>
              </w:rPr>
            </w:pPr>
            <w:r>
              <w:rPr>
                <w:color w:val="000000"/>
                <w:kern w:val="0"/>
                <w:szCs w:val="21"/>
              </w:rPr>
              <w:t>1</w:t>
            </w:r>
          </w:p>
        </w:tc>
        <w:tc>
          <w:tcPr>
            <w:tcW w:w="0" w:type="auto"/>
            <w:noWrap w:val="0"/>
            <w:vAlign w:val="center"/>
          </w:tcPr>
          <w:p w14:paraId="068F7E77">
            <w:pPr>
              <w:jc w:val="center"/>
              <w:rPr>
                <w:rFonts w:eastAsia="楷体_GB2312"/>
                <w:color w:val="000000"/>
                <w:kern w:val="0"/>
                <w:szCs w:val="21"/>
              </w:rPr>
            </w:pPr>
            <w:r>
              <w:rPr>
                <w:rFonts w:eastAsia="楷体_GB2312"/>
                <w:color w:val="000000"/>
                <w:kern w:val="0"/>
                <w:szCs w:val="21"/>
              </w:rPr>
              <w:t>褚兰镇农贸市场</w:t>
            </w:r>
          </w:p>
        </w:tc>
        <w:tc>
          <w:tcPr>
            <w:tcW w:w="0" w:type="auto"/>
            <w:noWrap/>
            <w:vAlign w:val="center"/>
          </w:tcPr>
          <w:p w14:paraId="77EDD556">
            <w:pPr>
              <w:jc w:val="center"/>
              <w:rPr>
                <w:color w:val="000000"/>
                <w:kern w:val="0"/>
                <w:szCs w:val="21"/>
              </w:rPr>
            </w:pPr>
            <w:r>
              <w:rPr>
                <w:color w:val="000000"/>
                <w:kern w:val="0"/>
                <w:szCs w:val="21"/>
              </w:rPr>
              <w:t>1.0000</w:t>
            </w:r>
          </w:p>
        </w:tc>
        <w:tc>
          <w:tcPr>
            <w:tcW w:w="0" w:type="auto"/>
            <w:noWrap/>
            <w:vAlign w:val="center"/>
          </w:tcPr>
          <w:p w14:paraId="5DF7AFA8">
            <w:pPr>
              <w:jc w:val="center"/>
              <w:rPr>
                <w:color w:val="000000"/>
                <w:kern w:val="0"/>
                <w:szCs w:val="21"/>
              </w:rPr>
            </w:pPr>
            <w:r>
              <w:rPr>
                <w:color w:val="000000"/>
                <w:kern w:val="0"/>
                <w:szCs w:val="21"/>
              </w:rPr>
              <w:t>1</w:t>
            </w:r>
          </w:p>
        </w:tc>
        <w:tc>
          <w:tcPr>
            <w:tcW w:w="0" w:type="auto"/>
            <w:noWrap/>
            <w:vAlign w:val="center"/>
          </w:tcPr>
          <w:p w14:paraId="22BAFE6B">
            <w:pPr>
              <w:jc w:val="center"/>
              <w:rPr>
                <w:color w:val="000000"/>
                <w:kern w:val="0"/>
                <w:szCs w:val="21"/>
              </w:rPr>
            </w:pPr>
            <w:r>
              <w:rPr>
                <w:color w:val="000000"/>
                <w:kern w:val="0"/>
                <w:szCs w:val="21"/>
              </w:rPr>
              <w:t>100</w:t>
            </w:r>
          </w:p>
        </w:tc>
        <w:tc>
          <w:tcPr>
            <w:tcW w:w="0" w:type="auto"/>
            <w:noWrap/>
            <w:vAlign w:val="center"/>
          </w:tcPr>
          <w:p w14:paraId="65228385">
            <w:pPr>
              <w:jc w:val="center"/>
              <w:rPr>
                <w:color w:val="000000"/>
                <w:kern w:val="0"/>
                <w:szCs w:val="21"/>
              </w:rPr>
            </w:pPr>
            <w:r>
              <w:rPr>
                <w:rFonts w:hint="eastAsia"/>
                <w:color w:val="000000"/>
                <w:kern w:val="0"/>
                <w:szCs w:val="21"/>
              </w:rPr>
              <w:t>1600</w:t>
            </w:r>
          </w:p>
        </w:tc>
      </w:tr>
      <w:tr w14:paraId="57A9C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18837DC2">
            <w:pPr>
              <w:jc w:val="center"/>
              <w:rPr>
                <w:color w:val="000000"/>
                <w:kern w:val="0"/>
                <w:szCs w:val="21"/>
              </w:rPr>
            </w:pPr>
            <w:r>
              <w:rPr>
                <w:color w:val="000000"/>
                <w:kern w:val="0"/>
                <w:szCs w:val="21"/>
              </w:rPr>
              <w:t>14</w:t>
            </w:r>
          </w:p>
        </w:tc>
        <w:tc>
          <w:tcPr>
            <w:tcW w:w="0" w:type="auto"/>
            <w:noWrap w:val="0"/>
            <w:vAlign w:val="center"/>
          </w:tcPr>
          <w:p w14:paraId="020A84A9">
            <w:pPr>
              <w:jc w:val="center"/>
              <w:rPr>
                <w:rFonts w:eastAsia="楷体_GB2312"/>
                <w:color w:val="000000"/>
                <w:kern w:val="0"/>
                <w:szCs w:val="21"/>
              </w:rPr>
            </w:pPr>
            <w:r>
              <w:rPr>
                <w:rFonts w:eastAsia="楷体_GB2312"/>
                <w:color w:val="000000"/>
                <w:kern w:val="0"/>
                <w:szCs w:val="21"/>
              </w:rPr>
              <w:t>顺河镇</w:t>
            </w:r>
          </w:p>
        </w:tc>
        <w:tc>
          <w:tcPr>
            <w:tcW w:w="0" w:type="auto"/>
            <w:noWrap w:val="0"/>
            <w:vAlign w:val="center"/>
          </w:tcPr>
          <w:p w14:paraId="00AB686C">
            <w:pPr>
              <w:jc w:val="center"/>
              <w:rPr>
                <w:color w:val="000000"/>
                <w:kern w:val="0"/>
                <w:szCs w:val="21"/>
              </w:rPr>
            </w:pPr>
            <w:r>
              <w:rPr>
                <w:color w:val="000000"/>
                <w:kern w:val="0"/>
                <w:szCs w:val="21"/>
              </w:rPr>
              <w:t>1</w:t>
            </w:r>
          </w:p>
        </w:tc>
        <w:tc>
          <w:tcPr>
            <w:tcW w:w="0" w:type="auto"/>
            <w:noWrap w:val="0"/>
            <w:vAlign w:val="center"/>
          </w:tcPr>
          <w:p w14:paraId="7D1A0BF5">
            <w:pPr>
              <w:jc w:val="center"/>
              <w:rPr>
                <w:rFonts w:eastAsia="楷体_GB2312"/>
                <w:color w:val="000000"/>
                <w:kern w:val="0"/>
                <w:szCs w:val="21"/>
              </w:rPr>
            </w:pPr>
            <w:r>
              <w:rPr>
                <w:rFonts w:eastAsia="楷体_GB2312"/>
                <w:color w:val="000000"/>
                <w:kern w:val="0"/>
                <w:szCs w:val="21"/>
              </w:rPr>
              <w:t>顺河镇农贸市场</w:t>
            </w:r>
          </w:p>
        </w:tc>
        <w:tc>
          <w:tcPr>
            <w:tcW w:w="0" w:type="auto"/>
            <w:noWrap/>
            <w:vAlign w:val="center"/>
          </w:tcPr>
          <w:p w14:paraId="3418BC38">
            <w:pPr>
              <w:jc w:val="center"/>
              <w:rPr>
                <w:color w:val="000000"/>
                <w:kern w:val="0"/>
                <w:szCs w:val="21"/>
              </w:rPr>
            </w:pPr>
            <w:r>
              <w:rPr>
                <w:color w:val="000000"/>
                <w:kern w:val="0"/>
                <w:szCs w:val="21"/>
              </w:rPr>
              <w:t>1.0000</w:t>
            </w:r>
          </w:p>
        </w:tc>
        <w:tc>
          <w:tcPr>
            <w:tcW w:w="0" w:type="auto"/>
            <w:noWrap/>
            <w:vAlign w:val="center"/>
          </w:tcPr>
          <w:p w14:paraId="3E78DA07">
            <w:pPr>
              <w:jc w:val="center"/>
              <w:rPr>
                <w:color w:val="000000"/>
                <w:kern w:val="0"/>
                <w:szCs w:val="21"/>
              </w:rPr>
            </w:pPr>
            <w:r>
              <w:rPr>
                <w:color w:val="000000"/>
                <w:kern w:val="0"/>
                <w:szCs w:val="21"/>
              </w:rPr>
              <w:t>1</w:t>
            </w:r>
          </w:p>
        </w:tc>
        <w:tc>
          <w:tcPr>
            <w:tcW w:w="0" w:type="auto"/>
            <w:noWrap/>
            <w:vAlign w:val="center"/>
          </w:tcPr>
          <w:p w14:paraId="7BDEA673">
            <w:pPr>
              <w:jc w:val="center"/>
              <w:rPr>
                <w:color w:val="000000"/>
                <w:kern w:val="0"/>
                <w:szCs w:val="21"/>
              </w:rPr>
            </w:pPr>
            <w:r>
              <w:rPr>
                <w:color w:val="000000"/>
                <w:kern w:val="0"/>
                <w:szCs w:val="21"/>
              </w:rPr>
              <w:t>100</w:t>
            </w:r>
          </w:p>
        </w:tc>
        <w:tc>
          <w:tcPr>
            <w:tcW w:w="0" w:type="auto"/>
            <w:noWrap/>
            <w:vAlign w:val="center"/>
          </w:tcPr>
          <w:p w14:paraId="5C4E97EE">
            <w:pPr>
              <w:jc w:val="center"/>
              <w:rPr>
                <w:color w:val="000000"/>
                <w:kern w:val="0"/>
                <w:szCs w:val="21"/>
              </w:rPr>
            </w:pPr>
            <w:r>
              <w:rPr>
                <w:rFonts w:hint="eastAsia"/>
                <w:color w:val="000000"/>
                <w:kern w:val="0"/>
                <w:szCs w:val="21"/>
              </w:rPr>
              <w:t>3000</w:t>
            </w:r>
          </w:p>
        </w:tc>
      </w:tr>
      <w:tr w14:paraId="578C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1785AA8B">
            <w:pPr>
              <w:jc w:val="center"/>
              <w:rPr>
                <w:color w:val="000000"/>
                <w:kern w:val="0"/>
                <w:szCs w:val="21"/>
              </w:rPr>
            </w:pPr>
            <w:r>
              <w:rPr>
                <w:color w:val="000000"/>
                <w:kern w:val="0"/>
                <w:szCs w:val="21"/>
              </w:rPr>
              <w:t>15</w:t>
            </w:r>
          </w:p>
        </w:tc>
        <w:tc>
          <w:tcPr>
            <w:tcW w:w="0" w:type="auto"/>
            <w:noWrap w:val="0"/>
            <w:vAlign w:val="center"/>
          </w:tcPr>
          <w:p w14:paraId="399246C8">
            <w:pPr>
              <w:jc w:val="center"/>
              <w:rPr>
                <w:rFonts w:eastAsia="楷体_GB2312"/>
                <w:color w:val="000000"/>
                <w:kern w:val="0"/>
                <w:szCs w:val="21"/>
              </w:rPr>
            </w:pPr>
            <w:r>
              <w:rPr>
                <w:rFonts w:eastAsia="楷体_GB2312"/>
                <w:color w:val="000000"/>
                <w:kern w:val="0"/>
                <w:szCs w:val="21"/>
              </w:rPr>
              <w:t>杨庄镇</w:t>
            </w:r>
          </w:p>
        </w:tc>
        <w:tc>
          <w:tcPr>
            <w:tcW w:w="0" w:type="auto"/>
            <w:noWrap w:val="0"/>
            <w:vAlign w:val="center"/>
          </w:tcPr>
          <w:p w14:paraId="0C026905">
            <w:pPr>
              <w:jc w:val="center"/>
              <w:rPr>
                <w:color w:val="000000"/>
                <w:kern w:val="0"/>
                <w:szCs w:val="21"/>
              </w:rPr>
            </w:pPr>
            <w:r>
              <w:rPr>
                <w:color w:val="000000"/>
                <w:kern w:val="0"/>
                <w:szCs w:val="21"/>
              </w:rPr>
              <w:t>1</w:t>
            </w:r>
          </w:p>
        </w:tc>
        <w:tc>
          <w:tcPr>
            <w:tcW w:w="0" w:type="auto"/>
            <w:noWrap w:val="0"/>
            <w:vAlign w:val="center"/>
          </w:tcPr>
          <w:p w14:paraId="102B4FD6">
            <w:pPr>
              <w:jc w:val="center"/>
              <w:rPr>
                <w:rFonts w:eastAsia="楷体_GB2312"/>
                <w:color w:val="000000"/>
                <w:kern w:val="0"/>
                <w:szCs w:val="21"/>
              </w:rPr>
            </w:pPr>
            <w:r>
              <w:rPr>
                <w:rFonts w:eastAsia="楷体_GB2312"/>
                <w:color w:val="000000"/>
                <w:kern w:val="0"/>
                <w:szCs w:val="21"/>
              </w:rPr>
              <w:t>杨庄镇农贸市场</w:t>
            </w:r>
          </w:p>
        </w:tc>
        <w:tc>
          <w:tcPr>
            <w:tcW w:w="0" w:type="auto"/>
            <w:noWrap/>
            <w:vAlign w:val="center"/>
          </w:tcPr>
          <w:p w14:paraId="318FA5A7">
            <w:pPr>
              <w:jc w:val="center"/>
              <w:rPr>
                <w:color w:val="000000"/>
                <w:kern w:val="0"/>
                <w:szCs w:val="21"/>
              </w:rPr>
            </w:pPr>
            <w:r>
              <w:rPr>
                <w:color w:val="000000"/>
                <w:kern w:val="0"/>
                <w:szCs w:val="21"/>
              </w:rPr>
              <w:t>1.0000</w:t>
            </w:r>
          </w:p>
        </w:tc>
        <w:tc>
          <w:tcPr>
            <w:tcW w:w="0" w:type="auto"/>
            <w:noWrap/>
            <w:vAlign w:val="center"/>
          </w:tcPr>
          <w:p w14:paraId="41C0C049">
            <w:pPr>
              <w:jc w:val="center"/>
              <w:rPr>
                <w:color w:val="000000"/>
                <w:kern w:val="0"/>
                <w:szCs w:val="21"/>
              </w:rPr>
            </w:pPr>
            <w:r>
              <w:rPr>
                <w:color w:val="000000"/>
                <w:kern w:val="0"/>
                <w:szCs w:val="21"/>
              </w:rPr>
              <w:t>1</w:t>
            </w:r>
          </w:p>
        </w:tc>
        <w:tc>
          <w:tcPr>
            <w:tcW w:w="0" w:type="auto"/>
            <w:noWrap/>
            <w:vAlign w:val="center"/>
          </w:tcPr>
          <w:p w14:paraId="3AE57298">
            <w:pPr>
              <w:jc w:val="center"/>
              <w:rPr>
                <w:color w:val="000000"/>
                <w:kern w:val="0"/>
                <w:szCs w:val="21"/>
              </w:rPr>
            </w:pPr>
            <w:r>
              <w:rPr>
                <w:color w:val="000000"/>
                <w:kern w:val="0"/>
                <w:szCs w:val="21"/>
              </w:rPr>
              <w:t>100</w:t>
            </w:r>
          </w:p>
        </w:tc>
        <w:tc>
          <w:tcPr>
            <w:tcW w:w="0" w:type="auto"/>
            <w:noWrap/>
            <w:vAlign w:val="center"/>
          </w:tcPr>
          <w:p w14:paraId="1C174C69">
            <w:pPr>
              <w:jc w:val="center"/>
              <w:rPr>
                <w:color w:val="000000"/>
                <w:kern w:val="0"/>
                <w:szCs w:val="21"/>
              </w:rPr>
            </w:pPr>
            <w:r>
              <w:rPr>
                <w:rFonts w:hint="eastAsia"/>
                <w:color w:val="000000"/>
                <w:kern w:val="0"/>
                <w:szCs w:val="21"/>
              </w:rPr>
              <w:t>1300</w:t>
            </w:r>
          </w:p>
        </w:tc>
      </w:tr>
      <w:tr w14:paraId="2B4C6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360A7DDB">
            <w:pPr>
              <w:jc w:val="center"/>
              <w:rPr>
                <w:color w:val="000000"/>
                <w:kern w:val="0"/>
                <w:szCs w:val="21"/>
              </w:rPr>
            </w:pPr>
            <w:r>
              <w:rPr>
                <w:color w:val="000000"/>
                <w:kern w:val="0"/>
                <w:szCs w:val="21"/>
              </w:rPr>
              <w:t>16</w:t>
            </w:r>
          </w:p>
        </w:tc>
        <w:tc>
          <w:tcPr>
            <w:tcW w:w="0" w:type="auto"/>
            <w:noWrap w:val="0"/>
            <w:vAlign w:val="center"/>
          </w:tcPr>
          <w:p w14:paraId="11438225">
            <w:pPr>
              <w:jc w:val="center"/>
              <w:rPr>
                <w:rFonts w:eastAsia="楷体_GB2312"/>
                <w:color w:val="000000"/>
                <w:kern w:val="0"/>
                <w:szCs w:val="21"/>
              </w:rPr>
            </w:pPr>
            <w:r>
              <w:rPr>
                <w:rFonts w:eastAsia="楷体_GB2312"/>
                <w:color w:val="000000"/>
                <w:kern w:val="0"/>
                <w:szCs w:val="21"/>
              </w:rPr>
              <w:t>永镇乡</w:t>
            </w:r>
          </w:p>
        </w:tc>
        <w:tc>
          <w:tcPr>
            <w:tcW w:w="0" w:type="auto"/>
            <w:noWrap w:val="0"/>
            <w:vAlign w:val="center"/>
          </w:tcPr>
          <w:p w14:paraId="7C9A44D1">
            <w:pPr>
              <w:jc w:val="center"/>
              <w:rPr>
                <w:color w:val="000000"/>
                <w:kern w:val="0"/>
                <w:szCs w:val="21"/>
              </w:rPr>
            </w:pPr>
            <w:r>
              <w:rPr>
                <w:color w:val="000000"/>
                <w:kern w:val="0"/>
                <w:szCs w:val="21"/>
              </w:rPr>
              <w:t>1</w:t>
            </w:r>
          </w:p>
        </w:tc>
        <w:tc>
          <w:tcPr>
            <w:tcW w:w="0" w:type="auto"/>
            <w:noWrap w:val="0"/>
            <w:vAlign w:val="center"/>
          </w:tcPr>
          <w:p w14:paraId="7C30BB01">
            <w:pPr>
              <w:jc w:val="center"/>
              <w:rPr>
                <w:rFonts w:eastAsia="楷体_GB2312"/>
                <w:color w:val="000000"/>
                <w:kern w:val="0"/>
                <w:szCs w:val="21"/>
              </w:rPr>
            </w:pPr>
            <w:r>
              <w:rPr>
                <w:rFonts w:eastAsia="楷体_GB2312"/>
                <w:color w:val="000000"/>
                <w:kern w:val="0"/>
                <w:szCs w:val="21"/>
              </w:rPr>
              <w:t>永镇乡农贸市场</w:t>
            </w:r>
          </w:p>
        </w:tc>
        <w:tc>
          <w:tcPr>
            <w:tcW w:w="0" w:type="auto"/>
            <w:noWrap/>
            <w:vAlign w:val="center"/>
          </w:tcPr>
          <w:p w14:paraId="2C5D8542">
            <w:pPr>
              <w:jc w:val="center"/>
              <w:rPr>
                <w:color w:val="000000"/>
                <w:kern w:val="0"/>
                <w:szCs w:val="21"/>
              </w:rPr>
            </w:pPr>
            <w:r>
              <w:rPr>
                <w:color w:val="000000"/>
                <w:kern w:val="0"/>
                <w:szCs w:val="21"/>
              </w:rPr>
              <w:t>1.0000</w:t>
            </w:r>
          </w:p>
        </w:tc>
        <w:tc>
          <w:tcPr>
            <w:tcW w:w="0" w:type="auto"/>
            <w:noWrap/>
            <w:vAlign w:val="center"/>
          </w:tcPr>
          <w:p w14:paraId="023B9763">
            <w:pPr>
              <w:jc w:val="center"/>
              <w:rPr>
                <w:color w:val="000000"/>
                <w:kern w:val="0"/>
                <w:szCs w:val="21"/>
              </w:rPr>
            </w:pPr>
            <w:r>
              <w:rPr>
                <w:color w:val="000000"/>
                <w:kern w:val="0"/>
                <w:szCs w:val="21"/>
              </w:rPr>
              <w:t>1</w:t>
            </w:r>
          </w:p>
        </w:tc>
        <w:tc>
          <w:tcPr>
            <w:tcW w:w="0" w:type="auto"/>
            <w:noWrap/>
            <w:vAlign w:val="center"/>
          </w:tcPr>
          <w:p w14:paraId="457D2F65">
            <w:pPr>
              <w:jc w:val="center"/>
              <w:rPr>
                <w:color w:val="000000"/>
                <w:kern w:val="0"/>
                <w:szCs w:val="21"/>
              </w:rPr>
            </w:pPr>
            <w:r>
              <w:rPr>
                <w:color w:val="000000"/>
                <w:kern w:val="0"/>
                <w:szCs w:val="21"/>
              </w:rPr>
              <w:t>100</w:t>
            </w:r>
          </w:p>
        </w:tc>
        <w:tc>
          <w:tcPr>
            <w:tcW w:w="0" w:type="auto"/>
            <w:noWrap/>
            <w:vAlign w:val="center"/>
          </w:tcPr>
          <w:p w14:paraId="0BF46376">
            <w:pPr>
              <w:jc w:val="center"/>
              <w:rPr>
                <w:color w:val="000000"/>
                <w:kern w:val="0"/>
                <w:szCs w:val="21"/>
              </w:rPr>
            </w:pPr>
            <w:r>
              <w:rPr>
                <w:rFonts w:hint="eastAsia"/>
                <w:color w:val="000000"/>
                <w:kern w:val="0"/>
                <w:szCs w:val="21"/>
              </w:rPr>
              <w:t>1200</w:t>
            </w:r>
          </w:p>
        </w:tc>
      </w:tr>
      <w:tr w14:paraId="61FCC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73D400CF">
            <w:pPr>
              <w:jc w:val="center"/>
              <w:rPr>
                <w:color w:val="000000"/>
                <w:kern w:val="0"/>
                <w:szCs w:val="21"/>
              </w:rPr>
            </w:pPr>
            <w:r>
              <w:rPr>
                <w:color w:val="000000"/>
                <w:kern w:val="0"/>
                <w:szCs w:val="21"/>
              </w:rPr>
              <w:t>17</w:t>
            </w:r>
          </w:p>
        </w:tc>
        <w:tc>
          <w:tcPr>
            <w:tcW w:w="0" w:type="auto"/>
            <w:noWrap w:val="0"/>
            <w:vAlign w:val="center"/>
          </w:tcPr>
          <w:p w14:paraId="53A6A099">
            <w:pPr>
              <w:jc w:val="center"/>
              <w:rPr>
                <w:rFonts w:eastAsia="楷体_GB2312"/>
                <w:color w:val="000000"/>
                <w:kern w:val="0"/>
                <w:szCs w:val="21"/>
              </w:rPr>
            </w:pPr>
            <w:r>
              <w:rPr>
                <w:rFonts w:eastAsia="楷体_GB2312"/>
                <w:color w:val="000000"/>
                <w:kern w:val="0"/>
                <w:szCs w:val="21"/>
              </w:rPr>
              <w:t>解集镇</w:t>
            </w:r>
          </w:p>
        </w:tc>
        <w:tc>
          <w:tcPr>
            <w:tcW w:w="0" w:type="auto"/>
            <w:noWrap w:val="0"/>
            <w:vAlign w:val="center"/>
          </w:tcPr>
          <w:p w14:paraId="6A53D4B0">
            <w:pPr>
              <w:jc w:val="center"/>
              <w:rPr>
                <w:color w:val="000000"/>
                <w:kern w:val="0"/>
                <w:szCs w:val="21"/>
              </w:rPr>
            </w:pPr>
            <w:r>
              <w:rPr>
                <w:color w:val="000000"/>
                <w:kern w:val="0"/>
                <w:szCs w:val="21"/>
              </w:rPr>
              <w:t>1</w:t>
            </w:r>
          </w:p>
        </w:tc>
        <w:tc>
          <w:tcPr>
            <w:tcW w:w="0" w:type="auto"/>
            <w:noWrap w:val="0"/>
            <w:vAlign w:val="center"/>
          </w:tcPr>
          <w:p w14:paraId="79CFA23E">
            <w:pPr>
              <w:jc w:val="center"/>
              <w:rPr>
                <w:rFonts w:eastAsia="楷体_GB2312"/>
                <w:color w:val="000000"/>
                <w:kern w:val="0"/>
                <w:szCs w:val="21"/>
              </w:rPr>
            </w:pPr>
            <w:r>
              <w:rPr>
                <w:rFonts w:eastAsia="楷体_GB2312"/>
                <w:color w:val="000000"/>
                <w:kern w:val="0"/>
                <w:szCs w:val="21"/>
              </w:rPr>
              <w:t>解集镇农贸市场</w:t>
            </w:r>
          </w:p>
        </w:tc>
        <w:tc>
          <w:tcPr>
            <w:tcW w:w="0" w:type="auto"/>
            <w:noWrap/>
            <w:vAlign w:val="center"/>
          </w:tcPr>
          <w:p w14:paraId="3295822A">
            <w:pPr>
              <w:jc w:val="center"/>
              <w:rPr>
                <w:color w:val="000000"/>
                <w:kern w:val="0"/>
                <w:szCs w:val="21"/>
              </w:rPr>
            </w:pPr>
            <w:r>
              <w:rPr>
                <w:color w:val="000000"/>
                <w:kern w:val="0"/>
                <w:szCs w:val="21"/>
              </w:rPr>
              <w:t>1.0000</w:t>
            </w:r>
          </w:p>
        </w:tc>
        <w:tc>
          <w:tcPr>
            <w:tcW w:w="0" w:type="auto"/>
            <w:noWrap/>
            <w:vAlign w:val="center"/>
          </w:tcPr>
          <w:p w14:paraId="5E66A806">
            <w:pPr>
              <w:jc w:val="center"/>
              <w:rPr>
                <w:color w:val="000000"/>
                <w:kern w:val="0"/>
                <w:szCs w:val="21"/>
              </w:rPr>
            </w:pPr>
            <w:r>
              <w:rPr>
                <w:color w:val="000000"/>
                <w:kern w:val="0"/>
                <w:szCs w:val="21"/>
              </w:rPr>
              <w:t>1</w:t>
            </w:r>
          </w:p>
        </w:tc>
        <w:tc>
          <w:tcPr>
            <w:tcW w:w="0" w:type="auto"/>
            <w:noWrap/>
            <w:vAlign w:val="center"/>
          </w:tcPr>
          <w:p w14:paraId="5DC8ACD4">
            <w:pPr>
              <w:jc w:val="center"/>
              <w:rPr>
                <w:color w:val="000000"/>
                <w:kern w:val="0"/>
                <w:szCs w:val="21"/>
              </w:rPr>
            </w:pPr>
            <w:r>
              <w:rPr>
                <w:color w:val="000000"/>
                <w:kern w:val="0"/>
                <w:szCs w:val="21"/>
              </w:rPr>
              <w:t>100</w:t>
            </w:r>
          </w:p>
        </w:tc>
        <w:tc>
          <w:tcPr>
            <w:tcW w:w="0" w:type="auto"/>
            <w:noWrap/>
            <w:vAlign w:val="center"/>
          </w:tcPr>
          <w:p w14:paraId="58E60682">
            <w:pPr>
              <w:jc w:val="center"/>
              <w:rPr>
                <w:color w:val="000000"/>
                <w:kern w:val="0"/>
                <w:szCs w:val="21"/>
              </w:rPr>
            </w:pPr>
            <w:r>
              <w:rPr>
                <w:rFonts w:hint="eastAsia"/>
                <w:color w:val="000000"/>
                <w:kern w:val="0"/>
                <w:szCs w:val="21"/>
              </w:rPr>
              <w:t>1500</w:t>
            </w:r>
          </w:p>
        </w:tc>
      </w:tr>
      <w:tr w14:paraId="4E8F6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5F9D8ABB">
            <w:pPr>
              <w:jc w:val="center"/>
              <w:rPr>
                <w:color w:val="000000"/>
                <w:kern w:val="0"/>
                <w:szCs w:val="21"/>
              </w:rPr>
            </w:pPr>
            <w:r>
              <w:rPr>
                <w:color w:val="000000"/>
                <w:kern w:val="0"/>
                <w:szCs w:val="21"/>
              </w:rPr>
              <w:t>18</w:t>
            </w:r>
          </w:p>
        </w:tc>
        <w:tc>
          <w:tcPr>
            <w:tcW w:w="0" w:type="auto"/>
            <w:noWrap w:val="0"/>
            <w:vAlign w:val="center"/>
          </w:tcPr>
          <w:p w14:paraId="4FF00354">
            <w:pPr>
              <w:jc w:val="center"/>
              <w:rPr>
                <w:rFonts w:eastAsia="楷体_GB2312"/>
                <w:color w:val="000000"/>
                <w:kern w:val="0"/>
                <w:szCs w:val="21"/>
              </w:rPr>
            </w:pPr>
            <w:r>
              <w:rPr>
                <w:rFonts w:eastAsia="楷体_GB2312"/>
                <w:color w:val="000000"/>
                <w:kern w:val="0"/>
                <w:szCs w:val="21"/>
              </w:rPr>
              <w:t>大泽乡镇</w:t>
            </w:r>
          </w:p>
        </w:tc>
        <w:tc>
          <w:tcPr>
            <w:tcW w:w="0" w:type="auto"/>
            <w:noWrap w:val="0"/>
            <w:vAlign w:val="center"/>
          </w:tcPr>
          <w:p w14:paraId="45D86955">
            <w:pPr>
              <w:jc w:val="center"/>
              <w:rPr>
                <w:color w:val="000000"/>
                <w:kern w:val="0"/>
                <w:szCs w:val="21"/>
              </w:rPr>
            </w:pPr>
            <w:r>
              <w:rPr>
                <w:color w:val="000000"/>
                <w:kern w:val="0"/>
                <w:szCs w:val="21"/>
              </w:rPr>
              <w:t>1</w:t>
            </w:r>
          </w:p>
        </w:tc>
        <w:tc>
          <w:tcPr>
            <w:tcW w:w="0" w:type="auto"/>
            <w:noWrap w:val="0"/>
            <w:vAlign w:val="center"/>
          </w:tcPr>
          <w:p w14:paraId="73CAF934">
            <w:pPr>
              <w:jc w:val="center"/>
              <w:rPr>
                <w:rFonts w:eastAsia="楷体_GB2312"/>
                <w:color w:val="000000"/>
                <w:kern w:val="0"/>
                <w:szCs w:val="21"/>
              </w:rPr>
            </w:pPr>
            <w:r>
              <w:rPr>
                <w:rFonts w:eastAsia="楷体_GB2312"/>
                <w:color w:val="000000"/>
                <w:kern w:val="0"/>
                <w:szCs w:val="21"/>
              </w:rPr>
              <w:t>大泽乡镇农贸市场</w:t>
            </w:r>
          </w:p>
        </w:tc>
        <w:tc>
          <w:tcPr>
            <w:tcW w:w="0" w:type="auto"/>
            <w:noWrap/>
            <w:vAlign w:val="center"/>
          </w:tcPr>
          <w:p w14:paraId="09979C70">
            <w:pPr>
              <w:jc w:val="center"/>
              <w:rPr>
                <w:color w:val="000000"/>
                <w:kern w:val="0"/>
                <w:szCs w:val="21"/>
              </w:rPr>
            </w:pPr>
            <w:r>
              <w:rPr>
                <w:color w:val="000000"/>
                <w:kern w:val="0"/>
                <w:szCs w:val="21"/>
              </w:rPr>
              <w:t>1.0000</w:t>
            </w:r>
          </w:p>
        </w:tc>
        <w:tc>
          <w:tcPr>
            <w:tcW w:w="0" w:type="auto"/>
            <w:noWrap/>
            <w:vAlign w:val="center"/>
          </w:tcPr>
          <w:p w14:paraId="74D9B8B8">
            <w:pPr>
              <w:jc w:val="center"/>
              <w:rPr>
                <w:color w:val="000000"/>
                <w:kern w:val="0"/>
                <w:szCs w:val="21"/>
              </w:rPr>
            </w:pPr>
            <w:r>
              <w:rPr>
                <w:color w:val="000000"/>
                <w:kern w:val="0"/>
                <w:szCs w:val="21"/>
              </w:rPr>
              <w:t>1</w:t>
            </w:r>
          </w:p>
        </w:tc>
        <w:tc>
          <w:tcPr>
            <w:tcW w:w="0" w:type="auto"/>
            <w:noWrap/>
            <w:vAlign w:val="center"/>
          </w:tcPr>
          <w:p w14:paraId="7EFF8FCA">
            <w:pPr>
              <w:jc w:val="center"/>
              <w:rPr>
                <w:color w:val="000000"/>
                <w:kern w:val="0"/>
                <w:szCs w:val="21"/>
              </w:rPr>
            </w:pPr>
            <w:r>
              <w:rPr>
                <w:color w:val="000000"/>
                <w:kern w:val="0"/>
                <w:szCs w:val="21"/>
              </w:rPr>
              <w:t>100</w:t>
            </w:r>
          </w:p>
        </w:tc>
        <w:tc>
          <w:tcPr>
            <w:tcW w:w="0" w:type="auto"/>
            <w:noWrap/>
            <w:vAlign w:val="center"/>
          </w:tcPr>
          <w:p w14:paraId="35C48E9D">
            <w:pPr>
              <w:jc w:val="center"/>
              <w:rPr>
                <w:color w:val="000000"/>
                <w:kern w:val="0"/>
                <w:szCs w:val="21"/>
              </w:rPr>
            </w:pPr>
            <w:r>
              <w:rPr>
                <w:rFonts w:hint="eastAsia"/>
                <w:color w:val="000000"/>
                <w:kern w:val="0"/>
                <w:szCs w:val="21"/>
              </w:rPr>
              <w:t>1500</w:t>
            </w:r>
          </w:p>
        </w:tc>
      </w:tr>
      <w:tr w14:paraId="0B383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786440C0">
            <w:pPr>
              <w:jc w:val="center"/>
              <w:rPr>
                <w:color w:val="000000"/>
                <w:kern w:val="0"/>
                <w:szCs w:val="21"/>
              </w:rPr>
            </w:pPr>
            <w:r>
              <w:rPr>
                <w:color w:val="000000"/>
                <w:kern w:val="0"/>
                <w:szCs w:val="21"/>
              </w:rPr>
              <w:t>19</w:t>
            </w:r>
          </w:p>
        </w:tc>
        <w:tc>
          <w:tcPr>
            <w:tcW w:w="0" w:type="auto"/>
            <w:noWrap w:val="0"/>
            <w:vAlign w:val="center"/>
          </w:tcPr>
          <w:p w14:paraId="0BB7E463">
            <w:pPr>
              <w:jc w:val="center"/>
              <w:rPr>
                <w:rFonts w:eastAsia="楷体_GB2312"/>
                <w:color w:val="000000"/>
                <w:kern w:val="0"/>
                <w:szCs w:val="21"/>
              </w:rPr>
            </w:pPr>
            <w:r>
              <w:rPr>
                <w:rFonts w:eastAsia="楷体_GB2312"/>
                <w:color w:val="000000"/>
                <w:kern w:val="0"/>
                <w:szCs w:val="21"/>
              </w:rPr>
              <w:t>永安镇</w:t>
            </w:r>
          </w:p>
        </w:tc>
        <w:tc>
          <w:tcPr>
            <w:tcW w:w="0" w:type="auto"/>
            <w:noWrap w:val="0"/>
            <w:vAlign w:val="center"/>
          </w:tcPr>
          <w:p w14:paraId="5A5EB382">
            <w:pPr>
              <w:jc w:val="center"/>
              <w:rPr>
                <w:color w:val="000000"/>
                <w:kern w:val="0"/>
                <w:szCs w:val="21"/>
              </w:rPr>
            </w:pPr>
            <w:r>
              <w:rPr>
                <w:color w:val="000000"/>
                <w:kern w:val="0"/>
                <w:szCs w:val="21"/>
              </w:rPr>
              <w:t>1</w:t>
            </w:r>
          </w:p>
        </w:tc>
        <w:tc>
          <w:tcPr>
            <w:tcW w:w="0" w:type="auto"/>
            <w:noWrap w:val="0"/>
            <w:vAlign w:val="center"/>
          </w:tcPr>
          <w:p w14:paraId="2C252DCA">
            <w:pPr>
              <w:jc w:val="center"/>
              <w:rPr>
                <w:rFonts w:eastAsia="楷体_GB2312"/>
                <w:color w:val="000000"/>
                <w:kern w:val="0"/>
                <w:szCs w:val="21"/>
              </w:rPr>
            </w:pPr>
            <w:r>
              <w:rPr>
                <w:rFonts w:eastAsia="楷体_GB2312"/>
                <w:color w:val="000000"/>
                <w:kern w:val="0"/>
                <w:szCs w:val="21"/>
              </w:rPr>
              <w:t>永安镇农贸市场</w:t>
            </w:r>
          </w:p>
        </w:tc>
        <w:tc>
          <w:tcPr>
            <w:tcW w:w="0" w:type="auto"/>
            <w:noWrap/>
            <w:vAlign w:val="center"/>
          </w:tcPr>
          <w:p w14:paraId="73FC81EB">
            <w:pPr>
              <w:jc w:val="center"/>
              <w:rPr>
                <w:color w:val="000000"/>
                <w:kern w:val="0"/>
                <w:szCs w:val="21"/>
              </w:rPr>
            </w:pPr>
            <w:r>
              <w:rPr>
                <w:color w:val="000000"/>
                <w:kern w:val="0"/>
                <w:szCs w:val="21"/>
              </w:rPr>
              <w:t>1.0000</w:t>
            </w:r>
          </w:p>
        </w:tc>
        <w:tc>
          <w:tcPr>
            <w:tcW w:w="0" w:type="auto"/>
            <w:noWrap/>
            <w:vAlign w:val="center"/>
          </w:tcPr>
          <w:p w14:paraId="67046197">
            <w:pPr>
              <w:jc w:val="center"/>
              <w:rPr>
                <w:color w:val="000000"/>
                <w:kern w:val="0"/>
                <w:szCs w:val="21"/>
              </w:rPr>
            </w:pPr>
            <w:r>
              <w:rPr>
                <w:color w:val="000000"/>
                <w:kern w:val="0"/>
                <w:szCs w:val="21"/>
              </w:rPr>
              <w:t>1</w:t>
            </w:r>
          </w:p>
        </w:tc>
        <w:tc>
          <w:tcPr>
            <w:tcW w:w="0" w:type="auto"/>
            <w:noWrap/>
            <w:vAlign w:val="center"/>
          </w:tcPr>
          <w:p w14:paraId="1795E573">
            <w:pPr>
              <w:jc w:val="center"/>
              <w:rPr>
                <w:color w:val="000000"/>
                <w:kern w:val="0"/>
                <w:szCs w:val="21"/>
              </w:rPr>
            </w:pPr>
            <w:r>
              <w:rPr>
                <w:color w:val="000000"/>
                <w:kern w:val="0"/>
                <w:szCs w:val="21"/>
              </w:rPr>
              <w:t>100</w:t>
            </w:r>
          </w:p>
        </w:tc>
        <w:tc>
          <w:tcPr>
            <w:tcW w:w="0" w:type="auto"/>
            <w:noWrap/>
            <w:vAlign w:val="center"/>
          </w:tcPr>
          <w:p w14:paraId="177BCBF3">
            <w:pPr>
              <w:jc w:val="center"/>
              <w:rPr>
                <w:color w:val="000000"/>
                <w:kern w:val="0"/>
                <w:szCs w:val="21"/>
              </w:rPr>
            </w:pPr>
            <w:r>
              <w:rPr>
                <w:rFonts w:hint="eastAsia"/>
                <w:color w:val="000000"/>
                <w:kern w:val="0"/>
                <w:szCs w:val="21"/>
              </w:rPr>
              <w:t>1700</w:t>
            </w:r>
          </w:p>
        </w:tc>
      </w:tr>
      <w:tr w14:paraId="30B96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2C7442D1">
            <w:pPr>
              <w:jc w:val="center"/>
              <w:rPr>
                <w:color w:val="000000"/>
                <w:kern w:val="0"/>
                <w:szCs w:val="21"/>
              </w:rPr>
            </w:pPr>
            <w:r>
              <w:rPr>
                <w:color w:val="000000"/>
                <w:kern w:val="0"/>
                <w:szCs w:val="21"/>
              </w:rPr>
              <w:t>20</w:t>
            </w:r>
          </w:p>
        </w:tc>
        <w:tc>
          <w:tcPr>
            <w:tcW w:w="0" w:type="auto"/>
            <w:noWrap w:val="0"/>
            <w:vAlign w:val="center"/>
          </w:tcPr>
          <w:p w14:paraId="09523E0A">
            <w:pPr>
              <w:jc w:val="center"/>
              <w:rPr>
                <w:rFonts w:eastAsia="楷体_GB2312"/>
                <w:color w:val="000000"/>
                <w:kern w:val="0"/>
                <w:szCs w:val="21"/>
              </w:rPr>
            </w:pPr>
            <w:r>
              <w:rPr>
                <w:rFonts w:eastAsia="楷体_GB2312"/>
                <w:color w:val="000000"/>
                <w:kern w:val="0"/>
                <w:szCs w:val="21"/>
              </w:rPr>
              <w:t>支河乡</w:t>
            </w:r>
          </w:p>
        </w:tc>
        <w:tc>
          <w:tcPr>
            <w:tcW w:w="0" w:type="auto"/>
            <w:noWrap w:val="0"/>
            <w:vAlign w:val="center"/>
          </w:tcPr>
          <w:p w14:paraId="4A592C23">
            <w:pPr>
              <w:jc w:val="center"/>
              <w:rPr>
                <w:color w:val="000000"/>
                <w:kern w:val="0"/>
                <w:szCs w:val="21"/>
              </w:rPr>
            </w:pPr>
            <w:r>
              <w:rPr>
                <w:color w:val="000000"/>
                <w:kern w:val="0"/>
                <w:szCs w:val="21"/>
              </w:rPr>
              <w:t>1</w:t>
            </w:r>
          </w:p>
        </w:tc>
        <w:tc>
          <w:tcPr>
            <w:tcW w:w="0" w:type="auto"/>
            <w:noWrap w:val="0"/>
            <w:vAlign w:val="center"/>
          </w:tcPr>
          <w:p w14:paraId="4EAFED41">
            <w:pPr>
              <w:jc w:val="center"/>
              <w:rPr>
                <w:rFonts w:eastAsia="楷体_GB2312"/>
                <w:color w:val="000000"/>
                <w:kern w:val="0"/>
                <w:szCs w:val="21"/>
              </w:rPr>
            </w:pPr>
            <w:r>
              <w:rPr>
                <w:rFonts w:eastAsia="楷体_GB2312"/>
                <w:color w:val="000000"/>
                <w:kern w:val="0"/>
                <w:szCs w:val="21"/>
              </w:rPr>
              <w:t>支河乡农贸市场</w:t>
            </w:r>
          </w:p>
        </w:tc>
        <w:tc>
          <w:tcPr>
            <w:tcW w:w="0" w:type="auto"/>
            <w:noWrap/>
            <w:vAlign w:val="center"/>
          </w:tcPr>
          <w:p w14:paraId="5C1AD6B9">
            <w:pPr>
              <w:jc w:val="center"/>
              <w:rPr>
                <w:color w:val="000000"/>
                <w:kern w:val="0"/>
                <w:szCs w:val="21"/>
              </w:rPr>
            </w:pPr>
            <w:r>
              <w:rPr>
                <w:color w:val="000000"/>
                <w:kern w:val="0"/>
                <w:szCs w:val="21"/>
              </w:rPr>
              <w:t>1.0000</w:t>
            </w:r>
          </w:p>
        </w:tc>
        <w:tc>
          <w:tcPr>
            <w:tcW w:w="0" w:type="auto"/>
            <w:noWrap/>
            <w:vAlign w:val="center"/>
          </w:tcPr>
          <w:p w14:paraId="7113858D">
            <w:pPr>
              <w:jc w:val="center"/>
              <w:rPr>
                <w:color w:val="000000"/>
                <w:kern w:val="0"/>
                <w:szCs w:val="21"/>
              </w:rPr>
            </w:pPr>
            <w:r>
              <w:rPr>
                <w:color w:val="000000"/>
                <w:kern w:val="0"/>
                <w:szCs w:val="21"/>
              </w:rPr>
              <w:t>1</w:t>
            </w:r>
          </w:p>
        </w:tc>
        <w:tc>
          <w:tcPr>
            <w:tcW w:w="0" w:type="auto"/>
            <w:noWrap/>
            <w:vAlign w:val="center"/>
          </w:tcPr>
          <w:p w14:paraId="015110C0">
            <w:pPr>
              <w:jc w:val="center"/>
              <w:rPr>
                <w:color w:val="000000"/>
                <w:kern w:val="0"/>
                <w:szCs w:val="21"/>
              </w:rPr>
            </w:pPr>
            <w:r>
              <w:rPr>
                <w:color w:val="000000"/>
                <w:kern w:val="0"/>
                <w:szCs w:val="21"/>
              </w:rPr>
              <w:t>100</w:t>
            </w:r>
          </w:p>
        </w:tc>
        <w:tc>
          <w:tcPr>
            <w:tcW w:w="0" w:type="auto"/>
            <w:noWrap/>
            <w:vAlign w:val="center"/>
          </w:tcPr>
          <w:p w14:paraId="07370A0C">
            <w:pPr>
              <w:jc w:val="center"/>
              <w:rPr>
                <w:color w:val="000000"/>
                <w:kern w:val="0"/>
                <w:szCs w:val="21"/>
              </w:rPr>
            </w:pPr>
            <w:r>
              <w:rPr>
                <w:rFonts w:hint="eastAsia"/>
                <w:color w:val="000000"/>
                <w:kern w:val="0"/>
                <w:szCs w:val="21"/>
              </w:rPr>
              <w:t>1500</w:t>
            </w:r>
          </w:p>
        </w:tc>
      </w:tr>
      <w:tr w14:paraId="0664F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2E0A414B">
            <w:pPr>
              <w:jc w:val="center"/>
              <w:rPr>
                <w:color w:val="000000"/>
                <w:kern w:val="0"/>
                <w:szCs w:val="21"/>
              </w:rPr>
            </w:pPr>
            <w:r>
              <w:rPr>
                <w:color w:val="000000"/>
                <w:kern w:val="0"/>
                <w:szCs w:val="21"/>
              </w:rPr>
              <w:t>21</w:t>
            </w:r>
          </w:p>
        </w:tc>
        <w:tc>
          <w:tcPr>
            <w:tcW w:w="0" w:type="auto"/>
            <w:noWrap w:val="0"/>
            <w:vAlign w:val="center"/>
          </w:tcPr>
          <w:p w14:paraId="54080F56">
            <w:pPr>
              <w:jc w:val="center"/>
              <w:rPr>
                <w:rFonts w:eastAsia="楷体_GB2312"/>
                <w:color w:val="000000"/>
                <w:kern w:val="0"/>
                <w:szCs w:val="21"/>
              </w:rPr>
            </w:pPr>
            <w:r>
              <w:rPr>
                <w:rFonts w:eastAsia="楷体_GB2312"/>
                <w:color w:val="000000"/>
                <w:kern w:val="0"/>
                <w:szCs w:val="21"/>
              </w:rPr>
              <w:t>灰古镇</w:t>
            </w:r>
          </w:p>
        </w:tc>
        <w:tc>
          <w:tcPr>
            <w:tcW w:w="0" w:type="auto"/>
            <w:noWrap w:val="0"/>
            <w:vAlign w:val="center"/>
          </w:tcPr>
          <w:p w14:paraId="0D08EB31">
            <w:pPr>
              <w:jc w:val="center"/>
              <w:rPr>
                <w:color w:val="000000"/>
                <w:kern w:val="0"/>
                <w:szCs w:val="21"/>
              </w:rPr>
            </w:pPr>
            <w:r>
              <w:rPr>
                <w:color w:val="000000"/>
                <w:kern w:val="0"/>
                <w:szCs w:val="21"/>
              </w:rPr>
              <w:t>1</w:t>
            </w:r>
          </w:p>
        </w:tc>
        <w:tc>
          <w:tcPr>
            <w:tcW w:w="0" w:type="auto"/>
            <w:noWrap w:val="0"/>
            <w:vAlign w:val="center"/>
          </w:tcPr>
          <w:p w14:paraId="51C85668">
            <w:pPr>
              <w:jc w:val="center"/>
              <w:rPr>
                <w:rFonts w:eastAsia="楷体_GB2312"/>
                <w:color w:val="000000"/>
                <w:kern w:val="0"/>
                <w:szCs w:val="21"/>
              </w:rPr>
            </w:pPr>
            <w:r>
              <w:rPr>
                <w:rFonts w:eastAsia="楷体_GB2312"/>
                <w:color w:val="000000"/>
                <w:kern w:val="0"/>
                <w:szCs w:val="21"/>
              </w:rPr>
              <w:t>灰古镇农贸市场</w:t>
            </w:r>
          </w:p>
        </w:tc>
        <w:tc>
          <w:tcPr>
            <w:tcW w:w="0" w:type="auto"/>
            <w:noWrap/>
            <w:vAlign w:val="center"/>
          </w:tcPr>
          <w:p w14:paraId="5977FF3D">
            <w:pPr>
              <w:jc w:val="center"/>
              <w:rPr>
                <w:color w:val="000000"/>
                <w:kern w:val="0"/>
                <w:szCs w:val="21"/>
              </w:rPr>
            </w:pPr>
            <w:r>
              <w:rPr>
                <w:color w:val="000000"/>
                <w:kern w:val="0"/>
                <w:szCs w:val="21"/>
              </w:rPr>
              <w:t>1.0000</w:t>
            </w:r>
          </w:p>
        </w:tc>
        <w:tc>
          <w:tcPr>
            <w:tcW w:w="0" w:type="auto"/>
            <w:noWrap/>
            <w:vAlign w:val="center"/>
          </w:tcPr>
          <w:p w14:paraId="4AF6D934">
            <w:pPr>
              <w:jc w:val="center"/>
              <w:rPr>
                <w:color w:val="000000"/>
                <w:kern w:val="0"/>
                <w:szCs w:val="21"/>
              </w:rPr>
            </w:pPr>
            <w:r>
              <w:rPr>
                <w:color w:val="000000"/>
                <w:kern w:val="0"/>
                <w:szCs w:val="21"/>
              </w:rPr>
              <w:t>1</w:t>
            </w:r>
          </w:p>
        </w:tc>
        <w:tc>
          <w:tcPr>
            <w:tcW w:w="0" w:type="auto"/>
            <w:noWrap/>
            <w:vAlign w:val="center"/>
          </w:tcPr>
          <w:p w14:paraId="1D7882AE">
            <w:pPr>
              <w:jc w:val="center"/>
              <w:rPr>
                <w:color w:val="000000"/>
                <w:kern w:val="0"/>
                <w:szCs w:val="21"/>
              </w:rPr>
            </w:pPr>
            <w:r>
              <w:rPr>
                <w:color w:val="000000"/>
                <w:kern w:val="0"/>
                <w:szCs w:val="21"/>
              </w:rPr>
              <w:t>100</w:t>
            </w:r>
          </w:p>
        </w:tc>
        <w:tc>
          <w:tcPr>
            <w:tcW w:w="0" w:type="auto"/>
            <w:noWrap/>
            <w:vAlign w:val="center"/>
          </w:tcPr>
          <w:p w14:paraId="53FF656D">
            <w:pPr>
              <w:jc w:val="center"/>
              <w:rPr>
                <w:color w:val="000000"/>
                <w:kern w:val="0"/>
                <w:szCs w:val="21"/>
              </w:rPr>
            </w:pPr>
            <w:r>
              <w:rPr>
                <w:rFonts w:hint="eastAsia"/>
                <w:color w:val="000000"/>
                <w:kern w:val="0"/>
                <w:szCs w:val="21"/>
              </w:rPr>
              <w:t>1000</w:t>
            </w:r>
          </w:p>
        </w:tc>
      </w:tr>
      <w:tr w14:paraId="34EE0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61ACD68A">
            <w:pPr>
              <w:jc w:val="center"/>
              <w:rPr>
                <w:color w:val="000000"/>
                <w:kern w:val="0"/>
                <w:szCs w:val="21"/>
              </w:rPr>
            </w:pPr>
            <w:r>
              <w:rPr>
                <w:color w:val="000000"/>
                <w:kern w:val="0"/>
                <w:szCs w:val="21"/>
              </w:rPr>
              <w:t>22</w:t>
            </w:r>
          </w:p>
        </w:tc>
        <w:tc>
          <w:tcPr>
            <w:tcW w:w="0" w:type="auto"/>
            <w:noWrap w:val="0"/>
            <w:vAlign w:val="center"/>
          </w:tcPr>
          <w:p w14:paraId="396AF3D1">
            <w:pPr>
              <w:jc w:val="center"/>
              <w:rPr>
                <w:rFonts w:eastAsia="楷体_GB2312"/>
                <w:color w:val="000000"/>
                <w:kern w:val="0"/>
                <w:szCs w:val="21"/>
              </w:rPr>
            </w:pPr>
            <w:r>
              <w:rPr>
                <w:rFonts w:eastAsia="楷体_GB2312"/>
                <w:color w:val="000000"/>
                <w:kern w:val="0"/>
                <w:szCs w:val="21"/>
              </w:rPr>
              <w:t>桃沟乡</w:t>
            </w:r>
          </w:p>
        </w:tc>
        <w:tc>
          <w:tcPr>
            <w:tcW w:w="0" w:type="auto"/>
            <w:noWrap w:val="0"/>
            <w:vAlign w:val="center"/>
          </w:tcPr>
          <w:p w14:paraId="6503631E">
            <w:pPr>
              <w:jc w:val="center"/>
              <w:rPr>
                <w:color w:val="000000"/>
                <w:kern w:val="0"/>
                <w:szCs w:val="21"/>
              </w:rPr>
            </w:pPr>
            <w:r>
              <w:rPr>
                <w:color w:val="000000"/>
                <w:kern w:val="0"/>
                <w:szCs w:val="21"/>
              </w:rPr>
              <w:t>1</w:t>
            </w:r>
          </w:p>
        </w:tc>
        <w:tc>
          <w:tcPr>
            <w:tcW w:w="0" w:type="auto"/>
            <w:noWrap w:val="0"/>
            <w:vAlign w:val="center"/>
          </w:tcPr>
          <w:p w14:paraId="74A70694">
            <w:pPr>
              <w:jc w:val="center"/>
              <w:rPr>
                <w:rFonts w:eastAsia="楷体_GB2312"/>
                <w:color w:val="000000"/>
                <w:kern w:val="0"/>
                <w:szCs w:val="21"/>
              </w:rPr>
            </w:pPr>
            <w:r>
              <w:rPr>
                <w:rFonts w:eastAsia="楷体_GB2312"/>
                <w:color w:val="000000"/>
                <w:kern w:val="0"/>
                <w:szCs w:val="21"/>
              </w:rPr>
              <w:t>桃沟乡农贸市场</w:t>
            </w:r>
          </w:p>
        </w:tc>
        <w:tc>
          <w:tcPr>
            <w:tcW w:w="0" w:type="auto"/>
            <w:noWrap/>
            <w:vAlign w:val="center"/>
          </w:tcPr>
          <w:p w14:paraId="3D58F206">
            <w:pPr>
              <w:jc w:val="center"/>
              <w:rPr>
                <w:color w:val="000000"/>
                <w:kern w:val="0"/>
                <w:szCs w:val="21"/>
              </w:rPr>
            </w:pPr>
            <w:r>
              <w:rPr>
                <w:color w:val="000000"/>
                <w:kern w:val="0"/>
                <w:szCs w:val="21"/>
              </w:rPr>
              <w:t>1.0000</w:t>
            </w:r>
          </w:p>
        </w:tc>
        <w:tc>
          <w:tcPr>
            <w:tcW w:w="0" w:type="auto"/>
            <w:noWrap/>
            <w:vAlign w:val="center"/>
          </w:tcPr>
          <w:p w14:paraId="2CECAE1A">
            <w:pPr>
              <w:jc w:val="center"/>
              <w:rPr>
                <w:color w:val="000000"/>
                <w:kern w:val="0"/>
                <w:szCs w:val="21"/>
              </w:rPr>
            </w:pPr>
            <w:r>
              <w:rPr>
                <w:color w:val="000000"/>
                <w:kern w:val="0"/>
                <w:szCs w:val="21"/>
              </w:rPr>
              <w:t>1</w:t>
            </w:r>
          </w:p>
        </w:tc>
        <w:tc>
          <w:tcPr>
            <w:tcW w:w="0" w:type="auto"/>
            <w:noWrap/>
            <w:vAlign w:val="center"/>
          </w:tcPr>
          <w:p w14:paraId="00BBC755">
            <w:pPr>
              <w:jc w:val="center"/>
              <w:rPr>
                <w:color w:val="000000"/>
                <w:kern w:val="0"/>
                <w:szCs w:val="21"/>
              </w:rPr>
            </w:pPr>
            <w:r>
              <w:rPr>
                <w:color w:val="000000"/>
                <w:kern w:val="0"/>
                <w:szCs w:val="21"/>
              </w:rPr>
              <w:t>100</w:t>
            </w:r>
          </w:p>
        </w:tc>
        <w:tc>
          <w:tcPr>
            <w:tcW w:w="0" w:type="auto"/>
            <w:noWrap/>
            <w:vAlign w:val="center"/>
          </w:tcPr>
          <w:p w14:paraId="5169552A">
            <w:pPr>
              <w:jc w:val="center"/>
              <w:rPr>
                <w:color w:val="000000"/>
                <w:kern w:val="0"/>
                <w:szCs w:val="21"/>
              </w:rPr>
            </w:pPr>
            <w:r>
              <w:rPr>
                <w:rFonts w:hint="eastAsia"/>
                <w:color w:val="000000"/>
                <w:kern w:val="0"/>
                <w:szCs w:val="21"/>
              </w:rPr>
              <w:t>1100</w:t>
            </w:r>
          </w:p>
        </w:tc>
      </w:tr>
    </w:tbl>
    <w:p w14:paraId="4E101411">
      <w:pPr>
        <w:pStyle w:val="20"/>
        <w:spacing w:line="480" w:lineRule="exact"/>
        <w:ind w:firstLine="560" w:firstLineChars="200"/>
        <w:rPr>
          <w:rFonts w:hint="eastAsia" w:ascii="Times New Roman" w:hAnsi="Times New Roman" w:eastAsia="楷体_GB2312" w:cs="Times New Roman"/>
          <w:sz w:val="28"/>
        </w:rPr>
      </w:pPr>
    </w:p>
    <w:p w14:paraId="62BCBAA8">
      <w:pPr>
        <w:pStyle w:val="4"/>
        <w:numPr>
          <w:ilvl w:val="0"/>
          <w:numId w:val="0"/>
        </w:numPr>
        <w:spacing w:line="380" w:lineRule="exact"/>
        <w:jc w:val="center"/>
        <w:rPr>
          <w:rFonts w:eastAsia="仿宋_GB2312"/>
          <w:bCs w:val="0"/>
        </w:rPr>
      </w:pPr>
      <w:r>
        <w:rPr>
          <w:rFonts w:eastAsia="仿宋_GB2312"/>
          <w:bCs w:val="0"/>
        </w:rPr>
        <w:t>第六节  环境质量优劣度定量化处理</w:t>
      </w:r>
      <w:bookmarkEnd w:id="43"/>
      <w:bookmarkEnd w:id="44"/>
    </w:p>
    <w:p w14:paraId="32DDEF3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根据《城镇土地分等定级规程》综合定级中环境质量优劣度包括水环境、大气环境、声环境等因子。乡镇土地定级将各种因子综合为综合环境质量优劣度进行评定。</w:t>
      </w:r>
    </w:p>
    <w:p w14:paraId="5F07C9F4">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一、环境质量现状分析</w:t>
      </w:r>
    </w:p>
    <w:p w14:paraId="57350A2A">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各乡镇镇区不同区域综合环境质量有所差异。环境质量直接影响城镇景观和居民的身心健康。因此，城市环境质量的优劣对城市土地级别有明显的影响。环境质量好的土地，适于人们生活，土地质量相应较好，反之，则土地质量较差。</w:t>
      </w:r>
    </w:p>
    <w:p w14:paraId="56CFEB56">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将各乡镇镇区按照环境质量综合状况划分成若干区域。</w:t>
      </w:r>
    </w:p>
    <w:p w14:paraId="0901D6C9">
      <w:pPr>
        <w:pStyle w:val="20"/>
        <w:spacing w:line="480" w:lineRule="exact"/>
        <w:rPr>
          <w:rFonts w:ascii="Times New Roman" w:hAnsi="Times New Roman" w:cs="Times New Roman"/>
          <w:b/>
          <w:sz w:val="28"/>
        </w:rPr>
      </w:pPr>
      <w:r>
        <w:rPr>
          <w:rFonts w:ascii="Times New Roman" w:hAnsi="Times New Roman" w:cs="Times New Roman"/>
          <w:b/>
          <w:sz w:val="28"/>
        </w:rPr>
        <w:t>二、环境质量优劣度作用分的确定</w:t>
      </w:r>
    </w:p>
    <w:p w14:paraId="11007324">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1、综合环境质量作用分的确定</w:t>
      </w:r>
    </w:p>
    <w:p w14:paraId="15CF527B">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根据外业调查人员调查提供的材料和《城镇土地分等定级规程》的规定，按下列步骤确定综合环境质量作用分。</w:t>
      </w:r>
    </w:p>
    <w:p w14:paraId="1B56F20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（1）划分评价区域</w:t>
      </w:r>
    </w:p>
    <w:p w14:paraId="77895E1A">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根据外业调查人员调查提供的材料和各乡镇镇区环境质量资料，将各乡镇镇区按照环境质量综合状况划分成若干区域。</w:t>
      </w:r>
    </w:p>
    <w:p w14:paraId="56B92A71">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（2）计算综合环境质量作用分</w:t>
      </w:r>
    </w:p>
    <w:p w14:paraId="15F6736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首先分别将各乡镇各区域的综合环境质量数据进行最大值标准化处理，得到综合环境质量指标值。然后按公式1-3-</w:t>
      </w:r>
      <w:r>
        <w:rPr>
          <w:rFonts w:hint="eastAsia" w:ascii="Times New Roman" w:hAnsi="Times New Roman" w:eastAsia="楷体_GB2312" w:cs="Times New Roman"/>
          <w:sz w:val="28"/>
        </w:rPr>
        <w:t>5</w:t>
      </w:r>
      <w:r>
        <w:rPr>
          <w:rFonts w:ascii="Times New Roman" w:hAnsi="Times New Roman" w:eastAsia="楷体_GB2312" w:cs="Times New Roman"/>
          <w:sz w:val="28"/>
        </w:rPr>
        <w:t>计算各区域综合环境质量作用分。结果见表1-3-</w:t>
      </w:r>
      <w:r>
        <w:rPr>
          <w:rFonts w:hint="eastAsia" w:ascii="Times New Roman" w:hAnsi="Times New Roman" w:eastAsia="楷体_GB2312" w:cs="Times New Roman"/>
          <w:sz w:val="28"/>
        </w:rPr>
        <w:t>47</w:t>
      </w:r>
      <w:r>
        <w:rPr>
          <w:rFonts w:ascii="Times New Roman" w:hAnsi="Times New Roman" w:eastAsia="楷体_GB2312" w:cs="Times New Roman"/>
          <w:sz w:val="28"/>
        </w:rPr>
        <w:t>。</w:t>
      </w:r>
    </w:p>
    <w:p w14:paraId="3A33B47E">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公式1-3-</w:t>
      </w:r>
      <w:r>
        <w:rPr>
          <w:rFonts w:hint="eastAsia" w:ascii="Times New Roman" w:hAnsi="Times New Roman" w:eastAsia="楷体_GB2312" w:cs="Times New Roman"/>
          <w:sz w:val="28"/>
        </w:rPr>
        <w:t>5</w:t>
      </w:r>
      <w:r>
        <w:rPr>
          <w:rFonts w:ascii="Times New Roman" w:hAnsi="Times New Roman" w:eastAsia="楷体_GB2312" w:cs="Times New Roman"/>
          <w:sz w:val="28"/>
        </w:rPr>
        <w:t>：</w:t>
      </w:r>
      <w:r>
        <w:rPr>
          <w:rFonts w:ascii="Times New Roman" w:hAnsi="Times New Roman" w:eastAsia="楷体_GB2312" w:cs="Times New Roman"/>
          <w:position w:val="-10"/>
          <w:sz w:val="28"/>
        </w:rPr>
        <w:object>
          <v:shape id="_x0000_i1070" o:spt="75" type="#_x0000_t75" style="height:18pt;width:209pt;" o:ole="t" filled="f" o:preferrelative="t" stroked="f" coordsize="21600,21600">
            <v:path/>
            <v:fill on="f" alignshape="1" focussize="0,0"/>
            <v:stroke on="f"/>
            <v:imagedata r:id="rId104" o:title=""/>
            <o:lock v:ext="edit" aspectratio="t"/>
            <w10:wrap type="none"/>
            <w10:anchorlock/>
          </v:shape>
          <o:OLEObject Type="Embed" ProgID="Equation.3" ShapeID="_x0000_i1070" DrawAspect="Content" ObjectID="_1468075770" r:id="rId103">
            <o:LockedField>false</o:LockedField>
          </o:OLEObject>
        </w:object>
      </w:r>
      <w:r>
        <w:rPr>
          <w:rFonts w:ascii="Times New Roman" w:hAnsi="Times New Roman" w:eastAsia="楷体_GB2312" w:cs="Times New Roman"/>
          <w:sz w:val="28"/>
        </w:rPr>
        <w:t xml:space="preserve"> </w:t>
      </w:r>
    </w:p>
    <w:p w14:paraId="6006249A">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式中：</w:t>
      </w:r>
      <w:r>
        <w:rPr>
          <w:rFonts w:ascii="Times New Roman" w:hAnsi="Times New Roman" w:eastAsia="楷体_GB2312" w:cs="Times New Roman"/>
          <w:position w:val="-6"/>
          <w:sz w:val="28"/>
        </w:rPr>
        <w:object>
          <v:shape id="_x0000_i1071" o:spt="75" type="#_x0000_t75" style="height:16pt;width:15pt;" o:ole="t" filled="f" o:preferrelative="t" stroked="f" coordsize="21600,21600">
            <v:path/>
            <v:fill on="f" alignshape="1" focussize="0,0"/>
            <v:stroke on="f"/>
            <v:imagedata r:id="rId106" o:title=""/>
            <o:lock v:ext="edit" aspectratio="t"/>
            <w10:wrap type="none"/>
            <w10:anchorlock/>
          </v:shape>
          <o:OLEObject Type="Embed" ProgID="Equation.3" ShapeID="_x0000_i1071" DrawAspect="Content" ObjectID="_1468075771" r:id="rId105">
            <o:LockedField>false</o:LockedField>
          </o:OLEObject>
        </w:object>
      </w:r>
      <w:r>
        <w:rPr>
          <w:rFonts w:ascii="Times New Roman" w:hAnsi="Times New Roman" w:eastAsia="楷体_GB2312" w:cs="Times New Roman"/>
          <w:sz w:val="28"/>
        </w:rPr>
        <w:t>——某环境质量优劣度作用分；</w:t>
      </w:r>
    </w:p>
    <w:p w14:paraId="6E3D2606">
      <w:pPr>
        <w:pStyle w:val="20"/>
        <w:spacing w:line="480" w:lineRule="exact"/>
        <w:ind w:firstLine="1400" w:firstLineChars="500"/>
        <w:rPr>
          <w:rFonts w:ascii="Times New Roman" w:hAnsi="Times New Roman" w:eastAsia="楷体_GB2312" w:cs="Times New Roman"/>
          <w:sz w:val="28"/>
        </w:rPr>
      </w:pPr>
      <w:r>
        <w:rPr>
          <w:rFonts w:ascii="Times New Roman" w:hAnsi="Times New Roman" w:eastAsia="楷体_GB2312" w:cs="Times New Roman"/>
          <w:position w:val="-4"/>
          <w:sz w:val="28"/>
        </w:rPr>
        <w:object>
          <v:shape id="_x0000_i1072" o:spt="75" type="#_x0000_t75" style="height:15pt;width:20pt;" o:ole="t" filled="f" o:preferrelative="t" stroked="f" coordsize="21600,21600">
            <v:path/>
            <v:fill on="f" alignshape="1" focussize="0,0"/>
            <v:stroke on="f"/>
            <v:imagedata r:id="rId108" o:title=""/>
            <o:lock v:ext="edit" aspectratio="t"/>
            <w10:wrap type="none"/>
            <w10:anchorlock/>
          </v:shape>
          <o:OLEObject Type="Embed" ProgID="Equation.3" ShapeID="_x0000_i1072" DrawAspect="Content" ObjectID="_1468075772" r:id="rId107">
            <o:LockedField>false</o:LockedField>
          </o:OLEObject>
        </w:object>
      </w:r>
      <w:r>
        <w:rPr>
          <w:rFonts w:ascii="Times New Roman" w:hAnsi="Times New Roman" w:eastAsia="楷体_GB2312" w:cs="Times New Roman"/>
          <w:sz w:val="28"/>
        </w:rPr>
        <w:t>——某环境质量的综合评价指数或等级值；</w:t>
      </w:r>
    </w:p>
    <w:p w14:paraId="1D1575C3">
      <w:pPr>
        <w:pStyle w:val="20"/>
        <w:spacing w:line="480" w:lineRule="exact"/>
        <w:ind w:firstLine="1400" w:firstLineChars="500"/>
        <w:rPr>
          <w:rFonts w:ascii="Times New Roman" w:hAnsi="Times New Roman" w:eastAsia="楷体_GB2312" w:cs="Times New Roman"/>
          <w:sz w:val="28"/>
        </w:rPr>
      </w:pPr>
      <w:r>
        <w:rPr>
          <w:rFonts w:ascii="Times New Roman" w:hAnsi="Times New Roman" w:eastAsia="楷体_GB2312" w:cs="Times New Roman"/>
          <w:position w:val="-6"/>
          <w:sz w:val="28"/>
        </w:rPr>
        <w:object>
          <v:shape id="_x0000_i1073" o:spt="75" type="#_x0000_t75" style="height:16pt;width:31.95pt;" o:ole="t" filled="f" o:preferrelative="t" stroked="f" coordsize="21600,21600">
            <v:path/>
            <v:fill on="f" alignshape="1" focussize="0,0"/>
            <v:stroke on="f"/>
            <v:imagedata r:id="rId110" o:title=""/>
            <o:lock v:ext="edit" aspectratio="t"/>
            <w10:wrap type="none"/>
            <w10:anchorlock/>
          </v:shape>
          <o:OLEObject Type="Embed" ProgID="Equation.3" ShapeID="_x0000_i1073" DrawAspect="Content" ObjectID="_1468075773" r:id="rId109">
            <o:LockedField>false</o:LockedField>
          </o:OLEObject>
        </w:object>
      </w:r>
      <w:r>
        <w:rPr>
          <w:rFonts w:ascii="Times New Roman" w:hAnsi="Times New Roman" w:eastAsia="楷体_GB2312" w:cs="Times New Roman"/>
          <w:sz w:val="28"/>
        </w:rPr>
        <w:t>——某环境质量的综合评价指数或等级值的最劣值；</w:t>
      </w:r>
    </w:p>
    <w:p w14:paraId="4608AF65">
      <w:pPr>
        <w:spacing w:line="460" w:lineRule="exact"/>
        <w:ind w:firstLine="1400" w:firstLineChars="500"/>
        <w:rPr>
          <w:rFonts w:eastAsia="楷体_GB2312"/>
          <w:sz w:val="28"/>
        </w:rPr>
      </w:pPr>
      <w:r>
        <w:rPr>
          <w:rFonts w:eastAsia="楷体_GB2312"/>
          <w:position w:val="-6"/>
          <w:sz w:val="28"/>
        </w:rPr>
        <w:object>
          <v:shape id="_x0000_i1074" o:spt="75" type="#_x0000_t75" style="height:16pt;width:34pt;" o:ole="t" filled="f" o:preferrelative="t" stroked="f" coordsize="21600,21600">
            <v:path/>
            <v:fill on="f" alignshape="1" focussize="0,0"/>
            <v:stroke on="f"/>
            <v:imagedata r:id="rId112" o:title=""/>
            <o:lock v:ext="edit" aspectratio="t"/>
            <w10:wrap type="none"/>
            <w10:anchorlock/>
          </v:shape>
          <o:OLEObject Type="Embed" ProgID="Equation.3" ShapeID="_x0000_i1074" DrawAspect="Content" ObjectID="_1468075774" r:id="rId111">
            <o:LockedField>false</o:LockedField>
          </o:OLEObject>
        </w:object>
      </w:r>
      <w:r>
        <w:rPr>
          <w:rFonts w:eastAsia="楷体_GB2312"/>
          <w:sz w:val="28"/>
        </w:rPr>
        <w:t>——某环境质量的综合评价指数或等级值的最优值。</w:t>
      </w:r>
    </w:p>
    <w:p w14:paraId="4E612CF5">
      <w:pPr>
        <w:spacing w:line="480" w:lineRule="exact"/>
        <w:jc w:val="center"/>
        <w:rPr>
          <w:rFonts w:eastAsia="黑体"/>
          <w:sz w:val="28"/>
        </w:rPr>
      </w:pPr>
      <w:r>
        <w:rPr>
          <w:rFonts w:eastAsia="黑体"/>
          <w:sz w:val="28"/>
        </w:rPr>
        <w:t>表1-3-</w:t>
      </w:r>
      <w:r>
        <w:rPr>
          <w:rFonts w:hint="eastAsia" w:eastAsia="黑体"/>
          <w:sz w:val="28"/>
        </w:rPr>
        <w:t>47</w:t>
      </w:r>
      <w:r>
        <w:rPr>
          <w:rFonts w:eastAsia="黑体"/>
          <w:sz w:val="28"/>
        </w:rPr>
        <w:t xml:space="preserve">  各乡镇镇区综合环境质量作用分表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50"/>
        <w:gridCol w:w="710"/>
        <w:gridCol w:w="5174"/>
        <w:gridCol w:w="978"/>
        <w:gridCol w:w="362"/>
        <w:gridCol w:w="572"/>
      </w:tblGrid>
      <w:tr w14:paraId="6C8A4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blHeader/>
          <w:jc w:val="center"/>
        </w:trPr>
        <w:tc>
          <w:tcPr>
            <w:tcW w:w="0" w:type="auto"/>
            <w:noWrap w:val="0"/>
            <w:vAlign w:val="center"/>
          </w:tcPr>
          <w:p w14:paraId="39D8389D">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序号</w:t>
            </w:r>
          </w:p>
        </w:tc>
        <w:tc>
          <w:tcPr>
            <w:tcW w:w="850" w:type="dxa"/>
            <w:noWrap w:val="0"/>
            <w:vAlign w:val="center"/>
          </w:tcPr>
          <w:p w14:paraId="3AEE1E97">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乡镇名称</w:t>
            </w:r>
          </w:p>
        </w:tc>
        <w:tc>
          <w:tcPr>
            <w:tcW w:w="710" w:type="dxa"/>
            <w:noWrap w:val="0"/>
            <w:vAlign w:val="center"/>
          </w:tcPr>
          <w:p w14:paraId="0B8260E2">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评价区域编号</w:t>
            </w:r>
          </w:p>
        </w:tc>
        <w:tc>
          <w:tcPr>
            <w:tcW w:w="5174" w:type="dxa"/>
            <w:noWrap w:val="0"/>
            <w:vAlign w:val="center"/>
          </w:tcPr>
          <w:p w14:paraId="1DB4C337">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分布范围</w:t>
            </w:r>
          </w:p>
        </w:tc>
        <w:tc>
          <w:tcPr>
            <w:tcW w:w="0" w:type="auto"/>
            <w:noWrap w:val="0"/>
            <w:vAlign w:val="center"/>
          </w:tcPr>
          <w:p w14:paraId="28C6B336">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综合评价指数</w:t>
            </w:r>
          </w:p>
        </w:tc>
        <w:tc>
          <w:tcPr>
            <w:tcW w:w="0" w:type="auto"/>
            <w:noWrap w:val="0"/>
            <w:vAlign w:val="center"/>
          </w:tcPr>
          <w:p w14:paraId="58566DAE">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级别</w:t>
            </w:r>
          </w:p>
        </w:tc>
        <w:tc>
          <w:tcPr>
            <w:tcW w:w="0" w:type="auto"/>
            <w:noWrap w:val="0"/>
            <w:vAlign w:val="center"/>
          </w:tcPr>
          <w:p w14:paraId="3C610605">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作用分</w:t>
            </w:r>
          </w:p>
        </w:tc>
      </w:tr>
      <w:tr w14:paraId="46794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7C6AFF4F">
            <w:pPr>
              <w:jc w:val="center"/>
              <w:rPr>
                <w:color w:val="000000"/>
                <w:kern w:val="0"/>
                <w:szCs w:val="21"/>
              </w:rPr>
            </w:pPr>
            <w:r>
              <w:rPr>
                <w:color w:val="000000"/>
                <w:kern w:val="0"/>
                <w:szCs w:val="21"/>
              </w:rPr>
              <w:t>1</w:t>
            </w:r>
          </w:p>
        </w:tc>
        <w:tc>
          <w:tcPr>
            <w:tcW w:w="850" w:type="dxa"/>
            <w:vMerge w:val="restart"/>
            <w:noWrap w:val="0"/>
            <w:vAlign w:val="center"/>
          </w:tcPr>
          <w:p w14:paraId="2F7A6530">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符离镇</w:t>
            </w:r>
          </w:p>
        </w:tc>
        <w:tc>
          <w:tcPr>
            <w:tcW w:w="710" w:type="dxa"/>
            <w:noWrap w:val="0"/>
            <w:vAlign w:val="center"/>
          </w:tcPr>
          <w:p w14:paraId="5197BCC0">
            <w:pPr>
              <w:jc w:val="center"/>
              <w:rPr>
                <w:color w:val="000000"/>
                <w:kern w:val="0"/>
                <w:szCs w:val="21"/>
              </w:rPr>
            </w:pPr>
            <w:r>
              <w:rPr>
                <w:color w:val="000000"/>
                <w:kern w:val="0"/>
                <w:szCs w:val="21"/>
              </w:rPr>
              <w:t>1</w:t>
            </w:r>
          </w:p>
        </w:tc>
        <w:tc>
          <w:tcPr>
            <w:tcW w:w="5174" w:type="dxa"/>
            <w:noWrap w:val="0"/>
            <w:vAlign w:val="center"/>
          </w:tcPr>
          <w:p w14:paraId="60B5899A">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东至京沪铁路、港口路，南至滨河路，西至景玉路西侧规划道路，北至北环路、山前路</w:t>
            </w:r>
          </w:p>
        </w:tc>
        <w:tc>
          <w:tcPr>
            <w:tcW w:w="0" w:type="auto"/>
            <w:noWrap w:val="0"/>
            <w:vAlign w:val="center"/>
          </w:tcPr>
          <w:p w14:paraId="31069917">
            <w:pPr>
              <w:jc w:val="center"/>
              <w:rPr>
                <w:color w:val="000000"/>
                <w:kern w:val="0"/>
                <w:szCs w:val="21"/>
              </w:rPr>
            </w:pPr>
            <w:r>
              <w:rPr>
                <w:color w:val="000000"/>
                <w:kern w:val="0"/>
                <w:szCs w:val="21"/>
              </w:rPr>
              <w:t>1</w:t>
            </w:r>
          </w:p>
        </w:tc>
        <w:tc>
          <w:tcPr>
            <w:tcW w:w="0" w:type="auto"/>
            <w:noWrap w:val="0"/>
            <w:vAlign w:val="center"/>
          </w:tcPr>
          <w:p w14:paraId="7DA5D9F8">
            <w:pPr>
              <w:jc w:val="center"/>
              <w:rPr>
                <w:color w:val="000000"/>
                <w:kern w:val="0"/>
                <w:szCs w:val="21"/>
              </w:rPr>
            </w:pPr>
            <w:r>
              <w:rPr>
                <w:color w:val="000000"/>
                <w:kern w:val="0"/>
                <w:szCs w:val="21"/>
              </w:rPr>
              <w:t>1</w:t>
            </w:r>
          </w:p>
        </w:tc>
        <w:tc>
          <w:tcPr>
            <w:tcW w:w="0" w:type="auto"/>
            <w:noWrap w:val="0"/>
            <w:vAlign w:val="center"/>
          </w:tcPr>
          <w:p w14:paraId="767A6CCA">
            <w:pPr>
              <w:jc w:val="center"/>
              <w:rPr>
                <w:color w:val="000000"/>
                <w:kern w:val="0"/>
                <w:szCs w:val="21"/>
              </w:rPr>
            </w:pPr>
            <w:r>
              <w:rPr>
                <w:color w:val="000000"/>
                <w:kern w:val="0"/>
                <w:szCs w:val="21"/>
              </w:rPr>
              <w:t>100</w:t>
            </w:r>
          </w:p>
        </w:tc>
      </w:tr>
      <w:tr w14:paraId="2F579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5D7280A9">
            <w:pPr>
              <w:rPr>
                <w:color w:val="000000"/>
                <w:kern w:val="0"/>
                <w:szCs w:val="21"/>
              </w:rPr>
            </w:pPr>
          </w:p>
        </w:tc>
        <w:tc>
          <w:tcPr>
            <w:tcW w:w="850" w:type="dxa"/>
            <w:vMerge w:val="continue"/>
            <w:noWrap w:val="0"/>
            <w:vAlign w:val="center"/>
          </w:tcPr>
          <w:p w14:paraId="5ADF63FE">
            <w:pPr>
              <w:ind w:left="-105" w:leftChars="-50" w:right="-105" w:rightChars="-50"/>
              <w:rPr>
                <w:rFonts w:ascii="楷体_GB2312" w:hAnsi="宋体" w:eastAsia="楷体_GB2312" w:cs="宋体"/>
                <w:color w:val="000000"/>
                <w:kern w:val="0"/>
                <w:szCs w:val="21"/>
              </w:rPr>
            </w:pPr>
          </w:p>
        </w:tc>
        <w:tc>
          <w:tcPr>
            <w:tcW w:w="710" w:type="dxa"/>
            <w:noWrap w:val="0"/>
            <w:vAlign w:val="center"/>
          </w:tcPr>
          <w:p w14:paraId="56B34621">
            <w:pPr>
              <w:jc w:val="center"/>
              <w:rPr>
                <w:color w:val="000000"/>
                <w:kern w:val="0"/>
                <w:szCs w:val="21"/>
              </w:rPr>
            </w:pPr>
            <w:r>
              <w:rPr>
                <w:color w:val="000000"/>
                <w:kern w:val="0"/>
                <w:szCs w:val="21"/>
              </w:rPr>
              <w:t>2</w:t>
            </w:r>
          </w:p>
        </w:tc>
        <w:tc>
          <w:tcPr>
            <w:tcW w:w="5174" w:type="dxa"/>
            <w:noWrap w:val="0"/>
            <w:vAlign w:val="center"/>
          </w:tcPr>
          <w:p w14:paraId="798F0D38">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0" w:type="auto"/>
            <w:noWrap w:val="0"/>
            <w:vAlign w:val="center"/>
          </w:tcPr>
          <w:p w14:paraId="14B15C32">
            <w:pPr>
              <w:jc w:val="center"/>
              <w:rPr>
                <w:color w:val="000000"/>
                <w:kern w:val="0"/>
                <w:szCs w:val="21"/>
              </w:rPr>
            </w:pPr>
            <w:r>
              <w:rPr>
                <w:color w:val="000000"/>
                <w:kern w:val="0"/>
                <w:szCs w:val="21"/>
              </w:rPr>
              <w:t>0.8745</w:t>
            </w:r>
          </w:p>
        </w:tc>
        <w:tc>
          <w:tcPr>
            <w:tcW w:w="0" w:type="auto"/>
            <w:noWrap w:val="0"/>
            <w:vAlign w:val="center"/>
          </w:tcPr>
          <w:p w14:paraId="7E833F80">
            <w:pPr>
              <w:jc w:val="center"/>
              <w:rPr>
                <w:color w:val="000000"/>
                <w:kern w:val="0"/>
                <w:szCs w:val="21"/>
              </w:rPr>
            </w:pPr>
            <w:r>
              <w:rPr>
                <w:color w:val="000000"/>
                <w:kern w:val="0"/>
                <w:szCs w:val="21"/>
              </w:rPr>
              <w:t>2</w:t>
            </w:r>
          </w:p>
        </w:tc>
        <w:tc>
          <w:tcPr>
            <w:tcW w:w="0" w:type="auto"/>
            <w:noWrap w:val="0"/>
            <w:vAlign w:val="center"/>
          </w:tcPr>
          <w:p w14:paraId="0CF0A65C">
            <w:pPr>
              <w:jc w:val="center"/>
              <w:rPr>
                <w:color w:val="000000"/>
                <w:kern w:val="0"/>
                <w:szCs w:val="21"/>
              </w:rPr>
            </w:pPr>
            <w:r>
              <w:rPr>
                <w:color w:val="000000"/>
                <w:kern w:val="0"/>
                <w:szCs w:val="21"/>
              </w:rPr>
              <w:t>0</w:t>
            </w:r>
          </w:p>
        </w:tc>
      </w:tr>
      <w:tr w14:paraId="5354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085263D6">
            <w:pPr>
              <w:jc w:val="center"/>
              <w:rPr>
                <w:color w:val="000000"/>
                <w:kern w:val="0"/>
                <w:szCs w:val="21"/>
              </w:rPr>
            </w:pPr>
            <w:r>
              <w:rPr>
                <w:color w:val="000000"/>
                <w:kern w:val="0"/>
                <w:szCs w:val="21"/>
              </w:rPr>
              <w:t>2</w:t>
            </w:r>
          </w:p>
        </w:tc>
        <w:tc>
          <w:tcPr>
            <w:tcW w:w="850" w:type="dxa"/>
            <w:vMerge w:val="restart"/>
            <w:noWrap w:val="0"/>
            <w:vAlign w:val="center"/>
          </w:tcPr>
          <w:p w14:paraId="62ADC9CF">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朱仙庄镇</w:t>
            </w:r>
          </w:p>
        </w:tc>
        <w:tc>
          <w:tcPr>
            <w:tcW w:w="710" w:type="dxa"/>
            <w:noWrap w:val="0"/>
            <w:vAlign w:val="center"/>
          </w:tcPr>
          <w:p w14:paraId="119CEBBB">
            <w:pPr>
              <w:jc w:val="center"/>
              <w:rPr>
                <w:color w:val="000000"/>
                <w:kern w:val="0"/>
                <w:szCs w:val="21"/>
              </w:rPr>
            </w:pPr>
            <w:r>
              <w:rPr>
                <w:color w:val="000000"/>
                <w:kern w:val="0"/>
                <w:szCs w:val="21"/>
              </w:rPr>
              <w:t>1</w:t>
            </w:r>
          </w:p>
        </w:tc>
        <w:tc>
          <w:tcPr>
            <w:tcW w:w="5174" w:type="dxa"/>
            <w:noWrap w:val="0"/>
            <w:vAlign w:val="center"/>
          </w:tcPr>
          <w:p w14:paraId="01A8EA46">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东至环湖路，南至汴河东路，西至二徐路，北至北沱河、纬五路</w:t>
            </w:r>
          </w:p>
        </w:tc>
        <w:tc>
          <w:tcPr>
            <w:tcW w:w="0" w:type="auto"/>
            <w:noWrap w:val="0"/>
            <w:vAlign w:val="center"/>
          </w:tcPr>
          <w:p w14:paraId="52B6B92A">
            <w:pPr>
              <w:jc w:val="center"/>
              <w:rPr>
                <w:color w:val="000000"/>
                <w:kern w:val="0"/>
                <w:szCs w:val="21"/>
              </w:rPr>
            </w:pPr>
            <w:r>
              <w:rPr>
                <w:color w:val="000000"/>
                <w:kern w:val="0"/>
                <w:szCs w:val="21"/>
              </w:rPr>
              <w:t>1</w:t>
            </w:r>
          </w:p>
        </w:tc>
        <w:tc>
          <w:tcPr>
            <w:tcW w:w="0" w:type="auto"/>
            <w:noWrap w:val="0"/>
            <w:vAlign w:val="center"/>
          </w:tcPr>
          <w:p w14:paraId="1EC6BB0D">
            <w:pPr>
              <w:jc w:val="center"/>
              <w:rPr>
                <w:color w:val="000000"/>
                <w:kern w:val="0"/>
                <w:szCs w:val="21"/>
              </w:rPr>
            </w:pPr>
            <w:r>
              <w:rPr>
                <w:color w:val="000000"/>
                <w:kern w:val="0"/>
                <w:szCs w:val="21"/>
              </w:rPr>
              <w:t>1</w:t>
            </w:r>
          </w:p>
        </w:tc>
        <w:tc>
          <w:tcPr>
            <w:tcW w:w="0" w:type="auto"/>
            <w:noWrap w:val="0"/>
            <w:vAlign w:val="center"/>
          </w:tcPr>
          <w:p w14:paraId="26A1E385">
            <w:pPr>
              <w:jc w:val="center"/>
              <w:rPr>
                <w:color w:val="000000"/>
                <w:kern w:val="0"/>
                <w:szCs w:val="21"/>
              </w:rPr>
            </w:pPr>
            <w:r>
              <w:rPr>
                <w:color w:val="000000"/>
                <w:kern w:val="0"/>
                <w:szCs w:val="21"/>
              </w:rPr>
              <w:t>100</w:t>
            </w:r>
          </w:p>
        </w:tc>
      </w:tr>
      <w:tr w14:paraId="0F538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019D2B88">
            <w:pPr>
              <w:rPr>
                <w:color w:val="000000"/>
                <w:kern w:val="0"/>
                <w:szCs w:val="21"/>
              </w:rPr>
            </w:pPr>
          </w:p>
        </w:tc>
        <w:tc>
          <w:tcPr>
            <w:tcW w:w="850" w:type="dxa"/>
            <w:vMerge w:val="continue"/>
            <w:noWrap w:val="0"/>
            <w:vAlign w:val="center"/>
          </w:tcPr>
          <w:p w14:paraId="795FE5D5">
            <w:pPr>
              <w:ind w:left="-105" w:leftChars="-50" w:right="-105" w:rightChars="-50"/>
              <w:rPr>
                <w:rFonts w:ascii="楷体_GB2312" w:hAnsi="宋体" w:eastAsia="楷体_GB2312" w:cs="宋体"/>
                <w:color w:val="000000"/>
                <w:kern w:val="0"/>
                <w:szCs w:val="21"/>
              </w:rPr>
            </w:pPr>
          </w:p>
        </w:tc>
        <w:tc>
          <w:tcPr>
            <w:tcW w:w="710" w:type="dxa"/>
            <w:noWrap w:val="0"/>
            <w:vAlign w:val="center"/>
          </w:tcPr>
          <w:p w14:paraId="1B9263F0">
            <w:pPr>
              <w:jc w:val="center"/>
              <w:rPr>
                <w:color w:val="000000"/>
                <w:kern w:val="0"/>
                <w:szCs w:val="21"/>
              </w:rPr>
            </w:pPr>
            <w:r>
              <w:rPr>
                <w:color w:val="000000"/>
                <w:kern w:val="0"/>
                <w:szCs w:val="21"/>
              </w:rPr>
              <w:t>2</w:t>
            </w:r>
          </w:p>
        </w:tc>
        <w:tc>
          <w:tcPr>
            <w:tcW w:w="5174" w:type="dxa"/>
            <w:noWrap w:val="0"/>
            <w:vAlign w:val="center"/>
          </w:tcPr>
          <w:p w14:paraId="208D1A87">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0" w:type="auto"/>
            <w:noWrap w:val="0"/>
            <w:vAlign w:val="center"/>
          </w:tcPr>
          <w:p w14:paraId="272A1935">
            <w:pPr>
              <w:jc w:val="center"/>
              <w:rPr>
                <w:color w:val="000000"/>
                <w:kern w:val="0"/>
                <w:szCs w:val="21"/>
              </w:rPr>
            </w:pPr>
            <w:r>
              <w:rPr>
                <w:color w:val="000000"/>
                <w:kern w:val="0"/>
                <w:szCs w:val="21"/>
              </w:rPr>
              <w:t>0.8745</w:t>
            </w:r>
          </w:p>
        </w:tc>
        <w:tc>
          <w:tcPr>
            <w:tcW w:w="0" w:type="auto"/>
            <w:noWrap w:val="0"/>
            <w:vAlign w:val="center"/>
          </w:tcPr>
          <w:p w14:paraId="412C903C">
            <w:pPr>
              <w:jc w:val="center"/>
              <w:rPr>
                <w:color w:val="000000"/>
                <w:kern w:val="0"/>
                <w:szCs w:val="21"/>
              </w:rPr>
            </w:pPr>
            <w:r>
              <w:rPr>
                <w:color w:val="000000"/>
                <w:kern w:val="0"/>
                <w:szCs w:val="21"/>
              </w:rPr>
              <w:t>2</w:t>
            </w:r>
          </w:p>
        </w:tc>
        <w:tc>
          <w:tcPr>
            <w:tcW w:w="0" w:type="auto"/>
            <w:noWrap w:val="0"/>
            <w:vAlign w:val="center"/>
          </w:tcPr>
          <w:p w14:paraId="689C7443">
            <w:pPr>
              <w:jc w:val="center"/>
              <w:rPr>
                <w:color w:val="000000"/>
                <w:kern w:val="0"/>
                <w:szCs w:val="21"/>
              </w:rPr>
            </w:pPr>
            <w:r>
              <w:rPr>
                <w:color w:val="000000"/>
                <w:kern w:val="0"/>
                <w:szCs w:val="21"/>
              </w:rPr>
              <w:t>0</w:t>
            </w:r>
          </w:p>
        </w:tc>
      </w:tr>
      <w:tr w14:paraId="29315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44BB7A8A">
            <w:pPr>
              <w:jc w:val="center"/>
              <w:rPr>
                <w:color w:val="000000"/>
                <w:kern w:val="0"/>
                <w:szCs w:val="21"/>
              </w:rPr>
            </w:pPr>
            <w:r>
              <w:rPr>
                <w:color w:val="000000"/>
                <w:kern w:val="0"/>
                <w:szCs w:val="21"/>
              </w:rPr>
              <w:t>3</w:t>
            </w:r>
          </w:p>
        </w:tc>
        <w:tc>
          <w:tcPr>
            <w:tcW w:w="850" w:type="dxa"/>
            <w:vMerge w:val="restart"/>
            <w:noWrap w:val="0"/>
            <w:vAlign w:val="center"/>
          </w:tcPr>
          <w:p w14:paraId="60EEFFB0">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蕲县镇</w:t>
            </w:r>
          </w:p>
        </w:tc>
        <w:tc>
          <w:tcPr>
            <w:tcW w:w="710" w:type="dxa"/>
            <w:noWrap w:val="0"/>
            <w:vAlign w:val="center"/>
          </w:tcPr>
          <w:p w14:paraId="24977FE6">
            <w:pPr>
              <w:jc w:val="center"/>
              <w:rPr>
                <w:color w:val="000000"/>
                <w:kern w:val="0"/>
                <w:szCs w:val="21"/>
              </w:rPr>
            </w:pPr>
            <w:r>
              <w:rPr>
                <w:color w:val="000000"/>
                <w:kern w:val="0"/>
                <w:szCs w:val="21"/>
              </w:rPr>
              <w:t>1</w:t>
            </w:r>
          </w:p>
        </w:tc>
        <w:tc>
          <w:tcPr>
            <w:tcW w:w="5174" w:type="dxa"/>
            <w:noWrap w:val="0"/>
            <w:vAlign w:val="center"/>
          </w:tcPr>
          <w:p w14:paraId="286AB96C">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东至梅城路，南至浍河，西至</w:t>
            </w:r>
            <w:r>
              <w:rPr>
                <w:rFonts w:eastAsia="楷体_GB2312"/>
                <w:color w:val="000000"/>
                <w:kern w:val="0"/>
                <w:szCs w:val="21"/>
              </w:rPr>
              <w:t>206</w:t>
            </w:r>
            <w:r>
              <w:rPr>
                <w:rFonts w:hint="eastAsia" w:ascii="楷体_GB2312" w:hAnsi="宋体" w:eastAsia="楷体_GB2312" w:cs="宋体"/>
                <w:color w:val="000000"/>
                <w:kern w:val="0"/>
                <w:szCs w:val="21"/>
              </w:rPr>
              <w:t>国道、老街路、文苑路、浍河，北至鸿鹄路</w:t>
            </w:r>
          </w:p>
        </w:tc>
        <w:tc>
          <w:tcPr>
            <w:tcW w:w="0" w:type="auto"/>
            <w:noWrap w:val="0"/>
            <w:vAlign w:val="center"/>
          </w:tcPr>
          <w:p w14:paraId="3FC35C71">
            <w:pPr>
              <w:jc w:val="center"/>
              <w:rPr>
                <w:color w:val="000000"/>
                <w:kern w:val="0"/>
                <w:szCs w:val="21"/>
              </w:rPr>
            </w:pPr>
            <w:r>
              <w:rPr>
                <w:color w:val="000000"/>
                <w:kern w:val="0"/>
                <w:szCs w:val="21"/>
              </w:rPr>
              <w:t>1</w:t>
            </w:r>
          </w:p>
        </w:tc>
        <w:tc>
          <w:tcPr>
            <w:tcW w:w="0" w:type="auto"/>
            <w:noWrap w:val="0"/>
            <w:vAlign w:val="center"/>
          </w:tcPr>
          <w:p w14:paraId="0B9DFBF2">
            <w:pPr>
              <w:jc w:val="center"/>
              <w:rPr>
                <w:color w:val="000000"/>
                <w:kern w:val="0"/>
                <w:szCs w:val="21"/>
              </w:rPr>
            </w:pPr>
            <w:r>
              <w:rPr>
                <w:color w:val="000000"/>
                <w:kern w:val="0"/>
                <w:szCs w:val="21"/>
              </w:rPr>
              <w:t>1</w:t>
            </w:r>
          </w:p>
        </w:tc>
        <w:tc>
          <w:tcPr>
            <w:tcW w:w="0" w:type="auto"/>
            <w:noWrap w:val="0"/>
            <w:vAlign w:val="center"/>
          </w:tcPr>
          <w:p w14:paraId="2B95455A">
            <w:pPr>
              <w:jc w:val="center"/>
              <w:rPr>
                <w:color w:val="000000"/>
                <w:kern w:val="0"/>
                <w:szCs w:val="21"/>
              </w:rPr>
            </w:pPr>
            <w:r>
              <w:rPr>
                <w:color w:val="000000"/>
                <w:kern w:val="0"/>
                <w:szCs w:val="21"/>
              </w:rPr>
              <w:t>100</w:t>
            </w:r>
          </w:p>
        </w:tc>
      </w:tr>
      <w:tr w14:paraId="402C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4B0DD7DB">
            <w:pPr>
              <w:rPr>
                <w:color w:val="000000"/>
                <w:kern w:val="0"/>
                <w:szCs w:val="21"/>
              </w:rPr>
            </w:pPr>
          </w:p>
        </w:tc>
        <w:tc>
          <w:tcPr>
            <w:tcW w:w="850" w:type="dxa"/>
            <w:vMerge w:val="continue"/>
            <w:noWrap w:val="0"/>
            <w:vAlign w:val="center"/>
          </w:tcPr>
          <w:p w14:paraId="5ECCB7EE">
            <w:pPr>
              <w:ind w:left="-105" w:leftChars="-50" w:right="-105" w:rightChars="-50"/>
              <w:rPr>
                <w:rFonts w:ascii="楷体_GB2312" w:hAnsi="宋体" w:eastAsia="楷体_GB2312" w:cs="宋体"/>
                <w:color w:val="000000"/>
                <w:kern w:val="0"/>
                <w:szCs w:val="21"/>
              </w:rPr>
            </w:pPr>
          </w:p>
        </w:tc>
        <w:tc>
          <w:tcPr>
            <w:tcW w:w="710" w:type="dxa"/>
            <w:noWrap w:val="0"/>
            <w:vAlign w:val="center"/>
          </w:tcPr>
          <w:p w14:paraId="0E64AE61">
            <w:pPr>
              <w:jc w:val="center"/>
              <w:rPr>
                <w:color w:val="000000"/>
                <w:kern w:val="0"/>
                <w:szCs w:val="21"/>
              </w:rPr>
            </w:pPr>
            <w:r>
              <w:rPr>
                <w:color w:val="000000"/>
                <w:kern w:val="0"/>
                <w:szCs w:val="21"/>
              </w:rPr>
              <w:t>2</w:t>
            </w:r>
          </w:p>
        </w:tc>
        <w:tc>
          <w:tcPr>
            <w:tcW w:w="5174" w:type="dxa"/>
            <w:noWrap w:val="0"/>
            <w:vAlign w:val="center"/>
          </w:tcPr>
          <w:p w14:paraId="4587186F">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0" w:type="auto"/>
            <w:noWrap w:val="0"/>
            <w:vAlign w:val="center"/>
          </w:tcPr>
          <w:p w14:paraId="2CE3643A">
            <w:pPr>
              <w:jc w:val="center"/>
              <w:rPr>
                <w:color w:val="000000"/>
                <w:kern w:val="0"/>
                <w:szCs w:val="21"/>
              </w:rPr>
            </w:pPr>
            <w:r>
              <w:rPr>
                <w:color w:val="000000"/>
                <w:kern w:val="0"/>
                <w:szCs w:val="21"/>
              </w:rPr>
              <w:t>0.8745</w:t>
            </w:r>
          </w:p>
        </w:tc>
        <w:tc>
          <w:tcPr>
            <w:tcW w:w="0" w:type="auto"/>
            <w:noWrap w:val="0"/>
            <w:vAlign w:val="center"/>
          </w:tcPr>
          <w:p w14:paraId="3C7EB309">
            <w:pPr>
              <w:jc w:val="center"/>
              <w:rPr>
                <w:color w:val="000000"/>
                <w:kern w:val="0"/>
                <w:szCs w:val="21"/>
              </w:rPr>
            </w:pPr>
            <w:r>
              <w:rPr>
                <w:color w:val="000000"/>
                <w:kern w:val="0"/>
                <w:szCs w:val="21"/>
              </w:rPr>
              <w:t>2</w:t>
            </w:r>
          </w:p>
        </w:tc>
        <w:tc>
          <w:tcPr>
            <w:tcW w:w="0" w:type="auto"/>
            <w:noWrap w:val="0"/>
            <w:vAlign w:val="center"/>
          </w:tcPr>
          <w:p w14:paraId="55D92B93">
            <w:pPr>
              <w:jc w:val="center"/>
              <w:rPr>
                <w:color w:val="000000"/>
                <w:kern w:val="0"/>
                <w:szCs w:val="21"/>
              </w:rPr>
            </w:pPr>
            <w:r>
              <w:rPr>
                <w:color w:val="000000"/>
                <w:kern w:val="0"/>
                <w:szCs w:val="21"/>
              </w:rPr>
              <w:t>0</w:t>
            </w:r>
          </w:p>
        </w:tc>
      </w:tr>
      <w:tr w14:paraId="17862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3CFD9D07">
            <w:pPr>
              <w:jc w:val="center"/>
              <w:rPr>
                <w:color w:val="000000"/>
                <w:kern w:val="0"/>
                <w:szCs w:val="21"/>
              </w:rPr>
            </w:pPr>
            <w:r>
              <w:rPr>
                <w:color w:val="000000"/>
                <w:kern w:val="0"/>
                <w:szCs w:val="21"/>
              </w:rPr>
              <w:t>4</w:t>
            </w:r>
          </w:p>
        </w:tc>
        <w:tc>
          <w:tcPr>
            <w:tcW w:w="850" w:type="dxa"/>
            <w:vMerge w:val="restart"/>
            <w:noWrap w:val="0"/>
            <w:vAlign w:val="center"/>
          </w:tcPr>
          <w:p w14:paraId="3249BBF8">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芦岭镇</w:t>
            </w:r>
          </w:p>
        </w:tc>
        <w:tc>
          <w:tcPr>
            <w:tcW w:w="710" w:type="dxa"/>
            <w:noWrap w:val="0"/>
            <w:vAlign w:val="center"/>
          </w:tcPr>
          <w:p w14:paraId="5C919899">
            <w:pPr>
              <w:jc w:val="center"/>
              <w:rPr>
                <w:color w:val="000000"/>
                <w:kern w:val="0"/>
                <w:szCs w:val="21"/>
              </w:rPr>
            </w:pPr>
            <w:r>
              <w:rPr>
                <w:color w:val="000000"/>
                <w:kern w:val="0"/>
                <w:szCs w:val="21"/>
              </w:rPr>
              <w:t>1</w:t>
            </w:r>
          </w:p>
        </w:tc>
        <w:tc>
          <w:tcPr>
            <w:tcW w:w="5174" w:type="dxa"/>
            <w:noWrap w:val="0"/>
            <w:vAlign w:val="center"/>
          </w:tcPr>
          <w:p w14:paraId="1EE2CC79">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东至学苑路、东城路，南至陵园路，西至环城路，北至富民路</w:t>
            </w:r>
          </w:p>
        </w:tc>
        <w:tc>
          <w:tcPr>
            <w:tcW w:w="0" w:type="auto"/>
            <w:noWrap w:val="0"/>
            <w:vAlign w:val="center"/>
          </w:tcPr>
          <w:p w14:paraId="724BED2C">
            <w:pPr>
              <w:jc w:val="center"/>
              <w:rPr>
                <w:color w:val="000000"/>
                <w:kern w:val="0"/>
                <w:szCs w:val="21"/>
              </w:rPr>
            </w:pPr>
            <w:r>
              <w:rPr>
                <w:color w:val="000000"/>
                <w:kern w:val="0"/>
                <w:szCs w:val="21"/>
              </w:rPr>
              <w:t>1</w:t>
            </w:r>
          </w:p>
        </w:tc>
        <w:tc>
          <w:tcPr>
            <w:tcW w:w="0" w:type="auto"/>
            <w:noWrap w:val="0"/>
            <w:vAlign w:val="center"/>
          </w:tcPr>
          <w:p w14:paraId="2286B198">
            <w:pPr>
              <w:jc w:val="center"/>
              <w:rPr>
                <w:color w:val="000000"/>
                <w:kern w:val="0"/>
                <w:szCs w:val="21"/>
              </w:rPr>
            </w:pPr>
            <w:r>
              <w:rPr>
                <w:color w:val="000000"/>
                <w:kern w:val="0"/>
                <w:szCs w:val="21"/>
              </w:rPr>
              <w:t>1</w:t>
            </w:r>
          </w:p>
        </w:tc>
        <w:tc>
          <w:tcPr>
            <w:tcW w:w="0" w:type="auto"/>
            <w:noWrap w:val="0"/>
            <w:vAlign w:val="center"/>
          </w:tcPr>
          <w:p w14:paraId="73BABAC0">
            <w:pPr>
              <w:jc w:val="center"/>
              <w:rPr>
                <w:color w:val="000000"/>
                <w:kern w:val="0"/>
                <w:szCs w:val="21"/>
              </w:rPr>
            </w:pPr>
            <w:r>
              <w:rPr>
                <w:color w:val="000000"/>
                <w:kern w:val="0"/>
                <w:szCs w:val="21"/>
              </w:rPr>
              <w:t>100</w:t>
            </w:r>
          </w:p>
        </w:tc>
      </w:tr>
      <w:tr w14:paraId="7A0B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3FAC479F">
            <w:pPr>
              <w:rPr>
                <w:color w:val="000000"/>
                <w:kern w:val="0"/>
                <w:szCs w:val="21"/>
              </w:rPr>
            </w:pPr>
          </w:p>
        </w:tc>
        <w:tc>
          <w:tcPr>
            <w:tcW w:w="850" w:type="dxa"/>
            <w:vMerge w:val="continue"/>
            <w:noWrap w:val="0"/>
            <w:vAlign w:val="center"/>
          </w:tcPr>
          <w:p w14:paraId="4A6E6791">
            <w:pPr>
              <w:ind w:left="-105" w:leftChars="-50" w:right="-105" w:rightChars="-50"/>
              <w:rPr>
                <w:rFonts w:ascii="楷体_GB2312" w:hAnsi="宋体" w:eastAsia="楷体_GB2312" w:cs="宋体"/>
                <w:color w:val="000000"/>
                <w:kern w:val="0"/>
                <w:szCs w:val="21"/>
              </w:rPr>
            </w:pPr>
          </w:p>
        </w:tc>
        <w:tc>
          <w:tcPr>
            <w:tcW w:w="710" w:type="dxa"/>
            <w:noWrap w:val="0"/>
            <w:vAlign w:val="center"/>
          </w:tcPr>
          <w:p w14:paraId="3A11738A">
            <w:pPr>
              <w:jc w:val="center"/>
              <w:rPr>
                <w:color w:val="000000"/>
                <w:kern w:val="0"/>
                <w:szCs w:val="21"/>
              </w:rPr>
            </w:pPr>
            <w:r>
              <w:rPr>
                <w:color w:val="000000"/>
                <w:kern w:val="0"/>
                <w:szCs w:val="21"/>
              </w:rPr>
              <w:t>2</w:t>
            </w:r>
          </w:p>
        </w:tc>
        <w:tc>
          <w:tcPr>
            <w:tcW w:w="5174" w:type="dxa"/>
            <w:noWrap w:val="0"/>
            <w:vAlign w:val="center"/>
          </w:tcPr>
          <w:p w14:paraId="467FE7B2">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0" w:type="auto"/>
            <w:noWrap w:val="0"/>
            <w:vAlign w:val="center"/>
          </w:tcPr>
          <w:p w14:paraId="6C7BBE65">
            <w:pPr>
              <w:jc w:val="center"/>
              <w:rPr>
                <w:color w:val="000000"/>
                <w:kern w:val="0"/>
                <w:szCs w:val="21"/>
              </w:rPr>
            </w:pPr>
            <w:r>
              <w:rPr>
                <w:color w:val="000000"/>
                <w:kern w:val="0"/>
                <w:szCs w:val="21"/>
              </w:rPr>
              <w:t>0.8745</w:t>
            </w:r>
          </w:p>
        </w:tc>
        <w:tc>
          <w:tcPr>
            <w:tcW w:w="0" w:type="auto"/>
            <w:noWrap w:val="0"/>
            <w:vAlign w:val="center"/>
          </w:tcPr>
          <w:p w14:paraId="424D4C01">
            <w:pPr>
              <w:jc w:val="center"/>
              <w:rPr>
                <w:color w:val="000000"/>
                <w:kern w:val="0"/>
                <w:szCs w:val="21"/>
              </w:rPr>
            </w:pPr>
            <w:r>
              <w:rPr>
                <w:color w:val="000000"/>
                <w:kern w:val="0"/>
                <w:szCs w:val="21"/>
              </w:rPr>
              <w:t>2</w:t>
            </w:r>
          </w:p>
        </w:tc>
        <w:tc>
          <w:tcPr>
            <w:tcW w:w="0" w:type="auto"/>
            <w:noWrap w:val="0"/>
            <w:vAlign w:val="center"/>
          </w:tcPr>
          <w:p w14:paraId="6B4D2C9A">
            <w:pPr>
              <w:jc w:val="center"/>
              <w:rPr>
                <w:color w:val="000000"/>
                <w:kern w:val="0"/>
                <w:szCs w:val="21"/>
              </w:rPr>
            </w:pPr>
            <w:r>
              <w:rPr>
                <w:color w:val="000000"/>
                <w:kern w:val="0"/>
                <w:szCs w:val="21"/>
              </w:rPr>
              <w:t>0</w:t>
            </w:r>
          </w:p>
        </w:tc>
      </w:tr>
      <w:tr w14:paraId="247C8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1080DE08">
            <w:pPr>
              <w:jc w:val="center"/>
              <w:rPr>
                <w:color w:val="000000"/>
                <w:kern w:val="0"/>
                <w:szCs w:val="21"/>
              </w:rPr>
            </w:pPr>
            <w:r>
              <w:rPr>
                <w:color w:val="000000"/>
                <w:kern w:val="0"/>
                <w:szCs w:val="21"/>
              </w:rPr>
              <w:t>5</w:t>
            </w:r>
          </w:p>
        </w:tc>
        <w:tc>
          <w:tcPr>
            <w:tcW w:w="850" w:type="dxa"/>
            <w:vMerge w:val="restart"/>
            <w:noWrap w:val="0"/>
            <w:vAlign w:val="center"/>
          </w:tcPr>
          <w:p w14:paraId="5BFD0A93">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大店镇</w:t>
            </w:r>
          </w:p>
        </w:tc>
        <w:tc>
          <w:tcPr>
            <w:tcW w:w="710" w:type="dxa"/>
            <w:noWrap w:val="0"/>
            <w:vAlign w:val="center"/>
          </w:tcPr>
          <w:p w14:paraId="7C5DA688">
            <w:pPr>
              <w:jc w:val="center"/>
              <w:rPr>
                <w:color w:val="000000"/>
                <w:kern w:val="0"/>
                <w:szCs w:val="21"/>
              </w:rPr>
            </w:pPr>
            <w:r>
              <w:rPr>
                <w:color w:val="000000"/>
                <w:kern w:val="0"/>
                <w:szCs w:val="21"/>
              </w:rPr>
              <w:t>1</w:t>
            </w:r>
          </w:p>
        </w:tc>
        <w:tc>
          <w:tcPr>
            <w:tcW w:w="5174" w:type="dxa"/>
            <w:noWrap w:val="0"/>
            <w:vAlign w:val="center"/>
          </w:tcPr>
          <w:p w14:paraId="76BD1403">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东至滨水西路东侧水系，南至南一环路，西至幸福路、西昌路，北至</w:t>
            </w:r>
            <w:r>
              <w:rPr>
                <w:rFonts w:eastAsia="楷体_GB2312"/>
                <w:color w:val="000000"/>
                <w:kern w:val="0"/>
                <w:szCs w:val="21"/>
              </w:rPr>
              <w:t>303</w:t>
            </w:r>
            <w:r>
              <w:rPr>
                <w:rFonts w:hint="eastAsia" w:ascii="楷体_GB2312" w:hAnsi="宋体" w:eastAsia="楷体_GB2312" w:cs="宋体"/>
                <w:color w:val="000000"/>
                <w:kern w:val="0"/>
                <w:szCs w:val="21"/>
              </w:rPr>
              <w:t>省道</w:t>
            </w:r>
          </w:p>
        </w:tc>
        <w:tc>
          <w:tcPr>
            <w:tcW w:w="0" w:type="auto"/>
            <w:noWrap w:val="0"/>
            <w:vAlign w:val="center"/>
          </w:tcPr>
          <w:p w14:paraId="1A29274B">
            <w:pPr>
              <w:jc w:val="center"/>
              <w:rPr>
                <w:color w:val="000000"/>
                <w:kern w:val="0"/>
                <w:szCs w:val="21"/>
              </w:rPr>
            </w:pPr>
            <w:r>
              <w:rPr>
                <w:color w:val="000000"/>
                <w:kern w:val="0"/>
                <w:szCs w:val="21"/>
              </w:rPr>
              <w:t>1</w:t>
            </w:r>
          </w:p>
        </w:tc>
        <w:tc>
          <w:tcPr>
            <w:tcW w:w="0" w:type="auto"/>
            <w:noWrap w:val="0"/>
            <w:vAlign w:val="center"/>
          </w:tcPr>
          <w:p w14:paraId="0D034BED">
            <w:pPr>
              <w:jc w:val="center"/>
              <w:rPr>
                <w:color w:val="000000"/>
                <w:kern w:val="0"/>
                <w:szCs w:val="21"/>
              </w:rPr>
            </w:pPr>
            <w:r>
              <w:rPr>
                <w:color w:val="000000"/>
                <w:kern w:val="0"/>
                <w:szCs w:val="21"/>
              </w:rPr>
              <w:t>1</w:t>
            </w:r>
          </w:p>
        </w:tc>
        <w:tc>
          <w:tcPr>
            <w:tcW w:w="0" w:type="auto"/>
            <w:noWrap w:val="0"/>
            <w:vAlign w:val="center"/>
          </w:tcPr>
          <w:p w14:paraId="50C48648">
            <w:pPr>
              <w:jc w:val="center"/>
              <w:rPr>
                <w:color w:val="000000"/>
                <w:kern w:val="0"/>
                <w:szCs w:val="21"/>
              </w:rPr>
            </w:pPr>
            <w:r>
              <w:rPr>
                <w:color w:val="000000"/>
                <w:kern w:val="0"/>
                <w:szCs w:val="21"/>
              </w:rPr>
              <w:t>100</w:t>
            </w:r>
          </w:p>
        </w:tc>
      </w:tr>
      <w:tr w14:paraId="34FB5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52F9A89F">
            <w:pPr>
              <w:rPr>
                <w:color w:val="000000"/>
                <w:kern w:val="0"/>
                <w:szCs w:val="21"/>
              </w:rPr>
            </w:pPr>
          </w:p>
        </w:tc>
        <w:tc>
          <w:tcPr>
            <w:tcW w:w="850" w:type="dxa"/>
            <w:vMerge w:val="continue"/>
            <w:noWrap w:val="0"/>
            <w:vAlign w:val="center"/>
          </w:tcPr>
          <w:p w14:paraId="05FAC548">
            <w:pPr>
              <w:ind w:left="-105" w:leftChars="-50" w:right="-105" w:rightChars="-50"/>
              <w:rPr>
                <w:rFonts w:ascii="楷体_GB2312" w:hAnsi="宋体" w:eastAsia="楷体_GB2312" w:cs="宋体"/>
                <w:color w:val="000000"/>
                <w:kern w:val="0"/>
                <w:szCs w:val="21"/>
              </w:rPr>
            </w:pPr>
          </w:p>
        </w:tc>
        <w:tc>
          <w:tcPr>
            <w:tcW w:w="710" w:type="dxa"/>
            <w:noWrap w:val="0"/>
            <w:vAlign w:val="center"/>
          </w:tcPr>
          <w:p w14:paraId="3AE26771">
            <w:pPr>
              <w:jc w:val="center"/>
              <w:rPr>
                <w:color w:val="000000"/>
                <w:kern w:val="0"/>
                <w:szCs w:val="21"/>
              </w:rPr>
            </w:pPr>
            <w:r>
              <w:rPr>
                <w:color w:val="000000"/>
                <w:kern w:val="0"/>
                <w:szCs w:val="21"/>
              </w:rPr>
              <w:t>2</w:t>
            </w:r>
          </w:p>
        </w:tc>
        <w:tc>
          <w:tcPr>
            <w:tcW w:w="5174" w:type="dxa"/>
            <w:noWrap w:val="0"/>
            <w:vAlign w:val="center"/>
          </w:tcPr>
          <w:p w14:paraId="3BF45A71">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0" w:type="auto"/>
            <w:noWrap w:val="0"/>
            <w:vAlign w:val="center"/>
          </w:tcPr>
          <w:p w14:paraId="7B460557">
            <w:pPr>
              <w:jc w:val="center"/>
              <w:rPr>
                <w:color w:val="000000"/>
                <w:kern w:val="0"/>
                <w:szCs w:val="21"/>
              </w:rPr>
            </w:pPr>
            <w:r>
              <w:rPr>
                <w:color w:val="000000"/>
                <w:kern w:val="0"/>
                <w:szCs w:val="21"/>
              </w:rPr>
              <w:t>0.8745</w:t>
            </w:r>
          </w:p>
        </w:tc>
        <w:tc>
          <w:tcPr>
            <w:tcW w:w="0" w:type="auto"/>
            <w:noWrap w:val="0"/>
            <w:vAlign w:val="center"/>
          </w:tcPr>
          <w:p w14:paraId="78152787">
            <w:pPr>
              <w:jc w:val="center"/>
              <w:rPr>
                <w:color w:val="000000"/>
                <w:kern w:val="0"/>
                <w:szCs w:val="21"/>
              </w:rPr>
            </w:pPr>
            <w:r>
              <w:rPr>
                <w:color w:val="000000"/>
                <w:kern w:val="0"/>
                <w:szCs w:val="21"/>
              </w:rPr>
              <w:t>2</w:t>
            </w:r>
          </w:p>
        </w:tc>
        <w:tc>
          <w:tcPr>
            <w:tcW w:w="0" w:type="auto"/>
            <w:noWrap w:val="0"/>
            <w:vAlign w:val="center"/>
          </w:tcPr>
          <w:p w14:paraId="46915C05">
            <w:pPr>
              <w:jc w:val="center"/>
              <w:rPr>
                <w:color w:val="000000"/>
                <w:kern w:val="0"/>
                <w:szCs w:val="21"/>
              </w:rPr>
            </w:pPr>
            <w:r>
              <w:rPr>
                <w:color w:val="000000"/>
                <w:kern w:val="0"/>
                <w:szCs w:val="21"/>
              </w:rPr>
              <w:t>0</w:t>
            </w:r>
          </w:p>
        </w:tc>
      </w:tr>
      <w:tr w14:paraId="64BA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3B77D46F">
            <w:pPr>
              <w:jc w:val="center"/>
              <w:rPr>
                <w:color w:val="000000"/>
                <w:kern w:val="0"/>
                <w:szCs w:val="21"/>
              </w:rPr>
            </w:pPr>
            <w:r>
              <w:rPr>
                <w:color w:val="000000"/>
                <w:kern w:val="0"/>
                <w:szCs w:val="21"/>
              </w:rPr>
              <w:t>6</w:t>
            </w:r>
          </w:p>
        </w:tc>
        <w:tc>
          <w:tcPr>
            <w:tcW w:w="850" w:type="dxa"/>
            <w:vMerge w:val="restart"/>
            <w:noWrap w:val="0"/>
            <w:vAlign w:val="center"/>
          </w:tcPr>
          <w:p w14:paraId="727F44BA">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栏杆镇</w:t>
            </w:r>
          </w:p>
        </w:tc>
        <w:tc>
          <w:tcPr>
            <w:tcW w:w="710" w:type="dxa"/>
            <w:noWrap w:val="0"/>
            <w:vAlign w:val="center"/>
          </w:tcPr>
          <w:p w14:paraId="53093081">
            <w:pPr>
              <w:jc w:val="center"/>
              <w:rPr>
                <w:color w:val="000000"/>
                <w:kern w:val="0"/>
                <w:szCs w:val="21"/>
              </w:rPr>
            </w:pPr>
            <w:r>
              <w:rPr>
                <w:color w:val="000000"/>
                <w:kern w:val="0"/>
                <w:szCs w:val="21"/>
              </w:rPr>
              <w:t>1</w:t>
            </w:r>
          </w:p>
        </w:tc>
        <w:tc>
          <w:tcPr>
            <w:tcW w:w="5174" w:type="dxa"/>
            <w:noWrap w:val="0"/>
            <w:vAlign w:val="center"/>
          </w:tcPr>
          <w:p w14:paraId="07FF36F8">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东至文明路、格致路、功成路，南至科技大道，西至亲民路，北至德高路、北环路</w:t>
            </w:r>
          </w:p>
        </w:tc>
        <w:tc>
          <w:tcPr>
            <w:tcW w:w="0" w:type="auto"/>
            <w:noWrap w:val="0"/>
            <w:vAlign w:val="center"/>
          </w:tcPr>
          <w:p w14:paraId="0ECDABB8">
            <w:pPr>
              <w:jc w:val="center"/>
              <w:rPr>
                <w:color w:val="000000"/>
                <w:kern w:val="0"/>
                <w:szCs w:val="21"/>
              </w:rPr>
            </w:pPr>
            <w:r>
              <w:rPr>
                <w:color w:val="000000"/>
                <w:kern w:val="0"/>
                <w:szCs w:val="21"/>
              </w:rPr>
              <w:t>1</w:t>
            </w:r>
          </w:p>
        </w:tc>
        <w:tc>
          <w:tcPr>
            <w:tcW w:w="0" w:type="auto"/>
            <w:noWrap w:val="0"/>
            <w:vAlign w:val="center"/>
          </w:tcPr>
          <w:p w14:paraId="3F7CE113">
            <w:pPr>
              <w:jc w:val="center"/>
              <w:rPr>
                <w:color w:val="000000"/>
                <w:kern w:val="0"/>
                <w:szCs w:val="21"/>
              </w:rPr>
            </w:pPr>
            <w:r>
              <w:rPr>
                <w:color w:val="000000"/>
                <w:kern w:val="0"/>
                <w:szCs w:val="21"/>
              </w:rPr>
              <w:t>1</w:t>
            </w:r>
          </w:p>
        </w:tc>
        <w:tc>
          <w:tcPr>
            <w:tcW w:w="0" w:type="auto"/>
            <w:noWrap w:val="0"/>
            <w:vAlign w:val="center"/>
          </w:tcPr>
          <w:p w14:paraId="011ADC04">
            <w:pPr>
              <w:jc w:val="center"/>
              <w:rPr>
                <w:color w:val="000000"/>
                <w:kern w:val="0"/>
                <w:szCs w:val="21"/>
              </w:rPr>
            </w:pPr>
            <w:r>
              <w:rPr>
                <w:color w:val="000000"/>
                <w:kern w:val="0"/>
                <w:szCs w:val="21"/>
              </w:rPr>
              <w:t>100</w:t>
            </w:r>
          </w:p>
        </w:tc>
      </w:tr>
      <w:tr w14:paraId="34D0C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58F9E4CF">
            <w:pPr>
              <w:rPr>
                <w:color w:val="000000"/>
                <w:kern w:val="0"/>
                <w:szCs w:val="21"/>
              </w:rPr>
            </w:pPr>
          </w:p>
        </w:tc>
        <w:tc>
          <w:tcPr>
            <w:tcW w:w="850" w:type="dxa"/>
            <w:vMerge w:val="continue"/>
            <w:noWrap w:val="0"/>
            <w:vAlign w:val="center"/>
          </w:tcPr>
          <w:p w14:paraId="21407E65">
            <w:pPr>
              <w:ind w:left="-105" w:leftChars="-50" w:right="-105" w:rightChars="-50"/>
              <w:rPr>
                <w:rFonts w:ascii="楷体_GB2312" w:hAnsi="宋体" w:eastAsia="楷体_GB2312" w:cs="宋体"/>
                <w:color w:val="000000"/>
                <w:kern w:val="0"/>
                <w:szCs w:val="21"/>
              </w:rPr>
            </w:pPr>
          </w:p>
        </w:tc>
        <w:tc>
          <w:tcPr>
            <w:tcW w:w="710" w:type="dxa"/>
            <w:noWrap w:val="0"/>
            <w:vAlign w:val="center"/>
          </w:tcPr>
          <w:p w14:paraId="4204AB3F">
            <w:pPr>
              <w:jc w:val="center"/>
              <w:rPr>
                <w:color w:val="000000"/>
                <w:kern w:val="0"/>
                <w:szCs w:val="21"/>
              </w:rPr>
            </w:pPr>
            <w:r>
              <w:rPr>
                <w:color w:val="000000"/>
                <w:kern w:val="0"/>
                <w:szCs w:val="21"/>
              </w:rPr>
              <w:t>2</w:t>
            </w:r>
          </w:p>
        </w:tc>
        <w:tc>
          <w:tcPr>
            <w:tcW w:w="5174" w:type="dxa"/>
            <w:noWrap w:val="0"/>
            <w:vAlign w:val="center"/>
          </w:tcPr>
          <w:p w14:paraId="0F86075F">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0" w:type="auto"/>
            <w:noWrap w:val="0"/>
            <w:vAlign w:val="center"/>
          </w:tcPr>
          <w:p w14:paraId="72CD988D">
            <w:pPr>
              <w:jc w:val="center"/>
              <w:rPr>
                <w:color w:val="000000"/>
                <w:kern w:val="0"/>
                <w:szCs w:val="21"/>
              </w:rPr>
            </w:pPr>
            <w:r>
              <w:rPr>
                <w:color w:val="000000"/>
                <w:kern w:val="0"/>
                <w:szCs w:val="21"/>
              </w:rPr>
              <w:t>0.8745</w:t>
            </w:r>
          </w:p>
        </w:tc>
        <w:tc>
          <w:tcPr>
            <w:tcW w:w="0" w:type="auto"/>
            <w:noWrap w:val="0"/>
            <w:vAlign w:val="center"/>
          </w:tcPr>
          <w:p w14:paraId="62129666">
            <w:pPr>
              <w:jc w:val="center"/>
              <w:rPr>
                <w:color w:val="000000"/>
                <w:kern w:val="0"/>
                <w:szCs w:val="21"/>
              </w:rPr>
            </w:pPr>
            <w:r>
              <w:rPr>
                <w:color w:val="000000"/>
                <w:kern w:val="0"/>
                <w:szCs w:val="21"/>
              </w:rPr>
              <w:t>2</w:t>
            </w:r>
          </w:p>
        </w:tc>
        <w:tc>
          <w:tcPr>
            <w:tcW w:w="0" w:type="auto"/>
            <w:noWrap w:val="0"/>
            <w:vAlign w:val="center"/>
          </w:tcPr>
          <w:p w14:paraId="79EF9E3A">
            <w:pPr>
              <w:jc w:val="center"/>
              <w:rPr>
                <w:color w:val="000000"/>
                <w:kern w:val="0"/>
                <w:szCs w:val="21"/>
              </w:rPr>
            </w:pPr>
            <w:r>
              <w:rPr>
                <w:color w:val="000000"/>
                <w:kern w:val="0"/>
                <w:szCs w:val="21"/>
              </w:rPr>
              <w:t>0</w:t>
            </w:r>
          </w:p>
        </w:tc>
      </w:tr>
      <w:tr w14:paraId="78215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5A0CABFA">
            <w:pPr>
              <w:jc w:val="center"/>
              <w:rPr>
                <w:color w:val="000000"/>
                <w:kern w:val="0"/>
                <w:szCs w:val="21"/>
              </w:rPr>
            </w:pPr>
            <w:r>
              <w:rPr>
                <w:color w:val="000000"/>
                <w:kern w:val="0"/>
                <w:szCs w:val="21"/>
              </w:rPr>
              <w:t>7</w:t>
            </w:r>
          </w:p>
        </w:tc>
        <w:tc>
          <w:tcPr>
            <w:tcW w:w="850" w:type="dxa"/>
            <w:vMerge w:val="restart"/>
            <w:noWrap w:val="0"/>
            <w:vAlign w:val="center"/>
          </w:tcPr>
          <w:p w14:paraId="48AFA819">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时村镇</w:t>
            </w:r>
          </w:p>
        </w:tc>
        <w:tc>
          <w:tcPr>
            <w:tcW w:w="710" w:type="dxa"/>
            <w:noWrap w:val="0"/>
            <w:vAlign w:val="center"/>
          </w:tcPr>
          <w:p w14:paraId="64B4F90C">
            <w:pPr>
              <w:jc w:val="center"/>
              <w:rPr>
                <w:color w:val="000000"/>
                <w:kern w:val="0"/>
                <w:szCs w:val="21"/>
              </w:rPr>
            </w:pPr>
            <w:r>
              <w:rPr>
                <w:color w:val="000000"/>
                <w:kern w:val="0"/>
                <w:szCs w:val="21"/>
              </w:rPr>
              <w:t>1</w:t>
            </w:r>
          </w:p>
        </w:tc>
        <w:tc>
          <w:tcPr>
            <w:tcW w:w="5174" w:type="dxa"/>
            <w:noWrap w:val="0"/>
            <w:vAlign w:val="center"/>
          </w:tcPr>
          <w:p w14:paraId="1582D9F8">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东至时村中心学校东侧道路、环城东路西侧道路，南至环城南路，西至时西路，北至时北路</w:t>
            </w:r>
          </w:p>
        </w:tc>
        <w:tc>
          <w:tcPr>
            <w:tcW w:w="0" w:type="auto"/>
            <w:noWrap w:val="0"/>
            <w:vAlign w:val="center"/>
          </w:tcPr>
          <w:p w14:paraId="3B01D5DC">
            <w:pPr>
              <w:jc w:val="center"/>
              <w:rPr>
                <w:color w:val="000000"/>
                <w:kern w:val="0"/>
                <w:szCs w:val="21"/>
              </w:rPr>
            </w:pPr>
            <w:r>
              <w:rPr>
                <w:color w:val="000000"/>
                <w:kern w:val="0"/>
                <w:szCs w:val="21"/>
              </w:rPr>
              <w:t>1</w:t>
            </w:r>
          </w:p>
        </w:tc>
        <w:tc>
          <w:tcPr>
            <w:tcW w:w="0" w:type="auto"/>
            <w:noWrap w:val="0"/>
            <w:vAlign w:val="center"/>
          </w:tcPr>
          <w:p w14:paraId="3460B166">
            <w:pPr>
              <w:jc w:val="center"/>
              <w:rPr>
                <w:color w:val="000000"/>
                <w:kern w:val="0"/>
                <w:szCs w:val="21"/>
              </w:rPr>
            </w:pPr>
            <w:r>
              <w:rPr>
                <w:color w:val="000000"/>
                <w:kern w:val="0"/>
                <w:szCs w:val="21"/>
              </w:rPr>
              <w:t>1</w:t>
            </w:r>
          </w:p>
        </w:tc>
        <w:tc>
          <w:tcPr>
            <w:tcW w:w="0" w:type="auto"/>
            <w:noWrap w:val="0"/>
            <w:vAlign w:val="center"/>
          </w:tcPr>
          <w:p w14:paraId="79C6AA0D">
            <w:pPr>
              <w:jc w:val="center"/>
              <w:rPr>
                <w:color w:val="000000"/>
                <w:kern w:val="0"/>
                <w:szCs w:val="21"/>
              </w:rPr>
            </w:pPr>
            <w:r>
              <w:rPr>
                <w:color w:val="000000"/>
                <w:kern w:val="0"/>
                <w:szCs w:val="21"/>
              </w:rPr>
              <w:t>100</w:t>
            </w:r>
          </w:p>
        </w:tc>
      </w:tr>
      <w:tr w14:paraId="2422A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48A52661">
            <w:pPr>
              <w:rPr>
                <w:color w:val="000000"/>
                <w:kern w:val="0"/>
                <w:szCs w:val="21"/>
              </w:rPr>
            </w:pPr>
          </w:p>
        </w:tc>
        <w:tc>
          <w:tcPr>
            <w:tcW w:w="850" w:type="dxa"/>
            <w:vMerge w:val="continue"/>
            <w:noWrap w:val="0"/>
            <w:vAlign w:val="center"/>
          </w:tcPr>
          <w:p w14:paraId="26BFFDAE">
            <w:pPr>
              <w:ind w:left="-105" w:leftChars="-50" w:right="-105" w:rightChars="-50"/>
              <w:rPr>
                <w:rFonts w:ascii="楷体_GB2312" w:hAnsi="宋体" w:eastAsia="楷体_GB2312" w:cs="宋体"/>
                <w:color w:val="000000"/>
                <w:kern w:val="0"/>
                <w:szCs w:val="21"/>
              </w:rPr>
            </w:pPr>
          </w:p>
        </w:tc>
        <w:tc>
          <w:tcPr>
            <w:tcW w:w="710" w:type="dxa"/>
            <w:noWrap w:val="0"/>
            <w:vAlign w:val="center"/>
          </w:tcPr>
          <w:p w14:paraId="7D1B9552">
            <w:pPr>
              <w:jc w:val="center"/>
              <w:rPr>
                <w:color w:val="000000"/>
                <w:kern w:val="0"/>
                <w:szCs w:val="21"/>
              </w:rPr>
            </w:pPr>
            <w:r>
              <w:rPr>
                <w:color w:val="000000"/>
                <w:kern w:val="0"/>
                <w:szCs w:val="21"/>
              </w:rPr>
              <w:t>2</w:t>
            </w:r>
          </w:p>
        </w:tc>
        <w:tc>
          <w:tcPr>
            <w:tcW w:w="5174" w:type="dxa"/>
            <w:noWrap w:val="0"/>
            <w:vAlign w:val="center"/>
          </w:tcPr>
          <w:p w14:paraId="5626202B">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0" w:type="auto"/>
            <w:noWrap w:val="0"/>
            <w:vAlign w:val="center"/>
          </w:tcPr>
          <w:p w14:paraId="373F4602">
            <w:pPr>
              <w:jc w:val="center"/>
              <w:rPr>
                <w:color w:val="000000"/>
                <w:kern w:val="0"/>
                <w:szCs w:val="21"/>
              </w:rPr>
            </w:pPr>
            <w:r>
              <w:rPr>
                <w:color w:val="000000"/>
                <w:kern w:val="0"/>
                <w:szCs w:val="21"/>
              </w:rPr>
              <w:t>0.6667</w:t>
            </w:r>
          </w:p>
        </w:tc>
        <w:tc>
          <w:tcPr>
            <w:tcW w:w="0" w:type="auto"/>
            <w:noWrap w:val="0"/>
            <w:vAlign w:val="center"/>
          </w:tcPr>
          <w:p w14:paraId="40CF9556">
            <w:pPr>
              <w:jc w:val="center"/>
              <w:rPr>
                <w:color w:val="000000"/>
                <w:kern w:val="0"/>
                <w:szCs w:val="21"/>
              </w:rPr>
            </w:pPr>
            <w:r>
              <w:rPr>
                <w:color w:val="000000"/>
                <w:kern w:val="0"/>
                <w:szCs w:val="21"/>
              </w:rPr>
              <w:t>2</w:t>
            </w:r>
          </w:p>
        </w:tc>
        <w:tc>
          <w:tcPr>
            <w:tcW w:w="0" w:type="auto"/>
            <w:noWrap w:val="0"/>
            <w:vAlign w:val="center"/>
          </w:tcPr>
          <w:p w14:paraId="07C85AEF">
            <w:pPr>
              <w:jc w:val="center"/>
              <w:rPr>
                <w:color w:val="000000"/>
                <w:kern w:val="0"/>
                <w:szCs w:val="21"/>
              </w:rPr>
            </w:pPr>
            <w:r>
              <w:rPr>
                <w:color w:val="000000"/>
                <w:kern w:val="0"/>
                <w:szCs w:val="21"/>
              </w:rPr>
              <w:t>0</w:t>
            </w:r>
          </w:p>
        </w:tc>
      </w:tr>
      <w:tr w14:paraId="40C8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2664C0B9">
            <w:pPr>
              <w:jc w:val="center"/>
              <w:rPr>
                <w:color w:val="000000"/>
                <w:kern w:val="0"/>
                <w:szCs w:val="21"/>
              </w:rPr>
            </w:pPr>
            <w:r>
              <w:rPr>
                <w:color w:val="000000"/>
                <w:kern w:val="0"/>
                <w:szCs w:val="21"/>
              </w:rPr>
              <w:t>8</w:t>
            </w:r>
          </w:p>
        </w:tc>
        <w:tc>
          <w:tcPr>
            <w:tcW w:w="850" w:type="dxa"/>
            <w:vMerge w:val="restart"/>
            <w:noWrap w:val="0"/>
            <w:vAlign w:val="center"/>
          </w:tcPr>
          <w:p w14:paraId="2C535265">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夹沟镇</w:t>
            </w:r>
          </w:p>
        </w:tc>
        <w:tc>
          <w:tcPr>
            <w:tcW w:w="710" w:type="dxa"/>
            <w:noWrap w:val="0"/>
            <w:vAlign w:val="center"/>
          </w:tcPr>
          <w:p w14:paraId="6FFDB910">
            <w:pPr>
              <w:jc w:val="center"/>
              <w:rPr>
                <w:color w:val="000000"/>
                <w:kern w:val="0"/>
                <w:szCs w:val="21"/>
              </w:rPr>
            </w:pPr>
            <w:r>
              <w:rPr>
                <w:color w:val="000000"/>
                <w:kern w:val="0"/>
                <w:szCs w:val="21"/>
              </w:rPr>
              <w:t>1</w:t>
            </w:r>
          </w:p>
        </w:tc>
        <w:tc>
          <w:tcPr>
            <w:tcW w:w="5174" w:type="dxa"/>
            <w:noWrap w:val="0"/>
            <w:vAlign w:val="center"/>
          </w:tcPr>
          <w:p w14:paraId="5C7815E7">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东至东一路，南至府前路，西至津浦铁路东侧规划道路，北至定级边界</w:t>
            </w:r>
          </w:p>
        </w:tc>
        <w:tc>
          <w:tcPr>
            <w:tcW w:w="0" w:type="auto"/>
            <w:noWrap w:val="0"/>
            <w:vAlign w:val="center"/>
          </w:tcPr>
          <w:p w14:paraId="7ACD39DD">
            <w:pPr>
              <w:jc w:val="center"/>
              <w:rPr>
                <w:color w:val="000000"/>
                <w:kern w:val="0"/>
                <w:szCs w:val="21"/>
              </w:rPr>
            </w:pPr>
            <w:r>
              <w:rPr>
                <w:color w:val="000000"/>
                <w:kern w:val="0"/>
                <w:szCs w:val="21"/>
              </w:rPr>
              <w:t>1</w:t>
            </w:r>
          </w:p>
        </w:tc>
        <w:tc>
          <w:tcPr>
            <w:tcW w:w="0" w:type="auto"/>
            <w:noWrap w:val="0"/>
            <w:vAlign w:val="center"/>
          </w:tcPr>
          <w:p w14:paraId="4C9C7974">
            <w:pPr>
              <w:jc w:val="center"/>
              <w:rPr>
                <w:color w:val="000000"/>
                <w:kern w:val="0"/>
                <w:szCs w:val="21"/>
              </w:rPr>
            </w:pPr>
            <w:r>
              <w:rPr>
                <w:color w:val="000000"/>
                <w:kern w:val="0"/>
                <w:szCs w:val="21"/>
              </w:rPr>
              <w:t>1</w:t>
            </w:r>
          </w:p>
        </w:tc>
        <w:tc>
          <w:tcPr>
            <w:tcW w:w="0" w:type="auto"/>
            <w:noWrap w:val="0"/>
            <w:vAlign w:val="center"/>
          </w:tcPr>
          <w:p w14:paraId="2A3DB652">
            <w:pPr>
              <w:jc w:val="center"/>
              <w:rPr>
                <w:color w:val="000000"/>
                <w:kern w:val="0"/>
                <w:szCs w:val="21"/>
              </w:rPr>
            </w:pPr>
            <w:r>
              <w:rPr>
                <w:color w:val="000000"/>
                <w:kern w:val="0"/>
                <w:szCs w:val="21"/>
              </w:rPr>
              <w:t>100</w:t>
            </w:r>
          </w:p>
        </w:tc>
      </w:tr>
      <w:tr w14:paraId="521C9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3138B3AF">
            <w:pPr>
              <w:rPr>
                <w:color w:val="000000"/>
                <w:kern w:val="0"/>
                <w:szCs w:val="21"/>
              </w:rPr>
            </w:pPr>
          </w:p>
        </w:tc>
        <w:tc>
          <w:tcPr>
            <w:tcW w:w="850" w:type="dxa"/>
            <w:vMerge w:val="continue"/>
            <w:noWrap w:val="0"/>
            <w:vAlign w:val="center"/>
          </w:tcPr>
          <w:p w14:paraId="68CEF834">
            <w:pPr>
              <w:ind w:left="-105" w:leftChars="-50" w:right="-105" w:rightChars="-50"/>
              <w:rPr>
                <w:rFonts w:ascii="楷体_GB2312" w:hAnsi="宋体" w:eastAsia="楷体_GB2312" w:cs="宋体"/>
                <w:color w:val="000000"/>
                <w:kern w:val="0"/>
                <w:szCs w:val="21"/>
              </w:rPr>
            </w:pPr>
          </w:p>
        </w:tc>
        <w:tc>
          <w:tcPr>
            <w:tcW w:w="710" w:type="dxa"/>
            <w:noWrap w:val="0"/>
            <w:vAlign w:val="center"/>
          </w:tcPr>
          <w:p w14:paraId="2D5AB2FE">
            <w:pPr>
              <w:jc w:val="center"/>
              <w:rPr>
                <w:color w:val="000000"/>
                <w:kern w:val="0"/>
                <w:szCs w:val="21"/>
              </w:rPr>
            </w:pPr>
            <w:r>
              <w:rPr>
                <w:color w:val="000000"/>
                <w:kern w:val="0"/>
                <w:szCs w:val="21"/>
              </w:rPr>
              <w:t>2</w:t>
            </w:r>
          </w:p>
        </w:tc>
        <w:tc>
          <w:tcPr>
            <w:tcW w:w="5174" w:type="dxa"/>
            <w:noWrap w:val="0"/>
            <w:vAlign w:val="center"/>
          </w:tcPr>
          <w:p w14:paraId="2FE9D827">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0" w:type="auto"/>
            <w:noWrap w:val="0"/>
            <w:vAlign w:val="center"/>
          </w:tcPr>
          <w:p w14:paraId="2483C5B2">
            <w:pPr>
              <w:jc w:val="center"/>
              <w:rPr>
                <w:color w:val="000000"/>
                <w:kern w:val="0"/>
                <w:szCs w:val="21"/>
              </w:rPr>
            </w:pPr>
            <w:r>
              <w:rPr>
                <w:color w:val="000000"/>
                <w:kern w:val="0"/>
                <w:szCs w:val="21"/>
              </w:rPr>
              <w:t>0.6667</w:t>
            </w:r>
          </w:p>
        </w:tc>
        <w:tc>
          <w:tcPr>
            <w:tcW w:w="0" w:type="auto"/>
            <w:noWrap w:val="0"/>
            <w:vAlign w:val="center"/>
          </w:tcPr>
          <w:p w14:paraId="60B36E2E">
            <w:pPr>
              <w:jc w:val="center"/>
              <w:rPr>
                <w:color w:val="000000"/>
                <w:kern w:val="0"/>
                <w:szCs w:val="21"/>
              </w:rPr>
            </w:pPr>
            <w:r>
              <w:rPr>
                <w:color w:val="000000"/>
                <w:kern w:val="0"/>
                <w:szCs w:val="21"/>
              </w:rPr>
              <w:t>2</w:t>
            </w:r>
          </w:p>
        </w:tc>
        <w:tc>
          <w:tcPr>
            <w:tcW w:w="0" w:type="auto"/>
            <w:noWrap w:val="0"/>
            <w:vAlign w:val="center"/>
          </w:tcPr>
          <w:p w14:paraId="650C63EB">
            <w:pPr>
              <w:jc w:val="center"/>
              <w:rPr>
                <w:color w:val="000000"/>
                <w:kern w:val="0"/>
                <w:szCs w:val="21"/>
              </w:rPr>
            </w:pPr>
            <w:r>
              <w:rPr>
                <w:color w:val="000000"/>
                <w:kern w:val="0"/>
                <w:szCs w:val="21"/>
              </w:rPr>
              <w:t>0</w:t>
            </w:r>
          </w:p>
        </w:tc>
      </w:tr>
      <w:tr w14:paraId="2130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7CFA052F">
            <w:pPr>
              <w:jc w:val="center"/>
              <w:rPr>
                <w:color w:val="000000"/>
                <w:kern w:val="0"/>
                <w:szCs w:val="21"/>
              </w:rPr>
            </w:pPr>
            <w:r>
              <w:rPr>
                <w:color w:val="000000"/>
                <w:kern w:val="0"/>
                <w:szCs w:val="21"/>
              </w:rPr>
              <w:t>9</w:t>
            </w:r>
          </w:p>
        </w:tc>
        <w:tc>
          <w:tcPr>
            <w:tcW w:w="850" w:type="dxa"/>
            <w:vMerge w:val="restart"/>
            <w:noWrap w:val="0"/>
            <w:vAlign w:val="center"/>
          </w:tcPr>
          <w:p w14:paraId="6BF678E4">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西二铺乡</w:t>
            </w:r>
          </w:p>
        </w:tc>
        <w:tc>
          <w:tcPr>
            <w:tcW w:w="710" w:type="dxa"/>
            <w:noWrap w:val="0"/>
            <w:vAlign w:val="center"/>
          </w:tcPr>
          <w:p w14:paraId="7F4BC89B">
            <w:pPr>
              <w:jc w:val="center"/>
              <w:rPr>
                <w:color w:val="000000"/>
                <w:kern w:val="0"/>
                <w:szCs w:val="21"/>
              </w:rPr>
            </w:pPr>
            <w:r>
              <w:rPr>
                <w:color w:val="000000"/>
                <w:kern w:val="0"/>
                <w:szCs w:val="21"/>
              </w:rPr>
              <w:t>1</w:t>
            </w:r>
          </w:p>
        </w:tc>
        <w:tc>
          <w:tcPr>
            <w:tcW w:w="5174" w:type="dxa"/>
            <w:noWrap w:val="0"/>
            <w:vAlign w:val="center"/>
          </w:tcPr>
          <w:p w14:paraId="13945B70">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东至昌盛路，南至福顺路，西至薛堂路，北至吕黄路</w:t>
            </w:r>
          </w:p>
        </w:tc>
        <w:tc>
          <w:tcPr>
            <w:tcW w:w="0" w:type="auto"/>
            <w:noWrap w:val="0"/>
            <w:vAlign w:val="center"/>
          </w:tcPr>
          <w:p w14:paraId="5ED47C8F">
            <w:pPr>
              <w:jc w:val="center"/>
              <w:rPr>
                <w:color w:val="000000"/>
                <w:kern w:val="0"/>
                <w:szCs w:val="21"/>
              </w:rPr>
            </w:pPr>
            <w:r>
              <w:rPr>
                <w:color w:val="000000"/>
                <w:kern w:val="0"/>
                <w:szCs w:val="21"/>
              </w:rPr>
              <w:t>1</w:t>
            </w:r>
          </w:p>
        </w:tc>
        <w:tc>
          <w:tcPr>
            <w:tcW w:w="0" w:type="auto"/>
            <w:noWrap w:val="0"/>
            <w:vAlign w:val="center"/>
          </w:tcPr>
          <w:p w14:paraId="1B670583">
            <w:pPr>
              <w:jc w:val="center"/>
              <w:rPr>
                <w:color w:val="000000"/>
                <w:kern w:val="0"/>
                <w:szCs w:val="21"/>
              </w:rPr>
            </w:pPr>
            <w:r>
              <w:rPr>
                <w:color w:val="000000"/>
                <w:kern w:val="0"/>
                <w:szCs w:val="21"/>
              </w:rPr>
              <w:t>1</w:t>
            </w:r>
          </w:p>
        </w:tc>
        <w:tc>
          <w:tcPr>
            <w:tcW w:w="0" w:type="auto"/>
            <w:noWrap w:val="0"/>
            <w:vAlign w:val="center"/>
          </w:tcPr>
          <w:p w14:paraId="667D704D">
            <w:pPr>
              <w:jc w:val="center"/>
              <w:rPr>
                <w:color w:val="000000"/>
                <w:kern w:val="0"/>
                <w:szCs w:val="21"/>
              </w:rPr>
            </w:pPr>
            <w:r>
              <w:rPr>
                <w:color w:val="000000"/>
                <w:kern w:val="0"/>
                <w:szCs w:val="21"/>
              </w:rPr>
              <w:t>100</w:t>
            </w:r>
          </w:p>
        </w:tc>
      </w:tr>
      <w:tr w14:paraId="16C2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486790E0">
            <w:pPr>
              <w:rPr>
                <w:color w:val="000000"/>
                <w:kern w:val="0"/>
                <w:szCs w:val="21"/>
              </w:rPr>
            </w:pPr>
          </w:p>
        </w:tc>
        <w:tc>
          <w:tcPr>
            <w:tcW w:w="850" w:type="dxa"/>
            <w:vMerge w:val="continue"/>
            <w:noWrap w:val="0"/>
            <w:vAlign w:val="center"/>
          </w:tcPr>
          <w:p w14:paraId="493D566F">
            <w:pPr>
              <w:ind w:left="-105" w:leftChars="-50" w:right="-105" w:rightChars="-50"/>
              <w:rPr>
                <w:rFonts w:ascii="楷体_GB2312" w:hAnsi="宋体" w:eastAsia="楷体_GB2312" w:cs="宋体"/>
                <w:color w:val="000000"/>
                <w:kern w:val="0"/>
                <w:szCs w:val="21"/>
              </w:rPr>
            </w:pPr>
          </w:p>
        </w:tc>
        <w:tc>
          <w:tcPr>
            <w:tcW w:w="710" w:type="dxa"/>
            <w:noWrap w:val="0"/>
            <w:vAlign w:val="center"/>
          </w:tcPr>
          <w:p w14:paraId="326D1698">
            <w:pPr>
              <w:jc w:val="center"/>
              <w:rPr>
                <w:color w:val="000000"/>
                <w:kern w:val="0"/>
                <w:szCs w:val="21"/>
              </w:rPr>
            </w:pPr>
            <w:r>
              <w:rPr>
                <w:color w:val="000000"/>
                <w:kern w:val="0"/>
                <w:szCs w:val="21"/>
              </w:rPr>
              <w:t>2</w:t>
            </w:r>
          </w:p>
        </w:tc>
        <w:tc>
          <w:tcPr>
            <w:tcW w:w="5174" w:type="dxa"/>
            <w:noWrap w:val="0"/>
            <w:vAlign w:val="center"/>
          </w:tcPr>
          <w:p w14:paraId="0FD67465">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0" w:type="auto"/>
            <w:noWrap w:val="0"/>
            <w:vAlign w:val="center"/>
          </w:tcPr>
          <w:p w14:paraId="1B16257C">
            <w:pPr>
              <w:jc w:val="center"/>
              <w:rPr>
                <w:color w:val="000000"/>
                <w:kern w:val="0"/>
                <w:szCs w:val="21"/>
              </w:rPr>
            </w:pPr>
            <w:r>
              <w:rPr>
                <w:color w:val="000000"/>
                <w:kern w:val="0"/>
                <w:szCs w:val="21"/>
              </w:rPr>
              <w:t>0.6667</w:t>
            </w:r>
          </w:p>
        </w:tc>
        <w:tc>
          <w:tcPr>
            <w:tcW w:w="0" w:type="auto"/>
            <w:noWrap w:val="0"/>
            <w:vAlign w:val="center"/>
          </w:tcPr>
          <w:p w14:paraId="055DF519">
            <w:pPr>
              <w:jc w:val="center"/>
              <w:rPr>
                <w:color w:val="000000"/>
                <w:kern w:val="0"/>
                <w:szCs w:val="21"/>
              </w:rPr>
            </w:pPr>
            <w:r>
              <w:rPr>
                <w:color w:val="000000"/>
                <w:kern w:val="0"/>
                <w:szCs w:val="21"/>
              </w:rPr>
              <w:t>2</w:t>
            </w:r>
          </w:p>
        </w:tc>
        <w:tc>
          <w:tcPr>
            <w:tcW w:w="0" w:type="auto"/>
            <w:noWrap w:val="0"/>
            <w:vAlign w:val="center"/>
          </w:tcPr>
          <w:p w14:paraId="001BC333">
            <w:pPr>
              <w:jc w:val="center"/>
              <w:rPr>
                <w:color w:val="000000"/>
                <w:kern w:val="0"/>
                <w:szCs w:val="21"/>
              </w:rPr>
            </w:pPr>
            <w:r>
              <w:rPr>
                <w:color w:val="000000"/>
                <w:kern w:val="0"/>
                <w:szCs w:val="21"/>
              </w:rPr>
              <w:t>0</w:t>
            </w:r>
          </w:p>
        </w:tc>
      </w:tr>
      <w:tr w14:paraId="6193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67DE9153">
            <w:pPr>
              <w:jc w:val="center"/>
              <w:rPr>
                <w:color w:val="000000"/>
                <w:kern w:val="0"/>
                <w:szCs w:val="21"/>
              </w:rPr>
            </w:pPr>
            <w:r>
              <w:rPr>
                <w:color w:val="000000"/>
                <w:kern w:val="0"/>
                <w:szCs w:val="21"/>
              </w:rPr>
              <w:t>10</w:t>
            </w:r>
          </w:p>
        </w:tc>
        <w:tc>
          <w:tcPr>
            <w:tcW w:w="850" w:type="dxa"/>
            <w:vMerge w:val="restart"/>
            <w:noWrap w:val="0"/>
            <w:vAlign w:val="center"/>
          </w:tcPr>
          <w:p w14:paraId="199FA28B">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桃园镇</w:t>
            </w:r>
          </w:p>
        </w:tc>
        <w:tc>
          <w:tcPr>
            <w:tcW w:w="710" w:type="dxa"/>
            <w:noWrap w:val="0"/>
            <w:vAlign w:val="center"/>
          </w:tcPr>
          <w:p w14:paraId="18E37BE4">
            <w:pPr>
              <w:jc w:val="center"/>
              <w:rPr>
                <w:color w:val="000000"/>
                <w:kern w:val="0"/>
                <w:szCs w:val="21"/>
              </w:rPr>
            </w:pPr>
            <w:r>
              <w:rPr>
                <w:color w:val="000000"/>
                <w:kern w:val="0"/>
                <w:szCs w:val="21"/>
              </w:rPr>
              <w:t>1</w:t>
            </w:r>
          </w:p>
        </w:tc>
        <w:tc>
          <w:tcPr>
            <w:tcW w:w="5174" w:type="dxa"/>
            <w:noWrap w:val="0"/>
            <w:vAlign w:val="center"/>
          </w:tcPr>
          <w:p w14:paraId="68756F23">
            <w:pPr>
              <w:rPr>
                <w:rFonts w:hint="eastAsia" w:ascii="楷体_GB2312" w:hAnsi="宋体" w:eastAsia="楷体_GB2312" w:cs="宋体"/>
                <w:color w:val="000000"/>
                <w:kern w:val="0"/>
                <w:szCs w:val="21"/>
              </w:rPr>
            </w:pPr>
            <w:r>
              <w:rPr>
                <w:rFonts w:hint="eastAsia" w:ascii="楷体_GB2312" w:hAnsi="宋体" w:eastAsia="楷体_GB2312" w:cs="宋体"/>
                <w:color w:val="000000"/>
                <w:kern w:val="0"/>
                <w:szCs w:val="21"/>
              </w:rPr>
              <w:t>区域一：东至宿怀南路、定级边界，南至学前路，西至运西路，北至新园路</w:t>
            </w:r>
          </w:p>
          <w:p w14:paraId="333947D0">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区域二：东至杨寨路，南至交通路，西至广场路，北至池湖路</w:t>
            </w:r>
          </w:p>
        </w:tc>
        <w:tc>
          <w:tcPr>
            <w:tcW w:w="0" w:type="auto"/>
            <w:noWrap w:val="0"/>
            <w:vAlign w:val="center"/>
          </w:tcPr>
          <w:p w14:paraId="4C1854D4">
            <w:pPr>
              <w:jc w:val="center"/>
              <w:rPr>
                <w:color w:val="000000"/>
                <w:kern w:val="0"/>
                <w:szCs w:val="21"/>
              </w:rPr>
            </w:pPr>
            <w:r>
              <w:rPr>
                <w:color w:val="000000"/>
                <w:kern w:val="0"/>
                <w:szCs w:val="21"/>
              </w:rPr>
              <w:t>1</w:t>
            </w:r>
          </w:p>
        </w:tc>
        <w:tc>
          <w:tcPr>
            <w:tcW w:w="0" w:type="auto"/>
            <w:noWrap w:val="0"/>
            <w:vAlign w:val="center"/>
          </w:tcPr>
          <w:p w14:paraId="280138DA">
            <w:pPr>
              <w:jc w:val="center"/>
              <w:rPr>
                <w:color w:val="000000"/>
                <w:kern w:val="0"/>
                <w:szCs w:val="21"/>
              </w:rPr>
            </w:pPr>
            <w:r>
              <w:rPr>
                <w:color w:val="000000"/>
                <w:kern w:val="0"/>
                <w:szCs w:val="21"/>
              </w:rPr>
              <w:t>1</w:t>
            </w:r>
          </w:p>
        </w:tc>
        <w:tc>
          <w:tcPr>
            <w:tcW w:w="0" w:type="auto"/>
            <w:noWrap w:val="0"/>
            <w:vAlign w:val="center"/>
          </w:tcPr>
          <w:p w14:paraId="6FA4A1FE">
            <w:pPr>
              <w:jc w:val="center"/>
              <w:rPr>
                <w:color w:val="000000"/>
                <w:kern w:val="0"/>
                <w:szCs w:val="21"/>
              </w:rPr>
            </w:pPr>
            <w:r>
              <w:rPr>
                <w:color w:val="000000"/>
                <w:kern w:val="0"/>
                <w:szCs w:val="21"/>
              </w:rPr>
              <w:t>100</w:t>
            </w:r>
          </w:p>
        </w:tc>
      </w:tr>
      <w:tr w14:paraId="12AC5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340AD904">
            <w:pPr>
              <w:rPr>
                <w:color w:val="000000"/>
                <w:kern w:val="0"/>
                <w:szCs w:val="21"/>
              </w:rPr>
            </w:pPr>
          </w:p>
        </w:tc>
        <w:tc>
          <w:tcPr>
            <w:tcW w:w="850" w:type="dxa"/>
            <w:vMerge w:val="continue"/>
            <w:noWrap w:val="0"/>
            <w:vAlign w:val="center"/>
          </w:tcPr>
          <w:p w14:paraId="3E6C8218">
            <w:pPr>
              <w:ind w:left="-105" w:leftChars="-50" w:right="-105" w:rightChars="-50"/>
              <w:rPr>
                <w:rFonts w:ascii="楷体_GB2312" w:hAnsi="宋体" w:eastAsia="楷体_GB2312" w:cs="宋体"/>
                <w:color w:val="000000"/>
                <w:kern w:val="0"/>
                <w:szCs w:val="21"/>
              </w:rPr>
            </w:pPr>
          </w:p>
        </w:tc>
        <w:tc>
          <w:tcPr>
            <w:tcW w:w="710" w:type="dxa"/>
            <w:noWrap w:val="0"/>
            <w:vAlign w:val="center"/>
          </w:tcPr>
          <w:p w14:paraId="08AD32F6">
            <w:pPr>
              <w:jc w:val="center"/>
              <w:rPr>
                <w:color w:val="000000"/>
                <w:kern w:val="0"/>
                <w:szCs w:val="21"/>
              </w:rPr>
            </w:pPr>
            <w:r>
              <w:rPr>
                <w:color w:val="000000"/>
                <w:kern w:val="0"/>
                <w:szCs w:val="21"/>
              </w:rPr>
              <w:t>2</w:t>
            </w:r>
          </w:p>
        </w:tc>
        <w:tc>
          <w:tcPr>
            <w:tcW w:w="5174" w:type="dxa"/>
            <w:noWrap w:val="0"/>
            <w:vAlign w:val="center"/>
          </w:tcPr>
          <w:p w14:paraId="334A477C">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0" w:type="auto"/>
            <w:noWrap w:val="0"/>
            <w:vAlign w:val="center"/>
          </w:tcPr>
          <w:p w14:paraId="4FFD1033">
            <w:pPr>
              <w:jc w:val="center"/>
              <w:rPr>
                <w:color w:val="000000"/>
                <w:kern w:val="0"/>
                <w:szCs w:val="21"/>
              </w:rPr>
            </w:pPr>
            <w:r>
              <w:rPr>
                <w:color w:val="000000"/>
                <w:kern w:val="0"/>
                <w:szCs w:val="21"/>
              </w:rPr>
              <w:t>0.6667</w:t>
            </w:r>
          </w:p>
        </w:tc>
        <w:tc>
          <w:tcPr>
            <w:tcW w:w="0" w:type="auto"/>
            <w:noWrap w:val="0"/>
            <w:vAlign w:val="center"/>
          </w:tcPr>
          <w:p w14:paraId="4988FB24">
            <w:pPr>
              <w:jc w:val="center"/>
              <w:rPr>
                <w:color w:val="000000"/>
                <w:kern w:val="0"/>
                <w:szCs w:val="21"/>
              </w:rPr>
            </w:pPr>
            <w:r>
              <w:rPr>
                <w:color w:val="000000"/>
                <w:kern w:val="0"/>
                <w:szCs w:val="21"/>
              </w:rPr>
              <w:t>2</w:t>
            </w:r>
          </w:p>
        </w:tc>
        <w:tc>
          <w:tcPr>
            <w:tcW w:w="0" w:type="auto"/>
            <w:noWrap w:val="0"/>
            <w:vAlign w:val="center"/>
          </w:tcPr>
          <w:p w14:paraId="1BDB8161">
            <w:pPr>
              <w:jc w:val="center"/>
              <w:rPr>
                <w:color w:val="000000"/>
                <w:kern w:val="0"/>
                <w:szCs w:val="21"/>
              </w:rPr>
            </w:pPr>
            <w:r>
              <w:rPr>
                <w:color w:val="000000"/>
                <w:kern w:val="0"/>
                <w:szCs w:val="21"/>
              </w:rPr>
              <w:t>0</w:t>
            </w:r>
          </w:p>
        </w:tc>
      </w:tr>
      <w:tr w14:paraId="28B60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36A6ECAC">
            <w:pPr>
              <w:jc w:val="center"/>
              <w:rPr>
                <w:color w:val="000000"/>
                <w:kern w:val="0"/>
                <w:szCs w:val="21"/>
              </w:rPr>
            </w:pPr>
            <w:r>
              <w:rPr>
                <w:color w:val="000000"/>
                <w:kern w:val="0"/>
                <w:szCs w:val="21"/>
              </w:rPr>
              <w:t>11</w:t>
            </w:r>
          </w:p>
        </w:tc>
        <w:tc>
          <w:tcPr>
            <w:tcW w:w="850" w:type="dxa"/>
            <w:vMerge w:val="restart"/>
            <w:noWrap w:val="0"/>
            <w:vAlign w:val="center"/>
          </w:tcPr>
          <w:p w14:paraId="7B480D55">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曹村镇</w:t>
            </w:r>
          </w:p>
        </w:tc>
        <w:tc>
          <w:tcPr>
            <w:tcW w:w="710" w:type="dxa"/>
            <w:noWrap w:val="0"/>
            <w:vAlign w:val="center"/>
          </w:tcPr>
          <w:p w14:paraId="1DAB106D">
            <w:pPr>
              <w:jc w:val="center"/>
              <w:rPr>
                <w:color w:val="000000"/>
                <w:kern w:val="0"/>
                <w:szCs w:val="21"/>
              </w:rPr>
            </w:pPr>
            <w:r>
              <w:rPr>
                <w:color w:val="000000"/>
                <w:kern w:val="0"/>
                <w:szCs w:val="21"/>
              </w:rPr>
              <w:t>1</w:t>
            </w:r>
          </w:p>
        </w:tc>
        <w:tc>
          <w:tcPr>
            <w:tcW w:w="5174" w:type="dxa"/>
            <w:noWrap w:val="0"/>
            <w:vAlign w:val="center"/>
          </w:tcPr>
          <w:p w14:paraId="45CE8B37">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东至镇东路、环东路，南至环南路，西至京沪铁路，北至环北路</w:t>
            </w:r>
          </w:p>
        </w:tc>
        <w:tc>
          <w:tcPr>
            <w:tcW w:w="0" w:type="auto"/>
            <w:noWrap w:val="0"/>
            <w:vAlign w:val="center"/>
          </w:tcPr>
          <w:p w14:paraId="6F44B9D1">
            <w:pPr>
              <w:jc w:val="center"/>
              <w:rPr>
                <w:color w:val="000000"/>
                <w:kern w:val="0"/>
                <w:szCs w:val="21"/>
              </w:rPr>
            </w:pPr>
            <w:r>
              <w:rPr>
                <w:color w:val="000000"/>
                <w:kern w:val="0"/>
                <w:szCs w:val="21"/>
              </w:rPr>
              <w:t>1</w:t>
            </w:r>
          </w:p>
        </w:tc>
        <w:tc>
          <w:tcPr>
            <w:tcW w:w="0" w:type="auto"/>
            <w:noWrap w:val="0"/>
            <w:vAlign w:val="center"/>
          </w:tcPr>
          <w:p w14:paraId="155EA129">
            <w:pPr>
              <w:jc w:val="center"/>
              <w:rPr>
                <w:color w:val="000000"/>
                <w:kern w:val="0"/>
                <w:szCs w:val="21"/>
              </w:rPr>
            </w:pPr>
            <w:r>
              <w:rPr>
                <w:color w:val="000000"/>
                <w:kern w:val="0"/>
                <w:szCs w:val="21"/>
              </w:rPr>
              <w:t>1</w:t>
            </w:r>
          </w:p>
        </w:tc>
        <w:tc>
          <w:tcPr>
            <w:tcW w:w="0" w:type="auto"/>
            <w:noWrap w:val="0"/>
            <w:vAlign w:val="center"/>
          </w:tcPr>
          <w:p w14:paraId="7424E228">
            <w:pPr>
              <w:jc w:val="center"/>
              <w:rPr>
                <w:color w:val="000000"/>
                <w:kern w:val="0"/>
                <w:szCs w:val="21"/>
              </w:rPr>
            </w:pPr>
            <w:r>
              <w:rPr>
                <w:color w:val="000000"/>
                <w:kern w:val="0"/>
                <w:szCs w:val="21"/>
              </w:rPr>
              <w:t>100</w:t>
            </w:r>
          </w:p>
        </w:tc>
      </w:tr>
      <w:tr w14:paraId="2FF7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6086A30C">
            <w:pPr>
              <w:rPr>
                <w:color w:val="000000"/>
                <w:kern w:val="0"/>
                <w:szCs w:val="21"/>
              </w:rPr>
            </w:pPr>
          </w:p>
        </w:tc>
        <w:tc>
          <w:tcPr>
            <w:tcW w:w="850" w:type="dxa"/>
            <w:vMerge w:val="continue"/>
            <w:noWrap w:val="0"/>
            <w:vAlign w:val="center"/>
          </w:tcPr>
          <w:p w14:paraId="00DD98C1">
            <w:pPr>
              <w:ind w:left="-105" w:leftChars="-50" w:right="-105" w:rightChars="-50"/>
              <w:rPr>
                <w:rFonts w:ascii="楷体_GB2312" w:hAnsi="宋体" w:eastAsia="楷体_GB2312" w:cs="宋体"/>
                <w:color w:val="000000"/>
                <w:kern w:val="0"/>
                <w:szCs w:val="21"/>
              </w:rPr>
            </w:pPr>
          </w:p>
        </w:tc>
        <w:tc>
          <w:tcPr>
            <w:tcW w:w="710" w:type="dxa"/>
            <w:noWrap w:val="0"/>
            <w:vAlign w:val="center"/>
          </w:tcPr>
          <w:p w14:paraId="4C483D9F">
            <w:pPr>
              <w:jc w:val="center"/>
              <w:rPr>
                <w:color w:val="000000"/>
                <w:kern w:val="0"/>
                <w:szCs w:val="21"/>
              </w:rPr>
            </w:pPr>
            <w:r>
              <w:rPr>
                <w:color w:val="000000"/>
                <w:kern w:val="0"/>
                <w:szCs w:val="21"/>
              </w:rPr>
              <w:t>2</w:t>
            </w:r>
          </w:p>
        </w:tc>
        <w:tc>
          <w:tcPr>
            <w:tcW w:w="5174" w:type="dxa"/>
            <w:noWrap w:val="0"/>
            <w:vAlign w:val="center"/>
          </w:tcPr>
          <w:p w14:paraId="4605C59A">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0" w:type="auto"/>
            <w:noWrap w:val="0"/>
            <w:vAlign w:val="center"/>
          </w:tcPr>
          <w:p w14:paraId="497293E6">
            <w:pPr>
              <w:jc w:val="center"/>
              <w:rPr>
                <w:color w:val="000000"/>
                <w:kern w:val="0"/>
                <w:szCs w:val="21"/>
              </w:rPr>
            </w:pPr>
            <w:r>
              <w:rPr>
                <w:color w:val="000000"/>
                <w:kern w:val="0"/>
                <w:szCs w:val="21"/>
              </w:rPr>
              <w:t>0.6667</w:t>
            </w:r>
          </w:p>
        </w:tc>
        <w:tc>
          <w:tcPr>
            <w:tcW w:w="0" w:type="auto"/>
            <w:noWrap w:val="0"/>
            <w:vAlign w:val="center"/>
          </w:tcPr>
          <w:p w14:paraId="055FF595">
            <w:pPr>
              <w:jc w:val="center"/>
              <w:rPr>
                <w:color w:val="000000"/>
                <w:kern w:val="0"/>
                <w:szCs w:val="21"/>
              </w:rPr>
            </w:pPr>
            <w:r>
              <w:rPr>
                <w:color w:val="000000"/>
                <w:kern w:val="0"/>
                <w:szCs w:val="21"/>
              </w:rPr>
              <w:t>2</w:t>
            </w:r>
          </w:p>
        </w:tc>
        <w:tc>
          <w:tcPr>
            <w:tcW w:w="0" w:type="auto"/>
            <w:noWrap w:val="0"/>
            <w:vAlign w:val="center"/>
          </w:tcPr>
          <w:p w14:paraId="3DC18C1A">
            <w:pPr>
              <w:jc w:val="center"/>
              <w:rPr>
                <w:color w:val="000000"/>
                <w:kern w:val="0"/>
                <w:szCs w:val="21"/>
              </w:rPr>
            </w:pPr>
            <w:r>
              <w:rPr>
                <w:color w:val="000000"/>
                <w:kern w:val="0"/>
                <w:szCs w:val="21"/>
              </w:rPr>
              <w:t>0</w:t>
            </w:r>
          </w:p>
        </w:tc>
      </w:tr>
      <w:tr w14:paraId="1701D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43E65F11">
            <w:pPr>
              <w:jc w:val="center"/>
              <w:rPr>
                <w:color w:val="000000"/>
                <w:kern w:val="0"/>
                <w:szCs w:val="21"/>
              </w:rPr>
            </w:pPr>
            <w:r>
              <w:rPr>
                <w:color w:val="000000"/>
                <w:kern w:val="0"/>
                <w:szCs w:val="21"/>
              </w:rPr>
              <w:t>12</w:t>
            </w:r>
          </w:p>
        </w:tc>
        <w:tc>
          <w:tcPr>
            <w:tcW w:w="850" w:type="dxa"/>
            <w:vMerge w:val="restart"/>
            <w:noWrap w:val="0"/>
            <w:vAlign w:val="center"/>
          </w:tcPr>
          <w:p w14:paraId="5397D729">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大营镇</w:t>
            </w:r>
          </w:p>
        </w:tc>
        <w:tc>
          <w:tcPr>
            <w:tcW w:w="710" w:type="dxa"/>
            <w:noWrap w:val="0"/>
            <w:vAlign w:val="center"/>
          </w:tcPr>
          <w:p w14:paraId="40DF0E57">
            <w:pPr>
              <w:jc w:val="center"/>
              <w:rPr>
                <w:color w:val="000000"/>
                <w:kern w:val="0"/>
                <w:szCs w:val="21"/>
              </w:rPr>
            </w:pPr>
            <w:r>
              <w:rPr>
                <w:color w:val="000000"/>
                <w:kern w:val="0"/>
                <w:szCs w:val="21"/>
              </w:rPr>
              <w:t>1</w:t>
            </w:r>
          </w:p>
        </w:tc>
        <w:tc>
          <w:tcPr>
            <w:tcW w:w="5174" w:type="dxa"/>
            <w:noWrap w:val="0"/>
            <w:vAlign w:val="center"/>
          </w:tcPr>
          <w:p w14:paraId="498BB070">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东至兴大路、解放沟，南至</w:t>
            </w:r>
            <w:r>
              <w:rPr>
                <w:rFonts w:hint="eastAsia" w:ascii="宋体" w:hAnsi="宋体" w:cs="宋体"/>
                <w:color w:val="000000"/>
                <w:kern w:val="0"/>
                <w:szCs w:val="21"/>
              </w:rPr>
              <w:t>澥</w:t>
            </w:r>
            <w:r>
              <w:rPr>
                <w:rFonts w:hint="eastAsia" w:ascii="楷体_GB2312" w:hAnsi="宋体" w:eastAsia="楷体_GB2312" w:cs="宋体"/>
                <w:color w:val="000000"/>
                <w:kern w:val="0"/>
                <w:szCs w:val="21"/>
              </w:rPr>
              <w:t>河路、民安路，西至蕲大路、银兴河路，北至邓陈路、沿江路</w:t>
            </w:r>
          </w:p>
        </w:tc>
        <w:tc>
          <w:tcPr>
            <w:tcW w:w="0" w:type="auto"/>
            <w:noWrap w:val="0"/>
            <w:vAlign w:val="center"/>
          </w:tcPr>
          <w:p w14:paraId="786F5B52">
            <w:pPr>
              <w:jc w:val="center"/>
              <w:rPr>
                <w:color w:val="000000"/>
                <w:kern w:val="0"/>
                <w:szCs w:val="21"/>
              </w:rPr>
            </w:pPr>
            <w:r>
              <w:rPr>
                <w:color w:val="000000"/>
                <w:kern w:val="0"/>
                <w:szCs w:val="21"/>
              </w:rPr>
              <w:t>1</w:t>
            </w:r>
          </w:p>
        </w:tc>
        <w:tc>
          <w:tcPr>
            <w:tcW w:w="0" w:type="auto"/>
            <w:noWrap w:val="0"/>
            <w:vAlign w:val="center"/>
          </w:tcPr>
          <w:p w14:paraId="6AE10A56">
            <w:pPr>
              <w:jc w:val="center"/>
              <w:rPr>
                <w:color w:val="000000"/>
                <w:kern w:val="0"/>
                <w:szCs w:val="21"/>
              </w:rPr>
            </w:pPr>
            <w:r>
              <w:rPr>
                <w:color w:val="000000"/>
                <w:kern w:val="0"/>
                <w:szCs w:val="21"/>
              </w:rPr>
              <w:t>1</w:t>
            </w:r>
          </w:p>
        </w:tc>
        <w:tc>
          <w:tcPr>
            <w:tcW w:w="0" w:type="auto"/>
            <w:noWrap w:val="0"/>
            <w:vAlign w:val="center"/>
          </w:tcPr>
          <w:p w14:paraId="7A3F4D9C">
            <w:pPr>
              <w:jc w:val="center"/>
              <w:rPr>
                <w:color w:val="000000"/>
                <w:kern w:val="0"/>
                <w:szCs w:val="21"/>
              </w:rPr>
            </w:pPr>
            <w:r>
              <w:rPr>
                <w:color w:val="000000"/>
                <w:kern w:val="0"/>
                <w:szCs w:val="21"/>
              </w:rPr>
              <w:t>100</w:t>
            </w:r>
          </w:p>
        </w:tc>
      </w:tr>
      <w:tr w14:paraId="7C5FD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401ECE76">
            <w:pPr>
              <w:rPr>
                <w:color w:val="000000"/>
                <w:kern w:val="0"/>
                <w:szCs w:val="21"/>
              </w:rPr>
            </w:pPr>
          </w:p>
        </w:tc>
        <w:tc>
          <w:tcPr>
            <w:tcW w:w="850" w:type="dxa"/>
            <w:vMerge w:val="continue"/>
            <w:noWrap w:val="0"/>
            <w:vAlign w:val="center"/>
          </w:tcPr>
          <w:p w14:paraId="2F5F9D61">
            <w:pPr>
              <w:ind w:left="-105" w:leftChars="-50" w:right="-105" w:rightChars="-50"/>
              <w:rPr>
                <w:rFonts w:ascii="楷体_GB2312" w:hAnsi="宋体" w:eastAsia="楷体_GB2312" w:cs="宋体"/>
                <w:color w:val="000000"/>
                <w:kern w:val="0"/>
                <w:szCs w:val="21"/>
              </w:rPr>
            </w:pPr>
          </w:p>
        </w:tc>
        <w:tc>
          <w:tcPr>
            <w:tcW w:w="710" w:type="dxa"/>
            <w:noWrap w:val="0"/>
            <w:vAlign w:val="center"/>
          </w:tcPr>
          <w:p w14:paraId="09A8B35E">
            <w:pPr>
              <w:jc w:val="center"/>
              <w:rPr>
                <w:color w:val="000000"/>
                <w:kern w:val="0"/>
                <w:szCs w:val="21"/>
              </w:rPr>
            </w:pPr>
            <w:r>
              <w:rPr>
                <w:color w:val="000000"/>
                <w:kern w:val="0"/>
                <w:szCs w:val="21"/>
              </w:rPr>
              <w:t>2</w:t>
            </w:r>
          </w:p>
        </w:tc>
        <w:tc>
          <w:tcPr>
            <w:tcW w:w="5174" w:type="dxa"/>
            <w:noWrap w:val="0"/>
            <w:vAlign w:val="center"/>
          </w:tcPr>
          <w:p w14:paraId="0C32B32A">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0" w:type="auto"/>
            <w:noWrap w:val="0"/>
            <w:vAlign w:val="center"/>
          </w:tcPr>
          <w:p w14:paraId="57ABFD23">
            <w:pPr>
              <w:jc w:val="center"/>
              <w:rPr>
                <w:color w:val="000000"/>
                <w:kern w:val="0"/>
                <w:szCs w:val="21"/>
              </w:rPr>
            </w:pPr>
            <w:r>
              <w:rPr>
                <w:color w:val="000000"/>
                <w:kern w:val="0"/>
                <w:szCs w:val="21"/>
              </w:rPr>
              <w:t>0.6667</w:t>
            </w:r>
          </w:p>
        </w:tc>
        <w:tc>
          <w:tcPr>
            <w:tcW w:w="0" w:type="auto"/>
            <w:noWrap w:val="0"/>
            <w:vAlign w:val="center"/>
          </w:tcPr>
          <w:p w14:paraId="029A8B2E">
            <w:pPr>
              <w:jc w:val="center"/>
              <w:rPr>
                <w:color w:val="000000"/>
                <w:kern w:val="0"/>
                <w:szCs w:val="21"/>
              </w:rPr>
            </w:pPr>
            <w:r>
              <w:rPr>
                <w:color w:val="000000"/>
                <w:kern w:val="0"/>
                <w:szCs w:val="21"/>
              </w:rPr>
              <w:t>2</w:t>
            </w:r>
          </w:p>
        </w:tc>
        <w:tc>
          <w:tcPr>
            <w:tcW w:w="0" w:type="auto"/>
            <w:noWrap w:val="0"/>
            <w:vAlign w:val="center"/>
          </w:tcPr>
          <w:p w14:paraId="5A9ADCE0">
            <w:pPr>
              <w:jc w:val="center"/>
              <w:rPr>
                <w:color w:val="000000"/>
                <w:kern w:val="0"/>
                <w:szCs w:val="21"/>
              </w:rPr>
            </w:pPr>
            <w:r>
              <w:rPr>
                <w:color w:val="000000"/>
                <w:kern w:val="0"/>
                <w:szCs w:val="21"/>
              </w:rPr>
              <w:t>0</w:t>
            </w:r>
          </w:p>
        </w:tc>
      </w:tr>
      <w:tr w14:paraId="56C8E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209F062F">
            <w:pPr>
              <w:jc w:val="center"/>
              <w:rPr>
                <w:color w:val="000000"/>
                <w:kern w:val="0"/>
                <w:szCs w:val="21"/>
              </w:rPr>
            </w:pPr>
            <w:r>
              <w:rPr>
                <w:color w:val="000000"/>
                <w:kern w:val="0"/>
                <w:szCs w:val="21"/>
              </w:rPr>
              <w:t>13</w:t>
            </w:r>
          </w:p>
        </w:tc>
        <w:tc>
          <w:tcPr>
            <w:tcW w:w="850" w:type="dxa"/>
            <w:vMerge w:val="restart"/>
            <w:noWrap w:val="0"/>
            <w:vAlign w:val="center"/>
          </w:tcPr>
          <w:p w14:paraId="4F90C1FC">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褚兰镇</w:t>
            </w:r>
          </w:p>
        </w:tc>
        <w:tc>
          <w:tcPr>
            <w:tcW w:w="710" w:type="dxa"/>
            <w:noWrap w:val="0"/>
            <w:vAlign w:val="center"/>
          </w:tcPr>
          <w:p w14:paraId="1A999E79">
            <w:pPr>
              <w:jc w:val="center"/>
              <w:rPr>
                <w:color w:val="000000"/>
                <w:kern w:val="0"/>
                <w:szCs w:val="21"/>
              </w:rPr>
            </w:pPr>
            <w:r>
              <w:rPr>
                <w:color w:val="000000"/>
                <w:kern w:val="0"/>
                <w:szCs w:val="21"/>
              </w:rPr>
              <w:t>1</w:t>
            </w:r>
          </w:p>
        </w:tc>
        <w:tc>
          <w:tcPr>
            <w:tcW w:w="5174" w:type="dxa"/>
            <w:noWrap w:val="0"/>
            <w:vAlign w:val="center"/>
          </w:tcPr>
          <w:p w14:paraId="3B6EBFDC">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东至康安路，南至腾飞路、定级边界，西至滨水路，北至褚岗路</w:t>
            </w:r>
          </w:p>
        </w:tc>
        <w:tc>
          <w:tcPr>
            <w:tcW w:w="0" w:type="auto"/>
            <w:noWrap w:val="0"/>
            <w:vAlign w:val="center"/>
          </w:tcPr>
          <w:p w14:paraId="2D118A70">
            <w:pPr>
              <w:jc w:val="center"/>
              <w:rPr>
                <w:color w:val="000000"/>
                <w:kern w:val="0"/>
                <w:szCs w:val="21"/>
              </w:rPr>
            </w:pPr>
            <w:r>
              <w:rPr>
                <w:color w:val="000000"/>
                <w:kern w:val="0"/>
                <w:szCs w:val="21"/>
              </w:rPr>
              <w:t>1</w:t>
            </w:r>
          </w:p>
        </w:tc>
        <w:tc>
          <w:tcPr>
            <w:tcW w:w="0" w:type="auto"/>
            <w:noWrap w:val="0"/>
            <w:vAlign w:val="center"/>
          </w:tcPr>
          <w:p w14:paraId="51585BB4">
            <w:pPr>
              <w:jc w:val="center"/>
              <w:rPr>
                <w:color w:val="000000"/>
                <w:kern w:val="0"/>
                <w:szCs w:val="21"/>
              </w:rPr>
            </w:pPr>
            <w:r>
              <w:rPr>
                <w:color w:val="000000"/>
                <w:kern w:val="0"/>
                <w:szCs w:val="21"/>
              </w:rPr>
              <w:t>1</w:t>
            </w:r>
          </w:p>
        </w:tc>
        <w:tc>
          <w:tcPr>
            <w:tcW w:w="0" w:type="auto"/>
            <w:noWrap w:val="0"/>
            <w:vAlign w:val="center"/>
          </w:tcPr>
          <w:p w14:paraId="3625C6D9">
            <w:pPr>
              <w:jc w:val="center"/>
              <w:rPr>
                <w:color w:val="000000"/>
                <w:kern w:val="0"/>
                <w:szCs w:val="21"/>
              </w:rPr>
            </w:pPr>
            <w:r>
              <w:rPr>
                <w:color w:val="000000"/>
                <w:kern w:val="0"/>
                <w:szCs w:val="21"/>
              </w:rPr>
              <w:t>100</w:t>
            </w:r>
          </w:p>
        </w:tc>
      </w:tr>
      <w:tr w14:paraId="1E7FA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203CEFE7">
            <w:pPr>
              <w:rPr>
                <w:color w:val="000000"/>
                <w:kern w:val="0"/>
                <w:szCs w:val="21"/>
              </w:rPr>
            </w:pPr>
          </w:p>
        </w:tc>
        <w:tc>
          <w:tcPr>
            <w:tcW w:w="850" w:type="dxa"/>
            <w:vMerge w:val="continue"/>
            <w:noWrap w:val="0"/>
            <w:vAlign w:val="center"/>
          </w:tcPr>
          <w:p w14:paraId="6671C3F1">
            <w:pPr>
              <w:ind w:left="-105" w:leftChars="-50" w:right="-105" w:rightChars="-50"/>
              <w:rPr>
                <w:rFonts w:ascii="楷体_GB2312" w:hAnsi="宋体" w:eastAsia="楷体_GB2312" w:cs="宋体"/>
                <w:color w:val="000000"/>
                <w:kern w:val="0"/>
                <w:szCs w:val="21"/>
              </w:rPr>
            </w:pPr>
          </w:p>
        </w:tc>
        <w:tc>
          <w:tcPr>
            <w:tcW w:w="710" w:type="dxa"/>
            <w:noWrap w:val="0"/>
            <w:vAlign w:val="center"/>
          </w:tcPr>
          <w:p w14:paraId="5D8E48B2">
            <w:pPr>
              <w:jc w:val="center"/>
              <w:rPr>
                <w:color w:val="000000"/>
                <w:kern w:val="0"/>
                <w:szCs w:val="21"/>
              </w:rPr>
            </w:pPr>
            <w:r>
              <w:rPr>
                <w:color w:val="000000"/>
                <w:kern w:val="0"/>
                <w:szCs w:val="21"/>
              </w:rPr>
              <w:t>2</w:t>
            </w:r>
          </w:p>
        </w:tc>
        <w:tc>
          <w:tcPr>
            <w:tcW w:w="5174" w:type="dxa"/>
            <w:noWrap w:val="0"/>
            <w:vAlign w:val="center"/>
          </w:tcPr>
          <w:p w14:paraId="01030590">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0" w:type="auto"/>
            <w:noWrap w:val="0"/>
            <w:vAlign w:val="center"/>
          </w:tcPr>
          <w:p w14:paraId="2DFBD5E2">
            <w:pPr>
              <w:jc w:val="center"/>
              <w:rPr>
                <w:color w:val="000000"/>
                <w:kern w:val="0"/>
                <w:szCs w:val="21"/>
              </w:rPr>
            </w:pPr>
            <w:r>
              <w:rPr>
                <w:color w:val="000000"/>
                <w:kern w:val="0"/>
                <w:szCs w:val="21"/>
              </w:rPr>
              <w:t>0.6667</w:t>
            </w:r>
          </w:p>
        </w:tc>
        <w:tc>
          <w:tcPr>
            <w:tcW w:w="0" w:type="auto"/>
            <w:noWrap w:val="0"/>
            <w:vAlign w:val="center"/>
          </w:tcPr>
          <w:p w14:paraId="17CCDDF0">
            <w:pPr>
              <w:jc w:val="center"/>
              <w:rPr>
                <w:color w:val="000000"/>
                <w:kern w:val="0"/>
                <w:szCs w:val="21"/>
              </w:rPr>
            </w:pPr>
            <w:r>
              <w:rPr>
                <w:color w:val="000000"/>
                <w:kern w:val="0"/>
                <w:szCs w:val="21"/>
              </w:rPr>
              <w:t>2</w:t>
            </w:r>
          </w:p>
        </w:tc>
        <w:tc>
          <w:tcPr>
            <w:tcW w:w="0" w:type="auto"/>
            <w:noWrap w:val="0"/>
            <w:vAlign w:val="center"/>
          </w:tcPr>
          <w:p w14:paraId="6EB32B8C">
            <w:pPr>
              <w:jc w:val="center"/>
              <w:rPr>
                <w:color w:val="000000"/>
                <w:kern w:val="0"/>
                <w:szCs w:val="21"/>
              </w:rPr>
            </w:pPr>
            <w:r>
              <w:rPr>
                <w:color w:val="000000"/>
                <w:kern w:val="0"/>
                <w:szCs w:val="21"/>
              </w:rPr>
              <w:t>0</w:t>
            </w:r>
          </w:p>
        </w:tc>
      </w:tr>
      <w:tr w14:paraId="7F73E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5126AEF5">
            <w:pPr>
              <w:jc w:val="center"/>
              <w:rPr>
                <w:color w:val="000000"/>
                <w:kern w:val="0"/>
                <w:szCs w:val="21"/>
              </w:rPr>
            </w:pPr>
            <w:r>
              <w:rPr>
                <w:color w:val="000000"/>
                <w:kern w:val="0"/>
                <w:szCs w:val="21"/>
              </w:rPr>
              <w:t>14</w:t>
            </w:r>
          </w:p>
        </w:tc>
        <w:tc>
          <w:tcPr>
            <w:tcW w:w="850" w:type="dxa"/>
            <w:vMerge w:val="restart"/>
            <w:noWrap w:val="0"/>
            <w:vAlign w:val="center"/>
          </w:tcPr>
          <w:p w14:paraId="6B65A316">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顺河镇</w:t>
            </w:r>
          </w:p>
        </w:tc>
        <w:tc>
          <w:tcPr>
            <w:tcW w:w="710" w:type="dxa"/>
            <w:noWrap w:val="0"/>
            <w:vAlign w:val="center"/>
          </w:tcPr>
          <w:p w14:paraId="10310D6F">
            <w:pPr>
              <w:jc w:val="center"/>
              <w:rPr>
                <w:color w:val="000000"/>
                <w:kern w:val="0"/>
                <w:szCs w:val="21"/>
              </w:rPr>
            </w:pPr>
            <w:r>
              <w:rPr>
                <w:color w:val="000000"/>
                <w:kern w:val="0"/>
                <w:szCs w:val="21"/>
              </w:rPr>
              <w:t>1</w:t>
            </w:r>
          </w:p>
        </w:tc>
        <w:tc>
          <w:tcPr>
            <w:tcW w:w="5174" w:type="dxa"/>
            <w:noWrap w:val="0"/>
            <w:vAlign w:val="center"/>
          </w:tcPr>
          <w:p w14:paraId="6C2867A8">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东至万顺路，南至定级边界，西至经十二路，北至</w:t>
            </w:r>
            <w:r>
              <w:rPr>
                <w:rFonts w:eastAsia="楷体_GB2312"/>
                <w:color w:val="000000"/>
                <w:kern w:val="0"/>
                <w:szCs w:val="21"/>
              </w:rPr>
              <w:t>032</w:t>
            </w:r>
            <w:r>
              <w:rPr>
                <w:rFonts w:hint="eastAsia" w:ascii="楷体_GB2312" w:hAnsi="宋体" w:eastAsia="楷体_GB2312" w:cs="宋体"/>
                <w:color w:val="000000"/>
                <w:kern w:val="0"/>
                <w:szCs w:val="21"/>
              </w:rPr>
              <w:t>省道</w:t>
            </w:r>
          </w:p>
        </w:tc>
        <w:tc>
          <w:tcPr>
            <w:tcW w:w="0" w:type="auto"/>
            <w:noWrap w:val="0"/>
            <w:vAlign w:val="center"/>
          </w:tcPr>
          <w:p w14:paraId="28A1AF9A">
            <w:pPr>
              <w:jc w:val="center"/>
              <w:rPr>
                <w:color w:val="000000"/>
                <w:kern w:val="0"/>
                <w:szCs w:val="21"/>
              </w:rPr>
            </w:pPr>
            <w:r>
              <w:rPr>
                <w:color w:val="000000"/>
                <w:kern w:val="0"/>
                <w:szCs w:val="21"/>
              </w:rPr>
              <w:t>1</w:t>
            </w:r>
          </w:p>
        </w:tc>
        <w:tc>
          <w:tcPr>
            <w:tcW w:w="0" w:type="auto"/>
            <w:noWrap w:val="0"/>
            <w:vAlign w:val="center"/>
          </w:tcPr>
          <w:p w14:paraId="46A172D7">
            <w:pPr>
              <w:jc w:val="center"/>
              <w:rPr>
                <w:color w:val="000000"/>
                <w:kern w:val="0"/>
                <w:szCs w:val="21"/>
              </w:rPr>
            </w:pPr>
            <w:r>
              <w:rPr>
                <w:color w:val="000000"/>
                <w:kern w:val="0"/>
                <w:szCs w:val="21"/>
              </w:rPr>
              <w:t>1</w:t>
            </w:r>
          </w:p>
        </w:tc>
        <w:tc>
          <w:tcPr>
            <w:tcW w:w="0" w:type="auto"/>
            <w:noWrap w:val="0"/>
            <w:vAlign w:val="center"/>
          </w:tcPr>
          <w:p w14:paraId="378AF6D3">
            <w:pPr>
              <w:jc w:val="center"/>
              <w:rPr>
                <w:color w:val="000000"/>
                <w:kern w:val="0"/>
                <w:szCs w:val="21"/>
              </w:rPr>
            </w:pPr>
            <w:r>
              <w:rPr>
                <w:color w:val="000000"/>
                <w:kern w:val="0"/>
                <w:szCs w:val="21"/>
              </w:rPr>
              <w:t>100</w:t>
            </w:r>
          </w:p>
        </w:tc>
      </w:tr>
      <w:tr w14:paraId="78C70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36BFE378">
            <w:pPr>
              <w:rPr>
                <w:color w:val="000000"/>
                <w:kern w:val="0"/>
                <w:szCs w:val="21"/>
              </w:rPr>
            </w:pPr>
          </w:p>
        </w:tc>
        <w:tc>
          <w:tcPr>
            <w:tcW w:w="850" w:type="dxa"/>
            <w:vMerge w:val="continue"/>
            <w:noWrap w:val="0"/>
            <w:vAlign w:val="center"/>
          </w:tcPr>
          <w:p w14:paraId="24131ADF">
            <w:pPr>
              <w:ind w:left="-105" w:leftChars="-50" w:right="-105" w:rightChars="-50"/>
              <w:rPr>
                <w:rFonts w:ascii="楷体_GB2312" w:hAnsi="宋体" w:eastAsia="楷体_GB2312" w:cs="宋体"/>
                <w:color w:val="000000"/>
                <w:kern w:val="0"/>
                <w:szCs w:val="21"/>
              </w:rPr>
            </w:pPr>
          </w:p>
        </w:tc>
        <w:tc>
          <w:tcPr>
            <w:tcW w:w="710" w:type="dxa"/>
            <w:noWrap w:val="0"/>
            <w:vAlign w:val="center"/>
          </w:tcPr>
          <w:p w14:paraId="4CFB61A4">
            <w:pPr>
              <w:jc w:val="center"/>
              <w:rPr>
                <w:color w:val="000000"/>
                <w:kern w:val="0"/>
                <w:szCs w:val="21"/>
              </w:rPr>
            </w:pPr>
            <w:r>
              <w:rPr>
                <w:color w:val="000000"/>
                <w:kern w:val="0"/>
                <w:szCs w:val="21"/>
              </w:rPr>
              <w:t>2</w:t>
            </w:r>
          </w:p>
        </w:tc>
        <w:tc>
          <w:tcPr>
            <w:tcW w:w="5174" w:type="dxa"/>
            <w:noWrap w:val="0"/>
            <w:vAlign w:val="center"/>
          </w:tcPr>
          <w:p w14:paraId="277D6DD6">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0" w:type="auto"/>
            <w:noWrap w:val="0"/>
            <w:vAlign w:val="center"/>
          </w:tcPr>
          <w:p w14:paraId="13C1729E">
            <w:pPr>
              <w:jc w:val="center"/>
              <w:rPr>
                <w:color w:val="000000"/>
                <w:kern w:val="0"/>
                <w:szCs w:val="21"/>
              </w:rPr>
            </w:pPr>
            <w:r>
              <w:rPr>
                <w:color w:val="000000"/>
                <w:kern w:val="0"/>
                <w:szCs w:val="21"/>
              </w:rPr>
              <w:t>0.6667</w:t>
            </w:r>
          </w:p>
        </w:tc>
        <w:tc>
          <w:tcPr>
            <w:tcW w:w="0" w:type="auto"/>
            <w:noWrap w:val="0"/>
            <w:vAlign w:val="center"/>
          </w:tcPr>
          <w:p w14:paraId="08B56073">
            <w:pPr>
              <w:jc w:val="center"/>
              <w:rPr>
                <w:color w:val="000000"/>
                <w:kern w:val="0"/>
                <w:szCs w:val="21"/>
              </w:rPr>
            </w:pPr>
            <w:r>
              <w:rPr>
                <w:color w:val="000000"/>
                <w:kern w:val="0"/>
                <w:szCs w:val="21"/>
              </w:rPr>
              <w:t>2</w:t>
            </w:r>
          </w:p>
        </w:tc>
        <w:tc>
          <w:tcPr>
            <w:tcW w:w="0" w:type="auto"/>
            <w:noWrap w:val="0"/>
            <w:vAlign w:val="center"/>
          </w:tcPr>
          <w:p w14:paraId="337D922A">
            <w:pPr>
              <w:jc w:val="center"/>
              <w:rPr>
                <w:color w:val="000000"/>
                <w:kern w:val="0"/>
                <w:szCs w:val="21"/>
              </w:rPr>
            </w:pPr>
            <w:r>
              <w:rPr>
                <w:color w:val="000000"/>
                <w:kern w:val="0"/>
                <w:szCs w:val="21"/>
              </w:rPr>
              <w:t>0</w:t>
            </w:r>
          </w:p>
        </w:tc>
      </w:tr>
      <w:tr w14:paraId="276F0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32013CDE">
            <w:pPr>
              <w:jc w:val="center"/>
              <w:rPr>
                <w:color w:val="000000"/>
                <w:kern w:val="0"/>
                <w:szCs w:val="21"/>
              </w:rPr>
            </w:pPr>
            <w:r>
              <w:rPr>
                <w:color w:val="000000"/>
                <w:kern w:val="0"/>
                <w:szCs w:val="21"/>
              </w:rPr>
              <w:t>15</w:t>
            </w:r>
          </w:p>
        </w:tc>
        <w:tc>
          <w:tcPr>
            <w:tcW w:w="850" w:type="dxa"/>
            <w:vMerge w:val="restart"/>
            <w:noWrap w:val="0"/>
            <w:vAlign w:val="center"/>
          </w:tcPr>
          <w:p w14:paraId="115F27E2">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杨庄镇</w:t>
            </w:r>
          </w:p>
        </w:tc>
        <w:tc>
          <w:tcPr>
            <w:tcW w:w="710" w:type="dxa"/>
            <w:noWrap w:val="0"/>
            <w:vAlign w:val="center"/>
          </w:tcPr>
          <w:p w14:paraId="419C0002">
            <w:pPr>
              <w:jc w:val="center"/>
              <w:rPr>
                <w:color w:val="000000"/>
                <w:kern w:val="0"/>
                <w:szCs w:val="21"/>
              </w:rPr>
            </w:pPr>
            <w:r>
              <w:rPr>
                <w:color w:val="000000"/>
                <w:kern w:val="0"/>
                <w:szCs w:val="21"/>
              </w:rPr>
              <w:t>1</w:t>
            </w:r>
          </w:p>
        </w:tc>
        <w:tc>
          <w:tcPr>
            <w:tcW w:w="5174" w:type="dxa"/>
            <w:noWrap w:val="0"/>
            <w:vAlign w:val="center"/>
          </w:tcPr>
          <w:p w14:paraId="1D1AE5DA">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东至科技大道，南至人民路，西至西外环路，北至北外环路</w:t>
            </w:r>
          </w:p>
        </w:tc>
        <w:tc>
          <w:tcPr>
            <w:tcW w:w="0" w:type="auto"/>
            <w:noWrap w:val="0"/>
            <w:vAlign w:val="center"/>
          </w:tcPr>
          <w:p w14:paraId="00D96BEC">
            <w:pPr>
              <w:jc w:val="center"/>
              <w:rPr>
                <w:color w:val="000000"/>
                <w:kern w:val="0"/>
                <w:szCs w:val="21"/>
              </w:rPr>
            </w:pPr>
            <w:r>
              <w:rPr>
                <w:color w:val="000000"/>
                <w:kern w:val="0"/>
                <w:szCs w:val="21"/>
              </w:rPr>
              <w:t>1</w:t>
            </w:r>
          </w:p>
        </w:tc>
        <w:tc>
          <w:tcPr>
            <w:tcW w:w="0" w:type="auto"/>
            <w:noWrap w:val="0"/>
            <w:vAlign w:val="center"/>
          </w:tcPr>
          <w:p w14:paraId="5F545DD0">
            <w:pPr>
              <w:jc w:val="center"/>
              <w:rPr>
                <w:color w:val="000000"/>
                <w:kern w:val="0"/>
                <w:szCs w:val="21"/>
              </w:rPr>
            </w:pPr>
            <w:r>
              <w:rPr>
                <w:color w:val="000000"/>
                <w:kern w:val="0"/>
                <w:szCs w:val="21"/>
              </w:rPr>
              <w:t>1</w:t>
            </w:r>
          </w:p>
        </w:tc>
        <w:tc>
          <w:tcPr>
            <w:tcW w:w="0" w:type="auto"/>
            <w:noWrap w:val="0"/>
            <w:vAlign w:val="center"/>
          </w:tcPr>
          <w:p w14:paraId="20610D00">
            <w:pPr>
              <w:jc w:val="center"/>
              <w:rPr>
                <w:color w:val="000000"/>
                <w:kern w:val="0"/>
                <w:szCs w:val="21"/>
              </w:rPr>
            </w:pPr>
            <w:r>
              <w:rPr>
                <w:color w:val="000000"/>
                <w:kern w:val="0"/>
                <w:szCs w:val="21"/>
              </w:rPr>
              <w:t>100</w:t>
            </w:r>
          </w:p>
        </w:tc>
      </w:tr>
      <w:tr w14:paraId="6E75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3CA0F1E2">
            <w:pPr>
              <w:rPr>
                <w:color w:val="000000"/>
                <w:kern w:val="0"/>
                <w:szCs w:val="21"/>
              </w:rPr>
            </w:pPr>
          </w:p>
        </w:tc>
        <w:tc>
          <w:tcPr>
            <w:tcW w:w="850" w:type="dxa"/>
            <w:vMerge w:val="continue"/>
            <w:noWrap w:val="0"/>
            <w:vAlign w:val="center"/>
          </w:tcPr>
          <w:p w14:paraId="31CA431B">
            <w:pPr>
              <w:ind w:left="-105" w:leftChars="-50" w:right="-105" w:rightChars="-50"/>
              <w:rPr>
                <w:rFonts w:ascii="楷体_GB2312" w:hAnsi="宋体" w:eastAsia="楷体_GB2312" w:cs="宋体"/>
                <w:color w:val="000000"/>
                <w:kern w:val="0"/>
                <w:szCs w:val="21"/>
              </w:rPr>
            </w:pPr>
          </w:p>
        </w:tc>
        <w:tc>
          <w:tcPr>
            <w:tcW w:w="710" w:type="dxa"/>
            <w:noWrap w:val="0"/>
            <w:vAlign w:val="center"/>
          </w:tcPr>
          <w:p w14:paraId="23D3BEF4">
            <w:pPr>
              <w:jc w:val="center"/>
              <w:rPr>
                <w:color w:val="000000"/>
                <w:kern w:val="0"/>
                <w:szCs w:val="21"/>
              </w:rPr>
            </w:pPr>
            <w:r>
              <w:rPr>
                <w:color w:val="000000"/>
                <w:kern w:val="0"/>
                <w:szCs w:val="21"/>
              </w:rPr>
              <w:t>2</w:t>
            </w:r>
          </w:p>
        </w:tc>
        <w:tc>
          <w:tcPr>
            <w:tcW w:w="5174" w:type="dxa"/>
            <w:noWrap w:val="0"/>
            <w:vAlign w:val="center"/>
          </w:tcPr>
          <w:p w14:paraId="244112F5">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0" w:type="auto"/>
            <w:noWrap w:val="0"/>
            <w:vAlign w:val="center"/>
          </w:tcPr>
          <w:p w14:paraId="6A8648D5">
            <w:pPr>
              <w:jc w:val="center"/>
              <w:rPr>
                <w:color w:val="000000"/>
                <w:kern w:val="0"/>
                <w:szCs w:val="21"/>
              </w:rPr>
            </w:pPr>
            <w:r>
              <w:rPr>
                <w:color w:val="000000"/>
                <w:kern w:val="0"/>
                <w:szCs w:val="21"/>
              </w:rPr>
              <w:t>0.6667</w:t>
            </w:r>
          </w:p>
        </w:tc>
        <w:tc>
          <w:tcPr>
            <w:tcW w:w="0" w:type="auto"/>
            <w:noWrap w:val="0"/>
            <w:vAlign w:val="center"/>
          </w:tcPr>
          <w:p w14:paraId="2EEFABBD">
            <w:pPr>
              <w:jc w:val="center"/>
              <w:rPr>
                <w:color w:val="000000"/>
                <w:kern w:val="0"/>
                <w:szCs w:val="21"/>
              </w:rPr>
            </w:pPr>
            <w:r>
              <w:rPr>
                <w:color w:val="000000"/>
                <w:kern w:val="0"/>
                <w:szCs w:val="21"/>
              </w:rPr>
              <w:t>2</w:t>
            </w:r>
          </w:p>
        </w:tc>
        <w:tc>
          <w:tcPr>
            <w:tcW w:w="0" w:type="auto"/>
            <w:noWrap w:val="0"/>
            <w:vAlign w:val="center"/>
          </w:tcPr>
          <w:p w14:paraId="4C8A707B">
            <w:pPr>
              <w:jc w:val="center"/>
              <w:rPr>
                <w:color w:val="000000"/>
                <w:kern w:val="0"/>
                <w:szCs w:val="21"/>
              </w:rPr>
            </w:pPr>
            <w:r>
              <w:rPr>
                <w:color w:val="000000"/>
                <w:kern w:val="0"/>
                <w:szCs w:val="21"/>
              </w:rPr>
              <w:t>0</w:t>
            </w:r>
          </w:p>
        </w:tc>
      </w:tr>
      <w:tr w14:paraId="79A48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3BA51764">
            <w:pPr>
              <w:jc w:val="center"/>
              <w:rPr>
                <w:color w:val="000000"/>
                <w:kern w:val="0"/>
                <w:szCs w:val="21"/>
              </w:rPr>
            </w:pPr>
            <w:r>
              <w:rPr>
                <w:color w:val="000000"/>
                <w:kern w:val="0"/>
                <w:szCs w:val="21"/>
              </w:rPr>
              <w:t>16</w:t>
            </w:r>
          </w:p>
        </w:tc>
        <w:tc>
          <w:tcPr>
            <w:tcW w:w="850" w:type="dxa"/>
            <w:vMerge w:val="restart"/>
            <w:noWrap w:val="0"/>
            <w:vAlign w:val="center"/>
          </w:tcPr>
          <w:p w14:paraId="365A4525">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永镇乡</w:t>
            </w:r>
          </w:p>
        </w:tc>
        <w:tc>
          <w:tcPr>
            <w:tcW w:w="710" w:type="dxa"/>
            <w:noWrap w:val="0"/>
            <w:vAlign w:val="center"/>
          </w:tcPr>
          <w:p w14:paraId="6C0ABE1B">
            <w:pPr>
              <w:jc w:val="center"/>
              <w:rPr>
                <w:color w:val="000000"/>
                <w:kern w:val="0"/>
                <w:szCs w:val="21"/>
              </w:rPr>
            </w:pPr>
            <w:r>
              <w:rPr>
                <w:color w:val="000000"/>
                <w:kern w:val="0"/>
                <w:szCs w:val="21"/>
              </w:rPr>
              <w:t>1</w:t>
            </w:r>
          </w:p>
        </w:tc>
        <w:tc>
          <w:tcPr>
            <w:tcW w:w="5174" w:type="dxa"/>
            <w:noWrap w:val="0"/>
            <w:vAlign w:val="center"/>
          </w:tcPr>
          <w:p w14:paraId="0E09BD79">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东至永明路，南至永富路，西至</w:t>
            </w:r>
            <w:r>
              <w:rPr>
                <w:rFonts w:eastAsia="楷体_GB2312"/>
                <w:color w:val="000000"/>
                <w:kern w:val="0"/>
                <w:szCs w:val="21"/>
              </w:rPr>
              <w:t>206</w:t>
            </w:r>
            <w:r>
              <w:rPr>
                <w:rFonts w:hint="eastAsia" w:ascii="楷体_GB2312" w:hAnsi="宋体" w:eastAsia="楷体_GB2312" w:cs="宋体"/>
                <w:color w:val="000000"/>
                <w:kern w:val="0"/>
                <w:szCs w:val="21"/>
              </w:rPr>
              <w:t>国道、卫生院西侧，北至永振路</w:t>
            </w:r>
          </w:p>
        </w:tc>
        <w:tc>
          <w:tcPr>
            <w:tcW w:w="0" w:type="auto"/>
            <w:noWrap w:val="0"/>
            <w:vAlign w:val="center"/>
          </w:tcPr>
          <w:p w14:paraId="0983A5C8">
            <w:pPr>
              <w:jc w:val="center"/>
              <w:rPr>
                <w:color w:val="000000"/>
                <w:kern w:val="0"/>
                <w:szCs w:val="21"/>
              </w:rPr>
            </w:pPr>
            <w:r>
              <w:rPr>
                <w:color w:val="000000"/>
                <w:kern w:val="0"/>
                <w:szCs w:val="21"/>
              </w:rPr>
              <w:t>1</w:t>
            </w:r>
          </w:p>
        </w:tc>
        <w:tc>
          <w:tcPr>
            <w:tcW w:w="0" w:type="auto"/>
            <w:noWrap w:val="0"/>
            <w:vAlign w:val="center"/>
          </w:tcPr>
          <w:p w14:paraId="6C4F9AAC">
            <w:pPr>
              <w:jc w:val="center"/>
              <w:rPr>
                <w:color w:val="000000"/>
                <w:kern w:val="0"/>
                <w:szCs w:val="21"/>
              </w:rPr>
            </w:pPr>
            <w:r>
              <w:rPr>
                <w:color w:val="000000"/>
                <w:kern w:val="0"/>
                <w:szCs w:val="21"/>
              </w:rPr>
              <w:t>1</w:t>
            </w:r>
          </w:p>
        </w:tc>
        <w:tc>
          <w:tcPr>
            <w:tcW w:w="0" w:type="auto"/>
            <w:noWrap w:val="0"/>
            <w:vAlign w:val="center"/>
          </w:tcPr>
          <w:p w14:paraId="2E56E630">
            <w:pPr>
              <w:jc w:val="center"/>
              <w:rPr>
                <w:color w:val="000000"/>
                <w:kern w:val="0"/>
                <w:szCs w:val="21"/>
              </w:rPr>
            </w:pPr>
            <w:r>
              <w:rPr>
                <w:color w:val="000000"/>
                <w:kern w:val="0"/>
                <w:szCs w:val="21"/>
              </w:rPr>
              <w:t>100</w:t>
            </w:r>
          </w:p>
        </w:tc>
      </w:tr>
      <w:tr w14:paraId="7B60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1770B836">
            <w:pPr>
              <w:rPr>
                <w:color w:val="000000"/>
                <w:kern w:val="0"/>
                <w:szCs w:val="21"/>
              </w:rPr>
            </w:pPr>
          </w:p>
        </w:tc>
        <w:tc>
          <w:tcPr>
            <w:tcW w:w="850" w:type="dxa"/>
            <w:vMerge w:val="continue"/>
            <w:noWrap w:val="0"/>
            <w:vAlign w:val="center"/>
          </w:tcPr>
          <w:p w14:paraId="41311FF1">
            <w:pPr>
              <w:ind w:left="-105" w:leftChars="-50" w:right="-105" w:rightChars="-50"/>
              <w:rPr>
                <w:rFonts w:ascii="楷体_GB2312" w:hAnsi="宋体" w:eastAsia="楷体_GB2312" w:cs="宋体"/>
                <w:color w:val="000000"/>
                <w:kern w:val="0"/>
                <w:szCs w:val="21"/>
              </w:rPr>
            </w:pPr>
          </w:p>
        </w:tc>
        <w:tc>
          <w:tcPr>
            <w:tcW w:w="710" w:type="dxa"/>
            <w:noWrap w:val="0"/>
            <w:vAlign w:val="center"/>
          </w:tcPr>
          <w:p w14:paraId="5C607BFF">
            <w:pPr>
              <w:jc w:val="center"/>
              <w:rPr>
                <w:color w:val="000000"/>
                <w:kern w:val="0"/>
                <w:szCs w:val="21"/>
              </w:rPr>
            </w:pPr>
            <w:r>
              <w:rPr>
                <w:color w:val="000000"/>
                <w:kern w:val="0"/>
                <w:szCs w:val="21"/>
              </w:rPr>
              <w:t>2</w:t>
            </w:r>
          </w:p>
        </w:tc>
        <w:tc>
          <w:tcPr>
            <w:tcW w:w="5174" w:type="dxa"/>
            <w:noWrap w:val="0"/>
            <w:vAlign w:val="center"/>
          </w:tcPr>
          <w:p w14:paraId="176501A5">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0" w:type="auto"/>
            <w:noWrap w:val="0"/>
            <w:vAlign w:val="center"/>
          </w:tcPr>
          <w:p w14:paraId="71F7EB0F">
            <w:pPr>
              <w:jc w:val="center"/>
              <w:rPr>
                <w:color w:val="000000"/>
                <w:kern w:val="0"/>
                <w:szCs w:val="21"/>
              </w:rPr>
            </w:pPr>
            <w:r>
              <w:rPr>
                <w:color w:val="000000"/>
                <w:kern w:val="0"/>
                <w:szCs w:val="21"/>
              </w:rPr>
              <w:t>0.6667</w:t>
            </w:r>
          </w:p>
        </w:tc>
        <w:tc>
          <w:tcPr>
            <w:tcW w:w="0" w:type="auto"/>
            <w:noWrap w:val="0"/>
            <w:vAlign w:val="center"/>
          </w:tcPr>
          <w:p w14:paraId="46C05B5F">
            <w:pPr>
              <w:jc w:val="center"/>
              <w:rPr>
                <w:color w:val="000000"/>
                <w:kern w:val="0"/>
                <w:szCs w:val="21"/>
              </w:rPr>
            </w:pPr>
            <w:r>
              <w:rPr>
                <w:color w:val="000000"/>
                <w:kern w:val="0"/>
                <w:szCs w:val="21"/>
              </w:rPr>
              <w:t>2</w:t>
            </w:r>
          </w:p>
        </w:tc>
        <w:tc>
          <w:tcPr>
            <w:tcW w:w="0" w:type="auto"/>
            <w:noWrap w:val="0"/>
            <w:vAlign w:val="center"/>
          </w:tcPr>
          <w:p w14:paraId="5B1E0581">
            <w:pPr>
              <w:jc w:val="center"/>
              <w:rPr>
                <w:color w:val="000000"/>
                <w:kern w:val="0"/>
                <w:szCs w:val="21"/>
              </w:rPr>
            </w:pPr>
            <w:r>
              <w:rPr>
                <w:color w:val="000000"/>
                <w:kern w:val="0"/>
                <w:szCs w:val="21"/>
              </w:rPr>
              <w:t>0</w:t>
            </w:r>
          </w:p>
        </w:tc>
      </w:tr>
      <w:tr w14:paraId="4C73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0BC31AF2">
            <w:pPr>
              <w:jc w:val="center"/>
              <w:rPr>
                <w:color w:val="000000"/>
                <w:kern w:val="0"/>
                <w:szCs w:val="21"/>
              </w:rPr>
            </w:pPr>
            <w:r>
              <w:rPr>
                <w:color w:val="000000"/>
                <w:kern w:val="0"/>
                <w:szCs w:val="21"/>
              </w:rPr>
              <w:t>17</w:t>
            </w:r>
          </w:p>
        </w:tc>
        <w:tc>
          <w:tcPr>
            <w:tcW w:w="850" w:type="dxa"/>
            <w:vMerge w:val="restart"/>
            <w:noWrap w:val="0"/>
            <w:vAlign w:val="center"/>
          </w:tcPr>
          <w:p w14:paraId="2697B017">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解集镇</w:t>
            </w:r>
          </w:p>
        </w:tc>
        <w:tc>
          <w:tcPr>
            <w:tcW w:w="710" w:type="dxa"/>
            <w:noWrap w:val="0"/>
            <w:vAlign w:val="center"/>
          </w:tcPr>
          <w:p w14:paraId="4D2F67D2">
            <w:pPr>
              <w:jc w:val="center"/>
              <w:rPr>
                <w:color w:val="000000"/>
                <w:kern w:val="0"/>
                <w:szCs w:val="21"/>
              </w:rPr>
            </w:pPr>
            <w:r>
              <w:rPr>
                <w:color w:val="000000"/>
                <w:kern w:val="0"/>
                <w:szCs w:val="21"/>
              </w:rPr>
              <w:t>1</w:t>
            </w:r>
          </w:p>
        </w:tc>
        <w:tc>
          <w:tcPr>
            <w:tcW w:w="5174" w:type="dxa"/>
            <w:noWrap w:val="0"/>
            <w:vAlign w:val="center"/>
          </w:tcPr>
          <w:p w14:paraId="6BEB71F8">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东至盛安路、福安路，南至新大街，西至河西路、拖尾河，北至山闵路</w:t>
            </w:r>
          </w:p>
        </w:tc>
        <w:tc>
          <w:tcPr>
            <w:tcW w:w="0" w:type="auto"/>
            <w:noWrap w:val="0"/>
            <w:vAlign w:val="center"/>
          </w:tcPr>
          <w:p w14:paraId="319B59B2">
            <w:pPr>
              <w:jc w:val="center"/>
              <w:rPr>
                <w:color w:val="000000"/>
                <w:kern w:val="0"/>
                <w:szCs w:val="21"/>
              </w:rPr>
            </w:pPr>
            <w:r>
              <w:rPr>
                <w:color w:val="000000"/>
                <w:kern w:val="0"/>
                <w:szCs w:val="21"/>
              </w:rPr>
              <w:t>1</w:t>
            </w:r>
          </w:p>
        </w:tc>
        <w:tc>
          <w:tcPr>
            <w:tcW w:w="0" w:type="auto"/>
            <w:noWrap w:val="0"/>
            <w:vAlign w:val="center"/>
          </w:tcPr>
          <w:p w14:paraId="6462492D">
            <w:pPr>
              <w:jc w:val="center"/>
              <w:rPr>
                <w:color w:val="000000"/>
                <w:kern w:val="0"/>
                <w:szCs w:val="21"/>
              </w:rPr>
            </w:pPr>
            <w:r>
              <w:rPr>
                <w:color w:val="000000"/>
                <w:kern w:val="0"/>
                <w:szCs w:val="21"/>
              </w:rPr>
              <w:t>1</w:t>
            </w:r>
          </w:p>
        </w:tc>
        <w:tc>
          <w:tcPr>
            <w:tcW w:w="0" w:type="auto"/>
            <w:noWrap w:val="0"/>
            <w:vAlign w:val="center"/>
          </w:tcPr>
          <w:p w14:paraId="32FD5357">
            <w:pPr>
              <w:jc w:val="center"/>
              <w:rPr>
                <w:color w:val="000000"/>
                <w:kern w:val="0"/>
                <w:szCs w:val="21"/>
              </w:rPr>
            </w:pPr>
            <w:r>
              <w:rPr>
                <w:color w:val="000000"/>
                <w:kern w:val="0"/>
                <w:szCs w:val="21"/>
              </w:rPr>
              <w:t>100</w:t>
            </w:r>
          </w:p>
        </w:tc>
      </w:tr>
      <w:tr w14:paraId="73D8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3F220EF2">
            <w:pPr>
              <w:rPr>
                <w:color w:val="000000"/>
                <w:kern w:val="0"/>
                <w:szCs w:val="21"/>
              </w:rPr>
            </w:pPr>
          </w:p>
        </w:tc>
        <w:tc>
          <w:tcPr>
            <w:tcW w:w="850" w:type="dxa"/>
            <w:vMerge w:val="continue"/>
            <w:noWrap w:val="0"/>
            <w:vAlign w:val="center"/>
          </w:tcPr>
          <w:p w14:paraId="326EE601">
            <w:pPr>
              <w:ind w:left="-105" w:leftChars="-50" w:right="-105" w:rightChars="-50"/>
              <w:rPr>
                <w:rFonts w:ascii="楷体_GB2312" w:hAnsi="宋体" w:eastAsia="楷体_GB2312" w:cs="宋体"/>
                <w:color w:val="000000"/>
                <w:kern w:val="0"/>
                <w:szCs w:val="21"/>
              </w:rPr>
            </w:pPr>
          </w:p>
        </w:tc>
        <w:tc>
          <w:tcPr>
            <w:tcW w:w="710" w:type="dxa"/>
            <w:noWrap w:val="0"/>
            <w:vAlign w:val="center"/>
          </w:tcPr>
          <w:p w14:paraId="1A409B58">
            <w:pPr>
              <w:jc w:val="center"/>
              <w:rPr>
                <w:color w:val="000000"/>
                <w:kern w:val="0"/>
                <w:szCs w:val="21"/>
              </w:rPr>
            </w:pPr>
            <w:r>
              <w:rPr>
                <w:color w:val="000000"/>
                <w:kern w:val="0"/>
                <w:szCs w:val="21"/>
              </w:rPr>
              <w:t>2</w:t>
            </w:r>
          </w:p>
        </w:tc>
        <w:tc>
          <w:tcPr>
            <w:tcW w:w="5174" w:type="dxa"/>
            <w:noWrap w:val="0"/>
            <w:vAlign w:val="center"/>
          </w:tcPr>
          <w:p w14:paraId="2655699C">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0" w:type="auto"/>
            <w:noWrap w:val="0"/>
            <w:vAlign w:val="center"/>
          </w:tcPr>
          <w:p w14:paraId="19AC5B80">
            <w:pPr>
              <w:jc w:val="center"/>
              <w:rPr>
                <w:color w:val="000000"/>
                <w:kern w:val="0"/>
                <w:szCs w:val="21"/>
              </w:rPr>
            </w:pPr>
            <w:r>
              <w:rPr>
                <w:color w:val="000000"/>
                <w:kern w:val="0"/>
                <w:szCs w:val="21"/>
              </w:rPr>
              <w:t>0.6667</w:t>
            </w:r>
          </w:p>
        </w:tc>
        <w:tc>
          <w:tcPr>
            <w:tcW w:w="0" w:type="auto"/>
            <w:noWrap w:val="0"/>
            <w:vAlign w:val="center"/>
          </w:tcPr>
          <w:p w14:paraId="2CCF9B2C">
            <w:pPr>
              <w:jc w:val="center"/>
              <w:rPr>
                <w:color w:val="000000"/>
                <w:kern w:val="0"/>
                <w:szCs w:val="21"/>
              </w:rPr>
            </w:pPr>
            <w:r>
              <w:rPr>
                <w:color w:val="000000"/>
                <w:kern w:val="0"/>
                <w:szCs w:val="21"/>
              </w:rPr>
              <w:t>2</w:t>
            </w:r>
          </w:p>
        </w:tc>
        <w:tc>
          <w:tcPr>
            <w:tcW w:w="0" w:type="auto"/>
            <w:noWrap w:val="0"/>
            <w:vAlign w:val="center"/>
          </w:tcPr>
          <w:p w14:paraId="36F37B06">
            <w:pPr>
              <w:jc w:val="center"/>
              <w:rPr>
                <w:color w:val="000000"/>
                <w:kern w:val="0"/>
                <w:szCs w:val="21"/>
              </w:rPr>
            </w:pPr>
            <w:r>
              <w:rPr>
                <w:color w:val="000000"/>
                <w:kern w:val="0"/>
                <w:szCs w:val="21"/>
              </w:rPr>
              <w:t>0</w:t>
            </w:r>
          </w:p>
        </w:tc>
      </w:tr>
      <w:tr w14:paraId="6EB63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413CE46C">
            <w:pPr>
              <w:jc w:val="center"/>
              <w:rPr>
                <w:color w:val="000000"/>
                <w:kern w:val="0"/>
                <w:szCs w:val="21"/>
              </w:rPr>
            </w:pPr>
            <w:r>
              <w:rPr>
                <w:color w:val="000000"/>
                <w:kern w:val="0"/>
                <w:szCs w:val="21"/>
              </w:rPr>
              <w:t>18</w:t>
            </w:r>
          </w:p>
        </w:tc>
        <w:tc>
          <w:tcPr>
            <w:tcW w:w="850" w:type="dxa"/>
            <w:vMerge w:val="restart"/>
            <w:noWrap w:val="0"/>
            <w:vAlign w:val="center"/>
          </w:tcPr>
          <w:p w14:paraId="17AB34F8">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大泽乡镇</w:t>
            </w:r>
          </w:p>
        </w:tc>
        <w:tc>
          <w:tcPr>
            <w:tcW w:w="710" w:type="dxa"/>
            <w:noWrap w:val="0"/>
            <w:vAlign w:val="center"/>
          </w:tcPr>
          <w:p w14:paraId="211F0F8E">
            <w:pPr>
              <w:jc w:val="center"/>
              <w:rPr>
                <w:color w:val="000000"/>
                <w:kern w:val="0"/>
                <w:szCs w:val="21"/>
              </w:rPr>
            </w:pPr>
            <w:r>
              <w:rPr>
                <w:color w:val="000000"/>
                <w:kern w:val="0"/>
                <w:szCs w:val="21"/>
              </w:rPr>
              <w:t>1</w:t>
            </w:r>
          </w:p>
        </w:tc>
        <w:tc>
          <w:tcPr>
            <w:tcW w:w="5174" w:type="dxa"/>
            <w:noWrap w:val="0"/>
            <w:vAlign w:val="center"/>
          </w:tcPr>
          <w:p w14:paraId="6110E081">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东至亲民路，南至富民路，西至大泽路、新团沟，北至西桃路、</w:t>
            </w:r>
            <w:r>
              <w:rPr>
                <w:rFonts w:eastAsia="楷体_GB2312"/>
                <w:color w:val="000000"/>
                <w:kern w:val="0"/>
                <w:szCs w:val="21"/>
              </w:rPr>
              <w:t>344</w:t>
            </w:r>
            <w:r>
              <w:rPr>
                <w:rFonts w:hint="eastAsia" w:ascii="楷体_GB2312" w:hAnsi="宋体" w:eastAsia="楷体_GB2312" w:cs="宋体"/>
                <w:color w:val="000000"/>
                <w:kern w:val="0"/>
                <w:szCs w:val="21"/>
              </w:rPr>
              <w:t>国道</w:t>
            </w:r>
          </w:p>
        </w:tc>
        <w:tc>
          <w:tcPr>
            <w:tcW w:w="0" w:type="auto"/>
            <w:noWrap w:val="0"/>
            <w:vAlign w:val="center"/>
          </w:tcPr>
          <w:p w14:paraId="78A76229">
            <w:pPr>
              <w:jc w:val="center"/>
              <w:rPr>
                <w:color w:val="000000"/>
                <w:kern w:val="0"/>
                <w:szCs w:val="21"/>
              </w:rPr>
            </w:pPr>
            <w:r>
              <w:rPr>
                <w:color w:val="000000"/>
                <w:kern w:val="0"/>
                <w:szCs w:val="21"/>
              </w:rPr>
              <w:t>1</w:t>
            </w:r>
          </w:p>
        </w:tc>
        <w:tc>
          <w:tcPr>
            <w:tcW w:w="0" w:type="auto"/>
            <w:noWrap w:val="0"/>
            <w:vAlign w:val="center"/>
          </w:tcPr>
          <w:p w14:paraId="7948C9A0">
            <w:pPr>
              <w:jc w:val="center"/>
              <w:rPr>
                <w:color w:val="000000"/>
                <w:kern w:val="0"/>
                <w:szCs w:val="21"/>
              </w:rPr>
            </w:pPr>
            <w:r>
              <w:rPr>
                <w:color w:val="000000"/>
                <w:kern w:val="0"/>
                <w:szCs w:val="21"/>
              </w:rPr>
              <w:t>1</w:t>
            </w:r>
          </w:p>
        </w:tc>
        <w:tc>
          <w:tcPr>
            <w:tcW w:w="0" w:type="auto"/>
            <w:noWrap w:val="0"/>
            <w:vAlign w:val="center"/>
          </w:tcPr>
          <w:p w14:paraId="5ACEDDA5">
            <w:pPr>
              <w:jc w:val="center"/>
              <w:rPr>
                <w:color w:val="000000"/>
                <w:kern w:val="0"/>
                <w:szCs w:val="21"/>
              </w:rPr>
            </w:pPr>
            <w:r>
              <w:rPr>
                <w:color w:val="000000"/>
                <w:kern w:val="0"/>
                <w:szCs w:val="21"/>
              </w:rPr>
              <w:t>100</w:t>
            </w:r>
          </w:p>
        </w:tc>
      </w:tr>
      <w:tr w14:paraId="5720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2E074A48">
            <w:pPr>
              <w:rPr>
                <w:color w:val="000000"/>
                <w:kern w:val="0"/>
                <w:szCs w:val="21"/>
              </w:rPr>
            </w:pPr>
          </w:p>
        </w:tc>
        <w:tc>
          <w:tcPr>
            <w:tcW w:w="850" w:type="dxa"/>
            <w:vMerge w:val="continue"/>
            <w:noWrap w:val="0"/>
            <w:vAlign w:val="center"/>
          </w:tcPr>
          <w:p w14:paraId="33543BDA">
            <w:pPr>
              <w:ind w:left="-105" w:leftChars="-50" w:right="-105" w:rightChars="-50"/>
              <w:rPr>
                <w:rFonts w:ascii="楷体_GB2312" w:hAnsi="宋体" w:eastAsia="楷体_GB2312" w:cs="宋体"/>
                <w:color w:val="000000"/>
                <w:kern w:val="0"/>
                <w:szCs w:val="21"/>
              </w:rPr>
            </w:pPr>
          </w:p>
        </w:tc>
        <w:tc>
          <w:tcPr>
            <w:tcW w:w="710" w:type="dxa"/>
            <w:noWrap w:val="0"/>
            <w:vAlign w:val="center"/>
          </w:tcPr>
          <w:p w14:paraId="04E47FB8">
            <w:pPr>
              <w:jc w:val="center"/>
              <w:rPr>
                <w:color w:val="000000"/>
                <w:kern w:val="0"/>
                <w:szCs w:val="21"/>
              </w:rPr>
            </w:pPr>
            <w:r>
              <w:rPr>
                <w:color w:val="000000"/>
                <w:kern w:val="0"/>
                <w:szCs w:val="21"/>
              </w:rPr>
              <w:t>2</w:t>
            </w:r>
          </w:p>
        </w:tc>
        <w:tc>
          <w:tcPr>
            <w:tcW w:w="5174" w:type="dxa"/>
            <w:noWrap w:val="0"/>
            <w:vAlign w:val="center"/>
          </w:tcPr>
          <w:p w14:paraId="2744E052">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0" w:type="auto"/>
            <w:noWrap w:val="0"/>
            <w:vAlign w:val="center"/>
          </w:tcPr>
          <w:p w14:paraId="2708D09E">
            <w:pPr>
              <w:jc w:val="center"/>
              <w:rPr>
                <w:color w:val="000000"/>
                <w:kern w:val="0"/>
                <w:szCs w:val="21"/>
              </w:rPr>
            </w:pPr>
            <w:r>
              <w:rPr>
                <w:color w:val="000000"/>
                <w:kern w:val="0"/>
                <w:szCs w:val="21"/>
              </w:rPr>
              <w:t>0.6667</w:t>
            </w:r>
          </w:p>
        </w:tc>
        <w:tc>
          <w:tcPr>
            <w:tcW w:w="0" w:type="auto"/>
            <w:noWrap w:val="0"/>
            <w:vAlign w:val="center"/>
          </w:tcPr>
          <w:p w14:paraId="017F6CF8">
            <w:pPr>
              <w:jc w:val="center"/>
              <w:rPr>
                <w:color w:val="000000"/>
                <w:kern w:val="0"/>
                <w:szCs w:val="21"/>
              </w:rPr>
            </w:pPr>
            <w:r>
              <w:rPr>
                <w:color w:val="000000"/>
                <w:kern w:val="0"/>
                <w:szCs w:val="21"/>
              </w:rPr>
              <w:t>2</w:t>
            </w:r>
          </w:p>
        </w:tc>
        <w:tc>
          <w:tcPr>
            <w:tcW w:w="0" w:type="auto"/>
            <w:noWrap w:val="0"/>
            <w:vAlign w:val="center"/>
          </w:tcPr>
          <w:p w14:paraId="21F31EF0">
            <w:pPr>
              <w:jc w:val="center"/>
              <w:rPr>
                <w:color w:val="000000"/>
                <w:kern w:val="0"/>
                <w:szCs w:val="21"/>
              </w:rPr>
            </w:pPr>
            <w:r>
              <w:rPr>
                <w:color w:val="000000"/>
                <w:kern w:val="0"/>
                <w:szCs w:val="21"/>
              </w:rPr>
              <w:t>0</w:t>
            </w:r>
          </w:p>
        </w:tc>
      </w:tr>
      <w:tr w14:paraId="2BB6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13DAB8A9">
            <w:pPr>
              <w:jc w:val="center"/>
              <w:rPr>
                <w:color w:val="000000"/>
                <w:kern w:val="0"/>
                <w:szCs w:val="21"/>
              </w:rPr>
            </w:pPr>
            <w:r>
              <w:rPr>
                <w:color w:val="000000"/>
                <w:kern w:val="0"/>
                <w:szCs w:val="21"/>
              </w:rPr>
              <w:t>19</w:t>
            </w:r>
          </w:p>
        </w:tc>
        <w:tc>
          <w:tcPr>
            <w:tcW w:w="850" w:type="dxa"/>
            <w:vMerge w:val="restart"/>
            <w:noWrap w:val="0"/>
            <w:vAlign w:val="center"/>
          </w:tcPr>
          <w:p w14:paraId="2E27F7AE">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永安镇</w:t>
            </w:r>
          </w:p>
        </w:tc>
        <w:tc>
          <w:tcPr>
            <w:tcW w:w="710" w:type="dxa"/>
            <w:noWrap w:val="0"/>
            <w:vAlign w:val="center"/>
          </w:tcPr>
          <w:p w14:paraId="0A5325D1">
            <w:pPr>
              <w:jc w:val="center"/>
              <w:rPr>
                <w:color w:val="000000"/>
                <w:kern w:val="0"/>
                <w:szCs w:val="21"/>
              </w:rPr>
            </w:pPr>
            <w:r>
              <w:rPr>
                <w:color w:val="000000"/>
                <w:kern w:val="0"/>
                <w:szCs w:val="21"/>
              </w:rPr>
              <w:t>1</w:t>
            </w:r>
          </w:p>
        </w:tc>
        <w:tc>
          <w:tcPr>
            <w:tcW w:w="5174" w:type="dxa"/>
            <w:noWrap w:val="0"/>
            <w:vAlign w:val="center"/>
          </w:tcPr>
          <w:p w14:paraId="53393F0C">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东至振兴路，南至永中沟，西至二徐路，北至镇北路</w:t>
            </w:r>
          </w:p>
        </w:tc>
        <w:tc>
          <w:tcPr>
            <w:tcW w:w="0" w:type="auto"/>
            <w:noWrap w:val="0"/>
            <w:vAlign w:val="center"/>
          </w:tcPr>
          <w:p w14:paraId="64A5964A">
            <w:pPr>
              <w:jc w:val="center"/>
              <w:rPr>
                <w:color w:val="000000"/>
                <w:kern w:val="0"/>
                <w:szCs w:val="21"/>
              </w:rPr>
            </w:pPr>
            <w:r>
              <w:rPr>
                <w:color w:val="000000"/>
                <w:kern w:val="0"/>
                <w:szCs w:val="21"/>
              </w:rPr>
              <w:t>1</w:t>
            </w:r>
          </w:p>
        </w:tc>
        <w:tc>
          <w:tcPr>
            <w:tcW w:w="0" w:type="auto"/>
            <w:noWrap w:val="0"/>
            <w:vAlign w:val="center"/>
          </w:tcPr>
          <w:p w14:paraId="4B25219A">
            <w:pPr>
              <w:jc w:val="center"/>
              <w:rPr>
                <w:color w:val="000000"/>
                <w:kern w:val="0"/>
                <w:szCs w:val="21"/>
              </w:rPr>
            </w:pPr>
            <w:r>
              <w:rPr>
                <w:color w:val="000000"/>
                <w:kern w:val="0"/>
                <w:szCs w:val="21"/>
              </w:rPr>
              <w:t>1</w:t>
            </w:r>
          </w:p>
        </w:tc>
        <w:tc>
          <w:tcPr>
            <w:tcW w:w="0" w:type="auto"/>
            <w:noWrap w:val="0"/>
            <w:vAlign w:val="center"/>
          </w:tcPr>
          <w:p w14:paraId="3A7CC616">
            <w:pPr>
              <w:jc w:val="center"/>
              <w:rPr>
                <w:color w:val="000000"/>
                <w:kern w:val="0"/>
                <w:szCs w:val="21"/>
              </w:rPr>
            </w:pPr>
            <w:r>
              <w:rPr>
                <w:color w:val="000000"/>
                <w:kern w:val="0"/>
                <w:szCs w:val="21"/>
              </w:rPr>
              <w:t>100</w:t>
            </w:r>
          </w:p>
        </w:tc>
      </w:tr>
      <w:tr w14:paraId="6A0FB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3C29B099">
            <w:pPr>
              <w:rPr>
                <w:color w:val="000000"/>
                <w:kern w:val="0"/>
                <w:szCs w:val="21"/>
              </w:rPr>
            </w:pPr>
          </w:p>
        </w:tc>
        <w:tc>
          <w:tcPr>
            <w:tcW w:w="850" w:type="dxa"/>
            <w:vMerge w:val="continue"/>
            <w:noWrap w:val="0"/>
            <w:vAlign w:val="center"/>
          </w:tcPr>
          <w:p w14:paraId="09DFA43A">
            <w:pPr>
              <w:ind w:left="-105" w:leftChars="-50" w:right="-105" w:rightChars="-50"/>
              <w:rPr>
                <w:rFonts w:ascii="楷体_GB2312" w:hAnsi="宋体" w:eastAsia="楷体_GB2312" w:cs="宋体"/>
                <w:color w:val="000000"/>
                <w:kern w:val="0"/>
                <w:szCs w:val="21"/>
              </w:rPr>
            </w:pPr>
          </w:p>
        </w:tc>
        <w:tc>
          <w:tcPr>
            <w:tcW w:w="710" w:type="dxa"/>
            <w:noWrap w:val="0"/>
            <w:vAlign w:val="center"/>
          </w:tcPr>
          <w:p w14:paraId="3F676EB7">
            <w:pPr>
              <w:jc w:val="center"/>
              <w:rPr>
                <w:color w:val="000000"/>
                <w:kern w:val="0"/>
                <w:szCs w:val="21"/>
              </w:rPr>
            </w:pPr>
            <w:r>
              <w:rPr>
                <w:color w:val="000000"/>
                <w:kern w:val="0"/>
                <w:szCs w:val="21"/>
              </w:rPr>
              <w:t>2</w:t>
            </w:r>
          </w:p>
        </w:tc>
        <w:tc>
          <w:tcPr>
            <w:tcW w:w="5174" w:type="dxa"/>
            <w:noWrap w:val="0"/>
            <w:vAlign w:val="center"/>
          </w:tcPr>
          <w:p w14:paraId="19DD8DF6">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0" w:type="auto"/>
            <w:noWrap w:val="0"/>
            <w:vAlign w:val="center"/>
          </w:tcPr>
          <w:p w14:paraId="6C81DD49">
            <w:pPr>
              <w:jc w:val="center"/>
              <w:rPr>
                <w:color w:val="000000"/>
                <w:kern w:val="0"/>
                <w:szCs w:val="21"/>
              </w:rPr>
            </w:pPr>
            <w:r>
              <w:rPr>
                <w:color w:val="000000"/>
                <w:kern w:val="0"/>
                <w:szCs w:val="21"/>
              </w:rPr>
              <w:t>0.6667</w:t>
            </w:r>
          </w:p>
        </w:tc>
        <w:tc>
          <w:tcPr>
            <w:tcW w:w="0" w:type="auto"/>
            <w:noWrap w:val="0"/>
            <w:vAlign w:val="center"/>
          </w:tcPr>
          <w:p w14:paraId="3D4596AA">
            <w:pPr>
              <w:jc w:val="center"/>
              <w:rPr>
                <w:color w:val="000000"/>
                <w:kern w:val="0"/>
                <w:szCs w:val="21"/>
              </w:rPr>
            </w:pPr>
            <w:r>
              <w:rPr>
                <w:color w:val="000000"/>
                <w:kern w:val="0"/>
                <w:szCs w:val="21"/>
              </w:rPr>
              <w:t>2</w:t>
            </w:r>
          </w:p>
        </w:tc>
        <w:tc>
          <w:tcPr>
            <w:tcW w:w="0" w:type="auto"/>
            <w:noWrap w:val="0"/>
            <w:vAlign w:val="center"/>
          </w:tcPr>
          <w:p w14:paraId="71832863">
            <w:pPr>
              <w:jc w:val="center"/>
              <w:rPr>
                <w:color w:val="000000"/>
                <w:kern w:val="0"/>
                <w:szCs w:val="21"/>
              </w:rPr>
            </w:pPr>
            <w:r>
              <w:rPr>
                <w:color w:val="000000"/>
                <w:kern w:val="0"/>
                <w:szCs w:val="21"/>
              </w:rPr>
              <w:t>0</w:t>
            </w:r>
          </w:p>
        </w:tc>
      </w:tr>
      <w:tr w14:paraId="5D96F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4977C4C9">
            <w:pPr>
              <w:jc w:val="center"/>
              <w:rPr>
                <w:color w:val="000000"/>
                <w:kern w:val="0"/>
                <w:szCs w:val="21"/>
              </w:rPr>
            </w:pPr>
            <w:r>
              <w:rPr>
                <w:color w:val="000000"/>
                <w:kern w:val="0"/>
                <w:szCs w:val="21"/>
              </w:rPr>
              <w:t>20</w:t>
            </w:r>
          </w:p>
        </w:tc>
        <w:tc>
          <w:tcPr>
            <w:tcW w:w="850" w:type="dxa"/>
            <w:vMerge w:val="restart"/>
            <w:noWrap w:val="0"/>
            <w:vAlign w:val="center"/>
          </w:tcPr>
          <w:p w14:paraId="58741A10">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支河乡</w:t>
            </w:r>
          </w:p>
        </w:tc>
        <w:tc>
          <w:tcPr>
            <w:tcW w:w="710" w:type="dxa"/>
            <w:noWrap w:val="0"/>
            <w:vAlign w:val="center"/>
          </w:tcPr>
          <w:p w14:paraId="1E991A5F">
            <w:pPr>
              <w:jc w:val="center"/>
              <w:rPr>
                <w:color w:val="000000"/>
                <w:kern w:val="0"/>
                <w:szCs w:val="21"/>
              </w:rPr>
            </w:pPr>
            <w:r>
              <w:rPr>
                <w:color w:val="000000"/>
                <w:kern w:val="0"/>
                <w:szCs w:val="21"/>
              </w:rPr>
              <w:t>1</w:t>
            </w:r>
          </w:p>
        </w:tc>
        <w:tc>
          <w:tcPr>
            <w:tcW w:w="5174" w:type="dxa"/>
            <w:noWrap w:val="0"/>
            <w:vAlign w:val="center"/>
          </w:tcPr>
          <w:p w14:paraId="353239E1">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东至中学路，南至外环南路，西至欧河路，北至定级边界</w:t>
            </w:r>
          </w:p>
        </w:tc>
        <w:tc>
          <w:tcPr>
            <w:tcW w:w="0" w:type="auto"/>
            <w:noWrap w:val="0"/>
            <w:vAlign w:val="center"/>
          </w:tcPr>
          <w:p w14:paraId="4F3A32B6">
            <w:pPr>
              <w:jc w:val="center"/>
              <w:rPr>
                <w:color w:val="000000"/>
                <w:kern w:val="0"/>
                <w:szCs w:val="21"/>
              </w:rPr>
            </w:pPr>
            <w:r>
              <w:rPr>
                <w:color w:val="000000"/>
                <w:kern w:val="0"/>
                <w:szCs w:val="21"/>
              </w:rPr>
              <w:t>1</w:t>
            </w:r>
          </w:p>
        </w:tc>
        <w:tc>
          <w:tcPr>
            <w:tcW w:w="0" w:type="auto"/>
            <w:noWrap w:val="0"/>
            <w:vAlign w:val="center"/>
          </w:tcPr>
          <w:p w14:paraId="147555CE">
            <w:pPr>
              <w:jc w:val="center"/>
              <w:rPr>
                <w:color w:val="000000"/>
                <w:kern w:val="0"/>
                <w:szCs w:val="21"/>
              </w:rPr>
            </w:pPr>
            <w:r>
              <w:rPr>
                <w:color w:val="000000"/>
                <w:kern w:val="0"/>
                <w:szCs w:val="21"/>
              </w:rPr>
              <w:t>1</w:t>
            </w:r>
          </w:p>
        </w:tc>
        <w:tc>
          <w:tcPr>
            <w:tcW w:w="0" w:type="auto"/>
            <w:noWrap w:val="0"/>
            <w:vAlign w:val="center"/>
          </w:tcPr>
          <w:p w14:paraId="734E6CE0">
            <w:pPr>
              <w:jc w:val="center"/>
              <w:rPr>
                <w:color w:val="000000"/>
                <w:kern w:val="0"/>
                <w:szCs w:val="21"/>
              </w:rPr>
            </w:pPr>
            <w:r>
              <w:rPr>
                <w:color w:val="000000"/>
                <w:kern w:val="0"/>
                <w:szCs w:val="21"/>
              </w:rPr>
              <w:t>100</w:t>
            </w:r>
          </w:p>
        </w:tc>
      </w:tr>
      <w:tr w14:paraId="62993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3B798F3F">
            <w:pPr>
              <w:rPr>
                <w:color w:val="000000"/>
                <w:kern w:val="0"/>
                <w:szCs w:val="21"/>
              </w:rPr>
            </w:pPr>
          </w:p>
        </w:tc>
        <w:tc>
          <w:tcPr>
            <w:tcW w:w="850" w:type="dxa"/>
            <w:vMerge w:val="continue"/>
            <w:noWrap w:val="0"/>
            <w:vAlign w:val="center"/>
          </w:tcPr>
          <w:p w14:paraId="08E619B8">
            <w:pPr>
              <w:ind w:left="-105" w:leftChars="-50" w:right="-105" w:rightChars="-50"/>
              <w:rPr>
                <w:rFonts w:ascii="楷体_GB2312" w:hAnsi="宋体" w:eastAsia="楷体_GB2312" w:cs="宋体"/>
                <w:color w:val="000000"/>
                <w:kern w:val="0"/>
                <w:szCs w:val="21"/>
              </w:rPr>
            </w:pPr>
          </w:p>
        </w:tc>
        <w:tc>
          <w:tcPr>
            <w:tcW w:w="710" w:type="dxa"/>
            <w:noWrap w:val="0"/>
            <w:vAlign w:val="center"/>
          </w:tcPr>
          <w:p w14:paraId="763B4461">
            <w:pPr>
              <w:jc w:val="center"/>
              <w:rPr>
                <w:color w:val="000000"/>
                <w:kern w:val="0"/>
                <w:szCs w:val="21"/>
              </w:rPr>
            </w:pPr>
            <w:r>
              <w:rPr>
                <w:color w:val="000000"/>
                <w:kern w:val="0"/>
                <w:szCs w:val="21"/>
              </w:rPr>
              <w:t>2</w:t>
            </w:r>
          </w:p>
        </w:tc>
        <w:tc>
          <w:tcPr>
            <w:tcW w:w="5174" w:type="dxa"/>
            <w:noWrap w:val="0"/>
            <w:vAlign w:val="center"/>
          </w:tcPr>
          <w:p w14:paraId="155477E7">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0" w:type="auto"/>
            <w:noWrap w:val="0"/>
            <w:vAlign w:val="center"/>
          </w:tcPr>
          <w:p w14:paraId="61BA8F3C">
            <w:pPr>
              <w:jc w:val="center"/>
              <w:rPr>
                <w:color w:val="000000"/>
                <w:kern w:val="0"/>
                <w:szCs w:val="21"/>
              </w:rPr>
            </w:pPr>
            <w:r>
              <w:rPr>
                <w:color w:val="000000"/>
                <w:kern w:val="0"/>
                <w:szCs w:val="21"/>
              </w:rPr>
              <w:t>0.6667</w:t>
            </w:r>
          </w:p>
        </w:tc>
        <w:tc>
          <w:tcPr>
            <w:tcW w:w="0" w:type="auto"/>
            <w:noWrap w:val="0"/>
            <w:vAlign w:val="center"/>
          </w:tcPr>
          <w:p w14:paraId="2287B46F">
            <w:pPr>
              <w:jc w:val="center"/>
              <w:rPr>
                <w:color w:val="000000"/>
                <w:kern w:val="0"/>
                <w:szCs w:val="21"/>
              </w:rPr>
            </w:pPr>
            <w:r>
              <w:rPr>
                <w:color w:val="000000"/>
                <w:kern w:val="0"/>
                <w:szCs w:val="21"/>
              </w:rPr>
              <w:t>2</w:t>
            </w:r>
          </w:p>
        </w:tc>
        <w:tc>
          <w:tcPr>
            <w:tcW w:w="0" w:type="auto"/>
            <w:noWrap w:val="0"/>
            <w:vAlign w:val="center"/>
          </w:tcPr>
          <w:p w14:paraId="60F10BDB">
            <w:pPr>
              <w:jc w:val="center"/>
              <w:rPr>
                <w:color w:val="000000"/>
                <w:kern w:val="0"/>
                <w:szCs w:val="21"/>
              </w:rPr>
            </w:pPr>
            <w:r>
              <w:rPr>
                <w:color w:val="000000"/>
                <w:kern w:val="0"/>
                <w:szCs w:val="21"/>
              </w:rPr>
              <w:t>0</w:t>
            </w:r>
          </w:p>
        </w:tc>
      </w:tr>
      <w:tr w14:paraId="7673C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5952A622">
            <w:pPr>
              <w:jc w:val="center"/>
              <w:rPr>
                <w:color w:val="000000"/>
                <w:kern w:val="0"/>
                <w:szCs w:val="21"/>
              </w:rPr>
            </w:pPr>
            <w:r>
              <w:rPr>
                <w:color w:val="000000"/>
                <w:kern w:val="0"/>
                <w:szCs w:val="21"/>
              </w:rPr>
              <w:t>21</w:t>
            </w:r>
          </w:p>
        </w:tc>
        <w:tc>
          <w:tcPr>
            <w:tcW w:w="850" w:type="dxa"/>
            <w:vMerge w:val="restart"/>
            <w:noWrap w:val="0"/>
            <w:vAlign w:val="center"/>
          </w:tcPr>
          <w:p w14:paraId="02290282">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灰古镇</w:t>
            </w:r>
          </w:p>
        </w:tc>
        <w:tc>
          <w:tcPr>
            <w:tcW w:w="710" w:type="dxa"/>
            <w:noWrap w:val="0"/>
            <w:vAlign w:val="center"/>
          </w:tcPr>
          <w:p w14:paraId="50B93406">
            <w:pPr>
              <w:jc w:val="center"/>
              <w:rPr>
                <w:color w:val="000000"/>
                <w:kern w:val="0"/>
                <w:szCs w:val="21"/>
              </w:rPr>
            </w:pPr>
            <w:r>
              <w:rPr>
                <w:color w:val="000000"/>
                <w:kern w:val="0"/>
                <w:szCs w:val="21"/>
              </w:rPr>
              <w:t>1</w:t>
            </w:r>
          </w:p>
        </w:tc>
        <w:tc>
          <w:tcPr>
            <w:tcW w:w="5174" w:type="dxa"/>
            <w:noWrap w:val="0"/>
            <w:vAlign w:val="center"/>
          </w:tcPr>
          <w:p w14:paraId="3493CEEB">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东至北集路，南至南集路，西至二徐路西侧规划东路、二徐路，北至沿河路</w:t>
            </w:r>
          </w:p>
        </w:tc>
        <w:tc>
          <w:tcPr>
            <w:tcW w:w="0" w:type="auto"/>
            <w:noWrap w:val="0"/>
            <w:vAlign w:val="center"/>
          </w:tcPr>
          <w:p w14:paraId="0766130F">
            <w:pPr>
              <w:jc w:val="center"/>
              <w:rPr>
                <w:color w:val="000000"/>
                <w:kern w:val="0"/>
                <w:szCs w:val="21"/>
              </w:rPr>
            </w:pPr>
            <w:r>
              <w:rPr>
                <w:color w:val="000000"/>
                <w:kern w:val="0"/>
                <w:szCs w:val="21"/>
              </w:rPr>
              <w:t>1</w:t>
            </w:r>
          </w:p>
        </w:tc>
        <w:tc>
          <w:tcPr>
            <w:tcW w:w="0" w:type="auto"/>
            <w:noWrap w:val="0"/>
            <w:vAlign w:val="center"/>
          </w:tcPr>
          <w:p w14:paraId="4D37830A">
            <w:pPr>
              <w:jc w:val="center"/>
              <w:rPr>
                <w:color w:val="000000"/>
                <w:kern w:val="0"/>
                <w:szCs w:val="21"/>
              </w:rPr>
            </w:pPr>
            <w:r>
              <w:rPr>
                <w:color w:val="000000"/>
                <w:kern w:val="0"/>
                <w:szCs w:val="21"/>
              </w:rPr>
              <w:t>1</w:t>
            </w:r>
          </w:p>
        </w:tc>
        <w:tc>
          <w:tcPr>
            <w:tcW w:w="0" w:type="auto"/>
            <w:noWrap w:val="0"/>
            <w:vAlign w:val="center"/>
          </w:tcPr>
          <w:p w14:paraId="445883AB">
            <w:pPr>
              <w:jc w:val="center"/>
              <w:rPr>
                <w:color w:val="000000"/>
                <w:kern w:val="0"/>
                <w:szCs w:val="21"/>
              </w:rPr>
            </w:pPr>
            <w:r>
              <w:rPr>
                <w:color w:val="000000"/>
                <w:kern w:val="0"/>
                <w:szCs w:val="21"/>
              </w:rPr>
              <w:t>100</w:t>
            </w:r>
          </w:p>
        </w:tc>
      </w:tr>
      <w:tr w14:paraId="10940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60FA21B9">
            <w:pPr>
              <w:rPr>
                <w:color w:val="000000"/>
                <w:kern w:val="0"/>
                <w:szCs w:val="21"/>
              </w:rPr>
            </w:pPr>
          </w:p>
        </w:tc>
        <w:tc>
          <w:tcPr>
            <w:tcW w:w="850" w:type="dxa"/>
            <w:vMerge w:val="continue"/>
            <w:noWrap w:val="0"/>
            <w:vAlign w:val="center"/>
          </w:tcPr>
          <w:p w14:paraId="498D9335">
            <w:pPr>
              <w:ind w:left="-105" w:leftChars="-50" w:right="-105" w:rightChars="-50"/>
              <w:rPr>
                <w:rFonts w:ascii="楷体_GB2312" w:hAnsi="宋体" w:eastAsia="楷体_GB2312" w:cs="宋体"/>
                <w:color w:val="000000"/>
                <w:kern w:val="0"/>
                <w:szCs w:val="21"/>
              </w:rPr>
            </w:pPr>
          </w:p>
        </w:tc>
        <w:tc>
          <w:tcPr>
            <w:tcW w:w="710" w:type="dxa"/>
            <w:noWrap w:val="0"/>
            <w:vAlign w:val="center"/>
          </w:tcPr>
          <w:p w14:paraId="2932C4EE">
            <w:pPr>
              <w:jc w:val="center"/>
              <w:rPr>
                <w:color w:val="000000"/>
                <w:kern w:val="0"/>
                <w:szCs w:val="21"/>
              </w:rPr>
            </w:pPr>
            <w:r>
              <w:rPr>
                <w:color w:val="000000"/>
                <w:kern w:val="0"/>
                <w:szCs w:val="21"/>
              </w:rPr>
              <w:t>2</w:t>
            </w:r>
          </w:p>
        </w:tc>
        <w:tc>
          <w:tcPr>
            <w:tcW w:w="5174" w:type="dxa"/>
            <w:noWrap w:val="0"/>
            <w:vAlign w:val="center"/>
          </w:tcPr>
          <w:p w14:paraId="28C75A44">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0" w:type="auto"/>
            <w:noWrap w:val="0"/>
            <w:vAlign w:val="center"/>
          </w:tcPr>
          <w:p w14:paraId="156AAEB8">
            <w:pPr>
              <w:jc w:val="center"/>
              <w:rPr>
                <w:color w:val="000000"/>
                <w:kern w:val="0"/>
                <w:szCs w:val="21"/>
              </w:rPr>
            </w:pPr>
            <w:r>
              <w:rPr>
                <w:color w:val="000000"/>
                <w:kern w:val="0"/>
                <w:szCs w:val="21"/>
              </w:rPr>
              <w:t>0.6667</w:t>
            </w:r>
          </w:p>
        </w:tc>
        <w:tc>
          <w:tcPr>
            <w:tcW w:w="0" w:type="auto"/>
            <w:noWrap w:val="0"/>
            <w:vAlign w:val="center"/>
          </w:tcPr>
          <w:p w14:paraId="478B4481">
            <w:pPr>
              <w:jc w:val="center"/>
              <w:rPr>
                <w:color w:val="000000"/>
                <w:kern w:val="0"/>
                <w:szCs w:val="21"/>
              </w:rPr>
            </w:pPr>
            <w:r>
              <w:rPr>
                <w:color w:val="000000"/>
                <w:kern w:val="0"/>
                <w:szCs w:val="21"/>
              </w:rPr>
              <w:t>2</w:t>
            </w:r>
          </w:p>
        </w:tc>
        <w:tc>
          <w:tcPr>
            <w:tcW w:w="0" w:type="auto"/>
            <w:noWrap w:val="0"/>
            <w:vAlign w:val="center"/>
          </w:tcPr>
          <w:p w14:paraId="2F2379A3">
            <w:pPr>
              <w:jc w:val="center"/>
              <w:rPr>
                <w:color w:val="000000"/>
                <w:kern w:val="0"/>
                <w:szCs w:val="21"/>
              </w:rPr>
            </w:pPr>
            <w:r>
              <w:rPr>
                <w:color w:val="000000"/>
                <w:kern w:val="0"/>
                <w:szCs w:val="21"/>
              </w:rPr>
              <w:t>0</w:t>
            </w:r>
          </w:p>
        </w:tc>
      </w:tr>
      <w:tr w14:paraId="3FAA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22FA45F2">
            <w:pPr>
              <w:jc w:val="center"/>
              <w:rPr>
                <w:color w:val="000000"/>
                <w:kern w:val="0"/>
                <w:szCs w:val="21"/>
              </w:rPr>
            </w:pPr>
            <w:r>
              <w:rPr>
                <w:color w:val="000000"/>
                <w:kern w:val="0"/>
                <w:szCs w:val="21"/>
              </w:rPr>
              <w:t>22</w:t>
            </w:r>
          </w:p>
        </w:tc>
        <w:tc>
          <w:tcPr>
            <w:tcW w:w="850" w:type="dxa"/>
            <w:vMerge w:val="restart"/>
            <w:noWrap w:val="0"/>
            <w:vAlign w:val="center"/>
          </w:tcPr>
          <w:p w14:paraId="62C68426">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桃沟乡</w:t>
            </w:r>
          </w:p>
        </w:tc>
        <w:tc>
          <w:tcPr>
            <w:tcW w:w="710" w:type="dxa"/>
            <w:noWrap w:val="0"/>
            <w:vAlign w:val="center"/>
          </w:tcPr>
          <w:p w14:paraId="0F9FAD6D">
            <w:pPr>
              <w:jc w:val="center"/>
              <w:rPr>
                <w:color w:val="000000"/>
                <w:kern w:val="0"/>
                <w:szCs w:val="21"/>
              </w:rPr>
            </w:pPr>
            <w:r>
              <w:rPr>
                <w:color w:val="000000"/>
                <w:kern w:val="0"/>
                <w:szCs w:val="21"/>
              </w:rPr>
              <w:t>1</w:t>
            </w:r>
          </w:p>
        </w:tc>
        <w:tc>
          <w:tcPr>
            <w:tcW w:w="5174" w:type="dxa"/>
            <w:noWrap w:val="0"/>
            <w:vAlign w:val="center"/>
          </w:tcPr>
          <w:p w14:paraId="04FE2041">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东至创新路、世纪大道，南至南外环，西至学苑路，北至学府路</w:t>
            </w:r>
          </w:p>
        </w:tc>
        <w:tc>
          <w:tcPr>
            <w:tcW w:w="0" w:type="auto"/>
            <w:noWrap w:val="0"/>
            <w:vAlign w:val="center"/>
          </w:tcPr>
          <w:p w14:paraId="14CE351F">
            <w:pPr>
              <w:jc w:val="center"/>
              <w:rPr>
                <w:color w:val="000000"/>
                <w:kern w:val="0"/>
                <w:szCs w:val="21"/>
              </w:rPr>
            </w:pPr>
            <w:r>
              <w:rPr>
                <w:color w:val="000000"/>
                <w:kern w:val="0"/>
                <w:szCs w:val="21"/>
              </w:rPr>
              <w:t>1</w:t>
            </w:r>
          </w:p>
        </w:tc>
        <w:tc>
          <w:tcPr>
            <w:tcW w:w="0" w:type="auto"/>
            <w:noWrap w:val="0"/>
            <w:vAlign w:val="center"/>
          </w:tcPr>
          <w:p w14:paraId="25F467D8">
            <w:pPr>
              <w:jc w:val="center"/>
              <w:rPr>
                <w:color w:val="000000"/>
                <w:kern w:val="0"/>
                <w:szCs w:val="21"/>
              </w:rPr>
            </w:pPr>
            <w:r>
              <w:rPr>
                <w:color w:val="000000"/>
                <w:kern w:val="0"/>
                <w:szCs w:val="21"/>
              </w:rPr>
              <w:t>1</w:t>
            </w:r>
          </w:p>
        </w:tc>
        <w:tc>
          <w:tcPr>
            <w:tcW w:w="0" w:type="auto"/>
            <w:noWrap w:val="0"/>
            <w:vAlign w:val="center"/>
          </w:tcPr>
          <w:p w14:paraId="6A094E39">
            <w:pPr>
              <w:jc w:val="center"/>
              <w:rPr>
                <w:color w:val="000000"/>
                <w:kern w:val="0"/>
                <w:szCs w:val="21"/>
              </w:rPr>
            </w:pPr>
            <w:r>
              <w:rPr>
                <w:color w:val="000000"/>
                <w:kern w:val="0"/>
                <w:szCs w:val="21"/>
              </w:rPr>
              <w:t>100</w:t>
            </w:r>
          </w:p>
        </w:tc>
      </w:tr>
      <w:tr w14:paraId="21FF2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514A049C">
            <w:pPr>
              <w:rPr>
                <w:color w:val="000000"/>
                <w:kern w:val="0"/>
                <w:szCs w:val="21"/>
              </w:rPr>
            </w:pPr>
          </w:p>
        </w:tc>
        <w:tc>
          <w:tcPr>
            <w:tcW w:w="850" w:type="dxa"/>
            <w:vMerge w:val="continue"/>
            <w:noWrap w:val="0"/>
            <w:vAlign w:val="center"/>
          </w:tcPr>
          <w:p w14:paraId="1F6DA757">
            <w:pPr>
              <w:rPr>
                <w:rFonts w:ascii="楷体_GB2312" w:hAnsi="宋体" w:eastAsia="楷体_GB2312" w:cs="宋体"/>
                <w:color w:val="000000"/>
                <w:kern w:val="0"/>
                <w:szCs w:val="21"/>
              </w:rPr>
            </w:pPr>
          </w:p>
        </w:tc>
        <w:tc>
          <w:tcPr>
            <w:tcW w:w="710" w:type="dxa"/>
            <w:noWrap w:val="0"/>
            <w:vAlign w:val="center"/>
          </w:tcPr>
          <w:p w14:paraId="5A7809BD">
            <w:pPr>
              <w:jc w:val="center"/>
              <w:rPr>
                <w:color w:val="000000"/>
                <w:kern w:val="0"/>
                <w:szCs w:val="21"/>
              </w:rPr>
            </w:pPr>
            <w:r>
              <w:rPr>
                <w:color w:val="000000"/>
                <w:kern w:val="0"/>
                <w:szCs w:val="21"/>
              </w:rPr>
              <w:t>2</w:t>
            </w:r>
          </w:p>
        </w:tc>
        <w:tc>
          <w:tcPr>
            <w:tcW w:w="5174" w:type="dxa"/>
            <w:noWrap w:val="0"/>
            <w:vAlign w:val="center"/>
          </w:tcPr>
          <w:p w14:paraId="051F4086">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0" w:type="auto"/>
            <w:noWrap w:val="0"/>
            <w:vAlign w:val="center"/>
          </w:tcPr>
          <w:p w14:paraId="54F94F70">
            <w:pPr>
              <w:jc w:val="center"/>
              <w:rPr>
                <w:color w:val="000000"/>
                <w:kern w:val="0"/>
                <w:szCs w:val="21"/>
              </w:rPr>
            </w:pPr>
            <w:r>
              <w:rPr>
                <w:color w:val="000000"/>
                <w:kern w:val="0"/>
                <w:szCs w:val="21"/>
              </w:rPr>
              <w:t>0.6667</w:t>
            </w:r>
          </w:p>
        </w:tc>
        <w:tc>
          <w:tcPr>
            <w:tcW w:w="0" w:type="auto"/>
            <w:noWrap w:val="0"/>
            <w:vAlign w:val="center"/>
          </w:tcPr>
          <w:p w14:paraId="7B3F90A7">
            <w:pPr>
              <w:jc w:val="center"/>
              <w:rPr>
                <w:color w:val="000000"/>
                <w:kern w:val="0"/>
                <w:szCs w:val="21"/>
              </w:rPr>
            </w:pPr>
            <w:r>
              <w:rPr>
                <w:color w:val="000000"/>
                <w:kern w:val="0"/>
                <w:szCs w:val="21"/>
              </w:rPr>
              <w:t>2</w:t>
            </w:r>
          </w:p>
        </w:tc>
        <w:tc>
          <w:tcPr>
            <w:tcW w:w="0" w:type="auto"/>
            <w:noWrap w:val="0"/>
            <w:vAlign w:val="center"/>
          </w:tcPr>
          <w:p w14:paraId="3F050E79">
            <w:pPr>
              <w:jc w:val="center"/>
              <w:rPr>
                <w:color w:val="000000"/>
                <w:kern w:val="0"/>
                <w:szCs w:val="21"/>
              </w:rPr>
            </w:pPr>
            <w:r>
              <w:rPr>
                <w:color w:val="000000"/>
                <w:kern w:val="0"/>
                <w:szCs w:val="21"/>
              </w:rPr>
              <w:t>0</w:t>
            </w:r>
          </w:p>
        </w:tc>
      </w:tr>
    </w:tbl>
    <w:p w14:paraId="3536126C">
      <w:pPr>
        <w:pStyle w:val="4"/>
        <w:numPr>
          <w:ilvl w:val="0"/>
          <w:numId w:val="0"/>
        </w:numPr>
        <w:spacing w:line="380" w:lineRule="exact"/>
        <w:jc w:val="center"/>
        <w:rPr>
          <w:rFonts w:eastAsia="仿宋_GB2312"/>
          <w:bCs w:val="0"/>
        </w:rPr>
      </w:pPr>
      <w:r>
        <w:rPr>
          <w:rFonts w:eastAsia="仿宋_GB2312"/>
          <w:bCs w:val="0"/>
        </w:rPr>
        <w:br w:type="page"/>
      </w:r>
      <w:bookmarkStart w:id="45" w:name="_Toc62563660"/>
      <w:r>
        <w:rPr>
          <w:rFonts w:eastAsia="仿宋_GB2312"/>
          <w:bCs w:val="0"/>
        </w:rPr>
        <w:t>第七节  自然条件优劣度定量化处理</w:t>
      </w:r>
      <w:bookmarkEnd w:id="45"/>
    </w:p>
    <w:p w14:paraId="3BB29B83">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根据《城镇土地分等定级规程》综合定级中自然条件优劣度包括地面坡度、地基承载、边坡稳定、洪水淹没等因子。乡镇土地定级将各种因子综合为综合自然条件优劣度进行评定。</w:t>
      </w:r>
    </w:p>
    <w:p w14:paraId="40C33169">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一、自然条件现状分析</w:t>
      </w:r>
    </w:p>
    <w:p w14:paraId="211CB6F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各乡镇镇区不同区域综合自然条件有所差异。自然条件的优劣差异，直接影响土地的使用价值，因此在其它条件相同的情况下，自然条件优越的土地，其开发投资就少，利用程度就高，土地质量必然提高，反之，则会降低土地质量。</w:t>
      </w:r>
    </w:p>
    <w:p w14:paraId="4DE3C67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将各乡镇镇区按照自然条件综合状况划分成若干区域。</w:t>
      </w:r>
    </w:p>
    <w:p w14:paraId="0620D54A">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二、自然条件优劣度作用分的确定</w:t>
      </w:r>
    </w:p>
    <w:p w14:paraId="6FF98A92">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1、综合自然条件作用分的确定</w:t>
      </w:r>
    </w:p>
    <w:p w14:paraId="7FE5F19D">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根据外业调查人员调查提供的材料和《城镇土地分等定级规程》的规定，按下列步骤确定综合自然条件作用分。</w:t>
      </w:r>
    </w:p>
    <w:p w14:paraId="382BDAFD">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（1）划分评价区域</w:t>
      </w:r>
    </w:p>
    <w:p w14:paraId="1748E6C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根据外业调查人员调查提供的材料和各乡镇镇区综合自然条件资料，将各乡镇镇区按照自然条件综合状况划分成若干区域。</w:t>
      </w:r>
    </w:p>
    <w:p w14:paraId="5208BB6E">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（2）计算综合自然条件作用分</w:t>
      </w:r>
    </w:p>
    <w:p w14:paraId="77E32111">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首先分别将各乡镇各区域的综合自然条件数据进行最大值标准化处理，得到综合自然条件指标值。然后按公式1-3-</w:t>
      </w:r>
      <w:r>
        <w:rPr>
          <w:rFonts w:hint="eastAsia" w:ascii="Times New Roman" w:hAnsi="Times New Roman" w:eastAsia="楷体_GB2312" w:cs="Times New Roman"/>
          <w:sz w:val="28"/>
        </w:rPr>
        <w:t>6</w:t>
      </w:r>
      <w:r>
        <w:rPr>
          <w:rFonts w:ascii="Times New Roman" w:hAnsi="Times New Roman" w:eastAsia="楷体_GB2312" w:cs="Times New Roman"/>
          <w:sz w:val="28"/>
        </w:rPr>
        <w:t>计算各区域综合自然条件作用分。结果见表1-3-</w:t>
      </w:r>
      <w:r>
        <w:rPr>
          <w:rFonts w:hint="eastAsia" w:ascii="Times New Roman" w:hAnsi="Times New Roman" w:eastAsia="楷体_GB2312" w:cs="Times New Roman"/>
          <w:sz w:val="28"/>
        </w:rPr>
        <w:t>48</w:t>
      </w:r>
      <w:r>
        <w:rPr>
          <w:rFonts w:ascii="Times New Roman" w:hAnsi="Times New Roman" w:eastAsia="楷体_GB2312" w:cs="Times New Roman"/>
          <w:sz w:val="28"/>
        </w:rPr>
        <w:t>。</w:t>
      </w:r>
    </w:p>
    <w:p w14:paraId="56047FB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公式1-3-</w:t>
      </w:r>
      <w:r>
        <w:rPr>
          <w:rFonts w:hint="eastAsia" w:ascii="Times New Roman" w:hAnsi="Times New Roman" w:eastAsia="楷体_GB2312" w:cs="Times New Roman"/>
          <w:sz w:val="28"/>
        </w:rPr>
        <w:t>6</w:t>
      </w:r>
      <w:r>
        <w:rPr>
          <w:rFonts w:ascii="Times New Roman" w:hAnsi="Times New Roman" w:eastAsia="楷体_GB2312" w:cs="Times New Roman"/>
          <w:sz w:val="28"/>
        </w:rPr>
        <w:t>：</w:t>
      </w:r>
      <w:r>
        <w:rPr>
          <w:rFonts w:ascii="Times New Roman" w:hAnsi="Times New Roman" w:eastAsia="楷体_GB2312" w:cs="Times New Roman"/>
          <w:position w:val="-10"/>
          <w:sz w:val="28"/>
        </w:rPr>
        <w:object>
          <v:shape id="_x0000_i1075" o:spt="75" type="#_x0000_t75" style="height:18pt;width:209pt;" o:ole="t" filled="f" o:preferrelative="t" stroked="f" coordsize="21600,21600">
            <v:path/>
            <v:fill on="f" alignshape="1" focussize="0,0"/>
            <v:stroke on="f"/>
            <v:imagedata r:id="rId104" o:title=""/>
            <o:lock v:ext="edit" aspectratio="t"/>
            <w10:wrap type="none"/>
            <w10:anchorlock/>
          </v:shape>
          <o:OLEObject Type="Embed" ProgID="Equation.3" ShapeID="_x0000_i1075" DrawAspect="Content" ObjectID="_1468075775" r:id="rId113">
            <o:LockedField>false</o:LockedField>
          </o:OLEObject>
        </w:object>
      </w:r>
      <w:r>
        <w:rPr>
          <w:rFonts w:ascii="Times New Roman" w:hAnsi="Times New Roman" w:eastAsia="楷体_GB2312" w:cs="Times New Roman"/>
          <w:sz w:val="28"/>
        </w:rPr>
        <w:t xml:space="preserve"> </w:t>
      </w:r>
    </w:p>
    <w:p w14:paraId="558E94ED">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式中：</w:t>
      </w:r>
      <w:r>
        <w:rPr>
          <w:rFonts w:ascii="Times New Roman" w:hAnsi="Times New Roman" w:eastAsia="楷体_GB2312" w:cs="Times New Roman"/>
          <w:position w:val="-6"/>
          <w:sz w:val="28"/>
        </w:rPr>
        <w:object>
          <v:shape id="_x0000_i1076" o:spt="75" type="#_x0000_t75" style="height:16pt;width:15pt;" o:ole="t" filled="f" o:preferrelative="t" stroked="f" coordsize="21600,21600">
            <v:path/>
            <v:fill on="f" alignshape="1" focussize="0,0"/>
            <v:stroke on="f"/>
            <v:imagedata r:id="rId106" o:title=""/>
            <o:lock v:ext="edit" aspectratio="t"/>
            <w10:wrap type="none"/>
            <w10:anchorlock/>
          </v:shape>
          <o:OLEObject Type="Embed" ProgID="Equation.3" ShapeID="_x0000_i1076" DrawAspect="Content" ObjectID="_1468075776" r:id="rId114">
            <o:LockedField>false</o:LockedField>
          </o:OLEObject>
        </w:object>
      </w:r>
      <w:r>
        <w:rPr>
          <w:rFonts w:ascii="Times New Roman" w:hAnsi="Times New Roman" w:eastAsia="楷体_GB2312" w:cs="Times New Roman"/>
          <w:sz w:val="28"/>
        </w:rPr>
        <w:t>——某自然条件优劣度作用分；</w:t>
      </w:r>
    </w:p>
    <w:p w14:paraId="6B75D2A3">
      <w:pPr>
        <w:pStyle w:val="20"/>
        <w:spacing w:line="480" w:lineRule="exact"/>
        <w:ind w:firstLine="1400" w:firstLineChars="500"/>
        <w:rPr>
          <w:rFonts w:ascii="Times New Roman" w:hAnsi="Times New Roman" w:eastAsia="楷体_GB2312" w:cs="Times New Roman"/>
          <w:sz w:val="28"/>
        </w:rPr>
      </w:pPr>
      <w:r>
        <w:rPr>
          <w:rFonts w:ascii="Times New Roman" w:hAnsi="Times New Roman" w:eastAsia="楷体_GB2312" w:cs="Times New Roman"/>
          <w:position w:val="-4"/>
          <w:sz w:val="28"/>
        </w:rPr>
        <w:object>
          <v:shape id="_x0000_i1077" o:spt="75" type="#_x0000_t75" style="height:15pt;width:20pt;" o:ole="t" filled="f" o:preferrelative="t" stroked="f" coordsize="21600,21600">
            <v:path/>
            <v:fill on="f" alignshape="1" focussize="0,0"/>
            <v:stroke on="f"/>
            <v:imagedata r:id="rId108" o:title=""/>
            <o:lock v:ext="edit" aspectratio="t"/>
            <w10:wrap type="none"/>
            <w10:anchorlock/>
          </v:shape>
          <o:OLEObject Type="Embed" ProgID="Equation.3" ShapeID="_x0000_i1077" DrawAspect="Content" ObjectID="_1468075777" r:id="rId115">
            <o:LockedField>false</o:LockedField>
          </o:OLEObject>
        </w:object>
      </w:r>
      <w:r>
        <w:rPr>
          <w:rFonts w:ascii="Times New Roman" w:hAnsi="Times New Roman" w:eastAsia="楷体_GB2312" w:cs="Times New Roman"/>
          <w:sz w:val="28"/>
        </w:rPr>
        <w:t>——某自然条件的综合评价指数或等级值；</w:t>
      </w:r>
    </w:p>
    <w:p w14:paraId="5BC6E0E0">
      <w:pPr>
        <w:pStyle w:val="20"/>
        <w:spacing w:line="480" w:lineRule="exact"/>
        <w:ind w:firstLine="1400" w:firstLineChars="500"/>
        <w:rPr>
          <w:rFonts w:ascii="Times New Roman" w:hAnsi="Times New Roman" w:eastAsia="楷体_GB2312" w:cs="Times New Roman"/>
          <w:sz w:val="28"/>
        </w:rPr>
      </w:pPr>
      <w:r>
        <w:rPr>
          <w:rFonts w:ascii="Times New Roman" w:hAnsi="Times New Roman" w:eastAsia="楷体_GB2312" w:cs="Times New Roman"/>
          <w:position w:val="-6"/>
          <w:sz w:val="28"/>
        </w:rPr>
        <w:object>
          <v:shape id="_x0000_i1078" o:spt="75" type="#_x0000_t75" style="height:16pt;width:31.95pt;" o:ole="t" filled="f" o:preferrelative="t" stroked="f" coordsize="21600,21600">
            <v:path/>
            <v:fill on="f" alignshape="1" focussize="0,0"/>
            <v:stroke on="f"/>
            <v:imagedata r:id="rId110" o:title=""/>
            <o:lock v:ext="edit" aspectratio="t"/>
            <w10:wrap type="none"/>
            <w10:anchorlock/>
          </v:shape>
          <o:OLEObject Type="Embed" ProgID="Equation.3" ShapeID="_x0000_i1078" DrawAspect="Content" ObjectID="_1468075778" r:id="rId116">
            <o:LockedField>false</o:LockedField>
          </o:OLEObject>
        </w:object>
      </w:r>
      <w:r>
        <w:rPr>
          <w:rFonts w:ascii="Times New Roman" w:hAnsi="Times New Roman" w:eastAsia="楷体_GB2312" w:cs="Times New Roman"/>
          <w:sz w:val="28"/>
        </w:rPr>
        <w:t>——某自然条件的综合评价指数或等级值的最劣值；</w:t>
      </w:r>
    </w:p>
    <w:p w14:paraId="58E45E54">
      <w:pPr>
        <w:spacing w:line="460" w:lineRule="exact"/>
        <w:ind w:firstLine="1400" w:firstLineChars="500"/>
        <w:rPr>
          <w:rFonts w:eastAsia="楷体_GB2312"/>
          <w:sz w:val="28"/>
        </w:rPr>
      </w:pPr>
      <w:r>
        <w:rPr>
          <w:rFonts w:eastAsia="楷体_GB2312"/>
          <w:position w:val="-6"/>
          <w:sz w:val="28"/>
        </w:rPr>
        <w:object>
          <v:shape id="_x0000_i1079" o:spt="75" type="#_x0000_t75" style="height:16pt;width:34pt;" o:ole="t" filled="f" o:preferrelative="t" stroked="f" coordsize="21600,21600">
            <v:path/>
            <v:fill on="f" alignshape="1" focussize="0,0"/>
            <v:stroke on="f"/>
            <v:imagedata r:id="rId112" o:title=""/>
            <o:lock v:ext="edit" aspectratio="t"/>
            <w10:wrap type="none"/>
            <w10:anchorlock/>
          </v:shape>
          <o:OLEObject Type="Embed" ProgID="Equation.3" ShapeID="_x0000_i1079" DrawAspect="Content" ObjectID="_1468075779" r:id="rId117">
            <o:LockedField>false</o:LockedField>
          </o:OLEObject>
        </w:object>
      </w:r>
      <w:r>
        <w:rPr>
          <w:rFonts w:eastAsia="楷体_GB2312"/>
          <w:sz w:val="28"/>
        </w:rPr>
        <w:t>——某自然条件的综合评价指数或等级值的最优值。</w:t>
      </w:r>
    </w:p>
    <w:p w14:paraId="03B45FC1">
      <w:pPr>
        <w:spacing w:line="480" w:lineRule="exact"/>
        <w:jc w:val="center"/>
        <w:rPr>
          <w:rFonts w:eastAsia="黑体"/>
          <w:sz w:val="28"/>
        </w:rPr>
      </w:pPr>
      <w:r>
        <w:rPr>
          <w:rFonts w:eastAsia="黑体"/>
          <w:sz w:val="28"/>
        </w:rPr>
        <w:br w:type="page"/>
      </w:r>
      <w:r>
        <w:rPr>
          <w:rFonts w:eastAsia="黑体"/>
          <w:sz w:val="28"/>
        </w:rPr>
        <w:t>表1-3-</w:t>
      </w:r>
      <w:r>
        <w:rPr>
          <w:rFonts w:hint="eastAsia" w:eastAsia="黑体"/>
          <w:sz w:val="28"/>
        </w:rPr>
        <w:t>48</w:t>
      </w:r>
      <w:r>
        <w:rPr>
          <w:rFonts w:eastAsia="黑体"/>
          <w:sz w:val="28"/>
        </w:rPr>
        <w:t xml:space="preserve">  各乡镇镇区综合自然条件作用分表</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58"/>
        <w:gridCol w:w="851"/>
        <w:gridCol w:w="5046"/>
        <w:gridCol w:w="794"/>
        <w:gridCol w:w="359"/>
        <w:gridCol w:w="569"/>
      </w:tblGrid>
      <w:tr w14:paraId="22F26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65147DFC">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序号</w:t>
            </w:r>
          </w:p>
        </w:tc>
        <w:tc>
          <w:tcPr>
            <w:tcW w:w="958" w:type="dxa"/>
            <w:noWrap w:val="0"/>
            <w:vAlign w:val="center"/>
          </w:tcPr>
          <w:p w14:paraId="046D1541">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乡镇名称</w:t>
            </w:r>
          </w:p>
        </w:tc>
        <w:tc>
          <w:tcPr>
            <w:tcW w:w="851" w:type="dxa"/>
            <w:noWrap w:val="0"/>
            <w:vAlign w:val="center"/>
          </w:tcPr>
          <w:p w14:paraId="43CD4D99">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评价区域编号</w:t>
            </w:r>
          </w:p>
        </w:tc>
        <w:tc>
          <w:tcPr>
            <w:tcW w:w="5046" w:type="dxa"/>
            <w:noWrap w:val="0"/>
            <w:vAlign w:val="center"/>
          </w:tcPr>
          <w:p w14:paraId="5271D3F2">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分布范围</w:t>
            </w:r>
          </w:p>
        </w:tc>
        <w:tc>
          <w:tcPr>
            <w:tcW w:w="794" w:type="dxa"/>
            <w:noWrap w:val="0"/>
            <w:vAlign w:val="center"/>
          </w:tcPr>
          <w:p w14:paraId="05D4FC85">
            <w:pPr>
              <w:ind w:left="-105" w:leftChars="-50" w:right="-105" w:rightChars="-50"/>
              <w:jc w:val="center"/>
              <w:rPr>
                <w:rFonts w:eastAsia="楷体_GB2312"/>
                <w:color w:val="000000"/>
                <w:kern w:val="0"/>
                <w:szCs w:val="21"/>
              </w:rPr>
            </w:pPr>
            <w:r>
              <w:rPr>
                <w:rFonts w:eastAsia="楷体_GB2312"/>
                <w:color w:val="000000"/>
                <w:kern w:val="0"/>
                <w:szCs w:val="21"/>
              </w:rPr>
              <w:t>综合评价指数</w:t>
            </w:r>
          </w:p>
        </w:tc>
        <w:tc>
          <w:tcPr>
            <w:tcW w:w="0" w:type="auto"/>
            <w:noWrap w:val="0"/>
            <w:vAlign w:val="center"/>
          </w:tcPr>
          <w:p w14:paraId="21C0B640">
            <w:pPr>
              <w:ind w:left="-105" w:leftChars="-50" w:right="-105" w:rightChars="-50"/>
              <w:jc w:val="center"/>
              <w:rPr>
                <w:rFonts w:eastAsia="楷体_GB2312"/>
                <w:color w:val="000000"/>
                <w:kern w:val="0"/>
                <w:szCs w:val="21"/>
              </w:rPr>
            </w:pPr>
            <w:r>
              <w:rPr>
                <w:rFonts w:eastAsia="楷体_GB2312"/>
                <w:color w:val="000000"/>
                <w:kern w:val="0"/>
                <w:szCs w:val="21"/>
              </w:rPr>
              <w:t>级别</w:t>
            </w:r>
          </w:p>
        </w:tc>
        <w:tc>
          <w:tcPr>
            <w:tcW w:w="0" w:type="auto"/>
            <w:noWrap w:val="0"/>
            <w:vAlign w:val="center"/>
          </w:tcPr>
          <w:p w14:paraId="3BE1F0BD">
            <w:pPr>
              <w:ind w:left="-105" w:leftChars="-50" w:right="-105" w:rightChars="-50"/>
              <w:jc w:val="center"/>
              <w:rPr>
                <w:rFonts w:eastAsia="楷体_GB2312"/>
                <w:color w:val="000000"/>
                <w:kern w:val="0"/>
                <w:szCs w:val="21"/>
              </w:rPr>
            </w:pPr>
            <w:r>
              <w:rPr>
                <w:rFonts w:eastAsia="楷体_GB2312"/>
                <w:color w:val="000000"/>
                <w:kern w:val="0"/>
                <w:szCs w:val="21"/>
              </w:rPr>
              <w:t>作用分</w:t>
            </w:r>
          </w:p>
        </w:tc>
      </w:tr>
      <w:tr w14:paraId="4601F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576C872C">
            <w:pPr>
              <w:jc w:val="center"/>
              <w:rPr>
                <w:color w:val="000000"/>
                <w:kern w:val="0"/>
                <w:szCs w:val="21"/>
              </w:rPr>
            </w:pPr>
            <w:r>
              <w:rPr>
                <w:color w:val="000000"/>
                <w:kern w:val="0"/>
                <w:szCs w:val="21"/>
              </w:rPr>
              <w:t>1</w:t>
            </w:r>
          </w:p>
        </w:tc>
        <w:tc>
          <w:tcPr>
            <w:tcW w:w="958" w:type="dxa"/>
            <w:vMerge w:val="restart"/>
            <w:noWrap w:val="0"/>
            <w:vAlign w:val="center"/>
          </w:tcPr>
          <w:p w14:paraId="09D4CE11">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符离镇</w:t>
            </w:r>
          </w:p>
        </w:tc>
        <w:tc>
          <w:tcPr>
            <w:tcW w:w="851" w:type="dxa"/>
            <w:noWrap w:val="0"/>
            <w:vAlign w:val="center"/>
          </w:tcPr>
          <w:p w14:paraId="69BCEB0D">
            <w:pPr>
              <w:jc w:val="center"/>
              <w:rPr>
                <w:color w:val="000000"/>
                <w:kern w:val="0"/>
                <w:szCs w:val="21"/>
              </w:rPr>
            </w:pPr>
            <w:r>
              <w:rPr>
                <w:color w:val="000000"/>
                <w:kern w:val="0"/>
                <w:szCs w:val="21"/>
              </w:rPr>
              <w:t>1</w:t>
            </w:r>
          </w:p>
        </w:tc>
        <w:tc>
          <w:tcPr>
            <w:tcW w:w="5046" w:type="dxa"/>
            <w:noWrap w:val="0"/>
            <w:vAlign w:val="center"/>
          </w:tcPr>
          <w:p w14:paraId="06545C01">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东至京沪铁路，南至中华路，西至人民路，北至育才路</w:t>
            </w:r>
          </w:p>
        </w:tc>
        <w:tc>
          <w:tcPr>
            <w:tcW w:w="794" w:type="dxa"/>
            <w:noWrap w:val="0"/>
            <w:vAlign w:val="center"/>
          </w:tcPr>
          <w:p w14:paraId="1408DFDD">
            <w:pPr>
              <w:jc w:val="center"/>
              <w:rPr>
                <w:color w:val="000000"/>
                <w:kern w:val="0"/>
                <w:szCs w:val="21"/>
              </w:rPr>
            </w:pPr>
            <w:r>
              <w:rPr>
                <w:color w:val="000000"/>
                <w:kern w:val="0"/>
                <w:szCs w:val="21"/>
              </w:rPr>
              <w:t>1.0000</w:t>
            </w:r>
          </w:p>
        </w:tc>
        <w:tc>
          <w:tcPr>
            <w:tcW w:w="0" w:type="auto"/>
            <w:noWrap w:val="0"/>
            <w:vAlign w:val="center"/>
          </w:tcPr>
          <w:p w14:paraId="79FB599B">
            <w:pPr>
              <w:jc w:val="center"/>
              <w:rPr>
                <w:color w:val="000000"/>
                <w:kern w:val="0"/>
                <w:szCs w:val="21"/>
              </w:rPr>
            </w:pPr>
            <w:r>
              <w:rPr>
                <w:color w:val="000000"/>
                <w:kern w:val="0"/>
                <w:szCs w:val="21"/>
              </w:rPr>
              <w:t>1</w:t>
            </w:r>
          </w:p>
        </w:tc>
        <w:tc>
          <w:tcPr>
            <w:tcW w:w="0" w:type="auto"/>
            <w:noWrap/>
            <w:vAlign w:val="center"/>
          </w:tcPr>
          <w:p w14:paraId="13F0D915">
            <w:pPr>
              <w:jc w:val="center"/>
              <w:rPr>
                <w:color w:val="000000"/>
                <w:kern w:val="0"/>
                <w:szCs w:val="21"/>
              </w:rPr>
            </w:pPr>
            <w:r>
              <w:rPr>
                <w:color w:val="000000"/>
                <w:kern w:val="0"/>
                <w:szCs w:val="21"/>
              </w:rPr>
              <w:t>100</w:t>
            </w:r>
          </w:p>
        </w:tc>
      </w:tr>
      <w:tr w14:paraId="25322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5DCC95F9">
            <w:pPr>
              <w:rPr>
                <w:color w:val="000000"/>
                <w:kern w:val="0"/>
                <w:szCs w:val="21"/>
              </w:rPr>
            </w:pPr>
          </w:p>
        </w:tc>
        <w:tc>
          <w:tcPr>
            <w:tcW w:w="958" w:type="dxa"/>
            <w:vMerge w:val="continue"/>
            <w:noWrap w:val="0"/>
            <w:vAlign w:val="center"/>
          </w:tcPr>
          <w:p w14:paraId="2C92735B">
            <w:pPr>
              <w:ind w:left="-105" w:leftChars="-50" w:right="-105" w:rightChars="-50"/>
              <w:rPr>
                <w:rFonts w:ascii="楷体_GB2312" w:hAnsi="宋体" w:eastAsia="楷体_GB2312" w:cs="宋体"/>
                <w:color w:val="000000"/>
                <w:kern w:val="0"/>
                <w:szCs w:val="21"/>
              </w:rPr>
            </w:pPr>
          </w:p>
        </w:tc>
        <w:tc>
          <w:tcPr>
            <w:tcW w:w="851" w:type="dxa"/>
            <w:noWrap w:val="0"/>
            <w:vAlign w:val="center"/>
          </w:tcPr>
          <w:p w14:paraId="0FAED28F">
            <w:pPr>
              <w:jc w:val="center"/>
              <w:rPr>
                <w:color w:val="000000"/>
                <w:kern w:val="0"/>
                <w:szCs w:val="21"/>
              </w:rPr>
            </w:pPr>
            <w:r>
              <w:rPr>
                <w:color w:val="000000"/>
                <w:kern w:val="0"/>
                <w:szCs w:val="21"/>
              </w:rPr>
              <w:t>2</w:t>
            </w:r>
          </w:p>
        </w:tc>
        <w:tc>
          <w:tcPr>
            <w:tcW w:w="5046" w:type="dxa"/>
            <w:noWrap w:val="0"/>
            <w:vAlign w:val="center"/>
          </w:tcPr>
          <w:p w14:paraId="06D7B80B">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东至京沪铁路、港口路，南至滨河路，西至景玉路西侧规划道路，北至北环路、山前路</w:t>
            </w:r>
          </w:p>
        </w:tc>
        <w:tc>
          <w:tcPr>
            <w:tcW w:w="794" w:type="dxa"/>
            <w:noWrap w:val="0"/>
            <w:vAlign w:val="center"/>
          </w:tcPr>
          <w:p w14:paraId="489D7EB9">
            <w:pPr>
              <w:jc w:val="center"/>
              <w:rPr>
                <w:color w:val="000000"/>
                <w:kern w:val="0"/>
                <w:szCs w:val="21"/>
              </w:rPr>
            </w:pPr>
            <w:r>
              <w:rPr>
                <w:color w:val="000000"/>
                <w:kern w:val="0"/>
                <w:szCs w:val="21"/>
              </w:rPr>
              <w:t>0.8333</w:t>
            </w:r>
          </w:p>
        </w:tc>
        <w:tc>
          <w:tcPr>
            <w:tcW w:w="0" w:type="auto"/>
            <w:noWrap w:val="0"/>
            <w:vAlign w:val="center"/>
          </w:tcPr>
          <w:p w14:paraId="2EA0356C">
            <w:pPr>
              <w:jc w:val="center"/>
              <w:rPr>
                <w:color w:val="000000"/>
                <w:kern w:val="0"/>
                <w:szCs w:val="21"/>
              </w:rPr>
            </w:pPr>
            <w:r>
              <w:rPr>
                <w:color w:val="000000"/>
                <w:kern w:val="0"/>
                <w:szCs w:val="21"/>
              </w:rPr>
              <w:t>2</w:t>
            </w:r>
          </w:p>
        </w:tc>
        <w:tc>
          <w:tcPr>
            <w:tcW w:w="0" w:type="auto"/>
            <w:noWrap/>
            <w:vAlign w:val="center"/>
          </w:tcPr>
          <w:p w14:paraId="2A109843">
            <w:pPr>
              <w:jc w:val="center"/>
              <w:rPr>
                <w:color w:val="000000"/>
                <w:kern w:val="0"/>
                <w:szCs w:val="21"/>
              </w:rPr>
            </w:pPr>
            <w:r>
              <w:rPr>
                <w:color w:val="000000"/>
                <w:kern w:val="0"/>
                <w:szCs w:val="21"/>
              </w:rPr>
              <w:t>50</w:t>
            </w:r>
          </w:p>
        </w:tc>
      </w:tr>
      <w:tr w14:paraId="216C9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5FF49300">
            <w:pPr>
              <w:rPr>
                <w:color w:val="000000"/>
                <w:kern w:val="0"/>
                <w:szCs w:val="21"/>
              </w:rPr>
            </w:pPr>
          </w:p>
        </w:tc>
        <w:tc>
          <w:tcPr>
            <w:tcW w:w="958" w:type="dxa"/>
            <w:vMerge w:val="continue"/>
            <w:noWrap w:val="0"/>
            <w:vAlign w:val="center"/>
          </w:tcPr>
          <w:p w14:paraId="25AED906">
            <w:pPr>
              <w:ind w:left="-105" w:leftChars="-50" w:right="-105" w:rightChars="-50"/>
              <w:rPr>
                <w:rFonts w:ascii="楷体_GB2312" w:hAnsi="宋体" w:eastAsia="楷体_GB2312" w:cs="宋体"/>
                <w:color w:val="000000"/>
                <w:kern w:val="0"/>
                <w:szCs w:val="21"/>
              </w:rPr>
            </w:pPr>
          </w:p>
        </w:tc>
        <w:tc>
          <w:tcPr>
            <w:tcW w:w="851" w:type="dxa"/>
            <w:noWrap w:val="0"/>
            <w:vAlign w:val="center"/>
          </w:tcPr>
          <w:p w14:paraId="680D5938">
            <w:pPr>
              <w:jc w:val="center"/>
              <w:rPr>
                <w:color w:val="000000"/>
                <w:kern w:val="0"/>
                <w:szCs w:val="21"/>
              </w:rPr>
            </w:pPr>
            <w:r>
              <w:rPr>
                <w:color w:val="000000"/>
                <w:kern w:val="0"/>
                <w:szCs w:val="21"/>
              </w:rPr>
              <w:t>3</w:t>
            </w:r>
          </w:p>
        </w:tc>
        <w:tc>
          <w:tcPr>
            <w:tcW w:w="5046" w:type="dxa"/>
            <w:noWrap w:val="0"/>
            <w:vAlign w:val="center"/>
          </w:tcPr>
          <w:p w14:paraId="40DC073C">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94" w:type="dxa"/>
            <w:noWrap/>
            <w:vAlign w:val="center"/>
          </w:tcPr>
          <w:p w14:paraId="090F34C4">
            <w:pPr>
              <w:jc w:val="center"/>
              <w:rPr>
                <w:color w:val="000000"/>
                <w:kern w:val="0"/>
                <w:szCs w:val="21"/>
              </w:rPr>
            </w:pPr>
            <w:r>
              <w:rPr>
                <w:color w:val="000000"/>
                <w:kern w:val="0"/>
                <w:szCs w:val="21"/>
              </w:rPr>
              <w:t>0.6667</w:t>
            </w:r>
          </w:p>
        </w:tc>
        <w:tc>
          <w:tcPr>
            <w:tcW w:w="0" w:type="auto"/>
            <w:noWrap w:val="0"/>
            <w:vAlign w:val="center"/>
          </w:tcPr>
          <w:p w14:paraId="37EFE8CC">
            <w:pPr>
              <w:jc w:val="center"/>
              <w:rPr>
                <w:color w:val="000000"/>
                <w:kern w:val="0"/>
                <w:szCs w:val="21"/>
              </w:rPr>
            </w:pPr>
            <w:r>
              <w:rPr>
                <w:color w:val="000000"/>
                <w:kern w:val="0"/>
                <w:szCs w:val="21"/>
              </w:rPr>
              <w:t>3</w:t>
            </w:r>
          </w:p>
        </w:tc>
        <w:tc>
          <w:tcPr>
            <w:tcW w:w="0" w:type="auto"/>
            <w:noWrap/>
            <w:vAlign w:val="center"/>
          </w:tcPr>
          <w:p w14:paraId="340D157F">
            <w:pPr>
              <w:jc w:val="center"/>
              <w:rPr>
                <w:color w:val="000000"/>
                <w:kern w:val="0"/>
                <w:szCs w:val="21"/>
              </w:rPr>
            </w:pPr>
            <w:r>
              <w:rPr>
                <w:color w:val="000000"/>
                <w:kern w:val="0"/>
                <w:szCs w:val="21"/>
              </w:rPr>
              <w:t>0</w:t>
            </w:r>
          </w:p>
        </w:tc>
      </w:tr>
      <w:tr w14:paraId="08B4A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149B1FC0">
            <w:pPr>
              <w:jc w:val="center"/>
              <w:rPr>
                <w:color w:val="000000"/>
                <w:kern w:val="0"/>
                <w:szCs w:val="21"/>
              </w:rPr>
            </w:pPr>
            <w:r>
              <w:rPr>
                <w:color w:val="000000"/>
                <w:kern w:val="0"/>
                <w:szCs w:val="21"/>
              </w:rPr>
              <w:t>2</w:t>
            </w:r>
          </w:p>
        </w:tc>
        <w:tc>
          <w:tcPr>
            <w:tcW w:w="958" w:type="dxa"/>
            <w:vMerge w:val="restart"/>
            <w:noWrap w:val="0"/>
            <w:vAlign w:val="center"/>
          </w:tcPr>
          <w:p w14:paraId="43A594EB">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朱仙庄镇</w:t>
            </w:r>
          </w:p>
        </w:tc>
        <w:tc>
          <w:tcPr>
            <w:tcW w:w="851" w:type="dxa"/>
            <w:noWrap w:val="0"/>
            <w:vAlign w:val="center"/>
          </w:tcPr>
          <w:p w14:paraId="527EDD43">
            <w:pPr>
              <w:jc w:val="center"/>
              <w:rPr>
                <w:color w:val="000000"/>
                <w:kern w:val="0"/>
                <w:szCs w:val="21"/>
              </w:rPr>
            </w:pPr>
            <w:r>
              <w:rPr>
                <w:color w:val="000000"/>
                <w:kern w:val="0"/>
                <w:szCs w:val="21"/>
              </w:rPr>
              <w:t>1</w:t>
            </w:r>
          </w:p>
        </w:tc>
        <w:tc>
          <w:tcPr>
            <w:tcW w:w="5046" w:type="dxa"/>
            <w:noWrap w:val="0"/>
            <w:vAlign w:val="center"/>
          </w:tcPr>
          <w:p w14:paraId="0F6F6646">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东至环湖路，南至汴河东路，西至二徐路，北至北沱河、纬五路</w:t>
            </w:r>
          </w:p>
        </w:tc>
        <w:tc>
          <w:tcPr>
            <w:tcW w:w="794" w:type="dxa"/>
            <w:noWrap w:val="0"/>
            <w:vAlign w:val="center"/>
          </w:tcPr>
          <w:p w14:paraId="08AD4BD5">
            <w:pPr>
              <w:jc w:val="center"/>
              <w:rPr>
                <w:color w:val="000000"/>
                <w:kern w:val="0"/>
                <w:szCs w:val="21"/>
              </w:rPr>
            </w:pPr>
            <w:r>
              <w:rPr>
                <w:color w:val="000000"/>
                <w:kern w:val="0"/>
                <w:szCs w:val="21"/>
              </w:rPr>
              <w:t>1.0000</w:t>
            </w:r>
          </w:p>
        </w:tc>
        <w:tc>
          <w:tcPr>
            <w:tcW w:w="0" w:type="auto"/>
            <w:noWrap w:val="0"/>
            <w:vAlign w:val="center"/>
          </w:tcPr>
          <w:p w14:paraId="2A78E08F">
            <w:pPr>
              <w:jc w:val="center"/>
              <w:rPr>
                <w:color w:val="000000"/>
                <w:kern w:val="0"/>
                <w:szCs w:val="21"/>
              </w:rPr>
            </w:pPr>
            <w:r>
              <w:rPr>
                <w:color w:val="000000"/>
                <w:kern w:val="0"/>
                <w:szCs w:val="21"/>
              </w:rPr>
              <w:t>1</w:t>
            </w:r>
          </w:p>
        </w:tc>
        <w:tc>
          <w:tcPr>
            <w:tcW w:w="0" w:type="auto"/>
            <w:noWrap/>
            <w:vAlign w:val="center"/>
          </w:tcPr>
          <w:p w14:paraId="37E6FDF7">
            <w:pPr>
              <w:jc w:val="center"/>
              <w:rPr>
                <w:color w:val="000000"/>
                <w:kern w:val="0"/>
                <w:szCs w:val="21"/>
              </w:rPr>
            </w:pPr>
            <w:r>
              <w:rPr>
                <w:color w:val="000000"/>
                <w:kern w:val="0"/>
                <w:szCs w:val="21"/>
              </w:rPr>
              <w:t>100</w:t>
            </w:r>
          </w:p>
        </w:tc>
      </w:tr>
      <w:tr w14:paraId="75FE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6971429D">
            <w:pPr>
              <w:rPr>
                <w:color w:val="000000"/>
                <w:kern w:val="0"/>
                <w:szCs w:val="21"/>
              </w:rPr>
            </w:pPr>
          </w:p>
        </w:tc>
        <w:tc>
          <w:tcPr>
            <w:tcW w:w="958" w:type="dxa"/>
            <w:vMerge w:val="continue"/>
            <w:noWrap w:val="0"/>
            <w:vAlign w:val="center"/>
          </w:tcPr>
          <w:p w14:paraId="4DB05A40">
            <w:pPr>
              <w:ind w:left="-105" w:leftChars="-50" w:right="-105" w:rightChars="-50"/>
              <w:rPr>
                <w:rFonts w:ascii="楷体_GB2312" w:hAnsi="宋体" w:eastAsia="楷体_GB2312" w:cs="宋体"/>
                <w:color w:val="000000"/>
                <w:kern w:val="0"/>
                <w:szCs w:val="21"/>
              </w:rPr>
            </w:pPr>
          </w:p>
        </w:tc>
        <w:tc>
          <w:tcPr>
            <w:tcW w:w="851" w:type="dxa"/>
            <w:noWrap w:val="0"/>
            <w:vAlign w:val="center"/>
          </w:tcPr>
          <w:p w14:paraId="39851832">
            <w:pPr>
              <w:jc w:val="center"/>
              <w:rPr>
                <w:color w:val="000000"/>
                <w:kern w:val="0"/>
                <w:szCs w:val="21"/>
              </w:rPr>
            </w:pPr>
            <w:r>
              <w:rPr>
                <w:color w:val="000000"/>
                <w:kern w:val="0"/>
                <w:szCs w:val="21"/>
              </w:rPr>
              <w:t>2</w:t>
            </w:r>
          </w:p>
        </w:tc>
        <w:tc>
          <w:tcPr>
            <w:tcW w:w="5046" w:type="dxa"/>
            <w:noWrap w:val="0"/>
            <w:vAlign w:val="center"/>
          </w:tcPr>
          <w:p w14:paraId="521952D4">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794" w:type="dxa"/>
            <w:noWrap w:val="0"/>
            <w:vAlign w:val="center"/>
          </w:tcPr>
          <w:p w14:paraId="173D33AE">
            <w:pPr>
              <w:jc w:val="center"/>
              <w:rPr>
                <w:color w:val="000000"/>
                <w:kern w:val="0"/>
                <w:szCs w:val="21"/>
              </w:rPr>
            </w:pPr>
            <w:r>
              <w:rPr>
                <w:color w:val="000000"/>
                <w:kern w:val="0"/>
                <w:szCs w:val="21"/>
              </w:rPr>
              <w:t>0.8333</w:t>
            </w:r>
          </w:p>
        </w:tc>
        <w:tc>
          <w:tcPr>
            <w:tcW w:w="0" w:type="auto"/>
            <w:noWrap w:val="0"/>
            <w:vAlign w:val="center"/>
          </w:tcPr>
          <w:p w14:paraId="02764673">
            <w:pPr>
              <w:jc w:val="center"/>
              <w:rPr>
                <w:color w:val="000000"/>
                <w:kern w:val="0"/>
                <w:szCs w:val="21"/>
              </w:rPr>
            </w:pPr>
            <w:r>
              <w:rPr>
                <w:color w:val="000000"/>
                <w:kern w:val="0"/>
                <w:szCs w:val="21"/>
              </w:rPr>
              <w:t>2</w:t>
            </w:r>
          </w:p>
        </w:tc>
        <w:tc>
          <w:tcPr>
            <w:tcW w:w="0" w:type="auto"/>
            <w:noWrap/>
            <w:vAlign w:val="center"/>
          </w:tcPr>
          <w:p w14:paraId="269CBF08">
            <w:pPr>
              <w:jc w:val="center"/>
              <w:rPr>
                <w:color w:val="000000"/>
                <w:kern w:val="0"/>
                <w:szCs w:val="21"/>
              </w:rPr>
            </w:pPr>
            <w:r>
              <w:rPr>
                <w:color w:val="000000"/>
                <w:kern w:val="0"/>
                <w:szCs w:val="21"/>
              </w:rPr>
              <w:t>0</w:t>
            </w:r>
          </w:p>
        </w:tc>
      </w:tr>
      <w:tr w14:paraId="2CF77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4792E811">
            <w:pPr>
              <w:jc w:val="center"/>
              <w:rPr>
                <w:color w:val="000000"/>
                <w:kern w:val="0"/>
                <w:szCs w:val="21"/>
              </w:rPr>
            </w:pPr>
            <w:r>
              <w:rPr>
                <w:color w:val="000000"/>
                <w:kern w:val="0"/>
                <w:szCs w:val="21"/>
              </w:rPr>
              <w:t>3</w:t>
            </w:r>
          </w:p>
        </w:tc>
        <w:tc>
          <w:tcPr>
            <w:tcW w:w="958" w:type="dxa"/>
            <w:vMerge w:val="restart"/>
            <w:noWrap w:val="0"/>
            <w:vAlign w:val="center"/>
          </w:tcPr>
          <w:p w14:paraId="3BA6B68F">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蕲县镇</w:t>
            </w:r>
          </w:p>
        </w:tc>
        <w:tc>
          <w:tcPr>
            <w:tcW w:w="851" w:type="dxa"/>
            <w:noWrap w:val="0"/>
            <w:vAlign w:val="center"/>
          </w:tcPr>
          <w:p w14:paraId="46AABE12">
            <w:pPr>
              <w:jc w:val="center"/>
              <w:rPr>
                <w:color w:val="000000"/>
                <w:kern w:val="0"/>
                <w:szCs w:val="21"/>
              </w:rPr>
            </w:pPr>
            <w:r>
              <w:rPr>
                <w:color w:val="000000"/>
                <w:kern w:val="0"/>
                <w:szCs w:val="21"/>
              </w:rPr>
              <w:t>1</w:t>
            </w:r>
          </w:p>
        </w:tc>
        <w:tc>
          <w:tcPr>
            <w:tcW w:w="5046" w:type="dxa"/>
            <w:noWrap w:val="0"/>
            <w:vAlign w:val="center"/>
          </w:tcPr>
          <w:p w14:paraId="4AE54EDF">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w:t>
            </w:r>
            <w:r>
              <w:rPr>
                <w:rFonts w:eastAsia="楷体_GB2312"/>
                <w:color w:val="000000"/>
                <w:kern w:val="0"/>
                <w:szCs w:val="21"/>
              </w:rPr>
              <w:t>206</w:t>
            </w:r>
            <w:r>
              <w:rPr>
                <w:rFonts w:hint="eastAsia" w:ascii="楷体_GB2312" w:hAnsi="宋体" w:eastAsia="楷体_GB2312" w:cs="宋体"/>
                <w:color w:val="000000"/>
                <w:kern w:val="0"/>
                <w:szCs w:val="21"/>
              </w:rPr>
              <w:t>国道，南至浍河，西至浍水路，北至古城路</w:t>
            </w:r>
          </w:p>
        </w:tc>
        <w:tc>
          <w:tcPr>
            <w:tcW w:w="794" w:type="dxa"/>
            <w:noWrap w:val="0"/>
            <w:vAlign w:val="center"/>
          </w:tcPr>
          <w:p w14:paraId="4863AD5B">
            <w:pPr>
              <w:jc w:val="center"/>
              <w:rPr>
                <w:color w:val="000000"/>
                <w:kern w:val="0"/>
                <w:szCs w:val="21"/>
              </w:rPr>
            </w:pPr>
            <w:r>
              <w:rPr>
                <w:color w:val="000000"/>
                <w:kern w:val="0"/>
                <w:szCs w:val="21"/>
              </w:rPr>
              <w:t>1.0000</w:t>
            </w:r>
          </w:p>
        </w:tc>
        <w:tc>
          <w:tcPr>
            <w:tcW w:w="0" w:type="auto"/>
            <w:noWrap w:val="0"/>
            <w:vAlign w:val="center"/>
          </w:tcPr>
          <w:p w14:paraId="01C6BCCB">
            <w:pPr>
              <w:jc w:val="center"/>
              <w:rPr>
                <w:color w:val="000000"/>
                <w:kern w:val="0"/>
                <w:szCs w:val="21"/>
              </w:rPr>
            </w:pPr>
            <w:r>
              <w:rPr>
                <w:color w:val="000000"/>
                <w:kern w:val="0"/>
                <w:szCs w:val="21"/>
              </w:rPr>
              <w:t>1</w:t>
            </w:r>
          </w:p>
        </w:tc>
        <w:tc>
          <w:tcPr>
            <w:tcW w:w="0" w:type="auto"/>
            <w:noWrap/>
            <w:vAlign w:val="center"/>
          </w:tcPr>
          <w:p w14:paraId="5DF3FF7E">
            <w:pPr>
              <w:jc w:val="center"/>
              <w:rPr>
                <w:color w:val="000000"/>
                <w:kern w:val="0"/>
                <w:szCs w:val="21"/>
              </w:rPr>
            </w:pPr>
            <w:r>
              <w:rPr>
                <w:color w:val="000000"/>
                <w:kern w:val="0"/>
                <w:szCs w:val="21"/>
              </w:rPr>
              <w:t>100</w:t>
            </w:r>
          </w:p>
        </w:tc>
      </w:tr>
      <w:tr w14:paraId="588C2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50E2CC76">
            <w:pPr>
              <w:rPr>
                <w:color w:val="000000"/>
                <w:kern w:val="0"/>
                <w:szCs w:val="21"/>
              </w:rPr>
            </w:pPr>
          </w:p>
        </w:tc>
        <w:tc>
          <w:tcPr>
            <w:tcW w:w="958" w:type="dxa"/>
            <w:vMerge w:val="continue"/>
            <w:noWrap w:val="0"/>
            <w:vAlign w:val="center"/>
          </w:tcPr>
          <w:p w14:paraId="535A42AC">
            <w:pPr>
              <w:ind w:left="-105" w:leftChars="-50" w:right="-105" w:rightChars="-50"/>
              <w:rPr>
                <w:rFonts w:ascii="楷体_GB2312" w:hAnsi="宋体" w:eastAsia="楷体_GB2312" w:cs="宋体"/>
                <w:color w:val="000000"/>
                <w:kern w:val="0"/>
                <w:szCs w:val="21"/>
              </w:rPr>
            </w:pPr>
          </w:p>
        </w:tc>
        <w:tc>
          <w:tcPr>
            <w:tcW w:w="851" w:type="dxa"/>
            <w:noWrap w:val="0"/>
            <w:vAlign w:val="center"/>
          </w:tcPr>
          <w:p w14:paraId="7AB2CE25">
            <w:pPr>
              <w:jc w:val="center"/>
              <w:rPr>
                <w:color w:val="000000"/>
                <w:kern w:val="0"/>
                <w:szCs w:val="21"/>
              </w:rPr>
            </w:pPr>
            <w:r>
              <w:rPr>
                <w:color w:val="000000"/>
                <w:kern w:val="0"/>
                <w:szCs w:val="21"/>
              </w:rPr>
              <w:t>2</w:t>
            </w:r>
          </w:p>
        </w:tc>
        <w:tc>
          <w:tcPr>
            <w:tcW w:w="5046" w:type="dxa"/>
            <w:noWrap w:val="0"/>
            <w:vAlign w:val="center"/>
          </w:tcPr>
          <w:p w14:paraId="43418277">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东至梅城路，南至浍河，西至</w:t>
            </w:r>
            <w:r>
              <w:rPr>
                <w:rFonts w:eastAsia="楷体_GB2312"/>
                <w:color w:val="000000"/>
                <w:kern w:val="0"/>
                <w:szCs w:val="21"/>
              </w:rPr>
              <w:t>206</w:t>
            </w:r>
            <w:r>
              <w:rPr>
                <w:rFonts w:hint="eastAsia" w:ascii="楷体_GB2312" w:hAnsi="宋体" w:eastAsia="楷体_GB2312" w:cs="宋体"/>
                <w:color w:val="000000"/>
                <w:kern w:val="0"/>
                <w:szCs w:val="21"/>
              </w:rPr>
              <w:t>国道、老街路、文苑路、浍河，北至鸿鹄路</w:t>
            </w:r>
          </w:p>
        </w:tc>
        <w:tc>
          <w:tcPr>
            <w:tcW w:w="794" w:type="dxa"/>
            <w:noWrap w:val="0"/>
            <w:vAlign w:val="center"/>
          </w:tcPr>
          <w:p w14:paraId="124ABB94">
            <w:pPr>
              <w:jc w:val="center"/>
              <w:rPr>
                <w:color w:val="000000"/>
                <w:kern w:val="0"/>
                <w:szCs w:val="21"/>
              </w:rPr>
            </w:pPr>
            <w:r>
              <w:rPr>
                <w:color w:val="000000"/>
                <w:kern w:val="0"/>
                <w:szCs w:val="21"/>
              </w:rPr>
              <w:t>0.8333</w:t>
            </w:r>
          </w:p>
        </w:tc>
        <w:tc>
          <w:tcPr>
            <w:tcW w:w="0" w:type="auto"/>
            <w:noWrap w:val="0"/>
            <w:vAlign w:val="center"/>
          </w:tcPr>
          <w:p w14:paraId="403401F8">
            <w:pPr>
              <w:jc w:val="center"/>
              <w:rPr>
                <w:color w:val="000000"/>
                <w:kern w:val="0"/>
                <w:szCs w:val="21"/>
              </w:rPr>
            </w:pPr>
            <w:r>
              <w:rPr>
                <w:color w:val="000000"/>
                <w:kern w:val="0"/>
                <w:szCs w:val="21"/>
              </w:rPr>
              <w:t>2</w:t>
            </w:r>
          </w:p>
        </w:tc>
        <w:tc>
          <w:tcPr>
            <w:tcW w:w="0" w:type="auto"/>
            <w:noWrap/>
            <w:vAlign w:val="center"/>
          </w:tcPr>
          <w:p w14:paraId="2040EAA3">
            <w:pPr>
              <w:jc w:val="center"/>
              <w:rPr>
                <w:color w:val="000000"/>
                <w:kern w:val="0"/>
                <w:szCs w:val="21"/>
              </w:rPr>
            </w:pPr>
            <w:r>
              <w:rPr>
                <w:color w:val="000000"/>
                <w:kern w:val="0"/>
                <w:szCs w:val="21"/>
              </w:rPr>
              <w:t>50</w:t>
            </w:r>
          </w:p>
        </w:tc>
      </w:tr>
      <w:tr w14:paraId="379DA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008C9928">
            <w:pPr>
              <w:rPr>
                <w:color w:val="000000"/>
                <w:kern w:val="0"/>
                <w:szCs w:val="21"/>
              </w:rPr>
            </w:pPr>
          </w:p>
        </w:tc>
        <w:tc>
          <w:tcPr>
            <w:tcW w:w="958" w:type="dxa"/>
            <w:vMerge w:val="continue"/>
            <w:noWrap w:val="0"/>
            <w:vAlign w:val="center"/>
          </w:tcPr>
          <w:p w14:paraId="38B132F1">
            <w:pPr>
              <w:ind w:left="-105" w:leftChars="-50" w:right="-105" w:rightChars="-50"/>
              <w:rPr>
                <w:rFonts w:ascii="楷体_GB2312" w:hAnsi="宋体" w:eastAsia="楷体_GB2312" w:cs="宋体"/>
                <w:color w:val="000000"/>
                <w:kern w:val="0"/>
                <w:szCs w:val="21"/>
              </w:rPr>
            </w:pPr>
          </w:p>
        </w:tc>
        <w:tc>
          <w:tcPr>
            <w:tcW w:w="851" w:type="dxa"/>
            <w:noWrap w:val="0"/>
            <w:vAlign w:val="center"/>
          </w:tcPr>
          <w:p w14:paraId="5B9F8F1D">
            <w:pPr>
              <w:jc w:val="center"/>
              <w:rPr>
                <w:color w:val="000000"/>
                <w:kern w:val="0"/>
                <w:szCs w:val="21"/>
              </w:rPr>
            </w:pPr>
            <w:r>
              <w:rPr>
                <w:color w:val="000000"/>
                <w:kern w:val="0"/>
                <w:szCs w:val="21"/>
              </w:rPr>
              <w:t>3</w:t>
            </w:r>
          </w:p>
        </w:tc>
        <w:tc>
          <w:tcPr>
            <w:tcW w:w="5046" w:type="dxa"/>
            <w:noWrap w:val="0"/>
            <w:vAlign w:val="center"/>
          </w:tcPr>
          <w:p w14:paraId="65484E70">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94" w:type="dxa"/>
            <w:noWrap/>
            <w:vAlign w:val="center"/>
          </w:tcPr>
          <w:p w14:paraId="797E504C">
            <w:pPr>
              <w:jc w:val="center"/>
              <w:rPr>
                <w:color w:val="000000"/>
                <w:kern w:val="0"/>
                <w:szCs w:val="21"/>
              </w:rPr>
            </w:pPr>
            <w:r>
              <w:rPr>
                <w:color w:val="000000"/>
                <w:kern w:val="0"/>
                <w:szCs w:val="21"/>
              </w:rPr>
              <w:t>0.6667</w:t>
            </w:r>
          </w:p>
        </w:tc>
        <w:tc>
          <w:tcPr>
            <w:tcW w:w="0" w:type="auto"/>
            <w:noWrap w:val="0"/>
            <w:vAlign w:val="center"/>
          </w:tcPr>
          <w:p w14:paraId="516FEB91">
            <w:pPr>
              <w:jc w:val="center"/>
              <w:rPr>
                <w:color w:val="000000"/>
                <w:kern w:val="0"/>
                <w:szCs w:val="21"/>
              </w:rPr>
            </w:pPr>
            <w:r>
              <w:rPr>
                <w:color w:val="000000"/>
                <w:kern w:val="0"/>
                <w:szCs w:val="21"/>
              </w:rPr>
              <w:t>3</w:t>
            </w:r>
          </w:p>
        </w:tc>
        <w:tc>
          <w:tcPr>
            <w:tcW w:w="0" w:type="auto"/>
            <w:noWrap/>
            <w:vAlign w:val="center"/>
          </w:tcPr>
          <w:p w14:paraId="1B23873F">
            <w:pPr>
              <w:jc w:val="center"/>
              <w:rPr>
                <w:color w:val="000000"/>
                <w:kern w:val="0"/>
                <w:szCs w:val="21"/>
              </w:rPr>
            </w:pPr>
            <w:r>
              <w:rPr>
                <w:color w:val="000000"/>
                <w:kern w:val="0"/>
                <w:szCs w:val="21"/>
              </w:rPr>
              <w:t>0</w:t>
            </w:r>
          </w:p>
        </w:tc>
      </w:tr>
      <w:tr w14:paraId="622A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6AA3C041">
            <w:pPr>
              <w:jc w:val="center"/>
              <w:rPr>
                <w:color w:val="000000"/>
                <w:kern w:val="0"/>
                <w:szCs w:val="21"/>
              </w:rPr>
            </w:pPr>
            <w:r>
              <w:rPr>
                <w:color w:val="000000"/>
                <w:kern w:val="0"/>
                <w:szCs w:val="21"/>
              </w:rPr>
              <w:t>4</w:t>
            </w:r>
          </w:p>
        </w:tc>
        <w:tc>
          <w:tcPr>
            <w:tcW w:w="958" w:type="dxa"/>
            <w:vMerge w:val="restart"/>
            <w:noWrap w:val="0"/>
            <w:vAlign w:val="center"/>
          </w:tcPr>
          <w:p w14:paraId="28EBF2E1">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芦岭镇</w:t>
            </w:r>
          </w:p>
        </w:tc>
        <w:tc>
          <w:tcPr>
            <w:tcW w:w="851" w:type="dxa"/>
            <w:noWrap w:val="0"/>
            <w:vAlign w:val="center"/>
          </w:tcPr>
          <w:p w14:paraId="58DC2F71">
            <w:pPr>
              <w:jc w:val="center"/>
              <w:rPr>
                <w:color w:val="000000"/>
                <w:kern w:val="0"/>
                <w:szCs w:val="21"/>
              </w:rPr>
            </w:pPr>
            <w:r>
              <w:rPr>
                <w:color w:val="000000"/>
                <w:kern w:val="0"/>
                <w:szCs w:val="21"/>
              </w:rPr>
              <w:t>1</w:t>
            </w:r>
          </w:p>
        </w:tc>
        <w:tc>
          <w:tcPr>
            <w:tcW w:w="5046" w:type="dxa"/>
            <w:noWrap w:val="0"/>
            <w:vAlign w:val="center"/>
          </w:tcPr>
          <w:p w14:paraId="0C7D684D">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东至学苑路、东城路，南至陵园路，西至环城路，北至富民路</w:t>
            </w:r>
          </w:p>
        </w:tc>
        <w:tc>
          <w:tcPr>
            <w:tcW w:w="794" w:type="dxa"/>
            <w:noWrap w:val="0"/>
            <w:vAlign w:val="center"/>
          </w:tcPr>
          <w:p w14:paraId="33DED14E">
            <w:pPr>
              <w:jc w:val="center"/>
              <w:rPr>
                <w:color w:val="000000"/>
                <w:kern w:val="0"/>
                <w:szCs w:val="21"/>
              </w:rPr>
            </w:pPr>
            <w:r>
              <w:rPr>
                <w:color w:val="000000"/>
                <w:kern w:val="0"/>
                <w:szCs w:val="21"/>
              </w:rPr>
              <w:t>1.0000</w:t>
            </w:r>
          </w:p>
        </w:tc>
        <w:tc>
          <w:tcPr>
            <w:tcW w:w="0" w:type="auto"/>
            <w:noWrap w:val="0"/>
            <w:vAlign w:val="center"/>
          </w:tcPr>
          <w:p w14:paraId="14D10873">
            <w:pPr>
              <w:jc w:val="center"/>
              <w:rPr>
                <w:color w:val="000000"/>
                <w:kern w:val="0"/>
                <w:szCs w:val="21"/>
              </w:rPr>
            </w:pPr>
            <w:r>
              <w:rPr>
                <w:color w:val="000000"/>
                <w:kern w:val="0"/>
                <w:szCs w:val="21"/>
              </w:rPr>
              <w:t>1</w:t>
            </w:r>
          </w:p>
        </w:tc>
        <w:tc>
          <w:tcPr>
            <w:tcW w:w="0" w:type="auto"/>
            <w:noWrap/>
            <w:vAlign w:val="center"/>
          </w:tcPr>
          <w:p w14:paraId="6723BFF0">
            <w:pPr>
              <w:jc w:val="center"/>
              <w:rPr>
                <w:color w:val="000000"/>
                <w:kern w:val="0"/>
                <w:szCs w:val="21"/>
              </w:rPr>
            </w:pPr>
            <w:r>
              <w:rPr>
                <w:color w:val="000000"/>
                <w:kern w:val="0"/>
                <w:szCs w:val="21"/>
              </w:rPr>
              <w:t>100</w:t>
            </w:r>
          </w:p>
        </w:tc>
      </w:tr>
      <w:tr w14:paraId="5CB27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229F6717">
            <w:pPr>
              <w:rPr>
                <w:color w:val="000000"/>
                <w:kern w:val="0"/>
                <w:szCs w:val="21"/>
              </w:rPr>
            </w:pPr>
          </w:p>
        </w:tc>
        <w:tc>
          <w:tcPr>
            <w:tcW w:w="958" w:type="dxa"/>
            <w:vMerge w:val="continue"/>
            <w:noWrap w:val="0"/>
            <w:vAlign w:val="center"/>
          </w:tcPr>
          <w:p w14:paraId="527F1C67">
            <w:pPr>
              <w:ind w:left="-105" w:leftChars="-50" w:right="-105" w:rightChars="-50"/>
              <w:rPr>
                <w:rFonts w:ascii="楷体_GB2312" w:hAnsi="宋体" w:eastAsia="楷体_GB2312" w:cs="宋体"/>
                <w:color w:val="000000"/>
                <w:kern w:val="0"/>
                <w:szCs w:val="21"/>
              </w:rPr>
            </w:pPr>
          </w:p>
        </w:tc>
        <w:tc>
          <w:tcPr>
            <w:tcW w:w="851" w:type="dxa"/>
            <w:noWrap w:val="0"/>
            <w:vAlign w:val="center"/>
          </w:tcPr>
          <w:p w14:paraId="3B6B5624">
            <w:pPr>
              <w:jc w:val="center"/>
              <w:rPr>
                <w:color w:val="000000"/>
                <w:kern w:val="0"/>
                <w:szCs w:val="21"/>
              </w:rPr>
            </w:pPr>
            <w:r>
              <w:rPr>
                <w:color w:val="000000"/>
                <w:kern w:val="0"/>
                <w:szCs w:val="21"/>
              </w:rPr>
              <w:t>2</w:t>
            </w:r>
          </w:p>
        </w:tc>
        <w:tc>
          <w:tcPr>
            <w:tcW w:w="5046" w:type="dxa"/>
            <w:noWrap w:val="0"/>
            <w:vAlign w:val="center"/>
          </w:tcPr>
          <w:p w14:paraId="6E7FBF15">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794" w:type="dxa"/>
            <w:noWrap w:val="0"/>
            <w:vAlign w:val="center"/>
          </w:tcPr>
          <w:p w14:paraId="5D64DBE7">
            <w:pPr>
              <w:jc w:val="center"/>
              <w:rPr>
                <w:color w:val="000000"/>
                <w:kern w:val="0"/>
                <w:szCs w:val="21"/>
              </w:rPr>
            </w:pPr>
            <w:r>
              <w:rPr>
                <w:color w:val="000000"/>
                <w:kern w:val="0"/>
                <w:szCs w:val="21"/>
              </w:rPr>
              <w:t>0.8333</w:t>
            </w:r>
          </w:p>
        </w:tc>
        <w:tc>
          <w:tcPr>
            <w:tcW w:w="0" w:type="auto"/>
            <w:noWrap w:val="0"/>
            <w:vAlign w:val="center"/>
          </w:tcPr>
          <w:p w14:paraId="4FFA4525">
            <w:pPr>
              <w:jc w:val="center"/>
              <w:rPr>
                <w:color w:val="000000"/>
                <w:kern w:val="0"/>
                <w:szCs w:val="21"/>
              </w:rPr>
            </w:pPr>
            <w:r>
              <w:rPr>
                <w:color w:val="000000"/>
                <w:kern w:val="0"/>
                <w:szCs w:val="21"/>
              </w:rPr>
              <w:t>2</w:t>
            </w:r>
          </w:p>
        </w:tc>
        <w:tc>
          <w:tcPr>
            <w:tcW w:w="0" w:type="auto"/>
            <w:noWrap/>
            <w:vAlign w:val="center"/>
          </w:tcPr>
          <w:p w14:paraId="37D314E6">
            <w:pPr>
              <w:jc w:val="center"/>
              <w:rPr>
                <w:color w:val="000000"/>
                <w:kern w:val="0"/>
                <w:szCs w:val="21"/>
              </w:rPr>
            </w:pPr>
            <w:r>
              <w:rPr>
                <w:color w:val="000000"/>
                <w:kern w:val="0"/>
                <w:szCs w:val="21"/>
              </w:rPr>
              <w:t>0</w:t>
            </w:r>
          </w:p>
        </w:tc>
      </w:tr>
      <w:tr w14:paraId="26D8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6349D05C">
            <w:pPr>
              <w:jc w:val="center"/>
              <w:rPr>
                <w:color w:val="000000"/>
                <w:kern w:val="0"/>
                <w:szCs w:val="21"/>
              </w:rPr>
            </w:pPr>
            <w:r>
              <w:rPr>
                <w:color w:val="000000"/>
                <w:kern w:val="0"/>
                <w:szCs w:val="21"/>
              </w:rPr>
              <w:t>5</w:t>
            </w:r>
          </w:p>
        </w:tc>
        <w:tc>
          <w:tcPr>
            <w:tcW w:w="958" w:type="dxa"/>
            <w:vMerge w:val="restart"/>
            <w:noWrap w:val="0"/>
            <w:vAlign w:val="center"/>
          </w:tcPr>
          <w:p w14:paraId="1F6A1FD6">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大店镇</w:t>
            </w:r>
          </w:p>
        </w:tc>
        <w:tc>
          <w:tcPr>
            <w:tcW w:w="851" w:type="dxa"/>
            <w:noWrap w:val="0"/>
            <w:vAlign w:val="center"/>
          </w:tcPr>
          <w:p w14:paraId="3AB486A2">
            <w:pPr>
              <w:jc w:val="center"/>
              <w:rPr>
                <w:color w:val="000000"/>
                <w:kern w:val="0"/>
                <w:szCs w:val="21"/>
              </w:rPr>
            </w:pPr>
            <w:r>
              <w:rPr>
                <w:color w:val="000000"/>
                <w:kern w:val="0"/>
                <w:szCs w:val="21"/>
              </w:rPr>
              <w:t>1</w:t>
            </w:r>
          </w:p>
        </w:tc>
        <w:tc>
          <w:tcPr>
            <w:tcW w:w="5046" w:type="dxa"/>
            <w:noWrap w:val="0"/>
            <w:vAlign w:val="center"/>
          </w:tcPr>
          <w:p w14:paraId="0D3FA11B">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东至滨水西路东侧水系，南至南一环路，西至幸福路、西昌路，北至</w:t>
            </w:r>
            <w:r>
              <w:rPr>
                <w:rFonts w:eastAsia="楷体_GB2312"/>
                <w:color w:val="000000"/>
                <w:kern w:val="0"/>
                <w:szCs w:val="21"/>
              </w:rPr>
              <w:t>303</w:t>
            </w:r>
            <w:r>
              <w:rPr>
                <w:rFonts w:hint="eastAsia" w:ascii="楷体_GB2312" w:hAnsi="宋体" w:eastAsia="楷体_GB2312" w:cs="宋体"/>
                <w:color w:val="000000"/>
                <w:kern w:val="0"/>
                <w:szCs w:val="21"/>
              </w:rPr>
              <w:t>省道</w:t>
            </w:r>
          </w:p>
        </w:tc>
        <w:tc>
          <w:tcPr>
            <w:tcW w:w="794" w:type="dxa"/>
            <w:noWrap w:val="0"/>
            <w:vAlign w:val="center"/>
          </w:tcPr>
          <w:p w14:paraId="55CEF4F3">
            <w:pPr>
              <w:jc w:val="center"/>
              <w:rPr>
                <w:color w:val="000000"/>
                <w:kern w:val="0"/>
                <w:szCs w:val="21"/>
              </w:rPr>
            </w:pPr>
            <w:r>
              <w:rPr>
                <w:color w:val="000000"/>
                <w:kern w:val="0"/>
                <w:szCs w:val="21"/>
              </w:rPr>
              <w:t>1.0000</w:t>
            </w:r>
          </w:p>
        </w:tc>
        <w:tc>
          <w:tcPr>
            <w:tcW w:w="0" w:type="auto"/>
            <w:noWrap w:val="0"/>
            <w:vAlign w:val="center"/>
          </w:tcPr>
          <w:p w14:paraId="720808C6">
            <w:pPr>
              <w:jc w:val="center"/>
              <w:rPr>
                <w:color w:val="000000"/>
                <w:kern w:val="0"/>
                <w:szCs w:val="21"/>
              </w:rPr>
            </w:pPr>
            <w:r>
              <w:rPr>
                <w:color w:val="000000"/>
                <w:kern w:val="0"/>
                <w:szCs w:val="21"/>
              </w:rPr>
              <w:t>1</w:t>
            </w:r>
          </w:p>
        </w:tc>
        <w:tc>
          <w:tcPr>
            <w:tcW w:w="0" w:type="auto"/>
            <w:noWrap/>
            <w:vAlign w:val="center"/>
          </w:tcPr>
          <w:p w14:paraId="679D6E7B">
            <w:pPr>
              <w:jc w:val="center"/>
              <w:rPr>
                <w:color w:val="000000"/>
                <w:kern w:val="0"/>
                <w:szCs w:val="21"/>
              </w:rPr>
            </w:pPr>
            <w:r>
              <w:rPr>
                <w:color w:val="000000"/>
                <w:kern w:val="0"/>
                <w:szCs w:val="21"/>
              </w:rPr>
              <w:t>100</w:t>
            </w:r>
          </w:p>
        </w:tc>
      </w:tr>
      <w:tr w14:paraId="51CA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07F65252">
            <w:pPr>
              <w:rPr>
                <w:color w:val="000000"/>
                <w:kern w:val="0"/>
                <w:szCs w:val="21"/>
              </w:rPr>
            </w:pPr>
          </w:p>
        </w:tc>
        <w:tc>
          <w:tcPr>
            <w:tcW w:w="958" w:type="dxa"/>
            <w:vMerge w:val="continue"/>
            <w:noWrap w:val="0"/>
            <w:vAlign w:val="center"/>
          </w:tcPr>
          <w:p w14:paraId="33CBF787">
            <w:pPr>
              <w:ind w:left="-105" w:leftChars="-50" w:right="-105" w:rightChars="-50"/>
              <w:rPr>
                <w:rFonts w:ascii="楷体_GB2312" w:hAnsi="宋体" w:eastAsia="楷体_GB2312" w:cs="宋体"/>
                <w:color w:val="000000"/>
                <w:kern w:val="0"/>
                <w:szCs w:val="21"/>
              </w:rPr>
            </w:pPr>
          </w:p>
        </w:tc>
        <w:tc>
          <w:tcPr>
            <w:tcW w:w="851" w:type="dxa"/>
            <w:noWrap w:val="0"/>
            <w:vAlign w:val="center"/>
          </w:tcPr>
          <w:p w14:paraId="1A7C2506">
            <w:pPr>
              <w:jc w:val="center"/>
              <w:rPr>
                <w:color w:val="000000"/>
                <w:kern w:val="0"/>
                <w:szCs w:val="21"/>
              </w:rPr>
            </w:pPr>
            <w:r>
              <w:rPr>
                <w:color w:val="000000"/>
                <w:kern w:val="0"/>
                <w:szCs w:val="21"/>
              </w:rPr>
              <w:t>2</w:t>
            </w:r>
          </w:p>
        </w:tc>
        <w:tc>
          <w:tcPr>
            <w:tcW w:w="5046" w:type="dxa"/>
            <w:noWrap w:val="0"/>
            <w:vAlign w:val="center"/>
          </w:tcPr>
          <w:p w14:paraId="690F0D05">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794" w:type="dxa"/>
            <w:noWrap/>
            <w:vAlign w:val="center"/>
          </w:tcPr>
          <w:p w14:paraId="2E7CB342">
            <w:pPr>
              <w:jc w:val="center"/>
              <w:rPr>
                <w:color w:val="000000"/>
                <w:kern w:val="0"/>
                <w:szCs w:val="21"/>
              </w:rPr>
            </w:pPr>
            <w:r>
              <w:rPr>
                <w:color w:val="000000"/>
                <w:kern w:val="0"/>
                <w:szCs w:val="21"/>
              </w:rPr>
              <w:t>0.6667</w:t>
            </w:r>
          </w:p>
        </w:tc>
        <w:tc>
          <w:tcPr>
            <w:tcW w:w="0" w:type="auto"/>
            <w:noWrap w:val="0"/>
            <w:vAlign w:val="center"/>
          </w:tcPr>
          <w:p w14:paraId="76751FBF">
            <w:pPr>
              <w:jc w:val="center"/>
              <w:rPr>
                <w:color w:val="000000"/>
                <w:kern w:val="0"/>
                <w:szCs w:val="21"/>
              </w:rPr>
            </w:pPr>
            <w:r>
              <w:rPr>
                <w:color w:val="000000"/>
                <w:kern w:val="0"/>
                <w:szCs w:val="21"/>
              </w:rPr>
              <w:t>2</w:t>
            </w:r>
          </w:p>
        </w:tc>
        <w:tc>
          <w:tcPr>
            <w:tcW w:w="0" w:type="auto"/>
            <w:noWrap/>
            <w:vAlign w:val="center"/>
          </w:tcPr>
          <w:p w14:paraId="2F80C48B">
            <w:pPr>
              <w:jc w:val="center"/>
              <w:rPr>
                <w:color w:val="000000"/>
                <w:kern w:val="0"/>
                <w:szCs w:val="21"/>
              </w:rPr>
            </w:pPr>
            <w:r>
              <w:rPr>
                <w:color w:val="000000"/>
                <w:kern w:val="0"/>
                <w:szCs w:val="21"/>
              </w:rPr>
              <w:t>0</w:t>
            </w:r>
          </w:p>
        </w:tc>
      </w:tr>
      <w:tr w14:paraId="20FB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5DEDBD9C">
            <w:pPr>
              <w:jc w:val="center"/>
              <w:rPr>
                <w:color w:val="000000"/>
                <w:kern w:val="0"/>
                <w:szCs w:val="21"/>
              </w:rPr>
            </w:pPr>
            <w:r>
              <w:rPr>
                <w:color w:val="000000"/>
                <w:kern w:val="0"/>
                <w:szCs w:val="21"/>
              </w:rPr>
              <w:t>6</w:t>
            </w:r>
          </w:p>
        </w:tc>
        <w:tc>
          <w:tcPr>
            <w:tcW w:w="958" w:type="dxa"/>
            <w:vMerge w:val="restart"/>
            <w:noWrap w:val="0"/>
            <w:vAlign w:val="center"/>
          </w:tcPr>
          <w:p w14:paraId="4F64E2E9">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栏杆镇</w:t>
            </w:r>
          </w:p>
        </w:tc>
        <w:tc>
          <w:tcPr>
            <w:tcW w:w="851" w:type="dxa"/>
            <w:noWrap w:val="0"/>
            <w:vAlign w:val="center"/>
          </w:tcPr>
          <w:p w14:paraId="1446D480">
            <w:pPr>
              <w:jc w:val="center"/>
              <w:rPr>
                <w:color w:val="000000"/>
                <w:kern w:val="0"/>
                <w:szCs w:val="21"/>
              </w:rPr>
            </w:pPr>
            <w:r>
              <w:rPr>
                <w:color w:val="000000"/>
                <w:kern w:val="0"/>
                <w:szCs w:val="21"/>
              </w:rPr>
              <w:t>1</w:t>
            </w:r>
          </w:p>
        </w:tc>
        <w:tc>
          <w:tcPr>
            <w:tcW w:w="5046" w:type="dxa"/>
            <w:noWrap w:val="0"/>
            <w:vAlign w:val="center"/>
          </w:tcPr>
          <w:p w14:paraId="0B21ABA0">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东至曹栏路，南至纳福路、振兴路，西至滨河东路，北至宜居路</w:t>
            </w:r>
          </w:p>
        </w:tc>
        <w:tc>
          <w:tcPr>
            <w:tcW w:w="794" w:type="dxa"/>
            <w:noWrap w:val="0"/>
            <w:vAlign w:val="center"/>
          </w:tcPr>
          <w:p w14:paraId="57024CDE">
            <w:pPr>
              <w:jc w:val="center"/>
              <w:rPr>
                <w:color w:val="000000"/>
                <w:kern w:val="0"/>
                <w:szCs w:val="21"/>
              </w:rPr>
            </w:pPr>
            <w:r>
              <w:rPr>
                <w:color w:val="000000"/>
                <w:kern w:val="0"/>
                <w:szCs w:val="21"/>
              </w:rPr>
              <w:t>1.0000</w:t>
            </w:r>
          </w:p>
        </w:tc>
        <w:tc>
          <w:tcPr>
            <w:tcW w:w="0" w:type="auto"/>
            <w:noWrap w:val="0"/>
            <w:vAlign w:val="center"/>
          </w:tcPr>
          <w:p w14:paraId="37114C65">
            <w:pPr>
              <w:jc w:val="center"/>
              <w:rPr>
                <w:color w:val="000000"/>
                <w:kern w:val="0"/>
                <w:szCs w:val="21"/>
              </w:rPr>
            </w:pPr>
            <w:r>
              <w:rPr>
                <w:color w:val="000000"/>
                <w:kern w:val="0"/>
                <w:szCs w:val="21"/>
              </w:rPr>
              <w:t>1</w:t>
            </w:r>
          </w:p>
        </w:tc>
        <w:tc>
          <w:tcPr>
            <w:tcW w:w="0" w:type="auto"/>
            <w:noWrap/>
            <w:vAlign w:val="center"/>
          </w:tcPr>
          <w:p w14:paraId="5ABA1470">
            <w:pPr>
              <w:jc w:val="center"/>
              <w:rPr>
                <w:color w:val="000000"/>
                <w:kern w:val="0"/>
                <w:szCs w:val="21"/>
              </w:rPr>
            </w:pPr>
            <w:r>
              <w:rPr>
                <w:color w:val="000000"/>
                <w:kern w:val="0"/>
                <w:szCs w:val="21"/>
              </w:rPr>
              <w:t>100</w:t>
            </w:r>
          </w:p>
        </w:tc>
      </w:tr>
      <w:tr w14:paraId="04F5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76409292">
            <w:pPr>
              <w:rPr>
                <w:color w:val="000000"/>
                <w:kern w:val="0"/>
                <w:szCs w:val="21"/>
              </w:rPr>
            </w:pPr>
          </w:p>
        </w:tc>
        <w:tc>
          <w:tcPr>
            <w:tcW w:w="958" w:type="dxa"/>
            <w:vMerge w:val="continue"/>
            <w:noWrap w:val="0"/>
            <w:vAlign w:val="center"/>
          </w:tcPr>
          <w:p w14:paraId="614C70A2">
            <w:pPr>
              <w:ind w:left="-105" w:leftChars="-50" w:right="-105" w:rightChars="-50"/>
              <w:rPr>
                <w:rFonts w:ascii="楷体_GB2312" w:hAnsi="宋体" w:eastAsia="楷体_GB2312" w:cs="宋体"/>
                <w:color w:val="000000"/>
                <w:kern w:val="0"/>
                <w:szCs w:val="21"/>
              </w:rPr>
            </w:pPr>
          </w:p>
        </w:tc>
        <w:tc>
          <w:tcPr>
            <w:tcW w:w="851" w:type="dxa"/>
            <w:noWrap w:val="0"/>
            <w:vAlign w:val="center"/>
          </w:tcPr>
          <w:p w14:paraId="5D384042">
            <w:pPr>
              <w:jc w:val="center"/>
              <w:rPr>
                <w:color w:val="000000"/>
                <w:kern w:val="0"/>
                <w:szCs w:val="21"/>
              </w:rPr>
            </w:pPr>
            <w:r>
              <w:rPr>
                <w:color w:val="000000"/>
                <w:kern w:val="0"/>
                <w:szCs w:val="21"/>
              </w:rPr>
              <w:t>2</w:t>
            </w:r>
          </w:p>
        </w:tc>
        <w:tc>
          <w:tcPr>
            <w:tcW w:w="5046" w:type="dxa"/>
            <w:noWrap w:val="0"/>
            <w:vAlign w:val="center"/>
          </w:tcPr>
          <w:p w14:paraId="2ADC6EE2">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794" w:type="dxa"/>
            <w:noWrap/>
            <w:vAlign w:val="center"/>
          </w:tcPr>
          <w:p w14:paraId="2933052A">
            <w:pPr>
              <w:jc w:val="center"/>
              <w:rPr>
                <w:color w:val="000000"/>
                <w:kern w:val="0"/>
                <w:szCs w:val="21"/>
              </w:rPr>
            </w:pPr>
            <w:r>
              <w:rPr>
                <w:color w:val="000000"/>
                <w:kern w:val="0"/>
                <w:szCs w:val="21"/>
              </w:rPr>
              <w:t>0.6667</w:t>
            </w:r>
          </w:p>
        </w:tc>
        <w:tc>
          <w:tcPr>
            <w:tcW w:w="0" w:type="auto"/>
            <w:noWrap w:val="0"/>
            <w:vAlign w:val="center"/>
          </w:tcPr>
          <w:p w14:paraId="221D7FE9">
            <w:pPr>
              <w:jc w:val="center"/>
              <w:rPr>
                <w:color w:val="000000"/>
                <w:kern w:val="0"/>
                <w:szCs w:val="21"/>
              </w:rPr>
            </w:pPr>
            <w:r>
              <w:rPr>
                <w:color w:val="000000"/>
                <w:kern w:val="0"/>
                <w:szCs w:val="21"/>
              </w:rPr>
              <w:t>2</w:t>
            </w:r>
          </w:p>
        </w:tc>
        <w:tc>
          <w:tcPr>
            <w:tcW w:w="0" w:type="auto"/>
            <w:noWrap/>
            <w:vAlign w:val="center"/>
          </w:tcPr>
          <w:p w14:paraId="3121C663">
            <w:pPr>
              <w:jc w:val="center"/>
              <w:rPr>
                <w:color w:val="000000"/>
                <w:kern w:val="0"/>
                <w:szCs w:val="21"/>
              </w:rPr>
            </w:pPr>
            <w:r>
              <w:rPr>
                <w:color w:val="000000"/>
                <w:kern w:val="0"/>
                <w:szCs w:val="21"/>
              </w:rPr>
              <w:t>0</w:t>
            </w:r>
          </w:p>
        </w:tc>
      </w:tr>
      <w:tr w14:paraId="0B5E5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6AC93ADB">
            <w:pPr>
              <w:jc w:val="center"/>
              <w:rPr>
                <w:color w:val="000000"/>
                <w:kern w:val="0"/>
                <w:szCs w:val="21"/>
              </w:rPr>
            </w:pPr>
            <w:r>
              <w:rPr>
                <w:color w:val="000000"/>
                <w:kern w:val="0"/>
                <w:szCs w:val="21"/>
              </w:rPr>
              <w:t>7</w:t>
            </w:r>
          </w:p>
        </w:tc>
        <w:tc>
          <w:tcPr>
            <w:tcW w:w="958" w:type="dxa"/>
            <w:vMerge w:val="restart"/>
            <w:noWrap w:val="0"/>
            <w:vAlign w:val="center"/>
          </w:tcPr>
          <w:p w14:paraId="6546BC68">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时村镇</w:t>
            </w:r>
          </w:p>
        </w:tc>
        <w:tc>
          <w:tcPr>
            <w:tcW w:w="851" w:type="dxa"/>
            <w:noWrap w:val="0"/>
            <w:vAlign w:val="center"/>
          </w:tcPr>
          <w:p w14:paraId="6149AC35">
            <w:pPr>
              <w:jc w:val="center"/>
              <w:rPr>
                <w:color w:val="000000"/>
                <w:kern w:val="0"/>
                <w:szCs w:val="21"/>
              </w:rPr>
            </w:pPr>
            <w:r>
              <w:rPr>
                <w:color w:val="000000"/>
                <w:kern w:val="0"/>
                <w:szCs w:val="21"/>
              </w:rPr>
              <w:t>1</w:t>
            </w:r>
          </w:p>
        </w:tc>
        <w:tc>
          <w:tcPr>
            <w:tcW w:w="5046" w:type="dxa"/>
            <w:noWrap w:val="0"/>
            <w:vAlign w:val="center"/>
          </w:tcPr>
          <w:p w14:paraId="05A5B215">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东至时村中心学校东侧道路、环城东路西侧道路，南至环城南路，西至时西路，北至时北路</w:t>
            </w:r>
          </w:p>
        </w:tc>
        <w:tc>
          <w:tcPr>
            <w:tcW w:w="794" w:type="dxa"/>
            <w:noWrap w:val="0"/>
            <w:vAlign w:val="center"/>
          </w:tcPr>
          <w:p w14:paraId="0F92FF71">
            <w:pPr>
              <w:jc w:val="center"/>
              <w:rPr>
                <w:color w:val="000000"/>
                <w:kern w:val="0"/>
                <w:szCs w:val="21"/>
              </w:rPr>
            </w:pPr>
            <w:r>
              <w:rPr>
                <w:color w:val="000000"/>
                <w:kern w:val="0"/>
                <w:szCs w:val="21"/>
              </w:rPr>
              <w:t>1.0000</w:t>
            </w:r>
          </w:p>
        </w:tc>
        <w:tc>
          <w:tcPr>
            <w:tcW w:w="0" w:type="auto"/>
            <w:noWrap w:val="0"/>
            <w:vAlign w:val="center"/>
          </w:tcPr>
          <w:p w14:paraId="4C83E38E">
            <w:pPr>
              <w:jc w:val="center"/>
              <w:rPr>
                <w:color w:val="000000"/>
                <w:kern w:val="0"/>
                <w:szCs w:val="21"/>
              </w:rPr>
            </w:pPr>
            <w:r>
              <w:rPr>
                <w:color w:val="000000"/>
                <w:kern w:val="0"/>
                <w:szCs w:val="21"/>
              </w:rPr>
              <w:t>1</w:t>
            </w:r>
          </w:p>
        </w:tc>
        <w:tc>
          <w:tcPr>
            <w:tcW w:w="0" w:type="auto"/>
            <w:noWrap/>
            <w:vAlign w:val="center"/>
          </w:tcPr>
          <w:p w14:paraId="774EB676">
            <w:pPr>
              <w:jc w:val="center"/>
              <w:rPr>
                <w:color w:val="000000"/>
                <w:kern w:val="0"/>
                <w:szCs w:val="21"/>
              </w:rPr>
            </w:pPr>
            <w:r>
              <w:rPr>
                <w:color w:val="000000"/>
                <w:kern w:val="0"/>
                <w:szCs w:val="21"/>
              </w:rPr>
              <w:t>100</w:t>
            </w:r>
          </w:p>
        </w:tc>
      </w:tr>
      <w:tr w14:paraId="49B3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7B5E74CF">
            <w:pPr>
              <w:rPr>
                <w:color w:val="000000"/>
                <w:kern w:val="0"/>
                <w:szCs w:val="21"/>
              </w:rPr>
            </w:pPr>
          </w:p>
        </w:tc>
        <w:tc>
          <w:tcPr>
            <w:tcW w:w="958" w:type="dxa"/>
            <w:vMerge w:val="continue"/>
            <w:noWrap w:val="0"/>
            <w:vAlign w:val="center"/>
          </w:tcPr>
          <w:p w14:paraId="6CA6052D">
            <w:pPr>
              <w:ind w:left="-105" w:leftChars="-50" w:right="-105" w:rightChars="-50"/>
              <w:rPr>
                <w:rFonts w:ascii="楷体_GB2312" w:hAnsi="宋体" w:eastAsia="楷体_GB2312" w:cs="宋体"/>
                <w:color w:val="000000"/>
                <w:kern w:val="0"/>
                <w:szCs w:val="21"/>
              </w:rPr>
            </w:pPr>
          </w:p>
        </w:tc>
        <w:tc>
          <w:tcPr>
            <w:tcW w:w="851" w:type="dxa"/>
            <w:noWrap w:val="0"/>
            <w:vAlign w:val="center"/>
          </w:tcPr>
          <w:p w14:paraId="57429017">
            <w:pPr>
              <w:jc w:val="center"/>
              <w:rPr>
                <w:color w:val="000000"/>
                <w:kern w:val="0"/>
                <w:szCs w:val="21"/>
              </w:rPr>
            </w:pPr>
            <w:r>
              <w:rPr>
                <w:color w:val="000000"/>
                <w:kern w:val="0"/>
                <w:szCs w:val="21"/>
              </w:rPr>
              <w:t>2</w:t>
            </w:r>
          </w:p>
        </w:tc>
        <w:tc>
          <w:tcPr>
            <w:tcW w:w="5046" w:type="dxa"/>
            <w:noWrap w:val="0"/>
            <w:vAlign w:val="center"/>
          </w:tcPr>
          <w:p w14:paraId="48ABE192">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794" w:type="dxa"/>
            <w:noWrap/>
            <w:vAlign w:val="center"/>
          </w:tcPr>
          <w:p w14:paraId="2446E844">
            <w:pPr>
              <w:jc w:val="center"/>
              <w:rPr>
                <w:color w:val="000000"/>
                <w:kern w:val="0"/>
                <w:szCs w:val="21"/>
              </w:rPr>
            </w:pPr>
            <w:r>
              <w:rPr>
                <w:color w:val="000000"/>
                <w:kern w:val="0"/>
                <w:szCs w:val="21"/>
              </w:rPr>
              <w:t>0.6667</w:t>
            </w:r>
          </w:p>
        </w:tc>
        <w:tc>
          <w:tcPr>
            <w:tcW w:w="0" w:type="auto"/>
            <w:noWrap w:val="0"/>
            <w:vAlign w:val="center"/>
          </w:tcPr>
          <w:p w14:paraId="64076DE5">
            <w:pPr>
              <w:jc w:val="center"/>
              <w:rPr>
                <w:color w:val="000000"/>
                <w:kern w:val="0"/>
                <w:szCs w:val="21"/>
              </w:rPr>
            </w:pPr>
            <w:r>
              <w:rPr>
                <w:color w:val="000000"/>
                <w:kern w:val="0"/>
                <w:szCs w:val="21"/>
              </w:rPr>
              <w:t>2</w:t>
            </w:r>
          </w:p>
        </w:tc>
        <w:tc>
          <w:tcPr>
            <w:tcW w:w="0" w:type="auto"/>
            <w:noWrap/>
            <w:vAlign w:val="center"/>
          </w:tcPr>
          <w:p w14:paraId="40364267">
            <w:pPr>
              <w:jc w:val="center"/>
              <w:rPr>
                <w:color w:val="000000"/>
                <w:kern w:val="0"/>
                <w:szCs w:val="21"/>
              </w:rPr>
            </w:pPr>
            <w:r>
              <w:rPr>
                <w:color w:val="000000"/>
                <w:kern w:val="0"/>
                <w:szCs w:val="21"/>
              </w:rPr>
              <w:t>0</w:t>
            </w:r>
          </w:p>
        </w:tc>
      </w:tr>
      <w:tr w14:paraId="1A1D5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08338BE2">
            <w:pPr>
              <w:jc w:val="center"/>
              <w:rPr>
                <w:color w:val="000000"/>
                <w:kern w:val="0"/>
                <w:szCs w:val="21"/>
              </w:rPr>
            </w:pPr>
            <w:r>
              <w:rPr>
                <w:color w:val="000000"/>
                <w:kern w:val="0"/>
                <w:szCs w:val="21"/>
              </w:rPr>
              <w:t>8</w:t>
            </w:r>
          </w:p>
        </w:tc>
        <w:tc>
          <w:tcPr>
            <w:tcW w:w="958" w:type="dxa"/>
            <w:vMerge w:val="restart"/>
            <w:noWrap w:val="0"/>
            <w:vAlign w:val="center"/>
          </w:tcPr>
          <w:p w14:paraId="5B746E01">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夹沟镇</w:t>
            </w:r>
          </w:p>
        </w:tc>
        <w:tc>
          <w:tcPr>
            <w:tcW w:w="851" w:type="dxa"/>
            <w:noWrap w:val="0"/>
            <w:vAlign w:val="center"/>
          </w:tcPr>
          <w:p w14:paraId="23D100FD">
            <w:pPr>
              <w:jc w:val="center"/>
              <w:rPr>
                <w:color w:val="000000"/>
                <w:kern w:val="0"/>
                <w:szCs w:val="21"/>
              </w:rPr>
            </w:pPr>
            <w:r>
              <w:rPr>
                <w:color w:val="000000"/>
                <w:kern w:val="0"/>
                <w:szCs w:val="21"/>
              </w:rPr>
              <w:t>1</w:t>
            </w:r>
          </w:p>
        </w:tc>
        <w:tc>
          <w:tcPr>
            <w:tcW w:w="5046" w:type="dxa"/>
            <w:noWrap w:val="0"/>
            <w:vAlign w:val="center"/>
          </w:tcPr>
          <w:p w14:paraId="3A5BE896">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东至夹外路，南至夹顺路，西至西三路、西二路，北至产业路、夹津路</w:t>
            </w:r>
          </w:p>
        </w:tc>
        <w:tc>
          <w:tcPr>
            <w:tcW w:w="794" w:type="dxa"/>
            <w:noWrap w:val="0"/>
            <w:vAlign w:val="center"/>
          </w:tcPr>
          <w:p w14:paraId="197EC149">
            <w:pPr>
              <w:jc w:val="center"/>
              <w:rPr>
                <w:color w:val="000000"/>
                <w:kern w:val="0"/>
                <w:szCs w:val="21"/>
              </w:rPr>
            </w:pPr>
            <w:r>
              <w:rPr>
                <w:color w:val="000000"/>
                <w:kern w:val="0"/>
                <w:szCs w:val="21"/>
              </w:rPr>
              <w:t>1.0000</w:t>
            </w:r>
          </w:p>
        </w:tc>
        <w:tc>
          <w:tcPr>
            <w:tcW w:w="0" w:type="auto"/>
            <w:noWrap w:val="0"/>
            <w:vAlign w:val="center"/>
          </w:tcPr>
          <w:p w14:paraId="46457666">
            <w:pPr>
              <w:jc w:val="center"/>
              <w:rPr>
                <w:color w:val="000000"/>
                <w:kern w:val="0"/>
                <w:szCs w:val="21"/>
              </w:rPr>
            </w:pPr>
            <w:r>
              <w:rPr>
                <w:color w:val="000000"/>
                <w:kern w:val="0"/>
                <w:szCs w:val="21"/>
              </w:rPr>
              <w:t>1</w:t>
            </w:r>
          </w:p>
        </w:tc>
        <w:tc>
          <w:tcPr>
            <w:tcW w:w="0" w:type="auto"/>
            <w:noWrap/>
            <w:vAlign w:val="center"/>
          </w:tcPr>
          <w:p w14:paraId="48F4DF00">
            <w:pPr>
              <w:jc w:val="center"/>
              <w:rPr>
                <w:color w:val="000000"/>
                <w:kern w:val="0"/>
                <w:szCs w:val="21"/>
              </w:rPr>
            </w:pPr>
            <w:r>
              <w:rPr>
                <w:color w:val="000000"/>
                <w:kern w:val="0"/>
                <w:szCs w:val="21"/>
              </w:rPr>
              <w:t>100</w:t>
            </w:r>
          </w:p>
        </w:tc>
      </w:tr>
      <w:tr w14:paraId="219F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6247B92F">
            <w:pPr>
              <w:rPr>
                <w:color w:val="000000"/>
                <w:kern w:val="0"/>
                <w:szCs w:val="21"/>
              </w:rPr>
            </w:pPr>
          </w:p>
        </w:tc>
        <w:tc>
          <w:tcPr>
            <w:tcW w:w="958" w:type="dxa"/>
            <w:vMerge w:val="continue"/>
            <w:noWrap w:val="0"/>
            <w:vAlign w:val="center"/>
          </w:tcPr>
          <w:p w14:paraId="0CF46AA9">
            <w:pPr>
              <w:ind w:left="-105" w:leftChars="-50" w:right="-105" w:rightChars="-50"/>
              <w:rPr>
                <w:rFonts w:ascii="楷体_GB2312" w:hAnsi="宋体" w:eastAsia="楷体_GB2312" w:cs="宋体"/>
                <w:color w:val="000000"/>
                <w:kern w:val="0"/>
                <w:szCs w:val="21"/>
              </w:rPr>
            </w:pPr>
          </w:p>
        </w:tc>
        <w:tc>
          <w:tcPr>
            <w:tcW w:w="851" w:type="dxa"/>
            <w:noWrap w:val="0"/>
            <w:vAlign w:val="center"/>
          </w:tcPr>
          <w:p w14:paraId="732D6600">
            <w:pPr>
              <w:jc w:val="center"/>
              <w:rPr>
                <w:color w:val="000000"/>
                <w:kern w:val="0"/>
                <w:szCs w:val="21"/>
              </w:rPr>
            </w:pPr>
            <w:r>
              <w:rPr>
                <w:color w:val="000000"/>
                <w:kern w:val="0"/>
                <w:szCs w:val="21"/>
              </w:rPr>
              <w:t>2</w:t>
            </w:r>
          </w:p>
        </w:tc>
        <w:tc>
          <w:tcPr>
            <w:tcW w:w="5046" w:type="dxa"/>
            <w:noWrap w:val="0"/>
            <w:vAlign w:val="center"/>
          </w:tcPr>
          <w:p w14:paraId="03D42D4A">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东至东一路，南至府前路，西至津浦铁路东侧规划道路，北至定级边界</w:t>
            </w:r>
          </w:p>
        </w:tc>
        <w:tc>
          <w:tcPr>
            <w:tcW w:w="794" w:type="dxa"/>
            <w:noWrap w:val="0"/>
            <w:vAlign w:val="center"/>
          </w:tcPr>
          <w:p w14:paraId="250F4CB4">
            <w:pPr>
              <w:jc w:val="center"/>
              <w:rPr>
                <w:color w:val="000000"/>
                <w:kern w:val="0"/>
                <w:szCs w:val="21"/>
              </w:rPr>
            </w:pPr>
            <w:r>
              <w:rPr>
                <w:color w:val="000000"/>
                <w:kern w:val="0"/>
                <w:szCs w:val="21"/>
              </w:rPr>
              <w:t>0.8333</w:t>
            </w:r>
          </w:p>
        </w:tc>
        <w:tc>
          <w:tcPr>
            <w:tcW w:w="0" w:type="auto"/>
            <w:noWrap w:val="0"/>
            <w:vAlign w:val="center"/>
          </w:tcPr>
          <w:p w14:paraId="39FCE481">
            <w:pPr>
              <w:jc w:val="center"/>
              <w:rPr>
                <w:color w:val="000000"/>
                <w:kern w:val="0"/>
                <w:szCs w:val="21"/>
              </w:rPr>
            </w:pPr>
            <w:r>
              <w:rPr>
                <w:color w:val="000000"/>
                <w:kern w:val="0"/>
                <w:szCs w:val="21"/>
              </w:rPr>
              <w:t>2</w:t>
            </w:r>
          </w:p>
        </w:tc>
        <w:tc>
          <w:tcPr>
            <w:tcW w:w="0" w:type="auto"/>
            <w:noWrap/>
            <w:vAlign w:val="center"/>
          </w:tcPr>
          <w:p w14:paraId="0057AA1F">
            <w:pPr>
              <w:jc w:val="center"/>
              <w:rPr>
                <w:color w:val="000000"/>
                <w:kern w:val="0"/>
                <w:szCs w:val="21"/>
              </w:rPr>
            </w:pPr>
            <w:r>
              <w:rPr>
                <w:color w:val="000000"/>
                <w:kern w:val="0"/>
                <w:szCs w:val="21"/>
              </w:rPr>
              <w:t>50</w:t>
            </w:r>
          </w:p>
        </w:tc>
      </w:tr>
      <w:tr w14:paraId="69B23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53B6F5B8">
            <w:pPr>
              <w:rPr>
                <w:color w:val="000000"/>
                <w:kern w:val="0"/>
                <w:szCs w:val="21"/>
              </w:rPr>
            </w:pPr>
          </w:p>
        </w:tc>
        <w:tc>
          <w:tcPr>
            <w:tcW w:w="958" w:type="dxa"/>
            <w:vMerge w:val="continue"/>
            <w:noWrap w:val="0"/>
            <w:vAlign w:val="center"/>
          </w:tcPr>
          <w:p w14:paraId="099C98BD">
            <w:pPr>
              <w:ind w:left="-105" w:leftChars="-50" w:right="-105" w:rightChars="-50"/>
              <w:rPr>
                <w:rFonts w:ascii="楷体_GB2312" w:hAnsi="宋体" w:eastAsia="楷体_GB2312" w:cs="宋体"/>
                <w:color w:val="000000"/>
                <w:kern w:val="0"/>
                <w:szCs w:val="21"/>
              </w:rPr>
            </w:pPr>
          </w:p>
        </w:tc>
        <w:tc>
          <w:tcPr>
            <w:tcW w:w="851" w:type="dxa"/>
            <w:noWrap w:val="0"/>
            <w:vAlign w:val="center"/>
          </w:tcPr>
          <w:p w14:paraId="4B44CDB5">
            <w:pPr>
              <w:jc w:val="center"/>
              <w:rPr>
                <w:color w:val="000000"/>
                <w:kern w:val="0"/>
                <w:szCs w:val="21"/>
              </w:rPr>
            </w:pPr>
            <w:r>
              <w:rPr>
                <w:color w:val="000000"/>
                <w:kern w:val="0"/>
                <w:szCs w:val="21"/>
              </w:rPr>
              <w:t>3</w:t>
            </w:r>
          </w:p>
        </w:tc>
        <w:tc>
          <w:tcPr>
            <w:tcW w:w="5046" w:type="dxa"/>
            <w:noWrap w:val="0"/>
            <w:vAlign w:val="center"/>
          </w:tcPr>
          <w:p w14:paraId="25E6CA72">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94" w:type="dxa"/>
            <w:noWrap/>
            <w:vAlign w:val="center"/>
          </w:tcPr>
          <w:p w14:paraId="7BCA09CC">
            <w:pPr>
              <w:jc w:val="center"/>
              <w:rPr>
                <w:color w:val="000000"/>
                <w:kern w:val="0"/>
                <w:szCs w:val="21"/>
              </w:rPr>
            </w:pPr>
            <w:r>
              <w:rPr>
                <w:color w:val="000000"/>
                <w:kern w:val="0"/>
                <w:szCs w:val="21"/>
              </w:rPr>
              <w:t>0.6667</w:t>
            </w:r>
          </w:p>
        </w:tc>
        <w:tc>
          <w:tcPr>
            <w:tcW w:w="0" w:type="auto"/>
            <w:noWrap w:val="0"/>
            <w:vAlign w:val="center"/>
          </w:tcPr>
          <w:p w14:paraId="6852A611">
            <w:pPr>
              <w:jc w:val="center"/>
              <w:rPr>
                <w:color w:val="000000"/>
                <w:kern w:val="0"/>
                <w:szCs w:val="21"/>
              </w:rPr>
            </w:pPr>
            <w:r>
              <w:rPr>
                <w:color w:val="000000"/>
                <w:kern w:val="0"/>
                <w:szCs w:val="21"/>
              </w:rPr>
              <w:t>3</w:t>
            </w:r>
          </w:p>
        </w:tc>
        <w:tc>
          <w:tcPr>
            <w:tcW w:w="0" w:type="auto"/>
            <w:noWrap/>
            <w:vAlign w:val="center"/>
          </w:tcPr>
          <w:p w14:paraId="401CCF7F">
            <w:pPr>
              <w:jc w:val="center"/>
              <w:rPr>
                <w:color w:val="000000"/>
                <w:kern w:val="0"/>
                <w:szCs w:val="21"/>
              </w:rPr>
            </w:pPr>
            <w:r>
              <w:rPr>
                <w:color w:val="000000"/>
                <w:kern w:val="0"/>
                <w:szCs w:val="21"/>
              </w:rPr>
              <w:t>0</w:t>
            </w:r>
          </w:p>
        </w:tc>
      </w:tr>
      <w:tr w14:paraId="295A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1D5EB8CD">
            <w:pPr>
              <w:jc w:val="center"/>
              <w:rPr>
                <w:color w:val="000000"/>
                <w:kern w:val="0"/>
                <w:szCs w:val="21"/>
              </w:rPr>
            </w:pPr>
            <w:r>
              <w:rPr>
                <w:color w:val="000000"/>
                <w:kern w:val="0"/>
                <w:szCs w:val="21"/>
              </w:rPr>
              <w:t>9</w:t>
            </w:r>
          </w:p>
        </w:tc>
        <w:tc>
          <w:tcPr>
            <w:tcW w:w="958" w:type="dxa"/>
            <w:vMerge w:val="restart"/>
            <w:noWrap w:val="0"/>
            <w:vAlign w:val="center"/>
          </w:tcPr>
          <w:p w14:paraId="0047440D">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西二铺乡</w:t>
            </w:r>
          </w:p>
        </w:tc>
        <w:tc>
          <w:tcPr>
            <w:tcW w:w="851" w:type="dxa"/>
            <w:noWrap w:val="0"/>
            <w:vAlign w:val="center"/>
          </w:tcPr>
          <w:p w14:paraId="47C0B6A1">
            <w:pPr>
              <w:jc w:val="center"/>
              <w:rPr>
                <w:color w:val="000000"/>
                <w:kern w:val="0"/>
                <w:szCs w:val="21"/>
              </w:rPr>
            </w:pPr>
            <w:r>
              <w:rPr>
                <w:color w:val="000000"/>
                <w:kern w:val="0"/>
                <w:szCs w:val="21"/>
              </w:rPr>
              <w:t>1</w:t>
            </w:r>
          </w:p>
        </w:tc>
        <w:tc>
          <w:tcPr>
            <w:tcW w:w="5046" w:type="dxa"/>
            <w:noWrap w:val="0"/>
            <w:vAlign w:val="center"/>
          </w:tcPr>
          <w:p w14:paraId="7CBCCFBE">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东至昌盛路，南至福顺路，西至薛堂路，北至吕黄路</w:t>
            </w:r>
          </w:p>
        </w:tc>
        <w:tc>
          <w:tcPr>
            <w:tcW w:w="794" w:type="dxa"/>
            <w:noWrap w:val="0"/>
            <w:vAlign w:val="center"/>
          </w:tcPr>
          <w:p w14:paraId="6FD40CAB">
            <w:pPr>
              <w:jc w:val="center"/>
              <w:rPr>
                <w:color w:val="000000"/>
                <w:kern w:val="0"/>
                <w:szCs w:val="21"/>
              </w:rPr>
            </w:pPr>
            <w:r>
              <w:rPr>
                <w:color w:val="000000"/>
                <w:kern w:val="0"/>
                <w:szCs w:val="21"/>
              </w:rPr>
              <w:t>1.0000</w:t>
            </w:r>
          </w:p>
        </w:tc>
        <w:tc>
          <w:tcPr>
            <w:tcW w:w="0" w:type="auto"/>
            <w:noWrap w:val="0"/>
            <w:vAlign w:val="center"/>
          </w:tcPr>
          <w:p w14:paraId="0950E97E">
            <w:pPr>
              <w:jc w:val="center"/>
              <w:rPr>
                <w:color w:val="000000"/>
                <w:kern w:val="0"/>
                <w:szCs w:val="21"/>
              </w:rPr>
            </w:pPr>
            <w:r>
              <w:rPr>
                <w:color w:val="000000"/>
                <w:kern w:val="0"/>
                <w:szCs w:val="21"/>
              </w:rPr>
              <w:t>1</w:t>
            </w:r>
          </w:p>
        </w:tc>
        <w:tc>
          <w:tcPr>
            <w:tcW w:w="0" w:type="auto"/>
            <w:noWrap/>
            <w:vAlign w:val="center"/>
          </w:tcPr>
          <w:p w14:paraId="475A83D9">
            <w:pPr>
              <w:jc w:val="center"/>
              <w:rPr>
                <w:color w:val="000000"/>
                <w:kern w:val="0"/>
                <w:szCs w:val="21"/>
              </w:rPr>
            </w:pPr>
            <w:r>
              <w:rPr>
                <w:color w:val="000000"/>
                <w:kern w:val="0"/>
                <w:szCs w:val="21"/>
              </w:rPr>
              <w:t>100</w:t>
            </w:r>
          </w:p>
        </w:tc>
      </w:tr>
      <w:tr w14:paraId="6D87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6F37A409">
            <w:pPr>
              <w:rPr>
                <w:color w:val="000000"/>
                <w:kern w:val="0"/>
                <w:szCs w:val="21"/>
              </w:rPr>
            </w:pPr>
          </w:p>
        </w:tc>
        <w:tc>
          <w:tcPr>
            <w:tcW w:w="958" w:type="dxa"/>
            <w:vMerge w:val="continue"/>
            <w:noWrap w:val="0"/>
            <w:vAlign w:val="center"/>
          </w:tcPr>
          <w:p w14:paraId="1B257889">
            <w:pPr>
              <w:ind w:left="-105" w:leftChars="-50" w:right="-105" w:rightChars="-50"/>
              <w:rPr>
                <w:rFonts w:ascii="楷体_GB2312" w:hAnsi="宋体" w:eastAsia="楷体_GB2312" w:cs="宋体"/>
                <w:color w:val="000000"/>
                <w:kern w:val="0"/>
                <w:szCs w:val="21"/>
              </w:rPr>
            </w:pPr>
          </w:p>
        </w:tc>
        <w:tc>
          <w:tcPr>
            <w:tcW w:w="851" w:type="dxa"/>
            <w:noWrap w:val="0"/>
            <w:vAlign w:val="center"/>
          </w:tcPr>
          <w:p w14:paraId="68DC40F1">
            <w:pPr>
              <w:jc w:val="center"/>
              <w:rPr>
                <w:color w:val="000000"/>
                <w:kern w:val="0"/>
                <w:szCs w:val="21"/>
              </w:rPr>
            </w:pPr>
            <w:r>
              <w:rPr>
                <w:color w:val="000000"/>
                <w:kern w:val="0"/>
                <w:szCs w:val="21"/>
              </w:rPr>
              <w:t>2</w:t>
            </w:r>
          </w:p>
        </w:tc>
        <w:tc>
          <w:tcPr>
            <w:tcW w:w="5046" w:type="dxa"/>
            <w:noWrap w:val="0"/>
            <w:vAlign w:val="center"/>
          </w:tcPr>
          <w:p w14:paraId="4ED8EB40">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794" w:type="dxa"/>
            <w:noWrap/>
            <w:vAlign w:val="center"/>
          </w:tcPr>
          <w:p w14:paraId="5EA3D214">
            <w:pPr>
              <w:jc w:val="center"/>
              <w:rPr>
                <w:color w:val="000000"/>
                <w:kern w:val="0"/>
                <w:szCs w:val="21"/>
              </w:rPr>
            </w:pPr>
            <w:r>
              <w:rPr>
                <w:color w:val="000000"/>
                <w:kern w:val="0"/>
                <w:szCs w:val="21"/>
              </w:rPr>
              <w:t>0.5200</w:t>
            </w:r>
          </w:p>
        </w:tc>
        <w:tc>
          <w:tcPr>
            <w:tcW w:w="0" w:type="auto"/>
            <w:noWrap w:val="0"/>
            <w:vAlign w:val="center"/>
          </w:tcPr>
          <w:p w14:paraId="408A6CCE">
            <w:pPr>
              <w:jc w:val="center"/>
              <w:rPr>
                <w:color w:val="000000"/>
                <w:kern w:val="0"/>
                <w:szCs w:val="21"/>
              </w:rPr>
            </w:pPr>
            <w:r>
              <w:rPr>
                <w:color w:val="000000"/>
                <w:kern w:val="0"/>
                <w:szCs w:val="21"/>
              </w:rPr>
              <w:t>2</w:t>
            </w:r>
          </w:p>
        </w:tc>
        <w:tc>
          <w:tcPr>
            <w:tcW w:w="0" w:type="auto"/>
            <w:noWrap/>
            <w:vAlign w:val="center"/>
          </w:tcPr>
          <w:p w14:paraId="36A73B74">
            <w:pPr>
              <w:jc w:val="center"/>
              <w:rPr>
                <w:color w:val="000000"/>
                <w:kern w:val="0"/>
                <w:szCs w:val="21"/>
              </w:rPr>
            </w:pPr>
            <w:r>
              <w:rPr>
                <w:color w:val="000000"/>
                <w:kern w:val="0"/>
                <w:szCs w:val="21"/>
              </w:rPr>
              <w:t>0</w:t>
            </w:r>
          </w:p>
        </w:tc>
      </w:tr>
      <w:tr w14:paraId="1C03E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3459D392">
            <w:pPr>
              <w:jc w:val="center"/>
              <w:rPr>
                <w:color w:val="000000"/>
                <w:kern w:val="0"/>
                <w:szCs w:val="21"/>
              </w:rPr>
            </w:pPr>
            <w:r>
              <w:rPr>
                <w:color w:val="000000"/>
                <w:kern w:val="0"/>
                <w:szCs w:val="21"/>
              </w:rPr>
              <w:t>10</w:t>
            </w:r>
          </w:p>
        </w:tc>
        <w:tc>
          <w:tcPr>
            <w:tcW w:w="958" w:type="dxa"/>
            <w:vMerge w:val="restart"/>
            <w:noWrap w:val="0"/>
            <w:vAlign w:val="center"/>
          </w:tcPr>
          <w:p w14:paraId="2EDB77D4">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桃园镇</w:t>
            </w:r>
          </w:p>
        </w:tc>
        <w:tc>
          <w:tcPr>
            <w:tcW w:w="851" w:type="dxa"/>
            <w:noWrap w:val="0"/>
            <w:vAlign w:val="center"/>
          </w:tcPr>
          <w:p w14:paraId="298E1535">
            <w:pPr>
              <w:jc w:val="center"/>
              <w:rPr>
                <w:color w:val="000000"/>
                <w:kern w:val="0"/>
                <w:szCs w:val="21"/>
              </w:rPr>
            </w:pPr>
            <w:r>
              <w:rPr>
                <w:color w:val="000000"/>
                <w:kern w:val="0"/>
                <w:szCs w:val="21"/>
              </w:rPr>
              <w:t>1</w:t>
            </w:r>
          </w:p>
        </w:tc>
        <w:tc>
          <w:tcPr>
            <w:tcW w:w="5046" w:type="dxa"/>
            <w:noWrap w:val="0"/>
            <w:vAlign w:val="center"/>
          </w:tcPr>
          <w:p w14:paraId="6DFECABC">
            <w:pPr>
              <w:rPr>
                <w:rFonts w:hint="eastAsia" w:ascii="楷体_GB2312" w:hAnsi="宋体" w:eastAsia="楷体_GB2312" w:cs="宋体"/>
                <w:color w:val="000000"/>
                <w:kern w:val="0"/>
                <w:szCs w:val="21"/>
              </w:rPr>
            </w:pPr>
            <w:r>
              <w:rPr>
                <w:rFonts w:hint="eastAsia" w:ascii="楷体_GB2312" w:hAnsi="宋体" w:eastAsia="楷体_GB2312" w:cs="宋体"/>
                <w:color w:val="000000"/>
                <w:kern w:val="0"/>
                <w:szCs w:val="21"/>
              </w:rPr>
              <w:t>区域一：东至宿怀南路，南至农贸市场南侧道路，西至谷岭路，北至桃园大街、新园路</w:t>
            </w:r>
          </w:p>
          <w:p w14:paraId="2ECE778B">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区域二：东至振北路，南至加油站北侧道路，西至宿怀南路，北至北杨寨中心小学北侧道路</w:t>
            </w:r>
          </w:p>
        </w:tc>
        <w:tc>
          <w:tcPr>
            <w:tcW w:w="794" w:type="dxa"/>
            <w:noWrap w:val="0"/>
            <w:vAlign w:val="center"/>
          </w:tcPr>
          <w:p w14:paraId="0212F8FD">
            <w:pPr>
              <w:jc w:val="center"/>
              <w:rPr>
                <w:color w:val="000000"/>
                <w:kern w:val="0"/>
                <w:szCs w:val="21"/>
              </w:rPr>
            </w:pPr>
            <w:r>
              <w:rPr>
                <w:color w:val="000000"/>
                <w:kern w:val="0"/>
                <w:szCs w:val="21"/>
              </w:rPr>
              <w:t>1.0000</w:t>
            </w:r>
          </w:p>
        </w:tc>
        <w:tc>
          <w:tcPr>
            <w:tcW w:w="0" w:type="auto"/>
            <w:noWrap w:val="0"/>
            <w:vAlign w:val="center"/>
          </w:tcPr>
          <w:p w14:paraId="6014247D">
            <w:pPr>
              <w:jc w:val="center"/>
              <w:rPr>
                <w:color w:val="000000"/>
                <w:kern w:val="0"/>
                <w:szCs w:val="21"/>
              </w:rPr>
            </w:pPr>
            <w:r>
              <w:rPr>
                <w:color w:val="000000"/>
                <w:kern w:val="0"/>
                <w:szCs w:val="21"/>
              </w:rPr>
              <w:t>1</w:t>
            </w:r>
          </w:p>
        </w:tc>
        <w:tc>
          <w:tcPr>
            <w:tcW w:w="0" w:type="auto"/>
            <w:noWrap/>
            <w:vAlign w:val="center"/>
          </w:tcPr>
          <w:p w14:paraId="0C477639">
            <w:pPr>
              <w:jc w:val="center"/>
              <w:rPr>
                <w:color w:val="000000"/>
                <w:kern w:val="0"/>
                <w:szCs w:val="21"/>
              </w:rPr>
            </w:pPr>
            <w:r>
              <w:rPr>
                <w:color w:val="000000"/>
                <w:kern w:val="0"/>
                <w:szCs w:val="21"/>
              </w:rPr>
              <w:t>100</w:t>
            </w:r>
          </w:p>
        </w:tc>
      </w:tr>
      <w:tr w14:paraId="08154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474E2EE9">
            <w:pPr>
              <w:rPr>
                <w:color w:val="000000"/>
                <w:kern w:val="0"/>
                <w:szCs w:val="21"/>
              </w:rPr>
            </w:pPr>
          </w:p>
        </w:tc>
        <w:tc>
          <w:tcPr>
            <w:tcW w:w="958" w:type="dxa"/>
            <w:vMerge w:val="continue"/>
            <w:noWrap w:val="0"/>
            <w:vAlign w:val="center"/>
          </w:tcPr>
          <w:p w14:paraId="3F6BA97E">
            <w:pPr>
              <w:ind w:left="-105" w:leftChars="-50" w:right="-105" w:rightChars="-50"/>
              <w:rPr>
                <w:rFonts w:ascii="楷体_GB2312" w:hAnsi="宋体" w:eastAsia="楷体_GB2312" w:cs="宋体"/>
                <w:color w:val="000000"/>
                <w:kern w:val="0"/>
                <w:szCs w:val="21"/>
              </w:rPr>
            </w:pPr>
          </w:p>
        </w:tc>
        <w:tc>
          <w:tcPr>
            <w:tcW w:w="851" w:type="dxa"/>
            <w:noWrap w:val="0"/>
            <w:vAlign w:val="center"/>
          </w:tcPr>
          <w:p w14:paraId="54206BC2">
            <w:pPr>
              <w:jc w:val="center"/>
              <w:rPr>
                <w:color w:val="000000"/>
                <w:kern w:val="0"/>
                <w:szCs w:val="21"/>
              </w:rPr>
            </w:pPr>
            <w:r>
              <w:rPr>
                <w:color w:val="000000"/>
                <w:kern w:val="0"/>
                <w:szCs w:val="21"/>
              </w:rPr>
              <w:t>2</w:t>
            </w:r>
          </w:p>
        </w:tc>
        <w:tc>
          <w:tcPr>
            <w:tcW w:w="5046" w:type="dxa"/>
            <w:noWrap w:val="0"/>
            <w:vAlign w:val="center"/>
          </w:tcPr>
          <w:p w14:paraId="4D08B963">
            <w:pPr>
              <w:rPr>
                <w:rFonts w:hint="eastAsia" w:ascii="楷体_GB2312" w:hAnsi="宋体" w:eastAsia="楷体_GB2312" w:cs="宋体"/>
                <w:color w:val="000000"/>
                <w:kern w:val="0"/>
                <w:szCs w:val="21"/>
              </w:rPr>
            </w:pPr>
            <w:r>
              <w:rPr>
                <w:rFonts w:hint="eastAsia" w:ascii="楷体_GB2312" w:hAnsi="宋体" w:eastAsia="楷体_GB2312" w:cs="宋体"/>
                <w:color w:val="000000"/>
                <w:kern w:val="0"/>
                <w:szCs w:val="21"/>
              </w:rPr>
              <w:t>区域一：东至宿怀南路、定级边界，南至学前路，西至运西路，北至新园路</w:t>
            </w:r>
          </w:p>
          <w:p w14:paraId="309F4476">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区域二：东至杨寨路，南至交通路，西至广场路，北至池湖路</w:t>
            </w:r>
          </w:p>
        </w:tc>
        <w:tc>
          <w:tcPr>
            <w:tcW w:w="794" w:type="dxa"/>
            <w:noWrap w:val="0"/>
            <w:vAlign w:val="center"/>
          </w:tcPr>
          <w:p w14:paraId="72FA316F">
            <w:pPr>
              <w:jc w:val="center"/>
              <w:rPr>
                <w:color w:val="000000"/>
                <w:kern w:val="0"/>
                <w:szCs w:val="21"/>
              </w:rPr>
            </w:pPr>
            <w:r>
              <w:rPr>
                <w:color w:val="000000"/>
                <w:kern w:val="0"/>
                <w:szCs w:val="21"/>
              </w:rPr>
              <w:t>0.8333</w:t>
            </w:r>
          </w:p>
        </w:tc>
        <w:tc>
          <w:tcPr>
            <w:tcW w:w="0" w:type="auto"/>
            <w:noWrap w:val="0"/>
            <w:vAlign w:val="center"/>
          </w:tcPr>
          <w:p w14:paraId="26A62D02">
            <w:pPr>
              <w:jc w:val="center"/>
              <w:rPr>
                <w:color w:val="000000"/>
                <w:kern w:val="0"/>
                <w:szCs w:val="21"/>
              </w:rPr>
            </w:pPr>
            <w:r>
              <w:rPr>
                <w:color w:val="000000"/>
                <w:kern w:val="0"/>
                <w:szCs w:val="21"/>
              </w:rPr>
              <w:t>2</w:t>
            </w:r>
          </w:p>
        </w:tc>
        <w:tc>
          <w:tcPr>
            <w:tcW w:w="0" w:type="auto"/>
            <w:noWrap/>
            <w:vAlign w:val="center"/>
          </w:tcPr>
          <w:p w14:paraId="05FA2EE1">
            <w:pPr>
              <w:jc w:val="center"/>
              <w:rPr>
                <w:color w:val="000000"/>
                <w:kern w:val="0"/>
                <w:szCs w:val="21"/>
              </w:rPr>
            </w:pPr>
            <w:r>
              <w:rPr>
                <w:color w:val="000000"/>
                <w:kern w:val="0"/>
                <w:szCs w:val="21"/>
              </w:rPr>
              <w:t>50</w:t>
            </w:r>
          </w:p>
        </w:tc>
      </w:tr>
      <w:tr w14:paraId="5E186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57684E5C">
            <w:pPr>
              <w:rPr>
                <w:color w:val="000000"/>
                <w:kern w:val="0"/>
                <w:szCs w:val="21"/>
              </w:rPr>
            </w:pPr>
          </w:p>
        </w:tc>
        <w:tc>
          <w:tcPr>
            <w:tcW w:w="958" w:type="dxa"/>
            <w:vMerge w:val="continue"/>
            <w:noWrap w:val="0"/>
            <w:vAlign w:val="center"/>
          </w:tcPr>
          <w:p w14:paraId="597DD99F">
            <w:pPr>
              <w:ind w:left="-105" w:leftChars="-50" w:right="-105" w:rightChars="-50"/>
              <w:rPr>
                <w:rFonts w:ascii="楷体_GB2312" w:hAnsi="宋体" w:eastAsia="楷体_GB2312" w:cs="宋体"/>
                <w:color w:val="000000"/>
                <w:kern w:val="0"/>
                <w:szCs w:val="21"/>
              </w:rPr>
            </w:pPr>
          </w:p>
        </w:tc>
        <w:tc>
          <w:tcPr>
            <w:tcW w:w="851" w:type="dxa"/>
            <w:noWrap w:val="0"/>
            <w:vAlign w:val="center"/>
          </w:tcPr>
          <w:p w14:paraId="0CECC1AE">
            <w:pPr>
              <w:jc w:val="center"/>
              <w:rPr>
                <w:color w:val="000000"/>
                <w:kern w:val="0"/>
                <w:szCs w:val="21"/>
              </w:rPr>
            </w:pPr>
            <w:r>
              <w:rPr>
                <w:color w:val="000000"/>
                <w:kern w:val="0"/>
                <w:szCs w:val="21"/>
              </w:rPr>
              <w:t>3</w:t>
            </w:r>
          </w:p>
        </w:tc>
        <w:tc>
          <w:tcPr>
            <w:tcW w:w="5046" w:type="dxa"/>
            <w:noWrap w:val="0"/>
            <w:vAlign w:val="center"/>
          </w:tcPr>
          <w:p w14:paraId="73D08ACB">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94" w:type="dxa"/>
            <w:noWrap/>
            <w:vAlign w:val="center"/>
          </w:tcPr>
          <w:p w14:paraId="3085CE59">
            <w:pPr>
              <w:jc w:val="center"/>
              <w:rPr>
                <w:color w:val="000000"/>
                <w:kern w:val="0"/>
                <w:szCs w:val="21"/>
              </w:rPr>
            </w:pPr>
            <w:r>
              <w:rPr>
                <w:color w:val="000000"/>
                <w:kern w:val="0"/>
                <w:szCs w:val="21"/>
              </w:rPr>
              <w:t>0.6667</w:t>
            </w:r>
          </w:p>
        </w:tc>
        <w:tc>
          <w:tcPr>
            <w:tcW w:w="0" w:type="auto"/>
            <w:noWrap w:val="0"/>
            <w:vAlign w:val="center"/>
          </w:tcPr>
          <w:p w14:paraId="007BEFEB">
            <w:pPr>
              <w:jc w:val="center"/>
              <w:rPr>
                <w:color w:val="000000"/>
                <w:kern w:val="0"/>
                <w:szCs w:val="21"/>
              </w:rPr>
            </w:pPr>
            <w:r>
              <w:rPr>
                <w:color w:val="000000"/>
                <w:kern w:val="0"/>
                <w:szCs w:val="21"/>
              </w:rPr>
              <w:t>3</w:t>
            </w:r>
          </w:p>
        </w:tc>
        <w:tc>
          <w:tcPr>
            <w:tcW w:w="0" w:type="auto"/>
            <w:noWrap/>
            <w:vAlign w:val="center"/>
          </w:tcPr>
          <w:p w14:paraId="03826A3E">
            <w:pPr>
              <w:jc w:val="center"/>
              <w:rPr>
                <w:color w:val="000000"/>
                <w:kern w:val="0"/>
                <w:szCs w:val="21"/>
              </w:rPr>
            </w:pPr>
            <w:r>
              <w:rPr>
                <w:color w:val="000000"/>
                <w:kern w:val="0"/>
                <w:szCs w:val="21"/>
              </w:rPr>
              <w:t>0</w:t>
            </w:r>
          </w:p>
        </w:tc>
      </w:tr>
      <w:tr w14:paraId="2606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040B722F">
            <w:pPr>
              <w:jc w:val="center"/>
              <w:rPr>
                <w:color w:val="000000"/>
                <w:kern w:val="0"/>
                <w:szCs w:val="21"/>
              </w:rPr>
            </w:pPr>
            <w:r>
              <w:rPr>
                <w:color w:val="000000"/>
                <w:kern w:val="0"/>
                <w:szCs w:val="21"/>
              </w:rPr>
              <w:t>11</w:t>
            </w:r>
          </w:p>
        </w:tc>
        <w:tc>
          <w:tcPr>
            <w:tcW w:w="958" w:type="dxa"/>
            <w:vMerge w:val="restart"/>
            <w:noWrap w:val="0"/>
            <w:vAlign w:val="center"/>
          </w:tcPr>
          <w:p w14:paraId="6673515F">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曹村镇</w:t>
            </w:r>
          </w:p>
        </w:tc>
        <w:tc>
          <w:tcPr>
            <w:tcW w:w="851" w:type="dxa"/>
            <w:noWrap w:val="0"/>
            <w:vAlign w:val="center"/>
          </w:tcPr>
          <w:p w14:paraId="01B08EC6">
            <w:pPr>
              <w:jc w:val="center"/>
              <w:rPr>
                <w:color w:val="000000"/>
                <w:kern w:val="0"/>
                <w:szCs w:val="21"/>
              </w:rPr>
            </w:pPr>
            <w:r>
              <w:rPr>
                <w:color w:val="000000"/>
                <w:kern w:val="0"/>
                <w:szCs w:val="21"/>
              </w:rPr>
              <w:t>1</w:t>
            </w:r>
          </w:p>
        </w:tc>
        <w:tc>
          <w:tcPr>
            <w:tcW w:w="5046" w:type="dxa"/>
            <w:noWrap w:val="0"/>
            <w:vAlign w:val="center"/>
          </w:tcPr>
          <w:p w14:paraId="1873CA62">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东至曹村中心小学东侧道路、环东路，南至镇中一路，西至西环路，北至中学路</w:t>
            </w:r>
          </w:p>
        </w:tc>
        <w:tc>
          <w:tcPr>
            <w:tcW w:w="794" w:type="dxa"/>
            <w:noWrap w:val="0"/>
            <w:vAlign w:val="center"/>
          </w:tcPr>
          <w:p w14:paraId="4F08BEB5">
            <w:pPr>
              <w:jc w:val="center"/>
              <w:rPr>
                <w:color w:val="000000"/>
                <w:kern w:val="0"/>
                <w:szCs w:val="21"/>
              </w:rPr>
            </w:pPr>
            <w:r>
              <w:rPr>
                <w:color w:val="000000"/>
                <w:kern w:val="0"/>
                <w:szCs w:val="21"/>
              </w:rPr>
              <w:t>1.0000</w:t>
            </w:r>
          </w:p>
        </w:tc>
        <w:tc>
          <w:tcPr>
            <w:tcW w:w="0" w:type="auto"/>
            <w:noWrap w:val="0"/>
            <w:vAlign w:val="center"/>
          </w:tcPr>
          <w:p w14:paraId="689921AA">
            <w:pPr>
              <w:jc w:val="center"/>
              <w:rPr>
                <w:color w:val="000000"/>
                <w:kern w:val="0"/>
                <w:szCs w:val="21"/>
              </w:rPr>
            </w:pPr>
            <w:r>
              <w:rPr>
                <w:color w:val="000000"/>
                <w:kern w:val="0"/>
                <w:szCs w:val="21"/>
              </w:rPr>
              <w:t>1</w:t>
            </w:r>
          </w:p>
        </w:tc>
        <w:tc>
          <w:tcPr>
            <w:tcW w:w="0" w:type="auto"/>
            <w:noWrap/>
            <w:vAlign w:val="center"/>
          </w:tcPr>
          <w:p w14:paraId="61FEA1CE">
            <w:pPr>
              <w:jc w:val="center"/>
              <w:rPr>
                <w:color w:val="000000"/>
                <w:kern w:val="0"/>
                <w:szCs w:val="21"/>
              </w:rPr>
            </w:pPr>
            <w:r>
              <w:rPr>
                <w:color w:val="000000"/>
                <w:kern w:val="0"/>
                <w:szCs w:val="21"/>
              </w:rPr>
              <w:t>100</w:t>
            </w:r>
          </w:p>
        </w:tc>
      </w:tr>
      <w:tr w14:paraId="7C846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1AA43400">
            <w:pPr>
              <w:rPr>
                <w:color w:val="000000"/>
                <w:kern w:val="0"/>
                <w:szCs w:val="21"/>
              </w:rPr>
            </w:pPr>
          </w:p>
        </w:tc>
        <w:tc>
          <w:tcPr>
            <w:tcW w:w="958" w:type="dxa"/>
            <w:vMerge w:val="continue"/>
            <w:noWrap w:val="0"/>
            <w:vAlign w:val="center"/>
          </w:tcPr>
          <w:p w14:paraId="0F89F70D">
            <w:pPr>
              <w:ind w:left="-105" w:leftChars="-50" w:right="-105" w:rightChars="-50"/>
              <w:rPr>
                <w:rFonts w:ascii="楷体_GB2312" w:hAnsi="宋体" w:eastAsia="楷体_GB2312" w:cs="宋体"/>
                <w:color w:val="000000"/>
                <w:kern w:val="0"/>
                <w:szCs w:val="21"/>
              </w:rPr>
            </w:pPr>
          </w:p>
        </w:tc>
        <w:tc>
          <w:tcPr>
            <w:tcW w:w="851" w:type="dxa"/>
            <w:noWrap w:val="0"/>
            <w:vAlign w:val="center"/>
          </w:tcPr>
          <w:p w14:paraId="73799C16">
            <w:pPr>
              <w:jc w:val="center"/>
              <w:rPr>
                <w:color w:val="000000"/>
                <w:kern w:val="0"/>
                <w:szCs w:val="21"/>
              </w:rPr>
            </w:pPr>
            <w:r>
              <w:rPr>
                <w:color w:val="000000"/>
                <w:kern w:val="0"/>
                <w:szCs w:val="21"/>
              </w:rPr>
              <w:t>2</w:t>
            </w:r>
          </w:p>
        </w:tc>
        <w:tc>
          <w:tcPr>
            <w:tcW w:w="5046" w:type="dxa"/>
            <w:noWrap w:val="0"/>
            <w:vAlign w:val="center"/>
          </w:tcPr>
          <w:p w14:paraId="03E2D444">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东至镇东路、环东路，南至环南路，西至京沪铁路，北至环北路</w:t>
            </w:r>
          </w:p>
        </w:tc>
        <w:tc>
          <w:tcPr>
            <w:tcW w:w="794" w:type="dxa"/>
            <w:noWrap w:val="0"/>
            <w:vAlign w:val="center"/>
          </w:tcPr>
          <w:p w14:paraId="315B3DA4">
            <w:pPr>
              <w:jc w:val="center"/>
              <w:rPr>
                <w:color w:val="000000"/>
                <w:kern w:val="0"/>
                <w:szCs w:val="21"/>
              </w:rPr>
            </w:pPr>
            <w:r>
              <w:rPr>
                <w:color w:val="000000"/>
                <w:kern w:val="0"/>
                <w:szCs w:val="21"/>
              </w:rPr>
              <w:t>0.8333</w:t>
            </w:r>
          </w:p>
        </w:tc>
        <w:tc>
          <w:tcPr>
            <w:tcW w:w="0" w:type="auto"/>
            <w:noWrap w:val="0"/>
            <w:vAlign w:val="center"/>
          </w:tcPr>
          <w:p w14:paraId="2B073694">
            <w:pPr>
              <w:jc w:val="center"/>
              <w:rPr>
                <w:color w:val="000000"/>
                <w:kern w:val="0"/>
                <w:szCs w:val="21"/>
              </w:rPr>
            </w:pPr>
            <w:r>
              <w:rPr>
                <w:color w:val="000000"/>
                <w:kern w:val="0"/>
                <w:szCs w:val="21"/>
              </w:rPr>
              <w:t>2</w:t>
            </w:r>
          </w:p>
        </w:tc>
        <w:tc>
          <w:tcPr>
            <w:tcW w:w="0" w:type="auto"/>
            <w:noWrap/>
            <w:vAlign w:val="center"/>
          </w:tcPr>
          <w:p w14:paraId="3195C1A5">
            <w:pPr>
              <w:jc w:val="center"/>
              <w:rPr>
                <w:color w:val="000000"/>
                <w:kern w:val="0"/>
                <w:szCs w:val="21"/>
              </w:rPr>
            </w:pPr>
            <w:r>
              <w:rPr>
                <w:color w:val="000000"/>
                <w:kern w:val="0"/>
                <w:szCs w:val="21"/>
              </w:rPr>
              <w:t>50</w:t>
            </w:r>
          </w:p>
        </w:tc>
      </w:tr>
      <w:tr w14:paraId="7B2EC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64C08001">
            <w:pPr>
              <w:rPr>
                <w:color w:val="000000"/>
                <w:kern w:val="0"/>
                <w:szCs w:val="21"/>
              </w:rPr>
            </w:pPr>
          </w:p>
        </w:tc>
        <w:tc>
          <w:tcPr>
            <w:tcW w:w="958" w:type="dxa"/>
            <w:vMerge w:val="continue"/>
            <w:noWrap w:val="0"/>
            <w:vAlign w:val="center"/>
          </w:tcPr>
          <w:p w14:paraId="0BD2D63F">
            <w:pPr>
              <w:ind w:left="-105" w:leftChars="-50" w:right="-105" w:rightChars="-50"/>
              <w:rPr>
                <w:rFonts w:ascii="楷体_GB2312" w:hAnsi="宋体" w:eastAsia="楷体_GB2312" w:cs="宋体"/>
                <w:color w:val="000000"/>
                <w:kern w:val="0"/>
                <w:szCs w:val="21"/>
              </w:rPr>
            </w:pPr>
          </w:p>
        </w:tc>
        <w:tc>
          <w:tcPr>
            <w:tcW w:w="851" w:type="dxa"/>
            <w:noWrap w:val="0"/>
            <w:vAlign w:val="center"/>
          </w:tcPr>
          <w:p w14:paraId="6718FFCC">
            <w:pPr>
              <w:jc w:val="center"/>
              <w:rPr>
                <w:color w:val="000000"/>
                <w:kern w:val="0"/>
                <w:szCs w:val="21"/>
              </w:rPr>
            </w:pPr>
            <w:r>
              <w:rPr>
                <w:color w:val="000000"/>
                <w:kern w:val="0"/>
                <w:szCs w:val="21"/>
              </w:rPr>
              <w:t>3</w:t>
            </w:r>
          </w:p>
        </w:tc>
        <w:tc>
          <w:tcPr>
            <w:tcW w:w="5046" w:type="dxa"/>
            <w:noWrap w:val="0"/>
            <w:vAlign w:val="center"/>
          </w:tcPr>
          <w:p w14:paraId="795D8C0E">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定级范围扣除一、二级地范围</w:t>
            </w:r>
          </w:p>
        </w:tc>
        <w:tc>
          <w:tcPr>
            <w:tcW w:w="794" w:type="dxa"/>
            <w:noWrap/>
            <w:vAlign w:val="center"/>
          </w:tcPr>
          <w:p w14:paraId="0CE39D7C">
            <w:pPr>
              <w:jc w:val="center"/>
              <w:rPr>
                <w:color w:val="000000"/>
                <w:kern w:val="0"/>
                <w:szCs w:val="21"/>
              </w:rPr>
            </w:pPr>
            <w:r>
              <w:rPr>
                <w:color w:val="000000"/>
                <w:kern w:val="0"/>
                <w:szCs w:val="21"/>
              </w:rPr>
              <w:t>0.6667</w:t>
            </w:r>
          </w:p>
        </w:tc>
        <w:tc>
          <w:tcPr>
            <w:tcW w:w="0" w:type="auto"/>
            <w:noWrap w:val="0"/>
            <w:vAlign w:val="center"/>
          </w:tcPr>
          <w:p w14:paraId="68816AC3">
            <w:pPr>
              <w:jc w:val="center"/>
              <w:rPr>
                <w:color w:val="000000"/>
                <w:kern w:val="0"/>
                <w:szCs w:val="21"/>
              </w:rPr>
            </w:pPr>
            <w:r>
              <w:rPr>
                <w:color w:val="000000"/>
                <w:kern w:val="0"/>
                <w:szCs w:val="21"/>
              </w:rPr>
              <w:t>3</w:t>
            </w:r>
          </w:p>
        </w:tc>
        <w:tc>
          <w:tcPr>
            <w:tcW w:w="0" w:type="auto"/>
            <w:noWrap/>
            <w:vAlign w:val="center"/>
          </w:tcPr>
          <w:p w14:paraId="391C14A8">
            <w:pPr>
              <w:jc w:val="center"/>
              <w:rPr>
                <w:color w:val="000000"/>
                <w:kern w:val="0"/>
                <w:szCs w:val="21"/>
              </w:rPr>
            </w:pPr>
            <w:r>
              <w:rPr>
                <w:color w:val="000000"/>
                <w:kern w:val="0"/>
                <w:szCs w:val="21"/>
              </w:rPr>
              <w:t>0</w:t>
            </w:r>
          </w:p>
        </w:tc>
      </w:tr>
      <w:tr w14:paraId="6A13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742B93DA">
            <w:pPr>
              <w:jc w:val="center"/>
              <w:rPr>
                <w:color w:val="000000"/>
                <w:kern w:val="0"/>
                <w:szCs w:val="21"/>
              </w:rPr>
            </w:pPr>
            <w:r>
              <w:rPr>
                <w:color w:val="000000"/>
                <w:kern w:val="0"/>
                <w:szCs w:val="21"/>
              </w:rPr>
              <w:t>12</w:t>
            </w:r>
          </w:p>
        </w:tc>
        <w:tc>
          <w:tcPr>
            <w:tcW w:w="958" w:type="dxa"/>
            <w:vMerge w:val="restart"/>
            <w:noWrap w:val="0"/>
            <w:vAlign w:val="center"/>
          </w:tcPr>
          <w:p w14:paraId="46C2FBBC">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大营镇</w:t>
            </w:r>
          </w:p>
        </w:tc>
        <w:tc>
          <w:tcPr>
            <w:tcW w:w="851" w:type="dxa"/>
            <w:noWrap w:val="0"/>
            <w:vAlign w:val="center"/>
          </w:tcPr>
          <w:p w14:paraId="428C25A4">
            <w:pPr>
              <w:jc w:val="center"/>
              <w:rPr>
                <w:color w:val="000000"/>
                <w:kern w:val="0"/>
                <w:szCs w:val="21"/>
              </w:rPr>
            </w:pPr>
            <w:r>
              <w:rPr>
                <w:color w:val="000000"/>
                <w:kern w:val="0"/>
                <w:szCs w:val="21"/>
              </w:rPr>
              <w:t>1</w:t>
            </w:r>
          </w:p>
        </w:tc>
        <w:tc>
          <w:tcPr>
            <w:tcW w:w="5046" w:type="dxa"/>
            <w:noWrap w:val="0"/>
            <w:vAlign w:val="center"/>
          </w:tcPr>
          <w:p w14:paraId="3E6A6560">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东至兴大路、解放沟，南至</w:t>
            </w:r>
            <w:r>
              <w:rPr>
                <w:rFonts w:hint="eastAsia" w:ascii="宋体" w:hAnsi="宋体" w:cs="宋体"/>
                <w:color w:val="000000"/>
                <w:kern w:val="0"/>
                <w:szCs w:val="21"/>
              </w:rPr>
              <w:t>澥</w:t>
            </w:r>
            <w:r>
              <w:rPr>
                <w:rFonts w:hint="eastAsia" w:ascii="楷体_GB2312" w:hAnsi="宋体" w:eastAsia="楷体_GB2312" w:cs="宋体"/>
                <w:color w:val="000000"/>
                <w:kern w:val="0"/>
                <w:szCs w:val="21"/>
              </w:rPr>
              <w:t>河路、民安路，西至蕲大路、银兴河路，北至邓陈路、沿江路</w:t>
            </w:r>
          </w:p>
        </w:tc>
        <w:tc>
          <w:tcPr>
            <w:tcW w:w="794" w:type="dxa"/>
            <w:noWrap w:val="0"/>
            <w:vAlign w:val="center"/>
          </w:tcPr>
          <w:p w14:paraId="0DD24F31">
            <w:pPr>
              <w:jc w:val="center"/>
              <w:rPr>
                <w:color w:val="000000"/>
                <w:kern w:val="0"/>
                <w:szCs w:val="21"/>
              </w:rPr>
            </w:pPr>
            <w:r>
              <w:rPr>
                <w:color w:val="000000"/>
                <w:kern w:val="0"/>
                <w:szCs w:val="21"/>
              </w:rPr>
              <w:t>1.0000</w:t>
            </w:r>
          </w:p>
        </w:tc>
        <w:tc>
          <w:tcPr>
            <w:tcW w:w="0" w:type="auto"/>
            <w:noWrap w:val="0"/>
            <w:vAlign w:val="center"/>
          </w:tcPr>
          <w:p w14:paraId="3303F96C">
            <w:pPr>
              <w:jc w:val="center"/>
              <w:rPr>
                <w:color w:val="000000"/>
                <w:kern w:val="0"/>
                <w:szCs w:val="21"/>
              </w:rPr>
            </w:pPr>
            <w:r>
              <w:rPr>
                <w:color w:val="000000"/>
                <w:kern w:val="0"/>
                <w:szCs w:val="21"/>
              </w:rPr>
              <w:t>1</w:t>
            </w:r>
          </w:p>
        </w:tc>
        <w:tc>
          <w:tcPr>
            <w:tcW w:w="0" w:type="auto"/>
            <w:noWrap/>
            <w:vAlign w:val="center"/>
          </w:tcPr>
          <w:p w14:paraId="3E3F00E8">
            <w:pPr>
              <w:jc w:val="center"/>
              <w:rPr>
                <w:color w:val="000000"/>
                <w:kern w:val="0"/>
                <w:szCs w:val="21"/>
              </w:rPr>
            </w:pPr>
            <w:r>
              <w:rPr>
                <w:color w:val="000000"/>
                <w:kern w:val="0"/>
                <w:szCs w:val="21"/>
              </w:rPr>
              <w:t>100</w:t>
            </w:r>
          </w:p>
        </w:tc>
      </w:tr>
      <w:tr w14:paraId="56E3D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5C4A04DA">
            <w:pPr>
              <w:rPr>
                <w:color w:val="000000"/>
                <w:kern w:val="0"/>
                <w:szCs w:val="21"/>
              </w:rPr>
            </w:pPr>
          </w:p>
        </w:tc>
        <w:tc>
          <w:tcPr>
            <w:tcW w:w="958" w:type="dxa"/>
            <w:vMerge w:val="continue"/>
            <w:noWrap w:val="0"/>
            <w:vAlign w:val="center"/>
          </w:tcPr>
          <w:p w14:paraId="37D281D2">
            <w:pPr>
              <w:ind w:left="-105" w:leftChars="-50" w:right="-105" w:rightChars="-50"/>
              <w:rPr>
                <w:rFonts w:ascii="楷体_GB2312" w:hAnsi="宋体" w:eastAsia="楷体_GB2312" w:cs="宋体"/>
                <w:color w:val="000000"/>
                <w:kern w:val="0"/>
                <w:szCs w:val="21"/>
              </w:rPr>
            </w:pPr>
          </w:p>
        </w:tc>
        <w:tc>
          <w:tcPr>
            <w:tcW w:w="851" w:type="dxa"/>
            <w:noWrap w:val="0"/>
            <w:vAlign w:val="center"/>
          </w:tcPr>
          <w:p w14:paraId="31765638">
            <w:pPr>
              <w:jc w:val="center"/>
              <w:rPr>
                <w:color w:val="000000"/>
                <w:kern w:val="0"/>
                <w:szCs w:val="21"/>
              </w:rPr>
            </w:pPr>
            <w:r>
              <w:rPr>
                <w:color w:val="000000"/>
                <w:kern w:val="0"/>
                <w:szCs w:val="21"/>
              </w:rPr>
              <w:t>2</w:t>
            </w:r>
          </w:p>
        </w:tc>
        <w:tc>
          <w:tcPr>
            <w:tcW w:w="5046" w:type="dxa"/>
            <w:noWrap w:val="0"/>
            <w:vAlign w:val="center"/>
          </w:tcPr>
          <w:p w14:paraId="58976E4D">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794" w:type="dxa"/>
            <w:noWrap/>
            <w:vAlign w:val="center"/>
          </w:tcPr>
          <w:p w14:paraId="7B623ACD">
            <w:pPr>
              <w:jc w:val="center"/>
              <w:rPr>
                <w:color w:val="000000"/>
                <w:kern w:val="0"/>
                <w:szCs w:val="21"/>
              </w:rPr>
            </w:pPr>
            <w:r>
              <w:rPr>
                <w:color w:val="000000"/>
                <w:kern w:val="0"/>
                <w:szCs w:val="21"/>
              </w:rPr>
              <w:t>0.5200</w:t>
            </w:r>
          </w:p>
        </w:tc>
        <w:tc>
          <w:tcPr>
            <w:tcW w:w="0" w:type="auto"/>
            <w:noWrap w:val="0"/>
            <w:vAlign w:val="center"/>
          </w:tcPr>
          <w:p w14:paraId="05F44E58">
            <w:pPr>
              <w:jc w:val="center"/>
              <w:rPr>
                <w:color w:val="000000"/>
                <w:kern w:val="0"/>
                <w:szCs w:val="21"/>
              </w:rPr>
            </w:pPr>
            <w:r>
              <w:rPr>
                <w:color w:val="000000"/>
                <w:kern w:val="0"/>
                <w:szCs w:val="21"/>
              </w:rPr>
              <w:t>2</w:t>
            </w:r>
          </w:p>
        </w:tc>
        <w:tc>
          <w:tcPr>
            <w:tcW w:w="0" w:type="auto"/>
            <w:noWrap/>
            <w:vAlign w:val="center"/>
          </w:tcPr>
          <w:p w14:paraId="695E76CA">
            <w:pPr>
              <w:jc w:val="center"/>
              <w:rPr>
                <w:color w:val="000000"/>
                <w:kern w:val="0"/>
                <w:szCs w:val="21"/>
              </w:rPr>
            </w:pPr>
            <w:r>
              <w:rPr>
                <w:color w:val="000000"/>
                <w:kern w:val="0"/>
                <w:szCs w:val="21"/>
              </w:rPr>
              <w:t>0</w:t>
            </w:r>
          </w:p>
        </w:tc>
      </w:tr>
      <w:tr w14:paraId="6D376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380A55E6">
            <w:pPr>
              <w:jc w:val="center"/>
              <w:rPr>
                <w:color w:val="000000"/>
                <w:kern w:val="0"/>
                <w:szCs w:val="21"/>
              </w:rPr>
            </w:pPr>
            <w:r>
              <w:rPr>
                <w:color w:val="000000"/>
                <w:kern w:val="0"/>
                <w:szCs w:val="21"/>
              </w:rPr>
              <w:t>13</w:t>
            </w:r>
          </w:p>
        </w:tc>
        <w:tc>
          <w:tcPr>
            <w:tcW w:w="958" w:type="dxa"/>
            <w:vMerge w:val="restart"/>
            <w:noWrap w:val="0"/>
            <w:vAlign w:val="center"/>
          </w:tcPr>
          <w:p w14:paraId="26D31C75">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褚兰镇</w:t>
            </w:r>
          </w:p>
        </w:tc>
        <w:tc>
          <w:tcPr>
            <w:tcW w:w="851" w:type="dxa"/>
            <w:noWrap w:val="0"/>
            <w:vAlign w:val="center"/>
          </w:tcPr>
          <w:p w14:paraId="757EAF9A">
            <w:pPr>
              <w:jc w:val="center"/>
              <w:rPr>
                <w:color w:val="000000"/>
                <w:kern w:val="0"/>
                <w:szCs w:val="21"/>
              </w:rPr>
            </w:pPr>
            <w:r>
              <w:rPr>
                <w:color w:val="000000"/>
                <w:kern w:val="0"/>
                <w:szCs w:val="21"/>
              </w:rPr>
              <w:t>1</w:t>
            </w:r>
          </w:p>
        </w:tc>
        <w:tc>
          <w:tcPr>
            <w:tcW w:w="5046" w:type="dxa"/>
            <w:noWrap w:val="0"/>
            <w:vAlign w:val="center"/>
          </w:tcPr>
          <w:p w14:paraId="212DBFC9">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东至康安路，南至腾飞路、定级边界，西至滨水路，北至褚岗路</w:t>
            </w:r>
          </w:p>
        </w:tc>
        <w:tc>
          <w:tcPr>
            <w:tcW w:w="794" w:type="dxa"/>
            <w:noWrap w:val="0"/>
            <w:vAlign w:val="center"/>
          </w:tcPr>
          <w:p w14:paraId="24A1CBEB">
            <w:pPr>
              <w:jc w:val="center"/>
              <w:rPr>
                <w:color w:val="000000"/>
                <w:kern w:val="0"/>
                <w:szCs w:val="21"/>
              </w:rPr>
            </w:pPr>
            <w:r>
              <w:rPr>
                <w:color w:val="000000"/>
                <w:kern w:val="0"/>
                <w:szCs w:val="21"/>
              </w:rPr>
              <w:t>1.0000</w:t>
            </w:r>
          </w:p>
        </w:tc>
        <w:tc>
          <w:tcPr>
            <w:tcW w:w="0" w:type="auto"/>
            <w:noWrap w:val="0"/>
            <w:vAlign w:val="center"/>
          </w:tcPr>
          <w:p w14:paraId="570EC705">
            <w:pPr>
              <w:jc w:val="center"/>
              <w:rPr>
                <w:color w:val="000000"/>
                <w:kern w:val="0"/>
                <w:szCs w:val="21"/>
              </w:rPr>
            </w:pPr>
            <w:r>
              <w:rPr>
                <w:color w:val="000000"/>
                <w:kern w:val="0"/>
                <w:szCs w:val="21"/>
              </w:rPr>
              <w:t>1</w:t>
            </w:r>
          </w:p>
        </w:tc>
        <w:tc>
          <w:tcPr>
            <w:tcW w:w="0" w:type="auto"/>
            <w:noWrap/>
            <w:vAlign w:val="center"/>
          </w:tcPr>
          <w:p w14:paraId="0A80D43C">
            <w:pPr>
              <w:jc w:val="center"/>
              <w:rPr>
                <w:color w:val="000000"/>
                <w:kern w:val="0"/>
                <w:szCs w:val="21"/>
              </w:rPr>
            </w:pPr>
            <w:r>
              <w:rPr>
                <w:color w:val="000000"/>
                <w:kern w:val="0"/>
                <w:szCs w:val="21"/>
              </w:rPr>
              <w:t>100</w:t>
            </w:r>
          </w:p>
        </w:tc>
      </w:tr>
      <w:tr w14:paraId="6B84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058B3521">
            <w:pPr>
              <w:rPr>
                <w:color w:val="000000"/>
                <w:kern w:val="0"/>
                <w:szCs w:val="21"/>
              </w:rPr>
            </w:pPr>
          </w:p>
        </w:tc>
        <w:tc>
          <w:tcPr>
            <w:tcW w:w="958" w:type="dxa"/>
            <w:vMerge w:val="continue"/>
            <w:noWrap w:val="0"/>
            <w:vAlign w:val="center"/>
          </w:tcPr>
          <w:p w14:paraId="34885363">
            <w:pPr>
              <w:ind w:left="-105" w:leftChars="-50" w:right="-105" w:rightChars="-50"/>
              <w:rPr>
                <w:rFonts w:ascii="楷体_GB2312" w:hAnsi="宋体" w:eastAsia="楷体_GB2312" w:cs="宋体"/>
                <w:color w:val="000000"/>
                <w:kern w:val="0"/>
                <w:szCs w:val="21"/>
              </w:rPr>
            </w:pPr>
          </w:p>
        </w:tc>
        <w:tc>
          <w:tcPr>
            <w:tcW w:w="851" w:type="dxa"/>
            <w:noWrap w:val="0"/>
            <w:vAlign w:val="center"/>
          </w:tcPr>
          <w:p w14:paraId="632936DC">
            <w:pPr>
              <w:jc w:val="center"/>
              <w:rPr>
                <w:color w:val="000000"/>
                <w:kern w:val="0"/>
                <w:szCs w:val="21"/>
              </w:rPr>
            </w:pPr>
            <w:r>
              <w:rPr>
                <w:color w:val="000000"/>
                <w:kern w:val="0"/>
                <w:szCs w:val="21"/>
              </w:rPr>
              <w:t>2</w:t>
            </w:r>
          </w:p>
        </w:tc>
        <w:tc>
          <w:tcPr>
            <w:tcW w:w="5046" w:type="dxa"/>
            <w:noWrap w:val="0"/>
            <w:vAlign w:val="center"/>
          </w:tcPr>
          <w:p w14:paraId="25199BFF">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794" w:type="dxa"/>
            <w:noWrap/>
            <w:vAlign w:val="center"/>
          </w:tcPr>
          <w:p w14:paraId="1AD23719">
            <w:pPr>
              <w:jc w:val="center"/>
              <w:rPr>
                <w:color w:val="000000"/>
                <w:kern w:val="0"/>
                <w:szCs w:val="21"/>
              </w:rPr>
            </w:pPr>
            <w:r>
              <w:rPr>
                <w:color w:val="000000"/>
                <w:kern w:val="0"/>
                <w:szCs w:val="21"/>
              </w:rPr>
              <w:t>0.5200</w:t>
            </w:r>
          </w:p>
        </w:tc>
        <w:tc>
          <w:tcPr>
            <w:tcW w:w="0" w:type="auto"/>
            <w:noWrap w:val="0"/>
            <w:vAlign w:val="center"/>
          </w:tcPr>
          <w:p w14:paraId="26AB0496">
            <w:pPr>
              <w:jc w:val="center"/>
              <w:rPr>
                <w:color w:val="000000"/>
                <w:kern w:val="0"/>
                <w:szCs w:val="21"/>
              </w:rPr>
            </w:pPr>
            <w:r>
              <w:rPr>
                <w:color w:val="000000"/>
                <w:kern w:val="0"/>
                <w:szCs w:val="21"/>
              </w:rPr>
              <w:t>2</w:t>
            </w:r>
          </w:p>
        </w:tc>
        <w:tc>
          <w:tcPr>
            <w:tcW w:w="0" w:type="auto"/>
            <w:noWrap/>
            <w:vAlign w:val="center"/>
          </w:tcPr>
          <w:p w14:paraId="4D0E7536">
            <w:pPr>
              <w:jc w:val="center"/>
              <w:rPr>
                <w:color w:val="000000"/>
                <w:kern w:val="0"/>
                <w:szCs w:val="21"/>
              </w:rPr>
            </w:pPr>
            <w:r>
              <w:rPr>
                <w:color w:val="000000"/>
                <w:kern w:val="0"/>
                <w:szCs w:val="21"/>
              </w:rPr>
              <w:t>0</w:t>
            </w:r>
          </w:p>
        </w:tc>
      </w:tr>
      <w:tr w14:paraId="0B35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494FE1EA">
            <w:pPr>
              <w:jc w:val="center"/>
              <w:rPr>
                <w:color w:val="000000"/>
                <w:kern w:val="0"/>
                <w:szCs w:val="21"/>
              </w:rPr>
            </w:pPr>
            <w:r>
              <w:rPr>
                <w:color w:val="000000"/>
                <w:kern w:val="0"/>
                <w:szCs w:val="21"/>
              </w:rPr>
              <w:t>14</w:t>
            </w:r>
          </w:p>
        </w:tc>
        <w:tc>
          <w:tcPr>
            <w:tcW w:w="958" w:type="dxa"/>
            <w:vMerge w:val="restart"/>
            <w:noWrap w:val="0"/>
            <w:vAlign w:val="center"/>
          </w:tcPr>
          <w:p w14:paraId="26C3E204">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顺河镇</w:t>
            </w:r>
          </w:p>
        </w:tc>
        <w:tc>
          <w:tcPr>
            <w:tcW w:w="851" w:type="dxa"/>
            <w:noWrap w:val="0"/>
            <w:vAlign w:val="center"/>
          </w:tcPr>
          <w:p w14:paraId="10A36013">
            <w:pPr>
              <w:jc w:val="center"/>
              <w:rPr>
                <w:color w:val="000000"/>
                <w:kern w:val="0"/>
                <w:szCs w:val="21"/>
              </w:rPr>
            </w:pPr>
            <w:r>
              <w:rPr>
                <w:color w:val="000000"/>
                <w:kern w:val="0"/>
                <w:szCs w:val="21"/>
              </w:rPr>
              <w:t>1</w:t>
            </w:r>
          </w:p>
        </w:tc>
        <w:tc>
          <w:tcPr>
            <w:tcW w:w="5046" w:type="dxa"/>
            <w:noWrap w:val="0"/>
            <w:vAlign w:val="center"/>
          </w:tcPr>
          <w:p w14:paraId="0F39F6F3">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东至万顺路，南至定级边界，西至经十二路，北至</w:t>
            </w:r>
            <w:r>
              <w:rPr>
                <w:rFonts w:eastAsia="楷体_GB2312"/>
                <w:color w:val="000000"/>
                <w:kern w:val="0"/>
                <w:szCs w:val="21"/>
              </w:rPr>
              <w:t>032</w:t>
            </w:r>
            <w:r>
              <w:rPr>
                <w:rFonts w:hint="eastAsia" w:ascii="楷体_GB2312" w:hAnsi="宋体" w:eastAsia="楷体_GB2312" w:cs="宋体"/>
                <w:color w:val="000000"/>
                <w:kern w:val="0"/>
                <w:szCs w:val="21"/>
              </w:rPr>
              <w:t>省道</w:t>
            </w:r>
          </w:p>
        </w:tc>
        <w:tc>
          <w:tcPr>
            <w:tcW w:w="794" w:type="dxa"/>
            <w:noWrap w:val="0"/>
            <w:vAlign w:val="center"/>
          </w:tcPr>
          <w:p w14:paraId="33E8F161">
            <w:pPr>
              <w:jc w:val="center"/>
              <w:rPr>
                <w:color w:val="000000"/>
                <w:kern w:val="0"/>
                <w:szCs w:val="21"/>
              </w:rPr>
            </w:pPr>
            <w:r>
              <w:rPr>
                <w:color w:val="000000"/>
                <w:kern w:val="0"/>
                <w:szCs w:val="21"/>
              </w:rPr>
              <w:t>1.0000</w:t>
            </w:r>
          </w:p>
        </w:tc>
        <w:tc>
          <w:tcPr>
            <w:tcW w:w="0" w:type="auto"/>
            <w:noWrap w:val="0"/>
            <w:vAlign w:val="center"/>
          </w:tcPr>
          <w:p w14:paraId="4A7A55AE">
            <w:pPr>
              <w:jc w:val="center"/>
              <w:rPr>
                <w:color w:val="000000"/>
                <w:kern w:val="0"/>
                <w:szCs w:val="21"/>
              </w:rPr>
            </w:pPr>
            <w:r>
              <w:rPr>
                <w:color w:val="000000"/>
                <w:kern w:val="0"/>
                <w:szCs w:val="21"/>
              </w:rPr>
              <w:t>1</w:t>
            </w:r>
          </w:p>
        </w:tc>
        <w:tc>
          <w:tcPr>
            <w:tcW w:w="0" w:type="auto"/>
            <w:noWrap/>
            <w:vAlign w:val="center"/>
          </w:tcPr>
          <w:p w14:paraId="6D0FA170">
            <w:pPr>
              <w:jc w:val="center"/>
              <w:rPr>
                <w:color w:val="000000"/>
                <w:kern w:val="0"/>
                <w:szCs w:val="21"/>
              </w:rPr>
            </w:pPr>
            <w:r>
              <w:rPr>
                <w:color w:val="000000"/>
                <w:kern w:val="0"/>
                <w:szCs w:val="21"/>
              </w:rPr>
              <w:t>100</w:t>
            </w:r>
          </w:p>
        </w:tc>
      </w:tr>
      <w:tr w14:paraId="521B8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1A7EB823">
            <w:pPr>
              <w:rPr>
                <w:color w:val="000000"/>
                <w:kern w:val="0"/>
                <w:szCs w:val="21"/>
              </w:rPr>
            </w:pPr>
          </w:p>
        </w:tc>
        <w:tc>
          <w:tcPr>
            <w:tcW w:w="958" w:type="dxa"/>
            <w:vMerge w:val="continue"/>
            <w:noWrap w:val="0"/>
            <w:vAlign w:val="center"/>
          </w:tcPr>
          <w:p w14:paraId="6A03E470">
            <w:pPr>
              <w:ind w:left="-105" w:leftChars="-50" w:right="-105" w:rightChars="-50"/>
              <w:rPr>
                <w:rFonts w:ascii="楷体_GB2312" w:hAnsi="宋体" w:eastAsia="楷体_GB2312" w:cs="宋体"/>
                <w:color w:val="000000"/>
                <w:kern w:val="0"/>
                <w:szCs w:val="21"/>
              </w:rPr>
            </w:pPr>
          </w:p>
        </w:tc>
        <w:tc>
          <w:tcPr>
            <w:tcW w:w="851" w:type="dxa"/>
            <w:noWrap w:val="0"/>
            <w:vAlign w:val="center"/>
          </w:tcPr>
          <w:p w14:paraId="63A84BA9">
            <w:pPr>
              <w:jc w:val="center"/>
              <w:rPr>
                <w:color w:val="000000"/>
                <w:kern w:val="0"/>
                <w:szCs w:val="21"/>
              </w:rPr>
            </w:pPr>
            <w:r>
              <w:rPr>
                <w:color w:val="000000"/>
                <w:kern w:val="0"/>
                <w:szCs w:val="21"/>
              </w:rPr>
              <w:t>2</w:t>
            </w:r>
          </w:p>
        </w:tc>
        <w:tc>
          <w:tcPr>
            <w:tcW w:w="5046" w:type="dxa"/>
            <w:noWrap w:val="0"/>
            <w:vAlign w:val="center"/>
          </w:tcPr>
          <w:p w14:paraId="0DE7FD30">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794" w:type="dxa"/>
            <w:noWrap/>
            <w:vAlign w:val="center"/>
          </w:tcPr>
          <w:p w14:paraId="19654B1C">
            <w:pPr>
              <w:jc w:val="center"/>
              <w:rPr>
                <w:color w:val="000000"/>
                <w:kern w:val="0"/>
                <w:szCs w:val="21"/>
              </w:rPr>
            </w:pPr>
            <w:r>
              <w:rPr>
                <w:color w:val="000000"/>
                <w:kern w:val="0"/>
                <w:szCs w:val="21"/>
              </w:rPr>
              <w:t>0.5200</w:t>
            </w:r>
          </w:p>
        </w:tc>
        <w:tc>
          <w:tcPr>
            <w:tcW w:w="0" w:type="auto"/>
            <w:noWrap w:val="0"/>
            <w:vAlign w:val="center"/>
          </w:tcPr>
          <w:p w14:paraId="306063D4">
            <w:pPr>
              <w:jc w:val="center"/>
              <w:rPr>
                <w:color w:val="000000"/>
                <w:kern w:val="0"/>
                <w:szCs w:val="21"/>
              </w:rPr>
            </w:pPr>
            <w:r>
              <w:rPr>
                <w:color w:val="000000"/>
                <w:kern w:val="0"/>
                <w:szCs w:val="21"/>
              </w:rPr>
              <w:t>2</w:t>
            </w:r>
          </w:p>
        </w:tc>
        <w:tc>
          <w:tcPr>
            <w:tcW w:w="0" w:type="auto"/>
            <w:noWrap/>
            <w:vAlign w:val="center"/>
          </w:tcPr>
          <w:p w14:paraId="1E8FD666">
            <w:pPr>
              <w:jc w:val="center"/>
              <w:rPr>
                <w:color w:val="000000"/>
                <w:kern w:val="0"/>
                <w:szCs w:val="21"/>
              </w:rPr>
            </w:pPr>
            <w:r>
              <w:rPr>
                <w:color w:val="000000"/>
                <w:kern w:val="0"/>
                <w:szCs w:val="21"/>
              </w:rPr>
              <w:t>0</w:t>
            </w:r>
          </w:p>
        </w:tc>
      </w:tr>
      <w:tr w14:paraId="78DF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6648C320">
            <w:pPr>
              <w:jc w:val="center"/>
              <w:rPr>
                <w:color w:val="000000"/>
                <w:kern w:val="0"/>
                <w:szCs w:val="21"/>
              </w:rPr>
            </w:pPr>
            <w:r>
              <w:rPr>
                <w:color w:val="000000"/>
                <w:kern w:val="0"/>
                <w:szCs w:val="21"/>
              </w:rPr>
              <w:t>15</w:t>
            </w:r>
          </w:p>
        </w:tc>
        <w:tc>
          <w:tcPr>
            <w:tcW w:w="958" w:type="dxa"/>
            <w:vMerge w:val="restart"/>
            <w:noWrap w:val="0"/>
            <w:vAlign w:val="center"/>
          </w:tcPr>
          <w:p w14:paraId="23E926F3">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杨庄镇</w:t>
            </w:r>
          </w:p>
        </w:tc>
        <w:tc>
          <w:tcPr>
            <w:tcW w:w="851" w:type="dxa"/>
            <w:noWrap w:val="0"/>
            <w:vAlign w:val="center"/>
          </w:tcPr>
          <w:p w14:paraId="3FA04E1C">
            <w:pPr>
              <w:jc w:val="center"/>
              <w:rPr>
                <w:color w:val="000000"/>
                <w:kern w:val="0"/>
                <w:szCs w:val="21"/>
              </w:rPr>
            </w:pPr>
            <w:r>
              <w:rPr>
                <w:color w:val="000000"/>
                <w:kern w:val="0"/>
                <w:szCs w:val="21"/>
              </w:rPr>
              <w:t>1</w:t>
            </w:r>
          </w:p>
        </w:tc>
        <w:tc>
          <w:tcPr>
            <w:tcW w:w="5046" w:type="dxa"/>
            <w:noWrap w:val="0"/>
            <w:vAlign w:val="center"/>
          </w:tcPr>
          <w:p w14:paraId="1B24B118">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东至科技大道，南至人民路，西至西外环路，北至北外环路</w:t>
            </w:r>
          </w:p>
        </w:tc>
        <w:tc>
          <w:tcPr>
            <w:tcW w:w="794" w:type="dxa"/>
            <w:noWrap w:val="0"/>
            <w:vAlign w:val="center"/>
          </w:tcPr>
          <w:p w14:paraId="4B0E4B7E">
            <w:pPr>
              <w:jc w:val="center"/>
              <w:rPr>
                <w:color w:val="000000"/>
                <w:kern w:val="0"/>
                <w:szCs w:val="21"/>
              </w:rPr>
            </w:pPr>
            <w:r>
              <w:rPr>
                <w:color w:val="000000"/>
                <w:kern w:val="0"/>
                <w:szCs w:val="21"/>
              </w:rPr>
              <w:t>1.0000</w:t>
            </w:r>
          </w:p>
        </w:tc>
        <w:tc>
          <w:tcPr>
            <w:tcW w:w="0" w:type="auto"/>
            <w:noWrap w:val="0"/>
            <w:vAlign w:val="center"/>
          </w:tcPr>
          <w:p w14:paraId="25523D1C">
            <w:pPr>
              <w:jc w:val="center"/>
              <w:rPr>
                <w:color w:val="000000"/>
                <w:kern w:val="0"/>
                <w:szCs w:val="21"/>
              </w:rPr>
            </w:pPr>
            <w:r>
              <w:rPr>
                <w:color w:val="000000"/>
                <w:kern w:val="0"/>
                <w:szCs w:val="21"/>
              </w:rPr>
              <w:t>1</w:t>
            </w:r>
          </w:p>
        </w:tc>
        <w:tc>
          <w:tcPr>
            <w:tcW w:w="0" w:type="auto"/>
            <w:noWrap/>
            <w:vAlign w:val="center"/>
          </w:tcPr>
          <w:p w14:paraId="7428CE38">
            <w:pPr>
              <w:jc w:val="center"/>
              <w:rPr>
                <w:color w:val="000000"/>
                <w:kern w:val="0"/>
                <w:szCs w:val="21"/>
              </w:rPr>
            </w:pPr>
            <w:r>
              <w:rPr>
                <w:color w:val="000000"/>
                <w:kern w:val="0"/>
                <w:szCs w:val="21"/>
              </w:rPr>
              <w:t>100</w:t>
            </w:r>
          </w:p>
        </w:tc>
      </w:tr>
      <w:tr w14:paraId="77661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7385A51B">
            <w:pPr>
              <w:rPr>
                <w:color w:val="000000"/>
                <w:kern w:val="0"/>
                <w:szCs w:val="21"/>
              </w:rPr>
            </w:pPr>
          </w:p>
        </w:tc>
        <w:tc>
          <w:tcPr>
            <w:tcW w:w="958" w:type="dxa"/>
            <w:vMerge w:val="continue"/>
            <w:noWrap w:val="0"/>
            <w:vAlign w:val="center"/>
          </w:tcPr>
          <w:p w14:paraId="7AAE07D1">
            <w:pPr>
              <w:ind w:left="-105" w:leftChars="-50" w:right="-105" w:rightChars="-50"/>
              <w:rPr>
                <w:rFonts w:ascii="楷体_GB2312" w:hAnsi="宋体" w:eastAsia="楷体_GB2312" w:cs="宋体"/>
                <w:color w:val="000000"/>
                <w:kern w:val="0"/>
                <w:szCs w:val="21"/>
              </w:rPr>
            </w:pPr>
          </w:p>
        </w:tc>
        <w:tc>
          <w:tcPr>
            <w:tcW w:w="851" w:type="dxa"/>
            <w:noWrap w:val="0"/>
            <w:vAlign w:val="center"/>
          </w:tcPr>
          <w:p w14:paraId="364E7BC5">
            <w:pPr>
              <w:jc w:val="center"/>
              <w:rPr>
                <w:color w:val="000000"/>
                <w:kern w:val="0"/>
                <w:szCs w:val="21"/>
              </w:rPr>
            </w:pPr>
            <w:r>
              <w:rPr>
                <w:color w:val="000000"/>
                <w:kern w:val="0"/>
                <w:szCs w:val="21"/>
              </w:rPr>
              <w:t>2</w:t>
            </w:r>
          </w:p>
        </w:tc>
        <w:tc>
          <w:tcPr>
            <w:tcW w:w="5046" w:type="dxa"/>
            <w:noWrap w:val="0"/>
            <w:vAlign w:val="center"/>
          </w:tcPr>
          <w:p w14:paraId="49640595">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794" w:type="dxa"/>
            <w:noWrap/>
            <w:vAlign w:val="center"/>
          </w:tcPr>
          <w:p w14:paraId="75118296">
            <w:pPr>
              <w:jc w:val="center"/>
              <w:rPr>
                <w:color w:val="000000"/>
                <w:kern w:val="0"/>
                <w:szCs w:val="21"/>
              </w:rPr>
            </w:pPr>
            <w:r>
              <w:rPr>
                <w:color w:val="000000"/>
                <w:kern w:val="0"/>
                <w:szCs w:val="21"/>
              </w:rPr>
              <w:t>0.6667</w:t>
            </w:r>
          </w:p>
        </w:tc>
        <w:tc>
          <w:tcPr>
            <w:tcW w:w="0" w:type="auto"/>
            <w:noWrap w:val="0"/>
            <w:vAlign w:val="center"/>
          </w:tcPr>
          <w:p w14:paraId="6DD82BC7">
            <w:pPr>
              <w:jc w:val="center"/>
              <w:rPr>
                <w:color w:val="000000"/>
                <w:kern w:val="0"/>
                <w:szCs w:val="21"/>
              </w:rPr>
            </w:pPr>
            <w:r>
              <w:rPr>
                <w:color w:val="000000"/>
                <w:kern w:val="0"/>
                <w:szCs w:val="21"/>
              </w:rPr>
              <w:t>2</w:t>
            </w:r>
          </w:p>
        </w:tc>
        <w:tc>
          <w:tcPr>
            <w:tcW w:w="0" w:type="auto"/>
            <w:noWrap/>
            <w:vAlign w:val="center"/>
          </w:tcPr>
          <w:p w14:paraId="4CD5F007">
            <w:pPr>
              <w:jc w:val="center"/>
              <w:rPr>
                <w:color w:val="000000"/>
                <w:kern w:val="0"/>
                <w:szCs w:val="21"/>
              </w:rPr>
            </w:pPr>
            <w:r>
              <w:rPr>
                <w:color w:val="000000"/>
                <w:kern w:val="0"/>
                <w:szCs w:val="21"/>
              </w:rPr>
              <w:t>0</w:t>
            </w:r>
          </w:p>
        </w:tc>
      </w:tr>
      <w:tr w14:paraId="49391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42D1D8B3">
            <w:pPr>
              <w:jc w:val="center"/>
              <w:rPr>
                <w:color w:val="000000"/>
                <w:kern w:val="0"/>
                <w:szCs w:val="21"/>
              </w:rPr>
            </w:pPr>
            <w:r>
              <w:rPr>
                <w:color w:val="000000"/>
                <w:kern w:val="0"/>
                <w:szCs w:val="21"/>
              </w:rPr>
              <w:t>16</w:t>
            </w:r>
          </w:p>
        </w:tc>
        <w:tc>
          <w:tcPr>
            <w:tcW w:w="958" w:type="dxa"/>
            <w:vMerge w:val="restart"/>
            <w:noWrap w:val="0"/>
            <w:vAlign w:val="center"/>
          </w:tcPr>
          <w:p w14:paraId="61FEA017">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永镇乡</w:t>
            </w:r>
          </w:p>
        </w:tc>
        <w:tc>
          <w:tcPr>
            <w:tcW w:w="851" w:type="dxa"/>
            <w:noWrap w:val="0"/>
            <w:vAlign w:val="center"/>
          </w:tcPr>
          <w:p w14:paraId="315506B1">
            <w:pPr>
              <w:jc w:val="center"/>
              <w:rPr>
                <w:color w:val="000000"/>
                <w:kern w:val="0"/>
                <w:szCs w:val="21"/>
              </w:rPr>
            </w:pPr>
            <w:r>
              <w:rPr>
                <w:color w:val="000000"/>
                <w:kern w:val="0"/>
                <w:szCs w:val="21"/>
              </w:rPr>
              <w:t>1</w:t>
            </w:r>
          </w:p>
        </w:tc>
        <w:tc>
          <w:tcPr>
            <w:tcW w:w="5046" w:type="dxa"/>
            <w:noWrap w:val="0"/>
            <w:vAlign w:val="center"/>
          </w:tcPr>
          <w:p w14:paraId="46A40DE3">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东至永明路，南至永富路，西至</w:t>
            </w:r>
            <w:r>
              <w:rPr>
                <w:rFonts w:eastAsia="楷体_GB2312"/>
                <w:color w:val="000000"/>
                <w:kern w:val="0"/>
                <w:szCs w:val="21"/>
              </w:rPr>
              <w:t>206</w:t>
            </w:r>
            <w:r>
              <w:rPr>
                <w:rFonts w:hint="eastAsia" w:ascii="楷体_GB2312" w:hAnsi="宋体" w:eastAsia="楷体_GB2312" w:cs="宋体"/>
                <w:color w:val="000000"/>
                <w:kern w:val="0"/>
                <w:szCs w:val="21"/>
              </w:rPr>
              <w:t>国道、卫生院西侧，北至永振路</w:t>
            </w:r>
          </w:p>
        </w:tc>
        <w:tc>
          <w:tcPr>
            <w:tcW w:w="794" w:type="dxa"/>
            <w:noWrap w:val="0"/>
            <w:vAlign w:val="center"/>
          </w:tcPr>
          <w:p w14:paraId="31618E77">
            <w:pPr>
              <w:jc w:val="center"/>
              <w:rPr>
                <w:color w:val="000000"/>
                <w:kern w:val="0"/>
                <w:szCs w:val="21"/>
              </w:rPr>
            </w:pPr>
            <w:r>
              <w:rPr>
                <w:color w:val="000000"/>
                <w:kern w:val="0"/>
                <w:szCs w:val="21"/>
              </w:rPr>
              <w:t>1.0000</w:t>
            </w:r>
          </w:p>
        </w:tc>
        <w:tc>
          <w:tcPr>
            <w:tcW w:w="0" w:type="auto"/>
            <w:noWrap w:val="0"/>
            <w:vAlign w:val="center"/>
          </w:tcPr>
          <w:p w14:paraId="417D4053">
            <w:pPr>
              <w:jc w:val="center"/>
              <w:rPr>
                <w:color w:val="000000"/>
                <w:kern w:val="0"/>
                <w:szCs w:val="21"/>
              </w:rPr>
            </w:pPr>
            <w:r>
              <w:rPr>
                <w:color w:val="000000"/>
                <w:kern w:val="0"/>
                <w:szCs w:val="21"/>
              </w:rPr>
              <w:t>1</w:t>
            </w:r>
          </w:p>
        </w:tc>
        <w:tc>
          <w:tcPr>
            <w:tcW w:w="0" w:type="auto"/>
            <w:noWrap/>
            <w:vAlign w:val="center"/>
          </w:tcPr>
          <w:p w14:paraId="35D1BE3C">
            <w:pPr>
              <w:jc w:val="center"/>
              <w:rPr>
                <w:color w:val="000000"/>
                <w:kern w:val="0"/>
                <w:szCs w:val="21"/>
              </w:rPr>
            </w:pPr>
            <w:r>
              <w:rPr>
                <w:color w:val="000000"/>
                <w:kern w:val="0"/>
                <w:szCs w:val="21"/>
              </w:rPr>
              <w:t>100</w:t>
            </w:r>
          </w:p>
        </w:tc>
      </w:tr>
      <w:tr w14:paraId="73168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526F6111">
            <w:pPr>
              <w:rPr>
                <w:color w:val="000000"/>
                <w:kern w:val="0"/>
                <w:szCs w:val="21"/>
              </w:rPr>
            </w:pPr>
          </w:p>
        </w:tc>
        <w:tc>
          <w:tcPr>
            <w:tcW w:w="958" w:type="dxa"/>
            <w:vMerge w:val="continue"/>
            <w:noWrap w:val="0"/>
            <w:vAlign w:val="center"/>
          </w:tcPr>
          <w:p w14:paraId="13E1B3CE">
            <w:pPr>
              <w:ind w:left="-105" w:leftChars="-50" w:right="-105" w:rightChars="-50"/>
              <w:rPr>
                <w:rFonts w:ascii="楷体_GB2312" w:hAnsi="宋体" w:eastAsia="楷体_GB2312" w:cs="宋体"/>
                <w:color w:val="000000"/>
                <w:kern w:val="0"/>
                <w:szCs w:val="21"/>
              </w:rPr>
            </w:pPr>
          </w:p>
        </w:tc>
        <w:tc>
          <w:tcPr>
            <w:tcW w:w="851" w:type="dxa"/>
            <w:noWrap w:val="0"/>
            <w:vAlign w:val="center"/>
          </w:tcPr>
          <w:p w14:paraId="7905DA5F">
            <w:pPr>
              <w:jc w:val="center"/>
              <w:rPr>
                <w:color w:val="000000"/>
                <w:kern w:val="0"/>
                <w:szCs w:val="21"/>
              </w:rPr>
            </w:pPr>
            <w:r>
              <w:rPr>
                <w:color w:val="000000"/>
                <w:kern w:val="0"/>
                <w:szCs w:val="21"/>
              </w:rPr>
              <w:t>2</w:t>
            </w:r>
          </w:p>
        </w:tc>
        <w:tc>
          <w:tcPr>
            <w:tcW w:w="5046" w:type="dxa"/>
            <w:noWrap w:val="0"/>
            <w:vAlign w:val="center"/>
          </w:tcPr>
          <w:p w14:paraId="5155B5B4">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794" w:type="dxa"/>
            <w:noWrap/>
            <w:vAlign w:val="center"/>
          </w:tcPr>
          <w:p w14:paraId="1E7F2A7B">
            <w:pPr>
              <w:jc w:val="center"/>
              <w:rPr>
                <w:color w:val="000000"/>
                <w:kern w:val="0"/>
                <w:szCs w:val="21"/>
              </w:rPr>
            </w:pPr>
            <w:r>
              <w:rPr>
                <w:color w:val="000000"/>
                <w:kern w:val="0"/>
                <w:szCs w:val="21"/>
              </w:rPr>
              <w:t>0.6667</w:t>
            </w:r>
          </w:p>
        </w:tc>
        <w:tc>
          <w:tcPr>
            <w:tcW w:w="0" w:type="auto"/>
            <w:noWrap w:val="0"/>
            <w:vAlign w:val="center"/>
          </w:tcPr>
          <w:p w14:paraId="2702BAA5">
            <w:pPr>
              <w:jc w:val="center"/>
              <w:rPr>
                <w:color w:val="000000"/>
                <w:kern w:val="0"/>
                <w:szCs w:val="21"/>
              </w:rPr>
            </w:pPr>
            <w:r>
              <w:rPr>
                <w:color w:val="000000"/>
                <w:kern w:val="0"/>
                <w:szCs w:val="21"/>
              </w:rPr>
              <w:t>2</w:t>
            </w:r>
          </w:p>
        </w:tc>
        <w:tc>
          <w:tcPr>
            <w:tcW w:w="0" w:type="auto"/>
            <w:noWrap/>
            <w:vAlign w:val="center"/>
          </w:tcPr>
          <w:p w14:paraId="3E99227C">
            <w:pPr>
              <w:jc w:val="center"/>
              <w:rPr>
                <w:color w:val="000000"/>
                <w:kern w:val="0"/>
                <w:szCs w:val="21"/>
              </w:rPr>
            </w:pPr>
            <w:r>
              <w:rPr>
                <w:color w:val="000000"/>
                <w:kern w:val="0"/>
                <w:szCs w:val="21"/>
              </w:rPr>
              <w:t>0</w:t>
            </w:r>
          </w:p>
        </w:tc>
      </w:tr>
      <w:tr w14:paraId="2927C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6DA98B02">
            <w:pPr>
              <w:jc w:val="center"/>
              <w:rPr>
                <w:color w:val="000000"/>
                <w:kern w:val="0"/>
                <w:szCs w:val="21"/>
              </w:rPr>
            </w:pPr>
            <w:r>
              <w:rPr>
                <w:color w:val="000000"/>
                <w:kern w:val="0"/>
                <w:szCs w:val="21"/>
              </w:rPr>
              <w:t>17</w:t>
            </w:r>
          </w:p>
        </w:tc>
        <w:tc>
          <w:tcPr>
            <w:tcW w:w="958" w:type="dxa"/>
            <w:vMerge w:val="restart"/>
            <w:noWrap w:val="0"/>
            <w:vAlign w:val="center"/>
          </w:tcPr>
          <w:p w14:paraId="2551BCF5">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解集镇</w:t>
            </w:r>
          </w:p>
        </w:tc>
        <w:tc>
          <w:tcPr>
            <w:tcW w:w="851" w:type="dxa"/>
            <w:noWrap w:val="0"/>
            <w:vAlign w:val="center"/>
          </w:tcPr>
          <w:p w14:paraId="731DE89D">
            <w:pPr>
              <w:jc w:val="center"/>
              <w:rPr>
                <w:color w:val="000000"/>
                <w:kern w:val="0"/>
                <w:szCs w:val="21"/>
              </w:rPr>
            </w:pPr>
            <w:r>
              <w:rPr>
                <w:color w:val="000000"/>
                <w:kern w:val="0"/>
                <w:szCs w:val="21"/>
              </w:rPr>
              <w:t>1</w:t>
            </w:r>
          </w:p>
        </w:tc>
        <w:tc>
          <w:tcPr>
            <w:tcW w:w="5046" w:type="dxa"/>
            <w:noWrap w:val="0"/>
            <w:vAlign w:val="center"/>
          </w:tcPr>
          <w:p w14:paraId="3C62DE90">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东至盛安路、福安路，南至新大街，西至河西路、拖尾河，北至山闵路</w:t>
            </w:r>
          </w:p>
        </w:tc>
        <w:tc>
          <w:tcPr>
            <w:tcW w:w="794" w:type="dxa"/>
            <w:noWrap w:val="0"/>
            <w:vAlign w:val="center"/>
          </w:tcPr>
          <w:p w14:paraId="4FB5FD3B">
            <w:pPr>
              <w:jc w:val="center"/>
              <w:rPr>
                <w:color w:val="000000"/>
                <w:kern w:val="0"/>
                <w:szCs w:val="21"/>
              </w:rPr>
            </w:pPr>
            <w:r>
              <w:rPr>
                <w:color w:val="000000"/>
                <w:kern w:val="0"/>
                <w:szCs w:val="21"/>
              </w:rPr>
              <w:t>1.0000</w:t>
            </w:r>
          </w:p>
        </w:tc>
        <w:tc>
          <w:tcPr>
            <w:tcW w:w="0" w:type="auto"/>
            <w:noWrap w:val="0"/>
            <w:vAlign w:val="center"/>
          </w:tcPr>
          <w:p w14:paraId="56D9DB0E">
            <w:pPr>
              <w:jc w:val="center"/>
              <w:rPr>
                <w:color w:val="000000"/>
                <w:kern w:val="0"/>
                <w:szCs w:val="21"/>
              </w:rPr>
            </w:pPr>
            <w:r>
              <w:rPr>
                <w:color w:val="000000"/>
                <w:kern w:val="0"/>
                <w:szCs w:val="21"/>
              </w:rPr>
              <w:t>1</w:t>
            </w:r>
          </w:p>
        </w:tc>
        <w:tc>
          <w:tcPr>
            <w:tcW w:w="0" w:type="auto"/>
            <w:noWrap/>
            <w:vAlign w:val="center"/>
          </w:tcPr>
          <w:p w14:paraId="13E59976">
            <w:pPr>
              <w:jc w:val="center"/>
              <w:rPr>
                <w:color w:val="000000"/>
                <w:kern w:val="0"/>
                <w:szCs w:val="21"/>
              </w:rPr>
            </w:pPr>
            <w:r>
              <w:rPr>
                <w:color w:val="000000"/>
                <w:kern w:val="0"/>
                <w:szCs w:val="21"/>
              </w:rPr>
              <w:t>100</w:t>
            </w:r>
          </w:p>
        </w:tc>
      </w:tr>
      <w:tr w14:paraId="1510C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17B897FA">
            <w:pPr>
              <w:rPr>
                <w:color w:val="000000"/>
                <w:kern w:val="0"/>
                <w:szCs w:val="21"/>
              </w:rPr>
            </w:pPr>
          </w:p>
        </w:tc>
        <w:tc>
          <w:tcPr>
            <w:tcW w:w="958" w:type="dxa"/>
            <w:vMerge w:val="continue"/>
            <w:noWrap w:val="0"/>
            <w:vAlign w:val="center"/>
          </w:tcPr>
          <w:p w14:paraId="0607F062">
            <w:pPr>
              <w:ind w:left="-105" w:leftChars="-50" w:right="-105" w:rightChars="-50"/>
              <w:rPr>
                <w:rFonts w:ascii="楷体_GB2312" w:hAnsi="宋体" w:eastAsia="楷体_GB2312" w:cs="宋体"/>
                <w:color w:val="000000"/>
                <w:kern w:val="0"/>
                <w:szCs w:val="21"/>
              </w:rPr>
            </w:pPr>
          </w:p>
        </w:tc>
        <w:tc>
          <w:tcPr>
            <w:tcW w:w="851" w:type="dxa"/>
            <w:noWrap w:val="0"/>
            <w:vAlign w:val="center"/>
          </w:tcPr>
          <w:p w14:paraId="786FA846">
            <w:pPr>
              <w:jc w:val="center"/>
              <w:rPr>
                <w:color w:val="000000"/>
                <w:kern w:val="0"/>
                <w:szCs w:val="21"/>
              </w:rPr>
            </w:pPr>
            <w:r>
              <w:rPr>
                <w:color w:val="000000"/>
                <w:kern w:val="0"/>
                <w:szCs w:val="21"/>
              </w:rPr>
              <w:t>2</w:t>
            </w:r>
          </w:p>
        </w:tc>
        <w:tc>
          <w:tcPr>
            <w:tcW w:w="5046" w:type="dxa"/>
            <w:noWrap w:val="0"/>
            <w:vAlign w:val="center"/>
          </w:tcPr>
          <w:p w14:paraId="2B5FEB1F">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794" w:type="dxa"/>
            <w:noWrap/>
            <w:vAlign w:val="center"/>
          </w:tcPr>
          <w:p w14:paraId="0101CD02">
            <w:pPr>
              <w:jc w:val="center"/>
              <w:rPr>
                <w:color w:val="000000"/>
                <w:kern w:val="0"/>
                <w:szCs w:val="21"/>
              </w:rPr>
            </w:pPr>
            <w:r>
              <w:rPr>
                <w:color w:val="000000"/>
                <w:kern w:val="0"/>
                <w:szCs w:val="21"/>
              </w:rPr>
              <w:t>0.5200</w:t>
            </w:r>
          </w:p>
        </w:tc>
        <w:tc>
          <w:tcPr>
            <w:tcW w:w="0" w:type="auto"/>
            <w:noWrap w:val="0"/>
            <w:vAlign w:val="center"/>
          </w:tcPr>
          <w:p w14:paraId="4A8C703C">
            <w:pPr>
              <w:jc w:val="center"/>
              <w:rPr>
                <w:color w:val="000000"/>
                <w:kern w:val="0"/>
                <w:szCs w:val="21"/>
              </w:rPr>
            </w:pPr>
            <w:r>
              <w:rPr>
                <w:color w:val="000000"/>
                <w:kern w:val="0"/>
                <w:szCs w:val="21"/>
              </w:rPr>
              <w:t>2</w:t>
            </w:r>
          </w:p>
        </w:tc>
        <w:tc>
          <w:tcPr>
            <w:tcW w:w="0" w:type="auto"/>
            <w:noWrap/>
            <w:vAlign w:val="center"/>
          </w:tcPr>
          <w:p w14:paraId="72B6EB31">
            <w:pPr>
              <w:jc w:val="center"/>
              <w:rPr>
                <w:color w:val="000000"/>
                <w:kern w:val="0"/>
                <w:szCs w:val="21"/>
              </w:rPr>
            </w:pPr>
            <w:r>
              <w:rPr>
                <w:color w:val="000000"/>
                <w:kern w:val="0"/>
                <w:szCs w:val="21"/>
              </w:rPr>
              <w:t>0</w:t>
            </w:r>
          </w:p>
        </w:tc>
      </w:tr>
      <w:tr w14:paraId="572D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5198772E">
            <w:pPr>
              <w:jc w:val="center"/>
              <w:rPr>
                <w:color w:val="000000"/>
                <w:kern w:val="0"/>
                <w:szCs w:val="21"/>
              </w:rPr>
            </w:pPr>
            <w:r>
              <w:rPr>
                <w:color w:val="000000"/>
                <w:kern w:val="0"/>
                <w:szCs w:val="21"/>
              </w:rPr>
              <w:t>18</w:t>
            </w:r>
          </w:p>
        </w:tc>
        <w:tc>
          <w:tcPr>
            <w:tcW w:w="958" w:type="dxa"/>
            <w:vMerge w:val="restart"/>
            <w:noWrap w:val="0"/>
            <w:vAlign w:val="center"/>
          </w:tcPr>
          <w:p w14:paraId="7D061818">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大泽乡镇</w:t>
            </w:r>
          </w:p>
        </w:tc>
        <w:tc>
          <w:tcPr>
            <w:tcW w:w="851" w:type="dxa"/>
            <w:noWrap w:val="0"/>
            <w:vAlign w:val="center"/>
          </w:tcPr>
          <w:p w14:paraId="6302318D">
            <w:pPr>
              <w:jc w:val="center"/>
              <w:rPr>
                <w:color w:val="000000"/>
                <w:kern w:val="0"/>
                <w:szCs w:val="21"/>
              </w:rPr>
            </w:pPr>
            <w:r>
              <w:rPr>
                <w:color w:val="000000"/>
                <w:kern w:val="0"/>
                <w:szCs w:val="21"/>
              </w:rPr>
              <w:t>1</w:t>
            </w:r>
          </w:p>
        </w:tc>
        <w:tc>
          <w:tcPr>
            <w:tcW w:w="5046" w:type="dxa"/>
            <w:noWrap w:val="0"/>
            <w:vAlign w:val="center"/>
          </w:tcPr>
          <w:p w14:paraId="132052A2">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东至亲民路，南至富民路，西至大泽路、新团沟，北至西桃路、</w:t>
            </w:r>
            <w:r>
              <w:rPr>
                <w:rFonts w:eastAsia="楷体_GB2312"/>
                <w:color w:val="000000"/>
                <w:kern w:val="0"/>
                <w:szCs w:val="21"/>
              </w:rPr>
              <w:t>344</w:t>
            </w:r>
            <w:r>
              <w:rPr>
                <w:rFonts w:hint="eastAsia" w:ascii="楷体_GB2312" w:hAnsi="宋体" w:eastAsia="楷体_GB2312" w:cs="宋体"/>
                <w:color w:val="000000"/>
                <w:kern w:val="0"/>
                <w:szCs w:val="21"/>
              </w:rPr>
              <w:t>国道</w:t>
            </w:r>
          </w:p>
        </w:tc>
        <w:tc>
          <w:tcPr>
            <w:tcW w:w="794" w:type="dxa"/>
            <w:noWrap w:val="0"/>
            <w:vAlign w:val="center"/>
          </w:tcPr>
          <w:p w14:paraId="41FE754B">
            <w:pPr>
              <w:jc w:val="center"/>
              <w:rPr>
                <w:color w:val="000000"/>
                <w:kern w:val="0"/>
                <w:szCs w:val="21"/>
              </w:rPr>
            </w:pPr>
            <w:r>
              <w:rPr>
                <w:color w:val="000000"/>
                <w:kern w:val="0"/>
                <w:szCs w:val="21"/>
              </w:rPr>
              <w:t>1.0000</w:t>
            </w:r>
          </w:p>
        </w:tc>
        <w:tc>
          <w:tcPr>
            <w:tcW w:w="0" w:type="auto"/>
            <w:noWrap w:val="0"/>
            <w:vAlign w:val="center"/>
          </w:tcPr>
          <w:p w14:paraId="6C656867">
            <w:pPr>
              <w:jc w:val="center"/>
              <w:rPr>
                <w:color w:val="000000"/>
                <w:kern w:val="0"/>
                <w:szCs w:val="21"/>
              </w:rPr>
            </w:pPr>
            <w:r>
              <w:rPr>
                <w:color w:val="000000"/>
                <w:kern w:val="0"/>
                <w:szCs w:val="21"/>
              </w:rPr>
              <w:t>1</w:t>
            </w:r>
          </w:p>
        </w:tc>
        <w:tc>
          <w:tcPr>
            <w:tcW w:w="0" w:type="auto"/>
            <w:noWrap/>
            <w:vAlign w:val="center"/>
          </w:tcPr>
          <w:p w14:paraId="5BAAFEDC">
            <w:pPr>
              <w:jc w:val="center"/>
              <w:rPr>
                <w:color w:val="000000"/>
                <w:kern w:val="0"/>
                <w:szCs w:val="21"/>
              </w:rPr>
            </w:pPr>
            <w:r>
              <w:rPr>
                <w:color w:val="000000"/>
                <w:kern w:val="0"/>
                <w:szCs w:val="21"/>
              </w:rPr>
              <w:t>100</w:t>
            </w:r>
          </w:p>
        </w:tc>
      </w:tr>
      <w:tr w14:paraId="49A22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4E7EC299">
            <w:pPr>
              <w:rPr>
                <w:color w:val="000000"/>
                <w:kern w:val="0"/>
                <w:szCs w:val="21"/>
              </w:rPr>
            </w:pPr>
          </w:p>
        </w:tc>
        <w:tc>
          <w:tcPr>
            <w:tcW w:w="958" w:type="dxa"/>
            <w:vMerge w:val="continue"/>
            <w:noWrap w:val="0"/>
            <w:vAlign w:val="center"/>
          </w:tcPr>
          <w:p w14:paraId="3F63AA73">
            <w:pPr>
              <w:ind w:left="-105" w:leftChars="-50" w:right="-105" w:rightChars="-50"/>
              <w:rPr>
                <w:rFonts w:ascii="楷体_GB2312" w:hAnsi="宋体" w:eastAsia="楷体_GB2312" w:cs="宋体"/>
                <w:color w:val="000000"/>
                <w:kern w:val="0"/>
                <w:szCs w:val="21"/>
              </w:rPr>
            </w:pPr>
          </w:p>
        </w:tc>
        <w:tc>
          <w:tcPr>
            <w:tcW w:w="851" w:type="dxa"/>
            <w:noWrap w:val="0"/>
            <w:vAlign w:val="center"/>
          </w:tcPr>
          <w:p w14:paraId="211DBE51">
            <w:pPr>
              <w:jc w:val="center"/>
              <w:rPr>
                <w:color w:val="000000"/>
                <w:kern w:val="0"/>
                <w:szCs w:val="21"/>
              </w:rPr>
            </w:pPr>
            <w:r>
              <w:rPr>
                <w:color w:val="000000"/>
                <w:kern w:val="0"/>
                <w:szCs w:val="21"/>
              </w:rPr>
              <w:t>2</w:t>
            </w:r>
          </w:p>
        </w:tc>
        <w:tc>
          <w:tcPr>
            <w:tcW w:w="5046" w:type="dxa"/>
            <w:noWrap w:val="0"/>
            <w:vAlign w:val="center"/>
          </w:tcPr>
          <w:p w14:paraId="65263EAB">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794" w:type="dxa"/>
            <w:noWrap/>
            <w:vAlign w:val="center"/>
          </w:tcPr>
          <w:p w14:paraId="60DD51C3">
            <w:pPr>
              <w:jc w:val="center"/>
              <w:rPr>
                <w:color w:val="000000"/>
                <w:kern w:val="0"/>
                <w:szCs w:val="21"/>
              </w:rPr>
            </w:pPr>
            <w:r>
              <w:rPr>
                <w:color w:val="000000"/>
                <w:kern w:val="0"/>
                <w:szCs w:val="21"/>
              </w:rPr>
              <w:t>0.5200</w:t>
            </w:r>
          </w:p>
        </w:tc>
        <w:tc>
          <w:tcPr>
            <w:tcW w:w="0" w:type="auto"/>
            <w:noWrap w:val="0"/>
            <w:vAlign w:val="center"/>
          </w:tcPr>
          <w:p w14:paraId="4F651895">
            <w:pPr>
              <w:jc w:val="center"/>
              <w:rPr>
                <w:color w:val="000000"/>
                <w:kern w:val="0"/>
                <w:szCs w:val="21"/>
              </w:rPr>
            </w:pPr>
            <w:r>
              <w:rPr>
                <w:color w:val="000000"/>
                <w:kern w:val="0"/>
                <w:szCs w:val="21"/>
              </w:rPr>
              <w:t>2</w:t>
            </w:r>
          </w:p>
        </w:tc>
        <w:tc>
          <w:tcPr>
            <w:tcW w:w="0" w:type="auto"/>
            <w:noWrap/>
            <w:vAlign w:val="center"/>
          </w:tcPr>
          <w:p w14:paraId="27F89ADA">
            <w:pPr>
              <w:jc w:val="center"/>
              <w:rPr>
                <w:color w:val="000000"/>
                <w:kern w:val="0"/>
                <w:szCs w:val="21"/>
              </w:rPr>
            </w:pPr>
            <w:r>
              <w:rPr>
                <w:color w:val="000000"/>
                <w:kern w:val="0"/>
                <w:szCs w:val="21"/>
              </w:rPr>
              <w:t>0</w:t>
            </w:r>
          </w:p>
        </w:tc>
      </w:tr>
      <w:tr w14:paraId="64122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4DE3FCD8">
            <w:pPr>
              <w:jc w:val="center"/>
              <w:rPr>
                <w:color w:val="000000"/>
                <w:kern w:val="0"/>
                <w:szCs w:val="21"/>
              </w:rPr>
            </w:pPr>
            <w:r>
              <w:rPr>
                <w:color w:val="000000"/>
                <w:kern w:val="0"/>
                <w:szCs w:val="21"/>
              </w:rPr>
              <w:t>19</w:t>
            </w:r>
          </w:p>
        </w:tc>
        <w:tc>
          <w:tcPr>
            <w:tcW w:w="958" w:type="dxa"/>
            <w:vMerge w:val="restart"/>
            <w:noWrap w:val="0"/>
            <w:vAlign w:val="center"/>
          </w:tcPr>
          <w:p w14:paraId="1B3AC6DA">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永安镇</w:t>
            </w:r>
          </w:p>
        </w:tc>
        <w:tc>
          <w:tcPr>
            <w:tcW w:w="851" w:type="dxa"/>
            <w:noWrap w:val="0"/>
            <w:vAlign w:val="center"/>
          </w:tcPr>
          <w:p w14:paraId="795BC623">
            <w:pPr>
              <w:jc w:val="center"/>
              <w:rPr>
                <w:color w:val="000000"/>
                <w:kern w:val="0"/>
                <w:szCs w:val="21"/>
              </w:rPr>
            </w:pPr>
            <w:r>
              <w:rPr>
                <w:color w:val="000000"/>
                <w:kern w:val="0"/>
                <w:szCs w:val="21"/>
              </w:rPr>
              <w:t>1</w:t>
            </w:r>
          </w:p>
        </w:tc>
        <w:tc>
          <w:tcPr>
            <w:tcW w:w="5046" w:type="dxa"/>
            <w:noWrap w:val="0"/>
            <w:vAlign w:val="center"/>
          </w:tcPr>
          <w:p w14:paraId="7145B425">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东至振兴路，南至永中沟，西至二徐路，北至镇北路</w:t>
            </w:r>
          </w:p>
        </w:tc>
        <w:tc>
          <w:tcPr>
            <w:tcW w:w="794" w:type="dxa"/>
            <w:noWrap w:val="0"/>
            <w:vAlign w:val="center"/>
          </w:tcPr>
          <w:p w14:paraId="44ECF079">
            <w:pPr>
              <w:jc w:val="center"/>
              <w:rPr>
                <w:color w:val="000000"/>
                <w:kern w:val="0"/>
                <w:szCs w:val="21"/>
              </w:rPr>
            </w:pPr>
            <w:r>
              <w:rPr>
                <w:color w:val="000000"/>
                <w:kern w:val="0"/>
                <w:szCs w:val="21"/>
              </w:rPr>
              <w:t>1.0000</w:t>
            </w:r>
          </w:p>
        </w:tc>
        <w:tc>
          <w:tcPr>
            <w:tcW w:w="0" w:type="auto"/>
            <w:noWrap w:val="0"/>
            <w:vAlign w:val="center"/>
          </w:tcPr>
          <w:p w14:paraId="1EB548D8">
            <w:pPr>
              <w:jc w:val="center"/>
              <w:rPr>
                <w:color w:val="000000"/>
                <w:kern w:val="0"/>
                <w:szCs w:val="21"/>
              </w:rPr>
            </w:pPr>
            <w:r>
              <w:rPr>
                <w:color w:val="000000"/>
                <w:kern w:val="0"/>
                <w:szCs w:val="21"/>
              </w:rPr>
              <w:t>1</w:t>
            </w:r>
          </w:p>
        </w:tc>
        <w:tc>
          <w:tcPr>
            <w:tcW w:w="0" w:type="auto"/>
            <w:noWrap/>
            <w:vAlign w:val="center"/>
          </w:tcPr>
          <w:p w14:paraId="25257DAB">
            <w:pPr>
              <w:jc w:val="center"/>
              <w:rPr>
                <w:color w:val="000000"/>
                <w:kern w:val="0"/>
                <w:szCs w:val="21"/>
              </w:rPr>
            </w:pPr>
            <w:r>
              <w:rPr>
                <w:color w:val="000000"/>
                <w:kern w:val="0"/>
                <w:szCs w:val="21"/>
              </w:rPr>
              <w:t>100</w:t>
            </w:r>
          </w:p>
        </w:tc>
      </w:tr>
      <w:tr w14:paraId="592A0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1DB6A5F7">
            <w:pPr>
              <w:rPr>
                <w:color w:val="000000"/>
                <w:kern w:val="0"/>
                <w:szCs w:val="21"/>
              </w:rPr>
            </w:pPr>
          </w:p>
        </w:tc>
        <w:tc>
          <w:tcPr>
            <w:tcW w:w="958" w:type="dxa"/>
            <w:vMerge w:val="continue"/>
            <w:noWrap w:val="0"/>
            <w:vAlign w:val="center"/>
          </w:tcPr>
          <w:p w14:paraId="296F6B92">
            <w:pPr>
              <w:ind w:left="-105" w:leftChars="-50" w:right="-105" w:rightChars="-50"/>
              <w:rPr>
                <w:rFonts w:ascii="楷体_GB2312" w:hAnsi="宋体" w:eastAsia="楷体_GB2312" w:cs="宋体"/>
                <w:color w:val="000000"/>
                <w:kern w:val="0"/>
                <w:szCs w:val="21"/>
              </w:rPr>
            </w:pPr>
          </w:p>
        </w:tc>
        <w:tc>
          <w:tcPr>
            <w:tcW w:w="851" w:type="dxa"/>
            <w:noWrap w:val="0"/>
            <w:vAlign w:val="center"/>
          </w:tcPr>
          <w:p w14:paraId="5F672451">
            <w:pPr>
              <w:jc w:val="center"/>
              <w:rPr>
                <w:color w:val="000000"/>
                <w:kern w:val="0"/>
                <w:szCs w:val="21"/>
              </w:rPr>
            </w:pPr>
            <w:r>
              <w:rPr>
                <w:color w:val="000000"/>
                <w:kern w:val="0"/>
                <w:szCs w:val="21"/>
              </w:rPr>
              <w:t>2</w:t>
            </w:r>
          </w:p>
        </w:tc>
        <w:tc>
          <w:tcPr>
            <w:tcW w:w="5046" w:type="dxa"/>
            <w:noWrap w:val="0"/>
            <w:vAlign w:val="center"/>
          </w:tcPr>
          <w:p w14:paraId="412230C2">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794" w:type="dxa"/>
            <w:noWrap/>
            <w:vAlign w:val="center"/>
          </w:tcPr>
          <w:p w14:paraId="4928C1EA">
            <w:pPr>
              <w:jc w:val="center"/>
              <w:rPr>
                <w:color w:val="000000"/>
                <w:kern w:val="0"/>
                <w:szCs w:val="21"/>
              </w:rPr>
            </w:pPr>
            <w:r>
              <w:rPr>
                <w:color w:val="000000"/>
                <w:kern w:val="0"/>
                <w:szCs w:val="21"/>
              </w:rPr>
              <w:t>0.5200</w:t>
            </w:r>
          </w:p>
        </w:tc>
        <w:tc>
          <w:tcPr>
            <w:tcW w:w="0" w:type="auto"/>
            <w:noWrap w:val="0"/>
            <w:vAlign w:val="center"/>
          </w:tcPr>
          <w:p w14:paraId="7466B3C8">
            <w:pPr>
              <w:jc w:val="center"/>
              <w:rPr>
                <w:color w:val="000000"/>
                <w:kern w:val="0"/>
                <w:szCs w:val="21"/>
              </w:rPr>
            </w:pPr>
            <w:r>
              <w:rPr>
                <w:color w:val="000000"/>
                <w:kern w:val="0"/>
                <w:szCs w:val="21"/>
              </w:rPr>
              <w:t>2</w:t>
            </w:r>
          </w:p>
        </w:tc>
        <w:tc>
          <w:tcPr>
            <w:tcW w:w="0" w:type="auto"/>
            <w:noWrap/>
            <w:vAlign w:val="center"/>
          </w:tcPr>
          <w:p w14:paraId="28FFB74A">
            <w:pPr>
              <w:jc w:val="center"/>
              <w:rPr>
                <w:color w:val="000000"/>
                <w:kern w:val="0"/>
                <w:szCs w:val="21"/>
              </w:rPr>
            </w:pPr>
            <w:r>
              <w:rPr>
                <w:color w:val="000000"/>
                <w:kern w:val="0"/>
                <w:szCs w:val="21"/>
              </w:rPr>
              <w:t>0</w:t>
            </w:r>
          </w:p>
        </w:tc>
      </w:tr>
      <w:tr w14:paraId="1517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12677E46">
            <w:pPr>
              <w:jc w:val="center"/>
              <w:rPr>
                <w:color w:val="000000"/>
                <w:kern w:val="0"/>
                <w:szCs w:val="21"/>
              </w:rPr>
            </w:pPr>
            <w:r>
              <w:rPr>
                <w:color w:val="000000"/>
                <w:kern w:val="0"/>
                <w:szCs w:val="21"/>
              </w:rPr>
              <w:t>20</w:t>
            </w:r>
          </w:p>
        </w:tc>
        <w:tc>
          <w:tcPr>
            <w:tcW w:w="958" w:type="dxa"/>
            <w:vMerge w:val="restart"/>
            <w:noWrap w:val="0"/>
            <w:vAlign w:val="center"/>
          </w:tcPr>
          <w:p w14:paraId="6340C26D">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支河乡</w:t>
            </w:r>
          </w:p>
        </w:tc>
        <w:tc>
          <w:tcPr>
            <w:tcW w:w="851" w:type="dxa"/>
            <w:noWrap w:val="0"/>
            <w:vAlign w:val="center"/>
          </w:tcPr>
          <w:p w14:paraId="7711E855">
            <w:pPr>
              <w:jc w:val="center"/>
              <w:rPr>
                <w:color w:val="000000"/>
                <w:kern w:val="0"/>
                <w:szCs w:val="21"/>
              </w:rPr>
            </w:pPr>
            <w:r>
              <w:rPr>
                <w:color w:val="000000"/>
                <w:kern w:val="0"/>
                <w:szCs w:val="21"/>
              </w:rPr>
              <w:t>1</w:t>
            </w:r>
          </w:p>
        </w:tc>
        <w:tc>
          <w:tcPr>
            <w:tcW w:w="5046" w:type="dxa"/>
            <w:noWrap w:val="0"/>
            <w:vAlign w:val="center"/>
          </w:tcPr>
          <w:p w14:paraId="5145366B">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东至中学路，南至外环南路，西至欧河路，北至定级边界</w:t>
            </w:r>
          </w:p>
        </w:tc>
        <w:tc>
          <w:tcPr>
            <w:tcW w:w="794" w:type="dxa"/>
            <w:noWrap w:val="0"/>
            <w:vAlign w:val="center"/>
          </w:tcPr>
          <w:p w14:paraId="1FAE8718">
            <w:pPr>
              <w:jc w:val="center"/>
              <w:rPr>
                <w:color w:val="000000"/>
                <w:kern w:val="0"/>
                <w:szCs w:val="21"/>
              </w:rPr>
            </w:pPr>
            <w:r>
              <w:rPr>
                <w:color w:val="000000"/>
                <w:kern w:val="0"/>
                <w:szCs w:val="21"/>
              </w:rPr>
              <w:t>1.0000</w:t>
            </w:r>
          </w:p>
        </w:tc>
        <w:tc>
          <w:tcPr>
            <w:tcW w:w="0" w:type="auto"/>
            <w:noWrap w:val="0"/>
            <w:vAlign w:val="center"/>
          </w:tcPr>
          <w:p w14:paraId="17EEAABD">
            <w:pPr>
              <w:jc w:val="center"/>
              <w:rPr>
                <w:color w:val="000000"/>
                <w:kern w:val="0"/>
                <w:szCs w:val="21"/>
              </w:rPr>
            </w:pPr>
            <w:r>
              <w:rPr>
                <w:color w:val="000000"/>
                <w:kern w:val="0"/>
                <w:szCs w:val="21"/>
              </w:rPr>
              <w:t>1</w:t>
            </w:r>
          </w:p>
        </w:tc>
        <w:tc>
          <w:tcPr>
            <w:tcW w:w="0" w:type="auto"/>
            <w:noWrap/>
            <w:vAlign w:val="center"/>
          </w:tcPr>
          <w:p w14:paraId="1F601307">
            <w:pPr>
              <w:jc w:val="center"/>
              <w:rPr>
                <w:color w:val="000000"/>
                <w:kern w:val="0"/>
                <w:szCs w:val="21"/>
              </w:rPr>
            </w:pPr>
            <w:r>
              <w:rPr>
                <w:color w:val="000000"/>
                <w:kern w:val="0"/>
                <w:szCs w:val="21"/>
              </w:rPr>
              <w:t>100</w:t>
            </w:r>
          </w:p>
        </w:tc>
      </w:tr>
      <w:tr w14:paraId="0A8AE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796EA8EF">
            <w:pPr>
              <w:rPr>
                <w:color w:val="000000"/>
                <w:kern w:val="0"/>
                <w:szCs w:val="21"/>
              </w:rPr>
            </w:pPr>
          </w:p>
        </w:tc>
        <w:tc>
          <w:tcPr>
            <w:tcW w:w="958" w:type="dxa"/>
            <w:vMerge w:val="continue"/>
            <w:noWrap w:val="0"/>
            <w:vAlign w:val="center"/>
          </w:tcPr>
          <w:p w14:paraId="7FC945AF">
            <w:pPr>
              <w:ind w:left="-105" w:leftChars="-50" w:right="-105" w:rightChars="-50"/>
              <w:rPr>
                <w:rFonts w:ascii="楷体_GB2312" w:hAnsi="宋体" w:eastAsia="楷体_GB2312" w:cs="宋体"/>
                <w:color w:val="000000"/>
                <w:kern w:val="0"/>
                <w:szCs w:val="21"/>
              </w:rPr>
            </w:pPr>
          </w:p>
        </w:tc>
        <w:tc>
          <w:tcPr>
            <w:tcW w:w="851" w:type="dxa"/>
            <w:noWrap w:val="0"/>
            <w:vAlign w:val="center"/>
          </w:tcPr>
          <w:p w14:paraId="656833BF">
            <w:pPr>
              <w:jc w:val="center"/>
              <w:rPr>
                <w:color w:val="000000"/>
                <w:kern w:val="0"/>
                <w:szCs w:val="21"/>
              </w:rPr>
            </w:pPr>
            <w:r>
              <w:rPr>
                <w:color w:val="000000"/>
                <w:kern w:val="0"/>
                <w:szCs w:val="21"/>
              </w:rPr>
              <w:t>2</w:t>
            </w:r>
          </w:p>
        </w:tc>
        <w:tc>
          <w:tcPr>
            <w:tcW w:w="5046" w:type="dxa"/>
            <w:noWrap w:val="0"/>
            <w:vAlign w:val="center"/>
          </w:tcPr>
          <w:p w14:paraId="527D85B3">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794" w:type="dxa"/>
            <w:noWrap/>
            <w:vAlign w:val="center"/>
          </w:tcPr>
          <w:p w14:paraId="2DB51C84">
            <w:pPr>
              <w:jc w:val="center"/>
              <w:rPr>
                <w:color w:val="000000"/>
                <w:kern w:val="0"/>
                <w:szCs w:val="21"/>
              </w:rPr>
            </w:pPr>
            <w:r>
              <w:rPr>
                <w:color w:val="000000"/>
                <w:kern w:val="0"/>
                <w:szCs w:val="21"/>
              </w:rPr>
              <w:t>0.5200</w:t>
            </w:r>
          </w:p>
        </w:tc>
        <w:tc>
          <w:tcPr>
            <w:tcW w:w="0" w:type="auto"/>
            <w:noWrap w:val="0"/>
            <w:vAlign w:val="center"/>
          </w:tcPr>
          <w:p w14:paraId="5571E095">
            <w:pPr>
              <w:jc w:val="center"/>
              <w:rPr>
                <w:color w:val="000000"/>
                <w:kern w:val="0"/>
                <w:szCs w:val="21"/>
              </w:rPr>
            </w:pPr>
            <w:r>
              <w:rPr>
                <w:color w:val="000000"/>
                <w:kern w:val="0"/>
                <w:szCs w:val="21"/>
              </w:rPr>
              <w:t>2</w:t>
            </w:r>
          </w:p>
        </w:tc>
        <w:tc>
          <w:tcPr>
            <w:tcW w:w="0" w:type="auto"/>
            <w:noWrap/>
            <w:vAlign w:val="center"/>
          </w:tcPr>
          <w:p w14:paraId="12CFB985">
            <w:pPr>
              <w:jc w:val="center"/>
              <w:rPr>
                <w:color w:val="000000"/>
                <w:kern w:val="0"/>
                <w:szCs w:val="21"/>
              </w:rPr>
            </w:pPr>
            <w:r>
              <w:rPr>
                <w:color w:val="000000"/>
                <w:kern w:val="0"/>
                <w:szCs w:val="21"/>
              </w:rPr>
              <w:t>0</w:t>
            </w:r>
          </w:p>
        </w:tc>
      </w:tr>
      <w:tr w14:paraId="20A0B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17E06CDB">
            <w:pPr>
              <w:jc w:val="center"/>
              <w:rPr>
                <w:color w:val="000000"/>
                <w:kern w:val="0"/>
                <w:szCs w:val="21"/>
              </w:rPr>
            </w:pPr>
            <w:r>
              <w:rPr>
                <w:color w:val="000000"/>
                <w:kern w:val="0"/>
                <w:szCs w:val="21"/>
              </w:rPr>
              <w:t>21</w:t>
            </w:r>
          </w:p>
        </w:tc>
        <w:tc>
          <w:tcPr>
            <w:tcW w:w="958" w:type="dxa"/>
            <w:vMerge w:val="restart"/>
            <w:noWrap w:val="0"/>
            <w:vAlign w:val="center"/>
          </w:tcPr>
          <w:p w14:paraId="42A89549">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灰古镇</w:t>
            </w:r>
          </w:p>
        </w:tc>
        <w:tc>
          <w:tcPr>
            <w:tcW w:w="851" w:type="dxa"/>
            <w:noWrap w:val="0"/>
            <w:vAlign w:val="center"/>
          </w:tcPr>
          <w:p w14:paraId="04D64FD4">
            <w:pPr>
              <w:jc w:val="center"/>
              <w:rPr>
                <w:color w:val="000000"/>
                <w:kern w:val="0"/>
                <w:szCs w:val="21"/>
              </w:rPr>
            </w:pPr>
            <w:r>
              <w:rPr>
                <w:color w:val="000000"/>
                <w:kern w:val="0"/>
                <w:szCs w:val="21"/>
              </w:rPr>
              <w:t>1</w:t>
            </w:r>
          </w:p>
        </w:tc>
        <w:tc>
          <w:tcPr>
            <w:tcW w:w="5046" w:type="dxa"/>
            <w:noWrap w:val="0"/>
            <w:vAlign w:val="center"/>
          </w:tcPr>
          <w:p w14:paraId="27EAE1FE">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东至北集路，南至南集路，西至二徐路西侧规划东路、二徐路，北至沿河路</w:t>
            </w:r>
          </w:p>
        </w:tc>
        <w:tc>
          <w:tcPr>
            <w:tcW w:w="794" w:type="dxa"/>
            <w:noWrap w:val="0"/>
            <w:vAlign w:val="center"/>
          </w:tcPr>
          <w:p w14:paraId="315BFACC">
            <w:pPr>
              <w:jc w:val="center"/>
              <w:rPr>
                <w:color w:val="000000"/>
                <w:kern w:val="0"/>
                <w:szCs w:val="21"/>
              </w:rPr>
            </w:pPr>
            <w:r>
              <w:rPr>
                <w:color w:val="000000"/>
                <w:kern w:val="0"/>
                <w:szCs w:val="21"/>
              </w:rPr>
              <w:t>1.0000</w:t>
            </w:r>
          </w:p>
        </w:tc>
        <w:tc>
          <w:tcPr>
            <w:tcW w:w="0" w:type="auto"/>
            <w:noWrap w:val="0"/>
            <w:vAlign w:val="center"/>
          </w:tcPr>
          <w:p w14:paraId="1ECFCB9A">
            <w:pPr>
              <w:jc w:val="center"/>
              <w:rPr>
                <w:color w:val="000000"/>
                <w:kern w:val="0"/>
                <w:szCs w:val="21"/>
              </w:rPr>
            </w:pPr>
            <w:r>
              <w:rPr>
                <w:color w:val="000000"/>
                <w:kern w:val="0"/>
                <w:szCs w:val="21"/>
              </w:rPr>
              <w:t>1</w:t>
            </w:r>
          </w:p>
        </w:tc>
        <w:tc>
          <w:tcPr>
            <w:tcW w:w="0" w:type="auto"/>
            <w:noWrap/>
            <w:vAlign w:val="center"/>
          </w:tcPr>
          <w:p w14:paraId="30647DAF">
            <w:pPr>
              <w:jc w:val="center"/>
              <w:rPr>
                <w:color w:val="000000"/>
                <w:kern w:val="0"/>
                <w:szCs w:val="21"/>
              </w:rPr>
            </w:pPr>
            <w:r>
              <w:rPr>
                <w:color w:val="000000"/>
                <w:kern w:val="0"/>
                <w:szCs w:val="21"/>
              </w:rPr>
              <w:t>100</w:t>
            </w:r>
          </w:p>
        </w:tc>
      </w:tr>
      <w:tr w14:paraId="4AD2E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20738D12">
            <w:pPr>
              <w:rPr>
                <w:color w:val="000000"/>
                <w:kern w:val="0"/>
                <w:szCs w:val="21"/>
              </w:rPr>
            </w:pPr>
          </w:p>
        </w:tc>
        <w:tc>
          <w:tcPr>
            <w:tcW w:w="958" w:type="dxa"/>
            <w:vMerge w:val="continue"/>
            <w:noWrap w:val="0"/>
            <w:vAlign w:val="center"/>
          </w:tcPr>
          <w:p w14:paraId="5209222B">
            <w:pPr>
              <w:ind w:left="-105" w:leftChars="-50" w:right="-105" w:rightChars="-50"/>
              <w:rPr>
                <w:rFonts w:ascii="楷体_GB2312" w:hAnsi="宋体" w:eastAsia="楷体_GB2312" w:cs="宋体"/>
                <w:color w:val="000000"/>
                <w:kern w:val="0"/>
                <w:szCs w:val="21"/>
              </w:rPr>
            </w:pPr>
          </w:p>
        </w:tc>
        <w:tc>
          <w:tcPr>
            <w:tcW w:w="851" w:type="dxa"/>
            <w:noWrap w:val="0"/>
            <w:vAlign w:val="center"/>
          </w:tcPr>
          <w:p w14:paraId="074EC3E9">
            <w:pPr>
              <w:jc w:val="center"/>
              <w:rPr>
                <w:color w:val="000000"/>
                <w:kern w:val="0"/>
                <w:szCs w:val="21"/>
              </w:rPr>
            </w:pPr>
            <w:r>
              <w:rPr>
                <w:color w:val="000000"/>
                <w:kern w:val="0"/>
                <w:szCs w:val="21"/>
              </w:rPr>
              <w:t>2</w:t>
            </w:r>
          </w:p>
        </w:tc>
        <w:tc>
          <w:tcPr>
            <w:tcW w:w="5046" w:type="dxa"/>
            <w:noWrap w:val="0"/>
            <w:vAlign w:val="center"/>
          </w:tcPr>
          <w:p w14:paraId="7F66C53F">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794" w:type="dxa"/>
            <w:noWrap/>
            <w:vAlign w:val="center"/>
          </w:tcPr>
          <w:p w14:paraId="2EA20B60">
            <w:pPr>
              <w:jc w:val="center"/>
              <w:rPr>
                <w:color w:val="000000"/>
                <w:kern w:val="0"/>
                <w:szCs w:val="21"/>
              </w:rPr>
            </w:pPr>
            <w:r>
              <w:rPr>
                <w:color w:val="000000"/>
                <w:kern w:val="0"/>
                <w:szCs w:val="21"/>
              </w:rPr>
              <w:t>0.5200</w:t>
            </w:r>
          </w:p>
        </w:tc>
        <w:tc>
          <w:tcPr>
            <w:tcW w:w="0" w:type="auto"/>
            <w:noWrap w:val="0"/>
            <w:vAlign w:val="center"/>
          </w:tcPr>
          <w:p w14:paraId="7B337482">
            <w:pPr>
              <w:jc w:val="center"/>
              <w:rPr>
                <w:color w:val="000000"/>
                <w:kern w:val="0"/>
                <w:szCs w:val="21"/>
              </w:rPr>
            </w:pPr>
            <w:r>
              <w:rPr>
                <w:color w:val="000000"/>
                <w:kern w:val="0"/>
                <w:szCs w:val="21"/>
              </w:rPr>
              <w:t>2</w:t>
            </w:r>
          </w:p>
        </w:tc>
        <w:tc>
          <w:tcPr>
            <w:tcW w:w="0" w:type="auto"/>
            <w:noWrap/>
            <w:vAlign w:val="center"/>
          </w:tcPr>
          <w:p w14:paraId="3DE0D5D2">
            <w:pPr>
              <w:jc w:val="center"/>
              <w:rPr>
                <w:color w:val="000000"/>
                <w:kern w:val="0"/>
                <w:szCs w:val="21"/>
              </w:rPr>
            </w:pPr>
            <w:r>
              <w:rPr>
                <w:color w:val="000000"/>
                <w:kern w:val="0"/>
                <w:szCs w:val="21"/>
              </w:rPr>
              <w:t>0</w:t>
            </w:r>
          </w:p>
        </w:tc>
      </w:tr>
      <w:tr w14:paraId="4186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2B6601E4">
            <w:pPr>
              <w:jc w:val="center"/>
              <w:rPr>
                <w:color w:val="000000"/>
                <w:kern w:val="0"/>
                <w:szCs w:val="21"/>
              </w:rPr>
            </w:pPr>
            <w:r>
              <w:rPr>
                <w:color w:val="000000"/>
                <w:kern w:val="0"/>
                <w:szCs w:val="21"/>
              </w:rPr>
              <w:t>22</w:t>
            </w:r>
          </w:p>
        </w:tc>
        <w:tc>
          <w:tcPr>
            <w:tcW w:w="958" w:type="dxa"/>
            <w:vMerge w:val="restart"/>
            <w:noWrap w:val="0"/>
            <w:vAlign w:val="center"/>
          </w:tcPr>
          <w:p w14:paraId="17ECAD6B">
            <w:pPr>
              <w:ind w:left="-105" w:leftChars="-50" w:right="-105" w:rightChars="-50"/>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桃沟乡</w:t>
            </w:r>
          </w:p>
        </w:tc>
        <w:tc>
          <w:tcPr>
            <w:tcW w:w="851" w:type="dxa"/>
            <w:noWrap w:val="0"/>
            <w:vAlign w:val="center"/>
          </w:tcPr>
          <w:p w14:paraId="722B5622">
            <w:pPr>
              <w:jc w:val="center"/>
              <w:rPr>
                <w:color w:val="000000"/>
                <w:kern w:val="0"/>
                <w:szCs w:val="21"/>
              </w:rPr>
            </w:pPr>
            <w:r>
              <w:rPr>
                <w:color w:val="000000"/>
                <w:kern w:val="0"/>
                <w:szCs w:val="21"/>
              </w:rPr>
              <w:t>1</w:t>
            </w:r>
          </w:p>
        </w:tc>
        <w:tc>
          <w:tcPr>
            <w:tcW w:w="5046" w:type="dxa"/>
            <w:noWrap w:val="0"/>
            <w:vAlign w:val="center"/>
          </w:tcPr>
          <w:p w14:paraId="75054E4F">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东至创新路、世纪大道，南至南外环，西至学苑路，北至学府路</w:t>
            </w:r>
          </w:p>
        </w:tc>
        <w:tc>
          <w:tcPr>
            <w:tcW w:w="794" w:type="dxa"/>
            <w:noWrap w:val="0"/>
            <w:vAlign w:val="center"/>
          </w:tcPr>
          <w:p w14:paraId="5485D6E6">
            <w:pPr>
              <w:jc w:val="center"/>
              <w:rPr>
                <w:color w:val="000000"/>
                <w:kern w:val="0"/>
                <w:szCs w:val="21"/>
              </w:rPr>
            </w:pPr>
            <w:r>
              <w:rPr>
                <w:color w:val="000000"/>
                <w:kern w:val="0"/>
                <w:szCs w:val="21"/>
              </w:rPr>
              <w:t>1.0000</w:t>
            </w:r>
          </w:p>
        </w:tc>
        <w:tc>
          <w:tcPr>
            <w:tcW w:w="0" w:type="auto"/>
            <w:noWrap w:val="0"/>
            <w:vAlign w:val="center"/>
          </w:tcPr>
          <w:p w14:paraId="1B4523A3">
            <w:pPr>
              <w:jc w:val="center"/>
              <w:rPr>
                <w:color w:val="000000"/>
                <w:kern w:val="0"/>
                <w:szCs w:val="21"/>
              </w:rPr>
            </w:pPr>
            <w:r>
              <w:rPr>
                <w:color w:val="000000"/>
                <w:kern w:val="0"/>
                <w:szCs w:val="21"/>
              </w:rPr>
              <w:t>1</w:t>
            </w:r>
          </w:p>
        </w:tc>
        <w:tc>
          <w:tcPr>
            <w:tcW w:w="0" w:type="auto"/>
            <w:noWrap/>
            <w:vAlign w:val="center"/>
          </w:tcPr>
          <w:p w14:paraId="06CDD09F">
            <w:pPr>
              <w:jc w:val="center"/>
              <w:rPr>
                <w:color w:val="000000"/>
                <w:kern w:val="0"/>
                <w:szCs w:val="21"/>
              </w:rPr>
            </w:pPr>
            <w:r>
              <w:rPr>
                <w:color w:val="000000"/>
                <w:kern w:val="0"/>
                <w:szCs w:val="21"/>
              </w:rPr>
              <w:t>100</w:t>
            </w:r>
          </w:p>
        </w:tc>
      </w:tr>
      <w:tr w14:paraId="7A96C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5D684E0B">
            <w:pPr>
              <w:rPr>
                <w:color w:val="000000"/>
                <w:kern w:val="0"/>
                <w:szCs w:val="21"/>
              </w:rPr>
            </w:pPr>
          </w:p>
        </w:tc>
        <w:tc>
          <w:tcPr>
            <w:tcW w:w="958" w:type="dxa"/>
            <w:vMerge w:val="continue"/>
            <w:noWrap w:val="0"/>
            <w:vAlign w:val="center"/>
          </w:tcPr>
          <w:p w14:paraId="2C17972F">
            <w:pPr>
              <w:rPr>
                <w:rFonts w:ascii="楷体_GB2312" w:hAnsi="宋体" w:eastAsia="楷体_GB2312" w:cs="宋体"/>
                <w:color w:val="000000"/>
                <w:kern w:val="0"/>
                <w:szCs w:val="21"/>
              </w:rPr>
            </w:pPr>
          </w:p>
        </w:tc>
        <w:tc>
          <w:tcPr>
            <w:tcW w:w="851" w:type="dxa"/>
            <w:noWrap w:val="0"/>
            <w:vAlign w:val="center"/>
          </w:tcPr>
          <w:p w14:paraId="1A0C548E">
            <w:pPr>
              <w:jc w:val="center"/>
              <w:rPr>
                <w:color w:val="000000"/>
                <w:kern w:val="0"/>
                <w:szCs w:val="21"/>
              </w:rPr>
            </w:pPr>
            <w:r>
              <w:rPr>
                <w:color w:val="000000"/>
                <w:kern w:val="0"/>
                <w:szCs w:val="21"/>
              </w:rPr>
              <w:t>2</w:t>
            </w:r>
          </w:p>
        </w:tc>
        <w:tc>
          <w:tcPr>
            <w:tcW w:w="5046" w:type="dxa"/>
            <w:noWrap w:val="0"/>
            <w:vAlign w:val="center"/>
          </w:tcPr>
          <w:p w14:paraId="4B4B548F">
            <w:pP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定级范围扣除一级地范围</w:t>
            </w:r>
          </w:p>
        </w:tc>
        <w:tc>
          <w:tcPr>
            <w:tcW w:w="794" w:type="dxa"/>
            <w:noWrap/>
            <w:vAlign w:val="center"/>
          </w:tcPr>
          <w:p w14:paraId="19943BCA">
            <w:pPr>
              <w:jc w:val="center"/>
              <w:rPr>
                <w:color w:val="000000"/>
                <w:kern w:val="0"/>
                <w:szCs w:val="21"/>
              </w:rPr>
            </w:pPr>
            <w:r>
              <w:rPr>
                <w:color w:val="000000"/>
                <w:kern w:val="0"/>
                <w:szCs w:val="21"/>
              </w:rPr>
              <w:t>0.5200</w:t>
            </w:r>
          </w:p>
        </w:tc>
        <w:tc>
          <w:tcPr>
            <w:tcW w:w="0" w:type="auto"/>
            <w:noWrap w:val="0"/>
            <w:vAlign w:val="center"/>
          </w:tcPr>
          <w:p w14:paraId="473D232E">
            <w:pPr>
              <w:jc w:val="center"/>
              <w:rPr>
                <w:color w:val="000000"/>
                <w:kern w:val="0"/>
                <w:szCs w:val="21"/>
              </w:rPr>
            </w:pPr>
            <w:r>
              <w:rPr>
                <w:color w:val="000000"/>
                <w:kern w:val="0"/>
                <w:szCs w:val="21"/>
              </w:rPr>
              <w:t>2</w:t>
            </w:r>
          </w:p>
        </w:tc>
        <w:tc>
          <w:tcPr>
            <w:tcW w:w="0" w:type="auto"/>
            <w:noWrap/>
            <w:vAlign w:val="center"/>
          </w:tcPr>
          <w:p w14:paraId="4FADDFBA">
            <w:pPr>
              <w:jc w:val="center"/>
              <w:rPr>
                <w:color w:val="000000"/>
                <w:kern w:val="0"/>
                <w:szCs w:val="21"/>
              </w:rPr>
            </w:pPr>
            <w:r>
              <w:rPr>
                <w:color w:val="000000"/>
                <w:kern w:val="0"/>
                <w:szCs w:val="21"/>
              </w:rPr>
              <w:t>0</w:t>
            </w:r>
          </w:p>
        </w:tc>
      </w:tr>
    </w:tbl>
    <w:p w14:paraId="03F5224D">
      <w:pPr>
        <w:pStyle w:val="20"/>
        <w:spacing w:line="480" w:lineRule="exact"/>
        <w:ind w:firstLine="560" w:firstLineChars="200"/>
        <w:rPr>
          <w:rFonts w:ascii="Times New Roman" w:hAnsi="Times New Roman" w:eastAsia="仿宋_GB2312" w:cs="Times New Roman"/>
          <w:sz w:val="28"/>
        </w:rPr>
        <w:sectPr>
          <w:pgSz w:w="11906" w:h="16838"/>
          <w:pgMar w:top="1701" w:right="1418" w:bottom="1418" w:left="1701" w:header="1134" w:footer="992" w:gutter="0"/>
          <w:cols w:space="720" w:num="1"/>
          <w:docGrid w:linePitch="12" w:charSpace="0"/>
        </w:sectPr>
      </w:pPr>
    </w:p>
    <w:bookmarkEnd w:id="27"/>
    <w:p w14:paraId="23931D75">
      <w:pPr>
        <w:pStyle w:val="3"/>
        <w:spacing w:line="480" w:lineRule="exact"/>
        <w:jc w:val="center"/>
        <w:rPr>
          <w:rFonts w:ascii="Times New Roman" w:hAnsi="Times New Roman" w:eastAsia="宋体"/>
          <w:sz w:val="36"/>
        </w:rPr>
      </w:pPr>
      <w:bookmarkStart w:id="46" w:name="_Toc62563661"/>
      <w:r>
        <w:rPr>
          <w:rFonts w:ascii="Times New Roman" w:hAnsi="Times New Roman" w:eastAsia="宋体"/>
          <w:sz w:val="36"/>
        </w:rPr>
        <w:t>第四章  土地定级单元分值计算与作用分值图编制</w:t>
      </w:r>
      <w:bookmarkEnd w:id="46"/>
    </w:p>
    <w:p w14:paraId="48484FED">
      <w:pPr>
        <w:pStyle w:val="4"/>
        <w:numPr>
          <w:ilvl w:val="0"/>
          <w:numId w:val="0"/>
        </w:numPr>
        <w:spacing w:line="380" w:lineRule="exact"/>
        <w:jc w:val="center"/>
        <w:rPr>
          <w:rFonts w:eastAsia="仿宋_GB2312"/>
          <w:bCs w:val="0"/>
        </w:rPr>
      </w:pPr>
      <w:bookmarkStart w:id="47" w:name="_Toc62563662"/>
      <w:r>
        <w:rPr>
          <w:rFonts w:eastAsia="仿宋_GB2312"/>
          <w:bCs w:val="0"/>
        </w:rPr>
        <w:t>第一节  土地定级单元划分</w:t>
      </w:r>
      <w:bookmarkEnd w:id="47"/>
    </w:p>
    <w:p w14:paraId="7F863466">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土地定级单元是评定和划分土地级别的基本空间单位，是内部特性和区位条件相对均一的地块。土地定级单元在土地定级中，既是一个能完整反映自身特性的最基本地块，同时也是工作中取样和获得数据的工作单位，划分出的土地定级单元，可以按其所具有的土地特性值，对照因素功能分，评出各单元的因素分值和总分值，作为评定土地级别的基础。本次</w:t>
      </w:r>
      <w:r>
        <w:rPr>
          <w:rFonts w:hint="eastAsia" w:ascii="楷体" w:hAnsi="楷体" w:eastAsia="楷体" w:cs="宋体"/>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土地定级采用网格化方法，由计算机将工作底图栅格化，其栅格单元即为土地定级单元。</w:t>
      </w:r>
    </w:p>
    <w:p w14:paraId="0D24658B">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采用网格法确定定级单元，网格的大小直接影响到土地定级因素、因子的分值计算精度，从而最终影响到土地级别和各土地级别图斑面积的数据精度。从理论上讲，栅格边长越小，单元内主要定级因素的影响越容易趋于一致，分值计算的精度就越高。但是，随着栅格边长的缩小，分值计算的工作量和数据量也会呈指数迅速地增加，对计算机的硬件要求越高。此外，分值矩阵的矢量化技术处理亦变得更复杂。因此，确定适宜的网格尺寸首先必须解决技术问题。</w:t>
      </w:r>
    </w:p>
    <w:p w14:paraId="51FE4BC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2、根据衰减公式</w:t>
      </w:r>
    </w:p>
    <w:p w14:paraId="1ADD895F">
      <w:pPr>
        <w:pStyle w:val="20"/>
        <w:spacing w:line="480" w:lineRule="exact"/>
        <w:ind w:firstLine="560" w:firstLineChars="200"/>
        <w:jc w:val="center"/>
        <w:rPr>
          <w:rFonts w:ascii="Times New Roman" w:hAnsi="Times New Roman" w:eastAsia="楷体_GB2312" w:cs="Times New Roman"/>
          <w:sz w:val="28"/>
        </w:rPr>
      </w:pPr>
      <w:r>
        <w:rPr>
          <w:rFonts w:ascii="Times New Roman" w:hAnsi="Times New Roman" w:eastAsia="楷体_GB2312" w:cs="Times New Roman"/>
          <w:position w:val="-14"/>
          <w:sz w:val="28"/>
        </w:rPr>
        <w:object>
          <v:shape id="_x0000_i1080" o:spt="75" type="#_x0000_t75" style="height:23pt;width:67pt;" o:ole="t" filled="f" o:preferrelative="t" stroked="f" coordsize="21600,21600">
            <v:path/>
            <v:fill on="f" alignshape="1" focussize="0,0"/>
            <v:stroke on="f"/>
            <v:imagedata r:id="rId119" o:title=""/>
            <o:lock v:ext="edit" aspectratio="t"/>
            <w10:wrap type="none"/>
            <w10:anchorlock/>
          </v:shape>
          <o:OLEObject Type="Embed" ProgID="Equation.3" ShapeID="_x0000_i1080" DrawAspect="Content" ObjectID="_1468075780" r:id="rId118">
            <o:LockedField>false</o:LockedField>
          </o:OLEObject>
        </w:object>
      </w:r>
    </w:p>
    <w:p w14:paraId="3FFC32E6">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 xml:space="preserve"> 式中：</w:t>
      </w:r>
      <w:r>
        <w:rPr>
          <w:rFonts w:ascii="Times New Roman" w:hAnsi="Times New Roman" w:eastAsia="楷体_GB2312" w:cs="Times New Roman"/>
          <w:sz w:val="28"/>
        </w:rPr>
        <w:object>
          <v:shape id="_x0000_i1081" o:spt="75" type="#_x0000_t75" style="height:20pt;width:17pt;" o:ole="t" filled="f" stroked="f" coordsize="21600,21600">
            <v:path/>
            <v:fill on="f" focussize="0,0"/>
            <v:stroke on="f"/>
            <v:imagedata r:id="rId121" o:title=""/>
            <o:lock v:ext="edit" aspectratio="t"/>
            <w10:wrap type="none"/>
            <w10:anchorlock/>
          </v:shape>
          <o:OLEObject Type="Embed" ProgID="Equation.3" ShapeID="_x0000_i1081" DrawAspect="Content" ObjectID="_1468075781" r:id="rId120">
            <o:LockedField>false</o:LockedField>
          </o:OLEObject>
        </w:object>
      </w:r>
      <w:r>
        <w:rPr>
          <w:rFonts w:ascii="Times New Roman" w:hAnsi="Times New Roman" w:eastAsia="楷体_GB2312" w:cs="Times New Roman"/>
          <w:sz w:val="28"/>
        </w:rPr>
        <w:t xml:space="preserve"> —j点受i影响因素的作用分；</w:t>
      </w:r>
    </w:p>
    <w:p w14:paraId="437FC24A">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 xml:space="preserve"> </w:t>
      </w:r>
      <w:r>
        <w:rPr>
          <w:rFonts w:ascii="Times New Roman" w:hAnsi="Times New Roman" w:eastAsia="楷体_GB2312" w:cs="Times New Roman"/>
          <w:sz w:val="28"/>
        </w:rPr>
        <w:object>
          <v:shape id="_x0000_i1082" o:spt="75" type="#_x0000_t75" style="height:18pt;width:17pt;" o:ole="t" filled="f" stroked="f" coordsize="21600,21600">
            <v:path/>
            <v:fill on="f" focussize="0,0"/>
            <v:stroke on="f"/>
            <v:imagedata r:id="rId123" o:title=""/>
            <o:lock v:ext="edit" aspectratio="t"/>
            <w10:wrap type="none"/>
            <w10:anchorlock/>
          </v:shape>
          <o:OLEObject Type="Embed" ProgID="Equation.3" ShapeID="_x0000_i1082" DrawAspect="Content" ObjectID="_1468075782" r:id="rId122">
            <o:LockedField>false</o:LockedField>
          </o:OLEObject>
        </w:object>
      </w:r>
      <w:r>
        <w:rPr>
          <w:rFonts w:ascii="Times New Roman" w:hAnsi="Times New Roman" w:eastAsia="楷体_GB2312" w:cs="Times New Roman"/>
          <w:sz w:val="28"/>
        </w:rPr>
        <w:t>—i影响因素的作用分；</w:t>
      </w:r>
    </w:p>
    <w:p w14:paraId="0154858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r—j点到i影响因素的相对距离</w:t>
      </w:r>
    </w:p>
    <w:p w14:paraId="1E575411">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3、根据《规程》规定，采用网格法确定定级单元，其网格的尺寸，要满足同一网格内每个定级因素、因子的分值差异不大于100/（n±1），n为拟定级的土地级别数，故所要拟定的土地级别数越多要求网格的定级因素、因子的分值差异越小，即网格选用的尺寸就必须越小。实际测算中，栅格边长一般为5m×5m～25m×25m为宜。</w:t>
      </w:r>
    </w:p>
    <w:p w14:paraId="42F53590">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4、根据上述要求，结合公式</w:t>
      </w:r>
      <w:r>
        <w:rPr>
          <w:rFonts w:ascii="Times New Roman" w:hAnsi="Times New Roman" w:cs="Times New Roman"/>
          <w:position w:val="-12"/>
        </w:rPr>
        <w:object>
          <v:shape id="_x0000_i1083" o:spt="75" type="#_x0000_t75" style="height:19pt;width:20pt;" o:ole="t" filled="f" stroked="f" coordsize="21600,21600">
            <v:path/>
            <v:fill on="f" focussize="0,0"/>
            <v:stroke on="f"/>
            <v:imagedata r:id="rId125" o:title=""/>
            <o:lock v:ext="edit" aspectratio="t"/>
            <w10:wrap type="none"/>
            <w10:anchorlock/>
          </v:shape>
          <o:OLEObject Type="Embed" ProgID="Equation.3" ShapeID="_x0000_i1083" DrawAspect="Content" ObjectID="_1468075783" r:id="rId124">
            <o:LockedField>false</o:LockedField>
          </o:OLEObject>
        </w:object>
      </w:r>
      <w:r>
        <w:rPr>
          <w:rFonts w:ascii="Times New Roman" w:hAnsi="Times New Roman" w:eastAsia="楷体_GB2312" w:cs="Times New Roman"/>
          <w:sz w:val="28"/>
        </w:rPr>
        <w:t xml:space="preserve"> - </w:t>
      </w:r>
      <w:r>
        <w:rPr>
          <w:rFonts w:ascii="Times New Roman" w:hAnsi="Times New Roman" w:cs="Times New Roman"/>
          <w:position w:val="-12"/>
        </w:rPr>
        <w:object>
          <v:shape id="_x0000_i1084" o:spt="75" type="#_x0000_t75" style="height:22pt;width:39pt;" o:ole="t" filled="f" o:preferrelative="t" stroked="f" coordsize="21600,21600">
            <v:path/>
            <v:fill on="f" alignshape="1" focussize="0,0"/>
            <v:stroke on="f"/>
            <v:imagedata r:id="rId127" o:title=""/>
            <o:lock v:ext="edit" aspectratio="t"/>
            <w10:wrap type="none"/>
            <w10:anchorlock/>
          </v:shape>
          <o:OLEObject Type="Embed" ProgID="Equation.3" ShapeID="_x0000_i1084" DrawAspect="Content" ObjectID="_1468075784" r:id="rId126">
            <o:LockedField>false</o:LockedField>
          </o:OLEObject>
        </w:object>
      </w:r>
      <w:r>
        <w:rPr>
          <w:rFonts w:ascii="Times New Roman" w:hAnsi="Times New Roman" w:eastAsia="楷体_GB2312" w:cs="Times New Roman"/>
          <w:sz w:val="28"/>
        </w:rPr>
        <w:t xml:space="preserve">≤100/（n±1）， </w:t>
      </w:r>
      <w:r>
        <w:rPr>
          <w:rFonts w:ascii="Times New Roman" w:hAnsi="Times New Roman" w:cs="Times New Roman"/>
          <w:position w:val="-12"/>
        </w:rPr>
        <w:object>
          <v:shape id="_x0000_i1085" o:spt="75" type="#_x0000_t75" style="height:19pt;width:20pt;" o:ole="t" filled="f" stroked="f" coordsize="21600,21600">
            <v:path/>
            <v:fill on="f" focussize="0,0"/>
            <v:stroke on="f"/>
            <v:imagedata r:id="rId125" o:title=""/>
            <o:lock v:ext="edit" aspectratio="t"/>
            <w10:wrap type="none"/>
            <w10:anchorlock/>
          </v:shape>
          <o:OLEObject Type="Embed" ProgID="Equation.3" ShapeID="_x0000_i1085" DrawAspect="Content" ObjectID="_1468075785" r:id="rId128">
            <o:LockedField>false</o:LockedField>
          </o:OLEObject>
        </w:object>
      </w:r>
      <w:r>
        <w:rPr>
          <w:rFonts w:ascii="Times New Roman" w:hAnsi="Times New Roman" w:eastAsia="楷体_GB2312" w:cs="Times New Roman"/>
          <w:sz w:val="28"/>
        </w:rPr>
        <w:t>为各因素因子的功能分，其功能分可能值为0～100分，本次取其最大值100，即</w:t>
      </w:r>
      <w:r>
        <w:rPr>
          <w:rFonts w:ascii="Times New Roman" w:hAnsi="Times New Roman" w:cs="Times New Roman"/>
          <w:position w:val="-12"/>
        </w:rPr>
        <w:object>
          <v:shape id="_x0000_i1086" o:spt="75" type="#_x0000_t75" style="height:19pt;width:20pt;" o:ole="t" filled="f" stroked="f" coordsize="21600,21600">
            <v:path/>
            <v:fill on="f" focussize="0,0"/>
            <v:stroke on="f"/>
            <v:imagedata r:id="rId125" o:title=""/>
            <o:lock v:ext="edit" aspectratio="t"/>
            <w10:wrap type="none"/>
            <w10:anchorlock/>
          </v:shape>
          <o:OLEObject Type="Embed" ProgID="Equation.3" ShapeID="_x0000_i1086" DrawAspect="Content" ObjectID="_1468075786" r:id="rId129">
            <o:LockedField>false</o:LockedField>
          </o:OLEObject>
        </w:object>
      </w:r>
      <w:r>
        <w:rPr>
          <w:rFonts w:ascii="Times New Roman" w:hAnsi="Times New Roman" w:eastAsia="楷体_GB2312" w:cs="Times New Roman"/>
          <w:sz w:val="28"/>
        </w:rPr>
        <w:t xml:space="preserve"> =100。确定土地级别n=3，将数值带入上述公式求得相对距离r的最小值：100-100</w:t>
      </w:r>
      <w:r>
        <w:rPr>
          <w:rFonts w:ascii="Times New Roman" w:hAnsi="Times New Roman" w:eastAsia="楷体_GB2312" w:cs="Times New Roman"/>
          <w:sz w:val="28"/>
        </w:rPr>
        <w:object>
          <v:shape id="_x0000_i1087" o:spt="75" type="#_x0000_t75" style="height:15pt;width:13.95pt;" o:ole="t" filled="f" o:preferrelative="t" stroked="f" coordsize="21600,21600">
            <v:path/>
            <v:fill on="f" alignshape="1" focussize="0,0"/>
            <v:stroke on="f"/>
            <v:imagedata r:id="rId131" o:title=""/>
            <o:lock v:ext="edit" aspectratio="t"/>
            <w10:wrap type="none"/>
            <w10:anchorlock/>
          </v:shape>
          <o:OLEObject Type="Embed" ProgID="Equation.3" ShapeID="_x0000_i1087" DrawAspect="Content" ObjectID="_1468075787" r:id="rId130">
            <o:LockedField>false</o:LockedField>
          </o:OLEObject>
        </w:object>
      </w:r>
      <w:r>
        <w:rPr>
          <w:rFonts w:ascii="Times New Roman" w:hAnsi="Times New Roman" w:eastAsia="楷体_GB2312" w:cs="Times New Roman"/>
          <w:sz w:val="28"/>
        </w:rPr>
        <w:t xml:space="preserve"> =100/（3-1），r=0.15。</w:t>
      </w:r>
    </w:p>
    <w:p w14:paraId="09467121">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r= d</w:t>
      </w:r>
      <w:r>
        <w:rPr>
          <w:rFonts w:ascii="Times New Roman" w:hAnsi="Times New Roman" w:eastAsia="楷体_GB2312" w:cs="Times New Roman"/>
          <w:position w:val="-12"/>
          <w:sz w:val="28"/>
        </w:rPr>
        <w:object>
          <v:shape id="_x0000_i1088" o:spt="75" type="#_x0000_t75" style="height:18pt;width:6pt;" o:ole="t" filled="f" o:preferrelative="t" stroked="f" coordsize="21600,21600">
            <v:path/>
            <v:fill on="f" alignshape="1" focussize="0,0"/>
            <v:stroke on="f"/>
            <v:imagedata r:id="rId133" o:title=""/>
            <o:lock v:ext="edit" aspectratio="t"/>
            <w10:wrap type="none"/>
            <w10:anchorlock/>
          </v:shape>
          <o:OLEObject Type="Embed" ProgID="Equation.3" ShapeID="_x0000_i1088" DrawAspect="Content" ObjectID="_1468075788" r:id="rId132">
            <o:LockedField>false</o:LockedField>
          </o:OLEObject>
        </w:object>
      </w:r>
      <w:r>
        <w:rPr>
          <w:rFonts w:ascii="Times New Roman" w:hAnsi="Times New Roman" w:eastAsia="楷体_GB2312" w:cs="Times New Roman"/>
          <w:sz w:val="28"/>
        </w:rPr>
        <w:t>/d</w:t>
      </w:r>
    </w:p>
    <w:p w14:paraId="5381D9E6">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其中：r—相对距离</w:t>
      </w:r>
    </w:p>
    <w:p w14:paraId="149BE82E">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d</w:t>
      </w:r>
      <w:r>
        <w:rPr>
          <w:rFonts w:ascii="Times New Roman" w:hAnsi="Times New Roman" w:eastAsia="楷体_GB2312" w:cs="Times New Roman"/>
          <w:position w:val="-12"/>
          <w:sz w:val="28"/>
        </w:rPr>
        <w:object>
          <v:shape id="_x0000_i1089" o:spt="75" type="#_x0000_t75" style="height:18pt;width:6pt;" o:ole="t" filled="f" o:preferrelative="t" stroked="f" coordsize="21600,21600">
            <v:path/>
            <v:fill on="f" alignshape="1" focussize="0,0"/>
            <v:stroke on="f"/>
            <v:imagedata r:id="rId135" o:title=""/>
            <o:lock v:ext="edit" aspectratio="t"/>
            <w10:wrap type="none"/>
            <w10:anchorlock/>
          </v:shape>
          <o:OLEObject Type="Embed" ProgID="Equation.3" ShapeID="_x0000_i1089" DrawAspect="Content" ObjectID="_1468075789" r:id="rId134">
            <o:LockedField>false</o:LockedField>
          </o:OLEObject>
        </w:object>
      </w:r>
      <w:r>
        <w:rPr>
          <w:rFonts w:ascii="Times New Roman" w:hAnsi="Times New Roman" w:eastAsia="楷体_GB2312" w:cs="Times New Roman"/>
          <w:sz w:val="28"/>
        </w:rPr>
        <w:t>—在i影响因素的服务半径内，某点距i影响因素的距离</w:t>
      </w:r>
    </w:p>
    <w:p w14:paraId="786EC29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d—i影响因素的服务半径</w:t>
      </w:r>
    </w:p>
    <w:p w14:paraId="5996954E">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本次要求出单元网格划分的极值，即需求出d</w:t>
      </w:r>
      <w:r>
        <w:rPr>
          <w:rFonts w:ascii="Times New Roman" w:hAnsi="Times New Roman" w:eastAsia="楷体_GB2312" w:cs="Times New Roman"/>
          <w:position w:val="-12"/>
          <w:sz w:val="28"/>
        </w:rPr>
        <w:object>
          <v:shape id="_x0000_i1090" o:spt="75" type="#_x0000_t75" style="height:18pt;width:6pt;" o:ole="t" filled="f" o:preferrelative="t" stroked="f" coordsize="21600,21600">
            <v:path/>
            <v:fill on="f" alignshape="1" focussize="0,0"/>
            <v:stroke on="f"/>
            <v:imagedata r:id="rId135" o:title=""/>
            <o:lock v:ext="edit" aspectratio="t"/>
            <w10:wrap type="none"/>
            <w10:anchorlock/>
          </v:shape>
          <o:OLEObject Type="Embed" ProgID="Equation.3" ShapeID="_x0000_i1090" DrawAspect="Content" ObjectID="_1468075790" r:id="rId136">
            <o:LockedField>false</o:LockedField>
          </o:OLEObject>
        </w:object>
      </w:r>
      <w:r>
        <w:rPr>
          <w:rFonts w:ascii="Times New Roman" w:hAnsi="Times New Roman" w:eastAsia="楷体_GB2312" w:cs="Times New Roman"/>
          <w:sz w:val="28"/>
        </w:rPr>
        <w:t>的最大值，根据前文中定量化处理章节，各种道路类型中影响半径最小的为支路，其影响半径为100～</w:t>
      </w:r>
      <w:r>
        <w:rPr>
          <w:rFonts w:hint="eastAsia" w:ascii="Times New Roman" w:hAnsi="Times New Roman" w:eastAsia="楷体_GB2312" w:cs="Times New Roman"/>
          <w:sz w:val="28"/>
        </w:rPr>
        <w:t>22</w:t>
      </w:r>
      <w:r>
        <w:rPr>
          <w:rFonts w:ascii="Times New Roman" w:hAnsi="Times New Roman" w:eastAsia="楷体_GB2312" w:cs="Times New Roman"/>
          <w:sz w:val="28"/>
        </w:rPr>
        <w:t>0米，公用设施服务半径为</w:t>
      </w:r>
      <w:r>
        <w:rPr>
          <w:rFonts w:hint="eastAsia" w:ascii="Times New Roman" w:hAnsi="Times New Roman" w:eastAsia="楷体_GB2312" w:cs="Times New Roman"/>
          <w:sz w:val="28"/>
        </w:rPr>
        <w:t>7</w:t>
      </w:r>
      <w:r>
        <w:rPr>
          <w:rFonts w:ascii="Times New Roman" w:hAnsi="Times New Roman" w:eastAsia="楷体_GB2312" w:cs="Times New Roman"/>
          <w:sz w:val="28"/>
        </w:rPr>
        <w:t>00～3000米，对外交通的影响半径为</w:t>
      </w:r>
      <w:r>
        <w:rPr>
          <w:rFonts w:hint="eastAsia" w:ascii="Times New Roman" w:hAnsi="Times New Roman" w:eastAsia="楷体_GB2312" w:cs="Times New Roman"/>
          <w:sz w:val="28"/>
        </w:rPr>
        <w:t>1</w:t>
      </w:r>
      <w:r>
        <w:rPr>
          <w:rFonts w:ascii="Times New Roman" w:hAnsi="Times New Roman" w:eastAsia="楷体_GB2312" w:cs="Times New Roman"/>
          <w:sz w:val="28"/>
        </w:rPr>
        <w:t>-</w:t>
      </w:r>
      <w:r>
        <w:rPr>
          <w:rFonts w:hint="eastAsia" w:ascii="Times New Roman" w:hAnsi="Times New Roman" w:eastAsia="楷体_GB2312" w:cs="Times New Roman"/>
          <w:sz w:val="28"/>
        </w:rPr>
        <w:t>7</w:t>
      </w:r>
      <w:r>
        <w:rPr>
          <w:rFonts w:ascii="Times New Roman" w:hAnsi="Times New Roman" w:eastAsia="楷体_GB2312" w:cs="Times New Roman"/>
          <w:sz w:val="28"/>
        </w:rPr>
        <w:t>千米，假设d取各因素影响半径的最小值，即d=100米。</w:t>
      </w:r>
    </w:p>
    <w:p w14:paraId="18F0CB13">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d</w:t>
      </w:r>
      <w:r>
        <w:rPr>
          <w:rFonts w:ascii="Times New Roman" w:hAnsi="Times New Roman" w:eastAsia="楷体_GB2312" w:cs="Times New Roman"/>
          <w:position w:val="-12"/>
          <w:sz w:val="28"/>
        </w:rPr>
        <w:object>
          <v:shape id="_x0000_i1091" o:spt="75" type="#_x0000_t75" style="height:18pt;width:6pt;" o:ole="t" filled="f" o:preferrelative="t" stroked="f" coordsize="21600,21600">
            <v:path/>
            <v:fill on="f" alignshape="1" focussize="0,0"/>
            <v:stroke on="f"/>
            <v:imagedata r:id="rId135" o:title=""/>
            <o:lock v:ext="edit" aspectratio="t"/>
            <w10:wrap type="none"/>
            <w10:anchorlock/>
          </v:shape>
          <o:OLEObject Type="Embed" ProgID="Equation.3" ShapeID="_x0000_i1091" DrawAspect="Content" ObjectID="_1468075791" r:id="rId137">
            <o:LockedField>false</o:LockedField>
          </o:OLEObject>
        </w:object>
      </w:r>
      <w:r>
        <w:rPr>
          <w:rFonts w:ascii="Times New Roman" w:hAnsi="Times New Roman" w:eastAsia="楷体_GB2312" w:cs="Times New Roman"/>
          <w:sz w:val="28"/>
        </w:rPr>
        <w:t>的最小值为15。将d</w:t>
      </w:r>
      <w:r>
        <w:rPr>
          <w:rFonts w:ascii="Times New Roman" w:hAnsi="Times New Roman" w:eastAsia="楷体_GB2312" w:cs="Times New Roman"/>
          <w:position w:val="-12"/>
          <w:sz w:val="28"/>
        </w:rPr>
        <w:object>
          <v:shape id="_x0000_i1092" o:spt="75" type="#_x0000_t75" style="height:18pt;width:6pt;" o:ole="t" filled="f" o:preferrelative="t" stroked="f" coordsize="21600,21600">
            <v:path/>
            <v:fill on="f" alignshape="1" focussize="0,0"/>
            <v:stroke on="f"/>
            <v:imagedata r:id="rId135" o:title=""/>
            <o:lock v:ext="edit" aspectratio="t"/>
            <w10:wrap type="none"/>
            <w10:anchorlock/>
          </v:shape>
          <o:OLEObject Type="Embed" ProgID="Equation.3" ShapeID="_x0000_i1092" DrawAspect="Content" ObjectID="_1468075792" r:id="rId138">
            <o:LockedField>false</o:LockedField>
          </o:OLEObject>
        </w:object>
      </w:r>
      <w:r>
        <w:rPr>
          <w:rFonts w:ascii="Times New Roman" w:hAnsi="Times New Roman" w:eastAsia="楷体_GB2312" w:cs="Times New Roman"/>
          <w:sz w:val="28"/>
        </w:rPr>
        <w:t>作为网格的对角线，</w:t>
      </w:r>
    </w:p>
    <w:p w14:paraId="7DAD98B3">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故定级单元边长L＜d</w:t>
      </w:r>
      <w:r>
        <w:rPr>
          <w:rFonts w:ascii="Times New Roman" w:hAnsi="Times New Roman" w:eastAsia="楷体_GB2312" w:cs="Times New Roman"/>
          <w:position w:val="-12"/>
          <w:sz w:val="28"/>
        </w:rPr>
        <w:object>
          <v:shape id="_x0000_i1093" o:spt="75" type="#_x0000_t75" style="height:18pt;width:6pt;" o:ole="t" filled="f" o:preferrelative="t" stroked="f" coordsize="21600,21600">
            <v:path/>
            <v:fill on="f" alignshape="1" focussize="0,0"/>
            <v:stroke on="f"/>
            <v:imagedata r:id="rId135" o:title=""/>
            <o:lock v:ext="edit" aspectratio="t"/>
            <w10:wrap type="none"/>
            <w10:anchorlock/>
          </v:shape>
          <o:OLEObject Type="Embed" ProgID="Equation.3" ShapeID="_x0000_i1093" DrawAspect="Content" ObjectID="_1468075793" r:id="rId139">
            <o:LockedField>false</o:LockedField>
          </o:OLEObject>
        </w:object>
      </w:r>
      <w:r>
        <w:rPr>
          <w:rFonts w:ascii="Times New Roman" w:hAnsi="Times New Roman" w:eastAsia="楷体_GB2312" w:cs="Times New Roman"/>
          <w:sz w:val="28"/>
        </w:rPr>
        <w:t>/sqrt(2)=15/ sqrt(2)=10.61</w:t>
      </w:r>
    </w:p>
    <w:p w14:paraId="0955E6F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最终确定</w:t>
      </w:r>
      <w:r>
        <w:rPr>
          <w:rFonts w:hint="eastAsia" w:ascii="楷体" w:hAnsi="楷体" w:eastAsia="楷体" w:cs="宋体"/>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乡镇土地定级单元大小为5m×5m。</w:t>
      </w:r>
    </w:p>
    <w:p w14:paraId="0F329227">
      <w:pPr>
        <w:pStyle w:val="20"/>
        <w:spacing w:line="480" w:lineRule="exact"/>
        <w:ind w:firstLine="560" w:firstLineChars="200"/>
        <w:rPr>
          <w:rFonts w:ascii="Times New Roman" w:hAnsi="Times New Roman" w:eastAsia="仿宋_GB2312" w:cs="Times New Roman"/>
          <w:sz w:val="28"/>
        </w:rPr>
      </w:pPr>
    </w:p>
    <w:p w14:paraId="5C5C9488">
      <w:pPr>
        <w:pStyle w:val="4"/>
        <w:numPr>
          <w:ilvl w:val="0"/>
          <w:numId w:val="0"/>
        </w:numPr>
        <w:spacing w:line="380" w:lineRule="exact"/>
        <w:jc w:val="center"/>
        <w:rPr>
          <w:rFonts w:eastAsia="仿宋_GB2312"/>
          <w:bCs w:val="0"/>
        </w:rPr>
      </w:pPr>
      <w:bookmarkStart w:id="48" w:name="_Toc62563663"/>
      <w:r>
        <w:rPr>
          <w:rFonts w:eastAsia="仿宋_GB2312"/>
          <w:bCs w:val="0"/>
        </w:rPr>
        <w:t>第二节  障碍物及障碍物通行点的设置</w:t>
      </w:r>
      <w:bookmarkEnd w:id="48"/>
    </w:p>
    <w:p w14:paraId="7F1E54C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在因素或因子作用分值计算的过程中，有时会遇到某些地理要素的阻隔，例如无桥梁的河流、湖泊、高速公路、铁路等障碍物，造成这些因素或因子只对一侧范围内的土地定级起作用，而对另一侧不发生影响。这些障碍物对因素或因子作用分值扩散起屏蔽或阻隔作用。但当障碍物上有通道如桥梁、隧道等，因素（或因子）作用分值扩散到通道时，可以通道为通行点，按通行点处因素（或因子）作用分及剩余的影响半径，再次进行扩散，此时障碍物对因素（或因子）作用分值的影响不是屏蔽，而只是削弱作用。</w:t>
      </w:r>
    </w:p>
    <w:p w14:paraId="5FEDA612">
      <w:pPr>
        <w:pStyle w:val="20"/>
        <w:spacing w:line="480" w:lineRule="exact"/>
        <w:ind w:firstLine="560" w:firstLineChars="200"/>
        <w:rPr>
          <w:rFonts w:hint="eastAsia" w:ascii="Times New Roman" w:hAnsi="Times New Roman" w:eastAsia="楷体_GB2312" w:cs="Times New Roman"/>
          <w:sz w:val="28"/>
        </w:rPr>
      </w:pPr>
      <w:r>
        <w:rPr>
          <w:rFonts w:ascii="Times New Roman" w:hAnsi="Times New Roman" w:eastAsia="楷体_GB2312" w:cs="Times New Roman"/>
          <w:sz w:val="28"/>
        </w:rPr>
        <w:t>根据各乡镇镇区的实际情况，将镇区内具有障碍作用的河流</w:t>
      </w:r>
      <w:r>
        <w:rPr>
          <w:rFonts w:hint="eastAsia" w:ascii="Times New Roman" w:hAnsi="Times New Roman" w:eastAsia="楷体_GB2312" w:cs="Times New Roman"/>
          <w:sz w:val="28"/>
        </w:rPr>
        <w:t>、铁路</w:t>
      </w:r>
      <w:r>
        <w:rPr>
          <w:rFonts w:ascii="Times New Roman" w:hAnsi="Times New Roman" w:eastAsia="楷体_GB2312" w:cs="Times New Roman"/>
          <w:sz w:val="28"/>
        </w:rPr>
        <w:t>设置为障碍物，将镇区分成若干块扩散区域，各块之前联系通道为道路、桥梁。</w:t>
      </w:r>
    </w:p>
    <w:p w14:paraId="1EB688D9">
      <w:pPr>
        <w:pStyle w:val="20"/>
        <w:spacing w:line="480" w:lineRule="exact"/>
        <w:ind w:firstLine="560" w:firstLineChars="200"/>
        <w:rPr>
          <w:rFonts w:ascii="Times New Roman" w:hAnsi="Times New Roman" w:eastAsia="楷体_GB2312" w:cs="Times New Roman"/>
          <w:sz w:val="28"/>
        </w:rPr>
      </w:pPr>
    </w:p>
    <w:p w14:paraId="4940A216">
      <w:pPr>
        <w:pStyle w:val="4"/>
        <w:numPr>
          <w:ilvl w:val="0"/>
          <w:numId w:val="0"/>
        </w:numPr>
        <w:spacing w:line="380" w:lineRule="exact"/>
        <w:jc w:val="center"/>
        <w:rPr>
          <w:rFonts w:eastAsia="仿宋_GB2312"/>
          <w:bCs w:val="0"/>
        </w:rPr>
      </w:pPr>
      <w:bookmarkStart w:id="49" w:name="_Toc62563664"/>
      <w:r>
        <w:rPr>
          <w:rFonts w:eastAsia="仿宋_GB2312"/>
          <w:bCs w:val="0"/>
        </w:rPr>
        <w:t>第三节  土地定级单元内定级因素作用分值计算与作用分值图编制</w:t>
      </w:r>
      <w:bookmarkEnd w:id="49"/>
    </w:p>
    <w:p w14:paraId="0ED80127">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一、单元内商服繁华影响度分值计算</w:t>
      </w:r>
    </w:p>
    <w:p w14:paraId="11D22132">
      <w:pPr>
        <w:pStyle w:val="20"/>
        <w:spacing w:line="46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1、商服繁华影响度作用分衰减公式的确定</w:t>
      </w:r>
    </w:p>
    <w:p w14:paraId="6AB8DE5E">
      <w:pPr>
        <w:pStyle w:val="20"/>
        <w:spacing w:line="46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商服功能影响作用分按下式进行衰减：</w:t>
      </w:r>
    </w:p>
    <w:p w14:paraId="4CE4CE02">
      <w:pPr>
        <w:pStyle w:val="20"/>
        <w:spacing w:line="480" w:lineRule="exact"/>
        <w:jc w:val="center"/>
        <w:rPr>
          <w:rFonts w:ascii="Times New Roman" w:hAnsi="Times New Roman" w:eastAsia="楷体_GB2312" w:cs="Times New Roman"/>
          <w:sz w:val="28"/>
        </w:rPr>
      </w:pPr>
      <w:r>
        <w:rPr>
          <w:rFonts w:ascii="Times New Roman" w:hAnsi="Times New Roman" w:eastAsia="楷体_GB2312" w:cs="Times New Roman"/>
          <w:position w:val="-14"/>
          <w:sz w:val="24"/>
        </w:rPr>
        <w:object>
          <v:shape id="_x0000_i1094" o:spt="75" type="#_x0000_t75" style="height:20pt;width:65pt;" o:ole="t" filled="f" stroked="f" coordsize="21600,21600">
            <v:path/>
            <v:fill on="f" alignshape="1" focussize="0,0"/>
            <v:stroke on="f"/>
            <v:imagedata r:id="rId141" o:title=""/>
            <o:lock v:ext="edit" aspectratio="t"/>
            <w10:wrap type="none"/>
            <w10:anchorlock/>
          </v:shape>
          <o:OLEObject Type="Embed" ProgID="Equation.3" ShapeID="_x0000_i1094" DrawAspect="Content" ObjectID="_1468075794" r:id="rId140">
            <o:LockedField>false</o:LockedField>
          </o:OLEObject>
        </w:object>
      </w:r>
    </w:p>
    <w:p w14:paraId="62BF4DD3">
      <w:pPr>
        <w:tabs>
          <w:tab w:val="left" w:pos="0"/>
          <w:tab w:val="left" w:pos="295"/>
        </w:tabs>
        <w:spacing w:line="480" w:lineRule="exact"/>
        <w:ind w:firstLine="560" w:firstLineChars="200"/>
        <w:rPr>
          <w:rFonts w:eastAsia="楷体_GB2312"/>
          <w:sz w:val="28"/>
        </w:rPr>
      </w:pPr>
      <w:r>
        <w:rPr>
          <w:rFonts w:eastAsia="楷体_GB2312"/>
          <w:sz w:val="28"/>
        </w:rPr>
        <w:t>式中：</w:t>
      </w:r>
      <w:r>
        <w:rPr>
          <w:rFonts w:eastAsia="楷体_GB2312"/>
          <w:position w:val="-14"/>
          <w:sz w:val="28"/>
        </w:rPr>
        <w:object>
          <v:shape id="_x0000_i1095" o:spt="75" type="#_x0000_t75" style="height:20pt;width:17pt;" o:ole="t" filled="f" stroked="f" coordsize="21600,21600">
            <v:path/>
            <v:fill on="f" alignshape="1" focussize="0,0"/>
            <v:stroke on="f"/>
            <v:imagedata r:id="rId143" o:title=""/>
            <o:lock v:ext="edit" aspectratio="t"/>
            <w10:wrap type="none"/>
            <w10:anchorlock/>
          </v:shape>
          <o:OLEObject Type="Embed" ProgID="Equation.3" ShapeID="_x0000_i1095" DrawAspect="Content" ObjectID="_1468075795" r:id="rId142">
            <o:LockedField>false</o:LockedField>
          </o:OLEObject>
        </w:object>
      </w:r>
      <w:r>
        <w:rPr>
          <w:rFonts w:eastAsia="楷体_GB2312"/>
          <w:sz w:val="28"/>
        </w:rPr>
        <w:t>—j点受i级商服功能的作用分；</w:t>
      </w:r>
    </w:p>
    <w:p w14:paraId="09342112">
      <w:pPr>
        <w:tabs>
          <w:tab w:val="left" w:pos="0"/>
          <w:tab w:val="left" w:pos="295"/>
        </w:tabs>
        <w:spacing w:line="480" w:lineRule="exact"/>
        <w:rPr>
          <w:rFonts w:eastAsia="楷体_GB2312"/>
          <w:sz w:val="28"/>
        </w:rPr>
      </w:pPr>
      <w:r>
        <w:rPr>
          <w:rFonts w:eastAsia="楷体_GB2312"/>
          <w:sz w:val="28"/>
        </w:rPr>
        <w:t xml:space="preserve">          </w:t>
      </w:r>
      <w:r>
        <w:rPr>
          <w:rFonts w:eastAsia="楷体_GB2312"/>
          <w:position w:val="-10"/>
          <w:sz w:val="28"/>
        </w:rPr>
        <w:object>
          <v:shape id="_x0000_i1096" o:spt="75" type="#_x0000_t75" style="height:18pt;width:17pt;" o:ole="t" filled="f" stroked="f" coordsize="21600,21600">
            <v:path/>
            <v:fill on="f" alignshape="1" focussize="0,0"/>
            <v:stroke on="f"/>
            <v:imagedata r:id="rId145" o:title=""/>
            <o:lock v:ext="edit" aspectratio="t"/>
            <w10:wrap type="none"/>
            <w10:anchorlock/>
          </v:shape>
          <o:OLEObject Type="Embed" ProgID="Equation.3" ShapeID="_x0000_i1096" DrawAspect="Content" ObjectID="_1468075796" r:id="rId144">
            <o:LockedField>false</o:LockedField>
          </o:OLEObject>
        </w:object>
      </w:r>
      <w:r>
        <w:rPr>
          <w:rFonts w:eastAsia="楷体_GB2312"/>
          <w:sz w:val="28"/>
        </w:rPr>
        <w:t>—i级商服功能的作用分；</w:t>
      </w:r>
    </w:p>
    <w:p w14:paraId="3BBC219C">
      <w:pPr>
        <w:tabs>
          <w:tab w:val="left" w:pos="0"/>
          <w:tab w:val="left" w:pos="295"/>
        </w:tabs>
        <w:spacing w:line="480" w:lineRule="exact"/>
        <w:ind w:firstLine="1680" w:firstLineChars="600"/>
        <w:rPr>
          <w:rFonts w:eastAsia="楷体_GB2312"/>
          <w:sz w:val="28"/>
        </w:rPr>
      </w:pPr>
      <w:r>
        <w:rPr>
          <w:rFonts w:eastAsia="楷体_GB2312"/>
          <w:sz w:val="28"/>
        </w:rPr>
        <w:t>r—j点到具有i级功能的商服中心的相对距离。</w:t>
      </w:r>
    </w:p>
    <w:p w14:paraId="249A6466">
      <w:pPr>
        <w:pStyle w:val="20"/>
        <w:spacing w:line="46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2、单元内商服繁华影响度作用分计算</w:t>
      </w:r>
    </w:p>
    <w:p w14:paraId="522333D4">
      <w:pPr>
        <w:pStyle w:val="20"/>
        <w:spacing w:line="46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单元内商服繁华影响度作用分按下式计算：</w:t>
      </w:r>
    </w:p>
    <w:p w14:paraId="474856AF">
      <w:pPr>
        <w:pStyle w:val="20"/>
        <w:spacing w:line="480" w:lineRule="exact"/>
        <w:ind w:firstLine="480" w:firstLineChars="200"/>
        <w:jc w:val="center"/>
        <w:rPr>
          <w:rFonts w:ascii="Times New Roman" w:hAnsi="Times New Roman" w:eastAsia="楷体_GB2312" w:cs="Times New Roman"/>
          <w:sz w:val="28"/>
        </w:rPr>
      </w:pPr>
      <w:r>
        <w:rPr>
          <w:rFonts w:ascii="Times New Roman" w:hAnsi="Times New Roman" w:eastAsia="楷体_GB2312" w:cs="Times New Roman"/>
          <w:position w:val="-28"/>
          <w:sz w:val="24"/>
        </w:rPr>
        <w:object>
          <v:shape id="_x0000_i1097" o:spt="75" type="#_x0000_t75" style="height:31.2pt;width:60pt;" o:ole="t" filled="f" o:preferrelative="t" stroked="f" coordsize="21600,21600">
            <v:path/>
            <v:fill on="f" alignshape="1" focussize="0,0"/>
            <v:stroke on="f"/>
            <v:imagedata r:id="rId147" o:title=""/>
            <o:lock v:ext="edit" aspectratio="t"/>
            <w10:wrap type="none"/>
            <w10:anchorlock/>
          </v:shape>
          <o:OLEObject Type="Embed" ProgID="Equation.3" ShapeID="_x0000_i1097" DrawAspect="Content" ObjectID="_1468075797" r:id="rId146">
            <o:LockedField>false</o:LockedField>
          </o:OLEObject>
        </w:object>
      </w:r>
    </w:p>
    <w:p w14:paraId="15AABBA1">
      <w:pPr>
        <w:tabs>
          <w:tab w:val="left" w:pos="0"/>
          <w:tab w:val="left" w:pos="295"/>
        </w:tabs>
        <w:spacing w:line="480" w:lineRule="exact"/>
        <w:ind w:firstLine="560" w:firstLineChars="200"/>
        <w:rPr>
          <w:rFonts w:eastAsia="楷体_GB2312"/>
          <w:sz w:val="28"/>
        </w:rPr>
      </w:pPr>
      <w:r>
        <w:rPr>
          <w:rFonts w:eastAsia="楷体_GB2312"/>
          <w:sz w:val="28"/>
        </w:rPr>
        <w:t>式中：</w:t>
      </w:r>
      <w:r>
        <w:rPr>
          <w:rFonts w:eastAsia="楷体_GB2312"/>
          <w:position w:val="-14"/>
          <w:sz w:val="28"/>
        </w:rPr>
        <w:object>
          <v:shape id="_x0000_i1098" o:spt="75" type="#_x0000_t75" style="height:20pt;width:17pt;" o:ole="t" filled="f" stroked="f" coordsize="21600,21600">
            <v:path/>
            <v:fill on="f" alignshape="1" focussize="0,0"/>
            <v:stroke on="f"/>
            <v:imagedata r:id="rId149" o:title=""/>
            <o:lock v:ext="edit" aspectratio="t"/>
            <w10:wrap type="none"/>
            <w10:anchorlock/>
          </v:shape>
          <o:OLEObject Type="Embed" ProgID="Equation.3" ShapeID="_x0000_i1098" DrawAspect="Content" ObjectID="_1468075798" r:id="rId148">
            <o:LockedField>false</o:LockedField>
          </o:OLEObject>
        </w:object>
      </w:r>
      <w:r>
        <w:rPr>
          <w:rFonts w:eastAsia="楷体_GB2312"/>
          <w:sz w:val="28"/>
        </w:rPr>
        <w:t>——j点商服繁华度作用分，即商服中心各级功能对j点的总和作用分；</w:t>
      </w:r>
    </w:p>
    <w:p w14:paraId="3B476F74">
      <w:pPr>
        <w:tabs>
          <w:tab w:val="left" w:pos="0"/>
          <w:tab w:val="left" w:pos="295"/>
        </w:tabs>
        <w:spacing w:line="480" w:lineRule="exact"/>
        <w:ind w:left="420" w:leftChars="200" w:firstLine="999" w:firstLineChars="357"/>
        <w:rPr>
          <w:rFonts w:eastAsia="楷体_GB2312"/>
          <w:sz w:val="28"/>
        </w:rPr>
      </w:pPr>
      <w:r>
        <w:rPr>
          <w:rFonts w:eastAsia="楷体_GB2312"/>
          <w:position w:val="-14"/>
          <w:sz w:val="28"/>
        </w:rPr>
        <w:object>
          <v:shape id="_x0000_i1099" o:spt="75" type="#_x0000_t75" style="height:20pt;width:17pt;" o:ole="t" filled="f" stroked="f" coordsize="21600,21600">
            <v:path/>
            <v:fill on="f" alignshape="1" focussize="0,0"/>
            <v:stroke on="f"/>
            <v:imagedata r:id="rId151" o:title=""/>
            <o:lock v:ext="edit" aspectratio="t"/>
            <w10:wrap type="none"/>
            <w10:anchorlock/>
          </v:shape>
          <o:OLEObject Type="Embed" ProgID="Equation.3" ShapeID="_x0000_i1099" DrawAspect="Content" ObjectID="_1468075799" r:id="rId150">
            <o:LockedField>false</o:LockedField>
          </o:OLEObject>
        </w:object>
      </w:r>
      <w:r>
        <w:rPr>
          <w:rFonts w:eastAsia="楷体_GB2312"/>
          <w:sz w:val="28"/>
        </w:rPr>
        <w:t>——i级商服功能对j点的作用分，i=1，2，…，n；</w:t>
      </w:r>
    </w:p>
    <w:p w14:paraId="2E777973">
      <w:pPr>
        <w:tabs>
          <w:tab w:val="left" w:pos="0"/>
          <w:tab w:val="left" w:pos="295"/>
        </w:tabs>
        <w:spacing w:line="480" w:lineRule="exact"/>
        <w:ind w:firstLine="1680" w:firstLineChars="600"/>
        <w:rPr>
          <w:rFonts w:eastAsia="楷体_GB2312"/>
          <w:sz w:val="28"/>
        </w:rPr>
      </w:pPr>
      <w:r>
        <w:rPr>
          <w:rFonts w:eastAsia="楷体_GB2312"/>
          <w:sz w:val="28"/>
        </w:rPr>
        <w:t>n——商服中心级别数目。</w:t>
      </w:r>
    </w:p>
    <w:p w14:paraId="0DFA0816">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3、商服繁华影响度作用分值图编制</w:t>
      </w:r>
    </w:p>
    <w:p w14:paraId="174B2480">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根据扩散的结果，采用等值线跟踪的方法由计算机自动在0-100分之间每10分跟踪一条等值线，由绘图仪自动绘制作用分值图。</w:t>
      </w:r>
    </w:p>
    <w:p w14:paraId="5E5679F3">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4、商服繁华影响度作用分值计算结果分析</w:t>
      </w:r>
    </w:p>
    <w:p w14:paraId="3348570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分析各乡镇商服繁华作用等值线图可以看出：</w:t>
      </w:r>
    </w:p>
    <w:p w14:paraId="0609697C">
      <w:pPr>
        <w:spacing w:line="480" w:lineRule="exact"/>
        <w:ind w:firstLine="560" w:firstLineChars="200"/>
        <w:rPr>
          <w:rFonts w:eastAsia="楷体_GB2312"/>
          <w:sz w:val="28"/>
        </w:rPr>
      </w:pPr>
      <w:r>
        <w:rPr>
          <w:rFonts w:hint="eastAsia" w:ascii="宋体" w:hAnsi="宋体" w:cs="宋体"/>
          <w:sz w:val="28"/>
        </w:rPr>
        <w:t>①</w:t>
      </w:r>
      <w:r>
        <w:rPr>
          <w:rFonts w:eastAsia="楷体_GB2312"/>
          <w:sz w:val="28"/>
        </w:rPr>
        <w:t>等值线的分布是由商服中心的位置、自身形状及其扩散场强决定，高分值等值线与商服中心形状基本一致。</w:t>
      </w:r>
      <w:r>
        <w:rPr>
          <w:rFonts w:hint="eastAsia" w:ascii="宋体" w:hAnsi="宋体" w:cs="宋体"/>
          <w:sz w:val="28"/>
        </w:rPr>
        <w:t>②</w:t>
      </w:r>
      <w:r>
        <w:rPr>
          <w:rFonts w:eastAsia="楷体_GB2312"/>
          <w:sz w:val="28"/>
        </w:rPr>
        <w:t>镇区中商服中心所在区域彼此之间相互作用，等值线表现较为复杂；而边缘区域商服中心作用弱，等值线表现较为简单。</w:t>
      </w:r>
      <w:r>
        <w:rPr>
          <w:rFonts w:hint="eastAsia" w:ascii="宋体" w:hAnsi="宋体" w:cs="宋体"/>
          <w:sz w:val="28"/>
        </w:rPr>
        <w:t>③</w:t>
      </w:r>
      <w:r>
        <w:rPr>
          <w:rFonts w:eastAsia="楷体_GB2312"/>
          <w:sz w:val="28"/>
        </w:rPr>
        <w:t>高分值等值线变化很陡，低分值等值线变化较缓，等值线间距变化大，这主要是由于商服中心的作用分是按指数方式衰减所决定的。</w:t>
      </w:r>
      <w:r>
        <w:rPr>
          <w:rFonts w:hint="eastAsia" w:ascii="宋体" w:hAnsi="宋体" w:cs="宋体"/>
          <w:sz w:val="28"/>
        </w:rPr>
        <w:t>④</w:t>
      </w:r>
      <w:r>
        <w:rPr>
          <w:rFonts w:eastAsia="楷体_GB2312"/>
          <w:sz w:val="28"/>
        </w:rPr>
        <w:t>商服繁华作用等值线表示评价区内繁华程度的空间差异，等值线分值越高，表示越繁华。</w:t>
      </w:r>
    </w:p>
    <w:p w14:paraId="5BD1F232">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二、单元内道路通达度分值计算</w:t>
      </w:r>
    </w:p>
    <w:p w14:paraId="7412C4D4">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1、道路通达度作用分衰减公式的确定</w:t>
      </w:r>
    </w:p>
    <w:p w14:paraId="73A09AD3">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道路通达度作用按下式衰减计算：</w:t>
      </w:r>
    </w:p>
    <w:p w14:paraId="727077FE">
      <w:pPr>
        <w:pStyle w:val="20"/>
        <w:spacing w:line="480" w:lineRule="exact"/>
        <w:jc w:val="center"/>
        <w:rPr>
          <w:rFonts w:ascii="Times New Roman" w:hAnsi="Times New Roman" w:eastAsia="楷体_GB2312" w:cs="Times New Roman"/>
          <w:sz w:val="28"/>
        </w:rPr>
      </w:pPr>
      <w:r>
        <w:rPr>
          <w:rFonts w:ascii="Times New Roman" w:hAnsi="Times New Roman" w:eastAsia="楷体_GB2312" w:cs="Times New Roman"/>
          <w:position w:val="-14"/>
          <w:sz w:val="24"/>
        </w:rPr>
        <w:object>
          <v:shape id="_x0000_i1100" o:spt="75" type="#_x0000_t75" style="height:20pt;width:60.95pt;" o:ole="t" filled="f" stroked="f" coordsize="21600,21600">
            <v:path/>
            <v:fill on="f" alignshape="1" focussize="0,0"/>
            <v:stroke on="f"/>
            <v:imagedata r:id="rId153" o:title=""/>
            <o:lock v:ext="edit" aspectratio="t"/>
            <w10:wrap type="none"/>
            <w10:anchorlock/>
          </v:shape>
          <o:OLEObject Type="Embed" ProgID="Equation.3" ShapeID="_x0000_i1100" DrawAspect="Content" ObjectID="_1468075800" r:id="rId152">
            <o:LockedField>false</o:LockedField>
          </o:OLEObject>
        </w:object>
      </w:r>
    </w:p>
    <w:p w14:paraId="5FC91CA6">
      <w:pPr>
        <w:tabs>
          <w:tab w:val="left" w:pos="0"/>
          <w:tab w:val="left" w:pos="295"/>
        </w:tabs>
        <w:spacing w:line="480" w:lineRule="exact"/>
        <w:ind w:firstLine="560" w:firstLineChars="200"/>
        <w:rPr>
          <w:rFonts w:eastAsia="楷体_GB2312"/>
          <w:sz w:val="28"/>
        </w:rPr>
      </w:pPr>
      <w:r>
        <w:rPr>
          <w:rFonts w:eastAsia="楷体_GB2312"/>
          <w:sz w:val="28"/>
        </w:rPr>
        <w:t>式中：</w:t>
      </w:r>
      <w:r>
        <w:rPr>
          <w:rFonts w:eastAsia="楷体_GB2312"/>
          <w:position w:val="-14"/>
          <w:sz w:val="28"/>
        </w:rPr>
        <w:object>
          <v:shape id="_x0000_i1101" o:spt="75" type="#_x0000_t75" style="height:20pt;width:15pt;" o:ole="t" filled="f" stroked="f" coordsize="21600,21600">
            <v:path/>
            <v:fill on="f" alignshape="1" focussize="0,0"/>
            <v:stroke on="f"/>
            <v:imagedata r:id="rId155" o:title=""/>
            <o:lock v:ext="edit" aspectratio="t"/>
            <w10:wrap type="none"/>
            <w10:anchorlock/>
          </v:shape>
          <o:OLEObject Type="Embed" ProgID="Equation.3" ShapeID="_x0000_i1101" DrawAspect="Content" ObjectID="_1468075801" r:id="rId154">
            <o:LockedField>false</o:LockedField>
          </o:OLEObject>
        </w:object>
      </w:r>
      <w:r>
        <w:rPr>
          <w:rFonts w:eastAsia="楷体_GB2312"/>
          <w:sz w:val="28"/>
        </w:rPr>
        <w:t>—i道路对j级商服功能的作用分；</w:t>
      </w:r>
    </w:p>
    <w:p w14:paraId="0C884D45">
      <w:pPr>
        <w:tabs>
          <w:tab w:val="left" w:pos="0"/>
          <w:tab w:val="left" w:pos="295"/>
        </w:tabs>
        <w:spacing w:line="480" w:lineRule="exact"/>
        <w:rPr>
          <w:rFonts w:eastAsia="楷体_GB2312"/>
          <w:sz w:val="28"/>
        </w:rPr>
      </w:pPr>
      <w:r>
        <w:rPr>
          <w:rFonts w:eastAsia="楷体_GB2312"/>
          <w:sz w:val="28"/>
        </w:rPr>
        <w:t xml:space="preserve">          </w:t>
      </w:r>
      <w:r>
        <w:rPr>
          <w:rFonts w:eastAsia="楷体_GB2312"/>
          <w:position w:val="-10"/>
          <w:sz w:val="28"/>
        </w:rPr>
        <w:object>
          <v:shape id="_x0000_i1102" o:spt="75" type="#_x0000_t75" style="height:18pt;width:16pt;" o:ole="t" filled="f" stroked="f" coordsize="21600,21600">
            <v:path/>
            <v:fill on="f" alignshape="1" focussize="0,0"/>
            <v:stroke on="f"/>
            <v:imagedata r:id="rId157" o:title=""/>
            <o:lock v:ext="edit" aspectratio="t"/>
            <w10:wrap type="none"/>
            <w10:anchorlock/>
          </v:shape>
          <o:OLEObject Type="Embed" ProgID="Equation.3" ShapeID="_x0000_i1102" DrawAspect="Content" ObjectID="_1468075802" r:id="rId156">
            <o:LockedField>false</o:LockedField>
          </o:OLEObject>
        </w:object>
      </w:r>
      <w:r>
        <w:rPr>
          <w:rFonts w:eastAsia="楷体_GB2312"/>
          <w:sz w:val="28"/>
        </w:rPr>
        <w:t>—i道路或同类道路的功能分；</w:t>
      </w:r>
    </w:p>
    <w:p w14:paraId="2DD38AFC">
      <w:pPr>
        <w:tabs>
          <w:tab w:val="left" w:pos="0"/>
          <w:tab w:val="left" w:pos="295"/>
        </w:tabs>
        <w:spacing w:line="480" w:lineRule="exact"/>
        <w:ind w:firstLine="1540" w:firstLineChars="550"/>
        <w:rPr>
          <w:rFonts w:eastAsia="楷体_GB2312"/>
          <w:sz w:val="28"/>
        </w:rPr>
      </w:pPr>
      <w:r>
        <w:rPr>
          <w:rFonts w:eastAsia="楷体_GB2312"/>
          <w:sz w:val="28"/>
        </w:rPr>
        <w:t>r—j点到i道路的相对距离。</w:t>
      </w:r>
    </w:p>
    <w:p w14:paraId="5165C114">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2、单元内道路通达度作用分取值</w:t>
      </w:r>
    </w:p>
    <w:p w14:paraId="2DD7CF0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当同时存在多种道路类型影响时，取其中最高的作用分值。</w:t>
      </w:r>
    </w:p>
    <w:p w14:paraId="331494DC">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3、道路通达度作用分值图绘制</w:t>
      </w:r>
    </w:p>
    <w:p w14:paraId="4A34A6F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根据扩散的结果，采用等值线跟踪的方法由计算机自动在0-100分之间每20分跟踪一条等值线，由绘图仪自动绘制作用分值图。</w:t>
      </w:r>
    </w:p>
    <w:p w14:paraId="0DA4B5FE">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4、道路通达度作用结果分析</w:t>
      </w:r>
    </w:p>
    <w:p w14:paraId="6EEC5EF9">
      <w:pPr>
        <w:spacing w:line="480" w:lineRule="exact"/>
        <w:ind w:firstLine="560" w:firstLineChars="200"/>
        <w:rPr>
          <w:rFonts w:eastAsia="楷体_GB2312"/>
          <w:sz w:val="28"/>
        </w:rPr>
      </w:pPr>
      <w:r>
        <w:rPr>
          <w:rFonts w:eastAsia="楷体_GB2312"/>
          <w:sz w:val="28"/>
        </w:rPr>
        <w:t>道路仅对其两侧的土地有显著的增值作用，因而道路通达度对土地级别影响半径远小于商服中心和对外交通设施的影响半径。道路通达度作用分值的空间分布结构与评价区道路系统结构形状完全吻合，并且都是沿着道路中心线呈对称分布。</w:t>
      </w:r>
    </w:p>
    <w:p w14:paraId="2EEA2006">
      <w:pPr>
        <w:pStyle w:val="20"/>
        <w:spacing w:line="480" w:lineRule="exact"/>
        <w:ind w:firstLine="537" w:firstLineChars="192"/>
        <w:rPr>
          <w:rFonts w:ascii="Times New Roman" w:hAnsi="Times New Roman" w:eastAsia="楷体_GB2312" w:cs="Times New Roman"/>
          <w:sz w:val="28"/>
        </w:rPr>
      </w:pPr>
      <w:r>
        <w:rPr>
          <w:rFonts w:ascii="Times New Roman" w:hAnsi="Times New Roman" w:eastAsia="楷体_GB2312" w:cs="Times New Roman"/>
          <w:sz w:val="28"/>
        </w:rPr>
        <w:t>从道路通达度土地定级作用分值图可以看出高分值区出现在主干道所在区域，这主要由于主干道对土地质量的影响最大。从总体上来看，作用分是沿着道路向两侧呈指数衰减，等值线是沿道路中心线呈对称分布的，等值线间的间距较小，分值变化较陡，随着等值线离道路距离的增加，等值线间距急剧变大，分值变化趋缓。</w:t>
      </w:r>
    </w:p>
    <w:p w14:paraId="6E353A88">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三、单元内对外交通便利度作用分值计算</w:t>
      </w:r>
    </w:p>
    <w:p w14:paraId="46AC1CBE">
      <w:pPr>
        <w:tabs>
          <w:tab w:val="left" w:pos="0"/>
          <w:tab w:val="left" w:pos="295"/>
        </w:tabs>
        <w:spacing w:line="480" w:lineRule="exact"/>
        <w:ind w:firstLine="562" w:firstLineChars="200"/>
        <w:rPr>
          <w:rFonts w:eastAsia="楷体_GB2312"/>
          <w:b/>
          <w:sz w:val="28"/>
        </w:rPr>
      </w:pPr>
      <w:r>
        <w:rPr>
          <w:rFonts w:eastAsia="楷体_GB2312"/>
          <w:b/>
          <w:sz w:val="28"/>
        </w:rPr>
        <w:t>1、对外交通便利度作用分衰减公式的确定</w:t>
      </w:r>
    </w:p>
    <w:p w14:paraId="0E648671">
      <w:pPr>
        <w:tabs>
          <w:tab w:val="left" w:pos="0"/>
          <w:tab w:val="left" w:pos="295"/>
        </w:tabs>
        <w:spacing w:line="480" w:lineRule="exact"/>
        <w:ind w:firstLine="560" w:firstLineChars="200"/>
        <w:rPr>
          <w:rFonts w:eastAsia="楷体_GB2312"/>
          <w:sz w:val="28"/>
        </w:rPr>
      </w:pPr>
      <w:r>
        <w:rPr>
          <w:rFonts w:eastAsia="楷体_GB2312"/>
          <w:sz w:val="28"/>
        </w:rPr>
        <w:t>对外交通便利度作用分按下式进行衰减计算：</w:t>
      </w:r>
    </w:p>
    <w:p w14:paraId="4CE3BBFF">
      <w:pPr>
        <w:tabs>
          <w:tab w:val="left" w:pos="0"/>
          <w:tab w:val="left" w:pos="295"/>
        </w:tabs>
        <w:spacing w:line="480" w:lineRule="exact"/>
        <w:jc w:val="center"/>
        <w:rPr>
          <w:rFonts w:eastAsia="楷体_GB2312"/>
          <w:sz w:val="28"/>
        </w:rPr>
      </w:pPr>
      <w:r>
        <w:rPr>
          <w:rFonts w:eastAsia="楷体_GB2312"/>
          <w:position w:val="-14"/>
          <w:sz w:val="28"/>
        </w:rPr>
        <w:object>
          <v:shape id="_x0000_i1103" o:spt="75" type="#_x0000_t75" style="height:20pt;width:78.95pt;" o:ole="t" filled="f" stroked="f" coordsize="21600,21600">
            <v:path/>
            <v:fill on="f" alignshape="1" focussize="0,0"/>
            <v:stroke on="f"/>
            <v:imagedata r:id="rId159" o:title=""/>
            <o:lock v:ext="edit" aspectratio="t"/>
            <w10:wrap type="none"/>
            <w10:anchorlock/>
          </v:shape>
          <o:OLEObject Type="Embed" ProgID="Equation.3" ShapeID="_x0000_i1103" DrawAspect="Content" ObjectID="_1468075803" r:id="rId158">
            <o:LockedField>false</o:LockedField>
          </o:OLEObject>
        </w:object>
      </w:r>
    </w:p>
    <w:p w14:paraId="675F0A3D">
      <w:pPr>
        <w:tabs>
          <w:tab w:val="left" w:pos="0"/>
          <w:tab w:val="left" w:pos="295"/>
          <w:tab w:val="left" w:pos="3210"/>
        </w:tabs>
        <w:spacing w:line="480" w:lineRule="exact"/>
        <w:ind w:firstLine="560" w:firstLineChars="200"/>
        <w:rPr>
          <w:rFonts w:eastAsia="楷体_GB2312"/>
          <w:sz w:val="28"/>
        </w:rPr>
      </w:pPr>
      <w:r>
        <w:rPr>
          <w:rFonts w:eastAsia="楷体_GB2312"/>
          <w:sz w:val="28"/>
        </w:rPr>
        <w:t>式中：</w:t>
      </w:r>
      <w:r>
        <w:rPr>
          <w:rFonts w:eastAsia="楷体_GB2312"/>
          <w:position w:val="-14"/>
          <w:sz w:val="28"/>
        </w:rPr>
        <w:object>
          <v:shape id="_x0000_i1104" o:spt="75" type="#_x0000_t75" style="height:20pt;width:13.95pt;" o:ole="t" filled="f" stroked="f" coordsize="21600,21600">
            <v:path/>
            <v:fill on="f" alignshape="1" focussize="0,0"/>
            <v:stroke on="f"/>
            <v:imagedata r:id="rId161" o:title=""/>
            <o:lock v:ext="edit" aspectratio="t"/>
            <w10:wrap type="none"/>
            <w10:anchorlock/>
          </v:shape>
          <o:OLEObject Type="Embed" ProgID="Equation.3" ShapeID="_x0000_i1104" DrawAspect="Content" ObjectID="_1468075804" r:id="rId160">
            <o:LockedField>false</o:LockedField>
          </o:OLEObject>
        </w:object>
      </w:r>
      <w:r>
        <w:rPr>
          <w:rFonts w:eastAsia="楷体_GB2312"/>
          <w:sz w:val="28"/>
        </w:rPr>
        <w:t>—</w:t>
      </w:r>
      <w:r>
        <w:rPr>
          <w:rFonts w:eastAsia="楷体_GB2312"/>
          <w:position w:val="-4"/>
          <w:sz w:val="28"/>
        </w:rPr>
        <w:object>
          <v:shape id="_x0000_i1105" o:spt="75" type="#_x0000_t75" style="height:13pt;width:6.95pt;" o:ole="t" filled="f" stroked="f" coordsize="21600,21600">
            <v:path/>
            <v:fill on="f" alignshape="1" focussize="0,0"/>
            <v:stroke on="f"/>
            <v:imagedata r:id="rId163" o:title=""/>
            <o:lock v:ext="edit" aspectratio="t"/>
            <w10:wrap type="none"/>
            <w10:anchorlock/>
          </v:shape>
          <o:OLEObject Type="Embed" ProgID="Equation.3" ShapeID="_x0000_i1105" DrawAspect="Content" ObjectID="_1468075805" r:id="rId162">
            <o:LockedField>false</o:LockedField>
          </o:OLEObject>
        </w:object>
      </w:r>
      <w:r>
        <w:rPr>
          <w:rFonts w:eastAsia="楷体_GB2312"/>
          <w:sz w:val="28"/>
        </w:rPr>
        <w:t>对外交通设施对</w:t>
      </w:r>
      <w:r>
        <w:rPr>
          <w:rFonts w:eastAsia="楷体_GB2312"/>
          <w:position w:val="-10"/>
          <w:sz w:val="28"/>
        </w:rPr>
        <w:object>
          <v:shape id="_x0000_i1106" o:spt="75" type="#_x0000_t75" style="height:16pt;width:8pt;" o:ole="t" filled="f" stroked="f" coordsize="21600,21600">
            <v:path/>
            <v:fill on="f" alignshape="1" focussize="0,0"/>
            <v:stroke on="f"/>
            <v:imagedata r:id="rId165" o:title=""/>
            <o:lock v:ext="edit" aspectratio="t"/>
            <w10:wrap type="none"/>
            <w10:anchorlock/>
          </v:shape>
          <o:OLEObject Type="Embed" ProgID="Equation.3" ShapeID="_x0000_i1106" DrawAspect="Content" ObjectID="_1468075806" r:id="rId164">
            <o:LockedField>false</o:LockedField>
          </o:OLEObject>
        </w:object>
      </w:r>
      <w:r>
        <w:rPr>
          <w:rFonts w:eastAsia="楷体_GB2312"/>
          <w:sz w:val="28"/>
        </w:rPr>
        <w:t>点的便利度作用分；</w:t>
      </w:r>
    </w:p>
    <w:p w14:paraId="38A83523">
      <w:pPr>
        <w:tabs>
          <w:tab w:val="left" w:pos="0"/>
          <w:tab w:val="left" w:pos="295"/>
          <w:tab w:val="left" w:pos="2340"/>
          <w:tab w:val="left" w:pos="3210"/>
        </w:tabs>
        <w:spacing w:line="480" w:lineRule="exact"/>
        <w:rPr>
          <w:rFonts w:eastAsia="楷体_GB2312"/>
          <w:sz w:val="28"/>
        </w:rPr>
      </w:pPr>
      <w:r>
        <w:rPr>
          <w:rFonts w:eastAsia="楷体_GB2312"/>
          <w:sz w:val="28"/>
        </w:rPr>
        <w:t xml:space="preserve">          </w:t>
      </w:r>
      <w:r>
        <w:rPr>
          <w:rFonts w:eastAsia="楷体_GB2312"/>
          <w:position w:val="-10"/>
          <w:sz w:val="28"/>
        </w:rPr>
        <w:object>
          <v:shape id="_x0000_i1107" o:spt="75" type="#_x0000_t75" style="height:18pt;width:15pt;" o:ole="t" filled="f" stroked="f" coordsize="21600,21600">
            <v:path/>
            <v:fill on="f" alignshape="1" focussize="0,0"/>
            <v:stroke on="f"/>
            <v:imagedata r:id="rId167" o:title=""/>
            <o:lock v:ext="edit" aspectratio="t"/>
            <w10:wrap type="none"/>
            <w10:anchorlock/>
          </v:shape>
          <o:OLEObject Type="Embed" ProgID="Equation.3" ShapeID="_x0000_i1107" DrawAspect="Content" ObjectID="_1468075807" r:id="rId166">
            <o:LockedField>false</o:LockedField>
          </o:OLEObject>
        </w:object>
      </w:r>
      <w:r>
        <w:rPr>
          <w:rFonts w:eastAsia="楷体_GB2312"/>
          <w:sz w:val="28"/>
        </w:rPr>
        <w:t>—</w:t>
      </w:r>
      <w:r>
        <w:rPr>
          <w:rFonts w:eastAsia="楷体_GB2312"/>
          <w:position w:val="-4"/>
          <w:sz w:val="28"/>
        </w:rPr>
        <w:object>
          <v:shape id="_x0000_i1108" o:spt="75" type="#_x0000_t75" style="height:13pt;width:6.95pt;" o:ole="t" filled="f" stroked="f" coordsize="21600,21600">
            <v:path/>
            <v:fill on="f" alignshape="1" focussize="0,0"/>
            <v:stroke on="f"/>
            <v:imagedata r:id="rId169" o:title=""/>
            <o:lock v:ext="edit" aspectratio="t"/>
            <w10:wrap type="none"/>
            <w10:anchorlock/>
          </v:shape>
          <o:OLEObject Type="Embed" ProgID="Equation.3" ShapeID="_x0000_i1108" DrawAspect="Content" ObjectID="_1468075808" r:id="rId168">
            <o:LockedField>false</o:LockedField>
          </o:OLEObject>
        </w:object>
      </w:r>
      <w:r>
        <w:rPr>
          <w:rFonts w:eastAsia="楷体_GB2312"/>
          <w:sz w:val="28"/>
        </w:rPr>
        <w:t>对外交通设施的功能分；</w:t>
      </w:r>
    </w:p>
    <w:p w14:paraId="5ED722C5">
      <w:pPr>
        <w:tabs>
          <w:tab w:val="left" w:pos="0"/>
          <w:tab w:val="left" w:pos="295"/>
          <w:tab w:val="left" w:pos="3210"/>
        </w:tabs>
        <w:spacing w:line="480" w:lineRule="exact"/>
        <w:rPr>
          <w:rFonts w:eastAsia="楷体_GB2312"/>
          <w:sz w:val="28"/>
        </w:rPr>
      </w:pPr>
      <w:r>
        <w:rPr>
          <w:rFonts w:eastAsia="楷体_GB2312"/>
          <w:sz w:val="28"/>
        </w:rPr>
        <w:t xml:space="preserve">          </w:t>
      </w:r>
      <w:r>
        <w:rPr>
          <w:rFonts w:eastAsia="楷体_GB2312"/>
          <w:position w:val="-4"/>
          <w:sz w:val="28"/>
        </w:rPr>
        <w:object>
          <v:shape id="_x0000_i1109" o:spt="75" type="#_x0000_t75" style="height:10pt;width:8pt;" o:ole="t" filled="f" stroked="f" coordsize="21600,21600">
            <v:path/>
            <v:fill on="f" alignshape="1" focussize="0,0"/>
            <v:stroke on="f"/>
            <v:imagedata r:id="rId171" o:title=""/>
            <o:lock v:ext="edit" aspectratio="t"/>
            <w10:wrap type="none"/>
            <w10:anchorlock/>
          </v:shape>
          <o:OLEObject Type="Embed" ProgID="Equation.3" ShapeID="_x0000_i1109" DrawAspect="Content" ObjectID="_1468075809" r:id="rId170">
            <o:LockedField>false</o:LockedField>
          </o:OLEObject>
        </w:object>
      </w:r>
      <w:r>
        <w:rPr>
          <w:rFonts w:eastAsia="楷体_GB2312"/>
          <w:sz w:val="28"/>
        </w:rPr>
        <w:t xml:space="preserve"> —</w:t>
      </w:r>
      <w:r>
        <w:rPr>
          <w:rFonts w:eastAsia="楷体_GB2312"/>
          <w:position w:val="-10"/>
          <w:sz w:val="28"/>
        </w:rPr>
        <w:object>
          <v:shape id="_x0000_i1110" o:spt="75" type="#_x0000_t75" style="height:16pt;width:8pt;" o:ole="t" filled="f" stroked="f" coordsize="21600,21600">
            <v:path/>
            <v:fill on="f" alignshape="1" focussize="0,0"/>
            <v:stroke on="f"/>
            <v:imagedata r:id="rId173" o:title=""/>
            <o:lock v:ext="edit" aspectratio="t"/>
            <w10:wrap type="none"/>
            <w10:anchorlock/>
          </v:shape>
          <o:OLEObject Type="Embed" ProgID="Equation.3" ShapeID="_x0000_i1110" DrawAspect="Content" ObjectID="_1468075810" r:id="rId172">
            <o:LockedField>false</o:LockedField>
          </o:OLEObject>
        </w:object>
      </w:r>
      <w:r>
        <w:rPr>
          <w:rFonts w:eastAsia="楷体_GB2312"/>
          <w:sz w:val="28"/>
        </w:rPr>
        <w:t>点对</w:t>
      </w:r>
      <w:r>
        <w:rPr>
          <w:rFonts w:eastAsia="楷体_GB2312"/>
          <w:position w:val="-4"/>
          <w:sz w:val="28"/>
        </w:rPr>
        <w:object>
          <v:shape id="_x0000_i1111" o:spt="75" type="#_x0000_t75" style="height:13pt;width:6.95pt;" o:ole="t" filled="f" stroked="f" coordsize="21600,21600">
            <v:path/>
            <v:fill on="f" alignshape="1" focussize="0,0"/>
            <v:stroke on="f"/>
            <v:imagedata r:id="rId175" o:title=""/>
            <o:lock v:ext="edit" aspectratio="t"/>
            <w10:wrap type="none"/>
            <w10:anchorlock/>
          </v:shape>
          <o:OLEObject Type="Embed" ProgID="Equation.3" ShapeID="_x0000_i1111" DrawAspect="Content" ObjectID="_1468075811" r:id="rId174">
            <o:LockedField>false</o:LockedField>
          </o:OLEObject>
        </w:object>
      </w:r>
      <w:r>
        <w:rPr>
          <w:rFonts w:eastAsia="楷体_GB2312"/>
          <w:sz w:val="28"/>
        </w:rPr>
        <w:t>对外交通设施的相对距离。</w:t>
      </w:r>
    </w:p>
    <w:p w14:paraId="6B1F1B0A">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2、单元内对外交通便利度作用分取值方法</w:t>
      </w:r>
    </w:p>
    <w:p w14:paraId="28DB3B5B">
      <w:pPr>
        <w:spacing w:line="480" w:lineRule="exact"/>
        <w:ind w:firstLine="560" w:firstLineChars="200"/>
        <w:rPr>
          <w:rFonts w:eastAsia="楷体_GB2312"/>
          <w:sz w:val="28"/>
        </w:rPr>
      </w:pPr>
      <w:r>
        <w:rPr>
          <w:rFonts w:eastAsia="楷体_GB2312"/>
          <w:sz w:val="28"/>
        </w:rPr>
        <w:t>（1）同时存在多类对外交通设施影响时，各类对外交通设施对单元的作用分仅取值一次；</w:t>
      </w:r>
    </w:p>
    <w:p w14:paraId="6D146612">
      <w:pPr>
        <w:spacing w:line="480" w:lineRule="exact"/>
        <w:ind w:firstLine="560" w:firstLineChars="200"/>
        <w:rPr>
          <w:rFonts w:eastAsia="楷体_GB2312"/>
          <w:sz w:val="28"/>
        </w:rPr>
      </w:pPr>
      <w:r>
        <w:rPr>
          <w:rFonts w:eastAsia="楷体_GB2312"/>
          <w:sz w:val="28"/>
        </w:rPr>
        <w:t>（2）受多个同类对外交通设施影响时，取其中最高作用分。</w:t>
      </w:r>
    </w:p>
    <w:p w14:paraId="12489EEF">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3、对外交通便利度分值计算</w:t>
      </w:r>
    </w:p>
    <w:p w14:paraId="4B5457B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对外交通便利度分值是由各对外交通设施的作用分值加权求和而得，各对外交通设施的权重采用特尔菲测定法确定。</w:t>
      </w:r>
    </w:p>
    <w:p w14:paraId="266C72B4">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4、对外交通便利度作用分值图绘制</w:t>
      </w:r>
    </w:p>
    <w:p w14:paraId="34013F9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各类对外交通设施生成的扩散图象，采用数字叠置技术方法，按各类设施权重，通过加权求和的方式，自动计算对外交通便利度作用分值。再根据扩散的结果，采用等值线跟踪的方法由计算机自动在0-100分之间每10分跟踪一条等值线，由绘图仪自动绘制作用分值图。</w:t>
      </w:r>
    </w:p>
    <w:p w14:paraId="6B608F33">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5、对外交通便利度作用分值计算结果分析</w:t>
      </w:r>
    </w:p>
    <w:p w14:paraId="2940B1B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各乡镇镇区的对外交通设施均只有一个汽车站，等值线总体上呈单中心分布格局。但中心等值线所形成的同心圆间距均匀，这是由它的线性扩散方式所决定的。</w:t>
      </w:r>
    </w:p>
    <w:p w14:paraId="6434014D">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四、单元内基本设施完善度分值计算</w:t>
      </w:r>
    </w:p>
    <w:p w14:paraId="584B413A">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w:t>
      </w:r>
      <w:r>
        <w:rPr>
          <w:rFonts w:ascii="Times New Roman" w:hAnsi="Times New Roman" w:eastAsia="楷体_GB2312" w:cs="Times New Roman"/>
          <w:b/>
          <w:spacing w:val="-10"/>
          <w:sz w:val="28"/>
        </w:rPr>
        <w:t>单元内基础设施完善度作用分值计算与作用分值图编制</w:t>
      </w:r>
    </w:p>
    <w:p w14:paraId="006E53C6">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（1）单元内基础设施完善度分值取值方法</w:t>
      </w:r>
    </w:p>
    <w:p w14:paraId="11DFACF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基础设施主要考虑了供电、供水、排水三个因子，均为面状因子，故采用区域赋值法由计算机对各均质区域所属的土地定级单元自动赋分，然后按供水、排水的权重值（采用特尔菲测定法确定），采用空间数字叠置技术，加权求和，自动计算各土地定级单元基础设施完善度作用分值。</w:t>
      </w:r>
    </w:p>
    <w:p w14:paraId="4C141CBE">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（2）基础设施完善度作用分值图绘制</w:t>
      </w:r>
    </w:p>
    <w:p w14:paraId="1B67B6C0">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基于区域赋值法计算分值，作用分值图采用晕线法，以晕线反映分值的高低，由计算机自动绘制基础设施完善度作用分值图。</w:t>
      </w:r>
    </w:p>
    <w:p w14:paraId="1E0DF84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（3）基础设施完善度作用分值计算结果分析。</w:t>
      </w:r>
    </w:p>
    <w:p w14:paraId="03ABC4F1">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在成果图中，基础设施完善度的趋势是由镇中心向边缘地区呈逐渐降低的趋势。其中，供电、供水保证率高、排水通畅的区域形成作用分值最高区。低分值区主要位于边缘地区，各项基础设施不完善，且设施水平和保证率相对偏低。</w:t>
      </w:r>
    </w:p>
    <w:p w14:paraId="2D9E5F9F">
      <w:pPr>
        <w:spacing w:line="480" w:lineRule="exact"/>
        <w:ind w:firstLine="522" w:firstLineChars="200"/>
        <w:rPr>
          <w:rFonts w:eastAsia="楷体_GB2312"/>
          <w:b/>
          <w:spacing w:val="-10"/>
          <w:sz w:val="28"/>
        </w:rPr>
      </w:pPr>
      <w:r>
        <w:rPr>
          <w:rFonts w:eastAsia="楷体_GB2312"/>
          <w:b/>
          <w:spacing w:val="-10"/>
          <w:sz w:val="28"/>
        </w:rPr>
        <w:t>2、单元内公用设施作用分值计算与作用分值图编制</w:t>
      </w:r>
    </w:p>
    <w:p w14:paraId="71D1AEF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（1）公用设施作用分衰减公式的确定</w:t>
      </w:r>
    </w:p>
    <w:p w14:paraId="3E51EE49">
      <w:pPr>
        <w:spacing w:line="480" w:lineRule="exact"/>
        <w:ind w:firstLine="560" w:firstLineChars="200"/>
        <w:rPr>
          <w:rFonts w:eastAsia="楷体_GB2312"/>
          <w:sz w:val="28"/>
        </w:rPr>
      </w:pPr>
      <w:r>
        <w:rPr>
          <w:rFonts w:eastAsia="楷体_GB2312"/>
          <w:sz w:val="28"/>
        </w:rPr>
        <w:t>公用设施作用分按下式进行衰减：</w:t>
      </w:r>
    </w:p>
    <w:p w14:paraId="76DF5299">
      <w:pPr>
        <w:spacing w:line="480" w:lineRule="exact"/>
        <w:ind w:firstLine="1120" w:firstLineChars="400"/>
        <w:rPr>
          <w:rFonts w:eastAsia="楷体_GB2312"/>
          <w:sz w:val="28"/>
        </w:rPr>
      </w:pPr>
      <w:r>
        <w:rPr>
          <w:rFonts w:eastAsia="楷体_GB2312"/>
          <w:position w:val="-14"/>
          <w:sz w:val="28"/>
        </w:rPr>
        <w:object>
          <v:shape id="_x0000_i1112" o:spt="75" type="#_x0000_t75" style="height:20pt;width:80pt;" o:ole="t" filled="f" stroked="f" coordsize="21600,21600">
            <v:path/>
            <v:fill on="f" alignshape="1" focussize="0,0"/>
            <v:stroke on="f"/>
            <v:imagedata r:id="rId177" o:title=""/>
            <o:lock v:ext="edit" aspectratio="t"/>
            <w10:wrap type="none"/>
            <w10:anchorlock/>
          </v:shape>
          <o:OLEObject Type="Embed" ProgID="Equation.3" ShapeID="_x0000_i1112" DrawAspect="Content" ObjectID="_1468075812" r:id="rId176">
            <o:LockedField>false</o:LockedField>
          </o:OLEObject>
        </w:object>
      </w:r>
    </w:p>
    <w:p w14:paraId="281A2C8B">
      <w:pPr>
        <w:spacing w:line="480" w:lineRule="exact"/>
        <w:ind w:firstLine="560" w:firstLineChars="200"/>
        <w:rPr>
          <w:rFonts w:eastAsia="楷体_GB2312"/>
          <w:sz w:val="28"/>
        </w:rPr>
      </w:pPr>
      <w:r>
        <w:rPr>
          <w:rFonts w:eastAsia="楷体_GB2312"/>
          <w:sz w:val="28"/>
        </w:rPr>
        <w:t>式中：</w:t>
      </w:r>
      <w:r>
        <w:rPr>
          <w:rFonts w:eastAsia="楷体_GB2312"/>
          <w:position w:val="-14"/>
          <w:sz w:val="28"/>
        </w:rPr>
        <w:object>
          <v:shape id="_x0000_i1113" o:spt="75" type="#_x0000_t75" style="height:20pt;width:15pt;" o:ole="t" filled="f" stroked="f" coordsize="21600,21600">
            <v:path/>
            <v:fill on="f" focussize="0,0"/>
            <v:stroke on="f"/>
            <v:imagedata r:id="rId179" o:title=""/>
            <o:lock v:ext="edit" aspectratio="t"/>
            <w10:wrap type="none"/>
            <w10:anchorlock/>
          </v:shape>
          <o:OLEObject Type="Embed" ProgID="Equation.3" ShapeID="_x0000_i1113" DrawAspect="Content" ObjectID="_1468075813" r:id="rId178">
            <o:LockedField>false</o:LockedField>
          </o:OLEObject>
        </w:object>
      </w:r>
      <w:r>
        <w:rPr>
          <w:rFonts w:eastAsia="楷体_GB2312"/>
          <w:sz w:val="28"/>
        </w:rPr>
        <w:t>－i公用设施对j点的作用分；</w:t>
      </w:r>
    </w:p>
    <w:p w14:paraId="5FACD24E">
      <w:pPr>
        <w:spacing w:line="480" w:lineRule="exact"/>
        <w:ind w:firstLine="1400" w:firstLineChars="500"/>
        <w:rPr>
          <w:rFonts w:eastAsia="楷体_GB2312"/>
          <w:sz w:val="28"/>
        </w:rPr>
      </w:pPr>
      <w:r>
        <w:rPr>
          <w:rFonts w:eastAsia="楷体_GB2312"/>
          <w:position w:val="-12"/>
          <w:sz w:val="28"/>
        </w:rPr>
        <w:object>
          <v:shape id="_x0000_i1114" o:spt="75" type="#_x0000_t75" style="height:19pt;width:18pt;" o:ole="t" filled="f" stroked="f" coordsize="21600,21600">
            <v:path/>
            <v:fill on="f" focussize="0,0"/>
            <v:stroke on="f"/>
            <v:imagedata r:id="rId181" o:title=""/>
            <o:lock v:ext="edit" aspectratio="t"/>
            <w10:wrap type="none"/>
            <w10:anchorlock/>
          </v:shape>
          <o:OLEObject Type="Embed" ProgID="Equation.3" ShapeID="_x0000_i1114" DrawAspect="Content" ObjectID="_1468075814" r:id="rId180">
            <o:LockedField>false</o:LockedField>
          </o:OLEObject>
        </w:object>
      </w:r>
      <w:r>
        <w:rPr>
          <w:rFonts w:eastAsia="楷体_GB2312"/>
          <w:sz w:val="28"/>
        </w:rPr>
        <w:t>－i公用设施的功能分；</w:t>
      </w:r>
    </w:p>
    <w:p w14:paraId="6277A332">
      <w:pPr>
        <w:spacing w:line="480" w:lineRule="exact"/>
        <w:ind w:firstLine="1540" w:firstLineChars="550"/>
        <w:rPr>
          <w:rFonts w:eastAsia="楷体_GB2312"/>
          <w:sz w:val="28"/>
        </w:rPr>
      </w:pPr>
      <w:r>
        <w:rPr>
          <w:rFonts w:eastAsia="楷体_GB2312"/>
          <w:sz w:val="28"/>
        </w:rPr>
        <w:t>r－j到i公用设施的相对距离。</w:t>
      </w:r>
    </w:p>
    <w:p w14:paraId="01F63243">
      <w:pPr>
        <w:spacing w:line="480" w:lineRule="exact"/>
        <w:ind w:firstLine="560" w:firstLineChars="200"/>
        <w:rPr>
          <w:rFonts w:eastAsia="楷体_GB2312"/>
          <w:sz w:val="28"/>
        </w:rPr>
      </w:pPr>
      <w:r>
        <w:rPr>
          <w:rFonts w:eastAsia="楷体_GB2312"/>
          <w:sz w:val="28"/>
          <w:szCs w:val="21"/>
        </w:rPr>
        <w:t>（2）</w:t>
      </w:r>
      <w:r>
        <w:rPr>
          <w:rFonts w:eastAsia="楷体_GB2312"/>
          <w:sz w:val="28"/>
        </w:rPr>
        <w:t>单元内公用设施作用分取值</w:t>
      </w:r>
    </w:p>
    <w:p w14:paraId="72C07957">
      <w:pPr>
        <w:spacing w:line="480" w:lineRule="exact"/>
        <w:ind w:firstLine="560" w:firstLineChars="200"/>
        <w:rPr>
          <w:rFonts w:eastAsia="楷体_GB2312"/>
          <w:sz w:val="28"/>
        </w:rPr>
      </w:pPr>
      <w:r>
        <w:rPr>
          <w:rFonts w:eastAsia="楷体_GB2312"/>
          <w:sz w:val="28"/>
        </w:rPr>
        <w:t>同时存在多类公用设施影响时，每类公用设施对单元的作用分仅取一次；受多个同类公用设施影响时，取其中最高作用分。</w:t>
      </w:r>
    </w:p>
    <w:p w14:paraId="30D3EBFC">
      <w:pPr>
        <w:spacing w:line="480" w:lineRule="exact"/>
        <w:ind w:firstLine="560" w:firstLineChars="200"/>
        <w:rPr>
          <w:rFonts w:eastAsia="楷体_GB2312"/>
          <w:sz w:val="28"/>
        </w:rPr>
      </w:pPr>
      <w:r>
        <w:rPr>
          <w:rFonts w:eastAsia="楷体_GB2312"/>
          <w:sz w:val="28"/>
        </w:rPr>
        <w:t>（3）公用设施完备度作用分值计算</w:t>
      </w:r>
    </w:p>
    <w:p w14:paraId="5A945D7D">
      <w:pPr>
        <w:spacing w:line="480" w:lineRule="exact"/>
        <w:ind w:firstLine="560" w:firstLineChars="200"/>
        <w:rPr>
          <w:rFonts w:eastAsia="楷体_GB2312"/>
          <w:sz w:val="28"/>
        </w:rPr>
      </w:pPr>
      <w:r>
        <w:rPr>
          <w:rFonts w:eastAsia="楷体_GB2312"/>
          <w:sz w:val="28"/>
        </w:rPr>
        <w:t>单元公用设施完备度按下式计算：</w:t>
      </w:r>
    </w:p>
    <w:p w14:paraId="71E5C1A0">
      <w:pPr>
        <w:spacing w:line="480" w:lineRule="exact"/>
        <w:ind w:firstLine="1400" w:firstLineChars="500"/>
        <w:rPr>
          <w:rFonts w:eastAsia="楷体_GB2312"/>
          <w:sz w:val="28"/>
        </w:rPr>
      </w:pPr>
      <w:r>
        <w:rPr>
          <w:rFonts w:eastAsia="楷体_GB2312"/>
          <w:sz w:val="28"/>
        </w:rPr>
        <w:t>F</w:t>
      </w:r>
      <w:r>
        <w:rPr>
          <w:rFonts w:eastAsia="楷体_GB2312"/>
          <w:position w:val="-14"/>
          <w:sz w:val="28"/>
        </w:rPr>
        <w:object>
          <v:shape id="_x0000_i1115" o:spt="75" type="#_x0000_t75" style="height:20pt;width:9pt;" o:ole="t" filled="f" stroked="f" coordsize="21600,21600">
            <v:path/>
            <v:fill on="f" alignshape="1" focussize="0,0"/>
            <v:stroke on="f"/>
            <v:imagedata r:id="rId183" o:title=""/>
            <o:lock v:ext="edit" aspectratio="t"/>
            <w10:wrap type="none"/>
            <w10:anchorlock/>
          </v:shape>
          <o:OLEObject Type="Embed" ProgID="Equation.3" ShapeID="_x0000_i1115" DrawAspect="Content" ObjectID="_1468075815" r:id="rId182">
            <o:LockedField>false</o:LockedField>
          </o:OLEObject>
        </w:object>
      </w:r>
      <w:r>
        <w:rPr>
          <w:rFonts w:eastAsia="楷体_GB2312"/>
          <w:sz w:val="28"/>
        </w:rPr>
        <w:t>=</w:t>
      </w:r>
      <w:r>
        <w:rPr>
          <w:rFonts w:eastAsia="楷体_GB2312"/>
          <w:position w:val="-28"/>
          <w:sz w:val="28"/>
        </w:rPr>
        <w:object>
          <v:shape id="_x0000_i1116" o:spt="75" type="#_x0000_t75" style="height:34pt;width:30pt;" o:ole="t" filled="f" stroked="f" coordsize="21600,21600">
            <v:path/>
            <v:fill on="f" alignshape="1" focussize="0,0"/>
            <v:stroke on="f"/>
            <v:imagedata r:id="rId185" o:title=""/>
            <o:lock v:ext="edit" aspectratio="t"/>
            <w10:wrap type="none"/>
            <w10:anchorlock/>
          </v:shape>
          <o:OLEObject Type="Embed" ProgID="Equation.3" ShapeID="_x0000_i1116" DrawAspect="Content" ObjectID="_1468075816" r:id="rId184">
            <o:LockedField>false</o:LockedField>
          </o:OLEObject>
        </w:object>
      </w:r>
    </w:p>
    <w:p w14:paraId="7C0E122A">
      <w:pPr>
        <w:spacing w:line="480" w:lineRule="exact"/>
        <w:ind w:firstLine="560" w:firstLineChars="200"/>
        <w:rPr>
          <w:rFonts w:eastAsia="楷体_GB2312"/>
          <w:sz w:val="28"/>
        </w:rPr>
      </w:pPr>
      <w:r>
        <w:rPr>
          <w:rFonts w:eastAsia="楷体_GB2312"/>
          <w:sz w:val="28"/>
        </w:rPr>
        <w:t>式中：F</w:t>
      </w:r>
      <w:r>
        <w:rPr>
          <w:rFonts w:eastAsia="楷体_GB2312"/>
          <w:position w:val="-14"/>
          <w:sz w:val="28"/>
        </w:rPr>
        <w:object>
          <v:shape id="_x0000_i1117" o:spt="75" type="#_x0000_t75" style="height:20pt;width:9pt;" o:ole="t" filled="f" stroked="f" coordsize="21600,21600">
            <v:path/>
            <v:fill on="f" alignshape="1" focussize="0,0"/>
            <v:stroke on="f"/>
            <v:imagedata r:id="rId183" o:title=""/>
            <o:lock v:ext="edit" aspectratio="t"/>
            <w10:wrap type="none"/>
            <w10:anchorlock/>
          </v:shape>
          <o:OLEObject Type="Embed" ProgID="Equation.3" ShapeID="_x0000_i1117" DrawAspect="Content" ObjectID="_1468075817" r:id="rId186">
            <o:LockedField>false</o:LockedField>
          </o:OLEObject>
        </w:object>
      </w:r>
      <w:r>
        <w:rPr>
          <w:rFonts w:eastAsia="楷体_GB2312"/>
          <w:sz w:val="28"/>
        </w:rPr>
        <w:t>－j单元公用设施完备度分值；</w:t>
      </w:r>
    </w:p>
    <w:p w14:paraId="5E8CED5E">
      <w:pPr>
        <w:spacing w:line="480" w:lineRule="exact"/>
        <w:ind w:firstLine="1400" w:firstLineChars="500"/>
        <w:rPr>
          <w:rFonts w:eastAsia="楷体_GB2312"/>
          <w:sz w:val="28"/>
        </w:rPr>
      </w:pPr>
      <w:r>
        <w:rPr>
          <w:rFonts w:eastAsia="楷体_GB2312"/>
          <w:position w:val="-14"/>
          <w:sz w:val="28"/>
        </w:rPr>
        <w:object>
          <v:shape id="_x0000_i1118" o:spt="75" type="#_x0000_t75" style="height:20pt;width:15pt;" o:ole="t" filled="f" stroked="f" coordsize="21600,21600">
            <v:path/>
            <v:fill on="f" focussize="0,0"/>
            <v:stroke on="f"/>
            <v:imagedata r:id="rId188" o:title=""/>
            <o:lock v:ext="edit" aspectratio="t"/>
            <w10:wrap type="none"/>
            <w10:anchorlock/>
          </v:shape>
          <o:OLEObject Type="Embed" ProgID="Equation.3" ShapeID="_x0000_i1118" DrawAspect="Content" ObjectID="_1468075818" r:id="rId187">
            <o:LockedField>false</o:LockedField>
          </o:OLEObject>
        </w:object>
      </w:r>
      <w:r>
        <w:rPr>
          <w:rFonts w:eastAsia="楷体_GB2312"/>
          <w:sz w:val="28"/>
        </w:rPr>
        <w:t>－i类公用设施对j单元的作用分，i=1，2，3，…，n；</w:t>
      </w:r>
    </w:p>
    <w:p w14:paraId="5715DEA1">
      <w:pPr>
        <w:spacing w:line="480" w:lineRule="exact"/>
        <w:ind w:firstLine="1540" w:firstLineChars="550"/>
        <w:rPr>
          <w:rFonts w:eastAsia="楷体_GB2312"/>
          <w:sz w:val="28"/>
        </w:rPr>
      </w:pPr>
      <w:r>
        <w:rPr>
          <w:rFonts w:eastAsia="楷体_GB2312"/>
          <w:sz w:val="28"/>
        </w:rPr>
        <w:t>n－公用设施的类型数。</w:t>
      </w:r>
    </w:p>
    <w:p w14:paraId="7BC4C715">
      <w:pPr>
        <w:spacing w:line="480" w:lineRule="exact"/>
        <w:ind w:firstLine="560" w:firstLineChars="200"/>
        <w:rPr>
          <w:rFonts w:eastAsia="楷体_GB2312"/>
          <w:sz w:val="28"/>
        </w:rPr>
      </w:pPr>
      <w:r>
        <w:rPr>
          <w:rFonts w:eastAsia="楷体_GB2312"/>
          <w:sz w:val="28"/>
        </w:rPr>
        <w:t>（4）公用设施完备度作用分值图绘制</w:t>
      </w:r>
    </w:p>
    <w:p w14:paraId="6BA9CC72">
      <w:pPr>
        <w:spacing w:line="480" w:lineRule="exact"/>
        <w:ind w:firstLine="560" w:firstLineChars="200"/>
        <w:rPr>
          <w:rFonts w:eastAsia="楷体_GB2312"/>
          <w:sz w:val="28"/>
        </w:rPr>
      </w:pPr>
      <w:r>
        <w:rPr>
          <w:rFonts w:eastAsia="楷体_GB2312"/>
          <w:sz w:val="28"/>
        </w:rPr>
        <w:t>根据各类公用设施生成的扩散图象，采用数字叠置技术方法，按各类公用设施权重，通过加权求和的方式，自动计算公用设施完备度作用分值，然后通过矢量化自动跟踪技术形成公用设施完备度作用分等值线图形，在此基础上，采用制图综合技术对等值线进行平滑，最后经图形整饰得到绘图使用的数据并绘制成图。</w:t>
      </w:r>
    </w:p>
    <w:p w14:paraId="52A6D482">
      <w:pPr>
        <w:spacing w:line="480" w:lineRule="exact"/>
        <w:ind w:firstLine="560" w:firstLineChars="200"/>
        <w:rPr>
          <w:rFonts w:eastAsia="楷体_GB2312"/>
          <w:sz w:val="28"/>
        </w:rPr>
      </w:pPr>
      <w:r>
        <w:rPr>
          <w:rFonts w:eastAsia="楷体_GB2312"/>
          <w:sz w:val="28"/>
        </w:rPr>
        <w:t>（5）公用设施完备度作用结果分析</w:t>
      </w:r>
    </w:p>
    <w:p w14:paraId="054E4336">
      <w:pPr>
        <w:pStyle w:val="20"/>
        <w:spacing w:line="480" w:lineRule="exact"/>
        <w:ind w:firstLine="544" w:firstLineChars="200"/>
        <w:rPr>
          <w:rFonts w:ascii="Times New Roman" w:hAnsi="Times New Roman" w:eastAsia="楷体_GB2312" w:cs="Times New Roman"/>
          <w:spacing w:val="-4"/>
          <w:sz w:val="28"/>
        </w:rPr>
      </w:pPr>
      <w:r>
        <w:rPr>
          <w:rFonts w:ascii="Times New Roman" w:hAnsi="Times New Roman" w:eastAsia="楷体_GB2312" w:cs="Times New Roman"/>
          <w:spacing w:val="-4"/>
          <w:sz w:val="28"/>
        </w:rPr>
        <w:t>由公用设施作用分值图可以看出：</w:t>
      </w:r>
      <w:r>
        <w:rPr>
          <w:rFonts w:ascii="Times New Roman" w:hAnsi="Times New Roman" w:eastAsia="楷体_GB2312" w:cs="Times New Roman"/>
          <w:sz w:val="28"/>
          <w:szCs w:val="24"/>
        </w:rPr>
        <w:t>80</w:t>
      </w:r>
      <w:r>
        <w:rPr>
          <w:rFonts w:ascii="Times New Roman" w:hAnsi="Times New Roman" w:eastAsia="楷体_GB2312" w:cs="Times New Roman"/>
          <w:spacing w:val="-4"/>
          <w:sz w:val="28"/>
        </w:rPr>
        <w:t>分以上等值线主要分布位于各乡镇区中心地带，并以此为圆心向外扩散形成分值递减、基本连续分布的同心圆。由于作用分的衰减呈线性，所以其等值线的间距比较均匀。部分等值线在遇到河流时出现了不连续、破碎的现象，这是河流等的阻隔作用所致。</w:t>
      </w:r>
    </w:p>
    <w:p w14:paraId="05D1C25E">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五、单元内环境质量作用分值计算与作用分值图编制</w:t>
      </w:r>
    </w:p>
    <w:p w14:paraId="04F3A278">
      <w:pPr>
        <w:pStyle w:val="20"/>
        <w:spacing w:line="480" w:lineRule="exact"/>
        <w:ind w:firstLine="546" w:firstLineChars="200"/>
        <w:rPr>
          <w:rFonts w:ascii="Times New Roman" w:hAnsi="Times New Roman" w:eastAsia="楷体_GB2312" w:cs="Times New Roman"/>
          <w:b/>
          <w:spacing w:val="-4"/>
          <w:sz w:val="28"/>
        </w:rPr>
      </w:pPr>
      <w:r>
        <w:rPr>
          <w:rFonts w:ascii="Times New Roman" w:hAnsi="Times New Roman" w:eastAsia="楷体_GB2312" w:cs="Times New Roman"/>
          <w:b/>
          <w:spacing w:val="-4"/>
          <w:sz w:val="28"/>
        </w:rPr>
        <w:t>1、单元内环境质量优劣度作用分值计算</w:t>
      </w:r>
    </w:p>
    <w:p w14:paraId="2B04237B">
      <w:pPr>
        <w:pStyle w:val="20"/>
        <w:spacing w:line="480" w:lineRule="exact"/>
        <w:ind w:firstLine="544" w:firstLineChars="200"/>
        <w:rPr>
          <w:rFonts w:ascii="Times New Roman" w:hAnsi="Times New Roman" w:eastAsia="楷体_GB2312" w:cs="Times New Roman"/>
          <w:spacing w:val="-4"/>
          <w:sz w:val="28"/>
        </w:rPr>
      </w:pPr>
      <w:r>
        <w:rPr>
          <w:rFonts w:ascii="Times New Roman" w:hAnsi="Times New Roman" w:eastAsia="楷体_GB2312" w:cs="Times New Roman"/>
          <w:spacing w:val="-4"/>
          <w:sz w:val="28"/>
        </w:rPr>
        <w:t>根据单元所在区域的环境质量优劣度作用分，直接得到单元分值。</w:t>
      </w:r>
    </w:p>
    <w:p w14:paraId="40EED1F5">
      <w:pPr>
        <w:pStyle w:val="20"/>
        <w:spacing w:line="480" w:lineRule="exact"/>
        <w:ind w:firstLine="546" w:firstLineChars="200"/>
        <w:rPr>
          <w:rFonts w:ascii="Times New Roman" w:hAnsi="Times New Roman" w:eastAsia="楷体_GB2312" w:cs="Times New Roman"/>
          <w:b/>
          <w:spacing w:val="-4"/>
          <w:sz w:val="28"/>
        </w:rPr>
      </w:pPr>
      <w:r>
        <w:rPr>
          <w:rFonts w:ascii="Times New Roman" w:hAnsi="Times New Roman" w:eastAsia="楷体_GB2312" w:cs="Times New Roman"/>
          <w:b/>
          <w:spacing w:val="-4"/>
          <w:sz w:val="28"/>
        </w:rPr>
        <w:t>2、环境质量优劣度分值图绘制</w:t>
      </w:r>
    </w:p>
    <w:p w14:paraId="2A16C0E1">
      <w:pPr>
        <w:pStyle w:val="20"/>
        <w:spacing w:line="480" w:lineRule="exact"/>
        <w:ind w:firstLine="544" w:firstLineChars="200"/>
        <w:rPr>
          <w:rFonts w:ascii="Times New Roman" w:hAnsi="Times New Roman" w:eastAsia="楷体_GB2312" w:cs="Times New Roman"/>
          <w:spacing w:val="-4"/>
          <w:sz w:val="28"/>
        </w:rPr>
      </w:pPr>
      <w:r>
        <w:rPr>
          <w:rFonts w:ascii="Times New Roman" w:hAnsi="Times New Roman" w:eastAsia="楷体_GB2312" w:cs="Times New Roman"/>
          <w:spacing w:val="-4"/>
          <w:sz w:val="28"/>
        </w:rPr>
        <w:t>基于区域赋值法计算分值，作用分值图采用晕线法，以晕线反映分值的高低，由计算机自动绘制环境质量优劣度作用分值图。在此基础上，采用制图综合技术综合区域赋值边界线，去掉零星小图班，最后经图形整饰得到供绘图使用的数据并绘制成图。</w:t>
      </w:r>
    </w:p>
    <w:p w14:paraId="2424998A">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六、单元内自然条件作用分值计算与作用分值图编制</w:t>
      </w:r>
    </w:p>
    <w:p w14:paraId="560294E4">
      <w:pPr>
        <w:pStyle w:val="20"/>
        <w:spacing w:line="480" w:lineRule="exact"/>
        <w:ind w:firstLine="546" w:firstLineChars="200"/>
        <w:rPr>
          <w:rFonts w:ascii="Times New Roman" w:hAnsi="Times New Roman" w:eastAsia="楷体_GB2312" w:cs="Times New Roman"/>
          <w:b/>
          <w:spacing w:val="-4"/>
          <w:sz w:val="28"/>
        </w:rPr>
      </w:pPr>
      <w:r>
        <w:rPr>
          <w:rFonts w:ascii="Times New Roman" w:hAnsi="Times New Roman" w:eastAsia="楷体_GB2312" w:cs="Times New Roman"/>
          <w:b/>
          <w:spacing w:val="-4"/>
          <w:sz w:val="28"/>
        </w:rPr>
        <w:t>1、单元内自然条件优劣度作用分值计算</w:t>
      </w:r>
    </w:p>
    <w:p w14:paraId="640311BC">
      <w:pPr>
        <w:pStyle w:val="20"/>
        <w:spacing w:line="480" w:lineRule="exact"/>
        <w:ind w:firstLine="544" w:firstLineChars="200"/>
        <w:rPr>
          <w:rFonts w:ascii="Times New Roman" w:hAnsi="Times New Roman" w:eastAsia="楷体_GB2312" w:cs="Times New Roman"/>
          <w:spacing w:val="-4"/>
          <w:sz w:val="28"/>
        </w:rPr>
      </w:pPr>
      <w:r>
        <w:rPr>
          <w:rFonts w:ascii="Times New Roman" w:hAnsi="Times New Roman" w:eastAsia="楷体_GB2312" w:cs="Times New Roman"/>
          <w:spacing w:val="-4"/>
          <w:sz w:val="28"/>
        </w:rPr>
        <w:t>根据单元所在区域的自然条件优劣度作用分，直接得到单元分值。</w:t>
      </w:r>
    </w:p>
    <w:p w14:paraId="767B2AEF">
      <w:pPr>
        <w:pStyle w:val="20"/>
        <w:spacing w:line="480" w:lineRule="exact"/>
        <w:ind w:firstLine="546" w:firstLineChars="200"/>
        <w:rPr>
          <w:rFonts w:ascii="Times New Roman" w:hAnsi="Times New Roman" w:eastAsia="楷体_GB2312" w:cs="Times New Roman"/>
          <w:b/>
          <w:spacing w:val="-4"/>
          <w:sz w:val="28"/>
        </w:rPr>
      </w:pPr>
      <w:r>
        <w:rPr>
          <w:rFonts w:ascii="Times New Roman" w:hAnsi="Times New Roman" w:eastAsia="楷体_GB2312" w:cs="Times New Roman"/>
          <w:b/>
          <w:spacing w:val="-4"/>
          <w:sz w:val="28"/>
        </w:rPr>
        <w:t>2、自然条件优劣度分值图绘制</w:t>
      </w:r>
    </w:p>
    <w:p w14:paraId="108BEF1E">
      <w:pPr>
        <w:pStyle w:val="20"/>
        <w:spacing w:line="480" w:lineRule="exact"/>
        <w:ind w:firstLine="544" w:firstLineChars="200"/>
        <w:rPr>
          <w:rFonts w:ascii="Times New Roman" w:hAnsi="Times New Roman" w:eastAsia="楷体_GB2312" w:cs="Times New Roman"/>
          <w:spacing w:val="-4"/>
          <w:sz w:val="28"/>
        </w:rPr>
        <w:sectPr>
          <w:pgSz w:w="11906" w:h="16838"/>
          <w:pgMar w:top="1701" w:right="1418" w:bottom="1418" w:left="1701" w:header="1134" w:footer="992" w:gutter="0"/>
          <w:cols w:space="720" w:num="1"/>
          <w:docGrid w:linePitch="12" w:charSpace="0"/>
        </w:sectPr>
      </w:pPr>
      <w:r>
        <w:rPr>
          <w:rFonts w:ascii="Times New Roman" w:hAnsi="Times New Roman" w:eastAsia="楷体_GB2312" w:cs="Times New Roman"/>
          <w:spacing w:val="-4"/>
          <w:sz w:val="28"/>
        </w:rPr>
        <w:t>基于区域赋值法计算分值，作用分值图采用晕线法，以晕线反映分值的高低，由计算机自动绘制自然条件优劣度作用分值图。在此基础上，采用制图综合技术综合区域赋值边界线，去掉零星小图班，最后经图形整饰得到供绘图使用的数据并绘制成图。</w:t>
      </w:r>
    </w:p>
    <w:p w14:paraId="0755649C">
      <w:pPr>
        <w:pStyle w:val="4"/>
        <w:numPr>
          <w:ilvl w:val="0"/>
          <w:numId w:val="0"/>
        </w:numPr>
        <w:spacing w:line="380" w:lineRule="exact"/>
        <w:jc w:val="center"/>
        <w:rPr>
          <w:rFonts w:eastAsia="仿宋_GB2312"/>
          <w:bCs w:val="0"/>
          <w:spacing w:val="-14"/>
        </w:rPr>
      </w:pPr>
      <w:bookmarkStart w:id="50" w:name="_Toc62563665"/>
      <w:r>
        <w:rPr>
          <w:rFonts w:eastAsia="仿宋_GB2312"/>
          <w:bCs w:val="0"/>
          <w:spacing w:val="-14"/>
        </w:rPr>
        <w:t>第四节  土地定级单元内总分值的计算与定级因素作用总分值图编制</w:t>
      </w:r>
      <w:bookmarkEnd w:id="50"/>
    </w:p>
    <w:p w14:paraId="319242EA">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一、单元内总分值的计算</w:t>
      </w:r>
    </w:p>
    <w:p w14:paraId="53BEC67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由计算机按照下式直接计算定级单元总分：</w:t>
      </w:r>
    </w:p>
    <w:p w14:paraId="3D74B019">
      <w:pPr>
        <w:pStyle w:val="20"/>
        <w:spacing w:line="480" w:lineRule="exact"/>
        <w:jc w:val="center"/>
        <w:rPr>
          <w:rFonts w:ascii="Times New Roman" w:hAnsi="Times New Roman" w:eastAsia="楷体_GB2312" w:cs="Times New Roman"/>
          <w:sz w:val="24"/>
        </w:rPr>
      </w:pPr>
      <w:r>
        <w:rPr>
          <w:rFonts w:ascii="Times New Roman" w:hAnsi="Times New Roman" w:eastAsia="楷体_GB2312" w:cs="Times New Roman"/>
          <w:position w:val="-28"/>
          <w:sz w:val="24"/>
        </w:rPr>
        <w:object>
          <v:shape id="_x0000_i1119" o:spt="75" type="#_x0000_t75" style="height:34pt;width:78pt;" o:ole="t" filled="f" stroked="f" coordsize="21600,21600">
            <v:path/>
            <v:fill on="f" alignshape="1" focussize="0,0"/>
            <v:stroke on="f"/>
            <v:imagedata r:id="rId190" o:title=""/>
            <o:lock v:ext="edit" aspectratio="t"/>
            <w10:wrap type="none"/>
            <w10:anchorlock/>
          </v:shape>
          <o:OLEObject Type="Embed" ProgID="Equation.3" ShapeID="_x0000_i1119" DrawAspect="Content" ObjectID="_1468075819" r:id="rId189">
            <o:LockedField>false</o:LockedField>
          </o:OLEObject>
        </w:object>
      </w:r>
    </w:p>
    <w:p w14:paraId="387C1F05">
      <w:pPr>
        <w:spacing w:line="480" w:lineRule="exact"/>
        <w:ind w:firstLine="560" w:firstLineChars="200"/>
        <w:rPr>
          <w:rFonts w:eastAsia="楷体_GB2312"/>
          <w:sz w:val="28"/>
        </w:rPr>
      </w:pPr>
      <w:r>
        <w:rPr>
          <w:rFonts w:eastAsia="楷体_GB2312"/>
          <w:sz w:val="28"/>
        </w:rPr>
        <w:t>式中：S</w:t>
      </w:r>
      <w:r>
        <w:rPr>
          <w:rFonts w:eastAsia="楷体_GB2312"/>
          <w:sz w:val="28"/>
          <w:vertAlign w:val="subscript"/>
        </w:rPr>
        <w:t>j</w:t>
      </w:r>
      <w:r>
        <w:rPr>
          <w:rFonts w:eastAsia="楷体_GB2312"/>
          <w:sz w:val="28"/>
        </w:rPr>
        <w:t>－j单元的土地总分值；</w:t>
      </w:r>
    </w:p>
    <w:p w14:paraId="2541BD33">
      <w:pPr>
        <w:spacing w:line="480" w:lineRule="exact"/>
        <w:ind w:firstLine="560" w:firstLineChars="200"/>
        <w:rPr>
          <w:rFonts w:eastAsia="楷体_GB2312"/>
          <w:sz w:val="28"/>
        </w:rPr>
      </w:pPr>
      <w:r>
        <w:rPr>
          <w:rFonts w:eastAsia="楷体_GB2312"/>
          <w:sz w:val="28"/>
        </w:rPr>
        <w:t xml:space="preserve">      F</w:t>
      </w:r>
      <w:r>
        <w:rPr>
          <w:rFonts w:eastAsia="楷体_GB2312"/>
          <w:sz w:val="28"/>
          <w:vertAlign w:val="subscript"/>
        </w:rPr>
        <w:t>ij</w:t>
      </w:r>
      <w:r>
        <w:rPr>
          <w:rFonts w:eastAsia="楷体_GB2312"/>
          <w:sz w:val="28"/>
        </w:rPr>
        <w:t>－j单元的i因素分值，i=1，2，…，n；</w:t>
      </w:r>
    </w:p>
    <w:p w14:paraId="496E2812">
      <w:pPr>
        <w:spacing w:line="480" w:lineRule="exact"/>
        <w:ind w:firstLine="560" w:firstLineChars="200"/>
        <w:rPr>
          <w:rFonts w:eastAsia="楷体_GB2312"/>
          <w:sz w:val="28"/>
        </w:rPr>
      </w:pPr>
      <w:r>
        <w:rPr>
          <w:rFonts w:eastAsia="楷体_GB2312"/>
          <w:sz w:val="28"/>
        </w:rPr>
        <w:t xml:space="preserve">      W</w:t>
      </w:r>
      <w:r>
        <w:rPr>
          <w:rFonts w:eastAsia="楷体_GB2312"/>
          <w:sz w:val="28"/>
          <w:vertAlign w:val="subscript"/>
        </w:rPr>
        <w:t>i</w:t>
      </w:r>
      <w:r>
        <w:rPr>
          <w:rFonts w:eastAsia="楷体_GB2312"/>
          <w:sz w:val="28"/>
        </w:rPr>
        <w:t>－i因素的权重；</w:t>
      </w:r>
    </w:p>
    <w:p w14:paraId="650CFD4E">
      <w:pPr>
        <w:spacing w:line="480" w:lineRule="exact"/>
        <w:ind w:firstLine="560" w:firstLineChars="200"/>
        <w:rPr>
          <w:rFonts w:eastAsia="楷体_GB2312"/>
          <w:sz w:val="28"/>
        </w:rPr>
      </w:pPr>
      <w:r>
        <w:rPr>
          <w:rFonts w:eastAsia="楷体_GB2312"/>
          <w:sz w:val="28"/>
        </w:rPr>
        <w:t xml:space="preserve">       n－定级因素的个数。</w:t>
      </w:r>
    </w:p>
    <w:p w14:paraId="13875BFE">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二、定级因素作用总分值图编制</w:t>
      </w:r>
    </w:p>
    <w:p w14:paraId="298A5B0C">
      <w:pPr>
        <w:spacing w:line="480" w:lineRule="exact"/>
        <w:ind w:firstLine="560" w:firstLineChars="200"/>
        <w:rPr>
          <w:rFonts w:eastAsia="楷体_GB2312"/>
          <w:sz w:val="28"/>
        </w:rPr>
      </w:pPr>
      <w:r>
        <w:rPr>
          <w:rFonts w:eastAsia="楷体_GB2312"/>
          <w:sz w:val="28"/>
        </w:rPr>
        <w:t>利用因素作用分值数字成果，采用空间数字叠置技术，按因素权重进行加权求和，自动计算参评因素对土地级别综合影响的作用分，通过矢量化自动跟踪技术形成定级因素作用总分等值线图形。在此基础上，采用制图综合技术对总分等值线进行光滑，最后绘制成图。</w:t>
      </w:r>
    </w:p>
    <w:p w14:paraId="679A1095">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三、定级因素作用总分值图分析</w:t>
      </w:r>
    </w:p>
    <w:p w14:paraId="09625CDC">
      <w:pPr>
        <w:pStyle w:val="20"/>
        <w:spacing w:before="120" w:beforeLines="50"/>
        <w:jc w:val="center"/>
        <w:rPr>
          <w:rFonts w:ascii="Times New Roman" w:hAnsi="Times New Roman" w:cs="Times New Roman"/>
        </w:rPr>
      </w:pPr>
      <w:r>
        <w:rPr>
          <w:rFonts w:ascii="Times New Roman" w:hAnsi="Times New Roman" w:cs="Times New Roman"/>
        </w:rPr>
        <w:drawing>
          <wp:inline distT="0" distB="0" distL="114300" distR="114300">
            <wp:extent cx="5360035" cy="3785235"/>
            <wp:effectExtent l="0" t="0" r="12065" b="5715"/>
            <wp:docPr id="42" name="图片 129" descr="1符离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9" descr="1符离镇"/>
                    <pic:cNvPicPr>
                      <a:picLocks noChangeAspect="1"/>
                    </pic:cNvPicPr>
                  </pic:nvPicPr>
                  <pic:blipFill>
                    <a:blip r:embed="rId191"/>
                    <a:stretch>
                      <a:fillRect/>
                    </a:stretch>
                  </pic:blipFill>
                  <pic:spPr>
                    <a:xfrm>
                      <a:off x="0" y="0"/>
                      <a:ext cx="5360035" cy="3785235"/>
                    </a:xfrm>
                    <a:prstGeom prst="rect">
                      <a:avLst/>
                    </a:prstGeom>
                    <a:noFill/>
                    <a:ln>
                      <a:noFill/>
                    </a:ln>
                  </pic:spPr>
                </pic:pic>
              </a:graphicData>
            </a:graphic>
          </wp:inline>
        </w:drawing>
      </w:r>
    </w:p>
    <w:p w14:paraId="209FFE64">
      <w:pPr>
        <w:rPr>
          <w:rFonts w:hint="eastAsia"/>
          <w:snapToGrid w:val="0"/>
          <w:color w:val="000000"/>
          <w:w w:val="0"/>
          <w:kern w:val="0"/>
          <w:sz w:val="16"/>
          <w:szCs w:val="0"/>
          <w:u w:val="none" w:color="000000"/>
          <w:shd w:val="clear" w:color="000000" w:fill="000000"/>
        </w:rPr>
      </w:pPr>
      <w:r>
        <w:rPr>
          <w:rFonts w:eastAsia="楷体_GB2312"/>
          <w:sz w:val="28"/>
        </w:rPr>
        <w:drawing>
          <wp:inline distT="0" distB="0" distL="114300" distR="114300">
            <wp:extent cx="2769235" cy="3982085"/>
            <wp:effectExtent l="0" t="0" r="12065" b="18415"/>
            <wp:docPr id="43" name="图片 130" descr="2朱仙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0" descr="2朱仙庄"/>
                    <pic:cNvPicPr>
                      <a:picLocks noChangeAspect="1"/>
                    </pic:cNvPicPr>
                  </pic:nvPicPr>
                  <pic:blipFill>
                    <a:blip r:embed="rId192"/>
                    <a:stretch>
                      <a:fillRect/>
                    </a:stretch>
                  </pic:blipFill>
                  <pic:spPr>
                    <a:xfrm>
                      <a:off x="0" y="0"/>
                      <a:ext cx="2769235" cy="3982085"/>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t xml:space="preserve"> </w:t>
      </w:r>
      <w:r>
        <w:rPr>
          <w:rFonts w:eastAsia="楷体_GB2312"/>
          <w:sz w:val="28"/>
        </w:rPr>
        <w:drawing>
          <wp:inline distT="0" distB="0" distL="114300" distR="114300">
            <wp:extent cx="2769235" cy="3966845"/>
            <wp:effectExtent l="0" t="0" r="12065" b="14605"/>
            <wp:docPr id="44" name="图片 131" descr="3蕲县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1" descr="3蕲县镇"/>
                    <pic:cNvPicPr>
                      <a:picLocks noChangeAspect="1"/>
                    </pic:cNvPicPr>
                  </pic:nvPicPr>
                  <pic:blipFill>
                    <a:blip r:embed="rId193"/>
                    <a:stretch>
                      <a:fillRect/>
                    </a:stretch>
                  </pic:blipFill>
                  <pic:spPr>
                    <a:xfrm>
                      <a:off x="0" y="0"/>
                      <a:ext cx="2769235" cy="3966845"/>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t xml:space="preserve"> </w:t>
      </w:r>
    </w:p>
    <w:p w14:paraId="4DA938CE">
      <w:pPr>
        <w:rPr>
          <w:rFonts w:hint="eastAsia" w:eastAsia="楷体_GB2312"/>
          <w:sz w:val="28"/>
        </w:rPr>
      </w:pPr>
      <w:r>
        <w:rPr>
          <w:rFonts w:eastAsia="楷体_GB2312"/>
          <w:sz w:val="28"/>
        </w:rPr>
        <w:drawing>
          <wp:inline distT="0" distB="0" distL="114300" distR="114300">
            <wp:extent cx="5601970" cy="3956050"/>
            <wp:effectExtent l="0" t="0" r="17780" b="6350"/>
            <wp:docPr id="45" name="图片 132" descr="4芦岭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2" descr="4芦岭镇"/>
                    <pic:cNvPicPr>
                      <a:picLocks noChangeAspect="1"/>
                    </pic:cNvPicPr>
                  </pic:nvPicPr>
                  <pic:blipFill>
                    <a:blip r:embed="rId194"/>
                    <a:stretch>
                      <a:fillRect/>
                    </a:stretch>
                  </pic:blipFill>
                  <pic:spPr>
                    <a:xfrm>
                      <a:off x="0" y="0"/>
                      <a:ext cx="5601970" cy="3956050"/>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t xml:space="preserve"> </w:t>
      </w:r>
      <w:r>
        <w:rPr>
          <w:rFonts w:eastAsia="楷体_GB2312"/>
          <w:sz w:val="28"/>
        </w:rPr>
        <w:drawing>
          <wp:inline distT="0" distB="0" distL="114300" distR="114300">
            <wp:extent cx="5601970" cy="3956050"/>
            <wp:effectExtent l="0" t="0" r="17780" b="6350"/>
            <wp:docPr id="46" name="图片 133" descr="5大店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3" descr="5大店镇"/>
                    <pic:cNvPicPr>
                      <a:picLocks noChangeAspect="1"/>
                    </pic:cNvPicPr>
                  </pic:nvPicPr>
                  <pic:blipFill>
                    <a:blip r:embed="rId195"/>
                    <a:stretch>
                      <a:fillRect/>
                    </a:stretch>
                  </pic:blipFill>
                  <pic:spPr>
                    <a:xfrm>
                      <a:off x="0" y="0"/>
                      <a:ext cx="5601970" cy="3956050"/>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t xml:space="preserve"> </w:t>
      </w:r>
      <w:r>
        <w:rPr>
          <w:rFonts w:eastAsia="楷体_GB2312"/>
          <w:sz w:val="28"/>
        </w:rPr>
        <w:drawing>
          <wp:inline distT="0" distB="0" distL="114300" distR="114300">
            <wp:extent cx="5601970" cy="3956050"/>
            <wp:effectExtent l="0" t="0" r="17780" b="6350"/>
            <wp:docPr id="47" name="图片 134" descr="6栏杆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4" descr="6栏杆镇"/>
                    <pic:cNvPicPr>
                      <a:picLocks noChangeAspect="1"/>
                    </pic:cNvPicPr>
                  </pic:nvPicPr>
                  <pic:blipFill>
                    <a:blip r:embed="rId196"/>
                    <a:stretch>
                      <a:fillRect/>
                    </a:stretch>
                  </pic:blipFill>
                  <pic:spPr>
                    <a:xfrm>
                      <a:off x="0" y="0"/>
                      <a:ext cx="5601970" cy="3956050"/>
                    </a:xfrm>
                    <a:prstGeom prst="rect">
                      <a:avLst/>
                    </a:prstGeom>
                    <a:noFill/>
                    <a:ln>
                      <a:noFill/>
                    </a:ln>
                  </pic:spPr>
                </pic:pic>
              </a:graphicData>
            </a:graphic>
          </wp:inline>
        </w:drawing>
      </w:r>
    </w:p>
    <w:p w14:paraId="08E57D1A">
      <w:pPr>
        <w:jc w:val="center"/>
        <w:rPr>
          <w:rFonts w:hint="eastAsia" w:eastAsia="楷体_GB2312"/>
          <w:sz w:val="28"/>
        </w:rPr>
      </w:pPr>
      <w:r>
        <w:rPr>
          <w:rFonts w:eastAsia="楷体_GB2312"/>
          <w:sz w:val="28"/>
        </w:rPr>
        <w:drawing>
          <wp:inline distT="0" distB="0" distL="114300" distR="114300">
            <wp:extent cx="2780030" cy="3936365"/>
            <wp:effectExtent l="0" t="0" r="0" b="0"/>
            <wp:docPr id="48" name="图片 135" descr="7时村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5" descr="7时村镇"/>
                    <pic:cNvPicPr>
                      <a:picLocks noChangeAspect="1"/>
                    </pic:cNvPicPr>
                  </pic:nvPicPr>
                  <pic:blipFill>
                    <a:blip r:embed="rId197"/>
                    <a:stretch>
                      <a:fillRect/>
                    </a:stretch>
                  </pic:blipFill>
                  <pic:spPr>
                    <a:xfrm>
                      <a:off x="0" y="0"/>
                      <a:ext cx="2780030" cy="3936365"/>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t xml:space="preserve"> </w:t>
      </w:r>
      <w:r>
        <w:rPr>
          <w:rFonts w:eastAsia="Times New Roman"/>
          <w:snapToGrid w:val="0"/>
          <w:color w:val="000000"/>
          <w:w w:val="0"/>
          <w:kern w:val="0"/>
          <w:sz w:val="16"/>
          <w:szCs w:val="0"/>
          <w:u w:val="none" w:color="000000"/>
          <w:shd w:val="clear" w:color="000000" w:fill="000000"/>
        </w:rPr>
        <w:drawing>
          <wp:inline distT="0" distB="0" distL="114300" distR="114300">
            <wp:extent cx="2769235" cy="3936365"/>
            <wp:effectExtent l="0" t="0" r="12065" b="6985"/>
            <wp:docPr id="49" name="图片 136" descr="10桃园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6" descr="10桃园镇"/>
                    <pic:cNvPicPr>
                      <a:picLocks noChangeAspect="1"/>
                    </pic:cNvPicPr>
                  </pic:nvPicPr>
                  <pic:blipFill>
                    <a:blip r:embed="rId198"/>
                    <a:stretch>
                      <a:fillRect/>
                    </a:stretch>
                  </pic:blipFill>
                  <pic:spPr>
                    <a:xfrm>
                      <a:off x="0" y="0"/>
                      <a:ext cx="2769235" cy="3936365"/>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t xml:space="preserve"> </w:t>
      </w:r>
      <w:r>
        <w:rPr>
          <w:rFonts w:eastAsia="楷体_GB2312"/>
          <w:sz w:val="28"/>
        </w:rPr>
        <w:drawing>
          <wp:inline distT="0" distB="0" distL="114300" distR="114300">
            <wp:extent cx="5601970" cy="3956050"/>
            <wp:effectExtent l="0" t="0" r="17780" b="6350"/>
            <wp:docPr id="50" name="图片 137" descr="8夹沟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7" descr="8夹沟镇"/>
                    <pic:cNvPicPr>
                      <a:picLocks noChangeAspect="1"/>
                    </pic:cNvPicPr>
                  </pic:nvPicPr>
                  <pic:blipFill>
                    <a:blip r:embed="rId199"/>
                    <a:stretch>
                      <a:fillRect/>
                    </a:stretch>
                  </pic:blipFill>
                  <pic:spPr>
                    <a:xfrm>
                      <a:off x="0" y="0"/>
                      <a:ext cx="5601970" cy="3956050"/>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t xml:space="preserve"> </w:t>
      </w:r>
      <w:r>
        <w:rPr>
          <w:rFonts w:eastAsia="楷体_GB2312"/>
          <w:sz w:val="28"/>
        </w:rPr>
        <w:drawing>
          <wp:inline distT="0" distB="0" distL="114300" distR="114300">
            <wp:extent cx="5601970" cy="3956050"/>
            <wp:effectExtent l="0" t="0" r="17780" b="6350"/>
            <wp:docPr id="51" name="图片 138" descr="9西二铺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38" descr="9西二铺乡"/>
                    <pic:cNvPicPr>
                      <a:picLocks noChangeAspect="1"/>
                    </pic:cNvPicPr>
                  </pic:nvPicPr>
                  <pic:blipFill>
                    <a:blip r:embed="rId200"/>
                    <a:stretch>
                      <a:fillRect/>
                    </a:stretch>
                  </pic:blipFill>
                  <pic:spPr>
                    <a:xfrm>
                      <a:off x="0" y="0"/>
                      <a:ext cx="5601970" cy="3956050"/>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t xml:space="preserve"> </w:t>
      </w:r>
      <w:r>
        <w:rPr>
          <w:rFonts w:eastAsia="楷体_GB2312"/>
          <w:sz w:val="28"/>
        </w:rPr>
        <w:drawing>
          <wp:inline distT="0" distB="0" distL="114300" distR="114300">
            <wp:extent cx="2769235" cy="3936365"/>
            <wp:effectExtent l="0" t="0" r="12065" b="6985"/>
            <wp:docPr id="52" name="图片 139" descr="11曹村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39" descr="11曹村镇"/>
                    <pic:cNvPicPr>
                      <a:picLocks noChangeAspect="1"/>
                    </pic:cNvPicPr>
                  </pic:nvPicPr>
                  <pic:blipFill>
                    <a:blip r:embed="rId201"/>
                    <a:stretch>
                      <a:fillRect/>
                    </a:stretch>
                  </pic:blipFill>
                  <pic:spPr>
                    <a:xfrm>
                      <a:off x="0" y="0"/>
                      <a:ext cx="2769235" cy="3936365"/>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t xml:space="preserve"> </w:t>
      </w:r>
      <w:r>
        <w:rPr>
          <w:rFonts w:eastAsia="楷体_GB2312"/>
          <w:sz w:val="28"/>
        </w:rPr>
        <w:drawing>
          <wp:inline distT="0" distB="0" distL="114300" distR="114300">
            <wp:extent cx="2769235" cy="3936365"/>
            <wp:effectExtent l="0" t="0" r="12065" b="6985"/>
            <wp:docPr id="53" name="图片 140" descr="12大营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0" descr="12大营镇"/>
                    <pic:cNvPicPr>
                      <a:picLocks noChangeAspect="1"/>
                    </pic:cNvPicPr>
                  </pic:nvPicPr>
                  <pic:blipFill>
                    <a:blip r:embed="rId202"/>
                    <a:stretch>
                      <a:fillRect/>
                    </a:stretch>
                  </pic:blipFill>
                  <pic:spPr>
                    <a:xfrm>
                      <a:off x="0" y="0"/>
                      <a:ext cx="2769235" cy="3936365"/>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t xml:space="preserve"> </w:t>
      </w:r>
      <w:r>
        <w:rPr>
          <w:rFonts w:eastAsia="楷体_GB2312"/>
          <w:sz w:val="28"/>
        </w:rPr>
        <w:drawing>
          <wp:inline distT="0" distB="0" distL="114300" distR="114300">
            <wp:extent cx="5601970" cy="3956050"/>
            <wp:effectExtent l="0" t="0" r="17780" b="6350"/>
            <wp:docPr id="54" name="图片 141" descr="13褚兰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1" descr="13褚兰镇"/>
                    <pic:cNvPicPr>
                      <a:picLocks noChangeAspect="1"/>
                    </pic:cNvPicPr>
                  </pic:nvPicPr>
                  <pic:blipFill>
                    <a:blip r:embed="rId203"/>
                    <a:stretch>
                      <a:fillRect/>
                    </a:stretch>
                  </pic:blipFill>
                  <pic:spPr>
                    <a:xfrm>
                      <a:off x="0" y="0"/>
                      <a:ext cx="5601970" cy="3956050"/>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t xml:space="preserve"> </w:t>
      </w:r>
      <w:r>
        <w:rPr>
          <w:rFonts w:eastAsia="楷体_GB2312"/>
          <w:sz w:val="28"/>
        </w:rPr>
        <w:drawing>
          <wp:inline distT="0" distB="0" distL="114300" distR="114300">
            <wp:extent cx="5601970" cy="3956050"/>
            <wp:effectExtent l="0" t="0" r="17780" b="6350"/>
            <wp:docPr id="55" name="图片 142" descr="14顺河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2" descr="14顺河镇"/>
                    <pic:cNvPicPr>
                      <a:picLocks noChangeAspect="1"/>
                    </pic:cNvPicPr>
                  </pic:nvPicPr>
                  <pic:blipFill>
                    <a:blip r:embed="rId204"/>
                    <a:stretch>
                      <a:fillRect/>
                    </a:stretch>
                  </pic:blipFill>
                  <pic:spPr>
                    <a:xfrm>
                      <a:off x="0" y="0"/>
                      <a:ext cx="5601970" cy="3956050"/>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t xml:space="preserve"> </w:t>
      </w:r>
      <w:r>
        <w:rPr>
          <w:rFonts w:eastAsia="楷体_GB2312"/>
          <w:sz w:val="28"/>
        </w:rPr>
        <w:drawing>
          <wp:inline distT="0" distB="0" distL="114300" distR="114300">
            <wp:extent cx="5601970" cy="3956050"/>
            <wp:effectExtent l="0" t="0" r="17780" b="6350"/>
            <wp:docPr id="56" name="图片 143" descr="15杨庄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3" descr="15杨庄乡"/>
                    <pic:cNvPicPr>
                      <a:picLocks noChangeAspect="1"/>
                    </pic:cNvPicPr>
                  </pic:nvPicPr>
                  <pic:blipFill>
                    <a:blip r:embed="rId205"/>
                    <a:stretch>
                      <a:fillRect/>
                    </a:stretch>
                  </pic:blipFill>
                  <pic:spPr>
                    <a:xfrm>
                      <a:off x="0" y="0"/>
                      <a:ext cx="5601970" cy="3956050"/>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t xml:space="preserve"> </w:t>
      </w:r>
      <w:r>
        <w:rPr>
          <w:rFonts w:eastAsia="楷体_GB2312"/>
          <w:sz w:val="28"/>
        </w:rPr>
        <w:drawing>
          <wp:inline distT="0" distB="0" distL="114300" distR="114300">
            <wp:extent cx="2769235" cy="3936365"/>
            <wp:effectExtent l="0" t="0" r="12065" b="6985"/>
            <wp:docPr id="57" name="图片 144" descr="16永镇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44" descr="16永镇乡"/>
                    <pic:cNvPicPr>
                      <a:picLocks noChangeAspect="1"/>
                    </pic:cNvPicPr>
                  </pic:nvPicPr>
                  <pic:blipFill>
                    <a:blip r:embed="rId206"/>
                    <a:stretch>
                      <a:fillRect/>
                    </a:stretch>
                  </pic:blipFill>
                  <pic:spPr>
                    <a:xfrm>
                      <a:off x="0" y="0"/>
                      <a:ext cx="2769235" cy="3936365"/>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t xml:space="preserve"> </w:t>
      </w:r>
      <w:r>
        <w:rPr>
          <w:rFonts w:eastAsia="Times New Roman"/>
          <w:snapToGrid w:val="0"/>
          <w:color w:val="000000"/>
          <w:w w:val="0"/>
          <w:kern w:val="0"/>
          <w:sz w:val="16"/>
          <w:szCs w:val="0"/>
          <w:u w:val="none" w:color="000000"/>
          <w:shd w:val="clear" w:color="000000" w:fill="000000"/>
        </w:rPr>
        <w:drawing>
          <wp:inline distT="0" distB="0" distL="114300" distR="114300">
            <wp:extent cx="2769235" cy="3921760"/>
            <wp:effectExtent l="0" t="0" r="12065" b="2540"/>
            <wp:docPr id="58" name="图片 145" descr="19永安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5" descr="19永安镇"/>
                    <pic:cNvPicPr>
                      <a:picLocks noChangeAspect="1"/>
                    </pic:cNvPicPr>
                  </pic:nvPicPr>
                  <pic:blipFill>
                    <a:blip r:embed="rId207"/>
                    <a:stretch>
                      <a:fillRect/>
                    </a:stretch>
                  </pic:blipFill>
                  <pic:spPr>
                    <a:xfrm>
                      <a:off x="0" y="0"/>
                      <a:ext cx="2769235" cy="3921760"/>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t xml:space="preserve"> </w:t>
      </w:r>
      <w:r>
        <w:rPr>
          <w:rFonts w:eastAsia="楷体_GB2312"/>
          <w:sz w:val="28"/>
        </w:rPr>
        <w:drawing>
          <wp:inline distT="0" distB="0" distL="114300" distR="114300">
            <wp:extent cx="5601970" cy="3956050"/>
            <wp:effectExtent l="0" t="0" r="17780" b="6350"/>
            <wp:docPr id="59" name="图片 146" descr="17解集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6" descr="17解集乡"/>
                    <pic:cNvPicPr>
                      <a:picLocks noChangeAspect="1"/>
                    </pic:cNvPicPr>
                  </pic:nvPicPr>
                  <pic:blipFill>
                    <a:blip r:embed="rId208"/>
                    <a:stretch>
                      <a:fillRect/>
                    </a:stretch>
                  </pic:blipFill>
                  <pic:spPr>
                    <a:xfrm>
                      <a:off x="0" y="0"/>
                      <a:ext cx="5601970" cy="3956050"/>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t xml:space="preserve"> </w:t>
      </w:r>
      <w:r>
        <w:rPr>
          <w:rFonts w:eastAsia="楷体_GB2312"/>
          <w:sz w:val="28"/>
        </w:rPr>
        <w:drawing>
          <wp:inline distT="0" distB="0" distL="114300" distR="114300">
            <wp:extent cx="5601970" cy="3956050"/>
            <wp:effectExtent l="0" t="0" r="17780" b="6350"/>
            <wp:docPr id="60" name="图片 147" descr="18大泽乡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7" descr="18大泽乡镇"/>
                    <pic:cNvPicPr>
                      <a:picLocks noChangeAspect="1"/>
                    </pic:cNvPicPr>
                  </pic:nvPicPr>
                  <pic:blipFill>
                    <a:blip r:embed="rId209"/>
                    <a:stretch>
                      <a:fillRect/>
                    </a:stretch>
                  </pic:blipFill>
                  <pic:spPr>
                    <a:xfrm>
                      <a:off x="0" y="0"/>
                      <a:ext cx="5601970" cy="3956050"/>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t xml:space="preserve"> </w:t>
      </w:r>
      <w:r>
        <w:rPr>
          <w:rFonts w:eastAsia="楷体_GB2312"/>
          <w:sz w:val="28"/>
        </w:rPr>
        <w:drawing>
          <wp:inline distT="0" distB="0" distL="114300" distR="114300">
            <wp:extent cx="5601970" cy="3956050"/>
            <wp:effectExtent l="0" t="0" r="17780" b="6350"/>
            <wp:docPr id="61" name="图片 148" descr="20支河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8" descr="20支河乡"/>
                    <pic:cNvPicPr>
                      <a:picLocks noChangeAspect="1"/>
                    </pic:cNvPicPr>
                  </pic:nvPicPr>
                  <pic:blipFill>
                    <a:blip r:embed="rId210"/>
                    <a:stretch>
                      <a:fillRect/>
                    </a:stretch>
                  </pic:blipFill>
                  <pic:spPr>
                    <a:xfrm>
                      <a:off x="0" y="0"/>
                      <a:ext cx="5601970" cy="3956050"/>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t xml:space="preserve"> </w:t>
      </w:r>
      <w:r>
        <w:rPr>
          <w:rFonts w:eastAsia="楷体_GB2312"/>
          <w:sz w:val="28"/>
        </w:rPr>
        <w:drawing>
          <wp:inline distT="0" distB="0" distL="114300" distR="114300">
            <wp:extent cx="5601970" cy="3956050"/>
            <wp:effectExtent l="0" t="0" r="17780" b="6350"/>
            <wp:docPr id="62" name="图片 149" descr="21灰古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9" descr="21灰古镇"/>
                    <pic:cNvPicPr>
                      <a:picLocks noChangeAspect="1"/>
                    </pic:cNvPicPr>
                  </pic:nvPicPr>
                  <pic:blipFill>
                    <a:blip r:embed="rId211"/>
                    <a:stretch>
                      <a:fillRect/>
                    </a:stretch>
                  </pic:blipFill>
                  <pic:spPr>
                    <a:xfrm>
                      <a:off x="0" y="0"/>
                      <a:ext cx="5601970" cy="3956050"/>
                    </a:xfrm>
                    <a:prstGeom prst="rect">
                      <a:avLst/>
                    </a:prstGeom>
                    <a:noFill/>
                    <a:ln>
                      <a:noFill/>
                    </a:ln>
                  </pic:spPr>
                </pic:pic>
              </a:graphicData>
            </a:graphic>
          </wp:inline>
        </w:drawing>
      </w:r>
    </w:p>
    <w:p w14:paraId="05ABE8F6">
      <w:pPr>
        <w:jc w:val="center"/>
        <w:rPr>
          <w:rFonts w:hint="eastAsia" w:eastAsia="楷体_GB2312"/>
          <w:sz w:val="28"/>
        </w:rPr>
      </w:pPr>
      <w:r>
        <w:rPr>
          <w:rFonts w:eastAsia="Times New Roman"/>
          <w:snapToGrid w:val="0"/>
          <w:color w:val="000000"/>
          <w:w w:val="0"/>
          <w:kern w:val="0"/>
          <w:sz w:val="16"/>
          <w:szCs w:val="0"/>
          <w:u w:val="none" w:color="000000"/>
          <w:shd w:val="clear" w:color="000000" w:fill="000000"/>
        </w:rPr>
        <w:t xml:space="preserve"> </w:t>
      </w:r>
      <w:r>
        <w:rPr>
          <w:rFonts w:eastAsia="楷体_GB2312"/>
          <w:sz w:val="28"/>
        </w:rPr>
        <w:drawing>
          <wp:inline distT="0" distB="0" distL="114300" distR="114300">
            <wp:extent cx="2801620" cy="3966845"/>
            <wp:effectExtent l="0" t="0" r="17780" b="14605"/>
            <wp:docPr id="63" name="图片 150" descr="22桃沟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0" descr="22桃沟乡"/>
                    <pic:cNvPicPr>
                      <a:picLocks noChangeAspect="1"/>
                    </pic:cNvPicPr>
                  </pic:nvPicPr>
                  <pic:blipFill>
                    <a:blip r:embed="rId212"/>
                    <a:stretch>
                      <a:fillRect/>
                    </a:stretch>
                  </pic:blipFill>
                  <pic:spPr>
                    <a:xfrm>
                      <a:off x="0" y="0"/>
                      <a:ext cx="2801620" cy="3966845"/>
                    </a:xfrm>
                    <a:prstGeom prst="rect">
                      <a:avLst/>
                    </a:prstGeom>
                    <a:noFill/>
                    <a:ln>
                      <a:noFill/>
                    </a:ln>
                  </pic:spPr>
                </pic:pic>
              </a:graphicData>
            </a:graphic>
          </wp:inline>
        </w:drawing>
      </w:r>
    </w:p>
    <w:p w14:paraId="0F1C86EA">
      <w:pPr>
        <w:spacing w:line="480" w:lineRule="exact"/>
        <w:ind w:firstLine="560" w:firstLineChars="200"/>
        <w:rPr>
          <w:rFonts w:eastAsia="楷体_GB2312"/>
          <w:sz w:val="28"/>
        </w:rPr>
      </w:pPr>
      <w:r>
        <w:rPr>
          <w:rFonts w:eastAsia="楷体_GB2312"/>
          <w:sz w:val="28"/>
        </w:rPr>
        <w:t>纵观各乡镇镇区定级因素作用总分值图，可以看出：（1）等值线沿道路延伸的现象十分明显，这说明道路对土地质量的空间分布起着重要的作用；（2）等值线遇到河流、山体等阻隔线时出现不连续、破碎现象，说明土地质量变化受河流阻隔影响；（3）等值线间距从高分到低分变化呈迅速增大趋势，即土地质量从高级别到低级别的变化由陡变缓。</w:t>
      </w:r>
    </w:p>
    <w:p w14:paraId="0C9A496A">
      <w:pPr>
        <w:ind w:firstLine="560" w:firstLineChars="200"/>
        <w:rPr>
          <w:rFonts w:eastAsia="仿宋_GB2312"/>
          <w:sz w:val="10"/>
          <w:szCs w:val="10"/>
        </w:rPr>
      </w:pPr>
      <w:r>
        <w:rPr>
          <w:rFonts w:eastAsia="仿宋_GB2312"/>
          <w:sz w:val="28"/>
        </w:rPr>
        <w:br w:type="page"/>
      </w:r>
    </w:p>
    <w:p w14:paraId="741A31AE">
      <w:pPr>
        <w:pStyle w:val="3"/>
        <w:spacing w:line="480" w:lineRule="exact"/>
        <w:jc w:val="center"/>
        <w:rPr>
          <w:rFonts w:ascii="Times New Roman" w:hAnsi="Times New Roman" w:eastAsia="宋体"/>
          <w:sz w:val="36"/>
        </w:rPr>
      </w:pPr>
      <w:bookmarkStart w:id="51" w:name="_Toc62563666"/>
      <w:r>
        <w:rPr>
          <w:rFonts w:ascii="Times New Roman" w:hAnsi="Times New Roman" w:eastAsia="宋体"/>
          <w:sz w:val="36"/>
        </w:rPr>
        <w:t>第五章  土地级别的划分与确定</w:t>
      </w:r>
      <w:bookmarkEnd w:id="51"/>
    </w:p>
    <w:p w14:paraId="2DF823CC">
      <w:pPr>
        <w:pStyle w:val="4"/>
        <w:numPr>
          <w:ilvl w:val="0"/>
          <w:numId w:val="0"/>
        </w:numPr>
        <w:spacing w:after="0" w:line="240" w:lineRule="auto"/>
        <w:jc w:val="center"/>
        <w:rPr>
          <w:rFonts w:eastAsia="仿宋_GB2312"/>
          <w:bCs w:val="0"/>
          <w:spacing w:val="-14"/>
        </w:rPr>
      </w:pPr>
      <w:bookmarkStart w:id="52" w:name="_Toc62563667"/>
      <w:r>
        <w:rPr>
          <w:rFonts w:eastAsia="仿宋_GB2312"/>
          <w:bCs w:val="0"/>
          <w:spacing w:val="-14"/>
        </w:rPr>
        <w:t>第一节  土地级别的初步划分</w:t>
      </w:r>
      <w:bookmarkEnd w:id="52"/>
    </w:p>
    <w:p w14:paraId="2860C349">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一、土地级别划分依据及原则</w:t>
      </w:r>
    </w:p>
    <w:p w14:paraId="730602EF">
      <w:pPr>
        <w:spacing w:line="460" w:lineRule="exact"/>
        <w:ind w:firstLine="562" w:firstLineChars="200"/>
        <w:rPr>
          <w:rFonts w:eastAsia="楷体_GB2312"/>
          <w:b/>
          <w:sz w:val="28"/>
        </w:rPr>
      </w:pPr>
      <w:r>
        <w:rPr>
          <w:rFonts w:eastAsia="楷体_GB2312"/>
          <w:b/>
          <w:sz w:val="28"/>
        </w:rPr>
        <w:t>1、土地级别划分依据</w:t>
      </w:r>
    </w:p>
    <w:p w14:paraId="53A0E963">
      <w:pPr>
        <w:spacing w:line="460" w:lineRule="exact"/>
        <w:ind w:firstLine="560" w:firstLineChars="200"/>
        <w:rPr>
          <w:rFonts w:eastAsia="楷体_GB2312"/>
          <w:sz w:val="28"/>
        </w:rPr>
      </w:pPr>
      <w:r>
        <w:rPr>
          <w:rFonts w:eastAsia="楷体_GB2312"/>
          <w:sz w:val="28"/>
        </w:rPr>
        <w:t>土地级别划分的依据是各定级单元（网格）的因素因子作用分值及其作用总分值在空间分布上的变化规律。划分的土地级别应充分反映评价区内土地区位条件和社会经济效益的地域差异。</w:t>
      </w:r>
    </w:p>
    <w:p w14:paraId="7C5ACBDC">
      <w:pPr>
        <w:spacing w:line="460" w:lineRule="exact"/>
        <w:ind w:firstLine="562" w:firstLineChars="200"/>
        <w:rPr>
          <w:rFonts w:eastAsia="楷体_GB2312"/>
          <w:b/>
          <w:sz w:val="28"/>
        </w:rPr>
      </w:pPr>
      <w:r>
        <w:rPr>
          <w:rFonts w:eastAsia="楷体_GB2312"/>
          <w:b/>
          <w:sz w:val="28"/>
        </w:rPr>
        <w:t>2、土地级别划分原则</w:t>
      </w:r>
    </w:p>
    <w:p w14:paraId="3CC7DBE1">
      <w:pPr>
        <w:spacing w:line="460" w:lineRule="exact"/>
        <w:ind w:firstLine="544" w:firstLineChars="200"/>
        <w:rPr>
          <w:rFonts w:eastAsia="楷体_GB2312"/>
          <w:spacing w:val="-4"/>
          <w:sz w:val="28"/>
          <w:szCs w:val="28"/>
        </w:rPr>
      </w:pPr>
      <w:r>
        <w:rPr>
          <w:rFonts w:eastAsia="楷体_GB2312"/>
          <w:spacing w:val="-4"/>
          <w:sz w:val="28"/>
          <w:szCs w:val="28"/>
        </w:rPr>
        <w:t>（1）土地级别高低与土地相对优劣的对应关系基本一致，即土地级按照综合作用总分值的大小来划分。综合作用总分值越大，土地级别越高。</w:t>
      </w:r>
    </w:p>
    <w:p w14:paraId="42134811">
      <w:pPr>
        <w:spacing w:line="460" w:lineRule="exact"/>
        <w:ind w:firstLine="560" w:firstLineChars="200"/>
        <w:rPr>
          <w:rFonts w:eastAsia="楷体_GB2312"/>
          <w:sz w:val="28"/>
        </w:rPr>
      </w:pPr>
      <w:r>
        <w:rPr>
          <w:rFonts w:eastAsia="楷体_GB2312"/>
          <w:sz w:val="28"/>
        </w:rPr>
        <w:t>（2）土地级别数依据城镇的规模、复杂程度和定级类型来确定。</w:t>
      </w:r>
    </w:p>
    <w:p w14:paraId="48558A8C">
      <w:pPr>
        <w:spacing w:line="460" w:lineRule="exact"/>
        <w:ind w:firstLine="560" w:firstLineChars="200"/>
        <w:rPr>
          <w:rFonts w:eastAsia="楷体_GB2312"/>
          <w:sz w:val="28"/>
        </w:rPr>
      </w:pPr>
      <w:r>
        <w:rPr>
          <w:rFonts w:eastAsia="楷体_GB2312"/>
          <w:sz w:val="28"/>
        </w:rPr>
        <w:t>（3）各级土地之间应渐变过渡，同级土地之间土地级差不宜过大。</w:t>
      </w:r>
    </w:p>
    <w:p w14:paraId="3C128CD8">
      <w:pPr>
        <w:spacing w:line="460" w:lineRule="exact"/>
        <w:ind w:firstLine="560" w:firstLineChars="200"/>
        <w:rPr>
          <w:rFonts w:eastAsia="楷体_GB2312"/>
          <w:sz w:val="28"/>
        </w:rPr>
      </w:pPr>
      <w:r>
        <w:rPr>
          <w:rFonts w:eastAsia="楷体_GB2312"/>
          <w:sz w:val="28"/>
        </w:rPr>
        <w:t>（4）各类用途的各级土地的平均单位面积地租或地价应具有明显差异并呈正向级差。</w:t>
      </w:r>
    </w:p>
    <w:p w14:paraId="454598B5">
      <w:pPr>
        <w:spacing w:line="460" w:lineRule="exact"/>
        <w:ind w:firstLine="528" w:firstLineChars="200"/>
        <w:rPr>
          <w:rFonts w:eastAsia="楷体_GB2312"/>
          <w:spacing w:val="-8"/>
          <w:sz w:val="28"/>
          <w:szCs w:val="28"/>
        </w:rPr>
      </w:pPr>
      <w:r>
        <w:rPr>
          <w:rFonts w:eastAsia="楷体_GB2312"/>
          <w:spacing w:val="-8"/>
          <w:sz w:val="28"/>
          <w:szCs w:val="28"/>
        </w:rPr>
        <w:t>（5）保持自然地块及权属单位的完整性。对于跨土地级别界线的宗地，若宗地被级别界线分开的两块面积悬殊，则将该宗地归入大面积地块所在的土地级；若宗地被级别界线分开的两块面积相差不大，可依据收益高低将其划分相应的土地级，也可根据其土地利用现状来确定其土地级；若宗地面积很大，且被级别界线分开的两个地块用途不同，视情况可分为两个土地级。</w:t>
      </w:r>
    </w:p>
    <w:p w14:paraId="43D756F0">
      <w:pPr>
        <w:spacing w:line="460" w:lineRule="exact"/>
        <w:ind w:firstLine="560" w:firstLineChars="200"/>
        <w:rPr>
          <w:rFonts w:eastAsia="楷体_GB2312"/>
          <w:sz w:val="28"/>
        </w:rPr>
      </w:pPr>
      <w:r>
        <w:rPr>
          <w:rFonts w:eastAsia="楷体_GB2312"/>
          <w:sz w:val="28"/>
        </w:rPr>
        <w:t>（6）土地级别界线尽量采用具有地域突变特征的自然界线或人工界线，如河流、土地利用类型界线等。</w:t>
      </w:r>
    </w:p>
    <w:p w14:paraId="2E8F211E">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二、土地级的划分方法</w:t>
      </w:r>
    </w:p>
    <w:p w14:paraId="37D474BE">
      <w:pPr>
        <w:widowControl w:val="0"/>
        <w:spacing w:line="480" w:lineRule="exact"/>
        <w:ind w:firstLine="560" w:firstLineChars="200"/>
        <w:jc w:val="both"/>
        <w:rPr>
          <w:rFonts w:eastAsia="楷体_GB2312"/>
          <w:sz w:val="28"/>
        </w:rPr>
      </w:pPr>
      <w:r>
        <w:rPr>
          <w:rFonts w:eastAsia="楷体_GB2312"/>
          <w:sz w:val="28"/>
        </w:rPr>
        <w:t>土地级别界线表征土地质量的突变处，以突变处形成土地级别界线。准确地划分土地级别关键在于正确分析多因素多因子综合作用总分值及总分值图。</w:t>
      </w:r>
    </w:p>
    <w:p w14:paraId="7F16EBF7">
      <w:pPr>
        <w:spacing w:line="460" w:lineRule="exact"/>
        <w:ind w:firstLine="562" w:firstLineChars="200"/>
        <w:rPr>
          <w:rFonts w:eastAsia="楷体_GB2312"/>
          <w:b/>
          <w:sz w:val="28"/>
        </w:rPr>
      </w:pPr>
      <w:r>
        <w:rPr>
          <w:rFonts w:eastAsia="楷体_GB2312"/>
          <w:b/>
          <w:sz w:val="28"/>
        </w:rPr>
        <w:t>1、绘制总分频率直方图</w:t>
      </w:r>
    </w:p>
    <w:p w14:paraId="4D8023ED">
      <w:pPr>
        <w:spacing w:line="460" w:lineRule="exact"/>
        <w:ind w:firstLine="560" w:firstLineChars="200"/>
        <w:rPr>
          <w:rFonts w:eastAsia="楷体_GB2312"/>
          <w:sz w:val="28"/>
        </w:rPr>
      </w:pPr>
      <w:r>
        <w:rPr>
          <w:rFonts w:eastAsia="楷体_GB2312"/>
          <w:sz w:val="28"/>
        </w:rPr>
        <w:t>将定级区域每个5m×5m网格（定级单元）作为一个样点，依次计算总分值在1-100分之间各分值的网格个数和频率，形成频率直方图图形工作数据库，然后由绘图仪自动绘制总分频率直方图。</w:t>
      </w:r>
    </w:p>
    <w:p w14:paraId="2850A9D3">
      <w:pPr>
        <w:jc w:val="center"/>
      </w:pPr>
      <w:r>
        <w:drawing>
          <wp:inline distT="0" distB="0" distL="114300" distR="114300">
            <wp:extent cx="5579745" cy="3598545"/>
            <wp:effectExtent l="0" t="0" r="1905" b="1905"/>
            <wp:docPr id="64" name="图片 151" descr="1符离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1" descr="1符离镇"/>
                    <pic:cNvPicPr>
                      <a:picLocks noChangeAspect="1"/>
                    </pic:cNvPicPr>
                  </pic:nvPicPr>
                  <pic:blipFill>
                    <a:blip r:embed="rId213"/>
                    <a:stretch>
                      <a:fillRect/>
                    </a:stretch>
                  </pic:blipFill>
                  <pic:spPr>
                    <a:xfrm>
                      <a:off x="0" y="0"/>
                      <a:ext cx="5579745" cy="3598545"/>
                    </a:xfrm>
                    <a:prstGeom prst="rect">
                      <a:avLst/>
                    </a:prstGeom>
                    <a:noFill/>
                    <a:ln>
                      <a:noFill/>
                    </a:ln>
                  </pic:spPr>
                </pic:pic>
              </a:graphicData>
            </a:graphic>
          </wp:inline>
        </w:drawing>
      </w:r>
    </w:p>
    <w:p w14:paraId="63F24320">
      <w:pPr>
        <w:jc w:val="center"/>
        <w:rPr>
          <w:b/>
          <w:bCs/>
          <w:sz w:val="28"/>
          <w:szCs w:val="28"/>
        </w:rPr>
      </w:pPr>
      <w:r>
        <w:rPr>
          <w:b/>
          <w:bCs/>
          <w:sz w:val="28"/>
          <w:szCs w:val="28"/>
        </w:rPr>
        <w:t>图</w:t>
      </w:r>
      <w:r>
        <w:rPr>
          <w:rFonts w:eastAsia="黑体"/>
          <w:b/>
          <w:sz w:val="28"/>
          <w:szCs w:val="28"/>
        </w:rPr>
        <w:t>1-5</w:t>
      </w:r>
      <w:r>
        <w:rPr>
          <w:b/>
          <w:bCs/>
          <w:sz w:val="28"/>
          <w:szCs w:val="28"/>
        </w:rPr>
        <w:t xml:space="preserve">-1   </w:t>
      </w:r>
      <w:r>
        <w:rPr>
          <w:rFonts w:hint="eastAsia"/>
          <w:b/>
          <w:bCs/>
          <w:sz w:val="28"/>
          <w:szCs w:val="28"/>
        </w:rPr>
        <w:t>符离镇</w:t>
      </w:r>
      <w:r>
        <w:rPr>
          <w:b/>
          <w:bCs/>
          <w:sz w:val="28"/>
          <w:szCs w:val="28"/>
        </w:rPr>
        <w:t>镇区综合定级总分值频率直方图</w:t>
      </w:r>
    </w:p>
    <w:p w14:paraId="736BE094">
      <w:pPr>
        <w:jc w:val="center"/>
        <w:rPr>
          <w:b/>
          <w:bCs/>
          <w:sz w:val="28"/>
          <w:szCs w:val="28"/>
        </w:rPr>
      </w:pPr>
      <w:r>
        <w:rPr>
          <w:b/>
          <w:bCs/>
          <w:sz w:val="28"/>
          <w:szCs w:val="28"/>
        </w:rPr>
        <w:drawing>
          <wp:inline distT="0" distB="0" distL="114300" distR="114300">
            <wp:extent cx="5572760" cy="3598545"/>
            <wp:effectExtent l="0" t="0" r="8890" b="1905"/>
            <wp:docPr id="65" name="图片 152" descr="2朱仙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2" descr="2朱仙庄"/>
                    <pic:cNvPicPr>
                      <a:picLocks noChangeAspect="1"/>
                    </pic:cNvPicPr>
                  </pic:nvPicPr>
                  <pic:blipFill>
                    <a:blip r:embed="rId214"/>
                    <a:stretch>
                      <a:fillRect/>
                    </a:stretch>
                  </pic:blipFill>
                  <pic:spPr>
                    <a:xfrm>
                      <a:off x="0" y="0"/>
                      <a:ext cx="5572760" cy="3598545"/>
                    </a:xfrm>
                    <a:prstGeom prst="rect">
                      <a:avLst/>
                    </a:prstGeom>
                    <a:noFill/>
                    <a:ln>
                      <a:noFill/>
                    </a:ln>
                  </pic:spPr>
                </pic:pic>
              </a:graphicData>
            </a:graphic>
          </wp:inline>
        </w:drawing>
      </w:r>
    </w:p>
    <w:p w14:paraId="4EDC55C6">
      <w:pPr>
        <w:jc w:val="center"/>
        <w:rPr>
          <w:b/>
          <w:bCs/>
          <w:sz w:val="28"/>
          <w:szCs w:val="28"/>
        </w:rPr>
      </w:pPr>
      <w:r>
        <w:rPr>
          <w:b/>
          <w:bCs/>
          <w:sz w:val="28"/>
          <w:szCs w:val="28"/>
        </w:rPr>
        <w:t xml:space="preserve">图1-5-2   </w:t>
      </w:r>
      <w:r>
        <w:rPr>
          <w:rFonts w:hint="eastAsia"/>
          <w:b/>
          <w:bCs/>
          <w:sz w:val="28"/>
          <w:szCs w:val="28"/>
        </w:rPr>
        <w:t>朱仙庄</w:t>
      </w:r>
      <w:r>
        <w:rPr>
          <w:b/>
          <w:bCs/>
          <w:sz w:val="28"/>
          <w:szCs w:val="28"/>
        </w:rPr>
        <w:t>镇镇区综合定级总分值频率直方图</w:t>
      </w:r>
    </w:p>
    <w:p w14:paraId="06360BF1">
      <w:pPr>
        <w:jc w:val="center"/>
        <w:rPr>
          <w:b/>
          <w:bCs/>
          <w:sz w:val="28"/>
          <w:szCs w:val="28"/>
        </w:rPr>
      </w:pPr>
      <w:r>
        <w:rPr>
          <w:b/>
          <w:bCs/>
          <w:sz w:val="28"/>
          <w:szCs w:val="28"/>
        </w:rPr>
        <w:drawing>
          <wp:inline distT="0" distB="0" distL="114300" distR="114300">
            <wp:extent cx="5572760" cy="3598545"/>
            <wp:effectExtent l="0" t="0" r="8890" b="1905"/>
            <wp:docPr id="66" name="图片 153" descr="3蕲县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3" descr="3蕲县镇"/>
                    <pic:cNvPicPr>
                      <a:picLocks noChangeAspect="1"/>
                    </pic:cNvPicPr>
                  </pic:nvPicPr>
                  <pic:blipFill>
                    <a:blip r:embed="rId215"/>
                    <a:stretch>
                      <a:fillRect/>
                    </a:stretch>
                  </pic:blipFill>
                  <pic:spPr>
                    <a:xfrm>
                      <a:off x="0" y="0"/>
                      <a:ext cx="5572760" cy="3598545"/>
                    </a:xfrm>
                    <a:prstGeom prst="rect">
                      <a:avLst/>
                    </a:prstGeom>
                    <a:noFill/>
                    <a:ln>
                      <a:noFill/>
                    </a:ln>
                  </pic:spPr>
                </pic:pic>
              </a:graphicData>
            </a:graphic>
          </wp:inline>
        </w:drawing>
      </w:r>
    </w:p>
    <w:p w14:paraId="6655F0DF">
      <w:pPr>
        <w:jc w:val="center"/>
        <w:rPr>
          <w:b/>
          <w:bCs/>
          <w:sz w:val="28"/>
          <w:szCs w:val="28"/>
        </w:rPr>
      </w:pPr>
      <w:r>
        <w:rPr>
          <w:b/>
          <w:bCs/>
          <w:sz w:val="28"/>
          <w:szCs w:val="28"/>
        </w:rPr>
        <w:t xml:space="preserve">图1-5-3   </w:t>
      </w:r>
      <w:r>
        <w:rPr>
          <w:rFonts w:hint="eastAsia"/>
          <w:b/>
          <w:bCs/>
          <w:sz w:val="28"/>
          <w:szCs w:val="28"/>
        </w:rPr>
        <w:t>蕲县镇</w:t>
      </w:r>
      <w:r>
        <w:rPr>
          <w:b/>
          <w:bCs/>
          <w:sz w:val="28"/>
          <w:szCs w:val="28"/>
        </w:rPr>
        <w:t>镇区综合定级总分值频率直方图</w:t>
      </w:r>
    </w:p>
    <w:p w14:paraId="366BD284">
      <w:pPr>
        <w:jc w:val="center"/>
        <w:rPr>
          <w:b/>
          <w:bCs/>
          <w:sz w:val="28"/>
          <w:szCs w:val="28"/>
        </w:rPr>
      </w:pPr>
      <w:r>
        <w:rPr>
          <w:b/>
          <w:bCs/>
          <w:sz w:val="28"/>
          <w:szCs w:val="28"/>
        </w:rPr>
        <w:drawing>
          <wp:inline distT="0" distB="0" distL="114300" distR="114300">
            <wp:extent cx="5572760" cy="3598545"/>
            <wp:effectExtent l="0" t="0" r="0" b="0"/>
            <wp:docPr id="67" name="图片 154" descr="4芦岭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4" descr="4芦岭镇"/>
                    <pic:cNvPicPr>
                      <a:picLocks noChangeAspect="1"/>
                    </pic:cNvPicPr>
                  </pic:nvPicPr>
                  <pic:blipFill>
                    <a:blip r:embed="rId216"/>
                    <a:stretch>
                      <a:fillRect/>
                    </a:stretch>
                  </pic:blipFill>
                  <pic:spPr>
                    <a:xfrm>
                      <a:off x="0" y="0"/>
                      <a:ext cx="5572760" cy="3598545"/>
                    </a:xfrm>
                    <a:prstGeom prst="rect">
                      <a:avLst/>
                    </a:prstGeom>
                    <a:noFill/>
                    <a:ln>
                      <a:noFill/>
                    </a:ln>
                  </pic:spPr>
                </pic:pic>
              </a:graphicData>
            </a:graphic>
          </wp:inline>
        </w:drawing>
      </w:r>
    </w:p>
    <w:p w14:paraId="6032714D">
      <w:pPr>
        <w:jc w:val="center"/>
        <w:rPr>
          <w:b/>
          <w:bCs/>
          <w:sz w:val="28"/>
          <w:szCs w:val="28"/>
        </w:rPr>
      </w:pPr>
      <w:r>
        <w:rPr>
          <w:b/>
          <w:bCs/>
          <w:sz w:val="28"/>
          <w:szCs w:val="28"/>
        </w:rPr>
        <w:t xml:space="preserve"> 图1-5-4   </w:t>
      </w:r>
      <w:r>
        <w:rPr>
          <w:rFonts w:hint="eastAsia"/>
          <w:b/>
          <w:bCs/>
          <w:sz w:val="28"/>
          <w:szCs w:val="28"/>
        </w:rPr>
        <w:t>芦岭镇镇</w:t>
      </w:r>
      <w:r>
        <w:rPr>
          <w:b/>
          <w:bCs/>
          <w:sz w:val="28"/>
          <w:szCs w:val="28"/>
        </w:rPr>
        <w:t>区综合定级总分值频率直方图</w:t>
      </w:r>
    </w:p>
    <w:p w14:paraId="7ECFBD9D">
      <w:pPr>
        <w:jc w:val="center"/>
        <w:rPr>
          <w:b/>
          <w:bCs/>
          <w:sz w:val="28"/>
          <w:szCs w:val="28"/>
        </w:rPr>
      </w:pPr>
      <w:r>
        <w:rPr>
          <w:b/>
          <w:bCs/>
          <w:sz w:val="28"/>
          <w:szCs w:val="28"/>
        </w:rPr>
        <w:drawing>
          <wp:inline distT="0" distB="0" distL="114300" distR="114300">
            <wp:extent cx="5594350" cy="3598545"/>
            <wp:effectExtent l="0" t="0" r="6350" b="1905"/>
            <wp:docPr id="68" name="图片 155" descr="5大店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55" descr="5大店镇"/>
                    <pic:cNvPicPr>
                      <a:picLocks noChangeAspect="1"/>
                    </pic:cNvPicPr>
                  </pic:nvPicPr>
                  <pic:blipFill>
                    <a:blip r:embed="rId217"/>
                    <a:stretch>
                      <a:fillRect/>
                    </a:stretch>
                  </pic:blipFill>
                  <pic:spPr>
                    <a:xfrm>
                      <a:off x="0" y="0"/>
                      <a:ext cx="5594350" cy="3598545"/>
                    </a:xfrm>
                    <a:prstGeom prst="rect">
                      <a:avLst/>
                    </a:prstGeom>
                    <a:noFill/>
                    <a:ln>
                      <a:noFill/>
                    </a:ln>
                  </pic:spPr>
                </pic:pic>
              </a:graphicData>
            </a:graphic>
          </wp:inline>
        </w:drawing>
      </w:r>
    </w:p>
    <w:p w14:paraId="3C0F2376">
      <w:pPr>
        <w:jc w:val="center"/>
        <w:rPr>
          <w:b/>
          <w:bCs/>
          <w:sz w:val="28"/>
          <w:szCs w:val="28"/>
        </w:rPr>
      </w:pPr>
      <w:r>
        <w:rPr>
          <w:b/>
          <w:bCs/>
          <w:sz w:val="28"/>
          <w:szCs w:val="28"/>
        </w:rPr>
        <w:t xml:space="preserve">图1-5-5   </w:t>
      </w:r>
      <w:r>
        <w:rPr>
          <w:rFonts w:hint="eastAsia"/>
          <w:b/>
          <w:bCs/>
          <w:sz w:val="28"/>
          <w:szCs w:val="28"/>
        </w:rPr>
        <w:t>大店镇</w:t>
      </w:r>
      <w:r>
        <w:rPr>
          <w:b/>
          <w:bCs/>
          <w:sz w:val="28"/>
          <w:szCs w:val="28"/>
        </w:rPr>
        <w:t>镇区综合定级总分值频率直方图</w:t>
      </w:r>
    </w:p>
    <w:p w14:paraId="3D6D0D20">
      <w:pPr>
        <w:jc w:val="center"/>
        <w:rPr>
          <w:b/>
          <w:bCs/>
          <w:sz w:val="28"/>
          <w:szCs w:val="28"/>
        </w:rPr>
      </w:pPr>
      <w:r>
        <w:rPr>
          <w:b/>
          <w:bCs/>
          <w:sz w:val="28"/>
          <w:szCs w:val="28"/>
        </w:rPr>
        <w:drawing>
          <wp:inline distT="0" distB="0" distL="114300" distR="114300">
            <wp:extent cx="5594350" cy="3598545"/>
            <wp:effectExtent l="0" t="0" r="6350" b="1905"/>
            <wp:docPr id="69" name="图片 156" descr="6栏杆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56" descr="6栏杆镇"/>
                    <pic:cNvPicPr>
                      <a:picLocks noChangeAspect="1"/>
                    </pic:cNvPicPr>
                  </pic:nvPicPr>
                  <pic:blipFill>
                    <a:blip r:embed="rId218"/>
                    <a:stretch>
                      <a:fillRect/>
                    </a:stretch>
                  </pic:blipFill>
                  <pic:spPr>
                    <a:xfrm>
                      <a:off x="0" y="0"/>
                      <a:ext cx="5594350" cy="3598545"/>
                    </a:xfrm>
                    <a:prstGeom prst="rect">
                      <a:avLst/>
                    </a:prstGeom>
                    <a:noFill/>
                    <a:ln>
                      <a:noFill/>
                    </a:ln>
                  </pic:spPr>
                </pic:pic>
              </a:graphicData>
            </a:graphic>
          </wp:inline>
        </w:drawing>
      </w:r>
    </w:p>
    <w:p w14:paraId="340D0BDF">
      <w:pPr>
        <w:jc w:val="center"/>
        <w:rPr>
          <w:b/>
          <w:bCs/>
          <w:sz w:val="28"/>
          <w:szCs w:val="28"/>
        </w:rPr>
      </w:pPr>
      <w:r>
        <w:rPr>
          <w:b/>
          <w:bCs/>
          <w:sz w:val="28"/>
          <w:szCs w:val="28"/>
        </w:rPr>
        <w:t xml:space="preserve">图1-5-6   </w:t>
      </w:r>
      <w:r>
        <w:rPr>
          <w:rFonts w:hint="eastAsia"/>
          <w:b/>
          <w:bCs/>
          <w:sz w:val="28"/>
          <w:szCs w:val="28"/>
        </w:rPr>
        <w:t>栏杆镇</w:t>
      </w:r>
      <w:r>
        <w:rPr>
          <w:b/>
          <w:bCs/>
          <w:sz w:val="28"/>
          <w:szCs w:val="28"/>
        </w:rPr>
        <w:t>镇区综合定级总分值频率直方图</w:t>
      </w:r>
    </w:p>
    <w:p w14:paraId="03691DDD">
      <w:pPr>
        <w:jc w:val="center"/>
        <w:rPr>
          <w:b/>
          <w:bCs/>
          <w:sz w:val="28"/>
          <w:szCs w:val="28"/>
        </w:rPr>
      </w:pPr>
      <w:r>
        <w:rPr>
          <w:b/>
          <w:bCs/>
          <w:sz w:val="28"/>
          <w:szCs w:val="28"/>
        </w:rPr>
        <w:drawing>
          <wp:inline distT="0" distB="0" distL="114300" distR="114300">
            <wp:extent cx="5594350" cy="3598545"/>
            <wp:effectExtent l="0" t="0" r="6350" b="1905"/>
            <wp:docPr id="70" name="图片 157" descr="7时村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57" descr="7时村镇"/>
                    <pic:cNvPicPr>
                      <a:picLocks noChangeAspect="1"/>
                    </pic:cNvPicPr>
                  </pic:nvPicPr>
                  <pic:blipFill>
                    <a:blip r:embed="rId219"/>
                    <a:stretch>
                      <a:fillRect/>
                    </a:stretch>
                  </pic:blipFill>
                  <pic:spPr>
                    <a:xfrm>
                      <a:off x="0" y="0"/>
                      <a:ext cx="5594350" cy="3598545"/>
                    </a:xfrm>
                    <a:prstGeom prst="rect">
                      <a:avLst/>
                    </a:prstGeom>
                    <a:noFill/>
                    <a:ln>
                      <a:noFill/>
                    </a:ln>
                  </pic:spPr>
                </pic:pic>
              </a:graphicData>
            </a:graphic>
          </wp:inline>
        </w:drawing>
      </w:r>
    </w:p>
    <w:p w14:paraId="6350AB78">
      <w:pPr>
        <w:jc w:val="center"/>
        <w:rPr>
          <w:b/>
          <w:bCs/>
          <w:sz w:val="28"/>
          <w:szCs w:val="28"/>
        </w:rPr>
      </w:pPr>
      <w:r>
        <w:rPr>
          <w:b/>
          <w:bCs/>
          <w:sz w:val="28"/>
          <w:szCs w:val="28"/>
        </w:rPr>
        <w:t xml:space="preserve">图1-5-7   </w:t>
      </w:r>
      <w:r>
        <w:rPr>
          <w:rFonts w:hint="eastAsia"/>
          <w:b/>
          <w:bCs/>
          <w:sz w:val="28"/>
          <w:szCs w:val="28"/>
        </w:rPr>
        <w:t>时村镇</w:t>
      </w:r>
      <w:r>
        <w:rPr>
          <w:b/>
          <w:bCs/>
          <w:sz w:val="28"/>
          <w:szCs w:val="28"/>
        </w:rPr>
        <w:t>镇区综合定级总分值频率直方图</w:t>
      </w:r>
    </w:p>
    <w:p w14:paraId="1EE06F8C">
      <w:pPr>
        <w:jc w:val="center"/>
        <w:rPr>
          <w:b/>
          <w:bCs/>
          <w:sz w:val="28"/>
          <w:szCs w:val="28"/>
        </w:rPr>
      </w:pPr>
      <w:r>
        <w:rPr>
          <w:b/>
          <w:bCs/>
          <w:sz w:val="28"/>
          <w:szCs w:val="28"/>
        </w:rPr>
        <w:drawing>
          <wp:inline distT="0" distB="0" distL="114300" distR="114300">
            <wp:extent cx="5594350" cy="3598545"/>
            <wp:effectExtent l="0" t="0" r="6350" b="1905"/>
            <wp:docPr id="71" name="图片 158" descr="8夹沟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58" descr="8夹沟镇"/>
                    <pic:cNvPicPr>
                      <a:picLocks noChangeAspect="1"/>
                    </pic:cNvPicPr>
                  </pic:nvPicPr>
                  <pic:blipFill>
                    <a:blip r:embed="rId220"/>
                    <a:stretch>
                      <a:fillRect/>
                    </a:stretch>
                  </pic:blipFill>
                  <pic:spPr>
                    <a:xfrm>
                      <a:off x="0" y="0"/>
                      <a:ext cx="5594350" cy="3598545"/>
                    </a:xfrm>
                    <a:prstGeom prst="rect">
                      <a:avLst/>
                    </a:prstGeom>
                    <a:noFill/>
                    <a:ln>
                      <a:noFill/>
                    </a:ln>
                  </pic:spPr>
                </pic:pic>
              </a:graphicData>
            </a:graphic>
          </wp:inline>
        </w:drawing>
      </w:r>
    </w:p>
    <w:p w14:paraId="0BB00FCC">
      <w:pPr>
        <w:jc w:val="center"/>
        <w:rPr>
          <w:b/>
          <w:bCs/>
          <w:sz w:val="28"/>
          <w:szCs w:val="28"/>
        </w:rPr>
      </w:pPr>
      <w:r>
        <w:rPr>
          <w:b/>
          <w:bCs/>
          <w:sz w:val="28"/>
          <w:szCs w:val="28"/>
        </w:rPr>
        <w:t xml:space="preserve">图1-5-8   </w:t>
      </w:r>
      <w:r>
        <w:rPr>
          <w:rFonts w:hint="eastAsia"/>
          <w:b/>
          <w:bCs/>
          <w:sz w:val="28"/>
          <w:szCs w:val="28"/>
        </w:rPr>
        <w:t>夹沟镇</w:t>
      </w:r>
      <w:r>
        <w:rPr>
          <w:b/>
          <w:bCs/>
          <w:sz w:val="28"/>
          <w:szCs w:val="28"/>
        </w:rPr>
        <w:t>镇区综合定级总分值频率直方图</w:t>
      </w:r>
    </w:p>
    <w:p w14:paraId="67C5AB2F">
      <w:pPr>
        <w:jc w:val="center"/>
        <w:rPr>
          <w:b/>
          <w:bCs/>
          <w:sz w:val="28"/>
          <w:szCs w:val="28"/>
        </w:rPr>
      </w:pPr>
      <w:r>
        <w:rPr>
          <w:b/>
          <w:bCs/>
          <w:sz w:val="28"/>
          <w:szCs w:val="28"/>
        </w:rPr>
        <w:drawing>
          <wp:inline distT="0" distB="0" distL="114300" distR="114300">
            <wp:extent cx="5594350" cy="3598545"/>
            <wp:effectExtent l="0" t="0" r="6350" b="1905"/>
            <wp:docPr id="72" name="图片 159" descr="9西二铺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9" descr="9西二铺乡"/>
                    <pic:cNvPicPr>
                      <a:picLocks noChangeAspect="1"/>
                    </pic:cNvPicPr>
                  </pic:nvPicPr>
                  <pic:blipFill>
                    <a:blip r:embed="rId221"/>
                    <a:stretch>
                      <a:fillRect/>
                    </a:stretch>
                  </pic:blipFill>
                  <pic:spPr>
                    <a:xfrm>
                      <a:off x="0" y="0"/>
                      <a:ext cx="5594350" cy="3598545"/>
                    </a:xfrm>
                    <a:prstGeom prst="rect">
                      <a:avLst/>
                    </a:prstGeom>
                    <a:noFill/>
                    <a:ln>
                      <a:noFill/>
                    </a:ln>
                  </pic:spPr>
                </pic:pic>
              </a:graphicData>
            </a:graphic>
          </wp:inline>
        </w:drawing>
      </w:r>
    </w:p>
    <w:p w14:paraId="0FDB4751">
      <w:pPr>
        <w:jc w:val="center"/>
        <w:rPr>
          <w:b/>
          <w:bCs/>
          <w:sz w:val="28"/>
          <w:szCs w:val="28"/>
        </w:rPr>
      </w:pPr>
      <w:r>
        <w:rPr>
          <w:b/>
          <w:bCs/>
          <w:sz w:val="28"/>
          <w:szCs w:val="28"/>
        </w:rPr>
        <w:t xml:space="preserve">图1-5-9   </w:t>
      </w:r>
      <w:r>
        <w:rPr>
          <w:rFonts w:hint="eastAsia"/>
          <w:b/>
          <w:bCs/>
          <w:sz w:val="28"/>
          <w:szCs w:val="28"/>
        </w:rPr>
        <w:t>西二铺乡</w:t>
      </w:r>
      <w:r>
        <w:rPr>
          <w:b/>
          <w:bCs/>
          <w:sz w:val="28"/>
          <w:szCs w:val="28"/>
        </w:rPr>
        <w:t>镇区综合定级总分值频率直方图</w:t>
      </w:r>
    </w:p>
    <w:p w14:paraId="1F66D8CB">
      <w:pPr>
        <w:jc w:val="center"/>
        <w:rPr>
          <w:b/>
          <w:bCs/>
          <w:sz w:val="28"/>
          <w:szCs w:val="28"/>
        </w:rPr>
      </w:pPr>
      <w:r>
        <w:rPr>
          <w:b/>
          <w:bCs/>
          <w:sz w:val="28"/>
          <w:szCs w:val="28"/>
        </w:rPr>
        <w:drawing>
          <wp:inline distT="0" distB="0" distL="114300" distR="114300">
            <wp:extent cx="5594350" cy="3598545"/>
            <wp:effectExtent l="0" t="0" r="6350" b="1905"/>
            <wp:docPr id="73" name="图片 160" descr="10桃园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60" descr="10桃园镇"/>
                    <pic:cNvPicPr>
                      <a:picLocks noChangeAspect="1"/>
                    </pic:cNvPicPr>
                  </pic:nvPicPr>
                  <pic:blipFill>
                    <a:blip r:embed="rId222"/>
                    <a:stretch>
                      <a:fillRect/>
                    </a:stretch>
                  </pic:blipFill>
                  <pic:spPr>
                    <a:xfrm>
                      <a:off x="0" y="0"/>
                      <a:ext cx="5594350" cy="3598545"/>
                    </a:xfrm>
                    <a:prstGeom prst="rect">
                      <a:avLst/>
                    </a:prstGeom>
                    <a:noFill/>
                    <a:ln>
                      <a:noFill/>
                    </a:ln>
                  </pic:spPr>
                </pic:pic>
              </a:graphicData>
            </a:graphic>
          </wp:inline>
        </w:drawing>
      </w:r>
    </w:p>
    <w:p w14:paraId="42C291D6">
      <w:pPr>
        <w:jc w:val="center"/>
        <w:rPr>
          <w:rFonts w:hint="eastAsia"/>
          <w:b/>
          <w:bCs/>
          <w:sz w:val="28"/>
          <w:szCs w:val="28"/>
        </w:rPr>
      </w:pPr>
      <w:r>
        <w:rPr>
          <w:b/>
          <w:bCs/>
          <w:sz w:val="28"/>
          <w:szCs w:val="28"/>
        </w:rPr>
        <w:t xml:space="preserve">图1-5-10   </w:t>
      </w:r>
      <w:r>
        <w:rPr>
          <w:rFonts w:hint="eastAsia"/>
          <w:b/>
          <w:bCs/>
          <w:sz w:val="28"/>
          <w:szCs w:val="28"/>
        </w:rPr>
        <w:t>桃园镇</w:t>
      </w:r>
      <w:r>
        <w:rPr>
          <w:b/>
          <w:bCs/>
          <w:sz w:val="28"/>
          <w:szCs w:val="28"/>
        </w:rPr>
        <w:t>镇区综合定级总分值频率直方图</w:t>
      </w:r>
    </w:p>
    <w:p w14:paraId="6E6C66B6">
      <w:pPr>
        <w:jc w:val="center"/>
        <w:rPr>
          <w:rFonts w:hint="eastAsia"/>
          <w:b/>
          <w:bCs/>
          <w:sz w:val="28"/>
          <w:szCs w:val="28"/>
        </w:rPr>
      </w:pPr>
      <w:r>
        <w:rPr>
          <w:b/>
          <w:bCs/>
          <w:sz w:val="28"/>
          <w:szCs w:val="28"/>
        </w:rPr>
        <w:drawing>
          <wp:inline distT="0" distB="0" distL="114300" distR="114300">
            <wp:extent cx="5594350" cy="3598545"/>
            <wp:effectExtent l="0" t="0" r="6350" b="1905"/>
            <wp:docPr id="74" name="图片 161" descr="11曹村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61" descr="11曹村镇"/>
                    <pic:cNvPicPr>
                      <a:picLocks noChangeAspect="1"/>
                    </pic:cNvPicPr>
                  </pic:nvPicPr>
                  <pic:blipFill>
                    <a:blip r:embed="rId223"/>
                    <a:stretch>
                      <a:fillRect/>
                    </a:stretch>
                  </pic:blipFill>
                  <pic:spPr>
                    <a:xfrm>
                      <a:off x="0" y="0"/>
                      <a:ext cx="5594350" cy="3598545"/>
                    </a:xfrm>
                    <a:prstGeom prst="rect">
                      <a:avLst/>
                    </a:prstGeom>
                    <a:noFill/>
                    <a:ln>
                      <a:noFill/>
                    </a:ln>
                  </pic:spPr>
                </pic:pic>
              </a:graphicData>
            </a:graphic>
          </wp:inline>
        </w:drawing>
      </w:r>
    </w:p>
    <w:p w14:paraId="774A9443">
      <w:pPr>
        <w:jc w:val="center"/>
        <w:rPr>
          <w:b/>
          <w:bCs/>
          <w:sz w:val="28"/>
          <w:szCs w:val="28"/>
        </w:rPr>
      </w:pPr>
      <w:r>
        <w:rPr>
          <w:b/>
          <w:bCs/>
          <w:sz w:val="28"/>
          <w:szCs w:val="28"/>
        </w:rPr>
        <w:t>图</w:t>
      </w:r>
      <w:r>
        <w:rPr>
          <w:rFonts w:eastAsia="黑体"/>
          <w:b/>
          <w:sz w:val="28"/>
          <w:szCs w:val="28"/>
        </w:rPr>
        <w:t>1-5</w:t>
      </w:r>
      <w:r>
        <w:rPr>
          <w:b/>
          <w:bCs/>
          <w:sz w:val="28"/>
          <w:szCs w:val="28"/>
        </w:rPr>
        <w:t>-</w:t>
      </w:r>
      <w:r>
        <w:rPr>
          <w:rFonts w:hint="eastAsia"/>
          <w:b/>
          <w:bCs/>
          <w:sz w:val="28"/>
          <w:szCs w:val="28"/>
        </w:rPr>
        <w:t>1</w:t>
      </w:r>
      <w:r>
        <w:rPr>
          <w:b/>
          <w:bCs/>
          <w:sz w:val="28"/>
          <w:szCs w:val="28"/>
        </w:rPr>
        <w:t xml:space="preserve">1   </w:t>
      </w:r>
      <w:r>
        <w:rPr>
          <w:rFonts w:hint="eastAsia"/>
          <w:b/>
          <w:bCs/>
          <w:sz w:val="28"/>
          <w:szCs w:val="28"/>
        </w:rPr>
        <w:t>曹村镇</w:t>
      </w:r>
      <w:r>
        <w:rPr>
          <w:b/>
          <w:bCs/>
          <w:sz w:val="28"/>
          <w:szCs w:val="28"/>
        </w:rPr>
        <w:t>镇区综合定级总分值频率直方图</w:t>
      </w:r>
    </w:p>
    <w:p w14:paraId="75DFA81D">
      <w:pPr>
        <w:jc w:val="center"/>
        <w:rPr>
          <w:b/>
          <w:bCs/>
          <w:sz w:val="28"/>
          <w:szCs w:val="28"/>
        </w:rPr>
      </w:pPr>
      <w:r>
        <w:rPr>
          <w:b/>
          <w:bCs/>
          <w:sz w:val="28"/>
          <w:szCs w:val="28"/>
        </w:rPr>
        <w:drawing>
          <wp:inline distT="0" distB="0" distL="114300" distR="114300">
            <wp:extent cx="5594350" cy="3598545"/>
            <wp:effectExtent l="0" t="0" r="6350" b="1905"/>
            <wp:docPr id="75" name="图片 162" descr="12大营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62" descr="12大营镇"/>
                    <pic:cNvPicPr>
                      <a:picLocks noChangeAspect="1"/>
                    </pic:cNvPicPr>
                  </pic:nvPicPr>
                  <pic:blipFill>
                    <a:blip r:embed="rId224"/>
                    <a:stretch>
                      <a:fillRect/>
                    </a:stretch>
                  </pic:blipFill>
                  <pic:spPr>
                    <a:xfrm>
                      <a:off x="0" y="0"/>
                      <a:ext cx="5594350" cy="3598545"/>
                    </a:xfrm>
                    <a:prstGeom prst="rect">
                      <a:avLst/>
                    </a:prstGeom>
                    <a:noFill/>
                    <a:ln>
                      <a:noFill/>
                    </a:ln>
                  </pic:spPr>
                </pic:pic>
              </a:graphicData>
            </a:graphic>
          </wp:inline>
        </w:drawing>
      </w:r>
    </w:p>
    <w:p w14:paraId="2F29A1D6">
      <w:pPr>
        <w:jc w:val="center"/>
        <w:rPr>
          <w:b/>
          <w:bCs/>
          <w:sz w:val="28"/>
          <w:szCs w:val="28"/>
        </w:rPr>
      </w:pPr>
      <w:r>
        <w:rPr>
          <w:b/>
          <w:bCs/>
          <w:sz w:val="28"/>
          <w:szCs w:val="28"/>
        </w:rPr>
        <w:t>图1-5-</w:t>
      </w:r>
      <w:r>
        <w:rPr>
          <w:rFonts w:hint="eastAsia"/>
          <w:b/>
          <w:bCs/>
          <w:sz w:val="28"/>
          <w:szCs w:val="28"/>
        </w:rPr>
        <w:t>1</w:t>
      </w:r>
      <w:r>
        <w:rPr>
          <w:b/>
          <w:bCs/>
          <w:sz w:val="28"/>
          <w:szCs w:val="28"/>
        </w:rPr>
        <w:t xml:space="preserve">2   </w:t>
      </w:r>
      <w:r>
        <w:rPr>
          <w:rFonts w:hint="eastAsia"/>
          <w:b/>
          <w:bCs/>
          <w:sz w:val="28"/>
          <w:szCs w:val="28"/>
        </w:rPr>
        <w:t>大营镇</w:t>
      </w:r>
      <w:r>
        <w:rPr>
          <w:b/>
          <w:bCs/>
          <w:sz w:val="28"/>
          <w:szCs w:val="28"/>
        </w:rPr>
        <w:t>镇区综合定级总分值频率直方图</w:t>
      </w:r>
    </w:p>
    <w:p w14:paraId="3A8A717D">
      <w:pPr>
        <w:jc w:val="center"/>
        <w:rPr>
          <w:b/>
          <w:bCs/>
          <w:sz w:val="28"/>
          <w:szCs w:val="28"/>
        </w:rPr>
      </w:pPr>
      <w:r>
        <w:rPr>
          <w:b/>
          <w:bCs/>
          <w:sz w:val="28"/>
          <w:szCs w:val="28"/>
        </w:rPr>
        <w:drawing>
          <wp:inline distT="0" distB="0" distL="114300" distR="114300">
            <wp:extent cx="5594350" cy="3598545"/>
            <wp:effectExtent l="0" t="0" r="6350" b="1905"/>
            <wp:docPr id="76" name="图片 163" descr="13褚兰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3" descr="13褚兰镇"/>
                    <pic:cNvPicPr>
                      <a:picLocks noChangeAspect="1"/>
                    </pic:cNvPicPr>
                  </pic:nvPicPr>
                  <pic:blipFill>
                    <a:blip r:embed="rId225"/>
                    <a:stretch>
                      <a:fillRect/>
                    </a:stretch>
                  </pic:blipFill>
                  <pic:spPr>
                    <a:xfrm>
                      <a:off x="0" y="0"/>
                      <a:ext cx="5594350" cy="3598545"/>
                    </a:xfrm>
                    <a:prstGeom prst="rect">
                      <a:avLst/>
                    </a:prstGeom>
                    <a:noFill/>
                    <a:ln>
                      <a:noFill/>
                    </a:ln>
                  </pic:spPr>
                </pic:pic>
              </a:graphicData>
            </a:graphic>
          </wp:inline>
        </w:drawing>
      </w:r>
    </w:p>
    <w:p w14:paraId="3018D8B6">
      <w:pPr>
        <w:jc w:val="center"/>
        <w:rPr>
          <w:b/>
          <w:bCs/>
          <w:sz w:val="28"/>
          <w:szCs w:val="28"/>
        </w:rPr>
      </w:pPr>
      <w:r>
        <w:rPr>
          <w:b/>
          <w:bCs/>
          <w:sz w:val="28"/>
          <w:szCs w:val="28"/>
        </w:rPr>
        <w:t>图1-5-</w:t>
      </w:r>
      <w:r>
        <w:rPr>
          <w:rFonts w:hint="eastAsia"/>
          <w:b/>
          <w:bCs/>
          <w:sz w:val="28"/>
          <w:szCs w:val="28"/>
        </w:rPr>
        <w:t>1</w:t>
      </w:r>
      <w:r>
        <w:rPr>
          <w:b/>
          <w:bCs/>
          <w:sz w:val="28"/>
          <w:szCs w:val="28"/>
        </w:rPr>
        <w:t xml:space="preserve">3   </w:t>
      </w:r>
      <w:r>
        <w:rPr>
          <w:rFonts w:hint="eastAsia"/>
          <w:b/>
          <w:bCs/>
          <w:sz w:val="28"/>
          <w:szCs w:val="28"/>
        </w:rPr>
        <w:t>褚兰镇</w:t>
      </w:r>
      <w:r>
        <w:rPr>
          <w:b/>
          <w:bCs/>
          <w:sz w:val="28"/>
          <w:szCs w:val="28"/>
        </w:rPr>
        <w:t>镇区综合定级总分值频率直方图</w:t>
      </w:r>
    </w:p>
    <w:p w14:paraId="3B50A842">
      <w:pPr>
        <w:jc w:val="center"/>
        <w:rPr>
          <w:b/>
          <w:bCs/>
          <w:sz w:val="28"/>
          <w:szCs w:val="28"/>
        </w:rPr>
      </w:pPr>
      <w:r>
        <w:rPr>
          <w:b/>
          <w:bCs/>
          <w:sz w:val="28"/>
          <w:szCs w:val="28"/>
        </w:rPr>
        <w:drawing>
          <wp:inline distT="0" distB="0" distL="114300" distR="114300">
            <wp:extent cx="5594350" cy="3598545"/>
            <wp:effectExtent l="0" t="0" r="6350" b="1905"/>
            <wp:docPr id="77" name="图片 164" descr="14顺河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64" descr="14顺河镇"/>
                    <pic:cNvPicPr>
                      <a:picLocks noChangeAspect="1"/>
                    </pic:cNvPicPr>
                  </pic:nvPicPr>
                  <pic:blipFill>
                    <a:blip r:embed="rId226"/>
                    <a:stretch>
                      <a:fillRect/>
                    </a:stretch>
                  </pic:blipFill>
                  <pic:spPr>
                    <a:xfrm>
                      <a:off x="0" y="0"/>
                      <a:ext cx="5594350" cy="3598545"/>
                    </a:xfrm>
                    <a:prstGeom prst="rect">
                      <a:avLst/>
                    </a:prstGeom>
                    <a:noFill/>
                    <a:ln>
                      <a:noFill/>
                    </a:ln>
                  </pic:spPr>
                </pic:pic>
              </a:graphicData>
            </a:graphic>
          </wp:inline>
        </w:drawing>
      </w:r>
    </w:p>
    <w:p w14:paraId="3FDEC811">
      <w:pPr>
        <w:jc w:val="center"/>
        <w:rPr>
          <w:b/>
          <w:bCs/>
          <w:sz w:val="28"/>
          <w:szCs w:val="28"/>
        </w:rPr>
      </w:pPr>
      <w:r>
        <w:rPr>
          <w:b/>
          <w:bCs/>
          <w:sz w:val="28"/>
          <w:szCs w:val="28"/>
        </w:rPr>
        <w:t xml:space="preserve"> 图1-5-</w:t>
      </w:r>
      <w:r>
        <w:rPr>
          <w:rFonts w:hint="eastAsia"/>
          <w:b/>
          <w:bCs/>
          <w:sz w:val="28"/>
          <w:szCs w:val="28"/>
        </w:rPr>
        <w:t>1</w:t>
      </w:r>
      <w:r>
        <w:rPr>
          <w:b/>
          <w:bCs/>
          <w:sz w:val="28"/>
          <w:szCs w:val="28"/>
        </w:rPr>
        <w:t xml:space="preserve">4   </w:t>
      </w:r>
      <w:r>
        <w:rPr>
          <w:rFonts w:hint="eastAsia"/>
          <w:b/>
          <w:bCs/>
          <w:sz w:val="28"/>
          <w:szCs w:val="28"/>
        </w:rPr>
        <w:t>顺河镇</w:t>
      </w:r>
      <w:r>
        <w:rPr>
          <w:b/>
          <w:bCs/>
          <w:sz w:val="28"/>
          <w:szCs w:val="28"/>
        </w:rPr>
        <w:t>镇区综合定级总分值频率直方图</w:t>
      </w:r>
    </w:p>
    <w:p w14:paraId="3630A463">
      <w:pPr>
        <w:jc w:val="center"/>
        <w:rPr>
          <w:b/>
          <w:bCs/>
          <w:sz w:val="28"/>
          <w:szCs w:val="28"/>
        </w:rPr>
      </w:pPr>
      <w:r>
        <w:rPr>
          <w:b/>
          <w:bCs/>
          <w:sz w:val="28"/>
          <w:szCs w:val="28"/>
        </w:rPr>
        <w:drawing>
          <wp:inline distT="0" distB="0" distL="114300" distR="114300">
            <wp:extent cx="5594350" cy="3598545"/>
            <wp:effectExtent l="0" t="0" r="6350" b="1905"/>
            <wp:docPr id="78" name="图片 165" descr="15杨庄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65" descr="15杨庄乡"/>
                    <pic:cNvPicPr>
                      <a:picLocks noChangeAspect="1"/>
                    </pic:cNvPicPr>
                  </pic:nvPicPr>
                  <pic:blipFill>
                    <a:blip r:embed="rId227"/>
                    <a:stretch>
                      <a:fillRect/>
                    </a:stretch>
                  </pic:blipFill>
                  <pic:spPr>
                    <a:xfrm>
                      <a:off x="0" y="0"/>
                      <a:ext cx="5594350" cy="3598545"/>
                    </a:xfrm>
                    <a:prstGeom prst="rect">
                      <a:avLst/>
                    </a:prstGeom>
                    <a:noFill/>
                    <a:ln>
                      <a:noFill/>
                    </a:ln>
                  </pic:spPr>
                </pic:pic>
              </a:graphicData>
            </a:graphic>
          </wp:inline>
        </w:drawing>
      </w:r>
    </w:p>
    <w:p w14:paraId="28F29C0D">
      <w:pPr>
        <w:jc w:val="center"/>
        <w:rPr>
          <w:b/>
          <w:bCs/>
          <w:sz w:val="28"/>
          <w:szCs w:val="28"/>
        </w:rPr>
      </w:pPr>
      <w:r>
        <w:rPr>
          <w:b/>
          <w:bCs/>
          <w:sz w:val="28"/>
          <w:szCs w:val="28"/>
        </w:rPr>
        <w:t>图1-5-</w:t>
      </w:r>
      <w:r>
        <w:rPr>
          <w:rFonts w:hint="eastAsia"/>
          <w:b/>
          <w:bCs/>
          <w:sz w:val="28"/>
          <w:szCs w:val="28"/>
        </w:rPr>
        <w:t>1</w:t>
      </w:r>
      <w:r>
        <w:rPr>
          <w:b/>
          <w:bCs/>
          <w:sz w:val="28"/>
          <w:szCs w:val="28"/>
        </w:rPr>
        <w:t xml:space="preserve">5   </w:t>
      </w:r>
      <w:r>
        <w:rPr>
          <w:rFonts w:hint="eastAsia"/>
          <w:b/>
          <w:bCs/>
          <w:sz w:val="28"/>
          <w:szCs w:val="28"/>
        </w:rPr>
        <w:t>杨庄镇</w:t>
      </w:r>
      <w:r>
        <w:rPr>
          <w:b/>
          <w:bCs/>
          <w:sz w:val="28"/>
          <w:szCs w:val="28"/>
        </w:rPr>
        <w:t>镇区综合定级总分值频率直方图</w:t>
      </w:r>
    </w:p>
    <w:p w14:paraId="15EF3AEF">
      <w:pPr>
        <w:jc w:val="center"/>
        <w:rPr>
          <w:b/>
          <w:bCs/>
          <w:sz w:val="28"/>
          <w:szCs w:val="28"/>
        </w:rPr>
      </w:pPr>
      <w:r>
        <w:rPr>
          <w:b/>
          <w:bCs/>
          <w:sz w:val="28"/>
          <w:szCs w:val="28"/>
        </w:rPr>
        <w:drawing>
          <wp:inline distT="0" distB="0" distL="114300" distR="114300">
            <wp:extent cx="5594350" cy="3598545"/>
            <wp:effectExtent l="0" t="0" r="6350" b="1905"/>
            <wp:docPr id="79" name="图片 166" descr="16永镇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66" descr="16永镇乡"/>
                    <pic:cNvPicPr>
                      <a:picLocks noChangeAspect="1"/>
                    </pic:cNvPicPr>
                  </pic:nvPicPr>
                  <pic:blipFill>
                    <a:blip r:embed="rId228"/>
                    <a:stretch>
                      <a:fillRect/>
                    </a:stretch>
                  </pic:blipFill>
                  <pic:spPr>
                    <a:xfrm>
                      <a:off x="0" y="0"/>
                      <a:ext cx="5594350" cy="3598545"/>
                    </a:xfrm>
                    <a:prstGeom prst="rect">
                      <a:avLst/>
                    </a:prstGeom>
                    <a:noFill/>
                    <a:ln>
                      <a:noFill/>
                    </a:ln>
                  </pic:spPr>
                </pic:pic>
              </a:graphicData>
            </a:graphic>
          </wp:inline>
        </w:drawing>
      </w:r>
    </w:p>
    <w:p w14:paraId="785DC66D">
      <w:pPr>
        <w:jc w:val="center"/>
        <w:rPr>
          <w:b/>
          <w:bCs/>
          <w:sz w:val="28"/>
          <w:szCs w:val="28"/>
        </w:rPr>
      </w:pPr>
      <w:r>
        <w:rPr>
          <w:b/>
          <w:bCs/>
          <w:sz w:val="28"/>
          <w:szCs w:val="28"/>
        </w:rPr>
        <w:t>图1-5-</w:t>
      </w:r>
      <w:r>
        <w:rPr>
          <w:rFonts w:hint="eastAsia"/>
          <w:b/>
          <w:bCs/>
          <w:sz w:val="28"/>
          <w:szCs w:val="28"/>
        </w:rPr>
        <w:t>1</w:t>
      </w:r>
      <w:r>
        <w:rPr>
          <w:b/>
          <w:bCs/>
          <w:sz w:val="28"/>
          <w:szCs w:val="28"/>
        </w:rPr>
        <w:t xml:space="preserve">6   </w:t>
      </w:r>
      <w:r>
        <w:rPr>
          <w:rFonts w:hint="eastAsia"/>
          <w:b/>
          <w:bCs/>
          <w:sz w:val="28"/>
          <w:szCs w:val="28"/>
        </w:rPr>
        <w:t>永镇乡</w:t>
      </w:r>
      <w:r>
        <w:rPr>
          <w:b/>
          <w:bCs/>
          <w:sz w:val="28"/>
          <w:szCs w:val="28"/>
        </w:rPr>
        <w:t>镇区综合定级总分值频率直方图</w:t>
      </w:r>
    </w:p>
    <w:p w14:paraId="1019B189">
      <w:pPr>
        <w:jc w:val="center"/>
        <w:rPr>
          <w:b/>
          <w:bCs/>
          <w:sz w:val="28"/>
          <w:szCs w:val="28"/>
        </w:rPr>
      </w:pPr>
      <w:r>
        <w:rPr>
          <w:b/>
          <w:bCs/>
          <w:sz w:val="28"/>
          <w:szCs w:val="28"/>
        </w:rPr>
        <w:drawing>
          <wp:inline distT="0" distB="0" distL="114300" distR="114300">
            <wp:extent cx="5594350" cy="3598545"/>
            <wp:effectExtent l="0" t="0" r="6350" b="1905"/>
            <wp:docPr id="80" name="图片 167" descr="17解集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67" descr="17解集乡"/>
                    <pic:cNvPicPr>
                      <a:picLocks noChangeAspect="1"/>
                    </pic:cNvPicPr>
                  </pic:nvPicPr>
                  <pic:blipFill>
                    <a:blip r:embed="rId229"/>
                    <a:stretch>
                      <a:fillRect/>
                    </a:stretch>
                  </pic:blipFill>
                  <pic:spPr>
                    <a:xfrm>
                      <a:off x="0" y="0"/>
                      <a:ext cx="5594350" cy="3598545"/>
                    </a:xfrm>
                    <a:prstGeom prst="rect">
                      <a:avLst/>
                    </a:prstGeom>
                    <a:noFill/>
                    <a:ln>
                      <a:noFill/>
                    </a:ln>
                  </pic:spPr>
                </pic:pic>
              </a:graphicData>
            </a:graphic>
          </wp:inline>
        </w:drawing>
      </w:r>
    </w:p>
    <w:p w14:paraId="6A686690">
      <w:pPr>
        <w:jc w:val="center"/>
        <w:rPr>
          <w:b/>
          <w:bCs/>
          <w:sz w:val="28"/>
          <w:szCs w:val="28"/>
        </w:rPr>
      </w:pPr>
      <w:r>
        <w:rPr>
          <w:b/>
          <w:bCs/>
          <w:sz w:val="28"/>
          <w:szCs w:val="28"/>
        </w:rPr>
        <w:t>图1-5-</w:t>
      </w:r>
      <w:r>
        <w:rPr>
          <w:rFonts w:hint="eastAsia"/>
          <w:b/>
          <w:bCs/>
          <w:sz w:val="28"/>
          <w:szCs w:val="28"/>
        </w:rPr>
        <w:t>1</w:t>
      </w:r>
      <w:r>
        <w:rPr>
          <w:b/>
          <w:bCs/>
          <w:sz w:val="28"/>
          <w:szCs w:val="28"/>
        </w:rPr>
        <w:t xml:space="preserve">7   </w:t>
      </w:r>
      <w:r>
        <w:rPr>
          <w:rFonts w:hint="eastAsia"/>
          <w:b/>
          <w:bCs/>
          <w:sz w:val="28"/>
          <w:szCs w:val="28"/>
        </w:rPr>
        <w:t>解集镇</w:t>
      </w:r>
      <w:r>
        <w:rPr>
          <w:b/>
          <w:bCs/>
          <w:sz w:val="28"/>
          <w:szCs w:val="28"/>
        </w:rPr>
        <w:t>镇区综合定级总分值频率直方图</w:t>
      </w:r>
    </w:p>
    <w:p w14:paraId="06FED6A5">
      <w:pPr>
        <w:jc w:val="center"/>
        <w:rPr>
          <w:b/>
          <w:bCs/>
          <w:sz w:val="28"/>
          <w:szCs w:val="28"/>
        </w:rPr>
      </w:pPr>
      <w:r>
        <w:rPr>
          <w:b/>
          <w:bCs/>
          <w:sz w:val="28"/>
          <w:szCs w:val="28"/>
        </w:rPr>
        <w:drawing>
          <wp:inline distT="0" distB="0" distL="114300" distR="114300">
            <wp:extent cx="5594350" cy="3598545"/>
            <wp:effectExtent l="0" t="0" r="6350" b="1905"/>
            <wp:docPr id="81" name="图片 168" descr="18大泽乡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68" descr="18大泽乡镇"/>
                    <pic:cNvPicPr>
                      <a:picLocks noChangeAspect="1"/>
                    </pic:cNvPicPr>
                  </pic:nvPicPr>
                  <pic:blipFill>
                    <a:blip r:embed="rId230"/>
                    <a:stretch>
                      <a:fillRect/>
                    </a:stretch>
                  </pic:blipFill>
                  <pic:spPr>
                    <a:xfrm>
                      <a:off x="0" y="0"/>
                      <a:ext cx="5594350" cy="3598545"/>
                    </a:xfrm>
                    <a:prstGeom prst="rect">
                      <a:avLst/>
                    </a:prstGeom>
                    <a:noFill/>
                    <a:ln>
                      <a:noFill/>
                    </a:ln>
                  </pic:spPr>
                </pic:pic>
              </a:graphicData>
            </a:graphic>
          </wp:inline>
        </w:drawing>
      </w:r>
    </w:p>
    <w:p w14:paraId="78174EF3">
      <w:pPr>
        <w:jc w:val="center"/>
        <w:rPr>
          <w:b/>
          <w:bCs/>
          <w:sz w:val="28"/>
          <w:szCs w:val="28"/>
        </w:rPr>
      </w:pPr>
      <w:r>
        <w:rPr>
          <w:b/>
          <w:bCs/>
          <w:sz w:val="28"/>
          <w:szCs w:val="28"/>
        </w:rPr>
        <w:t>图1-5-</w:t>
      </w:r>
      <w:r>
        <w:rPr>
          <w:rFonts w:hint="eastAsia"/>
          <w:b/>
          <w:bCs/>
          <w:sz w:val="28"/>
          <w:szCs w:val="28"/>
        </w:rPr>
        <w:t>1</w:t>
      </w:r>
      <w:r>
        <w:rPr>
          <w:b/>
          <w:bCs/>
          <w:sz w:val="28"/>
          <w:szCs w:val="28"/>
        </w:rPr>
        <w:t xml:space="preserve">8   </w:t>
      </w:r>
      <w:r>
        <w:rPr>
          <w:rFonts w:hint="eastAsia"/>
          <w:b/>
          <w:bCs/>
          <w:sz w:val="28"/>
          <w:szCs w:val="28"/>
        </w:rPr>
        <w:t>大泽乡镇</w:t>
      </w:r>
      <w:r>
        <w:rPr>
          <w:b/>
          <w:bCs/>
          <w:sz w:val="28"/>
          <w:szCs w:val="28"/>
        </w:rPr>
        <w:t>镇区综合定级总分值频率直方图</w:t>
      </w:r>
    </w:p>
    <w:p w14:paraId="749AB125">
      <w:pPr>
        <w:jc w:val="center"/>
        <w:rPr>
          <w:b/>
          <w:bCs/>
          <w:sz w:val="28"/>
          <w:szCs w:val="28"/>
        </w:rPr>
      </w:pPr>
      <w:r>
        <w:rPr>
          <w:b/>
          <w:bCs/>
          <w:sz w:val="28"/>
          <w:szCs w:val="28"/>
        </w:rPr>
        <w:drawing>
          <wp:inline distT="0" distB="0" distL="114300" distR="114300">
            <wp:extent cx="5594350" cy="3598545"/>
            <wp:effectExtent l="0" t="0" r="6350" b="1905"/>
            <wp:docPr id="82" name="图片 169" descr="19永安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69" descr="19永安镇"/>
                    <pic:cNvPicPr>
                      <a:picLocks noChangeAspect="1"/>
                    </pic:cNvPicPr>
                  </pic:nvPicPr>
                  <pic:blipFill>
                    <a:blip r:embed="rId231"/>
                    <a:stretch>
                      <a:fillRect/>
                    </a:stretch>
                  </pic:blipFill>
                  <pic:spPr>
                    <a:xfrm>
                      <a:off x="0" y="0"/>
                      <a:ext cx="5594350" cy="3598545"/>
                    </a:xfrm>
                    <a:prstGeom prst="rect">
                      <a:avLst/>
                    </a:prstGeom>
                    <a:noFill/>
                    <a:ln>
                      <a:noFill/>
                    </a:ln>
                  </pic:spPr>
                </pic:pic>
              </a:graphicData>
            </a:graphic>
          </wp:inline>
        </w:drawing>
      </w:r>
    </w:p>
    <w:p w14:paraId="1B33D78C">
      <w:pPr>
        <w:jc w:val="center"/>
        <w:rPr>
          <w:b/>
          <w:bCs/>
          <w:sz w:val="28"/>
          <w:szCs w:val="28"/>
        </w:rPr>
      </w:pPr>
      <w:r>
        <w:rPr>
          <w:b/>
          <w:bCs/>
          <w:sz w:val="28"/>
          <w:szCs w:val="28"/>
        </w:rPr>
        <w:t>图1-5-</w:t>
      </w:r>
      <w:r>
        <w:rPr>
          <w:rFonts w:hint="eastAsia"/>
          <w:b/>
          <w:bCs/>
          <w:sz w:val="28"/>
          <w:szCs w:val="28"/>
        </w:rPr>
        <w:t>1</w:t>
      </w:r>
      <w:r>
        <w:rPr>
          <w:b/>
          <w:bCs/>
          <w:sz w:val="28"/>
          <w:szCs w:val="28"/>
        </w:rPr>
        <w:t xml:space="preserve">9   </w:t>
      </w:r>
      <w:r>
        <w:rPr>
          <w:rFonts w:hint="eastAsia"/>
          <w:b/>
          <w:bCs/>
          <w:sz w:val="28"/>
          <w:szCs w:val="28"/>
        </w:rPr>
        <w:t>永安镇</w:t>
      </w:r>
      <w:r>
        <w:rPr>
          <w:b/>
          <w:bCs/>
          <w:sz w:val="28"/>
          <w:szCs w:val="28"/>
        </w:rPr>
        <w:t>镇区综合定级总分值频率直方图</w:t>
      </w:r>
    </w:p>
    <w:p w14:paraId="624C3B38">
      <w:pPr>
        <w:jc w:val="center"/>
        <w:rPr>
          <w:b/>
          <w:bCs/>
          <w:sz w:val="28"/>
          <w:szCs w:val="28"/>
        </w:rPr>
      </w:pPr>
      <w:r>
        <w:rPr>
          <w:b/>
          <w:bCs/>
          <w:sz w:val="28"/>
          <w:szCs w:val="28"/>
        </w:rPr>
        <w:drawing>
          <wp:inline distT="0" distB="0" distL="114300" distR="114300">
            <wp:extent cx="5594350" cy="3598545"/>
            <wp:effectExtent l="0" t="0" r="6350" b="1905"/>
            <wp:docPr id="83" name="图片 170" descr="20支河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70" descr="20支河乡"/>
                    <pic:cNvPicPr>
                      <a:picLocks noChangeAspect="1"/>
                    </pic:cNvPicPr>
                  </pic:nvPicPr>
                  <pic:blipFill>
                    <a:blip r:embed="rId232"/>
                    <a:stretch>
                      <a:fillRect/>
                    </a:stretch>
                  </pic:blipFill>
                  <pic:spPr>
                    <a:xfrm>
                      <a:off x="0" y="0"/>
                      <a:ext cx="5594350" cy="3598545"/>
                    </a:xfrm>
                    <a:prstGeom prst="rect">
                      <a:avLst/>
                    </a:prstGeom>
                    <a:noFill/>
                    <a:ln>
                      <a:noFill/>
                    </a:ln>
                  </pic:spPr>
                </pic:pic>
              </a:graphicData>
            </a:graphic>
          </wp:inline>
        </w:drawing>
      </w:r>
    </w:p>
    <w:p w14:paraId="67FF0813">
      <w:pPr>
        <w:jc w:val="center"/>
        <w:rPr>
          <w:rFonts w:hint="eastAsia"/>
          <w:b/>
          <w:bCs/>
          <w:sz w:val="28"/>
          <w:szCs w:val="28"/>
        </w:rPr>
      </w:pPr>
      <w:r>
        <w:rPr>
          <w:b/>
          <w:bCs/>
          <w:sz w:val="28"/>
          <w:szCs w:val="28"/>
        </w:rPr>
        <w:t>图1-5-</w:t>
      </w:r>
      <w:r>
        <w:rPr>
          <w:rFonts w:hint="eastAsia"/>
          <w:b/>
          <w:bCs/>
          <w:sz w:val="28"/>
          <w:szCs w:val="28"/>
        </w:rPr>
        <w:t>2</w:t>
      </w:r>
      <w:r>
        <w:rPr>
          <w:b/>
          <w:bCs/>
          <w:sz w:val="28"/>
          <w:szCs w:val="28"/>
        </w:rPr>
        <w:t xml:space="preserve">0   </w:t>
      </w:r>
      <w:r>
        <w:rPr>
          <w:rFonts w:hint="eastAsia"/>
          <w:b/>
          <w:bCs/>
          <w:sz w:val="28"/>
          <w:szCs w:val="28"/>
        </w:rPr>
        <w:t>支河乡</w:t>
      </w:r>
      <w:r>
        <w:rPr>
          <w:b/>
          <w:bCs/>
          <w:sz w:val="28"/>
          <w:szCs w:val="28"/>
        </w:rPr>
        <w:t>镇区综合定级总分值频率直方图</w:t>
      </w:r>
    </w:p>
    <w:p w14:paraId="3AA2B381">
      <w:pPr>
        <w:jc w:val="center"/>
        <w:rPr>
          <w:rFonts w:hint="eastAsia"/>
          <w:b/>
          <w:bCs/>
          <w:sz w:val="28"/>
          <w:szCs w:val="28"/>
        </w:rPr>
      </w:pPr>
      <w:r>
        <w:rPr>
          <w:b/>
          <w:bCs/>
          <w:sz w:val="28"/>
          <w:szCs w:val="28"/>
        </w:rPr>
        <w:drawing>
          <wp:inline distT="0" distB="0" distL="114300" distR="114300">
            <wp:extent cx="5594350" cy="3598545"/>
            <wp:effectExtent l="0" t="0" r="6350" b="1905"/>
            <wp:docPr id="84" name="图片 171" descr="21灰古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71" descr="21灰古镇"/>
                    <pic:cNvPicPr>
                      <a:picLocks noChangeAspect="1"/>
                    </pic:cNvPicPr>
                  </pic:nvPicPr>
                  <pic:blipFill>
                    <a:blip r:embed="rId233"/>
                    <a:stretch>
                      <a:fillRect/>
                    </a:stretch>
                  </pic:blipFill>
                  <pic:spPr>
                    <a:xfrm>
                      <a:off x="0" y="0"/>
                      <a:ext cx="5594350" cy="3598545"/>
                    </a:xfrm>
                    <a:prstGeom prst="rect">
                      <a:avLst/>
                    </a:prstGeom>
                    <a:noFill/>
                    <a:ln>
                      <a:noFill/>
                    </a:ln>
                  </pic:spPr>
                </pic:pic>
              </a:graphicData>
            </a:graphic>
          </wp:inline>
        </w:drawing>
      </w:r>
    </w:p>
    <w:p w14:paraId="41316AE2">
      <w:pPr>
        <w:jc w:val="center"/>
        <w:rPr>
          <w:b/>
          <w:bCs/>
          <w:sz w:val="28"/>
          <w:szCs w:val="28"/>
        </w:rPr>
      </w:pPr>
      <w:r>
        <w:rPr>
          <w:b/>
          <w:bCs/>
          <w:sz w:val="28"/>
          <w:szCs w:val="28"/>
        </w:rPr>
        <w:t>图</w:t>
      </w:r>
      <w:r>
        <w:rPr>
          <w:rFonts w:eastAsia="黑体"/>
          <w:b/>
          <w:sz w:val="28"/>
          <w:szCs w:val="28"/>
        </w:rPr>
        <w:t>1-5</w:t>
      </w:r>
      <w:r>
        <w:rPr>
          <w:b/>
          <w:bCs/>
          <w:sz w:val="28"/>
          <w:szCs w:val="28"/>
        </w:rPr>
        <w:t>-</w:t>
      </w:r>
      <w:r>
        <w:rPr>
          <w:rFonts w:hint="eastAsia"/>
          <w:b/>
          <w:bCs/>
          <w:sz w:val="28"/>
          <w:szCs w:val="28"/>
        </w:rPr>
        <w:t>2</w:t>
      </w:r>
      <w:r>
        <w:rPr>
          <w:b/>
          <w:bCs/>
          <w:sz w:val="28"/>
          <w:szCs w:val="28"/>
        </w:rPr>
        <w:t xml:space="preserve">1   </w:t>
      </w:r>
      <w:r>
        <w:rPr>
          <w:rFonts w:hint="eastAsia"/>
          <w:b/>
          <w:bCs/>
          <w:sz w:val="28"/>
          <w:szCs w:val="28"/>
        </w:rPr>
        <w:t>灰古镇</w:t>
      </w:r>
      <w:r>
        <w:rPr>
          <w:b/>
          <w:bCs/>
          <w:sz w:val="28"/>
          <w:szCs w:val="28"/>
        </w:rPr>
        <w:t>镇区综合定级总分值频率直方图</w:t>
      </w:r>
    </w:p>
    <w:p w14:paraId="1B91938C">
      <w:pPr>
        <w:jc w:val="center"/>
        <w:rPr>
          <w:b/>
          <w:bCs/>
          <w:sz w:val="28"/>
          <w:szCs w:val="28"/>
        </w:rPr>
      </w:pPr>
      <w:r>
        <w:rPr>
          <w:b/>
          <w:bCs/>
          <w:sz w:val="28"/>
          <w:szCs w:val="28"/>
        </w:rPr>
        <w:drawing>
          <wp:inline distT="0" distB="0" distL="114300" distR="114300">
            <wp:extent cx="5594350" cy="3598545"/>
            <wp:effectExtent l="0" t="0" r="6350" b="1905"/>
            <wp:docPr id="85" name="图片 172" descr="22桃沟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72" descr="22桃沟乡"/>
                    <pic:cNvPicPr>
                      <a:picLocks noChangeAspect="1"/>
                    </pic:cNvPicPr>
                  </pic:nvPicPr>
                  <pic:blipFill>
                    <a:blip r:embed="rId234"/>
                    <a:stretch>
                      <a:fillRect/>
                    </a:stretch>
                  </pic:blipFill>
                  <pic:spPr>
                    <a:xfrm>
                      <a:off x="0" y="0"/>
                      <a:ext cx="5594350" cy="3598545"/>
                    </a:xfrm>
                    <a:prstGeom prst="rect">
                      <a:avLst/>
                    </a:prstGeom>
                    <a:noFill/>
                    <a:ln>
                      <a:noFill/>
                    </a:ln>
                  </pic:spPr>
                </pic:pic>
              </a:graphicData>
            </a:graphic>
          </wp:inline>
        </w:drawing>
      </w:r>
    </w:p>
    <w:p w14:paraId="66C294D1">
      <w:pPr>
        <w:jc w:val="center"/>
        <w:rPr>
          <w:b/>
          <w:bCs/>
          <w:sz w:val="28"/>
          <w:szCs w:val="28"/>
        </w:rPr>
      </w:pPr>
      <w:r>
        <w:rPr>
          <w:b/>
          <w:bCs/>
          <w:sz w:val="28"/>
          <w:szCs w:val="28"/>
        </w:rPr>
        <w:t>图1-5-</w:t>
      </w:r>
      <w:r>
        <w:rPr>
          <w:rFonts w:hint="eastAsia"/>
          <w:b/>
          <w:bCs/>
          <w:sz w:val="28"/>
          <w:szCs w:val="28"/>
        </w:rPr>
        <w:t>2</w:t>
      </w:r>
      <w:r>
        <w:rPr>
          <w:b/>
          <w:bCs/>
          <w:sz w:val="28"/>
          <w:szCs w:val="28"/>
        </w:rPr>
        <w:t xml:space="preserve">2   </w:t>
      </w:r>
      <w:r>
        <w:rPr>
          <w:rFonts w:hint="eastAsia"/>
          <w:b/>
          <w:bCs/>
          <w:sz w:val="28"/>
          <w:szCs w:val="28"/>
        </w:rPr>
        <w:t>桃沟乡</w:t>
      </w:r>
      <w:r>
        <w:rPr>
          <w:b/>
          <w:bCs/>
          <w:sz w:val="28"/>
          <w:szCs w:val="28"/>
        </w:rPr>
        <w:t>镇区综合定级总分值频率直方图</w:t>
      </w:r>
    </w:p>
    <w:p w14:paraId="5459204E">
      <w:pPr>
        <w:ind w:firstLine="562" w:firstLineChars="200"/>
        <w:rPr>
          <w:rFonts w:eastAsia="楷体_GB2312"/>
          <w:b/>
          <w:bCs/>
          <w:sz w:val="28"/>
          <w:szCs w:val="28"/>
        </w:rPr>
      </w:pPr>
      <w:r>
        <w:rPr>
          <w:rFonts w:eastAsia="楷体_GB2312"/>
          <w:b/>
          <w:sz w:val="28"/>
        </w:rPr>
        <w:t>2、确定划分土地级别分界点</w:t>
      </w:r>
    </w:p>
    <w:p w14:paraId="21E51C2E">
      <w:pPr>
        <w:spacing w:line="480" w:lineRule="exact"/>
        <w:ind w:firstLine="560" w:firstLineChars="200"/>
        <w:rPr>
          <w:rFonts w:eastAsia="楷体_GB2312"/>
          <w:sz w:val="28"/>
        </w:rPr>
      </w:pPr>
      <w:r>
        <w:rPr>
          <w:rFonts w:eastAsia="楷体_GB2312"/>
          <w:sz w:val="28"/>
        </w:rPr>
        <w:t>根据总分频率直方图，选择频率分布的突变处作为土地级别的分界点，结合各评价区土地利用和土地优劣的实际情况，删去变化较小的分界点，合并较小的分值区间，初步拟定分界点。由于本次评价范围均较小、划分的土地级别少，直接以总分频率直方图确定土地级别分界点。根据分界点总分值，确定土地级别的分值区间。根据分界点总分值，拟定各乡镇区土地级别的分界点分值和分值区间，见表1-5-1。</w:t>
      </w:r>
    </w:p>
    <w:p w14:paraId="43C17DCD">
      <w:pPr>
        <w:pStyle w:val="20"/>
        <w:spacing w:line="480" w:lineRule="exact"/>
        <w:jc w:val="center"/>
        <w:rPr>
          <w:rFonts w:ascii="Times New Roman" w:hAnsi="Times New Roman" w:eastAsia="黑体" w:cs="Times New Roman"/>
          <w:sz w:val="28"/>
        </w:rPr>
      </w:pPr>
      <w:r>
        <w:rPr>
          <w:rFonts w:ascii="Times New Roman" w:hAnsi="Times New Roman" w:eastAsia="黑体" w:cs="Times New Roman"/>
          <w:sz w:val="28"/>
        </w:rPr>
        <w:t>表1-5-1  各乡镇镇区单元总分值与土地级别对照表</w:t>
      </w:r>
    </w:p>
    <w:tbl>
      <w:tblPr>
        <w:tblStyle w:val="38"/>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1984"/>
        <w:gridCol w:w="1984"/>
        <w:gridCol w:w="1984"/>
        <w:gridCol w:w="1984"/>
      </w:tblGrid>
      <w:tr w14:paraId="2956E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0" w:type="auto"/>
            <w:tcBorders>
              <w:bottom w:val="single" w:color="auto" w:sz="4" w:space="0"/>
            </w:tcBorders>
            <w:noWrap w:val="0"/>
            <w:vAlign w:val="center"/>
          </w:tcPr>
          <w:p w14:paraId="154190E7">
            <w:pPr>
              <w:jc w:val="center"/>
              <w:rPr>
                <w:rFonts w:eastAsia="楷体_GB2312"/>
                <w:szCs w:val="21"/>
              </w:rPr>
            </w:pPr>
            <w:r>
              <w:rPr>
                <w:rFonts w:eastAsia="楷体_GB2312"/>
                <w:szCs w:val="21"/>
              </w:rPr>
              <w:t>城镇编号</w:t>
            </w:r>
          </w:p>
        </w:tc>
        <w:tc>
          <w:tcPr>
            <w:tcW w:w="1984" w:type="dxa"/>
            <w:tcBorders>
              <w:bottom w:val="single" w:color="auto" w:sz="4" w:space="0"/>
            </w:tcBorders>
            <w:noWrap w:val="0"/>
            <w:vAlign w:val="center"/>
          </w:tcPr>
          <w:p w14:paraId="324E2C31">
            <w:pPr>
              <w:jc w:val="center"/>
              <w:rPr>
                <w:rFonts w:eastAsia="楷体_GB2312"/>
                <w:szCs w:val="21"/>
              </w:rPr>
            </w:pPr>
            <w:r>
              <w:rPr>
                <w:rFonts w:eastAsia="楷体_GB2312"/>
                <w:szCs w:val="21"/>
              </w:rPr>
              <w:t>城镇名称</w:t>
            </w:r>
          </w:p>
        </w:tc>
        <w:tc>
          <w:tcPr>
            <w:tcW w:w="1984" w:type="dxa"/>
            <w:tcBorders>
              <w:bottom w:val="single" w:color="auto" w:sz="4" w:space="0"/>
            </w:tcBorders>
            <w:noWrap w:val="0"/>
            <w:vAlign w:val="center"/>
          </w:tcPr>
          <w:p w14:paraId="46C1EBF2">
            <w:pPr>
              <w:tabs>
                <w:tab w:val="left" w:pos="720"/>
              </w:tabs>
              <w:jc w:val="center"/>
              <w:rPr>
                <w:rFonts w:eastAsia="楷体_GB2312"/>
                <w:szCs w:val="21"/>
              </w:rPr>
            </w:pPr>
            <w:r>
              <w:rPr>
                <w:rFonts w:eastAsia="楷体_GB2312"/>
                <w:szCs w:val="21"/>
              </w:rPr>
              <w:t>一级地</w:t>
            </w:r>
          </w:p>
        </w:tc>
        <w:tc>
          <w:tcPr>
            <w:tcW w:w="1984" w:type="dxa"/>
            <w:tcBorders>
              <w:bottom w:val="single" w:color="auto" w:sz="4" w:space="0"/>
            </w:tcBorders>
            <w:noWrap w:val="0"/>
            <w:vAlign w:val="center"/>
          </w:tcPr>
          <w:p w14:paraId="288318F4">
            <w:pPr>
              <w:tabs>
                <w:tab w:val="left" w:pos="720"/>
              </w:tabs>
              <w:jc w:val="center"/>
              <w:rPr>
                <w:rFonts w:eastAsia="楷体_GB2312"/>
                <w:szCs w:val="21"/>
              </w:rPr>
            </w:pPr>
            <w:r>
              <w:rPr>
                <w:rFonts w:eastAsia="楷体_GB2312"/>
                <w:szCs w:val="21"/>
              </w:rPr>
              <w:t>二级地</w:t>
            </w:r>
          </w:p>
        </w:tc>
        <w:tc>
          <w:tcPr>
            <w:tcW w:w="1984" w:type="dxa"/>
            <w:tcBorders>
              <w:bottom w:val="single" w:color="auto" w:sz="4" w:space="0"/>
            </w:tcBorders>
            <w:noWrap w:val="0"/>
            <w:vAlign w:val="center"/>
          </w:tcPr>
          <w:p w14:paraId="75B0D938">
            <w:pPr>
              <w:tabs>
                <w:tab w:val="left" w:pos="720"/>
              </w:tabs>
              <w:jc w:val="center"/>
              <w:rPr>
                <w:rFonts w:eastAsia="楷体_GB2312"/>
                <w:szCs w:val="21"/>
              </w:rPr>
            </w:pPr>
            <w:r>
              <w:rPr>
                <w:rFonts w:eastAsia="楷体_GB2312"/>
                <w:szCs w:val="21"/>
              </w:rPr>
              <w:t>三级地</w:t>
            </w:r>
          </w:p>
        </w:tc>
      </w:tr>
      <w:tr w14:paraId="7949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noWrap w:val="0"/>
            <w:vAlign w:val="center"/>
          </w:tcPr>
          <w:p w14:paraId="65DEA30D">
            <w:pPr>
              <w:tabs>
                <w:tab w:val="left" w:pos="0"/>
                <w:tab w:val="left" w:pos="295"/>
              </w:tabs>
              <w:jc w:val="center"/>
              <w:rPr>
                <w:rFonts w:eastAsia="楷体_GB2312"/>
                <w:szCs w:val="21"/>
              </w:rPr>
            </w:pPr>
            <w:r>
              <w:rPr>
                <w:rFonts w:eastAsia="楷体_GB2312"/>
                <w:szCs w:val="21"/>
              </w:rPr>
              <w:t>1</w:t>
            </w:r>
          </w:p>
        </w:tc>
        <w:tc>
          <w:tcPr>
            <w:tcW w:w="1984" w:type="dxa"/>
            <w:noWrap w:val="0"/>
            <w:vAlign w:val="center"/>
          </w:tcPr>
          <w:p w14:paraId="12D511E2">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符离镇</w:t>
            </w:r>
          </w:p>
        </w:tc>
        <w:tc>
          <w:tcPr>
            <w:tcW w:w="1984" w:type="dxa"/>
            <w:noWrap w:val="0"/>
            <w:vAlign w:val="center"/>
          </w:tcPr>
          <w:p w14:paraId="3000EC54">
            <w:pPr>
              <w:jc w:val="center"/>
              <w:rPr>
                <w:rFonts w:eastAsia="楷体_GB2312"/>
                <w:szCs w:val="21"/>
              </w:rPr>
            </w:pPr>
            <w:r>
              <w:rPr>
                <w:rFonts w:eastAsia="楷体_GB2312"/>
                <w:szCs w:val="21"/>
              </w:rPr>
              <w:t>[100，6</w:t>
            </w:r>
            <w:r>
              <w:rPr>
                <w:rFonts w:hint="eastAsia" w:eastAsia="楷体_GB2312"/>
                <w:szCs w:val="21"/>
              </w:rPr>
              <w:t>5</w:t>
            </w:r>
            <w:r>
              <w:rPr>
                <w:rFonts w:eastAsia="楷体_GB2312"/>
                <w:szCs w:val="21"/>
              </w:rPr>
              <w:t>]</w:t>
            </w:r>
          </w:p>
        </w:tc>
        <w:tc>
          <w:tcPr>
            <w:tcW w:w="1984" w:type="dxa"/>
            <w:noWrap w:val="0"/>
            <w:vAlign w:val="center"/>
          </w:tcPr>
          <w:p w14:paraId="76B2B8BE">
            <w:pPr>
              <w:jc w:val="center"/>
              <w:rPr>
                <w:rFonts w:eastAsia="楷体_GB2312"/>
                <w:szCs w:val="21"/>
              </w:rPr>
            </w:pPr>
            <w:r>
              <w:rPr>
                <w:rFonts w:eastAsia="楷体_GB2312"/>
                <w:szCs w:val="21"/>
              </w:rPr>
              <w:t>（6</w:t>
            </w:r>
            <w:r>
              <w:rPr>
                <w:rFonts w:hint="eastAsia" w:eastAsia="楷体_GB2312"/>
                <w:szCs w:val="21"/>
              </w:rPr>
              <w:t>5</w:t>
            </w:r>
            <w:r>
              <w:rPr>
                <w:rFonts w:eastAsia="楷体_GB2312"/>
                <w:szCs w:val="21"/>
              </w:rPr>
              <w:t>，3</w:t>
            </w:r>
            <w:r>
              <w:rPr>
                <w:rFonts w:hint="eastAsia" w:eastAsia="楷体_GB2312"/>
                <w:szCs w:val="21"/>
              </w:rPr>
              <w:t>4</w:t>
            </w:r>
            <w:r>
              <w:rPr>
                <w:rFonts w:eastAsia="楷体_GB2312"/>
                <w:szCs w:val="21"/>
              </w:rPr>
              <w:t>］</w:t>
            </w:r>
          </w:p>
        </w:tc>
        <w:tc>
          <w:tcPr>
            <w:tcW w:w="1984" w:type="dxa"/>
            <w:noWrap w:val="0"/>
            <w:vAlign w:val="center"/>
          </w:tcPr>
          <w:p w14:paraId="7680EB25">
            <w:pPr>
              <w:jc w:val="center"/>
              <w:rPr>
                <w:rFonts w:eastAsia="楷体_GB2312"/>
                <w:szCs w:val="21"/>
              </w:rPr>
            </w:pPr>
            <w:r>
              <w:rPr>
                <w:rFonts w:eastAsia="楷体_GB2312"/>
                <w:szCs w:val="21"/>
              </w:rPr>
              <w:t>（3</w:t>
            </w:r>
            <w:r>
              <w:rPr>
                <w:rFonts w:hint="eastAsia" w:eastAsia="楷体_GB2312"/>
                <w:szCs w:val="21"/>
              </w:rPr>
              <w:t>4</w:t>
            </w:r>
            <w:r>
              <w:rPr>
                <w:rFonts w:eastAsia="楷体_GB2312"/>
                <w:szCs w:val="21"/>
              </w:rPr>
              <w:t>，0］</w:t>
            </w:r>
          </w:p>
        </w:tc>
      </w:tr>
      <w:tr w14:paraId="22850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noWrap w:val="0"/>
            <w:vAlign w:val="center"/>
          </w:tcPr>
          <w:p w14:paraId="42887D31">
            <w:pPr>
              <w:tabs>
                <w:tab w:val="left" w:pos="0"/>
                <w:tab w:val="left" w:pos="295"/>
              </w:tabs>
              <w:jc w:val="center"/>
              <w:rPr>
                <w:rFonts w:eastAsia="楷体_GB2312"/>
                <w:szCs w:val="21"/>
              </w:rPr>
            </w:pPr>
            <w:r>
              <w:rPr>
                <w:rFonts w:eastAsia="楷体_GB2312"/>
                <w:szCs w:val="21"/>
              </w:rPr>
              <w:t>2</w:t>
            </w:r>
          </w:p>
        </w:tc>
        <w:tc>
          <w:tcPr>
            <w:tcW w:w="1984" w:type="dxa"/>
            <w:noWrap w:val="0"/>
            <w:vAlign w:val="center"/>
          </w:tcPr>
          <w:p w14:paraId="260E088B">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朱仙庄镇</w:t>
            </w:r>
          </w:p>
        </w:tc>
        <w:tc>
          <w:tcPr>
            <w:tcW w:w="1984" w:type="dxa"/>
            <w:noWrap w:val="0"/>
            <w:vAlign w:val="center"/>
          </w:tcPr>
          <w:p w14:paraId="22E3B18B">
            <w:pPr>
              <w:jc w:val="center"/>
              <w:rPr>
                <w:rFonts w:eastAsia="楷体_GB2312"/>
                <w:szCs w:val="21"/>
              </w:rPr>
            </w:pPr>
            <w:r>
              <w:rPr>
                <w:rFonts w:eastAsia="楷体_GB2312"/>
                <w:szCs w:val="21"/>
              </w:rPr>
              <w:t>[100，</w:t>
            </w:r>
            <w:r>
              <w:rPr>
                <w:rFonts w:hint="eastAsia" w:eastAsia="楷体_GB2312"/>
                <w:szCs w:val="21"/>
              </w:rPr>
              <w:t>70</w:t>
            </w:r>
            <w:r>
              <w:rPr>
                <w:rFonts w:eastAsia="楷体_GB2312"/>
                <w:szCs w:val="21"/>
              </w:rPr>
              <w:t>]</w:t>
            </w:r>
          </w:p>
        </w:tc>
        <w:tc>
          <w:tcPr>
            <w:tcW w:w="1984" w:type="dxa"/>
            <w:noWrap w:val="0"/>
            <w:vAlign w:val="center"/>
          </w:tcPr>
          <w:p w14:paraId="3C66FC8B">
            <w:pPr>
              <w:jc w:val="center"/>
              <w:rPr>
                <w:rFonts w:eastAsia="楷体_GB2312"/>
                <w:szCs w:val="21"/>
              </w:rPr>
            </w:pPr>
            <w:r>
              <w:rPr>
                <w:rFonts w:eastAsia="楷体_GB2312"/>
                <w:szCs w:val="21"/>
              </w:rPr>
              <w:t>（</w:t>
            </w:r>
            <w:r>
              <w:rPr>
                <w:rFonts w:hint="eastAsia" w:eastAsia="楷体_GB2312"/>
                <w:szCs w:val="21"/>
              </w:rPr>
              <w:t>70</w:t>
            </w:r>
            <w:r>
              <w:rPr>
                <w:rFonts w:eastAsia="楷体_GB2312"/>
                <w:szCs w:val="21"/>
              </w:rPr>
              <w:t>，</w:t>
            </w:r>
            <w:r>
              <w:rPr>
                <w:rFonts w:hint="eastAsia" w:eastAsia="楷体_GB2312"/>
                <w:szCs w:val="21"/>
              </w:rPr>
              <w:t>35</w:t>
            </w:r>
            <w:r>
              <w:rPr>
                <w:rFonts w:eastAsia="楷体_GB2312"/>
                <w:szCs w:val="21"/>
              </w:rPr>
              <w:t>］</w:t>
            </w:r>
          </w:p>
        </w:tc>
        <w:tc>
          <w:tcPr>
            <w:tcW w:w="1984" w:type="dxa"/>
            <w:noWrap w:val="0"/>
            <w:vAlign w:val="center"/>
          </w:tcPr>
          <w:p w14:paraId="447B7D9F">
            <w:pPr>
              <w:jc w:val="center"/>
              <w:rPr>
                <w:rFonts w:eastAsia="楷体_GB2312"/>
                <w:szCs w:val="21"/>
              </w:rPr>
            </w:pPr>
            <w:r>
              <w:rPr>
                <w:rFonts w:eastAsia="楷体_GB2312"/>
                <w:szCs w:val="21"/>
              </w:rPr>
              <w:t>（</w:t>
            </w:r>
            <w:r>
              <w:rPr>
                <w:rFonts w:hint="eastAsia" w:eastAsia="楷体_GB2312"/>
                <w:szCs w:val="21"/>
              </w:rPr>
              <w:t>35</w:t>
            </w:r>
            <w:r>
              <w:rPr>
                <w:rFonts w:eastAsia="楷体_GB2312"/>
                <w:szCs w:val="21"/>
              </w:rPr>
              <w:t>，0］</w:t>
            </w:r>
          </w:p>
        </w:tc>
      </w:tr>
      <w:tr w14:paraId="02E1C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noWrap w:val="0"/>
            <w:vAlign w:val="center"/>
          </w:tcPr>
          <w:p w14:paraId="1E159D0C">
            <w:pPr>
              <w:tabs>
                <w:tab w:val="left" w:pos="0"/>
                <w:tab w:val="left" w:pos="295"/>
              </w:tabs>
              <w:jc w:val="center"/>
              <w:rPr>
                <w:rFonts w:eastAsia="楷体_GB2312"/>
                <w:szCs w:val="21"/>
              </w:rPr>
            </w:pPr>
            <w:r>
              <w:rPr>
                <w:rFonts w:eastAsia="楷体_GB2312"/>
                <w:szCs w:val="21"/>
              </w:rPr>
              <w:t>3</w:t>
            </w:r>
          </w:p>
        </w:tc>
        <w:tc>
          <w:tcPr>
            <w:tcW w:w="1984" w:type="dxa"/>
            <w:noWrap w:val="0"/>
            <w:vAlign w:val="center"/>
          </w:tcPr>
          <w:p w14:paraId="5B91534A">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蕲县镇</w:t>
            </w:r>
          </w:p>
        </w:tc>
        <w:tc>
          <w:tcPr>
            <w:tcW w:w="1984" w:type="dxa"/>
            <w:noWrap w:val="0"/>
            <w:vAlign w:val="center"/>
          </w:tcPr>
          <w:p w14:paraId="084C444C">
            <w:pPr>
              <w:jc w:val="center"/>
              <w:rPr>
                <w:rFonts w:eastAsia="楷体_GB2312"/>
                <w:szCs w:val="21"/>
              </w:rPr>
            </w:pPr>
            <w:r>
              <w:rPr>
                <w:rFonts w:eastAsia="楷体_GB2312"/>
                <w:szCs w:val="21"/>
              </w:rPr>
              <w:t>[100，</w:t>
            </w:r>
            <w:r>
              <w:rPr>
                <w:rFonts w:hint="eastAsia" w:eastAsia="楷体_GB2312"/>
                <w:szCs w:val="21"/>
              </w:rPr>
              <w:t>62</w:t>
            </w:r>
            <w:r>
              <w:rPr>
                <w:rFonts w:eastAsia="楷体_GB2312"/>
                <w:szCs w:val="21"/>
              </w:rPr>
              <w:t>]</w:t>
            </w:r>
          </w:p>
        </w:tc>
        <w:tc>
          <w:tcPr>
            <w:tcW w:w="1984" w:type="dxa"/>
            <w:noWrap w:val="0"/>
            <w:vAlign w:val="center"/>
          </w:tcPr>
          <w:p w14:paraId="17BF6A49">
            <w:pPr>
              <w:jc w:val="center"/>
              <w:rPr>
                <w:rFonts w:eastAsia="楷体_GB2312"/>
                <w:szCs w:val="21"/>
              </w:rPr>
            </w:pPr>
            <w:r>
              <w:rPr>
                <w:rFonts w:eastAsia="楷体_GB2312"/>
                <w:szCs w:val="21"/>
              </w:rPr>
              <w:t>（</w:t>
            </w:r>
            <w:r>
              <w:rPr>
                <w:rFonts w:hint="eastAsia" w:eastAsia="楷体_GB2312"/>
                <w:szCs w:val="21"/>
              </w:rPr>
              <w:t>62</w:t>
            </w:r>
            <w:r>
              <w:rPr>
                <w:rFonts w:eastAsia="楷体_GB2312"/>
                <w:szCs w:val="21"/>
              </w:rPr>
              <w:t>，</w:t>
            </w:r>
            <w:r>
              <w:rPr>
                <w:rFonts w:hint="eastAsia" w:eastAsia="楷体_GB2312"/>
                <w:szCs w:val="21"/>
              </w:rPr>
              <w:t>31</w:t>
            </w:r>
            <w:r>
              <w:rPr>
                <w:rFonts w:eastAsia="楷体_GB2312"/>
                <w:szCs w:val="21"/>
              </w:rPr>
              <w:t>］</w:t>
            </w:r>
          </w:p>
        </w:tc>
        <w:tc>
          <w:tcPr>
            <w:tcW w:w="1984" w:type="dxa"/>
            <w:noWrap w:val="0"/>
            <w:vAlign w:val="center"/>
          </w:tcPr>
          <w:p w14:paraId="0F5D0BE4">
            <w:pPr>
              <w:jc w:val="center"/>
              <w:rPr>
                <w:rFonts w:eastAsia="楷体_GB2312"/>
                <w:szCs w:val="21"/>
              </w:rPr>
            </w:pPr>
            <w:r>
              <w:rPr>
                <w:rFonts w:eastAsia="楷体_GB2312"/>
                <w:szCs w:val="21"/>
              </w:rPr>
              <w:t>（</w:t>
            </w:r>
            <w:r>
              <w:rPr>
                <w:rFonts w:hint="eastAsia" w:eastAsia="楷体_GB2312"/>
                <w:szCs w:val="21"/>
              </w:rPr>
              <w:t>31</w:t>
            </w:r>
            <w:r>
              <w:rPr>
                <w:rFonts w:eastAsia="楷体_GB2312"/>
                <w:szCs w:val="21"/>
              </w:rPr>
              <w:t>，0］</w:t>
            </w:r>
          </w:p>
        </w:tc>
      </w:tr>
      <w:tr w14:paraId="53EAF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noWrap w:val="0"/>
            <w:vAlign w:val="center"/>
          </w:tcPr>
          <w:p w14:paraId="0ADD130E">
            <w:pPr>
              <w:tabs>
                <w:tab w:val="left" w:pos="0"/>
                <w:tab w:val="left" w:pos="295"/>
              </w:tabs>
              <w:jc w:val="center"/>
              <w:rPr>
                <w:rFonts w:eastAsia="楷体_GB2312"/>
                <w:szCs w:val="21"/>
              </w:rPr>
            </w:pPr>
            <w:r>
              <w:rPr>
                <w:rFonts w:eastAsia="楷体_GB2312"/>
                <w:szCs w:val="21"/>
              </w:rPr>
              <w:t>4</w:t>
            </w:r>
          </w:p>
        </w:tc>
        <w:tc>
          <w:tcPr>
            <w:tcW w:w="1984" w:type="dxa"/>
            <w:noWrap w:val="0"/>
            <w:vAlign w:val="center"/>
          </w:tcPr>
          <w:p w14:paraId="6A40F25F">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芦岭镇</w:t>
            </w:r>
          </w:p>
        </w:tc>
        <w:tc>
          <w:tcPr>
            <w:tcW w:w="1984" w:type="dxa"/>
            <w:noWrap w:val="0"/>
            <w:vAlign w:val="center"/>
          </w:tcPr>
          <w:p w14:paraId="6B1B9EFA">
            <w:pPr>
              <w:jc w:val="center"/>
              <w:rPr>
                <w:rFonts w:eastAsia="楷体_GB2312"/>
                <w:szCs w:val="21"/>
              </w:rPr>
            </w:pPr>
            <w:r>
              <w:rPr>
                <w:rFonts w:eastAsia="楷体_GB2312"/>
                <w:szCs w:val="21"/>
              </w:rPr>
              <w:t>[100，</w:t>
            </w:r>
            <w:r>
              <w:rPr>
                <w:rFonts w:hint="eastAsia" w:eastAsia="楷体_GB2312"/>
                <w:szCs w:val="21"/>
              </w:rPr>
              <w:t>71</w:t>
            </w:r>
            <w:r>
              <w:rPr>
                <w:rFonts w:eastAsia="楷体_GB2312"/>
                <w:szCs w:val="21"/>
              </w:rPr>
              <w:t>]</w:t>
            </w:r>
          </w:p>
        </w:tc>
        <w:tc>
          <w:tcPr>
            <w:tcW w:w="1984" w:type="dxa"/>
            <w:noWrap w:val="0"/>
            <w:vAlign w:val="center"/>
          </w:tcPr>
          <w:p w14:paraId="55F60513">
            <w:pPr>
              <w:jc w:val="center"/>
              <w:rPr>
                <w:rFonts w:eastAsia="楷体_GB2312"/>
                <w:szCs w:val="21"/>
              </w:rPr>
            </w:pPr>
            <w:r>
              <w:rPr>
                <w:rFonts w:eastAsia="楷体_GB2312"/>
                <w:szCs w:val="21"/>
              </w:rPr>
              <w:t>（</w:t>
            </w:r>
            <w:r>
              <w:rPr>
                <w:rFonts w:hint="eastAsia" w:eastAsia="楷体_GB2312"/>
                <w:szCs w:val="21"/>
              </w:rPr>
              <w:t>71</w:t>
            </w:r>
            <w:r>
              <w:rPr>
                <w:rFonts w:eastAsia="楷体_GB2312"/>
                <w:szCs w:val="21"/>
              </w:rPr>
              <w:t>，</w:t>
            </w:r>
            <w:r>
              <w:rPr>
                <w:rFonts w:hint="eastAsia" w:eastAsia="楷体_GB2312"/>
                <w:szCs w:val="21"/>
              </w:rPr>
              <w:t>41</w:t>
            </w:r>
            <w:r>
              <w:rPr>
                <w:rFonts w:eastAsia="楷体_GB2312"/>
                <w:szCs w:val="21"/>
              </w:rPr>
              <w:t>］</w:t>
            </w:r>
          </w:p>
        </w:tc>
        <w:tc>
          <w:tcPr>
            <w:tcW w:w="1984" w:type="dxa"/>
            <w:noWrap w:val="0"/>
            <w:vAlign w:val="center"/>
          </w:tcPr>
          <w:p w14:paraId="74349D4F">
            <w:pPr>
              <w:jc w:val="center"/>
              <w:rPr>
                <w:rFonts w:eastAsia="楷体_GB2312"/>
                <w:szCs w:val="21"/>
              </w:rPr>
            </w:pPr>
            <w:r>
              <w:rPr>
                <w:rFonts w:eastAsia="楷体_GB2312"/>
                <w:szCs w:val="21"/>
              </w:rPr>
              <w:t>（</w:t>
            </w:r>
            <w:r>
              <w:rPr>
                <w:rFonts w:hint="eastAsia" w:eastAsia="楷体_GB2312"/>
                <w:szCs w:val="21"/>
              </w:rPr>
              <w:t>41</w:t>
            </w:r>
            <w:r>
              <w:rPr>
                <w:rFonts w:eastAsia="楷体_GB2312"/>
                <w:szCs w:val="21"/>
              </w:rPr>
              <w:t>，0］</w:t>
            </w:r>
          </w:p>
        </w:tc>
      </w:tr>
      <w:tr w14:paraId="0B189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noWrap w:val="0"/>
            <w:vAlign w:val="center"/>
          </w:tcPr>
          <w:p w14:paraId="7DE0A339">
            <w:pPr>
              <w:tabs>
                <w:tab w:val="left" w:pos="0"/>
                <w:tab w:val="left" w:pos="295"/>
              </w:tabs>
              <w:jc w:val="center"/>
              <w:rPr>
                <w:rFonts w:eastAsia="楷体_GB2312"/>
                <w:szCs w:val="21"/>
              </w:rPr>
            </w:pPr>
            <w:r>
              <w:rPr>
                <w:rFonts w:eastAsia="楷体_GB2312"/>
                <w:szCs w:val="21"/>
              </w:rPr>
              <w:t>5</w:t>
            </w:r>
          </w:p>
        </w:tc>
        <w:tc>
          <w:tcPr>
            <w:tcW w:w="1984" w:type="dxa"/>
            <w:noWrap w:val="0"/>
            <w:vAlign w:val="center"/>
          </w:tcPr>
          <w:p w14:paraId="566FDEDF">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大店镇</w:t>
            </w:r>
          </w:p>
        </w:tc>
        <w:tc>
          <w:tcPr>
            <w:tcW w:w="1984" w:type="dxa"/>
            <w:noWrap w:val="0"/>
            <w:vAlign w:val="center"/>
          </w:tcPr>
          <w:p w14:paraId="0C24640D">
            <w:pPr>
              <w:jc w:val="center"/>
              <w:rPr>
                <w:rFonts w:eastAsia="楷体_GB2312"/>
                <w:szCs w:val="21"/>
              </w:rPr>
            </w:pPr>
            <w:r>
              <w:rPr>
                <w:rFonts w:eastAsia="楷体_GB2312"/>
                <w:szCs w:val="21"/>
              </w:rPr>
              <w:t>[100，63]</w:t>
            </w:r>
          </w:p>
        </w:tc>
        <w:tc>
          <w:tcPr>
            <w:tcW w:w="1984" w:type="dxa"/>
            <w:noWrap w:val="0"/>
            <w:vAlign w:val="center"/>
          </w:tcPr>
          <w:p w14:paraId="3DAFA31A">
            <w:pPr>
              <w:jc w:val="center"/>
              <w:rPr>
                <w:rFonts w:eastAsia="楷体_GB2312"/>
                <w:szCs w:val="21"/>
              </w:rPr>
            </w:pPr>
            <w:r>
              <w:rPr>
                <w:rFonts w:eastAsia="楷体_GB2312"/>
                <w:szCs w:val="21"/>
              </w:rPr>
              <w:t>（63，3</w:t>
            </w:r>
            <w:r>
              <w:rPr>
                <w:rFonts w:hint="eastAsia" w:eastAsia="楷体_GB2312"/>
                <w:szCs w:val="21"/>
              </w:rPr>
              <w:t>7</w:t>
            </w:r>
            <w:r>
              <w:rPr>
                <w:rFonts w:eastAsia="楷体_GB2312"/>
                <w:szCs w:val="21"/>
              </w:rPr>
              <w:t>］</w:t>
            </w:r>
          </w:p>
        </w:tc>
        <w:tc>
          <w:tcPr>
            <w:tcW w:w="1984" w:type="dxa"/>
            <w:noWrap w:val="0"/>
            <w:vAlign w:val="center"/>
          </w:tcPr>
          <w:p w14:paraId="0CE5F548">
            <w:pPr>
              <w:jc w:val="center"/>
              <w:rPr>
                <w:rFonts w:eastAsia="楷体_GB2312"/>
                <w:szCs w:val="21"/>
              </w:rPr>
            </w:pPr>
            <w:r>
              <w:rPr>
                <w:rFonts w:eastAsia="楷体_GB2312"/>
                <w:szCs w:val="21"/>
              </w:rPr>
              <w:t>（3</w:t>
            </w:r>
            <w:r>
              <w:rPr>
                <w:rFonts w:hint="eastAsia" w:eastAsia="楷体_GB2312"/>
                <w:szCs w:val="21"/>
              </w:rPr>
              <w:t>7</w:t>
            </w:r>
            <w:r>
              <w:rPr>
                <w:rFonts w:eastAsia="楷体_GB2312"/>
                <w:szCs w:val="21"/>
              </w:rPr>
              <w:t>，0］</w:t>
            </w:r>
          </w:p>
        </w:tc>
      </w:tr>
      <w:tr w14:paraId="1A2D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noWrap w:val="0"/>
            <w:vAlign w:val="center"/>
          </w:tcPr>
          <w:p w14:paraId="24D9A41C">
            <w:pPr>
              <w:tabs>
                <w:tab w:val="left" w:pos="0"/>
                <w:tab w:val="left" w:pos="295"/>
              </w:tabs>
              <w:jc w:val="center"/>
              <w:rPr>
                <w:rFonts w:eastAsia="楷体_GB2312"/>
                <w:szCs w:val="21"/>
              </w:rPr>
            </w:pPr>
            <w:r>
              <w:rPr>
                <w:rFonts w:eastAsia="楷体_GB2312"/>
                <w:szCs w:val="21"/>
              </w:rPr>
              <w:t>6</w:t>
            </w:r>
          </w:p>
        </w:tc>
        <w:tc>
          <w:tcPr>
            <w:tcW w:w="1984" w:type="dxa"/>
            <w:noWrap w:val="0"/>
            <w:vAlign w:val="center"/>
          </w:tcPr>
          <w:p w14:paraId="38C0A364">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栏杆镇</w:t>
            </w:r>
          </w:p>
        </w:tc>
        <w:tc>
          <w:tcPr>
            <w:tcW w:w="1984" w:type="dxa"/>
            <w:noWrap w:val="0"/>
            <w:vAlign w:val="center"/>
          </w:tcPr>
          <w:p w14:paraId="3904A9CC">
            <w:pPr>
              <w:jc w:val="center"/>
              <w:rPr>
                <w:rFonts w:eastAsia="楷体_GB2312"/>
                <w:szCs w:val="21"/>
              </w:rPr>
            </w:pPr>
            <w:r>
              <w:rPr>
                <w:rFonts w:eastAsia="楷体_GB2312"/>
                <w:szCs w:val="21"/>
              </w:rPr>
              <w:t>[100，</w:t>
            </w:r>
            <w:r>
              <w:rPr>
                <w:rFonts w:hint="eastAsia" w:eastAsia="楷体_GB2312"/>
                <w:szCs w:val="21"/>
              </w:rPr>
              <w:t>66</w:t>
            </w:r>
            <w:r>
              <w:rPr>
                <w:rFonts w:eastAsia="楷体_GB2312"/>
                <w:szCs w:val="21"/>
              </w:rPr>
              <w:t>]</w:t>
            </w:r>
          </w:p>
        </w:tc>
        <w:tc>
          <w:tcPr>
            <w:tcW w:w="1984" w:type="dxa"/>
            <w:noWrap w:val="0"/>
            <w:vAlign w:val="center"/>
          </w:tcPr>
          <w:p w14:paraId="34625F02">
            <w:pPr>
              <w:jc w:val="center"/>
              <w:rPr>
                <w:rFonts w:eastAsia="楷体_GB2312"/>
                <w:szCs w:val="21"/>
              </w:rPr>
            </w:pPr>
            <w:r>
              <w:rPr>
                <w:rFonts w:eastAsia="楷体_GB2312"/>
                <w:szCs w:val="21"/>
              </w:rPr>
              <w:t>（</w:t>
            </w:r>
            <w:r>
              <w:rPr>
                <w:rFonts w:hint="eastAsia" w:eastAsia="楷体_GB2312"/>
                <w:szCs w:val="21"/>
              </w:rPr>
              <w:t>66</w:t>
            </w:r>
            <w:r>
              <w:rPr>
                <w:rFonts w:eastAsia="楷体_GB2312"/>
                <w:szCs w:val="21"/>
              </w:rPr>
              <w:t>，3</w:t>
            </w:r>
            <w:r>
              <w:rPr>
                <w:rFonts w:hint="eastAsia" w:eastAsia="楷体_GB2312"/>
                <w:szCs w:val="21"/>
              </w:rPr>
              <w:t>7</w:t>
            </w:r>
            <w:r>
              <w:rPr>
                <w:rFonts w:eastAsia="楷体_GB2312"/>
                <w:szCs w:val="21"/>
              </w:rPr>
              <w:t>］</w:t>
            </w:r>
          </w:p>
        </w:tc>
        <w:tc>
          <w:tcPr>
            <w:tcW w:w="1984" w:type="dxa"/>
            <w:noWrap w:val="0"/>
            <w:vAlign w:val="center"/>
          </w:tcPr>
          <w:p w14:paraId="74EC8B0C">
            <w:pPr>
              <w:jc w:val="center"/>
              <w:rPr>
                <w:rFonts w:eastAsia="楷体_GB2312"/>
                <w:szCs w:val="21"/>
              </w:rPr>
            </w:pPr>
            <w:r>
              <w:rPr>
                <w:rFonts w:eastAsia="楷体_GB2312"/>
                <w:szCs w:val="21"/>
              </w:rPr>
              <w:t>（3</w:t>
            </w:r>
            <w:r>
              <w:rPr>
                <w:rFonts w:hint="eastAsia" w:eastAsia="楷体_GB2312"/>
                <w:szCs w:val="21"/>
              </w:rPr>
              <w:t>7</w:t>
            </w:r>
            <w:r>
              <w:rPr>
                <w:rFonts w:eastAsia="楷体_GB2312"/>
                <w:szCs w:val="21"/>
              </w:rPr>
              <w:t>，0］</w:t>
            </w:r>
          </w:p>
        </w:tc>
      </w:tr>
      <w:tr w14:paraId="64F6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noWrap w:val="0"/>
            <w:vAlign w:val="center"/>
          </w:tcPr>
          <w:p w14:paraId="2570812E">
            <w:pPr>
              <w:tabs>
                <w:tab w:val="left" w:pos="0"/>
                <w:tab w:val="left" w:pos="295"/>
              </w:tabs>
              <w:jc w:val="center"/>
              <w:rPr>
                <w:rFonts w:eastAsia="楷体_GB2312"/>
                <w:szCs w:val="21"/>
              </w:rPr>
            </w:pPr>
            <w:r>
              <w:rPr>
                <w:rFonts w:eastAsia="楷体_GB2312"/>
                <w:szCs w:val="21"/>
              </w:rPr>
              <w:t>7</w:t>
            </w:r>
          </w:p>
        </w:tc>
        <w:tc>
          <w:tcPr>
            <w:tcW w:w="1984" w:type="dxa"/>
            <w:noWrap w:val="0"/>
            <w:vAlign w:val="center"/>
          </w:tcPr>
          <w:p w14:paraId="08718C88">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时村镇</w:t>
            </w:r>
          </w:p>
        </w:tc>
        <w:tc>
          <w:tcPr>
            <w:tcW w:w="1984" w:type="dxa"/>
            <w:noWrap w:val="0"/>
            <w:vAlign w:val="center"/>
          </w:tcPr>
          <w:p w14:paraId="48DD54A5">
            <w:pPr>
              <w:jc w:val="center"/>
              <w:rPr>
                <w:rFonts w:eastAsia="楷体_GB2312"/>
                <w:szCs w:val="21"/>
              </w:rPr>
            </w:pPr>
            <w:r>
              <w:rPr>
                <w:rFonts w:eastAsia="楷体_GB2312"/>
                <w:szCs w:val="21"/>
              </w:rPr>
              <w:t>[100，</w:t>
            </w:r>
            <w:r>
              <w:rPr>
                <w:rFonts w:hint="eastAsia" w:eastAsia="楷体_GB2312"/>
                <w:szCs w:val="21"/>
              </w:rPr>
              <w:t>66</w:t>
            </w:r>
            <w:r>
              <w:rPr>
                <w:rFonts w:eastAsia="楷体_GB2312"/>
                <w:szCs w:val="21"/>
              </w:rPr>
              <w:t>]</w:t>
            </w:r>
          </w:p>
        </w:tc>
        <w:tc>
          <w:tcPr>
            <w:tcW w:w="1984" w:type="dxa"/>
            <w:noWrap w:val="0"/>
            <w:vAlign w:val="center"/>
          </w:tcPr>
          <w:p w14:paraId="24FC2BE8">
            <w:pPr>
              <w:jc w:val="center"/>
              <w:rPr>
                <w:rFonts w:eastAsia="楷体_GB2312"/>
                <w:szCs w:val="21"/>
              </w:rPr>
            </w:pPr>
            <w:r>
              <w:rPr>
                <w:rFonts w:eastAsia="楷体_GB2312"/>
                <w:szCs w:val="21"/>
              </w:rPr>
              <w:t>（</w:t>
            </w:r>
            <w:r>
              <w:rPr>
                <w:rFonts w:hint="eastAsia" w:eastAsia="楷体_GB2312"/>
                <w:szCs w:val="21"/>
              </w:rPr>
              <w:t>66</w:t>
            </w:r>
            <w:r>
              <w:rPr>
                <w:rFonts w:eastAsia="楷体_GB2312"/>
                <w:szCs w:val="21"/>
              </w:rPr>
              <w:t>，39］</w:t>
            </w:r>
          </w:p>
        </w:tc>
        <w:tc>
          <w:tcPr>
            <w:tcW w:w="1984" w:type="dxa"/>
            <w:noWrap w:val="0"/>
            <w:vAlign w:val="center"/>
          </w:tcPr>
          <w:p w14:paraId="5E08EF54">
            <w:pPr>
              <w:jc w:val="center"/>
              <w:rPr>
                <w:rFonts w:eastAsia="楷体_GB2312"/>
                <w:szCs w:val="21"/>
              </w:rPr>
            </w:pPr>
            <w:r>
              <w:rPr>
                <w:rFonts w:eastAsia="楷体_GB2312"/>
                <w:szCs w:val="21"/>
              </w:rPr>
              <w:t>（39，0］</w:t>
            </w:r>
          </w:p>
        </w:tc>
      </w:tr>
      <w:tr w14:paraId="63B2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noWrap w:val="0"/>
            <w:vAlign w:val="center"/>
          </w:tcPr>
          <w:p w14:paraId="7A9D8363">
            <w:pPr>
              <w:tabs>
                <w:tab w:val="left" w:pos="0"/>
                <w:tab w:val="left" w:pos="295"/>
              </w:tabs>
              <w:jc w:val="center"/>
              <w:rPr>
                <w:rFonts w:eastAsia="楷体_GB2312"/>
                <w:szCs w:val="21"/>
              </w:rPr>
            </w:pPr>
            <w:r>
              <w:rPr>
                <w:rFonts w:eastAsia="楷体_GB2312"/>
                <w:szCs w:val="21"/>
              </w:rPr>
              <w:t>8</w:t>
            </w:r>
          </w:p>
        </w:tc>
        <w:tc>
          <w:tcPr>
            <w:tcW w:w="1984" w:type="dxa"/>
            <w:noWrap w:val="0"/>
            <w:vAlign w:val="center"/>
          </w:tcPr>
          <w:p w14:paraId="0729FDFC">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夹沟镇</w:t>
            </w:r>
          </w:p>
        </w:tc>
        <w:tc>
          <w:tcPr>
            <w:tcW w:w="1984" w:type="dxa"/>
            <w:noWrap w:val="0"/>
            <w:vAlign w:val="center"/>
          </w:tcPr>
          <w:p w14:paraId="30CB7E56">
            <w:pPr>
              <w:jc w:val="center"/>
              <w:rPr>
                <w:rFonts w:eastAsia="楷体_GB2312"/>
                <w:szCs w:val="21"/>
              </w:rPr>
            </w:pPr>
            <w:r>
              <w:rPr>
                <w:rFonts w:eastAsia="楷体_GB2312"/>
                <w:szCs w:val="21"/>
              </w:rPr>
              <w:t>[100，6</w:t>
            </w:r>
            <w:r>
              <w:rPr>
                <w:rFonts w:hint="eastAsia" w:eastAsia="楷体_GB2312"/>
                <w:szCs w:val="21"/>
              </w:rPr>
              <w:t>4</w:t>
            </w:r>
            <w:r>
              <w:rPr>
                <w:rFonts w:eastAsia="楷体_GB2312"/>
                <w:szCs w:val="21"/>
              </w:rPr>
              <w:t>]</w:t>
            </w:r>
          </w:p>
        </w:tc>
        <w:tc>
          <w:tcPr>
            <w:tcW w:w="1984" w:type="dxa"/>
            <w:noWrap w:val="0"/>
            <w:vAlign w:val="center"/>
          </w:tcPr>
          <w:p w14:paraId="161E7554">
            <w:pPr>
              <w:jc w:val="center"/>
              <w:rPr>
                <w:rFonts w:eastAsia="楷体_GB2312"/>
                <w:szCs w:val="21"/>
              </w:rPr>
            </w:pPr>
            <w:r>
              <w:rPr>
                <w:rFonts w:eastAsia="楷体_GB2312"/>
                <w:szCs w:val="21"/>
              </w:rPr>
              <w:t>（6</w:t>
            </w:r>
            <w:r>
              <w:rPr>
                <w:rFonts w:hint="eastAsia" w:eastAsia="楷体_GB2312"/>
                <w:szCs w:val="21"/>
              </w:rPr>
              <w:t>4</w:t>
            </w:r>
            <w:r>
              <w:rPr>
                <w:rFonts w:eastAsia="楷体_GB2312"/>
                <w:szCs w:val="21"/>
              </w:rPr>
              <w:t>，</w:t>
            </w:r>
            <w:r>
              <w:rPr>
                <w:rFonts w:hint="eastAsia" w:eastAsia="楷体_GB2312"/>
                <w:szCs w:val="21"/>
              </w:rPr>
              <w:t>41</w:t>
            </w:r>
            <w:r>
              <w:rPr>
                <w:rFonts w:eastAsia="楷体_GB2312"/>
                <w:szCs w:val="21"/>
              </w:rPr>
              <w:t>］</w:t>
            </w:r>
          </w:p>
        </w:tc>
        <w:tc>
          <w:tcPr>
            <w:tcW w:w="1984" w:type="dxa"/>
            <w:noWrap w:val="0"/>
            <w:vAlign w:val="center"/>
          </w:tcPr>
          <w:p w14:paraId="241742B8">
            <w:pPr>
              <w:jc w:val="center"/>
              <w:rPr>
                <w:rFonts w:eastAsia="楷体_GB2312"/>
                <w:szCs w:val="21"/>
              </w:rPr>
            </w:pPr>
            <w:r>
              <w:rPr>
                <w:rFonts w:eastAsia="楷体_GB2312"/>
                <w:szCs w:val="21"/>
              </w:rPr>
              <w:t>（</w:t>
            </w:r>
            <w:r>
              <w:rPr>
                <w:rFonts w:hint="eastAsia" w:eastAsia="楷体_GB2312"/>
                <w:szCs w:val="21"/>
              </w:rPr>
              <w:t>41</w:t>
            </w:r>
            <w:r>
              <w:rPr>
                <w:rFonts w:eastAsia="楷体_GB2312"/>
                <w:szCs w:val="21"/>
              </w:rPr>
              <w:t>，0］</w:t>
            </w:r>
          </w:p>
        </w:tc>
      </w:tr>
      <w:tr w14:paraId="1166E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noWrap w:val="0"/>
            <w:vAlign w:val="center"/>
          </w:tcPr>
          <w:p w14:paraId="21EAEF5D">
            <w:pPr>
              <w:tabs>
                <w:tab w:val="left" w:pos="0"/>
                <w:tab w:val="left" w:pos="295"/>
              </w:tabs>
              <w:jc w:val="center"/>
              <w:rPr>
                <w:rFonts w:eastAsia="楷体_GB2312"/>
                <w:szCs w:val="21"/>
              </w:rPr>
            </w:pPr>
            <w:r>
              <w:rPr>
                <w:rFonts w:eastAsia="楷体_GB2312"/>
                <w:szCs w:val="21"/>
              </w:rPr>
              <w:t>9</w:t>
            </w:r>
          </w:p>
        </w:tc>
        <w:tc>
          <w:tcPr>
            <w:tcW w:w="1984" w:type="dxa"/>
            <w:noWrap w:val="0"/>
            <w:vAlign w:val="center"/>
          </w:tcPr>
          <w:p w14:paraId="64053C4F">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西二铺乡</w:t>
            </w:r>
          </w:p>
        </w:tc>
        <w:tc>
          <w:tcPr>
            <w:tcW w:w="1984" w:type="dxa"/>
            <w:noWrap w:val="0"/>
            <w:vAlign w:val="center"/>
          </w:tcPr>
          <w:p w14:paraId="7773512E">
            <w:pPr>
              <w:jc w:val="center"/>
              <w:rPr>
                <w:rFonts w:eastAsia="楷体_GB2312"/>
                <w:szCs w:val="21"/>
              </w:rPr>
            </w:pPr>
            <w:r>
              <w:rPr>
                <w:rFonts w:eastAsia="楷体_GB2312"/>
                <w:szCs w:val="21"/>
              </w:rPr>
              <w:t>[100，</w:t>
            </w:r>
            <w:r>
              <w:rPr>
                <w:rFonts w:hint="eastAsia" w:eastAsia="楷体_GB2312"/>
                <w:szCs w:val="21"/>
              </w:rPr>
              <w:t>68</w:t>
            </w:r>
            <w:r>
              <w:rPr>
                <w:rFonts w:eastAsia="楷体_GB2312"/>
                <w:szCs w:val="21"/>
              </w:rPr>
              <w:t>]</w:t>
            </w:r>
          </w:p>
        </w:tc>
        <w:tc>
          <w:tcPr>
            <w:tcW w:w="1984" w:type="dxa"/>
            <w:noWrap w:val="0"/>
            <w:vAlign w:val="center"/>
          </w:tcPr>
          <w:p w14:paraId="6E5A17FD">
            <w:pPr>
              <w:jc w:val="center"/>
              <w:rPr>
                <w:rFonts w:eastAsia="楷体_GB2312"/>
                <w:szCs w:val="21"/>
              </w:rPr>
            </w:pPr>
            <w:r>
              <w:rPr>
                <w:rFonts w:eastAsia="楷体_GB2312"/>
                <w:szCs w:val="21"/>
              </w:rPr>
              <w:t>（6</w:t>
            </w:r>
            <w:r>
              <w:rPr>
                <w:rFonts w:hint="eastAsia" w:eastAsia="楷体_GB2312"/>
                <w:szCs w:val="21"/>
              </w:rPr>
              <w:t>8</w:t>
            </w:r>
            <w:r>
              <w:rPr>
                <w:rFonts w:eastAsia="楷体_GB2312"/>
                <w:szCs w:val="21"/>
              </w:rPr>
              <w:t>，3</w:t>
            </w:r>
            <w:r>
              <w:rPr>
                <w:rFonts w:hint="eastAsia" w:eastAsia="楷体_GB2312"/>
                <w:szCs w:val="21"/>
              </w:rPr>
              <w:t>8</w:t>
            </w:r>
            <w:r>
              <w:rPr>
                <w:rFonts w:eastAsia="楷体_GB2312"/>
                <w:szCs w:val="21"/>
              </w:rPr>
              <w:t>］</w:t>
            </w:r>
          </w:p>
        </w:tc>
        <w:tc>
          <w:tcPr>
            <w:tcW w:w="1984" w:type="dxa"/>
            <w:noWrap w:val="0"/>
            <w:vAlign w:val="center"/>
          </w:tcPr>
          <w:p w14:paraId="5B3C878F">
            <w:pPr>
              <w:jc w:val="center"/>
              <w:rPr>
                <w:rFonts w:eastAsia="楷体_GB2312"/>
                <w:szCs w:val="21"/>
              </w:rPr>
            </w:pPr>
            <w:r>
              <w:rPr>
                <w:rFonts w:eastAsia="楷体_GB2312"/>
                <w:szCs w:val="21"/>
              </w:rPr>
              <w:t>（3</w:t>
            </w:r>
            <w:r>
              <w:rPr>
                <w:rFonts w:hint="eastAsia" w:eastAsia="楷体_GB2312"/>
                <w:szCs w:val="21"/>
              </w:rPr>
              <w:t>8</w:t>
            </w:r>
            <w:r>
              <w:rPr>
                <w:rFonts w:eastAsia="楷体_GB2312"/>
                <w:szCs w:val="21"/>
              </w:rPr>
              <w:t>，0］</w:t>
            </w:r>
          </w:p>
        </w:tc>
      </w:tr>
      <w:tr w14:paraId="09470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noWrap w:val="0"/>
            <w:vAlign w:val="center"/>
          </w:tcPr>
          <w:p w14:paraId="6D46F75C">
            <w:pPr>
              <w:tabs>
                <w:tab w:val="left" w:pos="0"/>
                <w:tab w:val="left" w:pos="295"/>
              </w:tabs>
              <w:jc w:val="center"/>
              <w:rPr>
                <w:rFonts w:eastAsia="楷体_GB2312"/>
                <w:szCs w:val="21"/>
              </w:rPr>
            </w:pPr>
            <w:r>
              <w:rPr>
                <w:rFonts w:eastAsia="楷体_GB2312"/>
                <w:szCs w:val="21"/>
              </w:rPr>
              <w:t>10</w:t>
            </w:r>
          </w:p>
        </w:tc>
        <w:tc>
          <w:tcPr>
            <w:tcW w:w="1984" w:type="dxa"/>
            <w:noWrap w:val="0"/>
            <w:vAlign w:val="center"/>
          </w:tcPr>
          <w:p w14:paraId="6D338C3F">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桃园镇</w:t>
            </w:r>
          </w:p>
        </w:tc>
        <w:tc>
          <w:tcPr>
            <w:tcW w:w="1984" w:type="dxa"/>
            <w:noWrap w:val="0"/>
            <w:vAlign w:val="center"/>
          </w:tcPr>
          <w:p w14:paraId="2D986AD8">
            <w:pPr>
              <w:jc w:val="center"/>
              <w:rPr>
                <w:rFonts w:eastAsia="楷体_GB2312"/>
                <w:szCs w:val="21"/>
              </w:rPr>
            </w:pPr>
            <w:r>
              <w:rPr>
                <w:rFonts w:eastAsia="楷体_GB2312"/>
                <w:szCs w:val="21"/>
              </w:rPr>
              <w:t>[100，</w:t>
            </w:r>
            <w:r>
              <w:rPr>
                <w:rFonts w:hint="eastAsia" w:eastAsia="楷体_GB2312"/>
                <w:szCs w:val="21"/>
              </w:rPr>
              <w:t>59</w:t>
            </w:r>
            <w:r>
              <w:rPr>
                <w:rFonts w:eastAsia="楷体_GB2312"/>
                <w:szCs w:val="21"/>
              </w:rPr>
              <w:t>]</w:t>
            </w:r>
          </w:p>
        </w:tc>
        <w:tc>
          <w:tcPr>
            <w:tcW w:w="1984" w:type="dxa"/>
            <w:noWrap w:val="0"/>
            <w:vAlign w:val="center"/>
          </w:tcPr>
          <w:p w14:paraId="57DD9D18">
            <w:pPr>
              <w:jc w:val="center"/>
              <w:rPr>
                <w:rFonts w:eastAsia="楷体_GB2312"/>
                <w:szCs w:val="21"/>
              </w:rPr>
            </w:pPr>
            <w:r>
              <w:rPr>
                <w:rFonts w:eastAsia="楷体_GB2312"/>
                <w:szCs w:val="21"/>
              </w:rPr>
              <w:t>（</w:t>
            </w:r>
            <w:r>
              <w:rPr>
                <w:rFonts w:hint="eastAsia" w:eastAsia="楷体_GB2312"/>
                <w:szCs w:val="21"/>
              </w:rPr>
              <w:t>59</w:t>
            </w:r>
            <w:r>
              <w:rPr>
                <w:rFonts w:eastAsia="楷体_GB2312"/>
                <w:szCs w:val="21"/>
              </w:rPr>
              <w:t>，3</w:t>
            </w:r>
            <w:r>
              <w:rPr>
                <w:rFonts w:hint="eastAsia" w:eastAsia="楷体_GB2312"/>
                <w:szCs w:val="21"/>
              </w:rPr>
              <w:t>2</w:t>
            </w:r>
            <w:r>
              <w:rPr>
                <w:rFonts w:eastAsia="楷体_GB2312"/>
                <w:szCs w:val="21"/>
              </w:rPr>
              <w:t>］</w:t>
            </w:r>
          </w:p>
        </w:tc>
        <w:tc>
          <w:tcPr>
            <w:tcW w:w="1984" w:type="dxa"/>
            <w:noWrap w:val="0"/>
            <w:vAlign w:val="center"/>
          </w:tcPr>
          <w:p w14:paraId="6CEA80AC">
            <w:pPr>
              <w:jc w:val="center"/>
              <w:rPr>
                <w:rFonts w:eastAsia="楷体_GB2312"/>
                <w:szCs w:val="21"/>
              </w:rPr>
            </w:pPr>
            <w:r>
              <w:rPr>
                <w:rFonts w:eastAsia="楷体_GB2312"/>
                <w:szCs w:val="21"/>
              </w:rPr>
              <w:t>（3</w:t>
            </w:r>
            <w:r>
              <w:rPr>
                <w:rFonts w:hint="eastAsia" w:eastAsia="楷体_GB2312"/>
                <w:szCs w:val="21"/>
              </w:rPr>
              <w:t>2</w:t>
            </w:r>
            <w:r>
              <w:rPr>
                <w:rFonts w:eastAsia="楷体_GB2312"/>
                <w:szCs w:val="21"/>
              </w:rPr>
              <w:t>，0］</w:t>
            </w:r>
          </w:p>
        </w:tc>
      </w:tr>
      <w:tr w14:paraId="2124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noWrap w:val="0"/>
            <w:vAlign w:val="center"/>
          </w:tcPr>
          <w:p w14:paraId="66D8DAB5">
            <w:pPr>
              <w:tabs>
                <w:tab w:val="left" w:pos="0"/>
                <w:tab w:val="left" w:pos="295"/>
              </w:tabs>
              <w:jc w:val="center"/>
              <w:rPr>
                <w:rFonts w:eastAsia="楷体_GB2312"/>
                <w:szCs w:val="21"/>
              </w:rPr>
            </w:pPr>
            <w:r>
              <w:rPr>
                <w:rFonts w:hint="eastAsia" w:eastAsia="楷体_GB2312"/>
                <w:szCs w:val="21"/>
              </w:rPr>
              <w:t>11</w:t>
            </w:r>
          </w:p>
        </w:tc>
        <w:tc>
          <w:tcPr>
            <w:tcW w:w="1984" w:type="dxa"/>
            <w:noWrap w:val="0"/>
            <w:vAlign w:val="center"/>
          </w:tcPr>
          <w:p w14:paraId="4A0D56FF">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曹村镇</w:t>
            </w:r>
          </w:p>
        </w:tc>
        <w:tc>
          <w:tcPr>
            <w:tcW w:w="1984" w:type="dxa"/>
            <w:noWrap w:val="0"/>
            <w:vAlign w:val="center"/>
          </w:tcPr>
          <w:p w14:paraId="68B101E1">
            <w:pPr>
              <w:jc w:val="center"/>
              <w:rPr>
                <w:rFonts w:eastAsia="楷体_GB2312"/>
                <w:szCs w:val="21"/>
              </w:rPr>
            </w:pPr>
            <w:r>
              <w:rPr>
                <w:rFonts w:eastAsia="楷体_GB2312"/>
                <w:szCs w:val="21"/>
              </w:rPr>
              <w:t>[100，</w:t>
            </w:r>
            <w:r>
              <w:rPr>
                <w:rFonts w:hint="eastAsia" w:eastAsia="楷体_GB2312"/>
                <w:szCs w:val="21"/>
              </w:rPr>
              <w:t>77</w:t>
            </w:r>
            <w:r>
              <w:rPr>
                <w:rFonts w:eastAsia="楷体_GB2312"/>
                <w:szCs w:val="21"/>
              </w:rPr>
              <w:t>]</w:t>
            </w:r>
          </w:p>
        </w:tc>
        <w:tc>
          <w:tcPr>
            <w:tcW w:w="1984" w:type="dxa"/>
            <w:noWrap w:val="0"/>
            <w:vAlign w:val="center"/>
          </w:tcPr>
          <w:p w14:paraId="67BCE2B3">
            <w:pPr>
              <w:jc w:val="center"/>
              <w:rPr>
                <w:rFonts w:eastAsia="楷体_GB2312"/>
                <w:szCs w:val="21"/>
              </w:rPr>
            </w:pPr>
            <w:r>
              <w:rPr>
                <w:rFonts w:eastAsia="楷体_GB2312"/>
                <w:szCs w:val="21"/>
              </w:rPr>
              <w:t>（</w:t>
            </w:r>
            <w:r>
              <w:rPr>
                <w:rFonts w:hint="eastAsia" w:eastAsia="楷体_GB2312"/>
                <w:szCs w:val="21"/>
              </w:rPr>
              <w:t>77</w:t>
            </w:r>
            <w:r>
              <w:rPr>
                <w:rFonts w:eastAsia="楷体_GB2312"/>
                <w:szCs w:val="21"/>
              </w:rPr>
              <w:t>，</w:t>
            </w:r>
            <w:r>
              <w:rPr>
                <w:rFonts w:hint="eastAsia" w:eastAsia="楷体_GB2312"/>
                <w:szCs w:val="21"/>
              </w:rPr>
              <w:t>40</w:t>
            </w:r>
            <w:r>
              <w:rPr>
                <w:rFonts w:eastAsia="楷体_GB2312"/>
                <w:szCs w:val="21"/>
              </w:rPr>
              <w:t>］</w:t>
            </w:r>
          </w:p>
        </w:tc>
        <w:tc>
          <w:tcPr>
            <w:tcW w:w="1984" w:type="dxa"/>
            <w:noWrap w:val="0"/>
            <w:vAlign w:val="center"/>
          </w:tcPr>
          <w:p w14:paraId="70D361A4">
            <w:pPr>
              <w:jc w:val="center"/>
              <w:rPr>
                <w:rFonts w:eastAsia="楷体_GB2312"/>
                <w:szCs w:val="21"/>
              </w:rPr>
            </w:pPr>
            <w:r>
              <w:rPr>
                <w:rFonts w:eastAsia="楷体_GB2312"/>
                <w:szCs w:val="21"/>
              </w:rPr>
              <w:t>（</w:t>
            </w:r>
            <w:r>
              <w:rPr>
                <w:rFonts w:hint="eastAsia" w:eastAsia="楷体_GB2312"/>
                <w:szCs w:val="21"/>
              </w:rPr>
              <w:t>40</w:t>
            </w:r>
            <w:r>
              <w:rPr>
                <w:rFonts w:eastAsia="楷体_GB2312"/>
                <w:szCs w:val="21"/>
              </w:rPr>
              <w:t>，0］</w:t>
            </w:r>
          </w:p>
        </w:tc>
      </w:tr>
      <w:tr w14:paraId="5D77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noWrap w:val="0"/>
            <w:vAlign w:val="center"/>
          </w:tcPr>
          <w:p w14:paraId="6BD98DD4">
            <w:pPr>
              <w:tabs>
                <w:tab w:val="left" w:pos="0"/>
                <w:tab w:val="left" w:pos="295"/>
              </w:tabs>
              <w:jc w:val="center"/>
              <w:rPr>
                <w:rFonts w:eastAsia="楷体_GB2312"/>
                <w:szCs w:val="21"/>
              </w:rPr>
            </w:pPr>
            <w:r>
              <w:rPr>
                <w:rFonts w:hint="eastAsia" w:eastAsia="楷体_GB2312"/>
                <w:szCs w:val="21"/>
              </w:rPr>
              <w:t>12</w:t>
            </w:r>
          </w:p>
        </w:tc>
        <w:tc>
          <w:tcPr>
            <w:tcW w:w="1984" w:type="dxa"/>
            <w:noWrap w:val="0"/>
            <w:vAlign w:val="center"/>
          </w:tcPr>
          <w:p w14:paraId="50438AE6">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大营镇</w:t>
            </w:r>
          </w:p>
        </w:tc>
        <w:tc>
          <w:tcPr>
            <w:tcW w:w="1984" w:type="dxa"/>
            <w:noWrap w:val="0"/>
            <w:vAlign w:val="center"/>
          </w:tcPr>
          <w:p w14:paraId="4FA0B278">
            <w:pPr>
              <w:jc w:val="center"/>
              <w:rPr>
                <w:rFonts w:eastAsia="楷体_GB2312"/>
                <w:szCs w:val="21"/>
              </w:rPr>
            </w:pPr>
            <w:r>
              <w:rPr>
                <w:rFonts w:eastAsia="楷体_GB2312"/>
                <w:szCs w:val="21"/>
              </w:rPr>
              <w:t>[100，</w:t>
            </w:r>
            <w:r>
              <w:rPr>
                <w:rFonts w:hint="eastAsia" w:eastAsia="楷体_GB2312"/>
                <w:szCs w:val="21"/>
              </w:rPr>
              <w:t>75</w:t>
            </w:r>
            <w:r>
              <w:rPr>
                <w:rFonts w:eastAsia="楷体_GB2312"/>
                <w:szCs w:val="21"/>
              </w:rPr>
              <w:t>]</w:t>
            </w:r>
          </w:p>
        </w:tc>
        <w:tc>
          <w:tcPr>
            <w:tcW w:w="1984" w:type="dxa"/>
            <w:noWrap w:val="0"/>
            <w:vAlign w:val="center"/>
          </w:tcPr>
          <w:p w14:paraId="135530CD">
            <w:pPr>
              <w:jc w:val="center"/>
              <w:rPr>
                <w:rFonts w:eastAsia="楷体_GB2312"/>
                <w:szCs w:val="21"/>
              </w:rPr>
            </w:pPr>
            <w:r>
              <w:rPr>
                <w:rFonts w:eastAsia="楷体_GB2312"/>
                <w:szCs w:val="21"/>
              </w:rPr>
              <w:t>（</w:t>
            </w:r>
            <w:r>
              <w:rPr>
                <w:rFonts w:hint="eastAsia" w:eastAsia="楷体_GB2312"/>
                <w:szCs w:val="21"/>
              </w:rPr>
              <w:t>75</w:t>
            </w:r>
            <w:r>
              <w:rPr>
                <w:rFonts w:eastAsia="楷体_GB2312"/>
                <w:szCs w:val="21"/>
              </w:rPr>
              <w:t>，3</w:t>
            </w:r>
            <w:r>
              <w:rPr>
                <w:rFonts w:hint="eastAsia" w:eastAsia="楷体_GB2312"/>
                <w:szCs w:val="21"/>
              </w:rPr>
              <w:t>8</w:t>
            </w:r>
            <w:r>
              <w:rPr>
                <w:rFonts w:eastAsia="楷体_GB2312"/>
                <w:szCs w:val="21"/>
              </w:rPr>
              <w:t>］</w:t>
            </w:r>
          </w:p>
        </w:tc>
        <w:tc>
          <w:tcPr>
            <w:tcW w:w="1984" w:type="dxa"/>
            <w:noWrap w:val="0"/>
            <w:vAlign w:val="center"/>
          </w:tcPr>
          <w:p w14:paraId="590CF908">
            <w:pPr>
              <w:jc w:val="center"/>
              <w:rPr>
                <w:rFonts w:eastAsia="楷体_GB2312"/>
                <w:szCs w:val="21"/>
              </w:rPr>
            </w:pPr>
            <w:r>
              <w:rPr>
                <w:rFonts w:eastAsia="楷体_GB2312"/>
                <w:szCs w:val="21"/>
              </w:rPr>
              <w:t>（3</w:t>
            </w:r>
            <w:r>
              <w:rPr>
                <w:rFonts w:hint="eastAsia" w:eastAsia="楷体_GB2312"/>
                <w:szCs w:val="21"/>
              </w:rPr>
              <w:t>8</w:t>
            </w:r>
            <w:r>
              <w:rPr>
                <w:rFonts w:eastAsia="楷体_GB2312"/>
                <w:szCs w:val="21"/>
              </w:rPr>
              <w:t>，0］</w:t>
            </w:r>
          </w:p>
        </w:tc>
      </w:tr>
      <w:tr w14:paraId="4E87B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noWrap w:val="0"/>
            <w:vAlign w:val="center"/>
          </w:tcPr>
          <w:p w14:paraId="2B839667">
            <w:pPr>
              <w:tabs>
                <w:tab w:val="left" w:pos="0"/>
                <w:tab w:val="left" w:pos="295"/>
              </w:tabs>
              <w:jc w:val="center"/>
              <w:rPr>
                <w:rFonts w:eastAsia="楷体_GB2312"/>
                <w:szCs w:val="21"/>
              </w:rPr>
            </w:pPr>
            <w:r>
              <w:rPr>
                <w:rFonts w:hint="eastAsia" w:eastAsia="楷体_GB2312"/>
                <w:szCs w:val="21"/>
              </w:rPr>
              <w:t>13</w:t>
            </w:r>
          </w:p>
        </w:tc>
        <w:tc>
          <w:tcPr>
            <w:tcW w:w="1984" w:type="dxa"/>
            <w:noWrap w:val="0"/>
            <w:vAlign w:val="center"/>
          </w:tcPr>
          <w:p w14:paraId="5D1CAA41">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褚兰镇</w:t>
            </w:r>
          </w:p>
        </w:tc>
        <w:tc>
          <w:tcPr>
            <w:tcW w:w="1984" w:type="dxa"/>
            <w:noWrap w:val="0"/>
            <w:vAlign w:val="center"/>
          </w:tcPr>
          <w:p w14:paraId="27E2F7BF">
            <w:pPr>
              <w:jc w:val="center"/>
              <w:rPr>
                <w:rFonts w:eastAsia="楷体_GB2312"/>
                <w:szCs w:val="21"/>
              </w:rPr>
            </w:pPr>
            <w:r>
              <w:rPr>
                <w:rFonts w:eastAsia="楷体_GB2312"/>
                <w:szCs w:val="21"/>
              </w:rPr>
              <w:t>[100，</w:t>
            </w:r>
            <w:r>
              <w:rPr>
                <w:rFonts w:hint="eastAsia" w:eastAsia="楷体_GB2312"/>
                <w:szCs w:val="21"/>
              </w:rPr>
              <w:t>74</w:t>
            </w:r>
            <w:r>
              <w:rPr>
                <w:rFonts w:eastAsia="楷体_GB2312"/>
                <w:szCs w:val="21"/>
              </w:rPr>
              <w:t>]</w:t>
            </w:r>
          </w:p>
        </w:tc>
        <w:tc>
          <w:tcPr>
            <w:tcW w:w="1984" w:type="dxa"/>
            <w:noWrap w:val="0"/>
            <w:vAlign w:val="center"/>
          </w:tcPr>
          <w:p w14:paraId="0EF1903A">
            <w:pPr>
              <w:jc w:val="center"/>
              <w:rPr>
                <w:rFonts w:eastAsia="楷体_GB2312"/>
                <w:szCs w:val="21"/>
              </w:rPr>
            </w:pPr>
            <w:r>
              <w:rPr>
                <w:rFonts w:eastAsia="楷体_GB2312"/>
                <w:szCs w:val="21"/>
              </w:rPr>
              <w:t>（</w:t>
            </w:r>
            <w:r>
              <w:rPr>
                <w:rFonts w:hint="eastAsia" w:eastAsia="楷体_GB2312"/>
                <w:szCs w:val="21"/>
              </w:rPr>
              <w:t>74</w:t>
            </w:r>
            <w:r>
              <w:rPr>
                <w:rFonts w:eastAsia="楷体_GB2312"/>
                <w:szCs w:val="21"/>
              </w:rPr>
              <w:t>，</w:t>
            </w:r>
            <w:r>
              <w:rPr>
                <w:rFonts w:hint="eastAsia" w:eastAsia="楷体_GB2312"/>
                <w:szCs w:val="21"/>
              </w:rPr>
              <w:t>41</w:t>
            </w:r>
            <w:r>
              <w:rPr>
                <w:rFonts w:eastAsia="楷体_GB2312"/>
                <w:szCs w:val="21"/>
              </w:rPr>
              <w:t>］</w:t>
            </w:r>
          </w:p>
        </w:tc>
        <w:tc>
          <w:tcPr>
            <w:tcW w:w="1984" w:type="dxa"/>
            <w:noWrap w:val="0"/>
            <w:vAlign w:val="center"/>
          </w:tcPr>
          <w:p w14:paraId="5BAE1D83">
            <w:pPr>
              <w:jc w:val="center"/>
              <w:rPr>
                <w:rFonts w:eastAsia="楷体_GB2312"/>
                <w:szCs w:val="21"/>
              </w:rPr>
            </w:pPr>
            <w:r>
              <w:rPr>
                <w:rFonts w:eastAsia="楷体_GB2312"/>
                <w:szCs w:val="21"/>
              </w:rPr>
              <w:t>（</w:t>
            </w:r>
            <w:r>
              <w:rPr>
                <w:rFonts w:hint="eastAsia" w:eastAsia="楷体_GB2312"/>
                <w:szCs w:val="21"/>
              </w:rPr>
              <w:t>41</w:t>
            </w:r>
            <w:r>
              <w:rPr>
                <w:rFonts w:eastAsia="楷体_GB2312"/>
                <w:szCs w:val="21"/>
              </w:rPr>
              <w:t>，0］</w:t>
            </w:r>
          </w:p>
        </w:tc>
      </w:tr>
      <w:tr w14:paraId="5D74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noWrap w:val="0"/>
            <w:vAlign w:val="center"/>
          </w:tcPr>
          <w:p w14:paraId="76EA393A">
            <w:pPr>
              <w:tabs>
                <w:tab w:val="left" w:pos="0"/>
                <w:tab w:val="left" w:pos="295"/>
              </w:tabs>
              <w:jc w:val="center"/>
              <w:rPr>
                <w:rFonts w:eastAsia="楷体_GB2312"/>
                <w:szCs w:val="21"/>
              </w:rPr>
            </w:pPr>
            <w:r>
              <w:rPr>
                <w:rFonts w:hint="eastAsia" w:eastAsia="楷体_GB2312"/>
                <w:szCs w:val="21"/>
              </w:rPr>
              <w:t>14</w:t>
            </w:r>
          </w:p>
        </w:tc>
        <w:tc>
          <w:tcPr>
            <w:tcW w:w="1984" w:type="dxa"/>
            <w:noWrap w:val="0"/>
            <w:vAlign w:val="center"/>
          </w:tcPr>
          <w:p w14:paraId="3C52258D">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顺河镇</w:t>
            </w:r>
          </w:p>
        </w:tc>
        <w:tc>
          <w:tcPr>
            <w:tcW w:w="1984" w:type="dxa"/>
            <w:noWrap w:val="0"/>
            <w:vAlign w:val="center"/>
          </w:tcPr>
          <w:p w14:paraId="3ED5709A">
            <w:pPr>
              <w:jc w:val="center"/>
              <w:rPr>
                <w:rFonts w:eastAsia="楷体_GB2312"/>
                <w:szCs w:val="21"/>
              </w:rPr>
            </w:pPr>
            <w:r>
              <w:rPr>
                <w:rFonts w:eastAsia="楷体_GB2312"/>
                <w:szCs w:val="21"/>
              </w:rPr>
              <w:t>[100，</w:t>
            </w:r>
            <w:r>
              <w:rPr>
                <w:rFonts w:hint="eastAsia" w:eastAsia="楷体_GB2312"/>
                <w:szCs w:val="21"/>
              </w:rPr>
              <w:t>70</w:t>
            </w:r>
            <w:r>
              <w:rPr>
                <w:rFonts w:eastAsia="楷体_GB2312"/>
                <w:szCs w:val="21"/>
              </w:rPr>
              <w:t>]</w:t>
            </w:r>
          </w:p>
        </w:tc>
        <w:tc>
          <w:tcPr>
            <w:tcW w:w="1984" w:type="dxa"/>
            <w:noWrap w:val="0"/>
            <w:vAlign w:val="center"/>
          </w:tcPr>
          <w:p w14:paraId="5FC0A961">
            <w:pPr>
              <w:jc w:val="center"/>
              <w:rPr>
                <w:rFonts w:eastAsia="楷体_GB2312"/>
                <w:szCs w:val="21"/>
              </w:rPr>
            </w:pPr>
            <w:r>
              <w:rPr>
                <w:rFonts w:eastAsia="楷体_GB2312"/>
                <w:szCs w:val="21"/>
              </w:rPr>
              <w:t>（</w:t>
            </w:r>
            <w:r>
              <w:rPr>
                <w:rFonts w:hint="eastAsia" w:eastAsia="楷体_GB2312"/>
                <w:szCs w:val="21"/>
              </w:rPr>
              <w:t>70</w:t>
            </w:r>
            <w:r>
              <w:rPr>
                <w:rFonts w:eastAsia="楷体_GB2312"/>
                <w:szCs w:val="21"/>
              </w:rPr>
              <w:t>，3</w:t>
            </w:r>
            <w:r>
              <w:rPr>
                <w:rFonts w:hint="eastAsia" w:eastAsia="楷体_GB2312"/>
                <w:szCs w:val="21"/>
              </w:rPr>
              <w:t>3</w:t>
            </w:r>
            <w:r>
              <w:rPr>
                <w:rFonts w:eastAsia="楷体_GB2312"/>
                <w:szCs w:val="21"/>
              </w:rPr>
              <w:t>］</w:t>
            </w:r>
          </w:p>
        </w:tc>
        <w:tc>
          <w:tcPr>
            <w:tcW w:w="1984" w:type="dxa"/>
            <w:noWrap w:val="0"/>
            <w:vAlign w:val="center"/>
          </w:tcPr>
          <w:p w14:paraId="7171897A">
            <w:pPr>
              <w:jc w:val="center"/>
              <w:rPr>
                <w:rFonts w:eastAsia="楷体_GB2312"/>
                <w:szCs w:val="21"/>
              </w:rPr>
            </w:pPr>
            <w:r>
              <w:rPr>
                <w:rFonts w:eastAsia="楷体_GB2312"/>
                <w:szCs w:val="21"/>
              </w:rPr>
              <w:t>（3</w:t>
            </w:r>
            <w:r>
              <w:rPr>
                <w:rFonts w:hint="eastAsia" w:eastAsia="楷体_GB2312"/>
                <w:szCs w:val="21"/>
              </w:rPr>
              <w:t>3</w:t>
            </w:r>
            <w:r>
              <w:rPr>
                <w:rFonts w:eastAsia="楷体_GB2312"/>
                <w:szCs w:val="21"/>
              </w:rPr>
              <w:t>，0］</w:t>
            </w:r>
          </w:p>
        </w:tc>
      </w:tr>
      <w:tr w14:paraId="231A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noWrap w:val="0"/>
            <w:vAlign w:val="center"/>
          </w:tcPr>
          <w:p w14:paraId="5A94A445">
            <w:pPr>
              <w:tabs>
                <w:tab w:val="left" w:pos="0"/>
                <w:tab w:val="left" w:pos="295"/>
              </w:tabs>
              <w:jc w:val="center"/>
              <w:rPr>
                <w:rFonts w:eastAsia="楷体_GB2312"/>
                <w:szCs w:val="21"/>
              </w:rPr>
            </w:pPr>
            <w:r>
              <w:rPr>
                <w:rFonts w:hint="eastAsia" w:eastAsia="楷体_GB2312"/>
                <w:szCs w:val="21"/>
              </w:rPr>
              <w:t>15</w:t>
            </w:r>
          </w:p>
        </w:tc>
        <w:tc>
          <w:tcPr>
            <w:tcW w:w="1984" w:type="dxa"/>
            <w:noWrap w:val="0"/>
            <w:vAlign w:val="center"/>
          </w:tcPr>
          <w:p w14:paraId="26107EA7">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杨庄镇</w:t>
            </w:r>
          </w:p>
        </w:tc>
        <w:tc>
          <w:tcPr>
            <w:tcW w:w="1984" w:type="dxa"/>
            <w:noWrap w:val="0"/>
            <w:vAlign w:val="center"/>
          </w:tcPr>
          <w:p w14:paraId="62A3B479">
            <w:pPr>
              <w:jc w:val="center"/>
              <w:rPr>
                <w:rFonts w:eastAsia="楷体_GB2312"/>
                <w:szCs w:val="21"/>
              </w:rPr>
            </w:pPr>
            <w:r>
              <w:rPr>
                <w:rFonts w:eastAsia="楷体_GB2312"/>
                <w:szCs w:val="21"/>
              </w:rPr>
              <w:t>[100，</w:t>
            </w:r>
            <w:r>
              <w:rPr>
                <w:rFonts w:hint="eastAsia" w:eastAsia="楷体_GB2312"/>
                <w:szCs w:val="21"/>
              </w:rPr>
              <w:t>60</w:t>
            </w:r>
            <w:r>
              <w:rPr>
                <w:rFonts w:eastAsia="楷体_GB2312"/>
                <w:szCs w:val="21"/>
              </w:rPr>
              <w:t>]</w:t>
            </w:r>
          </w:p>
        </w:tc>
        <w:tc>
          <w:tcPr>
            <w:tcW w:w="1984" w:type="dxa"/>
            <w:noWrap w:val="0"/>
            <w:vAlign w:val="center"/>
          </w:tcPr>
          <w:p w14:paraId="0AF74768">
            <w:pPr>
              <w:jc w:val="center"/>
              <w:rPr>
                <w:rFonts w:eastAsia="楷体_GB2312"/>
                <w:szCs w:val="21"/>
              </w:rPr>
            </w:pPr>
            <w:r>
              <w:rPr>
                <w:rFonts w:eastAsia="楷体_GB2312"/>
                <w:szCs w:val="21"/>
              </w:rPr>
              <w:t>（6</w:t>
            </w:r>
            <w:r>
              <w:rPr>
                <w:rFonts w:hint="eastAsia" w:eastAsia="楷体_GB2312"/>
                <w:szCs w:val="21"/>
              </w:rPr>
              <w:t>0</w:t>
            </w:r>
            <w:r>
              <w:rPr>
                <w:rFonts w:eastAsia="楷体_GB2312"/>
                <w:szCs w:val="21"/>
              </w:rPr>
              <w:t>，3</w:t>
            </w:r>
            <w:r>
              <w:rPr>
                <w:rFonts w:hint="eastAsia" w:eastAsia="楷体_GB2312"/>
                <w:szCs w:val="21"/>
              </w:rPr>
              <w:t>0</w:t>
            </w:r>
            <w:r>
              <w:rPr>
                <w:rFonts w:eastAsia="楷体_GB2312"/>
                <w:szCs w:val="21"/>
              </w:rPr>
              <w:t>］</w:t>
            </w:r>
          </w:p>
        </w:tc>
        <w:tc>
          <w:tcPr>
            <w:tcW w:w="1984" w:type="dxa"/>
            <w:noWrap w:val="0"/>
            <w:vAlign w:val="center"/>
          </w:tcPr>
          <w:p w14:paraId="13B1514A">
            <w:pPr>
              <w:jc w:val="center"/>
              <w:rPr>
                <w:rFonts w:eastAsia="楷体_GB2312"/>
                <w:szCs w:val="21"/>
              </w:rPr>
            </w:pPr>
            <w:r>
              <w:rPr>
                <w:rFonts w:eastAsia="楷体_GB2312"/>
                <w:szCs w:val="21"/>
              </w:rPr>
              <w:t>（3</w:t>
            </w:r>
            <w:r>
              <w:rPr>
                <w:rFonts w:hint="eastAsia" w:eastAsia="楷体_GB2312"/>
                <w:szCs w:val="21"/>
              </w:rPr>
              <w:t>0</w:t>
            </w:r>
            <w:r>
              <w:rPr>
                <w:rFonts w:eastAsia="楷体_GB2312"/>
                <w:szCs w:val="21"/>
              </w:rPr>
              <w:t>，0］</w:t>
            </w:r>
          </w:p>
        </w:tc>
      </w:tr>
      <w:tr w14:paraId="35A46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noWrap w:val="0"/>
            <w:vAlign w:val="center"/>
          </w:tcPr>
          <w:p w14:paraId="5297C27E">
            <w:pPr>
              <w:tabs>
                <w:tab w:val="left" w:pos="0"/>
                <w:tab w:val="left" w:pos="295"/>
              </w:tabs>
              <w:jc w:val="center"/>
              <w:rPr>
                <w:rFonts w:eastAsia="楷体_GB2312"/>
                <w:szCs w:val="21"/>
              </w:rPr>
            </w:pPr>
            <w:r>
              <w:rPr>
                <w:rFonts w:hint="eastAsia" w:eastAsia="楷体_GB2312"/>
                <w:szCs w:val="21"/>
              </w:rPr>
              <w:t>16</w:t>
            </w:r>
          </w:p>
        </w:tc>
        <w:tc>
          <w:tcPr>
            <w:tcW w:w="1984" w:type="dxa"/>
            <w:noWrap w:val="0"/>
            <w:vAlign w:val="center"/>
          </w:tcPr>
          <w:p w14:paraId="1BFD652E">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永镇乡</w:t>
            </w:r>
          </w:p>
        </w:tc>
        <w:tc>
          <w:tcPr>
            <w:tcW w:w="1984" w:type="dxa"/>
            <w:noWrap w:val="0"/>
            <w:vAlign w:val="center"/>
          </w:tcPr>
          <w:p w14:paraId="2F2670EB">
            <w:pPr>
              <w:jc w:val="center"/>
              <w:rPr>
                <w:rFonts w:eastAsia="楷体_GB2312"/>
                <w:szCs w:val="21"/>
              </w:rPr>
            </w:pPr>
            <w:r>
              <w:rPr>
                <w:rFonts w:eastAsia="楷体_GB2312"/>
                <w:szCs w:val="21"/>
              </w:rPr>
              <w:t>[100，</w:t>
            </w:r>
            <w:r>
              <w:rPr>
                <w:rFonts w:hint="eastAsia" w:eastAsia="楷体_GB2312"/>
                <w:szCs w:val="21"/>
              </w:rPr>
              <w:t>66</w:t>
            </w:r>
            <w:r>
              <w:rPr>
                <w:rFonts w:eastAsia="楷体_GB2312"/>
                <w:szCs w:val="21"/>
              </w:rPr>
              <w:t>]</w:t>
            </w:r>
          </w:p>
        </w:tc>
        <w:tc>
          <w:tcPr>
            <w:tcW w:w="1984" w:type="dxa"/>
            <w:noWrap w:val="0"/>
            <w:vAlign w:val="center"/>
          </w:tcPr>
          <w:p w14:paraId="3D88A345">
            <w:pPr>
              <w:jc w:val="center"/>
              <w:rPr>
                <w:rFonts w:eastAsia="楷体_GB2312"/>
                <w:szCs w:val="21"/>
              </w:rPr>
            </w:pPr>
            <w:r>
              <w:rPr>
                <w:rFonts w:eastAsia="楷体_GB2312"/>
                <w:szCs w:val="21"/>
              </w:rPr>
              <w:t>（6</w:t>
            </w:r>
            <w:r>
              <w:rPr>
                <w:rFonts w:hint="eastAsia" w:eastAsia="楷体_GB2312"/>
                <w:szCs w:val="21"/>
              </w:rPr>
              <w:t>6</w:t>
            </w:r>
            <w:r>
              <w:rPr>
                <w:rFonts w:eastAsia="楷体_GB2312"/>
                <w:szCs w:val="21"/>
              </w:rPr>
              <w:t>，3</w:t>
            </w:r>
            <w:r>
              <w:rPr>
                <w:rFonts w:hint="eastAsia" w:eastAsia="楷体_GB2312"/>
                <w:szCs w:val="21"/>
              </w:rPr>
              <w:t>8</w:t>
            </w:r>
            <w:r>
              <w:rPr>
                <w:rFonts w:eastAsia="楷体_GB2312"/>
                <w:szCs w:val="21"/>
              </w:rPr>
              <w:t>］</w:t>
            </w:r>
          </w:p>
        </w:tc>
        <w:tc>
          <w:tcPr>
            <w:tcW w:w="1984" w:type="dxa"/>
            <w:noWrap w:val="0"/>
            <w:vAlign w:val="center"/>
          </w:tcPr>
          <w:p w14:paraId="2EBD76F3">
            <w:pPr>
              <w:jc w:val="center"/>
              <w:rPr>
                <w:rFonts w:eastAsia="楷体_GB2312"/>
                <w:szCs w:val="21"/>
              </w:rPr>
            </w:pPr>
            <w:r>
              <w:rPr>
                <w:rFonts w:eastAsia="楷体_GB2312"/>
                <w:szCs w:val="21"/>
              </w:rPr>
              <w:t>（3</w:t>
            </w:r>
            <w:r>
              <w:rPr>
                <w:rFonts w:hint="eastAsia" w:eastAsia="楷体_GB2312"/>
                <w:szCs w:val="21"/>
              </w:rPr>
              <w:t>8</w:t>
            </w:r>
            <w:r>
              <w:rPr>
                <w:rFonts w:eastAsia="楷体_GB2312"/>
                <w:szCs w:val="21"/>
              </w:rPr>
              <w:t>，0］</w:t>
            </w:r>
          </w:p>
        </w:tc>
      </w:tr>
      <w:tr w14:paraId="1BAAD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noWrap w:val="0"/>
            <w:vAlign w:val="center"/>
          </w:tcPr>
          <w:p w14:paraId="1E698824">
            <w:pPr>
              <w:tabs>
                <w:tab w:val="left" w:pos="0"/>
                <w:tab w:val="left" w:pos="295"/>
              </w:tabs>
              <w:jc w:val="center"/>
              <w:rPr>
                <w:rFonts w:eastAsia="楷体_GB2312"/>
                <w:szCs w:val="21"/>
              </w:rPr>
            </w:pPr>
            <w:r>
              <w:rPr>
                <w:rFonts w:hint="eastAsia" w:eastAsia="楷体_GB2312"/>
                <w:szCs w:val="21"/>
              </w:rPr>
              <w:t>17</w:t>
            </w:r>
          </w:p>
        </w:tc>
        <w:tc>
          <w:tcPr>
            <w:tcW w:w="1984" w:type="dxa"/>
            <w:noWrap w:val="0"/>
            <w:vAlign w:val="center"/>
          </w:tcPr>
          <w:p w14:paraId="5F7347EC">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解集镇</w:t>
            </w:r>
          </w:p>
        </w:tc>
        <w:tc>
          <w:tcPr>
            <w:tcW w:w="1984" w:type="dxa"/>
            <w:noWrap w:val="0"/>
            <w:vAlign w:val="center"/>
          </w:tcPr>
          <w:p w14:paraId="06966722">
            <w:pPr>
              <w:jc w:val="center"/>
              <w:rPr>
                <w:rFonts w:eastAsia="楷体_GB2312"/>
                <w:szCs w:val="21"/>
              </w:rPr>
            </w:pPr>
            <w:r>
              <w:rPr>
                <w:rFonts w:eastAsia="楷体_GB2312"/>
                <w:szCs w:val="21"/>
              </w:rPr>
              <w:t>[100，</w:t>
            </w:r>
            <w:r>
              <w:rPr>
                <w:rFonts w:hint="eastAsia" w:eastAsia="楷体_GB2312"/>
                <w:szCs w:val="21"/>
              </w:rPr>
              <w:t>57</w:t>
            </w:r>
            <w:r>
              <w:rPr>
                <w:rFonts w:eastAsia="楷体_GB2312"/>
                <w:szCs w:val="21"/>
              </w:rPr>
              <w:t>]</w:t>
            </w:r>
          </w:p>
        </w:tc>
        <w:tc>
          <w:tcPr>
            <w:tcW w:w="1984" w:type="dxa"/>
            <w:noWrap w:val="0"/>
            <w:vAlign w:val="center"/>
          </w:tcPr>
          <w:p w14:paraId="489AEEA8">
            <w:pPr>
              <w:jc w:val="center"/>
              <w:rPr>
                <w:rFonts w:eastAsia="楷体_GB2312"/>
                <w:szCs w:val="21"/>
              </w:rPr>
            </w:pPr>
            <w:r>
              <w:rPr>
                <w:rFonts w:eastAsia="楷体_GB2312"/>
                <w:szCs w:val="21"/>
              </w:rPr>
              <w:t>（</w:t>
            </w:r>
            <w:r>
              <w:rPr>
                <w:rFonts w:hint="eastAsia" w:eastAsia="楷体_GB2312"/>
                <w:szCs w:val="21"/>
              </w:rPr>
              <w:t>57</w:t>
            </w:r>
            <w:r>
              <w:rPr>
                <w:rFonts w:eastAsia="楷体_GB2312"/>
                <w:szCs w:val="21"/>
              </w:rPr>
              <w:t>，3</w:t>
            </w:r>
            <w:r>
              <w:rPr>
                <w:rFonts w:hint="eastAsia" w:eastAsia="楷体_GB2312"/>
                <w:szCs w:val="21"/>
              </w:rPr>
              <w:t>7</w:t>
            </w:r>
            <w:r>
              <w:rPr>
                <w:rFonts w:eastAsia="楷体_GB2312"/>
                <w:szCs w:val="21"/>
              </w:rPr>
              <w:t>］</w:t>
            </w:r>
          </w:p>
        </w:tc>
        <w:tc>
          <w:tcPr>
            <w:tcW w:w="1984" w:type="dxa"/>
            <w:noWrap w:val="0"/>
            <w:vAlign w:val="center"/>
          </w:tcPr>
          <w:p w14:paraId="5C6A081C">
            <w:pPr>
              <w:jc w:val="center"/>
              <w:rPr>
                <w:rFonts w:eastAsia="楷体_GB2312"/>
                <w:szCs w:val="21"/>
              </w:rPr>
            </w:pPr>
            <w:r>
              <w:rPr>
                <w:rFonts w:eastAsia="楷体_GB2312"/>
                <w:szCs w:val="21"/>
              </w:rPr>
              <w:t>（3</w:t>
            </w:r>
            <w:r>
              <w:rPr>
                <w:rFonts w:hint="eastAsia" w:eastAsia="楷体_GB2312"/>
                <w:szCs w:val="21"/>
              </w:rPr>
              <w:t>7</w:t>
            </w:r>
            <w:r>
              <w:rPr>
                <w:rFonts w:eastAsia="楷体_GB2312"/>
                <w:szCs w:val="21"/>
              </w:rPr>
              <w:t>，0］</w:t>
            </w:r>
          </w:p>
        </w:tc>
      </w:tr>
      <w:tr w14:paraId="4442A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noWrap w:val="0"/>
            <w:vAlign w:val="center"/>
          </w:tcPr>
          <w:p w14:paraId="2169DCAC">
            <w:pPr>
              <w:tabs>
                <w:tab w:val="left" w:pos="0"/>
                <w:tab w:val="left" w:pos="295"/>
              </w:tabs>
              <w:jc w:val="center"/>
              <w:rPr>
                <w:rFonts w:eastAsia="楷体_GB2312"/>
                <w:szCs w:val="21"/>
              </w:rPr>
            </w:pPr>
            <w:r>
              <w:rPr>
                <w:rFonts w:hint="eastAsia" w:eastAsia="楷体_GB2312"/>
                <w:szCs w:val="21"/>
              </w:rPr>
              <w:t>18</w:t>
            </w:r>
          </w:p>
        </w:tc>
        <w:tc>
          <w:tcPr>
            <w:tcW w:w="1984" w:type="dxa"/>
            <w:noWrap w:val="0"/>
            <w:vAlign w:val="center"/>
          </w:tcPr>
          <w:p w14:paraId="6CA3205A">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大泽乡镇</w:t>
            </w:r>
          </w:p>
        </w:tc>
        <w:tc>
          <w:tcPr>
            <w:tcW w:w="1984" w:type="dxa"/>
            <w:noWrap w:val="0"/>
            <w:vAlign w:val="center"/>
          </w:tcPr>
          <w:p w14:paraId="071EE235">
            <w:pPr>
              <w:jc w:val="center"/>
              <w:rPr>
                <w:rFonts w:eastAsia="楷体_GB2312"/>
                <w:szCs w:val="21"/>
              </w:rPr>
            </w:pPr>
            <w:r>
              <w:rPr>
                <w:rFonts w:eastAsia="楷体_GB2312"/>
                <w:szCs w:val="21"/>
              </w:rPr>
              <w:t>[100，</w:t>
            </w:r>
            <w:r>
              <w:rPr>
                <w:rFonts w:hint="eastAsia" w:eastAsia="楷体_GB2312"/>
                <w:szCs w:val="21"/>
              </w:rPr>
              <w:t>66</w:t>
            </w:r>
            <w:r>
              <w:rPr>
                <w:rFonts w:eastAsia="楷体_GB2312"/>
                <w:szCs w:val="21"/>
              </w:rPr>
              <w:t>]</w:t>
            </w:r>
          </w:p>
        </w:tc>
        <w:tc>
          <w:tcPr>
            <w:tcW w:w="1984" w:type="dxa"/>
            <w:noWrap w:val="0"/>
            <w:vAlign w:val="center"/>
          </w:tcPr>
          <w:p w14:paraId="3E88DA4E">
            <w:pPr>
              <w:jc w:val="center"/>
              <w:rPr>
                <w:rFonts w:eastAsia="楷体_GB2312"/>
                <w:szCs w:val="21"/>
              </w:rPr>
            </w:pPr>
            <w:r>
              <w:rPr>
                <w:rFonts w:eastAsia="楷体_GB2312"/>
                <w:szCs w:val="21"/>
              </w:rPr>
              <w:t>（6</w:t>
            </w:r>
            <w:r>
              <w:rPr>
                <w:rFonts w:hint="eastAsia" w:eastAsia="楷体_GB2312"/>
                <w:szCs w:val="21"/>
              </w:rPr>
              <w:t>6</w:t>
            </w:r>
            <w:r>
              <w:rPr>
                <w:rFonts w:eastAsia="楷体_GB2312"/>
                <w:szCs w:val="21"/>
              </w:rPr>
              <w:t>，3</w:t>
            </w:r>
            <w:r>
              <w:rPr>
                <w:rFonts w:hint="eastAsia" w:eastAsia="楷体_GB2312"/>
                <w:szCs w:val="21"/>
              </w:rPr>
              <w:t>4</w:t>
            </w:r>
            <w:r>
              <w:rPr>
                <w:rFonts w:eastAsia="楷体_GB2312"/>
                <w:szCs w:val="21"/>
              </w:rPr>
              <w:t>］</w:t>
            </w:r>
          </w:p>
        </w:tc>
        <w:tc>
          <w:tcPr>
            <w:tcW w:w="1984" w:type="dxa"/>
            <w:noWrap w:val="0"/>
            <w:vAlign w:val="center"/>
          </w:tcPr>
          <w:p w14:paraId="3169EABF">
            <w:pPr>
              <w:jc w:val="center"/>
              <w:rPr>
                <w:rFonts w:eastAsia="楷体_GB2312"/>
                <w:szCs w:val="21"/>
              </w:rPr>
            </w:pPr>
            <w:r>
              <w:rPr>
                <w:rFonts w:eastAsia="楷体_GB2312"/>
                <w:szCs w:val="21"/>
              </w:rPr>
              <w:t>（3</w:t>
            </w:r>
            <w:r>
              <w:rPr>
                <w:rFonts w:hint="eastAsia" w:eastAsia="楷体_GB2312"/>
                <w:szCs w:val="21"/>
              </w:rPr>
              <w:t>4</w:t>
            </w:r>
            <w:r>
              <w:rPr>
                <w:rFonts w:eastAsia="楷体_GB2312"/>
                <w:szCs w:val="21"/>
              </w:rPr>
              <w:t>，0］</w:t>
            </w:r>
          </w:p>
        </w:tc>
      </w:tr>
      <w:tr w14:paraId="36CC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noWrap w:val="0"/>
            <w:vAlign w:val="center"/>
          </w:tcPr>
          <w:p w14:paraId="1792334E">
            <w:pPr>
              <w:tabs>
                <w:tab w:val="left" w:pos="0"/>
                <w:tab w:val="left" w:pos="295"/>
              </w:tabs>
              <w:jc w:val="center"/>
              <w:rPr>
                <w:rFonts w:eastAsia="楷体_GB2312"/>
                <w:szCs w:val="21"/>
              </w:rPr>
            </w:pPr>
            <w:r>
              <w:rPr>
                <w:rFonts w:hint="eastAsia" w:eastAsia="楷体_GB2312"/>
                <w:szCs w:val="21"/>
              </w:rPr>
              <w:t>19</w:t>
            </w:r>
          </w:p>
        </w:tc>
        <w:tc>
          <w:tcPr>
            <w:tcW w:w="1984" w:type="dxa"/>
            <w:noWrap w:val="0"/>
            <w:vAlign w:val="center"/>
          </w:tcPr>
          <w:p w14:paraId="5AC9042D">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永安镇</w:t>
            </w:r>
          </w:p>
        </w:tc>
        <w:tc>
          <w:tcPr>
            <w:tcW w:w="1984" w:type="dxa"/>
            <w:noWrap w:val="0"/>
            <w:vAlign w:val="center"/>
          </w:tcPr>
          <w:p w14:paraId="46D2CA0C">
            <w:pPr>
              <w:jc w:val="center"/>
              <w:rPr>
                <w:rFonts w:eastAsia="楷体_GB2312"/>
                <w:szCs w:val="21"/>
              </w:rPr>
            </w:pPr>
            <w:r>
              <w:rPr>
                <w:rFonts w:eastAsia="楷体_GB2312"/>
                <w:szCs w:val="21"/>
              </w:rPr>
              <w:t>[100，</w:t>
            </w:r>
            <w:r>
              <w:rPr>
                <w:rFonts w:hint="eastAsia" w:eastAsia="楷体_GB2312"/>
                <w:szCs w:val="21"/>
              </w:rPr>
              <w:t>64</w:t>
            </w:r>
            <w:r>
              <w:rPr>
                <w:rFonts w:eastAsia="楷体_GB2312"/>
                <w:szCs w:val="21"/>
              </w:rPr>
              <w:t>]</w:t>
            </w:r>
          </w:p>
        </w:tc>
        <w:tc>
          <w:tcPr>
            <w:tcW w:w="1984" w:type="dxa"/>
            <w:noWrap w:val="0"/>
            <w:vAlign w:val="center"/>
          </w:tcPr>
          <w:p w14:paraId="43C404BE">
            <w:pPr>
              <w:jc w:val="center"/>
              <w:rPr>
                <w:rFonts w:eastAsia="楷体_GB2312"/>
                <w:szCs w:val="21"/>
              </w:rPr>
            </w:pPr>
            <w:r>
              <w:rPr>
                <w:rFonts w:eastAsia="楷体_GB2312"/>
                <w:szCs w:val="21"/>
              </w:rPr>
              <w:t>（6</w:t>
            </w:r>
            <w:r>
              <w:rPr>
                <w:rFonts w:hint="eastAsia" w:eastAsia="楷体_GB2312"/>
                <w:szCs w:val="21"/>
              </w:rPr>
              <w:t>4</w:t>
            </w:r>
            <w:r>
              <w:rPr>
                <w:rFonts w:eastAsia="楷体_GB2312"/>
                <w:szCs w:val="21"/>
              </w:rPr>
              <w:t>，3</w:t>
            </w:r>
            <w:r>
              <w:rPr>
                <w:rFonts w:hint="eastAsia" w:eastAsia="楷体_GB2312"/>
                <w:szCs w:val="21"/>
              </w:rPr>
              <w:t>7</w:t>
            </w:r>
            <w:r>
              <w:rPr>
                <w:rFonts w:eastAsia="楷体_GB2312"/>
                <w:szCs w:val="21"/>
              </w:rPr>
              <w:t>］</w:t>
            </w:r>
          </w:p>
        </w:tc>
        <w:tc>
          <w:tcPr>
            <w:tcW w:w="1984" w:type="dxa"/>
            <w:noWrap w:val="0"/>
            <w:vAlign w:val="center"/>
          </w:tcPr>
          <w:p w14:paraId="7213FE5A">
            <w:pPr>
              <w:jc w:val="center"/>
              <w:rPr>
                <w:rFonts w:eastAsia="楷体_GB2312"/>
                <w:szCs w:val="21"/>
              </w:rPr>
            </w:pPr>
            <w:r>
              <w:rPr>
                <w:rFonts w:eastAsia="楷体_GB2312"/>
                <w:szCs w:val="21"/>
              </w:rPr>
              <w:t>（3</w:t>
            </w:r>
            <w:r>
              <w:rPr>
                <w:rFonts w:hint="eastAsia" w:eastAsia="楷体_GB2312"/>
                <w:szCs w:val="21"/>
              </w:rPr>
              <w:t>7</w:t>
            </w:r>
            <w:r>
              <w:rPr>
                <w:rFonts w:eastAsia="楷体_GB2312"/>
                <w:szCs w:val="21"/>
              </w:rPr>
              <w:t>，0］</w:t>
            </w:r>
          </w:p>
        </w:tc>
      </w:tr>
      <w:tr w14:paraId="33DD1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noWrap w:val="0"/>
            <w:vAlign w:val="center"/>
          </w:tcPr>
          <w:p w14:paraId="5B4053D1">
            <w:pPr>
              <w:tabs>
                <w:tab w:val="left" w:pos="0"/>
                <w:tab w:val="left" w:pos="295"/>
              </w:tabs>
              <w:jc w:val="center"/>
              <w:rPr>
                <w:rFonts w:eastAsia="楷体_GB2312"/>
                <w:szCs w:val="21"/>
              </w:rPr>
            </w:pPr>
            <w:r>
              <w:rPr>
                <w:rFonts w:hint="eastAsia" w:eastAsia="楷体_GB2312"/>
                <w:szCs w:val="21"/>
              </w:rPr>
              <w:t>20</w:t>
            </w:r>
          </w:p>
        </w:tc>
        <w:tc>
          <w:tcPr>
            <w:tcW w:w="1984" w:type="dxa"/>
            <w:noWrap w:val="0"/>
            <w:vAlign w:val="center"/>
          </w:tcPr>
          <w:p w14:paraId="0C8AB6B0">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支河乡</w:t>
            </w:r>
          </w:p>
        </w:tc>
        <w:tc>
          <w:tcPr>
            <w:tcW w:w="1984" w:type="dxa"/>
            <w:noWrap w:val="0"/>
            <w:vAlign w:val="center"/>
          </w:tcPr>
          <w:p w14:paraId="36296D33">
            <w:pPr>
              <w:jc w:val="center"/>
              <w:rPr>
                <w:rFonts w:eastAsia="楷体_GB2312"/>
                <w:szCs w:val="21"/>
              </w:rPr>
            </w:pPr>
            <w:r>
              <w:rPr>
                <w:rFonts w:eastAsia="楷体_GB2312"/>
                <w:szCs w:val="21"/>
              </w:rPr>
              <w:t>[100，</w:t>
            </w:r>
            <w:r>
              <w:rPr>
                <w:rFonts w:hint="eastAsia" w:eastAsia="楷体_GB2312"/>
                <w:szCs w:val="21"/>
              </w:rPr>
              <w:t>69</w:t>
            </w:r>
            <w:r>
              <w:rPr>
                <w:rFonts w:eastAsia="楷体_GB2312"/>
                <w:szCs w:val="21"/>
              </w:rPr>
              <w:t>]</w:t>
            </w:r>
          </w:p>
        </w:tc>
        <w:tc>
          <w:tcPr>
            <w:tcW w:w="1984" w:type="dxa"/>
            <w:noWrap w:val="0"/>
            <w:vAlign w:val="center"/>
          </w:tcPr>
          <w:p w14:paraId="06EF5A74">
            <w:pPr>
              <w:jc w:val="center"/>
              <w:rPr>
                <w:rFonts w:eastAsia="楷体_GB2312"/>
                <w:szCs w:val="21"/>
              </w:rPr>
            </w:pPr>
            <w:r>
              <w:rPr>
                <w:rFonts w:eastAsia="楷体_GB2312"/>
                <w:szCs w:val="21"/>
              </w:rPr>
              <w:t>（</w:t>
            </w:r>
            <w:r>
              <w:rPr>
                <w:rFonts w:hint="eastAsia" w:eastAsia="楷体_GB2312"/>
                <w:szCs w:val="21"/>
              </w:rPr>
              <w:t>69</w:t>
            </w:r>
            <w:r>
              <w:rPr>
                <w:rFonts w:eastAsia="楷体_GB2312"/>
                <w:szCs w:val="21"/>
              </w:rPr>
              <w:t>，3</w:t>
            </w:r>
            <w:r>
              <w:rPr>
                <w:rFonts w:hint="eastAsia" w:eastAsia="楷体_GB2312"/>
                <w:szCs w:val="21"/>
              </w:rPr>
              <w:t>8</w:t>
            </w:r>
            <w:r>
              <w:rPr>
                <w:rFonts w:eastAsia="楷体_GB2312"/>
                <w:szCs w:val="21"/>
              </w:rPr>
              <w:t>］</w:t>
            </w:r>
          </w:p>
        </w:tc>
        <w:tc>
          <w:tcPr>
            <w:tcW w:w="1984" w:type="dxa"/>
            <w:noWrap w:val="0"/>
            <w:vAlign w:val="center"/>
          </w:tcPr>
          <w:p w14:paraId="7F0E2A4D">
            <w:pPr>
              <w:jc w:val="center"/>
              <w:rPr>
                <w:rFonts w:eastAsia="楷体_GB2312"/>
                <w:szCs w:val="21"/>
              </w:rPr>
            </w:pPr>
            <w:r>
              <w:rPr>
                <w:rFonts w:eastAsia="楷体_GB2312"/>
                <w:szCs w:val="21"/>
              </w:rPr>
              <w:t>（3</w:t>
            </w:r>
            <w:r>
              <w:rPr>
                <w:rFonts w:hint="eastAsia" w:eastAsia="楷体_GB2312"/>
                <w:szCs w:val="21"/>
              </w:rPr>
              <w:t>8</w:t>
            </w:r>
            <w:r>
              <w:rPr>
                <w:rFonts w:eastAsia="楷体_GB2312"/>
                <w:szCs w:val="21"/>
              </w:rPr>
              <w:t>，0］</w:t>
            </w:r>
          </w:p>
        </w:tc>
      </w:tr>
      <w:tr w14:paraId="4D99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noWrap w:val="0"/>
            <w:vAlign w:val="center"/>
          </w:tcPr>
          <w:p w14:paraId="2A748DAE">
            <w:pPr>
              <w:tabs>
                <w:tab w:val="left" w:pos="0"/>
                <w:tab w:val="left" w:pos="295"/>
              </w:tabs>
              <w:jc w:val="center"/>
              <w:rPr>
                <w:rFonts w:eastAsia="楷体_GB2312"/>
                <w:szCs w:val="21"/>
              </w:rPr>
            </w:pPr>
            <w:r>
              <w:rPr>
                <w:rFonts w:hint="eastAsia" w:eastAsia="楷体_GB2312"/>
                <w:szCs w:val="21"/>
              </w:rPr>
              <w:t>21</w:t>
            </w:r>
          </w:p>
        </w:tc>
        <w:tc>
          <w:tcPr>
            <w:tcW w:w="1984" w:type="dxa"/>
            <w:noWrap w:val="0"/>
            <w:vAlign w:val="center"/>
          </w:tcPr>
          <w:p w14:paraId="3B483AEC">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灰古镇</w:t>
            </w:r>
          </w:p>
        </w:tc>
        <w:tc>
          <w:tcPr>
            <w:tcW w:w="1984" w:type="dxa"/>
            <w:noWrap w:val="0"/>
            <w:vAlign w:val="center"/>
          </w:tcPr>
          <w:p w14:paraId="51FEC0D5">
            <w:pPr>
              <w:jc w:val="center"/>
              <w:rPr>
                <w:rFonts w:eastAsia="楷体_GB2312"/>
                <w:szCs w:val="21"/>
              </w:rPr>
            </w:pPr>
            <w:r>
              <w:rPr>
                <w:rFonts w:eastAsia="楷体_GB2312"/>
                <w:szCs w:val="21"/>
              </w:rPr>
              <w:t>[100，</w:t>
            </w:r>
            <w:r>
              <w:rPr>
                <w:rFonts w:hint="eastAsia" w:eastAsia="楷体_GB2312"/>
                <w:szCs w:val="21"/>
              </w:rPr>
              <w:t>71</w:t>
            </w:r>
            <w:r>
              <w:rPr>
                <w:rFonts w:eastAsia="楷体_GB2312"/>
                <w:szCs w:val="21"/>
              </w:rPr>
              <w:t>]</w:t>
            </w:r>
          </w:p>
        </w:tc>
        <w:tc>
          <w:tcPr>
            <w:tcW w:w="1984" w:type="dxa"/>
            <w:noWrap w:val="0"/>
            <w:vAlign w:val="center"/>
          </w:tcPr>
          <w:p w14:paraId="46369ED8">
            <w:pPr>
              <w:jc w:val="center"/>
              <w:rPr>
                <w:rFonts w:eastAsia="楷体_GB2312"/>
                <w:szCs w:val="21"/>
              </w:rPr>
            </w:pPr>
            <w:r>
              <w:rPr>
                <w:rFonts w:eastAsia="楷体_GB2312"/>
                <w:szCs w:val="21"/>
              </w:rPr>
              <w:t>（</w:t>
            </w:r>
            <w:r>
              <w:rPr>
                <w:rFonts w:hint="eastAsia" w:eastAsia="楷体_GB2312"/>
                <w:szCs w:val="21"/>
              </w:rPr>
              <w:t>71</w:t>
            </w:r>
            <w:r>
              <w:rPr>
                <w:rFonts w:eastAsia="楷体_GB2312"/>
                <w:szCs w:val="21"/>
              </w:rPr>
              <w:t>，</w:t>
            </w:r>
            <w:r>
              <w:rPr>
                <w:rFonts w:hint="eastAsia" w:eastAsia="楷体_GB2312"/>
                <w:szCs w:val="21"/>
              </w:rPr>
              <w:t>42</w:t>
            </w:r>
            <w:r>
              <w:rPr>
                <w:rFonts w:eastAsia="楷体_GB2312"/>
                <w:szCs w:val="21"/>
              </w:rPr>
              <w:t>］</w:t>
            </w:r>
          </w:p>
        </w:tc>
        <w:tc>
          <w:tcPr>
            <w:tcW w:w="1984" w:type="dxa"/>
            <w:noWrap w:val="0"/>
            <w:vAlign w:val="center"/>
          </w:tcPr>
          <w:p w14:paraId="2CA276D8">
            <w:pPr>
              <w:jc w:val="center"/>
              <w:rPr>
                <w:rFonts w:eastAsia="楷体_GB2312"/>
                <w:szCs w:val="21"/>
              </w:rPr>
            </w:pPr>
            <w:r>
              <w:rPr>
                <w:rFonts w:eastAsia="楷体_GB2312"/>
                <w:szCs w:val="21"/>
              </w:rPr>
              <w:t>（</w:t>
            </w:r>
            <w:r>
              <w:rPr>
                <w:rFonts w:hint="eastAsia" w:eastAsia="楷体_GB2312"/>
                <w:szCs w:val="21"/>
              </w:rPr>
              <w:t>42</w:t>
            </w:r>
            <w:r>
              <w:rPr>
                <w:rFonts w:eastAsia="楷体_GB2312"/>
                <w:szCs w:val="21"/>
              </w:rPr>
              <w:t>，0］</w:t>
            </w:r>
          </w:p>
        </w:tc>
      </w:tr>
      <w:tr w14:paraId="7A244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0" w:type="auto"/>
            <w:noWrap w:val="0"/>
            <w:vAlign w:val="center"/>
          </w:tcPr>
          <w:p w14:paraId="5F1AC935">
            <w:pPr>
              <w:tabs>
                <w:tab w:val="left" w:pos="0"/>
                <w:tab w:val="left" w:pos="295"/>
              </w:tabs>
              <w:jc w:val="center"/>
              <w:rPr>
                <w:rFonts w:eastAsia="楷体_GB2312"/>
                <w:szCs w:val="21"/>
              </w:rPr>
            </w:pPr>
            <w:r>
              <w:rPr>
                <w:rFonts w:hint="eastAsia" w:eastAsia="楷体_GB2312"/>
                <w:szCs w:val="21"/>
              </w:rPr>
              <w:t>22</w:t>
            </w:r>
          </w:p>
        </w:tc>
        <w:tc>
          <w:tcPr>
            <w:tcW w:w="1984" w:type="dxa"/>
            <w:noWrap w:val="0"/>
            <w:vAlign w:val="center"/>
          </w:tcPr>
          <w:p w14:paraId="65AC2BA0">
            <w:pPr>
              <w:pStyle w:val="20"/>
              <w:tabs>
                <w:tab w:val="left" w:pos="0"/>
                <w:tab w:val="left" w:pos="295"/>
              </w:tabs>
              <w:jc w:val="center"/>
              <w:rPr>
                <w:rFonts w:ascii="Times New Roman" w:hAnsi="Times New Roman" w:eastAsia="楷体_GB2312" w:cs="Times New Roman"/>
              </w:rPr>
            </w:pPr>
            <w:r>
              <w:rPr>
                <w:rFonts w:ascii="Times New Roman" w:hAnsi="Times New Roman" w:eastAsia="楷体_GB2312" w:cs="Times New Roman"/>
              </w:rPr>
              <w:t>桃沟乡</w:t>
            </w:r>
          </w:p>
        </w:tc>
        <w:tc>
          <w:tcPr>
            <w:tcW w:w="1984" w:type="dxa"/>
            <w:noWrap w:val="0"/>
            <w:vAlign w:val="center"/>
          </w:tcPr>
          <w:p w14:paraId="13F2FD66">
            <w:pPr>
              <w:jc w:val="center"/>
              <w:rPr>
                <w:rFonts w:eastAsia="楷体_GB2312"/>
                <w:szCs w:val="21"/>
              </w:rPr>
            </w:pPr>
            <w:r>
              <w:rPr>
                <w:rFonts w:eastAsia="楷体_GB2312"/>
                <w:szCs w:val="21"/>
              </w:rPr>
              <w:t>[100，</w:t>
            </w:r>
            <w:r>
              <w:rPr>
                <w:rFonts w:hint="eastAsia" w:eastAsia="楷体_GB2312"/>
                <w:szCs w:val="21"/>
              </w:rPr>
              <w:t>74</w:t>
            </w:r>
            <w:r>
              <w:rPr>
                <w:rFonts w:eastAsia="楷体_GB2312"/>
                <w:szCs w:val="21"/>
              </w:rPr>
              <w:t>]</w:t>
            </w:r>
          </w:p>
        </w:tc>
        <w:tc>
          <w:tcPr>
            <w:tcW w:w="1984" w:type="dxa"/>
            <w:noWrap w:val="0"/>
            <w:vAlign w:val="center"/>
          </w:tcPr>
          <w:p w14:paraId="413DA4C1">
            <w:pPr>
              <w:jc w:val="center"/>
              <w:rPr>
                <w:rFonts w:eastAsia="楷体_GB2312"/>
                <w:szCs w:val="21"/>
              </w:rPr>
            </w:pPr>
            <w:r>
              <w:rPr>
                <w:rFonts w:eastAsia="楷体_GB2312"/>
                <w:szCs w:val="21"/>
              </w:rPr>
              <w:t>（</w:t>
            </w:r>
            <w:r>
              <w:rPr>
                <w:rFonts w:hint="eastAsia" w:eastAsia="楷体_GB2312"/>
                <w:szCs w:val="21"/>
              </w:rPr>
              <w:t>74</w:t>
            </w:r>
            <w:r>
              <w:rPr>
                <w:rFonts w:eastAsia="楷体_GB2312"/>
                <w:szCs w:val="21"/>
              </w:rPr>
              <w:t>，39］</w:t>
            </w:r>
          </w:p>
        </w:tc>
        <w:tc>
          <w:tcPr>
            <w:tcW w:w="1984" w:type="dxa"/>
            <w:noWrap w:val="0"/>
            <w:vAlign w:val="center"/>
          </w:tcPr>
          <w:p w14:paraId="065834EA">
            <w:pPr>
              <w:jc w:val="center"/>
              <w:rPr>
                <w:rFonts w:eastAsia="楷体_GB2312"/>
                <w:szCs w:val="21"/>
              </w:rPr>
            </w:pPr>
            <w:r>
              <w:rPr>
                <w:rFonts w:eastAsia="楷体_GB2312"/>
                <w:szCs w:val="21"/>
              </w:rPr>
              <w:t>（39，0］</w:t>
            </w:r>
          </w:p>
        </w:tc>
      </w:tr>
    </w:tbl>
    <w:p w14:paraId="2C9E7BBF">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三、土地级别的初步划分</w:t>
      </w:r>
    </w:p>
    <w:p w14:paraId="05726510">
      <w:pPr>
        <w:spacing w:line="480" w:lineRule="exact"/>
        <w:ind w:firstLine="560" w:firstLineChars="200"/>
        <w:rPr>
          <w:rFonts w:eastAsia="楷体_GB2312"/>
          <w:sz w:val="28"/>
        </w:rPr>
      </w:pPr>
      <w:r>
        <w:rPr>
          <w:rFonts w:eastAsia="楷体_GB2312"/>
          <w:sz w:val="28"/>
        </w:rPr>
        <w:t>依据上述处理结果，由计算机分别绘制各乡镇理论级别界线图，以此作为土地级别落界底图，参照各乡镇区的商服企业及商服中心分布图、房地出租与房地买卖样点分布图、样点地价图，按土地级别落界原则进行土地综合级别初步落界，初步划定各乡镇土地综合级别。</w:t>
      </w:r>
    </w:p>
    <w:p w14:paraId="0F2E5A6F">
      <w:pPr>
        <w:spacing w:line="480" w:lineRule="exact"/>
        <w:ind w:firstLine="560" w:firstLineChars="200"/>
        <w:rPr>
          <w:rFonts w:eastAsia="仿宋_GB2312"/>
          <w:sz w:val="28"/>
        </w:rPr>
      </w:pPr>
    </w:p>
    <w:p w14:paraId="5A54422C">
      <w:pPr>
        <w:pStyle w:val="4"/>
        <w:numPr>
          <w:ilvl w:val="0"/>
          <w:numId w:val="0"/>
        </w:numPr>
        <w:spacing w:line="240" w:lineRule="auto"/>
        <w:jc w:val="center"/>
        <w:rPr>
          <w:rFonts w:eastAsia="仿宋_GB2312"/>
          <w:bCs w:val="0"/>
        </w:rPr>
      </w:pPr>
      <w:bookmarkStart w:id="53" w:name="_Toc62563668"/>
      <w:r>
        <w:rPr>
          <w:rFonts w:eastAsia="仿宋_GB2312"/>
          <w:bCs w:val="0"/>
        </w:rPr>
        <w:br w:type="page"/>
      </w:r>
      <w:r>
        <w:rPr>
          <w:rFonts w:eastAsia="仿宋_GB2312"/>
          <w:bCs w:val="0"/>
        </w:rPr>
        <w:t>第二节  土地级别的验证与确定</w:t>
      </w:r>
      <w:bookmarkEnd w:id="53"/>
    </w:p>
    <w:p w14:paraId="065305C0">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一、土地级别的验证</w:t>
      </w:r>
    </w:p>
    <w:p w14:paraId="4A9D07E8">
      <w:pPr>
        <w:spacing w:line="480" w:lineRule="exact"/>
        <w:ind w:firstLine="560" w:firstLineChars="200"/>
        <w:rPr>
          <w:rFonts w:eastAsia="楷体_GB2312"/>
          <w:sz w:val="28"/>
        </w:rPr>
      </w:pPr>
      <w:r>
        <w:rPr>
          <w:rFonts w:eastAsia="楷体_GB2312"/>
          <w:sz w:val="28"/>
        </w:rPr>
        <w:t>采用土地市场交易资料测算法和专家评议法两种方法验证初步划分的土地综合级别。</w:t>
      </w:r>
    </w:p>
    <w:p w14:paraId="76652FA4">
      <w:pPr>
        <w:spacing w:line="480" w:lineRule="exact"/>
        <w:ind w:firstLine="562" w:firstLineChars="200"/>
        <w:rPr>
          <w:rFonts w:eastAsia="楷体_GB2312"/>
          <w:b/>
          <w:sz w:val="28"/>
        </w:rPr>
      </w:pPr>
      <w:r>
        <w:rPr>
          <w:rFonts w:eastAsia="楷体_GB2312"/>
          <w:b/>
          <w:sz w:val="28"/>
        </w:rPr>
        <w:t>1、土地市场交易资料测算法验证</w:t>
      </w:r>
    </w:p>
    <w:p w14:paraId="07BEAC78">
      <w:pPr>
        <w:spacing w:line="480" w:lineRule="exact"/>
        <w:ind w:firstLine="560" w:firstLineChars="200"/>
        <w:rPr>
          <w:rFonts w:eastAsia="楷体_GB2312"/>
          <w:sz w:val="28"/>
        </w:rPr>
      </w:pPr>
      <w:r>
        <w:rPr>
          <w:rFonts w:eastAsia="楷体_GB2312"/>
          <w:sz w:val="28"/>
        </w:rPr>
        <w:t>按初步划分的土地综合级别，选取各乡镇各级地内房地出租和出售等样点资料，分别测算各级地商服和住宅用地平均地价。结果见表1-5-2。</w:t>
      </w:r>
    </w:p>
    <w:p w14:paraId="5E50C967">
      <w:pPr>
        <w:pStyle w:val="20"/>
        <w:spacing w:line="480" w:lineRule="exact"/>
        <w:jc w:val="center"/>
        <w:rPr>
          <w:rFonts w:ascii="Times New Roman" w:hAnsi="Times New Roman" w:eastAsia="黑体" w:cs="Times New Roman"/>
          <w:w w:val="98"/>
          <w:sz w:val="28"/>
          <w:szCs w:val="28"/>
        </w:rPr>
      </w:pPr>
      <w:r>
        <w:rPr>
          <w:rFonts w:ascii="Times New Roman" w:hAnsi="Times New Roman" w:eastAsia="黑体" w:cs="Times New Roman"/>
          <w:w w:val="98"/>
          <w:sz w:val="28"/>
          <w:szCs w:val="28"/>
        </w:rPr>
        <w:t>表</w:t>
      </w:r>
      <w:r>
        <w:rPr>
          <w:rFonts w:ascii="Times New Roman" w:hAnsi="Times New Roman" w:eastAsia="仿宋_GB2312" w:cs="Times New Roman"/>
          <w:sz w:val="28"/>
          <w:szCs w:val="24"/>
        </w:rPr>
        <w:t>1-5-2</w:t>
      </w:r>
      <w:r>
        <w:rPr>
          <w:rFonts w:ascii="Times New Roman" w:hAnsi="Times New Roman" w:eastAsia="黑体" w:cs="Times New Roman"/>
          <w:w w:val="98"/>
          <w:sz w:val="28"/>
          <w:szCs w:val="28"/>
        </w:rPr>
        <w:t xml:space="preserve">  </w:t>
      </w:r>
      <w:r>
        <w:rPr>
          <w:rFonts w:ascii="Times New Roman" w:hAnsi="Times New Roman" w:eastAsia="黑体" w:cs="Times New Roman"/>
          <w:sz w:val="28"/>
        </w:rPr>
        <w:t>埇桥区各乡镇镇区商服、住宅用地级别平均地价测算表</w:t>
      </w:r>
    </w:p>
    <w:p w14:paraId="542A3485">
      <w:pPr>
        <w:pStyle w:val="20"/>
        <w:jc w:val="right"/>
        <w:rPr>
          <w:rFonts w:ascii="Times New Roman" w:hAnsi="Times New Roman" w:eastAsia="楷体_GB2312" w:cs="Times New Roman"/>
        </w:rPr>
      </w:pPr>
      <w:r>
        <w:rPr>
          <w:rFonts w:ascii="Times New Roman" w:hAnsi="Times New Roman" w:eastAsia="黑体" w:cs="Times New Roman"/>
          <w:w w:val="98"/>
          <w:sz w:val="28"/>
          <w:szCs w:val="28"/>
        </w:rPr>
        <w:t xml:space="preserve">                                                  </w:t>
      </w:r>
      <w:r>
        <w:rPr>
          <w:rFonts w:ascii="Times New Roman" w:hAnsi="Times New Roman" w:eastAsia="楷体_GB2312" w:cs="Times New Roman"/>
        </w:rPr>
        <w:t xml:space="preserve">单位：元/平方米 </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1470"/>
        <w:gridCol w:w="1470"/>
        <w:gridCol w:w="1470"/>
        <w:gridCol w:w="1226"/>
        <w:gridCol w:w="1470"/>
        <w:gridCol w:w="1227"/>
      </w:tblGrid>
      <w:tr w14:paraId="05C00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blHeader/>
          <w:jc w:val="center"/>
        </w:trPr>
        <w:tc>
          <w:tcPr>
            <w:tcW w:w="0" w:type="auto"/>
            <w:vMerge w:val="restart"/>
            <w:noWrap w:val="0"/>
            <w:vAlign w:val="center"/>
          </w:tcPr>
          <w:p w14:paraId="1A8CEEF2">
            <w:pPr>
              <w:spacing w:before="100" w:beforeAutospacing="1" w:after="100" w:afterAutospacing="1" w:line="240" w:lineRule="atLeast"/>
              <w:jc w:val="center"/>
              <w:rPr>
                <w:rFonts w:eastAsia="楷体_GB2312"/>
                <w:kern w:val="0"/>
                <w:szCs w:val="21"/>
              </w:rPr>
            </w:pPr>
            <w:r>
              <w:rPr>
                <w:rFonts w:eastAsia="楷体_GB2312"/>
                <w:kern w:val="0"/>
                <w:szCs w:val="21"/>
              </w:rPr>
              <w:t>编号</w:t>
            </w:r>
          </w:p>
        </w:tc>
        <w:tc>
          <w:tcPr>
            <w:tcW w:w="0" w:type="auto"/>
            <w:vMerge w:val="restart"/>
            <w:noWrap w:val="0"/>
            <w:vAlign w:val="center"/>
          </w:tcPr>
          <w:p w14:paraId="0599CE68">
            <w:pPr>
              <w:spacing w:before="100" w:beforeAutospacing="1" w:after="100" w:afterAutospacing="1" w:line="240" w:lineRule="atLeast"/>
              <w:jc w:val="center"/>
              <w:rPr>
                <w:rFonts w:eastAsia="楷体_GB2312"/>
                <w:kern w:val="0"/>
                <w:szCs w:val="21"/>
              </w:rPr>
            </w:pPr>
            <w:r>
              <w:rPr>
                <w:rFonts w:eastAsia="楷体_GB2312"/>
                <w:kern w:val="0"/>
                <w:szCs w:val="21"/>
              </w:rPr>
              <w:t>乡镇名称</w:t>
            </w:r>
          </w:p>
        </w:tc>
        <w:tc>
          <w:tcPr>
            <w:tcW w:w="0" w:type="auto"/>
            <w:vMerge w:val="restart"/>
            <w:noWrap w:val="0"/>
            <w:vAlign w:val="center"/>
          </w:tcPr>
          <w:p w14:paraId="1B943F0E">
            <w:pPr>
              <w:spacing w:before="100" w:beforeAutospacing="1" w:after="100" w:afterAutospacing="1" w:line="240" w:lineRule="atLeast"/>
              <w:jc w:val="center"/>
              <w:rPr>
                <w:rFonts w:eastAsia="楷体_GB2312"/>
                <w:kern w:val="0"/>
                <w:szCs w:val="21"/>
              </w:rPr>
            </w:pPr>
            <w:r>
              <w:rPr>
                <w:rFonts w:eastAsia="楷体_GB2312"/>
                <w:kern w:val="0"/>
                <w:szCs w:val="21"/>
              </w:rPr>
              <w:t>土地级别</w:t>
            </w:r>
          </w:p>
        </w:tc>
        <w:tc>
          <w:tcPr>
            <w:tcW w:w="0" w:type="auto"/>
            <w:gridSpan w:val="2"/>
            <w:noWrap w:val="0"/>
            <w:vAlign w:val="center"/>
          </w:tcPr>
          <w:p w14:paraId="4F570AFE">
            <w:pPr>
              <w:spacing w:before="100" w:beforeAutospacing="1" w:after="100" w:afterAutospacing="1" w:line="240" w:lineRule="atLeast"/>
              <w:jc w:val="center"/>
              <w:rPr>
                <w:rFonts w:eastAsia="楷体_GB2312"/>
                <w:kern w:val="0"/>
                <w:szCs w:val="21"/>
              </w:rPr>
            </w:pPr>
            <w:r>
              <w:rPr>
                <w:rFonts w:eastAsia="楷体_GB2312"/>
                <w:kern w:val="0"/>
                <w:szCs w:val="21"/>
              </w:rPr>
              <w:t>商服用地</w:t>
            </w:r>
          </w:p>
        </w:tc>
        <w:tc>
          <w:tcPr>
            <w:tcW w:w="0" w:type="auto"/>
            <w:gridSpan w:val="2"/>
            <w:noWrap w:val="0"/>
            <w:vAlign w:val="center"/>
          </w:tcPr>
          <w:p w14:paraId="2A995B68">
            <w:pPr>
              <w:spacing w:before="100" w:beforeAutospacing="1" w:after="100" w:afterAutospacing="1" w:line="240" w:lineRule="atLeast"/>
              <w:jc w:val="center"/>
              <w:rPr>
                <w:rFonts w:eastAsia="楷体_GB2312"/>
                <w:kern w:val="0"/>
                <w:szCs w:val="21"/>
              </w:rPr>
            </w:pPr>
            <w:r>
              <w:rPr>
                <w:rFonts w:eastAsia="楷体_GB2312"/>
                <w:kern w:val="0"/>
                <w:szCs w:val="21"/>
              </w:rPr>
              <w:t>住宅用地</w:t>
            </w:r>
          </w:p>
        </w:tc>
      </w:tr>
      <w:tr w14:paraId="5F6F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0" w:type="auto"/>
            <w:vMerge w:val="continue"/>
            <w:noWrap w:val="0"/>
            <w:vAlign w:val="center"/>
          </w:tcPr>
          <w:p w14:paraId="78235CB4">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CC62631">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7CBBC82D">
            <w:pPr>
              <w:spacing w:before="100" w:beforeAutospacing="1" w:after="100" w:afterAutospacing="1" w:line="240" w:lineRule="atLeast"/>
              <w:jc w:val="center"/>
              <w:rPr>
                <w:rFonts w:eastAsia="楷体_GB2312"/>
                <w:kern w:val="0"/>
                <w:szCs w:val="21"/>
              </w:rPr>
            </w:pPr>
          </w:p>
        </w:tc>
        <w:tc>
          <w:tcPr>
            <w:tcW w:w="0" w:type="auto"/>
            <w:noWrap w:val="0"/>
            <w:vAlign w:val="center"/>
          </w:tcPr>
          <w:p w14:paraId="02967E02">
            <w:pPr>
              <w:spacing w:before="100" w:beforeAutospacing="1" w:after="100" w:afterAutospacing="1" w:line="240" w:lineRule="atLeast"/>
              <w:jc w:val="center"/>
              <w:rPr>
                <w:rFonts w:eastAsia="楷体_GB2312"/>
                <w:kern w:val="0"/>
                <w:szCs w:val="21"/>
              </w:rPr>
            </w:pPr>
            <w:r>
              <w:rPr>
                <w:rFonts w:eastAsia="楷体_GB2312"/>
                <w:kern w:val="0"/>
                <w:szCs w:val="21"/>
              </w:rPr>
              <w:t>参算样点数</w:t>
            </w:r>
          </w:p>
        </w:tc>
        <w:tc>
          <w:tcPr>
            <w:tcW w:w="0" w:type="auto"/>
            <w:noWrap w:val="0"/>
            <w:vAlign w:val="center"/>
          </w:tcPr>
          <w:p w14:paraId="015D5C20">
            <w:pPr>
              <w:spacing w:before="100" w:beforeAutospacing="1" w:after="100" w:afterAutospacing="1" w:line="240" w:lineRule="atLeast"/>
              <w:jc w:val="center"/>
              <w:rPr>
                <w:rFonts w:eastAsia="楷体_GB2312"/>
                <w:kern w:val="0"/>
                <w:szCs w:val="21"/>
              </w:rPr>
            </w:pPr>
            <w:r>
              <w:rPr>
                <w:rFonts w:eastAsia="楷体_GB2312"/>
                <w:kern w:val="0"/>
                <w:szCs w:val="21"/>
              </w:rPr>
              <w:t>平均地价</w:t>
            </w:r>
          </w:p>
        </w:tc>
        <w:tc>
          <w:tcPr>
            <w:tcW w:w="0" w:type="auto"/>
            <w:noWrap w:val="0"/>
            <w:vAlign w:val="center"/>
          </w:tcPr>
          <w:p w14:paraId="596D4F91">
            <w:pPr>
              <w:spacing w:before="100" w:beforeAutospacing="1" w:after="100" w:afterAutospacing="1" w:line="240" w:lineRule="atLeast"/>
              <w:jc w:val="center"/>
              <w:rPr>
                <w:rFonts w:eastAsia="楷体_GB2312"/>
                <w:kern w:val="0"/>
                <w:szCs w:val="21"/>
              </w:rPr>
            </w:pPr>
            <w:r>
              <w:rPr>
                <w:rFonts w:eastAsia="楷体_GB2312"/>
                <w:kern w:val="0"/>
                <w:szCs w:val="21"/>
              </w:rPr>
              <w:t>参算样点数</w:t>
            </w:r>
          </w:p>
        </w:tc>
        <w:tc>
          <w:tcPr>
            <w:tcW w:w="0" w:type="auto"/>
            <w:noWrap w:val="0"/>
            <w:vAlign w:val="center"/>
          </w:tcPr>
          <w:p w14:paraId="50F7F1BE">
            <w:pPr>
              <w:spacing w:before="100" w:beforeAutospacing="1" w:after="100" w:afterAutospacing="1" w:line="240" w:lineRule="atLeast"/>
              <w:jc w:val="center"/>
              <w:rPr>
                <w:rFonts w:eastAsia="楷体_GB2312"/>
                <w:kern w:val="0"/>
                <w:szCs w:val="21"/>
              </w:rPr>
            </w:pPr>
            <w:r>
              <w:rPr>
                <w:rFonts w:eastAsia="楷体_GB2312"/>
                <w:kern w:val="0"/>
                <w:szCs w:val="21"/>
              </w:rPr>
              <w:t>平均地价</w:t>
            </w:r>
          </w:p>
        </w:tc>
      </w:tr>
      <w:tr w14:paraId="30861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6ACA6A89">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vMerge w:val="restart"/>
            <w:noWrap w:val="0"/>
            <w:vAlign w:val="center"/>
          </w:tcPr>
          <w:p w14:paraId="7DB2B747">
            <w:pPr>
              <w:spacing w:before="100" w:beforeAutospacing="1" w:after="100" w:afterAutospacing="1" w:line="240" w:lineRule="atLeast"/>
              <w:jc w:val="center"/>
              <w:rPr>
                <w:rFonts w:eastAsia="楷体_GB2312"/>
                <w:kern w:val="0"/>
                <w:szCs w:val="21"/>
              </w:rPr>
            </w:pPr>
            <w:r>
              <w:rPr>
                <w:rFonts w:hint="eastAsia" w:eastAsia="楷体_GB2312"/>
                <w:kern w:val="0"/>
                <w:szCs w:val="21"/>
              </w:rPr>
              <w:t>符离镇</w:t>
            </w:r>
          </w:p>
        </w:tc>
        <w:tc>
          <w:tcPr>
            <w:tcW w:w="0" w:type="auto"/>
            <w:noWrap w:val="0"/>
            <w:vAlign w:val="center"/>
          </w:tcPr>
          <w:p w14:paraId="5BB8ED29">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02070BE8">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0" w:type="auto"/>
            <w:noWrap w:val="0"/>
            <w:vAlign w:val="center"/>
          </w:tcPr>
          <w:p w14:paraId="0F20C79D">
            <w:pPr>
              <w:jc w:val="center"/>
              <w:rPr>
                <w:rFonts w:ascii="宋体" w:hAnsi="宋体" w:cs="宋体"/>
                <w:color w:val="000000"/>
                <w:szCs w:val="21"/>
              </w:rPr>
            </w:pPr>
            <w:r>
              <w:rPr>
                <w:rFonts w:hint="eastAsia"/>
                <w:color w:val="000000"/>
                <w:szCs w:val="21"/>
              </w:rPr>
              <w:t>632</w:t>
            </w:r>
          </w:p>
        </w:tc>
        <w:tc>
          <w:tcPr>
            <w:tcW w:w="0" w:type="auto"/>
            <w:noWrap w:val="0"/>
            <w:vAlign w:val="center"/>
          </w:tcPr>
          <w:p w14:paraId="185AFBAF">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noWrap w:val="0"/>
            <w:vAlign w:val="center"/>
          </w:tcPr>
          <w:p w14:paraId="573CEBA4">
            <w:pPr>
              <w:jc w:val="center"/>
              <w:rPr>
                <w:rFonts w:ascii="宋体" w:hAnsi="宋体" w:cs="宋体"/>
                <w:color w:val="000000"/>
                <w:szCs w:val="21"/>
              </w:rPr>
            </w:pPr>
            <w:r>
              <w:rPr>
                <w:rFonts w:hint="eastAsia"/>
                <w:color w:val="000000"/>
                <w:szCs w:val="21"/>
              </w:rPr>
              <w:t>461</w:t>
            </w:r>
          </w:p>
        </w:tc>
      </w:tr>
      <w:tr w14:paraId="0C76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BE141D6">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2109EDC">
            <w:pPr>
              <w:spacing w:before="100" w:beforeAutospacing="1" w:after="100" w:afterAutospacing="1" w:line="240" w:lineRule="atLeast"/>
              <w:jc w:val="center"/>
              <w:rPr>
                <w:rFonts w:eastAsia="楷体_GB2312"/>
                <w:kern w:val="0"/>
                <w:szCs w:val="21"/>
              </w:rPr>
            </w:pPr>
          </w:p>
        </w:tc>
        <w:tc>
          <w:tcPr>
            <w:tcW w:w="0" w:type="auto"/>
            <w:noWrap w:val="0"/>
            <w:vAlign w:val="center"/>
          </w:tcPr>
          <w:p w14:paraId="4E1B5134">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7FADD972">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381E36BC">
            <w:pPr>
              <w:jc w:val="center"/>
              <w:rPr>
                <w:rFonts w:ascii="宋体" w:hAnsi="宋体" w:cs="宋体"/>
                <w:color w:val="000000"/>
                <w:szCs w:val="21"/>
              </w:rPr>
            </w:pPr>
            <w:r>
              <w:rPr>
                <w:rFonts w:hint="eastAsia"/>
                <w:color w:val="000000"/>
                <w:szCs w:val="21"/>
              </w:rPr>
              <w:t>505</w:t>
            </w:r>
          </w:p>
        </w:tc>
        <w:tc>
          <w:tcPr>
            <w:tcW w:w="0" w:type="auto"/>
            <w:noWrap w:val="0"/>
            <w:vAlign w:val="center"/>
          </w:tcPr>
          <w:p w14:paraId="19F582C8">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75F73DFD">
            <w:pPr>
              <w:jc w:val="center"/>
              <w:rPr>
                <w:rFonts w:ascii="宋体" w:hAnsi="宋体" w:cs="宋体"/>
                <w:color w:val="000000"/>
                <w:szCs w:val="21"/>
              </w:rPr>
            </w:pPr>
            <w:r>
              <w:rPr>
                <w:rFonts w:hint="eastAsia"/>
                <w:color w:val="000000"/>
                <w:szCs w:val="21"/>
              </w:rPr>
              <w:t>389</w:t>
            </w:r>
          </w:p>
        </w:tc>
      </w:tr>
      <w:tr w14:paraId="1D30A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96F653A">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707DAE39">
            <w:pPr>
              <w:spacing w:before="100" w:beforeAutospacing="1" w:after="100" w:afterAutospacing="1" w:line="240" w:lineRule="atLeast"/>
              <w:jc w:val="center"/>
              <w:rPr>
                <w:rFonts w:eastAsia="楷体_GB2312"/>
                <w:kern w:val="0"/>
                <w:szCs w:val="21"/>
              </w:rPr>
            </w:pPr>
          </w:p>
        </w:tc>
        <w:tc>
          <w:tcPr>
            <w:tcW w:w="0" w:type="auto"/>
            <w:noWrap w:val="0"/>
            <w:vAlign w:val="center"/>
          </w:tcPr>
          <w:p w14:paraId="750AD136">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3B957F29">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0" w:type="auto"/>
            <w:noWrap w:val="0"/>
            <w:vAlign w:val="center"/>
          </w:tcPr>
          <w:p w14:paraId="3BDA3494">
            <w:pPr>
              <w:jc w:val="center"/>
              <w:rPr>
                <w:rFonts w:ascii="宋体" w:hAnsi="宋体" w:cs="宋体"/>
                <w:color w:val="000000"/>
                <w:szCs w:val="21"/>
              </w:rPr>
            </w:pPr>
            <w:r>
              <w:rPr>
                <w:rFonts w:hint="eastAsia"/>
                <w:color w:val="000000"/>
                <w:szCs w:val="21"/>
              </w:rPr>
              <w:t>442</w:t>
            </w:r>
          </w:p>
        </w:tc>
        <w:tc>
          <w:tcPr>
            <w:tcW w:w="0" w:type="auto"/>
            <w:noWrap w:val="0"/>
            <w:vAlign w:val="center"/>
          </w:tcPr>
          <w:p w14:paraId="01EBA243">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0" w:type="auto"/>
            <w:noWrap w:val="0"/>
            <w:vAlign w:val="center"/>
          </w:tcPr>
          <w:p w14:paraId="5936330C">
            <w:pPr>
              <w:jc w:val="center"/>
              <w:rPr>
                <w:rFonts w:ascii="宋体" w:hAnsi="宋体" w:cs="宋体"/>
                <w:color w:val="000000"/>
                <w:szCs w:val="21"/>
              </w:rPr>
            </w:pPr>
            <w:r>
              <w:rPr>
                <w:rFonts w:hint="eastAsia"/>
                <w:color w:val="000000"/>
                <w:szCs w:val="21"/>
              </w:rPr>
              <w:t>281</w:t>
            </w:r>
          </w:p>
        </w:tc>
      </w:tr>
      <w:tr w14:paraId="3424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68C89D3F">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vMerge w:val="restart"/>
            <w:noWrap w:val="0"/>
            <w:vAlign w:val="center"/>
          </w:tcPr>
          <w:p w14:paraId="40D150D4">
            <w:pPr>
              <w:spacing w:before="100" w:beforeAutospacing="1" w:after="100" w:afterAutospacing="1" w:line="240" w:lineRule="atLeast"/>
              <w:jc w:val="center"/>
              <w:rPr>
                <w:rFonts w:eastAsia="楷体_GB2312"/>
                <w:kern w:val="0"/>
                <w:szCs w:val="21"/>
              </w:rPr>
            </w:pPr>
            <w:r>
              <w:rPr>
                <w:rFonts w:hint="eastAsia" w:eastAsia="楷体_GB2312"/>
                <w:kern w:val="0"/>
                <w:szCs w:val="21"/>
              </w:rPr>
              <w:t>朱仙庄镇</w:t>
            </w:r>
          </w:p>
        </w:tc>
        <w:tc>
          <w:tcPr>
            <w:tcW w:w="0" w:type="auto"/>
            <w:noWrap w:val="0"/>
            <w:vAlign w:val="center"/>
          </w:tcPr>
          <w:p w14:paraId="75C91351">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4E5FB944">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294EFC5B">
            <w:pPr>
              <w:jc w:val="center"/>
              <w:rPr>
                <w:rFonts w:ascii="宋体" w:hAnsi="宋体" w:cs="宋体"/>
                <w:color w:val="000000"/>
                <w:szCs w:val="21"/>
              </w:rPr>
            </w:pPr>
            <w:r>
              <w:rPr>
                <w:rFonts w:hint="eastAsia"/>
                <w:color w:val="000000"/>
                <w:szCs w:val="21"/>
              </w:rPr>
              <w:t>571</w:t>
            </w:r>
          </w:p>
        </w:tc>
        <w:tc>
          <w:tcPr>
            <w:tcW w:w="0" w:type="auto"/>
            <w:noWrap w:val="0"/>
            <w:vAlign w:val="center"/>
          </w:tcPr>
          <w:p w14:paraId="4A50DEE0">
            <w:pPr>
              <w:spacing w:before="100" w:beforeAutospacing="1" w:after="100" w:afterAutospacing="1" w:line="240" w:lineRule="atLeast"/>
              <w:jc w:val="center"/>
              <w:rPr>
                <w:rFonts w:eastAsia="楷体_GB2312"/>
                <w:kern w:val="0"/>
                <w:szCs w:val="21"/>
              </w:rPr>
            </w:pPr>
            <w:r>
              <w:rPr>
                <w:rFonts w:hint="eastAsia" w:eastAsia="楷体_GB2312"/>
                <w:kern w:val="0"/>
                <w:szCs w:val="21"/>
              </w:rPr>
              <w:t>13</w:t>
            </w:r>
          </w:p>
        </w:tc>
        <w:tc>
          <w:tcPr>
            <w:tcW w:w="0" w:type="auto"/>
            <w:noWrap w:val="0"/>
            <w:vAlign w:val="center"/>
          </w:tcPr>
          <w:p w14:paraId="1A8116D8">
            <w:pPr>
              <w:jc w:val="center"/>
              <w:rPr>
                <w:rFonts w:ascii="宋体" w:hAnsi="宋体" w:cs="宋体"/>
                <w:color w:val="000000"/>
                <w:szCs w:val="21"/>
              </w:rPr>
            </w:pPr>
            <w:r>
              <w:rPr>
                <w:rFonts w:hint="eastAsia"/>
                <w:color w:val="000000"/>
                <w:szCs w:val="21"/>
              </w:rPr>
              <w:t>432</w:t>
            </w:r>
          </w:p>
        </w:tc>
      </w:tr>
      <w:tr w14:paraId="6319D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0F46B6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43B82766">
            <w:pPr>
              <w:spacing w:before="100" w:beforeAutospacing="1" w:after="100" w:afterAutospacing="1" w:line="240" w:lineRule="atLeast"/>
              <w:jc w:val="center"/>
              <w:rPr>
                <w:rFonts w:eastAsia="楷体_GB2312"/>
                <w:kern w:val="0"/>
                <w:szCs w:val="21"/>
              </w:rPr>
            </w:pPr>
          </w:p>
        </w:tc>
        <w:tc>
          <w:tcPr>
            <w:tcW w:w="0" w:type="auto"/>
            <w:noWrap w:val="0"/>
            <w:vAlign w:val="center"/>
          </w:tcPr>
          <w:p w14:paraId="7D9824F4">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38E671E9">
            <w:pPr>
              <w:spacing w:before="100" w:beforeAutospacing="1" w:after="100" w:afterAutospacing="1" w:line="240" w:lineRule="atLeast"/>
              <w:jc w:val="center"/>
              <w:rPr>
                <w:rFonts w:eastAsia="楷体_GB2312"/>
                <w:kern w:val="0"/>
                <w:szCs w:val="21"/>
              </w:rPr>
            </w:pPr>
            <w:r>
              <w:rPr>
                <w:rFonts w:hint="eastAsia" w:eastAsia="楷体_GB2312"/>
                <w:kern w:val="0"/>
                <w:szCs w:val="21"/>
              </w:rPr>
              <w:t>9</w:t>
            </w:r>
          </w:p>
        </w:tc>
        <w:tc>
          <w:tcPr>
            <w:tcW w:w="0" w:type="auto"/>
            <w:noWrap w:val="0"/>
            <w:vAlign w:val="center"/>
          </w:tcPr>
          <w:p w14:paraId="27E69B3A">
            <w:pPr>
              <w:jc w:val="center"/>
              <w:rPr>
                <w:rFonts w:ascii="宋体" w:hAnsi="宋体" w:cs="宋体"/>
                <w:color w:val="000000"/>
                <w:szCs w:val="21"/>
              </w:rPr>
            </w:pPr>
            <w:r>
              <w:rPr>
                <w:rFonts w:hint="eastAsia"/>
                <w:color w:val="000000"/>
                <w:szCs w:val="21"/>
              </w:rPr>
              <w:t>474</w:t>
            </w:r>
          </w:p>
        </w:tc>
        <w:tc>
          <w:tcPr>
            <w:tcW w:w="0" w:type="auto"/>
            <w:noWrap w:val="0"/>
            <w:vAlign w:val="center"/>
          </w:tcPr>
          <w:p w14:paraId="0D6E48D3">
            <w:pPr>
              <w:spacing w:before="100" w:beforeAutospacing="1" w:after="100" w:afterAutospacing="1" w:line="240" w:lineRule="atLeast"/>
              <w:jc w:val="center"/>
              <w:rPr>
                <w:rFonts w:eastAsia="楷体_GB2312"/>
                <w:kern w:val="0"/>
                <w:szCs w:val="21"/>
              </w:rPr>
            </w:pPr>
            <w:r>
              <w:rPr>
                <w:rFonts w:hint="eastAsia" w:eastAsia="楷体_GB2312"/>
                <w:kern w:val="0"/>
                <w:szCs w:val="21"/>
              </w:rPr>
              <w:t>11</w:t>
            </w:r>
          </w:p>
        </w:tc>
        <w:tc>
          <w:tcPr>
            <w:tcW w:w="0" w:type="auto"/>
            <w:noWrap w:val="0"/>
            <w:vAlign w:val="center"/>
          </w:tcPr>
          <w:p w14:paraId="0B96FAE9">
            <w:pPr>
              <w:jc w:val="center"/>
              <w:rPr>
                <w:rFonts w:ascii="宋体" w:hAnsi="宋体" w:cs="宋体"/>
                <w:color w:val="000000"/>
                <w:szCs w:val="21"/>
              </w:rPr>
            </w:pPr>
            <w:r>
              <w:rPr>
                <w:rFonts w:hint="eastAsia"/>
                <w:color w:val="000000"/>
                <w:szCs w:val="21"/>
              </w:rPr>
              <w:t>319</w:t>
            </w:r>
          </w:p>
        </w:tc>
      </w:tr>
      <w:tr w14:paraId="25CC9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77D0FBC">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46537251">
            <w:pPr>
              <w:spacing w:before="100" w:beforeAutospacing="1" w:after="100" w:afterAutospacing="1" w:line="240" w:lineRule="atLeast"/>
              <w:jc w:val="center"/>
              <w:rPr>
                <w:rFonts w:eastAsia="楷体_GB2312"/>
                <w:kern w:val="0"/>
                <w:szCs w:val="21"/>
              </w:rPr>
            </w:pPr>
          </w:p>
        </w:tc>
        <w:tc>
          <w:tcPr>
            <w:tcW w:w="0" w:type="auto"/>
            <w:noWrap w:val="0"/>
            <w:vAlign w:val="center"/>
          </w:tcPr>
          <w:p w14:paraId="183BB581">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02BCB17C">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0" w:type="auto"/>
            <w:noWrap w:val="0"/>
            <w:vAlign w:val="center"/>
          </w:tcPr>
          <w:p w14:paraId="7A257331">
            <w:pPr>
              <w:jc w:val="center"/>
              <w:rPr>
                <w:rFonts w:ascii="宋体" w:hAnsi="宋体" w:cs="宋体"/>
                <w:color w:val="000000"/>
                <w:szCs w:val="21"/>
              </w:rPr>
            </w:pPr>
            <w:r>
              <w:rPr>
                <w:rFonts w:hint="eastAsia"/>
                <w:color w:val="000000"/>
                <w:szCs w:val="21"/>
              </w:rPr>
              <w:t>342</w:t>
            </w:r>
          </w:p>
        </w:tc>
        <w:tc>
          <w:tcPr>
            <w:tcW w:w="0" w:type="auto"/>
            <w:noWrap w:val="0"/>
            <w:vAlign w:val="center"/>
          </w:tcPr>
          <w:p w14:paraId="4DBCF3C3">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0" w:type="auto"/>
            <w:noWrap w:val="0"/>
            <w:vAlign w:val="center"/>
          </w:tcPr>
          <w:p w14:paraId="01425593">
            <w:pPr>
              <w:jc w:val="center"/>
              <w:rPr>
                <w:rFonts w:ascii="宋体" w:hAnsi="宋体" w:cs="宋体"/>
                <w:color w:val="000000"/>
                <w:szCs w:val="21"/>
              </w:rPr>
            </w:pPr>
            <w:r>
              <w:rPr>
                <w:rFonts w:hint="eastAsia"/>
                <w:color w:val="000000"/>
                <w:szCs w:val="21"/>
              </w:rPr>
              <w:t>226</w:t>
            </w:r>
          </w:p>
        </w:tc>
      </w:tr>
      <w:tr w14:paraId="2A504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0E14FA15">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vMerge w:val="restart"/>
            <w:noWrap w:val="0"/>
            <w:vAlign w:val="center"/>
          </w:tcPr>
          <w:p w14:paraId="25C8DC7C">
            <w:pPr>
              <w:spacing w:before="100" w:beforeAutospacing="1" w:after="100" w:afterAutospacing="1" w:line="240" w:lineRule="atLeast"/>
              <w:jc w:val="center"/>
              <w:rPr>
                <w:rFonts w:eastAsia="楷体_GB2312"/>
                <w:kern w:val="0"/>
                <w:szCs w:val="21"/>
              </w:rPr>
            </w:pPr>
            <w:r>
              <w:rPr>
                <w:rFonts w:hint="eastAsia" w:eastAsia="楷体_GB2312"/>
                <w:kern w:val="0"/>
                <w:szCs w:val="21"/>
              </w:rPr>
              <w:t>蕲县镇</w:t>
            </w:r>
          </w:p>
        </w:tc>
        <w:tc>
          <w:tcPr>
            <w:tcW w:w="0" w:type="auto"/>
            <w:noWrap w:val="0"/>
            <w:vAlign w:val="center"/>
          </w:tcPr>
          <w:p w14:paraId="5B2E9772">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592E2239">
            <w:pPr>
              <w:spacing w:before="100" w:beforeAutospacing="1" w:after="100" w:afterAutospacing="1" w:line="240" w:lineRule="atLeast"/>
              <w:jc w:val="center"/>
              <w:rPr>
                <w:rFonts w:eastAsia="楷体_GB2312"/>
                <w:kern w:val="0"/>
                <w:szCs w:val="21"/>
              </w:rPr>
            </w:pPr>
            <w:r>
              <w:rPr>
                <w:rFonts w:hint="eastAsia" w:eastAsia="楷体_GB2312"/>
                <w:kern w:val="0"/>
                <w:szCs w:val="21"/>
              </w:rPr>
              <w:t>18</w:t>
            </w:r>
          </w:p>
        </w:tc>
        <w:tc>
          <w:tcPr>
            <w:tcW w:w="0" w:type="auto"/>
            <w:noWrap w:val="0"/>
            <w:vAlign w:val="center"/>
          </w:tcPr>
          <w:p w14:paraId="0DBC73DD">
            <w:pPr>
              <w:jc w:val="center"/>
              <w:rPr>
                <w:rFonts w:ascii="宋体" w:hAnsi="宋体" w:cs="宋体"/>
                <w:color w:val="000000"/>
                <w:szCs w:val="21"/>
              </w:rPr>
            </w:pPr>
            <w:r>
              <w:rPr>
                <w:rFonts w:hint="eastAsia"/>
                <w:color w:val="000000"/>
                <w:szCs w:val="21"/>
              </w:rPr>
              <w:t>597</w:t>
            </w:r>
          </w:p>
        </w:tc>
        <w:tc>
          <w:tcPr>
            <w:tcW w:w="0" w:type="auto"/>
            <w:noWrap w:val="0"/>
            <w:vAlign w:val="center"/>
          </w:tcPr>
          <w:p w14:paraId="38BBBC10">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2BF6C608">
            <w:pPr>
              <w:jc w:val="center"/>
              <w:rPr>
                <w:rFonts w:ascii="宋体" w:hAnsi="宋体" w:cs="宋体"/>
                <w:color w:val="000000"/>
                <w:szCs w:val="21"/>
              </w:rPr>
            </w:pPr>
            <w:r>
              <w:rPr>
                <w:rFonts w:hint="eastAsia"/>
                <w:color w:val="000000"/>
                <w:szCs w:val="21"/>
              </w:rPr>
              <w:t>413</w:t>
            </w:r>
          </w:p>
        </w:tc>
      </w:tr>
      <w:tr w14:paraId="1679B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0363461">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0B5E031">
            <w:pPr>
              <w:spacing w:before="100" w:beforeAutospacing="1" w:after="100" w:afterAutospacing="1" w:line="240" w:lineRule="atLeast"/>
              <w:jc w:val="center"/>
              <w:rPr>
                <w:rFonts w:eastAsia="楷体_GB2312"/>
                <w:kern w:val="0"/>
                <w:szCs w:val="21"/>
              </w:rPr>
            </w:pPr>
          </w:p>
        </w:tc>
        <w:tc>
          <w:tcPr>
            <w:tcW w:w="0" w:type="auto"/>
            <w:noWrap w:val="0"/>
            <w:vAlign w:val="center"/>
          </w:tcPr>
          <w:p w14:paraId="0E8EC078">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3B7E0E72">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0" w:type="auto"/>
            <w:noWrap w:val="0"/>
            <w:vAlign w:val="center"/>
          </w:tcPr>
          <w:p w14:paraId="0B3A0E6F">
            <w:pPr>
              <w:jc w:val="center"/>
              <w:rPr>
                <w:rFonts w:ascii="宋体" w:hAnsi="宋体" w:cs="宋体"/>
                <w:color w:val="000000"/>
                <w:szCs w:val="21"/>
              </w:rPr>
            </w:pPr>
            <w:r>
              <w:rPr>
                <w:rFonts w:hint="eastAsia"/>
                <w:color w:val="000000"/>
                <w:szCs w:val="21"/>
              </w:rPr>
              <w:t>489</w:t>
            </w:r>
          </w:p>
        </w:tc>
        <w:tc>
          <w:tcPr>
            <w:tcW w:w="0" w:type="auto"/>
            <w:noWrap w:val="0"/>
            <w:vAlign w:val="center"/>
          </w:tcPr>
          <w:p w14:paraId="207414E4">
            <w:pPr>
              <w:spacing w:before="100" w:beforeAutospacing="1" w:after="100" w:afterAutospacing="1" w:line="240" w:lineRule="atLeast"/>
              <w:jc w:val="center"/>
              <w:rPr>
                <w:rFonts w:eastAsia="楷体_GB2312"/>
                <w:kern w:val="0"/>
                <w:szCs w:val="21"/>
              </w:rPr>
            </w:pPr>
            <w:r>
              <w:rPr>
                <w:rFonts w:hint="eastAsia" w:eastAsia="楷体_GB2312"/>
                <w:kern w:val="0"/>
                <w:szCs w:val="21"/>
              </w:rPr>
              <w:t>9</w:t>
            </w:r>
          </w:p>
        </w:tc>
        <w:tc>
          <w:tcPr>
            <w:tcW w:w="0" w:type="auto"/>
            <w:noWrap w:val="0"/>
            <w:vAlign w:val="center"/>
          </w:tcPr>
          <w:p w14:paraId="017E841E">
            <w:pPr>
              <w:jc w:val="center"/>
              <w:rPr>
                <w:rFonts w:ascii="宋体" w:hAnsi="宋体" w:cs="宋体"/>
                <w:color w:val="000000"/>
                <w:szCs w:val="21"/>
              </w:rPr>
            </w:pPr>
            <w:r>
              <w:rPr>
                <w:rFonts w:hint="eastAsia"/>
                <w:color w:val="000000"/>
                <w:szCs w:val="21"/>
              </w:rPr>
              <w:t>333</w:t>
            </w:r>
          </w:p>
        </w:tc>
      </w:tr>
      <w:tr w14:paraId="1C6E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572F42F">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2E728A4">
            <w:pPr>
              <w:spacing w:before="100" w:beforeAutospacing="1" w:after="100" w:afterAutospacing="1" w:line="240" w:lineRule="atLeast"/>
              <w:jc w:val="center"/>
              <w:rPr>
                <w:rFonts w:eastAsia="楷体_GB2312"/>
                <w:kern w:val="0"/>
                <w:szCs w:val="21"/>
              </w:rPr>
            </w:pPr>
          </w:p>
        </w:tc>
        <w:tc>
          <w:tcPr>
            <w:tcW w:w="0" w:type="auto"/>
            <w:noWrap w:val="0"/>
            <w:vAlign w:val="center"/>
          </w:tcPr>
          <w:p w14:paraId="5F1159CB">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58BD174F">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2482B6DD">
            <w:pPr>
              <w:jc w:val="center"/>
              <w:rPr>
                <w:rFonts w:ascii="宋体" w:hAnsi="宋体" w:cs="宋体"/>
                <w:color w:val="000000"/>
                <w:szCs w:val="21"/>
              </w:rPr>
            </w:pPr>
            <w:r>
              <w:rPr>
                <w:rFonts w:hint="eastAsia"/>
                <w:color w:val="000000"/>
                <w:szCs w:val="21"/>
              </w:rPr>
              <w:t>406</w:t>
            </w:r>
          </w:p>
        </w:tc>
        <w:tc>
          <w:tcPr>
            <w:tcW w:w="0" w:type="auto"/>
            <w:noWrap w:val="0"/>
            <w:vAlign w:val="center"/>
          </w:tcPr>
          <w:p w14:paraId="51D49FA5">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12BD350A">
            <w:pPr>
              <w:jc w:val="center"/>
              <w:rPr>
                <w:rFonts w:ascii="宋体" w:hAnsi="宋体" w:cs="宋体"/>
                <w:color w:val="000000"/>
                <w:szCs w:val="21"/>
              </w:rPr>
            </w:pPr>
            <w:r>
              <w:rPr>
                <w:rFonts w:hint="eastAsia"/>
                <w:color w:val="000000"/>
                <w:szCs w:val="21"/>
              </w:rPr>
              <w:t>235</w:t>
            </w:r>
          </w:p>
        </w:tc>
      </w:tr>
      <w:tr w14:paraId="276DD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6D797F8B">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vMerge w:val="restart"/>
            <w:noWrap w:val="0"/>
            <w:vAlign w:val="center"/>
          </w:tcPr>
          <w:p w14:paraId="4F4B2E3A">
            <w:pPr>
              <w:spacing w:before="100" w:beforeAutospacing="1" w:after="100" w:afterAutospacing="1" w:line="240" w:lineRule="atLeast"/>
              <w:jc w:val="center"/>
              <w:rPr>
                <w:rFonts w:eastAsia="楷体_GB2312"/>
                <w:kern w:val="0"/>
                <w:szCs w:val="21"/>
              </w:rPr>
            </w:pPr>
            <w:r>
              <w:rPr>
                <w:rFonts w:hint="eastAsia" w:eastAsia="楷体_GB2312"/>
                <w:kern w:val="0"/>
                <w:szCs w:val="21"/>
              </w:rPr>
              <w:t>芦岭镇</w:t>
            </w:r>
          </w:p>
        </w:tc>
        <w:tc>
          <w:tcPr>
            <w:tcW w:w="0" w:type="auto"/>
            <w:noWrap w:val="0"/>
            <w:vAlign w:val="center"/>
          </w:tcPr>
          <w:p w14:paraId="0A1DB760">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42495C6E">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2A46D6DB">
            <w:pPr>
              <w:jc w:val="center"/>
              <w:rPr>
                <w:rFonts w:ascii="宋体" w:hAnsi="宋体" w:cs="宋体"/>
                <w:color w:val="000000"/>
                <w:szCs w:val="21"/>
              </w:rPr>
            </w:pPr>
            <w:r>
              <w:rPr>
                <w:rFonts w:hint="eastAsia"/>
                <w:color w:val="000000"/>
                <w:szCs w:val="21"/>
              </w:rPr>
              <w:t>577</w:t>
            </w:r>
          </w:p>
        </w:tc>
        <w:tc>
          <w:tcPr>
            <w:tcW w:w="0" w:type="auto"/>
            <w:noWrap w:val="0"/>
            <w:vAlign w:val="center"/>
          </w:tcPr>
          <w:p w14:paraId="44C17AA6">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40941B0D">
            <w:pPr>
              <w:jc w:val="center"/>
              <w:rPr>
                <w:rFonts w:ascii="宋体" w:hAnsi="宋体" w:cs="宋体"/>
                <w:color w:val="000000"/>
                <w:szCs w:val="21"/>
              </w:rPr>
            </w:pPr>
            <w:r>
              <w:rPr>
                <w:rFonts w:hint="eastAsia"/>
                <w:color w:val="000000"/>
                <w:szCs w:val="21"/>
              </w:rPr>
              <w:t>414</w:t>
            </w:r>
          </w:p>
        </w:tc>
      </w:tr>
      <w:tr w14:paraId="58689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306CBF39">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395C434">
            <w:pPr>
              <w:spacing w:before="100" w:beforeAutospacing="1" w:after="100" w:afterAutospacing="1" w:line="240" w:lineRule="atLeast"/>
              <w:jc w:val="center"/>
              <w:rPr>
                <w:rFonts w:eastAsia="楷体_GB2312"/>
                <w:kern w:val="0"/>
                <w:szCs w:val="21"/>
              </w:rPr>
            </w:pPr>
          </w:p>
        </w:tc>
        <w:tc>
          <w:tcPr>
            <w:tcW w:w="0" w:type="auto"/>
            <w:noWrap w:val="0"/>
            <w:vAlign w:val="center"/>
          </w:tcPr>
          <w:p w14:paraId="1BC17B7B">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3DC338A3">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0" w:type="auto"/>
            <w:noWrap w:val="0"/>
            <w:vAlign w:val="center"/>
          </w:tcPr>
          <w:p w14:paraId="7DFF8055">
            <w:pPr>
              <w:jc w:val="center"/>
              <w:rPr>
                <w:rFonts w:ascii="宋体" w:hAnsi="宋体" w:cs="宋体"/>
                <w:color w:val="000000"/>
                <w:szCs w:val="21"/>
              </w:rPr>
            </w:pPr>
            <w:r>
              <w:rPr>
                <w:rFonts w:hint="eastAsia"/>
                <w:color w:val="000000"/>
                <w:szCs w:val="21"/>
              </w:rPr>
              <w:t>468</w:t>
            </w:r>
          </w:p>
        </w:tc>
        <w:tc>
          <w:tcPr>
            <w:tcW w:w="0" w:type="auto"/>
            <w:noWrap w:val="0"/>
            <w:vAlign w:val="center"/>
          </w:tcPr>
          <w:p w14:paraId="5BCD116B">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0E7914F6">
            <w:pPr>
              <w:jc w:val="center"/>
              <w:rPr>
                <w:rFonts w:ascii="宋体" w:hAnsi="宋体" w:cs="宋体"/>
                <w:color w:val="000000"/>
                <w:szCs w:val="21"/>
              </w:rPr>
            </w:pPr>
            <w:r>
              <w:rPr>
                <w:rFonts w:hint="eastAsia"/>
                <w:color w:val="000000"/>
                <w:szCs w:val="21"/>
              </w:rPr>
              <w:t>296</w:t>
            </w:r>
          </w:p>
        </w:tc>
      </w:tr>
      <w:tr w14:paraId="24D36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AD40850">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FDDAAB3">
            <w:pPr>
              <w:spacing w:before="100" w:beforeAutospacing="1" w:after="100" w:afterAutospacing="1" w:line="240" w:lineRule="atLeast"/>
              <w:jc w:val="center"/>
              <w:rPr>
                <w:rFonts w:eastAsia="楷体_GB2312"/>
                <w:kern w:val="0"/>
                <w:szCs w:val="21"/>
              </w:rPr>
            </w:pPr>
          </w:p>
        </w:tc>
        <w:tc>
          <w:tcPr>
            <w:tcW w:w="0" w:type="auto"/>
            <w:noWrap w:val="0"/>
            <w:vAlign w:val="center"/>
          </w:tcPr>
          <w:p w14:paraId="7970ED86">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377477C2">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18FA41FD">
            <w:pPr>
              <w:jc w:val="center"/>
              <w:rPr>
                <w:rFonts w:ascii="宋体" w:hAnsi="宋体" w:cs="宋体"/>
                <w:color w:val="000000"/>
                <w:szCs w:val="21"/>
              </w:rPr>
            </w:pPr>
            <w:r>
              <w:rPr>
                <w:rFonts w:hint="eastAsia"/>
                <w:color w:val="000000"/>
                <w:szCs w:val="21"/>
              </w:rPr>
              <w:t>385</w:t>
            </w:r>
          </w:p>
        </w:tc>
        <w:tc>
          <w:tcPr>
            <w:tcW w:w="0" w:type="auto"/>
            <w:noWrap w:val="0"/>
            <w:vAlign w:val="center"/>
          </w:tcPr>
          <w:p w14:paraId="5FDEAF78">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7C2E77A1">
            <w:pPr>
              <w:jc w:val="center"/>
              <w:rPr>
                <w:rFonts w:ascii="宋体" w:hAnsi="宋体" w:cs="宋体"/>
                <w:color w:val="000000"/>
                <w:szCs w:val="21"/>
              </w:rPr>
            </w:pPr>
            <w:r>
              <w:rPr>
                <w:rFonts w:hint="eastAsia"/>
                <w:color w:val="000000"/>
                <w:szCs w:val="21"/>
              </w:rPr>
              <w:t>227</w:t>
            </w:r>
          </w:p>
        </w:tc>
      </w:tr>
      <w:tr w14:paraId="7C67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75D60C58">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vMerge w:val="restart"/>
            <w:noWrap w:val="0"/>
            <w:vAlign w:val="center"/>
          </w:tcPr>
          <w:p w14:paraId="07F08977">
            <w:pPr>
              <w:spacing w:before="100" w:beforeAutospacing="1" w:after="100" w:afterAutospacing="1" w:line="240" w:lineRule="atLeast"/>
              <w:jc w:val="center"/>
              <w:rPr>
                <w:rFonts w:eastAsia="楷体_GB2312"/>
                <w:kern w:val="0"/>
                <w:szCs w:val="21"/>
              </w:rPr>
            </w:pPr>
            <w:r>
              <w:rPr>
                <w:rFonts w:hint="eastAsia" w:eastAsia="楷体_GB2312"/>
                <w:kern w:val="0"/>
                <w:szCs w:val="21"/>
              </w:rPr>
              <w:t>大店镇</w:t>
            </w:r>
          </w:p>
        </w:tc>
        <w:tc>
          <w:tcPr>
            <w:tcW w:w="0" w:type="auto"/>
            <w:noWrap w:val="0"/>
            <w:vAlign w:val="center"/>
          </w:tcPr>
          <w:p w14:paraId="77080F72">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1481692D">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2E8DCFEC">
            <w:pPr>
              <w:jc w:val="center"/>
              <w:rPr>
                <w:rFonts w:ascii="宋体" w:hAnsi="宋体" w:cs="宋体"/>
                <w:color w:val="000000"/>
                <w:szCs w:val="21"/>
              </w:rPr>
            </w:pPr>
            <w:r>
              <w:rPr>
                <w:rFonts w:hint="eastAsia"/>
                <w:color w:val="000000"/>
                <w:szCs w:val="21"/>
              </w:rPr>
              <w:t>524</w:t>
            </w:r>
          </w:p>
        </w:tc>
        <w:tc>
          <w:tcPr>
            <w:tcW w:w="0" w:type="auto"/>
            <w:noWrap w:val="0"/>
            <w:vAlign w:val="center"/>
          </w:tcPr>
          <w:p w14:paraId="42254806">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0A9C50F8">
            <w:pPr>
              <w:jc w:val="center"/>
              <w:rPr>
                <w:rFonts w:ascii="宋体" w:hAnsi="宋体" w:cs="宋体"/>
                <w:color w:val="000000"/>
                <w:szCs w:val="21"/>
              </w:rPr>
            </w:pPr>
            <w:r>
              <w:rPr>
                <w:rFonts w:hint="eastAsia"/>
                <w:color w:val="000000"/>
                <w:szCs w:val="21"/>
              </w:rPr>
              <w:t>392</w:t>
            </w:r>
          </w:p>
        </w:tc>
      </w:tr>
      <w:tr w14:paraId="2BFE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69E7878">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93592FC">
            <w:pPr>
              <w:spacing w:before="100" w:beforeAutospacing="1" w:after="100" w:afterAutospacing="1" w:line="240" w:lineRule="atLeast"/>
              <w:jc w:val="center"/>
              <w:rPr>
                <w:rFonts w:eastAsia="楷体_GB2312"/>
                <w:kern w:val="0"/>
                <w:szCs w:val="21"/>
              </w:rPr>
            </w:pPr>
          </w:p>
        </w:tc>
        <w:tc>
          <w:tcPr>
            <w:tcW w:w="0" w:type="auto"/>
            <w:noWrap w:val="0"/>
            <w:vAlign w:val="center"/>
          </w:tcPr>
          <w:p w14:paraId="5EB0ED3C">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25140E41">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0" w:type="auto"/>
            <w:noWrap w:val="0"/>
            <w:vAlign w:val="center"/>
          </w:tcPr>
          <w:p w14:paraId="612293EE">
            <w:pPr>
              <w:jc w:val="center"/>
              <w:rPr>
                <w:rFonts w:ascii="宋体" w:hAnsi="宋体" w:cs="宋体"/>
                <w:color w:val="000000"/>
                <w:szCs w:val="21"/>
              </w:rPr>
            </w:pPr>
            <w:r>
              <w:rPr>
                <w:rFonts w:hint="eastAsia"/>
                <w:color w:val="000000"/>
                <w:szCs w:val="21"/>
              </w:rPr>
              <w:t>439</w:t>
            </w:r>
          </w:p>
        </w:tc>
        <w:tc>
          <w:tcPr>
            <w:tcW w:w="0" w:type="auto"/>
            <w:noWrap w:val="0"/>
            <w:vAlign w:val="center"/>
          </w:tcPr>
          <w:p w14:paraId="0900C080">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0" w:type="auto"/>
            <w:noWrap w:val="0"/>
            <w:vAlign w:val="center"/>
          </w:tcPr>
          <w:p w14:paraId="31700198">
            <w:pPr>
              <w:jc w:val="center"/>
              <w:rPr>
                <w:rFonts w:ascii="宋体" w:hAnsi="宋体" w:cs="宋体"/>
                <w:color w:val="000000"/>
                <w:szCs w:val="21"/>
              </w:rPr>
            </w:pPr>
            <w:r>
              <w:rPr>
                <w:rFonts w:hint="eastAsia"/>
                <w:color w:val="000000"/>
                <w:szCs w:val="21"/>
              </w:rPr>
              <w:t>288</w:t>
            </w:r>
          </w:p>
        </w:tc>
      </w:tr>
      <w:tr w14:paraId="0FCEE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D84F427">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8B2924F">
            <w:pPr>
              <w:spacing w:before="100" w:beforeAutospacing="1" w:after="100" w:afterAutospacing="1" w:line="240" w:lineRule="atLeast"/>
              <w:jc w:val="center"/>
              <w:rPr>
                <w:rFonts w:eastAsia="楷体_GB2312"/>
                <w:kern w:val="0"/>
                <w:szCs w:val="21"/>
              </w:rPr>
            </w:pPr>
          </w:p>
        </w:tc>
        <w:tc>
          <w:tcPr>
            <w:tcW w:w="0" w:type="auto"/>
            <w:noWrap w:val="0"/>
            <w:vAlign w:val="center"/>
          </w:tcPr>
          <w:p w14:paraId="1F7AB985">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6C539FE3">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0" w:type="auto"/>
            <w:noWrap w:val="0"/>
            <w:vAlign w:val="center"/>
          </w:tcPr>
          <w:p w14:paraId="2B0EC526">
            <w:pPr>
              <w:jc w:val="center"/>
              <w:rPr>
                <w:rFonts w:ascii="宋体" w:hAnsi="宋体" w:cs="宋体"/>
                <w:color w:val="000000"/>
                <w:szCs w:val="21"/>
              </w:rPr>
            </w:pPr>
            <w:r>
              <w:rPr>
                <w:rFonts w:hint="eastAsia"/>
                <w:color w:val="000000"/>
                <w:szCs w:val="21"/>
              </w:rPr>
              <w:t>340</w:t>
            </w:r>
          </w:p>
        </w:tc>
        <w:tc>
          <w:tcPr>
            <w:tcW w:w="0" w:type="auto"/>
            <w:noWrap w:val="0"/>
            <w:vAlign w:val="center"/>
          </w:tcPr>
          <w:p w14:paraId="09E7B880">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0EA948D5">
            <w:pPr>
              <w:jc w:val="center"/>
              <w:rPr>
                <w:rFonts w:ascii="宋体" w:hAnsi="宋体" w:cs="宋体"/>
                <w:color w:val="000000"/>
                <w:szCs w:val="21"/>
              </w:rPr>
            </w:pPr>
            <w:r>
              <w:rPr>
                <w:rFonts w:hint="eastAsia"/>
                <w:color w:val="000000"/>
                <w:szCs w:val="21"/>
              </w:rPr>
              <w:t>218</w:t>
            </w:r>
          </w:p>
        </w:tc>
      </w:tr>
      <w:tr w14:paraId="6CB11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77342745">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0" w:type="auto"/>
            <w:vMerge w:val="restart"/>
            <w:noWrap w:val="0"/>
            <w:vAlign w:val="center"/>
          </w:tcPr>
          <w:p w14:paraId="18EAF6F2">
            <w:pPr>
              <w:spacing w:before="100" w:beforeAutospacing="1" w:after="100" w:afterAutospacing="1" w:line="240" w:lineRule="atLeast"/>
              <w:jc w:val="center"/>
              <w:rPr>
                <w:rFonts w:eastAsia="楷体_GB2312"/>
                <w:kern w:val="0"/>
                <w:szCs w:val="21"/>
              </w:rPr>
            </w:pPr>
            <w:r>
              <w:rPr>
                <w:rFonts w:hint="eastAsia" w:eastAsia="楷体_GB2312"/>
                <w:kern w:val="0"/>
                <w:szCs w:val="21"/>
              </w:rPr>
              <w:t>栏杆镇</w:t>
            </w:r>
          </w:p>
        </w:tc>
        <w:tc>
          <w:tcPr>
            <w:tcW w:w="0" w:type="auto"/>
            <w:noWrap w:val="0"/>
            <w:vAlign w:val="center"/>
          </w:tcPr>
          <w:p w14:paraId="45FDAB6F">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1B1378C6">
            <w:pPr>
              <w:spacing w:before="100" w:beforeAutospacing="1" w:after="100" w:afterAutospacing="1" w:line="240" w:lineRule="atLeast"/>
              <w:jc w:val="center"/>
              <w:rPr>
                <w:rFonts w:eastAsia="楷体_GB2312"/>
                <w:kern w:val="0"/>
                <w:szCs w:val="21"/>
              </w:rPr>
            </w:pPr>
            <w:r>
              <w:rPr>
                <w:rFonts w:hint="eastAsia" w:eastAsia="楷体_GB2312"/>
                <w:kern w:val="0"/>
                <w:szCs w:val="21"/>
              </w:rPr>
              <w:t>21</w:t>
            </w:r>
          </w:p>
        </w:tc>
        <w:tc>
          <w:tcPr>
            <w:tcW w:w="0" w:type="auto"/>
            <w:noWrap w:val="0"/>
            <w:vAlign w:val="center"/>
          </w:tcPr>
          <w:p w14:paraId="33377695">
            <w:pPr>
              <w:jc w:val="center"/>
              <w:rPr>
                <w:rFonts w:ascii="宋体" w:hAnsi="宋体" w:cs="宋体"/>
                <w:color w:val="000000"/>
                <w:szCs w:val="21"/>
              </w:rPr>
            </w:pPr>
            <w:r>
              <w:rPr>
                <w:rFonts w:hint="eastAsia"/>
                <w:color w:val="000000"/>
                <w:szCs w:val="21"/>
              </w:rPr>
              <w:t>494</w:t>
            </w:r>
          </w:p>
        </w:tc>
        <w:tc>
          <w:tcPr>
            <w:tcW w:w="0" w:type="auto"/>
            <w:noWrap w:val="0"/>
            <w:vAlign w:val="center"/>
          </w:tcPr>
          <w:p w14:paraId="125C22FE">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1357B9B6">
            <w:pPr>
              <w:jc w:val="center"/>
              <w:rPr>
                <w:rFonts w:ascii="宋体" w:hAnsi="宋体" w:cs="宋体"/>
                <w:color w:val="000000"/>
                <w:szCs w:val="21"/>
              </w:rPr>
            </w:pPr>
            <w:r>
              <w:rPr>
                <w:rFonts w:hint="eastAsia"/>
                <w:color w:val="000000"/>
                <w:szCs w:val="21"/>
              </w:rPr>
              <w:t>379</w:t>
            </w:r>
          </w:p>
        </w:tc>
      </w:tr>
      <w:tr w14:paraId="6937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69629AF">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F930BEE">
            <w:pPr>
              <w:spacing w:before="100" w:beforeAutospacing="1" w:after="100" w:afterAutospacing="1" w:line="240" w:lineRule="atLeast"/>
              <w:jc w:val="center"/>
              <w:rPr>
                <w:rFonts w:eastAsia="楷体_GB2312"/>
                <w:kern w:val="0"/>
                <w:szCs w:val="21"/>
              </w:rPr>
            </w:pPr>
          </w:p>
        </w:tc>
        <w:tc>
          <w:tcPr>
            <w:tcW w:w="0" w:type="auto"/>
            <w:noWrap w:val="0"/>
            <w:vAlign w:val="center"/>
          </w:tcPr>
          <w:p w14:paraId="39D093D8">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1978A71F">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2522A701">
            <w:pPr>
              <w:jc w:val="center"/>
              <w:rPr>
                <w:rFonts w:ascii="宋体" w:hAnsi="宋体" w:cs="宋体"/>
                <w:color w:val="000000"/>
                <w:szCs w:val="21"/>
              </w:rPr>
            </w:pPr>
            <w:r>
              <w:rPr>
                <w:rFonts w:hint="eastAsia"/>
                <w:color w:val="000000"/>
                <w:szCs w:val="21"/>
              </w:rPr>
              <w:t>402</w:t>
            </w:r>
          </w:p>
        </w:tc>
        <w:tc>
          <w:tcPr>
            <w:tcW w:w="0" w:type="auto"/>
            <w:noWrap w:val="0"/>
            <w:vAlign w:val="center"/>
          </w:tcPr>
          <w:p w14:paraId="4E593BB2">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0" w:type="auto"/>
            <w:noWrap w:val="0"/>
            <w:vAlign w:val="center"/>
          </w:tcPr>
          <w:p w14:paraId="04809086">
            <w:pPr>
              <w:jc w:val="center"/>
              <w:rPr>
                <w:rFonts w:ascii="宋体" w:hAnsi="宋体" w:cs="宋体"/>
                <w:color w:val="000000"/>
                <w:szCs w:val="21"/>
              </w:rPr>
            </w:pPr>
            <w:r>
              <w:rPr>
                <w:rFonts w:hint="eastAsia"/>
                <w:color w:val="000000"/>
                <w:szCs w:val="21"/>
              </w:rPr>
              <w:t>304</w:t>
            </w:r>
          </w:p>
        </w:tc>
      </w:tr>
      <w:tr w14:paraId="77337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B7441B2">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7A114DD9">
            <w:pPr>
              <w:spacing w:before="100" w:beforeAutospacing="1" w:after="100" w:afterAutospacing="1" w:line="240" w:lineRule="atLeast"/>
              <w:jc w:val="center"/>
              <w:rPr>
                <w:rFonts w:eastAsia="楷体_GB2312"/>
                <w:kern w:val="0"/>
                <w:szCs w:val="21"/>
              </w:rPr>
            </w:pPr>
          </w:p>
        </w:tc>
        <w:tc>
          <w:tcPr>
            <w:tcW w:w="0" w:type="auto"/>
            <w:noWrap w:val="0"/>
            <w:vAlign w:val="center"/>
          </w:tcPr>
          <w:p w14:paraId="3E71028F">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40E430EE">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05FB810F">
            <w:pPr>
              <w:jc w:val="center"/>
              <w:rPr>
                <w:rFonts w:ascii="宋体" w:hAnsi="宋体" w:cs="宋体"/>
                <w:color w:val="000000"/>
                <w:szCs w:val="21"/>
              </w:rPr>
            </w:pPr>
            <w:r>
              <w:rPr>
                <w:rFonts w:hint="eastAsia"/>
                <w:color w:val="000000"/>
                <w:szCs w:val="21"/>
              </w:rPr>
              <w:t>312</w:t>
            </w:r>
          </w:p>
        </w:tc>
        <w:tc>
          <w:tcPr>
            <w:tcW w:w="0" w:type="auto"/>
            <w:noWrap w:val="0"/>
            <w:vAlign w:val="center"/>
          </w:tcPr>
          <w:p w14:paraId="2838B174">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13CB5BC6">
            <w:pPr>
              <w:jc w:val="center"/>
              <w:rPr>
                <w:rFonts w:ascii="宋体" w:hAnsi="宋体" w:cs="宋体"/>
                <w:color w:val="000000"/>
                <w:szCs w:val="21"/>
              </w:rPr>
            </w:pPr>
            <w:r>
              <w:rPr>
                <w:rFonts w:hint="eastAsia"/>
                <w:color w:val="000000"/>
                <w:szCs w:val="21"/>
              </w:rPr>
              <w:t>234</w:t>
            </w:r>
          </w:p>
        </w:tc>
      </w:tr>
      <w:tr w14:paraId="66D1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77E3AB1A">
            <w:pPr>
              <w:spacing w:before="100" w:beforeAutospacing="1" w:after="100" w:afterAutospacing="1" w:line="240" w:lineRule="atLeast"/>
              <w:jc w:val="center"/>
              <w:rPr>
                <w:rFonts w:eastAsia="楷体_GB2312"/>
                <w:kern w:val="0"/>
                <w:szCs w:val="21"/>
              </w:rPr>
            </w:pPr>
            <w:r>
              <w:rPr>
                <w:rFonts w:hint="eastAsia" w:eastAsia="楷体_GB2312"/>
                <w:kern w:val="0"/>
                <w:szCs w:val="21"/>
              </w:rPr>
              <w:t>7</w:t>
            </w:r>
          </w:p>
        </w:tc>
        <w:tc>
          <w:tcPr>
            <w:tcW w:w="0" w:type="auto"/>
            <w:vMerge w:val="restart"/>
            <w:noWrap w:val="0"/>
            <w:vAlign w:val="center"/>
          </w:tcPr>
          <w:p w14:paraId="5C476E7B">
            <w:pPr>
              <w:spacing w:before="100" w:beforeAutospacing="1" w:after="100" w:afterAutospacing="1" w:line="240" w:lineRule="atLeast"/>
              <w:jc w:val="center"/>
              <w:rPr>
                <w:rFonts w:eastAsia="楷体_GB2312"/>
                <w:kern w:val="0"/>
                <w:szCs w:val="21"/>
              </w:rPr>
            </w:pPr>
            <w:r>
              <w:rPr>
                <w:rFonts w:hint="eastAsia" w:eastAsia="楷体_GB2312"/>
                <w:kern w:val="0"/>
                <w:szCs w:val="21"/>
              </w:rPr>
              <w:t>时村镇</w:t>
            </w:r>
          </w:p>
        </w:tc>
        <w:tc>
          <w:tcPr>
            <w:tcW w:w="0" w:type="auto"/>
            <w:noWrap w:val="0"/>
            <w:vAlign w:val="center"/>
          </w:tcPr>
          <w:p w14:paraId="2C83232A">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08F82C75">
            <w:pPr>
              <w:spacing w:before="100" w:beforeAutospacing="1" w:after="100" w:afterAutospacing="1" w:line="240" w:lineRule="atLeast"/>
              <w:jc w:val="center"/>
              <w:rPr>
                <w:rFonts w:eastAsia="楷体_GB2312"/>
                <w:kern w:val="0"/>
                <w:szCs w:val="21"/>
              </w:rPr>
            </w:pPr>
            <w:r>
              <w:rPr>
                <w:rFonts w:hint="eastAsia" w:eastAsia="楷体_GB2312"/>
                <w:kern w:val="0"/>
                <w:szCs w:val="21"/>
              </w:rPr>
              <w:t>19</w:t>
            </w:r>
          </w:p>
        </w:tc>
        <w:tc>
          <w:tcPr>
            <w:tcW w:w="0" w:type="auto"/>
            <w:noWrap w:val="0"/>
            <w:vAlign w:val="center"/>
          </w:tcPr>
          <w:p w14:paraId="6198D886">
            <w:pPr>
              <w:jc w:val="center"/>
              <w:rPr>
                <w:rFonts w:ascii="宋体" w:hAnsi="宋体" w:cs="宋体"/>
                <w:color w:val="000000"/>
                <w:szCs w:val="21"/>
              </w:rPr>
            </w:pPr>
            <w:r>
              <w:rPr>
                <w:rFonts w:hint="eastAsia"/>
                <w:color w:val="000000"/>
                <w:szCs w:val="21"/>
              </w:rPr>
              <w:t>536</w:t>
            </w:r>
          </w:p>
        </w:tc>
        <w:tc>
          <w:tcPr>
            <w:tcW w:w="0" w:type="auto"/>
            <w:noWrap w:val="0"/>
            <w:vAlign w:val="center"/>
          </w:tcPr>
          <w:p w14:paraId="307718AE">
            <w:pPr>
              <w:spacing w:before="100" w:beforeAutospacing="1" w:after="100" w:afterAutospacing="1" w:line="240" w:lineRule="atLeast"/>
              <w:jc w:val="center"/>
              <w:rPr>
                <w:rFonts w:eastAsia="楷体_GB2312"/>
                <w:kern w:val="0"/>
                <w:szCs w:val="21"/>
              </w:rPr>
            </w:pPr>
            <w:r>
              <w:rPr>
                <w:rFonts w:hint="eastAsia" w:eastAsia="楷体_GB2312"/>
                <w:kern w:val="0"/>
                <w:szCs w:val="21"/>
              </w:rPr>
              <w:t>21</w:t>
            </w:r>
          </w:p>
        </w:tc>
        <w:tc>
          <w:tcPr>
            <w:tcW w:w="0" w:type="auto"/>
            <w:noWrap w:val="0"/>
            <w:vAlign w:val="center"/>
          </w:tcPr>
          <w:p w14:paraId="430F4C79">
            <w:pPr>
              <w:jc w:val="center"/>
              <w:rPr>
                <w:rFonts w:ascii="宋体" w:hAnsi="宋体" w:cs="宋体"/>
                <w:color w:val="000000"/>
                <w:szCs w:val="21"/>
              </w:rPr>
            </w:pPr>
            <w:r>
              <w:rPr>
                <w:rFonts w:hint="eastAsia"/>
                <w:color w:val="000000"/>
                <w:szCs w:val="21"/>
              </w:rPr>
              <w:t>386</w:t>
            </w:r>
          </w:p>
        </w:tc>
      </w:tr>
      <w:tr w14:paraId="3318D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4349CB02">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B34E56E">
            <w:pPr>
              <w:spacing w:before="100" w:beforeAutospacing="1" w:after="100" w:afterAutospacing="1" w:line="240" w:lineRule="atLeast"/>
              <w:jc w:val="center"/>
              <w:rPr>
                <w:rFonts w:eastAsia="楷体_GB2312"/>
                <w:kern w:val="0"/>
                <w:szCs w:val="21"/>
              </w:rPr>
            </w:pPr>
          </w:p>
        </w:tc>
        <w:tc>
          <w:tcPr>
            <w:tcW w:w="0" w:type="auto"/>
            <w:noWrap w:val="0"/>
            <w:vAlign w:val="center"/>
          </w:tcPr>
          <w:p w14:paraId="663B3797">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1E6123EB">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684313B9">
            <w:pPr>
              <w:jc w:val="center"/>
              <w:rPr>
                <w:rFonts w:ascii="宋体" w:hAnsi="宋体" w:cs="宋体"/>
                <w:color w:val="000000"/>
                <w:szCs w:val="21"/>
              </w:rPr>
            </w:pPr>
            <w:r>
              <w:rPr>
                <w:rFonts w:hint="eastAsia"/>
                <w:color w:val="000000"/>
                <w:szCs w:val="21"/>
              </w:rPr>
              <w:t>397</w:t>
            </w:r>
          </w:p>
        </w:tc>
        <w:tc>
          <w:tcPr>
            <w:tcW w:w="0" w:type="auto"/>
            <w:noWrap w:val="0"/>
            <w:vAlign w:val="center"/>
          </w:tcPr>
          <w:p w14:paraId="64FE98EB">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0" w:type="auto"/>
            <w:noWrap w:val="0"/>
            <w:vAlign w:val="center"/>
          </w:tcPr>
          <w:p w14:paraId="6FF95C22">
            <w:pPr>
              <w:jc w:val="center"/>
              <w:rPr>
                <w:rFonts w:ascii="宋体" w:hAnsi="宋体" w:cs="宋体"/>
                <w:color w:val="000000"/>
                <w:szCs w:val="21"/>
              </w:rPr>
            </w:pPr>
            <w:r>
              <w:rPr>
                <w:rFonts w:hint="eastAsia"/>
                <w:color w:val="000000"/>
                <w:szCs w:val="21"/>
              </w:rPr>
              <w:t>277</w:t>
            </w:r>
          </w:p>
        </w:tc>
      </w:tr>
      <w:tr w14:paraId="79A41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34C1B310">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343A993">
            <w:pPr>
              <w:spacing w:before="100" w:beforeAutospacing="1" w:after="100" w:afterAutospacing="1" w:line="240" w:lineRule="atLeast"/>
              <w:jc w:val="center"/>
              <w:rPr>
                <w:rFonts w:eastAsia="楷体_GB2312"/>
                <w:kern w:val="0"/>
                <w:szCs w:val="21"/>
              </w:rPr>
            </w:pPr>
          </w:p>
        </w:tc>
        <w:tc>
          <w:tcPr>
            <w:tcW w:w="0" w:type="auto"/>
            <w:noWrap w:val="0"/>
            <w:vAlign w:val="center"/>
          </w:tcPr>
          <w:p w14:paraId="46A9CE13">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7F1756B9">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6FAFF49A">
            <w:pPr>
              <w:jc w:val="center"/>
              <w:rPr>
                <w:rFonts w:ascii="宋体" w:hAnsi="宋体" w:cs="宋体"/>
                <w:color w:val="000000"/>
                <w:szCs w:val="21"/>
              </w:rPr>
            </w:pPr>
            <w:r>
              <w:rPr>
                <w:rFonts w:hint="eastAsia"/>
                <w:color w:val="000000"/>
                <w:szCs w:val="21"/>
              </w:rPr>
              <w:t>309</w:t>
            </w:r>
          </w:p>
        </w:tc>
        <w:tc>
          <w:tcPr>
            <w:tcW w:w="0" w:type="auto"/>
            <w:noWrap w:val="0"/>
            <w:vAlign w:val="center"/>
          </w:tcPr>
          <w:p w14:paraId="062913A9">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7A50E3DC">
            <w:pPr>
              <w:jc w:val="center"/>
              <w:rPr>
                <w:rFonts w:ascii="宋体" w:hAnsi="宋体" w:cs="宋体"/>
                <w:color w:val="000000"/>
                <w:szCs w:val="21"/>
              </w:rPr>
            </w:pPr>
            <w:r>
              <w:rPr>
                <w:rFonts w:hint="eastAsia"/>
                <w:color w:val="000000"/>
                <w:szCs w:val="21"/>
              </w:rPr>
              <w:t>196</w:t>
            </w:r>
          </w:p>
        </w:tc>
      </w:tr>
      <w:tr w14:paraId="6ECF6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1CCF6656">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0" w:type="auto"/>
            <w:vMerge w:val="restart"/>
            <w:noWrap w:val="0"/>
            <w:vAlign w:val="center"/>
          </w:tcPr>
          <w:p w14:paraId="7D6C0444">
            <w:pPr>
              <w:spacing w:before="100" w:beforeAutospacing="1" w:after="100" w:afterAutospacing="1" w:line="240" w:lineRule="atLeast"/>
              <w:jc w:val="center"/>
              <w:rPr>
                <w:rFonts w:eastAsia="楷体_GB2312"/>
                <w:kern w:val="0"/>
                <w:szCs w:val="21"/>
              </w:rPr>
            </w:pPr>
            <w:r>
              <w:rPr>
                <w:rFonts w:hint="eastAsia" w:eastAsia="楷体_GB2312"/>
                <w:kern w:val="0"/>
                <w:szCs w:val="21"/>
              </w:rPr>
              <w:t>夹沟镇</w:t>
            </w:r>
          </w:p>
        </w:tc>
        <w:tc>
          <w:tcPr>
            <w:tcW w:w="0" w:type="auto"/>
            <w:noWrap w:val="0"/>
            <w:vAlign w:val="center"/>
          </w:tcPr>
          <w:p w14:paraId="74103E8E">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5D32B02D">
            <w:pPr>
              <w:spacing w:before="100" w:beforeAutospacing="1" w:after="100" w:afterAutospacing="1" w:line="240" w:lineRule="atLeast"/>
              <w:jc w:val="center"/>
              <w:rPr>
                <w:rFonts w:eastAsia="楷体_GB2312"/>
                <w:kern w:val="0"/>
                <w:szCs w:val="21"/>
              </w:rPr>
            </w:pPr>
            <w:r>
              <w:rPr>
                <w:rFonts w:hint="eastAsia" w:eastAsia="楷体_GB2312"/>
                <w:kern w:val="0"/>
                <w:szCs w:val="21"/>
              </w:rPr>
              <w:t>21</w:t>
            </w:r>
          </w:p>
        </w:tc>
        <w:tc>
          <w:tcPr>
            <w:tcW w:w="0" w:type="auto"/>
            <w:noWrap w:val="0"/>
            <w:vAlign w:val="center"/>
          </w:tcPr>
          <w:p w14:paraId="11BF9FF3">
            <w:pPr>
              <w:jc w:val="center"/>
              <w:rPr>
                <w:rFonts w:ascii="宋体" w:hAnsi="宋体" w:cs="宋体"/>
                <w:color w:val="000000"/>
                <w:szCs w:val="21"/>
              </w:rPr>
            </w:pPr>
            <w:r>
              <w:rPr>
                <w:rFonts w:hint="eastAsia"/>
                <w:color w:val="000000"/>
                <w:szCs w:val="21"/>
              </w:rPr>
              <w:t>515</w:t>
            </w:r>
          </w:p>
        </w:tc>
        <w:tc>
          <w:tcPr>
            <w:tcW w:w="0" w:type="auto"/>
            <w:noWrap w:val="0"/>
            <w:vAlign w:val="center"/>
          </w:tcPr>
          <w:p w14:paraId="462F4AF1">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45E32BC5">
            <w:pPr>
              <w:jc w:val="center"/>
              <w:rPr>
                <w:rFonts w:ascii="宋体" w:hAnsi="宋体" w:cs="宋体"/>
                <w:color w:val="000000"/>
                <w:szCs w:val="21"/>
              </w:rPr>
            </w:pPr>
            <w:r>
              <w:rPr>
                <w:rFonts w:hint="eastAsia"/>
                <w:color w:val="000000"/>
                <w:szCs w:val="21"/>
              </w:rPr>
              <w:t>361</w:t>
            </w:r>
          </w:p>
        </w:tc>
      </w:tr>
      <w:tr w14:paraId="6CA57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C4175B1">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2E1DC37">
            <w:pPr>
              <w:spacing w:before="100" w:beforeAutospacing="1" w:after="100" w:afterAutospacing="1" w:line="240" w:lineRule="atLeast"/>
              <w:jc w:val="center"/>
              <w:rPr>
                <w:rFonts w:eastAsia="楷体_GB2312"/>
                <w:kern w:val="0"/>
                <w:szCs w:val="21"/>
              </w:rPr>
            </w:pPr>
          </w:p>
        </w:tc>
        <w:tc>
          <w:tcPr>
            <w:tcW w:w="0" w:type="auto"/>
            <w:noWrap w:val="0"/>
            <w:vAlign w:val="center"/>
          </w:tcPr>
          <w:p w14:paraId="32DC6192">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1A55C5AA">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0" w:type="auto"/>
            <w:noWrap w:val="0"/>
            <w:vAlign w:val="center"/>
          </w:tcPr>
          <w:p w14:paraId="4E0706C6">
            <w:pPr>
              <w:jc w:val="center"/>
              <w:rPr>
                <w:rFonts w:ascii="宋体" w:hAnsi="宋体" w:cs="宋体"/>
                <w:color w:val="000000"/>
                <w:szCs w:val="21"/>
              </w:rPr>
            </w:pPr>
            <w:r>
              <w:rPr>
                <w:rFonts w:hint="eastAsia"/>
                <w:color w:val="000000"/>
                <w:szCs w:val="21"/>
              </w:rPr>
              <w:t>399</w:t>
            </w:r>
          </w:p>
        </w:tc>
        <w:tc>
          <w:tcPr>
            <w:tcW w:w="0" w:type="auto"/>
            <w:noWrap w:val="0"/>
            <w:vAlign w:val="center"/>
          </w:tcPr>
          <w:p w14:paraId="1F0EBF72">
            <w:pPr>
              <w:spacing w:before="100" w:beforeAutospacing="1" w:after="100" w:afterAutospacing="1" w:line="240" w:lineRule="atLeast"/>
              <w:jc w:val="center"/>
              <w:rPr>
                <w:rFonts w:eastAsia="楷体_GB2312"/>
                <w:kern w:val="0"/>
                <w:szCs w:val="21"/>
              </w:rPr>
            </w:pPr>
            <w:r>
              <w:rPr>
                <w:rFonts w:hint="eastAsia" w:eastAsia="楷体_GB2312"/>
                <w:kern w:val="0"/>
                <w:szCs w:val="21"/>
              </w:rPr>
              <w:t>13</w:t>
            </w:r>
          </w:p>
        </w:tc>
        <w:tc>
          <w:tcPr>
            <w:tcW w:w="0" w:type="auto"/>
            <w:noWrap w:val="0"/>
            <w:vAlign w:val="center"/>
          </w:tcPr>
          <w:p w14:paraId="2BDB4B87">
            <w:pPr>
              <w:jc w:val="center"/>
              <w:rPr>
                <w:rFonts w:ascii="宋体" w:hAnsi="宋体" w:cs="宋体"/>
                <w:color w:val="000000"/>
                <w:szCs w:val="21"/>
              </w:rPr>
            </w:pPr>
            <w:r>
              <w:rPr>
                <w:rFonts w:hint="eastAsia"/>
                <w:color w:val="000000"/>
                <w:szCs w:val="21"/>
              </w:rPr>
              <w:t>281</w:t>
            </w:r>
          </w:p>
        </w:tc>
      </w:tr>
      <w:tr w14:paraId="17355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6058EB0">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E804438">
            <w:pPr>
              <w:spacing w:before="100" w:beforeAutospacing="1" w:after="100" w:afterAutospacing="1" w:line="240" w:lineRule="atLeast"/>
              <w:jc w:val="center"/>
              <w:rPr>
                <w:rFonts w:eastAsia="楷体_GB2312"/>
                <w:kern w:val="0"/>
                <w:szCs w:val="21"/>
              </w:rPr>
            </w:pPr>
          </w:p>
        </w:tc>
        <w:tc>
          <w:tcPr>
            <w:tcW w:w="0" w:type="auto"/>
            <w:noWrap w:val="0"/>
            <w:vAlign w:val="center"/>
          </w:tcPr>
          <w:p w14:paraId="680B4D3F">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24C6F633">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1DEF07FE">
            <w:pPr>
              <w:jc w:val="center"/>
              <w:rPr>
                <w:rFonts w:ascii="宋体" w:hAnsi="宋体" w:cs="宋体"/>
                <w:color w:val="000000"/>
                <w:szCs w:val="21"/>
              </w:rPr>
            </w:pPr>
            <w:r>
              <w:rPr>
                <w:rFonts w:hint="eastAsia"/>
                <w:color w:val="000000"/>
                <w:szCs w:val="21"/>
              </w:rPr>
              <w:t>315</w:t>
            </w:r>
          </w:p>
        </w:tc>
        <w:tc>
          <w:tcPr>
            <w:tcW w:w="0" w:type="auto"/>
            <w:noWrap w:val="0"/>
            <w:vAlign w:val="center"/>
          </w:tcPr>
          <w:p w14:paraId="0F0E16B7">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0D6165AC">
            <w:pPr>
              <w:jc w:val="center"/>
              <w:rPr>
                <w:rFonts w:ascii="宋体" w:hAnsi="宋体" w:cs="宋体"/>
                <w:color w:val="000000"/>
                <w:szCs w:val="21"/>
              </w:rPr>
            </w:pPr>
            <w:r>
              <w:rPr>
                <w:rFonts w:hint="eastAsia"/>
                <w:color w:val="000000"/>
                <w:szCs w:val="21"/>
              </w:rPr>
              <w:t>218</w:t>
            </w:r>
          </w:p>
        </w:tc>
      </w:tr>
      <w:tr w14:paraId="5B3C6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1AB74815">
            <w:pPr>
              <w:spacing w:before="100" w:beforeAutospacing="1" w:after="100" w:afterAutospacing="1" w:line="240" w:lineRule="atLeast"/>
              <w:jc w:val="center"/>
              <w:rPr>
                <w:rFonts w:eastAsia="楷体_GB2312"/>
                <w:kern w:val="0"/>
                <w:szCs w:val="21"/>
              </w:rPr>
            </w:pPr>
            <w:r>
              <w:rPr>
                <w:rFonts w:hint="eastAsia" w:eastAsia="楷体_GB2312"/>
                <w:kern w:val="0"/>
                <w:szCs w:val="21"/>
              </w:rPr>
              <w:t>9</w:t>
            </w:r>
          </w:p>
        </w:tc>
        <w:tc>
          <w:tcPr>
            <w:tcW w:w="0" w:type="auto"/>
            <w:vMerge w:val="restart"/>
            <w:noWrap w:val="0"/>
            <w:vAlign w:val="center"/>
          </w:tcPr>
          <w:p w14:paraId="215CE239">
            <w:pPr>
              <w:spacing w:before="100" w:beforeAutospacing="1" w:after="100" w:afterAutospacing="1" w:line="240" w:lineRule="atLeast"/>
              <w:jc w:val="center"/>
              <w:rPr>
                <w:rFonts w:eastAsia="楷体_GB2312"/>
                <w:kern w:val="0"/>
                <w:szCs w:val="21"/>
              </w:rPr>
            </w:pPr>
            <w:r>
              <w:rPr>
                <w:rFonts w:hint="eastAsia" w:eastAsia="楷体_GB2312"/>
                <w:kern w:val="0"/>
                <w:szCs w:val="21"/>
              </w:rPr>
              <w:t>西二铺乡</w:t>
            </w:r>
          </w:p>
        </w:tc>
        <w:tc>
          <w:tcPr>
            <w:tcW w:w="0" w:type="auto"/>
            <w:noWrap w:val="0"/>
            <w:vAlign w:val="center"/>
          </w:tcPr>
          <w:p w14:paraId="1B1E9CF7">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5CE7EE10">
            <w:pPr>
              <w:spacing w:before="100" w:beforeAutospacing="1" w:after="100" w:afterAutospacing="1" w:line="240" w:lineRule="atLeast"/>
              <w:jc w:val="center"/>
              <w:rPr>
                <w:rFonts w:eastAsia="楷体_GB2312"/>
                <w:kern w:val="0"/>
                <w:szCs w:val="21"/>
              </w:rPr>
            </w:pPr>
            <w:r>
              <w:rPr>
                <w:rFonts w:hint="eastAsia" w:eastAsia="楷体_GB2312"/>
                <w:kern w:val="0"/>
                <w:szCs w:val="21"/>
              </w:rPr>
              <w:t>17</w:t>
            </w:r>
          </w:p>
        </w:tc>
        <w:tc>
          <w:tcPr>
            <w:tcW w:w="0" w:type="auto"/>
            <w:noWrap w:val="0"/>
            <w:vAlign w:val="center"/>
          </w:tcPr>
          <w:p w14:paraId="295B720A">
            <w:pPr>
              <w:jc w:val="center"/>
              <w:rPr>
                <w:rFonts w:ascii="宋体" w:hAnsi="宋体" w:cs="宋体"/>
                <w:color w:val="000000"/>
                <w:szCs w:val="21"/>
              </w:rPr>
            </w:pPr>
            <w:r>
              <w:rPr>
                <w:rFonts w:hint="eastAsia"/>
                <w:color w:val="000000"/>
                <w:szCs w:val="21"/>
              </w:rPr>
              <w:t>525</w:t>
            </w:r>
          </w:p>
        </w:tc>
        <w:tc>
          <w:tcPr>
            <w:tcW w:w="0" w:type="auto"/>
            <w:noWrap w:val="0"/>
            <w:vAlign w:val="center"/>
          </w:tcPr>
          <w:p w14:paraId="42A44017">
            <w:pPr>
              <w:spacing w:before="100" w:beforeAutospacing="1" w:after="100" w:afterAutospacing="1" w:line="240" w:lineRule="atLeast"/>
              <w:jc w:val="center"/>
              <w:rPr>
                <w:rFonts w:eastAsia="楷体_GB2312"/>
                <w:kern w:val="0"/>
                <w:szCs w:val="21"/>
              </w:rPr>
            </w:pPr>
            <w:r>
              <w:rPr>
                <w:rFonts w:hint="eastAsia" w:eastAsia="楷体_GB2312"/>
                <w:kern w:val="0"/>
                <w:szCs w:val="21"/>
              </w:rPr>
              <w:t>18</w:t>
            </w:r>
          </w:p>
        </w:tc>
        <w:tc>
          <w:tcPr>
            <w:tcW w:w="0" w:type="auto"/>
            <w:noWrap w:val="0"/>
            <w:vAlign w:val="center"/>
          </w:tcPr>
          <w:p w14:paraId="5FA76141">
            <w:pPr>
              <w:jc w:val="center"/>
              <w:rPr>
                <w:rFonts w:ascii="宋体" w:hAnsi="宋体" w:cs="宋体"/>
                <w:color w:val="000000"/>
                <w:szCs w:val="21"/>
              </w:rPr>
            </w:pPr>
            <w:r>
              <w:rPr>
                <w:rFonts w:hint="eastAsia"/>
                <w:color w:val="000000"/>
                <w:szCs w:val="21"/>
              </w:rPr>
              <w:t>371</w:t>
            </w:r>
          </w:p>
        </w:tc>
      </w:tr>
      <w:tr w14:paraId="2728F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BBCD39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B71D952">
            <w:pPr>
              <w:spacing w:before="100" w:beforeAutospacing="1" w:after="100" w:afterAutospacing="1" w:line="240" w:lineRule="atLeast"/>
              <w:jc w:val="center"/>
              <w:rPr>
                <w:rFonts w:eastAsia="楷体_GB2312"/>
                <w:kern w:val="0"/>
                <w:szCs w:val="21"/>
              </w:rPr>
            </w:pPr>
          </w:p>
        </w:tc>
        <w:tc>
          <w:tcPr>
            <w:tcW w:w="0" w:type="auto"/>
            <w:noWrap w:val="0"/>
            <w:vAlign w:val="center"/>
          </w:tcPr>
          <w:p w14:paraId="6B368243">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7566219A">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2B321939">
            <w:pPr>
              <w:jc w:val="center"/>
              <w:rPr>
                <w:rFonts w:ascii="宋体" w:hAnsi="宋体" w:cs="宋体"/>
                <w:color w:val="000000"/>
                <w:szCs w:val="21"/>
              </w:rPr>
            </w:pPr>
            <w:r>
              <w:rPr>
                <w:rFonts w:hint="eastAsia"/>
                <w:color w:val="000000"/>
                <w:szCs w:val="21"/>
              </w:rPr>
              <w:t>411</w:t>
            </w:r>
          </w:p>
        </w:tc>
        <w:tc>
          <w:tcPr>
            <w:tcW w:w="0" w:type="auto"/>
            <w:noWrap w:val="0"/>
            <w:vAlign w:val="center"/>
          </w:tcPr>
          <w:p w14:paraId="7AF87BC2">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0" w:type="auto"/>
            <w:noWrap w:val="0"/>
            <w:vAlign w:val="center"/>
          </w:tcPr>
          <w:p w14:paraId="78C6BB23">
            <w:pPr>
              <w:jc w:val="center"/>
              <w:rPr>
                <w:rFonts w:ascii="宋体" w:hAnsi="宋体" w:cs="宋体"/>
                <w:color w:val="000000"/>
                <w:szCs w:val="21"/>
              </w:rPr>
            </w:pPr>
            <w:r>
              <w:rPr>
                <w:rFonts w:hint="eastAsia"/>
                <w:color w:val="000000"/>
                <w:szCs w:val="21"/>
              </w:rPr>
              <w:t>288</w:t>
            </w:r>
          </w:p>
        </w:tc>
      </w:tr>
      <w:tr w14:paraId="7FF1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32A8D05">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8F1F4CB">
            <w:pPr>
              <w:spacing w:before="100" w:beforeAutospacing="1" w:after="100" w:afterAutospacing="1" w:line="240" w:lineRule="atLeast"/>
              <w:jc w:val="center"/>
              <w:rPr>
                <w:rFonts w:eastAsia="楷体_GB2312"/>
                <w:kern w:val="0"/>
                <w:szCs w:val="21"/>
              </w:rPr>
            </w:pPr>
          </w:p>
        </w:tc>
        <w:tc>
          <w:tcPr>
            <w:tcW w:w="0" w:type="auto"/>
            <w:noWrap w:val="0"/>
            <w:vAlign w:val="center"/>
          </w:tcPr>
          <w:p w14:paraId="24A51498">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02CC1B7E">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01331AA3">
            <w:pPr>
              <w:jc w:val="center"/>
              <w:rPr>
                <w:rFonts w:ascii="宋体" w:hAnsi="宋体" w:cs="宋体"/>
                <w:color w:val="000000"/>
                <w:szCs w:val="21"/>
              </w:rPr>
            </w:pPr>
            <w:r>
              <w:rPr>
                <w:rFonts w:hint="eastAsia"/>
                <w:color w:val="000000"/>
                <w:szCs w:val="21"/>
              </w:rPr>
              <w:t>301</w:t>
            </w:r>
          </w:p>
        </w:tc>
        <w:tc>
          <w:tcPr>
            <w:tcW w:w="0" w:type="auto"/>
            <w:noWrap w:val="0"/>
            <w:vAlign w:val="center"/>
          </w:tcPr>
          <w:p w14:paraId="3DAA4D8B">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525759DF">
            <w:pPr>
              <w:jc w:val="center"/>
              <w:rPr>
                <w:rFonts w:ascii="宋体" w:hAnsi="宋体" w:cs="宋体"/>
                <w:color w:val="000000"/>
                <w:szCs w:val="21"/>
              </w:rPr>
            </w:pPr>
            <w:r>
              <w:rPr>
                <w:rFonts w:hint="eastAsia"/>
                <w:color w:val="000000"/>
                <w:szCs w:val="21"/>
              </w:rPr>
              <w:t>224</w:t>
            </w:r>
          </w:p>
        </w:tc>
      </w:tr>
      <w:tr w14:paraId="254B1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314908E7">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vMerge w:val="restart"/>
            <w:noWrap w:val="0"/>
            <w:vAlign w:val="center"/>
          </w:tcPr>
          <w:p w14:paraId="0C1B1EDE">
            <w:pPr>
              <w:spacing w:before="100" w:beforeAutospacing="1" w:after="100" w:afterAutospacing="1" w:line="240" w:lineRule="atLeast"/>
              <w:jc w:val="center"/>
              <w:rPr>
                <w:rFonts w:eastAsia="楷体_GB2312"/>
                <w:kern w:val="0"/>
                <w:szCs w:val="21"/>
              </w:rPr>
            </w:pPr>
            <w:r>
              <w:rPr>
                <w:rFonts w:hint="eastAsia" w:eastAsia="楷体_GB2312"/>
                <w:kern w:val="0"/>
                <w:szCs w:val="21"/>
              </w:rPr>
              <w:t>桃园镇</w:t>
            </w:r>
          </w:p>
        </w:tc>
        <w:tc>
          <w:tcPr>
            <w:tcW w:w="0" w:type="auto"/>
            <w:noWrap w:val="0"/>
            <w:vAlign w:val="center"/>
          </w:tcPr>
          <w:p w14:paraId="522D5508">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5D8E68DD">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0" w:type="auto"/>
            <w:noWrap w:val="0"/>
            <w:vAlign w:val="center"/>
          </w:tcPr>
          <w:p w14:paraId="2B911B3C">
            <w:pPr>
              <w:jc w:val="center"/>
              <w:rPr>
                <w:rFonts w:ascii="宋体" w:hAnsi="宋体" w:cs="宋体"/>
                <w:color w:val="000000"/>
                <w:szCs w:val="21"/>
              </w:rPr>
            </w:pPr>
            <w:r>
              <w:rPr>
                <w:rFonts w:hint="eastAsia"/>
                <w:color w:val="000000"/>
                <w:szCs w:val="21"/>
              </w:rPr>
              <w:t>480</w:t>
            </w:r>
          </w:p>
        </w:tc>
        <w:tc>
          <w:tcPr>
            <w:tcW w:w="0" w:type="auto"/>
            <w:noWrap w:val="0"/>
            <w:vAlign w:val="center"/>
          </w:tcPr>
          <w:p w14:paraId="2C101030">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7CA6753C">
            <w:pPr>
              <w:jc w:val="center"/>
              <w:rPr>
                <w:rFonts w:ascii="宋体" w:hAnsi="宋体" w:cs="宋体"/>
                <w:color w:val="000000"/>
                <w:szCs w:val="21"/>
              </w:rPr>
            </w:pPr>
            <w:r>
              <w:rPr>
                <w:rFonts w:hint="eastAsia"/>
                <w:color w:val="000000"/>
                <w:szCs w:val="21"/>
              </w:rPr>
              <w:t>354</w:t>
            </w:r>
          </w:p>
        </w:tc>
      </w:tr>
      <w:tr w14:paraId="3622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36CF538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F32EC7D">
            <w:pPr>
              <w:spacing w:before="100" w:beforeAutospacing="1" w:after="100" w:afterAutospacing="1" w:line="240" w:lineRule="atLeast"/>
              <w:jc w:val="center"/>
              <w:rPr>
                <w:rFonts w:eastAsia="楷体_GB2312"/>
                <w:kern w:val="0"/>
                <w:szCs w:val="21"/>
              </w:rPr>
            </w:pPr>
          </w:p>
        </w:tc>
        <w:tc>
          <w:tcPr>
            <w:tcW w:w="0" w:type="auto"/>
            <w:noWrap w:val="0"/>
            <w:vAlign w:val="center"/>
          </w:tcPr>
          <w:p w14:paraId="66B143DD">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4CC13868">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noWrap w:val="0"/>
            <w:vAlign w:val="center"/>
          </w:tcPr>
          <w:p w14:paraId="38ECBE15">
            <w:pPr>
              <w:jc w:val="center"/>
              <w:rPr>
                <w:rFonts w:ascii="宋体" w:hAnsi="宋体" w:cs="宋体"/>
                <w:color w:val="000000"/>
                <w:szCs w:val="21"/>
              </w:rPr>
            </w:pPr>
            <w:r>
              <w:rPr>
                <w:rFonts w:hint="eastAsia"/>
                <w:color w:val="000000"/>
                <w:szCs w:val="21"/>
              </w:rPr>
              <w:t>366</w:t>
            </w:r>
          </w:p>
        </w:tc>
        <w:tc>
          <w:tcPr>
            <w:tcW w:w="0" w:type="auto"/>
            <w:noWrap w:val="0"/>
            <w:vAlign w:val="center"/>
          </w:tcPr>
          <w:p w14:paraId="2BFCE7D6">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5C6D26B3">
            <w:pPr>
              <w:jc w:val="center"/>
              <w:rPr>
                <w:rFonts w:ascii="宋体" w:hAnsi="宋体" w:cs="宋体"/>
                <w:color w:val="000000"/>
                <w:szCs w:val="21"/>
              </w:rPr>
            </w:pPr>
            <w:r>
              <w:rPr>
                <w:rFonts w:hint="eastAsia"/>
                <w:color w:val="000000"/>
                <w:szCs w:val="21"/>
              </w:rPr>
              <w:t>267</w:t>
            </w:r>
          </w:p>
        </w:tc>
      </w:tr>
      <w:tr w14:paraId="2993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08152C9">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64F5A6B">
            <w:pPr>
              <w:spacing w:before="100" w:beforeAutospacing="1" w:after="100" w:afterAutospacing="1" w:line="240" w:lineRule="atLeast"/>
              <w:jc w:val="center"/>
              <w:rPr>
                <w:rFonts w:eastAsia="楷体_GB2312"/>
                <w:kern w:val="0"/>
                <w:szCs w:val="21"/>
              </w:rPr>
            </w:pPr>
          </w:p>
        </w:tc>
        <w:tc>
          <w:tcPr>
            <w:tcW w:w="0" w:type="auto"/>
            <w:noWrap w:val="0"/>
            <w:vAlign w:val="center"/>
          </w:tcPr>
          <w:p w14:paraId="57633784">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472B12F4">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753783FA">
            <w:pPr>
              <w:jc w:val="center"/>
              <w:rPr>
                <w:rFonts w:ascii="宋体" w:hAnsi="宋体" w:cs="宋体"/>
                <w:color w:val="000000"/>
                <w:szCs w:val="21"/>
              </w:rPr>
            </w:pPr>
            <w:r>
              <w:rPr>
                <w:rFonts w:hint="eastAsia"/>
                <w:color w:val="000000"/>
                <w:szCs w:val="21"/>
              </w:rPr>
              <w:t>294</w:t>
            </w:r>
          </w:p>
        </w:tc>
        <w:tc>
          <w:tcPr>
            <w:tcW w:w="0" w:type="auto"/>
            <w:noWrap w:val="0"/>
            <w:vAlign w:val="center"/>
          </w:tcPr>
          <w:p w14:paraId="1D3D01E1">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5C93D367">
            <w:pPr>
              <w:jc w:val="center"/>
              <w:rPr>
                <w:rFonts w:ascii="宋体" w:hAnsi="宋体" w:cs="宋体"/>
                <w:color w:val="000000"/>
                <w:szCs w:val="21"/>
              </w:rPr>
            </w:pPr>
            <w:r>
              <w:rPr>
                <w:rFonts w:hint="eastAsia"/>
                <w:color w:val="000000"/>
                <w:szCs w:val="21"/>
              </w:rPr>
              <w:t>204</w:t>
            </w:r>
          </w:p>
        </w:tc>
      </w:tr>
      <w:tr w14:paraId="445BC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3FD4FFC0">
            <w:pPr>
              <w:spacing w:before="100" w:beforeAutospacing="1" w:after="100" w:afterAutospacing="1" w:line="240" w:lineRule="atLeast"/>
              <w:jc w:val="center"/>
              <w:rPr>
                <w:rFonts w:eastAsia="楷体_GB2312"/>
                <w:kern w:val="0"/>
                <w:szCs w:val="21"/>
              </w:rPr>
            </w:pPr>
            <w:r>
              <w:rPr>
                <w:rFonts w:hint="eastAsia" w:eastAsia="楷体_GB2312"/>
                <w:kern w:val="0"/>
                <w:szCs w:val="21"/>
              </w:rPr>
              <w:t>11</w:t>
            </w:r>
          </w:p>
        </w:tc>
        <w:tc>
          <w:tcPr>
            <w:tcW w:w="0" w:type="auto"/>
            <w:vMerge w:val="restart"/>
            <w:noWrap w:val="0"/>
            <w:vAlign w:val="center"/>
          </w:tcPr>
          <w:p w14:paraId="0B06D434">
            <w:pPr>
              <w:spacing w:before="100" w:beforeAutospacing="1" w:after="100" w:afterAutospacing="1" w:line="240" w:lineRule="atLeast"/>
              <w:jc w:val="center"/>
              <w:rPr>
                <w:rFonts w:eastAsia="楷体_GB2312"/>
                <w:kern w:val="0"/>
                <w:szCs w:val="21"/>
              </w:rPr>
            </w:pPr>
            <w:r>
              <w:rPr>
                <w:rFonts w:hint="eastAsia" w:eastAsia="楷体_GB2312"/>
                <w:kern w:val="0"/>
                <w:szCs w:val="21"/>
              </w:rPr>
              <w:t>曹村镇</w:t>
            </w:r>
          </w:p>
        </w:tc>
        <w:tc>
          <w:tcPr>
            <w:tcW w:w="0" w:type="auto"/>
            <w:noWrap w:val="0"/>
            <w:vAlign w:val="center"/>
          </w:tcPr>
          <w:p w14:paraId="6B28EAFC">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13D3FA56">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443B5581">
            <w:pPr>
              <w:jc w:val="center"/>
              <w:rPr>
                <w:rFonts w:ascii="宋体" w:hAnsi="宋体" w:cs="宋体"/>
                <w:color w:val="000000"/>
                <w:szCs w:val="21"/>
              </w:rPr>
            </w:pPr>
            <w:r>
              <w:rPr>
                <w:rFonts w:hint="eastAsia"/>
                <w:color w:val="000000"/>
                <w:szCs w:val="21"/>
              </w:rPr>
              <w:t>470</w:t>
            </w:r>
          </w:p>
        </w:tc>
        <w:tc>
          <w:tcPr>
            <w:tcW w:w="0" w:type="auto"/>
            <w:noWrap w:val="0"/>
            <w:vAlign w:val="center"/>
          </w:tcPr>
          <w:p w14:paraId="5C12F18D">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49EB3F74">
            <w:pPr>
              <w:jc w:val="center"/>
              <w:rPr>
                <w:rFonts w:ascii="宋体" w:hAnsi="宋体" w:cs="宋体"/>
                <w:color w:val="000000"/>
                <w:szCs w:val="21"/>
              </w:rPr>
            </w:pPr>
            <w:r>
              <w:rPr>
                <w:rFonts w:hint="eastAsia"/>
                <w:color w:val="000000"/>
                <w:szCs w:val="21"/>
              </w:rPr>
              <w:t>378</w:t>
            </w:r>
          </w:p>
        </w:tc>
      </w:tr>
      <w:tr w14:paraId="68A3E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EE495EB">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46B9910C">
            <w:pPr>
              <w:spacing w:before="100" w:beforeAutospacing="1" w:after="100" w:afterAutospacing="1" w:line="240" w:lineRule="atLeast"/>
              <w:jc w:val="center"/>
              <w:rPr>
                <w:rFonts w:eastAsia="楷体_GB2312"/>
                <w:kern w:val="0"/>
                <w:szCs w:val="21"/>
              </w:rPr>
            </w:pPr>
          </w:p>
        </w:tc>
        <w:tc>
          <w:tcPr>
            <w:tcW w:w="0" w:type="auto"/>
            <w:noWrap w:val="0"/>
            <w:vAlign w:val="center"/>
          </w:tcPr>
          <w:p w14:paraId="2D5370EB">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5C219A3A">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1230970C">
            <w:pPr>
              <w:jc w:val="center"/>
              <w:rPr>
                <w:rFonts w:ascii="宋体" w:hAnsi="宋体" w:cs="宋体"/>
                <w:color w:val="000000"/>
                <w:szCs w:val="21"/>
              </w:rPr>
            </w:pPr>
            <w:r>
              <w:rPr>
                <w:rFonts w:hint="eastAsia"/>
                <w:color w:val="000000"/>
                <w:szCs w:val="21"/>
              </w:rPr>
              <w:t>399</w:t>
            </w:r>
          </w:p>
        </w:tc>
        <w:tc>
          <w:tcPr>
            <w:tcW w:w="0" w:type="auto"/>
            <w:noWrap w:val="0"/>
            <w:vAlign w:val="center"/>
          </w:tcPr>
          <w:p w14:paraId="75748ACF">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04DA197F">
            <w:pPr>
              <w:jc w:val="center"/>
              <w:rPr>
                <w:rFonts w:ascii="宋体" w:hAnsi="宋体" w:cs="宋体"/>
                <w:color w:val="000000"/>
                <w:szCs w:val="21"/>
              </w:rPr>
            </w:pPr>
            <w:r>
              <w:rPr>
                <w:rFonts w:hint="eastAsia"/>
                <w:color w:val="000000"/>
                <w:szCs w:val="21"/>
              </w:rPr>
              <w:t>275</w:t>
            </w:r>
          </w:p>
        </w:tc>
      </w:tr>
      <w:tr w14:paraId="07421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9641D19">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F83BD8D">
            <w:pPr>
              <w:spacing w:before="100" w:beforeAutospacing="1" w:after="100" w:afterAutospacing="1" w:line="240" w:lineRule="atLeast"/>
              <w:jc w:val="center"/>
              <w:rPr>
                <w:rFonts w:eastAsia="楷体_GB2312"/>
                <w:kern w:val="0"/>
                <w:szCs w:val="21"/>
              </w:rPr>
            </w:pPr>
          </w:p>
        </w:tc>
        <w:tc>
          <w:tcPr>
            <w:tcW w:w="0" w:type="auto"/>
            <w:noWrap w:val="0"/>
            <w:vAlign w:val="center"/>
          </w:tcPr>
          <w:p w14:paraId="55275B53">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313E3473">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62C78294">
            <w:pPr>
              <w:jc w:val="center"/>
              <w:rPr>
                <w:rFonts w:ascii="宋体" w:hAnsi="宋体" w:cs="宋体"/>
                <w:color w:val="000000"/>
                <w:szCs w:val="21"/>
              </w:rPr>
            </w:pPr>
            <w:r>
              <w:rPr>
                <w:rFonts w:hint="eastAsia"/>
                <w:color w:val="000000"/>
                <w:szCs w:val="21"/>
              </w:rPr>
              <w:t>285</w:t>
            </w:r>
          </w:p>
        </w:tc>
        <w:tc>
          <w:tcPr>
            <w:tcW w:w="0" w:type="auto"/>
            <w:noWrap w:val="0"/>
            <w:vAlign w:val="center"/>
          </w:tcPr>
          <w:p w14:paraId="701594BA">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501CB56B">
            <w:pPr>
              <w:jc w:val="center"/>
              <w:rPr>
                <w:rFonts w:ascii="宋体" w:hAnsi="宋体" w:cs="宋体"/>
                <w:color w:val="000000"/>
                <w:szCs w:val="21"/>
              </w:rPr>
            </w:pPr>
            <w:r>
              <w:rPr>
                <w:rFonts w:hint="eastAsia"/>
                <w:color w:val="000000"/>
                <w:szCs w:val="21"/>
              </w:rPr>
              <w:t>212</w:t>
            </w:r>
          </w:p>
        </w:tc>
      </w:tr>
      <w:tr w14:paraId="0D2BE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42BB4288">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0" w:type="auto"/>
            <w:vMerge w:val="restart"/>
            <w:noWrap w:val="0"/>
            <w:vAlign w:val="center"/>
          </w:tcPr>
          <w:p w14:paraId="3497F0FA">
            <w:pPr>
              <w:spacing w:before="100" w:beforeAutospacing="1" w:after="100" w:afterAutospacing="1" w:line="240" w:lineRule="atLeast"/>
              <w:jc w:val="center"/>
              <w:rPr>
                <w:rFonts w:eastAsia="楷体_GB2312"/>
                <w:kern w:val="0"/>
                <w:szCs w:val="21"/>
              </w:rPr>
            </w:pPr>
            <w:r>
              <w:rPr>
                <w:rFonts w:hint="eastAsia" w:eastAsia="楷体_GB2312"/>
                <w:kern w:val="0"/>
                <w:szCs w:val="21"/>
              </w:rPr>
              <w:t>大营镇</w:t>
            </w:r>
          </w:p>
        </w:tc>
        <w:tc>
          <w:tcPr>
            <w:tcW w:w="0" w:type="auto"/>
            <w:noWrap w:val="0"/>
            <w:vAlign w:val="center"/>
          </w:tcPr>
          <w:p w14:paraId="20D7C37B">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4A698D96">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1D10AAD2">
            <w:pPr>
              <w:jc w:val="center"/>
              <w:rPr>
                <w:rFonts w:ascii="宋体" w:hAnsi="宋体" w:cs="宋体"/>
                <w:color w:val="000000"/>
                <w:szCs w:val="21"/>
              </w:rPr>
            </w:pPr>
            <w:r>
              <w:rPr>
                <w:rFonts w:hint="eastAsia"/>
                <w:color w:val="000000"/>
                <w:szCs w:val="21"/>
              </w:rPr>
              <w:t>475</w:t>
            </w:r>
          </w:p>
        </w:tc>
        <w:tc>
          <w:tcPr>
            <w:tcW w:w="0" w:type="auto"/>
            <w:noWrap w:val="0"/>
            <w:vAlign w:val="center"/>
          </w:tcPr>
          <w:p w14:paraId="1C50A078">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3018B0D4">
            <w:pPr>
              <w:jc w:val="center"/>
              <w:rPr>
                <w:rFonts w:ascii="宋体" w:hAnsi="宋体" w:cs="宋体"/>
                <w:color w:val="000000"/>
                <w:szCs w:val="21"/>
              </w:rPr>
            </w:pPr>
            <w:r>
              <w:rPr>
                <w:rFonts w:hint="eastAsia"/>
                <w:color w:val="000000"/>
                <w:szCs w:val="21"/>
              </w:rPr>
              <w:t>366</w:t>
            </w:r>
          </w:p>
        </w:tc>
      </w:tr>
      <w:tr w14:paraId="41D03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495452D1">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41993958">
            <w:pPr>
              <w:spacing w:before="100" w:beforeAutospacing="1" w:after="100" w:afterAutospacing="1" w:line="240" w:lineRule="atLeast"/>
              <w:jc w:val="center"/>
              <w:rPr>
                <w:rFonts w:eastAsia="楷体_GB2312"/>
                <w:kern w:val="0"/>
                <w:szCs w:val="21"/>
              </w:rPr>
            </w:pPr>
          </w:p>
        </w:tc>
        <w:tc>
          <w:tcPr>
            <w:tcW w:w="0" w:type="auto"/>
            <w:noWrap w:val="0"/>
            <w:vAlign w:val="center"/>
          </w:tcPr>
          <w:p w14:paraId="0A2A5F3E">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687767B7">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noWrap w:val="0"/>
            <w:vAlign w:val="center"/>
          </w:tcPr>
          <w:p w14:paraId="6654E471">
            <w:pPr>
              <w:jc w:val="center"/>
              <w:rPr>
                <w:rFonts w:ascii="宋体" w:hAnsi="宋体" w:cs="宋体"/>
                <w:color w:val="000000"/>
                <w:szCs w:val="21"/>
              </w:rPr>
            </w:pPr>
            <w:r>
              <w:rPr>
                <w:rFonts w:hint="eastAsia"/>
                <w:color w:val="000000"/>
                <w:szCs w:val="21"/>
              </w:rPr>
              <w:t>386</w:t>
            </w:r>
          </w:p>
        </w:tc>
        <w:tc>
          <w:tcPr>
            <w:tcW w:w="0" w:type="auto"/>
            <w:noWrap w:val="0"/>
            <w:vAlign w:val="center"/>
          </w:tcPr>
          <w:p w14:paraId="3870D436">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noWrap w:val="0"/>
            <w:vAlign w:val="center"/>
          </w:tcPr>
          <w:p w14:paraId="5C8737BD">
            <w:pPr>
              <w:jc w:val="center"/>
              <w:rPr>
                <w:rFonts w:ascii="宋体" w:hAnsi="宋体" w:cs="宋体"/>
                <w:color w:val="000000"/>
                <w:szCs w:val="21"/>
              </w:rPr>
            </w:pPr>
            <w:r>
              <w:rPr>
                <w:rFonts w:hint="eastAsia"/>
                <w:color w:val="000000"/>
                <w:szCs w:val="21"/>
              </w:rPr>
              <w:t>270</w:t>
            </w:r>
          </w:p>
        </w:tc>
      </w:tr>
      <w:tr w14:paraId="0C8FF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7A73C86">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0A314FA">
            <w:pPr>
              <w:spacing w:before="100" w:beforeAutospacing="1" w:after="100" w:afterAutospacing="1" w:line="240" w:lineRule="atLeast"/>
              <w:jc w:val="center"/>
              <w:rPr>
                <w:rFonts w:eastAsia="楷体_GB2312"/>
                <w:kern w:val="0"/>
                <w:szCs w:val="21"/>
              </w:rPr>
            </w:pPr>
          </w:p>
        </w:tc>
        <w:tc>
          <w:tcPr>
            <w:tcW w:w="0" w:type="auto"/>
            <w:noWrap w:val="0"/>
            <w:vAlign w:val="center"/>
          </w:tcPr>
          <w:p w14:paraId="185B76AE">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07DA1166">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464DC111">
            <w:pPr>
              <w:jc w:val="center"/>
              <w:rPr>
                <w:rFonts w:ascii="宋体" w:hAnsi="宋体" w:cs="宋体"/>
                <w:color w:val="000000"/>
                <w:szCs w:val="21"/>
              </w:rPr>
            </w:pPr>
            <w:r>
              <w:rPr>
                <w:rFonts w:hint="eastAsia"/>
                <w:color w:val="000000"/>
                <w:szCs w:val="21"/>
              </w:rPr>
              <w:t>304</w:t>
            </w:r>
          </w:p>
        </w:tc>
        <w:tc>
          <w:tcPr>
            <w:tcW w:w="0" w:type="auto"/>
            <w:noWrap w:val="0"/>
            <w:vAlign w:val="center"/>
          </w:tcPr>
          <w:p w14:paraId="2018532A">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130A09B6">
            <w:pPr>
              <w:jc w:val="center"/>
              <w:rPr>
                <w:rFonts w:ascii="宋体" w:hAnsi="宋体" w:cs="宋体"/>
                <w:color w:val="000000"/>
                <w:szCs w:val="21"/>
              </w:rPr>
            </w:pPr>
            <w:r>
              <w:rPr>
                <w:rFonts w:hint="eastAsia"/>
                <w:color w:val="000000"/>
                <w:szCs w:val="21"/>
              </w:rPr>
              <w:t>206</w:t>
            </w:r>
          </w:p>
        </w:tc>
      </w:tr>
      <w:tr w14:paraId="32198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0863745B">
            <w:pPr>
              <w:spacing w:before="100" w:beforeAutospacing="1" w:after="100" w:afterAutospacing="1" w:line="240" w:lineRule="atLeast"/>
              <w:jc w:val="center"/>
              <w:rPr>
                <w:rFonts w:eastAsia="楷体_GB2312"/>
                <w:kern w:val="0"/>
                <w:szCs w:val="21"/>
              </w:rPr>
            </w:pPr>
            <w:r>
              <w:rPr>
                <w:rFonts w:hint="eastAsia" w:eastAsia="楷体_GB2312"/>
                <w:kern w:val="0"/>
                <w:szCs w:val="21"/>
              </w:rPr>
              <w:t>13</w:t>
            </w:r>
          </w:p>
        </w:tc>
        <w:tc>
          <w:tcPr>
            <w:tcW w:w="0" w:type="auto"/>
            <w:vMerge w:val="restart"/>
            <w:noWrap w:val="0"/>
            <w:vAlign w:val="center"/>
          </w:tcPr>
          <w:p w14:paraId="54DE55BA">
            <w:pPr>
              <w:spacing w:before="100" w:beforeAutospacing="1" w:after="100" w:afterAutospacing="1" w:line="240" w:lineRule="atLeast"/>
              <w:jc w:val="center"/>
              <w:rPr>
                <w:rFonts w:eastAsia="楷体_GB2312"/>
                <w:kern w:val="0"/>
                <w:szCs w:val="21"/>
              </w:rPr>
            </w:pPr>
            <w:r>
              <w:rPr>
                <w:rFonts w:hint="eastAsia" w:eastAsia="楷体_GB2312"/>
                <w:kern w:val="0"/>
                <w:szCs w:val="21"/>
              </w:rPr>
              <w:t>褚兰镇</w:t>
            </w:r>
          </w:p>
        </w:tc>
        <w:tc>
          <w:tcPr>
            <w:tcW w:w="0" w:type="auto"/>
            <w:noWrap w:val="0"/>
            <w:vAlign w:val="center"/>
          </w:tcPr>
          <w:p w14:paraId="437AB5E6">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005C39DF">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1282C711">
            <w:pPr>
              <w:jc w:val="center"/>
              <w:rPr>
                <w:rFonts w:ascii="宋体" w:hAnsi="宋体" w:cs="宋体"/>
                <w:color w:val="000000"/>
                <w:szCs w:val="21"/>
              </w:rPr>
            </w:pPr>
            <w:r>
              <w:rPr>
                <w:rFonts w:hint="eastAsia"/>
                <w:color w:val="000000"/>
                <w:szCs w:val="21"/>
              </w:rPr>
              <w:t>489</w:t>
            </w:r>
          </w:p>
        </w:tc>
        <w:tc>
          <w:tcPr>
            <w:tcW w:w="0" w:type="auto"/>
            <w:noWrap w:val="0"/>
            <w:vAlign w:val="center"/>
          </w:tcPr>
          <w:p w14:paraId="21EC2283">
            <w:pPr>
              <w:spacing w:before="100" w:beforeAutospacing="1" w:after="100" w:afterAutospacing="1" w:line="240" w:lineRule="atLeast"/>
              <w:jc w:val="center"/>
              <w:rPr>
                <w:rFonts w:eastAsia="楷体_GB2312"/>
                <w:kern w:val="0"/>
                <w:szCs w:val="21"/>
              </w:rPr>
            </w:pPr>
            <w:r>
              <w:rPr>
                <w:rFonts w:hint="eastAsia" w:eastAsia="楷体_GB2312"/>
                <w:kern w:val="0"/>
                <w:szCs w:val="21"/>
              </w:rPr>
              <w:t>19</w:t>
            </w:r>
          </w:p>
        </w:tc>
        <w:tc>
          <w:tcPr>
            <w:tcW w:w="0" w:type="auto"/>
            <w:noWrap w:val="0"/>
            <w:vAlign w:val="center"/>
          </w:tcPr>
          <w:p w14:paraId="6D00380A">
            <w:pPr>
              <w:jc w:val="center"/>
              <w:rPr>
                <w:rFonts w:ascii="宋体" w:hAnsi="宋体" w:cs="宋体"/>
                <w:color w:val="000000"/>
                <w:szCs w:val="21"/>
              </w:rPr>
            </w:pPr>
            <w:r>
              <w:rPr>
                <w:rFonts w:hint="eastAsia"/>
                <w:color w:val="000000"/>
                <w:szCs w:val="21"/>
              </w:rPr>
              <w:t>368</w:t>
            </w:r>
          </w:p>
        </w:tc>
      </w:tr>
      <w:tr w14:paraId="54E00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341357E0">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39E2558">
            <w:pPr>
              <w:spacing w:before="100" w:beforeAutospacing="1" w:after="100" w:afterAutospacing="1" w:line="240" w:lineRule="atLeast"/>
              <w:jc w:val="center"/>
              <w:rPr>
                <w:rFonts w:eastAsia="楷体_GB2312"/>
                <w:kern w:val="0"/>
                <w:szCs w:val="21"/>
              </w:rPr>
            </w:pPr>
          </w:p>
        </w:tc>
        <w:tc>
          <w:tcPr>
            <w:tcW w:w="0" w:type="auto"/>
            <w:noWrap w:val="0"/>
            <w:vAlign w:val="center"/>
          </w:tcPr>
          <w:p w14:paraId="07E7195B">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4EED567F">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00B689B8">
            <w:pPr>
              <w:jc w:val="center"/>
              <w:rPr>
                <w:rFonts w:ascii="宋体" w:hAnsi="宋体" w:cs="宋体"/>
                <w:color w:val="000000"/>
                <w:szCs w:val="21"/>
              </w:rPr>
            </w:pPr>
            <w:r>
              <w:rPr>
                <w:rFonts w:hint="eastAsia"/>
                <w:color w:val="000000"/>
                <w:szCs w:val="21"/>
              </w:rPr>
              <w:t>386</w:t>
            </w:r>
          </w:p>
        </w:tc>
        <w:tc>
          <w:tcPr>
            <w:tcW w:w="0" w:type="auto"/>
            <w:noWrap w:val="0"/>
            <w:vAlign w:val="center"/>
          </w:tcPr>
          <w:p w14:paraId="05844556">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31F599F6">
            <w:pPr>
              <w:jc w:val="center"/>
              <w:rPr>
                <w:rFonts w:ascii="宋体" w:hAnsi="宋体" w:cs="宋体"/>
                <w:color w:val="000000"/>
                <w:szCs w:val="21"/>
              </w:rPr>
            </w:pPr>
            <w:r>
              <w:rPr>
                <w:rFonts w:hint="eastAsia"/>
                <w:color w:val="000000"/>
                <w:szCs w:val="21"/>
              </w:rPr>
              <w:t>284</w:t>
            </w:r>
          </w:p>
        </w:tc>
      </w:tr>
      <w:tr w14:paraId="65F9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F33822B">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8916A42">
            <w:pPr>
              <w:spacing w:before="100" w:beforeAutospacing="1" w:after="100" w:afterAutospacing="1" w:line="240" w:lineRule="atLeast"/>
              <w:jc w:val="center"/>
              <w:rPr>
                <w:rFonts w:eastAsia="楷体_GB2312"/>
                <w:kern w:val="0"/>
                <w:szCs w:val="21"/>
              </w:rPr>
            </w:pPr>
          </w:p>
        </w:tc>
        <w:tc>
          <w:tcPr>
            <w:tcW w:w="0" w:type="auto"/>
            <w:noWrap w:val="0"/>
            <w:vAlign w:val="center"/>
          </w:tcPr>
          <w:p w14:paraId="2FB1362C">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247F1B44">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713A4199">
            <w:pPr>
              <w:jc w:val="center"/>
              <w:rPr>
                <w:rFonts w:ascii="宋体" w:hAnsi="宋体" w:cs="宋体"/>
                <w:color w:val="000000"/>
                <w:szCs w:val="21"/>
              </w:rPr>
            </w:pPr>
            <w:r>
              <w:rPr>
                <w:rFonts w:hint="eastAsia"/>
                <w:color w:val="000000"/>
                <w:szCs w:val="21"/>
              </w:rPr>
              <w:t>310</w:t>
            </w:r>
          </w:p>
        </w:tc>
        <w:tc>
          <w:tcPr>
            <w:tcW w:w="0" w:type="auto"/>
            <w:noWrap w:val="0"/>
            <w:vAlign w:val="center"/>
          </w:tcPr>
          <w:p w14:paraId="19F9D587">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002CA57E">
            <w:pPr>
              <w:jc w:val="center"/>
              <w:rPr>
                <w:rFonts w:ascii="宋体" w:hAnsi="宋体" w:cs="宋体"/>
                <w:color w:val="000000"/>
                <w:szCs w:val="21"/>
              </w:rPr>
            </w:pPr>
            <w:r>
              <w:rPr>
                <w:rFonts w:hint="eastAsia"/>
                <w:color w:val="000000"/>
                <w:szCs w:val="21"/>
              </w:rPr>
              <w:t>199</w:t>
            </w:r>
          </w:p>
        </w:tc>
      </w:tr>
      <w:tr w14:paraId="71E32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221783C5">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vMerge w:val="restart"/>
            <w:noWrap w:val="0"/>
            <w:vAlign w:val="center"/>
          </w:tcPr>
          <w:p w14:paraId="068EEFA8">
            <w:pPr>
              <w:spacing w:before="100" w:beforeAutospacing="1" w:after="100" w:afterAutospacing="1" w:line="240" w:lineRule="atLeast"/>
              <w:jc w:val="center"/>
              <w:rPr>
                <w:rFonts w:eastAsia="楷体_GB2312"/>
                <w:kern w:val="0"/>
                <w:szCs w:val="21"/>
              </w:rPr>
            </w:pPr>
            <w:r>
              <w:rPr>
                <w:rFonts w:hint="eastAsia" w:eastAsia="楷体_GB2312"/>
                <w:kern w:val="0"/>
                <w:szCs w:val="21"/>
              </w:rPr>
              <w:t>顺河镇</w:t>
            </w:r>
          </w:p>
        </w:tc>
        <w:tc>
          <w:tcPr>
            <w:tcW w:w="0" w:type="auto"/>
            <w:noWrap w:val="0"/>
            <w:vAlign w:val="center"/>
          </w:tcPr>
          <w:p w14:paraId="78782263">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0E3CC3B0">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3D9CC1DE">
            <w:pPr>
              <w:jc w:val="center"/>
              <w:rPr>
                <w:rFonts w:ascii="宋体" w:hAnsi="宋体" w:cs="宋体"/>
                <w:color w:val="000000"/>
                <w:szCs w:val="21"/>
              </w:rPr>
            </w:pPr>
            <w:r>
              <w:rPr>
                <w:rFonts w:hint="eastAsia"/>
                <w:color w:val="000000"/>
                <w:szCs w:val="21"/>
              </w:rPr>
              <w:t>456</w:t>
            </w:r>
          </w:p>
        </w:tc>
        <w:tc>
          <w:tcPr>
            <w:tcW w:w="0" w:type="auto"/>
            <w:noWrap w:val="0"/>
            <w:vAlign w:val="center"/>
          </w:tcPr>
          <w:p w14:paraId="7AD8CD9F">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4F68708A">
            <w:pPr>
              <w:jc w:val="center"/>
              <w:rPr>
                <w:rFonts w:ascii="宋体" w:hAnsi="宋体" w:cs="宋体"/>
                <w:color w:val="000000"/>
                <w:szCs w:val="21"/>
              </w:rPr>
            </w:pPr>
            <w:r>
              <w:rPr>
                <w:rFonts w:hint="eastAsia"/>
                <w:color w:val="000000"/>
                <w:szCs w:val="21"/>
              </w:rPr>
              <w:t>330</w:t>
            </w:r>
          </w:p>
        </w:tc>
      </w:tr>
      <w:tr w14:paraId="5A87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9754671">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B1FECD3">
            <w:pPr>
              <w:spacing w:before="100" w:beforeAutospacing="1" w:after="100" w:afterAutospacing="1" w:line="240" w:lineRule="atLeast"/>
              <w:jc w:val="center"/>
              <w:rPr>
                <w:rFonts w:eastAsia="楷体_GB2312"/>
                <w:kern w:val="0"/>
                <w:szCs w:val="21"/>
              </w:rPr>
            </w:pPr>
          </w:p>
        </w:tc>
        <w:tc>
          <w:tcPr>
            <w:tcW w:w="0" w:type="auto"/>
            <w:noWrap w:val="0"/>
            <w:vAlign w:val="center"/>
          </w:tcPr>
          <w:p w14:paraId="2F180C04">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452E62F8">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60DE5CB8">
            <w:pPr>
              <w:jc w:val="center"/>
              <w:rPr>
                <w:rFonts w:ascii="宋体" w:hAnsi="宋体" w:cs="宋体"/>
                <w:color w:val="000000"/>
                <w:szCs w:val="21"/>
              </w:rPr>
            </w:pPr>
            <w:r>
              <w:rPr>
                <w:rFonts w:hint="eastAsia"/>
                <w:color w:val="000000"/>
                <w:szCs w:val="21"/>
              </w:rPr>
              <w:t>385</w:t>
            </w:r>
          </w:p>
        </w:tc>
        <w:tc>
          <w:tcPr>
            <w:tcW w:w="0" w:type="auto"/>
            <w:noWrap w:val="0"/>
            <w:vAlign w:val="center"/>
          </w:tcPr>
          <w:p w14:paraId="4749C257">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63A3B6B8">
            <w:pPr>
              <w:jc w:val="center"/>
              <w:rPr>
                <w:rFonts w:ascii="宋体" w:hAnsi="宋体" w:cs="宋体"/>
                <w:color w:val="000000"/>
                <w:szCs w:val="21"/>
              </w:rPr>
            </w:pPr>
            <w:r>
              <w:rPr>
                <w:rFonts w:hint="eastAsia"/>
                <w:color w:val="000000"/>
                <w:szCs w:val="21"/>
              </w:rPr>
              <w:t>257</w:t>
            </w:r>
          </w:p>
        </w:tc>
      </w:tr>
      <w:tr w14:paraId="2722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FF99C64">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19EAED9">
            <w:pPr>
              <w:spacing w:before="100" w:beforeAutospacing="1" w:after="100" w:afterAutospacing="1" w:line="240" w:lineRule="atLeast"/>
              <w:jc w:val="center"/>
              <w:rPr>
                <w:rFonts w:eastAsia="楷体_GB2312"/>
                <w:kern w:val="0"/>
                <w:szCs w:val="21"/>
              </w:rPr>
            </w:pPr>
          </w:p>
        </w:tc>
        <w:tc>
          <w:tcPr>
            <w:tcW w:w="0" w:type="auto"/>
            <w:noWrap w:val="0"/>
            <w:vAlign w:val="center"/>
          </w:tcPr>
          <w:p w14:paraId="2B39AE89">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6DAA31AD">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5C66F9F5">
            <w:pPr>
              <w:jc w:val="center"/>
              <w:rPr>
                <w:rFonts w:ascii="宋体" w:hAnsi="宋体" w:cs="宋体"/>
                <w:color w:val="000000"/>
                <w:szCs w:val="21"/>
              </w:rPr>
            </w:pPr>
            <w:r>
              <w:rPr>
                <w:rFonts w:hint="eastAsia"/>
                <w:color w:val="000000"/>
                <w:szCs w:val="21"/>
              </w:rPr>
              <w:t>310</w:t>
            </w:r>
          </w:p>
        </w:tc>
        <w:tc>
          <w:tcPr>
            <w:tcW w:w="0" w:type="auto"/>
            <w:noWrap w:val="0"/>
            <w:vAlign w:val="center"/>
          </w:tcPr>
          <w:p w14:paraId="3FACB1C6">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7D217EA4">
            <w:pPr>
              <w:jc w:val="center"/>
              <w:rPr>
                <w:rFonts w:ascii="宋体" w:hAnsi="宋体" w:cs="宋体"/>
                <w:color w:val="000000"/>
                <w:szCs w:val="21"/>
              </w:rPr>
            </w:pPr>
            <w:r>
              <w:rPr>
                <w:rFonts w:hint="eastAsia"/>
                <w:color w:val="000000"/>
                <w:szCs w:val="21"/>
              </w:rPr>
              <w:t>209</w:t>
            </w:r>
          </w:p>
        </w:tc>
      </w:tr>
      <w:tr w14:paraId="089C5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410D5378">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vMerge w:val="restart"/>
            <w:noWrap w:val="0"/>
            <w:vAlign w:val="center"/>
          </w:tcPr>
          <w:p w14:paraId="6D53C60A">
            <w:pPr>
              <w:spacing w:before="100" w:beforeAutospacing="1" w:after="100" w:afterAutospacing="1" w:line="240" w:lineRule="atLeast"/>
              <w:jc w:val="center"/>
              <w:rPr>
                <w:rFonts w:eastAsia="楷体_GB2312"/>
                <w:kern w:val="0"/>
                <w:szCs w:val="21"/>
              </w:rPr>
            </w:pPr>
            <w:r>
              <w:rPr>
                <w:rFonts w:hint="eastAsia" w:eastAsia="楷体_GB2312"/>
                <w:kern w:val="0"/>
                <w:szCs w:val="21"/>
              </w:rPr>
              <w:t>杨庄镇</w:t>
            </w:r>
          </w:p>
        </w:tc>
        <w:tc>
          <w:tcPr>
            <w:tcW w:w="0" w:type="auto"/>
            <w:noWrap w:val="0"/>
            <w:vAlign w:val="center"/>
          </w:tcPr>
          <w:p w14:paraId="72AF9DBF">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5740B652">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2C811073">
            <w:pPr>
              <w:jc w:val="center"/>
              <w:rPr>
                <w:rFonts w:ascii="宋体" w:hAnsi="宋体" w:cs="宋体"/>
                <w:color w:val="000000"/>
                <w:szCs w:val="21"/>
              </w:rPr>
            </w:pPr>
            <w:r>
              <w:rPr>
                <w:rFonts w:hint="eastAsia"/>
                <w:color w:val="000000"/>
                <w:szCs w:val="21"/>
              </w:rPr>
              <w:t>446</w:t>
            </w:r>
          </w:p>
        </w:tc>
        <w:tc>
          <w:tcPr>
            <w:tcW w:w="0" w:type="auto"/>
            <w:noWrap w:val="0"/>
            <w:vAlign w:val="center"/>
          </w:tcPr>
          <w:p w14:paraId="0B2748E9">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0B1B962E">
            <w:pPr>
              <w:jc w:val="center"/>
              <w:rPr>
                <w:rFonts w:ascii="宋体" w:hAnsi="宋体" w:cs="宋体"/>
                <w:color w:val="000000"/>
                <w:szCs w:val="21"/>
              </w:rPr>
            </w:pPr>
            <w:r>
              <w:rPr>
                <w:rFonts w:hint="eastAsia"/>
                <w:color w:val="000000"/>
                <w:szCs w:val="21"/>
              </w:rPr>
              <w:t>357</w:t>
            </w:r>
          </w:p>
        </w:tc>
      </w:tr>
      <w:tr w14:paraId="4C47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9D4F47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514DC81">
            <w:pPr>
              <w:spacing w:before="100" w:beforeAutospacing="1" w:after="100" w:afterAutospacing="1" w:line="240" w:lineRule="atLeast"/>
              <w:jc w:val="center"/>
              <w:rPr>
                <w:rFonts w:eastAsia="楷体_GB2312"/>
                <w:kern w:val="0"/>
                <w:szCs w:val="21"/>
              </w:rPr>
            </w:pPr>
          </w:p>
        </w:tc>
        <w:tc>
          <w:tcPr>
            <w:tcW w:w="0" w:type="auto"/>
            <w:noWrap w:val="0"/>
            <w:vAlign w:val="center"/>
          </w:tcPr>
          <w:p w14:paraId="148D6815">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150E4046">
            <w:pPr>
              <w:spacing w:before="100" w:beforeAutospacing="1" w:after="100" w:afterAutospacing="1" w:line="240" w:lineRule="atLeast"/>
              <w:jc w:val="center"/>
              <w:rPr>
                <w:rFonts w:eastAsia="楷体_GB2312"/>
                <w:kern w:val="0"/>
                <w:szCs w:val="21"/>
              </w:rPr>
            </w:pPr>
            <w:r>
              <w:rPr>
                <w:rFonts w:hint="eastAsia" w:eastAsia="楷体_GB2312"/>
                <w:kern w:val="0"/>
                <w:szCs w:val="21"/>
              </w:rPr>
              <w:t>9</w:t>
            </w:r>
          </w:p>
        </w:tc>
        <w:tc>
          <w:tcPr>
            <w:tcW w:w="0" w:type="auto"/>
            <w:noWrap w:val="0"/>
            <w:vAlign w:val="center"/>
          </w:tcPr>
          <w:p w14:paraId="718B6576">
            <w:pPr>
              <w:jc w:val="center"/>
              <w:rPr>
                <w:rFonts w:ascii="宋体" w:hAnsi="宋体" w:cs="宋体"/>
                <w:color w:val="000000"/>
                <w:szCs w:val="21"/>
              </w:rPr>
            </w:pPr>
            <w:r>
              <w:rPr>
                <w:rFonts w:hint="eastAsia"/>
                <w:color w:val="000000"/>
                <w:szCs w:val="21"/>
              </w:rPr>
              <w:t>355</w:t>
            </w:r>
          </w:p>
        </w:tc>
        <w:tc>
          <w:tcPr>
            <w:tcW w:w="0" w:type="auto"/>
            <w:noWrap w:val="0"/>
            <w:vAlign w:val="center"/>
          </w:tcPr>
          <w:p w14:paraId="4C62FF26">
            <w:pPr>
              <w:spacing w:before="100" w:beforeAutospacing="1" w:after="100" w:afterAutospacing="1" w:line="240" w:lineRule="atLeast"/>
              <w:jc w:val="center"/>
              <w:rPr>
                <w:rFonts w:eastAsia="楷体_GB2312"/>
                <w:kern w:val="0"/>
                <w:szCs w:val="21"/>
              </w:rPr>
            </w:pPr>
            <w:r>
              <w:rPr>
                <w:rFonts w:hint="eastAsia" w:eastAsia="楷体_GB2312"/>
                <w:kern w:val="0"/>
                <w:szCs w:val="21"/>
              </w:rPr>
              <w:t>13</w:t>
            </w:r>
          </w:p>
        </w:tc>
        <w:tc>
          <w:tcPr>
            <w:tcW w:w="0" w:type="auto"/>
            <w:noWrap w:val="0"/>
            <w:vAlign w:val="center"/>
          </w:tcPr>
          <w:p w14:paraId="51804880">
            <w:pPr>
              <w:jc w:val="center"/>
              <w:rPr>
                <w:rFonts w:ascii="宋体" w:hAnsi="宋体" w:cs="宋体"/>
                <w:color w:val="000000"/>
                <w:szCs w:val="21"/>
              </w:rPr>
            </w:pPr>
            <w:r>
              <w:rPr>
                <w:rFonts w:hint="eastAsia"/>
                <w:color w:val="000000"/>
                <w:szCs w:val="21"/>
              </w:rPr>
              <w:t>260</w:t>
            </w:r>
          </w:p>
        </w:tc>
      </w:tr>
      <w:tr w14:paraId="501D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B73A422">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1E6A1DD">
            <w:pPr>
              <w:spacing w:before="100" w:beforeAutospacing="1" w:after="100" w:afterAutospacing="1" w:line="240" w:lineRule="atLeast"/>
              <w:jc w:val="center"/>
              <w:rPr>
                <w:rFonts w:eastAsia="楷体_GB2312"/>
                <w:kern w:val="0"/>
                <w:szCs w:val="21"/>
              </w:rPr>
            </w:pPr>
          </w:p>
        </w:tc>
        <w:tc>
          <w:tcPr>
            <w:tcW w:w="0" w:type="auto"/>
            <w:noWrap w:val="0"/>
            <w:vAlign w:val="center"/>
          </w:tcPr>
          <w:p w14:paraId="20DE0D24">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6580D423">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2D83114A">
            <w:pPr>
              <w:jc w:val="center"/>
              <w:rPr>
                <w:rFonts w:ascii="宋体" w:hAnsi="宋体" w:cs="宋体"/>
                <w:color w:val="000000"/>
                <w:szCs w:val="21"/>
              </w:rPr>
            </w:pPr>
            <w:r>
              <w:rPr>
                <w:rFonts w:hint="eastAsia"/>
                <w:color w:val="000000"/>
                <w:szCs w:val="21"/>
              </w:rPr>
              <w:t>275</w:t>
            </w:r>
          </w:p>
        </w:tc>
        <w:tc>
          <w:tcPr>
            <w:tcW w:w="0" w:type="auto"/>
            <w:noWrap w:val="0"/>
            <w:vAlign w:val="center"/>
          </w:tcPr>
          <w:p w14:paraId="7E745E91">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4D876161">
            <w:pPr>
              <w:jc w:val="center"/>
              <w:rPr>
                <w:rFonts w:ascii="宋体" w:hAnsi="宋体" w:cs="宋体"/>
                <w:color w:val="000000"/>
                <w:szCs w:val="21"/>
              </w:rPr>
            </w:pPr>
            <w:r>
              <w:rPr>
                <w:rFonts w:hint="eastAsia"/>
                <w:color w:val="000000"/>
                <w:szCs w:val="21"/>
              </w:rPr>
              <w:t>205</w:t>
            </w:r>
          </w:p>
        </w:tc>
      </w:tr>
      <w:tr w14:paraId="466D3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73E18036">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vMerge w:val="restart"/>
            <w:noWrap w:val="0"/>
            <w:vAlign w:val="center"/>
          </w:tcPr>
          <w:p w14:paraId="479D62FB">
            <w:pPr>
              <w:spacing w:before="100" w:beforeAutospacing="1" w:after="100" w:afterAutospacing="1" w:line="240" w:lineRule="atLeast"/>
              <w:jc w:val="center"/>
              <w:rPr>
                <w:rFonts w:eastAsia="楷体_GB2312"/>
                <w:kern w:val="0"/>
                <w:szCs w:val="21"/>
              </w:rPr>
            </w:pPr>
            <w:r>
              <w:rPr>
                <w:rFonts w:hint="eastAsia" w:eastAsia="楷体_GB2312"/>
                <w:kern w:val="0"/>
                <w:szCs w:val="21"/>
              </w:rPr>
              <w:t>永镇乡</w:t>
            </w:r>
          </w:p>
        </w:tc>
        <w:tc>
          <w:tcPr>
            <w:tcW w:w="0" w:type="auto"/>
            <w:noWrap w:val="0"/>
            <w:vAlign w:val="center"/>
          </w:tcPr>
          <w:p w14:paraId="3925D82C">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73C4A7BF">
            <w:pPr>
              <w:spacing w:before="100" w:beforeAutospacing="1" w:after="100" w:afterAutospacing="1" w:line="240" w:lineRule="atLeast"/>
              <w:jc w:val="center"/>
              <w:rPr>
                <w:rFonts w:eastAsia="楷体_GB2312"/>
                <w:kern w:val="0"/>
                <w:szCs w:val="21"/>
              </w:rPr>
            </w:pPr>
            <w:r>
              <w:rPr>
                <w:rFonts w:hint="eastAsia" w:eastAsia="楷体_GB2312"/>
                <w:kern w:val="0"/>
                <w:szCs w:val="21"/>
              </w:rPr>
              <w:t>13</w:t>
            </w:r>
          </w:p>
        </w:tc>
        <w:tc>
          <w:tcPr>
            <w:tcW w:w="0" w:type="auto"/>
            <w:noWrap w:val="0"/>
            <w:vAlign w:val="center"/>
          </w:tcPr>
          <w:p w14:paraId="2A0B0C67">
            <w:pPr>
              <w:jc w:val="center"/>
              <w:rPr>
                <w:rFonts w:ascii="宋体" w:hAnsi="宋体" w:cs="宋体"/>
                <w:color w:val="000000"/>
                <w:szCs w:val="21"/>
              </w:rPr>
            </w:pPr>
            <w:r>
              <w:rPr>
                <w:rFonts w:hint="eastAsia"/>
                <w:color w:val="000000"/>
                <w:szCs w:val="21"/>
              </w:rPr>
              <w:t>464</w:t>
            </w:r>
          </w:p>
        </w:tc>
        <w:tc>
          <w:tcPr>
            <w:tcW w:w="0" w:type="auto"/>
            <w:noWrap w:val="0"/>
            <w:vAlign w:val="center"/>
          </w:tcPr>
          <w:p w14:paraId="1C1F3BD6">
            <w:pPr>
              <w:spacing w:before="100" w:beforeAutospacing="1" w:after="100" w:afterAutospacing="1" w:line="240" w:lineRule="atLeast"/>
              <w:jc w:val="center"/>
              <w:rPr>
                <w:rFonts w:eastAsia="楷体_GB2312"/>
                <w:kern w:val="0"/>
                <w:szCs w:val="21"/>
              </w:rPr>
            </w:pPr>
            <w:r>
              <w:rPr>
                <w:rFonts w:hint="eastAsia" w:eastAsia="楷体_GB2312"/>
                <w:kern w:val="0"/>
                <w:szCs w:val="21"/>
              </w:rPr>
              <w:t>18</w:t>
            </w:r>
          </w:p>
        </w:tc>
        <w:tc>
          <w:tcPr>
            <w:tcW w:w="0" w:type="auto"/>
            <w:noWrap w:val="0"/>
            <w:vAlign w:val="center"/>
          </w:tcPr>
          <w:p w14:paraId="5211233D">
            <w:pPr>
              <w:jc w:val="center"/>
              <w:rPr>
                <w:rFonts w:ascii="宋体" w:hAnsi="宋体" w:cs="宋体"/>
                <w:color w:val="000000"/>
                <w:szCs w:val="21"/>
              </w:rPr>
            </w:pPr>
            <w:r>
              <w:rPr>
                <w:rFonts w:hint="eastAsia"/>
                <w:color w:val="000000"/>
                <w:szCs w:val="21"/>
              </w:rPr>
              <w:t>347</w:t>
            </w:r>
          </w:p>
        </w:tc>
      </w:tr>
      <w:tr w14:paraId="1B140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3CFF8A09">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261D0ED">
            <w:pPr>
              <w:spacing w:before="100" w:beforeAutospacing="1" w:after="100" w:afterAutospacing="1" w:line="240" w:lineRule="atLeast"/>
              <w:jc w:val="center"/>
              <w:rPr>
                <w:rFonts w:eastAsia="楷体_GB2312"/>
                <w:kern w:val="0"/>
                <w:szCs w:val="21"/>
              </w:rPr>
            </w:pPr>
          </w:p>
        </w:tc>
        <w:tc>
          <w:tcPr>
            <w:tcW w:w="0" w:type="auto"/>
            <w:noWrap w:val="0"/>
            <w:vAlign w:val="center"/>
          </w:tcPr>
          <w:p w14:paraId="7C10EA6E">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3EAC11E0">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1473F32A">
            <w:pPr>
              <w:jc w:val="center"/>
              <w:rPr>
                <w:rFonts w:ascii="宋体" w:hAnsi="宋体" w:cs="宋体"/>
                <w:color w:val="000000"/>
                <w:szCs w:val="21"/>
              </w:rPr>
            </w:pPr>
            <w:r>
              <w:rPr>
                <w:rFonts w:hint="eastAsia"/>
                <w:color w:val="000000"/>
                <w:szCs w:val="21"/>
              </w:rPr>
              <w:t>337</w:t>
            </w:r>
          </w:p>
        </w:tc>
        <w:tc>
          <w:tcPr>
            <w:tcW w:w="0" w:type="auto"/>
            <w:noWrap w:val="0"/>
            <w:vAlign w:val="center"/>
          </w:tcPr>
          <w:p w14:paraId="3048D784">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4D3CE757">
            <w:pPr>
              <w:jc w:val="center"/>
              <w:rPr>
                <w:rFonts w:ascii="宋体" w:hAnsi="宋体" w:cs="宋体"/>
                <w:color w:val="000000"/>
                <w:szCs w:val="21"/>
              </w:rPr>
            </w:pPr>
            <w:r>
              <w:rPr>
                <w:rFonts w:hint="eastAsia"/>
                <w:color w:val="000000"/>
                <w:szCs w:val="21"/>
              </w:rPr>
              <w:t>260</w:t>
            </w:r>
          </w:p>
        </w:tc>
      </w:tr>
      <w:tr w14:paraId="7B7E3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448B2E7D">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2537BBA">
            <w:pPr>
              <w:spacing w:before="100" w:beforeAutospacing="1" w:after="100" w:afterAutospacing="1" w:line="240" w:lineRule="atLeast"/>
              <w:jc w:val="center"/>
              <w:rPr>
                <w:rFonts w:eastAsia="楷体_GB2312"/>
                <w:kern w:val="0"/>
                <w:szCs w:val="21"/>
              </w:rPr>
            </w:pPr>
          </w:p>
        </w:tc>
        <w:tc>
          <w:tcPr>
            <w:tcW w:w="0" w:type="auto"/>
            <w:noWrap w:val="0"/>
            <w:vAlign w:val="center"/>
          </w:tcPr>
          <w:p w14:paraId="38803E8E">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2500F911">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2091D984">
            <w:pPr>
              <w:jc w:val="center"/>
              <w:rPr>
                <w:rFonts w:ascii="宋体" w:hAnsi="宋体" w:cs="宋体"/>
                <w:color w:val="000000"/>
                <w:szCs w:val="21"/>
              </w:rPr>
            </w:pPr>
            <w:r>
              <w:rPr>
                <w:rFonts w:hint="eastAsia"/>
                <w:color w:val="000000"/>
                <w:szCs w:val="21"/>
              </w:rPr>
              <w:t>266</w:t>
            </w:r>
          </w:p>
        </w:tc>
        <w:tc>
          <w:tcPr>
            <w:tcW w:w="0" w:type="auto"/>
            <w:noWrap w:val="0"/>
            <w:vAlign w:val="center"/>
          </w:tcPr>
          <w:p w14:paraId="62B6DBE1">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69CEDC05">
            <w:pPr>
              <w:jc w:val="center"/>
              <w:rPr>
                <w:rFonts w:ascii="宋体" w:hAnsi="宋体" w:cs="宋体"/>
                <w:color w:val="000000"/>
                <w:szCs w:val="21"/>
              </w:rPr>
            </w:pPr>
            <w:r>
              <w:rPr>
                <w:rFonts w:hint="eastAsia"/>
                <w:color w:val="000000"/>
                <w:szCs w:val="21"/>
              </w:rPr>
              <w:t>204</w:t>
            </w:r>
          </w:p>
        </w:tc>
      </w:tr>
      <w:tr w14:paraId="26AA3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73A66FDF">
            <w:pPr>
              <w:spacing w:before="100" w:beforeAutospacing="1" w:after="100" w:afterAutospacing="1" w:line="240" w:lineRule="atLeast"/>
              <w:jc w:val="center"/>
              <w:rPr>
                <w:rFonts w:eastAsia="楷体_GB2312"/>
                <w:kern w:val="0"/>
                <w:szCs w:val="21"/>
              </w:rPr>
            </w:pPr>
            <w:r>
              <w:rPr>
                <w:rFonts w:hint="eastAsia" w:eastAsia="楷体_GB2312"/>
                <w:kern w:val="0"/>
                <w:szCs w:val="21"/>
              </w:rPr>
              <w:t>17</w:t>
            </w:r>
          </w:p>
        </w:tc>
        <w:tc>
          <w:tcPr>
            <w:tcW w:w="0" w:type="auto"/>
            <w:vMerge w:val="restart"/>
            <w:noWrap w:val="0"/>
            <w:vAlign w:val="center"/>
          </w:tcPr>
          <w:p w14:paraId="4457917B">
            <w:pPr>
              <w:spacing w:before="100" w:beforeAutospacing="1" w:after="100" w:afterAutospacing="1" w:line="240" w:lineRule="atLeast"/>
              <w:jc w:val="center"/>
              <w:rPr>
                <w:rFonts w:eastAsia="楷体_GB2312"/>
                <w:kern w:val="0"/>
                <w:szCs w:val="21"/>
              </w:rPr>
            </w:pPr>
            <w:r>
              <w:rPr>
                <w:rFonts w:hint="eastAsia" w:eastAsia="楷体_GB2312"/>
                <w:kern w:val="0"/>
                <w:szCs w:val="21"/>
              </w:rPr>
              <w:t>解集镇</w:t>
            </w:r>
          </w:p>
        </w:tc>
        <w:tc>
          <w:tcPr>
            <w:tcW w:w="0" w:type="auto"/>
            <w:noWrap w:val="0"/>
            <w:vAlign w:val="center"/>
          </w:tcPr>
          <w:p w14:paraId="3ACA9CE5">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797CDF2D">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0" w:type="auto"/>
            <w:noWrap w:val="0"/>
            <w:vAlign w:val="center"/>
          </w:tcPr>
          <w:p w14:paraId="07E236E1">
            <w:pPr>
              <w:jc w:val="center"/>
              <w:rPr>
                <w:rFonts w:ascii="宋体" w:hAnsi="宋体" w:cs="宋体"/>
                <w:color w:val="000000"/>
                <w:szCs w:val="21"/>
              </w:rPr>
            </w:pPr>
            <w:r>
              <w:rPr>
                <w:rFonts w:hint="eastAsia"/>
                <w:color w:val="000000"/>
                <w:szCs w:val="21"/>
              </w:rPr>
              <w:t>413</w:t>
            </w:r>
          </w:p>
        </w:tc>
        <w:tc>
          <w:tcPr>
            <w:tcW w:w="0" w:type="auto"/>
            <w:noWrap w:val="0"/>
            <w:vAlign w:val="center"/>
          </w:tcPr>
          <w:p w14:paraId="01F97351">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3AED433B">
            <w:pPr>
              <w:jc w:val="center"/>
              <w:rPr>
                <w:rFonts w:ascii="宋体" w:hAnsi="宋体" w:cs="宋体"/>
                <w:color w:val="000000"/>
                <w:szCs w:val="21"/>
              </w:rPr>
            </w:pPr>
            <w:r>
              <w:rPr>
                <w:rFonts w:hint="eastAsia"/>
                <w:color w:val="000000"/>
                <w:szCs w:val="21"/>
              </w:rPr>
              <w:t>348</w:t>
            </w:r>
          </w:p>
        </w:tc>
      </w:tr>
      <w:tr w14:paraId="1EFF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A291BCA">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651D154">
            <w:pPr>
              <w:spacing w:before="100" w:beforeAutospacing="1" w:after="100" w:afterAutospacing="1" w:line="240" w:lineRule="atLeast"/>
              <w:jc w:val="center"/>
              <w:rPr>
                <w:rFonts w:eastAsia="楷体_GB2312"/>
                <w:kern w:val="0"/>
                <w:szCs w:val="21"/>
              </w:rPr>
            </w:pPr>
          </w:p>
        </w:tc>
        <w:tc>
          <w:tcPr>
            <w:tcW w:w="0" w:type="auto"/>
            <w:noWrap w:val="0"/>
            <w:vAlign w:val="center"/>
          </w:tcPr>
          <w:p w14:paraId="200366A6">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63E08577">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noWrap w:val="0"/>
            <w:vAlign w:val="center"/>
          </w:tcPr>
          <w:p w14:paraId="2E179565">
            <w:pPr>
              <w:jc w:val="center"/>
              <w:rPr>
                <w:rFonts w:ascii="宋体" w:hAnsi="宋体" w:cs="宋体"/>
                <w:color w:val="000000"/>
                <w:szCs w:val="21"/>
              </w:rPr>
            </w:pPr>
            <w:r>
              <w:rPr>
                <w:rFonts w:hint="eastAsia"/>
                <w:color w:val="000000"/>
                <w:szCs w:val="21"/>
              </w:rPr>
              <w:t>342</w:t>
            </w:r>
          </w:p>
        </w:tc>
        <w:tc>
          <w:tcPr>
            <w:tcW w:w="0" w:type="auto"/>
            <w:noWrap w:val="0"/>
            <w:vAlign w:val="center"/>
          </w:tcPr>
          <w:p w14:paraId="17FDFC89">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0" w:type="auto"/>
            <w:noWrap w:val="0"/>
            <w:vAlign w:val="center"/>
          </w:tcPr>
          <w:p w14:paraId="5213BAD9">
            <w:pPr>
              <w:jc w:val="center"/>
              <w:rPr>
                <w:rFonts w:ascii="宋体" w:hAnsi="宋体" w:cs="宋体"/>
                <w:color w:val="000000"/>
                <w:szCs w:val="21"/>
              </w:rPr>
            </w:pPr>
            <w:r>
              <w:rPr>
                <w:rFonts w:hint="eastAsia"/>
                <w:color w:val="000000"/>
                <w:szCs w:val="21"/>
              </w:rPr>
              <w:t>247</w:t>
            </w:r>
          </w:p>
        </w:tc>
      </w:tr>
      <w:tr w14:paraId="03B6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A0B51FF">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36A7B9EE">
            <w:pPr>
              <w:spacing w:before="100" w:beforeAutospacing="1" w:after="100" w:afterAutospacing="1" w:line="240" w:lineRule="atLeast"/>
              <w:jc w:val="center"/>
              <w:rPr>
                <w:rFonts w:eastAsia="楷体_GB2312"/>
                <w:kern w:val="0"/>
                <w:szCs w:val="21"/>
              </w:rPr>
            </w:pPr>
          </w:p>
        </w:tc>
        <w:tc>
          <w:tcPr>
            <w:tcW w:w="0" w:type="auto"/>
            <w:noWrap w:val="0"/>
            <w:vAlign w:val="center"/>
          </w:tcPr>
          <w:p w14:paraId="3A14F40A">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2E13DAA8">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59657568">
            <w:pPr>
              <w:jc w:val="center"/>
              <w:rPr>
                <w:rFonts w:ascii="宋体" w:hAnsi="宋体" w:cs="宋体"/>
                <w:color w:val="000000"/>
                <w:szCs w:val="21"/>
              </w:rPr>
            </w:pPr>
            <w:r>
              <w:rPr>
                <w:rFonts w:hint="eastAsia"/>
                <w:color w:val="000000"/>
                <w:szCs w:val="21"/>
              </w:rPr>
              <w:t>257</w:t>
            </w:r>
          </w:p>
        </w:tc>
        <w:tc>
          <w:tcPr>
            <w:tcW w:w="0" w:type="auto"/>
            <w:noWrap w:val="0"/>
            <w:vAlign w:val="center"/>
          </w:tcPr>
          <w:p w14:paraId="068BCDF9">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275543CF">
            <w:pPr>
              <w:jc w:val="center"/>
              <w:rPr>
                <w:rFonts w:ascii="宋体" w:hAnsi="宋体" w:cs="宋体"/>
                <w:color w:val="000000"/>
                <w:szCs w:val="21"/>
              </w:rPr>
            </w:pPr>
            <w:r>
              <w:rPr>
                <w:rFonts w:hint="eastAsia"/>
                <w:color w:val="000000"/>
                <w:szCs w:val="21"/>
              </w:rPr>
              <w:t>203</w:t>
            </w:r>
          </w:p>
        </w:tc>
      </w:tr>
      <w:tr w14:paraId="0123D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71D77585">
            <w:pPr>
              <w:spacing w:before="100" w:beforeAutospacing="1" w:after="100" w:afterAutospacing="1" w:line="240" w:lineRule="atLeast"/>
              <w:jc w:val="center"/>
              <w:rPr>
                <w:rFonts w:eastAsia="楷体_GB2312"/>
                <w:kern w:val="0"/>
                <w:szCs w:val="21"/>
              </w:rPr>
            </w:pPr>
            <w:r>
              <w:rPr>
                <w:rFonts w:hint="eastAsia" w:eastAsia="楷体_GB2312"/>
                <w:kern w:val="0"/>
                <w:szCs w:val="21"/>
              </w:rPr>
              <w:t>18</w:t>
            </w:r>
          </w:p>
        </w:tc>
        <w:tc>
          <w:tcPr>
            <w:tcW w:w="0" w:type="auto"/>
            <w:vMerge w:val="restart"/>
            <w:noWrap w:val="0"/>
            <w:vAlign w:val="center"/>
          </w:tcPr>
          <w:p w14:paraId="1973F134">
            <w:pPr>
              <w:spacing w:before="100" w:beforeAutospacing="1" w:after="100" w:afterAutospacing="1" w:line="240" w:lineRule="atLeast"/>
              <w:jc w:val="center"/>
              <w:rPr>
                <w:rFonts w:eastAsia="楷体_GB2312"/>
                <w:kern w:val="0"/>
                <w:szCs w:val="21"/>
              </w:rPr>
            </w:pPr>
            <w:r>
              <w:rPr>
                <w:rFonts w:hint="eastAsia" w:eastAsia="楷体_GB2312"/>
                <w:kern w:val="0"/>
                <w:szCs w:val="21"/>
              </w:rPr>
              <w:t>大泽乡镇</w:t>
            </w:r>
          </w:p>
        </w:tc>
        <w:tc>
          <w:tcPr>
            <w:tcW w:w="0" w:type="auto"/>
            <w:noWrap w:val="0"/>
            <w:vAlign w:val="center"/>
          </w:tcPr>
          <w:p w14:paraId="6DF2300D">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1A638DB3">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5DBF405F">
            <w:pPr>
              <w:jc w:val="center"/>
              <w:rPr>
                <w:rFonts w:ascii="宋体" w:hAnsi="宋体" w:cs="宋体"/>
                <w:color w:val="000000"/>
                <w:szCs w:val="21"/>
              </w:rPr>
            </w:pPr>
            <w:r>
              <w:rPr>
                <w:rFonts w:hint="eastAsia"/>
                <w:color w:val="000000"/>
                <w:szCs w:val="21"/>
              </w:rPr>
              <w:t>431</w:t>
            </w:r>
          </w:p>
        </w:tc>
        <w:tc>
          <w:tcPr>
            <w:tcW w:w="0" w:type="auto"/>
            <w:noWrap w:val="0"/>
            <w:vAlign w:val="center"/>
          </w:tcPr>
          <w:p w14:paraId="6185555D">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noWrap w:val="0"/>
            <w:vAlign w:val="center"/>
          </w:tcPr>
          <w:p w14:paraId="5C637AF6">
            <w:pPr>
              <w:jc w:val="center"/>
              <w:rPr>
                <w:rFonts w:ascii="宋体" w:hAnsi="宋体" w:cs="宋体"/>
                <w:color w:val="000000"/>
                <w:szCs w:val="21"/>
              </w:rPr>
            </w:pPr>
            <w:r>
              <w:rPr>
                <w:rFonts w:hint="eastAsia"/>
                <w:color w:val="000000"/>
                <w:szCs w:val="21"/>
              </w:rPr>
              <w:t>320</w:t>
            </w:r>
          </w:p>
        </w:tc>
      </w:tr>
      <w:tr w14:paraId="48AF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4428A03">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424905D">
            <w:pPr>
              <w:spacing w:before="100" w:beforeAutospacing="1" w:after="100" w:afterAutospacing="1" w:line="240" w:lineRule="atLeast"/>
              <w:jc w:val="center"/>
              <w:rPr>
                <w:rFonts w:eastAsia="楷体_GB2312"/>
                <w:kern w:val="0"/>
                <w:szCs w:val="21"/>
              </w:rPr>
            </w:pPr>
          </w:p>
        </w:tc>
        <w:tc>
          <w:tcPr>
            <w:tcW w:w="0" w:type="auto"/>
            <w:noWrap w:val="0"/>
            <w:vAlign w:val="center"/>
          </w:tcPr>
          <w:p w14:paraId="73E6BA2D">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3F16F808">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0647A64F">
            <w:pPr>
              <w:jc w:val="center"/>
              <w:rPr>
                <w:rFonts w:ascii="宋体" w:hAnsi="宋体" w:cs="宋体"/>
                <w:color w:val="000000"/>
                <w:szCs w:val="21"/>
              </w:rPr>
            </w:pPr>
            <w:r>
              <w:rPr>
                <w:rFonts w:hint="eastAsia"/>
                <w:color w:val="000000"/>
                <w:szCs w:val="21"/>
              </w:rPr>
              <w:t>362</w:t>
            </w:r>
          </w:p>
        </w:tc>
        <w:tc>
          <w:tcPr>
            <w:tcW w:w="0" w:type="auto"/>
            <w:noWrap w:val="0"/>
            <w:vAlign w:val="center"/>
          </w:tcPr>
          <w:p w14:paraId="524F3A95">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noWrap w:val="0"/>
            <w:vAlign w:val="center"/>
          </w:tcPr>
          <w:p w14:paraId="1333C540">
            <w:pPr>
              <w:jc w:val="center"/>
              <w:rPr>
                <w:rFonts w:ascii="宋体" w:hAnsi="宋体" w:cs="宋体"/>
                <w:color w:val="000000"/>
                <w:szCs w:val="21"/>
              </w:rPr>
            </w:pPr>
            <w:r>
              <w:rPr>
                <w:rFonts w:hint="eastAsia"/>
                <w:color w:val="000000"/>
                <w:szCs w:val="21"/>
              </w:rPr>
              <w:t>258</w:t>
            </w:r>
          </w:p>
        </w:tc>
      </w:tr>
      <w:tr w14:paraId="23E94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616B9E7">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2BAB3C4">
            <w:pPr>
              <w:spacing w:before="100" w:beforeAutospacing="1" w:after="100" w:afterAutospacing="1" w:line="240" w:lineRule="atLeast"/>
              <w:jc w:val="center"/>
              <w:rPr>
                <w:rFonts w:eastAsia="楷体_GB2312"/>
                <w:kern w:val="0"/>
                <w:szCs w:val="21"/>
              </w:rPr>
            </w:pPr>
          </w:p>
        </w:tc>
        <w:tc>
          <w:tcPr>
            <w:tcW w:w="0" w:type="auto"/>
            <w:noWrap w:val="0"/>
            <w:vAlign w:val="center"/>
          </w:tcPr>
          <w:p w14:paraId="48CF0DDB">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56E2018B">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34DD80E4">
            <w:pPr>
              <w:jc w:val="center"/>
              <w:rPr>
                <w:rFonts w:ascii="宋体" w:hAnsi="宋体" w:cs="宋体"/>
                <w:color w:val="000000"/>
                <w:szCs w:val="21"/>
              </w:rPr>
            </w:pPr>
            <w:r>
              <w:rPr>
                <w:rFonts w:hint="eastAsia"/>
                <w:color w:val="000000"/>
                <w:szCs w:val="21"/>
              </w:rPr>
              <w:t>275</w:t>
            </w:r>
          </w:p>
        </w:tc>
        <w:tc>
          <w:tcPr>
            <w:tcW w:w="0" w:type="auto"/>
            <w:noWrap w:val="0"/>
            <w:vAlign w:val="center"/>
          </w:tcPr>
          <w:p w14:paraId="0745D84D">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11777629">
            <w:pPr>
              <w:jc w:val="center"/>
              <w:rPr>
                <w:rFonts w:ascii="宋体" w:hAnsi="宋体" w:cs="宋体"/>
                <w:color w:val="000000"/>
                <w:szCs w:val="21"/>
              </w:rPr>
            </w:pPr>
            <w:r>
              <w:rPr>
                <w:rFonts w:hint="eastAsia"/>
                <w:color w:val="000000"/>
                <w:szCs w:val="21"/>
              </w:rPr>
              <w:t>205</w:t>
            </w:r>
          </w:p>
        </w:tc>
      </w:tr>
      <w:tr w14:paraId="3D067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776B521C">
            <w:pPr>
              <w:spacing w:before="100" w:beforeAutospacing="1" w:after="100" w:afterAutospacing="1" w:line="240" w:lineRule="atLeast"/>
              <w:jc w:val="center"/>
              <w:rPr>
                <w:rFonts w:eastAsia="楷体_GB2312"/>
                <w:kern w:val="0"/>
                <w:szCs w:val="21"/>
              </w:rPr>
            </w:pPr>
            <w:r>
              <w:rPr>
                <w:rFonts w:hint="eastAsia" w:eastAsia="楷体_GB2312"/>
                <w:kern w:val="0"/>
                <w:szCs w:val="21"/>
              </w:rPr>
              <w:t>19</w:t>
            </w:r>
          </w:p>
        </w:tc>
        <w:tc>
          <w:tcPr>
            <w:tcW w:w="0" w:type="auto"/>
            <w:vMerge w:val="restart"/>
            <w:noWrap w:val="0"/>
            <w:vAlign w:val="center"/>
          </w:tcPr>
          <w:p w14:paraId="4441F955">
            <w:pPr>
              <w:spacing w:before="100" w:beforeAutospacing="1" w:after="100" w:afterAutospacing="1" w:line="240" w:lineRule="atLeast"/>
              <w:jc w:val="center"/>
              <w:rPr>
                <w:rFonts w:eastAsia="楷体_GB2312"/>
                <w:kern w:val="0"/>
                <w:szCs w:val="21"/>
              </w:rPr>
            </w:pPr>
            <w:r>
              <w:rPr>
                <w:rFonts w:hint="eastAsia" w:eastAsia="楷体_GB2312"/>
                <w:kern w:val="0"/>
                <w:szCs w:val="21"/>
              </w:rPr>
              <w:t>永安镇</w:t>
            </w:r>
          </w:p>
        </w:tc>
        <w:tc>
          <w:tcPr>
            <w:tcW w:w="0" w:type="auto"/>
            <w:noWrap w:val="0"/>
            <w:vAlign w:val="center"/>
          </w:tcPr>
          <w:p w14:paraId="41934270">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0AC43785">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428995A9">
            <w:pPr>
              <w:jc w:val="center"/>
              <w:rPr>
                <w:rFonts w:ascii="宋体" w:hAnsi="宋体" w:cs="宋体"/>
                <w:color w:val="000000"/>
                <w:szCs w:val="21"/>
              </w:rPr>
            </w:pPr>
            <w:r>
              <w:rPr>
                <w:rFonts w:hint="eastAsia"/>
                <w:color w:val="000000"/>
                <w:szCs w:val="21"/>
              </w:rPr>
              <w:t>444</w:t>
            </w:r>
          </w:p>
        </w:tc>
        <w:tc>
          <w:tcPr>
            <w:tcW w:w="0" w:type="auto"/>
            <w:noWrap w:val="0"/>
            <w:vAlign w:val="center"/>
          </w:tcPr>
          <w:p w14:paraId="3753C7BF">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10B6FA90">
            <w:pPr>
              <w:jc w:val="center"/>
              <w:rPr>
                <w:rFonts w:ascii="宋体" w:hAnsi="宋体" w:cs="宋体"/>
                <w:color w:val="000000"/>
                <w:szCs w:val="21"/>
              </w:rPr>
            </w:pPr>
            <w:r>
              <w:rPr>
                <w:rFonts w:hint="eastAsia"/>
                <w:color w:val="000000"/>
                <w:szCs w:val="21"/>
              </w:rPr>
              <w:t>322</w:t>
            </w:r>
          </w:p>
        </w:tc>
      </w:tr>
      <w:tr w14:paraId="4D24A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AFB17E3">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76DD08C">
            <w:pPr>
              <w:spacing w:before="100" w:beforeAutospacing="1" w:after="100" w:afterAutospacing="1" w:line="240" w:lineRule="atLeast"/>
              <w:jc w:val="center"/>
              <w:rPr>
                <w:rFonts w:eastAsia="楷体_GB2312"/>
                <w:kern w:val="0"/>
                <w:szCs w:val="21"/>
              </w:rPr>
            </w:pPr>
          </w:p>
        </w:tc>
        <w:tc>
          <w:tcPr>
            <w:tcW w:w="0" w:type="auto"/>
            <w:noWrap w:val="0"/>
            <w:vAlign w:val="center"/>
          </w:tcPr>
          <w:p w14:paraId="6DFED878">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3D8C6899">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647BB6DD">
            <w:pPr>
              <w:jc w:val="center"/>
              <w:rPr>
                <w:rFonts w:ascii="宋体" w:hAnsi="宋体" w:cs="宋体"/>
                <w:color w:val="000000"/>
                <w:szCs w:val="21"/>
              </w:rPr>
            </w:pPr>
            <w:r>
              <w:rPr>
                <w:rFonts w:hint="eastAsia"/>
                <w:color w:val="000000"/>
                <w:szCs w:val="21"/>
              </w:rPr>
              <w:t>336</w:t>
            </w:r>
          </w:p>
        </w:tc>
        <w:tc>
          <w:tcPr>
            <w:tcW w:w="0" w:type="auto"/>
            <w:noWrap w:val="0"/>
            <w:vAlign w:val="center"/>
          </w:tcPr>
          <w:p w14:paraId="1FB58209">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28465970">
            <w:pPr>
              <w:jc w:val="center"/>
              <w:rPr>
                <w:rFonts w:ascii="宋体" w:hAnsi="宋体" w:cs="宋体"/>
                <w:color w:val="000000"/>
                <w:szCs w:val="21"/>
              </w:rPr>
            </w:pPr>
            <w:r>
              <w:rPr>
                <w:rFonts w:hint="eastAsia"/>
                <w:color w:val="000000"/>
                <w:szCs w:val="21"/>
              </w:rPr>
              <w:t>260</w:t>
            </w:r>
          </w:p>
        </w:tc>
      </w:tr>
      <w:tr w14:paraId="2B363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9C46FB6">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64532E8">
            <w:pPr>
              <w:spacing w:before="100" w:beforeAutospacing="1" w:after="100" w:afterAutospacing="1" w:line="240" w:lineRule="atLeast"/>
              <w:jc w:val="center"/>
              <w:rPr>
                <w:rFonts w:eastAsia="楷体_GB2312"/>
                <w:kern w:val="0"/>
                <w:szCs w:val="21"/>
              </w:rPr>
            </w:pPr>
          </w:p>
        </w:tc>
        <w:tc>
          <w:tcPr>
            <w:tcW w:w="0" w:type="auto"/>
            <w:noWrap w:val="0"/>
            <w:vAlign w:val="center"/>
          </w:tcPr>
          <w:p w14:paraId="1BA6357F">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49C3D028">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6DF90132">
            <w:pPr>
              <w:jc w:val="center"/>
              <w:rPr>
                <w:rFonts w:ascii="宋体" w:hAnsi="宋体" w:cs="宋体"/>
                <w:color w:val="000000"/>
                <w:szCs w:val="21"/>
              </w:rPr>
            </w:pPr>
            <w:r>
              <w:rPr>
                <w:rFonts w:hint="eastAsia"/>
                <w:color w:val="000000"/>
                <w:szCs w:val="21"/>
              </w:rPr>
              <w:t>284</w:t>
            </w:r>
          </w:p>
        </w:tc>
        <w:tc>
          <w:tcPr>
            <w:tcW w:w="0" w:type="auto"/>
            <w:noWrap w:val="0"/>
            <w:vAlign w:val="center"/>
          </w:tcPr>
          <w:p w14:paraId="6F38193C">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0031AEB9">
            <w:pPr>
              <w:jc w:val="center"/>
              <w:rPr>
                <w:rFonts w:ascii="宋体" w:hAnsi="宋体" w:cs="宋体"/>
                <w:color w:val="000000"/>
                <w:szCs w:val="21"/>
              </w:rPr>
            </w:pPr>
            <w:r>
              <w:rPr>
                <w:rFonts w:hint="eastAsia"/>
                <w:color w:val="000000"/>
                <w:szCs w:val="21"/>
              </w:rPr>
              <w:t>193</w:t>
            </w:r>
          </w:p>
        </w:tc>
      </w:tr>
      <w:tr w14:paraId="015A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29438E57">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vMerge w:val="restart"/>
            <w:noWrap w:val="0"/>
            <w:vAlign w:val="center"/>
          </w:tcPr>
          <w:p w14:paraId="6439182E">
            <w:pPr>
              <w:spacing w:before="100" w:beforeAutospacing="1" w:after="100" w:afterAutospacing="1" w:line="240" w:lineRule="atLeast"/>
              <w:jc w:val="center"/>
              <w:rPr>
                <w:rFonts w:eastAsia="楷体_GB2312"/>
                <w:kern w:val="0"/>
                <w:szCs w:val="21"/>
              </w:rPr>
            </w:pPr>
            <w:r>
              <w:rPr>
                <w:rFonts w:hint="eastAsia" w:eastAsia="楷体_GB2312"/>
                <w:kern w:val="0"/>
                <w:szCs w:val="21"/>
              </w:rPr>
              <w:t>支河乡</w:t>
            </w:r>
          </w:p>
        </w:tc>
        <w:tc>
          <w:tcPr>
            <w:tcW w:w="0" w:type="auto"/>
            <w:noWrap w:val="0"/>
            <w:vAlign w:val="center"/>
          </w:tcPr>
          <w:p w14:paraId="4AA9FF26">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2F39EA94">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581F590C">
            <w:pPr>
              <w:jc w:val="center"/>
              <w:rPr>
                <w:rFonts w:ascii="宋体" w:hAnsi="宋体" w:cs="宋体"/>
                <w:color w:val="000000"/>
                <w:szCs w:val="21"/>
              </w:rPr>
            </w:pPr>
            <w:r>
              <w:rPr>
                <w:rFonts w:hint="eastAsia"/>
                <w:color w:val="000000"/>
                <w:szCs w:val="21"/>
              </w:rPr>
              <w:t>446</w:t>
            </w:r>
          </w:p>
        </w:tc>
        <w:tc>
          <w:tcPr>
            <w:tcW w:w="0" w:type="auto"/>
            <w:noWrap w:val="0"/>
            <w:vAlign w:val="center"/>
          </w:tcPr>
          <w:p w14:paraId="4E342D25">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61B30030">
            <w:pPr>
              <w:jc w:val="center"/>
              <w:rPr>
                <w:rFonts w:ascii="宋体" w:hAnsi="宋体" w:cs="宋体"/>
                <w:color w:val="000000"/>
                <w:szCs w:val="21"/>
              </w:rPr>
            </w:pPr>
            <w:r>
              <w:rPr>
                <w:rFonts w:hint="eastAsia"/>
                <w:color w:val="000000"/>
                <w:szCs w:val="21"/>
              </w:rPr>
              <w:t>309</w:t>
            </w:r>
          </w:p>
        </w:tc>
      </w:tr>
      <w:tr w14:paraId="12D8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7797EF5">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F59D0B8">
            <w:pPr>
              <w:spacing w:before="100" w:beforeAutospacing="1" w:after="100" w:afterAutospacing="1" w:line="240" w:lineRule="atLeast"/>
              <w:jc w:val="center"/>
              <w:rPr>
                <w:rFonts w:eastAsia="楷体_GB2312"/>
                <w:kern w:val="0"/>
                <w:szCs w:val="21"/>
              </w:rPr>
            </w:pPr>
          </w:p>
        </w:tc>
        <w:tc>
          <w:tcPr>
            <w:tcW w:w="0" w:type="auto"/>
            <w:noWrap w:val="0"/>
            <w:vAlign w:val="center"/>
          </w:tcPr>
          <w:p w14:paraId="577308E8">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6B3BD695">
            <w:pPr>
              <w:spacing w:before="100" w:beforeAutospacing="1" w:after="100" w:afterAutospacing="1" w:line="240" w:lineRule="atLeast"/>
              <w:jc w:val="center"/>
              <w:rPr>
                <w:rFonts w:eastAsia="楷体_GB2312"/>
                <w:kern w:val="0"/>
                <w:szCs w:val="21"/>
              </w:rPr>
            </w:pPr>
            <w:r>
              <w:rPr>
                <w:rFonts w:hint="eastAsia" w:eastAsia="楷体_GB2312"/>
                <w:kern w:val="0"/>
                <w:szCs w:val="21"/>
              </w:rPr>
              <w:t>9</w:t>
            </w:r>
          </w:p>
        </w:tc>
        <w:tc>
          <w:tcPr>
            <w:tcW w:w="0" w:type="auto"/>
            <w:noWrap w:val="0"/>
            <w:vAlign w:val="center"/>
          </w:tcPr>
          <w:p w14:paraId="70CFF3E4">
            <w:pPr>
              <w:jc w:val="center"/>
              <w:rPr>
                <w:rFonts w:ascii="宋体" w:hAnsi="宋体" w:cs="宋体"/>
                <w:color w:val="000000"/>
                <w:szCs w:val="21"/>
              </w:rPr>
            </w:pPr>
            <w:r>
              <w:rPr>
                <w:rFonts w:hint="eastAsia"/>
                <w:color w:val="000000"/>
                <w:szCs w:val="21"/>
              </w:rPr>
              <w:t>317</w:t>
            </w:r>
          </w:p>
        </w:tc>
        <w:tc>
          <w:tcPr>
            <w:tcW w:w="0" w:type="auto"/>
            <w:noWrap w:val="0"/>
            <w:vAlign w:val="center"/>
          </w:tcPr>
          <w:p w14:paraId="7A1AAA00">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77A62211">
            <w:pPr>
              <w:jc w:val="center"/>
              <w:rPr>
                <w:rFonts w:ascii="宋体" w:hAnsi="宋体" w:cs="宋体"/>
                <w:color w:val="000000"/>
                <w:szCs w:val="21"/>
              </w:rPr>
            </w:pPr>
            <w:r>
              <w:rPr>
                <w:rFonts w:hint="eastAsia"/>
                <w:color w:val="000000"/>
                <w:szCs w:val="21"/>
              </w:rPr>
              <w:t>240</w:t>
            </w:r>
          </w:p>
        </w:tc>
      </w:tr>
      <w:tr w14:paraId="3042F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15CE8F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708A119">
            <w:pPr>
              <w:spacing w:before="100" w:beforeAutospacing="1" w:after="100" w:afterAutospacing="1" w:line="240" w:lineRule="atLeast"/>
              <w:jc w:val="center"/>
              <w:rPr>
                <w:rFonts w:eastAsia="楷体_GB2312"/>
                <w:kern w:val="0"/>
                <w:szCs w:val="21"/>
              </w:rPr>
            </w:pPr>
          </w:p>
        </w:tc>
        <w:tc>
          <w:tcPr>
            <w:tcW w:w="0" w:type="auto"/>
            <w:noWrap w:val="0"/>
            <w:vAlign w:val="center"/>
          </w:tcPr>
          <w:p w14:paraId="31EF672B">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1538931A">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5030F5EE">
            <w:pPr>
              <w:jc w:val="center"/>
              <w:rPr>
                <w:rFonts w:ascii="宋体" w:hAnsi="宋体" w:cs="宋体"/>
                <w:color w:val="000000"/>
                <w:szCs w:val="21"/>
              </w:rPr>
            </w:pPr>
            <w:r>
              <w:rPr>
                <w:rFonts w:hint="eastAsia"/>
                <w:color w:val="000000"/>
                <w:szCs w:val="21"/>
              </w:rPr>
              <w:t>252</w:t>
            </w:r>
          </w:p>
        </w:tc>
        <w:tc>
          <w:tcPr>
            <w:tcW w:w="0" w:type="auto"/>
            <w:noWrap w:val="0"/>
            <w:vAlign w:val="center"/>
          </w:tcPr>
          <w:p w14:paraId="72248FF2">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4D2DE480">
            <w:pPr>
              <w:jc w:val="center"/>
              <w:rPr>
                <w:rFonts w:ascii="宋体" w:hAnsi="宋体" w:cs="宋体"/>
                <w:color w:val="000000"/>
                <w:szCs w:val="21"/>
              </w:rPr>
            </w:pPr>
            <w:r>
              <w:rPr>
                <w:rFonts w:hint="eastAsia"/>
                <w:color w:val="000000"/>
                <w:szCs w:val="21"/>
              </w:rPr>
              <w:t>192</w:t>
            </w:r>
          </w:p>
        </w:tc>
      </w:tr>
      <w:tr w14:paraId="41DE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168278F9">
            <w:pPr>
              <w:spacing w:before="100" w:beforeAutospacing="1" w:after="100" w:afterAutospacing="1" w:line="240" w:lineRule="atLeast"/>
              <w:jc w:val="center"/>
              <w:rPr>
                <w:rFonts w:eastAsia="楷体_GB2312"/>
                <w:kern w:val="0"/>
                <w:szCs w:val="21"/>
              </w:rPr>
            </w:pPr>
            <w:r>
              <w:rPr>
                <w:rFonts w:hint="eastAsia" w:eastAsia="楷体_GB2312"/>
                <w:kern w:val="0"/>
                <w:szCs w:val="21"/>
              </w:rPr>
              <w:t>21</w:t>
            </w:r>
          </w:p>
        </w:tc>
        <w:tc>
          <w:tcPr>
            <w:tcW w:w="0" w:type="auto"/>
            <w:vMerge w:val="restart"/>
            <w:noWrap w:val="0"/>
            <w:vAlign w:val="center"/>
          </w:tcPr>
          <w:p w14:paraId="722401BF">
            <w:pPr>
              <w:spacing w:before="100" w:beforeAutospacing="1" w:after="100" w:afterAutospacing="1" w:line="240" w:lineRule="atLeast"/>
              <w:jc w:val="center"/>
              <w:rPr>
                <w:rFonts w:eastAsia="楷体_GB2312"/>
                <w:kern w:val="0"/>
                <w:szCs w:val="21"/>
              </w:rPr>
            </w:pPr>
            <w:r>
              <w:rPr>
                <w:rFonts w:hint="eastAsia" w:eastAsia="楷体_GB2312"/>
                <w:kern w:val="0"/>
                <w:szCs w:val="21"/>
              </w:rPr>
              <w:t>灰古镇</w:t>
            </w:r>
          </w:p>
        </w:tc>
        <w:tc>
          <w:tcPr>
            <w:tcW w:w="0" w:type="auto"/>
            <w:noWrap w:val="0"/>
            <w:vAlign w:val="center"/>
          </w:tcPr>
          <w:p w14:paraId="2B83D289">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4B648992">
            <w:pPr>
              <w:spacing w:before="100" w:beforeAutospacing="1" w:after="100" w:afterAutospacing="1" w:line="240" w:lineRule="atLeast"/>
              <w:jc w:val="center"/>
              <w:rPr>
                <w:rFonts w:eastAsia="楷体_GB2312"/>
                <w:kern w:val="0"/>
                <w:szCs w:val="21"/>
              </w:rPr>
            </w:pPr>
            <w:r>
              <w:rPr>
                <w:rFonts w:hint="eastAsia" w:eastAsia="楷体_GB2312"/>
                <w:kern w:val="0"/>
                <w:szCs w:val="21"/>
              </w:rPr>
              <w:t>18</w:t>
            </w:r>
          </w:p>
        </w:tc>
        <w:tc>
          <w:tcPr>
            <w:tcW w:w="0" w:type="auto"/>
            <w:noWrap w:val="0"/>
            <w:vAlign w:val="center"/>
          </w:tcPr>
          <w:p w14:paraId="59D52EC9">
            <w:pPr>
              <w:jc w:val="center"/>
              <w:rPr>
                <w:rFonts w:ascii="宋体" w:hAnsi="宋体" w:cs="宋体"/>
                <w:color w:val="000000"/>
                <w:szCs w:val="21"/>
              </w:rPr>
            </w:pPr>
            <w:r>
              <w:rPr>
                <w:rFonts w:hint="eastAsia"/>
                <w:color w:val="000000"/>
                <w:szCs w:val="21"/>
              </w:rPr>
              <w:t>426</w:t>
            </w:r>
          </w:p>
        </w:tc>
        <w:tc>
          <w:tcPr>
            <w:tcW w:w="0" w:type="auto"/>
            <w:noWrap w:val="0"/>
            <w:vAlign w:val="center"/>
          </w:tcPr>
          <w:p w14:paraId="2E7ACE0C">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278CC846">
            <w:pPr>
              <w:jc w:val="center"/>
              <w:rPr>
                <w:rFonts w:ascii="宋体" w:hAnsi="宋体" w:cs="宋体"/>
                <w:color w:val="000000"/>
                <w:szCs w:val="21"/>
              </w:rPr>
            </w:pPr>
            <w:r>
              <w:rPr>
                <w:rFonts w:hint="eastAsia"/>
                <w:color w:val="000000"/>
                <w:szCs w:val="21"/>
              </w:rPr>
              <w:t>304</w:t>
            </w:r>
          </w:p>
        </w:tc>
      </w:tr>
      <w:tr w14:paraId="2082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9B54F3A">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E34301C">
            <w:pPr>
              <w:spacing w:before="100" w:beforeAutospacing="1" w:after="100" w:afterAutospacing="1" w:line="240" w:lineRule="atLeast"/>
              <w:jc w:val="center"/>
              <w:rPr>
                <w:rFonts w:eastAsia="楷体_GB2312"/>
                <w:kern w:val="0"/>
                <w:szCs w:val="21"/>
              </w:rPr>
            </w:pPr>
          </w:p>
        </w:tc>
        <w:tc>
          <w:tcPr>
            <w:tcW w:w="0" w:type="auto"/>
            <w:noWrap w:val="0"/>
            <w:vAlign w:val="center"/>
          </w:tcPr>
          <w:p w14:paraId="11A79E61">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0BF25AEE">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60CB95D6">
            <w:pPr>
              <w:jc w:val="center"/>
              <w:rPr>
                <w:rFonts w:ascii="宋体" w:hAnsi="宋体" w:cs="宋体"/>
                <w:color w:val="000000"/>
                <w:szCs w:val="21"/>
              </w:rPr>
            </w:pPr>
            <w:r>
              <w:rPr>
                <w:rFonts w:hint="eastAsia"/>
                <w:color w:val="000000"/>
                <w:szCs w:val="21"/>
              </w:rPr>
              <w:t>357</w:t>
            </w:r>
          </w:p>
        </w:tc>
        <w:tc>
          <w:tcPr>
            <w:tcW w:w="0" w:type="auto"/>
            <w:noWrap w:val="0"/>
            <w:vAlign w:val="center"/>
          </w:tcPr>
          <w:p w14:paraId="27C76AB8">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10043EAA">
            <w:pPr>
              <w:jc w:val="center"/>
              <w:rPr>
                <w:rFonts w:ascii="宋体" w:hAnsi="宋体" w:cs="宋体"/>
                <w:color w:val="000000"/>
                <w:szCs w:val="21"/>
              </w:rPr>
            </w:pPr>
            <w:r>
              <w:rPr>
                <w:rFonts w:hint="eastAsia"/>
                <w:color w:val="000000"/>
                <w:szCs w:val="21"/>
              </w:rPr>
              <w:t>252</w:t>
            </w:r>
          </w:p>
        </w:tc>
      </w:tr>
      <w:tr w14:paraId="15A0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36FFACC">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F5E6C34">
            <w:pPr>
              <w:spacing w:before="100" w:beforeAutospacing="1" w:after="100" w:afterAutospacing="1" w:line="240" w:lineRule="atLeast"/>
              <w:jc w:val="center"/>
              <w:rPr>
                <w:rFonts w:eastAsia="楷体_GB2312"/>
                <w:kern w:val="0"/>
                <w:szCs w:val="21"/>
              </w:rPr>
            </w:pPr>
          </w:p>
        </w:tc>
        <w:tc>
          <w:tcPr>
            <w:tcW w:w="0" w:type="auto"/>
            <w:noWrap w:val="0"/>
            <w:vAlign w:val="center"/>
          </w:tcPr>
          <w:p w14:paraId="1B858414">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54F321B9">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083A5805">
            <w:pPr>
              <w:jc w:val="center"/>
              <w:rPr>
                <w:rFonts w:ascii="宋体" w:hAnsi="宋体" w:cs="宋体"/>
                <w:color w:val="000000"/>
                <w:szCs w:val="21"/>
              </w:rPr>
            </w:pPr>
            <w:r>
              <w:rPr>
                <w:rFonts w:hint="eastAsia"/>
                <w:color w:val="000000"/>
                <w:szCs w:val="21"/>
              </w:rPr>
              <w:t>271</w:t>
            </w:r>
          </w:p>
        </w:tc>
        <w:tc>
          <w:tcPr>
            <w:tcW w:w="0" w:type="auto"/>
            <w:noWrap w:val="0"/>
            <w:vAlign w:val="center"/>
          </w:tcPr>
          <w:p w14:paraId="0A83DBC3">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4FAEA84C">
            <w:pPr>
              <w:jc w:val="center"/>
              <w:rPr>
                <w:rFonts w:ascii="宋体" w:hAnsi="宋体" w:cs="宋体"/>
                <w:color w:val="000000"/>
                <w:szCs w:val="21"/>
              </w:rPr>
            </w:pPr>
            <w:r>
              <w:rPr>
                <w:rFonts w:hint="eastAsia"/>
                <w:color w:val="000000"/>
                <w:szCs w:val="21"/>
              </w:rPr>
              <w:t>200</w:t>
            </w:r>
          </w:p>
        </w:tc>
      </w:tr>
      <w:tr w14:paraId="0E693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5DC1E855">
            <w:pPr>
              <w:spacing w:before="100" w:beforeAutospacing="1" w:after="100" w:afterAutospacing="1" w:line="240" w:lineRule="atLeast"/>
              <w:jc w:val="center"/>
              <w:rPr>
                <w:rFonts w:eastAsia="楷体_GB2312"/>
                <w:kern w:val="0"/>
                <w:szCs w:val="21"/>
              </w:rPr>
            </w:pPr>
            <w:r>
              <w:rPr>
                <w:rFonts w:hint="eastAsia" w:eastAsia="楷体_GB2312"/>
                <w:kern w:val="0"/>
                <w:szCs w:val="21"/>
              </w:rPr>
              <w:t>22</w:t>
            </w:r>
          </w:p>
        </w:tc>
        <w:tc>
          <w:tcPr>
            <w:tcW w:w="0" w:type="auto"/>
            <w:vMerge w:val="restart"/>
            <w:noWrap w:val="0"/>
            <w:vAlign w:val="center"/>
          </w:tcPr>
          <w:p w14:paraId="6EE2E2A5">
            <w:pPr>
              <w:spacing w:before="100" w:beforeAutospacing="1" w:after="100" w:afterAutospacing="1" w:line="240" w:lineRule="atLeast"/>
              <w:jc w:val="center"/>
              <w:rPr>
                <w:rFonts w:eastAsia="楷体_GB2312"/>
                <w:kern w:val="0"/>
                <w:szCs w:val="21"/>
              </w:rPr>
            </w:pPr>
            <w:r>
              <w:rPr>
                <w:rFonts w:hint="eastAsia" w:eastAsia="楷体_GB2312"/>
                <w:kern w:val="0"/>
                <w:szCs w:val="21"/>
              </w:rPr>
              <w:t>桃沟乡</w:t>
            </w:r>
          </w:p>
        </w:tc>
        <w:tc>
          <w:tcPr>
            <w:tcW w:w="0" w:type="auto"/>
            <w:noWrap w:val="0"/>
            <w:vAlign w:val="center"/>
          </w:tcPr>
          <w:p w14:paraId="653C7F48">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6DB0DCE6">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1DA42AFC">
            <w:pPr>
              <w:jc w:val="center"/>
              <w:rPr>
                <w:rFonts w:ascii="宋体" w:hAnsi="宋体" w:cs="宋体"/>
                <w:color w:val="000000"/>
                <w:szCs w:val="21"/>
              </w:rPr>
            </w:pPr>
            <w:r>
              <w:rPr>
                <w:rFonts w:hint="eastAsia"/>
                <w:color w:val="000000"/>
                <w:szCs w:val="21"/>
              </w:rPr>
              <w:t>404</w:t>
            </w:r>
          </w:p>
        </w:tc>
        <w:tc>
          <w:tcPr>
            <w:tcW w:w="0" w:type="auto"/>
            <w:noWrap w:val="0"/>
            <w:vAlign w:val="center"/>
          </w:tcPr>
          <w:p w14:paraId="5967A0F4">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6170263C">
            <w:pPr>
              <w:jc w:val="center"/>
              <w:rPr>
                <w:rFonts w:ascii="宋体" w:hAnsi="宋体" w:cs="宋体"/>
                <w:color w:val="000000"/>
                <w:szCs w:val="21"/>
              </w:rPr>
            </w:pPr>
            <w:r>
              <w:rPr>
                <w:rFonts w:hint="eastAsia"/>
                <w:color w:val="000000"/>
                <w:szCs w:val="21"/>
              </w:rPr>
              <w:t>326</w:t>
            </w:r>
          </w:p>
        </w:tc>
      </w:tr>
      <w:tr w14:paraId="1E1C2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70C5DA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074900C">
            <w:pPr>
              <w:spacing w:before="100" w:beforeAutospacing="1" w:after="100" w:afterAutospacing="1" w:line="240" w:lineRule="atLeast"/>
              <w:jc w:val="center"/>
              <w:rPr>
                <w:rFonts w:eastAsia="楷体_GB2312"/>
                <w:kern w:val="0"/>
                <w:szCs w:val="21"/>
              </w:rPr>
            </w:pPr>
          </w:p>
        </w:tc>
        <w:tc>
          <w:tcPr>
            <w:tcW w:w="0" w:type="auto"/>
            <w:noWrap w:val="0"/>
            <w:vAlign w:val="center"/>
          </w:tcPr>
          <w:p w14:paraId="5EB41100">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6904DFD3">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56DE7F38">
            <w:pPr>
              <w:jc w:val="center"/>
              <w:rPr>
                <w:rFonts w:ascii="宋体" w:hAnsi="宋体" w:cs="宋体"/>
                <w:color w:val="000000"/>
                <w:szCs w:val="21"/>
              </w:rPr>
            </w:pPr>
            <w:r>
              <w:rPr>
                <w:rFonts w:hint="eastAsia"/>
                <w:color w:val="000000"/>
                <w:szCs w:val="21"/>
              </w:rPr>
              <w:t>325</w:t>
            </w:r>
          </w:p>
        </w:tc>
        <w:tc>
          <w:tcPr>
            <w:tcW w:w="0" w:type="auto"/>
            <w:noWrap w:val="0"/>
            <w:vAlign w:val="center"/>
          </w:tcPr>
          <w:p w14:paraId="147EEDAE">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2568358D">
            <w:pPr>
              <w:jc w:val="center"/>
              <w:rPr>
                <w:rFonts w:ascii="宋体" w:hAnsi="宋体" w:cs="宋体"/>
                <w:color w:val="000000"/>
                <w:szCs w:val="21"/>
              </w:rPr>
            </w:pPr>
            <w:r>
              <w:rPr>
                <w:rFonts w:hint="eastAsia"/>
                <w:color w:val="000000"/>
                <w:szCs w:val="21"/>
              </w:rPr>
              <w:t>253</w:t>
            </w:r>
          </w:p>
        </w:tc>
      </w:tr>
      <w:tr w14:paraId="28ABB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EAC64F6">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154DFCD">
            <w:pPr>
              <w:spacing w:before="100" w:beforeAutospacing="1" w:after="100" w:afterAutospacing="1" w:line="240" w:lineRule="atLeast"/>
              <w:jc w:val="center"/>
              <w:rPr>
                <w:rFonts w:eastAsia="楷体_GB2312"/>
                <w:kern w:val="0"/>
                <w:szCs w:val="21"/>
              </w:rPr>
            </w:pPr>
          </w:p>
        </w:tc>
        <w:tc>
          <w:tcPr>
            <w:tcW w:w="0" w:type="auto"/>
            <w:noWrap w:val="0"/>
            <w:vAlign w:val="center"/>
          </w:tcPr>
          <w:p w14:paraId="17E12581">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39E58EC8">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49B4FF50">
            <w:pPr>
              <w:jc w:val="center"/>
              <w:rPr>
                <w:rFonts w:ascii="宋体" w:hAnsi="宋体" w:cs="宋体"/>
                <w:color w:val="000000"/>
                <w:szCs w:val="21"/>
              </w:rPr>
            </w:pPr>
            <w:r>
              <w:rPr>
                <w:rFonts w:hint="eastAsia"/>
                <w:color w:val="000000"/>
                <w:szCs w:val="21"/>
              </w:rPr>
              <w:t>254</w:t>
            </w:r>
          </w:p>
        </w:tc>
        <w:tc>
          <w:tcPr>
            <w:tcW w:w="0" w:type="auto"/>
            <w:noWrap w:val="0"/>
            <w:vAlign w:val="center"/>
          </w:tcPr>
          <w:p w14:paraId="194198DA">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1CF74FA8">
            <w:pPr>
              <w:jc w:val="center"/>
              <w:rPr>
                <w:rFonts w:ascii="宋体" w:hAnsi="宋体" w:cs="宋体"/>
                <w:color w:val="000000"/>
                <w:szCs w:val="21"/>
              </w:rPr>
            </w:pPr>
            <w:r>
              <w:rPr>
                <w:rFonts w:hint="eastAsia"/>
                <w:color w:val="000000"/>
                <w:szCs w:val="21"/>
              </w:rPr>
              <w:t>210</w:t>
            </w:r>
          </w:p>
        </w:tc>
      </w:tr>
      <w:tr w14:paraId="7F10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0"/>
            <w:vAlign w:val="center"/>
          </w:tcPr>
          <w:p w14:paraId="6E723CDA">
            <w:pPr>
              <w:spacing w:before="100" w:beforeAutospacing="1" w:after="100" w:afterAutospacing="1" w:line="240" w:lineRule="atLeast"/>
              <w:jc w:val="center"/>
              <w:rPr>
                <w:rFonts w:eastAsia="楷体_GB2312"/>
                <w:kern w:val="0"/>
                <w:szCs w:val="21"/>
              </w:rPr>
            </w:pPr>
            <w:r>
              <w:rPr>
                <w:rFonts w:hint="eastAsia" w:eastAsia="楷体_GB2312"/>
                <w:kern w:val="0"/>
                <w:szCs w:val="21"/>
              </w:rPr>
              <w:t>23</w:t>
            </w:r>
          </w:p>
        </w:tc>
        <w:tc>
          <w:tcPr>
            <w:tcW w:w="0" w:type="auto"/>
            <w:noWrap w:val="0"/>
            <w:vAlign w:val="center"/>
          </w:tcPr>
          <w:p w14:paraId="3E75B269">
            <w:pPr>
              <w:spacing w:before="100" w:beforeAutospacing="1" w:after="100" w:afterAutospacing="1" w:line="240" w:lineRule="atLeast"/>
              <w:jc w:val="center"/>
              <w:rPr>
                <w:rFonts w:eastAsia="楷体_GB2312"/>
                <w:kern w:val="0"/>
                <w:szCs w:val="21"/>
              </w:rPr>
            </w:pPr>
            <w:r>
              <w:rPr>
                <w:rFonts w:hint="eastAsia" w:eastAsia="楷体_GB2312"/>
                <w:kern w:val="0"/>
                <w:szCs w:val="21"/>
              </w:rPr>
              <w:t>曹村开发区</w:t>
            </w:r>
          </w:p>
        </w:tc>
        <w:tc>
          <w:tcPr>
            <w:tcW w:w="0" w:type="auto"/>
            <w:noWrap w:val="0"/>
            <w:vAlign w:val="center"/>
          </w:tcPr>
          <w:p w14:paraId="2490A256">
            <w:pPr>
              <w:spacing w:before="100" w:beforeAutospacing="1" w:after="100" w:afterAutospacing="1" w:line="240" w:lineRule="atLeast"/>
              <w:jc w:val="center"/>
              <w:rPr>
                <w:rFonts w:eastAsia="楷体_GB2312"/>
                <w:kern w:val="0"/>
                <w:szCs w:val="21"/>
              </w:rPr>
            </w:pPr>
            <w:r>
              <w:rPr>
                <w:rFonts w:hint="eastAsia" w:eastAsia="楷体_GB2312"/>
                <w:kern w:val="0"/>
                <w:szCs w:val="21"/>
              </w:rPr>
              <w:t>指导价区域</w:t>
            </w:r>
          </w:p>
        </w:tc>
        <w:tc>
          <w:tcPr>
            <w:tcW w:w="0" w:type="auto"/>
            <w:noWrap w:val="0"/>
            <w:vAlign w:val="center"/>
          </w:tcPr>
          <w:p w14:paraId="75BED0D4">
            <w:pPr>
              <w:spacing w:before="100" w:beforeAutospacing="1" w:after="100" w:afterAutospacing="1" w:line="240" w:lineRule="atLeast"/>
              <w:jc w:val="center"/>
              <w:rPr>
                <w:rFonts w:eastAsia="楷体_GB2312"/>
                <w:kern w:val="0"/>
                <w:szCs w:val="21"/>
              </w:rPr>
            </w:pPr>
            <w:r>
              <w:rPr>
                <w:rFonts w:hint="eastAsia" w:eastAsia="楷体_GB2312"/>
                <w:kern w:val="0"/>
                <w:szCs w:val="21"/>
              </w:rPr>
              <w:t>30</w:t>
            </w:r>
          </w:p>
        </w:tc>
        <w:tc>
          <w:tcPr>
            <w:tcW w:w="0" w:type="auto"/>
            <w:noWrap w:val="0"/>
            <w:vAlign w:val="center"/>
          </w:tcPr>
          <w:p w14:paraId="29327886">
            <w:pPr>
              <w:jc w:val="center"/>
              <w:rPr>
                <w:rFonts w:eastAsia="楷体_GB2312"/>
                <w:kern w:val="0"/>
                <w:szCs w:val="21"/>
              </w:rPr>
            </w:pPr>
            <w:r>
              <w:rPr>
                <w:rFonts w:hint="eastAsia" w:eastAsia="楷体_GB2312"/>
                <w:kern w:val="0"/>
                <w:szCs w:val="21"/>
              </w:rPr>
              <w:t>460</w:t>
            </w:r>
          </w:p>
        </w:tc>
        <w:tc>
          <w:tcPr>
            <w:tcW w:w="0" w:type="auto"/>
            <w:noWrap w:val="0"/>
            <w:vAlign w:val="center"/>
          </w:tcPr>
          <w:p w14:paraId="45224821">
            <w:pPr>
              <w:spacing w:before="100" w:beforeAutospacing="1" w:after="100" w:afterAutospacing="1" w:line="240" w:lineRule="atLeast"/>
              <w:jc w:val="center"/>
              <w:rPr>
                <w:rFonts w:eastAsia="楷体_GB2312"/>
                <w:kern w:val="0"/>
                <w:szCs w:val="21"/>
              </w:rPr>
            </w:pPr>
            <w:r>
              <w:rPr>
                <w:rFonts w:hint="eastAsia" w:eastAsia="楷体_GB2312"/>
                <w:kern w:val="0"/>
                <w:szCs w:val="21"/>
              </w:rPr>
              <w:t>30</w:t>
            </w:r>
          </w:p>
        </w:tc>
        <w:tc>
          <w:tcPr>
            <w:tcW w:w="0" w:type="auto"/>
            <w:noWrap w:val="0"/>
            <w:vAlign w:val="center"/>
          </w:tcPr>
          <w:p w14:paraId="63232BB4">
            <w:pPr>
              <w:jc w:val="center"/>
              <w:rPr>
                <w:rFonts w:ascii="宋体" w:hAnsi="宋体" w:cs="宋体"/>
                <w:color w:val="000000"/>
                <w:szCs w:val="21"/>
              </w:rPr>
            </w:pPr>
            <w:r>
              <w:rPr>
                <w:rFonts w:hint="eastAsia"/>
                <w:color w:val="000000"/>
                <w:szCs w:val="21"/>
              </w:rPr>
              <w:t>295</w:t>
            </w:r>
          </w:p>
        </w:tc>
      </w:tr>
      <w:tr w14:paraId="47981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0"/>
            <w:vAlign w:val="center"/>
          </w:tcPr>
          <w:p w14:paraId="23041831">
            <w:pPr>
              <w:spacing w:before="100" w:beforeAutospacing="1" w:after="100" w:afterAutospacing="1" w:line="240" w:lineRule="atLeast"/>
              <w:jc w:val="center"/>
              <w:rPr>
                <w:rFonts w:eastAsia="楷体_GB2312"/>
                <w:kern w:val="0"/>
                <w:szCs w:val="21"/>
              </w:rPr>
            </w:pPr>
            <w:r>
              <w:rPr>
                <w:rFonts w:hint="eastAsia" w:eastAsia="楷体_GB2312"/>
                <w:kern w:val="0"/>
                <w:szCs w:val="21"/>
              </w:rPr>
              <w:t>24</w:t>
            </w:r>
          </w:p>
        </w:tc>
        <w:tc>
          <w:tcPr>
            <w:tcW w:w="0" w:type="auto"/>
            <w:noWrap w:val="0"/>
            <w:vAlign w:val="center"/>
          </w:tcPr>
          <w:p w14:paraId="76393199">
            <w:pPr>
              <w:spacing w:before="100" w:beforeAutospacing="1" w:after="100" w:afterAutospacing="1" w:line="240" w:lineRule="atLeast"/>
              <w:jc w:val="center"/>
              <w:rPr>
                <w:rFonts w:eastAsia="楷体_GB2312"/>
                <w:kern w:val="0"/>
                <w:szCs w:val="21"/>
              </w:rPr>
            </w:pPr>
            <w:r>
              <w:rPr>
                <w:rFonts w:hint="eastAsia" w:eastAsia="楷体_GB2312"/>
                <w:kern w:val="0"/>
                <w:szCs w:val="21"/>
              </w:rPr>
              <w:t>家具产业园</w:t>
            </w:r>
          </w:p>
        </w:tc>
        <w:tc>
          <w:tcPr>
            <w:tcW w:w="0" w:type="auto"/>
            <w:noWrap w:val="0"/>
            <w:vAlign w:val="center"/>
          </w:tcPr>
          <w:p w14:paraId="0D575188">
            <w:pPr>
              <w:spacing w:before="100" w:beforeAutospacing="1" w:after="100" w:afterAutospacing="1" w:line="240" w:lineRule="atLeast"/>
              <w:jc w:val="center"/>
              <w:rPr>
                <w:rFonts w:eastAsia="楷体_GB2312"/>
                <w:kern w:val="0"/>
                <w:szCs w:val="21"/>
              </w:rPr>
            </w:pPr>
            <w:r>
              <w:rPr>
                <w:rFonts w:hint="eastAsia" w:eastAsia="楷体_GB2312"/>
                <w:kern w:val="0"/>
                <w:szCs w:val="21"/>
              </w:rPr>
              <w:t>指导价区域</w:t>
            </w:r>
          </w:p>
        </w:tc>
        <w:tc>
          <w:tcPr>
            <w:tcW w:w="0" w:type="auto"/>
            <w:noWrap w:val="0"/>
            <w:vAlign w:val="center"/>
          </w:tcPr>
          <w:p w14:paraId="7F0C6A7B">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2830FB76">
            <w:pPr>
              <w:jc w:val="center"/>
              <w:rPr>
                <w:rFonts w:eastAsia="楷体_GB2312"/>
                <w:kern w:val="0"/>
                <w:szCs w:val="21"/>
              </w:rPr>
            </w:pPr>
            <w:r>
              <w:rPr>
                <w:rFonts w:hint="eastAsia" w:eastAsia="楷体_GB2312"/>
                <w:kern w:val="0"/>
                <w:szCs w:val="21"/>
              </w:rPr>
              <w:t>550</w:t>
            </w:r>
          </w:p>
        </w:tc>
        <w:tc>
          <w:tcPr>
            <w:tcW w:w="0" w:type="auto"/>
            <w:noWrap w:val="0"/>
            <w:vAlign w:val="center"/>
          </w:tcPr>
          <w:p w14:paraId="532C5187">
            <w:pPr>
              <w:spacing w:before="100" w:beforeAutospacing="1" w:after="100" w:afterAutospacing="1" w:line="240" w:lineRule="atLeast"/>
              <w:jc w:val="center"/>
              <w:rPr>
                <w:rFonts w:eastAsia="楷体_GB2312"/>
                <w:kern w:val="0"/>
                <w:szCs w:val="21"/>
              </w:rPr>
            </w:pPr>
            <w:r>
              <w:rPr>
                <w:rFonts w:hint="eastAsia" w:eastAsia="楷体_GB2312"/>
                <w:kern w:val="0"/>
                <w:szCs w:val="21"/>
              </w:rPr>
              <w:t>55</w:t>
            </w:r>
          </w:p>
        </w:tc>
        <w:tc>
          <w:tcPr>
            <w:tcW w:w="0" w:type="auto"/>
            <w:noWrap w:val="0"/>
            <w:vAlign w:val="center"/>
          </w:tcPr>
          <w:p w14:paraId="699D84E0">
            <w:pPr>
              <w:jc w:val="center"/>
              <w:rPr>
                <w:rFonts w:ascii="宋体" w:hAnsi="宋体" w:cs="宋体"/>
                <w:color w:val="000000"/>
                <w:szCs w:val="21"/>
              </w:rPr>
            </w:pPr>
            <w:r>
              <w:rPr>
                <w:rFonts w:hint="eastAsia"/>
                <w:color w:val="000000"/>
                <w:szCs w:val="21"/>
              </w:rPr>
              <w:t>450</w:t>
            </w:r>
          </w:p>
        </w:tc>
      </w:tr>
      <w:tr w14:paraId="38AC6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0"/>
            <w:vAlign w:val="center"/>
          </w:tcPr>
          <w:p w14:paraId="3AB64449">
            <w:pPr>
              <w:spacing w:before="100" w:beforeAutospacing="1" w:after="100" w:afterAutospacing="1" w:line="240" w:lineRule="atLeast"/>
              <w:jc w:val="center"/>
              <w:rPr>
                <w:rFonts w:eastAsia="楷体_GB2312"/>
                <w:kern w:val="0"/>
                <w:szCs w:val="21"/>
              </w:rPr>
            </w:pPr>
            <w:r>
              <w:rPr>
                <w:rFonts w:hint="eastAsia" w:eastAsia="楷体_GB2312"/>
                <w:kern w:val="0"/>
                <w:szCs w:val="21"/>
              </w:rPr>
              <w:t>25</w:t>
            </w:r>
          </w:p>
        </w:tc>
        <w:tc>
          <w:tcPr>
            <w:tcW w:w="0" w:type="auto"/>
            <w:noWrap w:val="0"/>
            <w:vAlign w:val="center"/>
          </w:tcPr>
          <w:p w14:paraId="7CF8A9AB">
            <w:pPr>
              <w:spacing w:before="100" w:beforeAutospacing="1" w:after="100" w:afterAutospacing="1" w:line="240" w:lineRule="atLeast"/>
              <w:jc w:val="center"/>
              <w:rPr>
                <w:rFonts w:eastAsia="楷体_GB2312"/>
                <w:kern w:val="0"/>
                <w:szCs w:val="21"/>
              </w:rPr>
            </w:pPr>
            <w:r>
              <w:rPr>
                <w:rFonts w:hint="eastAsia" w:eastAsia="楷体_GB2312"/>
                <w:kern w:val="0"/>
                <w:szCs w:val="21"/>
              </w:rPr>
              <w:t>农业示范园</w:t>
            </w:r>
          </w:p>
        </w:tc>
        <w:tc>
          <w:tcPr>
            <w:tcW w:w="0" w:type="auto"/>
            <w:noWrap w:val="0"/>
            <w:vAlign w:val="center"/>
          </w:tcPr>
          <w:p w14:paraId="16A8029B">
            <w:pPr>
              <w:spacing w:before="100" w:beforeAutospacing="1" w:after="100" w:afterAutospacing="1" w:line="240" w:lineRule="atLeast"/>
              <w:jc w:val="center"/>
              <w:rPr>
                <w:rFonts w:eastAsia="楷体_GB2312"/>
                <w:kern w:val="0"/>
                <w:szCs w:val="21"/>
              </w:rPr>
            </w:pPr>
            <w:r>
              <w:rPr>
                <w:rFonts w:hint="eastAsia" w:eastAsia="楷体_GB2312"/>
                <w:kern w:val="0"/>
                <w:szCs w:val="21"/>
              </w:rPr>
              <w:t>指导价区域</w:t>
            </w:r>
          </w:p>
        </w:tc>
        <w:tc>
          <w:tcPr>
            <w:tcW w:w="0" w:type="auto"/>
            <w:noWrap w:val="0"/>
            <w:vAlign w:val="center"/>
          </w:tcPr>
          <w:p w14:paraId="73A92333">
            <w:pPr>
              <w:spacing w:before="100" w:beforeAutospacing="1" w:after="100" w:afterAutospacing="1" w:line="240" w:lineRule="atLeast"/>
              <w:jc w:val="center"/>
              <w:rPr>
                <w:rFonts w:eastAsia="楷体_GB2312"/>
                <w:kern w:val="0"/>
                <w:szCs w:val="21"/>
              </w:rPr>
            </w:pPr>
            <w:r>
              <w:rPr>
                <w:rFonts w:hint="eastAsia" w:eastAsia="楷体_GB2312"/>
                <w:kern w:val="0"/>
                <w:szCs w:val="21"/>
              </w:rPr>
              <w:t>30</w:t>
            </w:r>
          </w:p>
        </w:tc>
        <w:tc>
          <w:tcPr>
            <w:tcW w:w="0" w:type="auto"/>
            <w:noWrap w:val="0"/>
            <w:vAlign w:val="center"/>
          </w:tcPr>
          <w:p w14:paraId="300DEAF7">
            <w:pPr>
              <w:jc w:val="center"/>
              <w:rPr>
                <w:rFonts w:eastAsia="楷体_GB2312"/>
                <w:kern w:val="0"/>
                <w:szCs w:val="21"/>
              </w:rPr>
            </w:pPr>
            <w:r>
              <w:rPr>
                <w:rFonts w:hint="eastAsia" w:eastAsia="楷体_GB2312"/>
                <w:kern w:val="0"/>
                <w:szCs w:val="21"/>
              </w:rPr>
              <w:t>480</w:t>
            </w:r>
          </w:p>
        </w:tc>
        <w:tc>
          <w:tcPr>
            <w:tcW w:w="0" w:type="auto"/>
            <w:noWrap w:val="0"/>
            <w:vAlign w:val="center"/>
          </w:tcPr>
          <w:p w14:paraId="24B9448C">
            <w:pPr>
              <w:spacing w:before="100" w:beforeAutospacing="1" w:after="100" w:afterAutospacing="1" w:line="240" w:lineRule="atLeast"/>
              <w:jc w:val="center"/>
              <w:rPr>
                <w:rFonts w:eastAsia="楷体_GB2312"/>
                <w:kern w:val="0"/>
                <w:szCs w:val="21"/>
              </w:rPr>
            </w:pPr>
            <w:r>
              <w:rPr>
                <w:rFonts w:hint="eastAsia" w:eastAsia="楷体_GB2312"/>
                <w:kern w:val="0"/>
                <w:szCs w:val="21"/>
              </w:rPr>
              <w:t>30</w:t>
            </w:r>
          </w:p>
        </w:tc>
        <w:tc>
          <w:tcPr>
            <w:tcW w:w="0" w:type="auto"/>
            <w:noWrap w:val="0"/>
            <w:vAlign w:val="center"/>
          </w:tcPr>
          <w:p w14:paraId="3023ECE2">
            <w:pPr>
              <w:jc w:val="center"/>
              <w:rPr>
                <w:rFonts w:ascii="宋体" w:hAnsi="宋体" w:cs="宋体"/>
                <w:color w:val="000000"/>
                <w:szCs w:val="21"/>
              </w:rPr>
            </w:pPr>
            <w:r>
              <w:rPr>
                <w:rFonts w:hint="eastAsia"/>
                <w:color w:val="000000"/>
                <w:szCs w:val="21"/>
              </w:rPr>
              <w:t>450</w:t>
            </w:r>
          </w:p>
        </w:tc>
      </w:tr>
    </w:tbl>
    <w:p w14:paraId="4C9798A9">
      <w:pPr>
        <w:spacing w:line="480" w:lineRule="exact"/>
        <w:ind w:firstLine="560" w:firstLineChars="200"/>
        <w:rPr>
          <w:rFonts w:eastAsia="楷体_GB2312"/>
          <w:sz w:val="28"/>
        </w:rPr>
      </w:pPr>
      <w:r>
        <w:rPr>
          <w:rFonts w:eastAsia="楷体_GB2312"/>
          <w:sz w:val="28"/>
        </w:rPr>
        <w:t>由表1-5-2可知，初步划分的土地级别利用市场交易资料测算的商服和住宅用地级别平均地价存在明显的差异，这说明初步划分的土地级别是合理的。</w:t>
      </w:r>
    </w:p>
    <w:p w14:paraId="5BCC02AE">
      <w:pPr>
        <w:spacing w:line="480" w:lineRule="exact"/>
        <w:ind w:firstLine="562" w:firstLineChars="200"/>
        <w:rPr>
          <w:rFonts w:hint="eastAsia" w:eastAsia="楷体_GB2312"/>
          <w:b/>
          <w:sz w:val="28"/>
        </w:rPr>
      </w:pPr>
    </w:p>
    <w:p w14:paraId="6E716166">
      <w:pPr>
        <w:spacing w:line="480" w:lineRule="exact"/>
        <w:ind w:firstLine="562" w:firstLineChars="200"/>
        <w:rPr>
          <w:rFonts w:eastAsia="楷体_GB2312"/>
          <w:b/>
          <w:sz w:val="28"/>
        </w:rPr>
      </w:pPr>
      <w:r>
        <w:rPr>
          <w:rFonts w:eastAsia="楷体_GB2312"/>
          <w:b/>
          <w:sz w:val="28"/>
        </w:rPr>
        <w:t>2、专家评议</w:t>
      </w:r>
    </w:p>
    <w:p w14:paraId="09E80DDF">
      <w:pPr>
        <w:widowControl w:val="0"/>
        <w:spacing w:line="470" w:lineRule="exact"/>
        <w:ind w:firstLine="555"/>
        <w:jc w:val="both"/>
        <w:rPr>
          <w:rFonts w:eastAsia="楷体_GB2312"/>
          <w:sz w:val="28"/>
        </w:rPr>
      </w:pPr>
      <w:r>
        <w:rPr>
          <w:rFonts w:eastAsia="楷体_GB2312"/>
          <w:sz w:val="28"/>
        </w:rPr>
        <w:t>202</w:t>
      </w:r>
      <w:r>
        <w:rPr>
          <w:rFonts w:hint="eastAsia" w:eastAsia="楷体_GB2312"/>
          <w:sz w:val="28"/>
        </w:rPr>
        <w:t>1</w:t>
      </w:r>
      <w:r>
        <w:rPr>
          <w:rFonts w:eastAsia="楷体_GB2312"/>
          <w:sz w:val="28"/>
        </w:rPr>
        <w:t>年</w:t>
      </w:r>
      <w:r>
        <w:rPr>
          <w:rFonts w:hint="eastAsia" w:eastAsia="楷体_GB2312"/>
          <w:sz w:val="28"/>
        </w:rPr>
        <w:t>4</w:t>
      </w:r>
      <w:r>
        <w:rPr>
          <w:rFonts w:eastAsia="楷体_GB2312"/>
          <w:sz w:val="28"/>
        </w:rPr>
        <w:t>月，安徽博源公司将初步成果提交</w:t>
      </w:r>
      <w:r>
        <w:rPr>
          <w:rFonts w:hint="eastAsia" w:ascii="楷体" w:hAnsi="楷体" w:eastAsia="楷体" w:cs="宋体"/>
          <w:sz w:val="28"/>
          <w:szCs w:val="21"/>
        </w:rPr>
        <w:t>宿州市埇桥区自然资源和规划局</w:t>
      </w:r>
      <w:r>
        <w:rPr>
          <w:rFonts w:ascii="楷体" w:hAnsi="楷体" w:eastAsia="楷体" w:cs="宋体"/>
          <w:sz w:val="28"/>
          <w:szCs w:val="21"/>
        </w:rPr>
        <w:t>，对初步成果进行了多次讨论汇报。</w:t>
      </w:r>
      <w:r>
        <w:rPr>
          <w:rFonts w:hint="eastAsia" w:ascii="楷体" w:hAnsi="楷体" w:eastAsia="楷体" w:cs="宋体"/>
          <w:sz w:val="28"/>
          <w:szCs w:val="21"/>
        </w:rPr>
        <w:t>宿州市埇桥区自然资源和规划局</w:t>
      </w:r>
      <w:r>
        <w:rPr>
          <w:rFonts w:ascii="楷体" w:hAnsi="楷体" w:eastAsia="楷体" w:cs="宋体"/>
          <w:sz w:val="28"/>
          <w:szCs w:val="21"/>
        </w:rPr>
        <w:t>对初步成果形成讨论意见，讨论意见的主要内容包括：定级范围应参考最新</w:t>
      </w:r>
      <w:r>
        <w:rPr>
          <w:rFonts w:hint="eastAsia" w:ascii="楷体" w:hAnsi="楷体" w:eastAsia="楷体" w:cs="宋体"/>
          <w:sz w:val="28"/>
          <w:szCs w:val="21"/>
        </w:rPr>
        <w:t>城镇</w:t>
      </w:r>
      <w:r>
        <w:rPr>
          <w:rFonts w:ascii="楷体" w:hAnsi="楷体" w:eastAsia="楷体" w:cs="宋体"/>
          <w:sz w:val="28"/>
          <w:szCs w:val="21"/>
        </w:rPr>
        <w:t>规划图和土地规划图，相关地物、地名应按照最新集镇总体规划进行修改。安徽博源公司针对修改意见对成果进行具体的修改完善并报</w:t>
      </w:r>
      <w:r>
        <w:rPr>
          <w:rFonts w:hint="eastAsia" w:ascii="楷体" w:hAnsi="楷体" w:eastAsia="楷体" w:cs="宋体"/>
          <w:sz w:val="28"/>
          <w:szCs w:val="21"/>
        </w:rPr>
        <w:t>宿州市埇桥区自然资源和规划局</w:t>
      </w:r>
      <w:r>
        <w:rPr>
          <w:rFonts w:ascii="楷体" w:hAnsi="楷体" w:eastAsia="楷体" w:cs="宋体"/>
          <w:sz w:val="28"/>
          <w:szCs w:val="21"/>
        </w:rPr>
        <w:t>审查，具体修改如下：本次参照最新</w:t>
      </w:r>
      <w:r>
        <w:rPr>
          <w:rFonts w:hint="eastAsia" w:ascii="楷体" w:hAnsi="楷体" w:eastAsia="楷体" w:cs="宋体"/>
          <w:sz w:val="28"/>
          <w:szCs w:val="21"/>
        </w:rPr>
        <w:t>城镇</w:t>
      </w:r>
      <w:r>
        <w:rPr>
          <w:rFonts w:ascii="楷体" w:hAnsi="楷体" w:eastAsia="楷体" w:cs="宋体"/>
          <w:sz w:val="28"/>
          <w:szCs w:val="21"/>
        </w:rPr>
        <w:t>规划和土地利用规划对范围重新核实，并参照城市规划路网对现有路网进行修改完善</w:t>
      </w:r>
      <w:r>
        <w:rPr>
          <w:rFonts w:eastAsia="楷体_GB2312"/>
          <w:sz w:val="28"/>
        </w:rPr>
        <w:t>。</w:t>
      </w:r>
    </w:p>
    <w:p w14:paraId="4FE914C2">
      <w:pPr>
        <w:spacing w:line="470" w:lineRule="exact"/>
        <w:ind w:firstLine="555"/>
        <w:rPr>
          <w:rFonts w:hint="eastAsia" w:ascii="楷体" w:hAnsi="楷体" w:eastAsia="楷体" w:cs="宋体"/>
          <w:sz w:val="28"/>
          <w:szCs w:val="21"/>
        </w:rPr>
      </w:pPr>
      <w:r>
        <w:rPr>
          <w:rFonts w:eastAsia="楷体_GB2312"/>
          <w:sz w:val="28"/>
        </w:rPr>
        <w:t>202</w:t>
      </w:r>
      <w:r>
        <w:rPr>
          <w:rFonts w:hint="eastAsia" w:eastAsia="楷体_GB2312"/>
          <w:sz w:val="28"/>
        </w:rPr>
        <w:t>1</w:t>
      </w:r>
      <w:r>
        <w:rPr>
          <w:rFonts w:eastAsia="楷体_GB2312"/>
          <w:sz w:val="28"/>
        </w:rPr>
        <w:t>年</w:t>
      </w:r>
      <w:r>
        <w:rPr>
          <w:rFonts w:hint="eastAsia" w:eastAsia="楷体_GB2312"/>
          <w:sz w:val="28"/>
        </w:rPr>
        <w:t>6</w:t>
      </w:r>
      <w:r>
        <w:rPr>
          <w:rFonts w:eastAsia="楷体_GB2312"/>
          <w:sz w:val="28"/>
        </w:rPr>
        <w:t>月</w:t>
      </w:r>
      <w:r>
        <w:rPr>
          <w:rFonts w:hint="eastAsia" w:eastAsia="楷体_GB2312"/>
          <w:sz w:val="28"/>
        </w:rPr>
        <w:t>17</w:t>
      </w:r>
      <w:r>
        <w:rPr>
          <w:rFonts w:eastAsia="楷体_GB2312"/>
          <w:sz w:val="28"/>
        </w:rPr>
        <w:t>日，</w:t>
      </w:r>
      <w:r>
        <w:rPr>
          <w:rFonts w:hint="eastAsia" w:ascii="楷体" w:hAnsi="楷体" w:eastAsia="楷体" w:cs="宋体"/>
          <w:sz w:val="28"/>
          <w:szCs w:val="21"/>
        </w:rPr>
        <w:t>埇桥区乡镇土地定级与</w:t>
      </w:r>
      <w:r>
        <w:rPr>
          <w:rFonts w:ascii="楷体" w:hAnsi="楷体" w:eastAsia="楷体" w:cs="宋体"/>
          <w:sz w:val="28"/>
          <w:szCs w:val="21"/>
        </w:rPr>
        <w:t>基准地价</w:t>
      </w:r>
      <w:r>
        <w:rPr>
          <w:rFonts w:hint="eastAsia" w:ascii="楷体" w:hAnsi="楷体" w:eastAsia="楷体" w:cs="宋体"/>
          <w:sz w:val="28"/>
          <w:szCs w:val="21"/>
        </w:rPr>
        <w:t>更新</w:t>
      </w:r>
      <w:r>
        <w:rPr>
          <w:rFonts w:ascii="楷体" w:hAnsi="楷体" w:eastAsia="楷体" w:cs="宋体"/>
          <w:sz w:val="28"/>
          <w:szCs w:val="21"/>
        </w:rPr>
        <w:t>成果听证会在</w:t>
      </w:r>
      <w:r>
        <w:rPr>
          <w:rFonts w:hint="eastAsia" w:ascii="楷体" w:hAnsi="楷体" w:eastAsia="楷体" w:cs="宋体"/>
          <w:sz w:val="28"/>
          <w:szCs w:val="21"/>
        </w:rPr>
        <w:t>埇桥区人民政府</w:t>
      </w:r>
      <w:r>
        <w:rPr>
          <w:rFonts w:ascii="楷体" w:hAnsi="楷体" w:eastAsia="楷体" w:cs="宋体"/>
          <w:sz w:val="28"/>
          <w:szCs w:val="21"/>
        </w:rPr>
        <w:t>会议</w:t>
      </w:r>
      <w:r>
        <w:rPr>
          <w:rFonts w:eastAsia="楷体_GB2312"/>
          <w:sz w:val="28"/>
        </w:rPr>
        <w:t>室召开，参加人员有</w:t>
      </w:r>
      <w:r>
        <w:rPr>
          <w:rFonts w:hint="eastAsia" w:eastAsia="楷体_GB2312"/>
          <w:sz w:val="28"/>
        </w:rPr>
        <w:t>区</w:t>
      </w:r>
      <w:r>
        <w:rPr>
          <w:rFonts w:eastAsia="楷体_GB2312"/>
          <w:sz w:val="28"/>
        </w:rPr>
        <w:t>发改委、</w:t>
      </w:r>
      <w:r>
        <w:rPr>
          <w:rFonts w:hint="eastAsia" w:eastAsia="楷体_GB2312"/>
          <w:sz w:val="28"/>
        </w:rPr>
        <w:t>区</w:t>
      </w:r>
      <w:r>
        <w:rPr>
          <w:rFonts w:eastAsia="楷体_GB2312"/>
          <w:sz w:val="28"/>
        </w:rPr>
        <w:t>交运局、</w:t>
      </w:r>
      <w:r>
        <w:rPr>
          <w:rFonts w:hint="eastAsia" w:eastAsia="楷体_GB2312"/>
          <w:sz w:val="28"/>
        </w:rPr>
        <w:t>区</w:t>
      </w:r>
      <w:r>
        <w:rPr>
          <w:rFonts w:eastAsia="楷体_GB2312"/>
          <w:sz w:val="28"/>
        </w:rPr>
        <w:t>财政局、</w:t>
      </w:r>
      <w:r>
        <w:rPr>
          <w:rFonts w:hint="eastAsia" w:eastAsia="楷体_GB2312"/>
          <w:sz w:val="28"/>
        </w:rPr>
        <w:t>区</w:t>
      </w:r>
      <w:r>
        <w:rPr>
          <w:rFonts w:eastAsia="楷体_GB2312"/>
          <w:sz w:val="28"/>
        </w:rPr>
        <w:t>住建局</w:t>
      </w:r>
      <w:r>
        <w:rPr>
          <w:rFonts w:hint="eastAsia" w:eastAsia="楷体_GB2312"/>
          <w:sz w:val="28"/>
        </w:rPr>
        <w:t>等区直单位</w:t>
      </w:r>
      <w:r>
        <w:rPr>
          <w:rFonts w:eastAsia="楷体_GB2312"/>
          <w:sz w:val="28"/>
        </w:rPr>
        <w:t>14人，各乡镇政府</w:t>
      </w:r>
      <w:r>
        <w:rPr>
          <w:rFonts w:hint="eastAsia" w:eastAsia="楷体_GB2312"/>
          <w:sz w:val="28"/>
        </w:rPr>
        <w:t>25</w:t>
      </w:r>
      <w:r>
        <w:rPr>
          <w:rFonts w:eastAsia="楷体_GB2312"/>
          <w:sz w:val="28"/>
        </w:rPr>
        <w:t>人，编制单位2人，会上参会人员对各乡镇成果</w:t>
      </w:r>
      <w:r>
        <w:rPr>
          <w:rFonts w:ascii="楷体" w:hAnsi="楷体" w:eastAsia="楷体" w:cs="宋体"/>
          <w:sz w:val="28"/>
          <w:szCs w:val="21"/>
        </w:rPr>
        <w:t>意见的主要内容包括：</w:t>
      </w:r>
    </w:p>
    <w:p w14:paraId="5CAFCE1F">
      <w:pPr>
        <w:spacing w:line="470" w:lineRule="exact"/>
        <w:ind w:firstLine="555"/>
        <w:rPr>
          <w:rFonts w:hint="eastAsia" w:ascii="楷体" w:hAnsi="楷体" w:eastAsia="楷体" w:cs="宋体"/>
          <w:sz w:val="28"/>
          <w:szCs w:val="21"/>
        </w:rPr>
      </w:pPr>
      <w:r>
        <w:rPr>
          <w:rFonts w:hint="eastAsia" w:ascii="楷体" w:hAnsi="楷体" w:eastAsia="楷体" w:cs="宋体"/>
          <w:sz w:val="28"/>
          <w:szCs w:val="21"/>
        </w:rPr>
        <w:t>1、时村镇环城北路与环城西路交口西北侧区域建议纳入定级范围。</w:t>
      </w:r>
    </w:p>
    <w:p w14:paraId="657E9FA2">
      <w:pPr>
        <w:spacing w:line="470" w:lineRule="exact"/>
        <w:ind w:firstLine="555"/>
        <w:rPr>
          <w:rFonts w:hint="eastAsia" w:ascii="楷体" w:hAnsi="楷体" w:eastAsia="楷体" w:cs="宋体"/>
          <w:sz w:val="28"/>
          <w:szCs w:val="21"/>
        </w:rPr>
      </w:pPr>
      <w:r>
        <w:rPr>
          <w:rFonts w:hint="eastAsia" w:ascii="楷体" w:hAnsi="楷体" w:eastAsia="楷体" w:cs="宋体"/>
          <w:sz w:val="28"/>
          <w:szCs w:val="21"/>
        </w:rPr>
        <w:t>2、时村镇成果图道路水系与现状不符。</w:t>
      </w:r>
    </w:p>
    <w:p w14:paraId="4629C425">
      <w:pPr>
        <w:spacing w:line="470" w:lineRule="exact"/>
        <w:ind w:firstLine="555"/>
        <w:rPr>
          <w:rFonts w:eastAsia="楷体_GB2312"/>
          <w:sz w:val="28"/>
        </w:rPr>
      </w:pPr>
      <w:r>
        <w:rPr>
          <w:rFonts w:hint="eastAsia" w:ascii="楷体" w:hAnsi="楷体" w:eastAsia="楷体" w:cs="宋体"/>
          <w:sz w:val="28"/>
          <w:szCs w:val="21"/>
        </w:rPr>
        <w:t>3、家具产业园港口路西侧没纳入定级范围，说明原因。</w:t>
      </w:r>
    </w:p>
    <w:p w14:paraId="497FBB14">
      <w:pPr>
        <w:spacing w:line="470" w:lineRule="exact"/>
        <w:ind w:firstLine="555"/>
        <w:rPr>
          <w:rFonts w:hint="eastAsia" w:ascii="楷体" w:hAnsi="楷体" w:eastAsia="楷体" w:cs="宋体"/>
          <w:sz w:val="28"/>
          <w:szCs w:val="21"/>
        </w:rPr>
      </w:pPr>
      <w:r>
        <w:rPr>
          <w:rFonts w:ascii="楷体" w:hAnsi="楷体" w:eastAsia="楷体" w:cs="宋体"/>
          <w:sz w:val="28"/>
          <w:szCs w:val="21"/>
        </w:rPr>
        <w:t>具体</w:t>
      </w:r>
      <w:r>
        <w:rPr>
          <w:rFonts w:hint="eastAsia" w:ascii="楷体" w:hAnsi="楷体" w:eastAsia="楷体" w:cs="宋体"/>
          <w:sz w:val="28"/>
          <w:szCs w:val="21"/>
        </w:rPr>
        <w:t>解释</w:t>
      </w:r>
      <w:r>
        <w:rPr>
          <w:rFonts w:ascii="楷体" w:hAnsi="楷体" w:eastAsia="楷体" w:cs="宋体"/>
          <w:sz w:val="28"/>
          <w:szCs w:val="21"/>
        </w:rPr>
        <w:t>修改如下：</w:t>
      </w:r>
    </w:p>
    <w:p w14:paraId="1666A35D">
      <w:pPr>
        <w:spacing w:line="470" w:lineRule="exact"/>
        <w:ind w:firstLine="555"/>
        <w:rPr>
          <w:rFonts w:hint="eastAsia" w:ascii="楷体" w:hAnsi="楷体" w:eastAsia="楷体" w:cs="宋体"/>
          <w:sz w:val="28"/>
          <w:szCs w:val="21"/>
        </w:rPr>
      </w:pPr>
      <w:r>
        <w:rPr>
          <w:rFonts w:hint="eastAsia" w:ascii="楷体" w:hAnsi="楷体" w:eastAsia="楷体" w:cs="宋体"/>
          <w:sz w:val="28"/>
          <w:szCs w:val="21"/>
        </w:rPr>
        <w:t>1、时村镇环城北路与环城西路交口西北侧区域集镇规划为防护绿地，可纳入定级范围，意见采纳，进行修改完善。</w:t>
      </w:r>
    </w:p>
    <w:p w14:paraId="41FDE31D">
      <w:pPr>
        <w:spacing w:line="470" w:lineRule="exact"/>
        <w:ind w:firstLine="555"/>
        <w:rPr>
          <w:rFonts w:hint="eastAsia" w:ascii="楷体" w:hAnsi="楷体" w:eastAsia="楷体" w:cs="宋体"/>
          <w:sz w:val="28"/>
          <w:szCs w:val="21"/>
        </w:rPr>
      </w:pPr>
      <w:r>
        <w:rPr>
          <w:rFonts w:hint="eastAsia" w:ascii="楷体" w:hAnsi="楷体" w:eastAsia="楷体" w:cs="宋体"/>
          <w:sz w:val="28"/>
          <w:szCs w:val="21"/>
        </w:rPr>
        <w:t>2、时村镇成果图道路水系是根据《宿州市时村镇总体规划（2016-2030）》中镇区用地布局规划图绘制，包括现状道路水系与规划道路水系，其中现状地物用实线表示，规划地物用虚线表示。已解释说明，无异议。</w:t>
      </w:r>
    </w:p>
    <w:p w14:paraId="4EE0828C">
      <w:pPr>
        <w:widowControl w:val="0"/>
        <w:spacing w:line="470" w:lineRule="exact"/>
        <w:ind w:firstLine="555"/>
        <w:jc w:val="both"/>
        <w:rPr>
          <w:rFonts w:eastAsia="楷体_GB2312"/>
          <w:sz w:val="28"/>
        </w:rPr>
      </w:pPr>
      <w:r>
        <w:rPr>
          <w:rFonts w:hint="eastAsia" w:ascii="楷体" w:hAnsi="楷体" w:eastAsia="楷体" w:cs="宋体"/>
          <w:sz w:val="28"/>
          <w:szCs w:val="21"/>
        </w:rPr>
        <w:t>3、家具产业园港口路西侧没纳入定级范围，原因如家具产业园四线和一图所示，港口路西侧区域已纳入宿州市城区基准地价范围内，本次未纳入定级范围。已解释说明，无异议。</w:t>
      </w:r>
    </w:p>
    <w:p w14:paraId="11916EBC">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二、土地级别的确定</w:t>
      </w:r>
    </w:p>
    <w:p w14:paraId="765CB328">
      <w:pPr>
        <w:widowControl w:val="0"/>
        <w:spacing w:line="480" w:lineRule="exact"/>
        <w:ind w:firstLine="560" w:firstLineChars="200"/>
        <w:rPr>
          <w:rFonts w:eastAsia="楷体_GB2312"/>
          <w:sz w:val="28"/>
        </w:rPr>
      </w:pPr>
      <w:r>
        <w:rPr>
          <w:rFonts w:eastAsia="楷体_GB2312"/>
          <w:sz w:val="28"/>
        </w:rPr>
        <w:t>在土地定级初步成果验证的基础上，对初步划分的土地级别及其界线进行实地踏勘。依据土地利用状况和样点地价的同一性与差异性，对土地级别界线进行校核调整，最终确定土地级别及其界线。</w:t>
      </w:r>
    </w:p>
    <w:p w14:paraId="21DDBC16">
      <w:pPr>
        <w:rPr>
          <w:rFonts w:eastAsia="楷体_GB2312"/>
          <w:sz w:val="28"/>
        </w:rPr>
        <w:sectPr>
          <w:pgSz w:w="11906" w:h="16838"/>
          <w:pgMar w:top="1701" w:right="1418" w:bottom="1418" w:left="1701" w:header="1134" w:footer="992" w:gutter="0"/>
          <w:cols w:space="720" w:num="1"/>
          <w:docGrid w:linePitch="12" w:charSpace="0"/>
        </w:sectPr>
      </w:pPr>
    </w:p>
    <w:p w14:paraId="237278CF">
      <w:pPr>
        <w:pStyle w:val="3"/>
        <w:spacing w:line="480" w:lineRule="exact"/>
        <w:jc w:val="center"/>
        <w:rPr>
          <w:rFonts w:ascii="Times New Roman" w:hAnsi="Times New Roman" w:eastAsia="宋体"/>
          <w:sz w:val="36"/>
        </w:rPr>
      </w:pPr>
      <w:bookmarkStart w:id="54" w:name="_Toc62563669"/>
      <w:r>
        <w:rPr>
          <w:rFonts w:ascii="Times New Roman" w:hAnsi="Times New Roman" w:eastAsia="宋体"/>
          <w:sz w:val="36"/>
        </w:rPr>
        <w:t>第六章  土地定级成果整理与分析</w:t>
      </w:r>
      <w:bookmarkEnd w:id="54"/>
    </w:p>
    <w:p w14:paraId="0F3EB4E0">
      <w:pPr>
        <w:pStyle w:val="4"/>
        <w:numPr>
          <w:ilvl w:val="0"/>
          <w:numId w:val="0"/>
        </w:numPr>
        <w:spacing w:line="240" w:lineRule="auto"/>
        <w:jc w:val="center"/>
        <w:rPr>
          <w:rFonts w:eastAsia="仿宋_GB2312"/>
          <w:bCs w:val="0"/>
        </w:rPr>
      </w:pPr>
      <w:bookmarkStart w:id="55" w:name="_Toc62563670"/>
      <w:r>
        <w:rPr>
          <w:rFonts w:eastAsia="仿宋_GB2312"/>
          <w:bCs w:val="0"/>
        </w:rPr>
        <w:t>第一节  土地定级成果图件编制及土地级别面积量算</w:t>
      </w:r>
      <w:bookmarkEnd w:id="55"/>
    </w:p>
    <w:p w14:paraId="7270E3D9">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一、土地定级成果图件编制</w:t>
      </w:r>
    </w:p>
    <w:p w14:paraId="23503138">
      <w:pPr>
        <w:spacing w:line="480" w:lineRule="exact"/>
        <w:ind w:firstLine="560" w:firstLineChars="200"/>
        <w:rPr>
          <w:rFonts w:eastAsia="楷体_GB2312"/>
          <w:sz w:val="28"/>
        </w:rPr>
      </w:pPr>
      <w:r>
        <w:rPr>
          <w:rFonts w:eastAsia="楷体_GB2312"/>
          <w:sz w:val="28"/>
        </w:rPr>
        <w:t>参照《城镇土地分等定级规程》的技术要求，基于</w:t>
      </w:r>
      <w:r>
        <w:rPr>
          <w:rFonts w:hint="eastAsia" w:eastAsia="楷体_GB2312"/>
          <w:sz w:val="28"/>
        </w:rPr>
        <w:t>ACRGIS</w:t>
      </w:r>
      <w:r>
        <w:rPr>
          <w:rFonts w:eastAsia="楷体_GB2312"/>
          <w:sz w:val="28"/>
        </w:rPr>
        <w:t>软件，采用屏幕数字化方式，将确定的土地级别界线输入计算机，形成土地级别图形工作数据库，由绘图仪自动绘制各乡镇区土地综合级别图。</w:t>
      </w:r>
    </w:p>
    <w:p w14:paraId="7781BDB7">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二、土地级别面积量算</w:t>
      </w:r>
    </w:p>
    <w:p w14:paraId="06032E81">
      <w:pPr>
        <w:spacing w:line="480" w:lineRule="exact"/>
        <w:ind w:firstLine="562" w:firstLineChars="200"/>
        <w:rPr>
          <w:rFonts w:eastAsia="楷体_GB2312"/>
          <w:b/>
          <w:sz w:val="28"/>
        </w:rPr>
      </w:pPr>
      <w:r>
        <w:rPr>
          <w:rFonts w:eastAsia="楷体_GB2312"/>
          <w:b/>
          <w:sz w:val="28"/>
        </w:rPr>
        <w:t>1、土地级别面积量算方法</w:t>
      </w:r>
    </w:p>
    <w:p w14:paraId="5F25148C">
      <w:pPr>
        <w:spacing w:line="480" w:lineRule="exact"/>
        <w:ind w:firstLine="560" w:firstLineChars="200"/>
        <w:rPr>
          <w:rFonts w:eastAsia="楷体_GB2312"/>
          <w:sz w:val="28"/>
        </w:rPr>
      </w:pPr>
      <w:r>
        <w:rPr>
          <w:rFonts w:eastAsia="楷体_GB2312"/>
          <w:sz w:val="28"/>
        </w:rPr>
        <w:t>根据已建立的土地级别图形工作数据库，利用ARCGIS软件所提供的面积计算功能，采用屏幕量算的方法计算各级地土地面积。为了保证面积量算的精度，利用图幅面积对级别量算图斑面积进行控制，图幅内各土地级图斑面积量算总和与图幅理论面积（P）之差</w:t>
      </w:r>
      <w:r>
        <w:rPr>
          <w:rFonts w:ascii="Cambria Math" w:hAnsi="Cambria Math" w:eastAsia="楷体_GB2312" w:cs="Cambria Math"/>
          <w:sz w:val="28"/>
        </w:rPr>
        <w:t>△</w:t>
      </w:r>
      <w:r>
        <w:rPr>
          <w:rFonts w:eastAsia="楷体_GB2312"/>
          <w:sz w:val="28"/>
        </w:rPr>
        <w:t>满足下式：</w:t>
      </w:r>
    </w:p>
    <w:p w14:paraId="01318E74">
      <w:pPr>
        <w:spacing w:line="480" w:lineRule="exact"/>
        <w:jc w:val="center"/>
        <w:rPr>
          <w:rFonts w:eastAsia="楷体_GB2312"/>
          <w:sz w:val="28"/>
        </w:rPr>
      </w:pPr>
      <w:r>
        <w:rPr>
          <w:rFonts w:ascii="Cambria Math" w:hAnsi="Cambria Math" w:eastAsia="楷体_GB2312" w:cs="Cambria Math"/>
          <w:sz w:val="28"/>
        </w:rPr>
        <w:t>△</w:t>
      </w:r>
      <w:r>
        <w:rPr>
          <w:rFonts w:eastAsia="楷体_GB2312"/>
          <w:sz w:val="28"/>
        </w:rPr>
        <w:t>≤0.0025P</w:t>
      </w:r>
    </w:p>
    <w:p w14:paraId="0CD3B560">
      <w:pPr>
        <w:spacing w:line="480" w:lineRule="exact"/>
        <w:rPr>
          <w:rFonts w:eastAsia="楷体_GB2312"/>
          <w:sz w:val="28"/>
        </w:rPr>
      </w:pPr>
      <w:r>
        <w:rPr>
          <w:rFonts w:eastAsia="楷体_GB2312"/>
          <w:sz w:val="28"/>
        </w:rPr>
        <w:t>若面积量算误差符合要求后，则按面积比例进行平差算得图斑实际面积。</w:t>
      </w:r>
    </w:p>
    <w:p w14:paraId="7732BA81">
      <w:pPr>
        <w:spacing w:line="480" w:lineRule="exact"/>
        <w:ind w:firstLine="562" w:firstLineChars="200"/>
        <w:rPr>
          <w:rFonts w:eastAsia="楷体_GB2312"/>
          <w:b/>
          <w:sz w:val="28"/>
        </w:rPr>
      </w:pPr>
      <w:r>
        <w:rPr>
          <w:rFonts w:eastAsia="楷体_GB2312"/>
          <w:b/>
          <w:sz w:val="28"/>
        </w:rPr>
        <w:t>2、土地级别面积量算结果</w:t>
      </w:r>
    </w:p>
    <w:p w14:paraId="614176C5">
      <w:pPr>
        <w:spacing w:line="480" w:lineRule="exact"/>
        <w:ind w:firstLine="560" w:firstLineChars="200"/>
        <w:rPr>
          <w:rFonts w:eastAsia="楷体_GB2312"/>
          <w:sz w:val="28"/>
        </w:rPr>
      </w:pPr>
      <w:r>
        <w:rPr>
          <w:rFonts w:eastAsia="楷体_GB2312"/>
          <w:sz w:val="28"/>
        </w:rPr>
        <w:t>根据以上面积量算方法，量算出</w:t>
      </w:r>
      <w:r>
        <w:rPr>
          <w:rFonts w:eastAsia="楷体_GB2312"/>
          <w:kern w:val="0"/>
          <w:sz w:val="28"/>
        </w:rPr>
        <w:t>各乡镇镇区</w:t>
      </w:r>
      <w:r>
        <w:rPr>
          <w:rFonts w:eastAsia="楷体_GB2312"/>
          <w:sz w:val="28"/>
        </w:rPr>
        <w:t>各级别土地面积。结果见表1-6-1。</w:t>
      </w:r>
    </w:p>
    <w:p w14:paraId="63D20683">
      <w:pPr>
        <w:pStyle w:val="20"/>
        <w:jc w:val="center"/>
        <w:rPr>
          <w:rFonts w:ascii="Times New Roman" w:hAnsi="Times New Roman" w:eastAsia="黑体" w:cs="Times New Roman"/>
          <w:sz w:val="28"/>
        </w:rPr>
      </w:pPr>
      <w:r>
        <w:rPr>
          <w:rFonts w:ascii="Times New Roman" w:hAnsi="Times New Roman" w:eastAsia="黑体" w:cs="Times New Roman"/>
          <w:sz w:val="28"/>
        </w:rPr>
        <w:t>表1-6-1  土地级别面积统计表</w:t>
      </w:r>
    </w:p>
    <w:p w14:paraId="2297A037">
      <w:pPr>
        <w:pStyle w:val="20"/>
        <w:jc w:val="center"/>
        <w:rPr>
          <w:rFonts w:ascii="Times New Roman" w:hAnsi="Times New Roman" w:eastAsia="楷体_GB2312" w:cs="Times New Roman"/>
        </w:rPr>
      </w:pPr>
      <w:r>
        <w:rPr>
          <w:rFonts w:ascii="Times New Roman" w:hAnsi="Times New Roman" w:eastAsia="仿宋_GB2312" w:cs="Times New Roman"/>
        </w:rPr>
        <w:t xml:space="preserve">                                                                 </w:t>
      </w:r>
      <w:r>
        <w:rPr>
          <w:rFonts w:ascii="Times New Roman" w:hAnsi="Times New Roman" w:eastAsia="楷体_GB2312" w:cs="Times New Roman"/>
        </w:rPr>
        <w:t xml:space="preserve">  </w:t>
      </w:r>
      <w:bookmarkStart w:id="56" w:name="OLE_LINK6"/>
      <w:r>
        <w:rPr>
          <w:rFonts w:ascii="Times New Roman" w:hAnsi="Times New Roman" w:eastAsia="楷体_GB2312" w:cs="Times New Roman"/>
        </w:rPr>
        <w:t>单位：平方公里</w:t>
      </w:r>
      <w:r>
        <w:rPr>
          <w:rFonts w:hint="eastAsia" w:ascii="Times New Roman" w:hAnsi="Times New Roman" w:eastAsia="楷体_GB2312" w:cs="Times New Roman"/>
        </w:rPr>
        <w:t>、%</w:t>
      </w:r>
    </w:p>
    <w:bookmarkEnd w:id="56"/>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118"/>
        <w:gridCol w:w="850"/>
        <w:gridCol w:w="851"/>
        <w:gridCol w:w="850"/>
        <w:gridCol w:w="992"/>
        <w:gridCol w:w="1134"/>
        <w:gridCol w:w="916"/>
        <w:gridCol w:w="1776"/>
      </w:tblGrid>
      <w:tr w14:paraId="3E78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85" w:type="dxa"/>
            <w:vMerge w:val="restart"/>
            <w:noWrap w:val="0"/>
            <w:vAlign w:val="center"/>
          </w:tcPr>
          <w:p w14:paraId="4172687B">
            <w:pPr>
              <w:widowControl w:val="0"/>
              <w:jc w:val="center"/>
              <w:rPr>
                <w:rFonts w:eastAsia="楷体_GB2312"/>
                <w:szCs w:val="21"/>
              </w:rPr>
            </w:pPr>
            <w:r>
              <w:rPr>
                <w:rFonts w:eastAsia="楷体_GB2312"/>
                <w:szCs w:val="21"/>
              </w:rPr>
              <w:t>编号</w:t>
            </w:r>
          </w:p>
        </w:tc>
        <w:tc>
          <w:tcPr>
            <w:tcW w:w="1118" w:type="dxa"/>
            <w:vMerge w:val="restart"/>
            <w:noWrap w:val="0"/>
            <w:vAlign w:val="center"/>
          </w:tcPr>
          <w:p w14:paraId="426E2600">
            <w:pPr>
              <w:widowControl w:val="0"/>
              <w:jc w:val="center"/>
              <w:rPr>
                <w:rFonts w:hint="eastAsia" w:eastAsia="楷体_GB2312"/>
                <w:szCs w:val="21"/>
              </w:rPr>
            </w:pPr>
            <w:r>
              <w:rPr>
                <w:rFonts w:eastAsia="楷体_GB2312"/>
                <w:szCs w:val="21"/>
              </w:rPr>
              <w:t>乡镇</w:t>
            </w:r>
          </w:p>
          <w:p w14:paraId="342F6D3B">
            <w:pPr>
              <w:widowControl w:val="0"/>
              <w:jc w:val="center"/>
              <w:rPr>
                <w:rFonts w:eastAsia="楷体_GB2312"/>
                <w:szCs w:val="21"/>
              </w:rPr>
            </w:pPr>
            <w:r>
              <w:rPr>
                <w:rFonts w:eastAsia="楷体_GB2312"/>
                <w:szCs w:val="21"/>
              </w:rPr>
              <w:t>名称</w:t>
            </w:r>
          </w:p>
        </w:tc>
        <w:tc>
          <w:tcPr>
            <w:tcW w:w="1701" w:type="dxa"/>
            <w:gridSpan w:val="2"/>
            <w:noWrap w:val="0"/>
            <w:vAlign w:val="center"/>
          </w:tcPr>
          <w:p w14:paraId="24417B7B">
            <w:pPr>
              <w:widowControl w:val="0"/>
              <w:jc w:val="center"/>
              <w:rPr>
                <w:rFonts w:eastAsia="楷体_GB2312"/>
                <w:szCs w:val="21"/>
              </w:rPr>
            </w:pPr>
            <w:r>
              <w:rPr>
                <w:rFonts w:eastAsia="楷体_GB2312"/>
                <w:szCs w:val="21"/>
              </w:rPr>
              <w:t>一级地</w:t>
            </w:r>
          </w:p>
        </w:tc>
        <w:tc>
          <w:tcPr>
            <w:tcW w:w="1842" w:type="dxa"/>
            <w:gridSpan w:val="2"/>
            <w:noWrap w:val="0"/>
            <w:vAlign w:val="center"/>
          </w:tcPr>
          <w:p w14:paraId="38892D1C">
            <w:pPr>
              <w:widowControl w:val="0"/>
              <w:jc w:val="center"/>
              <w:rPr>
                <w:rFonts w:eastAsia="楷体_GB2312"/>
                <w:szCs w:val="21"/>
              </w:rPr>
            </w:pPr>
            <w:r>
              <w:rPr>
                <w:rFonts w:eastAsia="楷体_GB2312"/>
                <w:szCs w:val="21"/>
              </w:rPr>
              <w:t>二级地</w:t>
            </w:r>
          </w:p>
        </w:tc>
        <w:tc>
          <w:tcPr>
            <w:tcW w:w="2050" w:type="dxa"/>
            <w:gridSpan w:val="2"/>
            <w:noWrap w:val="0"/>
            <w:vAlign w:val="center"/>
          </w:tcPr>
          <w:p w14:paraId="14E57072">
            <w:pPr>
              <w:widowControl w:val="0"/>
              <w:jc w:val="center"/>
              <w:rPr>
                <w:rFonts w:eastAsia="楷体_GB2312"/>
                <w:szCs w:val="21"/>
              </w:rPr>
            </w:pPr>
            <w:r>
              <w:rPr>
                <w:rFonts w:eastAsia="楷体_GB2312"/>
                <w:szCs w:val="21"/>
              </w:rPr>
              <w:t>三级地</w:t>
            </w:r>
          </w:p>
        </w:tc>
        <w:tc>
          <w:tcPr>
            <w:tcW w:w="1776" w:type="dxa"/>
            <w:vMerge w:val="restart"/>
            <w:noWrap w:val="0"/>
            <w:vAlign w:val="center"/>
          </w:tcPr>
          <w:p w14:paraId="20714C55">
            <w:pPr>
              <w:widowControl w:val="0"/>
              <w:jc w:val="center"/>
              <w:rPr>
                <w:rFonts w:eastAsia="楷体_GB2312"/>
                <w:szCs w:val="21"/>
              </w:rPr>
            </w:pPr>
            <w:r>
              <w:rPr>
                <w:rFonts w:eastAsia="楷体_GB2312"/>
                <w:szCs w:val="21"/>
              </w:rPr>
              <w:t>面积</w:t>
            </w:r>
          </w:p>
        </w:tc>
      </w:tr>
      <w:tr w14:paraId="4F12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85" w:type="dxa"/>
            <w:vMerge w:val="continue"/>
            <w:noWrap w:val="0"/>
            <w:vAlign w:val="center"/>
          </w:tcPr>
          <w:p w14:paraId="27B6CB54">
            <w:pPr>
              <w:pStyle w:val="20"/>
              <w:jc w:val="center"/>
              <w:rPr>
                <w:rFonts w:ascii="Times New Roman" w:hAnsi="Times New Roman" w:eastAsia="楷体_GB2312"/>
              </w:rPr>
            </w:pPr>
          </w:p>
        </w:tc>
        <w:tc>
          <w:tcPr>
            <w:tcW w:w="1118" w:type="dxa"/>
            <w:vMerge w:val="continue"/>
            <w:noWrap w:val="0"/>
            <w:vAlign w:val="center"/>
          </w:tcPr>
          <w:p w14:paraId="2FB9B218">
            <w:pPr>
              <w:pStyle w:val="20"/>
              <w:jc w:val="center"/>
              <w:rPr>
                <w:rFonts w:ascii="Times New Roman" w:hAnsi="Times New Roman" w:eastAsia="楷体_GB2312"/>
              </w:rPr>
            </w:pPr>
          </w:p>
        </w:tc>
        <w:tc>
          <w:tcPr>
            <w:tcW w:w="850" w:type="dxa"/>
            <w:noWrap w:val="0"/>
            <w:vAlign w:val="center"/>
          </w:tcPr>
          <w:p w14:paraId="5B15428D">
            <w:pPr>
              <w:widowControl w:val="0"/>
              <w:jc w:val="center"/>
              <w:rPr>
                <w:rFonts w:eastAsia="楷体_GB2312"/>
                <w:szCs w:val="21"/>
              </w:rPr>
            </w:pPr>
            <w:r>
              <w:rPr>
                <w:rFonts w:eastAsia="楷体_GB2312"/>
                <w:szCs w:val="21"/>
              </w:rPr>
              <w:t>面积</w:t>
            </w:r>
          </w:p>
        </w:tc>
        <w:tc>
          <w:tcPr>
            <w:tcW w:w="851" w:type="dxa"/>
            <w:noWrap w:val="0"/>
            <w:vAlign w:val="center"/>
          </w:tcPr>
          <w:p w14:paraId="33E8F6B2">
            <w:pPr>
              <w:widowControl w:val="0"/>
              <w:jc w:val="center"/>
              <w:rPr>
                <w:rFonts w:eastAsia="楷体_GB2312"/>
                <w:szCs w:val="21"/>
              </w:rPr>
            </w:pPr>
            <w:r>
              <w:rPr>
                <w:rFonts w:hint="eastAsia" w:eastAsia="楷体_GB2312"/>
                <w:szCs w:val="21"/>
              </w:rPr>
              <w:t>百分比</w:t>
            </w:r>
          </w:p>
        </w:tc>
        <w:tc>
          <w:tcPr>
            <w:tcW w:w="850" w:type="dxa"/>
            <w:noWrap w:val="0"/>
            <w:vAlign w:val="center"/>
          </w:tcPr>
          <w:p w14:paraId="0BBF4395">
            <w:pPr>
              <w:widowControl w:val="0"/>
              <w:jc w:val="center"/>
              <w:rPr>
                <w:rFonts w:eastAsia="楷体_GB2312"/>
                <w:szCs w:val="21"/>
              </w:rPr>
            </w:pPr>
            <w:r>
              <w:rPr>
                <w:rFonts w:eastAsia="楷体_GB2312"/>
                <w:szCs w:val="21"/>
              </w:rPr>
              <w:t>面积</w:t>
            </w:r>
          </w:p>
        </w:tc>
        <w:tc>
          <w:tcPr>
            <w:tcW w:w="992" w:type="dxa"/>
            <w:noWrap w:val="0"/>
            <w:vAlign w:val="center"/>
          </w:tcPr>
          <w:p w14:paraId="62CC1960">
            <w:pPr>
              <w:widowControl w:val="0"/>
              <w:jc w:val="center"/>
              <w:rPr>
                <w:rFonts w:eastAsia="楷体_GB2312"/>
                <w:szCs w:val="21"/>
              </w:rPr>
            </w:pPr>
            <w:r>
              <w:rPr>
                <w:rFonts w:hint="eastAsia" w:eastAsia="楷体_GB2312"/>
                <w:szCs w:val="21"/>
              </w:rPr>
              <w:t>百分比</w:t>
            </w:r>
          </w:p>
        </w:tc>
        <w:tc>
          <w:tcPr>
            <w:tcW w:w="1134" w:type="dxa"/>
            <w:noWrap w:val="0"/>
            <w:vAlign w:val="center"/>
          </w:tcPr>
          <w:p w14:paraId="18FADD76">
            <w:pPr>
              <w:widowControl w:val="0"/>
              <w:jc w:val="center"/>
              <w:rPr>
                <w:rFonts w:eastAsia="楷体_GB2312"/>
                <w:szCs w:val="21"/>
              </w:rPr>
            </w:pPr>
            <w:r>
              <w:rPr>
                <w:rFonts w:eastAsia="楷体_GB2312"/>
                <w:szCs w:val="21"/>
              </w:rPr>
              <w:t>面积</w:t>
            </w:r>
          </w:p>
        </w:tc>
        <w:tc>
          <w:tcPr>
            <w:tcW w:w="916" w:type="dxa"/>
            <w:noWrap w:val="0"/>
            <w:vAlign w:val="center"/>
          </w:tcPr>
          <w:p w14:paraId="5D0101C6">
            <w:pPr>
              <w:widowControl w:val="0"/>
              <w:jc w:val="center"/>
              <w:rPr>
                <w:rFonts w:eastAsia="楷体_GB2312"/>
                <w:szCs w:val="21"/>
              </w:rPr>
            </w:pPr>
            <w:r>
              <w:rPr>
                <w:rFonts w:hint="eastAsia" w:eastAsia="楷体_GB2312"/>
                <w:szCs w:val="21"/>
              </w:rPr>
              <w:t>百分比</w:t>
            </w:r>
          </w:p>
        </w:tc>
        <w:tc>
          <w:tcPr>
            <w:tcW w:w="1776" w:type="dxa"/>
            <w:vMerge w:val="continue"/>
            <w:noWrap w:val="0"/>
            <w:vAlign w:val="center"/>
          </w:tcPr>
          <w:p w14:paraId="749C3596">
            <w:pPr>
              <w:pStyle w:val="20"/>
              <w:jc w:val="center"/>
              <w:rPr>
                <w:rFonts w:ascii="Times New Roman" w:hAnsi="Times New Roman" w:eastAsia="楷体_GB2312"/>
              </w:rPr>
            </w:pPr>
          </w:p>
        </w:tc>
      </w:tr>
      <w:tr w14:paraId="20E66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5" w:type="dxa"/>
            <w:noWrap w:val="0"/>
            <w:vAlign w:val="center"/>
          </w:tcPr>
          <w:p w14:paraId="5AB04A11">
            <w:pPr>
              <w:pStyle w:val="20"/>
              <w:jc w:val="center"/>
              <w:rPr>
                <w:rFonts w:ascii="Times New Roman" w:hAnsi="Times New Roman" w:eastAsia="楷体_GB2312"/>
              </w:rPr>
            </w:pPr>
            <w:r>
              <w:rPr>
                <w:rFonts w:ascii="Times New Roman" w:hAnsi="Times New Roman" w:eastAsia="楷体_GB2312"/>
              </w:rPr>
              <w:t>1</w:t>
            </w:r>
          </w:p>
        </w:tc>
        <w:tc>
          <w:tcPr>
            <w:tcW w:w="1118" w:type="dxa"/>
            <w:noWrap w:val="0"/>
            <w:vAlign w:val="center"/>
          </w:tcPr>
          <w:p w14:paraId="59E0401F">
            <w:pPr>
              <w:pStyle w:val="20"/>
              <w:jc w:val="center"/>
              <w:rPr>
                <w:rFonts w:ascii="Times New Roman" w:hAnsi="Times New Roman" w:eastAsia="楷体_GB2312"/>
              </w:rPr>
            </w:pPr>
            <w:r>
              <w:rPr>
                <w:rFonts w:ascii="Times New Roman" w:hAnsi="Times New Roman" w:eastAsia="楷体_GB2312"/>
              </w:rPr>
              <w:t>符离镇</w:t>
            </w:r>
          </w:p>
        </w:tc>
        <w:tc>
          <w:tcPr>
            <w:tcW w:w="850" w:type="dxa"/>
            <w:noWrap w:val="0"/>
            <w:vAlign w:val="center"/>
          </w:tcPr>
          <w:p w14:paraId="7739EF8E">
            <w:pPr>
              <w:jc w:val="center"/>
              <w:rPr>
                <w:color w:val="000000"/>
                <w:szCs w:val="21"/>
              </w:rPr>
            </w:pPr>
            <w:r>
              <w:rPr>
                <w:color w:val="000000"/>
                <w:szCs w:val="21"/>
              </w:rPr>
              <w:t>1.49</w:t>
            </w:r>
          </w:p>
        </w:tc>
        <w:tc>
          <w:tcPr>
            <w:tcW w:w="851" w:type="dxa"/>
            <w:noWrap w:val="0"/>
            <w:vAlign w:val="center"/>
          </w:tcPr>
          <w:p w14:paraId="045F7BB1">
            <w:pPr>
              <w:jc w:val="center"/>
              <w:rPr>
                <w:color w:val="000000"/>
                <w:szCs w:val="21"/>
              </w:rPr>
            </w:pPr>
            <w:r>
              <w:rPr>
                <w:color w:val="000000"/>
                <w:szCs w:val="21"/>
              </w:rPr>
              <w:t>8.7</w:t>
            </w:r>
          </w:p>
        </w:tc>
        <w:tc>
          <w:tcPr>
            <w:tcW w:w="850" w:type="dxa"/>
            <w:noWrap w:val="0"/>
            <w:vAlign w:val="center"/>
          </w:tcPr>
          <w:p w14:paraId="4E8680D7">
            <w:pPr>
              <w:jc w:val="center"/>
              <w:rPr>
                <w:color w:val="000000"/>
                <w:szCs w:val="21"/>
              </w:rPr>
            </w:pPr>
            <w:r>
              <w:rPr>
                <w:color w:val="000000"/>
                <w:szCs w:val="21"/>
              </w:rPr>
              <w:t>6.09</w:t>
            </w:r>
          </w:p>
        </w:tc>
        <w:tc>
          <w:tcPr>
            <w:tcW w:w="992" w:type="dxa"/>
            <w:noWrap w:val="0"/>
            <w:vAlign w:val="center"/>
          </w:tcPr>
          <w:p w14:paraId="752BEA7D">
            <w:pPr>
              <w:jc w:val="center"/>
              <w:rPr>
                <w:color w:val="000000"/>
                <w:szCs w:val="21"/>
              </w:rPr>
            </w:pPr>
            <w:r>
              <w:rPr>
                <w:color w:val="000000"/>
                <w:szCs w:val="21"/>
              </w:rPr>
              <w:t>35.57</w:t>
            </w:r>
          </w:p>
        </w:tc>
        <w:tc>
          <w:tcPr>
            <w:tcW w:w="1134" w:type="dxa"/>
            <w:noWrap w:val="0"/>
            <w:vAlign w:val="center"/>
          </w:tcPr>
          <w:p w14:paraId="53429582">
            <w:pPr>
              <w:jc w:val="center"/>
              <w:rPr>
                <w:color w:val="000000"/>
                <w:szCs w:val="21"/>
              </w:rPr>
            </w:pPr>
            <w:r>
              <w:rPr>
                <w:color w:val="000000"/>
                <w:szCs w:val="21"/>
              </w:rPr>
              <w:t>9.54</w:t>
            </w:r>
          </w:p>
        </w:tc>
        <w:tc>
          <w:tcPr>
            <w:tcW w:w="916" w:type="dxa"/>
            <w:noWrap w:val="0"/>
            <w:vAlign w:val="center"/>
          </w:tcPr>
          <w:p w14:paraId="6D70E3D0">
            <w:pPr>
              <w:jc w:val="center"/>
              <w:rPr>
                <w:color w:val="000000"/>
                <w:szCs w:val="21"/>
              </w:rPr>
            </w:pPr>
            <w:r>
              <w:rPr>
                <w:color w:val="000000"/>
                <w:szCs w:val="21"/>
              </w:rPr>
              <w:t>55.73</w:t>
            </w:r>
          </w:p>
        </w:tc>
        <w:tc>
          <w:tcPr>
            <w:tcW w:w="1776" w:type="dxa"/>
            <w:noWrap w:val="0"/>
            <w:vAlign w:val="center"/>
          </w:tcPr>
          <w:p w14:paraId="49041613">
            <w:pPr>
              <w:pStyle w:val="20"/>
              <w:jc w:val="center"/>
              <w:rPr>
                <w:rFonts w:ascii="Times New Roman" w:hAnsi="Times New Roman" w:cs="Times New Roman"/>
                <w:color w:val="000000"/>
              </w:rPr>
            </w:pPr>
            <w:r>
              <w:rPr>
                <w:rFonts w:ascii="Times New Roman" w:hAnsi="Times New Roman" w:cs="Times New Roman"/>
                <w:color w:val="000000"/>
              </w:rPr>
              <w:t>17.12</w:t>
            </w:r>
          </w:p>
        </w:tc>
      </w:tr>
      <w:tr w14:paraId="0135A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5" w:type="dxa"/>
            <w:noWrap w:val="0"/>
            <w:vAlign w:val="center"/>
          </w:tcPr>
          <w:p w14:paraId="1CA4A0FB">
            <w:pPr>
              <w:pStyle w:val="20"/>
              <w:jc w:val="center"/>
              <w:rPr>
                <w:rFonts w:ascii="Times New Roman" w:hAnsi="Times New Roman" w:eastAsia="楷体_GB2312"/>
              </w:rPr>
            </w:pPr>
            <w:r>
              <w:rPr>
                <w:rFonts w:ascii="Times New Roman" w:hAnsi="Times New Roman" w:eastAsia="楷体_GB2312"/>
              </w:rPr>
              <w:t>2</w:t>
            </w:r>
          </w:p>
        </w:tc>
        <w:tc>
          <w:tcPr>
            <w:tcW w:w="1118" w:type="dxa"/>
            <w:noWrap w:val="0"/>
            <w:vAlign w:val="center"/>
          </w:tcPr>
          <w:p w14:paraId="2C496447">
            <w:pPr>
              <w:pStyle w:val="20"/>
              <w:jc w:val="center"/>
              <w:rPr>
                <w:rFonts w:ascii="Times New Roman" w:hAnsi="Times New Roman" w:eastAsia="楷体_GB2312"/>
              </w:rPr>
            </w:pPr>
            <w:r>
              <w:rPr>
                <w:rFonts w:ascii="Times New Roman" w:hAnsi="Times New Roman" w:eastAsia="楷体_GB2312"/>
              </w:rPr>
              <w:t>朱仙庄镇</w:t>
            </w:r>
          </w:p>
        </w:tc>
        <w:tc>
          <w:tcPr>
            <w:tcW w:w="850" w:type="dxa"/>
            <w:noWrap w:val="0"/>
            <w:vAlign w:val="center"/>
          </w:tcPr>
          <w:p w14:paraId="1CC8CC05">
            <w:pPr>
              <w:jc w:val="center"/>
              <w:rPr>
                <w:color w:val="000000"/>
                <w:szCs w:val="21"/>
              </w:rPr>
            </w:pPr>
            <w:r>
              <w:rPr>
                <w:color w:val="000000"/>
                <w:szCs w:val="21"/>
              </w:rPr>
              <w:t>5.48</w:t>
            </w:r>
          </w:p>
        </w:tc>
        <w:tc>
          <w:tcPr>
            <w:tcW w:w="851" w:type="dxa"/>
            <w:noWrap w:val="0"/>
            <w:vAlign w:val="center"/>
          </w:tcPr>
          <w:p w14:paraId="6155134E">
            <w:pPr>
              <w:jc w:val="center"/>
              <w:rPr>
                <w:color w:val="000000"/>
                <w:szCs w:val="21"/>
              </w:rPr>
            </w:pPr>
            <w:r>
              <w:rPr>
                <w:color w:val="000000"/>
                <w:szCs w:val="21"/>
              </w:rPr>
              <w:t>25.5</w:t>
            </w:r>
          </w:p>
        </w:tc>
        <w:tc>
          <w:tcPr>
            <w:tcW w:w="850" w:type="dxa"/>
            <w:noWrap w:val="0"/>
            <w:vAlign w:val="center"/>
          </w:tcPr>
          <w:p w14:paraId="4C155256">
            <w:pPr>
              <w:jc w:val="center"/>
              <w:rPr>
                <w:color w:val="000000"/>
                <w:szCs w:val="21"/>
              </w:rPr>
            </w:pPr>
            <w:r>
              <w:rPr>
                <w:color w:val="000000"/>
                <w:szCs w:val="21"/>
              </w:rPr>
              <w:t>14.08</w:t>
            </w:r>
          </w:p>
        </w:tc>
        <w:tc>
          <w:tcPr>
            <w:tcW w:w="992" w:type="dxa"/>
            <w:noWrap w:val="0"/>
            <w:vAlign w:val="center"/>
          </w:tcPr>
          <w:p w14:paraId="045F6AE5">
            <w:pPr>
              <w:jc w:val="center"/>
              <w:rPr>
                <w:color w:val="000000"/>
                <w:szCs w:val="21"/>
              </w:rPr>
            </w:pPr>
            <w:r>
              <w:rPr>
                <w:color w:val="000000"/>
                <w:szCs w:val="21"/>
              </w:rPr>
              <w:t>65.52</w:t>
            </w:r>
          </w:p>
        </w:tc>
        <w:tc>
          <w:tcPr>
            <w:tcW w:w="1134" w:type="dxa"/>
            <w:noWrap w:val="0"/>
            <w:vAlign w:val="center"/>
          </w:tcPr>
          <w:p w14:paraId="2DEFBCA8">
            <w:pPr>
              <w:jc w:val="center"/>
              <w:rPr>
                <w:color w:val="000000"/>
                <w:szCs w:val="21"/>
              </w:rPr>
            </w:pPr>
            <w:r>
              <w:rPr>
                <w:color w:val="000000"/>
                <w:szCs w:val="21"/>
              </w:rPr>
              <w:t>5.48</w:t>
            </w:r>
          </w:p>
        </w:tc>
        <w:tc>
          <w:tcPr>
            <w:tcW w:w="916" w:type="dxa"/>
            <w:noWrap w:val="0"/>
            <w:vAlign w:val="center"/>
          </w:tcPr>
          <w:p w14:paraId="643241B0">
            <w:pPr>
              <w:jc w:val="center"/>
              <w:rPr>
                <w:color w:val="000000"/>
                <w:szCs w:val="21"/>
              </w:rPr>
            </w:pPr>
            <w:r>
              <w:rPr>
                <w:color w:val="000000"/>
                <w:szCs w:val="21"/>
              </w:rPr>
              <w:t>25.5</w:t>
            </w:r>
          </w:p>
        </w:tc>
        <w:tc>
          <w:tcPr>
            <w:tcW w:w="1776" w:type="dxa"/>
            <w:noWrap w:val="0"/>
            <w:vAlign w:val="center"/>
          </w:tcPr>
          <w:p w14:paraId="551261DF">
            <w:pPr>
              <w:pStyle w:val="20"/>
              <w:jc w:val="center"/>
              <w:rPr>
                <w:rFonts w:ascii="Times New Roman" w:hAnsi="Times New Roman" w:cs="Times New Roman"/>
                <w:color w:val="000000"/>
              </w:rPr>
            </w:pPr>
            <w:r>
              <w:rPr>
                <w:rFonts w:ascii="Times New Roman" w:hAnsi="Times New Roman" w:cs="Times New Roman"/>
                <w:color w:val="000000"/>
              </w:rPr>
              <w:t>21.49</w:t>
            </w:r>
          </w:p>
        </w:tc>
      </w:tr>
      <w:tr w14:paraId="47A65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5" w:type="dxa"/>
            <w:noWrap w:val="0"/>
            <w:vAlign w:val="center"/>
          </w:tcPr>
          <w:p w14:paraId="2E57C8B6">
            <w:pPr>
              <w:pStyle w:val="20"/>
              <w:jc w:val="center"/>
              <w:rPr>
                <w:rFonts w:ascii="Times New Roman" w:hAnsi="Times New Roman" w:eastAsia="楷体_GB2312"/>
              </w:rPr>
            </w:pPr>
            <w:r>
              <w:rPr>
                <w:rFonts w:ascii="Times New Roman" w:hAnsi="Times New Roman" w:eastAsia="楷体_GB2312"/>
              </w:rPr>
              <w:t>3</w:t>
            </w:r>
          </w:p>
        </w:tc>
        <w:tc>
          <w:tcPr>
            <w:tcW w:w="1118" w:type="dxa"/>
            <w:noWrap w:val="0"/>
            <w:vAlign w:val="center"/>
          </w:tcPr>
          <w:p w14:paraId="38BDF990">
            <w:pPr>
              <w:pStyle w:val="20"/>
              <w:jc w:val="center"/>
              <w:rPr>
                <w:rFonts w:ascii="Times New Roman" w:hAnsi="Times New Roman" w:eastAsia="楷体_GB2312"/>
              </w:rPr>
            </w:pPr>
            <w:r>
              <w:rPr>
                <w:rFonts w:ascii="Times New Roman" w:hAnsi="Times New Roman" w:eastAsia="楷体_GB2312"/>
              </w:rPr>
              <w:t>蕲县镇</w:t>
            </w:r>
          </w:p>
        </w:tc>
        <w:tc>
          <w:tcPr>
            <w:tcW w:w="850" w:type="dxa"/>
            <w:noWrap w:val="0"/>
            <w:vAlign w:val="center"/>
          </w:tcPr>
          <w:p w14:paraId="5957F09C">
            <w:pPr>
              <w:jc w:val="center"/>
              <w:rPr>
                <w:color w:val="000000"/>
                <w:szCs w:val="21"/>
              </w:rPr>
            </w:pPr>
            <w:r>
              <w:rPr>
                <w:color w:val="000000"/>
                <w:szCs w:val="21"/>
              </w:rPr>
              <w:t>0.69</w:t>
            </w:r>
          </w:p>
        </w:tc>
        <w:tc>
          <w:tcPr>
            <w:tcW w:w="851" w:type="dxa"/>
            <w:noWrap w:val="0"/>
            <w:vAlign w:val="center"/>
          </w:tcPr>
          <w:p w14:paraId="27DB5EFF">
            <w:pPr>
              <w:jc w:val="center"/>
              <w:rPr>
                <w:color w:val="000000"/>
                <w:szCs w:val="21"/>
              </w:rPr>
            </w:pPr>
            <w:r>
              <w:rPr>
                <w:color w:val="000000"/>
                <w:szCs w:val="21"/>
              </w:rPr>
              <w:t>12.34</w:t>
            </w:r>
          </w:p>
        </w:tc>
        <w:tc>
          <w:tcPr>
            <w:tcW w:w="850" w:type="dxa"/>
            <w:noWrap w:val="0"/>
            <w:vAlign w:val="center"/>
          </w:tcPr>
          <w:p w14:paraId="5D4D2D4A">
            <w:pPr>
              <w:jc w:val="center"/>
              <w:rPr>
                <w:color w:val="000000"/>
                <w:szCs w:val="21"/>
              </w:rPr>
            </w:pPr>
            <w:r>
              <w:rPr>
                <w:color w:val="000000"/>
                <w:szCs w:val="21"/>
              </w:rPr>
              <w:t>2.61</w:t>
            </w:r>
          </w:p>
        </w:tc>
        <w:tc>
          <w:tcPr>
            <w:tcW w:w="992" w:type="dxa"/>
            <w:noWrap w:val="0"/>
            <w:vAlign w:val="center"/>
          </w:tcPr>
          <w:p w14:paraId="1D7F1F7E">
            <w:pPr>
              <w:jc w:val="center"/>
              <w:rPr>
                <w:color w:val="000000"/>
                <w:szCs w:val="21"/>
              </w:rPr>
            </w:pPr>
            <w:r>
              <w:rPr>
                <w:color w:val="000000"/>
                <w:szCs w:val="21"/>
              </w:rPr>
              <w:t>46.69</w:t>
            </w:r>
          </w:p>
        </w:tc>
        <w:tc>
          <w:tcPr>
            <w:tcW w:w="1134" w:type="dxa"/>
            <w:noWrap w:val="0"/>
            <w:vAlign w:val="center"/>
          </w:tcPr>
          <w:p w14:paraId="3C137BD7">
            <w:pPr>
              <w:jc w:val="center"/>
              <w:rPr>
                <w:color w:val="000000"/>
                <w:szCs w:val="21"/>
              </w:rPr>
            </w:pPr>
            <w:r>
              <w:rPr>
                <w:color w:val="000000"/>
                <w:szCs w:val="21"/>
              </w:rPr>
              <w:t>2.29</w:t>
            </w:r>
          </w:p>
        </w:tc>
        <w:tc>
          <w:tcPr>
            <w:tcW w:w="916" w:type="dxa"/>
            <w:noWrap w:val="0"/>
            <w:vAlign w:val="center"/>
          </w:tcPr>
          <w:p w14:paraId="21B94C1B">
            <w:pPr>
              <w:jc w:val="center"/>
              <w:rPr>
                <w:color w:val="000000"/>
                <w:szCs w:val="21"/>
              </w:rPr>
            </w:pPr>
            <w:r>
              <w:rPr>
                <w:color w:val="000000"/>
                <w:szCs w:val="21"/>
              </w:rPr>
              <w:t>40.97</w:t>
            </w:r>
          </w:p>
        </w:tc>
        <w:tc>
          <w:tcPr>
            <w:tcW w:w="1776" w:type="dxa"/>
            <w:noWrap w:val="0"/>
            <w:vAlign w:val="center"/>
          </w:tcPr>
          <w:p w14:paraId="373C408F">
            <w:pPr>
              <w:pStyle w:val="20"/>
              <w:jc w:val="center"/>
              <w:rPr>
                <w:rFonts w:ascii="Times New Roman" w:hAnsi="Times New Roman" w:cs="Times New Roman"/>
                <w:color w:val="000000"/>
              </w:rPr>
            </w:pPr>
            <w:r>
              <w:rPr>
                <w:rFonts w:ascii="Times New Roman" w:hAnsi="Times New Roman" w:cs="Times New Roman"/>
                <w:color w:val="000000"/>
              </w:rPr>
              <w:t>5.59</w:t>
            </w:r>
          </w:p>
        </w:tc>
      </w:tr>
      <w:tr w14:paraId="007D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5" w:type="dxa"/>
            <w:noWrap w:val="0"/>
            <w:vAlign w:val="center"/>
          </w:tcPr>
          <w:p w14:paraId="2A424D06">
            <w:pPr>
              <w:pStyle w:val="20"/>
              <w:jc w:val="center"/>
              <w:rPr>
                <w:rFonts w:ascii="Times New Roman" w:hAnsi="Times New Roman" w:eastAsia="楷体_GB2312"/>
              </w:rPr>
            </w:pPr>
            <w:r>
              <w:rPr>
                <w:rFonts w:ascii="Times New Roman" w:hAnsi="Times New Roman" w:eastAsia="楷体_GB2312"/>
              </w:rPr>
              <w:t>4</w:t>
            </w:r>
          </w:p>
        </w:tc>
        <w:tc>
          <w:tcPr>
            <w:tcW w:w="1118" w:type="dxa"/>
            <w:noWrap w:val="0"/>
            <w:vAlign w:val="center"/>
          </w:tcPr>
          <w:p w14:paraId="5F886BAB">
            <w:pPr>
              <w:pStyle w:val="20"/>
              <w:jc w:val="center"/>
              <w:rPr>
                <w:rFonts w:ascii="Times New Roman" w:hAnsi="Times New Roman" w:eastAsia="楷体_GB2312"/>
              </w:rPr>
            </w:pPr>
            <w:r>
              <w:rPr>
                <w:rFonts w:ascii="Times New Roman" w:hAnsi="Times New Roman" w:eastAsia="楷体_GB2312"/>
              </w:rPr>
              <w:t>芦岭镇</w:t>
            </w:r>
          </w:p>
        </w:tc>
        <w:tc>
          <w:tcPr>
            <w:tcW w:w="850" w:type="dxa"/>
            <w:noWrap w:val="0"/>
            <w:vAlign w:val="center"/>
          </w:tcPr>
          <w:p w14:paraId="28631751">
            <w:pPr>
              <w:jc w:val="center"/>
              <w:rPr>
                <w:color w:val="000000"/>
                <w:szCs w:val="21"/>
              </w:rPr>
            </w:pPr>
            <w:r>
              <w:rPr>
                <w:color w:val="000000"/>
                <w:szCs w:val="21"/>
              </w:rPr>
              <w:t>0.22</w:t>
            </w:r>
          </w:p>
        </w:tc>
        <w:tc>
          <w:tcPr>
            <w:tcW w:w="851" w:type="dxa"/>
            <w:noWrap w:val="0"/>
            <w:vAlign w:val="center"/>
          </w:tcPr>
          <w:p w14:paraId="52B12653">
            <w:pPr>
              <w:jc w:val="center"/>
              <w:rPr>
                <w:color w:val="000000"/>
                <w:szCs w:val="21"/>
              </w:rPr>
            </w:pPr>
            <w:r>
              <w:rPr>
                <w:color w:val="000000"/>
                <w:szCs w:val="21"/>
              </w:rPr>
              <w:t>6.03</w:t>
            </w:r>
          </w:p>
        </w:tc>
        <w:tc>
          <w:tcPr>
            <w:tcW w:w="850" w:type="dxa"/>
            <w:noWrap w:val="0"/>
            <w:vAlign w:val="center"/>
          </w:tcPr>
          <w:p w14:paraId="53ADB438">
            <w:pPr>
              <w:jc w:val="center"/>
              <w:rPr>
                <w:color w:val="000000"/>
                <w:szCs w:val="21"/>
              </w:rPr>
            </w:pPr>
            <w:r>
              <w:rPr>
                <w:color w:val="000000"/>
                <w:szCs w:val="21"/>
              </w:rPr>
              <w:t>1.3</w:t>
            </w:r>
          </w:p>
        </w:tc>
        <w:tc>
          <w:tcPr>
            <w:tcW w:w="992" w:type="dxa"/>
            <w:noWrap w:val="0"/>
            <w:vAlign w:val="center"/>
          </w:tcPr>
          <w:p w14:paraId="68421250">
            <w:pPr>
              <w:jc w:val="center"/>
              <w:rPr>
                <w:color w:val="000000"/>
                <w:szCs w:val="21"/>
              </w:rPr>
            </w:pPr>
            <w:r>
              <w:rPr>
                <w:color w:val="000000"/>
                <w:szCs w:val="21"/>
              </w:rPr>
              <w:t>35.61</w:t>
            </w:r>
          </w:p>
        </w:tc>
        <w:tc>
          <w:tcPr>
            <w:tcW w:w="1134" w:type="dxa"/>
            <w:noWrap w:val="0"/>
            <w:vAlign w:val="center"/>
          </w:tcPr>
          <w:p w14:paraId="35BAE6F8">
            <w:pPr>
              <w:jc w:val="center"/>
              <w:rPr>
                <w:color w:val="000000"/>
                <w:szCs w:val="21"/>
              </w:rPr>
            </w:pPr>
            <w:r>
              <w:rPr>
                <w:color w:val="000000"/>
                <w:szCs w:val="21"/>
              </w:rPr>
              <w:t>2.13</w:t>
            </w:r>
          </w:p>
        </w:tc>
        <w:tc>
          <w:tcPr>
            <w:tcW w:w="916" w:type="dxa"/>
            <w:noWrap w:val="0"/>
            <w:vAlign w:val="center"/>
          </w:tcPr>
          <w:p w14:paraId="19A7B5F6">
            <w:pPr>
              <w:jc w:val="center"/>
              <w:rPr>
                <w:color w:val="000000"/>
                <w:szCs w:val="21"/>
              </w:rPr>
            </w:pPr>
            <w:r>
              <w:rPr>
                <w:color w:val="000000"/>
                <w:szCs w:val="21"/>
              </w:rPr>
              <w:t>58.36</w:t>
            </w:r>
          </w:p>
        </w:tc>
        <w:tc>
          <w:tcPr>
            <w:tcW w:w="1776" w:type="dxa"/>
            <w:noWrap w:val="0"/>
            <w:vAlign w:val="center"/>
          </w:tcPr>
          <w:p w14:paraId="0C6CCADD">
            <w:pPr>
              <w:pStyle w:val="20"/>
              <w:jc w:val="center"/>
              <w:rPr>
                <w:rFonts w:ascii="Times New Roman" w:hAnsi="Times New Roman" w:cs="Times New Roman"/>
                <w:color w:val="000000"/>
              </w:rPr>
            </w:pPr>
            <w:r>
              <w:rPr>
                <w:rFonts w:ascii="Times New Roman" w:hAnsi="Times New Roman" w:cs="Times New Roman"/>
                <w:color w:val="000000"/>
              </w:rPr>
              <w:t>3.65</w:t>
            </w:r>
          </w:p>
        </w:tc>
      </w:tr>
      <w:tr w14:paraId="7532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5" w:type="dxa"/>
            <w:noWrap w:val="0"/>
            <w:vAlign w:val="center"/>
          </w:tcPr>
          <w:p w14:paraId="7AEFA944">
            <w:pPr>
              <w:pStyle w:val="20"/>
              <w:jc w:val="center"/>
              <w:rPr>
                <w:rFonts w:ascii="Times New Roman" w:hAnsi="Times New Roman" w:eastAsia="楷体_GB2312"/>
              </w:rPr>
            </w:pPr>
            <w:r>
              <w:rPr>
                <w:rFonts w:ascii="Times New Roman" w:hAnsi="Times New Roman" w:eastAsia="楷体_GB2312"/>
              </w:rPr>
              <w:t>5</w:t>
            </w:r>
          </w:p>
        </w:tc>
        <w:tc>
          <w:tcPr>
            <w:tcW w:w="1118" w:type="dxa"/>
            <w:noWrap w:val="0"/>
            <w:vAlign w:val="center"/>
          </w:tcPr>
          <w:p w14:paraId="7188AC50">
            <w:pPr>
              <w:pStyle w:val="20"/>
              <w:jc w:val="center"/>
              <w:rPr>
                <w:rFonts w:ascii="Times New Roman" w:hAnsi="Times New Roman" w:eastAsia="楷体_GB2312"/>
              </w:rPr>
            </w:pPr>
            <w:r>
              <w:rPr>
                <w:rFonts w:ascii="Times New Roman" w:hAnsi="Times New Roman" w:eastAsia="楷体_GB2312"/>
              </w:rPr>
              <w:t>大店镇</w:t>
            </w:r>
          </w:p>
        </w:tc>
        <w:tc>
          <w:tcPr>
            <w:tcW w:w="850" w:type="dxa"/>
            <w:noWrap w:val="0"/>
            <w:vAlign w:val="center"/>
          </w:tcPr>
          <w:p w14:paraId="702994B0">
            <w:pPr>
              <w:jc w:val="center"/>
              <w:rPr>
                <w:color w:val="000000"/>
                <w:szCs w:val="21"/>
              </w:rPr>
            </w:pPr>
            <w:r>
              <w:rPr>
                <w:color w:val="000000"/>
                <w:szCs w:val="21"/>
              </w:rPr>
              <w:t>0.32</w:t>
            </w:r>
          </w:p>
        </w:tc>
        <w:tc>
          <w:tcPr>
            <w:tcW w:w="851" w:type="dxa"/>
            <w:noWrap w:val="0"/>
            <w:vAlign w:val="center"/>
          </w:tcPr>
          <w:p w14:paraId="1F5C8C58">
            <w:pPr>
              <w:jc w:val="center"/>
              <w:rPr>
                <w:color w:val="000000"/>
                <w:szCs w:val="21"/>
              </w:rPr>
            </w:pPr>
            <w:r>
              <w:rPr>
                <w:color w:val="000000"/>
                <w:szCs w:val="21"/>
              </w:rPr>
              <w:t>15.92</w:t>
            </w:r>
          </w:p>
        </w:tc>
        <w:tc>
          <w:tcPr>
            <w:tcW w:w="850" w:type="dxa"/>
            <w:noWrap w:val="0"/>
            <w:vAlign w:val="center"/>
          </w:tcPr>
          <w:p w14:paraId="18EC1FA2">
            <w:pPr>
              <w:jc w:val="center"/>
              <w:rPr>
                <w:color w:val="000000"/>
                <w:szCs w:val="21"/>
              </w:rPr>
            </w:pPr>
            <w:r>
              <w:rPr>
                <w:color w:val="000000"/>
                <w:szCs w:val="21"/>
              </w:rPr>
              <w:t>0.56</w:t>
            </w:r>
          </w:p>
        </w:tc>
        <w:tc>
          <w:tcPr>
            <w:tcW w:w="992" w:type="dxa"/>
            <w:noWrap w:val="0"/>
            <w:vAlign w:val="center"/>
          </w:tcPr>
          <w:p w14:paraId="22FA78E8">
            <w:pPr>
              <w:jc w:val="center"/>
              <w:rPr>
                <w:color w:val="000000"/>
                <w:szCs w:val="21"/>
              </w:rPr>
            </w:pPr>
            <w:r>
              <w:rPr>
                <w:color w:val="000000"/>
                <w:szCs w:val="21"/>
              </w:rPr>
              <w:t>27.86</w:t>
            </w:r>
          </w:p>
        </w:tc>
        <w:tc>
          <w:tcPr>
            <w:tcW w:w="1134" w:type="dxa"/>
            <w:noWrap w:val="0"/>
            <w:vAlign w:val="center"/>
          </w:tcPr>
          <w:p w14:paraId="74C69C5E">
            <w:pPr>
              <w:jc w:val="center"/>
              <w:rPr>
                <w:color w:val="000000"/>
                <w:szCs w:val="21"/>
              </w:rPr>
            </w:pPr>
            <w:r>
              <w:rPr>
                <w:color w:val="000000"/>
                <w:szCs w:val="21"/>
              </w:rPr>
              <w:t>1.13</w:t>
            </w:r>
          </w:p>
        </w:tc>
        <w:tc>
          <w:tcPr>
            <w:tcW w:w="916" w:type="dxa"/>
            <w:noWrap w:val="0"/>
            <w:vAlign w:val="center"/>
          </w:tcPr>
          <w:p w14:paraId="7123D2CF">
            <w:pPr>
              <w:jc w:val="center"/>
              <w:rPr>
                <w:color w:val="000000"/>
                <w:szCs w:val="21"/>
              </w:rPr>
            </w:pPr>
            <w:r>
              <w:rPr>
                <w:color w:val="000000"/>
                <w:szCs w:val="21"/>
              </w:rPr>
              <w:t>56.22</w:t>
            </w:r>
          </w:p>
        </w:tc>
        <w:tc>
          <w:tcPr>
            <w:tcW w:w="1776" w:type="dxa"/>
            <w:noWrap w:val="0"/>
            <w:vAlign w:val="center"/>
          </w:tcPr>
          <w:p w14:paraId="32C7BA2A">
            <w:pPr>
              <w:pStyle w:val="20"/>
              <w:jc w:val="center"/>
              <w:rPr>
                <w:rFonts w:ascii="Times New Roman" w:hAnsi="Times New Roman" w:cs="Times New Roman"/>
                <w:color w:val="000000"/>
              </w:rPr>
            </w:pPr>
            <w:r>
              <w:rPr>
                <w:rFonts w:ascii="Times New Roman" w:hAnsi="Times New Roman" w:cs="Times New Roman"/>
                <w:color w:val="000000"/>
              </w:rPr>
              <w:t>2.01</w:t>
            </w:r>
          </w:p>
        </w:tc>
      </w:tr>
      <w:tr w14:paraId="699D5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5" w:type="dxa"/>
            <w:noWrap w:val="0"/>
            <w:vAlign w:val="center"/>
          </w:tcPr>
          <w:p w14:paraId="45CEC9DA">
            <w:pPr>
              <w:pStyle w:val="20"/>
              <w:jc w:val="center"/>
              <w:rPr>
                <w:rFonts w:ascii="Times New Roman" w:hAnsi="Times New Roman" w:eastAsia="楷体_GB2312"/>
              </w:rPr>
            </w:pPr>
            <w:r>
              <w:rPr>
                <w:rFonts w:ascii="Times New Roman" w:hAnsi="Times New Roman" w:eastAsia="楷体_GB2312"/>
              </w:rPr>
              <w:t>6</w:t>
            </w:r>
          </w:p>
        </w:tc>
        <w:tc>
          <w:tcPr>
            <w:tcW w:w="1118" w:type="dxa"/>
            <w:noWrap w:val="0"/>
            <w:vAlign w:val="center"/>
          </w:tcPr>
          <w:p w14:paraId="18442C9D">
            <w:pPr>
              <w:pStyle w:val="20"/>
              <w:jc w:val="center"/>
              <w:rPr>
                <w:rFonts w:ascii="Times New Roman" w:hAnsi="Times New Roman" w:eastAsia="楷体_GB2312"/>
              </w:rPr>
            </w:pPr>
            <w:r>
              <w:rPr>
                <w:rFonts w:ascii="Times New Roman" w:hAnsi="Times New Roman" w:eastAsia="楷体_GB2312"/>
              </w:rPr>
              <w:t>栏杆镇</w:t>
            </w:r>
          </w:p>
        </w:tc>
        <w:tc>
          <w:tcPr>
            <w:tcW w:w="850" w:type="dxa"/>
            <w:noWrap w:val="0"/>
            <w:vAlign w:val="center"/>
          </w:tcPr>
          <w:p w14:paraId="17B4F818">
            <w:pPr>
              <w:jc w:val="center"/>
              <w:rPr>
                <w:color w:val="000000"/>
                <w:szCs w:val="21"/>
              </w:rPr>
            </w:pPr>
            <w:r>
              <w:rPr>
                <w:color w:val="000000"/>
                <w:szCs w:val="21"/>
              </w:rPr>
              <w:t>0.35</w:t>
            </w:r>
          </w:p>
        </w:tc>
        <w:tc>
          <w:tcPr>
            <w:tcW w:w="851" w:type="dxa"/>
            <w:noWrap w:val="0"/>
            <w:vAlign w:val="center"/>
          </w:tcPr>
          <w:p w14:paraId="323953EC">
            <w:pPr>
              <w:jc w:val="center"/>
              <w:rPr>
                <w:color w:val="000000"/>
                <w:szCs w:val="21"/>
              </w:rPr>
            </w:pPr>
            <w:r>
              <w:rPr>
                <w:color w:val="000000"/>
                <w:szCs w:val="21"/>
              </w:rPr>
              <w:t>14.89</w:t>
            </w:r>
          </w:p>
        </w:tc>
        <w:tc>
          <w:tcPr>
            <w:tcW w:w="850" w:type="dxa"/>
            <w:noWrap w:val="0"/>
            <w:vAlign w:val="center"/>
          </w:tcPr>
          <w:p w14:paraId="19F51214">
            <w:pPr>
              <w:jc w:val="right"/>
              <w:rPr>
                <w:color w:val="000000"/>
                <w:szCs w:val="21"/>
              </w:rPr>
            </w:pPr>
            <w:r>
              <w:rPr>
                <w:rFonts w:hint="eastAsia"/>
                <w:color w:val="000000"/>
                <w:szCs w:val="21"/>
              </w:rPr>
              <w:t>0.95</w:t>
            </w:r>
          </w:p>
        </w:tc>
        <w:tc>
          <w:tcPr>
            <w:tcW w:w="992" w:type="dxa"/>
            <w:noWrap w:val="0"/>
            <w:vAlign w:val="center"/>
          </w:tcPr>
          <w:p w14:paraId="31D9ECEC">
            <w:pPr>
              <w:jc w:val="right"/>
              <w:rPr>
                <w:color w:val="000000"/>
                <w:szCs w:val="21"/>
              </w:rPr>
            </w:pPr>
            <w:r>
              <w:rPr>
                <w:rFonts w:hint="eastAsia"/>
                <w:color w:val="000000"/>
                <w:szCs w:val="21"/>
              </w:rPr>
              <w:t>40.43</w:t>
            </w:r>
          </w:p>
        </w:tc>
        <w:tc>
          <w:tcPr>
            <w:tcW w:w="1134" w:type="dxa"/>
            <w:noWrap w:val="0"/>
            <w:vAlign w:val="center"/>
          </w:tcPr>
          <w:p w14:paraId="317B83F1">
            <w:pPr>
              <w:jc w:val="center"/>
              <w:rPr>
                <w:color w:val="000000"/>
                <w:szCs w:val="21"/>
              </w:rPr>
            </w:pPr>
            <w:r>
              <w:rPr>
                <w:color w:val="000000"/>
                <w:szCs w:val="21"/>
              </w:rPr>
              <w:t>1.05</w:t>
            </w:r>
          </w:p>
        </w:tc>
        <w:tc>
          <w:tcPr>
            <w:tcW w:w="916" w:type="dxa"/>
            <w:noWrap w:val="0"/>
            <w:vAlign w:val="center"/>
          </w:tcPr>
          <w:p w14:paraId="1B95A0DD">
            <w:pPr>
              <w:jc w:val="center"/>
              <w:rPr>
                <w:color w:val="000000"/>
                <w:szCs w:val="21"/>
              </w:rPr>
            </w:pPr>
            <w:r>
              <w:rPr>
                <w:color w:val="000000"/>
                <w:szCs w:val="21"/>
              </w:rPr>
              <w:t>44.68</w:t>
            </w:r>
          </w:p>
        </w:tc>
        <w:tc>
          <w:tcPr>
            <w:tcW w:w="1776" w:type="dxa"/>
            <w:noWrap w:val="0"/>
            <w:vAlign w:val="center"/>
          </w:tcPr>
          <w:p w14:paraId="718512C6">
            <w:pPr>
              <w:pStyle w:val="20"/>
              <w:jc w:val="center"/>
              <w:rPr>
                <w:rFonts w:ascii="Times New Roman" w:hAnsi="Times New Roman" w:cs="Times New Roman"/>
                <w:color w:val="000000"/>
              </w:rPr>
            </w:pPr>
            <w:r>
              <w:rPr>
                <w:rFonts w:ascii="Times New Roman" w:hAnsi="Times New Roman" w:cs="Times New Roman"/>
                <w:color w:val="000000"/>
              </w:rPr>
              <w:t>2.35</w:t>
            </w:r>
          </w:p>
        </w:tc>
      </w:tr>
      <w:tr w14:paraId="7570B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5" w:type="dxa"/>
            <w:noWrap w:val="0"/>
            <w:vAlign w:val="center"/>
          </w:tcPr>
          <w:p w14:paraId="31A3C518">
            <w:pPr>
              <w:pStyle w:val="20"/>
              <w:jc w:val="center"/>
              <w:rPr>
                <w:rFonts w:ascii="Times New Roman" w:hAnsi="Times New Roman" w:eastAsia="楷体_GB2312"/>
              </w:rPr>
            </w:pPr>
            <w:r>
              <w:rPr>
                <w:rFonts w:ascii="Times New Roman" w:hAnsi="Times New Roman" w:eastAsia="楷体_GB2312"/>
              </w:rPr>
              <w:t>7</w:t>
            </w:r>
          </w:p>
        </w:tc>
        <w:tc>
          <w:tcPr>
            <w:tcW w:w="1118" w:type="dxa"/>
            <w:noWrap w:val="0"/>
            <w:vAlign w:val="center"/>
          </w:tcPr>
          <w:p w14:paraId="5A0FD1E5">
            <w:pPr>
              <w:pStyle w:val="20"/>
              <w:jc w:val="center"/>
              <w:rPr>
                <w:rFonts w:ascii="Times New Roman" w:hAnsi="Times New Roman" w:eastAsia="楷体_GB2312"/>
              </w:rPr>
            </w:pPr>
            <w:r>
              <w:rPr>
                <w:rFonts w:ascii="Times New Roman" w:hAnsi="Times New Roman" w:eastAsia="楷体_GB2312"/>
              </w:rPr>
              <w:t>时村镇</w:t>
            </w:r>
          </w:p>
        </w:tc>
        <w:tc>
          <w:tcPr>
            <w:tcW w:w="850" w:type="dxa"/>
            <w:noWrap w:val="0"/>
            <w:vAlign w:val="center"/>
          </w:tcPr>
          <w:p w14:paraId="189429A1">
            <w:pPr>
              <w:pStyle w:val="20"/>
              <w:jc w:val="center"/>
              <w:rPr>
                <w:rFonts w:ascii="Times New Roman" w:hAnsi="Times New Roman" w:eastAsia="楷体_GB2312"/>
              </w:rPr>
            </w:pPr>
            <w:r>
              <w:rPr>
                <w:rFonts w:ascii="Times New Roman" w:hAnsi="Times New Roman" w:eastAsia="楷体_GB2312"/>
              </w:rPr>
              <w:t>0.49</w:t>
            </w:r>
          </w:p>
        </w:tc>
        <w:tc>
          <w:tcPr>
            <w:tcW w:w="851" w:type="dxa"/>
            <w:noWrap w:val="0"/>
            <w:vAlign w:val="center"/>
          </w:tcPr>
          <w:p w14:paraId="1FACDFF3">
            <w:pPr>
              <w:pStyle w:val="20"/>
              <w:jc w:val="center"/>
              <w:rPr>
                <w:rFonts w:ascii="Times New Roman" w:hAnsi="Times New Roman" w:eastAsia="楷体_GB2312"/>
              </w:rPr>
            </w:pPr>
            <w:r>
              <w:rPr>
                <w:rFonts w:hint="eastAsia" w:ascii="Times New Roman" w:hAnsi="Times New Roman" w:eastAsia="楷体_GB2312"/>
              </w:rPr>
              <w:t>12.25</w:t>
            </w:r>
          </w:p>
        </w:tc>
        <w:tc>
          <w:tcPr>
            <w:tcW w:w="850" w:type="dxa"/>
            <w:noWrap w:val="0"/>
            <w:vAlign w:val="center"/>
          </w:tcPr>
          <w:p w14:paraId="57D749C1">
            <w:pPr>
              <w:pStyle w:val="20"/>
              <w:jc w:val="center"/>
              <w:rPr>
                <w:rFonts w:ascii="Times New Roman" w:hAnsi="Times New Roman" w:eastAsia="楷体_GB2312"/>
              </w:rPr>
            </w:pPr>
            <w:r>
              <w:rPr>
                <w:rFonts w:ascii="Times New Roman" w:hAnsi="Times New Roman" w:eastAsia="楷体_GB2312"/>
              </w:rPr>
              <w:t>1.47</w:t>
            </w:r>
          </w:p>
        </w:tc>
        <w:tc>
          <w:tcPr>
            <w:tcW w:w="992" w:type="dxa"/>
            <w:noWrap w:val="0"/>
            <w:vAlign w:val="center"/>
          </w:tcPr>
          <w:p w14:paraId="0C7C5FA6">
            <w:pPr>
              <w:pStyle w:val="20"/>
              <w:jc w:val="center"/>
              <w:rPr>
                <w:rFonts w:ascii="Times New Roman" w:hAnsi="Times New Roman" w:eastAsia="楷体_GB2312"/>
              </w:rPr>
            </w:pPr>
            <w:r>
              <w:rPr>
                <w:rFonts w:hint="eastAsia" w:ascii="Times New Roman" w:hAnsi="Times New Roman" w:eastAsia="楷体_GB2312"/>
              </w:rPr>
              <w:t>36.75</w:t>
            </w:r>
          </w:p>
        </w:tc>
        <w:tc>
          <w:tcPr>
            <w:tcW w:w="1134" w:type="dxa"/>
            <w:noWrap w:val="0"/>
            <w:vAlign w:val="center"/>
          </w:tcPr>
          <w:p w14:paraId="29183352">
            <w:pPr>
              <w:pStyle w:val="20"/>
              <w:jc w:val="center"/>
              <w:rPr>
                <w:rFonts w:ascii="Times New Roman" w:hAnsi="Times New Roman" w:eastAsia="楷体_GB2312"/>
              </w:rPr>
            </w:pPr>
            <w:r>
              <w:rPr>
                <w:rFonts w:hint="eastAsia" w:ascii="Times New Roman" w:hAnsi="Times New Roman" w:eastAsia="楷体_GB2312"/>
              </w:rPr>
              <w:t>2.04</w:t>
            </w:r>
          </w:p>
        </w:tc>
        <w:tc>
          <w:tcPr>
            <w:tcW w:w="916" w:type="dxa"/>
            <w:noWrap w:val="0"/>
            <w:vAlign w:val="center"/>
          </w:tcPr>
          <w:p w14:paraId="17A0D6BC">
            <w:pPr>
              <w:pStyle w:val="20"/>
              <w:jc w:val="center"/>
              <w:rPr>
                <w:rFonts w:ascii="Times New Roman" w:hAnsi="Times New Roman" w:eastAsia="楷体_GB2312"/>
              </w:rPr>
            </w:pPr>
            <w:r>
              <w:rPr>
                <w:rFonts w:hint="eastAsia" w:ascii="Times New Roman" w:hAnsi="Times New Roman" w:eastAsia="楷体_GB2312"/>
              </w:rPr>
              <w:t>51.00</w:t>
            </w:r>
          </w:p>
        </w:tc>
        <w:tc>
          <w:tcPr>
            <w:tcW w:w="1776" w:type="dxa"/>
            <w:noWrap w:val="0"/>
            <w:vAlign w:val="center"/>
          </w:tcPr>
          <w:p w14:paraId="6400D0A3">
            <w:pPr>
              <w:pStyle w:val="20"/>
              <w:jc w:val="center"/>
              <w:rPr>
                <w:rFonts w:ascii="Times New Roman" w:hAnsi="Times New Roman" w:cs="Times New Roman"/>
                <w:color w:val="000000"/>
              </w:rPr>
            </w:pPr>
            <w:r>
              <w:rPr>
                <w:rFonts w:hint="eastAsia" w:ascii="Times New Roman" w:hAnsi="Times New Roman" w:cs="Times New Roman"/>
                <w:color w:val="000000"/>
              </w:rPr>
              <w:t>4.00</w:t>
            </w:r>
          </w:p>
        </w:tc>
      </w:tr>
      <w:tr w14:paraId="1A642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5" w:type="dxa"/>
            <w:noWrap w:val="0"/>
            <w:vAlign w:val="center"/>
          </w:tcPr>
          <w:p w14:paraId="088DB20E">
            <w:pPr>
              <w:pStyle w:val="20"/>
              <w:jc w:val="center"/>
              <w:rPr>
                <w:rFonts w:ascii="Times New Roman" w:hAnsi="Times New Roman" w:eastAsia="楷体_GB2312"/>
              </w:rPr>
            </w:pPr>
            <w:r>
              <w:rPr>
                <w:rFonts w:ascii="Times New Roman" w:hAnsi="Times New Roman" w:eastAsia="楷体_GB2312"/>
              </w:rPr>
              <w:t>8</w:t>
            </w:r>
          </w:p>
        </w:tc>
        <w:tc>
          <w:tcPr>
            <w:tcW w:w="1118" w:type="dxa"/>
            <w:noWrap w:val="0"/>
            <w:vAlign w:val="center"/>
          </w:tcPr>
          <w:p w14:paraId="797C6C04">
            <w:pPr>
              <w:pStyle w:val="20"/>
              <w:jc w:val="center"/>
              <w:rPr>
                <w:rFonts w:ascii="Times New Roman" w:hAnsi="Times New Roman" w:eastAsia="楷体_GB2312"/>
              </w:rPr>
            </w:pPr>
            <w:r>
              <w:rPr>
                <w:rFonts w:ascii="Times New Roman" w:hAnsi="Times New Roman" w:eastAsia="楷体_GB2312"/>
              </w:rPr>
              <w:t>夹沟镇</w:t>
            </w:r>
          </w:p>
        </w:tc>
        <w:tc>
          <w:tcPr>
            <w:tcW w:w="850" w:type="dxa"/>
            <w:noWrap w:val="0"/>
            <w:vAlign w:val="center"/>
          </w:tcPr>
          <w:p w14:paraId="702A8FCA">
            <w:pPr>
              <w:jc w:val="center"/>
              <w:rPr>
                <w:color w:val="000000"/>
                <w:szCs w:val="21"/>
              </w:rPr>
            </w:pPr>
            <w:r>
              <w:rPr>
                <w:rFonts w:hint="eastAsia"/>
                <w:color w:val="000000"/>
                <w:szCs w:val="21"/>
              </w:rPr>
              <w:t>0.42</w:t>
            </w:r>
          </w:p>
        </w:tc>
        <w:tc>
          <w:tcPr>
            <w:tcW w:w="851" w:type="dxa"/>
            <w:noWrap w:val="0"/>
            <w:vAlign w:val="center"/>
          </w:tcPr>
          <w:p w14:paraId="09EF07F9">
            <w:pPr>
              <w:jc w:val="center"/>
              <w:rPr>
                <w:color w:val="000000"/>
                <w:szCs w:val="21"/>
              </w:rPr>
            </w:pPr>
            <w:r>
              <w:rPr>
                <w:rFonts w:hint="eastAsia"/>
                <w:color w:val="000000"/>
                <w:szCs w:val="21"/>
              </w:rPr>
              <w:t>19.09</w:t>
            </w:r>
          </w:p>
        </w:tc>
        <w:tc>
          <w:tcPr>
            <w:tcW w:w="850" w:type="dxa"/>
            <w:noWrap w:val="0"/>
            <w:vAlign w:val="center"/>
          </w:tcPr>
          <w:p w14:paraId="32F05B62">
            <w:pPr>
              <w:jc w:val="center"/>
              <w:rPr>
                <w:color w:val="000000"/>
                <w:szCs w:val="21"/>
              </w:rPr>
            </w:pPr>
            <w:r>
              <w:rPr>
                <w:rFonts w:hint="eastAsia"/>
                <w:color w:val="000000"/>
                <w:szCs w:val="21"/>
              </w:rPr>
              <w:t>0.79</w:t>
            </w:r>
          </w:p>
        </w:tc>
        <w:tc>
          <w:tcPr>
            <w:tcW w:w="992" w:type="dxa"/>
            <w:noWrap w:val="0"/>
            <w:vAlign w:val="center"/>
          </w:tcPr>
          <w:p w14:paraId="7D98FFB7">
            <w:pPr>
              <w:jc w:val="center"/>
              <w:rPr>
                <w:color w:val="000000"/>
                <w:szCs w:val="21"/>
              </w:rPr>
            </w:pPr>
            <w:r>
              <w:rPr>
                <w:rFonts w:hint="eastAsia"/>
                <w:color w:val="000000"/>
                <w:szCs w:val="21"/>
              </w:rPr>
              <w:t>35.91</w:t>
            </w:r>
          </w:p>
        </w:tc>
        <w:tc>
          <w:tcPr>
            <w:tcW w:w="1134" w:type="dxa"/>
            <w:noWrap w:val="0"/>
            <w:vAlign w:val="center"/>
          </w:tcPr>
          <w:p w14:paraId="0B2464C2">
            <w:pPr>
              <w:jc w:val="center"/>
              <w:rPr>
                <w:color w:val="000000"/>
                <w:szCs w:val="21"/>
              </w:rPr>
            </w:pPr>
            <w:r>
              <w:rPr>
                <w:rFonts w:hint="eastAsia"/>
                <w:color w:val="000000"/>
                <w:szCs w:val="21"/>
              </w:rPr>
              <w:t>0.99</w:t>
            </w:r>
          </w:p>
        </w:tc>
        <w:tc>
          <w:tcPr>
            <w:tcW w:w="916" w:type="dxa"/>
            <w:noWrap w:val="0"/>
            <w:vAlign w:val="center"/>
          </w:tcPr>
          <w:p w14:paraId="41935947">
            <w:pPr>
              <w:jc w:val="center"/>
              <w:rPr>
                <w:color w:val="000000"/>
                <w:szCs w:val="21"/>
              </w:rPr>
            </w:pPr>
            <w:r>
              <w:rPr>
                <w:rFonts w:hint="eastAsia"/>
                <w:color w:val="000000"/>
                <w:szCs w:val="21"/>
              </w:rPr>
              <w:t>45.00</w:t>
            </w:r>
          </w:p>
        </w:tc>
        <w:tc>
          <w:tcPr>
            <w:tcW w:w="1776" w:type="dxa"/>
            <w:noWrap w:val="0"/>
            <w:vAlign w:val="center"/>
          </w:tcPr>
          <w:p w14:paraId="6C79B005">
            <w:pPr>
              <w:pStyle w:val="20"/>
              <w:jc w:val="center"/>
              <w:rPr>
                <w:rFonts w:ascii="Times New Roman" w:hAnsi="Times New Roman" w:cs="Times New Roman"/>
                <w:color w:val="000000"/>
              </w:rPr>
            </w:pPr>
            <w:r>
              <w:rPr>
                <w:rFonts w:hint="eastAsia" w:ascii="Times New Roman" w:hAnsi="Times New Roman" w:cs="Times New Roman"/>
                <w:color w:val="000000"/>
              </w:rPr>
              <w:t>2.20</w:t>
            </w:r>
          </w:p>
        </w:tc>
      </w:tr>
      <w:tr w14:paraId="04327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5" w:type="dxa"/>
            <w:noWrap w:val="0"/>
            <w:vAlign w:val="center"/>
          </w:tcPr>
          <w:p w14:paraId="0BDE21CB">
            <w:pPr>
              <w:pStyle w:val="20"/>
              <w:jc w:val="center"/>
              <w:rPr>
                <w:rFonts w:ascii="Times New Roman" w:hAnsi="Times New Roman" w:eastAsia="楷体_GB2312"/>
              </w:rPr>
            </w:pPr>
            <w:r>
              <w:rPr>
                <w:rFonts w:ascii="Times New Roman" w:hAnsi="Times New Roman" w:eastAsia="楷体_GB2312"/>
              </w:rPr>
              <w:t>9</w:t>
            </w:r>
          </w:p>
        </w:tc>
        <w:tc>
          <w:tcPr>
            <w:tcW w:w="1118" w:type="dxa"/>
            <w:noWrap w:val="0"/>
            <w:vAlign w:val="center"/>
          </w:tcPr>
          <w:p w14:paraId="0065F736">
            <w:pPr>
              <w:pStyle w:val="20"/>
              <w:jc w:val="center"/>
              <w:rPr>
                <w:rFonts w:ascii="Times New Roman" w:hAnsi="Times New Roman" w:eastAsia="楷体_GB2312"/>
              </w:rPr>
            </w:pPr>
            <w:r>
              <w:rPr>
                <w:rFonts w:ascii="Times New Roman" w:hAnsi="Times New Roman" w:eastAsia="楷体_GB2312"/>
              </w:rPr>
              <w:t>西二铺乡</w:t>
            </w:r>
          </w:p>
        </w:tc>
        <w:tc>
          <w:tcPr>
            <w:tcW w:w="850" w:type="dxa"/>
            <w:noWrap w:val="0"/>
            <w:vAlign w:val="center"/>
          </w:tcPr>
          <w:p w14:paraId="01342712">
            <w:pPr>
              <w:jc w:val="center"/>
              <w:rPr>
                <w:color w:val="000000"/>
                <w:szCs w:val="21"/>
              </w:rPr>
            </w:pPr>
            <w:r>
              <w:rPr>
                <w:color w:val="000000"/>
                <w:szCs w:val="21"/>
              </w:rPr>
              <w:t>0.13</w:t>
            </w:r>
          </w:p>
        </w:tc>
        <w:tc>
          <w:tcPr>
            <w:tcW w:w="851" w:type="dxa"/>
            <w:noWrap w:val="0"/>
            <w:vAlign w:val="center"/>
          </w:tcPr>
          <w:p w14:paraId="2249599F">
            <w:pPr>
              <w:jc w:val="center"/>
              <w:rPr>
                <w:color w:val="000000"/>
                <w:szCs w:val="21"/>
              </w:rPr>
            </w:pPr>
            <w:r>
              <w:rPr>
                <w:color w:val="000000"/>
                <w:szCs w:val="21"/>
              </w:rPr>
              <w:t>9.85</w:t>
            </w:r>
          </w:p>
        </w:tc>
        <w:tc>
          <w:tcPr>
            <w:tcW w:w="850" w:type="dxa"/>
            <w:noWrap w:val="0"/>
            <w:vAlign w:val="center"/>
          </w:tcPr>
          <w:p w14:paraId="139E0D9F">
            <w:pPr>
              <w:jc w:val="center"/>
              <w:rPr>
                <w:color w:val="000000"/>
                <w:szCs w:val="21"/>
              </w:rPr>
            </w:pPr>
            <w:r>
              <w:rPr>
                <w:color w:val="000000"/>
                <w:szCs w:val="21"/>
              </w:rPr>
              <w:t>0.63</w:t>
            </w:r>
          </w:p>
        </w:tc>
        <w:tc>
          <w:tcPr>
            <w:tcW w:w="992" w:type="dxa"/>
            <w:noWrap w:val="0"/>
            <w:vAlign w:val="center"/>
          </w:tcPr>
          <w:p w14:paraId="3C34FAB1">
            <w:pPr>
              <w:jc w:val="center"/>
              <w:rPr>
                <w:color w:val="000000"/>
                <w:szCs w:val="21"/>
              </w:rPr>
            </w:pPr>
            <w:r>
              <w:rPr>
                <w:color w:val="000000"/>
                <w:szCs w:val="21"/>
              </w:rPr>
              <w:t>47.73</w:t>
            </w:r>
          </w:p>
        </w:tc>
        <w:tc>
          <w:tcPr>
            <w:tcW w:w="1134" w:type="dxa"/>
            <w:noWrap w:val="0"/>
            <w:vAlign w:val="center"/>
          </w:tcPr>
          <w:p w14:paraId="7A6FD926">
            <w:pPr>
              <w:jc w:val="center"/>
              <w:rPr>
                <w:color w:val="000000"/>
                <w:szCs w:val="21"/>
              </w:rPr>
            </w:pPr>
            <w:r>
              <w:rPr>
                <w:color w:val="000000"/>
                <w:szCs w:val="21"/>
              </w:rPr>
              <w:t>0.56</w:t>
            </w:r>
          </w:p>
        </w:tc>
        <w:tc>
          <w:tcPr>
            <w:tcW w:w="916" w:type="dxa"/>
            <w:noWrap w:val="0"/>
            <w:vAlign w:val="center"/>
          </w:tcPr>
          <w:p w14:paraId="0256F87C">
            <w:pPr>
              <w:jc w:val="center"/>
              <w:rPr>
                <w:color w:val="000000"/>
                <w:szCs w:val="21"/>
              </w:rPr>
            </w:pPr>
            <w:r>
              <w:rPr>
                <w:color w:val="000000"/>
                <w:szCs w:val="21"/>
              </w:rPr>
              <w:t>42.42</w:t>
            </w:r>
          </w:p>
        </w:tc>
        <w:tc>
          <w:tcPr>
            <w:tcW w:w="1776" w:type="dxa"/>
            <w:noWrap w:val="0"/>
            <w:vAlign w:val="center"/>
          </w:tcPr>
          <w:p w14:paraId="36751F8F">
            <w:pPr>
              <w:pStyle w:val="20"/>
              <w:jc w:val="center"/>
              <w:rPr>
                <w:rFonts w:ascii="Times New Roman" w:hAnsi="Times New Roman" w:cs="Times New Roman"/>
                <w:color w:val="000000"/>
              </w:rPr>
            </w:pPr>
            <w:r>
              <w:rPr>
                <w:rFonts w:ascii="Times New Roman" w:hAnsi="Times New Roman" w:cs="Times New Roman"/>
                <w:color w:val="000000"/>
              </w:rPr>
              <w:t>1.32</w:t>
            </w:r>
          </w:p>
        </w:tc>
      </w:tr>
      <w:tr w14:paraId="51D23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5" w:type="dxa"/>
            <w:noWrap w:val="0"/>
            <w:vAlign w:val="center"/>
          </w:tcPr>
          <w:p w14:paraId="241D66CB">
            <w:pPr>
              <w:pStyle w:val="20"/>
              <w:jc w:val="center"/>
              <w:rPr>
                <w:rFonts w:ascii="Times New Roman" w:hAnsi="Times New Roman" w:eastAsia="楷体_GB2312"/>
              </w:rPr>
            </w:pPr>
            <w:r>
              <w:rPr>
                <w:rFonts w:ascii="Times New Roman" w:hAnsi="Times New Roman" w:eastAsia="楷体_GB2312"/>
              </w:rPr>
              <w:t>10</w:t>
            </w:r>
          </w:p>
        </w:tc>
        <w:tc>
          <w:tcPr>
            <w:tcW w:w="1118" w:type="dxa"/>
            <w:noWrap w:val="0"/>
            <w:vAlign w:val="center"/>
          </w:tcPr>
          <w:p w14:paraId="5811CBE7">
            <w:pPr>
              <w:pStyle w:val="20"/>
              <w:jc w:val="center"/>
              <w:rPr>
                <w:rFonts w:ascii="Times New Roman" w:hAnsi="Times New Roman" w:eastAsia="楷体_GB2312"/>
              </w:rPr>
            </w:pPr>
            <w:r>
              <w:rPr>
                <w:rFonts w:ascii="Times New Roman" w:hAnsi="Times New Roman" w:eastAsia="楷体_GB2312"/>
              </w:rPr>
              <w:t>桃园镇</w:t>
            </w:r>
          </w:p>
        </w:tc>
        <w:tc>
          <w:tcPr>
            <w:tcW w:w="850" w:type="dxa"/>
            <w:noWrap w:val="0"/>
            <w:vAlign w:val="center"/>
          </w:tcPr>
          <w:p w14:paraId="3E3DC757">
            <w:pPr>
              <w:jc w:val="center"/>
              <w:rPr>
                <w:color w:val="000000"/>
                <w:szCs w:val="21"/>
              </w:rPr>
            </w:pPr>
            <w:r>
              <w:rPr>
                <w:rFonts w:hint="eastAsia"/>
                <w:color w:val="000000"/>
                <w:szCs w:val="21"/>
              </w:rPr>
              <w:t>0.51</w:t>
            </w:r>
          </w:p>
        </w:tc>
        <w:tc>
          <w:tcPr>
            <w:tcW w:w="851" w:type="dxa"/>
            <w:noWrap w:val="0"/>
            <w:vAlign w:val="center"/>
          </w:tcPr>
          <w:p w14:paraId="1B16B3F4">
            <w:pPr>
              <w:jc w:val="center"/>
              <w:rPr>
                <w:color w:val="000000"/>
                <w:szCs w:val="21"/>
              </w:rPr>
            </w:pPr>
            <w:r>
              <w:rPr>
                <w:rFonts w:hint="eastAsia"/>
                <w:color w:val="000000"/>
                <w:szCs w:val="21"/>
              </w:rPr>
              <w:t>13.78</w:t>
            </w:r>
          </w:p>
        </w:tc>
        <w:tc>
          <w:tcPr>
            <w:tcW w:w="850" w:type="dxa"/>
            <w:noWrap w:val="0"/>
            <w:vAlign w:val="center"/>
          </w:tcPr>
          <w:p w14:paraId="1F94FF91">
            <w:pPr>
              <w:jc w:val="center"/>
              <w:rPr>
                <w:color w:val="000000"/>
                <w:szCs w:val="21"/>
              </w:rPr>
            </w:pPr>
            <w:r>
              <w:rPr>
                <w:rFonts w:hint="eastAsia"/>
                <w:color w:val="000000"/>
                <w:szCs w:val="21"/>
              </w:rPr>
              <w:t>1.78</w:t>
            </w:r>
          </w:p>
        </w:tc>
        <w:tc>
          <w:tcPr>
            <w:tcW w:w="992" w:type="dxa"/>
            <w:noWrap w:val="0"/>
            <w:vAlign w:val="center"/>
          </w:tcPr>
          <w:p w14:paraId="3BA1CB05">
            <w:pPr>
              <w:jc w:val="center"/>
              <w:rPr>
                <w:color w:val="000000"/>
                <w:szCs w:val="21"/>
              </w:rPr>
            </w:pPr>
            <w:r>
              <w:rPr>
                <w:rFonts w:hint="eastAsia"/>
                <w:color w:val="000000"/>
                <w:szCs w:val="21"/>
              </w:rPr>
              <w:t>48.11</w:t>
            </w:r>
          </w:p>
        </w:tc>
        <w:tc>
          <w:tcPr>
            <w:tcW w:w="1134" w:type="dxa"/>
            <w:noWrap w:val="0"/>
            <w:vAlign w:val="center"/>
          </w:tcPr>
          <w:p w14:paraId="2CE78C2D">
            <w:pPr>
              <w:jc w:val="center"/>
              <w:rPr>
                <w:color w:val="000000"/>
                <w:szCs w:val="21"/>
              </w:rPr>
            </w:pPr>
            <w:r>
              <w:rPr>
                <w:rFonts w:hint="eastAsia"/>
                <w:color w:val="000000"/>
                <w:szCs w:val="21"/>
              </w:rPr>
              <w:t>1.41</w:t>
            </w:r>
          </w:p>
        </w:tc>
        <w:tc>
          <w:tcPr>
            <w:tcW w:w="916" w:type="dxa"/>
            <w:noWrap w:val="0"/>
            <w:vAlign w:val="center"/>
          </w:tcPr>
          <w:p w14:paraId="02263EAE">
            <w:pPr>
              <w:jc w:val="center"/>
              <w:rPr>
                <w:color w:val="000000"/>
                <w:szCs w:val="21"/>
              </w:rPr>
            </w:pPr>
            <w:r>
              <w:rPr>
                <w:rFonts w:hint="eastAsia"/>
                <w:color w:val="000000"/>
                <w:szCs w:val="21"/>
              </w:rPr>
              <w:t>38.11</w:t>
            </w:r>
          </w:p>
        </w:tc>
        <w:tc>
          <w:tcPr>
            <w:tcW w:w="1776" w:type="dxa"/>
            <w:noWrap w:val="0"/>
            <w:vAlign w:val="center"/>
          </w:tcPr>
          <w:p w14:paraId="6A7A2DBA">
            <w:pPr>
              <w:pStyle w:val="20"/>
              <w:jc w:val="center"/>
              <w:rPr>
                <w:rFonts w:ascii="Times New Roman" w:hAnsi="Times New Roman" w:cs="Times New Roman"/>
                <w:color w:val="000000"/>
              </w:rPr>
            </w:pPr>
            <w:r>
              <w:rPr>
                <w:rFonts w:ascii="Times New Roman" w:hAnsi="Times New Roman" w:cs="Times New Roman"/>
                <w:color w:val="000000"/>
              </w:rPr>
              <w:t>3.70</w:t>
            </w:r>
          </w:p>
        </w:tc>
      </w:tr>
      <w:tr w14:paraId="2B6A6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5" w:type="dxa"/>
            <w:noWrap w:val="0"/>
            <w:vAlign w:val="center"/>
          </w:tcPr>
          <w:p w14:paraId="26F6433D">
            <w:pPr>
              <w:pStyle w:val="20"/>
              <w:jc w:val="center"/>
              <w:rPr>
                <w:rFonts w:ascii="Times New Roman" w:hAnsi="Times New Roman" w:eastAsia="楷体_GB2312"/>
              </w:rPr>
            </w:pPr>
            <w:r>
              <w:rPr>
                <w:rFonts w:ascii="Times New Roman" w:hAnsi="Times New Roman" w:eastAsia="楷体_GB2312"/>
              </w:rPr>
              <w:t>11</w:t>
            </w:r>
          </w:p>
        </w:tc>
        <w:tc>
          <w:tcPr>
            <w:tcW w:w="1118" w:type="dxa"/>
            <w:noWrap w:val="0"/>
            <w:vAlign w:val="center"/>
          </w:tcPr>
          <w:p w14:paraId="7095674C">
            <w:pPr>
              <w:pStyle w:val="20"/>
              <w:jc w:val="center"/>
              <w:rPr>
                <w:rFonts w:ascii="Times New Roman" w:hAnsi="Times New Roman" w:eastAsia="楷体_GB2312"/>
              </w:rPr>
            </w:pPr>
            <w:r>
              <w:rPr>
                <w:rFonts w:ascii="Times New Roman" w:hAnsi="Times New Roman" w:eastAsia="楷体_GB2312"/>
              </w:rPr>
              <w:t>曹村镇</w:t>
            </w:r>
          </w:p>
        </w:tc>
        <w:tc>
          <w:tcPr>
            <w:tcW w:w="850" w:type="dxa"/>
            <w:noWrap w:val="0"/>
            <w:vAlign w:val="center"/>
          </w:tcPr>
          <w:p w14:paraId="7CCFDD5A">
            <w:pPr>
              <w:jc w:val="center"/>
              <w:rPr>
                <w:color w:val="000000"/>
                <w:szCs w:val="21"/>
              </w:rPr>
            </w:pPr>
            <w:r>
              <w:rPr>
                <w:color w:val="000000"/>
                <w:szCs w:val="21"/>
              </w:rPr>
              <w:t>0.29</w:t>
            </w:r>
          </w:p>
        </w:tc>
        <w:tc>
          <w:tcPr>
            <w:tcW w:w="851" w:type="dxa"/>
            <w:noWrap w:val="0"/>
            <w:vAlign w:val="center"/>
          </w:tcPr>
          <w:p w14:paraId="1C9799A5">
            <w:pPr>
              <w:jc w:val="center"/>
              <w:rPr>
                <w:color w:val="000000"/>
                <w:szCs w:val="21"/>
              </w:rPr>
            </w:pPr>
            <w:r>
              <w:rPr>
                <w:color w:val="000000"/>
                <w:szCs w:val="21"/>
              </w:rPr>
              <w:t>10.51</w:t>
            </w:r>
          </w:p>
        </w:tc>
        <w:tc>
          <w:tcPr>
            <w:tcW w:w="850" w:type="dxa"/>
            <w:noWrap w:val="0"/>
            <w:vAlign w:val="center"/>
          </w:tcPr>
          <w:p w14:paraId="0F3304EF">
            <w:pPr>
              <w:jc w:val="center"/>
              <w:rPr>
                <w:color w:val="000000"/>
                <w:szCs w:val="21"/>
              </w:rPr>
            </w:pPr>
            <w:r>
              <w:rPr>
                <w:color w:val="000000"/>
                <w:szCs w:val="21"/>
              </w:rPr>
              <w:t>0.87</w:t>
            </w:r>
          </w:p>
        </w:tc>
        <w:tc>
          <w:tcPr>
            <w:tcW w:w="992" w:type="dxa"/>
            <w:noWrap w:val="0"/>
            <w:vAlign w:val="center"/>
          </w:tcPr>
          <w:p w14:paraId="74A76A5D">
            <w:pPr>
              <w:jc w:val="center"/>
              <w:rPr>
                <w:color w:val="000000"/>
                <w:szCs w:val="21"/>
              </w:rPr>
            </w:pPr>
            <w:r>
              <w:rPr>
                <w:color w:val="000000"/>
                <w:szCs w:val="21"/>
              </w:rPr>
              <w:t>31.52</w:t>
            </w:r>
          </w:p>
        </w:tc>
        <w:tc>
          <w:tcPr>
            <w:tcW w:w="1134" w:type="dxa"/>
            <w:noWrap w:val="0"/>
            <w:vAlign w:val="center"/>
          </w:tcPr>
          <w:p w14:paraId="226D15F7">
            <w:pPr>
              <w:jc w:val="center"/>
              <w:rPr>
                <w:color w:val="000000"/>
                <w:szCs w:val="21"/>
              </w:rPr>
            </w:pPr>
            <w:r>
              <w:rPr>
                <w:color w:val="000000"/>
                <w:szCs w:val="21"/>
              </w:rPr>
              <w:t>1.6</w:t>
            </w:r>
          </w:p>
        </w:tc>
        <w:tc>
          <w:tcPr>
            <w:tcW w:w="916" w:type="dxa"/>
            <w:noWrap w:val="0"/>
            <w:vAlign w:val="center"/>
          </w:tcPr>
          <w:p w14:paraId="603A3734">
            <w:pPr>
              <w:jc w:val="center"/>
              <w:rPr>
                <w:color w:val="000000"/>
                <w:szCs w:val="21"/>
              </w:rPr>
            </w:pPr>
            <w:r>
              <w:rPr>
                <w:color w:val="000000"/>
                <w:szCs w:val="21"/>
              </w:rPr>
              <w:t>57.97</w:t>
            </w:r>
          </w:p>
        </w:tc>
        <w:tc>
          <w:tcPr>
            <w:tcW w:w="1776" w:type="dxa"/>
            <w:noWrap w:val="0"/>
            <w:vAlign w:val="center"/>
          </w:tcPr>
          <w:p w14:paraId="411CBB62">
            <w:pPr>
              <w:pStyle w:val="20"/>
              <w:jc w:val="center"/>
              <w:rPr>
                <w:rFonts w:ascii="Times New Roman" w:hAnsi="Times New Roman" w:cs="Times New Roman"/>
                <w:color w:val="000000"/>
              </w:rPr>
            </w:pPr>
            <w:r>
              <w:rPr>
                <w:rFonts w:ascii="Times New Roman" w:hAnsi="Times New Roman" w:cs="Times New Roman"/>
                <w:color w:val="000000"/>
              </w:rPr>
              <w:t>2.76</w:t>
            </w:r>
          </w:p>
        </w:tc>
      </w:tr>
      <w:tr w14:paraId="6CBF8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5" w:type="dxa"/>
            <w:noWrap w:val="0"/>
            <w:vAlign w:val="center"/>
          </w:tcPr>
          <w:p w14:paraId="625151F1">
            <w:pPr>
              <w:pStyle w:val="20"/>
              <w:jc w:val="center"/>
              <w:rPr>
                <w:rFonts w:ascii="Times New Roman" w:hAnsi="Times New Roman" w:eastAsia="楷体_GB2312"/>
              </w:rPr>
            </w:pPr>
            <w:r>
              <w:rPr>
                <w:rFonts w:ascii="Times New Roman" w:hAnsi="Times New Roman" w:eastAsia="楷体_GB2312"/>
              </w:rPr>
              <w:t>12</w:t>
            </w:r>
          </w:p>
        </w:tc>
        <w:tc>
          <w:tcPr>
            <w:tcW w:w="1118" w:type="dxa"/>
            <w:noWrap w:val="0"/>
            <w:vAlign w:val="center"/>
          </w:tcPr>
          <w:p w14:paraId="1A3A417B">
            <w:pPr>
              <w:pStyle w:val="20"/>
              <w:jc w:val="center"/>
              <w:rPr>
                <w:rFonts w:ascii="Times New Roman" w:hAnsi="Times New Roman" w:eastAsia="楷体_GB2312"/>
              </w:rPr>
            </w:pPr>
            <w:r>
              <w:rPr>
                <w:rFonts w:ascii="Times New Roman" w:hAnsi="Times New Roman" w:eastAsia="楷体_GB2312"/>
              </w:rPr>
              <w:t>大营镇</w:t>
            </w:r>
          </w:p>
        </w:tc>
        <w:tc>
          <w:tcPr>
            <w:tcW w:w="850" w:type="dxa"/>
            <w:noWrap w:val="0"/>
            <w:vAlign w:val="center"/>
          </w:tcPr>
          <w:p w14:paraId="15B431F4">
            <w:pPr>
              <w:jc w:val="center"/>
              <w:rPr>
                <w:color w:val="000000"/>
                <w:szCs w:val="21"/>
              </w:rPr>
            </w:pPr>
            <w:r>
              <w:rPr>
                <w:color w:val="000000"/>
                <w:szCs w:val="21"/>
              </w:rPr>
              <w:t>0.19</w:t>
            </w:r>
          </w:p>
        </w:tc>
        <w:tc>
          <w:tcPr>
            <w:tcW w:w="851" w:type="dxa"/>
            <w:noWrap w:val="0"/>
            <w:vAlign w:val="center"/>
          </w:tcPr>
          <w:p w14:paraId="31D1875E">
            <w:pPr>
              <w:jc w:val="center"/>
              <w:rPr>
                <w:color w:val="000000"/>
                <w:szCs w:val="21"/>
              </w:rPr>
            </w:pPr>
            <w:r>
              <w:rPr>
                <w:color w:val="000000"/>
                <w:szCs w:val="21"/>
              </w:rPr>
              <w:t>4.92</w:t>
            </w:r>
          </w:p>
        </w:tc>
        <w:tc>
          <w:tcPr>
            <w:tcW w:w="850" w:type="dxa"/>
            <w:noWrap w:val="0"/>
            <w:vAlign w:val="center"/>
          </w:tcPr>
          <w:p w14:paraId="2B3896A1">
            <w:pPr>
              <w:jc w:val="center"/>
              <w:rPr>
                <w:color w:val="000000"/>
                <w:szCs w:val="21"/>
              </w:rPr>
            </w:pPr>
            <w:r>
              <w:rPr>
                <w:color w:val="000000"/>
                <w:szCs w:val="21"/>
              </w:rPr>
              <w:t>1.63</w:t>
            </w:r>
          </w:p>
        </w:tc>
        <w:tc>
          <w:tcPr>
            <w:tcW w:w="992" w:type="dxa"/>
            <w:noWrap w:val="0"/>
            <w:vAlign w:val="center"/>
          </w:tcPr>
          <w:p w14:paraId="6ED9E77B">
            <w:pPr>
              <w:jc w:val="center"/>
              <w:rPr>
                <w:color w:val="000000"/>
                <w:szCs w:val="21"/>
              </w:rPr>
            </w:pPr>
            <w:r>
              <w:rPr>
                <w:color w:val="000000"/>
                <w:szCs w:val="21"/>
              </w:rPr>
              <w:t>42.23</w:t>
            </w:r>
          </w:p>
        </w:tc>
        <w:tc>
          <w:tcPr>
            <w:tcW w:w="1134" w:type="dxa"/>
            <w:noWrap w:val="0"/>
            <w:vAlign w:val="center"/>
          </w:tcPr>
          <w:p w14:paraId="3FA98709">
            <w:pPr>
              <w:jc w:val="center"/>
              <w:rPr>
                <w:color w:val="000000"/>
                <w:szCs w:val="21"/>
              </w:rPr>
            </w:pPr>
            <w:r>
              <w:rPr>
                <w:color w:val="000000"/>
                <w:szCs w:val="21"/>
              </w:rPr>
              <w:t>2.04</w:t>
            </w:r>
          </w:p>
        </w:tc>
        <w:tc>
          <w:tcPr>
            <w:tcW w:w="916" w:type="dxa"/>
            <w:noWrap w:val="0"/>
            <w:vAlign w:val="center"/>
          </w:tcPr>
          <w:p w14:paraId="18825CDB">
            <w:pPr>
              <w:jc w:val="center"/>
              <w:rPr>
                <w:color w:val="000000"/>
                <w:szCs w:val="21"/>
              </w:rPr>
            </w:pPr>
            <w:r>
              <w:rPr>
                <w:color w:val="000000"/>
                <w:szCs w:val="21"/>
              </w:rPr>
              <w:t>52.85</w:t>
            </w:r>
          </w:p>
        </w:tc>
        <w:tc>
          <w:tcPr>
            <w:tcW w:w="1776" w:type="dxa"/>
            <w:noWrap w:val="0"/>
            <w:vAlign w:val="center"/>
          </w:tcPr>
          <w:p w14:paraId="73F56540">
            <w:pPr>
              <w:pStyle w:val="20"/>
              <w:jc w:val="center"/>
              <w:rPr>
                <w:rFonts w:ascii="Times New Roman" w:hAnsi="Times New Roman" w:cs="Times New Roman"/>
                <w:color w:val="000000"/>
              </w:rPr>
            </w:pPr>
            <w:r>
              <w:rPr>
                <w:rFonts w:ascii="Times New Roman" w:hAnsi="Times New Roman" w:cs="Times New Roman"/>
                <w:color w:val="000000"/>
              </w:rPr>
              <w:t>3.86</w:t>
            </w:r>
          </w:p>
        </w:tc>
      </w:tr>
      <w:tr w14:paraId="310AC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5" w:type="dxa"/>
            <w:noWrap w:val="0"/>
            <w:vAlign w:val="center"/>
          </w:tcPr>
          <w:p w14:paraId="73FD30B4">
            <w:pPr>
              <w:pStyle w:val="20"/>
              <w:jc w:val="center"/>
              <w:rPr>
                <w:rFonts w:ascii="Times New Roman" w:hAnsi="Times New Roman" w:eastAsia="楷体_GB2312"/>
              </w:rPr>
            </w:pPr>
            <w:r>
              <w:rPr>
                <w:rFonts w:ascii="Times New Roman" w:hAnsi="Times New Roman" w:eastAsia="楷体_GB2312"/>
              </w:rPr>
              <w:t>13</w:t>
            </w:r>
          </w:p>
        </w:tc>
        <w:tc>
          <w:tcPr>
            <w:tcW w:w="1118" w:type="dxa"/>
            <w:noWrap w:val="0"/>
            <w:vAlign w:val="center"/>
          </w:tcPr>
          <w:p w14:paraId="00D8875B">
            <w:pPr>
              <w:pStyle w:val="20"/>
              <w:jc w:val="center"/>
              <w:rPr>
                <w:rFonts w:ascii="Times New Roman" w:hAnsi="Times New Roman" w:eastAsia="楷体_GB2312"/>
              </w:rPr>
            </w:pPr>
            <w:r>
              <w:rPr>
                <w:rFonts w:ascii="Times New Roman" w:hAnsi="Times New Roman" w:eastAsia="楷体_GB2312"/>
              </w:rPr>
              <w:t>褚兰镇</w:t>
            </w:r>
          </w:p>
        </w:tc>
        <w:tc>
          <w:tcPr>
            <w:tcW w:w="850" w:type="dxa"/>
            <w:noWrap w:val="0"/>
            <w:vAlign w:val="center"/>
          </w:tcPr>
          <w:p w14:paraId="71E97AE6">
            <w:pPr>
              <w:jc w:val="center"/>
              <w:rPr>
                <w:color w:val="000000"/>
                <w:szCs w:val="21"/>
              </w:rPr>
            </w:pPr>
            <w:r>
              <w:rPr>
                <w:color w:val="000000"/>
                <w:szCs w:val="21"/>
              </w:rPr>
              <w:t>0.12</w:t>
            </w:r>
          </w:p>
        </w:tc>
        <w:tc>
          <w:tcPr>
            <w:tcW w:w="851" w:type="dxa"/>
            <w:noWrap w:val="0"/>
            <w:vAlign w:val="center"/>
          </w:tcPr>
          <w:p w14:paraId="744A00C8">
            <w:pPr>
              <w:jc w:val="center"/>
              <w:rPr>
                <w:color w:val="000000"/>
                <w:szCs w:val="21"/>
              </w:rPr>
            </w:pPr>
            <w:r>
              <w:rPr>
                <w:color w:val="000000"/>
                <w:szCs w:val="21"/>
              </w:rPr>
              <w:t>5.48</w:t>
            </w:r>
          </w:p>
        </w:tc>
        <w:tc>
          <w:tcPr>
            <w:tcW w:w="850" w:type="dxa"/>
            <w:noWrap w:val="0"/>
            <w:vAlign w:val="center"/>
          </w:tcPr>
          <w:p w14:paraId="7C9B9301">
            <w:pPr>
              <w:jc w:val="center"/>
              <w:rPr>
                <w:color w:val="000000"/>
                <w:szCs w:val="21"/>
              </w:rPr>
            </w:pPr>
            <w:r>
              <w:rPr>
                <w:color w:val="000000"/>
                <w:szCs w:val="21"/>
              </w:rPr>
              <w:t>0.59</w:t>
            </w:r>
          </w:p>
        </w:tc>
        <w:tc>
          <w:tcPr>
            <w:tcW w:w="992" w:type="dxa"/>
            <w:noWrap w:val="0"/>
            <w:vAlign w:val="center"/>
          </w:tcPr>
          <w:p w14:paraId="6B4F05A2">
            <w:pPr>
              <w:jc w:val="center"/>
              <w:rPr>
                <w:color w:val="000000"/>
                <w:szCs w:val="21"/>
              </w:rPr>
            </w:pPr>
            <w:r>
              <w:rPr>
                <w:color w:val="000000"/>
                <w:szCs w:val="21"/>
              </w:rPr>
              <w:t>26.94</w:t>
            </w:r>
          </w:p>
        </w:tc>
        <w:tc>
          <w:tcPr>
            <w:tcW w:w="1134" w:type="dxa"/>
            <w:noWrap w:val="0"/>
            <w:vAlign w:val="center"/>
          </w:tcPr>
          <w:p w14:paraId="667F8FA0">
            <w:pPr>
              <w:jc w:val="center"/>
              <w:rPr>
                <w:color w:val="000000"/>
                <w:szCs w:val="21"/>
              </w:rPr>
            </w:pPr>
            <w:r>
              <w:rPr>
                <w:color w:val="000000"/>
                <w:szCs w:val="21"/>
              </w:rPr>
              <w:t>1.48</w:t>
            </w:r>
          </w:p>
        </w:tc>
        <w:tc>
          <w:tcPr>
            <w:tcW w:w="916" w:type="dxa"/>
            <w:noWrap w:val="0"/>
            <w:vAlign w:val="center"/>
          </w:tcPr>
          <w:p w14:paraId="38D64E04">
            <w:pPr>
              <w:jc w:val="center"/>
              <w:rPr>
                <w:color w:val="000000"/>
                <w:szCs w:val="21"/>
              </w:rPr>
            </w:pPr>
            <w:r>
              <w:rPr>
                <w:color w:val="000000"/>
                <w:szCs w:val="21"/>
              </w:rPr>
              <w:t>67.58</w:t>
            </w:r>
          </w:p>
        </w:tc>
        <w:tc>
          <w:tcPr>
            <w:tcW w:w="1776" w:type="dxa"/>
            <w:noWrap w:val="0"/>
            <w:vAlign w:val="center"/>
          </w:tcPr>
          <w:p w14:paraId="49D381AF">
            <w:pPr>
              <w:pStyle w:val="20"/>
              <w:jc w:val="center"/>
              <w:rPr>
                <w:rFonts w:ascii="Times New Roman" w:hAnsi="Times New Roman" w:cs="Times New Roman"/>
                <w:color w:val="000000"/>
              </w:rPr>
            </w:pPr>
            <w:r>
              <w:rPr>
                <w:rFonts w:ascii="Times New Roman" w:hAnsi="Times New Roman" w:cs="Times New Roman"/>
                <w:color w:val="000000"/>
              </w:rPr>
              <w:t>2.19</w:t>
            </w:r>
          </w:p>
        </w:tc>
      </w:tr>
      <w:tr w14:paraId="1EDB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5" w:type="dxa"/>
            <w:noWrap w:val="0"/>
            <w:vAlign w:val="center"/>
          </w:tcPr>
          <w:p w14:paraId="1EA6399F">
            <w:pPr>
              <w:pStyle w:val="20"/>
              <w:jc w:val="center"/>
              <w:rPr>
                <w:rFonts w:ascii="Times New Roman" w:hAnsi="Times New Roman" w:eastAsia="楷体_GB2312"/>
              </w:rPr>
            </w:pPr>
            <w:r>
              <w:rPr>
                <w:rFonts w:ascii="Times New Roman" w:hAnsi="Times New Roman" w:eastAsia="楷体_GB2312"/>
              </w:rPr>
              <w:t>14</w:t>
            </w:r>
          </w:p>
        </w:tc>
        <w:tc>
          <w:tcPr>
            <w:tcW w:w="1118" w:type="dxa"/>
            <w:noWrap w:val="0"/>
            <w:vAlign w:val="center"/>
          </w:tcPr>
          <w:p w14:paraId="3A78E889">
            <w:pPr>
              <w:pStyle w:val="20"/>
              <w:jc w:val="center"/>
              <w:rPr>
                <w:rFonts w:ascii="Times New Roman" w:hAnsi="Times New Roman" w:eastAsia="楷体_GB2312"/>
              </w:rPr>
            </w:pPr>
            <w:r>
              <w:rPr>
                <w:rFonts w:ascii="Times New Roman" w:hAnsi="Times New Roman" w:eastAsia="楷体_GB2312"/>
              </w:rPr>
              <w:t>顺河镇</w:t>
            </w:r>
          </w:p>
        </w:tc>
        <w:tc>
          <w:tcPr>
            <w:tcW w:w="850" w:type="dxa"/>
            <w:noWrap w:val="0"/>
            <w:vAlign w:val="center"/>
          </w:tcPr>
          <w:p w14:paraId="3D56178F">
            <w:pPr>
              <w:jc w:val="center"/>
              <w:rPr>
                <w:color w:val="000000"/>
                <w:szCs w:val="21"/>
              </w:rPr>
            </w:pPr>
            <w:r>
              <w:rPr>
                <w:color w:val="000000"/>
                <w:szCs w:val="21"/>
              </w:rPr>
              <w:t>0.74</w:t>
            </w:r>
          </w:p>
        </w:tc>
        <w:tc>
          <w:tcPr>
            <w:tcW w:w="851" w:type="dxa"/>
            <w:noWrap w:val="0"/>
            <w:vAlign w:val="center"/>
          </w:tcPr>
          <w:p w14:paraId="6ABCD28F">
            <w:pPr>
              <w:jc w:val="center"/>
              <w:rPr>
                <w:color w:val="000000"/>
                <w:szCs w:val="21"/>
              </w:rPr>
            </w:pPr>
            <w:r>
              <w:rPr>
                <w:color w:val="000000"/>
                <w:szCs w:val="21"/>
              </w:rPr>
              <w:t>15.81</w:t>
            </w:r>
          </w:p>
        </w:tc>
        <w:tc>
          <w:tcPr>
            <w:tcW w:w="850" w:type="dxa"/>
            <w:noWrap w:val="0"/>
            <w:vAlign w:val="center"/>
          </w:tcPr>
          <w:p w14:paraId="58ACCDBB">
            <w:pPr>
              <w:jc w:val="center"/>
              <w:rPr>
                <w:color w:val="000000"/>
                <w:szCs w:val="21"/>
              </w:rPr>
            </w:pPr>
            <w:r>
              <w:rPr>
                <w:color w:val="000000"/>
                <w:szCs w:val="21"/>
              </w:rPr>
              <w:t>1.71</w:t>
            </w:r>
          </w:p>
        </w:tc>
        <w:tc>
          <w:tcPr>
            <w:tcW w:w="992" w:type="dxa"/>
            <w:noWrap w:val="0"/>
            <w:vAlign w:val="center"/>
          </w:tcPr>
          <w:p w14:paraId="2E8AC08F">
            <w:pPr>
              <w:jc w:val="center"/>
              <w:rPr>
                <w:color w:val="000000"/>
                <w:szCs w:val="21"/>
              </w:rPr>
            </w:pPr>
            <w:r>
              <w:rPr>
                <w:color w:val="000000"/>
                <w:szCs w:val="21"/>
              </w:rPr>
              <w:t>36.54</w:t>
            </w:r>
          </w:p>
        </w:tc>
        <w:tc>
          <w:tcPr>
            <w:tcW w:w="1134" w:type="dxa"/>
            <w:noWrap w:val="0"/>
            <w:vAlign w:val="center"/>
          </w:tcPr>
          <w:p w14:paraId="3191E81D">
            <w:pPr>
              <w:jc w:val="center"/>
              <w:rPr>
                <w:color w:val="000000"/>
                <w:szCs w:val="21"/>
              </w:rPr>
            </w:pPr>
            <w:r>
              <w:rPr>
                <w:color w:val="000000"/>
                <w:szCs w:val="21"/>
              </w:rPr>
              <w:t>2.23</w:t>
            </w:r>
          </w:p>
        </w:tc>
        <w:tc>
          <w:tcPr>
            <w:tcW w:w="916" w:type="dxa"/>
            <w:noWrap w:val="0"/>
            <w:vAlign w:val="center"/>
          </w:tcPr>
          <w:p w14:paraId="2308A100">
            <w:pPr>
              <w:jc w:val="center"/>
              <w:rPr>
                <w:color w:val="000000"/>
                <w:szCs w:val="21"/>
              </w:rPr>
            </w:pPr>
            <w:r>
              <w:rPr>
                <w:color w:val="000000"/>
                <w:szCs w:val="21"/>
              </w:rPr>
              <w:t>47.65</w:t>
            </w:r>
          </w:p>
        </w:tc>
        <w:tc>
          <w:tcPr>
            <w:tcW w:w="1776" w:type="dxa"/>
            <w:noWrap w:val="0"/>
            <w:vAlign w:val="center"/>
          </w:tcPr>
          <w:p w14:paraId="30EF9F93">
            <w:pPr>
              <w:pStyle w:val="20"/>
              <w:jc w:val="center"/>
              <w:rPr>
                <w:rFonts w:ascii="Times New Roman" w:hAnsi="Times New Roman" w:cs="Times New Roman"/>
                <w:color w:val="000000"/>
              </w:rPr>
            </w:pPr>
            <w:r>
              <w:rPr>
                <w:rFonts w:ascii="Times New Roman" w:hAnsi="Times New Roman" w:cs="Times New Roman"/>
                <w:color w:val="000000"/>
              </w:rPr>
              <w:t>4.68</w:t>
            </w:r>
          </w:p>
        </w:tc>
      </w:tr>
      <w:tr w14:paraId="161B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5" w:type="dxa"/>
            <w:noWrap w:val="0"/>
            <w:vAlign w:val="center"/>
          </w:tcPr>
          <w:p w14:paraId="4B74F1E2">
            <w:pPr>
              <w:pStyle w:val="20"/>
              <w:jc w:val="center"/>
              <w:rPr>
                <w:rFonts w:ascii="Times New Roman" w:hAnsi="Times New Roman" w:eastAsia="楷体_GB2312"/>
              </w:rPr>
            </w:pPr>
            <w:r>
              <w:rPr>
                <w:rFonts w:ascii="Times New Roman" w:hAnsi="Times New Roman" w:eastAsia="楷体_GB2312"/>
              </w:rPr>
              <w:t>15</w:t>
            </w:r>
          </w:p>
        </w:tc>
        <w:tc>
          <w:tcPr>
            <w:tcW w:w="1118" w:type="dxa"/>
            <w:noWrap w:val="0"/>
            <w:vAlign w:val="center"/>
          </w:tcPr>
          <w:p w14:paraId="51313D3F">
            <w:pPr>
              <w:pStyle w:val="20"/>
              <w:jc w:val="center"/>
              <w:rPr>
                <w:rFonts w:ascii="Times New Roman" w:hAnsi="Times New Roman" w:eastAsia="楷体_GB2312"/>
              </w:rPr>
            </w:pPr>
            <w:r>
              <w:rPr>
                <w:rFonts w:ascii="Times New Roman" w:hAnsi="Times New Roman" w:eastAsia="楷体_GB2312"/>
              </w:rPr>
              <w:t>杨庄镇</w:t>
            </w:r>
          </w:p>
        </w:tc>
        <w:tc>
          <w:tcPr>
            <w:tcW w:w="850" w:type="dxa"/>
            <w:noWrap w:val="0"/>
            <w:vAlign w:val="center"/>
          </w:tcPr>
          <w:p w14:paraId="5EF970A6">
            <w:pPr>
              <w:jc w:val="center"/>
              <w:rPr>
                <w:color w:val="000000"/>
                <w:szCs w:val="21"/>
              </w:rPr>
            </w:pPr>
            <w:r>
              <w:rPr>
                <w:color w:val="000000"/>
                <w:szCs w:val="21"/>
              </w:rPr>
              <w:t>0.21</w:t>
            </w:r>
          </w:p>
        </w:tc>
        <w:tc>
          <w:tcPr>
            <w:tcW w:w="851" w:type="dxa"/>
            <w:noWrap w:val="0"/>
            <w:vAlign w:val="center"/>
          </w:tcPr>
          <w:p w14:paraId="5DF1AEEA">
            <w:pPr>
              <w:jc w:val="center"/>
              <w:rPr>
                <w:color w:val="000000"/>
                <w:szCs w:val="21"/>
              </w:rPr>
            </w:pPr>
            <w:r>
              <w:rPr>
                <w:color w:val="000000"/>
                <w:szCs w:val="21"/>
              </w:rPr>
              <w:t>15.79</w:t>
            </w:r>
          </w:p>
        </w:tc>
        <w:tc>
          <w:tcPr>
            <w:tcW w:w="850" w:type="dxa"/>
            <w:noWrap w:val="0"/>
            <w:vAlign w:val="center"/>
          </w:tcPr>
          <w:p w14:paraId="7AE43202">
            <w:pPr>
              <w:jc w:val="center"/>
              <w:rPr>
                <w:color w:val="000000"/>
                <w:szCs w:val="21"/>
              </w:rPr>
            </w:pPr>
            <w:r>
              <w:rPr>
                <w:color w:val="000000"/>
                <w:szCs w:val="21"/>
              </w:rPr>
              <w:t>0.82</w:t>
            </w:r>
          </w:p>
        </w:tc>
        <w:tc>
          <w:tcPr>
            <w:tcW w:w="992" w:type="dxa"/>
            <w:noWrap w:val="0"/>
            <w:vAlign w:val="center"/>
          </w:tcPr>
          <w:p w14:paraId="5AA4E16F">
            <w:pPr>
              <w:jc w:val="center"/>
              <w:rPr>
                <w:color w:val="000000"/>
                <w:szCs w:val="21"/>
              </w:rPr>
            </w:pPr>
            <w:r>
              <w:rPr>
                <w:color w:val="000000"/>
                <w:szCs w:val="21"/>
              </w:rPr>
              <w:t>61.65</w:t>
            </w:r>
          </w:p>
        </w:tc>
        <w:tc>
          <w:tcPr>
            <w:tcW w:w="1134" w:type="dxa"/>
            <w:noWrap w:val="0"/>
            <w:vAlign w:val="center"/>
          </w:tcPr>
          <w:p w14:paraId="57F0E633">
            <w:pPr>
              <w:jc w:val="center"/>
              <w:rPr>
                <w:color w:val="000000"/>
                <w:szCs w:val="21"/>
              </w:rPr>
            </w:pPr>
            <w:r>
              <w:rPr>
                <w:color w:val="000000"/>
                <w:szCs w:val="21"/>
              </w:rPr>
              <w:t>0.3</w:t>
            </w:r>
          </w:p>
        </w:tc>
        <w:tc>
          <w:tcPr>
            <w:tcW w:w="916" w:type="dxa"/>
            <w:noWrap w:val="0"/>
            <w:vAlign w:val="center"/>
          </w:tcPr>
          <w:p w14:paraId="6D2841D3">
            <w:pPr>
              <w:jc w:val="center"/>
              <w:rPr>
                <w:color w:val="000000"/>
                <w:szCs w:val="21"/>
              </w:rPr>
            </w:pPr>
            <w:r>
              <w:rPr>
                <w:color w:val="000000"/>
                <w:szCs w:val="21"/>
              </w:rPr>
              <w:t>22.56</w:t>
            </w:r>
          </w:p>
        </w:tc>
        <w:tc>
          <w:tcPr>
            <w:tcW w:w="1776" w:type="dxa"/>
            <w:noWrap w:val="0"/>
            <w:vAlign w:val="center"/>
          </w:tcPr>
          <w:p w14:paraId="4F3E37A1">
            <w:pPr>
              <w:pStyle w:val="20"/>
              <w:jc w:val="center"/>
              <w:rPr>
                <w:rFonts w:ascii="Times New Roman" w:hAnsi="Times New Roman" w:cs="Times New Roman"/>
                <w:color w:val="000000"/>
              </w:rPr>
            </w:pPr>
            <w:r>
              <w:rPr>
                <w:rFonts w:ascii="Times New Roman" w:hAnsi="Times New Roman" w:cs="Times New Roman"/>
                <w:color w:val="000000"/>
              </w:rPr>
              <w:t>1.33</w:t>
            </w:r>
          </w:p>
        </w:tc>
      </w:tr>
      <w:tr w14:paraId="4642D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5" w:type="dxa"/>
            <w:noWrap w:val="0"/>
            <w:vAlign w:val="center"/>
          </w:tcPr>
          <w:p w14:paraId="53294455">
            <w:pPr>
              <w:pStyle w:val="20"/>
              <w:jc w:val="center"/>
              <w:rPr>
                <w:rFonts w:ascii="Times New Roman" w:hAnsi="Times New Roman" w:eastAsia="楷体_GB2312"/>
              </w:rPr>
            </w:pPr>
            <w:r>
              <w:rPr>
                <w:rFonts w:ascii="Times New Roman" w:hAnsi="Times New Roman" w:eastAsia="楷体_GB2312"/>
              </w:rPr>
              <w:t>16</w:t>
            </w:r>
          </w:p>
        </w:tc>
        <w:tc>
          <w:tcPr>
            <w:tcW w:w="1118" w:type="dxa"/>
            <w:noWrap w:val="0"/>
            <w:vAlign w:val="center"/>
          </w:tcPr>
          <w:p w14:paraId="11BAC7D6">
            <w:pPr>
              <w:pStyle w:val="20"/>
              <w:jc w:val="center"/>
              <w:rPr>
                <w:rFonts w:ascii="Times New Roman" w:hAnsi="Times New Roman" w:eastAsia="楷体_GB2312"/>
              </w:rPr>
            </w:pPr>
            <w:r>
              <w:rPr>
                <w:rFonts w:ascii="Times New Roman" w:hAnsi="Times New Roman" w:eastAsia="楷体_GB2312"/>
              </w:rPr>
              <w:t>永镇乡</w:t>
            </w:r>
          </w:p>
        </w:tc>
        <w:tc>
          <w:tcPr>
            <w:tcW w:w="850" w:type="dxa"/>
            <w:noWrap w:val="0"/>
            <w:vAlign w:val="center"/>
          </w:tcPr>
          <w:p w14:paraId="64A0DCF2">
            <w:pPr>
              <w:jc w:val="center"/>
              <w:rPr>
                <w:color w:val="000000"/>
                <w:szCs w:val="21"/>
              </w:rPr>
            </w:pPr>
            <w:r>
              <w:rPr>
                <w:color w:val="000000"/>
                <w:szCs w:val="21"/>
              </w:rPr>
              <w:t>0.29</w:t>
            </w:r>
          </w:p>
        </w:tc>
        <w:tc>
          <w:tcPr>
            <w:tcW w:w="851" w:type="dxa"/>
            <w:noWrap w:val="0"/>
            <w:vAlign w:val="center"/>
          </w:tcPr>
          <w:p w14:paraId="6546AC71">
            <w:pPr>
              <w:jc w:val="center"/>
              <w:rPr>
                <w:color w:val="000000"/>
                <w:szCs w:val="21"/>
              </w:rPr>
            </w:pPr>
            <w:r>
              <w:rPr>
                <w:color w:val="000000"/>
                <w:szCs w:val="21"/>
              </w:rPr>
              <w:t>21.02</w:t>
            </w:r>
          </w:p>
        </w:tc>
        <w:tc>
          <w:tcPr>
            <w:tcW w:w="850" w:type="dxa"/>
            <w:noWrap w:val="0"/>
            <w:vAlign w:val="center"/>
          </w:tcPr>
          <w:p w14:paraId="516E4F29">
            <w:pPr>
              <w:jc w:val="center"/>
              <w:rPr>
                <w:color w:val="000000"/>
                <w:szCs w:val="21"/>
              </w:rPr>
            </w:pPr>
            <w:r>
              <w:rPr>
                <w:color w:val="000000"/>
                <w:szCs w:val="21"/>
              </w:rPr>
              <w:t>0.59</w:t>
            </w:r>
          </w:p>
        </w:tc>
        <w:tc>
          <w:tcPr>
            <w:tcW w:w="992" w:type="dxa"/>
            <w:noWrap w:val="0"/>
            <w:vAlign w:val="center"/>
          </w:tcPr>
          <w:p w14:paraId="74F416E3">
            <w:pPr>
              <w:jc w:val="center"/>
              <w:rPr>
                <w:color w:val="000000"/>
                <w:szCs w:val="21"/>
              </w:rPr>
            </w:pPr>
            <w:r>
              <w:rPr>
                <w:color w:val="000000"/>
                <w:szCs w:val="21"/>
              </w:rPr>
              <w:t>42.75</w:t>
            </w:r>
          </w:p>
        </w:tc>
        <w:tc>
          <w:tcPr>
            <w:tcW w:w="1134" w:type="dxa"/>
            <w:noWrap w:val="0"/>
            <w:vAlign w:val="center"/>
          </w:tcPr>
          <w:p w14:paraId="01B4806F">
            <w:pPr>
              <w:jc w:val="center"/>
              <w:rPr>
                <w:color w:val="000000"/>
                <w:szCs w:val="21"/>
              </w:rPr>
            </w:pPr>
            <w:r>
              <w:rPr>
                <w:color w:val="000000"/>
                <w:szCs w:val="21"/>
              </w:rPr>
              <w:t>0.5</w:t>
            </w:r>
          </w:p>
        </w:tc>
        <w:tc>
          <w:tcPr>
            <w:tcW w:w="916" w:type="dxa"/>
            <w:noWrap w:val="0"/>
            <w:vAlign w:val="center"/>
          </w:tcPr>
          <w:p w14:paraId="7149F429">
            <w:pPr>
              <w:jc w:val="center"/>
              <w:rPr>
                <w:color w:val="000000"/>
                <w:szCs w:val="21"/>
              </w:rPr>
            </w:pPr>
            <w:r>
              <w:rPr>
                <w:color w:val="000000"/>
                <w:szCs w:val="21"/>
              </w:rPr>
              <w:t>36.23</w:t>
            </w:r>
          </w:p>
        </w:tc>
        <w:tc>
          <w:tcPr>
            <w:tcW w:w="1776" w:type="dxa"/>
            <w:noWrap w:val="0"/>
            <w:vAlign w:val="center"/>
          </w:tcPr>
          <w:p w14:paraId="7B9E0EBD">
            <w:pPr>
              <w:pStyle w:val="20"/>
              <w:jc w:val="center"/>
              <w:rPr>
                <w:rFonts w:ascii="Times New Roman" w:hAnsi="Times New Roman" w:cs="Times New Roman"/>
                <w:color w:val="000000"/>
              </w:rPr>
            </w:pPr>
            <w:r>
              <w:rPr>
                <w:rFonts w:ascii="Times New Roman" w:hAnsi="Times New Roman" w:cs="Times New Roman"/>
                <w:color w:val="000000"/>
              </w:rPr>
              <w:t>1.38</w:t>
            </w:r>
          </w:p>
        </w:tc>
      </w:tr>
      <w:tr w14:paraId="1AEB5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5" w:type="dxa"/>
            <w:noWrap w:val="0"/>
            <w:vAlign w:val="center"/>
          </w:tcPr>
          <w:p w14:paraId="0A23EB93">
            <w:pPr>
              <w:pStyle w:val="20"/>
              <w:jc w:val="center"/>
              <w:rPr>
                <w:rFonts w:ascii="Times New Roman" w:hAnsi="Times New Roman" w:eastAsia="楷体_GB2312"/>
              </w:rPr>
            </w:pPr>
            <w:r>
              <w:rPr>
                <w:rFonts w:ascii="Times New Roman" w:hAnsi="Times New Roman" w:eastAsia="楷体_GB2312"/>
              </w:rPr>
              <w:t>17</w:t>
            </w:r>
          </w:p>
        </w:tc>
        <w:tc>
          <w:tcPr>
            <w:tcW w:w="1118" w:type="dxa"/>
            <w:noWrap w:val="0"/>
            <w:vAlign w:val="center"/>
          </w:tcPr>
          <w:p w14:paraId="2E6C6AC6">
            <w:pPr>
              <w:pStyle w:val="20"/>
              <w:jc w:val="center"/>
              <w:rPr>
                <w:rFonts w:ascii="Times New Roman" w:hAnsi="Times New Roman" w:eastAsia="楷体_GB2312"/>
              </w:rPr>
            </w:pPr>
            <w:r>
              <w:rPr>
                <w:rFonts w:ascii="Times New Roman" w:hAnsi="Times New Roman" w:eastAsia="楷体_GB2312"/>
              </w:rPr>
              <w:t>解集镇</w:t>
            </w:r>
          </w:p>
        </w:tc>
        <w:tc>
          <w:tcPr>
            <w:tcW w:w="850" w:type="dxa"/>
            <w:noWrap w:val="0"/>
            <w:vAlign w:val="center"/>
          </w:tcPr>
          <w:p w14:paraId="32C27824">
            <w:pPr>
              <w:jc w:val="center"/>
              <w:rPr>
                <w:color w:val="000000"/>
                <w:szCs w:val="21"/>
              </w:rPr>
            </w:pPr>
            <w:r>
              <w:rPr>
                <w:color w:val="000000"/>
                <w:szCs w:val="21"/>
              </w:rPr>
              <w:t>0.14</w:t>
            </w:r>
          </w:p>
        </w:tc>
        <w:tc>
          <w:tcPr>
            <w:tcW w:w="851" w:type="dxa"/>
            <w:noWrap w:val="0"/>
            <w:vAlign w:val="center"/>
          </w:tcPr>
          <w:p w14:paraId="707EBAC6">
            <w:pPr>
              <w:jc w:val="center"/>
              <w:rPr>
                <w:color w:val="000000"/>
                <w:szCs w:val="21"/>
              </w:rPr>
            </w:pPr>
            <w:r>
              <w:rPr>
                <w:color w:val="000000"/>
                <w:szCs w:val="21"/>
              </w:rPr>
              <w:t>10.29</w:t>
            </w:r>
          </w:p>
        </w:tc>
        <w:tc>
          <w:tcPr>
            <w:tcW w:w="850" w:type="dxa"/>
            <w:noWrap w:val="0"/>
            <w:vAlign w:val="center"/>
          </w:tcPr>
          <w:p w14:paraId="2659BB45">
            <w:pPr>
              <w:jc w:val="center"/>
              <w:rPr>
                <w:color w:val="000000"/>
                <w:szCs w:val="21"/>
              </w:rPr>
            </w:pPr>
            <w:r>
              <w:rPr>
                <w:color w:val="000000"/>
                <w:szCs w:val="21"/>
              </w:rPr>
              <w:t>0.66</w:t>
            </w:r>
          </w:p>
        </w:tc>
        <w:tc>
          <w:tcPr>
            <w:tcW w:w="992" w:type="dxa"/>
            <w:noWrap w:val="0"/>
            <w:vAlign w:val="center"/>
          </w:tcPr>
          <w:p w14:paraId="6CBBFBEF">
            <w:pPr>
              <w:jc w:val="center"/>
              <w:rPr>
                <w:color w:val="000000"/>
                <w:szCs w:val="21"/>
              </w:rPr>
            </w:pPr>
            <w:r>
              <w:rPr>
                <w:color w:val="000000"/>
                <w:szCs w:val="21"/>
              </w:rPr>
              <w:t>48.53</w:t>
            </w:r>
          </w:p>
        </w:tc>
        <w:tc>
          <w:tcPr>
            <w:tcW w:w="1134" w:type="dxa"/>
            <w:noWrap w:val="0"/>
            <w:vAlign w:val="center"/>
          </w:tcPr>
          <w:p w14:paraId="4E20328C">
            <w:pPr>
              <w:jc w:val="center"/>
              <w:rPr>
                <w:color w:val="000000"/>
                <w:szCs w:val="21"/>
              </w:rPr>
            </w:pPr>
            <w:r>
              <w:rPr>
                <w:color w:val="000000"/>
                <w:szCs w:val="21"/>
              </w:rPr>
              <w:t>0.56</w:t>
            </w:r>
          </w:p>
        </w:tc>
        <w:tc>
          <w:tcPr>
            <w:tcW w:w="916" w:type="dxa"/>
            <w:noWrap w:val="0"/>
            <w:vAlign w:val="center"/>
          </w:tcPr>
          <w:p w14:paraId="062F8772">
            <w:pPr>
              <w:jc w:val="center"/>
              <w:rPr>
                <w:color w:val="000000"/>
                <w:szCs w:val="21"/>
              </w:rPr>
            </w:pPr>
            <w:r>
              <w:rPr>
                <w:color w:val="000000"/>
                <w:szCs w:val="21"/>
              </w:rPr>
              <w:t>41.18</w:t>
            </w:r>
          </w:p>
        </w:tc>
        <w:tc>
          <w:tcPr>
            <w:tcW w:w="1776" w:type="dxa"/>
            <w:noWrap w:val="0"/>
            <w:vAlign w:val="center"/>
          </w:tcPr>
          <w:p w14:paraId="1935BE22">
            <w:pPr>
              <w:pStyle w:val="20"/>
              <w:jc w:val="center"/>
              <w:rPr>
                <w:rFonts w:ascii="Times New Roman" w:hAnsi="Times New Roman" w:cs="Times New Roman"/>
                <w:color w:val="000000"/>
              </w:rPr>
            </w:pPr>
            <w:r>
              <w:rPr>
                <w:rFonts w:ascii="Times New Roman" w:hAnsi="Times New Roman" w:cs="Times New Roman"/>
                <w:color w:val="000000"/>
              </w:rPr>
              <w:t>1.36</w:t>
            </w:r>
          </w:p>
        </w:tc>
      </w:tr>
      <w:tr w14:paraId="1B7BB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5" w:type="dxa"/>
            <w:noWrap w:val="0"/>
            <w:vAlign w:val="center"/>
          </w:tcPr>
          <w:p w14:paraId="6ACCCE5C">
            <w:pPr>
              <w:pStyle w:val="20"/>
              <w:jc w:val="center"/>
              <w:rPr>
                <w:rFonts w:ascii="Times New Roman" w:hAnsi="Times New Roman" w:eastAsia="楷体_GB2312"/>
              </w:rPr>
            </w:pPr>
            <w:r>
              <w:rPr>
                <w:rFonts w:ascii="Times New Roman" w:hAnsi="Times New Roman" w:eastAsia="楷体_GB2312"/>
              </w:rPr>
              <w:t>18</w:t>
            </w:r>
          </w:p>
        </w:tc>
        <w:tc>
          <w:tcPr>
            <w:tcW w:w="1118" w:type="dxa"/>
            <w:noWrap w:val="0"/>
            <w:vAlign w:val="center"/>
          </w:tcPr>
          <w:p w14:paraId="0CEE3651">
            <w:pPr>
              <w:pStyle w:val="20"/>
              <w:jc w:val="center"/>
              <w:rPr>
                <w:rFonts w:ascii="Times New Roman" w:hAnsi="Times New Roman" w:eastAsia="楷体_GB2312"/>
              </w:rPr>
            </w:pPr>
            <w:r>
              <w:rPr>
                <w:rFonts w:ascii="Times New Roman" w:hAnsi="Times New Roman" w:eastAsia="楷体_GB2312"/>
              </w:rPr>
              <w:t>大泽乡镇</w:t>
            </w:r>
          </w:p>
        </w:tc>
        <w:tc>
          <w:tcPr>
            <w:tcW w:w="850" w:type="dxa"/>
            <w:noWrap w:val="0"/>
            <w:vAlign w:val="center"/>
          </w:tcPr>
          <w:p w14:paraId="1E3415E3">
            <w:pPr>
              <w:jc w:val="center"/>
              <w:rPr>
                <w:color w:val="000000"/>
                <w:szCs w:val="21"/>
              </w:rPr>
            </w:pPr>
            <w:r>
              <w:rPr>
                <w:color w:val="000000"/>
                <w:szCs w:val="21"/>
              </w:rPr>
              <w:t>0.24</w:t>
            </w:r>
          </w:p>
        </w:tc>
        <w:tc>
          <w:tcPr>
            <w:tcW w:w="851" w:type="dxa"/>
            <w:noWrap w:val="0"/>
            <w:vAlign w:val="center"/>
          </w:tcPr>
          <w:p w14:paraId="75893517">
            <w:pPr>
              <w:jc w:val="center"/>
              <w:rPr>
                <w:color w:val="000000"/>
                <w:szCs w:val="21"/>
              </w:rPr>
            </w:pPr>
            <w:r>
              <w:rPr>
                <w:color w:val="000000"/>
                <w:szCs w:val="21"/>
              </w:rPr>
              <w:t>9.13</w:t>
            </w:r>
          </w:p>
        </w:tc>
        <w:tc>
          <w:tcPr>
            <w:tcW w:w="850" w:type="dxa"/>
            <w:noWrap w:val="0"/>
            <w:vAlign w:val="center"/>
          </w:tcPr>
          <w:p w14:paraId="4FFE4B43">
            <w:pPr>
              <w:jc w:val="center"/>
              <w:rPr>
                <w:color w:val="000000"/>
                <w:szCs w:val="21"/>
              </w:rPr>
            </w:pPr>
            <w:r>
              <w:rPr>
                <w:color w:val="000000"/>
                <w:szCs w:val="21"/>
              </w:rPr>
              <w:t>1.18</w:t>
            </w:r>
          </w:p>
        </w:tc>
        <w:tc>
          <w:tcPr>
            <w:tcW w:w="992" w:type="dxa"/>
            <w:noWrap w:val="0"/>
            <w:vAlign w:val="center"/>
          </w:tcPr>
          <w:p w14:paraId="511F7276">
            <w:pPr>
              <w:jc w:val="center"/>
              <w:rPr>
                <w:color w:val="000000"/>
                <w:szCs w:val="21"/>
              </w:rPr>
            </w:pPr>
            <w:r>
              <w:rPr>
                <w:color w:val="000000"/>
                <w:szCs w:val="21"/>
              </w:rPr>
              <w:t>44.86</w:t>
            </w:r>
          </w:p>
        </w:tc>
        <w:tc>
          <w:tcPr>
            <w:tcW w:w="1134" w:type="dxa"/>
            <w:noWrap w:val="0"/>
            <w:vAlign w:val="center"/>
          </w:tcPr>
          <w:p w14:paraId="20DF978E">
            <w:pPr>
              <w:jc w:val="center"/>
              <w:rPr>
                <w:color w:val="000000"/>
                <w:szCs w:val="21"/>
              </w:rPr>
            </w:pPr>
            <w:r>
              <w:rPr>
                <w:color w:val="000000"/>
                <w:szCs w:val="21"/>
              </w:rPr>
              <w:t>1.21</w:t>
            </w:r>
          </w:p>
        </w:tc>
        <w:tc>
          <w:tcPr>
            <w:tcW w:w="916" w:type="dxa"/>
            <w:noWrap w:val="0"/>
            <w:vAlign w:val="center"/>
          </w:tcPr>
          <w:p w14:paraId="4195F380">
            <w:pPr>
              <w:jc w:val="center"/>
              <w:rPr>
                <w:color w:val="000000"/>
                <w:szCs w:val="21"/>
              </w:rPr>
            </w:pPr>
            <w:r>
              <w:rPr>
                <w:color w:val="000000"/>
                <w:szCs w:val="21"/>
              </w:rPr>
              <w:t>46.01</w:t>
            </w:r>
          </w:p>
        </w:tc>
        <w:tc>
          <w:tcPr>
            <w:tcW w:w="1776" w:type="dxa"/>
            <w:noWrap w:val="0"/>
            <w:vAlign w:val="center"/>
          </w:tcPr>
          <w:p w14:paraId="193133E7">
            <w:pPr>
              <w:pStyle w:val="20"/>
              <w:jc w:val="center"/>
              <w:rPr>
                <w:rFonts w:ascii="Times New Roman" w:hAnsi="Times New Roman" w:cs="Times New Roman"/>
                <w:color w:val="000000"/>
              </w:rPr>
            </w:pPr>
            <w:r>
              <w:rPr>
                <w:rFonts w:ascii="Times New Roman" w:hAnsi="Times New Roman" w:cs="Times New Roman"/>
                <w:color w:val="000000"/>
              </w:rPr>
              <w:t>2.63</w:t>
            </w:r>
          </w:p>
        </w:tc>
      </w:tr>
      <w:tr w14:paraId="2430C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5" w:type="dxa"/>
            <w:noWrap w:val="0"/>
            <w:vAlign w:val="center"/>
          </w:tcPr>
          <w:p w14:paraId="4E9BC973">
            <w:pPr>
              <w:pStyle w:val="20"/>
              <w:jc w:val="center"/>
              <w:rPr>
                <w:rFonts w:ascii="Times New Roman" w:hAnsi="Times New Roman" w:eastAsia="楷体_GB2312"/>
              </w:rPr>
            </w:pPr>
            <w:r>
              <w:rPr>
                <w:rFonts w:ascii="Times New Roman" w:hAnsi="Times New Roman" w:eastAsia="楷体_GB2312"/>
              </w:rPr>
              <w:t>19</w:t>
            </w:r>
          </w:p>
        </w:tc>
        <w:tc>
          <w:tcPr>
            <w:tcW w:w="1118" w:type="dxa"/>
            <w:noWrap w:val="0"/>
            <w:vAlign w:val="center"/>
          </w:tcPr>
          <w:p w14:paraId="32ED0706">
            <w:pPr>
              <w:pStyle w:val="20"/>
              <w:jc w:val="center"/>
              <w:rPr>
                <w:rFonts w:ascii="Times New Roman" w:hAnsi="Times New Roman" w:eastAsia="楷体_GB2312"/>
              </w:rPr>
            </w:pPr>
            <w:r>
              <w:rPr>
                <w:rFonts w:ascii="Times New Roman" w:hAnsi="Times New Roman" w:eastAsia="楷体_GB2312"/>
              </w:rPr>
              <w:t>永安镇</w:t>
            </w:r>
          </w:p>
        </w:tc>
        <w:tc>
          <w:tcPr>
            <w:tcW w:w="850" w:type="dxa"/>
            <w:noWrap w:val="0"/>
            <w:vAlign w:val="center"/>
          </w:tcPr>
          <w:p w14:paraId="1CBEB852">
            <w:pPr>
              <w:jc w:val="center"/>
              <w:rPr>
                <w:color w:val="000000"/>
                <w:szCs w:val="21"/>
              </w:rPr>
            </w:pPr>
            <w:r>
              <w:rPr>
                <w:color w:val="000000"/>
                <w:szCs w:val="21"/>
              </w:rPr>
              <w:t>0.36</w:t>
            </w:r>
          </w:p>
        </w:tc>
        <w:tc>
          <w:tcPr>
            <w:tcW w:w="851" w:type="dxa"/>
            <w:noWrap w:val="0"/>
            <w:vAlign w:val="center"/>
          </w:tcPr>
          <w:p w14:paraId="7961E67D">
            <w:pPr>
              <w:jc w:val="center"/>
              <w:rPr>
                <w:color w:val="000000"/>
                <w:szCs w:val="21"/>
              </w:rPr>
            </w:pPr>
            <w:r>
              <w:rPr>
                <w:color w:val="000000"/>
                <w:szCs w:val="21"/>
              </w:rPr>
              <w:t>13.53</w:t>
            </w:r>
          </w:p>
        </w:tc>
        <w:tc>
          <w:tcPr>
            <w:tcW w:w="850" w:type="dxa"/>
            <w:noWrap w:val="0"/>
            <w:vAlign w:val="center"/>
          </w:tcPr>
          <w:p w14:paraId="5054F6C7">
            <w:pPr>
              <w:jc w:val="center"/>
              <w:rPr>
                <w:color w:val="000000"/>
                <w:szCs w:val="21"/>
              </w:rPr>
            </w:pPr>
            <w:r>
              <w:rPr>
                <w:color w:val="000000"/>
                <w:szCs w:val="21"/>
              </w:rPr>
              <w:t>1.02</w:t>
            </w:r>
          </w:p>
        </w:tc>
        <w:tc>
          <w:tcPr>
            <w:tcW w:w="992" w:type="dxa"/>
            <w:noWrap w:val="0"/>
            <w:vAlign w:val="center"/>
          </w:tcPr>
          <w:p w14:paraId="0ABB6A38">
            <w:pPr>
              <w:jc w:val="center"/>
              <w:rPr>
                <w:color w:val="000000"/>
                <w:szCs w:val="21"/>
              </w:rPr>
            </w:pPr>
            <w:r>
              <w:rPr>
                <w:color w:val="000000"/>
                <w:szCs w:val="21"/>
              </w:rPr>
              <w:t>38.35</w:t>
            </w:r>
          </w:p>
        </w:tc>
        <w:tc>
          <w:tcPr>
            <w:tcW w:w="1134" w:type="dxa"/>
            <w:noWrap w:val="0"/>
            <w:vAlign w:val="center"/>
          </w:tcPr>
          <w:p w14:paraId="1FD09EF5">
            <w:pPr>
              <w:jc w:val="center"/>
              <w:rPr>
                <w:color w:val="000000"/>
                <w:szCs w:val="21"/>
              </w:rPr>
            </w:pPr>
            <w:r>
              <w:rPr>
                <w:color w:val="000000"/>
                <w:szCs w:val="21"/>
              </w:rPr>
              <w:t>1.28</w:t>
            </w:r>
          </w:p>
        </w:tc>
        <w:tc>
          <w:tcPr>
            <w:tcW w:w="916" w:type="dxa"/>
            <w:noWrap w:val="0"/>
            <w:vAlign w:val="center"/>
          </w:tcPr>
          <w:p w14:paraId="75D495EF">
            <w:pPr>
              <w:jc w:val="center"/>
              <w:rPr>
                <w:color w:val="000000"/>
                <w:szCs w:val="21"/>
              </w:rPr>
            </w:pPr>
            <w:r>
              <w:rPr>
                <w:color w:val="000000"/>
                <w:szCs w:val="21"/>
              </w:rPr>
              <w:t>48.12</w:t>
            </w:r>
          </w:p>
        </w:tc>
        <w:tc>
          <w:tcPr>
            <w:tcW w:w="1776" w:type="dxa"/>
            <w:noWrap w:val="0"/>
            <w:vAlign w:val="center"/>
          </w:tcPr>
          <w:p w14:paraId="732567FA">
            <w:pPr>
              <w:pStyle w:val="20"/>
              <w:jc w:val="center"/>
              <w:rPr>
                <w:rFonts w:ascii="Times New Roman" w:hAnsi="Times New Roman" w:cs="Times New Roman"/>
                <w:color w:val="000000"/>
              </w:rPr>
            </w:pPr>
            <w:r>
              <w:rPr>
                <w:rFonts w:ascii="Times New Roman" w:hAnsi="Times New Roman" w:cs="Times New Roman"/>
                <w:color w:val="000000"/>
              </w:rPr>
              <w:t>2.66</w:t>
            </w:r>
          </w:p>
        </w:tc>
      </w:tr>
      <w:tr w14:paraId="323E8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5" w:type="dxa"/>
            <w:noWrap w:val="0"/>
            <w:vAlign w:val="center"/>
          </w:tcPr>
          <w:p w14:paraId="6C9CD2AE">
            <w:pPr>
              <w:pStyle w:val="20"/>
              <w:jc w:val="center"/>
              <w:rPr>
                <w:rFonts w:ascii="Times New Roman" w:hAnsi="Times New Roman" w:eastAsia="楷体_GB2312"/>
              </w:rPr>
            </w:pPr>
            <w:r>
              <w:rPr>
                <w:rFonts w:ascii="Times New Roman" w:hAnsi="Times New Roman" w:eastAsia="楷体_GB2312"/>
              </w:rPr>
              <w:t>20</w:t>
            </w:r>
          </w:p>
        </w:tc>
        <w:tc>
          <w:tcPr>
            <w:tcW w:w="1118" w:type="dxa"/>
            <w:noWrap w:val="0"/>
            <w:vAlign w:val="center"/>
          </w:tcPr>
          <w:p w14:paraId="42B6A476">
            <w:pPr>
              <w:pStyle w:val="20"/>
              <w:jc w:val="center"/>
              <w:rPr>
                <w:rFonts w:ascii="Times New Roman" w:hAnsi="Times New Roman" w:eastAsia="楷体_GB2312"/>
              </w:rPr>
            </w:pPr>
            <w:r>
              <w:rPr>
                <w:rFonts w:ascii="Times New Roman" w:hAnsi="Times New Roman" w:eastAsia="楷体_GB2312"/>
              </w:rPr>
              <w:t>支河乡</w:t>
            </w:r>
          </w:p>
        </w:tc>
        <w:tc>
          <w:tcPr>
            <w:tcW w:w="850" w:type="dxa"/>
            <w:noWrap w:val="0"/>
            <w:vAlign w:val="center"/>
          </w:tcPr>
          <w:p w14:paraId="25EB753C">
            <w:pPr>
              <w:jc w:val="center"/>
              <w:rPr>
                <w:color w:val="000000"/>
                <w:szCs w:val="21"/>
              </w:rPr>
            </w:pPr>
            <w:r>
              <w:rPr>
                <w:color w:val="000000"/>
                <w:szCs w:val="21"/>
              </w:rPr>
              <w:t>0.27</w:t>
            </w:r>
          </w:p>
        </w:tc>
        <w:tc>
          <w:tcPr>
            <w:tcW w:w="851" w:type="dxa"/>
            <w:noWrap w:val="0"/>
            <w:vAlign w:val="center"/>
          </w:tcPr>
          <w:p w14:paraId="0B0CCB2A">
            <w:pPr>
              <w:jc w:val="center"/>
              <w:rPr>
                <w:color w:val="000000"/>
                <w:szCs w:val="21"/>
              </w:rPr>
            </w:pPr>
            <w:r>
              <w:rPr>
                <w:color w:val="000000"/>
                <w:szCs w:val="21"/>
              </w:rPr>
              <w:t>15.7</w:t>
            </w:r>
          </w:p>
        </w:tc>
        <w:tc>
          <w:tcPr>
            <w:tcW w:w="850" w:type="dxa"/>
            <w:noWrap w:val="0"/>
            <w:vAlign w:val="center"/>
          </w:tcPr>
          <w:p w14:paraId="1DE7F373">
            <w:pPr>
              <w:jc w:val="center"/>
              <w:rPr>
                <w:color w:val="000000"/>
                <w:szCs w:val="21"/>
              </w:rPr>
            </w:pPr>
            <w:r>
              <w:rPr>
                <w:color w:val="000000"/>
                <w:szCs w:val="21"/>
              </w:rPr>
              <w:t>0.75</w:t>
            </w:r>
          </w:p>
        </w:tc>
        <w:tc>
          <w:tcPr>
            <w:tcW w:w="992" w:type="dxa"/>
            <w:noWrap w:val="0"/>
            <w:vAlign w:val="center"/>
          </w:tcPr>
          <w:p w14:paraId="4B0994F5">
            <w:pPr>
              <w:jc w:val="center"/>
              <w:rPr>
                <w:color w:val="000000"/>
                <w:szCs w:val="21"/>
              </w:rPr>
            </w:pPr>
            <w:r>
              <w:rPr>
                <w:color w:val="000000"/>
                <w:szCs w:val="21"/>
              </w:rPr>
              <w:t>43.6</w:t>
            </w:r>
          </w:p>
        </w:tc>
        <w:tc>
          <w:tcPr>
            <w:tcW w:w="1134" w:type="dxa"/>
            <w:noWrap w:val="0"/>
            <w:vAlign w:val="center"/>
          </w:tcPr>
          <w:p w14:paraId="3C26413A">
            <w:pPr>
              <w:jc w:val="center"/>
              <w:rPr>
                <w:color w:val="000000"/>
                <w:szCs w:val="21"/>
              </w:rPr>
            </w:pPr>
            <w:r>
              <w:rPr>
                <w:color w:val="000000"/>
                <w:szCs w:val="21"/>
              </w:rPr>
              <w:t>0.7</w:t>
            </w:r>
          </w:p>
        </w:tc>
        <w:tc>
          <w:tcPr>
            <w:tcW w:w="916" w:type="dxa"/>
            <w:noWrap w:val="0"/>
            <w:vAlign w:val="center"/>
          </w:tcPr>
          <w:p w14:paraId="246872C3">
            <w:pPr>
              <w:jc w:val="center"/>
              <w:rPr>
                <w:color w:val="000000"/>
                <w:szCs w:val="21"/>
              </w:rPr>
            </w:pPr>
            <w:r>
              <w:rPr>
                <w:color w:val="000000"/>
                <w:szCs w:val="21"/>
              </w:rPr>
              <w:t>40.7</w:t>
            </w:r>
          </w:p>
        </w:tc>
        <w:tc>
          <w:tcPr>
            <w:tcW w:w="1776" w:type="dxa"/>
            <w:noWrap w:val="0"/>
            <w:vAlign w:val="center"/>
          </w:tcPr>
          <w:p w14:paraId="22811199">
            <w:pPr>
              <w:pStyle w:val="20"/>
              <w:jc w:val="center"/>
              <w:rPr>
                <w:rFonts w:ascii="Times New Roman" w:hAnsi="Times New Roman" w:cs="Times New Roman"/>
                <w:color w:val="000000"/>
              </w:rPr>
            </w:pPr>
            <w:r>
              <w:rPr>
                <w:rFonts w:ascii="Times New Roman" w:hAnsi="Times New Roman" w:cs="Times New Roman"/>
                <w:color w:val="000000"/>
              </w:rPr>
              <w:t>1.72</w:t>
            </w:r>
          </w:p>
        </w:tc>
      </w:tr>
      <w:tr w14:paraId="2D055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5" w:type="dxa"/>
            <w:noWrap w:val="0"/>
            <w:vAlign w:val="center"/>
          </w:tcPr>
          <w:p w14:paraId="5930212D">
            <w:pPr>
              <w:pStyle w:val="20"/>
              <w:jc w:val="center"/>
              <w:rPr>
                <w:rFonts w:ascii="Times New Roman" w:hAnsi="Times New Roman" w:eastAsia="楷体_GB2312"/>
              </w:rPr>
            </w:pPr>
            <w:r>
              <w:rPr>
                <w:rFonts w:ascii="Times New Roman" w:hAnsi="Times New Roman" w:eastAsia="楷体_GB2312"/>
              </w:rPr>
              <w:t>21</w:t>
            </w:r>
          </w:p>
        </w:tc>
        <w:tc>
          <w:tcPr>
            <w:tcW w:w="1118" w:type="dxa"/>
            <w:noWrap w:val="0"/>
            <w:vAlign w:val="center"/>
          </w:tcPr>
          <w:p w14:paraId="3D6FD2BD">
            <w:pPr>
              <w:pStyle w:val="20"/>
              <w:jc w:val="center"/>
              <w:rPr>
                <w:rFonts w:ascii="Times New Roman" w:hAnsi="Times New Roman" w:eastAsia="楷体_GB2312"/>
              </w:rPr>
            </w:pPr>
            <w:r>
              <w:rPr>
                <w:rFonts w:ascii="Times New Roman" w:hAnsi="Times New Roman" w:eastAsia="楷体_GB2312"/>
              </w:rPr>
              <w:t>灰古镇</w:t>
            </w:r>
          </w:p>
        </w:tc>
        <w:tc>
          <w:tcPr>
            <w:tcW w:w="850" w:type="dxa"/>
            <w:noWrap w:val="0"/>
            <w:vAlign w:val="center"/>
          </w:tcPr>
          <w:p w14:paraId="6AF9B85B">
            <w:pPr>
              <w:jc w:val="center"/>
              <w:rPr>
                <w:color w:val="000000"/>
                <w:szCs w:val="21"/>
              </w:rPr>
            </w:pPr>
            <w:r>
              <w:rPr>
                <w:color w:val="000000"/>
                <w:szCs w:val="21"/>
              </w:rPr>
              <w:t>0.09</w:t>
            </w:r>
          </w:p>
        </w:tc>
        <w:tc>
          <w:tcPr>
            <w:tcW w:w="851" w:type="dxa"/>
            <w:noWrap w:val="0"/>
            <w:vAlign w:val="center"/>
          </w:tcPr>
          <w:p w14:paraId="3D3CF83B">
            <w:pPr>
              <w:jc w:val="center"/>
              <w:rPr>
                <w:color w:val="000000"/>
                <w:szCs w:val="21"/>
              </w:rPr>
            </w:pPr>
            <w:r>
              <w:rPr>
                <w:color w:val="000000"/>
                <w:szCs w:val="21"/>
              </w:rPr>
              <w:t>6.34</w:t>
            </w:r>
          </w:p>
        </w:tc>
        <w:tc>
          <w:tcPr>
            <w:tcW w:w="850" w:type="dxa"/>
            <w:noWrap w:val="0"/>
            <w:vAlign w:val="center"/>
          </w:tcPr>
          <w:p w14:paraId="6D1CAB52">
            <w:pPr>
              <w:jc w:val="center"/>
              <w:rPr>
                <w:color w:val="000000"/>
                <w:szCs w:val="21"/>
              </w:rPr>
            </w:pPr>
            <w:r>
              <w:rPr>
                <w:color w:val="000000"/>
                <w:szCs w:val="21"/>
              </w:rPr>
              <w:t>0.34</w:t>
            </w:r>
          </w:p>
        </w:tc>
        <w:tc>
          <w:tcPr>
            <w:tcW w:w="992" w:type="dxa"/>
            <w:noWrap w:val="0"/>
            <w:vAlign w:val="center"/>
          </w:tcPr>
          <w:p w14:paraId="4460E84E">
            <w:pPr>
              <w:jc w:val="center"/>
              <w:rPr>
                <w:color w:val="000000"/>
                <w:szCs w:val="21"/>
              </w:rPr>
            </w:pPr>
            <w:r>
              <w:rPr>
                <w:color w:val="000000"/>
                <w:szCs w:val="21"/>
              </w:rPr>
              <w:t>23.94</w:t>
            </w:r>
          </w:p>
        </w:tc>
        <w:tc>
          <w:tcPr>
            <w:tcW w:w="1134" w:type="dxa"/>
            <w:noWrap w:val="0"/>
            <w:vAlign w:val="center"/>
          </w:tcPr>
          <w:p w14:paraId="2D77989B">
            <w:pPr>
              <w:jc w:val="center"/>
              <w:rPr>
                <w:color w:val="000000"/>
                <w:szCs w:val="21"/>
              </w:rPr>
            </w:pPr>
            <w:r>
              <w:rPr>
                <w:color w:val="000000"/>
                <w:szCs w:val="21"/>
              </w:rPr>
              <w:t>0.99</w:t>
            </w:r>
          </w:p>
        </w:tc>
        <w:tc>
          <w:tcPr>
            <w:tcW w:w="916" w:type="dxa"/>
            <w:noWrap w:val="0"/>
            <w:vAlign w:val="center"/>
          </w:tcPr>
          <w:p w14:paraId="6CBBE09C">
            <w:pPr>
              <w:jc w:val="center"/>
              <w:rPr>
                <w:color w:val="000000"/>
                <w:szCs w:val="21"/>
              </w:rPr>
            </w:pPr>
            <w:r>
              <w:rPr>
                <w:color w:val="000000"/>
                <w:szCs w:val="21"/>
              </w:rPr>
              <w:t>69.72</w:t>
            </w:r>
          </w:p>
        </w:tc>
        <w:tc>
          <w:tcPr>
            <w:tcW w:w="1776" w:type="dxa"/>
            <w:noWrap w:val="0"/>
            <w:vAlign w:val="center"/>
          </w:tcPr>
          <w:p w14:paraId="2A44DA00">
            <w:pPr>
              <w:pStyle w:val="20"/>
              <w:jc w:val="center"/>
              <w:rPr>
                <w:rFonts w:ascii="Times New Roman" w:hAnsi="Times New Roman" w:cs="Times New Roman"/>
                <w:color w:val="000000"/>
              </w:rPr>
            </w:pPr>
            <w:r>
              <w:rPr>
                <w:rFonts w:ascii="Times New Roman" w:hAnsi="Times New Roman" w:cs="Times New Roman"/>
                <w:color w:val="000000"/>
              </w:rPr>
              <w:t>1.42</w:t>
            </w:r>
          </w:p>
        </w:tc>
      </w:tr>
      <w:tr w14:paraId="74117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585" w:type="dxa"/>
            <w:noWrap w:val="0"/>
            <w:vAlign w:val="center"/>
          </w:tcPr>
          <w:p w14:paraId="39634CB9">
            <w:pPr>
              <w:pStyle w:val="20"/>
              <w:jc w:val="center"/>
              <w:rPr>
                <w:rFonts w:ascii="Times New Roman" w:hAnsi="Times New Roman" w:eastAsia="楷体_GB2312"/>
              </w:rPr>
            </w:pPr>
            <w:r>
              <w:rPr>
                <w:rFonts w:ascii="Times New Roman" w:hAnsi="Times New Roman" w:eastAsia="楷体_GB2312"/>
              </w:rPr>
              <w:t>22</w:t>
            </w:r>
          </w:p>
        </w:tc>
        <w:tc>
          <w:tcPr>
            <w:tcW w:w="1118" w:type="dxa"/>
            <w:noWrap w:val="0"/>
            <w:vAlign w:val="center"/>
          </w:tcPr>
          <w:p w14:paraId="409A67E0">
            <w:pPr>
              <w:pStyle w:val="20"/>
              <w:jc w:val="center"/>
              <w:rPr>
                <w:rFonts w:ascii="Times New Roman" w:hAnsi="Times New Roman" w:eastAsia="楷体_GB2312"/>
              </w:rPr>
            </w:pPr>
            <w:r>
              <w:rPr>
                <w:rFonts w:ascii="Times New Roman" w:hAnsi="Times New Roman" w:eastAsia="楷体_GB2312"/>
              </w:rPr>
              <w:t>桃沟乡</w:t>
            </w:r>
          </w:p>
        </w:tc>
        <w:tc>
          <w:tcPr>
            <w:tcW w:w="850" w:type="dxa"/>
            <w:noWrap w:val="0"/>
            <w:vAlign w:val="center"/>
          </w:tcPr>
          <w:p w14:paraId="412D914D">
            <w:pPr>
              <w:jc w:val="center"/>
              <w:rPr>
                <w:color w:val="000000"/>
                <w:szCs w:val="21"/>
              </w:rPr>
            </w:pPr>
            <w:r>
              <w:rPr>
                <w:color w:val="000000"/>
                <w:szCs w:val="21"/>
              </w:rPr>
              <w:t>0.05</w:t>
            </w:r>
          </w:p>
        </w:tc>
        <w:tc>
          <w:tcPr>
            <w:tcW w:w="851" w:type="dxa"/>
            <w:noWrap w:val="0"/>
            <w:vAlign w:val="center"/>
          </w:tcPr>
          <w:p w14:paraId="085A1ED3">
            <w:pPr>
              <w:jc w:val="center"/>
              <w:rPr>
                <w:color w:val="000000"/>
                <w:szCs w:val="21"/>
              </w:rPr>
            </w:pPr>
            <w:r>
              <w:rPr>
                <w:color w:val="000000"/>
                <w:szCs w:val="21"/>
              </w:rPr>
              <w:t>4.2</w:t>
            </w:r>
          </w:p>
        </w:tc>
        <w:tc>
          <w:tcPr>
            <w:tcW w:w="850" w:type="dxa"/>
            <w:noWrap w:val="0"/>
            <w:vAlign w:val="center"/>
          </w:tcPr>
          <w:p w14:paraId="0699249D">
            <w:pPr>
              <w:jc w:val="center"/>
              <w:rPr>
                <w:color w:val="000000"/>
                <w:szCs w:val="21"/>
              </w:rPr>
            </w:pPr>
            <w:r>
              <w:rPr>
                <w:color w:val="000000"/>
                <w:szCs w:val="21"/>
              </w:rPr>
              <w:t>0.51</w:t>
            </w:r>
          </w:p>
        </w:tc>
        <w:tc>
          <w:tcPr>
            <w:tcW w:w="992" w:type="dxa"/>
            <w:noWrap w:val="0"/>
            <w:vAlign w:val="center"/>
          </w:tcPr>
          <w:p w14:paraId="6AB858E0">
            <w:pPr>
              <w:jc w:val="center"/>
              <w:rPr>
                <w:color w:val="000000"/>
                <w:szCs w:val="21"/>
              </w:rPr>
            </w:pPr>
            <w:r>
              <w:rPr>
                <w:color w:val="000000"/>
                <w:szCs w:val="21"/>
              </w:rPr>
              <w:t>42.86</w:t>
            </w:r>
          </w:p>
        </w:tc>
        <w:tc>
          <w:tcPr>
            <w:tcW w:w="1134" w:type="dxa"/>
            <w:noWrap w:val="0"/>
            <w:vAlign w:val="center"/>
          </w:tcPr>
          <w:p w14:paraId="1B78983B">
            <w:pPr>
              <w:jc w:val="center"/>
              <w:rPr>
                <w:color w:val="000000"/>
                <w:szCs w:val="21"/>
              </w:rPr>
            </w:pPr>
            <w:r>
              <w:rPr>
                <w:color w:val="000000"/>
                <w:szCs w:val="21"/>
              </w:rPr>
              <w:t>0.63</w:t>
            </w:r>
          </w:p>
        </w:tc>
        <w:tc>
          <w:tcPr>
            <w:tcW w:w="916" w:type="dxa"/>
            <w:noWrap w:val="0"/>
            <w:vAlign w:val="center"/>
          </w:tcPr>
          <w:p w14:paraId="327802BE">
            <w:pPr>
              <w:jc w:val="center"/>
              <w:rPr>
                <w:color w:val="000000"/>
                <w:szCs w:val="21"/>
              </w:rPr>
            </w:pPr>
            <w:r>
              <w:rPr>
                <w:color w:val="000000"/>
                <w:szCs w:val="21"/>
              </w:rPr>
              <w:t>52.94</w:t>
            </w:r>
          </w:p>
        </w:tc>
        <w:tc>
          <w:tcPr>
            <w:tcW w:w="1776" w:type="dxa"/>
            <w:noWrap w:val="0"/>
            <w:vAlign w:val="center"/>
          </w:tcPr>
          <w:p w14:paraId="204D6981">
            <w:pPr>
              <w:pStyle w:val="20"/>
              <w:jc w:val="center"/>
              <w:rPr>
                <w:rFonts w:ascii="Times New Roman" w:hAnsi="Times New Roman" w:cs="Times New Roman"/>
                <w:color w:val="000000"/>
              </w:rPr>
            </w:pPr>
            <w:r>
              <w:rPr>
                <w:rFonts w:ascii="Times New Roman" w:hAnsi="Times New Roman" w:cs="Times New Roman"/>
                <w:color w:val="000000"/>
              </w:rPr>
              <w:t>1.19</w:t>
            </w:r>
          </w:p>
        </w:tc>
      </w:tr>
    </w:tbl>
    <w:p w14:paraId="32DCC698">
      <w:pPr>
        <w:rPr>
          <w:rFonts w:hint="eastAsia"/>
        </w:rPr>
      </w:pPr>
    </w:p>
    <w:p w14:paraId="2587C4E4">
      <w:pPr>
        <w:pStyle w:val="4"/>
        <w:numPr>
          <w:ilvl w:val="0"/>
          <w:numId w:val="0"/>
        </w:numPr>
        <w:spacing w:line="240" w:lineRule="auto"/>
        <w:jc w:val="center"/>
        <w:rPr>
          <w:rFonts w:eastAsia="仿宋_GB2312"/>
          <w:bCs w:val="0"/>
        </w:rPr>
      </w:pPr>
      <w:bookmarkStart w:id="57" w:name="_Toc62563671"/>
      <w:r>
        <w:rPr>
          <w:rFonts w:eastAsia="仿宋_GB2312"/>
          <w:bCs w:val="0"/>
        </w:rPr>
        <w:t>第二节  土地级别落界及土地级别分布范围描述</w:t>
      </w:r>
      <w:bookmarkEnd w:id="57"/>
    </w:p>
    <w:p w14:paraId="2FEF26CA">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一、土地级别界线落界</w:t>
      </w:r>
    </w:p>
    <w:p w14:paraId="4242A844">
      <w:pPr>
        <w:spacing w:line="480" w:lineRule="exact"/>
        <w:ind w:firstLine="560" w:firstLineChars="200"/>
        <w:rPr>
          <w:rFonts w:eastAsia="楷体_GB2312"/>
          <w:sz w:val="28"/>
        </w:rPr>
      </w:pPr>
      <w:r>
        <w:rPr>
          <w:rFonts w:eastAsia="楷体_GB2312"/>
          <w:sz w:val="28"/>
        </w:rPr>
        <w:t>根据确定后的</w:t>
      </w:r>
      <w:r>
        <w:rPr>
          <w:rFonts w:eastAsia="楷体_GB2312"/>
          <w:kern w:val="0"/>
          <w:sz w:val="28"/>
        </w:rPr>
        <w:t>各乡镇镇区</w:t>
      </w:r>
      <w:r>
        <w:rPr>
          <w:rFonts w:eastAsia="楷体_GB2312"/>
          <w:sz w:val="28"/>
        </w:rPr>
        <w:t>土地级别图，对比分析土地级别界线两侧土地利用状况，并参照估价样点分布状况及样点地价的同一性与差异性，遵循以下几个原则，将土地级别界线落实到宗地边界。</w:t>
      </w:r>
    </w:p>
    <w:p w14:paraId="1B42093C">
      <w:pPr>
        <w:spacing w:line="480" w:lineRule="exact"/>
        <w:ind w:firstLine="562" w:firstLineChars="200"/>
        <w:rPr>
          <w:rFonts w:eastAsia="楷体_GB2312"/>
          <w:b/>
          <w:sz w:val="28"/>
        </w:rPr>
      </w:pPr>
      <w:r>
        <w:rPr>
          <w:rFonts w:eastAsia="楷体_GB2312"/>
          <w:b/>
          <w:sz w:val="28"/>
        </w:rPr>
        <w:t>1、区域因素的差异性</w:t>
      </w:r>
    </w:p>
    <w:p w14:paraId="5F85678F">
      <w:pPr>
        <w:spacing w:line="480" w:lineRule="exact"/>
        <w:ind w:firstLine="560" w:firstLineChars="200"/>
        <w:rPr>
          <w:rFonts w:eastAsia="楷体_GB2312"/>
          <w:sz w:val="28"/>
        </w:rPr>
      </w:pPr>
      <w:r>
        <w:rPr>
          <w:rFonts w:eastAsia="楷体_GB2312"/>
          <w:sz w:val="28"/>
        </w:rPr>
        <w:t>区域因素状况是镇区土地级别划分的基础，在进行土地级别界线落界时，应保证土地级别界线两侧具有明显的差异。</w:t>
      </w:r>
    </w:p>
    <w:p w14:paraId="2C7A7C48">
      <w:pPr>
        <w:spacing w:line="480" w:lineRule="exact"/>
        <w:ind w:firstLine="562" w:firstLineChars="200"/>
        <w:rPr>
          <w:rFonts w:eastAsia="楷体_GB2312"/>
          <w:b/>
          <w:sz w:val="28"/>
        </w:rPr>
      </w:pPr>
      <w:r>
        <w:rPr>
          <w:rFonts w:eastAsia="楷体_GB2312"/>
          <w:b/>
          <w:sz w:val="28"/>
        </w:rPr>
        <w:t>2、土地利用强度的差异性</w:t>
      </w:r>
    </w:p>
    <w:p w14:paraId="2AA895DA">
      <w:pPr>
        <w:spacing w:line="480" w:lineRule="exact"/>
        <w:ind w:firstLine="560" w:firstLineChars="200"/>
        <w:rPr>
          <w:rFonts w:eastAsia="楷体_GB2312"/>
          <w:sz w:val="28"/>
        </w:rPr>
      </w:pPr>
      <w:r>
        <w:rPr>
          <w:rFonts w:eastAsia="楷体_GB2312"/>
          <w:sz w:val="28"/>
        </w:rPr>
        <w:t>镇区内部不同土地利用强度和土地开发水平的土地质量具有明显的差异。因此，在进行土地级别界线落界时，对于相同的用地类型，土地级别落界应充分考虑土地利用强度和土地开发水平的差异性。</w:t>
      </w:r>
    </w:p>
    <w:p w14:paraId="584CF4D7">
      <w:pPr>
        <w:spacing w:line="480" w:lineRule="exact"/>
        <w:ind w:firstLine="562" w:firstLineChars="200"/>
        <w:rPr>
          <w:rFonts w:eastAsia="楷体_GB2312"/>
          <w:b/>
          <w:sz w:val="28"/>
        </w:rPr>
      </w:pPr>
      <w:r>
        <w:rPr>
          <w:rFonts w:eastAsia="楷体_GB2312"/>
          <w:b/>
          <w:sz w:val="28"/>
        </w:rPr>
        <w:t>3、土地利用类型的一致性</w:t>
      </w:r>
    </w:p>
    <w:p w14:paraId="4A47526C">
      <w:pPr>
        <w:spacing w:line="480" w:lineRule="exact"/>
        <w:ind w:firstLine="560" w:firstLineChars="200"/>
        <w:rPr>
          <w:rFonts w:eastAsia="楷体_GB2312"/>
          <w:sz w:val="28"/>
        </w:rPr>
      </w:pPr>
      <w:r>
        <w:rPr>
          <w:rFonts w:eastAsia="楷体_GB2312"/>
          <w:sz w:val="28"/>
        </w:rPr>
        <w:t>在相同的区域因素、相同的土地利用强度和土地开发水平条件下，镇区内部用地类型一致的相邻地块土地质量应相近。在进行土地级别界线落界时，用地类型一致的相邻地块应归并为一个土地级别。</w:t>
      </w:r>
    </w:p>
    <w:p w14:paraId="188BE30F">
      <w:pPr>
        <w:spacing w:line="480" w:lineRule="exact"/>
        <w:ind w:firstLine="562" w:firstLineChars="200"/>
        <w:rPr>
          <w:rFonts w:eastAsia="楷体_GB2312"/>
          <w:b/>
          <w:sz w:val="28"/>
        </w:rPr>
      </w:pPr>
      <w:r>
        <w:rPr>
          <w:rFonts w:eastAsia="楷体_GB2312"/>
          <w:b/>
          <w:sz w:val="28"/>
        </w:rPr>
        <w:t>4、样点地价的同一性</w:t>
      </w:r>
    </w:p>
    <w:p w14:paraId="1ED7961F">
      <w:pPr>
        <w:spacing w:line="480" w:lineRule="exact"/>
        <w:ind w:firstLine="560" w:firstLineChars="200"/>
        <w:rPr>
          <w:rFonts w:eastAsia="仿宋_GB2312"/>
          <w:sz w:val="28"/>
        </w:rPr>
      </w:pPr>
      <w:r>
        <w:rPr>
          <w:rFonts w:eastAsia="楷体_GB2312"/>
          <w:sz w:val="28"/>
        </w:rPr>
        <w:t>参照样点地价图，在进行土地级别界线落界时，样点地价一致时应归并为同一级别，样点地价差异较大时应划分为两个土地级别</w:t>
      </w:r>
      <w:r>
        <w:rPr>
          <w:rFonts w:eastAsia="仿宋_GB2312"/>
          <w:sz w:val="28"/>
        </w:rPr>
        <w:t>。</w:t>
      </w:r>
    </w:p>
    <w:p w14:paraId="010395E1">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二、宗地土地</w:t>
      </w:r>
      <w:r>
        <w:rPr>
          <w:rFonts w:hint="eastAsia" w:ascii="Times New Roman" w:hAnsi="Times New Roman" w:cs="Times New Roman"/>
          <w:b/>
          <w:sz w:val="28"/>
        </w:rPr>
        <w:t>级别</w:t>
      </w:r>
      <w:r>
        <w:rPr>
          <w:rFonts w:ascii="Times New Roman" w:hAnsi="Times New Roman" w:cs="Times New Roman"/>
          <w:b/>
          <w:sz w:val="28"/>
        </w:rPr>
        <w:t>的落实、确定</w:t>
      </w:r>
    </w:p>
    <w:p w14:paraId="5BD2553B">
      <w:pPr>
        <w:spacing w:line="480" w:lineRule="exact"/>
        <w:ind w:firstLine="560" w:firstLineChars="200"/>
        <w:rPr>
          <w:rFonts w:eastAsia="楷体_GB2312"/>
          <w:sz w:val="28"/>
        </w:rPr>
      </w:pPr>
      <w:r>
        <w:rPr>
          <w:rFonts w:eastAsia="楷体_GB2312"/>
          <w:sz w:val="28"/>
        </w:rPr>
        <w:t>根据评定的土地级别，落实每一宗地的土地级别。每宗地都应落实确定的级别；同时根据宗地的现状用地性质，落实对应的定级类型确定的级别。</w:t>
      </w:r>
    </w:p>
    <w:p w14:paraId="296285E8">
      <w:pPr>
        <w:spacing w:line="480" w:lineRule="exact"/>
        <w:ind w:firstLine="560" w:firstLineChars="200"/>
        <w:rPr>
          <w:rFonts w:eastAsia="楷体_GB2312"/>
          <w:sz w:val="28"/>
        </w:rPr>
      </w:pPr>
      <w:r>
        <w:rPr>
          <w:rFonts w:eastAsia="楷体_GB2312"/>
          <w:sz w:val="28"/>
        </w:rPr>
        <w:t>应用土地定级与基准地价更新工作数据库和地籍管理工作数据库可完成宗地土地级的落实与统计工作。</w:t>
      </w:r>
    </w:p>
    <w:p w14:paraId="56B79D46">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三、土地级别分布范围描述</w:t>
      </w:r>
    </w:p>
    <w:p w14:paraId="231DAF0D">
      <w:pPr>
        <w:spacing w:line="480" w:lineRule="exact"/>
        <w:ind w:firstLine="560" w:firstLineChars="200"/>
        <w:rPr>
          <w:rFonts w:eastAsia="楷体_GB2312"/>
          <w:sz w:val="28"/>
        </w:rPr>
      </w:pPr>
      <w:r>
        <w:rPr>
          <w:rFonts w:eastAsia="楷体_GB2312"/>
          <w:sz w:val="28"/>
        </w:rPr>
        <w:t>根据确定后的各乡镇区土地综合级别图，进行了各级土地分布范围描述，结果见表1-6-2。</w:t>
      </w:r>
    </w:p>
    <w:p w14:paraId="7D42A7A0">
      <w:pPr>
        <w:pStyle w:val="20"/>
        <w:spacing w:line="480" w:lineRule="exact"/>
        <w:jc w:val="center"/>
        <w:rPr>
          <w:rFonts w:ascii="Times New Roman" w:hAnsi="Times New Roman" w:eastAsia="黑体" w:cs="Times New Roman"/>
          <w:sz w:val="28"/>
        </w:rPr>
      </w:pPr>
      <w:r>
        <w:rPr>
          <w:rFonts w:ascii="Times New Roman" w:hAnsi="Times New Roman" w:eastAsia="黑体" w:cs="Times New Roman"/>
          <w:sz w:val="28"/>
        </w:rPr>
        <w:t>表</w:t>
      </w:r>
      <w:r>
        <w:rPr>
          <w:rFonts w:ascii="Times New Roman" w:hAnsi="Times New Roman" w:eastAsia="仿宋_GB2312" w:cs="Times New Roman"/>
          <w:sz w:val="28"/>
          <w:szCs w:val="24"/>
        </w:rPr>
        <w:t xml:space="preserve">1-6-2 </w:t>
      </w:r>
      <w:r>
        <w:rPr>
          <w:rFonts w:ascii="Times New Roman" w:hAnsi="Times New Roman" w:eastAsia="黑体" w:cs="Times New Roman"/>
          <w:sz w:val="28"/>
        </w:rPr>
        <w:t xml:space="preserve"> 埇桥区各乡镇镇区综合定级土地级别分布范围表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1073"/>
        <w:gridCol w:w="6176"/>
        <w:gridCol w:w="1313"/>
      </w:tblGrid>
      <w:tr w14:paraId="7E2F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524" w:type="dxa"/>
            <w:noWrap w:val="0"/>
            <w:vAlign w:val="center"/>
          </w:tcPr>
          <w:p w14:paraId="05C2BF75">
            <w:pPr>
              <w:jc w:val="center"/>
              <w:rPr>
                <w:rFonts w:eastAsia="楷体_GB2312"/>
                <w:kern w:val="0"/>
                <w:szCs w:val="21"/>
              </w:rPr>
            </w:pPr>
            <w:r>
              <w:rPr>
                <w:rFonts w:eastAsia="楷体_GB2312"/>
                <w:kern w:val="0"/>
                <w:szCs w:val="21"/>
              </w:rPr>
              <w:t>编号</w:t>
            </w:r>
          </w:p>
        </w:tc>
        <w:tc>
          <w:tcPr>
            <w:tcW w:w="1179" w:type="dxa"/>
            <w:noWrap w:val="0"/>
            <w:vAlign w:val="center"/>
          </w:tcPr>
          <w:p w14:paraId="563A5F7A">
            <w:pPr>
              <w:jc w:val="center"/>
              <w:rPr>
                <w:rFonts w:eastAsia="楷体_GB2312"/>
                <w:kern w:val="0"/>
                <w:szCs w:val="21"/>
              </w:rPr>
            </w:pPr>
            <w:r>
              <w:rPr>
                <w:rFonts w:eastAsia="楷体_GB2312"/>
                <w:kern w:val="0"/>
                <w:szCs w:val="21"/>
              </w:rPr>
              <w:t>乡镇名称</w:t>
            </w:r>
          </w:p>
        </w:tc>
        <w:tc>
          <w:tcPr>
            <w:tcW w:w="7087" w:type="dxa"/>
            <w:noWrap w:val="0"/>
            <w:vAlign w:val="center"/>
          </w:tcPr>
          <w:p w14:paraId="0C5ABC5A">
            <w:pPr>
              <w:jc w:val="center"/>
              <w:rPr>
                <w:rFonts w:eastAsia="楷体_GB2312"/>
                <w:kern w:val="0"/>
                <w:szCs w:val="21"/>
              </w:rPr>
            </w:pPr>
            <w:r>
              <w:rPr>
                <w:rFonts w:eastAsia="楷体_GB2312"/>
                <w:kern w:val="0"/>
                <w:szCs w:val="21"/>
              </w:rPr>
              <w:t>分布范围</w:t>
            </w:r>
          </w:p>
        </w:tc>
        <w:tc>
          <w:tcPr>
            <w:tcW w:w="1416" w:type="dxa"/>
            <w:noWrap w:val="0"/>
            <w:vAlign w:val="center"/>
          </w:tcPr>
          <w:p w14:paraId="32BC3317">
            <w:pPr>
              <w:jc w:val="center"/>
              <w:rPr>
                <w:rFonts w:eastAsia="楷体_GB2312"/>
                <w:kern w:val="0"/>
                <w:szCs w:val="21"/>
              </w:rPr>
            </w:pPr>
            <w:r>
              <w:rPr>
                <w:rFonts w:eastAsia="楷体_GB2312"/>
                <w:kern w:val="0"/>
                <w:szCs w:val="21"/>
              </w:rPr>
              <w:t>面积</w:t>
            </w:r>
          </w:p>
          <w:p w14:paraId="2F400DAC">
            <w:pPr>
              <w:jc w:val="center"/>
              <w:rPr>
                <w:rFonts w:eastAsia="楷体_GB2312"/>
                <w:kern w:val="0"/>
                <w:szCs w:val="21"/>
              </w:rPr>
            </w:pPr>
            <w:r>
              <w:rPr>
                <w:rFonts w:eastAsia="楷体_GB2312"/>
                <w:kern w:val="0"/>
                <w:szCs w:val="21"/>
              </w:rPr>
              <w:t>（平方公里）</w:t>
            </w:r>
          </w:p>
        </w:tc>
      </w:tr>
      <w:tr w14:paraId="67EEF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24" w:type="dxa"/>
            <w:noWrap w:val="0"/>
            <w:vAlign w:val="center"/>
          </w:tcPr>
          <w:p w14:paraId="12E33FB4">
            <w:pPr>
              <w:jc w:val="center"/>
              <w:rPr>
                <w:rFonts w:eastAsia="楷体_GB2312"/>
                <w:kern w:val="0"/>
                <w:szCs w:val="21"/>
              </w:rPr>
            </w:pPr>
            <w:r>
              <w:rPr>
                <w:rFonts w:eastAsia="楷体_GB2312"/>
                <w:kern w:val="0"/>
                <w:szCs w:val="21"/>
              </w:rPr>
              <w:t>1</w:t>
            </w:r>
          </w:p>
        </w:tc>
        <w:tc>
          <w:tcPr>
            <w:tcW w:w="1179" w:type="dxa"/>
            <w:noWrap w:val="0"/>
            <w:vAlign w:val="center"/>
          </w:tcPr>
          <w:p w14:paraId="446433A3">
            <w:pPr>
              <w:pStyle w:val="20"/>
              <w:jc w:val="center"/>
              <w:rPr>
                <w:rFonts w:ascii="Times New Roman" w:hAnsi="Times New Roman" w:eastAsia="楷体_GB2312" w:cs="Times New Roman"/>
              </w:rPr>
            </w:pPr>
            <w:r>
              <w:rPr>
                <w:rFonts w:ascii="Times New Roman" w:hAnsi="Times New Roman" w:eastAsia="楷体_GB2312" w:cs="Times New Roman"/>
              </w:rPr>
              <w:t>符离镇</w:t>
            </w:r>
          </w:p>
        </w:tc>
        <w:tc>
          <w:tcPr>
            <w:tcW w:w="7087" w:type="dxa"/>
            <w:noWrap w:val="0"/>
            <w:vAlign w:val="center"/>
          </w:tcPr>
          <w:p w14:paraId="67637109">
            <w:pPr>
              <w:pStyle w:val="20"/>
              <w:rPr>
                <w:rFonts w:ascii="Times New Roman" w:hAnsi="Times New Roman" w:eastAsia="楷体_GB2312" w:cs="Times New Roman"/>
              </w:rPr>
            </w:pPr>
            <w:r>
              <w:rPr>
                <w:rFonts w:ascii="Times New Roman" w:hAnsi="Times New Roman" w:eastAsia="楷体_GB2312" w:cs="Times New Roman"/>
              </w:rPr>
              <w:t>东至206国道，南至滨河路，西至拂晓大道，北至北环路、山前路、铁路线</w:t>
            </w:r>
          </w:p>
        </w:tc>
        <w:tc>
          <w:tcPr>
            <w:tcW w:w="1416" w:type="dxa"/>
            <w:noWrap w:val="0"/>
            <w:vAlign w:val="center"/>
          </w:tcPr>
          <w:p w14:paraId="004B749B">
            <w:pPr>
              <w:pStyle w:val="20"/>
              <w:jc w:val="center"/>
              <w:rPr>
                <w:rFonts w:ascii="Times New Roman" w:hAnsi="Times New Roman" w:eastAsia="楷体_GB2312" w:cs="Times New Roman"/>
              </w:rPr>
            </w:pPr>
            <w:r>
              <w:rPr>
                <w:rFonts w:ascii="Times New Roman" w:hAnsi="Times New Roman" w:eastAsia="楷体_GB2312" w:cs="Times New Roman"/>
              </w:rPr>
              <w:t>17.12</w:t>
            </w:r>
          </w:p>
        </w:tc>
      </w:tr>
      <w:tr w14:paraId="2322B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24" w:type="dxa"/>
            <w:noWrap w:val="0"/>
            <w:vAlign w:val="center"/>
          </w:tcPr>
          <w:p w14:paraId="2D4A606B">
            <w:pPr>
              <w:jc w:val="center"/>
              <w:rPr>
                <w:rFonts w:eastAsia="楷体_GB2312"/>
                <w:kern w:val="0"/>
                <w:szCs w:val="21"/>
              </w:rPr>
            </w:pPr>
            <w:r>
              <w:rPr>
                <w:rFonts w:eastAsia="楷体_GB2312"/>
                <w:kern w:val="0"/>
                <w:szCs w:val="21"/>
              </w:rPr>
              <w:t>2</w:t>
            </w:r>
          </w:p>
        </w:tc>
        <w:tc>
          <w:tcPr>
            <w:tcW w:w="1179" w:type="dxa"/>
            <w:noWrap w:val="0"/>
            <w:vAlign w:val="center"/>
          </w:tcPr>
          <w:p w14:paraId="49144B96">
            <w:pPr>
              <w:pStyle w:val="20"/>
              <w:jc w:val="center"/>
              <w:rPr>
                <w:rFonts w:ascii="Times New Roman" w:hAnsi="Times New Roman" w:eastAsia="楷体_GB2312" w:cs="Times New Roman"/>
              </w:rPr>
            </w:pPr>
            <w:r>
              <w:rPr>
                <w:rFonts w:ascii="Times New Roman" w:hAnsi="Times New Roman" w:eastAsia="楷体_GB2312" w:cs="Times New Roman"/>
              </w:rPr>
              <w:t>朱仙庄镇</w:t>
            </w:r>
          </w:p>
        </w:tc>
        <w:tc>
          <w:tcPr>
            <w:tcW w:w="7087" w:type="dxa"/>
            <w:noWrap w:val="0"/>
            <w:vAlign w:val="center"/>
          </w:tcPr>
          <w:p w14:paraId="531550A3">
            <w:pPr>
              <w:pStyle w:val="20"/>
              <w:rPr>
                <w:rFonts w:ascii="Times New Roman" w:hAnsi="Times New Roman" w:eastAsia="楷体_GB2312" w:cs="Times New Roman"/>
              </w:rPr>
            </w:pPr>
            <w:r>
              <w:rPr>
                <w:rFonts w:ascii="Times New Roman" w:hAnsi="Times New Roman" w:eastAsia="楷体_GB2312" w:cs="Times New Roman"/>
              </w:rPr>
              <w:t>东至滨湖路、环湖路、东外环，南至汴河东路、金江路，西至二徐路，北至和顺路</w:t>
            </w:r>
          </w:p>
        </w:tc>
        <w:tc>
          <w:tcPr>
            <w:tcW w:w="1416" w:type="dxa"/>
            <w:noWrap w:val="0"/>
            <w:vAlign w:val="center"/>
          </w:tcPr>
          <w:p w14:paraId="2826C345">
            <w:pPr>
              <w:pStyle w:val="20"/>
              <w:jc w:val="center"/>
              <w:rPr>
                <w:rFonts w:ascii="Times New Roman" w:hAnsi="Times New Roman" w:eastAsia="楷体_GB2312" w:cs="Times New Roman"/>
              </w:rPr>
            </w:pPr>
            <w:r>
              <w:rPr>
                <w:rFonts w:ascii="Times New Roman" w:hAnsi="Times New Roman" w:eastAsia="楷体_GB2312" w:cs="Times New Roman"/>
              </w:rPr>
              <w:t>21.49</w:t>
            </w:r>
          </w:p>
        </w:tc>
      </w:tr>
      <w:tr w14:paraId="79E5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24" w:type="dxa"/>
            <w:noWrap w:val="0"/>
            <w:vAlign w:val="center"/>
          </w:tcPr>
          <w:p w14:paraId="77E4913E">
            <w:pPr>
              <w:jc w:val="center"/>
              <w:rPr>
                <w:rFonts w:eastAsia="楷体_GB2312"/>
                <w:kern w:val="0"/>
                <w:szCs w:val="21"/>
              </w:rPr>
            </w:pPr>
            <w:r>
              <w:rPr>
                <w:rFonts w:eastAsia="楷体_GB2312"/>
                <w:kern w:val="0"/>
                <w:szCs w:val="21"/>
              </w:rPr>
              <w:t>3</w:t>
            </w:r>
          </w:p>
        </w:tc>
        <w:tc>
          <w:tcPr>
            <w:tcW w:w="1179" w:type="dxa"/>
            <w:noWrap w:val="0"/>
            <w:vAlign w:val="center"/>
          </w:tcPr>
          <w:p w14:paraId="004408B1">
            <w:pPr>
              <w:pStyle w:val="20"/>
              <w:jc w:val="center"/>
              <w:rPr>
                <w:rFonts w:ascii="Times New Roman" w:hAnsi="Times New Roman" w:eastAsia="楷体_GB2312" w:cs="Times New Roman"/>
              </w:rPr>
            </w:pPr>
            <w:r>
              <w:rPr>
                <w:rFonts w:ascii="Times New Roman" w:hAnsi="Times New Roman" w:eastAsia="楷体_GB2312" w:cs="Times New Roman"/>
              </w:rPr>
              <w:t>蕲县镇</w:t>
            </w:r>
          </w:p>
        </w:tc>
        <w:tc>
          <w:tcPr>
            <w:tcW w:w="7087" w:type="dxa"/>
            <w:noWrap w:val="0"/>
            <w:vAlign w:val="center"/>
          </w:tcPr>
          <w:p w14:paraId="5C8684D3">
            <w:pPr>
              <w:pStyle w:val="20"/>
              <w:rPr>
                <w:rFonts w:ascii="Times New Roman" w:hAnsi="Times New Roman" w:eastAsia="楷体_GB2312" w:cs="Times New Roman"/>
              </w:rPr>
            </w:pPr>
            <w:r>
              <w:rPr>
                <w:rFonts w:ascii="Times New Roman" w:hAnsi="Times New Roman" w:eastAsia="楷体_GB2312" w:cs="Times New Roman"/>
              </w:rPr>
              <w:t>东至城东路，南至沿浍路、厂矿路，西至浍河、文苑路、老街路、206国道，北至金浍路、鸿鹄路北侧</w:t>
            </w:r>
          </w:p>
        </w:tc>
        <w:tc>
          <w:tcPr>
            <w:tcW w:w="1416" w:type="dxa"/>
            <w:noWrap w:val="0"/>
            <w:vAlign w:val="center"/>
          </w:tcPr>
          <w:p w14:paraId="69278C76">
            <w:pPr>
              <w:pStyle w:val="20"/>
              <w:jc w:val="center"/>
              <w:rPr>
                <w:rFonts w:ascii="Times New Roman" w:hAnsi="Times New Roman" w:eastAsia="楷体_GB2312" w:cs="Times New Roman"/>
              </w:rPr>
            </w:pPr>
            <w:r>
              <w:rPr>
                <w:rFonts w:ascii="Times New Roman" w:hAnsi="Times New Roman" w:eastAsia="楷体_GB2312" w:cs="Times New Roman"/>
              </w:rPr>
              <w:t>5.59</w:t>
            </w:r>
          </w:p>
        </w:tc>
      </w:tr>
      <w:tr w14:paraId="0648D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24" w:type="dxa"/>
            <w:noWrap w:val="0"/>
            <w:vAlign w:val="center"/>
          </w:tcPr>
          <w:p w14:paraId="78FDD98C">
            <w:pPr>
              <w:jc w:val="center"/>
              <w:rPr>
                <w:rFonts w:eastAsia="楷体_GB2312"/>
                <w:kern w:val="0"/>
                <w:szCs w:val="21"/>
              </w:rPr>
            </w:pPr>
            <w:r>
              <w:rPr>
                <w:rFonts w:eastAsia="楷体_GB2312"/>
                <w:kern w:val="0"/>
                <w:szCs w:val="21"/>
              </w:rPr>
              <w:t>4</w:t>
            </w:r>
          </w:p>
        </w:tc>
        <w:tc>
          <w:tcPr>
            <w:tcW w:w="1179" w:type="dxa"/>
            <w:noWrap w:val="0"/>
            <w:vAlign w:val="center"/>
          </w:tcPr>
          <w:p w14:paraId="79C83E7B">
            <w:pPr>
              <w:pStyle w:val="20"/>
              <w:jc w:val="center"/>
              <w:rPr>
                <w:rFonts w:ascii="Times New Roman" w:hAnsi="Times New Roman" w:eastAsia="楷体_GB2312" w:cs="Times New Roman"/>
              </w:rPr>
            </w:pPr>
            <w:r>
              <w:rPr>
                <w:rFonts w:ascii="Times New Roman" w:hAnsi="Times New Roman" w:eastAsia="楷体_GB2312" w:cs="Times New Roman"/>
              </w:rPr>
              <w:t>芦岭镇</w:t>
            </w:r>
          </w:p>
        </w:tc>
        <w:tc>
          <w:tcPr>
            <w:tcW w:w="7087" w:type="dxa"/>
            <w:noWrap w:val="0"/>
            <w:vAlign w:val="center"/>
          </w:tcPr>
          <w:p w14:paraId="6C4674A8">
            <w:pPr>
              <w:pStyle w:val="20"/>
              <w:rPr>
                <w:rFonts w:ascii="Times New Roman" w:hAnsi="Times New Roman" w:eastAsia="楷体_GB2312" w:cs="Times New Roman"/>
              </w:rPr>
            </w:pPr>
            <w:r>
              <w:rPr>
                <w:rFonts w:ascii="Times New Roman" w:hAnsi="Times New Roman" w:eastAsia="楷体_GB2312" w:cs="Times New Roman"/>
              </w:rPr>
              <w:t>东至东城路、工人街，南至陵园路、市场路、罗岭路，西至西环路、文明路，北至滨河路</w:t>
            </w:r>
          </w:p>
        </w:tc>
        <w:tc>
          <w:tcPr>
            <w:tcW w:w="1416" w:type="dxa"/>
            <w:noWrap w:val="0"/>
            <w:vAlign w:val="center"/>
          </w:tcPr>
          <w:p w14:paraId="764AE198">
            <w:pPr>
              <w:pStyle w:val="20"/>
              <w:jc w:val="center"/>
              <w:rPr>
                <w:rFonts w:ascii="Times New Roman" w:hAnsi="Times New Roman" w:eastAsia="楷体_GB2312" w:cs="Times New Roman"/>
              </w:rPr>
            </w:pPr>
            <w:r>
              <w:rPr>
                <w:rFonts w:ascii="Times New Roman" w:hAnsi="Times New Roman" w:eastAsia="楷体_GB2312" w:cs="Times New Roman"/>
              </w:rPr>
              <w:t>3.65</w:t>
            </w:r>
          </w:p>
        </w:tc>
      </w:tr>
      <w:tr w14:paraId="51721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24" w:type="dxa"/>
            <w:noWrap w:val="0"/>
            <w:vAlign w:val="center"/>
          </w:tcPr>
          <w:p w14:paraId="4F768740">
            <w:pPr>
              <w:jc w:val="center"/>
              <w:rPr>
                <w:rFonts w:eastAsia="楷体_GB2312"/>
                <w:kern w:val="0"/>
                <w:szCs w:val="21"/>
              </w:rPr>
            </w:pPr>
            <w:r>
              <w:rPr>
                <w:rFonts w:eastAsia="楷体_GB2312"/>
                <w:kern w:val="0"/>
                <w:szCs w:val="21"/>
              </w:rPr>
              <w:t>5</w:t>
            </w:r>
          </w:p>
        </w:tc>
        <w:tc>
          <w:tcPr>
            <w:tcW w:w="1179" w:type="dxa"/>
            <w:noWrap w:val="0"/>
            <w:vAlign w:val="center"/>
          </w:tcPr>
          <w:p w14:paraId="2CD30159">
            <w:pPr>
              <w:pStyle w:val="20"/>
              <w:jc w:val="center"/>
              <w:rPr>
                <w:rFonts w:ascii="Times New Roman" w:hAnsi="Times New Roman" w:eastAsia="楷体_GB2312" w:cs="Times New Roman"/>
              </w:rPr>
            </w:pPr>
            <w:r>
              <w:rPr>
                <w:rFonts w:ascii="Times New Roman" w:hAnsi="Times New Roman" w:eastAsia="楷体_GB2312" w:cs="Times New Roman"/>
              </w:rPr>
              <w:t>大店镇</w:t>
            </w:r>
          </w:p>
        </w:tc>
        <w:tc>
          <w:tcPr>
            <w:tcW w:w="7087" w:type="dxa"/>
            <w:noWrap w:val="0"/>
            <w:vAlign w:val="center"/>
          </w:tcPr>
          <w:p w14:paraId="1E57E9D5">
            <w:pPr>
              <w:pStyle w:val="20"/>
              <w:rPr>
                <w:rFonts w:ascii="Times New Roman" w:hAnsi="Times New Roman" w:eastAsia="楷体_GB2312" w:cs="Times New Roman"/>
              </w:rPr>
            </w:pPr>
            <w:r>
              <w:rPr>
                <w:rFonts w:ascii="Times New Roman" w:hAnsi="Times New Roman" w:eastAsia="楷体_GB2312" w:cs="Times New Roman"/>
              </w:rPr>
              <w:t>东至东环路，南至南环路、工业南路，西至西公路、幸福路、西昌路，北至303省道</w:t>
            </w:r>
          </w:p>
        </w:tc>
        <w:tc>
          <w:tcPr>
            <w:tcW w:w="1416" w:type="dxa"/>
            <w:noWrap w:val="0"/>
            <w:vAlign w:val="center"/>
          </w:tcPr>
          <w:p w14:paraId="493FA28D">
            <w:pPr>
              <w:pStyle w:val="20"/>
              <w:jc w:val="center"/>
              <w:rPr>
                <w:rFonts w:ascii="Times New Roman" w:hAnsi="Times New Roman" w:eastAsia="楷体_GB2312" w:cs="Times New Roman"/>
              </w:rPr>
            </w:pPr>
            <w:r>
              <w:rPr>
                <w:rFonts w:ascii="Times New Roman" w:hAnsi="Times New Roman" w:eastAsia="楷体_GB2312" w:cs="Times New Roman"/>
              </w:rPr>
              <w:t>2.01</w:t>
            </w:r>
          </w:p>
        </w:tc>
      </w:tr>
      <w:tr w14:paraId="45AF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24" w:type="dxa"/>
            <w:noWrap w:val="0"/>
            <w:vAlign w:val="center"/>
          </w:tcPr>
          <w:p w14:paraId="77E80CFC">
            <w:pPr>
              <w:jc w:val="center"/>
              <w:rPr>
                <w:rFonts w:eastAsia="楷体_GB2312"/>
                <w:kern w:val="0"/>
                <w:szCs w:val="21"/>
              </w:rPr>
            </w:pPr>
            <w:r>
              <w:rPr>
                <w:rFonts w:eastAsia="楷体_GB2312"/>
                <w:kern w:val="0"/>
                <w:szCs w:val="21"/>
              </w:rPr>
              <w:t>6</w:t>
            </w:r>
          </w:p>
        </w:tc>
        <w:tc>
          <w:tcPr>
            <w:tcW w:w="1179" w:type="dxa"/>
            <w:noWrap w:val="0"/>
            <w:vAlign w:val="center"/>
          </w:tcPr>
          <w:p w14:paraId="7A54E20C">
            <w:pPr>
              <w:pStyle w:val="20"/>
              <w:jc w:val="center"/>
              <w:rPr>
                <w:rFonts w:ascii="Times New Roman" w:hAnsi="Times New Roman" w:eastAsia="楷体_GB2312" w:cs="Times New Roman"/>
              </w:rPr>
            </w:pPr>
            <w:r>
              <w:rPr>
                <w:rFonts w:ascii="Times New Roman" w:hAnsi="Times New Roman" w:eastAsia="楷体_GB2312" w:cs="Times New Roman"/>
              </w:rPr>
              <w:t>栏杆镇</w:t>
            </w:r>
          </w:p>
        </w:tc>
        <w:tc>
          <w:tcPr>
            <w:tcW w:w="7087" w:type="dxa"/>
            <w:noWrap w:val="0"/>
            <w:vAlign w:val="center"/>
          </w:tcPr>
          <w:p w14:paraId="70E36B55">
            <w:pPr>
              <w:pStyle w:val="20"/>
              <w:rPr>
                <w:rFonts w:ascii="Times New Roman" w:hAnsi="Times New Roman" w:eastAsia="楷体_GB2312" w:cs="Times New Roman"/>
              </w:rPr>
            </w:pPr>
            <w:r>
              <w:rPr>
                <w:rFonts w:ascii="Times New Roman" w:hAnsi="Times New Roman" w:eastAsia="楷体_GB2312" w:cs="Times New Roman"/>
              </w:rPr>
              <w:t>区域一：东至东外环、文明路、功成路，南至科技大道南侧，西至滨河东路，北至德高路、北环路</w:t>
            </w:r>
          </w:p>
          <w:p w14:paraId="3AEEF7F6">
            <w:pPr>
              <w:pStyle w:val="20"/>
              <w:rPr>
                <w:rFonts w:ascii="Times New Roman" w:hAnsi="Times New Roman" w:eastAsia="楷体_GB2312" w:cs="Times New Roman"/>
              </w:rPr>
            </w:pPr>
            <w:r>
              <w:rPr>
                <w:rFonts w:ascii="Times New Roman" w:hAnsi="Times New Roman" w:eastAsia="楷体_GB2312" w:cs="Times New Roman"/>
              </w:rPr>
              <w:t>区域二：东至滨河西路，南至科技大道，西至幸福路，北至北环路、040乡道</w:t>
            </w:r>
          </w:p>
        </w:tc>
        <w:tc>
          <w:tcPr>
            <w:tcW w:w="1416" w:type="dxa"/>
            <w:noWrap w:val="0"/>
            <w:vAlign w:val="center"/>
          </w:tcPr>
          <w:p w14:paraId="79614A10">
            <w:pPr>
              <w:pStyle w:val="20"/>
              <w:jc w:val="center"/>
              <w:rPr>
                <w:rFonts w:ascii="Times New Roman" w:hAnsi="Times New Roman" w:eastAsia="楷体_GB2312" w:cs="Times New Roman"/>
              </w:rPr>
            </w:pPr>
            <w:r>
              <w:rPr>
                <w:rFonts w:ascii="Times New Roman" w:hAnsi="Times New Roman" w:eastAsia="楷体_GB2312" w:cs="Times New Roman"/>
              </w:rPr>
              <w:t>2.35</w:t>
            </w:r>
          </w:p>
        </w:tc>
      </w:tr>
      <w:tr w14:paraId="3EB84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24" w:type="dxa"/>
            <w:noWrap w:val="0"/>
            <w:vAlign w:val="center"/>
          </w:tcPr>
          <w:p w14:paraId="42D46CD6">
            <w:pPr>
              <w:jc w:val="center"/>
              <w:rPr>
                <w:rFonts w:eastAsia="楷体_GB2312"/>
                <w:kern w:val="0"/>
                <w:szCs w:val="21"/>
              </w:rPr>
            </w:pPr>
            <w:r>
              <w:rPr>
                <w:rFonts w:eastAsia="楷体_GB2312"/>
                <w:kern w:val="0"/>
                <w:szCs w:val="21"/>
              </w:rPr>
              <w:t>7</w:t>
            </w:r>
          </w:p>
        </w:tc>
        <w:tc>
          <w:tcPr>
            <w:tcW w:w="1179" w:type="dxa"/>
            <w:noWrap w:val="0"/>
            <w:vAlign w:val="center"/>
          </w:tcPr>
          <w:p w14:paraId="2394FB97">
            <w:pPr>
              <w:pStyle w:val="20"/>
              <w:jc w:val="center"/>
              <w:rPr>
                <w:rFonts w:ascii="Times New Roman" w:hAnsi="Times New Roman" w:eastAsia="楷体_GB2312" w:cs="Times New Roman"/>
              </w:rPr>
            </w:pPr>
            <w:r>
              <w:rPr>
                <w:rFonts w:ascii="Times New Roman" w:hAnsi="Times New Roman" w:eastAsia="楷体_GB2312" w:cs="Times New Roman"/>
              </w:rPr>
              <w:t>时村镇</w:t>
            </w:r>
          </w:p>
        </w:tc>
        <w:tc>
          <w:tcPr>
            <w:tcW w:w="7087" w:type="dxa"/>
            <w:noWrap w:val="0"/>
            <w:vAlign w:val="center"/>
          </w:tcPr>
          <w:p w14:paraId="3CE6FA4A">
            <w:pPr>
              <w:pStyle w:val="20"/>
              <w:rPr>
                <w:rFonts w:ascii="Times New Roman" w:hAnsi="Times New Roman" w:eastAsia="楷体_GB2312"/>
              </w:rPr>
            </w:pPr>
            <w:r>
              <w:rPr>
                <w:rFonts w:ascii="Times New Roman" w:hAnsi="Times New Roman" w:eastAsia="楷体_GB2312"/>
              </w:rPr>
              <w:t>东至环城东路，南至302省道、环城南路，西至富强路、环城西路，北至环城北路</w:t>
            </w:r>
            <w:r>
              <w:rPr>
                <w:rFonts w:hint="eastAsia" w:ascii="Times New Roman" w:hAnsi="Times New Roman" w:eastAsia="楷体_GB2312"/>
              </w:rPr>
              <w:t>、奎河南岸</w:t>
            </w:r>
          </w:p>
        </w:tc>
        <w:tc>
          <w:tcPr>
            <w:tcW w:w="1416" w:type="dxa"/>
            <w:noWrap w:val="0"/>
            <w:vAlign w:val="center"/>
          </w:tcPr>
          <w:p w14:paraId="5CC2AD32">
            <w:pPr>
              <w:pStyle w:val="20"/>
              <w:jc w:val="center"/>
              <w:rPr>
                <w:rFonts w:ascii="Times New Roman" w:hAnsi="Times New Roman" w:eastAsia="楷体_GB2312"/>
              </w:rPr>
            </w:pPr>
            <w:r>
              <w:rPr>
                <w:rFonts w:hint="eastAsia" w:ascii="Times New Roman" w:hAnsi="Times New Roman" w:eastAsia="楷体_GB2312"/>
              </w:rPr>
              <w:t>4.00</w:t>
            </w:r>
          </w:p>
        </w:tc>
      </w:tr>
      <w:tr w14:paraId="5321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24" w:type="dxa"/>
            <w:noWrap w:val="0"/>
            <w:vAlign w:val="center"/>
          </w:tcPr>
          <w:p w14:paraId="1EA5DDE5">
            <w:pPr>
              <w:jc w:val="center"/>
              <w:rPr>
                <w:rFonts w:eastAsia="楷体_GB2312"/>
                <w:kern w:val="0"/>
                <w:szCs w:val="21"/>
              </w:rPr>
            </w:pPr>
            <w:r>
              <w:rPr>
                <w:rFonts w:eastAsia="楷体_GB2312"/>
                <w:kern w:val="0"/>
                <w:szCs w:val="21"/>
              </w:rPr>
              <w:t>8</w:t>
            </w:r>
          </w:p>
        </w:tc>
        <w:tc>
          <w:tcPr>
            <w:tcW w:w="1179" w:type="dxa"/>
            <w:noWrap w:val="0"/>
            <w:vAlign w:val="center"/>
          </w:tcPr>
          <w:p w14:paraId="396A6684">
            <w:pPr>
              <w:pStyle w:val="20"/>
              <w:jc w:val="center"/>
              <w:rPr>
                <w:rFonts w:ascii="Times New Roman" w:hAnsi="Times New Roman" w:eastAsia="楷体_GB2312" w:cs="Times New Roman"/>
              </w:rPr>
            </w:pPr>
            <w:r>
              <w:rPr>
                <w:rFonts w:ascii="Times New Roman" w:hAnsi="Times New Roman" w:eastAsia="楷体_GB2312" w:cs="Times New Roman"/>
              </w:rPr>
              <w:t>夹沟镇</w:t>
            </w:r>
          </w:p>
        </w:tc>
        <w:tc>
          <w:tcPr>
            <w:tcW w:w="7087" w:type="dxa"/>
            <w:noWrap w:val="0"/>
            <w:vAlign w:val="center"/>
          </w:tcPr>
          <w:p w14:paraId="53FD1A9D">
            <w:pPr>
              <w:pStyle w:val="20"/>
              <w:rPr>
                <w:rFonts w:ascii="Times New Roman" w:hAnsi="Times New Roman" w:eastAsia="楷体_GB2312" w:cs="Times New Roman"/>
              </w:rPr>
            </w:pPr>
            <w:r>
              <w:rPr>
                <w:rFonts w:ascii="Times New Roman" w:hAnsi="Times New Roman" w:eastAsia="楷体_GB2312" w:cs="Times New Roman"/>
              </w:rPr>
              <w:t>东至东三路、东一路东侧，南至环镇路，西至津浦铁路，北至沿河路、206国道北侧</w:t>
            </w:r>
          </w:p>
        </w:tc>
        <w:tc>
          <w:tcPr>
            <w:tcW w:w="1416" w:type="dxa"/>
            <w:noWrap w:val="0"/>
            <w:vAlign w:val="center"/>
          </w:tcPr>
          <w:p w14:paraId="314DF2AD">
            <w:pPr>
              <w:pStyle w:val="20"/>
              <w:jc w:val="center"/>
              <w:rPr>
                <w:rFonts w:ascii="Times New Roman" w:hAnsi="Times New Roman" w:eastAsia="楷体_GB2312" w:cs="Times New Roman"/>
              </w:rPr>
            </w:pPr>
            <w:r>
              <w:rPr>
                <w:rFonts w:ascii="Times New Roman" w:hAnsi="Times New Roman" w:eastAsia="楷体_GB2312" w:cs="Times New Roman"/>
              </w:rPr>
              <w:t>2.2</w:t>
            </w:r>
            <w:r>
              <w:rPr>
                <w:rFonts w:hint="eastAsia" w:ascii="Times New Roman" w:hAnsi="Times New Roman" w:eastAsia="楷体_GB2312" w:cs="Times New Roman"/>
              </w:rPr>
              <w:t>0</w:t>
            </w:r>
          </w:p>
        </w:tc>
      </w:tr>
      <w:tr w14:paraId="08E0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24" w:type="dxa"/>
            <w:noWrap w:val="0"/>
            <w:vAlign w:val="center"/>
          </w:tcPr>
          <w:p w14:paraId="238B866C">
            <w:pPr>
              <w:jc w:val="center"/>
              <w:rPr>
                <w:rFonts w:eastAsia="楷体_GB2312"/>
                <w:kern w:val="0"/>
                <w:szCs w:val="21"/>
              </w:rPr>
            </w:pPr>
            <w:r>
              <w:rPr>
                <w:rFonts w:eastAsia="楷体_GB2312"/>
                <w:kern w:val="0"/>
                <w:szCs w:val="21"/>
              </w:rPr>
              <w:t>9</w:t>
            </w:r>
          </w:p>
        </w:tc>
        <w:tc>
          <w:tcPr>
            <w:tcW w:w="1179" w:type="dxa"/>
            <w:noWrap w:val="0"/>
            <w:vAlign w:val="center"/>
          </w:tcPr>
          <w:p w14:paraId="39EB4EEC">
            <w:pPr>
              <w:pStyle w:val="20"/>
              <w:jc w:val="center"/>
              <w:rPr>
                <w:rFonts w:ascii="Times New Roman" w:hAnsi="Times New Roman" w:eastAsia="楷体_GB2312" w:cs="Times New Roman"/>
              </w:rPr>
            </w:pPr>
            <w:r>
              <w:rPr>
                <w:rFonts w:ascii="Times New Roman" w:hAnsi="Times New Roman" w:eastAsia="楷体_GB2312" w:cs="Times New Roman"/>
              </w:rPr>
              <w:t>西二铺乡</w:t>
            </w:r>
          </w:p>
        </w:tc>
        <w:tc>
          <w:tcPr>
            <w:tcW w:w="7087" w:type="dxa"/>
            <w:noWrap w:val="0"/>
            <w:vAlign w:val="center"/>
          </w:tcPr>
          <w:p w14:paraId="380514AD">
            <w:pPr>
              <w:pStyle w:val="20"/>
              <w:rPr>
                <w:rFonts w:ascii="Times New Roman" w:hAnsi="Times New Roman" w:eastAsia="楷体_GB2312" w:cs="Times New Roman"/>
              </w:rPr>
            </w:pPr>
            <w:r>
              <w:rPr>
                <w:rFonts w:ascii="Times New Roman" w:hAnsi="Times New Roman" w:eastAsia="楷体_GB2312" w:cs="Times New Roman"/>
              </w:rPr>
              <w:t>东至盛大路，南至福顺路，西至薛堂路，北至吕黄路</w:t>
            </w:r>
          </w:p>
        </w:tc>
        <w:tc>
          <w:tcPr>
            <w:tcW w:w="1416" w:type="dxa"/>
            <w:noWrap w:val="0"/>
            <w:vAlign w:val="center"/>
          </w:tcPr>
          <w:p w14:paraId="40E49DD5">
            <w:pPr>
              <w:pStyle w:val="20"/>
              <w:jc w:val="center"/>
              <w:rPr>
                <w:rFonts w:ascii="Times New Roman" w:hAnsi="Times New Roman" w:eastAsia="楷体_GB2312" w:cs="Times New Roman"/>
              </w:rPr>
            </w:pPr>
            <w:r>
              <w:rPr>
                <w:rFonts w:ascii="Times New Roman" w:hAnsi="Times New Roman" w:eastAsia="楷体_GB2312" w:cs="Times New Roman"/>
              </w:rPr>
              <w:t>1.32</w:t>
            </w:r>
          </w:p>
        </w:tc>
      </w:tr>
      <w:tr w14:paraId="78D67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24" w:type="dxa"/>
            <w:noWrap w:val="0"/>
            <w:vAlign w:val="center"/>
          </w:tcPr>
          <w:p w14:paraId="1EF2984F">
            <w:pPr>
              <w:jc w:val="center"/>
              <w:rPr>
                <w:rFonts w:eastAsia="楷体_GB2312"/>
                <w:kern w:val="0"/>
                <w:szCs w:val="21"/>
              </w:rPr>
            </w:pPr>
            <w:r>
              <w:rPr>
                <w:rFonts w:eastAsia="楷体_GB2312"/>
                <w:kern w:val="0"/>
                <w:szCs w:val="21"/>
              </w:rPr>
              <w:t>10</w:t>
            </w:r>
          </w:p>
        </w:tc>
        <w:tc>
          <w:tcPr>
            <w:tcW w:w="1179" w:type="dxa"/>
            <w:noWrap w:val="0"/>
            <w:vAlign w:val="center"/>
          </w:tcPr>
          <w:p w14:paraId="22A6CE91">
            <w:pPr>
              <w:pStyle w:val="20"/>
              <w:jc w:val="center"/>
              <w:rPr>
                <w:rFonts w:ascii="Times New Roman" w:hAnsi="Times New Roman" w:eastAsia="楷体_GB2312" w:cs="Times New Roman"/>
              </w:rPr>
            </w:pPr>
            <w:r>
              <w:rPr>
                <w:rFonts w:ascii="Times New Roman" w:hAnsi="Times New Roman" w:eastAsia="楷体_GB2312" w:cs="Times New Roman"/>
              </w:rPr>
              <w:t>桃园镇</w:t>
            </w:r>
          </w:p>
        </w:tc>
        <w:tc>
          <w:tcPr>
            <w:tcW w:w="7087" w:type="dxa"/>
            <w:noWrap w:val="0"/>
            <w:vAlign w:val="center"/>
          </w:tcPr>
          <w:p w14:paraId="63AE07F5">
            <w:pPr>
              <w:pStyle w:val="20"/>
              <w:rPr>
                <w:rFonts w:ascii="Times New Roman" w:hAnsi="Times New Roman" w:eastAsia="楷体_GB2312" w:cs="Times New Roman"/>
              </w:rPr>
            </w:pPr>
            <w:r>
              <w:rPr>
                <w:rFonts w:ascii="Times New Roman" w:hAnsi="Times New Roman" w:eastAsia="楷体_GB2312" w:cs="Times New Roman"/>
              </w:rPr>
              <w:t>区域一：东至宿怀南路，南至孙寨路，西至运西路，北至新园路</w:t>
            </w:r>
          </w:p>
          <w:p w14:paraId="6A573318">
            <w:pPr>
              <w:pStyle w:val="20"/>
              <w:rPr>
                <w:rFonts w:ascii="Times New Roman" w:hAnsi="Times New Roman" w:eastAsia="楷体_GB2312" w:cs="Times New Roman"/>
              </w:rPr>
            </w:pPr>
            <w:r>
              <w:rPr>
                <w:rFonts w:ascii="Times New Roman" w:hAnsi="Times New Roman" w:eastAsia="楷体_GB2312" w:cs="Times New Roman"/>
              </w:rPr>
              <w:t>区域二：东至杨寨路、临水路，南至交通路，西至广场路，北至桃北路</w:t>
            </w:r>
          </w:p>
        </w:tc>
        <w:tc>
          <w:tcPr>
            <w:tcW w:w="1416" w:type="dxa"/>
            <w:noWrap w:val="0"/>
            <w:vAlign w:val="center"/>
          </w:tcPr>
          <w:p w14:paraId="3F243E19">
            <w:pPr>
              <w:pStyle w:val="20"/>
              <w:jc w:val="center"/>
              <w:rPr>
                <w:rFonts w:ascii="Times New Roman" w:hAnsi="Times New Roman" w:eastAsia="楷体_GB2312" w:cs="Times New Roman"/>
              </w:rPr>
            </w:pPr>
            <w:r>
              <w:rPr>
                <w:rFonts w:ascii="Times New Roman" w:hAnsi="Times New Roman" w:eastAsia="楷体_GB2312" w:cs="Times New Roman"/>
              </w:rPr>
              <w:t>3.70</w:t>
            </w:r>
          </w:p>
        </w:tc>
      </w:tr>
      <w:tr w14:paraId="0B766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24" w:type="dxa"/>
            <w:noWrap w:val="0"/>
            <w:vAlign w:val="center"/>
          </w:tcPr>
          <w:p w14:paraId="68CE8B80">
            <w:pPr>
              <w:jc w:val="center"/>
              <w:rPr>
                <w:rFonts w:eastAsia="楷体_GB2312"/>
                <w:kern w:val="0"/>
                <w:szCs w:val="21"/>
              </w:rPr>
            </w:pPr>
            <w:r>
              <w:rPr>
                <w:rFonts w:eastAsia="楷体_GB2312"/>
                <w:kern w:val="0"/>
                <w:szCs w:val="21"/>
              </w:rPr>
              <w:t>11</w:t>
            </w:r>
          </w:p>
        </w:tc>
        <w:tc>
          <w:tcPr>
            <w:tcW w:w="1179" w:type="dxa"/>
            <w:noWrap w:val="0"/>
            <w:vAlign w:val="center"/>
          </w:tcPr>
          <w:p w14:paraId="44DA097E">
            <w:pPr>
              <w:pStyle w:val="20"/>
              <w:jc w:val="center"/>
              <w:rPr>
                <w:rFonts w:ascii="Times New Roman" w:hAnsi="Times New Roman" w:eastAsia="楷体_GB2312" w:cs="Times New Roman"/>
              </w:rPr>
            </w:pPr>
            <w:r>
              <w:rPr>
                <w:rFonts w:ascii="Times New Roman" w:hAnsi="Times New Roman" w:eastAsia="楷体_GB2312" w:cs="Times New Roman"/>
              </w:rPr>
              <w:t>曹村镇</w:t>
            </w:r>
          </w:p>
        </w:tc>
        <w:tc>
          <w:tcPr>
            <w:tcW w:w="7087" w:type="dxa"/>
            <w:noWrap w:val="0"/>
            <w:vAlign w:val="center"/>
          </w:tcPr>
          <w:p w14:paraId="10030C40">
            <w:pPr>
              <w:pStyle w:val="20"/>
              <w:rPr>
                <w:rFonts w:ascii="Times New Roman" w:hAnsi="Times New Roman" w:eastAsia="楷体_GB2312" w:cs="Times New Roman"/>
              </w:rPr>
            </w:pPr>
            <w:r>
              <w:rPr>
                <w:rFonts w:ascii="Times New Roman" w:hAnsi="Times New Roman" w:eastAsia="楷体_GB2312" w:cs="Times New Roman"/>
              </w:rPr>
              <w:t>区域一：东至镇东路、环东路，南至环南路，西至京沪铁路，北至环北路</w:t>
            </w:r>
          </w:p>
          <w:p w14:paraId="4F3D4530">
            <w:pPr>
              <w:pStyle w:val="20"/>
              <w:rPr>
                <w:rFonts w:ascii="Times New Roman" w:hAnsi="Times New Roman" w:eastAsia="楷体_GB2312" w:cs="Times New Roman"/>
              </w:rPr>
            </w:pPr>
            <w:r>
              <w:rPr>
                <w:rFonts w:ascii="Times New Roman" w:hAnsi="Times New Roman" w:eastAsia="楷体_GB2312" w:cs="Times New Roman"/>
              </w:rPr>
              <w:t>区域二：东至宏远加油站东侧，南至海螺水泥公司，西至京沪铁路东侧水系，北至曹村人民法庭南侧</w:t>
            </w:r>
          </w:p>
        </w:tc>
        <w:tc>
          <w:tcPr>
            <w:tcW w:w="1416" w:type="dxa"/>
            <w:noWrap w:val="0"/>
            <w:vAlign w:val="center"/>
          </w:tcPr>
          <w:p w14:paraId="7664E3ED">
            <w:pPr>
              <w:pStyle w:val="20"/>
              <w:jc w:val="center"/>
              <w:rPr>
                <w:rFonts w:ascii="Times New Roman" w:hAnsi="Times New Roman" w:eastAsia="楷体_GB2312" w:cs="Times New Roman"/>
              </w:rPr>
            </w:pPr>
            <w:r>
              <w:rPr>
                <w:rFonts w:ascii="Times New Roman" w:hAnsi="Times New Roman" w:eastAsia="楷体_GB2312" w:cs="Times New Roman"/>
              </w:rPr>
              <w:t>2.76</w:t>
            </w:r>
          </w:p>
        </w:tc>
      </w:tr>
      <w:tr w14:paraId="6FC4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24" w:type="dxa"/>
            <w:noWrap w:val="0"/>
            <w:vAlign w:val="center"/>
          </w:tcPr>
          <w:p w14:paraId="28C64AE1">
            <w:pPr>
              <w:jc w:val="center"/>
              <w:rPr>
                <w:rFonts w:eastAsia="楷体_GB2312"/>
                <w:kern w:val="0"/>
                <w:szCs w:val="21"/>
              </w:rPr>
            </w:pPr>
            <w:r>
              <w:rPr>
                <w:rFonts w:eastAsia="楷体_GB2312"/>
                <w:kern w:val="0"/>
                <w:szCs w:val="21"/>
              </w:rPr>
              <w:t>12</w:t>
            </w:r>
          </w:p>
        </w:tc>
        <w:tc>
          <w:tcPr>
            <w:tcW w:w="1179" w:type="dxa"/>
            <w:noWrap w:val="0"/>
            <w:vAlign w:val="center"/>
          </w:tcPr>
          <w:p w14:paraId="467C4FBC">
            <w:pPr>
              <w:pStyle w:val="20"/>
              <w:jc w:val="center"/>
              <w:rPr>
                <w:rFonts w:ascii="Times New Roman" w:hAnsi="Times New Roman" w:eastAsia="楷体_GB2312" w:cs="Times New Roman"/>
              </w:rPr>
            </w:pPr>
            <w:r>
              <w:rPr>
                <w:rFonts w:ascii="Times New Roman" w:hAnsi="Times New Roman" w:eastAsia="楷体_GB2312" w:cs="Times New Roman"/>
              </w:rPr>
              <w:t>大营镇</w:t>
            </w:r>
          </w:p>
        </w:tc>
        <w:tc>
          <w:tcPr>
            <w:tcW w:w="7087" w:type="dxa"/>
            <w:noWrap w:val="0"/>
            <w:vAlign w:val="center"/>
          </w:tcPr>
          <w:p w14:paraId="75B84B9F">
            <w:pPr>
              <w:pStyle w:val="20"/>
              <w:rPr>
                <w:rFonts w:ascii="Times New Roman" w:hAnsi="Times New Roman" w:eastAsia="楷体_GB2312" w:cs="Times New Roman"/>
              </w:rPr>
            </w:pPr>
            <w:r>
              <w:rPr>
                <w:rFonts w:ascii="Times New Roman" w:hAnsi="Times New Roman" w:eastAsia="楷体_GB2312" w:cs="Times New Roman"/>
              </w:rPr>
              <w:t>东至兴大路、解放沟，南至南环路、滨河路，西至双龙沟，北至汾洪江、福田路南侧</w:t>
            </w:r>
          </w:p>
        </w:tc>
        <w:tc>
          <w:tcPr>
            <w:tcW w:w="1416" w:type="dxa"/>
            <w:noWrap w:val="0"/>
            <w:vAlign w:val="center"/>
          </w:tcPr>
          <w:p w14:paraId="1C372010">
            <w:pPr>
              <w:pStyle w:val="20"/>
              <w:jc w:val="center"/>
              <w:rPr>
                <w:rFonts w:ascii="Times New Roman" w:hAnsi="Times New Roman" w:eastAsia="楷体_GB2312" w:cs="Times New Roman"/>
              </w:rPr>
            </w:pPr>
            <w:r>
              <w:rPr>
                <w:rFonts w:ascii="Times New Roman" w:hAnsi="Times New Roman" w:eastAsia="楷体_GB2312" w:cs="Times New Roman"/>
              </w:rPr>
              <w:t>3.86</w:t>
            </w:r>
          </w:p>
        </w:tc>
      </w:tr>
      <w:tr w14:paraId="4D3A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24" w:type="dxa"/>
            <w:noWrap w:val="0"/>
            <w:vAlign w:val="center"/>
          </w:tcPr>
          <w:p w14:paraId="103850DA">
            <w:pPr>
              <w:jc w:val="center"/>
              <w:rPr>
                <w:rFonts w:eastAsia="楷体_GB2312"/>
                <w:kern w:val="0"/>
                <w:szCs w:val="21"/>
              </w:rPr>
            </w:pPr>
            <w:r>
              <w:rPr>
                <w:rFonts w:eastAsia="楷体_GB2312"/>
                <w:kern w:val="0"/>
                <w:szCs w:val="21"/>
              </w:rPr>
              <w:t>13</w:t>
            </w:r>
          </w:p>
        </w:tc>
        <w:tc>
          <w:tcPr>
            <w:tcW w:w="1179" w:type="dxa"/>
            <w:noWrap w:val="0"/>
            <w:vAlign w:val="center"/>
          </w:tcPr>
          <w:p w14:paraId="530D815B">
            <w:pPr>
              <w:pStyle w:val="20"/>
              <w:jc w:val="center"/>
              <w:rPr>
                <w:rFonts w:ascii="Times New Roman" w:hAnsi="Times New Roman" w:eastAsia="楷体_GB2312" w:cs="Times New Roman"/>
              </w:rPr>
            </w:pPr>
            <w:r>
              <w:rPr>
                <w:rFonts w:ascii="Times New Roman" w:hAnsi="Times New Roman" w:eastAsia="楷体_GB2312" w:cs="Times New Roman"/>
              </w:rPr>
              <w:t>褚兰镇</w:t>
            </w:r>
          </w:p>
        </w:tc>
        <w:tc>
          <w:tcPr>
            <w:tcW w:w="7087" w:type="dxa"/>
            <w:noWrap w:val="0"/>
            <w:vAlign w:val="center"/>
          </w:tcPr>
          <w:p w14:paraId="5CF0BFCC">
            <w:pPr>
              <w:pStyle w:val="20"/>
              <w:rPr>
                <w:rFonts w:ascii="Times New Roman" w:hAnsi="Times New Roman" w:eastAsia="楷体_GB2312" w:cs="Times New Roman"/>
              </w:rPr>
            </w:pPr>
            <w:r>
              <w:rPr>
                <w:rFonts w:ascii="Times New Roman" w:hAnsi="Times New Roman" w:eastAsia="楷体_GB2312" w:cs="Times New Roman"/>
              </w:rPr>
              <w:t>东至东外环，南至南外环、政府大街，西至西外环，北至北外环</w:t>
            </w:r>
          </w:p>
        </w:tc>
        <w:tc>
          <w:tcPr>
            <w:tcW w:w="1416" w:type="dxa"/>
            <w:noWrap w:val="0"/>
            <w:vAlign w:val="center"/>
          </w:tcPr>
          <w:p w14:paraId="69F1865A">
            <w:pPr>
              <w:pStyle w:val="20"/>
              <w:jc w:val="center"/>
              <w:rPr>
                <w:rFonts w:ascii="Times New Roman" w:hAnsi="Times New Roman" w:eastAsia="楷体_GB2312" w:cs="Times New Roman"/>
              </w:rPr>
            </w:pPr>
            <w:r>
              <w:rPr>
                <w:rFonts w:ascii="Times New Roman" w:hAnsi="Times New Roman" w:eastAsia="楷体_GB2312" w:cs="Times New Roman"/>
              </w:rPr>
              <w:t>2.19</w:t>
            </w:r>
          </w:p>
        </w:tc>
      </w:tr>
      <w:tr w14:paraId="6C5A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24" w:type="dxa"/>
            <w:noWrap w:val="0"/>
            <w:vAlign w:val="center"/>
          </w:tcPr>
          <w:p w14:paraId="770972CD">
            <w:pPr>
              <w:jc w:val="center"/>
              <w:rPr>
                <w:rFonts w:eastAsia="楷体_GB2312"/>
                <w:kern w:val="0"/>
                <w:szCs w:val="21"/>
              </w:rPr>
            </w:pPr>
            <w:r>
              <w:rPr>
                <w:rFonts w:eastAsia="楷体_GB2312"/>
                <w:kern w:val="0"/>
                <w:szCs w:val="21"/>
              </w:rPr>
              <w:t>14</w:t>
            </w:r>
          </w:p>
        </w:tc>
        <w:tc>
          <w:tcPr>
            <w:tcW w:w="1179" w:type="dxa"/>
            <w:noWrap w:val="0"/>
            <w:vAlign w:val="center"/>
          </w:tcPr>
          <w:p w14:paraId="3F81E940">
            <w:pPr>
              <w:pStyle w:val="20"/>
              <w:jc w:val="center"/>
              <w:rPr>
                <w:rFonts w:ascii="Times New Roman" w:hAnsi="Times New Roman" w:eastAsia="楷体_GB2312" w:cs="Times New Roman"/>
              </w:rPr>
            </w:pPr>
            <w:r>
              <w:rPr>
                <w:rFonts w:ascii="Times New Roman" w:hAnsi="Times New Roman" w:eastAsia="楷体_GB2312" w:cs="Times New Roman"/>
              </w:rPr>
              <w:t>顺河镇</w:t>
            </w:r>
          </w:p>
        </w:tc>
        <w:tc>
          <w:tcPr>
            <w:tcW w:w="7087" w:type="dxa"/>
            <w:noWrap w:val="0"/>
            <w:vAlign w:val="center"/>
          </w:tcPr>
          <w:p w14:paraId="4D5CE036">
            <w:pPr>
              <w:pStyle w:val="20"/>
              <w:rPr>
                <w:rFonts w:ascii="Times New Roman" w:hAnsi="Times New Roman" w:eastAsia="楷体_GB2312" w:cs="Times New Roman"/>
              </w:rPr>
            </w:pPr>
            <w:r>
              <w:rPr>
                <w:rFonts w:ascii="Times New Roman" w:hAnsi="Times New Roman" w:eastAsia="楷体_GB2312" w:cs="Times New Roman"/>
              </w:rPr>
              <w:t>东至万顺路，南至濉河北侧河堤，西至经八路西侧，北至302省道</w:t>
            </w:r>
          </w:p>
        </w:tc>
        <w:tc>
          <w:tcPr>
            <w:tcW w:w="1416" w:type="dxa"/>
            <w:noWrap w:val="0"/>
            <w:vAlign w:val="center"/>
          </w:tcPr>
          <w:p w14:paraId="5CE0A471">
            <w:pPr>
              <w:pStyle w:val="20"/>
              <w:jc w:val="center"/>
              <w:rPr>
                <w:rFonts w:ascii="Times New Roman" w:hAnsi="Times New Roman" w:eastAsia="楷体_GB2312" w:cs="Times New Roman"/>
              </w:rPr>
            </w:pPr>
            <w:r>
              <w:rPr>
                <w:rFonts w:ascii="Times New Roman" w:hAnsi="Times New Roman" w:eastAsia="楷体_GB2312" w:cs="Times New Roman"/>
              </w:rPr>
              <w:t>4.68</w:t>
            </w:r>
          </w:p>
        </w:tc>
      </w:tr>
      <w:tr w14:paraId="419A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24" w:type="dxa"/>
            <w:noWrap w:val="0"/>
            <w:vAlign w:val="center"/>
          </w:tcPr>
          <w:p w14:paraId="55DB85F9">
            <w:pPr>
              <w:jc w:val="center"/>
              <w:rPr>
                <w:rFonts w:eastAsia="楷体_GB2312"/>
                <w:kern w:val="0"/>
                <w:szCs w:val="21"/>
              </w:rPr>
            </w:pPr>
            <w:r>
              <w:rPr>
                <w:rFonts w:eastAsia="楷体_GB2312"/>
                <w:kern w:val="0"/>
                <w:szCs w:val="21"/>
              </w:rPr>
              <w:t>15</w:t>
            </w:r>
          </w:p>
        </w:tc>
        <w:tc>
          <w:tcPr>
            <w:tcW w:w="1179" w:type="dxa"/>
            <w:noWrap w:val="0"/>
            <w:vAlign w:val="center"/>
          </w:tcPr>
          <w:p w14:paraId="298B7E96">
            <w:pPr>
              <w:pStyle w:val="20"/>
              <w:jc w:val="center"/>
              <w:rPr>
                <w:rFonts w:ascii="Times New Roman" w:hAnsi="Times New Roman" w:eastAsia="楷体_GB2312" w:cs="Times New Roman"/>
              </w:rPr>
            </w:pPr>
            <w:r>
              <w:rPr>
                <w:rFonts w:ascii="Times New Roman" w:hAnsi="Times New Roman" w:eastAsia="楷体_GB2312" w:cs="Times New Roman"/>
              </w:rPr>
              <w:t>杨庄镇</w:t>
            </w:r>
          </w:p>
        </w:tc>
        <w:tc>
          <w:tcPr>
            <w:tcW w:w="7087" w:type="dxa"/>
            <w:noWrap w:val="0"/>
            <w:vAlign w:val="center"/>
          </w:tcPr>
          <w:p w14:paraId="3DD4ADD0">
            <w:pPr>
              <w:pStyle w:val="20"/>
              <w:rPr>
                <w:rFonts w:ascii="Times New Roman" w:hAnsi="Times New Roman" w:eastAsia="楷体_GB2312" w:cs="Times New Roman"/>
              </w:rPr>
            </w:pPr>
            <w:r>
              <w:rPr>
                <w:rFonts w:ascii="Times New Roman" w:hAnsi="Times New Roman" w:eastAsia="楷体_GB2312" w:cs="Times New Roman"/>
              </w:rPr>
              <w:t>东至丰泰路、科技大道，南至人民路、曹褚路，西至西外环路，北至北外环路</w:t>
            </w:r>
          </w:p>
        </w:tc>
        <w:tc>
          <w:tcPr>
            <w:tcW w:w="1416" w:type="dxa"/>
            <w:noWrap w:val="0"/>
            <w:vAlign w:val="center"/>
          </w:tcPr>
          <w:p w14:paraId="4B881D4B">
            <w:pPr>
              <w:pStyle w:val="20"/>
              <w:jc w:val="center"/>
              <w:rPr>
                <w:rFonts w:ascii="Times New Roman" w:hAnsi="Times New Roman" w:eastAsia="楷体_GB2312" w:cs="Times New Roman"/>
              </w:rPr>
            </w:pPr>
            <w:r>
              <w:rPr>
                <w:rFonts w:ascii="Times New Roman" w:hAnsi="Times New Roman" w:eastAsia="楷体_GB2312" w:cs="Times New Roman"/>
              </w:rPr>
              <w:t>1.33</w:t>
            </w:r>
          </w:p>
        </w:tc>
      </w:tr>
      <w:tr w14:paraId="0BE6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24" w:type="dxa"/>
            <w:noWrap w:val="0"/>
            <w:vAlign w:val="center"/>
          </w:tcPr>
          <w:p w14:paraId="45B440A0">
            <w:pPr>
              <w:jc w:val="center"/>
              <w:rPr>
                <w:rFonts w:eastAsia="楷体_GB2312"/>
                <w:kern w:val="0"/>
                <w:szCs w:val="21"/>
              </w:rPr>
            </w:pPr>
            <w:r>
              <w:rPr>
                <w:rFonts w:eastAsia="楷体_GB2312"/>
                <w:kern w:val="0"/>
                <w:szCs w:val="21"/>
              </w:rPr>
              <w:t>16</w:t>
            </w:r>
          </w:p>
        </w:tc>
        <w:tc>
          <w:tcPr>
            <w:tcW w:w="1179" w:type="dxa"/>
            <w:noWrap w:val="0"/>
            <w:vAlign w:val="center"/>
          </w:tcPr>
          <w:p w14:paraId="760B535B">
            <w:pPr>
              <w:pStyle w:val="20"/>
              <w:jc w:val="center"/>
              <w:rPr>
                <w:rFonts w:ascii="Times New Roman" w:hAnsi="Times New Roman" w:eastAsia="楷体_GB2312" w:cs="Times New Roman"/>
              </w:rPr>
            </w:pPr>
            <w:r>
              <w:rPr>
                <w:rFonts w:ascii="Times New Roman" w:hAnsi="Times New Roman" w:eastAsia="楷体_GB2312" w:cs="Times New Roman"/>
              </w:rPr>
              <w:t>永镇乡</w:t>
            </w:r>
          </w:p>
        </w:tc>
        <w:tc>
          <w:tcPr>
            <w:tcW w:w="7087" w:type="dxa"/>
            <w:noWrap w:val="0"/>
            <w:vAlign w:val="center"/>
          </w:tcPr>
          <w:p w14:paraId="1DE16BE6">
            <w:pPr>
              <w:pStyle w:val="20"/>
              <w:rPr>
                <w:rFonts w:ascii="Times New Roman" w:hAnsi="Times New Roman" w:eastAsia="楷体_GB2312" w:cs="Times New Roman"/>
              </w:rPr>
            </w:pPr>
            <w:r>
              <w:rPr>
                <w:rFonts w:ascii="Times New Roman" w:hAnsi="Times New Roman" w:eastAsia="楷体_GB2312" w:cs="Times New Roman"/>
              </w:rPr>
              <w:t>东至永安路、永宜路，南至永荣路、永乐路，西至206国道、卫生院西侧，北至永胜路、永镇路、永尚路、永湖路</w:t>
            </w:r>
          </w:p>
        </w:tc>
        <w:tc>
          <w:tcPr>
            <w:tcW w:w="1416" w:type="dxa"/>
            <w:noWrap w:val="0"/>
            <w:vAlign w:val="center"/>
          </w:tcPr>
          <w:p w14:paraId="0A9F2ACD">
            <w:pPr>
              <w:pStyle w:val="20"/>
              <w:jc w:val="center"/>
              <w:rPr>
                <w:rFonts w:ascii="Times New Roman" w:hAnsi="Times New Roman" w:eastAsia="楷体_GB2312" w:cs="Times New Roman"/>
              </w:rPr>
            </w:pPr>
            <w:r>
              <w:rPr>
                <w:rFonts w:ascii="Times New Roman" w:hAnsi="Times New Roman" w:eastAsia="楷体_GB2312" w:cs="Times New Roman"/>
              </w:rPr>
              <w:t>1.38</w:t>
            </w:r>
          </w:p>
        </w:tc>
      </w:tr>
      <w:tr w14:paraId="2B3DB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24" w:type="dxa"/>
            <w:noWrap w:val="0"/>
            <w:vAlign w:val="center"/>
          </w:tcPr>
          <w:p w14:paraId="6F6A6584">
            <w:pPr>
              <w:jc w:val="center"/>
              <w:rPr>
                <w:rFonts w:eastAsia="楷体_GB2312"/>
                <w:kern w:val="0"/>
                <w:szCs w:val="21"/>
              </w:rPr>
            </w:pPr>
            <w:r>
              <w:rPr>
                <w:rFonts w:eastAsia="楷体_GB2312"/>
                <w:kern w:val="0"/>
                <w:szCs w:val="21"/>
              </w:rPr>
              <w:t>17</w:t>
            </w:r>
          </w:p>
        </w:tc>
        <w:tc>
          <w:tcPr>
            <w:tcW w:w="1179" w:type="dxa"/>
            <w:noWrap w:val="0"/>
            <w:vAlign w:val="center"/>
          </w:tcPr>
          <w:p w14:paraId="2294E670">
            <w:pPr>
              <w:pStyle w:val="20"/>
              <w:jc w:val="center"/>
              <w:rPr>
                <w:rFonts w:ascii="Times New Roman" w:hAnsi="Times New Roman" w:eastAsia="楷体_GB2312" w:cs="Times New Roman"/>
              </w:rPr>
            </w:pPr>
            <w:r>
              <w:rPr>
                <w:rFonts w:ascii="Times New Roman" w:hAnsi="Times New Roman" w:eastAsia="楷体_GB2312" w:cs="Times New Roman"/>
              </w:rPr>
              <w:t>解集镇</w:t>
            </w:r>
          </w:p>
        </w:tc>
        <w:tc>
          <w:tcPr>
            <w:tcW w:w="7087" w:type="dxa"/>
            <w:noWrap w:val="0"/>
            <w:vAlign w:val="center"/>
          </w:tcPr>
          <w:p w14:paraId="4E63F339">
            <w:pPr>
              <w:pStyle w:val="20"/>
              <w:rPr>
                <w:rFonts w:ascii="Times New Roman" w:hAnsi="Times New Roman" w:eastAsia="楷体_GB2312" w:cs="Times New Roman"/>
              </w:rPr>
            </w:pPr>
            <w:r>
              <w:rPr>
                <w:rFonts w:ascii="Times New Roman" w:hAnsi="Times New Roman" w:eastAsia="楷体_GB2312" w:cs="Times New Roman"/>
              </w:rPr>
              <w:t>东至东外环，南至新大街南侧、南外环北侧，西至河西路、拖尾河，北至山闵路</w:t>
            </w:r>
          </w:p>
        </w:tc>
        <w:tc>
          <w:tcPr>
            <w:tcW w:w="1416" w:type="dxa"/>
            <w:noWrap w:val="0"/>
            <w:vAlign w:val="center"/>
          </w:tcPr>
          <w:p w14:paraId="1E4C74EA">
            <w:pPr>
              <w:pStyle w:val="20"/>
              <w:jc w:val="center"/>
              <w:rPr>
                <w:rFonts w:ascii="Times New Roman" w:hAnsi="Times New Roman" w:eastAsia="楷体_GB2312" w:cs="Times New Roman"/>
              </w:rPr>
            </w:pPr>
            <w:r>
              <w:rPr>
                <w:rFonts w:ascii="Times New Roman" w:hAnsi="Times New Roman" w:eastAsia="楷体_GB2312" w:cs="Times New Roman"/>
              </w:rPr>
              <w:t>1.36</w:t>
            </w:r>
          </w:p>
        </w:tc>
      </w:tr>
      <w:tr w14:paraId="45F80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24" w:type="dxa"/>
            <w:noWrap w:val="0"/>
            <w:vAlign w:val="center"/>
          </w:tcPr>
          <w:p w14:paraId="4AA68BBE">
            <w:pPr>
              <w:jc w:val="center"/>
              <w:rPr>
                <w:rFonts w:eastAsia="楷体_GB2312"/>
                <w:kern w:val="0"/>
                <w:szCs w:val="21"/>
              </w:rPr>
            </w:pPr>
            <w:r>
              <w:rPr>
                <w:rFonts w:eastAsia="楷体_GB2312"/>
                <w:kern w:val="0"/>
                <w:szCs w:val="21"/>
              </w:rPr>
              <w:t>18</w:t>
            </w:r>
          </w:p>
        </w:tc>
        <w:tc>
          <w:tcPr>
            <w:tcW w:w="1179" w:type="dxa"/>
            <w:noWrap w:val="0"/>
            <w:vAlign w:val="center"/>
          </w:tcPr>
          <w:p w14:paraId="1D77A3BB">
            <w:pPr>
              <w:pStyle w:val="20"/>
              <w:jc w:val="center"/>
              <w:rPr>
                <w:rFonts w:ascii="Times New Roman" w:hAnsi="Times New Roman" w:eastAsia="楷体_GB2312" w:cs="Times New Roman"/>
              </w:rPr>
            </w:pPr>
            <w:r>
              <w:rPr>
                <w:rFonts w:ascii="Times New Roman" w:hAnsi="Times New Roman" w:eastAsia="楷体_GB2312" w:cs="Times New Roman"/>
              </w:rPr>
              <w:t>大泽乡镇</w:t>
            </w:r>
          </w:p>
        </w:tc>
        <w:tc>
          <w:tcPr>
            <w:tcW w:w="7087" w:type="dxa"/>
            <w:noWrap w:val="0"/>
            <w:vAlign w:val="center"/>
          </w:tcPr>
          <w:p w14:paraId="303F5118">
            <w:pPr>
              <w:pStyle w:val="20"/>
              <w:rPr>
                <w:rFonts w:ascii="Times New Roman" w:hAnsi="Times New Roman" w:eastAsia="楷体_GB2312" w:cs="Times New Roman"/>
              </w:rPr>
            </w:pPr>
            <w:r>
              <w:rPr>
                <w:rFonts w:ascii="Times New Roman" w:hAnsi="Times New Roman" w:eastAsia="楷体_GB2312" w:cs="Times New Roman"/>
              </w:rPr>
              <w:t>东至亲民路，南至南外环，西至滨河东路、西外环，北至南二环路、344国道</w:t>
            </w:r>
          </w:p>
        </w:tc>
        <w:tc>
          <w:tcPr>
            <w:tcW w:w="1416" w:type="dxa"/>
            <w:noWrap w:val="0"/>
            <w:vAlign w:val="center"/>
          </w:tcPr>
          <w:p w14:paraId="077025B1">
            <w:pPr>
              <w:pStyle w:val="20"/>
              <w:jc w:val="center"/>
              <w:rPr>
                <w:rFonts w:ascii="Times New Roman" w:hAnsi="Times New Roman" w:eastAsia="楷体_GB2312" w:cs="Times New Roman"/>
              </w:rPr>
            </w:pPr>
            <w:r>
              <w:rPr>
                <w:rFonts w:ascii="Times New Roman" w:hAnsi="Times New Roman" w:eastAsia="楷体_GB2312" w:cs="Times New Roman"/>
              </w:rPr>
              <w:t>2.63</w:t>
            </w:r>
          </w:p>
        </w:tc>
      </w:tr>
      <w:tr w14:paraId="2F91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24" w:type="dxa"/>
            <w:noWrap w:val="0"/>
            <w:vAlign w:val="center"/>
          </w:tcPr>
          <w:p w14:paraId="0C308EAB">
            <w:pPr>
              <w:jc w:val="center"/>
              <w:rPr>
                <w:rFonts w:eastAsia="楷体_GB2312"/>
                <w:kern w:val="0"/>
                <w:szCs w:val="21"/>
              </w:rPr>
            </w:pPr>
            <w:r>
              <w:rPr>
                <w:rFonts w:eastAsia="楷体_GB2312"/>
                <w:kern w:val="0"/>
                <w:szCs w:val="21"/>
              </w:rPr>
              <w:t>19</w:t>
            </w:r>
          </w:p>
        </w:tc>
        <w:tc>
          <w:tcPr>
            <w:tcW w:w="1179" w:type="dxa"/>
            <w:noWrap w:val="0"/>
            <w:vAlign w:val="center"/>
          </w:tcPr>
          <w:p w14:paraId="6772044E">
            <w:pPr>
              <w:pStyle w:val="20"/>
              <w:jc w:val="center"/>
              <w:rPr>
                <w:rFonts w:ascii="Times New Roman" w:hAnsi="Times New Roman" w:eastAsia="楷体_GB2312" w:cs="Times New Roman"/>
              </w:rPr>
            </w:pPr>
            <w:r>
              <w:rPr>
                <w:rFonts w:ascii="Times New Roman" w:hAnsi="Times New Roman" w:eastAsia="楷体_GB2312" w:cs="Times New Roman"/>
              </w:rPr>
              <w:t>永安镇</w:t>
            </w:r>
          </w:p>
        </w:tc>
        <w:tc>
          <w:tcPr>
            <w:tcW w:w="7087" w:type="dxa"/>
            <w:noWrap w:val="0"/>
            <w:vAlign w:val="center"/>
          </w:tcPr>
          <w:p w14:paraId="309B0484">
            <w:pPr>
              <w:pStyle w:val="20"/>
              <w:rPr>
                <w:rFonts w:ascii="Times New Roman" w:hAnsi="Times New Roman" w:eastAsia="楷体_GB2312" w:cs="Times New Roman"/>
              </w:rPr>
            </w:pPr>
            <w:r>
              <w:rPr>
                <w:rFonts w:ascii="Times New Roman" w:hAnsi="Times New Roman" w:eastAsia="楷体_GB2312" w:cs="Times New Roman"/>
              </w:rPr>
              <w:t>区域一：东至振兴路，南至纬五路，西至二徐路，北至永兴路、镇北路</w:t>
            </w:r>
          </w:p>
          <w:p w14:paraId="22CACE71">
            <w:pPr>
              <w:pStyle w:val="20"/>
              <w:rPr>
                <w:rFonts w:ascii="Times New Roman" w:hAnsi="Times New Roman" w:eastAsia="楷体_GB2312" w:cs="Times New Roman"/>
              </w:rPr>
            </w:pPr>
            <w:r>
              <w:rPr>
                <w:rFonts w:ascii="Times New Roman" w:hAnsi="Times New Roman" w:eastAsia="楷体_GB2312" w:cs="Times New Roman"/>
              </w:rPr>
              <w:t>区域二：东至振兴路，南至纬一路北侧，西至永三路，北至纬三路</w:t>
            </w:r>
          </w:p>
        </w:tc>
        <w:tc>
          <w:tcPr>
            <w:tcW w:w="1416" w:type="dxa"/>
            <w:noWrap w:val="0"/>
            <w:vAlign w:val="center"/>
          </w:tcPr>
          <w:p w14:paraId="606181BE">
            <w:pPr>
              <w:pStyle w:val="20"/>
              <w:jc w:val="center"/>
              <w:rPr>
                <w:rFonts w:ascii="Times New Roman" w:hAnsi="Times New Roman" w:eastAsia="楷体_GB2312" w:cs="Times New Roman"/>
              </w:rPr>
            </w:pPr>
            <w:r>
              <w:rPr>
                <w:rFonts w:ascii="Times New Roman" w:hAnsi="Times New Roman" w:eastAsia="楷体_GB2312" w:cs="Times New Roman"/>
              </w:rPr>
              <w:t>2.66</w:t>
            </w:r>
          </w:p>
        </w:tc>
      </w:tr>
      <w:tr w14:paraId="706C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24" w:type="dxa"/>
            <w:noWrap w:val="0"/>
            <w:vAlign w:val="center"/>
          </w:tcPr>
          <w:p w14:paraId="0C6EFE23">
            <w:pPr>
              <w:jc w:val="center"/>
              <w:rPr>
                <w:rFonts w:eastAsia="楷体_GB2312"/>
                <w:kern w:val="0"/>
                <w:szCs w:val="21"/>
              </w:rPr>
            </w:pPr>
            <w:r>
              <w:rPr>
                <w:rFonts w:eastAsia="楷体_GB2312"/>
                <w:kern w:val="0"/>
                <w:szCs w:val="21"/>
              </w:rPr>
              <w:t>20</w:t>
            </w:r>
          </w:p>
        </w:tc>
        <w:tc>
          <w:tcPr>
            <w:tcW w:w="1179" w:type="dxa"/>
            <w:noWrap w:val="0"/>
            <w:vAlign w:val="center"/>
          </w:tcPr>
          <w:p w14:paraId="473E46D2">
            <w:pPr>
              <w:pStyle w:val="20"/>
              <w:jc w:val="center"/>
              <w:rPr>
                <w:rFonts w:ascii="Times New Roman" w:hAnsi="Times New Roman" w:eastAsia="楷体_GB2312" w:cs="Times New Roman"/>
              </w:rPr>
            </w:pPr>
            <w:r>
              <w:rPr>
                <w:rFonts w:ascii="Times New Roman" w:hAnsi="Times New Roman" w:eastAsia="楷体_GB2312" w:cs="Times New Roman"/>
              </w:rPr>
              <w:t>支河乡</w:t>
            </w:r>
          </w:p>
        </w:tc>
        <w:tc>
          <w:tcPr>
            <w:tcW w:w="7087" w:type="dxa"/>
            <w:noWrap w:val="0"/>
            <w:vAlign w:val="center"/>
          </w:tcPr>
          <w:p w14:paraId="02A526F6">
            <w:pPr>
              <w:pStyle w:val="20"/>
              <w:rPr>
                <w:rFonts w:ascii="Times New Roman" w:hAnsi="Times New Roman" w:eastAsia="楷体_GB2312" w:cs="Times New Roman"/>
              </w:rPr>
            </w:pPr>
            <w:r>
              <w:rPr>
                <w:rFonts w:ascii="Times New Roman" w:hAnsi="Times New Roman" w:eastAsia="楷体_GB2312" w:cs="Times New Roman"/>
              </w:rPr>
              <w:t>东至外环东路，南至外环南路，西至外环西路、振兴路，北至外环北路、富民路、幸福大道</w:t>
            </w:r>
          </w:p>
        </w:tc>
        <w:tc>
          <w:tcPr>
            <w:tcW w:w="1416" w:type="dxa"/>
            <w:noWrap w:val="0"/>
            <w:vAlign w:val="center"/>
          </w:tcPr>
          <w:p w14:paraId="66DE0D12">
            <w:pPr>
              <w:pStyle w:val="20"/>
              <w:jc w:val="center"/>
              <w:rPr>
                <w:rFonts w:ascii="Times New Roman" w:hAnsi="Times New Roman" w:eastAsia="楷体_GB2312" w:cs="Times New Roman"/>
              </w:rPr>
            </w:pPr>
            <w:r>
              <w:rPr>
                <w:rFonts w:ascii="Times New Roman" w:hAnsi="Times New Roman" w:eastAsia="楷体_GB2312" w:cs="Times New Roman"/>
              </w:rPr>
              <w:t>1.72</w:t>
            </w:r>
          </w:p>
        </w:tc>
      </w:tr>
      <w:tr w14:paraId="65AFF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24" w:type="dxa"/>
            <w:noWrap w:val="0"/>
            <w:vAlign w:val="center"/>
          </w:tcPr>
          <w:p w14:paraId="2CE032BB">
            <w:pPr>
              <w:jc w:val="center"/>
              <w:rPr>
                <w:rFonts w:eastAsia="楷体_GB2312"/>
                <w:kern w:val="0"/>
                <w:szCs w:val="21"/>
              </w:rPr>
            </w:pPr>
            <w:r>
              <w:rPr>
                <w:rFonts w:eastAsia="楷体_GB2312"/>
                <w:kern w:val="0"/>
                <w:szCs w:val="21"/>
              </w:rPr>
              <w:t>21</w:t>
            </w:r>
          </w:p>
        </w:tc>
        <w:tc>
          <w:tcPr>
            <w:tcW w:w="1179" w:type="dxa"/>
            <w:noWrap w:val="0"/>
            <w:vAlign w:val="center"/>
          </w:tcPr>
          <w:p w14:paraId="23685937">
            <w:pPr>
              <w:pStyle w:val="20"/>
              <w:jc w:val="center"/>
              <w:rPr>
                <w:rFonts w:ascii="Times New Roman" w:hAnsi="Times New Roman" w:eastAsia="楷体_GB2312" w:cs="Times New Roman"/>
              </w:rPr>
            </w:pPr>
            <w:r>
              <w:rPr>
                <w:rFonts w:ascii="Times New Roman" w:hAnsi="Times New Roman" w:eastAsia="楷体_GB2312" w:cs="Times New Roman"/>
              </w:rPr>
              <w:t>灰古镇</w:t>
            </w:r>
          </w:p>
        </w:tc>
        <w:tc>
          <w:tcPr>
            <w:tcW w:w="7087" w:type="dxa"/>
            <w:noWrap w:val="0"/>
            <w:vAlign w:val="center"/>
          </w:tcPr>
          <w:p w14:paraId="1A581C02">
            <w:pPr>
              <w:pStyle w:val="20"/>
              <w:rPr>
                <w:rFonts w:ascii="Times New Roman" w:hAnsi="Times New Roman" w:eastAsia="楷体_GB2312" w:cs="Times New Roman"/>
              </w:rPr>
            </w:pPr>
            <w:r>
              <w:rPr>
                <w:rFonts w:ascii="Times New Roman" w:hAnsi="Times New Roman" w:eastAsia="楷体_GB2312" w:cs="Times New Roman"/>
              </w:rPr>
              <w:t>东至东外环路，南至灰南路，西至朱徐路，北至沿河路</w:t>
            </w:r>
          </w:p>
        </w:tc>
        <w:tc>
          <w:tcPr>
            <w:tcW w:w="1416" w:type="dxa"/>
            <w:noWrap w:val="0"/>
            <w:vAlign w:val="center"/>
          </w:tcPr>
          <w:p w14:paraId="439F5E47">
            <w:pPr>
              <w:pStyle w:val="20"/>
              <w:jc w:val="center"/>
              <w:rPr>
                <w:rFonts w:ascii="Times New Roman" w:hAnsi="Times New Roman" w:eastAsia="楷体_GB2312" w:cs="Times New Roman"/>
              </w:rPr>
            </w:pPr>
            <w:r>
              <w:rPr>
                <w:rFonts w:ascii="Times New Roman" w:hAnsi="Times New Roman" w:eastAsia="楷体_GB2312" w:cs="Times New Roman"/>
              </w:rPr>
              <w:t>1.42</w:t>
            </w:r>
          </w:p>
        </w:tc>
      </w:tr>
      <w:tr w14:paraId="172A0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24" w:type="dxa"/>
            <w:noWrap w:val="0"/>
            <w:vAlign w:val="center"/>
          </w:tcPr>
          <w:p w14:paraId="39733B30">
            <w:pPr>
              <w:jc w:val="center"/>
              <w:rPr>
                <w:rFonts w:eastAsia="楷体_GB2312"/>
                <w:kern w:val="0"/>
                <w:szCs w:val="21"/>
              </w:rPr>
            </w:pPr>
            <w:r>
              <w:rPr>
                <w:rFonts w:eastAsia="楷体_GB2312"/>
                <w:kern w:val="0"/>
                <w:szCs w:val="21"/>
              </w:rPr>
              <w:t>22</w:t>
            </w:r>
          </w:p>
        </w:tc>
        <w:tc>
          <w:tcPr>
            <w:tcW w:w="1179" w:type="dxa"/>
            <w:noWrap w:val="0"/>
            <w:vAlign w:val="center"/>
          </w:tcPr>
          <w:p w14:paraId="4C01BE36">
            <w:pPr>
              <w:pStyle w:val="20"/>
              <w:jc w:val="center"/>
              <w:rPr>
                <w:rFonts w:ascii="Times New Roman" w:hAnsi="Times New Roman" w:eastAsia="楷体_GB2312" w:cs="Times New Roman"/>
              </w:rPr>
            </w:pPr>
            <w:r>
              <w:rPr>
                <w:rFonts w:ascii="Times New Roman" w:hAnsi="Times New Roman" w:eastAsia="楷体_GB2312" w:cs="Times New Roman"/>
              </w:rPr>
              <w:t>桃沟乡</w:t>
            </w:r>
          </w:p>
        </w:tc>
        <w:tc>
          <w:tcPr>
            <w:tcW w:w="7087" w:type="dxa"/>
            <w:noWrap w:val="0"/>
            <w:vAlign w:val="center"/>
          </w:tcPr>
          <w:p w14:paraId="7D99308D">
            <w:pPr>
              <w:pStyle w:val="20"/>
              <w:rPr>
                <w:rFonts w:ascii="Times New Roman" w:hAnsi="Times New Roman" w:eastAsia="楷体_GB2312" w:cs="Times New Roman"/>
              </w:rPr>
            </w:pPr>
            <w:r>
              <w:rPr>
                <w:rFonts w:ascii="Times New Roman" w:hAnsi="Times New Roman" w:eastAsia="楷体_GB2312" w:cs="Times New Roman"/>
              </w:rPr>
              <w:t>东至东外环、世纪大道，南至南外环，西至西外环，北至北外环</w:t>
            </w:r>
          </w:p>
        </w:tc>
        <w:tc>
          <w:tcPr>
            <w:tcW w:w="1416" w:type="dxa"/>
            <w:noWrap w:val="0"/>
            <w:vAlign w:val="center"/>
          </w:tcPr>
          <w:p w14:paraId="58598EFC">
            <w:pPr>
              <w:pStyle w:val="20"/>
              <w:jc w:val="center"/>
              <w:rPr>
                <w:rFonts w:ascii="Times New Roman" w:hAnsi="Times New Roman" w:eastAsia="楷体_GB2312" w:cs="Times New Roman"/>
              </w:rPr>
            </w:pPr>
            <w:r>
              <w:rPr>
                <w:rFonts w:ascii="Times New Roman" w:hAnsi="Times New Roman" w:eastAsia="楷体_GB2312" w:cs="Times New Roman"/>
              </w:rPr>
              <w:t>1.19</w:t>
            </w:r>
          </w:p>
        </w:tc>
      </w:tr>
    </w:tbl>
    <w:p w14:paraId="6F9DD42D">
      <w:pPr>
        <w:spacing w:line="300" w:lineRule="exact"/>
        <w:rPr>
          <w:rFonts w:eastAsia="楷体_GB2312"/>
        </w:rPr>
      </w:pPr>
      <w:r>
        <w:rPr>
          <w:rFonts w:eastAsia="楷体_GB2312"/>
        </w:rPr>
        <w:t>注：二级地区域需扣除一级地区域</w:t>
      </w:r>
      <w:r>
        <w:rPr>
          <w:rFonts w:hint="eastAsia" w:eastAsia="楷体_GB2312"/>
        </w:rPr>
        <w:t>、三</w:t>
      </w:r>
      <w:r>
        <w:rPr>
          <w:rFonts w:eastAsia="楷体_GB2312"/>
        </w:rPr>
        <w:t>级地区域需扣除</w:t>
      </w:r>
      <w:r>
        <w:rPr>
          <w:rFonts w:hint="eastAsia" w:eastAsia="楷体_GB2312"/>
        </w:rPr>
        <w:t>二</w:t>
      </w:r>
      <w:r>
        <w:rPr>
          <w:rFonts w:eastAsia="楷体_GB2312"/>
        </w:rPr>
        <w:t>级地区域</w:t>
      </w:r>
      <w:r>
        <w:rPr>
          <w:rFonts w:hint="eastAsia" w:eastAsia="楷体_GB2312"/>
        </w:rPr>
        <w:t>。</w:t>
      </w:r>
    </w:p>
    <w:p w14:paraId="00C57732">
      <w:pPr>
        <w:pStyle w:val="2"/>
        <w:widowControl w:val="0"/>
        <w:spacing w:line="240" w:lineRule="auto"/>
        <w:jc w:val="center"/>
      </w:pPr>
      <w:bookmarkStart w:id="58" w:name="_Toc124427272"/>
      <w:bookmarkStart w:id="59" w:name="_Toc62563672"/>
      <w:r>
        <w:br w:type="page"/>
      </w:r>
      <w:r>
        <w:t>第二篇　基准地价更新技术报告</w:t>
      </w:r>
      <w:bookmarkEnd w:id="58"/>
      <w:bookmarkEnd w:id="59"/>
    </w:p>
    <w:p w14:paraId="2097B1BE">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根据《城镇土地估价规程》和《</w:t>
      </w:r>
      <w:r>
        <w:rPr>
          <w:rFonts w:hint="eastAsia" w:ascii="楷体" w:hAnsi="楷体" w:eastAsia="楷体" w:cs="宋体"/>
          <w:sz w:val="28"/>
        </w:rPr>
        <w:t>埇</w:t>
      </w:r>
      <w:r>
        <w:rPr>
          <w:rFonts w:hint="eastAsia" w:ascii="楷体" w:hAnsi="楷体" w:eastAsia="楷体" w:cs="楷体_GB2312"/>
          <w:sz w:val="28"/>
        </w:rPr>
        <w:t>桥区</w:t>
      </w:r>
      <w:r>
        <w:rPr>
          <w:rFonts w:ascii="Times New Roman" w:hAnsi="Times New Roman" w:eastAsia="楷体_GB2312" w:cs="Times New Roman"/>
          <w:sz w:val="28"/>
        </w:rPr>
        <w:t>乡镇土地定级与基准地价更新技术方案》技术要求，综合确定了土地估价参数；利用土地市场交易资料采用市场比较法、收益还原法、剩余法和成本逼近法，初步测算了样点地价；对各样点地价进行了期日修正、年期修正、容积率修正和开发程度修正等，将样点地价修正到本次基准地价更新所设定的地价内涵和土地开发条件下的样点地价。在样点地价测算和修正的基础上，运用数理统计法和经验判断法进行了参算样点的选择，测算了各乡镇各用地类型各级别地价，并建立了宗地地价修正体系。</w:t>
      </w:r>
    </w:p>
    <w:p w14:paraId="0B80B773">
      <w:pPr>
        <w:pStyle w:val="3"/>
        <w:spacing w:line="480" w:lineRule="exact"/>
        <w:jc w:val="center"/>
        <w:rPr>
          <w:rFonts w:ascii="Times New Roman" w:hAnsi="Times New Roman" w:eastAsia="宋体"/>
          <w:sz w:val="36"/>
        </w:rPr>
      </w:pPr>
      <w:bookmarkStart w:id="60" w:name="_Toc62563673"/>
      <w:r>
        <w:rPr>
          <w:rFonts w:ascii="Times New Roman" w:hAnsi="Times New Roman" w:eastAsia="宋体"/>
          <w:sz w:val="36"/>
        </w:rPr>
        <w:t>第一章  基准地价更新技术路线和技术方法</w:t>
      </w:r>
      <w:bookmarkEnd w:id="60"/>
    </w:p>
    <w:p w14:paraId="66A0AC3E">
      <w:pPr>
        <w:pStyle w:val="4"/>
        <w:numPr>
          <w:ilvl w:val="0"/>
          <w:numId w:val="0"/>
        </w:numPr>
        <w:spacing w:line="240" w:lineRule="auto"/>
        <w:jc w:val="center"/>
        <w:rPr>
          <w:rFonts w:eastAsia="仿宋_GB2312"/>
          <w:bCs w:val="0"/>
        </w:rPr>
      </w:pPr>
      <w:bookmarkStart w:id="61" w:name="_Toc62563674"/>
      <w:r>
        <w:rPr>
          <w:rFonts w:eastAsia="仿宋_GB2312"/>
          <w:bCs w:val="0"/>
        </w:rPr>
        <w:t>第一节  基准地价更新原则</w:t>
      </w:r>
      <w:bookmarkEnd w:id="61"/>
    </w:p>
    <w:p w14:paraId="070440F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按照国家标准《城镇土地估价规程》（GB/T18508-2014）要求和城镇实际情况，本次基准地价更新主要遵循以下基本原则：</w:t>
      </w:r>
    </w:p>
    <w:p w14:paraId="6259678B">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一、预期收益原则</w:t>
      </w:r>
    </w:p>
    <w:p w14:paraId="53586AA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预期收益原则是指以估价对象在正常利用条件下的未来客观有效的预期收益为依据。价值是未来可获得利益的预期产生的。在土地市场，财产的当前价值通常不是依据其历史价格或生产成本而定，相反，价值决定于市场参与者对未来利益的预期。不同类型的土地价值的产生依据各异，如自用型土地的价值主要取决于未来预期利益、舒适性及拥有和占有的乐趣；收益性土地价值取决于其未来能产生的收益等。依据预期收益原则，对商品房开发和二手房交易的成交售价和租金状况进行调查，便可进行调查样点地价测算，为基准地价更新提供科学依据。</w:t>
      </w:r>
    </w:p>
    <w:p w14:paraId="5FD091CB">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二、替代原则</w:t>
      </w:r>
    </w:p>
    <w:p w14:paraId="14C3EAC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替代原则是指以相邻地区或类似地区功能相同、条件相似的土地市场交易价格为依据，估价结果不能明显偏离具有替代性质的土地正常价格。替代原则说明，当若干相似或等量的商品、物品或服务是可替代时，最低价格者将吸引最大的需求和最广的分配。此原则假定市场行为是理性且谨慎的，不存在因迟延而产生的不当成本。土地价值，通常由可替代土地的价格所决定。替代原则认为土地受让者和出让者有选择权，即有其他具有相似用途的土地可供替代使用。某宗土地是否可作为另一宗土地的替代物，应依其用途、使用条件、获利能力等加以考虑。替代原则是三种基本评估方法—市场比较法、成本逼近法和收益还原法的基础。具体来说，在假定没有因迟延而产生的不当成本的条件下，如取得成本可能是取得相同效用土地的成本，此为成本逼近法的基础；如取得成本是可能为取得相同效用的现有土地所支付的价格，此为市场比较法的基础；如取得成本是可能产生相等投资报酬和相同风险的现有投资土地决定的，此为收益还原法的基础。替代原则是进行样点地价同一性检验，样点地价容积率、期日等系列修正和地价区段划分的理论依据。</w:t>
      </w:r>
    </w:p>
    <w:p w14:paraId="047A0283">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三、最有效利用原则</w:t>
      </w:r>
    </w:p>
    <w:p w14:paraId="429C2710">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最有效利用原则是指以估价对象的最有效利用为前提估价。判断土地的最有效利用以土地利用符合其自身利用条件、法律法规政策及规划限制、市场要求和最佳利用程度等。在市场经济中，土地用途、利用方式的多样性，能为权利人带来不同的收益，且权利人都试图充分发挥其拥有的土地潜力，以获得最大的经济利益。因此土地估价以估价对象的最有效利用为前提估价，但必须符合法律上（包括法律、行政法规、城镇规划、土地使用权出让合同等）许可、技术上许可、经济上许可、价值最大化等四个标准。最有效利用原则与合法原则的依据是城镇总体规划。容积率对商服、住宅用地样点地价影响很大，在遵循城镇规划的前提下，合理确定容积率，使土地利用达到最有效方式。因此，对不同容积率的样点地价进行容积率修正，就是基于这一原则。</w:t>
      </w:r>
    </w:p>
    <w:p w14:paraId="740282BA">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四、供需原则</w:t>
      </w:r>
    </w:p>
    <w:p w14:paraId="1A93278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供需原则是指以市场供需决定土地价格为依据，并充分考虑土地供需的特殊性和土地市场的地域性。在完全的自由市场中，一般商品的价格取决于需求与供给的均衡点，需求超过供给，价格随之提高；反之，供给超过需求，价格随之下降，这就是供求均衡法则。由于土地具有地理位置的固定性、面积的有限性等自然特性，使价格独占性较强，需求与供给都限于局部地区，供给量有限，竞争主要是在需求方面进行，即土地不能实行完全竞争。因此，土地不能仅根据均衡法则来决定价格，尤其在我国城镇中的国有土地，在市场中能够流动的仅是有限年期的土地使用权，土地供给主要由国家控制，这一因素对地价具有至关重要的影响。因此在进行基准地价评估时，必须考虑商服、住宅、</w:t>
      </w:r>
      <w:r>
        <w:rPr>
          <w:rFonts w:hint="eastAsia" w:ascii="Times New Roman" w:hAnsi="Times New Roman" w:eastAsia="楷体_GB2312" w:cs="Times New Roman"/>
          <w:sz w:val="28"/>
        </w:rPr>
        <w:t>工矿仓储</w:t>
      </w:r>
      <w:r>
        <w:rPr>
          <w:rFonts w:ascii="Times New Roman" w:hAnsi="Times New Roman" w:eastAsia="楷体_GB2312" w:cs="Times New Roman"/>
          <w:sz w:val="28"/>
        </w:rPr>
        <w:t>用</w:t>
      </w:r>
      <w:r>
        <w:rPr>
          <w:rFonts w:hint="eastAsia" w:ascii="Times New Roman" w:hAnsi="Times New Roman" w:eastAsia="楷体_GB2312" w:cs="Times New Roman"/>
          <w:sz w:val="28"/>
        </w:rPr>
        <w:t>地</w:t>
      </w:r>
      <w:r>
        <w:rPr>
          <w:rFonts w:ascii="Times New Roman" w:hAnsi="Times New Roman" w:eastAsia="楷体_GB2312" w:cs="Times New Roman"/>
          <w:sz w:val="28"/>
        </w:rPr>
        <w:t>在供需矛盾方面的差别。商服、住宅用地供给采用招标、拍卖、挂牌方式，使需求方进行充分的市场竞争，因此，其基准地价可根据土地市场交易价格作出判断。工矿仓储用地供给原大多采用协议出让方式，2006年8月《国务院关于加强土地调控有关问题的通知》（国发［2006］31号）要求“工业用地必须采用招标拍卖挂牌方式出让”，其市场交易价格较充分地反映了供需双方的竞争。</w:t>
      </w:r>
    </w:p>
    <w:p w14:paraId="43D3F4B0">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五、报酬递增递减原则</w:t>
      </w:r>
    </w:p>
    <w:p w14:paraId="600B24CB">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报酬递增递减原则是指考虑在技术等条件一定的前提下，土地纯收益会随着土地投资的增加而出现由递增到递减的特点。其实质是指一种投入产出关系，意即在一种投入量变动而其他投入量固定情况下的投入产出关系，即假定仅有一种投入量是可变的，其他的投入量保持不变，则随着该种可变投入量的增加，在开始时，产出量的增加有可能是递增的；但当这种可变投入量的继续增加达到某一点以后，产出量的增加会越来越小，即会出现递减现象。在土地估价中表现为如果一宗土地的使用强度（如建筑层数、建筑高度、建筑容积率、建筑规模）超过一定限度后，收益就会开始下降。报酬递增递减原则有利于确定待估宗地的最佳集约度和最佳规模。基于这一原则，在进行样点地价容积率修正时，必须确定各级别各类用地的合理容积率区段。</w:t>
      </w:r>
    </w:p>
    <w:p w14:paraId="4AA42030">
      <w:pPr>
        <w:pStyle w:val="20"/>
        <w:spacing w:before="120" w:beforeLines="50" w:line="480" w:lineRule="exact"/>
        <w:rPr>
          <w:rFonts w:ascii="Times New Roman" w:hAnsi="Times New Roman" w:cs="Times New Roman"/>
          <w:b/>
          <w:sz w:val="28"/>
        </w:rPr>
      </w:pPr>
    </w:p>
    <w:p w14:paraId="4FB679E9">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六、贡献原则</w:t>
      </w:r>
    </w:p>
    <w:p w14:paraId="6D615718">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贡献原则是指土地总收益是由土地及其他生产要素共同作用的结果，土地的价格可以土地收益的贡献大小来决定。贡献原则说明，在整体土地价值中，特定因素的价值可由其对整体土地价值的贡献方式，或者假设无此因素时从整体土地价值中扣减的数额来衡量。剩余法和收益还原法在样点地价测算时，必须剥离出其它生产要素和房屋、设备、经营等带来的收益或价值。</w:t>
      </w:r>
    </w:p>
    <w:p w14:paraId="5533A380">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七、变动原则</w:t>
      </w:r>
    </w:p>
    <w:p w14:paraId="70D86BCA">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变动原则是指估价人员应把握土地价格影响因素及土地价格的变动规律，准确地评估价格。土地市场上变动的现象随处可见，社会、经济、行政和环境等各项因素的动态变化足以影响土地的需求和供给，进而影响土地的价值。因此，在土地估价时，必须分析影响土地的效用、稀缺性、个别性及有效需求以及使这些因素发生变动的一般因素、区域因素及个别因素，把握各因素之间的因果关系及其变动规律，以便根据目前的地价水平预测未来的土地价格。根据变动原则，首先设定了本次基准地价更新的地价内涵和估价期日，为了进行样点地价的期日修正，进行地价指数的测算和编制工作。</w:t>
      </w:r>
    </w:p>
    <w:p w14:paraId="1C965866">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八、发现和模拟市场原则</w:t>
      </w:r>
    </w:p>
    <w:p w14:paraId="07CF6E6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评估公共管理与公共服务用地基准地价时应考虑发现并模拟市场价格原则，评估该类用地的正常市场价格。在特定市场情况下，可根据中央及地方的相关法律与政策，对前述的正常市场价格进行修正，测算基于特定政策约束下的参考价格。此次主要利用市场实际发生的征地案例，模拟测算公共管理与公共服务用地基准地价。</w:t>
      </w:r>
    </w:p>
    <w:p w14:paraId="64552F92">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九、区分市场定价与政策优惠的原则</w:t>
      </w:r>
    </w:p>
    <w:p w14:paraId="43AE03F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评估公共管理与公共服务用地基准地价时，应比照同一供需圈内相同类别用地的市场价格；在缺乏同类用地市场价格的情况下，可参考与区域土地利用规划相符的毗邻地价格。</w:t>
      </w:r>
    </w:p>
    <w:p w14:paraId="73868EF6">
      <w:pPr>
        <w:pStyle w:val="4"/>
        <w:numPr>
          <w:ilvl w:val="0"/>
          <w:numId w:val="0"/>
        </w:numPr>
        <w:spacing w:line="240" w:lineRule="auto"/>
        <w:jc w:val="center"/>
        <w:rPr>
          <w:rFonts w:eastAsia="仿宋_GB2312"/>
          <w:bCs w:val="0"/>
        </w:rPr>
      </w:pPr>
      <w:bookmarkStart w:id="62" w:name="_Toc62563675"/>
      <w:r>
        <w:rPr>
          <w:rFonts w:eastAsia="仿宋_GB2312"/>
          <w:bCs w:val="0"/>
        </w:rPr>
        <w:t>第二节  基准地价更新的技术路线和技术方法</w:t>
      </w:r>
      <w:bookmarkEnd w:id="62"/>
    </w:p>
    <w:p w14:paraId="2218C5E9">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一、技术路线</w:t>
      </w:r>
    </w:p>
    <w:p w14:paraId="0066B90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本次基准地价更新的技术路线可概括为：在全面收集各乡镇基准地价测算的房地出租、出售资料、商品房开发过程中的商品房造价、售价、商品房开发、征地拆迁标准等资料，征地、土地使用权出让情况以及房屋重置价、物价指数等资料的基础上，以土地综合定级成果为基础，应用LD软件技术，建立城镇基准地价更新工作数据库。运用收益还原法、市场比较法、剩余法、成本逼近法初步测算样点地价；根据本次基准地价更新设定的地价内涵，对初步测算的样点地价进行期日、容积率、开发水平、使用年期等系列修正，评定与本次评估地价内涵相一致的样点地价；采用数理统计方法对样点地价数学分布做出判定。</w:t>
      </w:r>
    </w:p>
    <w:p w14:paraId="2FB6CBD3">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二、技术方法</w:t>
      </w:r>
    </w:p>
    <w:p w14:paraId="3F2D913B">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1、应用LD软件、数据库技术和方法，建立城镇基准地价更新工作数据库。本次基准地价更新建立的工作数据库不仅是本次基准地价更新的数据和技术支撑，也是今后基准地价成果更新的基础。</w:t>
      </w:r>
    </w:p>
    <w:p w14:paraId="5D8A173A">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2、运用工作数据库建立城镇基准地价更新样点地价属性工作数据库，运用GIS技术建立样点地价空间工作数据库，采用地理编码技术对样点地价属性工作数据库和空间工作数据库进行匹配。</w:t>
      </w:r>
    </w:p>
    <w:p w14:paraId="369C5FF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3、根据国家标准《城镇土地估价规程》（GB/T18508-2014）中规定的技术途径和估价方法，测算样点地价。具体途径是：</w:t>
      </w:r>
    </w:p>
    <w:p w14:paraId="2692E13A">
      <w:pPr>
        <w:pStyle w:val="20"/>
        <w:spacing w:line="480" w:lineRule="exact"/>
        <w:ind w:firstLine="560" w:firstLineChars="200"/>
        <w:rPr>
          <w:rFonts w:ascii="Times New Roman" w:hAnsi="Times New Roman" w:eastAsia="楷体_GB2312" w:cs="Times New Roman"/>
          <w:sz w:val="28"/>
        </w:rPr>
      </w:pPr>
      <w:r>
        <w:rPr>
          <w:rFonts w:ascii="Times New Roman" w:hAnsi="Times New Roman" w:cs="Times New Roman"/>
          <w:sz w:val="28"/>
        </w:rPr>
        <w:t>（1）</w:t>
      </w:r>
      <w:r>
        <w:rPr>
          <w:rFonts w:ascii="Times New Roman" w:hAnsi="Times New Roman" w:eastAsia="楷体_GB2312" w:cs="Times New Roman"/>
          <w:sz w:val="28"/>
        </w:rPr>
        <w:t>采用收益还原法初步测算房地出租样点地价；</w:t>
      </w:r>
    </w:p>
    <w:p w14:paraId="58FEBA64">
      <w:pPr>
        <w:pStyle w:val="20"/>
        <w:spacing w:line="480" w:lineRule="exact"/>
        <w:ind w:firstLine="560" w:firstLineChars="200"/>
        <w:rPr>
          <w:rFonts w:ascii="Times New Roman" w:hAnsi="Times New Roman" w:eastAsia="楷体_GB2312" w:cs="Times New Roman"/>
          <w:sz w:val="28"/>
        </w:rPr>
      </w:pPr>
      <w:r>
        <w:rPr>
          <w:rFonts w:ascii="Times New Roman" w:hAnsi="Times New Roman" w:cs="Times New Roman"/>
          <w:sz w:val="28"/>
        </w:rPr>
        <w:t>（2）</w:t>
      </w:r>
      <w:r>
        <w:rPr>
          <w:rFonts w:ascii="Times New Roman" w:hAnsi="Times New Roman" w:eastAsia="楷体_GB2312" w:cs="Times New Roman"/>
          <w:sz w:val="28"/>
        </w:rPr>
        <w:t>采用剩余法初步测算房地出售样点地价；</w:t>
      </w:r>
    </w:p>
    <w:p w14:paraId="4A621809">
      <w:pPr>
        <w:pStyle w:val="20"/>
        <w:spacing w:line="480" w:lineRule="exact"/>
        <w:ind w:firstLine="560" w:firstLineChars="200"/>
        <w:rPr>
          <w:rFonts w:ascii="Times New Roman" w:hAnsi="Times New Roman" w:eastAsia="楷体_GB2312" w:cs="Times New Roman"/>
          <w:sz w:val="28"/>
        </w:rPr>
      </w:pPr>
      <w:r>
        <w:rPr>
          <w:rFonts w:ascii="Times New Roman" w:hAnsi="Times New Roman" w:cs="Times New Roman"/>
          <w:sz w:val="28"/>
        </w:rPr>
        <w:t>（3）</w:t>
      </w:r>
      <w:r>
        <w:rPr>
          <w:rFonts w:ascii="Times New Roman" w:hAnsi="Times New Roman" w:eastAsia="楷体_GB2312" w:cs="Times New Roman"/>
          <w:sz w:val="28"/>
        </w:rPr>
        <w:t>采用出让样点初步测算工矿仓储用地样点地价；</w:t>
      </w:r>
    </w:p>
    <w:p w14:paraId="5328452E">
      <w:pPr>
        <w:pStyle w:val="20"/>
        <w:spacing w:line="480" w:lineRule="exact"/>
        <w:ind w:firstLine="560" w:firstLineChars="200"/>
        <w:rPr>
          <w:rFonts w:ascii="Times New Roman" w:hAnsi="Times New Roman" w:eastAsia="楷体_GB2312" w:cs="Times New Roman"/>
          <w:sz w:val="28"/>
        </w:rPr>
      </w:pPr>
      <w:r>
        <w:rPr>
          <w:rFonts w:ascii="Times New Roman" w:hAnsi="Times New Roman" w:cs="Times New Roman"/>
          <w:sz w:val="28"/>
        </w:rPr>
        <w:t>（4）</w:t>
      </w:r>
      <w:r>
        <w:rPr>
          <w:rFonts w:ascii="Times New Roman" w:hAnsi="Times New Roman" w:eastAsia="楷体_GB2312" w:cs="Times New Roman"/>
          <w:sz w:val="28"/>
        </w:rPr>
        <w:t>利用成本和收益测算公管公服；</w:t>
      </w:r>
    </w:p>
    <w:p w14:paraId="4EC528C4">
      <w:pPr>
        <w:pStyle w:val="20"/>
        <w:spacing w:line="480" w:lineRule="exact"/>
        <w:ind w:firstLine="560" w:firstLineChars="200"/>
        <w:rPr>
          <w:rFonts w:ascii="Times New Roman" w:hAnsi="Times New Roman" w:eastAsia="楷体_GB2312" w:cs="Times New Roman"/>
          <w:sz w:val="28"/>
        </w:rPr>
      </w:pPr>
      <w:r>
        <w:rPr>
          <w:rFonts w:ascii="Times New Roman" w:hAnsi="Times New Roman" w:cs="Times New Roman"/>
          <w:sz w:val="28"/>
        </w:rPr>
        <w:t>（5）</w:t>
      </w:r>
      <w:r>
        <w:rPr>
          <w:rFonts w:ascii="Times New Roman" w:hAnsi="Times New Roman" w:eastAsia="楷体_GB2312" w:cs="Times New Roman"/>
          <w:sz w:val="28"/>
        </w:rPr>
        <w:t>依照本次基准地价更新设定的地价内涵，对样点地价进行期日、容积率、开发水平等一系列修正。</w:t>
      </w:r>
    </w:p>
    <w:p w14:paraId="58B93F26">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4、运用数理统计方法对样点地价分布类型做出判断，对于正态分布，采用t检验法剔除异常样点，确定参算样点，对于非正态分布，采用方差法剔除异常样点，确定参算样点，然后根据样点宗地地价面积加权法分别测算商服、住宅用地各级别平均地价。</w:t>
      </w:r>
    </w:p>
    <w:p w14:paraId="09E21EF6">
      <w:pPr>
        <w:pStyle w:val="20"/>
        <w:spacing w:line="480" w:lineRule="exact"/>
        <w:ind w:firstLine="560" w:firstLineChars="200"/>
        <w:rPr>
          <w:rFonts w:hint="eastAsia" w:ascii="Times New Roman" w:hAnsi="Times New Roman" w:eastAsia="楷体_GB2312" w:cs="Times New Roman"/>
          <w:sz w:val="28"/>
        </w:rPr>
      </w:pPr>
      <w:r>
        <w:rPr>
          <w:rFonts w:ascii="Times New Roman" w:hAnsi="Times New Roman" w:eastAsia="楷体_GB2312" w:cs="Times New Roman"/>
          <w:sz w:val="28"/>
        </w:rPr>
        <w:t>5、综合分析多种途径测算各用途各级别平均地价的评估结果，依据基准地价确定原则和方法，最终确定各类型各级别基准地价。</w:t>
      </w:r>
    </w:p>
    <w:p w14:paraId="6A0A7D92">
      <w:pPr>
        <w:pStyle w:val="20"/>
        <w:spacing w:line="480" w:lineRule="exact"/>
        <w:ind w:firstLine="560" w:firstLineChars="200"/>
        <w:rPr>
          <w:rFonts w:ascii="Times New Roman" w:hAnsi="Times New Roman" w:eastAsia="楷体_GB2312" w:cs="Times New Roman"/>
          <w:sz w:val="28"/>
        </w:rPr>
      </w:pPr>
    </w:p>
    <w:p w14:paraId="5B4A049F">
      <w:pPr>
        <w:pStyle w:val="4"/>
        <w:numPr>
          <w:ilvl w:val="0"/>
          <w:numId w:val="0"/>
        </w:numPr>
        <w:spacing w:line="240" w:lineRule="auto"/>
        <w:jc w:val="center"/>
        <w:rPr>
          <w:rFonts w:eastAsia="仿宋_GB2312"/>
          <w:bCs w:val="0"/>
        </w:rPr>
      </w:pPr>
      <w:bookmarkStart w:id="63" w:name="_Toc62563676"/>
      <w:r>
        <w:rPr>
          <w:rFonts w:eastAsia="仿宋_GB2312"/>
          <w:bCs w:val="0"/>
        </w:rPr>
        <w:t>第三节  基准地价更新的技术程序和技术内容</w:t>
      </w:r>
      <w:bookmarkEnd w:id="63"/>
    </w:p>
    <w:p w14:paraId="78CF60A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根据国家标准《城镇土地估价规程》（GB/T18508-2014），基准地价更新的技术程序和技术内容为：</w:t>
      </w:r>
    </w:p>
    <w:p w14:paraId="0BA151E1">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一、编制工作底图</w:t>
      </w:r>
    </w:p>
    <w:p w14:paraId="1EB6F6BA">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本次基准地价更新工作底图直接采用土地定级成果图件。</w:t>
      </w:r>
    </w:p>
    <w:p w14:paraId="73A5B86C">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二、基准地价更新资料的外业调查</w:t>
      </w:r>
    </w:p>
    <w:p w14:paraId="55F96CA6">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全面收集调查城镇基准地价更新资料。它主要包括：房地出租、出售资料；商品房开发过程中的售价、建筑成本和商品房开发的各种规费和税费等资料；征地拆迁标准和成片土地开发资料；土地使用权出让情况资料以及房屋重置价、物价指数等数据资料。</w:t>
      </w:r>
    </w:p>
    <w:p w14:paraId="6DE8F1A9">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三、建立基准地价更新工作数据库</w:t>
      </w:r>
    </w:p>
    <w:p w14:paraId="7F43873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在基准地价更新工作数据库的支持下，将基准地价更新样点分布图（空间分布图）和调查表（属性说明表）输入计算机，建立基准地价更新样点空间工作数据库和属性工作数据库。</w:t>
      </w:r>
    </w:p>
    <w:p w14:paraId="428B5249">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四、基准地价内涵与估价参数的确定</w:t>
      </w:r>
    </w:p>
    <w:p w14:paraId="0DA2A1F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城镇土地估价规程》（GB/T18508-2014）的要求和各城镇的实际情况，确定城镇基准地价的内涵和各类还原率，商服、住宅用地的容积率修正系数，房屋重置价与耐用年限以及利息率、利润率、保险费率、维修费等估价参数。</w:t>
      </w:r>
    </w:p>
    <w:p w14:paraId="73A032B6">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五、基准地价评定区域的确定</w:t>
      </w:r>
    </w:p>
    <w:p w14:paraId="5842F8A0">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以各乡镇综合定级划分的土地级别作为基准地价的评定区域。</w:t>
      </w:r>
    </w:p>
    <w:p w14:paraId="50A67465">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六、利用土地市场交易资料测算地价</w:t>
      </w:r>
    </w:p>
    <w:p w14:paraId="6AB2A53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1、利用房地出租资料测算地价：利用房地出租资料测算商服用地级别平均地价。</w:t>
      </w:r>
    </w:p>
    <w:p w14:paraId="7CE8B2EB">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2、利用房地出售资料测算地价：利用房地出售资料测算住宅用地级别平均地价。</w:t>
      </w:r>
    </w:p>
    <w:p w14:paraId="221D03B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3、利用土地使用权出让资料：利用土地使用权出让资料资测算工矿仓储用地级别平均地价。</w:t>
      </w:r>
    </w:p>
    <w:p w14:paraId="516A2CEB">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4、利用收益还原法和成本逼近法测算公共管理与公共服务用地中的文化设施用地、体育用地、教育用地、医疗卫生用地、新闻出版用地、科研用地、社会福利用地、公用设施用地级别平均地价。</w:t>
      </w:r>
    </w:p>
    <w:p w14:paraId="3AF6D3F3">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七、基准地价的初步确定与评议</w:t>
      </w:r>
    </w:p>
    <w:p w14:paraId="0B93169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依据基准地价确定的原则和方法，对通过上述方法测算的平均地价进行综合分析和比较，初步确定各乡镇镇区各级别土地商服、住宅级别基准地价。将基准地价初步成果提交工作领导小组评议论证，根据评议建议进一步完善成果。</w:t>
      </w:r>
    </w:p>
    <w:p w14:paraId="5827F0BF">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八、宗地地价修正体系的建立</w:t>
      </w:r>
    </w:p>
    <w:p w14:paraId="00131F2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在确定各乡镇区土地级别基准地价的基础上，依据《城镇土地估价规程》（GB/T18508-2014），结合评价区内的具体情况，建立商服、住宅、工矿仓储、公共管理与公共服务用地级别基准地价修正体系，编制宗地地价修正系数表和修正系数说明表。</w:t>
      </w:r>
    </w:p>
    <w:p w14:paraId="48AB7704">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九、基准地价图的编绘</w:t>
      </w:r>
    </w:p>
    <w:p w14:paraId="3FA48AEB">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根据《城镇土地估价规程》（GB/T18508-2014）的技术要求，编制了各乡镇的基准地价图。</w:t>
      </w:r>
    </w:p>
    <w:p w14:paraId="4EC5836A">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十、编写基准地价更新报告</w:t>
      </w:r>
    </w:p>
    <w:p w14:paraId="502FAFC3">
      <w:pPr>
        <w:pStyle w:val="20"/>
        <w:spacing w:line="480" w:lineRule="exact"/>
        <w:ind w:firstLine="560" w:firstLineChars="200"/>
        <w:rPr>
          <w:rFonts w:ascii="Times New Roman" w:hAnsi="Times New Roman" w:eastAsia="仿宋_GB2312" w:cs="Times New Roman"/>
          <w:sz w:val="28"/>
        </w:rPr>
      </w:pPr>
      <w:r>
        <w:rPr>
          <w:rFonts w:ascii="Times New Roman" w:hAnsi="Times New Roman" w:eastAsia="楷体_GB2312" w:cs="Times New Roman"/>
          <w:sz w:val="28"/>
        </w:rPr>
        <w:t>编写基准地价更新工作报告和技术报告。</w:t>
      </w:r>
    </w:p>
    <w:p w14:paraId="2B4F0020">
      <w:pPr>
        <w:pStyle w:val="20"/>
        <w:spacing w:line="440" w:lineRule="exact"/>
        <w:ind w:firstLine="560" w:firstLineChars="200"/>
        <w:jc w:val="center"/>
        <w:rPr>
          <w:rFonts w:ascii="Times New Roman" w:hAnsi="Times New Roman" w:eastAsia="仿宋_GB2312" w:cs="Times New Roman"/>
          <w:sz w:val="28"/>
        </w:rPr>
        <w:sectPr>
          <w:pgSz w:w="11906" w:h="16838"/>
          <w:pgMar w:top="1701" w:right="1418" w:bottom="1418" w:left="1701" w:header="1134" w:footer="992" w:gutter="0"/>
          <w:cols w:space="720" w:num="1"/>
          <w:docGrid w:linePitch="12" w:charSpace="0"/>
        </w:sectPr>
      </w:pPr>
    </w:p>
    <w:p w14:paraId="0BFC3B92">
      <w:pPr>
        <w:pStyle w:val="3"/>
        <w:spacing w:line="240" w:lineRule="auto"/>
        <w:jc w:val="center"/>
        <w:rPr>
          <w:rFonts w:ascii="Times New Roman" w:hAnsi="Times New Roman"/>
          <w:sz w:val="36"/>
        </w:rPr>
      </w:pPr>
      <w:bookmarkStart w:id="64" w:name="_Toc62563677"/>
      <w:r>
        <w:rPr>
          <w:rFonts w:ascii="Times New Roman" w:hAnsi="Times New Roman" w:eastAsia="宋体"/>
          <w:bCs w:val="0"/>
          <w:sz w:val="36"/>
        </w:rPr>
        <w:t>第二章  基准地价内涵与土地估价参数的确定</w:t>
      </w:r>
      <w:bookmarkEnd w:id="64"/>
    </w:p>
    <w:p w14:paraId="4CCED418">
      <w:pPr>
        <w:pStyle w:val="4"/>
        <w:numPr>
          <w:ilvl w:val="0"/>
          <w:numId w:val="0"/>
        </w:numPr>
        <w:spacing w:line="240" w:lineRule="auto"/>
        <w:jc w:val="center"/>
        <w:rPr>
          <w:rFonts w:eastAsia="仿宋_GB2312"/>
          <w:bCs w:val="0"/>
        </w:rPr>
      </w:pPr>
      <w:bookmarkStart w:id="65" w:name="_Toc62563678"/>
      <w:r>
        <w:rPr>
          <w:rFonts w:eastAsia="仿宋_GB2312"/>
          <w:bCs w:val="0"/>
        </w:rPr>
        <w:t>第一节  基准地价内涵的设定</w:t>
      </w:r>
      <w:bookmarkEnd w:id="65"/>
    </w:p>
    <w:p w14:paraId="3E24B465">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一、基准地价概念</w:t>
      </w:r>
    </w:p>
    <w:p w14:paraId="73086BB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基准地价是指在土地利用总体规划确定的城镇可建设用地范围内，对平均开发利用条件下，不同级别或不同均质地域的建设用地，按照商服、住宅、</w:t>
      </w:r>
      <w:r>
        <w:rPr>
          <w:rFonts w:hint="eastAsia" w:ascii="Times New Roman" w:hAnsi="Times New Roman" w:eastAsia="楷体_GB2312" w:cs="Times New Roman"/>
          <w:sz w:val="28"/>
        </w:rPr>
        <w:t>工矿仓储</w:t>
      </w:r>
      <w:r>
        <w:rPr>
          <w:rFonts w:ascii="Times New Roman" w:hAnsi="Times New Roman" w:eastAsia="楷体_GB2312" w:cs="Times New Roman"/>
          <w:sz w:val="28"/>
        </w:rPr>
        <w:t>等用途分别评估，并由政府确定的，某一估价期日法定最高使用年期土地权利的区域平均价格。</w:t>
      </w:r>
    </w:p>
    <w:p w14:paraId="6845700D">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二、基准地价内涵设定</w:t>
      </w:r>
    </w:p>
    <w:p w14:paraId="55EEF5EE">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本次制定的基准地价是在某估价期日各土地级别或均质区域内，在现状平均土地开发程度和平均容积率下，同一用途的完整土地使用权的平均价格。地类按商服、住宅、工矿仓储用地区分，各类用地的使用年期均为法定最高使用年限。</w:t>
      </w:r>
    </w:p>
    <w:p w14:paraId="303F274B">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三、基准地价内涵设定的具体条件</w:t>
      </w:r>
    </w:p>
    <w:p w14:paraId="34EE785E">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1、估价期日</w:t>
      </w:r>
    </w:p>
    <w:p w14:paraId="692DF46D">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本次估价期日为202</w:t>
      </w:r>
      <w:r>
        <w:rPr>
          <w:rFonts w:hint="eastAsia" w:ascii="Times New Roman" w:hAnsi="Times New Roman" w:eastAsia="楷体_GB2312" w:cs="Times New Roman"/>
          <w:sz w:val="28"/>
        </w:rPr>
        <w:t>1</w:t>
      </w:r>
      <w:r>
        <w:rPr>
          <w:rFonts w:ascii="Times New Roman" w:hAnsi="Times New Roman" w:eastAsia="楷体_GB2312" w:cs="Times New Roman"/>
          <w:sz w:val="28"/>
        </w:rPr>
        <w:t>年1月1日。</w:t>
      </w:r>
    </w:p>
    <w:p w14:paraId="5A058287">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2、土地使用年期</w:t>
      </w:r>
    </w:p>
    <w:p w14:paraId="12AFBC0B">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土地使用年期按法定最高出让年限设定，商服用地40年、住宅用地70年、工矿仓储用地50年，公共管理与公共服务用地（文化设施用地、体育用地、教育用地、医疗卫生用地、新闻出版用地、科研用地、社会福利用地、公用设施用地）50年。</w:t>
      </w:r>
    </w:p>
    <w:p w14:paraId="7BAAF7FB">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3、土地开发水平</w:t>
      </w:r>
    </w:p>
    <w:p w14:paraId="57F61713">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根据各土地级别内同一用途现状平均土地开发程度或2/3以上面积已经达到的宗地红线外基础设施平均水平，宗地红线内“场地平整”设定土地开发条件。具体设定条件见表2-2-1。</w:t>
      </w:r>
    </w:p>
    <w:p w14:paraId="166B492C">
      <w:pPr>
        <w:pStyle w:val="20"/>
        <w:spacing w:line="440" w:lineRule="exact"/>
        <w:ind w:left="-141" w:leftChars="-67" w:right="-113" w:rightChars="-54"/>
        <w:jc w:val="center"/>
        <w:rPr>
          <w:rFonts w:ascii="Times New Roman" w:hAnsi="Times New Roman" w:eastAsia="黑体" w:cs="Times New Roman"/>
          <w:sz w:val="28"/>
        </w:rPr>
      </w:pPr>
    </w:p>
    <w:p w14:paraId="24DFB6D9">
      <w:pPr>
        <w:pStyle w:val="20"/>
        <w:spacing w:line="440" w:lineRule="exact"/>
        <w:ind w:left="-141" w:leftChars="-67" w:right="-113" w:rightChars="-54"/>
        <w:jc w:val="center"/>
        <w:rPr>
          <w:rFonts w:ascii="Times New Roman" w:hAnsi="Times New Roman" w:eastAsia="黑体" w:cs="Times New Roman"/>
          <w:sz w:val="28"/>
        </w:rPr>
      </w:pPr>
    </w:p>
    <w:p w14:paraId="77633742">
      <w:pPr>
        <w:pStyle w:val="20"/>
        <w:spacing w:line="440" w:lineRule="exact"/>
        <w:ind w:left="-141" w:leftChars="-67" w:right="-113" w:rightChars="-54"/>
        <w:jc w:val="center"/>
        <w:rPr>
          <w:rFonts w:ascii="Times New Roman" w:hAnsi="Times New Roman" w:eastAsia="黑体" w:cs="Times New Roman"/>
          <w:sz w:val="28"/>
        </w:rPr>
      </w:pPr>
      <w:r>
        <w:rPr>
          <w:rFonts w:ascii="Times New Roman" w:hAnsi="Times New Roman" w:eastAsia="黑体" w:cs="Times New Roman"/>
          <w:sz w:val="28"/>
        </w:rPr>
        <w:t>表2-2-1  埇桥区各乡镇各级别内土地开发程度确定表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6"/>
        <w:gridCol w:w="1336"/>
        <w:gridCol w:w="1336"/>
        <w:gridCol w:w="1868"/>
        <w:gridCol w:w="3196"/>
      </w:tblGrid>
      <w:tr w14:paraId="3D056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1F32BFAB">
            <w:pPr>
              <w:spacing w:line="0" w:lineRule="atLeast"/>
              <w:jc w:val="center"/>
              <w:rPr>
                <w:rFonts w:hint="eastAsia" w:ascii="楷体_GB2312" w:eastAsia="楷体_GB2312"/>
              </w:rPr>
            </w:pPr>
            <w:r>
              <w:rPr>
                <w:rFonts w:hint="eastAsia" w:ascii="楷体_GB2312" w:eastAsia="楷体_GB2312"/>
              </w:rPr>
              <w:t>土地级别</w:t>
            </w:r>
          </w:p>
        </w:tc>
        <w:tc>
          <w:tcPr>
            <w:tcW w:w="0" w:type="auto"/>
            <w:noWrap w:val="0"/>
            <w:vAlign w:val="center"/>
          </w:tcPr>
          <w:p w14:paraId="7CC8208B">
            <w:pPr>
              <w:jc w:val="center"/>
              <w:rPr>
                <w:rFonts w:hint="eastAsia" w:ascii="楷体_GB2312" w:eastAsia="楷体_GB2312"/>
              </w:rPr>
            </w:pPr>
            <w:r>
              <w:rPr>
                <w:rFonts w:hint="eastAsia" w:ascii="楷体_GB2312" w:eastAsia="楷体_GB2312"/>
              </w:rPr>
              <w:t>商服用地</w:t>
            </w:r>
          </w:p>
        </w:tc>
        <w:tc>
          <w:tcPr>
            <w:tcW w:w="0" w:type="auto"/>
            <w:noWrap w:val="0"/>
            <w:vAlign w:val="center"/>
          </w:tcPr>
          <w:p w14:paraId="31B215B1">
            <w:pPr>
              <w:jc w:val="center"/>
              <w:rPr>
                <w:rFonts w:hint="eastAsia" w:ascii="楷体_GB2312" w:eastAsia="楷体_GB2312"/>
              </w:rPr>
            </w:pPr>
            <w:r>
              <w:rPr>
                <w:rFonts w:hint="eastAsia" w:ascii="楷体_GB2312" w:eastAsia="楷体_GB2312"/>
              </w:rPr>
              <w:t>住宅用地</w:t>
            </w:r>
          </w:p>
        </w:tc>
        <w:tc>
          <w:tcPr>
            <w:tcW w:w="0" w:type="auto"/>
            <w:noWrap w:val="0"/>
            <w:vAlign w:val="center"/>
          </w:tcPr>
          <w:p w14:paraId="39924D99">
            <w:pPr>
              <w:jc w:val="center"/>
              <w:rPr>
                <w:rFonts w:hint="eastAsia" w:ascii="楷体_GB2312" w:eastAsia="楷体_GB2312"/>
              </w:rPr>
            </w:pPr>
            <w:r>
              <w:rPr>
                <w:rFonts w:hint="eastAsia" w:ascii="楷体_GB2312" w:eastAsia="楷体_GB2312"/>
              </w:rPr>
              <w:t>工矿仓储用地</w:t>
            </w:r>
          </w:p>
        </w:tc>
        <w:tc>
          <w:tcPr>
            <w:tcW w:w="0" w:type="auto"/>
            <w:noWrap w:val="0"/>
            <w:vAlign w:val="center"/>
          </w:tcPr>
          <w:p w14:paraId="13DBA97D">
            <w:pPr>
              <w:jc w:val="center"/>
              <w:rPr>
                <w:rFonts w:hint="eastAsia" w:ascii="楷体_GB2312" w:eastAsia="楷体_GB2312"/>
              </w:rPr>
            </w:pPr>
            <w:r>
              <w:rPr>
                <w:rFonts w:hint="eastAsia" w:ascii="楷体_GB2312" w:eastAsia="楷体_GB2312"/>
              </w:rPr>
              <w:t>公共管理与公共服务用地</w:t>
            </w:r>
          </w:p>
        </w:tc>
      </w:tr>
      <w:tr w14:paraId="0B7D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37E99B1E">
            <w:pPr>
              <w:jc w:val="center"/>
              <w:rPr>
                <w:rFonts w:hint="eastAsia" w:ascii="楷体_GB2312" w:eastAsia="楷体_GB2312"/>
              </w:rPr>
            </w:pPr>
            <w:r>
              <w:rPr>
                <w:rFonts w:hint="eastAsia" w:ascii="楷体_GB2312" w:eastAsia="楷体_GB2312"/>
              </w:rPr>
              <w:t>一</w:t>
            </w:r>
          </w:p>
        </w:tc>
        <w:tc>
          <w:tcPr>
            <w:tcW w:w="0" w:type="auto"/>
            <w:noWrap w:val="0"/>
            <w:vAlign w:val="top"/>
          </w:tcPr>
          <w:p w14:paraId="3B1E1F5D">
            <w:pPr>
              <w:jc w:val="center"/>
              <w:rPr>
                <w:rFonts w:hint="eastAsia" w:ascii="楷体_GB2312" w:eastAsia="楷体_GB2312"/>
              </w:rPr>
            </w:pPr>
            <w:r>
              <w:rPr>
                <w:rFonts w:hint="eastAsia" w:ascii="楷体_GB2312" w:eastAsia="楷体_GB2312"/>
              </w:rPr>
              <w:t>五通一平</w:t>
            </w:r>
          </w:p>
        </w:tc>
        <w:tc>
          <w:tcPr>
            <w:tcW w:w="0" w:type="auto"/>
            <w:noWrap w:val="0"/>
            <w:vAlign w:val="top"/>
          </w:tcPr>
          <w:p w14:paraId="7BDA7927">
            <w:pPr>
              <w:jc w:val="center"/>
              <w:rPr>
                <w:rFonts w:hint="eastAsia" w:ascii="楷体_GB2312" w:eastAsia="楷体_GB2312"/>
              </w:rPr>
            </w:pPr>
            <w:r>
              <w:rPr>
                <w:rFonts w:hint="eastAsia" w:ascii="楷体_GB2312" w:eastAsia="楷体_GB2312"/>
              </w:rPr>
              <w:t>五通一平</w:t>
            </w:r>
          </w:p>
        </w:tc>
        <w:tc>
          <w:tcPr>
            <w:tcW w:w="0" w:type="auto"/>
            <w:noWrap w:val="0"/>
            <w:vAlign w:val="top"/>
          </w:tcPr>
          <w:p w14:paraId="3B3C001E">
            <w:pPr>
              <w:jc w:val="center"/>
              <w:rPr>
                <w:rFonts w:hint="eastAsia" w:ascii="楷体_GB2312" w:eastAsia="楷体_GB2312"/>
              </w:rPr>
            </w:pPr>
            <w:r>
              <w:rPr>
                <w:rFonts w:hint="eastAsia" w:ascii="楷体_GB2312" w:eastAsia="楷体_GB2312"/>
              </w:rPr>
              <w:t>五通一平</w:t>
            </w:r>
          </w:p>
        </w:tc>
        <w:tc>
          <w:tcPr>
            <w:tcW w:w="0" w:type="auto"/>
            <w:noWrap w:val="0"/>
            <w:vAlign w:val="top"/>
          </w:tcPr>
          <w:p w14:paraId="209155A5">
            <w:pPr>
              <w:jc w:val="center"/>
              <w:rPr>
                <w:rFonts w:hint="eastAsia" w:ascii="楷体_GB2312" w:eastAsia="楷体_GB2312"/>
              </w:rPr>
            </w:pPr>
            <w:r>
              <w:rPr>
                <w:rFonts w:hint="eastAsia" w:ascii="楷体_GB2312" w:eastAsia="楷体_GB2312"/>
              </w:rPr>
              <w:t>五通一平</w:t>
            </w:r>
          </w:p>
        </w:tc>
      </w:tr>
      <w:tr w14:paraId="556B4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36D56867">
            <w:pPr>
              <w:jc w:val="center"/>
              <w:rPr>
                <w:rFonts w:hint="eastAsia" w:ascii="楷体_GB2312" w:eastAsia="楷体_GB2312"/>
              </w:rPr>
            </w:pPr>
            <w:r>
              <w:rPr>
                <w:rFonts w:hint="eastAsia" w:ascii="楷体_GB2312" w:eastAsia="楷体_GB2312"/>
              </w:rPr>
              <w:t>二</w:t>
            </w:r>
          </w:p>
        </w:tc>
        <w:tc>
          <w:tcPr>
            <w:tcW w:w="0" w:type="auto"/>
            <w:noWrap w:val="0"/>
            <w:vAlign w:val="top"/>
          </w:tcPr>
          <w:p w14:paraId="18C3CB8F">
            <w:pPr>
              <w:jc w:val="center"/>
              <w:rPr>
                <w:rFonts w:hint="eastAsia" w:ascii="楷体_GB2312" w:eastAsia="楷体_GB2312"/>
              </w:rPr>
            </w:pPr>
            <w:r>
              <w:rPr>
                <w:rFonts w:hint="eastAsia" w:ascii="楷体_GB2312" w:eastAsia="楷体_GB2312"/>
              </w:rPr>
              <w:t>四通一平</w:t>
            </w:r>
          </w:p>
        </w:tc>
        <w:tc>
          <w:tcPr>
            <w:tcW w:w="0" w:type="auto"/>
            <w:noWrap w:val="0"/>
            <w:vAlign w:val="top"/>
          </w:tcPr>
          <w:p w14:paraId="6FD9E966">
            <w:pPr>
              <w:jc w:val="center"/>
              <w:rPr>
                <w:rFonts w:hint="eastAsia" w:ascii="楷体_GB2312" w:eastAsia="楷体_GB2312"/>
              </w:rPr>
            </w:pPr>
            <w:r>
              <w:rPr>
                <w:rFonts w:hint="eastAsia" w:ascii="楷体_GB2312" w:eastAsia="楷体_GB2312"/>
              </w:rPr>
              <w:t>四通一平</w:t>
            </w:r>
          </w:p>
        </w:tc>
        <w:tc>
          <w:tcPr>
            <w:tcW w:w="0" w:type="auto"/>
            <w:noWrap w:val="0"/>
            <w:vAlign w:val="top"/>
          </w:tcPr>
          <w:p w14:paraId="65A355C6">
            <w:pPr>
              <w:jc w:val="center"/>
              <w:rPr>
                <w:rFonts w:hint="eastAsia" w:ascii="楷体_GB2312" w:eastAsia="楷体_GB2312"/>
              </w:rPr>
            </w:pPr>
            <w:r>
              <w:rPr>
                <w:rFonts w:hint="eastAsia" w:ascii="楷体_GB2312" w:eastAsia="楷体_GB2312"/>
              </w:rPr>
              <w:t>四通一平</w:t>
            </w:r>
          </w:p>
        </w:tc>
        <w:tc>
          <w:tcPr>
            <w:tcW w:w="0" w:type="auto"/>
            <w:noWrap w:val="0"/>
            <w:vAlign w:val="top"/>
          </w:tcPr>
          <w:p w14:paraId="6E822A4C">
            <w:pPr>
              <w:jc w:val="center"/>
              <w:rPr>
                <w:rFonts w:hint="eastAsia" w:ascii="楷体_GB2312" w:eastAsia="楷体_GB2312"/>
              </w:rPr>
            </w:pPr>
            <w:r>
              <w:rPr>
                <w:rFonts w:hint="eastAsia" w:ascii="楷体_GB2312" w:eastAsia="楷体_GB2312"/>
              </w:rPr>
              <w:t>四通一平</w:t>
            </w:r>
          </w:p>
        </w:tc>
      </w:tr>
      <w:tr w14:paraId="33B0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noWrap w:val="0"/>
            <w:vAlign w:val="center"/>
          </w:tcPr>
          <w:p w14:paraId="3E4082E9">
            <w:pPr>
              <w:jc w:val="center"/>
              <w:rPr>
                <w:rFonts w:hint="eastAsia" w:ascii="楷体_GB2312" w:eastAsia="楷体_GB2312"/>
              </w:rPr>
            </w:pPr>
            <w:r>
              <w:rPr>
                <w:rFonts w:hint="eastAsia" w:ascii="楷体_GB2312" w:eastAsia="楷体_GB2312"/>
              </w:rPr>
              <w:t>三</w:t>
            </w:r>
          </w:p>
        </w:tc>
        <w:tc>
          <w:tcPr>
            <w:tcW w:w="0" w:type="auto"/>
            <w:noWrap w:val="0"/>
            <w:vAlign w:val="top"/>
          </w:tcPr>
          <w:p w14:paraId="038FA0C1">
            <w:pPr>
              <w:jc w:val="center"/>
              <w:rPr>
                <w:rFonts w:hint="eastAsia" w:ascii="楷体_GB2312" w:eastAsia="楷体_GB2312"/>
              </w:rPr>
            </w:pPr>
            <w:r>
              <w:rPr>
                <w:rFonts w:hint="eastAsia" w:ascii="楷体_GB2312" w:eastAsia="楷体_GB2312"/>
              </w:rPr>
              <w:t>四通一平</w:t>
            </w:r>
          </w:p>
        </w:tc>
        <w:tc>
          <w:tcPr>
            <w:tcW w:w="0" w:type="auto"/>
            <w:noWrap w:val="0"/>
            <w:vAlign w:val="top"/>
          </w:tcPr>
          <w:p w14:paraId="79CDB8A7">
            <w:pPr>
              <w:jc w:val="center"/>
              <w:rPr>
                <w:rFonts w:hint="eastAsia" w:ascii="楷体_GB2312" w:eastAsia="楷体_GB2312"/>
              </w:rPr>
            </w:pPr>
            <w:r>
              <w:rPr>
                <w:rFonts w:hint="eastAsia" w:ascii="楷体_GB2312" w:eastAsia="楷体_GB2312"/>
              </w:rPr>
              <w:t>四通一平</w:t>
            </w:r>
          </w:p>
        </w:tc>
        <w:tc>
          <w:tcPr>
            <w:tcW w:w="0" w:type="auto"/>
            <w:noWrap w:val="0"/>
            <w:vAlign w:val="top"/>
          </w:tcPr>
          <w:p w14:paraId="16D1942F">
            <w:pPr>
              <w:jc w:val="center"/>
              <w:rPr>
                <w:rFonts w:hint="eastAsia" w:ascii="楷体_GB2312" w:eastAsia="楷体_GB2312"/>
              </w:rPr>
            </w:pPr>
            <w:r>
              <w:rPr>
                <w:rFonts w:hint="eastAsia" w:ascii="楷体_GB2312" w:eastAsia="楷体_GB2312"/>
              </w:rPr>
              <w:t>四通一平</w:t>
            </w:r>
          </w:p>
        </w:tc>
        <w:tc>
          <w:tcPr>
            <w:tcW w:w="0" w:type="auto"/>
            <w:noWrap w:val="0"/>
            <w:vAlign w:val="top"/>
          </w:tcPr>
          <w:p w14:paraId="64BBC7E5">
            <w:pPr>
              <w:jc w:val="center"/>
              <w:rPr>
                <w:rFonts w:hint="eastAsia" w:ascii="楷体_GB2312" w:eastAsia="楷体_GB2312"/>
              </w:rPr>
            </w:pPr>
            <w:r>
              <w:rPr>
                <w:rFonts w:hint="eastAsia" w:ascii="楷体_GB2312" w:eastAsia="楷体_GB2312"/>
              </w:rPr>
              <w:t>四通一平</w:t>
            </w:r>
          </w:p>
        </w:tc>
      </w:tr>
    </w:tbl>
    <w:p w14:paraId="74B573CC">
      <w:pPr>
        <w:spacing w:before="120" w:beforeLines="50" w:line="480" w:lineRule="exact"/>
        <w:jc w:val="center"/>
        <w:rPr>
          <w:rFonts w:eastAsia="黑体"/>
          <w:sz w:val="28"/>
          <w:szCs w:val="21"/>
        </w:rPr>
      </w:pPr>
      <w:r>
        <w:rPr>
          <w:rFonts w:eastAsia="黑体"/>
          <w:sz w:val="28"/>
          <w:szCs w:val="21"/>
        </w:rPr>
        <w:t>表</w:t>
      </w:r>
      <w:r>
        <w:rPr>
          <w:rFonts w:eastAsia="黑体"/>
          <w:sz w:val="28"/>
        </w:rPr>
        <w:t>2-2-2</w:t>
      </w:r>
      <w:r>
        <w:rPr>
          <w:rFonts w:eastAsia="黑体"/>
          <w:sz w:val="28"/>
          <w:szCs w:val="21"/>
        </w:rPr>
        <w:t xml:space="preserve">  埇桥区</w:t>
      </w:r>
      <w:r>
        <w:rPr>
          <w:rFonts w:hint="eastAsia" w:eastAsia="黑体"/>
          <w:sz w:val="28"/>
          <w:szCs w:val="21"/>
        </w:rPr>
        <w:t>三个园区</w:t>
      </w:r>
      <w:r>
        <w:rPr>
          <w:rFonts w:hint="eastAsia" w:eastAsia="黑体"/>
          <w:sz w:val="28"/>
        </w:rPr>
        <w:t>指导价区域</w:t>
      </w:r>
      <w:r>
        <w:rPr>
          <w:rFonts w:eastAsia="黑体"/>
          <w:sz w:val="28"/>
        </w:rPr>
        <w:t>土地开发程度一览表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6"/>
        <w:gridCol w:w="1479"/>
        <w:gridCol w:w="1298"/>
        <w:gridCol w:w="1814"/>
        <w:gridCol w:w="3105"/>
      </w:tblGrid>
      <w:tr w14:paraId="628CD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76" w:type="dxa"/>
            <w:vMerge w:val="restart"/>
            <w:noWrap w:val="0"/>
            <w:vAlign w:val="center"/>
          </w:tcPr>
          <w:p w14:paraId="706771A6">
            <w:pPr>
              <w:jc w:val="center"/>
              <w:rPr>
                <w:rFonts w:hint="eastAsia" w:ascii="楷体_GB2312" w:eastAsia="楷体_GB2312"/>
              </w:rPr>
            </w:pPr>
            <w:r>
              <w:rPr>
                <w:rFonts w:hint="eastAsia" w:ascii="楷体_GB2312" w:eastAsia="楷体_GB2312"/>
              </w:rPr>
              <w:t>指导价区域</w:t>
            </w:r>
          </w:p>
        </w:tc>
        <w:tc>
          <w:tcPr>
            <w:tcW w:w="1479" w:type="dxa"/>
            <w:noWrap w:val="0"/>
            <w:vAlign w:val="center"/>
          </w:tcPr>
          <w:p w14:paraId="20C37648">
            <w:pPr>
              <w:jc w:val="center"/>
              <w:rPr>
                <w:rFonts w:hint="eastAsia" w:ascii="楷体_GB2312" w:eastAsia="楷体_GB2312"/>
              </w:rPr>
            </w:pPr>
            <w:r>
              <w:rPr>
                <w:rFonts w:hint="eastAsia" w:ascii="楷体_GB2312" w:eastAsia="楷体_GB2312"/>
              </w:rPr>
              <w:t>商服用地</w:t>
            </w:r>
          </w:p>
        </w:tc>
        <w:tc>
          <w:tcPr>
            <w:tcW w:w="0" w:type="auto"/>
            <w:noWrap w:val="0"/>
            <w:vAlign w:val="center"/>
          </w:tcPr>
          <w:p w14:paraId="19A9E6C7">
            <w:pPr>
              <w:jc w:val="center"/>
              <w:rPr>
                <w:rFonts w:hint="eastAsia" w:ascii="楷体_GB2312" w:eastAsia="楷体_GB2312"/>
              </w:rPr>
            </w:pPr>
            <w:r>
              <w:rPr>
                <w:rFonts w:hint="eastAsia" w:ascii="楷体_GB2312" w:eastAsia="楷体_GB2312"/>
              </w:rPr>
              <w:t>住宅用地</w:t>
            </w:r>
          </w:p>
        </w:tc>
        <w:tc>
          <w:tcPr>
            <w:tcW w:w="0" w:type="auto"/>
            <w:noWrap w:val="0"/>
            <w:vAlign w:val="center"/>
          </w:tcPr>
          <w:p w14:paraId="76B17D54">
            <w:pPr>
              <w:jc w:val="center"/>
              <w:rPr>
                <w:rFonts w:hint="eastAsia" w:ascii="楷体_GB2312" w:eastAsia="楷体_GB2312"/>
              </w:rPr>
            </w:pPr>
            <w:r>
              <w:rPr>
                <w:rFonts w:hint="eastAsia" w:ascii="楷体_GB2312" w:eastAsia="楷体_GB2312"/>
              </w:rPr>
              <w:t>工矿仓储用地</w:t>
            </w:r>
          </w:p>
        </w:tc>
        <w:tc>
          <w:tcPr>
            <w:tcW w:w="0" w:type="auto"/>
            <w:noWrap w:val="0"/>
            <w:vAlign w:val="center"/>
          </w:tcPr>
          <w:p w14:paraId="5FAF357A">
            <w:pPr>
              <w:jc w:val="center"/>
              <w:rPr>
                <w:rFonts w:hint="eastAsia" w:ascii="楷体_GB2312" w:eastAsia="楷体_GB2312"/>
              </w:rPr>
            </w:pPr>
            <w:r>
              <w:rPr>
                <w:rFonts w:hint="eastAsia" w:ascii="楷体_GB2312" w:eastAsia="楷体_GB2312"/>
              </w:rPr>
              <w:t>公共管理与公共服务用地</w:t>
            </w:r>
          </w:p>
        </w:tc>
      </w:tr>
      <w:tr w14:paraId="201FB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376" w:type="dxa"/>
            <w:vMerge w:val="continue"/>
            <w:noWrap w:val="0"/>
            <w:vAlign w:val="center"/>
          </w:tcPr>
          <w:p w14:paraId="19144EAF">
            <w:pPr>
              <w:jc w:val="center"/>
              <w:rPr>
                <w:rFonts w:hint="eastAsia" w:ascii="楷体_GB2312" w:eastAsia="楷体_GB2312"/>
              </w:rPr>
            </w:pPr>
          </w:p>
        </w:tc>
        <w:tc>
          <w:tcPr>
            <w:tcW w:w="1479" w:type="dxa"/>
            <w:noWrap w:val="0"/>
            <w:vAlign w:val="top"/>
          </w:tcPr>
          <w:p w14:paraId="3996D798">
            <w:pPr>
              <w:jc w:val="center"/>
              <w:rPr>
                <w:rFonts w:hint="eastAsia" w:ascii="楷体_GB2312" w:eastAsia="楷体_GB2312"/>
              </w:rPr>
            </w:pPr>
            <w:r>
              <w:rPr>
                <w:rFonts w:hint="eastAsia" w:ascii="楷体_GB2312" w:eastAsia="楷体_GB2312"/>
              </w:rPr>
              <w:t>五通一平</w:t>
            </w:r>
          </w:p>
        </w:tc>
        <w:tc>
          <w:tcPr>
            <w:tcW w:w="0" w:type="auto"/>
            <w:noWrap w:val="0"/>
            <w:vAlign w:val="top"/>
          </w:tcPr>
          <w:p w14:paraId="603A14EF">
            <w:pPr>
              <w:jc w:val="center"/>
              <w:rPr>
                <w:rFonts w:hint="eastAsia" w:ascii="楷体_GB2312" w:eastAsia="楷体_GB2312"/>
              </w:rPr>
            </w:pPr>
            <w:r>
              <w:rPr>
                <w:rFonts w:hint="eastAsia" w:ascii="楷体_GB2312" w:eastAsia="楷体_GB2312"/>
              </w:rPr>
              <w:t>五通一平</w:t>
            </w:r>
          </w:p>
        </w:tc>
        <w:tc>
          <w:tcPr>
            <w:tcW w:w="0" w:type="auto"/>
            <w:noWrap w:val="0"/>
            <w:vAlign w:val="top"/>
          </w:tcPr>
          <w:p w14:paraId="57A3F124">
            <w:pPr>
              <w:jc w:val="center"/>
              <w:rPr>
                <w:rFonts w:hint="eastAsia" w:ascii="楷体_GB2312" w:eastAsia="楷体_GB2312"/>
              </w:rPr>
            </w:pPr>
            <w:r>
              <w:rPr>
                <w:rFonts w:hint="eastAsia" w:ascii="楷体_GB2312" w:eastAsia="楷体_GB2312"/>
              </w:rPr>
              <w:t>五通一平</w:t>
            </w:r>
          </w:p>
        </w:tc>
        <w:tc>
          <w:tcPr>
            <w:tcW w:w="0" w:type="auto"/>
            <w:noWrap w:val="0"/>
            <w:vAlign w:val="top"/>
          </w:tcPr>
          <w:p w14:paraId="4166589B">
            <w:pPr>
              <w:jc w:val="center"/>
              <w:rPr>
                <w:rFonts w:hint="eastAsia" w:ascii="楷体_GB2312" w:eastAsia="楷体_GB2312"/>
              </w:rPr>
            </w:pPr>
            <w:r>
              <w:rPr>
                <w:rFonts w:hint="eastAsia" w:ascii="楷体_GB2312" w:eastAsia="楷体_GB2312"/>
              </w:rPr>
              <w:t>五通一平</w:t>
            </w:r>
          </w:p>
        </w:tc>
      </w:tr>
    </w:tbl>
    <w:p w14:paraId="57754FFB">
      <w:pPr>
        <w:pStyle w:val="20"/>
        <w:spacing w:line="44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4、平均容积率</w:t>
      </w:r>
    </w:p>
    <w:p w14:paraId="41DDE49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根据地籍调查实测结果及本次土地估价外业调查资料测算结果，其中商服用地平均容积率主要由房地出租情况调查表结合</w:t>
      </w:r>
      <w:r>
        <w:rPr>
          <w:rFonts w:hint="eastAsia" w:ascii="楷体" w:hAnsi="楷体" w:eastAsia="楷体" w:cs="Times New Roman"/>
          <w:sz w:val="28"/>
        </w:rPr>
        <w:t>埇桥区</w:t>
      </w:r>
      <w:r>
        <w:rPr>
          <w:rFonts w:ascii="楷体" w:hAnsi="楷体" w:eastAsia="楷体" w:cs="Times New Roman"/>
          <w:sz w:val="28"/>
        </w:rPr>
        <w:t>各乡镇镇区商服用地利用率的实际情况得出，住宅用地平均容积率主要由房地出售情况调查表结合</w:t>
      </w:r>
      <w:r>
        <w:rPr>
          <w:rFonts w:hint="eastAsia" w:ascii="楷体" w:hAnsi="楷体" w:eastAsia="楷体" w:cs="Times New Roman"/>
          <w:sz w:val="28"/>
        </w:rPr>
        <w:t>埇桥区</w:t>
      </w:r>
      <w:r>
        <w:rPr>
          <w:rFonts w:ascii="楷体" w:hAnsi="楷体" w:eastAsia="楷体" w:cs="Times New Roman"/>
          <w:sz w:val="28"/>
        </w:rPr>
        <w:t>各乡镇镇区住宅用地的实际情况得出。因为</w:t>
      </w:r>
      <w:r>
        <w:rPr>
          <w:rFonts w:hint="eastAsia" w:ascii="楷体" w:hAnsi="楷体" w:eastAsia="楷体" w:cs="Times New Roman"/>
          <w:sz w:val="28"/>
        </w:rPr>
        <w:t>埇桥区</w:t>
      </w:r>
      <w:r>
        <w:rPr>
          <w:rFonts w:ascii="楷体" w:hAnsi="楷体" w:eastAsia="楷体" w:cs="Times New Roman"/>
          <w:sz w:val="28"/>
        </w:rPr>
        <w:t>各</w:t>
      </w:r>
      <w:r>
        <w:rPr>
          <w:rFonts w:ascii="Times New Roman" w:hAnsi="Times New Roman" w:eastAsia="楷体_GB2312" w:cs="Times New Roman"/>
          <w:sz w:val="28"/>
        </w:rPr>
        <w:t>乡镇镇区商服用地建筑层数普遍低于同级别区域的住宅用地建筑层数，所以同一级别的住宅用地平均容积率略高于商服用地平均容积率。本次基准地价更新的工业容积率参照《安徽省人民政府关于进一步强化土地节约集约利用工作的意见》（皖政〔2013〕58号）中“新建工业项目建筑容积率不低于1.0”设定为1.0，公共管理与公共服务用地中公用设施用地容积率参照同区域工矿仓储用地容积率设定。各乡镇镇区商服、住宅、工业、公共管理与公共服务用地平均容积率见表2-2-</w:t>
      </w:r>
      <w:r>
        <w:rPr>
          <w:rFonts w:hint="eastAsia" w:ascii="Times New Roman" w:hAnsi="Times New Roman" w:eastAsia="楷体_GB2312" w:cs="Times New Roman"/>
          <w:sz w:val="28"/>
        </w:rPr>
        <w:t>3</w:t>
      </w:r>
      <w:r>
        <w:rPr>
          <w:rFonts w:ascii="Times New Roman" w:hAnsi="Times New Roman" w:eastAsia="楷体_GB2312" w:cs="Times New Roman"/>
          <w:sz w:val="28"/>
        </w:rPr>
        <w:t>。</w:t>
      </w:r>
    </w:p>
    <w:p w14:paraId="689CF6C6">
      <w:pPr>
        <w:spacing w:line="480" w:lineRule="exact"/>
        <w:jc w:val="center"/>
        <w:rPr>
          <w:rFonts w:eastAsia="黑体"/>
          <w:sz w:val="28"/>
          <w:szCs w:val="20"/>
        </w:rPr>
      </w:pPr>
      <w:r>
        <w:rPr>
          <w:rFonts w:eastAsia="黑体"/>
          <w:sz w:val="28"/>
        </w:rPr>
        <w:t>表2-2-</w:t>
      </w:r>
      <w:r>
        <w:rPr>
          <w:rFonts w:hint="eastAsia" w:eastAsia="黑体"/>
          <w:sz w:val="28"/>
        </w:rPr>
        <w:t>3</w:t>
      </w:r>
      <w:r>
        <w:rPr>
          <w:rFonts w:eastAsia="黑体"/>
          <w:sz w:val="28"/>
        </w:rPr>
        <w:t xml:space="preserve">  </w:t>
      </w:r>
      <w:r>
        <w:rPr>
          <w:rFonts w:hint="eastAsia" w:eastAsia="黑体"/>
          <w:sz w:val="28"/>
          <w:szCs w:val="20"/>
        </w:rPr>
        <w:t>埇桥区乡镇各类用地级别平均容积率表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8"/>
        <w:gridCol w:w="2285"/>
        <w:gridCol w:w="1553"/>
        <w:gridCol w:w="1553"/>
        <w:gridCol w:w="1553"/>
      </w:tblGrid>
      <w:tr w14:paraId="5BC34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gridSpan w:val="2"/>
            <w:tcBorders>
              <w:tl2br w:val="single" w:color="auto" w:sz="4" w:space="0"/>
            </w:tcBorders>
            <w:noWrap w:val="0"/>
            <w:vAlign w:val="center"/>
          </w:tcPr>
          <w:p w14:paraId="5F898EAD">
            <w:pPr>
              <w:spacing w:line="0" w:lineRule="atLeast"/>
              <w:jc w:val="right"/>
              <w:rPr>
                <w:rFonts w:eastAsia="楷体_GB2312"/>
              </w:rPr>
            </w:pPr>
            <w:r>
              <w:rPr>
                <w:rFonts w:eastAsia="楷体_GB2312"/>
              </w:rPr>
              <w:t xml:space="preserve">                   土地级别</w:t>
            </w:r>
          </w:p>
          <w:p w14:paraId="5011331B">
            <w:pPr>
              <w:spacing w:line="0" w:lineRule="atLeast"/>
              <w:rPr>
                <w:rFonts w:eastAsia="楷体_GB2312"/>
              </w:rPr>
            </w:pPr>
            <w:r>
              <w:rPr>
                <w:rFonts w:eastAsia="楷体_GB2312"/>
              </w:rPr>
              <w:t>土地用途</w:t>
            </w:r>
          </w:p>
        </w:tc>
        <w:tc>
          <w:tcPr>
            <w:tcW w:w="0" w:type="auto"/>
            <w:noWrap w:val="0"/>
            <w:vAlign w:val="center"/>
          </w:tcPr>
          <w:p w14:paraId="4967A98D">
            <w:pPr>
              <w:spacing w:line="0" w:lineRule="atLeast"/>
              <w:jc w:val="center"/>
              <w:rPr>
                <w:rFonts w:eastAsia="楷体_GB2312"/>
              </w:rPr>
            </w:pPr>
            <w:r>
              <w:rPr>
                <w:rFonts w:eastAsia="楷体_GB2312"/>
              </w:rPr>
              <w:t>一级地</w:t>
            </w:r>
          </w:p>
        </w:tc>
        <w:tc>
          <w:tcPr>
            <w:tcW w:w="0" w:type="auto"/>
            <w:noWrap w:val="0"/>
            <w:vAlign w:val="center"/>
          </w:tcPr>
          <w:p w14:paraId="579B6FA0">
            <w:pPr>
              <w:spacing w:line="0" w:lineRule="atLeast"/>
              <w:jc w:val="center"/>
              <w:rPr>
                <w:rFonts w:eastAsia="楷体_GB2312"/>
              </w:rPr>
            </w:pPr>
            <w:r>
              <w:rPr>
                <w:rFonts w:eastAsia="楷体_GB2312"/>
              </w:rPr>
              <w:t>二级地</w:t>
            </w:r>
          </w:p>
        </w:tc>
        <w:tc>
          <w:tcPr>
            <w:tcW w:w="0" w:type="auto"/>
            <w:noWrap w:val="0"/>
            <w:vAlign w:val="center"/>
          </w:tcPr>
          <w:p w14:paraId="19C334DD">
            <w:pPr>
              <w:spacing w:line="0" w:lineRule="atLeast"/>
              <w:jc w:val="center"/>
              <w:rPr>
                <w:rFonts w:eastAsia="楷体_GB2312"/>
              </w:rPr>
            </w:pPr>
            <w:r>
              <w:rPr>
                <w:rFonts w:eastAsia="楷体_GB2312"/>
              </w:rPr>
              <w:t>三级地</w:t>
            </w:r>
          </w:p>
        </w:tc>
      </w:tr>
      <w:tr w14:paraId="2A71B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gridSpan w:val="2"/>
            <w:noWrap w:val="0"/>
            <w:vAlign w:val="center"/>
          </w:tcPr>
          <w:p w14:paraId="290E92E9">
            <w:pPr>
              <w:spacing w:line="0" w:lineRule="atLeast"/>
              <w:jc w:val="center"/>
              <w:rPr>
                <w:rFonts w:eastAsia="楷体_GB2312"/>
              </w:rPr>
            </w:pPr>
            <w:r>
              <w:rPr>
                <w:rFonts w:eastAsia="楷体_GB2312"/>
              </w:rPr>
              <w:t>商服用地</w:t>
            </w:r>
          </w:p>
        </w:tc>
        <w:tc>
          <w:tcPr>
            <w:tcW w:w="0" w:type="auto"/>
            <w:noWrap w:val="0"/>
            <w:vAlign w:val="center"/>
          </w:tcPr>
          <w:p w14:paraId="78287E6F">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1.3</w:t>
            </w:r>
          </w:p>
        </w:tc>
        <w:tc>
          <w:tcPr>
            <w:tcW w:w="0" w:type="auto"/>
            <w:noWrap w:val="0"/>
            <w:vAlign w:val="center"/>
          </w:tcPr>
          <w:p w14:paraId="784B0B15">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1.2</w:t>
            </w:r>
          </w:p>
        </w:tc>
        <w:tc>
          <w:tcPr>
            <w:tcW w:w="0" w:type="auto"/>
            <w:noWrap w:val="0"/>
            <w:vAlign w:val="center"/>
          </w:tcPr>
          <w:p w14:paraId="34F850C7">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1.1</w:t>
            </w:r>
          </w:p>
        </w:tc>
      </w:tr>
      <w:tr w14:paraId="69CCA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gridSpan w:val="2"/>
            <w:noWrap w:val="0"/>
            <w:vAlign w:val="center"/>
          </w:tcPr>
          <w:p w14:paraId="104E5C58">
            <w:pPr>
              <w:spacing w:line="0" w:lineRule="atLeast"/>
              <w:jc w:val="center"/>
              <w:rPr>
                <w:rFonts w:eastAsia="楷体_GB2312"/>
              </w:rPr>
            </w:pPr>
            <w:r>
              <w:rPr>
                <w:rFonts w:eastAsia="楷体_GB2312"/>
              </w:rPr>
              <w:t>住宅用地</w:t>
            </w:r>
          </w:p>
        </w:tc>
        <w:tc>
          <w:tcPr>
            <w:tcW w:w="0" w:type="auto"/>
            <w:noWrap w:val="0"/>
            <w:vAlign w:val="center"/>
          </w:tcPr>
          <w:p w14:paraId="39D4CE8A">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1.4</w:t>
            </w:r>
          </w:p>
        </w:tc>
        <w:tc>
          <w:tcPr>
            <w:tcW w:w="0" w:type="auto"/>
            <w:noWrap w:val="0"/>
            <w:vAlign w:val="center"/>
          </w:tcPr>
          <w:p w14:paraId="0B12A55A">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1.3</w:t>
            </w:r>
          </w:p>
        </w:tc>
        <w:tc>
          <w:tcPr>
            <w:tcW w:w="0" w:type="auto"/>
            <w:noWrap w:val="0"/>
            <w:vAlign w:val="center"/>
          </w:tcPr>
          <w:p w14:paraId="11017BA7">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1.2</w:t>
            </w:r>
          </w:p>
        </w:tc>
      </w:tr>
      <w:tr w14:paraId="445B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gridSpan w:val="2"/>
            <w:noWrap w:val="0"/>
            <w:vAlign w:val="center"/>
          </w:tcPr>
          <w:p w14:paraId="4E2C3D22">
            <w:pPr>
              <w:spacing w:line="0" w:lineRule="atLeast"/>
              <w:jc w:val="center"/>
              <w:rPr>
                <w:rFonts w:eastAsia="楷体_GB2312"/>
              </w:rPr>
            </w:pPr>
            <w:r>
              <w:rPr>
                <w:rFonts w:eastAsia="楷体_GB2312"/>
              </w:rPr>
              <w:t>工矿仓储用地</w:t>
            </w:r>
          </w:p>
        </w:tc>
        <w:tc>
          <w:tcPr>
            <w:tcW w:w="0" w:type="auto"/>
            <w:noWrap w:val="0"/>
            <w:vAlign w:val="center"/>
          </w:tcPr>
          <w:p w14:paraId="0361B832">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1.0</w:t>
            </w:r>
          </w:p>
        </w:tc>
        <w:tc>
          <w:tcPr>
            <w:tcW w:w="0" w:type="auto"/>
            <w:noWrap w:val="0"/>
            <w:vAlign w:val="center"/>
          </w:tcPr>
          <w:p w14:paraId="45AC3875">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1.0</w:t>
            </w:r>
          </w:p>
        </w:tc>
        <w:tc>
          <w:tcPr>
            <w:tcW w:w="0" w:type="auto"/>
            <w:noWrap w:val="0"/>
            <w:vAlign w:val="center"/>
          </w:tcPr>
          <w:p w14:paraId="6B83C805">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1.0</w:t>
            </w:r>
          </w:p>
        </w:tc>
      </w:tr>
      <w:tr w14:paraId="47944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28" w:type="dxa"/>
            <w:vMerge w:val="restart"/>
            <w:noWrap w:val="0"/>
            <w:vAlign w:val="center"/>
          </w:tcPr>
          <w:p w14:paraId="1BAEB1BD">
            <w:pPr>
              <w:spacing w:line="0" w:lineRule="atLeast"/>
              <w:jc w:val="center"/>
              <w:rPr>
                <w:rFonts w:eastAsia="楷体_GB2312"/>
              </w:rPr>
            </w:pPr>
            <w:r>
              <w:rPr>
                <w:rFonts w:eastAsia="楷体_GB2312"/>
              </w:rPr>
              <w:t>公共管理与公共服务用地</w:t>
            </w:r>
          </w:p>
        </w:tc>
        <w:tc>
          <w:tcPr>
            <w:tcW w:w="2285" w:type="dxa"/>
            <w:noWrap w:val="0"/>
            <w:vAlign w:val="center"/>
          </w:tcPr>
          <w:p w14:paraId="716D08B7">
            <w:pPr>
              <w:spacing w:line="0" w:lineRule="atLeast"/>
              <w:jc w:val="center"/>
              <w:rPr>
                <w:rFonts w:eastAsia="楷体_GB2312"/>
              </w:rPr>
            </w:pPr>
            <w:r>
              <w:rPr>
                <w:rFonts w:eastAsia="楷体_GB2312"/>
              </w:rPr>
              <w:t>新闻出版用地</w:t>
            </w:r>
          </w:p>
        </w:tc>
        <w:tc>
          <w:tcPr>
            <w:tcW w:w="0" w:type="auto"/>
            <w:noWrap w:val="0"/>
            <w:vAlign w:val="center"/>
          </w:tcPr>
          <w:p w14:paraId="10A10FD9">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1.3</w:t>
            </w:r>
          </w:p>
        </w:tc>
        <w:tc>
          <w:tcPr>
            <w:tcW w:w="0" w:type="auto"/>
            <w:noWrap w:val="0"/>
            <w:vAlign w:val="center"/>
          </w:tcPr>
          <w:p w14:paraId="2D46E45C">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1.2</w:t>
            </w:r>
          </w:p>
        </w:tc>
        <w:tc>
          <w:tcPr>
            <w:tcW w:w="0" w:type="auto"/>
            <w:noWrap w:val="0"/>
            <w:vAlign w:val="center"/>
          </w:tcPr>
          <w:p w14:paraId="456AF955">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1.0</w:t>
            </w:r>
          </w:p>
        </w:tc>
      </w:tr>
      <w:tr w14:paraId="5A6F5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28" w:type="dxa"/>
            <w:vMerge w:val="continue"/>
            <w:noWrap w:val="0"/>
            <w:vAlign w:val="center"/>
          </w:tcPr>
          <w:p w14:paraId="75FB989D">
            <w:pPr>
              <w:spacing w:line="0" w:lineRule="atLeast"/>
              <w:jc w:val="center"/>
              <w:rPr>
                <w:rFonts w:eastAsia="楷体_GB2312"/>
              </w:rPr>
            </w:pPr>
          </w:p>
        </w:tc>
        <w:tc>
          <w:tcPr>
            <w:tcW w:w="2285" w:type="dxa"/>
            <w:noWrap w:val="0"/>
            <w:vAlign w:val="center"/>
          </w:tcPr>
          <w:p w14:paraId="4CF4E8F4">
            <w:pPr>
              <w:spacing w:line="0" w:lineRule="atLeast"/>
              <w:jc w:val="center"/>
              <w:rPr>
                <w:rFonts w:eastAsia="楷体_GB2312"/>
              </w:rPr>
            </w:pPr>
            <w:r>
              <w:rPr>
                <w:rFonts w:eastAsia="楷体_GB2312"/>
              </w:rPr>
              <w:t>医疗卫生用地</w:t>
            </w:r>
          </w:p>
        </w:tc>
        <w:tc>
          <w:tcPr>
            <w:tcW w:w="0" w:type="auto"/>
            <w:noWrap w:val="0"/>
            <w:vAlign w:val="center"/>
          </w:tcPr>
          <w:p w14:paraId="5665E546">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1.3</w:t>
            </w:r>
          </w:p>
        </w:tc>
        <w:tc>
          <w:tcPr>
            <w:tcW w:w="0" w:type="auto"/>
            <w:noWrap w:val="0"/>
            <w:vAlign w:val="center"/>
          </w:tcPr>
          <w:p w14:paraId="0C71C7E1">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1.2</w:t>
            </w:r>
          </w:p>
        </w:tc>
        <w:tc>
          <w:tcPr>
            <w:tcW w:w="0" w:type="auto"/>
            <w:noWrap w:val="0"/>
            <w:vAlign w:val="center"/>
          </w:tcPr>
          <w:p w14:paraId="5653CF58">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1.0</w:t>
            </w:r>
          </w:p>
        </w:tc>
      </w:tr>
      <w:tr w14:paraId="39D1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28" w:type="dxa"/>
            <w:vMerge w:val="continue"/>
            <w:noWrap w:val="0"/>
            <w:vAlign w:val="center"/>
          </w:tcPr>
          <w:p w14:paraId="222D09B9">
            <w:pPr>
              <w:spacing w:line="0" w:lineRule="atLeast"/>
              <w:jc w:val="center"/>
              <w:rPr>
                <w:rFonts w:eastAsia="楷体_GB2312"/>
              </w:rPr>
            </w:pPr>
          </w:p>
        </w:tc>
        <w:tc>
          <w:tcPr>
            <w:tcW w:w="2285" w:type="dxa"/>
            <w:noWrap w:val="0"/>
            <w:vAlign w:val="center"/>
          </w:tcPr>
          <w:p w14:paraId="714767AB">
            <w:pPr>
              <w:spacing w:line="0" w:lineRule="atLeast"/>
              <w:jc w:val="center"/>
              <w:rPr>
                <w:rFonts w:eastAsia="楷体_GB2312"/>
              </w:rPr>
            </w:pPr>
            <w:r>
              <w:rPr>
                <w:rFonts w:eastAsia="楷体_GB2312"/>
              </w:rPr>
              <w:t>文化设施用地</w:t>
            </w:r>
          </w:p>
        </w:tc>
        <w:tc>
          <w:tcPr>
            <w:tcW w:w="0" w:type="auto"/>
            <w:noWrap w:val="0"/>
            <w:vAlign w:val="center"/>
          </w:tcPr>
          <w:p w14:paraId="06C5EC75">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1.3</w:t>
            </w:r>
          </w:p>
        </w:tc>
        <w:tc>
          <w:tcPr>
            <w:tcW w:w="0" w:type="auto"/>
            <w:noWrap w:val="0"/>
            <w:vAlign w:val="center"/>
          </w:tcPr>
          <w:p w14:paraId="59C7B033">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1.2</w:t>
            </w:r>
          </w:p>
        </w:tc>
        <w:tc>
          <w:tcPr>
            <w:tcW w:w="0" w:type="auto"/>
            <w:noWrap w:val="0"/>
            <w:vAlign w:val="center"/>
          </w:tcPr>
          <w:p w14:paraId="7D2C6EAC">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1.0</w:t>
            </w:r>
          </w:p>
        </w:tc>
      </w:tr>
      <w:tr w14:paraId="0768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28" w:type="dxa"/>
            <w:vMerge w:val="continue"/>
            <w:noWrap w:val="0"/>
            <w:vAlign w:val="center"/>
          </w:tcPr>
          <w:p w14:paraId="1F02E8D0">
            <w:pPr>
              <w:spacing w:line="0" w:lineRule="atLeast"/>
              <w:jc w:val="center"/>
              <w:rPr>
                <w:rFonts w:eastAsia="楷体_GB2312"/>
              </w:rPr>
            </w:pPr>
          </w:p>
        </w:tc>
        <w:tc>
          <w:tcPr>
            <w:tcW w:w="2285" w:type="dxa"/>
            <w:noWrap w:val="0"/>
            <w:vAlign w:val="center"/>
          </w:tcPr>
          <w:p w14:paraId="1B2B2280">
            <w:pPr>
              <w:spacing w:line="0" w:lineRule="atLeast"/>
              <w:jc w:val="center"/>
              <w:rPr>
                <w:rFonts w:eastAsia="楷体_GB2312"/>
              </w:rPr>
            </w:pPr>
            <w:r>
              <w:rPr>
                <w:rFonts w:eastAsia="楷体_GB2312"/>
              </w:rPr>
              <w:t>体育用地</w:t>
            </w:r>
          </w:p>
        </w:tc>
        <w:tc>
          <w:tcPr>
            <w:tcW w:w="0" w:type="auto"/>
            <w:noWrap w:val="0"/>
            <w:vAlign w:val="center"/>
          </w:tcPr>
          <w:p w14:paraId="0D9CEAFB">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1.3</w:t>
            </w:r>
          </w:p>
        </w:tc>
        <w:tc>
          <w:tcPr>
            <w:tcW w:w="0" w:type="auto"/>
            <w:noWrap w:val="0"/>
            <w:vAlign w:val="center"/>
          </w:tcPr>
          <w:p w14:paraId="712AA45C">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1.2</w:t>
            </w:r>
          </w:p>
        </w:tc>
        <w:tc>
          <w:tcPr>
            <w:tcW w:w="0" w:type="auto"/>
            <w:noWrap w:val="0"/>
            <w:vAlign w:val="center"/>
          </w:tcPr>
          <w:p w14:paraId="5D95633C">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1.0</w:t>
            </w:r>
          </w:p>
        </w:tc>
      </w:tr>
      <w:tr w14:paraId="263D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28" w:type="dxa"/>
            <w:vMerge w:val="continue"/>
            <w:noWrap w:val="0"/>
            <w:vAlign w:val="center"/>
          </w:tcPr>
          <w:p w14:paraId="481F8C8E">
            <w:pPr>
              <w:spacing w:line="0" w:lineRule="atLeast"/>
              <w:jc w:val="center"/>
              <w:rPr>
                <w:rFonts w:eastAsia="楷体_GB2312"/>
              </w:rPr>
            </w:pPr>
          </w:p>
        </w:tc>
        <w:tc>
          <w:tcPr>
            <w:tcW w:w="2285" w:type="dxa"/>
            <w:noWrap w:val="0"/>
            <w:vAlign w:val="center"/>
          </w:tcPr>
          <w:p w14:paraId="7233BD87">
            <w:pPr>
              <w:spacing w:line="0" w:lineRule="atLeast"/>
              <w:jc w:val="center"/>
              <w:rPr>
                <w:rFonts w:eastAsia="楷体_GB2312"/>
              </w:rPr>
            </w:pPr>
            <w:r>
              <w:rPr>
                <w:rFonts w:eastAsia="楷体_GB2312"/>
              </w:rPr>
              <w:t>教育用地</w:t>
            </w:r>
          </w:p>
        </w:tc>
        <w:tc>
          <w:tcPr>
            <w:tcW w:w="0" w:type="auto"/>
            <w:noWrap w:val="0"/>
            <w:vAlign w:val="center"/>
          </w:tcPr>
          <w:p w14:paraId="60CB9D4D">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1.2</w:t>
            </w:r>
          </w:p>
        </w:tc>
        <w:tc>
          <w:tcPr>
            <w:tcW w:w="0" w:type="auto"/>
            <w:noWrap w:val="0"/>
            <w:vAlign w:val="center"/>
          </w:tcPr>
          <w:p w14:paraId="76FC4136">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1.1</w:t>
            </w:r>
          </w:p>
        </w:tc>
        <w:tc>
          <w:tcPr>
            <w:tcW w:w="0" w:type="auto"/>
            <w:noWrap w:val="0"/>
            <w:vAlign w:val="center"/>
          </w:tcPr>
          <w:p w14:paraId="1ADECC64">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1.0</w:t>
            </w:r>
          </w:p>
        </w:tc>
      </w:tr>
      <w:tr w14:paraId="42632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28" w:type="dxa"/>
            <w:vMerge w:val="continue"/>
            <w:noWrap w:val="0"/>
            <w:vAlign w:val="center"/>
          </w:tcPr>
          <w:p w14:paraId="4B2AFA8D">
            <w:pPr>
              <w:spacing w:line="0" w:lineRule="atLeast"/>
              <w:jc w:val="center"/>
              <w:rPr>
                <w:rFonts w:eastAsia="楷体_GB2312"/>
              </w:rPr>
            </w:pPr>
          </w:p>
        </w:tc>
        <w:tc>
          <w:tcPr>
            <w:tcW w:w="2285" w:type="dxa"/>
            <w:noWrap w:val="0"/>
            <w:vAlign w:val="center"/>
          </w:tcPr>
          <w:p w14:paraId="24FDDFF2">
            <w:pPr>
              <w:spacing w:line="0" w:lineRule="atLeast"/>
              <w:jc w:val="center"/>
              <w:rPr>
                <w:rFonts w:eastAsia="楷体_GB2312"/>
              </w:rPr>
            </w:pPr>
            <w:r>
              <w:rPr>
                <w:rFonts w:eastAsia="楷体_GB2312"/>
              </w:rPr>
              <w:t>科研用地</w:t>
            </w:r>
          </w:p>
        </w:tc>
        <w:tc>
          <w:tcPr>
            <w:tcW w:w="0" w:type="auto"/>
            <w:noWrap w:val="0"/>
            <w:vAlign w:val="center"/>
          </w:tcPr>
          <w:p w14:paraId="013AAE2A">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1.2</w:t>
            </w:r>
          </w:p>
        </w:tc>
        <w:tc>
          <w:tcPr>
            <w:tcW w:w="0" w:type="auto"/>
            <w:noWrap w:val="0"/>
            <w:vAlign w:val="center"/>
          </w:tcPr>
          <w:p w14:paraId="6136F27A">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1.1</w:t>
            </w:r>
          </w:p>
        </w:tc>
        <w:tc>
          <w:tcPr>
            <w:tcW w:w="0" w:type="auto"/>
            <w:noWrap w:val="0"/>
            <w:vAlign w:val="center"/>
          </w:tcPr>
          <w:p w14:paraId="757EEAF5">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1.0</w:t>
            </w:r>
          </w:p>
        </w:tc>
      </w:tr>
      <w:tr w14:paraId="413A5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28" w:type="dxa"/>
            <w:vMerge w:val="continue"/>
            <w:noWrap w:val="0"/>
            <w:vAlign w:val="center"/>
          </w:tcPr>
          <w:p w14:paraId="3EFEC59A">
            <w:pPr>
              <w:spacing w:line="0" w:lineRule="atLeast"/>
              <w:jc w:val="center"/>
              <w:rPr>
                <w:rFonts w:eastAsia="楷体_GB2312"/>
              </w:rPr>
            </w:pPr>
          </w:p>
        </w:tc>
        <w:tc>
          <w:tcPr>
            <w:tcW w:w="2285" w:type="dxa"/>
            <w:noWrap w:val="0"/>
            <w:vAlign w:val="center"/>
          </w:tcPr>
          <w:p w14:paraId="6EB3B397">
            <w:pPr>
              <w:spacing w:line="0" w:lineRule="atLeast"/>
              <w:jc w:val="center"/>
              <w:rPr>
                <w:rFonts w:eastAsia="楷体_GB2312"/>
              </w:rPr>
            </w:pPr>
            <w:r>
              <w:rPr>
                <w:rFonts w:eastAsia="楷体_GB2312"/>
              </w:rPr>
              <w:t>社会福利用地</w:t>
            </w:r>
          </w:p>
        </w:tc>
        <w:tc>
          <w:tcPr>
            <w:tcW w:w="0" w:type="auto"/>
            <w:noWrap w:val="0"/>
            <w:vAlign w:val="center"/>
          </w:tcPr>
          <w:p w14:paraId="785E93E2">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1.2</w:t>
            </w:r>
          </w:p>
        </w:tc>
        <w:tc>
          <w:tcPr>
            <w:tcW w:w="0" w:type="auto"/>
            <w:noWrap w:val="0"/>
            <w:vAlign w:val="center"/>
          </w:tcPr>
          <w:p w14:paraId="0CA16BC5">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1.1</w:t>
            </w:r>
          </w:p>
        </w:tc>
        <w:tc>
          <w:tcPr>
            <w:tcW w:w="0" w:type="auto"/>
            <w:noWrap w:val="0"/>
            <w:vAlign w:val="center"/>
          </w:tcPr>
          <w:p w14:paraId="7211D89A">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1.0</w:t>
            </w:r>
          </w:p>
        </w:tc>
      </w:tr>
      <w:tr w14:paraId="13449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28" w:type="dxa"/>
            <w:vMerge w:val="continue"/>
            <w:noWrap w:val="0"/>
            <w:vAlign w:val="center"/>
          </w:tcPr>
          <w:p w14:paraId="55751C70">
            <w:pPr>
              <w:spacing w:line="0" w:lineRule="atLeast"/>
              <w:jc w:val="center"/>
              <w:rPr>
                <w:rFonts w:eastAsia="楷体_GB2312"/>
              </w:rPr>
            </w:pPr>
          </w:p>
        </w:tc>
        <w:tc>
          <w:tcPr>
            <w:tcW w:w="2285" w:type="dxa"/>
            <w:noWrap w:val="0"/>
            <w:vAlign w:val="center"/>
          </w:tcPr>
          <w:p w14:paraId="484D8ED8">
            <w:pPr>
              <w:spacing w:line="0" w:lineRule="atLeast"/>
              <w:jc w:val="center"/>
              <w:rPr>
                <w:rFonts w:eastAsia="楷体_GB2312"/>
              </w:rPr>
            </w:pPr>
            <w:r>
              <w:rPr>
                <w:rFonts w:eastAsia="楷体_GB2312"/>
              </w:rPr>
              <w:t>公用设施用地</w:t>
            </w:r>
          </w:p>
        </w:tc>
        <w:tc>
          <w:tcPr>
            <w:tcW w:w="0" w:type="auto"/>
            <w:noWrap w:val="0"/>
            <w:vAlign w:val="center"/>
          </w:tcPr>
          <w:p w14:paraId="2A78435E">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1.0</w:t>
            </w:r>
          </w:p>
        </w:tc>
        <w:tc>
          <w:tcPr>
            <w:tcW w:w="0" w:type="auto"/>
            <w:noWrap w:val="0"/>
            <w:vAlign w:val="center"/>
          </w:tcPr>
          <w:p w14:paraId="286ADBD4">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1.0</w:t>
            </w:r>
          </w:p>
        </w:tc>
        <w:tc>
          <w:tcPr>
            <w:tcW w:w="0" w:type="auto"/>
            <w:noWrap w:val="0"/>
            <w:vAlign w:val="center"/>
          </w:tcPr>
          <w:p w14:paraId="3D6BA6A8">
            <w:pPr>
              <w:pStyle w:val="20"/>
              <w:jc w:val="center"/>
              <w:rPr>
                <w:rFonts w:ascii="Times New Roman" w:hAnsi="Times New Roman" w:eastAsia="楷体_GB2312" w:cs="Times New Roman"/>
                <w:sz w:val="24"/>
                <w:szCs w:val="24"/>
              </w:rPr>
            </w:pPr>
            <w:r>
              <w:rPr>
                <w:rFonts w:ascii="Times New Roman" w:hAnsi="Times New Roman" w:eastAsia="楷体_GB2312" w:cs="Times New Roman"/>
                <w:sz w:val="24"/>
                <w:szCs w:val="24"/>
              </w:rPr>
              <w:t>1.0</w:t>
            </w:r>
          </w:p>
        </w:tc>
      </w:tr>
    </w:tbl>
    <w:p w14:paraId="29BED4C2">
      <w:pPr>
        <w:spacing w:line="480" w:lineRule="exact"/>
        <w:jc w:val="center"/>
        <w:rPr>
          <w:rFonts w:eastAsia="黑体"/>
          <w:sz w:val="28"/>
        </w:rPr>
      </w:pPr>
    </w:p>
    <w:p w14:paraId="7438407D">
      <w:pPr>
        <w:spacing w:line="480" w:lineRule="exact"/>
        <w:jc w:val="center"/>
        <w:rPr>
          <w:rFonts w:eastAsia="黑体"/>
          <w:sz w:val="28"/>
          <w:szCs w:val="20"/>
        </w:rPr>
      </w:pPr>
      <w:r>
        <w:rPr>
          <w:rFonts w:eastAsia="黑体"/>
          <w:sz w:val="28"/>
        </w:rPr>
        <w:br w:type="page"/>
      </w:r>
      <w:r>
        <w:rPr>
          <w:rFonts w:eastAsia="黑体"/>
          <w:sz w:val="28"/>
        </w:rPr>
        <w:t>表2-2-</w:t>
      </w:r>
      <w:r>
        <w:rPr>
          <w:rFonts w:hint="eastAsia" w:eastAsia="黑体"/>
          <w:sz w:val="28"/>
        </w:rPr>
        <w:t>4</w:t>
      </w:r>
      <w:r>
        <w:rPr>
          <w:rFonts w:eastAsia="黑体"/>
          <w:sz w:val="28"/>
        </w:rPr>
        <w:t xml:space="preserve"> </w:t>
      </w:r>
      <w:r>
        <w:rPr>
          <w:rFonts w:eastAsia="黑体"/>
          <w:sz w:val="28"/>
          <w:szCs w:val="20"/>
        </w:rPr>
        <w:t xml:space="preserve"> </w:t>
      </w:r>
      <w:r>
        <w:rPr>
          <w:rFonts w:eastAsia="黑体"/>
          <w:sz w:val="28"/>
          <w:szCs w:val="21"/>
        </w:rPr>
        <w:t>埇桥区</w:t>
      </w:r>
      <w:r>
        <w:rPr>
          <w:rFonts w:hint="eastAsia" w:eastAsia="黑体"/>
          <w:sz w:val="28"/>
          <w:szCs w:val="21"/>
        </w:rPr>
        <w:t>三个园区</w:t>
      </w:r>
      <w:r>
        <w:rPr>
          <w:rFonts w:hint="eastAsia" w:eastAsia="黑体"/>
          <w:sz w:val="28"/>
        </w:rPr>
        <w:t>指导价区域</w:t>
      </w:r>
      <w:r>
        <w:rPr>
          <w:rFonts w:eastAsia="黑体"/>
          <w:sz w:val="28"/>
          <w:szCs w:val="21"/>
        </w:rPr>
        <w:t>各类用地级别平均容积率表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8"/>
        <w:gridCol w:w="2285"/>
        <w:gridCol w:w="4659"/>
      </w:tblGrid>
      <w:tr w14:paraId="5A86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gridSpan w:val="2"/>
            <w:tcBorders>
              <w:tl2br w:val="single" w:color="auto" w:sz="4" w:space="0"/>
            </w:tcBorders>
            <w:noWrap w:val="0"/>
            <w:vAlign w:val="center"/>
          </w:tcPr>
          <w:p w14:paraId="18CAADD9">
            <w:pPr>
              <w:spacing w:line="0" w:lineRule="atLeast"/>
              <w:jc w:val="right"/>
              <w:rPr>
                <w:rFonts w:eastAsia="楷体_GB2312"/>
                <w:szCs w:val="21"/>
              </w:rPr>
            </w:pPr>
            <w:r>
              <w:rPr>
                <w:rFonts w:eastAsia="楷体_GB2312"/>
                <w:szCs w:val="21"/>
              </w:rPr>
              <w:t xml:space="preserve">                   土地级别</w:t>
            </w:r>
          </w:p>
          <w:p w14:paraId="3D12FFC0">
            <w:pPr>
              <w:spacing w:line="0" w:lineRule="atLeast"/>
              <w:rPr>
                <w:rFonts w:eastAsia="楷体_GB2312"/>
                <w:szCs w:val="21"/>
              </w:rPr>
            </w:pPr>
            <w:r>
              <w:rPr>
                <w:rFonts w:eastAsia="楷体_GB2312"/>
                <w:szCs w:val="21"/>
              </w:rPr>
              <w:t>土地用途</w:t>
            </w:r>
          </w:p>
        </w:tc>
        <w:tc>
          <w:tcPr>
            <w:tcW w:w="0" w:type="auto"/>
            <w:noWrap w:val="0"/>
            <w:vAlign w:val="center"/>
          </w:tcPr>
          <w:p w14:paraId="2882C048">
            <w:pPr>
              <w:spacing w:line="0" w:lineRule="atLeast"/>
              <w:jc w:val="center"/>
              <w:rPr>
                <w:rFonts w:eastAsia="楷体_GB2312"/>
                <w:szCs w:val="21"/>
              </w:rPr>
            </w:pPr>
            <w:r>
              <w:rPr>
                <w:rFonts w:eastAsia="楷体_GB2312"/>
                <w:szCs w:val="21"/>
              </w:rPr>
              <w:t>指导价区域</w:t>
            </w:r>
          </w:p>
        </w:tc>
      </w:tr>
      <w:tr w14:paraId="22756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gridSpan w:val="2"/>
            <w:noWrap w:val="0"/>
            <w:vAlign w:val="center"/>
          </w:tcPr>
          <w:p w14:paraId="4B093ADC">
            <w:pPr>
              <w:spacing w:line="0" w:lineRule="atLeast"/>
              <w:jc w:val="center"/>
              <w:rPr>
                <w:rFonts w:eastAsia="楷体_GB2312"/>
                <w:szCs w:val="21"/>
              </w:rPr>
            </w:pPr>
            <w:r>
              <w:rPr>
                <w:rFonts w:eastAsia="楷体_GB2312"/>
                <w:szCs w:val="21"/>
              </w:rPr>
              <w:t>商服用地</w:t>
            </w:r>
          </w:p>
        </w:tc>
        <w:tc>
          <w:tcPr>
            <w:tcW w:w="0" w:type="auto"/>
            <w:noWrap w:val="0"/>
            <w:vAlign w:val="center"/>
          </w:tcPr>
          <w:p w14:paraId="6FF23D3A">
            <w:pPr>
              <w:pStyle w:val="20"/>
              <w:jc w:val="center"/>
              <w:rPr>
                <w:rFonts w:ascii="Times New Roman" w:hAnsi="Times New Roman" w:eastAsia="楷体_GB2312" w:cs="Times New Roman"/>
              </w:rPr>
            </w:pPr>
            <w:r>
              <w:rPr>
                <w:rFonts w:ascii="Times New Roman" w:hAnsi="Times New Roman" w:eastAsia="楷体_GB2312" w:cs="Times New Roman"/>
              </w:rPr>
              <w:t>1.2</w:t>
            </w:r>
          </w:p>
        </w:tc>
      </w:tr>
      <w:tr w14:paraId="4CC47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gridSpan w:val="2"/>
            <w:noWrap w:val="0"/>
            <w:vAlign w:val="center"/>
          </w:tcPr>
          <w:p w14:paraId="11B252EF">
            <w:pPr>
              <w:spacing w:line="0" w:lineRule="atLeast"/>
              <w:jc w:val="center"/>
              <w:rPr>
                <w:rFonts w:eastAsia="楷体_GB2312"/>
                <w:szCs w:val="21"/>
              </w:rPr>
            </w:pPr>
            <w:r>
              <w:rPr>
                <w:rFonts w:eastAsia="楷体_GB2312"/>
                <w:szCs w:val="21"/>
              </w:rPr>
              <w:t>住宅用地</w:t>
            </w:r>
          </w:p>
        </w:tc>
        <w:tc>
          <w:tcPr>
            <w:tcW w:w="0" w:type="auto"/>
            <w:noWrap w:val="0"/>
            <w:vAlign w:val="center"/>
          </w:tcPr>
          <w:p w14:paraId="4EF7E81E">
            <w:pPr>
              <w:pStyle w:val="20"/>
              <w:jc w:val="center"/>
              <w:rPr>
                <w:rFonts w:ascii="Times New Roman" w:hAnsi="Times New Roman" w:eastAsia="楷体_GB2312" w:cs="Times New Roman"/>
              </w:rPr>
            </w:pPr>
            <w:r>
              <w:rPr>
                <w:rFonts w:ascii="Times New Roman" w:hAnsi="Times New Roman" w:eastAsia="楷体_GB2312" w:cs="Times New Roman"/>
              </w:rPr>
              <w:t>1.3</w:t>
            </w:r>
          </w:p>
        </w:tc>
      </w:tr>
      <w:tr w14:paraId="255D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0" w:type="auto"/>
            <w:gridSpan w:val="2"/>
            <w:noWrap w:val="0"/>
            <w:vAlign w:val="center"/>
          </w:tcPr>
          <w:p w14:paraId="25CC0A58">
            <w:pPr>
              <w:spacing w:line="0" w:lineRule="atLeast"/>
              <w:jc w:val="center"/>
              <w:rPr>
                <w:rFonts w:eastAsia="楷体_GB2312"/>
                <w:szCs w:val="21"/>
              </w:rPr>
            </w:pPr>
            <w:r>
              <w:rPr>
                <w:rFonts w:eastAsia="楷体_GB2312"/>
                <w:szCs w:val="21"/>
              </w:rPr>
              <w:t>工矿仓储用地</w:t>
            </w:r>
          </w:p>
        </w:tc>
        <w:tc>
          <w:tcPr>
            <w:tcW w:w="0" w:type="auto"/>
            <w:noWrap w:val="0"/>
            <w:vAlign w:val="center"/>
          </w:tcPr>
          <w:p w14:paraId="7D63D354">
            <w:pPr>
              <w:pStyle w:val="20"/>
              <w:jc w:val="center"/>
              <w:rPr>
                <w:rFonts w:ascii="Times New Roman" w:hAnsi="Times New Roman" w:eastAsia="楷体_GB2312" w:cs="Times New Roman"/>
              </w:rPr>
            </w:pPr>
            <w:r>
              <w:rPr>
                <w:rFonts w:ascii="Times New Roman" w:hAnsi="Times New Roman" w:eastAsia="楷体_GB2312" w:cs="Times New Roman"/>
              </w:rPr>
              <w:t>1.0</w:t>
            </w:r>
          </w:p>
        </w:tc>
      </w:tr>
      <w:tr w14:paraId="4B717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28" w:type="dxa"/>
            <w:vMerge w:val="restart"/>
            <w:noWrap w:val="0"/>
            <w:vAlign w:val="center"/>
          </w:tcPr>
          <w:p w14:paraId="35C59F82">
            <w:pPr>
              <w:spacing w:line="0" w:lineRule="atLeast"/>
              <w:jc w:val="center"/>
              <w:rPr>
                <w:rFonts w:eastAsia="楷体_GB2312"/>
                <w:szCs w:val="21"/>
              </w:rPr>
            </w:pPr>
            <w:r>
              <w:rPr>
                <w:rFonts w:eastAsia="楷体_GB2312"/>
                <w:szCs w:val="21"/>
              </w:rPr>
              <w:t>公共管理与公共服务用地</w:t>
            </w:r>
          </w:p>
        </w:tc>
        <w:tc>
          <w:tcPr>
            <w:tcW w:w="2285" w:type="dxa"/>
            <w:noWrap w:val="0"/>
            <w:vAlign w:val="center"/>
          </w:tcPr>
          <w:p w14:paraId="03F0E2AF">
            <w:pPr>
              <w:spacing w:line="0" w:lineRule="atLeast"/>
              <w:jc w:val="center"/>
              <w:rPr>
                <w:rFonts w:eastAsia="楷体_GB2312"/>
                <w:szCs w:val="21"/>
              </w:rPr>
            </w:pPr>
            <w:r>
              <w:rPr>
                <w:rFonts w:eastAsia="楷体_GB2312"/>
                <w:szCs w:val="21"/>
              </w:rPr>
              <w:t>新闻出版用地</w:t>
            </w:r>
          </w:p>
        </w:tc>
        <w:tc>
          <w:tcPr>
            <w:tcW w:w="0" w:type="auto"/>
            <w:noWrap w:val="0"/>
            <w:vAlign w:val="center"/>
          </w:tcPr>
          <w:p w14:paraId="4021F8D9">
            <w:pPr>
              <w:pStyle w:val="20"/>
              <w:jc w:val="center"/>
              <w:rPr>
                <w:rFonts w:ascii="Times New Roman" w:hAnsi="Times New Roman" w:eastAsia="楷体_GB2312" w:cs="Times New Roman"/>
              </w:rPr>
            </w:pPr>
            <w:r>
              <w:rPr>
                <w:rFonts w:ascii="Times New Roman" w:hAnsi="Times New Roman" w:eastAsia="楷体_GB2312" w:cs="Times New Roman"/>
              </w:rPr>
              <w:t>1.2</w:t>
            </w:r>
          </w:p>
        </w:tc>
      </w:tr>
      <w:tr w14:paraId="4C53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28" w:type="dxa"/>
            <w:vMerge w:val="continue"/>
            <w:noWrap w:val="0"/>
            <w:vAlign w:val="center"/>
          </w:tcPr>
          <w:p w14:paraId="1F6B38D5">
            <w:pPr>
              <w:spacing w:line="0" w:lineRule="atLeast"/>
              <w:jc w:val="center"/>
              <w:rPr>
                <w:rFonts w:eastAsia="楷体_GB2312"/>
                <w:szCs w:val="21"/>
              </w:rPr>
            </w:pPr>
          </w:p>
        </w:tc>
        <w:tc>
          <w:tcPr>
            <w:tcW w:w="2285" w:type="dxa"/>
            <w:noWrap w:val="0"/>
            <w:vAlign w:val="center"/>
          </w:tcPr>
          <w:p w14:paraId="324BF64B">
            <w:pPr>
              <w:spacing w:line="0" w:lineRule="atLeast"/>
              <w:jc w:val="center"/>
              <w:rPr>
                <w:rFonts w:eastAsia="楷体_GB2312"/>
                <w:szCs w:val="21"/>
              </w:rPr>
            </w:pPr>
            <w:r>
              <w:rPr>
                <w:rFonts w:eastAsia="楷体_GB2312"/>
                <w:szCs w:val="21"/>
              </w:rPr>
              <w:t>医疗卫生用地</w:t>
            </w:r>
          </w:p>
        </w:tc>
        <w:tc>
          <w:tcPr>
            <w:tcW w:w="0" w:type="auto"/>
            <w:noWrap w:val="0"/>
            <w:vAlign w:val="center"/>
          </w:tcPr>
          <w:p w14:paraId="664F82BE">
            <w:pPr>
              <w:pStyle w:val="20"/>
              <w:jc w:val="center"/>
              <w:rPr>
                <w:rFonts w:ascii="Times New Roman" w:hAnsi="Times New Roman" w:eastAsia="楷体_GB2312" w:cs="Times New Roman"/>
              </w:rPr>
            </w:pPr>
            <w:r>
              <w:rPr>
                <w:rFonts w:ascii="Times New Roman" w:hAnsi="Times New Roman" w:eastAsia="楷体_GB2312" w:cs="Times New Roman"/>
              </w:rPr>
              <w:t>1.2</w:t>
            </w:r>
          </w:p>
        </w:tc>
      </w:tr>
      <w:tr w14:paraId="231DE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28" w:type="dxa"/>
            <w:vMerge w:val="continue"/>
            <w:noWrap w:val="0"/>
            <w:vAlign w:val="center"/>
          </w:tcPr>
          <w:p w14:paraId="459D1363">
            <w:pPr>
              <w:spacing w:line="0" w:lineRule="atLeast"/>
              <w:jc w:val="center"/>
              <w:rPr>
                <w:rFonts w:eastAsia="楷体_GB2312"/>
                <w:szCs w:val="21"/>
              </w:rPr>
            </w:pPr>
          </w:p>
        </w:tc>
        <w:tc>
          <w:tcPr>
            <w:tcW w:w="2285" w:type="dxa"/>
            <w:noWrap w:val="0"/>
            <w:vAlign w:val="center"/>
          </w:tcPr>
          <w:p w14:paraId="40467CCE">
            <w:pPr>
              <w:spacing w:line="0" w:lineRule="atLeast"/>
              <w:jc w:val="center"/>
              <w:rPr>
                <w:rFonts w:eastAsia="楷体_GB2312"/>
                <w:szCs w:val="21"/>
              </w:rPr>
            </w:pPr>
            <w:r>
              <w:rPr>
                <w:rFonts w:eastAsia="楷体_GB2312"/>
                <w:szCs w:val="21"/>
              </w:rPr>
              <w:t>文化设施用地</w:t>
            </w:r>
          </w:p>
        </w:tc>
        <w:tc>
          <w:tcPr>
            <w:tcW w:w="0" w:type="auto"/>
            <w:noWrap w:val="0"/>
            <w:vAlign w:val="center"/>
          </w:tcPr>
          <w:p w14:paraId="52B108E7">
            <w:pPr>
              <w:pStyle w:val="20"/>
              <w:jc w:val="center"/>
              <w:rPr>
                <w:rFonts w:ascii="Times New Roman" w:hAnsi="Times New Roman" w:eastAsia="楷体_GB2312" w:cs="Times New Roman"/>
              </w:rPr>
            </w:pPr>
            <w:r>
              <w:rPr>
                <w:rFonts w:ascii="Times New Roman" w:hAnsi="Times New Roman" w:eastAsia="楷体_GB2312" w:cs="Times New Roman"/>
              </w:rPr>
              <w:t>1.2</w:t>
            </w:r>
          </w:p>
        </w:tc>
      </w:tr>
      <w:tr w14:paraId="3D1C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28" w:type="dxa"/>
            <w:vMerge w:val="continue"/>
            <w:noWrap w:val="0"/>
            <w:vAlign w:val="center"/>
          </w:tcPr>
          <w:p w14:paraId="6FF9EEE6">
            <w:pPr>
              <w:spacing w:line="0" w:lineRule="atLeast"/>
              <w:jc w:val="center"/>
              <w:rPr>
                <w:rFonts w:eastAsia="楷体_GB2312"/>
                <w:szCs w:val="21"/>
              </w:rPr>
            </w:pPr>
          </w:p>
        </w:tc>
        <w:tc>
          <w:tcPr>
            <w:tcW w:w="2285" w:type="dxa"/>
            <w:noWrap w:val="0"/>
            <w:vAlign w:val="center"/>
          </w:tcPr>
          <w:p w14:paraId="229898D6">
            <w:pPr>
              <w:spacing w:line="0" w:lineRule="atLeast"/>
              <w:jc w:val="center"/>
              <w:rPr>
                <w:rFonts w:eastAsia="楷体_GB2312"/>
                <w:szCs w:val="21"/>
              </w:rPr>
            </w:pPr>
            <w:r>
              <w:rPr>
                <w:rFonts w:eastAsia="楷体_GB2312"/>
                <w:szCs w:val="21"/>
              </w:rPr>
              <w:t>体育用地</w:t>
            </w:r>
          </w:p>
        </w:tc>
        <w:tc>
          <w:tcPr>
            <w:tcW w:w="0" w:type="auto"/>
            <w:noWrap w:val="0"/>
            <w:vAlign w:val="center"/>
          </w:tcPr>
          <w:p w14:paraId="2AD60C55">
            <w:pPr>
              <w:pStyle w:val="20"/>
              <w:jc w:val="center"/>
              <w:rPr>
                <w:rFonts w:ascii="Times New Roman" w:hAnsi="Times New Roman" w:eastAsia="楷体_GB2312" w:cs="Times New Roman"/>
              </w:rPr>
            </w:pPr>
            <w:r>
              <w:rPr>
                <w:rFonts w:ascii="Times New Roman" w:hAnsi="Times New Roman" w:eastAsia="楷体_GB2312" w:cs="Times New Roman"/>
              </w:rPr>
              <w:t>1.2</w:t>
            </w:r>
          </w:p>
        </w:tc>
      </w:tr>
      <w:tr w14:paraId="11E9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28" w:type="dxa"/>
            <w:vMerge w:val="continue"/>
            <w:noWrap w:val="0"/>
            <w:vAlign w:val="center"/>
          </w:tcPr>
          <w:p w14:paraId="3F404A5F">
            <w:pPr>
              <w:spacing w:line="0" w:lineRule="atLeast"/>
              <w:jc w:val="center"/>
              <w:rPr>
                <w:rFonts w:eastAsia="楷体_GB2312"/>
                <w:szCs w:val="21"/>
              </w:rPr>
            </w:pPr>
          </w:p>
        </w:tc>
        <w:tc>
          <w:tcPr>
            <w:tcW w:w="2285" w:type="dxa"/>
            <w:noWrap w:val="0"/>
            <w:vAlign w:val="center"/>
          </w:tcPr>
          <w:p w14:paraId="19EC8BE5">
            <w:pPr>
              <w:spacing w:line="0" w:lineRule="atLeast"/>
              <w:jc w:val="center"/>
              <w:rPr>
                <w:rFonts w:eastAsia="楷体_GB2312"/>
                <w:szCs w:val="21"/>
              </w:rPr>
            </w:pPr>
            <w:r>
              <w:rPr>
                <w:rFonts w:eastAsia="楷体_GB2312"/>
                <w:szCs w:val="21"/>
              </w:rPr>
              <w:t>教育用地</w:t>
            </w:r>
          </w:p>
        </w:tc>
        <w:tc>
          <w:tcPr>
            <w:tcW w:w="0" w:type="auto"/>
            <w:noWrap w:val="0"/>
            <w:vAlign w:val="center"/>
          </w:tcPr>
          <w:p w14:paraId="2A3CA7DD">
            <w:pPr>
              <w:pStyle w:val="20"/>
              <w:jc w:val="center"/>
              <w:rPr>
                <w:rFonts w:ascii="Times New Roman" w:hAnsi="Times New Roman" w:eastAsia="楷体_GB2312" w:cs="Times New Roman"/>
              </w:rPr>
            </w:pPr>
            <w:r>
              <w:rPr>
                <w:rFonts w:ascii="Times New Roman" w:hAnsi="Times New Roman" w:eastAsia="楷体_GB2312" w:cs="Times New Roman"/>
              </w:rPr>
              <w:t>1.1</w:t>
            </w:r>
          </w:p>
        </w:tc>
      </w:tr>
      <w:tr w14:paraId="473D5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28" w:type="dxa"/>
            <w:vMerge w:val="continue"/>
            <w:noWrap w:val="0"/>
            <w:vAlign w:val="center"/>
          </w:tcPr>
          <w:p w14:paraId="1415C0DD">
            <w:pPr>
              <w:spacing w:line="0" w:lineRule="atLeast"/>
              <w:jc w:val="center"/>
              <w:rPr>
                <w:rFonts w:eastAsia="楷体_GB2312"/>
                <w:szCs w:val="21"/>
              </w:rPr>
            </w:pPr>
          </w:p>
        </w:tc>
        <w:tc>
          <w:tcPr>
            <w:tcW w:w="2285" w:type="dxa"/>
            <w:noWrap w:val="0"/>
            <w:vAlign w:val="center"/>
          </w:tcPr>
          <w:p w14:paraId="652FF8D0">
            <w:pPr>
              <w:spacing w:line="0" w:lineRule="atLeast"/>
              <w:jc w:val="center"/>
              <w:rPr>
                <w:rFonts w:eastAsia="楷体_GB2312"/>
                <w:szCs w:val="21"/>
              </w:rPr>
            </w:pPr>
            <w:r>
              <w:rPr>
                <w:rFonts w:eastAsia="楷体_GB2312"/>
                <w:szCs w:val="21"/>
              </w:rPr>
              <w:t>科研用地</w:t>
            </w:r>
          </w:p>
        </w:tc>
        <w:tc>
          <w:tcPr>
            <w:tcW w:w="0" w:type="auto"/>
            <w:noWrap w:val="0"/>
            <w:vAlign w:val="center"/>
          </w:tcPr>
          <w:p w14:paraId="655BAC1C">
            <w:pPr>
              <w:pStyle w:val="20"/>
              <w:jc w:val="center"/>
              <w:rPr>
                <w:rFonts w:ascii="Times New Roman" w:hAnsi="Times New Roman" w:eastAsia="楷体_GB2312" w:cs="Times New Roman"/>
              </w:rPr>
            </w:pPr>
            <w:r>
              <w:rPr>
                <w:rFonts w:ascii="Times New Roman" w:hAnsi="Times New Roman" w:eastAsia="楷体_GB2312" w:cs="Times New Roman"/>
              </w:rPr>
              <w:t>1.1</w:t>
            </w:r>
          </w:p>
        </w:tc>
      </w:tr>
      <w:tr w14:paraId="36F7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28" w:type="dxa"/>
            <w:vMerge w:val="continue"/>
            <w:noWrap w:val="0"/>
            <w:vAlign w:val="center"/>
          </w:tcPr>
          <w:p w14:paraId="0EB237BA">
            <w:pPr>
              <w:spacing w:line="0" w:lineRule="atLeast"/>
              <w:jc w:val="center"/>
              <w:rPr>
                <w:rFonts w:eastAsia="楷体_GB2312"/>
                <w:szCs w:val="21"/>
              </w:rPr>
            </w:pPr>
          </w:p>
        </w:tc>
        <w:tc>
          <w:tcPr>
            <w:tcW w:w="2285" w:type="dxa"/>
            <w:noWrap w:val="0"/>
            <w:vAlign w:val="center"/>
          </w:tcPr>
          <w:p w14:paraId="40272494">
            <w:pPr>
              <w:spacing w:line="0" w:lineRule="atLeast"/>
              <w:jc w:val="center"/>
              <w:rPr>
                <w:rFonts w:eastAsia="楷体_GB2312"/>
                <w:szCs w:val="21"/>
              </w:rPr>
            </w:pPr>
            <w:r>
              <w:rPr>
                <w:rFonts w:eastAsia="楷体_GB2312"/>
                <w:szCs w:val="21"/>
              </w:rPr>
              <w:t>社会福利用地</w:t>
            </w:r>
          </w:p>
        </w:tc>
        <w:tc>
          <w:tcPr>
            <w:tcW w:w="0" w:type="auto"/>
            <w:noWrap w:val="0"/>
            <w:vAlign w:val="center"/>
          </w:tcPr>
          <w:p w14:paraId="174A0BBB">
            <w:pPr>
              <w:pStyle w:val="20"/>
              <w:jc w:val="center"/>
              <w:rPr>
                <w:rFonts w:ascii="Times New Roman" w:hAnsi="Times New Roman" w:eastAsia="楷体_GB2312" w:cs="Times New Roman"/>
              </w:rPr>
            </w:pPr>
            <w:r>
              <w:rPr>
                <w:rFonts w:ascii="Times New Roman" w:hAnsi="Times New Roman" w:eastAsia="楷体_GB2312" w:cs="Times New Roman"/>
              </w:rPr>
              <w:t>1.1</w:t>
            </w:r>
          </w:p>
        </w:tc>
      </w:tr>
      <w:tr w14:paraId="6FAD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128" w:type="dxa"/>
            <w:vMerge w:val="continue"/>
            <w:noWrap w:val="0"/>
            <w:vAlign w:val="center"/>
          </w:tcPr>
          <w:p w14:paraId="071AACDA">
            <w:pPr>
              <w:spacing w:line="0" w:lineRule="atLeast"/>
              <w:jc w:val="center"/>
              <w:rPr>
                <w:rFonts w:eastAsia="楷体_GB2312"/>
                <w:szCs w:val="21"/>
              </w:rPr>
            </w:pPr>
          </w:p>
        </w:tc>
        <w:tc>
          <w:tcPr>
            <w:tcW w:w="2285" w:type="dxa"/>
            <w:noWrap w:val="0"/>
            <w:vAlign w:val="center"/>
          </w:tcPr>
          <w:p w14:paraId="3C08ED8B">
            <w:pPr>
              <w:spacing w:line="0" w:lineRule="atLeast"/>
              <w:jc w:val="center"/>
              <w:rPr>
                <w:rFonts w:eastAsia="楷体_GB2312"/>
                <w:szCs w:val="21"/>
              </w:rPr>
            </w:pPr>
            <w:r>
              <w:rPr>
                <w:rFonts w:eastAsia="楷体_GB2312"/>
                <w:szCs w:val="21"/>
              </w:rPr>
              <w:t>公用设施用地</w:t>
            </w:r>
          </w:p>
        </w:tc>
        <w:tc>
          <w:tcPr>
            <w:tcW w:w="0" w:type="auto"/>
            <w:noWrap w:val="0"/>
            <w:vAlign w:val="center"/>
          </w:tcPr>
          <w:p w14:paraId="2F13BFE9">
            <w:pPr>
              <w:pStyle w:val="20"/>
              <w:jc w:val="center"/>
              <w:rPr>
                <w:rFonts w:ascii="Times New Roman" w:hAnsi="Times New Roman" w:eastAsia="楷体_GB2312" w:cs="Times New Roman"/>
              </w:rPr>
            </w:pPr>
            <w:r>
              <w:rPr>
                <w:rFonts w:ascii="Times New Roman" w:hAnsi="Times New Roman" w:eastAsia="楷体_GB2312" w:cs="Times New Roman"/>
              </w:rPr>
              <w:t>1.0</w:t>
            </w:r>
          </w:p>
        </w:tc>
      </w:tr>
    </w:tbl>
    <w:p w14:paraId="064B8048">
      <w:pPr>
        <w:spacing w:line="480" w:lineRule="exact"/>
        <w:jc w:val="center"/>
        <w:rPr>
          <w:rFonts w:eastAsia="黑体"/>
          <w:sz w:val="28"/>
        </w:rPr>
      </w:pPr>
    </w:p>
    <w:p w14:paraId="44EAC024">
      <w:pPr>
        <w:pStyle w:val="4"/>
        <w:numPr>
          <w:ilvl w:val="0"/>
          <w:numId w:val="0"/>
        </w:numPr>
        <w:spacing w:line="240" w:lineRule="auto"/>
        <w:jc w:val="center"/>
        <w:rPr>
          <w:rFonts w:eastAsia="仿宋_GB2312"/>
          <w:bCs w:val="0"/>
        </w:rPr>
      </w:pPr>
      <w:bookmarkStart w:id="66" w:name="_Toc62563679"/>
      <w:r>
        <w:rPr>
          <w:rFonts w:eastAsia="仿宋_GB2312"/>
          <w:bCs w:val="0"/>
        </w:rPr>
        <w:t>第二节  还原率的测算与确定</w:t>
      </w:r>
      <w:bookmarkEnd w:id="66"/>
    </w:p>
    <w:p w14:paraId="79966D72">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一、还原率的测算</w:t>
      </w:r>
    </w:p>
    <w:p w14:paraId="7C329866">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1、还原率的概念与种类</w:t>
      </w:r>
    </w:p>
    <w:p w14:paraId="5AF7274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还原率是以不动产纯收益资本化为不动产价格的利率。它是土地估价的重要参数。确定合理的还原率是利用收益还原法准确计算不动产价格的关键之一。运用收益还原法评估不动产价格时，根据评估对象的不同，涉及的还原率有三种：</w:t>
      </w:r>
    </w:p>
    <w:p w14:paraId="4D9F82D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（1）综合还原率</w:t>
      </w:r>
    </w:p>
    <w:p w14:paraId="5FB60C1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它是求取土地及其上面的建筑物合为一体的价格时所使用的还原率。</w:t>
      </w:r>
    </w:p>
    <w:p w14:paraId="7A12391C">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（2）建筑物还原率</w:t>
      </w:r>
    </w:p>
    <w:p w14:paraId="3AAB3381">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它是求取单纯建筑物价格时所使用的还原率。</w:t>
      </w:r>
    </w:p>
    <w:p w14:paraId="08EADF8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（3）土地还原率</w:t>
      </w:r>
    </w:p>
    <w:p w14:paraId="4E0B864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它是求取单纯土地价格时所使用的还原率。</w:t>
      </w:r>
    </w:p>
    <w:p w14:paraId="53E1CE00">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2、综合还原率测算</w:t>
      </w:r>
    </w:p>
    <w:p w14:paraId="705B4E5A">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（1）房地产交易市场法测算</w:t>
      </w:r>
    </w:p>
    <w:p w14:paraId="0146987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测算综合还原率的方法是采用房地纯收益与不动产价格比率法。具体测算公式是：</w:t>
      </w:r>
    </w:p>
    <w:p w14:paraId="0767053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综合还原率=房地纯收益/房地价格；</w:t>
      </w:r>
    </w:p>
    <w:p w14:paraId="3475B60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房地纯收益=年租金+押金利息收入-税费-管理费-保险费-维修费-折旧费；</w:t>
      </w:r>
    </w:p>
    <w:p w14:paraId="28D4F21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房地价格=售价-税费-销售费用；</w:t>
      </w:r>
    </w:p>
    <w:p w14:paraId="43BB219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平均综合还原率=</w:t>
      </w:r>
      <w:r>
        <w:rPr>
          <w:rFonts w:ascii="Times New Roman" w:hAnsi="Times New Roman" w:eastAsia="楷体_GB2312" w:cs="Times New Roman"/>
          <w:position w:val="-28"/>
          <w:sz w:val="28"/>
        </w:rPr>
        <w:drawing>
          <wp:inline distT="0" distB="0" distL="114300" distR="114300">
            <wp:extent cx="292100" cy="431800"/>
            <wp:effectExtent l="0" t="0" r="0" b="5715"/>
            <wp:docPr id="86" name="对象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对象 152"/>
                    <pic:cNvPicPr>
                      <a:picLocks noChangeAspect="1"/>
                    </pic:cNvPicPr>
                  </pic:nvPicPr>
                  <pic:blipFill>
                    <a:blip r:embed="rId235"/>
                    <a:stretch>
                      <a:fillRect/>
                    </a:stretch>
                  </pic:blipFill>
                  <pic:spPr>
                    <a:xfrm>
                      <a:off x="0" y="0"/>
                      <a:ext cx="292100" cy="431800"/>
                    </a:xfrm>
                    <a:prstGeom prst="rect">
                      <a:avLst/>
                    </a:prstGeom>
                    <a:noFill/>
                    <a:ln>
                      <a:noFill/>
                    </a:ln>
                  </pic:spPr>
                </pic:pic>
              </a:graphicData>
            </a:graphic>
          </wp:inline>
        </w:drawing>
      </w:r>
      <w:r>
        <w:rPr>
          <w:rFonts w:ascii="Times New Roman" w:hAnsi="Times New Roman" w:eastAsia="楷体_GB2312" w:cs="Times New Roman"/>
          <w:sz w:val="28"/>
        </w:rPr>
        <w:t>样点综合还原率×样点建筑面积/</w:t>
      </w:r>
      <w:r>
        <w:rPr>
          <w:rFonts w:ascii="Times New Roman" w:hAnsi="Times New Roman" w:eastAsia="楷体_GB2312" w:cs="Times New Roman"/>
          <w:position w:val="-28"/>
          <w:sz w:val="28"/>
        </w:rPr>
        <w:drawing>
          <wp:inline distT="0" distB="0" distL="114300" distR="114300">
            <wp:extent cx="292100" cy="431800"/>
            <wp:effectExtent l="0" t="0" r="0" b="5715"/>
            <wp:docPr id="87" name="对象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对象 153"/>
                    <pic:cNvPicPr>
                      <a:picLocks noChangeAspect="1"/>
                    </pic:cNvPicPr>
                  </pic:nvPicPr>
                  <pic:blipFill>
                    <a:blip r:embed="rId235"/>
                    <a:stretch>
                      <a:fillRect/>
                    </a:stretch>
                  </pic:blipFill>
                  <pic:spPr>
                    <a:xfrm>
                      <a:off x="0" y="0"/>
                      <a:ext cx="292100" cy="431800"/>
                    </a:xfrm>
                    <a:prstGeom prst="rect">
                      <a:avLst/>
                    </a:prstGeom>
                    <a:noFill/>
                    <a:ln>
                      <a:noFill/>
                    </a:ln>
                  </pic:spPr>
                </pic:pic>
              </a:graphicData>
            </a:graphic>
          </wp:inline>
        </w:drawing>
      </w:r>
      <w:r>
        <w:rPr>
          <w:rFonts w:ascii="Times New Roman" w:hAnsi="Times New Roman" w:eastAsia="楷体_GB2312" w:cs="Times New Roman"/>
          <w:sz w:val="28"/>
        </w:rPr>
        <w:t>样点建筑面积（公式中n为参算样点个数）。</w:t>
      </w:r>
    </w:p>
    <w:p w14:paraId="6DB9C0BA">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利用房地出租、房屋买卖资料，对不动产进行了综合还原率的测算，根据所测的结果，综合还原率约在4%左右。</w:t>
      </w:r>
    </w:p>
    <w:p w14:paraId="6030FFC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（2）安全利率加风险调整值法测算</w:t>
      </w:r>
    </w:p>
    <w:p w14:paraId="06E5FE1B">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安全利率是指无风险的资本投资收益率，选取同期中国人民银行公布的期日2015年10月24日一年期定期存款年利率1.50%作为安全利率。根据对</w:t>
      </w:r>
      <w:r>
        <w:rPr>
          <w:rFonts w:hint="eastAsia" w:ascii="楷体" w:hAnsi="楷体" w:eastAsia="楷体" w:cs="宋体"/>
          <w:sz w:val="28"/>
        </w:rPr>
        <w:t>埇</w:t>
      </w:r>
      <w:r>
        <w:rPr>
          <w:rFonts w:hint="eastAsia" w:ascii="楷体" w:hAnsi="楷体" w:eastAsia="楷体" w:cs="楷体_GB2312"/>
          <w:sz w:val="28"/>
        </w:rPr>
        <w:t>桥区</w:t>
      </w:r>
      <w:r>
        <w:rPr>
          <w:rFonts w:ascii="Times New Roman" w:hAnsi="Times New Roman" w:eastAsia="楷体_GB2312" w:cs="Times New Roman"/>
          <w:sz w:val="28"/>
        </w:rPr>
        <w:t>房地产开发企业调查，房地产开发存在一定的风险，确定风险调整值为6%左右，由此求得综合利率为7.50%左右。</w:t>
      </w:r>
    </w:p>
    <w:p w14:paraId="1E9CCD8A">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（3）投资风险与投资收益率综合排序插入法测算</w:t>
      </w:r>
    </w:p>
    <w:p w14:paraId="244DF1FA">
      <w:pPr>
        <w:widowControl w:val="0"/>
        <w:spacing w:line="480" w:lineRule="exact"/>
        <w:ind w:firstLine="560" w:firstLineChars="200"/>
        <w:jc w:val="both"/>
        <w:rPr>
          <w:rFonts w:eastAsia="楷体_GB2312"/>
          <w:sz w:val="28"/>
        </w:rPr>
      </w:pPr>
      <w:r>
        <w:rPr>
          <w:rFonts w:eastAsia="楷体_GB2312"/>
          <w:sz w:val="28"/>
        </w:rPr>
        <w:t>投资的收益与投资风险密切相关，同期比较安全、风险小的投资有银行一年期、三年期存款，但其收益也都较低，分别为1.50%和2.75%。商业银行贷款存在一定的风险，国家公布的一年期贷款利息为4.35%，考虑到对房地产开发商贷款资金加之交易、法律等费用，实际支付的资金利息率在7%左右。房地产开发投资风险高于商业银行贷款，其年利润率为8~12%，平均为10%。</w:t>
      </w:r>
    </w:p>
    <w:p w14:paraId="72EC87B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股市投资风险更大，其收益率波动较大，难于测算。据此，取商业贷款资金实际年利息率和房地产开发法定利润率的平均值，求得该综合还原率为8.5%。</w:t>
      </w:r>
    </w:p>
    <w:p w14:paraId="521BF1B7">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二、还原率的确定</w:t>
      </w:r>
    </w:p>
    <w:p w14:paraId="2A7F3A78">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1、综合还原率的确定</w:t>
      </w:r>
    </w:p>
    <w:p w14:paraId="20647FCA">
      <w:pPr>
        <w:pStyle w:val="20"/>
        <w:widowControl w:val="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上述三种综合还原率测算结果表明商服、住宅、工矿仓储、公共管理与公共服务用途的综合还原率在4%~8.5%之间，四者的平均值约为7%，因而确定综合还原率为7%。考虑到工矿仓储、住宅、商业、公共管理与公共服务四者还原率有所差异，四者还原率呈增大趋势，结合本次测定的还原率，确定工矿仓储、住宅、商业、公共管理与公共服务用地综合还原率分别为7.0%、7.5%、8.0%、7.0%、。</w:t>
      </w:r>
    </w:p>
    <w:p w14:paraId="33C89CC4">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2、土地还原率的确定</w:t>
      </w:r>
    </w:p>
    <w:p w14:paraId="44D67E5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土地还原率通常比综合还原率低1%左右，因而确定工矿仓储、住宅、商服、公共管理与公共服务用地土地还原率分别为6.0%、6.5%、7.0%、6.0%。</w:t>
      </w:r>
    </w:p>
    <w:p w14:paraId="2EECCBE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3、房屋还原率的确定</w:t>
      </w:r>
    </w:p>
    <w:p w14:paraId="6ED0AC79">
      <w:pPr>
        <w:pStyle w:val="20"/>
        <w:spacing w:line="480" w:lineRule="exact"/>
        <w:ind w:firstLine="560" w:firstLineChars="200"/>
        <w:rPr>
          <w:rFonts w:hint="eastAsia" w:ascii="Times New Roman" w:hAnsi="Times New Roman" w:eastAsia="楷体_GB2312" w:cs="Times New Roman"/>
          <w:sz w:val="28"/>
        </w:rPr>
      </w:pPr>
      <w:r>
        <w:rPr>
          <w:rFonts w:ascii="Times New Roman" w:hAnsi="Times New Roman" w:eastAsia="楷体_GB2312" w:cs="Times New Roman"/>
          <w:sz w:val="28"/>
        </w:rPr>
        <w:t>房屋还原率通常比综合还原率高1%左右，因而确定工矿仓储、住宅、商服、公共管理与公共服务用地房屋还原率分别为8.0%、8.5%、9.0%、8.0%。</w:t>
      </w:r>
    </w:p>
    <w:p w14:paraId="2F1DF11F">
      <w:pPr>
        <w:pStyle w:val="20"/>
        <w:spacing w:line="440" w:lineRule="exact"/>
        <w:ind w:firstLine="560" w:firstLineChars="200"/>
        <w:rPr>
          <w:rFonts w:ascii="Times New Roman" w:hAnsi="Times New Roman" w:eastAsia="楷体_GB2312" w:cs="Times New Roman"/>
          <w:sz w:val="28"/>
        </w:rPr>
      </w:pPr>
    </w:p>
    <w:p w14:paraId="1265A4D1">
      <w:pPr>
        <w:pStyle w:val="4"/>
        <w:numPr>
          <w:ilvl w:val="0"/>
          <w:numId w:val="0"/>
        </w:numPr>
        <w:spacing w:line="240" w:lineRule="auto"/>
        <w:jc w:val="center"/>
        <w:rPr>
          <w:rFonts w:eastAsia="仿宋_GB2312"/>
          <w:bCs w:val="0"/>
        </w:rPr>
      </w:pPr>
      <w:bookmarkStart w:id="67" w:name="_Toc62563680"/>
      <w:r>
        <w:rPr>
          <w:rFonts w:eastAsia="仿宋_GB2312"/>
          <w:bCs w:val="0"/>
        </w:rPr>
        <w:t>第三节  房屋重置价的确定</w:t>
      </w:r>
      <w:bookmarkEnd w:id="67"/>
    </w:p>
    <w:p w14:paraId="4BE32F1F">
      <w:pPr>
        <w:pStyle w:val="20"/>
        <w:spacing w:line="42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房屋重置价是依据目前人工、材料、建筑设计标准及正常管理水平下，建造一幢各项设备相同或相当的建筑物所需的成本价格。房屋重置价对于计算房屋的现值及纯收益具有重要的意义。</w:t>
      </w:r>
    </w:p>
    <w:p w14:paraId="439646E3">
      <w:pPr>
        <w:pStyle w:val="20"/>
        <w:spacing w:line="42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因本次</w:t>
      </w:r>
      <w:r>
        <w:rPr>
          <w:rFonts w:hint="eastAsia" w:ascii="Times New Roman" w:hAnsi="Times New Roman" w:eastAsia="楷体_GB2312" w:cs="Times New Roman"/>
          <w:sz w:val="28"/>
        </w:rPr>
        <w:t>埇桥区</w:t>
      </w:r>
      <w:r>
        <w:rPr>
          <w:rFonts w:ascii="Times New Roman" w:hAnsi="Times New Roman" w:eastAsia="楷体_GB2312" w:cs="Times New Roman"/>
          <w:sz w:val="28"/>
        </w:rPr>
        <w:t>评估基准地价期日为2021年1月1日，本次土地估价所采用的房屋重置价标准依据《宿州市人民政府关于调整宿州市被征土地青苗及地上附着物补偿标准的通知》(</w:t>
      </w:r>
      <w:r>
        <w:rPr>
          <w:rFonts w:hint="eastAsia" w:ascii="Times New Roman" w:hAnsi="Times New Roman" w:eastAsia="楷体_GB2312" w:cs="Times New Roman"/>
          <w:sz w:val="28"/>
        </w:rPr>
        <w:t>宿政秘〔2020〕50号</w:t>
      </w:r>
      <w:r>
        <w:rPr>
          <w:rFonts w:ascii="Times New Roman" w:hAnsi="Times New Roman" w:eastAsia="楷体_GB2312" w:cs="Times New Roman"/>
          <w:sz w:val="28"/>
        </w:rPr>
        <w:t>)并结合当地工程造价信息，确定</w:t>
      </w:r>
      <w:r>
        <w:rPr>
          <w:rFonts w:hint="eastAsia" w:ascii="Times New Roman" w:hAnsi="Times New Roman" w:eastAsia="楷体_GB2312" w:cs="Times New Roman"/>
          <w:sz w:val="28"/>
        </w:rPr>
        <w:t>埇桥区</w:t>
      </w:r>
      <w:r>
        <w:rPr>
          <w:rFonts w:ascii="Times New Roman" w:hAnsi="Times New Roman" w:eastAsia="楷体_GB2312" w:cs="Times New Roman"/>
          <w:sz w:val="28"/>
        </w:rPr>
        <w:t>房屋屋重置价等标准，有关规定标准见表2-2-</w:t>
      </w:r>
      <w:r>
        <w:rPr>
          <w:rFonts w:hint="eastAsia" w:ascii="Times New Roman" w:hAnsi="Times New Roman" w:eastAsia="楷体_GB2312" w:cs="Times New Roman"/>
          <w:sz w:val="28"/>
        </w:rPr>
        <w:t>5</w:t>
      </w:r>
      <w:r>
        <w:rPr>
          <w:rFonts w:ascii="Times New Roman" w:hAnsi="Times New Roman" w:eastAsia="楷体_GB2312" w:cs="Times New Roman"/>
          <w:sz w:val="28"/>
        </w:rPr>
        <w:t>。</w:t>
      </w:r>
    </w:p>
    <w:p w14:paraId="74D3F04A">
      <w:pPr>
        <w:widowControl w:val="0"/>
        <w:spacing w:line="400" w:lineRule="exact"/>
        <w:jc w:val="center"/>
        <w:rPr>
          <w:rFonts w:eastAsia="黑体"/>
          <w:sz w:val="28"/>
          <w:szCs w:val="21"/>
        </w:rPr>
      </w:pPr>
      <w:r>
        <w:rPr>
          <w:rFonts w:eastAsia="黑体"/>
          <w:sz w:val="28"/>
          <w:szCs w:val="21"/>
        </w:rPr>
        <w:br w:type="page"/>
      </w:r>
      <w:r>
        <w:rPr>
          <w:rFonts w:eastAsia="黑体"/>
          <w:sz w:val="28"/>
          <w:szCs w:val="21"/>
        </w:rPr>
        <w:t>表2-2-</w:t>
      </w:r>
      <w:r>
        <w:rPr>
          <w:rFonts w:hint="eastAsia" w:eastAsia="黑体"/>
          <w:sz w:val="28"/>
          <w:szCs w:val="21"/>
        </w:rPr>
        <w:t>5</w:t>
      </w:r>
      <w:r>
        <w:rPr>
          <w:rFonts w:eastAsia="黑体"/>
          <w:sz w:val="28"/>
          <w:szCs w:val="21"/>
        </w:rPr>
        <w:t xml:space="preserve">  埇桥区房屋重置价格表</w:t>
      </w:r>
    </w:p>
    <w:tbl>
      <w:tblPr>
        <w:tblStyle w:val="38"/>
        <w:tblW w:w="9072" w:type="dxa"/>
        <w:jc w:val="center"/>
        <w:tblLayout w:type="autofit"/>
        <w:tblCellMar>
          <w:top w:w="28" w:type="dxa"/>
          <w:left w:w="57" w:type="dxa"/>
          <w:bottom w:w="28" w:type="dxa"/>
          <w:right w:w="57" w:type="dxa"/>
        </w:tblCellMar>
      </w:tblPr>
      <w:tblGrid>
        <w:gridCol w:w="569"/>
        <w:gridCol w:w="567"/>
        <w:gridCol w:w="6905"/>
        <w:gridCol w:w="1031"/>
      </w:tblGrid>
      <w:tr w14:paraId="6EBABF2D">
        <w:tblPrEx>
          <w:tblCellMar>
            <w:top w:w="28" w:type="dxa"/>
            <w:left w:w="57" w:type="dxa"/>
            <w:bottom w:w="28" w:type="dxa"/>
            <w:right w:w="57" w:type="dxa"/>
          </w:tblCellMar>
        </w:tblPrEx>
        <w:trPr>
          <w:trHeight w:val="20" w:hRule="atLeast"/>
          <w:jc w:val="center"/>
        </w:trPr>
        <w:tc>
          <w:tcPr>
            <w:tcW w:w="569" w:type="dxa"/>
            <w:tcBorders>
              <w:top w:val="single" w:color="auto" w:sz="4" w:space="0"/>
              <w:left w:val="single" w:color="auto" w:sz="4" w:space="0"/>
              <w:bottom w:val="single" w:color="auto" w:sz="4" w:space="0"/>
              <w:right w:val="single" w:color="auto" w:sz="4" w:space="0"/>
            </w:tcBorders>
            <w:noWrap/>
            <w:vAlign w:val="center"/>
          </w:tcPr>
          <w:p w14:paraId="14BD8545">
            <w:pPr>
              <w:overflowPunct w:val="0"/>
              <w:topLinePunct/>
              <w:adjustRightInd w:val="0"/>
              <w:spacing w:line="240" w:lineRule="exact"/>
              <w:jc w:val="center"/>
              <w:rPr>
                <w:rFonts w:eastAsia="楷体_GB2312"/>
                <w:kern w:val="0"/>
                <w:szCs w:val="21"/>
              </w:rPr>
            </w:pPr>
            <w:r>
              <w:rPr>
                <w:rFonts w:eastAsia="楷体_GB2312"/>
                <w:kern w:val="0"/>
                <w:szCs w:val="21"/>
              </w:rPr>
              <w:t>类别</w:t>
            </w:r>
          </w:p>
        </w:tc>
        <w:tc>
          <w:tcPr>
            <w:tcW w:w="567" w:type="dxa"/>
            <w:tcBorders>
              <w:top w:val="single" w:color="auto" w:sz="4" w:space="0"/>
              <w:left w:val="nil"/>
              <w:bottom w:val="single" w:color="auto" w:sz="4" w:space="0"/>
              <w:right w:val="single" w:color="auto" w:sz="4" w:space="0"/>
            </w:tcBorders>
            <w:noWrap/>
            <w:vAlign w:val="center"/>
          </w:tcPr>
          <w:p w14:paraId="512CA5B4">
            <w:pPr>
              <w:overflowPunct w:val="0"/>
              <w:topLinePunct/>
              <w:adjustRightInd w:val="0"/>
              <w:spacing w:line="240" w:lineRule="exact"/>
              <w:jc w:val="center"/>
              <w:rPr>
                <w:rFonts w:eastAsia="楷体_GB2312"/>
                <w:kern w:val="0"/>
                <w:szCs w:val="21"/>
              </w:rPr>
            </w:pPr>
            <w:r>
              <w:rPr>
                <w:rFonts w:eastAsia="楷体_GB2312"/>
                <w:kern w:val="0"/>
                <w:szCs w:val="21"/>
              </w:rPr>
              <w:t>等级</w:t>
            </w:r>
          </w:p>
        </w:tc>
        <w:tc>
          <w:tcPr>
            <w:tcW w:w="6905" w:type="dxa"/>
            <w:tcBorders>
              <w:top w:val="single" w:color="auto" w:sz="4" w:space="0"/>
              <w:left w:val="nil"/>
              <w:bottom w:val="single" w:color="auto" w:sz="4" w:space="0"/>
              <w:right w:val="single" w:color="auto" w:sz="4" w:space="0"/>
            </w:tcBorders>
            <w:noWrap/>
            <w:vAlign w:val="center"/>
          </w:tcPr>
          <w:p w14:paraId="4128429F">
            <w:pPr>
              <w:overflowPunct w:val="0"/>
              <w:topLinePunct/>
              <w:adjustRightInd w:val="0"/>
              <w:spacing w:line="240" w:lineRule="exact"/>
              <w:jc w:val="center"/>
              <w:rPr>
                <w:rFonts w:eastAsia="楷体_GB2312"/>
                <w:kern w:val="0"/>
                <w:szCs w:val="21"/>
              </w:rPr>
            </w:pPr>
            <w:r>
              <w:rPr>
                <w:rFonts w:eastAsia="楷体_GB2312"/>
                <w:kern w:val="0"/>
                <w:szCs w:val="21"/>
              </w:rPr>
              <w:t>结　构　设　备</w:t>
            </w:r>
          </w:p>
        </w:tc>
        <w:tc>
          <w:tcPr>
            <w:tcW w:w="0" w:type="auto"/>
            <w:tcBorders>
              <w:top w:val="single" w:color="auto" w:sz="4" w:space="0"/>
              <w:left w:val="nil"/>
              <w:bottom w:val="single" w:color="auto" w:sz="4" w:space="0"/>
              <w:right w:val="single" w:color="auto" w:sz="4" w:space="0"/>
            </w:tcBorders>
            <w:noWrap w:val="0"/>
            <w:vAlign w:val="center"/>
          </w:tcPr>
          <w:p w14:paraId="2128711B">
            <w:pPr>
              <w:overflowPunct w:val="0"/>
              <w:topLinePunct/>
              <w:adjustRightInd w:val="0"/>
              <w:spacing w:line="240" w:lineRule="exact"/>
              <w:jc w:val="center"/>
              <w:rPr>
                <w:rFonts w:eastAsia="楷体_GB2312"/>
                <w:kern w:val="0"/>
                <w:szCs w:val="21"/>
              </w:rPr>
            </w:pPr>
            <w:r>
              <w:rPr>
                <w:rFonts w:eastAsia="楷体_GB2312"/>
                <w:kern w:val="0"/>
                <w:szCs w:val="21"/>
              </w:rPr>
              <w:t>重置价（元/</w:t>
            </w:r>
            <w:r>
              <w:rPr>
                <w:kern w:val="0"/>
                <w:szCs w:val="21"/>
              </w:rPr>
              <w:t>㎡</w:t>
            </w:r>
            <w:r>
              <w:rPr>
                <w:rFonts w:eastAsia="楷体_GB2312"/>
                <w:kern w:val="0"/>
                <w:szCs w:val="21"/>
              </w:rPr>
              <w:t>）</w:t>
            </w:r>
          </w:p>
        </w:tc>
      </w:tr>
      <w:tr w14:paraId="37A39E05">
        <w:tblPrEx>
          <w:tblCellMar>
            <w:top w:w="28" w:type="dxa"/>
            <w:left w:w="57" w:type="dxa"/>
            <w:bottom w:w="28" w:type="dxa"/>
            <w:right w:w="57" w:type="dxa"/>
          </w:tblCellMar>
        </w:tblPrEx>
        <w:trPr>
          <w:trHeight w:val="20" w:hRule="atLeast"/>
          <w:jc w:val="center"/>
        </w:trPr>
        <w:tc>
          <w:tcPr>
            <w:tcW w:w="1136" w:type="dxa"/>
            <w:gridSpan w:val="2"/>
            <w:tcBorders>
              <w:top w:val="single" w:color="auto" w:sz="4" w:space="0"/>
              <w:left w:val="single" w:color="auto" w:sz="4" w:space="0"/>
              <w:bottom w:val="single" w:color="auto" w:sz="4" w:space="0"/>
              <w:right w:val="single" w:color="auto" w:sz="4" w:space="0"/>
            </w:tcBorders>
            <w:noWrap/>
            <w:vAlign w:val="center"/>
          </w:tcPr>
          <w:p w14:paraId="7C2FB5BC">
            <w:pPr>
              <w:overflowPunct w:val="0"/>
              <w:topLinePunct/>
              <w:adjustRightInd w:val="0"/>
              <w:spacing w:line="240" w:lineRule="exact"/>
              <w:jc w:val="center"/>
              <w:rPr>
                <w:rFonts w:eastAsia="楷体_GB2312"/>
                <w:kern w:val="0"/>
                <w:szCs w:val="21"/>
              </w:rPr>
            </w:pPr>
            <w:r>
              <w:rPr>
                <w:rFonts w:eastAsia="楷体_GB2312"/>
                <w:kern w:val="0"/>
                <w:szCs w:val="21"/>
              </w:rPr>
              <w:t>框　架</w:t>
            </w:r>
          </w:p>
        </w:tc>
        <w:tc>
          <w:tcPr>
            <w:tcW w:w="6905" w:type="dxa"/>
            <w:tcBorders>
              <w:top w:val="nil"/>
              <w:left w:val="nil"/>
              <w:bottom w:val="single" w:color="auto" w:sz="4" w:space="0"/>
              <w:right w:val="single" w:color="auto" w:sz="4" w:space="0"/>
            </w:tcBorders>
            <w:noWrap w:val="0"/>
            <w:vAlign w:val="center"/>
          </w:tcPr>
          <w:p w14:paraId="40663108">
            <w:pPr>
              <w:overflowPunct w:val="0"/>
              <w:topLinePunct/>
              <w:adjustRightInd w:val="0"/>
              <w:spacing w:line="240" w:lineRule="exact"/>
              <w:rPr>
                <w:rFonts w:eastAsia="楷体_GB2312"/>
                <w:kern w:val="0"/>
                <w:szCs w:val="21"/>
              </w:rPr>
            </w:pPr>
            <w:r>
              <w:rPr>
                <w:rFonts w:eastAsia="楷体_GB2312"/>
                <w:kern w:val="0"/>
                <w:szCs w:val="21"/>
              </w:rPr>
              <w:t>梁柱承重，现浇屋面，铝塑门窗，高级粉刷，水电卫齐全。</w:t>
            </w:r>
          </w:p>
        </w:tc>
        <w:tc>
          <w:tcPr>
            <w:tcW w:w="0" w:type="auto"/>
            <w:tcBorders>
              <w:top w:val="nil"/>
              <w:left w:val="nil"/>
              <w:bottom w:val="single" w:color="auto" w:sz="4" w:space="0"/>
              <w:right w:val="single" w:color="auto" w:sz="4" w:space="0"/>
            </w:tcBorders>
            <w:noWrap/>
            <w:vAlign w:val="center"/>
          </w:tcPr>
          <w:p w14:paraId="543ED341">
            <w:pPr>
              <w:overflowPunct w:val="0"/>
              <w:topLinePunct/>
              <w:adjustRightInd w:val="0"/>
              <w:spacing w:line="240" w:lineRule="exact"/>
              <w:jc w:val="center"/>
              <w:rPr>
                <w:rFonts w:eastAsia="楷体_GB2312"/>
                <w:kern w:val="0"/>
                <w:szCs w:val="21"/>
              </w:rPr>
            </w:pPr>
            <w:r>
              <w:rPr>
                <w:rFonts w:eastAsia="楷体_GB2312"/>
                <w:kern w:val="0"/>
                <w:szCs w:val="21"/>
              </w:rPr>
              <w:t>1070</w:t>
            </w:r>
          </w:p>
        </w:tc>
      </w:tr>
      <w:tr w14:paraId="2649BD5E">
        <w:tblPrEx>
          <w:tblCellMar>
            <w:top w:w="28" w:type="dxa"/>
            <w:left w:w="57" w:type="dxa"/>
            <w:bottom w:w="28" w:type="dxa"/>
            <w:right w:w="57" w:type="dxa"/>
          </w:tblCellMar>
        </w:tblPrEx>
        <w:trPr>
          <w:trHeight w:val="20" w:hRule="atLeast"/>
          <w:jc w:val="center"/>
        </w:trPr>
        <w:tc>
          <w:tcPr>
            <w:tcW w:w="569" w:type="dxa"/>
            <w:vMerge w:val="restart"/>
            <w:tcBorders>
              <w:top w:val="nil"/>
              <w:left w:val="single" w:color="auto" w:sz="4" w:space="0"/>
              <w:bottom w:val="single" w:color="auto" w:sz="4" w:space="0"/>
              <w:right w:val="single" w:color="auto" w:sz="4" w:space="0"/>
            </w:tcBorders>
            <w:noWrap/>
            <w:vAlign w:val="center"/>
          </w:tcPr>
          <w:p w14:paraId="478A57DA">
            <w:pPr>
              <w:overflowPunct w:val="0"/>
              <w:topLinePunct/>
              <w:adjustRightInd w:val="0"/>
              <w:spacing w:line="240" w:lineRule="exact"/>
              <w:jc w:val="center"/>
              <w:rPr>
                <w:rFonts w:eastAsia="楷体_GB2312"/>
                <w:kern w:val="0"/>
                <w:szCs w:val="21"/>
              </w:rPr>
            </w:pPr>
            <w:r>
              <w:rPr>
                <w:rFonts w:eastAsia="楷体_GB2312"/>
                <w:kern w:val="0"/>
                <w:szCs w:val="21"/>
              </w:rPr>
              <w:t>砖混</w:t>
            </w:r>
          </w:p>
        </w:tc>
        <w:tc>
          <w:tcPr>
            <w:tcW w:w="567" w:type="dxa"/>
            <w:tcBorders>
              <w:top w:val="nil"/>
              <w:left w:val="nil"/>
              <w:bottom w:val="single" w:color="auto" w:sz="4" w:space="0"/>
              <w:right w:val="single" w:color="auto" w:sz="4" w:space="0"/>
            </w:tcBorders>
            <w:noWrap/>
            <w:vAlign w:val="center"/>
          </w:tcPr>
          <w:p w14:paraId="0AC1C641">
            <w:pPr>
              <w:overflowPunct w:val="0"/>
              <w:topLinePunct/>
              <w:adjustRightInd w:val="0"/>
              <w:spacing w:line="240" w:lineRule="exact"/>
              <w:jc w:val="center"/>
              <w:rPr>
                <w:rFonts w:eastAsia="楷体_GB2312"/>
                <w:kern w:val="0"/>
                <w:szCs w:val="21"/>
              </w:rPr>
            </w:pPr>
            <w:r>
              <w:rPr>
                <w:rFonts w:eastAsia="楷体_GB2312"/>
                <w:kern w:val="0"/>
                <w:szCs w:val="21"/>
              </w:rPr>
              <w:t>一</w:t>
            </w:r>
          </w:p>
        </w:tc>
        <w:tc>
          <w:tcPr>
            <w:tcW w:w="6905" w:type="dxa"/>
            <w:tcBorders>
              <w:top w:val="nil"/>
              <w:left w:val="nil"/>
              <w:bottom w:val="single" w:color="auto" w:sz="4" w:space="0"/>
              <w:right w:val="single" w:color="auto" w:sz="4" w:space="0"/>
            </w:tcBorders>
            <w:noWrap w:val="0"/>
            <w:vAlign w:val="center"/>
          </w:tcPr>
          <w:p w14:paraId="4622BB70">
            <w:pPr>
              <w:overflowPunct w:val="0"/>
              <w:topLinePunct/>
              <w:adjustRightInd w:val="0"/>
              <w:spacing w:line="240" w:lineRule="exact"/>
              <w:rPr>
                <w:rFonts w:eastAsia="楷体_GB2312"/>
                <w:kern w:val="0"/>
                <w:szCs w:val="21"/>
              </w:rPr>
            </w:pPr>
            <w:r>
              <w:rPr>
                <w:rFonts w:eastAsia="楷体_GB2312"/>
                <w:kern w:val="0"/>
                <w:szCs w:val="21"/>
              </w:rPr>
              <w:t>240砖墙，钢筋混凝土梁承重，层层设置圈梁和构造柱，现浇屋面，铝塑门窗，高级粉刷，水电卫齐全。</w:t>
            </w:r>
          </w:p>
        </w:tc>
        <w:tc>
          <w:tcPr>
            <w:tcW w:w="0" w:type="auto"/>
            <w:tcBorders>
              <w:top w:val="nil"/>
              <w:left w:val="nil"/>
              <w:bottom w:val="single" w:color="auto" w:sz="4" w:space="0"/>
              <w:right w:val="single" w:color="auto" w:sz="4" w:space="0"/>
            </w:tcBorders>
            <w:noWrap/>
            <w:vAlign w:val="center"/>
          </w:tcPr>
          <w:p w14:paraId="40E85213">
            <w:pPr>
              <w:overflowPunct w:val="0"/>
              <w:topLinePunct/>
              <w:adjustRightInd w:val="0"/>
              <w:spacing w:line="240" w:lineRule="exact"/>
              <w:jc w:val="center"/>
              <w:rPr>
                <w:rFonts w:eastAsia="楷体_GB2312"/>
                <w:kern w:val="0"/>
                <w:szCs w:val="21"/>
              </w:rPr>
            </w:pPr>
            <w:r>
              <w:rPr>
                <w:rFonts w:eastAsia="楷体_GB2312"/>
                <w:kern w:val="0"/>
                <w:szCs w:val="21"/>
              </w:rPr>
              <w:t>930</w:t>
            </w:r>
          </w:p>
        </w:tc>
      </w:tr>
      <w:tr w14:paraId="5156980A">
        <w:tblPrEx>
          <w:tblCellMar>
            <w:top w:w="28" w:type="dxa"/>
            <w:left w:w="57" w:type="dxa"/>
            <w:bottom w:w="28" w:type="dxa"/>
            <w:right w:w="57" w:type="dxa"/>
          </w:tblCellMar>
        </w:tblPrEx>
        <w:trPr>
          <w:trHeight w:val="20" w:hRule="atLeast"/>
          <w:jc w:val="center"/>
        </w:trPr>
        <w:tc>
          <w:tcPr>
            <w:tcW w:w="569" w:type="dxa"/>
            <w:vMerge w:val="continue"/>
            <w:tcBorders>
              <w:top w:val="nil"/>
              <w:left w:val="single" w:color="auto" w:sz="4" w:space="0"/>
              <w:bottom w:val="single" w:color="auto" w:sz="4" w:space="0"/>
              <w:right w:val="single" w:color="auto" w:sz="4" w:space="0"/>
            </w:tcBorders>
            <w:noWrap w:val="0"/>
            <w:vAlign w:val="center"/>
          </w:tcPr>
          <w:p w14:paraId="30CF8C5D">
            <w:pPr>
              <w:overflowPunct w:val="0"/>
              <w:topLinePunct/>
              <w:adjustRightInd w:val="0"/>
              <w:spacing w:line="240" w:lineRule="exact"/>
              <w:jc w:val="center"/>
              <w:rPr>
                <w:rFonts w:eastAsia="楷体_GB2312"/>
                <w:kern w:val="0"/>
                <w:szCs w:val="21"/>
              </w:rPr>
            </w:pPr>
          </w:p>
        </w:tc>
        <w:tc>
          <w:tcPr>
            <w:tcW w:w="567" w:type="dxa"/>
            <w:tcBorders>
              <w:top w:val="nil"/>
              <w:left w:val="nil"/>
              <w:bottom w:val="single" w:color="auto" w:sz="4" w:space="0"/>
              <w:right w:val="single" w:color="auto" w:sz="4" w:space="0"/>
            </w:tcBorders>
            <w:noWrap/>
            <w:vAlign w:val="center"/>
          </w:tcPr>
          <w:p w14:paraId="21E62262">
            <w:pPr>
              <w:overflowPunct w:val="0"/>
              <w:topLinePunct/>
              <w:adjustRightInd w:val="0"/>
              <w:spacing w:line="240" w:lineRule="exact"/>
              <w:jc w:val="center"/>
              <w:rPr>
                <w:rFonts w:eastAsia="楷体_GB2312"/>
                <w:kern w:val="0"/>
                <w:szCs w:val="21"/>
              </w:rPr>
            </w:pPr>
            <w:r>
              <w:rPr>
                <w:rFonts w:eastAsia="楷体_GB2312"/>
                <w:kern w:val="0"/>
                <w:szCs w:val="21"/>
              </w:rPr>
              <w:t>二</w:t>
            </w:r>
          </w:p>
        </w:tc>
        <w:tc>
          <w:tcPr>
            <w:tcW w:w="6905" w:type="dxa"/>
            <w:tcBorders>
              <w:top w:val="nil"/>
              <w:left w:val="nil"/>
              <w:bottom w:val="single" w:color="auto" w:sz="4" w:space="0"/>
              <w:right w:val="single" w:color="auto" w:sz="4" w:space="0"/>
            </w:tcBorders>
            <w:noWrap w:val="0"/>
            <w:vAlign w:val="center"/>
          </w:tcPr>
          <w:p w14:paraId="1865E1A9">
            <w:pPr>
              <w:overflowPunct w:val="0"/>
              <w:topLinePunct/>
              <w:adjustRightInd w:val="0"/>
              <w:spacing w:line="240" w:lineRule="exact"/>
              <w:rPr>
                <w:rFonts w:eastAsia="楷体_GB2312"/>
                <w:kern w:val="0"/>
                <w:szCs w:val="21"/>
              </w:rPr>
            </w:pPr>
            <w:r>
              <w:rPr>
                <w:rFonts w:eastAsia="楷体_GB2312"/>
                <w:kern w:val="0"/>
                <w:szCs w:val="21"/>
              </w:rPr>
              <w:t>240砖墙承重，设置圈梁或构造柱，多孔板屋面，标准木门窗一玻一纱，中级粉刷，水电卫齐全。</w:t>
            </w:r>
          </w:p>
        </w:tc>
        <w:tc>
          <w:tcPr>
            <w:tcW w:w="0" w:type="auto"/>
            <w:tcBorders>
              <w:top w:val="nil"/>
              <w:left w:val="nil"/>
              <w:bottom w:val="single" w:color="auto" w:sz="4" w:space="0"/>
              <w:right w:val="single" w:color="auto" w:sz="4" w:space="0"/>
            </w:tcBorders>
            <w:noWrap/>
            <w:vAlign w:val="center"/>
          </w:tcPr>
          <w:p w14:paraId="4D1C2067">
            <w:pPr>
              <w:overflowPunct w:val="0"/>
              <w:topLinePunct/>
              <w:adjustRightInd w:val="0"/>
              <w:spacing w:line="240" w:lineRule="exact"/>
              <w:jc w:val="center"/>
              <w:rPr>
                <w:rFonts w:eastAsia="楷体_GB2312"/>
                <w:kern w:val="0"/>
                <w:szCs w:val="21"/>
              </w:rPr>
            </w:pPr>
            <w:r>
              <w:rPr>
                <w:rFonts w:eastAsia="楷体_GB2312"/>
                <w:kern w:val="0"/>
                <w:szCs w:val="21"/>
              </w:rPr>
              <w:t>850</w:t>
            </w:r>
          </w:p>
        </w:tc>
      </w:tr>
      <w:tr w14:paraId="61C3085C">
        <w:tblPrEx>
          <w:tblCellMar>
            <w:top w:w="28" w:type="dxa"/>
            <w:left w:w="57" w:type="dxa"/>
            <w:bottom w:w="28" w:type="dxa"/>
            <w:right w:w="57" w:type="dxa"/>
          </w:tblCellMar>
        </w:tblPrEx>
        <w:trPr>
          <w:trHeight w:val="20" w:hRule="atLeast"/>
          <w:jc w:val="center"/>
        </w:trPr>
        <w:tc>
          <w:tcPr>
            <w:tcW w:w="569" w:type="dxa"/>
            <w:vMerge w:val="continue"/>
            <w:tcBorders>
              <w:top w:val="nil"/>
              <w:left w:val="single" w:color="auto" w:sz="4" w:space="0"/>
              <w:bottom w:val="single" w:color="auto" w:sz="4" w:space="0"/>
              <w:right w:val="single" w:color="auto" w:sz="4" w:space="0"/>
            </w:tcBorders>
            <w:noWrap w:val="0"/>
            <w:vAlign w:val="center"/>
          </w:tcPr>
          <w:p w14:paraId="24E5941A">
            <w:pPr>
              <w:overflowPunct w:val="0"/>
              <w:topLinePunct/>
              <w:adjustRightInd w:val="0"/>
              <w:spacing w:line="240" w:lineRule="exact"/>
              <w:jc w:val="center"/>
              <w:rPr>
                <w:rFonts w:eastAsia="楷体_GB2312"/>
                <w:kern w:val="0"/>
                <w:szCs w:val="21"/>
              </w:rPr>
            </w:pPr>
          </w:p>
        </w:tc>
        <w:tc>
          <w:tcPr>
            <w:tcW w:w="567" w:type="dxa"/>
            <w:tcBorders>
              <w:top w:val="nil"/>
              <w:left w:val="nil"/>
              <w:bottom w:val="single" w:color="auto" w:sz="4" w:space="0"/>
              <w:right w:val="single" w:color="auto" w:sz="4" w:space="0"/>
            </w:tcBorders>
            <w:noWrap/>
            <w:vAlign w:val="center"/>
          </w:tcPr>
          <w:p w14:paraId="0702FED8">
            <w:pPr>
              <w:overflowPunct w:val="0"/>
              <w:topLinePunct/>
              <w:adjustRightInd w:val="0"/>
              <w:spacing w:line="240" w:lineRule="exact"/>
              <w:jc w:val="center"/>
              <w:rPr>
                <w:rFonts w:eastAsia="楷体_GB2312"/>
                <w:kern w:val="0"/>
                <w:szCs w:val="21"/>
              </w:rPr>
            </w:pPr>
            <w:r>
              <w:rPr>
                <w:rFonts w:eastAsia="楷体_GB2312"/>
                <w:kern w:val="0"/>
                <w:szCs w:val="21"/>
              </w:rPr>
              <w:t>三</w:t>
            </w:r>
          </w:p>
        </w:tc>
        <w:tc>
          <w:tcPr>
            <w:tcW w:w="6905" w:type="dxa"/>
            <w:tcBorders>
              <w:top w:val="nil"/>
              <w:left w:val="nil"/>
              <w:bottom w:val="single" w:color="auto" w:sz="4" w:space="0"/>
              <w:right w:val="single" w:color="auto" w:sz="4" w:space="0"/>
            </w:tcBorders>
            <w:noWrap w:val="0"/>
            <w:vAlign w:val="center"/>
          </w:tcPr>
          <w:p w14:paraId="2825951A">
            <w:pPr>
              <w:overflowPunct w:val="0"/>
              <w:topLinePunct/>
              <w:adjustRightInd w:val="0"/>
              <w:spacing w:line="240" w:lineRule="exact"/>
              <w:rPr>
                <w:rFonts w:eastAsia="楷体_GB2312"/>
                <w:kern w:val="0"/>
                <w:szCs w:val="21"/>
              </w:rPr>
            </w:pPr>
            <w:r>
              <w:rPr>
                <w:rFonts w:eastAsia="楷体_GB2312"/>
                <w:kern w:val="0"/>
                <w:szCs w:val="21"/>
              </w:rPr>
              <w:t>240或180砖墙或土墙，无圈梁或构造柱，预制水泥桁条，简易屋面，非标准门窗，普通粉刷，水电齐全。</w:t>
            </w:r>
          </w:p>
        </w:tc>
        <w:tc>
          <w:tcPr>
            <w:tcW w:w="0" w:type="auto"/>
            <w:tcBorders>
              <w:top w:val="nil"/>
              <w:left w:val="nil"/>
              <w:bottom w:val="single" w:color="auto" w:sz="4" w:space="0"/>
              <w:right w:val="single" w:color="auto" w:sz="4" w:space="0"/>
            </w:tcBorders>
            <w:noWrap/>
            <w:vAlign w:val="center"/>
          </w:tcPr>
          <w:p w14:paraId="4C17C8CD">
            <w:pPr>
              <w:overflowPunct w:val="0"/>
              <w:topLinePunct/>
              <w:adjustRightInd w:val="0"/>
              <w:spacing w:line="240" w:lineRule="exact"/>
              <w:jc w:val="center"/>
              <w:rPr>
                <w:rFonts w:eastAsia="楷体_GB2312"/>
                <w:kern w:val="0"/>
                <w:szCs w:val="21"/>
              </w:rPr>
            </w:pPr>
            <w:r>
              <w:rPr>
                <w:rFonts w:eastAsia="楷体_GB2312"/>
                <w:kern w:val="0"/>
                <w:szCs w:val="21"/>
              </w:rPr>
              <w:t>780</w:t>
            </w:r>
          </w:p>
        </w:tc>
      </w:tr>
      <w:tr w14:paraId="6BBF9033">
        <w:tblPrEx>
          <w:tblCellMar>
            <w:top w:w="28" w:type="dxa"/>
            <w:left w:w="57" w:type="dxa"/>
            <w:bottom w:w="28" w:type="dxa"/>
            <w:right w:w="57" w:type="dxa"/>
          </w:tblCellMar>
        </w:tblPrEx>
        <w:trPr>
          <w:trHeight w:val="20" w:hRule="atLeast"/>
          <w:jc w:val="center"/>
        </w:trPr>
        <w:tc>
          <w:tcPr>
            <w:tcW w:w="569" w:type="dxa"/>
            <w:vMerge w:val="restart"/>
            <w:tcBorders>
              <w:top w:val="nil"/>
              <w:left w:val="single" w:color="auto" w:sz="4" w:space="0"/>
              <w:bottom w:val="single" w:color="auto" w:sz="4" w:space="0"/>
              <w:right w:val="single" w:color="auto" w:sz="4" w:space="0"/>
            </w:tcBorders>
            <w:noWrap/>
            <w:vAlign w:val="center"/>
          </w:tcPr>
          <w:p w14:paraId="1EE2FF46">
            <w:pPr>
              <w:overflowPunct w:val="0"/>
              <w:topLinePunct/>
              <w:adjustRightInd w:val="0"/>
              <w:spacing w:line="240" w:lineRule="exact"/>
              <w:jc w:val="center"/>
              <w:rPr>
                <w:rFonts w:eastAsia="楷体_GB2312"/>
                <w:kern w:val="0"/>
                <w:szCs w:val="21"/>
              </w:rPr>
            </w:pPr>
            <w:r>
              <w:rPr>
                <w:rFonts w:eastAsia="楷体_GB2312"/>
                <w:kern w:val="0"/>
                <w:szCs w:val="21"/>
              </w:rPr>
              <w:t>砖木</w:t>
            </w:r>
          </w:p>
        </w:tc>
        <w:tc>
          <w:tcPr>
            <w:tcW w:w="567" w:type="dxa"/>
            <w:tcBorders>
              <w:top w:val="nil"/>
              <w:left w:val="nil"/>
              <w:bottom w:val="single" w:color="auto" w:sz="4" w:space="0"/>
              <w:right w:val="single" w:color="auto" w:sz="4" w:space="0"/>
            </w:tcBorders>
            <w:noWrap/>
            <w:vAlign w:val="center"/>
          </w:tcPr>
          <w:p w14:paraId="5D44D067">
            <w:pPr>
              <w:overflowPunct w:val="0"/>
              <w:topLinePunct/>
              <w:adjustRightInd w:val="0"/>
              <w:spacing w:line="240" w:lineRule="exact"/>
              <w:jc w:val="center"/>
              <w:rPr>
                <w:rFonts w:eastAsia="楷体_GB2312"/>
                <w:kern w:val="0"/>
                <w:szCs w:val="21"/>
              </w:rPr>
            </w:pPr>
            <w:r>
              <w:rPr>
                <w:rFonts w:eastAsia="楷体_GB2312"/>
                <w:kern w:val="0"/>
                <w:szCs w:val="21"/>
              </w:rPr>
              <w:t>一</w:t>
            </w:r>
          </w:p>
        </w:tc>
        <w:tc>
          <w:tcPr>
            <w:tcW w:w="6905" w:type="dxa"/>
            <w:tcBorders>
              <w:top w:val="nil"/>
              <w:left w:val="nil"/>
              <w:bottom w:val="single" w:color="auto" w:sz="4" w:space="0"/>
              <w:right w:val="single" w:color="auto" w:sz="4" w:space="0"/>
            </w:tcBorders>
            <w:noWrap w:val="0"/>
            <w:vAlign w:val="center"/>
          </w:tcPr>
          <w:p w14:paraId="26BA22EE">
            <w:pPr>
              <w:overflowPunct w:val="0"/>
              <w:topLinePunct/>
              <w:adjustRightInd w:val="0"/>
              <w:spacing w:line="240" w:lineRule="exact"/>
              <w:rPr>
                <w:rFonts w:eastAsia="楷体_GB2312"/>
                <w:kern w:val="0"/>
                <w:szCs w:val="21"/>
              </w:rPr>
            </w:pPr>
            <w:r>
              <w:rPr>
                <w:rFonts w:eastAsia="楷体_GB2312"/>
                <w:kern w:val="0"/>
                <w:szCs w:val="21"/>
              </w:rPr>
              <w:t>240砖墙，瓦屋面，木桁条，标准门窗，水泥地坪，水电卫齐全，外墙粉刷。</w:t>
            </w:r>
          </w:p>
        </w:tc>
        <w:tc>
          <w:tcPr>
            <w:tcW w:w="0" w:type="auto"/>
            <w:tcBorders>
              <w:top w:val="nil"/>
              <w:left w:val="nil"/>
              <w:bottom w:val="single" w:color="auto" w:sz="4" w:space="0"/>
              <w:right w:val="single" w:color="auto" w:sz="4" w:space="0"/>
            </w:tcBorders>
            <w:noWrap/>
            <w:vAlign w:val="center"/>
          </w:tcPr>
          <w:p w14:paraId="0DF2C81D">
            <w:pPr>
              <w:overflowPunct w:val="0"/>
              <w:topLinePunct/>
              <w:adjustRightInd w:val="0"/>
              <w:spacing w:line="240" w:lineRule="exact"/>
              <w:jc w:val="center"/>
              <w:rPr>
                <w:rFonts w:eastAsia="楷体_GB2312"/>
                <w:kern w:val="0"/>
                <w:szCs w:val="21"/>
              </w:rPr>
            </w:pPr>
            <w:r>
              <w:rPr>
                <w:rFonts w:eastAsia="楷体_GB2312"/>
                <w:kern w:val="0"/>
                <w:szCs w:val="21"/>
              </w:rPr>
              <w:t>750</w:t>
            </w:r>
          </w:p>
        </w:tc>
      </w:tr>
      <w:tr w14:paraId="1721B225">
        <w:tblPrEx>
          <w:tblCellMar>
            <w:top w:w="28" w:type="dxa"/>
            <w:left w:w="57" w:type="dxa"/>
            <w:bottom w:w="28" w:type="dxa"/>
            <w:right w:w="57" w:type="dxa"/>
          </w:tblCellMar>
        </w:tblPrEx>
        <w:trPr>
          <w:trHeight w:val="20" w:hRule="atLeast"/>
          <w:jc w:val="center"/>
        </w:trPr>
        <w:tc>
          <w:tcPr>
            <w:tcW w:w="569" w:type="dxa"/>
            <w:vMerge w:val="continue"/>
            <w:tcBorders>
              <w:top w:val="nil"/>
              <w:left w:val="single" w:color="auto" w:sz="4" w:space="0"/>
              <w:bottom w:val="single" w:color="auto" w:sz="4" w:space="0"/>
              <w:right w:val="single" w:color="auto" w:sz="4" w:space="0"/>
            </w:tcBorders>
            <w:noWrap w:val="0"/>
            <w:vAlign w:val="center"/>
          </w:tcPr>
          <w:p w14:paraId="35589B48">
            <w:pPr>
              <w:overflowPunct w:val="0"/>
              <w:topLinePunct/>
              <w:adjustRightInd w:val="0"/>
              <w:spacing w:line="240" w:lineRule="exact"/>
              <w:jc w:val="center"/>
              <w:rPr>
                <w:rFonts w:eastAsia="楷体_GB2312"/>
                <w:kern w:val="0"/>
                <w:szCs w:val="21"/>
              </w:rPr>
            </w:pPr>
          </w:p>
        </w:tc>
        <w:tc>
          <w:tcPr>
            <w:tcW w:w="567" w:type="dxa"/>
            <w:tcBorders>
              <w:top w:val="nil"/>
              <w:left w:val="nil"/>
              <w:bottom w:val="single" w:color="auto" w:sz="4" w:space="0"/>
              <w:right w:val="single" w:color="auto" w:sz="4" w:space="0"/>
            </w:tcBorders>
            <w:noWrap/>
            <w:vAlign w:val="center"/>
          </w:tcPr>
          <w:p w14:paraId="7CD7499E">
            <w:pPr>
              <w:overflowPunct w:val="0"/>
              <w:topLinePunct/>
              <w:adjustRightInd w:val="0"/>
              <w:spacing w:line="240" w:lineRule="exact"/>
              <w:jc w:val="center"/>
              <w:rPr>
                <w:rFonts w:eastAsia="楷体_GB2312"/>
                <w:kern w:val="0"/>
                <w:szCs w:val="21"/>
              </w:rPr>
            </w:pPr>
            <w:r>
              <w:rPr>
                <w:rFonts w:eastAsia="楷体_GB2312"/>
                <w:kern w:val="0"/>
                <w:szCs w:val="21"/>
              </w:rPr>
              <w:t>二</w:t>
            </w:r>
          </w:p>
        </w:tc>
        <w:tc>
          <w:tcPr>
            <w:tcW w:w="6905" w:type="dxa"/>
            <w:tcBorders>
              <w:top w:val="nil"/>
              <w:left w:val="nil"/>
              <w:bottom w:val="single" w:color="auto" w:sz="4" w:space="0"/>
              <w:right w:val="single" w:color="auto" w:sz="4" w:space="0"/>
            </w:tcBorders>
            <w:noWrap w:val="0"/>
            <w:vAlign w:val="center"/>
          </w:tcPr>
          <w:p w14:paraId="335BFC82">
            <w:pPr>
              <w:overflowPunct w:val="0"/>
              <w:topLinePunct/>
              <w:adjustRightInd w:val="0"/>
              <w:spacing w:line="240" w:lineRule="exact"/>
              <w:rPr>
                <w:rFonts w:eastAsia="楷体_GB2312"/>
                <w:kern w:val="0"/>
                <w:szCs w:val="21"/>
              </w:rPr>
            </w:pPr>
            <w:r>
              <w:rPr>
                <w:rFonts w:eastAsia="楷体_GB2312"/>
                <w:kern w:val="0"/>
                <w:szCs w:val="21"/>
              </w:rPr>
              <w:t>240或180砖墙，瓦屋面，木桁条或预制桁条，标准门窗，水泥地坪，水电齐全，清水墙。</w:t>
            </w:r>
          </w:p>
        </w:tc>
        <w:tc>
          <w:tcPr>
            <w:tcW w:w="0" w:type="auto"/>
            <w:tcBorders>
              <w:top w:val="nil"/>
              <w:left w:val="nil"/>
              <w:bottom w:val="single" w:color="auto" w:sz="4" w:space="0"/>
              <w:right w:val="single" w:color="auto" w:sz="4" w:space="0"/>
            </w:tcBorders>
            <w:noWrap/>
            <w:vAlign w:val="center"/>
          </w:tcPr>
          <w:p w14:paraId="20BD91A4">
            <w:pPr>
              <w:overflowPunct w:val="0"/>
              <w:topLinePunct/>
              <w:adjustRightInd w:val="0"/>
              <w:spacing w:line="240" w:lineRule="exact"/>
              <w:jc w:val="center"/>
              <w:rPr>
                <w:rFonts w:eastAsia="楷体_GB2312"/>
                <w:kern w:val="0"/>
                <w:szCs w:val="21"/>
              </w:rPr>
            </w:pPr>
            <w:r>
              <w:rPr>
                <w:rFonts w:eastAsia="楷体_GB2312"/>
                <w:kern w:val="0"/>
                <w:szCs w:val="21"/>
              </w:rPr>
              <w:t>640</w:t>
            </w:r>
          </w:p>
        </w:tc>
      </w:tr>
      <w:tr w14:paraId="4AAA2106">
        <w:tblPrEx>
          <w:tblCellMar>
            <w:top w:w="28" w:type="dxa"/>
            <w:left w:w="57" w:type="dxa"/>
            <w:bottom w:w="28" w:type="dxa"/>
            <w:right w:w="57" w:type="dxa"/>
          </w:tblCellMar>
        </w:tblPrEx>
        <w:trPr>
          <w:trHeight w:val="20" w:hRule="atLeast"/>
          <w:jc w:val="center"/>
        </w:trPr>
        <w:tc>
          <w:tcPr>
            <w:tcW w:w="569" w:type="dxa"/>
            <w:vMerge w:val="continue"/>
            <w:tcBorders>
              <w:top w:val="nil"/>
              <w:left w:val="single" w:color="auto" w:sz="4" w:space="0"/>
              <w:bottom w:val="single" w:color="auto" w:sz="4" w:space="0"/>
              <w:right w:val="single" w:color="auto" w:sz="4" w:space="0"/>
            </w:tcBorders>
            <w:noWrap w:val="0"/>
            <w:vAlign w:val="center"/>
          </w:tcPr>
          <w:p w14:paraId="23C97D4B">
            <w:pPr>
              <w:overflowPunct w:val="0"/>
              <w:topLinePunct/>
              <w:adjustRightInd w:val="0"/>
              <w:spacing w:line="240" w:lineRule="exact"/>
              <w:jc w:val="center"/>
              <w:rPr>
                <w:rFonts w:eastAsia="楷体_GB2312"/>
                <w:kern w:val="0"/>
                <w:szCs w:val="21"/>
              </w:rPr>
            </w:pPr>
          </w:p>
        </w:tc>
        <w:tc>
          <w:tcPr>
            <w:tcW w:w="567" w:type="dxa"/>
            <w:tcBorders>
              <w:top w:val="nil"/>
              <w:left w:val="nil"/>
              <w:bottom w:val="single" w:color="auto" w:sz="4" w:space="0"/>
              <w:right w:val="single" w:color="auto" w:sz="4" w:space="0"/>
            </w:tcBorders>
            <w:noWrap/>
            <w:vAlign w:val="center"/>
          </w:tcPr>
          <w:p w14:paraId="0250C260">
            <w:pPr>
              <w:overflowPunct w:val="0"/>
              <w:topLinePunct/>
              <w:adjustRightInd w:val="0"/>
              <w:spacing w:line="240" w:lineRule="exact"/>
              <w:jc w:val="center"/>
              <w:rPr>
                <w:rFonts w:eastAsia="楷体_GB2312"/>
                <w:kern w:val="0"/>
                <w:szCs w:val="21"/>
              </w:rPr>
            </w:pPr>
            <w:r>
              <w:rPr>
                <w:rFonts w:eastAsia="楷体_GB2312"/>
                <w:kern w:val="0"/>
                <w:szCs w:val="21"/>
              </w:rPr>
              <w:t>三</w:t>
            </w:r>
          </w:p>
        </w:tc>
        <w:tc>
          <w:tcPr>
            <w:tcW w:w="6905" w:type="dxa"/>
            <w:tcBorders>
              <w:top w:val="nil"/>
              <w:left w:val="nil"/>
              <w:bottom w:val="single" w:color="auto" w:sz="4" w:space="0"/>
              <w:right w:val="single" w:color="auto" w:sz="4" w:space="0"/>
            </w:tcBorders>
            <w:noWrap w:val="0"/>
            <w:vAlign w:val="center"/>
          </w:tcPr>
          <w:p w14:paraId="33CDC7C5">
            <w:pPr>
              <w:overflowPunct w:val="0"/>
              <w:topLinePunct/>
              <w:adjustRightInd w:val="0"/>
              <w:spacing w:line="240" w:lineRule="exact"/>
              <w:rPr>
                <w:rFonts w:eastAsia="楷体_GB2312"/>
                <w:kern w:val="0"/>
                <w:szCs w:val="21"/>
              </w:rPr>
            </w:pPr>
            <w:r>
              <w:rPr>
                <w:rFonts w:eastAsia="楷体_GB2312"/>
                <w:kern w:val="0"/>
                <w:szCs w:val="21"/>
              </w:rPr>
              <w:t>240或180砖墙或土墙，简易屋面，非标准门窗，水电齐全。</w:t>
            </w:r>
          </w:p>
        </w:tc>
        <w:tc>
          <w:tcPr>
            <w:tcW w:w="0" w:type="auto"/>
            <w:tcBorders>
              <w:top w:val="nil"/>
              <w:left w:val="nil"/>
              <w:bottom w:val="single" w:color="auto" w:sz="4" w:space="0"/>
              <w:right w:val="single" w:color="auto" w:sz="4" w:space="0"/>
            </w:tcBorders>
            <w:noWrap/>
            <w:vAlign w:val="center"/>
          </w:tcPr>
          <w:p w14:paraId="623474B4">
            <w:pPr>
              <w:overflowPunct w:val="0"/>
              <w:topLinePunct/>
              <w:adjustRightInd w:val="0"/>
              <w:spacing w:line="240" w:lineRule="exact"/>
              <w:jc w:val="center"/>
              <w:rPr>
                <w:rFonts w:eastAsia="楷体_GB2312"/>
                <w:kern w:val="0"/>
                <w:szCs w:val="21"/>
              </w:rPr>
            </w:pPr>
            <w:r>
              <w:rPr>
                <w:rFonts w:eastAsia="楷体_GB2312"/>
                <w:kern w:val="0"/>
                <w:szCs w:val="21"/>
              </w:rPr>
              <w:t>580</w:t>
            </w:r>
          </w:p>
        </w:tc>
      </w:tr>
      <w:tr w14:paraId="2C2DABFE">
        <w:tblPrEx>
          <w:tblCellMar>
            <w:top w:w="28" w:type="dxa"/>
            <w:left w:w="57" w:type="dxa"/>
            <w:bottom w:w="28" w:type="dxa"/>
            <w:right w:w="57" w:type="dxa"/>
          </w:tblCellMar>
        </w:tblPrEx>
        <w:trPr>
          <w:trHeight w:val="20" w:hRule="atLeast"/>
          <w:jc w:val="center"/>
        </w:trPr>
        <w:tc>
          <w:tcPr>
            <w:tcW w:w="1136" w:type="dxa"/>
            <w:gridSpan w:val="2"/>
            <w:tcBorders>
              <w:top w:val="single" w:color="auto" w:sz="4" w:space="0"/>
              <w:left w:val="single" w:color="auto" w:sz="4" w:space="0"/>
              <w:bottom w:val="single" w:color="auto" w:sz="4" w:space="0"/>
              <w:right w:val="single" w:color="auto" w:sz="4" w:space="0"/>
            </w:tcBorders>
            <w:noWrap/>
            <w:vAlign w:val="center"/>
          </w:tcPr>
          <w:p w14:paraId="0A02C083">
            <w:pPr>
              <w:overflowPunct w:val="0"/>
              <w:topLinePunct/>
              <w:adjustRightInd w:val="0"/>
              <w:spacing w:line="240" w:lineRule="exact"/>
              <w:jc w:val="center"/>
              <w:rPr>
                <w:rFonts w:eastAsia="楷体_GB2312"/>
                <w:kern w:val="0"/>
                <w:szCs w:val="21"/>
              </w:rPr>
            </w:pPr>
            <w:r>
              <w:rPr>
                <w:rFonts w:eastAsia="楷体_GB2312"/>
                <w:kern w:val="0"/>
                <w:szCs w:val="21"/>
              </w:rPr>
              <w:t>其他结构</w:t>
            </w:r>
          </w:p>
          <w:p w14:paraId="1FBE35A4">
            <w:pPr>
              <w:overflowPunct w:val="0"/>
              <w:topLinePunct/>
              <w:adjustRightInd w:val="0"/>
              <w:spacing w:line="240" w:lineRule="exact"/>
              <w:jc w:val="center"/>
              <w:rPr>
                <w:rFonts w:eastAsia="楷体_GB2312"/>
                <w:kern w:val="0"/>
                <w:szCs w:val="21"/>
              </w:rPr>
            </w:pPr>
            <w:r>
              <w:rPr>
                <w:rFonts w:eastAsia="楷体_GB2312"/>
                <w:kern w:val="0"/>
                <w:szCs w:val="21"/>
              </w:rPr>
              <w:t>房屋</w:t>
            </w:r>
          </w:p>
        </w:tc>
        <w:tc>
          <w:tcPr>
            <w:tcW w:w="6905" w:type="dxa"/>
            <w:tcBorders>
              <w:top w:val="nil"/>
              <w:left w:val="nil"/>
              <w:bottom w:val="single" w:color="auto" w:sz="4" w:space="0"/>
              <w:right w:val="single" w:color="auto" w:sz="4" w:space="0"/>
            </w:tcBorders>
            <w:noWrap/>
            <w:vAlign w:val="center"/>
          </w:tcPr>
          <w:p w14:paraId="7C7EC25A">
            <w:pPr>
              <w:overflowPunct w:val="0"/>
              <w:topLinePunct/>
              <w:adjustRightInd w:val="0"/>
              <w:spacing w:line="240" w:lineRule="exact"/>
              <w:rPr>
                <w:rFonts w:eastAsia="楷体_GB2312"/>
                <w:kern w:val="0"/>
                <w:szCs w:val="21"/>
              </w:rPr>
            </w:pPr>
            <w:r>
              <w:rPr>
                <w:rFonts w:eastAsia="楷体_GB2312"/>
                <w:kern w:val="0"/>
                <w:szCs w:val="21"/>
              </w:rPr>
              <w:t>低于砖木三等以下的标准房屋。</w:t>
            </w:r>
          </w:p>
        </w:tc>
        <w:tc>
          <w:tcPr>
            <w:tcW w:w="0" w:type="auto"/>
            <w:tcBorders>
              <w:top w:val="nil"/>
              <w:left w:val="nil"/>
              <w:bottom w:val="single" w:color="auto" w:sz="4" w:space="0"/>
              <w:right w:val="single" w:color="auto" w:sz="4" w:space="0"/>
            </w:tcBorders>
            <w:noWrap/>
            <w:vAlign w:val="center"/>
          </w:tcPr>
          <w:p w14:paraId="784A1A57">
            <w:pPr>
              <w:overflowPunct w:val="0"/>
              <w:topLinePunct/>
              <w:adjustRightInd w:val="0"/>
              <w:spacing w:line="240" w:lineRule="exact"/>
              <w:jc w:val="center"/>
              <w:rPr>
                <w:rFonts w:eastAsia="楷体_GB2312"/>
                <w:kern w:val="0"/>
                <w:szCs w:val="21"/>
              </w:rPr>
            </w:pPr>
            <w:r>
              <w:rPr>
                <w:rFonts w:eastAsia="楷体_GB2312"/>
                <w:kern w:val="0"/>
                <w:szCs w:val="21"/>
              </w:rPr>
              <w:t>500</w:t>
            </w:r>
          </w:p>
        </w:tc>
      </w:tr>
      <w:tr w14:paraId="7A6E8889">
        <w:tblPrEx>
          <w:tblCellMar>
            <w:top w:w="28" w:type="dxa"/>
            <w:left w:w="57" w:type="dxa"/>
            <w:bottom w:w="28" w:type="dxa"/>
            <w:right w:w="57" w:type="dxa"/>
          </w:tblCellMar>
        </w:tblPrEx>
        <w:trPr>
          <w:trHeight w:val="20" w:hRule="atLeast"/>
          <w:jc w:val="center"/>
        </w:trPr>
        <w:tc>
          <w:tcPr>
            <w:tcW w:w="569" w:type="dxa"/>
            <w:vMerge w:val="restart"/>
            <w:tcBorders>
              <w:top w:val="nil"/>
              <w:left w:val="single" w:color="auto" w:sz="4" w:space="0"/>
              <w:bottom w:val="single" w:color="auto" w:sz="4" w:space="0"/>
              <w:right w:val="single" w:color="auto" w:sz="4" w:space="0"/>
            </w:tcBorders>
            <w:noWrap/>
            <w:vAlign w:val="center"/>
          </w:tcPr>
          <w:p w14:paraId="51E05317">
            <w:pPr>
              <w:overflowPunct w:val="0"/>
              <w:topLinePunct/>
              <w:adjustRightInd w:val="0"/>
              <w:spacing w:line="240" w:lineRule="exact"/>
              <w:jc w:val="center"/>
              <w:rPr>
                <w:rFonts w:eastAsia="楷体_GB2312"/>
                <w:kern w:val="0"/>
                <w:szCs w:val="21"/>
              </w:rPr>
            </w:pPr>
            <w:r>
              <w:rPr>
                <w:rFonts w:eastAsia="楷体_GB2312"/>
                <w:kern w:val="0"/>
                <w:szCs w:val="21"/>
              </w:rPr>
              <w:t>厂房仓库</w:t>
            </w:r>
          </w:p>
        </w:tc>
        <w:tc>
          <w:tcPr>
            <w:tcW w:w="567" w:type="dxa"/>
            <w:vMerge w:val="restart"/>
            <w:tcBorders>
              <w:top w:val="nil"/>
              <w:left w:val="single" w:color="auto" w:sz="4" w:space="0"/>
              <w:bottom w:val="single" w:color="auto" w:sz="4" w:space="0"/>
              <w:right w:val="single" w:color="auto" w:sz="4" w:space="0"/>
            </w:tcBorders>
            <w:noWrap/>
            <w:vAlign w:val="center"/>
          </w:tcPr>
          <w:p w14:paraId="6ECD06FD">
            <w:pPr>
              <w:overflowPunct w:val="0"/>
              <w:topLinePunct/>
              <w:adjustRightInd w:val="0"/>
              <w:spacing w:line="240" w:lineRule="exact"/>
              <w:jc w:val="center"/>
              <w:rPr>
                <w:rFonts w:eastAsia="楷体_GB2312"/>
                <w:kern w:val="0"/>
                <w:szCs w:val="21"/>
              </w:rPr>
            </w:pPr>
            <w:r>
              <w:rPr>
                <w:rFonts w:eastAsia="楷体_GB2312"/>
                <w:kern w:val="0"/>
                <w:szCs w:val="21"/>
              </w:rPr>
              <w:t>砖混结构</w:t>
            </w:r>
          </w:p>
        </w:tc>
        <w:tc>
          <w:tcPr>
            <w:tcW w:w="6905" w:type="dxa"/>
            <w:tcBorders>
              <w:top w:val="nil"/>
              <w:left w:val="nil"/>
              <w:bottom w:val="single" w:color="auto" w:sz="4" w:space="0"/>
              <w:right w:val="single" w:color="auto" w:sz="4" w:space="0"/>
            </w:tcBorders>
            <w:noWrap w:val="0"/>
            <w:vAlign w:val="center"/>
          </w:tcPr>
          <w:p w14:paraId="2A66C6B9">
            <w:pPr>
              <w:overflowPunct w:val="0"/>
              <w:topLinePunct/>
              <w:adjustRightInd w:val="0"/>
              <w:spacing w:line="240" w:lineRule="exact"/>
              <w:rPr>
                <w:rFonts w:eastAsia="楷体_GB2312"/>
                <w:kern w:val="0"/>
                <w:szCs w:val="21"/>
              </w:rPr>
            </w:pPr>
            <w:r>
              <w:rPr>
                <w:rFonts w:eastAsia="楷体_GB2312"/>
                <w:kern w:val="0"/>
                <w:szCs w:val="21"/>
              </w:rPr>
              <w:t>砖混结构，净高4m以上（含4m）、空心板顶、砖墙。</w:t>
            </w:r>
          </w:p>
        </w:tc>
        <w:tc>
          <w:tcPr>
            <w:tcW w:w="0" w:type="auto"/>
            <w:tcBorders>
              <w:top w:val="nil"/>
              <w:left w:val="nil"/>
              <w:bottom w:val="single" w:color="auto" w:sz="4" w:space="0"/>
              <w:right w:val="single" w:color="auto" w:sz="4" w:space="0"/>
            </w:tcBorders>
            <w:noWrap/>
            <w:vAlign w:val="center"/>
          </w:tcPr>
          <w:p w14:paraId="6CF0ED68">
            <w:pPr>
              <w:overflowPunct w:val="0"/>
              <w:topLinePunct/>
              <w:adjustRightInd w:val="0"/>
              <w:spacing w:line="240" w:lineRule="exact"/>
              <w:jc w:val="center"/>
              <w:rPr>
                <w:rFonts w:eastAsia="楷体_GB2312"/>
                <w:kern w:val="0"/>
                <w:szCs w:val="21"/>
              </w:rPr>
            </w:pPr>
            <w:r>
              <w:rPr>
                <w:rFonts w:eastAsia="楷体_GB2312"/>
                <w:kern w:val="0"/>
                <w:szCs w:val="21"/>
              </w:rPr>
              <w:t>610</w:t>
            </w:r>
          </w:p>
        </w:tc>
      </w:tr>
      <w:tr w14:paraId="1C8136AE">
        <w:tblPrEx>
          <w:tblCellMar>
            <w:top w:w="28" w:type="dxa"/>
            <w:left w:w="57" w:type="dxa"/>
            <w:bottom w:w="28" w:type="dxa"/>
            <w:right w:w="57" w:type="dxa"/>
          </w:tblCellMar>
        </w:tblPrEx>
        <w:trPr>
          <w:trHeight w:val="20" w:hRule="atLeast"/>
          <w:jc w:val="center"/>
        </w:trPr>
        <w:tc>
          <w:tcPr>
            <w:tcW w:w="569" w:type="dxa"/>
            <w:vMerge w:val="continue"/>
            <w:tcBorders>
              <w:top w:val="nil"/>
              <w:left w:val="single" w:color="auto" w:sz="4" w:space="0"/>
              <w:bottom w:val="single" w:color="auto" w:sz="4" w:space="0"/>
              <w:right w:val="single" w:color="auto" w:sz="4" w:space="0"/>
            </w:tcBorders>
            <w:noWrap w:val="0"/>
            <w:vAlign w:val="center"/>
          </w:tcPr>
          <w:p w14:paraId="5FB69673">
            <w:pPr>
              <w:overflowPunct w:val="0"/>
              <w:topLinePunct/>
              <w:adjustRightInd w:val="0"/>
              <w:spacing w:line="240" w:lineRule="exact"/>
              <w:jc w:val="center"/>
              <w:rPr>
                <w:rFonts w:eastAsia="楷体_GB2312"/>
                <w:kern w:val="0"/>
                <w:szCs w:val="21"/>
              </w:rPr>
            </w:pPr>
          </w:p>
        </w:tc>
        <w:tc>
          <w:tcPr>
            <w:tcW w:w="567" w:type="dxa"/>
            <w:vMerge w:val="continue"/>
            <w:tcBorders>
              <w:top w:val="nil"/>
              <w:left w:val="single" w:color="auto" w:sz="4" w:space="0"/>
              <w:bottom w:val="single" w:color="auto" w:sz="4" w:space="0"/>
              <w:right w:val="single" w:color="auto" w:sz="4" w:space="0"/>
            </w:tcBorders>
            <w:noWrap w:val="0"/>
            <w:vAlign w:val="center"/>
          </w:tcPr>
          <w:p w14:paraId="657671BB">
            <w:pPr>
              <w:overflowPunct w:val="0"/>
              <w:topLinePunct/>
              <w:adjustRightInd w:val="0"/>
              <w:spacing w:line="240" w:lineRule="exact"/>
              <w:jc w:val="center"/>
              <w:rPr>
                <w:rFonts w:eastAsia="楷体_GB2312"/>
                <w:kern w:val="0"/>
                <w:szCs w:val="21"/>
              </w:rPr>
            </w:pPr>
          </w:p>
        </w:tc>
        <w:tc>
          <w:tcPr>
            <w:tcW w:w="6905" w:type="dxa"/>
            <w:tcBorders>
              <w:top w:val="nil"/>
              <w:left w:val="nil"/>
              <w:bottom w:val="single" w:color="auto" w:sz="4" w:space="0"/>
              <w:right w:val="single" w:color="auto" w:sz="4" w:space="0"/>
            </w:tcBorders>
            <w:noWrap w:val="0"/>
            <w:vAlign w:val="center"/>
          </w:tcPr>
          <w:p w14:paraId="43CEFD71">
            <w:pPr>
              <w:overflowPunct w:val="0"/>
              <w:topLinePunct/>
              <w:adjustRightInd w:val="0"/>
              <w:spacing w:line="240" w:lineRule="exact"/>
              <w:rPr>
                <w:rFonts w:eastAsia="楷体_GB2312"/>
                <w:kern w:val="0"/>
                <w:szCs w:val="21"/>
              </w:rPr>
            </w:pPr>
            <w:r>
              <w:rPr>
                <w:rFonts w:eastAsia="楷体_GB2312"/>
                <w:kern w:val="0"/>
                <w:szCs w:val="21"/>
              </w:rPr>
              <w:t>砖混结构，净高4m以上（含4m）、石棉瓦顶、砖墙。</w:t>
            </w:r>
          </w:p>
        </w:tc>
        <w:tc>
          <w:tcPr>
            <w:tcW w:w="0" w:type="auto"/>
            <w:tcBorders>
              <w:top w:val="nil"/>
              <w:left w:val="nil"/>
              <w:bottom w:val="single" w:color="auto" w:sz="4" w:space="0"/>
              <w:right w:val="single" w:color="auto" w:sz="4" w:space="0"/>
            </w:tcBorders>
            <w:noWrap/>
            <w:vAlign w:val="center"/>
          </w:tcPr>
          <w:p w14:paraId="0B751A29">
            <w:pPr>
              <w:overflowPunct w:val="0"/>
              <w:topLinePunct/>
              <w:adjustRightInd w:val="0"/>
              <w:spacing w:line="240" w:lineRule="exact"/>
              <w:jc w:val="center"/>
              <w:rPr>
                <w:rFonts w:eastAsia="楷体_GB2312"/>
                <w:kern w:val="0"/>
                <w:szCs w:val="21"/>
              </w:rPr>
            </w:pPr>
            <w:r>
              <w:rPr>
                <w:rFonts w:eastAsia="楷体_GB2312"/>
                <w:kern w:val="0"/>
                <w:szCs w:val="21"/>
              </w:rPr>
              <w:t>500</w:t>
            </w:r>
          </w:p>
        </w:tc>
      </w:tr>
      <w:tr w14:paraId="0AB6A412">
        <w:tblPrEx>
          <w:tblCellMar>
            <w:top w:w="28" w:type="dxa"/>
            <w:left w:w="57" w:type="dxa"/>
            <w:bottom w:w="28" w:type="dxa"/>
            <w:right w:w="57" w:type="dxa"/>
          </w:tblCellMar>
        </w:tblPrEx>
        <w:trPr>
          <w:trHeight w:val="20" w:hRule="atLeast"/>
          <w:jc w:val="center"/>
        </w:trPr>
        <w:tc>
          <w:tcPr>
            <w:tcW w:w="1136" w:type="dxa"/>
            <w:gridSpan w:val="2"/>
            <w:vMerge w:val="restart"/>
            <w:tcBorders>
              <w:top w:val="single" w:color="auto" w:sz="4" w:space="0"/>
              <w:left w:val="single" w:color="auto" w:sz="4" w:space="0"/>
              <w:bottom w:val="single" w:color="auto" w:sz="4" w:space="0"/>
              <w:right w:val="single" w:color="auto" w:sz="4" w:space="0"/>
            </w:tcBorders>
            <w:noWrap/>
            <w:vAlign w:val="center"/>
          </w:tcPr>
          <w:p w14:paraId="37461B97">
            <w:pPr>
              <w:overflowPunct w:val="0"/>
              <w:topLinePunct/>
              <w:adjustRightInd w:val="0"/>
              <w:spacing w:line="240" w:lineRule="exact"/>
              <w:jc w:val="center"/>
              <w:rPr>
                <w:rFonts w:eastAsia="楷体_GB2312"/>
                <w:kern w:val="0"/>
                <w:szCs w:val="21"/>
              </w:rPr>
            </w:pPr>
            <w:r>
              <w:rPr>
                <w:rFonts w:eastAsia="楷体_GB2312"/>
                <w:kern w:val="0"/>
                <w:szCs w:val="21"/>
              </w:rPr>
              <w:t>房　基</w:t>
            </w:r>
          </w:p>
        </w:tc>
        <w:tc>
          <w:tcPr>
            <w:tcW w:w="6905" w:type="dxa"/>
            <w:tcBorders>
              <w:top w:val="nil"/>
              <w:left w:val="nil"/>
              <w:bottom w:val="single" w:color="auto" w:sz="4" w:space="0"/>
              <w:right w:val="single" w:color="auto" w:sz="4" w:space="0"/>
            </w:tcBorders>
            <w:noWrap/>
            <w:vAlign w:val="center"/>
          </w:tcPr>
          <w:p w14:paraId="74F4DBFA">
            <w:pPr>
              <w:overflowPunct w:val="0"/>
              <w:topLinePunct/>
              <w:adjustRightInd w:val="0"/>
              <w:spacing w:line="240" w:lineRule="exact"/>
              <w:rPr>
                <w:rFonts w:eastAsia="楷体_GB2312"/>
                <w:kern w:val="0"/>
                <w:szCs w:val="21"/>
              </w:rPr>
            </w:pPr>
            <w:r>
              <w:rPr>
                <w:rFonts w:eastAsia="楷体_GB2312"/>
                <w:kern w:val="0"/>
                <w:szCs w:val="21"/>
              </w:rPr>
              <w:t>有砖石基础，有钢筋砼圈梁。</w:t>
            </w:r>
          </w:p>
        </w:tc>
        <w:tc>
          <w:tcPr>
            <w:tcW w:w="0" w:type="auto"/>
            <w:tcBorders>
              <w:top w:val="nil"/>
              <w:left w:val="nil"/>
              <w:bottom w:val="single" w:color="auto" w:sz="4" w:space="0"/>
              <w:right w:val="single" w:color="auto" w:sz="4" w:space="0"/>
            </w:tcBorders>
            <w:noWrap/>
            <w:vAlign w:val="center"/>
          </w:tcPr>
          <w:p w14:paraId="0F2BF836">
            <w:pPr>
              <w:overflowPunct w:val="0"/>
              <w:topLinePunct/>
              <w:adjustRightInd w:val="0"/>
              <w:spacing w:line="240" w:lineRule="exact"/>
              <w:jc w:val="center"/>
              <w:rPr>
                <w:rFonts w:eastAsia="楷体_GB2312"/>
                <w:kern w:val="0"/>
                <w:szCs w:val="21"/>
              </w:rPr>
            </w:pPr>
            <w:r>
              <w:rPr>
                <w:rFonts w:eastAsia="楷体_GB2312"/>
                <w:kern w:val="0"/>
                <w:szCs w:val="21"/>
              </w:rPr>
              <w:t>120</w:t>
            </w:r>
          </w:p>
        </w:tc>
      </w:tr>
      <w:tr w14:paraId="53321F43">
        <w:tblPrEx>
          <w:tblCellMar>
            <w:top w:w="28" w:type="dxa"/>
            <w:left w:w="57" w:type="dxa"/>
            <w:bottom w:w="28" w:type="dxa"/>
            <w:right w:w="57" w:type="dxa"/>
          </w:tblCellMar>
        </w:tblPrEx>
        <w:trPr>
          <w:trHeight w:val="20" w:hRule="atLeast"/>
          <w:jc w:val="center"/>
        </w:trPr>
        <w:tc>
          <w:tcPr>
            <w:tcW w:w="113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22C4DBE7">
            <w:pPr>
              <w:overflowPunct w:val="0"/>
              <w:topLinePunct/>
              <w:adjustRightInd w:val="0"/>
              <w:spacing w:line="240" w:lineRule="exact"/>
              <w:jc w:val="center"/>
              <w:rPr>
                <w:rFonts w:eastAsia="楷体_GB2312"/>
                <w:kern w:val="0"/>
                <w:szCs w:val="21"/>
              </w:rPr>
            </w:pPr>
          </w:p>
        </w:tc>
        <w:tc>
          <w:tcPr>
            <w:tcW w:w="6905" w:type="dxa"/>
            <w:tcBorders>
              <w:top w:val="nil"/>
              <w:left w:val="nil"/>
              <w:bottom w:val="single" w:color="auto" w:sz="4" w:space="0"/>
              <w:right w:val="single" w:color="auto" w:sz="4" w:space="0"/>
            </w:tcBorders>
            <w:noWrap/>
            <w:vAlign w:val="center"/>
          </w:tcPr>
          <w:p w14:paraId="5C1B022C">
            <w:pPr>
              <w:overflowPunct w:val="0"/>
              <w:topLinePunct/>
              <w:adjustRightInd w:val="0"/>
              <w:spacing w:line="240" w:lineRule="exact"/>
              <w:rPr>
                <w:rFonts w:eastAsia="楷体_GB2312"/>
                <w:kern w:val="0"/>
                <w:szCs w:val="21"/>
              </w:rPr>
            </w:pPr>
            <w:r>
              <w:rPr>
                <w:rFonts w:eastAsia="楷体_GB2312"/>
                <w:kern w:val="0"/>
                <w:szCs w:val="21"/>
              </w:rPr>
              <w:t>有砖石基础，无圈梁。</w:t>
            </w:r>
          </w:p>
        </w:tc>
        <w:tc>
          <w:tcPr>
            <w:tcW w:w="0" w:type="auto"/>
            <w:tcBorders>
              <w:top w:val="nil"/>
              <w:left w:val="nil"/>
              <w:bottom w:val="single" w:color="auto" w:sz="4" w:space="0"/>
              <w:right w:val="single" w:color="auto" w:sz="4" w:space="0"/>
            </w:tcBorders>
            <w:noWrap/>
            <w:vAlign w:val="center"/>
          </w:tcPr>
          <w:p w14:paraId="476A7567">
            <w:pPr>
              <w:overflowPunct w:val="0"/>
              <w:topLinePunct/>
              <w:adjustRightInd w:val="0"/>
              <w:spacing w:line="240" w:lineRule="exact"/>
              <w:jc w:val="center"/>
              <w:rPr>
                <w:rFonts w:eastAsia="楷体_GB2312"/>
                <w:kern w:val="0"/>
                <w:szCs w:val="21"/>
              </w:rPr>
            </w:pPr>
            <w:r>
              <w:rPr>
                <w:rFonts w:eastAsia="楷体_GB2312"/>
                <w:kern w:val="0"/>
                <w:szCs w:val="21"/>
              </w:rPr>
              <w:t>80</w:t>
            </w:r>
          </w:p>
        </w:tc>
      </w:tr>
    </w:tbl>
    <w:p w14:paraId="02809A92">
      <w:pPr>
        <w:widowControl w:val="0"/>
        <w:spacing w:line="480" w:lineRule="exact"/>
        <w:ind w:firstLine="560" w:firstLineChars="200"/>
        <w:jc w:val="both"/>
        <w:rPr>
          <w:rFonts w:eastAsia="楷体_GB2312"/>
          <w:sz w:val="28"/>
        </w:rPr>
      </w:pPr>
      <w:r>
        <w:rPr>
          <w:rFonts w:eastAsia="楷体_GB2312"/>
          <w:sz w:val="28"/>
        </w:rPr>
        <w:t>上表的重置价标准与市场价格水平基本一致，故在房地出租、房地出售的样点地价测算过程中直接引用。在日常宗地评估中，建议根据估价期日，采用建委工程造价管理等单位出台的实时数据。</w:t>
      </w:r>
    </w:p>
    <w:p w14:paraId="242F6E6F">
      <w:pPr>
        <w:pStyle w:val="20"/>
        <w:spacing w:line="480" w:lineRule="exact"/>
        <w:ind w:firstLine="560" w:firstLineChars="200"/>
        <w:rPr>
          <w:rFonts w:ascii="Times New Roman" w:hAnsi="Times New Roman" w:eastAsia="楷体_GB2312" w:cs="Times New Roman"/>
          <w:sz w:val="28"/>
        </w:rPr>
      </w:pPr>
    </w:p>
    <w:p w14:paraId="1C570896">
      <w:pPr>
        <w:pStyle w:val="4"/>
        <w:numPr>
          <w:ilvl w:val="0"/>
          <w:numId w:val="0"/>
        </w:numPr>
        <w:spacing w:line="240" w:lineRule="auto"/>
        <w:jc w:val="center"/>
        <w:rPr>
          <w:rFonts w:eastAsia="仿宋_GB2312"/>
          <w:bCs w:val="0"/>
        </w:rPr>
      </w:pPr>
      <w:bookmarkStart w:id="68" w:name="_Toc62563681"/>
      <w:r>
        <w:rPr>
          <w:rFonts w:eastAsia="仿宋_GB2312"/>
          <w:bCs w:val="0"/>
        </w:rPr>
        <w:t>第四节  容积率修正系数的测算与确定</w:t>
      </w:r>
      <w:bookmarkEnd w:id="68"/>
    </w:p>
    <w:p w14:paraId="52EB5418">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容积率对地价影响较大，利用房地出租、房地出售、商品房开发等土地交易市场资料，对各级别内商服、住宅、公共管理与公共服务用地容积率修正系数进行测算。由于工矿仓储用地、公共管理与公共服务中公用设施用地地价样点较少，无法进行容积率修正系数测算，加之工矿仓储用地、公共管理与公共服务中公用设施用地各级别内容积率差别不大，对地价影响较小，对工矿仓储用地、公共管理与公共服务中公用设施用地样点地价不进行容积率修正。</w:t>
      </w:r>
    </w:p>
    <w:p w14:paraId="70593CCB">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利用房地出租和房地出售样点地价资料，对各乡镇镇区商服、住宅用地容积率修正系数进行推断和实测，以各级别内平均容积率区段修正系数设为1.00，测算了各级别内各容积率区段商服、住宅、公共管理与公共服务用地地价的修正系数。确定结果见表2-2-</w:t>
      </w:r>
      <w:r>
        <w:rPr>
          <w:rFonts w:hint="eastAsia" w:ascii="Times New Roman" w:hAnsi="Times New Roman" w:eastAsia="楷体_GB2312" w:cs="Times New Roman"/>
          <w:sz w:val="28"/>
        </w:rPr>
        <w:t>6</w:t>
      </w:r>
      <w:r>
        <w:rPr>
          <w:rFonts w:ascii="Times New Roman" w:hAnsi="Times New Roman" w:eastAsia="楷体_GB2312" w:cs="Times New Roman"/>
          <w:sz w:val="28"/>
        </w:rPr>
        <w:t>至表2-2-</w:t>
      </w:r>
      <w:r>
        <w:rPr>
          <w:rFonts w:hint="eastAsia" w:ascii="Times New Roman" w:hAnsi="Times New Roman" w:eastAsia="楷体_GB2312" w:cs="Times New Roman"/>
          <w:sz w:val="28"/>
        </w:rPr>
        <w:t>9</w:t>
      </w:r>
      <w:r>
        <w:rPr>
          <w:rFonts w:ascii="Times New Roman" w:hAnsi="Times New Roman" w:eastAsia="楷体_GB2312" w:cs="Times New Roman"/>
          <w:sz w:val="28"/>
        </w:rPr>
        <w:t>。</w:t>
      </w:r>
    </w:p>
    <w:p w14:paraId="024A995C">
      <w:pPr>
        <w:pStyle w:val="20"/>
        <w:spacing w:line="480" w:lineRule="exact"/>
        <w:jc w:val="center"/>
        <w:rPr>
          <w:rFonts w:ascii="Times New Roman" w:hAnsi="Times New Roman" w:eastAsia="黑体" w:cs="Times New Roman"/>
          <w:sz w:val="28"/>
        </w:rPr>
      </w:pPr>
      <w:r>
        <w:rPr>
          <w:rFonts w:ascii="Times New Roman" w:hAnsi="Times New Roman" w:eastAsia="黑体" w:cs="Times New Roman"/>
          <w:sz w:val="28"/>
        </w:rPr>
        <w:t>表2-2-</w:t>
      </w:r>
      <w:r>
        <w:rPr>
          <w:rFonts w:hint="eastAsia" w:ascii="Times New Roman" w:hAnsi="Times New Roman" w:eastAsia="黑体" w:cs="Times New Roman"/>
          <w:sz w:val="28"/>
        </w:rPr>
        <w:t>6</w:t>
      </w:r>
      <w:r>
        <w:rPr>
          <w:rFonts w:ascii="Times New Roman" w:hAnsi="Times New Roman" w:eastAsia="黑体" w:cs="Times New Roman"/>
          <w:sz w:val="28"/>
        </w:rPr>
        <w:t xml:space="preserve">  埇桥区</w:t>
      </w:r>
      <w:r>
        <w:rPr>
          <w:rFonts w:hint="eastAsia" w:ascii="Times New Roman" w:hAnsi="Times New Roman" w:eastAsia="黑体" w:cs="Times New Roman"/>
          <w:sz w:val="28"/>
          <w:szCs w:val="20"/>
        </w:rPr>
        <w:t>乡镇</w:t>
      </w:r>
      <w:r>
        <w:rPr>
          <w:rFonts w:ascii="Times New Roman" w:hAnsi="Times New Roman" w:eastAsia="黑体" w:cs="Times New Roman"/>
          <w:sz w:val="28"/>
        </w:rPr>
        <w:t>商服、住宅用地容积率修正系数表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9"/>
        <w:gridCol w:w="1178"/>
        <w:gridCol w:w="1145"/>
        <w:gridCol w:w="1152"/>
        <w:gridCol w:w="1145"/>
        <w:gridCol w:w="1145"/>
        <w:gridCol w:w="1078"/>
      </w:tblGrid>
      <w:tr w14:paraId="20419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1229" w:type="pct"/>
            <w:vMerge w:val="restart"/>
            <w:noWrap w:val="0"/>
            <w:vAlign w:val="center"/>
          </w:tcPr>
          <w:p w14:paraId="066980C4">
            <w:pPr>
              <w:widowControl w:val="0"/>
              <w:spacing w:line="300" w:lineRule="exact"/>
              <w:jc w:val="right"/>
              <w:rPr>
                <w:rFonts w:eastAsia="楷体_GB2312"/>
                <w:szCs w:val="21"/>
              </w:rPr>
            </w:pPr>
            <w:r>
              <w:rPr>
                <w:rFonts w:eastAsia="楷体_GB2312"/>
                <w:szCs w:val="21"/>
              </w:rPr>
              <mc:AlternateContent>
                <mc:Choice Requires="wps">
                  <w:drawing>
                    <wp:anchor distT="0" distB="0" distL="114300" distR="114300" simplePos="0" relativeHeight="251660288" behindDoc="0" locked="0" layoutInCell="1" allowOverlap="1">
                      <wp:simplePos x="0" y="0"/>
                      <wp:positionH relativeFrom="column">
                        <wp:posOffset>140970</wp:posOffset>
                      </wp:positionH>
                      <wp:positionV relativeFrom="paragraph">
                        <wp:posOffset>-3175</wp:posOffset>
                      </wp:positionV>
                      <wp:extent cx="1205865" cy="577850"/>
                      <wp:effectExtent l="1905" t="4445" r="11430" b="8255"/>
                      <wp:wrapNone/>
                      <wp:docPr id="9" name="自选图形 866"/>
                      <wp:cNvGraphicFramePr/>
                      <a:graphic xmlns:a="http://schemas.openxmlformats.org/drawingml/2006/main">
                        <a:graphicData uri="http://schemas.microsoft.com/office/word/2010/wordprocessingShape">
                          <wps:wsp>
                            <wps:cNvCnPr/>
                            <wps:spPr>
                              <a:xfrm>
                                <a:off x="0" y="0"/>
                                <a:ext cx="1205865" cy="5778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66" o:spid="_x0000_s1026" o:spt="32" type="#_x0000_t32" style="position:absolute;left:0pt;margin-left:11.1pt;margin-top:-0.25pt;height:45.5pt;width:94.95pt;z-index:251660288;mso-width-relative:page;mso-height-relative:page;" filled="f" stroked="t" coordsize="21600,21600" o:gfxdata="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hleMdQAAAAHAQAADwAAAAAAAAABACAAAAAiAAAAZHJzL2Rvd25yZXYueG1s&#10;UEsBAhQAFAAAAAgAh07iQFgOlCn8AQAA6gMAAA4AAAAAAAAAAQAgAAAAIwEAAGRycy9lMm9Eb2Mu&#10;eG1sUEsFBgAAAAAGAAYAWQEAAJEFAAAAAA==&#10;">
                      <v:fill on="f" focussize="0,0"/>
                      <v:stroke color="#000000" joinstyle="round"/>
                      <v:imagedata o:title=""/>
                      <o:lock v:ext="edit" aspectratio="f"/>
                    </v:shape>
                  </w:pict>
                </mc:Fallback>
              </mc:AlternateContent>
            </w:r>
            <w:r>
              <w:rPr>
                <w:rFonts w:eastAsia="楷体_GB2312"/>
                <w:szCs w:val="21"/>
              </w:rPr>
              <w:t>土地级别</w:t>
            </w:r>
          </w:p>
          <w:p w14:paraId="29657B9D">
            <w:pPr>
              <w:widowControl w:val="0"/>
              <w:spacing w:line="300" w:lineRule="exact"/>
              <w:rPr>
                <w:rFonts w:eastAsia="楷体_GB2312"/>
                <w:szCs w:val="21"/>
              </w:rPr>
            </w:pPr>
            <w:r>
              <w:rPr>
                <w:rFonts w:eastAsia="楷体_GB2312"/>
                <w:szCs w:val="21"/>
              </w:rPr>
              <mc:AlternateContent>
                <mc:Choice Requires="wps">
                  <w:drawing>
                    <wp:anchor distT="0" distB="0" distL="114300" distR="114300" simplePos="0" relativeHeight="251661312" behindDoc="0" locked="0" layoutInCell="1" allowOverlap="1">
                      <wp:simplePos x="0" y="0"/>
                      <wp:positionH relativeFrom="column">
                        <wp:posOffset>-49530</wp:posOffset>
                      </wp:positionH>
                      <wp:positionV relativeFrom="paragraph">
                        <wp:posOffset>174625</wp:posOffset>
                      </wp:positionV>
                      <wp:extent cx="1403350" cy="209550"/>
                      <wp:effectExtent l="635" t="4445" r="5715" b="14605"/>
                      <wp:wrapNone/>
                      <wp:docPr id="10" name="自选图形 867"/>
                      <wp:cNvGraphicFramePr/>
                      <a:graphic xmlns:a="http://schemas.openxmlformats.org/drawingml/2006/main">
                        <a:graphicData uri="http://schemas.microsoft.com/office/word/2010/wordprocessingShape">
                          <wps:wsp>
                            <wps:cNvCnPr/>
                            <wps:spPr>
                              <a:xfrm>
                                <a:off x="0" y="0"/>
                                <a:ext cx="1403350" cy="2095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67" o:spid="_x0000_s1026" o:spt="32" type="#_x0000_t32" style="position:absolute;left:0pt;margin-left:-3.9pt;margin-top:13.75pt;height:16.5pt;width:110.5pt;z-index:251661312;mso-width-relative:page;mso-height-relative:page;" filled="f" stroked="t" coordsize="21600,21600" o:gfxdata="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r8xH1wAAAAgBAAAPAAAAAAAAAAEAIAAAACIAAABkcnMvZG93bnJldi54&#10;bWxQSwECFAAUAAAACACHTuJA/olwXfsBAADrAwAADgAAAAAAAAABACAAAAAmAQAAZHJzL2Uyb0Rv&#10;Yy54bWxQSwUGAAAAAAYABgBZAQAAkwUAAAAA&#10;">
                      <v:fill on="f" focussize="0,0"/>
                      <v:stroke color="#000000" joinstyle="round"/>
                      <v:imagedata o:title=""/>
                      <o:lock v:ext="edit" aspectratio="f"/>
                    </v:shape>
                  </w:pict>
                </mc:Fallback>
              </mc:AlternateContent>
            </w:r>
            <w:r>
              <w:rPr>
                <w:rFonts w:eastAsia="楷体_GB2312"/>
                <w:szCs w:val="21"/>
              </w:rPr>
              <w:t>修正系数</w:t>
            </w:r>
          </w:p>
          <w:p w14:paraId="42D4E6E9">
            <w:pPr>
              <w:widowControl w:val="0"/>
              <w:spacing w:line="300" w:lineRule="exact"/>
              <w:rPr>
                <w:rFonts w:eastAsia="楷体_GB2312"/>
                <w:szCs w:val="21"/>
              </w:rPr>
            </w:pPr>
            <w:r>
              <w:rPr>
                <w:rFonts w:eastAsia="楷体_GB2312"/>
                <w:szCs w:val="21"/>
              </w:rPr>
              <w:t>容积率</w:t>
            </w:r>
          </w:p>
        </w:tc>
        <w:tc>
          <w:tcPr>
            <w:tcW w:w="1915" w:type="pct"/>
            <w:gridSpan w:val="3"/>
            <w:noWrap w:val="0"/>
            <w:vAlign w:val="center"/>
          </w:tcPr>
          <w:p w14:paraId="4E3C4C39">
            <w:pPr>
              <w:widowControl w:val="0"/>
              <w:spacing w:line="300" w:lineRule="exact"/>
              <w:jc w:val="center"/>
              <w:rPr>
                <w:rFonts w:eastAsia="仿宋_GB2312"/>
                <w:b/>
                <w:bCs/>
                <w:szCs w:val="21"/>
              </w:rPr>
            </w:pPr>
            <w:r>
              <w:rPr>
                <w:rFonts w:eastAsia="仿宋_GB2312"/>
                <w:b/>
                <w:bCs/>
                <w:szCs w:val="21"/>
              </w:rPr>
              <w:t>商服用地</w:t>
            </w:r>
          </w:p>
        </w:tc>
        <w:tc>
          <w:tcPr>
            <w:tcW w:w="1856" w:type="pct"/>
            <w:gridSpan w:val="3"/>
            <w:noWrap w:val="0"/>
            <w:vAlign w:val="center"/>
          </w:tcPr>
          <w:p w14:paraId="3AF98760">
            <w:pPr>
              <w:widowControl w:val="0"/>
              <w:spacing w:line="300" w:lineRule="exact"/>
              <w:jc w:val="center"/>
              <w:rPr>
                <w:rFonts w:eastAsia="仿宋_GB2312"/>
                <w:b/>
                <w:bCs/>
                <w:szCs w:val="21"/>
              </w:rPr>
            </w:pPr>
            <w:r>
              <w:rPr>
                <w:rFonts w:eastAsia="仿宋_GB2312"/>
                <w:b/>
                <w:bCs/>
                <w:szCs w:val="21"/>
              </w:rPr>
              <w:t>住宅用地</w:t>
            </w:r>
          </w:p>
        </w:tc>
      </w:tr>
      <w:tr w14:paraId="27386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1229" w:type="pct"/>
            <w:vMerge w:val="continue"/>
            <w:noWrap w:val="0"/>
            <w:vAlign w:val="center"/>
          </w:tcPr>
          <w:p w14:paraId="1CD11BFF">
            <w:pPr>
              <w:widowControl w:val="0"/>
              <w:spacing w:line="300" w:lineRule="exact"/>
              <w:ind w:firstLine="210" w:firstLineChars="100"/>
              <w:jc w:val="both"/>
              <w:rPr>
                <w:rFonts w:eastAsia="楷体_GB2312"/>
                <w:szCs w:val="21"/>
              </w:rPr>
            </w:pPr>
          </w:p>
        </w:tc>
        <w:tc>
          <w:tcPr>
            <w:tcW w:w="649" w:type="pct"/>
            <w:noWrap w:val="0"/>
            <w:vAlign w:val="center"/>
          </w:tcPr>
          <w:p w14:paraId="6F836FCE">
            <w:pPr>
              <w:widowControl w:val="0"/>
              <w:spacing w:line="300" w:lineRule="exact"/>
              <w:jc w:val="center"/>
              <w:rPr>
                <w:rFonts w:eastAsia="仿宋_GB2312"/>
                <w:b/>
                <w:bCs/>
                <w:szCs w:val="21"/>
              </w:rPr>
            </w:pPr>
            <w:r>
              <w:rPr>
                <w:rFonts w:eastAsia="仿宋_GB2312"/>
                <w:b/>
                <w:bCs/>
                <w:szCs w:val="21"/>
              </w:rPr>
              <w:t>一</w:t>
            </w:r>
          </w:p>
        </w:tc>
        <w:tc>
          <w:tcPr>
            <w:tcW w:w="631" w:type="pct"/>
            <w:noWrap w:val="0"/>
            <w:vAlign w:val="center"/>
          </w:tcPr>
          <w:p w14:paraId="6095EC67">
            <w:pPr>
              <w:widowControl w:val="0"/>
              <w:spacing w:line="300" w:lineRule="exact"/>
              <w:jc w:val="center"/>
              <w:rPr>
                <w:rFonts w:eastAsia="仿宋_GB2312"/>
                <w:b/>
                <w:bCs/>
                <w:szCs w:val="21"/>
              </w:rPr>
            </w:pPr>
            <w:r>
              <w:rPr>
                <w:rFonts w:eastAsia="仿宋_GB2312"/>
                <w:b/>
                <w:bCs/>
                <w:szCs w:val="21"/>
              </w:rPr>
              <w:t>二</w:t>
            </w:r>
          </w:p>
        </w:tc>
        <w:tc>
          <w:tcPr>
            <w:tcW w:w="635" w:type="pct"/>
            <w:noWrap w:val="0"/>
            <w:vAlign w:val="center"/>
          </w:tcPr>
          <w:p w14:paraId="409B7D14">
            <w:pPr>
              <w:widowControl w:val="0"/>
              <w:spacing w:line="300" w:lineRule="exact"/>
              <w:jc w:val="center"/>
              <w:rPr>
                <w:rFonts w:eastAsia="仿宋_GB2312"/>
                <w:b/>
                <w:bCs/>
                <w:szCs w:val="21"/>
              </w:rPr>
            </w:pPr>
            <w:r>
              <w:rPr>
                <w:rFonts w:eastAsia="仿宋_GB2312"/>
                <w:b/>
                <w:bCs/>
                <w:szCs w:val="21"/>
              </w:rPr>
              <w:t>三</w:t>
            </w:r>
          </w:p>
        </w:tc>
        <w:tc>
          <w:tcPr>
            <w:tcW w:w="631" w:type="pct"/>
            <w:noWrap w:val="0"/>
            <w:vAlign w:val="center"/>
          </w:tcPr>
          <w:p w14:paraId="7720A86F">
            <w:pPr>
              <w:widowControl w:val="0"/>
              <w:spacing w:line="300" w:lineRule="exact"/>
              <w:jc w:val="center"/>
              <w:rPr>
                <w:rFonts w:eastAsia="仿宋_GB2312"/>
                <w:b/>
                <w:bCs/>
                <w:szCs w:val="21"/>
              </w:rPr>
            </w:pPr>
            <w:r>
              <w:rPr>
                <w:rFonts w:eastAsia="仿宋_GB2312"/>
                <w:b/>
                <w:bCs/>
                <w:szCs w:val="21"/>
              </w:rPr>
              <w:t>一</w:t>
            </w:r>
          </w:p>
        </w:tc>
        <w:tc>
          <w:tcPr>
            <w:tcW w:w="631" w:type="pct"/>
            <w:noWrap w:val="0"/>
            <w:vAlign w:val="center"/>
          </w:tcPr>
          <w:p w14:paraId="039374EB">
            <w:pPr>
              <w:widowControl w:val="0"/>
              <w:spacing w:line="300" w:lineRule="exact"/>
              <w:jc w:val="center"/>
              <w:rPr>
                <w:rFonts w:eastAsia="仿宋_GB2312"/>
                <w:b/>
                <w:bCs/>
                <w:szCs w:val="21"/>
              </w:rPr>
            </w:pPr>
            <w:r>
              <w:rPr>
                <w:rFonts w:eastAsia="仿宋_GB2312"/>
                <w:b/>
                <w:bCs/>
                <w:szCs w:val="21"/>
              </w:rPr>
              <w:t>二</w:t>
            </w:r>
          </w:p>
        </w:tc>
        <w:tc>
          <w:tcPr>
            <w:tcW w:w="593" w:type="pct"/>
            <w:noWrap w:val="0"/>
            <w:vAlign w:val="center"/>
          </w:tcPr>
          <w:p w14:paraId="7DDBDF66">
            <w:pPr>
              <w:widowControl w:val="0"/>
              <w:spacing w:line="300" w:lineRule="exact"/>
              <w:jc w:val="center"/>
              <w:rPr>
                <w:rFonts w:eastAsia="仿宋_GB2312"/>
                <w:b/>
                <w:bCs/>
                <w:szCs w:val="21"/>
              </w:rPr>
            </w:pPr>
            <w:r>
              <w:rPr>
                <w:rFonts w:eastAsia="仿宋_GB2312"/>
                <w:b/>
                <w:bCs/>
                <w:szCs w:val="21"/>
              </w:rPr>
              <w:t>三</w:t>
            </w:r>
          </w:p>
        </w:tc>
      </w:tr>
      <w:tr w14:paraId="74193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29" w:type="pct"/>
            <w:noWrap w:val="0"/>
            <w:vAlign w:val="center"/>
          </w:tcPr>
          <w:p w14:paraId="495D67E5">
            <w:pPr>
              <w:widowControl w:val="0"/>
              <w:spacing w:line="300" w:lineRule="exact"/>
              <w:jc w:val="center"/>
              <w:rPr>
                <w:rFonts w:eastAsia="仿宋_GB2312"/>
                <w:b/>
                <w:szCs w:val="21"/>
              </w:rPr>
            </w:pPr>
            <w:r>
              <w:rPr>
                <w:rFonts w:eastAsia="仿宋_GB2312"/>
                <w:b/>
                <w:szCs w:val="21"/>
              </w:rPr>
              <w:t>≤0.8</w:t>
            </w:r>
          </w:p>
        </w:tc>
        <w:tc>
          <w:tcPr>
            <w:tcW w:w="649" w:type="pct"/>
            <w:noWrap w:val="0"/>
            <w:vAlign w:val="center"/>
          </w:tcPr>
          <w:p w14:paraId="5B69C3FD">
            <w:pPr>
              <w:widowControl w:val="0"/>
              <w:spacing w:line="300" w:lineRule="exact"/>
              <w:jc w:val="center"/>
              <w:rPr>
                <w:rFonts w:eastAsia="仿宋_GB2312"/>
                <w:szCs w:val="21"/>
              </w:rPr>
            </w:pPr>
            <w:r>
              <w:rPr>
                <w:rFonts w:eastAsia="仿宋_GB2312"/>
                <w:szCs w:val="21"/>
              </w:rPr>
              <w:t>0.90</w:t>
            </w:r>
          </w:p>
        </w:tc>
        <w:tc>
          <w:tcPr>
            <w:tcW w:w="631" w:type="pct"/>
            <w:noWrap w:val="0"/>
            <w:vAlign w:val="center"/>
          </w:tcPr>
          <w:p w14:paraId="3F487C0C">
            <w:pPr>
              <w:widowControl w:val="0"/>
              <w:spacing w:line="300" w:lineRule="exact"/>
              <w:jc w:val="center"/>
              <w:rPr>
                <w:rFonts w:eastAsia="仿宋_GB2312"/>
                <w:szCs w:val="21"/>
              </w:rPr>
            </w:pPr>
            <w:r>
              <w:rPr>
                <w:rFonts w:eastAsia="仿宋_GB2312"/>
                <w:szCs w:val="21"/>
              </w:rPr>
              <w:t>0.92</w:t>
            </w:r>
          </w:p>
        </w:tc>
        <w:tc>
          <w:tcPr>
            <w:tcW w:w="635" w:type="pct"/>
            <w:noWrap w:val="0"/>
            <w:vAlign w:val="center"/>
          </w:tcPr>
          <w:p w14:paraId="5FF4FC1F">
            <w:pPr>
              <w:widowControl w:val="0"/>
              <w:spacing w:line="300" w:lineRule="exact"/>
              <w:jc w:val="center"/>
              <w:rPr>
                <w:rFonts w:eastAsia="仿宋_GB2312"/>
                <w:szCs w:val="21"/>
              </w:rPr>
            </w:pPr>
            <w:r>
              <w:rPr>
                <w:rFonts w:eastAsia="仿宋_GB2312"/>
                <w:szCs w:val="21"/>
              </w:rPr>
              <w:t>0.94</w:t>
            </w:r>
          </w:p>
        </w:tc>
        <w:tc>
          <w:tcPr>
            <w:tcW w:w="631" w:type="pct"/>
            <w:noWrap w:val="0"/>
            <w:vAlign w:val="center"/>
          </w:tcPr>
          <w:p w14:paraId="1C7A6203">
            <w:pPr>
              <w:widowControl w:val="0"/>
              <w:spacing w:line="300" w:lineRule="exact"/>
              <w:jc w:val="center"/>
              <w:rPr>
                <w:rFonts w:eastAsia="仿宋_GB2312"/>
                <w:szCs w:val="21"/>
              </w:rPr>
            </w:pPr>
            <w:r>
              <w:rPr>
                <w:rFonts w:eastAsia="仿宋_GB2312"/>
                <w:szCs w:val="21"/>
              </w:rPr>
              <w:t>0.88</w:t>
            </w:r>
          </w:p>
        </w:tc>
        <w:tc>
          <w:tcPr>
            <w:tcW w:w="631" w:type="pct"/>
            <w:noWrap w:val="0"/>
            <w:vAlign w:val="center"/>
          </w:tcPr>
          <w:p w14:paraId="146CD596">
            <w:pPr>
              <w:widowControl w:val="0"/>
              <w:spacing w:line="300" w:lineRule="exact"/>
              <w:jc w:val="center"/>
              <w:rPr>
                <w:rFonts w:eastAsia="仿宋_GB2312"/>
                <w:szCs w:val="21"/>
              </w:rPr>
            </w:pPr>
            <w:r>
              <w:rPr>
                <w:rFonts w:eastAsia="仿宋_GB2312"/>
                <w:szCs w:val="21"/>
              </w:rPr>
              <w:t>0.90</w:t>
            </w:r>
          </w:p>
        </w:tc>
        <w:tc>
          <w:tcPr>
            <w:tcW w:w="593" w:type="pct"/>
            <w:noWrap w:val="0"/>
            <w:vAlign w:val="center"/>
          </w:tcPr>
          <w:p w14:paraId="0B19529C">
            <w:pPr>
              <w:widowControl w:val="0"/>
              <w:spacing w:line="300" w:lineRule="exact"/>
              <w:jc w:val="center"/>
              <w:rPr>
                <w:rFonts w:eastAsia="仿宋_GB2312"/>
                <w:szCs w:val="21"/>
              </w:rPr>
            </w:pPr>
            <w:r>
              <w:rPr>
                <w:rFonts w:eastAsia="仿宋_GB2312"/>
                <w:szCs w:val="21"/>
              </w:rPr>
              <w:t>0.92</w:t>
            </w:r>
          </w:p>
        </w:tc>
      </w:tr>
      <w:tr w14:paraId="7ABF2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29" w:type="pct"/>
            <w:noWrap w:val="0"/>
            <w:vAlign w:val="center"/>
          </w:tcPr>
          <w:p w14:paraId="41BF87D1">
            <w:pPr>
              <w:widowControl w:val="0"/>
              <w:spacing w:line="300" w:lineRule="exact"/>
              <w:jc w:val="center"/>
              <w:rPr>
                <w:rFonts w:eastAsia="仿宋_GB2312"/>
                <w:b/>
                <w:szCs w:val="21"/>
              </w:rPr>
            </w:pPr>
            <w:r>
              <w:rPr>
                <w:rFonts w:eastAsia="仿宋_GB2312"/>
                <w:b/>
                <w:szCs w:val="21"/>
              </w:rPr>
              <w:t>0.9</w:t>
            </w:r>
          </w:p>
        </w:tc>
        <w:tc>
          <w:tcPr>
            <w:tcW w:w="649" w:type="pct"/>
            <w:noWrap w:val="0"/>
            <w:vAlign w:val="center"/>
          </w:tcPr>
          <w:p w14:paraId="5B878453">
            <w:pPr>
              <w:widowControl w:val="0"/>
              <w:spacing w:line="300" w:lineRule="exact"/>
              <w:jc w:val="center"/>
              <w:rPr>
                <w:rFonts w:eastAsia="仿宋_GB2312"/>
                <w:szCs w:val="21"/>
              </w:rPr>
            </w:pPr>
            <w:r>
              <w:rPr>
                <w:rFonts w:eastAsia="仿宋_GB2312"/>
                <w:szCs w:val="21"/>
              </w:rPr>
              <w:t>0.92</w:t>
            </w:r>
          </w:p>
        </w:tc>
        <w:tc>
          <w:tcPr>
            <w:tcW w:w="631" w:type="pct"/>
            <w:noWrap w:val="0"/>
            <w:vAlign w:val="center"/>
          </w:tcPr>
          <w:p w14:paraId="0DE62F3D">
            <w:pPr>
              <w:widowControl w:val="0"/>
              <w:spacing w:line="300" w:lineRule="exact"/>
              <w:jc w:val="center"/>
              <w:rPr>
                <w:rFonts w:eastAsia="仿宋_GB2312"/>
                <w:szCs w:val="21"/>
              </w:rPr>
            </w:pPr>
            <w:r>
              <w:rPr>
                <w:rFonts w:eastAsia="仿宋_GB2312"/>
                <w:szCs w:val="21"/>
              </w:rPr>
              <w:t>0.94</w:t>
            </w:r>
          </w:p>
        </w:tc>
        <w:tc>
          <w:tcPr>
            <w:tcW w:w="635" w:type="pct"/>
            <w:noWrap w:val="0"/>
            <w:vAlign w:val="center"/>
          </w:tcPr>
          <w:p w14:paraId="4944CC27">
            <w:pPr>
              <w:widowControl w:val="0"/>
              <w:spacing w:line="300" w:lineRule="exact"/>
              <w:jc w:val="center"/>
              <w:rPr>
                <w:rFonts w:eastAsia="仿宋_GB2312"/>
                <w:szCs w:val="21"/>
              </w:rPr>
            </w:pPr>
            <w:r>
              <w:rPr>
                <w:rFonts w:eastAsia="仿宋_GB2312"/>
                <w:szCs w:val="21"/>
              </w:rPr>
              <w:t>0.96</w:t>
            </w:r>
          </w:p>
        </w:tc>
        <w:tc>
          <w:tcPr>
            <w:tcW w:w="631" w:type="pct"/>
            <w:noWrap w:val="0"/>
            <w:vAlign w:val="center"/>
          </w:tcPr>
          <w:p w14:paraId="0AB6EE3F">
            <w:pPr>
              <w:widowControl w:val="0"/>
              <w:spacing w:line="300" w:lineRule="exact"/>
              <w:jc w:val="center"/>
              <w:rPr>
                <w:rFonts w:eastAsia="仿宋_GB2312"/>
                <w:szCs w:val="21"/>
              </w:rPr>
            </w:pPr>
            <w:r>
              <w:rPr>
                <w:rFonts w:eastAsia="仿宋_GB2312"/>
                <w:szCs w:val="21"/>
              </w:rPr>
              <w:t>0.90</w:t>
            </w:r>
          </w:p>
        </w:tc>
        <w:tc>
          <w:tcPr>
            <w:tcW w:w="631" w:type="pct"/>
            <w:noWrap w:val="0"/>
            <w:vAlign w:val="center"/>
          </w:tcPr>
          <w:p w14:paraId="6194A929">
            <w:pPr>
              <w:widowControl w:val="0"/>
              <w:spacing w:line="300" w:lineRule="exact"/>
              <w:jc w:val="center"/>
              <w:rPr>
                <w:rFonts w:eastAsia="仿宋_GB2312"/>
                <w:szCs w:val="21"/>
              </w:rPr>
            </w:pPr>
            <w:r>
              <w:rPr>
                <w:rFonts w:eastAsia="仿宋_GB2312"/>
                <w:szCs w:val="21"/>
              </w:rPr>
              <w:t>0.92</w:t>
            </w:r>
          </w:p>
        </w:tc>
        <w:tc>
          <w:tcPr>
            <w:tcW w:w="593" w:type="pct"/>
            <w:noWrap w:val="0"/>
            <w:vAlign w:val="center"/>
          </w:tcPr>
          <w:p w14:paraId="15C6E733">
            <w:pPr>
              <w:widowControl w:val="0"/>
              <w:spacing w:line="300" w:lineRule="exact"/>
              <w:jc w:val="center"/>
              <w:rPr>
                <w:rFonts w:eastAsia="仿宋_GB2312"/>
                <w:szCs w:val="21"/>
              </w:rPr>
            </w:pPr>
            <w:r>
              <w:rPr>
                <w:rFonts w:eastAsia="仿宋_GB2312"/>
                <w:szCs w:val="21"/>
              </w:rPr>
              <w:t>0.94</w:t>
            </w:r>
          </w:p>
        </w:tc>
      </w:tr>
      <w:tr w14:paraId="26A17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29" w:type="pct"/>
            <w:noWrap w:val="0"/>
            <w:vAlign w:val="center"/>
          </w:tcPr>
          <w:p w14:paraId="650867DD">
            <w:pPr>
              <w:widowControl w:val="0"/>
              <w:spacing w:line="300" w:lineRule="exact"/>
              <w:jc w:val="center"/>
              <w:rPr>
                <w:rFonts w:eastAsia="仿宋_GB2312"/>
                <w:b/>
                <w:szCs w:val="21"/>
              </w:rPr>
            </w:pPr>
            <w:r>
              <w:rPr>
                <w:rFonts w:eastAsia="仿宋_GB2312"/>
                <w:b/>
                <w:szCs w:val="21"/>
              </w:rPr>
              <w:t>1.0</w:t>
            </w:r>
          </w:p>
        </w:tc>
        <w:tc>
          <w:tcPr>
            <w:tcW w:w="649" w:type="pct"/>
            <w:noWrap w:val="0"/>
            <w:vAlign w:val="center"/>
          </w:tcPr>
          <w:p w14:paraId="120E7FAE">
            <w:pPr>
              <w:widowControl w:val="0"/>
              <w:spacing w:line="300" w:lineRule="exact"/>
              <w:jc w:val="center"/>
              <w:rPr>
                <w:rFonts w:eastAsia="仿宋_GB2312"/>
                <w:szCs w:val="21"/>
              </w:rPr>
            </w:pPr>
            <w:r>
              <w:rPr>
                <w:rFonts w:eastAsia="仿宋_GB2312"/>
                <w:szCs w:val="21"/>
              </w:rPr>
              <w:t>0.94</w:t>
            </w:r>
          </w:p>
        </w:tc>
        <w:tc>
          <w:tcPr>
            <w:tcW w:w="631" w:type="pct"/>
            <w:noWrap w:val="0"/>
            <w:vAlign w:val="center"/>
          </w:tcPr>
          <w:p w14:paraId="288ADB7A">
            <w:pPr>
              <w:widowControl w:val="0"/>
              <w:spacing w:line="300" w:lineRule="exact"/>
              <w:jc w:val="center"/>
              <w:rPr>
                <w:rFonts w:eastAsia="仿宋_GB2312"/>
                <w:szCs w:val="21"/>
              </w:rPr>
            </w:pPr>
            <w:r>
              <w:rPr>
                <w:rFonts w:eastAsia="仿宋_GB2312"/>
                <w:szCs w:val="21"/>
              </w:rPr>
              <w:t>0.96</w:t>
            </w:r>
          </w:p>
        </w:tc>
        <w:tc>
          <w:tcPr>
            <w:tcW w:w="635" w:type="pct"/>
            <w:noWrap w:val="0"/>
            <w:vAlign w:val="center"/>
          </w:tcPr>
          <w:p w14:paraId="22A4AC92">
            <w:pPr>
              <w:widowControl w:val="0"/>
              <w:spacing w:line="300" w:lineRule="exact"/>
              <w:jc w:val="center"/>
              <w:rPr>
                <w:rFonts w:eastAsia="仿宋_GB2312"/>
                <w:szCs w:val="21"/>
              </w:rPr>
            </w:pPr>
            <w:r>
              <w:rPr>
                <w:rFonts w:eastAsia="仿宋_GB2312"/>
                <w:szCs w:val="21"/>
              </w:rPr>
              <w:t>0.98</w:t>
            </w:r>
          </w:p>
        </w:tc>
        <w:tc>
          <w:tcPr>
            <w:tcW w:w="631" w:type="pct"/>
            <w:noWrap w:val="0"/>
            <w:vAlign w:val="center"/>
          </w:tcPr>
          <w:p w14:paraId="0D5B6058">
            <w:pPr>
              <w:widowControl w:val="0"/>
              <w:spacing w:line="300" w:lineRule="exact"/>
              <w:jc w:val="center"/>
              <w:rPr>
                <w:rFonts w:eastAsia="仿宋_GB2312"/>
                <w:szCs w:val="21"/>
              </w:rPr>
            </w:pPr>
            <w:r>
              <w:rPr>
                <w:rFonts w:eastAsia="仿宋_GB2312"/>
                <w:szCs w:val="21"/>
              </w:rPr>
              <w:t>0.92</w:t>
            </w:r>
          </w:p>
        </w:tc>
        <w:tc>
          <w:tcPr>
            <w:tcW w:w="631" w:type="pct"/>
            <w:noWrap w:val="0"/>
            <w:vAlign w:val="center"/>
          </w:tcPr>
          <w:p w14:paraId="444DFF02">
            <w:pPr>
              <w:widowControl w:val="0"/>
              <w:spacing w:line="300" w:lineRule="exact"/>
              <w:jc w:val="center"/>
              <w:rPr>
                <w:rFonts w:eastAsia="仿宋_GB2312"/>
                <w:szCs w:val="21"/>
              </w:rPr>
            </w:pPr>
            <w:r>
              <w:rPr>
                <w:rFonts w:eastAsia="仿宋_GB2312"/>
                <w:szCs w:val="21"/>
              </w:rPr>
              <w:t>0.94</w:t>
            </w:r>
          </w:p>
        </w:tc>
        <w:tc>
          <w:tcPr>
            <w:tcW w:w="593" w:type="pct"/>
            <w:noWrap w:val="0"/>
            <w:vAlign w:val="center"/>
          </w:tcPr>
          <w:p w14:paraId="3601A7B5">
            <w:pPr>
              <w:widowControl w:val="0"/>
              <w:spacing w:line="300" w:lineRule="exact"/>
              <w:jc w:val="center"/>
              <w:rPr>
                <w:rFonts w:eastAsia="仿宋_GB2312"/>
                <w:szCs w:val="21"/>
              </w:rPr>
            </w:pPr>
            <w:r>
              <w:rPr>
                <w:rFonts w:eastAsia="仿宋_GB2312"/>
                <w:szCs w:val="21"/>
              </w:rPr>
              <w:t>0.96</w:t>
            </w:r>
          </w:p>
        </w:tc>
      </w:tr>
      <w:tr w14:paraId="51F1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29" w:type="pct"/>
            <w:noWrap w:val="0"/>
            <w:vAlign w:val="center"/>
          </w:tcPr>
          <w:p w14:paraId="3716F601">
            <w:pPr>
              <w:widowControl w:val="0"/>
              <w:spacing w:line="300" w:lineRule="exact"/>
              <w:jc w:val="center"/>
              <w:rPr>
                <w:rFonts w:eastAsia="仿宋_GB2312"/>
                <w:b/>
                <w:szCs w:val="21"/>
              </w:rPr>
            </w:pPr>
            <w:r>
              <w:rPr>
                <w:rFonts w:eastAsia="仿宋_GB2312"/>
                <w:b/>
                <w:szCs w:val="21"/>
              </w:rPr>
              <w:t>1.1</w:t>
            </w:r>
          </w:p>
        </w:tc>
        <w:tc>
          <w:tcPr>
            <w:tcW w:w="649" w:type="pct"/>
            <w:noWrap w:val="0"/>
            <w:vAlign w:val="center"/>
          </w:tcPr>
          <w:p w14:paraId="0D4ACB67">
            <w:pPr>
              <w:widowControl w:val="0"/>
              <w:spacing w:line="300" w:lineRule="exact"/>
              <w:jc w:val="center"/>
              <w:rPr>
                <w:rFonts w:eastAsia="仿宋_GB2312"/>
                <w:szCs w:val="21"/>
              </w:rPr>
            </w:pPr>
            <w:r>
              <w:rPr>
                <w:rFonts w:eastAsia="仿宋_GB2312"/>
                <w:szCs w:val="21"/>
              </w:rPr>
              <w:t>0.96</w:t>
            </w:r>
          </w:p>
        </w:tc>
        <w:tc>
          <w:tcPr>
            <w:tcW w:w="631" w:type="pct"/>
            <w:noWrap w:val="0"/>
            <w:vAlign w:val="center"/>
          </w:tcPr>
          <w:p w14:paraId="6A00ADB3">
            <w:pPr>
              <w:widowControl w:val="0"/>
              <w:spacing w:line="300" w:lineRule="exact"/>
              <w:jc w:val="center"/>
              <w:rPr>
                <w:rFonts w:eastAsia="仿宋_GB2312"/>
                <w:szCs w:val="21"/>
              </w:rPr>
            </w:pPr>
            <w:r>
              <w:rPr>
                <w:rFonts w:eastAsia="仿宋_GB2312"/>
                <w:szCs w:val="21"/>
              </w:rPr>
              <w:t>0.98</w:t>
            </w:r>
          </w:p>
        </w:tc>
        <w:tc>
          <w:tcPr>
            <w:tcW w:w="635" w:type="pct"/>
            <w:noWrap w:val="0"/>
            <w:vAlign w:val="center"/>
          </w:tcPr>
          <w:p w14:paraId="3A6490A0">
            <w:pPr>
              <w:widowControl w:val="0"/>
              <w:spacing w:line="300" w:lineRule="exact"/>
              <w:jc w:val="center"/>
              <w:rPr>
                <w:rFonts w:eastAsia="仿宋_GB2312"/>
                <w:b/>
                <w:szCs w:val="21"/>
              </w:rPr>
            </w:pPr>
            <w:r>
              <w:rPr>
                <w:rFonts w:eastAsia="仿宋_GB2312"/>
                <w:b/>
                <w:szCs w:val="21"/>
              </w:rPr>
              <w:t>1.0</w:t>
            </w:r>
          </w:p>
        </w:tc>
        <w:tc>
          <w:tcPr>
            <w:tcW w:w="631" w:type="pct"/>
            <w:noWrap w:val="0"/>
            <w:vAlign w:val="center"/>
          </w:tcPr>
          <w:p w14:paraId="40528FC0">
            <w:pPr>
              <w:widowControl w:val="0"/>
              <w:spacing w:line="300" w:lineRule="exact"/>
              <w:jc w:val="center"/>
              <w:rPr>
                <w:rFonts w:eastAsia="仿宋_GB2312"/>
                <w:szCs w:val="21"/>
              </w:rPr>
            </w:pPr>
            <w:r>
              <w:rPr>
                <w:rFonts w:eastAsia="仿宋_GB2312"/>
                <w:szCs w:val="21"/>
              </w:rPr>
              <w:t>0.94</w:t>
            </w:r>
          </w:p>
        </w:tc>
        <w:tc>
          <w:tcPr>
            <w:tcW w:w="631" w:type="pct"/>
            <w:noWrap w:val="0"/>
            <w:vAlign w:val="center"/>
          </w:tcPr>
          <w:p w14:paraId="4FB14F59">
            <w:pPr>
              <w:widowControl w:val="0"/>
              <w:spacing w:line="300" w:lineRule="exact"/>
              <w:jc w:val="center"/>
              <w:rPr>
                <w:rFonts w:eastAsia="仿宋_GB2312"/>
                <w:szCs w:val="21"/>
              </w:rPr>
            </w:pPr>
            <w:r>
              <w:rPr>
                <w:rFonts w:eastAsia="仿宋_GB2312"/>
                <w:szCs w:val="21"/>
              </w:rPr>
              <w:t>0.96</w:t>
            </w:r>
          </w:p>
        </w:tc>
        <w:tc>
          <w:tcPr>
            <w:tcW w:w="593" w:type="pct"/>
            <w:noWrap w:val="0"/>
            <w:vAlign w:val="center"/>
          </w:tcPr>
          <w:p w14:paraId="5A6F22AB">
            <w:pPr>
              <w:widowControl w:val="0"/>
              <w:spacing w:line="300" w:lineRule="exact"/>
              <w:jc w:val="center"/>
              <w:rPr>
                <w:rFonts w:eastAsia="仿宋_GB2312"/>
                <w:szCs w:val="21"/>
              </w:rPr>
            </w:pPr>
            <w:r>
              <w:rPr>
                <w:rFonts w:eastAsia="仿宋_GB2312"/>
                <w:szCs w:val="21"/>
              </w:rPr>
              <w:t>0.98</w:t>
            </w:r>
          </w:p>
        </w:tc>
      </w:tr>
      <w:tr w14:paraId="1DAEB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29" w:type="pct"/>
            <w:noWrap w:val="0"/>
            <w:vAlign w:val="center"/>
          </w:tcPr>
          <w:p w14:paraId="7EEB1B81">
            <w:pPr>
              <w:widowControl w:val="0"/>
              <w:spacing w:line="300" w:lineRule="exact"/>
              <w:jc w:val="center"/>
              <w:rPr>
                <w:rFonts w:eastAsia="仿宋_GB2312"/>
                <w:b/>
                <w:szCs w:val="21"/>
              </w:rPr>
            </w:pPr>
            <w:r>
              <w:rPr>
                <w:rFonts w:eastAsia="仿宋_GB2312"/>
                <w:b/>
                <w:szCs w:val="21"/>
              </w:rPr>
              <w:t>1.2</w:t>
            </w:r>
          </w:p>
        </w:tc>
        <w:tc>
          <w:tcPr>
            <w:tcW w:w="649" w:type="pct"/>
            <w:noWrap w:val="0"/>
            <w:vAlign w:val="center"/>
          </w:tcPr>
          <w:p w14:paraId="040C9D85">
            <w:pPr>
              <w:widowControl w:val="0"/>
              <w:spacing w:line="300" w:lineRule="exact"/>
              <w:jc w:val="center"/>
              <w:rPr>
                <w:rFonts w:eastAsia="仿宋_GB2312"/>
                <w:szCs w:val="21"/>
              </w:rPr>
            </w:pPr>
            <w:r>
              <w:rPr>
                <w:rFonts w:eastAsia="仿宋_GB2312"/>
                <w:szCs w:val="21"/>
              </w:rPr>
              <w:t>0.98</w:t>
            </w:r>
          </w:p>
        </w:tc>
        <w:tc>
          <w:tcPr>
            <w:tcW w:w="631" w:type="pct"/>
            <w:noWrap w:val="0"/>
            <w:vAlign w:val="center"/>
          </w:tcPr>
          <w:p w14:paraId="35184E08">
            <w:pPr>
              <w:widowControl w:val="0"/>
              <w:spacing w:line="300" w:lineRule="exact"/>
              <w:jc w:val="center"/>
              <w:rPr>
                <w:rFonts w:eastAsia="仿宋_GB2312"/>
                <w:b/>
                <w:szCs w:val="21"/>
              </w:rPr>
            </w:pPr>
            <w:r>
              <w:rPr>
                <w:rFonts w:eastAsia="仿宋_GB2312"/>
                <w:b/>
                <w:szCs w:val="21"/>
              </w:rPr>
              <w:t>1.0</w:t>
            </w:r>
          </w:p>
        </w:tc>
        <w:tc>
          <w:tcPr>
            <w:tcW w:w="635" w:type="pct"/>
            <w:noWrap w:val="0"/>
            <w:vAlign w:val="center"/>
          </w:tcPr>
          <w:p w14:paraId="6A1F7B8E">
            <w:pPr>
              <w:widowControl w:val="0"/>
              <w:spacing w:line="300" w:lineRule="exact"/>
              <w:jc w:val="center"/>
              <w:rPr>
                <w:rFonts w:eastAsia="仿宋_GB2312"/>
                <w:szCs w:val="21"/>
              </w:rPr>
            </w:pPr>
            <w:r>
              <w:rPr>
                <w:rFonts w:eastAsia="仿宋_GB2312"/>
                <w:szCs w:val="21"/>
              </w:rPr>
              <w:t>1.03</w:t>
            </w:r>
          </w:p>
        </w:tc>
        <w:tc>
          <w:tcPr>
            <w:tcW w:w="631" w:type="pct"/>
            <w:noWrap w:val="0"/>
            <w:vAlign w:val="center"/>
          </w:tcPr>
          <w:p w14:paraId="5AD3769B">
            <w:pPr>
              <w:widowControl w:val="0"/>
              <w:spacing w:line="300" w:lineRule="exact"/>
              <w:jc w:val="center"/>
              <w:rPr>
                <w:rFonts w:eastAsia="仿宋_GB2312"/>
                <w:szCs w:val="21"/>
              </w:rPr>
            </w:pPr>
            <w:r>
              <w:rPr>
                <w:rFonts w:eastAsia="仿宋_GB2312"/>
                <w:szCs w:val="21"/>
              </w:rPr>
              <w:t>0.96</w:t>
            </w:r>
          </w:p>
        </w:tc>
        <w:tc>
          <w:tcPr>
            <w:tcW w:w="631" w:type="pct"/>
            <w:noWrap w:val="0"/>
            <w:vAlign w:val="center"/>
          </w:tcPr>
          <w:p w14:paraId="03D3A5C8">
            <w:pPr>
              <w:widowControl w:val="0"/>
              <w:spacing w:line="300" w:lineRule="exact"/>
              <w:jc w:val="center"/>
              <w:rPr>
                <w:rFonts w:eastAsia="仿宋_GB2312"/>
                <w:szCs w:val="21"/>
              </w:rPr>
            </w:pPr>
            <w:r>
              <w:rPr>
                <w:rFonts w:eastAsia="仿宋_GB2312"/>
                <w:szCs w:val="21"/>
              </w:rPr>
              <w:t>0.98</w:t>
            </w:r>
          </w:p>
        </w:tc>
        <w:tc>
          <w:tcPr>
            <w:tcW w:w="593" w:type="pct"/>
            <w:noWrap w:val="0"/>
            <w:vAlign w:val="center"/>
          </w:tcPr>
          <w:p w14:paraId="41261586">
            <w:pPr>
              <w:widowControl w:val="0"/>
              <w:spacing w:line="300" w:lineRule="exact"/>
              <w:jc w:val="center"/>
              <w:rPr>
                <w:rFonts w:eastAsia="仿宋_GB2312"/>
                <w:b/>
                <w:szCs w:val="21"/>
              </w:rPr>
            </w:pPr>
            <w:r>
              <w:rPr>
                <w:rFonts w:eastAsia="仿宋_GB2312"/>
                <w:b/>
                <w:szCs w:val="21"/>
              </w:rPr>
              <w:t>1.0</w:t>
            </w:r>
          </w:p>
        </w:tc>
      </w:tr>
      <w:tr w14:paraId="690C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29" w:type="pct"/>
            <w:noWrap w:val="0"/>
            <w:vAlign w:val="center"/>
          </w:tcPr>
          <w:p w14:paraId="2F2AD133">
            <w:pPr>
              <w:widowControl w:val="0"/>
              <w:spacing w:line="300" w:lineRule="exact"/>
              <w:jc w:val="center"/>
              <w:rPr>
                <w:rFonts w:eastAsia="仿宋_GB2312"/>
                <w:b/>
                <w:szCs w:val="21"/>
              </w:rPr>
            </w:pPr>
            <w:r>
              <w:rPr>
                <w:rFonts w:eastAsia="仿宋_GB2312"/>
                <w:b/>
                <w:szCs w:val="21"/>
              </w:rPr>
              <w:t>1.3</w:t>
            </w:r>
          </w:p>
        </w:tc>
        <w:tc>
          <w:tcPr>
            <w:tcW w:w="649" w:type="pct"/>
            <w:noWrap w:val="0"/>
            <w:vAlign w:val="center"/>
          </w:tcPr>
          <w:p w14:paraId="43CB6BA2">
            <w:pPr>
              <w:widowControl w:val="0"/>
              <w:spacing w:line="300" w:lineRule="exact"/>
              <w:jc w:val="center"/>
              <w:rPr>
                <w:rFonts w:eastAsia="仿宋_GB2312"/>
                <w:b/>
                <w:szCs w:val="21"/>
              </w:rPr>
            </w:pPr>
            <w:r>
              <w:rPr>
                <w:rFonts w:eastAsia="仿宋_GB2312"/>
                <w:b/>
                <w:szCs w:val="21"/>
              </w:rPr>
              <w:t>1.0</w:t>
            </w:r>
          </w:p>
        </w:tc>
        <w:tc>
          <w:tcPr>
            <w:tcW w:w="631" w:type="pct"/>
            <w:noWrap w:val="0"/>
            <w:vAlign w:val="center"/>
          </w:tcPr>
          <w:p w14:paraId="0C4F7241">
            <w:pPr>
              <w:widowControl w:val="0"/>
              <w:spacing w:line="300" w:lineRule="exact"/>
              <w:jc w:val="center"/>
              <w:rPr>
                <w:rFonts w:eastAsia="仿宋_GB2312"/>
                <w:szCs w:val="21"/>
              </w:rPr>
            </w:pPr>
            <w:r>
              <w:rPr>
                <w:rFonts w:eastAsia="仿宋_GB2312"/>
                <w:szCs w:val="21"/>
              </w:rPr>
              <w:t>1.03</w:t>
            </w:r>
          </w:p>
        </w:tc>
        <w:tc>
          <w:tcPr>
            <w:tcW w:w="635" w:type="pct"/>
            <w:noWrap w:val="0"/>
            <w:vAlign w:val="center"/>
          </w:tcPr>
          <w:p w14:paraId="4CA3041E">
            <w:pPr>
              <w:widowControl w:val="0"/>
              <w:spacing w:line="300" w:lineRule="exact"/>
              <w:jc w:val="center"/>
              <w:rPr>
                <w:rFonts w:eastAsia="仿宋_GB2312"/>
                <w:szCs w:val="21"/>
              </w:rPr>
            </w:pPr>
            <w:r>
              <w:rPr>
                <w:rFonts w:eastAsia="仿宋_GB2312"/>
                <w:szCs w:val="21"/>
              </w:rPr>
              <w:t>1.06</w:t>
            </w:r>
          </w:p>
        </w:tc>
        <w:tc>
          <w:tcPr>
            <w:tcW w:w="631" w:type="pct"/>
            <w:noWrap w:val="0"/>
            <w:vAlign w:val="center"/>
          </w:tcPr>
          <w:p w14:paraId="7E445B0B">
            <w:pPr>
              <w:widowControl w:val="0"/>
              <w:spacing w:line="300" w:lineRule="exact"/>
              <w:jc w:val="center"/>
              <w:rPr>
                <w:rFonts w:eastAsia="仿宋_GB2312"/>
                <w:szCs w:val="21"/>
              </w:rPr>
            </w:pPr>
            <w:r>
              <w:rPr>
                <w:rFonts w:eastAsia="仿宋_GB2312"/>
                <w:szCs w:val="21"/>
              </w:rPr>
              <w:t>0.98</w:t>
            </w:r>
          </w:p>
        </w:tc>
        <w:tc>
          <w:tcPr>
            <w:tcW w:w="631" w:type="pct"/>
            <w:noWrap w:val="0"/>
            <w:vAlign w:val="center"/>
          </w:tcPr>
          <w:p w14:paraId="1231F3C7">
            <w:pPr>
              <w:widowControl w:val="0"/>
              <w:spacing w:line="300" w:lineRule="exact"/>
              <w:jc w:val="center"/>
              <w:rPr>
                <w:rFonts w:eastAsia="仿宋_GB2312"/>
                <w:b/>
                <w:szCs w:val="21"/>
              </w:rPr>
            </w:pPr>
            <w:r>
              <w:rPr>
                <w:rFonts w:eastAsia="仿宋_GB2312"/>
                <w:b/>
                <w:szCs w:val="21"/>
              </w:rPr>
              <w:t>1.0</w:t>
            </w:r>
          </w:p>
        </w:tc>
        <w:tc>
          <w:tcPr>
            <w:tcW w:w="593" w:type="pct"/>
            <w:noWrap w:val="0"/>
            <w:vAlign w:val="center"/>
          </w:tcPr>
          <w:p w14:paraId="5B338182">
            <w:pPr>
              <w:widowControl w:val="0"/>
              <w:spacing w:line="300" w:lineRule="exact"/>
              <w:jc w:val="center"/>
              <w:rPr>
                <w:rFonts w:eastAsia="仿宋_GB2312"/>
                <w:szCs w:val="21"/>
              </w:rPr>
            </w:pPr>
            <w:r>
              <w:rPr>
                <w:rFonts w:eastAsia="仿宋_GB2312"/>
                <w:szCs w:val="21"/>
              </w:rPr>
              <w:t>1.03</w:t>
            </w:r>
          </w:p>
        </w:tc>
      </w:tr>
      <w:tr w14:paraId="21A2B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29" w:type="pct"/>
            <w:noWrap w:val="0"/>
            <w:vAlign w:val="center"/>
          </w:tcPr>
          <w:p w14:paraId="082E1B77">
            <w:pPr>
              <w:widowControl w:val="0"/>
              <w:spacing w:line="300" w:lineRule="exact"/>
              <w:jc w:val="center"/>
              <w:rPr>
                <w:rFonts w:eastAsia="仿宋_GB2312"/>
                <w:b/>
                <w:szCs w:val="21"/>
              </w:rPr>
            </w:pPr>
            <w:r>
              <w:rPr>
                <w:rFonts w:eastAsia="仿宋_GB2312"/>
                <w:b/>
                <w:szCs w:val="21"/>
              </w:rPr>
              <w:t>1.4</w:t>
            </w:r>
          </w:p>
        </w:tc>
        <w:tc>
          <w:tcPr>
            <w:tcW w:w="649" w:type="pct"/>
            <w:noWrap w:val="0"/>
            <w:vAlign w:val="center"/>
          </w:tcPr>
          <w:p w14:paraId="287B2AE0">
            <w:pPr>
              <w:widowControl w:val="0"/>
              <w:spacing w:line="300" w:lineRule="exact"/>
              <w:jc w:val="center"/>
              <w:rPr>
                <w:rFonts w:eastAsia="仿宋_GB2312"/>
                <w:szCs w:val="21"/>
              </w:rPr>
            </w:pPr>
            <w:r>
              <w:rPr>
                <w:rFonts w:eastAsia="仿宋_GB2312"/>
                <w:szCs w:val="21"/>
              </w:rPr>
              <w:t>1.03</w:t>
            </w:r>
          </w:p>
        </w:tc>
        <w:tc>
          <w:tcPr>
            <w:tcW w:w="631" w:type="pct"/>
            <w:noWrap w:val="0"/>
            <w:vAlign w:val="center"/>
          </w:tcPr>
          <w:p w14:paraId="53257A37">
            <w:pPr>
              <w:widowControl w:val="0"/>
              <w:spacing w:line="300" w:lineRule="exact"/>
              <w:jc w:val="center"/>
              <w:rPr>
                <w:rFonts w:eastAsia="仿宋_GB2312"/>
                <w:szCs w:val="21"/>
              </w:rPr>
            </w:pPr>
            <w:r>
              <w:rPr>
                <w:rFonts w:eastAsia="仿宋_GB2312"/>
                <w:szCs w:val="21"/>
              </w:rPr>
              <w:t>1.06</w:t>
            </w:r>
          </w:p>
        </w:tc>
        <w:tc>
          <w:tcPr>
            <w:tcW w:w="635" w:type="pct"/>
            <w:noWrap w:val="0"/>
            <w:vAlign w:val="center"/>
          </w:tcPr>
          <w:p w14:paraId="4AEA4A44">
            <w:pPr>
              <w:widowControl w:val="0"/>
              <w:spacing w:line="300" w:lineRule="exact"/>
              <w:jc w:val="center"/>
              <w:rPr>
                <w:rFonts w:eastAsia="仿宋_GB2312"/>
                <w:szCs w:val="21"/>
              </w:rPr>
            </w:pPr>
            <w:r>
              <w:rPr>
                <w:rFonts w:eastAsia="仿宋_GB2312"/>
                <w:szCs w:val="21"/>
              </w:rPr>
              <w:t>1.09</w:t>
            </w:r>
          </w:p>
        </w:tc>
        <w:tc>
          <w:tcPr>
            <w:tcW w:w="631" w:type="pct"/>
            <w:noWrap w:val="0"/>
            <w:vAlign w:val="center"/>
          </w:tcPr>
          <w:p w14:paraId="42ABB684">
            <w:pPr>
              <w:widowControl w:val="0"/>
              <w:spacing w:line="300" w:lineRule="exact"/>
              <w:jc w:val="center"/>
              <w:rPr>
                <w:rFonts w:eastAsia="仿宋_GB2312"/>
                <w:szCs w:val="21"/>
              </w:rPr>
            </w:pPr>
            <w:r>
              <w:rPr>
                <w:rFonts w:eastAsia="仿宋_GB2312"/>
                <w:b/>
                <w:bCs/>
                <w:szCs w:val="21"/>
              </w:rPr>
              <w:t>1.0</w:t>
            </w:r>
          </w:p>
        </w:tc>
        <w:tc>
          <w:tcPr>
            <w:tcW w:w="631" w:type="pct"/>
            <w:noWrap w:val="0"/>
            <w:vAlign w:val="center"/>
          </w:tcPr>
          <w:p w14:paraId="730E05EF">
            <w:pPr>
              <w:widowControl w:val="0"/>
              <w:spacing w:line="300" w:lineRule="exact"/>
              <w:jc w:val="center"/>
              <w:rPr>
                <w:rFonts w:eastAsia="仿宋_GB2312"/>
                <w:szCs w:val="21"/>
              </w:rPr>
            </w:pPr>
            <w:r>
              <w:rPr>
                <w:rFonts w:eastAsia="仿宋_GB2312"/>
                <w:szCs w:val="21"/>
              </w:rPr>
              <w:t>1.03</w:t>
            </w:r>
          </w:p>
        </w:tc>
        <w:tc>
          <w:tcPr>
            <w:tcW w:w="593" w:type="pct"/>
            <w:noWrap w:val="0"/>
            <w:vAlign w:val="center"/>
          </w:tcPr>
          <w:p w14:paraId="6CCE64D9">
            <w:pPr>
              <w:widowControl w:val="0"/>
              <w:spacing w:line="300" w:lineRule="exact"/>
              <w:jc w:val="center"/>
              <w:rPr>
                <w:rFonts w:eastAsia="仿宋_GB2312"/>
                <w:szCs w:val="21"/>
              </w:rPr>
            </w:pPr>
            <w:r>
              <w:rPr>
                <w:rFonts w:eastAsia="仿宋_GB2312"/>
                <w:szCs w:val="21"/>
              </w:rPr>
              <w:t>1.06</w:t>
            </w:r>
          </w:p>
        </w:tc>
      </w:tr>
      <w:tr w14:paraId="5C12C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29" w:type="pct"/>
            <w:noWrap w:val="0"/>
            <w:vAlign w:val="center"/>
          </w:tcPr>
          <w:p w14:paraId="04DD3C69">
            <w:pPr>
              <w:widowControl w:val="0"/>
              <w:spacing w:line="300" w:lineRule="exact"/>
              <w:jc w:val="center"/>
              <w:rPr>
                <w:rFonts w:eastAsia="仿宋_GB2312"/>
                <w:b/>
                <w:szCs w:val="21"/>
              </w:rPr>
            </w:pPr>
            <w:r>
              <w:rPr>
                <w:rFonts w:eastAsia="仿宋_GB2312"/>
                <w:b/>
                <w:szCs w:val="21"/>
              </w:rPr>
              <w:t>1.5</w:t>
            </w:r>
          </w:p>
        </w:tc>
        <w:tc>
          <w:tcPr>
            <w:tcW w:w="649" w:type="pct"/>
            <w:noWrap w:val="0"/>
            <w:vAlign w:val="center"/>
          </w:tcPr>
          <w:p w14:paraId="4ED5A0BD">
            <w:pPr>
              <w:widowControl w:val="0"/>
              <w:spacing w:line="300" w:lineRule="exact"/>
              <w:jc w:val="center"/>
              <w:rPr>
                <w:rFonts w:eastAsia="仿宋_GB2312"/>
                <w:szCs w:val="21"/>
              </w:rPr>
            </w:pPr>
            <w:r>
              <w:rPr>
                <w:rFonts w:eastAsia="仿宋_GB2312"/>
                <w:szCs w:val="21"/>
              </w:rPr>
              <w:t>1.06</w:t>
            </w:r>
          </w:p>
        </w:tc>
        <w:tc>
          <w:tcPr>
            <w:tcW w:w="631" w:type="pct"/>
            <w:noWrap w:val="0"/>
            <w:vAlign w:val="center"/>
          </w:tcPr>
          <w:p w14:paraId="70CA8E92">
            <w:pPr>
              <w:widowControl w:val="0"/>
              <w:spacing w:line="300" w:lineRule="exact"/>
              <w:jc w:val="center"/>
              <w:rPr>
                <w:rFonts w:eastAsia="仿宋_GB2312"/>
                <w:szCs w:val="21"/>
              </w:rPr>
            </w:pPr>
            <w:r>
              <w:rPr>
                <w:rFonts w:eastAsia="仿宋_GB2312"/>
                <w:szCs w:val="21"/>
              </w:rPr>
              <w:t>1.09</w:t>
            </w:r>
          </w:p>
        </w:tc>
        <w:tc>
          <w:tcPr>
            <w:tcW w:w="635" w:type="pct"/>
            <w:noWrap w:val="0"/>
            <w:vAlign w:val="center"/>
          </w:tcPr>
          <w:p w14:paraId="184185EB">
            <w:pPr>
              <w:widowControl w:val="0"/>
              <w:spacing w:line="300" w:lineRule="exact"/>
              <w:jc w:val="center"/>
              <w:rPr>
                <w:rFonts w:eastAsia="仿宋_GB2312"/>
                <w:szCs w:val="21"/>
              </w:rPr>
            </w:pPr>
            <w:r>
              <w:rPr>
                <w:rFonts w:eastAsia="仿宋_GB2312"/>
                <w:szCs w:val="21"/>
              </w:rPr>
              <w:t>1.12</w:t>
            </w:r>
          </w:p>
        </w:tc>
        <w:tc>
          <w:tcPr>
            <w:tcW w:w="631" w:type="pct"/>
            <w:noWrap w:val="0"/>
            <w:vAlign w:val="center"/>
          </w:tcPr>
          <w:p w14:paraId="1F364C5F">
            <w:pPr>
              <w:widowControl w:val="0"/>
              <w:spacing w:line="300" w:lineRule="exact"/>
              <w:jc w:val="center"/>
              <w:rPr>
                <w:rFonts w:eastAsia="仿宋_GB2312"/>
                <w:szCs w:val="21"/>
              </w:rPr>
            </w:pPr>
            <w:r>
              <w:rPr>
                <w:rFonts w:eastAsia="仿宋_GB2312"/>
                <w:szCs w:val="21"/>
              </w:rPr>
              <w:t>1.03</w:t>
            </w:r>
          </w:p>
        </w:tc>
        <w:tc>
          <w:tcPr>
            <w:tcW w:w="631" w:type="pct"/>
            <w:noWrap w:val="0"/>
            <w:vAlign w:val="center"/>
          </w:tcPr>
          <w:p w14:paraId="23B91C06">
            <w:pPr>
              <w:widowControl w:val="0"/>
              <w:spacing w:line="300" w:lineRule="exact"/>
              <w:jc w:val="center"/>
              <w:rPr>
                <w:rFonts w:eastAsia="仿宋_GB2312"/>
                <w:szCs w:val="21"/>
              </w:rPr>
            </w:pPr>
            <w:r>
              <w:rPr>
                <w:rFonts w:eastAsia="仿宋_GB2312"/>
                <w:szCs w:val="21"/>
              </w:rPr>
              <w:t>1.06</w:t>
            </w:r>
          </w:p>
        </w:tc>
        <w:tc>
          <w:tcPr>
            <w:tcW w:w="593" w:type="pct"/>
            <w:noWrap w:val="0"/>
            <w:vAlign w:val="center"/>
          </w:tcPr>
          <w:p w14:paraId="7FE50237">
            <w:pPr>
              <w:widowControl w:val="0"/>
              <w:spacing w:line="300" w:lineRule="exact"/>
              <w:jc w:val="center"/>
              <w:rPr>
                <w:rFonts w:eastAsia="仿宋_GB2312"/>
                <w:szCs w:val="21"/>
              </w:rPr>
            </w:pPr>
            <w:r>
              <w:rPr>
                <w:rFonts w:eastAsia="仿宋_GB2312"/>
                <w:szCs w:val="21"/>
              </w:rPr>
              <w:t>1.09</w:t>
            </w:r>
          </w:p>
        </w:tc>
      </w:tr>
      <w:tr w14:paraId="21E17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29" w:type="pct"/>
            <w:noWrap w:val="0"/>
            <w:vAlign w:val="center"/>
          </w:tcPr>
          <w:p w14:paraId="588B0352">
            <w:pPr>
              <w:widowControl w:val="0"/>
              <w:spacing w:line="300" w:lineRule="exact"/>
              <w:jc w:val="center"/>
              <w:rPr>
                <w:rFonts w:eastAsia="仿宋_GB2312"/>
                <w:b/>
                <w:szCs w:val="21"/>
              </w:rPr>
            </w:pPr>
            <w:r>
              <w:rPr>
                <w:rFonts w:eastAsia="仿宋_GB2312"/>
                <w:b/>
                <w:szCs w:val="21"/>
              </w:rPr>
              <w:t>1.6</w:t>
            </w:r>
          </w:p>
        </w:tc>
        <w:tc>
          <w:tcPr>
            <w:tcW w:w="649" w:type="pct"/>
            <w:noWrap w:val="0"/>
            <w:vAlign w:val="center"/>
          </w:tcPr>
          <w:p w14:paraId="6BFD3A7D">
            <w:pPr>
              <w:widowControl w:val="0"/>
              <w:spacing w:line="300" w:lineRule="exact"/>
              <w:jc w:val="center"/>
              <w:rPr>
                <w:rFonts w:eastAsia="仿宋_GB2312"/>
                <w:szCs w:val="21"/>
              </w:rPr>
            </w:pPr>
            <w:r>
              <w:rPr>
                <w:rFonts w:eastAsia="仿宋_GB2312"/>
                <w:szCs w:val="21"/>
              </w:rPr>
              <w:t>1.09</w:t>
            </w:r>
          </w:p>
        </w:tc>
        <w:tc>
          <w:tcPr>
            <w:tcW w:w="631" w:type="pct"/>
            <w:noWrap w:val="0"/>
            <w:vAlign w:val="center"/>
          </w:tcPr>
          <w:p w14:paraId="3D0D95B0">
            <w:pPr>
              <w:widowControl w:val="0"/>
              <w:spacing w:line="300" w:lineRule="exact"/>
              <w:jc w:val="center"/>
              <w:rPr>
                <w:rFonts w:eastAsia="仿宋_GB2312"/>
                <w:szCs w:val="21"/>
              </w:rPr>
            </w:pPr>
            <w:r>
              <w:rPr>
                <w:rFonts w:eastAsia="仿宋_GB2312"/>
                <w:szCs w:val="21"/>
              </w:rPr>
              <w:t>1.12</w:t>
            </w:r>
          </w:p>
        </w:tc>
        <w:tc>
          <w:tcPr>
            <w:tcW w:w="635" w:type="pct"/>
            <w:noWrap w:val="0"/>
            <w:vAlign w:val="center"/>
          </w:tcPr>
          <w:p w14:paraId="4DD22BA6">
            <w:pPr>
              <w:widowControl w:val="0"/>
              <w:spacing w:line="300" w:lineRule="exact"/>
              <w:jc w:val="center"/>
              <w:rPr>
                <w:rFonts w:eastAsia="仿宋_GB2312"/>
                <w:szCs w:val="21"/>
              </w:rPr>
            </w:pPr>
            <w:r>
              <w:rPr>
                <w:rFonts w:eastAsia="仿宋_GB2312"/>
                <w:szCs w:val="21"/>
              </w:rPr>
              <w:t>1.15</w:t>
            </w:r>
          </w:p>
        </w:tc>
        <w:tc>
          <w:tcPr>
            <w:tcW w:w="631" w:type="pct"/>
            <w:noWrap w:val="0"/>
            <w:vAlign w:val="center"/>
          </w:tcPr>
          <w:p w14:paraId="044D4550">
            <w:pPr>
              <w:widowControl w:val="0"/>
              <w:spacing w:line="300" w:lineRule="exact"/>
              <w:jc w:val="center"/>
              <w:rPr>
                <w:rFonts w:eastAsia="仿宋_GB2312"/>
                <w:szCs w:val="21"/>
              </w:rPr>
            </w:pPr>
            <w:r>
              <w:rPr>
                <w:rFonts w:eastAsia="仿宋_GB2312"/>
                <w:szCs w:val="21"/>
              </w:rPr>
              <w:t>1.06</w:t>
            </w:r>
          </w:p>
        </w:tc>
        <w:tc>
          <w:tcPr>
            <w:tcW w:w="631" w:type="pct"/>
            <w:noWrap w:val="0"/>
            <w:vAlign w:val="center"/>
          </w:tcPr>
          <w:p w14:paraId="2E262F08">
            <w:pPr>
              <w:widowControl w:val="0"/>
              <w:spacing w:line="300" w:lineRule="exact"/>
              <w:jc w:val="center"/>
              <w:rPr>
                <w:rFonts w:eastAsia="仿宋_GB2312"/>
                <w:szCs w:val="21"/>
              </w:rPr>
            </w:pPr>
            <w:r>
              <w:rPr>
                <w:rFonts w:eastAsia="仿宋_GB2312"/>
                <w:szCs w:val="21"/>
              </w:rPr>
              <w:t>1.09</w:t>
            </w:r>
          </w:p>
        </w:tc>
        <w:tc>
          <w:tcPr>
            <w:tcW w:w="593" w:type="pct"/>
            <w:noWrap w:val="0"/>
            <w:vAlign w:val="center"/>
          </w:tcPr>
          <w:p w14:paraId="3512A31A">
            <w:pPr>
              <w:widowControl w:val="0"/>
              <w:spacing w:line="300" w:lineRule="exact"/>
              <w:jc w:val="center"/>
              <w:rPr>
                <w:rFonts w:eastAsia="仿宋_GB2312"/>
                <w:szCs w:val="21"/>
              </w:rPr>
            </w:pPr>
            <w:r>
              <w:rPr>
                <w:rFonts w:eastAsia="仿宋_GB2312"/>
                <w:szCs w:val="21"/>
              </w:rPr>
              <w:t>1.12</w:t>
            </w:r>
          </w:p>
        </w:tc>
      </w:tr>
      <w:tr w14:paraId="72E09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29" w:type="pct"/>
            <w:noWrap w:val="0"/>
            <w:vAlign w:val="center"/>
          </w:tcPr>
          <w:p w14:paraId="5FF77A71">
            <w:pPr>
              <w:widowControl w:val="0"/>
              <w:spacing w:line="300" w:lineRule="exact"/>
              <w:jc w:val="center"/>
              <w:rPr>
                <w:rFonts w:eastAsia="仿宋_GB2312"/>
                <w:b/>
                <w:szCs w:val="21"/>
              </w:rPr>
            </w:pPr>
            <w:r>
              <w:rPr>
                <w:rFonts w:eastAsia="仿宋_GB2312"/>
                <w:b/>
                <w:szCs w:val="21"/>
              </w:rPr>
              <w:t>1.7</w:t>
            </w:r>
          </w:p>
        </w:tc>
        <w:tc>
          <w:tcPr>
            <w:tcW w:w="649" w:type="pct"/>
            <w:noWrap w:val="0"/>
            <w:vAlign w:val="center"/>
          </w:tcPr>
          <w:p w14:paraId="4D0CA22C">
            <w:pPr>
              <w:widowControl w:val="0"/>
              <w:spacing w:line="300" w:lineRule="exact"/>
              <w:jc w:val="center"/>
              <w:rPr>
                <w:rFonts w:eastAsia="仿宋_GB2312"/>
                <w:szCs w:val="21"/>
              </w:rPr>
            </w:pPr>
            <w:r>
              <w:rPr>
                <w:rFonts w:eastAsia="仿宋_GB2312"/>
                <w:szCs w:val="21"/>
              </w:rPr>
              <w:t>1.12</w:t>
            </w:r>
          </w:p>
        </w:tc>
        <w:tc>
          <w:tcPr>
            <w:tcW w:w="631" w:type="pct"/>
            <w:noWrap w:val="0"/>
            <w:vAlign w:val="center"/>
          </w:tcPr>
          <w:p w14:paraId="19E6C4AE">
            <w:pPr>
              <w:widowControl w:val="0"/>
              <w:spacing w:line="300" w:lineRule="exact"/>
              <w:jc w:val="center"/>
              <w:rPr>
                <w:rFonts w:eastAsia="仿宋_GB2312"/>
                <w:szCs w:val="21"/>
              </w:rPr>
            </w:pPr>
            <w:r>
              <w:rPr>
                <w:rFonts w:eastAsia="仿宋_GB2312"/>
                <w:szCs w:val="21"/>
              </w:rPr>
              <w:t>1.15</w:t>
            </w:r>
          </w:p>
        </w:tc>
        <w:tc>
          <w:tcPr>
            <w:tcW w:w="635" w:type="pct"/>
            <w:noWrap w:val="0"/>
            <w:vAlign w:val="center"/>
          </w:tcPr>
          <w:p w14:paraId="1D629C31">
            <w:pPr>
              <w:widowControl w:val="0"/>
              <w:spacing w:line="300" w:lineRule="exact"/>
              <w:jc w:val="center"/>
              <w:rPr>
                <w:rFonts w:eastAsia="仿宋_GB2312"/>
                <w:szCs w:val="21"/>
              </w:rPr>
            </w:pPr>
            <w:r>
              <w:rPr>
                <w:rFonts w:eastAsia="仿宋_GB2312"/>
                <w:szCs w:val="21"/>
              </w:rPr>
              <w:t>1.18</w:t>
            </w:r>
          </w:p>
        </w:tc>
        <w:tc>
          <w:tcPr>
            <w:tcW w:w="631" w:type="pct"/>
            <w:noWrap w:val="0"/>
            <w:vAlign w:val="center"/>
          </w:tcPr>
          <w:p w14:paraId="148516D9">
            <w:pPr>
              <w:widowControl w:val="0"/>
              <w:spacing w:line="300" w:lineRule="exact"/>
              <w:jc w:val="center"/>
              <w:rPr>
                <w:rFonts w:eastAsia="仿宋_GB2312"/>
                <w:szCs w:val="21"/>
              </w:rPr>
            </w:pPr>
            <w:r>
              <w:rPr>
                <w:rFonts w:eastAsia="仿宋_GB2312"/>
                <w:szCs w:val="21"/>
              </w:rPr>
              <w:t>1.09</w:t>
            </w:r>
          </w:p>
        </w:tc>
        <w:tc>
          <w:tcPr>
            <w:tcW w:w="631" w:type="pct"/>
            <w:noWrap w:val="0"/>
            <w:vAlign w:val="center"/>
          </w:tcPr>
          <w:p w14:paraId="4A80834F">
            <w:pPr>
              <w:widowControl w:val="0"/>
              <w:spacing w:line="300" w:lineRule="exact"/>
              <w:jc w:val="center"/>
              <w:rPr>
                <w:rFonts w:eastAsia="仿宋_GB2312"/>
                <w:szCs w:val="21"/>
              </w:rPr>
            </w:pPr>
            <w:r>
              <w:rPr>
                <w:rFonts w:eastAsia="仿宋_GB2312"/>
                <w:szCs w:val="21"/>
              </w:rPr>
              <w:t>1.12</w:t>
            </w:r>
          </w:p>
        </w:tc>
        <w:tc>
          <w:tcPr>
            <w:tcW w:w="593" w:type="pct"/>
            <w:noWrap w:val="0"/>
            <w:vAlign w:val="center"/>
          </w:tcPr>
          <w:p w14:paraId="3154C371">
            <w:pPr>
              <w:widowControl w:val="0"/>
              <w:spacing w:line="300" w:lineRule="exact"/>
              <w:jc w:val="center"/>
              <w:rPr>
                <w:rFonts w:eastAsia="仿宋_GB2312"/>
                <w:szCs w:val="21"/>
              </w:rPr>
            </w:pPr>
            <w:r>
              <w:rPr>
                <w:rFonts w:eastAsia="仿宋_GB2312"/>
                <w:szCs w:val="21"/>
              </w:rPr>
              <w:t>1.15</w:t>
            </w:r>
          </w:p>
        </w:tc>
      </w:tr>
      <w:tr w14:paraId="0ED18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29" w:type="pct"/>
            <w:noWrap w:val="0"/>
            <w:vAlign w:val="center"/>
          </w:tcPr>
          <w:p w14:paraId="171424C1">
            <w:pPr>
              <w:widowControl w:val="0"/>
              <w:spacing w:line="300" w:lineRule="exact"/>
              <w:jc w:val="center"/>
              <w:rPr>
                <w:rFonts w:eastAsia="仿宋_GB2312"/>
                <w:b/>
                <w:szCs w:val="21"/>
              </w:rPr>
            </w:pPr>
            <w:r>
              <w:rPr>
                <w:rFonts w:eastAsia="仿宋_GB2312"/>
                <w:b/>
                <w:szCs w:val="21"/>
              </w:rPr>
              <w:t>1.8</w:t>
            </w:r>
          </w:p>
        </w:tc>
        <w:tc>
          <w:tcPr>
            <w:tcW w:w="649" w:type="pct"/>
            <w:noWrap w:val="0"/>
            <w:vAlign w:val="center"/>
          </w:tcPr>
          <w:p w14:paraId="55606826">
            <w:pPr>
              <w:widowControl w:val="0"/>
              <w:spacing w:line="300" w:lineRule="exact"/>
              <w:jc w:val="center"/>
              <w:rPr>
                <w:rFonts w:eastAsia="仿宋_GB2312"/>
                <w:szCs w:val="21"/>
              </w:rPr>
            </w:pPr>
            <w:r>
              <w:rPr>
                <w:rFonts w:eastAsia="仿宋_GB2312"/>
                <w:szCs w:val="21"/>
              </w:rPr>
              <w:t>1.15</w:t>
            </w:r>
          </w:p>
        </w:tc>
        <w:tc>
          <w:tcPr>
            <w:tcW w:w="631" w:type="pct"/>
            <w:noWrap w:val="0"/>
            <w:vAlign w:val="center"/>
          </w:tcPr>
          <w:p w14:paraId="4555E7E8">
            <w:pPr>
              <w:widowControl w:val="0"/>
              <w:spacing w:line="300" w:lineRule="exact"/>
              <w:jc w:val="center"/>
              <w:rPr>
                <w:rFonts w:eastAsia="仿宋_GB2312"/>
                <w:szCs w:val="21"/>
              </w:rPr>
            </w:pPr>
            <w:r>
              <w:rPr>
                <w:rFonts w:eastAsia="仿宋_GB2312"/>
                <w:szCs w:val="21"/>
              </w:rPr>
              <w:t>1.18</w:t>
            </w:r>
          </w:p>
        </w:tc>
        <w:tc>
          <w:tcPr>
            <w:tcW w:w="635" w:type="pct"/>
            <w:noWrap w:val="0"/>
            <w:vAlign w:val="center"/>
          </w:tcPr>
          <w:p w14:paraId="6E3A3452">
            <w:pPr>
              <w:widowControl w:val="0"/>
              <w:spacing w:line="300" w:lineRule="exact"/>
              <w:jc w:val="center"/>
              <w:rPr>
                <w:rFonts w:eastAsia="仿宋_GB2312"/>
                <w:szCs w:val="21"/>
              </w:rPr>
            </w:pPr>
            <w:r>
              <w:rPr>
                <w:rFonts w:eastAsia="仿宋_GB2312"/>
                <w:szCs w:val="21"/>
              </w:rPr>
              <w:t>1.21</w:t>
            </w:r>
          </w:p>
        </w:tc>
        <w:tc>
          <w:tcPr>
            <w:tcW w:w="631" w:type="pct"/>
            <w:noWrap w:val="0"/>
            <w:vAlign w:val="center"/>
          </w:tcPr>
          <w:p w14:paraId="67307635">
            <w:pPr>
              <w:widowControl w:val="0"/>
              <w:spacing w:line="300" w:lineRule="exact"/>
              <w:jc w:val="center"/>
              <w:rPr>
                <w:rFonts w:eastAsia="仿宋_GB2312"/>
                <w:szCs w:val="21"/>
              </w:rPr>
            </w:pPr>
            <w:r>
              <w:rPr>
                <w:rFonts w:eastAsia="仿宋_GB2312"/>
                <w:szCs w:val="21"/>
              </w:rPr>
              <w:t>1.12</w:t>
            </w:r>
          </w:p>
        </w:tc>
        <w:tc>
          <w:tcPr>
            <w:tcW w:w="631" w:type="pct"/>
            <w:noWrap w:val="0"/>
            <w:vAlign w:val="center"/>
          </w:tcPr>
          <w:p w14:paraId="71D86270">
            <w:pPr>
              <w:widowControl w:val="0"/>
              <w:spacing w:line="300" w:lineRule="exact"/>
              <w:jc w:val="center"/>
              <w:rPr>
                <w:rFonts w:eastAsia="仿宋_GB2312"/>
                <w:szCs w:val="21"/>
              </w:rPr>
            </w:pPr>
            <w:r>
              <w:rPr>
                <w:rFonts w:eastAsia="仿宋_GB2312"/>
                <w:szCs w:val="21"/>
              </w:rPr>
              <w:t>1.15</w:t>
            </w:r>
          </w:p>
        </w:tc>
        <w:tc>
          <w:tcPr>
            <w:tcW w:w="593" w:type="pct"/>
            <w:noWrap w:val="0"/>
            <w:vAlign w:val="center"/>
          </w:tcPr>
          <w:p w14:paraId="3108A7DF">
            <w:pPr>
              <w:widowControl w:val="0"/>
              <w:spacing w:line="300" w:lineRule="exact"/>
              <w:jc w:val="center"/>
              <w:rPr>
                <w:rFonts w:eastAsia="仿宋_GB2312"/>
                <w:szCs w:val="21"/>
              </w:rPr>
            </w:pPr>
            <w:r>
              <w:rPr>
                <w:rFonts w:eastAsia="仿宋_GB2312"/>
                <w:szCs w:val="21"/>
              </w:rPr>
              <w:t>1.18</w:t>
            </w:r>
          </w:p>
        </w:tc>
      </w:tr>
      <w:tr w14:paraId="71201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29" w:type="pct"/>
            <w:noWrap w:val="0"/>
            <w:vAlign w:val="center"/>
          </w:tcPr>
          <w:p w14:paraId="369139C6">
            <w:pPr>
              <w:widowControl w:val="0"/>
              <w:spacing w:line="300" w:lineRule="exact"/>
              <w:jc w:val="center"/>
              <w:rPr>
                <w:rFonts w:eastAsia="仿宋_GB2312"/>
                <w:b/>
                <w:szCs w:val="21"/>
              </w:rPr>
            </w:pPr>
            <w:r>
              <w:rPr>
                <w:rFonts w:eastAsia="仿宋_GB2312"/>
                <w:b/>
                <w:szCs w:val="21"/>
              </w:rPr>
              <w:t>1.9</w:t>
            </w:r>
          </w:p>
        </w:tc>
        <w:tc>
          <w:tcPr>
            <w:tcW w:w="649" w:type="pct"/>
            <w:noWrap w:val="0"/>
            <w:vAlign w:val="center"/>
          </w:tcPr>
          <w:p w14:paraId="57B8D1EB">
            <w:pPr>
              <w:widowControl w:val="0"/>
              <w:spacing w:line="300" w:lineRule="exact"/>
              <w:jc w:val="center"/>
              <w:rPr>
                <w:rFonts w:eastAsia="仿宋_GB2312"/>
                <w:szCs w:val="21"/>
              </w:rPr>
            </w:pPr>
            <w:r>
              <w:rPr>
                <w:rFonts w:eastAsia="仿宋_GB2312"/>
                <w:szCs w:val="21"/>
              </w:rPr>
              <w:t>1.18</w:t>
            </w:r>
          </w:p>
        </w:tc>
        <w:tc>
          <w:tcPr>
            <w:tcW w:w="631" w:type="pct"/>
            <w:noWrap w:val="0"/>
            <w:vAlign w:val="center"/>
          </w:tcPr>
          <w:p w14:paraId="2BA085CB">
            <w:pPr>
              <w:widowControl w:val="0"/>
              <w:spacing w:line="300" w:lineRule="exact"/>
              <w:jc w:val="center"/>
              <w:rPr>
                <w:rFonts w:eastAsia="仿宋_GB2312"/>
                <w:szCs w:val="21"/>
              </w:rPr>
            </w:pPr>
            <w:r>
              <w:rPr>
                <w:rFonts w:eastAsia="仿宋_GB2312"/>
                <w:szCs w:val="21"/>
              </w:rPr>
              <w:t>1.21</w:t>
            </w:r>
          </w:p>
        </w:tc>
        <w:tc>
          <w:tcPr>
            <w:tcW w:w="635" w:type="pct"/>
            <w:noWrap w:val="0"/>
            <w:vAlign w:val="center"/>
          </w:tcPr>
          <w:p w14:paraId="4A915D3B">
            <w:pPr>
              <w:widowControl w:val="0"/>
              <w:spacing w:line="300" w:lineRule="exact"/>
              <w:jc w:val="center"/>
              <w:rPr>
                <w:rFonts w:eastAsia="仿宋_GB2312"/>
                <w:szCs w:val="21"/>
              </w:rPr>
            </w:pPr>
            <w:r>
              <w:rPr>
                <w:rFonts w:eastAsia="仿宋_GB2312"/>
                <w:szCs w:val="21"/>
              </w:rPr>
              <w:t>1.24</w:t>
            </w:r>
          </w:p>
        </w:tc>
        <w:tc>
          <w:tcPr>
            <w:tcW w:w="631" w:type="pct"/>
            <w:noWrap w:val="0"/>
            <w:vAlign w:val="center"/>
          </w:tcPr>
          <w:p w14:paraId="0E2B98C0">
            <w:pPr>
              <w:widowControl w:val="0"/>
              <w:spacing w:line="300" w:lineRule="exact"/>
              <w:jc w:val="center"/>
              <w:rPr>
                <w:rFonts w:eastAsia="仿宋_GB2312"/>
                <w:szCs w:val="21"/>
              </w:rPr>
            </w:pPr>
            <w:r>
              <w:rPr>
                <w:rFonts w:eastAsia="仿宋_GB2312"/>
                <w:szCs w:val="21"/>
              </w:rPr>
              <w:t>1.15</w:t>
            </w:r>
          </w:p>
        </w:tc>
        <w:tc>
          <w:tcPr>
            <w:tcW w:w="631" w:type="pct"/>
            <w:noWrap w:val="0"/>
            <w:vAlign w:val="center"/>
          </w:tcPr>
          <w:p w14:paraId="4F92F4A6">
            <w:pPr>
              <w:widowControl w:val="0"/>
              <w:spacing w:line="300" w:lineRule="exact"/>
              <w:jc w:val="center"/>
              <w:rPr>
                <w:rFonts w:eastAsia="仿宋_GB2312"/>
                <w:szCs w:val="21"/>
              </w:rPr>
            </w:pPr>
            <w:r>
              <w:rPr>
                <w:rFonts w:eastAsia="仿宋_GB2312"/>
                <w:szCs w:val="21"/>
              </w:rPr>
              <w:t>1.18</w:t>
            </w:r>
          </w:p>
        </w:tc>
        <w:tc>
          <w:tcPr>
            <w:tcW w:w="593" w:type="pct"/>
            <w:noWrap w:val="0"/>
            <w:vAlign w:val="center"/>
          </w:tcPr>
          <w:p w14:paraId="76AC7A1B">
            <w:pPr>
              <w:widowControl w:val="0"/>
              <w:spacing w:line="300" w:lineRule="exact"/>
              <w:jc w:val="center"/>
              <w:rPr>
                <w:rFonts w:eastAsia="仿宋_GB2312"/>
                <w:szCs w:val="21"/>
              </w:rPr>
            </w:pPr>
            <w:r>
              <w:rPr>
                <w:rFonts w:eastAsia="仿宋_GB2312"/>
                <w:szCs w:val="21"/>
              </w:rPr>
              <w:t>1.21</w:t>
            </w:r>
          </w:p>
        </w:tc>
      </w:tr>
      <w:tr w14:paraId="7986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29" w:type="pct"/>
            <w:noWrap w:val="0"/>
            <w:vAlign w:val="center"/>
          </w:tcPr>
          <w:p w14:paraId="147F86CD">
            <w:pPr>
              <w:widowControl w:val="0"/>
              <w:spacing w:line="300" w:lineRule="exact"/>
              <w:jc w:val="center"/>
              <w:rPr>
                <w:rFonts w:eastAsia="仿宋_GB2312"/>
                <w:b/>
                <w:szCs w:val="21"/>
              </w:rPr>
            </w:pPr>
            <w:r>
              <w:rPr>
                <w:rFonts w:eastAsia="仿宋_GB2312"/>
                <w:b/>
                <w:szCs w:val="21"/>
              </w:rPr>
              <w:t>2.0</w:t>
            </w:r>
          </w:p>
        </w:tc>
        <w:tc>
          <w:tcPr>
            <w:tcW w:w="649" w:type="pct"/>
            <w:noWrap w:val="0"/>
            <w:vAlign w:val="center"/>
          </w:tcPr>
          <w:p w14:paraId="315037F8">
            <w:pPr>
              <w:widowControl w:val="0"/>
              <w:spacing w:line="300" w:lineRule="exact"/>
              <w:jc w:val="center"/>
              <w:rPr>
                <w:rFonts w:eastAsia="仿宋_GB2312"/>
                <w:szCs w:val="21"/>
              </w:rPr>
            </w:pPr>
            <w:r>
              <w:rPr>
                <w:rFonts w:eastAsia="仿宋_GB2312"/>
                <w:szCs w:val="21"/>
              </w:rPr>
              <w:t>1.21</w:t>
            </w:r>
          </w:p>
        </w:tc>
        <w:tc>
          <w:tcPr>
            <w:tcW w:w="631" w:type="pct"/>
            <w:noWrap w:val="0"/>
            <w:vAlign w:val="center"/>
          </w:tcPr>
          <w:p w14:paraId="5D211052">
            <w:pPr>
              <w:widowControl w:val="0"/>
              <w:spacing w:line="300" w:lineRule="exact"/>
              <w:jc w:val="center"/>
              <w:rPr>
                <w:rFonts w:eastAsia="仿宋_GB2312"/>
                <w:szCs w:val="21"/>
              </w:rPr>
            </w:pPr>
            <w:r>
              <w:rPr>
                <w:rFonts w:eastAsia="仿宋_GB2312"/>
                <w:szCs w:val="21"/>
              </w:rPr>
              <w:t>1.24</w:t>
            </w:r>
          </w:p>
        </w:tc>
        <w:tc>
          <w:tcPr>
            <w:tcW w:w="635" w:type="pct"/>
            <w:noWrap w:val="0"/>
            <w:vAlign w:val="center"/>
          </w:tcPr>
          <w:p w14:paraId="25179491">
            <w:pPr>
              <w:widowControl w:val="0"/>
              <w:spacing w:line="300" w:lineRule="exact"/>
              <w:jc w:val="center"/>
              <w:rPr>
                <w:rFonts w:eastAsia="仿宋_GB2312"/>
                <w:szCs w:val="21"/>
              </w:rPr>
            </w:pPr>
            <w:r>
              <w:rPr>
                <w:rFonts w:eastAsia="仿宋_GB2312"/>
                <w:szCs w:val="21"/>
              </w:rPr>
              <w:t>1.27</w:t>
            </w:r>
          </w:p>
        </w:tc>
        <w:tc>
          <w:tcPr>
            <w:tcW w:w="631" w:type="pct"/>
            <w:noWrap w:val="0"/>
            <w:vAlign w:val="center"/>
          </w:tcPr>
          <w:p w14:paraId="0ACCF825">
            <w:pPr>
              <w:widowControl w:val="0"/>
              <w:spacing w:line="300" w:lineRule="exact"/>
              <w:jc w:val="center"/>
              <w:rPr>
                <w:rFonts w:eastAsia="仿宋_GB2312"/>
                <w:szCs w:val="21"/>
              </w:rPr>
            </w:pPr>
            <w:r>
              <w:rPr>
                <w:rFonts w:eastAsia="仿宋_GB2312"/>
                <w:szCs w:val="21"/>
              </w:rPr>
              <w:t>1.18</w:t>
            </w:r>
          </w:p>
        </w:tc>
        <w:tc>
          <w:tcPr>
            <w:tcW w:w="631" w:type="pct"/>
            <w:noWrap w:val="0"/>
            <w:vAlign w:val="center"/>
          </w:tcPr>
          <w:p w14:paraId="4A00D80C">
            <w:pPr>
              <w:widowControl w:val="0"/>
              <w:spacing w:line="300" w:lineRule="exact"/>
              <w:jc w:val="center"/>
              <w:rPr>
                <w:rFonts w:eastAsia="仿宋_GB2312"/>
                <w:szCs w:val="21"/>
              </w:rPr>
            </w:pPr>
            <w:r>
              <w:rPr>
                <w:rFonts w:eastAsia="仿宋_GB2312"/>
                <w:szCs w:val="21"/>
              </w:rPr>
              <w:t>1.21</w:t>
            </w:r>
          </w:p>
        </w:tc>
        <w:tc>
          <w:tcPr>
            <w:tcW w:w="593" w:type="pct"/>
            <w:noWrap w:val="0"/>
            <w:vAlign w:val="center"/>
          </w:tcPr>
          <w:p w14:paraId="0E3859B7">
            <w:pPr>
              <w:widowControl w:val="0"/>
              <w:spacing w:line="300" w:lineRule="exact"/>
              <w:jc w:val="center"/>
              <w:rPr>
                <w:rFonts w:eastAsia="仿宋_GB2312"/>
                <w:szCs w:val="21"/>
              </w:rPr>
            </w:pPr>
            <w:r>
              <w:rPr>
                <w:rFonts w:eastAsia="仿宋_GB2312"/>
                <w:szCs w:val="21"/>
              </w:rPr>
              <w:t>1.24</w:t>
            </w:r>
          </w:p>
        </w:tc>
      </w:tr>
      <w:tr w14:paraId="1693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29" w:type="pct"/>
            <w:noWrap w:val="0"/>
            <w:vAlign w:val="center"/>
          </w:tcPr>
          <w:p w14:paraId="51D9FE1C">
            <w:pPr>
              <w:widowControl w:val="0"/>
              <w:spacing w:line="300" w:lineRule="exact"/>
              <w:jc w:val="center"/>
              <w:rPr>
                <w:rFonts w:eastAsia="仿宋_GB2312"/>
                <w:b/>
                <w:szCs w:val="21"/>
              </w:rPr>
            </w:pPr>
            <w:r>
              <w:rPr>
                <w:rFonts w:eastAsia="仿宋_GB2312"/>
                <w:b/>
                <w:szCs w:val="21"/>
              </w:rPr>
              <w:t>2.5</w:t>
            </w:r>
          </w:p>
        </w:tc>
        <w:tc>
          <w:tcPr>
            <w:tcW w:w="649" w:type="pct"/>
            <w:noWrap w:val="0"/>
            <w:vAlign w:val="center"/>
          </w:tcPr>
          <w:p w14:paraId="68401C77">
            <w:pPr>
              <w:widowControl w:val="0"/>
              <w:spacing w:line="300" w:lineRule="exact"/>
              <w:jc w:val="center"/>
              <w:rPr>
                <w:rFonts w:eastAsia="仿宋_GB2312"/>
                <w:szCs w:val="21"/>
              </w:rPr>
            </w:pPr>
            <w:r>
              <w:rPr>
                <w:rFonts w:eastAsia="仿宋_GB2312"/>
                <w:szCs w:val="21"/>
              </w:rPr>
              <w:t>1.30</w:t>
            </w:r>
          </w:p>
        </w:tc>
        <w:tc>
          <w:tcPr>
            <w:tcW w:w="631" w:type="pct"/>
            <w:noWrap w:val="0"/>
            <w:vAlign w:val="center"/>
          </w:tcPr>
          <w:p w14:paraId="6177D5E7">
            <w:pPr>
              <w:widowControl w:val="0"/>
              <w:spacing w:line="300" w:lineRule="exact"/>
              <w:jc w:val="center"/>
              <w:rPr>
                <w:rFonts w:eastAsia="仿宋_GB2312"/>
                <w:szCs w:val="21"/>
              </w:rPr>
            </w:pPr>
            <w:r>
              <w:rPr>
                <w:rFonts w:eastAsia="仿宋_GB2312"/>
                <w:szCs w:val="21"/>
              </w:rPr>
              <w:t>1.29</w:t>
            </w:r>
          </w:p>
        </w:tc>
        <w:tc>
          <w:tcPr>
            <w:tcW w:w="635" w:type="pct"/>
            <w:noWrap w:val="0"/>
            <w:vAlign w:val="center"/>
          </w:tcPr>
          <w:p w14:paraId="48C86514">
            <w:pPr>
              <w:widowControl w:val="0"/>
              <w:spacing w:line="300" w:lineRule="exact"/>
              <w:jc w:val="center"/>
              <w:rPr>
                <w:rFonts w:eastAsia="仿宋_GB2312"/>
                <w:szCs w:val="21"/>
              </w:rPr>
            </w:pPr>
            <w:r>
              <w:rPr>
                <w:rFonts w:eastAsia="仿宋_GB2312"/>
                <w:szCs w:val="21"/>
              </w:rPr>
              <w:t>1.35</w:t>
            </w:r>
          </w:p>
        </w:tc>
        <w:tc>
          <w:tcPr>
            <w:tcW w:w="631" w:type="pct"/>
            <w:noWrap w:val="0"/>
            <w:vAlign w:val="center"/>
          </w:tcPr>
          <w:p w14:paraId="1BBBA778">
            <w:pPr>
              <w:widowControl w:val="0"/>
              <w:spacing w:line="300" w:lineRule="exact"/>
              <w:jc w:val="center"/>
              <w:rPr>
                <w:rFonts w:eastAsia="仿宋_GB2312"/>
                <w:szCs w:val="21"/>
              </w:rPr>
            </w:pPr>
            <w:r>
              <w:rPr>
                <w:rFonts w:eastAsia="仿宋_GB2312"/>
                <w:szCs w:val="21"/>
              </w:rPr>
              <w:t>1.26</w:t>
            </w:r>
          </w:p>
        </w:tc>
        <w:tc>
          <w:tcPr>
            <w:tcW w:w="631" w:type="pct"/>
            <w:noWrap w:val="0"/>
            <w:vAlign w:val="center"/>
          </w:tcPr>
          <w:p w14:paraId="57D2BF82">
            <w:pPr>
              <w:widowControl w:val="0"/>
              <w:spacing w:line="300" w:lineRule="exact"/>
              <w:jc w:val="center"/>
              <w:rPr>
                <w:rFonts w:eastAsia="仿宋_GB2312"/>
                <w:szCs w:val="21"/>
              </w:rPr>
            </w:pPr>
            <w:r>
              <w:rPr>
                <w:rFonts w:eastAsia="仿宋_GB2312"/>
                <w:szCs w:val="21"/>
              </w:rPr>
              <w:t>1.30</w:t>
            </w:r>
          </w:p>
        </w:tc>
        <w:tc>
          <w:tcPr>
            <w:tcW w:w="593" w:type="pct"/>
            <w:noWrap w:val="0"/>
            <w:vAlign w:val="center"/>
          </w:tcPr>
          <w:p w14:paraId="7039E9C0">
            <w:pPr>
              <w:widowControl w:val="0"/>
              <w:spacing w:line="300" w:lineRule="exact"/>
              <w:jc w:val="center"/>
              <w:rPr>
                <w:rFonts w:eastAsia="仿宋_GB2312"/>
                <w:szCs w:val="21"/>
              </w:rPr>
            </w:pPr>
            <w:r>
              <w:rPr>
                <w:rFonts w:eastAsia="仿宋_GB2312"/>
                <w:szCs w:val="21"/>
              </w:rPr>
              <w:t>1.29</w:t>
            </w:r>
          </w:p>
        </w:tc>
      </w:tr>
      <w:tr w14:paraId="4287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29" w:type="pct"/>
            <w:noWrap w:val="0"/>
            <w:vAlign w:val="center"/>
          </w:tcPr>
          <w:p w14:paraId="07BE7381">
            <w:pPr>
              <w:widowControl w:val="0"/>
              <w:spacing w:line="300" w:lineRule="exact"/>
              <w:jc w:val="center"/>
              <w:rPr>
                <w:rFonts w:eastAsia="仿宋_GB2312"/>
                <w:b/>
                <w:szCs w:val="21"/>
              </w:rPr>
            </w:pPr>
            <w:r>
              <w:rPr>
                <w:rFonts w:eastAsia="仿宋_GB2312"/>
                <w:b/>
                <w:szCs w:val="21"/>
              </w:rPr>
              <w:t>3.0</w:t>
            </w:r>
          </w:p>
        </w:tc>
        <w:tc>
          <w:tcPr>
            <w:tcW w:w="649" w:type="pct"/>
            <w:noWrap w:val="0"/>
            <w:vAlign w:val="center"/>
          </w:tcPr>
          <w:p w14:paraId="017178E9">
            <w:pPr>
              <w:widowControl w:val="0"/>
              <w:spacing w:line="300" w:lineRule="exact"/>
              <w:jc w:val="center"/>
              <w:rPr>
                <w:rFonts w:eastAsia="仿宋_GB2312"/>
                <w:szCs w:val="21"/>
              </w:rPr>
            </w:pPr>
            <w:r>
              <w:rPr>
                <w:rFonts w:eastAsia="仿宋_GB2312"/>
                <w:szCs w:val="21"/>
              </w:rPr>
              <w:t>1.36</w:t>
            </w:r>
          </w:p>
        </w:tc>
        <w:tc>
          <w:tcPr>
            <w:tcW w:w="631" w:type="pct"/>
            <w:noWrap w:val="0"/>
            <w:vAlign w:val="center"/>
          </w:tcPr>
          <w:p w14:paraId="1578D0AA">
            <w:pPr>
              <w:widowControl w:val="0"/>
              <w:spacing w:line="300" w:lineRule="exact"/>
              <w:jc w:val="center"/>
              <w:rPr>
                <w:rFonts w:eastAsia="仿宋_GB2312"/>
                <w:szCs w:val="21"/>
              </w:rPr>
            </w:pPr>
            <w:r>
              <w:rPr>
                <w:rFonts w:eastAsia="仿宋_GB2312"/>
                <w:szCs w:val="21"/>
              </w:rPr>
              <w:t>1.35</w:t>
            </w:r>
          </w:p>
        </w:tc>
        <w:tc>
          <w:tcPr>
            <w:tcW w:w="635" w:type="pct"/>
            <w:noWrap w:val="0"/>
            <w:vAlign w:val="center"/>
          </w:tcPr>
          <w:p w14:paraId="034843DF">
            <w:pPr>
              <w:widowControl w:val="0"/>
              <w:spacing w:line="300" w:lineRule="exact"/>
              <w:jc w:val="center"/>
              <w:rPr>
                <w:rFonts w:eastAsia="仿宋_GB2312"/>
                <w:szCs w:val="21"/>
              </w:rPr>
            </w:pPr>
            <w:r>
              <w:rPr>
                <w:rFonts w:eastAsia="仿宋_GB2312"/>
                <w:szCs w:val="21"/>
              </w:rPr>
              <w:t>1.40</w:t>
            </w:r>
          </w:p>
        </w:tc>
        <w:tc>
          <w:tcPr>
            <w:tcW w:w="631" w:type="pct"/>
            <w:noWrap w:val="0"/>
            <w:vAlign w:val="center"/>
          </w:tcPr>
          <w:p w14:paraId="36D9C102">
            <w:pPr>
              <w:widowControl w:val="0"/>
              <w:spacing w:line="300" w:lineRule="exact"/>
              <w:jc w:val="center"/>
              <w:rPr>
                <w:rFonts w:eastAsia="仿宋_GB2312"/>
                <w:szCs w:val="21"/>
              </w:rPr>
            </w:pPr>
            <w:r>
              <w:rPr>
                <w:rFonts w:eastAsia="仿宋_GB2312"/>
                <w:szCs w:val="21"/>
              </w:rPr>
              <w:t>1.33</w:t>
            </w:r>
          </w:p>
        </w:tc>
        <w:tc>
          <w:tcPr>
            <w:tcW w:w="631" w:type="pct"/>
            <w:noWrap w:val="0"/>
            <w:vAlign w:val="center"/>
          </w:tcPr>
          <w:p w14:paraId="320FCC07">
            <w:pPr>
              <w:widowControl w:val="0"/>
              <w:spacing w:line="300" w:lineRule="exact"/>
              <w:jc w:val="center"/>
              <w:rPr>
                <w:rFonts w:eastAsia="仿宋_GB2312"/>
                <w:szCs w:val="21"/>
              </w:rPr>
            </w:pPr>
            <w:r>
              <w:rPr>
                <w:rFonts w:eastAsia="仿宋_GB2312"/>
                <w:szCs w:val="21"/>
              </w:rPr>
              <w:t>1.36</w:t>
            </w:r>
          </w:p>
        </w:tc>
        <w:tc>
          <w:tcPr>
            <w:tcW w:w="593" w:type="pct"/>
            <w:noWrap w:val="0"/>
            <w:vAlign w:val="center"/>
          </w:tcPr>
          <w:p w14:paraId="086A3284">
            <w:pPr>
              <w:widowControl w:val="0"/>
              <w:spacing w:line="300" w:lineRule="exact"/>
              <w:jc w:val="center"/>
              <w:rPr>
                <w:rFonts w:eastAsia="仿宋_GB2312"/>
                <w:szCs w:val="21"/>
              </w:rPr>
            </w:pPr>
            <w:r>
              <w:rPr>
                <w:rFonts w:eastAsia="仿宋_GB2312"/>
                <w:szCs w:val="21"/>
              </w:rPr>
              <w:t>1.35</w:t>
            </w:r>
          </w:p>
        </w:tc>
      </w:tr>
      <w:tr w14:paraId="05B24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29" w:type="pct"/>
            <w:noWrap w:val="0"/>
            <w:vAlign w:val="center"/>
          </w:tcPr>
          <w:p w14:paraId="4BA97A58">
            <w:pPr>
              <w:widowControl w:val="0"/>
              <w:spacing w:line="300" w:lineRule="exact"/>
              <w:jc w:val="center"/>
              <w:rPr>
                <w:rFonts w:eastAsia="仿宋_GB2312"/>
                <w:b/>
                <w:szCs w:val="21"/>
              </w:rPr>
            </w:pPr>
            <w:r>
              <w:rPr>
                <w:rFonts w:eastAsia="仿宋_GB2312"/>
                <w:b/>
                <w:szCs w:val="21"/>
              </w:rPr>
              <w:t>3.5</w:t>
            </w:r>
          </w:p>
        </w:tc>
        <w:tc>
          <w:tcPr>
            <w:tcW w:w="649" w:type="pct"/>
            <w:noWrap w:val="0"/>
            <w:vAlign w:val="center"/>
          </w:tcPr>
          <w:p w14:paraId="341D3CAD">
            <w:pPr>
              <w:widowControl w:val="0"/>
              <w:spacing w:line="300" w:lineRule="exact"/>
              <w:jc w:val="center"/>
              <w:rPr>
                <w:rFonts w:eastAsia="仿宋_GB2312"/>
                <w:szCs w:val="21"/>
              </w:rPr>
            </w:pPr>
            <w:r>
              <w:rPr>
                <w:rFonts w:eastAsia="仿宋_GB2312"/>
                <w:szCs w:val="21"/>
              </w:rPr>
              <w:t>1.39</w:t>
            </w:r>
          </w:p>
        </w:tc>
        <w:tc>
          <w:tcPr>
            <w:tcW w:w="631" w:type="pct"/>
            <w:noWrap w:val="0"/>
            <w:vAlign w:val="center"/>
          </w:tcPr>
          <w:p w14:paraId="6853A9BE">
            <w:pPr>
              <w:widowControl w:val="0"/>
              <w:spacing w:line="300" w:lineRule="exact"/>
              <w:jc w:val="center"/>
              <w:rPr>
                <w:rFonts w:eastAsia="仿宋_GB2312"/>
                <w:szCs w:val="21"/>
              </w:rPr>
            </w:pPr>
            <w:r>
              <w:rPr>
                <w:rFonts w:eastAsia="仿宋_GB2312"/>
                <w:szCs w:val="21"/>
              </w:rPr>
              <w:t>1.40</w:t>
            </w:r>
          </w:p>
        </w:tc>
        <w:tc>
          <w:tcPr>
            <w:tcW w:w="635" w:type="pct"/>
            <w:noWrap w:val="0"/>
            <w:vAlign w:val="center"/>
          </w:tcPr>
          <w:p w14:paraId="635CA352">
            <w:pPr>
              <w:widowControl w:val="0"/>
              <w:spacing w:line="300" w:lineRule="exact"/>
              <w:jc w:val="center"/>
              <w:rPr>
                <w:rFonts w:eastAsia="仿宋_GB2312"/>
                <w:szCs w:val="21"/>
              </w:rPr>
            </w:pPr>
            <w:r>
              <w:rPr>
                <w:rFonts w:eastAsia="仿宋_GB2312"/>
                <w:szCs w:val="21"/>
              </w:rPr>
              <w:t>1.43</w:t>
            </w:r>
          </w:p>
        </w:tc>
        <w:tc>
          <w:tcPr>
            <w:tcW w:w="631" w:type="pct"/>
            <w:noWrap w:val="0"/>
            <w:vAlign w:val="center"/>
          </w:tcPr>
          <w:p w14:paraId="2901BDA6">
            <w:pPr>
              <w:widowControl w:val="0"/>
              <w:spacing w:line="300" w:lineRule="exact"/>
              <w:jc w:val="center"/>
              <w:rPr>
                <w:rFonts w:eastAsia="仿宋_GB2312"/>
                <w:szCs w:val="21"/>
              </w:rPr>
            </w:pPr>
            <w:r>
              <w:rPr>
                <w:rFonts w:eastAsia="仿宋_GB2312"/>
                <w:szCs w:val="21"/>
              </w:rPr>
              <w:t>1.39</w:t>
            </w:r>
          </w:p>
        </w:tc>
        <w:tc>
          <w:tcPr>
            <w:tcW w:w="631" w:type="pct"/>
            <w:noWrap w:val="0"/>
            <w:vAlign w:val="center"/>
          </w:tcPr>
          <w:p w14:paraId="1046F862">
            <w:pPr>
              <w:widowControl w:val="0"/>
              <w:spacing w:line="300" w:lineRule="exact"/>
              <w:jc w:val="center"/>
              <w:rPr>
                <w:rFonts w:eastAsia="仿宋_GB2312"/>
                <w:szCs w:val="21"/>
              </w:rPr>
            </w:pPr>
            <w:r>
              <w:rPr>
                <w:rFonts w:eastAsia="仿宋_GB2312"/>
                <w:szCs w:val="21"/>
              </w:rPr>
              <w:t>1.39</w:t>
            </w:r>
          </w:p>
        </w:tc>
        <w:tc>
          <w:tcPr>
            <w:tcW w:w="593" w:type="pct"/>
            <w:noWrap w:val="0"/>
            <w:vAlign w:val="center"/>
          </w:tcPr>
          <w:p w14:paraId="6AE1AE94">
            <w:pPr>
              <w:widowControl w:val="0"/>
              <w:spacing w:line="300" w:lineRule="exact"/>
              <w:jc w:val="center"/>
              <w:rPr>
                <w:rFonts w:eastAsia="仿宋_GB2312"/>
                <w:szCs w:val="21"/>
              </w:rPr>
            </w:pPr>
            <w:r>
              <w:rPr>
                <w:rFonts w:eastAsia="仿宋_GB2312"/>
                <w:szCs w:val="21"/>
              </w:rPr>
              <w:t>1.40</w:t>
            </w:r>
          </w:p>
        </w:tc>
      </w:tr>
      <w:tr w14:paraId="6A16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29" w:type="pct"/>
            <w:noWrap w:val="0"/>
            <w:vAlign w:val="center"/>
          </w:tcPr>
          <w:p w14:paraId="60469C07">
            <w:pPr>
              <w:widowControl w:val="0"/>
              <w:spacing w:line="300" w:lineRule="exact"/>
              <w:jc w:val="center"/>
              <w:rPr>
                <w:rFonts w:eastAsia="仿宋_GB2312"/>
                <w:b/>
                <w:szCs w:val="21"/>
              </w:rPr>
            </w:pPr>
            <w:r>
              <w:rPr>
                <w:rFonts w:eastAsia="仿宋_GB2312"/>
                <w:b/>
                <w:szCs w:val="21"/>
              </w:rPr>
              <w:t>4.0</w:t>
            </w:r>
          </w:p>
        </w:tc>
        <w:tc>
          <w:tcPr>
            <w:tcW w:w="649" w:type="pct"/>
            <w:noWrap w:val="0"/>
            <w:vAlign w:val="center"/>
          </w:tcPr>
          <w:p w14:paraId="6F357BD2">
            <w:pPr>
              <w:widowControl w:val="0"/>
              <w:spacing w:line="300" w:lineRule="exact"/>
              <w:jc w:val="center"/>
              <w:rPr>
                <w:rFonts w:eastAsia="仿宋_GB2312"/>
                <w:szCs w:val="21"/>
              </w:rPr>
            </w:pPr>
            <w:r>
              <w:rPr>
                <w:rFonts w:eastAsia="仿宋_GB2312"/>
                <w:szCs w:val="21"/>
              </w:rPr>
              <w:t>1.43</w:t>
            </w:r>
          </w:p>
        </w:tc>
        <w:tc>
          <w:tcPr>
            <w:tcW w:w="631" w:type="pct"/>
            <w:noWrap w:val="0"/>
            <w:vAlign w:val="center"/>
          </w:tcPr>
          <w:p w14:paraId="75290BB8">
            <w:pPr>
              <w:widowControl w:val="0"/>
              <w:spacing w:line="300" w:lineRule="exact"/>
              <w:jc w:val="center"/>
              <w:rPr>
                <w:rFonts w:eastAsia="仿宋_GB2312"/>
                <w:szCs w:val="21"/>
              </w:rPr>
            </w:pPr>
            <w:r>
              <w:rPr>
                <w:rFonts w:eastAsia="仿宋_GB2312"/>
                <w:szCs w:val="21"/>
              </w:rPr>
              <w:t>1.44</w:t>
            </w:r>
          </w:p>
        </w:tc>
        <w:tc>
          <w:tcPr>
            <w:tcW w:w="635" w:type="pct"/>
            <w:noWrap w:val="0"/>
            <w:vAlign w:val="center"/>
          </w:tcPr>
          <w:p w14:paraId="43A216A6">
            <w:pPr>
              <w:widowControl w:val="0"/>
              <w:spacing w:line="300" w:lineRule="exact"/>
              <w:jc w:val="center"/>
              <w:rPr>
                <w:rFonts w:eastAsia="仿宋_GB2312"/>
                <w:szCs w:val="21"/>
              </w:rPr>
            </w:pPr>
            <w:r>
              <w:rPr>
                <w:rFonts w:eastAsia="仿宋_GB2312"/>
                <w:szCs w:val="21"/>
              </w:rPr>
              <w:t>1.45</w:t>
            </w:r>
          </w:p>
        </w:tc>
        <w:tc>
          <w:tcPr>
            <w:tcW w:w="631" w:type="pct"/>
            <w:noWrap w:val="0"/>
            <w:vAlign w:val="center"/>
          </w:tcPr>
          <w:p w14:paraId="3D4D0A4D">
            <w:pPr>
              <w:widowControl w:val="0"/>
              <w:spacing w:line="300" w:lineRule="exact"/>
              <w:jc w:val="center"/>
              <w:rPr>
                <w:rFonts w:eastAsia="仿宋_GB2312"/>
                <w:szCs w:val="21"/>
              </w:rPr>
            </w:pPr>
            <w:r>
              <w:rPr>
                <w:rFonts w:eastAsia="仿宋_GB2312"/>
                <w:szCs w:val="21"/>
              </w:rPr>
              <w:t>1.43</w:t>
            </w:r>
          </w:p>
        </w:tc>
        <w:tc>
          <w:tcPr>
            <w:tcW w:w="631" w:type="pct"/>
            <w:noWrap w:val="0"/>
            <w:vAlign w:val="center"/>
          </w:tcPr>
          <w:p w14:paraId="6E106CB2">
            <w:pPr>
              <w:widowControl w:val="0"/>
              <w:spacing w:line="300" w:lineRule="exact"/>
              <w:jc w:val="center"/>
              <w:rPr>
                <w:rFonts w:eastAsia="仿宋_GB2312"/>
                <w:szCs w:val="21"/>
              </w:rPr>
            </w:pPr>
            <w:r>
              <w:rPr>
                <w:rFonts w:eastAsia="仿宋_GB2312"/>
                <w:szCs w:val="21"/>
              </w:rPr>
              <w:t>1.43</w:t>
            </w:r>
          </w:p>
        </w:tc>
        <w:tc>
          <w:tcPr>
            <w:tcW w:w="593" w:type="pct"/>
            <w:noWrap w:val="0"/>
            <w:vAlign w:val="center"/>
          </w:tcPr>
          <w:p w14:paraId="6F84E6DF">
            <w:pPr>
              <w:widowControl w:val="0"/>
              <w:spacing w:line="300" w:lineRule="exact"/>
              <w:jc w:val="center"/>
              <w:rPr>
                <w:rFonts w:eastAsia="仿宋_GB2312"/>
                <w:szCs w:val="21"/>
              </w:rPr>
            </w:pPr>
            <w:r>
              <w:rPr>
                <w:rFonts w:eastAsia="仿宋_GB2312"/>
                <w:szCs w:val="21"/>
              </w:rPr>
              <w:t>1.44</w:t>
            </w:r>
          </w:p>
        </w:tc>
      </w:tr>
      <w:tr w14:paraId="45C38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229" w:type="pct"/>
            <w:noWrap w:val="0"/>
            <w:vAlign w:val="center"/>
          </w:tcPr>
          <w:p w14:paraId="48CB4D81">
            <w:pPr>
              <w:widowControl w:val="0"/>
              <w:spacing w:line="300" w:lineRule="exact"/>
              <w:jc w:val="center"/>
              <w:rPr>
                <w:rFonts w:eastAsia="仿宋_GB2312"/>
                <w:b/>
                <w:szCs w:val="21"/>
              </w:rPr>
            </w:pPr>
            <w:r>
              <w:rPr>
                <w:rFonts w:eastAsia="仿宋_GB2312"/>
                <w:b/>
                <w:szCs w:val="21"/>
              </w:rPr>
              <w:t>≥5</w:t>
            </w:r>
          </w:p>
        </w:tc>
        <w:tc>
          <w:tcPr>
            <w:tcW w:w="649" w:type="pct"/>
            <w:noWrap w:val="0"/>
            <w:vAlign w:val="center"/>
          </w:tcPr>
          <w:p w14:paraId="3467EA21">
            <w:pPr>
              <w:widowControl w:val="0"/>
              <w:spacing w:line="300" w:lineRule="exact"/>
              <w:jc w:val="center"/>
              <w:rPr>
                <w:rFonts w:eastAsia="仿宋_GB2312"/>
                <w:szCs w:val="21"/>
              </w:rPr>
            </w:pPr>
            <w:r>
              <w:rPr>
                <w:rFonts w:eastAsia="仿宋_GB2312"/>
                <w:szCs w:val="21"/>
              </w:rPr>
              <w:t>1.46</w:t>
            </w:r>
          </w:p>
        </w:tc>
        <w:tc>
          <w:tcPr>
            <w:tcW w:w="631" w:type="pct"/>
            <w:noWrap w:val="0"/>
            <w:vAlign w:val="center"/>
          </w:tcPr>
          <w:p w14:paraId="1CAB8AFA">
            <w:pPr>
              <w:widowControl w:val="0"/>
              <w:spacing w:line="300" w:lineRule="exact"/>
              <w:jc w:val="center"/>
              <w:rPr>
                <w:rFonts w:eastAsia="仿宋_GB2312"/>
                <w:szCs w:val="21"/>
              </w:rPr>
            </w:pPr>
            <w:r>
              <w:rPr>
                <w:rFonts w:eastAsia="仿宋_GB2312"/>
                <w:szCs w:val="21"/>
              </w:rPr>
              <w:t>1.46</w:t>
            </w:r>
          </w:p>
        </w:tc>
        <w:tc>
          <w:tcPr>
            <w:tcW w:w="635" w:type="pct"/>
            <w:noWrap w:val="0"/>
            <w:vAlign w:val="center"/>
          </w:tcPr>
          <w:p w14:paraId="77825F90">
            <w:pPr>
              <w:widowControl w:val="0"/>
              <w:spacing w:line="300" w:lineRule="exact"/>
              <w:jc w:val="center"/>
              <w:rPr>
                <w:rFonts w:eastAsia="仿宋_GB2312"/>
                <w:szCs w:val="21"/>
              </w:rPr>
            </w:pPr>
            <w:r>
              <w:rPr>
                <w:rFonts w:eastAsia="仿宋_GB2312"/>
                <w:szCs w:val="21"/>
              </w:rPr>
              <w:t>1.46</w:t>
            </w:r>
          </w:p>
        </w:tc>
        <w:tc>
          <w:tcPr>
            <w:tcW w:w="631" w:type="pct"/>
            <w:noWrap w:val="0"/>
            <w:vAlign w:val="center"/>
          </w:tcPr>
          <w:p w14:paraId="3F09080D">
            <w:pPr>
              <w:widowControl w:val="0"/>
              <w:spacing w:line="300" w:lineRule="exact"/>
              <w:jc w:val="center"/>
              <w:rPr>
                <w:rFonts w:eastAsia="仿宋_GB2312"/>
                <w:szCs w:val="21"/>
              </w:rPr>
            </w:pPr>
            <w:r>
              <w:rPr>
                <w:rFonts w:eastAsia="仿宋_GB2312"/>
                <w:szCs w:val="21"/>
              </w:rPr>
              <w:t>1.46</w:t>
            </w:r>
          </w:p>
        </w:tc>
        <w:tc>
          <w:tcPr>
            <w:tcW w:w="631" w:type="pct"/>
            <w:noWrap w:val="0"/>
            <w:vAlign w:val="center"/>
          </w:tcPr>
          <w:p w14:paraId="54D4BEA5">
            <w:pPr>
              <w:widowControl w:val="0"/>
              <w:spacing w:line="300" w:lineRule="exact"/>
              <w:jc w:val="center"/>
              <w:rPr>
                <w:rFonts w:eastAsia="仿宋_GB2312"/>
                <w:szCs w:val="21"/>
              </w:rPr>
            </w:pPr>
            <w:r>
              <w:rPr>
                <w:rFonts w:eastAsia="仿宋_GB2312"/>
                <w:szCs w:val="21"/>
              </w:rPr>
              <w:t>1.46</w:t>
            </w:r>
          </w:p>
        </w:tc>
        <w:tc>
          <w:tcPr>
            <w:tcW w:w="593" w:type="pct"/>
            <w:noWrap w:val="0"/>
            <w:vAlign w:val="center"/>
          </w:tcPr>
          <w:p w14:paraId="7CAEDC26">
            <w:pPr>
              <w:widowControl w:val="0"/>
              <w:spacing w:line="300" w:lineRule="exact"/>
              <w:jc w:val="center"/>
              <w:rPr>
                <w:rFonts w:eastAsia="仿宋_GB2312"/>
                <w:szCs w:val="21"/>
              </w:rPr>
            </w:pPr>
            <w:r>
              <w:rPr>
                <w:rFonts w:eastAsia="仿宋_GB2312"/>
                <w:szCs w:val="21"/>
              </w:rPr>
              <w:t>1.46</w:t>
            </w:r>
          </w:p>
        </w:tc>
      </w:tr>
    </w:tbl>
    <w:p w14:paraId="6AE5B836">
      <w:pPr>
        <w:pStyle w:val="20"/>
        <w:spacing w:line="480" w:lineRule="exact"/>
        <w:ind w:left="-141" w:leftChars="-67" w:right="-113" w:rightChars="-54"/>
        <w:jc w:val="center"/>
        <w:rPr>
          <w:rFonts w:eastAsia="黑体"/>
          <w:sz w:val="28"/>
        </w:rPr>
      </w:pPr>
      <w:r>
        <w:rPr>
          <w:rFonts w:ascii="Times New Roman" w:hAnsi="Times New Roman" w:eastAsia="黑体" w:cs="Times New Roman"/>
          <w:sz w:val="28"/>
        </w:rPr>
        <w:t>表2-2-</w:t>
      </w:r>
      <w:r>
        <w:rPr>
          <w:rFonts w:hint="eastAsia" w:ascii="Times New Roman" w:hAnsi="Times New Roman" w:eastAsia="黑体" w:cs="Times New Roman"/>
          <w:sz w:val="28"/>
        </w:rPr>
        <w:t>7</w:t>
      </w:r>
      <w:r>
        <w:rPr>
          <w:rFonts w:ascii="Times New Roman" w:hAnsi="Times New Roman" w:eastAsia="黑体" w:cs="Times New Roman"/>
          <w:sz w:val="28"/>
        </w:rPr>
        <w:t>埇桥区</w:t>
      </w:r>
      <w:r>
        <w:rPr>
          <w:rFonts w:hint="eastAsia" w:ascii="Times New Roman" w:hAnsi="Times New Roman" w:eastAsia="黑体" w:cs="Times New Roman"/>
          <w:sz w:val="28"/>
          <w:szCs w:val="20"/>
        </w:rPr>
        <w:t>乡镇</w:t>
      </w:r>
      <w:r>
        <w:rPr>
          <w:rFonts w:ascii="Times New Roman" w:hAnsi="Times New Roman" w:eastAsia="黑体" w:cs="Times New Roman"/>
          <w:sz w:val="28"/>
        </w:rPr>
        <w:t>公共管理与公共服务用地</w:t>
      </w:r>
      <w:r>
        <w:rPr>
          <w:rFonts w:eastAsia="黑体"/>
          <w:sz w:val="28"/>
        </w:rPr>
        <w:t>容积率修正系数表</w:t>
      </w:r>
    </w:p>
    <w:tbl>
      <w:tblPr>
        <w:tblStyle w:val="38"/>
        <w:tblW w:w="9072" w:type="dxa"/>
        <w:jc w:val="center"/>
        <w:tblLayout w:type="autofit"/>
        <w:tblCellMar>
          <w:top w:w="0" w:type="dxa"/>
          <w:left w:w="108" w:type="dxa"/>
          <w:bottom w:w="0" w:type="dxa"/>
          <w:right w:w="108" w:type="dxa"/>
        </w:tblCellMar>
      </w:tblPr>
      <w:tblGrid>
        <w:gridCol w:w="1908"/>
        <w:gridCol w:w="1193"/>
        <w:gridCol w:w="1193"/>
        <w:gridCol w:w="1193"/>
        <w:gridCol w:w="1193"/>
        <w:gridCol w:w="1196"/>
        <w:gridCol w:w="1196"/>
      </w:tblGrid>
      <w:tr w14:paraId="38B4047C">
        <w:tblPrEx>
          <w:tblCellMar>
            <w:top w:w="0" w:type="dxa"/>
            <w:left w:w="108" w:type="dxa"/>
            <w:bottom w:w="0" w:type="dxa"/>
            <w:right w:w="108" w:type="dxa"/>
          </w:tblCellMar>
        </w:tblPrEx>
        <w:trPr>
          <w:trHeight w:val="786" w:hRule="atLeast"/>
          <w:jc w:val="center"/>
        </w:trPr>
        <w:tc>
          <w:tcPr>
            <w:tcW w:w="1066" w:type="dxa"/>
            <w:vMerge w:val="restart"/>
            <w:tcBorders>
              <w:top w:val="single" w:color="auto" w:sz="4" w:space="0"/>
              <w:left w:val="single" w:color="auto" w:sz="4" w:space="0"/>
              <w:right w:val="single" w:color="auto" w:sz="4" w:space="0"/>
            </w:tcBorders>
            <w:noWrap/>
            <w:vAlign w:val="center"/>
          </w:tcPr>
          <w:p w14:paraId="241E42EF">
            <w:pPr>
              <w:ind w:left="210" w:hanging="210" w:hangingChars="100"/>
              <w:jc w:val="right"/>
              <w:rPr>
                <w:rFonts w:eastAsia="楷体_GB2312"/>
                <w:kern w:val="0"/>
                <w:szCs w:val="21"/>
              </w:rPr>
            </w:pPr>
            <w:r>
              <w:rPr>
                <w:rFonts w:eastAsia="楷体_GB2312"/>
                <w:szCs w:val="21"/>
              </w:rPr>
              <mc:AlternateContent>
                <mc:Choice Requires="wps">
                  <w:drawing>
                    <wp:anchor distT="0" distB="0" distL="114300" distR="114300" simplePos="0" relativeHeight="251662336" behindDoc="0" locked="0" layoutInCell="1" allowOverlap="1">
                      <wp:simplePos x="0" y="0"/>
                      <wp:positionH relativeFrom="column">
                        <wp:posOffset>104775</wp:posOffset>
                      </wp:positionH>
                      <wp:positionV relativeFrom="paragraph">
                        <wp:posOffset>-3175</wp:posOffset>
                      </wp:positionV>
                      <wp:extent cx="1022350" cy="694690"/>
                      <wp:effectExtent l="2540" t="3810" r="3810" b="6350"/>
                      <wp:wrapNone/>
                      <wp:docPr id="11" name="自选图形 870"/>
                      <wp:cNvGraphicFramePr/>
                      <a:graphic xmlns:a="http://schemas.openxmlformats.org/drawingml/2006/main">
                        <a:graphicData uri="http://schemas.microsoft.com/office/word/2010/wordprocessingShape">
                          <wps:wsp>
                            <wps:cNvCnPr/>
                            <wps:spPr>
                              <a:xfrm>
                                <a:off x="0" y="0"/>
                                <a:ext cx="1022350" cy="6946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70" o:spid="_x0000_s1026" o:spt="32" type="#_x0000_t32" style="position:absolute;left:0pt;margin-left:8.25pt;margin-top:-0.25pt;height:54.7pt;width:80.5pt;z-index:251662336;mso-width-relative:page;mso-height-relative:page;" filled="f" stroked="t" coordsize="21600,21600" o:gfxdata="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SfMm11AAAAAgBAAAPAAAAAAAAAAEAIAAAACIAAABkcnMvZG93bnJldi54bWxQ&#10;SwECFAAUAAAACACHTuJAAij2W/sBAADrAwAADgAAAAAAAAABACAAAAAjAQAAZHJzL2Uyb0RvYy54&#10;bWxQSwUGAAAAAAYABgBZAQAAkAUAAAAA&#10;">
                      <v:fill on="f" focussize="0,0"/>
                      <v:stroke color="#000000" joinstyle="round"/>
                      <v:imagedata o:title=""/>
                      <o:lock v:ext="edit" aspectratio="f"/>
                    </v:shape>
                  </w:pict>
                </mc:Fallback>
              </mc:AlternateContent>
            </w:r>
            <w:r>
              <w:rPr>
                <w:rFonts w:eastAsia="楷体_GB2312"/>
                <w:kern w:val="0"/>
                <w:szCs w:val="21"/>
              </w:rPr>
              <w:t>　级别</w:t>
            </w:r>
          </w:p>
          <w:p w14:paraId="291583B4">
            <w:pPr>
              <w:ind w:left="210" w:hanging="210" w:hangingChars="100"/>
              <w:rPr>
                <w:rFonts w:eastAsia="楷体_GB2312"/>
                <w:kern w:val="0"/>
                <w:szCs w:val="21"/>
              </w:rPr>
            </w:pPr>
            <w:r>
              <w:rPr>
                <w:rFonts w:eastAsia="楷体_GB2312"/>
                <w:szCs w:val="21"/>
              </w:rPr>
              <mc:AlternateContent>
                <mc:Choice Requires="wps">
                  <w:drawing>
                    <wp:anchor distT="0" distB="0" distL="114300" distR="114300" simplePos="0" relativeHeight="251663360" behindDoc="0" locked="0" layoutInCell="1" allowOverlap="1">
                      <wp:simplePos x="0" y="0"/>
                      <wp:positionH relativeFrom="column">
                        <wp:posOffset>-72390</wp:posOffset>
                      </wp:positionH>
                      <wp:positionV relativeFrom="paragraph">
                        <wp:posOffset>22860</wp:posOffset>
                      </wp:positionV>
                      <wp:extent cx="1216025" cy="523240"/>
                      <wp:effectExtent l="1905" t="4445" r="20320" b="5715"/>
                      <wp:wrapNone/>
                      <wp:docPr id="12" name="自选图形 871"/>
                      <wp:cNvGraphicFramePr/>
                      <a:graphic xmlns:a="http://schemas.openxmlformats.org/drawingml/2006/main">
                        <a:graphicData uri="http://schemas.microsoft.com/office/word/2010/wordprocessingShape">
                          <wps:wsp>
                            <wps:cNvCnPr/>
                            <wps:spPr>
                              <a:xfrm>
                                <a:off x="0" y="0"/>
                                <a:ext cx="1216025" cy="52324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871" o:spid="_x0000_s1026" o:spt="32" type="#_x0000_t32" style="position:absolute;left:0pt;margin-left:-5.7pt;margin-top:1.8pt;height:41.2pt;width:95.75pt;z-index:251663360;mso-width-relative:page;mso-height-relative:page;" filled="f" stroked="t" coordsize="21600,21600" o:gfxdata="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gdwVY1gAAAAgBAAAPAAAAAAAAAAEAIAAAACIAAABkcnMvZG93bnJldi54&#10;bWxQSwECFAAUAAAACACHTuJACQeEDPwBAADrAwAADgAAAAAAAAABACAAAAAlAQAAZHJzL2Uyb0Rv&#10;Yy54bWxQSwUGAAAAAAYABgBZAQAAkwUAAAAA&#10;">
                      <v:fill on="f" focussize="0,0"/>
                      <v:stroke color="#000000" joinstyle="round"/>
                      <v:imagedata o:title=""/>
                      <o:lock v:ext="edit" aspectratio="f"/>
                    </v:shape>
                  </w:pict>
                </mc:Fallback>
              </mc:AlternateContent>
            </w:r>
            <w:r>
              <w:rPr>
                <w:rFonts w:eastAsia="楷体_GB2312"/>
                <w:kern w:val="0"/>
                <w:szCs w:val="21"/>
              </w:rPr>
              <w:t>修正系数</w:t>
            </w:r>
          </w:p>
          <w:p w14:paraId="2CAB0518">
            <w:pPr>
              <w:ind w:left="210" w:hanging="210" w:hangingChars="100"/>
              <w:rPr>
                <w:rFonts w:eastAsia="楷体_GB2312"/>
                <w:kern w:val="0"/>
                <w:szCs w:val="21"/>
              </w:rPr>
            </w:pPr>
          </w:p>
          <w:p w14:paraId="1D0D8A2B">
            <w:pPr>
              <w:ind w:left="210" w:hanging="210" w:hangingChars="100"/>
              <w:rPr>
                <w:rFonts w:eastAsia="楷体_GB2312"/>
                <w:kern w:val="0"/>
                <w:szCs w:val="21"/>
              </w:rPr>
            </w:pPr>
            <w:r>
              <w:rPr>
                <w:rFonts w:eastAsia="楷体_GB2312"/>
                <w:kern w:val="0"/>
                <w:szCs w:val="21"/>
              </w:rPr>
              <w:t>容积率　</w:t>
            </w:r>
          </w:p>
        </w:tc>
        <w:tc>
          <w:tcPr>
            <w:tcW w:w="1998" w:type="dxa"/>
            <w:gridSpan w:val="3"/>
            <w:tcBorders>
              <w:top w:val="single" w:color="auto" w:sz="4" w:space="0"/>
              <w:left w:val="nil"/>
              <w:bottom w:val="single" w:color="auto" w:sz="4" w:space="0"/>
              <w:right w:val="single" w:color="auto" w:sz="4" w:space="0"/>
            </w:tcBorders>
            <w:noWrap w:val="0"/>
            <w:vAlign w:val="center"/>
          </w:tcPr>
          <w:p w14:paraId="0B05627E">
            <w:pPr>
              <w:jc w:val="center"/>
              <w:rPr>
                <w:rFonts w:eastAsia="楷体_GB2312"/>
                <w:kern w:val="0"/>
                <w:szCs w:val="21"/>
              </w:rPr>
            </w:pPr>
            <w:r>
              <w:rPr>
                <w:rFonts w:hint="eastAsia" w:eastAsia="楷体_GB2312"/>
                <w:kern w:val="0"/>
                <w:szCs w:val="21"/>
              </w:rPr>
              <w:t>新闻出版用地、医疗卫生用地、文化设施用地、体育用地</w:t>
            </w:r>
          </w:p>
        </w:tc>
        <w:tc>
          <w:tcPr>
            <w:tcW w:w="2002" w:type="dxa"/>
            <w:gridSpan w:val="3"/>
            <w:tcBorders>
              <w:top w:val="single" w:color="auto" w:sz="4" w:space="0"/>
              <w:left w:val="nil"/>
              <w:bottom w:val="single" w:color="auto" w:sz="4" w:space="0"/>
              <w:right w:val="single" w:color="auto" w:sz="4" w:space="0"/>
            </w:tcBorders>
            <w:noWrap w:val="0"/>
            <w:vAlign w:val="center"/>
          </w:tcPr>
          <w:p w14:paraId="3A364D1D">
            <w:pPr>
              <w:jc w:val="center"/>
              <w:rPr>
                <w:rFonts w:eastAsia="楷体_GB2312"/>
                <w:kern w:val="0"/>
                <w:szCs w:val="21"/>
              </w:rPr>
            </w:pPr>
            <w:r>
              <w:rPr>
                <w:rFonts w:hint="eastAsia" w:eastAsia="楷体_GB2312"/>
                <w:kern w:val="0"/>
                <w:szCs w:val="21"/>
              </w:rPr>
              <w:t>教育用地、科研用地、社会福利用地</w:t>
            </w:r>
          </w:p>
        </w:tc>
      </w:tr>
      <w:tr w14:paraId="582CCE3D">
        <w:tblPrEx>
          <w:tblCellMar>
            <w:top w:w="0" w:type="dxa"/>
            <w:left w:w="108" w:type="dxa"/>
            <w:bottom w:w="0" w:type="dxa"/>
            <w:right w:w="108" w:type="dxa"/>
          </w:tblCellMar>
        </w:tblPrEx>
        <w:trPr>
          <w:trHeight w:val="285" w:hRule="atLeast"/>
          <w:jc w:val="center"/>
        </w:trPr>
        <w:tc>
          <w:tcPr>
            <w:tcW w:w="1066" w:type="dxa"/>
            <w:vMerge w:val="continue"/>
            <w:tcBorders>
              <w:left w:val="single" w:color="auto" w:sz="4" w:space="0"/>
              <w:bottom w:val="single" w:color="auto" w:sz="4" w:space="0"/>
              <w:right w:val="single" w:color="auto" w:sz="4" w:space="0"/>
            </w:tcBorders>
            <w:noWrap/>
            <w:vAlign w:val="center"/>
          </w:tcPr>
          <w:p w14:paraId="139F3563">
            <w:pPr>
              <w:rPr>
                <w:rFonts w:eastAsia="楷体_GB2312"/>
                <w:kern w:val="0"/>
                <w:szCs w:val="21"/>
              </w:rPr>
            </w:pPr>
          </w:p>
        </w:tc>
        <w:tc>
          <w:tcPr>
            <w:tcW w:w="666" w:type="dxa"/>
            <w:tcBorders>
              <w:top w:val="nil"/>
              <w:left w:val="nil"/>
              <w:bottom w:val="single" w:color="auto" w:sz="4" w:space="0"/>
              <w:right w:val="single" w:color="auto" w:sz="4" w:space="0"/>
            </w:tcBorders>
            <w:noWrap/>
            <w:vAlign w:val="center"/>
          </w:tcPr>
          <w:p w14:paraId="61020455">
            <w:pPr>
              <w:jc w:val="center"/>
              <w:rPr>
                <w:rFonts w:eastAsia="楷体_GB2312"/>
                <w:kern w:val="0"/>
                <w:szCs w:val="21"/>
              </w:rPr>
            </w:pPr>
            <w:r>
              <w:rPr>
                <w:rFonts w:eastAsia="楷体_GB2312"/>
                <w:kern w:val="0"/>
                <w:szCs w:val="21"/>
              </w:rPr>
              <w:t>一</w:t>
            </w:r>
          </w:p>
        </w:tc>
        <w:tc>
          <w:tcPr>
            <w:tcW w:w="666" w:type="dxa"/>
            <w:tcBorders>
              <w:top w:val="nil"/>
              <w:left w:val="nil"/>
              <w:bottom w:val="single" w:color="auto" w:sz="4" w:space="0"/>
              <w:right w:val="single" w:color="auto" w:sz="4" w:space="0"/>
            </w:tcBorders>
            <w:noWrap/>
            <w:vAlign w:val="center"/>
          </w:tcPr>
          <w:p w14:paraId="7C40899B">
            <w:pPr>
              <w:jc w:val="center"/>
              <w:rPr>
                <w:rFonts w:eastAsia="楷体_GB2312"/>
                <w:kern w:val="0"/>
                <w:szCs w:val="21"/>
              </w:rPr>
            </w:pPr>
            <w:r>
              <w:rPr>
                <w:rFonts w:eastAsia="楷体_GB2312"/>
                <w:kern w:val="0"/>
                <w:szCs w:val="21"/>
              </w:rPr>
              <w:t>二</w:t>
            </w:r>
          </w:p>
        </w:tc>
        <w:tc>
          <w:tcPr>
            <w:tcW w:w="666" w:type="dxa"/>
            <w:tcBorders>
              <w:top w:val="nil"/>
              <w:left w:val="nil"/>
              <w:bottom w:val="single" w:color="auto" w:sz="4" w:space="0"/>
              <w:right w:val="single" w:color="auto" w:sz="4" w:space="0"/>
            </w:tcBorders>
            <w:noWrap/>
            <w:vAlign w:val="center"/>
          </w:tcPr>
          <w:p w14:paraId="21FB8BB5">
            <w:pPr>
              <w:jc w:val="center"/>
              <w:rPr>
                <w:rFonts w:eastAsia="楷体_GB2312"/>
                <w:kern w:val="0"/>
                <w:szCs w:val="21"/>
              </w:rPr>
            </w:pPr>
            <w:r>
              <w:rPr>
                <w:rFonts w:eastAsia="楷体_GB2312"/>
                <w:kern w:val="0"/>
                <w:szCs w:val="21"/>
              </w:rPr>
              <w:t>三</w:t>
            </w:r>
          </w:p>
        </w:tc>
        <w:tc>
          <w:tcPr>
            <w:tcW w:w="666" w:type="dxa"/>
            <w:tcBorders>
              <w:top w:val="nil"/>
              <w:left w:val="nil"/>
              <w:bottom w:val="single" w:color="auto" w:sz="4" w:space="0"/>
              <w:right w:val="single" w:color="auto" w:sz="4" w:space="0"/>
            </w:tcBorders>
            <w:noWrap/>
            <w:vAlign w:val="center"/>
          </w:tcPr>
          <w:p w14:paraId="34E1737F">
            <w:pPr>
              <w:jc w:val="center"/>
              <w:rPr>
                <w:rFonts w:eastAsia="楷体_GB2312"/>
                <w:kern w:val="0"/>
                <w:szCs w:val="21"/>
              </w:rPr>
            </w:pPr>
            <w:r>
              <w:rPr>
                <w:rFonts w:eastAsia="楷体_GB2312"/>
                <w:kern w:val="0"/>
                <w:szCs w:val="21"/>
              </w:rPr>
              <w:t>一</w:t>
            </w:r>
          </w:p>
        </w:tc>
        <w:tc>
          <w:tcPr>
            <w:tcW w:w="668" w:type="dxa"/>
            <w:tcBorders>
              <w:top w:val="nil"/>
              <w:left w:val="nil"/>
              <w:bottom w:val="single" w:color="auto" w:sz="4" w:space="0"/>
              <w:right w:val="single" w:color="auto" w:sz="4" w:space="0"/>
            </w:tcBorders>
            <w:noWrap/>
            <w:vAlign w:val="center"/>
          </w:tcPr>
          <w:p w14:paraId="6D2673DE">
            <w:pPr>
              <w:jc w:val="center"/>
              <w:rPr>
                <w:rFonts w:eastAsia="楷体_GB2312"/>
                <w:kern w:val="0"/>
                <w:szCs w:val="21"/>
              </w:rPr>
            </w:pPr>
            <w:r>
              <w:rPr>
                <w:rFonts w:eastAsia="楷体_GB2312"/>
                <w:kern w:val="0"/>
                <w:szCs w:val="21"/>
              </w:rPr>
              <w:t>二</w:t>
            </w:r>
          </w:p>
        </w:tc>
        <w:tc>
          <w:tcPr>
            <w:tcW w:w="668" w:type="dxa"/>
            <w:tcBorders>
              <w:top w:val="nil"/>
              <w:left w:val="nil"/>
              <w:bottom w:val="single" w:color="auto" w:sz="4" w:space="0"/>
              <w:right w:val="single" w:color="auto" w:sz="4" w:space="0"/>
            </w:tcBorders>
            <w:noWrap/>
            <w:vAlign w:val="center"/>
          </w:tcPr>
          <w:p w14:paraId="4BA98960">
            <w:pPr>
              <w:jc w:val="center"/>
              <w:rPr>
                <w:rFonts w:eastAsia="楷体_GB2312"/>
                <w:kern w:val="0"/>
                <w:szCs w:val="21"/>
              </w:rPr>
            </w:pPr>
            <w:r>
              <w:rPr>
                <w:rFonts w:eastAsia="楷体_GB2312"/>
                <w:kern w:val="0"/>
                <w:szCs w:val="21"/>
              </w:rPr>
              <w:t>三</w:t>
            </w:r>
          </w:p>
        </w:tc>
      </w:tr>
      <w:tr w14:paraId="07A5C4D1">
        <w:tblPrEx>
          <w:tblCellMar>
            <w:top w:w="0" w:type="dxa"/>
            <w:left w:w="108" w:type="dxa"/>
            <w:bottom w:w="0" w:type="dxa"/>
            <w:right w:w="108" w:type="dxa"/>
          </w:tblCellMar>
        </w:tblPrEx>
        <w:trPr>
          <w:trHeight w:val="285" w:hRule="atLeast"/>
          <w:jc w:val="center"/>
        </w:trPr>
        <w:tc>
          <w:tcPr>
            <w:tcW w:w="1066" w:type="dxa"/>
            <w:tcBorders>
              <w:top w:val="nil"/>
              <w:left w:val="single" w:color="auto" w:sz="4" w:space="0"/>
              <w:bottom w:val="single" w:color="auto" w:sz="4" w:space="0"/>
              <w:right w:val="single" w:color="auto" w:sz="4" w:space="0"/>
            </w:tcBorders>
            <w:noWrap/>
            <w:vAlign w:val="center"/>
          </w:tcPr>
          <w:p w14:paraId="051D2357">
            <w:pPr>
              <w:jc w:val="center"/>
              <w:rPr>
                <w:rFonts w:eastAsia="楷体_GB2312"/>
                <w:kern w:val="0"/>
                <w:szCs w:val="21"/>
              </w:rPr>
            </w:pPr>
            <w:r>
              <w:rPr>
                <w:rFonts w:eastAsia="楷体_GB2312"/>
                <w:kern w:val="0"/>
                <w:szCs w:val="21"/>
              </w:rPr>
              <w:t>≤0.8</w:t>
            </w:r>
          </w:p>
        </w:tc>
        <w:tc>
          <w:tcPr>
            <w:tcW w:w="666" w:type="dxa"/>
            <w:tcBorders>
              <w:top w:val="single" w:color="auto" w:sz="8" w:space="0"/>
              <w:left w:val="single" w:color="auto" w:sz="8" w:space="0"/>
              <w:bottom w:val="single" w:color="auto" w:sz="8" w:space="0"/>
              <w:right w:val="single" w:color="auto" w:sz="8" w:space="0"/>
            </w:tcBorders>
            <w:noWrap w:val="0"/>
            <w:vAlign w:val="center"/>
          </w:tcPr>
          <w:p w14:paraId="710D912F">
            <w:pPr>
              <w:jc w:val="center"/>
              <w:rPr>
                <w:rFonts w:eastAsia="楷体_GB2312"/>
                <w:kern w:val="0"/>
                <w:szCs w:val="21"/>
              </w:rPr>
            </w:pPr>
            <w:r>
              <w:rPr>
                <w:rFonts w:eastAsia="楷体_GB2312"/>
                <w:kern w:val="0"/>
                <w:szCs w:val="21"/>
              </w:rPr>
              <w:t>0.90</w:t>
            </w:r>
          </w:p>
        </w:tc>
        <w:tc>
          <w:tcPr>
            <w:tcW w:w="666" w:type="dxa"/>
            <w:tcBorders>
              <w:top w:val="single" w:color="auto" w:sz="8" w:space="0"/>
              <w:left w:val="nil"/>
              <w:bottom w:val="single" w:color="auto" w:sz="8" w:space="0"/>
              <w:right w:val="single" w:color="auto" w:sz="8" w:space="0"/>
            </w:tcBorders>
            <w:noWrap w:val="0"/>
            <w:vAlign w:val="center"/>
          </w:tcPr>
          <w:p w14:paraId="7E947CF9">
            <w:pPr>
              <w:jc w:val="center"/>
              <w:rPr>
                <w:rFonts w:eastAsia="楷体_GB2312"/>
                <w:kern w:val="0"/>
                <w:szCs w:val="21"/>
              </w:rPr>
            </w:pPr>
            <w:r>
              <w:rPr>
                <w:rFonts w:eastAsia="楷体_GB2312"/>
                <w:kern w:val="0"/>
                <w:szCs w:val="21"/>
              </w:rPr>
              <w:t>0.92</w:t>
            </w:r>
          </w:p>
        </w:tc>
        <w:tc>
          <w:tcPr>
            <w:tcW w:w="666" w:type="dxa"/>
            <w:tcBorders>
              <w:top w:val="single" w:color="auto" w:sz="8" w:space="0"/>
              <w:left w:val="nil"/>
              <w:bottom w:val="single" w:color="auto" w:sz="8" w:space="0"/>
              <w:right w:val="single" w:color="auto" w:sz="8" w:space="0"/>
            </w:tcBorders>
            <w:noWrap w:val="0"/>
            <w:vAlign w:val="center"/>
          </w:tcPr>
          <w:p w14:paraId="65283C1E">
            <w:pPr>
              <w:jc w:val="center"/>
              <w:rPr>
                <w:rFonts w:eastAsia="楷体_GB2312"/>
                <w:kern w:val="0"/>
                <w:szCs w:val="21"/>
              </w:rPr>
            </w:pPr>
            <w:r>
              <w:rPr>
                <w:rFonts w:eastAsia="楷体_GB2312"/>
                <w:kern w:val="0"/>
                <w:szCs w:val="21"/>
              </w:rPr>
              <w:t>0.96</w:t>
            </w:r>
          </w:p>
        </w:tc>
        <w:tc>
          <w:tcPr>
            <w:tcW w:w="666" w:type="dxa"/>
            <w:tcBorders>
              <w:top w:val="single" w:color="auto" w:sz="8" w:space="0"/>
              <w:left w:val="nil"/>
              <w:bottom w:val="single" w:color="auto" w:sz="8" w:space="0"/>
              <w:right w:val="single" w:color="auto" w:sz="8" w:space="0"/>
            </w:tcBorders>
            <w:noWrap w:val="0"/>
            <w:vAlign w:val="center"/>
          </w:tcPr>
          <w:p w14:paraId="6759CE1A">
            <w:pPr>
              <w:jc w:val="center"/>
              <w:rPr>
                <w:rFonts w:eastAsia="楷体_GB2312"/>
                <w:kern w:val="0"/>
                <w:szCs w:val="21"/>
              </w:rPr>
            </w:pPr>
            <w:r>
              <w:rPr>
                <w:rFonts w:eastAsia="楷体_GB2312"/>
                <w:kern w:val="0"/>
                <w:szCs w:val="21"/>
              </w:rPr>
              <w:t>0.92</w:t>
            </w:r>
          </w:p>
        </w:tc>
        <w:tc>
          <w:tcPr>
            <w:tcW w:w="668" w:type="dxa"/>
            <w:tcBorders>
              <w:top w:val="single" w:color="auto" w:sz="8" w:space="0"/>
              <w:left w:val="nil"/>
              <w:bottom w:val="single" w:color="auto" w:sz="8" w:space="0"/>
              <w:right w:val="single" w:color="auto" w:sz="8" w:space="0"/>
            </w:tcBorders>
            <w:noWrap w:val="0"/>
            <w:vAlign w:val="center"/>
          </w:tcPr>
          <w:p w14:paraId="50A73CC9">
            <w:pPr>
              <w:jc w:val="center"/>
              <w:rPr>
                <w:rFonts w:eastAsia="楷体_GB2312"/>
                <w:kern w:val="0"/>
                <w:szCs w:val="21"/>
              </w:rPr>
            </w:pPr>
            <w:r>
              <w:rPr>
                <w:rFonts w:eastAsia="楷体_GB2312"/>
                <w:kern w:val="0"/>
                <w:szCs w:val="21"/>
              </w:rPr>
              <w:t>0.94</w:t>
            </w:r>
          </w:p>
        </w:tc>
        <w:tc>
          <w:tcPr>
            <w:tcW w:w="668" w:type="dxa"/>
            <w:tcBorders>
              <w:top w:val="single" w:color="auto" w:sz="8" w:space="0"/>
              <w:left w:val="nil"/>
              <w:bottom w:val="single" w:color="auto" w:sz="8" w:space="0"/>
              <w:right w:val="single" w:color="auto" w:sz="8" w:space="0"/>
            </w:tcBorders>
            <w:noWrap w:val="0"/>
            <w:vAlign w:val="center"/>
          </w:tcPr>
          <w:p w14:paraId="6677021E">
            <w:pPr>
              <w:jc w:val="center"/>
              <w:rPr>
                <w:rFonts w:eastAsia="楷体_GB2312"/>
                <w:kern w:val="0"/>
                <w:szCs w:val="21"/>
              </w:rPr>
            </w:pPr>
            <w:r>
              <w:rPr>
                <w:rFonts w:eastAsia="楷体_GB2312"/>
                <w:kern w:val="0"/>
                <w:szCs w:val="21"/>
              </w:rPr>
              <w:t>0.96</w:t>
            </w:r>
          </w:p>
        </w:tc>
      </w:tr>
      <w:tr w14:paraId="7FA12958">
        <w:tblPrEx>
          <w:tblCellMar>
            <w:top w:w="0" w:type="dxa"/>
            <w:left w:w="108" w:type="dxa"/>
            <w:bottom w:w="0" w:type="dxa"/>
            <w:right w:w="108" w:type="dxa"/>
          </w:tblCellMar>
        </w:tblPrEx>
        <w:trPr>
          <w:trHeight w:val="285" w:hRule="atLeast"/>
          <w:jc w:val="center"/>
        </w:trPr>
        <w:tc>
          <w:tcPr>
            <w:tcW w:w="1066" w:type="dxa"/>
            <w:tcBorders>
              <w:top w:val="nil"/>
              <w:left w:val="single" w:color="auto" w:sz="4" w:space="0"/>
              <w:bottom w:val="single" w:color="auto" w:sz="4" w:space="0"/>
              <w:right w:val="single" w:color="auto" w:sz="4" w:space="0"/>
            </w:tcBorders>
            <w:noWrap/>
            <w:vAlign w:val="center"/>
          </w:tcPr>
          <w:p w14:paraId="335A6350">
            <w:pPr>
              <w:jc w:val="center"/>
              <w:rPr>
                <w:rFonts w:eastAsia="楷体_GB2312"/>
                <w:kern w:val="0"/>
                <w:szCs w:val="21"/>
              </w:rPr>
            </w:pPr>
            <w:r>
              <w:rPr>
                <w:rFonts w:eastAsia="楷体_GB2312"/>
                <w:kern w:val="0"/>
                <w:szCs w:val="21"/>
              </w:rPr>
              <w:t>0.9</w:t>
            </w:r>
          </w:p>
        </w:tc>
        <w:tc>
          <w:tcPr>
            <w:tcW w:w="666" w:type="dxa"/>
            <w:tcBorders>
              <w:top w:val="nil"/>
              <w:left w:val="single" w:color="auto" w:sz="8" w:space="0"/>
              <w:bottom w:val="single" w:color="auto" w:sz="8" w:space="0"/>
              <w:right w:val="single" w:color="auto" w:sz="8" w:space="0"/>
            </w:tcBorders>
            <w:noWrap w:val="0"/>
            <w:vAlign w:val="center"/>
          </w:tcPr>
          <w:p w14:paraId="1755F5DF">
            <w:pPr>
              <w:jc w:val="center"/>
              <w:rPr>
                <w:rFonts w:eastAsia="楷体_GB2312"/>
                <w:kern w:val="0"/>
                <w:szCs w:val="21"/>
              </w:rPr>
            </w:pPr>
            <w:r>
              <w:rPr>
                <w:rFonts w:eastAsia="楷体_GB2312"/>
                <w:kern w:val="0"/>
                <w:szCs w:val="21"/>
              </w:rPr>
              <w:t>0.92</w:t>
            </w:r>
          </w:p>
        </w:tc>
        <w:tc>
          <w:tcPr>
            <w:tcW w:w="666" w:type="dxa"/>
            <w:tcBorders>
              <w:top w:val="nil"/>
              <w:left w:val="nil"/>
              <w:bottom w:val="single" w:color="auto" w:sz="8" w:space="0"/>
              <w:right w:val="single" w:color="auto" w:sz="8" w:space="0"/>
            </w:tcBorders>
            <w:noWrap w:val="0"/>
            <w:vAlign w:val="center"/>
          </w:tcPr>
          <w:p w14:paraId="4EAA49E4">
            <w:pPr>
              <w:jc w:val="center"/>
              <w:rPr>
                <w:rFonts w:eastAsia="楷体_GB2312"/>
                <w:kern w:val="0"/>
                <w:szCs w:val="21"/>
              </w:rPr>
            </w:pPr>
            <w:r>
              <w:rPr>
                <w:rFonts w:eastAsia="楷体_GB2312"/>
                <w:kern w:val="0"/>
                <w:szCs w:val="21"/>
              </w:rPr>
              <w:t>0.94</w:t>
            </w:r>
          </w:p>
        </w:tc>
        <w:tc>
          <w:tcPr>
            <w:tcW w:w="666" w:type="dxa"/>
            <w:tcBorders>
              <w:top w:val="nil"/>
              <w:left w:val="nil"/>
              <w:bottom w:val="single" w:color="auto" w:sz="8" w:space="0"/>
              <w:right w:val="single" w:color="auto" w:sz="8" w:space="0"/>
            </w:tcBorders>
            <w:noWrap w:val="0"/>
            <w:vAlign w:val="center"/>
          </w:tcPr>
          <w:p w14:paraId="6901BCF1">
            <w:pPr>
              <w:jc w:val="center"/>
              <w:rPr>
                <w:rFonts w:eastAsia="楷体_GB2312"/>
                <w:kern w:val="0"/>
                <w:szCs w:val="21"/>
              </w:rPr>
            </w:pPr>
            <w:r>
              <w:rPr>
                <w:rFonts w:eastAsia="楷体_GB2312"/>
                <w:kern w:val="0"/>
                <w:szCs w:val="21"/>
              </w:rPr>
              <w:t>0.98</w:t>
            </w:r>
          </w:p>
        </w:tc>
        <w:tc>
          <w:tcPr>
            <w:tcW w:w="666" w:type="dxa"/>
            <w:tcBorders>
              <w:top w:val="nil"/>
              <w:left w:val="nil"/>
              <w:bottom w:val="single" w:color="auto" w:sz="8" w:space="0"/>
              <w:right w:val="single" w:color="auto" w:sz="8" w:space="0"/>
            </w:tcBorders>
            <w:noWrap w:val="0"/>
            <w:vAlign w:val="center"/>
          </w:tcPr>
          <w:p w14:paraId="70FDDF84">
            <w:pPr>
              <w:jc w:val="center"/>
              <w:rPr>
                <w:rFonts w:eastAsia="楷体_GB2312"/>
                <w:kern w:val="0"/>
                <w:szCs w:val="21"/>
              </w:rPr>
            </w:pPr>
            <w:r>
              <w:rPr>
                <w:rFonts w:eastAsia="楷体_GB2312"/>
                <w:kern w:val="0"/>
                <w:szCs w:val="21"/>
              </w:rPr>
              <w:t>0.94</w:t>
            </w:r>
          </w:p>
        </w:tc>
        <w:tc>
          <w:tcPr>
            <w:tcW w:w="668" w:type="dxa"/>
            <w:tcBorders>
              <w:top w:val="nil"/>
              <w:left w:val="nil"/>
              <w:bottom w:val="single" w:color="auto" w:sz="8" w:space="0"/>
              <w:right w:val="single" w:color="auto" w:sz="8" w:space="0"/>
            </w:tcBorders>
            <w:noWrap w:val="0"/>
            <w:vAlign w:val="center"/>
          </w:tcPr>
          <w:p w14:paraId="1EB1A960">
            <w:pPr>
              <w:jc w:val="center"/>
              <w:rPr>
                <w:rFonts w:eastAsia="楷体_GB2312"/>
                <w:kern w:val="0"/>
                <w:szCs w:val="21"/>
              </w:rPr>
            </w:pPr>
            <w:r>
              <w:rPr>
                <w:rFonts w:eastAsia="楷体_GB2312"/>
                <w:kern w:val="0"/>
                <w:szCs w:val="21"/>
              </w:rPr>
              <w:t>0.96</w:t>
            </w:r>
          </w:p>
        </w:tc>
        <w:tc>
          <w:tcPr>
            <w:tcW w:w="668" w:type="dxa"/>
            <w:tcBorders>
              <w:top w:val="nil"/>
              <w:left w:val="nil"/>
              <w:bottom w:val="single" w:color="auto" w:sz="8" w:space="0"/>
              <w:right w:val="single" w:color="auto" w:sz="8" w:space="0"/>
            </w:tcBorders>
            <w:noWrap w:val="0"/>
            <w:vAlign w:val="center"/>
          </w:tcPr>
          <w:p w14:paraId="626E0CBE">
            <w:pPr>
              <w:jc w:val="center"/>
              <w:rPr>
                <w:rFonts w:eastAsia="楷体_GB2312"/>
                <w:kern w:val="0"/>
                <w:szCs w:val="21"/>
              </w:rPr>
            </w:pPr>
            <w:r>
              <w:rPr>
                <w:rFonts w:eastAsia="楷体_GB2312"/>
                <w:kern w:val="0"/>
                <w:szCs w:val="21"/>
              </w:rPr>
              <w:t>0.98</w:t>
            </w:r>
          </w:p>
        </w:tc>
      </w:tr>
      <w:tr w14:paraId="27ED9306">
        <w:tblPrEx>
          <w:tblCellMar>
            <w:top w:w="0" w:type="dxa"/>
            <w:left w:w="108" w:type="dxa"/>
            <w:bottom w:w="0" w:type="dxa"/>
            <w:right w:w="108" w:type="dxa"/>
          </w:tblCellMar>
        </w:tblPrEx>
        <w:trPr>
          <w:trHeight w:val="285" w:hRule="atLeast"/>
          <w:jc w:val="center"/>
        </w:trPr>
        <w:tc>
          <w:tcPr>
            <w:tcW w:w="1066" w:type="dxa"/>
            <w:tcBorders>
              <w:top w:val="nil"/>
              <w:left w:val="single" w:color="auto" w:sz="4" w:space="0"/>
              <w:bottom w:val="single" w:color="auto" w:sz="4" w:space="0"/>
              <w:right w:val="single" w:color="auto" w:sz="4" w:space="0"/>
            </w:tcBorders>
            <w:noWrap/>
            <w:vAlign w:val="center"/>
          </w:tcPr>
          <w:p w14:paraId="3B51D0C3">
            <w:pPr>
              <w:jc w:val="center"/>
              <w:rPr>
                <w:rFonts w:eastAsia="楷体_GB2312"/>
                <w:kern w:val="0"/>
                <w:szCs w:val="21"/>
              </w:rPr>
            </w:pPr>
            <w:r>
              <w:rPr>
                <w:rFonts w:eastAsia="楷体_GB2312"/>
                <w:kern w:val="0"/>
                <w:szCs w:val="21"/>
              </w:rPr>
              <w:t>1.0</w:t>
            </w:r>
          </w:p>
        </w:tc>
        <w:tc>
          <w:tcPr>
            <w:tcW w:w="666" w:type="dxa"/>
            <w:tcBorders>
              <w:top w:val="nil"/>
              <w:left w:val="single" w:color="auto" w:sz="8" w:space="0"/>
              <w:bottom w:val="single" w:color="auto" w:sz="8" w:space="0"/>
              <w:right w:val="single" w:color="auto" w:sz="8" w:space="0"/>
            </w:tcBorders>
            <w:noWrap w:val="0"/>
            <w:vAlign w:val="center"/>
          </w:tcPr>
          <w:p w14:paraId="43E825B2">
            <w:pPr>
              <w:jc w:val="center"/>
              <w:rPr>
                <w:rFonts w:eastAsia="楷体_GB2312"/>
                <w:kern w:val="0"/>
                <w:szCs w:val="21"/>
              </w:rPr>
            </w:pPr>
            <w:r>
              <w:rPr>
                <w:rFonts w:eastAsia="楷体_GB2312"/>
                <w:kern w:val="0"/>
                <w:szCs w:val="21"/>
              </w:rPr>
              <w:t>0.94</w:t>
            </w:r>
          </w:p>
        </w:tc>
        <w:tc>
          <w:tcPr>
            <w:tcW w:w="666" w:type="dxa"/>
            <w:tcBorders>
              <w:top w:val="nil"/>
              <w:left w:val="nil"/>
              <w:bottom w:val="single" w:color="auto" w:sz="8" w:space="0"/>
              <w:right w:val="single" w:color="auto" w:sz="8" w:space="0"/>
            </w:tcBorders>
            <w:noWrap w:val="0"/>
            <w:vAlign w:val="center"/>
          </w:tcPr>
          <w:p w14:paraId="4E3A1BAF">
            <w:pPr>
              <w:jc w:val="center"/>
              <w:rPr>
                <w:rFonts w:eastAsia="楷体_GB2312"/>
                <w:kern w:val="0"/>
                <w:szCs w:val="21"/>
              </w:rPr>
            </w:pPr>
            <w:r>
              <w:rPr>
                <w:rFonts w:eastAsia="楷体_GB2312"/>
                <w:kern w:val="0"/>
                <w:szCs w:val="21"/>
              </w:rPr>
              <w:t>0.96</w:t>
            </w:r>
          </w:p>
        </w:tc>
        <w:tc>
          <w:tcPr>
            <w:tcW w:w="666" w:type="dxa"/>
            <w:tcBorders>
              <w:top w:val="nil"/>
              <w:left w:val="nil"/>
              <w:bottom w:val="single" w:color="auto" w:sz="8" w:space="0"/>
              <w:right w:val="single" w:color="auto" w:sz="8" w:space="0"/>
            </w:tcBorders>
            <w:noWrap w:val="0"/>
            <w:vAlign w:val="center"/>
          </w:tcPr>
          <w:p w14:paraId="6F9046C6">
            <w:pPr>
              <w:jc w:val="center"/>
              <w:rPr>
                <w:rFonts w:eastAsia="楷体_GB2312"/>
                <w:b/>
                <w:bCs/>
                <w:kern w:val="0"/>
                <w:szCs w:val="21"/>
              </w:rPr>
            </w:pPr>
            <w:r>
              <w:rPr>
                <w:rFonts w:eastAsia="楷体_GB2312"/>
                <w:b/>
                <w:bCs/>
                <w:kern w:val="0"/>
                <w:szCs w:val="21"/>
              </w:rPr>
              <w:t>1.0</w:t>
            </w:r>
          </w:p>
        </w:tc>
        <w:tc>
          <w:tcPr>
            <w:tcW w:w="666" w:type="dxa"/>
            <w:tcBorders>
              <w:top w:val="nil"/>
              <w:left w:val="nil"/>
              <w:bottom w:val="single" w:color="auto" w:sz="8" w:space="0"/>
              <w:right w:val="single" w:color="auto" w:sz="8" w:space="0"/>
            </w:tcBorders>
            <w:noWrap w:val="0"/>
            <w:vAlign w:val="center"/>
          </w:tcPr>
          <w:p w14:paraId="6A8A8909">
            <w:pPr>
              <w:jc w:val="center"/>
              <w:rPr>
                <w:rFonts w:eastAsia="楷体_GB2312"/>
                <w:kern w:val="0"/>
                <w:szCs w:val="21"/>
              </w:rPr>
            </w:pPr>
            <w:r>
              <w:rPr>
                <w:rFonts w:eastAsia="楷体_GB2312"/>
                <w:kern w:val="0"/>
                <w:szCs w:val="21"/>
              </w:rPr>
              <w:t>0.96</w:t>
            </w:r>
          </w:p>
        </w:tc>
        <w:tc>
          <w:tcPr>
            <w:tcW w:w="668" w:type="dxa"/>
            <w:tcBorders>
              <w:top w:val="nil"/>
              <w:left w:val="nil"/>
              <w:bottom w:val="single" w:color="auto" w:sz="8" w:space="0"/>
              <w:right w:val="single" w:color="auto" w:sz="8" w:space="0"/>
            </w:tcBorders>
            <w:noWrap w:val="0"/>
            <w:vAlign w:val="center"/>
          </w:tcPr>
          <w:p w14:paraId="53708A9B">
            <w:pPr>
              <w:jc w:val="center"/>
              <w:rPr>
                <w:rFonts w:eastAsia="楷体_GB2312"/>
                <w:kern w:val="0"/>
                <w:szCs w:val="21"/>
              </w:rPr>
            </w:pPr>
            <w:r>
              <w:rPr>
                <w:rFonts w:eastAsia="楷体_GB2312"/>
                <w:kern w:val="0"/>
                <w:szCs w:val="21"/>
              </w:rPr>
              <w:t>0.98</w:t>
            </w:r>
          </w:p>
        </w:tc>
        <w:tc>
          <w:tcPr>
            <w:tcW w:w="668" w:type="dxa"/>
            <w:tcBorders>
              <w:top w:val="nil"/>
              <w:left w:val="nil"/>
              <w:bottom w:val="single" w:color="auto" w:sz="8" w:space="0"/>
              <w:right w:val="single" w:color="auto" w:sz="8" w:space="0"/>
            </w:tcBorders>
            <w:noWrap w:val="0"/>
            <w:vAlign w:val="center"/>
          </w:tcPr>
          <w:p w14:paraId="0DB9346E">
            <w:pPr>
              <w:jc w:val="center"/>
              <w:rPr>
                <w:rFonts w:eastAsia="楷体_GB2312"/>
                <w:b/>
                <w:bCs/>
                <w:kern w:val="0"/>
                <w:szCs w:val="21"/>
              </w:rPr>
            </w:pPr>
            <w:r>
              <w:rPr>
                <w:rFonts w:eastAsia="楷体_GB2312"/>
                <w:b/>
                <w:bCs/>
                <w:kern w:val="0"/>
                <w:szCs w:val="21"/>
              </w:rPr>
              <w:t>1.0</w:t>
            </w:r>
          </w:p>
        </w:tc>
      </w:tr>
      <w:tr w14:paraId="731D8DB3">
        <w:tblPrEx>
          <w:tblCellMar>
            <w:top w:w="0" w:type="dxa"/>
            <w:left w:w="108" w:type="dxa"/>
            <w:bottom w:w="0" w:type="dxa"/>
            <w:right w:w="108" w:type="dxa"/>
          </w:tblCellMar>
        </w:tblPrEx>
        <w:trPr>
          <w:trHeight w:val="285" w:hRule="atLeast"/>
          <w:jc w:val="center"/>
        </w:trPr>
        <w:tc>
          <w:tcPr>
            <w:tcW w:w="1066" w:type="dxa"/>
            <w:tcBorders>
              <w:top w:val="nil"/>
              <w:left w:val="single" w:color="auto" w:sz="4" w:space="0"/>
              <w:bottom w:val="single" w:color="auto" w:sz="4" w:space="0"/>
              <w:right w:val="single" w:color="auto" w:sz="4" w:space="0"/>
            </w:tcBorders>
            <w:noWrap/>
            <w:vAlign w:val="center"/>
          </w:tcPr>
          <w:p w14:paraId="7FF802CC">
            <w:pPr>
              <w:jc w:val="center"/>
              <w:rPr>
                <w:rFonts w:eastAsia="楷体_GB2312"/>
                <w:kern w:val="0"/>
                <w:szCs w:val="21"/>
              </w:rPr>
            </w:pPr>
            <w:r>
              <w:rPr>
                <w:rFonts w:eastAsia="楷体_GB2312"/>
                <w:kern w:val="0"/>
                <w:szCs w:val="21"/>
              </w:rPr>
              <w:t>1.1</w:t>
            </w:r>
          </w:p>
        </w:tc>
        <w:tc>
          <w:tcPr>
            <w:tcW w:w="666" w:type="dxa"/>
            <w:tcBorders>
              <w:top w:val="nil"/>
              <w:left w:val="single" w:color="auto" w:sz="8" w:space="0"/>
              <w:bottom w:val="single" w:color="auto" w:sz="8" w:space="0"/>
              <w:right w:val="single" w:color="auto" w:sz="8" w:space="0"/>
            </w:tcBorders>
            <w:noWrap w:val="0"/>
            <w:vAlign w:val="center"/>
          </w:tcPr>
          <w:p w14:paraId="6BBA8A81">
            <w:pPr>
              <w:jc w:val="center"/>
              <w:rPr>
                <w:rFonts w:eastAsia="楷体_GB2312"/>
                <w:kern w:val="0"/>
                <w:szCs w:val="21"/>
              </w:rPr>
            </w:pPr>
            <w:r>
              <w:rPr>
                <w:rFonts w:eastAsia="楷体_GB2312"/>
                <w:kern w:val="0"/>
                <w:szCs w:val="21"/>
              </w:rPr>
              <w:t>0.96</w:t>
            </w:r>
          </w:p>
        </w:tc>
        <w:tc>
          <w:tcPr>
            <w:tcW w:w="666" w:type="dxa"/>
            <w:tcBorders>
              <w:top w:val="nil"/>
              <w:left w:val="nil"/>
              <w:bottom w:val="single" w:color="auto" w:sz="8" w:space="0"/>
              <w:right w:val="single" w:color="auto" w:sz="8" w:space="0"/>
            </w:tcBorders>
            <w:noWrap w:val="0"/>
            <w:vAlign w:val="center"/>
          </w:tcPr>
          <w:p w14:paraId="721267D8">
            <w:pPr>
              <w:jc w:val="center"/>
              <w:rPr>
                <w:rFonts w:eastAsia="楷体_GB2312"/>
                <w:kern w:val="0"/>
                <w:szCs w:val="21"/>
              </w:rPr>
            </w:pPr>
            <w:r>
              <w:rPr>
                <w:rFonts w:eastAsia="楷体_GB2312"/>
                <w:kern w:val="0"/>
                <w:szCs w:val="21"/>
              </w:rPr>
              <w:t>0.98</w:t>
            </w:r>
          </w:p>
        </w:tc>
        <w:tc>
          <w:tcPr>
            <w:tcW w:w="666" w:type="dxa"/>
            <w:tcBorders>
              <w:top w:val="nil"/>
              <w:left w:val="nil"/>
              <w:bottom w:val="single" w:color="auto" w:sz="8" w:space="0"/>
              <w:right w:val="single" w:color="auto" w:sz="8" w:space="0"/>
            </w:tcBorders>
            <w:noWrap w:val="0"/>
            <w:vAlign w:val="center"/>
          </w:tcPr>
          <w:p w14:paraId="4055B977">
            <w:pPr>
              <w:jc w:val="center"/>
              <w:rPr>
                <w:rFonts w:eastAsia="楷体_GB2312"/>
                <w:kern w:val="0"/>
                <w:szCs w:val="21"/>
              </w:rPr>
            </w:pPr>
            <w:r>
              <w:rPr>
                <w:rFonts w:eastAsia="楷体_GB2312"/>
                <w:kern w:val="0"/>
                <w:szCs w:val="21"/>
              </w:rPr>
              <w:t>1.03</w:t>
            </w:r>
          </w:p>
        </w:tc>
        <w:tc>
          <w:tcPr>
            <w:tcW w:w="666" w:type="dxa"/>
            <w:tcBorders>
              <w:top w:val="nil"/>
              <w:left w:val="nil"/>
              <w:bottom w:val="single" w:color="auto" w:sz="8" w:space="0"/>
              <w:right w:val="single" w:color="auto" w:sz="8" w:space="0"/>
            </w:tcBorders>
            <w:noWrap w:val="0"/>
            <w:vAlign w:val="center"/>
          </w:tcPr>
          <w:p w14:paraId="5FE43880">
            <w:pPr>
              <w:jc w:val="center"/>
              <w:rPr>
                <w:rFonts w:eastAsia="楷体_GB2312"/>
                <w:kern w:val="0"/>
                <w:szCs w:val="21"/>
              </w:rPr>
            </w:pPr>
            <w:r>
              <w:rPr>
                <w:rFonts w:eastAsia="楷体_GB2312"/>
                <w:kern w:val="0"/>
                <w:szCs w:val="21"/>
              </w:rPr>
              <w:t>0.98</w:t>
            </w:r>
          </w:p>
        </w:tc>
        <w:tc>
          <w:tcPr>
            <w:tcW w:w="668" w:type="dxa"/>
            <w:tcBorders>
              <w:top w:val="nil"/>
              <w:left w:val="nil"/>
              <w:bottom w:val="single" w:color="auto" w:sz="8" w:space="0"/>
              <w:right w:val="single" w:color="auto" w:sz="8" w:space="0"/>
            </w:tcBorders>
            <w:noWrap w:val="0"/>
            <w:vAlign w:val="center"/>
          </w:tcPr>
          <w:p w14:paraId="4F0D4FF8">
            <w:pPr>
              <w:jc w:val="center"/>
              <w:rPr>
                <w:rFonts w:eastAsia="楷体_GB2312"/>
                <w:b/>
                <w:bCs/>
                <w:kern w:val="0"/>
                <w:szCs w:val="21"/>
              </w:rPr>
            </w:pPr>
            <w:r>
              <w:rPr>
                <w:rFonts w:eastAsia="楷体_GB2312"/>
                <w:b/>
                <w:bCs/>
                <w:kern w:val="0"/>
                <w:szCs w:val="21"/>
              </w:rPr>
              <w:t>1.0</w:t>
            </w:r>
          </w:p>
        </w:tc>
        <w:tc>
          <w:tcPr>
            <w:tcW w:w="668" w:type="dxa"/>
            <w:tcBorders>
              <w:top w:val="nil"/>
              <w:left w:val="nil"/>
              <w:bottom w:val="single" w:color="auto" w:sz="8" w:space="0"/>
              <w:right w:val="single" w:color="auto" w:sz="8" w:space="0"/>
            </w:tcBorders>
            <w:noWrap w:val="0"/>
            <w:vAlign w:val="center"/>
          </w:tcPr>
          <w:p w14:paraId="7CBAD066">
            <w:pPr>
              <w:jc w:val="center"/>
              <w:rPr>
                <w:rFonts w:eastAsia="楷体_GB2312"/>
                <w:kern w:val="0"/>
                <w:szCs w:val="21"/>
              </w:rPr>
            </w:pPr>
            <w:r>
              <w:rPr>
                <w:rFonts w:eastAsia="楷体_GB2312"/>
                <w:kern w:val="0"/>
                <w:szCs w:val="21"/>
              </w:rPr>
              <w:t>1.03</w:t>
            </w:r>
          </w:p>
        </w:tc>
      </w:tr>
      <w:tr w14:paraId="4300A8BD">
        <w:tblPrEx>
          <w:tblCellMar>
            <w:top w:w="0" w:type="dxa"/>
            <w:left w:w="108" w:type="dxa"/>
            <w:bottom w:w="0" w:type="dxa"/>
            <w:right w:w="108" w:type="dxa"/>
          </w:tblCellMar>
        </w:tblPrEx>
        <w:trPr>
          <w:trHeight w:val="285" w:hRule="atLeast"/>
          <w:jc w:val="center"/>
        </w:trPr>
        <w:tc>
          <w:tcPr>
            <w:tcW w:w="1066" w:type="dxa"/>
            <w:tcBorders>
              <w:top w:val="nil"/>
              <w:left w:val="single" w:color="auto" w:sz="4" w:space="0"/>
              <w:bottom w:val="single" w:color="auto" w:sz="4" w:space="0"/>
              <w:right w:val="single" w:color="auto" w:sz="4" w:space="0"/>
            </w:tcBorders>
            <w:noWrap/>
            <w:vAlign w:val="center"/>
          </w:tcPr>
          <w:p w14:paraId="7A6F6D28">
            <w:pPr>
              <w:jc w:val="center"/>
              <w:rPr>
                <w:rFonts w:eastAsia="楷体_GB2312"/>
                <w:kern w:val="0"/>
                <w:szCs w:val="21"/>
              </w:rPr>
            </w:pPr>
            <w:r>
              <w:rPr>
                <w:rFonts w:eastAsia="楷体_GB2312"/>
                <w:kern w:val="0"/>
                <w:szCs w:val="21"/>
              </w:rPr>
              <w:t>1.2</w:t>
            </w:r>
          </w:p>
        </w:tc>
        <w:tc>
          <w:tcPr>
            <w:tcW w:w="666" w:type="dxa"/>
            <w:tcBorders>
              <w:top w:val="nil"/>
              <w:left w:val="single" w:color="auto" w:sz="8" w:space="0"/>
              <w:bottom w:val="single" w:color="auto" w:sz="8" w:space="0"/>
              <w:right w:val="single" w:color="auto" w:sz="8" w:space="0"/>
            </w:tcBorders>
            <w:noWrap w:val="0"/>
            <w:vAlign w:val="center"/>
          </w:tcPr>
          <w:p w14:paraId="4EBC89C9">
            <w:pPr>
              <w:jc w:val="center"/>
              <w:rPr>
                <w:rFonts w:eastAsia="楷体_GB2312"/>
                <w:kern w:val="0"/>
                <w:szCs w:val="21"/>
              </w:rPr>
            </w:pPr>
            <w:r>
              <w:rPr>
                <w:rFonts w:eastAsia="楷体_GB2312"/>
                <w:kern w:val="0"/>
                <w:szCs w:val="21"/>
              </w:rPr>
              <w:t>0.98</w:t>
            </w:r>
          </w:p>
        </w:tc>
        <w:tc>
          <w:tcPr>
            <w:tcW w:w="666" w:type="dxa"/>
            <w:tcBorders>
              <w:top w:val="nil"/>
              <w:left w:val="nil"/>
              <w:bottom w:val="single" w:color="auto" w:sz="8" w:space="0"/>
              <w:right w:val="single" w:color="auto" w:sz="8" w:space="0"/>
            </w:tcBorders>
            <w:noWrap w:val="0"/>
            <w:vAlign w:val="center"/>
          </w:tcPr>
          <w:p w14:paraId="21EB8361">
            <w:pPr>
              <w:jc w:val="center"/>
              <w:rPr>
                <w:rFonts w:eastAsia="楷体_GB2312"/>
                <w:b/>
                <w:bCs/>
                <w:kern w:val="0"/>
                <w:szCs w:val="21"/>
              </w:rPr>
            </w:pPr>
            <w:r>
              <w:rPr>
                <w:rFonts w:eastAsia="楷体_GB2312"/>
                <w:b/>
                <w:bCs/>
                <w:kern w:val="0"/>
                <w:szCs w:val="21"/>
              </w:rPr>
              <w:t>1.0</w:t>
            </w:r>
          </w:p>
        </w:tc>
        <w:tc>
          <w:tcPr>
            <w:tcW w:w="666" w:type="dxa"/>
            <w:tcBorders>
              <w:top w:val="nil"/>
              <w:left w:val="nil"/>
              <w:bottom w:val="single" w:color="auto" w:sz="8" w:space="0"/>
              <w:right w:val="single" w:color="auto" w:sz="8" w:space="0"/>
            </w:tcBorders>
            <w:noWrap w:val="0"/>
            <w:vAlign w:val="center"/>
          </w:tcPr>
          <w:p w14:paraId="10EAC8D1">
            <w:pPr>
              <w:jc w:val="center"/>
              <w:rPr>
                <w:rFonts w:eastAsia="楷体_GB2312"/>
                <w:kern w:val="0"/>
                <w:szCs w:val="21"/>
              </w:rPr>
            </w:pPr>
            <w:r>
              <w:rPr>
                <w:rFonts w:eastAsia="楷体_GB2312"/>
                <w:kern w:val="0"/>
                <w:szCs w:val="21"/>
              </w:rPr>
              <w:t>1.06</w:t>
            </w:r>
          </w:p>
        </w:tc>
        <w:tc>
          <w:tcPr>
            <w:tcW w:w="666" w:type="dxa"/>
            <w:tcBorders>
              <w:top w:val="nil"/>
              <w:left w:val="nil"/>
              <w:bottom w:val="single" w:color="auto" w:sz="8" w:space="0"/>
              <w:right w:val="single" w:color="auto" w:sz="8" w:space="0"/>
            </w:tcBorders>
            <w:noWrap w:val="0"/>
            <w:vAlign w:val="center"/>
          </w:tcPr>
          <w:p w14:paraId="4663C5D9">
            <w:pPr>
              <w:jc w:val="center"/>
              <w:rPr>
                <w:rFonts w:eastAsia="楷体_GB2312"/>
                <w:b/>
                <w:bCs/>
                <w:kern w:val="0"/>
                <w:szCs w:val="21"/>
              </w:rPr>
            </w:pPr>
            <w:r>
              <w:rPr>
                <w:rFonts w:eastAsia="楷体_GB2312"/>
                <w:b/>
                <w:bCs/>
                <w:kern w:val="0"/>
                <w:szCs w:val="21"/>
              </w:rPr>
              <w:t>1.0</w:t>
            </w:r>
          </w:p>
        </w:tc>
        <w:tc>
          <w:tcPr>
            <w:tcW w:w="668" w:type="dxa"/>
            <w:tcBorders>
              <w:top w:val="nil"/>
              <w:left w:val="nil"/>
              <w:bottom w:val="single" w:color="auto" w:sz="8" w:space="0"/>
              <w:right w:val="single" w:color="auto" w:sz="8" w:space="0"/>
            </w:tcBorders>
            <w:noWrap w:val="0"/>
            <w:vAlign w:val="center"/>
          </w:tcPr>
          <w:p w14:paraId="0EB06A50">
            <w:pPr>
              <w:jc w:val="center"/>
              <w:rPr>
                <w:rFonts w:eastAsia="楷体_GB2312"/>
                <w:kern w:val="0"/>
                <w:szCs w:val="21"/>
              </w:rPr>
            </w:pPr>
            <w:r>
              <w:rPr>
                <w:rFonts w:eastAsia="楷体_GB2312"/>
                <w:kern w:val="0"/>
                <w:szCs w:val="21"/>
              </w:rPr>
              <w:t>1.03</w:t>
            </w:r>
          </w:p>
        </w:tc>
        <w:tc>
          <w:tcPr>
            <w:tcW w:w="668" w:type="dxa"/>
            <w:tcBorders>
              <w:top w:val="nil"/>
              <w:left w:val="nil"/>
              <w:bottom w:val="single" w:color="auto" w:sz="8" w:space="0"/>
              <w:right w:val="single" w:color="auto" w:sz="8" w:space="0"/>
            </w:tcBorders>
            <w:noWrap w:val="0"/>
            <w:vAlign w:val="center"/>
          </w:tcPr>
          <w:p w14:paraId="44495590">
            <w:pPr>
              <w:jc w:val="center"/>
              <w:rPr>
                <w:rFonts w:eastAsia="楷体_GB2312"/>
                <w:kern w:val="0"/>
                <w:szCs w:val="21"/>
              </w:rPr>
            </w:pPr>
            <w:r>
              <w:rPr>
                <w:rFonts w:eastAsia="楷体_GB2312"/>
                <w:kern w:val="0"/>
                <w:szCs w:val="21"/>
              </w:rPr>
              <w:t>1.06</w:t>
            </w:r>
          </w:p>
        </w:tc>
      </w:tr>
      <w:tr w14:paraId="0A2085E2">
        <w:tblPrEx>
          <w:tblCellMar>
            <w:top w:w="0" w:type="dxa"/>
            <w:left w:w="108" w:type="dxa"/>
            <w:bottom w:w="0" w:type="dxa"/>
            <w:right w:w="108" w:type="dxa"/>
          </w:tblCellMar>
        </w:tblPrEx>
        <w:trPr>
          <w:trHeight w:val="285" w:hRule="atLeast"/>
          <w:jc w:val="center"/>
        </w:trPr>
        <w:tc>
          <w:tcPr>
            <w:tcW w:w="1066" w:type="dxa"/>
            <w:tcBorders>
              <w:top w:val="nil"/>
              <w:left w:val="single" w:color="auto" w:sz="4" w:space="0"/>
              <w:bottom w:val="single" w:color="auto" w:sz="4" w:space="0"/>
              <w:right w:val="single" w:color="auto" w:sz="4" w:space="0"/>
            </w:tcBorders>
            <w:noWrap/>
            <w:vAlign w:val="center"/>
          </w:tcPr>
          <w:p w14:paraId="7A0EF917">
            <w:pPr>
              <w:jc w:val="center"/>
              <w:rPr>
                <w:rFonts w:eastAsia="楷体_GB2312"/>
                <w:kern w:val="0"/>
                <w:szCs w:val="21"/>
              </w:rPr>
            </w:pPr>
            <w:r>
              <w:rPr>
                <w:rFonts w:eastAsia="楷体_GB2312"/>
                <w:kern w:val="0"/>
                <w:szCs w:val="21"/>
              </w:rPr>
              <w:t>1.3</w:t>
            </w:r>
          </w:p>
        </w:tc>
        <w:tc>
          <w:tcPr>
            <w:tcW w:w="666" w:type="dxa"/>
            <w:tcBorders>
              <w:top w:val="nil"/>
              <w:left w:val="single" w:color="auto" w:sz="8" w:space="0"/>
              <w:bottom w:val="single" w:color="auto" w:sz="8" w:space="0"/>
              <w:right w:val="single" w:color="auto" w:sz="8" w:space="0"/>
            </w:tcBorders>
            <w:noWrap w:val="0"/>
            <w:vAlign w:val="center"/>
          </w:tcPr>
          <w:p w14:paraId="4B98E69E">
            <w:pPr>
              <w:jc w:val="center"/>
              <w:rPr>
                <w:rFonts w:eastAsia="楷体_GB2312"/>
                <w:b/>
                <w:bCs/>
                <w:kern w:val="0"/>
                <w:szCs w:val="21"/>
              </w:rPr>
            </w:pPr>
            <w:r>
              <w:rPr>
                <w:rFonts w:eastAsia="楷体_GB2312"/>
                <w:b/>
                <w:bCs/>
                <w:kern w:val="0"/>
                <w:szCs w:val="21"/>
              </w:rPr>
              <w:t>1.0</w:t>
            </w:r>
          </w:p>
        </w:tc>
        <w:tc>
          <w:tcPr>
            <w:tcW w:w="666" w:type="dxa"/>
            <w:tcBorders>
              <w:top w:val="nil"/>
              <w:left w:val="nil"/>
              <w:bottom w:val="single" w:color="auto" w:sz="8" w:space="0"/>
              <w:right w:val="single" w:color="auto" w:sz="8" w:space="0"/>
            </w:tcBorders>
            <w:noWrap w:val="0"/>
            <w:vAlign w:val="center"/>
          </w:tcPr>
          <w:p w14:paraId="3BE0E67E">
            <w:pPr>
              <w:jc w:val="center"/>
              <w:rPr>
                <w:rFonts w:eastAsia="楷体_GB2312"/>
                <w:kern w:val="0"/>
                <w:szCs w:val="21"/>
              </w:rPr>
            </w:pPr>
            <w:r>
              <w:rPr>
                <w:rFonts w:eastAsia="楷体_GB2312"/>
                <w:kern w:val="0"/>
                <w:szCs w:val="21"/>
              </w:rPr>
              <w:t>1.03</w:t>
            </w:r>
          </w:p>
        </w:tc>
        <w:tc>
          <w:tcPr>
            <w:tcW w:w="666" w:type="dxa"/>
            <w:tcBorders>
              <w:top w:val="nil"/>
              <w:left w:val="nil"/>
              <w:bottom w:val="single" w:color="auto" w:sz="8" w:space="0"/>
              <w:right w:val="single" w:color="auto" w:sz="8" w:space="0"/>
            </w:tcBorders>
            <w:noWrap w:val="0"/>
            <w:vAlign w:val="center"/>
          </w:tcPr>
          <w:p w14:paraId="30AEBEED">
            <w:pPr>
              <w:jc w:val="center"/>
              <w:rPr>
                <w:rFonts w:eastAsia="楷体_GB2312"/>
                <w:kern w:val="0"/>
                <w:szCs w:val="21"/>
              </w:rPr>
            </w:pPr>
            <w:r>
              <w:rPr>
                <w:rFonts w:eastAsia="楷体_GB2312"/>
                <w:kern w:val="0"/>
                <w:szCs w:val="21"/>
              </w:rPr>
              <w:t>1.09</w:t>
            </w:r>
          </w:p>
        </w:tc>
        <w:tc>
          <w:tcPr>
            <w:tcW w:w="666" w:type="dxa"/>
            <w:tcBorders>
              <w:top w:val="nil"/>
              <w:left w:val="nil"/>
              <w:bottom w:val="single" w:color="auto" w:sz="8" w:space="0"/>
              <w:right w:val="single" w:color="auto" w:sz="8" w:space="0"/>
            </w:tcBorders>
            <w:noWrap w:val="0"/>
            <w:vAlign w:val="center"/>
          </w:tcPr>
          <w:p w14:paraId="42841474">
            <w:pPr>
              <w:jc w:val="center"/>
              <w:rPr>
                <w:rFonts w:eastAsia="楷体_GB2312"/>
                <w:kern w:val="0"/>
                <w:szCs w:val="21"/>
              </w:rPr>
            </w:pPr>
            <w:r>
              <w:rPr>
                <w:rFonts w:eastAsia="楷体_GB2312"/>
                <w:kern w:val="0"/>
                <w:szCs w:val="21"/>
              </w:rPr>
              <w:t>1.03</w:t>
            </w:r>
          </w:p>
        </w:tc>
        <w:tc>
          <w:tcPr>
            <w:tcW w:w="668" w:type="dxa"/>
            <w:tcBorders>
              <w:top w:val="nil"/>
              <w:left w:val="nil"/>
              <w:bottom w:val="single" w:color="auto" w:sz="8" w:space="0"/>
              <w:right w:val="single" w:color="auto" w:sz="8" w:space="0"/>
            </w:tcBorders>
            <w:noWrap w:val="0"/>
            <w:vAlign w:val="center"/>
          </w:tcPr>
          <w:p w14:paraId="735F20BD">
            <w:pPr>
              <w:jc w:val="center"/>
              <w:rPr>
                <w:rFonts w:eastAsia="楷体_GB2312"/>
                <w:kern w:val="0"/>
                <w:szCs w:val="21"/>
              </w:rPr>
            </w:pPr>
            <w:r>
              <w:rPr>
                <w:rFonts w:eastAsia="楷体_GB2312"/>
                <w:kern w:val="0"/>
                <w:szCs w:val="21"/>
              </w:rPr>
              <w:t>1.06</w:t>
            </w:r>
          </w:p>
        </w:tc>
        <w:tc>
          <w:tcPr>
            <w:tcW w:w="668" w:type="dxa"/>
            <w:tcBorders>
              <w:top w:val="nil"/>
              <w:left w:val="nil"/>
              <w:bottom w:val="single" w:color="auto" w:sz="8" w:space="0"/>
              <w:right w:val="single" w:color="auto" w:sz="8" w:space="0"/>
            </w:tcBorders>
            <w:noWrap w:val="0"/>
            <w:vAlign w:val="center"/>
          </w:tcPr>
          <w:p w14:paraId="6830E3B7">
            <w:pPr>
              <w:jc w:val="center"/>
              <w:rPr>
                <w:rFonts w:eastAsia="楷体_GB2312"/>
                <w:kern w:val="0"/>
                <w:szCs w:val="21"/>
              </w:rPr>
            </w:pPr>
            <w:r>
              <w:rPr>
                <w:rFonts w:eastAsia="楷体_GB2312"/>
                <w:kern w:val="0"/>
                <w:szCs w:val="21"/>
              </w:rPr>
              <w:t>1.09</w:t>
            </w:r>
          </w:p>
        </w:tc>
      </w:tr>
      <w:tr w14:paraId="5A1A00C5">
        <w:tblPrEx>
          <w:tblCellMar>
            <w:top w:w="0" w:type="dxa"/>
            <w:left w:w="108" w:type="dxa"/>
            <w:bottom w:w="0" w:type="dxa"/>
            <w:right w:w="108" w:type="dxa"/>
          </w:tblCellMar>
        </w:tblPrEx>
        <w:trPr>
          <w:trHeight w:val="285" w:hRule="atLeast"/>
          <w:jc w:val="center"/>
        </w:trPr>
        <w:tc>
          <w:tcPr>
            <w:tcW w:w="1066" w:type="dxa"/>
            <w:tcBorders>
              <w:top w:val="nil"/>
              <w:left w:val="single" w:color="auto" w:sz="4" w:space="0"/>
              <w:bottom w:val="single" w:color="auto" w:sz="4" w:space="0"/>
              <w:right w:val="single" w:color="auto" w:sz="4" w:space="0"/>
            </w:tcBorders>
            <w:noWrap/>
            <w:vAlign w:val="center"/>
          </w:tcPr>
          <w:p w14:paraId="22B3B52F">
            <w:pPr>
              <w:jc w:val="center"/>
              <w:rPr>
                <w:rFonts w:eastAsia="楷体_GB2312"/>
                <w:kern w:val="0"/>
                <w:szCs w:val="21"/>
              </w:rPr>
            </w:pPr>
            <w:r>
              <w:rPr>
                <w:rFonts w:eastAsia="楷体_GB2312"/>
                <w:kern w:val="0"/>
                <w:szCs w:val="21"/>
              </w:rPr>
              <w:t>1.4</w:t>
            </w:r>
          </w:p>
        </w:tc>
        <w:tc>
          <w:tcPr>
            <w:tcW w:w="666" w:type="dxa"/>
            <w:tcBorders>
              <w:top w:val="nil"/>
              <w:left w:val="single" w:color="auto" w:sz="8" w:space="0"/>
              <w:bottom w:val="single" w:color="auto" w:sz="8" w:space="0"/>
              <w:right w:val="single" w:color="auto" w:sz="8" w:space="0"/>
            </w:tcBorders>
            <w:noWrap w:val="0"/>
            <w:vAlign w:val="center"/>
          </w:tcPr>
          <w:p w14:paraId="4C55225A">
            <w:pPr>
              <w:jc w:val="center"/>
              <w:rPr>
                <w:rFonts w:eastAsia="楷体_GB2312"/>
                <w:kern w:val="0"/>
                <w:szCs w:val="21"/>
              </w:rPr>
            </w:pPr>
            <w:r>
              <w:rPr>
                <w:rFonts w:eastAsia="楷体_GB2312"/>
                <w:kern w:val="0"/>
                <w:szCs w:val="21"/>
              </w:rPr>
              <w:t>1.03</w:t>
            </w:r>
          </w:p>
        </w:tc>
        <w:tc>
          <w:tcPr>
            <w:tcW w:w="666" w:type="dxa"/>
            <w:tcBorders>
              <w:top w:val="nil"/>
              <w:left w:val="nil"/>
              <w:bottom w:val="single" w:color="auto" w:sz="8" w:space="0"/>
              <w:right w:val="single" w:color="auto" w:sz="8" w:space="0"/>
            </w:tcBorders>
            <w:noWrap w:val="0"/>
            <w:vAlign w:val="center"/>
          </w:tcPr>
          <w:p w14:paraId="496FE228">
            <w:pPr>
              <w:jc w:val="center"/>
              <w:rPr>
                <w:rFonts w:eastAsia="楷体_GB2312"/>
                <w:kern w:val="0"/>
                <w:szCs w:val="21"/>
              </w:rPr>
            </w:pPr>
            <w:r>
              <w:rPr>
                <w:rFonts w:eastAsia="楷体_GB2312"/>
                <w:kern w:val="0"/>
                <w:szCs w:val="21"/>
              </w:rPr>
              <w:t>1.06</w:t>
            </w:r>
          </w:p>
        </w:tc>
        <w:tc>
          <w:tcPr>
            <w:tcW w:w="666" w:type="dxa"/>
            <w:tcBorders>
              <w:top w:val="nil"/>
              <w:left w:val="nil"/>
              <w:bottom w:val="single" w:color="auto" w:sz="8" w:space="0"/>
              <w:right w:val="single" w:color="auto" w:sz="8" w:space="0"/>
            </w:tcBorders>
            <w:noWrap w:val="0"/>
            <w:vAlign w:val="center"/>
          </w:tcPr>
          <w:p w14:paraId="6C23BDC7">
            <w:pPr>
              <w:jc w:val="center"/>
              <w:rPr>
                <w:rFonts w:eastAsia="楷体_GB2312"/>
                <w:kern w:val="0"/>
                <w:szCs w:val="21"/>
              </w:rPr>
            </w:pPr>
            <w:r>
              <w:rPr>
                <w:rFonts w:eastAsia="楷体_GB2312"/>
                <w:kern w:val="0"/>
                <w:szCs w:val="21"/>
              </w:rPr>
              <w:t>1.12</w:t>
            </w:r>
          </w:p>
        </w:tc>
        <w:tc>
          <w:tcPr>
            <w:tcW w:w="666" w:type="dxa"/>
            <w:tcBorders>
              <w:top w:val="nil"/>
              <w:left w:val="nil"/>
              <w:bottom w:val="single" w:color="auto" w:sz="8" w:space="0"/>
              <w:right w:val="single" w:color="auto" w:sz="8" w:space="0"/>
            </w:tcBorders>
            <w:noWrap w:val="0"/>
            <w:vAlign w:val="center"/>
          </w:tcPr>
          <w:p w14:paraId="6333C35E">
            <w:pPr>
              <w:jc w:val="center"/>
              <w:rPr>
                <w:rFonts w:eastAsia="楷体_GB2312"/>
                <w:kern w:val="0"/>
                <w:szCs w:val="21"/>
              </w:rPr>
            </w:pPr>
            <w:r>
              <w:rPr>
                <w:rFonts w:eastAsia="楷体_GB2312"/>
                <w:kern w:val="0"/>
                <w:szCs w:val="21"/>
              </w:rPr>
              <w:t>1.06</w:t>
            </w:r>
          </w:p>
        </w:tc>
        <w:tc>
          <w:tcPr>
            <w:tcW w:w="668" w:type="dxa"/>
            <w:tcBorders>
              <w:top w:val="nil"/>
              <w:left w:val="nil"/>
              <w:bottom w:val="single" w:color="auto" w:sz="8" w:space="0"/>
              <w:right w:val="single" w:color="auto" w:sz="8" w:space="0"/>
            </w:tcBorders>
            <w:noWrap w:val="0"/>
            <w:vAlign w:val="center"/>
          </w:tcPr>
          <w:p w14:paraId="41753981">
            <w:pPr>
              <w:jc w:val="center"/>
              <w:rPr>
                <w:rFonts w:eastAsia="楷体_GB2312"/>
                <w:kern w:val="0"/>
                <w:szCs w:val="21"/>
              </w:rPr>
            </w:pPr>
            <w:r>
              <w:rPr>
                <w:rFonts w:eastAsia="楷体_GB2312"/>
                <w:kern w:val="0"/>
                <w:szCs w:val="21"/>
              </w:rPr>
              <w:t>1.09</w:t>
            </w:r>
          </w:p>
        </w:tc>
        <w:tc>
          <w:tcPr>
            <w:tcW w:w="668" w:type="dxa"/>
            <w:tcBorders>
              <w:top w:val="nil"/>
              <w:left w:val="nil"/>
              <w:bottom w:val="single" w:color="auto" w:sz="8" w:space="0"/>
              <w:right w:val="single" w:color="auto" w:sz="8" w:space="0"/>
            </w:tcBorders>
            <w:noWrap w:val="0"/>
            <w:vAlign w:val="center"/>
          </w:tcPr>
          <w:p w14:paraId="5719D341">
            <w:pPr>
              <w:jc w:val="center"/>
              <w:rPr>
                <w:rFonts w:eastAsia="楷体_GB2312"/>
                <w:kern w:val="0"/>
                <w:szCs w:val="21"/>
              </w:rPr>
            </w:pPr>
            <w:r>
              <w:rPr>
                <w:rFonts w:eastAsia="楷体_GB2312"/>
                <w:kern w:val="0"/>
                <w:szCs w:val="21"/>
              </w:rPr>
              <w:t>1.12</w:t>
            </w:r>
          </w:p>
        </w:tc>
      </w:tr>
      <w:tr w14:paraId="6CB83A13">
        <w:tblPrEx>
          <w:tblCellMar>
            <w:top w:w="0" w:type="dxa"/>
            <w:left w:w="108" w:type="dxa"/>
            <w:bottom w:w="0" w:type="dxa"/>
            <w:right w:w="108" w:type="dxa"/>
          </w:tblCellMar>
        </w:tblPrEx>
        <w:trPr>
          <w:trHeight w:val="285" w:hRule="atLeast"/>
          <w:jc w:val="center"/>
        </w:trPr>
        <w:tc>
          <w:tcPr>
            <w:tcW w:w="1066" w:type="dxa"/>
            <w:tcBorders>
              <w:top w:val="nil"/>
              <w:left w:val="single" w:color="auto" w:sz="4" w:space="0"/>
              <w:bottom w:val="single" w:color="auto" w:sz="4" w:space="0"/>
              <w:right w:val="single" w:color="auto" w:sz="4" w:space="0"/>
            </w:tcBorders>
            <w:noWrap/>
            <w:vAlign w:val="center"/>
          </w:tcPr>
          <w:p w14:paraId="319B72C3">
            <w:pPr>
              <w:jc w:val="center"/>
              <w:rPr>
                <w:rFonts w:eastAsia="楷体_GB2312"/>
                <w:kern w:val="0"/>
                <w:szCs w:val="21"/>
              </w:rPr>
            </w:pPr>
            <w:r>
              <w:rPr>
                <w:rFonts w:eastAsia="楷体_GB2312"/>
                <w:kern w:val="0"/>
                <w:szCs w:val="21"/>
              </w:rPr>
              <w:t>1.5</w:t>
            </w:r>
          </w:p>
        </w:tc>
        <w:tc>
          <w:tcPr>
            <w:tcW w:w="666" w:type="dxa"/>
            <w:tcBorders>
              <w:top w:val="nil"/>
              <w:left w:val="single" w:color="auto" w:sz="8" w:space="0"/>
              <w:bottom w:val="single" w:color="auto" w:sz="8" w:space="0"/>
              <w:right w:val="single" w:color="auto" w:sz="8" w:space="0"/>
            </w:tcBorders>
            <w:noWrap w:val="0"/>
            <w:vAlign w:val="center"/>
          </w:tcPr>
          <w:p w14:paraId="623EFD2A">
            <w:pPr>
              <w:jc w:val="center"/>
              <w:rPr>
                <w:rFonts w:eastAsia="楷体_GB2312"/>
                <w:kern w:val="0"/>
                <w:szCs w:val="21"/>
              </w:rPr>
            </w:pPr>
            <w:r>
              <w:rPr>
                <w:rFonts w:eastAsia="楷体_GB2312"/>
                <w:kern w:val="0"/>
                <w:szCs w:val="21"/>
              </w:rPr>
              <w:t>1.06</w:t>
            </w:r>
          </w:p>
        </w:tc>
        <w:tc>
          <w:tcPr>
            <w:tcW w:w="666" w:type="dxa"/>
            <w:tcBorders>
              <w:top w:val="nil"/>
              <w:left w:val="nil"/>
              <w:bottom w:val="single" w:color="auto" w:sz="8" w:space="0"/>
              <w:right w:val="single" w:color="auto" w:sz="8" w:space="0"/>
            </w:tcBorders>
            <w:noWrap w:val="0"/>
            <w:vAlign w:val="center"/>
          </w:tcPr>
          <w:p w14:paraId="0B68B965">
            <w:pPr>
              <w:jc w:val="center"/>
              <w:rPr>
                <w:rFonts w:eastAsia="楷体_GB2312"/>
                <w:kern w:val="0"/>
                <w:szCs w:val="21"/>
              </w:rPr>
            </w:pPr>
            <w:r>
              <w:rPr>
                <w:rFonts w:eastAsia="楷体_GB2312"/>
                <w:kern w:val="0"/>
                <w:szCs w:val="21"/>
              </w:rPr>
              <w:t>1.09</w:t>
            </w:r>
          </w:p>
        </w:tc>
        <w:tc>
          <w:tcPr>
            <w:tcW w:w="666" w:type="dxa"/>
            <w:tcBorders>
              <w:top w:val="nil"/>
              <w:left w:val="nil"/>
              <w:bottom w:val="single" w:color="auto" w:sz="8" w:space="0"/>
              <w:right w:val="single" w:color="auto" w:sz="8" w:space="0"/>
            </w:tcBorders>
            <w:noWrap w:val="0"/>
            <w:vAlign w:val="center"/>
          </w:tcPr>
          <w:p w14:paraId="7F28DEC0">
            <w:pPr>
              <w:jc w:val="center"/>
              <w:rPr>
                <w:rFonts w:eastAsia="楷体_GB2312"/>
                <w:kern w:val="0"/>
                <w:szCs w:val="21"/>
              </w:rPr>
            </w:pPr>
            <w:r>
              <w:rPr>
                <w:rFonts w:eastAsia="楷体_GB2312"/>
                <w:kern w:val="0"/>
                <w:szCs w:val="21"/>
              </w:rPr>
              <w:t>1.15</w:t>
            </w:r>
          </w:p>
        </w:tc>
        <w:tc>
          <w:tcPr>
            <w:tcW w:w="666" w:type="dxa"/>
            <w:tcBorders>
              <w:top w:val="nil"/>
              <w:left w:val="nil"/>
              <w:bottom w:val="single" w:color="auto" w:sz="8" w:space="0"/>
              <w:right w:val="single" w:color="auto" w:sz="8" w:space="0"/>
            </w:tcBorders>
            <w:noWrap w:val="0"/>
            <w:vAlign w:val="center"/>
          </w:tcPr>
          <w:p w14:paraId="526C48A2">
            <w:pPr>
              <w:jc w:val="center"/>
              <w:rPr>
                <w:rFonts w:eastAsia="楷体_GB2312"/>
                <w:kern w:val="0"/>
                <w:szCs w:val="21"/>
              </w:rPr>
            </w:pPr>
            <w:r>
              <w:rPr>
                <w:rFonts w:eastAsia="楷体_GB2312"/>
                <w:kern w:val="0"/>
                <w:szCs w:val="21"/>
              </w:rPr>
              <w:t>1.09</w:t>
            </w:r>
          </w:p>
        </w:tc>
        <w:tc>
          <w:tcPr>
            <w:tcW w:w="668" w:type="dxa"/>
            <w:tcBorders>
              <w:top w:val="nil"/>
              <w:left w:val="nil"/>
              <w:bottom w:val="single" w:color="auto" w:sz="8" w:space="0"/>
              <w:right w:val="single" w:color="auto" w:sz="8" w:space="0"/>
            </w:tcBorders>
            <w:noWrap w:val="0"/>
            <w:vAlign w:val="center"/>
          </w:tcPr>
          <w:p w14:paraId="509974EB">
            <w:pPr>
              <w:jc w:val="center"/>
              <w:rPr>
                <w:rFonts w:eastAsia="楷体_GB2312"/>
                <w:kern w:val="0"/>
                <w:szCs w:val="21"/>
              </w:rPr>
            </w:pPr>
            <w:r>
              <w:rPr>
                <w:rFonts w:eastAsia="楷体_GB2312"/>
                <w:kern w:val="0"/>
                <w:szCs w:val="21"/>
              </w:rPr>
              <w:t>1.12</w:t>
            </w:r>
          </w:p>
        </w:tc>
        <w:tc>
          <w:tcPr>
            <w:tcW w:w="668" w:type="dxa"/>
            <w:tcBorders>
              <w:top w:val="nil"/>
              <w:left w:val="nil"/>
              <w:bottom w:val="single" w:color="auto" w:sz="8" w:space="0"/>
              <w:right w:val="single" w:color="auto" w:sz="8" w:space="0"/>
            </w:tcBorders>
            <w:noWrap w:val="0"/>
            <w:vAlign w:val="center"/>
          </w:tcPr>
          <w:p w14:paraId="74F15396">
            <w:pPr>
              <w:jc w:val="center"/>
              <w:rPr>
                <w:rFonts w:eastAsia="楷体_GB2312"/>
                <w:kern w:val="0"/>
                <w:szCs w:val="21"/>
              </w:rPr>
            </w:pPr>
            <w:r>
              <w:rPr>
                <w:rFonts w:eastAsia="楷体_GB2312"/>
                <w:kern w:val="0"/>
                <w:szCs w:val="21"/>
              </w:rPr>
              <w:t>1.15</w:t>
            </w:r>
          </w:p>
        </w:tc>
      </w:tr>
      <w:tr w14:paraId="78F957A6">
        <w:tblPrEx>
          <w:tblCellMar>
            <w:top w:w="0" w:type="dxa"/>
            <w:left w:w="108" w:type="dxa"/>
            <w:bottom w:w="0" w:type="dxa"/>
            <w:right w:w="108" w:type="dxa"/>
          </w:tblCellMar>
        </w:tblPrEx>
        <w:trPr>
          <w:trHeight w:val="285" w:hRule="atLeast"/>
          <w:jc w:val="center"/>
        </w:trPr>
        <w:tc>
          <w:tcPr>
            <w:tcW w:w="1066" w:type="dxa"/>
            <w:tcBorders>
              <w:top w:val="nil"/>
              <w:left w:val="single" w:color="auto" w:sz="4" w:space="0"/>
              <w:bottom w:val="single" w:color="auto" w:sz="4" w:space="0"/>
              <w:right w:val="single" w:color="auto" w:sz="4" w:space="0"/>
            </w:tcBorders>
            <w:noWrap/>
            <w:vAlign w:val="center"/>
          </w:tcPr>
          <w:p w14:paraId="033B8DC7">
            <w:pPr>
              <w:jc w:val="center"/>
              <w:rPr>
                <w:rFonts w:eastAsia="楷体_GB2312"/>
                <w:kern w:val="0"/>
                <w:szCs w:val="21"/>
              </w:rPr>
            </w:pPr>
            <w:r>
              <w:rPr>
                <w:rFonts w:eastAsia="楷体_GB2312"/>
                <w:kern w:val="0"/>
                <w:szCs w:val="21"/>
              </w:rPr>
              <w:t>1.6</w:t>
            </w:r>
          </w:p>
        </w:tc>
        <w:tc>
          <w:tcPr>
            <w:tcW w:w="666" w:type="dxa"/>
            <w:tcBorders>
              <w:top w:val="nil"/>
              <w:left w:val="single" w:color="auto" w:sz="8" w:space="0"/>
              <w:bottom w:val="single" w:color="auto" w:sz="8" w:space="0"/>
              <w:right w:val="single" w:color="auto" w:sz="8" w:space="0"/>
            </w:tcBorders>
            <w:noWrap w:val="0"/>
            <w:vAlign w:val="center"/>
          </w:tcPr>
          <w:p w14:paraId="6F8D496A">
            <w:pPr>
              <w:jc w:val="center"/>
              <w:rPr>
                <w:rFonts w:eastAsia="楷体_GB2312"/>
                <w:kern w:val="0"/>
                <w:szCs w:val="21"/>
              </w:rPr>
            </w:pPr>
            <w:r>
              <w:rPr>
                <w:rFonts w:eastAsia="楷体_GB2312"/>
                <w:kern w:val="0"/>
                <w:szCs w:val="21"/>
              </w:rPr>
              <w:t>1.09</w:t>
            </w:r>
          </w:p>
        </w:tc>
        <w:tc>
          <w:tcPr>
            <w:tcW w:w="666" w:type="dxa"/>
            <w:tcBorders>
              <w:top w:val="nil"/>
              <w:left w:val="nil"/>
              <w:bottom w:val="single" w:color="auto" w:sz="8" w:space="0"/>
              <w:right w:val="single" w:color="auto" w:sz="8" w:space="0"/>
            </w:tcBorders>
            <w:noWrap w:val="0"/>
            <w:vAlign w:val="center"/>
          </w:tcPr>
          <w:p w14:paraId="467AE29B">
            <w:pPr>
              <w:jc w:val="center"/>
              <w:rPr>
                <w:rFonts w:eastAsia="楷体_GB2312"/>
                <w:kern w:val="0"/>
                <w:szCs w:val="21"/>
              </w:rPr>
            </w:pPr>
            <w:r>
              <w:rPr>
                <w:rFonts w:eastAsia="楷体_GB2312"/>
                <w:kern w:val="0"/>
                <w:szCs w:val="21"/>
              </w:rPr>
              <w:t>1.12</w:t>
            </w:r>
          </w:p>
        </w:tc>
        <w:tc>
          <w:tcPr>
            <w:tcW w:w="666" w:type="dxa"/>
            <w:tcBorders>
              <w:top w:val="nil"/>
              <w:left w:val="nil"/>
              <w:bottom w:val="single" w:color="auto" w:sz="8" w:space="0"/>
              <w:right w:val="single" w:color="auto" w:sz="8" w:space="0"/>
            </w:tcBorders>
            <w:noWrap w:val="0"/>
            <w:vAlign w:val="center"/>
          </w:tcPr>
          <w:p w14:paraId="6D047CB8">
            <w:pPr>
              <w:jc w:val="center"/>
              <w:rPr>
                <w:rFonts w:eastAsia="楷体_GB2312"/>
                <w:kern w:val="0"/>
                <w:szCs w:val="21"/>
              </w:rPr>
            </w:pPr>
            <w:r>
              <w:rPr>
                <w:rFonts w:eastAsia="楷体_GB2312"/>
                <w:kern w:val="0"/>
                <w:szCs w:val="21"/>
              </w:rPr>
              <w:t>1.18</w:t>
            </w:r>
          </w:p>
        </w:tc>
        <w:tc>
          <w:tcPr>
            <w:tcW w:w="666" w:type="dxa"/>
            <w:tcBorders>
              <w:top w:val="nil"/>
              <w:left w:val="nil"/>
              <w:bottom w:val="single" w:color="auto" w:sz="8" w:space="0"/>
              <w:right w:val="single" w:color="auto" w:sz="8" w:space="0"/>
            </w:tcBorders>
            <w:noWrap w:val="0"/>
            <w:vAlign w:val="center"/>
          </w:tcPr>
          <w:p w14:paraId="4E7D40F7">
            <w:pPr>
              <w:jc w:val="center"/>
              <w:rPr>
                <w:rFonts w:eastAsia="楷体_GB2312"/>
                <w:kern w:val="0"/>
                <w:szCs w:val="21"/>
              </w:rPr>
            </w:pPr>
            <w:r>
              <w:rPr>
                <w:rFonts w:eastAsia="楷体_GB2312"/>
                <w:kern w:val="0"/>
                <w:szCs w:val="21"/>
              </w:rPr>
              <w:t>1.12</w:t>
            </w:r>
          </w:p>
        </w:tc>
        <w:tc>
          <w:tcPr>
            <w:tcW w:w="668" w:type="dxa"/>
            <w:tcBorders>
              <w:top w:val="nil"/>
              <w:left w:val="nil"/>
              <w:bottom w:val="single" w:color="auto" w:sz="8" w:space="0"/>
              <w:right w:val="single" w:color="auto" w:sz="8" w:space="0"/>
            </w:tcBorders>
            <w:noWrap w:val="0"/>
            <w:vAlign w:val="center"/>
          </w:tcPr>
          <w:p w14:paraId="77113136">
            <w:pPr>
              <w:jc w:val="center"/>
              <w:rPr>
                <w:rFonts w:eastAsia="楷体_GB2312"/>
                <w:kern w:val="0"/>
                <w:szCs w:val="21"/>
              </w:rPr>
            </w:pPr>
            <w:r>
              <w:rPr>
                <w:rFonts w:eastAsia="楷体_GB2312"/>
                <w:kern w:val="0"/>
                <w:szCs w:val="21"/>
              </w:rPr>
              <w:t>1.15</w:t>
            </w:r>
          </w:p>
        </w:tc>
        <w:tc>
          <w:tcPr>
            <w:tcW w:w="668" w:type="dxa"/>
            <w:tcBorders>
              <w:top w:val="nil"/>
              <w:left w:val="nil"/>
              <w:bottom w:val="single" w:color="auto" w:sz="8" w:space="0"/>
              <w:right w:val="single" w:color="auto" w:sz="8" w:space="0"/>
            </w:tcBorders>
            <w:noWrap w:val="0"/>
            <w:vAlign w:val="center"/>
          </w:tcPr>
          <w:p w14:paraId="2B7718FB">
            <w:pPr>
              <w:jc w:val="center"/>
              <w:rPr>
                <w:rFonts w:eastAsia="楷体_GB2312"/>
                <w:kern w:val="0"/>
                <w:szCs w:val="21"/>
              </w:rPr>
            </w:pPr>
            <w:r>
              <w:rPr>
                <w:rFonts w:eastAsia="楷体_GB2312"/>
                <w:kern w:val="0"/>
                <w:szCs w:val="21"/>
              </w:rPr>
              <w:t>1.18</w:t>
            </w:r>
          </w:p>
        </w:tc>
      </w:tr>
      <w:tr w14:paraId="5E7B7CC5">
        <w:tblPrEx>
          <w:tblCellMar>
            <w:top w:w="0" w:type="dxa"/>
            <w:left w:w="108" w:type="dxa"/>
            <w:bottom w:w="0" w:type="dxa"/>
            <w:right w:w="108" w:type="dxa"/>
          </w:tblCellMar>
        </w:tblPrEx>
        <w:trPr>
          <w:trHeight w:val="285" w:hRule="atLeast"/>
          <w:jc w:val="center"/>
        </w:trPr>
        <w:tc>
          <w:tcPr>
            <w:tcW w:w="1066" w:type="dxa"/>
            <w:tcBorders>
              <w:top w:val="nil"/>
              <w:left w:val="single" w:color="auto" w:sz="4" w:space="0"/>
              <w:bottom w:val="single" w:color="auto" w:sz="4" w:space="0"/>
              <w:right w:val="single" w:color="auto" w:sz="4" w:space="0"/>
            </w:tcBorders>
            <w:noWrap/>
            <w:vAlign w:val="center"/>
          </w:tcPr>
          <w:p w14:paraId="4653DE41">
            <w:pPr>
              <w:jc w:val="center"/>
              <w:rPr>
                <w:rFonts w:eastAsia="楷体_GB2312"/>
                <w:kern w:val="0"/>
                <w:szCs w:val="21"/>
              </w:rPr>
            </w:pPr>
            <w:r>
              <w:rPr>
                <w:rFonts w:eastAsia="楷体_GB2312"/>
                <w:kern w:val="0"/>
                <w:szCs w:val="21"/>
              </w:rPr>
              <w:t>1.7</w:t>
            </w:r>
          </w:p>
        </w:tc>
        <w:tc>
          <w:tcPr>
            <w:tcW w:w="666" w:type="dxa"/>
            <w:tcBorders>
              <w:top w:val="nil"/>
              <w:left w:val="single" w:color="auto" w:sz="8" w:space="0"/>
              <w:bottom w:val="single" w:color="auto" w:sz="8" w:space="0"/>
              <w:right w:val="single" w:color="auto" w:sz="8" w:space="0"/>
            </w:tcBorders>
            <w:noWrap w:val="0"/>
            <w:vAlign w:val="center"/>
          </w:tcPr>
          <w:p w14:paraId="1048FCDB">
            <w:pPr>
              <w:jc w:val="center"/>
              <w:rPr>
                <w:rFonts w:eastAsia="楷体_GB2312"/>
                <w:kern w:val="0"/>
                <w:szCs w:val="21"/>
              </w:rPr>
            </w:pPr>
            <w:r>
              <w:rPr>
                <w:rFonts w:eastAsia="楷体_GB2312"/>
                <w:kern w:val="0"/>
                <w:szCs w:val="21"/>
              </w:rPr>
              <w:t>1.12</w:t>
            </w:r>
          </w:p>
        </w:tc>
        <w:tc>
          <w:tcPr>
            <w:tcW w:w="666" w:type="dxa"/>
            <w:tcBorders>
              <w:top w:val="nil"/>
              <w:left w:val="nil"/>
              <w:bottom w:val="single" w:color="auto" w:sz="8" w:space="0"/>
              <w:right w:val="single" w:color="auto" w:sz="8" w:space="0"/>
            </w:tcBorders>
            <w:noWrap w:val="0"/>
            <w:vAlign w:val="center"/>
          </w:tcPr>
          <w:p w14:paraId="56CCD061">
            <w:pPr>
              <w:jc w:val="center"/>
              <w:rPr>
                <w:rFonts w:eastAsia="楷体_GB2312"/>
                <w:kern w:val="0"/>
                <w:szCs w:val="21"/>
              </w:rPr>
            </w:pPr>
            <w:r>
              <w:rPr>
                <w:rFonts w:eastAsia="楷体_GB2312"/>
                <w:kern w:val="0"/>
                <w:szCs w:val="21"/>
              </w:rPr>
              <w:t>1.15</w:t>
            </w:r>
          </w:p>
        </w:tc>
        <w:tc>
          <w:tcPr>
            <w:tcW w:w="666" w:type="dxa"/>
            <w:tcBorders>
              <w:top w:val="nil"/>
              <w:left w:val="nil"/>
              <w:bottom w:val="single" w:color="auto" w:sz="8" w:space="0"/>
              <w:right w:val="single" w:color="auto" w:sz="8" w:space="0"/>
            </w:tcBorders>
            <w:noWrap w:val="0"/>
            <w:vAlign w:val="center"/>
          </w:tcPr>
          <w:p w14:paraId="16F37B90">
            <w:pPr>
              <w:jc w:val="center"/>
              <w:rPr>
                <w:rFonts w:eastAsia="楷体_GB2312"/>
                <w:kern w:val="0"/>
                <w:szCs w:val="21"/>
              </w:rPr>
            </w:pPr>
            <w:r>
              <w:rPr>
                <w:rFonts w:eastAsia="楷体_GB2312"/>
                <w:kern w:val="0"/>
                <w:szCs w:val="21"/>
              </w:rPr>
              <w:t>1.21</w:t>
            </w:r>
          </w:p>
        </w:tc>
        <w:tc>
          <w:tcPr>
            <w:tcW w:w="666" w:type="dxa"/>
            <w:tcBorders>
              <w:top w:val="nil"/>
              <w:left w:val="nil"/>
              <w:bottom w:val="single" w:color="auto" w:sz="8" w:space="0"/>
              <w:right w:val="single" w:color="auto" w:sz="8" w:space="0"/>
            </w:tcBorders>
            <w:noWrap w:val="0"/>
            <w:vAlign w:val="center"/>
          </w:tcPr>
          <w:p w14:paraId="77336948">
            <w:pPr>
              <w:jc w:val="center"/>
              <w:rPr>
                <w:rFonts w:eastAsia="楷体_GB2312"/>
                <w:kern w:val="0"/>
                <w:szCs w:val="21"/>
              </w:rPr>
            </w:pPr>
            <w:r>
              <w:rPr>
                <w:rFonts w:eastAsia="楷体_GB2312"/>
                <w:kern w:val="0"/>
                <w:szCs w:val="21"/>
              </w:rPr>
              <w:t>1.15</w:t>
            </w:r>
          </w:p>
        </w:tc>
        <w:tc>
          <w:tcPr>
            <w:tcW w:w="668" w:type="dxa"/>
            <w:tcBorders>
              <w:top w:val="nil"/>
              <w:left w:val="nil"/>
              <w:bottom w:val="single" w:color="auto" w:sz="8" w:space="0"/>
              <w:right w:val="single" w:color="auto" w:sz="8" w:space="0"/>
            </w:tcBorders>
            <w:noWrap w:val="0"/>
            <w:vAlign w:val="center"/>
          </w:tcPr>
          <w:p w14:paraId="2653859C">
            <w:pPr>
              <w:jc w:val="center"/>
              <w:rPr>
                <w:rFonts w:eastAsia="楷体_GB2312"/>
                <w:kern w:val="0"/>
                <w:szCs w:val="21"/>
              </w:rPr>
            </w:pPr>
            <w:r>
              <w:rPr>
                <w:rFonts w:eastAsia="楷体_GB2312"/>
                <w:kern w:val="0"/>
                <w:szCs w:val="21"/>
              </w:rPr>
              <w:t>1.18</w:t>
            </w:r>
          </w:p>
        </w:tc>
        <w:tc>
          <w:tcPr>
            <w:tcW w:w="668" w:type="dxa"/>
            <w:tcBorders>
              <w:top w:val="nil"/>
              <w:left w:val="nil"/>
              <w:bottom w:val="single" w:color="auto" w:sz="8" w:space="0"/>
              <w:right w:val="single" w:color="auto" w:sz="8" w:space="0"/>
            </w:tcBorders>
            <w:noWrap w:val="0"/>
            <w:vAlign w:val="center"/>
          </w:tcPr>
          <w:p w14:paraId="1FCF0D45">
            <w:pPr>
              <w:jc w:val="center"/>
              <w:rPr>
                <w:rFonts w:eastAsia="楷体_GB2312"/>
                <w:kern w:val="0"/>
                <w:szCs w:val="21"/>
              </w:rPr>
            </w:pPr>
            <w:r>
              <w:rPr>
                <w:rFonts w:eastAsia="楷体_GB2312"/>
                <w:kern w:val="0"/>
                <w:szCs w:val="21"/>
              </w:rPr>
              <w:t>1.21</w:t>
            </w:r>
          </w:p>
        </w:tc>
      </w:tr>
      <w:tr w14:paraId="76ABA69F">
        <w:tblPrEx>
          <w:tblCellMar>
            <w:top w:w="0" w:type="dxa"/>
            <w:left w:w="108" w:type="dxa"/>
            <w:bottom w:w="0" w:type="dxa"/>
            <w:right w:w="108" w:type="dxa"/>
          </w:tblCellMar>
        </w:tblPrEx>
        <w:trPr>
          <w:trHeight w:val="285" w:hRule="atLeast"/>
          <w:jc w:val="center"/>
        </w:trPr>
        <w:tc>
          <w:tcPr>
            <w:tcW w:w="1066" w:type="dxa"/>
            <w:tcBorders>
              <w:top w:val="nil"/>
              <w:left w:val="single" w:color="auto" w:sz="4" w:space="0"/>
              <w:bottom w:val="single" w:color="auto" w:sz="4" w:space="0"/>
              <w:right w:val="single" w:color="auto" w:sz="4" w:space="0"/>
            </w:tcBorders>
            <w:noWrap/>
            <w:vAlign w:val="center"/>
          </w:tcPr>
          <w:p w14:paraId="7C937D7E">
            <w:pPr>
              <w:jc w:val="center"/>
              <w:rPr>
                <w:rFonts w:eastAsia="楷体_GB2312"/>
                <w:kern w:val="0"/>
                <w:szCs w:val="21"/>
              </w:rPr>
            </w:pPr>
            <w:r>
              <w:rPr>
                <w:rFonts w:eastAsia="楷体_GB2312"/>
                <w:kern w:val="0"/>
                <w:szCs w:val="21"/>
              </w:rPr>
              <w:t>1.8</w:t>
            </w:r>
          </w:p>
        </w:tc>
        <w:tc>
          <w:tcPr>
            <w:tcW w:w="666" w:type="dxa"/>
            <w:tcBorders>
              <w:top w:val="nil"/>
              <w:left w:val="single" w:color="auto" w:sz="8" w:space="0"/>
              <w:bottom w:val="single" w:color="auto" w:sz="8" w:space="0"/>
              <w:right w:val="single" w:color="auto" w:sz="8" w:space="0"/>
            </w:tcBorders>
            <w:noWrap w:val="0"/>
            <w:vAlign w:val="center"/>
          </w:tcPr>
          <w:p w14:paraId="66363C67">
            <w:pPr>
              <w:jc w:val="center"/>
              <w:rPr>
                <w:rFonts w:eastAsia="楷体_GB2312"/>
                <w:kern w:val="0"/>
                <w:szCs w:val="21"/>
              </w:rPr>
            </w:pPr>
            <w:r>
              <w:rPr>
                <w:rFonts w:eastAsia="楷体_GB2312"/>
                <w:kern w:val="0"/>
                <w:szCs w:val="21"/>
              </w:rPr>
              <w:t>1.15</w:t>
            </w:r>
          </w:p>
        </w:tc>
        <w:tc>
          <w:tcPr>
            <w:tcW w:w="666" w:type="dxa"/>
            <w:tcBorders>
              <w:top w:val="nil"/>
              <w:left w:val="nil"/>
              <w:bottom w:val="single" w:color="auto" w:sz="8" w:space="0"/>
              <w:right w:val="single" w:color="auto" w:sz="8" w:space="0"/>
            </w:tcBorders>
            <w:noWrap w:val="0"/>
            <w:vAlign w:val="center"/>
          </w:tcPr>
          <w:p w14:paraId="2DF4D5B7">
            <w:pPr>
              <w:jc w:val="center"/>
              <w:rPr>
                <w:rFonts w:eastAsia="楷体_GB2312"/>
                <w:kern w:val="0"/>
                <w:szCs w:val="21"/>
              </w:rPr>
            </w:pPr>
            <w:r>
              <w:rPr>
                <w:rFonts w:eastAsia="楷体_GB2312"/>
                <w:kern w:val="0"/>
                <w:szCs w:val="21"/>
              </w:rPr>
              <w:t>1.18</w:t>
            </w:r>
          </w:p>
        </w:tc>
        <w:tc>
          <w:tcPr>
            <w:tcW w:w="666" w:type="dxa"/>
            <w:tcBorders>
              <w:top w:val="nil"/>
              <w:left w:val="nil"/>
              <w:bottom w:val="single" w:color="auto" w:sz="8" w:space="0"/>
              <w:right w:val="single" w:color="auto" w:sz="8" w:space="0"/>
            </w:tcBorders>
            <w:noWrap w:val="0"/>
            <w:vAlign w:val="center"/>
          </w:tcPr>
          <w:p w14:paraId="440B5D61">
            <w:pPr>
              <w:jc w:val="center"/>
              <w:rPr>
                <w:rFonts w:eastAsia="楷体_GB2312"/>
                <w:kern w:val="0"/>
                <w:szCs w:val="21"/>
              </w:rPr>
            </w:pPr>
            <w:r>
              <w:rPr>
                <w:rFonts w:eastAsia="楷体_GB2312"/>
                <w:kern w:val="0"/>
                <w:szCs w:val="21"/>
              </w:rPr>
              <w:t>1.24</w:t>
            </w:r>
          </w:p>
        </w:tc>
        <w:tc>
          <w:tcPr>
            <w:tcW w:w="666" w:type="dxa"/>
            <w:tcBorders>
              <w:top w:val="nil"/>
              <w:left w:val="nil"/>
              <w:bottom w:val="single" w:color="auto" w:sz="8" w:space="0"/>
              <w:right w:val="single" w:color="auto" w:sz="8" w:space="0"/>
            </w:tcBorders>
            <w:noWrap w:val="0"/>
            <w:vAlign w:val="center"/>
          </w:tcPr>
          <w:p w14:paraId="45578A0B">
            <w:pPr>
              <w:jc w:val="center"/>
              <w:rPr>
                <w:rFonts w:eastAsia="楷体_GB2312"/>
                <w:kern w:val="0"/>
                <w:szCs w:val="21"/>
              </w:rPr>
            </w:pPr>
            <w:r>
              <w:rPr>
                <w:rFonts w:eastAsia="楷体_GB2312"/>
                <w:kern w:val="0"/>
                <w:szCs w:val="21"/>
              </w:rPr>
              <w:t>1.18</w:t>
            </w:r>
          </w:p>
        </w:tc>
        <w:tc>
          <w:tcPr>
            <w:tcW w:w="668" w:type="dxa"/>
            <w:tcBorders>
              <w:top w:val="nil"/>
              <w:left w:val="nil"/>
              <w:bottom w:val="single" w:color="auto" w:sz="8" w:space="0"/>
              <w:right w:val="single" w:color="auto" w:sz="8" w:space="0"/>
            </w:tcBorders>
            <w:noWrap w:val="0"/>
            <w:vAlign w:val="center"/>
          </w:tcPr>
          <w:p w14:paraId="44E23113">
            <w:pPr>
              <w:jc w:val="center"/>
              <w:rPr>
                <w:rFonts w:eastAsia="楷体_GB2312"/>
                <w:kern w:val="0"/>
                <w:szCs w:val="21"/>
              </w:rPr>
            </w:pPr>
            <w:r>
              <w:rPr>
                <w:rFonts w:eastAsia="楷体_GB2312"/>
                <w:kern w:val="0"/>
                <w:szCs w:val="21"/>
              </w:rPr>
              <w:t>1.21</w:t>
            </w:r>
          </w:p>
        </w:tc>
        <w:tc>
          <w:tcPr>
            <w:tcW w:w="668" w:type="dxa"/>
            <w:tcBorders>
              <w:top w:val="nil"/>
              <w:left w:val="nil"/>
              <w:bottom w:val="single" w:color="auto" w:sz="8" w:space="0"/>
              <w:right w:val="single" w:color="auto" w:sz="8" w:space="0"/>
            </w:tcBorders>
            <w:noWrap w:val="0"/>
            <w:vAlign w:val="center"/>
          </w:tcPr>
          <w:p w14:paraId="586B1324">
            <w:pPr>
              <w:jc w:val="center"/>
              <w:rPr>
                <w:rFonts w:eastAsia="楷体_GB2312"/>
                <w:kern w:val="0"/>
                <w:szCs w:val="21"/>
              </w:rPr>
            </w:pPr>
            <w:r>
              <w:rPr>
                <w:rFonts w:eastAsia="楷体_GB2312"/>
                <w:kern w:val="0"/>
                <w:szCs w:val="21"/>
              </w:rPr>
              <w:t>1.24</w:t>
            </w:r>
          </w:p>
        </w:tc>
      </w:tr>
      <w:tr w14:paraId="1E80BB3B">
        <w:tblPrEx>
          <w:tblCellMar>
            <w:top w:w="0" w:type="dxa"/>
            <w:left w:w="108" w:type="dxa"/>
            <w:bottom w:w="0" w:type="dxa"/>
            <w:right w:w="108" w:type="dxa"/>
          </w:tblCellMar>
        </w:tblPrEx>
        <w:trPr>
          <w:trHeight w:val="285" w:hRule="atLeast"/>
          <w:jc w:val="center"/>
        </w:trPr>
        <w:tc>
          <w:tcPr>
            <w:tcW w:w="1066" w:type="dxa"/>
            <w:tcBorders>
              <w:top w:val="nil"/>
              <w:left w:val="single" w:color="auto" w:sz="4" w:space="0"/>
              <w:bottom w:val="single" w:color="auto" w:sz="4" w:space="0"/>
              <w:right w:val="single" w:color="auto" w:sz="4" w:space="0"/>
            </w:tcBorders>
            <w:noWrap/>
            <w:vAlign w:val="center"/>
          </w:tcPr>
          <w:p w14:paraId="25067B31">
            <w:pPr>
              <w:jc w:val="center"/>
              <w:rPr>
                <w:rFonts w:eastAsia="楷体_GB2312"/>
                <w:kern w:val="0"/>
                <w:szCs w:val="21"/>
              </w:rPr>
            </w:pPr>
            <w:r>
              <w:rPr>
                <w:rFonts w:eastAsia="楷体_GB2312"/>
                <w:kern w:val="0"/>
                <w:szCs w:val="21"/>
              </w:rPr>
              <w:t>1.9</w:t>
            </w:r>
          </w:p>
        </w:tc>
        <w:tc>
          <w:tcPr>
            <w:tcW w:w="666" w:type="dxa"/>
            <w:tcBorders>
              <w:top w:val="nil"/>
              <w:left w:val="single" w:color="auto" w:sz="8" w:space="0"/>
              <w:bottom w:val="single" w:color="auto" w:sz="8" w:space="0"/>
              <w:right w:val="single" w:color="auto" w:sz="8" w:space="0"/>
            </w:tcBorders>
            <w:noWrap w:val="0"/>
            <w:vAlign w:val="center"/>
          </w:tcPr>
          <w:p w14:paraId="4837382C">
            <w:pPr>
              <w:jc w:val="center"/>
              <w:rPr>
                <w:rFonts w:eastAsia="楷体_GB2312"/>
                <w:kern w:val="0"/>
                <w:szCs w:val="21"/>
              </w:rPr>
            </w:pPr>
            <w:r>
              <w:rPr>
                <w:rFonts w:eastAsia="楷体_GB2312"/>
                <w:kern w:val="0"/>
                <w:szCs w:val="21"/>
              </w:rPr>
              <w:t>1.18</w:t>
            </w:r>
          </w:p>
        </w:tc>
        <w:tc>
          <w:tcPr>
            <w:tcW w:w="666" w:type="dxa"/>
            <w:tcBorders>
              <w:top w:val="nil"/>
              <w:left w:val="nil"/>
              <w:bottom w:val="single" w:color="auto" w:sz="8" w:space="0"/>
              <w:right w:val="single" w:color="auto" w:sz="8" w:space="0"/>
            </w:tcBorders>
            <w:noWrap w:val="0"/>
            <w:vAlign w:val="center"/>
          </w:tcPr>
          <w:p w14:paraId="0DD6C320">
            <w:pPr>
              <w:jc w:val="center"/>
              <w:rPr>
                <w:rFonts w:eastAsia="楷体_GB2312"/>
                <w:kern w:val="0"/>
                <w:szCs w:val="21"/>
              </w:rPr>
            </w:pPr>
            <w:r>
              <w:rPr>
                <w:rFonts w:eastAsia="楷体_GB2312"/>
                <w:kern w:val="0"/>
                <w:szCs w:val="21"/>
              </w:rPr>
              <w:t>1.21</w:t>
            </w:r>
          </w:p>
        </w:tc>
        <w:tc>
          <w:tcPr>
            <w:tcW w:w="666" w:type="dxa"/>
            <w:tcBorders>
              <w:top w:val="nil"/>
              <w:left w:val="nil"/>
              <w:bottom w:val="single" w:color="auto" w:sz="8" w:space="0"/>
              <w:right w:val="single" w:color="auto" w:sz="8" w:space="0"/>
            </w:tcBorders>
            <w:noWrap w:val="0"/>
            <w:vAlign w:val="center"/>
          </w:tcPr>
          <w:p w14:paraId="5D39E2B1">
            <w:pPr>
              <w:jc w:val="center"/>
              <w:rPr>
                <w:rFonts w:eastAsia="楷体_GB2312"/>
                <w:kern w:val="0"/>
                <w:szCs w:val="21"/>
              </w:rPr>
            </w:pPr>
            <w:r>
              <w:rPr>
                <w:rFonts w:eastAsia="楷体_GB2312"/>
                <w:kern w:val="0"/>
                <w:szCs w:val="21"/>
              </w:rPr>
              <w:t>1.27</w:t>
            </w:r>
          </w:p>
        </w:tc>
        <w:tc>
          <w:tcPr>
            <w:tcW w:w="666" w:type="dxa"/>
            <w:tcBorders>
              <w:top w:val="nil"/>
              <w:left w:val="nil"/>
              <w:bottom w:val="single" w:color="auto" w:sz="8" w:space="0"/>
              <w:right w:val="single" w:color="auto" w:sz="8" w:space="0"/>
            </w:tcBorders>
            <w:noWrap w:val="0"/>
            <w:vAlign w:val="center"/>
          </w:tcPr>
          <w:p w14:paraId="477DF159">
            <w:pPr>
              <w:jc w:val="center"/>
              <w:rPr>
                <w:rFonts w:eastAsia="楷体_GB2312"/>
                <w:kern w:val="0"/>
                <w:szCs w:val="21"/>
              </w:rPr>
            </w:pPr>
            <w:r>
              <w:rPr>
                <w:rFonts w:eastAsia="楷体_GB2312"/>
                <w:kern w:val="0"/>
                <w:szCs w:val="21"/>
              </w:rPr>
              <w:t>1.21</w:t>
            </w:r>
          </w:p>
        </w:tc>
        <w:tc>
          <w:tcPr>
            <w:tcW w:w="668" w:type="dxa"/>
            <w:tcBorders>
              <w:top w:val="nil"/>
              <w:left w:val="nil"/>
              <w:bottom w:val="single" w:color="auto" w:sz="8" w:space="0"/>
              <w:right w:val="single" w:color="auto" w:sz="8" w:space="0"/>
            </w:tcBorders>
            <w:noWrap w:val="0"/>
            <w:vAlign w:val="center"/>
          </w:tcPr>
          <w:p w14:paraId="53DEC310">
            <w:pPr>
              <w:jc w:val="center"/>
              <w:rPr>
                <w:rFonts w:eastAsia="楷体_GB2312"/>
                <w:kern w:val="0"/>
                <w:szCs w:val="21"/>
              </w:rPr>
            </w:pPr>
            <w:r>
              <w:rPr>
                <w:rFonts w:eastAsia="楷体_GB2312"/>
                <w:kern w:val="0"/>
                <w:szCs w:val="21"/>
              </w:rPr>
              <w:t>1.24</w:t>
            </w:r>
          </w:p>
        </w:tc>
        <w:tc>
          <w:tcPr>
            <w:tcW w:w="668" w:type="dxa"/>
            <w:tcBorders>
              <w:top w:val="nil"/>
              <w:left w:val="nil"/>
              <w:bottom w:val="single" w:color="auto" w:sz="8" w:space="0"/>
              <w:right w:val="single" w:color="auto" w:sz="8" w:space="0"/>
            </w:tcBorders>
            <w:noWrap w:val="0"/>
            <w:vAlign w:val="center"/>
          </w:tcPr>
          <w:p w14:paraId="0949637E">
            <w:pPr>
              <w:jc w:val="center"/>
              <w:rPr>
                <w:rFonts w:eastAsia="楷体_GB2312"/>
                <w:kern w:val="0"/>
                <w:szCs w:val="21"/>
              </w:rPr>
            </w:pPr>
            <w:r>
              <w:rPr>
                <w:rFonts w:eastAsia="楷体_GB2312"/>
                <w:kern w:val="0"/>
                <w:szCs w:val="21"/>
              </w:rPr>
              <w:t>1.27</w:t>
            </w:r>
          </w:p>
        </w:tc>
      </w:tr>
      <w:tr w14:paraId="73606DCB">
        <w:tblPrEx>
          <w:tblCellMar>
            <w:top w:w="0" w:type="dxa"/>
            <w:left w:w="108" w:type="dxa"/>
            <w:bottom w:w="0" w:type="dxa"/>
            <w:right w:w="108" w:type="dxa"/>
          </w:tblCellMar>
        </w:tblPrEx>
        <w:trPr>
          <w:trHeight w:val="285" w:hRule="atLeast"/>
          <w:jc w:val="center"/>
        </w:trPr>
        <w:tc>
          <w:tcPr>
            <w:tcW w:w="1066" w:type="dxa"/>
            <w:tcBorders>
              <w:top w:val="nil"/>
              <w:left w:val="single" w:color="auto" w:sz="4" w:space="0"/>
              <w:bottom w:val="single" w:color="auto" w:sz="4" w:space="0"/>
              <w:right w:val="single" w:color="auto" w:sz="4" w:space="0"/>
            </w:tcBorders>
            <w:noWrap/>
            <w:vAlign w:val="center"/>
          </w:tcPr>
          <w:p w14:paraId="5EF7584D">
            <w:pPr>
              <w:jc w:val="center"/>
              <w:rPr>
                <w:rFonts w:eastAsia="楷体_GB2312"/>
                <w:kern w:val="0"/>
                <w:szCs w:val="21"/>
              </w:rPr>
            </w:pPr>
            <w:r>
              <w:rPr>
                <w:rFonts w:eastAsia="楷体_GB2312"/>
                <w:kern w:val="0"/>
                <w:szCs w:val="21"/>
              </w:rPr>
              <w:t>2.0</w:t>
            </w:r>
          </w:p>
        </w:tc>
        <w:tc>
          <w:tcPr>
            <w:tcW w:w="666" w:type="dxa"/>
            <w:tcBorders>
              <w:top w:val="nil"/>
              <w:left w:val="single" w:color="auto" w:sz="8" w:space="0"/>
              <w:bottom w:val="single" w:color="auto" w:sz="8" w:space="0"/>
              <w:right w:val="single" w:color="auto" w:sz="8" w:space="0"/>
            </w:tcBorders>
            <w:noWrap w:val="0"/>
            <w:vAlign w:val="center"/>
          </w:tcPr>
          <w:p w14:paraId="60E5F2F9">
            <w:pPr>
              <w:jc w:val="center"/>
              <w:rPr>
                <w:rFonts w:eastAsia="楷体_GB2312"/>
                <w:kern w:val="0"/>
                <w:szCs w:val="21"/>
              </w:rPr>
            </w:pPr>
            <w:r>
              <w:rPr>
                <w:rFonts w:eastAsia="楷体_GB2312"/>
                <w:kern w:val="0"/>
                <w:szCs w:val="21"/>
              </w:rPr>
              <w:t>1.21</w:t>
            </w:r>
          </w:p>
        </w:tc>
        <w:tc>
          <w:tcPr>
            <w:tcW w:w="666" w:type="dxa"/>
            <w:tcBorders>
              <w:top w:val="nil"/>
              <w:left w:val="nil"/>
              <w:bottom w:val="single" w:color="auto" w:sz="8" w:space="0"/>
              <w:right w:val="single" w:color="auto" w:sz="8" w:space="0"/>
            </w:tcBorders>
            <w:noWrap w:val="0"/>
            <w:vAlign w:val="center"/>
          </w:tcPr>
          <w:p w14:paraId="1AEB2A1E">
            <w:pPr>
              <w:jc w:val="center"/>
              <w:rPr>
                <w:rFonts w:eastAsia="楷体_GB2312"/>
                <w:kern w:val="0"/>
                <w:szCs w:val="21"/>
              </w:rPr>
            </w:pPr>
            <w:r>
              <w:rPr>
                <w:rFonts w:eastAsia="楷体_GB2312"/>
                <w:kern w:val="0"/>
                <w:szCs w:val="21"/>
              </w:rPr>
              <w:t>1.24</w:t>
            </w:r>
          </w:p>
        </w:tc>
        <w:tc>
          <w:tcPr>
            <w:tcW w:w="666" w:type="dxa"/>
            <w:tcBorders>
              <w:top w:val="nil"/>
              <w:left w:val="nil"/>
              <w:bottom w:val="single" w:color="auto" w:sz="8" w:space="0"/>
              <w:right w:val="single" w:color="auto" w:sz="8" w:space="0"/>
            </w:tcBorders>
            <w:noWrap w:val="0"/>
            <w:vAlign w:val="center"/>
          </w:tcPr>
          <w:p w14:paraId="322D16E0">
            <w:pPr>
              <w:jc w:val="center"/>
              <w:rPr>
                <w:rFonts w:eastAsia="楷体_GB2312"/>
                <w:kern w:val="0"/>
                <w:szCs w:val="21"/>
              </w:rPr>
            </w:pPr>
            <w:r>
              <w:rPr>
                <w:rFonts w:eastAsia="楷体_GB2312"/>
                <w:kern w:val="0"/>
                <w:szCs w:val="21"/>
              </w:rPr>
              <w:t>1.31</w:t>
            </w:r>
          </w:p>
        </w:tc>
        <w:tc>
          <w:tcPr>
            <w:tcW w:w="666" w:type="dxa"/>
            <w:tcBorders>
              <w:top w:val="nil"/>
              <w:left w:val="nil"/>
              <w:bottom w:val="single" w:color="auto" w:sz="8" w:space="0"/>
              <w:right w:val="single" w:color="auto" w:sz="8" w:space="0"/>
            </w:tcBorders>
            <w:noWrap w:val="0"/>
            <w:vAlign w:val="center"/>
          </w:tcPr>
          <w:p w14:paraId="4CFDDEF7">
            <w:pPr>
              <w:jc w:val="center"/>
              <w:rPr>
                <w:rFonts w:eastAsia="楷体_GB2312"/>
                <w:kern w:val="0"/>
                <w:szCs w:val="21"/>
              </w:rPr>
            </w:pPr>
            <w:r>
              <w:rPr>
                <w:rFonts w:eastAsia="楷体_GB2312"/>
                <w:kern w:val="0"/>
                <w:szCs w:val="21"/>
              </w:rPr>
              <w:t>1.24</w:t>
            </w:r>
          </w:p>
        </w:tc>
        <w:tc>
          <w:tcPr>
            <w:tcW w:w="668" w:type="dxa"/>
            <w:tcBorders>
              <w:top w:val="nil"/>
              <w:left w:val="nil"/>
              <w:bottom w:val="single" w:color="auto" w:sz="8" w:space="0"/>
              <w:right w:val="single" w:color="auto" w:sz="8" w:space="0"/>
            </w:tcBorders>
            <w:noWrap w:val="0"/>
            <w:vAlign w:val="center"/>
          </w:tcPr>
          <w:p w14:paraId="13F767EC">
            <w:pPr>
              <w:jc w:val="center"/>
              <w:rPr>
                <w:rFonts w:eastAsia="楷体_GB2312"/>
                <w:kern w:val="0"/>
                <w:szCs w:val="21"/>
              </w:rPr>
            </w:pPr>
            <w:r>
              <w:rPr>
                <w:rFonts w:eastAsia="楷体_GB2312"/>
                <w:kern w:val="0"/>
                <w:szCs w:val="21"/>
              </w:rPr>
              <w:t>1.27</w:t>
            </w:r>
          </w:p>
        </w:tc>
        <w:tc>
          <w:tcPr>
            <w:tcW w:w="668" w:type="dxa"/>
            <w:tcBorders>
              <w:top w:val="nil"/>
              <w:left w:val="nil"/>
              <w:bottom w:val="single" w:color="auto" w:sz="8" w:space="0"/>
              <w:right w:val="single" w:color="auto" w:sz="8" w:space="0"/>
            </w:tcBorders>
            <w:noWrap w:val="0"/>
            <w:vAlign w:val="center"/>
          </w:tcPr>
          <w:p w14:paraId="7669B61C">
            <w:pPr>
              <w:jc w:val="center"/>
              <w:rPr>
                <w:rFonts w:eastAsia="楷体_GB2312"/>
                <w:kern w:val="0"/>
                <w:szCs w:val="21"/>
              </w:rPr>
            </w:pPr>
            <w:r>
              <w:rPr>
                <w:rFonts w:eastAsia="楷体_GB2312"/>
                <w:kern w:val="0"/>
                <w:szCs w:val="21"/>
              </w:rPr>
              <w:t>1.31</w:t>
            </w:r>
          </w:p>
        </w:tc>
      </w:tr>
      <w:tr w14:paraId="68C9150C">
        <w:tblPrEx>
          <w:tblCellMar>
            <w:top w:w="0" w:type="dxa"/>
            <w:left w:w="108" w:type="dxa"/>
            <w:bottom w:w="0" w:type="dxa"/>
            <w:right w:w="108" w:type="dxa"/>
          </w:tblCellMar>
        </w:tblPrEx>
        <w:trPr>
          <w:trHeight w:val="285" w:hRule="atLeast"/>
          <w:jc w:val="center"/>
        </w:trPr>
        <w:tc>
          <w:tcPr>
            <w:tcW w:w="1066" w:type="dxa"/>
            <w:tcBorders>
              <w:top w:val="nil"/>
              <w:left w:val="single" w:color="auto" w:sz="4" w:space="0"/>
              <w:bottom w:val="single" w:color="auto" w:sz="4" w:space="0"/>
              <w:right w:val="single" w:color="auto" w:sz="4" w:space="0"/>
            </w:tcBorders>
            <w:noWrap/>
            <w:vAlign w:val="center"/>
          </w:tcPr>
          <w:p w14:paraId="7E00EF5A">
            <w:pPr>
              <w:jc w:val="center"/>
              <w:rPr>
                <w:rFonts w:eastAsia="楷体_GB2312"/>
                <w:kern w:val="0"/>
                <w:szCs w:val="21"/>
              </w:rPr>
            </w:pPr>
            <w:r>
              <w:rPr>
                <w:rFonts w:eastAsia="楷体_GB2312"/>
                <w:kern w:val="0"/>
                <w:szCs w:val="21"/>
              </w:rPr>
              <w:t>2.5</w:t>
            </w:r>
          </w:p>
        </w:tc>
        <w:tc>
          <w:tcPr>
            <w:tcW w:w="666" w:type="dxa"/>
            <w:tcBorders>
              <w:top w:val="nil"/>
              <w:left w:val="single" w:color="auto" w:sz="8" w:space="0"/>
              <w:bottom w:val="single" w:color="auto" w:sz="8" w:space="0"/>
              <w:right w:val="single" w:color="auto" w:sz="8" w:space="0"/>
            </w:tcBorders>
            <w:noWrap w:val="0"/>
            <w:vAlign w:val="center"/>
          </w:tcPr>
          <w:p w14:paraId="221E69AB">
            <w:pPr>
              <w:jc w:val="center"/>
              <w:rPr>
                <w:rFonts w:eastAsia="楷体_GB2312"/>
                <w:kern w:val="0"/>
                <w:szCs w:val="21"/>
              </w:rPr>
            </w:pPr>
            <w:r>
              <w:rPr>
                <w:rFonts w:eastAsia="楷体_GB2312"/>
                <w:kern w:val="0"/>
                <w:szCs w:val="21"/>
              </w:rPr>
              <w:t>1.29</w:t>
            </w:r>
          </w:p>
        </w:tc>
        <w:tc>
          <w:tcPr>
            <w:tcW w:w="666" w:type="dxa"/>
            <w:tcBorders>
              <w:top w:val="nil"/>
              <w:left w:val="nil"/>
              <w:bottom w:val="single" w:color="auto" w:sz="8" w:space="0"/>
              <w:right w:val="single" w:color="auto" w:sz="8" w:space="0"/>
            </w:tcBorders>
            <w:noWrap w:val="0"/>
            <w:vAlign w:val="center"/>
          </w:tcPr>
          <w:p w14:paraId="07D92A4C">
            <w:pPr>
              <w:jc w:val="center"/>
              <w:rPr>
                <w:rFonts w:eastAsia="楷体_GB2312"/>
                <w:kern w:val="0"/>
                <w:szCs w:val="21"/>
              </w:rPr>
            </w:pPr>
            <w:r>
              <w:rPr>
                <w:rFonts w:eastAsia="楷体_GB2312"/>
                <w:kern w:val="0"/>
                <w:szCs w:val="21"/>
              </w:rPr>
              <w:t>1.31</w:t>
            </w:r>
          </w:p>
        </w:tc>
        <w:tc>
          <w:tcPr>
            <w:tcW w:w="666" w:type="dxa"/>
            <w:tcBorders>
              <w:top w:val="nil"/>
              <w:left w:val="nil"/>
              <w:bottom w:val="single" w:color="auto" w:sz="8" w:space="0"/>
              <w:right w:val="single" w:color="auto" w:sz="8" w:space="0"/>
            </w:tcBorders>
            <w:noWrap w:val="0"/>
            <w:vAlign w:val="center"/>
          </w:tcPr>
          <w:p w14:paraId="25FF39FA">
            <w:pPr>
              <w:jc w:val="center"/>
              <w:rPr>
                <w:rFonts w:eastAsia="楷体_GB2312"/>
                <w:kern w:val="0"/>
                <w:szCs w:val="21"/>
              </w:rPr>
            </w:pPr>
            <w:r>
              <w:rPr>
                <w:rFonts w:eastAsia="楷体_GB2312"/>
                <w:kern w:val="0"/>
                <w:szCs w:val="21"/>
              </w:rPr>
              <w:t>1.38</w:t>
            </w:r>
          </w:p>
        </w:tc>
        <w:tc>
          <w:tcPr>
            <w:tcW w:w="666" w:type="dxa"/>
            <w:tcBorders>
              <w:top w:val="nil"/>
              <w:left w:val="nil"/>
              <w:bottom w:val="single" w:color="auto" w:sz="8" w:space="0"/>
              <w:right w:val="single" w:color="auto" w:sz="8" w:space="0"/>
            </w:tcBorders>
            <w:noWrap w:val="0"/>
            <w:vAlign w:val="center"/>
          </w:tcPr>
          <w:p w14:paraId="64D94A95">
            <w:pPr>
              <w:jc w:val="center"/>
              <w:rPr>
                <w:rFonts w:eastAsia="楷体_GB2312"/>
                <w:kern w:val="0"/>
                <w:szCs w:val="21"/>
              </w:rPr>
            </w:pPr>
            <w:r>
              <w:rPr>
                <w:rFonts w:eastAsia="楷体_GB2312"/>
                <w:kern w:val="0"/>
                <w:szCs w:val="21"/>
              </w:rPr>
              <w:t>1.31</w:t>
            </w:r>
          </w:p>
        </w:tc>
        <w:tc>
          <w:tcPr>
            <w:tcW w:w="668" w:type="dxa"/>
            <w:tcBorders>
              <w:top w:val="nil"/>
              <w:left w:val="nil"/>
              <w:bottom w:val="single" w:color="auto" w:sz="8" w:space="0"/>
              <w:right w:val="single" w:color="auto" w:sz="8" w:space="0"/>
            </w:tcBorders>
            <w:noWrap w:val="0"/>
            <w:vAlign w:val="center"/>
          </w:tcPr>
          <w:p w14:paraId="66DD9769">
            <w:pPr>
              <w:jc w:val="center"/>
              <w:rPr>
                <w:rFonts w:eastAsia="楷体_GB2312"/>
                <w:kern w:val="0"/>
                <w:szCs w:val="21"/>
              </w:rPr>
            </w:pPr>
            <w:r>
              <w:rPr>
                <w:rFonts w:eastAsia="楷体_GB2312"/>
                <w:kern w:val="0"/>
                <w:szCs w:val="21"/>
              </w:rPr>
              <w:t>1.35</w:t>
            </w:r>
          </w:p>
        </w:tc>
        <w:tc>
          <w:tcPr>
            <w:tcW w:w="668" w:type="dxa"/>
            <w:tcBorders>
              <w:top w:val="nil"/>
              <w:left w:val="nil"/>
              <w:bottom w:val="single" w:color="auto" w:sz="8" w:space="0"/>
              <w:right w:val="single" w:color="auto" w:sz="8" w:space="0"/>
            </w:tcBorders>
            <w:noWrap w:val="0"/>
            <w:vAlign w:val="center"/>
          </w:tcPr>
          <w:p w14:paraId="695B287E">
            <w:pPr>
              <w:jc w:val="center"/>
              <w:rPr>
                <w:rFonts w:eastAsia="楷体_GB2312"/>
                <w:kern w:val="0"/>
                <w:szCs w:val="21"/>
              </w:rPr>
            </w:pPr>
            <w:r>
              <w:rPr>
                <w:rFonts w:eastAsia="楷体_GB2312"/>
                <w:kern w:val="0"/>
                <w:szCs w:val="21"/>
              </w:rPr>
              <w:t>1.38</w:t>
            </w:r>
          </w:p>
        </w:tc>
      </w:tr>
      <w:tr w14:paraId="7B8FF7B4">
        <w:tblPrEx>
          <w:tblCellMar>
            <w:top w:w="0" w:type="dxa"/>
            <w:left w:w="108" w:type="dxa"/>
            <w:bottom w:w="0" w:type="dxa"/>
            <w:right w:w="108" w:type="dxa"/>
          </w:tblCellMar>
        </w:tblPrEx>
        <w:trPr>
          <w:trHeight w:val="285" w:hRule="atLeast"/>
          <w:jc w:val="center"/>
        </w:trPr>
        <w:tc>
          <w:tcPr>
            <w:tcW w:w="1066" w:type="dxa"/>
            <w:tcBorders>
              <w:top w:val="nil"/>
              <w:left w:val="single" w:color="auto" w:sz="4" w:space="0"/>
              <w:bottom w:val="single" w:color="auto" w:sz="4" w:space="0"/>
              <w:right w:val="single" w:color="auto" w:sz="4" w:space="0"/>
            </w:tcBorders>
            <w:noWrap/>
            <w:vAlign w:val="center"/>
          </w:tcPr>
          <w:p w14:paraId="48BEEE83">
            <w:pPr>
              <w:jc w:val="center"/>
              <w:rPr>
                <w:rFonts w:eastAsia="楷体_GB2312"/>
                <w:kern w:val="0"/>
                <w:szCs w:val="21"/>
              </w:rPr>
            </w:pPr>
            <w:r>
              <w:rPr>
                <w:rFonts w:eastAsia="楷体_GB2312"/>
                <w:kern w:val="0"/>
                <w:szCs w:val="21"/>
              </w:rPr>
              <w:t>3.0</w:t>
            </w:r>
          </w:p>
        </w:tc>
        <w:tc>
          <w:tcPr>
            <w:tcW w:w="666" w:type="dxa"/>
            <w:tcBorders>
              <w:top w:val="nil"/>
              <w:left w:val="single" w:color="auto" w:sz="8" w:space="0"/>
              <w:bottom w:val="single" w:color="auto" w:sz="8" w:space="0"/>
              <w:right w:val="single" w:color="auto" w:sz="8" w:space="0"/>
            </w:tcBorders>
            <w:noWrap w:val="0"/>
            <w:vAlign w:val="center"/>
          </w:tcPr>
          <w:p w14:paraId="6CC9D8A0">
            <w:pPr>
              <w:jc w:val="center"/>
              <w:rPr>
                <w:rFonts w:eastAsia="楷体_GB2312"/>
                <w:kern w:val="0"/>
                <w:szCs w:val="21"/>
              </w:rPr>
            </w:pPr>
            <w:r>
              <w:rPr>
                <w:rFonts w:eastAsia="楷体_GB2312"/>
                <w:kern w:val="0"/>
                <w:szCs w:val="21"/>
              </w:rPr>
              <w:t>1.35</w:t>
            </w:r>
          </w:p>
        </w:tc>
        <w:tc>
          <w:tcPr>
            <w:tcW w:w="666" w:type="dxa"/>
            <w:tcBorders>
              <w:top w:val="nil"/>
              <w:left w:val="nil"/>
              <w:bottom w:val="single" w:color="auto" w:sz="8" w:space="0"/>
              <w:right w:val="single" w:color="auto" w:sz="8" w:space="0"/>
            </w:tcBorders>
            <w:noWrap w:val="0"/>
            <w:vAlign w:val="center"/>
          </w:tcPr>
          <w:p w14:paraId="0A746411">
            <w:pPr>
              <w:jc w:val="center"/>
              <w:rPr>
                <w:rFonts w:eastAsia="楷体_GB2312"/>
                <w:kern w:val="0"/>
                <w:szCs w:val="21"/>
              </w:rPr>
            </w:pPr>
            <w:r>
              <w:rPr>
                <w:rFonts w:eastAsia="楷体_GB2312"/>
                <w:kern w:val="0"/>
                <w:szCs w:val="21"/>
              </w:rPr>
              <w:t>1.37</w:t>
            </w:r>
          </w:p>
        </w:tc>
        <w:tc>
          <w:tcPr>
            <w:tcW w:w="666" w:type="dxa"/>
            <w:tcBorders>
              <w:top w:val="nil"/>
              <w:left w:val="nil"/>
              <w:bottom w:val="single" w:color="auto" w:sz="8" w:space="0"/>
              <w:right w:val="single" w:color="auto" w:sz="8" w:space="0"/>
            </w:tcBorders>
            <w:noWrap w:val="0"/>
            <w:vAlign w:val="center"/>
          </w:tcPr>
          <w:p w14:paraId="481D44B5">
            <w:pPr>
              <w:jc w:val="center"/>
              <w:rPr>
                <w:rFonts w:eastAsia="楷体_GB2312"/>
                <w:kern w:val="0"/>
                <w:szCs w:val="21"/>
              </w:rPr>
            </w:pPr>
            <w:r>
              <w:rPr>
                <w:rFonts w:eastAsia="楷体_GB2312"/>
                <w:kern w:val="0"/>
                <w:szCs w:val="21"/>
              </w:rPr>
              <w:t>1.45</w:t>
            </w:r>
          </w:p>
        </w:tc>
        <w:tc>
          <w:tcPr>
            <w:tcW w:w="666" w:type="dxa"/>
            <w:tcBorders>
              <w:top w:val="nil"/>
              <w:left w:val="nil"/>
              <w:bottom w:val="single" w:color="auto" w:sz="8" w:space="0"/>
              <w:right w:val="single" w:color="auto" w:sz="8" w:space="0"/>
            </w:tcBorders>
            <w:noWrap w:val="0"/>
            <w:vAlign w:val="center"/>
          </w:tcPr>
          <w:p w14:paraId="5B4467C3">
            <w:pPr>
              <w:jc w:val="center"/>
              <w:rPr>
                <w:rFonts w:eastAsia="楷体_GB2312"/>
                <w:kern w:val="0"/>
                <w:szCs w:val="21"/>
              </w:rPr>
            </w:pPr>
            <w:r>
              <w:rPr>
                <w:rFonts w:eastAsia="楷体_GB2312"/>
                <w:kern w:val="0"/>
                <w:szCs w:val="21"/>
              </w:rPr>
              <w:t>1.37</w:t>
            </w:r>
          </w:p>
        </w:tc>
        <w:tc>
          <w:tcPr>
            <w:tcW w:w="668" w:type="dxa"/>
            <w:tcBorders>
              <w:top w:val="nil"/>
              <w:left w:val="nil"/>
              <w:bottom w:val="single" w:color="auto" w:sz="8" w:space="0"/>
              <w:right w:val="single" w:color="auto" w:sz="8" w:space="0"/>
            </w:tcBorders>
            <w:noWrap w:val="0"/>
            <w:vAlign w:val="center"/>
          </w:tcPr>
          <w:p w14:paraId="541A09D3">
            <w:pPr>
              <w:jc w:val="center"/>
              <w:rPr>
                <w:rFonts w:eastAsia="楷体_GB2312"/>
                <w:kern w:val="0"/>
                <w:szCs w:val="21"/>
              </w:rPr>
            </w:pPr>
            <w:r>
              <w:rPr>
                <w:rFonts w:eastAsia="楷体_GB2312"/>
                <w:kern w:val="0"/>
                <w:szCs w:val="21"/>
              </w:rPr>
              <w:t>1.41</w:t>
            </w:r>
          </w:p>
        </w:tc>
        <w:tc>
          <w:tcPr>
            <w:tcW w:w="668" w:type="dxa"/>
            <w:tcBorders>
              <w:top w:val="nil"/>
              <w:left w:val="nil"/>
              <w:bottom w:val="single" w:color="auto" w:sz="8" w:space="0"/>
              <w:right w:val="single" w:color="auto" w:sz="8" w:space="0"/>
            </w:tcBorders>
            <w:noWrap w:val="0"/>
            <w:vAlign w:val="center"/>
          </w:tcPr>
          <w:p w14:paraId="231C52AC">
            <w:pPr>
              <w:jc w:val="center"/>
              <w:rPr>
                <w:rFonts w:eastAsia="楷体_GB2312"/>
                <w:kern w:val="0"/>
                <w:szCs w:val="21"/>
              </w:rPr>
            </w:pPr>
            <w:r>
              <w:rPr>
                <w:rFonts w:eastAsia="楷体_GB2312"/>
                <w:kern w:val="0"/>
                <w:szCs w:val="21"/>
              </w:rPr>
              <w:t>1.45</w:t>
            </w:r>
          </w:p>
        </w:tc>
      </w:tr>
      <w:tr w14:paraId="6349F3CC">
        <w:tblPrEx>
          <w:tblCellMar>
            <w:top w:w="0" w:type="dxa"/>
            <w:left w:w="108" w:type="dxa"/>
            <w:bottom w:w="0" w:type="dxa"/>
            <w:right w:w="108" w:type="dxa"/>
          </w:tblCellMar>
        </w:tblPrEx>
        <w:trPr>
          <w:trHeight w:val="285" w:hRule="atLeast"/>
          <w:jc w:val="center"/>
        </w:trPr>
        <w:tc>
          <w:tcPr>
            <w:tcW w:w="1066" w:type="dxa"/>
            <w:tcBorders>
              <w:top w:val="nil"/>
              <w:left w:val="single" w:color="auto" w:sz="4" w:space="0"/>
              <w:bottom w:val="single" w:color="auto" w:sz="4" w:space="0"/>
              <w:right w:val="single" w:color="auto" w:sz="4" w:space="0"/>
            </w:tcBorders>
            <w:noWrap/>
            <w:vAlign w:val="center"/>
          </w:tcPr>
          <w:p w14:paraId="1D6EAF3E">
            <w:pPr>
              <w:jc w:val="center"/>
              <w:rPr>
                <w:rFonts w:eastAsia="楷体_GB2312"/>
                <w:kern w:val="0"/>
                <w:szCs w:val="21"/>
              </w:rPr>
            </w:pPr>
            <w:r>
              <w:rPr>
                <w:rFonts w:eastAsia="楷体_GB2312"/>
                <w:kern w:val="0"/>
                <w:szCs w:val="21"/>
              </w:rPr>
              <w:t>3.5</w:t>
            </w:r>
          </w:p>
        </w:tc>
        <w:tc>
          <w:tcPr>
            <w:tcW w:w="666" w:type="dxa"/>
            <w:tcBorders>
              <w:top w:val="nil"/>
              <w:left w:val="single" w:color="auto" w:sz="8" w:space="0"/>
              <w:bottom w:val="single" w:color="auto" w:sz="8" w:space="0"/>
              <w:right w:val="single" w:color="auto" w:sz="8" w:space="0"/>
            </w:tcBorders>
            <w:noWrap w:val="0"/>
            <w:vAlign w:val="center"/>
          </w:tcPr>
          <w:p w14:paraId="57EA4707">
            <w:pPr>
              <w:jc w:val="center"/>
              <w:rPr>
                <w:rFonts w:eastAsia="楷体_GB2312"/>
                <w:kern w:val="0"/>
                <w:szCs w:val="21"/>
              </w:rPr>
            </w:pPr>
            <w:r>
              <w:rPr>
                <w:rFonts w:eastAsia="楷体_GB2312"/>
                <w:kern w:val="0"/>
                <w:szCs w:val="21"/>
              </w:rPr>
              <w:t>1.4</w:t>
            </w:r>
          </w:p>
        </w:tc>
        <w:tc>
          <w:tcPr>
            <w:tcW w:w="666" w:type="dxa"/>
            <w:tcBorders>
              <w:top w:val="nil"/>
              <w:left w:val="nil"/>
              <w:bottom w:val="single" w:color="auto" w:sz="8" w:space="0"/>
              <w:right w:val="single" w:color="auto" w:sz="8" w:space="0"/>
            </w:tcBorders>
            <w:noWrap w:val="0"/>
            <w:vAlign w:val="center"/>
          </w:tcPr>
          <w:p w14:paraId="7824F92F">
            <w:pPr>
              <w:jc w:val="center"/>
              <w:rPr>
                <w:rFonts w:eastAsia="楷体_GB2312"/>
                <w:kern w:val="0"/>
                <w:szCs w:val="21"/>
              </w:rPr>
            </w:pPr>
            <w:r>
              <w:rPr>
                <w:rFonts w:eastAsia="楷体_GB2312"/>
                <w:kern w:val="0"/>
                <w:szCs w:val="21"/>
              </w:rPr>
              <w:t>1.42</w:t>
            </w:r>
          </w:p>
        </w:tc>
        <w:tc>
          <w:tcPr>
            <w:tcW w:w="666" w:type="dxa"/>
            <w:tcBorders>
              <w:top w:val="nil"/>
              <w:left w:val="nil"/>
              <w:bottom w:val="single" w:color="auto" w:sz="8" w:space="0"/>
              <w:right w:val="single" w:color="auto" w:sz="8" w:space="0"/>
            </w:tcBorders>
            <w:noWrap w:val="0"/>
            <w:vAlign w:val="center"/>
          </w:tcPr>
          <w:p w14:paraId="1F289065">
            <w:pPr>
              <w:jc w:val="center"/>
              <w:rPr>
                <w:rFonts w:eastAsia="楷体_GB2312"/>
                <w:kern w:val="0"/>
                <w:szCs w:val="21"/>
              </w:rPr>
            </w:pPr>
            <w:r>
              <w:rPr>
                <w:rFonts w:eastAsia="楷体_GB2312"/>
                <w:kern w:val="0"/>
                <w:szCs w:val="21"/>
              </w:rPr>
              <w:t>1.51</w:t>
            </w:r>
          </w:p>
        </w:tc>
        <w:tc>
          <w:tcPr>
            <w:tcW w:w="666" w:type="dxa"/>
            <w:tcBorders>
              <w:top w:val="nil"/>
              <w:left w:val="nil"/>
              <w:bottom w:val="single" w:color="auto" w:sz="8" w:space="0"/>
              <w:right w:val="single" w:color="auto" w:sz="8" w:space="0"/>
            </w:tcBorders>
            <w:noWrap w:val="0"/>
            <w:vAlign w:val="center"/>
          </w:tcPr>
          <w:p w14:paraId="3CC62367">
            <w:pPr>
              <w:jc w:val="center"/>
              <w:rPr>
                <w:rFonts w:eastAsia="楷体_GB2312"/>
                <w:kern w:val="0"/>
                <w:szCs w:val="21"/>
              </w:rPr>
            </w:pPr>
            <w:r>
              <w:rPr>
                <w:rFonts w:eastAsia="楷体_GB2312"/>
                <w:kern w:val="0"/>
                <w:szCs w:val="21"/>
              </w:rPr>
              <w:t>1.42</w:t>
            </w:r>
          </w:p>
        </w:tc>
        <w:tc>
          <w:tcPr>
            <w:tcW w:w="668" w:type="dxa"/>
            <w:tcBorders>
              <w:top w:val="nil"/>
              <w:left w:val="nil"/>
              <w:bottom w:val="single" w:color="auto" w:sz="8" w:space="0"/>
              <w:right w:val="single" w:color="auto" w:sz="8" w:space="0"/>
            </w:tcBorders>
            <w:noWrap w:val="0"/>
            <w:vAlign w:val="center"/>
          </w:tcPr>
          <w:p w14:paraId="0970E181">
            <w:pPr>
              <w:jc w:val="center"/>
              <w:rPr>
                <w:rFonts w:eastAsia="楷体_GB2312"/>
                <w:kern w:val="0"/>
                <w:szCs w:val="21"/>
              </w:rPr>
            </w:pPr>
            <w:r>
              <w:rPr>
                <w:rFonts w:eastAsia="楷体_GB2312"/>
                <w:kern w:val="0"/>
                <w:szCs w:val="21"/>
              </w:rPr>
              <w:t>1.46</w:t>
            </w:r>
          </w:p>
        </w:tc>
        <w:tc>
          <w:tcPr>
            <w:tcW w:w="668" w:type="dxa"/>
            <w:tcBorders>
              <w:top w:val="nil"/>
              <w:left w:val="nil"/>
              <w:bottom w:val="single" w:color="auto" w:sz="8" w:space="0"/>
              <w:right w:val="single" w:color="auto" w:sz="8" w:space="0"/>
            </w:tcBorders>
            <w:noWrap w:val="0"/>
            <w:vAlign w:val="center"/>
          </w:tcPr>
          <w:p w14:paraId="246AFC1D">
            <w:pPr>
              <w:jc w:val="center"/>
              <w:rPr>
                <w:rFonts w:eastAsia="楷体_GB2312"/>
                <w:kern w:val="0"/>
                <w:szCs w:val="21"/>
              </w:rPr>
            </w:pPr>
            <w:r>
              <w:rPr>
                <w:rFonts w:eastAsia="楷体_GB2312"/>
                <w:kern w:val="0"/>
                <w:szCs w:val="21"/>
              </w:rPr>
              <w:t>1.51</w:t>
            </w:r>
          </w:p>
        </w:tc>
      </w:tr>
      <w:tr w14:paraId="23984E03">
        <w:tblPrEx>
          <w:tblCellMar>
            <w:top w:w="0" w:type="dxa"/>
            <w:left w:w="108" w:type="dxa"/>
            <w:bottom w:w="0" w:type="dxa"/>
            <w:right w:w="108" w:type="dxa"/>
          </w:tblCellMar>
        </w:tblPrEx>
        <w:trPr>
          <w:trHeight w:val="285" w:hRule="atLeast"/>
          <w:jc w:val="center"/>
        </w:trPr>
        <w:tc>
          <w:tcPr>
            <w:tcW w:w="1066" w:type="dxa"/>
            <w:tcBorders>
              <w:top w:val="nil"/>
              <w:left w:val="single" w:color="auto" w:sz="4" w:space="0"/>
              <w:bottom w:val="single" w:color="auto" w:sz="4" w:space="0"/>
              <w:right w:val="single" w:color="auto" w:sz="4" w:space="0"/>
            </w:tcBorders>
            <w:noWrap/>
            <w:vAlign w:val="center"/>
          </w:tcPr>
          <w:p w14:paraId="5C8AA151">
            <w:pPr>
              <w:jc w:val="center"/>
              <w:rPr>
                <w:rFonts w:eastAsia="楷体_GB2312"/>
                <w:kern w:val="0"/>
                <w:szCs w:val="21"/>
              </w:rPr>
            </w:pPr>
            <w:r>
              <w:rPr>
                <w:rFonts w:eastAsia="楷体_GB2312"/>
                <w:kern w:val="0"/>
                <w:szCs w:val="21"/>
              </w:rPr>
              <w:t>4.0</w:t>
            </w:r>
          </w:p>
        </w:tc>
        <w:tc>
          <w:tcPr>
            <w:tcW w:w="666" w:type="dxa"/>
            <w:tcBorders>
              <w:top w:val="nil"/>
              <w:left w:val="single" w:color="auto" w:sz="8" w:space="0"/>
              <w:bottom w:val="single" w:color="auto" w:sz="8" w:space="0"/>
              <w:right w:val="single" w:color="auto" w:sz="8" w:space="0"/>
            </w:tcBorders>
            <w:noWrap w:val="0"/>
            <w:vAlign w:val="center"/>
          </w:tcPr>
          <w:p w14:paraId="6D2B5C25">
            <w:pPr>
              <w:jc w:val="center"/>
              <w:rPr>
                <w:rFonts w:eastAsia="楷体_GB2312"/>
                <w:kern w:val="0"/>
                <w:szCs w:val="21"/>
              </w:rPr>
            </w:pPr>
            <w:r>
              <w:rPr>
                <w:rFonts w:eastAsia="楷体_GB2312"/>
                <w:kern w:val="0"/>
                <w:szCs w:val="21"/>
              </w:rPr>
              <w:t>1.44</w:t>
            </w:r>
          </w:p>
        </w:tc>
        <w:tc>
          <w:tcPr>
            <w:tcW w:w="666" w:type="dxa"/>
            <w:tcBorders>
              <w:top w:val="nil"/>
              <w:left w:val="nil"/>
              <w:bottom w:val="single" w:color="auto" w:sz="8" w:space="0"/>
              <w:right w:val="single" w:color="auto" w:sz="8" w:space="0"/>
            </w:tcBorders>
            <w:noWrap w:val="0"/>
            <w:vAlign w:val="center"/>
          </w:tcPr>
          <w:p w14:paraId="46DF8944">
            <w:pPr>
              <w:jc w:val="center"/>
              <w:rPr>
                <w:rFonts w:eastAsia="楷体_GB2312"/>
                <w:kern w:val="0"/>
                <w:szCs w:val="21"/>
              </w:rPr>
            </w:pPr>
            <w:r>
              <w:rPr>
                <w:rFonts w:eastAsia="楷体_GB2312"/>
                <w:kern w:val="0"/>
                <w:szCs w:val="21"/>
              </w:rPr>
              <w:t>1.46</w:t>
            </w:r>
          </w:p>
        </w:tc>
        <w:tc>
          <w:tcPr>
            <w:tcW w:w="666" w:type="dxa"/>
            <w:tcBorders>
              <w:top w:val="nil"/>
              <w:left w:val="nil"/>
              <w:bottom w:val="single" w:color="auto" w:sz="8" w:space="0"/>
              <w:right w:val="single" w:color="auto" w:sz="8" w:space="0"/>
            </w:tcBorders>
            <w:noWrap w:val="0"/>
            <w:vAlign w:val="center"/>
          </w:tcPr>
          <w:p w14:paraId="08E0DBCD">
            <w:pPr>
              <w:jc w:val="center"/>
              <w:rPr>
                <w:rFonts w:eastAsia="楷体_GB2312"/>
                <w:kern w:val="0"/>
                <w:szCs w:val="21"/>
              </w:rPr>
            </w:pPr>
            <w:r>
              <w:rPr>
                <w:rFonts w:eastAsia="楷体_GB2312"/>
                <w:kern w:val="0"/>
                <w:szCs w:val="21"/>
              </w:rPr>
              <w:t>1.54</w:t>
            </w:r>
          </w:p>
        </w:tc>
        <w:tc>
          <w:tcPr>
            <w:tcW w:w="666" w:type="dxa"/>
            <w:tcBorders>
              <w:top w:val="nil"/>
              <w:left w:val="nil"/>
              <w:bottom w:val="single" w:color="auto" w:sz="8" w:space="0"/>
              <w:right w:val="single" w:color="auto" w:sz="8" w:space="0"/>
            </w:tcBorders>
            <w:noWrap w:val="0"/>
            <w:vAlign w:val="center"/>
          </w:tcPr>
          <w:p w14:paraId="286D6842">
            <w:pPr>
              <w:jc w:val="center"/>
              <w:rPr>
                <w:rFonts w:eastAsia="楷体_GB2312"/>
                <w:kern w:val="0"/>
                <w:szCs w:val="21"/>
              </w:rPr>
            </w:pPr>
            <w:r>
              <w:rPr>
                <w:rFonts w:eastAsia="楷体_GB2312"/>
                <w:kern w:val="0"/>
                <w:szCs w:val="21"/>
              </w:rPr>
              <w:t>1.46</w:t>
            </w:r>
          </w:p>
        </w:tc>
        <w:tc>
          <w:tcPr>
            <w:tcW w:w="668" w:type="dxa"/>
            <w:tcBorders>
              <w:top w:val="nil"/>
              <w:left w:val="nil"/>
              <w:bottom w:val="single" w:color="auto" w:sz="8" w:space="0"/>
              <w:right w:val="single" w:color="auto" w:sz="8" w:space="0"/>
            </w:tcBorders>
            <w:noWrap w:val="0"/>
            <w:vAlign w:val="center"/>
          </w:tcPr>
          <w:p w14:paraId="7A004593">
            <w:pPr>
              <w:jc w:val="center"/>
              <w:rPr>
                <w:rFonts w:eastAsia="楷体_GB2312"/>
                <w:kern w:val="0"/>
                <w:szCs w:val="21"/>
              </w:rPr>
            </w:pPr>
            <w:r>
              <w:rPr>
                <w:rFonts w:eastAsia="楷体_GB2312"/>
                <w:kern w:val="0"/>
                <w:szCs w:val="21"/>
              </w:rPr>
              <w:t>1.50</w:t>
            </w:r>
          </w:p>
        </w:tc>
        <w:tc>
          <w:tcPr>
            <w:tcW w:w="668" w:type="dxa"/>
            <w:tcBorders>
              <w:top w:val="nil"/>
              <w:left w:val="nil"/>
              <w:bottom w:val="single" w:color="auto" w:sz="8" w:space="0"/>
              <w:right w:val="single" w:color="auto" w:sz="8" w:space="0"/>
            </w:tcBorders>
            <w:noWrap w:val="0"/>
            <w:vAlign w:val="center"/>
          </w:tcPr>
          <w:p w14:paraId="4CD3EABD">
            <w:pPr>
              <w:jc w:val="center"/>
              <w:rPr>
                <w:rFonts w:eastAsia="楷体_GB2312"/>
                <w:kern w:val="0"/>
                <w:szCs w:val="21"/>
              </w:rPr>
            </w:pPr>
            <w:r>
              <w:rPr>
                <w:rFonts w:eastAsia="楷体_GB2312"/>
                <w:kern w:val="0"/>
                <w:szCs w:val="21"/>
              </w:rPr>
              <w:t>1.54</w:t>
            </w:r>
          </w:p>
        </w:tc>
      </w:tr>
      <w:tr w14:paraId="359B66C5">
        <w:tblPrEx>
          <w:tblCellMar>
            <w:top w:w="0" w:type="dxa"/>
            <w:left w:w="108" w:type="dxa"/>
            <w:bottom w:w="0" w:type="dxa"/>
            <w:right w:w="108" w:type="dxa"/>
          </w:tblCellMar>
        </w:tblPrEx>
        <w:trPr>
          <w:trHeight w:val="285" w:hRule="atLeast"/>
          <w:jc w:val="center"/>
        </w:trPr>
        <w:tc>
          <w:tcPr>
            <w:tcW w:w="1066" w:type="dxa"/>
            <w:tcBorders>
              <w:top w:val="nil"/>
              <w:left w:val="single" w:color="auto" w:sz="4" w:space="0"/>
              <w:bottom w:val="single" w:color="auto" w:sz="4" w:space="0"/>
              <w:right w:val="single" w:color="auto" w:sz="4" w:space="0"/>
            </w:tcBorders>
            <w:noWrap/>
            <w:vAlign w:val="center"/>
          </w:tcPr>
          <w:p w14:paraId="6238703A">
            <w:pPr>
              <w:jc w:val="center"/>
              <w:rPr>
                <w:rFonts w:eastAsia="楷体_GB2312"/>
                <w:kern w:val="0"/>
                <w:szCs w:val="21"/>
              </w:rPr>
            </w:pPr>
            <w:r>
              <w:rPr>
                <w:rFonts w:eastAsia="楷体_GB2312"/>
                <w:kern w:val="0"/>
                <w:szCs w:val="21"/>
              </w:rPr>
              <w:t>≥5</w:t>
            </w:r>
          </w:p>
        </w:tc>
        <w:tc>
          <w:tcPr>
            <w:tcW w:w="666" w:type="dxa"/>
            <w:tcBorders>
              <w:top w:val="nil"/>
              <w:left w:val="single" w:color="auto" w:sz="8" w:space="0"/>
              <w:bottom w:val="single" w:color="auto" w:sz="8" w:space="0"/>
              <w:right w:val="single" w:color="auto" w:sz="8" w:space="0"/>
            </w:tcBorders>
            <w:noWrap w:val="0"/>
            <w:vAlign w:val="center"/>
          </w:tcPr>
          <w:p w14:paraId="0AD40E2B">
            <w:pPr>
              <w:jc w:val="center"/>
              <w:rPr>
                <w:rFonts w:eastAsia="楷体_GB2312"/>
                <w:kern w:val="0"/>
                <w:szCs w:val="21"/>
              </w:rPr>
            </w:pPr>
            <w:r>
              <w:rPr>
                <w:rFonts w:eastAsia="楷体_GB2312"/>
                <w:kern w:val="0"/>
                <w:szCs w:val="21"/>
              </w:rPr>
              <w:t>1.47</w:t>
            </w:r>
          </w:p>
        </w:tc>
        <w:tc>
          <w:tcPr>
            <w:tcW w:w="666" w:type="dxa"/>
            <w:tcBorders>
              <w:top w:val="nil"/>
              <w:left w:val="nil"/>
              <w:bottom w:val="single" w:color="auto" w:sz="8" w:space="0"/>
              <w:right w:val="single" w:color="auto" w:sz="8" w:space="0"/>
            </w:tcBorders>
            <w:noWrap w:val="0"/>
            <w:vAlign w:val="center"/>
          </w:tcPr>
          <w:p w14:paraId="650B1A1D">
            <w:pPr>
              <w:jc w:val="center"/>
              <w:rPr>
                <w:rFonts w:eastAsia="楷体_GB2312"/>
                <w:kern w:val="0"/>
                <w:szCs w:val="21"/>
              </w:rPr>
            </w:pPr>
            <w:r>
              <w:rPr>
                <w:rFonts w:eastAsia="楷体_GB2312"/>
                <w:kern w:val="0"/>
                <w:szCs w:val="21"/>
              </w:rPr>
              <w:t>1.49</w:t>
            </w:r>
          </w:p>
        </w:tc>
        <w:tc>
          <w:tcPr>
            <w:tcW w:w="666" w:type="dxa"/>
            <w:tcBorders>
              <w:top w:val="nil"/>
              <w:left w:val="nil"/>
              <w:bottom w:val="single" w:color="auto" w:sz="8" w:space="0"/>
              <w:right w:val="single" w:color="auto" w:sz="8" w:space="0"/>
            </w:tcBorders>
            <w:noWrap w:val="0"/>
            <w:vAlign w:val="center"/>
          </w:tcPr>
          <w:p w14:paraId="23B1C8A8">
            <w:pPr>
              <w:jc w:val="center"/>
              <w:rPr>
                <w:rFonts w:eastAsia="楷体_GB2312"/>
                <w:kern w:val="0"/>
                <w:szCs w:val="21"/>
              </w:rPr>
            </w:pPr>
            <w:r>
              <w:rPr>
                <w:rFonts w:eastAsia="楷体_GB2312"/>
                <w:kern w:val="0"/>
                <w:szCs w:val="21"/>
              </w:rPr>
              <w:t>1.57</w:t>
            </w:r>
          </w:p>
        </w:tc>
        <w:tc>
          <w:tcPr>
            <w:tcW w:w="666" w:type="dxa"/>
            <w:tcBorders>
              <w:top w:val="nil"/>
              <w:left w:val="nil"/>
              <w:bottom w:val="single" w:color="auto" w:sz="8" w:space="0"/>
              <w:right w:val="single" w:color="auto" w:sz="8" w:space="0"/>
            </w:tcBorders>
            <w:noWrap w:val="0"/>
            <w:vAlign w:val="center"/>
          </w:tcPr>
          <w:p w14:paraId="5AFC4A05">
            <w:pPr>
              <w:jc w:val="center"/>
              <w:rPr>
                <w:rFonts w:eastAsia="楷体_GB2312"/>
                <w:kern w:val="0"/>
                <w:szCs w:val="21"/>
              </w:rPr>
            </w:pPr>
            <w:r>
              <w:rPr>
                <w:rFonts w:eastAsia="楷体_GB2312"/>
                <w:kern w:val="0"/>
                <w:szCs w:val="21"/>
              </w:rPr>
              <w:t>1.49</w:t>
            </w:r>
          </w:p>
        </w:tc>
        <w:tc>
          <w:tcPr>
            <w:tcW w:w="668" w:type="dxa"/>
            <w:tcBorders>
              <w:top w:val="nil"/>
              <w:left w:val="nil"/>
              <w:bottom w:val="single" w:color="auto" w:sz="8" w:space="0"/>
              <w:right w:val="single" w:color="auto" w:sz="8" w:space="0"/>
            </w:tcBorders>
            <w:noWrap w:val="0"/>
            <w:vAlign w:val="center"/>
          </w:tcPr>
          <w:p w14:paraId="5A8CFA56">
            <w:pPr>
              <w:jc w:val="center"/>
              <w:rPr>
                <w:rFonts w:eastAsia="楷体_GB2312"/>
                <w:kern w:val="0"/>
                <w:szCs w:val="21"/>
              </w:rPr>
            </w:pPr>
            <w:r>
              <w:rPr>
                <w:rFonts w:eastAsia="楷体_GB2312"/>
                <w:kern w:val="0"/>
                <w:szCs w:val="21"/>
              </w:rPr>
              <w:t>1.53</w:t>
            </w:r>
          </w:p>
        </w:tc>
        <w:tc>
          <w:tcPr>
            <w:tcW w:w="668" w:type="dxa"/>
            <w:tcBorders>
              <w:top w:val="nil"/>
              <w:left w:val="nil"/>
              <w:bottom w:val="single" w:color="auto" w:sz="8" w:space="0"/>
              <w:right w:val="single" w:color="auto" w:sz="8" w:space="0"/>
            </w:tcBorders>
            <w:noWrap w:val="0"/>
            <w:vAlign w:val="center"/>
          </w:tcPr>
          <w:p w14:paraId="2096BF3C">
            <w:pPr>
              <w:jc w:val="center"/>
              <w:rPr>
                <w:rFonts w:eastAsia="楷体_GB2312"/>
                <w:kern w:val="0"/>
                <w:szCs w:val="21"/>
              </w:rPr>
            </w:pPr>
            <w:r>
              <w:rPr>
                <w:rFonts w:eastAsia="楷体_GB2312"/>
                <w:kern w:val="0"/>
                <w:szCs w:val="21"/>
              </w:rPr>
              <w:t>1.57</w:t>
            </w:r>
          </w:p>
        </w:tc>
      </w:tr>
    </w:tbl>
    <w:p w14:paraId="28B12236">
      <w:pPr>
        <w:pStyle w:val="20"/>
        <w:spacing w:line="480" w:lineRule="exact"/>
        <w:ind w:left="-141" w:leftChars="-67" w:right="-113" w:rightChars="-54"/>
        <w:jc w:val="center"/>
        <w:rPr>
          <w:rFonts w:ascii="Times New Roman" w:hAnsi="Times New Roman" w:eastAsia="黑体" w:cs="Times New Roman"/>
          <w:sz w:val="28"/>
        </w:rPr>
      </w:pPr>
    </w:p>
    <w:p w14:paraId="53FDD0E9">
      <w:pPr>
        <w:pStyle w:val="20"/>
        <w:spacing w:line="480" w:lineRule="exact"/>
        <w:ind w:left="-141" w:leftChars="-67" w:right="-113" w:rightChars="-54"/>
        <w:jc w:val="center"/>
        <w:rPr>
          <w:rFonts w:ascii="Times New Roman" w:hAnsi="Times New Roman" w:eastAsia="黑体" w:cs="Times New Roman"/>
          <w:sz w:val="28"/>
        </w:rPr>
      </w:pPr>
      <w:r>
        <w:rPr>
          <w:rFonts w:ascii="Times New Roman" w:hAnsi="Times New Roman" w:eastAsia="黑体" w:cs="Times New Roman"/>
          <w:sz w:val="28"/>
        </w:rPr>
        <w:br w:type="page"/>
      </w:r>
      <w:r>
        <w:rPr>
          <w:rFonts w:ascii="Times New Roman" w:hAnsi="Times New Roman" w:eastAsia="黑体" w:cs="Times New Roman"/>
          <w:sz w:val="28"/>
        </w:rPr>
        <w:t>表2-2-</w:t>
      </w:r>
      <w:r>
        <w:rPr>
          <w:rFonts w:hint="eastAsia" w:ascii="Times New Roman" w:hAnsi="Times New Roman" w:eastAsia="黑体" w:cs="Times New Roman"/>
          <w:sz w:val="28"/>
        </w:rPr>
        <w:t>8</w:t>
      </w:r>
      <w:r>
        <w:rPr>
          <w:rFonts w:ascii="Times New Roman" w:hAnsi="Times New Roman" w:eastAsia="黑体" w:cs="Times New Roman"/>
          <w:sz w:val="28"/>
        </w:rPr>
        <w:t xml:space="preserve">  埇桥区</w:t>
      </w:r>
      <w:r>
        <w:rPr>
          <w:rFonts w:hint="eastAsia" w:ascii="Times New Roman" w:hAnsi="Times New Roman" w:eastAsia="黑体" w:cs="Times New Roman"/>
          <w:sz w:val="28"/>
          <w:szCs w:val="20"/>
        </w:rPr>
        <w:t>三个园区</w:t>
      </w:r>
      <w:r>
        <w:rPr>
          <w:rFonts w:ascii="Times New Roman" w:hAnsi="Times New Roman" w:eastAsia="黑体" w:cs="Times New Roman"/>
          <w:sz w:val="28"/>
        </w:rPr>
        <w:t>商服、住宅用地容积率修正系数表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77"/>
        <w:gridCol w:w="3119"/>
        <w:gridCol w:w="2976"/>
      </w:tblGrid>
      <w:tr w14:paraId="3828A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jc w:val="center"/>
        </w:trPr>
        <w:tc>
          <w:tcPr>
            <w:tcW w:w="1641" w:type="pct"/>
            <w:vMerge w:val="restart"/>
            <w:noWrap w:val="0"/>
            <w:vAlign w:val="center"/>
          </w:tcPr>
          <w:p w14:paraId="6373369A">
            <w:pPr>
              <w:widowControl w:val="0"/>
              <w:spacing w:line="300" w:lineRule="exact"/>
              <w:jc w:val="right"/>
              <w:rPr>
                <w:rFonts w:eastAsia="楷体_GB2312"/>
                <w:szCs w:val="21"/>
              </w:rPr>
            </w:pPr>
            <w:r>
              <w:rPr>
                <w:rFonts w:eastAsia="楷体_GB2312"/>
                <w:szCs w:val="21"/>
              </w:rPr>
              <mc:AlternateContent>
                <mc:Choice Requires="wps">
                  <w:drawing>
                    <wp:anchor distT="0" distB="0" distL="114300" distR="114300" simplePos="0" relativeHeight="251665408" behindDoc="0" locked="0" layoutInCell="1" allowOverlap="1">
                      <wp:simplePos x="0" y="0"/>
                      <wp:positionH relativeFrom="column">
                        <wp:posOffset>134620</wp:posOffset>
                      </wp:positionH>
                      <wp:positionV relativeFrom="paragraph">
                        <wp:posOffset>-635</wp:posOffset>
                      </wp:positionV>
                      <wp:extent cx="1662430" cy="577850"/>
                      <wp:effectExtent l="1270" t="4445" r="12700" b="8255"/>
                      <wp:wrapNone/>
                      <wp:docPr id="13" name="自选图形 907"/>
                      <wp:cNvGraphicFramePr/>
                      <a:graphic xmlns:a="http://schemas.openxmlformats.org/drawingml/2006/main">
                        <a:graphicData uri="http://schemas.microsoft.com/office/word/2010/wordprocessingShape">
                          <wps:wsp>
                            <wps:cNvCnPr/>
                            <wps:spPr>
                              <a:xfrm>
                                <a:off x="0" y="0"/>
                                <a:ext cx="1662430" cy="57785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07" o:spid="_x0000_s1026" o:spt="32" type="#_x0000_t32" style="position:absolute;left:0pt;margin-left:10.6pt;margin-top:-0.05pt;height:45.5pt;width:130.9pt;z-index:251665408;mso-width-relative:page;mso-height-relative:page;" filled="f" stroked="t" coordsize="21600,21600" o:gfxdata="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LjXTXWAAAABwEAAA8AAAAAAAAAAQAgAAAAIgAAAGRycy9kb3ducmV2&#10;LnhtbFBLAQIUABQAAAAIAIdO4kASCkap/gEAAOsDAAAOAAAAAAAAAAEAIAAAACUBAABkcnMvZTJv&#10;RG9jLnhtbFBLBQYAAAAABgAGAFkBAACVBQAAAAA=&#10;">
                      <v:fill on="f" focussize="0,0"/>
                      <v:stroke color="#000000" joinstyle="round"/>
                      <v:imagedata o:title=""/>
                      <o:lock v:ext="edit" aspectratio="f"/>
                    </v:shape>
                  </w:pict>
                </mc:Fallback>
              </mc:AlternateContent>
            </w:r>
            <w:r>
              <w:rPr>
                <w:rFonts w:eastAsia="楷体_GB2312"/>
                <w:szCs w:val="21"/>
              </w:rPr>
              <w:t>土地级别</w:t>
            </w:r>
          </w:p>
          <w:p w14:paraId="53C52C80">
            <w:pPr>
              <w:widowControl w:val="0"/>
              <w:spacing w:line="300" w:lineRule="exact"/>
              <w:rPr>
                <w:rFonts w:eastAsia="楷体_GB2312"/>
                <w:szCs w:val="21"/>
              </w:rPr>
            </w:pPr>
            <w:r>
              <w:rPr>
                <w:rFonts w:eastAsia="楷体_GB2312"/>
                <w:szCs w:val="21"/>
              </w:rPr>
              <mc:AlternateContent>
                <mc:Choice Requires="wps">
                  <w:drawing>
                    <wp:anchor distT="0" distB="0" distL="114300" distR="114300" simplePos="0" relativeHeight="251666432" behindDoc="0" locked="0" layoutInCell="1" allowOverlap="1">
                      <wp:simplePos x="0" y="0"/>
                      <wp:positionH relativeFrom="column">
                        <wp:posOffset>-55880</wp:posOffset>
                      </wp:positionH>
                      <wp:positionV relativeFrom="paragraph">
                        <wp:posOffset>179070</wp:posOffset>
                      </wp:positionV>
                      <wp:extent cx="1860550" cy="211455"/>
                      <wp:effectExtent l="635" t="4445" r="5715" b="12700"/>
                      <wp:wrapNone/>
                      <wp:docPr id="14" name="自选图形 908"/>
                      <wp:cNvGraphicFramePr/>
                      <a:graphic xmlns:a="http://schemas.openxmlformats.org/drawingml/2006/main">
                        <a:graphicData uri="http://schemas.microsoft.com/office/word/2010/wordprocessingShape">
                          <wps:wsp>
                            <wps:cNvCnPr/>
                            <wps:spPr>
                              <a:xfrm>
                                <a:off x="0" y="0"/>
                                <a:ext cx="1860550" cy="21145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08" o:spid="_x0000_s1026" o:spt="32" type="#_x0000_t32" style="position:absolute;left:0pt;margin-left:-4.4pt;margin-top:14.1pt;height:16.65pt;width:146.5pt;z-index:251666432;mso-width-relative:page;mso-height-relative:page;" filled="f" stroked="t" coordsize="21600,21600" o:gfxdata="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kGLuf1wAAAAgBAAAPAAAAAAAAAAEAIAAAACIAAABkcnMvZG93bnJldi54&#10;bWxQSwECFAAUAAAACACHTuJA4WO8QvsBAADrAwAADgAAAAAAAAABACAAAAAmAQAAZHJzL2Uyb0Rv&#10;Yy54bWxQSwUGAAAAAAYABgBZAQAAkwUAAAAA&#10;">
                      <v:fill on="f" focussize="0,0"/>
                      <v:stroke color="#000000" joinstyle="round"/>
                      <v:imagedata o:title=""/>
                      <o:lock v:ext="edit" aspectratio="f"/>
                    </v:shape>
                  </w:pict>
                </mc:Fallback>
              </mc:AlternateContent>
            </w:r>
            <w:r>
              <w:rPr>
                <w:rFonts w:eastAsia="楷体_GB2312"/>
                <w:szCs w:val="21"/>
              </w:rPr>
              <w:t>修正系数</w:t>
            </w:r>
          </w:p>
          <w:p w14:paraId="75C1A30C">
            <w:pPr>
              <w:widowControl w:val="0"/>
              <w:spacing w:line="300" w:lineRule="exact"/>
              <w:rPr>
                <w:rFonts w:eastAsia="楷体_GB2312"/>
                <w:szCs w:val="21"/>
              </w:rPr>
            </w:pPr>
            <w:r>
              <w:rPr>
                <w:rFonts w:eastAsia="楷体_GB2312"/>
                <w:szCs w:val="21"/>
              </w:rPr>
              <w:t>容积率</w:t>
            </w:r>
          </w:p>
        </w:tc>
        <w:tc>
          <w:tcPr>
            <w:tcW w:w="1719" w:type="pct"/>
            <w:noWrap w:val="0"/>
            <w:vAlign w:val="center"/>
          </w:tcPr>
          <w:p w14:paraId="471CCD02">
            <w:pPr>
              <w:widowControl w:val="0"/>
              <w:spacing w:line="300" w:lineRule="exact"/>
              <w:jc w:val="center"/>
              <w:rPr>
                <w:rFonts w:eastAsia="楷体_GB2312"/>
                <w:bCs/>
                <w:szCs w:val="21"/>
              </w:rPr>
            </w:pPr>
            <w:r>
              <w:rPr>
                <w:rFonts w:eastAsia="楷体_GB2312"/>
                <w:bCs/>
                <w:szCs w:val="21"/>
              </w:rPr>
              <w:t>商服用地</w:t>
            </w:r>
          </w:p>
        </w:tc>
        <w:tc>
          <w:tcPr>
            <w:tcW w:w="1640" w:type="pct"/>
            <w:noWrap w:val="0"/>
            <w:vAlign w:val="center"/>
          </w:tcPr>
          <w:p w14:paraId="7C65EC6B">
            <w:pPr>
              <w:widowControl w:val="0"/>
              <w:spacing w:line="300" w:lineRule="exact"/>
              <w:jc w:val="center"/>
              <w:rPr>
                <w:rFonts w:eastAsia="楷体_GB2312"/>
                <w:bCs/>
                <w:szCs w:val="21"/>
              </w:rPr>
            </w:pPr>
            <w:r>
              <w:rPr>
                <w:rFonts w:eastAsia="楷体_GB2312"/>
                <w:bCs/>
                <w:szCs w:val="21"/>
              </w:rPr>
              <w:t>住宅用地</w:t>
            </w:r>
          </w:p>
        </w:tc>
      </w:tr>
      <w:tr w14:paraId="1A858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1641" w:type="pct"/>
            <w:vMerge w:val="continue"/>
            <w:noWrap w:val="0"/>
            <w:vAlign w:val="center"/>
          </w:tcPr>
          <w:p w14:paraId="08271678">
            <w:pPr>
              <w:widowControl w:val="0"/>
              <w:spacing w:line="300" w:lineRule="exact"/>
              <w:ind w:firstLine="210" w:firstLineChars="100"/>
              <w:jc w:val="both"/>
              <w:rPr>
                <w:rFonts w:eastAsia="楷体_GB2312"/>
                <w:szCs w:val="21"/>
              </w:rPr>
            </w:pPr>
          </w:p>
        </w:tc>
        <w:tc>
          <w:tcPr>
            <w:tcW w:w="1719" w:type="pct"/>
            <w:noWrap w:val="0"/>
            <w:vAlign w:val="center"/>
          </w:tcPr>
          <w:p w14:paraId="409418B4">
            <w:pPr>
              <w:widowControl w:val="0"/>
              <w:spacing w:line="300" w:lineRule="exact"/>
              <w:jc w:val="center"/>
              <w:rPr>
                <w:rFonts w:eastAsia="楷体_GB2312"/>
                <w:bCs/>
                <w:szCs w:val="21"/>
              </w:rPr>
            </w:pPr>
            <w:r>
              <w:rPr>
                <w:rFonts w:hint="eastAsia" w:eastAsia="楷体_GB2312"/>
                <w:bCs/>
                <w:szCs w:val="21"/>
              </w:rPr>
              <w:t>指导价区域</w:t>
            </w:r>
          </w:p>
        </w:tc>
        <w:tc>
          <w:tcPr>
            <w:tcW w:w="1640" w:type="pct"/>
            <w:noWrap w:val="0"/>
            <w:vAlign w:val="center"/>
          </w:tcPr>
          <w:p w14:paraId="18ECFB46">
            <w:pPr>
              <w:widowControl w:val="0"/>
              <w:spacing w:line="300" w:lineRule="exact"/>
              <w:jc w:val="center"/>
              <w:rPr>
                <w:rFonts w:eastAsia="楷体_GB2312"/>
                <w:bCs/>
                <w:szCs w:val="21"/>
              </w:rPr>
            </w:pPr>
            <w:r>
              <w:rPr>
                <w:rFonts w:hint="eastAsia" w:eastAsia="楷体_GB2312"/>
                <w:bCs/>
                <w:szCs w:val="21"/>
              </w:rPr>
              <w:t>指导价区域</w:t>
            </w:r>
          </w:p>
        </w:tc>
      </w:tr>
      <w:tr w14:paraId="7AD5D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641" w:type="pct"/>
            <w:noWrap w:val="0"/>
            <w:vAlign w:val="center"/>
          </w:tcPr>
          <w:p w14:paraId="32DC121E">
            <w:pPr>
              <w:widowControl w:val="0"/>
              <w:spacing w:line="300" w:lineRule="exact"/>
              <w:jc w:val="center"/>
              <w:rPr>
                <w:rFonts w:eastAsia="仿宋_GB2312"/>
                <w:b/>
                <w:szCs w:val="21"/>
              </w:rPr>
            </w:pPr>
            <w:r>
              <w:rPr>
                <w:rFonts w:eastAsia="仿宋_GB2312"/>
                <w:b/>
                <w:szCs w:val="21"/>
              </w:rPr>
              <w:t>≤0.8</w:t>
            </w:r>
          </w:p>
        </w:tc>
        <w:tc>
          <w:tcPr>
            <w:tcW w:w="1719" w:type="pct"/>
            <w:noWrap w:val="0"/>
            <w:vAlign w:val="center"/>
          </w:tcPr>
          <w:p w14:paraId="2D87FE94">
            <w:pPr>
              <w:widowControl w:val="0"/>
              <w:spacing w:line="300" w:lineRule="exact"/>
              <w:jc w:val="center"/>
              <w:rPr>
                <w:rFonts w:eastAsia="仿宋_GB2312"/>
                <w:szCs w:val="21"/>
              </w:rPr>
            </w:pPr>
            <w:r>
              <w:rPr>
                <w:rFonts w:eastAsia="仿宋_GB2312"/>
                <w:szCs w:val="21"/>
              </w:rPr>
              <w:t>0.92</w:t>
            </w:r>
          </w:p>
        </w:tc>
        <w:tc>
          <w:tcPr>
            <w:tcW w:w="1640" w:type="pct"/>
            <w:noWrap w:val="0"/>
            <w:vAlign w:val="center"/>
          </w:tcPr>
          <w:p w14:paraId="1FD01325">
            <w:pPr>
              <w:widowControl w:val="0"/>
              <w:spacing w:line="300" w:lineRule="exact"/>
              <w:jc w:val="center"/>
              <w:rPr>
                <w:rFonts w:eastAsia="仿宋_GB2312"/>
                <w:szCs w:val="21"/>
              </w:rPr>
            </w:pPr>
            <w:r>
              <w:rPr>
                <w:rFonts w:eastAsia="仿宋_GB2312"/>
                <w:szCs w:val="21"/>
              </w:rPr>
              <w:t>0.90</w:t>
            </w:r>
          </w:p>
        </w:tc>
      </w:tr>
      <w:tr w14:paraId="1093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641" w:type="pct"/>
            <w:noWrap w:val="0"/>
            <w:vAlign w:val="center"/>
          </w:tcPr>
          <w:p w14:paraId="6B4F4007">
            <w:pPr>
              <w:widowControl w:val="0"/>
              <w:spacing w:line="300" w:lineRule="exact"/>
              <w:jc w:val="center"/>
              <w:rPr>
                <w:rFonts w:eastAsia="仿宋_GB2312"/>
                <w:b/>
                <w:szCs w:val="21"/>
              </w:rPr>
            </w:pPr>
            <w:r>
              <w:rPr>
                <w:rFonts w:eastAsia="仿宋_GB2312"/>
                <w:b/>
                <w:szCs w:val="21"/>
              </w:rPr>
              <w:t>0.9</w:t>
            </w:r>
          </w:p>
        </w:tc>
        <w:tc>
          <w:tcPr>
            <w:tcW w:w="1719" w:type="pct"/>
            <w:noWrap w:val="0"/>
            <w:vAlign w:val="center"/>
          </w:tcPr>
          <w:p w14:paraId="1632B29F">
            <w:pPr>
              <w:widowControl w:val="0"/>
              <w:spacing w:line="300" w:lineRule="exact"/>
              <w:jc w:val="center"/>
              <w:rPr>
                <w:rFonts w:eastAsia="仿宋_GB2312"/>
                <w:szCs w:val="21"/>
              </w:rPr>
            </w:pPr>
            <w:r>
              <w:rPr>
                <w:rFonts w:eastAsia="仿宋_GB2312"/>
                <w:szCs w:val="21"/>
              </w:rPr>
              <w:t>0.94</w:t>
            </w:r>
          </w:p>
        </w:tc>
        <w:tc>
          <w:tcPr>
            <w:tcW w:w="1640" w:type="pct"/>
            <w:noWrap w:val="0"/>
            <w:vAlign w:val="center"/>
          </w:tcPr>
          <w:p w14:paraId="1F9F7CB5">
            <w:pPr>
              <w:widowControl w:val="0"/>
              <w:spacing w:line="300" w:lineRule="exact"/>
              <w:jc w:val="center"/>
              <w:rPr>
                <w:rFonts w:eastAsia="仿宋_GB2312"/>
                <w:szCs w:val="21"/>
              </w:rPr>
            </w:pPr>
            <w:r>
              <w:rPr>
                <w:rFonts w:eastAsia="仿宋_GB2312"/>
                <w:szCs w:val="21"/>
              </w:rPr>
              <w:t>0.92</w:t>
            </w:r>
          </w:p>
        </w:tc>
      </w:tr>
      <w:tr w14:paraId="6A9C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641" w:type="pct"/>
            <w:noWrap w:val="0"/>
            <w:vAlign w:val="center"/>
          </w:tcPr>
          <w:p w14:paraId="359BC871">
            <w:pPr>
              <w:widowControl w:val="0"/>
              <w:spacing w:line="300" w:lineRule="exact"/>
              <w:jc w:val="center"/>
              <w:rPr>
                <w:rFonts w:eastAsia="仿宋_GB2312"/>
                <w:b/>
                <w:szCs w:val="21"/>
              </w:rPr>
            </w:pPr>
            <w:r>
              <w:rPr>
                <w:rFonts w:eastAsia="仿宋_GB2312"/>
                <w:b/>
                <w:szCs w:val="21"/>
              </w:rPr>
              <w:t>1.0</w:t>
            </w:r>
          </w:p>
        </w:tc>
        <w:tc>
          <w:tcPr>
            <w:tcW w:w="1719" w:type="pct"/>
            <w:noWrap w:val="0"/>
            <w:vAlign w:val="center"/>
          </w:tcPr>
          <w:p w14:paraId="2DCE2DF5">
            <w:pPr>
              <w:widowControl w:val="0"/>
              <w:spacing w:line="300" w:lineRule="exact"/>
              <w:jc w:val="center"/>
              <w:rPr>
                <w:rFonts w:eastAsia="仿宋_GB2312"/>
                <w:szCs w:val="21"/>
              </w:rPr>
            </w:pPr>
            <w:r>
              <w:rPr>
                <w:rFonts w:eastAsia="仿宋_GB2312"/>
                <w:szCs w:val="21"/>
              </w:rPr>
              <w:t>0.96</w:t>
            </w:r>
          </w:p>
        </w:tc>
        <w:tc>
          <w:tcPr>
            <w:tcW w:w="1640" w:type="pct"/>
            <w:noWrap w:val="0"/>
            <w:vAlign w:val="center"/>
          </w:tcPr>
          <w:p w14:paraId="5A293F75">
            <w:pPr>
              <w:widowControl w:val="0"/>
              <w:spacing w:line="300" w:lineRule="exact"/>
              <w:jc w:val="center"/>
              <w:rPr>
                <w:rFonts w:eastAsia="仿宋_GB2312"/>
                <w:szCs w:val="21"/>
              </w:rPr>
            </w:pPr>
            <w:r>
              <w:rPr>
                <w:rFonts w:eastAsia="仿宋_GB2312"/>
                <w:szCs w:val="21"/>
              </w:rPr>
              <w:t>0.94</w:t>
            </w:r>
          </w:p>
        </w:tc>
      </w:tr>
      <w:tr w14:paraId="165DC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641" w:type="pct"/>
            <w:noWrap w:val="0"/>
            <w:vAlign w:val="center"/>
          </w:tcPr>
          <w:p w14:paraId="28FB3F34">
            <w:pPr>
              <w:widowControl w:val="0"/>
              <w:spacing w:line="300" w:lineRule="exact"/>
              <w:jc w:val="center"/>
              <w:rPr>
                <w:rFonts w:eastAsia="仿宋_GB2312"/>
                <w:b/>
                <w:szCs w:val="21"/>
              </w:rPr>
            </w:pPr>
            <w:r>
              <w:rPr>
                <w:rFonts w:eastAsia="仿宋_GB2312"/>
                <w:b/>
                <w:szCs w:val="21"/>
              </w:rPr>
              <w:t>1.1</w:t>
            </w:r>
          </w:p>
        </w:tc>
        <w:tc>
          <w:tcPr>
            <w:tcW w:w="1719" w:type="pct"/>
            <w:noWrap w:val="0"/>
            <w:vAlign w:val="center"/>
          </w:tcPr>
          <w:p w14:paraId="120D8484">
            <w:pPr>
              <w:widowControl w:val="0"/>
              <w:spacing w:line="300" w:lineRule="exact"/>
              <w:jc w:val="center"/>
              <w:rPr>
                <w:rFonts w:eastAsia="仿宋_GB2312"/>
                <w:szCs w:val="21"/>
              </w:rPr>
            </w:pPr>
            <w:r>
              <w:rPr>
                <w:rFonts w:eastAsia="仿宋_GB2312"/>
                <w:szCs w:val="21"/>
              </w:rPr>
              <w:t>0.98</w:t>
            </w:r>
          </w:p>
        </w:tc>
        <w:tc>
          <w:tcPr>
            <w:tcW w:w="1640" w:type="pct"/>
            <w:noWrap w:val="0"/>
            <w:vAlign w:val="center"/>
          </w:tcPr>
          <w:p w14:paraId="22C113F5">
            <w:pPr>
              <w:widowControl w:val="0"/>
              <w:spacing w:line="300" w:lineRule="exact"/>
              <w:jc w:val="center"/>
              <w:rPr>
                <w:rFonts w:eastAsia="仿宋_GB2312"/>
                <w:szCs w:val="21"/>
              </w:rPr>
            </w:pPr>
            <w:r>
              <w:rPr>
                <w:rFonts w:eastAsia="仿宋_GB2312"/>
                <w:szCs w:val="21"/>
              </w:rPr>
              <w:t>0.96</w:t>
            </w:r>
          </w:p>
        </w:tc>
      </w:tr>
      <w:tr w14:paraId="7304B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641" w:type="pct"/>
            <w:noWrap w:val="0"/>
            <w:vAlign w:val="center"/>
          </w:tcPr>
          <w:p w14:paraId="65A93500">
            <w:pPr>
              <w:widowControl w:val="0"/>
              <w:spacing w:line="300" w:lineRule="exact"/>
              <w:jc w:val="center"/>
              <w:rPr>
                <w:rFonts w:eastAsia="仿宋_GB2312"/>
                <w:b/>
                <w:szCs w:val="21"/>
              </w:rPr>
            </w:pPr>
            <w:r>
              <w:rPr>
                <w:rFonts w:eastAsia="仿宋_GB2312"/>
                <w:b/>
                <w:szCs w:val="21"/>
              </w:rPr>
              <w:t>1.2</w:t>
            </w:r>
          </w:p>
        </w:tc>
        <w:tc>
          <w:tcPr>
            <w:tcW w:w="1719" w:type="pct"/>
            <w:noWrap w:val="0"/>
            <w:vAlign w:val="center"/>
          </w:tcPr>
          <w:p w14:paraId="1E8607BF">
            <w:pPr>
              <w:widowControl w:val="0"/>
              <w:spacing w:line="300" w:lineRule="exact"/>
              <w:jc w:val="center"/>
              <w:rPr>
                <w:rFonts w:eastAsia="仿宋_GB2312"/>
                <w:b/>
                <w:szCs w:val="21"/>
              </w:rPr>
            </w:pPr>
            <w:r>
              <w:rPr>
                <w:rFonts w:eastAsia="仿宋_GB2312"/>
                <w:b/>
                <w:szCs w:val="21"/>
              </w:rPr>
              <w:t>1.0</w:t>
            </w:r>
          </w:p>
        </w:tc>
        <w:tc>
          <w:tcPr>
            <w:tcW w:w="1640" w:type="pct"/>
            <w:noWrap w:val="0"/>
            <w:vAlign w:val="center"/>
          </w:tcPr>
          <w:p w14:paraId="7C762DE6">
            <w:pPr>
              <w:widowControl w:val="0"/>
              <w:spacing w:line="300" w:lineRule="exact"/>
              <w:jc w:val="center"/>
              <w:rPr>
                <w:rFonts w:eastAsia="仿宋_GB2312"/>
                <w:szCs w:val="21"/>
              </w:rPr>
            </w:pPr>
            <w:r>
              <w:rPr>
                <w:rFonts w:eastAsia="仿宋_GB2312"/>
                <w:szCs w:val="21"/>
              </w:rPr>
              <w:t>0.98</w:t>
            </w:r>
          </w:p>
        </w:tc>
      </w:tr>
      <w:tr w14:paraId="164E5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641" w:type="pct"/>
            <w:noWrap w:val="0"/>
            <w:vAlign w:val="center"/>
          </w:tcPr>
          <w:p w14:paraId="557F7992">
            <w:pPr>
              <w:widowControl w:val="0"/>
              <w:spacing w:line="300" w:lineRule="exact"/>
              <w:jc w:val="center"/>
              <w:rPr>
                <w:rFonts w:eastAsia="仿宋_GB2312"/>
                <w:b/>
                <w:szCs w:val="21"/>
              </w:rPr>
            </w:pPr>
            <w:r>
              <w:rPr>
                <w:rFonts w:eastAsia="仿宋_GB2312"/>
                <w:b/>
                <w:szCs w:val="21"/>
              </w:rPr>
              <w:t>1.3</w:t>
            </w:r>
          </w:p>
        </w:tc>
        <w:tc>
          <w:tcPr>
            <w:tcW w:w="1719" w:type="pct"/>
            <w:noWrap w:val="0"/>
            <w:vAlign w:val="center"/>
          </w:tcPr>
          <w:p w14:paraId="794A0832">
            <w:pPr>
              <w:widowControl w:val="0"/>
              <w:spacing w:line="300" w:lineRule="exact"/>
              <w:jc w:val="center"/>
              <w:rPr>
                <w:rFonts w:eastAsia="仿宋_GB2312"/>
                <w:szCs w:val="21"/>
              </w:rPr>
            </w:pPr>
            <w:r>
              <w:rPr>
                <w:rFonts w:eastAsia="仿宋_GB2312"/>
                <w:szCs w:val="21"/>
              </w:rPr>
              <w:t>1.03</w:t>
            </w:r>
          </w:p>
        </w:tc>
        <w:tc>
          <w:tcPr>
            <w:tcW w:w="1640" w:type="pct"/>
            <w:noWrap w:val="0"/>
            <w:vAlign w:val="center"/>
          </w:tcPr>
          <w:p w14:paraId="404D2B2D">
            <w:pPr>
              <w:widowControl w:val="0"/>
              <w:spacing w:line="300" w:lineRule="exact"/>
              <w:jc w:val="center"/>
              <w:rPr>
                <w:rFonts w:eastAsia="仿宋_GB2312"/>
                <w:b/>
                <w:szCs w:val="21"/>
              </w:rPr>
            </w:pPr>
            <w:r>
              <w:rPr>
                <w:rFonts w:eastAsia="仿宋_GB2312"/>
                <w:b/>
                <w:szCs w:val="21"/>
              </w:rPr>
              <w:t>1.0</w:t>
            </w:r>
          </w:p>
        </w:tc>
      </w:tr>
      <w:tr w14:paraId="209FD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641" w:type="pct"/>
            <w:noWrap w:val="0"/>
            <w:vAlign w:val="center"/>
          </w:tcPr>
          <w:p w14:paraId="3267EAA4">
            <w:pPr>
              <w:widowControl w:val="0"/>
              <w:spacing w:line="300" w:lineRule="exact"/>
              <w:jc w:val="center"/>
              <w:rPr>
                <w:rFonts w:eastAsia="仿宋_GB2312"/>
                <w:b/>
                <w:szCs w:val="21"/>
              </w:rPr>
            </w:pPr>
            <w:r>
              <w:rPr>
                <w:rFonts w:eastAsia="仿宋_GB2312"/>
                <w:b/>
                <w:szCs w:val="21"/>
              </w:rPr>
              <w:t>1.4</w:t>
            </w:r>
          </w:p>
        </w:tc>
        <w:tc>
          <w:tcPr>
            <w:tcW w:w="1719" w:type="pct"/>
            <w:noWrap w:val="0"/>
            <w:vAlign w:val="center"/>
          </w:tcPr>
          <w:p w14:paraId="2B399A63">
            <w:pPr>
              <w:widowControl w:val="0"/>
              <w:spacing w:line="300" w:lineRule="exact"/>
              <w:jc w:val="center"/>
              <w:rPr>
                <w:rFonts w:eastAsia="仿宋_GB2312"/>
                <w:szCs w:val="21"/>
              </w:rPr>
            </w:pPr>
            <w:r>
              <w:rPr>
                <w:rFonts w:eastAsia="仿宋_GB2312"/>
                <w:szCs w:val="21"/>
              </w:rPr>
              <w:t>1.06</w:t>
            </w:r>
          </w:p>
        </w:tc>
        <w:tc>
          <w:tcPr>
            <w:tcW w:w="1640" w:type="pct"/>
            <w:noWrap w:val="0"/>
            <w:vAlign w:val="center"/>
          </w:tcPr>
          <w:p w14:paraId="7E33AF5F">
            <w:pPr>
              <w:widowControl w:val="0"/>
              <w:spacing w:line="300" w:lineRule="exact"/>
              <w:jc w:val="center"/>
              <w:rPr>
                <w:rFonts w:eastAsia="仿宋_GB2312"/>
                <w:szCs w:val="21"/>
              </w:rPr>
            </w:pPr>
            <w:r>
              <w:rPr>
                <w:rFonts w:eastAsia="仿宋_GB2312"/>
                <w:szCs w:val="21"/>
              </w:rPr>
              <w:t>1.03</w:t>
            </w:r>
          </w:p>
        </w:tc>
      </w:tr>
      <w:tr w14:paraId="5B02B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641" w:type="pct"/>
            <w:noWrap w:val="0"/>
            <w:vAlign w:val="center"/>
          </w:tcPr>
          <w:p w14:paraId="3C2D0270">
            <w:pPr>
              <w:widowControl w:val="0"/>
              <w:spacing w:line="300" w:lineRule="exact"/>
              <w:jc w:val="center"/>
              <w:rPr>
                <w:rFonts w:eastAsia="仿宋_GB2312"/>
                <w:b/>
                <w:szCs w:val="21"/>
              </w:rPr>
            </w:pPr>
            <w:r>
              <w:rPr>
                <w:rFonts w:eastAsia="仿宋_GB2312"/>
                <w:b/>
                <w:szCs w:val="21"/>
              </w:rPr>
              <w:t>1.5</w:t>
            </w:r>
          </w:p>
        </w:tc>
        <w:tc>
          <w:tcPr>
            <w:tcW w:w="1719" w:type="pct"/>
            <w:noWrap w:val="0"/>
            <w:vAlign w:val="center"/>
          </w:tcPr>
          <w:p w14:paraId="47605A8E">
            <w:pPr>
              <w:widowControl w:val="0"/>
              <w:spacing w:line="300" w:lineRule="exact"/>
              <w:jc w:val="center"/>
              <w:rPr>
                <w:rFonts w:eastAsia="仿宋_GB2312"/>
                <w:szCs w:val="21"/>
              </w:rPr>
            </w:pPr>
            <w:r>
              <w:rPr>
                <w:rFonts w:eastAsia="仿宋_GB2312"/>
                <w:szCs w:val="21"/>
              </w:rPr>
              <w:t>1.09</w:t>
            </w:r>
          </w:p>
        </w:tc>
        <w:tc>
          <w:tcPr>
            <w:tcW w:w="1640" w:type="pct"/>
            <w:noWrap w:val="0"/>
            <w:vAlign w:val="center"/>
          </w:tcPr>
          <w:p w14:paraId="0FB2AE7C">
            <w:pPr>
              <w:widowControl w:val="0"/>
              <w:spacing w:line="300" w:lineRule="exact"/>
              <w:jc w:val="center"/>
              <w:rPr>
                <w:rFonts w:eastAsia="仿宋_GB2312"/>
                <w:szCs w:val="21"/>
              </w:rPr>
            </w:pPr>
            <w:r>
              <w:rPr>
                <w:rFonts w:eastAsia="仿宋_GB2312"/>
                <w:szCs w:val="21"/>
              </w:rPr>
              <w:t>1.06</w:t>
            </w:r>
          </w:p>
        </w:tc>
      </w:tr>
      <w:tr w14:paraId="5769B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641" w:type="pct"/>
            <w:noWrap w:val="0"/>
            <w:vAlign w:val="center"/>
          </w:tcPr>
          <w:p w14:paraId="600EF4E1">
            <w:pPr>
              <w:widowControl w:val="0"/>
              <w:spacing w:line="300" w:lineRule="exact"/>
              <w:jc w:val="center"/>
              <w:rPr>
                <w:rFonts w:eastAsia="仿宋_GB2312"/>
                <w:b/>
                <w:szCs w:val="21"/>
              </w:rPr>
            </w:pPr>
            <w:r>
              <w:rPr>
                <w:rFonts w:eastAsia="仿宋_GB2312"/>
                <w:b/>
                <w:szCs w:val="21"/>
              </w:rPr>
              <w:t>1.6</w:t>
            </w:r>
          </w:p>
        </w:tc>
        <w:tc>
          <w:tcPr>
            <w:tcW w:w="1719" w:type="pct"/>
            <w:noWrap w:val="0"/>
            <w:vAlign w:val="center"/>
          </w:tcPr>
          <w:p w14:paraId="7A6FC1EC">
            <w:pPr>
              <w:widowControl w:val="0"/>
              <w:spacing w:line="300" w:lineRule="exact"/>
              <w:jc w:val="center"/>
              <w:rPr>
                <w:rFonts w:eastAsia="仿宋_GB2312"/>
                <w:szCs w:val="21"/>
              </w:rPr>
            </w:pPr>
            <w:r>
              <w:rPr>
                <w:rFonts w:eastAsia="仿宋_GB2312"/>
                <w:szCs w:val="21"/>
              </w:rPr>
              <w:t>1.12</w:t>
            </w:r>
          </w:p>
        </w:tc>
        <w:tc>
          <w:tcPr>
            <w:tcW w:w="1640" w:type="pct"/>
            <w:noWrap w:val="0"/>
            <w:vAlign w:val="center"/>
          </w:tcPr>
          <w:p w14:paraId="454399F6">
            <w:pPr>
              <w:widowControl w:val="0"/>
              <w:spacing w:line="300" w:lineRule="exact"/>
              <w:jc w:val="center"/>
              <w:rPr>
                <w:rFonts w:eastAsia="仿宋_GB2312"/>
                <w:szCs w:val="21"/>
              </w:rPr>
            </w:pPr>
            <w:r>
              <w:rPr>
                <w:rFonts w:eastAsia="仿宋_GB2312"/>
                <w:szCs w:val="21"/>
              </w:rPr>
              <w:t>1.09</w:t>
            </w:r>
          </w:p>
        </w:tc>
      </w:tr>
      <w:tr w14:paraId="056A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641" w:type="pct"/>
            <w:noWrap w:val="0"/>
            <w:vAlign w:val="center"/>
          </w:tcPr>
          <w:p w14:paraId="2BA29B45">
            <w:pPr>
              <w:widowControl w:val="0"/>
              <w:spacing w:line="300" w:lineRule="exact"/>
              <w:jc w:val="center"/>
              <w:rPr>
                <w:rFonts w:eastAsia="仿宋_GB2312"/>
                <w:b/>
                <w:szCs w:val="21"/>
              </w:rPr>
            </w:pPr>
            <w:r>
              <w:rPr>
                <w:rFonts w:eastAsia="仿宋_GB2312"/>
                <w:b/>
                <w:szCs w:val="21"/>
              </w:rPr>
              <w:t>1.7</w:t>
            </w:r>
          </w:p>
        </w:tc>
        <w:tc>
          <w:tcPr>
            <w:tcW w:w="1719" w:type="pct"/>
            <w:noWrap w:val="0"/>
            <w:vAlign w:val="center"/>
          </w:tcPr>
          <w:p w14:paraId="79E32024">
            <w:pPr>
              <w:widowControl w:val="0"/>
              <w:spacing w:line="300" w:lineRule="exact"/>
              <w:jc w:val="center"/>
              <w:rPr>
                <w:rFonts w:eastAsia="仿宋_GB2312"/>
                <w:szCs w:val="21"/>
              </w:rPr>
            </w:pPr>
            <w:r>
              <w:rPr>
                <w:rFonts w:eastAsia="仿宋_GB2312"/>
                <w:szCs w:val="21"/>
              </w:rPr>
              <w:t>1.15</w:t>
            </w:r>
          </w:p>
        </w:tc>
        <w:tc>
          <w:tcPr>
            <w:tcW w:w="1640" w:type="pct"/>
            <w:noWrap w:val="0"/>
            <w:vAlign w:val="center"/>
          </w:tcPr>
          <w:p w14:paraId="1C7F3DF3">
            <w:pPr>
              <w:widowControl w:val="0"/>
              <w:spacing w:line="300" w:lineRule="exact"/>
              <w:jc w:val="center"/>
              <w:rPr>
                <w:rFonts w:eastAsia="仿宋_GB2312"/>
                <w:szCs w:val="21"/>
              </w:rPr>
            </w:pPr>
            <w:r>
              <w:rPr>
                <w:rFonts w:eastAsia="仿宋_GB2312"/>
                <w:szCs w:val="21"/>
              </w:rPr>
              <w:t>1.12</w:t>
            </w:r>
          </w:p>
        </w:tc>
      </w:tr>
      <w:tr w14:paraId="04B89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641" w:type="pct"/>
            <w:noWrap w:val="0"/>
            <w:vAlign w:val="center"/>
          </w:tcPr>
          <w:p w14:paraId="7DB73128">
            <w:pPr>
              <w:widowControl w:val="0"/>
              <w:spacing w:line="300" w:lineRule="exact"/>
              <w:jc w:val="center"/>
              <w:rPr>
                <w:rFonts w:eastAsia="仿宋_GB2312"/>
                <w:b/>
                <w:szCs w:val="21"/>
              </w:rPr>
            </w:pPr>
            <w:r>
              <w:rPr>
                <w:rFonts w:eastAsia="仿宋_GB2312"/>
                <w:b/>
                <w:szCs w:val="21"/>
              </w:rPr>
              <w:t>1.8</w:t>
            </w:r>
          </w:p>
        </w:tc>
        <w:tc>
          <w:tcPr>
            <w:tcW w:w="1719" w:type="pct"/>
            <w:noWrap w:val="0"/>
            <w:vAlign w:val="center"/>
          </w:tcPr>
          <w:p w14:paraId="7FD6D837">
            <w:pPr>
              <w:widowControl w:val="0"/>
              <w:spacing w:line="300" w:lineRule="exact"/>
              <w:jc w:val="center"/>
              <w:rPr>
                <w:rFonts w:eastAsia="仿宋_GB2312"/>
                <w:szCs w:val="21"/>
              </w:rPr>
            </w:pPr>
            <w:r>
              <w:rPr>
                <w:rFonts w:eastAsia="仿宋_GB2312"/>
                <w:szCs w:val="21"/>
              </w:rPr>
              <w:t>1.18</w:t>
            </w:r>
          </w:p>
        </w:tc>
        <w:tc>
          <w:tcPr>
            <w:tcW w:w="1640" w:type="pct"/>
            <w:noWrap w:val="0"/>
            <w:vAlign w:val="center"/>
          </w:tcPr>
          <w:p w14:paraId="667EFEC7">
            <w:pPr>
              <w:widowControl w:val="0"/>
              <w:spacing w:line="300" w:lineRule="exact"/>
              <w:jc w:val="center"/>
              <w:rPr>
                <w:rFonts w:eastAsia="仿宋_GB2312"/>
                <w:szCs w:val="21"/>
              </w:rPr>
            </w:pPr>
            <w:r>
              <w:rPr>
                <w:rFonts w:eastAsia="仿宋_GB2312"/>
                <w:szCs w:val="21"/>
              </w:rPr>
              <w:t>1.15</w:t>
            </w:r>
          </w:p>
        </w:tc>
      </w:tr>
      <w:tr w14:paraId="72FAA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641" w:type="pct"/>
            <w:noWrap w:val="0"/>
            <w:vAlign w:val="center"/>
          </w:tcPr>
          <w:p w14:paraId="543A000E">
            <w:pPr>
              <w:widowControl w:val="0"/>
              <w:spacing w:line="300" w:lineRule="exact"/>
              <w:jc w:val="center"/>
              <w:rPr>
                <w:rFonts w:eastAsia="仿宋_GB2312"/>
                <w:b/>
                <w:szCs w:val="21"/>
              </w:rPr>
            </w:pPr>
            <w:r>
              <w:rPr>
                <w:rFonts w:eastAsia="仿宋_GB2312"/>
                <w:b/>
                <w:szCs w:val="21"/>
              </w:rPr>
              <w:t>1.9</w:t>
            </w:r>
          </w:p>
        </w:tc>
        <w:tc>
          <w:tcPr>
            <w:tcW w:w="1719" w:type="pct"/>
            <w:noWrap w:val="0"/>
            <w:vAlign w:val="center"/>
          </w:tcPr>
          <w:p w14:paraId="18DBB764">
            <w:pPr>
              <w:widowControl w:val="0"/>
              <w:spacing w:line="300" w:lineRule="exact"/>
              <w:jc w:val="center"/>
              <w:rPr>
                <w:rFonts w:eastAsia="仿宋_GB2312"/>
                <w:szCs w:val="21"/>
              </w:rPr>
            </w:pPr>
            <w:r>
              <w:rPr>
                <w:rFonts w:eastAsia="仿宋_GB2312"/>
                <w:szCs w:val="21"/>
              </w:rPr>
              <w:t>1.21</w:t>
            </w:r>
          </w:p>
        </w:tc>
        <w:tc>
          <w:tcPr>
            <w:tcW w:w="1640" w:type="pct"/>
            <w:noWrap w:val="0"/>
            <w:vAlign w:val="center"/>
          </w:tcPr>
          <w:p w14:paraId="52F8D79F">
            <w:pPr>
              <w:widowControl w:val="0"/>
              <w:spacing w:line="300" w:lineRule="exact"/>
              <w:jc w:val="center"/>
              <w:rPr>
                <w:rFonts w:eastAsia="仿宋_GB2312"/>
                <w:szCs w:val="21"/>
              </w:rPr>
            </w:pPr>
            <w:r>
              <w:rPr>
                <w:rFonts w:eastAsia="仿宋_GB2312"/>
                <w:szCs w:val="21"/>
              </w:rPr>
              <w:t>1.18</w:t>
            </w:r>
          </w:p>
        </w:tc>
      </w:tr>
      <w:tr w14:paraId="307E1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641" w:type="pct"/>
            <w:noWrap w:val="0"/>
            <w:vAlign w:val="center"/>
          </w:tcPr>
          <w:p w14:paraId="3EE3140F">
            <w:pPr>
              <w:widowControl w:val="0"/>
              <w:spacing w:line="300" w:lineRule="exact"/>
              <w:jc w:val="center"/>
              <w:rPr>
                <w:rFonts w:eastAsia="仿宋_GB2312"/>
                <w:b/>
                <w:szCs w:val="21"/>
              </w:rPr>
            </w:pPr>
            <w:r>
              <w:rPr>
                <w:rFonts w:eastAsia="仿宋_GB2312"/>
                <w:b/>
                <w:szCs w:val="21"/>
              </w:rPr>
              <w:t>2.0</w:t>
            </w:r>
          </w:p>
        </w:tc>
        <w:tc>
          <w:tcPr>
            <w:tcW w:w="1719" w:type="pct"/>
            <w:noWrap w:val="0"/>
            <w:vAlign w:val="center"/>
          </w:tcPr>
          <w:p w14:paraId="28E69AAE">
            <w:pPr>
              <w:widowControl w:val="0"/>
              <w:spacing w:line="300" w:lineRule="exact"/>
              <w:jc w:val="center"/>
              <w:rPr>
                <w:rFonts w:eastAsia="仿宋_GB2312"/>
                <w:szCs w:val="21"/>
              </w:rPr>
            </w:pPr>
            <w:r>
              <w:rPr>
                <w:rFonts w:eastAsia="仿宋_GB2312"/>
                <w:szCs w:val="21"/>
              </w:rPr>
              <w:t>1.24</w:t>
            </w:r>
          </w:p>
        </w:tc>
        <w:tc>
          <w:tcPr>
            <w:tcW w:w="1640" w:type="pct"/>
            <w:noWrap w:val="0"/>
            <w:vAlign w:val="center"/>
          </w:tcPr>
          <w:p w14:paraId="237578B7">
            <w:pPr>
              <w:widowControl w:val="0"/>
              <w:spacing w:line="300" w:lineRule="exact"/>
              <w:jc w:val="center"/>
              <w:rPr>
                <w:rFonts w:eastAsia="仿宋_GB2312"/>
                <w:szCs w:val="21"/>
              </w:rPr>
            </w:pPr>
            <w:r>
              <w:rPr>
                <w:rFonts w:eastAsia="仿宋_GB2312"/>
                <w:szCs w:val="21"/>
              </w:rPr>
              <w:t>1.21</w:t>
            </w:r>
          </w:p>
        </w:tc>
      </w:tr>
      <w:tr w14:paraId="2542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641" w:type="pct"/>
            <w:noWrap w:val="0"/>
            <w:vAlign w:val="center"/>
          </w:tcPr>
          <w:p w14:paraId="676F1CEC">
            <w:pPr>
              <w:widowControl w:val="0"/>
              <w:spacing w:line="300" w:lineRule="exact"/>
              <w:jc w:val="center"/>
              <w:rPr>
                <w:rFonts w:eastAsia="仿宋_GB2312"/>
                <w:b/>
                <w:szCs w:val="21"/>
              </w:rPr>
            </w:pPr>
            <w:r>
              <w:rPr>
                <w:rFonts w:eastAsia="仿宋_GB2312"/>
                <w:b/>
                <w:szCs w:val="21"/>
              </w:rPr>
              <w:t>2.5</w:t>
            </w:r>
          </w:p>
        </w:tc>
        <w:tc>
          <w:tcPr>
            <w:tcW w:w="1719" w:type="pct"/>
            <w:noWrap w:val="0"/>
            <w:vAlign w:val="center"/>
          </w:tcPr>
          <w:p w14:paraId="7DA60FB0">
            <w:pPr>
              <w:widowControl w:val="0"/>
              <w:spacing w:line="300" w:lineRule="exact"/>
              <w:jc w:val="center"/>
              <w:rPr>
                <w:rFonts w:eastAsia="仿宋_GB2312"/>
                <w:szCs w:val="21"/>
              </w:rPr>
            </w:pPr>
            <w:r>
              <w:rPr>
                <w:rFonts w:eastAsia="仿宋_GB2312"/>
                <w:szCs w:val="21"/>
              </w:rPr>
              <w:t>1.29</w:t>
            </w:r>
          </w:p>
        </w:tc>
        <w:tc>
          <w:tcPr>
            <w:tcW w:w="1640" w:type="pct"/>
            <w:noWrap w:val="0"/>
            <w:vAlign w:val="center"/>
          </w:tcPr>
          <w:p w14:paraId="27B7E864">
            <w:pPr>
              <w:widowControl w:val="0"/>
              <w:spacing w:line="300" w:lineRule="exact"/>
              <w:jc w:val="center"/>
              <w:rPr>
                <w:rFonts w:eastAsia="仿宋_GB2312"/>
                <w:szCs w:val="21"/>
              </w:rPr>
            </w:pPr>
            <w:r>
              <w:rPr>
                <w:rFonts w:eastAsia="仿宋_GB2312"/>
                <w:szCs w:val="21"/>
              </w:rPr>
              <w:t>1.30</w:t>
            </w:r>
          </w:p>
        </w:tc>
      </w:tr>
      <w:tr w14:paraId="370C3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641" w:type="pct"/>
            <w:noWrap w:val="0"/>
            <w:vAlign w:val="center"/>
          </w:tcPr>
          <w:p w14:paraId="4F0A1E37">
            <w:pPr>
              <w:widowControl w:val="0"/>
              <w:spacing w:line="300" w:lineRule="exact"/>
              <w:jc w:val="center"/>
              <w:rPr>
                <w:rFonts w:eastAsia="仿宋_GB2312"/>
                <w:b/>
                <w:szCs w:val="21"/>
              </w:rPr>
            </w:pPr>
            <w:r>
              <w:rPr>
                <w:rFonts w:eastAsia="仿宋_GB2312"/>
                <w:b/>
                <w:szCs w:val="21"/>
              </w:rPr>
              <w:t>3.0</w:t>
            </w:r>
          </w:p>
        </w:tc>
        <w:tc>
          <w:tcPr>
            <w:tcW w:w="1719" w:type="pct"/>
            <w:noWrap w:val="0"/>
            <w:vAlign w:val="center"/>
          </w:tcPr>
          <w:p w14:paraId="392C3D22">
            <w:pPr>
              <w:widowControl w:val="0"/>
              <w:spacing w:line="300" w:lineRule="exact"/>
              <w:jc w:val="center"/>
              <w:rPr>
                <w:rFonts w:eastAsia="仿宋_GB2312"/>
                <w:szCs w:val="21"/>
              </w:rPr>
            </w:pPr>
            <w:r>
              <w:rPr>
                <w:rFonts w:eastAsia="仿宋_GB2312"/>
                <w:szCs w:val="21"/>
              </w:rPr>
              <w:t>1.35</w:t>
            </w:r>
          </w:p>
        </w:tc>
        <w:tc>
          <w:tcPr>
            <w:tcW w:w="1640" w:type="pct"/>
            <w:noWrap w:val="0"/>
            <w:vAlign w:val="center"/>
          </w:tcPr>
          <w:p w14:paraId="3B7AA1AC">
            <w:pPr>
              <w:widowControl w:val="0"/>
              <w:spacing w:line="300" w:lineRule="exact"/>
              <w:jc w:val="center"/>
              <w:rPr>
                <w:rFonts w:eastAsia="仿宋_GB2312"/>
                <w:szCs w:val="21"/>
              </w:rPr>
            </w:pPr>
            <w:r>
              <w:rPr>
                <w:rFonts w:eastAsia="仿宋_GB2312"/>
                <w:szCs w:val="21"/>
              </w:rPr>
              <w:t>1.36</w:t>
            </w:r>
          </w:p>
        </w:tc>
      </w:tr>
      <w:tr w14:paraId="1B93C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641" w:type="pct"/>
            <w:noWrap w:val="0"/>
            <w:vAlign w:val="center"/>
          </w:tcPr>
          <w:p w14:paraId="1E5540D4">
            <w:pPr>
              <w:widowControl w:val="0"/>
              <w:spacing w:line="300" w:lineRule="exact"/>
              <w:jc w:val="center"/>
              <w:rPr>
                <w:rFonts w:eastAsia="仿宋_GB2312"/>
                <w:b/>
                <w:szCs w:val="21"/>
              </w:rPr>
            </w:pPr>
            <w:r>
              <w:rPr>
                <w:rFonts w:eastAsia="仿宋_GB2312"/>
                <w:b/>
                <w:szCs w:val="21"/>
              </w:rPr>
              <w:t>3.5</w:t>
            </w:r>
          </w:p>
        </w:tc>
        <w:tc>
          <w:tcPr>
            <w:tcW w:w="1719" w:type="pct"/>
            <w:noWrap w:val="0"/>
            <w:vAlign w:val="center"/>
          </w:tcPr>
          <w:p w14:paraId="73CCED0F">
            <w:pPr>
              <w:widowControl w:val="0"/>
              <w:spacing w:line="300" w:lineRule="exact"/>
              <w:jc w:val="center"/>
              <w:rPr>
                <w:rFonts w:eastAsia="仿宋_GB2312"/>
                <w:szCs w:val="21"/>
              </w:rPr>
            </w:pPr>
            <w:r>
              <w:rPr>
                <w:rFonts w:eastAsia="仿宋_GB2312"/>
                <w:szCs w:val="21"/>
              </w:rPr>
              <w:t>1.40</w:t>
            </w:r>
          </w:p>
        </w:tc>
        <w:tc>
          <w:tcPr>
            <w:tcW w:w="1640" w:type="pct"/>
            <w:noWrap w:val="0"/>
            <w:vAlign w:val="center"/>
          </w:tcPr>
          <w:p w14:paraId="55DA7A53">
            <w:pPr>
              <w:widowControl w:val="0"/>
              <w:spacing w:line="300" w:lineRule="exact"/>
              <w:jc w:val="center"/>
              <w:rPr>
                <w:rFonts w:eastAsia="仿宋_GB2312"/>
                <w:szCs w:val="21"/>
              </w:rPr>
            </w:pPr>
            <w:r>
              <w:rPr>
                <w:rFonts w:eastAsia="仿宋_GB2312"/>
                <w:szCs w:val="21"/>
              </w:rPr>
              <w:t>1.39</w:t>
            </w:r>
          </w:p>
        </w:tc>
      </w:tr>
      <w:tr w14:paraId="487AA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641" w:type="pct"/>
            <w:noWrap w:val="0"/>
            <w:vAlign w:val="center"/>
          </w:tcPr>
          <w:p w14:paraId="68E0A970">
            <w:pPr>
              <w:widowControl w:val="0"/>
              <w:spacing w:line="300" w:lineRule="exact"/>
              <w:jc w:val="center"/>
              <w:rPr>
                <w:rFonts w:eastAsia="仿宋_GB2312"/>
                <w:b/>
                <w:szCs w:val="21"/>
              </w:rPr>
            </w:pPr>
            <w:r>
              <w:rPr>
                <w:rFonts w:eastAsia="仿宋_GB2312"/>
                <w:b/>
                <w:szCs w:val="21"/>
              </w:rPr>
              <w:t>4.0</w:t>
            </w:r>
          </w:p>
        </w:tc>
        <w:tc>
          <w:tcPr>
            <w:tcW w:w="1719" w:type="pct"/>
            <w:noWrap w:val="0"/>
            <w:vAlign w:val="center"/>
          </w:tcPr>
          <w:p w14:paraId="0F9E08B1">
            <w:pPr>
              <w:widowControl w:val="0"/>
              <w:spacing w:line="300" w:lineRule="exact"/>
              <w:jc w:val="center"/>
              <w:rPr>
                <w:rFonts w:eastAsia="仿宋_GB2312"/>
                <w:szCs w:val="21"/>
              </w:rPr>
            </w:pPr>
            <w:r>
              <w:rPr>
                <w:rFonts w:eastAsia="仿宋_GB2312"/>
                <w:szCs w:val="21"/>
              </w:rPr>
              <w:t>1.44</w:t>
            </w:r>
          </w:p>
        </w:tc>
        <w:tc>
          <w:tcPr>
            <w:tcW w:w="1640" w:type="pct"/>
            <w:noWrap w:val="0"/>
            <w:vAlign w:val="center"/>
          </w:tcPr>
          <w:p w14:paraId="6E263E0E">
            <w:pPr>
              <w:widowControl w:val="0"/>
              <w:spacing w:line="300" w:lineRule="exact"/>
              <w:jc w:val="center"/>
              <w:rPr>
                <w:rFonts w:eastAsia="仿宋_GB2312"/>
                <w:szCs w:val="21"/>
              </w:rPr>
            </w:pPr>
            <w:r>
              <w:rPr>
                <w:rFonts w:eastAsia="仿宋_GB2312"/>
                <w:szCs w:val="21"/>
              </w:rPr>
              <w:t>1.43</w:t>
            </w:r>
          </w:p>
        </w:tc>
      </w:tr>
      <w:tr w14:paraId="2D26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641" w:type="pct"/>
            <w:noWrap w:val="0"/>
            <w:vAlign w:val="center"/>
          </w:tcPr>
          <w:p w14:paraId="78E73775">
            <w:pPr>
              <w:widowControl w:val="0"/>
              <w:spacing w:line="300" w:lineRule="exact"/>
              <w:jc w:val="center"/>
              <w:rPr>
                <w:rFonts w:eastAsia="仿宋_GB2312"/>
                <w:b/>
                <w:szCs w:val="21"/>
              </w:rPr>
            </w:pPr>
            <w:r>
              <w:rPr>
                <w:rFonts w:eastAsia="仿宋_GB2312"/>
                <w:b/>
                <w:szCs w:val="21"/>
              </w:rPr>
              <w:t>≥5</w:t>
            </w:r>
          </w:p>
        </w:tc>
        <w:tc>
          <w:tcPr>
            <w:tcW w:w="1719" w:type="pct"/>
            <w:noWrap w:val="0"/>
            <w:vAlign w:val="center"/>
          </w:tcPr>
          <w:p w14:paraId="42B351B5">
            <w:pPr>
              <w:widowControl w:val="0"/>
              <w:spacing w:line="300" w:lineRule="exact"/>
              <w:jc w:val="center"/>
              <w:rPr>
                <w:rFonts w:eastAsia="仿宋_GB2312"/>
                <w:szCs w:val="21"/>
              </w:rPr>
            </w:pPr>
            <w:r>
              <w:rPr>
                <w:rFonts w:eastAsia="仿宋_GB2312"/>
                <w:szCs w:val="21"/>
              </w:rPr>
              <w:t>1.46</w:t>
            </w:r>
          </w:p>
        </w:tc>
        <w:tc>
          <w:tcPr>
            <w:tcW w:w="1640" w:type="pct"/>
            <w:noWrap w:val="0"/>
            <w:vAlign w:val="center"/>
          </w:tcPr>
          <w:p w14:paraId="20774E30">
            <w:pPr>
              <w:widowControl w:val="0"/>
              <w:spacing w:line="300" w:lineRule="exact"/>
              <w:jc w:val="center"/>
              <w:rPr>
                <w:rFonts w:eastAsia="仿宋_GB2312"/>
                <w:szCs w:val="21"/>
              </w:rPr>
            </w:pPr>
            <w:r>
              <w:rPr>
                <w:rFonts w:eastAsia="仿宋_GB2312"/>
                <w:szCs w:val="21"/>
              </w:rPr>
              <w:t>1.46</w:t>
            </w:r>
          </w:p>
        </w:tc>
      </w:tr>
    </w:tbl>
    <w:p w14:paraId="59B342B4">
      <w:pPr>
        <w:pStyle w:val="20"/>
        <w:spacing w:line="480" w:lineRule="exact"/>
        <w:ind w:left="-141" w:leftChars="-67" w:right="-113" w:rightChars="-54"/>
        <w:jc w:val="center"/>
        <w:rPr>
          <w:rFonts w:ascii="Times New Roman" w:hAnsi="Times New Roman" w:eastAsia="黑体" w:cs="Times New Roman"/>
          <w:sz w:val="28"/>
        </w:rPr>
      </w:pPr>
      <w:r>
        <w:rPr>
          <w:rFonts w:ascii="Times New Roman" w:hAnsi="Times New Roman" w:eastAsia="黑体" w:cs="Times New Roman"/>
          <w:sz w:val="28"/>
        </w:rPr>
        <w:br w:type="page"/>
      </w:r>
      <w:r>
        <w:rPr>
          <w:rFonts w:ascii="Times New Roman" w:hAnsi="Times New Roman" w:eastAsia="黑体" w:cs="Times New Roman"/>
          <w:sz w:val="28"/>
        </w:rPr>
        <w:t>表2-2-</w:t>
      </w:r>
      <w:r>
        <w:rPr>
          <w:rFonts w:hint="eastAsia" w:ascii="Times New Roman" w:hAnsi="Times New Roman" w:eastAsia="黑体" w:cs="Times New Roman"/>
          <w:sz w:val="28"/>
        </w:rPr>
        <w:t>9</w:t>
      </w:r>
      <w:r>
        <w:rPr>
          <w:rFonts w:ascii="Times New Roman" w:hAnsi="Times New Roman" w:eastAsia="黑体" w:cs="Times New Roman"/>
          <w:sz w:val="28"/>
        </w:rPr>
        <w:t xml:space="preserve">  埇桥区</w:t>
      </w:r>
      <w:r>
        <w:rPr>
          <w:rFonts w:hint="eastAsia" w:ascii="Times New Roman" w:hAnsi="Times New Roman" w:eastAsia="黑体" w:cs="Times New Roman"/>
          <w:sz w:val="28"/>
          <w:szCs w:val="20"/>
        </w:rPr>
        <w:t>三个园区</w:t>
      </w:r>
      <w:r>
        <w:rPr>
          <w:rFonts w:ascii="Times New Roman" w:hAnsi="Times New Roman" w:eastAsia="黑体" w:cs="Times New Roman"/>
          <w:sz w:val="28"/>
        </w:rPr>
        <w:t>公共管理与公共服务用地容积率修正系数表</w:t>
      </w:r>
    </w:p>
    <w:tbl>
      <w:tblPr>
        <w:tblStyle w:val="38"/>
        <w:tblW w:w="9072" w:type="dxa"/>
        <w:jc w:val="center"/>
        <w:tblLayout w:type="autofit"/>
        <w:tblCellMar>
          <w:top w:w="0" w:type="dxa"/>
          <w:left w:w="108" w:type="dxa"/>
          <w:bottom w:w="0" w:type="dxa"/>
          <w:right w:w="108" w:type="dxa"/>
        </w:tblCellMar>
      </w:tblPr>
      <w:tblGrid>
        <w:gridCol w:w="2695"/>
        <w:gridCol w:w="3402"/>
        <w:gridCol w:w="2975"/>
      </w:tblGrid>
      <w:tr w14:paraId="731AF19B">
        <w:tblPrEx>
          <w:tblCellMar>
            <w:top w:w="0" w:type="dxa"/>
            <w:left w:w="108" w:type="dxa"/>
            <w:bottom w:w="0" w:type="dxa"/>
            <w:right w:w="108" w:type="dxa"/>
          </w:tblCellMar>
        </w:tblPrEx>
        <w:trPr>
          <w:trHeight w:val="786" w:hRule="atLeast"/>
          <w:jc w:val="center"/>
        </w:trPr>
        <w:tc>
          <w:tcPr>
            <w:tcW w:w="2695" w:type="dxa"/>
            <w:vMerge w:val="restart"/>
            <w:tcBorders>
              <w:top w:val="single" w:color="auto" w:sz="4" w:space="0"/>
              <w:left w:val="single" w:color="auto" w:sz="4" w:space="0"/>
              <w:right w:val="single" w:color="auto" w:sz="4" w:space="0"/>
            </w:tcBorders>
            <w:noWrap/>
            <w:vAlign w:val="center"/>
          </w:tcPr>
          <w:p w14:paraId="683E0029">
            <w:pPr>
              <w:ind w:left="210" w:hanging="210" w:hangingChars="100"/>
              <w:jc w:val="right"/>
              <w:rPr>
                <w:rFonts w:eastAsia="楷体_GB2312"/>
                <w:kern w:val="0"/>
                <w:szCs w:val="21"/>
              </w:rPr>
            </w:pPr>
            <w:r>
              <w:rPr>
                <w:rFonts w:eastAsia="楷体_GB2312"/>
                <w:szCs w:val="21"/>
              </w:rPr>
              <mc:AlternateContent>
                <mc:Choice Requires="wps">
                  <w:drawing>
                    <wp:anchor distT="0" distB="0" distL="114300" distR="114300" simplePos="0" relativeHeight="251667456" behindDoc="0" locked="0" layoutInCell="1" allowOverlap="1">
                      <wp:simplePos x="0" y="0"/>
                      <wp:positionH relativeFrom="column">
                        <wp:posOffset>111760</wp:posOffset>
                      </wp:positionH>
                      <wp:positionV relativeFrom="paragraph">
                        <wp:posOffset>-3810</wp:posOffset>
                      </wp:positionV>
                      <wp:extent cx="1459230" cy="694690"/>
                      <wp:effectExtent l="1905" t="4445" r="5715" b="5715"/>
                      <wp:wrapNone/>
                      <wp:docPr id="15" name="自选图形 915"/>
                      <wp:cNvGraphicFramePr/>
                      <a:graphic xmlns:a="http://schemas.openxmlformats.org/drawingml/2006/main">
                        <a:graphicData uri="http://schemas.microsoft.com/office/word/2010/wordprocessingShape">
                          <wps:wsp>
                            <wps:cNvCnPr/>
                            <wps:spPr>
                              <a:xfrm>
                                <a:off x="0" y="0"/>
                                <a:ext cx="1459230" cy="69469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15" o:spid="_x0000_s1026" o:spt="32" type="#_x0000_t32" style="position:absolute;left:0pt;margin-left:8.8pt;margin-top:-0.3pt;height:54.7pt;width:114.9pt;z-index:251667456;mso-width-relative:page;mso-height-relative:page;" filled="f" stroked="t" coordsize="21600,21600" o:gfxdata="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ZCmLPXAAAACAEAAA8AAAAAAAAAAQAgAAAAIgAAAGRycy9kb3ducmV2&#10;LnhtbFBLAQIUABQAAAAIAIdO4kCOfnQH/QEAAOsDAAAOAAAAAAAAAAEAIAAAACYBAABkcnMvZTJv&#10;RG9jLnhtbFBLBQYAAAAABgAGAFkBAACVBQAAAAA=&#10;">
                      <v:fill on="f" focussize="0,0"/>
                      <v:stroke color="#000000" joinstyle="round"/>
                      <v:imagedata o:title=""/>
                      <o:lock v:ext="edit" aspectratio="f"/>
                    </v:shape>
                  </w:pict>
                </mc:Fallback>
              </mc:AlternateContent>
            </w:r>
            <w:r>
              <w:rPr>
                <w:rFonts w:eastAsia="楷体_GB2312"/>
                <w:kern w:val="0"/>
                <w:szCs w:val="21"/>
              </w:rPr>
              <w:t>　级别</w:t>
            </w:r>
          </w:p>
          <w:p w14:paraId="51525C9C">
            <w:pPr>
              <w:ind w:left="210" w:hanging="210" w:hangingChars="100"/>
              <w:rPr>
                <w:rFonts w:eastAsia="楷体_GB2312"/>
                <w:kern w:val="0"/>
                <w:szCs w:val="21"/>
              </w:rPr>
            </w:pPr>
            <w:r>
              <w:rPr>
                <w:rFonts w:eastAsia="楷体_GB2312"/>
                <w:szCs w:val="21"/>
              </w:rPr>
              <mc:AlternateContent>
                <mc:Choice Requires="wps">
                  <w:drawing>
                    <wp:anchor distT="0" distB="0" distL="114300" distR="114300" simplePos="0" relativeHeight="251668480" behindDoc="0" locked="0" layoutInCell="1" allowOverlap="1">
                      <wp:simplePos x="0" y="0"/>
                      <wp:positionH relativeFrom="column">
                        <wp:posOffset>-58420</wp:posOffset>
                      </wp:positionH>
                      <wp:positionV relativeFrom="paragraph">
                        <wp:posOffset>156210</wp:posOffset>
                      </wp:positionV>
                      <wp:extent cx="1643380" cy="360680"/>
                      <wp:effectExtent l="1270" t="4445" r="12700" b="15875"/>
                      <wp:wrapNone/>
                      <wp:docPr id="16" name="自选图形 916"/>
                      <wp:cNvGraphicFramePr/>
                      <a:graphic xmlns:a="http://schemas.openxmlformats.org/drawingml/2006/main">
                        <a:graphicData uri="http://schemas.microsoft.com/office/word/2010/wordprocessingShape">
                          <wps:wsp>
                            <wps:cNvCnPr/>
                            <wps:spPr>
                              <a:xfrm>
                                <a:off x="0" y="0"/>
                                <a:ext cx="1643380" cy="36068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916" o:spid="_x0000_s1026" o:spt="32" type="#_x0000_t32" style="position:absolute;left:0pt;margin-left:-4.6pt;margin-top:12.3pt;height:28.4pt;width:129.4pt;z-index:251668480;mso-width-relative:page;mso-height-relative:page;" filled="f" stroked="t" coordsize="21600,21600" o:gfxdata="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0h/v+2AAAAAgBAAAPAAAAAAAAAAEAIAAAACIAAABkcnMvZG93bnJldi54&#10;bWxQSwECFAAUAAAACACHTuJADgpywvoBAADrAwAADgAAAAAAAAABACAAAAAnAQAAZHJzL2Uyb0Rv&#10;Yy54bWxQSwUGAAAAAAYABgBZAQAAkwUAAAAA&#10;">
                      <v:fill on="f" focussize="0,0"/>
                      <v:stroke color="#000000" joinstyle="round"/>
                      <v:imagedata o:title=""/>
                      <o:lock v:ext="edit" aspectratio="f"/>
                    </v:shape>
                  </w:pict>
                </mc:Fallback>
              </mc:AlternateContent>
            </w:r>
            <w:r>
              <w:rPr>
                <w:rFonts w:eastAsia="楷体_GB2312"/>
                <w:kern w:val="0"/>
                <w:szCs w:val="21"/>
              </w:rPr>
              <w:t>修正系数</w:t>
            </w:r>
          </w:p>
          <w:p w14:paraId="5F764E46">
            <w:pPr>
              <w:ind w:left="210" w:hanging="210" w:hangingChars="100"/>
              <w:rPr>
                <w:rFonts w:eastAsia="楷体_GB2312"/>
                <w:kern w:val="0"/>
                <w:szCs w:val="21"/>
              </w:rPr>
            </w:pPr>
          </w:p>
          <w:p w14:paraId="4992ABA8">
            <w:pPr>
              <w:ind w:left="210" w:hanging="210" w:hangingChars="100"/>
              <w:rPr>
                <w:rFonts w:eastAsia="楷体_GB2312"/>
                <w:kern w:val="0"/>
                <w:szCs w:val="21"/>
              </w:rPr>
            </w:pPr>
            <w:r>
              <w:rPr>
                <w:rFonts w:eastAsia="楷体_GB2312"/>
                <w:kern w:val="0"/>
                <w:szCs w:val="21"/>
              </w:rPr>
              <w:t>容积率　</w:t>
            </w:r>
          </w:p>
        </w:tc>
        <w:tc>
          <w:tcPr>
            <w:tcW w:w="3402" w:type="dxa"/>
            <w:tcBorders>
              <w:top w:val="single" w:color="auto" w:sz="4" w:space="0"/>
              <w:left w:val="nil"/>
              <w:bottom w:val="single" w:color="auto" w:sz="4" w:space="0"/>
              <w:right w:val="single" w:color="auto" w:sz="4" w:space="0"/>
            </w:tcBorders>
            <w:noWrap w:val="0"/>
            <w:vAlign w:val="center"/>
          </w:tcPr>
          <w:p w14:paraId="0E166415">
            <w:pPr>
              <w:jc w:val="center"/>
              <w:rPr>
                <w:rFonts w:eastAsia="楷体_GB2312"/>
                <w:kern w:val="0"/>
                <w:szCs w:val="21"/>
              </w:rPr>
            </w:pPr>
            <w:r>
              <w:rPr>
                <w:rFonts w:hint="eastAsia" w:eastAsia="楷体_GB2312"/>
                <w:kern w:val="0"/>
                <w:szCs w:val="21"/>
              </w:rPr>
              <w:t>新闻出版用地、医疗卫生用地、文化设施用地、体育用地</w:t>
            </w:r>
          </w:p>
        </w:tc>
        <w:tc>
          <w:tcPr>
            <w:tcW w:w="2975" w:type="dxa"/>
            <w:tcBorders>
              <w:top w:val="single" w:color="auto" w:sz="4" w:space="0"/>
              <w:left w:val="nil"/>
              <w:bottom w:val="single" w:color="auto" w:sz="4" w:space="0"/>
              <w:right w:val="single" w:color="auto" w:sz="4" w:space="0"/>
            </w:tcBorders>
            <w:noWrap w:val="0"/>
            <w:vAlign w:val="center"/>
          </w:tcPr>
          <w:p w14:paraId="4B029C50">
            <w:pPr>
              <w:jc w:val="center"/>
              <w:rPr>
                <w:rFonts w:eastAsia="楷体_GB2312"/>
                <w:kern w:val="0"/>
                <w:szCs w:val="21"/>
              </w:rPr>
            </w:pPr>
            <w:r>
              <w:rPr>
                <w:rFonts w:hint="eastAsia" w:eastAsia="楷体_GB2312"/>
                <w:kern w:val="0"/>
                <w:szCs w:val="21"/>
              </w:rPr>
              <w:t>教育用地、科研用地、社会福利用地</w:t>
            </w:r>
          </w:p>
        </w:tc>
      </w:tr>
      <w:tr w14:paraId="59A7DF86">
        <w:tblPrEx>
          <w:tblCellMar>
            <w:top w:w="0" w:type="dxa"/>
            <w:left w:w="108" w:type="dxa"/>
            <w:bottom w:w="0" w:type="dxa"/>
            <w:right w:w="108" w:type="dxa"/>
          </w:tblCellMar>
        </w:tblPrEx>
        <w:trPr>
          <w:trHeight w:val="285" w:hRule="atLeast"/>
          <w:jc w:val="center"/>
        </w:trPr>
        <w:tc>
          <w:tcPr>
            <w:tcW w:w="2695" w:type="dxa"/>
            <w:vMerge w:val="continue"/>
            <w:tcBorders>
              <w:left w:val="single" w:color="auto" w:sz="4" w:space="0"/>
              <w:bottom w:val="single" w:color="auto" w:sz="4" w:space="0"/>
              <w:right w:val="single" w:color="auto" w:sz="4" w:space="0"/>
            </w:tcBorders>
            <w:noWrap/>
            <w:vAlign w:val="center"/>
          </w:tcPr>
          <w:p w14:paraId="212F7D9B">
            <w:pPr>
              <w:rPr>
                <w:rFonts w:eastAsia="楷体_GB2312"/>
                <w:kern w:val="0"/>
                <w:szCs w:val="21"/>
              </w:rPr>
            </w:pPr>
          </w:p>
        </w:tc>
        <w:tc>
          <w:tcPr>
            <w:tcW w:w="3402" w:type="dxa"/>
            <w:tcBorders>
              <w:top w:val="nil"/>
              <w:left w:val="nil"/>
              <w:bottom w:val="single" w:color="auto" w:sz="4" w:space="0"/>
              <w:right w:val="single" w:color="auto" w:sz="4" w:space="0"/>
            </w:tcBorders>
            <w:noWrap/>
            <w:vAlign w:val="center"/>
          </w:tcPr>
          <w:p w14:paraId="3B788929">
            <w:pPr>
              <w:widowControl w:val="0"/>
              <w:spacing w:line="300" w:lineRule="exact"/>
              <w:jc w:val="center"/>
              <w:rPr>
                <w:rFonts w:eastAsia="楷体_GB2312"/>
                <w:bCs/>
                <w:szCs w:val="21"/>
              </w:rPr>
            </w:pPr>
            <w:r>
              <w:rPr>
                <w:rFonts w:hint="eastAsia" w:eastAsia="楷体_GB2312"/>
                <w:bCs/>
                <w:szCs w:val="21"/>
              </w:rPr>
              <w:t>指导价区域</w:t>
            </w:r>
          </w:p>
        </w:tc>
        <w:tc>
          <w:tcPr>
            <w:tcW w:w="2975" w:type="dxa"/>
            <w:tcBorders>
              <w:top w:val="nil"/>
              <w:left w:val="nil"/>
              <w:bottom w:val="single" w:color="auto" w:sz="4" w:space="0"/>
              <w:right w:val="single" w:color="auto" w:sz="4" w:space="0"/>
            </w:tcBorders>
            <w:noWrap/>
            <w:vAlign w:val="center"/>
          </w:tcPr>
          <w:p w14:paraId="73D0AD19">
            <w:pPr>
              <w:widowControl w:val="0"/>
              <w:spacing w:line="300" w:lineRule="exact"/>
              <w:jc w:val="center"/>
              <w:rPr>
                <w:rFonts w:eastAsia="楷体_GB2312"/>
                <w:bCs/>
                <w:szCs w:val="21"/>
              </w:rPr>
            </w:pPr>
            <w:r>
              <w:rPr>
                <w:rFonts w:hint="eastAsia" w:eastAsia="楷体_GB2312"/>
                <w:bCs/>
                <w:szCs w:val="21"/>
              </w:rPr>
              <w:t>指导价区域</w:t>
            </w:r>
          </w:p>
        </w:tc>
      </w:tr>
      <w:tr w14:paraId="0905046E">
        <w:tblPrEx>
          <w:tblCellMar>
            <w:top w:w="0" w:type="dxa"/>
            <w:left w:w="108" w:type="dxa"/>
            <w:bottom w:w="0" w:type="dxa"/>
            <w:right w:w="108" w:type="dxa"/>
          </w:tblCellMar>
        </w:tblPrEx>
        <w:trPr>
          <w:trHeight w:val="285" w:hRule="atLeast"/>
          <w:jc w:val="center"/>
        </w:trPr>
        <w:tc>
          <w:tcPr>
            <w:tcW w:w="2695" w:type="dxa"/>
            <w:tcBorders>
              <w:top w:val="nil"/>
              <w:left w:val="single" w:color="auto" w:sz="4" w:space="0"/>
              <w:bottom w:val="single" w:color="auto" w:sz="4" w:space="0"/>
              <w:right w:val="single" w:color="auto" w:sz="4" w:space="0"/>
            </w:tcBorders>
            <w:noWrap/>
            <w:vAlign w:val="center"/>
          </w:tcPr>
          <w:p w14:paraId="4C37AFEC">
            <w:pPr>
              <w:jc w:val="center"/>
              <w:rPr>
                <w:rFonts w:eastAsia="楷体_GB2312"/>
                <w:kern w:val="0"/>
                <w:szCs w:val="21"/>
              </w:rPr>
            </w:pPr>
            <w:r>
              <w:rPr>
                <w:rFonts w:eastAsia="楷体_GB2312"/>
                <w:kern w:val="0"/>
                <w:szCs w:val="21"/>
              </w:rPr>
              <w:t>≤0.8</w:t>
            </w:r>
          </w:p>
        </w:tc>
        <w:tc>
          <w:tcPr>
            <w:tcW w:w="3402" w:type="dxa"/>
            <w:tcBorders>
              <w:top w:val="single" w:color="auto" w:sz="8" w:space="0"/>
              <w:left w:val="single" w:color="auto" w:sz="8" w:space="0"/>
              <w:bottom w:val="single" w:color="auto" w:sz="8" w:space="0"/>
              <w:right w:val="single" w:color="auto" w:sz="8" w:space="0"/>
            </w:tcBorders>
            <w:noWrap w:val="0"/>
            <w:vAlign w:val="center"/>
          </w:tcPr>
          <w:p w14:paraId="14034393">
            <w:pPr>
              <w:jc w:val="center"/>
              <w:rPr>
                <w:rFonts w:eastAsia="楷体_GB2312"/>
                <w:kern w:val="0"/>
                <w:szCs w:val="21"/>
              </w:rPr>
            </w:pPr>
            <w:r>
              <w:rPr>
                <w:rFonts w:eastAsia="楷体_GB2312"/>
                <w:kern w:val="0"/>
                <w:szCs w:val="21"/>
              </w:rPr>
              <w:t>0.92</w:t>
            </w:r>
          </w:p>
        </w:tc>
        <w:tc>
          <w:tcPr>
            <w:tcW w:w="2975" w:type="dxa"/>
            <w:tcBorders>
              <w:top w:val="single" w:color="auto" w:sz="8" w:space="0"/>
              <w:left w:val="nil"/>
              <w:bottom w:val="single" w:color="auto" w:sz="8" w:space="0"/>
              <w:right w:val="single" w:color="auto" w:sz="8" w:space="0"/>
            </w:tcBorders>
            <w:noWrap w:val="0"/>
            <w:vAlign w:val="center"/>
          </w:tcPr>
          <w:p w14:paraId="3BF4E4C6">
            <w:pPr>
              <w:jc w:val="center"/>
              <w:rPr>
                <w:rFonts w:eastAsia="楷体_GB2312"/>
                <w:kern w:val="0"/>
                <w:szCs w:val="21"/>
              </w:rPr>
            </w:pPr>
            <w:r>
              <w:rPr>
                <w:rFonts w:eastAsia="楷体_GB2312"/>
                <w:kern w:val="0"/>
                <w:szCs w:val="21"/>
              </w:rPr>
              <w:t>0.94</w:t>
            </w:r>
          </w:p>
        </w:tc>
      </w:tr>
      <w:tr w14:paraId="307578BD">
        <w:tblPrEx>
          <w:tblCellMar>
            <w:top w:w="0" w:type="dxa"/>
            <w:left w:w="108" w:type="dxa"/>
            <w:bottom w:w="0" w:type="dxa"/>
            <w:right w:w="108" w:type="dxa"/>
          </w:tblCellMar>
        </w:tblPrEx>
        <w:trPr>
          <w:trHeight w:val="285" w:hRule="atLeast"/>
          <w:jc w:val="center"/>
        </w:trPr>
        <w:tc>
          <w:tcPr>
            <w:tcW w:w="2695" w:type="dxa"/>
            <w:tcBorders>
              <w:top w:val="nil"/>
              <w:left w:val="single" w:color="auto" w:sz="4" w:space="0"/>
              <w:bottom w:val="single" w:color="auto" w:sz="4" w:space="0"/>
              <w:right w:val="single" w:color="auto" w:sz="4" w:space="0"/>
            </w:tcBorders>
            <w:noWrap/>
            <w:vAlign w:val="center"/>
          </w:tcPr>
          <w:p w14:paraId="7D14AF09">
            <w:pPr>
              <w:jc w:val="center"/>
              <w:rPr>
                <w:rFonts w:eastAsia="楷体_GB2312"/>
                <w:kern w:val="0"/>
                <w:szCs w:val="21"/>
              </w:rPr>
            </w:pPr>
            <w:r>
              <w:rPr>
                <w:rFonts w:eastAsia="楷体_GB2312"/>
                <w:kern w:val="0"/>
                <w:szCs w:val="21"/>
              </w:rPr>
              <w:t>0.9</w:t>
            </w:r>
          </w:p>
        </w:tc>
        <w:tc>
          <w:tcPr>
            <w:tcW w:w="3402" w:type="dxa"/>
            <w:tcBorders>
              <w:top w:val="nil"/>
              <w:left w:val="single" w:color="auto" w:sz="8" w:space="0"/>
              <w:bottom w:val="single" w:color="auto" w:sz="8" w:space="0"/>
              <w:right w:val="single" w:color="auto" w:sz="8" w:space="0"/>
            </w:tcBorders>
            <w:noWrap w:val="0"/>
            <w:vAlign w:val="center"/>
          </w:tcPr>
          <w:p w14:paraId="54197EC3">
            <w:pPr>
              <w:jc w:val="center"/>
              <w:rPr>
                <w:rFonts w:eastAsia="楷体_GB2312"/>
                <w:kern w:val="0"/>
                <w:szCs w:val="21"/>
              </w:rPr>
            </w:pPr>
            <w:r>
              <w:rPr>
                <w:rFonts w:eastAsia="楷体_GB2312"/>
                <w:kern w:val="0"/>
                <w:szCs w:val="21"/>
              </w:rPr>
              <w:t>0.94</w:t>
            </w:r>
          </w:p>
        </w:tc>
        <w:tc>
          <w:tcPr>
            <w:tcW w:w="2975" w:type="dxa"/>
            <w:tcBorders>
              <w:top w:val="nil"/>
              <w:left w:val="nil"/>
              <w:bottom w:val="single" w:color="auto" w:sz="8" w:space="0"/>
              <w:right w:val="single" w:color="auto" w:sz="8" w:space="0"/>
            </w:tcBorders>
            <w:noWrap w:val="0"/>
            <w:vAlign w:val="center"/>
          </w:tcPr>
          <w:p w14:paraId="347722B5">
            <w:pPr>
              <w:jc w:val="center"/>
              <w:rPr>
                <w:rFonts w:eastAsia="楷体_GB2312"/>
                <w:kern w:val="0"/>
                <w:szCs w:val="21"/>
              </w:rPr>
            </w:pPr>
            <w:r>
              <w:rPr>
                <w:rFonts w:eastAsia="楷体_GB2312"/>
                <w:kern w:val="0"/>
                <w:szCs w:val="21"/>
              </w:rPr>
              <w:t>0.96</w:t>
            </w:r>
          </w:p>
        </w:tc>
      </w:tr>
      <w:tr w14:paraId="0EE42313">
        <w:tblPrEx>
          <w:tblCellMar>
            <w:top w:w="0" w:type="dxa"/>
            <w:left w:w="108" w:type="dxa"/>
            <w:bottom w:w="0" w:type="dxa"/>
            <w:right w:w="108" w:type="dxa"/>
          </w:tblCellMar>
        </w:tblPrEx>
        <w:trPr>
          <w:trHeight w:val="285" w:hRule="atLeast"/>
          <w:jc w:val="center"/>
        </w:trPr>
        <w:tc>
          <w:tcPr>
            <w:tcW w:w="2695" w:type="dxa"/>
            <w:tcBorders>
              <w:top w:val="nil"/>
              <w:left w:val="single" w:color="auto" w:sz="4" w:space="0"/>
              <w:bottom w:val="single" w:color="auto" w:sz="4" w:space="0"/>
              <w:right w:val="single" w:color="auto" w:sz="4" w:space="0"/>
            </w:tcBorders>
            <w:noWrap/>
            <w:vAlign w:val="center"/>
          </w:tcPr>
          <w:p w14:paraId="213EA50B">
            <w:pPr>
              <w:jc w:val="center"/>
              <w:rPr>
                <w:rFonts w:eastAsia="楷体_GB2312"/>
                <w:kern w:val="0"/>
                <w:szCs w:val="21"/>
              </w:rPr>
            </w:pPr>
            <w:r>
              <w:rPr>
                <w:rFonts w:eastAsia="楷体_GB2312"/>
                <w:kern w:val="0"/>
                <w:szCs w:val="21"/>
              </w:rPr>
              <w:t>1.0</w:t>
            </w:r>
          </w:p>
        </w:tc>
        <w:tc>
          <w:tcPr>
            <w:tcW w:w="3402" w:type="dxa"/>
            <w:tcBorders>
              <w:top w:val="nil"/>
              <w:left w:val="single" w:color="auto" w:sz="8" w:space="0"/>
              <w:bottom w:val="single" w:color="auto" w:sz="8" w:space="0"/>
              <w:right w:val="single" w:color="auto" w:sz="8" w:space="0"/>
            </w:tcBorders>
            <w:noWrap w:val="0"/>
            <w:vAlign w:val="center"/>
          </w:tcPr>
          <w:p w14:paraId="4BFAFBBD">
            <w:pPr>
              <w:jc w:val="center"/>
              <w:rPr>
                <w:rFonts w:eastAsia="楷体_GB2312"/>
                <w:kern w:val="0"/>
                <w:szCs w:val="21"/>
              </w:rPr>
            </w:pPr>
            <w:r>
              <w:rPr>
                <w:rFonts w:eastAsia="楷体_GB2312"/>
                <w:kern w:val="0"/>
                <w:szCs w:val="21"/>
              </w:rPr>
              <w:t>0.96</w:t>
            </w:r>
          </w:p>
        </w:tc>
        <w:tc>
          <w:tcPr>
            <w:tcW w:w="2975" w:type="dxa"/>
            <w:tcBorders>
              <w:top w:val="nil"/>
              <w:left w:val="nil"/>
              <w:bottom w:val="single" w:color="auto" w:sz="8" w:space="0"/>
              <w:right w:val="single" w:color="auto" w:sz="8" w:space="0"/>
            </w:tcBorders>
            <w:noWrap w:val="0"/>
            <w:vAlign w:val="center"/>
          </w:tcPr>
          <w:p w14:paraId="20D4C246">
            <w:pPr>
              <w:jc w:val="center"/>
              <w:rPr>
                <w:rFonts w:eastAsia="楷体_GB2312"/>
                <w:kern w:val="0"/>
                <w:szCs w:val="21"/>
              </w:rPr>
            </w:pPr>
            <w:r>
              <w:rPr>
                <w:rFonts w:eastAsia="楷体_GB2312"/>
                <w:kern w:val="0"/>
                <w:szCs w:val="21"/>
              </w:rPr>
              <w:t>0.98</w:t>
            </w:r>
          </w:p>
        </w:tc>
      </w:tr>
      <w:tr w14:paraId="0AF75DED">
        <w:tblPrEx>
          <w:tblCellMar>
            <w:top w:w="0" w:type="dxa"/>
            <w:left w:w="108" w:type="dxa"/>
            <w:bottom w:w="0" w:type="dxa"/>
            <w:right w:w="108" w:type="dxa"/>
          </w:tblCellMar>
        </w:tblPrEx>
        <w:trPr>
          <w:trHeight w:val="285" w:hRule="atLeast"/>
          <w:jc w:val="center"/>
        </w:trPr>
        <w:tc>
          <w:tcPr>
            <w:tcW w:w="2695" w:type="dxa"/>
            <w:tcBorders>
              <w:top w:val="nil"/>
              <w:left w:val="single" w:color="auto" w:sz="4" w:space="0"/>
              <w:bottom w:val="single" w:color="auto" w:sz="4" w:space="0"/>
              <w:right w:val="single" w:color="auto" w:sz="4" w:space="0"/>
            </w:tcBorders>
            <w:noWrap/>
            <w:vAlign w:val="center"/>
          </w:tcPr>
          <w:p w14:paraId="40B17B46">
            <w:pPr>
              <w:jc w:val="center"/>
              <w:rPr>
                <w:rFonts w:eastAsia="楷体_GB2312"/>
                <w:kern w:val="0"/>
                <w:szCs w:val="21"/>
              </w:rPr>
            </w:pPr>
            <w:r>
              <w:rPr>
                <w:rFonts w:eastAsia="楷体_GB2312"/>
                <w:kern w:val="0"/>
                <w:szCs w:val="21"/>
              </w:rPr>
              <w:t>1.1</w:t>
            </w:r>
          </w:p>
        </w:tc>
        <w:tc>
          <w:tcPr>
            <w:tcW w:w="3402" w:type="dxa"/>
            <w:tcBorders>
              <w:top w:val="nil"/>
              <w:left w:val="single" w:color="auto" w:sz="8" w:space="0"/>
              <w:bottom w:val="single" w:color="auto" w:sz="8" w:space="0"/>
              <w:right w:val="single" w:color="auto" w:sz="8" w:space="0"/>
            </w:tcBorders>
            <w:noWrap w:val="0"/>
            <w:vAlign w:val="center"/>
          </w:tcPr>
          <w:p w14:paraId="20104337">
            <w:pPr>
              <w:jc w:val="center"/>
              <w:rPr>
                <w:rFonts w:eastAsia="楷体_GB2312"/>
                <w:kern w:val="0"/>
                <w:szCs w:val="21"/>
              </w:rPr>
            </w:pPr>
            <w:r>
              <w:rPr>
                <w:rFonts w:eastAsia="楷体_GB2312"/>
                <w:kern w:val="0"/>
                <w:szCs w:val="21"/>
              </w:rPr>
              <w:t>0.98</w:t>
            </w:r>
          </w:p>
        </w:tc>
        <w:tc>
          <w:tcPr>
            <w:tcW w:w="2975" w:type="dxa"/>
            <w:tcBorders>
              <w:top w:val="nil"/>
              <w:left w:val="nil"/>
              <w:bottom w:val="single" w:color="auto" w:sz="8" w:space="0"/>
              <w:right w:val="single" w:color="auto" w:sz="8" w:space="0"/>
            </w:tcBorders>
            <w:noWrap w:val="0"/>
            <w:vAlign w:val="center"/>
          </w:tcPr>
          <w:p w14:paraId="73ED7DDB">
            <w:pPr>
              <w:jc w:val="center"/>
              <w:rPr>
                <w:rFonts w:eastAsia="楷体_GB2312"/>
                <w:b/>
                <w:bCs/>
                <w:kern w:val="0"/>
                <w:szCs w:val="21"/>
              </w:rPr>
            </w:pPr>
            <w:r>
              <w:rPr>
                <w:rFonts w:eastAsia="楷体_GB2312"/>
                <w:b/>
                <w:bCs/>
                <w:kern w:val="0"/>
                <w:szCs w:val="21"/>
              </w:rPr>
              <w:t>1.0</w:t>
            </w:r>
          </w:p>
        </w:tc>
      </w:tr>
      <w:tr w14:paraId="582FA654">
        <w:tblPrEx>
          <w:tblCellMar>
            <w:top w:w="0" w:type="dxa"/>
            <w:left w:w="108" w:type="dxa"/>
            <w:bottom w:w="0" w:type="dxa"/>
            <w:right w:w="108" w:type="dxa"/>
          </w:tblCellMar>
        </w:tblPrEx>
        <w:trPr>
          <w:trHeight w:val="285" w:hRule="atLeast"/>
          <w:jc w:val="center"/>
        </w:trPr>
        <w:tc>
          <w:tcPr>
            <w:tcW w:w="2695" w:type="dxa"/>
            <w:tcBorders>
              <w:top w:val="nil"/>
              <w:left w:val="single" w:color="auto" w:sz="4" w:space="0"/>
              <w:bottom w:val="single" w:color="auto" w:sz="4" w:space="0"/>
              <w:right w:val="single" w:color="auto" w:sz="4" w:space="0"/>
            </w:tcBorders>
            <w:noWrap/>
            <w:vAlign w:val="center"/>
          </w:tcPr>
          <w:p w14:paraId="74A2C598">
            <w:pPr>
              <w:jc w:val="center"/>
              <w:rPr>
                <w:rFonts w:eastAsia="楷体_GB2312"/>
                <w:kern w:val="0"/>
                <w:szCs w:val="21"/>
              </w:rPr>
            </w:pPr>
            <w:r>
              <w:rPr>
                <w:rFonts w:eastAsia="楷体_GB2312"/>
                <w:kern w:val="0"/>
                <w:szCs w:val="21"/>
              </w:rPr>
              <w:t>1.2</w:t>
            </w:r>
          </w:p>
        </w:tc>
        <w:tc>
          <w:tcPr>
            <w:tcW w:w="3402" w:type="dxa"/>
            <w:tcBorders>
              <w:top w:val="nil"/>
              <w:left w:val="single" w:color="auto" w:sz="8" w:space="0"/>
              <w:bottom w:val="single" w:color="auto" w:sz="8" w:space="0"/>
              <w:right w:val="single" w:color="auto" w:sz="8" w:space="0"/>
            </w:tcBorders>
            <w:noWrap w:val="0"/>
            <w:vAlign w:val="center"/>
          </w:tcPr>
          <w:p w14:paraId="405CA28B">
            <w:pPr>
              <w:jc w:val="center"/>
              <w:rPr>
                <w:rFonts w:eastAsia="楷体_GB2312"/>
                <w:b/>
                <w:bCs/>
                <w:kern w:val="0"/>
                <w:szCs w:val="21"/>
              </w:rPr>
            </w:pPr>
            <w:r>
              <w:rPr>
                <w:rFonts w:eastAsia="楷体_GB2312"/>
                <w:b/>
                <w:bCs/>
                <w:kern w:val="0"/>
                <w:szCs w:val="21"/>
              </w:rPr>
              <w:t>1.0</w:t>
            </w:r>
          </w:p>
        </w:tc>
        <w:tc>
          <w:tcPr>
            <w:tcW w:w="2975" w:type="dxa"/>
            <w:tcBorders>
              <w:top w:val="nil"/>
              <w:left w:val="nil"/>
              <w:bottom w:val="single" w:color="auto" w:sz="8" w:space="0"/>
              <w:right w:val="single" w:color="auto" w:sz="8" w:space="0"/>
            </w:tcBorders>
            <w:noWrap w:val="0"/>
            <w:vAlign w:val="center"/>
          </w:tcPr>
          <w:p w14:paraId="4CB4A685">
            <w:pPr>
              <w:jc w:val="center"/>
              <w:rPr>
                <w:rFonts w:eastAsia="楷体_GB2312"/>
                <w:kern w:val="0"/>
                <w:szCs w:val="21"/>
              </w:rPr>
            </w:pPr>
            <w:r>
              <w:rPr>
                <w:rFonts w:eastAsia="楷体_GB2312"/>
                <w:kern w:val="0"/>
                <w:szCs w:val="21"/>
              </w:rPr>
              <w:t>1.03</w:t>
            </w:r>
          </w:p>
        </w:tc>
      </w:tr>
      <w:tr w14:paraId="73D18B15">
        <w:tblPrEx>
          <w:tblCellMar>
            <w:top w:w="0" w:type="dxa"/>
            <w:left w:w="108" w:type="dxa"/>
            <w:bottom w:w="0" w:type="dxa"/>
            <w:right w:w="108" w:type="dxa"/>
          </w:tblCellMar>
        </w:tblPrEx>
        <w:trPr>
          <w:trHeight w:val="285" w:hRule="atLeast"/>
          <w:jc w:val="center"/>
        </w:trPr>
        <w:tc>
          <w:tcPr>
            <w:tcW w:w="2695" w:type="dxa"/>
            <w:tcBorders>
              <w:top w:val="nil"/>
              <w:left w:val="single" w:color="auto" w:sz="4" w:space="0"/>
              <w:bottom w:val="single" w:color="auto" w:sz="4" w:space="0"/>
              <w:right w:val="single" w:color="auto" w:sz="4" w:space="0"/>
            </w:tcBorders>
            <w:noWrap/>
            <w:vAlign w:val="center"/>
          </w:tcPr>
          <w:p w14:paraId="6AF55677">
            <w:pPr>
              <w:jc w:val="center"/>
              <w:rPr>
                <w:rFonts w:eastAsia="楷体_GB2312"/>
                <w:kern w:val="0"/>
                <w:szCs w:val="21"/>
              </w:rPr>
            </w:pPr>
            <w:r>
              <w:rPr>
                <w:rFonts w:eastAsia="楷体_GB2312"/>
                <w:kern w:val="0"/>
                <w:szCs w:val="21"/>
              </w:rPr>
              <w:t>1.3</w:t>
            </w:r>
          </w:p>
        </w:tc>
        <w:tc>
          <w:tcPr>
            <w:tcW w:w="3402" w:type="dxa"/>
            <w:tcBorders>
              <w:top w:val="nil"/>
              <w:left w:val="single" w:color="auto" w:sz="8" w:space="0"/>
              <w:bottom w:val="single" w:color="auto" w:sz="8" w:space="0"/>
              <w:right w:val="single" w:color="auto" w:sz="8" w:space="0"/>
            </w:tcBorders>
            <w:noWrap w:val="0"/>
            <w:vAlign w:val="center"/>
          </w:tcPr>
          <w:p w14:paraId="5AC9199F">
            <w:pPr>
              <w:jc w:val="center"/>
              <w:rPr>
                <w:rFonts w:eastAsia="楷体_GB2312"/>
                <w:kern w:val="0"/>
                <w:szCs w:val="21"/>
              </w:rPr>
            </w:pPr>
            <w:r>
              <w:rPr>
                <w:rFonts w:eastAsia="楷体_GB2312"/>
                <w:kern w:val="0"/>
                <w:szCs w:val="21"/>
              </w:rPr>
              <w:t>1.03</w:t>
            </w:r>
          </w:p>
        </w:tc>
        <w:tc>
          <w:tcPr>
            <w:tcW w:w="2975" w:type="dxa"/>
            <w:tcBorders>
              <w:top w:val="nil"/>
              <w:left w:val="nil"/>
              <w:bottom w:val="single" w:color="auto" w:sz="8" w:space="0"/>
              <w:right w:val="single" w:color="auto" w:sz="8" w:space="0"/>
            </w:tcBorders>
            <w:noWrap w:val="0"/>
            <w:vAlign w:val="center"/>
          </w:tcPr>
          <w:p w14:paraId="676AFB11">
            <w:pPr>
              <w:jc w:val="center"/>
              <w:rPr>
                <w:rFonts w:eastAsia="楷体_GB2312"/>
                <w:kern w:val="0"/>
                <w:szCs w:val="21"/>
              </w:rPr>
            </w:pPr>
            <w:r>
              <w:rPr>
                <w:rFonts w:eastAsia="楷体_GB2312"/>
                <w:kern w:val="0"/>
                <w:szCs w:val="21"/>
              </w:rPr>
              <w:t>1.06</w:t>
            </w:r>
          </w:p>
        </w:tc>
      </w:tr>
      <w:tr w14:paraId="714710E0">
        <w:tblPrEx>
          <w:tblCellMar>
            <w:top w:w="0" w:type="dxa"/>
            <w:left w:w="108" w:type="dxa"/>
            <w:bottom w:w="0" w:type="dxa"/>
            <w:right w:w="108" w:type="dxa"/>
          </w:tblCellMar>
        </w:tblPrEx>
        <w:trPr>
          <w:trHeight w:val="285" w:hRule="atLeast"/>
          <w:jc w:val="center"/>
        </w:trPr>
        <w:tc>
          <w:tcPr>
            <w:tcW w:w="2695" w:type="dxa"/>
            <w:tcBorders>
              <w:top w:val="nil"/>
              <w:left w:val="single" w:color="auto" w:sz="4" w:space="0"/>
              <w:bottom w:val="single" w:color="auto" w:sz="4" w:space="0"/>
              <w:right w:val="single" w:color="auto" w:sz="4" w:space="0"/>
            </w:tcBorders>
            <w:noWrap/>
            <w:vAlign w:val="center"/>
          </w:tcPr>
          <w:p w14:paraId="2F3EA813">
            <w:pPr>
              <w:jc w:val="center"/>
              <w:rPr>
                <w:rFonts w:eastAsia="楷体_GB2312"/>
                <w:kern w:val="0"/>
                <w:szCs w:val="21"/>
              </w:rPr>
            </w:pPr>
            <w:r>
              <w:rPr>
                <w:rFonts w:eastAsia="楷体_GB2312"/>
                <w:kern w:val="0"/>
                <w:szCs w:val="21"/>
              </w:rPr>
              <w:t>1.4</w:t>
            </w:r>
          </w:p>
        </w:tc>
        <w:tc>
          <w:tcPr>
            <w:tcW w:w="3402" w:type="dxa"/>
            <w:tcBorders>
              <w:top w:val="nil"/>
              <w:left w:val="single" w:color="auto" w:sz="8" w:space="0"/>
              <w:bottom w:val="single" w:color="auto" w:sz="8" w:space="0"/>
              <w:right w:val="single" w:color="auto" w:sz="8" w:space="0"/>
            </w:tcBorders>
            <w:noWrap w:val="0"/>
            <w:vAlign w:val="center"/>
          </w:tcPr>
          <w:p w14:paraId="5F221837">
            <w:pPr>
              <w:jc w:val="center"/>
              <w:rPr>
                <w:rFonts w:eastAsia="楷体_GB2312"/>
                <w:kern w:val="0"/>
                <w:szCs w:val="21"/>
              </w:rPr>
            </w:pPr>
            <w:r>
              <w:rPr>
                <w:rFonts w:eastAsia="楷体_GB2312"/>
                <w:kern w:val="0"/>
                <w:szCs w:val="21"/>
              </w:rPr>
              <w:t>1.06</w:t>
            </w:r>
          </w:p>
        </w:tc>
        <w:tc>
          <w:tcPr>
            <w:tcW w:w="2975" w:type="dxa"/>
            <w:tcBorders>
              <w:top w:val="nil"/>
              <w:left w:val="nil"/>
              <w:bottom w:val="single" w:color="auto" w:sz="8" w:space="0"/>
              <w:right w:val="single" w:color="auto" w:sz="8" w:space="0"/>
            </w:tcBorders>
            <w:noWrap w:val="0"/>
            <w:vAlign w:val="center"/>
          </w:tcPr>
          <w:p w14:paraId="46C54D07">
            <w:pPr>
              <w:jc w:val="center"/>
              <w:rPr>
                <w:rFonts w:eastAsia="楷体_GB2312"/>
                <w:kern w:val="0"/>
                <w:szCs w:val="21"/>
              </w:rPr>
            </w:pPr>
            <w:r>
              <w:rPr>
                <w:rFonts w:eastAsia="楷体_GB2312"/>
                <w:kern w:val="0"/>
                <w:szCs w:val="21"/>
              </w:rPr>
              <w:t>1.09</w:t>
            </w:r>
          </w:p>
        </w:tc>
      </w:tr>
      <w:tr w14:paraId="58F66DA6">
        <w:tblPrEx>
          <w:tblCellMar>
            <w:top w:w="0" w:type="dxa"/>
            <w:left w:w="108" w:type="dxa"/>
            <w:bottom w:w="0" w:type="dxa"/>
            <w:right w:w="108" w:type="dxa"/>
          </w:tblCellMar>
        </w:tblPrEx>
        <w:trPr>
          <w:trHeight w:val="285" w:hRule="atLeast"/>
          <w:jc w:val="center"/>
        </w:trPr>
        <w:tc>
          <w:tcPr>
            <w:tcW w:w="2695" w:type="dxa"/>
            <w:tcBorders>
              <w:top w:val="nil"/>
              <w:left w:val="single" w:color="auto" w:sz="4" w:space="0"/>
              <w:bottom w:val="single" w:color="auto" w:sz="4" w:space="0"/>
              <w:right w:val="single" w:color="auto" w:sz="4" w:space="0"/>
            </w:tcBorders>
            <w:noWrap/>
            <w:vAlign w:val="center"/>
          </w:tcPr>
          <w:p w14:paraId="2452B613">
            <w:pPr>
              <w:jc w:val="center"/>
              <w:rPr>
                <w:rFonts w:eastAsia="楷体_GB2312"/>
                <w:kern w:val="0"/>
                <w:szCs w:val="21"/>
              </w:rPr>
            </w:pPr>
            <w:r>
              <w:rPr>
                <w:rFonts w:eastAsia="楷体_GB2312"/>
                <w:kern w:val="0"/>
                <w:szCs w:val="21"/>
              </w:rPr>
              <w:t>1.5</w:t>
            </w:r>
          </w:p>
        </w:tc>
        <w:tc>
          <w:tcPr>
            <w:tcW w:w="3402" w:type="dxa"/>
            <w:tcBorders>
              <w:top w:val="nil"/>
              <w:left w:val="single" w:color="auto" w:sz="8" w:space="0"/>
              <w:bottom w:val="single" w:color="auto" w:sz="8" w:space="0"/>
              <w:right w:val="single" w:color="auto" w:sz="8" w:space="0"/>
            </w:tcBorders>
            <w:noWrap w:val="0"/>
            <w:vAlign w:val="center"/>
          </w:tcPr>
          <w:p w14:paraId="279D4C3B">
            <w:pPr>
              <w:jc w:val="center"/>
              <w:rPr>
                <w:rFonts w:eastAsia="楷体_GB2312"/>
                <w:kern w:val="0"/>
                <w:szCs w:val="21"/>
              </w:rPr>
            </w:pPr>
            <w:r>
              <w:rPr>
                <w:rFonts w:eastAsia="楷体_GB2312"/>
                <w:kern w:val="0"/>
                <w:szCs w:val="21"/>
              </w:rPr>
              <w:t>1.09</w:t>
            </w:r>
          </w:p>
        </w:tc>
        <w:tc>
          <w:tcPr>
            <w:tcW w:w="2975" w:type="dxa"/>
            <w:tcBorders>
              <w:top w:val="nil"/>
              <w:left w:val="nil"/>
              <w:bottom w:val="single" w:color="auto" w:sz="8" w:space="0"/>
              <w:right w:val="single" w:color="auto" w:sz="8" w:space="0"/>
            </w:tcBorders>
            <w:noWrap w:val="0"/>
            <w:vAlign w:val="center"/>
          </w:tcPr>
          <w:p w14:paraId="0D9EFC3F">
            <w:pPr>
              <w:jc w:val="center"/>
              <w:rPr>
                <w:rFonts w:eastAsia="楷体_GB2312"/>
                <w:kern w:val="0"/>
                <w:szCs w:val="21"/>
              </w:rPr>
            </w:pPr>
            <w:r>
              <w:rPr>
                <w:rFonts w:eastAsia="楷体_GB2312"/>
                <w:kern w:val="0"/>
                <w:szCs w:val="21"/>
              </w:rPr>
              <w:t>1.12</w:t>
            </w:r>
          </w:p>
        </w:tc>
      </w:tr>
      <w:tr w14:paraId="050B1013">
        <w:tblPrEx>
          <w:tblCellMar>
            <w:top w:w="0" w:type="dxa"/>
            <w:left w:w="108" w:type="dxa"/>
            <w:bottom w:w="0" w:type="dxa"/>
            <w:right w:w="108" w:type="dxa"/>
          </w:tblCellMar>
        </w:tblPrEx>
        <w:trPr>
          <w:trHeight w:val="285" w:hRule="atLeast"/>
          <w:jc w:val="center"/>
        </w:trPr>
        <w:tc>
          <w:tcPr>
            <w:tcW w:w="2695" w:type="dxa"/>
            <w:tcBorders>
              <w:top w:val="nil"/>
              <w:left w:val="single" w:color="auto" w:sz="4" w:space="0"/>
              <w:bottom w:val="single" w:color="auto" w:sz="4" w:space="0"/>
              <w:right w:val="single" w:color="auto" w:sz="4" w:space="0"/>
            </w:tcBorders>
            <w:noWrap/>
            <w:vAlign w:val="center"/>
          </w:tcPr>
          <w:p w14:paraId="7021569D">
            <w:pPr>
              <w:jc w:val="center"/>
              <w:rPr>
                <w:rFonts w:eastAsia="楷体_GB2312"/>
                <w:kern w:val="0"/>
                <w:szCs w:val="21"/>
              </w:rPr>
            </w:pPr>
            <w:r>
              <w:rPr>
                <w:rFonts w:eastAsia="楷体_GB2312"/>
                <w:kern w:val="0"/>
                <w:szCs w:val="21"/>
              </w:rPr>
              <w:t>1.6</w:t>
            </w:r>
          </w:p>
        </w:tc>
        <w:tc>
          <w:tcPr>
            <w:tcW w:w="3402" w:type="dxa"/>
            <w:tcBorders>
              <w:top w:val="nil"/>
              <w:left w:val="single" w:color="auto" w:sz="8" w:space="0"/>
              <w:bottom w:val="single" w:color="auto" w:sz="8" w:space="0"/>
              <w:right w:val="single" w:color="auto" w:sz="8" w:space="0"/>
            </w:tcBorders>
            <w:noWrap w:val="0"/>
            <w:vAlign w:val="center"/>
          </w:tcPr>
          <w:p w14:paraId="71B1B3EA">
            <w:pPr>
              <w:jc w:val="center"/>
              <w:rPr>
                <w:rFonts w:eastAsia="楷体_GB2312"/>
                <w:kern w:val="0"/>
                <w:szCs w:val="21"/>
              </w:rPr>
            </w:pPr>
            <w:r>
              <w:rPr>
                <w:rFonts w:eastAsia="楷体_GB2312"/>
                <w:kern w:val="0"/>
                <w:szCs w:val="21"/>
              </w:rPr>
              <w:t>1.12</w:t>
            </w:r>
          </w:p>
        </w:tc>
        <w:tc>
          <w:tcPr>
            <w:tcW w:w="2975" w:type="dxa"/>
            <w:tcBorders>
              <w:top w:val="nil"/>
              <w:left w:val="nil"/>
              <w:bottom w:val="single" w:color="auto" w:sz="8" w:space="0"/>
              <w:right w:val="single" w:color="auto" w:sz="8" w:space="0"/>
            </w:tcBorders>
            <w:noWrap w:val="0"/>
            <w:vAlign w:val="center"/>
          </w:tcPr>
          <w:p w14:paraId="06844487">
            <w:pPr>
              <w:jc w:val="center"/>
              <w:rPr>
                <w:rFonts w:eastAsia="楷体_GB2312"/>
                <w:kern w:val="0"/>
                <w:szCs w:val="21"/>
              </w:rPr>
            </w:pPr>
            <w:r>
              <w:rPr>
                <w:rFonts w:eastAsia="楷体_GB2312"/>
                <w:kern w:val="0"/>
                <w:szCs w:val="21"/>
              </w:rPr>
              <w:t>1.15</w:t>
            </w:r>
          </w:p>
        </w:tc>
      </w:tr>
      <w:tr w14:paraId="53FBAB6A">
        <w:tblPrEx>
          <w:tblCellMar>
            <w:top w:w="0" w:type="dxa"/>
            <w:left w:w="108" w:type="dxa"/>
            <w:bottom w:w="0" w:type="dxa"/>
            <w:right w:w="108" w:type="dxa"/>
          </w:tblCellMar>
        </w:tblPrEx>
        <w:trPr>
          <w:trHeight w:val="285" w:hRule="atLeast"/>
          <w:jc w:val="center"/>
        </w:trPr>
        <w:tc>
          <w:tcPr>
            <w:tcW w:w="2695" w:type="dxa"/>
            <w:tcBorders>
              <w:top w:val="nil"/>
              <w:left w:val="single" w:color="auto" w:sz="4" w:space="0"/>
              <w:bottom w:val="single" w:color="auto" w:sz="4" w:space="0"/>
              <w:right w:val="single" w:color="auto" w:sz="4" w:space="0"/>
            </w:tcBorders>
            <w:noWrap/>
            <w:vAlign w:val="center"/>
          </w:tcPr>
          <w:p w14:paraId="41F741FE">
            <w:pPr>
              <w:jc w:val="center"/>
              <w:rPr>
                <w:rFonts w:eastAsia="楷体_GB2312"/>
                <w:kern w:val="0"/>
                <w:szCs w:val="21"/>
              </w:rPr>
            </w:pPr>
            <w:r>
              <w:rPr>
                <w:rFonts w:eastAsia="楷体_GB2312"/>
                <w:kern w:val="0"/>
                <w:szCs w:val="21"/>
              </w:rPr>
              <w:t>1.7</w:t>
            </w:r>
          </w:p>
        </w:tc>
        <w:tc>
          <w:tcPr>
            <w:tcW w:w="3402" w:type="dxa"/>
            <w:tcBorders>
              <w:top w:val="nil"/>
              <w:left w:val="single" w:color="auto" w:sz="8" w:space="0"/>
              <w:bottom w:val="single" w:color="auto" w:sz="8" w:space="0"/>
              <w:right w:val="single" w:color="auto" w:sz="8" w:space="0"/>
            </w:tcBorders>
            <w:noWrap w:val="0"/>
            <w:vAlign w:val="center"/>
          </w:tcPr>
          <w:p w14:paraId="46C86DF8">
            <w:pPr>
              <w:jc w:val="center"/>
              <w:rPr>
                <w:rFonts w:eastAsia="楷体_GB2312"/>
                <w:kern w:val="0"/>
                <w:szCs w:val="21"/>
              </w:rPr>
            </w:pPr>
            <w:r>
              <w:rPr>
                <w:rFonts w:eastAsia="楷体_GB2312"/>
                <w:kern w:val="0"/>
                <w:szCs w:val="21"/>
              </w:rPr>
              <w:t>1.15</w:t>
            </w:r>
          </w:p>
        </w:tc>
        <w:tc>
          <w:tcPr>
            <w:tcW w:w="2975" w:type="dxa"/>
            <w:tcBorders>
              <w:top w:val="nil"/>
              <w:left w:val="nil"/>
              <w:bottom w:val="single" w:color="auto" w:sz="8" w:space="0"/>
              <w:right w:val="single" w:color="auto" w:sz="8" w:space="0"/>
            </w:tcBorders>
            <w:noWrap w:val="0"/>
            <w:vAlign w:val="center"/>
          </w:tcPr>
          <w:p w14:paraId="08FFE7F0">
            <w:pPr>
              <w:jc w:val="center"/>
              <w:rPr>
                <w:rFonts w:eastAsia="楷体_GB2312"/>
                <w:kern w:val="0"/>
                <w:szCs w:val="21"/>
              </w:rPr>
            </w:pPr>
            <w:r>
              <w:rPr>
                <w:rFonts w:eastAsia="楷体_GB2312"/>
                <w:kern w:val="0"/>
                <w:szCs w:val="21"/>
              </w:rPr>
              <w:t>1.18</w:t>
            </w:r>
          </w:p>
        </w:tc>
      </w:tr>
      <w:tr w14:paraId="1F02BB4A">
        <w:tblPrEx>
          <w:tblCellMar>
            <w:top w:w="0" w:type="dxa"/>
            <w:left w:w="108" w:type="dxa"/>
            <w:bottom w:w="0" w:type="dxa"/>
            <w:right w:w="108" w:type="dxa"/>
          </w:tblCellMar>
        </w:tblPrEx>
        <w:trPr>
          <w:trHeight w:val="285" w:hRule="atLeast"/>
          <w:jc w:val="center"/>
        </w:trPr>
        <w:tc>
          <w:tcPr>
            <w:tcW w:w="2695" w:type="dxa"/>
            <w:tcBorders>
              <w:top w:val="nil"/>
              <w:left w:val="single" w:color="auto" w:sz="4" w:space="0"/>
              <w:bottom w:val="single" w:color="auto" w:sz="4" w:space="0"/>
              <w:right w:val="single" w:color="auto" w:sz="4" w:space="0"/>
            </w:tcBorders>
            <w:noWrap/>
            <w:vAlign w:val="center"/>
          </w:tcPr>
          <w:p w14:paraId="4061A9E6">
            <w:pPr>
              <w:jc w:val="center"/>
              <w:rPr>
                <w:rFonts w:eastAsia="楷体_GB2312"/>
                <w:kern w:val="0"/>
                <w:szCs w:val="21"/>
              </w:rPr>
            </w:pPr>
            <w:r>
              <w:rPr>
                <w:rFonts w:eastAsia="楷体_GB2312"/>
                <w:kern w:val="0"/>
                <w:szCs w:val="21"/>
              </w:rPr>
              <w:t>1.8</w:t>
            </w:r>
          </w:p>
        </w:tc>
        <w:tc>
          <w:tcPr>
            <w:tcW w:w="3402" w:type="dxa"/>
            <w:tcBorders>
              <w:top w:val="nil"/>
              <w:left w:val="single" w:color="auto" w:sz="8" w:space="0"/>
              <w:bottom w:val="single" w:color="auto" w:sz="8" w:space="0"/>
              <w:right w:val="single" w:color="auto" w:sz="8" w:space="0"/>
            </w:tcBorders>
            <w:noWrap w:val="0"/>
            <w:vAlign w:val="center"/>
          </w:tcPr>
          <w:p w14:paraId="140ADA2D">
            <w:pPr>
              <w:jc w:val="center"/>
              <w:rPr>
                <w:rFonts w:eastAsia="楷体_GB2312"/>
                <w:kern w:val="0"/>
                <w:szCs w:val="21"/>
              </w:rPr>
            </w:pPr>
            <w:r>
              <w:rPr>
                <w:rFonts w:eastAsia="楷体_GB2312"/>
                <w:kern w:val="0"/>
                <w:szCs w:val="21"/>
              </w:rPr>
              <w:t>1.18</w:t>
            </w:r>
          </w:p>
        </w:tc>
        <w:tc>
          <w:tcPr>
            <w:tcW w:w="2975" w:type="dxa"/>
            <w:tcBorders>
              <w:top w:val="nil"/>
              <w:left w:val="nil"/>
              <w:bottom w:val="single" w:color="auto" w:sz="8" w:space="0"/>
              <w:right w:val="single" w:color="auto" w:sz="8" w:space="0"/>
            </w:tcBorders>
            <w:noWrap w:val="0"/>
            <w:vAlign w:val="center"/>
          </w:tcPr>
          <w:p w14:paraId="67B32D45">
            <w:pPr>
              <w:jc w:val="center"/>
              <w:rPr>
                <w:rFonts w:eastAsia="楷体_GB2312"/>
                <w:kern w:val="0"/>
                <w:szCs w:val="21"/>
              </w:rPr>
            </w:pPr>
            <w:r>
              <w:rPr>
                <w:rFonts w:eastAsia="楷体_GB2312"/>
                <w:kern w:val="0"/>
                <w:szCs w:val="21"/>
              </w:rPr>
              <w:t>1.21</w:t>
            </w:r>
          </w:p>
        </w:tc>
      </w:tr>
      <w:tr w14:paraId="67C6F6B9">
        <w:tblPrEx>
          <w:tblCellMar>
            <w:top w:w="0" w:type="dxa"/>
            <w:left w:w="108" w:type="dxa"/>
            <w:bottom w:w="0" w:type="dxa"/>
            <w:right w:w="108" w:type="dxa"/>
          </w:tblCellMar>
        </w:tblPrEx>
        <w:trPr>
          <w:trHeight w:val="285" w:hRule="atLeast"/>
          <w:jc w:val="center"/>
        </w:trPr>
        <w:tc>
          <w:tcPr>
            <w:tcW w:w="2695" w:type="dxa"/>
            <w:tcBorders>
              <w:top w:val="nil"/>
              <w:left w:val="single" w:color="auto" w:sz="4" w:space="0"/>
              <w:bottom w:val="single" w:color="auto" w:sz="4" w:space="0"/>
              <w:right w:val="single" w:color="auto" w:sz="4" w:space="0"/>
            </w:tcBorders>
            <w:noWrap/>
            <w:vAlign w:val="center"/>
          </w:tcPr>
          <w:p w14:paraId="73FA4A8A">
            <w:pPr>
              <w:jc w:val="center"/>
              <w:rPr>
                <w:rFonts w:eastAsia="楷体_GB2312"/>
                <w:kern w:val="0"/>
                <w:szCs w:val="21"/>
              </w:rPr>
            </w:pPr>
            <w:r>
              <w:rPr>
                <w:rFonts w:eastAsia="楷体_GB2312"/>
                <w:kern w:val="0"/>
                <w:szCs w:val="21"/>
              </w:rPr>
              <w:t>1.9</w:t>
            </w:r>
          </w:p>
        </w:tc>
        <w:tc>
          <w:tcPr>
            <w:tcW w:w="3402" w:type="dxa"/>
            <w:tcBorders>
              <w:top w:val="nil"/>
              <w:left w:val="single" w:color="auto" w:sz="8" w:space="0"/>
              <w:bottom w:val="single" w:color="auto" w:sz="8" w:space="0"/>
              <w:right w:val="single" w:color="auto" w:sz="8" w:space="0"/>
            </w:tcBorders>
            <w:noWrap w:val="0"/>
            <w:vAlign w:val="center"/>
          </w:tcPr>
          <w:p w14:paraId="1497C26C">
            <w:pPr>
              <w:jc w:val="center"/>
              <w:rPr>
                <w:rFonts w:eastAsia="楷体_GB2312"/>
                <w:kern w:val="0"/>
                <w:szCs w:val="21"/>
              </w:rPr>
            </w:pPr>
            <w:r>
              <w:rPr>
                <w:rFonts w:eastAsia="楷体_GB2312"/>
                <w:kern w:val="0"/>
                <w:szCs w:val="21"/>
              </w:rPr>
              <w:t>1.21</w:t>
            </w:r>
          </w:p>
        </w:tc>
        <w:tc>
          <w:tcPr>
            <w:tcW w:w="2975" w:type="dxa"/>
            <w:tcBorders>
              <w:top w:val="nil"/>
              <w:left w:val="nil"/>
              <w:bottom w:val="single" w:color="auto" w:sz="8" w:space="0"/>
              <w:right w:val="single" w:color="auto" w:sz="8" w:space="0"/>
            </w:tcBorders>
            <w:noWrap w:val="0"/>
            <w:vAlign w:val="center"/>
          </w:tcPr>
          <w:p w14:paraId="32AF15FE">
            <w:pPr>
              <w:jc w:val="center"/>
              <w:rPr>
                <w:rFonts w:eastAsia="楷体_GB2312"/>
                <w:kern w:val="0"/>
                <w:szCs w:val="21"/>
              </w:rPr>
            </w:pPr>
            <w:r>
              <w:rPr>
                <w:rFonts w:eastAsia="楷体_GB2312"/>
                <w:kern w:val="0"/>
                <w:szCs w:val="21"/>
              </w:rPr>
              <w:t>1.24</w:t>
            </w:r>
          </w:p>
        </w:tc>
      </w:tr>
      <w:tr w14:paraId="3C6617CC">
        <w:tblPrEx>
          <w:tblCellMar>
            <w:top w:w="0" w:type="dxa"/>
            <w:left w:w="108" w:type="dxa"/>
            <w:bottom w:w="0" w:type="dxa"/>
            <w:right w:w="108" w:type="dxa"/>
          </w:tblCellMar>
        </w:tblPrEx>
        <w:trPr>
          <w:trHeight w:val="285" w:hRule="atLeast"/>
          <w:jc w:val="center"/>
        </w:trPr>
        <w:tc>
          <w:tcPr>
            <w:tcW w:w="2695" w:type="dxa"/>
            <w:tcBorders>
              <w:top w:val="nil"/>
              <w:left w:val="single" w:color="auto" w:sz="4" w:space="0"/>
              <w:bottom w:val="single" w:color="auto" w:sz="4" w:space="0"/>
              <w:right w:val="single" w:color="auto" w:sz="4" w:space="0"/>
            </w:tcBorders>
            <w:noWrap/>
            <w:vAlign w:val="center"/>
          </w:tcPr>
          <w:p w14:paraId="5E852DA6">
            <w:pPr>
              <w:jc w:val="center"/>
              <w:rPr>
                <w:rFonts w:eastAsia="楷体_GB2312"/>
                <w:kern w:val="0"/>
                <w:szCs w:val="21"/>
              </w:rPr>
            </w:pPr>
            <w:r>
              <w:rPr>
                <w:rFonts w:eastAsia="楷体_GB2312"/>
                <w:kern w:val="0"/>
                <w:szCs w:val="21"/>
              </w:rPr>
              <w:t>2.0</w:t>
            </w:r>
          </w:p>
        </w:tc>
        <w:tc>
          <w:tcPr>
            <w:tcW w:w="3402" w:type="dxa"/>
            <w:tcBorders>
              <w:top w:val="nil"/>
              <w:left w:val="single" w:color="auto" w:sz="8" w:space="0"/>
              <w:bottom w:val="single" w:color="auto" w:sz="8" w:space="0"/>
              <w:right w:val="single" w:color="auto" w:sz="8" w:space="0"/>
            </w:tcBorders>
            <w:noWrap w:val="0"/>
            <w:vAlign w:val="center"/>
          </w:tcPr>
          <w:p w14:paraId="67C75EB6">
            <w:pPr>
              <w:jc w:val="center"/>
              <w:rPr>
                <w:rFonts w:eastAsia="楷体_GB2312"/>
                <w:kern w:val="0"/>
                <w:szCs w:val="21"/>
              </w:rPr>
            </w:pPr>
            <w:r>
              <w:rPr>
                <w:rFonts w:eastAsia="楷体_GB2312"/>
                <w:kern w:val="0"/>
                <w:szCs w:val="21"/>
              </w:rPr>
              <w:t>1.24</w:t>
            </w:r>
          </w:p>
        </w:tc>
        <w:tc>
          <w:tcPr>
            <w:tcW w:w="2975" w:type="dxa"/>
            <w:tcBorders>
              <w:top w:val="nil"/>
              <w:left w:val="nil"/>
              <w:bottom w:val="single" w:color="auto" w:sz="8" w:space="0"/>
              <w:right w:val="single" w:color="auto" w:sz="8" w:space="0"/>
            </w:tcBorders>
            <w:noWrap w:val="0"/>
            <w:vAlign w:val="center"/>
          </w:tcPr>
          <w:p w14:paraId="0267161D">
            <w:pPr>
              <w:jc w:val="center"/>
              <w:rPr>
                <w:rFonts w:eastAsia="楷体_GB2312"/>
                <w:kern w:val="0"/>
                <w:szCs w:val="21"/>
              </w:rPr>
            </w:pPr>
            <w:r>
              <w:rPr>
                <w:rFonts w:eastAsia="楷体_GB2312"/>
                <w:kern w:val="0"/>
                <w:szCs w:val="21"/>
              </w:rPr>
              <w:t>1.27</w:t>
            </w:r>
          </w:p>
        </w:tc>
      </w:tr>
      <w:tr w14:paraId="5BEE93D5">
        <w:tblPrEx>
          <w:tblCellMar>
            <w:top w:w="0" w:type="dxa"/>
            <w:left w:w="108" w:type="dxa"/>
            <w:bottom w:w="0" w:type="dxa"/>
            <w:right w:w="108" w:type="dxa"/>
          </w:tblCellMar>
        </w:tblPrEx>
        <w:trPr>
          <w:trHeight w:val="285" w:hRule="atLeast"/>
          <w:jc w:val="center"/>
        </w:trPr>
        <w:tc>
          <w:tcPr>
            <w:tcW w:w="2695" w:type="dxa"/>
            <w:tcBorders>
              <w:top w:val="nil"/>
              <w:left w:val="single" w:color="auto" w:sz="4" w:space="0"/>
              <w:bottom w:val="single" w:color="auto" w:sz="4" w:space="0"/>
              <w:right w:val="single" w:color="auto" w:sz="4" w:space="0"/>
            </w:tcBorders>
            <w:noWrap/>
            <w:vAlign w:val="center"/>
          </w:tcPr>
          <w:p w14:paraId="0CE390DA">
            <w:pPr>
              <w:jc w:val="center"/>
              <w:rPr>
                <w:rFonts w:eastAsia="楷体_GB2312"/>
                <w:kern w:val="0"/>
                <w:szCs w:val="21"/>
              </w:rPr>
            </w:pPr>
            <w:r>
              <w:rPr>
                <w:rFonts w:eastAsia="楷体_GB2312"/>
                <w:kern w:val="0"/>
                <w:szCs w:val="21"/>
              </w:rPr>
              <w:t>2.5</w:t>
            </w:r>
          </w:p>
        </w:tc>
        <w:tc>
          <w:tcPr>
            <w:tcW w:w="3402" w:type="dxa"/>
            <w:tcBorders>
              <w:top w:val="nil"/>
              <w:left w:val="single" w:color="auto" w:sz="8" w:space="0"/>
              <w:bottom w:val="single" w:color="auto" w:sz="8" w:space="0"/>
              <w:right w:val="single" w:color="auto" w:sz="8" w:space="0"/>
            </w:tcBorders>
            <w:noWrap w:val="0"/>
            <w:vAlign w:val="center"/>
          </w:tcPr>
          <w:p w14:paraId="33266B50">
            <w:pPr>
              <w:jc w:val="center"/>
              <w:rPr>
                <w:rFonts w:eastAsia="楷体_GB2312"/>
                <w:kern w:val="0"/>
                <w:szCs w:val="21"/>
              </w:rPr>
            </w:pPr>
            <w:r>
              <w:rPr>
                <w:rFonts w:eastAsia="楷体_GB2312"/>
                <w:kern w:val="0"/>
                <w:szCs w:val="21"/>
              </w:rPr>
              <w:t>1.31</w:t>
            </w:r>
          </w:p>
        </w:tc>
        <w:tc>
          <w:tcPr>
            <w:tcW w:w="2975" w:type="dxa"/>
            <w:tcBorders>
              <w:top w:val="nil"/>
              <w:left w:val="nil"/>
              <w:bottom w:val="single" w:color="auto" w:sz="8" w:space="0"/>
              <w:right w:val="single" w:color="auto" w:sz="8" w:space="0"/>
            </w:tcBorders>
            <w:noWrap w:val="0"/>
            <w:vAlign w:val="center"/>
          </w:tcPr>
          <w:p w14:paraId="3AD6D871">
            <w:pPr>
              <w:jc w:val="center"/>
              <w:rPr>
                <w:rFonts w:eastAsia="楷体_GB2312"/>
                <w:kern w:val="0"/>
                <w:szCs w:val="21"/>
              </w:rPr>
            </w:pPr>
            <w:r>
              <w:rPr>
                <w:rFonts w:eastAsia="楷体_GB2312"/>
                <w:kern w:val="0"/>
                <w:szCs w:val="21"/>
              </w:rPr>
              <w:t>1.35</w:t>
            </w:r>
          </w:p>
        </w:tc>
      </w:tr>
      <w:tr w14:paraId="47807776">
        <w:tblPrEx>
          <w:tblCellMar>
            <w:top w:w="0" w:type="dxa"/>
            <w:left w:w="108" w:type="dxa"/>
            <w:bottom w:w="0" w:type="dxa"/>
            <w:right w:w="108" w:type="dxa"/>
          </w:tblCellMar>
        </w:tblPrEx>
        <w:trPr>
          <w:trHeight w:val="285" w:hRule="atLeast"/>
          <w:jc w:val="center"/>
        </w:trPr>
        <w:tc>
          <w:tcPr>
            <w:tcW w:w="2695" w:type="dxa"/>
            <w:tcBorders>
              <w:top w:val="nil"/>
              <w:left w:val="single" w:color="auto" w:sz="4" w:space="0"/>
              <w:bottom w:val="single" w:color="auto" w:sz="4" w:space="0"/>
              <w:right w:val="single" w:color="auto" w:sz="4" w:space="0"/>
            </w:tcBorders>
            <w:noWrap/>
            <w:vAlign w:val="center"/>
          </w:tcPr>
          <w:p w14:paraId="14296E2F">
            <w:pPr>
              <w:jc w:val="center"/>
              <w:rPr>
                <w:rFonts w:eastAsia="楷体_GB2312"/>
                <w:kern w:val="0"/>
                <w:szCs w:val="21"/>
              </w:rPr>
            </w:pPr>
            <w:r>
              <w:rPr>
                <w:rFonts w:eastAsia="楷体_GB2312"/>
                <w:kern w:val="0"/>
                <w:szCs w:val="21"/>
              </w:rPr>
              <w:t>3.0</w:t>
            </w:r>
          </w:p>
        </w:tc>
        <w:tc>
          <w:tcPr>
            <w:tcW w:w="3402" w:type="dxa"/>
            <w:tcBorders>
              <w:top w:val="nil"/>
              <w:left w:val="single" w:color="auto" w:sz="8" w:space="0"/>
              <w:bottom w:val="single" w:color="auto" w:sz="8" w:space="0"/>
              <w:right w:val="single" w:color="auto" w:sz="8" w:space="0"/>
            </w:tcBorders>
            <w:noWrap w:val="0"/>
            <w:vAlign w:val="center"/>
          </w:tcPr>
          <w:p w14:paraId="6B8205E9">
            <w:pPr>
              <w:jc w:val="center"/>
              <w:rPr>
                <w:rFonts w:eastAsia="楷体_GB2312"/>
                <w:kern w:val="0"/>
                <w:szCs w:val="21"/>
              </w:rPr>
            </w:pPr>
            <w:r>
              <w:rPr>
                <w:rFonts w:eastAsia="楷体_GB2312"/>
                <w:kern w:val="0"/>
                <w:szCs w:val="21"/>
              </w:rPr>
              <w:t>1.37</w:t>
            </w:r>
          </w:p>
        </w:tc>
        <w:tc>
          <w:tcPr>
            <w:tcW w:w="2975" w:type="dxa"/>
            <w:tcBorders>
              <w:top w:val="nil"/>
              <w:left w:val="nil"/>
              <w:bottom w:val="single" w:color="auto" w:sz="8" w:space="0"/>
              <w:right w:val="single" w:color="auto" w:sz="8" w:space="0"/>
            </w:tcBorders>
            <w:noWrap w:val="0"/>
            <w:vAlign w:val="center"/>
          </w:tcPr>
          <w:p w14:paraId="016FAADB">
            <w:pPr>
              <w:jc w:val="center"/>
              <w:rPr>
                <w:rFonts w:eastAsia="楷体_GB2312"/>
                <w:kern w:val="0"/>
                <w:szCs w:val="21"/>
              </w:rPr>
            </w:pPr>
            <w:r>
              <w:rPr>
                <w:rFonts w:eastAsia="楷体_GB2312"/>
                <w:kern w:val="0"/>
                <w:szCs w:val="21"/>
              </w:rPr>
              <w:t>1.41</w:t>
            </w:r>
          </w:p>
        </w:tc>
      </w:tr>
      <w:tr w14:paraId="0D2C6882">
        <w:tblPrEx>
          <w:tblCellMar>
            <w:top w:w="0" w:type="dxa"/>
            <w:left w:w="108" w:type="dxa"/>
            <w:bottom w:w="0" w:type="dxa"/>
            <w:right w:w="108" w:type="dxa"/>
          </w:tblCellMar>
        </w:tblPrEx>
        <w:trPr>
          <w:trHeight w:val="285" w:hRule="atLeast"/>
          <w:jc w:val="center"/>
        </w:trPr>
        <w:tc>
          <w:tcPr>
            <w:tcW w:w="2695" w:type="dxa"/>
            <w:tcBorders>
              <w:top w:val="nil"/>
              <w:left w:val="single" w:color="auto" w:sz="4" w:space="0"/>
              <w:bottom w:val="single" w:color="auto" w:sz="4" w:space="0"/>
              <w:right w:val="single" w:color="auto" w:sz="4" w:space="0"/>
            </w:tcBorders>
            <w:noWrap/>
            <w:vAlign w:val="center"/>
          </w:tcPr>
          <w:p w14:paraId="603FCC75">
            <w:pPr>
              <w:jc w:val="center"/>
              <w:rPr>
                <w:rFonts w:eastAsia="楷体_GB2312"/>
                <w:kern w:val="0"/>
                <w:szCs w:val="21"/>
              </w:rPr>
            </w:pPr>
            <w:r>
              <w:rPr>
                <w:rFonts w:eastAsia="楷体_GB2312"/>
                <w:kern w:val="0"/>
                <w:szCs w:val="21"/>
              </w:rPr>
              <w:t>3.5</w:t>
            </w:r>
          </w:p>
        </w:tc>
        <w:tc>
          <w:tcPr>
            <w:tcW w:w="3402" w:type="dxa"/>
            <w:tcBorders>
              <w:top w:val="nil"/>
              <w:left w:val="single" w:color="auto" w:sz="8" w:space="0"/>
              <w:bottom w:val="single" w:color="auto" w:sz="8" w:space="0"/>
              <w:right w:val="single" w:color="auto" w:sz="8" w:space="0"/>
            </w:tcBorders>
            <w:noWrap w:val="0"/>
            <w:vAlign w:val="center"/>
          </w:tcPr>
          <w:p w14:paraId="505656E4">
            <w:pPr>
              <w:jc w:val="center"/>
              <w:rPr>
                <w:rFonts w:eastAsia="楷体_GB2312"/>
                <w:kern w:val="0"/>
                <w:szCs w:val="21"/>
              </w:rPr>
            </w:pPr>
            <w:r>
              <w:rPr>
                <w:rFonts w:eastAsia="楷体_GB2312"/>
                <w:kern w:val="0"/>
                <w:szCs w:val="21"/>
              </w:rPr>
              <w:t>1.42</w:t>
            </w:r>
          </w:p>
        </w:tc>
        <w:tc>
          <w:tcPr>
            <w:tcW w:w="2975" w:type="dxa"/>
            <w:tcBorders>
              <w:top w:val="nil"/>
              <w:left w:val="nil"/>
              <w:bottom w:val="single" w:color="auto" w:sz="8" w:space="0"/>
              <w:right w:val="single" w:color="auto" w:sz="8" w:space="0"/>
            </w:tcBorders>
            <w:noWrap w:val="0"/>
            <w:vAlign w:val="center"/>
          </w:tcPr>
          <w:p w14:paraId="3F44F3E3">
            <w:pPr>
              <w:jc w:val="center"/>
              <w:rPr>
                <w:rFonts w:eastAsia="楷体_GB2312"/>
                <w:kern w:val="0"/>
                <w:szCs w:val="21"/>
              </w:rPr>
            </w:pPr>
            <w:r>
              <w:rPr>
                <w:rFonts w:eastAsia="楷体_GB2312"/>
                <w:kern w:val="0"/>
                <w:szCs w:val="21"/>
              </w:rPr>
              <w:t>1.46</w:t>
            </w:r>
          </w:p>
        </w:tc>
      </w:tr>
      <w:tr w14:paraId="555ADD3E">
        <w:tblPrEx>
          <w:tblCellMar>
            <w:top w:w="0" w:type="dxa"/>
            <w:left w:w="108" w:type="dxa"/>
            <w:bottom w:w="0" w:type="dxa"/>
            <w:right w:w="108" w:type="dxa"/>
          </w:tblCellMar>
        </w:tblPrEx>
        <w:trPr>
          <w:trHeight w:val="285" w:hRule="atLeast"/>
          <w:jc w:val="center"/>
        </w:trPr>
        <w:tc>
          <w:tcPr>
            <w:tcW w:w="2695" w:type="dxa"/>
            <w:tcBorders>
              <w:top w:val="nil"/>
              <w:left w:val="single" w:color="auto" w:sz="4" w:space="0"/>
              <w:bottom w:val="single" w:color="auto" w:sz="4" w:space="0"/>
              <w:right w:val="single" w:color="auto" w:sz="4" w:space="0"/>
            </w:tcBorders>
            <w:noWrap/>
            <w:vAlign w:val="center"/>
          </w:tcPr>
          <w:p w14:paraId="6FA522C0">
            <w:pPr>
              <w:jc w:val="center"/>
              <w:rPr>
                <w:rFonts w:eastAsia="楷体_GB2312"/>
                <w:kern w:val="0"/>
                <w:szCs w:val="21"/>
              </w:rPr>
            </w:pPr>
            <w:r>
              <w:rPr>
                <w:rFonts w:eastAsia="楷体_GB2312"/>
                <w:kern w:val="0"/>
                <w:szCs w:val="21"/>
              </w:rPr>
              <w:t>4.0</w:t>
            </w:r>
          </w:p>
        </w:tc>
        <w:tc>
          <w:tcPr>
            <w:tcW w:w="3402" w:type="dxa"/>
            <w:tcBorders>
              <w:top w:val="nil"/>
              <w:left w:val="single" w:color="auto" w:sz="8" w:space="0"/>
              <w:bottom w:val="single" w:color="auto" w:sz="8" w:space="0"/>
              <w:right w:val="single" w:color="auto" w:sz="8" w:space="0"/>
            </w:tcBorders>
            <w:noWrap w:val="0"/>
            <w:vAlign w:val="center"/>
          </w:tcPr>
          <w:p w14:paraId="2AB3A4B6">
            <w:pPr>
              <w:jc w:val="center"/>
              <w:rPr>
                <w:rFonts w:eastAsia="楷体_GB2312"/>
                <w:kern w:val="0"/>
                <w:szCs w:val="21"/>
              </w:rPr>
            </w:pPr>
            <w:r>
              <w:rPr>
                <w:rFonts w:eastAsia="楷体_GB2312"/>
                <w:kern w:val="0"/>
                <w:szCs w:val="21"/>
              </w:rPr>
              <w:t>1.46</w:t>
            </w:r>
          </w:p>
        </w:tc>
        <w:tc>
          <w:tcPr>
            <w:tcW w:w="2975" w:type="dxa"/>
            <w:tcBorders>
              <w:top w:val="nil"/>
              <w:left w:val="nil"/>
              <w:bottom w:val="single" w:color="auto" w:sz="8" w:space="0"/>
              <w:right w:val="single" w:color="auto" w:sz="8" w:space="0"/>
            </w:tcBorders>
            <w:noWrap w:val="0"/>
            <w:vAlign w:val="center"/>
          </w:tcPr>
          <w:p w14:paraId="60F2277B">
            <w:pPr>
              <w:jc w:val="center"/>
              <w:rPr>
                <w:rFonts w:eastAsia="楷体_GB2312"/>
                <w:kern w:val="0"/>
                <w:szCs w:val="21"/>
              </w:rPr>
            </w:pPr>
            <w:r>
              <w:rPr>
                <w:rFonts w:eastAsia="楷体_GB2312"/>
                <w:kern w:val="0"/>
                <w:szCs w:val="21"/>
              </w:rPr>
              <w:t>1.50</w:t>
            </w:r>
          </w:p>
        </w:tc>
      </w:tr>
      <w:tr w14:paraId="5B008654">
        <w:tblPrEx>
          <w:tblCellMar>
            <w:top w:w="0" w:type="dxa"/>
            <w:left w:w="108" w:type="dxa"/>
            <w:bottom w:w="0" w:type="dxa"/>
            <w:right w:w="108" w:type="dxa"/>
          </w:tblCellMar>
        </w:tblPrEx>
        <w:trPr>
          <w:trHeight w:val="285" w:hRule="atLeast"/>
          <w:jc w:val="center"/>
        </w:trPr>
        <w:tc>
          <w:tcPr>
            <w:tcW w:w="2695" w:type="dxa"/>
            <w:tcBorders>
              <w:top w:val="nil"/>
              <w:left w:val="single" w:color="auto" w:sz="4" w:space="0"/>
              <w:bottom w:val="single" w:color="auto" w:sz="4" w:space="0"/>
              <w:right w:val="single" w:color="auto" w:sz="4" w:space="0"/>
            </w:tcBorders>
            <w:noWrap/>
            <w:vAlign w:val="center"/>
          </w:tcPr>
          <w:p w14:paraId="07DEE628">
            <w:pPr>
              <w:jc w:val="center"/>
              <w:rPr>
                <w:rFonts w:eastAsia="楷体_GB2312"/>
                <w:kern w:val="0"/>
                <w:szCs w:val="21"/>
              </w:rPr>
            </w:pPr>
            <w:r>
              <w:rPr>
                <w:rFonts w:eastAsia="楷体_GB2312"/>
                <w:kern w:val="0"/>
                <w:szCs w:val="21"/>
              </w:rPr>
              <w:t>≥5</w:t>
            </w:r>
          </w:p>
        </w:tc>
        <w:tc>
          <w:tcPr>
            <w:tcW w:w="3402" w:type="dxa"/>
            <w:tcBorders>
              <w:top w:val="nil"/>
              <w:left w:val="single" w:color="auto" w:sz="8" w:space="0"/>
              <w:bottom w:val="single" w:color="auto" w:sz="8" w:space="0"/>
              <w:right w:val="single" w:color="auto" w:sz="8" w:space="0"/>
            </w:tcBorders>
            <w:noWrap w:val="0"/>
            <w:vAlign w:val="center"/>
          </w:tcPr>
          <w:p w14:paraId="7972D818">
            <w:pPr>
              <w:jc w:val="center"/>
              <w:rPr>
                <w:rFonts w:eastAsia="楷体_GB2312"/>
                <w:kern w:val="0"/>
                <w:szCs w:val="21"/>
              </w:rPr>
            </w:pPr>
            <w:r>
              <w:rPr>
                <w:rFonts w:eastAsia="楷体_GB2312"/>
                <w:kern w:val="0"/>
                <w:szCs w:val="21"/>
              </w:rPr>
              <w:t>1.49</w:t>
            </w:r>
          </w:p>
        </w:tc>
        <w:tc>
          <w:tcPr>
            <w:tcW w:w="2975" w:type="dxa"/>
            <w:tcBorders>
              <w:top w:val="nil"/>
              <w:left w:val="nil"/>
              <w:bottom w:val="single" w:color="auto" w:sz="8" w:space="0"/>
              <w:right w:val="single" w:color="auto" w:sz="8" w:space="0"/>
            </w:tcBorders>
            <w:noWrap w:val="0"/>
            <w:vAlign w:val="center"/>
          </w:tcPr>
          <w:p w14:paraId="4D06722B">
            <w:pPr>
              <w:jc w:val="center"/>
              <w:rPr>
                <w:rFonts w:eastAsia="楷体_GB2312"/>
                <w:kern w:val="0"/>
                <w:szCs w:val="21"/>
              </w:rPr>
            </w:pPr>
            <w:r>
              <w:rPr>
                <w:rFonts w:eastAsia="楷体_GB2312"/>
                <w:kern w:val="0"/>
                <w:szCs w:val="21"/>
              </w:rPr>
              <w:t>1.53</w:t>
            </w:r>
          </w:p>
        </w:tc>
      </w:tr>
    </w:tbl>
    <w:p w14:paraId="15FEC104">
      <w:pPr>
        <w:pStyle w:val="20"/>
        <w:spacing w:line="480" w:lineRule="exact"/>
        <w:ind w:left="-141" w:leftChars="-67" w:right="-113" w:rightChars="-54" w:firstLine="560" w:firstLineChars="200"/>
        <w:rPr>
          <w:rFonts w:ascii="Times New Roman" w:hAnsi="Times New Roman" w:eastAsia="楷体_GB2312" w:cs="Times New Roman"/>
          <w:sz w:val="28"/>
        </w:rPr>
      </w:pPr>
      <w:r>
        <w:rPr>
          <w:rFonts w:ascii="Times New Roman" w:hAnsi="Times New Roman" w:eastAsia="楷体_GB2312" w:cs="Times New Roman"/>
          <w:sz w:val="28"/>
        </w:rPr>
        <w:t>在容积率修正系数测算的基础上，对某些容积率区段无实例修正系数的采用内差法确定，公式如下：</w:t>
      </w:r>
    </w:p>
    <w:p w14:paraId="0009F0BE">
      <w:pPr>
        <w:pStyle w:val="20"/>
        <w:jc w:val="center"/>
        <w:rPr>
          <w:rFonts w:ascii="Times New Roman" w:hAnsi="Times New Roman" w:eastAsia="楷体_GB2312" w:cs="Times New Roman"/>
        </w:rPr>
      </w:pPr>
      <w:r>
        <w:rPr>
          <w:rFonts w:ascii="Times New Roman" w:hAnsi="Times New Roman" w:eastAsia="楷体_GB2312" w:cs="Times New Roman"/>
          <w:position w:val="-4"/>
        </w:rPr>
        <w:object>
          <v:shape id="_x0000_i1120" o:spt="75" type="#_x0000_t75" style="height:13pt;width:13pt;" o:ole="t" filled="f" stroked="f" coordsize="21600,21600">
            <v:path/>
            <v:fill on="f" focussize="0,0"/>
            <v:stroke on="f"/>
            <v:imagedata r:id="rId237" o:title=""/>
            <o:lock v:ext="edit" aspectratio="t"/>
            <w10:wrap type="none"/>
            <w10:anchorlock/>
          </v:shape>
          <o:OLEObject Type="Embed" ProgID="Equation.3" ShapeID="_x0000_i1120" DrawAspect="Content" ObjectID="_1468075820" r:id="rId236">
            <o:LockedField>false</o:LockedField>
          </o:OLEObject>
        </w:object>
      </w:r>
      <w:r>
        <w:rPr>
          <w:rFonts w:ascii="Times New Roman" w:hAnsi="Times New Roman" w:eastAsia="楷体_GB2312" w:cs="Times New Roman"/>
          <w:sz w:val="28"/>
        </w:rPr>
        <w:t>=</w:t>
      </w:r>
      <w:r>
        <w:rPr>
          <w:rFonts w:ascii="Times New Roman" w:hAnsi="Times New Roman" w:eastAsia="楷体_GB2312" w:cs="Times New Roman"/>
        </w:rPr>
        <w:t xml:space="preserve"> </w:t>
      </w:r>
      <w:r>
        <w:rPr>
          <w:rFonts w:ascii="Times New Roman" w:hAnsi="Times New Roman" w:eastAsia="楷体_GB2312" w:cs="Times New Roman"/>
          <w:position w:val="-30"/>
        </w:rPr>
        <w:object>
          <v:shape id="_x0000_i1121" o:spt="75" type="#_x0000_t75" style="height:35pt;width:118pt;" o:ole="t" filled="f" o:preferrelative="t" stroked="f" coordsize="21600,21600">
            <v:path/>
            <v:fill on="f" alignshape="1" focussize="0,0"/>
            <v:stroke on="f"/>
            <v:imagedata r:id="rId239" o:title=""/>
            <o:lock v:ext="edit" aspectratio="t"/>
            <w10:wrap type="none"/>
            <w10:anchorlock/>
          </v:shape>
          <o:OLEObject Type="Embed" ProgID="Equation.3" ShapeID="_x0000_i1121" DrawAspect="Content" ObjectID="_1468075821" r:id="rId238">
            <o:LockedField>false</o:LockedField>
          </o:OLEObject>
        </w:object>
      </w:r>
    </w:p>
    <w:p w14:paraId="62F52DC1">
      <w:pPr>
        <w:spacing w:line="480" w:lineRule="exact"/>
        <w:ind w:firstLine="480"/>
        <w:rPr>
          <w:rFonts w:eastAsia="楷体_GB2312"/>
          <w:sz w:val="28"/>
        </w:rPr>
      </w:pPr>
      <w:r>
        <w:rPr>
          <w:rFonts w:eastAsia="楷体_GB2312"/>
          <w:sz w:val="28"/>
        </w:rPr>
        <w:t>式中：</w:t>
      </w:r>
      <w:r>
        <w:rPr>
          <w:rFonts w:eastAsia="楷体_GB2312"/>
          <w:position w:val="-4"/>
        </w:rPr>
        <w:object>
          <v:shape id="_x0000_i1122" o:spt="75" type="#_x0000_t75" style="height:13pt;width:13pt;" o:ole="t" filled="f" stroked="f" coordsize="21600,21600">
            <v:path/>
            <v:fill on="f" focussize="0,0"/>
            <v:stroke on="f"/>
            <v:imagedata r:id="rId237" o:title=""/>
            <o:lock v:ext="edit" aspectratio="t"/>
            <w10:wrap type="none"/>
            <w10:anchorlock/>
          </v:shape>
          <o:OLEObject Type="Embed" ProgID="Equation.3" ShapeID="_x0000_i1122" DrawAspect="Content" ObjectID="_1468075822" r:id="rId240">
            <o:LockedField>false</o:LockedField>
          </o:OLEObject>
        </w:object>
      </w:r>
      <w:r>
        <w:rPr>
          <w:rFonts w:eastAsia="楷体_GB2312"/>
          <w:sz w:val="28"/>
        </w:rPr>
        <w:t>—某容积率下需测算的修正系数；</w:t>
      </w:r>
    </w:p>
    <w:p w14:paraId="779E7349">
      <w:pPr>
        <w:spacing w:line="480" w:lineRule="exact"/>
        <w:ind w:firstLine="1365" w:firstLineChars="650"/>
        <w:rPr>
          <w:rFonts w:eastAsia="楷体_GB2312"/>
        </w:rPr>
      </w:pPr>
      <w:r>
        <w:rPr>
          <w:rFonts w:eastAsia="楷体_GB2312"/>
          <w:position w:val="-4"/>
        </w:rPr>
        <w:object>
          <v:shape id="_x0000_i1123" o:spt="75" type="#_x0000_t75" style="height:10pt;width:9pt;" o:ole="t" filled="f" stroked="f" coordsize="21600,21600">
            <v:path/>
            <v:fill on="f" focussize="0,0"/>
            <v:stroke on="f"/>
            <v:imagedata r:id="rId242" o:title=""/>
            <o:lock v:ext="edit" aspectratio="t"/>
            <w10:wrap type="none"/>
            <w10:anchorlock/>
          </v:shape>
          <o:OLEObject Type="Embed" ProgID="Equation.3" ShapeID="_x0000_i1123" DrawAspect="Content" ObjectID="_1468075823" r:id="rId241">
            <o:LockedField>false</o:LockedField>
          </o:OLEObject>
        </w:object>
      </w:r>
      <w:r>
        <w:rPr>
          <w:rFonts w:eastAsia="楷体_GB2312"/>
          <w:sz w:val="28"/>
        </w:rPr>
        <w:t>—需测算修正系数的容积率；</w:t>
      </w:r>
    </w:p>
    <w:p w14:paraId="0EF7BD7A">
      <w:pPr>
        <w:spacing w:line="480" w:lineRule="exact"/>
        <w:ind w:firstLine="1260" w:firstLineChars="600"/>
        <w:rPr>
          <w:rFonts w:eastAsia="楷体_GB2312"/>
          <w:sz w:val="28"/>
        </w:rPr>
      </w:pPr>
      <w:r>
        <w:rPr>
          <w:rFonts w:eastAsia="楷体_GB2312"/>
          <w:position w:val="-10"/>
        </w:rPr>
        <w:object>
          <v:shape id="_x0000_i1124" o:spt="75" type="#_x0000_t75" style="height:17pt;width:15pt;" o:ole="t" filled="f" stroked="f" coordsize="21600,21600">
            <v:path/>
            <v:fill on="f" focussize="0,0"/>
            <v:stroke on="f"/>
            <v:imagedata r:id="rId244" o:title=""/>
            <o:lock v:ext="edit" aspectratio="t"/>
            <w10:wrap type="none"/>
            <w10:anchorlock/>
          </v:shape>
          <o:OLEObject Type="Embed" ProgID="Equation.3" ShapeID="_x0000_i1124" DrawAspect="Content" ObjectID="_1468075824" r:id="rId243">
            <o:LockedField>false</o:LockedField>
          </o:OLEObject>
        </w:object>
      </w:r>
      <w:r>
        <w:rPr>
          <w:rFonts w:eastAsia="楷体_GB2312"/>
          <w:sz w:val="28"/>
        </w:rPr>
        <w:t>—接近需测算修正系数上一个修正系数；</w:t>
      </w:r>
    </w:p>
    <w:p w14:paraId="25FA75D4">
      <w:pPr>
        <w:spacing w:line="480" w:lineRule="exact"/>
        <w:ind w:firstLine="1365" w:firstLineChars="650"/>
        <w:rPr>
          <w:rFonts w:eastAsia="楷体_GB2312"/>
          <w:sz w:val="28"/>
        </w:rPr>
      </w:pPr>
      <w:r>
        <w:rPr>
          <w:rFonts w:eastAsia="楷体_GB2312"/>
          <w:position w:val="-10"/>
        </w:rPr>
        <w:object>
          <v:shape id="_x0000_i1125" o:spt="75" type="#_x0000_t75" style="height:17pt;width:10pt;" o:ole="t" filled="f" stroked="f" coordsize="21600,21600">
            <v:path/>
            <v:fill on="f" focussize="0,0"/>
            <v:stroke on="f"/>
            <v:imagedata r:id="rId246" o:title=""/>
            <o:lock v:ext="edit" aspectratio="t"/>
            <w10:wrap type="none"/>
            <w10:anchorlock/>
          </v:shape>
          <o:OLEObject Type="Embed" ProgID="Equation.3" ShapeID="_x0000_i1125" DrawAspect="Content" ObjectID="_1468075825" r:id="rId245">
            <o:LockedField>false</o:LockedField>
          </o:OLEObject>
        </w:object>
      </w:r>
      <w:r>
        <w:rPr>
          <w:rFonts w:eastAsia="楷体_GB2312"/>
          <w:sz w:val="28"/>
        </w:rPr>
        <w:t>—接近需测算修正系数上一个修正系数对应的容积率；</w:t>
      </w:r>
    </w:p>
    <w:p w14:paraId="19322512">
      <w:pPr>
        <w:spacing w:line="480" w:lineRule="exact"/>
        <w:ind w:firstLine="1260" w:firstLineChars="600"/>
        <w:rPr>
          <w:rFonts w:eastAsia="楷体_GB2312"/>
          <w:sz w:val="28"/>
        </w:rPr>
      </w:pPr>
      <w:r>
        <w:rPr>
          <w:rFonts w:eastAsia="楷体_GB2312"/>
          <w:position w:val="-10"/>
        </w:rPr>
        <w:object>
          <v:shape id="_x0000_i1126" o:spt="75" type="#_x0000_t75" style="height:17pt;width:17pt;" o:ole="t" filled="f" stroked="f" coordsize="21600,21600">
            <v:path/>
            <v:fill on="f" focussize="0,0"/>
            <v:stroke on="f"/>
            <v:imagedata r:id="rId248" o:title=""/>
            <o:lock v:ext="edit" aspectratio="t"/>
            <w10:wrap type="none"/>
            <w10:anchorlock/>
          </v:shape>
          <o:OLEObject Type="Embed" ProgID="Equation.3" ShapeID="_x0000_i1126" DrawAspect="Content" ObjectID="_1468075826" r:id="rId247">
            <o:LockedField>false</o:LockedField>
          </o:OLEObject>
        </w:object>
      </w:r>
      <w:r>
        <w:rPr>
          <w:rFonts w:eastAsia="楷体_GB2312"/>
          <w:sz w:val="28"/>
        </w:rPr>
        <w:t>—接近需测算修正系数下一个修正系数；</w:t>
      </w:r>
    </w:p>
    <w:p w14:paraId="644B691B">
      <w:pPr>
        <w:pStyle w:val="20"/>
        <w:spacing w:line="480" w:lineRule="exact"/>
        <w:ind w:firstLine="1365" w:firstLineChars="650"/>
        <w:rPr>
          <w:rFonts w:ascii="Times New Roman" w:hAnsi="Times New Roman" w:eastAsia="仿宋_GB2312" w:cs="Times New Roman"/>
          <w:sz w:val="28"/>
        </w:rPr>
      </w:pPr>
      <w:r>
        <w:rPr>
          <w:rFonts w:ascii="Times New Roman" w:hAnsi="Times New Roman" w:eastAsia="楷体_GB2312" w:cs="Times New Roman"/>
          <w:position w:val="-10"/>
        </w:rPr>
        <w:object>
          <v:shape id="_x0000_i1127" o:spt="75" type="#_x0000_t75" style="height:17pt;width:11pt;" o:ole="t" filled="f" stroked="f" coordsize="21600,21600">
            <v:path/>
            <v:fill on="f" focussize="0,0"/>
            <v:stroke on="f"/>
            <v:imagedata r:id="rId250" o:title=""/>
            <o:lock v:ext="edit" aspectratio="t"/>
            <w10:wrap type="none"/>
            <w10:anchorlock/>
          </v:shape>
          <o:OLEObject Type="Embed" ProgID="Equation.3" ShapeID="_x0000_i1127" DrawAspect="Content" ObjectID="_1468075827" r:id="rId249">
            <o:LockedField>false</o:LockedField>
          </o:OLEObject>
        </w:object>
      </w:r>
      <w:r>
        <w:rPr>
          <w:rFonts w:ascii="Times New Roman" w:hAnsi="Times New Roman" w:eastAsia="楷体_GB2312" w:cs="Times New Roman"/>
          <w:sz w:val="28"/>
        </w:rPr>
        <w:t>—接近需测算修正系数下一个修正系数对应的容积率。</w:t>
      </w:r>
    </w:p>
    <w:p w14:paraId="579DE994">
      <w:pPr>
        <w:pStyle w:val="4"/>
        <w:numPr>
          <w:ilvl w:val="0"/>
          <w:numId w:val="0"/>
        </w:numPr>
        <w:spacing w:line="240" w:lineRule="auto"/>
        <w:jc w:val="center"/>
        <w:rPr>
          <w:rFonts w:eastAsia="仿宋_GB2312"/>
          <w:bCs w:val="0"/>
        </w:rPr>
      </w:pPr>
      <w:r>
        <w:rPr>
          <w:rFonts w:eastAsia="仿宋_GB2312"/>
          <w:bCs w:val="0"/>
        </w:rPr>
        <w:br w:type="page"/>
      </w:r>
      <w:bookmarkStart w:id="69" w:name="_Toc62563682"/>
      <w:r>
        <w:rPr>
          <w:rFonts w:eastAsia="仿宋_GB2312"/>
          <w:bCs w:val="0"/>
        </w:rPr>
        <w:t>第五节  土地开发水平修正值的确定</w:t>
      </w:r>
      <w:bookmarkEnd w:id="69"/>
    </w:p>
    <w:p w14:paraId="169B475D">
      <w:pPr>
        <w:pStyle w:val="20"/>
        <w:spacing w:before="120" w:beforeLines="50" w:line="480" w:lineRule="exact"/>
        <w:ind w:left="-141" w:leftChars="-67" w:right="-113" w:rightChars="-54" w:firstLine="555"/>
        <w:rPr>
          <w:rFonts w:ascii="Times New Roman" w:hAnsi="Times New Roman" w:eastAsia="楷体_GB2312" w:cs="Times New Roman"/>
          <w:sz w:val="28"/>
        </w:rPr>
      </w:pPr>
      <w:r>
        <w:rPr>
          <w:rFonts w:ascii="Times New Roman" w:hAnsi="Times New Roman" w:eastAsia="楷体_GB2312" w:cs="Times New Roman"/>
          <w:sz w:val="28"/>
        </w:rPr>
        <w:t>土地开发费用主要是指宗地红线内外通路、通电、供水、排水、通气、供热、通讯等方面的费用和场地平整费用。本次评估设定了</w:t>
      </w:r>
      <w:r>
        <w:rPr>
          <w:rFonts w:hint="eastAsia" w:ascii="Times New Roman" w:hAnsi="Times New Roman" w:eastAsia="楷体_GB2312" w:cs="Times New Roman"/>
          <w:sz w:val="28"/>
        </w:rPr>
        <w:t>各乡镇</w:t>
      </w:r>
      <w:r>
        <w:rPr>
          <w:rFonts w:ascii="Times New Roman" w:hAnsi="Times New Roman" w:eastAsia="楷体_GB2312" w:cs="Times New Roman"/>
          <w:sz w:val="28"/>
        </w:rPr>
        <w:t>一级地平均土地开发程度为“五通一平”，红线外“五通”指通上水、通下水、通电、通路、通讯；二级地、三级地平均土地开发程度为“四通一平”，红线外“四通”指通上水、通电、通路、通讯；</w:t>
      </w:r>
      <w:r>
        <w:rPr>
          <w:rFonts w:hint="eastAsia" w:ascii="Times New Roman" w:hAnsi="Times New Roman" w:eastAsia="楷体_GB2312" w:cs="Times New Roman"/>
          <w:sz w:val="28"/>
        </w:rPr>
        <w:t>三个园区指导价区域</w:t>
      </w:r>
      <w:r>
        <w:rPr>
          <w:rFonts w:ascii="Times New Roman" w:hAnsi="Times New Roman" w:eastAsia="楷体_GB2312" w:cs="Times New Roman"/>
          <w:sz w:val="28"/>
        </w:rPr>
        <w:t>平均土地开发程度为“五通一平”，红线外 “五通”指通上水、通下水、通电、通路、通讯。而各宗地的实际开发程度可能与平均开发程度一致，也可能与平均开发程度不一致，对于与平均开发程度不一致的宗地，必须将其实际开发程度修正到所在均质地域平均开发程度。据调查，各项费用的分摊见表2-2-</w:t>
      </w:r>
      <w:r>
        <w:rPr>
          <w:rFonts w:hint="eastAsia" w:ascii="Times New Roman" w:hAnsi="Times New Roman" w:eastAsia="楷体_GB2312" w:cs="Times New Roman"/>
          <w:sz w:val="28"/>
        </w:rPr>
        <w:t>10</w:t>
      </w:r>
      <w:r>
        <w:rPr>
          <w:rFonts w:ascii="Times New Roman" w:hAnsi="Times New Roman" w:eastAsia="楷体_GB2312" w:cs="Times New Roman"/>
          <w:sz w:val="28"/>
        </w:rPr>
        <w:t>。</w:t>
      </w:r>
    </w:p>
    <w:p w14:paraId="1AB6BB20">
      <w:pPr>
        <w:pStyle w:val="20"/>
        <w:spacing w:line="480" w:lineRule="exact"/>
        <w:jc w:val="center"/>
        <w:rPr>
          <w:rFonts w:ascii="Times New Roman" w:hAnsi="Times New Roman" w:eastAsia="黑体" w:cs="Times New Roman"/>
          <w:sz w:val="28"/>
        </w:rPr>
      </w:pPr>
      <w:r>
        <w:rPr>
          <w:rFonts w:ascii="Times New Roman" w:hAnsi="Times New Roman" w:eastAsia="黑体" w:cs="Times New Roman"/>
          <w:sz w:val="28"/>
        </w:rPr>
        <w:t>表2-2-</w:t>
      </w:r>
      <w:r>
        <w:rPr>
          <w:rFonts w:hint="eastAsia" w:ascii="Times New Roman" w:hAnsi="Times New Roman" w:eastAsia="黑体" w:cs="Times New Roman"/>
          <w:sz w:val="28"/>
        </w:rPr>
        <w:t>10</w:t>
      </w:r>
      <w:r>
        <w:rPr>
          <w:rFonts w:ascii="Times New Roman" w:hAnsi="Times New Roman" w:eastAsia="黑体" w:cs="Times New Roman"/>
          <w:sz w:val="28"/>
        </w:rPr>
        <w:t xml:space="preserve">  土地开发费用分项一览表</w:t>
      </w:r>
    </w:p>
    <w:p w14:paraId="261FAA7C">
      <w:pPr>
        <w:pStyle w:val="20"/>
        <w:spacing w:line="300" w:lineRule="exact"/>
        <w:jc w:val="right"/>
        <w:rPr>
          <w:rFonts w:ascii="Times New Roman" w:hAnsi="Times New Roman" w:eastAsia="黑体" w:cs="Times New Roman"/>
          <w:sz w:val="28"/>
        </w:rPr>
      </w:pPr>
      <w:r>
        <w:rPr>
          <w:rFonts w:ascii="Times New Roman" w:hAnsi="Times New Roman" w:eastAsia="仿宋_GB2312" w:cs="Times New Roman"/>
        </w:rPr>
        <w:t>单位：元/m</w:t>
      </w:r>
      <w:r>
        <w:rPr>
          <w:rFonts w:ascii="Times New Roman" w:hAnsi="Times New Roman" w:eastAsia="仿宋_GB2312" w:cs="Times New Roman"/>
          <w:vertAlign w:val="superscript"/>
        </w:rPr>
        <w:t>2</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1134"/>
        <w:gridCol w:w="1136"/>
        <w:gridCol w:w="1136"/>
        <w:gridCol w:w="1136"/>
        <w:gridCol w:w="1136"/>
        <w:gridCol w:w="1136"/>
        <w:gridCol w:w="1126"/>
      </w:tblGrid>
      <w:tr w14:paraId="3FD01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9" w:hRule="atLeast"/>
          <w:jc w:val="center"/>
        </w:trPr>
        <w:tc>
          <w:tcPr>
            <w:tcW w:w="624" w:type="pct"/>
            <w:noWrap w:val="0"/>
            <w:vAlign w:val="center"/>
          </w:tcPr>
          <w:p w14:paraId="34F24CDF">
            <w:pPr>
              <w:widowControl w:val="0"/>
              <w:spacing w:line="300" w:lineRule="exact"/>
              <w:jc w:val="center"/>
              <w:rPr>
                <w:rFonts w:eastAsia="楷体_GB2312"/>
                <w:szCs w:val="21"/>
              </w:rPr>
            </w:pPr>
            <w:r>
              <w:rPr>
                <w:rFonts w:eastAsia="楷体_GB2312"/>
                <w:szCs w:val="21"/>
              </w:rPr>
              <w:t>土地开</w:t>
            </w:r>
          </w:p>
          <w:p w14:paraId="6E4D5C44">
            <w:pPr>
              <w:widowControl w:val="0"/>
              <w:spacing w:line="300" w:lineRule="exact"/>
              <w:jc w:val="center"/>
              <w:rPr>
                <w:rFonts w:eastAsia="楷体_GB2312"/>
                <w:szCs w:val="21"/>
              </w:rPr>
            </w:pPr>
            <w:r>
              <w:rPr>
                <w:rFonts w:eastAsia="楷体_GB2312"/>
                <w:szCs w:val="21"/>
              </w:rPr>
              <w:t>发项目</w:t>
            </w:r>
          </w:p>
        </w:tc>
        <w:tc>
          <w:tcPr>
            <w:tcW w:w="625" w:type="pct"/>
            <w:noWrap w:val="0"/>
            <w:vAlign w:val="center"/>
          </w:tcPr>
          <w:p w14:paraId="66C7575F">
            <w:pPr>
              <w:widowControl w:val="0"/>
              <w:spacing w:line="300" w:lineRule="exact"/>
              <w:jc w:val="center"/>
              <w:rPr>
                <w:rFonts w:eastAsia="楷体_GB2312"/>
                <w:szCs w:val="21"/>
              </w:rPr>
            </w:pPr>
            <w:r>
              <w:rPr>
                <w:rFonts w:eastAsia="楷体_GB2312"/>
                <w:szCs w:val="21"/>
              </w:rPr>
              <w:t>通路</w:t>
            </w:r>
          </w:p>
        </w:tc>
        <w:tc>
          <w:tcPr>
            <w:tcW w:w="626" w:type="pct"/>
            <w:noWrap w:val="0"/>
            <w:vAlign w:val="center"/>
          </w:tcPr>
          <w:p w14:paraId="6A5C024B">
            <w:pPr>
              <w:widowControl w:val="0"/>
              <w:spacing w:line="300" w:lineRule="exact"/>
              <w:jc w:val="center"/>
              <w:rPr>
                <w:rFonts w:eastAsia="楷体_GB2312"/>
                <w:szCs w:val="21"/>
              </w:rPr>
            </w:pPr>
            <w:r>
              <w:rPr>
                <w:rFonts w:eastAsia="楷体_GB2312"/>
                <w:szCs w:val="21"/>
              </w:rPr>
              <w:t>通电</w:t>
            </w:r>
          </w:p>
        </w:tc>
        <w:tc>
          <w:tcPr>
            <w:tcW w:w="626" w:type="pct"/>
            <w:noWrap w:val="0"/>
            <w:vAlign w:val="center"/>
          </w:tcPr>
          <w:p w14:paraId="6316071C">
            <w:pPr>
              <w:widowControl w:val="0"/>
              <w:spacing w:line="300" w:lineRule="exact"/>
              <w:jc w:val="center"/>
              <w:rPr>
                <w:rFonts w:eastAsia="楷体_GB2312"/>
                <w:szCs w:val="21"/>
              </w:rPr>
            </w:pPr>
            <w:r>
              <w:rPr>
                <w:rFonts w:eastAsia="楷体_GB2312"/>
                <w:szCs w:val="21"/>
              </w:rPr>
              <w:t>供水</w:t>
            </w:r>
          </w:p>
        </w:tc>
        <w:tc>
          <w:tcPr>
            <w:tcW w:w="626" w:type="pct"/>
            <w:noWrap w:val="0"/>
            <w:vAlign w:val="center"/>
          </w:tcPr>
          <w:p w14:paraId="50A5A4DE">
            <w:pPr>
              <w:widowControl w:val="0"/>
              <w:spacing w:line="300" w:lineRule="exact"/>
              <w:jc w:val="center"/>
              <w:rPr>
                <w:rFonts w:eastAsia="楷体_GB2312"/>
                <w:szCs w:val="21"/>
              </w:rPr>
            </w:pPr>
            <w:r>
              <w:rPr>
                <w:rFonts w:eastAsia="楷体_GB2312"/>
                <w:szCs w:val="21"/>
              </w:rPr>
              <w:t>排水</w:t>
            </w:r>
          </w:p>
        </w:tc>
        <w:tc>
          <w:tcPr>
            <w:tcW w:w="626" w:type="pct"/>
            <w:noWrap w:val="0"/>
            <w:vAlign w:val="center"/>
          </w:tcPr>
          <w:p w14:paraId="37B11B04">
            <w:pPr>
              <w:widowControl w:val="0"/>
              <w:spacing w:line="300" w:lineRule="exact"/>
              <w:jc w:val="center"/>
              <w:rPr>
                <w:rFonts w:eastAsia="楷体_GB2312"/>
                <w:szCs w:val="21"/>
              </w:rPr>
            </w:pPr>
            <w:r>
              <w:rPr>
                <w:rFonts w:eastAsia="楷体_GB2312"/>
                <w:szCs w:val="21"/>
              </w:rPr>
              <w:t>通讯</w:t>
            </w:r>
          </w:p>
        </w:tc>
        <w:tc>
          <w:tcPr>
            <w:tcW w:w="626" w:type="pct"/>
            <w:noWrap w:val="0"/>
            <w:vAlign w:val="center"/>
          </w:tcPr>
          <w:p w14:paraId="11F5D6AA">
            <w:pPr>
              <w:widowControl w:val="0"/>
              <w:spacing w:line="300" w:lineRule="exact"/>
              <w:jc w:val="center"/>
              <w:rPr>
                <w:rFonts w:eastAsia="楷体_GB2312"/>
                <w:szCs w:val="21"/>
              </w:rPr>
            </w:pPr>
            <w:r>
              <w:rPr>
                <w:rFonts w:eastAsia="楷体_GB2312"/>
                <w:szCs w:val="21"/>
              </w:rPr>
              <w:t>场地平整</w:t>
            </w:r>
          </w:p>
        </w:tc>
        <w:tc>
          <w:tcPr>
            <w:tcW w:w="620" w:type="pct"/>
            <w:noWrap w:val="0"/>
            <w:vAlign w:val="center"/>
          </w:tcPr>
          <w:p w14:paraId="7764365D">
            <w:pPr>
              <w:widowControl w:val="0"/>
              <w:spacing w:line="300" w:lineRule="exact"/>
              <w:jc w:val="center"/>
              <w:rPr>
                <w:rFonts w:eastAsia="楷体_GB2312"/>
                <w:szCs w:val="21"/>
              </w:rPr>
            </w:pPr>
            <w:r>
              <w:rPr>
                <w:rFonts w:eastAsia="楷体_GB2312"/>
                <w:szCs w:val="21"/>
              </w:rPr>
              <w:t>合计</w:t>
            </w:r>
          </w:p>
        </w:tc>
      </w:tr>
      <w:tr w14:paraId="54321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pct"/>
            <w:noWrap w:val="0"/>
            <w:vAlign w:val="center"/>
          </w:tcPr>
          <w:p w14:paraId="5886EAB4">
            <w:pPr>
              <w:widowControl w:val="0"/>
              <w:spacing w:line="300" w:lineRule="exact"/>
              <w:jc w:val="center"/>
              <w:rPr>
                <w:rFonts w:eastAsia="楷体_GB2312"/>
                <w:szCs w:val="21"/>
              </w:rPr>
            </w:pPr>
            <w:r>
              <w:rPr>
                <w:rFonts w:eastAsia="楷体_GB2312"/>
                <w:szCs w:val="21"/>
              </w:rPr>
              <w:t>红线外</w:t>
            </w:r>
          </w:p>
        </w:tc>
        <w:tc>
          <w:tcPr>
            <w:tcW w:w="625" w:type="pct"/>
            <w:noWrap w:val="0"/>
            <w:vAlign w:val="center"/>
          </w:tcPr>
          <w:p w14:paraId="3AF5643C">
            <w:pPr>
              <w:widowControl w:val="0"/>
              <w:spacing w:line="300" w:lineRule="exact"/>
              <w:jc w:val="center"/>
              <w:rPr>
                <w:rFonts w:eastAsia="楷体_GB2312"/>
                <w:szCs w:val="21"/>
              </w:rPr>
            </w:pPr>
            <w:r>
              <w:rPr>
                <w:rFonts w:eastAsia="楷体_GB2312"/>
                <w:szCs w:val="21"/>
              </w:rPr>
              <w:t>25</w:t>
            </w:r>
          </w:p>
        </w:tc>
        <w:tc>
          <w:tcPr>
            <w:tcW w:w="626" w:type="pct"/>
            <w:noWrap w:val="0"/>
            <w:vAlign w:val="center"/>
          </w:tcPr>
          <w:p w14:paraId="1629DF01">
            <w:pPr>
              <w:widowControl w:val="0"/>
              <w:spacing w:line="300" w:lineRule="exact"/>
              <w:jc w:val="center"/>
              <w:rPr>
                <w:rFonts w:eastAsia="楷体_GB2312"/>
                <w:szCs w:val="21"/>
              </w:rPr>
            </w:pPr>
            <w:r>
              <w:rPr>
                <w:rFonts w:eastAsia="楷体_GB2312"/>
                <w:szCs w:val="21"/>
              </w:rPr>
              <w:t>15</w:t>
            </w:r>
          </w:p>
        </w:tc>
        <w:tc>
          <w:tcPr>
            <w:tcW w:w="626" w:type="pct"/>
            <w:noWrap w:val="0"/>
            <w:vAlign w:val="center"/>
          </w:tcPr>
          <w:p w14:paraId="45C3C630">
            <w:pPr>
              <w:widowControl w:val="0"/>
              <w:spacing w:line="300" w:lineRule="exact"/>
              <w:jc w:val="center"/>
              <w:rPr>
                <w:rFonts w:eastAsia="楷体_GB2312"/>
                <w:szCs w:val="21"/>
              </w:rPr>
            </w:pPr>
            <w:r>
              <w:rPr>
                <w:rFonts w:eastAsia="楷体_GB2312"/>
                <w:szCs w:val="21"/>
              </w:rPr>
              <w:t>20</w:t>
            </w:r>
          </w:p>
        </w:tc>
        <w:tc>
          <w:tcPr>
            <w:tcW w:w="626" w:type="pct"/>
            <w:noWrap w:val="0"/>
            <w:vAlign w:val="center"/>
          </w:tcPr>
          <w:p w14:paraId="5704AF8D">
            <w:pPr>
              <w:widowControl w:val="0"/>
              <w:spacing w:line="300" w:lineRule="exact"/>
              <w:jc w:val="center"/>
              <w:rPr>
                <w:rFonts w:eastAsia="楷体_GB2312"/>
                <w:szCs w:val="21"/>
              </w:rPr>
            </w:pPr>
            <w:r>
              <w:rPr>
                <w:rFonts w:eastAsia="楷体_GB2312"/>
                <w:szCs w:val="21"/>
              </w:rPr>
              <w:t>25</w:t>
            </w:r>
          </w:p>
        </w:tc>
        <w:tc>
          <w:tcPr>
            <w:tcW w:w="626" w:type="pct"/>
            <w:noWrap w:val="0"/>
            <w:vAlign w:val="center"/>
          </w:tcPr>
          <w:p w14:paraId="022E5464">
            <w:pPr>
              <w:widowControl w:val="0"/>
              <w:spacing w:line="300" w:lineRule="exact"/>
              <w:jc w:val="center"/>
              <w:rPr>
                <w:rFonts w:eastAsia="楷体_GB2312"/>
                <w:szCs w:val="21"/>
              </w:rPr>
            </w:pPr>
            <w:r>
              <w:rPr>
                <w:rFonts w:eastAsia="楷体_GB2312"/>
                <w:szCs w:val="21"/>
              </w:rPr>
              <w:t>15</w:t>
            </w:r>
          </w:p>
        </w:tc>
        <w:tc>
          <w:tcPr>
            <w:tcW w:w="626" w:type="pct"/>
            <w:noWrap w:val="0"/>
            <w:vAlign w:val="center"/>
          </w:tcPr>
          <w:p w14:paraId="2096280C">
            <w:pPr>
              <w:widowControl w:val="0"/>
              <w:spacing w:line="300" w:lineRule="exact"/>
              <w:jc w:val="center"/>
              <w:rPr>
                <w:rFonts w:eastAsia="楷体_GB2312"/>
                <w:szCs w:val="21"/>
              </w:rPr>
            </w:pPr>
            <w:r>
              <w:rPr>
                <w:rFonts w:eastAsia="楷体_GB2312"/>
                <w:szCs w:val="21"/>
              </w:rPr>
              <w:t>/</w:t>
            </w:r>
          </w:p>
        </w:tc>
        <w:tc>
          <w:tcPr>
            <w:tcW w:w="620" w:type="pct"/>
            <w:noWrap w:val="0"/>
            <w:vAlign w:val="center"/>
          </w:tcPr>
          <w:p w14:paraId="72036BB8">
            <w:pPr>
              <w:widowControl w:val="0"/>
              <w:spacing w:line="300" w:lineRule="exact"/>
              <w:jc w:val="center"/>
              <w:rPr>
                <w:rFonts w:eastAsia="楷体_GB2312"/>
                <w:szCs w:val="21"/>
              </w:rPr>
            </w:pPr>
            <w:r>
              <w:rPr>
                <w:rFonts w:eastAsia="楷体_GB2312"/>
                <w:szCs w:val="21"/>
              </w:rPr>
              <w:t>100</w:t>
            </w:r>
          </w:p>
        </w:tc>
      </w:tr>
      <w:tr w14:paraId="735F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624" w:type="pct"/>
            <w:noWrap w:val="0"/>
            <w:vAlign w:val="center"/>
          </w:tcPr>
          <w:p w14:paraId="0459053E">
            <w:pPr>
              <w:widowControl w:val="0"/>
              <w:spacing w:line="300" w:lineRule="exact"/>
              <w:jc w:val="center"/>
              <w:rPr>
                <w:rFonts w:eastAsia="楷体_GB2312"/>
                <w:szCs w:val="21"/>
              </w:rPr>
            </w:pPr>
            <w:r>
              <w:rPr>
                <w:rFonts w:eastAsia="楷体_GB2312"/>
                <w:szCs w:val="21"/>
              </w:rPr>
              <w:t>红线内</w:t>
            </w:r>
          </w:p>
        </w:tc>
        <w:tc>
          <w:tcPr>
            <w:tcW w:w="625" w:type="pct"/>
            <w:noWrap w:val="0"/>
            <w:vAlign w:val="center"/>
          </w:tcPr>
          <w:p w14:paraId="04F5F060">
            <w:pPr>
              <w:widowControl w:val="0"/>
              <w:spacing w:line="300" w:lineRule="exact"/>
              <w:jc w:val="center"/>
              <w:rPr>
                <w:rFonts w:eastAsia="楷体_GB2312"/>
                <w:szCs w:val="21"/>
              </w:rPr>
            </w:pPr>
            <w:r>
              <w:rPr>
                <w:rFonts w:eastAsia="楷体_GB2312"/>
                <w:szCs w:val="21"/>
              </w:rPr>
              <w:t>/</w:t>
            </w:r>
          </w:p>
        </w:tc>
        <w:tc>
          <w:tcPr>
            <w:tcW w:w="626" w:type="pct"/>
            <w:noWrap w:val="0"/>
            <w:vAlign w:val="center"/>
          </w:tcPr>
          <w:p w14:paraId="15E1C68A">
            <w:pPr>
              <w:widowControl w:val="0"/>
              <w:spacing w:line="300" w:lineRule="exact"/>
              <w:jc w:val="center"/>
              <w:rPr>
                <w:rFonts w:eastAsia="楷体_GB2312"/>
                <w:szCs w:val="21"/>
              </w:rPr>
            </w:pPr>
            <w:r>
              <w:rPr>
                <w:rFonts w:eastAsia="楷体_GB2312"/>
                <w:szCs w:val="21"/>
              </w:rPr>
              <w:t>/</w:t>
            </w:r>
          </w:p>
        </w:tc>
        <w:tc>
          <w:tcPr>
            <w:tcW w:w="626" w:type="pct"/>
            <w:noWrap w:val="0"/>
            <w:vAlign w:val="center"/>
          </w:tcPr>
          <w:p w14:paraId="45B1E518">
            <w:pPr>
              <w:widowControl w:val="0"/>
              <w:spacing w:line="300" w:lineRule="exact"/>
              <w:jc w:val="center"/>
              <w:rPr>
                <w:rFonts w:eastAsia="楷体_GB2312"/>
                <w:szCs w:val="21"/>
              </w:rPr>
            </w:pPr>
            <w:r>
              <w:rPr>
                <w:rFonts w:eastAsia="楷体_GB2312"/>
                <w:szCs w:val="21"/>
              </w:rPr>
              <w:t>/</w:t>
            </w:r>
          </w:p>
        </w:tc>
        <w:tc>
          <w:tcPr>
            <w:tcW w:w="626" w:type="pct"/>
            <w:noWrap w:val="0"/>
            <w:vAlign w:val="center"/>
          </w:tcPr>
          <w:p w14:paraId="5387A2A5">
            <w:pPr>
              <w:widowControl w:val="0"/>
              <w:spacing w:line="300" w:lineRule="exact"/>
              <w:jc w:val="center"/>
              <w:rPr>
                <w:rFonts w:eastAsia="楷体_GB2312"/>
                <w:szCs w:val="21"/>
              </w:rPr>
            </w:pPr>
            <w:r>
              <w:rPr>
                <w:rFonts w:eastAsia="楷体_GB2312"/>
                <w:szCs w:val="21"/>
              </w:rPr>
              <w:t>/</w:t>
            </w:r>
          </w:p>
        </w:tc>
        <w:tc>
          <w:tcPr>
            <w:tcW w:w="626" w:type="pct"/>
            <w:noWrap w:val="0"/>
            <w:vAlign w:val="center"/>
          </w:tcPr>
          <w:p w14:paraId="4CD6DB08">
            <w:pPr>
              <w:widowControl w:val="0"/>
              <w:spacing w:line="300" w:lineRule="exact"/>
              <w:jc w:val="center"/>
              <w:rPr>
                <w:rFonts w:eastAsia="楷体_GB2312"/>
                <w:szCs w:val="21"/>
              </w:rPr>
            </w:pPr>
            <w:r>
              <w:rPr>
                <w:rFonts w:eastAsia="楷体_GB2312"/>
                <w:szCs w:val="21"/>
              </w:rPr>
              <w:t>/</w:t>
            </w:r>
          </w:p>
        </w:tc>
        <w:tc>
          <w:tcPr>
            <w:tcW w:w="626" w:type="pct"/>
            <w:noWrap w:val="0"/>
            <w:vAlign w:val="center"/>
          </w:tcPr>
          <w:p w14:paraId="7E2875B6">
            <w:pPr>
              <w:widowControl w:val="0"/>
              <w:spacing w:line="300" w:lineRule="exact"/>
              <w:jc w:val="center"/>
              <w:rPr>
                <w:rFonts w:eastAsia="楷体_GB2312"/>
                <w:szCs w:val="21"/>
              </w:rPr>
            </w:pPr>
            <w:r>
              <w:rPr>
                <w:rFonts w:eastAsia="楷体_GB2312"/>
                <w:szCs w:val="21"/>
              </w:rPr>
              <w:t>20</w:t>
            </w:r>
          </w:p>
        </w:tc>
        <w:tc>
          <w:tcPr>
            <w:tcW w:w="620" w:type="pct"/>
            <w:noWrap w:val="0"/>
            <w:vAlign w:val="center"/>
          </w:tcPr>
          <w:p w14:paraId="7017AEBA">
            <w:pPr>
              <w:widowControl w:val="0"/>
              <w:spacing w:line="300" w:lineRule="exact"/>
              <w:jc w:val="center"/>
              <w:rPr>
                <w:rFonts w:eastAsia="楷体_GB2312"/>
                <w:szCs w:val="21"/>
              </w:rPr>
            </w:pPr>
            <w:r>
              <w:rPr>
                <w:rFonts w:eastAsia="楷体_GB2312"/>
                <w:szCs w:val="21"/>
              </w:rPr>
              <w:t>20</w:t>
            </w:r>
          </w:p>
        </w:tc>
      </w:tr>
    </w:tbl>
    <w:p w14:paraId="3E708C3B">
      <w:pPr>
        <w:pStyle w:val="20"/>
        <w:spacing w:line="480" w:lineRule="exact"/>
        <w:ind w:firstLine="560" w:firstLineChars="200"/>
        <w:rPr>
          <w:rFonts w:ascii="Times New Roman" w:hAnsi="Times New Roman" w:eastAsia="仿宋_GB2312" w:cs="Times New Roman"/>
          <w:sz w:val="28"/>
        </w:rPr>
      </w:pPr>
      <w:r>
        <w:rPr>
          <w:rFonts w:ascii="Times New Roman" w:hAnsi="Times New Roman" w:eastAsia="楷体_GB2312" w:cs="Times New Roman"/>
          <w:sz w:val="28"/>
        </w:rPr>
        <w:t>在评估级别基准地价时，如地价样点的实际开发程度与平均开发程度一致时，不作修正；如不一致，则需进行修正，即在样点地价基础上加上（地价样点开发程度低于平均开发程度时）或减去（地价样点开发程度高于平均开发程度时）相应项目的费用</w:t>
      </w:r>
      <w:r>
        <w:rPr>
          <w:rFonts w:ascii="Times New Roman" w:hAnsi="Times New Roman" w:eastAsia="仿宋_GB2312" w:cs="Times New Roman"/>
          <w:sz w:val="28"/>
        </w:rPr>
        <w:t>。</w:t>
      </w:r>
    </w:p>
    <w:p w14:paraId="280B1C18">
      <w:pPr>
        <w:pStyle w:val="20"/>
        <w:spacing w:before="120" w:beforeLines="50" w:line="480" w:lineRule="exact"/>
        <w:ind w:firstLine="420" w:firstLineChars="200"/>
        <w:rPr>
          <w:rFonts w:ascii="Times New Roman" w:hAnsi="Times New Roman" w:cs="Times New Roman"/>
        </w:rPr>
      </w:pPr>
    </w:p>
    <w:p w14:paraId="7ED1C37D">
      <w:pPr>
        <w:pStyle w:val="4"/>
        <w:numPr>
          <w:ilvl w:val="0"/>
          <w:numId w:val="0"/>
        </w:numPr>
        <w:spacing w:line="240" w:lineRule="auto"/>
        <w:jc w:val="center"/>
        <w:rPr>
          <w:rFonts w:eastAsia="仿宋_GB2312"/>
          <w:bCs w:val="0"/>
        </w:rPr>
      </w:pPr>
      <w:r>
        <w:rPr>
          <w:rFonts w:eastAsia="楷体_GB2312"/>
          <w:bCs w:val="0"/>
        </w:rPr>
        <w:br w:type="page"/>
      </w:r>
      <w:bookmarkStart w:id="70" w:name="_Toc62563683"/>
      <w:r>
        <w:rPr>
          <w:rFonts w:eastAsia="仿宋_GB2312"/>
          <w:bCs w:val="0"/>
        </w:rPr>
        <w:t>第六节  其它土地估价参数的确定</w:t>
      </w:r>
      <w:bookmarkEnd w:id="70"/>
    </w:p>
    <w:p w14:paraId="0793970A">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其它估价参数包括维修费、折旧费、管理费、保险费、税费及经营开发利润等。本次估价除维修费用外，所采用的上述参数主要从有关部门调查取得的正在使用的参数。维修费则根据其它同类城镇的地价测算参数，结合</w:t>
      </w:r>
      <w:r>
        <w:rPr>
          <w:rFonts w:hint="eastAsia" w:ascii="楷体" w:hAnsi="楷体" w:eastAsia="楷体" w:cs="宋体"/>
          <w:sz w:val="28"/>
          <w:szCs w:val="24"/>
        </w:rPr>
        <w:t>埇</w:t>
      </w:r>
      <w:r>
        <w:rPr>
          <w:rFonts w:hint="eastAsia" w:ascii="楷体_GB2312" w:hAnsi="楷体_GB2312" w:eastAsia="楷体_GB2312" w:cs="楷体_GB2312"/>
          <w:sz w:val="28"/>
        </w:rPr>
        <w:t>桥区</w:t>
      </w:r>
      <w:r>
        <w:rPr>
          <w:rFonts w:ascii="Times New Roman" w:hAnsi="Times New Roman" w:eastAsia="楷体_GB2312" w:cs="Times New Roman"/>
          <w:sz w:val="28"/>
        </w:rPr>
        <w:t>各乡镇的实际情况综合确定。确定结果见表2-2-1</w:t>
      </w:r>
      <w:r>
        <w:rPr>
          <w:rFonts w:hint="eastAsia" w:ascii="Times New Roman" w:hAnsi="Times New Roman" w:eastAsia="楷体_GB2312" w:cs="Times New Roman"/>
          <w:sz w:val="28"/>
        </w:rPr>
        <w:t>1</w:t>
      </w:r>
      <w:r>
        <w:rPr>
          <w:rFonts w:ascii="Times New Roman" w:hAnsi="Times New Roman" w:eastAsia="楷体_GB2312" w:cs="Times New Roman"/>
          <w:sz w:val="28"/>
        </w:rPr>
        <w:t>。</w:t>
      </w:r>
    </w:p>
    <w:p w14:paraId="63421BFC">
      <w:pPr>
        <w:pStyle w:val="20"/>
        <w:spacing w:line="480" w:lineRule="exact"/>
        <w:ind w:left="-141" w:leftChars="-67" w:right="-113" w:rightChars="-54"/>
        <w:jc w:val="center"/>
        <w:rPr>
          <w:rFonts w:ascii="Times New Roman" w:hAnsi="Times New Roman" w:eastAsia="黑体" w:cs="Times New Roman"/>
          <w:sz w:val="28"/>
        </w:rPr>
      </w:pPr>
      <w:r>
        <w:rPr>
          <w:rFonts w:ascii="Times New Roman" w:hAnsi="Times New Roman" w:eastAsia="黑体" w:cs="Times New Roman"/>
          <w:sz w:val="28"/>
        </w:rPr>
        <w:t>表2-2-1</w:t>
      </w:r>
      <w:r>
        <w:rPr>
          <w:rFonts w:hint="eastAsia" w:ascii="Times New Roman" w:hAnsi="Times New Roman" w:eastAsia="黑体" w:cs="Times New Roman"/>
          <w:sz w:val="28"/>
        </w:rPr>
        <w:t>1</w:t>
      </w:r>
      <w:r>
        <w:rPr>
          <w:rFonts w:ascii="Times New Roman" w:hAnsi="Times New Roman" w:eastAsia="黑体" w:cs="Times New Roman"/>
          <w:sz w:val="28"/>
        </w:rPr>
        <w:t xml:space="preserve">  其它估价参数表</w:t>
      </w:r>
    </w:p>
    <w:tbl>
      <w:tblPr>
        <w:tblStyle w:val="38"/>
        <w:tblW w:w="90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4112"/>
        <w:gridCol w:w="3573"/>
      </w:tblGrid>
      <w:tr w14:paraId="35AED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noWrap w:val="0"/>
            <w:vAlign w:val="center"/>
          </w:tcPr>
          <w:p w14:paraId="6EED4054">
            <w:pPr>
              <w:widowControl w:val="0"/>
              <w:spacing w:line="300" w:lineRule="exact"/>
              <w:jc w:val="center"/>
              <w:rPr>
                <w:rFonts w:eastAsia="楷体_GB2312"/>
              </w:rPr>
            </w:pPr>
            <w:r>
              <w:rPr>
                <w:rFonts w:eastAsia="楷体_GB2312"/>
              </w:rPr>
              <w:t>类    别</w:t>
            </w:r>
          </w:p>
        </w:tc>
        <w:tc>
          <w:tcPr>
            <w:tcW w:w="4112" w:type="dxa"/>
            <w:noWrap w:val="0"/>
            <w:vAlign w:val="center"/>
          </w:tcPr>
          <w:p w14:paraId="183B3A9F">
            <w:pPr>
              <w:widowControl w:val="0"/>
              <w:spacing w:line="300" w:lineRule="exact"/>
              <w:jc w:val="center"/>
              <w:rPr>
                <w:rFonts w:eastAsia="楷体_GB2312"/>
              </w:rPr>
            </w:pPr>
            <w:r>
              <w:rPr>
                <w:rFonts w:eastAsia="楷体_GB2312"/>
              </w:rPr>
              <w:t>参      数      取      值</w:t>
            </w:r>
          </w:p>
        </w:tc>
        <w:tc>
          <w:tcPr>
            <w:tcW w:w="3573" w:type="dxa"/>
            <w:noWrap w:val="0"/>
            <w:vAlign w:val="center"/>
          </w:tcPr>
          <w:p w14:paraId="47EE70D8">
            <w:pPr>
              <w:widowControl w:val="0"/>
              <w:spacing w:line="300" w:lineRule="exact"/>
              <w:jc w:val="center"/>
              <w:rPr>
                <w:rFonts w:eastAsia="楷体_GB2312"/>
              </w:rPr>
            </w:pPr>
            <w:r>
              <w:rPr>
                <w:rFonts w:eastAsia="楷体_GB2312"/>
              </w:rPr>
              <w:t>备    注</w:t>
            </w:r>
          </w:p>
        </w:tc>
      </w:tr>
      <w:tr w14:paraId="6DA50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noWrap w:val="0"/>
            <w:vAlign w:val="center"/>
          </w:tcPr>
          <w:p w14:paraId="4A5F8F1C">
            <w:pPr>
              <w:widowControl w:val="0"/>
              <w:spacing w:line="300" w:lineRule="exact"/>
              <w:jc w:val="center"/>
              <w:rPr>
                <w:rFonts w:eastAsia="楷体_GB2312"/>
              </w:rPr>
            </w:pPr>
            <w:r>
              <w:rPr>
                <w:rFonts w:eastAsia="楷体_GB2312"/>
              </w:rPr>
              <w:t>管理费</w:t>
            </w:r>
          </w:p>
        </w:tc>
        <w:tc>
          <w:tcPr>
            <w:tcW w:w="4112" w:type="dxa"/>
            <w:noWrap w:val="0"/>
            <w:vAlign w:val="center"/>
          </w:tcPr>
          <w:p w14:paraId="2C1407D7">
            <w:pPr>
              <w:widowControl w:val="0"/>
              <w:spacing w:line="300" w:lineRule="exact"/>
              <w:jc w:val="center"/>
              <w:rPr>
                <w:rFonts w:eastAsia="楷体_GB2312"/>
                <w:szCs w:val="21"/>
              </w:rPr>
            </w:pPr>
            <w:r>
              <w:rPr>
                <w:rFonts w:eastAsia="楷体_GB2312"/>
                <w:szCs w:val="21"/>
              </w:rPr>
              <w:t>取年租金的3%</w:t>
            </w:r>
          </w:p>
        </w:tc>
        <w:tc>
          <w:tcPr>
            <w:tcW w:w="3573" w:type="dxa"/>
            <w:noWrap w:val="0"/>
            <w:vAlign w:val="center"/>
          </w:tcPr>
          <w:p w14:paraId="44E65063">
            <w:pPr>
              <w:widowControl w:val="0"/>
              <w:spacing w:line="300" w:lineRule="exact"/>
              <w:jc w:val="center"/>
              <w:rPr>
                <w:rFonts w:eastAsia="楷体_GB2312"/>
              </w:rPr>
            </w:pPr>
            <w:r>
              <w:rPr>
                <w:rFonts w:eastAsia="楷体_GB2312"/>
                <w:szCs w:val="21"/>
              </w:rPr>
              <w:t>按年租金的3%—5%计</w:t>
            </w:r>
          </w:p>
        </w:tc>
      </w:tr>
      <w:tr w14:paraId="487F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noWrap w:val="0"/>
            <w:vAlign w:val="center"/>
          </w:tcPr>
          <w:p w14:paraId="3A92F526">
            <w:pPr>
              <w:widowControl w:val="0"/>
              <w:spacing w:line="300" w:lineRule="exact"/>
              <w:jc w:val="center"/>
              <w:rPr>
                <w:rFonts w:eastAsia="楷体_GB2312"/>
              </w:rPr>
            </w:pPr>
            <w:r>
              <w:rPr>
                <w:rFonts w:eastAsia="楷体_GB2312"/>
              </w:rPr>
              <w:t>保险费</w:t>
            </w:r>
          </w:p>
        </w:tc>
        <w:tc>
          <w:tcPr>
            <w:tcW w:w="4112" w:type="dxa"/>
            <w:noWrap w:val="0"/>
            <w:vAlign w:val="center"/>
          </w:tcPr>
          <w:p w14:paraId="2783376F">
            <w:pPr>
              <w:widowControl w:val="0"/>
              <w:spacing w:line="300" w:lineRule="exact"/>
              <w:jc w:val="center"/>
              <w:rPr>
                <w:rFonts w:eastAsia="楷体_GB2312"/>
                <w:szCs w:val="21"/>
              </w:rPr>
            </w:pPr>
            <w:r>
              <w:rPr>
                <w:rFonts w:eastAsia="楷体_GB2312"/>
                <w:szCs w:val="21"/>
              </w:rPr>
              <w:t>2‰</w:t>
            </w:r>
          </w:p>
        </w:tc>
        <w:tc>
          <w:tcPr>
            <w:tcW w:w="3573" w:type="dxa"/>
            <w:noWrap w:val="0"/>
            <w:vAlign w:val="center"/>
          </w:tcPr>
          <w:p w14:paraId="2CE6431A">
            <w:pPr>
              <w:widowControl w:val="0"/>
              <w:spacing w:line="300" w:lineRule="exact"/>
              <w:jc w:val="center"/>
              <w:rPr>
                <w:rFonts w:eastAsia="楷体_GB2312"/>
                <w:szCs w:val="21"/>
              </w:rPr>
            </w:pPr>
            <w:r>
              <w:rPr>
                <w:rFonts w:eastAsia="楷体_GB2312"/>
                <w:szCs w:val="21"/>
              </w:rPr>
              <w:t>《保险法》规定取房屋现值的2‰</w:t>
            </w:r>
          </w:p>
        </w:tc>
      </w:tr>
      <w:tr w14:paraId="07F90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noWrap w:val="0"/>
            <w:vAlign w:val="center"/>
          </w:tcPr>
          <w:p w14:paraId="7CCB05B0">
            <w:pPr>
              <w:widowControl w:val="0"/>
              <w:spacing w:line="300" w:lineRule="exact"/>
              <w:jc w:val="center"/>
              <w:rPr>
                <w:rFonts w:eastAsia="楷体_GB2312"/>
              </w:rPr>
            </w:pPr>
            <w:r>
              <w:rPr>
                <w:rFonts w:eastAsia="楷体_GB2312"/>
              </w:rPr>
              <w:t>维修费</w:t>
            </w:r>
          </w:p>
        </w:tc>
        <w:tc>
          <w:tcPr>
            <w:tcW w:w="4112" w:type="dxa"/>
            <w:noWrap w:val="0"/>
            <w:vAlign w:val="center"/>
          </w:tcPr>
          <w:p w14:paraId="1A41899D">
            <w:pPr>
              <w:widowControl w:val="0"/>
              <w:spacing w:line="300" w:lineRule="exact"/>
              <w:jc w:val="center"/>
              <w:rPr>
                <w:rFonts w:eastAsia="楷体_GB2312"/>
                <w:szCs w:val="21"/>
              </w:rPr>
            </w:pPr>
            <w:r>
              <w:rPr>
                <w:rFonts w:eastAsia="楷体_GB2312"/>
                <w:szCs w:val="21"/>
              </w:rPr>
              <w:t>2%</w:t>
            </w:r>
          </w:p>
        </w:tc>
        <w:tc>
          <w:tcPr>
            <w:tcW w:w="3573" w:type="dxa"/>
            <w:noWrap w:val="0"/>
            <w:vAlign w:val="center"/>
          </w:tcPr>
          <w:p w14:paraId="542467FE">
            <w:pPr>
              <w:widowControl w:val="0"/>
              <w:spacing w:line="300" w:lineRule="exact"/>
              <w:jc w:val="center"/>
              <w:rPr>
                <w:rFonts w:eastAsia="楷体_GB2312"/>
                <w:szCs w:val="21"/>
              </w:rPr>
            </w:pPr>
            <w:r>
              <w:rPr>
                <w:rFonts w:eastAsia="楷体_GB2312"/>
                <w:szCs w:val="21"/>
              </w:rPr>
              <w:t>通常按重值价的2%</w:t>
            </w:r>
          </w:p>
        </w:tc>
      </w:tr>
      <w:tr w14:paraId="64C64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noWrap w:val="0"/>
            <w:vAlign w:val="center"/>
          </w:tcPr>
          <w:p w14:paraId="5321DB7D">
            <w:pPr>
              <w:widowControl w:val="0"/>
              <w:spacing w:line="300" w:lineRule="exact"/>
              <w:jc w:val="center"/>
              <w:rPr>
                <w:rFonts w:eastAsia="楷体_GB2312"/>
              </w:rPr>
            </w:pPr>
            <w:r>
              <w:rPr>
                <w:rFonts w:eastAsia="楷体_GB2312"/>
              </w:rPr>
              <w:t>税  金</w:t>
            </w:r>
          </w:p>
        </w:tc>
        <w:tc>
          <w:tcPr>
            <w:tcW w:w="4112" w:type="dxa"/>
            <w:noWrap w:val="0"/>
            <w:vAlign w:val="center"/>
          </w:tcPr>
          <w:p w14:paraId="3F6651E4">
            <w:pPr>
              <w:widowControl w:val="0"/>
              <w:spacing w:line="300" w:lineRule="exact"/>
              <w:rPr>
                <w:rFonts w:eastAsia="楷体_GB2312"/>
                <w:szCs w:val="21"/>
              </w:rPr>
            </w:pPr>
            <w:r>
              <w:rPr>
                <w:rFonts w:eastAsia="楷体_GB2312"/>
                <w:szCs w:val="21"/>
              </w:rPr>
              <w:t>包括房产税12%、增值税5%、城市维护建设税为增值税额的5%、教育费附加为增值税额的3%、地方教育费附加为增值税额的2%。</w:t>
            </w:r>
          </w:p>
        </w:tc>
        <w:tc>
          <w:tcPr>
            <w:tcW w:w="3573" w:type="dxa"/>
            <w:noWrap w:val="0"/>
            <w:vAlign w:val="center"/>
          </w:tcPr>
          <w:p w14:paraId="13AA0DC6">
            <w:pPr>
              <w:widowControl w:val="0"/>
              <w:spacing w:line="300" w:lineRule="exact"/>
              <w:rPr>
                <w:rFonts w:eastAsia="楷体_GB2312"/>
              </w:rPr>
            </w:pPr>
            <w:r>
              <w:rPr>
                <w:rFonts w:eastAsia="楷体_GB2312"/>
              </w:rPr>
              <w:t>《中华人民共和国房产税暂行条例》、《中华人民共和国城市维护建设税暂行条例》、《国务院关于修改&lt;征收教育费附加的暂行规定&gt;的决定》、《安徽省地方教育附加征收和使用管理暂行办法&gt;的决定》、《关于全面推开营业税改征增值税试点的通知》财税[2016]36号</w:t>
            </w:r>
          </w:p>
        </w:tc>
      </w:tr>
      <w:tr w14:paraId="44DB7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noWrap w:val="0"/>
            <w:vAlign w:val="center"/>
          </w:tcPr>
          <w:p w14:paraId="66F9C002">
            <w:pPr>
              <w:widowControl w:val="0"/>
              <w:spacing w:line="300" w:lineRule="exact"/>
              <w:jc w:val="center"/>
              <w:rPr>
                <w:rFonts w:eastAsia="楷体_GB2312"/>
              </w:rPr>
            </w:pPr>
            <w:r>
              <w:rPr>
                <w:rFonts w:eastAsia="楷体_GB2312"/>
              </w:rPr>
              <w:t>利润率</w:t>
            </w:r>
          </w:p>
        </w:tc>
        <w:tc>
          <w:tcPr>
            <w:tcW w:w="4112" w:type="dxa"/>
            <w:noWrap w:val="0"/>
            <w:vAlign w:val="center"/>
          </w:tcPr>
          <w:p w14:paraId="15D96F9F">
            <w:pPr>
              <w:widowControl w:val="0"/>
              <w:spacing w:line="300" w:lineRule="exact"/>
              <w:jc w:val="center"/>
              <w:rPr>
                <w:rFonts w:eastAsia="楷体_GB2312"/>
                <w:szCs w:val="21"/>
              </w:rPr>
            </w:pPr>
            <w:r>
              <w:rPr>
                <w:rFonts w:eastAsia="楷体_GB2312"/>
                <w:szCs w:val="21"/>
              </w:rPr>
              <w:t>8%-12%</w:t>
            </w:r>
          </w:p>
        </w:tc>
        <w:tc>
          <w:tcPr>
            <w:tcW w:w="3573" w:type="dxa"/>
            <w:noWrap w:val="0"/>
            <w:vAlign w:val="center"/>
          </w:tcPr>
          <w:p w14:paraId="6215A9CF">
            <w:pPr>
              <w:widowControl w:val="0"/>
              <w:spacing w:line="300" w:lineRule="exact"/>
              <w:jc w:val="center"/>
              <w:rPr>
                <w:rFonts w:eastAsia="楷体_GB2312"/>
              </w:rPr>
            </w:pPr>
            <w:r>
              <w:rPr>
                <w:rFonts w:eastAsia="楷体_GB2312"/>
              </w:rPr>
              <w:t>/</w:t>
            </w:r>
          </w:p>
        </w:tc>
      </w:tr>
      <w:tr w14:paraId="79AF3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noWrap w:val="0"/>
            <w:vAlign w:val="center"/>
          </w:tcPr>
          <w:p w14:paraId="10A25DF8">
            <w:pPr>
              <w:widowControl w:val="0"/>
              <w:spacing w:line="300" w:lineRule="exact"/>
              <w:jc w:val="center"/>
              <w:rPr>
                <w:rFonts w:eastAsia="楷体_GB2312"/>
              </w:rPr>
            </w:pPr>
            <w:r>
              <w:rPr>
                <w:rFonts w:eastAsia="楷体_GB2312"/>
              </w:rPr>
              <w:t>利息率</w:t>
            </w:r>
          </w:p>
        </w:tc>
        <w:tc>
          <w:tcPr>
            <w:tcW w:w="4112" w:type="dxa"/>
            <w:noWrap w:val="0"/>
            <w:vAlign w:val="center"/>
          </w:tcPr>
          <w:p w14:paraId="5A5EF831">
            <w:pPr>
              <w:widowControl w:val="0"/>
              <w:spacing w:line="300" w:lineRule="exact"/>
              <w:jc w:val="center"/>
              <w:rPr>
                <w:rFonts w:eastAsia="楷体_GB2312"/>
              </w:rPr>
            </w:pPr>
            <w:r>
              <w:rPr>
                <w:rFonts w:eastAsia="楷体_GB2312"/>
              </w:rPr>
              <w:t>一年期贷款利率</w:t>
            </w:r>
            <w:r>
              <w:rPr>
                <w:rFonts w:eastAsia="楷体_GB2312"/>
                <w:szCs w:val="21"/>
              </w:rPr>
              <w:t>取4.35%</w:t>
            </w:r>
          </w:p>
        </w:tc>
        <w:tc>
          <w:tcPr>
            <w:tcW w:w="3573" w:type="dxa"/>
            <w:noWrap w:val="0"/>
            <w:vAlign w:val="center"/>
          </w:tcPr>
          <w:p w14:paraId="241EE755">
            <w:pPr>
              <w:widowControl w:val="0"/>
              <w:spacing w:line="300" w:lineRule="exact"/>
              <w:jc w:val="center"/>
              <w:rPr>
                <w:rFonts w:eastAsia="楷体_GB2312"/>
              </w:rPr>
            </w:pPr>
            <w:r>
              <w:rPr>
                <w:rFonts w:eastAsia="楷体_GB2312"/>
              </w:rPr>
              <w:t>中国人民银行2015年10月24日</w:t>
            </w:r>
          </w:p>
          <w:p w14:paraId="44A645AF">
            <w:pPr>
              <w:widowControl w:val="0"/>
              <w:spacing w:line="300" w:lineRule="exact"/>
              <w:jc w:val="center"/>
              <w:rPr>
                <w:rFonts w:eastAsia="楷体_GB2312"/>
              </w:rPr>
            </w:pPr>
            <w:r>
              <w:rPr>
                <w:rFonts w:eastAsia="楷体_GB2312"/>
              </w:rPr>
              <w:t>调整</w:t>
            </w:r>
          </w:p>
        </w:tc>
      </w:tr>
      <w:tr w14:paraId="47543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noWrap w:val="0"/>
            <w:vAlign w:val="center"/>
          </w:tcPr>
          <w:p w14:paraId="52489FD1">
            <w:pPr>
              <w:widowControl w:val="0"/>
              <w:spacing w:line="300" w:lineRule="exact"/>
              <w:jc w:val="center"/>
              <w:rPr>
                <w:rFonts w:eastAsia="楷体_GB2312"/>
              </w:rPr>
            </w:pPr>
            <w:r>
              <w:rPr>
                <w:rFonts w:eastAsia="楷体_GB2312"/>
              </w:rPr>
              <w:t>房产交易管理费</w:t>
            </w:r>
          </w:p>
        </w:tc>
        <w:tc>
          <w:tcPr>
            <w:tcW w:w="4112" w:type="dxa"/>
            <w:noWrap w:val="0"/>
            <w:vAlign w:val="center"/>
          </w:tcPr>
          <w:p w14:paraId="525424B1">
            <w:pPr>
              <w:widowControl w:val="0"/>
              <w:spacing w:line="300" w:lineRule="exact"/>
              <w:jc w:val="center"/>
              <w:rPr>
                <w:rFonts w:eastAsia="楷体_GB2312"/>
              </w:rPr>
            </w:pPr>
            <w:r>
              <w:rPr>
                <w:rFonts w:eastAsia="楷体_GB2312"/>
              </w:rPr>
              <w:t>交易价格</w:t>
            </w:r>
            <w:r>
              <w:rPr>
                <w:rFonts w:eastAsia="楷体_GB2312"/>
                <w:szCs w:val="21"/>
              </w:rPr>
              <w:t>6‰</w:t>
            </w:r>
          </w:p>
        </w:tc>
        <w:tc>
          <w:tcPr>
            <w:tcW w:w="3573" w:type="dxa"/>
            <w:noWrap w:val="0"/>
            <w:vAlign w:val="center"/>
          </w:tcPr>
          <w:p w14:paraId="33D4CC13">
            <w:pPr>
              <w:widowControl w:val="0"/>
              <w:spacing w:line="300" w:lineRule="exact"/>
              <w:jc w:val="center"/>
              <w:rPr>
                <w:rFonts w:eastAsia="楷体_GB2312"/>
              </w:rPr>
            </w:pPr>
            <w:r>
              <w:rPr>
                <w:rFonts w:eastAsia="楷体_GB2312"/>
              </w:rPr>
              <w:t>交易双方各半</w:t>
            </w:r>
          </w:p>
        </w:tc>
      </w:tr>
      <w:tr w14:paraId="367DF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noWrap w:val="0"/>
            <w:vAlign w:val="center"/>
          </w:tcPr>
          <w:p w14:paraId="45782AB8">
            <w:pPr>
              <w:widowControl w:val="0"/>
              <w:spacing w:line="300" w:lineRule="exact"/>
              <w:jc w:val="center"/>
              <w:rPr>
                <w:rFonts w:eastAsia="楷体_GB2312"/>
              </w:rPr>
            </w:pPr>
            <w:r>
              <w:rPr>
                <w:rFonts w:eastAsia="楷体_GB2312"/>
              </w:rPr>
              <w:t>房地产交易契税</w:t>
            </w:r>
          </w:p>
        </w:tc>
        <w:tc>
          <w:tcPr>
            <w:tcW w:w="4112" w:type="dxa"/>
            <w:noWrap w:val="0"/>
            <w:vAlign w:val="center"/>
          </w:tcPr>
          <w:p w14:paraId="7838A12E">
            <w:pPr>
              <w:widowControl w:val="0"/>
              <w:spacing w:line="300" w:lineRule="exact"/>
              <w:jc w:val="center"/>
              <w:rPr>
                <w:rFonts w:eastAsia="楷体_GB2312"/>
              </w:rPr>
            </w:pPr>
            <w:r>
              <w:rPr>
                <w:rFonts w:eastAsia="楷体_GB2312"/>
              </w:rPr>
              <w:t>住宅</w:t>
            </w:r>
            <w:r>
              <w:rPr>
                <w:rFonts w:eastAsia="楷体_GB2312"/>
                <w:szCs w:val="21"/>
              </w:rPr>
              <w:t>取1-1.5%，非住宅取4%，土地交易取3%</w:t>
            </w:r>
          </w:p>
        </w:tc>
        <w:tc>
          <w:tcPr>
            <w:tcW w:w="3573" w:type="dxa"/>
            <w:noWrap w:val="0"/>
            <w:vAlign w:val="center"/>
          </w:tcPr>
          <w:p w14:paraId="5227D289">
            <w:pPr>
              <w:widowControl w:val="0"/>
              <w:spacing w:line="300" w:lineRule="exact"/>
              <w:jc w:val="center"/>
              <w:rPr>
                <w:rFonts w:eastAsia="楷体_GB2312"/>
                <w:szCs w:val="21"/>
              </w:rPr>
            </w:pPr>
            <w:r>
              <w:rPr>
                <w:rFonts w:eastAsia="楷体_GB2312"/>
                <w:szCs w:val="21"/>
              </w:rPr>
              <w:t>由买方支付，《</w:t>
            </w:r>
            <w:r>
              <w:rPr>
                <w:rFonts w:eastAsia="楷体_GB2312"/>
                <w:szCs w:val="21"/>
              </w:rPr>
              <w:fldChar w:fldCharType="begin"/>
            </w:r>
            <w:r>
              <w:rPr>
                <w:rFonts w:eastAsia="楷体_GB2312"/>
                <w:szCs w:val="21"/>
              </w:rPr>
              <w:instrText xml:space="preserve"> HYPERLINK "http://baike.baidu.com/view/277460.htm" \t "_blank" </w:instrText>
            </w:r>
            <w:r>
              <w:rPr>
                <w:rFonts w:eastAsia="楷体_GB2312"/>
                <w:szCs w:val="21"/>
              </w:rPr>
              <w:fldChar w:fldCharType="separate"/>
            </w:r>
            <w:r>
              <w:rPr>
                <w:rFonts w:eastAsia="楷体_GB2312"/>
                <w:szCs w:val="21"/>
              </w:rPr>
              <w:t>中华人民共和国契税暂行条例</w:t>
            </w:r>
            <w:r>
              <w:rPr>
                <w:rFonts w:eastAsia="楷体_GB2312"/>
                <w:szCs w:val="21"/>
              </w:rPr>
              <w:fldChar w:fldCharType="end"/>
            </w:r>
            <w:r>
              <w:rPr>
                <w:rFonts w:eastAsia="楷体_GB2312"/>
                <w:szCs w:val="21"/>
              </w:rPr>
              <w:t>》及各地规定</w:t>
            </w:r>
          </w:p>
        </w:tc>
      </w:tr>
      <w:tr w14:paraId="23576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1384" w:type="dxa"/>
            <w:noWrap w:val="0"/>
            <w:vAlign w:val="center"/>
          </w:tcPr>
          <w:p w14:paraId="5CB511D9">
            <w:pPr>
              <w:widowControl w:val="0"/>
              <w:spacing w:line="300" w:lineRule="exact"/>
              <w:jc w:val="center"/>
              <w:rPr>
                <w:rFonts w:eastAsia="楷体_GB2312"/>
              </w:rPr>
            </w:pPr>
            <w:r>
              <w:rPr>
                <w:rFonts w:eastAsia="楷体_GB2312"/>
              </w:rPr>
              <w:t>印花税</w:t>
            </w:r>
          </w:p>
        </w:tc>
        <w:tc>
          <w:tcPr>
            <w:tcW w:w="4112" w:type="dxa"/>
            <w:noWrap w:val="0"/>
            <w:vAlign w:val="center"/>
          </w:tcPr>
          <w:p w14:paraId="0DA5C403">
            <w:pPr>
              <w:widowControl w:val="0"/>
              <w:spacing w:line="300" w:lineRule="exact"/>
              <w:jc w:val="center"/>
              <w:rPr>
                <w:rFonts w:eastAsia="楷体_GB2312"/>
                <w:szCs w:val="21"/>
              </w:rPr>
            </w:pPr>
            <w:r>
              <w:rPr>
                <w:rFonts w:eastAsia="楷体_GB2312"/>
                <w:szCs w:val="21"/>
              </w:rPr>
              <w:t>交易价格的0.05%</w:t>
            </w:r>
          </w:p>
        </w:tc>
        <w:tc>
          <w:tcPr>
            <w:tcW w:w="3573" w:type="dxa"/>
            <w:noWrap w:val="0"/>
            <w:vAlign w:val="center"/>
          </w:tcPr>
          <w:p w14:paraId="35398F4B">
            <w:pPr>
              <w:widowControl w:val="0"/>
              <w:spacing w:line="300" w:lineRule="exact"/>
              <w:jc w:val="center"/>
              <w:rPr>
                <w:rFonts w:eastAsia="楷体_GB2312"/>
                <w:szCs w:val="21"/>
              </w:rPr>
            </w:pPr>
            <w:r>
              <w:rPr>
                <w:rFonts w:eastAsia="楷体_GB2312"/>
                <w:szCs w:val="21"/>
              </w:rPr>
              <w:t>《中华人民共和国</w:t>
            </w:r>
            <w:r>
              <w:rPr>
                <w:rFonts w:eastAsia="楷体_GB2312"/>
                <w:szCs w:val="21"/>
              </w:rPr>
              <w:fldChar w:fldCharType="begin"/>
            </w:r>
            <w:r>
              <w:rPr>
                <w:rFonts w:eastAsia="楷体_GB2312"/>
                <w:szCs w:val="21"/>
              </w:rPr>
              <w:instrText xml:space="preserve"> HYPERLINK "http://baike.baidu.com/view/955718.htm" \t "_blank" </w:instrText>
            </w:r>
            <w:r>
              <w:rPr>
                <w:rFonts w:eastAsia="楷体_GB2312"/>
                <w:szCs w:val="21"/>
              </w:rPr>
              <w:fldChar w:fldCharType="separate"/>
            </w:r>
            <w:r>
              <w:rPr>
                <w:rFonts w:eastAsia="楷体_GB2312"/>
                <w:szCs w:val="21"/>
              </w:rPr>
              <w:t>印花税暂行条例</w:t>
            </w:r>
            <w:r>
              <w:rPr>
                <w:rFonts w:eastAsia="楷体_GB2312"/>
                <w:szCs w:val="21"/>
              </w:rPr>
              <w:fldChar w:fldCharType="end"/>
            </w:r>
            <w:r>
              <w:rPr>
                <w:rFonts w:eastAsia="楷体_GB2312"/>
                <w:szCs w:val="21"/>
              </w:rPr>
              <w:t>》</w:t>
            </w:r>
          </w:p>
        </w:tc>
      </w:tr>
      <w:tr w14:paraId="4C69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5" w:hRule="atLeast"/>
        </w:trPr>
        <w:tc>
          <w:tcPr>
            <w:tcW w:w="1384" w:type="dxa"/>
            <w:noWrap w:val="0"/>
            <w:vAlign w:val="center"/>
          </w:tcPr>
          <w:p w14:paraId="65F03442">
            <w:pPr>
              <w:widowControl w:val="0"/>
              <w:spacing w:line="300" w:lineRule="exact"/>
              <w:jc w:val="center"/>
              <w:rPr>
                <w:rFonts w:eastAsia="楷体_GB2312"/>
              </w:rPr>
            </w:pPr>
            <w:r>
              <w:rPr>
                <w:rFonts w:eastAsia="楷体_GB2312"/>
              </w:rPr>
              <w:t>增值税</w:t>
            </w:r>
          </w:p>
        </w:tc>
        <w:tc>
          <w:tcPr>
            <w:tcW w:w="4112" w:type="dxa"/>
            <w:noWrap w:val="0"/>
            <w:vAlign w:val="center"/>
          </w:tcPr>
          <w:p w14:paraId="60D609C5">
            <w:pPr>
              <w:widowControl w:val="0"/>
              <w:spacing w:line="300" w:lineRule="exact"/>
              <w:jc w:val="both"/>
              <w:rPr>
                <w:rFonts w:eastAsia="楷体_GB2312"/>
                <w:szCs w:val="21"/>
              </w:rPr>
            </w:pPr>
            <w:r>
              <w:rPr>
                <w:rFonts w:eastAsia="楷体_GB2312"/>
                <w:szCs w:val="21"/>
              </w:rPr>
              <w:t>应扣缴税额=购买方支付的价款/（1+税率）*税率</w:t>
            </w:r>
          </w:p>
          <w:p w14:paraId="28E2670F">
            <w:pPr>
              <w:widowControl w:val="0"/>
              <w:spacing w:line="300" w:lineRule="exact"/>
              <w:jc w:val="both"/>
              <w:rPr>
                <w:rFonts w:eastAsia="楷体_GB2312"/>
                <w:szCs w:val="21"/>
              </w:rPr>
            </w:pPr>
            <w:r>
              <w:rPr>
                <w:rFonts w:eastAsia="楷体_GB2312"/>
                <w:szCs w:val="21"/>
              </w:rPr>
              <w:t>应纳税额=当期销项税额-当期进项税额</w:t>
            </w:r>
          </w:p>
          <w:p w14:paraId="5F53C6F6">
            <w:pPr>
              <w:widowControl w:val="0"/>
              <w:spacing w:line="300" w:lineRule="exact"/>
              <w:jc w:val="both"/>
              <w:rPr>
                <w:rFonts w:eastAsia="楷体_GB2312"/>
                <w:szCs w:val="21"/>
              </w:rPr>
            </w:pPr>
            <w:r>
              <w:rPr>
                <w:rFonts w:eastAsia="楷体_GB2312"/>
                <w:szCs w:val="21"/>
              </w:rPr>
              <w:t>销项税额=销售额*税率</w:t>
            </w:r>
          </w:p>
          <w:p w14:paraId="61C2CB74">
            <w:pPr>
              <w:widowControl w:val="0"/>
              <w:spacing w:line="300" w:lineRule="exact"/>
              <w:jc w:val="both"/>
              <w:rPr>
                <w:rFonts w:eastAsia="楷体_GB2312"/>
                <w:szCs w:val="21"/>
              </w:rPr>
            </w:pPr>
            <w:r>
              <w:rPr>
                <w:rFonts w:eastAsia="楷体_GB2312"/>
                <w:szCs w:val="21"/>
              </w:rPr>
              <w:t>销售额=含税销售额/（1+税率）</w:t>
            </w:r>
          </w:p>
          <w:p w14:paraId="191962F5">
            <w:pPr>
              <w:widowControl w:val="0"/>
              <w:spacing w:line="300" w:lineRule="exact"/>
              <w:jc w:val="both"/>
              <w:rPr>
                <w:rFonts w:eastAsia="楷体_GB2312"/>
                <w:szCs w:val="21"/>
              </w:rPr>
            </w:pPr>
            <w:r>
              <w:rPr>
                <w:rFonts w:eastAsia="楷体_GB2312"/>
                <w:szCs w:val="21"/>
              </w:rPr>
              <w:t>进项税额=买价*扣除率</w:t>
            </w:r>
          </w:p>
          <w:p w14:paraId="40C91102">
            <w:pPr>
              <w:widowControl w:val="0"/>
              <w:spacing w:line="300" w:lineRule="exact"/>
              <w:jc w:val="both"/>
              <w:rPr>
                <w:rFonts w:eastAsia="楷体_GB2312"/>
                <w:szCs w:val="21"/>
              </w:rPr>
            </w:pPr>
            <w:r>
              <w:rPr>
                <w:rFonts w:eastAsia="楷体_GB2312"/>
                <w:szCs w:val="21"/>
              </w:rPr>
              <w:t>一般纳税人税率：13%、9%、6%</w:t>
            </w:r>
          </w:p>
          <w:p w14:paraId="77699987">
            <w:pPr>
              <w:widowControl w:val="0"/>
              <w:spacing w:line="300" w:lineRule="exact"/>
              <w:jc w:val="both"/>
              <w:rPr>
                <w:rFonts w:eastAsia="楷体_GB2312"/>
                <w:szCs w:val="21"/>
              </w:rPr>
            </w:pPr>
            <w:r>
              <w:rPr>
                <w:rFonts w:eastAsia="楷体_GB2312"/>
                <w:szCs w:val="21"/>
              </w:rPr>
              <w:t>小规模纳税人税率：3%、2%</w:t>
            </w:r>
          </w:p>
        </w:tc>
        <w:tc>
          <w:tcPr>
            <w:tcW w:w="3573" w:type="dxa"/>
            <w:noWrap w:val="0"/>
            <w:vAlign w:val="center"/>
          </w:tcPr>
          <w:p w14:paraId="0F115D5E">
            <w:pPr>
              <w:widowControl w:val="0"/>
              <w:spacing w:line="300" w:lineRule="exact"/>
              <w:jc w:val="center"/>
              <w:rPr>
                <w:rFonts w:eastAsia="楷体_GB2312"/>
                <w:szCs w:val="21"/>
              </w:rPr>
            </w:pPr>
            <w:r>
              <w:rPr>
                <w:rFonts w:eastAsia="楷体_GB2312"/>
                <w:szCs w:val="21"/>
              </w:rPr>
              <w:t>《财政部、国家税务总局关于全面推行营业税改征增值税试点的通知》财税〔2016〕36号、《关于深化增值税改革有关政策的公告》财政部、税务总局、海关总署公告2019年第39号</w:t>
            </w:r>
          </w:p>
        </w:tc>
      </w:tr>
    </w:tbl>
    <w:p w14:paraId="50551998"/>
    <w:p w14:paraId="513A9263"/>
    <w:p w14:paraId="0A2FF42B">
      <w:pPr>
        <w:sectPr>
          <w:pgSz w:w="11906" w:h="16838"/>
          <w:pgMar w:top="1701" w:right="1418" w:bottom="1418" w:left="1701" w:header="1134" w:footer="992" w:gutter="0"/>
          <w:cols w:space="720" w:num="1"/>
          <w:docGrid w:linePitch="12" w:charSpace="0"/>
        </w:sectPr>
      </w:pPr>
    </w:p>
    <w:p w14:paraId="532B3F65">
      <w:pPr>
        <w:pStyle w:val="3"/>
        <w:spacing w:line="240" w:lineRule="auto"/>
        <w:jc w:val="center"/>
        <w:rPr>
          <w:rFonts w:ascii="Times New Roman" w:hAnsi="Times New Roman"/>
          <w:sz w:val="36"/>
        </w:rPr>
      </w:pPr>
      <w:bookmarkStart w:id="71" w:name="_Toc62563684"/>
      <w:r>
        <w:rPr>
          <w:rFonts w:ascii="Times New Roman" w:hAnsi="Times New Roman" w:eastAsia="宋体"/>
          <w:bCs w:val="0"/>
          <w:sz w:val="36"/>
        </w:rPr>
        <w:t>第三章   样点地价资料整理、分析及其工作数据库的建立</w:t>
      </w:r>
      <w:bookmarkEnd w:id="71"/>
    </w:p>
    <w:p w14:paraId="1DEF8E1E">
      <w:pPr>
        <w:spacing w:line="480" w:lineRule="exact"/>
        <w:ind w:firstLine="560" w:firstLineChars="200"/>
        <w:rPr>
          <w:rFonts w:eastAsia="楷体_GB2312"/>
          <w:sz w:val="28"/>
        </w:rPr>
      </w:pPr>
      <w:r>
        <w:rPr>
          <w:rFonts w:eastAsia="楷体_GB2312"/>
          <w:sz w:val="28"/>
        </w:rPr>
        <w:t>本次基准地价更新从各乡镇共收集了房地出租样点资料</w:t>
      </w:r>
      <w:r>
        <w:rPr>
          <w:rFonts w:hint="eastAsia" w:eastAsia="楷体_GB2312"/>
          <w:sz w:val="28"/>
        </w:rPr>
        <w:t>750</w:t>
      </w:r>
      <w:r>
        <w:rPr>
          <w:rFonts w:eastAsia="楷体_GB2312"/>
          <w:sz w:val="28"/>
        </w:rPr>
        <w:t>个，剔除部分异常样点，剩余</w:t>
      </w:r>
      <w:r>
        <w:rPr>
          <w:rFonts w:hint="eastAsia" w:eastAsia="楷体_GB2312"/>
          <w:sz w:val="28"/>
        </w:rPr>
        <w:t>740</w:t>
      </w:r>
      <w:r>
        <w:rPr>
          <w:rFonts w:eastAsia="楷体_GB2312"/>
          <w:sz w:val="28"/>
        </w:rPr>
        <w:t>个，房地买卖样点资料</w:t>
      </w:r>
      <w:r>
        <w:rPr>
          <w:rFonts w:hint="eastAsia" w:eastAsia="楷体_GB2312"/>
          <w:sz w:val="28"/>
        </w:rPr>
        <w:t>800</w:t>
      </w:r>
      <w:r>
        <w:rPr>
          <w:rFonts w:eastAsia="楷体_GB2312"/>
          <w:sz w:val="28"/>
        </w:rPr>
        <w:t>个，剔除部分异常样点，剩余</w:t>
      </w:r>
      <w:r>
        <w:rPr>
          <w:rFonts w:hint="eastAsia" w:eastAsia="楷体_GB2312"/>
          <w:sz w:val="28"/>
        </w:rPr>
        <w:t>790</w:t>
      </w:r>
      <w:r>
        <w:rPr>
          <w:rFonts w:eastAsia="楷体_GB2312"/>
          <w:sz w:val="28"/>
        </w:rPr>
        <w:t>个，工矿仓储用地土地使用权出让样点</w:t>
      </w:r>
      <w:r>
        <w:rPr>
          <w:rFonts w:hint="eastAsia" w:eastAsia="楷体_GB2312"/>
          <w:sz w:val="28"/>
        </w:rPr>
        <w:t>20</w:t>
      </w:r>
      <w:r>
        <w:rPr>
          <w:rFonts w:eastAsia="楷体_GB2312"/>
          <w:sz w:val="28"/>
        </w:rPr>
        <w:t>个。这些样点地价资料数量较多，而且背景情况或交易方式不尽相同，故需对它们进行整理，并建立其工作数据库。</w:t>
      </w:r>
    </w:p>
    <w:p w14:paraId="1CAE6068">
      <w:pPr>
        <w:pStyle w:val="4"/>
        <w:numPr>
          <w:ilvl w:val="0"/>
          <w:numId w:val="0"/>
        </w:numPr>
        <w:spacing w:line="240" w:lineRule="auto"/>
        <w:jc w:val="center"/>
        <w:rPr>
          <w:rFonts w:eastAsia="仿宋_GB2312"/>
          <w:bCs w:val="0"/>
        </w:rPr>
      </w:pPr>
      <w:bookmarkStart w:id="72" w:name="_Toc62563685"/>
      <w:r>
        <w:rPr>
          <w:rFonts w:eastAsia="仿宋_GB2312"/>
          <w:bCs w:val="0"/>
        </w:rPr>
        <w:t>第一节  房地出租资料的整理及其工作数据库的建立</w:t>
      </w:r>
      <w:bookmarkEnd w:id="72"/>
    </w:p>
    <w:p w14:paraId="3E589A4D">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本次土</w:t>
      </w:r>
      <w:r>
        <w:rPr>
          <w:rFonts w:ascii="Times New Roman" w:hAnsi="Times New Roman" w:eastAsia="楷体_GB2312" w:cs="Times New Roman"/>
          <w:sz w:val="28"/>
          <w:szCs w:val="24"/>
        </w:rPr>
        <w:t>地估价共收集了</w:t>
      </w:r>
      <w:r>
        <w:rPr>
          <w:rFonts w:hint="eastAsia" w:ascii="Times New Roman" w:hAnsi="Times New Roman" w:eastAsia="楷体_GB2312" w:cs="Times New Roman"/>
          <w:sz w:val="28"/>
          <w:szCs w:val="24"/>
        </w:rPr>
        <w:t>740</w:t>
      </w:r>
      <w:r>
        <w:rPr>
          <w:rFonts w:ascii="Times New Roman" w:hAnsi="Times New Roman" w:eastAsia="楷体_GB2312" w:cs="Times New Roman"/>
          <w:sz w:val="28"/>
          <w:szCs w:val="24"/>
        </w:rPr>
        <w:t>个房地出租样点资料，其中商服用地出租样点</w:t>
      </w:r>
      <w:r>
        <w:rPr>
          <w:rFonts w:hint="eastAsia" w:ascii="Times New Roman" w:hAnsi="Times New Roman" w:eastAsia="楷体_GB2312" w:cs="Times New Roman"/>
          <w:sz w:val="28"/>
          <w:szCs w:val="24"/>
        </w:rPr>
        <w:t>725</w:t>
      </w:r>
      <w:r>
        <w:rPr>
          <w:rFonts w:ascii="Times New Roman" w:hAnsi="Times New Roman" w:eastAsia="楷体_GB2312" w:cs="Times New Roman"/>
          <w:sz w:val="28"/>
          <w:szCs w:val="24"/>
        </w:rPr>
        <w:t>个。该类资料是市场交易资料</w:t>
      </w:r>
      <w:r>
        <w:rPr>
          <w:rFonts w:ascii="Times New Roman" w:hAnsi="Times New Roman" w:eastAsia="楷体_GB2312" w:cs="Times New Roman"/>
          <w:sz w:val="28"/>
        </w:rPr>
        <w:t>中样点量最多的一类资料，根据各类外业资料的特点，分别进行针对性调查。由于乡镇住宅出租很少，根据本次外业调查前要求，该类资料针对商服用地调查，它对商服用地基准地价测算非常重要。</w:t>
      </w:r>
    </w:p>
    <w:p w14:paraId="152330E8">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一、样点资料整理</w:t>
      </w:r>
    </w:p>
    <w:p w14:paraId="67C1492A">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1、样点类型统计整理</w:t>
      </w:r>
    </w:p>
    <w:p w14:paraId="4E39324E">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对房地出租样点按商服、住宅用地类型和城镇进行统计，统计结果见表2-3-1。</w:t>
      </w:r>
    </w:p>
    <w:p w14:paraId="1D59FD2C">
      <w:pPr>
        <w:pStyle w:val="20"/>
        <w:jc w:val="center"/>
        <w:rPr>
          <w:rFonts w:ascii="Times New Roman" w:hAnsi="Times New Roman" w:eastAsia="黑体" w:cs="Times New Roman"/>
          <w:sz w:val="28"/>
        </w:rPr>
      </w:pPr>
      <w:r>
        <w:rPr>
          <w:rFonts w:ascii="Times New Roman" w:hAnsi="Times New Roman" w:eastAsia="黑体" w:cs="Times New Roman"/>
          <w:sz w:val="28"/>
        </w:rPr>
        <w:t>表2-3-1  房地出租样点统计表</w:t>
      </w:r>
    </w:p>
    <w:tbl>
      <w:tblPr>
        <w:tblStyle w:val="38"/>
        <w:tblW w:w="0" w:type="auto"/>
        <w:jc w:val="center"/>
        <w:tblLayout w:type="autofit"/>
        <w:tblCellMar>
          <w:top w:w="0" w:type="dxa"/>
          <w:left w:w="108" w:type="dxa"/>
          <w:bottom w:w="0" w:type="dxa"/>
          <w:right w:w="108" w:type="dxa"/>
        </w:tblCellMar>
      </w:tblPr>
      <w:tblGrid>
        <w:gridCol w:w="636"/>
        <w:gridCol w:w="1266"/>
        <w:gridCol w:w="2106"/>
        <w:gridCol w:w="2526"/>
        <w:gridCol w:w="2106"/>
      </w:tblGrid>
      <w:tr w14:paraId="5A8F8811">
        <w:tblPrEx>
          <w:tblCellMar>
            <w:top w:w="0" w:type="dxa"/>
            <w:left w:w="108" w:type="dxa"/>
            <w:bottom w:w="0" w:type="dxa"/>
            <w:right w:w="108" w:type="dxa"/>
          </w:tblCellMar>
        </w:tblPrEx>
        <w:trPr>
          <w:trHeight w:val="64" w:hRule="atLeast"/>
          <w:tblHeader/>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37F11CB0">
            <w:pPr>
              <w:jc w:val="center"/>
              <w:rPr>
                <w:rFonts w:eastAsia="楷体_GB2312"/>
                <w:kern w:val="0"/>
                <w:szCs w:val="21"/>
              </w:rPr>
            </w:pPr>
            <w:r>
              <w:rPr>
                <w:rFonts w:eastAsia="楷体_GB2312"/>
                <w:kern w:val="0"/>
                <w:szCs w:val="21"/>
              </w:rPr>
              <w:t>编号</w:t>
            </w:r>
          </w:p>
        </w:tc>
        <w:tc>
          <w:tcPr>
            <w:tcW w:w="0" w:type="auto"/>
            <w:tcBorders>
              <w:top w:val="single" w:color="auto" w:sz="4" w:space="0"/>
              <w:left w:val="nil"/>
              <w:bottom w:val="single" w:color="auto" w:sz="4" w:space="0"/>
              <w:right w:val="single" w:color="auto" w:sz="4" w:space="0"/>
            </w:tcBorders>
            <w:noWrap w:val="0"/>
            <w:vAlign w:val="center"/>
          </w:tcPr>
          <w:p w14:paraId="33CF7F9E">
            <w:pPr>
              <w:jc w:val="center"/>
              <w:rPr>
                <w:rFonts w:eastAsia="楷体_GB2312"/>
                <w:kern w:val="0"/>
                <w:szCs w:val="21"/>
              </w:rPr>
            </w:pPr>
            <w:r>
              <w:rPr>
                <w:rFonts w:eastAsia="楷体_GB2312"/>
                <w:kern w:val="0"/>
                <w:szCs w:val="21"/>
              </w:rPr>
              <w:t>乡镇名称</w:t>
            </w:r>
          </w:p>
        </w:tc>
        <w:tc>
          <w:tcPr>
            <w:tcW w:w="0" w:type="auto"/>
            <w:tcBorders>
              <w:top w:val="single" w:color="auto" w:sz="4" w:space="0"/>
              <w:left w:val="nil"/>
              <w:bottom w:val="single" w:color="auto" w:sz="4" w:space="0"/>
              <w:right w:val="single" w:color="auto" w:sz="4" w:space="0"/>
            </w:tcBorders>
            <w:noWrap w:val="0"/>
            <w:vAlign w:val="center"/>
          </w:tcPr>
          <w:p w14:paraId="6AF2C2AB">
            <w:pPr>
              <w:jc w:val="center"/>
              <w:rPr>
                <w:rFonts w:eastAsia="楷体_GB2312"/>
                <w:kern w:val="0"/>
                <w:szCs w:val="21"/>
              </w:rPr>
            </w:pPr>
            <w:r>
              <w:rPr>
                <w:rFonts w:eastAsia="楷体_GB2312"/>
                <w:kern w:val="0"/>
                <w:szCs w:val="21"/>
              </w:rPr>
              <w:t>商服样点个数（个）</w:t>
            </w:r>
          </w:p>
        </w:tc>
        <w:tc>
          <w:tcPr>
            <w:tcW w:w="0" w:type="auto"/>
            <w:tcBorders>
              <w:top w:val="single" w:color="auto" w:sz="4" w:space="0"/>
              <w:left w:val="nil"/>
              <w:bottom w:val="single" w:color="auto" w:sz="4" w:space="0"/>
              <w:right w:val="single" w:color="auto" w:sz="4" w:space="0"/>
            </w:tcBorders>
            <w:noWrap w:val="0"/>
            <w:vAlign w:val="center"/>
          </w:tcPr>
          <w:p w14:paraId="4C070EDD">
            <w:pPr>
              <w:jc w:val="center"/>
              <w:rPr>
                <w:rFonts w:eastAsia="楷体_GB2312"/>
                <w:kern w:val="0"/>
                <w:szCs w:val="21"/>
              </w:rPr>
            </w:pPr>
            <w:r>
              <w:rPr>
                <w:rFonts w:eastAsia="楷体_GB2312"/>
                <w:kern w:val="0"/>
                <w:szCs w:val="21"/>
              </w:rPr>
              <w:t>占商服房地出租总样点比</w:t>
            </w:r>
          </w:p>
        </w:tc>
        <w:tc>
          <w:tcPr>
            <w:tcW w:w="0" w:type="auto"/>
            <w:tcBorders>
              <w:top w:val="single" w:color="auto" w:sz="4" w:space="0"/>
              <w:left w:val="nil"/>
              <w:bottom w:val="single" w:color="auto" w:sz="4" w:space="0"/>
              <w:right w:val="single" w:color="auto" w:sz="4" w:space="0"/>
            </w:tcBorders>
            <w:noWrap w:val="0"/>
            <w:vAlign w:val="center"/>
          </w:tcPr>
          <w:p w14:paraId="10A9326F">
            <w:pPr>
              <w:jc w:val="center"/>
              <w:rPr>
                <w:rFonts w:eastAsia="楷体_GB2312"/>
                <w:kern w:val="0"/>
                <w:szCs w:val="21"/>
              </w:rPr>
            </w:pPr>
            <w:r>
              <w:rPr>
                <w:rFonts w:eastAsia="楷体_GB2312"/>
                <w:kern w:val="0"/>
                <w:szCs w:val="21"/>
              </w:rPr>
              <w:t>占房地出租总样点比</w:t>
            </w:r>
          </w:p>
        </w:tc>
      </w:tr>
      <w:tr w14:paraId="143A78E6">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4DF15B48">
            <w:pPr>
              <w:jc w:val="center"/>
              <w:rPr>
                <w:rFonts w:eastAsia="楷体_GB2312"/>
                <w:kern w:val="0"/>
                <w:szCs w:val="21"/>
              </w:rPr>
            </w:pPr>
            <w:r>
              <w:rPr>
                <w:rFonts w:eastAsia="楷体_GB2312"/>
                <w:kern w:val="0"/>
                <w:szCs w:val="21"/>
              </w:rPr>
              <w:t>1</w:t>
            </w:r>
          </w:p>
        </w:tc>
        <w:tc>
          <w:tcPr>
            <w:tcW w:w="0" w:type="auto"/>
            <w:tcBorders>
              <w:top w:val="nil"/>
              <w:left w:val="nil"/>
              <w:bottom w:val="single" w:color="auto" w:sz="4" w:space="0"/>
              <w:right w:val="single" w:color="auto" w:sz="4" w:space="0"/>
            </w:tcBorders>
            <w:noWrap w:val="0"/>
            <w:vAlign w:val="center"/>
          </w:tcPr>
          <w:p w14:paraId="52D28AA6">
            <w:pPr>
              <w:jc w:val="center"/>
              <w:rPr>
                <w:rFonts w:eastAsia="楷体_GB2312"/>
                <w:kern w:val="0"/>
                <w:szCs w:val="21"/>
              </w:rPr>
            </w:pPr>
            <w:r>
              <w:rPr>
                <w:rFonts w:eastAsia="楷体_GB2312"/>
                <w:kern w:val="0"/>
                <w:szCs w:val="21"/>
              </w:rPr>
              <w:t>符离镇</w:t>
            </w:r>
          </w:p>
        </w:tc>
        <w:tc>
          <w:tcPr>
            <w:tcW w:w="0" w:type="auto"/>
            <w:tcBorders>
              <w:top w:val="nil"/>
              <w:left w:val="nil"/>
              <w:bottom w:val="single" w:color="auto" w:sz="4" w:space="0"/>
              <w:right w:val="single" w:color="auto" w:sz="4" w:space="0"/>
            </w:tcBorders>
            <w:noWrap w:val="0"/>
            <w:vAlign w:val="center"/>
          </w:tcPr>
          <w:p w14:paraId="493B78CA">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3FB443A1">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425E22CF">
            <w:pPr>
              <w:jc w:val="center"/>
              <w:rPr>
                <w:rFonts w:eastAsia="楷体_GB2312"/>
                <w:color w:val="000000"/>
                <w:szCs w:val="21"/>
              </w:rPr>
            </w:pPr>
            <w:r>
              <w:rPr>
                <w:rFonts w:eastAsia="楷体_GB2312"/>
                <w:color w:val="000000"/>
                <w:szCs w:val="21"/>
              </w:rPr>
              <w:t>4.05%</w:t>
            </w:r>
          </w:p>
        </w:tc>
      </w:tr>
      <w:tr w14:paraId="058B7D4E">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0FACD114">
            <w:pPr>
              <w:jc w:val="center"/>
              <w:rPr>
                <w:rFonts w:eastAsia="楷体_GB2312"/>
                <w:kern w:val="0"/>
                <w:szCs w:val="21"/>
              </w:rPr>
            </w:pPr>
            <w:r>
              <w:rPr>
                <w:rFonts w:eastAsia="楷体_GB2312"/>
                <w:kern w:val="0"/>
                <w:szCs w:val="21"/>
              </w:rPr>
              <w:t>2</w:t>
            </w:r>
          </w:p>
        </w:tc>
        <w:tc>
          <w:tcPr>
            <w:tcW w:w="0" w:type="auto"/>
            <w:tcBorders>
              <w:top w:val="nil"/>
              <w:left w:val="nil"/>
              <w:bottom w:val="single" w:color="auto" w:sz="4" w:space="0"/>
              <w:right w:val="single" w:color="auto" w:sz="4" w:space="0"/>
            </w:tcBorders>
            <w:noWrap w:val="0"/>
            <w:vAlign w:val="center"/>
          </w:tcPr>
          <w:p w14:paraId="0636A218">
            <w:pPr>
              <w:jc w:val="center"/>
              <w:rPr>
                <w:rFonts w:eastAsia="楷体_GB2312"/>
                <w:kern w:val="0"/>
                <w:szCs w:val="21"/>
              </w:rPr>
            </w:pPr>
            <w:r>
              <w:rPr>
                <w:rFonts w:eastAsia="楷体_GB2312"/>
                <w:kern w:val="0"/>
                <w:szCs w:val="21"/>
              </w:rPr>
              <w:t>朱仙庄镇</w:t>
            </w:r>
          </w:p>
        </w:tc>
        <w:tc>
          <w:tcPr>
            <w:tcW w:w="0" w:type="auto"/>
            <w:tcBorders>
              <w:top w:val="nil"/>
              <w:left w:val="nil"/>
              <w:bottom w:val="single" w:color="auto" w:sz="4" w:space="0"/>
              <w:right w:val="single" w:color="auto" w:sz="4" w:space="0"/>
            </w:tcBorders>
            <w:noWrap w:val="0"/>
            <w:vAlign w:val="center"/>
          </w:tcPr>
          <w:p w14:paraId="2C472283">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37502F2C">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2EA87A4C">
            <w:pPr>
              <w:jc w:val="center"/>
              <w:rPr>
                <w:rFonts w:eastAsia="楷体_GB2312"/>
                <w:color w:val="000000"/>
                <w:szCs w:val="21"/>
              </w:rPr>
            </w:pPr>
            <w:r>
              <w:rPr>
                <w:rFonts w:eastAsia="楷体_GB2312"/>
                <w:color w:val="000000"/>
                <w:szCs w:val="21"/>
              </w:rPr>
              <w:t>4.05%</w:t>
            </w:r>
          </w:p>
        </w:tc>
      </w:tr>
      <w:tr w14:paraId="186A3A54">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3304FEC8">
            <w:pPr>
              <w:jc w:val="center"/>
              <w:rPr>
                <w:rFonts w:eastAsia="楷体_GB2312"/>
                <w:kern w:val="0"/>
                <w:szCs w:val="21"/>
              </w:rPr>
            </w:pPr>
            <w:r>
              <w:rPr>
                <w:rFonts w:eastAsia="楷体_GB2312"/>
                <w:kern w:val="0"/>
                <w:szCs w:val="21"/>
              </w:rPr>
              <w:t>3</w:t>
            </w:r>
          </w:p>
        </w:tc>
        <w:tc>
          <w:tcPr>
            <w:tcW w:w="0" w:type="auto"/>
            <w:tcBorders>
              <w:top w:val="nil"/>
              <w:left w:val="nil"/>
              <w:bottom w:val="single" w:color="auto" w:sz="4" w:space="0"/>
              <w:right w:val="single" w:color="auto" w:sz="4" w:space="0"/>
            </w:tcBorders>
            <w:noWrap w:val="0"/>
            <w:vAlign w:val="center"/>
          </w:tcPr>
          <w:p w14:paraId="70E926DE">
            <w:pPr>
              <w:jc w:val="center"/>
              <w:rPr>
                <w:rFonts w:eastAsia="楷体_GB2312"/>
                <w:kern w:val="0"/>
                <w:szCs w:val="21"/>
              </w:rPr>
            </w:pPr>
            <w:r>
              <w:rPr>
                <w:rFonts w:eastAsia="楷体_GB2312"/>
                <w:kern w:val="0"/>
                <w:szCs w:val="21"/>
              </w:rPr>
              <w:t>蕲县镇</w:t>
            </w:r>
          </w:p>
        </w:tc>
        <w:tc>
          <w:tcPr>
            <w:tcW w:w="0" w:type="auto"/>
            <w:tcBorders>
              <w:top w:val="nil"/>
              <w:left w:val="nil"/>
              <w:bottom w:val="single" w:color="auto" w:sz="4" w:space="0"/>
              <w:right w:val="single" w:color="auto" w:sz="4" w:space="0"/>
            </w:tcBorders>
            <w:noWrap w:val="0"/>
            <w:vAlign w:val="center"/>
          </w:tcPr>
          <w:p w14:paraId="1706D0C5">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5CDD97A0">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6F37ABF7">
            <w:pPr>
              <w:jc w:val="center"/>
              <w:rPr>
                <w:rFonts w:eastAsia="楷体_GB2312"/>
                <w:color w:val="000000"/>
                <w:szCs w:val="21"/>
              </w:rPr>
            </w:pPr>
            <w:r>
              <w:rPr>
                <w:rFonts w:eastAsia="楷体_GB2312"/>
                <w:color w:val="000000"/>
                <w:szCs w:val="21"/>
              </w:rPr>
              <w:t>4.05%</w:t>
            </w:r>
          </w:p>
        </w:tc>
      </w:tr>
      <w:tr w14:paraId="22151027">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3F82A200">
            <w:pPr>
              <w:jc w:val="center"/>
              <w:rPr>
                <w:rFonts w:eastAsia="楷体_GB2312"/>
                <w:kern w:val="0"/>
                <w:szCs w:val="21"/>
              </w:rPr>
            </w:pPr>
            <w:r>
              <w:rPr>
                <w:rFonts w:eastAsia="楷体_GB2312"/>
                <w:kern w:val="0"/>
                <w:szCs w:val="21"/>
              </w:rPr>
              <w:t>4</w:t>
            </w:r>
          </w:p>
        </w:tc>
        <w:tc>
          <w:tcPr>
            <w:tcW w:w="0" w:type="auto"/>
            <w:tcBorders>
              <w:top w:val="nil"/>
              <w:left w:val="nil"/>
              <w:bottom w:val="single" w:color="auto" w:sz="4" w:space="0"/>
              <w:right w:val="single" w:color="auto" w:sz="4" w:space="0"/>
            </w:tcBorders>
            <w:noWrap w:val="0"/>
            <w:vAlign w:val="center"/>
          </w:tcPr>
          <w:p w14:paraId="6B46129F">
            <w:pPr>
              <w:jc w:val="center"/>
              <w:rPr>
                <w:rFonts w:eastAsia="楷体_GB2312"/>
                <w:kern w:val="0"/>
                <w:szCs w:val="21"/>
              </w:rPr>
            </w:pPr>
            <w:r>
              <w:rPr>
                <w:rFonts w:eastAsia="楷体_GB2312"/>
                <w:kern w:val="0"/>
                <w:szCs w:val="21"/>
              </w:rPr>
              <w:t>芦岭镇</w:t>
            </w:r>
          </w:p>
        </w:tc>
        <w:tc>
          <w:tcPr>
            <w:tcW w:w="0" w:type="auto"/>
            <w:tcBorders>
              <w:top w:val="nil"/>
              <w:left w:val="nil"/>
              <w:bottom w:val="single" w:color="auto" w:sz="4" w:space="0"/>
              <w:right w:val="single" w:color="auto" w:sz="4" w:space="0"/>
            </w:tcBorders>
            <w:noWrap w:val="0"/>
            <w:vAlign w:val="center"/>
          </w:tcPr>
          <w:p w14:paraId="1590BC4B">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7F89EBD4">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413295B0">
            <w:pPr>
              <w:jc w:val="center"/>
              <w:rPr>
                <w:rFonts w:eastAsia="楷体_GB2312"/>
                <w:color w:val="000000"/>
                <w:szCs w:val="21"/>
              </w:rPr>
            </w:pPr>
            <w:r>
              <w:rPr>
                <w:rFonts w:eastAsia="楷体_GB2312"/>
                <w:color w:val="000000"/>
                <w:szCs w:val="21"/>
              </w:rPr>
              <w:t>4.05%</w:t>
            </w:r>
          </w:p>
        </w:tc>
      </w:tr>
      <w:tr w14:paraId="4F46B475">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0ADBF046">
            <w:pPr>
              <w:jc w:val="center"/>
              <w:rPr>
                <w:rFonts w:eastAsia="楷体_GB2312"/>
                <w:kern w:val="0"/>
                <w:szCs w:val="21"/>
              </w:rPr>
            </w:pPr>
            <w:r>
              <w:rPr>
                <w:rFonts w:eastAsia="楷体_GB2312"/>
                <w:kern w:val="0"/>
                <w:szCs w:val="21"/>
              </w:rPr>
              <w:t>5</w:t>
            </w:r>
          </w:p>
        </w:tc>
        <w:tc>
          <w:tcPr>
            <w:tcW w:w="0" w:type="auto"/>
            <w:tcBorders>
              <w:top w:val="nil"/>
              <w:left w:val="nil"/>
              <w:bottom w:val="single" w:color="auto" w:sz="4" w:space="0"/>
              <w:right w:val="single" w:color="auto" w:sz="4" w:space="0"/>
            </w:tcBorders>
            <w:noWrap w:val="0"/>
            <w:vAlign w:val="center"/>
          </w:tcPr>
          <w:p w14:paraId="66FEA857">
            <w:pPr>
              <w:jc w:val="center"/>
              <w:rPr>
                <w:rFonts w:eastAsia="楷体_GB2312"/>
                <w:kern w:val="0"/>
                <w:szCs w:val="21"/>
              </w:rPr>
            </w:pPr>
            <w:r>
              <w:rPr>
                <w:rFonts w:eastAsia="楷体_GB2312"/>
                <w:kern w:val="0"/>
                <w:szCs w:val="21"/>
              </w:rPr>
              <w:t>大店镇</w:t>
            </w:r>
          </w:p>
        </w:tc>
        <w:tc>
          <w:tcPr>
            <w:tcW w:w="0" w:type="auto"/>
            <w:tcBorders>
              <w:top w:val="nil"/>
              <w:left w:val="nil"/>
              <w:bottom w:val="single" w:color="auto" w:sz="4" w:space="0"/>
              <w:right w:val="single" w:color="auto" w:sz="4" w:space="0"/>
            </w:tcBorders>
            <w:noWrap w:val="0"/>
            <w:vAlign w:val="center"/>
          </w:tcPr>
          <w:p w14:paraId="60D4545A">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6184749B">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57A782DF">
            <w:pPr>
              <w:jc w:val="center"/>
              <w:rPr>
                <w:rFonts w:eastAsia="楷体_GB2312"/>
                <w:color w:val="000000"/>
                <w:szCs w:val="21"/>
              </w:rPr>
            </w:pPr>
            <w:r>
              <w:rPr>
                <w:rFonts w:eastAsia="楷体_GB2312"/>
                <w:color w:val="000000"/>
                <w:szCs w:val="21"/>
              </w:rPr>
              <w:t>4.05%</w:t>
            </w:r>
          </w:p>
        </w:tc>
      </w:tr>
      <w:tr w14:paraId="3D939DBD">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60CEA070">
            <w:pPr>
              <w:jc w:val="center"/>
              <w:rPr>
                <w:rFonts w:eastAsia="楷体_GB2312"/>
                <w:kern w:val="0"/>
                <w:szCs w:val="21"/>
              </w:rPr>
            </w:pPr>
            <w:r>
              <w:rPr>
                <w:rFonts w:eastAsia="楷体_GB2312"/>
                <w:kern w:val="0"/>
                <w:szCs w:val="21"/>
              </w:rPr>
              <w:t>6</w:t>
            </w:r>
          </w:p>
        </w:tc>
        <w:tc>
          <w:tcPr>
            <w:tcW w:w="0" w:type="auto"/>
            <w:tcBorders>
              <w:top w:val="nil"/>
              <w:left w:val="nil"/>
              <w:bottom w:val="single" w:color="auto" w:sz="4" w:space="0"/>
              <w:right w:val="single" w:color="auto" w:sz="4" w:space="0"/>
            </w:tcBorders>
            <w:noWrap w:val="0"/>
            <w:vAlign w:val="center"/>
          </w:tcPr>
          <w:p w14:paraId="29373A67">
            <w:pPr>
              <w:jc w:val="center"/>
              <w:rPr>
                <w:rFonts w:eastAsia="楷体_GB2312"/>
                <w:kern w:val="0"/>
                <w:szCs w:val="21"/>
              </w:rPr>
            </w:pPr>
            <w:r>
              <w:rPr>
                <w:rFonts w:eastAsia="楷体_GB2312"/>
                <w:kern w:val="0"/>
                <w:szCs w:val="21"/>
              </w:rPr>
              <w:t>栏杆镇</w:t>
            </w:r>
          </w:p>
        </w:tc>
        <w:tc>
          <w:tcPr>
            <w:tcW w:w="0" w:type="auto"/>
            <w:tcBorders>
              <w:top w:val="nil"/>
              <w:left w:val="nil"/>
              <w:bottom w:val="single" w:color="auto" w:sz="4" w:space="0"/>
              <w:right w:val="single" w:color="auto" w:sz="4" w:space="0"/>
            </w:tcBorders>
            <w:noWrap w:val="0"/>
            <w:vAlign w:val="center"/>
          </w:tcPr>
          <w:p w14:paraId="229ED017">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735FF55B">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7C41AD16">
            <w:pPr>
              <w:jc w:val="center"/>
              <w:rPr>
                <w:rFonts w:eastAsia="楷体_GB2312"/>
                <w:color w:val="000000"/>
                <w:szCs w:val="21"/>
              </w:rPr>
            </w:pPr>
            <w:r>
              <w:rPr>
                <w:rFonts w:eastAsia="楷体_GB2312"/>
                <w:color w:val="000000"/>
                <w:szCs w:val="21"/>
              </w:rPr>
              <w:t>4.05%</w:t>
            </w:r>
          </w:p>
        </w:tc>
      </w:tr>
      <w:tr w14:paraId="77ED5F64">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07C81C65">
            <w:pPr>
              <w:jc w:val="center"/>
              <w:rPr>
                <w:rFonts w:eastAsia="楷体_GB2312"/>
                <w:kern w:val="0"/>
                <w:szCs w:val="21"/>
              </w:rPr>
            </w:pPr>
            <w:r>
              <w:rPr>
                <w:rFonts w:eastAsia="楷体_GB2312"/>
                <w:kern w:val="0"/>
                <w:szCs w:val="21"/>
              </w:rPr>
              <w:t>7</w:t>
            </w:r>
          </w:p>
        </w:tc>
        <w:tc>
          <w:tcPr>
            <w:tcW w:w="0" w:type="auto"/>
            <w:tcBorders>
              <w:top w:val="nil"/>
              <w:left w:val="nil"/>
              <w:bottom w:val="single" w:color="auto" w:sz="4" w:space="0"/>
              <w:right w:val="single" w:color="auto" w:sz="4" w:space="0"/>
            </w:tcBorders>
            <w:noWrap w:val="0"/>
            <w:vAlign w:val="center"/>
          </w:tcPr>
          <w:p w14:paraId="6F26A66B">
            <w:pPr>
              <w:jc w:val="center"/>
              <w:rPr>
                <w:rFonts w:eastAsia="楷体_GB2312"/>
                <w:kern w:val="0"/>
                <w:szCs w:val="21"/>
              </w:rPr>
            </w:pPr>
            <w:r>
              <w:rPr>
                <w:rFonts w:eastAsia="楷体_GB2312"/>
                <w:kern w:val="0"/>
                <w:szCs w:val="21"/>
              </w:rPr>
              <w:t>时村镇</w:t>
            </w:r>
          </w:p>
        </w:tc>
        <w:tc>
          <w:tcPr>
            <w:tcW w:w="0" w:type="auto"/>
            <w:tcBorders>
              <w:top w:val="nil"/>
              <w:left w:val="nil"/>
              <w:bottom w:val="single" w:color="auto" w:sz="4" w:space="0"/>
              <w:right w:val="single" w:color="auto" w:sz="4" w:space="0"/>
            </w:tcBorders>
            <w:noWrap w:val="0"/>
            <w:vAlign w:val="center"/>
          </w:tcPr>
          <w:p w14:paraId="1F4FC357">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041A5DF3">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2F538885">
            <w:pPr>
              <w:jc w:val="center"/>
              <w:rPr>
                <w:rFonts w:eastAsia="楷体_GB2312"/>
                <w:color w:val="000000"/>
                <w:szCs w:val="21"/>
              </w:rPr>
            </w:pPr>
            <w:r>
              <w:rPr>
                <w:rFonts w:eastAsia="楷体_GB2312"/>
                <w:color w:val="000000"/>
                <w:szCs w:val="21"/>
              </w:rPr>
              <w:t>4.05%</w:t>
            </w:r>
          </w:p>
        </w:tc>
      </w:tr>
      <w:tr w14:paraId="329880EE">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7590494E">
            <w:pPr>
              <w:jc w:val="center"/>
              <w:rPr>
                <w:rFonts w:eastAsia="楷体_GB2312"/>
                <w:kern w:val="0"/>
                <w:szCs w:val="21"/>
              </w:rPr>
            </w:pPr>
            <w:r>
              <w:rPr>
                <w:rFonts w:eastAsia="楷体_GB2312"/>
                <w:kern w:val="0"/>
                <w:szCs w:val="21"/>
              </w:rPr>
              <w:t>8</w:t>
            </w:r>
          </w:p>
        </w:tc>
        <w:tc>
          <w:tcPr>
            <w:tcW w:w="0" w:type="auto"/>
            <w:tcBorders>
              <w:top w:val="nil"/>
              <w:left w:val="nil"/>
              <w:bottom w:val="single" w:color="auto" w:sz="4" w:space="0"/>
              <w:right w:val="single" w:color="auto" w:sz="4" w:space="0"/>
            </w:tcBorders>
            <w:noWrap w:val="0"/>
            <w:vAlign w:val="center"/>
          </w:tcPr>
          <w:p w14:paraId="37A236FE">
            <w:pPr>
              <w:jc w:val="center"/>
              <w:rPr>
                <w:rFonts w:eastAsia="楷体_GB2312"/>
                <w:kern w:val="0"/>
                <w:szCs w:val="21"/>
              </w:rPr>
            </w:pPr>
            <w:r>
              <w:rPr>
                <w:rFonts w:eastAsia="楷体_GB2312"/>
                <w:kern w:val="0"/>
                <w:szCs w:val="21"/>
              </w:rPr>
              <w:t>夹沟镇</w:t>
            </w:r>
          </w:p>
        </w:tc>
        <w:tc>
          <w:tcPr>
            <w:tcW w:w="0" w:type="auto"/>
            <w:tcBorders>
              <w:top w:val="nil"/>
              <w:left w:val="nil"/>
              <w:bottom w:val="single" w:color="auto" w:sz="4" w:space="0"/>
              <w:right w:val="single" w:color="auto" w:sz="4" w:space="0"/>
            </w:tcBorders>
            <w:noWrap w:val="0"/>
            <w:vAlign w:val="center"/>
          </w:tcPr>
          <w:p w14:paraId="01A29CF6">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4DFAF004">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4C04B7D6">
            <w:pPr>
              <w:jc w:val="center"/>
              <w:rPr>
                <w:rFonts w:eastAsia="楷体_GB2312"/>
                <w:color w:val="000000"/>
                <w:szCs w:val="21"/>
              </w:rPr>
            </w:pPr>
            <w:r>
              <w:rPr>
                <w:rFonts w:eastAsia="楷体_GB2312"/>
                <w:color w:val="000000"/>
                <w:szCs w:val="21"/>
              </w:rPr>
              <w:t>4.05%</w:t>
            </w:r>
          </w:p>
        </w:tc>
      </w:tr>
      <w:tr w14:paraId="3A9EC222">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7187F139">
            <w:pPr>
              <w:jc w:val="center"/>
              <w:rPr>
                <w:rFonts w:eastAsia="楷体_GB2312"/>
                <w:kern w:val="0"/>
                <w:szCs w:val="21"/>
              </w:rPr>
            </w:pPr>
            <w:r>
              <w:rPr>
                <w:rFonts w:eastAsia="楷体_GB2312"/>
                <w:kern w:val="0"/>
                <w:szCs w:val="21"/>
              </w:rPr>
              <w:t>9</w:t>
            </w:r>
          </w:p>
        </w:tc>
        <w:tc>
          <w:tcPr>
            <w:tcW w:w="0" w:type="auto"/>
            <w:tcBorders>
              <w:top w:val="nil"/>
              <w:left w:val="nil"/>
              <w:bottom w:val="single" w:color="auto" w:sz="4" w:space="0"/>
              <w:right w:val="single" w:color="auto" w:sz="4" w:space="0"/>
            </w:tcBorders>
            <w:noWrap w:val="0"/>
            <w:vAlign w:val="center"/>
          </w:tcPr>
          <w:p w14:paraId="7FF7DFD4">
            <w:pPr>
              <w:jc w:val="center"/>
              <w:rPr>
                <w:rFonts w:eastAsia="楷体_GB2312"/>
                <w:kern w:val="0"/>
                <w:szCs w:val="21"/>
              </w:rPr>
            </w:pPr>
            <w:r>
              <w:rPr>
                <w:rFonts w:eastAsia="楷体_GB2312"/>
                <w:kern w:val="0"/>
                <w:szCs w:val="21"/>
              </w:rPr>
              <w:t>西二铺乡</w:t>
            </w:r>
          </w:p>
        </w:tc>
        <w:tc>
          <w:tcPr>
            <w:tcW w:w="0" w:type="auto"/>
            <w:tcBorders>
              <w:top w:val="nil"/>
              <w:left w:val="nil"/>
              <w:bottom w:val="single" w:color="auto" w:sz="4" w:space="0"/>
              <w:right w:val="single" w:color="auto" w:sz="4" w:space="0"/>
            </w:tcBorders>
            <w:noWrap w:val="0"/>
            <w:vAlign w:val="center"/>
          </w:tcPr>
          <w:p w14:paraId="1AA8CA48">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1DEEB39D">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6A9235DE">
            <w:pPr>
              <w:jc w:val="center"/>
              <w:rPr>
                <w:rFonts w:eastAsia="楷体_GB2312"/>
                <w:color w:val="000000"/>
                <w:szCs w:val="21"/>
              </w:rPr>
            </w:pPr>
            <w:r>
              <w:rPr>
                <w:rFonts w:eastAsia="楷体_GB2312"/>
                <w:color w:val="000000"/>
                <w:szCs w:val="21"/>
              </w:rPr>
              <w:t>4.05%</w:t>
            </w:r>
          </w:p>
        </w:tc>
      </w:tr>
      <w:tr w14:paraId="230E68DD">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6E550C6C">
            <w:pPr>
              <w:jc w:val="center"/>
              <w:rPr>
                <w:rFonts w:eastAsia="楷体_GB2312"/>
                <w:kern w:val="0"/>
                <w:szCs w:val="21"/>
              </w:rPr>
            </w:pPr>
            <w:r>
              <w:rPr>
                <w:rFonts w:eastAsia="楷体_GB2312"/>
                <w:kern w:val="0"/>
                <w:szCs w:val="21"/>
              </w:rPr>
              <w:t>10</w:t>
            </w:r>
          </w:p>
        </w:tc>
        <w:tc>
          <w:tcPr>
            <w:tcW w:w="0" w:type="auto"/>
            <w:tcBorders>
              <w:top w:val="nil"/>
              <w:left w:val="nil"/>
              <w:bottom w:val="single" w:color="auto" w:sz="4" w:space="0"/>
              <w:right w:val="single" w:color="auto" w:sz="4" w:space="0"/>
            </w:tcBorders>
            <w:noWrap w:val="0"/>
            <w:vAlign w:val="center"/>
          </w:tcPr>
          <w:p w14:paraId="4EBC0A2F">
            <w:pPr>
              <w:jc w:val="center"/>
              <w:rPr>
                <w:rFonts w:eastAsia="楷体_GB2312"/>
                <w:kern w:val="0"/>
                <w:szCs w:val="21"/>
              </w:rPr>
            </w:pPr>
            <w:r>
              <w:rPr>
                <w:rFonts w:eastAsia="楷体_GB2312"/>
                <w:kern w:val="0"/>
                <w:szCs w:val="21"/>
              </w:rPr>
              <w:t>桃园镇</w:t>
            </w:r>
          </w:p>
        </w:tc>
        <w:tc>
          <w:tcPr>
            <w:tcW w:w="0" w:type="auto"/>
            <w:tcBorders>
              <w:top w:val="nil"/>
              <w:left w:val="nil"/>
              <w:bottom w:val="single" w:color="auto" w:sz="4" w:space="0"/>
              <w:right w:val="single" w:color="auto" w:sz="4" w:space="0"/>
            </w:tcBorders>
            <w:noWrap w:val="0"/>
            <w:vAlign w:val="center"/>
          </w:tcPr>
          <w:p w14:paraId="7F4B0164">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020B200A">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34880006">
            <w:pPr>
              <w:jc w:val="center"/>
              <w:rPr>
                <w:rFonts w:eastAsia="楷体_GB2312"/>
                <w:color w:val="000000"/>
                <w:szCs w:val="21"/>
              </w:rPr>
            </w:pPr>
            <w:r>
              <w:rPr>
                <w:rFonts w:eastAsia="楷体_GB2312"/>
                <w:color w:val="000000"/>
                <w:szCs w:val="21"/>
              </w:rPr>
              <w:t>4.05%</w:t>
            </w:r>
          </w:p>
        </w:tc>
      </w:tr>
      <w:tr w14:paraId="0EFF16D8">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18E0ABD6">
            <w:pPr>
              <w:jc w:val="center"/>
              <w:rPr>
                <w:rFonts w:eastAsia="楷体_GB2312"/>
                <w:kern w:val="0"/>
                <w:szCs w:val="21"/>
              </w:rPr>
            </w:pPr>
            <w:r>
              <w:rPr>
                <w:rFonts w:eastAsia="楷体_GB2312"/>
                <w:kern w:val="0"/>
                <w:szCs w:val="21"/>
              </w:rPr>
              <w:t>11</w:t>
            </w:r>
          </w:p>
        </w:tc>
        <w:tc>
          <w:tcPr>
            <w:tcW w:w="0" w:type="auto"/>
            <w:tcBorders>
              <w:top w:val="nil"/>
              <w:left w:val="nil"/>
              <w:bottom w:val="single" w:color="auto" w:sz="4" w:space="0"/>
              <w:right w:val="single" w:color="auto" w:sz="4" w:space="0"/>
            </w:tcBorders>
            <w:noWrap w:val="0"/>
            <w:vAlign w:val="center"/>
          </w:tcPr>
          <w:p w14:paraId="45F74ED4">
            <w:pPr>
              <w:jc w:val="center"/>
              <w:rPr>
                <w:rFonts w:eastAsia="楷体_GB2312"/>
                <w:kern w:val="0"/>
                <w:szCs w:val="21"/>
              </w:rPr>
            </w:pPr>
            <w:r>
              <w:rPr>
                <w:rFonts w:eastAsia="楷体_GB2312"/>
                <w:kern w:val="0"/>
                <w:szCs w:val="21"/>
              </w:rPr>
              <w:t>曹村镇</w:t>
            </w:r>
          </w:p>
        </w:tc>
        <w:tc>
          <w:tcPr>
            <w:tcW w:w="0" w:type="auto"/>
            <w:tcBorders>
              <w:top w:val="nil"/>
              <w:left w:val="nil"/>
              <w:bottom w:val="single" w:color="auto" w:sz="4" w:space="0"/>
              <w:right w:val="single" w:color="auto" w:sz="4" w:space="0"/>
            </w:tcBorders>
            <w:noWrap w:val="0"/>
            <w:vAlign w:val="center"/>
          </w:tcPr>
          <w:p w14:paraId="012B51F2">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3C0A6D3F">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714DA999">
            <w:pPr>
              <w:jc w:val="center"/>
              <w:rPr>
                <w:rFonts w:eastAsia="楷体_GB2312"/>
                <w:color w:val="000000"/>
                <w:szCs w:val="21"/>
              </w:rPr>
            </w:pPr>
            <w:r>
              <w:rPr>
                <w:rFonts w:eastAsia="楷体_GB2312"/>
                <w:color w:val="000000"/>
                <w:szCs w:val="21"/>
              </w:rPr>
              <w:t>4.05%</w:t>
            </w:r>
          </w:p>
        </w:tc>
      </w:tr>
      <w:tr w14:paraId="19E64156">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461BD9E4">
            <w:pPr>
              <w:jc w:val="center"/>
              <w:rPr>
                <w:rFonts w:eastAsia="楷体_GB2312"/>
                <w:kern w:val="0"/>
                <w:szCs w:val="21"/>
              </w:rPr>
            </w:pPr>
            <w:r>
              <w:rPr>
                <w:rFonts w:eastAsia="楷体_GB2312"/>
                <w:kern w:val="0"/>
                <w:szCs w:val="21"/>
              </w:rPr>
              <w:t>12</w:t>
            </w:r>
          </w:p>
        </w:tc>
        <w:tc>
          <w:tcPr>
            <w:tcW w:w="0" w:type="auto"/>
            <w:tcBorders>
              <w:top w:val="nil"/>
              <w:left w:val="nil"/>
              <w:bottom w:val="single" w:color="auto" w:sz="4" w:space="0"/>
              <w:right w:val="single" w:color="auto" w:sz="4" w:space="0"/>
            </w:tcBorders>
            <w:noWrap w:val="0"/>
            <w:vAlign w:val="center"/>
          </w:tcPr>
          <w:p w14:paraId="4C30928F">
            <w:pPr>
              <w:jc w:val="center"/>
              <w:rPr>
                <w:rFonts w:eastAsia="楷体_GB2312"/>
                <w:kern w:val="0"/>
                <w:szCs w:val="21"/>
              </w:rPr>
            </w:pPr>
            <w:r>
              <w:rPr>
                <w:rFonts w:eastAsia="楷体_GB2312"/>
                <w:kern w:val="0"/>
                <w:szCs w:val="21"/>
              </w:rPr>
              <w:t>大营镇</w:t>
            </w:r>
          </w:p>
        </w:tc>
        <w:tc>
          <w:tcPr>
            <w:tcW w:w="0" w:type="auto"/>
            <w:tcBorders>
              <w:top w:val="nil"/>
              <w:left w:val="nil"/>
              <w:bottom w:val="single" w:color="auto" w:sz="4" w:space="0"/>
              <w:right w:val="single" w:color="auto" w:sz="4" w:space="0"/>
            </w:tcBorders>
            <w:noWrap w:val="0"/>
            <w:vAlign w:val="center"/>
          </w:tcPr>
          <w:p w14:paraId="01B1AFAE">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00DAC3DE">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60353C4F">
            <w:pPr>
              <w:jc w:val="center"/>
              <w:rPr>
                <w:rFonts w:eastAsia="楷体_GB2312"/>
                <w:color w:val="000000"/>
                <w:szCs w:val="21"/>
              </w:rPr>
            </w:pPr>
            <w:r>
              <w:rPr>
                <w:rFonts w:eastAsia="楷体_GB2312"/>
                <w:color w:val="000000"/>
                <w:szCs w:val="21"/>
              </w:rPr>
              <w:t>4.05%</w:t>
            </w:r>
          </w:p>
        </w:tc>
      </w:tr>
      <w:tr w14:paraId="03E7031F">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7D38B4AB">
            <w:pPr>
              <w:jc w:val="center"/>
              <w:rPr>
                <w:rFonts w:eastAsia="楷体_GB2312"/>
                <w:kern w:val="0"/>
                <w:szCs w:val="21"/>
              </w:rPr>
            </w:pPr>
            <w:r>
              <w:rPr>
                <w:rFonts w:eastAsia="楷体_GB2312"/>
                <w:kern w:val="0"/>
                <w:szCs w:val="21"/>
              </w:rPr>
              <w:t>13</w:t>
            </w:r>
          </w:p>
        </w:tc>
        <w:tc>
          <w:tcPr>
            <w:tcW w:w="0" w:type="auto"/>
            <w:tcBorders>
              <w:top w:val="nil"/>
              <w:left w:val="nil"/>
              <w:bottom w:val="single" w:color="auto" w:sz="4" w:space="0"/>
              <w:right w:val="single" w:color="auto" w:sz="4" w:space="0"/>
            </w:tcBorders>
            <w:noWrap w:val="0"/>
            <w:vAlign w:val="center"/>
          </w:tcPr>
          <w:p w14:paraId="456FFDC0">
            <w:pPr>
              <w:jc w:val="center"/>
              <w:rPr>
                <w:rFonts w:eastAsia="楷体_GB2312"/>
                <w:kern w:val="0"/>
                <w:szCs w:val="21"/>
              </w:rPr>
            </w:pPr>
            <w:r>
              <w:rPr>
                <w:rFonts w:eastAsia="楷体_GB2312"/>
                <w:kern w:val="0"/>
                <w:szCs w:val="21"/>
              </w:rPr>
              <w:t>褚兰镇</w:t>
            </w:r>
          </w:p>
        </w:tc>
        <w:tc>
          <w:tcPr>
            <w:tcW w:w="0" w:type="auto"/>
            <w:tcBorders>
              <w:top w:val="nil"/>
              <w:left w:val="nil"/>
              <w:bottom w:val="single" w:color="auto" w:sz="4" w:space="0"/>
              <w:right w:val="single" w:color="auto" w:sz="4" w:space="0"/>
            </w:tcBorders>
            <w:noWrap w:val="0"/>
            <w:vAlign w:val="center"/>
          </w:tcPr>
          <w:p w14:paraId="15BFEE3B">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47BC1A53">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4156F142">
            <w:pPr>
              <w:jc w:val="center"/>
              <w:rPr>
                <w:rFonts w:eastAsia="楷体_GB2312"/>
                <w:color w:val="000000"/>
                <w:szCs w:val="21"/>
              </w:rPr>
            </w:pPr>
            <w:r>
              <w:rPr>
                <w:rFonts w:eastAsia="楷体_GB2312"/>
                <w:color w:val="000000"/>
                <w:szCs w:val="21"/>
              </w:rPr>
              <w:t>4.05%</w:t>
            </w:r>
          </w:p>
        </w:tc>
      </w:tr>
      <w:tr w14:paraId="3F401DEE">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38453558">
            <w:pPr>
              <w:jc w:val="center"/>
              <w:rPr>
                <w:rFonts w:eastAsia="楷体_GB2312"/>
                <w:kern w:val="0"/>
                <w:szCs w:val="21"/>
              </w:rPr>
            </w:pPr>
            <w:r>
              <w:rPr>
                <w:rFonts w:eastAsia="楷体_GB2312"/>
                <w:kern w:val="0"/>
                <w:szCs w:val="21"/>
              </w:rPr>
              <w:t>14</w:t>
            </w:r>
          </w:p>
        </w:tc>
        <w:tc>
          <w:tcPr>
            <w:tcW w:w="0" w:type="auto"/>
            <w:tcBorders>
              <w:top w:val="nil"/>
              <w:left w:val="nil"/>
              <w:bottom w:val="single" w:color="auto" w:sz="4" w:space="0"/>
              <w:right w:val="single" w:color="auto" w:sz="4" w:space="0"/>
            </w:tcBorders>
            <w:noWrap w:val="0"/>
            <w:vAlign w:val="center"/>
          </w:tcPr>
          <w:p w14:paraId="2DB9C5A3">
            <w:pPr>
              <w:jc w:val="center"/>
              <w:rPr>
                <w:rFonts w:eastAsia="楷体_GB2312"/>
                <w:kern w:val="0"/>
                <w:szCs w:val="21"/>
              </w:rPr>
            </w:pPr>
            <w:r>
              <w:rPr>
                <w:rFonts w:eastAsia="楷体_GB2312"/>
                <w:kern w:val="0"/>
                <w:szCs w:val="21"/>
              </w:rPr>
              <w:t>顺河镇</w:t>
            </w:r>
          </w:p>
        </w:tc>
        <w:tc>
          <w:tcPr>
            <w:tcW w:w="0" w:type="auto"/>
            <w:tcBorders>
              <w:top w:val="nil"/>
              <w:left w:val="nil"/>
              <w:bottom w:val="single" w:color="auto" w:sz="4" w:space="0"/>
              <w:right w:val="single" w:color="auto" w:sz="4" w:space="0"/>
            </w:tcBorders>
            <w:noWrap w:val="0"/>
            <w:vAlign w:val="center"/>
          </w:tcPr>
          <w:p w14:paraId="45848482">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01D64F50">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69F62714">
            <w:pPr>
              <w:jc w:val="center"/>
              <w:rPr>
                <w:rFonts w:eastAsia="楷体_GB2312"/>
                <w:color w:val="000000"/>
                <w:szCs w:val="21"/>
              </w:rPr>
            </w:pPr>
            <w:r>
              <w:rPr>
                <w:rFonts w:eastAsia="楷体_GB2312"/>
                <w:color w:val="000000"/>
                <w:szCs w:val="21"/>
              </w:rPr>
              <w:t>4.05%</w:t>
            </w:r>
          </w:p>
        </w:tc>
      </w:tr>
      <w:tr w14:paraId="31FB72B4">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0326F0CA">
            <w:pPr>
              <w:jc w:val="center"/>
              <w:rPr>
                <w:rFonts w:eastAsia="楷体_GB2312"/>
                <w:kern w:val="0"/>
                <w:szCs w:val="21"/>
              </w:rPr>
            </w:pPr>
            <w:r>
              <w:rPr>
                <w:rFonts w:eastAsia="楷体_GB2312"/>
                <w:kern w:val="0"/>
                <w:szCs w:val="21"/>
              </w:rPr>
              <w:t>15</w:t>
            </w:r>
          </w:p>
        </w:tc>
        <w:tc>
          <w:tcPr>
            <w:tcW w:w="0" w:type="auto"/>
            <w:tcBorders>
              <w:top w:val="nil"/>
              <w:left w:val="nil"/>
              <w:bottom w:val="single" w:color="auto" w:sz="4" w:space="0"/>
              <w:right w:val="single" w:color="auto" w:sz="4" w:space="0"/>
            </w:tcBorders>
            <w:noWrap w:val="0"/>
            <w:vAlign w:val="center"/>
          </w:tcPr>
          <w:p w14:paraId="7B1FA620">
            <w:pPr>
              <w:jc w:val="center"/>
              <w:rPr>
                <w:rFonts w:eastAsia="楷体_GB2312"/>
                <w:kern w:val="0"/>
                <w:szCs w:val="21"/>
              </w:rPr>
            </w:pPr>
            <w:r>
              <w:rPr>
                <w:rFonts w:eastAsia="楷体_GB2312"/>
                <w:kern w:val="0"/>
                <w:szCs w:val="21"/>
              </w:rPr>
              <w:t>杨庄镇</w:t>
            </w:r>
          </w:p>
        </w:tc>
        <w:tc>
          <w:tcPr>
            <w:tcW w:w="0" w:type="auto"/>
            <w:tcBorders>
              <w:top w:val="nil"/>
              <w:left w:val="nil"/>
              <w:bottom w:val="single" w:color="auto" w:sz="4" w:space="0"/>
              <w:right w:val="single" w:color="auto" w:sz="4" w:space="0"/>
            </w:tcBorders>
            <w:noWrap w:val="0"/>
            <w:vAlign w:val="center"/>
          </w:tcPr>
          <w:p w14:paraId="0FA8EA4B">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11E18C60">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1C9B0A9E">
            <w:pPr>
              <w:jc w:val="center"/>
              <w:rPr>
                <w:rFonts w:eastAsia="楷体_GB2312"/>
                <w:color w:val="000000"/>
                <w:szCs w:val="21"/>
              </w:rPr>
            </w:pPr>
            <w:r>
              <w:rPr>
                <w:rFonts w:eastAsia="楷体_GB2312"/>
                <w:color w:val="000000"/>
                <w:szCs w:val="21"/>
              </w:rPr>
              <w:t>4.05%</w:t>
            </w:r>
          </w:p>
        </w:tc>
      </w:tr>
      <w:tr w14:paraId="6CF98F23">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20418D03">
            <w:pPr>
              <w:jc w:val="center"/>
              <w:rPr>
                <w:rFonts w:eastAsia="楷体_GB2312"/>
                <w:kern w:val="0"/>
                <w:szCs w:val="21"/>
              </w:rPr>
            </w:pPr>
            <w:r>
              <w:rPr>
                <w:rFonts w:eastAsia="楷体_GB2312"/>
                <w:kern w:val="0"/>
                <w:szCs w:val="21"/>
              </w:rPr>
              <w:t>16</w:t>
            </w:r>
          </w:p>
        </w:tc>
        <w:tc>
          <w:tcPr>
            <w:tcW w:w="0" w:type="auto"/>
            <w:tcBorders>
              <w:top w:val="nil"/>
              <w:left w:val="nil"/>
              <w:bottom w:val="single" w:color="auto" w:sz="4" w:space="0"/>
              <w:right w:val="single" w:color="auto" w:sz="4" w:space="0"/>
            </w:tcBorders>
            <w:noWrap w:val="0"/>
            <w:vAlign w:val="center"/>
          </w:tcPr>
          <w:p w14:paraId="5652A065">
            <w:pPr>
              <w:jc w:val="center"/>
              <w:rPr>
                <w:rFonts w:eastAsia="楷体_GB2312"/>
                <w:kern w:val="0"/>
                <w:szCs w:val="21"/>
              </w:rPr>
            </w:pPr>
            <w:r>
              <w:rPr>
                <w:rFonts w:eastAsia="楷体_GB2312"/>
                <w:kern w:val="0"/>
                <w:szCs w:val="21"/>
              </w:rPr>
              <w:t>永镇乡</w:t>
            </w:r>
          </w:p>
        </w:tc>
        <w:tc>
          <w:tcPr>
            <w:tcW w:w="0" w:type="auto"/>
            <w:tcBorders>
              <w:top w:val="nil"/>
              <w:left w:val="nil"/>
              <w:bottom w:val="single" w:color="auto" w:sz="4" w:space="0"/>
              <w:right w:val="single" w:color="auto" w:sz="4" w:space="0"/>
            </w:tcBorders>
            <w:noWrap w:val="0"/>
            <w:vAlign w:val="center"/>
          </w:tcPr>
          <w:p w14:paraId="382F5342">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22BA5C76">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4B64B28F">
            <w:pPr>
              <w:jc w:val="center"/>
              <w:rPr>
                <w:rFonts w:eastAsia="楷体_GB2312"/>
                <w:color w:val="000000"/>
                <w:szCs w:val="21"/>
              </w:rPr>
            </w:pPr>
            <w:r>
              <w:rPr>
                <w:rFonts w:eastAsia="楷体_GB2312"/>
                <w:color w:val="000000"/>
                <w:szCs w:val="21"/>
              </w:rPr>
              <w:t>4.05%</w:t>
            </w:r>
          </w:p>
        </w:tc>
      </w:tr>
      <w:tr w14:paraId="08B708A5">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35FD34C7">
            <w:pPr>
              <w:jc w:val="center"/>
              <w:rPr>
                <w:rFonts w:eastAsia="楷体_GB2312"/>
                <w:kern w:val="0"/>
                <w:szCs w:val="21"/>
              </w:rPr>
            </w:pPr>
            <w:r>
              <w:rPr>
                <w:rFonts w:eastAsia="楷体_GB2312"/>
                <w:kern w:val="0"/>
                <w:szCs w:val="21"/>
              </w:rPr>
              <w:t>17</w:t>
            </w:r>
          </w:p>
        </w:tc>
        <w:tc>
          <w:tcPr>
            <w:tcW w:w="0" w:type="auto"/>
            <w:tcBorders>
              <w:top w:val="nil"/>
              <w:left w:val="nil"/>
              <w:bottom w:val="single" w:color="auto" w:sz="4" w:space="0"/>
              <w:right w:val="single" w:color="auto" w:sz="4" w:space="0"/>
            </w:tcBorders>
            <w:noWrap w:val="0"/>
            <w:vAlign w:val="center"/>
          </w:tcPr>
          <w:p w14:paraId="29DECF1E">
            <w:pPr>
              <w:jc w:val="center"/>
              <w:rPr>
                <w:rFonts w:eastAsia="楷体_GB2312"/>
                <w:kern w:val="0"/>
                <w:szCs w:val="21"/>
              </w:rPr>
            </w:pPr>
            <w:r>
              <w:rPr>
                <w:rFonts w:eastAsia="楷体_GB2312"/>
                <w:kern w:val="0"/>
                <w:szCs w:val="21"/>
              </w:rPr>
              <w:t>解集镇</w:t>
            </w:r>
          </w:p>
        </w:tc>
        <w:tc>
          <w:tcPr>
            <w:tcW w:w="0" w:type="auto"/>
            <w:tcBorders>
              <w:top w:val="nil"/>
              <w:left w:val="nil"/>
              <w:bottom w:val="single" w:color="auto" w:sz="4" w:space="0"/>
              <w:right w:val="single" w:color="auto" w:sz="4" w:space="0"/>
            </w:tcBorders>
            <w:noWrap w:val="0"/>
            <w:vAlign w:val="center"/>
          </w:tcPr>
          <w:p w14:paraId="1FDD6760">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3C777C51">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06E6F516">
            <w:pPr>
              <w:jc w:val="center"/>
              <w:rPr>
                <w:rFonts w:eastAsia="楷体_GB2312"/>
                <w:color w:val="000000"/>
                <w:szCs w:val="21"/>
              </w:rPr>
            </w:pPr>
            <w:r>
              <w:rPr>
                <w:rFonts w:eastAsia="楷体_GB2312"/>
                <w:color w:val="000000"/>
                <w:szCs w:val="21"/>
              </w:rPr>
              <w:t>4.05%</w:t>
            </w:r>
          </w:p>
        </w:tc>
      </w:tr>
      <w:tr w14:paraId="57F3AD49">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4089A9BA">
            <w:pPr>
              <w:jc w:val="center"/>
              <w:rPr>
                <w:rFonts w:eastAsia="楷体_GB2312"/>
                <w:kern w:val="0"/>
                <w:szCs w:val="21"/>
              </w:rPr>
            </w:pPr>
            <w:r>
              <w:rPr>
                <w:rFonts w:eastAsia="楷体_GB2312"/>
                <w:kern w:val="0"/>
                <w:szCs w:val="21"/>
              </w:rPr>
              <w:t>18</w:t>
            </w:r>
          </w:p>
        </w:tc>
        <w:tc>
          <w:tcPr>
            <w:tcW w:w="0" w:type="auto"/>
            <w:tcBorders>
              <w:top w:val="nil"/>
              <w:left w:val="nil"/>
              <w:bottom w:val="single" w:color="auto" w:sz="4" w:space="0"/>
              <w:right w:val="single" w:color="auto" w:sz="4" w:space="0"/>
            </w:tcBorders>
            <w:noWrap w:val="0"/>
            <w:vAlign w:val="center"/>
          </w:tcPr>
          <w:p w14:paraId="29312D1D">
            <w:pPr>
              <w:jc w:val="center"/>
              <w:rPr>
                <w:rFonts w:eastAsia="楷体_GB2312"/>
                <w:kern w:val="0"/>
                <w:szCs w:val="21"/>
              </w:rPr>
            </w:pPr>
            <w:r>
              <w:rPr>
                <w:rFonts w:eastAsia="楷体_GB2312"/>
                <w:kern w:val="0"/>
                <w:szCs w:val="21"/>
              </w:rPr>
              <w:t>大泽乡镇</w:t>
            </w:r>
          </w:p>
        </w:tc>
        <w:tc>
          <w:tcPr>
            <w:tcW w:w="0" w:type="auto"/>
            <w:tcBorders>
              <w:top w:val="nil"/>
              <w:left w:val="nil"/>
              <w:bottom w:val="single" w:color="auto" w:sz="4" w:space="0"/>
              <w:right w:val="single" w:color="auto" w:sz="4" w:space="0"/>
            </w:tcBorders>
            <w:noWrap w:val="0"/>
            <w:vAlign w:val="center"/>
          </w:tcPr>
          <w:p w14:paraId="302420A1">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3D7DF0AE">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480AABBE">
            <w:pPr>
              <w:jc w:val="center"/>
              <w:rPr>
                <w:rFonts w:eastAsia="楷体_GB2312"/>
                <w:color w:val="000000"/>
                <w:szCs w:val="21"/>
              </w:rPr>
            </w:pPr>
            <w:r>
              <w:rPr>
                <w:rFonts w:eastAsia="楷体_GB2312"/>
                <w:color w:val="000000"/>
                <w:szCs w:val="21"/>
              </w:rPr>
              <w:t>4.05%</w:t>
            </w:r>
          </w:p>
        </w:tc>
      </w:tr>
      <w:tr w14:paraId="17F63C3A">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7EA24C17">
            <w:pPr>
              <w:jc w:val="center"/>
              <w:rPr>
                <w:rFonts w:eastAsia="楷体_GB2312"/>
                <w:kern w:val="0"/>
                <w:szCs w:val="21"/>
              </w:rPr>
            </w:pPr>
            <w:r>
              <w:rPr>
                <w:rFonts w:eastAsia="楷体_GB2312"/>
                <w:kern w:val="0"/>
                <w:szCs w:val="21"/>
              </w:rPr>
              <w:t>19</w:t>
            </w:r>
          </w:p>
        </w:tc>
        <w:tc>
          <w:tcPr>
            <w:tcW w:w="0" w:type="auto"/>
            <w:tcBorders>
              <w:top w:val="nil"/>
              <w:left w:val="nil"/>
              <w:bottom w:val="single" w:color="auto" w:sz="4" w:space="0"/>
              <w:right w:val="single" w:color="auto" w:sz="4" w:space="0"/>
            </w:tcBorders>
            <w:noWrap w:val="0"/>
            <w:vAlign w:val="center"/>
          </w:tcPr>
          <w:p w14:paraId="79D048F1">
            <w:pPr>
              <w:jc w:val="center"/>
              <w:rPr>
                <w:rFonts w:eastAsia="楷体_GB2312"/>
                <w:kern w:val="0"/>
                <w:szCs w:val="21"/>
              </w:rPr>
            </w:pPr>
            <w:r>
              <w:rPr>
                <w:rFonts w:eastAsia="楷体_GB2312"/>
                <w:kern w:val="0"/>
                <w:szCs w:val="21"/>
              </w:rPr>
              <w:t>永安镇</w:t>
            </w:r>
          </w:p>
        </w:tc>
        <w:tc>
          <w:tcPr>
            <w:tcW w:w="0" w:type="auto"/>
            <w:tcBorders>
              <w:top w:val="nil"/>
              <w:left w:val="nil"/>
              <w:bottom w:val="single" w:color="auto" w:sz="4" w:space="0"/>
              <w:right w:val="single" w:color="auto" w:sz="4" w:space="0"/>
            </w:tcBorders>
            <w:noWrap w:val="0"/>
            <w:vAlign w:val="center"/>
          </w:tcPr>
          <w:p w14:paraId="71AEEF00">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3C686351">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6B6B5583">
            <w:pPr>
              <w:jc w:val="center"/>
              <w:rPr>
                <w:rFonts w:eastAsia="楷体_GB2312"/>
                <w:color w:val="000000"/>
                <w:szCs w:val="21"/>
              </w:rPr>
            </w:pPr>
            <w:r>
              <w:rPr>
                <w:rFonts w:eastAsia="楷体_GB2312"/>
                <w:color w:val="000000"/>
                <w:szCs w:val="21"/>
              </w:rPr>
              <w:t>4.05%</w:t>
            </w:r>
          </w:p>
        </w:tc>
      </w:tr>
      <w:tr w14:paraId="5ED43580">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4E1B73A6">
            <w:pPr>
              <w:jc w:val="center"/>
              <w:rPr>
                <w:rFonts w:eastAsia="楷体_GB2312"/>
                <w:kern w:val="0"/>
                <w:szCs w:val="21"/>
              </w:rPr>
            </w:pPr>
            <w:r>
              <w:rPr>
                <w:rFonts w:eastAsia="楷体_GB2312"/>
                <w:kern w:val="0"/>
                <w:szCs w:val="21"/>
              </w:rPr>
              <w:t>20</w:t>
            </w:r>
          </w:p>
        </w:tc>
        <w:tc>
          <w:tcPr>
            <w:tcW w:w="0" w:type="auto"/>
            <w:tcBorders>
              <w:top w:val="nil"/>
              <w:left w:val="nil"/>
              <w:bottom w:val="single" w:color="auto" w:sz="4" w:space="0"/>
              <w:right w:val="single" w:color="auto" w:sz="4" w:space="0"/>
            </w:tcBorders>
            <w:noWrap w:val="0"/>
            <w:vAlign w:val="center"/>
          </w:tcPr>
          <w:p w14:paraId="67207003">
            <w:pPr>
              <w:jc w:val="center"/>
              <w:rPr>
                <w:rFonts w:eastAsia="楷体_GB2312"/>
                <w:kern w:val="0"/>
                <w:szCs w:val="21"/>
              </w:rPr>
            </w:pPr>
            <w:r>
              <w:rPr>
                <w:rFonts w:eastAsia="楷体_GB2312"/>
                <w:kern w:val="0"/>
                <w:szCs w:val="21"/>
              </w:rPr>
              <w:t>支河乡</w:t>
            </w:r>
          </w:p>
        </w:tc>
        <w:tc>
          <w:tcPr>
            <w:tcW w:w="0" w:type="auto"/>
            <w:tcBorders>
              <w:top w:val="nil"/>
              <w:left w:val="nil"/>
              <w:bottom w:val="single" w:color="auto" w:sz="4" w:space="0"/>
              <w:right w:val="single" w:color="auto" w:sz="4" w:space="0"/>
            </w:tcBorders>
            <w:noWrap w:val="0"/>
            <w:vAlign w:val="center"/>
          </w:tcPr>
          <w:p w14:paraId="15DAD64E">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267FAF61">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08E0FE36">
            <w:pPr>
              <w:jc w:val="center"/>
              <w:rPr>
                <w:rFonts w:eastAsia="楷体_GB2312"/>
                <w:color w:val="000000"/>
                <w:szCs w:val="21"/>
              </w:rPr>
            </w:pPr>
            <w:r>
              <w:rPr>
                <w:rFonts w:eastAsia="楷体_GB2312"/>
                <w:color w:val="000000"/>
                <w:szCs w:val="21"/>
              </w:rPr>
              <w:t>4.05%</w:t>
            </w:r>
          </w:p>
        </w:tc>
      </w:tr>
      <w:tr w14:paraId="6BA9CC2D">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52F1AC87">
            <w:pPr>
              <w:jc w:val="center"/>
              <w:rPr>
                <w:rFonts w:eastAsia="楷体_GB2312"/>
                <w:kern w:val="0"/>
                <w:szCs w:val="21"/>
              </w:rPr>
            </w:pPr>
            <w:r>
              <w:rPr>
                <w:rFonts w:eastAsia="楷体_GB2312"/>
                <w:kern w:val="0"/>
                <w:szCs w:val="21"/>
              </w:rPr>
              <w:t>21</w:t>
            </w:r>
          </w:p>
        </w:tc>
        <w:tc>
          <w:tcPr>
            <w:tcW w:w="0" w:type="auto"/>
            <w:tcBorders>
              <w:top w:val="nil"/>
              <w:left w:val="nil"/>
              <w:bottom w:val="single" w:color="auto" w:sz="4" w:space="0"/>
              <w:right w:val="single" w:color="auto" w:sz="4" w:space="0"/>
            </w:tcBorders>
            <w:noWrap w:val="0"/>
            <w:vAlign w:val="center"/>
          </w:tcPr>
          <w:p w14:paraId="7CD97F26">
            <w:pPr>
              <w:jc w:val="center"/>
              <w:rPr>
                <w:rFonts w:eastAsia="楷体_GB2312"/>
                <w:kern w:val="0"/>
                <w:szCs w:val="21"/>
              </w:rPr>
            </w:pPr>
            <w:r>
              <w:rPr>
                <w:rFonts w:eastAsia="楷体_GB2312"/>
                <w:kern w:val="0"/>
                <w:szCs w:val="21"/>
              </w:rPr>
              <w:t>灰古镇</w:t>
            </w:r>
          </w:p>
        </w:tc>
        <w:tc>
          <w:tcPr>
            <w:tcW w:w="0" w:type="auto"/>
            <w:tcBorders>
              <w:top w:val="nil"/>
              <w:left w:val="nil"/>
              <w:bottom w:val="single" w:color="auto" w:sz="4" w:space="0"/>
              <w:right w:val="single" w:color="auto" w:sz="4" w:space="0"/>
            </w:tcBorders>
            <w:noWrap w:val="0"/>
            <w:vAlign w:val="center"/>
          </w:tcPr>
          <w:p w14:paraId="51652B5C">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4200756A">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756011EB">
            <w:pPr>
              <w:jc w:val="center"/>
              <w:rPr>
                <w:rFonts w:eastAsia="楷体_GB2312"/>
                <w:color w:val="000000"/>
                <w:szCs w:val="21"/>
              </w:rPr>
            </w:pPr>
            <w:r>
              <w:rPr>
                <w:rFonts w:eastAsia="楷体_GB2312"/>
                <w:color w:val="000000"/>
                <w:szCs w:val="21"/>
              </w:rPr>
              <w:t>4.05%</w:t>
            </w:r>
          </w:p>
        </w:tc>
      </w:tr>
      <w:tr w14:paraId="3A13C7E3">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16CCC13C">
            <w:pPr>
              <w:jc w:val="center"/>
              <w:rPr>
                <w:rFonts w:eastAsia="楷体_GB2312"/>
                <w:kern w:val="0"/>
                <w:szCs w:val="21"/>
              </w:rPr>
            </w:pPr>
            <w:r>
              <w:rPr>
                <w:rFonts w:eastAsia="楷体_GB2312"/>
                <w:kern w:val="0"/>
                <w:szCs w:val="21"/>
              </w:rPr>
              <w:t>22</w:t>
            </w:r>
          </w:p>
        </w:tc>
        <w:tc>
          <w:tcPr>
            <w:tcW w:w="0" w:type="auto"/>
            <w:tcBorders>
              <w:top w:val="nil"/>
              <w:left w:val="nil"/>
              <w:bottom w:val="single" w:color="auto" w:sz="4" w:space="0"/>
              <w:right w:val="single" w:color="auto" w:sz="4" w:space="0"/>
            </w:tcBorders>
            <w:noWrap w:val="0"/>
            <w:vAlign w:val="center"/>
          </w:tcPr>
          <w:p w14:paraId="1ACBC8E4">
            <w:pPr>
              <w:jc w:val="center"/>
              <w:rPr>
                <w:rFonts w:eastAsia="楷体_GB2312"/>
                <w:kern w:val="0"/>
                <w:szCs w:val="21"/>
              </w:rPr>
            </w:pPr>
            <w:r>
              <w:rPr>
                <w:rFonts w:eastAsia="楷体_GB2312"/>
                <w:kern w:val="0"/>
                <w:szCs w:val="21"/>
              </w:rPr>
              <w:t>桃沟乡</w:t>
            </w:r>
          </w:p>
        </w:tc>
        <w:tc>
          <w:tcPr>
            <w:tcW w:w="0" w:type="auto"/>
            <w:tcBorders>
              <w:top w:val="nil"/>
              <w:left w:val="nil"/>
              <w:bottom w:val="single" w:color="auto" w:sz="4" w:space="0"/>
              <w:right w:val="single" w:color="auto" w:sz="4" w:space="0"/>
            </w:tcBorders>
            <w:noWrap w:val="0"/>
            <w:vAlign w:val="center"/>
          </w:tcPr>
          <w:p w14:paraId="648537B7">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236A0F70">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60785566">
            <w:pPr>
              <w:jc w:val="center"/>
              <w:rPr>
                <w:rFonts w:eastAsia="楷体_GB2312"/>
                <w:color w:val="000000"/>
                <w:szCs w:val="21"/>
              </w:rPr>
            </w:pPr>
            <w:r>
              <w:rPr>
                <w:rFonts w:eastAsia="楷体_GB2312"/>
                <w:color w:val="000000"/>
                <w:szCs w:val="21"/>
              </w:rPr>
              <w:t>4.05%</w:t>
            </w:r>
          </w:p>
        </w:tc>
      </w:tr>
      <w:tr w14:paraId="02C2D445">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19ADCEB6">
            <w:pPr>
              <w:jc w:val="center"/>
              <w:rPr>
                <w:rFonts w:eastAsia="楷体_GB2312"/>
                <w:kern w:val="0"/>
                <w:szCs w:val="21"/>
              </w:rPr>
            </w:pPr>
            <w:r>
              <w:rPr>
                <w:rFonts w:eastAsia="楷体_GB2312"/>
                <w:kern w:val="0"/>
                <w:szCs w:val="21"/>
              </w:rPr>
              <w:t>23</w:t>
            </w:r>
          </w:p>
        </w:tc>
        <w:tc>
          <w:tcPr>
            <w:tcW w:w="0" w:type="auto"/>
            <w:tcBorders>
              <w:top w:val="nil"/>
              <w:left w:val="nil"/>
              <w:bottom w:val="single" w:color="auto" w:sz="4" w:space="0"/>
              <w:right w:val="single" w:color="auto" w:sz="4" w:space="0"/>
            </w:tcBorders>
            <w:noWrap w:val="0"/>
            <w:vAlign w:val="center"/>
          </w:tcPr>
          <w:p w14:paraId="62250A2C">
            <w:pPr>
              <w:jc w:val="center"/>
              <w:rPr>
                <w:rFonts w:eastAsia="楷体_GB2312"/>
                <w:kern w:val="0"/>
                <w:szCs w:val="21"/>
              </w:rPr>
            </w:pPr>
            <w:r>
              <w:rPr>
                <w:rFonts w:eastAsia="楷体_GB2312"/>
                <w:kern w:val="0"/>
                <w:szCs w:val="21"/>
              </w:rPr>
              <w:t>曹村开发区</w:t>
            </w:r>
          </w:p>
        </w:tc>
        <w:tc>
          <w:tcPr>
            <w:tcW w:w="0" w:type="auto"/>
            <w:tcBorders>
              <w:top w:val="nil"/>
              <w:left w:val="nil"/>
              <w:bottom w:val="single" w:color="auto" w:sz="4" w:space="0"/>
              <w:right w:val="single" w:color="auto" w:sz="4" w:space="0"/>
            </w:tcBorders>
            <w:noWrap w:val="0"/>
            <w:vAlign w:val="center"/>
          </w:tcPr>
          <w:p w14:paraId="73D714DA">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72898380">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74141D3C">
            <w:pPr>
              <w:jc w:val="center"/>
              <w:rPr>
                <w:rFonts w:eastAsia="楷体_GB2312"/>
                <w:color w:val="000000"/>
                <w:szCs w:val="21"/>
              </w:rPr>
            </w:pPr>
            <w:r>
              <w:rPr>
                <w:rFonts w:eastAsia="楷体_GB2312"/>
                <w:color w:val="000000"/>
                <w:szCs w:val="21"/>
              </w:rPr>
              <w:t>4.05%</w:t>
            </w:r>
          </w:p>
        </w:tc>
      </w:tr>
      <w:tr w14:paraId="0D7DB873">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420C5D55">
            <w:pPr>
              <w:jc w:val="center"/>
              <w:rPr>
                <w:rFonts w:eastAsia="楷体_GB2312"/>
                <w:kern w:val="0"/>
                <w:szCs w:val="21"/>
              </w:rPr>
            </w:pPr>
            <w:r>
              <w:rPr>
                <w:rFonts w:eastAsia="楷体_GB2312"/>
                <w:kern w:val="0"/>
                <w:szCs w:val="21"/>
              </w:rPr>
              <w:t>24</w:t>
            </w:r>
          </w:p>
        </w:tc>
        <w:tc>
          <w:tcPr>
            <w:tcW w:w="0" w:type="auto"/>
            <w:tcBorders>
              <w:top w:val="nil"/>
              <w:left w:val="nil"/>
              <w:bottom w:val="single" w:color="auto" w:sz="4" w:space="0"/>
              <w:right w:val="single" w:color="auto" w:sz="4" w:space="0"/>
            </w:tcBorders>
            <w:noWrap w:val="0"/>
            <w:vAlign w:val="center"/>
          </w:tcPr>
          <w:p w14:paraId="7E12C4CF">
            <w:pPr>
              <w:jc w:val="center"/>
              <w:rPr>
                <w:rFonts w:eastAsia="楷体_GB2312"/>
                <w:kern w:val="0"/>
                <w:szCs w:val="21"/>
              </w:rPr>
            </w:pPr>
            <w:r>
              <w:rPr>
                <w:rFonts w:eastAsia="楷体_GB2312"/>
                <w:kern w:val="0"/>
                <w:szCs w:val="21"/>
              </w:rPr>
              <w:t>家具产业园</w:t>
            </w:r>
          </w:p>
        </w:tc>
        <w:tc>
          <w:tcPr>
            <w:tcW w:w="0" w:type="auto"/>
            <w:tcBorders>
              <w:top w:val="nil"/>
              <w:left w:val="nil"/>
              <w:bottom w:val="single" w:color="auto" w:sz="4" w:space="0"/>
              <w:right w:val="single" w:color="auto" w:sz="4" w:space="0"/>
            </w:tcBorders>
            <w:noWrap w:val="0"/>
            <w:vAlign w:val="center"/>
          </w:tcPr>
          <w:p w14:paraId="683349A2">
            <w:pPr>
              <w:jc w:val="center"/>
              <w:rPr>
                <w:rFonts w:eastAsia="楷体_GB2312"/>
                <w:color w:val="000000"/>
                <w:szCs w:val="21"/>
              </w:rPr>
            </w:pPr>
            <w:r>
              <w:rPr>
                <w:rFonts w:eastAsia="楷体_GB2312"/>
                <w:color w:val="000000"/>
                <w:szCs w:val="21"/>
              </w:rPr>
              <w:t>5</w:t>
            </w:r>
          </w:p>
        </w:tc>
        <w:tc>
          <w:tcPr>
            <w:tcW w:w="0" w:type="auto"/>
            <w:tcBorders>
              <w:top w:val="nil"/>
              <w:left w:val="nil"/>
              <w:bottom w:val="single" w:color="auto" w:sz="4" w:space="0"/>
              <w:right w:val="single" w:color="auto" w:sz="4" w:space="0"/>
            </w:tcBorders>
            <w:noWrap w:val="0"/>
            <w:vAlign w:val="center"/>
          </w:tcPr>
          <w:p w14:paraId="145E7E22">
            <w:pPr>
              <w:jc w:val="center"/>
              <w:rPr>
                <w:rFonts w:eastAsia="楷体_GB2312"/>
                <w:color w:val="000000"/>
                <w:szCs w:val="21"/>
              </w:rPr>
            </w:pPr>
            <w:r>
              <w:rPr>
                <w:rFonts w:eastAsia="楷体_GB2312"/>
                <w:color w:val="000000"/>
                <w:szCs w:val="21"/>
              </w:rPr>
              <w:t>0.69%</w:t>
            </w:r>
          </w:p>
        </w:tc>
        <w:tc>
          <w:tcPr>
            <w:tcW w:w="0" w:type="auto"/>
            <w:tcBorders>
              <w:top w:val="nil"/>
              <w:left w:val="nil"/>
              <w:bottom w:val="single" w:color="auto" w:sz="4" w:space="0"/>
              <w:right w:val="single" w:color="auto" w:sz="4" w:space="0"/>
            </w:tcBorders>
            <w:noWrap w:val="0"/>
            <w:vAlign w:val="center"/>
          </w:tcPr>
          <w:p w14:paraId="57F5B12D">
            <w:pPr>
              <w:jc w:val="center"/>
              <w:rPr>
                <w:rFonts w:eastAsia="楷体_GB2312"/>
                <w:color w:val="000000"/>
                <w:szCs w:val="21"/>
              </w:rPr>
            </w:pPr>
            <w:r>
              <w:rPr>
                <w:rFonts w:eastAsia="楷体_GB2312"/>
                <w:color w:val="000000"/>
                <w:szCs w:val="21"/>
              </w:rPr>
              <w:t>0.68%</w:t>
            </w:r>
          </w:p>
        </w:tc>
      </w:tr>
      <w:tr w14:paraId="49A0F804">
        <w:tblPrEx>
          <w:tblCellMar>
            <w:top w:w="0" w:type="dxa"/>
            <w:left w:w="108" w:type="dxa"/>
            <w:bottom w:w="0" w:type="dxa"/>
            <w:right w:w="108" w:type="dxa"/>
          </w:tblCellMar>
        </w:tblPrEx>
        <w:trPr>
          <w:trHeight w:val="270" w:hRule="atLeast"/>
          <w:jc w:val="center"/>
        </w:trPr>
        <w:tc>
          <w:tcPr>
            <w:tcW w:w="0" w:type="auto"/>
            <w:tcBorders>
              <w:top w:val="nil"/>
              <w:left w:val="single" w:color="auto" w:sz="4" w:space="0"/>
              <w:bottom w:val="single" w:color="auto" w:sz="4" w:space="0"/>
              <w:right w:val="single" w:color="auto" w:sz="4" w:space="0"/>
            </w:tcBorders>
            <w:noWrap w:val="0"/>
            <w:vAlign w:val="center"/>
          </w:tcPr>
          <w:p w14:paraId="6709B8BA">
            <w:pPr>
              <w:jc w:val="center"/>
              <w:rPr>
                <w:rFonts w:eastAsia="楷体_GB2312"/>
                <w:kern w:val="0"/>
                <w:szCs w:val="21"/>
              </w:rPr>
            </w:pPr>
            <w:r>
              <w:rPr>
                <w:rFonts w:eastAsia="楷体_GB2312"/>
                <w:kern w:val="0"/>
                <w:szCs w:val="21"/>
              </w:rPr>
              <w:t>25</w:t>
            </w:r>
          </w:p>
        </w:tc>
        <w:tc>
          <w:tcPr>
            <w:tcW w:w="0" w:type="auto"/>
            <w:tcBorders>
              <w:top w:val="nil"/>
              <w:left w:val="nil"/>
              <w:bottom w:val="single" w:color="auto" w:sz="4" w:space="0"/>
              <w:right w:val="single" w:color="auto" w:sz="4" w:space="0"/>
            </w:tcBorders>
            <w:noWrap w:val="0"/>
            <w:vAlign w:val="center"/>
          </w:tcPr>
          <w:p w14:paraId="0E941D1F">
            <w:pPr>
              <w:jc w:val="center"/>
              <w:rPr>
                <w:rFonts w:eastAsia="楷体_GB2312"/>
                <w:kern w:val="0"/>
                <w:szCs w:val="21"/>
              </w:rPr>
            </w:pPr>
            <w:r>
              <w:rPr>
                <w:rFonts w:eastAsia="楷体_GB2312"/>
                <w:kern w:val="0"/>
                <w:szCs w:val="21"/>
              </w:rPr>
              <w:t>农业示范园</w:t>
            </w:r>
          </w:p>
        </w:tc>
        <w:tc>
          <w:tcPr>
            <w:tcW w:w="0" w:type="auto"/>
            <w:tcBorders>
              <w:top w:val="nil"/>
              <w:left w:val="nil"/>
              <w:bottom w:val="single" w:color="auto" w:sz="4" w:space="0"/>
              <w:right w:val="single" w:color="auto" w:sz="4" w:space="0"/>
            </w:tcBorders>
            <w:noWrap w:val="0"/>
            <w:vAlign w:val="center"/>
          </w:tcPr>
          <w:p w14:paraId="7EDDAF96">
            <w:pPr>
              <w:jc w:val="center"/>
              <w:rPr>
                <w:rFonts w:eastAsia="楷体_GB2312"/>
                <w:color w:val="000000"/>
                <w:szCs w:val="21"/>
              </w:rPr>
            </w:pPr>
            <w:r>
              <w:rPr>
                <w:rFonts w:eastAsia="楷体_GB2312"/>
                <w:color w:val="000000"/>
                <w:szCs w:val="21"/>
              </w:rPr>
              <w:t>30</w:t>
            </w:r>
          </w:p>
        </w:tc>
        <w:tc>
          <w:tcPr>
            <w:tcW w:w="0" w:type="auto"/>
            <w:tcBorders>
              <w:top w:val="nil"/>
              <w:left w:val="nil"/>
              <w:bottom w:val="single" w:color="auto" w:sz="4" w:space="0"/>
              <w:right w:val="single" w:color="auto" w:sz="4" w:space="0"/>
            </w:tcBorders>
            <w:noWrap w:val="0"/>
            <w:vAlign w:val="center"/>
          </w:tcPr>
          <w:p w14:paraId="0BC7D059">
            <w:pPr>
              <w:jc w:val="center"/>
              <w:rPr>
                <w:rFonts w:eastAsia="楷体_GB2312"/>
                <w:color w:val="000000"/>
                <w:szCs w:val="21"/>
              </w:rPr>
            </w:pPr>
            <w:r>
              <w:rPr>
                <w:rFonts w:eastAsia="楷体_GB2312"/>
                <w:color w:val="000000"/>
                <w:szCs w:val="21"/>
              </w:rPr>
              <w:t>4.14%</w:t>
            </w:r>
          </w:p>
        </w:tc>
        <w:tc>
          <w:tcPr>
            <w:tcW w:w="0" w:type="auto"/>
            <w:tcBorders>
              <w:top w:val="nil"/>
              <w:left w:val="nil"/>
              <w:bottom w:val="single" w:color="auto" w:sz="4" w:space="0"/>
              <w:right w:val="single" w:color="auto" w:sz="4" w:space="0"/>
            </w:tcBorders>
            <w:noWrap w:val="0"/>
            <w:vAlign w:val="center"/>
          </w:tcPr>
          <w:p w14:paraId="7619EE13">
            <w:pPr>
              <w:jc w:val="center"/>
              <w:rPr>
                <w:rFonts w:eastAsia="楷体_GB2312"/>
                <w:color w:val="000000"/>
                <w:szCs w:val="21"/>
              </w:rPr>
            </w:pPr>
            <w:r>
              <w:rPr>
                <w:rFonts w:eastAsia="楷体_GB2312"/>
                <w:color w:val="000000"/>
                <w:szCs w:val="21"/>
              </w:rPr>
              <w:t>4.05%</w:t>
            </w:r>
          </w:p>
        </w:tc>
      </w:tr>
      <w:tr w14:paraId="475EA8BC">
        <w:tblPrEx>
          <w:tblCellMar>
            <w:top w:w="0" w:type="dxa"/>
            <w:left w:w="108" w:type="dxa"/>
            <w:bottom w:w="0" w:type="dxa"/>
            <w:right w:w="108" w:type="dxa"/>
          </w:tblCellMar>
        </w:tblPrEx>
        <w:trPr>
          <w:trHeight w:val="270" w:hRule="atLeast"/>
          <w:jc w:val="center"/>
        </w:trPr>
        <w:tc>
          <w:tcPr>
            <w:tcW w:w="0" w:type="auto"/>
            <w:gridSpan w:val="2"/>
            <w:tcBorders>
              <w:top w:val="single" w:color="auto" w:sz="4" w:space="0"/>
              <w:left w:val="single" w:color="auto" w:sz="4" w:space="0"/>
              <w:bottom w:val="single" w:color="auto" w:sz="4" w:space="0"/>
              <w:right w:val="single" w:color="auto" w:sz="4" w:space="0"/>
            </w:tcBorders>
            <w:noWrap w:val="0"/>
            <w:vAlign w:val="center"/>
          </w:tcPr>
          <w:p w14:paraId="7A3603A5">
            <w:pPr>
              <w:jc w:val="center"/>
              <w:rPr>
                <w:rFonts w:eastAsia="楷体_GB2312"/>
                <w:kern w:val="0"/>
                <w:szCs w:val="21"/>
              </w:rPr>
            </w:pPr>
            <w:r>
              <w:rPr>
                <w:rFonts w:eastAsia="楷体_GB2312"/>
                <w:kern w:val="0"/>
                <w:szCs w:val="21"/>
              </w:rPr>
              <w:t>合计</w:t>
            </w:r>
          </w:p>
        </w:tc>
        <w:tc>
          <w:tcPr>
            <w:tcW w:w="0" w:type="auto"/>
            <w:tcBorders>
              <w:top w:val="nil"/>
              <w:left w:val="nil"/>
              <w:bottom w:val="single" w:color="auto" w:sz="4" w:space="0"/>
              <w:right w:val="single" w:color="auto" w:sz="4" w:space="0"/>
            </w:tcBorders>
            <w:noWrap w:val="0"/>
            <w:vAlign w:val="center"/>
          </w:tcPr>
          <w:p w14:paraId="73EFA70A">
            <w:pPr>
              <w:jc w:val="center"/>
              <w:rPr>
                <w:rFonts w:eastAsia="楷体_GB2312"/>
                <w:color w:val="000000"/>
                <w:szCs w:val="21"/>
              </w:rPr>
            </w:pPr>
            <w:r>
              <w:rPr>
                <w:rFonts w:eastAsia="楷体_GB2312"/>
                <w:color w:val="000000"/>
                <w:szCs w:val="21"/>
              </w:rPr>
              <w:t>725</w:t>
            </w:r>
          </w:p>
        </w:tc>
        <w:tc>
          <w:tcPr>
            <w:tcW w:w="0" w:type="auto"/>
            <w:tcBorders>
              <w:top w:val="nil"/>
              <w:left w:val="nil"/>
              <w:bottom w:val="single" w:color="auto" w:sz="4" w:space="0"/>
              <w:right w:val="single" w:color="auto" w:sz="4" w:space="0"/>
            </w:tcBorders>
            <w:noWrap w:val="0"/>
            <w:vAlign w:val="center"/>
          </w:tcPr>
          <w:p w14:paraId="4B2E1328">
            <w:pPr>
              <w:jc w:val="center"/>
              <w:rPr>
                <w:rFonts w:eastAsia="楷体_GB2312"/>
                <w:color w:val="000000"/>
                <w:szCs w:val="21"/>
              </w:rPr>
            </w:pPr>
            <w:r>
              <w:rPr>
                <w:rFonts w:eastAsia="楷体_GB2312"/>
                <w:color w:val="000000"/>
                <w:szCs w:val="21"/>
              </w:rPr>
              <w:t>100%</w:t>
            </w:r>
          </w:p>
        </w:tc>
        <w:tc>
          <w:tcPr>
            <w:tcW w:w="0" w:type="auto"/>
            <w:tcBorders>
              <w:top w:val="nil"/>
              <w:left w:val="nil"/>
              <w:bottom w:val="single" w:color="auto" w:sz="4" w:space="0"/>
              <w:right w:val="single" w:color="auto" w:sz="4" w:space="0"/>
            </w:tcBorders>
            <w:noWrap w:val="0"/>
            <w:vAlign w:val="center"/>
          </w:tcPr>
          <w:p w14:paraId="4E89253E">
            <w:pPr>
              <w:jc w:val="center"/>
              <w:rPr>
                <w:rFonts w:eastAsia="楷体_GB2312"/>
                <w:color w:val="000000"/>
                <w:szCs w:val="21"/>
              </w:rPr>
            </w:pPr>
            <w:r>
              <w:rPr>
                <w:rFonts w:eastAsia="楷体_GB2312"/>
                <w:color w:val="000000"/>
                <w:szCs w:val="21"/>
              </w:rPr>
              <w:t>97.97%</w:t>
            </w:r>
          </w:p>
        </w:tc>
      </w:tr>
    </w:tbl>
    <w:p w14:paraId="6F11E0FD">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样点中包括了非商服用途的房地出租样点、同一级别价差较大的样点，故将其进行了剔除。低级别远离中心区域，样点数少。</w:t>
      </w:r>
    </w:p>
    <w:p w14:paraId="5CB4AD2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从上述统计表可以看出房地出租样点主要为商服用途，住宅用途最少。共有商服用途样点</w:t>
      </w:r>
      <w:r>
        <w:rPr>
          <w:rFonts w:hint="eastAsia" w:ascii="Times New Roman" w:hAnsi="Times New Roman" w:eastAsia="楷体_GB2312" w:cs="Times New Roman"/>
          <w:sz w:val="28"/>
        </w:rPr>
        <w:t>725</w:t>
      </w:r>
      <w:r>
        <w:rPr>
          <w:rFonts w:ascii="Times New Roman" w:hAnsi="Times New Roman" w:eastAsia="楷体_GB2312" w:cs="Times New Roman"/>
          <w:sz w:val="28"/>
        </w:rPr>
        <w:t>个，占房地出租样本总量的</w:t>
      </w:r>
      <w:r>
        <w:rPr>
          <w:rFonts w:hint="eastAsia" w:ascii="Times New Roman" w:hAnsi="Times New Roman" w:eastAsia="楷体_GB2312" w:cs="Times New Roman"/>
          <w:sz w:val="28"/>
        </w:rPr>
        <w:t>97.97</w:t>
      </w:r>
      <w:r>
        <w:rPr>
          <w:rFonts w:ascii="Times New Roman" w:hAnsi="Times New Roman" w:eastAsia="楷体_GB2312" w:cs="Times New Roman"/>
          <w:sz w:val="28"/>
        </w:rPr>
        <w:t>%。</w:t>
      </w:r>
    </w:p>
    <w:p w14:paraId="58BF146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根据《城镇土地估价规程》（GB/T 18508-2014）的要求，调查样本数应符合数理统计要求，每级样本总数不少于30个，因各乡镇出让、转让样点较少，大多数级别未达到30个，但本次调查的房地出租样点，在各个级别具有代表性，满足样本统计要求，可作为测算商服用地基准地价的参考。因此，评估结果可作为基准地价确定的参考依据。</w:t>
      </w:r>
    </w:p>
    <w:p w14:paraId="6006DF2B">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2、分布均匀性</w:t>
      </w:r>
    </w:p>
    <w:p w14:paraId="1DD61E33">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分析房地出租样点分布图，可以看出房地出租样点主要集中在商服街的两侧，镇区中心分布较多，由此向外逐渐减少。</w:t>
      </w:r>
    </w:p>
    <w:p w14:paraId="5FAC0E57">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3、代表性和可靠性分析</w:t>
      </w:r>
    </w:p>
    <w:p w14:paraId="5B30CFAD">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房地产租赁市场逐渐活跃，与前几年相比，市场化程度明显提高。由于政府加大了房地产租赁市场管理力度，经济快速发展，房地产租赁市场的租金透明度也大大提高，瞒价、拒报情况较少。本次土地估价所收集的房地产出租地价资料代表性和可靠性强，能客观地反映实际地价水平。</w:t>
      </w:r>
    </w:p>
    <w:p w14:paraId="05DA73BF">
      <w:pPr>
        <w:pStyle w:val="20"/>
        <w:spacing w:before="120" w:beforeLines="50" w:line="480" w:lineRule="exact"/>
        <w:rPr>
          <w:rFonts w:hint="eastAsia" w:ascii="Times New Roman" w:hAnsi="Times New Roman" w:cs="Times New Roman"/>
          <w:b/>
          <w:sz w:val="28"/>
        </w:rPr>
      </w:pPr>
    </w:p>
    <w:p w14:paraId="41360FD3">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二、工作数据库的建立</w:t>
      </w:r>
    </w:p>
    <w:p w14:paraId="513E74F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将经过整理的房地出租样点资料按编号、用地类型、土地使用面积、建筑面积、租金、土地级别等输入计算机，建立房地出租样点工作数据库。</w:t>
      </w:r>
    </w:p>
    <w:p w14:paraId="3E0E17A4">
      <w:pPr>
        <w:pStyle w:val="20"/>
        <w:spacing w:line="480" w:lineRule="exact"/>
        <w:ind w:firstLine="560" w:firstLineChars="200"/>
        <w:rPr>
          <w:rFonts w:ascii="Times New Roman" w:hAnsi="Times New Roman" w:eastAsia="楷体_GB2312" w:cs="Times New Roman"/>
          <w:sz w:val="28"/>
        </w:rPr>
      </w:pPr>
    </w:p>
    <w:p w14:paraId="64B9D2B5">
      <w:pPr>
        <w:pStyle w:val="4"/>
        <w:numPr>
          <w:ilvl w:val="0"/>
          <w:numId w:val="0"/>
        </w:numPr>
        <w:spacing w:line="240" w:lineRule="auto"/>
        <w:jc w:val="center"/>
        <w:rPr>
          <w:rFonts w:eastAsia="仿宋_GB2312"/>
          <w:bCs w:val="0"/>
        </w:rPr>
      </w:pPr>
      <w:bookmarkStart w:id="73" w:name="_Toc62563686"/>
      <w:r>
        <w:rPr>
          <w:rFonts w:eastAsia="仿宋_GB2312"/>
          <w:bCs w:val="0"/>
        </w:rPr>
        <w:t>第二节  房屋买卖资料的整理及其工作数据库的建立</w:t>
      </w:r>
      <w:bookmarkEnd w:id="73"/>
    </w:p>
    <w:p w14:paraId="0154291E">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本次土地估价共收集到</w:t>
      </w:r>
      <w:r>
        <w:rPr>
          <w:rFonts w:hint="eastAsia" w:ascii="Times New Roman" w:hAnsi="Times New Roman" w:eastAsia="楷体_GB2312" w:cs="Times New Roman"/>
          <w:sz w:val="28"/>
        </w:rPr>
        <w:t>790</w:t>
      </w:r>
      <w:r>
        <w:rPr>
          <w:rFonts w:ascii="Times New Roman" w:hAnsi="Times New Roman" w:eastAsia="楷体_GB2312" w:cs="Times New Roman"/>
          <w:sz w:val="28"/>
        </w:rPr>
        <w:t>个买卖样点地价资料</w:t>
      </w:r>
      <w:r>
        <w:rPr>
          <w:rFonts w:ascii="Times New Roman" w:hAnsi="Times New Roman" w:eastAsia="楷体_GB2312" w:cs="Times New Roman"/>
          <w:sz w:val="28"/>
          <w:szCs w:val="24"/>
        </w:rPr>
        <w:t>，其中</w:t>
      </w:r>
      <w:r>
        <w:rPr>
          <w:rFonts w:hint="eastAsia" w:ascii="Times New Roman" w:hAnsi="Times New Roman" w:eastAsia="楷体_GB2312" w:cs="Times New Roman"/>
          <w:sz w:val="28"/>
          <w:szCs w:val="24"/>
        </w:rPr>
        <w:t>住宅</w:t>
      </w:r>
      <w:r>
        <w:rPr>
          <w:rFonts w:ascii="Times New Roman" w:hAnsi="Times New Roman" w:eastAsia="楷体_GB2312" w:cs="Times New Roman"/>
          <w:sz w:val="28"/>
          <w:szCs w:val="24"/>
        </w:rPr>
        <w:t>用地</w:t>
      </w:r>
      <w:r>
        <w:rPr>
          <w:rFonts w:hint="eastAsia" w:ascii="Times New Roman" w:hAnsi="Times New Roman" w:eastAsia="楷体_GB2312" w:cs="Times New Roman"/>
          <w:sz w:val="28"/>
          <w:szCs w:val="24"/>
        </w:rPr>
        <w:t>买卖</w:t>
      </w:r>
      <w:r>
        <w:rPr>
          <w:rFonts w:ascii="Times New Roman" w:hAnsi="Times New Roman" w:eastAsia="楷体_GB2312" w:cs="Times New Roman"/>
          <w:sz w:val="28"/>
          <w:szCs w:val="24"/>
        </w:rPr>
        <w:t>样点</w:t>
      </w:r>
      <w:r>
        <w:rPr>
          <w:rFonts w:hint="eastAsia" w:ascii="Times New Roman" w:hAnsi="Times New Roman" w:eastAsia="楷体_GB2312" w:cs="Times New Roman"/>
          <w:sz w:val="28"/>
          <w:szCs w:val="24"/>
        </w:rPr>
        <w:t>775</w:t>
      </w:r>
      <w:r>
        <w:rPr>
          <w:rFonts w:ascii="Times New Roman" w:hAnsi="Times New Roman" w:eastAsia="楷体_GB2312" w:cs="Times New Roman"/>
          <w:sz w:val="28"/>
          <w:szCs w:val="24"/>
        </w:rPr>
        <w:t>个</w:t>
      </w:r>
      <w:r>
        <w:rPr>
          <w:rFonts w:ascii="Times New Roman" w:hAnsi="Times New Roman" w:eastAsia="楷体_GB2312" w:cs="Times New Roman"/>
          <w:sz w:val="28"/>
        </w:rPr>
        <w:t>。该类资料是市场交易中样点数量仅次于房地出租的另一类样点地价资料，它对商服、住宅用地，特别是住宅用地基准地价更新十分重要。</w:t>
      </w:r>
    </w:p>
    <w:p w14:paraId="3CD21B06">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一、样点地价资料整理</w:t>
      </w:r>
    </w:p>
    <w:p w14:paraId="604A1D17">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1、样点类型统计</w:t>
      </w:r>
    </w:p>
    <w:p w14:paraId="7518ADB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房地买卖样点按住宅用途土地级别进行统计（房地买卖样点中商服用途样点较少，无工业用途的样点），统计结果见表2-3-2。</w:t>
      </w:r>
    </w:p>
    <w:p w14:paraId="4BBA1C2F">
      <w:pPr>
        <w:pStyle w:val="20"/>
        <w:spacing w:line="480" w:lineRule="exact"/>
        <w:jc w:val="center"/>
        <w:rPr>
          <w:rFonts w:ascii="Times New Roman" w:hAnsi="Times New Roman" w:eastAsia="黑体" w:cs="Times New Roman"/>
          <w:sz w:val="28"/>
        </w:rPr>
      </w:pPr>
      <w:r>
        <w:rPr>
          <w:rFonts w:ascii="Times New Roman" w:hAnsi="Times New Roman" w:eastAsia="黑体" w:cs="Times New Roman"/>
          <w:sz w:val="28"/>
        </w:rPr>
        <w:t>表2-3-2  房地买卖样点统计表</w:t>
      </w:r>
    </w:p>
    <w:tbl>
      <w:tblPr>
        <w:tblStyle w:val="38"/>
        <w:tblW w:w="9072" w:type="dxa"/>
        <w:jc w:val="center"/>
        <w:tblLayout w:type="autofit"/>
        <w:tblCellMar>
          <w:top w:w="0" w:type="dxa"/>
          <w:left w:w="108" w:type="dxa"/>
          <w:bottom w:w="0" w:type="dxa"/>
          <w:right w:w="108" w:type="dxa"/>
        </w:tblCellMar>
      </w:tblPr>
      <w:tblGrid>
        <w:gridCol w:w="668"/>
        <w:gridCol w:w="1329"/>
        <w:gridCol w:w="2211"/>
        <w:gridCol w:w="2652"/>
        <w:gridCol w:w="2212"/>
      </w:tblGrid>
      <w:tr w14:paraId="7A7F35BE">
        <w:tblPrEx>
          <w:tblCellMar>
            <w:top w:w="0" w:type="dxa"/>
            <w:left w:w="108" w:type="dxa"/>
            <w:bottom w:w="0" w:type="dxa"/>
            <w:right w:w="108" w:type="dxa"/>
          </w:tblCellMar>
        </w:tblPrEx>
        <w:trPr>
          <w:trHeight w:val="20" w:hRule="atLeast"/>
          <w:tblHeader/>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0CAC0081">
            <w:pPr>
              <w:jc w:val="center"/>
              <w:rPr>
                <w:rFonts w:eastAsia="楷体_GB2312"/>
                <w:kern w:val="0"/>
                <w:szCs w:val="21"/>
              </w:rPr>
            </w:pPr>
            <w:r>
              <w:rPr>
                <w:rFonts w:eastAsia="楷体_GB2312"/>
                <w:kern w:val="0"/>
                <w:szCs w:val="21"/>
              </w:rPr>
              <w:t>编号</w:t>
            </w:r>
          </w:p>
        </w:tc>
        <w:tc>
          <w:tcPr>
            <w:tcW w:w="0" w:type="auto"/>
            <w:tcBorders>
              <w:top w:val="single" w:color="auto" w:sz="4" w:space="0"/>
              <w:left w:val="nil"/>
              <w:bottom w:val="single" w:color="auto" w:sz="4" w:space="0"/>
              <w:right w:val="single" w:color="auto" w:sz="4" w:space="0"/>
            </w:tcBorders>
            <w:noWrap w:val="0"/>
            <w:vAlign w:val="center"/>
          </w:tcPr>
          <w:p w14:paraId="0DCBEC1F">
            <w:pPr>
              <w:jc w:val="center"/>
              <w:rPr>
                <w:rFonts w:eastAsia="楷体_GB2312"/>
                <w:kern w:val="0"/>
                <w:szCs w:val="21"/>
              </w:rPr>
            </w:pPr>
            <w:r>
              <w:rPr>
                <w:rFonts w:eastAsia="楷体_GB2312"/>
                <w:kern w:val="0"/>
                <w:szCs w:val="21"/>
              </w:rPr>
              <w:t>乡镇名称</w:t>
            </w:r>
          </w:p>
        </w:tc>
        <w:tc>
          <w:tcPr>
            <w:tcW w:w="0" w:type="auto"/>
            <w:tcBorders>
              <w:top w:val="single" w:color="auto" w:sz="4" w:space="0"/>
              <w:left w:val="nil"/>
              <w:bottom w:val="single" w:color="auto" w:sz="4" w:space="0"/>
              <w:right w:val="single" w:color="auto" w:sz="4" w:space="0"/>
            </w:tcBorders>
            <w:noWrap w:val="0"/>
            <w:vAlign w:val="center"/>
          </w:tcPr>
          <w:p w14:paraId="471B9F71">
            <w:pPr>
              <w:jc w:val="center"/>
              <w:rPr>
                <w:rFonts w:eastAsia="楷体_GB2312"/>
                <w:kern w:val="0"/>
                <w:szCs w:val="21"/>
              </w:rPr>
            </w:pPr>
            <w:r>
              <w:rPr>
                <w:rFonts w:eastAsia="楷体_GB2312"/>
                <w:kern w:val="0"/>
                <w:szCs w:val="21"/>
              </w:rPr>
              <w:t>住宅样点个数（个）</w:t>
            </w:r>
          </w:p>
        </w:tc>
        <w:tc>
          <w:tcPr>
            <w:tcW w:w="0" w:type="auto"/>
            <w:tcBorders>
              <w:top w:val="single" w:color="auto" w:sz="4" w:space="0"/>
              <w:left w:val="nil"/>
              <w:bottom w:val="single" w:color="auto" w:sz="4" w:space="0"/>
              <w:right w:val="single" w:color="auto" w:sz="4" w:space="0"/>
            </w:tcBorders>
            <w:noWrap w:val="0"/>
            <w:vAlign w:val="center"/>
          </w:tcPr>
          <w:p w14:paraId="6174BAE6">
            <w:pPr>
              <w:jc w:val="center"/>
              <w:rPr>
                <w:rFonts w:eastAsia="楷体_GB2312"/>
                <w:kern w:val="0"/>
                <w:szCs w:val="21"/>
              </w:rPr>
            </w:pPr>
            <w:r>
              <w:rPr>
                <w:rFonts w:eastAsia="楷体_GB2312"/>
                <w:kern w:val="0"/>
                <w:szCs w:val="21"/>
              </w:rPr>
              <w:t>占住宅房地买卖总样点比</w:t>
            </w:r>
          </w:p>
        </w:tc>
        <w:tc>
          <w:tcPr>
            <w:tcW w:w="0" w:type="auto"/>
            <w:tcBorders>
              <w:top w:val="single" w:color="auto" w:sz="4" w:space="0"/>
              <w:left w:val="nil"/>
              <w:bottom w:val="single" w:color="auto" w:sz="4" w:space="0"/>
              <w:right w:val="single" w:color="auto" w:sz="4" w:space="0"/>
            </w:tcBorders>
            <w:noWrap w:val="0"/>
            <w:vAlign w:val="center"/>
          </w:tcPr>
          <w:p w14:paraId="253A859B">
            <w:pPr>
              <w:jc w:val="center"/>
              <w:rPr>
                <w:rFonts w:eastAsia="楷体_GB2312"/>
                <w:kern w:val="0"/>
                <w:szCs w:val="21"/>
              </w:rPr>
            </w:pPr>
            <w:r>
              <w:rPr>
                <w:rFonts w:eastAsia="楷体_GB2312"/>
                <w:kern w:val="0"/>
                <w:szCs w:val="21"/>
              </w:rPr>
              <w:t>占房地买卖总样点比</w:t>
            </w:r>
          </w:p>
        </w:tc>
      </w:tr>
      <w:tr w14:paraId="6A1A20BF">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692D31CB">
            <w:pPr>
              <w:jc w:val="center"/>
              <w:rPr>
                <w:rFonts w:eastAsia="楷体_GB2312"/>
                <w:kern w:val="0"/>
                <w:szCs w:val="21"/>
              </w:rPr>
            </w:pPr>
            <w:r>
              <w:rPr>
                <w:rFonts w:eastAsia="楷体_GB2312"/>
                <w:kern w:val="0"/>
                <w:szCs w:val="21"/>
              </w:rPr>
              <w:t>1</w:t>
            </w:r>
          </w:p>
        </w:tc>
        <w:tc>
          <w:tcPr>
            <w:tcW w:w="0" w:type="auto"/>
            <w:tcBorders>
              <w:top w:val="single" w:color="auto" w:sz="4" w:space="0"/>
              <w:left w:val="nil"/>
              <w:bottom w:val="single" w:color="auto" w:sz="4" w:space="0"/>
              <w:right w:val="single" w:color="auto" w:sz="4" w:space="0"/>
            </w:tcBorders>
            <w:noWrap w:val="0"/>
            <w:vAlign w:val="center"/>
          </w:tcPr>
          <w:p w14:paraId="2BE930FB">
            <w:pPr>
              <w:jc w:val="center"/>
              <w:rPr>
                <w:rFonts w:eastAsia="楷体_GB2312"/>
                <w:kern w:val="0"/>
                <w:szCs w:val="21"/>
              </w:rPr>
            </w:pPr>
            <w:r>
              <w:rPr>
                <w:rFonts w:eastAsia="楷体_GB2312"/>
                <w:kern w:val="0"/>
                <w:szCs w:val="21"/>
              </w:rPr>
              <w:t>符离镇</w:t>
            </w:r>
          </w:p>
        </w:tc>
        <w:tc>
          <w:tcPr>
            <w:tcW w:w="0" w:type="auto"/>
            <w:tcBorders>
              <w:top w:val="single" w:color="auto" w:sz="4" w:space="0"/>
              <w:left w:val="nil"/>
              <w:bottom w:val="single" w:color="auto" w:sz="4" w:space="0"/>
              <w:right w:val="single" w:color="auto" w:sz="4" w:space="0"/>
            </w:tcBorders>
            <w:noWrap w:val="0"/>
            <w:vAlign w:val="center"/>
          </w:tcPr>
          <w:p w14:paraId="053DD0F7">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4C105361">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773BFD63">
            <w:pPr>
              <w:jc w:val="center"/>
              <w:rPr>
                <w:rFonts w:eastAsia="楷体_GB2312"/>
                <w:color w:val="000000"/>
                <w:szCs w:val="21"/>
              </w:rPr>
            </w:pPr>
            <w:r>
              <w:rPr>
                <w:rFonts w:eastAsia="楷体_GB2312"/>
                <w:color w:val="000000"/>
                <w:szCs w:val="21"/>
              </w:rPr>
              <w:t>3.8%</w:t>
            </w:r>
          </w:p>
        </w:tc>
      </w:tr>
      <w:tr w14:paraId="5E0D99C3">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257FAC61">
            <w:pPr>
              <w:jc w:val="center"/>
              <w:rPr>
                <w:rFonts w:eastAsia="楷体_GB2312"/>
                <w:kern w:val="0"/>
                <w:szCs w:val="21"/>
              </w:rPr>
            </w:pPr>
            <w:r>
              <w:rPr>
                <w:rFonts w:eastAsia="楷体_GB2312"/>
                <w:kern w:val="0"/>
                <w:szCs w:val="21"/>
              </w:rPr>
              <w:t>2</w:t>
            </w:r>
          </w:p>
        </w:tc>
        <w:tc>
          <w:tcPr>
            <w:tcW w:w="0" w:type="auto"/>
            <w:tcBorders>
              <w:top w:val="single" w:color="auto" w:sz="4" w:space="0"/>
              <w:left w:val="nil"/>
              <w:bottom w:val="single" w:color="auto" w:sz="4" w:space="0"/>
              <w:right w:val="single" w:color="auto" w:sz="4" w:space="0"/>
            </w:tcBorders>
            <w:noWrap w:val="0"/>
            <w:vAlign w:val="center"/>
          </w:tcPr>
          <w:p w14:paraId="63B2E3E6">
            <w:pPr>
              <w:jc w:val="center"/>
              <w:rPr>
                <w:rFonts w:eastAsia="楷体_GB2312"/>
                <w:kern w:val="0"/>
                <w:szCs w:val="21"/>
              </w:rPr>
            </w:pPr>
            <w:r>
              <w:rPr>
                <w:rFonts w:eastAsia="楷体_GB2312"/>
                <w:kern w:val="0"/>
                <w:szCs w:val="21"/>
              </w:rPr>
              <w:t>朱仙庄镇</w:t>
            </w:r>
          </w:p>
        </w:tc>
        <w:tc>
          <w:tcPr>
            <w:tcW w:w="0" w:type="auto"/>
            <w:tcBorders>
              <w:top w:val="single" w:color="auto" w:sz="4" w:space="0"/>
              <w:left w:val="nil"/>
              <w:bottom w:val="single" w:color="auto" w:sz="4" w:space="0"/>
              <w:right w:val="single" w:color="auto" w:sz="4" w:space="0"/>
            </w:tcBorders>
            <w:noWrap w:val="0"/>
            <w:vAlign w:val="center"/>
          </w:tcPr>
          <w:p w14:paraId="651DC18B">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243467B0">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3E03FC34">
            <w:pPr>
              <w:jc w:val="center"/>
              <w:rPr>
                <w:rFonts w:eastAsia="楷体_GB2312"/>
                <w:color w:val="000000"/>
                <w:szCs w:val="21"/>
              </w:rPr>
            </w:pPr>
            <w:r>
              <w:rPr>
                <w:rFonts w:eastAsia="楷体_GB2312"/>
                <w:color w:val="000000"/>
                <w:szCs w:val="21"/>
              </w:rPr>
              <w:t>3.8%</w:t>
            </w:r>
          </w:p>
        </w:tc>
      </w:tr>
      <w:tr w14:paraId="41956430">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556A62E6">
            <w:pPr>
              <w:jc w:val="center"/>
              <w:rPr>
                <w:rFonts w:eastAsia="楷体_GB2312"/>
                <w:kern w:val="0"/>
                <w:szCs w:val="21"/>
              </w:rPr>
            </w:pPr>
            <w:r>
              <w:rPr>
                <w:rFonts w:eastAsia="楷体_GB2312"/>
                <w:kern w:val="0"/>
                <w:szCs w:val="21"/>
              </w:rPr>
              <w:t>3</w:t>
            </w:r>
          </w:p>
        </w:tc>
        <w:tc>
          <w:tcPr>
            <w:tcW w:w="0" w:type="auto"/>
            <w:tcBorders>
              <w:top w:val="single" w:color="auto" w:sz="4" w:space="0"/>
              <w:left w:val="nil"/>
              <w:bottom w:val="single" w:color="auto" w:sz="4" w:space="0"/>
              <w:right w:val="single" w:color="auto" w:sz="4" w:space="0"/>
            </w:tcBorders>
            <w:noWrap w:val="0"/>
            <w:vAlign w:val="center"/>
          </w:tcPr>
          <w:p w14:paraId="27DCF856">
            <w:pPr>
              <w:jc w:val="center"/>
              <w:rPr>
                <w:rFonts w:eastAsia="楷体_GB2312"/>
                <w:kern w:val="0"/>
                <w:szCs w:val="21"/>
              </w:rPr>
            </w:pPr>
            <w:r>
              <w:rPr>
                <w:rFonts w:eastAsia="楷体_GB2312"/>
                <w:kern w:val="0"/>
                <w:szCs w:val="21"/>
              </w:rPr>
              <w:t>蕲县镇</w:t>
            </w:r>
          </w:p>
        </w:tc>
        <w:tc>
          <w:tcPr>
            <w:tcW w:w="0" w:type="auto"/>
            <w:tcBorders>
              <w:top w:val="single" w:color="auto" w:sz="4" w:space="0"/>
              <w:left w:val="nil"/>
              <w:bottom w:val="single" w:color="auto" w:sz="4" w:space="0"/>
              <w:right w:val="single" w:color="auto" w:sz="4" w:space="0"/>
            </w:tcBorders>
            <w:noWrap w:val="0"/>
            <w:vAlign w:val="center"/>
          </w:tcPr>
          <w:p w14:paraId="527C5F4E">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7014027A">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6A8B73E5">
            <w:pPr>
              <w:jc w:val="center"/>
              <w:rPr>
                <w:rFonts w:eastAsia="楷体_GB2312"/>
                <w:color w:val="000000"/>
                <w:szCs w:val="21"/>
              </w:rPr>
            </w:pPr>
            <w:r>
              <w:rPr>
                <w:rFonts w:eastAsia="楷体_GB2312"/>
                <w:color w:val="000000"/>
                <w:szCs w:val="21"/>
              </w:rPr>
              <w:t>3.8%</w:t>
            </w:r>
          </w:p>
        </w:tc>
      </w:tr>
      <w:tr w14:paraId="247072B0">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59BC3DBA">
            <w:pPr>
              <w:jc w:val="center"/>
              <w:rPr>
                <w:rFonts w:eastAsia="楷体_GB2312"/>
                <w:kern w:val="0"/>
                <w:szCs w:val="21"/>
              </w:rPr>
            </w:pPr>
            <w:r>
              <w:rPr>
                <w:rFonts w:eastAsia="楷体_GB2312"/>
                <w:kern w:val="0"/>
                <w:szCs w:val="21"/>
              </w:rPr>
              <w:t>4</w:t>
            </w:r>
          </w:p>
        </w:tc>
        <w:tc>
          <w:tcPr>
            <w:tcW w:w="0" w:type="auto"/>
            <w:tcBorders>
              <w:top w:val="single" w:color="auto" w:sz="4" w:space="0"/>
              <w:left w:val="nil"/>
              <w:bottom w:val="single" w:color="auto" w:sz="4" w:space="0"/>
              <w:right w:val="single" w:color="auto" w:sz="4" w:space="0"/>
            </w:tcBorders>
            <w:noWrap w:val="0"/>
            <w:vAlign w:val="center"/>
          </w:tcPr>
          <w:p w14:paraId="0BE10BA4">
            <w:pPr>
              <w:jc w:val="center"/>
              <w:rPr>
                <w:rFonts w:eastAsia="楷体_GB2312"/>
                <w:kern w:val="0"/>
                <w:szCs w:val="21"/>
              </w:rPr>
            </w:pPr>
            <w:r>
              <w:rPr>
                <w:rFonts w:eastAsia="楷体_GB2312"/>
                <w:kern w:val="0"/>
                <w:szCs w:val="21"/>
              </w:rPr>
              <w:t>芦岭镇</w:t>
            </w:r>
          </w:p>
        </w:tc>
        <w:tc>
          <w:tcPr>
            <w:tcW w:w="0" w:type="auto"/>
            <w:tcBorders>
              <w:top w:val="single" w:color="auto" w:sz="4" w:space="0"/>
              <w:left w:val="nil"/>
              <w:bottom w:val="single" w:color="auto" w:sz="4" w:space="0"/>
              <w:right w:val="single" w:color="auto" w:sz="4" w:space="0"/>
            </w:tcBorders>
            <w:noWrap w:val="0"/>
            <w:vAlign w:val="center"/>
          </w:tcPr>
          <w:p w14:paraId="12AFE781">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235983F4">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5A8395FF">
            <w:pPr>
              <w:jc w:val="center"/>
              <w:rPr>
                <w:rFonts w:eastAsia="楷体_GB2312"/>
                <w:color w:val="000000"/>
                <w:szCs w:val="21"/>
              </w:rPr>
            </w:pPr>
            <w:r>
              <w:rPr>
                <w:rFonts w:eastAsia="楷体_GB2312"/>
                <w:color w:val="000000"/>
                <w:szCs w:val="21"/>
              </w:rPr>
              <w:t>3.8%</w:t>
            </w:r>
          </w:p>
        </w:tc>
      </w:tr>
      <w:tr w14:paraId="608D4B32">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5FA474F7">
            <w:pPr>
              <w:jc w:val="center"/>
              <w:rPr>
                <w:rFonts w:eastAsia="楷体_GB2312"/>
                <w:kern w:val="0"/>
                <w:szCs w:val="21"/>
              </w:rPr>
            </w:pPr>
            <w:r>
              <w:rPr>
                <w:rFonts w:eastAsia="楷体_GB2312"/>
                <w:kern w:val="0"/>
                <w:szCs w:val="21"/>
              </w:rPr>
              <w:t>5</w:t>
            </w:r>
          </w:p>
        </w:tc>
        <w:tc>
          <w:tcPr>
            <w:tcW w:w="0" w:type="auto"/>
            <w:tcBorders>
              <w:top w:val="single" w:color="auto" w:sz="4" w:space="0"/>
              <w:left w:val="nil"/>
              <w:bottom w:val="single" w:color="auto" w:sz="4" w:space="0"/>
              <w:right w:val="single" w:color="auto" w:sz="4" w:space="0"/>
            </w:tcBorders>
            <w:noWrap w:val="0"/>
            <w:vAlign w:val="center"/>
          </w:tcPr>
          <w:p w14:paraId="2ED492C4">
            <w:pPr>
              <w:jc w:val="center"/>
              <w:rPr>
                <w:rFonts w:eastAsia="楷体_GB2312"/>
                <w:kern w:val="0"/>
                <w:szCs w:val="21"/>
              </w:rPr>
            </w:pPr>
            <w:r>
              <w:rPr>
                <w:rFonts w:eastAsia="楷体_GB2312"/>
                <w:kern w:val="0"/>
                <w:szCs w:val="21"/>
              </w:rPr>
              <w:t>大店镇</w:t>
            </w:r>
          </w:p>
        </w:tc>
        <w:tc>
          <w:tcPr>
            <w:tcW w:w="0" w:type="auto"/>
            <w:tcBorders>
              <w:top w:val="single" w:color="auto" w:sz="4" w:space="0"/>
              <w:left w:val="nil"/>
              <w:bottom w:val="single" w:color="auto" w:sz="4" w:space="0"/>
              <w:right w:val="single" w:color="auto" w:sz="4" w:space="0"/>
            </w:tcBorders>
            <w:noWrap w:val="0"/>
            <w:vAlign w:val="center"/>
          </w:tcPr>
          <w:p w14:paraId="2AAE6136">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7BED1CFB">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46BF478C">
            <w:pPr>
              <w:jc w:val="center"/>
              <w:rPr>
                <w:rFonts w:eastAsia="楷体_GB2312"/>
                <w:color w:val="000000"/>
                <w:szCs w:val="21"/>
              </w:rPr>
            </w:pPr>
            <w:r>
              <w:rPr>
                <w:rFonts w:eastAsia="楷体_GB2312"/>
                <w:color w:val="000000"/>
                <w:szCs w:val="21"/>
              </w:rPr>
              <w:t>3.8%</w:t>
            </w:r>
          </w:p>
        </w:tc>
      </w:tr>
      <w:tr w14:paraId="47DD28EF">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14C076E8">
            <w:pPr>
              <w:jc w:val="center"/>
              <w:rPr>
                <w:rFonts w:eastAsia="楷体_GB2312"/>
                <w:kern w:val="0"/>
                <w:szCs w:val="21"/>
              </w:rPr>
            </w:pPr>
            <w:r>
              <w:rPr>
                <w:rFonts w:eastAsia="楷体_GB2312"/>
                <w:kern w:val="0"/>
                <w:szCs w:val="21"/>
              </w:rPr>
              <w:t>6</w:t>
            </w:r>
          </w:p>
        </w:tc>
        <w:tc>
          <w:tcPr>
            <w:tcW w:w="0" w:type="auto"/>
            <w:tcBorders>
              <w:top w:val="single" w:color="auto" w:sz="4" w:space="0"/>
              <w:left w:val="nil"/>
              <w:bottom w:val="single" w:color="auto" w:sz="4" w:space="0"/>
              <w:right w:val="single" w:color="auto" w:sz="4" w:space="0"/>
            </w:tcBorders>
            <w:noWrap w:val="0"/>
            <w:vAlign w:val="center"/>
          </w:tcPr>
          <w:p w14:paraId="5D1CEF45">
            <w:pPr>
              <w:jc w:val="center"/>
              <w:rPr>
                <w:rFonts w:eastAsia="楷体_GB2312"/>
                <w:kern w:val="0"/>
                <w:szCs w:val="21"/>
              </w:rPr>
            </w:pPr>
            <w:r>
              <w:rPr>
                <w:rFonts w:eastAsia="楷体_GB2312"/>
                <w:kern w:val="0"/>
                <w:szCs w:val="21"/>
              </w:rPr>
              <w:t>栏杆镇</w:t>
            </w:r>
          </w:p>
        </w:tc>
        <w:tc>
          <w:tcPr>
            <w:tcW w:w="0" w:type="auto"/>
            <w:tcBorders>
              <w:top w:val="single" w:color="auto" w:sz="4" w:space="0"/>
              <w:left w:val="nil"/>
              <w:bottom w:val="single" w:color="auto" w:sz="4" w:space="0"/>
              <w:right w:val="single" w:color="auto" w:sz="4" w:space="0"/>
            </w:tcBorders>
            <w:noWrap w:val="0"/>
            <w:vAlign w:val="center"/>
          </w:tcPr>
          <w:p w14:paraId="23F37729">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1B9190FC">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46E73DF7">
            <w:pPr>
              <w:jc w:val="center"/>
              <w:rPr>
                <w:rFonts w:eastAsia="楷体_GB2312"/>
                <w:color w:val="000000"/>
                <w:szCs w:val="21"/>
              </w:rPr>
            </w:pPr>
            <w:r>
              <w:rPr>
                <w:rFonts w:eastAsia="楷体_GB2312"/>
                <w:color w:val="000000"/>
                <w:szCs w:val="21"/>
              </w:rPr>
              <w:t>3.8%</w:t>
            </w:r>
          </w:p>
        </w:tc>
      </w:tr>
      <w:tr w14:paraId="6CA1CC3A">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12DFA7E5">
            <w:pPr>
              <w:jc w:val="center"/>
              <w:rPr>
                <w:rFonts w:eastAsia="楷体_GB2312"/>
                <w:kern w:val="0"/>
                <w:szCs w:val="21"/>
              </w:rPr>
            </w:pPr>
            <w:r>
              <w:rPr>
                <w:rFonts w:eastAsia="楷体_GB2312"/>
                <w:kern w:val="0"/>
                <w:szCs w:val="21"/>
              </w:rPr>
              <w:t>7</w:t>
            </w:r>
          </w:p>
        </w:tc>
        <w:tc>
          <w:tcPr>
            <w:tcW w:w="0" w:type="auto"/>
            <w:tcBorders>
              <w:top w:val="single" w:color="auto" w:sz="4" w:space="0"/>
              <w:left w:val="nil"/>
              <w:bottom w:val="single" w:color="auto" w:sz="4" w:space="0"/>
              <w:right w:val="single" w:color="auto" w:sz="4" w:space="0"/>
            </w:tcBorders>
            <w:noWrap w:val="0"/>
            <w:vAlign w:val="center"/>
          </w:tcPr>
          <w:p w14:paraId="4ADC3229">
            <w:pPr>
              <w:jc w:val="center"/>
              <w:rPr>
                <w:rFonts w:eastAsia="楷体_GB2312"/>
                <w:kern w:val="0"/>
                <w:szCs w:val="21"/>
              </w:rPr>
            </w:pPr>
            <w:r>
              <w:rPr>
                <w:rFonts w:eastAsia="楷体_GB2312"/>
                <w:kern w:val="0"/>
                <w:szCs w:val="21"/>
              </w:rPr>
              <w:t>时村镇</w:t>
            </w:r>
          </w:p>
        </w:tc>
        <w:tc>
          <w:tcPr>
            <w:tcW w:w="0" w:type="auto"/>
            <w:tcBorders>
              <w:top w:val="single" w:color="auto" w:sz="4" w:space="0"/>
              <w:left w:val="nil"/>
              <w:bottom w:val="single" w:color="auto" w:sz="4" w:space="0"/>
              <w:right w:val="single" w:color="auto" w:sz="4" w:space="0"/>
            </w:tcBorders>
            <w:noWrap w:val="0"/>
            <w:vAlign w:val="center"/>
          </w:tcPr>
          <w:p w14:paraId="43F962B7">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53F2FF08">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7C492F22">
            <w:pPr>
              <w:jc w:val="center"/>
              <w:rPr>
                <w:rFonts w:eastAsia="楷体_GB2312"/>
                <w:color w:val="000000"/>
                <w:szCs w:val="21"/>
              </w:rPr>
            </w:pPr>
            <w:r>
              <w:rPr>
                <w:rFonts w:eastAsia="楷体_GB2312"/>
                <w:color w:val="000000"/>
                <w:szCs w:val="21"/>
              </w:rPr>
              <w:t>3.8%</w:t>
            </w:r>
          </w:p>
        </w:tc>
      </w:tr>
      <w:tr w14:paraId="2DCECBBD">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78962357">
            <w:pPr>
              <w:jc w:val="center"/>
              <w:rPr>
                <w:rFonts w:eastAsia="楷体_GB2312"/>
                <w:kern w:val="0"/>
                <w:szCs w:val="21"/>
              </w:rPr>
            </w:pPr>
            <w:r>
              <w:rPr>
                <w:rFonts w:eastAsia="楷体_GB2312"/>
                <w:kern w:val="0"/>
                <w:szCs w:val="21"/>
              </w:rPr>
              <w:t>8</w:t>
            </w:r>
          </w:p>
        </w:tc>
        <w:tc>
          <w:tcPr>
            <w:tcW w:w="0" w:type="auto"/>
            <w:tcBorders>
              <w:top w:val="single" w:color="auto" w:sz="4" w:space="0"/>
              <w:left w:val="nil"/>
              <w:bottom w:val="single" w:color="auto" w:sz="4" w:space="0"/>
              <w:right w:val="single" w:color="auto" w:sz="4" w:space="0"/>
            </w:tcBorders>
            <w:noWrap w:val="0"/>
            <w:vAlign w:val="center"/>
          </w:tcPr>
          <w:p w14:paraId="7CEDACFE">
            <w:pPr>
              <w:jc w:val="center"/>
              <w:rPr>
                <w:rFonts w:eastAsia="楷体_GB2312"/>
                <w:kern w:val="0"/>
                <w:szCs w:val="21"/>
              </w:rPr>
            </w:pPr>
            <w:r>
              <w:rPr>
                <w:rFonts w:eastAsia="楷体_GB2312"/>
                <w:kern w:val="0"/>
                <w:szCs w:val="21"/>
              </w:rPr>
              <w:t>夹沟镇</w:t>
            </w:r>
          </w:p>
        </w:tc>
        <w:tc>
          <w:tcPr>
            <w:tcW w:w="0" w:type="auto"/>
            <w:tcBorders>
              <w:top w:val="single" w:color="auto" w:sz="4" w:space="0"/>
              <w:left w:val="nil"/>
              <w:bottom w:val="single" w:color="auto" w:sz="4" w:space="0"/>
              <w:right w:val="single" w:color="auto" w:sz="4" w:space="0"/>
            </w:tcBorders>
            <w:noWrap w:val="0"/>
            <w:vAlign w:val="center"/>
          </w:tcPr>
          <w:p w14:paraId="3470B567">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65AEFBBD">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6124EF2D">
            <w:pPr>
              <w:jc w:val="center"/>
              <w:rPr>
                <w:rFonts w:eastAsia="楷体_GB2312"/>
                <w:color w:val="000000"/>
                <w:szCs w:val="21"/>
              </w:rPr>
            </w:pPr>
            <w:r>
              <w:rPr>
                <w:rFonts w:eastAsia="楷体_GB2312"/>
                <w:color w:val="000000"/>
                <w:szCs w:val="21"/>
              </w:rPr>
              <w:t>3.8%</w:t>
            </w:r>
          </w:p>
        </w:tc>
      </w:tr>
      <w:tr w14:paraId="4A4B8D64">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711A9C37">
            <w:pPr>
              <w:jc w:val="center"/>
              <w:rPr>
                <w:rFonts w:eastAsia="楷体_GB2312"/>
                <w:kern w:val="0"/>
                <w:szCs w:val="21"/>
              </w:rPr>
            </w:pPr>
            <w:r>
              <w:rPr>
                <w:rFonts w:eastAsia="楷体_GB2312"/>
                <w:kern w:val="0"/>
                <w:szCs w:val="21"/>
              </w:rPr>
              <w:t>9</w:t>
            </w:r>
          </w:p>
        </w:tc>
        <w:tc>
          <w:tcPr>
            <w:tcW w:w="0" w:type="auto"/>
            <w:tcBorders>
              <w:top w:val="single" w:color="auto" w:sz="4" w:space="0"/>
              <w:left w:val="nil"/>
              <w:bottom w:val="single" w:color="auto" w:sz="4" w:space="0"/>
              <w:right w:val="single" w:color="auto" w:sz="4" w:space="0"/>
            </w:tcBorders>
            <w:noWrap w:val="0"/>
            <w:vAlign w:val="center"/>
          </w:tcPr>
          <w:p w14:paraId="6BA1AD05">
            <w:pPr>
              <w:jc w:val="center"/>
              <w:rPr>
                <w:rFonts w:eastAsia="楷体_GB2312"/>
                <w:kern w:val="0"/>
                <w:szCs w:val="21"/>
              </w:rPr>
            </w:pPr>
            <w:r>
              <w:rPr>
                <w:rFonts w:eastAsia="楷体_GB2312"/>
                <w:kern w:val="0"/>
                <w:szCs w:val="21"/>
              </w:rPr>
              <w:t>西二铺乡</w:t>
            </w:r>
          </w:p>
        </w:tc>
        <w:tc>
          <w:tcPr>
            <w:tcW w:w="0" w:type="auto"/>
            <w:tcBorders>
              <w:top w:val="single" w:color="auto" w:sz="4" w:space="0"/>
              <w:left w:val="nil"/>
              <w:bottom w:val="single" w:color="auto" w:sz="4" w:space="0"/>
              <w:right w:val="single" w:color="auto" w:sz="4" w:space="0"/>
            </w:tcBorders>
            <w:noWrap w:val="0"/>
            <w:vAlign w:val="center"/>
          </w:tcPr>
          <w:p w14:paraId="62A9E66F">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1308B8CB">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58769167">
            <w:pPr>
              <w:jc w:val="center"/>
              <w:rPr>
                <w:rFonts w:eastAsia="楷体_GB2312"/>
                <w:color w:val="000000"/>
                <w:szCs w:val="21"/>
              </w:rPr>
            </w:pPr>
            <w:r>
              <w:rPr>
                <w:rFonts w:eastAsia="楷体_GB2312"/>
                <w:color w:val="000000"/>
                <w:szCs w:val="21"/>
              </w:rPr>
              <w:t>3.8%</w:t>
            </w:r>
          </w:p>
        </w:tc>
      </w:tr>
      <w:tr w14:paraId="0E5DAC7B">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500EE094">
            <w:pPr>
              <w:jc w:val="center"/>
              <w:rPr>
                <w:rFonts w:eastAsia="楷体_GB2312"/>
                <w:kern w:val="0"/>
                <w:szCs w:val="21"/>
              </w:rPr>
            </w:pPr>
            <w:r>
              <w:rPr>
                <w:rFonts w:eastAsia="楷体_GB2312"/>
                <w:kern w:val="0"/>
                <w:szCs w:val="21"/>
              </w:rPr>
              <w:t>10</w:t>
            </w:r>
          </w:p>
        </w:tc>
        <w:tc>
          <w:tcPr>
            <w:tcW w:w="0" w:type="auto"/>
            <w:tcBorders>
              <w:top w:val="single" w:color="auto" w:sz="4" w:space="0"/>
              <w:left w:val="nil"/>
              <w:bottom w:val="single" w:color="auto" w:sz="4" w:space="0"/>
              <w:right w:val="single" w:color="auto" w:sz="4" w:space="0"/>
            </w:tcBorders>
            <w:noWrap w:val="0"/>
            <w:vAlign w:val="center"/>
          </w:tcPr>
          <w:p w14:paraId="157012D4">
            <w:pPr>
              <w:jc w:val="center"/>
              <w:rPr>
                <w:rFonts w:eastAsia="楷体_GB2312"/>
                <w:kern w:val="0"/>
                <w:szCs w:val="21"/>
              </w:rPr>
            </w:pPr>
            <w:r>
              <w:rPr>
                <w:rFonts w:eastAsia="楷体_GB2312"/>
                <w:kern w:val="0"/>
                <w:szCs w:val="21"/>
              </w:rPr>
              <w:t>桃园镇</w:t>
            </w:r>
          </w:p>
        </w:tc>
        <w:tc>
          <w:tcPr>
            <w:tcW w:w="0" w:type="auto"/>
            <w:tcBorders>
              <w:top w:val="single" w:color="auto" w:sz="4" w:space="0"/>
              <w:left w:val="nil"/>
              <w:bottom w:val="single" w:color="auto" w:sz="4" w:space="0"/>
              <w:right w:val="single" w:color="auto" w:sz="4" w:space="0"/>
            </w:tcBorders>
            <w:noWrap w:val="0"/>
            <w:vAlign w:val="center"/>
          </w:tcPr>
          <w:p w14:paraId="5AA91290">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0D32F017">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2B307F33">
            <w:pPr>
              <w:jc w:val="center"/>
              <w:rPr>
                <w:rFonts w:eastAsia="楷体_GB2312"/>
                <w:color w:val="000000"/>
                <w:szCs w:val="21"/>
              </w:rPr>
            </w:pPr>
            <w:r>
              <w:rPr>
                <w:rFonts w:eastAsia="楷体_GB2312"/>
                <w:color w:val="000000"/>
                <w:szCs w:val="21"/>
              </w:rPr>
              <w:t>3.8%</w:t>
            </w:r>
          </w:p>
        </w:tc>
      </w:tr>
      <w:tr w14:paraId="35B29440">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48D51522">
            <w:pPr>
              <w:jc w:val="center"/>
              <w:rPr>
                <w:rFonts w:eastAsia="楷体_GB2312"/>
                <w:kern w:val="0"/>
                <w:szCs w:val="21"/>
              </w:rPr>
            </w:pPr>
            <w:r>
              <w:rPr>
                <w:rFonts w:eastAsia="楷体_GB2312"/>
                <w:kern w:val="0"/>
                <w:szCs w:val="21"/>
              </w:rPr>
              <w:t>11</w:t>
            </w:r>
          </w:p>
        </w:tc>
        <w:tc>
          <w:tcPr>
            <w:tcW w:w="0" w:type="auto"/>
            <w:tcBorders>
              <w:top w:val="single" w:color="auto" w:sz="4" w:space="0"/>
              <w:left w:val="nil"/>
              <w:bottom w:val="single" w:color="auto" w:sz="4" w:space="0"/>
              <w:right w:val="single" w:color="auto" w:sz="4" w:space="0"/>
            </w:tcBorders>
            <w:noWrap w:val="0"/>
            <w:vAlign w:val="center"/>
          </w:tcPr>
          <w:p w14:paraId="5466CAE3">
            <w:pPr>
              <w:jc w:val="center"/>
              <w:rPr>
                <w:rFonts w:eastAsia="楷体_GB2312"/>
                <w:kern w:val="0"/>
                <w:szCs w:val="21"/>
              </w:rPr>
            </w:pPr>
            <w:r>
              <w:rPr>
                <w:rFonts w:eastAsia="楷体_GB2312"/>
                <w:kern w:val="0"/>
                <w:szCs w:val="21"/>
              </w:rPr>
              <w:t>曹村镇</w:t>
            </w:r>
          </w:p>
        </w:tc>
        <w:tc>
          <w:tcPr>
            <w:tcW w:w="0" w:type="auto"/>
            <w:tcBorders>
              <w:top w:val="single" w:color="auto" w:sz="4" w:space="0"/>
              <w:left w:val="nil"/>
              <w:bottom w:val="single" w:color="auto" w:sz="4" w:space="0"/>
              <w:right w:val="single" w:color="auto" w:sz="4" w:space="0"/>
            </w:tcBorders>
            <w:noWrap w:val="0"/>
            <w:vAlign w:val="center"/>
          </w:tcPr>
          <w:p w14:paraId="317EF650">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34D4923A">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05AC2A5E">
            <w:pPr>
              <w:jc w:val="center"/>
              <w:rPr>
                <w:rFonts w:eastAsia="楷体_GB2312"/>
                <w:color w:val="000000"/>
                <w:szCs w:val="21"/>
              </w:rPr>
            </w:pPr>
            <w:r>
              <w:rPr>
                <w:rFonts w:eastAsia="楷体_GB2312"/>
                <w:color w:val="000000"/>
                <w:szCs w:val="21"/>
              </w:rPr>
              <w:t>3.8%</w:t>
            </w:r>
          </w:p>
        </w:tc>
      </w:tr>
      <w:tr w14:paraId="229A538B">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611E1AA0">
            <w:pPr>
              <w:jc w:val="center"/>
              <w:rPr>
                <w:rFonts w:eastAsia="楷体_GB2312"/>
                <w:kern w:val="0"/>
                <w:szCs w:val="21"/>
              </w:rPr>
            </w:pPr>
            <w:r>
              <w:rPr>
                <w:rFonts w:eastAsia="楷体_GB2312"/>
                <w:kern w:val="0"/>
                <w:szCs w:val="21"/>
              </w:rPr>
              <w:t>12</w:t>
            </w:r>
          </w:p>
        </w:tc>
        <w:tc>
          <w:tcPr>
            <w:tcW w:w="0" w:type="auto"/>
            <w:tcBorders>
              <w:top w:val="single" w:color="auto" w:sz="4" w:space="0"/>
              <w:left w:val="nil"/>
              <w:bottom w:val="single" w:color="auto" w:sz="4" w:space="0"/>
              <w:right w:val="single" w:color="auto" w:sz="4" w:space="0"/>
            </w:tcBorders>
            <w:noWrap w:val="0"/>
            <w:vAlign w:val="center"/>
          </w:tcPr>
          <w:p w14:paraId="68507E7A">
            <w:pPr>
              <w:jc w:val="center"/>
              <w:rPr>
                <w:rFonts w:eastAsia="楷体_GB2312"/>
                <w:kern w:val="0"/>
                <w:szCs w:val="21"/>
              </w:rPr>
            </w:pPr>
            <w:r>
              <w:rPr>
                <w:rFonts w:eastAsia="楷体_GB2312"/>
                <w:kern w:val="0"/>
                <w:szCs w:val="21"/>
              </w:rPr>
              <w:t>大营镇</w:t>
            </w:r>
          </w:p>
        </w:tc>
        <w:tc>
          <w:tcPr>
            <w:tcW w:w="0" w:type="auto"/>
            <w:tcBorders>
              <w:top w:val="single" w:color="auto" w:sz="4" w:space="0"/>
              <w:left w:val="nil"/>
              <w:bottom w:val="single" w:color="auto" w:sz="4" w:space="0"/>
              <w:right w:val="single" w:color="auto" w:sz="4" w:space="0"/>
            </w:tcBorders>
            <w:noWrap w:val="0"/>
            <w:vAlign w:val="center"/>
          </w:tcPr>
          <w:p w14:paraId="2854B523">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0BAB510E">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52FC7C73">
            <w:pPr>
              <w:jc w:val="center"/>
              <w:rPr>
                <w:rFonts w:eastAsia="楷体_GB2312"/>
                <w:color w:val="000000"/>
                <w:szCs w:val="21"/>
              </w:rPr>
            </w:pPr>
            <w:r>
              <w:rPr>
                <w:rFonts w:eastAsia="楷体_GB2312"/>
                <w:color w:val="000000"/>
                <w:szCs w:val="21"/>
              </w:rPr>
              <w:t>3.8%</w:t>
            </w:r>
          </w:p>
        </w:tc>
      </w:tr>
      <w:tr w14:paraId="02AC0B0C">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3A0CC589">
            <w:pPr>
              <w:jc w:val="center"/>
              <w:rPr>
                <w:rFonts w:eastAsia="楷体_GB2312"/>
                <w:kern w:val="0"/>
                <w:szCs w:val="21"/>
              </w:rPr>
            </w:pPr>
            <w:r>
              <w:rPr>
                <w:rFonts w:eastAsia="楷体_GB2312"/>
                <w:kern w:val="0"/>
                <w:szCs w:val="21"/>
              </w:rPr>
              <w:t>13</w:t>
            </w:r>
          </w:p>
        </w:tc>
        <w:tc>
          <w:tcPr>
            <w:tcW w:w="0" w:type="auto"/>
            <w:tcBorders>
              <w:top w:val="single" w:color="auto" w:sz="4" w:space="0"/>
              <w:left w:val="nil"/>
              <w:bottom w:val="single" w:color="auto" w:sz="4" w:space="0"/>
              <w:right w:val="single" w:color="auto" w:sz="4" w:space="0"/>
            </w:tcBorders>
            <w:noWrap w:val="0"/>
            <w:vAlign w:val="center"/>
          </w:tcPr>
          <w:p w14:paraId="004853C5">
            <w:pPr>
              <w:jc w:val="center"/>
              <w:rPr>
                <w:rFonts w:eastAsia="楷体_GB2312"/>
                <w:kern w:val="0"/>
                <w:szCs w:val="21"/>
              </w:rPr>
            </w:pPr>
            <w:r>
              <w:rPr>
                <w:rFonts w:eastAsia="楷体_GB2312"/>
                <w:kern w:val="0"/>
                <w:szCs w:val="21"/>
              </w:rPr>
              <w:t>褚兰镇</w:t>
            </w:r>
          </w:p>
        </w:tc>
        <w:tc>
          <w:tcPr>
            <w:tcW w:w="0" w:type="auto"/>
            <w:tcBorders>
              <w:top w:val="single" w:color="auto" w:sz="4" w:space="0"/>
              <w:left w:val="nil"/>
              <w:bottom w:val="single" w:color="auto" w:sz="4" w:space="0"/>
              <w:right w:val="single" w:color="auto" w:sz="4" w:space="0"/>
            </w:tcBorders>
            <w:noWrap w:val="0"/>
            <w:vAlign w:val="center"/>
          </w:tcPr>
          <w:p w14:paraId="4A5703B4">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776BF3F4">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5D7323C7">
            <w:pPr>
              <w:jc w:val="center"/>
              <w:rPr>
                <w:rFonts w:eastAsia="楷体_GB2312"/>
                <w:color w:val="000000"/>
                <w:szCs w:val="21"/>
              </w:rPr>
            </w:pPr>
            <w:r>
              <w:rPr>
                <w:rFonts w:eastAsia="楷体_GB2312"/>
                <w:color w:val="000000"/>
                <w:szCs w:val="21"/>
              </w:rPr>
              <w:t>3.8%</w:t>
            </w:r>
          </w:p>
        </w:tc>
      </w:tr>
      <w:tr w14:paraId="206A4960">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2A678F0A">
            <w:pPr>
              <w:jc w:val="center"/>
              <w:rPr>
                <w:rFonts w:eastAsia="楷体_GB2312"/>
                <w:kern w:val="0"/>
                <w:szCs w:val="21"/>
              </w:rPr>
            </w:pPr>
            <w:r>
              <w:rPr>
                <w:rFonts w:eastAsia="楷体_GB2312"/>
                <w:kern w:val="0"/>
                <w:szCs w:val="21"/>
              </w:rPr>
              <w:t>14</w:t>
            </w:r>
          </w:p>
        </w:tc>
        <w:tc>
          <w:tcPr>
            <w:tcW w:w="0" w:type="auto"/>
            <w:tcBorders>
              <w:top w:val="single" w:color="auto" w:sz="4" w:space="0"/>
              <w:left w:val="nil"/>
              <w:bottom w:val="single" w:color="auto" w:sz="4" w:space="0"/>
              <w:right w:val="single" w:color="auto" w:sz="4" w:space="0"/>
            </w:tcBorders>
            <w:noWrap w:val="0"/>
            <w:vAlign w:val="center"/>
          </w:tcPr>
          <w:p w14:paraId="6D2712AB">
            <w:pPr>
              <w:jc w:val="center"/>
              <w:rPr>
                <w:rFonts w:eastAsia="楷体_GB2312"/>
                <w:kern w:val="0"/>
                <w:szCs w:val="21"/>
              </w:rPr>
            </w:pPr>
            <w:r>
              <w:rPr>
                <w:rFonts w:eastAsia="楷体_GB2312"/>
                <w:kern w:val="0"/>
                <w:szCs w:val="21"/>
              </w:rPr>
              <w:t>顺河镇</w:t>
            </w:r>
          </w:p>
        </w:tc>
        <w:tc>
          <w:tcPr>
            <w:tcW w:w="0" w:type="auto"/>
            <w:tcBorders>
              <w:top w:val="single" w:color="auto" w:sz="4" w:space="0"/>
              <w:left w:val="nil"/>
              <w:bottom w:val="single" w:color="auto" w:sz="4" w:space="0"/>
              <w:right w:val="single" w:color="auto" w:sz="4" w:space="0"/>
            </w:tcBorders>
            <w:noWrap w:val="0"/>
            <w:vAlign w:val="center"/>
          </w:tcPr>
          <w:p w14:paraId="0E4BDE2B">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0255F271">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4813DF5F">
            <w:pPr>
              <w:jc w:val="center"/>
              <w:rPr>
                <w:rFonts w:eastAsia="楷体_GB2312"/>
                <w:color w:val="000000"/>
                <w:szCs w:val="21"/>
              </w:rPr>
            </w:pPr>
            <w:r>
              <w:rPr>
                <w:rFonts w:eastAsia="楷体_GB2312"/>
                <w:color w:val="000000"/>
                <w:szCs w:val="21"/>
              </w:rPr>
              <w:t>3.8%</w:t>
            </w:r>
          </w:p>
        </w:tc>
      </w:tr>
      <w:tr w14:paraId="3FF76CC5">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3B77A7CE">
            <w:pPr>
              <w:jc w:val="center"/>
              <w:rPr>
                <w:rFonts w:eastAsia="楷体_GB2312"/>
                <w:kern w:val="0"/>
                <w:szCs w:val="21"/>
              </w:rPr>
            </w:pPr>
            <w:r>
              <w:rPr>
                <w:rFonts w:eastAsia="楷体_GB2312"/>
                <w:kern w:val="0"/>
                <w:szCs w:val="21"/>
              </w:rPr>
              <w:t>15</w:t>
            </w:r>
          </w:p>
        </w:tc>
        <w:tc>
          <w:tcPr>
            <w:tcW w:w="0" w:type="auto"/>
            <w:tcBorders>
              <w:top w:val="single" w:color="auto" w:sz="4" w:space="0"/>
              <w:left w:val="nil"/>
              <w:bottom w:val="single" w:color="auto" w:sz="4" w:space="0"/>
              <w:right w:val="single" w:color="auto" w:sz="4" w:space="0"/>
            </w:tcBorders>
            <w:noWrap w:val="0"/>
            <w:vAlign w:val="center"/>
          </w:tcPr>
          <w:p w14:paraId="4FB394B3">
            <w:pPr>
              <w:jc w:val="center"/>
              <w:rPr>
                <w:rFonts w:eastAsia="楷体_GB2312"/>
                <w:kern w:val="0"/>
                <w:szCs w:val="21"/>
              </w:rPr>
            </w:pPr>
            <w:r>
              <w:rPr>
                <w:rFonts w:eastAsia="楷体_GB2312"/>
                <w:kern w:val="0"/>
                <w:szCs w:val="21"/>
              </w:rPr>
              <w:t>杨庄镇</w:t>
            </w:r>
          </w:p>
        </w:tc>
        <w:tc>
          <w:tcPr>
            <w:tcW w:w="0" w:type="auto"/>
            <w:tcBorders>
              <w:top w:val="single" w:color="auto" w:sz="4" w:space="0"/>
              <w:left w:val="nil"/>
              <w:bottom w:val="single" w:color="auto" w:sz="4" w:space="0"/>
              <w:right w:val="single" w:color="auto" w:sz="4" w:space="0"/>
            </w:tcBorders>
            <w:noWrap w:val="0"/>
            <w:vAlign w:val="center"/>
          </w:tcPr>
          <w:p w14:paraId="77BF4222">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513DED1C">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516CB442">
            <w:pPr>
              <w:jc w:val="center"/>
              <w:rPr>
                <w:rFonts w:eastAsia="楷体_GB2312"/>
                <w:color w:val="000000"/>
                <w:szCs w:val="21"/>
              </w:rPr>
            </w:pPr>
            <w:r>
              <w:rPr>
                <w:rFonts w:eastAsia="楷体_GB2312"/>
                <w:color w:val="000000"/>
                <w:szCs w:val="21"/>
              </w:rPr>
              <w:t>3.8%</w:t>
            </w:r>
          </w:p>
        </w:tc>
      </w:tr>
      <w:tr w14:paraId="7238DD6C">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6BE80EF2">
            <w:pPr>
              <w:jc w:val="center"/>
              <w:rPr>
                <w:rFonts w:eastAsia="楷体_GB2312"/>
                <w:kern w:val="0"/>
                <w:szCs w:val="21"/>
              </w:rPr>
            </w:pPr>
            <w:r>
              <w:rPr>
                <w:rFonts w:eastAsia="楷体_GB2312"/>
                <w:kern w:val="0"/>
                <w:szCs w:val="21"/>
              </w:rPr>
              <w:t>16</w:t>
            </w:r>
          </w:p>
        </w:tc>
        <w:tc>
          <w:tcPr>
            <w:tcW w:w="0" w:type="auto"/>
            <w:tcBorders>
              <w:top w:val="single" w:color="auto" w:sz="4" w:space="0"/>
              <w:left w:val="nil"/>
              <w:bottom w:val="single" w:color="auto" w:sz="4" w:space="0"/>
              <w:right w:val="single" w:color="auto" w:sz="4" w:space="0"/>
            </w:tcBorders>
            <w:noWrap w:val="0"/>
            <w:vAlign w:val="center"/>
          </w:tcPr>
          <w:p w14:paraId="4609C4FE">
            <w:pPr>
              <w:jc w:val="center"/>
              <w:rPr>
                <w:rFonts w:eastAsia="楷体_GB2312"/>
                <w:kern w:val="0"/>
                <w:szCs w:val="21"/>
              </w:rPr>
            </w:pPr>
            <w:r>
              <w:rPr>
                <w:rFonts w:eastAsia="楷体_GB2312"/>
                <w:kern w:val="0"/>
                <w:szCs w:val="21"/>
              </w:rPr>
              <w:t>永镇乡</w:t>
            </w:r>
          </w:p>
        </w:tc>
        <w:tc>
          <w:tcPr>
            <w:tcW w:w="0" w:type="auto"/>
            <w:tcBorders>
              <w:top w:val="single" w:color="auto" w:sz="4" w:space="0"/>
              <w:left w:val="nil"/>
              <w:bottom w:val="single" w:color="auto" w:sz="4" w:space="0"/>
              <w:right w:val="single" w:color="auto" w:sz="4" w:space="0"/>
            </w:tcBorders>
            <w:noWrap w:val="0"/>
            <w:vAlign w:val="center"/>
          </w:tcPr>
          <w:p w14:paraId="60A6E6A3">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796D0173">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785C6601">
            <w:pPr>
              <w:jc w:val="center"/>
              <w:rPr>
                <w:rFonts w:eastAsia="楷体_GB2312"/>
                <w:color w:val="000000"/>
                <w:szCs w:val="21"/>
              </w:rPr>
            </w:pPr>
            <w:r>
              <w:rPr>
                <w:rFonts w:eastAsia="楷体_GB2312"/>
                <w:color w:val="000000"/>
                <w:szCs w:val="21"/>
              </w:rPr>
              <w:t>3.8%</w:t>
            </w:r>
          </w:p>
        </w:tc>
      </w:tr>
      <w:tr w14:paraId="5AF7194C">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31116E10">
            <w:pPr>
              <w:jc w:val="center"/>
              <w:rPr>
                <w:rFonts w:eastAsia="楷体_GB2312"/>
                <w:kern w:val="0"/>
                <w:szCs w:val="21"/>
              </w:rPr>
            </w:pPr>
            <w:r>
              <w:rPr>
                <w:rFonts w:eastAsia="楷体_GB2312"/>
                <w:kern w:val="0"/>
                <w:szCs w:val="21"/>
              </w:rPr>
              <w:t>17</w:t>
            </w:r>
          </w:p>
        </w:tc>
        <w:tc>
          <w:tcPr>
            <w:tcW w:w="0" w:type="auto"/>
            <w:tcBorders>
              <w:top w:val="single" w:color="auto" w:sz="4" w:space="0"/>
              <w:left w:val="nil"/>
              <w:bottom w:val="single" w:color="auto" w:sz="4" w:space="0"/>
              <w:right w:val="single" w:color="auto" w:sz="4" w:space="0"/>
            </w:tcBorders>
            <w:noWrap w:val="0"/>
            <w:vAlign w:val="center"/>
          </w:tcPr>
          <w:p w14:paraId="54F565F2">
            <w:pPr>
              <w:jc w:val="center"/>
              <w:rPr>
                <w:rFonts w:eastAsia="楷体_GB2312"/>
                <w:kern w:val="0"/>
                <w:szCs w:val="21"/>
              </w:rPr>
            </w:pPr>
            <w:r>
              <w:rPr>
                <w:rFonts w:eastAsia="楷体_GB2312"/>
                <w:kern w:val="0"/>
                <w:szCs w:val="21"/>
              </w:rPr>
              <w:t>解集镇</w:t>
            </w:r>
          </w:p>
        </w:tc>
        <w:tc>
          <w:tcPr>
            <w:tcW w:w="0" w:type="auto"/>
            <w:tcBorders>
              <w:top w:val="single" w:color="auto" w:sz="4" w:space="0"/>
              <w:left w:val="nil"/>
              <w:bottom w:val="single" w:color="auto" w:sz="4" w:space="0"/>
              <w:right w:val="single" w:color="auto" w:sz="4" w:space="0"/>
            </w:tcBorders>
            <w:noWrap w:val="0"/>
            <w:vAlign w:val="center"/>
          </w:tcPr>
          <w:p w14:paraId="4C17A738">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5A64C87B">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307FAB51">
            <w:pPr>
              <w:jc w:val="center"/>
              <w:rPr>
                <w:rFonts w:eastAsia="楷体_GB2312"/>
                <w:color w:val="000000"/>
                <w:szCs w:val="21"/>
              </w:rPr>
            </w:pPr>
            <w:r>
              <w:rPr>
                <w:rFonts w:eastAsia="楷体_GB2312"/>
                <w:color w:val="000000"/>
                <w:szCs w:val="21"/>
              </w:rPr>
              <w:t>3.8%</w:t>
            </w:r>
          </w:p>
        </w:tc>
      </w:tr>
      <w:tr w14:paraId="524A37B0">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02365561">
            <w:pPr>
              <w:jc w:val="center"/>
              <w:rPr>
                <w:rFonts w:eastAsia="楷体_GB2312"/>
                <w:kern w:val="0"/>
                <w:szCs w:val="21"/>
              </w:rPr>
            </w:pPr>
            <w:r>
              <w:rPr>
                <w:rFonts w:eastAsia="楷体_GB2312"/>
                <w:kern w:val="0"/>
                <w:szCs w:val="21"/>
              </w:rPr>
              <w:t>18</w:t>
            </w:r>
          </w:p>
        </w:tc>
        <w:tc>
          <w:tcPr>
            <w:tcW w:w="0" w:type="auto"/>
            <w:tcBorders>
              <w:top w:val="single" w:color="auto" w:sz="4" w:space="0"/>
              <w:left w:val="nil"/>
              <w:bottom w:val="single" w:color="auto" w:sz="4" w:space="0"/>
              <w:right w:val="single" w:color="auto" w:sz="4" w:space="0"/>
            </w:tcBorders>
            <w:noWrap w:val="0"/>
            <w:vAlign w:val="center"/>
          </w:tcPr>
          <w:p w14:paraId="338402E7">
            <w:pPr>
              <w:jc w:val="center"/>
              <w:rPr>
                <w:rFonts w:eastAsia="楷体_GB2312"/>
                <w:kern w:val="0"/>
                <w:szCs w:val="21"/>
              </w:rPr>
            </w:pPr>
            <w:r>
              <w:rPr>
                <w:rFonts w:eastAsia="楷体_GB2312"/>
                <w:kern w:val="0"/>
                <w:szCs w:val="21"/>
              </w:rPr>
              <w:t>大泽乡镇</w:t>
            </w:r>
          </w:p>
        </w:tc>
        <w:tc>
          <w:tcPr>
            <w:tcW w:w="0" w:type="auto"/>
            <w:tcBorders>
              <w:top w:val="single" w:color="auto" w:sz="4" w:space="0"/>
              <w:left w:val="nil"/>
              <w:bottom w:val="single" w:color="auto" w:sz="4" w:space="0"/>
              <w:right w:val="single" w:color="auto" w:sz="4" w:space="0"/>
            </w:tcBorders>
            <w:noWrap w:val="0"/>
            <w:vAlign w:val="center"/>
          </w:tcPr>
          <w:p w14:paraId="11132E16">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53CB89F6">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39C94FEA">
            <w:pPr>
              <w:jc w:val="center"/>
              <w:rPr>
                <w:rFonts w:eastAsia="楷体_GB2312"/>
                <w:color w:val="000000"/>
                <w:szCs w:val="21"/>
              </w:rPr>
            </w:pPr>
            <w:r>
              <w:rPr>
                <w:rFonts w:eastAsia="楷体_GB2312"/>
                <w:color w:val="000000"/>
                <w:szCs w:val="21"/>
              </w:rPr>
              <w:t>3.8%</w:t>
            </w:r>
          </w:p>
        </w:tc>
      </w:tr>
      <w:tr w14:paraId="50C4AFF0">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1451FEF4">
            <w:pPr>
              <w:jc w:val="center"/>
              <w:rPr>
                <w:rFonts w:eastAsia="楷体_GB2312"/>
                <w:kern w:val="0"/>
                <w:szCs w:val="21"/>
              </w:rPr>
            </w:pPr>
            <w:r>
              <w:rPr>
                <w:rFonts w:eastAsia="楷体_GB2312"/>
                <w:kern w:val="0"/>
                <w:szCs w:val="21"/>
              </w:rPr>
              <w:t>19</w:t>
            </w:r>
          </w:p>
        </w:tc>
        <w:tc>
          <w:tcPr>
            <w:tcW w:w="0" w:type="auto"/>
            <w:tcBorders>
              <w:top w:val="single" w:color="auto" w:sz="4" w:space="0"/>
              <w:left w:val="nil"/>
              <w:bottom w:val="single" w:color="auto" w:sz="4" w:space="0"/>
              <w:right w:val="single" w:color="auto" w:sz="4" w:space="0"/>
            </w:tcBorders>
            <w:noWrap w:val="0"/>
            <w:vAlign w:val="center"/>
          </w:tcPr>
          <w:p w14:paraId="19AAD22C">
            <w:pPr>
              <w:jc w:val="center"/>
              <w:rPr>
                <w:rFonts w:eastAsia="楷体_GB2312"/>
                <w:kern w:val="0"/>
                <w:szCs w:val="21"/>
              </w:rPr>
            </w:pPr>
            <w:r>
              <w:rPr>
                <w:rFonts w:eastAsia="楷体_GB2312"/>
                <w:kern w:val="0"/>
                <w:szCs w:val="21"/>
              </w:rPr>
              <w:t>永安镇</w:t>
            </w:r>
          </w:p>
        </w:tc>
        <w:tc>
          <w:tcPr>
            <w:tcW w:w="0" w:type="auto"/>
            <w:tcBorders>
              <w:top w:val="single" w:color="auto" w:sz="4" w:space="0"/>
              <w:left w:val="nil"/>
              <w:bottom w:val="single" w:color="auto" w:sz="4" w:space="0"/>
              <w:right w:val="single" w:color="auto" w:sz="4" w:space="0"/>
            </w:tcBorders>
            <w:noWrap w:val="0"/>
            <w:vAlign w:val="center"/>
          </w:tcPr>
          <w:p w14:paraId="1EB011E2">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5B0E0B39">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6B0A8D5F">
            <w:pPr>
              <w:jc w:val="center"/>
              <w:rPr>
                <w:rFonts w:eastAsia="楷体_GB2312"/>
                <w:color w:val="000000"/>
                <w:szCs w:val="21"/>
              </w:rPr>
            </w:pPr>
            <w:r>
              <w:rPr>
                <w:rFonts w:eastAsia="楷体_GB2312"/>
                <w:color w:val="000000"/>
                <w:szCs w:val="21"/>
              </w:rPr>
              <w:t>3.8%</w:t>
            </w:r>
          </w:p>
        </w:tc>
      </w:tr>
      <w:tr w14:paraId="4BED3338">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4CBCD9CA">
            <w:pPr>
              <w:jc w:val="center"/>
              <w:rPr>
                <w:rFonts w:eastAsia="楷体_GB2312"/>
                <w:kern w:val="0"/>
                <w:szCs w:val="21"/>
              </w:rPr>
            </w:pPr>
            <w:r>
              <w:rPr>
                <w:rFonts w:eastAsia="楷体_GB2312"/>
                <w:kern w:val="0"/>
                <w:szCs w:val="21"/>
              </w:rPr>
              <w:t>20</w:t>
            </w:r>
          </w:p>
        </w:tc>
        <w:tc>
          <w:tcPr>
            <w:tcW w:w="0" w:type="auto"/>
            <w:tcBorders>
              <w:top w:val="single" w:color="auto" w:sz="4" w:space="0"/>
              <w:left w:val="nil"/>
              <w:bottom w:val="single" w:color="auto" w:sz="4" w:space="0"/>
              <w:right w:val="single" w:color="auto" w:sz="4" w:space="0"/>
            </w:tcBorders>
            <w:noWrap w:val="0"/>
            <w:vAlign w:val="center"/>
          </w:tcPr>
          <w:p w14:paraId="6130EF4C">
            <w:pPr>
              <w:jc w:val="center"/>
              <w:rPr>
                <w:rFonts w:eastAsia="楷体_GB2312"/>
                <w:kern w:val="0"/>
                <w:szCs w:val="21"/>
              </w:rPr>
            </w:pPr>
            <w:r>
              <w:rPr>
                <w:rFonts w:eastAsia="楷体_GB2312"/>
                <w:kern w:val="0"/>
                <w:szCs w:val="21"/>
              </w:rPr>
              <w:t>支河乡</w:t>
            </w:r>
          </w:p>
        </w:tc>
        <w:tc>
          <w:tcPr>
            <w:tcW w:w="0" w:type="auto"/>
            <w:tcBorders>
              <w:top w:val="single" w:color="auto" w:sz="4" w:space="0"/>
              <w:left w:val="nil"/>
              <w:bottom w:val="single" w:color="auto" w:sz="4" w:space="0"/>
              <w:right w:val="single" w:color="auto" w:sz="4" w:space="0"/>
            </w:tcBorders>
            <w:noWrap w:val="0"/>
            <w:vAlign w:val="center"/>
          </w:tcPr>
          <w:p w14:paraId="25EA8209">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510DFA4E">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2F5D3E2A">
            <w:pPr>
              <w:jc w:val="center"/>
              <w:rPr>
                <w:rFonts w:eastAsia="楷体_GB2312"/>
                <w:color w:val="000000"/>
                <w:szCs w:val="21"/>
              </w:rPr>
            </w:pPr>
            <w:r>
              <w:rPr>
                <w:rFonts w:eastAsia="楷体_GB2312"/>
                <w:color w:val="000000"/>
                <w:szCs w:val="21"/>
              </w:rPr>
              <w:t>3.8%</w:t>
            </w:r>
          </w:p>
        </w:tc>
      </w:tr>
      <w:tr w14:paraId="50D5B5B5">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0D27B067">
            <w:pPr>
              <w:jc w:val="center"/>
              <w:rPr>
                <w:rFonts w:eastAsia="楷体_GB2312"/>
                <w:kern w:val="0"/>
                <w:szCs w:val="21"/>
              </w:rPr>
            </w:pPr>
            <w:r>
              <w:rPr>
                <w:rFonts w:eastAsia="楷体_GB2312"/>
                <w:kern w:val="0"/>
                <w:szCs w:val="21"/>
              </w:rPr>
              <w:t>21</w:t>
            </w:r>
          </w:p>
        </w:tc>
        <w:tc>
          <w:tcPr>
            <w:tcW w:w="0" w:type="auto"/>
            <w:tcBorders>
              <w:top w:val="single" w:color="auto" w:sz="4" w:space="0"/>
              <w:left w:val="nil"/>
              <w:bottom w:val="single" w:color="auto" w:sz="4" w:space="0"/>
              <w:right w:val="single" w:color="auto" w:sz="4" w:space="0"/>
            </w:tcBorders>
            <w:noWrap w:val="0"/>
            <w:vAlign w:val="center"/>
          </w:tcPr>
          <w:p w14:paraId="63780BFF">
            <w:pPr>
              <w:jc w:val="center"/>
              <w:rPr>
                <w:rFonts w:eastAsia="楷体_GB2312"/>
                <w:kern w:val="0"/>
                <w:szCs w:val="21"/>
              </w:rPr>
            </w:pPr>
            <w:r>
              <w:rPr>
                <w:rFonts w:eastAsia="楷体_GB2312"/>
                <w:kern w:val="0"/>
                <w:szCs w:val="21"/>
              </w:rPr>
              <w:t>灰古镇</w:t>
            </w:r>
          </w:p>
        </w:tc>
        <w:tc>
          <w:tcPr>
            <w:tcW w:w="0" w:type="auto"/>
            <w:tcBorders>
              <w:top w:val="single" w:color="auto" w:sz="4" w:space="0"/>
              <w:left w:val="nil"/>
              <w:bottom w:val="single" w:color="auto" w:sz="4" w:space="0"/>
              <w:right w:val="single" w:color="auto" w:sz="4" w:space="0"/>
            </w:tcBorders>
            <w:noWrap w:val="0"/>
            <w:vAlign w:val="center"/>
          </w:tcPr>
          <w:p w14:paraId="04A08615">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1F5EB82A">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1EBD7E2E">
            <w:pPr>
              <w:jc w:val="center"/>
              <w:rPr>
                <w:rFonts w:eastAsia="楷体_GB2312"/>
                <w:color w:val="000000"/>
                <w:szCs w:val="21"/>
              </w:rPr>
            </w:pPr>
            <w:r>
              <w:rPr>
                <w:rFonts w:eastAsia="楷体_GB2312"/>
                <w:color w:val="000000"/>
                <w:szCs w:val="21"/>
              </w:rPr>
              <w:t>3.8%</w:t>
            </w:r>
          </w:p>
        </w:tc>
      </w:tr>
      <w:tr w14:paraId="5DFC2ADE">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3501FEF4">
            <w:pPr>
              <w:jc w:val="center"/>
              <w:rPr>
                <w:rFonts w:eastAsia="楷体_GB2312"/>
                <w:kern w:val="0"/>
                <w:szCs w:val="21"/>
              </w:rPr>
            </w:pPr>
            <w:r>
              <w:rPr>
                <w:rFonts w:eastAsia="楷体_GB2312"/>
                <w:kern w:val="0"/>
                <w:szCs w:val="21"/>
              </w:rPr>
              <w:t>22</w:t>
            </w:r>
          </w:p>
        </w:tc>
        <w:tc>
          <w:tcPr>
            <w:tcW w:w="0" w:type="auto"/>
            <w:tcBorders>
              <w:top w:val="single" w:color="auto" w:sz="4" w:space="0"/>
              <w:left w:val="nil"/>
              <w:bottom w:val="single" w:color="auto" w:sz="4" w:space="0"/>
              <w:right w:val="single" w:color="auto" w:sz="4" w:space="0"/>
            </w:tcBorders>
            <w:noWrap w:val="0"/>
            <w:vAlign w:val="center"/>
          </w:tcPr>
          <w:p w14:paraId="4D835BB7">
            <w:pPr>
              <w:jc w:val="center"/>
              <w:rPr>
                <w:rFonts w:eastAsia="楷体_GB2312"/>
                <w:kern w:val="0"/>
                <w:szCs w:val="21"/>
              </w:rPr>
            </w:pPr>
            <w:r>
              <w:rPr>
                <w:rFonts w:eastAsia="楷体_GB2312"/>
                <w:kern w:val="0"/>
                <w:szCs w:val="21"/>
              </w:rPr>
              <w:t>桃沟乡</w:t>
            </w:r>
          </w:p>
        </w:tc>
        <w:tc>
          <w:tcPr>
            <w:tcW w:w="0" w:type="auto"/>
            <w:tcBorders>
              <w:top w:val="single" w:color="auto" w:sz="4" w:space="0"/>
              <w:left w:val="nil"/>
              <w:bottom w:val="single" w:color="auto" w:sz="4" w:space="0"/>
              <w:right w:val="single" w:color="auto" w:sz="4" w:space="0"/>
            </w:tcBorders>
            <w:noWrap w:val="0"/>
            <w:vAlign w:val="center"/>
          </w:tcPr>
          <w:p w14:paraId="026427C1">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22006360">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0FAB03BA">
            <w:pPr>
              <w:jc w:val="center"/>
              <w:rPr>
                <w:rFonts w:eastAsia="楷体_GB2312"/>
                <w:color w:val="000000"/>
                <w:szCs w:val="21"/>
              </w:rPr>
            </w:pPr>
            <w:r>
              <w:rPr>
                <w:rFonts w:eastAsia="楷体_GB2312"/>
                <w:color w:val="000000"/>
                <w:szCs w:val="21"/>
              </w:rPr>
              <w:t>3.8%</w:t>
            </w:r>
          </w:p>
        </w:tc>
      </w:tr>
      <w:tr w14:paraId="28F3646A">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011C25E0">
            <w:pPr>
              <w:jc w:val="center"/>
              <w:rPr>
                <w:rFonts w:eastAsia="楷体_GB2312"/>
                <w:kern w:val="0"/>
                <w:szCs w:val="21"/>
              </w:rPr>
            </w:pPr>
            <w:r>
              <w:rPr>
                <w:rFonts w:eastAsia="楷体_GB2312"/>
                <w:kern w:val="0"/>
                <w:szCs w:val="21"/>
              </w:rPr>
              <w:t>23</w:t>
            </w:r>
          </w:p>
        </w:tc>
        <w:tc>
          <w:tcPr>
            <w:tcW w:w="0" w:type="auto"/>
            <w:tcBorders>
              <w:top w:val="single" w:color="auto" w:sz="4" w:space="0"/>
              <w:left w:val="nil"/>
              <w:bottom w:val="single" w:color="auto" w:sz="4" w:space="0"/>
              <w:right w:val="single" w:color="auto" w:sz="4" w:space="0"/>
            </w:tcBorders>
            <w:noWrap w:val="0"/>
            <w:vAlign w:val="center"/>
          </w:tcPr>
          <w:p w14:paraId="6820B25C">
            <w:pPr>
              <w:jc w:val="center"/>
              <w:rPr>
                <w:rFonts w:eastAsia="楷体_GB2312"/>
                <w:kern w:val="0"/>
                <w:szCs w:val="21"/>
              </w:rPr>
            </w:pPr>
            <w:r>
              <w:rPr>
                <w:rFonts w:eastAsia="楷体_GB2312"/>
                <w:kern w:val="0"/>
                <w:szCs w:val="21"/>
              </w:rPr>
              <w:t>曹村开发区</w:t>
            </w:r>
          </w:p>
        </w:tc>
        <w:tc>
          <w:tcPr>
            <w:tcW w:w="0" w:type="auto"/>
            <w:tcBorders>
              <w:top w:val="single" w:color="auto" w:sz="4" w:space="0"/>
              <w:left w:val="nil"/>
              <w:bottom w:val="single" w:color="auto" w:sz="4" w:space="0"/>
              <w:right w:val="single" w:color="auto" w:sz="4" w:space="0"/>
            </w:tcBorders>
            <w:noWrap w:val="0"/>
            <w:vAlign w:val="center"/>
          </w:tcPr>
          <w:p w14:paraId="001DF43C">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05EA919F">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1E1B7FEB">
            <w:pPr>
              <w:jc w:val="center"/>
              <w:rPr>
                <w:rFonts w:eastAsia="楷体_GB2312"/>
                <w:color w:val="000000"/>
                <w:szCs w:val="21"/>
              </w:rPr>
            </w:pPr>
            <w:r>
              <w:rPr>
                <w:rFonts w:eastAsia="楷体_GB2312"/>
                <w:color w:val="000000"/>
                <w:szCs w:val="21"/>
              </w:rPr>
              <w:t>3.8%</w:t>
            </w:r>
          </w:p>
        </w:tc>
      </w:tr>
      <w:tr w14:paraId="7B998CC3">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03E5D2E3">
            <w:pPr>
              <w:jc w:val="center"/>
              <w:rPr>
                <w:rFonts w:eastAsia="楷体_GB2312"/>
                <w:kern w:val="0"/>
                <w:szCs w:val="21"/>
              </w:rPr>
            </w:pPr>
            <w:r>
              <w:rPr>
                <w:rFonts w:eastAsia="楷体_GB2312"/>
                <w:kern w:val="0"/>
                <w:szCs w:val="21"/>
              </w:rPr>
              <w:t>24</w:t>
            </w:r>
          </w:p>
        </w:tc>
        <w:tc>
          <w:tcPr>
            <w:tcW w:w="0" w:type="auto"/>
            <w:tcBorders>
              <w:top w:val="single" w:color="auto" w:sz="4" w:space="0"/>
              <w:left w:val="nil"/>
              <w:bottom w:val="single" w:color="auto" w:sz="4" w:space="0"/>
              <w:right w:val="single" w:color="auto" w:sz="4" w:space="0"/>
            </w:tcBorders>
            <w:noWrap w:val="0"/>
            <w:vAlign w:val="center"/>
          </w:tcPr>
          <w:p w14:paraId="0D965028">
            <w:pPr>
              <w:jc w:val="center"/>
              <w:rPr>
                <w:rFonts w:eastAsia="楷体_GB2312"/>
                <w:kern w:val="0"/>
                <w:szCs w:val="21"/>
              </w:rPr>
            </w:pPr>
            <w:r>
              <w:rPr>
                <w:rFonts w:eastAsia="楷体_GB2312"/>
                <w:kern w:val="0"/>
                <w:szCs w:val="21"/>
              </w:rPr>
              <w:t>家具产业园</w:t>
            </w:r>
          </w:p>
        </w:tc>
        <w:tc>
          <w:tcPr>
            <w:tcW w:w="0" w:type="auto"/>
            <w:tcBorders>
              <w:top w:val="single" w:color="auto" w:sz="4" w:space="0"/>
              <w:left w:val="nil"/>
              <w:bottom w:val="single" w:color="auto" w:sz="4" w:space="0"/>
              <w:right w:val="single" w:color="auto" w:sz="4" w:space="0"/>
            </w:tcBorders>
            <w:noWrap w:val="0"/>
            <w:vAlign w:val="center"/>
          </w:tcPr>
          <w:p w14:paraId="7C85D365">
            <w:pPr>
              <w:jc w:val="center"/>
              <w:rPr>
                <w:rFonts w:eastAsia="楷体_GB2312"/>
                <w:color w:val="000000"/>
                <w:sz w:val="24"/>
              </w:rPr>
            </w:pPr>
            <w:r>
              <w:rPr>
                <w:rFonts w:eastAsia="楷体_GB2312"/>
                <w:color w:val="000000"/>
              </w:rPr>
              <w:t>55</w:t>
            </w:r>
          </w:p>
        </w:tc>
        <w:tc>
          <w:tcPr>
            <w:tcW w:w="0" w:type="auto"/>
            <w:tcBorders>
              <w:top w:val="single" w:color="auto" w:sz="4" w:space="0"/>
              <w:left w:val="nil"/>
              <w:bottom w:val="single" w:color="auto" w:sz="4" w:space="0"/>
              <w:right w:val="single" w:color="auto" w:sz="4" w:space="0"/>
            </w:tcBorders>
            <w:noWrap w:val="0"/>
            <w:vAlign w:val="center"/>
          </w:tcPr>
          <w:p w14:paraId="76E14FDC">
            <w:pPr>
              <w:jc w:val="center"/>
              <w:rPr>
                <w:rFonts w:eastAsia="楷体_GB2312"/>
                <w:color w:val="000000"/>
                <w:szCs w:val="21"/>
              </w:rPr>
            </w:pPr>
            <w:r>
              <w:rPr>
                <w:rFonts w:eastAsia="楷体_GB2312"/>
                <w:color w:val="000000"/>
                <w:szCs w:val="21"/>
              </w:rPr>
              <w:t>7.1%</w:t>
            </w:r>
          </w:p>
        </w:tc>
        <w:tc>
          <w:tcPr>
            <w:tcW w:w="0" w:type="auto"/>
            <w:tcBorders>
              <w:top w:val="single" w:color="auto" w:sz="4" w:space="0"/>
              <w:left w:val="nil"/>
              <w:bottom w:val="single" w:color="auto" w:sz="4" w:space="0"/>
              <w:right w:val="single" w:color="auto" w:sz="4" w:space="0"/>
            </w:tcBorders>
            <w:noWrap w:val="0"/>
            <w:vAlign w:val="center"/>
          </w:tcPr>
          <w:p w14:paraId="6E6FC9D7">
            <w:pPr>
              <w:jc w:val="center"/>
              <w:rPr>
                <w:rFonts w:eastAsia="楷体_GB2312"/>
                <w:color w:val="000000"/>
                <w:szCs w:val="21"/>
              </w:rPr>
            </w:pPr>
            <w:r>
              <w:rPr>
                <w:rFonts w:eastAsia="楷体_GB2312"/>
                <w:color w:val="000000"/>
                <w:szCs w:val="21"/>
              </w:rPr>
              <w:t>6.96%</w:t>
            </w:r>
          </w:p>
        </w:tc>
      </w:tr>
      <w:tr w14:paraId="329BBD38">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14:paraId="77CA7CA4">
            <w:pPr>
              <w:jc w:val="center"/>
              <w:rPr>
                <w:rFonts w:eastAsia="楷体_GB2312"/>
                <w:kern w:val="0"/>
                <w:szCs w:val="21"/>
              </w:rPr>
            </w:pPr>
            <w:r>
              <w:rPr>
                <w:rFonts w:eastAsia="楷体_GB2312"/>
                <w:kern w:val="0"/>
                <w:szCs w:val="21"/>
              </w:rPr>
              <w:t>25</w:t>
            </w:r>
          </w:p>
        </w:tc>
        <w:tc>
          <w:tcPr>
            <w:tcW w:w="0" w:type="auto"/>
            <w:tcBorders>
              <w:top w:val="single" w:color="auto" w:sz="4" w:space="0"/>
              <w:left w:val="nil"/>
              <w:bottom w:val="single" w:color="auto" w:sz="4" w:space="0"/>
              <w:right w:val="single" w:color="auto" w:sz="4" w:space="0"/>
            </w:tcBorders>
            <w:noWrap w:val="0"/>
            <w:vAlign w:val="center"/>
          </w:tcPr>
          <w:p w14:paraId="6ED7A1B5">
            <w:pPr>
              <w:jc w:val="center"/>
              <w:rPr>
                <w:rFonts w:eastAsia="楷体_GB2312"/>
                <w:kern w:val="0"/>
                <w:szCs w:val="21"/>
              </w:rPr>
            </w:pPr>
            <w:r>
              <w:rPr>
                <w:rFonts w:eastAsia="楷体_GB2312"/>
                <w:kern w:val="0"/>
                <w:szCs w:val="21"/>
              </w:rPr>
              <w:t>农业示范园</w:t>
            </w:r>
          </w:p>
        </w:tc>
        <w:tc>
          <w:tcPr>
            <w:tcW w:w="0" w:type="auto"/>
            <w:tcBorders>
              <w:top w:val="single" w:color="auto" w:sz="4" w:space="0"/>
              <w:left w:val="nil"/>
              <w:bottom w:val="single" w:color="auto" w:sz="4" w:space="0"/>
              <w:right w:val="single" w:color="auto" w:sz="4" w:space="0"/>
            </w:tcBorders>
            <w:noWrap w:val="0"/>
            <w:vAlign w:val="center"/>
          </w:tcPr>
          <w:p w14:paraId="189AAD0B">
            <w:pPr>
              <w:jc w:val="center"/>
              <w:rPr>
                <w:rFonts w:eastAsia="楷体_GB2312"/>
                <w:color w:val="000000"/>
                <w:sz w:val="24"/>
              </w:rPr>
            </w:pPr>
            <w:r>
              <w:rPr>
                <w:rFonts w:eastAsia="楷体_GB2312"/>
                <w:color w:val="000000"/>
              </w:rPr>
              <w:t>30</w:t>
            </w:r>
          </w:p>
        </w:tc>
        <w:tc>
          <w:tcPr>
            <w:tcW w:w="0" w:type="auto"/>
            <w:tcBorders>
              <w:top w:val="single" w:color="auto" w:sz="4" w:space="0"/>
              <w:left w:val="nil"/>
              <w:bottom w:val="single" w:color="auto" w:sz="4" w:space="0"/>
              <w:right w:val="single" w:color="auto" w:sz="4" w:space="0"/>
            </w:tcBorders>
            <w:noWrap w:val="0"/>
            <w:vAlign w:val="center"/>
          </w:tcPr>
          <w:p w14:paraId="0452BEE0">
            <w:pPr>
              <w:jc w:val="center"/>
              <w:rPr>
                <w:rFonts w:eastAsia="楷体_GB2312"/>
                <w:color w:val="000000"/>
                <w:szCs w:val="21"/>
              </w:rPr>
            </w:pPr>
            <w:r>
              <w:rPr>
                <w:rFonts w:eastAsia="楷体_GB2312"/>
                <w:color w:val="000000"/>
                <w:szCs w:val="21"/>
              </w:rPr>
              <w:t>3.87%</w:t>
            </w:r>
          </w:p>
        </w:tc>
        <w:tc>
          <w:tcPr>
            <w:tcW w:w="0" w:type="auto"/>
            <w:tcBorders>
              <w:top w:val="single" w:color="auto" w:sz="4" w:space="0"/>
              <w:left w:val="nil"/>
              <w:bottom w:val="single" w:color="auto" w:sz="4" w:space="0"/>
              <w:right w:val="single" w:color="auto" w:sz="4" w:space="0"/>
            </w:tcBorders>
            <w:noWrap w:val="0"/>
            <w:vAlign w:val="center"/>
          </w:tcPr>
          <w:p w14:paraId="6177FFCC">
            <w:pPr>
              <w:jc w:val="center"/>
              <w:rPr>
                <w:rFonts w:eastAsia="楷体_GB2312"/>
                <w:color w:val="000000"/>
                <w:szCs w:val="21"/>
              </w:rPr>
            </w:pPr>
            <w:r>
              <w:rPr>
                <w:rFonts w:eastAsia="楷体_GB2312"/>
                <w:color w:val="000000"/>
                <w:szCs w:val="21"/>
              </w:rPr>
              <w:t>3.8%</w:t>
            </w:r>
          </w:p>
        </w:tc>
      </w:tr>
      <w:tr w14:paraId="2FF693E4">
        <w:tblPrEx>
          <w:tblCellMar>
            <w:top w:w="0" w:type="dxa"/>
            <w:left w:w="108" w:type="dxa"/>
            <w:bottom w:w="0" w:type="dxa"/>
            <w:right w:w="108" w:type="dxa"/>
          </w:tblCellMar>
        </w:tblPrEx>
        <w:trPr>
          <w:trHeight w:val="270" w:hRule="atLeast"/>
          <w:jc w:val="center"/>
        </w:trPr>
        <w:tc>
          <w:tcPr>
            <w:tcW w:w="0" w:type="auto"/>
            <w:gridSpan w:val="2"/>
            <w:tcBorders>
              <w:top w:val="single" w:color="auto" w:sz="4" w:space="0"/>
              <w:left w:val="single" w:color="auto" w:sz="4" w:space="0"/>
              <w:bottom w:val="single" w:color="auto" w:sz="4" w:space="0"/>
              <w:right w:val="single" w:color="auto" w:sz="4" w:space="0"/>
            </w:tcBorders>
            <w:noWrap w:val="0"/>
            <w:vAlign w:val="center"/>
          </w:tcPr>
          <w:p w14:paraId="3016B8DE">
            <w:pPr>
              <w:jc w:val="center"/>
              <w:rPr>
                <w:rFonts w:eastAsia="楷体_GB2312"/>
                <w:kern w:val="0"/>
                <w:szCs w:val="21"/>
              </w:rPr>
            </w:pPr>
            <w:r>
              <w:rPr>
                <w:rFonts w:eastAsia="楷体_GB2312"/>
                <w:kern w:val="0"/>
                <w:szCs w:val="21"/>
              </w:rPr>
              <w:t>合计</w:t>
            </w:r>
          </w:p>
        </w:tc>
        <w:tc>
          <w:tcPr>
            <w:tcW w:w="0" w:type="auto"/>
            <w:tcBorders>
              <w:top w:val="nil"/>
              <w:left w:val="nil"/>
              <w:bottom w:val="single" w:color="auto" w:sz="4" w:space="0"/>
              <w:right w:val="single" w:color="auto" w:sz="4" w:space="0"/>
            </w:tcBorders>
            <w:noWrap w:val="0"/>
            <w:vAlign w:val="center"/>
          </w:tcPr>
          <w:p w14:paraId="3AE41B0B">
            <w:pPr>
              <w:jc w:val="center"/>
              <w:rPr>
                <w:rFonts w:eastAsia="楷体_GB2312"/>
                <w:color w:val="000000"/>
                <w:szCs w:val="21"/>
              </w:rPr>
            </w:pPr>
            <w:r>
              <w:rPr>
                <w:rFonts w:eastAsia="楷体_GB2312"/>
                <w:color w:val="000000"/>
                <w:szCs w:val="21"/>
              </w:rPr>
              <w:t>775</w:t>
            </w:r>
          </w:p>
        </w:tc>
        <w:tc>
          <w:tcPr>
            <w:tcW w:w="0" w:type="auto"/>
            <w:tcBorders>
              <w:top w:val="nil"/>
              <w:left w:val="nil"/>
              <w:bottom w:val="single" w:color="auto" w:sz="4" w:space="0"/>
              <w:right w:val="single" w:color="auto" w:sz="4" w:space="0"/>
            </w:tcBorders>
            <w:noWrap w:val="0"/>
            <w:vAlign w:val="center"/>
          </w:tcPr>
          <w:p w14:paraId="3D49A6A0">
            <w:pPr>
              <w:jc w:val="center"/>
              <w:rPr>
                <w:rFonts w:eastAsia="楷体_GB2312"/>
                <w:color w:val="000000"/>
                <w:szCs w:val="21"/>
              </w:rPr>
            </w:pPr>
            <w:r>
              <w:rPr>
                <w:rFonts w:eastAsia="楷体_GB2312"/>
                <w:color w:val="000000"/>
                <w:szCs w:val="21"/>
              </w:rPr>
              <w:t>100%</w:t>
            </w:r>
          </w:p>
        </w:tc>
        <w:tc>
          <w:tcPr>
            <w:tcW w:w="0" w:type="auto"/>
            <w:tcBorders>
              <w:top w:val="nil"/>
              <w:left w:val="nil"/>
              <w:bottom w:val="single" w:color="auto" w:sz="4" w:space="0"/>
              <w:right w:val="single" w:color="auto" w:sz="4" w:space="0"/>
            </w:tcBorders>
            <w:noWrap w:val="0"/>
            <w:vAlign w:val="center"/>
          </w:tcPr>
          <w:p w14:paraId="5168D14F">
            <w:pPr>
              <w:jc w:val="center"/>
              <w:rPr>
                <w:rFonts w:eastAsia="楷体_GB2312"/>
                <w:color w:val="000000"/>
                <w:szCs w:val="21"/>
              </w:rPr>
            </w:pPr>
            <w:r>
              <w:rPr>
                <w:rFonts w:eastAsia="楷体_GB2312"/>
                <w:color w:val="000000"/>
                <w:szCs w:val="21"/>
              </w:rPr>
              <w:t>98.1%</w:t>
            </w:r>
          </w:p>
        </w:tc>
      </w:tr>
    </w:tbl>
    <w:p w14:paraId="7DA8E48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样点中包括了非住宅用途的房地出售样点、同一级别价差较大的样点，故将其进行了剔除。低级别远离中心区域，样点数少。</w:t>
      </w:r>
    </w:p>
    <w:p w14:paraId="7F3C1AFD">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从上述统计表可以看出房地买卖样点主要为住宅用途。共有样点</w:t>
      </w:r>
      <w:r>
        <w:rPr>
          <w:rFonts w:hint="eastAsia" w:ascii="Times New Roman" w:hAnsi="Times New Roman" w:eastAsia="楷体_GB2312" w:cs="Times New Roman"/>
          <w:sz w:val="28"/>
        </w:rPr>
        <w:t>775</w:t>
      </w:r>
      <w:r>
        <w:rPr>
          <w:rFonts w:ascii="Times New Roman" w:hAnsi="Times New Roman" w:eastAsia="楷体_GB2312" w:cs="Times New Roman"/>
          <w:sz w:val="28"/>
        </w:rPr>
        <w:t>个，占房地买卖样本总量的</w:t>
      </w:r>
      <w:r>
        <w:rPr>
          <w:rFonts w:hint="eastAsia" w:ascii="Times New Roman" w:hAnsi="Times New Roman" w:eastAsia="楷体_GB2312" w:cs="Times New Roman"/>
          <w:sz w:val="28"/>
        </w:rPr>
        <w:t>98.10</w:t>
      </w:r>
      <w:r>
        <w:rPr>
          <w:rFonts w:ascii="Times New Roman" w:hAnsi="Times New Roman" w:eastAsia="楷体_GB2312" w:cs="Times New Roman"/>
          <w:sz w:val="28"/>
        </w:rPr>
        <w:t>%，商业用房买卖交易量较小，工业用房买卖交易量没有，商业用房交易方式以租赁为主，工业用房买卖和租赁交易量都极小。</w:t>
      </w:r>
    </w:p>
    <w:p w14:paraId="75BA2568">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根据《城镇土地估价规程》（GB/T 18508-2014）的要求，调查样本数应符合数理统计要求，每级样本总数不少于30个，因各乡镇出让、转让样点较少，大多数级别未达到30个，但本次调查的房地买卖样点，在各个级别具有代表性，满足样本统计要求，可作为测算住宅用地基准地价的参考。因此，评估结果可作为基准地价确定的参考依据。</w:t>
      </w:r>
    </w:p>
    <w:p w14:paraId="5A20D4C8">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2、分布均匀性</w:t>
      </w:r>
    </w:p>
    <w:p w14:paraId="576999EA">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分析住宅用途房地买卖样点分布图，可以看出镇区房地买卖样点较均匀，总体上能反映住宅用地空间分布的实际情况。</w:t>
      </w:r>
    </w:p>
    <w:p w14:paraId="4E9A26B5">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3、代表性和可靠性分析</w:t>
      </w:r>
    </w:p>
    <w:p w14:paraId="4EA471FC">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住宅用房买卖交易比较活跃，商品化程度较高。由于近几年</w:t>
      </w:r>
      <w:r>
        <w:rPr>
          <w:rFonts w:hint="eastAsia" w:ascii="楷体" w:hAnsi="楷体" w:eastAsia="楷体" w:cs="宋体"/>
          <w:sz w:val="28"/>
          <w:szCs w:val="24"/>
        </w:rPr>
        <w:t>埇</w:t>
      </w:r>
      <w:r>
        <w:rPr>
          <w:rFonts w:hint="eastAsia" w:ascii="楷体_GB2312" w:hAnsi="楷体_GB2312" w:eastAsia="楷体_GB2312" w:cs="楷体_GB2312"/>
          <w:sz w:val="28"/>
        </w:rPr>
        <w:t>桥区</w:t>
      </w:r>
      <w:r>
        <w:rPr>
          <w:rFonts w:ascii="Times New Roman" w:hAnsi="Times New Roman" w:eastAsia="楷体_GB2312" w:cs="Times New Roman"/>
          <w:sz w:val="28"/>
        </w:rPr>
        <w:t>各乡镇建设速度较快，房屋拆迁量大，加上城镇住房制度改革，允许房改房上市，住宅用房买卖交易量逐年上升，交易价格透明度大，瞒价、拒报情况较少。本次土地估价所收集的住宅用途房地买卖地价资料代表性和可靠性强，基本上能反映住宅用地的实际地价水平。</w:t>
      </w:r>
    </w:p>
    <w:p w14:paraId="7A159C22">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二、工作数据库的建立</w:t>
      </w:r>
    </w:p>
    <w:p w14:paraId="2B036290">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将经过整理的房地买卖资料按编号、用途类型、土地使用面积、建筑面积、售价、土地级别等输入计算机、建立房地买卖样点工作数据库。</w:t>
      </w:r>
    </w:p>
    <w:p w14:paraId="4855D534">
      <w:pPr>
        <w:pStyle w:val="20"/>
        <w:spacing w:line="480" w:lineRule="exact"/>
        <w:ind w:firstLine="560" w:firstLineChars="200"/>
        <w:rPr>
          <w:rFonts w:ascii="Times New Roman" w:hAnsi="Times New Roman" w:eastAsia="楷体_GB2312" w:cs="Times New Roman"/>
          <w:sz w:val="28"/>
        </w:rPr>
      </w:pPr>
    </w:p>
    <w:p w14:paraId="5E2CC98C">
      <w:pPr>
        <w:pStyle w:val="4"/>
        <w:numPr>
          <w:ilvl w:val="0"/>
          <w:numId w:val="0"/>
        </w:numPr>
        <w:spacing w:line="240" w:lineRule="auto"/>
        <w:jc w:val="center"/>
        <w:rPr>
          <w:rFonts w:eastAsia="仿宋_GB2312"/>
          <w:bCs w:val="0"/>
        </w:rPr>
      </w:pPr>
      <w:bookmarkStart w:id="74" w:name="_Toc62563687"/>
      <w:bookmarkStart w:id="75" w:name="_Toc152150589"/>
      <w:bookmarkStart w:id="76" w:name="_Toc388541455"/>
      <w:r>
        <w:rPr>
          <w:rFonts w:eastAsia="仿宋_GB2312"/>
          <w:bCs w:val="0"/>
        </w:rPr>
        <w:t>第三节  土地使用权出让样点地价资料整理</w:t>
      </w:r>
      <w:bookmarkEnd w:id="74"/>
      <w:bookmarkEnd w:id="75"/>
      <w:bookmarkEnd w:id="76"/>
    </w:p>
    <w:p w14:paraId="05FA66F0">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收集了工矿仓储用地</w:t>
      </w:r>
      <w:r>
        <w:rPr>
          <w:rFonts w:hint="eastAsia" w:ascii="Times New Roman" w:hAnsi="Times New Roman" w:eastAsia="楷体_GB2312" w:cs="Times New Roman"/>
          <w:sz w:val="28"/>
        </w:rPr>
        <w:t>出让</w:t>
      </w:r>
      <w:r>
        <w:rPr>
          <w:rFonts w:ascii="Times New Roman" w:hAnsi="Times New Roman" w:eastAsia="楷体_GB2312" w:cs="Times New Roman"/>
          <w:sz w:val="28"/>
        </w:rPr>
        <w:t>样点</w:t>
      </w:r>
      <w:r>
        <w:rPr>
          <w:rFonts w:hint="eastAsia" w:ascii="Times New Roman" w:hAnsi="Times New Roman" w:eastAsia="楷体_GB2312" w:cs="Times New Roman"/>
          <w:sz w:val="28"/>
        </w:rPr>
        <w:t>74</w:t>
      </w:r>
      <w:r>
        <w:rPr>
          <w:rFonts w:ascii="Times New Roman" w:hAnsi="Times New Roman" w:eastAsia="楷体_GB2312" w:cs="Times New Roman"/>
          <w:sz w:val="28"/>
        </w:rPr>
        <w:t>个，该类资料是工矿仓储用地市场交易样点数量较多的一类地价资料，它对工矿仓储用地基准地价评估十分重要。</w:t>
      </w:r>
    </w:p>
    <w:p w14:paraId="6306CB85">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一、样点地价资料分析</w:t>
      </w:r>
    </w:p>
    <w:p w14:paraId="256EE60F">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1、样点统计</w:t>
      </w:r>
    </w:p>
    <w:p w14:paraId="7709E300">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土地使用权出让的样点侧重于工矿仓储用地。按城镇分别进行了统计，统计结果见表2-3-3。</w:t>
      </w:r>
    </w:p>
    <w:p w14:paraId="287D15DE">
      <w:pPr>
        <w:pStyle w:val="20"/>
        <w:spacing w:before="120" w:beforeLines="50" w:after="120" w:afterLines="50" w:line="480" w:lineRule="exact"/>
        <w:ind w:left="-141" w:leftChars="-67" w:right="-113" w:rightChars="-54"/>
        <w:jc w:val="center"/>
        <w:rPr>
          <w:rFonts w:ascii="Times New Roman" w:hAnsi="Times New Roman" w:eastAsia="黑体" w:cs="Times New Roman"/>
          <w:sz w:val="28"/>
        </w:rPr>
      </w:pPr>
      <w:r>
        <w:rPr>
          <w:rFonts w:ascii="Times New Roman" w:hAnsi="Times New Roman" w:eastAsia="黑体" w:cs="Times New Roman"/>
          <w:sz w:val="28"/>
        </w:rPr>
        <w:t>表2-3-3  工矿仓储用地土地使用权出让样点统计表</w:t>
      </w:r>
    </w:p>
    <w:tbl>
      <w:tblPr>
        <w:tblStyle w:val="38"/>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7"/>
        <w:gridCol w:w="2197"/>
        <w:gridCol w:w="2197"/>
        <w:gridCol w:w="2198"/>
      </w:tblGrid>
      <w:tr w14:paraId="7420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197" w:type="dxa"/>
            <w:noWrap w:val="0"/>
            <w:vAlign w:val="center"/>
          </w:tcPr>
          <w:p w14:paraId="6FD19E97">
            <w:pPr>
              <w:jc w:val="center"/>
              <w:rPr>
                <w:rFonts w:eastAsia="楷体_GB2312"/>
                <w:kern w:val="0"/>
                <w:szCs w:val="21"/>
              </w:rPr>
            </w:pPr>
            <w:r>
              <w:rPr>
                <w:rFonts w:eastAsia="楷体_GB2312"/>
                <w:kern w:val="0"/>
                <w:szCs w:val="21"/>
              </w:rPr>
              <w:t>乡镇编号</w:t>
            </w:r>
          </w:p>
        </w:tc>
        <w:tc>
          <w:tcPr>
            <w:tcW w:w="2197" w:type="dxa"/>
            <w:noWrap w:val="0"/>
            <w:vAlign w:val="center"/>
          </w:tcPr>
          <w:p w14:paraId="7F2BA1CE">
            <w:pPr>
              <w:jc w:val="center"/>
              <w:rPr>
                <w:rFonts w:eastAsia="楷体_GB2312"/>
                <w:kern w:val="0"/>
                <w:szCs w:val="21"/>
              </w:rPr>
            </w:pPr>
            <w:r>
              <w:rPr>
                <w:rFonts w:eastAsia="楷体_GB2312"/>
                <w:kern w:val="0"/>
                <w:szCs w:val="21"/>
              </w:rPr>
              <w:t>乡镇名称</w:t>
            </w:r>
          </w:p>
        </w:tc>
        <w:tc>
          <w:tcPr>
            <w:tcW w:w="2197" w:type="dxa"/>
            <w:noWrap w:val="0"/>
            <w:vAlign w:val="center"/>
          </w:tcPr>
          <w:p w14:paraId="0531DE10">
            <w:pPr>
              <w:jc w:val="center"/>
              <w:rPr>
                <w:rFonts w:eastAsia="楷体_GB2312"/>
                <w:kern w:val="0"/>
                <w:szCs w:val="21"/>
              </w:rPr>
            </w:pPr>
            <w:r>
              <w:rPr>
                <w:rFonts w:eastAsia="楷体_GB2312"/>
                <w:kern w:val="0"/>
                <w:szCs w:val="21"/>
              </w:rPr>
              <w:t>样点个数（个）</w:t>
            </w:r>
          </w:p>
        </w:tc>
        <w:tc>
          <w:tcPr>
            <w:tcW w:w="2198" w:type="dxa"/>
            <w:noWrap w:val="0"/>
            <w:vAlign w:val="center"/>
          </w:tcPr>
          <w:p w14:paraId="773E375D">
            <w:pPr>
              <w:jc w:val="center"/>
              <w:rPr>
                <w:rFonts w:eastAsia="楷体_GB2312"/>
                <w:kern w:val="0"/>
                <w:szCs w:val="21"/>
              </w:rPr>
            </w:pPr>
            <w:r>
              <w:rPr>
                <w:rFonts w:eastAsia="楷体_GB2312"/>
                <w:kern w:val="0"/>
                <w:szCs w:val="21"/>
              </w:rPr>
              <w:t>占总样点百分比（%）</w:t>
            </w:r>
          </w:p>
        </w:tc>
      </w:tr>
      <w:tr w14:paraId="5952B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717486B3">
            <w:pPr>
              <w:jc w:val="center"/>
              <w:rPr>
                <w:rFonts w:eastAsia="楷体_GB2312"/>
                <w:kern w:val="0"/>
                <w:szCs w:val="21"/>
              </w:rPr>
            </w:pPr>
            <w:r>
              <w:rPr>
                <w:rFonts w:eastAsia="楷体_GB2312"/>
                <w:kern w:val="0"/>
                <w:szCs w:val="21"/>
              </w:rPr>
              <w:t>1</w:t>
            </w:r>
          </w:p>
        </w:tc>
        <w:tc>
          <w:tcPr>
            <w:tcW w:w="2197" w:type="dxa"/>
            <w:noWrap w:val="0"/>
            <w:vAlign w:val="center"/>
          </w:tcPr>
          <w:p w14:paraId="244811A9">
            <w:pPr>
              <w:jc w:val="center"/>
              <w:rPr>
                <w:rFonts w:eastAsia="楷体_GB2312"/>
                <w:kern w:val="0"/>
                <w:szCs w:val="21"/>
              </w:rPr>
            </w:pPr>
            <w:r>
              <w:rPr>
                <w:rFonts w:eastAsia="楷体_GB2312"/>
                <w:kern w:val="0"/>
                <w:szCs w:val="21"/>
              </w:rPr>
              <w:t>符离镇</w:t>
            </w:r>
          </w:p>
        </w:tc>
        <w:tc>
          <w:tcPr>
            <w:tcW w:w="2197" w:type="dxa"/>
            <w:noWrap w:val="0"/>
            <w:vAlign w:val="center"/>
          </w:tcPr>
          <w:p w14:paraId="5C40715D">
            <w:pPr>
              <w:jc w:val="center"/>
              <w:rPr>
                <w:rFonts w:eastAsia="楷体_GB2312"/>
                <w:kern w:val="0"/>
                <w:szCs w:val="21"/>
              </w:rPr>
            </w:pPr>
            <w:r>
              <w:rPr>
                <w:rFonts w:eastAsia="楷体_GB2312"/>
                <w:kern w:val="0"/>
                <w:szCs w:val="21"/>
              </w:rPr>
              <w:t>9</w:t>
            </w:r>
          </w:p>
        </w:tc>
        <w:tc>
          <w:tcPr>
            <w:tcW w:w="2198" w:type="dxa"/>
            <w:noWrap w:val="0"/>
            <w:vAlign w:val="center"/>
          </w:tcPr>
          <w:p w14:paraId="206D8858">
            <w:pPr>
              <w:jc w:val="center"/>
              <w:rPr>
                <w:rFonts w:eastAsia="楷体_GB2312"/>
                <w:color w:val="000000"/>
                <w:szCs w:val="21"/>
              </w:rPr>
            </w:pPr>
            <w:r>
              <w:rPr>
                <w:rFonts w:eastAsia="楷体_GB2312"/>
                <w:color w:val="000000"/>
                <w:szCs w:val="21"/>
              </w:rPr>
              <w:t>11.39</w:t>
            </w:r>
          </w:p>
        </w:tc>
      </w:tr>
      <w:tr w14:paraId="377B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76AFFF53">
            <w:pPr>
              <w:jc w:val="center"/>
              <w:rPr>
                <w:rFonts w:eastAsia="楷体_GB2312"/>
                <w:kern w:val="0"/>
                <w:szCs w:val="21"/>
              </w:rPr>
            </w:pPr>
            <w:r>
              <w:rPr>
                <w:rFonts w:eastAsia="楷体_GB2312"/>
                <w:kern w:val="0"/>
                <w:szCs w:val="21"/>
              </w:rPr>
              <w:t>2</w:t>
            </w:r>
          </w:p>
        </w:tc>
        <w:tc>
          <w:tcPr>
            <w:tcW w:w="2197" w:type="dxa"/>
            <w:noWrap w:val="0"/>
            <w:vAlign w:val="center"/>
          </w:tcPr>
          <w:p w14:paraId="73AA623A">
            <w:pPr>
              <w:jc w:val="center"/>
              <w:rPr>
                <w:rFonts w:eastAsia="楷体_GB2312"/>
                <w:kern w:val="0"/>
                <w:szCs w:val="21"/>
              </w:rPr>
            </w:pPr>
            <w:r>
              <w:rPr>
                <w:rFonts w:eastAsia="楷体_GB2312"/>
                <w:kern w:val="0"/>
                <w:szCs w:val="21"/>
              </w:rPr>
              <w:t>朱仙庄镇</w:t>
            </w:r>
          </w:p>
        </w:tc>
        <w:tc>
          <w:tcPr>
            <w:tcW w:w="2197" w:type="dxa"/>
            <w:noWrap w:val="0"/>
            <w:vAlign w:val="center"/>
          </w:tcPr>
          <w:p w14:paraId="35D6E72A">
            <w:pPr>
              <w:jc w:val="center"/>
              <w:rPr>
                <w:rFonts w:eastAsia="楷体_GB2312"/>
                <w:kern w:val="0"/>
                <w:szCs w:val="21"/>
              </w:rPr>
            </w:pPr>
            <w:r>
              <w:rPr>
                <w:rFonts w:eastAsia="楷体_GB2312"/>
                <w:kern w:val="0"/>
                <w:szCs w:val="21"/>
              </w:rPr>
              <w:t>4</w:t>
            </w:r>
          </w:p>
        </w:tc>
        <w:tc>
          <w:tcPr>
            <w:tcW w:w="2198" w:type="dxa"/>
            <w:noWrap w:val="0"/>
            <w:vAlign w:val="center"/>
          </w:tcPr>
          <w:p w14:paraId="7F1184EB">
            <w:pPr>
              <w:jc w:val="center"/>
              <w:rPr>
                <w:rFonts w:eastAsia="楷体_GB2312"/>
                <w:color w:val="000000"/>
                <w:szCs w:val="21"/>
              </w:rPr>
            </w:pPr>
            <w:r>
              <w:rPr>
                <w:rFonts w:eastAsia="楷体_GB2312"/>
                <w:color w:val="000000"/>
                <w:szCs w:val="21"/>
              </w:rPr>
              <w:t>5.06</w:t>
            </w:r>
          </w:p>
        </w:tc>
      </w:tr>
      <w:tr w14:paraId="35A5B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6730231C">
            <w:pPr>
              <w:jc w:val="center"/>
              <w:rPr>
                <w:rFonts w:eastAsia="楷体_GB2312"/>
                <w:kern w:val="0"/>
                <w:szCs w:val="21"/>
              </w:rPr>
            </w:pPr>
            <w:r>
              <w:rPr>
                <w:rFonts w:eastAsia="楷体_GB2312"/>
                <w:kern w:val="0"/>
                <w:szCs w:val="21"/>
              </w:rPr>
              <w:t>3</w:t>
            </w:r>
          </w:p>
        </w:tc>
        <w:tc>
          <w:tcPr>
            <w:tcW w:w="2197" w:type="dxa"/>
            <w:noWrap w:val="0"/>
            <w:vAlign w:val="center"/>
          </w:tcPr>
          <w:p w14:paraId="22A96451">
            <w:pPr>
              <w:jc w:val="center"/>
              <w:rPr>
                <w:rFonts w:eastAsia="楷体_GB2312"/>
                <w:kern w:val="0"/>
                <w:szCs w:val="21"/>
              </w:rPr>
            </w:pPr>
            <w:r>
              <w:rPr>
                <w:rFonts w:eastAsia="楷体_GB2312"/>
                <w:kern w:val="0"/>
                <w:szCs w:val="21"/>
              </w:rPr>
              <w:t>蕲县镇</w:t>
            </w:r>
          </w:p>
        </w:tc>
        <w:tc>
          <w:tcPr>
            <w:tcW w:w="2197" w:type="dxa"/>
            <w:noWrap w:val="0"/>
            <w:vAlign w:val="center"/>
          </w:tcPr>
          <w:p w14:paraId="2C92EB45">
            <w:pPr>
              <w:jc w:val="center"/>
              <w:rPr>
                <w:rFonts w:eastAsia="楷体_GB2312"/>
                <w:kern w:val="0"/>
                <w:szCs w:val="21"/>
              </w:rPr>
            </w:pPr>
            <w:r>
              <w:rPr>
                <w:rFonts w:eastAsia="楷体_GB2312"/>
                <w:kern w:val="0"/>
                <w:szCs w:val="21"/>
              </w:rPr>
              <w:t>0</w:t>
            </w:r>
          </w:p>
        </w:tc>
        <w:tc>
          <w:tcPr>
            <w:tcW w:w="2198" w:type="dxa"/>
            <w:noWrap w:val="0"/>
            <w:vAlign w:val="center"/>
          </w:tcPr>
          <w:p w14:paraId="1C0CB84D">
            <w:pPr>
              <w:jc w:val="center"/>
              <w:rPr>
                <w:rFonts w:eastAsia="楷体_GB2312"/>
                <w:color w:val="000000"/>
                <w:szCs w:val="21"/>
              </w:rPr>
            </w:pPr>
            <w:r>
              <w:rPr>
                <w:rFonts w:eastAsia="楷体_GB2312"/>
                <w:color w:val="000000"/>
                <w:szCs w:val="21"/>
              </w:rPr>
              <w:t>0</w:t>
            </w:r>
          </w:p>
        </w:tc>
      </w:tr>
      <w:tr w14:paraId="089B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561CEDC1">
            <w:pPr>
              <w:jc w:val="center"/>
              <w:rPr>
                <w:rFonts w:eastAsia="楷体_GB2312"/>
                <w:kern w:val="0"/>
                <w:szCs w:val="21"/>
              </w:rPr>
            </w:pPr>
            <w:r>
              <w:rPr>
                <w:rFonts w:eastAsia="楷体_GB2312"/>
                <w:kern w:val="0"/>
                <w:szCs w:val="21"/>
              </w:rPr>
              <w:t>4</w:t>
            </w:r>
          </w:p>
        </w:tc>
        <w:tc>
          <w:tcPr>
            <w:tcW w:w="2197" w:type="dxa"/>
            <w:noWrap w:val="0"/>
            <w:vAlign w:val="center"/>
          </w:tcPr>
          <w:p w14:paraId="60C7F78E">
            <w:pPr>
              <w:jc w:val="center"/>
              <w:rPr>
                <w:rFonts w:eastAsia="楷体_GB2312"/>
                <w:kern w:val="0"/>
                <w:szCs w:val="21"/>
              </w:rPr>
            </w:pPr>
            <w:r>
              <w:rPr>
                <w:rFonts w:eastAsia="楷体_GB2312"/>
                <w:kern w:val="0"/>
                <w:szCs w:val="21"/>
              </w:rPr>
              <w:t>芦岭镇</w:t>
            </w:r>
          </w:p>
        </w:tc>
        <w:tc>
          <w:tcPr>
            <w:tcW w:w="2197" w:type="dxa"/>
            <w:noWrap w:val="0"/>
            <w:vAlign w:val="center"/>
          </w:tcPr>
          <w:p w14:paraId="3B92C536">
            <w:pPr>
              <w:jc w:val="center"/>
              <w:rPr>
                <w:rFonts w:eastAsia="楷体_GB2312"/>
                <w:kern w:val="0"/>
                <w:szCs w:val="21"/>
              </w:rPr>
            </w:pPr>
            <w:r>
              <w:rPr>
                <w:rFonts w:eastAsia="楷体_GB2312"/>
                <w:kern w:val="0"/>
                <w:szCs w:val="21"/>
              </w:rPr>
              <w:t>1</w:t>
            </w:r>
          </w:p>
        </w:tc>
        <w:tc>
          <w:tcPr>
            <w:tcW w:w="2198" w:type="dxa"/>
            <w:noWrap w:val="0"/>
            <w:vAlign w:val="center"/>
          </w:tcPr>
          <w:p w14:paraId="590596A9">
            <w:pPr>
              <w:jc w:val="center"/>
              <w:rPr>
                <w:rFonts w:eastAsia="楷体_GB2312"/>
                <w:color w:val="000000"/>
                <w:szCs w:val="21"/>
              </w:rPr>
            </w:pPr>
            <w:r>
              <w:rPr>
                <w:rFonts w:eastAsia="楷体_GB2312"/>
                <w:color w:val="000000"/>
                <w:szCs w:val="21"/>
              </w:rPr>
              <w:t>1.27</w:t>
            </w:r>
          </w:p>
        </w:tc>
      </w:tr>
      <w:tr w14:paraId="29A21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16519A0D">
            <w:pPr>
              <w:jc w:val="center"/>
              <w:rPr>
                <w:rFonts w:eastAsia="楷体_GB2312"/>
                <w:kern w:val="0"/>
                <w:szCs w:val="21"/>
              </w:rPr>
            </w:pPr>
            <w:r>
              <w:rPr>
                <w:rFonts w:eastAsia="楷体_GB2312"/>
                <w:kern w:val="0"/>
                <w:szCs w:val="21"/>
              </w:rPr>
              <w:t>5</w:t>
            </w:r>
          </w:p>
        </w:tc>
        <w:tc>
          <w:tcPr>
            <w:tcW w:w="2197" w:type="dxa"/>
            <w:noWrap w:val="0"/>
            <w:vAlign w:val="center"/>
          </w:tcPr>
          <w:p w14:paraId="421F8E02">
            <w:pPr>
              <w:jc w:val="center"/>
              <w:rPr>
                <w:rFonts w:eastAsia="楷体_GB2312"/>
                <w:kern w:val="0"/>
                <w:szCs w:val="21"/>
              </w:rPr>
            </w:pPr>
            <w:r>
              <w:rPr>
                <w:rFonts w:eastAsia="楷体_GB2312"/>
                <w:kern w:val="0"/>
                <w:szCs w:val="21"/>
              </w:rPr>
              <w:t>大店镇</w:t>
            </w:r>
          </w:p>
        </w:tc>
        <w:tc>
          <w:tcPr>
            <w:tcW w:w="2197" w:type="dxa"/>
            <w:noWrap w:val="0"/>
            <w:vAlign w:val="center"/>
          </w:tcPr>
          <w:p w14:paraId="111EC2ED">
            <w:pPr>
              <w:jc w:val="center"/>
              <w:rPr>
                <w:rFonts w:eastAsia="楷体_GB2312"/>
                <w:kern w:val="0"/>
                <w:szCs w:val="21"/>
              </w:rPr>
            </w:pPr>
            <w:r>
              <w:rPr>
                <w:rFonts w:eastAsia="楷体_GB2312"/>
                <w:kern w:val="0"/>
                <w:szCs w:val="21"/>
              </w:rPr>
              <w:t>1</w:t>
            </w:r>
          </w:p>
        </w:tc>
        <w:tc>
          <w:tcPr>
            <w:tcW w:w="2198" w:type="dxa"/>
            <w:noWrap w:val="0"/>
            <w:vAlign w:val="center"/>
          </w:tcPr>
          <w:p w14:paraId="26CEE321">
            <w:pPr>
              <w:jc w:val="center"/>
              <w:rPr>
                <w:rFonts w:eastAsia="楷体_GB2312"/>
                <w:color w:val="000000"/>
                <w:szCs w:val="21"/>
              </w:rPr>
            </w:pPr>
            <w:r>
              <w:rPr>
                <w:rFonts w:eastAsia="楷体_GB2312"/>
                <w:color w:val="000000"/>
                <w:szCs w:val="21"/>
              </w:rPr>
              <w:t>1.27</w:t>
            </w:r>
          </w:p>
        </w:tc>
      </w:tr>
      <w:tr w14:paraId="39AD0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280A5442">
            <w:pPr>
              <w:jc w:val="center"/>
              <w:rPr>
                <w:rFonts w:eastAsia="楷体_GB2312"/>
                <w:kern w:val="0"/>
                <w:szCs w:val="21"/>
              </w:rPr>
            </w:pPr>
            <w:r>
              <w:rPr>
                <w:rFonts w:eastAsia="楷体_GB2312"/>
                <w:kern w:val="0"/>
                <w:szCs w:val="21"/>
              </w:rPr>
              <w:t>6</w:t>
            </w:r>
          </w:p>
        </w:tc>
        <w:tc>
          <w:tcPr>
            <w:tcW w:w="2197" w:type="dxa"/>
            <w:noWrap w:val="0"/>
            <w:vAlign w:val="center"/>
          </w:tcPr>
          <w:p w14:paraId="6291ACF7">
            <w:pPr>
              <w:jc w:val="center"/>
              <w:rPr>
                <w:rFonts w:eastAsia="楷体_GB2312"/>
                <w:kern w:val="0"/>
                <w:szCs w:val="21"/>
              </w:rPr>
            </w:pPr>
            <w:r>
              <w:rPr>
                <w:rFonts w:eastAsia="楷体_GB2312"/>
                <w:kern w:val="0"/>
                <w:szCs w:val="21"/>
              </w:rPr>
              <w:t>栏杆镇</w:t>
            </w:r>
          </w:p>
        </w:tc>
        <w:tc>
          <w:tcPr>
            <w:tcW w:w="2197" w:type="dxa"/>
            <w:noWrap w:val="0"/>
            <w:vAlign w:val="center"/>
          </w:tcPr>
          <w:p w14:paraId="143BB58E">
            <w:pPr>
              <w:jc w:val="center"/>
              <w:rPr>
                <w:rFonts w:eastAsia="楷体_GB2312"/>
                <w:kern w:val="0"/>
                <w:szCs w:val="21"/>
              </w:rPr>
            </w:pPr>
            <w:r>
              <w:rPr>
                <w:rFonts w:eastAsia="楷体_GB2312"/>
                <w:kern w:val="0"/>
                <w:szCs w:val="21"/>
              </w:rPr>
              <w:t>2</w:t>
            </w:r>
          </w:p>
        </w:tc>
        <w:tc>
          <w:tcPr>
            <w:tcW w:w="2198" w:type="dxa"/>
            <w:noWrap w:val="0"/>
            <w:vAlign w:val="center"/>
          </w:tcPr>
          <w:p w14:paraId="6385A096">
            <w:pPr>
              <w:jc w:val="center"/>
              <w:rPr>
                <w:rFonts w:eastAsia="楷体_GB2312"/>
                <w:color w:val="000000"/>
                <w:szCs w:val="21"/>
              </w:rPr>
            </w:pPr>
            <w:r>
              <w:rPr>
                <w:rFonts w:eastAsia="楷体_GB2312"/>
                <w:color w:val="000000"/>
                <w:szCs w:val="21"/>
              </w:rPr>
              <w:t>2.53</w:t>
            </w:r>
          </w:p>
        </w:tc>
      </w:tr>
      <w:tr w14:paraId="3E24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06E462E8">
            <w:pPr>
              <w:jc w:val="center"/>
              <w:rPr>
                <w:rFonts w:eastAsia="楷体_GB2312"/>
                <w:kern w:val="0"/>
                <w:szCs w:val="21"/>
              </w:rPr>
            </w:pPr>
            <w:r>
              <w:rPr>
                <w:rFonts w:eastAsia="楷体_GB2312"/>
                <w:kern w:val="0"/>
                <w:szCs w:val="21"/>
              </w:rPr>
              <w:t>7</w:t>
            </w:r>
          </w:p>
        </w:tc>
        <w:tc>
          <w:tcPr>
            <w:tcW w:w="2197" w:type="dxa"/>
            <w:noWrap w:val="0"/>
            <w:vAlign w:val="center"/>
          </w:tcPr>
          <w:p w14:paraId="37295C35">
            <w:pPr>
              <w:jc w:val="center"/>
              <w:rPr>
                <w:rFonts w:eastAsia="楷体_GB2312"/>
                <w:kern w:val="0"/>
                <w:szCs w:val="21"/>
              </w:rPr>
            </w:pPr>
            <w:r>
              <w:rPr>
                <w:rFonts w:eastAsia="楷体_GB2312"/>
                <w:kern w:val="0"/>
                <w:szCs w:val="21"/>
              </w:rPr>
              <w:t>时村镇</w:t>
            </w:r>
          </w:p>
        </w:tc>
        <w:tc>
          <w:tcPr>
            <w:tcW w:w="2197" w:type="dxa"/>
            <w:noWrap w:val="0"/>
            <w:vAlign w:val="center"/>
          </w:tcPr>
          <w:p w14:paraId="2710FFC7">
            <w:pPr>
              <w:jc w:val="center"/>
              <w:rPr>
                <w:rFonts w:eastAsia="楷体_GB2312"/>
                <w:kern w:val="0"/>
                <w:szCs w:val="21"/>
              </w:rPr>
            </w:pPr>
            <w:r>
              <w:rPr>
                <w:rFonts w:eastAsia="楷体_GB2312"/>
                <w:kern w:val="0"/>
                <w:szCs w:val="21"/>
              </w:rPr>
              <w:t>1</w:t>
            </w:r>
          </w:p>
        </w:tc>
        <w:tc>
          <w:tcPr>
            <w:tcW w:w="2198" w:type="dxa"/>
            <w:noWrap w:val="0"/>
            <w:vAlign w:val="center"/>
          </w:tcPr>
          <w:p w14:paraId="3C96F776">
            <w:pPr>
              <w:jc w:val="center"/>
              <w:rPr>
                <w:rFonts w:eastAsia="楷体_GB2312"/>
                <w:color w:val="000000"/>
                <w:szCs w:val="21"/>
              </w:rPr>
            </w:pPr>
            <w:r>
              <w:rPr>
                <w:rFonts w:eastAsia="楷体_GB2312"/>
                <w:color w:val="000000"/>
                <w:szCs w:val="21"/>
              </w:rPr>
              <w:t>1.27</w:t>
            </w:r>
          </w:p>
        </w:tc>
      </w:tr>
      <w:tr w14:paraId="0D12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5A024A65">
            <w:pPr>
              <w:jc w:val="center"/>
              <w:rPr>
                <w:rFonts w:eastAsia="楷体_GB2312"/>
                <w:kern w:val="0"/>
                <w:szCs w:val="21"/>
              </w:rPr>
            </w:pPr>
            <w:r>
              <w:rPr>
                <w:rFonts w:eastAsia="楷体_GB2312"/>
                <w:kern w:val="0"/>
                <w:szCs w:val="21"/>
              </w:rPr>
              <w:t>8</w:t>
            </w:r>
          </w:p>
        </w:tc>
        <w:tc>
          <w:tcPr>
            <w:tcW w:w="2197" w:type="dxa"/>
            <w:noWrap w:val="0"/>
            <w:vAlign w:val="center"/>
          </w:tcPr>
          <w:p w14:paraId="13DD0A8B">
            <w:pPr>
              <w:jc w:val="center"/>
              <w:rPr>
                <w:rFonts w:eastAsia="楷体_GB2312"/>
                <w:kern w:val="0"/>
                <w:szCs w:val="21"/>
              </w:rPr>
            </w:pPr>
            <w:r>
              <w:rPr>
                <w:rFonts w:eastAsia="楷体_GB2312"/>
                <w:kern w:val="0"/>
                <w:szCs w:val="21"/>
              </w:rPr>
              <w:t>夹沟镇</w:t>
            </w:r>
          </w:p>
        </w:tc>
        <w:tc>
          <w:tcPr>
            <w:tcW w:w="2197" w:type="dxa"/>
            <w:noWrap w:val="0"/>
            <w:vAlign w:val="center"/>
          </w:tcPr>
          <w:p w14:paraId="098BED92">
            <w:pPr>
              <w:jc w:val="center"/>
              <w:rPr>
                <w:rFonts w:eastAsia="楷体_GB2312"/>
                <w:kern w:val="0"/>
                <w:szCs w:val="21"/>
              </w:rPr>
            </w:pPr>
            <w:r>
              <w:rPr>
                <w:rFonts w:eastAsia="楷体_GB2312"/>
                <w:kern w:val="0"/>
                <w:szCs w:val="21"/>
              </w:rPr>
              <w:t>1</w:t>
            </w:r>
          </w:p>
        </w:tc>
        <w:tc>
          <w:tcPr>
            <w:tcW w:w="2198" w:type="dxa"/>
            <w:noWrap w:val="0"/>
            <w:vAlign w:val="center"/>
          </w:tcPr>
          <w:p w14:paraId="6E9D2BF2">
            <w:pPr>
              <w:jc w:val="center"/>
              <w:rPr>
                <w:rFonts w:eastAsia="楷体_GB2312"/>
                <w:color w:val="000000"/>
                <w:szCs w:val="21"/>
              </w:rPr>
            </w:pPr>
            <w:r>
              <w:rPr>
                <w:rFonts w:eastAsia="楷体_GB2312"/>
                <w:color w:val="000000"/>
                <w:szCs w:val="21"/>
              </w:rPr>
              <w:t>1.27</w:t>
            </w:r>
          </w:p>
        </w:tc>
      </w:tr>
      <w:tr w14:paraId="209B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596D26D6">
            <w:pPr>
              <w:jc w:val="center"/>
              <w:rPr>
                <w:rFonts w:eastAsia="楷体_GB2312"/>
                <w:kern w:val="0"/>
                <w:szCs w:val="21"/>
              </w:rPr>
            </w:pPr>
            <w:r>
              <w:rPr>
                <w:rFonts w:eastAsia="楷体_GB2312"/>
                <w:kern w:val="0"/>
                <w:szCs w:val="21"/>
              </w:rPr>
              <w:t>9</w:t>
            </w:r>
          </w:p>
        </w:tc>
        <w:tc>
          <w:tcPr>
            <w:tcW w:w="2197" w:type="dxa"/>
            <w:noWrap w:val="0"/>
            <w:vAlign w:val="center"/>
          </w:tcPr>
          <w:p w14:paraId="5E605D73">
            <w:pPr>
              <w:jc w:val="center"/>
              <w:rPr>
                <w:rFonts w:eastAsia="楷体_GB2312"/>
                <w:kern w:val="0"/>
                <w:szCs w:val="21"/>
              </w:rPr>
            </w:pPr>
            <w:r>
              <w:rPr>
                <w:rFonts w:eastAsia="楷体_GB2312"/>
                <w:kern w:val="0"/>
                <w:szCs w:val="21"/>
              </w:rPr>
              <w:t>西二铺乡</w:t>
            </w:r>
          </w:p>
        </w:tc>
        <w:tc>
          <w:tcPr>
            <w:tcW w:w="2197" w:type="dxa"/>
            <w:noWrap w:val="0"/>
            <w:vAlign w:val="center"/>
          </w:tcPr>
          <w:p w14:paraId="46489289">
            <w:pPr>
              <w:jc w:val="center"/>
              <w:rPr>
                <w:rFonts w:eastAsia="楷体_GB2312"/>
                <w:kern w:val="0"/>
                <w:szCs w:val="21"/>
              </w:rPr>
            </w:pPr>
            <w:r>
              <w:rPr>
                <w:rFonts w:eastAsia="楷体_GB2312"/>
                <w:kern w:val="0"/>
                <w:szCs w:val="21"/>
              </w:rPr>
              <w:t>0</w:t>
            </w:r>
          </w:p>
        </w:tc>
        <w:tc>
          <w:tcPr>
            <w:tcW w:w="2198" w:type="dxa"/>
            <w:noWrap w:val="0"/>
            <w:vAlign w:val="center"/>
          </w:tcPr>
          <w:p w14:paraId="1BE9C4EA">
            <w:pPr>
              <w:jc w:val="center"/>
              <w:rPr>
                <w:rFonts w:eastAsia="楷体_GB2312"/>
                <w:color w:val="000000"/>
                <w:szCs w:val="21"/>
              </w:rPr>
            </w:pPr>
            <w:r>
              <w:rPr>
                <w:rFonts w:eastAsia="楷体_GB2312"/>
                <w:color w:val="000000"/>
                <w:szCs w:val="21"/>
              </w:rPr>
              <w:t>0</w:t>
            </w:r>
          </w:p>
        </w:tc>
      </w:tr>
      <w:tr w14:paraId="428B8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7980E6B4">
            <w:pPr>
              <w:jc w:val="center"/>
              <w:rPr>
                <w:rFonts w:eastAsia="楷体_GB2312"/>
                <w:kern w:val="0"/>
                <w:szCs w:val="21"/>
              </w:rPr>
            </w:pPr>
            <w:r>
              <w:rPr>
                <w:rFonts w:eastAsia="楷体_GB2312"/>
                <w:kern w:val="0"/>
                <w:szCs w:val="21"/>
              </w:rPr>
              <w:t>10</w:t>
            </w:r>
          </w:p>
        </w:tc>
        <w:tc>
          <w:tcPr>
            <w:tcW w:w="2197" w:type="dxa"/>
            <w:noWrap w:val="0"/>
            <w:vAlign w:val="center"/>
          </w:tcPr>
          <w:p w14:paraId="517E0F05">
            <w:pPr>
              <w:jc w:val="center"/>
              <w:rPr>
                <w:rFonts w:eastAsia="楷体_GB2312"/>
                <w:kern w:val="0"/>
                <w:szCs w:val="21"/>
              </w:rPr>
            </w:pPr>
            <w:r>
              <w:rPr>
                <w:rFonts w:eastAsia="楷体_GB2312"/>
                <w:kern w:val="0"/>
                <w:szCs w:val="21"/>
              </w:rPr>
              <w:t>桃园镇</w:t>
            </w:r>
          </w:p>
        </w:tc>
        <w:tc>
          <w:tcPr>
            <w:tcW w:w="2197" w:type="dxa"/>
            <w:noWrap w:val="0"/>
            <w:vAlign w:val="center"/>
          </w:tcPr>
          <w:p w14:paraId="534343D2">
            <w:pPr>
              <w:jc w:val="center"/>
              <w:rPr>
                <w:rFonts w:eastAsia="楷体_GB2312"/>
                <w:kern w:val="0"/>
                <w:szCs w:val="21"/>
              </w:rPr>
            </w:pPr>
            <w:r>
              <w:rPr>
                <w:rFonts w:eastAsia="楷体_GB2312"/>
                <w:kern w:val="0"/>
                <w:szCs w:val="21"/>
              </w:rPr>
              <w:t>1</w:t>
            </w:r>
          </w:p>
        </w:tc>
        <w:tc>
          <w:tcPr>
            <w:tcW w:w="2198" w:type="dxa"/>
            <w:noWrap w:val="0"/>
            <w:vAlign w:val="center"/>
          </w:tcPr>
          <w:p w14:paraId="5CA7B805">
            <w:pPr>
              <w:jc w:val="center"/>
              <w:rPr>
                <w:rFonts w:eastAsia="楷体_GB2312"/>
                <w:color w:val="000000"/>
                <w:szCs w:val="21"/>
              </w:rPr>
            </w:pPr>
            <w:r>
              <w:rPr>
                <w:rFonts w:eastAsia="楷体_GB2312"/>
                <w:color w:val="000000"/>
                <w:szCs w:val="21"/>
              </w:rPr>
              <w:t>1.27</w:t>
            </w:r>
          </w:p>
        </w:tc>
      </w:tr>
      <w:tr w14:paraId="1EC9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6F30400D">
            <w:pPr>
              <w:jc w:val="center"/>
              <w:rPr>
                <w:rFonts w:eastAsia="楷体_GB2312"/>
                <w:kern w:val="0"/>
                <w:szCs w:val="21"/>
              </w:rPr>
            </w:pPr>
            <w:r>
              <w:rPr>
                <w:rFonts w:eastAsia="楷体_GB2312"/>
                <w:kern w:val="0"/>
                <w:szCs w:val="21"/>
              </w:rPr>
              <w:t>11</w:t>
            </w:r>
          </w:p>
        </w:tc>
        <w:tc>
          <w:tcPr>
            <w:tcW w:w="2197" w:type="dxa"/>
            <w:noWrap w:val="0"/>
            <w:vAlign w:val="center"/>
          </w:tcPr>
          <w:p w14:paraId="5BB9F975">
            <w:pPr>
              <w:jc w:val="center"/>
              <w:rPr>
                <w:rFonts w:eastAsia="楷体_GB2312"/>
                <w:kern w:val="0"/>
                <w:szCs w:val="21"/>
              </w:rPr>
            </w:pPr>
            <w:r>
              <w:rPr>
                <w:rFonts w:eastAsia="楷体_GB2312"/>
                <w:kern w:val="0"/>
                <w:szCs w:val="21"/>
              </w:rPr>
              <w:t>曹村镇</w:t>
            </w:r>
          </w:p>
        </w:tc>
        <w:tc>
          <w:tcPr>
            <w:tcW w:w="2197" w:type="dxa"/>
            <w:noWrap w:val="0"/>
            <w:vAlign w:val="center"/>
          </w:tcPr>
          <w:p w14:paraId="6C33B9C4">
            <w:pPr>
              <w:jc w:val="center"/>
              <w:rPr>
                <w:rFonts w:eastAsia="楷体_GB2312"/>
                <w:kern w:val="0"/>
                <w:szCs w:val="21"/>
              </w:rPr>
            </w:pPr>
            <w:r>
              <w:rPr>
                <w:rFonts w:eastAsia="楷体_GB2312"/>
                <w:kern w:val="0"/>
                <w:szCs w:val="21"/>
              </w:rPr>
              <w:t>16</w:t>
            </w:r>
          </w:p>
        </w:tc>
        <w:tc>
          <w:tcPr>
            <w:tcW w:w="2198" w:type="dxa"/>
            <w:noWrap w:val="0"/>
            <w:vAlign w:val="center"/>
          </w:tcPr>
          <w:p w14:paraId="68D1A1BB">
            <w:pPr>
              <w:jc w:val="center"/>
              <w:rPr>
                <w:rFonts w:eastAsia="楷体_GB2312"/>
                <w:color w:val="000000"/>
                <w:szCs w:val="21"/>
              </w:rPr>
            </w:pPr>
            <w:r>
              <w:rPr>
                <w:rFonts w:eastAsia="楷体_GB2312"/>
                <w:color w:val="000000"/>
                <w:szCs w:val="21"/>
              </w:rPr>
              <w:t>20.25</w:t>
            </w:r>
          </w:p>
        </w:tc>
      </w:tr>
      <w:tr w14:paraId="2212E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7B281952">
            <w:pPr>
              <w:jc w:val="center"/>
              <w:rPr>
                <w:rFonts w:eastAsia="楷体_GB2312"/>
                <w:kern w:val="0"/>
                <w:szCs w:val="21"/>
              </w:rPr>
            </w:pPr>
            <w:r>
              <w:rPr>
                <w:rFonts w:eastAsia="楷体_GB2312"/>
                <w:kern w:val="0"/>
                <w:szCs w:val="21"/>
              </w:rPr>
              <w:t>12</w:t>
            </w:r>
          </w:p>
        </w:tc>
        <w:tc>
          <w:tcPr>
            <w:tcW w:w="2197" w:type="dxa"/>
            <w:noWrap w:val="0"/>
            <w:vAlign w:val="center"/>
          </w:tcPr>
          <w:p w14:paraId="4AF9E87A">
            <w:pPr>
              <w:jc w:val="center"/>
              <w:rPr>
                <w:rFonts w:eastAsia="楷体_GB2312"/>
                <w:kern w:val="0"/>
                <w:szCs w:val="21"/>
              </w:rPr>
            </w:pPr>
            <w:r>
              <w:rPr>
                <w:rFonts w:eastAsia="楷体_GB2312"/>
                <w:kern w:val="0"/>
                <w:szCs w:val="21"/>
              </w:rPr>
              <w:t>大营镇</w:t>
            </w:r>
          </w:p>
        </w:tc>
        <w:tc>
          <w:tcPr>
            <w:tcW w:w="2197" w:type="dxa"/>
            <w:noWrap w:val="0"/>
            <w:vAlign w:val="center"/>
          </w:tcPr>
          <w:p w14:paraId="7C120451">
            <w:pPr>
              <w:jc w:val="center"/>
              <w:rPr>
                <w:rFonts w:eastAsia="楷体_GB2312"/>
                <w:kern w:val="0"/>
                <w:szCs w:val="21"/>
              </w:rPr>
            </w:pPr>
            <w:r>
              <w:rPr>
                <w:rFonts w:eastAsia="楷体_GB2312"/>
                <w:kern w:val="0"/>
                <w:szCs w:val="21"/>
              </w:rPr>
              <w:t>1</w:t>
            </w:r>
          </w:p>
        </w:tc>
        <w:tc>
          <w:tcPr>
            <w:tcW w:w="2198" w:type="dxa"/>
            <w:noWrap w:val="0"/>
            <w:vAlign w:val="center"/>
          </w:tcPr>
          <w:p w14:paraId="094BF461">
            <w:pPr>
              <w:jc w:val="center"/>
              <w:rPr>
                <w:rFonts w:eastAsia="楷体_GB2312"/>
                <w:color w:val="000000"/>
                <w:szCs w:val="21"/>
              </w:rPr>
            </w:pPr>
            <w:r>
              <w:rPr>
                <w:rFonts w:eastAsia="楷体_GB2312"/>
                <w:color w:val="000000"/>
                <w:szCs w:val="21"/>
              </w:rPr>
              <w:t>1.27</w:t>
            </w:r>
          </w:p>
        </w:tc>
      </w:tr>
      <w:tr w14:paraId="7F83D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71E2EF70">
            <w:pPr>
              <w:jc w:val="center"/>
              <w:rPr>
                <w:rFonts w:eastAsia="楷体_GB2312"/>
                <w:kern w:val="0"/>
                <w:szCs w:val="21"/>
              </w:rPr>
            </w:pPr>
            <w:r>
              <w:rPr>
                <w:rFonts w:eastAsia="楷体_GB2312"/>
                <w:kern w:val="0"/>
                <w:szCs w:val="21"/>
              </w:rPr>
              <w:t>13</w:t>
            </w:r>
          </w:p>
        </w:tc>
        <w:tc>
          <w:tcPr>
            <w:tcW w:w="2197" w:type="dxa"/>
            <w:noWrap w:val="0"/>
            <w:vAlign w:val="center"/>
          </w:tcPr>
          <w:p w14:paraId="63A08203">
            <w:pPr>
              <w:jc w:val="center"/>
              <w:rPr>
                <w:rFonts w:eastAsia="楷体_GB2312"/>
                <w:kern w:val="0"/>
                <w:szCs w:val="21"/>
              </w:rPr>
            </w:pPr>
            <w:r>
              <w:rPr>
                <w:rFonts w:eastAsia="楷体_GB2312"/>
                <w:kern w:val="0"/>
                <w:szCs w:val="21"/>
              </w:rPr>
              <w:t>褚兰镇</w:t>
            </w:r>
          </w:p>
        </w:tc>
        <w:tc>
          <w:tcPr>
            <w:tcW w:w="2197" w:type="dxa"/>
            <w:noWrap w:val="0"/>
            <w:vAlign w:val="center"/>
          </w:tcPr>
          <w:p w14:paraId="7073F38B">
            <w:pPr>
              <w:jc w:val="center"/>
              <w:rPr>
                <w:rFonts w:eastAsia="楷体_GB2312"/>
                <w:kern w:val="0"/>
                <w:szCs w:val="21"/>
              </w:rPr>
            </w:pPr>
            <w:r>
              <w:rPr>
                <w:rFonts w:eastAsia="楷体_GB2312"/>
                <w:kern w:val="0"/>
                <w:szCs w:val="21"/>
              </w:rPr>
              <w:t>0</w:t>
            </w:r>
          </w:p>
        </w:tc>
        <w:tc>
          <w:tcPr>
            <w:tcW w:w="2198" w:type="dxa"/>
            <w:noWrap w:val="0"/>
            <w:vAlign w:val="center"/>
          </w:tcPr>
          <w:p w14:paraId="2733FE19">
            <w:pPr>
              <w:jc w:val="center"/>
              <w:rPr>
                <w:rFonts w:eastAsia="楷体_GB2312"/>
                <w:color w:val="000000"/>
                <w:szCs w:val="21"/>
              </w:rPr>
            </w:pPr>
            <w:r>
              <w:rPr>
                <w:rFonts w:eastAsia="楷体_GB2312"/>
                <w:color w:val="000000"/>
                <w:szCs w:val="21"/>
              </w:rPr>
              <w:t>0</w:t>
            </w:r>
          </w:p>
        </w:tc>
      </w:tr>
      <w:tr w14:paraId="68058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7629FAC5">
            <w:pPr>
              <w:jc w:val="center"/>
              <w:rPr>
                <w:rFonts w:eastAsia="楷体_GB2312"/>
                <w:kern w:val="0"/>
                <w:szCs w:val="21"/>
              </w:rPr>
            </w:pPr>
            <w:r>
              <w:rPr>
                <w:rFonts w:eastAsia="楷体_GB2312"/>
                <w:kern w:val="0"/>
                <w:szCs w:val="21"/>
              </w:rPr>
              <w:t>14</w:t>
            </w:r>
          </w:p>
        </w:tc>
        <w:tc>
          <w:tcPr>
            <w:tcW w:w="2197" w:type="dxa"/>
            <w:noWrap w:val="0"/>
            <w:vAlign w:val="center"/>
          </w:tcPr>
          <w:p w14:paraId="4BA28605">
            <w:pPr>
              <w:jc w:val="center"/>
              <w:rPr>
                <w:rFonts w:eastAsia="楷体_GB2312"/>
                <w:kern w:val="0"/>
                <w:szCs w:val="21"/>
              </w:rPr>
            </w:pPr>
            <w:r>
              <w:rPr>
                <w:rFonts w:eastAsia="楷体_GB2312"/>
                <w:kern w:val="0"/>
                <w:szCs w:val="21"/>
              </w:rPr>
              <w:t>顺河镇</w:t>
            </w:r>
          </w:p>
        </w:tc>
        <w:tc>
          <w:tcPr>
            <w:tcW w:w="2197" w:type="dxa"/>
            <w:noWrap w:val="0"/>
            <w:vAlign w:val="center"/>
          </w:tcPr>
          <w:p w14:paraId="3A9116E3">
            <w:pPr>
              <w:jc w:val="center"/>
              <w:rPr>
                <w:rFonts w:eastAsia="楷体_GB2312"/>
                <w:kern w:val="0"/>
                <w:szCs w:val="21"/>
              </w:rPr>
            </w:pPr>
            <w:r>
              <w:rPr>
                <w:rFonts w:eastAsia="楷体_GB2312"/>
                <w:kern w:val="0"/>
                <w:szCs w:val="21"/>
              </w:rPr>
              <w:t>0</w:t>
            </w:r>
          </w:p>
        </w:tc>
        <w:tc>
          <w:tcPr>
            <w:tcW w:w="2198" w:type="dxa"/>
            <w:noWrap w:val="0"/>
            <w:vAlign w:val="center"/>
          </w:tcPr>
          <w:p w14:paraId="67F634A8">
            <w:pPr>
              <w:jc w:val="center"/>
              <w:rPr>
                <w:rFonts w:eastAsia="楷体_GB2312"/>
                <w:color w:val="000000"/>
                <w:szCs w:val="21"/>
              </w:rPr>
            </w:pPr>
            <w:r>
              <w:rPr>
                <w:rFonts w:eastAsia="楷体_GB2312"/>
                <w:color w:val="000000"/>
                <w:szCs w:val="21"/>
              </w:rPr>
              <w:t>0</w:t>
            </w:r>
          </w:p>
        </w:tc>
      </w:tr>
      <w:tr w14:paraId="563F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5566E659">
            <w:pPr>
              <w:jc w:val="center"/>
              <w:rPr>
                <w:rFonts w:eastAsia="楷体_GB2312"/>
                <w:kern w:val="0"/>
                <w:szCs w:val="21"/>
              </w:rPr>
            </w:pPr>
            <w:r>
              <w:rPr>
                <w:rFonts w:eastAsia="楷体_GB2312"/>
                <w:kern w:val="0"/>
                <w:szCs w:val="21"/>
              </w:rPr>
              <w:t>15</w:t>
            </w:r>
          </w:p>
        </w:tc>
        <w:tc>
          <w:tcPr>
            <w:tcW w:w="2197" w:type="dxa"/>
            <w:noWrap w:val="0"/>
            <w:vAlign w:val="center"/>
          </w:tcPr>
          <w:p w14:paraId="10355D79">
            <w:pPr>
              <w:jc w:val="center"/>
              <w:rPr>
                <w:rFonts w:eastAsia="楷体_GB2312"/>
                <w:kern w:val="0"/>
                <w:szCs w:val="21"/>
              </w:rPr>
            </w:pPr>
            <w:r>
              <w:rPr>
                <w:rFonts w:eastAsia="楷体_GB2312"/>
                <w:kern w:val="0"/>
                <w:szCs w:val="21"/>
              </w:rPr>
              <w:t>杨庄镇</w:t>
            </w:r>
          </w:p>
        </w:tc>
        <w:tc>
          <w:tcPr>
            <w:tcW w:w="2197" w:type="dxa"/>
            <w:noWrap w:val="0"/>
            <w:vAlign w:val="center"/>
          </w:tcPr>
          <w:p w14:paraId="1E997A24">
            <w:pPr>
              <w:jc w:val="center"/>
              <w:rPr>
                <w:rFonts w:eastAsia="楷体_GB2312"/>
                <w:kern w:val="0"/>
                <w:szCs w:val="21"/>
              </w:rPr>
            </w:pPr>
            <w:r>
              <w:rPr>
                <w:rFonts w:eastAsia="楷体_GB2312"/>
                <w:kern w:val="0"/>
                <w:szCs w:val="21"/>
              </w:rPr>
              <w:t>0</w:t>
            </w:r>
          </w:p>
        </w:tc>
        <w:tc>
          <w:tcPr>
            <w:tcW w:w="2198" w:type="dxa"/>
            <w:noWrap w:val="0"/>
            <w:vAlign w:val="center"/>
          </w:tcPr>
          <w:p w14:paraId="49F7DA89">
            <w:pPr>
              <w:jc w:val="center"/>
              <w:rPr>
                <w:rFonts w:eastAsia="楷体_GB2312"/>
                <w:color w:val="000000"/>
                <w:szCs w:val="21"/>
              </w:rPr>
            </w:pPr>
            <w:r>
              <w:rPr>
                <w:rFonts w:eastAsia="楷体_GB2312"/>
                <w:color w:val="000000"/>
                <w:szCs w:val="21"/>
              </w:rPr>
              <w:t>0</w:t>
            </w:r>
          </w:p>
        </w:tc>
      </w:tr>
      <w:tr w14:paraId="45529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1F6E6DF5">
            <w:pPr>
              <w:jc w:val="center"/>
              <w:rPr>
                <w:rFonts w:eastAsia="楷体_GB2312"/>
                <w:kern w:val="0"/>
                <w:szCs w:val="21"/>
              </w:rPr>
            </w:pPr>
            <w:r>
              <w:rPr>
                <w:rFonts w:eastAsia="楷体_GB2312"/>
                <w:kern w:val="0"/>
                <w:szCs w:val="21"/>
              </w:rPr>
              <w:t>16</w:t>
            </w:r>
          </w:p>
        </w:tc>
        <w:tc>
          <w:tcPr>
            <w:tcW w:w="2197" w:type="dxa"/>
            <w:noWrap w:val="0"/>
            <w:vAlign w:val="center"/>
          </w:tcPr>
          <w:p w14:paraId="3073F68E">
            <w:pPr>
              <w:jc w:val="center"/>
              <w:rPr>
                <w:rFonts w:eastAsia="楷体_GB2312"/>
                <w:kern w:val="0"/>
                <w:szCs w:val="21"/>
              </w:rPr>
            </w:pPr>
            <w:r>
              <w:rPr>
                <w:rFonts w:eastAsia="楷体_GB2312"/>
                <w:kern w:val="0"/>
                <w:szCs w:val="21"/>
              </w:rPr>
              <w:t>永镇乡</w:t>
            </w:r>
          </w:p>
        </w:tc>
        <w:tc>
          <w:tcPr>
            <w:tcW w:w="2197" w:type="dxa"/>
            <w:noWrap w:val="0"/>
            <w:vAlign w:val="center"/>
          </w:tcPr>
          <w:p w14:paraId="2F06E9F0">
            <w:pPr>
              <w:jc w:val="center"/>
              <w:rPr>
                <w:rFonts w:eastAsia="楷体_GB2312"/>
                <w:kern w:val="0"/>
                <w:szCs w:val="21"/>
              </w:rPr>
            </w:pPr>
            <w:r>
              <w:rPr>
                <w:rFonts w:eastAsia="楷体_GB2312"/>
                <w:kern w:val="0"/>
                <w:szCs w:val="21"/>
              </w:rPr>
              <w:t>0</w:t>
            </w:r>
          </w:p>
        </w:tc>
        <w:tc>
          <w:tcPr>
            <w:tcW w:w="2198" w:type="dxa"/>
            <w:noWrap w:val="0"/>
            <w:vAlign w:val="center"/>
          </w:tcPr>
          <w:p w14:paraId="425FEB25">
            <w:pPr>
              <w:jc w:val="center"/>
              <w:rPr>
                <w:rFonts w:eastAsia="楷体_GB2312"/>
                <w:color w:val="000000"/>
                <w:szCs w:val="21"/>
              </w:rPr>
            </w:pPr>
            <w:r>
              <w:rPr>
                <w:rFonts w:eastAsia="楷体_GB2312"/>
                <w:color w:val="000000"/>
                <w:szCs w:val="21"/>
              </w:rPr>
              <w:t>0</w:t>
            </w:r>
          </w:p>
        </w:tc>
      </w:tr>
      <w:tr w14:paraId="5B9A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4DCC845F">
            <w:pPr>
              <w:jc w:val="center"/>
              <w:rPr>
                <w:rFonts w:eastAsia="楷体_GB2312"/>
                <w:kern w:val="0"/>
                <w:szCs w:val="21"/>
              </w:rPr>
            </w:pPr>
            <w:r>
              <w:rPr>
                <w:rFonts w:eastAsia="楷体_GB2312"/>
                <w:kern w:val="0"/>
                <w:szCs w:val="21"/>
              </w:rPr>
              <w:t>17</w:t>
            </w:r>
          </w:p>
        </w:tc>
        <w:tc>
          <w:tcPr>
            <w:tcW w:w="2197" w:type="dxa"/>
            <w:noWrap w:val="0"/>
            <w:vAlign w:val="center"/>
          </w:tcPr>
          <w:p w14:paraId="5AD4113F">
            <w:pPr>
              <w:jc w:val="center"/>
              <w:rPr>
                <w:rFonts w:eastAsia="楷体_GB2312"/>
                <w:kern w:val="0"/>
                <w:szCs w:val="21"/>
              </w:rPr>
            </w:pPr>
            <w:r>
              <w:rPr>
                <w:rFonts w:eastAsia="楷体_GB2312"/>
                <w:kern w:val="0"/>
                <w:szCs w:val="21"/>
              </w:rPr>
              <w:t>解集镇</w:t>
            </w:r>
          </w:p>
        </w:tc>
        <w:tc>
          <w:tcPr>
            <w:tcW w:w="2197" w:type="dxa"/>
            <w:noWrap w:val="0"/>
            <w:vAlign w:val="center"/>
          </w:tcPr>
          <w:p w14:paraId="78E19B4D">
            <w:pPr>
              <w:jc w:val="center"/>
              <w:rPr>
                <w:rFonts w:eastAsia="楷体_GB2312"/>
                <w:kern w:val="0"/>
                <w:szCs w:val="21"/>
              </w:rPr>
            </w:pPr>
            <w:r>
              <w:rPr>
                <w:rFonts w:eastAsia="楷体_GB2312"/>
                <w:kern w:val="0"/>
                <w:szCs w:val="21"/>
              </w:rPr>
              <w:t>0</w:t>
            </w:r>
          </w:p>
        </w:tc>
        <w:tc>
          <w:tcPr>
            <w:tcW w:w="2198" w:type="dxa"/>
            <w:noWrap w:val="0"/>
            <w:vAlign w:val="center"/>
          </w:tcPr>
          <w:p w14:paraId="56483F14">
            <w:pPr>
              <w:jc w:val="center"/>
              <w:rPr>
                <w:rFonts w:eastAsia="楷体_GB2312"/>
                <w:color w:val="000000"/>
                <w:szCs w:val="21"/>
              </w:rPr>
            </w:pPr>
            <w:r>
              <w:rPr>
                <w:rFonts w:eastAsia="楷体_GB2312"/>
                <w:color w:val="000000"/>
                <w:szCs w:val="21"/>
              </w:rPr>
              <w:t>0</w:t>
            </w:r>
          </w:p>
        </w:tc>
      </w:tr>
      <w:tr w14:paraId="467D8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3F6F9C77">
            <w:pPr>
              <w:jc w:val="center"/>
              <w:rPr>
                <w:rFonts w:eastAsia="楷体_GB2312"/>
                <w:kern w:val="0"/>
                <w:szCs w:val="21"/>
              </w:rPr>
            </w:pPr>
            <w:r>
              <w:rPr>
                <w:rFonts w:eastAsia="楷体_GB2312"/>
                <w:kern w:val="0"/>
                <w:szCs w:val="21"/>
              </w:rPr>
              <w:t>18</w:t>
            </w:r>
          </w:p>
        </w:tc>
        <w:tc>
          <w:tcPr>
            <w:tcW w:w="2197" w:type="dxa"/>
            <w:noWrap w:val="0"/>
            <w:vAlign w:val="center"/>
          </w:tcPr>
          <w:p w14:paraId="3C99D47D">
            <w:pPr>
              <w:jc w:val="center"/>
              <w:rPr>
                <w:rFonts w:eastAsia="楷体_GB2312"/>
                <w:kern w:val="0"/>
                <w:szCs w:val="21"/>
              </w:rPr>
            </w:pPr>
            <w:r>
              <w:rPr>
                <w:rFonts w:eastAsia="楷体_GB2312"/>
                <w:kern w:val="0"/>
                <w:szCs w:val="21"/>
              </w:rPr>
              <w:t>大泽乡镇</w:t>
            </w:r>
          </w:p>
        </w:tc>
        <w:tc>
          <w:tcPr>
            <w:tcW w:w="2197" w:type="dxa"/>
            <w:noWrap w:val="0"/>
            <w:vAlign w:val="center"/>
          </w:tcPr>
          <w:p w14:paraId="07BAD1B3">
            <w:pPr>
              <w:jc w:val="center"/>
              <w:rPr>
                <w:rFonts w:eastAsia="楷体_GB2312"/>
                <w:kern w:val="0"/>
                <w:szCs w:val="21"/>
              </w:rPr>
            </w:pPr>
            <w:r>
              <w:rPr>
                <w:rFonts w:eastAsia="楷体_GB2312"/>
                <w:kern w:val="0"/>
                <w:szCs w:val="21"/>
              </w:rPr>
              <w:t>1</w:t>
            </w:r>
          </w:p>
        </w:tc>
        <w:tc>
          <w:tcPr>
            <w:tcW w:w="2198" w:type="dxa"/>
            <w:noWrap w:val="0"/>
            <w:vAlign w:val="center"/>
          </w:tcPr>
          <w:p w14:paraId="442F5D0E">
            <w:pPr>
              <w:jc w:val="center"/>
              <w:rPr>
                <w:rFonts w:eastAsia="楷体_GB2312"/>
                <w:color w:val="000000"/>
                <w:szCs w:val="21"/>
              </w:rPr>
            </w:pPr>
            <w:r>
              <w:rPr>
                <w:rFonts w:eastAsia="楷体_GB2312"/>
                <w:color w:val="000000"/>
                <w:szCs w:val="21"/>
              </w:rPr>
              <w:t>1.27</w:t>
            </w:r>
          </w:p>
        </w:tc>
      </w:tr>
      <w:tr w14:paraId="04741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1B50A4CB">
            <w:pPr>
              <w:jc w:val="center"/>
              <w:rPr>
                <w:rFonts w:eastAsia="楷体_GB2312"/>
                <w:kern w:val="0"/>
                <w:szCs w:val="21"/>
              </w:rPr>
            </w:pPr>
            <w:r>
              <w:rPr>
                <w:rFonts w:eastAsia="楷体_GB2312"/>
                <w:kern w:val="0"/>
                <w:szCs w:val="21"/>
              </w:rPr>
              <w:t>19</w:t>
            </w:r>
          </w:p>
        </w:tc>
        <w:tc>
          <w:tcPr>
            <w:tcW w:w="2197" w:type="dxa"/>
            <w:noWrap w:val="0"/>
            <w:vAlign w:val="center"/>
          </w:tcPr>
          <w:p w14:paraId="7549FEEC">
            <w:pPr>
              <w:jc w:val="center"/>
              <w:rPr>
                <w:rFonts w:eastAsia="楷体_GB2312"/>
                <w:kern w:val="0"/>
                <w:szCs w:val="21"/>
              </w:rPr>
            </w:pPr>
            <w:r>
              <w:rPr>
                <w:rFonts w:eastAsia="楷体_GB2312"/>
                <w:kern w:val="0"/>
                <w:szCs w:val="21"/>
              </w:rPr>
              <w:t>永安镇</w:t>
            </w:r>
          </w:p>
        </w:tc>
        <w:tc>
          <w:tcPr>
            <w:tcW w:w="2197" w:type="dxa"/>
            <w:noWrap w:val="0"/>
            <w:vAlign w:val="center"/>
          </w:tcPr>
          <w:p w14:paraId="13EB8D61">
            <w:pPr>
              <w:jc w:val="center"/>
              <w:rPr>
                <w:rFonts w:eastAsia="楷体_GB2312"/>
                <w:kern w:val="0"/>
                <w:szCs w:val="21"/>
              </w:rPr>
            </w:pPr>
            <w:r>
              <w:rPr>
                <w:rFonts w:eastAsia="楷体_GB2312"/>
                <w:kern w:val="0"/>
                <w:szCs w:val="21"/>
              </w:rPr>
              <w:t>0</w:t>
            </w:r>
          </w:p>
        </w:tc>
        <w:tc>
          <w:tcPr>
            <w:tcW w:w="2198" w:type="dxa"/>
            <w:noWrap w:val="0"/>
            <w:vAlign w:val="center"/>
          </w:tcPr>
          <w:p w14:paraId="17C33455">
            <w:pPr>
              <w:jc w:val="center"/>
              <w:rPr>
                <w:rFonts w:eastAsia="楷体_GB2312"/>
                <w:color w:val="000000"/>
                <w:szCs w:val="21"/>
              </w:rPr>
            </w:pPr>
            <w:r>
              <w:rPr>
                <w:rFonts w:eastAsia="楷体_GB2312"/>
                <w:color w:val="000000"/>
                <w:szCs w:val="21"/>
              </w:rPr>
              <w:t>0</w:t>
            </w:r>
          </w:p>
        </w:tc>
      </w:tr>
      <w:tr w14:paraId="0ED8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18A28C19">
            <w:pPr>
              <w:jc w:val="center"/>
              <w:rPr>
                <w:rFonts w:eastAsia="楷体_GB2312"/>
                <w:kern w:val="0"/>
                <w:szCs w:val="21"/>
              </w:rPr>
            </w:pPr>
            <w:r>
              <w:rPr>
                <w:rFonts w:eastAsia="楷体_GB2312"/>
                <w:kern w:val="0"/>
                <w:szCs w:val="21"/>
              </w:rPr>
              <w:t>20</w:t>
            </w:r>
          </w:p>
        </w:tc>
        <w:tc>
          <w:tcPr>
            <w:tcW w:w="2197" w:type="dxa"/>
            <w:noWrap w:val="0"/>
            <w:vAlign w:val="center"/>
          </w:tcPr>
          <w:p w14:paraId="70C94E4D">
            <w:pPr>
              <w:jc w:val="center"/>
              <w:rPr>
                <w:rFonts w:eastAsia="楷体_GB2312"/>
                <w:kern w:val="0"/>
                <w:szCs w:val="21"/>
              </w:rPr>
            </w:pPr>
            <w:r>
              <w:rPr>
                <w:rFonts w:eastAsia="楷体_GB2312"/>
                <w:kern w:val="0"/>
                <w:szCs w:val="21"/>
              </w:rPr>
              <w:t>支河乡</w:t>
            </w:r>
          </w:p>
        </w:tc>
        <w:tc>
          <w:tcPr>
            <w:tcW w:w="2197" w:type="dxa"/>
            <w:noWrap w:val="0"/>
            <w:vAlign w:val="center"/>
          </w:tcPr>
          <w:p w14:paraId="034C41FD">
            <w:pPr>
              <w:jc w:val="center"/>
              <w:rPr>
                <w:rFonts w:eastAsia="楷体_GB2312"/>
                <w:kern w:val="0"/>
                <w:szCs w:val="21"/>
              </w:rPr>
            </w:pPr>
            <w:r>
              <w:rPr>
                <w:rFonts w:eastAsia="楷体_GB2312"/>
                <w:kern w:val="0"/>
                <w:szCs w:val="21"/>
              </w:rPr>
              <w:t>0</w:t>
            </w:r>
          </w:p>
        </w:tc>
        <w:tc>
          <w:tcPr>
            <w:tcW w:w="2198" w:type="dxa"/>
            <w:noWrap w:val="0"/>
            <w:vAlign w:val="center"/>
          </w:tcPr>
          <w:p w14:paraId="61B96B6A">
            <w:pPr>
              <w:jc w:val="center"/>
              <w:rPr>
                <w:rFonts w:eastAsia="楷体_GB2312"/>
                <w:color w:val="000000"/>
                <w:szCs w:val="21"/>
              </w:rPr>
            </w:pPr>
            <w:r>
              <w:rPr>
                <w:rFonts w:eastAsia="楷体_GB2312"/>
                <w:color w:val="000000"/>
                <w:szCs w:val="21"/>
              </w:rPr>
              <w:t>0</w:t>
            </w:r>
          </w:p>
        </w:tc>
      </w:tr>
      <w:tr w14:paraId="12228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2A1CC280">
            <w:pPr>
              <w:jc w:val="center"/>
              <w:rPr>
                <w:rFonts w:eastAsia="楷体_GB2312"/>
                <w:kern w:val="0"/>
                <w:szCs w:val="21"/>
              </w:rPr>
            </w:pPr>
            <w:r>
              <w:rPr>
                <w:rFonts w:eastAsia="楷体_GB2312"/>
                <w:kern w:val="0"/>
                <w:szCs w:val="21"/>
              </w:rPr>
              <w:t>21</w:t>
            </w:r>
          </w:p>
        </w:tc>
        <w:tc>
          <w:tcPr>
            <w:tcW w:w="2197" w:type="dxa"/>
            <w:noWrap w:val="0"/>
            <w:vAlign w:val="center"/>
          </w:tcPr>
          <w:p w14:paraId="6ADC6DD1">
            <w:pPr>
              <w:jc w:val="center"/>
              <w:rPr>
                <w:rFonts w:eastAsia="楷体_GB2312"/>
                <w:kern w:val="0"/>
                <w:szCs w:val="21"/>
              </w:rPr>
            </w:pPr>
            <w:r>
              <w:rPr>
                <w:rFonts w:eastAsia="楷体_GB2312"/>
                <w:kern w:val="0"/>
                <w:szCs w:val="21"/>
              </w:rPr>
              <w:t>灰古镇</w:t>
            </w:r>
          </w:p>
        </w:tc>
        <w:tc>
          <w:tcPr>
            <w:tcW w:w="2197" w:type="dxa"/>
            <w:noWrap w:val="0"/>
            <w:vAlign w:val="center"/>
          </w:tcPr>
          <w:p w14:paraId="47BE2EF8">
            <w:pPr>
              <w:jc w:val="center"/>
              <w:rPr>
                <w:rFonts w:eastAsia="楷体_GB2312"/>
                <w:kern w:val="0"/>
                <w:szCs w:val="21"/>
              </w:rPr>
            </w:pPr>
            <w:r>
              <w:rPr>
                <w:rFonts w:eastAsia="楷体_GB2312"/>
                <w:kern w:val="0"/>
                <w:szCs w:val="21"/>
              </w:rPr>
              <w:t>2</w:t>
            </w:r>
          </w:p>
        </w:tc>
        <w:tc>
          <w:tcPr>
            <w:tcW w:w="2198" w:type="dxa"/>
            <w:noWrap w:val="0"/>
            <w:vAlign w:val="center"/>
          </w:tcPr>
          <w:p w14:paraId="0BF9D346">
            <w:pPr>
              <w:jc w:val="center"/>
              <w:rPr>
                <w:rFonts w:eastAsia="楷体_GB2312"/>
                <w:color w:val="000000"/>
                <w:szCs w:val="21"/>
              </w:rPr>
            </w:pPr>
            <w:r>
              <w:rPr>
                <w:rFonts w:eastAsia="楷体_GB2312"/>
                <w:color w:val="000000"/>
                <w:szCs w:val="21"/>
              </w:rPr>
              <w:t>2.53</w:t>
            </w:r>
          </w:p>
        </w:tc>
      </w:tr>
      <w:tr w14:paraId="4A2D0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12E6B0AA">
            <w:pPr>
              <w:jc w:val="center"/>
              <w:rPr>
                <w:rFonts w:eastAsia="楷体_GB2312"/>
                <w:kern w:val="0"/>
                <w:szCs w:val="21"/>
              </w:rPr>
            </w:pPr>
            <w:r>
              <w:rPr>
                <w:rFonts w:eastAsia="楷体_GB2312"/>
                <w:kern w:val="0"/>
                <w:szCs w:val="21"/>
              </w:rPr>
              <w:t>22</w:t>
            </w:r>
          </w:p>
        </w:tc>
        <w:tc>
          <w:tcPr>
            <w:tcW w:w="2197" w:type="dxa"/>
            <w:noWrap w:val="0"/>
            <w:vAlign w:val="center"/>
          </w:tcPr>
          <w:p w14:paraId="7633A8AE">
            <w:pPr>
              <w:jc w:val="center"/>
              <w:rPr>
                <w:rFonts w:eastAsia="楷体_GB2312"/>
                <w:kern w:val="0"/>
                <w:szCs w:val="21"/>
              </w:rPr>
            </w:pPr>
            <w:r>
              <w:rPr>
                <w:rFonts w:eastAsia="楷体_GB2312"/>
                <w:kern w:val="0"/>
                <w:szCs w:val="21"/>
              </w:rPr>
              <w:t>桃沟乡</w:t>
            </w:r>
          </w:p>
        </w:tc>
        <w:tc>
          <w:tcPr>
            <w:tcW w:w="2197" w:type="dxa"/>
            <w:noWrap w:val="0"/>
            <w:vAlign w:val="center"/>
          </w:tcPr>
          <w:p w14:paraId="1F8BCB1F">
            <w:pPr>
              <w:jc w:val="center"/>
              <w:rPr>
                <w:rFonts w:eastAsia="楷体_GB2312"/>
                <w:kern w:val="0"/>
                <w:szCs w:val="21"/>
              </w:rPr>
            </w:pPr>
            <w:r>
              <w:rPr>
                <w:rFonts w:eastAsia="楷体_GB2312"/>
                <w:kern w:val="0"/>
                <w:szCs w:val="21"/>
              </w:rPr>
              <w:t>1</w:t>
            </w:r>
          </w:p>
        </w:tc>
        <w:tc>
          <w:tcPr>
            <w:tcW w:w="2198" w:type="dxa"/>
            <w:noWrap w:val="0"/>
            <w:vAlign w:val="center"/>
          </w:tcPr>
          <w:p w14:paraId="555D3BF4">
            <w:pPr>
              <w:jc w:val="center"/>
              <w:rPr>
                <w:rFonts w:eastAsia="楷体_GB2312"/>
                <w:color w:val="000000"/>
                <w:szCs w:val="21"/>
              </w:rPr>
            </w:pPr>
            <w:r>
              <w:rPr>
                <w:rFonts w:eastAsia="楷体_GB2312"/>
                <w:color w:val="000000"/>
                <w:szCs w:val="21"/>
              </w:rPr>
              <w:t>1.27</w:t>
            </w:r>
          </w:p>
        </w:tc>
      </w:tr>
      <w:tr w14:paraId="2B34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0EE2E50E">
            <w:pPr>
              <w:jc w:val="center"/>
              <w:rPr>
                <w:rFonts w:eastAsia="楷体_GB2312"/>
                <w:kern w:val="0"/>
                <w:szCs w:val="21"/>
              </w:rPr>
            </w:pPr>
            <w:r>
              <w:rPr>
                <w:rFonts w:eastAsia="楷体_GB2312"/>
                <w:kern w:val="0"/>
                <w:szCs w:val="21"/>
              </w:rPr>
              <w:t>23</w:t>
            </w:r>
          </w:p>
        </w:tc>
        <w:tc>
          <w:tcPr>
            <w:tcW w:w="2197" w:type="dxa"/>
            <w:noWrap w:val="0"/>
            <w:vAlign w:val="center"/>
          </w:tcPr>
          <w:p w14:paraId="0BD2E08E">
            <w:pPr>
              <w:jc w:val="center"/>
              <w:rPr>
                <w:rFonts w:eastAsia="楷体_GB2312"/>
                <w:kern w:val="0"/>
                <w:szCs w:val="21"/>
              </w:rPr>
            </w:pPr>
            <w:r>
              <w:rPr>
                <w:rFonts w:eastAsia="楷体_GB2312"/>
                <w:kern w:val="0"/>
                <w:szCs w:val="21"/>
              </w:rPr>
              <w:t>曹村开发区</w:t>
            </w:r>
          </w:p>
        </w:tc>
        <w:tc>
          <w:tcPr>
            <w:tcW w:w="2197" w:type="dxa"/>
            <w:noWrap w:val="0"/>
            <w:vAlign w:val="center"/>
          </w:tcPr>
          <w:p w14:paraId="613CB7C9">
            <w:pPr>
              <w:jc w:val="center"/>
              <w:rPr>
                <w:rFonts w:eastAsia="楷体_GB2312"/>
                <w:kern w:val="0"/>
                <w:szCs w:val="21"/>
              </w:rPr>
            </w:pPr>
            <w:r>
              <w:rPr>
                <w:rFonts w:eastAsia="楷体_GB2312"/>
                <w:kern w:val="0"/>
                <w:szCs w:val="21"/>
              </w:rPr>
              <w:t>31</w:t>
            </w:r>
          </w:p>
        </w:tc>
        <w:tc>
          <w:tcPr>
            <w:tcW w:w="2198" w:type="dxa"/>
            <w:noWrap w:val="0"/>
            <w:vAlign w:val="center"/>
          </w:tcPr>
          <w:p w14:paraId="362CCC1A">
            <w:pPr>
              <w:jc w:val="center"/>
              <w:rPr>
                <w:rFonts w:eastAsia="楷体_GB2312"/>
                <w:color w:val="000000"/>
                <w:szCs w:val="21"/>
              </w:rPr>
            </w:pPr>
            <w:r>
              <w:rPr>
                <w:rFonts w:eastAsia="楷体_GB2312"/>
                <w:color w:val="000000"/>
                <w:szCs w:val="21"/>
              </w:rPr>
              <w:t>39.24</w:t>
            </w:r>
          </w:p>
        </w:tc>
      </w:tr>
      <w:tr w14:paraId="620C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278BD106">
            <w:pPr>
              <w:jc w:val="center"/>
              <w:rPr>
                <w:rFonts w:eastAsia="楷体_GB2312"/>
                <w:kern w:val="0"/>
                <w:szCs w:val="21"/>
              </w:rPr>
            </w:pPr>
            <w:r>
              <w:rPr>
                <w:rFonts w:eastAsia="楷体_GB2312"/>
                <w:kern w:val="0"/>
                <w:szCs w:val="21"/>
              </w:rPr>
              <w:t>24</w:t>
            </w:r>
          </w:p>
        </w:tc>
        <w:tc>
          <w:tcPr>
            <w:tcW w:w="2197" w:type="dxa"/>
            <w:noWrap w:val="0"/>
            <w:vAlign w:val="center"/>
          </w:tcPr>
          <w:p w14:paraId="33DD059E">
            <w:pPr>
              <w:jc w:val="center"/>
              <w:rPr>
                <w:rFonts w:eastAsia="楷体_GB2312"/>
                <w:kern w:val="0"/>
                <w:szCs w:val="21"/>
              </w:rPr>
            </w:pPr>
            <w:r>
              <w:rPr>
                <w:rFonts w:eastAsia="楷体_GB2312"/>
                <w:kern w:val="0"/>
                <w:szCs w:val="21"/>
              </w:rPr>
              <w:t>家具产业园</w:t>
            </w:r>
          </w:p>
        </w:tc>
        <w:tc>
          <w:tcPr>
            <w:tcW w:w="2197" w:type="dxa"/>
            <w:noWrap w:val="0"/>
            <w:vAlign w:val="center"/>
          </w:tcPr>
          <w:p w14:paraId="1726F27D">
            <w:pPr>
              <w:jc w:val="center"/>
              <w:rPr>
                <w:rFonts w:eastAsia="楷体_GB2312"/>
                <w:kern w:val="0"/>
                <w:szCs w:val="21"/>
              </w:rPr>
            </w:pPr>
            <w:r>
              <w:rPr>
                <w:rFonts w:eastAsia="楷体_GB2312"/>
                <w:kern w:val="0"/>
                <w:szCs w:val="21"/>
              </w:rPr>
              <w:t>5</w:t>
            </w:r>
          </w:p>
        </w:tc>
        <w:tc>
          <w:tcPr>
            <w:tcW w:w="2198" w:type="dxa"/>
            <w:noWrap w:val="0"/>
            <w:vAlign w:val="center"/>
          </w:tcPr>
          <w:p w14:paraId="59E76C75">
            <w:pPr>
              <w:jc w:val="center"/>
              <w:rPr>
                <w:rFonts w:eastAsia="楷体_GB2312"/>
                <w:color w:val="000000"/>
                <w:szCs w:val="21"/>
              </w:rPr>
            </w:pPr>
            <w:r>
              <w:rPr>
                <w:rFonts w:eastAsia="楷体_GB2312"/>
                <w:color w:val="000000"/>
                <w:szCs w:val="21"/>
              </w:rPr>
              <w:t>6.33</w:t>
            </w:r>
          </w:p>
        </w:tc>
      </w:tr>
      <w:tr w14:paraId="0998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97" w:type="dxa"/>
            <w:noWrap/>
            <w:vAlign w:val="center"/>
          </w:tcPr>
          <w:p w14:paraId="6E65DA6B">
            <w:pPr>
              <w:jc w:val="center"/>
              <w:rPr>
                <w:rFonts w:eastAsia="楷体_GB2312"/>
                <w:kern w:val="0"/>
                <w:szCs w:val="21"/>
              </w:rPr>
            </w:pPr>
            <w:r>
              <w:rPr>
                <w:rFonts w:eastAsia="楷体_GB2312"/>
                <w:kern w:val="0"/>
                <w:szCs w:val="21"/>
              </w:rPr>
              <w:t>25</w:t>
            </w:r>
          </w:p>
        </w:tc>
        <w:tc>
          <w:tcPr>
            <w:tcW w:w="2197" w:type="dxa"/>
            <w:noWrap w:val="0"/>
            <w:vAlign w:val="center"/>
          </w:tcPr>
          <w:p w14:paraId="755FBB69">
            <w:pPr>
              <w:jc w:val="center"/>
              <w:rPr>
                <w:rFonts w:eastAsia="楷体_GB2312"/>
                <w:kern w:val="0"/>
                <w:szCs w:val="21"/>
              </w:rPr>
            </w:pPr>
            <w:r>
              <w:rPr>
                <w:rFonts w:eastAsia="楷体_GB2312"/>
                <w:kern w:val="0"/>
                <w:szCs w:val="21"/>
              </w:rPr>
              <w:t>农业示范园</w:t>
            </w:r>
          </w:p>
        </w:tc>
        <w:tc>
          <w:tcPr>
            <w:tcW w:w="2197" w:type="dxa"/>
            <w:noWrap w:val="0"/>
            <w:vAlign w:val="center"/>
          </w:tcPr>
          <w:p w14:paraId="43EB1419">
            <w:pPr>
              <w:jc w:val="center"/>
              <w:rPr>
                <w:rFonts w:eastAsia="楷体_GB2312"/>
                <w:kern w:val="0"/>
                <w:szCs w:val="21"/>
              </w:rPr>
            </w:pPr>
            <w:r>
              <w:rPr>
                <w:rFonts w:eastAsia="楷体_GB2312"/>
                <w:kern w:val="0"/>
                <w:szCs w:val="21"/>
              </w:rPr>
              <w:t>2</w:t>
            </w:r>
          </w:p>
        </w:tc>
        <w:tc>
          <w:tcPr>
            <w:tcW w:w="2198" w:type="dxa"/>
            <w:noWrap w:val="0"/>
            <w:vAlign w:val="center"/>
          </w:tcPr>
          <w:p w14:paraId="16B01D5B">
            <w:pPr>
              <w:jc w:val="center"/>
              <w:rPr>
                <w:rFonts w:eastAsia="楷体_GB2312"/>
                <w:color w:val="000000"/>
                <w:szCs w:val="21"/>
              </w:rPr>
            </w:pPr>
            <w:r>
              <w:rPr>
                <w:rFonts w:eastAsia="楷体_GB2312"/>
                <w:color w:val="000000"/>
                <w:szCs w:val="21"/>
              </w:rPr>
              <w:t>2.53</w:t>
            </w:r>
          </w:p>
        </w:tc>
      </w:tr>
      <w:tr w14:paraId="4E659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394" w:type="dxa"/>
            <w:gridSpan w:val="2"/>
            <w:noWrap/>
            <w:vAlign w:val="center"/>
          </w:tcPr>
          <w:p w14:paraId="45E27CFE">
            <w:pPr>
              <w:jc w:val="center"/>
              <w:rPr>
                <w:rFonts w:eastAsia="楷体_GB2312"/>
                <w:kern w:val="0"/>
                <w:szCs w:val="21"/>
              </w:rPr>
            </w:pPr>
            <w:r>
              <w:rPr>
                <w:rFonts w:eastAsia="楷体_GB2312"/>
                <w:kern w:val="0"/>
                <w:szCs w:val="21"/>
              </w:rPr>
              <w:t>合计</w:t>
            </w:r>
          </w:p>
        </w:tc>
        <w:tc>
          <w:tcPr>
            <w:tcW w:w="2197" w:type="dxa"/>
            <w:noWrap w:val="0"/>
            <w:vAlign w:val="center"/>
          </w:tcPr>
          <w:p w14:paraId="6CADE675">
            <w:pPr>
              <w:jc w:val="center"/>
              <w:rPr>
                <w:rFonts w:eastAsia="楷体_GB2312"/>
                <w:kern w:val="0"/>
                <w:szCs w:val="21"/>
              </w:rPr>
            </w:pPr>
            <w:r>
              <w:rPr>
                <w:rFonts w:eastAsia="楷体_GB2312"/>
                <w:kern w:val="0"/>
                <w:szCs w:val="21"/>
              </w:rPr>
              <w:t>79</w:t>
            </w:r>
          </w:p>
        </w:tc>
        <w:tc>
          <w:tcPr>
            <w:tcW w:w="2198" w:type="dxa"/>
            <w:noWrap w:val="0"/>
            <w:vAlign w:val="center"/>
          </w:tcPr>
          <w:p w14:paraId="09299CF3">
            <w:pPr>
              <w:jc w:val="center"/>
              <w:rPr>
                <w:rFonts w:eastAsia="楷体_GB2312"/>
                <w:kern w:val="0"/>
                <w:szCs w:val="21"/>
              </w:rPr>
            </w:pPr>
            <w:r>
              <w:rPr>
                <w:rFonts w:eastAsia="楷体_GB2312"/>
                <w:kern w:val="0"/>
                <w:szCs w:val="21"/>
              </w:rPr>
              <w:t>100</w:t>
            </w:r>
          </w:p>
        </w:tc>
      </w:tr>
    </w:tbl>
    <w:p w14:paraId="6A42896D">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从上述统计表可以看出，部分乡镇没有工业样点，参考周边相近的乡镇。工矿仓储用地样本量只能满足个别乡镇工矿仓储用地基准地价测算要求，其评估结果可作为工矿仓储用地基准地价确定的重要依据。</w:t>
      </w:r>
    </w:p>
    <w:p w14:paraId="742DD4E7">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2、分布均匀性分析</w:t>
      </w:r>
    </w:p>
    <w:p w14:paraId="08D12B6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分析样点分布图，可以看出样点分布不均匀，个别乡镇缺少足够的数量样点。</w:t>
      </w:r>
    </w:p>
    <w:p w14:paraId="1BEC26A6">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3、代表性分析和可靠性分析</w:t>
      </w:r>
    </w:p>
    <w:p w14:paraId="2FFF3C30">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土地使用权出让地价资料，由</w:t>
      </w:r>
      <w:r>
        <w:rPr>
          <w:rFonts w:hint="eastAsia" w:ascii="楷体" w:hAnsi="楷体" w:eastAsia="楷体" w:cs="宋体"/>
          <w:sz w:val="28"/>
          <w:szCs w:val="24"/>
        </w:rPr>
        <w:t>宿州市埇桥区自然资源和规划局</w:t>
      </w:r>
      <w:r>
        <w:rPr>
          <w:rFonts w:ascii="Times New Roman" w:hAnsi="Times New Roman" w:eastAsia="楷体_GB2312" w:cs="Times New Roman"/>
          <w:sz w:val="28"/>
        </w:rPr>
        <w:t>及各乡镇国土所提供，地价资料真实可靠，代表性强，能客观反映工矿仓储用地的实际地价水平。</w:t>
      </w:r>
    </w:p>
    <w:p w14:paraId="36B02DD8">
      <w:pPr>
        <w:pStyle w:val="3"/>
        <w:spacing w:line="240" w:lineRule="auto"/>
        <w:jc w:val="center"/>
        <w:rPr>
          <w:rFonts w:ascii="Times New Roman" w:hAnsi="Times New Roman" w:eastAsia="宋体"/>
          <w:bCs w:val="0"/>
          <w:sz w:val="36"/>
        </w:rPr>
        <w:sectPr>
          <w:pgSz w:w="11906" w:h="16838"/>
          <w:pgMar w:top="1701" w:right="1418" w:bottom="1418" w:left="1701" w:header="1134" w:footer="992" w:gutter="0"/>
          <w:cols w:space="720" w:num="1"/>
          <w:docGrid w:linePitch="12" w:charSpace="0"/>
        </w:sectPr>
      </w:pPr>
    </w:p>
    <w:p w14:paraId="276BF5F4">
      <w:pPr>
        <w:pStyle w:val="3"/>
        <w:spacing w:line="240" w:lineRule="auto"/>
        <w:jc w:val="center"/>
        <w:rPr>
          <w:rFonts w:ascii="Times New Roman" w:hAnsi="Times New Roman" w:eastAsia="宋体"/>
          <w:bCs w:val="0"/>
          <w:sz w:val="36"/>
        </w:rPr>
      </w:pPr>
      <w:bookmarkStart w:id="77" w:name="_Toc62563688"/>
      <w:r>
        <w:rPr>
          <w:rFonts w:ascii="Times New Roman" w:hAnsi="Times New Roman" w:eastAsia="宋体"/>
          <w:bCs w:val="0"/>
          <w:sz w:val="36"/>
        </w:rPr>
        <w:t>第四章  样点地价测算、修正与地价样点数据检验</w:t>
      </w:r>
      <w:bookmarkEnd w:id="77"/>
    </w:p>
    <w:p w14:paraId="6D81F132">
      <w:pPr>
        <w:pStyle w:val="4"/>
        <w:numPr>
          <w:ilvl w:val="0"/>
          <w:numId w:val="0"/>
        </w:numPr>
        <w:spacing w:line="240" w:lineRule="auto"/>
        <w:jc w:val="center"/>
        <w:rPr>
          <w:rFonts w:eastAsia="仿宋_GB2312"/>
          <w:bCs w:val="0"/>
        </w:rPr>
      </w:pPr>
      <w:bookmarkStart w:id="78" w:name="_Toc62563689"/>
      <w:r>
        <w:rPr>
          <w:rFonts w:eastAsia="仿宋_GB2312"/>
          <w:bCs w:val="0"/>
        </w:rPr>
        <w:t>第一节  样点地价测算</w:t>
      </w:r>
      <w:bookmarkEnd w:id="78"/>
    </w:p>
    <w:p w14:paraId="107F151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在资料调查与审核的基础上，根据样点资料的类别和特点，选择适宜的估价方法，由计算机自动测算各样点的土地价格，进而为评估基准地价服务。</w:t>
      </w:r>
    </w:p>
    <w:p w14:paraId="1A81DD4F">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一、利用房地出租资料测算样点地价</w:t>
      </w:r>
    </w:p>
    <w:p w14:paraId="5399E4DA">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房地出租涉及到土地使用权出租。房地出租收益实际是房地总收益，在房地总收益中扣除房屋收益和有关费用，剩余收益就是土地纯收益，然后以一定的土地还原率将其还原求得地价。</w:t>
      </w:r>
    </w:p>
    <w:p w14:paraId="55A8C1A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计算房地纯收益：将年租金和押金利息收入作为房地出租的年总收益，从中扣除有关经营费用、折旧费和空房损失费，即为房地纯收益。房地纯收益按下式计算。</w:t>
      </w:r>
    </w:p>
    <w:p w14:paraId="6911E01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房地纯收益=年收益-（空房损失费+管理费+维修费+保险费+折旧费+税金）</w:t>
      </w:r>
    </w:p>
    <w:p w14:paraId="28583BE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房地出租涉及到的税金按交纳的实际值计算，涉及到保险费的样点主要是近几年新建的中高档房屋，其余一般不交纳保险费。保险费亦按实际值计算。</w:t>
      </w:r>
    </w:p>
    <w:p w14:paraId="5A72DA38">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1、算房屋收益：将房屋现值作为投资资本，按下式计算房屋收益值。</w:t>
      </w:r>
    </w:p>
    <w:p w14:paraId="4FB53D40">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房屋收益=房屋现值×房屋还原率</w:t>
      </w:r>
    </w:p>
    <w:p w14:paraId="5089F463">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房屋现值计算分两种情况。第一种情况，房屋剩余使用年期&gt;0，房屋现值按下式计算：房屋现值=房屋重置价-房屋重置价×（1-残值率）×已使用年限/耐用年限；房屋剩余使用年期&lt;0，主要是60年代前砖木结构房屋和70年代、80年代的简易结构房屋，房屋现值按下式计算，房屋现值=房屋重置价×成新度。据房管部门提供的资料，这类房屋的成新度一般在0.2~0.4之间。因这类样点较少，约占总样点的5%左右，为了测算方便取其平均值即0.3作为成新度。</w:t>
      </w:r>
    </w:p>
    <w:p w14:paraId="02DAECA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2、计算地价：从房地纯收益中，扣除房屋收益，得到土地纯收益，再用土地还原率进行资本化，最终求得地价，地价按下式计算。</w:t>
      </w:r>
    </w:p>
    <w:p w14:paraId="19CAE076">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地价=（房地纯收益-房屋纯收益）/（土地还原率×土地面积）</w:t>
      </w:r>
    </w:p>
    <w:p w14:paraId="16F373FE">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二、利用房地买卖资料测算样点地价</w:t>
      </w:r>
    </w:p>
    <w:p w14:paraId="354BF6BD">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房地买卖涉及到土地使用权的转让，在房地买卖价格中减去房屋的现值和有关的税费，就可以求得土地价格。</w:t>
      </w:r>
    </w:p>
    <w:p w14:paraId="6F82B38D">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1、计算房屋现值：根据房屋建筑面积、结构类型、重置价、已使用年期、耐用年限，按房地出租中的房屋现值计算方法计算。</w:t>
      </w:r>
    </w:p>
    <w:p w14:paraId="288B49D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2、地价计算：从总交易价中扣除房屋现值及有关税费按下式计算地价。</w:t>
      </w:r>
    </w:p>
    <w:p w14:paraId="665A75ED">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地价=（交易价-房屋现值-税金-有关费用）/土地面积</w:t>
      </w:r>
    </w:p>
    <w:p w14:paraId="4183A10C">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式中：税金为交易过程中实际支付的税费，有关费用是指卖方在交易过程中支付的有关费用。</w:t>
      </w:r>
    </w:p>
    <w:p w14:paraId="1D7D911A">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三、利用其它市场交易资料测算地价</w:t>
      </w:r>
    </w:p>
    <w:p w14:paraId="591B01EC">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1、利用新增建设用地资料测算地价</w:t>
      </w:r>
    </w:p>
    <w:p w14:paraId="5C803B7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政府征用农业用地，通过开发使之变成城镇建设用地，征地单位需要支付农用地取得费、土地开发费和其它有关税费，还要支付投入资金的利息，开发企业也要获得合理的利润，这些都可看作是开发土地所投入的成本，据此可计算出新增建设用地的成本价格。计算方法见下式。</w:t>
      </w:r>
    </w:p>
    <w:p w14:paraId="085CB10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地价=土地取得费+土地开发费+利息+利润</w:t>
      </w:r>
    </w:p>
    <w:p w14:paraId="2936CBF3">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2、利用商品房开发资料测算地价</w:t>
      </w:r>
    </w:p>
    <w:p w14:paraId="0EDC7DA0">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采用剩余法进行样点地价测算，测算公式如下：</w:t>
      </w:r>
    </w:p>
    <w:p w14:paraId="5488C61A">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总地价=不动产总价-建筑费-专业费-利润-利息-销售费用-税金</w:t>
      </w:r>
    </w:p>
    <w:p w14:paraId="1BCE017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其中，利润=（建筑费+专业费+地价）×利润率；</w:t>
      </w:r>
    </w:p>
    <w:p w14:paraId="5BEB4A6B">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 xml:space="preserve">      利息=（建筑费+专业费）×利息率×开发周期×0.5+地价×利息率×开发周期。</w:t>
      </w:r>
    </w:p>
    <w:p w14:paraId="50455296">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上述测算过程中，建筑费、专业费、开发周期、利润率按实际额计算，其它土地估价参数也按实际发生额计算，对于期房预售房，不动产总价=竣工时的市场楼价（按可出售建筑面积计）+预收售房款×年利息率×开发周期-竣工时的市场楼价（按竣工时尚未出售建筑面积计）×折算的售房周期×年利息率。</w:t>
      </w:r>
    </w:p>
    <w:p w14:paraId="5F6D27D1">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样点地价=总地价/用地面积。</w:t>
      </w:r>
    </w:p>
    <w:p w14:paraId="279656DE">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3、利用土地使用权出让资料测算样点地价</w:t>
      </w:r>
    </w:p>
    <w:p w14:paraId="1AFDB8D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根据土地使用权出让的实际情况进行土地使用权出让分类，测算方式如下：</w:t>
      </w:r>
    </w:p>
    <w:p w14:paraId="2091B08C">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出让金包括征地成本和土地增值收益，但不含基础设施配套费和宗地红线内土地开发费，则地价=（出让金+基础设施配套费+宗地红线内土地平整费+利息+利润）/土地面积。</w:t>
      </w:r>
    </w:p>
    <w:p w14:paraId="14692944">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4、利用土地使用权转让资料测算的地价：</w:t>
      </w:r>
    </w:p>
    <w:p w14:paraId="45AF2F2D">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按下式计算样点地价。</w:t>
      </w:r>
    </w:p>
    <w:p w14:paraId="78CFD33D">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地价=土地转让方获取的资金或实物折价/土地面积</w:t>
      </w:r>
    </w:p>
    <w:p w14:paraId="25E226A1">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5、利用收益还原法测算的地价</w:t>
      </w:r>
    </w:p>
    <w:p w14:paraId="25038AD0">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（1）土地纯收益的求取</w:t>
      </w:r>
    </w:p>
    <w:p w14:paraId="2990732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根据经济学理论，项目经营利润由资金、劳动力和土地等生产要素产生，故求取土地纯收益可以从项目经营的总收益中，扣除经营成本及资本、劳动力所产生的收益中得到</w:t>
      </w:r>
    </w:p>
    <w:p w14:paraId="12AC296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p=a-b-c-d-e-f</w:t>
      </w:r>
    </w:p>
    <w:p w14:paraId="2FA801EC">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其中</w:t>
      </w:r>
      <w:r>
        <w:rPr>
          <w:rFonts w:hint="eastAsia" w:ascii="Times New Roman" w:hAnsi="Times New Roman" w:eastAsia="楷体_GB2312" w:cs="Times New Roman"/>
          <w:sz w:val="28"/>
        </w:rPr>
        <w:t>，</w:t>
      </w:r>
      <w:r>
        <w:rPr>
          <w:rFonts w:ascii="Times New Roman" w:hAnsi="Times New Roman" w:eastAsia="楷体_GB2312" w:cs="Times New Roman"/>
          <w:sz w:val="28"/>
        </w:rPr>
        <w:t>p—土地纯收益；</w:t>
      </w:r>
    </w:p>
    <w:p w14:paraId="69E60ED6">
      <w:pPr>
        <w:pStyle w:val="20"/>
        <w:spacing w:line="480" w:lineRule="exact"/>
        <w:ind w:firstLine="1260" w:firstLineChars="450"/>
        <w:rPr>
          <w:rFonts w:ascii="Times New Roman" w:hAnsi="Times New Roman" w:eastAsia="楷体_GB2312" w:cs="Times New Roman"/>
          <w:sz w:val="28"/>
        </w:rPr>
      </w:pPr>
      <w:r>
        <w:rPr>
          <w:rFonts w:ascii="Times New Roman" w:hAnsi="Times New Roman" w:eastAsia="楷体_GB2312" w:cs="Times New Roman"/>
          <w:sz w:val="28"/>
        </w:rPr>
        <w:t>a—经营总收入;</w:t>
      </w:r>
    </w:p>
    <w:p w14:paraId="1306D807">
      <w:pPr>
        <w:pStyle w:val="20"/>
        <w:spacing w:line="480" w:lineRule="exact"/>
        <w:ind w:firstLine="1260" w:firstLineChars="450"/>
        <w:rPr>
          <w:rFonts w:ascii="Times New Roman" w:hAnsi="Times New Roman" w:eastAsia="楷体_GB2312" w:cs="Times New Roman"/>
          <w:sz w:val="28"/>
        </w:rPr>
      </w:pPr>
      <w:r>
        <w:rPr>
          <w:rFonts w:ascii="Times New Roman" w:hAnsi="Times New Roman" w:eastAsia="楷体_GB2312" w:cs="Times New Roman"/>
          <w:sz w:val="28"/>
        </w:rPr>
        <w:t>b—年经营总费用；</w:t>
      </w:r>
    </w:p>
    <w:p w14:paraId="7C7FF07B">
      <w:pPr>
        <w:pStyle w:val="20"/>
        <w:spacing w:line="480" w:lineRule="exact"/>
        <w:ind w:firstLine="1260" w:firstLineChars="450"/>
        <w:rPr>
          <w:rFonts w:ascii="Times New Roman" w:hAnsi="Times New Roman" w:eastAsia="楷体_GB2312" w:cs="Times New Roman"/>
          <w:sz w:val="28"/>
        </w:rPr>
      </w:pPr>
      <w:r>
        <w:rPr>
          <w:rFonts w:ascii="Times New Roman" w:hAnsi="Times New Roman" w:eastAsia="楷体_GB2312" w:cs="Times New Roman"/>
          <w:sz w:val="28"/>
        </w:rPr>
        <w:t>c—折旧费；</w:t>
      </w:r>
    </w:p>
    <w:p w14:paraId="33AFB4D1">
      <w:pPr>
        <w:pStyle w:val="20"/>
        <w:spacing w:line="480" w:lineRule="exact"/>
        <w:ind w:firstLine="1260" w:firstLineChars="450"/>
        <w:rPr>
          <w:rFonts w:ascii="Times New Roman" w:hAnsi="Times New Roman" w:eastAsia="楷体_GB2312" w:cs="Times New Roman"/>
          <w:sz w:val="28"/>
        </w:rPr>
      </w:pPr>
      <w:r>
        <w:rPr>
          <w:rFonts w:ascii="Times New Roman" w:hAnsi="Times New Roman" w:eastAsia="楷体_GB2312" w:cs="Times New Roman"/>
          <w:sz w:val="28"/>
        </w:rPr>
        <w:t>d—房屋纯收益；</w:t>
      </w:r>
    </w:p>
    <w:p w14:paraId="2CAF1BD9">
      <w:pPr>
        <w:pStyle w:val="20"/>
        <w:spacing w:line="480" w:lineRule="exact"/>
        <w:ind w:firstLine="1260" w:firstLineChars="450"/>
        <w:rPr>
          <w:rFonts w:ascii="Times New Roman" w:hAnsi="Times New Roman" w:eastAsia="楷体_GB2312" w:cs="Times New Roman"/>
          <w:sz w:val="28"/>
        </w:rPr>
      </w:pPr>
      <w:r>
        <w:rPr>
          <w:rFonts w:ascii="Times New Roman" w:hAnsi="Times New Roman" w:eastAsia="楷体_GB2312" w:cs="Times New Roman"/>
          <w:sz w:val="28"/>
        </w:rPr>
        <w:t>e—流动资产投资收益；</w:t>
      </w:r>
    </w:p>
    <w:p w14:paraId="4B30FC3B">
      <w:pPr>
        <w:pStyle w:val="20"/>
        <w:spacing w:line="480" w:lineRule="exact"/>
        <w:ind w:firstLine="1260" w:firstLineChars="450"/>
        <w:rPr>
          <w:rFonts w:ascii="Times New Roman" w:hAnsi="Times New Roman" w:eastAsia="楷体_GB2312" w:cs="Times New Roman"/>
          <w:sz w:val="28"/>
        </w:rPr>
      </w:pPr>
      <w:r>
        <w:rPr>
          <w:rFonts w:ascii="Times New Roman" w:hAnsi="Times New Roman" w:eastAsia="楷体_GB2312" w:cs="Times New Roman"/>
          <w:sz w:val="28"/>
        </w:rPr>
        <w:t>f—土地、房屋之外的固定资产投资收益</w:t>
      </w:r>
    </w:p>
    <w:p w14:paraId="3074129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（2）土地还原率确定</w:t>
      </w:r>
    </w:p>
    <w:p w14:paraId="133C0FC3">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土地还原率确定以资金的投资收益率和资金利率为基础，结合风险大小修正确定。</w:t>
      </w:r>
    </w:p>
    <w:p w14:paraId="4A44F69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（3）土地价格的确定</w:t>
      </w:r>
    </w:p>
    <w:p w14:paraId="04CE462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 xml:space="preserve"> 由于我国土地使用权是有限期使用的，故按下式计算</w:t>
      </w:r>
    </w:p>
    <w:p w14:paraId="679BE919">
      <w:pPr>
        <w:tabs>
          <w:tab w:val="left" w:pos="360"/>
          <w:tab w:val="left" w:pos="900"/>
        </w:tabs>
        <w:spacing w:line="380" w:lineRule="exact"/>
        <w:ind w:firstLine="560" w:firstLineChars="200"/>
        <w:jc w:val="center"/>
        <w:rPr>
          <w:rFonts w:eastAsia="楷体_GB2312"/>
          <w:sz w:val="28"/>
        </w:rPr>
      </w:pPr>
      <w:r>
        <w:rPr>
          <w:rFonts w:eastAsia="楷体_GB2312"/>
          <w:sz w:val="28"/>
        </w:rPr>
        <w:t>V=a/r</w:t>
      </w:r>
      <w:r>
        <w:rPr>
          <w:rFonts w:eastAsia="楷体_GB2312"/>
          <w:bCs/>
          <w:kern w:val="0"/>
          <w:sz w:val="28"/>
          <w:szCs w:val="28"/>
        </w:rPr>
        <w:t>×</w:t>
      </w:r>
      <w:r>
        <w:rPr>
          <w:rFonts w:eastAsia="楷体_GB2312"/>
          <w:sz w:val="28"/>
        </w:rPr>
        <w:t>(1-1/(1+r)</w:t>
      </w:r>
      <w:r>
        <w:rPr>
          <w:rFonts w:eastAsia="楷体_GB2312"/>
          <w:sz w:val="28"/>
          <w:vertAlign w:val="superscript"/>
        </w:rPr>
        <w:t>n</w:t>
      </w:r>
      <w:r>
        <w:rPr>
          <w:rFonts w:eastAsia="楷体_GB2312"/>
          <w:sz w:val="28"/>
        </w:rPr>
        <w:t>)</w:t>
      </w:r>
    </w:p>
    <w:p w14:paraId="004AA47F">
      <w:pPr>
        <w:pStyle w:val="20"/>
        <w:spacing w:line="480" w:lineRule="exact"/>
        <w:ind w:firstLine="560" w:firstLineChars="200"/>
        <w:rPr>
          <w:rFonts w:hint="eastAsia" w:ascii="Times New Roman" w:hAnsi="Times New Roman" w:eastAsia="楷体_GB2312" w:cs="Times New Roman"/>
          <w:sz w:val="28"/>
        </w:rPr>
      </w:pPr>
      <w:r>
        <w:rPr>
          <w:rFonts w:ascii="Times New Roman" w:hAnsi="Times New Roman" w:eastAsia="楷体_GB2312" w:cs="Times New Roman"/>
          <w:sz w:val="28"/>
        </w:rPr>
        <w:t>其中，V—地价；a—土地年纯收益；r—土地还原利率；n—土地使用年期或土地收益的年期。</w:t>
      </w:r>
    </w:p>
    <w:p w14:paraId="266ABE2E">
      <w:pPr>
        <w:pStyle w:val="20"/>
        <w:spacing w:line="480" w:lineRule="exact"/>
        <w:ind w:firstLine="560" w:firstLineChars="200"/>
        <w:rPr>
          <w:rFonts w:ascii="Times New Roman" w:hAnsi="Times New Roman" w:eastAsia="楷体_GB2312" w:cs="Times New Roman"/>
          <w:sz w:val="28"/>
        </w:rPr>
      </w:pPr>
    </w:p>
    <w:p w14:paraId="5EED8317">
      <w:pPr>
        <w:pStyle w:val="4"/>
        <w:numPr>
          <w:ilvl w:val="0"/>
          <w:numId w:val="0"/>
        </w:numPr>
        <w:spacing w:line="240" w:lineRule="auto"/>
        <w:jc w:val="center"/>
        <w:rPr>
          <w:rFonts w:eastAsia="仿宋_GB2312"/>
          <w:bCs w:val="0"/>
        </w:rPr>
      </w:pPr>
      <w:bookmarkStart w:id="79" w:name="_Toc62563690"/>
      <w:r>
        <w:rPr>
          <w:rFonts w:eastAsia="仿宋_GB2312"/>
          <w:bCs w:val="0"/>
        </w:rPr>
        <w:t>第二节  样点地价修正与样点地价分布图图形工作数据库的建立</w:t>
      </w:r>
      <w:bookmarkEnd w:id="79"/>
    </w:p>
    <w:p w14:paraId="273384C1">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一、样点地价修正</w:t>
      </w:r>
    </w:p>
    <w:p w14:paraId="0BCF88DE">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样点地价的修正包括出让年期修正、交易时间修正、容积率修正和其它修正。</w:t>
      </w:r>
    </w:p>
    <w:p w14:paraId="6AED3C8D">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1、出让年期修正</w:t>
      </w:r>
    </w:p>
    <w:p w14:paraId="2D4C0ABE">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基准地价更新要求样点资料具有可比性。由于宗地出让年期或转让的剩余使用年期不统一，相互缺乏可比性，因此，在利用样点地价评估基准地价前，要求将基准地价评估所需的样点地价，修正到按法律规定的各类土地法定的最高出让年限，即商服用地40年、住宅用地70年、工矿仓储用地50年。因此对收集、整理得到的样点地价，要根据出让或转让中剩余的实际使用年期进行修正。没有明确使用年期的，应按无限年期使用的价格修正到法定最高出让年限；对有年期但没有到最高出让年期的，也要修正到法定最高出让年限，计算公式为：</w:t>
      </w:r>
    </w:p>
    <w:p w14:paraId="079862F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（1）有限年期使用权地价修正到法定最高出让年期地价的计算公式为：</w:t>
      </w:r>
    </w:p>
    <w:p w14:paraId="41A18708">
      <w:pPr>
        <w:spacing w:line="480" w:lineRule="exact"/>
        <w:jc w:val="center"/>
        <w:rPr>
          <w:rFonts w:eastAsia="楷体_GB2312"/>
          <w:sz w:val="28"/>
        </w:rPr>
      </w:pPr>
      <w:r>
        <w:rPr>
          <w:rFonts w:eastAsia="楷体_GB2312"/>
          <w:sz w:val="28"/>
        </w:rPr>
        <w:t>P</w:t>
      </w:r>
      <w:r>
        <w:rPr>
          <w:rFonts w:eastAsia="楷体_GB2312"/>
          <w:sz w:val="28"/>
          <w:vertAlign w:val="subscript"/>
        </w:rPr>
        <w:t>m</w:t>
      </w:r>
      <w:r>
        <w:rPr>
          <w:rFonts w:eastAsia="楷体_GB2312"/>
          <w:sz w:val="28"/>
        </w:rPr>
        <w:t>=P</w:t>
      </w:r>
      <w:r>
        <w:rPr>
          <w:rFonts w:eastAsia="楷体_GB2312"/>
          <w:sz w:val="28"/>
          <w:vertAlign w:val="subscript"/>
        </w:rPr>
        <w:t>ml</w:t>
      </w:r>
      <w:r>
        <w:rPr>
          <w:rFonts w:eastAsia="楷体_GB2312"/>
          <w:sz w:val="28"/>
        </w:rPr>
        <w:t>×[</w:t>
      </w:r>
      <w:r>
        <w:rPr>
          <w:rFonts w:eastAsia="楷体_GB2312"/>
          <w:position w:val="-12"/>
        </w:rPr>
        <w:object>
          <v:shape id="_x0000_i1128" o:spt="75" type="#_x0000_t75" style="height:19pt;width:67pt;" o:ole="t" filled="f" stroked="f" coordsize="21600,21600">
            <v:path/>
            <v:fill on="f" focussize="0,0"/>
            <v:stroke on="f"/>
            <v:imagedata r:id="rId252" o:title=""/>
            <o:lock v:ext="edit" aspectratio="t"/>
            <w10:wrap type="none"/>
            <w10:anchorlock/>
          </v:shape>
          <o:OLEObject Type="Embed" ProgID="Equation.3" ShapeID="_x0000_i1128" DrawAspect="Content" ObjectID="_1468075828" r:id="rId251">
            <o:LockedField>false</o:LockedField>
          </o:OLEObject>
        </w:object>
      </w:r>
      <w:r>
        <w:rPr>
          <w:rFonts w:eastAsia="楷体_GB2312"/>
          <w:sz w:val="28"/>
        </w:rPr>
        <w:t>]÷[</w:t>
      </w:r>
      <w:r>
        <w:rPr>
          <w:rFonts w:eastAsia="楷体_GB2312"/>
          <w:position w:val="-12"/>
        </w:rPr>
        <w:object>
          <v:shape id="_x0000_i1129" o:spt="75" type="#_x0000_t75" style="height:19pt;width:65pt;" o:ole="t" filled="f" stroked="f" coordsize="21600,21600">
            <v:path/>
            <v:fill on="f" focussize="0,0"/>
            <v:stroke on="f"/>
            <v:imagedata r:id="rId254" o:title=""/>
            <o:lock v:ext="edit" aspectratio="t"/>
            <w10:wrap type="none"/>
            <w10:anchorlock/>
          </v:shape>
          <o:OLEObject Type="Embed" ProgID="Equation.3" ShapeID="_x0000_i1129" DrawAspect="Content" ObjectID="_1468075829" r:id="rId253">
            <o:LockedField>false</o:LockedField>
          </o:OLEObject>
        </w:object>
      </w:r>
      <w:r>
        <w:rPr>
          <w:rFonts w:eastAsia="楷体_GB2312"/>
          <w:sz w:val="28"/>
        </w:rPr>
        <w:t>]</w:t>
      </w:r>
    </w:p>
    <w:p w14:paraId="1473D373">
      <w:pPr>
        <w:spacing w:line="480" w:lineRule="exact"/>
        <w:ind w:firstLine="480"/>
        <w:rPr>
          <w:rFonts w:eastAsia="楷体_GB2312"/>
          <w:sz w:val="28"/>
        </w:rPr>
      </w:pPr>
      <w:r>
        <w:rPr>
          <w:rFonts w:eastAsia="楷体_GB2312"/>
          <w:sz w:val="28"/>
        </w:rPr>
        <w:t>式中：P</w:t>
      </w:r>
      <w:r>
        <w:rPr>
          <w:rFonts w:eastAsia="楷体_GB2312"/>
          <w:sz w:val="28"/>
          <w:vertAlign w:val="subscript"/>
        </w:rPr>
        <w:t>m</w:t>
      </w:r>
      <w:r>
        <w:rPr>
          <w:rFonts w:eastAsia="楷体_GB2312"/>
          <w:sz w:val="28"/>
        </w:rPr>
        <w:t>——最高出让年限的土地使用权价格；</w:t>
      </w:r>
    </w:p>
    <w:p w14:paraId="3FE73A10">
      <w:pPr>
        <w:spacing w:line="480" w:lineRule="exact"/>
        <w:ind w:firstLine="1540" w:firstLineChars="550"/>
        <w:rPr>
          <w:rFonts w:eastAsia="楷体_GB2312"/>
          <w:sz w:val="28"/>
        </w:rPr>
      </w:pPr>
      <w:r>
        <w:rPr>
          <w:rFonts w:eastAsia="楷体_GB2312"/>
          <w:sz w:val="28"/>
        </w:rPr>
        <w:t>n——实际出让年期或剩余使用年期；</w:t>
      </w:r>
    </w:p>
    <w:p w14:paraId="4B3231E0">
      <w:pPr>
        <w:spacing w:line="480" w:lineRule="exact"/>
        <w:ind w:firstLine="1400" w:firstLineChars="500"/>
        <w:rPr>
          <w:rFonts w:eastAsia="楷体_GB2312"/>
          <w:sz w:val="28"/>
        </w:rPr>
      </w:pPr>
      <w:r>
        <w:rPr>
          <w:rFonts w:eastAsia="楷体_GB2312"/>
          <w:sz w:val="28"/>
        </w:rPr>
        <w:t>P</w:t>
      </w:r>
      <w:r>
        <w:rPr>
          <w:rFonts w:eastAsia="楷体_GB2312"/>
          <w:sz w:val="28"/>
          <w:vertAlign w:val="subscript"/>
        </w:rPr>
        <w:t>ml</w:t>
      </w:r>
      <w:r>
        <w:rPr>
          <w:rFonts w:eastAsia="楷体_GB2312"/>
          <w:sz w:val="28"/>
        </w:rPr>
        <w:t>——有限年期出让地价或剩余使用年期转让地价；</w:t>
      </w:r>
    </w:p>
    <w:p w14:paraId="76B661B6">
      <w:pPr>
        <w:spacing w:line="480" w:lineRule="exact"/>
        <w:ind w:firstLine="1540" w:firstLineChars="550"/>
        <w:rPr>
          <w:rFonts w:eastAsia="楷体_GB2312"/>
          <w:sz w:val="28"/>
        </w:rPr>
      </w:pPr>
      <w:r>
        <w:rPr>
          <w:rFonts w:eastAsia="楷体_GB2312"/>
          <w:sz w:val="28"/>
        </w:rPr>
        <w:t>m——土地使用权出让法定最高年限；</w:t>
      </w:r>
    </w:p>
    <w:p w14:paraId="6E746FEC">
      <w:pPr>
        <w:spacing w:line="480" w:lineRule="exact"/>
        <w:ind w:firstLine="1540" w:firstLineChars="550"/>
        <w:rPr>
          <w:rFonts w:eastAsia="楷体_GB2312"/>
        </w:rPr>
      </w:pPr>
      <w:r>
        <w:rPr>
          <w:rFonts w:eastAsia="楷体_GB2312"/>
          <w:sz w:val="28"/>
        </w:rPr>
        <w:t>r</w:t>
      </w:r>
      <w:r>
        <w:rPr>
          <w:rFonts w:eastAsia="楷体_GB2312"/>
          <w:sz w:val="28"/>
          <w:vertAlign w:val="subscript"/>
        </w:rPr>
        <w:t>d</w:t>
      </w:r>
      <w:r>
        <w:rPr>
          <w:rFonts w:eastAsia="楷体_GB2312"/>
          <w:sz w:val="28"/>
        </w:rPr>
        <w:t>——土地还原率。</w:t>
      </w:r>
    </w:p>
    <w:p w14:paraId="1E863A38">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（2）无限年期土地使用权地价修正到法定最高出让年期的计算公式为：</w:t>
      </w:r>
    </w:p>
    <w:p w14:paraId="2DAD3F1A">
      <w:pPr>
        <w:spacing w:line="480" w:lineRule="exact"/>
        <w:jc w:val="center"/>
        <w:rPr>
          <w:rFonts w:eastAsia="楷体_GB2312"/>
          <w:sz w:val="28"/>
        </w:rPr>
      </w:pPr>
      <w:r>
        <w:rPr>
          <w:rFonts w:eastAsia="楷体_GB2312"/>
          <w:sz w:val="28"/>
        </w:rPr>
        <w:t>P</w:t>
      </w:r>
      <w:r>
        <w:rPr>
          <w:rFonts w:eastAsia="楷体_GB2312"/>
          <w:sz w:val="28"/>
          <w:vertAlign w:val="subscript"/>
        </w:rPr>
        <w:t>m</w:t>
      </w:r>
      <w:r>
        <w:rPr>
          <w:rFonts w:eastAsia="楷体_GB2312"/>
          <w:sz w:val="28"/>
        </w:rPr>
        <w:t>=P×[</w:t>
      </w:r>
      <w:r>
        <w:rPr>
          <w:rFonts w:eastAsia="楷体_GB2312"/>
          <w:position w:val="-12"/>
        </w:rPr>
        <w:object>
          <v:shape id="_x0000_i1130" o:spt="75" type="#_x0000_t75" style="height:19pt;width:67pt;" o:ole="t" filled="f" stroked="f" coordsize="21600,21600">
            <v:path/>
            <v:fill on="f" focussize="0,0"/>
            <v:stroke on="f"/>
            <v:imagedata r:id="rId252" o:title=""/>
            <o:lock v:ext="edit" aspectratio="t"/>
            <w10:wrap type="none"/>
            <w10:anchorlock/>
          </v:shape>
          <o:OLEObject Type="Embed" ProgID="Equation.3" ShapeID="_x0000_i1130" DrawAspect="Content" ObjectID="_1468075830" r:id="rId255">
            <o:LockedField>false</o:LockedField>
          </o:OLEObject>
        </w:object>
      </w:r>
      <w:r>
        <w:rPr>
          <w:rFonts w:eastAsia="楷体_GB2312"/>
          <w:sz w:val="28"/>
        </w:rPr>
        <w:t>]</w:t>
      </w:r>
    </w:p>
    <w:p w14:paraId="4747401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式中：P——无限年期土地使用权价格；</w:t>
      </w:r>
    </w:p>
    <w:p w14:paraId="3A520A3A">
      <w:pPr>
        <w:spacing w:line="480" w:lineRule="exact"/>
        <w:ind w:firstLine="1400" w:firstLineChars="500"/>
        <w:rPr>
          <w:rFonts w:eastAsia="楷体_GB2312"/>
          <w:sz w:val="28"/>
        </w:rPr>
      </w:pPr>
      <w:r>
        <w:rPr>
          <w:rFonts w:eastAsia="楷体_GB2312"/>
          <w:sz w:val="28"/>
        </w:rPr>
        <w:t>P</w:t>
      </w:r>
      <w:r>
        <w:rPr>
          <w:rFonts w:eastAsia="楷体_GB2312"/>
          <w:sz w:val="28"/>
          <w:vertAlign w:val="subscript"/>
        </w:rPr>
        <w:t>m</w:t>
      </w:r>
      <w:r>
        <w:rPr>
          <w:rFonts w:eastAsia="楷体_GB2312"/>
          <w:sz w:val="28"/>
        </w:rPr>
        <w:t>，r</w:t>
      </w:r>
      <w:r>
        <w:rPr>
          <w:rFonts w:eastAsia="楷体_GB2312"/>
          <w:sz w:val="28"/>
          <w:vertAlign w:val="subscript"/>
        </w:rPr>
        <w:t>d</w:t>
      </w:r>
      <w:r>
        <w:rPr>
          <w:rFonts w:eastAsia="楷体_GB2312"/>
          <w:sz w:val="28"/>
        </w:rPr>
        <w:t>，m含义同上。</w:t>
      </w:r>
    </w:p>
    <w:p w14:paraId="1D796EA1">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2、交易时间修正</w:t>
      </w:r>
    </w:p>
    <w:p w14:paraId="7A3A8B2B">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土地市场中的地价水平在不同时点是不相同的，为保证样点地价的可比性，需对不同年份发生的交易地价进行交易时间修正。修正公式如下：</w:t>
      </w:r>
    </w:p>
    <w:p w14:paraId="4A6F81C3">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估价期日地价=某宗地实际成交价×估价期日地价指数/某宗地交易时点地价指数。</w:t>
      </w:r>
    </w:p>
    <w:p w14:paraId="69179EE6">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3、容积率修正</w:t>
      </w:r>
    </w:p>
    <w:p w14:paraId="6167022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利用下式进行容积率修正。</w:t>
      </w:r>
    </w:p>
    <w:p w14:paraId="09DEBFD8">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标准容积率时地价=某一容积率下宗地交易价格÷容积率修正系数</w:t>
      </w:r>
    </w:p>
    <w:p w14:paraId="0251A26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式中容积率修正系数见本篇第二章第四节容积率修正系数部分。</w:t>
      </w:r>
    </w:p>
    <w:p w14:paraId="63302DD1">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4、其它修正</w:t>
      </w:r>
    </w:p>
    <w:p w14:paraId="67B157B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（1）瞒价修正</w:t>
      </w:r>
    </w:p>
    <w:p w14:paraId="7E4AB93A">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根据市场交易样点的交易双方情况对瞒价的可能性作出判断，并按土地区位条件的一致性或相似性，在外业调查时已对样点地价资料进行核查，对于明显偏离市场交易租金和售价水平的样点进行剔除，故在样点地价测算时不进行瞒价修正。</w:t>
      </w:r>
    </w:p>
    <w:p w14:paraId="6F1D3C5A">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（2）开发水平修正</w:t>
      </w:r>
    </w:p>
    <w:p w14:paraId="2AB581B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对于开发水平与基准地价设定开发水平不一致的样点地价进行开发水平修正，修正方法为在样点地价上加上或减去相差的开发费用。开发费用见本篇第二章第五节。</w:t>
      </w:r>
    </w:p>
    <w:p w14:paraId="3C314FCD">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（3）不规范市场交易样点的修正和剔除</w:t>
      </w:r>
    </w:p>
    <w:p w14:paraId="47309033">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对于明显不规范的市场交易行为的地价样点，首先在外业调查时考虑地价失真的原因，然后使用比较法进行样点地价的修正。在无法进行修正的情况下，加以剔除。</w:t>
      </w:r>
    </w:p>
    <w:p w14:paraId="7FF180FF">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二、样点地价分布图图形工作数据库的建立</w:t>
      </w:r>
    </w:p>
    <w:p w14:paraId="455F1636">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利用ARCGIS建立镇区图形工作数据库，利用Access关系型管理系统建立样点地价属性工作数据库。将图形数据库和属性数据库匹配后形成样点地价图图形工作数据库，按商服、住宅两种用途分别制作样点地价分布图，将均质地域界线及样点地价反映在样点地价图上。</w:t>
      </w:r>
    </w:p>
    <w:p w14:paraId="65BD9665">
      <w:pPr>
        <w:pStyle w:val="20"/>
        <w:spacing w:line="480" w:lineRule="exact"/>
        <w:ind w:firstLine="560" w:firstLineChars="200"/>
        <w:rPr>
          <w:rFonts w:ascii="Times New Roman" w:hAnsi="Times New Roman" w:eastAsia="楷体_GB2312" w:cs="Times New Roman"/>
          <w:sz w:val="28"/>
        </w:rPr>
      </w:pPr>
    </w:p>
    <w:p w14:paraId="1359F0D1">
      <w:pPr>
        <w:pStyle w:val="4"/>
        <w:numPr>
          <w:ilvl w:val="0"/>
          <w:numId w:val="0"/>
        </w:numPr>
        <w:spacing w:line="240" w:lineRule="auto"/>
        <w:jc w:val="center"/>
        <w:rPr>
          <w:rFonts w:eastAsia="仿宋_GB2312"/>
          <w:bCs w:val="0"/>
        </w:rPr>
      </w:pPr>
      <w:bookmarkStart w:id="80" w:name="_Toc62563691"/>
      <w:r>
        <w:rPr>
          <w:rFonts w:eastAsia="仿宋_GB2312"/>
          <w:bCs w:val="0"/>
        </w:rPr>
        <w:t>第三节  地价样点数据检验</w:t>
      </w:r>
      <w:bookmarkEnd w:id="80"/>
    </w:p>
    <w:p w14:paraId="5A7D5E68">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一、样点地价数据处理的检验方法</w:t>
      </w:r>
    </w:p>
    <w:p w14:paraId="5472EDD2">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1、地价样点同一总体检验</w:t>
      </w:r>
    </w:p>
    <w:p w14:paraId="16CD2958">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地价样点资料处理中的可变参数选择，可能造成地价水平的系统误差。在将不同方法处理所得的样点地价资料应用于基准地价评估时，进行了资料处理方法的检验。</w:t>
      </w:r>
    </w:p>
    <w:p w14:paraId="27AC8EED">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资料处理方法的检验首先满足有同样使用价值的土地，在相同的市场条件下，应该有同样的价格，即在同一个土地级别，不同方法处理的结果，应服从样本自同一总体的检验。按数理统计检验的要求，检验方法为总体秩和检验法，检验步骤如下：</w:t>
      </w:r>
    </w:p>
    <w:p w14:paraId="741790A1">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（1）计算秩数</w:t>
      </w:r>
    </w:p>
    <w:p w14:paraId="581C8E9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将同一区域中的地价，从小到大顺序编号作为秩数。如果同一地价有多个样点时，则以其秩数和平均值作为相同地价样点的秩数。</w:t>
      </w:r>
    </w:p>
    <w:p w14:paraId="1ABC5C5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（2）计算秩和与方差</w:t>
      </w:r>
    </w:p>
    <w:p w14:paraId="1B35B04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分别计算不同方法所估宗地地价的秩和Xi及其平方和</w:t>
      </w:r>
      <w:r>
        <w:rPr>
          <w:rFonts w:ascii="Times New Roman" w:hAnsi="Times New Roman" w:eastAsia="楷体_GB2312" w:cs="Times New Roman"/>
          <w:sz w:val="28"/>
        </w:rPr>
        <w:object>
          <v:shape id="_x0000_i1131" o:spt="75" type="#_x0000_t75" style="height:19pt;width:17pt;" o:ole="t" filled="f" stroked="f" coordsize="21600,21600">
            <v:path/>
            <v:fill on="f" alignshape="1" focussize="0,0"/>
            <v:stroke on="f"/>
            <v:imagedata r:id="rId257" o:title=""/>
            <o:lock v:ext="edit" aspectratio="t"/>
            <w10:wrap type="none"/>
            <w10:anchorlock/>
          </v:shape>
          <o:OLEObject Type="Embed" ProgID="Equation.3" ShapeID="_x0000_i1131" DrawAspect="Content" ObjectID="_1468075831" r:id="rId256">
            <o:LockedField>false</o:LockedField>
          </o:OLEObject>
        </w:object>
      </w:r>
      <w:r>
        <w:rPr>
          <w:rFonts w:ascii="Times New Roman" w:hAnsi="Times New Roman" w:eastAsia="楷体_GB2312" w:cs="Times New Roman"/>
          <w:sz w:val="28"/>
        </w:rPr>
        <w:t>；</w:t>
      </w:r>
    </w:p>
    <w:p w14:paraId="4554FBB3">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（3）计算统计量</w:t>
      </w:r>
    </w:p>
    <w:p w14:paraId="7435E64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假设对两种方法进行检验，如用租赁样点和买卖样点计算的宗地地价，则第二种宗地地价估价方法处理的资料其秩和统计量为：</w:t>
      </w:r>
    </w:p>
    <w:p w14:paraId="7892BA10">
      <w:pPr>
        <w:ind w:firstLine="560" w:firstLineChars="200"/>
        <w:rPr>
          <w:rFonts w:eastAsia="楷体_GB2312"/>
          <w:sz w:val="28"/>
        </w:rPr>
      </w:pPr>
      <w:r>
        <w:rPr>
          <w:rFonts w:eastAsia="楷体_GB2312"/>
          <w:sz w:val="28"/>
        </w:rPr>
        <w:t>X</w:t>
      </w:r>
      <w:r>
        <w:rPr>
          <w:rFonts w:eastAsia="楷体_GB2312"/>
          <w:sz w:val="28"/>
          <w:vertAlign w:val="subscript"/>
        </w:rPr>
        <w:t>2</w:t>
      </w:r>
      <w:r>
        <w:rPr>
          <w:rFonts w:eastAsia="楷体_GB2312"/>
          <w:sz w:val="28"/>
        </w:rPr>
        <w:t>=</w:t>
      </w:r>
      <w:r>
        <w:rPr>
          <w:rFonts w:eastAsia="楷体_GB2312"/>
          <w:position w:val="-24"/>
          <w:sz w:val="28"/>
        </w:rPr>
        <w:object>
          <v:shape id="_x0000_i1132" o:spt="75" type="#_x0000_t75" style="height:31.95pt;width:74pt;" o:ole="t" filled="f" stroked="f" coordsize="21600,21600">
            <v:path/>
            <v:fill on="f" alignshape="1" focussize="0,0"/>
            <v:stroke on="f"/>
            <v:imagedata r:id="rId259" o:title=""/>
            <o:lock v:ext="edit" aspectratio="t"/>
            <w10:wrap type="none"/>
            <w10:anchorlock/>
          </v:shape>
          <o:OLEObject Type="Embed" ProgID="Equation.3" ShapeID="_x0000_i1132" DrawAspect="Content" ObjectID="_1468075832" r:id="rId258">
            <o:LockedField>false</o:LockedField>
          </o:OLEObject>
        </w:object>
      </w:r>
      <w:r>
        <w:rPr>
          <w:rFonts w:eastAsia="楷体_GB2312"/>
          <w:sz w:val="28"/>
        </w:rPr>
        <w:t>；σ</w:t>
      </w:r>
      <w:r>
        <w:rPr>
          <w:rFonts w:eastAsia="楷体_GB2312"/>
          <w:position w:val="-10"/>
          <w:sz w:val="28"/>
        </w:rPr>
        <w:object>
          <v:shape id="_x0000_i1133" o:spt="75" type="#_x0000_t75" style="height:19.05pt;width:7pt;" o:ole="t" filled="f" o:preferrelative="t" stroked="f" coordsize="21600,21600">
            <v:path/>
            <v:fill on="f" alignshape="1" focussize="0,0"/>
            <v:stroke on="f"/>
            <v:imagedata r:id="rId261" o:title=""/>
            <o:lock v:ext="edit" aspectratio="t"/>
            <w10:wrap type="none"/>
            <w10:anchorlock/>
          </v:shape>
          <o:OLEObject Type="Embed" ProgID="Equation.3" ShapeID="_x0000_i1133" DrawAspect="Content" ObjectID="_1468075833" r:id="rId260">
            <o:LockedField>false</o:LockedField>
          </o:OLEObject>
        </w:object>
      </w:r>
      <w:r>
        <w:rPr>
          <w:rFonts w:eastAsia="楷体_GB2312"/>
          <w:sz w:val="28"/>
        </w:rPr>
        <w:t>=</w:t>
      </w:r>
      <w:r>
        <w:rPr>
          <w:rFonts w:eastAsia="楷体_GB2312"/>
          <w:position w:val="-24"/>
          <w:sz w:val="28"/>
        </w:rPr>
        <w:object>
          <v:shape id="_x0000_i1134" o:spt="75" type="#_x0000_t75" style="height:31.95pt;width:84pt;" o:ole="t" filled="f" stroked="f" coordsize="21600,21600">
            <v:path/>
            <v:fill on="f" alignshape="1" focussize="0,0"/>
            <v:stroke on="f"/>
            <v:imagedata r:id="rId263" o:title=""/>
            <o:lock v:ext="edit" aspectratio="t"/>
            <w10:wrap type="none"/>
            <w10:anchorlock/>
          </v:shape>
          <o:OLEObject Type="Embed" ProgID="Equation.3" ShapeID="_x0000_i1134" DrawAspect="Content" ObjectID="_1468075834" r:id="rId262">
            <o:LockedField>false</o:LockedField>
          </o:OLEObject>
        </w:object>
      </w:r>
    </w:p>
    <w:p w14:paraId="44637AE8">
      <w:pPr>
        <w:spacing w:line="480" w:lineRule="exact"/>
        <w:ind w:firstLine="560" w:firstLineChars="200"/>
        <w:rPr>
          <w:rFonts w:eastAsia="楷体_GB2312"/>
          <w:sz w:val="28"/>
        </w:rPr>
      </w:pPr>
      <w:r>
        <w:rPr>
          <w:rFonts w:eastAsia="楷体_GB2312"/>
          <w:sz w:val="28"/>
        </w:rPr>
        <w:t>式中： n</w:t>
      </w:r>
      <w:r>
        <w:rPr>
          <w:rFonts w:eastAsia="楷体_GB2312"/>
          <w:sz w:val="28"/>
          <w:vertAlign w:val="subscript"/>
        </w:rPr>
        <w:t>1</w:t>
      </w:r>
      <w:r>
        <w:rPr>
          <w:rFonts w:eastAsia="楷体_GB2312"/>
          <w:sz w:val="28"/>
        </w:rPr>
        <w:t>为第一种宗地地价处理方法的样本秩和，n</w:t>
      </w:r>
      <w:r>
        <w:rPr>
          <w:rFonts w:eastAsia="楷体_GB2312"/>
          <w:sz w:val="28"/>
          <w:vertAlign w:val="subscript"/>
        </w:rPr>
        <w:t>2</w:t>
      </w:r>
      <w:r>
        <w:rPr>
          <w:rFonts w:eastAsia="楷体_GB2312"/>
          <w:sz w:val="28"/>
        </w:rPr>
        <w:t>为第二种宗地地价估价处理方法的样本秩和。</w:t>
      </w:r>
    </w:p>
    <w:p w14:paraId="1AC03D66">
      <w:pPr>
        <w:spacing w:line="480" w:lineRule="exact"/>
        <w:ind w:firstLine="560" w:firstLineChars="200"/>
        <w:rPr>
          <w:rFonts w:eastAsia="楷体_GB2312"/>
          <w:sz w:val="28"/>
        </w:rPr>
      </w:pPr>
      <w:r>
        <w:rPr>
          <w:rFonts w:eastAsia="楷体_GB2312"/>
          <w:sz w:val="28"/>
        </w:rPr>
        <w:t>（4）统计判断</w:t>
      </w:r>
    </w:p>
    <w:p w14:paraId="13E53894">
      <w:pPr>
        <w:spacing w:line="480" w:lineRule="exact"/>
        <w:ind w:firstLine="560" w:firstLineChars="200"/>
        <w:rPr>
          <w:rFonts w:eastAsia="楷体_GB2312"/>
          <w:sz w:val="28"/>
        </w:rPr>
      </w:pPr>
      <w:r>
        <w:rPr>
          <w:rFonts w:eastAsia="楷体_GB2312"/>
          <w:sz w:val="28"/>
        </w:rPr>
        <w:t>按秩和检验法，对样本同一总体作出统计判断。</w:t>
      </w:r>
    </w:p>
    <w:p w14:paraId="1CD07203">
      <w:pPr>
        <w:spacing w:line="480" w:lineRule="exact"/>
        <w:ind w:firstLine="560" w:firstLineChars="200"/>
        <w:rPr>
          <w:rFonts w:eastAsia="楷体_GB2312"/>
          <w:sz w:val="28"/>
        </w:rPr>
      </w:pPr>
      <w:r>
        <w:rPr>
          <w:rFonts w:eastAsia="楷体_GB2312"/>
          <w:sz w:val="28"/>
        </w:rPr>
        <w:t>（5）检验判断</w:t>
      </w:r>
    </w:p>
    <w:p w14:paraId="1C5B5666">
      <w:pPr>
        <w:spacing w:line="480" w:lineRule="exact"/>
        <w:ind w:firstLine="560" w:firstLineChars="200"/>
        <w:rPr>
          <w:rFonts w:eastAsia="楷体_GB2312"/>
          <w:sz w:val="28"/>
        </w:rPr>
      </w:pPr>
      <w:r>
        <w:rPr>
          <w:rFonts w:eastAsia="楷体_GB2312"/>
          <w:sz w:val="28"/>
        </w:rPr>
        <w:t>当检验结果认为样本地价为不同总体的样本时，则检验土地级别划分准确性和不同地价计算方法可能产生的系统误差，经过调整后，重新进行检验，直到符合要求为止。</w:t>
      </w:r>
    </w:p>
    <w:p w14:paraId="1377C5FE">
      <w:pPr>
        <w:spacing w:line="480" w:lineRule="exact"/>
        <w:ind w:firstLine="562" w:firstLineChars="200"/>
        <w:rPr>
          <w:rFonts w:eastAsia="楷体_GB2312"/>
          <w:b/>
          <w:sz w:val="28"/>
        </w:rPr>
      </w:pPr>
      <w:r>
        <w:rPr>
          <w:rFonts w:eastAsia="楷体_GB2312"/>
          <w:b/>
          <w:sz w:val="28"/>
        </w:rPr>
        <w:t>2、样本总体分布类型检验</w:t>
      </w:r>
    </w:p>
    <w:p w14:paraId="1A802D87">
      <w:pPr>
        <w:spacing w:line="480" w:lineRule="exact"/>
        <w:ind w:firstLine="560" w:firstLineChars="200"/>
        <w:rPr>
          <w:rFonts w:eastAsia="楷体_GB2312"/>
          <w:sz w:val="28"/>
        </w:rPr>
      </w:pPr>
      <w:r>
        <w:rPr>
          <w:rFonts w:eastAsia="楷体_GB2312"/>
          <w:sz w:val="28"/>
        </w:rPr>
        <w:t>样本总体分布类型检验以商服、住宅用地土地级别为单元，按土地分类整理数据的归并结果，对每级土地商服、住宅用地地价的样本数据分别进行总体分布类型检验，样本总体分布类型检验采用X</w:t>
      </w:r>
      <w:r>
        <w:rPr>
          <w:rFonts w:eastAsia="楷体_GB2312"/>
          <w:sz w:val="28"/>
          <w:vertAlign w:val="superscript"/>
        </w:rPr>
        <w:t>2</w:t>
      </w:r>
      <w:r>
        <w:rPr>
          <w:rFonts w:eastAsia="楷体_GB2312"/>
          <w:sz w:val="28"/>
        </w:rPr>
        <w:t>检验法。</w:t>
      </w:r>
    </w:p>
    <w:p w14:paraId="2A8AB022">
      <w:pPr>
        <w:spacing w:line="480" w:lineRule="exact"/>
        <w:ind w:firstLine="560" w:firstLineChars="200"/>
        <w:rPr>
          <w:rFonts w:eastAsia="楷体_GB2312"/>
          <w:sz w:val="28"/>
        </w:rPr>
      </w:pPr>
      <w:r>
        <w:rPr>
          <w:rFonts w:eastAsia="楷体_GB2312"/>
          <w:sz w:val="28"/>
        </w:rPr>
        <w:t>X</w:t>
      </w:r>
      <w:r>
        <w:rPr>
          <w:rFonts w:eastAsia="楷体_GB2312"/>
          <w:sz w:val="28"/>
          <w:vertAlign w:val="superscript"/>
        </w:rPr>
        <w:t>2</w:t>
      </w:r>
      <w:r>
        <w:rPr>
          <w:rFonts w:eastAsia="楷体_GB2312"/>
          <w:sz w:val="28"/>
        </w:rPr>
        <w:t>检验法是检验分布函数与理论分布是否吻合的方法，它可以用于检验总体是否服从正态分布，也可用来检验抽样总体是否服从任何一个预先给定的分布。检验的具体步骤为：</w:t>
      </w:r>
    </w:p>
    <w:p w14:paraId="6EEC2559">
      <w:pPr>
        <w:spacing w:line="480" w:lineRule="exact"/>
        <w:ind w:firstLine="560" w:firstLineChars="200"/>
        <w:rPr>
          <w:rFonts w:eastAsia="楷体_GB2312"/>
          <w:sz w:val="28"/>
        </w:rPr>
      </w:pPr>
      <w:r>
        <w:rPr>
          <w:rFonts w:eastAsia="楷体_GB2312"/>
          <w:sz w:val="28"/>
        </w:rPr>
        <w:t>（1）数据分组</w:t>
      </w:r>
    </w:p>
    <w:p w14:paraId="16BF07D3">
      <w:pPr>
        <w:spacing w:line="480" w:lineRule="exact"/>
        <w:ind w:firstLine="560" w:firstLineChars="200"/>
        <w:rPr>
          <w:rFonts w:eastAsia="楷体_GB2312"/>
          <w:sz w:val="28"/>
        </w:rPr>
      </w:pPr>
      <w:r>
        <w:rPr>
          <w:rFonts w:eastAsia="楷体_GB2312"/>
          <w:sz w:val="28"/>
        </w:rPr>
        <w:t>根据样本观测数值的范围划分为K组。</w:t>
      </w:r>
    </w:p>
    <w:p w14:paraId="41CAC5C1">
      <w:pPr>
        <w:spacing w:line="480" w:lineRule="exact"/>
        <w:ind w:firstLine="560" w:firstLineChars="200"/>
        <w:rPr>
          <w:rFonts w:eastAsia="楷体_GB2312"/>
          <w:sz w:val="28"/>
        </w:rPr>
      </w:pPr>
      <w:r>
        <w:rPr>
          <w:rFonts w:eastAsia="楷体_GB2312"/>
          <w:sz w:val="28"/>
        </w:rPr>
        <w:t>（2）求频率</w:t>
      </w:r>
    </w:p>
    <w:p w14:paraId="4EAD90A5">
      <w:pPr>
        <w:spacing w:line="480" w:lineRule="exact"/>
        <w:ind w:firstLine="560" w:firstLineChars="200"/>
        <w:rPr>
          <w:rFonts w:eastAsia="楷体_GB2312"/>
          <w:sz w:val="28"/>
        </w:rPr>
      </w:pPr>
      <w:r>
        <w:rPr>
          <w:rFonts w:eastAsia="楷体_GB2312"/>
          <w:sz w:val="28"/>
        </w:rPr>
        <w:t>求X</w:t>
      </w:r>
      <w:r>
        <w:rPr>
          <w:rFonts w:eastAsia="楷体_GB2312"/>
          <w:sz w:val="28"/>
          <w:vertAlign w:val="subscript"/>
        </w:rPr>
        <w:t>i</w:t>
      </w:r>
      <w:r>
        <w:rPr>
          <w:rFonts w:eastAsia="楷体_GB2312"/>
          <w:sz w:val="28"/>
        </w:rPr>
        <w:t>落在各级的频数f</w:t>
      </w:r>
      <w:r>
        <w:rPr>
          <w:rFonts w:eastAsia="楷体_GB2312"/>
          <w:sz w:val="28"/>
          <w:vertAlign w:val="subscript"/>
        </w:rPr>
        <w:t>i</w:t>
      </w:r>
      <w:r>
        <w:rPr>
          <w:rFonts w:eastAsia="楷体_GB2312"/>
          <w:sz w:val="28"/>
        </w:rPr>
        <w:t>和频率f</w:t>
      </w:r>
      <w:r>
        <w:rPr>
          <w:rFonts w:eastAsia="楷体_GB2312"/>
          <w:sz w:val="28"/>
          <w:vertAlign w:val="subscript"/>
        </w:rPr>
        <w:t>i</w:t>
      </w:r>
      <w:r>
        <w:rPr>
          <w:rFonts w:eastAsia="楷体_GB2312"/>
          <w:sz w:val="28"/>
        </w:rPr>
        <w:t>/n；</w:t>
      </w:r>
    </w:p>
    <w:p w14:paraId="313A1F20">
      <w:pPr>
        <w:spacing w:line="480" w:lineRule="exact"/>
        <w:ind w:firstLine="560" w:firstLineChars="200"/>
        <w:rPr>
          <w:rFonts w:eastAsia="楷体_GB2312"/>
          <w:sz w:val="28"/>
        </w:rPr>
      </w:pPr>
      <w:r>
        <w:rPr>
          <w:rFonts w:eastAsia="楷体_GB2312"/>
          <w:sz w:val="28"/>
        </w:rPr>
        <w:t>（3）求理论概率P</w:t>
      </w:r>
      <w:r>
        <w:rPr>
          <w:rFonts w:eastAsia="楷体_GB2312"/>
          <w:sz w:val="28"/>
          <w:vertAlign w:val="subscript"/>
        </w:rPr>
        <w:t>i</w:t>
      </w:r>
    </w:p>
    <w:p w14:paraId="779FDFBA">
      <w:pPr>
        <w:spacing w:line="480" w:lineRule="exact"/>
        <w:ind w:firstLine="560" w:firstLineChars="200"/>
        <w:rPr>
          <w:rFonts w:eastAsia="楷体_GB2312"/>
          <w:sz w:val="28"/>
        </w:rPr>
      </w:pPr>
      <w:r>
        <w:rPr>
          <w:rFonts w:eastAsia="楷体_GB2312"/>
          <w:sz w:val="28"/>
        </w:rPr>
        <w:t>当H</w:t>
      </w:r>
      <w:r>
        <w:rPr>
          <w:rFonts w:eastAsia="楷体_GB2312"/>
          <w:sz w:val="28"/>
          <w:vertAlign w:val="subscript"/>
        </w:rPr>
        <w:t>o</w:t>
      </w:r>
      <w:r>
        <w:rPr>
          <w:rFonts w:eastAsia="楷体_GB2312"/>
          <w:sz w:val="28"/>
        </w:rPr>
        <w:t>成立时，X</w:t>
      </w:r>
      <w:r>
        <w:rPr>
          <w:rFonts w:eastAsia="楷体_GB2312"/>
          <w:sz w:val="28"/>
          <w:vertAlign w:val="subscript"/>
        </w:rPr>
        <w:t>i</w:t>
      </w:r>
      <w:r>
        <w:rPr>
          <w:rFonts w:eastAsia="楷体_GB2312"/>
          <w:sz w:val="28"/>
        </w:rPr>
        <w:t>出现在（b</w:t>
      </w:r>
      <w:r>
        <w:rPr>
          <w:rFonts w:eastAsia="楷体_GB2312"/>
          <w:sz w:val="28"/>
          <w:vertAlign w:val="subscript"/>
        </w:rPr>
        <w:t>i-1</w:t>
      </w:r>
      <w:r>
        <w:rPr>
          <w:rFonts w:eastAsia="楷体_GB2312"/>
          <w:sz w:val="28"/>
        </w:rPr>
        <w:t>，b</w:t>
      </w:r>
      <w:r>
        <w:rPr>
          <w:rFonts w:eastAsia="楷体_GB2312"/>
          <w:sz w:val="28"/>
          <w:vertAlign w:val="subscript"/>
        </w:rPr>
        <w:t>i</w:t>
      </w:r>
      <w:r>
        <w:rPr>
          <w:rFonts w:eastAsia="楷体_GB2312"/>
          <w:sz w:val="28"/>
        </w:rPr>
        <w:t>）内的理论概率P</w:t>
      </w:r>
      <w:r>
        <w:rPr>
          <w:rFonts w:eastAsia="楷体_GB2312"/>
          <w:sz w:val="28"/>
          <w:vertAlign w:val="subscript"/>
        </w:rPr>
        <w:t>i</w:t>
      </w:r>
      <w:r>
        <w:rPr>
          <w:rFonts w:eastAsia="楷体_GB2312"/>
          <w:sz w:val="28"/>
        </w:rPr>
        <w:t>为：</w:t>
      </w:r>
    </w:p>
    <w:p w14:paraId="29A9F8FD">
      <w:pPr>
        <w:ind w:firstLine="560" w:firstLineChars="200"/>
        <w:rPr>
          <w:rFonts w:eastAsia="楷体_GB2312"/>
          <w:sz w:val="28"/>
        </w:rPr>
      </w:pPr>
      <w:r>
        <w:rPr>
          <w:rFonts w:eastAsia="楷体_GB2312"/>
          <w:sz w:val="28"/>
        </w:rPr>
        <w:t>P</w:t>
      </w:r>
      <w:r>
        <w:rPr>
          <w:rFonts w:eastAsia="楷体_GB2312"/>
          <w:sz w:val="28"/>
          <w:vertAlign w:val="subscript"/>
        </w:rPr>
        <w:t>i</w:t>
      </w:r>
      <w:r>
        <w:rPr>
          <w:rFonts w:eastAsia="楷体_GB2312"/>
          <w:sz w:val="28"/>
        </w:rPr>
        <w:t>=</w:t>
      </w:r>
      <w:r>
        <w:rPr>
          <w:rFonts w:eastAsia="楷体_GB2312"/>
          <w:position w:val="-28"/>
          <w:sz w:val="28"/>
        </w:rPr>
        <w:object>
          <v:shape id="_x0000_i1135" o:spt="75" type="#_x0000_t75" style="height:34pt;width:164pt;" o:ole="t" filled="f" stroked="f" coordsize="21600,21600">
            <v:path/>
            <v:fill on="f" alignshape="1" focussize="0,0"/>
            <v:stroke on="f"/>
            <v:imagedata r:id="rId265" o:title=""/>
            <o:lock v:ext="edit" aspectratio="t"/>
            <w10:wrap type="none"/>
            <w10:anchorlock/>
          </v:shape>
          <o:OLEObject Type="Embed" ProgID="Equation.3" ShapeID="_x0000_i1135" DrawAspect="Content" ObjectID="_1468075835" r:id="rId264">
            <o:LockedField>false</o:LockedField>
          </o:OLEObject>
        </w:object>
      </w:r>
      <w:r>
        <w:rPr>
          <w:rFonts w:eastAsia="楷体_GB2312"/>
          <w:sz w:val="28"/>
        </w:rPr>
        <w:t>，s</w:t>
      </w:r>
      <w:r>
        <w:rPr>
          <w:rFonts w:eastAsia="楷体_GB2312"/>
          <w:sz w:val="28"/>
          <w:vertAlign w:val="superscript"/>
        </w:rPr>
        <w:t>2</w:t>
      </w:r>
      <w:r>
        <w:rPr>
          <w:rFonts w:eastAsia="楷体_GB2312"/>
          <w:sz w:val="28"/>
        </w:rPr>
        <w:t>=</w:t>
      </w:r>
      <w:r>
        <w:rPr>
          <w:rFonts w:eastAsia="楷体_GB2312"/>
          <w:position w:val="-28"/>
          <w:sz w:val="28"/>
        </w:rPr>
        <w:object>
          <v:shape id="_x0000_i1136" o:spt="75" type="#_x0000_t75" style="height:34pt;width:91pt;" o:ole="t" filled="f" stroked="f" coordsize="21600,21600">
            <v:path/>
            <v:fill on="f" alignshape="1" focussize="0,0"/>
            <v:stroke on="f"/>
            <v:imagedata r:id="rId267" o:title=""/>
            <o:lock v:ext="edit" aspectratio="t"/>
            <w10:wrap type="none"/>
            <w10:anchorlock/>
          </v:shape>
          <o:OLEObject Type="Embed" ProgID="Equation.3" ShapeID="_x0000_i1136" DrawAspect="Content" ObjectID="_1468075836" r:id="rId266">
            <o:LockedField>false</o:LockedField>
          </o:OLEObject>
        </w:object>
      </w:r>
    </w:p>
    <w:p w14:paraId="576651DF">
      <w:pPr>
        <w:spacing w:line="480" w:lineRule="exact"/>
        <w:ind w:firstLine="560" w:firstLineChars="200"/>
        <w:rPr>
          <w:rFonts w:eastAsia="楷体_GB2312"/>
          <w:sz w:val="28"/>
        </w:rPr>
      </w:pPr>
      <w:r>
        <w:rPr>
          <w:rFonts w:eastAsia="楷体_GB2312"/>
          <w:sz w:val="28"/>
        </w:rPr>
        <w:t>（4）计算统计量X</w:t>
      </w:r>
      <w:r>
        <w:rPr>
          <w:rFonts w:eastAsia="楷体_GB2312"/>
          <w:sz w:val="28"/>
          <w:vertAlign w:val="superscript"/>
        </w:rPr>
        <w:t>2</w:t>
      </w:r>
    </w:p>
    <w:p w14:paraId="2D5869BD">
      <w:pPr>
        <w:ind w:firstLine="560" w:firstLineChars="200"/>
        <w:rPr>
          <w:rFonts w:eastAsia="楷体_GB2312"/>
          <w:sz w:val="28"/>
        </w:rPr>
      </w:pPr>
      <w:r>
        <w:rPr>
          <w:rFonts w:eastAsia="楷体_GB2312"/>
          <w:sz w:val="28"/>
        </w:rPr>
        <w:t>X</w:t>
      </w:r>
      <w:r>
        <w:rPr>
          <w:rFonts w:eastAsia="楷体_GB2312"/>
          <w:sz w:val="28"/>
          <w:vertAlign w:val="superscript"/>
        </w:rPr>
        <w:t>2</w:t>
      </w:r>
      <w:r>
        <w:rPr>
          <w:rFonts w:eastAsia="楷体_GB2312"/>
          <w:sz w:val="28"/>
        </w:rPr>
        <w:t>=</w:t>
      </w:r>
      <w:r>
        <w:rPr>
          <w:rFonts w:eastAsia="楷体_GB2312"/>
          <w:position w:val="-30"/>
          <w:sz w:val="28"/>
        </w:rPr>
        <w:object>
          <v:shape id="_x0000_i1137" o:spt="75" type="#_x0000_t75" style="height:36pt;width:72pt;" o:ole="t" filled="f" stroked="f" coordsize="21600,21600">
            <v:path/>
            <v:fill on="f" alignshape="1" focussize="0,0"/>
            <v:stroke on="f"/>
            <v:imagedata r:id="rId269" o:title=""/>
            <o:lock v:ext="edit" aspectratio="t"/>
            <w10:wrap type="none"/>
            <w10:anchorlock/>
          </v:shape>
          <o:OLEObject Type="Embed" ProgID="Equation.3" ShapeID="_x0000_i1137" DrawAspect="Content" ObjectID="_1468075837" r:id="rId268">
            <o:LockedField>false</o:LockedField>
          </o:OLEObject>
        </w:object>
      </w:r>
    </w:p>
    <w:p w14:paraId="1F9B829F">
      <w:pPr>
        <w:spacing w:line="480" w:lineRule="exact"/>
        <w:ind w:firstLine="560" w:firstLineChars="200"/>
        <w:rPr>
          <w:rFonts w:eastAsia="楷体_GB2312"/>
          <w:sz w:val="28"/>
        </w:rPr>
      </w:pPr>
      <w:r>
        <w:rPr>
          <w:rFonts w:eastAsia="楷体_GB2312"/>
          <w:sz w:val="28"/>
        </w:rPr>
        <w:t>（5）求出拒绝域</w:t>
      </w:r>
    </w:p>
    <w:p w14:paraId="25AB425F">
      <w:pPr>
        <w:spacing w:line="480" w:lineRule="exact"/>
        <w:ind w:firstLine="560" w:firstLineChars="200"/>
        <w:rPr>
          <w:rFonts w:eastAsia="楷体_GB2312"/>
          <w:sz w:val="28"/>
        </w:rPr>
      </w:pPr>
      <w:r>
        <w:rPr>
          <w:rFonts w:eastAsia="楷体_GB2312"/>
          <w:sz w:val="28"/>
        </w:rPr>
        <w:t>根据给定的显著水平X</w:t>
      </w:r>
      <w:r>
        <w:rPr>
          <w:rFonts w:eastAsia="楷体_GB2312"/>
          <w:sz w:val="28"/>
          <w:vertAlign w:val="subscript"/>
        </w:rPr>
        <w:t>i</w:t>
      </w:r>
      <w:r>
        <w:rPr>
          <w:rFonts w:eastAsia="楷体_GB2312"/>
          <w:sz w:val="28"/>
        </w:rPr>
        <w:t>和自由度k-r-1，查X</w:t>
      </w:r>
      <w:r>
        <w:rPr>
          <w:rFonts w:eastAsia="楷体_GB2312"/>
          <w:sz w:val="28"/>
          <w:vertAlign w:val="superscript"/>
        </w:rPr>
        <w:t>2</w:t>
      </w:r>
      <w:r>
        <w:rPr>
          <w:rFonts w:eastAsia="楷体_GB2312"/>
          <w:sz w:val="28"/>
        </w:rPr>
        <w:t>分布表可得临界值X</w:t>
      </w:r>
      <w:r>
        <w:rPr>
          <w:rFonts w:eastAsia="楷体_GB2312"/>
          <w:sz w:val="28"/>
          <w:vertAlign w:val="superscript"/>
        </w:rPr>
        <w:t>2</w:t>
      </w:r>
      <w:r>
        <w:rPr>
          <w:rFonts w:eastAsia="楷体_GB2312"/>
          <w:sz w:val="28"/>
        </w:rPr>
        <w:t>（k-r-1），统计量X</w:t>
      </w:r>
      <w:r>
        <w:rPr>
          <w:rFonts w:eastAsia="楷体_GB2312"/>
          <w:sz w:val="28"/>
          <w:vertAlign w:val="superscript"/>
        </w:rPr>
        <w:t>2</w:t>
      </w:r>
      <w:r>
        <w:rPr>
          <w:rFonts w:eastAsia="楷体_GB2312"/>
          <w:sz w:val="28"/>
        </w:rPr>
        <w:t>的拒绝域为X</w:t>
      </w:r>
      <w:r>
        <w:rPr>
          <w:rFonts w:eastAsia="楷体_GB2312"/>
          <w:sz w:val="28"/>
          <w:vertAlign w:val="superscript"/>
        </w:rPr>
        <w:t>2</w:t>
      </w:r>
      <w:r>
        <w:rPr>
          <w:rFonts w:eastAsia="楷体_GB2312"/>
          <w:sz w:val="28"/>
        </w:rPr>
        <w:t>&gt;X</w:t>
      </w:r>
      <w:r>
        <w:rPr>
          <w:rFonts w:eastAsia="楷体_GB2312"/>
          <w:position w:val="-10"/>
          <w:sz w:val="28"/>
        </w:rPr>
        <w:object>
          <v:shape id="_x0000_i1138" o:spt="75" type="#_x0000_t75" style="height:19.05pt;width:18.1pt;" o:ole="t" filled="f" o:preferrelative="t" stroked="f" coordsize="21600,21600">
            <v:path/>
            <v:fill on="f" alignshape="1" focussize="0,0"/>
            <v:stroke on="f"/>
            <v:imagedata r:id="rId271" o:title=""/>
            <o:lock v:ext="edit" aspectratio="t"/>
            <w10:wrap type="none"/>
            <w10:anchorlock/>
          </v:shape>
          <o:OLEObject Type="Embed" ProgID="Equation.3" ShapeID="_x0000_i1138" DrawAspect="Content" ObjectID="_1468075838" r:id="rId270">
            <o:LockedField>false</o:LockedField>
          </o:OLEObject>
        </w:object>
      </w:r>
      <w:r>
        <w:rPr>
          <w:rFonts w:eastAsia="楷体_GB2312"/>
          <w:sz w:val="28"/>
        </w:rPr>
        <w:t>（k-r-1）；</w:t>
      </w:r>
    </w:p>
    <w:p w14:paraId="3F303C22">
      <w:pPr>
        <w:spacing w:line="480" w:lineRule="exact"/>
        <w:ind w:firstLine="560" w:firstLineChars="200"/>
        <w:rPr>
          <w:rFonts w:eastAsia="楷体_GB2312"/>
          <w:sz w:val="28"/>
        </w:rPr>
      </w:pPr>
      <w:r>
        <w:rPr>
          <w:rFonts w:eastAsia="楷体_GB2312"/>
          <w:sz w:val="28"/>
        </w:rPr>
        <w:t>（6）作出判断</w:t>
      </w:r>
    </w:p>
    <w:p w14:paraId="094D0EC8">
      <w:pPr>
        <w:spacing w:line="480" w:lineRule="exact"/>
        <w:ind w:firstLine="560" w:firstLineChars="200"/>
        <w:rPr>
          <w:rFonts w:eastAsia="楷体_GB2312"/>
          <w:sz w:val="28"/>
        </w:rPr>
      </w:pPr>
      <w:r>
        <w:rPr>
          <w:rFonts w:eastAsia="楷体_GB2312"/>
          <w:sz w:val="28"/>
        </w:rPr>
        <w:t>若X</w:t>
      </w:r>
      <w:r>
        <w:rPr>
          <w:rFonts w:eastAsia="楷体_GB2312"/>
          <w:sz w:val="28"/>
          <w:vertAlign w:val="superscript"/>
        </w:rPr>
        <w:t>2</w:t>
      </w:r>
      <w:r>
        <w:rPr>
          <w:rFonts w:eastAsia="楷体_GB2312"/>
          <w:sz w:val="28"/>
        </w:rPr>
        <w:t>&gt;X</w:t>
      </w:r>
      <w:r>
        <w:rPr>
          <w:rFonts w:eastAsia="楷体_GB2312"/>
          <w:position w:val="-12"/>
          <w:sz w:val="28"/>
        </w:rPr>
        <w:object>
          <v:shape id="_x0000_i1139" o:spt="75" type="#_x0000_t75" style="height:19pt;width:8pt;" o:ole="t" filled="f" stroked="f" coordsize="21600,21600">
            <v:path/>
            <v:fill on="f" alignshape="1" focussize="0,0"/>
            <v:stroke on="f"/>
            <v:imagedata r:id="rId273" o:title=""/>
            <o:lock v:ext="edit" aspectratio="t"/>
            <w10:wrap type="none"/>
            <w10:anchorlock/>
          </v:shape>
          <o:OLEObject Type="Embed" ProgID="Equation.3" ShapeID="_x0000_i1139" DrawAspect="Content" ObjectID="_1468075839" r:id="rId272">
            <o:LockedField>false</o:LockedField>
          </o:OLEObject>
        </w:object>
      </w:r>
      <w:r>
        <w:rPr>
          <w:rFonts w:eastAsia="楷体_GB2312"/>
          <w:sz w:val="28"/>
        </w:rPr>
        <w:t>（k-r-1）则拒绝H</w:t>
      </w:r>
      <w:r>
        <w:rPr>
          <w:rFonts w:eastAsia="楷体_GB2312"/>
          <w:sz w:val="28"/>
          <w:vertAlign w:val="subscript"/>
        </w:rPr>
        <w:t>o</w:t>
      </w:r>
      <w:r>
        <w:rPr>
          <w:rFonts w:eastAsia="楷体_GB2312"/>
          <w:sz w:val="28"/>
        </w:rPr>
        <w:t>；否则接受H</w:t>
      </w:r>
      <w:r>
        <w:rPr>
          <w:rFonts w:eastAsia="楷体_GB2312"/>
          <w:sz w:val="28"/>
          <w:vertAlign w:val="subscript"/>
        </w:rPr>
        <w:t>o</w:t>
      </w:r>
      <w:r>
        <w:rPr>
          <w:rFonts w:eastAsia="楷体_GB2312"/>
          <w:sz w:val="28"/>
        </w:rPr>
        <w:t>。</w:t>
      </w:r>
    </w:p>
    <w:p w14:paraId="0570B17D">
      <w:pPr>
        <w:spacing w:line="480" w:lineRule="exact"/>
        <w:ind w:firstLine="560" w:firstLineChars="200"/>
        <w:rPr>
          <w:rFonts w:eastAsia="楷体_GB2312"/>
          <w:sz w:val="28"/>
        </w:rPr>
      </w:pPr>
      <w:r>
        <w:rPr>
          <w:rFonts w:eastAsia="楷体_GB2312"/>
          <w:sz w:val="28"/>
        </w:rPr>
        <w:t>要求样本容量n不小于30，且每一个np</w:t>
      </w:r>
      <w:r>
        <w:rPr>
          <w:rFonts w:eastAsia="楷体_GB2312"/>
          <w:sz w:val="28"/>
          <w:vertAlign w:val="subscript"/>
        </w:rPr>
        <w:t>i</w:t>
      </w:r>
      <w:r>
        <w:rPr>
          <w:rFonts w:eastAsia="楷体_GB2312"/>
          <w:sz w:val="28"/>
        </w:rPr>
        <w:t>不小于3，否则，则适当合并区间。</w:t>
      </w:r>
    </w:p>
    <w:p w14:paraId="26EAAF16">
      <w:pPr>
        <w:spacing w:line="480" w:lineRule="exact"/>
        <w:ind w:firstLine="560" w:firstLineChars="200"/>
        <w:rPr>
          <w:rFonts w:eastAsia="楷体_GB2312"/>
          <w:sz w:val="28"/>
        </w:rPr>
      </w:pPr>
      <w:r>
        <w:rPr>
          <w:rFonts w:eastAsia="楷体_GB2312"/>
          <w:sz w:val="28"/>
        </w:rPr>
        <w:t>（7）剔除异常数据</w:t>
      </w:r>
    </w:p>
    <w:p w14:paraId="479DEC8E">
      <w:pPr>
        <w:spacing w:line="480" w:lineRule="exact"/>
        <w:ind w:firstLine="560" w:firstLineChars="200"/>
        <w:rPr>
          <w:rFonts w:eastAsia="楷体_GB2312"/>
          <w:sz w:val="28"/>
        </w:rPr>
      </w:pPr>
      <w:r>
        <w:rPr>
          <w:rFonts w:eastAsia="楷体_GB2312"/>
          <w:sz w:val="28"/>
        </w:rPr>
        <w:t>在样本总体分布类型检验的基础上剔除样本数据的异常值。检验数据准确合理性的方法采用数理统计方法，当样本总体分布属正态分布时，采用t检验法，而对非正态分布函数，采用2倍方差剔除法。</w:t>
      </w:r>
    </w:p>
    <w:p w14:paraId="525FB0DC">
      <w:pPr>
        <w:spacing w:line="480" w:lineRule="exact"/>
        <w:ind w:firstLine="562" w:firstLineChars="200"/>
        <w:rPr>
          <w:rFonts w:eastAsia="楷体_GB2312"/>
          <w:b/>
          <w:sz w:val="28"/>
        </w:rPr>
      </w:pPr>
      <w:r>
        <w:rPr>
          <w:rFonts w:eastAsia="楷体_GB2312"/>
          <w:b/>
          <w:sz w:val="28"/>
        </w:rPr>
        <w:t>3、样点地价数据整理</w:t>
      </w:r>
    </w:p>
    <w:p w14:paraId="236A5CC9">
      <w:pPr>
        <w:spacing w:line="480" w:lineRule="exact"/>
        <w:ind w:firstLine="560" w:firstLineChars="200"/>
        <w:rPr>
          <w:rFonts w:eastAsia="楷体_GB2312"/>
          <w:sz w:val="28"/>
        </w:rPr>
      </w:pPr>
      <w:r>
        <w:rPr>
          <w:rFonts w:eastAsia="楷体_GB2312"/>
          <w:sz w:val="28"/>
        </w:rPr>
        <w:t>将经过修正及样本数据处理后的样点，按土地级、土地用途和资料交易方式进行整理，并建立相应的工作数据库。</w:t>
      </w:r>
    </w:p>
    <w:p w14:paraId="09AD432E">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二、样点地价数据处理</w:t>
      </w:r>
    </w:p>
    <w:p w14:paraId="4D85D570">
      <w:pPr>
        <w:spacing w:line="480" w:lineRule="exact"/>
        <w:ind w:firstLine="560" w:firstLineChars="200"/>
        <w:rPr>
          <w:rFonts w:eastAsia="楷体_GB2312"/>
          <w:sz w:val="28"/>
        </w:rPr>
      </w:pPr>
      <w:r>
        <w:rPr>
          <w:rFonts w:eastAsia="楷体_GB2312"/>
          <w:sz w:val="28"/>
        </w:rPr>
        <w:t>1、商业中心区的地价最高区段，单独予以表示。</w:t>
      </w:r>
    </w:p>
    <w:p w14:paraId="53C2AB2C">
      <w:pPr>
        <w:spacing w:line="480" w:lineRule="exact"/>
        <w:ind w:firstLine="560" w:firstLineChars="200"/>
        <w:rPr>
          <w:rFonts w:eastAsia="楷体_GB2312"/>
          <w:sz w:val="28"/>
        </w:rPr>
      </w:pPr>
      <w:r>
        <w:rPr>
          <w:rFonts w:eastAsia="楷体_GB2312"/>
          <w:sz w:val="28"/>
        </w:rPr>
        <w:t>2、相同用途的样点地价，在确定方差检验精度后，精度以外的数据作为异常数据剔除。</w:t>
      </w:r>
    </w:p>
    <w:p w14:paraId="637026CB">
      <w:pPr>
        <w:spacing w:line="480" w:lineRule="exact"/>
        <w:ind w:firstLine="560" w:firstLineChars="200"/>
        <w:rPr>
          <w:rFonts w:eastAsia="楷体_GB2312"/>
          <w:sz w:val="28"/>
        </w:rPr>
      </w:pPr>
      <w:r>
        <w:rPr>
          <w:rFonts w:eastAsia="楷体_GB2312"/>
          <w:sz w:val="28"/>
        </w:rPr>
        <w:t>3、同一均质地域中，不同交易方式下计算的样点地价，当总体不一致时，以最有代表型、样点数量多的作为基准地价评估的基础资料。</w:t>
      </w:r>
    </w:p>
    <w:p w14:paraId="76E1AFC8">
      <w:pPr>
        <w:rPr>
          <w:rFonts w:eastAsia="楷体_GB2312"/>
        </w:rPr>
        <w:sectPr>
          <w:pgSz w:w="11906" w:h="16838"/>
          <w:pgMar w:top="1701" w:right="1418" w:bottom="1418" w:left="1701" w:header="1134" w:footer="992" w:gutter="0"/>
          <w:cols w:space="720" w:num="1"/>
          <w:docGrid w:linePitch="12" w:charSpace="0"/>
        </w:sectPr>
      </w:pPr>
      <w:bookmarkStart w:id="81" w:name="_Toc152124358"/>
    </w:p>
    <w:p w14:paraId="45DE0ED8">
      <w:pPr>
        <w:pStyle w:val="3"/>
        <w:spacing w:line="240" w:lineRule="auto"/>
        <w:jc w:val="center"/>
        <w:rPr>
          <w:rFonts w:ascii="Times New Roman" w:hAnsi="Times New Roman" w:eastAsia="宋体"/>
          <w:sz w:val="36"/>
        </w:rPr>
      </w:pPr>
      <w:r>
        <w:rPr>
          <w:rFonts w:ascii="Times New Roman" w:hAnsi="Times New Roman" w:eastAsia="宋体"/>
          <w:sz w:val="36"/>
        </w:rPr>
        <w:t xml:space="preserve">  </w:t>
      </w:r>
      <w:bookmarkStart w:id="82" w:name="_Toc62563692"/>
      <w:r>
        <w:rPr>
          <w:rFonts w:ascii="Times New Roman" w:hAnsi="Times New Roman" w:eastAsia="宋体"/>
          <w:sz w:val="36"/>
        </w:rPr>
        <w:t>第五章  利用市场交易资料评估基准地价</w:t>
      </w:r>
      <w:bookmarkEnd w:id="82"/>
    </w:p>
    <w:p w14:paraId="30D98DA7">
      <w:pPr>
        <w:pStyle w:val="4"/>
        <w:numPr>
          <w:ilvl w:val="0"/>
          <w:numId w:val="0"/>
        </w:numPr>
        <w:spacing w:line="240" w:lineRule="auto"/>
        <w:jc w:val="center"/>
        <w:rPr>
          <w:rFonts w:eastAsia="仿宋_GB2312"/>
          <w:bCs w:val="0"/>
        </w:rPr>
      </w:pPr>
      <w:bookmarkStart w:id="83" w:name="_Toc62563693"/>
      <w:r>
        <w:rPr>
          <w:rFonts w:eastAsia="仿宋_GB2312"/>
          <w:bCs w:val="0"/>
        </w:rPr>
        <w:t>第一节  利用样点地价评估各乡镇区各级别平均地价</w:t>
      </w:r>
      <w:bookmarkEnd w:id="81"/>
      <w:bookmarkEnd w:id="83"/>
    </w:p>
    <w:p w14:paraId="6C1E71C6">
      <w:pPr>
        <w:spacing w:line="480" w:lineRule="exact"/>
        <w:ind w:firstLine="560" w:firstLineChars="200"/>
        <w:rPr>
          <w:rFonts w:eastAsia="楷体_GB2312"/>
          <w:sz w:val="28"/>
        </w:rPr>
      </w:pPr>
      <w:r>
        <w:rPr>
          <w:rFonts w:eastAsia="楷体_GB2312"/>
          <w:sz w:val="28"/>
        </w:rPr>
        <w:t>在样点地价数据检验的基础上，对于各级别中正态分布的样点地价，采用t检验法剔除异常样点，而对于非正态分布的样点地价，采用均值—方差法（2倍方差）剔除异常样点，然后采用土地面积加权求平均值法，测算各级各用途土地平均地价。具体测算结果见表2-5-1。</w:t>
      </w:r>
    </w:p>
    <w:p w14:paraId="623844DD">
      <w:pPr>
        <w:pStyle w:val="20"/>
        <w:spacing w:before="120" w:beforeLines="50" w:after="120" w:afterLines="50" w:line="480" w:lineRule="exact"/>
        <w:rPr>
          <w:rFonts w:ascii="Times New Roman" w:hAnsi="Times New Roman" w:cs="Times New Roman"/>
          <w:b/>
          <w:sz w:val="28"/>
        </w:rPr>
      </w:pPr>
      <w:r>
        <w:rPr>
          <w:rFonts w:ascii="Times New Roman" w:hAnsi="Times New Roman" w:cs="Times New Roman"/>
          <w:b/>
          <w:sz w:val="28"/>
        </w:rPr>
        <w:t>一、商服用地、住宅用地平均地价测算</w:t>
      </w:r>
    </w:p>
    <w:p w14:paraId="67998080">
      <w:pPr>
        <w:spacing w:line="480" w:lineRule="exact"/>
        <w:ind w:firstLine="560" w:firstLineChars="200"/>
        <w:rPr>
          <w:rFonts w:eastAsia="楷体_GB2312"/>
          <w:sz w:val="28"/>
        </w:rPr>
      </w:pPr>
      <w:r>
        <w:rPr>
          <w:rFonts w:eastAsia="楷体_GB2312"/>
          <w:sz w:val="28"/>
        </w:rPr>
        <w:t>本次利用房地出租样点资料分别测算了各城镇镇区的各级别商服用地、住宅用地平均地价。具体测算结果见表2-5-1。</w:t>
      </w:r>
    </w:p>
    <w:p w14:paraId="18533A05">
      <w:pPr>
        <w:pStyle w:val="20"/>
        <w:spacing w:before="120" w:beforeLines="50" w:line="480" w:lineRule="exact"/>
        <w:jc w:val="center"/>
        <w:rPr>
          <w:rFonts w:ascii="Times New Roman" w:hAnsi="Times New Roman" w:eastAsia="黑体" w:cs="Times New Roman"/>
          <w:sz w:val="28"/>
        </w:rPr>
      </w:pPr>
      <w:r>
        <w:rPr>
          <w:rFonts w:ascii="Times New Roman" w:hAnsi="Times New Roman" w:eastAsia="黑体" w:cs="Times New Roman"/>
          <w:sz w:val="28"/>
        </w:rPr>
        <w:t>表2-</w:t>
      </w:r>
      <w:r>
        <w:rPr>
          <w:rFonts w:ascii="Times New Roman" w:hAnsi="Times New Roman" w:eastAsia="仿宋_GB2312" w:cs="Times New Roman"/>
          <w:sz w:val="28"/>
        </w:rPr>
        <w:t>5-1</w:t>
      </w:r>
      <w:r>
        <w:rPr>
          <w:rFonts w:ascii="Times New Roman" w:hAnsi="Times New Roman" w:eastAsia="黑体" w:cs="Times New Roman"/>
          <w:sz w:val="28"/>
        </w:rPr>
        <w:t xml:space="preserve">  埇桥区各乡镇镇区</w:t>
      </w:r>
      <w:r>
        <w:rPr>
          <w:rFonts w:hint="eastAsia" w:ascii="Times New Roman" w:hAnsi="Times New Roman" w:eastAsia="黑体" w:cs="Times New Roman"/>
          <w:sz w:val="28"/>
        </w:rPr>
        <w:t>及园区</w:t>
      </w:r>
      <w:r>
        <w:rPr>
          <w:rFonts w:ascii="Times New Roman" w:hAnsi="Times New Roman" w:eastAsia="黑体" w:cs="Times New Roman"/>
          <w:sz w:val="28"/>
        </w:rPr>
        <w:t>商服、住宅用地级别平均地价测算表</w:t>
      </w:r>
    </w:p>
    <w:p w14:paraId="1CF5FE2D">
      <w:pPr>
        <w:pStyle w:val="20"/>
        <w:ind w:right="420"/>
        <w:jc w:val="right"/>
        <w:rPr>
          <w:rFonts w:ascii="Times New Roman" w:hAnsi="Times New Roman" w:eastAsia="楷体_GB2312" w:cs="Times New Roman"/>
        </w:rPr>
      </w:pPr>
      <w:r>
        <w:rPr>
          <w:rFonts w:ascii="Times New Roman" w:hAnsi="Times New Roman" w:eastAsia="楷体_GB2312" w:cs="Times New Roman"/>
        </w:rPr>
        <w:t>单位：个，元/m</w:t>
      </w:r>
      <w:r>
        <w:rPr>
          <w:rFonts w:ascii="Times New Roman" w:hAnsi="Times New Roman" w:eastAsia="楷体_GB2312" w:cs="Times New Roman"/>
          <w:vertAlign w:val="superscript"/>
        </w:rPr>
        <w:t>2</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1470"/>
        <w:gridCol w:w="1470"/>
        <w:gridCol w:w="1470"/>
        <w:gridCol w:w="1226"/>
        <w:gridCol w:w="1470"/>
        <w:gridCol w:w="1227"/>
      </w:tblGrid>
      <w:tr w14:paraId="3483A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blHeader/>
          <w:jc w:val="center"/>
        </w:trPr>
        <w:tc>
          <w:tcPr>
            <w:tcW w:w="0" w:type="auto"/>
            <w:vMerge w:val="restart"/>
            <w:noWrap w:val="0"/>
            <w:vAlign w:val="center"/>
          </w:tcPr>
          <w:p w14:paraId="5AC1721F">
            <w:pPr>
              <w:spacing w:before="100" w:beforeAutospacing="1" w:after="100" w:afterAutospacing="1" w:line="240" w:lineRule="atLeast"/>
              <w:jc w:val="center"/>
              <w:rPr>
                <w:rFonts w:eastAsia="楷体_GB2312"/>
                <w:kern w:val="0"/>
                <w:szCs w:val="21"/>
              </w:rPr>
            </w:pPr>
            <w:r>
              <w:rPr>
                <w:rFonts w:eastAsia="楷体_GB2312"/>
                <w:kern w:val="0"/>
                <w:szCs w:val="21"/>
              </w:rPr>
              <w:t>编号</w:t>
            </w:r>
          </w:p>
        </w:tc>
        <w:tc>
          <w:tcPr>
            <w:tcW w:w="0" w:type="auto"/>
            <w:vMerge w:val="restart"/>
            <w:noWrap w:val="0"/>
            <w:vAlign w:val="center"/>
          </w:tcPr>
          <w:p w14:paraId="53283E50">
            <w:pPr>
              <w:spacing w:before="100" w:beforeAutospacing="1" w:after="100" w:afterAutospacing="1" w:line="240" w:lineRule="atLeast"/>
              <w:jc w:val="center"/>
              <w:rPr>
                <w:rFonts w:eastAsia="楷体_GB2312"/>
                <w:kern w:val="0"/>
                <w:szCs w:val="21"/>
              </w:rPr>
            </w:pPr>
            <w:r>
              <w:rPr>
                <w:rFonts w:eastAsia="楷体_GB2312"/>
                <w:kern w:val="0"/>
                <w:szCs w:val="21"/>
              </w:rPr>
              <w:t>乡镇名称</w:t>
            </w:r>
          </w:p>
        </w:tc>
        <w:tc>
          <w:tcPr>
            <w:tcW w:w="0" w:type="auto"/>
            <w:vMerge w:val="restart"/>
            <w:noWrap w:val="0"/>
            <w:vAlign w:val="center"/>
          </w:tcPr>
          <w:p w14:paraId="29055CB7">
            <w:pPr>
              <w:spacing w:before="100" w:beforeAutospacing="1" w:after="100" w:afterAutospacing="1" w:line="240" w:lineRule="atLeast"/>
              <w:jc w:val="center"/>
              <w:rPr>
                <w:rFonts w:eastAsia="楷体_GB2312"/>
                <w:kern w:val="0"/>
                <w:szCs w:val="21"/>
              </w:rPr>
            </w:pPr>
            <w:r>
              <w:rPr>
                <w:rFonts w:eastAsia="楷体_GB2312"/>
                <w:kern w:val="0"/>
                <w:szCs w:val="21"/>
              </w:rPr>
              <w:t>土地级别</w:t>
            </w:r>
          </w:p>
        </w:tc>
        <w:tc>
          <w:tcPr>
            <w:tcW w:w="0" w:type="auto"/>
            <w:gridSpan w:val="2"/>
            <w:noWrap w:val="0"/>
            <w:vAlign w:val="center"/>
          </w:tcPr>
          <w:p w14:paraId="2D717C9C">
            <w:pPr>
              <w:spacing w:before="100" w:beforeAutospacing="1" w:after="100" w:afterAutospacing="1" w:line="240" w:lineRule="atLeast"/>
              <w:jc w:val="center"/>
              <w:rPr>
                <w:rFonts w:eastAsia="楷体_GB2312"/>
                <w:kern w:val="0"/>
                <w:szCs w:val="21"/>
              </w:rPr>
            </w:pPr>
            <w:r>
              <w:rPr>
                <w:rFonts w:eastAsia="楷体_GB2312"/>
                <w:kern w:val="0"/>
                <w:szCs w:val="21"/>
              </w:rPr>
              <w:t>商服用地</w:t>
            </w:r>
          </w:p>
        </w:tc>
        <w:tc>
          <w:tcPr>
            <w:tcW w:w="0" w:type="auto"/>
            <w:gridSpan w:val="2"/>
            <w:noWrap w:val="0"/>
            <w:vAlign w:val="center"/>
          </w:tcPr>
          <w:p w14:paraId="309DC594">
            <w:pPr>
              <w:spacing w:before="100" w:beforeAutospacing="1" w:after="100" w:afterAutospacing="1" w:line="240" w:lineRule="atLeast"/>
              <w:jc w:val="center"/>
              <w:rPr>
                <w:rFonts w:eastAsia="楷体_GB2312"/>
                <w:kern w:val="0"/>
                <w:szCs w:val="21"/>
              </w:rPr>
            </w:pPr>
            <w:r>
              <w:rPr>
                <w:rFonts w:eastAsia="楷体_GB2312"/>
                <w:kern w:val="0"/>
                <w:szCs w:val="21"/>
              </w:rPr>
              <w:t>住宅用地</w:t>
            </w:r>
          </w:p>
        </w:tc>
      </w:tr>
      <w:tr w14:paraId="26CBB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0" w:type="auto"/>
            <w:vMerge w:val="continue"/>
            <w:noWrap w:val="0"/>
            <w:vAlign w:val="center"/>
          </w:tcPr>
          <w:p w14:paraId="011BB7D2">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7DF9B3BB">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A8575D1">
            <w:pPr>
              <w:spacing w:before="100" w:beforeAutospacing="1" w:after="100" w:afterAutospacing="1" w:line="240" w:lineRule="atLeast"/>
              <w:jc w:val="center"/>
              <w:rPr>
                <w:rFonts w:eastAsia="楷体_GB2312"/>
                <w:kern w:val="0"/>
                <w:szCs w:val="21"/>
              </w:rPr>
            </w:pPr>
          </w:p>
        </w:tc>
        <w:tc>
          <w:tcPr>
            <w:tcW w:w="0" w:type="auto"/>
            <w:noWrap w:val="0"/>
            <w:vAlign w:val="center"/>
          </w:tcPr>
          <w:p w14:paraId="738766CE">
            <w:pPr>
              <w:spacing w:before="100" w:beforeAutospacing="1" w:after="100" w:afterAutospacing="1" w:line="240" w:lineRule="atLeast"/>
              <w:jc w:val="center"/>
              <w:rPr>
                <w:rFonts w:eastAsia="楷体_GB2312"/>
                <w:kern w:val="0"/>
                <w:szCs w:val="21"/>
              </w:rPr>
            </w:pPr>
            <w:r>
              <w:rPr>
                <w:rFonts w:eastAsia="楷体_GB2312"/>
                <w:kern w:val="0"/>
                <w:szCs w:val="21"/>
              </w:rPr>
              <w:t>参算样点数</w:t>
            </w:r>
          </w:p>
        </w:tc>
        <w:tc>
          <w:tcPr>
            <w:tcW w:w="0" w:type="auto"/>
            <w:noWrap w:val="0"/>
            <w:vAlign w:val="center"/>
          </w:tcPr>
          <w:p w14:paraId="470046E1">
            <w:pPr>
              <w:spacing w:before="100" w:beforeAutospacing="1" w:after="100" w:afterAutospacing="1" w:line="240" w:lineRule="atLeast"/>
              <w:jc w:val="center"/>
              <w:rPr>
                <w:rFonts w:eastAsia="楷体_GB2312"/>
                <w:kern w:val="0"/>
                <w:szCs w:val="21"/>
              </w:rPr>
            </w:pPr>
            <w:r>
              <w:rPr>
                <w:rFonts w:eastAsia="楷体_GB2312"/>
                <w:kern w:val="0"/>
                <w:szCs w:val="21"/>
              </w:rPr>
              <w:t>平均地价</w:t>
            </w:r>
          </w:p>
        </w:tc>
        <w:tc>
          <w:tcPr>
            <w:tcW w:w="0" w:type="auto"/>
            <w:noWrap w:val="0"/>
            <w:vAlign w:val="center"/>
          </w:tcPr>
          <w:p w14:paraId="56F02790">
            <w:pPr>
              <w:spacing w:before="100" w:beforeAutospacing="1" w:after="100" w:afterAutospacing="1" w:line="240" w:lineRule="atLeast"/>
              <w:jc w:val="center"/>
              <w:rPr>
                <w:rFonts w:eastAsia="楷体_GB2312"/>
                <w:kern w:val="0"/>
                <w:szCs w:val="21"/>
              </w:rPr>
            </w:pPr>
            <w:r>
              <w:rPr>
                <w:rFonts w:eastAsia="楷体_GB2312"/>
                <w:kern w:val="0"/>
                <w:szCs w:val="21"/>
              </w:rPr>
              <w:t>参算样点数</w:t>
            </w:r>
          </w:p>
        </w:tc>
        <w:tc>
          <w:tcPr>
            <w:tcW w:w="0" w:type="auto"/>
            <w:noWrap w:val="0"/>
            <w:vAlign w:val="center"/>
          </w:tcPr>
          <w:p w14:paraId="042B2913">
            <w:pPr>
              <w:spacing w:before="100" w:beforeAutospacing="1" w:after="100" w:afterAutospacing="1" w:line="240" w:lineRule="atLeast"/>
              <w:jc w:val="center"/>
              <w:rPr>
                <w:rFonts w:eastAsia="楷体_GB2312"/>
                <w:kern w:val="0"/>
                <w:szCs w:val="21"/>
              </w:rPr>
            </w:pPr>
            <w:r>
              <w:rPr>
                <w:rFonts w:eastAsia="楷体_GB2312"/>
                <w:kern w:val="0"/>
                <w:szCs w:val="21"/>
              </w:rPr>
              <w:t>平均地价</w:t>
            </w:r>
          </w:p>
        </w:tc>
      </w:tr>
      <w:tr w14:paraId="0481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2B6F6CEA">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vMerge w:val="restart"/>
            <w:noWrap w:val="0"/>
            <w:vAlign w:val="center"/>
          </w:tcPr>
          <w:p w14:paraId="2A79ECE7">
            <w:pPr>
              <w:spacing w:before="100" w:beforeAutospacing="1" w:after="100" w:afterAutospacing="1" w:line="240" w:lineRule="atLeast"/>
              <w:jc w:val="center"/>
              <w:rPr>
                <w:rFonts w:eastAsia="楷体_GB2312"/>
                <w:kern w:val="0"/>
                <w:szCs w:val="21"/>
              </w:rPr>
            </w:pPr>
            <w:r>
              <w:rPr>
                <w:rFonts w:hint="eastAsia" w:eastAsia="楷体_GB2312"/>
                <w:kern w:val="0"/>
                <w:szCs w:val="21"/>
              </w:rPr>
              <w:t>符离镇</w:t>
            </w:r>
          </w:p>
        </w:tc>
        <w:tc>
          <w:tcPr>
            <w:tcW w:w="0" w:type="auto"/>
            <w:noWrap w:val="0"/>
            <w:vAlign w:val="center"/>
          </w:tcPr>
          <w:p w14:paraId="2F224EE9">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67DEB5A2">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0" w:type="auto"/>
            <w:noWrap w:val="0"/>
            <w:vAlign w:val="center"/>
          </w:tcPr>
          <w:p w14:paraId="2A0B61AC">
            <w:pPr>
              <w:jc w:val="center"/>
              <w:rPr>
                <w:rFonts w:ascii="宋体" w:hAnsi="宋体" w:cs="宋体"/>
                <w:color w:val="000000"/>
                <w:szCs w:val="21"/>
              </w:rPr>
            </w:pPr>
            <w:r>
              <w:rPr>
                <w:rFonts w:hint="eastAsia"/>
                <w:color w:val="000000"/>
                <w:szCs w:val="21"/>
              </w:rPr>
              <w:t>632</w:t>
            </w:r>
          </w:p>
        </w:tc>
        <w:tc>
          <w:tcPr>
            <w:tcW w:w="0" w:type="auto"/>
            <w:noWrap w:val="0"/>
            <w:vAlign w:val="center"/>
          </w:tcPr>
          <w:p w14:paraId="4E11F720">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noWrap w:val="0"/>
            <w:vAlign w:val="center"/>
          </w:tcPr>
          <w:p w14:paraId="444F2AE8">
            <w:pPr>
              <w:jc w:val="center"/>
              <w:rPr>
                <w:rFonts w:ascii="宋体" w:hAnsi="宋体" w:cs="宋体"/>
                <w:color w:val="000000"/>
                <w:szCs w:val="21"/>
              </w:rPr>
            </w:pPr>
            <w:r>
              <w:rPr>
                <w:rFonts w:hint="eastAsia"/>
                <w:color w:val="000000"/>
                <w:szCs w:val="21"/>
              </w:rPr>
              <w:t>461</w:t>
            </w:r>
          </w:p>
        </w:tc>
      </w:tr>
      <w:tr w14:paraId="7711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4E1A7F7A">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3DC84B4F">
            <w:pPr>
              <w:spacing w:before="100" w:beforeAutospacing="1" w:after="100" w:afterAutospacing="1" w:line="240" w:lineRule="atLeast"/>
              <w:jc w:val="center"/>
              <w:rPr>
                <w:rFonts w:eastAsia="楷体_GB2312"/>
                <w:kern w:val="0"/>
                <w:szCs w:val="21"/>
              </w:rPr>
            </w:pPr>
          </w:p>
        </w:tc>
        <w:tc>
          <w:tcPr>
            <w:tcW w:w="0" w:type="auto"/>
            <w:noWrap w:val="0"/>
            <w:vAlign w:val="center"/>
          </w:tcPr>
          <w:p w14:paraId="31824A1B">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1EAA6F5B">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5591FC99">
            <w:pPr>
              <w:jc w:val="center"/>
              <w:rPr>
                <w:rFonts w:ascii="宋体" w:hAnsi="宋体" w:cs="宋体"/>
                <w:color w:val="000000"/>
                <w:szCs w:val="21"/>
              </w:rPr>
            </w:pPr>
            <w:r>
              <w:rPr>
                <w:rFonts w:hint="eastAsia"/>
                <w:color w:val="000000"/>
                <w:szCs w:val="21"/>
              </w:rPr>
              <w:t>505</w:t>
            </w:r>
          </w:p>
        </w:tc>
        <w:tc>
          <w:tcPr>
            <w:tcW w:w="0" w:type="auto"/>
            <w:noWrap w:val="0"/>
            <w:vAlign w:val="center"/>
          </w:tcPr>
          <w:p w14:paraId="4B94E9DF">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04EC2719">
            <w:pPr>
              <w:jc w:val="center"/>
              <w:rPr>
                <w:rFonts w:ascii="宋体" w:hAnsi="宋体" w:cs="宋体"/>
                <w:color w:val="000000"/>
                <w:szCs w:val="21"/>
              </w:rPr>
            </w:pPr>
            <w:r>
              <w:rPr>
                <w:rFonts w:hint="eastAsia"/>
                <w:color w:val="000000"/>
                <w:szCs w:val="21"/>
              </w:rPr>
              <w:t>389</w:t>
            </w:r>
          </w:p>
        </w:tc>
      </w:tr>
      <w:tr w14:paraId="4E54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3A08A8B0">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FF0B85C">
            <w:pPr>
              <w:spacing w:before="100" w:beforeAutospacing="1" w:after="100" w:afterAutospacing="1" w:line="240" w:lineRule="atLeast"/>
              <w:jc w:val="center"/>
              <w:rPr>
                <w:rFonts w:eastAsia="楷体_GB2312"/>
                <w:kern w:val="0"/>
                <w:szCs w:val="21"/>
              </w:rPr>
            </w:pPr>
          </w:p>
        </w:tc>
        <w:tc>
          <w:tcPr>
            <w:tcW w:w="0" w:type="auto"/>
            <w:noWrap w:val="0"/>
            <w:vAlign w:val="center"/>
          </w:tcPr>
          <w:p w14:paraId="577FEBAF">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07DC0BCD">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0" w:type="auto"/>
            <w:noWrap w:val="0"/>
            <w:vAlign w:val="center"/>
          </w:tcPr>
          <w:p w14:paraId="319EBB07">
            <w:pPr>
              <w:jc w:val="center"/>
              <w:rPr>
                <w:rFonts w:ascii="宋体" w:hAnsi="宋体" w:cs="宋体"/>
                <w:color w:val="000000"/>
                <w:szCs w:val="21"/>
              </w:rPr>
            </w:pPr>
            <w:r>
              <w:rPr>
                <w:rFonts w:hint="eastAsia"/>
                <w:color w:val="000000"/>
                <w:szCs w:val="21"/>
              </w:rPr>
              <w:t>442</w:t>
            </w:r>
          </w:p>
        </w:tc>
        <w:tc>
          <w:tcPr>
            <w:tcW w:w="0" w:type="auto"/>
            <w:noWrap w:val="0"/>
            <w:vAlign w:val="center"/>
          </w:tcPr>
          <w:p w14:paraId="1A252247">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0" w:type="auto"/>
            <w:noWrap w:val="0"/>
            <w:vAlign w:val="center"/>
          </w:tcPr>
          <w:p w14:paraId="6A043BD1">
            <w:pPr>
              <w:jc w:val="center"/>
              <w:rPr>
                <w:rFonts w:ascii="宋体" w:hAnsi="宋体" w:cs="宋体"/>
                <w:color w:val="000000"/>
                <w:szCs w:val="21"/>
              </w:rPr>
            </w:pPr>
            <w:r>
              <w:rPr>
                <w:rFonts w:hint="eastAsia"/>
                <w:color w:val="000000"/>
                <w:szCs w:val="21"/>
              </w:rPr>
              <w:t>281</w:t>
            </w:r>
          </w:p>
        </w:tc>
      </w:tr>
      <w:tr w14:paraId="25F55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76128D30">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vMerge w:val="restart"/>
            <w:noWrap w:val="0"/>
            <w:vAlign w:val="center"/>
          </w:tcPr>
          <w:p w14:paraId="69C56D97">
            <w:pPr>
              <w:spacing w:before="100" w:beforeAutospacing="1" w:after="100" w:afterAutospacing="1" w:line="240" w:lineRule="atLeast"/>
              <w:jc w:val="center"/>
              <w:rPr>
                <w:rFonts w:eastAsia="楷体_GB2312"/>
                <w:kern w:val="0"/>
                <w:szCs w:val="21"/>
              </w:rPr>
            </w:pPr>
            <w:r>
              <w:rPr>
                <w:rFonts w:hint="eastAsia" w:eastAsia="楷体_GB2312"/>
                <w:kern w:val="0"/>
                <w:szCs w:val="21"/>
              </w:rPr>
              <w:t>朱仙庄镇</w:t>
            </w:r>
          </w:p>
        </w:tc>
        <w:tc>
          <w:tcPr>
            <w:tcW w:w="0" w:type="auto"/>
            <w:noWrap w:val="0"/>
            <w:vAlign w:val="center"/>
          </w:tcPr>
          <w:p w14:paraId="0A228099">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10D5AC1B">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05784579">
            <w:pPr>
              <w:jc w:val="center"/>
              <w:rPr>
                <w:rFonts w:ascii="宋体" w:hAnsi="宋体" w:cs="宋体"/>
                <w:color w:val="000000"/>
                <w:szCs w:val="21"/>
              </w:rPr>
            </w:pPr>
            <w:r>
              <w:rPr>
                <w:rFonts w:hint="eastAsia"/>
                <w:color w:val="000000"/>
                <w:szCs w:val="21"/>
              </w:rPr>
              <w:t>571</w:t>
            </w:r>
          </w:p>
        </w:tc>
        <w:tc>
          <w:tcPr>
            <w:tcW w:w="0" w:type="auto"/>
            <w:noWrap w:val="0"/>
            <w:vAlign w:val="center"/>
          </w:tcPr>
          <w:p w14:paraId="2ED1CE3E">
            <w:pPr>
              <w:spacing w:before="100" w:beforeAutospacing="1" w:after="100" w:afterAutospacing="1" w:line="240" w:lineRule="atLeast"/>
              <w:jc w:val="center"/>
              <w:rPr>
                <w:rFonts w:eastAsia="楷体_GB2312"/>
                <w:kern w:val="0"/>
                <w:szCs w:val="21"/>
              </w:rPr>
            </w:pPr>
            <w:r>
              <w:rPr>
                <w:rFonts w:hint="eastAsia" w:eastAsia="楷体_GB2312"/>
                <w:kern w:val="0"/>
                <w:szCs w:val="21"/>
              </w:rPr>
              <w:t>13</w:t>
            </w:r>
          </w:p>
        </w:tc>
        <w:tc>
          <w:tcPr>
            <w:tcW w:w="0" w:type="auto"/>
            <w:noWrap w:val="0"/>
            <w:vAlign w:val="center"/>
          </w:tcPr>
          <w:p w14:paraId="46F7C508">
            <w:pPr>
              <w:jc w:val="center"/>
              <w:rPr>
                <w:rFonts w:ascii="宋体" w:hAnsi="宋体" w:cs="宋体"/>
                <w:color w:val="000000"/>
                <w:szCs w:val="21"/>
              </w:rPr>
            </w:pPr>
            <w:r>
              <w:rPr>
                <w:rFonts w:hint="eastAsia"/>
                <w:color w:val="000000"/>
                <w:szCs w:val="21"/>
              </w:rPr>
              <w:t>432</w:t>
            </w:r>
          </w:p>
        </w:tc>
      </w:tr>
      <w:tr w14:paraId="7827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0432CA5">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492FEDF1">
            <w:pPr>
              <w:spacing w:before="100" w:beforeAutospacing="1" w:after="100" w:afterAutospacing="1" w:line="240" w:lineRule="atLeast"/>
              <w:jc w:val="center"/>
              <w:rPr>
                <w:rFonts w:eastAsia="楷体_GB2312"/>
                <w:kern w:val="0"/>
                <w:szCs w:val="21"/>
              </w:rPr>
            </w:pPr>
          </w:p>
        </w:tc>
        <w:tc>
          <w:tcPr>
            <w:tcW w:w="0" w:type="auto"/>
            <w:noWrap w:val="0"/>
            <w:vAlign w:val="center"/>
          </w:tcPr>
          <w:p w14:paraId="799555E0">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350C5A4F">
            <w:pPr>
              <w:spacing w:before="100" w:beforeAutospacing="1" w:after="100" w:afterAutospacing="1" w:line="240" w:lineRule="atLeast"/>
              <w:jc w:val="center"/>
              <w:rPr>
                <w:rFonts w:eastAsia="楷体_GB2312"/>
                <w:kern w:val="0"/>
                <w:szCs w:val="21"/>
              </w:rPr>
            </w:pPr>
            <w:r>
              <w:rPr>
                <w:rFonts w:hint="eastAsia" w:eastAsia="楷体_GB2312"/>
                <w:kern w:val="0"/>
                <w:szCs w:val="21"/>
              </w:rPr>
              <w:t>9</w:t>
            </w:r>
          </w:p>
        </w:tc>
        <w:tc>
          <w:tcPr>
            <w:tcW w:w="0" w:type="auto"/>
            <w:noWrap w:val="0"/>
            <w:vAlign w:val="center"/>
          </w:tcPr>
          <w:p w14:paraId="7722CC57">
            <w:pPr>
              <w:jc w:val="center"/>
              <w:rPr>
                <w:rFonts w:ascii="宋体" w:hAnsi="宋体" w:cs="宋体"/>
                <w:color w:val="000000"/>
                <w:szCs w:val="21"/>
              </w:rPr>
            </w:pPr>
            <w:r>
              <w:rPr>
                <w:rFonts w:hint="eastAsia"/>
                <w:color w:val="000000"/>
                <w:szCs w:val="21"/>
              </w:rPr>
              <w:t>474</w:t>
            </w:r>
          </w:p>
        </w:tc>
        <w:tc>
          <w:tcPr>
            <w:tcW w:w="0" w:type="auto"/>
            <w:noWrap w:val="0"/>
            <w:vAlign w:val="center"/>
          </w:tcPr>
          <w:p w14:paraId="6CF27395">
            <w:pPr>
              <w:spacing w:before="100" w:beforeAutospacing="1" w:after="100" w:afterAutospacing="1" w:line="240" w:lineRule="atLeast"/>
              <w:jc w:val="center"/>
              <w:rPr>
                <w:rFonts w:eastAsia="楷体_GB2312"/>
                <w:kern w:val="0"/>
                <w:szCs w:val="21"/>
              </w:rPr>
            </w:pPr>
            <w:r>
              <w:rPr>
                <w:rFonts w:hint="eastAsia" w:eastAsia="楷体_GB2312"/>
                <w:kern w:val="0"/>
                <w:szCs w:val="21"/>
              </w:rPr>
              <w:t>11</w:t>
            </w:r>
          </w:p>
        </w:tc>
        <w:tc>
          <w:tcPr>
            <w:tcW w:w="0" w:type="auto"/>
            <w:noWrap w:val="0"/>
            <w:vAlign w:val="center"/>
          </w:tcPr>
          <w:p w14:paraId="711DA52D">
            <w:pPr>
              <w:jc w:val="center"/>
              <w:rPr>
                <w:rFonts w:ascii="宋体" w:hAnsi="宋体" w:cs="宋体"/>
                <w:color w:val="000000"/>
                <w:szCs w:val="21"/>
              </w:rPr>
            </w:pPr>
            <w:r>
              <w:rPr>
                <w:rFonts w:hint="eastAsia"/>
                <w:color w:val="000000"/>
                <w:szCs w:val="21"/>
              </w:rPr>
              <w:t>319</w:t>
            </w:r>
          </w:p>
        </w:tc>
      </w:tr>
      <w:tr w14:paraId="4A2B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B120735">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758A94F5">
            <w:pPr>
              <w:spacing w:before="100" w:beforeAutospacing="1" w:after="100" w:afterAutospacing="1" w:line="240" w:lineRule="atLeast"/>
              <w:jc w:val="center"/>
              <w:rPr>
                <w:rFonts w:eastAsia="楷体_GB2312"/>
                <w:kern w:val="0"/>
                <w:szCs w:val="21"/>
              </w:rPr>
            </w:pPr>
          </w:p>
        </w:tc>
        <w:tc>
          <w:tcPr>
            <w:tcW w:w="0" w:type="auto"/>
            <w:noWrap w:val="0"/>
            <w:vAlign w:val="center"/>
          </w:tcPr>
          <w:p w14:paraId="1997B271">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35797352">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0" w:type="auto"/>
            <w:noWrap w:val="0"/>
            <w:vAlign w:val="center"/>
          </w:tcPr>
          <w:p w14:paraId="3DCA130D">
            <w:pPr>
              <w:jc w:val="center"/>
              <w:rPr>
                <w:rFonts w:ascii="宋体" w:hAnsi="宋体" w:cs="宋体"/>
                <w:color w:val="000000"/>
                <w:szCs w:val="21"/>
              </w:rPr>
            </w:pPr>
            <w:r>
              <w:rPr>
                <w:rFonts w:hint="eastAsia"/>
                <w:color w:val="000000"/>
                <w:szCs w:val="21"/>
              </w:rPr>
              <w:t>342</w:t>
            </w:r>
          </w:p>
        </w:tc>
        <w:tc>
          <w:tcPr>
            <w:tcW w:w="0" w:type="auto"/>
            <w:noWrap w:val="0"/>
            <w:vAlign w:val="center"/>
          </w:tcPr>
          <w:p w14:paraId="56E1FCF0">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0" w:type="auto"/>
            <w:noWrap w:val="0"/>
            <w:vAlign w:val="center"/>
          </w:tcPr>
          <w:p w14:paraId="609DE3CE">
            <w:pPr>
              <w:jc w:val="center"/>
              <w:rPr>
                <w:rFonts w:ascii="宋体" w:hAnsi="宋体" w:cs="宋体"/>
                <w:color w:val="000000"/>
                <w:szCs w:val="21"/>
              </w:rPr>
            </w:pPr>
            <w:r>
              <w:rPr>
                <w:rFonts w:hint="eastAsia"/>
                <w:color w:val="000000"/>
                <w:szCs w:val="21"/>
              </w:rPr>
              <w:t>226</w:t>
            </w:r>
          </w:p>
        </w:tc>
      </w:tr>
      <w:tr w14:paraId="56BED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7CDE72B9">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vMerge w:val="restart"/>
            <w:noWrap w:val="0"/>
            <w:vAlign w:val="center"/>
          </w:tcPr>
          <w:p w14:paraId="554491BD">
            <w:pPr>
              <w:spacing w:before="100" w:beforeAutospacing="1" w:after="100" w:afterAutospacing="1" w:line="240" w:lineRule="atLeast"/>
              <w:jc w:val="center"/>
              <w:rPr>
                <w:rFonts w:eastAsia="楷体_GB2312"/>
                <w:kern w:val="0"/>
                <w:szCs w:val="21"/>
              </w:rPr>
            </w:pPr>
            <w:r>
              <w:rPr>
                <w:rFonts w:hint="eastAsia" w:eastAsia="楷体_GB2312"/>
                <w:kern w:val="0"/>
                <w:szCs w:val="21"/>
              </w:rPr>
              <w:t>蕲县镇</w:t>
            </w:r>
          </w:p>
        </w:tc>
        <w:tc>
          <w:tcPr>
            <w:tcW w:w="0" w:type="auto"/>
            <w:noWrap w:val="0"/>
            <w:vAlign w:val="center"/>
          </w:tcPr>
          <w:p w14:paraId="492E66C5">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7BA4F4E4">
            <w:pPr>
              <w:spacing w:before="100" w:beforeAutospacing="1" w:after="100" w:afterAutospacing="1" w:line="240" w:lineRule="atLeast"/>
              <w:jc w:val="center"/>
              <w:rPr>
                <w:rFonts w:eastAsia="楷体_GB2312"/>
                <w:kern w:val="0"/>
                <w:szCs w:val="21"/>
              </w:rPr>
            </w:pPr>
            <w:r>
              <w:rPr>
                <w:rFonts w:hint="eastAsia" w:eastAsia="楷体_GB2312"/>
                <w:kern w:val="0"/>
                <w:szCs w:val="21"/>
              </w:rPr>
              <w:t>18</w:t>
            </w:r>
          </w:p>
        </w:tc>
        <w:tc>
          <w:tcPr>
            <w:tcW w:w="0" w:type="auto"/>
            <w:noWrap w:val="0"/>
            <w:vAlign w:val="center"/>
          </w:tcPr>
          <w:p w14:paraId="0A1F683B">
            <w:pPr>
              <w:jc w:val="center"/>
              <w:rPr>
                <w:rFonts w:ascii="宋体" w:hAnsi="宋体" w:cs="宋体"/>
                <w:color w:val="000000"/>
                <w:szCs w:val="21"/>
              </w:rPr>
            </w:pPr>
            <w:r>
              <w:rPr>
                <w:rFonts w:hint="eastAsia"/>
                <w:color w:val="000000"/>
                <w:szCs w:val="21"/>
              </w:rPr>
              <w:t>597</w:t>
            </w:r>
          </w:p>
        </w:tc>
        <w:tc>
          <w:tcPr>
            <w:tcW w:w="0" w:type="auto"/>
            <w:noWrap w:val="0"/>
            <w:vAlign w:val="center"/>
          </w:tcPr>
          <w:p w14:paraId="49E4A16E">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59607EE8">
            <w:pPr>
              <w:jc w:val="center"/>
              <w:rPr>
                <w:rFonts w:ascii="宋体" w:hAnsi="宋体" w:cs="宋体"/>
                <w:color w:val="000000"/>
                <w:szCs w:val="21"/>
              </w:rPr>
            </w:pPr>
            <w:r>
              <w:rPr>
                <w:rFonts w:hint="eastAsia"/>
                <w:color w:val="000000"/>
                <w:szCs w:val="21"/>
              </w:rPr>
              <w:t>413</w:t>
            </w:r>
          </w:p>
        </w:tc>
      </w:tr>
      <w:tr w14:paraId="7AAA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9F38F54">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58011E7">
            <w:pPr>
              <w:spacing w:before="100" w:beforeAutospacing="1" w:after="100" w:afterAutospacing="1" w:line="240" w:lineRule="atLeast"/>
              <w:jc w:val="center"/>
              <w:rPr>
                <w:rFonts w:eastAsia="楷体_GB2312"/>
                <w:kern w:val="0"/>
                <w:szCs w:val="21"/>
              </w:rPr>
            </w:pPr>
          </w:p>
        </w:tc>
        <w:tc>
          <w:tcPr>
            <w:tcW w:w="0" w:type="auto"/>
            <w:noWrap w:val="0"/>
            <w:vAlign w:val="center"/>
          </w:tcPr>
          <w:p w14:paraId="67D53C4A">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38FFF19D">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0" w:type="auto"/>
            <w:noWrap w:val="0"/>
            <w:vAlign w:val="center"/>
          </w:tcPr>
          <w:p w14:paraId="01FECFE9">
            <w:pPr>
              <w:jc w:val="center"/>
              <w:rPr>
                <w:rFonts w:ascii="宋体" w:hAnsi="宋体" w:cs="宋体"/>
                <w:color w:val="000000"/>
                <w:szCs w:val="21"/>
              </w:rPr>
            </w:pPr>
            <w:r>
              <w:rPr>
                <w:rFonts w:hint="eastAsia"/>
                <w:color w:val="000000"/>
                <w:szCs w:val="21"/>
              </w:rPr>
              <w:t>489</w:t>
            </w:r>
          </w:p>
        </w:tc>
        <w:tc>
          <w:tcPr>
            <w:tcW w:w="0" w:type="auto"/>
            <w:noWrap w:val="0"/>
            <w:vAlign w:val="center"/>
          </w:tcPr>
          <w:p w14:paraId="77C566B7">
            <w:pPr>
              <w:spacing w:before="100" w:beforeAutospacing="1" w:after="100" w:afterAutospacing="1" w:line="240" w:lineRule="atLeast"/>
              <w:jc w:val="center"/>
              <w:rPr>
                <w:rFonts w:eastAsia="楷体_GB2312"/>
                <w:kern w:val="0"/>
                <w:szCs w:val="21"/>
              </w:rPr>
            </w:pPr>
            <w:r>
              <w:rPr>
                <w:rFonts w:hint="eastAsia" w:eastAsia="楷体_GB2312"/>
                <w:kern w:val="0"/>
                <w:szCs w:val="21"/>
              </w:rPr>
              <w:t>9</w:t>
            </w:r>
          </w:p>
        </w:tc>
        <w:tc>
          <w:tcPr>
            <w:tcW w:w="0" w:type="auto"/>
            <w:noWrap w:val="0"/>
            <w:vAlign w:val="center"/>
          </w:tcPr>
          <w:p w14:paraId="377CF2B1">
            <w:pPr>
              <w:jc w:val="center"/>
              <w:rPr>
                <w:rFonts w:ascii="宋体" w:hAnsi="宋体" w:cs="宋体"/>
                <w:color w:val="000000"/>
                <w:szCs w:val="21"/>
              </w:rPr>
            </w:pPr>
            <w:r>
              <w:rPr>
                <w:rFonts w:hint="eastAsia"/>
                <w:color w:val="000000"/>
                <w:szCs w:val="21"/>
              </w:rPr>
              <w:t>333</w:t>
            </w:r>
          </w:p>
        </w:tc>
      </w:tr>
      <w:tr w14:paraId="038EA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8A270A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33D1462">
            <w:pPr>
              <w:spacing w:before="100" w:beforeAutospacing="1" w:after="100" w:afterAutospacing="1" w:line="240" w:lineRule="atLeast"/>
              <w:jc w:val="center"/>
              <w:rPr>
                <w:rFonts w:eastAsia="楷体_GB2312"/>
                <w:kern w:val="0"/>
                <w:szCs w:val="21"/>
              </w:rPr>
            </w:pPr>
          </w:p>
        </w:tc>
        <w:tc>
          <w:tcPr>
            <w:tcW w:w="0" w:type="auto"/>
            <w:noWrap w:val="0"/>
            <w:vAlign w:val="center"/>
          </w:tcPr>
          <w:p w14:paraId="7B94E046">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18DEFEF7">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7562FB7F">
            <w:pPr>
              <w:jc w:val="center"/>
              <w:rPr>
                <w:rFonts w:ascii="宋体" w:hAnsi="宋体" w:cs="宋体"/>
                <w:color w:val="000000"/>
                <w:szCs w:val="21"/>
              </w:rPr>
            </w:pPr>
            <w:r>
              <w:rPr>
                <w:rFonts w:hint="eastAsia"/>
                <w:color w:val="000000"/>
                <w:szCs w:val="21"/>
              </w:rPr>
              <w:t>406</w:t>
            </w:r>
          </w:p>
        </w:tc>
        <w:tc>
          <w:tcPr>
            <w:tcW w:w="0" w:type="auto"/>
            <w:noWrap w:val="0"/>
            <w:vAlign w:val="center"/>
          </w:tcPr>
          <w:p w14:paraId="1E414D3F">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1C86AC7D">
            <w:pPr>
              <w:jc w:val="center"/>
              <w:rPr>
                <w:rFonts w:ascii="宋体" w:hAnsi="宋体" w:cs="宋体"/>
                <w:color w:val="000000"/>
                <w:szCs w:val="21"/>
              </w:rPr>
            </w:pPr>
            <w:r>
              <w:rPr>
                <w:rFonts w:hint="eastAsia"/>
                <w:color w:val="000000"/>
                <w:szCs w:val="21"/>
              </w:rPr>
              <w:t>235</w:t>
            </w:r>
          </w:p>
        </w:tc>
      </w:tr>
      <w:tr w14:paraId="7FCE6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296FC780">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vMerge w:val="restart"/>
            <w:noWrap w:val="0"/>
            <w:vAlign w:val="center"/>
          </w:tcPr>
          <w:p w14:paraId="6EA5ED81">
            <w:pPr>
              <w:spacing w:before="100" w:beforeAutospacing="1" w:after="100" w:afterAutospacing="1" w:line="240" w:lineRule="atLeast"/>
              <w:jc w:val="center"/>
              <w:rPr>
                <w:rFonts w:eastAsia="楷体_GB2312"/>
                <w:kern w:val="0"/>
                <w:szCs w:val="21"/>
              </w:rPr>
            </w:pPr>
            <w:r>
              <w:rPr>
                <w:rFonts w:hint="eastAsia" w:eastAsia="楷体_GB2312"/>
                <w:kern w:val="0"/>
                <w:szCs w:val="21"/>
              </w:rPr>
              <w:t>芦岭镇</w:t>
            </w:r>
          </w:p>
        </w:tc>
        <w:tc>
          <w:tcPr>
            <w:tcW w:w="0" w:type="auto"/>
            <w:noWrap w:val="0"/>
            <w:vAlign w:val="center"/>
          </w:tcPr>
          <w:p w14:paraId="7F0235D2">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48320A49">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43683D20">
            <w:pPr>
              <w:jc w:val="center"/>
              <w:rPr>
                <w:rFonts w:ascii="宋体" w:hAnsi="宋体" w:cs="宋体"/>
                <w:color w:val="000000"/>
                <w:szCs w:val="21"/>
              </w:rPr>
            </w:pPr>
            <w:r>
              <w:rPr>
                <w:rFonts w:hint="eastAsia"/>
                <w:color w:val="000000"/>
                <w:szCs w:val="21"/>
              </w:rPr>
              <w:t>577</w:t>
            </w:r>
          </w:p>
        </w:tc>
        <w:tc>
          <w:tcPr>
            <w:tcW w:w="0" w:type="auto"/>
            <w:noWrap w:val="0"/>
            <w:vAlign w:val="center"/>
          </w:tcPr>
          <w:p w14:paraId="01DAEFCD">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1DDA6586">
            <w:pPr>
              <w:jc w:val="center"/>
              <w:rPr>
                <w:rFonts w:ascii="宋体" w:hAnsi="宋体" w:cs="宋体"/>
                <w:color w:val="000000"/>
                <w:szCs w:val="21"/>
              </w:rPr>
            </w:pPr>
            <w:r>
              <w:rPr>
                <w:rFonts w:hint="eastAsia"/>
                <w:color w:val="000000"/>
                <w:szCs w:val="21"/>
              </w:rPr>
              <w:t>414</w:t>
            </w:r>
          </w:p>
        </w:tc>
      </w:tr>
      <w:tr w14:paraId="4AD6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6B07589">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8EB47DB">
            <w:pPr>
              <w:spacing w:before="100" w:beforeAutospacing="1" w:after="100" w:afterAutospacing="1" w:line="240" w:lineRule="atLeast"/>
              <w:jc w:val="center"/>
              <w:rPr>
                <w:rFonts w:eastAsia="楷体_GB2312"/>
                <w:kern w:val="0"/>
                <w:szCs w:val="21"/>
              </w:rPr>
            </w:pPr>
          </w:p>
        </w:tc>
        <w:tc>
          <w:tcPr>
            <w:tcW w:w="0" w:type="auto"/>
            <w:noWrap w:val="0"/>
            <w:vAlign w:val="center"/>
          </w:tcPr>
          <w:p w14:paraId="323F4CFC">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5491636E">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0" w:type="auto"/>
            <w:noWrap w:val="0"/>
            <w:vAlign w:val="center"/>
          </w:tcPr>
          <w:p w14:paraId="7AF78F3A">
            <w:pPr>
              <w:jc w:val="center"/>
              <w:rPr>
                <w:rFonts w:ascii="宋体" w:hAnsi="宋体" w:cs="宋体"/>
                <w:color w:val="000000"/>
                <w:szCs w:val="21"/>
              </w:rPr>
            </w:pPr>
            <w:r>
              <w:rPr>
                <w:rFonts w:hint="eastAsia"/>
                <w:color w:val="000000"/>
                <w:szCs w:val="21"/>
              </w:rPr>
              <w:t>468</w:t>
            </w:r>
          </w:p>
        </w:tc>
        <w:tc>
          <w:tcPr>
            <w:tcW w:w="0" w:type="auto"/>
            <w:noWrap w:val="0"/>
            <w:vAlign w:val="center"/>
          </w:tcPr>
          <w:p w14:paraId="07DB942C">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027A7FDB">
            <w:pPr>
              <w:jc w:val="center"/>
              <w:rPr>
                <w:rFonts w:ascii="宋体" w:hAnsi="宋体" w:cs="宋体"/>
                <w:color w:val="000000"/>
                <w:szCs w:val="21"/>
              </w:rPr>
            </w:pPr>
            <w:r>
              <w:rPr>
                <w:rFonts w:hint="eastAsia"/>
                <w:color w:val="000000"/>
                <w:szCs w:val="21"/>
              </w:rPr>
              <w:t>296</w:t>
            </w:r>
          </w:p>
        </w:tc>
      </w:tr>
      <w:tr w14:paraId="72E2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3D453EF">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F638E41">
            <w:pPr>
              <w:spacing w:before="100" w:beforeAutospacing="1" w:after="100" w:afterAutospacing="1" w:line="240" w:lineRule="atLeast"/>
              <w:jc w:val="center"/>
              <w:rPr>
                <w:rFonts w:eastAsia="楷体_GB2312"/>
                <w:kern w:val="0"/>
                <w:szCs w:val="21"/>
              </w:rPr>
            </w:pPr>
          </w:p>
        </w:tc>
        <w:tc>
          <w:tcPr>
            <w:tcW w:w="0" w:type="auto"/>
            <w:noWrap w:val="0"/>
            <w:vAlign w:val="center"/>
          </w:tcPr>
          <w:p w14:paraId="4597EE27">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7E7AE76A">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75668732">
            <w:pPr>
              <w:jc w:val="center"/>
              <w:rPr>
                <w:rFonts w:ascii="宋体" w:hAnsi="宋体" w:cs="宋体"/>
                <w:color w:val="000000"/>
                <w:szCs w:val="21"/>
              </w:rPr>
            </w:pPr>
            <w:r>
              <w:rPr>
                <w:rFonts w:hint="eastAsia"/>
                <w:color w:val="000000"/>
                <w:szCs w:val="21"/>
              </w:rPr>
              <w:t>385</w:t>
            </w:r>
          </w:p>
        </w:tc>
        <w:tc>
          <w:tcPr>
            <w:tcW w:w="0" w:type="auto"/>
            <w:noWrap w:val="0"/>
            <w:vAlign w:val="center"/>
          </w:tcPr>
          <w:p w14:paraId="7B84B3AA">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6568CEC0">
            <w:pPr>
              <w:jc w:val="center"/>
              <w:rPr>
                <w:rFonts w:ascii="宋体" w:hAnsi="宋体" w:cs="宋体"/>
                <w:color w:val="000000"/>
                <w:szCs w:val="21"/>
              </w:rPr>
            </w:pPr>
            <w:r>
              <w:rPr>
                <w:rFonts w:hint="eastAsia"/>
                <w:color w:val="000000"/>
                <w:szCs w:val="21"/>
              </w:rPr>
              <w:t>227</w:t>
            </w:r>
          </w:p>
        </w:tc>
      </w:tr>
      <w:tr w14:paraId="78DB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3E261EDA">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vMerge w:val="restart"/>
            <w:noWrap w:val="0"/>
            <w:vAlign w:val="center"/>
          </w:tcPr>
          <w:p w14:paraId="02F085F2">
            <w:pPr>
              <w:spacing w:before="100" w:beforeAutospacing="1" w:after="100" w:afterAutospacing="1" w:line="240" w:lineRule="atLeast"/>
              <w:jc w:val="center"/>
              <w:rPr>
                <w:rFonts w:eastAsia="楷体_GB2312"/>
                <w:kern w:val="0"/>
                <w:szCs w:val="21"/>
              </w:rPr>
            </w:pPr>
            <w:r>
              <w:rPr>
                <w:rFonts w:hint="eastAsia" w:eastAsia="楷体_GB2312"/>
                <w:kern w:val="0"/>
                <w:szCs w:val="21"/>
              </w:rPr>
              <w:t>大店镇</w:t>
            </w:r>
          </w:p>
        </w:tc>
        <w:tc>
          <w:tcPr>
            <w:tcW w:w="0" w:type="auto"/>
            <w:noWrap w:val="0"/>
            <w:vAlign w:val="center"/>
          </w:tcPr>
          <w:p w14:paraId="528A810D">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3E6797BA">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18A8F771">
            <w:pPr>
              <w:jc w:val="center"/>
              <w:rPr>
                <w:rFonts w:ascii="宋体" w:hAnsi="宋体" w:cs="宋体"/>
                <w:color w:val="000000"/>
                <w:szCs w:val="21"/>
              </w:rPr>
            </w:pPr>
            <w:r>
              <w:rPr>
                <w:rFonts w:hint="eastAsia"/>
                <w:color w:val="000000"/>
                <w:szCs w:val="21"/>
              </w:rPr>
              <w:t>524</w:t>
            </w:r>
          </w:p>
        </w:tc>
        <w:tc>
          <w:tcPr>
            <w:tcW w:w="0" w:type="auto"/>
            <w:noWrap w:val="0"/>
            <w:vAlign w:val="center"/>
          </w:tcPr>
          <w:p w14:paraId="7A50B0E0">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2C5692EB">
            <w:pPr>
              <w:jc w:val="center"/>
              <w:rPr>
                <w:rFonts w:ascii="宋体" w:hAnsi="宋体" w:cs="宋体"/>
                <w:color w:val="000000"/>
                <w:szCs w:val="21"/>
              </w:rPr>
            </w:pPr>
            <w:r>
              <w:rPr>
                <w:rFonts w:hint="eastAsia"/>
                <w:color w:val="000000"/>
                <w:szCs w:val="21"/>
              </w:rPr>
              <w:t>392</w:t>
            </w:r>
          </w:p>
        </w:tc>
      </w:tr>
      <w:tr w14:paraId="4CD75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4B95C672">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6D33133">
            <w:pPr>
              <w:spacing w:before="100" w:beforeAutospacing="1" w:after="100" w:afterAutospacing="1" w:line="240" w:lineRule="atLeast"/>
              <w:jc w:val="center"/>
              <w:rPr>
                <w:rFonts w:eastAsia="楷体_GB2312"/>
                <w:kern w:val="0"/>
                <w:szCs w:val="21"/>
              </w:rPr>
            </w:pPr>
          </w:p>
        </w:tc>
        <w:tc>
          <w:tcPr>
            <w:tcW w:w="0" w:type="auto"/>
            <w:noWrap w:val="0"/>
            <w:vAlign w:val="center"/>
          </w:tcPr>
          <w:p w14:paraId="0AB29E18">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5920F0E1">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0" w:type="auto"/>
            <w:noWrap w:val="0"/>
            <w:vAlign w:val="center"/>
          </w:tcPr>
          <w:p w14:paraId="17FE11FB">
            <w:pPr>
              <w:jc w:val="center"/>
              <w:rPr>
                <w:rFonts w:ascii="宋体" w:hAnsi="宋体" w:cs="宋体"/>
                <w:color w:val="000000"/>
                <w:szCs w:val="21"/>
              </w:rPr>
            </w:pPr>
            <w:r>
              <w:rPr>
                <w:rFonts w:hint="eastAsia"/>
                <w:color w:val="000000"/>
                <w:szCs w:val="21"/>
              </w:rPr>
              <w:t>439</w:t>
            </w:r>
          </w:p>
        </w:tc>
        <w:tc>
          <w:tcPr>
            <w:tcW w:w="0" w:type="auto"/>
            <w:noWrap w:val="0"/>
            <w:vAlign w:val="center"/>
          </w:tcPr>
          <w:p w14:paraId="655258A0">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0" w:type="auto"/>
            <w:noWrap w:val="0"/>
            <w:vAlign w:val="center"/>
          </w:tcPr>
          <w:p w14:paraId="5C01CFE5">
            <w:pPr>
              <w:jc w:val="center"/>
              <w:rPr>
                <w:rFonts w:ascii="宋体" w:hAnsi="宋体" w:cs="宋体"/>
                <w:color w:val="000000"/>
                <w:szCs w:val="21"/>
              </w:rPr>
            </w:pPr>
            <w:r>
              <w:rPr>
                <w:rFonts w:hint="eastAsia"/>
                <w:color w:val="000000"/>
                <w:szCs w:val="21"/>
              </w:rPr>
              <w:t>288</w:t>
            </w:r>
          </w:p>
        </w:tc>
      </w:tr>
      <w:tr w14:paraId="4232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5605325">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FB74E23">
            <w:pPr>
              <w:spacing w:before="100" w:beforeAutospacing="1" w:after="100" w:afterAutospacing="1" w:line="240" w:lineRule="atLeast"/>
              <w:jc w:val="center"/>
              <w:rPr>
                <w:rFonts w:eastAsia="楷体_GB2312"/>
                <w:kern w:val="0"/>
                <w:szCs w:val="21"/>
              </w:rPr>
            </w:pPr>
          </w:p>
        </w:tc>
        <w:tc>
          <w:tcPr>
            <w:tcW w:w="0" w:type="auto"/>
            <w:noWrap w:val="0"/>
            <w:vAlign w:val="center"/>
          </w:tcPr>
          <w:p w14:paraId="71ADB74D">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792D5E17">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0" w:type="auto"/>
            <w:noWrap w:val="0"/>
            <w:vAlign w:val="center"/>
          </w:tcPr>
          <w:p w14:paraId="11641188">
            <w:pPr>
              <w:jc w:val="center"/>
              <w:rPr>
                <w:rFonts w:ascii="宋体" w:hAnsi="宋体" w:cs="宋体"/>
                <w:color w:val="000000"/>
                <w:szCs w:val="21"/>
              </w:rPr>
            </w:pPr>
            <w:r>
              <w:rPr>
                <w:rFonts w:hint="eastAsia"/>
                <w:color w:val="000000"/>
                <w:szCs w:val="21"/>
              </w:rPr>
              <w:t>340</w:t>
            </w:r>
          </w:p>
        </w:tc>
        <w:tc>
          <w:tcPr>
            <w:tcW w:w="0" w:type="auto"/>
            <w:noWrap w:val="0"/>
            <w:vAlign w:val="center"/>
          </w:tcPr>
          <w:p w14:paraId="23F1D6EB">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4019707D">
            <w:pPr>
              <w:jc w:val="center"/>
              <w:rPr>
                <w:rFonts w:ascii="宋体" w:hAnsi="宋体" w:cs="宋体"/>
                <w:color w:val="000000"/>
                <w:szCs w:val="21"/>
              </w:rPr>
            </w:pPr>
            <w:r>
              <w:rPr>
                <w:rFonts w:hint="eastAsia"/>
                <w:color w:val="000000"/>
                <w:szCs w:val="21"/>
              </w:rPr>
              <w:t>218</w:t>
            </w:r>
          </w:p>
        </w:tc>
      </w:tr>
      <w:tr w14:paraId="648EA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1E25A1A2">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0" w:type="auto"/>
            <w:vMerge w:val="restart"/>
            <w:noWrap w:val="0"/>
            <w:vAlign w:val="center"/>
          </w:tcPr>
          <w:p w14:paraId="1C1EBFEB">
            <w:pPr>
              <w:spacing w:before="100" w:beforeAutospacing="1" w:after="100" w:afterAutospacing="1" w:line="240" w:lineRule="atLeast"/>
              <w:jc w:val="center"/>
              <w:rPr>
                <w:rFonts w:eastAsia="楷体_GB2312"/>
                <w:kern w:val="0"/>
                <w:szCs w:val="21"/>
              </w:rPr>
            </w:pPr>
            <w:r>
              <w:rPr>
                <w:rFonts w:hint="eastAsia" w:eastAsia="楷体_GB2312"/>
                <w:kern w:val="0"/>
                <w:szCs w:val="21"/>
              </w:rPr>
              <w:t>栏杆镇</w:t>
            </w:r>
          </w:p>
        </w:tc>
        <w:tc>
          <w:tcPr>
            <w:tcW w:w="0" w:type="auto"/>
            <w:noWrap w:val="0"/>
            <w:vAlign w:val="center"/>
          </w:tcPr>
          <w:p w14:paraId="3519DFC0">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6C5DEF61">
            <w:pPr>
              <w:spacing w:before="100" w:beforeAutospacing="1" w:after="100" w:afterAutospacing="1" w:line="240" w:lineRule="atLeast"/>
              <w:jc w:val="center"/>
              <w:rPr>
                <w:rFonts w:eastAsia="楷体_GB2312"/>
                <w:kern w:val="0"/>
                <w:szCs w:val="21"/>
              </w:rPr>
            </w:pPr>
            <w:r>
              <w:rPr>
                <w:rFonts w:hint="eastAsia" w:eastAsia="楷体_GB2312"/>
                <w:kern w:val="0"/>
                <w:szCs w:val="21"/>
              </w:rPr>
              <w:t>21</w:t>
            </w:r>
          </w:p>
        </w:tc>
        <w:tc>
          <w:tcPr>
            <w:tcW w:w="0" w:type="auto"/>
            <w:noWrap w:val="0"/>
            <w:vAlign w:val="center"/>
          </w:tcPr>
          <w:p w14:paraId="6C0B4CB0">
            <w:pPr>
              <w:jc w:val="center"/>
              <w:rPr>
                <w:rFonts w:ascii="宋体" w:hAnsi="宋体" w:cs="宋体"/>
                <w:color w:val="000000"/>
                <w:szCs w:val="21"/>
              </w:rPr>
            </w:pPr>
            <w:r>
              <w:rPr>
                <w:rFonts w:hint="eastAsia"/>
                <w:color w:val="000000"/>
                <w:szCs w:val="21"/>
              </w:rPr>
              <w:t>494</w:t>
            </w:r>
          </w:p>
        </w:tc>
        <w:tc>
          <w:tcPr>
            <w:tcW w:w="0" w:type="auto"/>
            <w:noWrap w:val="0"/>
            <w:vAlign w:val="center"/>
          </w:tcPr>
          <w:p w14:paraId="4B0A531F">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7FF47AB9">
            <w:pPr>
              <w:jc w:val="center"/>
              <w:rPr>
                <w:rFonts w:ascii="宋体" w:hAnsi="宋体" w:cs="宋体"/>
                <w:color w:val="000000"/>
                <w:szCs w:val="21"/>
              </w:rPr>
            </w:pPr>
            <w:r>
              <w:rPr>
                <w:rFonts w:hint="eastAsia"/>
                <w:color w:val="000000"/>
                <w:szCs w:val="21"/>
              </w:rPr>
              <w:t>379</w:t>
            </w:r>
          </w:p>
        </w:tc>
      </w:tr>
      <w:tr w14:paraId="39308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8AD0D46">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45537AAF">
            <w:pPr>
              <w:spacing w:before="100" w:beforeAutospacing="1" w:after="100" w:afterAutospacing="1" w:line="240" w:lineRule="atLeast"/>
              <w:jc w:val="center"/>
              <w:rPr>
                <w:rFonts w:eastAsia="楷体_GB2312"/>
                <w:kern w:val="0"/>
                <w:szCs w:val="21"/>
              </w:rPr>
            </w:pPr>
          </w:p>
        </w:tc>
        <w:tc>
          <w:tcPr>
            <w:tcW w:w="0" w:type="auto"/>
            <w:noWrap w:val="0"/>
            <w:vAlign w:val="center"/>
          </w:tcPr>
          <w:p w14:paraId="412B9722">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208D1FEE">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442961E6">
            <w:pPr>
              <w:jc w:val="center"/>
              <w:rPr>
                <w:rFonts w:ascii="宋体" w:hAnsi="宋体" w:cs="宋体"/>
                <w:color w:val="000000"/>
                <w:szCs w:val="21"/>
              </w:rPr>
            </w:pPr>
            <w:r>
              <w:rPr>
                <w:rFonts w:hint="eastAsia"/>
                <w:color w:val="000000"/>
                <w:szCs w:val="21"/>
              </w:rPr>
              <w:t>402</w:t>
            </w:r>
          </w:p>
        </w:tc>
        <w:tc>
          <w:tcPr>
            <w:tcW w:w="0" w:type="auto"/>
            <w:noWrap w:val="0"/>
            <w:vAlign w:val="center"/>
          </w:tcPr>
          <w:p w14:paraId="44AF00E2">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0" w:type="auto"/>
            <w:noWrap w:val="0"/>
            <w:vAlign w:val="center"/>
          </w:tcPr>
          <w:p w14:paraId="53163663">
            <w:pPr>
              <w:jc w:val="center"/>
              <w:rPr>
                <w:rFonts w:ascii="宋体" w:hAnsi="宋体" w:cs="宋体"/>
                <w:color w:val="000000"/>
                <w:szCs w:val="21"/>
              </w:rPr>
            </w:pPr>
            <w:r>
              <w:rPr>
                <w:rFonts w:hint="eastAsia"/>
                <w:color w:val="000000"/>
                <w:szCs w:val="21"/>
              </w:rPr>
              <w:t>304</w:t>
            </w:r>
          </w:p>
        </w:tc>
      </w:tr>
      <w:tr w14:paraId="2263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7CC346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331E5812">
            <w:pPr>
              <w:spacing w:before="100" w:beforeAutospacing="1" w:after="100" w:afterAutospacing="1" w:line="240" w:lineRule="atLeast"/>
              <w:jc w:val="center"/>
              <w:rPr>
                <w:rFonts w:eastAsia="楷体_GB2312"/>
                <w:kern w:val="0"/>
                <w:szCs w:val="21"/>
              </w:rPr>
            </w:pPr>
          </w:p>
        </w:tc>
        <w:tc>
          <w:tcPr>
            <w:tcW w:w="0" w:type="auto"/>
            <w:noWrap w:val="0"/>
            <w:vAlign w:val="center"/>
          </w:tcPr>
          <w:p w14:paraId="0B8D0106">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261893F5">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2DEC6FB9">
            <w:pPr>
              <w:jc w:val="center"/>
              <w:rPr>
                <w:rFonts w:ascii="宋体" w:hAnsi="宋体" w:cs="宋体"/>
                <w:color w:val="000000"/>
                <w:szCs w:val="21"/>
              </w:rPr>
            </w:pPr>
            <w:r>
              <w:rPr>
                <w:rFonts w:hint="eastAsia"/>
                <w:color w:val="000000"/>
                <w:szCs w:val="21"/>
              </w:rPr>
              <w:t>312</w:t>
            </w:r>
          </w:p>
        </w:tc>
        <w:tc>
          <w:tcPr>
            <w:tcW w:w="0" w:type="auto"/>
            <w:noWrap w:val="0"/>
            <w:vAlign w:val="center"/>
          </w:tcPr>
          <w:p w14:paraId="69D7922E">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58712BB2">
            <w:pPr>
              <w:jc w:val="center"/>
              <w:rPr>
                <w:rFonts w:ascii="宋体" w:hAnsi="宋体" w:cs="宋体"/>
                <w:color w:val="000000"/>
                <w:szCs w:val="21"/>
              </w:rPr>
            </w:pPr>
            <w:r>
              <w:rPr>
                <w:rFonts w:hint="eastAsia"/>
                <w:color w:val="000000"/>
                <w:szCs w:val="21"/>
              </w:rPr>
              <w:t>234</w:t>
            </w:r>
          </w:p>
        </w:tc>
      </w:tr>
      <w:tr w14:paraId="7527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62756E82">
            <w:pPr>
              <w:spacing w:before="100" w:beforeAutospacing="1" w:after="100" w:afterAutospacing="1" w:line="240" w:lineRule="atLeast"/>
              <w:jc w:val="center"/>
              <w:rPr>
                <w:rFonts w:eastAsia="楷体_GB2312"/>
                <w:kern w:val="0"/>
                <w:szCs w:val="21"/>
              </w:rPr>
            </w:pPr>
            <w:r>
              <w:rPr>
                <w:rFonts w:hint="eastAsia" w:eastAsia="楷体_GB2312"/>
                <w:kern w:val="0"/>
                <w:szCs w:val="21"/>
              </w:rPr>
              <w:t>7</w:t>
            </w:r>
          </w:p>
        </w:tc>
        <w:tc>
          <w:tcPr>
            <w:tcW w:w="0" w:type="auto"/>
            <w:vMerge w:val="restart"/>
            <w:noWrap w:val="0"/>
            <w:vAlign w:val="center"/>
          </w:tcPr>
          <w:p w14:paraId="0E1A83C5">
            <w:pPr>
              <w:spacing w:before="100" w:beforeAutospacing="1" w:after="100" w:afterAutospacing="1" w:line="240" w:lineRule="atLeast"/>
              <w:jc w:val="center"/>
              <w:rPr>
                <w:rFonts w:eastAsia="楷体_GB2312"/>
                <w:kern w:val="0"/>
                <w:szCs w:val="21"/>
              </w:rPr>
            </w:pPr>
            <w:r>
              <w:rPr>
                <w:rFonts w:hint="eastAsia" w:eastAsia="楷体_GB2312"/>
                <w:kern w:val="0"/>
                <w:szCs w:val="21"/>
              </w:rPr>
              <w:t>时村镇</w:t>
            </w:r>
          </w:p>
        </w:tc>
        <w:tc>
          <w:tcPr>
            <w:tcW w:w="0" w:type="auto"/>
            <w:noWrap w:val="0"/>
            <w:vAlign w:val="center"/>
          </w:tcPr>
          <w:p w14:paraId="20102111">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718FBB0D">
            <w:pPr>
              <w:spacing w:before="100" w:beforeAutospacing="1" w:after="100" w:afterAutospacing="1" w:line="240" w:lineRule="atLeast"/>
              <w:jc w:val="center"/>
              <w:rPr>
                <w:rFonts w:eastAsia="楷体_GB2312"/>
                <w:kern w:val="0"/>
                <w:szCs w:val="21"/>
              </w:rPr>
            </w:pPr>
            <w:r>
              <w:rPr>
                <w:rFonts w:hint="eastAsia" w:eastAsia="楷体_GB2312"/>
                <w:kern w:val="0"/>
                <w:szCs w:val="21"/>
              </w:rPr>
              <w:t>19</w:t>
            </w:r>
          </w:p>
        </w:tc>
        <w:tc>
          <w:tcPr>
            <w:tcW w:w="0" w:type="auto"/>
            <w:noWrap w:val="0"/>
            <w:vAlign w:val="center"/>
          </w:tcPr>
          <w:p w14:paraId="130DA6EF">
            <w:pPr>
              <w:jc w:val="center"/>
              <w:rPr>
                <w:rFonts w:ascii="宋体" w:hAnsi="宋体" w:cs="宋体"/>
                <w:color w:val="000000"/>
                <w:szCs w:val="21"/>
              </w:rPr>
            </w:pPr>
            <w:r>
              <w:rPr>
                <w:rFonts w:hint="eastAsia"/>
                <w:color w:val="000000"/>
                <w:szCs w:val="21"/>
              </w:rPr>
              <w:t>536</w:t>
            </w:r>
          </w:p>
        </w:tc>
        <w:tc>
          <w:tcPr>
            <w:tcW w:w="0" w:type="auto"/>
            <w:noWrap w:val="0"/>
            <w:vAlign w:val="center"/>
          </w:tcPr>
          <w:p w14:paraId="5D9E3F4C">
            <w:pPr>
              <w:spacing w:before="100" w:beforeAutospacing="1" w:after="100" w:afterAutospacing="1" w:line="240" w:lineRule="atLeast"/>
              <w:jc w:val="center"/>
              <w:rPr>
                <w:rFonts w:eastAsia="楷体_GB2312"/>
                <w:kern w:val="0"/>
                <w:szCs w:val="21"/>
              </w:rPr>
            </w:pPr>
            <w:r>
              <w:rPr>
                <w:rFonts w:hint="eastAsia" w:eastAsia="楷体_GB2312"/>
                <w:kern w:val="0"/>
                <w:szCs w:val="21"/>
              </w:rPr>
              <w:t>21</w:t>
            </w:r>
          </w:p>
        </w:tc>
        <w:tc>
          <w:tcPr>
            <w:tcW w:w="0" w:type="auto"/>
            <w:noWrap w:val="0"/>
            <w:vAlign w:val="center"/>
          </w:tcPr>
          <w:p w14:paraId="63805D7C">
            <w:pPr>
              <w:jc w:val="center"/>
              <w:rPr>
                <w:rFonts w:ascii="宋体" w:hAnsi="宋体" w:cs="宋体"/>
                <w:color w:val="000000"/>
                <w:szCs w:val="21"/>
              </w:rPr>
            </w:pPr>
            <w:r>
              <w:rPr>
                <w:rFonts w:hint="eastAsia"/>
                <w:color w:val="000000"/>
                <w:szCs w:val="21"/>
              </w:rPr>
              <w:t>386</w:t>
            </w:r>
          </w:p>
        </w:tc>
      </w:tr>
      <w:tr w14:paraId="1B1F4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89EA404">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26BB2FE">
            <w:pPr>
              <w:spacing w:before="100" w:beforeAutospacing="1" w:after="100" w:afterAutospacing="1" w:line="240" w:lineRule="atLeast"/>
              <w:jc w:val="center"/>
              <w:rPr>
                <w:rFonts w:eastAsia="楷体_GB2312"/>
                <w:kern w:val="0"/>
                <w:szCs w:val="21"/>
              </w:rPr>
            </w:pPr>
          </w:p>
        </w:tc>
        <w:tc>
          <w:tcPr>
            <w:tcW w:w="0" w:type="auto"/>
            <w:noWrap w:val="0"/>
            <w:vAlign w:val="center"/>
          </w:tcPr>
          <w:p w14:paraId="6A002DE3">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086DFE7E">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5EAC7416">
            <w:pPr>
              <w:jc w:val="center"/>
              <w:rPr>
                <w:rFonts w:ascii="宋体" w:hAnsi="宋体" w:cs="宋体"/>
                <w:color w:val="000000"/>
                <w:szCs w:val="21"/>
              </w:rPr>
            </w:pPr>
            <w:r>
              <w:rPr>
                <w:rFonts w:hint="eastAsia"/>
                <w:color w:val="000000"/>
                <w:szCs w:val="21"/>
              </w:rPr>
              <w:t>397</w:t>
            </w:r>
          </w:p>
        </w:tc>
        <w:tc>
          <w:tcPr>
            <w:tcW w:w="0" w:type="auto"/>
            <w:noWrap w:val="0"/>
            <w:vAlign w:val="center"/>
          </w:tcPr>
          <w:p w14:paraId="40F3AE07">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0" w:type="auto"/>
            <w:noWrap w:val="0"/>
            <w:vAlign w:val="center"/>
          </w:tcPr>
          <w:p w14:paraId="336EA373">
            <w:pPr>
              <w:jc w:val="center"/>
              <w:rPr>
                <w:rFonts w:ascii="宋体" w:hAnsi="宋体" w:cs="宋体"/>
                <w:color w:val="000000"/>
                <w:szCs w:val="21"/>
              </w:rPr>
            </w:pPr>
            <w:r>
              <w:rPr>
                <w:rFonts w:hint="eastAsia"/>
                <w:color w:val="000000"/>
                <w:szCs w:val="21"/>
              </w:rPr>
              <w:t>277</w:t>
            </w:r>
          </w:p>
        </w:tc>
      </w:tr>
      <w:tr w14:paraId="12023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8FF8214">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BF8C199">
            <w:pPr>
              <w:spacing w:before="100" w:beforeAutospacing="1" w:after="100" w:afterAutospacing="1" w:line="240" w:lineRule="atLeast"/>
              <w:jc w:val="center"/>
              <w:rPr>
                <w:rFonts w:eastAsia="楷体_GB2312"/>
                <w:kern w:val="0"/>
                <w:szCs w:val="21"/>
              </w:rPr>
            </w:pPr>
          </w:p>
        </w:tc>
        <w:tc>
          <w:tcPr>
            <w:tcW w:w="0" w:type="auto"/>
            <w:noWrap w:val="0"/>
            <w:vAlign w:val="center"/>
          </w:tcPr>
          <w:p w14:paraId="37EC45D2">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5D3D343D">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4133FA7B">
            <w:pPr>
              <w:jc w:val="center"/>
              <w:rPr>
                <w:rFonts w:ascii="宋体" w:hAnsi="宋体" w:cs="宋体"/>
                <w:color w:val="000000"/>
                <w:szCs w:val="21"/>
              </w:rPr>
            </w:pPr>
            <w:r>
              <w:rPr>
                <w:rFonts w:hint="eastAsia"/>
                <w:color w:val="000000"/>
                <w:szCs w:val="21"/>
              </w:rPr>
              <w:t>309</w:t>
            </w:r>
          </w:p>
        </w:tc>
        <w:tc>
          <w:tcPr>
            <w:tcW w:w="0" w:type="auto"/>
            <w:noWrap w:val="0"/>
            <w:vAlign w:val="center"/>
          </w:tcPr>
          <w:p w14:paraId="53917E93">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2C58C01E">
            <w:pPr>
              <w:jc w:val="center"/>
              <w:rPr>
                <w:rFonts w:ascii="宋体" w:hAnsi="宋体" w:cs="宋体"/>
                <w:color w:val="000000"/>
                <w:szCs w:val="21"/>
              </w:rPr>
            </w:pPr>
            <w:r>
              <w:rPr>
                <w:rFonts w:hint="eastAsia"/>
                <w:color w:val="000000"/>
                <w:szCs w:val="21"/>
              </w:rPr>
              <w:t>196</w:t>
            </w:r>
          </w:p>
        </w:tc>
      </w:tr>
      <w:tr w14:paraId="0C40E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4A56BBEE">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0" w:type="auto"/>
            <w:vMerge w:val="restart"/>
            <w:noWrap w:val="0"/>
            <w:vAlign w:val="center"/>
          </w:tcPr>
          <w:p w14:paraId="208FF185">
            <w:pPr>
              <w:spacing w:before="100" w:beforeAutospacing="1" w:after="100" w:afterAutospacing="1" w:line="240" w:lineRule="atLeast"/>
              <w:jc w:val="center"/>
              <w:rPr>
                <w:rFonts w:eastAsia="楷体_GB2312"/>
                <w:kern w:val="0"/>
                <w:szCs w:val="21"/>
              </w:rPr>
            </w:pPr>
            <w:r>
              <w:rPr>
                <w:rFonts w:hint="eastAsia" w:eastAsia="楷体_GB2312"/>
                <w:kern w:val="0"/>
                <w:szCs w:val="21"/>
              </w:rPr>
              <w:t>夹沟镇</w:t>
            </w:r>
          </w:p>
        </w:tc>
        <w:tc>
          <w:tcPr>
            <w:tcW w:w="0" w:type="auto"/>
            <w:noWrap w:val="0"/>
            <w:vAlign w:val="center"/>
          </w:tcPr>
          <w:p w14:paraId="4A531277">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5C53F262">
            <w:pPr>
              <w:spacing w:before="100" w:beforeAutospacing="1" w:after="100" w:afterAutospacing="1" w:line="240" w:lineRule="atLeast"/>
              <w:jc w:val="center"/>
              <w:rPr>
                <w:rFonts w:eastAsia="楷体_GB2312"/>
                <w:kern w:val="0"/>
                <w:szCs w:val="21"/>
              </w:rPr>
            </w:pPr>
            <w:r>
              <w:rPr>
                <w:rFonts w:hint="eastAsia" w:eastAsia="楷体_GB2312"/>
                <w:kern w:val="0"/>
                <w:szCs w:val="21"/>
              </w:rPr>
              <w:t>21</w:t>
            </w:r>
          </w:p>
        </w:tc>
        <w:tc>
          <w:tcPr>
            <w:tcW w:w="0" w:type="auto"/>
            <w:noWrap w:val="0"/>
            <w:vAlign w:val="center"/>
          </w:tcPr>
          <w:p w14:paraId="370189A6">
            <w:pPr>
              <w:jc w:val="center"/>
              <w:rPr>
                <w:rFonts w:ascii="宋体" w:hAnsi="宋体" w:cs="宋体"/>
                <w:color w:val="000000"/>
                <w:szCs w:val="21"/>
              </w:rPr>
            </w:pPr>
            <w:r>
              <w:rPr>
                <w:rFonts w:hint="eastAsia"/>
                <w:color w:val="000000"/>
                <w:szCs w:val="21"/>
              </w:rPr>
              <w:t>515</w:t>
            </w:r>
          </w:p>
        </w:tc>
        <w:tc>
          <w:tcPr>
            <w:tcW w:w="0" w:type="auto"/>
            <w:noWrap w:val="0"/>
            <w:vAlign w:val="center"/>
          </w:tcPr>
          <w:p w14:paraId="198ED04D">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2BC4A25E">
            <w:pPr>
              <w:jc w:val="center"/>
              <w:rPr>
                <w:rFonts w:ascii="宋体" w:hAnsi="宋体" w:cs="宋体"/>
                <w:color w:val="000000"/>
                <w:szCs w:val="21"/>
              </w:rPr>
            </w:pPr>
            <w:r>
              <w:rPr>
                <w:rFonts w:hint="eastAsia"/>
                <w:color w:val="000000"/>
                <w:szCs w:val="21"/>
              </w:rPr>
              <w:t>361</w:t>
            </w:r>
          </w:p>
        </w:tc>
      </w:tr>
      <w:tr w14:paraId="1681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2A6A49F">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3155A2AE">
            <w:pPr>
              <w:spacing w:before="100" w:beforeAutospacing="1" w:after="100" w:afterAutospacing="1" w:line="240" w:lineRule="atLeast"/>
              <w:jc w:val="center"/>
              <w:rPr>
                <w:rFonts w:eastAsia="楷体_GB2312"/>
                <w:kern w:val="0"/>
                <w:szCs w:val="21"/>
              </w:rPr>
            </w:pPr>
          </w:p>
        </w:tc>
        <w:tc>
          <w:tcPr>
            <w:tcW w:w="0" w:type="auto"/>
            <w:noWrap w:val="0"/>
            <w:vAlign w:val="center"/>
          </w:tcPr>
          <w:p w14:paraId="24B961E9">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09AE6AEC">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0" w:type="auto"/>
            <w:noWrap w:val="0"/>
            <w:vAlign w:val="center"/>
          </w:tcPr>
          <w:p w14:paraId="3454E923">
            <w:pPr>
              <w:jc w:val="center"/>
              <w:rPr>
                <w:rFonts w:ascii="宋体" w:hAnsi="宋体" w:cs="宋体"/>
                <w:color w:val="000000"/>
                <w:szCs w:val="21"/>
              </w:rPr>
            </w:pPr>
            <w:r>
              <w:rPr>
                <w:rFonts w:hint="eastAsia"/>
                <w:color w:val="000000"/>
                <w:szCs w:val="21"/>
              </w:rPr>
              <w:t>399</w:t>
            </w:r>
          </w:p>
        </w:tc>
        <w:tc>
          <w:tcPr>
            <w:tcW w:w="0" w:type="auto"/>
            <w:noWrap w:val="0"/>
            <w:vAlign w:val="center"/>
          </w:tcPr>
          <w:p w14:paraId="19DA06BA">
            <w:pPr>
              <w:spacing w:before="100" w:beforeAutospacing="1" w:after="100" w:afterAutospacing="1" w:line="240" w:lineRule="atLeast"/>
              <w:jc w:val="center"/>
              <w:rPr>
                <w:rFonts w:eastAsia="楷体_GB2312"/>
                <w:kern w:val="0"/>
                <w:szCs w:val="21"/>
              </w:rPr>
            </w:pPr>
            <w:r>
              <w:rPr>
                <w:rFonts w:hint="eastAsia" w:eastAsia="楷体_GB2312"/>
                <w:kern w:val="0"/>
                <w:szCs w:val="21"/>
              </w:rPr>
              <w:t>13</w:t>
            </w:r>
          </w:p>
        </w:tc>
        <w:tc>
          <w:tcPr>
            <w:tcW w:w="0" w:type="auto"/>
            <w:noWrap w:val="0"/>
            <w:vAlign w:val="center"/>
          </w:tcPr>
          <w:p w14:paraId="6216C37F">
            <w:pPr>
              <w:jc w:val="center"/>
              <w:rPr>
                <w:rFonts w:ascii="宋体" w:hAnsi="宋体" w:cs="宋体"/>
                <w:color w:val="000000"/>
                <w:szCs w:val="21"/>
              </w:rPr>
            </w:pPr>
            <w:r>
              <w:rPr>
                <w:rFonts w:hint="eastAsia"/>
                <w:color w:val="000000"/>
                <w:szCs w:val="21"/>
              </w:rPr>
              <w:t>281</w:t>
            </w:r>
          </w:p>
        </w:tc>
      </w:tr>
      <w:tr w14:paraId="534B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BEE68FD">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31B0C7CC">
            <w:pPr>
              <w:spacing w:before="100" w:beforeAutospacing="1" w:after="100" w:afterAutospacing="1" w:line="240" w:lineRule="atLeast"/>
              <w:jc w:val="center"/>
              <w:rPr>
                <w:rFonts w:eastAsia="楷体_GB2312"/>
                <w:kern w:val="0"/>
                <w:szCs w:val="21"/>
              </w:rPr>
            </w:pPr>
          </w:p>
        </w:tc>
        <w:tc>
          <w:tcPr>
            <w:tcW w:w="0" w:type="auto"/>
            <w:noWrap w:val="0"/>
            <w:vAlign w:val="center"/>
          </w:tcPr>
          <w:p w14:paraId="64CD1D63">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3EB1DFCA">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0BCDDEFF">
            <w:pPr>
              <w:jc w:val="center"/>
              <w:rPr>
                <w:rFonts w:ascii="宋体" w:hAnsi="宋体" w:cs="宋体"/>
                <w:color w:val="000000"/>
                <w:szCs w:val="21"/>
              </w:rPr>
            </w:pPr>
            <w:r>
              <w:rPr>
                <w:rFonts w:hint="eastAsia"/>
                <w:color w:val="000000"/>
                <w:szCs w:val="21"/>
              </w:rPr>
              <w:t>315</w:t>
            </w:r>
          </w:p>
        </w:tc>
        <w:tc>
          <w:tcPr>
            <w:tcW w:w="0" w:type="auto"/>
            <w:noWrap w:val="0"/>
            <w:vAlign w:val="center"/>
          </w:tcPr>
          <w:p w14:paraId="29716131">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731CB5C9">
            <w:pPr>
              <w:jc w:val="center"/>
              <w:rPr>
                <w:rFonts w:ascii="宋体" w:hAnsi="宋体" w:cs="宋体"/>
                <w:color w:val="000000"/>
                <w:szCs w:val="21"/>
              </w:rPr>
            </w:pPr>
            <w:r>
              <w:rPr>
                <w:rFonts w:hint="eastAsia"/>
                <w:color w:val="000000"/>
                <w:szCs w:val="21"/>
              </w:rPr>
              <w:t>218</w:t>
            </w:r>
          </w:p>
        </w:tc>
      </w:tr>
      <w:tr w14:paraId="4F218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5383BB20">
            <w:pPr>
              <w:spacing w:before="100" w:beforeAutospacing="1" w:after="100" w:afterAutospacing="1" w:line="240" w:lineRule="atLeast"/>
              <w:jc w:val="center"/>
              <w:rPr>
                <w:rFonts w:eastAsia="楷体_GB2312"/>
                <w:kern w:val="0"/>
                <w:szCs w:val="21"/>
              </w:rPr>
            </w:pPr>
            <w:r>
              <w:rPr>
                <w:rFonts w:hint="eastAsia" w:eastAsia="楷体_GB2312"/>
                <w:kern w:val="0"/>
                <w:szCs w:val="21"/>
              </w:rPr>
              <w:t>9</w:t>
            </w:r>
          </w:p>
        </w:tc>
        <w:tc>
          <w:tcPr>
            <w:tcW w:w="0" w:type="auto"/>
            <w:vMerge w:val="restart"/>
            <w:noWrap w:val="0"/>
            <w:vAlign w:val="center"/>
          </w:tcPr>
          <w:p w14:paraId="5927092E">
            <w:pPr>
              <w:spacing w:before="100" w:beforeAutospacing="1" w:after="100" w:afterAutospacing="1" w:line="240" w:lineRule="atLeast"/>
              <w:jc w:val="center"/>
              <w:rPr>
                <w:rFonts w:eastAsia="楷体_GB2312"/>
                <w:kern w:val="0"/>
                <w:szCs w:val="21"/>
              </w:rPr>
            </w:pPr>
            <w:r>
              <w:rPr>
                <w:rFonts w:hint="eastAsia" w:eastAsia="楷体_GB2312"/>
                <w:kern w:val="0"/>
                <w:szCs w:val="21"/>
              </w:rPr>
              <w:t>西二铺乡</w:t>
            </w:r>
          </w:p>
        </w:tc>
        <w:tc>
          <w:tcPr>
            <w:tcW w:w="0" w:type="auto"/>
            <w:noWrap w:val="0"/>
            <w:vAlign w:val="center"/>
          </w:tcPr>
          <w:p w14:paraId="017E1B4E">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528A692A">
            <w:pPr>
              <w:spacing w:before="100" w:beforeAutospacing="1" w:after="100" w:afterAutospacing="1" w:line="240" w:lineRule="atLeast"/>
              <w:jc w:val="center"/>
              <w:rPr>
                <w:rFonts w:eastAsia="楷体_GB2312"/>
                <w:kern w:val="0"/>
                <w:szCs w:val="21"/>
              </w:rPr>
            </w:pPr>
            <w:r>
              <w:rPr>
                <w:rFonts w:hint="eastAsia" w:eastAsia="楷体_GB2312"/>
                <w:kern w:val="0"/>
                <w:szCs w:val="21"/>
              </w:rPr>
              <w:t>17</w:t>
            </w:r>
          </w:p>
        </w:tc>
        <w:tc>
          <w:tcPr>
            <w:tcW w:w="0" w:type="auto"/>
            <w:noWrap w:val="0"/>
            <w:vAlign w:val="center"/>
          </w:tcPr>
          <w:p w14:paraId="6ED80752">
            <w:pPr>
              <w:jc w:val="center"/>
              <w:rPr>
                <w:rFonts w:ascii="宋体" w:hAnsi="宋体" w:cs="宋体"/>
                <w:color w:val="000000"/>
                <w:szCs w:val="21"/>
              </w:rPr>
            </w:pPr>
            <w:r>
              <w:rPr>
                <w:rFonts w:hint="eastAsia"/>
                <w:color w:val="000000"/>
                <w:szCs w:val="21"/>
              </w:rPr>
              <w:t>525</w:t>
            </w:r>
          </w:p>
        </w:tc>
        <w:tc>
          <w:tcPr>
            <w:tcW w:w="0" w:type="auto"/>
            <w:noWrap w:val="0"/>
            <w:vAlign w:val="center"/>
          </w:tcPr>
          <w:p w14:paraId="65439E5C">
            <w:pPr>
              <w:spacing w:before="100" w:beforeAutospacing="1" w:after="100" w:afterAutospacing="1" w:line="240" w:lineRule="atLeast"/>
              <w:jc w:val="center"/>
              <w:rPr>
                <w:rFonts w:eastAsia="楷体_GB2312"/>
                <w:kern w:val="0"/>
                <w:szCs w:val="21"/>
              </w:rPr>
            </w:pPr>
            <w:r>
              <w:rPr>
                <w:rFonts w:hint="eastAsia" w:eastAsia="楷体_GB2312"/>
                <w:kern w:val="0"/>
                <w:szCs w:val="21"/>
              </w:rPr>
              <w:t>18</w:t>
            </w:r>
          </w:p>
        </w:tc>
        <w:tc>
          <w:tcPr>
            <w:tcW w:w="0" w:type="auto"/>
            <w:noWrap w:val="0"/>
            <w:vAlign w:val="center"/>
          </w:tcPr>
          <w:p w14:paraId="1A892949">
            <w:pPr>
              <w:jc w:val="center"/>
              <w:rPr>
                <w:rFonts w:ascii="宋体" w:hAnsi="宋体" w:cs="宋体"/>
                <w:color w:val="000000"/>
                <w:szCs w:val="21"/>
              </w:rPr>
            </w:pPr>
            <w:r>
              <w:rPr>
                <w:rFonts w:hint="eastAsia"/>
                <w:color w:val="000000"/>
                <w:szCs w:val="21"/>
              </w:rPr>
              <w:t>371</w:t>
            </w:r>
          </w:p>
        </w:tc>
      </w:tr>
      <w:tr w14:paraId="573E3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15D1844">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9451EC7">
            <w:pPr>
              <w:spacing w:before="100" w:beforeAutospacing="1" w:after="100" w:afterAutospacing="1" w:line="240" w:lineRule="atLeast"/>
              <w:jc w:val="center"/>
              <w:rPr>
                <w:rFonts w:eastAsia="楷体_GB2312"/>
                <w:kern w:val="0"/>
                <w:szCs w:val="21"/>
              </w:rPr>
            </w:pPr>
          </w:p>
        </w:tc>
        <w:tc>
          <w:tcPr>
            <w:tcW w:w="0" w:type="auto"/>
            <w:noWrap w:val="0"/>
            <w:vAlign w:val="center"/>
          </w:tcPr>
          <w:p w14:paraId="2E5B9B50">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0C2F91F2">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1B64F54E">
            <w:pPr>
              <w:jc w:val="center"/>
              <w:rPr>
                <w:rFonts w:ascii="宋体" w:hAnsi="宋体" w:cs="宋体"/>
                <w:color w:val="000000"/>
                <w:szCs w:val="21"/>
              </w:rPr>
            </w:pPr>
            <w:r>
              <w:rPr>
                <w:rFonts w:hint="eastAsia"/>
                <w:color w:val="000000"/>
                <w:szCs w:val="21"/>
              </w:rPr>
              <w:t>411</w:t>
            </w:r>
          </w:p>
        </w:tc>
        <w:tc>
          <w:tcPr>
            <w:tcW w:w="0" w:type="auto"/>
            <w:noWrap w:val="0"/>
            <w:vAlign w:val="center"/>
          </w:tcPr>
          <w:p w14:paraId="3991A0FE">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0" w:type="auto"/>
            <w:noWrap w:val="0"/>
            <w:vAlign w:val="center"/>
          </w:tcPr>
          <w:p w14:paraId="0AFDFE54">
            <w:pPr>
              <w:jc w:val="center"/>
              <w:rPr>
                <w:rFonts w:ascii="宋体" w:hAnsi="宋体" w:cs="宋体"/>
                <w:color w:val="000000"/>
                <w:szCs w:val="21"/>
              </w:rPr>
            </w:pPr>
            <w:r>
              <w:rPr>
                <w:rFonts w:hint="eastAsia"/>
                <w:color w:val="000000"/>
                <w:szCs w:val="21"/>
              </w:rPr>
              <w:t>288</w:t>
            </w:r>
          </w:p>
        </w:tc>
      </w:tr>
      <w:tr w14:paraId="6C15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E9850DC">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4AA40F18">
            <w:pPr>
              <w:spacing w:before="100" w:beforeAutospacing="1" w:after="100" w:afterAutospacing="1" w:line="240" w:lineRule="atLeast"/>
              <w:jc w:val="center"/>
              <w:rPr>
                <w:rFonts w:eastAsia="楷体_GB2312"/>
                <w:kern w:val="0"/>
                <w:szCs w:val="21"/>
              </w:rPr>
            </w:pPr>
          </w:p>
        </w:tc>
        <w:tc>
          <w:tcPr>
            <w:tcW w:w="0" w:type="auto"/>
            <w:noWrap w:val="0"/>
            <w:vAlign w:val="center"/>
          </w:tcPr>
          <w:p w14:paraId="0B5A8287">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0F183421">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010B896A">
            <w:pPr>
              <w:jc w:val="center"/>
              <w:rPr>
                <w:rFonts w:ascii="宋体" w:hAnsi="宋体" w:cs="宋体"/>
                <w:color w:val="000000"/>
                <w:szCs w:val="21"/>
              </w:rPr>
            </w:pPr>
            <w:r>
              <w:rPr>
                <w:rFonts w:hint="eastAsia"/>
                <w:color w:val="000000"/>
                <w:szCs w:val="21"/>
              </w:rPr>
              <w:t>301</w:t>
            </w:r>
          </w:p>
        </w:tc>
        <w:tc>
          <w:tcPr>
            <w:tcW w:w="0" w:type="auto"/>
            <w:noWrap w:val="0"/>
            <w:vAlign w:val="center"/>
          </w:tcPr>
          <w:p w14:paraId="7BEB44EE">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01DCA091">
            <w:pPr>
              <w:jc w:val="center"/>
              <w:rPr>
                <w:rFonts w:ascii="宋体" w:hAnsi="宋体" w:cs="宋体"/>
                <w:color w:val="000000"/>
                <w:szCs w:val="21"/>
              </w:rPr>
            </w:pPr>
            <w:r>
              <w:rPr>
                <w:rFonts w:hint="eastAsia"/>
                <w:color w:val="000000"/>
                <w:szCs w:val="21"/>
              </w:rPr>
              <w:t>224</w:t>
            </w:r>
          </w:p>
        </w:tc>
      </w:tr>
      <w:tr w14:paraId="5AF8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7E60A6D9">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vMerge w:val="restart"/>
            <w:noWrap w:val="0"/>
            <w:vAlign w:val="center"/>
          </w:tcPr>
          <w:p w14:paraId="33491853">
            <w:pPr>
              <w:spacing w:before="100" w:beforeAutospacing="1" w:after="100" w:afterAutospacing="1" w:line="240" w:lineRule="atLeast"/>
              <w:jc w:val="center"/>
              <w:rPr>
                <w:rFonts w:eastAsia="楷体_GB2312"/>
                <w:kern w:val="0"/>
                <w:szCs w:val="21"/>
              </w:rPr>
            </w:pPr>
            <w:r>
              <w:rPr>
                <w:rFonts w:hint="eastAsia" w:eastAsia="楷体_GB2312"/>
                <w:kern w:val="0"/>
                <w:szCs w:val="21"/>
              </w:rPr>
              <w:t>桃园镇</w:t>
            </w:r>
          </w:p>
        </w:tc>
        <w:tc>
          <w:tcPr>
            <w:tcW w:w="0" w:type="auto"/>
            <w:noWrap w:val="0"/>
            <w:vAlign w:val="center"/>
          </w:tcPr>
          <w:p w14:paraId="0C33C5C7">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4D581A7E">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0" w:type="auto"/>
            <w:noWrap w:val="0"/>
            <w:vAlign w:val="center"/>
          </w:tcPr>
          <w:p w14:paraId="7640697E">
            <w:pPr>
              <w:jc w:val="center"/>
              <w:rPr>
                <w:rFonts w:ascii="宋体" w:hAnsi="宋体" w:cs="宋体"/>
                <w:color w:val="000000"/>
                <w:szCs w:val="21"/>
              </w:rPr>
            </w:pPr>
            <w:r>
              <w:rPr>
                <w:rFonts w:hint="eastAsia"/>
                <w:color w:val="000000"/>
                <w:szCs w:val="21"/>
              </w:rPr>
              <w:t>480</w:t>
            </w:r>
          </w:p>
        </w:tc>
        <w:tc>
          <w:tcPr>
            <w:tcW w:w="0" w:type="auto"/>
            <w:noWrap w:val="0"/>
            <w:vAlign w:val="center"/>
          </w:tcPr>
          <w:p w14:paraId="0D8E90D0">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00E0E4DD">
            <w:pPr>
              <w:jc w:val="center"/>
              <w:rPr>
                <w:rFonts w:ascii="宋体" w:hAnsi="宋体" w:cs="宋体"/>
                <w:color w:val="000000"/>
                <w:szCs w:val="21"/>
              </w:rPr>
            </w:pPr>
            <w:r>
              <w:rPr>
                <w:rFonts w:hint="eastAsia"/>
                <w:color w:val="000000"/>
                <w:szCs w:val="21"/>
              </w:rPr>
              <w:t>354</w:t>
            </w:r>
          </w:p>
        </w:tc>
      </w:tr>
      <w:tr w14:paraId="62C37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76A69B5">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713B913C">
            <w:pPr>
              <w:spacing w:before="100" w:beforeAutospacing="1" w:after="100" w:afterAutospacing="1" w:line="240" w:lineRule="atLeast"/>
              <w:jc w:val="center"/>
              <w:rPr>
                <w:rFonts w:eastAsia="楷体_GB2312"/>
                <w:kern w:val="0"/>
                <w:szCs w:val="21"/>
              </w:rPr>
            </w:pPr>
          </w:p>
        </w:tc>
        <w:tc>
          <w:tcPr>
            <w:tcW w:w="0" w:type="auto"/>
            <w:noWrap w:val="0"/>
            <w:vAlign w:val="center"/>
          </w:tcPr>
          <w:p w14:paraId="5341368A">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1C42B65E">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noWrap w:val="0"/>
            <w:vAlign w:val="center"/>
          </w:tcPr>
          <w:p w14:paraId="120A26B1">
            <w:pPr>
              <w:jc w:val="center"/>
              <w:rPr>
                <w:rFonts w:ascii="宋体" w:hAnsi="宋体" w:cs="宋体"/>
                <w:color w:val="000000"/>
                <w:szCs w:val="21"/>
              </w:rPr>
            </w:pPr>
            <w:r>
              <w:rPr>
                <w:rFonts w:hint="eastAsia"/>
                <w:color w:val="000000"/>
                <w:szCs w:val="21"/>
              </w:rPr>
              <w:t>366</w:t>
            </w:r>
          </w:p>
        </w:tc>
        <w:tc>
          <w:tcPr>
            <w:tcW w:w="0" w:type="auto"/>
            <w:noWrap w:val="0"/>
            <w:vAlign w:val="center"/>
          </w:tcPr>
          <w:p w14:paraId="7F3628E2">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7AF88F4B">
            <w:pPr>
              <w:jc w:val="center"/>
              <w:rPr>
                <w:rFonts w:ascii="宋体" w:hAnsi="宋体" w:cs="宋体"/>
                <w:color w:val="000000"/>
                <w:szCs w:val="21"/>
              </w:rPr>
            </w:pPr>
            <w:r>
              <w:rPr>
                <w:rFonts w:hint="eastAsia"/>
                <w:color w:val="000000"/>
                <w:szCs w:val="21"/>
              </w:rPr>
              <w:t>267</w:t>
            </w:r>
          </w:p>
        </w:tc>
      </w:tr>
      <w:tr w14:paraId="62ADE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766CF1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4667A0D5">
            <w:pPr>
              <w:spacing w:before="100" w:beforeAutospacing="1" w:after="100" w:afterAutospacing="1" w:line="240" w:lineRule="atLeast"/>
              <w:jc w:val="center"/>
              <w:rPr>
                <w:rFonts w:eastAsia="楷体_GB2312"/>
                <w:kern w:val="0"/>
                <w:szCs w:val="21"/>
              </w:rPr>
            </w:pPr>
          </w:p>
        </w:tc>
        <w:tc>
          <w:tcPr>
            <w:tcW w:w="0" w:type="auto"/>
            <w:noWrap w:val="0"/>
            <w:vAlign w:val="center"/>
          </w:tcPr>
          <w:p w14:paraId="54B5976D">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4952A333">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414411A9">
            <w:pPr>
              <w:jc w:val="center"/>
              <w:rPr>
                <w:rFonts w:ascii="宋体" w:hAnsi="宋体" w:cs="宋体"/>
                <w:color w:val="000000"/>
                <w:szCs w:val="21"/>
              </w:rPr>
            </w:pPr>
            <w:r>
              <w:rPr>
                <w:rFonts w:hint="eastAsia"/>
                <w:color w:val="000000"/>
                <w:szCs w:val="21"/>
              </w:rPr>
              <w:t>294</w:t>
            </w:r>
          </w:p>
        </w:tc>
        <w:tc>
          <w:tcPr>
            <w:tcW w:w="0" w:type="auto"/>
            <w:noWrap w:val="0"/>
            <w:vAlign w:val="center"/>
          </w:tcPr>
          <w:p w14:paraId="3BBB4C16">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427C449E">
            <w:pPr>
              <w:jc w:val="center"/>
              <w:rPr>
                <w:rFonts w:ascii="宋体" w:hAnsi="宋体" w:cs="宋体"/>
                <w:color w:val="000000"/>
                <w:szCs w:val="21"/>
              </w:rPr>
            </w:pPr>
            <w:r>
              <w:rPr>
                <w:rFonts w:hint="eastAsia"/>
                <w:color w:val="000000"/>
                <w:szCs w:val="21"/>
              </w:rPr>
              <w:t>204</w:t>
            </w:r>
          </w:p>
        </w:tc>
      </w:tr>
      <w:tr w14:paraId="22A68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79C7EF7C">
            <w:pPr>
              <w:spacing w:before="100" w:beforeAutospacing="1" w:after="100" w:afterAutospacing="1" w:line="240" w:lineRule="atLeast"/>
              <w:jc w:val="center"/>
              <w:rPr>
                <w:rFonts w:eastAsia="楷体_GB2312"/>
                <w:kern w:val="0"/>
                <w:szCs w:val="21"/>
              </w:rPr>
            </w:pPr>
            <w:r>
              <w:rPr>
                <w:rFonts w:hint="eastAsia" w:eastAsia="楷体_GB2312"/>
                <w:kern w:val="0"/>
                <w:szCs w:val="21"/>
              </w:rPr>
              <w:t>11</w:t>
            </w:r>
          </w:p>
        </w:tc>
        <w:tc>
          <w:tcPr>
            <w:tcW w:w="0" w:type="auto"/>
            <w:vMerge w:val="restart"/>
            <w:noWrap w:val="0"/>
            <w:vAlign w:val="center"/>
          </w:tcPr>
          <w:p w14:paraId="1F2C8AFE">
            <w:pPr>
              <w:spacing w:before="100" w:beforeAutospacing="1" w:after="100" w:afterAutospacing="1" w:line="240" w:lineRule="atLeast"/>
              <w:jc w:val="center"/>
              <w:rPr>
                <w:rFonts w:eastAsia="楷体_GB2312"/>
                <w:kern w:val="0"/>
                <w:szCs w:val="21"/>
              </w:rPr>
            </w:pPr>
            <w:r>
              <w:rPr>
                <w:rFonts w:hint="eastAsia" w:eastAsia="楷体_GB2312"/>
                <w:kern w:val="0"/>
                <w:szCs w:val="21"/>
              </w:rPr>
              <w:t>曹村镇</w:t>
            </w:r>
          </w:p>
        </w:tc>
        <w:tc>
          <w:tcPr>
            <w:tcW w:w="0" w:type="auto"/>
            <w:noWrap w:val="0"/>
            <w:vAlign w:val="center"/>
          </w:tcPr>
          <w:p w14:paraId="5A50C501">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1F3BC566">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6A349A3E">
            <w:pPr>
              <w:jc w:val="center"/>
              <w:rPr>
                <w:rFonts w:ascii="宋体" w:hAnsi="宋体" w:cs="宋体"/>
                <w:color w:val="000000"/>
                <w:szCs w:val="21"/>
              </w:rPr>
            </w:pPr>
            <w:r>
              <w:rPr>
                <w:rFonts w:hint="eastAsia"/>
                <w:color w:val="000000"/>
                <w:szCs w:val="21"/>
              </w:rPr>
              <w:t>470</w:t>
            </w:r>
          </w:p>
        </w:tc>
        <w:tc>
          <w:tcPr>
            <w:tcW w:w="0" w:type="auto"/>
            <w:noWrap w:val="0"/>
            <w:vAlign w:val="center"/>
          </w:tcPr>
          <w:p w14:paraId="615BABD5">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4234CAC0">
            <w:pPr>
              <w:jc w:val="center"/>
              <w:rPr>
                <w:rFonts w:ascii="宋体" w:hAnsi="宋体" w:cs="宋体"/>
                <w:color w:val="000000"/>
                <w:szCs w:val="21"/>
              </w:rPr>
            </w:pPr>
            <w:r>
              <w:rPr>
                <w:rFonts w:hint="eastAsia"/>
                <w:color w:val="000000"/>
                <w:szCs w:val="21"/>
              </w:rPr>
              <w:t>378</w:t>
            </w:r>
          </w:p>
        </w:tc>
      </w:tr>
      <w:tr w14:paraId="62FF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06C44F3">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64229D8">
            <w:pPr>
              <w:spacing w:before="100" w:beforeAutospacing="1" w:after="100" w:afterAutospacing="1" w:line="240" w:lineRule="atLeast"/>
              <w:jc w:val="center"/>
              <w:rPr>
                <w:rFonts w:eastAsia="楷体_GB2312"/>
                <w:kern w:val="0"/>
                <w:szCs w:val="21"/>
              </w:rPr>
            </w:pPr>
          </w:p>
        </w:tc>
        <w:tc>
          <w:tcPr>
            <w:tcW w:w="0" w:type="auto"/>
            <w:noWrap w:val="0"/>
            <w:vAlign w:val="center"/>
          </w:tcPr>
          <w:p w14:paraId="052FF289">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05146466">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690336AC">
            <w:pPr>
              <w:jc w:val="center"/>
              <w:rPr>
                <w:rFonts w:ascii="宋体" w:hAnsi="宋体" w:cs="宋体"/>
                <w:color w:val="000000"/>
                <w:szCs w:val="21"/>
              </w:rPr>
            </w:pPr>
            <w:r>
              <w:rPr>
                <w:rFonts w:hint="eastAsia"/>
                <w:color w:val="000000"/>
                <w:szCs w:val="21"/>
              </w:rPr>
              <w:t>399</w:t>
            </w:r>
          </w:p>
        </w:tc>
        <w:tc>
          <w:tcPr>
            <w:tcW w:w="0" w:type="auto"/>
            <w:noWrap w:val="0"/>
            <w:vAlign w:val="center"/>
          </w:tcPr>
          <w:p w14:paraId="4C1D7FE3">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0818A069">
            <w:pPr>
              <w:jc w:val="center"/>
              <w:rPr>
                <w:rFonts w:ascii="宋体" w:hAnsi="宋体" w:cs="宋体"/>
                <w:color w:val="000000"/>
                <w:szCs w:val="21"/>
              </w:rPr>
            </w:pPr>
            <w:r>
              <w:rPr>
                <w:rFonts w:hint="eastAsia"/>
                <w:color w:val="000000"/>
                <w:szCs w:val="21"/>
              </w:rPr>
              <w:t>275</w:t>
            </w:r>
          </w:p>
        </w:tc>
      </w:tr>
      <w:tr w14:paraId="09647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02E749F">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797E5ABE">
            <w:pPr>
              <w:spacing w:before="100" w:beforeAutospacing="1" w:after="100" w:afterAutospacing="1" w:line="240" w:lineRule="atLeast"/>
              <w:jc w:val="center"/>
              <w:rPr>
                <w:rFonts w:eastAsia="楷体_GB2312"/>
                <w:kern w:val="0"/>
                <w:szCs w:val="21"/>
              </w:rPr>
            </w:pPr>
          </w:p>
        </w:tc>
        <w:tc>
          <w:tcPr>
            <w:tcW w:w="0" w:type="auto"/>
            <w:noWrap w:val="0"/>
            <w:vAlign w:val="center"/>
          </w:tcPr>
          <w:p w14:paraId="4C01D0B1">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539ECB8F">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4450054F">
            <w:pPr>
              <w:jc w:val="center"/>
              <w:rPr>
                <w:rFonts w:ascii="宋体" w:hAnsi="宋体" w:cs="宋体"/>
                <w:color w:val="000000"/>
                <w:szCs w:val="21"/>
              </w:rPr>
            </w:pPr>
            <w:r>
              <w:rPr>
                <w:rFonts w:hint="eastAsia"/>
                <w:color w:val="000000"/>
                <w:szCs w:val="21"/>
              </w:rPr>
              <w:t>285</w:t>
            </w:r>
          </w:p>
        </w:tc>
        <w:tc>
          <w:tcPr>
            <w:tcW w:w="0" w:type="auto"/>
            <w:noWrap w:val="0"/>
            <w:vAlign w:val="center"/>
          </w:tcPr>
          <w:p w14:paraId="03F7D6F3">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71CD86D9">
            <w:pPr>
              <w:jc w:val="center"/>
              <w:rPr>
                <w:rFonts w:ascii="宋体" w:hAnsi="宋体" w:cs="宋体"/>
                <w:color w:val="000000"/>
                <w:szCs w:val="21"/>
              </w:rPr>
            </w:pPr>
            <w:r>
              <w:rPr>
                <w:rFonts w:hint="eastAsia"/>
                <w:color w:val="000000"/>
                <w:szCs w:val="21"/>
              </w:rPr>
              <w:t>212</w:t>
            </w:r>
          </w:p>
        </w:tc>
      </w:tr>
      <w:tr w14:paraId="01F62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202465BE">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0" w:type="auto"/>
            <w:vMerge w:val="restart"/>
            <w:noWrap w:val="0"/>
            <w:vAlign w:val="center"/>
          </w:tcPr>
          <w:p w14:paraId="49C08755">
            <w:pPr>
              <w:spacing w:before="100" w:beforeAutospacing="1" w:after="100" w:afterAutospacing="1" w:line="240" w:lineRule="atLeast"/>
              <w:jc w:val="center"/>
              <w:rPr>
                <w:rFonts w:eastAsia="楷体_GB2312"/>
                <w:kern w:val="0"/>
                <w:szCs w:val="21"/>
              </w:rPr>
            </w:pPr>
            <w:r>
              <w:rPr>
                <w:rFonts w:hint="eastAsia" w:eastAsia="楷体_GB2312"/>
                <w:kern w:val="0"/>
                <w:szCs w:val="21"/>
              </w:rPr>
              <w:t>大营镇</w:t>
            </w:r>
          </w:p>
        </w:tc>
        <w:tc>
          <w:tcPr>
            <w:tcW w:w="0" w:type="auto"/>
            <w:noWrap w:val="0"/>
            <w:vAlign w:val="center"/>
          </w:tcPr>
          <w:p w14:paraId="15EF0947">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686CAE34">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28242CA8">
            <w:pPr>
              <w:jc w:val="center"/>
              <w:rPr>
                <w:rFonts w:ascii="宋体" w:hAnsi="宋体" w:cs="宋体"/>
                <w:color w:val="000000"/>
                <w:szCs w:val="21"/>
              </w:rPr>
            </w:pPr>
            <w:r>
              <w:rPr>
                <w:rFonts w:hint="eastAsia"/>
                <w:color w:val="000000"/>
                <w:szCs w:val="21"/>
              </w:rPr>
              <w:t>475</w:t>
            </w:r>
          </w:p>
        </w:tc>
        <w:tc>
          <w:tcPr>
            <w:tcW w:w="0" w:type="auto"/>
            <w:noWrap w:val="0"/>
            <w:vAlign w:val="center"/>
          </w:tcPr>
          <w:p w14:paraId="0A202C66">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2FE4D885">
            <w:pPr>
              <w:jc w:val="center"/>
              <w:rPr>
                <w:rFonts w:ascii="宋体" w:hAnsi="宋体" w:cs="宋体"/>
                <w:color w:val="000000"/>
                <w:szCs w:val="21"/>
              </w:rPr>
            </w:pPr>
            <w:r>
              <w:rPr>
                <w:rFonts w:hint="eastAsia"/>
                <w:color w:val="000000"/>
                <w:szCs w:val="21"/>
              </w:rPr>
              <w:t>366</w:t>
            </w:r>
          </w:p>
        </w:tc>
      </w:tr>
      <w:tr w14:paraId="0955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2125758">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1AA6E39">
            <w:pPr>
              <w:spacing w:before="100" w:beforeAutospacing="1" w:after="100" w:afterAutospacing="1" w:line="240" w:lineRule="atLeast"/>
              <w:jc w:val="center"/>
              <w:rPr>
                <w:rFonts w:eastAsia="楷体_GB2312"/>
                <w:kern w:val="0"/>
                <w:szCs w:val="21"/>
              </w:rPr>
            </w:pPr>
          </w:p>
        </w:tc>
        <w:tc>
          <w:tcPr>
            <w:tcW w:w="0" w:type="auto"/>
            <w:noWrap w:val="0"/>
            <w:vAlign w:val="center"/>
          </w:tcPr>
          <w:p w14:paraId="6185EE82">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3EE06662">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noWrap w:val="0"/>
            <w:vAlign w:val="center"/>
          </w:tcPr>
          <w:p w14:paraId="0446DEF5">
            <w:pPr>
              <w:jc w:val="center"/>
              <w:rPr>
                <w:rFonts w:ascii="宋体" w:hAnsi="宋体" w:cs="宋体"/>
                <w:color w:val="000000"/>
                <w:szCs w:val="21"/>
              </w:rPr>
            </w:pPr>
            <w:r>
              <w:rPr>
                <w:rFonts w:hint="eastAsia"/>
                <w:color w:val="000000"/>
                <w:szCs w:val="21"/>
              </w:rPr>
              <w:t>386</w:t>
            </w:r>
          </w:p>
        </w:tc>
        <w:tc>
          <w:tcPr>
            <w:tcW w:w="0" w:type="auto"/>
            <w:noWrap w:val="0"/>
            <w:vAlign w:val="center"/>
          </w:tcPr>
          <w:p w14:paraId="23E7C3AA">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noWrap w:val="0"/>
            <w:vAlign w:val="center"/>
          </w:tcPr>
          <w:p w14:paraId="7688ACCC">
            <w:pPr>
              <w:jc w:val="center"/>
              <w:rPr>
                <w:rFonts w:ascii="宋体" w:hAnsi="宋体" w:cs="宋体"/>
                <w:color w:val="000000"/>
                <w:szCs w:val="21"/>
              </w:rPr>
            </w:pPr>
            <w:r>
              <w:rPr>
                <w:rFonts w:hint="eastAsia"/>
                <w:color w:val="000000"/>
                <w:szCs w:val="21"/>
              </w:rPr>
              <w:t>270</w:t>
            </w:r>
          </w:p>
        </w:tc>
      </w:tr>
      <w:tr w14:paraId="7EB2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9D55E2C">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4837526">
            <w:pPr>
              <w:spacing w:before="100" w:beforeAutospacing="1" w:after="100" w:afterAutospacing="1" w:line="240" w:lineRule="atLeast"/>
              <w:jc w:val="center"/>
              <w:rPr>
                <w:rFonts w:eastAsia="楷体_GB2312"/>
                <w:kern w:val="0"/>
                <w:szCs w:val="21"/>
              </w:rPr>
            </w:pPr>
          </w:p>
        </w:tc>
        <w:tc>
          <w:tcPr>
            <w:tcW w:w="0" w:type="auto"/>
            <w:noWrap w:val="0"/>
            <w:vAlign w:val="center"/>
          </w:tcPr>
          <w:p w14:paraId="42AE672D">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68D85001">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38AC8F4F">
            <w:pPr>
              <w:jc w:val="center"/>
              <w:rPr>
                <w:rFonts w:ascii="宋体" w:hAnsi="宋体" w:cs="宋体"/>
                <w:color w:val="000000"/>
                <w:szCs w:val="21"/>
              </w:rPr>
            </w:pPr>
            <w:r>
              <w:rPr>
                <w:rFonts w:hint="eastAsia"/>
                <w:color w:val="000000"/>
                <w:szCs w:val="21"/>
              </w:rPr>
              <w:t>304</w:t>
            </w:r>
          </w:p>
        </w:tc>
        <w:tc>
          <w:tcPr>
            <w:tcW w:w="0" w:type="auto"/>
            <w:noWrap w:val="0"/>
            <w:vAlign w:val="center"/>
          </w:tcPr>
          <w:p w14:paraId="5E5A19AE">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4FD3E0C4">
            <w:pPr>
              <w:jc w:val="center"/>
              <w:rPr>
                <w:rFonts w:ascii="宋体" w:hAnsi="宋体" w:cs="宋体"/>
                <w:color w:val="000000"/>
                <w:szCs w:val="21"/>
              </w:rPr>
            </w:pPr>
            <w:r>
              <w:rPr>
                <w:rFonts w:hint="eastAsia"/>
                <w:color w:val="000000"/>
                <w:szCs w:val="21"/>
              </w:rPr>
              <w:t>206</w:t>
            </w:r>
          </w:p>
        </w:tc>
      </w:tr>
      <w:tr w14:paraId="77F77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0AC83CB3">
            <w:pPr>
              <w:spacing w:before="100" w:beforeAutospacing="1" w:after="100" w:afterAutospacing="1" w:line="240" w:lineRule="atLeast"/>
              <w:jc w:val="center"/>
              <w:rPr>
                <w:rFonts w:eastAsia="楷体_GB2312"/>
                <w:kern w:val="0"/>
                <w:szCs w:val="21"/>
              </w:rPr>
            </w:pPr>
            <w:r>
              <w:rPr>
                <w:rFonts w:hint="eastAsia" w:eastAsia="楷体_GB2312"/>
                <w:kern w:val="0"/>
                <w:szCs w:val="21"/>
              </w:rPr>
              <w:t>13</w:t>
            </w:r>
          </w:p>
        </w:tc>
        <w:tc>
          <w:tcPr>
            <w:tcW w:w="0" w:type="auto"/>
            <w:vMerge w:val="restart"/>
            <w:noWrap w:val="0"/>
            <w:vAlign w:val="center"/>
          </w:tcPr>
          <w:p w14:paraId="17528332">
            <w:pPr>
              <w:spacing w:before="100" w:beforeAutospacing="1" w:after="100" w:afterAutospacing="1" w:line="240" w:lineRule="atLeast"/>
              <w:jc w:val="center"/>
              <w:rPr>
                <w:rFonts w:eastAsia="楷体_GB2312"/>
                <w:kern w:val="0"/>
                <w:szCs w:val="21"/>
              </w:rPr>
            </w:pPr>
            <w:r>
              <w:rPr>
                <w:rFonts w:hint="eastAsia" w:eastAsia="楷体_GB2312"/>
                <w:kern w:val="0"/>
                <w:szCs w:val="21"/>
              </w:rPr>
              <w:t>褚兰镇</w:t>
            </w:r>
          </w:p>
        </w:tc>
        <w:tc>
          <w:tcPr>
            <w:tcW w:w="0" w:type="auto"/>
            <w:noWrap w:val="0"/>
            <w:vAlign w:val="center"/>
          </w:tcPr>
          <w:p w14:paraId="62E09F3C">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05D425BA">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4BDBACD6">
            <w:pPr>
              <w:jc w:val="center"/>
              <w:rPr>
                <w:rFonts w:ascii="宋体" w:hAnsi="宋体" w:cs="宋体"/>
                <w:color w:val="000000"/>
                <w:szCs w:val="21"/>
              </w:rPr>
            </w:pPr>
            <w:r>
              <w:rPr>
                <w:rFonts w:hint="eastAsia"/>
                <w:color w:val="000000"/>
                <w:szCs w:val="21"/>
              </w:rPr>
              <w:t>489</w:t>
            </w:r>
          </w:p>
        </w:tc>
        <w:tc>
          <w:tcPr>
            <w:tcW w:w="0" w:type="auto"/>
            <w:noWrap w:val="0"/>
            <w:vAlign w:val="center"/>
          </w:tcPr>
          <w:p w14:paraId="7DEFCD69">
            <w:pPr>
              <w:spacing w:before="100" w:beforeAutospacing="1" w:after="100" w:afterAutospacing="1" w:line="240" w:lineRule="atLeast"/>
              <w:jc w:val="center"/>
              <w:rPr>
                <w:rFonts w:eastAsia="楷体_GB2312"/>
                <w:kern w:val="0"/>
                <w:szCs w:val="21"/>
              </w:rPr>
            </w:pPr>
            <w:r>
              <w:rPr>
                <w:rFonts w:hint="eastAsia" w:eastAsia="楷体_GB2312"/>
                <w:kern w:val="0"/>
                <w:szCs w:val="21"/>
              </w:rPr>
              <w:t>19</w:t>
            </w:r>
          </w:p>
        </w:tc>
        <w:tc>
          <w:tcPr>
            <w:tcW w:w="0" w:type="auto"/>
            <w:noWrap w:val="0"/>
            <w:vAlign w:val="center"/>
          </w:tcPr>
          <w:p w14:paraId="053C2C34">
            <w:pPr>
              <w:jc w:val="center"/>
              <w:rPr>
                <w:rFonts w:ascii="宋体" w:hAnsi="宋体" w:cs="宋体"/>
                <w:color w:val="000000"/>
                <w:szCs w:val="21"/>
              </w:rPr>
            </w:pPr>
            <w:r>
              <w:rPr>
                <w:rFonts w:hint="eastAsia"/>
                <w:color w:val="000000"/>
                <w:szCs w:val="21"/>
              </w:rPr>
              <w:t>368</w:t>
            </w:r>
          </w:p>
        </w:tc>
      </w:tr>
      <w:tr w14:paraId="06CAB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767BD1B">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426EFF03">
            <w:pPr>
              <w:spacing w:before="100" w:beforeAutospacing="1" w:after="100" w:afterAutospacing="1" w:line="240" w:lineRule="atLeast"/>
              <w:jc w:val="center"/>
              <w:rPr>
                <w:rFonts w:eastAsia="楷体_GB2312"/>
                <w:kern w:val="0"/>
                <w:szCs w:val="21"/>
              </w:rPr>
            </w:pPr>
          </w:p>
        </w:tc>
        <w:tc>
          <w:tcPr>
            <w:tcW w:w="0" w:type="auto"/>
            <w:noWrap w:val="0"/>
            <w:vAlign w:val="center"/>
          </w:tcPr>
          <w:p w14:paraId="45B94D77">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20D34237">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1C52A832">
            <w:pPr>
              <w:jc w:val="center"/>
              <w:rPr>
                <w:rFonts w:ascii="宋体" w:hAnsi="宋体" w:cs="宋体"/>
                <w:color w:val="000000"/>
                <w:szCs w:val="21"/>
              </w:rPr>
            </w:pPr>
            <w:r>
              <w:rPr>
                <w:rFonts w:hint="eastAsia"/>
                <w:color w:val="000000"/>
                <w:szCs w:val="21"/>
              </w:rPr>
              <w:t>386</w:t>
            </w:r>
          </w:p>
        </w:tc>
        <w:tc>
          <w:tcPr>
            <w:tcW w:w="0" w:type="auto"/>
            <w:noWrap w:val="0"/>
            <w:vAlign w:val="center"/>
          </w:tcPr>
          <w:p w14:paraId="02A57591">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4A4C71D6">
            <w:pPr>
              <w:jc w:val="center"/>
              <w:rPr>
                <w:rFonts w:ascii="宋体" w:hAnsi="宋体" w:cs="宋体"/>
                <w:color w:val="000000"/>
                <w:szCs w:val="21"/>
              </w:rPr>
            </w:pPr>
            <w:r>
              <w:rPr>
                <w:rFonts w:hint="eastAsia"/>
                <w:color w:val="000000"/>
                <w:szCs w:val="21"/>
              </w:rPr>
              <w:t>284</w:t>
            </w:r>
          </w:p>
        </w:tc>
      </w:tr>
      <w:tr w14:paraId="0AF19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5BB3F7D">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32575B6">
            <w:pPr>
              <w:spacing w:before="100" w:beforeAutospacing="1" w:after="100" w:afterAutospacing="1" w:line="240" w:lineRule="atLeast"/>
              <w:jc w:val="center"/>
              <w:rPr>
                <w:rFonts w:eastAsia="楷体_GB2312"/>
                <w:kern w:val="0"/>
                <w:szCs w:val="21"/>
              </w:rPr>
            </w:pPr>
          </w:p>
        </w:tc>
        <w:tc>
          <w:tcPr>
            <w:tcW w:w="0" w:type="auto"/>
            <w:noWrap w:val="0"/>
            <w:vAlign w:val="center"/>
          </w:tcPr>
          <w:p w14:paraId="553AF0C4">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1C2C9B08">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2A7177F6">
            <w:pPr>
              <w:jc w:val="center"/>
              <w:rPr>
                <w:rFonts w:ascii="宋体" w:hAnsi="宋体" w:cs="宋体"/>
                <w:color w:val="000000"/>
                <w:szCs w:val="21"/>
              </w:rPr>
            </w:pPr>
            <w:r>
              <w:rPr>
                <w:rFonts w:hint="eastAsia"/>
                <w:color w:val="000000"/>
                <w:szCs w:val="21"/>
              </w:rPr>
              <w:t>310</w:t>
            </w:r>
          </w:p>
        </w:tc>
        <w:tc>
          <w:tcPr>
            <w:tcW w:w="0" w:type="auto"/>
            <w:noWrap w:val="0"/>
            <w:vAlign w:val="center"/>
          </w:tcPr>
          <w:p w14:paraId="1DF32CF9">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7516BBE0">
            <w:pPr>
              <w:jc w:val="center"/>
              <w:rPr>
                <w:rFonts w:ascii="宋体" w:hAnsi="宋体" w:cs="宋体"/>
                <w:color w:val="000000"/>
                <w:szCs w:val="21"/>
              </w:rPr>
            </w:pPr>
            <w:r>
              <w:rPr>
                <w:rFonts w:hint="eastAsia"/>
                <w:color w:val="000000"/>
                <w:szCs w:val="21"/>
              </w:rPr>
              <w:t>199</w:t>
            </w:r>
          </w:p>
        </w:tc>
      </w:tr>
      <w:tr w14:paraId="4980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4A486C68">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vMerge w:val="restart"/>
            <w:noWrap w:val="0"/>
            <w:vAlign w:val="center"/>
          </w:tcPr>
          <w:p w14:paraId="76ACEEF8">
            <w:pPr>
              <w:spacing w:before="100" w:beforeAutospacing="1" w:after="100" w:afterAutospacing="1" w:line="240" w:lineRule="atLeast"/>
              <w:jc w:val="center"/>
              <w:rPr>
                <w:rFonts w:eastAsia="楷体_GB2312"/>
                <w:kern w:val="0"/>
                <w:szCs w:val="21"/>
              </w:rPr>
            </w:pPr>
            <w:r>
              <w:rPr>
                <w:rFonts w:hint="eastAsia" w:eastAsia="楷体_GB2312"/>
                <w:kern w:val="0"/>
                <w:szCs w:val="21"/>
              </w:rPr>
              <w:t>顺河镇</w:t>
            </w:r>
          </w:p>
        </w:tc>
        <w:tc>
          <w:tcPr>
            <w:tcW w:w="0" w:type="auto"/>
            <w:noWrap w:val="0"/>
            <w:vAlign w:val="center"/>
          </w:tcPr>
          <w:p w14:paraId="7345273B">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70C4DF50">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59620AC0">
            <w:pPr>
              <w:jc w:val="center"/>
              <w:rPr>
                <w:rFonts w:ascii="宋体" w:hAnsi="宋体" w:cs="宋体"/>
                <w:color w:val="000000"/>
                <w:szCs w:val="21"/>
              </w:rPr>
            </w:pPr>
            <w:r>
              <w:rPr>
                <w:rFonts w:hint="eastAsia"/>
                <w:color w:val="000000"/>
                <w:szCs w:val="21"/>
              </w:rPr>
              <w:t>456</w:t>
            </w:r>
          </w:p>
        </w:tc>
        <w:tc>
          <w:tcPr>
            <w:tcW w:w="0" w:type="auto"/>
            <w:noWrap w:val="0"/>
            <w:vAlign w:val="center"/>
          </w:tcPr>
          <w:p w14:paraId="6924889E">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636E060B">
            <w:pPr>
              <w:jc w:val="center"/>
              <w:rPr>
                <w:rFonts w:ascii="宋体" w:hAnsi="宋体" w:cs="宋体"/>
                <w:color w:val="000000"/>
                <w:szCs w:val="21"/>
              </w:rPr>
            </w:pPr>
            <w:r>
              <w:rPr>
                <w:rFonts w:hint="eastAsia"/>
                <w:color w:val="000000"/>
                <w:szCs w:val="21"/>
              </w:rPr>
              <w:t>330</w:t>
            </w:r>
          </w:p>
        </w:tc>
      </w:tr>
      <w:tr w14:paraId="3AD5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9E65FA3">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4BB7AD16">
            <w:pPr>
              <w:spacing w:before="100" w:beforeAutospacing="1" w:after="100" w:afterAutospacing="1" w:line="240" w:lineRule="atLeast"/>
              <w:jc w:val="center"/>
              <w:rPr>
                <w:rFonts w:eastAsia="楷体_GB2312"/>
                <w:kern w:val="0"/>
                <w:szCs w:val="21"/>
              </w:rPr>
            </w:pPr>
          </w:p>
        </w:tc>
        <w:tc>
          <w:tcPr>
            <w:tcW w:w="0" w:type="auto"/>
            <w:noWrap w:val="0"/>
            <w:vAlign w:val="center"/>
          </w:tcPr>
          <w:p w14:paraId="48E69823">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57B7B6A7">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0B6450C2">
            <w:pPr>
              <w:jc w:val="center"/>
              <w:rPr>
                <w:rFonts w:ascii="宋体" w:hAnsi="宋体" w:cs="宋体"/>
                <w:color w:val="000000"/>
                <w:szCs w:val="21"/>
              </w:rPr>
            </w:pPr>
            <w:r>
              <w:rPr>
                <w:rFonts w:hint="eastAsia"/>
                <w:color w:val="000000"/>
                <w:szCs w:val="21"/>
              </w:rPr>
              <w:t>385</w:t>
            </w:r>
          </w:p>
        </w:tc>
        <w:tc>
          <w:tcPr>
            <w:tcW w:w="0" w:type="auto"/>
            <w:noWrap w:val="0"/>
            <w:vAlign w:val="center"/>
          </w:tcPr>
          <w:p w14:paraId="7DCEBAE9">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188A8367">
            <w:pPr>
              <w:jc w:val="center"/>
              <w:rPr>
                <w:rFonts w:ascii="宋体" w:hAnsi="宋体" w:cs="宋体"/>
                <w:color w:val="000000"/>
                <w:szCs w:val="21"/>
              </w:rPr>
            </w:pPr>
            <w:r>
              <w:rPr>
                <w:rFonts w:hint="eastAsia"/>
                <w:color w:val="000000"/>
                <w:szCs w:val="21"/>
              </w:rPr>
              <w:t>257</w:t>
            </w:r>
          </w:p>
        </w:tc>
      </w:tr>
      <w:tr w14:paraId="6A39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2750DE3">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F9D9B24">
            <w:pPr>
              <w:spacing w:before="100" w:beforeAutospacing="1" w:after="100" w:afterAutospacing="1" w:line="240" w:lineRule="atLeast"/>
              <w:jc w:val="center"/>
              <w:rPr>
                <w:rFonts w:eastAsia="楷体_GB2312"/>
                <w:kern w:val="0"/>
                <w:szCs w:val="21"/>
              </w:rPr>
            </w:pPr>
          </w:p>
        </w:tc>
        <w:tc>
          <w:tcPr>
            <w:tcW w:w="0" w:type="auto"/>
            <w:noWrap w:val="0"/>
            <w:vAlign w:val="center"/>
          </w:tcPr>
          <w:p w14:paraId="4DA6BF8C">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7E57E602">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58E3031A">
            <w:pPr>
              <w:jc w:val="center"/>
              <w:rPr>
                <w:rFonts w:ascii="宋体" w:hAnsi="宋体" w:cs="宋体"/>
                <w:color w:val="000000"/>
                <w:szCs w:val="21"/>
              </w:rPr>
            </w:pPr>
            <w:r>
              <w:rPr>
                <w:rFonts w:hint="eastAsia"/>
                <w:color w:val="000000"/>
                <w:szCs w:val="21"/>
              </w:rPr>
              <w:t>310</w:t>
            </w:r>
          </w:p>
        </w:tc>
        <w:tc>
          <w:tcPr>
            <w:tcW w:w="0" w:type="auto"/>
            <w:noWrap w:val="0"/>
            <w:vAlign w:val="center"/>
          </w:tcPr>
          <w:p w14:paraId="750FF6FF">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3D2EC119">
            <w:pPr>
              <w:jc w:val="center"/>
              <w:rPr>
                <w:rFonts w:ascii="宋体" w:hAnsi="宋体" w:cs="宋体"/>
                <w:color w:val="000000"/>
                <w:szCs w:val="21"/>
              </w:rPr>
            </w:pPr>
            <w:r>
              <w:rPr>
                <w:rFonts w:hint="eastAsia"/>
                <w:color w:val="000000"/>
                <w:szCs w:val="21"/>
              </w:rPr>
              <w:t>209</w:t>
            </w:r>
          </w:p>
        </w:tc>
      </w:tr>
      <w:tr w14:paraId="3B5F0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702E5D34">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vMerge w:val="restart"/>
            <w:noWrap w:val="0"/>
            <w:vAlign w:val="center"/>
          </w:tcPr>
          <w:p w14:paraId="74E2E4DE">
            <w:pPr>
              <w:spacing w:before="100" w:beforeAutospacing="1" w:after="100" w:afterAutospacing="1" w:line="240" w:lineRule="atLeast"/>
              <w:jc w:val="center"/>
              <w:rPr>
                <w:rFonts w:eastAsia="楷体_GB2312"/>
                <w:kern w:val="0"/>
                <w:szCs w:val="21"/>
              </w:rPr>
            </w:pPr>
            <w:r>
              <w:rPr>
                <w:rFonts w:hint="eastAsia" w:eastAsia="楷体_GB2312"/>
                <w:kern w:val="0"/>
                <w:szCs w:val="21"/>
              </w:rPr>
              <w:t>杨庄镇</w:t>
            </w:r>
          </w:p>
        </w:tc>
        <w:tc>
          <w:tcPr>
            <w:tcW w:w="0" w:type="auto"/>
            <w:noWrap w:val="0"/>
            <w:vAlign w:val="center"/>
          </w:tcPr>
          <w:p w14:paraId="40512FEC">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7B8148DF">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551D4EFF">
            <w:pPr>
              <w:jc w:val="center"/>
              <w:rPr>
                <w:rFonts w:ascii="宋体" w:hAnsi="宋体" w:cs="宋体"/>
                <w:color w:val="000000"/>
                <w:szCs w:val="21"/>
              </w:rPr>
            </w:pPr>
            <w:r>
              <w:rPr>
                <w:rFonts w:hint="eastAsia"/>
                <w:color w:val="000000"/>
                <w:szCs w:val="21"/>
              </w:rPr>
              <w:t>446</w:t>
            </w:r>
          </w:p>
        </w:tc>
        <w:tc>
          <w:tcPr>
            <w:tcW w:w="0" w:type="auto"/>
            <w:noWrap w:val="0"/>
            <w:vAlign w:val="center"/>
          </w:tcPr>
          <w:p w14:paraId="78029FA7">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48BC3B43">
            <w:pPr>
              <w:jc w:val="center"/>
              <w:rPr>
                <w:rFonts w:ascii="宋体" w:hAnsi="宋体" w:cs="宋体"/>
                <w:color w:val="000000"/>
                <w:szCs w:val="21"/>
              </w:rPr>
            </w:pPr>
            <w:r>
              <w:rPr>
                <w:rFonts w:hint="eastAsia"/>
                <w:color w:val="000000"/>
                <w:szCs w:val="21"/>
              </w:rPr>
              <w:t>357</w:t>
            </w:r>
          </w:p>
        </w:tc>
      </w:tr>
      <w:tr w14:paraId="17E0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312850FC">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7CC82C2C">
            <w:pPr>
              <w:spacing w:before="100" w:beforeAutospacing="1" w:after="100" w:afterAutospacing="1" w:line="240" w:lineRule="atLeast"/>
              <w:jc w:val="center"/>
              <w:rPr>
                <w:rFonts w:eastAsia="楷体_GB2312"/>
                <w:kern w:val="0"/>
                <w:szCs w:val="21"/>
              </w:rPr>
            </w:pPr>
          </w:p>
        </w:tc>
        <w:tc>
          <w:tcPr>
            <w:tcW w:w="0" w:type="auto"/>
            <w:noWrap w:val="0"/>
            <w:vAlign w:val="center"/>
          </w:tcPr>
          <w:p w14:paraId="109DAF93">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0B90F46B">
            <w:pPr>
              <w:spacing w:before="100" w:beforeAutospacing="1" w:after="100" w:afterAutospacing="1" w:line="240" w:lineRule="atLeast"/>
              <w:jc w:val="center"/>
              <w:rPr>
                <w:rFonts w:eastAsia="楷体_GB2312"/>
                <w:kern w:val="0"/>
                <w:szCs w:val="21"/>
              </w:rPr>
            </w:pPr>
            <w:r>
              <w:rPr>
                <w:rFonts w:hint="eastAsia" w:eastAsia="楷体_GB2312"/>
                <w:kern w:val="0"/>
                <w:szCs w:val="21"/>
              </w:rPr>
              <w:t>9</w:t>
            </w:r>
          </w:p>
        </w:tc>
        <w:tc>
          <w:tcPr>
            <w:tcW w:w="0" w:type="auto"/>
            <w:noWrap w:val="0"/>
            <w:vAlign w:val="center"/>
          </w:tcPr>
          <w:p w14:paraId="4DB010CE">
            <w:pPr>
              <w:jc w:val="center"/>
              <w:rPr>
                <w:rFonts w:ascii="宋体" w:hAnsi="宋体" w:cs="宋体"/>
                <w:color w:val="000000"/>
                <w:szCs w:val="21"/>
              </w:rPr>
            </w:pPr>
            <w:r>
              <w:rPr>
                <w:rFonts w:hint="eastAsia"/>
                <w:color w:val="000000"/>
                <w:szCs w:val="21"/>
              </w:rPr>
              <w:t>355</w:t>
            </w:r>
          </w:p>
        </w:tc>
        <w:tc>
          <w:tcPr>
            <w:tcW w:w="0" w:type="auto"/>
            <w:noWrap w:val="0"/>
            <w:vAlign w:val="center"/>
          </w:tcPr>
          <w:p w14:paraId="0014F334">
            <w:pPr>
              <w:spacing w:before="100" w:beforeAutospacing="1" w:after="100" w:afterAutospacing="1" w:line="240" w:lineRule="atLeast"/>
              <w:jc w:val="center"/>
              <w:rPr>
                <w:rFonts w:eastAsia="楷体_GB2312"/>
                <w:kern w:val="0"/>
                <w:szCs w:val="21"/>
              </w:rPr>
            </w:pPr>
            <w:r>
              <w:rPr>
                <w:rFonts w:hint="eastAsia" w:eastAsia="楷体_GB2312"/>
                <w:kern w:val="0"/>
                <w:szCs w:val="21"/>
              </w:rPr>
              <w:t>13</w:t>
            </w:r>
          </w:p>
        </w:tc>
        <w:tc>
          <w:tcPr>
            <w:tcW w:w="0" w:type="auto"/>
            <w:noWrap w:val="0"/>
            <w:vAlign w:val="center"/>
          </w:tcPr>
          <w:p w14:paraId="65FDC460">
            <w:pPr>
              <w:jc w:val="center"/>
              <w:rPr>
                <w:rFonts w:ascii="宋体" w:hAnsi="宋体" w:cs="宋体"/>
                <w:color w:val="000000"/>
                <w:szCs w:val="21"/>
              </w:rPr>
            </w:pPr>
            <w:r>
              <w:rPr>
                <w:rFonts w:hint="eastAsia"/>
                <w:color w:val="000000"/>
                <w:szCs w:val="21"/>
              </w:rPr>
              <w:t>260</w:t>
            </w:r>
          </w:p>
        </w:tc>
      </w:tr>
      <w:tr w14:paraId="1033D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88A4CD7">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2DB7026">
            <w:pPr>
              <w:spacing w:before="100" w:beforeAutospacing="1" w:after="100" w:afterAutospacing="1" w:line="240" w:lineRule="atLeast"/>
              <w:jc w:val="center"/>
              <w:rPr>
                <w:rFonts w:eastAsia="楷体_GB2312"/>
                <w:kern w:val="0"/>
                <w:szCs w:val="21"/>
              </w:rPr>
            </w:pPr>
          </w:p>
        </w:tc>
        <w:tc>
          <w:tcPr>
            <w:tcW w:w="0" w:type="auto"/>
            <w:noWrap w:val="0"/>
            <w:vAlign w:val="center"/>
          </w:tcPr>
          <w:p w14:paraId="1962F143">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62D06225">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632502EC">
            <w:pPr>
              <w:jc w:val="center"/>
              <w:rPr>
                <w:rFonts w:ascii="宋体" w:hAnsi="宋体" w:cs="宋体"/>
                <w:color w:val="000000"/>
                <w:szCs w:val="21"/>
              </w:rPr>
            </w:pPr>
            <w:r>
              <w:rPr>
                <w:rFonts w:hint="eastAsia"/>
                <w:color w:val="000000"/>
                <w:szCs w:val="21"/>
              </w:rPr>
              <w:t>275</w:t>
            </w:r>
          </w:p>
        </w:tc>
        <w:tc>
          <w:tcPr>
            <w:tcW w:w="0" w:type="auto"/>
            <w:noWrap w:val="0"/>
            <w:vAlign w:val="center"/>
          </w:tcPr>
          <w:p w14:paraId="5DD23685">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531B19DF">
            <w:pPr>
              <w:jc w:val="center"/>
              <w:rPr>
                <w:rFonts w:ascii="宋体" w:hAnsi="宋体" w:cs="宋体"/>
                <w:color w:val="000000"/>
                <w:szCs w:val="21"/>
              </w:rPr>
            </w:pPr>
            <w:r>
              <w:rPr>
                <w:rFonts w:hint="eastAsia"/>
                <w:color w:val="000000"/>
                <w:szCs w:val="21"/>
              </w:rPr>
              <w:t>205</w:t>
            </w:r>
          </w:p>
        </w:tc>
      </w:tr>
      <w:tr w14:paraId="7328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3B864C12">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vMerge w:val="restart"/>
            <w:noWrap w:val="0"/>
            <w:vAlign w:val="center"/>
          </w:tcPr>
          <w:p w14:paraId="76FE8509">
            <w:pPr>
              <w:spacing w:before="100" w:beforeAutospacing="1" w:after="100" w:afterAutospacing="1" w:line="240" w:lineRule="atLeast"/>
              <w:jc w:val="center"/>
              <w:rPr>
                <w:rFonts w:eastAsia="楷体_GB2312"/>
                <w:kern w:val="0"/>
                <w:szCs w:val="21"/>
              </w:rPr>
            </w:pPr>
            <w:r>
              <w:rPr>
                <w:rFonts w:hint="eastAsia" w:eastAsia="楷体_GB2312"/>
                <w:kern w:val="0"/>
                <w:szCs w:val="21"/>
              </w:rPr>
              <w:t>永镇乡</w:t>
            </w:r>
          </w:p>
        </w:tc>
        <w:tc>
          <w:tcPr>
            <w:tcW w:w="0" w:type="auto"/>
            <w:noWrap w:val="0"/>
            <w:vAlign w:val="center"/>
          </w:tcPr>
          <w:p w14:paraId="5D9F1E39">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63A91964">
            <w:pPr>
              <w:spacing w:before="100" w:beforeAutospacing="1" w:after="100" w:afterAutospacing="1" w:line="240" w:lineRule="atLeast"/>
              <w:jc w:val="center"/>
              <w:rPr>
                <w:rFonts w:eastAsia="楷体_GB2312"/>
                <w:kern w:val="0"/>
                <w:szCs w:val="21"/>
              </w:rPr>
            </w:pPr>
            <w:r>
              <w:rPr>
                <w:rFonts w:hint="eastAsia" w:eastAsia="楷体_GB2312"/>
                <w:kern w:val="0"/>
                <w:szCs w:val="21"/>
              </w:rPr>
              <w:t>13</w:t>
            </w:r>
          </w:p>
        </w:tc>
        <w:tc>
          <w:tcPr>
            <w:tcW w:w="0" w:type="auto"/>
            <w:noWrap w:val="0"/>
            <w:vAlign w:val="center"/>
          </w:tcPr>
          <w:p w14:paraId="4ECE3A42">
            <w:pPr>
              <w:jc w:val="center"/>
              <w:rPr>
                <w:rFonts w:ascii="宋体" w:hAnsi="宋体" w:cs="宋体"/>
                <w:color w:val="000000"/>
                <w:szCs w:val="21"/>
              </w:rPr>
            </w:pPr>
            <w:r>
              <w:rPr>
                <w:rFonts w:hint="eastAsia"/>
                <w:color w:val="000000"/>
                <w:szCs w:val="21"/>
              </w:rPr>
              <w:t>464</w:t>
            </w:r>
          </w:p>
        </w:tc>
        <w:tc>
          <w:tcPr>
            <w:tcW w:w="0" w:type="auto"/>
            <w:noWrap w:val="0"/>
            <w:vAlign w:val="center"/>
          </w:tcPr>
          <w:p w14:paraId="59F38DDE">
            <w:pPr>
              <w:spacing w:before="100" w:beforeAutospacing="1" w:after="100" w:afterAutospacing="1" w:line="240" w:lineRule="atLeast"/>
              <w:jc w:val="center"/>
              <w:rPr>
                <w:rFonts w:eastAsia="楷体_GB2312"/>
                <w:kern w:val="0"/>
                <w:szCs w:val="21"/>
              </w:rPr>
            </w:pPr>
            <w:r>
              <w:rPr>
                <w:rFonts w:hint="eastAsia" w:eastAsia="楷体_GB2312"/>
                <w:kern w:val="0"/>
                <w:szCs w:val="21"/>
              </w:rPr>
              <w:t>18</w:t>
            </w:r>
          </w:p>
        </w:tc>
        <w:tc>
          <w:tcPr>
            <w:tcW w:w="0" w:type="auto"/>
            <w:noWrap w:val="0"/>
            <w:vAlign w:val="center"/>
          </w:tcPr>
          <w:p w14:paraId="7F773912">
            <w:pPr>
              <w:jc w:val="center"/>
              <w:rPr>
                <w:rFonts w:ascii="宋体" w:hAnsi="宋体" w:cs="宋体"/>
                <w:color w:val="000000"/>
                <w:szCs w:val="21"/>
              </w:rPr>
            </w:pPr>
            <w:r>
              <w:rPr>
                <w:rFonts w:hint="eastAsia"/>
                <w:color w:val="000000"/>
                <w:szCs w:val="21"/>
              </w:rPr>
              <w:t>347</w:t>
            </w:r>
          </w:p>
        </w:tc>
      </w:tr>
      <w:tr w14:paraId="6E0F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40C81FA0">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4FF268B">
            <w:pPr>
              <w:spacing w:before="100" w:beforeAutospacing="1" w:after="100" w:afterAutospacing="1" w:line="240" w:lineRule="atLeast"/>
              <w:jc w:val="center"/>
              <w:rPr>
                <w:rFonts w:eastAsia="楷体_GB2312"/>
                <w:kern w:val="0"/>
                <w:szCs w:val="21"/>
              </w:rPr>
            </w:pPr>
          </w:p>
        </w:tc>
        <w:tc>
          <w:tcPr>
            <w:tcW w:w="0" w:type="auto"/>
            <w:noWrap w:val="0"/>
            <w:vAlign w:val="center"/>
          </w:tcPr>
          <w:p w14:paraId="523AE373">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31266B6B">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2966A4DD">
            <w:pPr>
              <w:jc w:val="center"/>
              <w:rPr>
                <w:rFonts w:ascii="宋体" w:hAnsi="宋体" w:cs="宋体"/>
                <w:color w:val="000000"/>
                <w:szCs w:val="21"/>
              </w:rPr>
            </w:pPr>
            <w:r>
              <w:rPr>
                <w:rFonts w:hint="eastAsia"/>
                <w:color w:val="000000"/>
                <w:szCs w:val="21"/>
              </w:rPr>
              <w:t>337</w:t>
            </w:r>
          </w:p>
        </w:tc>
        <w:tc>
          <w:tcPr>
            <w:tcW w:w="0" w:type="auto"/>
            <w:noWrap w:val="0"/>
            <w:vAlign w:val="center"/>
          </w:tcPr>
          <w:p w14:paraId="04789B88">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3FC77801">
            <w:pPr>
              <w:jc w:val="center"/>
              <w:rPr>
                <w:rFonts w:ascii="宋体" w:hAnsi="宋体" w:cs="宋体"/>
                <w:color w:val="000000"/>
                <w:szCs w:val="21"/>
              </w:rPr>
            </w:pPr>
            <w:r>
              <w:rPr>
                <w:rFonts w:hint="eastAsia"/>
                <w:color w:val="000000"/>
                <w:szCs w:val="21"/>
              </w:rPr>
              <w:t>260</w:t>
            </w:r>
          </w:p>
        </w:tc>
      </w:tr>
      <w:tr w14:paraId="11E6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D192C85">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ED244EC">
            <w:pPr>
              <w:spacing w:before="100" w:beforeAutospacing="1" w:after="100" w:afterAutospacing="1" w:line="240" w:lineRule="atLeast"/>
              <w:jc w:val="center"/>
              <w:rPr>
                <w:rFonts w:eastAsia="楷体_GB2312"/>
                <w:kern w:val="0"/>
                <w:szCs w:val="21"/>
              </w:rPr>
            </w:pPr>
          </w:p>
        </w:tc>
        <w:tc>
          <w:tcPr>
            <w:tcW w:w="0" w:type="auto"/>
            <w:noWrap w:val="0"/>
            <w:vAlign w:val="center"/>
          </w:tcPr>
          <w:p w14:paraId="4C1BDD84">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43196C0D">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0BD6E7C3">
            <w:pPr>
              <w:jc w:val="center"/>
              <w:rPr>
                <w:rFonts w:ascii="宋体" w:hAnsi="宋体" w:cs="宋体"/>
                <w:color w:val="000000"/>
                <w:szCs w:val="21"/>
              </w:rPr>
            </w:pPr>
            <w:r>
              <w:rPr>
                <w:rFonts w:hint="eastAsia"/>
                <w:color w:val="000000"/>
                <w:szCs w:val="21"/>
              </w:rPr>
              <w:t>266</w:t>
            </w:r>
          </w:p>
        </w:tc>
        <w:tc>
          <w:tcPr>
            <w:tcW w:w="0" w:type="auto"/>
            <w:noWrap w:val="0"/>
            <w:vAlign w:val="center"/>
          </w:tcPr>
          <w:p w14:paraId="746FA130">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3C5D867B">
            <w:pPr>
              <w:jc w:val="center"/>
              <w:rPr>
                <w:rFonts w:ascii="宋体" w:hAnsi="宋体" w:cs="宋体"/>
                <w:color w:val="000000"/>
                <w:szCs w:val="21"/>
              </w:rPr>
            </w:pPr>
            <w:r>
              <w:rPr>
                <w:rFonts w:hint="eastAsia"/>
                <w:color w:val="000000"/>
                <w:szCs w:val="21"/>
              </w:rPr>
              <w:t>204</w:t>
            </w:r>
          </w:p>
        </w:tc>
      </w:tr>
      <w:tr w14:paraId="7E76E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21DFE8D5">
            <w:pPr>
              <w:spacing w:before="100" w:beforeAutospacing="1" w:after="100" w:afterAutospacing="1" w:line="240" w:lineRule="atLeast"/>
              <w:jc w:val="center"/>
              <w:rPr>
                <w:rFonts w:eastAsia="楷体_GB2312"/>
                <w:kern w:val="0"/>
                <w:szCs w:val="21"/>
              </w:rPr>
            </w:pPr>
            <w:r>
              <w:rPr>
                <w:rFonts w:hint="eastAsia" w:eastAsia="楷体_GB2312"/>
                <w:kern w:val="0"/>
                <w:szCs w:val="21"/>
              </w:rPr>
              <w:t>17</w:t>
            </w:r>
          </w:p>
        </w:tc>
        <w:tc>
          <w:tcPr>
            <w:tcW w:w="0" w:type="auto"/>
            <w:vMerge w:val="restart"/>
            <w:noWrap w:val="0"/>
            <w:vAlign w:val="center"/>
          </w:tcPr>
          <w:p w14:paraId="09202031">
            <w:pPr>
              <w:spacing w:before="100" w:beforeAutospacing="1" w:after="100" w:afterAutospacing="1" w:line="240" w:lineRule="atLeast"/>
              <w:jc w:val="center"/>
              <w:rPr>
                <w:rFonts w:eastAsia="楷体_GB2312"/>
                <w:kern w:val="0"/>
                <w:szCs w:val="21"/>
              </w:rPr>
            </w:pPr>
            <w:r>
              <w:rPr>
                <w:rFonts w:hint="eastAsia" w:eastAsia="楷体_GB2312"/>
                <w:kern w:val="0"/>
                <w:szCs w:val="21"/>
              </w:rPr>
              <w:t>解集镇</w:t>
            </w:r>
          </w:p>
        </w:tc>
        <w:tc>
          <w:tcPr>
            <w:tcW w:w="0" w:type="auto"/>
            <w:noWrap w:val="0"/>
            <w:vAlign w:val="center"/>
          </w:tcPr>
          <w:p w14:paraId="222A331F">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3D8AB06C">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0" w:type="auto"/>
            <w:noWrap w:val="0"/>
            <w:vAlign w:val="center"/>
          </w:tcPr>
          <w:p w14:paraId="4B7992E2">
            <w:pPr>
              <w:jc w:val="center"/>
              <w:rPr>
                <w:rFonts w:ascii="宋体" w:hAnsi="宋体" w:cs="宋体"/>
                <w:color w:val="000000"/>
                <w:szCs w:val="21"/>
              </w:rPr>
            </w:pPr>
            <w:r>
              <w:rPr>
                <w:rFonts w:hint="eastAsia"/>
                <w:color w:val="000000"/>
                <w:szCs w:val="21"/>
              </w:rPr>
              <w:t>413</w:t>
            </w:r>
          </w:p>
        </w:tc>
        <w:tc>
          <w:tcPr>
            <w:tcW w:w="0" w:type="auto"/>
            <w:noWrap w:val="0"/>
            <w:vAlign w:val="center"/>
          </w:tcPr>
          <w:p w14:paraId="2836B130">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30A074B0">
            <w:pPr>
              <w:jc w:val="center"/>
              <w:rPr>
                <w:rFonts w:ascii="宋体" w:hAnsi="宋体" w:cs="宋体"/>
                <w:color w:val="000000"/>
                <w:szCs w:val="21"/>
              </w:rPr>
            </w:pPr>
            <w:r>
              <w:rPr>
                <w:rFonts w:hint="eastAsia"/>
                <w:color w:val="000000"/>
                <w:szCs w:val="21"/>
              </w:rPr>
              <w:t>348</w:t>
            </w:r>
          </w:p>
        </w:tc>
      </w:tr>
      <w:tr w14:paraId="68C9A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B74C30D">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E2E8B99">
            <w:pPr>
              <w:spacing w:before="100" w:beforeAutospacing="1" w:after="100" w:afterAutospacing="1" w:line="240" w:lineRule="atLeast"/>
              <w:jc w:val="center"/>
              <w:rPr>
                <w:rFonts w:eastAsia="楷体_GB2312"/>
                <w:kern w:val="0"/>
                <w:szCs w:val="21"/>
              </w:rPr>
            </w:pPr>
          </w:p>
        </w:tc>
        <w:tc>
          <w:tcPr>
            <w:tcW w:w="0" w:type="auto"/>
            <w:noWrap w:val="0"/>
            <w:vAlign w:val="center"/>
          </w:tcPr>
          <w:p w14:paraId="053B9E35">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431DB2E0">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noWrap w:val="0"/>
            <w:vAlign w:val="center"/>
          </w:tcPr>
          <w:p w14:paraId="5322AD85">
            <w:pPr>
              <w:jc w:val="center"/>
              <w:rPr>
                <w:rFonts w:ascii="宋体" w:hAnsi="宋体" w:cs="宋体"/>
                <w:color w:val="000000"/>
                <w:szCs w:val="21"/>
              </w:rPr>
            </w:pPr>
            <w:r>
              <w:rPr>
                <w:rFonts w:hint="eastAsia"/>
                <w:color w:val="000000"/>
                <w:szCs w:val="21"/>
              </w:rPr>
              <w:t>342</w:t>
            </w:r>
          </w:p>
        </w:tc>
        <w:tc>
          <w:tcPr>
            <w:tcW w:w="0" w:type="auto"/>
            <w:noWrap w:val="0"/>
            <w:vAlign w:val="center"/>
          </w:tcPr>
          <w:p w14:paraId="0972F6D6">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0" w:type="auto"/>
            <w:noWrap w:val="0"/>
            <w:vAlign w:val="center"/>
          </w:tcPr>
          <w:p w14:paraId="6C690316">
            <w:pPr>
              <w:jc w:val="center"/>
              <w:rPr>
                <w:rFonts w:ascii="宋体" w:hAnsi="宋体" w:cs="宋体"/>
                <w:color w:val="000000"/>
                <w:szCs w:val="21"/>
              </w:rPr>
            </w:pPr>
            <w:r>
              <w:rPr>
                <w:rFonts w:hint="eastAsia"/>
                <w:color w:val="000000"/>
                <w:szCs w:val="21"/>
              </w:rPr>
              <w:t>247</w:t>
            </w:r>
          </w:p>
        </w:tc>
      </w:tr>
      <w:tr w14:paraId="6315F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4FEA3CB7">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37B24E1E">
            <w:pPr>
              <w:spacing w:before="100" w:beforeAutospacing="1" w:after="100" w:afterAutospacing="1" w:line="240" w:lineRule="atLeast"/>
              <w:jc w:val="center"/>
              <w:rPr>
                <w:rFonts w:eastAsia="楷体_GB2312"/>
                <w:kern w:val="0"/>
                <w:szCs w:val="21"/>
              </w:rPr>
            </w:pPr>
          </w:p>
        </w:tc>
        <w:tc>
          <w:tcPr>
            <w:tcW w:w="0" w:type="auto"/>
            <w:noWrap w:val="0"/>
            <w:vAlign w:val="center"/>
          </w:tcPr>
          <w:p w14:paraId="0C5C77E2">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567E74F2">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116D81CD">
            <w:pPr>
              <w:jc w:val="center"/>
              <w:rPr>
                <w:rFonts w:ascii="宋体" w:hAnsi="宋体" w:cs="宋体"/>
                <w:color w:val="000000"/>
                <w:szCs w:val="21"/>
              </w:rPr>
            </w:pPr>
            <w:r>
              <w:rPr>
                <w:rFonts w:hint="eastAsia"/>
                <w:color w:val="000000"/>
                <w:szCs w:val="21"/>
              </w:rPr>
              <w:t>257</w:t>
            </w:r>
          </w:p>
        </w:tc>
        <w:tc>
          <w:tcPr>
            <w:tcW w:w="0" w:type="auto"/>
            <w:noWrap w:val="0"/>
            <w:vAlign w:val="center"/>
          </w:tcPr>
          <w:p w14:paraId="13B5D844">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7CD43983">
            <w:pPr>
              <w:jc w:val="center"/>
              <w:rPr>
                <w:rFonts w:ascii="宋体" w:hAnsi="宋体" w:cs="宋体"/>
                <w:color w:val="000000"/>
                <w:szCs w:val="21"/>
              </w:rPr>
            </w:pPr>
            <w:r>
              <w:rPr>
                <w:rFonts w:hint="eastAsia"/>
                <w:color w:val="000000"/>
                <w:szCs w:val="21"/>
              </w:rPr>
              <w:t>203</w:t>
            </w:r>
          </w:p>
        </w:tc>
      </w:tr>
      <w:tr w14:paraId="221E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095D4F13">
            <w:pPr>
              <w:spacing w:before="100" w:beforeAutospacing="1" w:after="100" w:afterAutospacing="1" w:line="240" w:lineRule="atLeast"/>
              <w:jc w:val="center"/>
              <w:rPr>
                <w:rFonts w:eastAsia="楷体_GB2312"/>
                <w:kern w:val="0"/>
                <w:szCs w:val="21"/>
              </w:rPr>
            </w:pPr>
            <w:r>
              <w:rPr>
                <w:rFonts w:hint="eastAsia" w:eastAsia="楷体_GB2312"/>
                <w:kern w:val="0"/>
                <w:szCs w:val="21"/>
              </w:rPr>
              <w:t>18</w:t>
            </w:r>
          </w:p>
        </w:tc>
        <w:tc>
          <w:tcPr>
            <w:tcW w:w="0" w:type="auto"/>
            <w:vMerge w:val="restart"/>
            <w:noWrap w:val="0"/>
            <w:vAlign w:val="center"/>
          </w:tcPr>
          <w:p w14:paraId="1F3FA710">
            <w:pPr>
              <w:spacing w:before="100" w:beforeAutospacing="1" w:after="100" w:afterAutospacing="1" w:line="240" w:lineRule="atLeast"/>
              <w:jc w:val="center"/>
              <w:rPr>
                <w:rFonts w:eastAsia="楷体_GB2312"/>
                <w:kern w:val="0"/>
                <w:szCs w:val="21"/>
              </w:rPr>
            </w:pPr>
            <w:r>
              <w:rPr>
                <w:rFonts w:hint="eastAsia" w:eastAsia="楷体_GB2312"/>
                <w:kern w:val="0"/>
                <w:szCs w:val="21"/>
              </w:rPr>
              <w:t>大泽乡镇</w:t>
            </w:r>
          </w:p>
        </w:tc>
        <w:tc>
          <w:tcPr>
            <w:tcW w:w="0" w:type="auto"/>
            <w:noWrap w:val="0"/>
            <w:vAlign w:val="center"/>
          </w:tcPr>
          <w:p w14:paraId="3552626E">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4D17B9A7">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6F58E794">
            <w:pPr>
              <w:jc w:val="center"/>
              <w:rPr>
                <w:rFonts w:ascii="宋体" w:hAnsi="宋体" w:cs="宋体"/>
                <w:color w:val="000000"/>
                <w:szCs w:val="21"/>
              </w:rPr>
            </w:pPr>
            <w:r>
              <w:rPr>
                <w:rFonts w:hint="eastAsia"/>
                <w:color w:val="000000"/>
                <w:szCs w:val="21"/>
              </w:rPr>
              <w:t>431</w:t>
            </w:r>
          </w:p>
        </w:tc>
        <w:tc>
          <w:tcPr>
            <w:tcW w:w="0" w:type="auto"/>
            <w:noWrap w:val="0"/>
            <w:vAlign w:val="center"/>
          </w:tcPr>
          <w:p w14:paraId="6441E201">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noWrap w:val="0"/>
            <w:vAlign w:val="center"/>
          </w:tcPr>
          <w:p w14:paraId="093050EE">
            <w:pPr>
              <w:jc w:val="center"/>
              <w:rPr>
                <w:rFonts w:ascii="宋体" w:hAnsi="宋体" w:cs="宋体"/>
                <w:color w:val="000000"/>
                <w:szCs w:val="21"/>
              </w:rPr>
            </w:pPr>
            <w:r>
              <w:rPr>
                <w:rFonts w:hint="eastAsia"/>
                <w:color w:val="000000"/>
                <w:szCs w:val="21"/>
              </w:rPr>
              <w:t>320</w:t>
            </w:r>
          </w:p>
        </w:tc>
      </w:tr>
      <w:tr w14:paraId="69309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B81C529">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2D6A666">
            <w:pPr>
              <w:spacing w:before="100" w:beforeAutospacing="1" w:after="100" w:afterAutospacing="1" w:line="240" w:lineRule="atLeast"/>
              <w:jc w:val="center"/>
              <w:rPr>
                <w:rFonts w:eastAsia="楷体_GB2312"/>
                <w:kern w:val="0"/>
                <w:szCs w:val="21"/>
              </w:rPr>
            </w:pPr>
          </w:p>
        </w:tc>
        <w:tc>
          <w:tcPr>
            <w:tcW w:w="0" w:type="auto"/>
            <w:noWrap w:val="0"/>
            <w:vAlign w:val="center"/>
          </w:tcPr>
          <w:p w14:paraId="3A3C51B4">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625DF089">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396AEDB7">
            <w:pPr>
              <w:jc w:val="center"/>
              <w:rPr>
                <w:rFonts w:ascii="宋体" w:hAnsi="宋体" w:cs="宋体"/>
                <w:color w:val="000000"/>
                <w:szCs w:val="21"/>
              </w:rPr>
            </w:pPr>
            <w:r>
              <w:rPr>
                <w:rFonts w:hint="eastAsia"/>
                <w:color w:val="000000"/>
                <w:szCs w:val="21"/>
              </w:rPr>
              <w:t>362</w:t>
            </w:r>
          </w:p>
        </w:tc>
        <w:tc>
          <w:tcPr>
            <w:tcW w:w="0" w:type="auto"/>
            <w:noWrap w:val="0"/>
            <w:vAlign w:val="center"/>
          </w:tcPr>
          <w:p w14:paraId="60379045">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noWrap w:val="0"/>
            <w:vAlign w:val="center"/>
          </w:tcPr>
          <w:p w14:paraId="57AE0779">
            <w:pPr>
              <w:jc w:val="center"/>
              <w:rPr>
                <w:rFonts w:ascii="宋体" w:hAnsi="宋体" w:cs="宋体"/>
                <w:color w:val="000000"/>
                <w:szCs w:val="21"/>
              </w:rPr>
            </w:pPr>
            <w:r>
              <w:rPr>
                <w:rFonts w:hint="eastAsia"/>
                <w:color w:val="000000"/>
                <w:szCs w:val="21"/>
              </w:rPr>
              <w:t>258</w:t>
            </w:r>
          </w:p>
        </w:tc>
      </w:tr>
      <w:tr w14:paraId="6E125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DA3BA9D">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1A321DE">
            <w:pPr>
              <w:spacing w:before="100" w:beforeAutospacing="1" w:after="100" w:afterAutospacing="1" w:line="240" w:lineRule="atLeast"/>
              <w:jc w:val="center"/>
              <w:rPr>
                <w:rFonts w:eastAsia="楷体_GB2312"/>
                <w:kern w:val="0"/>
                <w:szCs w:val="21"/>
              </w:rPr>
            </w:pPr>
          </w:p>
        </w:tc>
        <w:tc>
          <w:tcPr>
            <w:tcW w:w="0" w:type="auto"/>
            <w:noWrap w:val="0"/>
            <w:vAlign w:val="center"/>
          </w:tcPr>
          <w:p w14:paraId="3881AFCE">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3829C6CB">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3B36DEFC">
            <w:pPr>
              <w:jc w:val="center"/>
              <w:rPr>
                <w:rFonts w:ascii="宋体" w:hAnsi="宋体" w:cs="宋体"/>
                <w:color w:val="000000"/>
                <w:szCs w:val="21"/>
              </w:rPr>
            </w:pPr>
            <w:r>
              <w:rPr>
                <w:rFonts w:hint="eastAsia"/>
                <w:color w:val="000000"/>
                <w:szCs w:val="21"/>
              </w:rPr>
              <w:t>275</w:t>
            </w:r>
          </w:p>
        </w:tc>
        <w:tc>
          <w:tcPr>
            <w:tcW w:w="0" w:type="auto"/>
            <w:noWrap w:val="0"/>
            <w:vAlign w:val="center"/>
          </w:tcPr>
          <w:p w14:paraId="2B6928D8">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65D32433">
            <w:pPr>
              <w:jc w:val="center"/>
              <w:rPr>
                <w:rFonts w:ascii="宋体" w:hAnsi="宋体" w:cs="宋体"/>
                <w:color w:val="000000"/>
                <w:szCs w:val="21"/>
              </w:rPr>
            </w:pPr>
            <w:r>
              <w:rPr>
                <w:rFonts w:hint="eastAsia"/>
                <w:color w:val="000000"/>
                <w:szCs w:val="21"/>
              </w:rPr>
              <w:t>205</w:t>
            </w:r>
          </w:p>
        </w:tc>
      </w:tr>
      <w:tr w14:paraId="0597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11A66486">
            <w:pPr>
              <w:spacing w:before="100" w:beforeAutospacing="1" w:after="100" w:afterAutospacing="1" w:line="240" w:lineRule="atLeast"/>
              <w:jc w:val="center"/>
              <w:rPr>
                <w:rFonts w:eastAsia="楷体_GB2312"/>
                <w:kern w:val="0"/>
                <w:szCs w:val="21"/>
              </w:rPr>
            </w:pPr>
            <w:r>
              <w:rPr>
                <w:rFonts w:hint="eastAsia" w:eastAsia="楷体_GB2312"/>
                <w:kern w:val="0"/>
                <w:szCs w:val="21"/>
              </w:rPr>
              <w:t>19</w:t>
            </w:r>
          </w:p>
        </w:tc>
        <w:tc>
          <w:tcPr>
            <w:tcW w:w="0" w:type="auto"/>
            <w:vMerge w:val="restart"/>
            <w:noWrap w:val="0"/>
            <w:vAlign w:val="center"/>
          </w:tcPr>
          <w:p w14:paraId="108A21CC">
            <w:pPr>
              <w:spacing w:before="100" w:beforeAutospacing="1" w:after="100" w:afterAutospacing="1" w:line="240" w:lineRule="atLeast"/>
              <w:jc w:val="center"/>
              <w:rPr>
                <w:rFonts w:eastAsia="楷体_GB2312"/>
                <w:kern w:val="0"/>
                <w:szCs w:val="21"/>
              </w:rPr>
            </w:pPr>
            <w:r>
              <w:rPr>
                <w:rFonts w:hint="eastAsia" w:eastAsia="楷体_GB2312"/>
                <w:kern w:val="0"/>
                <w:szCs w:val="21"/>
              </w:rPr>
              <w:t>永安镇</w:t>
            </w:r>
          </w:p>
        </w:tc>
        <w:tc>
          <w:tcPr>
            <w:tcW w:w="0" w:type="auto"/>
            <w:noWrap w:val="0"/>
            <w:vAlign w:val="center"/>
          </w:tcPr>
          <w:p w14:paraId="3C6447E8">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58B864F3">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31666EBB">
            <w:pPr>
              <w:jc w:val="center"/>
              <w:rPr>
                <w:rFonts w:ascii="宋体" w:hAnsi="宋体" w:cs="宋体"/>
                <w:color w:val="000000"/>
                <w:szCs w:val="21"/>
              </w:rPr>
            </w:pPr>
            <w:r>
              <w:rPr>
                <w:rFonts w:hint="eastAsia"/>
                <w:color w:val="000000"/>
                <w:szCs w:val="21"/>
              </w:rPr>
              <w:t>444</w:t>
            </w:r>
          </w:p>
        </w:tc>
        <w:tc>
          <w:tcPr>
            <w:tcW w:w="0" w:type="auto"/>
            <w:noWrap w:val="0"/>
            <w:vAlign w:val="center"/>
          </w:tcPr>
          <w:p w14:paraId="27EDD849">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18201250">
            <w:pPr>
              <w:jc w:val="center"/>
              <w:rPr>
                <w:rFonts w:ascii="宋体" w:hAnsi="宋体" w:cs="宋体"/>
                <w:color w:val="000000"/>
                <w:szCs w:val="21"/>
              </w:rPr>
            </w:pPr>
            <w:r>
              <w:rPr>
                <w:rFonts w:hint="eastAsia"/>
                <w:color w:val="000000"/>
                <w:szCs w:val="21"/>
              </w:rPr>
              <w:t>322</w:t>
            </w:r>
          </w:p>
        </w:tc>
      </w:tr>
      <w:tr w14:paraId="29F7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D55E1CC">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BF52BD9">
            <w:pPr>
              <w:spacing w:before="100" w:beforeAutospacing="1" w:after="100" w:afterAutospacing="1" w:line="240" w:lineRule="atLeast"/>
              <w:jc w:val="center"/>
              <w:rPr>
                <w:rFonts w:eastAsia="楷体_GB2312"/>
                <w:kern w:val="0"/>
                <w:szCs w:val="21"/>
              </w:rPr>
            </w:pPr>
          </w:p>
        </w:tc>
        <w:tc>
          <w:tcPr>
            <w:tcW w:w="0" w:type="auto"/>
            <w:noWrap w:val="0"/>
            <w:vAlign w:val="center"/>
          </w:tcPr>
          <w:p w14:paraId="54B0F28A">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7219FC62">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5A56B788">
            <w:pPr>
              <w:jc w:val="center"/>
              <w:rPr>
                <w:rFonts w:ascii="宋体" w:hAnsi="宋体" w:cs="宋体"/>
                <w:color w:val="000000"/>
                <w:szCs w:val="21"/>
              </w:rPr>
            </w:pPr>
            <w:r>
              <w:rPr>
                <w:rFonts w:hint="eastAsia"/>
                <w:color w:val="000000"/>
                <w:szCs w:val="21"/>
              </w:rPr>
              <w:t>336</w:t>
            </w:r>
          </w:p>
        </w:tc>
        <w:tc>
          <w:tcPr>
            <w:tcW w:w="0" w:type="auto"/>
            <w:noWrap w:val="0"/>
            <w:vAlign w:val="center"/>
          </w:tcPr>
          <w:p w14:paraId="2EA93819">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21873CD5">
            <w:pPr>
              <w:jc w:val="center"/>
              <w:rPr>
                <w:rFonts w:ascii="宋体" w:hAnsi="宋体" w:cs="宋体"/>
                <w:color w:val="000000"/>
                <w:szCs w:val="21"/>
              </w:rPr>
            </w:pPr>
            <w:r>
              <w:rPr>
                <w:rFonts w:hint="eastAsia"/>
                <w:color w:val="000000"/>
                <w:szCs w:val="21"/>
              </w:rPr>
              <w:t>260</w:t>
            </w:r>
          </w:p>
        </w:tc>
      </w:tr>
      <w:tr w14:paraId="1DAFD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B62CCFF">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4FF47B87">
            <w:pPr>
              <w:spacing w:before="100" w:beforeAutospacing="1" w:after="100" w:afterAutospacing="1" w:line="240" w:lineRule="atLeast"/>
              <w:jc w:val="center"/>
              <w:rPr>
                <w:rFonts w:eastAsia="楷体_GB2312"/>
                <w:kern w:val="0"/>
                <w:szCs w:val="21"/>
              </w:rPr>
            </w:pPr>
          </w:p>
        </w:tc>
        <w:tc>
          <w:tcPr>
            <w:tcW w:w="0" w:type="auto"/>
            <w:noWrap w:val="0"/>
            <w:vAlign w:val="center"/>
          </w:tcPr>
          <w:p w14:paraId="09F90B0F">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050FEA9C">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7BB1F0F7">
            <w:pPr>
              <w:jc w:val="center"/>
              <w:rPr>
                <w:rFonts w:ascii="宋体" w:hAnsi="宋体" w:cs="宋体"/>
                <w:color w:val="000000"/>
                <w:szCs w:val="21"/>
              </w:rPr>
            </w:pPr>
            <w:r>
              <w:rPr>
                <w:rFonts w:hint="eastAsia"/>
                <w:color w:val="000000"/>
                <w:szCs w:val="21"/>
              </w:rPr>
              <w:t>284</w:t>
            </w:r>
          </w:p>
        </w:tc>
        <w:tc>
          <w:tcPr>
            <w:tcW w:w="0" w:type="auto"/>
            <w:noWrap w:val="0"/>
            <w:vAlign w:val="center"/>
          </w:tcPr>
          <w:p w14:paraId="3F8A3B96">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4979C53B">
            <w:pPr>
              <w:jc w:val="center"/>
              <w:rPr>
                <w:rFonts w:ascii="宋体" w:hAnsi="宋体" w:cs="宋体"/>
                <w:color w:val="000000"/>
                <w:szCs w:val="21"/>
              </w:rPr>
            </w:pPr>
            <w:r>
              <w:rPr>
                <w:rFonts w:hint="eastAsia"/>
                <w:color w:val="000000"/>
                <w:szCs w:val="21"/>
              </w:rPr>
              <w:t>193</w:t>
            </w:r>
          </w:p>
        </w:tc>
      </w:tr>
      <w:tr w14:paraId="26F8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2C07DD71">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vMerge w:val="restart"/>
            <w:noWrap w:val="0"/>
            <w:vAlign w:val="center"/>
          </w:tcPr>
          <w:p w14:paraId="659F52BE">
            <w:pPr>
              <w:spacing w:before="100" w:beforeAutospacing="1" w:after="100" w:afterAutospacing="1" w:line="240" w:lineRule="atLeast"/>
              <w:jc w:val="center"/>
              <w:rPr>
                <w:rFonts w:eastAsia="楷体_GB2312"/>
                <w:kern w:val="0"/>
                <w:szCs w:val="21"/>
              </w:rPr>
            </w:pPr>
            <w:r>
              <w:rPr>
                <w:rFonts w:hint="eastAsia" w:eastAsia="楷体_GB2312"/>
                <w:kern w:val="0"/>
                <w:szCs w:val="21"/>
              </w:rPr>
              <w:t>支河乡</w:t>
            </w:r>
          </w:p>
        </w:tc>
        <w:tc>
          <w:tcPr>
            <w:tcW w:w="0" w:type="auto"/>
            <w:noWrap w:val="0"/>
            <w:vAlign w:val="center"/>
          </w:tcPr>
          <w:p w14:paraId="3943DADB">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4C2D8CD1">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0924B64D">
            <w:pPr>
              <w:jc w:val="center"/>
              <w:rPr>
                <w:rFonts w:ascii="宋体" w:hAnsi="宋体" w:cs="宋体"/>
                <w:color w:val="000000"/>
                <w:szCs w:val="21"/>
              </w:rPr>
            </w:pPr>
            <w:r>
              <w:rPr>
                <w:rFonts w:hint="eastAsia"/>
                <w:color w:val="000000"/>
                <w:szCs w:val="21"/>
              </w:rPr>
              <w:t>446</w:t>
            </w:r>
          </w:p>
        </w:tc>
        <w:tc>
          <w:tcPr>
            <w:tcW w:w="0" w:type="auto"/>
            <w:noWrap w:val="0"/>
            <w:vAlign w:val="center"/>
          </w:tcPr>
          <w:p w14:paraId="368BFBDE">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371BA6EB">
            <w:pPr>
              <w:jc w:val="center"/>
              <w:rPr>
                <w:rFonts w:ascii="宋体" w:hAnsi="宋体" w:cs="宋体"/>
                <w:color w:val="000000"/>
                <w:szCs w:val="21"/>
              </w:rPr>
            </w:pPr>
            <w:r>
              <w:rPr>
                <w:rFonts w:hint="eastAsia"/>
                <w:color w:val="000000"/>
                <w:szCs w:val="21"/>
              </w:rPr>
              <w:t>309</w:t>
            </w:r>
          </w:p>
        </w:tc>
      </w:tr>
      <w:tr w14:paraId="0B9C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29E7CC7">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43258455">
            <w:pPr>
              <w:spacing w:before="100" w:beforeAutospacing="1" w:after="100" w:afterAutospacing="1" w:line="240" w:lineRule="atLeast"/>
              <w:jc w:val="center"/>
              <w:rPr>
                <w:rFonts w:eastAsia="楷体_GB2312"/>
                <w:kern w:val="0"/>
                <w:szCs w:val="21"/>
              </w:rPr>
            </w:pPr>
          </w:p>
        </w:tc>
        <w:tc>
          <w:tcPr>
            <w:tcW w:w="0" w:type="auto"/>
            <w:noWrap w:val="0"/>
            <w:vAlign w:val="center"/>
          </w:tcPr>
          <w:p w14:paraId="4B6AB8F1">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199294FA">
            <w:pPr>
              <w:spacing w:before="100" w:beforeAutospacing="1" w:after="100" w:afterAutospacing="1" w:line="240" w:lineRule="atLeast"/>
              <w:jc w:val="center"/>
              <w:rPr>
                <w:rFonts w:eastAsia="楷体_GB2312"/>
                <w:kern w:val="0"/>
                <w:szCs w:val="21"/>
              </w:rPr>
            </w:pPr>
            <w:r>
              <w:rPr>
                <w:rFonts w:hint="eastAsia" w:eastAsia="楷体_GB2312"/>
                <w:kern w:val="0"/>
                <w:szCs w:val="21"/>
              </w:rPr>
              <w:t>9</w:t>
            </w:r>
          </w:p>
        </w:tc>
        <w:tc>
          <w:tcPr>
            <w:tcW w:w="0" w:type="auto"/>
            <w:noWrap w:val="0"/>
            <w:vAlign w:val="center"/>
          </w:tcPr>
          <w:p w14:paraId="2F42E8DF">
            <w:pPr>
              <w:jc w:val="center"/>
              <w:rPr>
                <w:rFonts w:ascii="宋体" w:hAnsi="宋体" w:cs="宋体"/>
                <w:color w:val="000000"/>
                <w:szCs w:val="21"/>
              </w:rPr>
            </w:pPr>
            <w:r>
              <w:rPr>
                <w:rFonts w:hint="eastAsia"/>
                <w:color w:val="000000"/>
                <w:szCs w:val="21"/>
              </w:rPr>
              <w:t>317</w:t>
            </w:r>
          </w:p>
        </w:tc>
        <w:tc>
          <w:tcPr>
            <w:tcW w:w="0" w:type="auto"/>
            <w:noWrap w:val="0"/>
            <w:vAlign w:val="center"/>
          </w:tcPr>
          <w:p w14:paraId="1900FDAD">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62A34808">
            <w:pPr>
              <w:jc w:val="center"/>
              <w:rPr>
                <w:rFonts w:ascii="宋体" w:hAnsi="宋体" w:cs="宋体"/>
                <w:color w:val="000000"/>
                <w:szCs w:val="21"/>
              </w:rPr>
            </w:pPr>
            <w:r>
              <w:rPr>
                <w:rFonts w:hint="eastAsia"/>
                <w:color w:val="000000"/>
                <w:szCs w:val="21"/>
              </w:rPr>
              <w:t>240</w:t>
            </w:r>
          </w:p>
        </w:tc>
      </w:tr>
      <w:tr w14:paraId="1E847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E433366">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4438A620">
            <w:pPr>
              <w:spacing w:before="100" w:beforeAutospacing="1" w:after="100" w:afterAutospacing="1" w:line="240" w:lineRule="atLeast"/>
              <w:jc w:val="center"/>
              <w:rPr>
                <w:rFonts w:eastAsia="楷体_GB2312"/>
                <w:kern w:val="0"/>
                <w:szCs w:val="21"/>
              </w:rPr>
            </w:pPr>
          </w:p>
        </w:tc>
        <w:tc>
          <w:tcPr>
            <w:tcW w:w="0" w:type="auto"/>
            <w:noWrap w:val="0"/>
            <w:vAlign w:val="center"/>
          </w:tcPr>
          <w:p w14:paraId="0560CE48">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5F551481">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40C49588">
            <w:pPr>
              <w:jc w:val="center"/>
              <w:rPr>
                <w:rFonts w:ascii="宋体" w:hAnsi="宋体" w:cs="宋体"/>
                <w:color w:val="000000"/>
                <w:szCs w:val="21"/>
              </w:rPr>
            </w:pPr>
            <w:r>
              <w:rPr>
                <w:rFonts w:hint="eastAsia"/>
                <w:color w:val="000000"/>
                <w:szCs w:val="21"/>
              </w:rPr>
              <w:t>252</w:t>
            </w:r>
          </w:p>
        </w:tc>
        <w:tc>
          <w:tcPr>
            <w:tcW w:w="0" w:type="auto"/>
            <w:noWrap w:val="0"/>
            <w:vAlign w:val="center"/>
          </w:tcPr>
          <w:p w14:paraId="5AA4A7C7">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50169179">
            <w:pPr>
              <w:jc w:val="center"/>
              <w:rPr>
                <w:rFonts w:ascii="宋体" w:hAnsi="宋体" w:cs="宋体"/>
                <w:color w:val="000000"/>
                <w:szCs w:val="21"/>
              </w:rPr>
            </w:pPr>
            <w:r>
              <w:rPr>
                <w:rFonts w:hint="eastAsia"/>
                <w:color w:val="000000"/>
                <w:szCs w:val="21"/>
              </w:rPr>
              <w:t>192</w:t>
            </w:r>
          </w:p>
        </w:tc>
      </w:tr>
      <w:tr w14:paraId="739B6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7F0E178B">
            <w:pPr>
              <w:spacing w:before="100" w:beforeAutospacing="1" w:after="100" w:afterAutospacing="1" w:line="240" w:lineRule="atLeast"/>
              <w:jc w:val="center"/>
              <w:rPr>
                <w:rFonts w:eastAsia="楷体_GB2312"/>
                <w:kern w:val="0"/>
                <w:szCs w:val="21"/>
              </w:rPr>
            </w:pPr>
            <w:r>
              <w:rPr>
                <w:rFonts w:hint="eastAsia" w:eastAsia="楷体_GB2312"/>
                <w:kern w:val="0"/>
                <w:szCs w:val="21"/>
              </w:rPr>
              <w:t>21</w:t>
            </w:r>
          </w:p>
        </w:tc>
        <w:tc>
          <w:tcPr>
            <w:tcW w:w="0" w:type="auto"/>
            <w:vMerge w:val="restart"/>
            <w:noWrap w:val="0"/>
            <w:vAlign w:val="center"/>
          </w:tcPr>
          <w:p w14:paraId="21173A7C">
            <w:pPr>
              <w:spacing w:before="100" w:beforeAutospacing="1" w:after="100" w:afterAutospacing="1" w:line="240" w:lineRule="atLeast"/>
              <w:jc w:val="center"/>
              <w:rPr>
                <w:rFonts w:eastAsia="楷体_GB2312"/>
                <w:kern w:val="0"/>
                <w:szCs w:val="21"/>
              </w:rPr>
            </w:pPr>
            <w:r>
              <w:rPr>
                <w:rFonts w:hint="eastAsia" w:eastAsia="楷体_GB2312"/>
                <w:kern w:val="0"/>
                <w:szCs w:val="21"/>
              </w:rPr>
              <w:t>灰古镇</w:t>
            </w:r>
          </w:p>
        </w:tc>
        <w:tc>
          <w:tcPr>
            <w:tcW w:w="0" w:type="auto"/>
            <w:noWrap w:val="0"/>
            <w:vAlign w:val="center"/>
          </w:tcPr>
          <w:p w14:paraId="7093FBE8">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4CA2ECB0">
            <w:pPr>
              <w:spacing w:before="100" w:beforeAutospacing="1" w:after="100" w:afterAutospacing="1" w:line="240" w:lineRule="atLeast"/>
              <w:jc w:val="center"/>
              <w:rPr>
                <w:rFonts w:eastAsia="楷体_GB2312"/>
                <w:kern w:val="0"/>
                <w:szCs w:val="21"/>
              </w:rPr>
            </w:pPr>
            <w:r>
              <w:rPr>
                <w:rFonts w:hint="eastAsia" w:eastAsia="楷体_GB2312"/>
                <w:kern w:val="0"/>
                <w:szCs w:val="21"/>
              </w:rPr>
              <w:t>18</w:t>
            </w:r>
          </w:p>
        </w:tc>
        <w:tc>
          <w:tcPr>
            <w:tcW w:w="0" w:type="auto"/>
            <w:noWrap w:val="0"/>
            <w:vAlign w:val="center"/>
          </w:tcPr>
          <w:p w14:paraId="10569531">
            <w:pPr>
              <w:jc w:val="center"/>
              <w:rPr>
                <w:rFonts w:ascii="宋体" w:hAnsi="宋体" w:cs="宋体"/>
                <w:color w:val="000000"/>
                <w:szCs w:val="21"/>
              </w:rPr>
            </w:pPr>
            <w:r>
              <w:rPr>
                <w:rFonts w:hint="eastAsia"/>
                <w:color w:val="000000"/>
                <w:szCs w:val="21"/>
              </w:rPr>
              <w:t>426</w:t>
            </w:r>
          </w:p>
        </w:tc>
        <w:tc>
          <w:tcPr>
            <w:tcW w:w="0" w:type="auto"/>
            <w:noWrap w:val="0"/>
            <w:vAlign w:val="center"/>
          </w:tcPr>
          <w:p w14:paraId="1C4C600C">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7F27F6A0">
            <w:pPr>
              <w:jc w:val="center"/>
              <w:rPr>
                <w:rFonts w:ascii="宋体" w:hAnsi="宋体" w:cs="宋体"/>
                <w:color w:val="000000"/>
                <w:szCs w:val="21"/>
              </w:rPr>
            </w:pPr>
            <w:r>
              <w:rPr>
                <w:rFonts w:hint="eastAsia"/>
                <w:color w:val="000000"/>
                <w:szCs w:val="21"/>
              </w:rPr>
              <w:t>304</w:t>
            </w:r>
          </w:p>
        </w:tc>
      </w:tr>
      <w:tr w14:paraId="62327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FB0BD6D">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C8E7097">
            <w:pPr>
              <w:spacing w:before="100" w:beforeAutospacing="1" w:after="100" w:afterAutospacing="1" w:line="240" w:lineRule="atLeast"/>
              <w:jc w:val="center"/>
              <w:rPr>
                <w:rFonts w:eastAsia="楷体_GB2312"/>
                <w:kern w:val="0"/>
                <w:szCs w:val="21"/>
              </w:rPr>
            </w:pPr>
          </w:p>
        </w:tc>
        <w:tc>
          <w:tcPr>
            <w:tcW w:w="0" w:type="auto"/>
            <w:noWrap w:val="0"/>
            <w:vAlign w:val="center"/>
          </w:tcPr>
          <w:p w14:paraId="6CE0C815">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17E97DCA">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7533E4AE">
            <w:pPr>
              <w:jc w:val="center"/>
              <w:rPr>
                <w:rFonts w:ascii="宋体" w:hAnsi="宋体" w:cs="宋体"/>
                <w:color w:val="000000"/>
                <w:szCs w:val="21"/>
              </w:rPr>
            </w:pPr>
            <w:r>
              <w:rPr>
                <w:rFonts w:hint="eastAsia"/>
                <w:color w:val="000000"/>
                <w:szCs w:val="21"/>
              </w:rPr>
              <w:t>357</w:t>
            </w:r>
          </w:p>
        </w:tc>
        <w:tc>
          <w:tcPr>
            <w:tcW w:w="0" w:type="auto"/>
            <w:noWrap w:val="0"/>
            <w:vAlign w:val="center"/>
          </w:tcPr>
          <w:p w14:paraId="13913E98">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7D61EE34">
            <w:pPr>
              <w:jc w:val="center"/>
              <w:rPr>
                <w:rFonts w:ascii="宋体" w:hAnsi="宋体" w:cs="宋体"/>
                <w:color w:val="000000"/>
                <w:szCs w:val="21"/>
              </w:rPr>
            </w:pPr>
            <w:r>
              <w:rPr>
                <w:rFonts w:hint="eastAsia"/>
                <w:color w:val="000000"/>
                <w:szCs w:val="21"/>
              </w:rPr>
              <w:t>252</w:t>
            </w:r>
          </w:p>
        </w:tc>
      </w:tr>
      <w:tr w14:paraId="11C39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8CDD303">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4F3F37B">
            <w:pPr>
              <w:spacing w:before="100" w:beforeAutospacing="1" w:after="100" w:afterAutospacing="1" w:line="240" w:lineRule="atLeast"/>
              <w:jc w:val="center"/>
              <w:rPr>
                <w:rFonts w:eastAsia="楷体_GB2312"/>
                <w:kern w:val="0"/>
                <w:szCs w:val="21"/>
              </w:rPr>
            </w:pPr>
          </w:p>
        </w:tc>
        <w:tc>
          <w:tcPr>
            <w:tcW w:w="0" w:type="auto"/>
            <w:noWrap w:val="0"/>
            <w:vAlign w:val="center"/>
          </w:tcPr>
          <w:p w14:paraId="47D66FF6">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349FAB87">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7E49E973">
            <w:pPr>
              <w:jc w:val="center"/>
              <w:rPr>
                <w:rFonts w:ascii="宋体" w:hAnsi="宋体" w:cs="宋体"/>
                <w:color w:val="000000"/>
                <w:szCs w:val="21"/>
              </w:rPr>
            </w:pPr>
            <w:r>
              <w:rPr>
                <w:rFonts w:hint="eastAsia"/>
                <w:color w:val="000000"/>
                <w:szCs w:val="21"/>
              </w:rPr>
              <w:t>271</w:t>
            </w:r>
          </w:p>
        </w:tc>
        <w:tc>
          <w:tcPr>
            <w:tcW w:w="0" w:type="auto"/>
            <w:noWrap w:val="0"/>
            <w:vAlign w:val="center"/>
          </w:tcPr>
          <w:p w14:paraId="5F322DBA">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284391E5">
            <w:pPr>
              <w:jc w:val="center"/>
              <w:rPr>
                <w:rFonts w:ascii="宋体" w:hAnsi="宋体" w:cs="宋体"/>
                <w:color w:val="000000"/>
                <w:szCs w:val="21"/>
              </w:rPr>
            </w:pPr>
            <w:r>
              <w:rPr>
                <w:rFonts w:hint="eastAsia"/>
                <w:color w:val="000000"/>
                <w:szCs w:val="21"/>
              </w:rPr>
              <w:t>200</w:t>
            </w:r>
          </w:p>
        </w:tc>
      </w:tr>
      <w:tr w14:paraId="433B8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31F89934">
            <w:pPr>
              <w:spacing w:before="100" w:beforeAutospacing="1" w:after="100" w:afterAutospacing="1" w:line="240" w:lineRule="atLeast"/>
              <w:jc w:val="center"/>
              <w:rPr>
                <w:rFonts w:eastAsia="楷体_GB2312"/>
                <w:kern w:val="0"/>
                <w:szCs w:val="21"/>
              </w:rPr>
            </w:pPr>
            <w:r>
              <w:rPr>
                <w:rFonts w:hint="eastAsia" w:eastAsia="楷体_GB2312"/>
                <w:kern w:val="0"/>
                <w:szCs w:val="21"/>
              </w:rPr>
              <w:t>22</w:t>
            </w:r>
          </w:p>
        </w:tc>
        <w:tc>
          <w:tcPr>
            <w:tcW w:w="0" w:type="auto"/>
            <w:vMerge w:val="restart"/>
            <w:noWrap w:val="0"/>
            <w:vAlign w:val="center"/>
          </w:tcPr>
          <w:p w14:paraId="4F1C04FF">
            <w:pPr>
              <w:spacing w:before="100" w:beforeAutospacing="1" w:after="100" w:afterAutospacing="1" w:line="240" w:lineRule="atLeast"/>
              <w:jc w:val="center"/>
              <w:rPr>
                <w:rFonts w:eastAsia="楷体_GB2312"/>
                <w:kern w:val="0"/>
                <w:szCs w:val="21"/>
              </w:rPr>
            </w:pPr>
            <w:r>
              <w:rPr>
                <w:rFonts w:hint="eastAsia" w:eastAsia="楷体_GB2312"/>
                <w:kern w:val="0"/>
                <w:szCs w:val="21"/>
              </w:rPr>
              <w:t>桃沟乡</w:t>
            </w:r>
          </w:p>
        </w:tc>
        <w:tc>
          <w:tcPr>
            <w:tcW w:w="0" w:type="auto"/>
            <w:noWrap w:val="0"/>
            <w:vAlign w:val="center"/>
          </w:tcPr>
          <w:p w14:paraId="7972101F">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2BF66912">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3C028EF5">
            <w:pPr>
              <w:jc w:val="center"/>
              <w:rPr>
                <w:rFonts w:ascii="宋体" w:hAnsi="宋体" w:cs="宋体"/>
                <w:color w:val="000000"/>
                <w:szCs w:val="21"/>
              </w:rPr>
            </w:pPr>
            <w:r>
              <w:rPr>
                <w:rFonts w:hint="eastAsia"/>
                <w:color w:val="000000"/>
                <w:szCs w:val="21"/>
              </w:rPr>
              <w:t>404</w:t>
            </w:r>
          </w:p>
        </w:tc>
        <w:tc>
          <w:tcPr>
            <w:tcW w:w="0" w:type="auto"/>
            <w:noWrap w:val="0"/>
            <w:vAlign w:val="center"/>
          </w:tcPr>
          <w:p w14:paraId="265E874E">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7F2DFB94">
            <w:pPr>
              <w:jc w:val="center"/>
              <w:rPr>
                <w:rFonts w:ascii="宋体" w:hAnsi="宋体" w:cs="宋体"/>
                <w:color w:val="000000"/>
                <w:szCs w:val="21"/>
              </w:rPr>
            </w:pPr>
            <w:r>
              <w:rPr>
                <w:rFonts w:hint="eastAsia"/>
                <w:color w:val="000000"/>
                <w:szCs w:val="21"/>
              </w:rPr>
              <w:t>326</w:t>
            </w:r>
          </w:p>
        </w:tc>
      </w:tr>
      <w:tr w14:paraId="39814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44CC31E9">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4C4B9625">
            <w:pPr>
              <w:spacing w:before="100" w:beforeAutospacing="1" w:after="100" w:afterAutospacing="1" w:line="240" w:lineRule="atLeast"/>
              <w:jc w:val="center"/>
              <w:rPr>
                <w:rFonts w:eastAsia="楷体_GB2312"/>
                <w:kern w:val="0"/>
                <w:szCs w:val="21"/>
              </w:rPr>
            </w:pPr>
          </w:p>
        </w:tc>
        <w:tc>
          <w:tcPr>
            <w:tcW w:w="0" w:type="auto"/>
            <w:noWrap w:val="0"/>
            <w:vAlign w:val="center"/>
          </w:tcPr>
          <w:p w14:paraId="02DAA8EA">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4D90F35A">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081ED28F">
            <w:pPr>
              <w:jc w:val="center"/>
              <w:rPr>
                <w:rFonts w:ascii="宋体" w:hAnsi="宋体" w:cs="宋体"/>
                <w:color w:val="000000"/>
                <w:szCs w:val="21"/>
              </w:rPr>
            </w:pPr>
            <w:r>
              <w:rPr>
                <w:rFonts w:hint="eastAsia"/>
                <w:color w:val="000000"/>
                <w:szCs w:val="21"/>
              </w:rPr>
              <w:t>325</w:t>
            </w:r>
          </w:p>
        </w:tc>
        <w:tc>
          <w:tcPr>
            <w:tcW w:w="0" w:type="auto"/>
            <w:noWrap w:val="0"/>
            <w:vAlign w:val="center"/>
          </w:tcPr>
          <w:p w14:paraId="4FE02C3E">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6EBF621C">
            <w:pPr>
              <w:jc w:val="center"/>
              <w:rPr>
                <w:rFonts w:ascii="宋体" w:hAnsi="宋体" w:cs="宋体"/>
                <w:color w:val="000000"/>
                <w:szCs w:val="21"/>
              </w:rPr>
            </w:pPr>
            <w:r>
              <w:rPr>
                <w:rFonts w:hint="eastAsia"/>
                <w:color w:val="000000"/>
                <w:szCs w:val="21"/>
              </w:rPr>
              <w:t>253</w:t>
            </w:r>
          </w:p>
        </w:tc>
      </w:tr>
      <w:tr w14:paraId="247FA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763C05B">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70DE23D9">
            <w:pPr>
              <w:spacing w:before="100" w:beforeAutospacing="1" w:after="100" w:afterAutospacing="1" w:line="240" w:lineRule="atLeast"/>
              <w:jc w:val="center"/>
              <w:rPr>
                <w:rFonts w:eastAsia="楷体_GB2312"/>
                <w:kern w:val="0"/>
                <w:szCs w:val="21"/>
              </w:rPr>
            </w:pPr>
          </w:p>
        </w:tc>
        <w:tc>
          <w:tcPr>
            <w:tcW w:w="0" w:type="auto"/>
            <w:noWrap w:val="0"/>
            <w:vAlign w:val="center"/>
          </w:tcPr>
          <w:p w14:paraId="6AA94C13">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12056406">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1CC88875">
            <w:pPr>
              <w:jc w:val="center"/>
              <w:rPr>
                <w:rFonts w:ascii="宋体" w:hAnsi="宋体" w:cs="宋体"/>
                <w:color w:val="000000"/>
                <w:szCs w:val="21"/>
              </w:rPr>
            </w:pPr>
            <w:r>
              <w:rPr>
                <w:rFonts w:hint="eastAsia"/>
                <w:color w:val="000000"/>
                <w:szCs w:val="21"/>
              </w:rPr>
              <w:t>254</w:t>
            </w:r>
          </w:p>
        </w:tc>
        <w:tc>
          <w:tcPr>
            <w:tcW w:w="0" w:type="auto"/>
            <w:noWrap w:val="0"/>
            <w:vAlign w:val="center"/>
          </w:tcPr>
          <w:p w14:paraId="6FF7AEEF">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111DD784">
            <w:pPr>
              <w:jc w:val="center"/>
              <w:rPr>
                <w:rFonts w:ascii="宋体" w:hAnsi="宋体" w:cs="宋体"/>
                <w:color w:val="000000"/>
                <w:szCs w:val="21"/>
              </w:rPr>
            </w:pPr>
            <w:r>
              <w:rPr>
                <w:rFonts w:hint="eastAsia"/>
                <w:color w:val="000000"/>
                <w:szCs w:val="21"/>
              </w:rPr>
              <w:t>210</w:t>
            </w:r>
          </w:p>
        </w:tc>
      </w:tr>
      <w:tr w14:paraId="45CD4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0"/>
            <w:vAlign w:val="center"/>
          </w:tcPr>
          <w:p w14:paraId="4A3E948B">
            <w:pPr>
              <w:spacing w:before="100" w:beforeAutospacing="1" w:after="100" w:afterAutospacing="1" w:line="240" w:lineRule="atLeast"/>
              <w:jc w:val="center"/>
              <w:rPr>
                <w:rFonts w:eastAsia="楷体_GB2312"/>
                <w:kern w:val="0"/>
                <w:szCs w:val="21"/>
              </w:rPr>
            </w:pPr>
            <w:r>
              <w:rPr>
                <w:rFonts w:hint="eastAsia" w:eastAsia="楷体_GB2312"/>
                <w:kern w:val="0"/>
                <w:szCs w:val="21"/>
              </w:rPr>
              <w:t>23</w:t>
            </w:r>
          </w:p>
        </w:tc>
        <w:tc>
          <w:tcPr>
            <w:tcW w:w="0" w:type="auto"/>
            <w:noWrap w:val="0"/>
            <w:vAlign w:val="center"/>
          </w:tcPr>
          <w:p w14:paraId="0900D310">
            <w:pPr>
              <w:spacing w:before="100" w:beforeAutospacing="1" w:after="100" w:afterAutospacing="1" w:line="240" w:lineRule="atLeast"/>
              <w:jc w:val="center"/>
              <w:rPr>
                <w:rFonts w:eastAsia="楷体_GB2312"/>
                <w:kern w:val="0"/>
                <w:szCs w:val="21"/>
              </w:rPr>
            </w:pPr>
            <w:r>
              <w:rPr>
                <w:rFonts w:hint="eastAsia" w:eastAsia="楷体_GB2312"/>
                <w:kern w:val="0"/>
                <w:szCs w:val="21"/>
              </w:rPr>
              <w:t>曹村开发区</w:t>
            </w:r>
          </w:p>
        </w:tc>
        <w:tc>
          <w:tcPr>
            <w:tcW w:w="0" w:type="auto"/>
            <w:noWrap w:val="0"/>
            <w:vAlign w:val="center"/>
          </w:tcPr>
          <w:p w14:paraId="323620BB">
            <w:pPr>
              <w:spacing w:before="100" w:beforeAutospacing="1" w:after="100" w:afterAutospacing="1" w:line="240" w:lineRule="atLeast"/>
              <w:jc w:val="center"/>
              <w:rPr>
                <w:rFonts w:eastAsia="楷体_GB2312"/>
                <w:kern w:val="0"/>
                <w:szCs w:val="21"/>
              </w:rPr>
            </w:pPr>
            <w:r>
              <w:rPr>
                <w:rFonts w:hint="eastAsia" w:eastAsia="楷体_GB2312"/>
                <w:kern w:val="0"/>
                <w:szCs w:val="21"/>
              </w:rPr>
              <w:t>指导价区域</w:t>
            </w:r>
          </w:p>
        </w:tc>
        <w:tc>
          <w:tcPr>
            <w:tcW w:w="0" w:type="auto"/>
            <w:noWrap w:val="0"/>
            <w:vAlign w:val="center"/>
          </w:tcPr>
          <w:p w14:paraId="4CB2EB9F">
            <w:pPr>
              <w:spacing w:before="100" w:beforeAutospacing="1" w:after="100" w:afterAutospacing="1" w:line="240" w:lineRule="atLeast"/>
              <w:jc w:val="center"/>
              <w:rPr>
                <w:rFonts w:eastAsia="楷体_GB2312"/>
                <w:kern w:val="0"/>
                <w:szCs w:val="21"/>
              </w:rPr>
            </w:pPr>
            <w:r>
              <w:rPr>
                <w:rFonts w:hint="eastAsia" w:eastAsia="楷体_GB2312"/>
                <w:kern w:val="0"/>
                <w:szCs w:val="21"/>
              </w:rPr>
              <w:t>30</w:t>
            </w:r>
          </w:p>
        </w:tc>
        <w:tc>
          <w:tcPr>
            <w:tcW w:w="0" w:type="auto"/>
            <w:noWrap w:val="0"/>
            <w:vAlign w:val="center"/>
          </w:tcPr>
          <w:p w14:paraId="0AD5DF09">
            <w:pPr>
              <w:jc w:val="center"/>
              <w:rPr>
                <w:rFonts w:eastAsia="楷体_GB2312"/>
                <w:kern w:val="0"/>
                <w:szCs w:val="21"/>
              </w:rPr>
            </w:pPr>
            <w:r>
              <w:rPr>
                <w:rFonts w:hint="eastAsia" w:eastAsia="楷体_GB2312"/>
                <w:kern w:val="0"/>
                <w:szCs w:val="21"/>
              </w:rPr>
              <w:t>460</w:t>
            </w:r>
          </w:p>
        </w:tc>
        <w:tc>
          <w:tcPr>
            <w:tcW w:w="0" w:type="auto"/>
            <w:noWrap w:val="0"/>
            <w:vAlign w:val="center"/>
          </w:tcPr>
          <w:p w14:paraId="01719818">
            <w:pPr>
              <w:spacing w:before="100" w:beforeAutospacing="1" w:after="100" w:afterAutospacing="1" w:line="240" w:lineRule="atLeast"/>
              <w:jc w:val="center"/>
              <w:rPr>
                <w:rFonts w:eastAsia="楷体_GB2312"/>
                <w:kern w:val="0"/>
                <w:szCs w:val="21"/>
              </w:rPr>
            </w:pPr>
            <w:r>
              <w:rPr>
                <w:rFonts w:hint="eastAsia" w:eastAsia="楷体_GB2312"/>
                <w:kern w:val="0"/>
                <w:szCs w:val="21"/>
              </w:rPr>
              <w:t>30</w:t>
            </w:r>
          </w:p>
        </w:tc>
        <w:tc>
          <w:tcPr>
            <w:tcW w:w="0" w:type="auto"/>
            <w:noWrap w:val="0"/>
            <w:vAlign w:val="center"/>
          </w:tcPr>
          <w:p w14:paraId="6CD83DD9">
            <w:pPr>
              <w:jc w:val="center"/>
              <w:rPr>
                <w:rFonts w:ascii="宋体" w:hAnsi="宋体" w:cs="宋体"/>
                <w:color w:val="000000"/>
                <w:szCs w:val="21"/>
              </w:rPr>
            </w:pPr>
            <w:r>
              <w:rPr>
                <w:rFonts w:hint="eastAsia"/>
                <w:color w:val="000000"/>
                <w:szCs w:val="21"/>
              </w:rPr>
              <w:t>295</w:t>
            </w:r>
          </w:p>
        </w:tc>
      </w:tr>
      <w:tr w14:paraId="20D09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0"/>
            <w:vAlign w:val="center"/>
          </w:tcPr>
          <w:p w14:paraId="6535D9D0">
            <w:pPr>
              <w:spacing w:before="100" w:beforeAutospacing="1" w:after="100" w:afterAutospacing="1" w:line="240" w:lineRule="atLeast"/>
              <w:jc w:val="center"/>
              <w:rPr>
                <w:rFonts w:eastAsia="楷体_GB2312"/>
                <w:kern w:val="0"/>
                <w:szCs w:val="21"/>
              </w:rPr>
            </w:pPr>
            <w:r>
              <w:rPr>
                <w:rFonts w:hint="eastAsia" w:eastAsia="楷体_GB2312"/>
                <w:kern w:val="0"/>
                <w:szCs w:val="21"/>
              </w:rPr>
              <w:t>24</w:t>
            </w:r>
          </w:p>
        </w:tc>
        <w:tc>
          <w:tcPr>
            <w:tcW w:w="0" w:type="auto"/>
            <w:noWrap w:val="0"/>
            <w:vAlign w:val="center"/>
          </w:tcPr>
          <w:p w14:paraId="5F518C4C">
            <w:pPr>
              <w:spacing w:before="100" w:beforeAutospacing="1" w:after="100" w:afterAutospacing="1" w:line="240" w:lineRule="atLeast"/>
              <w:jc w:val="center"/>
              <w:rPr>
                <w:rFonts w:eastAsia="楷体_GB2312"/>
                <w:kern w:val="0"/>
                <w:szCs w:val="21"/>
              </w:rPr>
            </w:pPr>
            <w:r>
              <w:rPr>
                <w:rFonts w:hint="eastAsia" w:eastAsia="楷体_GB2312"/>
                <w:kern w:val="0"/>
                <w:szCs w:val="21"/>
              </w:rPr>
              <w:t>家具产业园</w:t>
            </w:r>
          </w:p>
        </w:tc>
        <w:tc>
          <w:tcPr>
            <w:tcW w:w="0" w:type="auto"/>
            <w:noWrap w:val="0"/>
            <w:vAlign w:val="center"/>
          </w:tcPr>
          <w:p w14:paraId="22155C39">
            <w:pPr>
              <w:spacing w:before="100" w:beforeAutospacing="1" w:after="100" w:afterAutospacing="1" w:line="240" w:lineRule="atLeast"/>
              <w:jc w:val="center"/>
              <w:rPr>
                <w:rFonts w:eastAsia="楷体_GB2312"/>
                <w:kern w:val="0"/>
                <w:szCs w:val="21"/>
              </w:rPr>
            </w:pPr>
            <w:r>
              <w:rPr>
                <w:rFonts w:hint="eastAsia" w:eastAsia="楷体_GB2312"/>
                <w:kern w:val="0"/>
                <w:szCs w:val="21"/>
              </w:rPr>
              <w:t>指导价区域</w:t>
            </w:r>
          </w:p>
        </w:tc>
        <w:tc>
          <w:tcPr>
            <w:tcW w:w="0" w:type="auto"/>
            <w:noWrap w:val="0"/>
            <w:vAlign w:val="center"/>
          </w:tcPr>
          <w:p w14:paraId="35B8B15C">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38322405">
            <w:pPr>
              <w:jc w:val="center"/>
              <w:rPr>
                <w:rFonts w:eastAsia="楷体_GB2312"/>
                <w:kern w:val="0"/>
                <w:szCs w:val="21"/>
              </w:rPr>
            </w:pPr>
            <w:r>
              <w:rPr>
                <w:rFonts w:hint="eastAsia" w:eastAsia="楷体_GB2312"/>
                <w:kern w:val="0"/>
                <w:szCs w:val="21"/>
              </w:rPr>
              <w:t>550</w:t>
            </w:r>
          </w:p>
        </w:tc>
        <w:tc>
          <w:tcPr>
            <w:tcW w:w="0" w:type="auto"/>
            <w:noWrap w:val="0"/>
            <w:vAlign w:val="center"/>
          </w:tcPr>
          <w:p w14:paraId="4E905FBC">
            <w:pPr>
              <w:spacing w:before="100" w:beforeAutospacing="1" w:after="100" w:afterAutospacing="1" w:line="240" w:lineRule="atLeast"/>
              <w:jc w:val="center"/>
              <w:rPr>
                <w:rFonts w:eastAsia="楷体_GB2312"/>
                <w:kern w:val="0"/>
                <w:szCs w:val="21"/>
              </w:rPr>
            </w:pPr>
            <w:r>
              <w:rPr>
                <w:rFonts w:hint="eastAsia" w:eastAsia="楷体_GB2312"/>
                <w:kern w:val="0"/>
                <w:szCs w:val="21"/>
              </w:rPr>
              <w:t>55</w:t>
            </w:r>
          </w:p>
        </w:tc>
        <w:tc>
          <w:tcPr>
            <w:tcW w:w="0" w:type="auto"/>
            <w:noWrap w:val="0"/>
            <w:vAlign w:val="center"/>
          </w:tcPr>
          <w:p w14:paraId="55252BEF">
            <w:pPr>
              <w:jc w:val="center"/>
              <w:rPr>
                <w:rFonts w:ascii="宋体" w:hAnsi="宋体" w:cs="宋体"/>
                <w:color w:val="000000"/>
                <w:szCs w:val="21"/>
              </w:rPr>
            </w:pPr>
            <w:r>
              <w:rPr>
                <w:rFonts w:hint="eastAsia"/>
                <w:color w:val="000000"/>
                <w:szCs w:val="21"/>
              </w:rPr>
              <w:t>450</w:t>
            </w:r>
          </w:p>
        </w:tc>
      </w:tr>
      <w:tr w14:paraId="48E42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noWrap w:val="0"/>
            <w:vAlign w:val="center"/>
          </w:tcPr>
          <w:p w14:paraId="037F8441">
            <w:pPr>
              <w:spacing w:before="100" w:beforeAutospacing="1" w:after="100" w:afterAutospacing="1" w:line="240" w:lineRule="atLeast"/>
              <w:jc w:val="center"/>
              <w:rPr>
                <w:rFonts w:eastAsia="楷体_GB2312"/>
                <w:kern w:val="0"/>
                <w:szCs w:val="21"/>
              </w:rPr>
            </w:pPr>
            <w:r>
              <w:rPr>
                <w:rFonts w:hint="eastAsia" w:eastAsia="楷体_GB2312"/>
                <w:kern w:val="0"/>
                <w:szCs w:val="21"/>
              </w:rPr>
              <w:t>25</w:t>
            </w:r>
          </w:p>
        </w:tc>
        <w:tc>
          <w:tcPr>
            <w:tcW w:w="0" w:type="auto"/>
            <w:noWrap w:val="0"/>
            <w:vAlign w:val="center"/>
          </w:tcPr>
          <w:p w14:paraId="67A73DEF">
            <w:pPr>
              <w:spacing w:before="100" w:beforeAutospacing="1" w:after="100" w:afterAutospacing="1" w:line="240" w:lineRule="atLeast"/>
              <w:jc w:val="center"/>
              <w:rPr>
                <w:rFonts w:eastAsia="楷体_GB2312"/>
                <w:kern w:val="0"/>
                <w:szCs w:val="21"/>
              </w:rPr>
            </w:pPr>
            <w:r>
              <w:rPr>
                <w:rFonts w:hint="eastAsia" w:eastAsia="楷体_GB2312"/>
                <w:kern w:val="0"/>
                <w:szCs w:val="21"/>
              </w:rPr>
              <w:t>农业示范园</w:t>
            </w:r>
          </w:p>
        </w:tc>
        <w:tc>
          <w:tcPr>
            <w:tcW w:w="0" w:type="auto"/>
            <w:noWrap w:val="0"/>
            <w:vAlign w:val="center"/>
          </w:tcPr>
          <w:p w14:paraId="1EFBDFA1">
            <w:pPr>
              <w:spacing w:before="100" w:beforeAutospacing="1" w:after="100" w:afterAutospacing="1" w:line="240" w:lineRule="atLeast"/>
              <w:jc w:val="center"/>
              <w:rPr>
                <w:rFonts w:eastAsia="楷体_GB2312"/>
                <w:kern w:val="0"/>
                <w:szCs w:val="21"/>
              </w:rPr>
            </w:pPr>
            <w:r>
              <w:rPr>
                <w:rFonts w:hint="eastAsia" w:eastAsia="楷体_GB2312"/>
                <w:kern w:val="0"/>
                <w:szCs w:val="21"/>
              </w:rPr>
              <w:t>指导价区域</w:t>
            </w:r>
          </w:p>
        </w:tc>
        <w:tc>
          <w:tcPr>
            <w:tcW w:w="0" w:type="auto"/>
            <w:noWrap w:val="0"/>
            <w:vAlign w:val="center"/>
          </w:tcPr>
          <w:p w14:paraId="73DE3965">
            <w:pPr>
              <w:spacing w:before="100" w:beforeAutospacing="1" w:after="100" w:afterAutospacing="1" w:line="240" w:lineRule="atLeast"/>
              <w:jc w:val="center"/>
              <w:rPr>
                <w:rFonts w:eastAsia="楷体_GB2312"/>
                <w:kern w:val="0"/>
                <w:szCs w:val="21"/>
              </w:rPr>
            </w:pPr>
            <w:r>
              <w:rPr>
                <w:rFonts w:hint="eastAsia" w:eastAsia="楷体_GB2312"/>
                <w:kern w:val="0"/>
                <w:szCs w:val="21"/>
              </w:rPr>
              <w:t>30</w:t>
            </w:r>
          </w:p>
        </w:tc>
        <w:tc>
          <w:tcPr>
            <w:tcW w:w="0" w:type="auto"/>
            <w:noWrap w:val="0"/>
            <w:vAlign w:val="center"/>
          </w:tcPr>
          <w:p w14:paraId="3075A2BD">
            <w:pPr>
              <w:jc w:val="center"/>
              <w:rPr>
                <w:rFonts w:eastAsia="楷体_GB2312"/>
                <w:kern w:val="0"/>
                <w:szCs w:val="21"/>
              </w:rPr>
            </w:pPr>
            <w:r>
              <w:rPr>
                <w:rFonts w:hint="eastAsia" w:eastAsia="楷体_GB2312"/>
                <w:kern w:val="0"/>
                <w:szCs w:val="21"/>
              </w:rPr>
              <w:t>480</w:t>
            </w:r>
          </w:p>
        </w:tc>
        <w:tc>
          <w:tcPr>
            <w:tcW w:w="0" w:type="auto"/>
            <w:noWrap w:val="0"/>
            <w:vAlign w:val="center"/>
          </w:tcPr>
          <w:p w14:paraId="3361F5BA">
            <w:pPr>
              <w:spacing w:before="100" w:beforeAutospacing="1" w:after="100" w:afterAutospacing="1" w:line="240" w:lineRule="atLeast"/>
              <w:jc w:val="center"/>
              <w:rPr>
                <w:rFonts w:eastAsia="楷体_GB2312"/>
                <w:kern w:val="0"/>
                <w:szCs w:val="21"/>
              </w:rPr>
            </w:pPr>
            <w:r>
              <w:rPr>
                <w:rFonts w:hint="eastAsia" w:eastAsia="楷体_GB2312"/>
                <w:kern w:val="0"/>
                <w:szCs w:val="21"/>
              </w:rPr>
              <w:t>30</w:t>
            </w:r>
          </w:p>
        </w:tc>
        <w:tc>
          <w:tcPr>
            <w:tcW w:w="0" w:type="auto"/>
            <w:noWrap w:val="0"/>
            <w:vAlign w:val="center"/>
          </w:tcPr>
          <w:p w14:paraId="3D084039">
            <w:pPr>
              <w:jc w:val="center"/>
              <w:rPr>
                <w:rFonts w:ascii="宋体" w:hAnsi="宋体" w:cs="宋体"/>
                <w:color w:val="000000"/>
                <w:szCs w:val="21"/>
              </w:rPr>
            </w:pPr>
            <w:r>
              <w:rPr>
                <w:rFonts w:hint="eastAsia"/>
                <w:color w:val="000000"/>
                <w:szCs w:val="21"/>
              </w:rPr>
              <w:t>450</w:t>
            </w:r>
          </w:p>
        </w:tc>
      </w:tr>
    </w:tbl>
    <w:p w14:paraId="457E49A9">
      <w:pPr>
        <w:pStyle w:val="20"/>
        <w:spacing w:before="120" w:beforeLines="50" w:after="120" w:afterLines="50" w:line="480" w:lineRule="exact"/>
        <w:rPr>
          <w:rFonts w:ascii="Times New Roman" w:hAnsi="Times New Roman" w:cs="Times New Roman"/>
          <w:b/>
          <w:sz w:val="28"/>
        </w:rPr>
      </w:pPr>
      <w:r>
        <w:rPr>
          <w:rFonts w:ascii="Times New Roman" w:hAnsi="Times New Roman" w:cs="Times New Roman"/>
          <w:b/>
          <w:sz w:val="28"/>
        </w:rPr>
        <w:t>二、工矿仓储用地基准地价测算</w:t>
      </w:r>
    </w:p>
    <w:p w14:paraId="7CB63D42">
      <w:pPr>
        <w:spacing w:line="480" w:lineRule="exact"/>
        <w:ind w:firstLine="560" w:firstLineChars="200"/>
        <w:rPr>
          <w:rFonts w:eastAsia="楷体_GB2312"/>
          <w:sz w:val="28"/>
        </w:rPr>
      </w:pPr>
      <w:r>
        <w:rPr>
          <w:rFonts w:hint="eastAsia" w:ascii="楷体" w:hAnsi="楷体" w:eastAsia="楷体"/>
          <w:sz w:val="28"/>
        </w:rPr>
        <w:t>埇</w:t>
      </w:r>
      <w:r>
        <w:rPr>
          <w:rFonts w:hint="eastAsia" w:eastAsia="楷体_GB2312"/>
          <w:sz w:val="28"/>
        </w:rPr>
        <w:t>桥区</w:t>
      </w:r>
      <w:r>
        <w:rPr>
          <w:rFonts w:eastAsia="楷体_GB2312"/>
          <w:sz w:val="28"/>
        </w:rPr>
        <w:t>乡镇工矿仓储用地样点地价主要为土地使用权出让样点资料，</w:t>
      </w:r>
      <w:r>
        <w:rPr>
          <w:rFonts w:hint="eastAsia" w:eastAsia="楷体_GB2312"/>
          <w:sz w:val="28"/>
        </w:rPr>
        <w:t>蕲县镇、西二铺乡、褚兰镇、顺河镇、杨庄镇、永镇乡、解集镇、永安镇、支河乡</w:t>
      </w:r>
      <w:r>
        <w:rPr>
          <w:rFonts w:eastAsia="楷体_GB2312"/>
          <w:sz w:val="28"/>
        </w:rPr>
        <w:t>没有交易样点</w:t>
      </w:r>
      <w:r>
        <w:rPr>
          <w:rFonts w:hint="eastAsia" w:eastAsia="楷体_GB2312"/>
          <w:sz w:val="28"/>
        </w:rPr>
        <w:t>。蕲县镇</w:t>
      </w:r>
      <w:r>
        <w:rPr>
          <w:rFonts w:eastAsia="楷体_GB2312"/>
          <w:sz w:val="28"/>
        </w:rPr>
        <w:t>区位和个别因素与</w:t>
      </w:r>
      <w:r>
        <w:rPr>
          <w:rFonts w:hint="eastAsia" w:eastAsia="楷体_GB2312"/>
          <w:sz w:val="28"/>
        </w:rPr>
        <w:t>芦岭镇</w:t>
      </w:r>
      <w:r>
        <w:rPr>
          <w:rFonts w:eastAsia="楷体_GB2312"/>
          <w:sz w:val="28"/>
        </w:rPr>
        <w:t>相类似，故参照</w:t>
      </w:r>
      <w:r>
        <w:rPr>
          <w:rFonts w:hint="eastAsia" w:eastAsia="楷体_GB2312"/>
          <w:sz w:val="28"/>
        </w:rPr>
        <w:t>芦岭镇</w:t>
      </w:r>
      <w:r>
        <w:rPr>
          <w:rFonts w:eastAsia="楷体_GB2312"/>
          <w:sz w:val="28"/>
        </w:rPr>
        <w:t>交易样点地价测算结果。</w:t>
      </w:r>
      <w:r>
        <w:rPr>
          <w:rFonts w:hint="eastAsia" w:eastAsia="楷体_GB2312"/>
          <w:sz w:val="28"/>
        </w:rPr>
        <w:t>西二铺乡</w:t>
      </w:r>
      <w:r>
        <w:rPr>
          <w:rFonts w:eastAsia="楷体_GB2312"/>
          <w:sz w:val="28"/>
        </w:rPr>
        <w:t>参照</w:t>
      </w:r>
      <w:r>
        <w:rPr>
          <w:rFonts w:hint="eastAsia" w:eastAsia="楷体_GB2312"/>
          <w:sz w:val="28"/>
        </w:rPr>
        <w:t>桃园镇</w:t>
      </w:r>
      <w:r>
        <w:rPr>
          <w:rFonts w:eastAsia="楷体_GB2312"/>
          <w:sz w:val="28"/>
        </w:rPr>
        <w:t>并进行了修正，</w:t>
      </w:r>
      <w:r>
        <w:rPr>
          <w:rFonts w:hint="eastAsia" w:eastAsia="楷体_GB2312"/>
          <w:sz w:val="28"/>
        </w:rPr>
        <w:t>褚兰镇、顺河镇、杨庄镇、永镇乡、解集镇、永安镇、支河乡</w:t>
      </w:r>
      <w:r>
        <w:rPr>
          <w:rFonts w:eastAsia="楷体_GB2312"/>
          <w:sz w:val="28"/>
        </w:rPr>
        <w:t>参照</w:t>
      </w:r>
      <w:r>
        <w:rPr>
          <w:rFonts w:hint="eastAsia" w:eastAsia="楷体_GB2312"/>
          <w:sz w:val="28"/>
        </w:rPr>
        <w:t>栏杆镇</w:t>
      </w:r>
      <w:r>
        <w:rPr>
          <w:rFonts w:eastAsia="楷体_GB2312"/>
          <w:sz w:val="28"/>
        </w:rPr>
        <w:t>并进行了修正，作为交易样点地价测算结果。利用上述样点资料测算上述各级别工矿仓储用地平均地价的结果见表2-5-2。</w:t>
      </w:r>
    </w:p>
    <w:p w14:paraId="1E9F1C81">
      <w:pPr>
        <w:pStyle w:val="171"/>
        <w:spacing w:before="120" w:beforeLines="50" w:after="120" w:afterLines="50" w:line="480" w:lineRule="exact"/>
        <w:jc w:val="center"/>
        <w:rPr>
          <w:rFonts w:ascii="Times New Roman" w:hAnsi="Times New Roman" w:eastAsia="黑体"/>
          <w:sz w:val="28"/>
          <w:szCs w:val="21"/>
        </w:rPr>
      </w:pPr>
      <w:r>
        <w:rPr>
          <w:rFonts w:ascii="Times New Roman" w:hAnsi="Times New Roman" w:eastAsia="黑体"/>
          <w:sz w:val="28"/>
          <w:szCs w:val="21"/>
        </w:rPr>
        <w:t>表2-5-2  利用市场交易样点地价测算工矿仓储用地级别基准地价表</w:t>
      </w:r>
    </w:p>
    <w:p w14:paraId="29BCB2BD">
      <w:pPr>
        <w:pStyle w:val="20"/>
        <w:jc w:val="right"/>
        <w:rPr>
          <w:rFonts w:ascii="Times New Roman" w:hAnsi="Times New Roman" w:eastAsia="楷体_GB2312" w:cs="Times New Roman"/>
        </w:rPr>
      </w:pPr>
      <w:r>
        <w:rPr>
          <w:rFonts w:ascii="Times New Roman" w:hAnsi="Times New Roman" w:eastAsia="楷体_GB2312" w:cs="Times New Roman"/>
        </w:rPr>
        <w:t>单位：个，元/m</w:t>
      </w:r>
      <w:r>
        <w:rPr>
          <w:rFonts w:ascii="Times New Roman" w:hAnsi="Times New Roman" w:eastAsia="楷体_GB2312" w:cs="Times New Roman"/>
          <w:vertAlign w:val="superscript"/>
        </w:rPr>
        <w:t>2</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1303"/>
        <w:gridCol w:w="1472"/>
        <w:gridCol w:w="789"/>
        <w:gridCol w:w="988"/>
        <w:gridCol w:w="789"/>
        <w:gridCol w:w="988"/>
        <w:gridCol w:w="789"/>
        <w:gridCol w:w="988"/>
      </w:tblGrid>
      <w:tr w14:paraId="2C23D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restart"/>
            <w:noWrap w:val="0"/>
            <w:vAlign w:val="center"/>
          </w:tcPr>
          <w:p w14:paraId="5B3E80A9">
            <w:pPr>
              <w:jc w:val="center"/>
              <w:rPr>
                <w:rFonts w:eastAsia="楷体_GB2312"/>
                <w:kern w:val="0"/>
                <w:sz w:val="22"/>
                <w:szCs w:val="22"/>
              </w:rPr>
            </w:pPr>
            <w:bookmarkStart w:id="84" w:name="_Toc168732805"/>
            <w:r>
              <w:rPr>
                <w:rFonts w:eastAsia="楷体_GB2312"/>
                <w:kern w:val="0"/>
                <w:sz w:val="22"/>
                <w:szCs w:val="22"/>
              </w:rPr>
              <w:t>乡镇编号</w:t>
            </w:r>
          </w:p>
        </w:tc>
        <w:tc>
          <w:tcPr>
            <w:tcW w:w="1303" w:type="dxa"/>
            <w:vMerge w:val="restart"/>
            <w:noWrap w:val="0"/>
            <w:vAlign w:val="center"/>
          </w:tcPr>
          <w:p w14:paraId="59C332BA">
            <w:pPr>
              <w:jc w:val="center"/>
              <w:rPr>
                <w:rFonts w:eastAsia="楷体_GB2312"/>
                <w:kern w:val="0"/>
                <w:sz w:val="22"/>
                <w:szCs w:val="22"/>
              </w:rPr>
            </w:pPr>
            <w:r>
              <w:rPr>
                <w:rFonts w:eastAsia="楷体_GB2312"/>
                <w:kern w:val="0"/>
                <w:sz w:val="22"/>
                <w:szCs w:val="22"/>
              </w:rPr>
              <w:t>乡镇名称</w:t>
            </w:r>
          </w:p>
        </w:tc>
        <w:tc>
          <w:tcPr>
            <w:tcW w:w="1472" w:type="dxa"/>
            <w:vMerge w:val="restart"/>
            <w:noWrap w:val="0"/>
            <w:vAlign w:val="center"/>
          </w:tcPr>
          <w:p w14:paraId="3138CD2D">
            <w:pPr>
              <w:spacing w:line="240" w:lineRule="exact"/>
              <w:jc w:val="center"/>
              <w:rPr>
                <w:rFonts w:eastAsia="楷体_GB2312"/>
                <w:kern w:val="0"/>
                <w:sz w:val="22"/>
                <w:szCs w:val="22"/>
              </w:rPr>
            </w:pPr>
            <w:r>
              <w:rPr>
                <w:rFonts w:eastAsia="楷体_GB2312"/>
                <w:kern w:val="0"/>
                <w:sz w:val="22"/>
                <w:szCs w:val="22"/>
              </w:rPr>
              <w:t>市场交易样点个数</w:t>
            </w:r>
          </w:p>
        </w:tc>
        <w:tc>
          <w:tcPr>
            <w:tcW w:w="0" w:type="auto"/>
            <w:gridSpan w:val="2"/>
            <w:noWrap w:val="0"/>
            <w:vAlign w:val="center"/>
          </w:tcPr>
          <w:p w14:paraId="793CCAEF">
            <w:pPr>
              <w:spacing w:line="240" w:lineRule="exact"/>
              <w:jc w:val="center"/>
              <w:rPr>
                <w:rFonts w:eastAsia="楷体_GB2312"/>
                <w:kern w:val="0"/>
                <w:sz w:val="22"/>
                <w:szCs w:val="22"/>
              </w:rPr>
            </w:pPr>
            <w:r>
              <w:rPr>
                <w:rFonts w:eastAsia="楷体_GB2312"/>
                <w:kern w:val="0"/>
                <w:sz w:val="22"/>
                <w:szCs w:val="22"/>
              </w:rPr>
              <w:t>一级地</w:t>
            </w:r>
          </w:p>
        </w:tc>
        <w:tc>
          <w:tcPr>
            <w:tcW w:w="0" w:type="auto"/>
            <w:gridSpan w:val="2"/>
            <w:noWrap w:val="0"/>
            <w:vAlign w:val="center"/>
          </w:tcPr>
          <w:p w14:paraId="7BACFC96">
            <w:pPr>
              <w:spacing w:line="240" w:lineRule="exact"/>
              <w:jc w:val="center"/>
              <w:rPr>
                <w:rFonts w:eastAsia="楷体_GB2312"/>
                <w:kern w:val="0"/>
                <w:sz w:val="22"/>
                <w:szCs w:val="22"/>
              </w:rPr>
            </w:pPr>
            <w:r>
              <w:rPr>
                <w:rFonts w:eastAsia="楷体_GB2312"/>
                <w:kern w:val="0"/>
                <w:sz w:val="22"/>
                <w:szCs w:val="22"/>
              </w:rPr>
              <w:t>二级地</w:t>
            </w:r>
          </w:p>
        </w:tc>
        <w:tc>
          <w:tcPr>
            <w:tcW w:w="0" w:type="auto"/>
            <w:gridSpan w:val="2"/>
            <w:noWrap w:val="0"/>
            <w:vAlign w:val="center"/>
          </w:tcPr>
          <w:p w14:paraId="5FCCA125">
            <w:pPr>
              <w:spacing w:line="240" w:lineRule="exact"/>
              <w:jc w:val="center"/>
              <w:rPr>
                <w:rFonts w:eastAsia="楷体_GB2312"/>
                <w:kern w:val="0"/>
                <w:sz w:val="22"/>
                <w:szCs w:val="22"/>
              </w:rPr>
            </w:pPr>
            <w:r>
              <w:rPr>
                <w:rFonts w:eastAsia="楷体_GB2312"/>
                <w:kern w:val="0"/>
                <w:sz w:val="22"/>
                <w:szCs w:val="22"/>
              </w:rPr>
              <w:t>三级地</w:t>
            </w:r>
          </w:p>
        </w:tc>
      </w:tr>
      <w:tr w14:paraId="4F05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vMerge w:val="continue"/>
            <w:noWrap w:val="0"/>
            <w:vAlign w:val="center"/>
          </w:tcPr>
          <w:p w14:paraId="5AFFE24C">
            <w:pPr>
              <w:jc w:val="center"/>
              <w:rPr>
                <w:rFonts w:eastAsia="楷体_GB2312"/>
                <w:kern w:val="0"/>
                <w:sz w:val="22"/>
                <w:szCs w:val="22"/>
              </w:rPr>
            </w:pPr>
          </w:p>
        </w:tc>
        <w:tc>
          <w:tcPr>
            <w:tcW w:w="1303" w:type="dxa"/>
            <w:vMerge w:val="continue"/>
            <w:noWrap w:val="0"/>
            <w:vAlign w:val="center"/>
          </w:tcPr>
          <w:p w14:paraId="2B0BF5F1">
            <w:pPr>
              <w:jc w:val="center"/>
              <w:rPr>
                <w:rFonts w:eastAsia="楷体_GB2312"/>
                <w:kern w:val="0"/>
                <w:sz w:val="22"/>
                <w:szCs w:val="22"/>
              </w:rPr>
            </w:pPr>
          </w:p>
        </w:tc>
        <w:tc>
          <w:tcPr>
            <w:tcW w:w="1472" w:type="dxa"/>
            <w:vMerge w:val="continue"/>
            <w:noWrap w:val="0"/>
            <w:vAlign w:val="center"/>
          </w:tcPr>
          <w:p w14:paraId="11C3D555">
            <w:pPr>
              <w:jc w:val="center"/>
              <w:rPr>
                <w:rFonts w:eastAsia="楷体_GB2312"/>
                <w:kern w:val="0"/>
                <w:sz w:val="22"/>
                <w:szCs w:val="22"/>
              </w:rPr>
            </w:pPr>
          </w:p>
        </w:tc>
        <w:tc>
          <w:tcPr>
            <w:tcW w:w="0" w:type="auto"/>
            <w:noWrap w:val="0"/>
            <w:vAlign w:val="center"/>
          </w:tcPr>
          <w:p w14:paraId="378CED0D">
            <w:pPr>
              <w:jc w:val="center"/>
              <w:rPr>
                <w:rFonts w:eastAsia="楷体_GB2312"/>
                <w:kern w:val="0"/>
                <w:sz w:val="22"/>
                <w:szCs w:val="22"/>
              </w:rPr>
            </w:pPr>
            <w:r>
              <w:rPr>
                <w:rFonts w:eastAsia="楷体_GB2312"/>
                <w:kern w:val="0"/>
                <w:sz w:val="22"/>
                <w:szCs w:val="22"/>
              </w:rPr>
              <w:t>参算数</w:t>
            </w:r>
          </w:p>
        </w:tc>
        <w:tc>
          <w:tcPr>
            <w:tcW w:w="0" w:type="auto"/>
            <w:noWrap w:val="0"/>
            <w:vAlign w:val="center"/>
          </w:tcPr>
          <w:p w14:paraId="3793A5C4">
            <w:pPr>
              <w:jc w:val="center"/>
              <w:rPr>
                <w:rFonts w:eastAsia="楷体_GB2312"/>
                <w:kern w:val="0"/>
                <w:sz w:val="22"/>
                <w:szCs w:val="22"/>
              </w:rPr>
            </w:pPr>
            <w:r>
              <w:rPr>
                <w:rFonts w:eastAsia="楷体_GB2312"/>
                <w:kern w:val="0"/>
                <w:sz w:val="22"/>
                <w:szCs w:val="22"/>
              </w:rPr>
              <w:t>平均地价</w:t>
            </w:r>
          </w:p>
        </w:tc>
        <w:tc>
          <w:tcPr>
            <w:tcW w:w="0" w:type="auto"/>
            <w:noWrap w:val="0"/>
            <w:vAlign w:val="center"/>
          </w:tcPr>
          <w:p w14:paraId="74C7837F">
            <w:pPr>
              <w:jc w:val="center"/>
              <w:rPr>
                <w:rFonts w:eastAsia="楷体_GB2312"/>
                <w:kern w:val="0"/>
                <w:sz w:val="22"/>
                <w:szCs w:val="22"/>
              </w:rPr>
            </w:pPr>
            <w:r>
              <w:rPr>
                <w:rFonts w:eastAsia="楷体_GB2312"/>
                <w:kern w:val="0"/>
                <w:sz w:val="22"/>
                <w:szCs w:val="22"/>
              </w:rPr>
              <w:t>参算数</w:t>
            </w:r>
          </w:p>
        </w:tc>
        <w:tc>
          <w:tcPr>
            <w:tcW w:w="0" w:type="auto"/>
            <w:noWrap w:val="0"/>
            <w:vAlign w:val="center"/>
          </w:tcPr>
          <w:p w14:paraId="34EEFB86">
            <w:pPr>
              <w:jc w:val="center"/>
              <w:rPr>
                <w:rFonts w:eastAsia="楷体_GB2312"/>
                <w:kern w:val="0"/>
                <w:sz w:val="22"/>
                <w:szCs w:val="22"/>
              </w:rPr>
            </w:pPr>
            <w:r>
              <w:rPr>
                <w:rFonts w:eastAsia="楷体_GB2312"/>
                <w:kern w:val="0"/>
                <w:sz w:val="22"/>
                <w:szCs w:val="22"/>
              </w:rPr>
              <w:t>平均地价</w:t>
            </w:r>
          </w:p>
        </w:tc>
        <w:tc>
          <w:tcPr>
            <w:tcW w:w="0" w:type="auto"/>
            <w:noWrap w:val="0"/>
            <w:vAlign w:val="center"/>
          </w:tcPr>
          <w:p w14:paraId="2C3923C6">
            <w:pPr>
              <w:jc w:val="center"/>
              <w:rPr>
                <w:rFonts w:eastAsia="楷体_GB2312"/>
                <w:kern w:val="0"/>
                <w:sz w:val="22"/>
                <w:szCs w:val="22"/>
              </w:rPr>
            </w:pPr>
            <w:r>
              <w:rPr>
                <w:rFonts w:eastAsia="楷体_GB2312"/>
                <w:kern w:val="0"/>
                <w:sz w:val="22"/>
                <w:szCs w:val="22"/>
              </w:rPr>
              <w:t>参算数</w:t>
            </w:r>
          </w:p>
        </w:tc>
        <w:tc>
          <w:tcPr>
            <w:tcW w:w="0" w:type="auto"/>
            <w:noWrap w:val="0"/>
            <w:vAlign w:val="center"/>
          </w:tcPr>
          <w:p w14:paraId="11D44AA6">
            <w:pPr>
              <w:jc w:val="center"/>
              <w:rPr>
                <w:rFonts w:eastAsia="楷体_GB2312"/>
                <w:kern w:val="0"/>
                <w:sz w:val="22"/>
                <w:szCs w:val="22"/>
              </w:rPr>
            </w:pPr>
            <w:r>
              <w:rPr>
                <w:rFonts w:eastAsia="楷体_GB2312"/>
                <w:kern w:val="0"/>
                <w:sz w:val="22"/>
                <w:szCs w:val="22"/>
              </w:rPr>
              <w:t>平均地价</w:t>
            </w:r>
          </w:p>
        </w:tc>
      </w:tr>
      <w:tr w14:paraId="4D8CE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69085EAB">
            <w:pPr>
              <w:jc w:val="center"/>
              <w:rPr>
                <w:rFonts w:eastAsia="楷体_GB2312"/>
                <w:kern w:val="0"/>
                <w:sz w:val="22"/>
                <w:szCs w:val="22"/>
              </w:rPr>
            </w:pPr>
            <w:r>
              <w:rPr>
                <w:rFonts w:eastAsia="楷体_GB2312"/>
                <w:kern w:val="0"/>
                <w:sz w:val="22"/>
                <w:szCs w:val="22"/>
              </w:rPr>
              <w:t>1</w:t>
            </w:r>
          </w:p>
        </w:tc>
        <w:tc>
          <w:tcPr>
            <w:tcW w:w="1303" w:type="dxa"/>
            <w:noWrap w:val="0"/>
            <w:vAlign w:val="center"/>
          </w:tcPr>
          <w:p w14:paraId="54A6B7D2">
            <w:pPr>
              <w:jc w:val="center"/>
              <w:rPr>
                <w:rFonts w:eastAsia="楷体_GB2312"/>
                <w:kern w:val="0"/>
                <w:szCs w:val="21"/>
              </w:rPr>
            </w:pPr>
            <w:r>
              <w:rPr>
                <w:rFonts w:eastAsia="楷体_GB2312"/>
                <w:kern w:val="0"/>
                <w:szCs w:val="21"/>
              </w:rPr>
              <w:t>符离镇</w:t>
            </w:r>
          </w:p>
        </w:tc>
        <w:tc>
          <w:tcPr>
            <w:tcW w:w="1472" w:type="dxa"/>
            <w:noWrap w:val="0"/>
            <w:vAlign w:val="center"/>
          </w:tcPr>
          <w:p w14:paraId="5334F07D">
            <w:pPr>
              <w:jc w:val="center"/>
              <w:rPr>
                <w:rFonts w:eastAsia="楷体_GB2312"/>
                <w:kern w:val="0"/>
                <w:szCs w:val="21"/>
              </w:rPr>
            </w:pPr>
            <w:r>
              <w:rPr>
                <w:rFonts w:eastAsia="楷体_GB2312"/>
                <w:kern w:val="0"/>
                <w:szCs w:val="21"/>
              </w:rPr>
              <w:t>9</w:t>
            </w:r>
          </w:p>
        </w:tc>
        <w:tc>
          <w:tcPr>
            <w:tcW w:w="0" w:type="auto"/>
            <w:noWrap w:val="0"/>
            <w:vAlign w:val="center"/>
          </w:tcPr>
          <w:p w14:paraId="1F37DED6">
            <w:pPr>
              <w:jc w:val="center"/>
              <w:rPr>
                <w:rFonts w:eastAsia="楷体_GB2312"/>
                <w:kern w:val="0"/>
                <w:sz w:val="22"/>
                <w:szCs w:val="22"/>
              </w:rPr>
            </w:pPr>
            <w:r>
              <w:rPr>
                <w:rFonts w:eastAsia="楷体_GB2312"/>
                <w:kern w:val="0"/>
                <w:sz w:val="22"/>
                <w:szCs w:val="22"/>
              </w:rPr>
              <w:t>1</w:t>
            </w:r>
          </w:p>
        </w:tc>
        <w:tc>
          <w:tcPr>
            <w:tcW w:w="0" w:type="auto"/>
            <w:noWrap w:val="0"/>
            <w:vAlign w:val="center"/>
          </w:tcPr>
          <w:p w14:paraId="4E449C74">
            <w:pPr>
              <w:jc w:val="center"/>
              <w:rPr>
                <w:rFonts w:eastAsia="楷体_GB2312"/>
                <w:kern w:val="0"/>
                <w:sz w:val="22"/>
                <w:szCs w:val="22"/>
              </w:rPr>
            </w:pPr>
            <w:r>
              <w:rPr>
                <w:rFonts w:eastAsia="楷体_GB2312"/>
                <w:kern w:val="0"/>
                <w:sz w:val="22"/>
                <w:szCs w:val="22"/>
              </w:rPr>
              <w:t>230</w:t>
            </w:r>
          </w:p>
        </w:tc>
        <w:tc>
          <w:tcPr>
            <w:tcW w:w="0" w:type="auto"/>
            <w:noWrap w:val="0"/>
            <w:vAlign w:val="center"/>
          </w:tcPr>
          <w:p w14:paraId="18D81008">
            <w:pPr>
              <w:jc w:val="center"/>
              <w:rPr>
                <w:rFonts w:eastAsia="楷体_GB2312"/>
                <w:kern w:val="0"/>
                <w:sz w:val="22"/>
                <w:szCs w:val="22"/>
              </w:rPr>
            </w:pPr>
            <w:r>
              <w:rPr>
                <w:rFonts w:eastAsia="楷体_GB2312"/>
                <w:kern w:val="0"/>
                <w:sz w:val="22"/>
                <w:szCs w:val="22"/>
              </w:rPr>
              <w:t>3</w:t>
            </w:r>
          </w:p>
        </w:tc>
        <w:tc>
          <w:tcPr>
            <w:tcW w:w="0" w:type="auto"/>
            <w:noWrap w:val="0"/>
            <w:vAlign w:val="center"/>
          </w:tcPr>
          <w:p w14:paraId="141E29D4">
            <w:pPr>
              <w:jc w:val="center"/>
              <w:rPr>
                <w:rFonts w:eastAsia="楷体_GB2312"/>
                <w:kern w:val="0"/>
                <w:sz w:val="22"/>
                <w:szCs w:val="22"/>
              </w:rPr>
            </w:pPr>
            <w:r>
              <w:rPr>
                <w:rFonts w:eastAsia="楷体_GB2312"/>
                <w:kern w:val="0"/>
                <w:sz w:val="22"/>
                <w:szCs w:val="22"/>
              </w:rPr>
              <w:t>185</w:t>
            </w:r>
          </w:p>
        </w:tc>
        <w:tc>
          <w:tcPr>
            <w:tcW w:w="0" w:type="auto"/>
            <w:noWrap w:val="0"/>
            <w:vAlign w:val="center"/>
          </w:tcPr>
          <w:p w14:paraId="4721E8EC">
            <w:pPr>
              <w:jc w:val="center"/>
              <w:rPr>
                <w:rFonts w:eastAsia="楷体_GB2312"/>
                <w:kern w:val="0"/>
                <w:sz w:val="22"/>
                <w:szCs w:val="22"/>
              </w:rPr>
            </w:pPr>
            <w:r>
              <w:rPr>
                <w:rFonts w:eastAsia="楷体_GB2312"/>
                <w:kern w:val="0"/>
                <w:sz w:val="22"/>
                <w:szCs w:val="22"/>
              </w:rPr>
              <w:t>5</w:t>
            </w:r>
          </w:p>
        </w:tc>
        <w:tc>
          <w:tcPr>
            <w:tcW w:w="0" w:type="auto"/>
            <w:noWrap w:val="0"/>
            <w:vAlign w:val="center"/>
          </w:tcPr>
          <w:p w14:paraId="45B23F99">
            <w:pPr>
              <w:jc w:val="center"/>
              <w:rPr>
                <w:rFonts w:eastAsia="楷体_GB2312"/>
                <w:kern w:val="0"/>
                <w:sz w:val="22"/>
                <w:szCs w:val="22"/>
              </w:rPr>
            </w:pPr>
            <w:r>
              <w:rPr>
                <w:rFonts w:eastAsia="楷体_GB2312"/>
                <w:kern w:val="0"/>
                <w:sz w:val="22"/>
                <w:szCs w:val="22"/>
              </w:rPr>
              <w:t>144</w:t>
            </w:r>
          </w:p>
        </w:tc>
      </w:tr>
      <w:tr w14:paraId="1B350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3C86B63A">
            <w:pPr>
              <w:jc w:val="center"/>
              <w:rPr>
                <w:rFonts w:eastAsia="楷体_GB2312"/>
                <w:kern w:val="0"/>
                <w:sz w:val="22"/>
                <w:szCs w:val="22"/>
              </w:rPr>
            </w:pPr>
            <w:r>
              <w:rPr>
                <w:rFonts w:eastAsia="楷体_GB2312"/>
                <w:kern w:val="0"/>
                <w:sz w:val="22"/>
                <w:szCs w:val="22"/>
              </w:rPr>
              <w:t>2</w:t>
            </w:r>
          </w:p>
        </w:tc>
        <w:tc>
          <w:tcPr>
            <w:tcW w:w="1303" w:type="dxa"/>
            <w:noWrap w:val="0"/>
            <w:vAlign w:val="center"/>
          </w:tcPr>
          <w:p w14:paraId="59EBF57D">
            <w:pPr>
              <w:jc w:val="center"/>
              <w:rPr>
                <w:rFonts w:eastAsia="楷体_GB2312"/>
                <w:kern w:val="0"/>
                <w:szCs w:val="21"/>
              </w:rPr>
            </w:pPr>
            <w:r>
              <w:rPr>
                <w:rFonts w:eastAsia="楷体_GB2312"/>
                <w:kern w:val="0"/>
                <w:szCs w:val="21"/>
              </w:rPr>
              <w:t>朱仙庄镇</w:t>
            </w:r>
          </w:p>
        </w:tc>
        <w:tc>
          <w:tcPr>
            <w:tcW w:w="1472" w:type="dxa"/>
            <w:noWrap w:val="0"/>
            <w:vAlign w:val="center"/>
          </w:tcPr>
          <w:p w14:paraId="4D096555">
            <w:pPr>
              <w:jc w:val="center"/>
              <w:rPr>
                <w:rFonts w:eastAsia="楷体_GB2312"/>
                <w:kern w:val="0"/>
                <w:szCs w:val="21"/>
              </w:rPr>
            </w:pPr>
            <w:r>
              <w:rPr>
                <w:rFonts w:eastAsia="楷体_GB2312"/>
                <w:kern w:val="0"/>
                <w:szCs w:val="21"/>
              </w:rPr>
              <w:t>4</w:t>
            </w:r>
          </w:p>
        </w:tc>
        <w:tc>
          <w:tcPr>
            <w:tcW w:w="0" w:type="auto"/>
            <w:noWrap w:val="0"/>
            <w:vAlign w:val="center"/>
          </w:tcPr>
          <w:p w14:paraId="1F88A3C3">
            <w:pPr>
              <w:jc w:val="center"/>
              <w:rPr>
                <w:rFonts w:eastAsia="楷体_GB2312"/>
                <w:kern w:val="0"/>
                <w:sz w:val="22"/>
                <w:szCs w:val="22"/>
              </w:rPr>
            </w:pPr>
            <w:r>
              <w:rPr>
                <w:rFonts w:eastAsia="楷体_GB2312"/>
                <w:kern w:val="0"/>
                <w:sz w:val="22"/>
                <w:szCs w:val="22"/>
              </w:rPr>
              <w:t>1</w:t>
            </w:r>
          </w:p>
        </w:tc>
        <w:tc>
          <w:tcPr>
            <w:tcW w:w="0" w:type="auto"/>
            <w:noWrap w:val="0"/>
            <w:vAlign w:val="center"/>
          </w:tcPr>
          <w:p w14:paraId="7539CE4D">
            <w:pPr>
              <w:jc w:val="center"/>
              <w:rPr>
                <w:rFonts w:eastAsia="楷体_GB2312"/>
                <w:kern w:val="0"/>
                <w:sz w:val="22"/>
                <w:szCs w:val="22"/>
              </w:rPr>
            </w:pPr>
            <w:r>
              <w:rPr>
                <w:rFonts w:eastAsia="楷体_GB2312"/>
                <w:kern w:val="0"/>
                <w:sz w:val="22"/>
                <w:szCs w:val="22"/>
              </w:rPr>
              <w:t>200</w:t>
            </w:r>
          </w:p>
        </w:tc>
        <w:tc>
          <w:tcPr>
            <w:tcW w:w="0" w:type="auto"/>
            <w:noWrap w:val="0"/>
            <w:vAlign w:val="center"/>
          </w:tcPr>
          <w:p w14:paraId="51F92E48">
            <w:pPr>
              <w:jc w:val="center"/>
              <w:rPr>
                <w:rFonts w:eastAsia="楷体_GB2312"/>
                <w:kern w:val="0"/>
                <w:sz w:val="22"/>
                <w:szCs w:val="22"/>
              </w:rPr>
            </w:pPr>
            <w:r>
              <w:rPr>
                <w:rFonts w:eastAsia="楷体_GB2312"/>
                <w:kern w:val="0"/>
                <w:sz w:val="22"/>
                <w:szCs w:val="22"/>
              </w:rPr>
              <w:t>1</w:t>
            </w:r>
          </w:p>
        </w:tc>
        <w:tc>
          <w:tcPr>
            <w:tcW w:w="0" w:type="auto"/>
            <w:noWrap w:val="0"/>
            <w:vAlign w:val="center"/>
          </w:tcPr>
          <w:p w14:paraId="553686A0">
            <w:pPr>
              <w:jc w:val="center"/>
              <w:rPr>
                <w:rFonts w:eastAsia="楷体_GB2312"/>
                <w:kern w:val="0"/>
                <w:sz w:val="22"/>
                <w:szCs w:val="22"/>
              </w:rPr>
            </w:pPr>
            <w:r>
              <w:rPr>
                <w:rFonts w:eastAsia="楷体_GB2312"/>
                <w:kern w:val="0"/>
                <w:sz w:val="22"/>
                <w:szCs w:val="22"/>
              </w:rPr>
              <w:t>170</w:t>
            </w:r>
          </w:p>
        </w:tc>
        <w:tc>
          <w:tcPr>
            <w:tcW w:w="0" w:type="auto"/>
            <w:noWrap w:val="0"/>
            <w:vAlign w:val="center"/>
          </w:tcPr>
          <w:p w14:paraId="3A4BF225">
            <w:pPr>
              <w:jc w:val="center"/>
              <w:rPr>
                <w:rFonts w:eastAsia="楷体_GB2312"/>
                <w:kern w:val="0"/>
                <w:sz w:val="22"/>
                <w:szCs w:val="22"/>
              </w:rPr>
            </w:pPr>
            <w:r>
              <w:rPr>
                <w:rFonts w:eastAsia="楷体_GB2312"/>
                <w:kern w:val="0"/>
                <w:sz w:val="22"/>
                <w:szCs w:val="22"/>
              </w:rPr>
              <w:t>2</w:t>
            </w:r>
          </w:p>
        </w:tc>
        <w:tc>
          <w:tcPr>
            <w:tcW w:w="0" w:type="auto"/>
            <w:noWrap w:val="0"/>
            <w:vAlign w:val="center"/>
          </w:tcPr>
          <w:p w14:paraId="11542B98">
            <w:pPr>
              <w:jc w:val="center"/>
              <w:rPr>
                <w:rFonts w:eastAsia="楷体_GB2312"/>
                <w:kern w:val="0"/>
                <w:sz w:val="22"/>
                <w:szCs w:val="22"/>
              </w:rPr>
            </w:pPr>
            <w:r>
              <w:rPr>
                <w:rFonts w:eastAsia="楷体_GB2312"/>
                <w:kern w:val="0"/>
                <w:sz w:val="22"/>
                <w:szCs w:val="22"/>
              </w:rPr>
              <w:t>144</w:t>
            </w:r>
          </w:p>
        </w:tc>
      </w:tr>
      <w:tr w14:paraId="0976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0AA70F95">
            <w:pPr>
              <w:jc w:val="center"/>
              <w:rPr>
                <w:rFonts w:eastAsia="楷体_GB2312"/>
                <w:kern w:val="0"/>
                <w:sz w:val="22"/>
                <w:szCs w:val="22"/>
              </w:rPr>
            </w:pPr>
            <w:r>
              <w:rPr>
                <w:rFonts w:eastAsia="楷体_GB2312"/>
                <w:kern w:val="0"/>
                <w:sz w:val="22"/>
                <w:szCs w:val="22"/>
              </w:rPr>
              <w:t>3</w:t>
            </w:r>
          </w:p>
        </w:tc>
        <w:tc>
          <w:tcPr>
            <w:tcW w:w="1303" w:type="dxa"/>
            <w:noWrap w:val="0"/>
            <w:vAlign w:val="center"/>
          </w:tcPr>
          <w:p w14:paraId="5C327F70">
            <w:pPr>
              <w:jc w:val="center"/>
              <w:rPr>
                <w:rFonts w:eastAsia="楷体_GB2312"/>
                <w:kern w:val="0"/>
                <w:szCs w:val="21"/>
              </w:rPr>
            </w:pPr>
            <w:r>
              <w:rPr>
                <w:rFonts w:eastAsia="楷体_GB2312"/>
                <w:kern w:val="0"/>
                <w:szCs w:val="21"/>
              </w:rPr>
              <w:t>蕲县镇</w:t>
            </w:r>
          </w:p>
        </w:tc>
        <w:tc>
          <w:tcPr>
            <w:tcW w:w="1472" w:type="dxa"/>
            <w:noWrap w:val="0"/>
            <w:vAlign w:val="center"/>
          </w:tcPr>
          <w:p w14:paraId="136D3913">
            <w:pPr>
              <w:jc w:val="center"/>
              <w:rPr>
                <w:rFonts w:eastAsia="楷体_GB2312"/>
                <w:kern w:val="0"/>
                <w:szCs w:val="21"/>
              </w:rPr>
            </w:pPr>
            <w:r>
              <w:rPr>
                <w:rFonts w:eastAsia="楷体_GB2312"/>
                <w:kern w:val="0"/>
                <w:szCs w:val="21"/>
              </w:rPr>
              <w:t>0</w:t>
            </w:r>
          </w:p>
        </w:tc>
        <w:tc>
          <w:tcPr>
            <w:tcW w:w="0" w:type="auto"/>
            <w:noWrap w:val="0"/>
            <w:vAlign w:val="center"/>
          </w:tcPr>
          <w:p w14:paraId="6F486B24">
            <w:pPr>
              <w:jc w:val="center"/>
              <w:rPr>
                <w:rFonts w:eastAsia="楷体_GB2312"/>
                <w:kern w:val="0"/>
                <w:sz w:val="22"/>
                <w:szCs w:val="22"/>
              </w:rPr>
            </w:pPr>
            <w:r>
              <w:rPr>
                <w:rFonts w:eastAsia="楷体_GB2312"/>
                <w:kern w:val="0"/>
                <w:sz w:val="22"/>
                <w:szCs w:val="22"/>
              </w:rPr>
              <w:t>0</w:t>
            </w:r>
          </w:p>
        </w:tc>
        <w:tc>
          <w:tcPr>
            <w:tcW w:w="0" w:type="auto"/>
            <w:noWrap w:val="0"/>
            <w:vAlign w:val="center"/>
          </w:tcPr>
          <w:p w14:paraId="2FA0DF86">
            <w:pPr>
              <w:jc w:val="center"/>
              <w:rPr>
                <w:rFonts w:eastAsia="楷体_GB2312"/>
                <w:kern w:val="0"/>
                <w:sz w:val="22"/>
                <w:szCs w:val="22"/>
              </w:rPr>
            </w:pPr>
            <w:r>
              <w:rPr>
                <w:rFonts w:eastAsia="楷体_GB2312"/>
                <w:kern w:val="0"/>
                <w:sz w:val="22"/>
                <w:szCs w:val="22"/>
              </w:rPr>
              <w:t>200</w:t>
            </w:r>
          </w:p>
        </w:tc>
        <w:tc>
          <w:tcPr>
            <w:tcW w:w="0" w:type="auto"/>
            <w:noWrap w:val="0"/>
            <w:vAlign w:val="center"/>
          </w:tcPr>
          <w:p w14:paraId="6647ED0B">
            <w:pPr>
              <w:jc w:val="center"/>
              <w:rPr>
                <w:rFonts w:eastAsia="楷体_GB2312"/>
                <w:kern w:val="0"/>
                <w:sz w:val="22"/>
                <w:szCs w:val="22"/>
              </w:rPr>
            </w:pPr>
            <w:r>
              <w:rPr>
                <w:rFonts w:eastAsia="楷体_GB2312"/>
                <w:kern w:val="0"/>
                <w:sz w:val="22"/>
                <w:szCs w:val="22"/>
              </w:rPr>
              <w:t>0</w:t>
            </w:r>
          </w:p>
        </w:tc>
        <w:tc>
          <w:tcPr>
            <w:tcW w:w="0" w:type="auto"/>
            <w:noWrap w:val="0"/>
            <w:vAlign w:val="center"/>
          </w:tcPr>
          <w:p w14:paraId="303DB446">
            <w:pPr>
              <w:jc w:val="center"/>
              <w:rPr>
                <w:rFonts w:eastAsia="楷体_GB2312"/>
                <w:kern w:val="0"/>
                <w:sz w:val="22"/>
                <w:szCs w:val="22"/>
              </w:rPr>
            </w:pPr>
            <w:r>
              <w:rPr>
                <w:rFonts w:eastAsia="楷体_GB2312"/>
                <w:kern w:val="0"/>
                <w:sz w:val="22"/>
                <w:szCs w:val="22"/>
              </w:rPr>
              <w:t>170</w:t>
            </w:r>
          </w:p>
        </w:tc>
        <w:tc>
          <w:tcPr>
            <w:tcW w:w="0" w:type="auto"/>
            <w:noWrap w:val="0"/>
            <w:vAlign w:val="center"/>
          </w:tcPr>
          <w:p w14:paraId="40CBA8C9">
            <w:pPr>
              <w:jc w:val="center"/>
              <w:rPr>
                <w:rFonts w:eastAsia="楷体_GB2312"/>
                <w:kern w:val="0"/>
                <w:sz w:val="22"/>
                <w:szCs w:val="22"/>
              </w:rPr>
            </w:pPr>
            <w:r>
              <w:rPr>
                <w:rFonts w:eastAsia="楷体_GB2312"/>
                <w:kern w:val="0"/>
                <w:sz w:val="22"/>
                <w:szCs w:val="22"/>
              </w:rPr>
              <w:t>0</w:t>
            </w:r>
          </w:p>
        </w:tc>
        <w:tc>
          <w:tcPr>
            <w:tcW w:w="0" w:type="auto"/>
            <w:noWrap w:val="0"/>
            <w:vAlign w:val="center"/>
          </w:tcPr>
          <w:p w14:paraId="75B57D29">
            <w:pPr>
              <w:jc w:val="center"/>
              <w:rPr>
                <w:rFonts w:eastAsia="楷体_GB2312"/>
                <w:kern w:val="0"/>
                <w:sz w:val="22"/>
                <w:szCs w:val="22"/>
              </w:rPr>
            </w:pPr>
            <w:r>
              <w:rPr>
                <w:rFonts w:eastAsia="楷体_GB2312"/>
                <w:kern w:val="0"/>
                <w:sz w:val="22"/>
                <w:szCs w:val="22"/>
              </w:rPr>
              <w:t>144</w:t>
            </w:r>
          </w:p>
        </w:tc>
      </w:tr>
      <w:tr w14:paraId="13B55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1B3020B3">
            <w:pPr>
              <w:jc w:val="center"/>
              <w:rPr>
                <w:rFonts w:eastAsia="楷体_GB2312"/>
                <w:kern w:val="0"/>
                <w:sz w:val="22"/>
                <w:szCs w:val="22"/>
              </w:rPr>
            </w:pPr>
            <w:r>
              <w:rPr>
                <w:rFonts w:eastAsia="楷体_GB2312"/>
                <w:kern w:val="0"/>
                <w:sz w:val="22"/>
                <w:szCs w:val="22"/>
              </w:rPr>
              <w:t>4</w:t>
            </w:r>
          </w:p>
        </w:tc>
        <w:tc>
          <w:tcPr>
            <w:tcW w:w="1303" w:type="dxa"/>
            <w:noWrap w:val="0"/>
            <w:vAlign w:val="center"/>
          </w:tcPr>
          <w:p w14:paraId="6182FCA2">
            <w:pPr>
              <w:jc w:val="center"/>
              <w:rPr>
                <w:rFonts w:eastAsia="楷体_GB2312"/>
                <w:kern w:val="0"/>
                <w:szCs w:val="21"/>
              </w:rPr>
            </w:pPr>
            <w:r>
              <w:rPr>
                <w:rFonts w:eastAsia="楷体_GB2312"/>
                <w:kern w:val="0"/>
                <w:szCs w:val="21"/>
              </w:rPr>
              <w:t>芦岭镇</w:t>
            </w:r>
          </w:p>
        </w:tc>
        <w:tc>
          <w:tcPr>
            <w:tcW w:w="1472" w:type="dxa"/>
            <w:noWrap w:val="0"/>
            <w:vAlign w:val="center"/>
          </w:tcPr>
          <w:p w14:paraId="2465B42A">
            <w:pPr>
              <w:jc w:val="center"/>
              <w:rPr>
                <w:rFonts w:eastAsia="楷体_GB2312"/>
                <w:kern w:val="0"/>
                <w:szCs w:val="21"/>
              </w:rPr>
            </w:pPr>
            <w:r>
              <w:rPr>
                <w:rFonts w:eastAsia="楷体_GB2312"/>
                <w:kern w:val="0"/>
                <w:szCs w:val="21"/>
              </w:rPr>
              <w:t>1</w:t>
            </w:r>
          </w:p>
        </w:tc>
        <w:tc>
          <w:tcPr>
            <w:tcW w:w="0" w:type="auto"/>
            <w:noWrap w:val="0"/>
            <w:vAlign w:val="center"/>
          </w:tcPr>
          <w:p w14:paraId="2B8BFA87">
            <w:pPr>
              <w:jc w:val="center"/>
              <w:rPr>
                <w:rFonts w:eastAsia="楷体_GB2312"/>
                <w:kern w:val="0"/>
                <w:sz w:val="22"/>
                <w:szCs w:val="22"/>
              </w:rPr>
            </w:pPr>
            <w:r>
              <w:rPr>
                <w:rFonts w:eastAsia="楷体_GB2312"/>
                <w:kern w:val="0"/>
                <w:sz w:val="22"/>
                <w:szCs w:val="22"/>
              </w:rPr>
              <w:t>0</w:t>
            </w:r>
          </w:p>
        </w:tc>
        <w:tc>
          <w:tcPr>
            <w:tcW w:w="0" w:type="auto"/>
            <w:noWrap w:val="0"/>
            <w:vAlign w:val="center"/>
          </w:tcPr>
          <w:p w14:paraId="4F6EEEA5">
            <w:pPr>
              <w:jc w:val="center"/>
              <w:rPr>
                <w:rFonts w:eastAsia="楷体_GB2312"/>
                <w:kern w:val="0"/>
                <w:sz w:val="22"/>
                <w:szCs w:val="22"/>
              </w:rPr>
            </w:pPr>
            <w:r>
              <w:rPr>
                <w:rFonts w:eastAsia="楷体_GB2312"/>
                <w:kern w:val="0"/>
                <w:sz w:val="22"/>
                <w:szCs w:val="22"/>
              </w:rPr>
              <w:t>200</w:t>
            </w:r>
          </w:p>
        </w:tc>
        <w:tc>
          <w:tcPr>
            <w:tcW w:w="0" w:type="auto"/>
            <w:noWrap w:val="0"/>
            <w:vAlign w:val="center"/>
          </w:tcPr>
          <w:p w14:paraId="70798531">
            <w:pPr>
              <w:jc w:val="center"/>
              <w:rPr>
                <w:rFonts w:eastAsia="楷体_GB2312"/>
                <w:kern w:val="0"/>
                <w:sz w:val="22"/>
                <w:szCs w:val="22"/>
              </w:rPr>
            </w:pPr>
            <w:r>
              <w:rPr>
                <w:rFonts w:eastAsia="楷体_GB2312"/>
                <w:kern w:val="0"/>
                <w:sz w:val="22"/>
                <w:szCs w:val="22"/>
              </w:rPr>
              <w:t>0</w:t>
            </w:r>
          </w:p>
        </w:tc>
        <w:tc>
          <w:tcPr>
            <w:tcW w:w="0" w:type="auto"/>
            <w:noWrap w:val="0"/>
            <w:vAlign w:val="center"/>
          </w:tcPr>
          <w:p w14:paraId="0FB4FF51">
            <w:pPr>
              <w:jc w:val="center"/>
              <w:rPr>
                <w:rFonts w:eastAsia="楷体_GB2312"/>
                <w:kern w:val="0"/>
                <w:sz w:val="22"/>
                <w:szCs w:val="22"/>
              </w:rPr>
            </w:pPr>
            <w:r>
              <w:rPr>
                <w:rFonts w:eastAsia="楷体_GB2312"/>
                <w:kern w:val="0"/>
                <w:sz w:val="22"/>
                <w:szCs w:val="22"/>
              </w:rPr>
              <w:t>170</w:t>
            </w:r>
          </w:p>
        </w:tc>
        <w:tc>
          <w:tcPr>
            <w:tcW w:w="0" w:type="auto"/>
            <w:noWrap w:val="0"/>
            <w:vAlign w:val="center"/>
          </w:tcPr>
          <w:p w14:paraId="01E707D2">
            <w:pPr>
              <w:jc w:val="center"/>
              <w:rPr>
                <w:rFonts w:eastAsia="楷体_GB2312"/>
                <w:kern w:val="0"/>
                <w:sz w:val="22"/>
                <w:szCs w:val="22"/>
              </w:rPr>
            </w:pPr>
            <w:r>
              <w:rPr>
                <w:rFonts w:eastAsia="楷体_GB2312"/>
                <w:kern w:val="0"/>
                <w:sz w:val="22"/>
                <w:szCs w:val="22"/>
              </w:rPr>
              <w:t>1</w:t>
            </w:r>
          </w:p>
        </w:tc>
        <w:tc>
          <w:tcPr>
            <w:tcW w:w="0" w:type="auto"/>
            <w:noWrap w:val="0"/>
            <w:vAlign w:val="center"/>
          </w:tcPr>
          <w:p w14:paraId="04DD404C">
            <w:pPr>
              <w:jc w:val="center"/>
              <w:rPr>
                <w:rFonts w:eastAsia="楷体_GB2312"/>
                <w:kern w:val="0"/>
                <w:sz w:val="22"/>
                <w:szCs w:val="22"/>
              </w:rPr>
            </w:pPr>
            <w:r>
              <w:rPr>
                <w:rFonts w:eastAsia="楷体_GB2312"/>
                <w:kern w:val="0"/>
                <w:sz w:val="22"/>
                <w:szCs w:val="22"/>
              </w:rPr>
              <w:t>144</w:t>
            </w:r>
          </w:p>
        </w:tc>
      </w:tr>
      <w:tr w14:paraId="5679C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0B935EB2">
            <w:pPr>
              <w:jc w:val="center"/>
              <w:rPr>
                <w:rFonts w:eastAsia="楷体_GB2312"/>
                <w:kern w:val="0"/>
                <w:sz w:val="22"/>
                <w:szCs w:val="22"/>
              </w:rPr>
            </w:pPr>
            <w:r>
              <w:rPr>
                <w:rFonts w:eastAsia="楷体_GB2312"/>
                <w:kern w:val="0"/>
                <w:sz w:val="22"/>
                <w:szCs w:val="22"/>
              </w:rPr>
              <w:t>5</w:t>
            </w:r>
          </w:p>
        </w:tc>
        <w:tc>
          <w:tcPr>
            <w:tcW w:w="1303" w:type="dxa"/>
            <w:noWrap w:val="0"/>
            <w:vAlign w:val="center"/>
          </w:tcPr>
          <w:p w14:paraId="59E29F68">
            <w:pPr>
              <w:jc w:val="center"/>
              <w:rPr>
                <w:rFonts w:eastAsia="楷体_GB2312"/>
                <w:kern w:val="0"/>
                <w:szCs w:val="21"/>
              </w:rPr>
            </w:pPr>
            <w:r>
              <w:rPr>
                <w:rFonts w:eastAsia="楷体_GB2312"/>
                <w:kern w:val="0"/>
                <w:szCs w:val="21"/>
              </w:rPr>
              <w:t>大店镇</w:t>
            </w:r>
          </w:p>
        </w:tc>
        <w:tc>
          <w:tcPr>
            <w:tcW w:w="1472" w:type="dxa"/>
            <w:noWrap w:val="0"/>
            <w:vAlign w:val="center"/>
          </w:tcPr>
          <w:p w14:paraId="11DB17E0">
            <w:pPr>
              <w:jc w:val="center"/>
              <w:rPr>
                <w:rFonts w:eastAsia="楷体_GB2312"/>
                <w:kern w:val="0"/>
                <w:szCs w:val="21"/>
              </w:rPr>
            </w:pPr>
            <w:r>
              <w:rPr>
                <w:rFonts w:eastAsia="楷体_GB2312"/>
                <w:kern w:val="0"/>
                <w:szCs w:val="21"/>
              </w:rPr>
              <w:t>1</w:t>
            </w:r>
          </w:p>
        </w:tc>
        <w:tc>
          <w:tcPr>
            <w:tcW w:w="0" w:type="auto"/>
            <w:noWrap w:val="0"/>
            <w:vAlign w:val="center"/>
          </w:tcPr>
          <w:p w14:paraId="2996B1E5">
            <w:pPr>
              <w:jc w:val="center"/>
              <w:rPr>
                <w:rFonts w:eastAsia="楷体_GB2312"/>
                <w:kern w:val="0"/>
                <w:sz w:val="22"/>
                <w:szCs w:val="22"/>
              </w:rPr>
            </w:pPr>
            <w:r>
              <w:rPr>
                <w:rFonts w:eastAsia="楷体_GB2312"/>
                <w:kern w:val="0"/>
                <w:sz w:val="22"/>
                <w:szCs w:val="22"/>
              </w:rPr>
              <w:t>0</w:t>
            </w:r>
          </w:p>
        </w:tc>
        <w:tc>
          <w:tcPr>
            <w:tcW w:w="0" w:type="auto"/>
            <w:noWrap w:val="0"/>
            <w:vAlign w:val="center"/>
          </w:tcPr>
          <w:p w14:paraId="63A29B5E">
            <w:pPr>
              <w:jc w:val="center"/>
              <w:rPr>
                <w:rFonts w:eastAsia="楷体_GB2312"/>
                <w:kern w:val="0"/>
                <w:sz w:val="22"/>
                <w:szCs w:val="22"/>
              </w:rPr>
            </w:pPr>
            <w:r>
              <w:rPr>
                <w:rFonts w:eastAsia="楷体_GB2312"/>
                <w:kern w:val="0"/>
                <w:sz w:val="22"/>
                <w:szCs w:val="22"/>
              </w:rPr>
              <w:t>170</w:t>
            </w:r>
          </w:p>
        </w:tc>
        <w:tc>
          <w:tcPr>
            <w:tcW w:w="0" w:type="auto"/>
            <w:noWrap w:val="0"/>
            <w:vAlign w:val="center"/>
          </w:tcPr>
          <w:p w14:paraId="381D5AB8">
            <w:pPr>
              <w:jc w:val="center"/>
              <w:rPr>
                <w:rFonts w:eastAsia="楷体_GB2312"/>
                <w:kern w:val="0"/>
                <w:sz w:val="22"/>
                <w:szCs w:val="22"/>
              </w:rPr>
            </w:pPr>
            <w:r>
              <w:rPr>
                <w:rFonts w:eastAsia="楷体_GB2312"/>
                <w:kern w:val="0"/>
                <w:sz w:val="22"/>
                <w:szCs w:val="22"/>
              </w:rPr>
              <w:t>1</w:t>
            </w:r>
          </w:p>
        </w:tc>
        <w:tc>
          <w:tcPr>
            <w:tcW w:w="0" w:type="auto"/>
            <w:noWrap w:val="0"/>
            <w:vAlign w:val="center"/>
          </w:tcPr>
          <w:p w14:paraId="3E2321D4">
            <w:pPr>
              <w:jc w:val="center"/>
              <w:rPr>
                <w:rFonts w:eastAsia="楷体_GB2312"/>
                <w:kern w:val="0"/>
                <w:sz w:val="22"/>
                <w:szCs w:val="22"/>
              </w:rPr>
            </w:pPr>
            <w:r>
              <w:rPr>
                <w:rFonts w:eastAsia="楷体_GB2312"/>
                <w:kern w:val="0"/>
                <w:sz w:val="22"/>
                <w:szCs w:val="22"/>
              </w:rPr>
              <w:t>155</w:t>
            </w:r>
          </w:p>
        </w:tc>
        <w:tc>
          <w:tcPr>
            <w:tcW w:w="0" w:type="auto"/>
            <w:noWrap w:val="0"/>
            <w:vAlign w:val="center"/>
          </w:tcPr>
          <w:p w14:paraId="42063943">
            <w:pPr>
              <w:jc w:val="center"/>
              <w:rPr>
                <w:rFonts w:eastAsia="楷体_GB2312"/>
                <w:kern w:val="0"/>
                <w:sz w:val="22"/>
                <w:szCs w:val="22"/>
              </w:rPr>
            </w:pPr>
            <w:r>
              <w:rPr>
                <w:rFonts w:eastAsia="楷体_GB2312"/>
                <w:kern w:val="0"/>
                <w:sz w:val="22"/>
                <w:szCs w:val="22"/>
              </w:rPr>
              <w:t>0</w:t>
            </w:r>
          </w:p>
        </w:tc>
        <w:tc>
          <w:tcPr>
            <w:tcW w:w="0" w:type="auto"/>
            <w:noWrap w:val="0"/>
            <w:vAlign w:val="center"/>
          </w:tcPr>
          <w:p w14:paraId="04DBAB9B">
            <w:pPr>
              <w:jc w:val="center"/>
              <w:rPr>
                <w:rFonts w:eastAsia="楷体_GB2312"/>
                <w:kern w:val="0"/>
                <w:sz w:val="22"/>
                <w:szCs w:val="22"/>
              </w:rPr>
            </w:pPr>
            <w:r>
              <w:rPr>
                <w:rFonts w:eastAsia="楷体_GB2312"/>
                <w:kern w:val="0"/>
                <w:sz w:val="22"/>
                <w:szCs w:val="22"/>
              </w:rPr>
              <w:t>144</w:t>
            </w:r>
          </w:p>
        </w:tc>
      </w:tr>
      <w:tr w14:paraId="474C1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192244DE">
            <w:pPr>
              <w:jc w:val="center"/>
              <w:rPr>
                <w:rFonts w:eastAsia="楷体_GB2312"/>
                <w:kern w:val="0"/>
                <w:sz w:val="22"/>
                <w:szCs w:val="22"/>
              </w:rPr>
            </w:pPr>
            <w:r>
              <w:rPr>
                <w:rFonts w:eastAsia="楷体_GB2312"/>
                <w:kern w:val="0"/>
                <w:sz w:val="22"/>
                <w:szCs w:val="22"/>
              </w:rPr>
              <w:t>6</w:t>
            </w:r>
          </w:p>
        </w:tc>
        <w:tc>
          <w:tcPr>
            <w:tcW w:w="1303" w:type="dxa"/>
            <w:noWrap w:val="0"/>
            <w:vAlign w:val="center"/>
          </w:tcPr>
          <w:p w14:paraId="3CFE026B">
            <w:pPr>
              <w:jc w:val="center"/>
              <w:rPr>
                <w:rFonts w:eastAsia="楷体_GB2312"/>
                <w:kern w:val="0"/>
                <w:szCs w:val="21"/>
              </w:rPr>
            </w:pPr>
            <w:r>
              <w:rPr>
                <w:rFonts w:eastAsia="楷体_GB2312"/>
                <w:kern w:val="0"/>
                <w:szCs w:val="21"/>
              </w:rPr>
              <w:t>栏杆镇</w:t>
            </w:r>
          </w:p>
        </w:tc>
        <w:tc>
          <w:tcPr>
            <w:tcW w:w="1472" w:type="dxa"/>
            <w:noWrap w:val="0"/>
            <w:vAlign w:val="center"/>
          </w:tcPr>
          <w:p w14:paraId="626DD6E4">
            <w:pPr>
              <w:jc w:val="center"/>
              <w:rPr>
                <w:rFonts w:eastAsia="楷体_GB2312"/>
                <w:kern w:val="0"/>
                <w:szCs w:val="21"/>
              </w:rPr>
            </w:pPr>
            <w:r>
              <w:rPr>
                <w:rFonts w:eastAsia="楷体_GB2312"/>
                <w:kern w:val="0"/>
                <w:szCs w:val="21"/>
              </w:rPr>
              <w:t>2</w:t>
            </w:r>
          </w:p>
        </w:tc>
        <w:tc>
          <w:tcPr>
            <w:tcW w:w="0" w:type="auto"/>
            <w:noWrap w:val="0"/>
            <w:vAlign w:val="center"/>
          </w:tcPr>
          <w:p w14:paraId="210B8050">
            <w:pPr>
              <w:jc w:val="center"/>
              <w:rPr>
                <w:rFonts w:eastAsia="楷体_GB2312"/>
              </w:rPr>
            </w:pPr>
            <w:r>
              <w:rPr>
                <w:rFonts w:eastAsia="楷体_GB2312"/>
                <w:kern w:val="0"/>
                <w:sz w:val="22"/>
                <w:szCs w:val="22"/>
              </w:rPr>
              <w:t>0</w:t>
            </w:r>
          </w:p>
        </w:tc>
        <w:tc>
          <w:tcPr>
            <w:tcW w:w="0" w:type="auto"/>
            <w:noWrap w:val="0"/>
            <w:vAlign w:val="center"/>
          </w:tcPr>
          <w:p w14:paraId="3DC18FA3">
            <w:pPr>
              <w:jc w:val="center"/>
              <w:rPr>
                <w:rFonts w:eastAsia="楷体_GB2312"/>
                <w:kern w:val="0"/>
                <w:sz w:val="22"/>
                <w:szCs w:val="22"/>
              </w:rPr>
            </w:pPr>
            <w:r>
              <w:rPr>
                <w:rFonts w:eastAsia="楷体_GB2312"/>
                <w:kern w:val="0"/>
                <w:sz w:val="22"/>
                <w:szCs w:val="22"/>
              </w:rPr>
              <w:t>200</w:t>
            </w:r>
          </w:p>
        </w:tc>
        <w:tc>
          <w:tcPr>
            <w:tcW w:w="0" w:type="auto"/>
            <w:noWrap w:val="0"/>
            <w:vAlign w:val="center"/>
          </w:tcPr>
          <w:p w14:paraId="2FF414E0">
            <w:pPr>
              <w:jc w:val="center"/>
              <w:rPr>
                <w:rFonts w:eastAsia="楷体_GB2312"/>
                <w:kern w:val="0"/>
                <w:sz w:val="22"/>
                <w:szCs w:val="22"/>
              </w:rPr>
            </w:pPr>
            <w:r>
              <w:rPr>
                <w:rFonts w:eastAsia="楷体_GB2312"/>
                <w:kern w:val="0"/>
                <w:sz w:val="22"/>
                <w:szCs w:val="22"/>
              </w:rPr>
              <w:t>1</w:t>
            </w:r>
          </w:p>
        </w:tc>
        <w:tc>
          <w:tcPr>
            <w:tcW w:w="0" w:type="auto"/>
            <w:noWrap w:val="0"/>
            <w:vAlign w:val="center"/>
          </w:tcPr>
          <w:p w14:paraId="53CB5AE1">
            <w:pPr>
              <w:jc w:val="center"/>
              <w:rPr>
                <w:rFonts w:eastAsia="楷体_GB2312"/>
                <w:kern w:val="0"/>
                <w:sz w:val="22"/>
                <w:szCs w:val="22"/>
              </w:rPr>
            </w:pPr>
            <w:r>
              <w:rPr>
                <w:rFonts w:eastAsia="楷体_GB2312"/>
                <w:kern w:val="0"/>
                <w:sz w:val="22"/>
                <w:szCs w:val="22"/>
              </w:rPr>
              <w:t>170</w:t>
            </w:r>
          </w:p>
        </w:tc>
        <w:tc>
          <w:tcPr>
            <w:tcW w:w="0" w:type="auto"/>
            <w:noWrap w:val="0"/>
            <w:vAlign w:val="center"/>
          </w:tcPr>
          <w:p w14:paraId="3C318655">
            <w:pPr>
              <w:jc w:val="center"/>
              <w:rPr>
                <w:rFonts w:eastAsia="楷体_GB2312"/>
                <w:kern w:val="0"/>
                <w:sz w:val="22"/>
                <w:szCs w:val="22"/>
              </w:rPr>
            </w:pPr>
            <w:r>
              <w:rPr>
                <w:rFonts w:eastAsia="楷体_GB2312"/>
                <w:kern w:val="0"/>
                <w:sz w:val="22"/>
                <w:szCs w:val="22"/>
              </w:rPr>
              <w:t>1</w:t>
            </w:r>
          </w:p>
        </w:tc>
        <w:tc>
          <w:tcPr>
            <w:tcW w:w="0" w:type="auto"/>
            <w:noWrap w:val="0"/>
            <w:vAlign w:val="center"/>
          </w:tcPr>
          <w:p w14:paraId="2C4884F5">
            <w:pPr>
              <w:jc w:val="center"/>
              <w:rPr>
                <w:rFonts w:eastAsia="楷体_GB2312"/>
                <w:kern w:val="0"/>
                <w:sz w:val="22"/>
                <w:szCs w:val="22"/>
              </w:rPr>
            </w:pPr>
            <w:r>
              <w:rPr>
                <w:rFonts w:eastAsia="楷体_GB2312"/>
                <w:kern w:val="0"/>
                <w:sz w:val="22"/>
                <w:szCs w:val="22"/>
              </w:rPr>
              <w:t>144</w:t>
            </w:r>
          </w:p>
        </w:tc>
      </w:tr>
      <w:tr w14:paraId="2810D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1ACC8970">
            <w:pPr>
              <w:jc w:val="center"/>
              <w:rPr>
                <w:rFonts w:eastAsia="楷体_GB2312"/>
                <w:kern w:val="0"/>
                <w:sz w:val="22"/>
                <w:szCs w:val="22"/>
              </w:rPr>
            </w:pPr>
            <w:r>
              <w:rPr>
                <w:rFonts w:eastAsia="楷体_GB2312"/>
                <w:kern w:val="0"/>
                <w:sz w:val="22"/>
                <w:szCs w:val="22"/>
              </w:rPr>
              <w:t>7</w:t>
            </w:r>
          </w:p>
        </w:tc>
        <w:tc>
          <w:tcPr>
            <w:tcW w:w="1303" w:type="dxa"/>
            <w:noWrap w:val="0"/>
            <w:vAlign w:val="center"/>
          </w:tcPr>
          <w:p w14:paraId="6C1D64B4">
            <w:pPr>
              <w:jc w:val="center"/>
              <w:rPr>
                <w:rFonts w:eastAsia="楷体_GB2312"/>
                <w:kern w:val="0"/>
                <w:szCs w:val="21"/>
              </w:rPr>
            </w:pPr>
            <w:r>
              <w:rPr>
                <w:rFonts w:eastAsia="楷体_GB2312"/>
                <w:kern w:val="0"/>
                <w:szCs w:val="21"/>
              </w:rPr>
              <w:t>时村镇</w:t>
            </w:r>
          </w:p>
        </w:tc>
        <w:tc>
          <w:tcPr>
            <w:tcW w:w="1472" w:type="dxa"/>
            <w:noWrap w:val="0"/>
            <w:vAlign w:val="center"/>
          </w:tcPr>
          <w:p w14:paraId="4624DA1E">
            <w:pPr>
              <w:jc w:val="center"/>
              <w:rPr>
                <w:rFonts w:eastAsia="楷体_GB2312"/>
                <w:kern w:val="0"/>
                <w:szCs w:val="21"/>
              </w:rPr>
            </w:pPr>
            <w:r>
              <w:rPr>
                <w:rFonts w:eastAsia="楷体_GB2312"/>
                <w:kern w:val="0"/>
                <w:szCs w:val="21"/>
              </w:rPr>
              <w:t>1</w:t>
            </w:r>
          </w:p>
        </w:tc>
        <w:tc>
          <w:tcPr>
            <w:tcW w:w="0" w:type="auto"/>
            <w:noWrap w:val="0"/>
            <w:vAlign w:val="center"/>
          </w:tcPr>
          <w:p w14:paraId="78B8CA92">
            <w:pPr>
              <w:jc w:val="center"/>
              <w:rPr>
                <w:rFonts w:eastAsia="楷体_GB2312"/>
              </w:rPr>
            </w:pPr>
            <w:r>
              <w:rPr>
                <w:rFonts w:eastAsia="楷体_GB2312"/>
                <w:kern w:val="0"/>
                <w:sz w:val="22"/>
                <w:szCs w:val="22"/>
              </w:rPr>
              <w:t>0</w:t>
            </w:r>
          </w:p>
        </w:tc>
        <w:tc>
          <w:tcPr>
            <w:tcW w:w="0" w:type="auto"/>
            <w:noWrap w:val="0"/>
            <w:vAlign w:val="center"/>
          </w:tcPr>
          <w:p w14:paraId="718D2E00">
            <w:pPr>
              <w:jc w:val="center"/>
              <w:rPr>
                <w:rFonts w:eastAsia="楷体_GB2312"/>
                <w:kern w:val="0"/>
                <w:sz w:val="22"/>
                <w:szCs w:val="22"/>
              </w:rPr>
            </w:pPr>
            <w:r>
              <w:rPr>
                <w:rFonts w:eastAsia="楷体_GB2312"/>
                <w:kern w:val="0"/>
                <w:sz w:val="22"/>
                <w:szCs w:val="22"/>
              </w:rPr>
              <w:t>200</w:t>
            </w:r>
          </w:p>
        </w:tc>
        <w:tc>
          <w:tcPr>
            <w:tcW w:w="0" w:type="auto"/>
            <w:noWrap w:val="0"/>
            <w:vAlign w:val="center"/>
          </w:tcPr>
          <w:p w14:paraId="429ABC2F">
            <w:pPr>
              <w:jc w:val="center"/>
              <w:rPr>
                <w:rFonts w:eastAsia="楷体_GB2312"/>
                <w:kern w:val="0"/>
                <w:szCs w:val="21"/>
              </w:rPr>
            </w:pPr>
            <w:r>
              <w:rPr>
                <w:rFonts w:eastAsia="楷体_GB2312"/>
                <w:kern w:val="0"/>
                <w:szCs w:val="21"/>
              </w:rPr>
              <w:t>1</w:t>
            </w:r>
          </w:p>
        </w:tc>
        <w:tc>
          <w:tcPr>
            <w:tcW w:w="0" w:type="auto"/>
            <w:noWrap w:val="0"/>
            <w:vAlign w:val="center"/>
          </w:tcPr>
          <w:p w14:paraId="4446E155">
            <w:pPr>
              <w:jc w:val="center"/>
              <w:rPr>
                <w:rFonts w:eastAsia="楷体_GB2312"/>
                <w:kern w:val="0"/>
                <w:sz w:val="22"/>
                <w:szCs w:val="22"/>
              </w:rPr>
            </w:pPr>
            <w:r>
              <w:rPr>
                <w:rFonts w:eastAsia="楷体_GB2312"/>
                <w:kern w:val="0"/>
                <w:sz w:val="22"/>
                <w:szCs w:val="22"/>
              </w:rPr>
              <w:t>170</w:t>
            </w:r>
          </w:p>
        </w:tc>
        <w:tc>
          <w:tcPr>
            <w:tcW w:w="0" w:type="auto"/>
            <w:noWrap w:val="0"/>
            <w:vAlign w:val="center"/>
          </w:tcPr>
          <w:p w14:paraId="5D3144AD">
            <w:pPr>
              <w:jc w:val="center"/>
              <w:rPr>
                <w:rFonts w:eastAsia="楷体_GB2312"/>
              </w:rPr>
            </w:pPr>
            <w:r>
              <w:rPr>
                <w:rFonts w:eastAsia="楷体_GB2312"/>
                <w:kern w:val="0"/>
                <w:sz w:val="22"/>
                <w:szCs w:val="22"/>
              </w:rPr>
              <w:t>0</w:t>
            </w:r>
          </w:p>
        </w:tc>
        <w:tc>
          <w:tcPr>
            <w:tcW w:w="0" w:type="auto"/>
            <w:noWrap w:val="0"/>
            <w:vAlign w:val="center"/>
          </w:tcPr>
          <w:p w14:paraId="73A42BA2">
            <w:pPr>
              <w:jc w:val="center"/>
              <w:rPr>
                <w:rFonts w:eastAsia="楷体_GB2312"/>
                <w:kern w:val="0"/>
                <w:sz w:val="22"/>
                <w:szCs w:val="22"/>
              </w:rPr>
            </w:pPr>
            <w:r>
              <w:rPr>
                <w:rFonts w:eastAsia="楷体_GB2312"/>
                <w:kern w:val="0"/>
                <w:sz w:val="22"/>
                <w:szCs w:val="22"/>
              </w:rPr>
              <w:t>144</w:t>
            </w:r>
          </w:p>
        </w:tc>
      </w:tr>
      <w:tr w14:paraId="5C17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47DD875D">
            <w:pPr>
              <w:jc w:val="center"/>
              <w:rPr>
                <w:rFonts w:eastAsia="楷体_GB2312"/>
                <w:kern w:val="0"/>
                <w:sz w:val="22"/>
                <w:szCs w:val="22"/>
              </w:rPr>
            </w:pPr>
            <w:r>
              <w:rPr>
                <w:rFonts w:eastAsia="楷体_GB2312"/>
                <w:kern w:val="0"/>
                <w:sz w:val="22"/>
                <w:szCs w:val="22"/>
              </w:rPr>
              <w:t>8</w:t>
            </w:r>
          </w:p>
        </w:tc>
        <w:tc>
          <w:tcPr>
            <w:tcW w:w="1303" w:type="dxa"/>
            <w:noWrap w:val="0"/>
            <w:vAlign w:val="center"/>
          </w:tcPr>
          <w:p w14:paraId="5992C94F">
            <w:pPr>
              <w:jc w:val="center"/>
              <w:rPr>
                <w:rFonts w:eastAsia="楷体_GB2312"/>
                <w:kern w:val="0"/>
                <w:szCs w:val="21"/>
              </w:rPr>
            </w:pPr>
            <w:r>
              <w:rPr>
                <w:rFonts w:eastAsia="楷体_GB2312"/>
                <w:kern w:val="0"/>
                <w:szCs w:val="21"/>
              </w:rPr>
              <w:t>夹沟镇</w:t>
            </w:r>
          </w:p>
        </w:tc>
        <w:tc>
          <w:tcPr>
            <w:tcW w:w="1472" w:type="dxa"/>
            <w:noWrap w:val="0"/>
            <w:vAlign w:val="center"/>
          </w:tcPr>
          <w:p w14:paraId="7DF1B387">
            <w:pPr>
              <w:jc w:val="center"/>
              <w:rPr>
                <w:rFonts w:eastAsia="楷体_GB2312"/>
                <w:kern w:val="0"/>
                <w:szCs w:val="21"/>
              </w:rPr>
            </w:pPr>
            <w:r>
              <w:rPr>
                <w:rFonts w:eastAsia="楷体_GB2312"/>
                <w:kern w:val="0"/>
                <w:szCs w:val="21"/>
              </w:rPr>
              <w:t>1</w:t>
            </w:r>
          </w:p>
        </w:tc>
        <w:tc>
          <w:tcPr>
            <w:tcW w:w="0" w:type="auto"/>
            <w:noWrap w:val="0"/>
            <w:vAlign w:val="center"/>
          </w:tcPr>
          <w:p w14:paraId="0CCCF62E">
            <w:pPr>
              <w:jc w:val="center"/>
              <w:rPr>
                <w:rFonts w:eastAsia="楷体_GB2312"/>
              </w:rPr>
            </w:pPr>
            <w:r>
              <w:rPr>
                <w:rFonts w:eastAsia="楷体_GB2312"/>
                <w:kern w:val="0"/>
                <w:sz w:val="22"/>
                <w:szCs w:val="22"/>
              </w:rPr>
              <w:t>0</w:t>
            </w:r>
          </w:p>
        </w:tc>
        <w:tc>
          <w:tcPr>
            <w:tcW w:w="0" w:type="auto"/>
            <w:noWrap w:val="0"/>
            <w:vAlign w:val="center"/>
          </w:tcPr>
          <w:p w14:paraId="126ABD98">
            <w:pPr>
              <w:jc w:val="center"/>
              <w:rPr>
                <w:rFonts w:eastAsia="楷体_GB2312"/>
                <w:kern w:val="0"/>
                <w:sz w:val="22"/>
                <w:szCs w:val="22"/>
              </w:rPr>
            </w:pPr>
            <w:r>
              <w:rPr>
                <w:rFonts w:eastAsia="楷体_GB2312"/>
                <w:kern w:val="0"/>
                <w:sz w:val="22"/>
                <w:szCs w:val="22"/>
              </w:rPr>
              <w:t>170</w:t>
            </w:r>
          </w:p>
        </w:tc>
        <w:tc>
          <w:tcPr>
            <w:tcW w:w="0" w:type="auto"/>
            <w:noWrap w:val="0"/>
            <w:vAlign w:val="center"/>
          </w:tcPr>
          <w:p w14:paraId="6C46EB76">
            <w:pPr>
              <w:jc w:val="center"/>
              <w:rPr>
                <w:rFonts w:eastAsia="楷体_GB2312"/>
                <w:kern w:val="0"/>
                <w:szCs w:val="21"/>
              </w:rPr>
            </w:pPr>
            <w:r>
              <w:rPr>
                <w:rFonts w:eastAsia="楷体_GB2312"/>
                <w:kern w:val="0"/>
                <w:szCs w:val="21"/>
              </w:rPr>
              <w:t>1</w:t>
            </w:r>
          </w:p>
        </w:tc>
        <w:tc>
          <w:tcPr>
            <w:tcW w:w="0" w:type="auto"/>
            <w:noWrap w:val="0"/>
            <w:vAlign w:val="center"/>
          </w:tcPr>
          <w:p w14:paraId="4E42B7B1">
            <w:pPr>
              <w:jc w:val="center"/>
              <w:rPr>
                <w:rFonts w:eastAsia="楷体_GB2312"/>
                <w:kern w:val="0"/>
                <w:sz w:val="22"/>
                <w:szCs w:val="22"/>
              </w:rPr>
            </w:pPr>
            <w:r>
              <w:rPr>
                <w:rFonts w:eastAsia="楷体_GB2312"/>
                <w:kern w:val="0"/>
                <w:sz w:val="22"/>
                <w:szCs w:val="22"/>
              </w:rPr>
              <w:t>155</w:t>
            </w:r>
          </w:p>
        </w:tc>
        <w:tc>
          <w:tcPr>
            <w:tcW w:w="0" w:type="auto"/>
            <w:noWrap w:val="0"/>
            <w:vAlign w:val="center"/>
          </w:tcPr>
          <w:p w14:paraId="4FEF089A">
            <w:pPr>
              <w:jc w:val="center"/>
              <w:rPr>
                <w:rFonts w:eastAsia="楷体_GB2312"/>
              </w:rPr>
            </w:pPr>
            <w:r>
              <w:rPr>
                <w:rFonts w:eastAsia="楷体_GB2312"/>
                <w:kern w:val="0"/>
                <w:sz w:val="22"/>
                <w:szCs w:val="22"/>
              </w:rPr>
              <w:t>0</w:t>
            </w:r>
          </w:p>
        </w:tc>
        <w:tc>
          <w:tcPr>
            <w:tcW w:w="0" w:type="auto"/>
            <w:noWrap w:val="0"/>
            <w:vAlign w:val="center"/>
          </w:tcPr>
          <w:p w14:paraId="2289EA86">
            <w:pPr>
              <w:jc w:val="center"/>
              <w:rPr>
                <w:rFonts w:eastAsia="楷体_GB2312"/>
                <w:kern w:val="0"/>
                <w:sz w:val="22"/>
                <w:szCs w:val="22"/>
              </w:rPr>
            </w:pPr>
            <w:r>
              <w:rPr>
                <w:rFonts w:eastAsia="楷体_GB2312"/>
                <w:kern w:val="0"/>
                <w:sz w:val="22"/>
                <w:szCs w:val="22"/>
              </w:rPr>
              <w:t>144</w:t>
            </w:r>
          </w:p>
        </w:tc>
      </w:tr>
      <w:tr w14:paraId="4EAA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58243DCF">
            <w:pPr>
              <w:jc w:val="center"/>
              <w:rPr>
                <w:rFonts w:eastAsia="楷体_GB2312"/>
                <w:kern w:val="0"/>
                <w:sz w:val="22"/>
                <w:szCs w:val="22"/>
              </w:rPr>
            </w:pPr>
            <w:r>
              <w:rPr>
                <w:rFonts w:eastAsia="楷体_GB2312"/>
                <w:kern w:val="0"/>
                <w:sz w:val="22"/>
                <w:szCs w:val="22"/>
              </w:rPr>
              <w:t>9</w:t>
            </w:r>
          </w:p>
        </w:tc>
        <w:tc>
          <w:tcPr>
            <w:tcW w:w="1303" w:type="dxa"/>
            <w:noWrap w:val="0"/>
            <w:vAlign w:val="center"/>
          </w:tcPr>
          <w:p w14:paraId="2C87EB0E">
            <w:pPr>
              <w:jc w:val="center"/>
              <w:rPr>
                <w:rFonts w:eastAsia="楷体_GB2312"/>
                <w:kern w:val="0"/>
                <w:szCs w:val="21"/>
              </w:rPr>
            </w:pPr>
            <w:r>
              <w:rPr>
                <w:rFonts w:eastAsia="楷体_GB2312"/>
                <w:kern w:val="0"/>
                <w:szCs w:val="21"/>
              </w:rPr>
              <w:t>西二铺乡</w:t>
            </w:r>
          </w:p>
        </w:tc>
        <w:tc>
          <w:tcPr>
            <w:tcW w:w="1472" w:type="dxa"/>
            <w:noWrap w:val="0"/>
            <w:vAlign w:val="center"/>
          </w:tcPr>
          <w:p w14:paraId="05317F83">
            <w:pPr>
              <w:jc w:val="center"/>
              <w:rPr>
                <w:rFonts w:eastAsia="楷体_GB2312"/>
                <w:kern w:val="0"/>
                <w:szCs w:val="21"/>
              </w:rPr>
            </w:pPr>
            <w:r>
              <w:rPr>
                <w:rFonts w:eastAsia="楷体_GB2312"/>
                <w:kern w:val="0"/>
                <w:szCs w:val="21"/>
              </w:rPr>
              <w:t>0</w:t>
            </w:r>
          </w:p>
        </w:tc>
        <w:tc>
          <w:tcPr>
            <w:tcW w:w="0" w:type="auto"/>
            <w:noWrap w:val="0"/>
            <w:vAlign w:val="center"/>
          </w:tcPr>
          <w:p w14:paraId="00F7E3A2">
            <w:pPr>
              <w:jc w:val="center"/>
              <w:rPr>
                <w:rFonts w:eastAsia="楷体_GB2312"/>
              </w:rPr>
            </w:pPr>
            <w:r>
              <w:rPr>
                <w:rFonts w:eastAsia="楷体_GB2312"/>
                <w:kern w:val="0"/>
                <w:sz w:val="22"/>
                <w:szCs w:val="22"/>
              </w:rPr>
              <w:t>0</w:t>
            </w:r>
          </w:p>
        </w:tc>
        <w:tc>
          <w:tcPr>
            <w:tcW w:w="0" w:type="auto"/>
            <w:noWrap w:val="0"/>
            <w:vAlign w:val="center"/>
          </w:tcPr>
          <w:p w14:paraId="3E5685A7">
            <w:pPr>
              <w:jc w:val="center"/>
              <w:rPr>
                <w:rFonts w:eastAsia="楷体_GB2312"/>
                <w:kern w:val="0"/>
                <w:sz w:val="22"/>
                <w:szCs w:val="22"/>
              </w:rPr>
            </w:pPr>
            <w:r>
              <w:rPr>
                <w:rFonts w:eastAsia="楷体_GB2312"/>
                <w:kern w:val="0"/>
                <w:sz w:val="22"/>
                <w:szCs w:val="22"/>
              </w:rPr>
              <w:t>170</w:t>
            </w:r>
          </w:p>
        </w:tc>
        <w:tc>
          <w:tcPr>
            <w:tcW w:w="0" w:type="auto"/>
            <w:noWrap w:val="0"/>
            <w:vAlign w:val="center"/>
          </w:tcPr>
          <w:p w14:paraId="45BB57F2">
            <w:pPr>
              <w:jc w:val="center"/>
              <w:rPr>
                <w:rFonts w:eastAsia="楷体_GB2312"/>
              </w:rPr>
            </w:pPr>
            <w:r>
              <w:rPr>
                <w:rFonts w:eastAsia="楷体_GB2312"/>
                <w:kern w:val="0"/>
                <w:sz w:val="22"/>
                <w:szCs w:val="22"/>
              </w:rPr>
              <w:t>0</w:t>
            </w:r>
          </w:p>
        </w:tc>
        <w:tc>
          <w:tcPr>
            <w:tcW w:w="0" w:type="auto"/>
            <w:noWrap w:val="0"/>
            <w:vAlign w:val="center"/>
          </w:tcPr>
          <w:p w14:paraId="0243D209">
            <w:pPr>
              <w:jc w:val="center"/>
              <w:rPr>
                <w:rFonts w:eastAsia="楷体_GB2312"/>
              </w:rPr>
            </w:pPr>
            <w:r>
              <w:rPr>
                <w:rFonts w:eastAsia="楷体_GB2312"/>
                <w:kern w:val="0"/>
                <w:sz w:val="22"/>
                <w:szCs w:val="22"/>
              </w:rPr>
              <w:t>155</w:t>
            </w:r>
          </w:p>
        </w:tc>
        <w:tc>
          <w:tcPr>
            <w:tcW w:w="0" w:type="auto"/>
            <w:noWrap w:val="0"/>
            <w:vAlign w:val="center"/>
          </w:tcPr>
          <w:p w14:paraId="0289DC78">
            <w:pPr>
              <w:jc w:val="center"/>
              <w:rPr>
                <w:rFonts w:eastAsia="楷体_GB2312"/>
              </w:rPr>
            </w:pPr>
            <w:r>
              <w:rPr>
                <w:rFonts w:eastAsia="楷体_GB2312"/>
                <w:kern w:val="0"/>
                <w:sz w:val="22"/>
                <w:szCs w:val="22"/>
              </w:rPr>
              <w:t>0</w:t>
            </w:r>
          </w:p>
        </w:tc>
        <w:tc>
          <w:tcPr>
            <w:tcW w:w="0" w:type="auto"/>
            <w:noWrap w:val="0"/>
            <w:vAlign w:val="center"/>
          </w:tcPr>
          <w:p w14:paraId="57B36DFA">
            <w:pPr>
              <w:jc w:val="center"/>
              <w:rPr>
                <w:rFonts w:eastAsia="楷体_GB2312"/>
              </w:rPr>
            </w:pPr>
            <w:r>
              <w:rPr>
                <w:rFonts w:eastAsia="楷体_GB2312"/>
                <w:kern w:val="0"/>
                <w:sz w:val="22"/>
                <w:szCs w:val="22"/>
              </w:rPr>
              <w:t>144</w:t>
            </w:r>
          </w:p>
        </w:tc>
      </w:tr>
      <w:tr w14:paraId="53AA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580796D2">
            <w:pPr>
              <w:jc w:val="center"/>
              <w:rPr>
                <w:rFonts w:eastAsia="楷体_GB2312"/>
                <w:kern w:val="0"/>
                <w:sz w:val="22"/>
                <w:szCs w:val="22"/>
              </w:rPr>
            </w:pPr>
            <w:r>
              <w:rPr>
                <w:rFonts w:eastAsia="楷体_GB2312"/>
                <w:kern w:val="0"/>
                <w:sz w:val="22"/>
                <w:szCs w:val="22"/>
              </w:rPr>
              <w:t>10</w:t>
            </w:r>
          </w:p>
        </w:tc>
        <w:tc>
          <w:tcPr>
            <w:tcW w:w="1303" w:type="dxa"/>
            <w:noWrap w:val="0"/>
            <w:vAlign w:val="center"/>
          </w:tcPr>
          <w:p w14:paraId="062F2429">
            <w:pPr>
              <w:jc w:val="center"/>
              <w:rPr>
                <w:rFonts w:eastAsia="楷体_GB2312"/>
                <w:kern w:val="0"/>
                <w:szCs w:val="21"/>
              </w:rPr>
            </w:pPr>
            <w:r>
              <w:rPr>
                <w:rFonts w:eastAsia="楷体_GB2312"/>
                <w:kern w:val="0"/>
                <w:szCs w:val="21"/>
              </w:rPr>
              <w:t>桃园镇</w:t>
            </w:r>
          </w:p>
        </w:tc>
        <w:tc>
          <w:tcPr>
            <w:tcW w:w="1472" w:type="dxa"/>
            <w:noWrap w:val="0"/>
            <w:vAlign w:val="center"/>
          </w:tcPr>
          <w:p w14:paraId="4F122BB6">
            <w:pPr>
              <w:jc w:val="center"/>
              <w:rPr>
                <w:rFonts w:eastAsia="楷体_GB2312"/>
                <w:kern w:val="0"/>
                <w:szCs w:val="21"/>
              </w:rPr>
            </w:pPr>
            <w:r>
              <w:rPr>
                <w:rFonts w:eastAsia="楷体_GB2312"/>
                <w:kern w:val="0"/>
                <w:szCs w:val="21"/>
              </w:rPr>
              <w:t>1</w:t>
            </w:r>
          </w:p>
        </w:tc>
        <w:tc>
          <w:tcPr>
            <w:tcW w:w="0" w:type="auto"/>
            <w:noWrap w:val="0"/>
            <w:vAlign w:val="center"/>
          </w:tcPr>
          <w:p w14:paraId="6D088A04">
            <w:pPr>
              <w:jc w:val="center"/>
              <w:rPr>
                <w:rFonts w:eastAsia="楷体_GB2312"/>
              </w:rPr>
            </w:pPr>
            <w:r>
              <w:rPr>
                <w:rFonts w:eastAsia="楷体_GB2312"/>
                <w:kern w:val="0"/>
                <w:sz w:val="22"/>
                <w:szCs w:val="22"/>
              </w:rPr>
              <w:t>0</w:t>
            </w:r>
          </w:p>
        </w:tc>
        <w:tc>
          <w:tcPr>
            <w:tcW w:w="0" w:type="auto"/>
            <w:noWrap w:val="0"/>
            <w:vAlign w:val="center"/>
          </w:tcPr>
          <w:p w14:paraId="6F96F9F9">
            <w:pPr>
              <w:jc w:val="center"/>
              <w:rPr>
                <w:rFonts w:eastAsia="楷体_GB2312"/>
                <w:kern w:val="0"/>
                <w:sz w:val="22"/>
                <w:szCs w:val="22"/>
              </w:rPr>
            </w:pPr>
            <w:r>
              <w:rPr>
                <w:rFonts w:eastAsia="楷体_GB2312"/>
                <w:kern w:val="0"/>
                <w:sz w:val="22"/>
                <w:szCs w:val="22"/>
              </w:rPr>
              <w:t>170</w:t>
            </w:r>
          </w:p>
        </w:tc>
        <w:tc>
          <w:tcPr>
            <w:tcW w:w="0" w:type="auto"/>
            <w:noWrap w:val="0"/>
            <w:vAlign w:val="center"/>
          </w:tcPr>
          <w:p w14:paraId="5E3044D6">
            <w:pPr>
              <w:jc w:val="center"/>
              <w:rPr>
                <w:rFonts w:eastAsia="楷体_GB2312"/>
              </w:rPr>
            </w:pPr>
            <w:r>
              <w:rPr>
                <w:rFonts w:eastAsia="楷体_GB2312"/>
                <w:kern w:val="0"/>
                <w:sz w:val="22"/>
                <w:szCs w:val="22"/>
              </w:rPr>
              <w:t>0</w:t>
            </w:r>
          </w:p>
        </w:tc>
        <w:tc>
          <w:tcPr>
            <w:tcW w:w="0" w:type="auto"/>
            <w:noWrap w:val="0"/>
            <w:vAlign w:val="center"/>
          </w:tcPr>
          <w:p w14:paraId="194AF75B">
            <w:pPr>
              <w:jc w:val="center"/>
              <w:rPr>
                <w:rFonts w:eastAsia="楷体_GB2312"/>
              </w:rPr>
            </w:pPr>
            <w:r>
              <w:rPr>
                <w:rFonts w:eastAsia="楷体_GB2312"/>
                <w:kern w:val="0"/>
                <w:sz w:val="22"/>
                <w:szCs w:val="22"/>
              </w:rPr>
              <w:t>155</w:t>
            </w:r>
          </w:p>
        </w:tc>
        <w:tc>
          <w:tcPr>
            <w:tcW w:w="0" w:type="auto"/>
            <w:noWrap w:val="0"/>
            <w:vAlign w:val="center"/>
          </w:tcPr>
          <w:p w14:paraId="492F86BA">
            <w:pPr>
              <w:jc w:val="center"/>
              <w:rPr>
                <w:rFonts w:eastAsia="楷体_GB2312"/>
                <w:kern w:val="0"/>
                <w:sz w:val="22"/>
                <w:szCs w:val="22"/>
              </w:rPr>
            </w:pPr>
            <w:r>
              <w:rPr>
                <w:rFonts w:eastAsia="楷体_GB2312"/>
                <w:kern w:val="0"/>
                <w:sz w:val="22"/>
                <w:szCs w:val="22"/>
              </w:rPr>
              <w:t>1</w:t>
            </w:r>
          </w:p>
        </w:tc>
        <w:tc>
          <w:tcPr>
            <w:tcW w:w="0" w:type="auto"/>
            <w:noWrap w:val="0"/>
            <w:vAlign w:val="center"/>
          </w:tcPr>
          <w:p w14:paraId="5B883175">
            <w:pPr>
              <w:jc w:val="center"/>
              <w:rPr>
                <w:rFonts w:eastAsia="楷体_GB2312"/>
              </w:rPr>
            </w:pPr>
            <w:r>
              <w:rPr>
                <w:rFonts w:eastAsia="楷体_GB2312"/>
                <w:kern w:val="0"/>
                <w:sz w:val="22"/>
                <w:szCs w:val="22"/>
              </w:rPr>
              <w:t>144</w:t>
            </w:r>
          </w:p>
        </w:tc>
      </w:tr>
      <w:tr w14:paraId="42D01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7F58A099">
            <w:pPr>
              <w:jc w:val="center"/>
              <w:rPr>
                <w:rFonts w:eastAsia="楷体_GB2312"/>
                <w:kern w:val="0"/>
                <w:sz w:val="22"/>
                <w:szCs w:val="22"/>
              </w:rPr>
            </w:pPr>
            <w:r>
              <w:rPr>
                <w:rFonts w:eastAsia="楷体_GB2312"/>
                <w:kern w:val="0"/>
                <w:sz w:val="22"/>
                <w:szCs w:val="22"/>
              </w:rPr>
              <w:t>11</w:t>
            </w:r>
          </w:p>
        </w:tc>
        <w:tc>
          <w:tcPr>
            <w:tcW w:w="1303" w:type="dxa"/>
            <w:noWrap w:val="0"/>
            <w:vAlign w:val="center"/>
          </w:tcPr>
          <w:p w14:paraId="0C7E568B">
            <w:pPr>
              <w:jc w:val="center"/>
              <w:rPr>
                <w:rFonts w:eastAsia="楷体_GB2312"/>
                <w:kern w:val="0"/>
                <w:szCs w:val="21"/>
              </w:rPr>
            </w:pPr>
            <w:r>
              <w:rPr>
                <w:rFonts w:eastAsia="楷体_GB2312"/>
                <w:kern w:val="0"/>
                <w:szCs w:val="21"/>
              </w:rPr>
              <w:t>曹村镇</w:t>
            </w:r>
          </w:p>
        </w:tc>
        <w:tc>
          <w:tcPr>
            <w:tcW w:w="1472" w:type="dxa"/>
            <w:noWrap w:val="0"/>
            <w:vAlign w:val="center"/>
          </w:tcPr>
          <w:p w14:paraId="3B2AF908">
            <w:pPr>
              <w:jc w:val="center"/>
              <w:rPr>
                <w:rFonts w:eastAsia="楷体_GB2312"/>
                <w:kern w:val="0"/>
                <w:szCs w:val="21"/>
              </w:rPr>
            </w:pPr>
            <w:r>
              <w:rPr>
                <w:rFonts w:eastAsia="楷体_GB2312"/>
                <w:kern w:val="0"/>
                <w:szCs w:val="21"/>
              </w:rPr>
              <w:t>16</w:t>
            </w:r>
          </w:p>
        </w:tc>
        <w:tc>
          <w:tcPr>
            <w:tcW w:w="0" w:type="auto"/>
            <w:noWrap w:val="0"/>
            <w:vAlign w:val="center"/>
          </w:tcPr>
          <w:p w14:paraId="5F4D87A1">
            <w:pPr>
              <w:jc w:val="center"/>
              <w:rPr>
                <w:rFonts w:eastAsia="楷体_GB2312"/>
                <w:kern w:val="0"/>
                <w:szCs w:val="21"/>
              </w:rPr>
            </w:pPr>
            <w:r>
              <w:rPr>
                <w:rFonts w:eastAsia="楷体_GB2312"/>
                <w:kern w:val="0"/>
                <w:szCs w:val="21"/>
              </w:rPr>
              <w:t>2</w:t>
            </w:r>
          </w:p>
        </w:tc>
        <w:tc>
          <w:tcPr>
            <w:tcW w:w="0" w:type="auto"/>
            <w:noWrap w:val="0"/>
            <w:vAlign w:val="center"/>
          </w:tcPr>
          <w:p w14:paraId="665BAA1E">
            <w:pPr>
              <w:jc w:val="center"/>
              <w:rPr>
                <w:rFonts w:eastAsia="楷体_GB2312"/>
              </w:rPr>
            </w:pPr>
            <w:r>
              <w:rPr>
                <w:rFonts w:eastAsia="楷体_GB2312"/>
                <w:kern w:val="0"/>
                <w:sz w:val="22"/>
                <w:szCs w:val="22"/>
              </w:rPr>
              <w:t>170</w:t>
            </w:r>
          </w:p>
        </w:tc>
        <w:tc>
          <w:tcPr>
            <w:tcW w:w="0" w:type="auto"/>
            <w:noWrap w:val="0"/>
            <w:vAlign w:val="center"/>
          </w:tcPr>
          <w:p w14:paraId="29293D5D">
            <w:pPr>
              <w:jc w:val="center"/>
              <w:rPr>
                <w:rFonts w:eastAsia="楷体_GB2312"/>
                <w:kern w:val="0"/>
                <w:szCs w:val="21"/>
              </w:rPr>
            </w:pPr>
            <w:r>
              <w:rPr>
                <w:rFonts w:eastAsia="楷体_GB2312"/>
                <w:kern w:val="0"/>
                <w:szCs w:val="21"/>
              </w:rPr>
              <w:t>5</w:t>
            </w:r>
          </w:p>
        </w:tc>
        <w:tc>
          <w:tcPr>
            <w:tcW w:w="0" w:type="auto"/>
            <w:noWrap w:val="0"/>
            <w:vAlign w:val="center"/>
          </w:tcPr>
          <w:p w14:paraId="580320DA">
            <w:pPr>
              <w:jc w:val="center"/>
              <w:rPr>
                <w:rFonts w:eastAsia="楷体_GB2312"/>
              </w:rPr>
            </w:pPr>
            <w:r>
              <w:rPr>
                <w:rFonts w:eastAsia="楷体_GB2312"/>
                <w:kern w:val="0"/>
                <w:sz w:val="22"/>
                <w:szCs w:val="22"/>
              </w:rPr>
              <w:t>155</w:t>
            </w:r>
          </w:p>
        </w:tc>
        <w:tc>
          <w:tcPr>
            <w:tcW w:w="0" w:type="auto"/>
            <w:noWrap w:val="0"/>
            <w:vAlign w:val="center"/>
          </w:tcPr>
          <w:p w14:paraId="4DD3B43F">
            <w:pPr>
              <w:jc w:val="center"/>
              <w:rPr>
                <w:rFonts w:eastAsia="楷体_GB2312"/>
                <w:kern w:val="0"/>
                <w:sz w:val="22"/>
                <w:szCs w:val="22"/>
              </w:rPr>
            </w:pPr>
            <w:r>
              <w:rPr>
                <w:rFonts w:eastAsia="楷体_GB2312"/>
                <w:kern w:val="0"/>
                <w:sz w:val="22"/>
                <w:szCs w:val="22"/>
              </w:rPr>
              <w:t>9</w:t>
            </w:r>
          </w:p>
        </w:tc>
        <w:tc>
          <w:tcPr>
            <w:tcW w:w="0" w:type="auto"/>
            <w:noWrap w:val="0"/>
            <w:vAlign w:val="center"/>
          </w:tcPr>
          <w:p w14:paraId="768551A8">
            <w:pPr>
              <w:jc w:val="center"/>
              <w:rPr>
                <w:rFonts w:eastAsia="楷体_GB2312"/>
              </w:rPr>
            </w:pPr>
            <w:r>
              <w:rPr>
                <w:rFonts w:eastAsia="楷体_GB2312"/>
                <w:kern w:val="0"/>
                <w:sz w:val="22"/>
                <w:szCs w:val="22"/>
              </w:rPr>
              <w:t>144</w:t>
            </w:r>
          </w:p>
        </w:tc>
      </w:tr>
      <w:tr w14:paraId="43DF7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448132AA">
            <w:pPr>
              <w:jc w:val="center"/>
              <w:rPr>
                <w:rFonts w:eastAsia="楷体_GB2312"/>
                <w:kern w:val="0"/>
                <w:sz w:val="22"/>
                <w:szCs w:val="22"/>
              </w:rPr>
            </w:pPr>
            <w:r>
              <w:rPr>
                <w:rFonts w:eastAsia="楷体_GB2312"/>
                <w:kern w:val="0"/>
                <w:sz w:val="22"/>
                <w:szCs w:val="22"/>
              </w:rPr>
              <w:t>12</w:t>
            </w:r>
          </w:p>
        </w:tc>
        <w:tc>
          <w:tcPr>
            <w:tcW w:w="1303" w:type="dxa"/>
            <w:noWrap w:val="0"/>
            <w:vAlign w:val="center"/>
          </w:tcPr>
          <w:p w14:paraId="583EF89C">
            <w:pPr>
              <w:jc w:val="center"/>
              <w:rPr>
                <w:rFonts w:eastAsia="楷体_GB2312"/>
                <w:kern w:val="0"/>
                <w:szCs w:val="21"/>
              </w:rPr>
            </w:pPr>
            <w:r>
              <w:rPr>
                <w:rFonts w:eastAsia="楷体_GB2312"/>
                <w:kern w:val="0"/>
                <w:szCs w:val="21"/>
              </w:rPr>
              <w:t>大营镇</w:t>
            </w:r>
          </w:p>
        </w:tc>
        <w:tc>
          <w:tcPr>
            <w:tcW w:w="1472" w:type="dxa"/>
            <w:noWrap w:val="0"/>
            <w:vAlign w:val="center"/>
          </w:tcPr>
          <w:p w14:paraId="44006E38">
            <w:pPr>
              <w:jc w:val="center"/>
              <w:rPr>
                <w:rFonts w:eastAsia="楷体_GB2312"/>
                <w:kern w:val="0"/>
                <w:szCs w:val="21"/>
              </w:rPr>
            </w:pPr>
            <w:r>
              <w:rPr>
                <w:rFonts w:eastAsia="楷体_GB2312"/>
                <w:kern w:val="0"/>
                <w:szCs w:val="21"/>
              </w:rPr>
              <w:t>1</w:t>
            </w:r>
          </w:p>
        </w:tc>
        <w:tc>
          <w:tcPr>
            <w:tcW w:w="0" w:type="auto"/>
            <w:noWrap w:val="0"/>
            <w:vAlign w:val="center"/>
          </w:tcPr>
          <w:p w14:paraId="31719C9A">
            <w:pPr>
              <w:jc w:val="center"/>
              <w:rPr>
                <w:rFonts w:eastAsia="楷体_GB2312"/>
              </w:rPr>
            </w:pPr>
            <w:r>
              <w:rPr>
                <w:rFonts w:eastAsia="楷体_GB2312"/>
                <w:kern w:val="0"/>
                <w:sz w:val="22"/>
                <w:szCs w:val="22"/>
              </w:rPr>
              <w:t>0</w:t>
            </w:r>
          </w:p>
        </w:tc>
        <w:tc>
          <w:tcPr>
            <w:tcW w:w="0" w:type="auto"/>
            <w:noWrap w:val="0"/>
            <w:vAlign w:val="center"/>
          </w:tcPr>
          <w:p w14:paraId="1505B71E">
            <w:pPr>
              <w:jc w:val="center"/>
              <w:rPr>
                <w:rFonts w:eastAsia="楷体_GB2312"/>
              </w:rPr>
            </w:pPr>
            <w:r>
              <w:rPr>
                <w:rFonts w:eastAsia="楷体_GB2312"/>
                <w:kern w:val="0"/>
                <w:sz w:val="22"/>
                <w:szCs w:val="22"/>
              </w:rPr>
              <w:t>170</w:t>
            </w:r>
          </w:p>
        </w:tc>
        <w:tc>
          <w:tcPr>
            <w:tcW w:w="0" w:type="auto"/>
            <w:noWrap w:val="0"/>
            <w:vAlign w:val="center"/>
          </w:tcPr>
          <w:p w14:paraId="562F7637">
            <w:pPr>
              <w:jc w:val="center"/>
              <w:rPr>
                <w:rFonts w:eastAsia="楷体_GB2312"/>
              </w:rPr>
            </w:pPr>
            <w:r>
              <w:rPr>
                <w:rFonts w:eastAsia="楷体_GB2312"/>
                <w:kern w:val="0"/>
                <w:sz w:val="22"/>
                <w:szCs w:val="22"/>
              </w:rPr>
              <w:t>0</w:t>
            </w:r>
          </w:p>
        </w:tc>
        <w:tc>
          <w:tcPr>
            <w:tcW w:w="0" w:type="auto"/>
            <w:noWrap w:val="0"/>
            <w:vAlign w:val="center"/>
          </w:tcPr>
          <w:p w14:paraId="2DCB3559">
            <w:pPr>
              <w:jc w:val="center"/>
              <w:rPr>
                <w:rFonts w:eastAsia="楷体_GB2312"/>
              </w:rPr>
            </w:pPr>
            <w:r>
              <w:rPr>
                <w:rFonts w:eastAsia="楷体_GB2312"/>
                <w:kern w:val="0"/>
                <w:sz w:val="22"/>
                <w:szCs w:val="22"/>
              </w:rPr>
              <w:t>155</w:t>
            </w:r>
          </w:p>
        </w:tc>
        <w:tc>
          <w:tcPr>
            <w:tcW w:w="0" w:type="auto"/>
            <w:noWrap w:val="0"/>
            <w:vAlign w:val="center"/>
          </w:tcPr>
          <w:p w14:paraId="1FEBFCAA">
            <w:pPr>
              <w:jc w:val="center"/>
              <w:rPr>
                <w:rFonts w:eastAsia="楷体_GB2312"/>
                <w:kern w:val="0"/>
                <w:sz w:val="22"/>
                <w:szCs w:val="22"/>
              </w:rPr>
            </w:pPr>
            <w:r>
              <w:rPr>
                <w:rFonts w:eastAsia="楷体_GB2312"/>
                <w:kern w:val="0"/>
                <w:sz w:val="22"/>
                <w:szCs w:val="22"/>
              </w:rPr>
              <w:t>1</w:t>
            </w:r>
          </w:p>
        </w:tc>
        <w:tc>
          <w:tcPr>
            <w:tcW w:w="0" w:type="auto"/>
            <w:noWrap w:val="0"/>
            <w:vAlign w:val="center"/>
          </w:tcPr>
          <w:p w14:paraId="26E2655C">
            <w:pPr>
              <w:jc w:val="center"/>
              <w:rPr>
                <w:rFonts w:eastAsia="楷体_GB2312"/>
              </w:rPr>
            </w:pPr>
            <w:r>
              <w:rPr>
                <w:rFonts w:eastAsia="楷体_GB2312"/>
                <w:kern w:val="0"/>
                <w:sz w:val="22"/>
                <w:szCs w:val="22"/>
              </w:rPr>
              <w:t>144</w:t>
            </w:r>
          </w:p>
        </w:tc>
      </w:tr>
      <w:tr w14:paraId="5148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158DDCF5">
            <w:pPr>
              <w:jc w:val="center"/>
              <w:rPr>
                <w:rFonts w:eastAsia="楷体_GB2312"/>
                <w:kern w:val="0"/>
                <w:sz w:val="22"/>
                <w:szCs w:val="22"/>
              </w:rPr>
            </w:pPr>
            <w:r>
              <w:rPr>
                <w:rFonts w:eastAsia="楷体_GB2312"/>
                <w:kern w:val="0"/>
                <w:sz w:val="22"/>
                <w:szCs w:val="22"/>
              </w:rPr>
              <w:t>13</w:t>
            </w:r>
          </w:p>
        </w:tc>
        <w:tc>
          <w:tcPr>
            <w:tcW w:w="1303" w:type="dxa"/>
            <w:noWrap w:val="0"/>
            <w:vAlign w:val="center"/>
          </w:tcPr>
          <w:p w14:paraId="2A039923">
            <w:pPr>
              <w:jc w:val="center"/>
              <w:rPr>
                <w:rFonts w:eastAsia="楷体_GB2312"/>
                <w:kern w:val="0"/>
                <w:szCs w:val="21"/>
              </w:rPr>
            </w:pPr>
            <w:r>
              <w:rPr>
                <w:rFonts w:eastAsia="楷体_GB2312"/>
                <w:kern w:val="0"/>
                <w:szCs w:val="21"/>
              </w:rPr>
              <w:t>褚兰镇</w:t>
            </w:r>
          </w:p>
        </w:tc>
        <w:tc>
          <w:tcPr>
            <w:tcW w:w="1472" w:type="dxa"/>
            <w:noWrap w:val="0"/>
            <w:vAlign w:val="center"/>
          </w:tcPr>
          <w:p w14:paraId="0B7CDEA8">
            <w:pPr>
              <w:jc w:val="center"/>
              <w:rPr>
                <w:rFonts w:eastAsia="楷体_GB2312"/>
                <w:kern w:val="0"/>
                <w:szCs w:val="21"/>
              </w:rPr>
            </w:pPr>
            <w:r>
              <w:rPr>
                <w:rFonts w:eastAsia="楷体_GB2312"/>
                <w:kern w:val="0"/>
                <w:szCs w:val="21"/>
              </w:rPr>
              <w:t>0</w:t>
            </w:r>
          </w:p>
        </w:tc>
        <w:tc>
          <w:tcPr>
            <w:tcW w:w="0" w:type="auto"/>
            <w:noWrap w:val="0"/>
            <w:vAlign w:val="center"/>
          </w:tcPr>
          <w:p w14:paraId="206D322D">
            <w:pPr>
              <w:jc w:val="center"/>
              <w:rPr>
                <w:rFonts w:eastAsia="楷体_GB2312"/>
              </w:rPr>
            </w:pPr>
            <w:r>
              <w:rPr>
                <w:rFonts w:eastAsia="楷体_GB2312"/>
                <w:kern w:val="0"/>
                <w:sz w:val="22"/>
                <w:szCs w:val="22"/>
              </w:rPr>
              <w:t>0</w:t>
            </w:r>
          </w:p>
        </w:tc>
        <w:tc>
          <w:tcPr>
            <w:tcW w:w="0" w:type="auto"/>
            <w:noWrap w:val="0"/>
            <w:vAlign w:val="center"/>
          </w:tcPr>
          <w:p w14:paraId="5A7637FA">
            <w:pPr>
              <w:jc w:val="center"/>
              <w:rPr>
                <w:rFonts w:eastAsia="楷体_GB2312"/>
              </w:rPr>
            </w:pPr>
            <w:r>
              <w:rPr>
                <w:rFonts w:eastAsia="楷体_GB2312"/>
                <w:kern w:val="0"/>
                <w:sz w:val="22"/>
                <w:szCs w:val="22"/>
              </w:rPr>
              <w:t>170</w:t>
            </w:r>
          </w:p>
        </w:tc>
        <w:tc>
          <w:tcPr>
            <w:tcW w:w="0" w:type="auto"/>
            <w:noWrap w:val="0"/>
            <w:vAlign w:val="center"/>
          </w:tcPr>
          <w:p w14:paraId="39C4071C">
            <w:pPr>
              <w:jc w:val="center"/>
              <w:rPr>
                <w:rFonts w:eastAsia="楷体_GB2312"/>
              </w:rPr>
            </w:pPr>
            <w:r>
              <w:rPr>
                <w:rFonts w:eastAsia="楷体_GB2312"/>
                <w:kern w:val="0"/>
                <w:sz w:val="22"/>
                <w:szCs w:val="22"/>
              </w:rPr>
              <w:t>0</w:t>
            </w:r>
          </w:p>
        </w:tc>
        <w:tc>
          <w:tcPr>
            <w:tcW w:w="0" w:type="auto"/>
            <w:noWrap w:val="0"/>
            <w:vAlign w:val="center"/>
          </w:tcPr>
          <w:p w14:paraId="2B9D579A">
            <w:pPr>
              <w:jc w:val="center"/>
              <w:rPr>
                <w:rFonts w:eastAsia="楷体_GB2312"/>
              </w:rPr>
            </w:pPr>
            <w:r>
              <w:rPr>
                <w:rFonts w:eastAsia="楷体_GB2312"/>
                <w:kern w:val="0"/>
                <w:sz w:val="22"/>
                <w:szCs w:val="22"/>
              </w:rPr>
              <w:t>155</w:t>
            </w:r>
          </w:p>
        </w:tc>
        <w:tc>
          <w:tcPr>
            <w:tcW w:w="0" w:type="auto"/>
            <w:noWrap w:val="0"/>
            <w:vAlign w:val="center"/>
          </w:tcPr>
          <w:p w14:paraId="1637CA8D">
            <w:pPr>
              <w:jc w:val="center"/>
              <w:rPr>
                <w:rFonts w:eastAsia="楷体_GB2312"/>
              </w:rPr>
            </w:pPr>
            <w:r>
              <w:rPr>
                <w:rFonts w:eastAsia="楷体_GB2312"/>
                <w:kern w:val="0"/>
                <w:sz w:val="22"/>
                <w:szCs w:val="22"/>
              </w:rPr>
              <w:t>0</w:t>
            </w:r>
          </w:p>
        </w:tc>
        <w:tc>
          <w:tcPr>
            <w:tcW w:w="0" w:type="auto"/>
            <w:noWrap w:val="0"/>
            <w:vAlign w:val="center"/>
          </w:tcPr>
          <w:p w14:paraId="46546C61">
            <w:pPr>
              <w:jc w:val="center"/>
              <w:rPr>
                <w:rFonts w:eastAsia="楷体_GB2312"/>
              </w:rPr>
            </w:pPr>
            <w:r>
              <w:rPr>
                <w:rFonts w:eastAsia="楷体_GB2312"/>
                <w:kern w:val="0"/>
                <w:sz w:val="22"/>
                <w:szCs w:val="22"/>
              </w:rPr>
              <w:t>144</w:t>
            </w:r>
          </w:p>
        </w:tc>
      </w:tr>
      <w:tr w14:paraId="600F9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20580AB5">
            <w:pPr>
              <w:jc w:val="center"/>
              <w:rPr>
                <w:rFonts w:eastAsia="楷体_GB2312"/>
                <w:kern w:val="0"/>
                <w:sz w:val="22"/>
                <w:szCs w:val="22"/>
              </w:rPr>
            </w:pPr>
            <w:r>
              <w:rPr>
                <w:rFonts w:eastAsia="楷体_GB2312"/>
                <w:kern w:val="0"/>
                <w:sz w:val="22"/>
                <w:szCs w:val="22"/>
              </w:rPr>
              <w:t>14</w:t>
            </w:r>
          </w:p>
        </w:tc>
        <w:tc>
          <w:tcPr>
            <w:tcW w:w="1303" w:type="dxa"/>
            <w:noWrap w:val="0"/>
            <w:vAlign w:val="center"/>
          </w:tcPr>
          <w:p w14:paraId="59FC26DD">
            <w:pPr>
              <w:jc w:val="center"/>
              <w:rPr>
                <w:rFonts w:eastAsia="楷体_GB2312"/>
                <w:kern w:val="0"/>
                <w:szCs w:val="21"/>
              </w:rPr>
            </w:pPr>
            <w:r>
              <w:rPr>
                <w:rFonts w:eastAsia="楷体_GB2312"/>
                <w:kern w:val="0"/>
                <w:szCs w:val="21"/>
              </w:rPr>
              <w:t>顺河镇</w:t>
            </w:r>
          </w:p>
        </w:tc>
        <w:tc>
          <w:tcPr>
            <w:tcW w:w="1472" w:type="dxa"/>
            <w:noWrap w:val="0"/>
            <w:vAlign w:val="center"/>
          </w:tcPr>
          <w:p w14:paraId="6AFEC593">
            <w:pPr>
              <w:jc w:val="center"/>
              <w:rPr>
                <w:rFonts w:eastAsia="楷体_GB2312"/>
                <w:kern w:val="0"/>
                <w:szCs w:val="21"/>
              </w:rPr>
            </w:pPr>
            <w:r>
              <w:rPr>
                <w:rFonts w:eastAsia="楷体_GB2312"/>
                <w:kern w:val="0"/>
                <w:szCs w:val="21"/>
              </w:rPr>
              <w:t>0</w:t>
            </w:r>
          </w:p>
        </w:tc>
        <w:tc>
          <w:tcPr>
            <w:tcW w:w="0" w:type="auto"/>
            <w:noWrap w:val="0"/>
            <w:vAlign w:val="center"/>
          </w:tcPr>
          <w:p w14:paraId="0FB5B557">
            <w:pPr>
              <w:jc w:val="center"/>
              <w:rPr>
                <w:rFonts w:eastAsia="楷体_GB2312"/>
              </w:rPr>
            </w:pPr>
            <w:r>
              <w:rPr>
                <w:rFonts w:eastAsia="楷体_GB2312"/>
                <w:kern w:val="0"/>
                <w:sz w:val="22"/>
                <w:szCs w:val="22"/>
              </w:rPr>
              <w:t>0</w:t>
            </w:r>
          </w:p>
        </w:tc>
        <w:tc>
          <w:tcPr>
            <w:tcW w:w="0" w:type="auto"/>
            <w:noWrap w:val="0"/>
            <w:vAlign w:val="center"/>
          </w:tcPr>
          <w:p w14:paraId="6EDB8DED">
            <w:pPr>
              <w:jc w:val="center"/>
              <w:rPr>
                <w:rFonts w:eastAsia="楷体_GB2312"/>
              </w:rPr>
            </w:pPr>
            <w:r>
              <w:rPr>
                <w:rFonts w:eastAsia="楷体_GB2312"/>
                <w:kern w:val="0"/>
                <w:sz w:val="22"/>
                <w:szCs w:val="22"/>
              </w:rPr>
              <w:t>170</w:t>
            </w:r>
          </w:p>
        </w:tc>
        <w:tc>
          <w:tcPr>
            <w:tcW w:w="0" w:type="auto"/>
            <w:noWrap w:val="0"/>
            <w:vAlign w:val="center"/>
          </w:tcPr>
          <w:p w14:paraId="6934AF4C">
            <w:pPr>
              <w:jc w:val="center"/>
              <w:rPr>
                <w:rFonts w:eastAsia="楷体_GB2312"/>
              </w:rPr>
            </w:pPr>
            <w:r>
              <w:rPr>
                <w:rFonts w:eastAsia="楷体_GB2312"/>
                <w:kern w:val="0"/>
                <w:sz w:val="22"/>
                <w:szCs w:val="22"/>
              </w:rPr>
              <w:t>0</w:t>
            </w:r>
          </w:p>
        </w:tc>
        <w:tc>
          <w:tcPr>
            <w:tcW w:w="0" w:type="auto"/>
            <w:noWrap w:val="0"/>
            <w:vAlign w:val="center"/>
          </w:tcPr>
          <w:p w14:paraId="20413DA9">
            <w:pPr>
              <w:jc w:val="center"/>
              <w:rPr>
                <w:rFonts w:eastAsia="楷体_GB2312"/>
              </w:rPr>
            </w:pPr>
            <w:r>
              <w:rPr>
                <w:rFonts w:eastAsia="楷体_GB2312"/>
                <w:kern w:val="0"/>
                <w:sz w:val="22"/>
                <w:szCs w:val="22"/>
              </w:rPr>
              <w:t>155</w:t>
            </w:r>
          </w:p>
        </w:tc>
        <w:tc>
          <w:tcPr>
            <w:tcW w:w="0" w:type="auto"/>
            <w:noWrap w:val="0"/>
            <w:vAlign w:val="center"/>
          </w:tcPr>
          <w:p w14:paraId="4FA66FDB">
            <w:pPr>
              <w:jc w:val="center"/>
              <w:rPr>
                <w:rFonts w:eastAsia="楷体_GB2312"/>
              </w:rPr>
            </w:pPr>
            <w:r>
              <w:rPr>
                <w:rFonts w:eastAsia="楷体_GB2312"/>
                <w:kern w:val="0"/>
                <w:sz w:val="22"/>
                <w:szCs w:val="22"/>
              </w:rPr>
              <w:t>0</w:t>
            </w:r>
          </w:p>
        </w:tc>
        <w:tc>
          <w:tcPr>
            <w:tcW w:w="0" w:type="auto"/>
            <w:noWrap w:val="0"/>
            <w:vAlign w:val="center"/>
          </w:tcPr>
          <w:p w14:paraId="4844FCF6">
            <w:pPr>
              <w:jc w:val="center"/>
              <w:rPr>
                <w:rFonts w:eastAsia="楷体_GB2312"/>
              </w:rPr>
            </w:pPr>
            <w:r>
              <w:rPr>
                <w:rFonts w:eastAsia="楷体_GB2312"/>
                <w:kern w:val="0"/>
                <w:sz w:val="22"/>
                <w:szCs w:val="22"/>
              </w:rPr>
              <w:t>144</w:t>
            </w:r>
          </w:p>
        </w:tc>
      </w:tr>
      <w:tr w14:paraId="5AEA9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0E248B1A">
            <w:pPr>
              <w:jc w:val="center"/>
              <w:rPr>
                <w:rFonts w:eastAsia="楷体_GB2312"/>
                <w:kern w:val="0"/>
                <w:sz w:val="22"/>
                <w:szCs w:val="22"/>
              </w:rPr>
            </w:pPr>
            <w:r>
              <w:rPr>
                <w:rFonts w:eastAsia="楷体_GB2312"/>
                <w:kern w:val="0"/>
                <w:sz w:val="22"/>
                <w:szCs w:val="22"/>
              </w:rPr>
              <w:t>15</w:t>
            </w:r>
          </w:p>
        </w:tc>
        <w:tc>
          <w:tcPr>
            <w:tcW w:w="1303" w:type="dxa"/>
            <w:noWrap w:val="0"/>
            <w:vAlign w:val="center"/>
          </w:tcPr>
          <w:p w14:paraId="4996F23C">
            <w:pPr>
              <w:jc w:val="center"/>
              <w:rPr>
                <w:rFonts w:eastAsia="楷体_GB2312"/>
                <w:kern w:val="0"/>
                <w:szCs w:val="21"/>
              </w:rPr>
            </w:pPr>
            <w:r>
              <w:rPr>
                <w:rFonts w:eastAsia="楷体_GB2312"/>
                <w:kern w:val="0"/>
                <w:szCs w:val="21"/>
              </w:rPr>
              <w:t>杨庄镇</w:t>
            </w:r>
          </w:p>
        </w:tc>
        <w:tc>
          <w:tcPr>
            <w:tcW w:w="1472" w:type="dxa"/>
            <w:noWrap w:val="0"/>
            <w:vAlign w:val="center"/>
          </w:tcPr>
          <w:p w14:paraId="1E9FBF96">
            <w:pPr>
              <w:jc w:val="center"/>
              <w:rPr>
                <w:rFonts w:eastAsia="楷体_GB2312"/>
                <w:kern w:val="0"/>
                <w:szCs w:val="21"/>
              </w:rPr>
            </w:pPr>
            <w:r>
              <w:rPr>
                <w:rFonts w:eastAsia="楷体_GB2312"/>
                <w:kern w:val="0"/>
                <w:szCs w:val="21"/>
              </w:rPr>
              <w:t>0</w:t>
            </w:r>
          </w:p>
        </w:tc>
        <w:tc>
          <w:tcPr>
            <w:tcW w:w="0" w:type="auto"/>
            <w:noWrap w:val="0"/>
            <w:vAlign w:val="center"/>
          </w:tcPr>
          <w:p w14:paraId="4693D983">
            <w:pPr>
              <w:jc w:val="center"/>
              <w:rPr>
                <w:rFonts w:eastAsia="楷体_GB2312"/>
              </w:rPr>
            </w:pPr>
            <w:r>
              <w:rPr>
                <w:rFonts w:eastAsia="楷体_GB2312"/>
                <w:kern w:val="0"/>
                <w:sz w:val="22"/>
                <w:szCs w:val="22"/>
              </w:rPr>
              <w:t>0</w:t>
            </w:r>
          </w:p>
        </w:tc>
        <w:tc>
          <w:tcPr>
            <w:tcW w:w="0" w:type="auto"/>
            <w:noWrap w:val="0"/>
            <w:vAlign w:val="center"/>
          </w:tcPr>
          <w:p w14:paraId="77259FBA">
            <w:pPr>
              <w:jc w:val="center"/>
              <w:rPr>
                <w:rFonts w:eastAsia="楷体_GB2312"/>
              </w:rPr>
            </w:pPr>
            <w:r>
              <w:rPr>
                <w:rFonts w:eastAsia="楷体_GB2312"/>
                <w:kern w:val="0"/>
                <w:sz w:val="22"/>
                <w:szCs w:val="22"/>
              </w:rPr>
              <w:t>170</w:t>
            </w:r>
          </w:p>
        </w:tc>
        <w:tc>
          <w:tcPr>
            <w:tcW w:w="0" w:type="auto"/>
            <w:noWrap w:val="0"/>
            <w:vAlign w:val="center"/>
          </w:tcPr>
          <w:p w14:paraId="7584D6EF">
            <w:pPr>
              <w:jc w:val="center"/>
              <w:rPr>
                <w:rFonts w:eastAsia="楷体_GB2312"/>
              </w:rPr>
            </w:pPr>
            <w:r>
              <w:rPr>
                <w:rFonts w:eastAsia="楷体_GB2312"/>
                <w:kern w:val="0"/>
                <w:sz w:val="22"/>
                <w:szCs w:val="22"/>
              </w:rPr>
              <w:t>0</w:t>
            </w:r>
          </w:p>
        </w:tc>
        <w:tc>
          <w:tcPr>
            <w:tcW w:w="0" w:type="auto"/>
            <w:noWrap w:val="0"/>
            <w:vAlign w:val="center"/>
          </w:tcPr>
          <w:p w14:paraId="7EFAD5A8">
            <w:pPr>
              <w:jc w:val="center"/>
              <w:rPr>
                <w:rFonts w:eastAsia="楷体_GB2312"/>
              </w:rPr>
            </w:pPr>
            <w:r>
              <w:rPr>
                <w:rFonts w:eastAsia="楷体_GB2312"/>
                <w:kern w:val="0"/>
                <w:sz w:val="22"/>
                <w:szCs w:val="22"/>
              </w:rPr>
              <w:t>155</w:t>
            </w:r>
          </w:p>
        </w:tc>
        <w:tc>
          <w:tcPr>
            <w:tcW w:w="0" w:type="auto"/>
            <w:noWrap w:val="0"/>
            <w:vAlign w:val="center"/>
          </w:tcPr>
          <w:p w14:paraId="65C7AB15">
            <w:pPr>
              <w:jc w:val="center"/>
              <w:rPr>
                <w:rFonts w:eastAsia="楷体_GB2312"/>
              </w:rPr>
            </w:pPr>
            <w:r>
              <w:rPr>
                <w:rFonts w:eastAsia="楷体_GB2312"/>
                <w:kern w:val="0"/>
                <w:sz w:val="22"/>
                <w:szCs w:val="22"/>
              </w:rPr>
              <w:t>0</w:t>
            </w:r>
          </w:p>
        </w:tc>
        <w:tc>
          <w:tcPr>
            <w:tcW w:w="0" w:type="auto"/>
            <w:noWrap w:val="0"/>
            <w:vAlign w:val="center"/>
          </w:tcPr>
          <w:p w14:paraId="6444D6B6">
            <w:pPr>
              <w:jc w:val="center"/>
              <w:rPr>
                <w:rFonts w:eastAsia="楷体_GB2312"/>
              </w:rPr>
            </w:pPr>
            <w:r>
              <w:rPr>
                <w:rFonts w:eastAsia="楷体_GB2312"/>
                <w:kern w:val="0"/>
                <w:sz w:val="22"/>
                <w:szCs w:val="22"/>
              </w:rPr>
              <w:t>144</w:t>
            </w:r>
          </w:p>
        </w:tc>
      </w:tr>
      <w:tr w14:paraId="0090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7CA55F44">
            <w:pPr>
              <w:jc w:val="center"/>
              <w:rPr>
                <w:rFonts w:eastAsia="楷体_GB2312"/>
                <w:kern w:val="0"/>
                <w:sz w:val="22"/>
                <w:szCs w:val="22"/>
              </w:rPr>
            </w:pPr>
            <w:r>
              <w:rPr>
                <w:rFonts w:eastAsia="楷体_GB2312"/>
                <w:kern w:val="0"/>
                <w:sz w:val="22"/>
                <w:szCs w:val="22"/>
              </w:rPr>
              <w:t>16</w:t>
            </w:r>
          </w:p>
        </w:tc>
        <w:tc>
          <w:tcPr>
            <w:tcW w:w="1303" w:type="dxa"/>
            <w:noWrap w:val="0"/>
            <w:vAlign w:val="center"/>
          </w:tcPr>
          <w:p w14:paraId="59D44EF5">
            <w:pPr>
              <w:jc w:val="center"/>
              <w:rPr>
                <w:rFonts w:eastAsia="楷体_GB2312"/>
                <w:kern w:val="0"/>
                <w:szCs w:val="21"/>
              </w:rPr>
            </w:pPr>
            <w:r>
              <w:rPr>
                <w:rFonts w:eastAsia="楷体_GB2312"/>
                <w:kern w:val="0"/>
                <w:szCs w:val="21"/>
              </w:rPr>
              <w:t>永镇乡</w:t>
            </w:r>
          </w:p>
        </w:tc>
        <w:tc>
          <w:tcPr>
            <w:tcW w:w="1472" w:type="dxa"/>
            <w:noWrap w:val="0"/>
            <w:vAlign w:val="center"/>
          </w:tcPr>
          <w:p w14:paraId="0ACFF3E8">
            <w:pPr>
              <w:jc w:val="center"/>
              <w:rPr>
                <w:rFonts w:eastAsia="楷体_GB2312"/>
                <w:kern w:val="0"/>
                <w:szCs w:val="21"/>
              </w:rPr>
            </w:pPr>
            <w:r>
              <w:rPr>
                <w:rFonts w:eastAsia="楷体_GB2312"/>
                <w:kern w:val="0"/>
                <w:szCs w:val="21"/>
              </w:rPr>
              <w:t>0</w:t>
            </w:r>
          </w:p>
        </w:tc>
        <w:tc>
          <w:tcPr>
            <w:tcW w:w="0" w:type="auto"/>
            <w:noWrap w:val="0"/>
            <w:vAlign w:val="center"/>
          </w:tcPr>
          <w:p w14:paraId="102A11F9">
            <w:pPr>
              <w:jc w:val="center"/>
              <w:rPr>
                <w:rFonts w:eastAsia="楷体_GB2312"/>
              </w:rPr>
            </w:pPr>
            <w:r>
              <w:rPr>
                <w:rFonts w:eastAsia="楷体_GB2312"/>
                <w:kern w:val="0"/>
                <w:sz w:val="22"/>
                <w:szCs w:val="22"/>
              </w:rPr>
              <w:t>0</w:t>
            </w:r>
          </w:p>
        </w:tc>
        <w:tc>
          <w:tcPr>
            <w:tcW w:w="0" w:type="auto"/>
            <w:noWrap w:val="0"/>
            <w:vAlign w:val="center"/>
          </w:tcPr>
          <w:p w14:paraId="750B4541">
            <w:pPr>
              <w:jc w:val="center"/>
              <w:rPr>
                <w:rFonts w:eastAsia="楷体_GB2312"/>
              </w:rPr>
            </w:pPr>
            <w:r>
              <w:rPr>
                <w:rFonts w:eastAsia="楷体_GB2312"/>
                <w:kern w:val="0"/>
                <w:sz w:val="22"/>
                <w:szCs w:val="22"/>
              </w:rPr>
              <w:t>170</w:t>
            </w:r>
          </w:p>
        </w:tc>
        <w:tc>
          <w:tcPr>
            <w:tcW w:w="0" w:type="auto"/>
            <w:noWrap w:val="0"/>
            <w:vAlign w:val="center"/>
          </w:tcPr>
          <w:p w14:paraId="1A1551E9">
            <w:pPr>
              <w:jc w:val="center"/>
              <w:rPr>
                <w:rFonts w:eastAsia="楷体_GB2312"/>
              </w:rPr>
            </w:pPr>
            <w:r>
              <w:rPr>
                <w:rFonts w:eastAsia="楷体_GB2312"/>
                <w:kern w:val="0"/>
                <w:sz w:val="22"/>
                <w:szCs w:val="22"/>
              </w:rPr>
              <w:t>0</w:t>
            </w:r>
          </w:p>
        </w:tc>
        <w:tc>
          <w:tcPr>
            <w:tcW w:w="0" w:type="auto"/>
            <w:noWrap w:val="0"/>
            <w:vAlign w:val="center"/>
          </w:tcPr>
          <w:p w14:paraId="11B54AA8">
            <w:pPr>
              <w:jc w:val="center"/>
              <w:rPr>
                <w:rFonts w:eastAsia="楷体_GB2312"/>
              </w:rPr>
            </w:pPr>
            <w:r>
              <w:rPr>
                <w:rFonts w:eastAsia="楷体_GB2312"/>
                <w:kern w:val="0"/>
                <w:sz w:val="22"/>
                <w:szCs w:val="22"/>
              </w:rPr>
              <w:t>155</w:t>
            </w:r>
          </w:p>
        </w:tc>
        <w:tc>
          <w:tcPr>
            <w:tcW w:w="0" w:type="auto"/>
            <w:noWrap w:val="0"/>
            <w:vAlign w:val="center"/>
          </w:tcPr>
          <w:p w14:paraId="5105C83F">
            <w:pPr>
              <w:jc w:val="center"/>
              <w:rPr>
                <w:rFonts w:eastAsia="楷体_GB2312"/>
              </w:rPr>
            </w:pPr>
            <w:r>
              <w:rPr>
                <w:rFonts w:eastAsia="楷体_GB2312"/>
                <w:kern w:val="0"/>
                <w:sz w:val="22"/>
                <w:szCs w:val="22"/>
              </w:rPr>
              <w:t>0</w:t>
            </w:r>
          </w:p>
        </w:tc>
        <w:tc>
          <w:tcPr>
            <w:tcW w:w="0" w:type="auto"/>
            <w:noWrap w:val="0"/>
            <w:vAlign w:val="center"/>
          </w:tcPr>
          <w:p w14:paraId="27AC48F8">
            <w:pPr>
              <w:jc w:val="center"/>
              <w:rPr>
                <w:rFonts w:eastAsia="楷体_GB2312"/>
              </w:rPr>
            </w:pPr>
            <w:r>
              <w:rPr>
                <w:rFonts w:eastAsia="楷体_GB2312"/>
                <w:kern w:val="0"/>
                <w:sz w:val="22"/>
                <w:szCs w:val="22"/>
              </w:rPr>
              <w:t>144</w:t>
            </w:r>
          </w:p>
        </w:tc>
      </w:tr>
      <w:tr w14:paraId="377A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151A1B27">
            <w:pPr>
              <w:jc w:val="center"/>
              <w:rPr>
                <w:rFonts w:eastAsia="楷体_GB2312"/>
                <w:kern w:val="0"/>
                <w:sz w:val="22"/>
                <w:szCs w:val="22"/>
              </w:rPr>
            </w:pPr>
            <w:r>
              <w:rPr>
                <w:rFonts w:eastAsia="楷体_GB2312"/>
                <w:kern w:val="0"/>
                <w:sz w:val="22"/>
                <w:szCs w:val="22"/>
              </w:rPr>
              <w:t>17</w:t>
            </w:r>
          </w:p>
        </w:tc>
        <w:tc>
          <w:tcPr>
            <w:tcW w:w="1303" w:type="dxa"/>
            <w:noWrap w:val="0"/>
            <w:vAlign w:val="center"/>
          </w:tcPr>
          <w:p w14:paraId="2EB6E74A">
            <w:pPr>
              <w:jc w:val="center"/>
              <w:rPr>
                <w:rFonts w:eastAsia="楷体_GB2312"/>
                <w:kern w:val="0"/>
                <w:szCs w:val="21"/>
              </w:rPr>
            </w:pPr>
            <w:r>
              <w:rPr>
                <w:rFonts w:eastAsia="楷体_GB2312"/>
                <w:kern w:val="0"/>
                <w:szCs w:val="21"/>
              </w:rPr>
              <w:t>解集镇</w:t>
            </w:r>
          </w:p>
        </w:tc>
        <w:tc>
          <w:tcPr>
            <w:tcW w:w="1472" w:type="dxa"/>
            <w:noWrap w:val="0"/>
            <w:vAlign w:val="center"/>
          </w:tcPr>
          <w:p w14:paraId="4BD78F82">
            <w:pPr>
              <w:jc w:val="center"/>
              <w:rPr>
                <w:rFonts w:eastAsia="楷体_GB2312"/>
                <w:kern w:val="0"/>
                <w:szCs w:val="21"/>
              </w:rPr>
            </w:pPr>
            <w:r>
              <w:rPr>
                <w:rFonts w:eastAsia="楷体_GB2312"/>
                <w:kern w:val="0"/>
                <w:szCs w:val="21"/>
              </w:rPr>
              <w:t>0</w:t>
            </w:r>
          </w:p>
        </w:tc>
        <w:tc>
          <w:tcPr>
            <w:tcW w:w="0" w:type="auto"/>
            <w:noWrap w:val="0"/>
            <w:vAlign w:val="center"/>
          </w:tcPr>
          <w:p w14:paraId="51023B5A">
            <w:pPr>
              <w:jc w:val="center"/>
              <w:rPr>
                <w:rFonts w:eastAsia="楷体_GB2312"/>
              </w:rPr>
            </w:pPr>
            <w:r>
              <w:rPr>
                <w:rFonts w:eastAsia="楷体_GB2312"/>
                <w:kern w:val="0"/>
                <w:sz w:val="22"/>
                <w:szCs w:val="22"/>
              </w:rPr>
              <w:t>0</w:t>
            </w:r>
          </w:p>
        </w:tc>
        <w:tc>
          <w:tcPr>
            <w:tcW w:w="0" w:type="auto"/>
            <w:noWrap w:val="0"/>
            <w:vAlign w:val="center"/>
          </w:tcPr>
          <w:p w14:paraId="5F286BB3">
            <w:pPr>
              <w:jc w:val="center"/>
              <w:rPr>
                <w:rFonts w:eastAsia="楷体_GB2312"/>
              </w:rPr>
            </w:pPr>
            <w:r>
              <w:rPr>
                <w:rFonts w:eastAsia="楷体_GB2312"/>
                <w:kern w:val="0"/>
                <w:sz w:val="22"/>
                <w:szCs w:val="22"/>
              </w:rPr>
              <w:t>170</w:t>
            </w:r>
          </w:p>
        </w:tc>
        <w:tc>
          <w:tcPr>
            <w:tcW w:w="0" w:type="auto"/>
            <w:noWrap w:val="0"/>
            <w:vAlign w:val="center"/>
          </w:tcPr>
          <w:p w14:paraId="0D2CBB81">
            <w:pPr>
              <w:jc w:val="center"/>
              <w:rPr>
                <w:rFonts w:eastAsia="楷体_GB2312"/>
              </w:rPr>
            </w:pPr>
            <w:r>
              <w:rPr>
                <w:rFonts w:eastAsia="楷体_GB2312"/>
                <w:kern w:val="0"/>
                <w:sz w:val="22"/>
                <w:szCs w:val="22"/>
              </w:rPr>
              <w:t>0</w:t>
            </w:r>
          </w:p>
        </w:tc>
        <w:tc>
          <w:tcPr>
            <w:tcW w:w="0" w:type="auto"/>
            <w:noWrap w:val="0"/>
            <w:vAlign w:val="center"/>
          </w:tcPr>
          <w:p w14:paraId="61C0A97C">
            <w:pPr>
              <w:jc w:val="center"/>
              <w:rPr>
                <w:rFonts w:eastAsia="楷体_GB2312"/>
              </w:rPr>
            </w:pPr>
            <w:r>
              <w:rPr>
                <w:rFonts w:eastAsia="楷体_GB2312"/>
                <w:kern w:val="0"/>
                <w:sz w:val="22"/>
                <w:szCs w:val="22"/>
              </w:rPr>
              <w:t>155</w:t>
            </w:r>
          </w:p>
        </w:tc>
        <w:tc>
          <w:tcPr>
            <w:tcW w:w="0" w:type="auto"/>
            <w:noWrap w:val="0"/>
            <w:vAlign w:val="center"/>
          </w:tcPr>
          <w:p w14:paraId="6E0A3A71">
            <w:pPr>
              <w:jc w:val="center"/>
              <w:rPr>
                <w:rFonts w:eastAsia="楷体_GB2312"/>
                <w:kern w:val="0"/>
                <w:sz w:val="22"/>
                <w:szCs w:val="22"/>
              </w:rPr>
            </w:pPr>
            <w:r>
              <w:rPr>
                <w:rFonts w:eastAsia="楷体_GB2312"/>
                <w:kern w:val="0"/>
                <w:sz w:val="22"/>
                <w:szCs w:val="22"/>
              </w:rPr>
              <w:t>0</w:t>
            </w:r>
          </w:p>
        </w:tc>
        <w:tc>
          <w:tcPr>
            <w:tcW w:w="0" w:type="auto"/>
            <w:noWrap w:val="0"/>
            <w:vAlign w:val="center"/>
          </w:tcPr>
          <w:p w14:paraId="4E88B49B">
            <w:pPr>
              <w:jc w:val="center"/>
              <w:rPr>
                <w:rFonts w:eastAsia="楷体_GB2312"/>
              </w:rPr>
            </w:pPr>
            <w:r>
              <w:rPr>
                <w:rFonts w:eastAsia="楷体_GB2312"/>
                <w:kern w:val="0"/>
                <w:sz w:val="22"/>
                <w:szCs w:val="22"/>
              </w:rPr>
              <w:t>144</w:t>
            </w:r>
          </w:p>
        </w:tc>
      </w:tr>
      <w:tr w14:paraId="1F06E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64AFF101">
            <w:pPr>
              <w:jc w:val="center"/>
              <w:rPr>
                <w:rFonts w:eastAsia="楷体_GB2312"/>
                <w:kern w:val="0"/>
                <w:sz w:val="22"/>
                <w:szCs w:val="22"/>
              </w:rPr>
            </w:pPr>
            <w:r>
              <w:rPr>
                <w:rFonts w:eastAsia="楷体_GB2312"/>
                <w:kern w:val="0"/>
                <w:sz w:val="22"/>
                <w:szCs w:val="22"/>
              </w:rPr>
              <w:t>18</w:t>
            </w:r>
          </w:p>
        </w:tc>
        <w:tc>
          <w:tcPr>
            <w:tcW w:w="1303" w:type="dxa"/>
            <w:noWrap w:val="0"/>
            <w:vAlign w:val="center"/>
          </w:tcPr>
          <w:p w14:paraId="22B4DB4C">
            <w:pPr>
              <w:jc w:val="center"/>
              <w:rPr>
                <w:rFonts w:eastAsia="楷体_GB2312"/>
                <w:kern w:val="0"/>
                <w:szCs w:val="21"/>
              </w:rPr>
            </w:pPr>
            <w:r>
              <w:rPr>
                <w:rFonts w:eastAsia="楷体_GB2312"/>
                <w:kern w:val="0"/>
                <w:szCs w:val="21"/>
              </w:rPr>
              <w:t>大泽乡镇</w:t>
            </w:r>
          </w:p>
        </w:tc>
        <w:tc>
          <w:tcPr>
            <w:tcW w:w="1472" w:type="dxa"/>
            <w:noWrap w:val="0"/>
            <w:vAlign w:val="center"/>
          </w:tcPr>
          <w:p w14:paraId="5A03A53E">
            <w:pPr>
              <w:jc w:val="center"/>
              <w:rPr>
                <w:rFonts w:eastAsia="楷体_GB2312"/>
                <w:kern w:val="0"/>
                <w:szCs w:val="21"/>
              </w:rPr>
            </w:pPr>
            <w:r>
              <w:rPr>
                <w:rFonts w:eastAsia="楷体_GB2312"/>
                <w:kern w:val="0"/>
                <w:szCs w:val="21"/>
              </w:rPr>
              <w:t>1</w:t>
            </w:r>
          </w:p>
        </w:tc>
        <w:tc>
          <w:tcPr>
            <w:tcW w:w="0" w:type="auto"/>
            <w:noWrap w:val="0"/>
            <w:vAlign w:val="center"/>
          </w:tcPr>
          <w:p w14:paraId="16379366">
            <w:pPr>
              <w:jc w:val="center"/>
              <w:rPr>
                <w:rFonts w:eastAsia="楷体_GB2312"/>
              </w:rPr>
            </w:pPr>
            <w:r>
              <w:rPr>
                <w:rFonts w:eastAsia="楷体_GB2312"/>
                <w:kern w:val="0"/>
                <w:sz w:val="22"/>
                <w:szCs w:val="22"/>
              </w:rPr>
              <w:t>0</w:t>
            </w:r>
          </w:p>
        </w:tc>
        <w:tc>
          <w:tcPr>
            <w:tcW w:w="0" w:type="auto"/>
            <w:noWrap w:val="0"/>
            <w:vAlign w:val="center"/>
          </w:tcPr>
          <w:p w14:paraId="32DBE54E">
            <w:pPr>
              <w:jc w:val="center"/>
              <w:rPr>
                <w:rFonts w:eastAsia="楷体_GB2312"/>
              </w:rPr>
            </w:pPr>
            <w:r>
              <w:rPr>
                <w:rFonts w:eastAsia="楷体_GB2312"/>
                <w:kern w:val="0"/>
                <w:sz w:val="22"/>
                <w:szCs w:val="22"/>
              </w:rPr>
              <w:t>170</w:t>
            </w:r>
          </w:p>
        </w:tc>
        <w:tc>
          <w:tcPr>
            <w:tcW w:w="0" w:type="auto"/>
            <w:noWrap w:val="0"/>
            <w:vAlign w:val="center"/>
          </w:tcPr>
          <w:p w14:paraId="75412428">
            <w:pPr>
              <w:jc w:val="center"/>
              <w:rPr>
                <w:rFonts w:eastAsia="楷体_GB2312"/>
              </w:rPr>
            </w:pPr>
            <w:r>
              <w:rPr>
                <w:rFonts w:eastAsia="楷体_GB2312"/>
                <w:kern w:val="0"/>
                <w:sz w:val="22"/>
                <w:szCs w:val="22"/>
              </w:rPr>
              <w:t>0</w:t>
            </w:r>
          </w:p>
        </w:tc>
        <w:tc>
          <w:tcPr>
            <w:tcW w:w="0" w:type="auto"/>
            <w:noWrap w:val="0"/>
            <w:vAlign w:val="center"/>
          </w:tcPr>
          <w:p w14:paraId="44C81792">
            <w:pPr>
              <w:jc w:val="center"/>
              <w:rPr>
                <w:rFonts w:eastAsia="楷体_GB2312"/>
              </w:rPr>
            </w:pPr>
            <w:r>
              <w:rPr>
                <w:rFonts w:eastAsia="楷体_GB2312"/>
                <w:kern w:val="0"/>
                <w:sz w:val="22"/>
                <w:szCs w:val="22"/>
              </w:rPr>
              <w:t>155</w:t>
            </w:r>
          </w:p>
        </w:tc>
        <w:tc>
          <w:tcPr>
            <w:tcW w:w="0" w:type="auto"/>
            <w:noWrap w:val="0"/>
            <w:vAlign w:val="center"/>
          </w:tcPr>
          <w:p w14:paraId="176E7E5F">
            <w:pPr>
              <w:jc w:val="center"/>
              <w:rPr>
                <w:rFonts w:eastAsia="楷体_GB2312"/>
                <w:kern w:val="0"/>
                <w:sz w:val="22"/>
                <w:szCs w:val="22"/>
              </w:rPr>
            </w:pPr>
            <w:r>
              <w:rPr>
                <w:rFonts w:eastAsia="楷体_GB2312"/>
                <w:kern w:val="0"/>
                <w:sz w:val="22"/>
                <w:szCs w:val="22"/>
              </w:rPr>
              <w:t>1</w:t>
            </w:r>
          </w:p>
        </w:tc>
        <w:tc>
          <w:tcPr>
            <w:tcW w:w="0" w:type="auto"/>
            <w:noWrap w:val="0"/>
            <w:vAlign w:val="center"/>
          </w:tcPr>
          <w:p w14:paraId="727364D9">
            <w:pPr>
              <w:jc w:val="center"/>
              <w:rPr>
                <w:rFonts w:eastAsia="楷体_GB2312"/>
              </w:rPr>
            </w:pPr>
            <w:r>
              <w:rPr>
                <w:rFonts w:eastAsia="楷体_GB2312"/>
                <w:kern w:val="0"/>
                <w:sz w:val="22"/>
                <w:szCs w:val="22"/>
              </w:rPr>
              <w:t>144</w:t>
            </w:r>
          </w:p>
        </w:tc>
      </w:tr>
      <w:tr w14:paraId="1D8CE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432D5913">
            <w:pPr>
              <w:jc w:val="center"/>
              <w:rPr>
                <w:rFonts w:eastAsia="楷体_GB2312"/>
                <w:kern w:val="0"/>
                <w:sz w:val="22"/>
                <w:szCs w:val="22"/>
              </w:rPr>
            </w:pPr>
            <w:r>
              <w:rPr>
                <w:rFonts w:eastAsia="楷体_GB2312"/>
                <w:kern w:val="0"/>
                <w:sz w:val="22"/>
                <w:szCs w:val="22"/>
              </w:rPr>
              <w:t>19</w:t>
            </w:r>
          </w:p>
        </w:tc>
        <w:tc>
          <w:tcPr>
            <w:tcW w:w="1303" w:type="dxa"/>
            <w:noWrap w:val="0"/>
            <w:vAlign w:val="center"/>
          </w:tcPr>
          <w:p w14:paraId="43F2081C">
            <w:pPr>
              <w:jc w:val="center"/>
              <w:rPr>
                <w:rFonts w:eastAsia="楷体_GB2312"/>
                <w:kern w:val="0"/>
                <w:szCs w:val="21"/>
              </w:rPr>
            </w:pPr>
            <w:r>
              <w:rPr>
                <w:rFonts w:eastAsia="楷体_GB2312"/>
                <w:kern w:val="0"/>
                <w:szCs w:val="21"/>
              </w:rPr>
              <w:t>永安镇</w:t>
            </w:r>
          </w:p>
        </w:tc>
        <w:tc>
          <w:tcPr>
            <w:tcW w:w="1472" w:type="dxa"/>
            <w:noWrap w:val="0"/>
            <w:vAlign w:val="center"/>
          </w:tcPr>
          <w:p w14:paraId="37E7187B">
            <w:pPr>
              <w:jc w:val="center"/>
              <w:rPr>
                <w:rFonts w:eastAsia="楷体_GB2312"/>
                <w:kern w:val="0"/>
                <w:szCs w:val="21"/>
              </w:rPr>
            </w:pPr>
            <w:r>
              <w:rPr>
                <w:rFonts w:eastAsia="楷体_GB2312"/>
                <w:kern w:val="0"/>
                <w:szCs w:val="21"/>
              </w:rPr>
              <w:t>0</w:t>
            </w:r>
          </w:p>
        </w:tc>
        <w:tc>
          <w:tcPr>
            <w:tcW w:w="0" w:type="auto"/>
            <w:noWrap w:val="0"/>
            <w:vAlign w:val="center"/>
          </w:tcPr>
          <w:p w14:paraId="4B63D20F">
            <w:pPr>
              <w:jc w:val="center"/>
              <w:rPr>
                <w:rFonts w:eastAsia="楷体_GB2312"/>
              </w:rPr>
            </w:pPr>
            <w:r>
              <w:rPr>
                <w:rFonts w:eastAsia="楷体_GB2312"/>
                <w:kern w:val="0"/>
                <w:sz w:val="22"/>
                <w:szCs w:val="22"/>
              </w:rPr>
              <w:t>0</w:t>
            </w:r>
          </w:p>
        </w:tc>
        <w:tc>
          <w:tcPr>
            <w:tcW w:w="0" w:type="auto"/>
            <w:noWrap w:val="0"/>
            <w:vAlign w:val="center"/>
          </w:tcPr>
          <w:p w14:paraId="1802B1C5">
            <w:pPr>
              <w:jc w:val="center"/>
              <w:rPr>
                <w:rFonts w:eastAsia="楷体_GB2312"/>
              </w:rPr>
            </w:pPr>
            <w:r>
              <w:rPr>
                <w:rFonts w:eastAsia="楷体_GB2312"/>
                <w:kern w:val="0"/>
                <w:sz w:val="22"/>
                <w:szCs w:val="22"/>
              </w:rPr>
              <w:t>170</w:t>
            </w:r>
          </w:p>
        </w:tc>
        <w:tc>
          <w:tcPr>
            <w:tcW w:w="0" w:type="auto"/>
            <w:noWrap w:val="0"/>
            <w:vAlign w:val="center"/>
          </w:tcPr>
          <w:p w14:paraId="424D08DB">
            <w:pPr>
              <w:jc w:val="center"/>
              <w:rPr>
                <w:rFonts w:eastAsia="楷体_GB2312"/>
              </w:rPr>
            </w:pPr>
            <w:r>
              <w:rPr>
                <w:rFonts w:eastAsia="楷体_GB2312"/>
                <w:kern w:val="0"/>
                <w:sz w:val="22"/>
                <w:szCs w:val="22"/>
              </w:rPr>
              <w:t>0</w:t>
            </w:r>
          </w:p>
        </w:tc>
        <w:tc>
          <w:tcPr>
            <w:tcW w:w="0" w:type="auto"/>
            <w:noWrap w:val="0"/>
            <w:vAlign w:val="center"/>
          </w:tcPr>
          <w:p w14:paraId="7554DDB1">
            <w:pPr>
              <w:jc w:val="center"/>
              <w:rPr>
                <w:rFonts w:eastAsia="楷体_GB2312"/>
              </w:rPr>
            </w:pPr>
            <w:r>
              <w:rPr>
                <w:rFonts w:eastAsia="楷体_GB2312"/>
                <w:kern w:val="0"/>
                <w:sz w:val="22"/>
                <w:szCs w:val="22"/>
              </w:rPr>
              <w:t>155</w:t>
            </w:r>
          </w:p>
        </w:tc>
        <w:tc>
          <w:tcPr>
            <w:tcW w:w="0" w:type="auto"/>
            <w:noWrap w:val="0"/>
            <w:vAlign w:val="center"/>
          </w:tcPr>
          <w:p w14:paraId="5C424D0A">
            <w:pPr>
              <w:jc w:val="center"/>
              <w:rPr>
                <w:rFonts w:eastAsia="楷体_GB2312"/>
              </w:rPr>
            </w:pPr>
            <w:r>
              <w:rPr>
                <w:rFonts w:eastAsia="楷体_GB2312"/>
                <w:kern w:val="0"/>
                <w:sz w:val="22"/>
                <w:szCs w:val="22"/>
              </w:rPr>
              <w:t>0</w:t>
            </w:r>
          </w:p>
        </w:tc>
        <w:tc>
          <w:tcPr>
            <w:tcW w:w="0" w:type="auto"/>
            <w:noWrap w:val="0"/>
            <w:vAlign w:val="center"/>
          </w:tcPr>
          <w:p w14:paraId="60A521A0">
            <w:pPr>
              <w:jc w:val="center"/>
              <w:rPr>
                <w:rFonts w:eastAsia="楷体_GB2312"/>
              </w:rPr>
            </w:pPr>
            <w:r>
              <w:rPr>
                <w:rFonts w:eastAsia="楷体_GB2312"/>
                <w:kern w:val="0"/>
                <w:sz w:val="22"/>
                <w:szCs w:val="22"/>
              </w:rPr>
              <w:t>144</w:t>
            </w:r>
          </w:p>
        </w:tc>
      </w:tr>
      <w:tr w14:paraId="088A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1664745E">
            <w:pPr>
              <w:jc w:val="center"/>
              <w:rPr>
                <w:rFonts w:eastAsia="楷体_GB2312"/>
                <w:kern w:val="0"/>
                <w:sz w:val="22"/>
                <w:szCs w:val="22"/>
              </w:rPr>
            </w:pPr>
            <w:r>
              <w:rPr>
                <w:rFonts w:eastAsia="楷体_GB2312"/>
                <w:kern w:val="0"/>
                <w:sz w:val="22"/>
                <w:szCs w:val="22"/>
              </w:rPr>
              <w:t>20</w:t>
            </w:r>
          </w:p>
        </w:tc>
        <w:tc>
          <w:tcPr>
            <w:tcW w:w="1303" w:type="dxa"/>
            <w:noWrap w:val="0"/>
            <w:vAlign w:val="center"/>
          </w:tcPr>
          <w:p w14:paraId="3274CD60">
            <w:pPr>
              <w:jc w:val="center"/>
              <w:rPr>
                <w:rFonts w:eastAsia="楷体_GB2312"/>
                <w:kern w:val="0"/>
                <w:szCs w:val="21"/>
              </w:rPr>
            </w:pPr>
            <w:r>
              <w:rPr>
                <w:rFonts w:eastAsia="楷体_GB2312"/>
                <w:kern w:val="0"/>
                <w:szCs w:val="21"/>
              </w:rPr>
              <w:t>支河乡</w:t>
            </w:r>
          </w:p>
        </w:tc>
        <w:tc>
          <w:tcPr>
            <w:tcW w:w="1472" w:type="dxa"/>
            <w:noWrap w:val="0"/>
            <w:vAlign w:val="center"/>
          </w:tcPr>
          <w:p w14:paraId="769A6543">
            <w:pPr>
              <w:jc w:val="center"/>
              <w:rPr>
                <w:rFonts w:eastAsia="楷体_GB2312"/>
                <w:kern w:val="0"/>
                <w:szCs w:val="21"/>
              </w:rPr>
            </w:pPr>
            <w:r>
              <w:rPr>
                <w:rFonts w:eastAsia="楷体_GB2312"/>
                <w:kern w:val="0"/>
                <w:szCs w:val="21"/>
              </w:rPr>
              <w:t>0</w:t>
            </w:r>
          </w:p>
        </w:tc>
        <w:tc>
          <w:tcPr>
            <w:tcW w:w="0" w:type="auto"/>
            <w:noWrap w:val="0"/>
            <w:vAlign w:val="center"/>
          </w:tcPr>
          <w:p w14:paraId="7C85F2E7">
            <w:pPr>
              <w:jc w:val="center"/>
              <w:rPr>
                <w:rFonts w:eastAsia="楷体_GB2312"/>
              </w:rPr>
            </w:pPr>
            <w:r>
              <w:rPr>
                <w:rFonts w:eastAsia="楷体_GB2312"/>
                <w:kern w:val="0"/>
                <w:sz w:val="22"/>
                <w:szCs w:val="22"/>
              </w:rPr>
              <w:t>0</w:t>
            </w:r>
          </w:p>
        </w:tc>
        <w:tc>
          <w:tcPr>
            <w:tcW w:w="0" w:type="auto"/>
            <w:noWrap w:val="0"/>
            <w:vAlign w:val="center"/>
          </w:tcPr>
          <w:p w14:paraId="03A0964D">
            <w:pPr>
              <w:jc w:val="center"/>
              <w:rPr>
                <w:rFonts w:eastAsia="楷体_GB2312"/>
              </w:rPr>
            </w:pPr>
            <w:r>
              <w:rPr>
                <w:rFonts w:eastAsia="楷体_GB2312"/>
                <w:kern w:val="0"/>
                <w:sz w:val="22"/>
                <w:szCs w:val="22"/>
              </w:rPr>
              <w:t>170</w:t>
            </w:r>
          </w:p>
        </w:tc>
        <w:tc>
          <w:tcPr>
            <w:tcW w:w="0" w:type="auto"/>
            <w:noWrap w:val="0"/>
            <w:vAlign w:val="center"/>
          </w:tcPr>
          <w:p w14:paraId="26B9164C">
            <w:pPr>
              <w:jc w:val="center"/>
              <w:rPr>
                <w:rFonts w:eastAsia="楷体_GB2312"/>
              </w:rPr>
            </w:pPr>
            <w:r>
              <w:rPr>
                <w:rFonts w:eastAsia="楷体_GB2312"/>
                <w:kern w:val="0"/>
                <w:sz w:val="22"/>
                <w:szCs w:val="22"/>
              </w:rPr>
              <w:t>0</w:t>
            </w:r>
          </w:p>
        </w:tc>
        <w:tc>
          <w:tcPr>
            <w:tcW w:w="0" w:type="auto"/>
            <w:noWrap w:val="0"/>
            <w:vAlign w:val="center"/>
          </w:tcPr>
          <w:p w14:paraId="46A71217">
            <w:pPr>
              <w:jc w:val="center"/>
              <w:rPr>
                <w:rFonts w:eastAsia="楷体_GB2312"/>
              </w:rPr>
            </w:pPr>
            <w:r>
              <w:rPr>
                <w:rFonts w:eastAsia="楷体_GB2312"/>
                <w:kern w:val="0"/>
                <w:sz w:val="22"/>
                <w:szCs w:val="22"/>
              </w:rPr>
              <w:t>155</w:t>
            </w:r>
          </w:p>
        </w:tc>
        <w:tc>
          <w:tcPr>
            <w:tcW w:w="0" w:type="auto"/>
            <w:noWrap w:val="0"/>
            <w:vAlign w:val="center"/>
          </w:tcPr>
          <w:p w14:paraId="2D515EF4">
            <w:pPr>
              <w:jc w:val="center"/>
              <w:rPr>
                <w:rFonts w:eastAsia="楷体_GB2312"/>
              </w:rPr>
            </w:pPr>
            <w:r>
              <w:rPr>
                <w:rFonts w:eastAsia="楷体_GB2312"/>
                <w:kern w:val="0"/>
                <w:sz w:val="22"/>
                <w:szCs w:val="22"/>
              </w:rPr>
              <w:t>0</w:t>
            </w:r>
          </w:p>
        </w:tc>
        <w:tc>
          <w:tcPr>
            <w:tcW w:w="0" w:type="auto"/>
            <w:noWrap w:val="0"/>
            <w:vAlign w:val="center"/>
          </w:tcPr>
          <w:p w14:paraId="4A3005D3">
            <w:pPr>
              <w:jc w:val="center"/>
              <w:rPr>
                <w:rFonts w:eastAsia="楷体_GB2312"/>
              </w:rPr>
            </w:pPr>
            <w:r>
              <w:rPr>
                <w:rFonts w:eastAsia="楷体_GB2312"/>
                <w:kern w:val="0"/>
                <w:sz w:val="22"/>
                <w:szCs w:val="22"/>
              </w:rPr>
              <w:t>144</w:t>
            </w:r>
          </w:p>
        </w:tc>
      </w:tr>
      <w:tr w14:paraId="64FC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5271F4C5">
            <w:pPr>
              <w:jc w:val="center"/>
              <w:rPr>
                <w:rFonts w:eastAsia="楷体_GB2312"/>
                <w:kern w:val="0"/>
                <w:sz w:val="22"/>
                <w:szCs w:val="22"/>
              </w:rPr>
            </w:pPr>
            <w:r>
              <w:rPr>
                <w:rFonts w:eastAsia="楷体_GB2312"/>
                <w:kern w:val="0"/>
                <w:sz w:val="22"/>
                <w:szCs w:val="22"/>
              </w:rPr>
              <w:t>21</w:t>
            </w:r>
          </w:p>
        </w:tc>
        <w:tc>
          <w:tcPr>
            <w:tcW w:w="1303" w:type="dxa"/>
            <w:noWrap w:val="0"/>
            <w:vAlign w:val="center"/>
          </w:tcPr>
          <w:p w14:paraId="0045CB68">
            <w:pPr>
              <w:jc w:val="center"/>
              <w:rPr>
                <w:rFonts w:eastAsia="楷体_GB2312"/>
                <w:kern w:val="0"/>
                <w:szCs w:val="21"/>
              </w:rPr>
            </w:pPr>
            <w:r>
              <w:rPr>
                <w:rFonts w:eastAsia="楷体_GB2312"/>
                <w:kern w:val="0"/>
                <w:szCs w:val="21"/>
              </w:rPr>
              <w:t>灰古镇</w:t>
            </w:r>
          </w:p>
        </w:tc>
        <w:tc>
          <w:tcPr>
            <w:tcW w:w="1472" w:type="dxa"/>
            <w:noWrap w:val="0"/>
            <w:vAlign w:val="center"/>
          </w:tcPr>
          <w:p w14:paraId="61070E30">
            <w:pPr>
              <w:jc w:val="center"/>
              <w:rPr>
                <w:rFonts w:eastAsia="楷体_GB2312"/>
                <w:kern w:val="0"/>
                <w:szCs w:val="21"/>
              </w:rPr>
            </w:pPr>
            <w:r>
              <w:rPr>
                <w:rFonts w:eastAsia="楷体_GB2312"/>
                <w:kern w:val="0"/>
                <w:szCs w:val="21"/>
              </w:rPr>
              <w:t>2</w:t>
            </w:r>
          </w:p>
        </w:tc>
        <w:tc>
          <w:tcPr>
            <w:tcW w:w="0" w:type="auto"/>
            <w:noWrap w:val="0"/>
            <w:vAlign w:val="center"/>
          </w:tcPr>
          <w:p w14:paraId="32F535D6">
            <w:pPr>
              <w:jc w:val="center"/>
              <w:rPr>
                <w:rFonts w:eastAsia="楷体_GB2312"/>
              </w:rPr>
            </w:pPr>
            <w:r>
              <w:rPr>
                <w:rFonts w:eastAsia="楷体_GB2312"/>
                <w:kern w:val="0"/>
                <w:sz w:val="22"/>
                <w:szCs w:val="22"/>
              </w:rPr>
              <w:t>0</w:t>
            </w:r>
          </w:p>
        </w:tc>
        <w:tc>
          <w:tcPr>
            <w:tcW w:w="0" w:type="auto"/>
            <w:noWrap w:val="0"/>
            <w:vAlign w:val="center"/>
          </w:tcPr>
          <w:p w14:paraId="34DA350D">
            <w:pPr>
              <w:jc w:val="center"/>
              <w:rPr>
                <w:rFonts w:eastAsia="楷体_GB2312"/>
              </w:rPr>
            </w:pPr>
            <w:r>
              <w:rPr>
                <w:rFonts w:eastAsia="楷体_GB2312"/>
                <w:kern w:val="0"/>
                <w:sz w:val="22"/>
                <w:szCs w:val="22"/>
              </w:rPr>
              <w:t>170</w:t>
            </w:r>
          </w:p>
        </w:tc>
        <w:tc>
          <w:tcPr>
            <w:tcW w:w="0" w:type="auto"/>
            <w:noWrap w:val="0"/>
            <w:vAlign w:val="center"/>
          </w:tcPr>
          <w:p w14:paraId="69AFF5E5">
            <w:pPr>
              <w:jc w:val="center"/>
              <w:rPr>
                <w:rFonts w:eastAsia="楷体_GB2312"/>
                <w:kern w:val="0"/>
                <w:szCs w:val="21"/>
              </w:rPr>
            </w:pPr>
            <w:r>
              <w:rPr>
                <w:rFonts w:eastAsia="楷体_GB2312"/>
                <w:kern w:val="0"/>
                <w:szCs w:val="21"/>
              </w:rPr>
              <w:t>1</w:t>
            </w:r>
          </w:p>
        </w:tc>
        <w:tc>
          <w:tcPr>
            <w:tcW w:w="0" w:type="auto"/>
            <w:noWrap w:val="0"/>
            <w:vAlign w:val="center"/>
          </w:tcPr>
          <w:p w14:paraId="071EFCB0">
            <w:pPr>
              <w:jc w:val="center"/>
              <w:rPr>
                <w:rFonts w:eastAsia="楷体_GB2312"/>
              </w:rPr>
            </w:pPr>
            <w:r>
              <w:rPr>
                <w:rFonts w:eastAsia="楷体_GB2312"/>
                <w:kern w:val="0"/>
                <w:sz w:val="22"/>
                <w:szCs w:val="22"/>
              </w:rPr>
              <w:t>155</w:t>
            </w:r>
          </w:p>
        </w:tc>
        <w:tc>
          <w:tcPr>
            <w:tcW w:w="0" w:type="auto"/>
            <w:noWrap w:val="0"/>
            <w:vAlign w:val="center"/>
          </w:tcPr>
          <w:p w14:paraId="183E7943">
            <w:pPr>
              <w:jc w:val="center"/>
              <w:rPr>
                <w:rFonts w:eastAsia="楷体_GB2312"/>
                <w:kern w:val="0"/>
                <w:sz w:val="22"/>
                <w:szCs w:val="22"/>
              </w:rPr>
            </w:pPr>
            <w:r>
              <w:rPr>
                <w:rFonts w:eastAsia="楷体_GB2312"/>
                <w:kern w:val="0"/>
                <w:sz w:val="22"/>
                <w:szCs w:val="22"/>
              </w:rPr>
              <w:t>1</w:t>
            </w:r>
          </w:p>
        </w:tc>
        <w:tc>
          <w:tcPr>
            <w:tcW w:w="0" w:type="auto"/>
            <w:noWrap w:val="0"/>
            <w:vAlign w:val="center"/>
          </w:tcPr>
          <w:p w14:paraId="74AE80F5">
            <w:pPr>
              <w:jc w:val="center"/>
              <w:rPr>
                <w:rFonts w:eastAsia="楷体_GB2312"/>
              </w:rPr>
            </w:pPr>
            <w:r>
              <w:rPr>
                <w:rFonts w:eastAsia="楷体_GB2312"/>
                <w:kern w:val="0"/>
                <w:sz w:val="22"/>
                <w:szCs w:val="22"/>
              </w:rPr>
              <w:t>144</w:t>
            </w:r>
          </w:p>
        </w:tc>
      </w:tr>
      <w:tr w14:paraId="3AF1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2D4B0232">
            <w:pPr>
              <w:jc w:val="center"/>
              <w:rPr>
                <w:rFonts w:eastAsia="楷体_GB2312"/>
                <w:kern w:val="0"/>
                <w:sz w:val="22"/>
                <w:szCs w:val="22"/>
              </w:rPr>
            </w:pPr>
            <w:r>
              <w:rPr>
                <w:rFonts w:eastAsia="楷体_GB2312"/>
                <w:kern w:val="0"/>
                <w:sz w:val="22"/>
                <w:szCs w:val="22"/>
              </w:rPr>
              <w:t>22</w:t>
            </w:r>
          </w:p>
        </w:tc>
        <w:tc>
          <w:tcPr>
            <w:tcW w:w="1303" w:type="dxa"/>
            <w:noWrap w:val="0"/>
            <w:vAlign w:val="center"/>
          </w:tcPr>
          <w:p w14:paraId="5F5B2BFD">
            <w:pPr>
              <w:jc w:val="center"/>
              <w:rPr>
                <w:rFonts w:eastAsia="楷体_GB2312"/>
                <w:kern w:val="0"/>
                <w:szCs w:val="21"/>
              </w:rPr>
            </w:pPr>
            <w:r>
              <w:rPr>
                <w:rFonts w:eastAsia="楷体_GB2312"/>
                <w:kern w:val="0"/>
                <w:szCs w:val="21"/>
              </w:rPr>
              <w:t>桃沟乡</w:t>
            </w:r>
          </w:p>
        </w:tc>
        <w:tc>
          <w:tcPr>
            <w:tcW w:w="1472" w:type="dxa"/>
            <w:noWrap w:val="0"/>
            <w:vAlign w:val="center"/>
          </w:tcPr>
          <w:p w14:paraId="2D9C2E50">
            <w:pPr>
              <w:jc w:val="center"/>
              <w:rPr>
                <w:rFonts w:eastAsia="楷体_GB2312"/>
                <w:kern w:val="0"/>
                <w:szCs w:val="21"/>
              </w:rPr>
            </w:pPr>
            <w:r>
              <w:rPr>
                <w:rFonts w:eastAsia="楷体_GB2312"/>
                <w:kern w:val="0"/>
                <w:szCs w:val="21"/>
              </w:rPr>
              <w:t>1</w:t>
            </w:r>
          </w:p>
        </w:tc>
        <w:tc>
          <w:tcPr>
            <w:tcW w:w="0" w:type="auto"/>
            <w:noWrap w:val="0"/>
            <w:vAlign w:val="center"/>
          </w:tcPr>
          <w:p w14:paraId="2BCD845E">
            <w:pPr>
              <w:jc w:val="center"/>
              <w:rPr>
                <w:rFonts w:eastAsia="楷体_GB2312"/>
              </w:rPr>
            </w:pPr>
            <w:r>
              <w:rPr>
                <w:rFonts w:eastAsia="楷体_GB2312"/>
                <w:kern w:val="0"/>
                <w:sz w:val="22"/>
                <w:szCs w:val="22"/>
              </w:rPr>
              <w:t>0</w:t>
            </w:r>
          </w:p>
        </w:tc>
        <w:tc>
          <w:tcPr>
            <w:tcW w:w="0" w:type="auto"/>
            <w:noWrap w:val="0"/>
            <w:vAlign w:val="center"/>
          </w:tcPr>
          <w:p w14:paraId="7D86473C">
            <w:pPr>
              <w:jc w:val="center"/>
              <w:rPr>
                <w:rFonts w:eastAsia="楷体_GB2312"/>
              </w:rPr>
            </w:pPr>
            <w:r>
              <w:rPr>
                <w:rFonts w:eastAsia="楷体_GB2312"/>
                <w:kern w:val="0"/>
                <w:sz w:val="22"/>
                <w:szCs w:val="22"/>
              </w:rPr>
              <w:t>170</w:t>
            </w:r>
          </w:p>
        </w:tc>
        <w:tc>
          <w:tcPr>
            <w:tcW w:w="0" w:type="auto"/>
            <w:noWrap w:val="0"/>
            <w:vAlign w:val="center"/>
          </w:tcPr>
          <w:p w14:paraId="4AEB7B18">
            <w:pPr>
              <w:jc w:val="center"/>
              <w:rPr>
                <w:rFonts w:eastAsia="楷体_GB2312"/>
                <w:kern w:val="0"/>
                <w:szCs w:val="21"/>
              </w:rPr>
            </w:pPr>
            <w:r>
              <w:rPr>
                <w:rFonts w:eastAsia="楷体_GB2312"/>
                <w:kern w:val="0"/>
                <w:sz w:val="22"/>
                <w:szCs w:val="22"/>
              </w:rPr>
              <w:t>0</w:t>
            </w:r>
          </w:p>
        </w:tc>
        <w:tc>
          <w:tcPr>
            <w:tcW w:w="0" w:type="auto"/>
            <w:noWrap w:val="0"/>
            <w:vAlign w:val="center"/>
          </w:tcPr>
          <w:p w14:paraId="4189DCAF">
            <w:pPr>
              <w:jc w:val="center"/>
              <w:rPr>
                <w:rFonts w:eastAsia="楷体_GB2312"/>
              </w:rPr>
            </w:pPr>
            <w:r>
              <w:rPr>
                <w:rFonts w:eastAsia="楷体_GB2312"/>
                <w:kern w:val="0"/>
                <w:sz w:val="22"/>
                <w:szCs w:val="22"/>
              </w:rPr>
              <w:t>155</w:t>
            </w:r>
          </w:p>
        </w:tc>
        <w:tc>
          <w:tcPr>
            <w:tcW w:w="0" w:type="auto"/>
            <w:noWrap w:val="0"/>
            <w:vAlign w:val="center"/>
          </w:tcPr>
          <w:p w14:paraId="0CCC1363">
            <w:pPr>
              <w:jc w:val="center"/>
              <w:rPr>
                <w:rFonts w:eastAsia="楷体_GB2312"/>
                <w:kern w:val="0"/>
                <w:sz w:val="22"/>
                <w:szCs w:val="22"/>
              </w:rPr>
            </w:pPr>
            <w:r>
              <w:rPr>
                <w:rFonts w:eastAsia="楷体_GB2312"/>
                <w:kern w:val="0"/>
                <w:sz w:val="22"/>
                <w:szCs w:val="22"/>
              </w:rPr>
              <w:t>1</w:t>
            </w:r>
          </w:p>
        </w:tc>
        <w:tc>
          <w:tcPr>
            <w:tcW w:w="0" w:type="auto"/>
            <w:noWrap w:val="0"/>
            <w:vAlign w:val="center"/>
          </w:tcPr>
          <w:p w14:paraId="74BD29DF">
            <w:pPr>
              <w:jc w:val="center"/>
              <w:rPr>
                <w:rFonts w:eastAsia="楷体_GB2312"/>
              </w:rPr>
            </w:pPr>
            <w:r>
              <w:rPr>
                <w:rFonts w:eastAsia="楷体_GB2312"/>
                <w:kern w:val="0"/>
                <w:sz w:val="22"/>
                <w:szCs w:val="22"/>
              </w:rPr>
              <w:t>144</w:t>
            </w:r>
          </w:p>
        </w:tc>
      </w:tr>
      <w:tr w14:paraId="44A2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03E5AE93">
            <w:pPr>
              <w:jc w:val="center"/>
              <w:rPr>
                <w:rFonts w:eastAsia="楷体_GB2312"/>
                <w:kern w:val="0"/>
                <w:sz w:val="22"/>
                <w:szCs w:val="22"/>
              </w:rPr>
            </w:pPr>
            <w:r>
              <w:rPr>
                <w:rFonts w:eastAsia="楷体_GB2312"/>
                <w:kern w:val="0"/>
                <w:sz w:val="22"/>
                <w:szCs w:val="22"/>
              </w:rPr>
              <w:t>23</w:t>
            </w:r>
          </w:p>
        </w:tc>
        <w:tc>
          <w:tcPr>
            <w:tcW w:w="1303" w:type="dxa"/>
            <w:noWrap w:val="0"/>
            <w:vAlign w:val="center"/>
          </w:tcPr>
          <w:p w14:paraId="431DA4FF">
            <w:pPr>
              <w:jc w:val="center"/>
              <w:rPr>
                <w:rFonts w:eastAsia="楷体_GB2312"/>
                <w:kern w:val="0"/>
                <w:szCs w:val="21"/>
              </w:rPr>
            </w:pPr>
            <w:r>
              <w:rPr>
                <w:rFonts w:eastAsia="楷体_GB2312"/>
                <w:kern w:val="0"/>
                <w:szCs w:val="21"/>
              </w:rPr>
              <w:t>曹村开发区</w:t>
            </w:r>
          </w:p>
        </w:tc>
        <w:tc>
          <w:tcPr>
            <w:tcW w:w="1472" w:type="dxa"/>
            <w:noWrap w:val="0"/>
            <w:vAlign w:val="center"/>
          </w:tcPr>
          <w:p w14:paraId="72109F37">
            <w:pPr>
              <w:jc w:val="center"/>
              <w:rPr>
                <w:rFonts w:eastAsia="楷体_GB2312"/>
                <w:kern w:val="0"/>
                <w:szCs w:val="21"/>
              </w:rPr>
            </w:pPr>
            <w:r>
              <w:rPr>
                <w:rFonts w:eastAsia="楷体_GB2312"/>
                <w:kern w:val="0"/>
                <w:szCs w:val="21"/>
              </w:rPr>
              <w:t>31</w:t>
            </w:r>
          </w:p>
        </w:tc>
        <w:tc>
          <w:tcPr>
            <w:tcW w:w="0" w:type="auto"/>
            <w:gridSpan w:val="6"/>
            <w:noWrap w:val="0"/>
            <w:vAlign w:val="center"/>
          </w:tcPr>
          <w:p w14:paraId="7A0E6A23">
            <w:pPr>
              <w:jc w:val="center"/>
              <w:rPr>
                <w:rFonts w:eastAsia="楷体_GB2312"/>
                <w:kern w:val="0"/>
                <w:sz w:val="22"/>
                <w:szCs w:val="22"/>
              </w:rPr>
            </w:pPr>
            <w:r>
              <w:rPr>
                <w:rFonts w:eastAsia="楷体_GB2312"/>
                <w:kern w:val="0"/>
                <w:sz w:val="22"/>
                <w:szCs w:val="22"/>
              </w:rPr>
              <w:t>155</w:t>
            </w:r>
          </w:p>
        </w:tc>
      </w:tr>
      <w:tr w14:paraId="223B9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2CC3A20C">
            <w:pPr>
              <w:jc w:val="center"/>
              <w:rPr>
                <w:rFonts w:eastAsia="楷体_GB2312"/>
                <w:kern w:val="0"/>
                <w:sz w:val="22"/>
                <w:szCs w:val="22"/>
              </w:rPr>
            </w:pPr>
            <w:r>
              <w:rPr>
                <w:rFonts w:eastAsia="楷体_GB2312"/>
                <w:kern w:val="0"/>
                <w:sz w:val="22"/>
                <w:szCs w:val="22"/>
              </w:rPr>
              <w:t>24</w:t>
            </w:r>
          </w:p>
        </w:tc>
        <w:tc>
          <w:tcPr>
            <w:tcW w:w="1303" w:type="dxa"/>
            <w:noWrap w:val="0"/>
            <w:vAlign w:val="center"/>
          </w:tcPr>
          <w:p w14:paraId="11519F21">
            <w:pPr>
              <w:jc w:val="center"/>
              <w:rPr>
                <w:rFonts w:eastAsia="楷体_GB2312"/>
                <w:kern w:val="0"/>
                <w:szCs w:val="21"/>
              </w:rPr>
            </w:pPr>
            <w:r>
              <w:rPr>
                <w:rFonts w:eastAsia="楷体_GB2312"/>
                <w:kern w:val="0"/>
                <w:szCs w:val="21"/>
              </w:rPr>
              <w:t>家具产业园</w:t>
            </w:r>
          </w:p>
        </w:tc>
        <w:tc>
          <w:tcPr>
            <w:tcW w:w="1472" w:type="dxa"/>
            <w:noWrap w:val="0"/>
            <w:vAlign w:val="center"/>
          </w:tcPr>
          <w:p w14:paraId="6490A5C2">
            <w:pPr>
              <w:jc w:val="center"/>
              <w:rPr>
                <w:rFonts w:eastAsia="楷体_GB2312"/>
                <w:kern w:val="0"/>
                <w:szCs w:val="21"/>
              </w:rPr>
            </w:pPr>
            <w:r>
              <w:rPr>
                <w:rFonts w:eastAsia="楷体_GB2312"/>
                <w:kern w:val="0"/>
                <w:szCs w:val="21"/>
              </w:rPr>
              <w:t>5</w:t>
            </w:r>
          </w:p>
        </w:tc>
        <w:tc>
          <w:tcPr>
            <w:tcW w:w="0" w:type="auto"/>
            <w:gridSpan w:val="6"/>
            <w:noWrap w:val="0"/>
            <w:vAlign w:val="center"/>
          </w:tcPr>
          <w:p w14:paraId="6433C8DF">
            <w:pPr>
              <w:jc w:val="center"/>
              <w:rPr>
                <w:rFonts w:eastAsia="楷体_GB2312"/>
                <w:kern w:val="0"/>
                <w:sz w:val="22"/>
                <w:szCs w:val="22"/>
              </w:rPr>
            </w:pPr>
            <w:r>
              <w:rPr>
                <w:rFonts w:eastAsia="楷体_GB2312"/>
                <w:kern w:val="0"/>
                <w:sz w:val="22"/>
                <w:szCs w:val="22"/>
              </w:rPr>
              <w:t>155</w:t>
            </w:r>
          </w:p>
        </w:tc>
      </w:tr>
      <w:tr w14:paraId="4D0CF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noWrap w:val="0"/>
            <w:vAlign w:val="center"/>
          </w:tcPr>
          <w:p w14:paraId="73C7A3D4">
            <w:pPr>
              <w:jc w:val="center"/>
              <w:rPr>
                <w:rFonts w:eastAsia="楷体_GB2312"/>
                <w:kern w:val="0"/>
                <w:sz w:val="22"/>
                <w:szCs w:val="22"/>
              </w:rPr>
            </w:pPr>
            <w:r>
              <w:rPr>
                <w:rFonts w:eastAsia="楷体_GB2312"/>
                <w:kern w:val="0"/>
                <w:sz w:val="22"/>
                <w:szCs w:val="22"/>
              </w:rPr>
              <w:t>25</w:t>
            </w:r>
          </w:p>
        </w:tc>
        <w:tc>
          <w:tcPr>
            <w:tcW w:w="1303" w:type="dxa"/>
            <w:noWrap w:val="0"/>
            <w:vAlign w:val="center"/>
          </w:tcPr>
          <w:p w14:paraId="1DA5339C">
            <w:pPr>
              <w:jc w:val="center"/>
              <w:rPr>
                <w:rFonts w:eastAsia="楷体_GB2312"/>
                <w:kern w:val="0"/>
                <w:szCs w:val="21"/>
              </w:rPr>
            </w:pPr>
            <w:r>
              <w:rPr>
                <w:rFonts w:eastAsia="楷体_GB2312"/>
                <w:kern w:val="0"/>
                <w:szCs w:val="21"/>
              </w:rPr>
              <w:t>农业示范园</w:t>
            </w:r>
          </w:p>
        </w:tc>
        <w:tc>
          <w:tcPr>
            <w:tcW w:w="1472" w:type="dxa"/>
            <w:noWrap w:val="0"/>
            <w:vAlign w:val="center"/>
          </w:tcPr>
          <w:p w14:paraId="3EAB92ED">
            <w:pPr>
              <w:jc w:val="center"/>
              <w:rPr>
                <w:rFonts w:eastAsia="楷体_GB2312"/>
                <w:kern w:val="0"/>
                <w:szCs w:val="21"/>
              </w:rPr>
            </w:pPr>
            <w:r>
              <w:rPr>
                <w:rFonts w:eastAsia="楷体_GB2312"/>
                <w:kern w:val="0"/>
                <w:szCs w:val="21"/>
              </w:rPr>
              <w:t>2</w:t>
            </w:r>
          </w:p>
        </w:tc>
        <w:tc>
          <w:tcPr>
            <w:tcW w:w="0" w:type="auto"/>
            <w:gridSpan w:val="6"/>
            <w:noWrap w:val="0"/>
            <w:vAlign w:val="center"/>
          </w:tcPr>
          <w:p w14:paraId="50A40AE2">
            <w:pPr>
              <w:jc w:val="center"/>
              <w:rPr>
                <w:rFonts w:eastAsia="楷体_GB2312"/>
                <w:kern w:val="0"/>
                <w:sz w:val="22"/>
                <w:szCs w:val="22"/>
              </w:rPr>
            </w:pPr>
            <w:r>
              <w:rPr>
                <w:rFonts w:eastAsia="楷体_GB2312"/>
                <w:kern w:val="0"/>
                <w:sz w:val="22"/>
                <w:szCs w:val="22"/>
              </w:rPr>
              <w:t>155</w:t>
            </w:r>
          </w:p>
        </w:tc>
      </w:tr>
    </w:tbl>
    <w:p w14:paraId="160A8D88">
      <w:pPr>
        <w:spacing w:line="480" w:lineRule="exact"/>
        <w:ind w:firstLine="560" w:firstLineChars="200"/>
        <w:rPr>
          <w:rFonts w:eastAsia="楷体_GB2312"/>
          <w:sz w:val="28"/>
        </w:rPr>
      </w:pPr>
      <w:r>
        <w:rPr>
          <w:rFonts w:hint="eastAsia" w:ascii="楷体" w:hAnsi="楷体" w:eastAsia="楷体" w:cs="宋体"/>
          <w:sz w:val="28"/>
        </w:rPr>
        <w:t>埇桥区</w:t>
      </w:r>
      <w:r>
        <w:rPr>
          <w:rFonts w:eastAsia="楷体_GB2312"/>
          <w:sz w:val="28"/>
        </w:rPr>
        <w:t>乡镇出让最低限价为</w:t>
      </w:r>
      <w:r>
        <w:rPr>
          <w:rFonts w:hint="eastAsia" w:eastAsia="楷体_GB2312"/>
          <w:sz w:val="28"/>
        </w:rPr>
        <w:t>144</w:t>
      </w:r>
      <w:r>
        <w:rPr>
          <w:rFonts w:eastAsia="楷体_GB2312"/>
          <w:sz w:val="28"/>
        </w:rPr>
        <w:t>元/平方米，</w:t>
      </w:r>
      <w:r>
        <w:rPr>
          <w:rFonts w:hint="eastAsia" w:ascii="楷体" w:hAnsi="楷体" w:eastAsia="楷体" w:cs="宋体"/>
          <w:sz w:val="28"/>
        </w:rPr>
        <w:t>埇</w:t>
      </w:r>
      <w:r>
        <w:rPr>
          <w:rFonts w:hint="eastAsia" w:ascii="楷体_GB2312" w:hAnsi="楷体_GB2312" w:eastAsia="楷体_GB2312" w:cs="楷体_GB2312"/>
          <w:sz w:val="28"/>
        </w:rPr>
        <w:t>桥区</w:t>
      </w:r>
      <w:r>
        <w:rPr>
          <w:rFonts w:eastAsia="楷体_GB2312"/>
          <w:sz w:val="28"/>
        </w:rPr>
        <w:t>乡镇工矿仓储用地市场价格基本处于</w:t>
      </w:r>
      <w:r>
        <w:rPr>
          <w:rFonts w:hint="eastAsia" w:eastAsia="楷体_GB2312"/>
          <w:sz w:val="28"/>
        </w:rPr>
        <w:t>144-230</w:t>
      </w:r>
      <w:r>
        <w:rPr>
          <w:rFonts w:eastAsia="楷体_GB2312"/>
          <w:sz w:val="28"/>
        </w:rPr>
        <w:t>元/平方米之间。</w:t>
      </w:r>
    </w:p>
    <w:p w14:paraId="71368C79">
      <w:pPr>
        <w:spacing w:line="480" w:lineRule="exact"/>
        <w:ind w:firstLine="560" w:firstLineChars="200"/>
        <w:rPr>
          <w:rFonts w:eastAsia="楷体_GB2312"/>
          <w:sz w:val="28"/>
        </w:rPr>
      </w:pPr>
      <w:r>
        <w:rPr>
          <w:rFonts w:eastAsia="楷体_GB2312"/>
          <w:sz w:val="28"/>
        </w:rPr>
        <w:t>2009年5月11日，国土资源部发布“国土资发〔2009〕56号”文件《国土资源部关于调整工业用地出让最低价标准实施政策的通知》，确定土地使用权出让价格时必须执行的最低控制标准”。按照《标准》，</w:t>
      </w:r>
      <w:r>
        <w:rPr>
          <w:rFonts w:hint="eastAsia" w:ascii="楷体" w:hAnsi="楷体" w:eastAsia="楷体" w:cs="宋体"/>
          <w:sz w:val="28"/>
        </w:rPr>
        <w:t>埇</w:t>
      </w:r>
      <w:r>
        <w:rPr>
          <w:rFonts w:hint="eastAsia" w:ascii="楷体_GB2312" w:hAnsi="楷体_GB2312" w:eastAsia="楷体_GB2312" w:cs="楷体_GB2312"/>
          <w:sz w:val="28"/>
        </w:rPr>
        <w:t>桥区</w:t>
      </w:r>
      <w:r>
        <w:rPr>
          <w:rFonts w:eastAsia="楷体_GB2312"/>
          <w:sz w:val="28"/>
        </w:rPr>
        <w:t>属“十</w:t>
      </w:r>
      <w:r>
        <w:rPr>
          <w:rFonts w:hint="eastAsia" w:eastAsia="楷体_GB2312"/>
          <w:sz w:val="28"/>
        </w:rPr>
        <w:t>一</w:t>
      </w:r>
      <w:r>
        <w:rPr>
          <w:rFonts w:eastAsia="楷体_GB2312"/>
          <w:sz w:val="28"/>
        </w:rPr>
        <w:t>等”城市，工业用地出让最低标准为1</w:t>
      </w:r>
      <w:r>
        <w:rPr>
          <w:rFonts w:hint="eastAsia" w:eastAsia="楷体_GB2312"/>
          <w:sz w:val="28"/>
        </w:rPr>
        <w:t>44</w:t>
      </w:r>
      <w:r>
        <w:rPr>
          <w:rFonts w:eastAsia="楷体_GB2312"/>
          <w:sz w:val="28"/>
        </w:rPr>
        <w:t>元/平方米，除极少数特殊情况以外，行政区划内（含乡镇）出让土地不得低于此标准。工矿仓储用地样点地价主要为土地使用权出让地价资料，由于受工业出让最低限价的影响，</w:t>
      </w:r>
      <w:r>
        <w:rPr>
          <w:rFonts w:hint="eastAsia" w:ascii="楷体" w:hAnsi="楷体" w:eastAsia="楷体" w:cs="宋体"/>
          <w:sz w:val="28"/>
        </w:rPr>
        <w:t>埇</w:t>
      </w:r>
      <w:r>
        <w:rPr>
          <w:rFonts w:hint="eastAsia" w:ascii="楷体_GB2312" w:hAnsi="楷体_GB2312" w:eastAsia="楷体_GB2312" w:cs="楷体_GB2312"/>
          <w:sz w:val="28"/>
        </w:rPr>
        <w:t>桥区</w:t>
      </w:r>
      <w:r>
        <w:rPr>
          <w:rFonts w:eastAsia="楷体_GB2312"/>
          <w:sz w:val="28"/>
        </w:rPr>
        <w:t>乡镇工矿仓储用地出让价格不得低于</w:t>
      </w:r>
      <w:r>
        <w:rPr>
          <w:rFonts w:hint="eastAsia" w:ascii="楷体" w:hAnsi="楷体" w:eastAsia="楷体" w:cs="宋体"/>
          <w:sz w:val="28"/>
        </w:rPr>
        <w:t>埇</w:t>
      </w:r>
      <w:r>
        <w:rPr>
          <w:rFonts w:hint="eastAsia" w:ascii="楷体_GB2312" w:hAnsi="楷体_GB2312" w:eastAsia="楷体_GB2312" w:cs="楷体_GB2312"/>
          <w:sz w:val="28"/>
        </w:rPr>
        <w:t>桥区</w:t>
      </w:r>
      <w:r>
        <w:rPr>
          <w:rFonts w:eastAsia="楷体_GB2312"/>
          <w:sz w:val="28"/>
        </w:rPr>
        <w:t>工业用地出让最低标准</w:t>
      </w:r>
      <w:r>
        <w:rPr>
          <w:rFonts w:hint="eastAsia" w:eastAsia="楷体_GB2312"/>
          <w:sz w:val="28"/>
        </w:rPr>
        <w:t>144</w:t>
      </w:r>
      <w:r>
        <w:rPr>
          <w:rFonts w:eastAsia="楷体_GB2312"/>
          <w:sz w:val="28"/>
        </w:rPr>
        <w:t>元/平方米。本次基准地价更新工作中，收集工矿仓储用地出让样点共</w:t>
      </w:r>
      <w:r>
        <w:rPr>
          <w:rFonts w:hint="eastAsia" w:eastAsia="楷体_GB2312"/>
          <w:sz w:val="28"/>
        </w:rPr>
        <w:t>79</w:t>
      </w:r>
      <w:r>
        <w:rPr>
          <w:rFonts w:eastAsia="楷体_GB2312"/>
          <w:sz w:val="28"/>
        </w:rPr>
        <w:t>个，样点测算地价基本在</w:t>
      </w:r>
      <w:r>
        <w:rPr>
          <w:rFonts w:hint="eastAsia" w:eastAsia="楷体_GB2312"/>
          <w:sz w:val="28"/>
        </w:rPr>
        <w:t>144-230</w:t>
      </w:r>
      <w:r>
        <w:rPr>
          <w:rFonts w:eastAsia="楷体_GB2312"/>
          <w:sz w:val="28"/>
        </w:rPr>
        <w:t>元/平方米之间，不低于工业用地最低出让价标准。</w:t>
      </w:r>
    </w:p>
    <w:p w14:paraId="274F4C33">
      <w:pPr>
        <w:spacing w:line="480" w:lineRule="exact"/>
        <w:ind w:firstLine="560" w:firstLineChars="200"/>
        <w:rPr>
          <w:rFonts w:eastAsia="楷体_GB2312"/>
          <w:sz w:val="28"/>
        </w:rPr>
      </w:pPr>
    </w:p>
    <w:p w14:paraId="6423F78E">
      <w:pPr>
        <w:pStyle w:val="4"/>
        <w:numPr>
          <w:ilvl w:val="0"/>
          <w:numId w:val="0"/>
        </w:numPr>
        <w:spacing w:line="240" w:lineRule="auto"/>
        <w:jc w:val="center"/>
        <w:rPr>
          <w:rFonts w:eastAsia="仿宋_GB2312"/>
          <w:bCs w:val="0"/>
        </w:rPr>
      </w:pPr>
      <w:bookmarkStart w:id="85" w:name="_Toc62563694"/>
      <w:r>
        <w:rPr>
          <w:rFonts w:eastAsia="仿宋_GB2312"/>
          <w:bCs w:val="0"/>
        </w:rPr>
        <w:t>第二节  样点地价与土地级别和定级单元总分值模型评估级别基准地价</w:t>
      </w:r>
      <w:bookmarkEnd w:id="84"/>
      <w:bookmarkEnd w:id="85"/>
    </w:p>
    <w:p w14:paraId="0DC9E751">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一、样点地价与土地级别和定级单元总分值模型评估级别基准地价的方法</w:t>
      </w:r>
    </w:p>
    <w:p w14:paraId="6D49C841">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1、评估模型选择</w:t>
      </w:r>
    </w:p>
    <w:p w14:paraId="739AFAC8">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利用收集的宗地样点地价评估基准地价，根据地价分布特点和影响地价的因素条件，分析各土地级别中土地质量与地价的相关关系，建立合适的评估模型。本次评估采用指数模型，即：</w:t>
      </w:r>
    </w:p>
    <w:p w14:paraId="38668000">
      <w:pPr>
        <w:pStyle w:val="20"/>
        <w:spacing w:line="480" w:lineRule="exact"/>
        <w:jc w:val="center"/>
        <w:rPr>
          <w:rFonts w:ascii="Times New Roman" w:hAnsi="Times New Roman" w:eastAsia="楷体_GB2312" w:cs="Times New Roman"/>
          <w:sz w:val="28"/>
          <w:vertAlign w:val="superscript"/>
        </w:rPr>
      </w:pPr>
      <w:r>
        <w:rPr>
          <w:rFonts w:ascii="Times New Roman" w:hAnsi="Times New Roman" w:eastAsia="楷体_GB2312" w:cs="Times New Roman"/>
          <w:sz w:val="28"/>
        </w:rPr>
        <w:t>Y</w:t>
      </w:r>
      <w:r>
        <w:rPr>
          <w:rFonts w:ascii="Times New Roman" w:hAnsi="Times New Roman" w:eastAsia="楷体_GB2312" w:cs="Times New Roman"/>
          <w:sz w:val="28"/>
          <w:vertAlign w:val="subscript"/>
        </w:rPr>
        <w:t>n</w:t>
      </w:r>
      <w:r>
        <w:rPr>
          <w:rFonts w:ascii="Times New Roman" w:hAnsi="Times New Roman" w:eastAsia="楷体_GB2312" w:cs="Times New Roman"/>
          <w:sz w:val="28"/>
        </w:rPr>
        <w:t>=A(1+r)</w:t>
      </w:r>
      <w:r>
        <w:rPr>
          <w:rFonts w:ascii="Times New Roman" w:hAnsi="Times New Roman" w:eastAsia="楷体_GB2312" w:cs="Times New Roman"/>
          <w:position w:val="-4"/>
          <w:sz w:val="28"/>
        </w:rPr>
        <w:object>
          <v:shape id="_x0000_i1140" o:spt="75" type="#_x0000_t75" style="height:15pt;width:13pt;" o:ole="t" filled="f" stroked="f" coordsize="21600,21600">
            <v:path/>
            <v:fill on="f" alignshape="1" focussize="0,0"/>
            <v:stroke on="f"/>
            <v:imagedata r:id="rId275" o:title=""/>
            <o:lock v:ext="edit" aspectratio="t"/>
            <w10:wrap type="none"/>
            <w10:anchorlock/>
          </v:shape>
          <o:OLEObject Type="Embed" ProgID="Equation.3" ShapeID="_x0000_i1140" DrawAspect="Content" ObjectID="_1468075840" r:id="rId274">
            <o:LockedField>false</o:LockedField>
          </o:OLEObject>
        </w:object>
      </w:r>
    </w:p>
    <w:p w14:paraId="473655F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式中：Y</w:t>
      </w:r>
      <w:r>
        <w:rPr>
          <w:rFonts w:ascii="Times New Roman" w:hAnsi="Times New Roman" w:eastAsia="楷体_GB2312" w:cs="Times New Roman"/>
          <w:sz w:val="28"/>
          <w:vertAlign w:val="subscript"/>
        </w:rPr>
        <w:t>n</w:t>
      </w:r>
      <w:r>
        <w:rPr>
          <w:rFonts w:ascii="Times New Roman" w:hAnsi="Times New Roman" w:eastAsia="楷体_GB2312" w:cs="Times New Roman"/>
          <w:sz w:val="28"/>
        </w:rPr>
        <w:t>：第n级别中样点地价；</w:t>
      </w:r>
    </w:p>
    <w:p w14:paraId="7AFD6D9A">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 xml:space="preserve">      A：常数；</w:t>
      </w:r>
    </w:p>
    <w:p w14:paraId="0EA9D276">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 xml:space="preserve">      r：地价级差系数；</w:t>
      </w:r>
    </w:p>
    <w:p w14:paraId="42F82B0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 xml:space="preserve">      X</w:t>
      </w:r>
      <w:r>
        <w:rPr>
          <w:rFonts w:ascii="Times New Roman" w:hAnsi="Times New Roman" w:eastAsia="楷体_GB2312" w:cs="Times New Roman"/>
          <w:sz w:val="28"/>
          <w:vertAlign w:val="subscript"/>
        </w:rPr>
        <w:t>n</w:t>
      </w:r>
      <w:r>
        <w:rPr>
          <w:rFonts w:ascii="Times New Roman" w:hAnsi="Times New Roman" w:eastAsia="楷体_GB2312" w:cs="Times New Roman"/>
          <w:sz w:val="28"/>
        </w:rPr>
        <w:t>：第n级土地级别指数或样点所在定级单元的总分值。</w:t>
      </w:r>
    </w:p>
    <w:p w14:paraId="16F5FC1D">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以下数学符号意义同。</w:t>
      </w:r>
    </w:p>
    <w:p w14:paraId="225052D3">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2、系数估计</w:t>
      </w:r>
    </w:p>
    <w:p w14:paraId="7AEA3DB8">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将收集到的不同用途的地价资料，按用途将通过检验的地价资料代入模型中，估计参数值A、r，估算出A、r后，按下列步骤进行系数可靠性检验：</w:t>
      </w:r>
    </w:p>
    <w:p w14:paraId="557C348A">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（1）经济意义检验</w:t>
      </w:r>
    </w:p>
    <w:p w14:paraId="65AD5CA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从符号和值域两个方面检验。符号检验主要是根据模型中变量设计所要达到的条件进行检验；值域检验是根据现实经济条件加以具体限定。</w:t>
      </w:r>
    </w:p>
    <w:p w14:paraId="0127BA4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（2）统计检验</w:t>
      </w:r>
    </w:p>
    <w:p w14:paraId="699FAFC8">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通过回归系数的统计显著性检验，判断因素X</w:t>
      </w:r>
      <w:r>
        <w:rPr>
          <w:rFonts w:ascii="Times New Roman" w:hAnsi="Times New Roman" w:eastAsia="楷体_GB2312" w:cs="Times New Roman"/>
          <w:sz w:val="28"/>
          <w:vertAlign w:val="subscript"/>
        </w:rPr>
        <w:t>i</w:t>
      </w:r>
      <w:r>
        <w:rPr>
          <w:rFonts w:ascii="Times New Roman" w:hAnsi="Times New Roman" w:eastAsia="楷体_GB2312" w:cs="Times New Roman"/>
          <w:sz w:val="28"/>
        </w:rPr>
        <w:t>对地价Y的影响程度。</w:t>
      </w:r>
    </w:p>
    <w:p w14:paraId="47B3D7A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通过回归系数的总体显著性检验，判断因素X</w:t>
      </w:r>
      <w:r>
        <w:rPr>
          <w:rFonts w:ascii="Times New Roman" w:hAnsi="Times New Roman" w:eastAsia="楷体_GB2312" w:cs="Times New Roman"/>
          <w:sz w:val="28"/>
          <w:vertAlign w:val="subscript"/>
        </w:rPr>
        <w:t>i</w:t>
      </w:r>
      <w:r>
        <w:rPr>
          <w:rFonts w:ascii="Times New Roman" w:hAnsi="Times New Roman" w:eastAsia="楷体_GB2312" w:cs="Times New Roman"/>
          <w:sz w:val="28"/>
        </w:rPr>
        <w:t>在总体上对地价的影响程度。</w:t>
      </w:r>
    </w:p>
    <w:p w14:paraId="628BA6F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通过模型的拟合优度检验，判断建立的模型与样本数据的拟合程度。</w:t>
      </w:r>
    </w:p>
    <w:p w14:paraId="03779433">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（3）计量经济检验</w:t>
      </w:r>
    </w:p>
    <w:p w14:paraId="02E1135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进行计量经济检验目的在于考察测算模型是否满足所要求的基本假定，评价统计检验的有效性。</w:t>
      </w:r>
    </w:p>
    <w:p w14:paraId="77B3F43C">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3、基准地价评估</w:t>
      </w:r>
    </w:p>
    <w:p w14:paraId="2CF67157">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将估计值A、r和有关参数代入模型，采用土地面积加权求平均，测算出各级土地的基准地价。</w:t>
      </w:r>
    </w:p>
    <w:p w14:paraId="2A2D06A5">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二、模型测算结果</w:t>
      </w:r>
    </w:p>
    <w:p w14:paraId="790E5D9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分别建立了商服、住宅用地样点地价与土地级别之间的指数模型和样点地价与样点所在定级单元总分值之间的指数模型。</w:t>
      </w:r>
    </w:p>
    <w:p w14:paraId="00620CD8">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1、样点地价与土地级别之间的指数模型测算</w:t>
      </w:r>
    </w:p>
    <w:p w14:paraId="30C971C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（1）各乡镇镇区商服、住宅用地样点地价与土地级别的指数模型测算</w:t>
      </w:r>
    </w:p>
    <w:p w14:paraId="3B5B4B73">
      <w:pPr>
        <w:pStyle w:val="20"/>
        <w:spacing w:line="480" w:lineRule="exact"/>
        <w:ind w:firstLine="560" w:firstLineChars="200"/>
        <w:rPr>
          <w:rFonts w:ascii="Times New Roman" w:hAnsi="Times New Roman" w:eastAsia="楷体_GB2312" w:cs="Times New Roman"/>
          <w:sz w:val="28"/>
        </w:rPr>
      </w:pPr>
      <w:r>
        <w:rPr>
          <w:rFonts w:hint="eastAsia" w:ascii="楷体" w:hAnsi="楷体" w:eastAsia="楷体" w:cs="宋体"/>
          <w:sz w:val="28"/>
          <w:szCs w:val="24"/>
        </w:rPr>
        <w:t>埇桥区</w:t>
      </w:r>
      <w:r>
        <w:rPr>
          <w:rFonts w:ascii="Times New Roman" w:hAnsi="Times New Roman" w:eastAsia="楷体_GB2312" w:cs="Times New Roman"/>
          <w:sz w:val="28"/>
        </w:rPr>
        <w:t>各乡镇镇区商服、住宅用地样点地价与土地级别之间的指数模型测算结果见表2-5-3和表2-5-</w:t>
      </w:r>
      <w:r>
        <w:rPr>
          <w:rFonts w:hint="eastAsia" w:ascii="Times New Roman" w:hAnsi="Times New Roman" w:eastAsia="楷体_GB2312" w:cs="Times New Roman"/>
          <w:sz w:val="28"/>
        </w:rPr>
        <w:t>25</w:t>
      </w:r>
      <w:r>
        <w:rPr>
          <w:rFonts w:ascii="Times New Roman" w:hAnsi="Times New Roman" w:eastAsia="楷体_GB2312" w:cs="Times New Roman"/>
          <w:sz w:val="28"/>
        </w:rPr>
        <w:t>。</w:t>
      </w:r>
    </w:p>
    <w:p w14:paraId="193CA6EF">
      <w:pPr>
        <w:widowControl w:val="0"/>
        <w:spacing w:before="120" w:beforeLines="50" w:after="120" w:afterLines="50" w:line="240" w:lineRule="atLeast"/>
        <w:jc w:val="center"/>
        <w:rPr>
          <w:rFonts w:hint="eastAsia" w:eastAsia="黑体"/>
          <w:sz w:val="28"/>
          <w:szCs w:val="21"/>
        </w:rPr>
      </w:pPr>
    </w:p>
    <w:p w14:paraId="01A07DE3">
      <w:pPr>
        <w:widowControl w:val="0"/>
        <w:spacing w:before="120" w:beforeLines="50" w:after="120" w:afterLines="50" w:line="240" w:lineRule="atLeast"/>
        <w:jc w:val="center"/>
        <w:rPr>
          <w:rFonts w:hint="eastAsia" w:eastAsia="黑体"/>
          <w:sz w:val="28"/>
          <w:szCs w:val="21"/>
        </w:rPr>
      </w:pPr>
    </w:p>
    <w:p w14:paraId="3B1F7BA6">
      <w:pPr>
        <w:widowControl w:val="0"/>
        <w:spacing w:before="120" w:beforeLines="50" w:after="120" w:afterLines="50" w:line="240" w:lineRule="atLeast"/>
        <w:jc w:val="center"/>
        <w:rPr>
          <w:rFonts w:eastAsia="黑体"/>
          <w:sz w:val="28"/>
          <w:szCs w:val="21"/>
        </w:rPr>
      </w:pPr>
      <w:r>
        <w:rPr>
          <w:rFonts w:eastAsia="黑体"/>
          <w:sz w:val="28"/>
          <w:szCs w:val="21"/>
        </w:rPr>
        <w:t xml:space="preserve">表2-5-3  </w:t>
      </w:r>
      <w:r>
        <w:rPr>
          <w:rFonts w:hint="eastAsia" w:eastAsia="黑体"/>
          <w:sz w:val="28"/>
          <w:szCs w:val="21"/>
        </w:rPr>
        <w:t>符离镇</w:t>
      </w:r>
      <w:r>
        <w:rPr>
          <w:rFonts w:eastAsia="黑体"/>
          <w:sz w:val="28"/>
          <w:szCs w:val="21"/>
        </w:rPr>
        <w:t>样点地价与土地级别指数模型测算结果表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3616"/>
        <w:gridCol w:w="4089"/>
      </w:tblGrid>
      <w:tr w14:paraId="4820E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305" w:type="dxa"/>
            <w:noWrap w:val="0"/>
            <w:vAlign w:val="center"/>
          </w:tcPr>
          <w:p w14:paraId="3F24B168">
            <w:pPr>
              <w:jc w:val="center"/>
              <w:rPr>
                <w:rFonts w:eastAsia="楷体"/>
                <w:kern w:val="0"/>
                <w:sz w:val="22"/>
                <w:szCs w:val="22"/>
              </w:rPr>
            </w:pPr>
            <w:r>
              <w:rPr>
                <w:rFonts w:eastAsia="楷体"/>
                <w:kern w:val="0"/>
                <w:sz w:val="22"/>
                <w:szCs w:val="22"/>
              </w:rPr>
              <w:t>用地类型</w:t>
            </w:r>
          </w:p>
        </w:tc>
        <w:tc>
          <w:tcPr>
            <w:tcW w:w="3453" w:type="dxa"/>
            <w:noWrap w:val="0"/>
            <w:vAlign w:val="center"/>
          </w:tcPr>
          <w:p w14:paraId="132B64AB">
            <w:pPr>
              <w:jc w:val="center"/>
              <w:rPr>
                <w:rFonts w:eastAsia="楷体"/>
                <w:kern w:val="0"/>
                <w:sz w:val="22"/>
                <w:szCs w:val="22"/>
              </w:rPr>
            </w:pPr>
            <w:r>
              <w:rPr>
                <w:rFonts w:eastAsia="楷体"/>
                <w:kern w:val="0"/>
                <w:sz w:val="22"/>
                <w:szCs w:val="22"/>
              </w:rPr>
              <w:t>模型数学表达式</w:t>
            </w:r>
          </w:p>
        </w:tc>
        <w:tc>
          <w:tcPr>
            <w:tcW w:w="3904" w:type="dxa"/>
            <w:noWrap w:val="0"/>
            <w:vAlign w:val="center"/>
          </w:tcPr>
          <w:p w14:paraId="510C4876">
            <w:pPr>
              <w:jc w:val="center"/>
              <w:rPr>
                <w:rFonts w:eastAsia="楷体"/>
                <w:kern w:val="0"/>
                <w:sz w:val="22"/>
                <w:szCs w:val="22"/>
              </w:rPr>
            </w:pPr>
            <w:r>
              <w:rPr>
                <w:rFonts w:eastAsia="楷体"/>
                <w:kern w:val="0"/>
                <w:sz w:val="22"/>
                <w:szCs w:val="22"/>
              </w:rPr>
              <w:t>统计量检验</w:t>
            </w:r>
          </w:p>
        </w:tc>
      </w:tr>
      <w:tr w14:paraId="1C04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305" w:type="dxa"/>
            <w:noWrap w:val="0"/>
            <w:vAlign w:val="center"/>
          </w:tcPr>
          <w:p w14:paraId="0DD8CDC4">
            <w:pPr>
              <w:jc w:val="center"/>
              <w:rPr>
                <w:rFonts w:eastAsia="楷体"/>
                <w:kern w:val="0"/>
                <w:sz w:val="22"/>
                <w:szCs w:val="22"/>
              </w:rPr>
            </w:pPr>
            <w:r>
              <w:rPr>
                <w:rFonts w:eastAsia="楷体"/>
                <w:kern w:val="0"/>
                <w:sz w:val="22"/>
                <w:szCs w:val="22"/>
              </w:rPr>
              <w:t>商服用地</w:t>
            </w:r>
          </w:p>
        </w:tc>
        <w:tc>
          <w:tcPr>
            <w:tcW w:w="3453" w:type="dxa"/>
            <w:noWrap w:val="0"/>
            <w:vAlign w:val="center"/>
          </w:tcPr>
          <w:p w14:paraId="457845B1">
            <w:pPr>
              <w:jc w:val="center"/>
              <w:rPr>
                <w:rFonts w:eastAsia="楷体"/>
                <w:kern w:val="0"/>
                <w:sz w:val="22"/>
                <w:szCs w:val="22"/>
              </w:rPr>
            </w:pPr>
            <w:r>
              <w:rPr>
                <w:rFonts w:eastAsia="楷体"/>
                <w:kern w:val="0"/>
                <w:sz w:val="22"/>
                <w:szCs w:val="22"/>
              </w:rPr>
              <w:t>Yn =127.5213×(1+0.8942)</w:t>
            </w:r>
            <w:r>
              <w:rPr>
                <w:rFonts w:eastAsia="楷体"/>
                <w:kern w:val="0"/>
                <w:sz w:val="22"/>
                <w:szCs w:val="22"/>
              </w:rPr>
              <w:object>
                <v:shape id="_x0000_i1141"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41" DrawAspect="Content" ObjectID="_1468075841" r:id="rId276">
                  <o:LockedField>false</o:LockedField>
                </o:OLEObject>
              </w:object>
            </w:r>
          </w:p>
        </w:tc>
        <w:tc>
          <w:tcPr>
            <w:tcW w:w="3904" w:type="dxa"/>
            <w:noWrap w:val="0"/>
            <w:vAlign w:val="center"/>
          </w:tcPr>
          <w:p w14:paraId="036107EA">
            <w:pPr>
              <w:jc w:val="center"/>
              <w:rPr>
                <w:rFonts w:eastAsia="楷体"/>
                <w:kern w:val="0"/>
                <w:sz w:val="22"/>
                <w:szCs w:val="22"/>
              </w:rPr>
            </w:pPr>
            <w:r>
              <w:rPr>
                <w:rFonts w:eastAsia="楷体"/>
                <w:kern w:val="0"/>
                <w:sz w:val="22"/>
                <w:szCs w:val="22"/>
              </w:rPr>
              <w:t>α=0.05，F=528.3417，t=37.6101,R=0. 8732</w:t>
            </w:r>
          </w:p>
        </w:tc>
      </w:tr>
      <w:tr w14:paraId="2948B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305" w:type="dxa"/>
            <w:noWrap w:val="0"/>
            <w:vAlign w:val="center"/>
          </w:tcPr>
          <w:p w14:paraId="2D0D9A80">
            <w:pPr>
              <w:jc w:val="center"/>
              <w:rPr>
                <w:rFonts w:eastAsia="楷体"/>
                <w:kern w:val="0"/>
                <w:sz w:val="22"/>
                <w:szCs w:val="22"/>
              </w:rPr>
            </w:pPr>
            <w:r>
              <w:rPr>
                <w:rFonts w:eastAsia="楷体"/>
                <w:kern w:val="0"/>
                <w:sz w:val="22"/>
                <w:szCs w:val="22"/>
              </w:rPr>
              <w:t>住宅用地</w:t>
            </w:r>
          </w:p>
        </w:tc>
        <w:tc>
          <w:tcPr>
            <w:tcW w:w="3453" w:type="dxa"/>
            <w:noWrap w:val="0"/>
            <w:vAlign w:val="center"/>
          </w:tcPr>
          <w:p w14:paraId="5BDB3107">
            <w:pPr>
              <w:jc w:val="center"/>
              <w:rPr>
                <w:rFonts w:eastAsia="楷体"/>
                <w:kern w:val="0"/>
                <w:sz w:val="22"/>
                <w:szCs w:val="22"/>
              </w:rPr>
            </w:pPr>
            <w:r>
              <w:rPr>
                <w:rFonts w:eastAsia="楷体"/>
                <w:kern w:val="0"/>
                <w:sz w:val="22"/>
                <w:szCs w:val="22"/>
              </w:rPr>
              <w:t>Yn =151.4823×(1+0.3645)</w:t>
            </w:r>
            <w:r>
              <w:rPr>
                <w:rFonts w:eastAsia="楷体"/>
                <w:kern w:val="0"/>
                <w:sz w:val="22"/>
                <w:szCs w:val="22"/>
              </w:rPr>
              <w:object>
                <v:shape id="_x0000_i1142"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42" DrawAspect="Content" ObjectID="_1468075842" r:id="rId278">
                  <o:LockedField>false</o:LockedField>
                </o:OLEObject>
              </w:object>
            </w:r>
          </w:p>
        </w:tc>
        <w:tc>
          <w:tcPr>
            <w:tcW w:w="3904" w:type="dxa"/>
            <w:noWrap w:val="0"/>
            <w:vAlign w:val="center"/>
          </w:tcPr>
          <w:p w14:paraId="3CDFF0A1">
            <w:pPr>
              <w:jc w:val="center"/>
              <w:rPr>
                <w:rFonts w:eastAsia="楷体"/>
                <w:kern w:val="0"/>
                <w:sz w:val="22"/>
                <w:szCs w:val="22"/>
              </w:rPr>
            </w:pPr>
            <w:r>
              <w:rPr>
                <w:rFonts w:eastAsia="楷体"/>
                <w:kern w:val="0"/>
                <w:sz w:val="22"/>
                <w:szCs w:val="22"/>
              </w:rPr>
              <w:t>α=0.05，F=283.2405，t=27.4418，R=0.8413</w:t>
            </w:r>
          </w:p>
        </w:tc>
      </w:tr>
    </w:tbl>
    <w:p w14:paraId="0CC515BD">
      <w:pPr>
        <w:widowControl w:val="0"/>
        <w:spacing w:before="120" w:beforeLines="50" w:after="120" w:afterLines="50" w:line="240" w:lineRule="atLeast"/>
        <w:jc w:val="center"/>
        <w:rPr>
          <w:rFonts w:eastAsia="黑体"/>
          <w:sz w:val="28"/>
          <w:szCs w:val="21"/>
        </w:rPr>
      </w:pPr>
      <w:r>
        <w:rPr>
          <w:rFonts w:eastAsia="黑体"/>
          <w:sz w:val="28"/>
          <w:szCs w:val="21"/>
        </w:rPr>
        <w:t xml:space="preserve">表2-5-4 </w:t>
      </w:r>
      <w:r>
        <w:rPr>
          <w:rFonts w:hint="eastAsia" w:eastAsia="黑体"/>
          <w:sz w:val="28"/>
          <w:szCs w:val="21"/>
        </w:rPr>
        <w:t>朱仙庄</w:t>
      </w:r>
      <w:r>
        <w:rPr>
          <w:rFonts w:eastAsia="黑体"/>
          <w:sz w:val="28"/>
          <w:szCs w:val="21"/>
        </w:rPr>
        <w:t>镇样点地价与土地级别指数模型测算结果表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59DDC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58CC36DB">
            <w:pPr>
              <w:jc w:val="center"/>
              <w:rPr>
                <w:rFonts w:eastAsia="楷体"/>
                <w:kern w:val="0"/>
                <w:sz w:val="22"/>
                <w:szCs w:val="22"/>
              </w:rPr>
            </w:pPr>
            <w:r>
              <w:rPr>
                <w:rFonts w:eastAsia="楷体"/>
                <w:kern w:val="0"/>
                <w:sz w:val="22"/>
                <w:szCs w:val="22"/>
              </w:rPr>
              <w:t>用地类型</w:t>
            </w:r>
          </w:p>
        </w:tc>
        <w:tc>
          <w:tcPr>
            <w:tcW w:w="3504" w:type="dxa"/>
            <w:noWrap w:val="0"/>
            <w:vAlign w:val="center"/>
          </w:tcPr>
          <w:p w14:paraId="14659D85">
            <w:pPr>
              <w:jc w:val="center"/>
              <w:rPr>
                <w:rFonts w:eastAsia="楷体"/>
                <w:kern w:val="0"/>
                <w:sz w:val="22"/>
                <w:szCs w:val="22"/>
              </w:rPr>
            </w:pPr>
            <w:r>
              <w:rPr>
                <w:rFonts w:eastAsia="楷体"/>
                <w:kern w:val="0"/>
                <w:sz w:val="22"/>
                <w:szCs w:val="22"/>
              </w:rPr>
              <w:t>模型数学表达式</w:t>
            </w:r>
          </w:p>
        </w:tc>
        <w:tc>
          <w:tcPr>
            <w:tcW w:w="3961" w:type="dxa"/>
            <w:noWrap w:val="0"/>
            <w:vAlign w:val="center"/>
          </w:tcPr>
          <w:p w14:paraId="71F82280">
            <w:pPr>
              <w:jc w:val="center"/>
              <w:rPr>
                <w:rFonts w:eastAsia="楷体"/>
                <w:kern w:val="0"/>
                <w:sz w:val="22"/>
                <w:szCs w:val="22"/>
              </w:rPr>
            </w:pPr>
            <w:r>
              <w:rPr>
                <w:rFonts w:eastAsia="楷体"/>
                <w:kern w:val="0"/>
                <w:sz w:val="22"/>
                <w:szCs w:val="22"/>
              </w:rPr>
              <w:t>统计量检验</w:t>
            </w:r>
          </w:p>
        </w:tc>
      </w:tr>
      <w:tr w14:paraId="51F9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7CC68292">
            <w:pPr>
              <w:jc w:val="center"/>
              <w:rPr>
                <w:rFonts w:eastAsia="楷体"/>
                <w:kern w:val="0"/>
                <w:sz w:val="22"/>
                <w:szCs w:val="22"/>
              </w:rPr>
            </w:pPr>
            <w:r>
              <w:rPr>
                <w:rFonts w:eastAsia="楷体"/>
                <w:kern w:val="0"/>
                <w:sz w:val="22"/>
                <w:szCs w:val="22"/>
              </w:rPr>
              <w:t>商服用地</w:t>
            </w:r>
          </w:p>
        </w:tc>
        <w:tc>
          <w:tcPr>
            <w:tcW w:w="3504" w:type="dxa"/>
            <w:noWrap w:val="0"/>
            <w:vAlign w:val="center"/>
          </w:tcPr>
          <w:p w14:paraId="48AE17E6">
            <w:pPr>
              <w:jc w:val="center"/>
              <w:rPr>
                <w:rFonts w:eastAsia="楷体"/>
                <w:kern w:val="0"/>
                <w:sz w:val="22"/>
                <w:szCs w:val="22"/>
              </w:rPr>
            </w:pPr>
            <w:r>
              <w:rPr>
                <w:rFonts w:eastAsia="楷体"/>
                <w:kern w:val="0"/>
                <w:sz w:val="22"/>
                <w:szCs w:val="22"/>
              </w:rPr>
              <w:t>Yn =368.1545×(1+0.1211)</w:t>
            </w:r>
            <w:r>
              <w:rPr>
                <w:rFonts w:eastAsia="楷体"/>
                <w:kern w:val="0"/>
                <w:sz w:val="22"/>
                <w:szCs w:val="22"/>
              </w:rPr>
              <w:object>
                <v:shape id="_x0000_i1143"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43" DrawAspect="Content" ObjectID="_1468075843" r:id="rId279">
                  <o:LockedField>false</o:LockedField>
                </o:OLEObject>
              </w:object>
            </w:r>
          </w:p>
        </w:tc>
        <w:tc>
          <w:tcPr>
            <w:tcW w:w="3961" w:type="dxa"/>
            <w:noWrap w:val="0"/>
            <w:vAlign w:val="center"/>
          </w:tcPr>
          <w:p w14:paraId="22412C97">
            <w:pPr>
              <w:jc w:val="center"/>
              <w:rPr>
                <w:rFonts w:eastAsia="楷体"/>
                <w:kern w:val="0"/>
                <w:sz w:val="22"/>
                <w:szCs w:val="22"/>
              </w:rPr>
            </w:pPr>
            <w:r>
              <w:rPr>
                <w:rFonts w:eastAsia="楷体"/>
                <w:kern w:val="0"/>
                <w:sz w:val="22"/>
                <w:szCs w:val="22"/>
              </w:rPr>
              <w:t>α=0.05，F=544.7513，t=34.6691,R=0. 8123</w:t>
            </w:r>
          </w:p>
        </w:tc>
      </w:tr>
      <w:tr w14:paraId="029F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0F8FE540">
            <w:pPr>
              <w:jc w:val="center"/>
              <w:rPr>
                <w:rFonts w:eastAsia="楷体"/>
                <w:kern w:val="0"/>
                <w:sz w:val="22"/>
                <w:szCs w:val="22"/>
              </w:rPr>
            </w:pPr>
            <w:r>
              <w:rPr>
                <w:rFonts w:eastAsia="楷体"/>
                <w:kern w:val="0"/>
                <w:sz w:val="22"/>
                <w:szCs w:val="22"/>
              </w:rPr>
              <w:t>住宅用地</w:t>
            </w:r>
          </w:p>
        </w:tc>
        <w:tc>
          <w:tcPr>
            <w:tcW w:w="3504" w:type="dxa"/>
            <w:noWrap w:val="0"/>
            <w:vAlign w:val="center"/>
          </w:tcPr>
          <w:p w14:paraId="676452F4">
            <w:pPr>
              <w:jc w:val="center"/>
              <w:rPr>
                <w:rFonts w:eastAsia="楷体"/>
                <w:kern w:val="0"/>
                <w:sz w:val="22"/>
                <w:szCs w:val="22"/>
              </w:rPr>
            </w:pPr>
            <w:r>
              <w:rPr>
                <w:rFonts w:eastAsia="楷体"/>
                <w:kern w:val="0"/>
                <w:sz w:val="22"/>
                <w:szCs w:val="22"/>
              </w:rPr>
              <w:t>Yn =</w:t>
            </w:r>
            <w:r>
              <w:t xml:space="preserve"> </w:t>
            </w:r>
            <w:r>
              <w:rPr>
                <w:rFonts w:eastAsia="楷体"/>
                <w:kern w:val="0"/>
                <w:sz w:val="22"/>
                <w:szCs w:val="22"/>
              </w:rPr>
              <w:t>352.1547×(1+0.1022)</w:t>
            </w:r>
            <w:r>
              <w:rPr>
                <w:rFonts w:eastAsia="楷体"/>
                <w:kern w:val="0"/>
                <w:sz w:val="22"/>
                <w:szCs w:val="22"/>
              </w:rPr>
              <w:object>
                <v:shape id="_x0000_i1144"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44" DrawAspect="Content" ObjectID="_1468075844" r:id="rId280">
                  <o:LockedField>false</o:LockedField>
                </o:OLEObject>
              </w:object>
            </w:r>
          </w:p>
        </w:tc>
        <w:tc>
          <w:tcPr>
            <w:tcW w:w="3961" w:type="dxa"/>
            <w:noWrap w:val="0"/>
            <w:vAlign w:val="center"/>
          </w:tcPr>
          <w:p w14:paraId="5384A23A">
            <w:pPr>
              <w:jc w:val="center"/>
              <w:rPr>
                <w:rFonts w:eastAsia="楷体"/>
                <w:kern w:val="0"/>
                <w:sz w:val="22"/>
                <w:szCs w:val="22"/>
              </w:rPr>
            </w:pPr>
            <w:r>
              <w:rPr>
                <w:rFonts w:eastAsia="楷体"/>
                <w:kern w:val="0"/>
                <w:sz w:val="22"/>
                <w:szCs w:val="22"/>
              </w:rPr>
              <w:t>α=0.05，F=293.7605，t=27.4578，R=0.8321</w:t>
            </w:r>
          </w:p>
        </w:tc>
      </w:tr>
    </w:tbl>
    <w:p w14:paraId="71ACFFCC">
      <w:pPr>
        <w:widowControl w:val="0"/>
        <w:spacing w:before="120" w:beforeLines="50" w:after="120" w:afterLines="50" w:line="240" w:lineRule="atLeast"/>
        <w:jc w:val="center"/>
        <w:rPr>
          <w:rFonts w:eastAsia="黑体"/>
          <w:sz w:val="28"/>
          <w:szCs w:val="21"/>
        </w:rPr>
      </w:pPr>
      <w:r>
        <w:rPr>
          <w:rFonts w:eastAsia="黑体"/>
          <w:sz w:val="28"/>
          <w:szCs w:val="21"/>
        </w:rPr>
        <w:t xml:space="preserve">表2-5-5  </w:t>
      </w:r>
      <w:r>
        <w:rPr>
          <w:rFonts w:hint="eastAsia" w:eastAsia="黑体"/>
          <w:sz w:val="28"/>
          <w:szCs w:val="21"/>
        </w:rPr>
        <w:t>蕲县镇</w:t>
      </w:r>
      <w:r>
        <w:rPr>
          <w:rFonts w:eastAsia="黑体"/>
          <w:sz w:val="28"/>
          <w:szCs w:val="21"/>
        </w:rPr>
        <w:t>样点地价与土地级别指数模型测算结果表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5DE66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34483044">
            <w:pPr>
              <w:jc w:val="center"/>
              <w:rPr>
                <w:rFonts w:eastAsia="楷体"/>
                <w:kern w:val="0"/>
                <w:sz w:val="22"/>
                <w:szCs w:val="22"/>
              </w:rPr>
            </w:pPr>
            <w:r>
              <w:rPr>
                <w:rFonts w:eastAsia="楷体"/>
                <w:kern w:val="0"/>
                <w:sz w:val="22"/>
                <w:szCs w:val="22"/>
              </w:rPr>
              <w:t>用地类型</w:t>
            </w:r>
          </w:p>
        </w:tc>
        <w:tc>
          <w:tcPr>
            <w:tcW w:w="3504" w:type="dxa"/>
            <w:noWrap w:val="0"/>
            <w:vAlign w:val="center"/>
          </w:tcPr>
          <w:p w14:paraId="0C699380">
            <w:pPr>
              <w:jc w:val="center"/>
              <w:rPr>
                <w:rFonts w:eastAsia="楷体"/>
                <w:kern w:val="0"/>
                <w:sz w:val="22"/>
                <w:szCs w:val="22"/>
              </w:rPr>
            </w:pPr>
            <w:r>
              <w:rPr>
                <w:rFonts w:eastAsia="楷体"/>
                <w:kern w:val="0"/>
                <w:sz w:val="22"/>
                <w:szCs w:val="22"/>
              </w:rPr>
              <w:t>模型数学表达式</w:t>
            </w:r>
          </w:p>
        </w:tc>
        <w:tc>
          <w:tcPr>
            <w:tcW w:w="3961" w:type="dxa"/>
            <w:noWrap w:val="0"/>
            <w:vAlign w:val="center"/>
          </w:tcPr>
          <w:p w14:paraId="6B6CFB34">
            <w:pPr>
              <w:jc w:val="center"/>
              <w:rPr>
                <w:rFonts w:eastAsia="楷体"/>
                <w:kern w:val="0"/>
                <w:sz w:val="22"/>
                <w:szCs w:val="22"/>
              </w:rPr>
            </w:pPr>
            <w:r>
              <w:rPr>
                <w:rFonts w:eastAsia="楷体"/>
                <w:kern w:val="0"/>
                <w:sz w:val="22"/>
                <w:szCs w:val="22"/>
              </w:rPr>
              <w:t>统计量检验</w:t>
            </w:r>
          </w:p>
        </w:tc>
      </w:tr>
      <w:tr w14:paraId="1E1A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399E9DBF">
            <w:pPr>
              <w:jc w:val="center"/>
              <w:rPr>
                <w:rFonts w:eastAsia="楷体"/>
                <w:kern w:val="0"/>
                <w:sz w:val="22"/>
                <w:szCs w:val="22"/>
              </w:rPr>
            </w:pPr>
            <w:r>
              <w:rPr>
                <w:rFonts w:eastAsia="楷体"/>
                <w:kern w:val="0"/>
                <w:sz w:val="22"/>
                <w:szCs w:val="22"/>
              </w:rPr>
              <w:t>商服用地</w:t>
            </w:r>
          </w:p>
        </w:tc>
        <w:tc>
          <w:tcPr>
            <w:tcW w:w="3504" w:type="dxa"/>
            <w:noWrap w:val="0"/>
            <w:vAlign w:val="center"/>
          </w:tcPr>
          <w:p w14:paraId="68839A9D">
            <w:pPr>
              <w:jc w:val="center"/>
              <w:rPr>
                <w:rFonts w:eastAsia="楷体"/>
                <w:kern w:val="0"/>
                <w:sz w:val="22"/>
                <w:szCs w:val="22"/>
              </w:rPr>
            </w:pPr>
            <w:r>
              <w:rPr>
                <w:rFonts w:eastAsia="楷体"/>
                <w:kern w:val="0"/>
                <w:sz w:val="22"/>
                <w:szCs w:val="22"/>
              </w:rPr>
              <w:t>Yn =184.7385×(1+0.2112)</w:t>
            </w:r>
            <w:r>
              <w:rPr>
                <w:rFonts w:eastAsia="楷体"/>
                <w:kern w:val="0"/>
                <w:sz w:val="22"/>
                <w:szCs w:val="22"/>
              </w:rPr>
              <w:object>
                <v:shape id="_x0000_i1145"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45" DrawAspect="Content" ObjectID="_1468075845" r:id="rId281">
                  <o:LockedField>false</o:LockedField>
                </o:OLEObject>
              </w:object>
            </w:r>
          </w:p>
        </w:tc>
        <w:tc>
          <w:tcPr>
            <w:tcW w:w="3961" w:type="dxa"/>
            <w:noWrap w:val="0"/>
            <w:vAlign w:val="center"/>
          </w:tcPr>
          <w:p w14:paraId="75591DC0">
            <w:pPr>
              <w:jc w:val="center"/>
              <w:rPr>
                <w:rFonts w:eastAsia="楷体"/>
                <w:kern w:val="0"/>
                <w:sz w:val="22"/>
                <w:szCs w:val="22"/>
              </w:rPr>
            </w:pPr>
            <w:r>
              <w:rPr>
                <w:rFonts w:eastAsia="楷体"/>
                <w:kern w:val="0"/>
                <w:sz w:val="22"/>
                <w:szCs w:val="22"/>
              </w:rPr>
              <w:t>α=0.05，F=534.1274，t=35.4132,R=0. 8325</w:t>
            </w:r>
          </w:p>
        </w:tc>
      </w:tr>
      <w:tr w14:paraId="57EE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6C2D0B16">
            <w:pPr>
              <w:jc w:val="center"/>
              <w:rPr>
                <w:rFonts w:eastAsia="楷体"/>
                <w:kern w:val="0"/>
                <w:sz w:val="22"/>
                <w:szCs w:val="22"/>
              </w:rPr>
            </w:pPr>
            <w:r>
              <w:rPr>
                <w:rFonts w:eastAsia="楷体"/>
                <w:kern w:val="0"/>
                <w:sz w:val="22"/>
                <w:szCs w:val="22"/>
              </w:rPr>
              <w:t>住宅用地</w:t>
            </w:r>
          </w:p>
        </w:tc>
        <w:tc>
          <w:tcPr>
            <w:tcW w:w="3504" w:type="dxa"/>
            <w:noWrap w:val="0"/>
            <w:vAlign w:val="center"/>
          </w:tcPr>
          <w:p w14:paraId="3066A264">
            <w:pPr>
              <w:jc w:val="center"/>
              <w:rPr>
                <w:rFonts w:eastAsia="楷体"/>
                <w:kern w:val="0"/>
                <w:sz w:val="22"/>
                <w:szCs w:val="22"/>
              </w:rPr>
            </w:pPr>
            <w:r>
              <w:rPr>
                <w:rFonts w:eastAsia="楷体"/>
                <w:kern w:val="0"/>
                <w:sz w:val="22"/>
                <w:szCs w:val="22"/>
              </w:rPr>
              <w:t>Yn = 178.8814×(1+0.1714)</w:t>
            </w:r>
            <w:r>
              <w:rPr>
                <w:rFonts w:eastAsia="楷体"/>
                <w:kern w:val="0"/>
                <w:sz w:val="22"/>
                <w:szCs w:val="22"/>
              </w:rPr>
              <w:object>
                <v:shape id="_x0000_i1146"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46" DrawAspect="Content" ObjectID="_1468075846" r:id="rId282">
                  <o:LockedField>false</o:LockedField>
                </o:OLEObject>
              </w:object>
            </w:r>
          </w:p>
        </w:tc>
        <w:tc>
          <w:tcPr>
            <w:tcW w:w="3961" w:type="dxa"/>
            <w:noWrap w:val="0"/>
            <w:vAlign w:val="center"/>
          </w:tcPr>
          <w:p w14:paraId="0CE02FDF">
            <w:pPr>
              <w:jc w:val="center"/>
              <w:rPr>
                <w:rFonts w:eastAsia="楷体"/>
                <w:kern w:val="0"/>
                <w:sz w:val="22"/>
                <w:szCs w:val="22"/>
              </w:rPr>
            </w:pPr>
            <w:r>
              <w:rPr>
                <w:rFonts w:eastAsia="楷体"/>
                <w:kern w:val="0"/>
                <w:sz w:val="22"/>
                <w:szCs w:val="22"/>
              </w:rPr>
              <w:t>α=0.05，F=310.2147，t=24.5547，R=0.8763</w:t>
            </w:r>
          </w:p>
        </w:tc>
      </w:tr>
    </w:tbl>
    <w:p w14:paraId="00CEFF71">
      <w:pPr>
        <w:widowControl w:val="0"/>
        <w:spacing w:before="120" w:beforeLines="50" w:after="120" w:afterLines="50" w:line="240" w:lineRule="atLeast"/>
        <w:jc w:val="center"/>
        <w:rPr>
          <w:rFonts w:eastAsia="黑体"/>
          <w:sz w:val="28"/>
          <w:szCs w:val="21"/>
        </w:rPr>
      </w:pPr>
      <w:r>
        <w:rPr>
          <w:rFonts w:eastAsia="黑体"/>
          <w:sz w:val="28"/>
          <w:szCs w:val="21"/>
        </w:rPr>
        <w:t xml:space="preserve">表2-5-6  </w:t>
      </w:r>
      <w:r>
        <w:rPr>
          <w:rFonts w:hint="eastAsia" w:eastAsia="黑体"/>
          <w:sz w:val="28"/>
          <w:szCs w:val="21"/>
        </w:rPr>
        <w:t>芦岭镇</w:t>
      </w:r>
      <w:r>
        <w:rPr>
          <w:rFonts w:eastAsia="黑体"/>
          <w:sz w:val="28"/>
          <w:szCs w:val="21"/>
        </w:rPr>
        <w:t>样点地价与土地级别指数模型测算结果表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61A33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13E0CBC0">
            <w:pPr>
              <w:jc w:val="center"/>
              <w:rPr>
                <w:rFonts w:eastAsia="楷体"/>
                <w:kern w:val="0"/>
                <w:sz w:val="22"/>
                <w:szCs w:val="22"/>
              </w:rPr>
            </w:pPr>
            <w:r>
              <w:rPr>
                <w:rFonts w:eastAsia="楷体"/>
                <w:kern w:val="0"/>
                <w:sz w:val="22"/>
                <w:szCs w:val="22"/>
              </w:rPr>
              <w:t>用地类型</w:t>
            </w:r>
          </w:p>
        </w:tc>
        <w:tc>
          <w:tcPr>
            <w:tcW w:w="3504" w:type="dxa"/>
            <w:noWrap w:val="0"/>
            <w:vAlign w:val="center"/>
          </w:tcPr>
          <w:p w14:paraId="5F152500">
            <w:pPr>
              <w:jc w:val="center"/>
              <w:rPr>
                <w:rFonts w:eastAsia="楷体"/>
                <w:kern w:val="0"/>
                <w:sz w:val="22"/>
                <w:szCs w:val="22"/>
              </w:rPr>
            </w:pPr>
            <w:r>
              <w:rPr>
                <w:rFonts w:eastAsia="楷体"/>
                <w:kern w:val="0"/>
                <w:sz w:val="22"/>
                <w:szCs w:val="22"/>
              </w:rPr>
              <w:t>模型数学表达式</w:t>
            </w:r>
          </w:p>
        </w:tc>
        <w:tc>
          <w:tcPr>
            <w:tcW w:w="3961" w:type="dxa"/>
            <w:noWrap w:val="0"/>
            <w:vAlign w:val="center"/>
          </w:tcPr>
          <w:p w14:paraId="4268DFA2">
            <w:pPr>
              <w:jc w:val="center"/>
              <w:rPr>
                <w:rFonts w:eastAsia="楷体"/>
                <w:kern w:val="0"/>
                <w:sz w:val="22"/>
                <w:szCs w:val="22"/>
              </w:rPr>
            </w:pPr>
            <w:r>
              <w:rPr>
                <w:rFonts w:eastAsia="楷体"/>
                <w:kern w:val="0"/>
                <w:sz w:val="22"/>
                <w:szCs w:val="22"/>
              </w:rPr>
              <w:t>统计量检验</w:t>
            </w:r>
          </w:p>
        </w:tc>
      </w:tr>
      <w:tr w14:paraId="3E282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692D82E2">
            <w:pPr>
              <w:jc w:val="center"/>
              <w:rPr>
                <w:rFonts w:eastAsia="楷体"/>
                <w:kern w:val="0"/>
                <w:sz w:val="22"/>
                <w:szCs w:val="22"/>
              </w:rPr>
            </w:pPr>
            <w:r>
              <w:rPr>
                <w:rFonts w:eastAsia="楷体"/>
                <w:kern w:val="0"/>
                <w:sz w:val="22"/>
                <w:szCs w:val="22"/>
              </w:rPr>
              <w:t>商服用地</w:t>
            </w:r>
          </w:p>
        </w:tc>
        <w:tc>
          <w:tcPr>
            <w:tcW w:w="3504" w:type="dxa"/>
            <w:noWrap w:val="0"/>
            <w:vAlign w:val="center"/>
          </w:tcPr>
          <w:p w14:paraId="33BA0C5C">
            <w:pPr>
              <w:jc w:val="center"/>
              <w:rPr>
                <w:rFonts w:eastAsia="楷体"/>
                <w:kern w:val="0"/>
                <w:sz w:val="22"/>
                <w:szCs w:val="22"/>
              </w:rPr>
            </w:pPr>
            <w:r>
              <w:rPr>
                <w:rFonts w:eastAsia="楷体"/>
                <w:kern w:val="0"/>
                <w:sz w:val="22"/>
                <w:szCs w:val="22"/>
              </w:rPr>
              <w:t>Yn =145.5814×(1+0.5673)</w:t>
            </w:r>
            <w:r>
              <w:rPr>
                <w:rFonts w:eastAsia="楷体"/>
                <w:kern w:val="0"/>
                <w:sz w:val="22"/>
                <w:szCs w:val="22"/>
              </w:rPr>
              <w:object>
                <v:shape id="_x0000_i1147"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47" DrawAspect="Content" ObjectID="_1468075847" r:id="rId283">
                  <o:LockedField>false</o:LockedField>
                </o:OLEObject>
              </w:object>
            </w:r>
          </w:p>
        </w:tc>
        <w:tc>
          <w:tcPr>
            <w:tcW w:w="3961" w:type="dxa"/>
            <w:noWrap w:val="0"/>
            <w:vAlign w:val="center"/>
          </w:tcPr>
          <w:p w14:paraId="67BADB30">
            <w:pPr>
              <w:jc w:val="center"/>
              <w:rPr>
                <w:rFonts w:eastAsia="楷体"/>
                <w:kern w:val="0"/>
                <w:sz w:val="22"/>
                <w:szCs w:val="22"/>
              </w:rPr>
            </w:pPr>
            <w:r>
              <w:rPr>
                <w:rFonts w:eastAsia="楷体"/>
                <w:kern w:val="0"/>
                <w:sz w:val="22"/>
                <w:szCs w:val="22"/>
              </w:rPr>
              <w:t>α=0.05，F=521.4531，t=33.2147,R=0. 8742</w:t>
            </w:r>
          </w:p>
        </w:tc>
      </w:tr>
      <w:tr w14:paraId="25D8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1AD918BC">
            <w:pPr>
              <w:jc w:val="center"/>
              <w:rPr>
                <w:rFonts w:eastAsia="楷体"/>
                <w:kern w:val="0"/>
                <w:sz w:val="22"/>
                <w:szCs w:val="22"/>
              </w:rPr>
            </w:pPr>
            <w:r>
              <w:rPr>
                <w:rFonts w:eastAsia="楷体"/>
                <w:kern w:val="0"/>
                <w:sz w:val="22"/>
                <w:szCs w:val="22"/>
              </w:rPr>
              <w:t>住宅用地</w:t>
            </w:r>
          </w:p>
        </w:tc>
        <w:tc>
          <w:tcPr>
            <w:tcW w:w="3504" w:type="dxa"/>
            <w:noWrap w:val="0"/>
            <w:vAlign w:val="center"/>
          </w:tcPr>
          <w:p w14:paraId="4AE4BD78">
            <w:pPr>
              <w:jc w:val="center"/>
              <w:rPr>
                <w:rFonts w:eastAsia="楷体"/>
                <w:kern w:val="0"/>
                <w:sz w:val="22"/>
                <w:szCs w:val="22"/>
              </w:rPr>
            </w:pPr>
            <w:r>
              <w:rPr>
                <w:rFonts w:eastAsia="楷体"/>
                <w:kern w:val="0"/>
                <w:sz w:val="22"/>
                <w:szCs w:val="22"/>
              </w:rPr>
              <w:t>Yn =151.9551×(1+0.3825)</w:t>
            </w:r>
            <w:r>
              <w:rPr>
                <w:rFonts w:eastAsia="楷体"/>
                <w:kern w:val="0"/>
                <w:sz w:val="22"/>
                <w:szCs w:val="22"/>
              </w:rPr>
              <w:object>
                <v:shape id="_x0000_i1148"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48" DrawAspect="Content" ObjectID="_1468075848" r:id="rId284">
                  <o:LockedField>false</o:LockedField>
                </o:OLEObject>
              </w:object>
            </w:r>
          </w:p>
        </w:tc>
        <w:tc>
          <w:tcPr>
            <w:tcW w:w="3961" w:type="dxa"/>
            <w:noWrap w:val="0"/>
            <w:vAlign w:val="center"/>
          </w:tcPr>
          <w:p w14:paraId="7E765E40">
            <w:pPr>
              <w:jc w:val="center"/>
              <w:rPr>
                <w:rFonts w:eastAsia="楷体"/>
                <w:kern w:val="0"/>
                <w:sz w:val="22"/>
                <w:szCs w:val="22"/>
              </w:rPr>
            </w:pPr>
            <w:r>
              <w:rPr>
                <w:rFonts w:eastAsia="楷体"/>
                <w:kern w:val="0"/>
                <w:sz w:val="22"/>
                <w:szCs w:val="22"/>
              </w:rPr>
              <w:t>α=0.05，F=298.4312，t=26.4418，R=0.8763</w:t>
            </w:r>
          </w:p>
        </w:tc>
      </w:tr>
    </w:tbl>
    <w:p w14:paraId="2F04C8CB">
      <w:pPr>
        <w:widowControl w:val="0"/>
        <w:spacing w:before="120" w:beforeLines="50" w:after="120" w:afterLines="50" w:line="240" w:lineRule="atLeast"/>
        <w:jc w:val="center"/>
        <w:rPr>
          <w:rFonts w:eastAsia="黑体"/>
          <w:sz w:val="28"/>
          <w:szCs w:val="21"/>
        </w:rPr>
      </w:pPr>
      <w:r>
        <w:rPr>
          <w:rFonts w:eastAsia="黑体"/>
          <w:sz w:val="28"/>
          <w:szCs w:val="21"/>
        </w:rPr>
        <w:t xml:space="preserve">表2-5-7 </w:t>
      </w:r>
      <w:r>
        <w:rPr>
          <w:rFonts w:hint="eastAsia" w:eastAsia="黑体"/>
          <w:sz w:val="28"/>
          <w:szCs w:val="21"/>
        </w:rPr>
        <w:t>大店镇</w:t>
      </w:r>
      <w:r>
        <w:rPr>
          <w:rFonts w:eastAsia="黑体"/>
          <w:sz w:val="28"/>
          <w:szCs w:val="21"/>
        </w:rPr>
        <w:t>样点地价与土地级别指数模型测算结果表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02615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072BAD63">
            <w:pPr>
              <w:jc w:val="center"/>
              <w:rPr>
                <w:rFonts w:eastAsia="楷体"/>
                <w:kern w:val="0"/>
                <w:sz w:val="22"/>
                <w:szCs w:val="22"/>
              </w:rPr>
            </w:pPr>
            <w:r>
              <w:rPr>
                <w:rFonts w:eastAsia="楷体"/>
                <w:kern w:val="0"/>
                <w:sz w:val="22"/>
                <w:szCs w:val="22"/>
              </w:rPr>
              <w:t>用地类型</w:t>
            </w:r>
          </w:p>
        </w:tc>
        <w:tc>
          <w:tcPr>
            <w:tcW w:w="3504" w:type="dxa"/>
            <w:noWrap w:val="0"/>
            <w:vAlign w:val="center"/>
          </w:tcPr>
          <w:p w14:paraId="68D460C1">
            <w:pPr>
              <w:jc w:val="center"/>
              <w:rPr>
                <w:rFonts w:eastAsia="楷体"/>
                <w:kern w:val="0"/>
                <w:sz w:val="22"/>
                <w:szCs w:val="22"/>
              </w:rPr>
            </w:pPr>
            <w:r>
              <w:rPr>
                <w:rFonts w:eastAsia="楷体"/>
                <w:kern w:val="0"/>
                <w:sz w:val="22"/>
                <w:szCs w:val="22"/>
              </w:rPr>
              <w:t>模型数学表达式</w:t>
            </w:r>
          </w:p>
        </w:tc>
        <w:tc>
          <w:tcPr>
            <w:tcW w:w="3961" w:type="dxa"/>
            <w:noWrap w:val="0"/>
            <w:vAlign w:val="center"/>
          </w:tcPr>
          <w:p w14:paraId="7FEF8FE3">
            <w:pPr>
              <w:jc w:val="center"/>
              <w:rPr>
                <w:rFonts w:eastAsia="楷体"/>
                <w:kern w:val="0"/>
                <w:sz w:val="22"/>
                <w:szCs w:val="22"/>
              </w:rPr>
            </w:pPr>
            <w:r>
              <w:rPr>
                <w:rFonts w:eastAsia="楷体"/>
                <w:kern w:val="0"/>
                <w:sz w:val="22"/>
                <w:szCs w:val="22"/>
              </w:rPr>
              <w:t>统计量检验</w:t>
            </w:r>
          </w:p>
        </w:tc>
      </w:tr>
      <w:tr w14:paraId="4D1C1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2D9BA07D">
            <w:pPr>
              <w:jc w:val="center"/>
              <w:rPr>
                <w:rFonts w:eastAsia="楷体"/>
                <w:kern w:val="0"/>
                <w:sz w:val="22"/>
                <w:szCs w:val="22"/>
              </w:rPr>
            </w:pPr>
            <w:r>
              <w:rPr>
                <w:rFonts w:eastAsia="楷体"/>
                <w:kern w:val="0"/>
                <w:sz w:val="22"/>
                <w:szCs w:val="22"/>
              </w:rPr>
              <w:t>商服用地</w:t>
            </w:r>
          </w:p>
        </w:tc>
        <w:tc>
          <w:tcPr>
            <w:tcW w:w="3504" w:type="dxa"/>
            <w:noWrap w:val="0"/>
            <w:vAlign w:val="center"/>
          </w:tcPr>
          <w:p w14:paraId="20720A75">
            <w:pPr>
              <w:jc w:val="center"/>
              <w:rPr>
                <w:rFonts w:eastAsia="楷体"/>
                <w:kern w:val="0"/>
                <w:sz w:val="22"/>
                <w:szCs w:val="22"/>
              </w:rPr>
            </w:pPr>
            <w:r>
              <w:rPr>
                <w:rFonts w:eastAsia="楷体"/>
                <w:kern w:val="0"/>
                <w:sz w:val="22"/>
                <w:szCs w:val="22"/>
              </w:rPr>
              <w:t>Yn =149.5614×(1+0.5311)</w:t>
            </w:r>
            <w:r>
              <w:rPr>
                <w:rFonts w:eastAsia="楷体"/>
                <w:kern w:val="0"/>
                <w:sz w:val="22"/>
                <w:szCs w:val="22"/>
              </w:rPr>
              <w:object>
                <v:shape id="_x0000_i1149"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49" DrawAspect="Content" ObjectID="_1468075849" r:id="rId285">
                  <o:LockedField>false</o:LockedField>
                </o:OLEObject>
              </w:object>
            </w:r>
          </w:p>
        </w:tc>
        <w:tc>
          <w:tcPr>
            <w:tcW w:w="3961" w:type="dxa"/>
            <w:noWrap w:val="0"/>
            <w:vAlign w:val="center"/>
          </w:tcPr>
          <w:p w14:paraId="75CC7409">
            <w:pPr>
              <w:jc w:val="center"/>
              <w:rPr>
                <w:rFonts w:eastAsia="楷体"/>
                <w:kern w:val="0"/>
                <w:sz w:val="22"/>
                <w:szCs w:val="22"/>
              </w:rPr>
            </w:pPr>
            <w:r>
              <w:rPr>
                <w:rFonts w:eastAsia="楷体"/>
                <w:kern w:val="0"/>
                <w:sz w:val="22"/>
                <w:szCs w:val="22"/>
              </w:rPr>
              <w:t>α=0.05，F=517.3347，t=31.2491,R=0. 8427</w:t>
            </w:r>
          </w:p>
        </w:tc>
      </w:tr>
      <w:tr w14:paraId="4B29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491C4B89">
            <w:pPr>
              <w:jc w:val="center"/>
              <w:rPr>
                <w:rFonts w:eastAsia="楷体"/>
                <w:kern w:val="0"/>
                <w:sz w:val="22"/>
                <w:szCs w:val="22"/>
              </w:rPr>
            </w:pPr>
            <w:r>
              <w:rPr>
                <w:rFonts w:eastAsia="楷体"/>
                <w:kern w:val="0"/>
                <w:sz w:val="22"/>
                <w:szCs w:val="22"/>
              </w:rPr>
              <w:t>住宅用地</w:t>
            </w:r>
          </w:p>
        </w:tc>
        <w:tc>
          <w:tcPr>
            <w:tcW w:w="3504" w:type="dxa"/>
            <w:noWrap w:val="0"/>
            <w:vAlign w:val="center"/>
          </w:tcPr>
          <w:p w14:paraId="7B3CDE18">
            <w:pPr>
              <w:jc w:val="center"/>
              <w:rPr>
                <w:rFonts w:eastAsia="楷体"/>
                <w:kern w:val="0"/>
                <w:sz w:val="22"/>
                <w:szCs w:val="22"/>
              </w:rPr>
            </w:pPr>
            <w:r>
              <w:rPr>
                <w:rFonts w:eastAsia="楷体"/>
                <w:kern w:val="0"/>
                <w:sz w:val="22"/>
                <w:szCs w:val="22"/>
              </w:rPr>
              <w:t>Yn =154.3352×(1+0.3771)</w:t>
            </w:r>
            <w:r>
              <w:rPr>
                <w:rFonts w:eastAsia="楷体"/>
                <w:kern w:val="0"/>
                <w:sz w:val="22"/>
                <w:szCs w:val="22"/>
              </w:rPr>
              <w:object>
                <v:shape id="_x0000_i1150"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50" DrawAspect="Content" ObjectID="_1468075850" r:id="rId286">
                  <o:LockedField>false</o:LockedField>
                </o:OLEObject>
              </w:object>
            </w:r>
          </w:p>
        </w:tc>
        <w:tc>
          <w:tcPr>
            <w:tcW w:w="3961" w:type="dxa"/>
            <w:noWrap w:val="0"/>
            <w:vAlign w:val="center"/>
          </w:tcPr>
          <w:p w14:paraId="604A362A">
            <w:pPr>
              <w:jc w:val="center"/>
              <w:rPr>
                <w:rFonts w:eastAsia="楷体"/>
                <w:kern w:val="0"/>
                <w:sz w:val="22"/>
                <w:szCs w:val="22"/>
              </w:rPr>
            </w:pPr>
            <w:r>
              <w:rPr>
                <w:rFonts w:eastAsia="楷体"/>
                <w:kern w:val="0"/>
                <w:sz w:val="22"/>
                <w:szCs w:val="22"/>
              </w:rPr>
              <w:t>α=0.05，F=299.7605，t=24.4532，R=0.8873</w:t>
            </w:r>
          </w:p>
        </w:tc>
      </w:tr>
    </w:tbl>
    <w:p w14:paraId="0F1FB773">
      <w:pPr>
        <w:widowControl w:val="0"/>
        <w:spacing w:before="120" w:beforeLines="50" w:after="120" w:afterLines="50" w:line="240" w:lineRule="atLeast"/>
        <w:jc w:val="center"/>
        <w:rPr>
          <w:rFonts w:eastAsia="黑体"/>
          <w:sz w:val="28"/>
          <w:szCs w:val="21"/>
        </w:rPr>
      </w:pPr>
      <w:r>
        <w:rPr>
          <w:rFonts w:eastAsia="黑体"/>
          <w:sz w:val="28"/>
          <w:szCs w:val="21"/>
        </w:rPr>
        <w:t xml:space="preserve">表2-5-8  </w:t>
      </w:r>
      <w:r>
        <w:rPr>
          <w:rFonts w:hint="eastAsia" w:eastAsia="黑体"/>
          <w:sz w:val="28"/>
          <w:szCs w:val="21"/>
        </w:rPr>
        <w:t>栏杆镇</w:t>
      </w:r>
      <w:r>
        <w:rPr>
          <w:rFonts w:eastAsia="黑体"/>
          <w:sz w:val="28"/>
          <w:szCs w:val="21"/>
        </w:rPr>
        <w:t>样点地价与土地级别指数模型测算结果表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02A2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1D640719">
            <w:pPr>
              <w:jc w:val="center"/>
              <w:rPr>
                <w:rFonts w:eastAsia="楷体"/>
                <w:kern w:val="0"/>
                <w:sz w:val="22"/>
                <w:szCs w:val="22"/>
              </w:rPr>
            </w:pPr>
            <w:r>
              <w:rPr>
                <w:rFonts w:eastAsia="楷体"/>
                <w:kern w:val="0"/>
                <w:sz w:val="22"/>
                <w:szCs w:val="22"/>
              </w:rPr>
              <w:t>用地类型</w:t>
            </w:r>
          </w:p>
        </w:tc>
        <w:tc>
          <w:tcPr>
            <w:tcW w:w="3504" w:type="dxa"/>
            <w:noWrap w:val="0"/>
            <w:vAlign w:val="center"/>
          </w:tcPr>
          <w:p w14:paraId="0EF4DA87">
            <w:pPr>
              <w:jc w:val="center"/>
              <w:rPr>
                <w:rFonts w:eastAsia="楷体"/>
                <w:kern w:val="0"/>
                <w:sz w:val="22"/>
                <w:szCs w:val="22"/>
              </w:rPr>
            </w:pPr>
            <w:r>
              <w:rPr>
                <w:rFonts w:eastAsia="楷体"/>
                <w:kern w:val="0"/>
                <w:sz w:val="22"/>
                <w:szCs w:val="22"/>
              </w:rPr>
              <w:t>模型数学表达式</w:t>
            </w:r>
          </w:p>
        </w:tc>
        <w:tc>
          <w:tcPr>
            <w:tcW w:w="3961" w:type="dxa"/>
            <w:noWrap w:val="0"/>
            <w:vAlign w:val="center"/>
          </w:tcPr>
          <w:p w14:paraId="7058FF14">
            <w:pPr>
              <w:jc w:val="center"/>
              <w:rPr>
                <w:rFonts w:eastAsia="楷体"/>
                <w:kern w:val="0"/>
                <w:sz w:val="22"/>
                <w:szCs w:val="22"/>
              </w:rPr>
            </w:pPr>
            <w:r>
              <w:rPr>
                <w:rFonts w:eastAsia="楷体"/>
                <w:kern w:val="0"/>
                <w:sz w:val="22"/>
                <w:szCs w:val="22"/>
              </w:rPr>
              <w:t>统计量检验</w:t>
            </w:r>
          </w:p>
        </w:tc>
      </w:tr>
      <w:tr w14:paraId="57A7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73F86421">
            <w:pPr>
              <w:jc w:val="center"/>
              <w:rPr>
                <w:rFonts w:eastAsia="楷体"/>
                <w:kern w:val="0"/>
                <w:sz w:val="22"/>
                <w:szCs w:val="22"/>
              </w:rPr>
            </w:pPr>
            <w:r>
              <w:rPr>
                <w:rFonts w:eastAsia="楷体"/>
                <w:kern w:val="0"/>
                <w:sz w:val="22"/>
                <w:szCs w:val="22"/>
              </w:rPr>
              <w:t>商服用地</w:t>
            </w:r>
          </w:p>
        </w:tc>
        <w:tc>
          <w:tcPr>
            <w:tcW w:w="3504" w:type="dxa"/>
            <w:noWrap w:val="0"/>
            <w:vAlign w:val="center"/>
          </w:tcPr>
          <w:p w14:paraId="0608117F">
            <w:pPr>
              <w:jc w:val="center"/>
              <w:rPr>
                <w:rFonts w:eastAsia="楷体"/>
                <w:kern w:val="0"/>
                <w:sz w:val="22"/>
                <w:szCs w:val="22"/>
              </w:rPr>
            </w:pPr>
            <w:r>
              <w:rPr>
                <w:rFonts w:eastAsia="楷体"/>
                <w:kern w:val="0"/>
                <w:sz w:val="22"/>
                <w:szCs w:val="22"/>
              </w:rPr>
              <w:t>Yn =149.8521×(1+0.5113)</w:t>
            </w:r>
            <w:r>
              <w:rPr>
                <w:rFonts w:eastAsia="楷体"/>
                <w:kern w:val="0"/>
                <w:sz w:val="22"/>
                <w:szCs w:val="22"/>
              </w:rPr>
              <w:object>
                <v:shape id="_x0000_i1151"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51" DrawAspect="Content" ObjectID="_1468075851" r:id="rId287">
                  <o:LockedField>false</o:LockedField>
                </o:OLEObject>
              </w:object>
            </w:r>
          </w:p>
        </w:tc>
        <w:tc>
          <w:tcPr>
            <w:tcW w:w="3961" w:type="dxa"/>
            <w:noWrap w:val="0"/>
            <w:vAlign w:val="center"/>
          </w:tcPr>
          <w:p w14:paraId="20F05DAE">
            <w:pPr>
              <w:jc w:val="center"/>
              <w:rPr>
                <w:rFonts w:eastAsia="楷体"/>
                <w:kern w:val="0"/>
                <w:sz w:val="22"/>
                <w:szCs w:val="22"/>
              </w:rPr>
            </w:pPr>
            <w:r>
              <w:rPr>
                <w:rFonts w:eastAsia="楷体"/>
                <w:kern w:val="0"/>
                <w:sz w:val="22"/>
                <w:szCs w:val="22"/>
              </w:rPr>
              <w:t>α=0.05，F=524.7547，t=37.6712,R=0. 8127</w:t>
            </w:r>
          </w:p>
        </w:tc>
      </w:tr>
      <w:tr w14:paraId="02253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34EF4BCE">
            <w:pPr>
              <w:jc w:val="center"/>
              <w:rPr>
                <w:rFonts w:eastAsia="楷体"/>
                <w:kern w:val="0"/>
                <w:sz w:val="22"/>
                <w:szCs w:val="22"/>
              </w:rPr>
            </w:pPr>
            <w:r>
              <w:rPr>
                <w:rFonts w:eastAsia="楷体"/>
                <w:kern w:val="0"/>
                <w:sz w:val="22"/>
                <w:szCs w:val="22"/>
              </w:rPr>
              <w:t>住宅用地</w:t>
            </w:r>
          </w:p>
        </w:tc>
        <w:tc>
          <w:tcPr>
            <w:tcW w:w="3504" w:type="dxa"/>
            <w:noWrap w:val="0"/>
            <w:vAlign w:val="center"/>
          </w:tcPr>
          <w:p w14:paraId="0E6E84DF">
            <w:pPr>
              <w:jc w:val="center"/>
              <w:rPr>
                <w:rFonts w:eastAsia="楷体"/>
                <w:kern w:val="0"/>
                <w:sz w:val="22"/>
                <w:szCs w:val="22"/>
              </w:rPr>
            </w:pPr>
            <w:r>
              <w:rPr>
                <w:rFonts w:eastAsia="楷体"/>
                <w:kern w:val="0"/>
                <w:sz w:val="22"/>
                <w:szCs w:val="22"/>
              </w:rPr>
              <w:t>Yn =156.1522×(1+0.3412)</w:t>
            </w:r>
            <w:r>
              <w:rPr>
                <w:rFonts w:eastAsia="楷体"/>
                <w:kern w:val="0"/>
                <w:sz w:val="22"/>
                <w:szCs w:val="22"/>
              </w:rPr>
              <w:object>
                <v:shape id="_x0000_i1152"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52" DrawAspect="Content" ObjectID="_1468075852" r:id="rId288">
                  <o:LockedField>false</o:LockedField>
                </o:OLEObject>
              </w:object>
            </w:r>
          </w:p>
        </w:tc>
        <w:tc>
          <w:tcPr>
            <w:tcW w:w="3961" w:type="dxa"/>
            <w:noWrap w:val="0"/>
            <w:vAlign w:val="center"/>
          </w:tcPr>
          <w:p w14:paraId="11FE9DB2">
            <w:pPr>
              <w:jc w:val="center"/>
              <w:rPr>
                <w:rFonts w:eastAsia="楷体"/>
                <w:kern w:val="0"/>
                <w:sz w:val="22"/>
                <w:szCs w:val="22"/>
              </w:rPr>
            </w:pPr>
            <w:r>
              <w:rPr>
                <w:rFonts w:eastAsia="楷体"/>
                <w:kern w:val="0"/>
                <w:sz w:val="22"/>
                <w:szCs w:val="22"/>
              </w:rPr>
              <w:t>α=0.05，F=283.7245，t=23.4447，R=0.8183</w:t>
            </w:r>
          </w:p>
        </w:tc>
      </w:tr>
    </w:tbl>
    <w:p w14:paraId="050575F0">
      <w:pPr>
        <w:widowControl w:val="0"/>
        <w:spacing w:before="120" w:beforeLines="50" w:after="120" w:afterLines="50" w:line="240" w:lineRule="atLeast"/>
        <w:jc w:val="center"/>
        <w:rPr>
          <w:rFonts w:eastAsia="黑体"/>
          <w:sz w:val="28"/>
          <w:szCs w:val="21"/>
        </w:rPr>
      </w:pPr>
      <w:r>
        <w:rPr>
          <w:rFonts w:eastAsia="黑体"/>
          <w:sz w:val="28"/>
          <w:szCs w:val="21"/>
        </w:rPr>
        <w:t xml:space="preserve">表2-5-9  </w:t>
      </w:r>
      <w:r>
        <w:rPr>
          <w:rFonts w:hint="eastAsia" w:eastAsia="黑体"/>
          <w:sz w:val="28"/>
          <w:szCs w:val="21"/>
        </w:rPr>
        <w:t>时村镇</w:t>
      </w:r>
      <w:r>
        <w:rPr>
          <w:rFonts w:eastAsia="黑体"/>
          <w:sz w:val="28"/>
          <w:szCs w:val="21"/>
        </w:rPr>
        <w:t>样点地价与土地级别指数模型测算结果表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0C3E7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6396A39B">
            <w:pPr>
              <w:jc w:val="center"/>
              <w:rPr>
                <w:rFonts w:eastAsia="楷体"/>
                <w:kern w:val="0"/>
                <w:sz w:val="22"/>
                <w:szCs w:val="22"/>
              </w:rPr>
            </w:pPr>
            <w:r>
              <w:rPr>
                <w:rFonts w:eastAsia="楷体"/>
                <w:kern w:val="0"/>
                <w:sz w:val="22"/>
                <w:szCs w:val="22"/>
              </w:rPr>
              <w:t>用地类型</w:t>
            </w:r>
          </w:p>
        </w:tc>
        <w:tc>
          <w:tcPr>
            <w:tcW w:w="3617" w:type="dxa"/>
            <w:noWrap w:val="0"/>
            <w:vAlign w:val="center"/>
          </w:tcPr>
          <w:p w14:paraId="636D13B6">
            <w:pPr>
              <w:jc w:val="center"/>
              <w:rPr>
                <w:rFonts w:eastAsia="楷体"/>
                <w:kern w:val="0"/>
                <w:sz w:val="22"/>
                <w:szCs w:val="22"/>
              </w:rPr>
            </w:pPr>
            <w:r>
              <w:rPr>
                <w:rFonts w:eastAsia="楷体"/>
                <w:kern w:val="0"/>
                <w:sz w:val="22"/>
                <w:szCs w:val="22"/>
              </w:rPr>
              <w:t>模型数学表达式</w:t>
            </w:r>
          </w:p>
        </w:tc>
        <w:tc>
          <w:tcPr>
            <w:tcW w:w="4089" w:type="dxa"/>
            <w:noWrap w:val="0"/>
            <w:vAlign w:val="center"/>
          </w:tcPr>
          <w:p w14:paraId="3BD60BDD">
            <w:pPr>
              <w:jc w:val="center"/>
              <w:rPr>
                <w:rFonts w:eastAsia="楷体"/>
                <w:kern w:val="0"/>
                <w:sz w:val="22"/>
                <w:szCs w:val="22"/>
              </w:rPr>
            </w:pPr>
            <w:r>
              <w:rPr>
                <w:rFonts w:eastAsia="楷体"/>
                <w:kern w:val="0"/>
                <w:sz w:val="22"/>
                <w:szCs w:val="22"/>
              </w:rPr>
              <w:t>统计量检验</w:t>
            </w:r>
          </w:p>
        </w:tc>
      </w:tr>
      <w:tr w14:paraId="5A415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4C0ECA9E">
            <w:pPr>
              <w:jc w:val="center"/>
              <w:rPr>
                <w:rFonts w:eastAsia="楷体"/>
                <w:kern w:val="0"/>
                <w:sz w:val="22"/>
                <w:szCs w:val="22"/>
              </w:rPr>
            </w:pPr>
            <w:r>
              <w:rPr>
                <w:rFonts w:eastAsia="楷体"/>
                <w:kern w:val="0"/>
                <w:sz w:val="22"/>
                <w:szCs w:val="22"/>
              </w:rPr>
              <w:t>商服用地</w:t>
            </w:r>
          </w:p>
        </w:tc>
        <w:tc>
          <w:tcPr>
            <w:tcW w:w="3617" w:type="dxa"/>
            <w:noWrap w:val="0"/>
            <w:vAlign w:val="center"/>
          </w:tcPr>
          <w:p w14:paraId="6EA32291">
            <w:pPr>
              <w:jc w:val="center"/>
              <w:rPr>
                <w:rFonts w:eastAsia="楷体"/>
                <w:kern w:val="0"/>
                <w:sz w:val="22"/>
                <w:szCs w:val="22"/>
              </w:rPr>
            </w:pPr>
            <w:r>
              <w:rPr>
                <w:rFonts w:eastAsia="楷体"/>
                <w:kern w:val="0"/>
                <w:sz w:val="22"/>
                <w:szCs w:val="22"/>
              </w:rPr>
              <w:t>Yn =199.4122×(1+0.3026)</w:t>
            </w:r>
            <w:r>
              <w:rPr>
                <w:rFonts w:eastAsia="楷体"/>
                <w:kern w:val="0"/>
                <w:sz w:val="22"/>
                <w:szCs w:val="22"/>
              </w:rPr>
              <w:object>
                <v:shape id="_x0000_i1153"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53" DrawAspect="Content" ObjectID="_1468075853" r:id="rId289">
                  <o:LockedField>false</o:LockedField>
                </o:OLEObject>
              </w:object>
            </w:r>
          </w:p>
        </w:tc>
        <w:tc>
          <w:tcPr>
            <w:tcW w:w="4089" w:type="dxa"/>
            <w:noWrap w:val="0"/>
            <w:vAlign w:val="center"/>
          </w:tcPr>
          <w:p w14:paraId="04DF9BBD">
            <w:pPr>
              <w:jc w:val="center"/>
              <w:rPr>
                <w:rFonts w:eastAsia="楷体"/>
                <w:kern w:val="0"/>
                <w:sz w:val="22"/>
                <w:szCs w:val="22"/>
              </w:rPr>
            </w:pPr>
            <w:r>
              <w:rPr>
                <w:rFonts w:eastAsia="楷体"/>
                <w:kern w:val="0"/>
                <w:sz w:val="22"/>
                <w:szCs w:val="22"/>
              </w:rPr>
              <w:t>α=0.05，F=523.3741，t=33.4721,R=0. 8652</w:t>
            </w:r>
          </w:p>
        </w:tc>
      </w:tr>
      <w:tr w14:paraId="6FBE6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3F7B0DEB">
            <w:pPr>
              <w:jc w:val="center"/>
              <w:rPr>
                <w:rFonts w:eastAsia="楷体"/>
                <w:kern w:val="0"/>
                <w:sz w:val="22"/>
                <w:szCs w:val="22"/>
              </w:rPr>
            </w:pPr>
            <w:r>
              <w:rPr>
                <w:rFonts w:eastAsia="楷体"/>
                <w:kern w:val="0"/>
                <w:sz w:val="22"/>
                <w:szCs w:val="22"/>
              </w:rPr>
              <w:t>住宅用地</w:t>
            </w:r>
          </w:p>
        </w:tc>
        <w:tc>
          <w:tcPr>
            <w:tcW w:w="3617" w:type="dxa"/>
            <w:noWrap w:val="0"/>
            <w:vAlign w:val="center"/>
          </w:tcPr>
          <w:p w14:paraId="6E8D87E2">
            <w:pPr>
              <w:jc w:val="center"/>
              <w:rPr>
                <w:rFonts w:eastAsia="楷体"/>
                <w:kern w:val="0"/>
                <w:sz w:val="22"/>
                <w:szCs w:val="22"/>
              </w:rPr>
            </w:pPr>
            <w:r>
              <w:rPr>
                <w:rFonts w:eastAsia="楷体"/>
                <w:kern w:val="0"/>
                <w:sz w:val="22"/>
                <w:szCs w:val="22"/>
              </w:rPr>
              <w:t>Yn= 211.3361×(1+0.1516)</w:t>
            </w:r>
            <w:r>
              <w:rPr>
                <w:rFonts w:eastAsia="楷体"/>
                <w:kern w:val="0"/>
                <w:sz w:val="22"/>
                <w:szCs w:val="22"/>
              </w:rPr>
              <w:object>
                <v:shape id="_x0000_i1154"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54" DrawAspect="Content" ObjectID="_1468075854" r:id="rId290">
                  <o:LockedField>false</o:LockedField>
                </o:OLEObject>
              </w:object>
            </w:r>
          </w:p>
        </w:tc>
        <w:tc>
          <w:tcPr>
            <w:tcW w:w="4089" w:type="dxa"/>
            <w:noWrap w:val="0"/>
            <w:vAlign w:val="center"/>
          </w:tcPr>
          <w:p w14:paraId="40E1648A">
            <w:pPr>
              <w:jc w:val="center"/>
              <w:rPr>
                <w:rFonts w:eastAsia="楷体"/>
                <w:kern w:val="0"/>
                <w:sz w:val="22"/>
                <w:szCs w:val="22"/>
              </w:rPr>
            </w:pPr>
            <w:r>
              <w:rPr>
                <w:rFonts w:eastAsia="楷体"/>
                <w:kern w:val="0"/>
                <w:sz w:val="22"/>
                <w:szCs w:val="22"/>
              </w:rPr>
              <w:t>α=0.05，F=273.7545，t=28.4597，R=0.8234</w:t>
            </w:r>
          </w:p>
        </w:tc>
      </w:tr>
    </w:tbl>
    <w:p w14:paraId="190A37DE">
      <w:pPr>
        <w:widowControl w:val="0"/>
        <w:spacing w:before="120" w:beforeLines="50" w:after="120" w:afterLines="50" w:line="240" w:lineRule="atLeast"/>
        <w:jc w:val="center"/>
        <w:rPr>
          <w:rFonts w:eastAsia="黑体"/>
          <w:sz w:val="28"/>
          <w:szCs w:val="21"/>
        </w:rPr>
      </w:pPr>
      <w:r>
        <w:rPr>
          <w:rFonts w:eastAsia="黑体"/>
          <w:sz w:val="28"/>
          <w:szCs w:val="21"/>
        </w:rPr>
        <w:t xml:space="preserve">表2-5-10  </w:t>
      </w:r>
      <w:r>
        <w:rPr>
          <w:rFonts w:hint="eastAsia" w:eastAsia="黑体"/>
          <w:sz w:val="28"/>
          <w:szCs w:val="21"/>
        </w:rPr>
        <w:t>夹沟镇</w:t>
      </w:r>
      <w:r>
        <w:rPr>
          <w:rFonts w:eastAsia="黑体"/>
          <w:sz w:val="28"/>
          <w:szCs w:val="21"/>
        </w:rPr>
        <w:t>样点地价与土地级别指数模型测算结果表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7619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5C546B7F">
            <w:pPr>
              <w:jc w:val="center"/>
              <w:rPr>
                <w:rFonts w:eastAsia="楷体"/>
                <w:kern w:val="0"/>
                <w:sz w:val="22"/>
                <w:szCs w:val="22"/>
              </w:rPr>
            </w:pPr>
            <w:r>
              <w:rPr>
                <w:rFonts w:eastAsia="楷体"/>
                <w:kern w:val="0"/>
                <w:sz w:val="22"/>
                <w:szCs w:val="22"/>
              </w:rPr>
              <w:t>用地类型</w:t>
            </w:r>
          </w:p>
        </w:tc>
        <w:tc>
          <w:tcPr>
            <w:tcW w:w="3617" w:type="dxa"/>
            <w:noWrap w:val="0"/>
            <w:vAlign w:val="center"/>
          </w:tcPr>
          <w:p w14:paraId="49F5F54A">
            <w:pPr>
              <w:jc w:val="center"/>
              <w:rPr>
                <w:rFonts w:eastAsia="楷体"/>
                <w:kern w:val="0"/>
                <w:sz w:val="22"/>
                <w:szCs w:val="22"/>
              </w:rPr>
            </w:pPr>
            <w:r>
              <w:rPr>
                <w:rFonts w:eastAsia="楷体"/>
                <w:kern w:val="0"/>
                <w:sz w:val="22"/>
                <w:szCs w:val="22"/>
              </w:rPr>
              <w:t>模型数学表达式</w:t>
            </w:r>
          </w:p>
        </w:tc>
        <w:tc>
          <w:tcPr>
            <w:tcW w:w="4089" w:type="dxa"/>
            <w:noWrap w:val="0"/>
            <w:vAlign w:val="center"/>
          </w:tcPr>
          <w:p w14:paraId="5DE4D0CC">
            <w:pPr>
              <w:jc w:val="center"/>
              <w:rPr>
                <w:rFonts w:eastAsia="楷体"/>
                <w:kern w:val="0"/>
                <w:sz w:val="22"/>
                <w:szCs w:val="22"/>
              </w:rPr>
            </w:pPr>
            <w:r>
              <w:rPr>
                <w:rFonts w:eastAsia="楷体"/>
                <w:kern w:val="0"/>
                <w:sz w:val="22"/>
                <w:szCs w:val="22"/>
              </w:rPr>
              <w:t>统计量检验</w:t>
            </w:r>
          </w:p>
        </w:tc>
      </w:tr>
      <w:tr w14:paraId="0DB8F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244E1713">
            <w:pPr>
              <w:jc w:val="center"/>
              <w:rPr>
                <w:rFonts w:eastAsia="楷体"/>
                <w:kern w:val="0"/>
                <w:sz w:val="22"/>
                <w:szCs w:val="22"/>
              </w:rPr>
            </w:pPr>
            <w:r>
              <w:rPr>
                <w:rFonts w:eastAsia="楷体"/>
                <w:kern w:val="0"/>
                <w:sz w:val="22"/>
                <w:szCs w:val="22"/>
              </w:rPr>
              <w:t>商服用地</w:t>
            </w:r>
          </w:p>
        </w:tc>
        <w:tc>
          <w:tcPr>
            <w:tcW w:w="3617" w:type="dxa"/>
            <w:noWrap w:val="0"/>
            <w:vAlign w:val="center"/>
          </w:tcPr>
          <w:p w14:paraId="3C016560">
            <w:pPr>
              <w:jc w:val="center"/>
              <w:rPr>
                <w:rFonts w:eastAsia="楷体"/>
                <w:kern w:val="0"/>
                <w:sz w:val="22"/>
                <w:szCs w:val="22"/>
              </w:rPr>
            </w:pPr>
            <w:r>
              <w:rPr>
                <w:rFonts w:eastAsia="楷体"/>
                <w:kern w:val="0"/>
                <w:sz w:val="22"/>
                <w:szCs w:val="22"/>
              </w:rPr>
              <w:t>Yn =152.1448×(1+0.5015)</w:t>
            </w:r>
            <w:r>
              <w:rPr>
                <w:rFonts w:eastAsia="楷体"/>
                <w:kern w:val="0"/>
                <w:sz w:val="22"/>
                <w:szCs w:val="22"/>
              </w:rPr>
              <w:object>
                <v:shape id="_x0000_i1155"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55" DrawAspect="Content" ObjectID="_1468075855" r:id="rId291">
                  <o:LockedField>false</o:LockedField>
                </o:OLEObject>
              </w:object>
            </w:r>
          </w:p>
        </w:tc>
        <w:tc>
          <w:tcPr>
            <w:tcW w:w="4089" w:type="dxa"/>
            <w:noWrap w:val="0"/>
            <w:vAlign w:val="center"/>
          </w:tcPr>
          <w:p w14:paraId="64F5D331">
            <w:pPr>
              <w:jc w:val="center"/>
              <w:rPr>
                <w:rFonts w:eastAsia="楷体"/>
                <w:kern w:val="0"/>
                <w:sz w:val="22"/>
                <w:szCs w:val="22"/>
              </w:rPr>
            </w:pPr>
            <w:r>
              <w:rPr>
                <w:rFonts w:eastAsia="楷体"/>
                <w:kern w:val="0"/>
                <w:sz w:val="22"/>
                <w:szCs w:val="22"/>
              </w:rPr>
              <w:t>α=0.05，F=522.3516，t=33.1452,R=0. 8752</w:t>
            </w:r>
          </w:p>
        </w:tc>
      </w:tr>
      <w:tr w14:paraId="566D3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43F0A0E3">
            <w:pPr>
              <w:jc w:val="center"/>
              <w:rPr>
                <w:rFonts w:eastAsia="楷体"/>
                <w:kern w:val="0"/>
                <w:sz w:val="22"/>
                <w:szCs w:val="22"/>
              </w:rPr>
            </w:pPr>
            <w:r>
              <w:rPr>
                <w:rFonts w:eastAsia="楷体"/>
                <w:kern w:val="0"/>
                <w:sz w:val="22"/>
                <w:szCs w:val="22"/>
              </w:rPr>
              <w:t>住宅用地</w:t>
            </w:r>
          </w:p>
        </w:tc>
        <w:tc>
          <w:tcPr>
            <w:tcW w:w="3617" w:type="dxa"/>
            <w:noWrap w:val="0"/>
            <w:vAlign w:val="center"/>
          </w:tcPr>
          <w:p w14:paraId="6ED82202">
            <w:pPr>
              <w:jc w:val="center"/>
              <w:rPr>
                <w:rFonts w:eastAsia="楷体"/>
                <w:kern w:val="0"/>
                <w:sz w:val="22"/>
                <w:szCs w:val="22"/>
              </w:rPr>
            </w:pPr>
            <w:r>
              <w:rPr>
                <w:rFonts w:eastAsia="楷体"/>
                <w:kern w:val="0"/>
                <w:sz w:val="22"/>
                <w:szCs w:val="22"/>
              </w:rPr>
              <w:t>Yn=157.1533×(1+0.3396)</w:t>
            </w:r>
            <w:r>
              <w:rPr>
                <w:rFonts w:eastAsia="楷体"/>
                <w:kern w:val="0"/>
                <w:sz w:val="22"/>
                <w:szCs w:val="22"/>
              </w:rPr>
              <w:object>
                <v:shape id="_x0000_i1156"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56" DrawAspect="Content" ObjectID="_1468075856" r:id="rId292">
                  <o:LockedField>false</o:LockedField>
                </o:OLEObject>
              </w:object>
            </w:r>
          </w:p>
        </w:tc>
        <w:tc>
          <w:tcPr>
            <w:tcW w:w="4089" w:type="dxa"/>
            <w:noWrap w:val="0"/>
            <w:vAlign w:val="center"/>
          </w:tcPr>
          <w:p w14:paraId="4B0BDF36">
            <w:pPr>
              <w:jc w:val="center"/>
              <w:rPr>
                <w:rFonts w:eastAsia="楷体"/>
                <w:kern w:val="0"/>
                <w:sz w:val="22"/>
                <w:szCs w:val="22"/>
              </w:rPr>
            </w:pPr>
            <w:r>
              <w:rPr>
                <w:rFonts w:eastAsia="楷体"/>
                <w:kern w:val="0"/>
                <w:sz w:val="22"/>
                <w:szCs w:val="22"/>
              </w:rPr>
              <w:t>α=0.05，F=274.5266，t=28.9251，R=0.8443</w:t>
            </w:r>
          </w:p>
        </w:tc>
      </w:tr>
    </w:tbl>
    <w:p w14:paraId="5AE153A2">
      <w:pPr>
        <w:widowControl w:val="0"/>
        <w:spacing w:before="120" w:beforeLines="50" w:after="120" w:afterLines="50" w:line="240" w:lineRule="atLeast"/>
        <w:jc w:val="center"/>
        <w:rPr>
          <w:rFonts w:hint="eastAsia" w:eastAsia="黑体"/>
          <w:sz w:val="28"/>
          <w:szCs w:val="21"/>
        </w:rPr>
      </w:pPr>
    </w:p>
    <w:p w14:paraId="6B031324">
      <w:pPr>
        <w:widowControl w:val="0"/>
        <w:spacing w:before="120" w:beforeLines="50" w:after="120" w:afterLines="50" w:line="240" w:lineRule="atLeast"/>
        <w:jc w:val="center"/>
        <w:rPr>
          <w:rFonts w:hint="eastAsia" w:eastAsia="黑体"/>
          <w:sz w:val="28"/>
          <w:szCs w:val="21"/>
        </w:rPr>
      </w:pPr>
    </w:p>
    <w:p w14:paraId="50EFA658">
      <w:pPr>
        <w:widowControl w:val="0"/>
        <w:spacing w:before="120" w:beforeLines="50" w:after="120" w:afterLines="50" w:line="240" w:lineRule="atLeast"/>
        <w:jc w:val="center"/>
        <w:rPr>
          <w:rFonts w:eastAsia="黑体"/>
          <w:sz w:val="28"/>
          <w:szCs w:val="21"/>
        </w:rPr>
      </w:pPr>
      <w:r>
        <w:rPr>
          <w:rFonts w:eastAsia="黑体"/>
          <w:sz w:val="28"/>
          <w:szCs w:val="21"/>
        </w:rPr>
        <w:t xml:space="preserve">表2-5-11  </w:t>
      </w:r>
      <w:r>
        <w:rPr>
          <w:rFonts w:hint="eastAsia" w:eastAsia="黑体"/>
          <w:sz w:val="28"/>
          <w:szCs w:val="21"/>
        </w:rPr>
        <w:t>西二铺</w:t>
      </w:r>
      <w:r>
        <w:rPr>
          <w:rFonts w:eastAsia="黑体"/>
          <w:sz w:val="28"/>
          <w:szCs w:val="21"/>
        </w:rPr>
        <w:t>乡样点地价与土地级别指数模型测算结果表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2DA0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6BE7043D">
            <w:pPr>
              <w:jc w:val="center"/>
              <w:rPr>
                <w:rFonts w:eastAsia="楷体"/>
                <w:kern w:val="0"/>
                <w:sz w:val="22"/>
                <w:szCs w:val="22"/>
              </w:rPr>
            </w:pPr>
            <w:r>
              <w:rPr>
                <w:rFonts w:eastAsia="楷体"/>
                <w:kern w:val="0"/>
                <w:sz w:val="22"/>
                <w:szCs w:val="22"/>
              </w:rPr>
              <w:t>用地类型</w:t>
            </w:r>
          </w:p>
        </w:tc>
        <w:tc>
          <w:tcPr>
            <w:tcW w:w="3504" w:type="dxa"/>
            <w:noWrap w:val="0"/>
            <w:vAlign w:val="center"/>
          </w:tcPr>
          <w:p w14:paraId="13E85B22">
            <w:pPr>
              <w:jc w:val="center"/>
              <w:rPr>
                <w:rFonts w:eastAsia="楷体"/>
                <w:kern w:val="0"/>
                <w:sz w:val="22"/>
                <w:szCs w:val="22"/>
              </w:rPr>
            </w:pPr>
            <w:r>
              <w:rPr>
                <w:rFonts w:eastAsia="楷体"/>
                <w:kern w:val="0"/>
                <w:sz w:val="22"/>
                <w:szCs w:val="22"/>
              </w:rPr>
              <w:t>模型数学表达式</w:t>
            </w:r>
          </w:p>
        </w:tc>
        <w:tc>
          <w:tcPr>
            <w:tcW w:w="3961" w:type="dxa"/>
            <w:noWrap w:val="0"/>
            <w:vAlign w:val="center"/>
          </w:tcPr>
          <w:p w14:paraId="325913A1">
            <w:pPr>
              <w:jc w:val="center"/>
              <w:rPr>
                <w:rFonts w:eastAsia="楷体"/>
                <w:kern w:val="0"/>
                <w:sz w:val="22"/>
                <w:szCs w:val="22"/>
              </w:rPr>
            </w:pPr>
            <w:r>
              <w:rPr>
                <w:rFonts w:eastAsia="楷体"/>
                <w:kern w:val="0"/>
                <w:sz w:val="22"/>
                <w:szCs w:val="22"/>
              </w:rPr>
              <w:t>统计量检验</w:t>
            </w:r>
          </w:p>
        </w:tc>
      </w:tr>
      <w:tr w14:paraId="24549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08D23B79">
            <w:pPr>
              <w:jc w:val="center"/>
              <w:rPr>
                <w:rFonts w:eastAsia="楷体"/>
                <w:kern w:val="0"/>
                <w:sz w:val="22"/>
                <w:szCs w:val="22"/>
              </w:rPr>
            </w:pPr>
            <w:r>
              <w:rPr>
                <w:rFonts w:eastAsia="楷体"/>
                <w:kern w:val="0"/>
                <w:sz w:val="22"/>
                <w:szCs w:val="22"/>
              </w:rPr>
              <w:t>商服用地</w:t>
            </w:r>
          </w:p>
        </w:tc>
        <w:tc>
          <w:tcPr>
            <w:tcW w:w="3504" w:type="dxa"/>
            <w:noWrap w:val="0"/>
            <w:vAlign w:val="center"/>
          </w:tcPr>
          <w:p w14:paraId="6E28EEA3">
            <w:pPr>
              <w:jc w:val="center"/>
              <w:rPr>
                <w:rFonts w:eastAsia="楷体"/>
                <w:kern w:val="0"/>
                <w:sz w:val="22"/>
                <w:szCs w:val="22"/>
              </w:rPr>
            </w:pPr>
            <w:r>
              <w:rPr>
                <w:rFonts w:eastAsia="楷体"/>
                <w:kern w:val="0"/>
                <w:sz w:val="22"/>
                <w:szCs w:val="22"/>
              </w:rPr>
              <w:t>Yn =149.3327×(1+0.4057)</w:t>
            </w:r>
            <w:r>
              <w:rPr>
                <w:rFonts w:eastAsia="楷体"/>
                <w:kern w:val="0"/>
                <w:sz w:val="22"/>
                <w:szCs w:val="22"/>
              </w:rPr>
              <w:object>
                <v:shape id="_x0000_i1157"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57" DrawAspect="Content" ObjectID="_1468075857" r:id="rId293">
                  <o:LockedField>false</o:LockedField>
                </o:OLEObject>
              </w:object>
            </w:r>
          </w:p>
        </w:tc>
        <w:tc>
          <w:tcPr>
            <w:tcW w:w="3961" w:type="dxa"/>
            <w:noWrap w:val="0"/>
            <w:vAlign w:val="center"/>
          </w:tcPr>
          <w:p w14:paraId="13304F40">
            <w:pPr>
              <w:jc w:val="center"/>
              <w:rPr>
                <w:rFonts w:eastAsia="楷体"/>
                <w:kern w:val="0"/>
                <w:sz w:val="22"/>
                <w:szCs w:val="22"/>
              </w:rPr>
            </w:pPr>
            <w:r>
              <w:rPr>
                <w:rFonts w:eastAsia="楷体"/>
                <w:kern w:val="0"/>
                <w:sz w:val="22"/>
                <w:szCs w:val="22"/>
              </w:rPr>
              <w:t>α=0.05，F=523.3741，t=33.4721,R=0. 8652</w:t>
            </w:r>
          </w:p>
        </w:tc>
      </w:tr>
      <w:tr w14:paraId="5A414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2651F326">
            <w:pPr>
              <w:jc w:val="center"/>
              <w:rPr>
                <w:rFonts w:eastAsia="楷体"/>
                <w:kern w:val="0"/>
                <w:sz w:val="22"/>
                <w:szCs w:val="22"/>
              </w:rPr>
            </w:pPr>
            <w:r>
              <w:rPr>
                <w:rFonts w:eastAsia="楷体"/>
                <w:kern w:val="0"/>
                <w:sz w:val="22"/>
                <w:szCs w:val="22"/>
              </w:rPr>
              <w:t>住宅用地</w:t>
            </w:r>
          </w:p>
        </w:tc>
        <w:tc>
          <w:tcPr>
            <w:tcW w:w="3504" w:type="dxa"/>
            <w:noWrap w:val="0"/>
            <w:vAlign w:val="center"/>
          </w:tcPr>
          <w:p w14:paraId="50D2D498">
            <w:pPr>
              <w:jc w:val="center"/>
              <w:rPr>
                <w:rFonts w:eastAsia="楷体"/>
                <w:kern w:val="0"/>
                <w:sz w:val="22"/>
                <w:szCs w:val="22"/>
              </w:rPr>
            </w:pPr>
            <w:r>
              <w:rPr>
                <w:rFonts w:eastAsia="楷体"/>
                <w:kern w:val="0"/>
                <w:sz w:val="22"/>
                <w:szCs w:val="22"/>
              </w:rPr>
              <w:t>Yn= 145.6221×(1+0.3151)</w:t>
            </w:r>
            <w:r>
              <w:rPr>
                <w:rFonts w:eastAsia="楷体"/>
                <w:kern w:val="0"/>
                <w:sz w:val="22"/>
                <w:szCs w:val="22"/>
              </w:rPr>
              <w:object>
                <v:shape id="_x0000_i1158"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58" DrawAspect="Content" ObjectID="_1468075858" r:id="rId294">
                  <o:LockedField>false</o:LockedField>
                </o:OLEObject>
              </w:object>
            </w:r>
          </w:p>
        </w:tc>
        <w:tc>
          <w:tcPr>
            <w:tcW w:w="3961" w:type="dxa"/>
            <w:noWrap w:val="0"/>
            <w:vAlign w:val="center"/>
          </w:tcPr>
          <w:p w14:paraId="7E35EAFB">
            <w:pPr>
              <w:jc w:val="center"/>
              <w:rPr>
                <w:rFonts w:eastAsia="楷体"/>
                <w:kern w:val="0"/>
                <w:sz w:val="22"/>
                <w:szCs w:val="22"/>
              </w:rPr>
            </w:pPr>
            <w:r>
              <w:rPr>
                <w:rFonts w:eastAsia="楷体"/>
                <w:kern w:val="0"/>
                <w:sz w:val="22"/>
                <w:szCs w:val="22"/>
              </w:rPr>
              <w:t>α=0.05，F=273.7545，t=28.4597，R=0.8234</w:t>
            </w:r>
          </w:p>
        </w:tc>
      </w:tr>
    </w:tbl>
    <w:p w14:paraId="47CC8BAC">
      <w:pPr>
        <w:widowControl w:val="0"/>
        <w:spacing w:before="120" w:beforeLines="50" w:after="120" w:afterLines="50" w:line="240" w:lineRule="atLeast"/>
        <w:jc w:val="center"/>
        <w:rPr>
          <w:rFonts w:eastAsia="黑体"/>
          <w:sz w:val="28"/>
          <w:szCs w:val="21"/>
        </w:rPr>
      </w:pPr>
      <w:r>
        <w:rPr>
          <w:rFonts w:eastAsia="黑体"/>
          <w:sz w:val="28"/>
          <w:szCs w:val="21"/>
        </w:rPr>
        <w:t xml:space="preserve">表2-5-12  </w:t>
      </w:r>
      <w:r>
        <w:rPr>
          <w:rFonts w:hint="eastAsia" w:eastAsia="黑体"/>
          <w:sz w:val="28"/>
          <w:szCs w:val="21"/>
        </w:rPr>
        <w:t>桃园镇</w:t>
      </w:r>
      <w:r>
        <w:rPr>
          <w:rFonts w:eastAsia="黑体"/>
          <w:sz w:val="28"/>
          <w:szCs w:val="21"/>
        </w:rPr>
        <w:t>乡样点地价与土地级别指数模型测算结果表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7C20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64727DEF">
            <w:pPr>
              <w:jc w:val="center"/>
              <w:rPr>
                <w:rFonts w:eastAsia="楷体"/>
                <w:kern w:val="0"/>
                <w:sz w:val="22"/>
                <w:szCs w:val="22"/>
              </w:rPr>
            </w:pPr>
            <w:r>
              <w:rPr>
                <w:rFonts w:eastAsia="楷体"/>
                <w:kern w:val="0"/>
                <w:sz w:val="22"/>
                <w:szCs w:val="22"/>
              </w:rPr>
              <w:t>用地类型</w:t>
            </w:r>
          </w:p>
        </w:tc>
        <w:tc>
          <w:tcPr>
            <w:tcW w:w="3617" w:type="dxa"/>
            <w:noWrap w:val="0"/>
            <w:vAlign w:val="center"/>
          </w:tcPr>
          <w:p w14:paraId="196C84F1">
            <w:pPr>
              <w:jc w:val="center"/>
              <w:rPr>
                <w:rFonts w:eastAsia="楷体"/>
                <w:kern w:val="0"/>
                <w:sz w:val="22"/>
                <w:szCs w:val="22"/>
              </w:rPr>
            </w:pPr>
            <w:r>
              <w:rPr>
                <w:rFonts w:eastAsia="楷体"/>
                <w:kern w:val="0"/>
                <w:sz w:val="22"/>
                <w:szCs w:val="22"/>
              </w:rPr>
              <w:t>模型数学表达式</w:t>
            </w:r>
          </w:p>
        </w:tc>
        <w:tc>
          <w:tcPr>
            <w:tcW w:w="4089" w:type="dxa"/>
            <w:noWrap w:val="0"/>
            <w:vAlign w:val="center"/>
          </w:tcPr>
          <w:p w14:paraId="2369A96E">
            <w:pPr>
              <w:jc w:val="center"/>
              <w:rPr>
                <w:rFonts w:eastAsia="楷体"/>
                <w:kern w:val="0"/>
                <w:sz w:val="22"/>
                <w:szCs w:val="22"/>
              </w:rPr>
            </w:pPr>
            <w:r>
              <w:rPr>
                <w:rFonts w:eastAsia="楷体"/>
                <w:kern w:val="0"/>
                <w:sz w:val="22"/>
                <w:szCs w:val="22"/>
              </w:rPr>
              <w:t>统计量检验</w:t>
            </w:r>
          </w:p>
        </w:tc>
      </w:tr>
      <w:tr w14:paraId="35F2F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66CB037D">
            <w:pPr>
              <w:jc w:val="center"/>
              <w:rPr>
                <w:rFonts w:eastAsia="楷体"/>
                <w:kern w:val="0"/>
                <w:sz w:val="22"/>
                <w:szCs w:val="22"/>
              </w:rPr>
            </w:pPr>
            <w:r>
              <w:rPr>
                <w:rFonts w:eastAsia="楷体"/>
                <w:kern w:val="0"/>
                <w:sz w:val="22"/>
                <w:szCs w:val="22"/>
              </w:rPr>
              <w:t>商服用地</w:t>
            </w:r>
          </w:p>
        </w:tc>
        <w:tc>
          <w:tcPr>
            <w:tcW w:w="3617" w:type="dxa"/>
            <w:noWrap w:val="0"/>
            <w:vAlign w:val="center"/>
          </w:tcPr>
          <w:p w14:paraId="11F706E7">
            <w:pPr>
              <w:jc w:val="center"/>
              <w:rPr>
                <w:rFonts w:eastAsia="楷体"/>
                <w:kern w:val="0"/>
                <w:sz w:val="22"/>
                <w:szCs w:val="22"/>
              </w:rPr>
            </w:pPr>
            <w:r>
              <w:rPr>
                <w:rFonts w:eastAsia="楷体"/>
                <w:kern w:val="0"/>
                <w:sz w:val="22"/>
                <w:szCs w:val="22"/>
              </w:rPr>
              <w:t>Yn = 169.4215×(1+0.2454)</w:t>
            </w:r>
            <w:r>
              <w:rPr>
                <w:rFonts w:eastAsia="楷体"/>
                <w:kern w:val="0"/>
                <w:sz w:val="22"/>
                <w:szCs w:val="22"/>
              </w:rPr>
              <w:object>
                <v:shape id="_x0000_i1159"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59" DrawAspect="Content" ObjectID="_1468075859" r:id="rId295">
                  <o:LockedField>false</o:LockedField>
                </o:OLEObject>
              </w:object>
            </w:r>
          </w:p>
        </w:tc>
        <w:tc>
          <w:tcPr>
            <w:tcW w:w="4089" w:type="dxa"/>
            <w:noWrap w:val="0"/>
            <w:vAlign w:val="center"/>
          </w:tcPr>
          <w:p w14:paraId="22C001F3">
            <w:pPr>
              <w:jc w:val="center"/>
              <w:rPr>
                <w:rFonts w:eastAsia="楷体"/>
                <w:kern w:val="0"/>
                <w:sz w:val="22"/>
                <w:szCs w:val="22"/>
              </w:rPr>
            </w:pPr>
            <w:r>
              <w:rPr>
                <w:rFonts w:eastAsia="楷体"/>
                <w:kern w:val="0"/>
                <w:sz w:val="22"/>
                <w:szCs w:val="22"/>
              </w:rPr>
              <w:t>α=0.05，F=523.3741，t=33.4721,R=0. 8652</w:t>
            </w:r>
          </w:p>
        </w:tc>
      </w:tr>
      <w:tr w14:paraId="71150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321E9312">
            <w:pPr>
              <w:jc w:val="center"/>
              <w:rPr>
                <w:rFonts w:eastAsia="楷体"/>
                <w:kern w:val="0"/>
                <w:sz w:val="22"/>
                <w:szCs w:val="22"/>
              </w:rPr>
            </w:pPr>
            <w:r>
              <w:rPr>
                <w:rFonts w:eastAsia="楷体"/>
                <w:kern w:val="0"/>
                <w:sz w:val="22"/>
                <w:szCs w:val="22"/>
              </w:rPr>
              <w:t>住宅用地</w:t>
            </w:r>
          </w:p>
        </w:tc>
        <w:tc>
          <w:tcPr>
            <w:tcW w:w="3617" w:type="dxa"/>
            <w:noWrap w:val="0"/>
            <w:vAlign w:val="center"/>
          </w:tcPr>
          <w:p w14:paraId="6E2EB08F">
            <w:pPr>
              <w:jc w:val="center"/>
              <w:rPr>
                <w:rFonts w:eastAsia="楷体"/>
                <w:kern w:val="0"/>
                <w:sz w:val="22"/>
                <w:szCs w:val="22"/>
              </w:rPr>
            </w:pPr>
            <w:r>
              <w:rPr>
                <w:rFonts w:eastAsia="楷体"/>
                <w:kern w:val="0"/>
                <w:sz w:val="22"/>
                <w:szCs w:val="22"/>
              </w:rPr>
              <w:t>Yn= 144.5596×(1+0.3223)</w:t>
            </w:r>
            <w:r>
              <w:rPr>
                <w:rFonts w:eastAsia="楷体"/>
                <w:kern w:val="0"/>
                <w:sz w:val="22"/>
                <w:szCs w:val="22"/>
              </w:rPr>
              <w:object>
                <v:shape id="_x0000_i1160"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60" DrawAspect="Content" ObjectID="_1468075860" r:id="rId296">
                  <o:LockedField>false</o:LockedField>
                </o:OLEObject>
              </w:object>
            </w:r>
          </w:p>
        </w:tc>
        <w:tc>
          <w:tcPr>
            <w:tcW w:w="4089" w:type="dxa"/>
            <w:noWrap w:val="0"/>
            <w:vAlign w:val="center"/>
          </w:tcPr>
          <w:p w14:paraId="50A16F2B">
            <w:pPr>
              <w:jc w:val="center"/>
              <w:rPr>
                <w:rFonts w:eastAsia="楷体"/>
                <w:kern w:val="0"/>
                <w:sz w:val="22"/>
                <w:szCs w:val="22"/>
              </w:rPr>
            </w:pPr>
            <w:r>
              <w:rPr>
                <w:rFonts w:eastAsia="楷体"/>
                <w:kern w:val="0"/>
                <w:sz w:val="22"/>
                <w:szCs w:val="22"/>
              </w:rPr>
              <w:t>α=0.05，F=273.7545，t=28.4597，R=0.8234</w:t>
            </w:r>
          </w:p>
        </w:tc>
      </w:tr>
    </w:tbl>
    <w:p w14:paraId="4CD94400">
      <w:pPr>
        <w:widowControl w:val="0"/>
        <w:spacing w:before="120" w:beforeLines="50" w:after="120" w:afterLines="50" w:line="240" w:lineRule="atLeast"/>
        <w:jc w:val="center"/>
        <w:rPr>
          <w:rFonts w:eastAsia="黑体"/>
          <w:sz w:val="28"/>
          <w:szCs w:val="21"/>
        </w:rPr>
      </w:pPr>
      <w:r>
        <w:rPr>
          <w:rFonts w:eastAsia="黑体"/>
          <w:sz w:val="28"/>
          <w:szCs w:val="21"/>
        </w:rPr>
        <w:t>表2-5-</w:t>
      </w:r>
      <w:r>
        <w:rPr>
          <w:rFonts w:hint="eastAsia" w:eastAsia="黑体"/>
          <w:sz w:val="28"/>
          <w:szCs w:val="21"/>
        </w:rPr>
        <w:t>1</w:t>
      </w:r>
      <w:r>
        <w:rPr>
          <w:rFonts w:eastAsia="黑体"/>
          <w:sz w:val="28"/>
          <w:szCs w:val="21"/>
        </w:rPr>
        <w:t xml:space="preserve">3  </w:t>
      </w:r>
      <w:r>
        <w:rPr>
          <w:rFonts w:hint="eastAsia" w:eastAsia="黑体"/>
          <w:sz w:val="28"/>
          <w:szCs w:val="21"/>
        </w:rPr>
        <w:t>曹村</w:t>
      </w:r>
      <w:r>
        <w:rPr>
          <w:rFonts w:eastAsia="黑体"/>
          <w:sz w:val="28"/>
          <w:szCs w:val="21"/>
        </w:rPr>
        <w:t>镇样点地价与土地级别指数模型测算结果表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3616"/>
        <w:gridCol w:w="4089"/>
      </w:tblGrid>
      <w:tr w14:paraId="25DB3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367" w:type="dxa"/>
            <w:noWrap w:val="0"/>
            <w:vAlign w:val="center"/>
          </w:tcPr>
          <w:p w14:paraId="1AC4686D">
            <w:pPr>
              <w:jc w:val="center"/>
              <w:rPr>
                <w:rFonts w:eastAsia="楷体"/>
                <w:kern w:val="0"/>
                <w:sz w:val="22"/>
                <w:szCs w:val="22"/>
              </w:rPr>
            </w:pPr>
            <w:r>
              <w:rPr>
                <w:rFonts w:eastAsia="楷体"/>
                <w:kern w:val="0"/>
                <w:sz w:val="22"/>
                <w:szCs w:val="22"/>
              </w:rPr>
              <w:t>用地类型</w:t>
            </w:r>
          </w:p>
        </w:tc>
        <w:tc>
          <w:tcPr>
            <w:tcW w:w="3616" w:type="dxa"/>
            <w:noWrap w:val="0"/>
            <w:vAlign w:val="center"/>
          </w:tcPr>
          <w:p w14:paraId="447060F0">
            <w:pPr>
              <w:jc w:val="center"/>
              <w:rPr>
                <w:rFonts w:eastAsia="楷体"/>
                <w:kern w:val="0"/>
                <w:sz w:val="22"/>
                <w:szCs w:val="22"/>
              </w:rPr>
            </w:pPr>
            <w:r>
              <w:rPr>
                <w:rFonts w:eastAsia="楷体"/>
                <w:kern w:val="0"/>
                <w:sz w:val="22"/>
                <w:szCs w:val="22"/>
              </w:rPr>
              <w:t>模型数学表达式</w:t>
            </w:r>
          </w:p>
        </w:tc>
        <w:tc>
          <w:tcPr>
            <w:tcW w:w="4089" w:type="dxa"/>
            <w:noWrap w:val="0"/>
            <w:vAlign w:val="center"/>
          </w:tcPr>
          <w:p w14:paraId="5AC9BFD4">
            <w:pPr>
              <w:jc w:val="center"/>
              <w:rPr>
                <w:rFonts w:eastAsia="楷体"/>
                <w:kern w:val="0"/>
                <w:sz w:val="22"/>
                <w:szCs w:val="22"/>
              </w:rPr>
            </w:pPr>
            <w:r>
              <w:rPr>
                <w:rFonts w:eastAsia="楷体"/>
                <w:kern w:val="0"/>
                <w:sz w:val="22"/>
                <w:szCs w:val="22"/>
              </w:rPr>
              <w:t>统计量检验</w:t>
            </w:r>
          </w:p>
        </w:tc>
      </w:tr>
      <w:tr w14:paraId="416A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367" w:type="dxa"/>
            <w:noWrap w:val="0"/>
            <w:vAlign w:val="center"/>
          </w:tcPr>
          <w:p w14:paraId="39E02900">
            <w:pPr>
              <w:jc w:val="center"/>
              <w:rPr>
                <w:rFonts w:eastAsia="楷体_GB2312"/>
                <w:kern w:val="0"/>
                <w:szCs w:val="21"/>
              </w:rPr>
            </w:pPr>
            <w:r>
              <w:rPr>
                <w:rFonts w:eastAsia="楷体_GB2312"/>
                <w:kern w:val="0"/>
                <w:szCs w:val="21"/>
              </w:rPr>
              <w:t>商服用地</w:t>
            </w:r>
          </w:p>
        </w:tc>
        <w:tc>
          <w:tcPr>
            <w:tcW w:w="3616" w:type="dxa"/>
            <w:noWrap w:val="0"/>
            <w:vAlign w:val="center"/>
          </w:tcPr>
          <w:p w14:paraId="3A415337">
            <w:pPr>
              <w:jc w:val="center"/>
              <w:rPr>
                <w:rFonts w:eastAsia="楷体_GB2312"/>
                <w:kern w:val="0"/>
                <w:szCs w:val="21"/>
              </w:rPr>
            </w:pPr>
            <w:r>
              <w:rPr>
                <w:rFonts w:eastAsia="楷体_GB2312"/>
                <w:kern w:val="0"/>
                <w:szCs w:val="21"/>
              </w:rPr>
              <w:t>Yn =</w:t>
            </w:r>
            <w:r>
              <w:rPr>
                <w:rFonts w:eastAsia="楷体_GB2312"/>
                <w:szCs w:val="21"/>
              </w:rPr>
              <w:t>183.5859</w:t>
            </w:r>
            <w:r>
              <w:rPr>
                <w:rFonts w:eastAsia="楷体_GB2312"/>
                <w:kern w:val="0"/>
                <w:szCs w:val="21"/>
              </w:rPr>
              <w:t>×（1+</w:t>
            </w:r>
            <w:r>
              <w:rPr>
                <w:rFonts w:eastAsia="楷体_GB2312"/>
                <w:szCs w:val="21"/>
              </w:rPr>
              <w:t xml:space="preserve"> </w:t>
            </w:r>
            <w:r>
              <w:rPr>
                <w:rFonts w:eastAsia="楷体_GB2312"/>
                <w:kern w:val="0"/>
                <w:szCs w:val="21"/>
              </w:rPr>
              <w:t>0.6656）</w:t>
            </w:r>
            <w:r>
              <w:rPr>
                <w:rFonts w:eastAsia="楷体_GB2312"/>
                <w:kern w:val="0"/>
                <w:szCs w:val="21"/>
              </w:rPr>
              <w:object>
                <v:shape id="_x0000_i1161"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61" DrawAspect="Content" ObjectID="_1468075861" r:id="rId297">
                  <o:LockedField>false</o:LockedField>
                </o:OLEObject>
              </w:object>
            </w:r>
          </w:p>
        </w:tc>
        <w:tc>
          <w:tcPr>
            <w:tcW w:w="4089" w:type="dxa"/>
            <w:noWrap w:val="0"/>
            <w:vAlign w:val="center"/>
          </w:tcPr>
          <w:p w14:paraId="35B30EEA">
            <w:pPr>
              <w:jc w:val="center"/>
              <w:rPr>
                <w:rFonts w:eastAsia="楷体_GB2312"/>
                <w:kern w:val="0"/>
                <w:szCs w:val="21"/>
              </w:rPr>
            </w:pPr>
            <w:r>
              <w:rPr>
                <w:rFonts w:eastAsia="楷体_GB2312"/>
                <w:kern w:val="0"/>
                <w:szCs w:val="21"/>
              </w:rPr>
              <w:t>α=0.05，F=463.2557，t=29.4641,R=0.9346</w:t>
            </w:r>
          </w:p>
        </w:tc>
      </w:tr>
      <w:tr w14:paraId="08D12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367" w:type="dxa"/>
            <w:noWrap w:val="0"/>
            <w:vAlign w:val="center"/>
          </w:tcPr>
          <w:p w14:paraId="2D4967B0">
            <w:pPr>
              <w:jc w:val="center"/>
              <w:rPr>
                <w:rFonts w:eastAsia="楷体_GB2312"/>
                <w:kern w:val="0"/>
                <w:szCs w:val="21"/>
              </w:rPr>
            </w:pPr>
            <w:r>
              <w:rPr>
                <w:rFonts w:eastAsia="楷体_GB2312"/>
                <w:kern w:val="0"/>
                <w:szCs w:val="21"/>
              </w:rPr>
              <w:t>住宅用地</w:t>
            </w:r>
          </w:p>
        </w:tc>
        <w:tc>
          <w:tcPr>
            <w:tcW w:w="3616" w:type="dxa"/>
            <w:noWrap w:val="0"/>
            <w:vAlign w:val="center"/>
          </w:tcPr>
          <w:p w14:paraId="5E7051F0">
            <w:pPr>
              <w:jc w:val="center"/>
              <w:rPr>
                <w:rFonts w:eastAsia="楷体_GB2312"/>
                <w:kern w:val="0"/>
                <w:szCs w:val="21"/>
              </w:rPr>
            </w:pPr>
            <w:r>
              <w:rPr>
                <w:rFonts w:eastAsia="楷体_GB2312"/>
                <w:kern w:val="0"/>
                <w:szCs w:val="21"/>
              </w:rPr>
              <w:t>Yn =</w:t>
            </w:r>
            <w:r>
              <w:rPr>
                <w:rFonts w:eastAsia="楷体_GB2312"/>
                <w:szCs w:val="21"/>
              </w:rPr>
              <w:t>130.0564</w:t>
            </w:r>
            <w:r>
              <w:rPr>
                <w:rFonts w:eastAsia="楷体_GB2312"/>
                <w:kern w:val="0"/>
                <w:szCs w:val="21"/>
              </w:rPr>
              <w:t>×（1+</w:t>
            </w:r>
            <w:r>
              <w:rPr>
                <w:rFonts w:eastAsia="楷体_GB2312"/>
                <w:szCs w:val="21"/>
              </w:rPr>
              <w:t xml:space="preserve"> </w:t>
            </w:r>
            <w:r>
              <w:rPr>
                <w:rFonts w:eastAsia="楷体_GB2312"/>
                <w:kern w:val="0"/>
                <w:szCs w:val="21"/>
              </w:rPr>
              <w:t>0.5886）</w:t>
            </w:r>
            <w:r>
              <w:rPr>
                <w:rFonts w:eastAsia="楷体_GB2312"/>
                <w:kern w:val="0"/>
                <w:szCs w:val="21"/>
              </w:rPr>
              <w:object>
                <v:shape id="_x0000_i1162"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62" DrawAspect="Content" ObjectID="_1468075862" r:id="rId298">
                  <o:LockedField>false</o:LockedField>
                </o:OLEObject>
              </w:object>
            </w:r>
          </w:p>
        </w:tc>
        <w:tc>
          <w:tcPr>
            <w:tcW w:w="4089" w:type="dxa"/>
            <w:noWrap w:val="0"/>
            <w:vAlign w:val="center"/>
          </w:tcPr>
          <w:p w14:paraId="345E48E0">
            <w:pPr>
              <w:jc w:val="center"/>
              <w:rPr>
                <w:rFonts w:eastAsia="楷体_GB2312"/>
                <w:kern w:val="0"/>
                <w:szCs w:val="21"/>
              </w:rPr>
            </w:pPr>
            <w:r>
              <w:rPr>
                <w:rFonts w:eastAsia="楷体_GB2312"/>
                <w:kern w:val="0"/>
                <w:szCs w:val="21"/>
              </w:rPr>
              <w:t>α=0.05，F=34.2574，t=32.7546，R=0.8453</w:t>
            </w:r>
          </w:p>
        </w:tc>
      </w:tr>
    </w:tbl>
    <w:p w14:paraId="2328371A">
      <w:pPr>
        <w:widowControl w:val="0"/>
        <w:spacing w:before="120" w:beforeLines="50" w:after="120" w:afterLines="50" w:line="240" w:lineRule="atLeast"/>
        <w:jc w:val="center"/>
        <w:rPr>
          <w:rFonts w:eastAsia="黑体"/>
          <w:sz w:val="28"/>
          <w:szCs w:val="21"/>
        </w:rPr>
      </w:pPr>
      <w:r>
        <w:rPr>
          <w:rFonts w:eastAsia="黑体"/>
          <w:sz w:val="28"/>
          <w:szCs w:val="21"/>
        </w:rPr>
        <w:t>表2-5-</w:t>
      </w:r>
      <w:r>
        <w:rPr>
          <w:rFonts w:hint="eastAsia" w:eastAsia="黑体"/>
          <w:sz w:val="28"/>
          <w:szCs w:val="21"/>
        </w:rPr>
        <w:t>1</w:t>
      </w:r>
      <w:r>
        <w:rPr>
          <w:rFonts w:eastAsia="黑体"/>
          <w:sz w:val="28"/>
          <w:szCs w:val="21"/>
        </w:rPr>
        <w:t xml:space="preserve">4  </w:t>
      </w:r>
      <w:r>
        <w:rPr>
          <w:rFonts w:hint="eastAsia" w:eastAsia="黑体"/>
          <w:sz w:val="28"/>
          <w:szCs w:val="21"/>
        </w:rPr>
        <w:t>大营</w:t>
      </w:r>
      <w:r>
        <w:rPr>
          <w:rFonts w:eastAsia="黑体"/>
          <w:sz w:val="28"/>
          <w:szCs w:val="21"/>
        </w:rPr>
        <w:t>镇样点地价与土地级别指数模型测算结果表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5080B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7722B2FF">
            <w:pPr>
              <w:jc w:val="center"/>
              <w:rPr>
                <w:rFonts w:eastAsia="楷体"/>
                <w:kern w:val="0"/>
                <w:sz w:val="22"/>
                <w:szCs w:val="22"/>
              </w:rPr>
            </w:pPr>
            <w:r>
              <w:rPr>
                <w:rFonts w:eastAsia="楷体"/>
                <w:kern w:val="0"/>
                <w:sz w:val="22"/>
                <w:szCs w:val="22"/>
              </w:rPr>
              <w:t>用地类型</w:t>
            </w:r>
          </w:p>
        </w:tc>
        <w:tc>
          <w:tcPr>
            <w:tcW w:w="3617" w:type="dxa"/>
            <w:noWrap w:val="0"/>
            <w:vAlign w:val="center"/>
          </w:tcPr>
          <w:p w14:paraId="18E00F6F">
            <w:pPr>
              <w:jc w:val="center"/>
              <w:rPr>
                <w:rFonts w:eastAsia="楷体"/>
                <w:kern w:val="0"/>
                <w:sz w:val="22"/>
                <w:szCs w:val="22"/>
              </w:rPr>
            </w:pPr>
            <w:r>
              <w:rPr>
                <w:rFonts w:eastAsia="楷体"/>
                <w:kern w:val="0"/>
                <w:sz w:val="22"/>
                <w:szCs w:val="22"/>
              </w:rPr>
              <w:t>模型数学表达式</w:t>
            </w:r>
          </w:p>
        </w:tc>
        <w:tc>
          <w:tcPr>
            <w:tcW w:w="4089" w:type="dxa"/>
            <w:noWrap w:val="0"/>
            <w:vAlign w:val="center"/>
          </w:tcPr>
          <w:p w14:paraId="0160EDC8">
            <w:pPr>
              <w:jc w:val="center"/>
              <w:rPr>
                <w:rFonts w:eastAsia="楷体"/>
                <w:kern w:val="0"/>
                <w:sz w:val="22"/>
                <w:szCs w:val="22"/>
              </w:rPr>
            </w:pPr>
            <w:r>
              <w:rPr>
                <w:rFonts w:eastAsia="楷体"/>
                <w:kern w:val="0"/>
                <w:sz w:val="22"/>
                <w:szCs w:val="22"/>
              </w:rPr>
              <w:t>统计量检验</w:t>
            </w:r>
          </w:p>
        </w:tc>
      </w:tr>
      <w:tr w14:paraId="63BF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7F0AF672">
            <w:pPr>
              <w:jc w:val="center"/>
              <w:rPr>
                <w:rFonts w:eastAsia="楷体"/>
                <w:kern w:val="0"/>
                <w:sz w:val="22"/>
                <w:szCs w:val="22"/>
              </w:rPr>
            </w:pPr>
            <w:r>
              <w:rPr>
                <w:rFonts w:eastAsia="楷体"/>
                <w:kern w:val="0"/>
                <w:sz w:val="22"/>
                <w:szCs w:val="22"/>
              </w:rPr>
              <w:t>商服用地</w:t>
            </w:r>
          </w:p>
        </w:tc>
        <w:tc>
          <w:tcPr>
            <w:tcW w:w="3617" w:type="dxa"/>
            <w:noWrap w:val="0"/>
            <w:vAlign w:val="center"/>
          </w:tcPr>
          <w:p w14:paraId="3280FB9A">
            <w:pPr>
              <w:jc w:val="center"/>
              <w:rPr>
                <w:rFonts w:eastAsia="楷体_GB2312"/>
                <w:kern w:val="0"/>
                <w:szCs w:val="21"/>
              </w:rPr>
            </w:pPr>
            <w:r>
              <w:rPr>
                <w:rFonts w:eastAsia="楷体_GB2312"/>
                <w:kern w:val="0"/>
                <w:szCs w:val="21"/>
              </w:rPr>
              <w:t>Yn =</w:t>
            </w:r>
            <w:r>
              <w:rPr>
                <w:rFonts w:eastAsia="楷体_GB2312"/>
                <w:szCs w:val="21"/>
              </w:rPr>
              <w:t xml:space="preserve"> </w:t>
            </w:r>
            <w:r>
              <w:rPr>
                <w:rFonts w:eastAsia="楷体_GB2312"/>
                <w:kern w:val="0"/>
                <w:szCs w:val="21"/>
              </w:rPr>
              <w:t>169.0215×（1+</w:t>
            </w:r>
            <w:r>
              <w:rPr>
                <w:rFonts w:eastAsia="楷体_GB2312"/>
                <w:szCs w:val="21"/>
              </w:rPr>
              <w:t xml:space="preserve"> </w:t>
            </w:r>
            <w:r>
              <w:rPr>
                <w:rFonts w:eastAsia="楷体_GB2312"/>
                <w:kern w:val="0"/>
                <w:szCs w:val="21"/>
              </w:rPr>
              <w:t>0.6855）</w:t>
            </w:r>
            <w:r>
              <w:rPr>
                <w:rFonts w:eastAsia="楷体_GB2312"/>
                <w:kern w:val="0"/>
                <w:szCs w:val="21"/>
              </w:rPr>
              <w:object>
                <v:shape id="_x0000_i1163"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63" DrawAspect="Content" ObjectID="_1468075863" r:id="rId299">
                  <o:LockedField>false</o:LockedField>
                </o:OLEObject>
              </w:object>
            </w:r>
          </w:p>
        </w:tc>
        <w:tc>
          <w:tcPr>
            <w:tcW w:w="4089" w:type="dxa"/>
            <w:noWrap w:val="0"/>
            <w:vAlign w:val="center"/>
          </w:tcPr>
          <w:p w14:paraId="1E78E27D">
            <w:pPr>
              <w:jc w:val="center"/>
              <w:rPr>
                <w:rFonts w:eastAsia="楷体_GB2312"/>
                <w:kern w:val="0"/>
                <w:szCs w:val="21"/>
              </w:rPr>
            </w:pPr>
            <w:r>
              <w:rPr>
                <w:rFonts w:eastAsia="楷体_GB2312"/>
                <w:kern w:val="0"/>
                <w:szCs w:val="21"/>
              </w:rPr>
              <w:t>α=0.05，F=544.7513，t=34.6691,R=0、8123</w:t>
            </w:r>
          </w:p>
        </w:tc>
      </w:tr>
      <w:tr w14:paraId="6A72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22060E6A">
            <w:pPr>
              <w:jc w:val="center"/>
              <w:rPr>
                <w:rFonts w:eastAsia="楷体"/>
                <w:kern w:val="0"/>
                <w:sz w:val="22"/>
                <w:szCs w:val="22"/>
              </w:rPr>
            </w:pPr>
            <w:r>
              <w:rPr>
                <w:rFonts w:eastAsia="楷体"/>
                <w:kern w:val="0"/>
                <w:sz w:val="22"/>
                <w:szCs w:val="22"/>
              </w:rPr>
              <w:t>住宅用地</w:t>
            </w:r>
          </w:p>
        </w:tc>
        <w:tc>
          <w:tcPr>
            <w:tcW w:w="3617" w:type="dxa"/>
            <w:noWrap w:val="0"/>
            <w:vAlign w:val="center"/>
          </w:tcPr>
          <w:p w14:paraId="7E1313A1">
            <w:pPr>
              <w:jc w:val="center"/>
              <w:rPr>
                <w:rFonts w:eastAsia="楷体_GB2312"/>
                <w:kern w:val="0"/>
                <w:szCs w:val="21"/>
              </w:rPr>
            </w:pPr>
            <w:r>
              <w:rPr>
                <w:rFonts w:eastAsia="楷体_GB2312"/>
                <w:kern w:val="0"/>
                <w:szCs w:val="21"/>
              </w:rPr>
              <w:t>Yn =</w:t>
            </w:r>
            <w:r>
              <w:rPr>
                <w:rFonts w:eastAsia="楷体_GB2312"/>
                <w:szCs w:val="21"/>
              </w:rPr>
              <w:t xml:space="preserve"> </w:t>
            </w:r>
            <w:r>
              <w:rPr>
                <w:rFonts w:eastAsia="楷体_GB2312"/>
                <w:kern w:val="0"/>
                <w:szCs w:val="21"/>
              </w:rPr>
              <w:t>117.9568×（1+</w:t>
            </w:r>
            <w:r>
              <w:rPr>
                <w:rFonts w:eastAsia="楷体_GB2312"/>
                <w:szCs w:val="21"/>
              </w:rPr>
              <w:t xml:space="preserve"> </w:t>
            </w:r>
            <w:r>
              <w:rPr>
                <w:rFonts w:eastAsia="楷体_GB2312"/>
                <w:kern w:val="0"/>
                <w:szCs w:val="21"/>
              </w:rPr>
              <w:t>0.6133）</w:t>
            </w:r>
            <w:r>
              <w:rPr>
                <w:rFonts w:eastAsia="楷体_GB2312"/>
                <w:kern w:val="0"/>
                <w:szCs w:val="21"/>
              </w:rPr>
              <w:object>
                <v:shape id="_x0000_i1164"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64" DrawAspect="Content" ObjectID="_1468075864" r:id="rId300">
                  <o:LockedField>false</o:LockedField>
                </o:OLEObject>
              </w:object>
            </w:r>
          </w:p>
        </w:tc>
        <w:tc>
          <w:tcPr>
            <w:tcW w:w="4089" w:type="dxa"/>
            <w:noWrap w:val="0"/>
            <w:vAlign w:val="center"/>
          </w:tcPr>
          <w:p w14:paraId="3082FAD3">
            <w:pPr>
              <w:jc w:val="center"/>
              <w:rPr>
                <w:rFonts w:eastAsia="楷体_GB2312"/>
                <w:kern w:val="0"/>
                <w:szCs w:val="21"/>
              </w:rPr>
            </w:pPr>
            <w:r>
              <w:rPr>
                <w:rFonts w:eastAsia="楷体_GB2312"/>
                <w:kern w:val="0"/>
                <w:szCs w:val="21"/>
              </w:rPr>
              <w:t>α=0.05，F=293.7605，t=27.4578，R=0.8321</w:t>
            </w:r>
          </w:p>
        </w:tc>
      </w:tr>
    </w:tbl>
    <w:p w14:paraId="2B1FDFAE">
      <w:pPr>
        <w:widowControl w:val="0"/>
        <w:spacing w:before="120" w:beforeLines="50" w:after="120" w:afterLines="50" w:line="240" w:lineRule="atLeast"/>
        <w:jc w:val="center"/>
        <w:rPr>
          <w:rFonts w:eastAsia="黑体"/>
          <w:sz w:val="28"/>
          <w:szCs w:val="21"/>
        </w:rPr>
      </w:pPr>
      <w:r>
        <w:rPr>
          <w:rFonts w:eastAsia="黑体"/>
          <w:sz w:val="28"/>
          <w:szCs w:val="21"/>
        </w:rPr>
        <w:t>表2-5-</w:t>
      </w:r>
      <w:r>
        <w:rPr>
          <w:rFonts w:hint="eastAsia" w:eastAsia="黑体"/>
          <w:sz w:val="28"/>
          <w:szCs w:val="21"/>
        </w:rPr>
        <w:t>1</w:t>
      </w:r>
      <w:r>
        <w:rPr>
          <w:rFonts w:eastAsia="黑体"/>
          <w:sz w:val="28"/>
          <w:szCs w:val="21"/>
        </w:rPr>
        <w:t xml:space="preserve">5  </w:t>
      </w:r>
      <w:r>
        <w:rPr>
          <w:rFonts w:hint="eastAsia" w:eastAsia="黑体"/>
          <w:sz w:val="28"/>
          <w:szCs w:val="21"/>
        </w:rPr>
        <w:t>褚兰镇</w:t>
      </w:r>
      <w:r>
        <w:rPr>
          <w:rFonts w:eastAsia="黑体"/>
          <w:sz w:val="28"/>
          <w:szCs w:val="21"/>
        </w:rPr>
        <w:t>样点地价与土地级别指数模型测算结果表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08DA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1E809C34">
            <w:pPr>
              <w:jc w:val="center"/>
              <w:rPr>
                <w:rFonts w:eastAsia="楷体"/>
                <w:kern w:val="0"/>
                <w:sz w:val="22"/>
                <w:szCs w:val="22"/>
              </w:rPr>
            </w:pPr>
            <w:r>
              <w:rPr>
                <w:rFonts w:eastAsia="楷体"/>
                <w:kern w:val="0"/>
                <w:sz w:val="22"/>
                <w:szCs w:val="22"/>
              </w:rPr>
              <w:t>用地类型</w:t>
            </w:r>
          </w:p>
        </w:tc>
        <w:tc>
          <w:tcPr>
            <w:tcW w:w="3617" w:type="dxa"/>
            <w:noWrap w:val="0"/>
            <w:vAlign w:val="center"/>
          </w:tcPr>
          <w:p w14:paraId="7B4D022B">
            <w:pPr>
              <w:jc w:val="center"/>
              <w:rPr>
                <w:rFonts w:eastAsia="楷体"/>
                <w:kern w:val="0"/>
                <w:sz w:val="22"/>
                <w:szCs w:val="22"/>
              </w:rPr>
            </w:pPr>
            <w:r>
              <w:rPr>
                <w:rFonts w:eastAsia="楷体"/>
                <w:kern w:val="0"/>
                <w:sz w:val="22"/>
                <w:szCs w:val="22"/>
              </w:rPr>
              <w:t>模型数学表达式</w:t>
            </w:r>
          </w:p>
        </w:tc>
        <w:tc>
          <w:tcPr>
            <w:tcW w:w="4089" w:type="dxa"/>
            <w:noWrap w:val="0"/>
            <w:vAlign w:val="center"/>
          </w:tcPr>
          <w:p w14:paraId="3BC8C7CF">
            <w:pPr>
              <w:jc w:val="center"/>
              <w:rPr>
                <w:rFonts w:eastAsia="楷体"/>
                <w:kern w:val="0"/>
                <w:sz w:val="22"/>
                <w:szCs w:val="22"/>
              </w:rPr>
            </w:pPr>
            <w:r>
              <w:rPr>
                <w:rFonts w:eastAsia="楷体"/>
                <w:kern w:val="0"/>
                <w:sz w:val="22"/>
                <w:szCs w:val="22"/>
              </w:rPr>
              <w:t>统计量检验</w:t>
            </w:r>
          </w:p>
        </w:tc>
      </w:tr>
      <w:tr w14:paraId="11179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3E5C2560">
            <w:pPr>
              <w:jc w:val="center"/>
              <w:rPr>
                <w:rFonts w:eastAsia="楷体"/>
                <w:kern w:val="0"/>
                <w:sz w:val="22"/>
                <w:szCs w:val="22"/>
              </w:rPr>
            </w:pPr>
            <w:r>
              <w:rPr>
                <w:rFonts w:eastAsia="楷体"/>
                <w:kern w:val="0"/>
                <w:sz w:val="22"/>
                <w:szCs w:val="22"/>
              </w:rPr>
              <w:t>商服用地</w:t>
            </w:r>
          </w:p>
        </w:tc>
        <w:tc>
          <w:tcPr>
            <w:tcW w:w="3617" w:type="dxa"/>
            <w:noWrap w:val="0"/>
            <w:vAlign w:val="center"/>
          </w:tcPr>
          <w:p w14:paraId="7E6B6FE6">
            <w:pPr>
              <w:jc w:val="center"/>
              <w:rPr>
                <w:rFonts w:eastAsia="楷体_GB2312"/>
                <w:kern w:val="0"/>
                <w:szCs w:val="21"/>
              </w:rPr>
            </w:pPr>
            <w:r>
              <w:rPr>
                <w:rFonts w:eastAsia="楷体_GB2312"/>
                <w:kern w:val="0"/>
                <w:szCs w:val="21"/>
              </w:rPr>
              <w:t>Yn = 167.9968×（1+ 0.6895）</w:t>
            </w:r>
            <w:r>
              <w:rPr>
                <w:rFonts w:eastAsia="楷体_GB2312"/>
                <w:kern w:val="0"/>
                <w:szCs w:val="21"/>
              </w:rPr>
              <w:object>
                <v:shape id="_x0000_i1165"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65" DrawAspect="Content" ObjectID="_1468075865" r:id="rId301">
                  <o:LockedField>false</o:LockedField>
                </o:OLEObject>
              </w:object>
            </w:r>
          </w:p>
        </w:tc>
        <w:tc>
          <w:tcPr>
            <w:tcW w:w="4089" w:type="dxa"/>
            <w:noWrap w:val="0"/>
            <w:vAlign w:val="center"/>
          </w:tcPr>
          <w:p w14:paraId="5DAC89DE">
            <w:pPr>
              <w:jc w:val="center"/>
              <w:rPr>
                <w:rFonts w:eastAsia="楷体_GB2312"/>
                <w:kern w:val="0"/>
                <w:szCs w:val="21"/>
              </w:rPr>
            </w:pPr>
            <w:r>
              <w:rPr>
                <w:rFonts w:eastAsia="楷体_GB2312"/>
                <w:kern w:val="0"/>
                <w:szCs w:val="21"/>
              </w:rPr>
              <w:t>α=0.05，F=398.3758，t=36.2758,R=0、8858</w:t>
            </w:r>
          </w:p>
        </w:tc>
      </w:tr>
      <w:tr w14:paraId="1605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1B97D191">
            <w:pPr>
              <w:jc w:val="center"/>
              <w:rPr>
                <w:rFonts w:eastAsia="楷体"/>
                <w:kern w:val="0"/>
                <w:sz w:val="22"/>
                <w:szCs w:val="22"/>
              </w:rPr>
            </w:pPr>
            <w:r>
              <w:rPr>
                <w:rFonts w:eastAsia="楷体"/>
                <w:kern w:val="0"/>
                <w:sz w:val="22"/>
                <w:szCs w:val="22"/>
              </w:rPr>
              <w:t>住宅用地</w:t>
            </w:r>
          </w:p>
        </w:tc>
        <w:tc>
          <w:tcPr>
            <w:tcW w:w="3617" w:type="dxa"/>
            <w:noWrap w:val="0"/>
            <w:vAlign w:val="center"/>
          </w:tcPr>
          <w:p w14:paraId="55303FC9">
            <w:pPr>
              <w:jc w:val="center"/>
              <w:rPr>
                <w:rFonts w:eastAsia="楷体_GB2312"/>
                <w:kern w:val="0"/>
                <w:szCs w:val="21"/>
              </w:rPr>
            </w:pPr>
            <w:r>
              <w:rPr>
                <w:rFonts w:eastAsia="楷体_GB2312"/>
                <w:kern w:val="0"/>
                <w:szCs w:val="21"/>
              </w:rPr>
              <w:t>Yn = 116.9823×（1+ 0.6165）</w:t>
            </w:r>
            <w:r>
              <w:rPr>
                <w:rFonts w:eastAsia="楷体_GB2312"/>
                <w:kern w:val="0"/>
                <w:szCs w:val="21"/>
              </w:rPr>
              <w:object>
                <v:shape id="_x0000_i1166"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66" DrawAspect="Content" ObjectID="_1468075866" r:id="rId302">
                  <o:LockedField>false</o:LockedField>
                </o:OLEObject>
              </w:object>
            </w:r>
          </w:p>
        </w:tc>
        <w:tc>
          <w:tcPr>
            <w:tcW w:w="4089" w:type="dxa"/>
            <w:noWrap w:val="0"/>
            <w:vAlign w:val="center"/>
          </w:tcPr>
          <w:p w14:paraId="3A2B6D0A">
            <w:pPr>
              <w:jc w:val="center"/>
              <w:rPr>
                <w:rFonts w:eastAsia="楷体_GB2312"/>
                <w:kern w:val="0"/>
                <w:szCs w:val="21"/>
              </w:rPr>
            </w:pPr>
            <w:r>
              <w:rPr>
                <w:rFonts w:eastAsia="楷体_GB2312"/>
                <w:kern w:val="0"/>
                <w:szCs w:val="21"/>
              </w:rPr>
              <w:t>α=0.05，F=304.7825，t=29.6497，R=0.9438</w:t>
            </w:r>
          </w:p>
        </w:tc>
      </w:tr>
    </w:tbl>
    <w:p w14:paraId="30934EC7">
      <w:pPr>
        <w:widowControl w:val="0"/>
        <w:spacing w:before="120" w:beforeLines="50" w:after="120" w:afterLines="50" w:line="240" w:lineRule="atLeast"/>
        <w:jc w:val="center"/>
        <w:rPr>
          <w:rFonts w:eastAsia="黑体"/>
          <w:sz w:val="28"/>
          <w:szCs w:val="21"/>
        </w:rPr>
      </w:pPr>
      <w:r>
        <w:rPr>
          <w:rFonts w:eastAsia="黑体"/>
          <w:sz w:val="28"/>
          <w:szCs w:val="21"/>
        </w:rPr>
        <w:t>表2-5-</w:t>
      </w:r>
      <w:r>
        <w:rPr>
          <w:rFonts w:hint="eastAsia" w:eastAsia="黑体"/>
          <w:sz w:val="28"/>
          <w:szCs w:val="21"/>
        </w:rPr>
        <w:t>1</w:t>
      </w:r>
      <w:r>
        <w:rPr>
          <w:rFonts w:eastAsia="黑体"/>
          <w:sz w:val="28"/>
          <w:szCs w:val="21"/>
        </w:rPr>
        <w:t xml:space="preserve">6  </w:t>
      </w:r>
      <w:r>
        <w:rPr>
          <w:rFonts w:hint="eastAsia" w:eastAsia="黑体"/>
          <w:sz w:val="28"/>
          <w:szCs w:val="21"/>
        </w:rPr>
        <w:t>顺河镇</w:t>
      </w:r>
      <w:r>
        <w:rPr>
          <w:rFonts w:eastAsia="黑体"/>
          <w:sz w:val="28"/>
          <w:szCs w:val="21"/>
        </w:rPr>
        <w:t>样点地价与土地级别指数模型测算结果表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384C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17BD4E85">
            <w:pPr>
              <w:jc w:val="center"/>
              <w:rPr>
                <w:rFonts w:eastAsia="楷体"/>
                <w:kern w:val="0"/>
                <w:sz w:val="22"/>
                <w:szCs w:val="22"/>
              </w:rPr>
            </w:pPr>
            <w:r>
              <w:rPr>
                <w:rFonts w:eastAsia="楷体"/>
                <w:kern w:val="0"/>
                <w:sz w:val="22"/>
                <w:szCs w:val="22"/>
              </w:rPr>
              <w:t>用地类型</w:t>
            </w:r>
          </w:p>
        </w:tc>
        <w:tc>
          <w:tcPr>
            <w:tcW w:w="3617" w:type="dxa"/>
            <w:noWrap w:val="0"/>
            <w:vAlign w:val="center"/>
          </w:tcPr>
          <w:p w14:paraId="6914CDEA">
            <w:pPr>
              <w:jc w:val="center"/>
              <w:rPr>
                <w:rFonts w:eastAsia="楷体"/>
                <w:kern w:val="0"/>
                <w:sz w:val="22"/>
                <w:szCs w:val="22"/>
              </w:rPr>
            </w:pPr>
            <w:r>
              <w:rPr>
                <w:rFonts w:eastAsia="楷体"/>
                <w:kern w:val="0"/>
                <w:sz w:val="22"/>
                <w:szCs w:val="22"/>
              </w:rPr>
              <w:t>模型数学表达式</w:t>
            </w:r>
          </w:p>
        </w:tc>
        <w:tc>
          <w:tcPr>
            <w:tcW w:w="4089" w:type="dxa"/>
            <w:noWrap w:val="0"/>
            <w:vAlign w:val="center"/>
          </w:tcPr>
          <w:p w14:paraId="1C265647">
            <w:pPr>
              <w:jc w:val="center"/>
              <w:rPr>
                <w:rFonts w:eastAsia="楷体"/>
                <w:kern w:val="0"/>
                <w:sz w:val="22"/>
                <w:szCs w:val="22"/>
              </w:rPr>
            </w:pPr>
            <w:r>
              <w:rPr>
                <w:rFonts w:eastAsia="楷体"/>
                <w:kern w:val="0"/>
                <w:sz w:val="22"/>
                <w:szCs w:val="22"/>
              </w:rPr>
              <w:t>统计量检验</w:t>
            </w:r>
          </w:p>
        </w:tc>
      </w:tr>
      <w:tr w14:paraId="25B0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45B7AA96">
            <w:pPr>
              <w:jc w:val="center"/>
              <w:rPr>
                <w:rFonts w:eastAsia="楷体"/>
                <w:kern w:val="0"/>
                <w:sz w:val="22"/>
                <w:szCs w:val="22"/>
              </w:rPr>
            </w:pPr>
            <w:r>
              <w:rPr>
                <w:rFonts w:eastAsia="楷体"/>
                <w:kern w:val="0"/>
                <w:sz w:val="22"/>
                <w:szCs w:val="22"/>
              </w:rPr>
              <w:t>商服用地</w:t>
            </w:r>
          </w:p>
        </w:tc>
        <w:tc>
          <w:tcPr>
            <w:tcW w:w="3617" w:type="dxa"/>
            <w:noWrap w:val="0"/>
            <w:vAlign w:val="center"/>
          </w:tcPr>
          <w:p w14:paraId="12437B55">
            <w:pPr>
              <w:jc w:val="center"/>
              <w:rPr>
                <w:rFonts w:eastAsia="楷体_GB2312"/>
                <w:kern w:val="0"/>
                <w:szCs w:val="21"/>
              </w:rPr>
            </w:pPr>
            <w:r>
              <w:rPr>
                <w:rFonts w:eastAsia="楷体_GB2312"/>
                <w:kern w:val="0"/>
                <w:szCs w:val="21"/>
              </w:rPr>
              <w:t>Yn = 171.0563×（1+ 0.6652）</w:t>
            </w:r>
            <w:r>
              <w:rPr>
                <w:rFonts w:eastAsia="楷体_GB2312"/>
                <w:kern w:val="0"/>
                <w:szCs w:val="21"/>
              </w:rPr>
              <w:object>
                <v:shape id="_x0000_i1167"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67" DrawAspect="Content" ObjectID="_1468075867" r:id="rId303">
                  <o:LockedField>false</o:LockedField>
                </o:OLEObject>
              </w:object>
            </w:r>
          </w:p>
        </w:tc>
        <w:tc>
          <w:tcPr>
            <w:tcW w:w="4089" w:type="dxa"/>
            <w:noWrap w:val="0"/>
            <w:vAlign w:val="center"/>
          </w:tcPr>
          <w:p w14:paraId="666D81BA">
            <w:pPr>
              <w:jc w:val="center"/>
              <w:rPr>
                <w:rFonts w:eastAsia="楷体_GB2312"/>
                <w:kern w:val="0"/>
                <w:szCs w:val="21"/>
              </w:rPr>
            </w:pPr>
            <w:r>
              <w:rPr>
                <w:rFonts w:eastAsia="楷体_GB2312"/>
                <w:kern w:val="0"/>
                <w:szCs w:val="21"/>
              </w:rPr>
              <w:t>α=0.05，F=514.7682，t=39.4498,R=0、8123</w:t>
            </w:r>
          </w:p>
        </w:tc>
      </w:tr>
      <w:tr w14:paraId="23DAD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70CD1CA7">
            <w:pPr>
              <w:jc w:val="center"/>
              <w:rPr>
                <w:rFonts w:eastAsia="楷体"/>
                <w:kern w:val="0"/>
                <w:sz w:val="22"/>
                <w:szCs w:val="22"/>
              </w:rPr>
            </w:pPr>
            <w:r>
              <w:rPr>
                <w:rFonts w:eastAsia="楷体"/>
                <w:kern w:val="0"/>
                <w:sz w:val="22"/>
                <w:szCs w:val="22"/>
              </w:rPr>
              <w:t>住宅用地</w:t>
            </w:r>
          </w:p>
        </w:tc>
        <w:tc>
          <w:tcPr>
            <w:tcW w:w="3617" w:type="dxa"/>
            <w:noWrap w:val="0"/>
            <w:vAlign w:val="center"/>
          </w:tcPr>
          <w:p w14:paraId="14ABC694">
            <w:pPr>
              <w:jc w:val="center"/>
              <w:rPr>
                <w:rFonts w:eastAsia="楷体_GB2312"/>
                <w:kern w:val="0"/>
                <w:szCs w:val="21"/>
              </w:rPr>
            </w:pPr>
            <w:r>
              <w:rPr>
                <w:rFonts w:eastAsia="楷体_GB2312"/>
                <w:kern w:val="0"/>
                <w:szCs w:val="21"/>
              </w:rPr>
              <w:t>Yn = 119.4217×（1+0.5935）</w:t>
            </w:r>
            <w:r>
              <w:rPr>
                <w:rFonts w:eastAsia="楷体_GB2312"/>
                <w:kern w:val="0"/>
                <w:szCs w:val="21"/>
              </w:rPr>
              <w:object>
                <v:shape id="_x0000_i1168"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68" DrawAspect="Content" ObjectID="_1468075868" r:id="rId304">
                  <o:LockedField>false</o:LockedField>
                </o:OLEObject>
              </w:object>
            </w:r>
          </w:p>
        </w:tc>
        <w:tc>
          <w:tcPr>
            <w:tcW w:w="4089" w:type="dxa"/>
            <w:noWrap w:val="0"/>
            <w:vAlign w:val="center"/>
          </w:tcPr>
          <w:p w14:paraId="3EA2FF3A">
            <w:pPr>
              <w:jc w:val="center"/>
              <w:rPr>
                <w:rFonts w:eastAsia="楷体_GB2312"/>
                <w:kern w:val="0"/>
                <w:szCs w:val="21"/>
              </w:rPr>
            </w:pPr>
            <w:r>
              <w:rPr>
                <w:rFonts w:eastAsia="楷体_GB2312"/>
                <w:kern w:val="0"/>
                <w:szCs w:val="21"/>
              </w:rPr>
              <w:t>α=0.05，F=288.7888，t=25.7685，R=0.9074</w:t>
            </w:r>
          </w:p>
        </w:tc>
      </w:tr>
    </w:tbl>
    <w:p w14:paraId="171E84D8">
      <w:pPr>
        <w:widowControl w:val="0"/>
        <w:spacing w:before="120" w:beforeLines="50" w:after="120" w:afterLines="50" w:line="240" w:lineRule="atLeast"/>
        <w:jc w:val="center"/>
        <w:rPr>
          <w:rFonts w:eastAsia="黑体"/>
          <w:sz w:val="28"/>
          <w:szCs w:val="21"/>
        </w:rPr>
      </w:pPr>
      <w:r>
        <w:rPr>
          <w:rFonts w:eastAsia="黑体"/>
          <w:sz w:val="28"/>
          <w:szCs w:val="21"/>
        </w:rPr>
        <w:t>表2-5-</w:t>
      </w:r>
      <w:r>
        <w:rPr>
          <w:rFonts w:hint="eastAsia" w:eastAsia="黑体"/>
          <w:sz w:val="28"/>
          <w:szCs w:val="21"/>
        </w:rPr>
        <w:t>1</w:t>
      </w:r>
      <w:r>
        <w:rPr>
          <w:rFonts w:eastAsia="黑体"/>
          <w:sz w:val="28"/>
          <w:szCs w:val="21"/>
        </w:rPr>
        <w:t xml:space="preserve">7 </w:t>
      </w:r>
      <w:r>
        <w:rPr>
          <w:rFonts w:hint="eastAsia" w:eastAsia="黑体"/>
          <w:sz w:val="28"/>
          <w:szCs w:val="21"/>
        </w:rPr>
        <w:t>杨庄镇</w:t>
      </w:r>
      <w:r>
        <w:rPr>
          <w:rFonts w:eastAsia="黑体"/>
          <w:sz w:val="28"/>
          <w:szCs w:val="21"/>
        </w:rPr>
        <w:t>样点地价与土地级别指数模型测算结果表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38ECC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1BC50F53">
            <w:pPr>
              <w:jc w:val="center"/>
              <w:rPr>
                <w:rFonts w:eastAsia="楷体"/>
                <w:kern w:val="0"/>
                <w:sz w:val="22"/>
                <w:szCs w:val="22"/>
              </w:rPr>
            </w:pPr>
            <w:r>
              <w:rPr>
                <w:rFonts w:eastAsia="楷体"/>
                <w:kern w:val="0"/>
                <w:sz w:val="22"/>
                <w:szCs w:val="22"/>
              </w:rPr>
              <w:t>用地类型</w:t>
            </w:r>
          </w:p>
        </w:tc>
        <w:tc>
          <w:tcPr>
            <w:tcW w:w="3617" w:type="dxa"/>
            <w:noWrap w:val="0"/>
            <w:vAlign w:val="center"/>
          </w:tcPr>
          <w:p w14:paraId="59A725B8">
            <w:pPr>
              <w:jc w:val="center"/>
              <w:rPr>
                <w:rFonts w:eastAsia="楷体"/>
                <w:kern w:val="0"/>
                <w:sz w:val="22"/>
                <w:szCs w:val="22"/>
              </w:rPr>
            </w:pPr>
            <w:r>
              <w:rPr>
                <w:rFonts w:eastAsia="楷体"/>
                <w:kern w:val="0"/>
                <w:sz w:val="22"/>
                <w:szCs w:val="22"/>
              </w:rPr>
              <w:t>模型数学表达式</w:t>
            </w:r>
          </w:p>
        </w:tc>
        <w:tc>
          <w:tcPr>
            <w:tcW w:w="4089" w:type="dxa"/>
            <w:noWrap w:val="0"/>
            <w:vAlign w:val="center"/>
          </w:tcPr>
          <w:p w14:paraId="0CC5D0F7">
            <w:pPr>
              <w:jc w:val="center"/>
              <w:rPr>
                <w:rFonts w:eastAsia="楷体"/>
                <w:kern w:val="0"/>
                <w:sz w:val="22"/>
                <w:szCs w:val="22"/>
              </w:rPr>
            </w:pPr>
            <w:r>
              <w:rPr>
                <w:rFonts w:eastAsia="楷体"/>
                <w:kern w:val="0"/>
                <w:sz w:val="22"/>
                <w:szCs w:val="22"/>
              </w:rPr>
              <w:t>统计量检验</w:t>
            </w:r>
          </w:p>
        </w:tc>
      </w:tr>
      <w:tr w14:paraId="42FC8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1C7381EF">
            <w:pPr>
              <w:jc w:val="center"/>
              <w:rPr>
                <w:rFonts w:eastAsia="楷体"/>
                <w:kern w:val="0"/>
                <w:sz w:val="22"/>
                <w:szCs w:val="22"/>
              </w:rPr>
            </w:pPr>
            <w:r>
              <w:rPr>
                <w:rFonts w:eastAsia="楷体"/>
                <w:kern w:val="0"/>
                <w:sz w:val="22"/>
                <w:szCs w:val="22"/>
              </w:rPr>
              <w:t>商服用地</w:t>
            </w:r>
          </w:p>
        </w:tc>
        <w:tc>
          <w:tcPr>
            <w:tcW w:w="3617" w:type="dxa"/>
            <w:noWrap w:val="0"/>
            <w:vAlign w:val="center"/>
          </w:tcPr>
          <w:p w14:paraId="394A21BF">
            <w:pPr>
              <w:jc w:val="center"/>
              <w:rPr>
                <w:rFonts w:eastAsia="楷体_GB2312"/>
                <w:kern w:val="0"/>
                <w:szCs w:val="21"/>
              </w:rPr>
            </w:pPr>
            <w:r>
              <w:rPr>
                <w:rFonts w:eastAsia="楷体_GB2312"/>
                <w:kern w:val="0"/>
                <w:szCs w:val="21"/>
              </w:rPr>
              <w:t>Yn = 154.8654×（1+ 0.7789）</w:t>
            </w:r>
            <w:r>
              <w:rPr>
                <w:rFonts w:eastAsia="楷体_GB2312"/>
                <w:kern w:val="0"/>
                <w:szCs w:val="21"/>
              </w:rPr>
              <w:object>
                <v:shape id="_x0000_i1169"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69" DrawAspect="Content" ObjectID="_1468075869" r:id="rId305">
                  <o:LockedField>false</o:LockedField>
                </o:OLEObject>
              </w:object>
            </w:r>
          </w:p>
        </w:tc>
        <w:tc>
          <w:tcPr>
            <w:tcW w:w="4089" w:type="dxa"/>
            <w:noWrap w:val="0"/>
            <w:vAlign w:val="center"/>
          </w:tcPr>
          <w:p w14:paraId="6AD1F1C8">
            <w:pPr>
              <w:jc w:val="center"/>
              <w:rPr>
                <w:rFonts w:eastAsia="楷体_GB2312"/>
                <w:kern w:val="0"/>
                <w:szCs w:val="21"/>
              </w:rPr>
            </w:pPr>
            <w:r>
              <w:rPr>
                <w:rFonts w:eastAsia="楷体_GB2312"/>
                <w:kern w:val="0"/>
                <w:szCs w:val="21"/>
              </w:rPr>
              <w:t>α=0.05，F=465.2356，t=36.8654</w:t>
            </w:r>
            <w:r>
              <w:rPr>
                <w:rFonts w:hint="eastAsia" w:eastAsia="楷体_GB2312"/>
                <w:kern w:val="0"/>
                <w:szCs w:val="21"/>
              </w:rPr>
              <w:t>，</w:t>
            </w:r>
            <w:r>
              <w:rPr>
                <w:rFonts w:eastAsia="楷体_GB2312"/>
                <w:kern w:val="0"/>
                <w:szCs w:val="21"/>
              </w:rPr>
              <w:t>R=0.8975</w:t>
            </w:r>
          </w:p>
        </w:tc>
      </w:tr>
      <w:tr w14:paraId="1E0BD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7BB2D3FF">
            <w:pPr>
              <w:jc w:val="center"/>
              <w:rPr>
                <w:rFonts w:eastAsia="楷体"/>
                <w:kern w:val="0"/>
                <w:sz w:val="22"/>
                <w:szCs w:val="22"/>
              </w:rPr>
            </w:pPr>
            <w:r>
              <w:rPr>
                <w:rFonts w:eastAsia="楷体"/>
                <w:kern w:val="0"/>
                <w:sz w:val="22"/>
                <w:szCs w:val="22"/>
              </w:rPr>
              <w:t>住宅用地</w:t>
            </w:r>
          </w:p>
        </w:tc>
        <w:tc>
          <w:tcPr>
            <w:tcW w:w="3617" w:type="dxa"/>
            <w:noWrap w:val="0"/>
            <w:vAlign w:val="center"/>
          </w:tcPr>
          <w:p w14:paraId="7A5239E3">
            <w:pPr>
              <w:jc w:val="center"/>
              <w:rPr>
                <w:rFonts w:eastAsia="楷体_GB2312"/>
                <w:kern w:val="0"/>
                <w:szCs w:val="21"/>
              </w:rPr>
            </w:pPr>
            <w:r>
              <w:rPr>
                <w:rFonts w:eastAsia="楷体_GB2312"/>
                <w:kern w:val="0"/>
                <w:szCs w:val="21"/>
              </w:rPr>
              <w:t>Yn = 109.7892×（1+ 0.7315）</w:t>
            </w:r>
            <w:r>
              <w:rPr>
                <w:rFonts w:eastAsia="楷体_GB2312"/>
                <w:kern w:val="0"/>
                <w:szCs w:val="21"/>
              </w:rPr>
              <w:object>
                <v:shape id="_x0000_i1170"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70" DrawAspect="Content" ObjectID="_1468075870" r:id="rId306">
                  <o:LockedField>false</o:LockedField>
                </o:OLEObject>
              </w:object>
            </w:r>
          </w:p>
        </w:tc>
        <w:tc>
          <w:tcPr>
            <w:tcW w:w="4089" w:type="dxa"/>
            <w:noWrap w:val="0"/>
            <w:vAlign w:val="center"/>
          </w:tcPr>
          <w:p w14:paraId="5AAF391E">
            <w:pPr>
              <w:jc w:val="center"/>
              <w:rPr>
                <w:rFonts w:eastAsia="楷体_GB2312"/>
                <w:kern w:val="0"/>
                <w:szCs w:val="21"/>
              </w:rPr>
            </w:pPr>
            <w:r>
              <w:rPr>
                <w:rFonts w:eastAsia="楷体_GB2312"/>
                <w:kern w:val="0"/>
                <w:szCs w:val="21"/>
              </w:rPr>
              <w:t>α=0.05，F=286.2545，t=33.5457，R=0.8432</w:t>
            </w:r>
          </w:p>
        </w:tc>
      </w:tr>
    </w:tbl>
    <w:p w14:paraId="083A01A5">
      <w:pPr>
        <w:widowControl w:val="0"/>
        <w:spacing w:before="120" w:beforeLines="50" w:after="120" w:afterLines="50" w:line="240" w:lineRule="atLeast"/>
        <w:jc w:val="center"/>
        <w:rPr>
          <w:rFonts w:eastAsia="黑体"/>
          <w:sz w:val="28"/>
          <w:szCs w:val="21"/>
        </w:rPr>
      </w:pPr>
      <w:r>
        <w:rPr>
          <w:rFonts w:eastAsia="黑体"/>
          <w:sz w:val="28"/>
          <w:szCs w:val="21"/>
        </w:rPr>
        <w:t>表2-5-</w:t>
      </w:r>
      <w:r>
        <w:rPr>
          <w:rFonts w:hint="eastAsia" w:eastAsia="黑体"/>
          <w:sz w:val="28"/>
          <w:szCs w:val="21"/>
        </w:rPr>
        <w:t>1</w:t>
      </w:r>
      <w:r>
        <w:rPr>
          <w:rFonts w:eastAsia="黑体"/>
          <w:sz w:val="28"/>
          <w:szCs w:val="21"/>
        </w:rPr>
        <w:t xml:space="preserve">8  </w:t>
      </w:r>
      <w:r>
        <w:rPr>
          <w:rFonts w:hint="eastAsia" w:eastAsia="黑体"/>
          <w:sz w:val="28"/>
          <w:szCs w:val="21"/>
        </w:rPr>
        <w:t>永镇乡</w:t>
      </w:r>
      <w:r>
        <w:rPr>
          <w:rFonts w:eastAsia="黑体"/>
          <w:sz w:val="28"/>
          <w:szCs w:val="21"/>
        </w:rPr>
        <w:t>样点地价与土地级别指数模型测算结果表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7B61B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3BDCF0BF">
            <w:pPr>
              <w:jc w:val="center"/>
              <w:rPr>
                <w:rFonts w:eastAsia="楷体"/>
                <w:kern w:val="0"/>
                <w:sz w:val="22"/>
                <w:szCs w:val="22"/>
              </w:rPr>
            </w:pPr>
            <w:r>
              <w:rPr>
                <w:rFonts w:eastAsia="楷体"/>
                <w:kern w:val="0"/>
                <w:sz w:val="22"/>
                <w:szCs w:val="22"/>
              </w:rPr>
              <w:t>用地类型</w:t>
            </w:r>
          </w:p>
        </w:tc>
        <w:tc>
          <w:tcPr>
            <w:tcW w:w="3617" w:type="dxa"/>
            <w:noWrap w:val="0"/>
            <w:vAlign w:val="center"/>
          </w:tcPr>
          <w:p w14:paraId="07427191">
            <w:pPr>
              <w:jc w:val="center"/>
              <w:rPr>
                <w:rFonts w:eastAsia="楷体"/>
                <w:kern w:val="0"/>
                <w:sz w:val="22"/>
                <w:szCs w:val="22"/>
              </w:rPr>
            </w:pPr>
            <w:r>
              <w:rPr>
                <w:rFonts w:eastAsia="楷体"/>
                <w:kern w:val="0"/>
                <w:sz w:val="22"/>
                <w:szCs w:val="22"/>
              </w:rPr>
              <w:t>模型数学表达式</w:t>
            </w:r>
          </w:p>
        </w:tc>
        <w:tc>
          <w:tcPr>
            <w:tcW w:w="4089" w:type="dxa"/>
            <w:noWrap w:val="0"/>
            <w:vAlign w:val="center"/>
          </w:tcPr>
          <w:p w14:paraId="0EF61881">
            <w:pPr>
              <w:jc w:val="center"/>
              <w:rPr>
                <w:rFonts w:eastAsia="楷体"/>
                <w:kern w:val="0"/>
                <w:sz w:val="22"/>
                <w:szCs w:val="22"/>
              </w:rPr>
            </w:pPr>
            <w:r>
              <w:rPr>
                <w:rFonts w:eastAsia="楷体"/>
                <w:kern w:val="0"/>
                <w:sz w:val="22"/>
                <w:szCs w:val="22"/>
              </w:rPr>
              <w:t>统计量检验</w:t>
            </w:r>
          </w:p>
        </w:tc>
      </w:tr>
      <w:tr w14:paraId="3E4C7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70DEDD02">
            <w:pPr>
              <w:jc w:val="center"/>
              <w:rPr>
                <w:rFonts w:eastAsia="楷体"/>
                <w:kern w:val="0"/>
                <w:sz w:val="22"/>
                <w:szCs w:val="22"/>
              </w:rPr>
            </w:pPr>
            <w:r>
              <w:rPr>
                <w:rFonts w:eastAsia="楷体"/>
                <w:kern w:val="0"/>
                <w:sz w:val="22"/>
                <w:szCs w:val="22"/>
              </w:rPr>
              <w:t>商服用地</w:t>
            </w:r>
          </w:p>
        </w:tc>
        <w:tc>
          <w:tcPr>
            <w:tcW w:w="3617" w:type="dxa"/>
            <w:noWrap w:val="0"/>
            <w:vAlign w:val="center"/>
          </w:tcPr>
          <w:p w14:paraId="5FA226EF">
            <w:pPr>
              <w:jc w:val="center"/>
              <w:rPr>
                <w:rFonts w:eastAsia="楷体_GB2312"/>
                <w:kern w:val="0"/>
                <w:szCs w:val="21"/>
              </w:rPr>
            </w:pPr>
            <w:r>
              <w:rPr>
                <w:rFonts w:eastAsia="楷体_GB2312"/>
                <w:kern w:val="0"/>
                <w:szCs w:val="21"/>
              </w:rPr>
              <w:t>Yn = 149.5685×（1+ 0.7713）</w:t>
            </w:r>
            <w:r>
              <w:rPr>
                <w:rFonts w:eastAsia="楷体_GB2312"/>
                <w:kern w:val="0"/>
                <w:szCs w:val="21"/>
              </w:rPr>
              <w:object>
                <v:shape id="_x0000_i1171"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71" DrawAspect="Content" ObjectID="_1468075871" r:id="rId307">
                  <o:LockedField>false</o:LockedField>
                </o:OLEObject>
              </w:object>
            </w:r>
          </w:p>
        </w:tc>
        <w:tc>
          <w:tcPr>
            <w:tcW w:w="4089" w:type="dxa"/>
            <w:noWrap w:val="0"/>
            <w:vAlign w:val="center"/>
          </w:tcPr>
          <w:p w14:paraId="685851E0">
            <w:pPr>
              <w:jc w:val="center"/>
              <w:rPr>
                <w:rFonts w:eastAsia="楷体_GB2312"/>
                <w:kern w:val="0"/>
                <w:szCs w:val="21"/>
              </w:rPr>
            </w:pPr>
            <w:r>
              <w:rPr>
                <w:rFonts w:eastAsia="楷体_GB2312"/>
                <w:kern w:val="0"/>
                <w:szCs w:val="21"/>
              </w:rPr>
              <w:t>α=0.05，F=532.5589，t=35.4522</w:t>
            </w:r>
            <w:r>
              <w:rPr>
                <w:rFonts w:hint="eastAsia" w:eastAsia="楷体_GB2312"/>
                <w:kern w:val="0"/>
                <w:szCs w:val="21"/>
              </w:rPr>
              <w:t>，</w:t>
            </w:r>
            <w:r>
              <w:rPr>
                <w:rFonts w:eastAsia="楷体_GB2312"/>
                <w:kern w:val="0"/>
                <w:szCs w:val="21"/>
              </w:rPr>
              <w:t>R=0、8522</w:t>
            </w:r>
          </w:p>
        </w:tc>
      </w:tr>
      <w:tr w14:paraId="480E7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0425A44E">
            <w:pPr>
              <w:jc w:val="center"/>
              <w:rPr>
                <w:rFonts w:eastAsia="楷体"/>
                <w:kern w:val="0"/>
                <w:sz w:val="22"/>
                <w:szCs w:val="22"/>
              </w:rPr>
            </w:pPr>
            <w:r>
              <w:rPr>
                <w:rFonts w:eastAsia="楷体"/>
                <w:kern w:val="0"/>
                <w:sz w:val="22"/>
                <w:szCs w:val="22"/>
              </w:rPr>
              <w:t>住宅用地</w:t>
            </w:r>
          </w:p>
        </w:tc>
        <w:tc>
          <w:tcPr>
            <w:tcW w:w="3617" w:type="dxa"/>
            <w:noWrap w:val="0"/>
            <w:vAlign w:val="center"/>
          </w:tcPr>
          <w:p w14:paraId="68B860F8">
            <w:pPr>
              <w:jc w:val="center"/>
              <w:rPr>
                <w:rFonts w:eastAsia="楷体_GB2312"/>
                <w:kern w:val="0"/>
                <w:szCs w:val="21"/>
              </w:rPr>
            </w:pPr>
            <w:r>
              <w:rPr>
                <w:rFonts w:eastAsia="楷体_GB2312"/>
                <w:kern w:val="0"/>
                <w:szCs w:val="21"/>
              </w:rPr>
              <w:t>Yn = 104.5853×（1+ 0.7185）</w:t>
            </w:r>
            <w:r>
              <w:rPr>
                <w:rFonts w:eastAsia="楷体_GB2312"/>
                <w:kern w:val="0"/>
                <w:szCs w:val="21"/>
              </w:rPr>
              <w:object>
                <v:shape id="_x0000_i1172"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72" DrawAspect="Content" ObjectID="_1468075872" r:id="rId308">
                  <o:LockedField>false</o:LockedField>
                </o:OLEObject>
              </w:object>
            </w:r>
          </w:p>
        </w:tc>
        <w:tc>
          <w:tcPr>
            <w:tcW w:w="4089" w:type="dxa"/>
            <w:noWrap w:val="0"/>
            <w:vAlign w:val="center"/>
          </w:tcPr>
          <w:p w14:paraId="6689DEAB">
            <w:pPr>
              <w:jc w:val="center"/>
              <w:rPr>
                <w:rFonts w:eastAsia="楷体_GB2312"/>
                <w:kern w:val="0"/>
                <w:szCs w:val="21"/>
              </w:rPr>
            </w:pPr>
            <w:r>
              <w:rPr>
                <w:rFonts w:eastAsia="楷体_GB2312"/>
                <w:kern w:val="0"/>
                <w:szCs w:val="21"/>
              </w:rPr>
              <w:t>α=0.05，F=276.5620，t=26.8564，R=0.8096</w:t>
            </w:r>
          </w:p>
        </w:tc>
      </w:tr>
    </w:tbl>
    <w:p w14:paraId="14F47767">
      <w:pPr>
        <w:widowControl w:val="0"/>
        <w:spacing w:before="120" w:beforeLines="50" w:after="120" w:afterLines="50" w:line="240" w:lineRule="atLeast"/>
        <w:jc w:val="center"/>
        <w:rPr>
          <w:rFonts w:hint="eastAsia" w:eastAsia="黑体"/>
          <w:sz w:val="28"/>
          <w:szCs w:val="21"/>
        </w:rPr>
      </w:pPr>
    </w:p>
    <w:p w14:paraId="560B2FA4">
      <w:pPr>
        <w:widowControl w:val="0"/>
        <w:spacing w:before="120" w:beforeLines="50" w:after="120" w:afterLines="50" w:line="240" w:lineRule="atLeast"/>
        <w:jc w:val="center"/>
        <w:rPr>
          <w:rFonts w:eastAsia="黑体"/>
          <w:sz w:val="28"/>
          <w:szCs w:val="21"/>
        </w:rPr>
      </w:pPr>
      <w:r>
        <w:rPr>
          <w:rFonts w:eastAsia="黑体"/>
          <w:sz w:val="28"/>
          <w:szCs w:val="21"/>
        </w:rPr>
        <w:t>表2-5-</w:t>
      </w:r>
      <w:r>
        <w:rPr>
          <w:rFonts w:hint="eastAsia" w:eastAsia="黑体"/>
          <w:sz w:val="28"/>
          <w:szCs w:val="21"/>
        </w:rPr>
        <w:t>1</w:t>
      </w:r>
      <w:r>
        <w:rPr>
          <w:rFonts w:eastAsia="黑体"/>
          <w:sz w:val="28"/>
          <w:szCs w:val="21"/>
        </w:rPr>
        <w:t xml:space="preserve">9  </w:t>
      </w:r>
      <w:r>
        <w:rPr>
          <w:rFonts w:hint="eastAsia" w:eastAsia="黑体"/>
          <w:sz w:val="28"/>
          <w:szCs w:val="21"/>
        </w:rPr>
        <w:t>解集镇</w:t>
      </w:r>
      <w:r>
        <w:rPr>
          <w:rFonts w:eastAsia="黑体"/>
          <w:sz w:val="28"/>
          <w:szCs w:val="21"/>
        </w:rPr>
        <w:t>样点地价与土地级别指数模型测算结果表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4383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4D1C9BD2">
            <w:pPr>
              <w:jc w:val="center"/>
              <w:rPr>
                <w:rFonts w:eastAsia="楷体"/>
                <w:kern w:val="0"/>
                <w:sz w:val="22"/>
                <w:szCs w:val="22"/>
              </w:rPr>
            </w:pPr>
            <w:r>
              <w:rPr>
                <w:rFonts w:eastAsia="楷体"/>
                <w:kern w:val="0"/>
                <w:sz w:val="22"/>
                <w:szCs w:val="22"/>
              </w:rPr>
              <w:t>用地类型</w:t>
            </w:r>
          </w:p>
        </w:tc>
        <w:tc>
          <w:tcPr>
            <w:tcW w:w="3617" w:type="dxa"/>
            <w:noWrap w:val="0"/>
            <w:vAlign w:val="center"/>
          </w:tcPr>
          <w:p w14:paraId="499F7A15">
            <w:pPr>
              <w:jc w:val="center"/>
              <w:rPr>
                <w:rFonts w:eastAsia="楷体"/>
                <w:kern w:val="0"/>
                <w:sz w:val="22"/>
                <w:szCs w:val="22"/>
              </w:rPr>
            </w:pPr>
            <w:r>
              <w:rPr>
                <w:rFonts w:eastAsia="楷体"/>
                <w:kern w:val="0"/>
                <w:sz w:val="22"/>
                <w:szCs w:val="22"/>
              </w:rPr>
              <w:t>模型数学表达式</w:t>
            </w:r>
          </w:p>
        </w:tc>
        <w:tc>
          <w:tcPr>
            <w:tcW w:w="4089" w:type="dxa"/>
            <w:noWrap w:val="0"/>
            <w:vAlign w:val="center"/>
          </w:tcPr>
          <w:p w14:paraId="338CACFA">
            <w:pPr>
              <w:jc w:val="center"/>
              <w:rPr>
                <w:rFonts w:eastAsia="楷体"/>
                <w:kern w:val="0"/>
                <w:sz w:val="22"/>
                <w:szCs w:val="22"/>
              </w:rPr>
            </w:pPr>
            <w:r>
              <w:rPr>
                <w:rFonts w:eastAsia="楷体"/>
                <w:kern w:val="0"/>
                <w:sz w:val="22"/>
                <w:szCs w:val="22"/>
              </w:rPr>
              <w:t>统计量检验</w:t>
            </w:r>
          </w:p>
        </w:tc>
      </w:tr>
      <w:tr w14:paraId="40F8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54772BBA">
            <w:pPr>
              <w:jc w:val="center"/>
              <w:rPr>
                <w:rFonts w:eastAsia="楷体"/>
                <w:kern w:val="0"/>
                <w:sz w:val="22"/>
                <w:szCs w:val="22"/>
              </w:rPr>
            </w:pPr>
            <w:r>
              <w:rPr>
                <w:rFonts w:eastAsia="楷体"/>
                <w:kern w:val="0"/>
                <w:sz w:val="22"/>
                <w:szCs w:val="22"/>
              </w:rPr>
              <w:t>商服用地</w:t>
            </w:r>
          </w:p>
        </w:tc>
        <w:tc>
          <w:tcPr>
            <w:tcW w:w="3617" w:type="dxa"/>
            <w:noWrap w:val="0"/>
            <w:vAlign w:val="center"/>
          </w:tcPr>
          <w:p w14:paraId="0A1D4B63">
            <w:pPr>
              <w:jc w:val="center"/>
              <w:rPr>
                <w:rFonts w:eastAsia="楷体_GB2312"/>
                <w:kern w:val="0"/>
                <w:szCs w:val="21"/>
              </w:rPr>
            </w:pPr>
            <w:r>
              <w:rPr>
                <w:rFonts w:eastAsia="楷体_GB2312"/>
                <w:kern w:val="0"/>
                <w:szCs w:val="21"/>
              </w:rPr>
              <w:t>Yn =141.2199×（1+ 0.8066）</w:t>
            </w:r>
            <w:r>
              <w:rPr>
                <w:rFonts w:eastAsia="楷体_GB2312"/>
                <w:kern w:val="0"/>
                <w:szCs w:val="21"/>
              </w:rPr>
              <w:object>
                <v:shape id="_x0000_i1173"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73" DrawAspect="Content" ObjectID="_1468075873" r:id="rId309">
                  <o:LockedField>false</o:LockedField>
                </o:OLEObject>
              </w:object>
            </w:r>
          </w:p>
        </w:tc>
        <w:tc>
          <w:tcPr>
            <w:tcW w:w="4089" w:type="dxa"/>
            <w:noWrap w:val="0"/>
            <w:vAlign w:val="center"/>
          </w:tcPr>
          <w:p w14:paraId="4CBE34E2">
            <w:pPr>
              <w:jc w:val="center"/>
              <w:rPr>
                <w:rFonts w:eastAsia="楷体_GB2312"/>
                <w:kern w:val="0"/>
                <w:szCs w:val="21"/>
              </w:rPr>
            </w:pPr>
            <w:r>
              <w:rPr>
                <w:rFonts w:eastAsia="楷体_GB2312"/>
                <w:kern w:val="0"/>
                <w:szCs w:val="21"/>
              </w:rPr>
              <w:t>α=0.05，F=498.3706，t=38.5605</w:t>
            </w:r>
            <w:r>
              <w:rPr>
                <w:rFonts w:hint="eastAsia" w:eastAsia="楷体_GB2312"/>
                <w:kern w:val="0"/>
                <w:szCs w:val="21"/>
              </w:rPr>
              <w:t>，</w:t>
            </w:r>
            <w:r>
              <w:rPr>
                <w:rFonts w:eastAsia="楷体_GB2312"/>
                <w:kern w:val="0"/>
                <w:szCs w:val="21"/>
              </w:rPr>
              <w:t>R=0.8635</w:t>
            </w:r>
          </w:p>
        </w:tc>
      </w:tr>
      <w:tr w14:paraId="76106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6735AD78">
            <w:pPr>
              <w:jc w:val="center"/>
              <w:rPr>
                <w:rFonts w:eastAsia="楷体"/>
                <w:kern w:val="0"/>
                <w:sz w:val="22"/>
                <w:szCs w:val="22"/>
              </w:rPr>
            </w:pPr>
            <w:r>
              <w:rPr>
                <w:rFonts w:eastAsia="楷体"/>
                <w:kern w:val="0"/>
                <w:sz w:val="22"/>
                <w:szCs w:val="22"/>
              </w:rPr>
              <w:t>住宅用地</w:t>
            </w:r>
          </w:p>
        </w:tc>
        <w:tc>
          <w:tcPr>
            <w:tcW w:w="3617" w:type="dxa"/>
            <w:noWrap w:val="0"/>
            <w:vAlign w:val="center"/>
          </w:tcPr>
          <w:p w14:paraId="5698776F">
            <w:pPr>
              <w:jc w:val="center"/>
              <w:rPr>
                <w:rFonts w:eastAsia="楷体_GB2312"/>
                <w:kern w:val="0"/>
                <w:szCs w:val="21"/>
              </w:rPr>
            </w:pPr>
            <w:r>
              <w:rPr>
                <w:rFonts w:eastAsia="楷体_GB2312"/>
                <w:kern w:val="0"/>
                <w:szCs w:val="21"/>
              </w:rPr>
              <w:t>Yn= 111.5682×（1+0.6155）</w:t>
            </w:r>
            <w:r>
              <w:rPr>
                <w:rFonts w:eastAsia="楷体_GB2312"/>
                <w:kern w:val="0"/>
                <w:szCs w:val="21"/>
              </w:rPr>
              <w:object>
                <v:shape id="_x0000_i1174"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74" DrawAspect="Content" ObjectID="_1468075874" r:id="rId310">
                  <o:LockedField>false</o:LockedField>
                </o:OLEObject>
              </w:object>
            </w:r>
          </w:p>
        </w:tc>
        <w:tc>
          <w:tcPr>
            <w:tcW w:w="4089" w:type="dxa"/>
            <w:noWrap w:val="0"/>
            <w:vAlign w:val="center"/>
          </w:tcPr>
          <w:p w14:paraId="7A6612FB">
            <w:pPr>
              <w:jc w:val="center"/>
              <w:rPr>
                <w:rFonts w:eastAsia="楷体_GB2312"/>
                <w:kern w:val="0"/>
                <w:szCs w:val="21"/>
              </w:rPr>
            </w:pPr>
            <w:r>
              <w:rPr>
                <w:rFonts w:eastAsia="楷体_GB2312"/>
                <w:kern w:val="0"/>
                <w:szCs w:val="21"/>
              </w:rPr>
              <w:t>α=0.05，F=288.5044，t=22.7868，R=0.8352</w:t>
            </w:r>
          </w:p>
        </w:tc>
      </w:tr>
    </w:tbl>
    <w:p w14:paraId="2B0E8E32">
      <w:pPr>
        <w:widowControl w:val="0"/>
        <w:spacing w:before="120" w:beforeLines="50" w:after="120" w:afterLines="50" w:line="240" w:lineRule="atLeast"/>
        <w:jc w:val="center"/>
        <w:rPr>
          <w:rFonts w:eastAsia="黑体"/>
          <w:sz w:val="28"/>
          <w:szCs w:val="21"/>
        </w:rPr>
      </w:pPr>
      <w:r>
        <w:rPr>
          <w:rFonts w:eastAsia="黑体"/>
          <w:sz w:val="28"/>
          <w:szCs w:val="21"/>
        </w:rPr>
        <w:t>表2-5-</w:t>
      </w:r>
      <w:r>
        <w:rPr>
          <w:rFonts w:hint="eastAsia" w:eastAsia="黑体"/>
          <w:sz w:val="28"/>
          <w:szCs w:val="21"/>
        </w:rPr>
        <w:t>2</w:t>
      </w:r>
      <w:r>
        <w:rPr>
          <w:rFonts w:eastAsia="黑体"/>
          <w:sz w:val="28"/>
          <w:szCs w:val="21"/>
        </w:rPr>
        <w:t xml:space="preserve">0  </w:t>
      </w:r>
      <w:r>
        <w:rPr>
          <w:rFonts w:hint="eastAsia" w:eastAsia="黑体"/>
          <w:sz w:val="28"/>
          <w:szCs w:val="21"/>
        </w:rPr>
        <w:t>大泽乡镇</w:t>
      </w:r>
      <w:r>
        <w:rPr>
          <w:rFonts w:eastAsia="黑体"/>
          <w:sz w:val="28"/>
          <w:szCs w:val="21"/>
        </w:rPr>
        <w:t>样点地价与土地级别指数模型测算结果表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706D1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6EB185EB">
            <w:pPr>
              <w:jc w:val="center"/>
              <w:rPr>
                <w:rFonts w:eastAsia="楷体"/>
                <w:kern w:val="0"/>
                <w:sz w:val="22"/>
                <w:szCs w:val="22"/>
              </w:rPr>
            </w:pPr>
            <w:r>
              <w:rPr>
                <w:rFonts w:eastAsia="楷体"/>
                <w:kern w:val="0"/>
                <w:sz w:val="22"/>
                <w:szCs w:val="22"/>
              </w:rPr>
              <w:t>用地类型</w:t>
            </w:r>
          </w:p>
        </w:tc>
        <w:tc>
          <w:tcPr>
            <w:tcW w:w="3617" w:type="dxa"/>
            <w:noWrap w:val="0"/>
            <w:vAlign w:val="center"/>
          </w:tcPr>
          <w:p w14:paraId="41B55576">
            <w:pPr>
              <w:jc w:val="center"/>
              <w:rPr>
                <w:rFonts w:eastAsia="楷体"/>
                <w:kern w:val="0"/>
                <w:sz w:val="22"/>
                <w:szCs w:val="22"/>
              </w:rPr>
            </w:pPr>
            <w:r>
              <w:rPr>
                <w:rFonts w:eastAsia="楷体"/>
                <w:kern w:val="0"/>
                <w:sz w:val="22"/>
                <w:szCs w:val="22"/>
              </w:rPr>
              <w:t>模型数学表达式</w:t>
            </w:r>
          </w:p>
        </w:tc>
        <w:tc>
          <w:tcPr>
            <w:tcW w:w="4089" w:type="dxa"/>
            <w:noWrap w:val="0"/>
            <w:vAlign w:val="center"/>
          </w:tcPr>
          <w:p w14:paraId="35459A51">
            <w:pPr>
              <w:jc w:val="center"/>
              <w:rPr>
                <w:rFonts w:eastAsia="楷体"/>
                <w:kern w:val="0"/>
                <w:sz w:val="22"/>
                <w:szCs w:val="22"/>
              </w:rPr>
            </w:pPr>
            <w:r>
              <w:rPr>
                <w:rFonts w:eastAsia="楷体"/>
                <w:kern w:val="0"/>
                <w:sz w:val="22"/>
                <w:szCs w:val="22"/>
              </w:rPr>
              <w:t>统计量检验</w:t>
            </w:r>
          </w:p>
        </w:tc>
      </w:tr>
      <w:tr w14:paraId="20BD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604A97EB">
            <w:pPr>
              <w:jc w:val="center"/>
              <w:rPr>
                <w:rFonts w:eastAsia="楷体"/>
                <w:kern w:val="0"/>
                <w:sz w:val="22"/>
                <w:szCs w:val="22"/>
              </w:rPr>
            </w:pPr>
            <w:r>
              <w:rPr>
                <w:rFonts w:eastAsia="楷体"/>
                <w:kern w:val="0"/>
                <w:sz w:val="22"/>
                <w:szCs w:val="22"/>
              </w:rPr>
              <w:t>商服用地</w:t>
            </w:r>
          </w:p>
        </w:tc>
        <w:tc>
          <w:tcPr>
            <w:tcW w:w="3617" w:type="dxa"/>
            <w:noWrap w:val="0"/>
            <w:vAlign w:val="center"/>
          </w:tcPr>
          <w:p w14:paraId="1AF76587">
            <w:pPr>
              <w:jc w:val="center"/>
              <w:rPr>
                <w:rFonts w:eastAsia="楷体"/>
                <w:kern w:val="0"/>
                <w:sz w:val="22"/>
                <w:szCs w:val="22"/>
              </w:rPr>
            </w:pPr>
            <w:r>
              <w:rPr>
                <w:rFonts w:eastAsia="楷体"/>
                <w:kern w:val="0"/>
                <w:sz w:val="22"/>
                <w:szCs w:val="22"/>
              </w:rPr>
              <w:t>Yn =</w:t>
            </w:r>
            <w:r>
              <w:t xml:space="preserve"> </w:t>
            </w:r>
            <w:r>
              <w:rPr>
                <w:rFonts w:eastAsia="楷体"/>
                <w:kern w:val="0"/>
                <w:sz w:val="22"/>
                <w:szCs w:val="22"/>
              </w:rPr>
              <w:t>152.3316×</w:t>
            </w:r>
            <w:r>
              <w:rPr>
                <w:rFonts w:hint="eastAsia" w:eastAsia="楷体"/>
                <w:kern w:val="0"/>
                <w:sz w:val="22"/>
                <w:szCs w:val="22"/>
              </w:rPr>
              <w:t>（</w:t>
            </w:r>
            <w:r>
              <w:rPr>
                <w:rFonts w:eastAsia="楷体"/>
                <w:kern w:val="0"/>
                <w:sz w:val="22"/>
                <w:szCs w:val="22"/>
              </w:rPr>
              <w:t>1+</w:t>
            </w:r>
            <w:r>
              <w:t xml:space="preserve"> </w:t>
            </w:r>
            <w:r>
              <w:rPr>
                <w:rFonts w:eastAsia="楷体"/>
                <w:kern w:val="0"/>
                <w:sz w:val="22"/>
                <w:szCs w:val="22"/>
              </w:rPr>
              <w:t>0.6573</w:t>
            </w:r>
            <w:r>
              <w:rPr>
                <w:rFonts w:hint="eastAsia" w:eastAsia="楷体"/>
                <w:kern w:val="0"/>
                <w:sz w:val="22"/>
                <w:szCs w:val="22"/>
              </w:rPr>
              <w:t>）</w:t>
            </w:r>
            <w:r>
              <w:rPr>
                <w:rFonts w:eastAsia="楷体"/>
                <w:kern w:val="0"/>
                <w:sz w:val="22"/>
                <w:szCs w:val="22"/>
              </w:rPr>
              <w:drawing>
                <wp:inline distT="0" distB="0" distL="114300" distR="114300">
                  <wp:extent cx="180975" cy="180975"/>
                  <wp:effectExtent l="0" t="0" r="0" b="0"/>
                  <wp:docPr id="88"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30"/>
                          <pic:cNvPicPr>
                            <a:picLocks noChangeAspect="1"/>
                          </pic:cNvPicPr>
                        </pic:nvPicPr>
                        <pic:blipFill>
                          <a:blip r:embed="rId277"/>
                          <a:stretch>
                            <a:fillRect/>
                          </a:stretch>
                        </pic:blipFill>
                        <pic:spPr>
                          <a:xfrm>
                            <a:off x="0" y="0"/>
                            <a:ext cx="180975" cy="180975"/>
                          </a:xfrm>
                          <a:prstGeom prst="rect">
                            <a:avLst/>
                          </a:prstGeom>
                          <a:noFill/>
                          <a:ln>
                            <a:noFill/>
                          </a:ln>
                        </pic:spPr>
                      </pic:pic>
                    </a:graphicData>
                  </a:graphic>
                </wp:inline>
              </w:drawing>
            </w:r>
          </w:p>
        </w:tc>
        <w:tc>
          <w:tcPr>
            <w:tcW w:w="4089" w:type="dxa"/>
            <w:noWrap w:val="0"/>
            <w:vAlign w:val="center"/>
          </w:tcPr>
          <w:p w14:paraId="6C539C5F">
            <w:pPr>
              <w:jc w:val="center"/>
              <w:rPr>
                <w:rFonts w:eastAsia="楷体"/>
                <w:kern w:val="0"/>
                <w:sz w:val="22"/>
                <w:szCs w:val="22"/>
              </w:rPr>
            </w:pPr>
            <w:r>
              <w:rPr>
                <w:rFonts w:eastAsia="楷体"/>
                <w:kern w:val="0"/>
                <w:sz w:val="22"/>
                <w:szCs w:val="22"/>
              </w:rPr>
              <w:t>α=0.05</w:t>
            </w:r>
            <w:r>
              <w:rPr>
                <w:rFonts w:hint="eastAsia" w:eastAsia="楷体"/>
                <w:kern w:val="0"/>
                <w:sz w:val="22"/>
                <w:szCs w:val="22"/>
              </w:rPr>
              <w:t>，</w:t>
            </w:r>
            <w:r>
              <w:rPr>
                <w:rFonts w:eastAsia="楷体"/>
                <w:kern w:val="0"/>
                <w:sz w:val="22"/>
                <w:szCs w:val="22"/>
              </w:rPr>
              <w:t>F=520.3698</w:t>
            </w:r>
            <w:r>
              <w:rPr>
                <w:rFonts w:hint="eastAsia" w:eastAsia="楷体"/>
                <w:kern w:val="0"/>
                <w:sz w:val="22"/>
                <w:szCs w:val="22"/>
              </w:rPr>
              <w:t>，</w:t>
            </w:r>
            <w:r>
              <w:rPr>
                <w:rFonts w:eastAsia="楷体"/>
                <w:kern w:val="0"/>
                <w:sz w:val="22"/>
                <w:szCs w:val="22"/>
              </w:rPr>
              <w:t>t=35.4456</w:t>
            </w:r>
            <w:r>
              <w:rPr>
                <w:rFonts w:hint="eastAsia" w:eastAsia="楷体"/>
                <w:kern w:val="0"/>
                <w:sz w:val="22"/>
                <w:szCs w:val="22"/>
              </w:rPr>
              <w:t>，</w:t>
            </w:r>
            <w:r>
              <w:rPr>
                <w:rFonts w:eastAsia="楷体"/>
                <w:kern w:val="0"/>
                <w:sz w:val="22"/>
                <w:szCs w:val="22"/>
              </w:rPr>
              <w:t>R=0.8821</w:t>
            </w:r>
          </w:p>
        </w:tc>
      </w:tr>
      <w:tr w14:paraId="4B1E9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23DDF964">
            <w:pPr>
              <w:jc w:val="center"/>
              <w:rPr>
                <w:rFonts w:eastAsia="楷体"/>
                <w:kern w:val="0"/>
                <w:sz w:val="22"/>
                <w:szCs w:val="22"/>
              </w:rPr>
            </w:pPr>
            <w:r>
              <w:rPr>
                <w:rFonts w:eastAsia="楷体"/>
                <w:kern w:val="0"/>
                <w:sz w:val="22"/>
                <w:szCs w:val="22"/>
              </w:rPr>
              <w:t>住宅用地</w:t>
            </w:r>
          </w:p>
        </w:tc>
        <w:tc>
          <w:tcPr>
            <w:tcW w:w="3617" w:type="dxa"/>
            <w:noWrap w:val="0"/>
            <w:vAlign w:val="center"/>
          </w:tcPr>
          <w:p w14:paraId="53C62A45">
            <w:pPr>
              <w:jc w:val="center"/>
              <w:rPr>
                <w:rFonts w:eastAsia="楷体"/>
                <w:kern w:val="0"/>
                <w:sz w:val="22"/>
                <w:szCs w:val="22"/>
              </w:rPr>
            </w:pPr>
            <w:r>
              <w:rPr>
                <w:rFonts w:eastAsia="楷体"/>
                <w:kern w:val="0"/>
                <w:sz w:val="22"/>
                <w:szCs w:val="22"/>
              </w:rPr>
              <w:t>Yn =</w:t>
            </w:r>
            <w:r>
              <w:t xml:space="preserve"> </w:t>
            </w:r>
            <w:r>
              <w:rPr>
                <w:rFonts w:eastAsia="楷体"/>
                <w:kern w:val="0"/>
                <w:sz w:val="22"/>
                <w:szCs w:val="22"/>
              </w:rPr>
              <w:t>137.8652×</w:t>
            </w:r>
            <w:r>
              <w:rPr>
                <w:rFonts w:hint="eastAsia" w:eastAsia="楷体"/>
                <w:kern w:val="0"/>
                <w:sz w:val="22"/>
                <w:szCs w:val="22"/>
              </w:rPr>
              <w:t>（</w:t>
            </w:r>
            <w:r>
              <w:rPr>
                <w:rFonts w:eastAsia="楷体"/>
                <w:kern w:val="0"/>
                <w:sz w:val="22"/>
                <w:szCs w:val="22"/>
              </w:rPr>
              <w:t>1+</w:t>
            </w:r>
            <w:r>
              <w:t xml:space="preserve"> </w:t>
            </w:r>
            <w:r>
              <w:rPr>
                <w:rFonts w:eastAsia="楷体"/>
                <w:kern w:val="0"/>
                <w:sz w:val="22"/>
                <w:szCs w:val="22"/>
              </w:rPr>
              <w:t>0.6211</w:t>
            </w:r>
            <w:r>
              <w:rPr>
                <w:rFonts w:hint="eastAsia" w:eastAsia="楷体"/>
                <w:kern w:val="0"/>
                <w:sz w:val="22"/>
                <w:szCs w:val="22"/>
              </w:rPr>
              <w:t>）</w:t>
            </w:r>
            <w:r>
              <w:rPr>
                <w:rFonts w:eastAsia="楷体"/>
                <w:kern w:val="0"/>
                <w:sz w:val="22"/>
                <w:szCs w:val="22"/>
              </w:rPr>
              <w:drawing>
                <wp:inline distT="0" distB="0" distL="114300" distR="114300">
                  <wp:extent cx="180975" cy="180975"/>
                  <wp:effectExtent l="0" t="0" r="0" b="0"/>
                  <wp:docPr id="89"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31"/>
                          <pic:cNvPicPr>
                            <a:picLocks noChangeAspect="1"/>
                          </pic:cNvPicPr>
                        </pic:nvPicPr>
                        <pic:blipFill>
                          <a:blip r:embed="rId277"/>
                          <a:stretch>
                            <a:fillRect/>
                          </a:stretch>
                        </pic:blipFill>
                        <pic:spPr>
                          <a:xfrm>
                            <a:off x="0" y="0"/>
                            <a:ext cx="180975" cy="180975"/>
                          </a:xfrm>
                          <a:prstGeom prst="rect">
                            <a:avLst/>
                          </a:prstGeom>
                          <a:noFill/>
                          <a:ln>
                            <a:noFill/>
                          </a:ln>
                        </pic:spPr>
                      </pic:pic>
                    </a:graphicData>
                  </a:graphic>
                </wp:inline>
              </w:drawing>
            </w:r>
          </w:p>
        </w:tc>
        <w:tc>
          <w:tcPr>
            <w:tcW w:w="4089" w:type="dxa"/>
            <w:noWrap w:val="0"/>
            <w:vAlign w:val="center"/>
          </w:tcPr>
          <w:p w14:paraId="601A52A1">
            <w:pPr>
              <w:jc w:val="center"/>
              <w:rPr>
                <w:rFonts w:eastAsia="楷体"/>
                <w:kern w:val="0"/>
                <w:sz w:val="22"/>
                <w:szCs w:val="22"/>
              </w:rPr>
            </w:pPr>
            <w:r>
              <w:rPr>
                <w:rFonts w:eastAsia="楷体"/>
                <w:kern w:val="0"/>
                <w:sz w:val="22"/>
                <w:szCs w:val="22"/>
              </w:rPr>
              <w:t>α=0.05</w:t>
            </w:r>
            <w:r>
              <w:rPr>
                <w:rFonts w:hint="eastAsia" w:eastAsia="楷体"/>
                <w:kern w:val="0"/>
                <w:sz w:val="22"/>
                <w:szCs w:val="22"/>
              </w:rPr>
              <w:t>，</w:t>
            </w:r>
            <w:r>
              <w:rPr>
                <w:rFonts w:eastAsia="楷体"/>
                <w:kern w:val="0"/>
                <w:sz w:val="22"/>
                <w:szCs w:val="22"/>
              </w:rPr>
              <w:t>F=279..9625</w:t>
            </w:r>
            <w:r>
              <w:rPr>
                <w:rFonts w:hint="eastAsia" w:eastAsia="楷体"/>
                <w:kern w:val="0"/>
                <w:sz w:val="22"/>
                <w:szCs w:val="22"/>
              </w:rPr>
              <w:t>，</w:t>
            </w:r>
            <w:r>
              <w:rPr>
                <w:rFonts w:eastAsia="楷体"/>
                <w:kern w:val="0"/>
                <w:sz w:val="22"/>
                <w:szCs w:val="22"/>
              </w:rPr>
              <w:t>t=27.0456</w:t>
            </w:r>
            <w:r>
              <w:rPr>
                <w:rFonts w:hint="eastAsia" w:eastAsia="楷体"/>
                <w:kern w:val="0"/>
                <w:sz w:val="22"/>
                <w:szCs w:val="22"/>
              </w:rPr>
              <w:t>，</w:t>
            </w:r>
            <w:r>
              <w:rPr>
                <w:rFonts w:eastAsia="楷体"/>
                <w:kern w:val="0"/>
                <w:sz w:val="22"/>
                <w:szCs w:val="22"/>
              </w:rPr>
              <w:t>R=0.8293</w:t>
            </w:r>
          </w:p>
        </w:tc>
      </w:tr>
    </w:tbl>
    <w:p w14:paraId="323BE002">
      <w:pPr>
        <w:widowControl w:val="0"/>
        <w:spacing w:before="120" w:beforeLines="50" w:after="120" w:afterLines="50" w:line="240" w:lineRule="atLeast"/>
        <w:jc w:val="center"/>
        <w:rPr>
          <w:rFonts w:eastAsia="黑体"/>
          <w:sz w:val="28"/>
          <w:szCs w:val="21"/>
        </w:rPr>
      </w:pPr>
      <w:r>
        <w:rPr>
          <w:rFonts w:eastAsia="黑体"/>
          <w:sz w:val="28"/>
          <w:szCs w:val="21"/>
        </w:rPr>
        <w:t>表2-5-</w:t>
      </w:r>
      <w:r>
        <w:rPr>
          <w:rFonts w:hint="eastAsia" w:eastAsia="黑体"/>
          <w:sz w:val="28"/>
          <w:szCs w:val="21"/>
        </w:rPr>
        <w:t>2</w:t>
      </w:r>
      <w:r>
        <w:rPr>
          <w:rFonts w:eastAsia="黑体"/>
          <w:sz w:val="28"/>
          <w:szCs w:val="21"/>
        </w:rPr>
        <w:t xml:space="preserve">1  </w:t>
      </w:r>
      <w:r>
        <w:rPr>
          <w:rFonts w:hint="eastAsia" w:eastAsia="黑体"/>
          <w:sz w:val="28"/>
          <w:szCs w:val="21"/>
        </w:rPr>
        <w:t>永安镇</w:t>
      </w:r>
      <w:r>
        <w:rPr>
          <w:rFonts w:eastAsia="黑体"/>
          <w:sz w:val="28"/>
          <w:szCs w:val="21"/>
        </w:rPr>
        <w:t>样点地价与土地级别指数模型测算结果表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799B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0A27056F">
            <w:pPr>
              <w:jc w:val="center"/>
              <w:rPr>
                <w:rFonts w:eastAsia="楷体"/>
                <w:kern w:val="0"/>
                <w:sz w:val="22"/>
                <w:szCs w:val="22"/>
              </w:rPr>
            </w:pPr>
            <w:r>
              <w:rPr>
                <w:rFonts w:eastAsia="楷体"/>
                <w:kern w:val="0"/>
                <w:sz w:val="22"/>
                <w:szCs w:val="22"/>
              </w:rPr>
              <w:t>用地类型</w:t>
            </w:r>
          </w:p>
        </w:tc>
        <w:tc>
          <w:tcPr>
            <w:tcW w:w="3617" w:type="dxa"/>
            <w:noWrap w:val="0"/>
            <w:vAlign w:val="center"/>
          </w:tcPr>
          <w:p w14:paraId="49E7C740">
            <w:pPr>
              <w:jc w:val="center"/>
              <w:rPr>
                <w:rFonts w:eastAsia="楷体"/>
                <w:kern w:val="0"/>
                <w:sz w:val="22"/>
                <w:szCs w:val="22"/>
              </w:rPr>
            </w:pPr>
            <w:r>
              <w:rPr>
                <w:rFonts w:eastAsia="楷体"/>
                <w:kern w:val="0"/>
                <w:sz w:val="22"/>
                <w:szCs w:val="22"/>
              </w:rPr>
              <w:t>模型数学表达式</w:t>
            </w:r>
          </w:p>
        </w:tc>
        <w:tc>
          <w:tcPr>
            <w:tcW w:w="4089" w:type="dxa"/>
            <w:noWrap w:val="0"/>
            <w:vAlign w:val="center"/>
          </w:tcPr>
          <w:p w14:paraId="0E3971B8">
            <w:pPr>
              <w:jc w:val="center"/>
              <w:rPr>
                <w:rFonts w:eastAsia="楷体"/>
                <w:kern w:val="0"/>
                <w:sz w:val="22"/>
                <w:szCs w:val="22"/>
              </w:rPr>
            </w:pPr>
            <w:r>
              <w:rPr>
                <w:rFonts w:eastAsia="楷体"/>
                <w:kern w:val="0"/>
                <w:sz w:val="22"/>
                <w:szCs w:val="22"/>
              </w:rPr>
              <w:t>统计量检验</w:t>
            </w:r>
          </w:p>
        </w:tc>
      </w:tr>
      <w:tr w14:paraId="3E4B1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700F198B">
            <w:pPr>
              <w:jc w:val="center"/>
              <w:rPr>
                <w:rFonts w:eastAsia="楷体"/>
                <w:kern w:val="0"/>
                <w:sz w:val="22"/>
                <w:szCs w:val="22"/>
              </w:rPr>
            </w:pPr>
            <w:r>
              <w:rPr>
                <w:rFonts w:eastAsia="楷体"/>
                <w:kern w:val="0"/>
                <w:sz w:val="22"/>
                <w:szCs w:val="22"/>
              </w:rPr>
              <w:t>商服用地</w:t>
            </w:r>
          </w:p>
        </w:tc>
        <w:tc>
          <w:tcPr>
            <w:tcW w:w="3617" w:type="dxa"/>
            <w:noWrap w:val="0"/>
            <w:vAlign w:val="center"/>
          </w:tcPr>
          <w:p w14:paraId="6FD18EE2">
            <w:pPr>
              <w:jc w:val="center"/>
              <w:rPr>
                <w:rFonts w:eastAsia="楷体"/>
                <w:kern w:val="0"/>
                <w:sz w:val="22"/>
                <w:szCs w:val="22"/>
              </w:rPr>
            </w:pPr>
            <w:r>
              <w:rPr>
                <w:rFonts w:eastAsia="楷体"/>
                <w:kern w:val="0"/>
                <w:sz w:val="22"/>
                <w:szCs w:val="22"/>
              </w:rPr>
              <w:t>Yn =</w:t>
            </w:r>
            <w:r>
              <w:t xml:space="preserve"> </w:t>
            </w:r>
            <w:r>
              <w:rPr>
                <w:rFonts w:eastAsia="楷体"/>
                <w:kern w:val="0"/>
                <w:sz w:val="22"/>
                <w:szCs w:val="22"/>
              </w:rPr>
              <w:t>142.6901×</w:t>
            </w:r>
            <w:r>
              <w:rPr>
                <w:rFonts w:hint="eastAsia" w:eastAsia="楷体"/>
                <w:kern w:val="0"/>
                <w:sz w:val="22"/>
                <w:szCs w:val="22"/>
              </w:rPr>
              <w:t>（</w:t>
            </w:r>
            <w:r>
              <w:rPr>
                <w:rFonts w:eastAsia="楷体"/>
                <w:kern w:val="0"/>
                <w:sz w:val="22"/>
                <w:szCs w:val="22"/>
              </w:rPr>
              <w:t>1+</w:t>
            </w:r>
            <w:r>
              <w:t>0.6953</w:t>
            </w:r>
            <w:r>
              <w:rPr>
                <w:rFonts w:hint="eastAsia" w:eastAsia="楷体"/>
                <w:kern w:val="0"/>
                <w:sz w:val="22"/>
                <w:szCs w:val="22"/>
              </w:rPr>
              <w:t>）</w:t>
            </w:r>
            <w:r>
              <w:rPr>
                <w:rFonts w:eastAsia="楷体"/>
                <w:kern w:val="0"/>
                <w:sz w:val="22"/>
                <w:szCs w:val="22"/>
              </w:rPr>
              <w:drawing>
                <wp:inline distT="0" distB="0" distL="114300" distR="114300">
                  <wp:extent cx="180975" cy="180975"/>
                  <wp:effectExtent l="0" t="0" r="0" b="0"/>
                  <wp:docPr id="90"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32"/>
                          <pic:cNvPicPr>
                            <a:picLocks noChangeAspect="1"/>
                          </pic:cNvPicPr>
                        </pic:nvPicPr>
                        <pic:blipFill>
                          <a:blip r:embed="rId277"/>
                          <a:stretch>
                            <a:fillRect/>
                          </a:stretch>
                        </pic:blipFill>
                        <pic:spPr>
                          <a:xfrm>
                            <a:off x="0" y="0"/>
                            <a:ext cx="180975" cy="180975"/>
                          </a:xfrm>
                          <a:prstGeom prst="rect">
                            <a:avLst/>
                          </a:prstGeom>
                          <a:noFill/>
                          <a:ln>
                            <a:noFill/>
                          </a:ln>
                        </pic:spPr>
                      </pic:pic>
                    </a:graphicData>
                  </a:graphic>
                </wp:inline>
              </w:drawing>
            </w:r>
          </w:p>
        </w:tc>
        <w:tc>
          <w:tcPr>
            <w:tcW w:w="4089" w:type="dxa"/>
            <w:noWrap w:val="0"/>
            <w:vAlign w:val="center"/>
          </w:tcPr>
          <w:p w14:paraId="2B3B07B6">
            <w:pPr>
              <w:jc w:val="center"/>
              <w:rPr>
                <w:rFonts w:eastAsia="楷体"/>
                <w:kern w:val="0"/>
                <w:sz w:val="22"/>
                <w:szCs w:val="22"/>
              </w:rPr>
            </w:pPr>
            <w:r>
              <w:rPr>
                <w:rFonts w:eastAsia="楷体"/>
                <w:kern w:val="0"/>
                <w:sz w:val="22"/>
                <w:szCs w:val="22"/>
              </w:rPr>
              <w:t>α=0.05</w:t>
            </w:r>
            <w:r>
              <w:rPr>
                <w:rFonts w:hint="eastAsia" w:eastAsia="楷体"/>
                <w:kern w:val="0"/>
                <w:sz w:val="22"/>
                <w:szCs w:val="22"/>
              </w:rPr>
              <w:t>，</w:t>
            </w:r>
            <w:r>
              <w:rPr>
                <w:rFonts w:eastAsia="楷体"/>
                <w:kern w:val="0"/>
                <w:sz w:val="22"/>
                <w:szCs w:val="22"/>
              </w:rPr>
              <w:t>F=540.7824</w:t>
            </w:r>
            <w:r>
              <w:rPr>
                <w:rFonts w:hint="eastAsia" w:eastAsia="楷体"/>
                <w:kern w:val="0"/>
                <w:sz w:val="22"/>
                <w:szCs w:val="22"/>
              </w:rPr>
              <w:t>，</w:t>
            </w:r>
            <w:r>
              <w:rPr>
                <w:rFonts w:eastAsia="楷体"/>
                <w:kern w:val="0"/>
                <w:sz w:val="22"/>
                <w:szCs w:val="22"/>
              </w:rPr>
              <w:t>t=35.3361</w:t>
            </w:r>
            <w:r>
              <w:rPr>
                <w:rFonts w:hint="eastAsia" w:eastAsia="楷体"/>
                <w:kern w:val="0"/>
                <w:sz w:val="22"/>
                <w:szCs w:val="22"/>
              </w:rPr>
              <w:t>，</w:t>
            </w:r>
            <w:r>
              <w:rPr>
                <w:rFonts w:eastAsia="楷体"/>
                <w:kern w:val="0"/>
                <w:sz w:val="22"/>
                <w:szCs w:val="22"/>
              </w:rPr>
              <w:t>R=0. 8208</w:t>
            </w:r>
          </w:p>
        </w:tc>
      </w:tr>
      <w:tr w14:paraId="3C4B1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6B3F4285">
            <w:pPr>
              <w:jc w:val="center"/>
              <w:rPr>
                <w:rFonts w:eastAsia="楷体"/>
                <w:kern w:val="0"/>
                <w:sz w:val="22"/>
                <w:szCs w:val="22"/>
              </w:rPr>
            </w:pPr>
            <w:r>
              <w:rPr>
                <w:rFonts w:eastAsia="楷体"/>
                <w:kern w:val="0"/>
                <w:sz w:val="22"/>
                <w:szCs w:val="22"/>
              </w:rPr>
              <w:t>住宅用地</w:t>
            </w:r>
          </w:p>
        </w:tc>
        <w:tc>
          <w:tcPr>
            <w:tcW w:w="3617" w:type="dxa"/>
            <w:noWrap w:val="0"/>
            <w:vAlign w:val="center"/>
          </w:tcPr>
          <w:p w14:paraId="4DE37800">
            <w:pPr>
              <w:jc w:val="center"/>
              <w:rPr>
                <w:rFonts w:eastAsia="楷体"/>
                <w:kern w:val="0"/>
                <w:sz w:val="22"/>
                <w:szCs w:val="22"/>
              </w:rPr>
            </w:pPr>
            <w:r>
              <w:rPr>
                <w:rFonts w:eastAsia="楷体"/>
                <w:kern w:val="0"/>
                <w:sz w:val="22"/>
                <w:szCs w:val="22"/>
              </w:rPr>
              <w:t>Yn =</w:t>
            </w:r>
            <w:r>
              <w:t xml:space="preserve"> </w:t>
            </w:r>
            <w:r>
              <w:rPr>
                <w:rFonts w:eastAsia="楷体"/>
                <w:kern w:val="0"/>
                <w:sz w:val="22"/>
                <w:szCs w:val="22"/>
              </w:rPr>
              <w:t>132.5621×</w:t>
            </w:r>
            <w:r>
              <w:rPr>
                <w:rFonts w:hint="eastAsia" w:eastAsia="楷体"/>
                <w:kern w:val="0"/>
                <w:sz w:val="22"/>
                <w:szCs w:val="22"/>
              </w:rPr>
              <w:t>（</w:t>
            </w:r>
            <w:r>
              <w:rPr>
                <w:rFonts w:eastAsia="楷体"/>
                <w:kern w:val="0"/>
                <w:sz w:val="22"/>
                <w:szCs w:val="22"/>
              </w:rPr>
              <w:t>1+</w:t>
            </w:r>
            <w:r>
              <w:t xml:space="preserve"> </w:t>
            </w:r>
            <w:r>
              <w:rPr>
                <w:rFonts w:eastAsia="楷体"/>
                <w:kern w:val="0"/>
                <w:sz w:val="22"/>
                <w:szCs w:val="22"/>
              </w:rPr>
              <w:t>0.6121</w:t>
            </w:r>
            <w:r>
              <w:rPr>
                <w:rFonts w:hint="eastAsia" w:eastAsia="楷体"/>
                <w:kern w:val="0"/>
                <w:sz w:val="22"/>
                <w:szCs w:val="22"/>
              </w:rPr>
              <w:t>）</w:t>
            </w:r>
            <w:r>
              <w:rPr>
                <w:rFonts w:eastAsia="楷体"/>
                <w:kern w:val="0"/>
                <w:sz w:val="22"/>
                <w:szCs w:val="22"/>
              </w:rPr>
              <w:drawing>
                <wp:inline distT="0" distB="0" distL="114300" distR="114300">
                  <wp:extent cx="180975" cy="180975"/>
                  <wp:effectExtent l="0" t="0" r="0" b="0"/>
                  <wp:docPr id="91"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33"/>
                          <pic:cNvPicPr>
                            <a:picLocks noChangeAspect="1"/>
                          </pic:cNvPicPr>
                        </pic:nvPicPr>
                        <pic:blipFill>
                          <a:blip r:embed="rId277"/>
                          <a:stretch>
                            <a:fillRect/>
                          </a:stretch>
                        </pic:blipFill>
                        <pic:spPr>
                          <a:xfrm>
                            <a:off x="0" y="0"/>
                            <a:ext cx="180975" cy="180975"/>
                          </a:xfrm>
                          <a:prstGeom prst="rect">
                            <a:avLst/>
                          </a:prstGeom>
                          <a:noFill/>
                          <a:ln>
                            <a:noFill/>
                          </a:ln>
                        </pic:spPr>
                      </pic:pic>
                    </a:graphicData>
                  </a:graphic>
                </wp:inline>
              </w:drawing>
            </w:r>
          </w:p>
        </w:tc>
        <w:tc>
          <w:tcPr>
            <w:tcW w:w="4089" w:type="dxa"/>
            <w:noWrap w:val="0"/>
            <w:vAlign w:val="center"/>
          </w:tcPr>
          <w:p w14:paraId="121BD33C">
            <w:pPr>
              <w:jc w:val="center"/>
              <w:rPr>
                <w:rFonts w:eastAsia="楷体"/>
                <w:kern w:val="0"/>
                <w:sz w:val="22"/>
                <w:szCs w:val="22"/>
              </w:rPr>
            </w:pPr>
            <w:r>
              <w:rPr>
                <w:rFonts w:eastAsia="楷体"/>
                <w:kern w:val="0"/>
                <w:sz w:val="22"/>
                <w:szCs w:val="22"/>
              </w:rPr>
              <w:t>α=0.05</w:t>
            </w:r>
            <w:r>
              <w:rPr>
                <w:rFonts w:hint="eastAsia" w:eastAsia="楷体"/>
                <w:kern w:val="0"/>
                <w:sz w:val="22"/>
                <w:szCs w:val="22"/>
              </w:rPr>
              <w:t>，</w:t>
            </w:r>
            <w:r>
              <w:rPr>
                <w:rFonts w:eastAsia="楷体"/>
                <w:kern w:val="0"/>
                <w:sz w:val="22"/>
                <w:szCs w:val="22"/>
              </w:rPr>
              <w:t>F=293.7605</w:t>
            </w:r>
            <w:r>
              <w:rPr>
                <w:rFonts w:hint="eastAsia" w:eastAsia="楷体"/>
                <w:kern w:val="0"/>
                <w:sz w:val="22"/>
                <w:szCs w:val="22"/>
              </w:rPr>
              <w:t>，</w:t>
            </w:r>
            <w:r>
              <w:rPr>
                <w:rFonts w:eastAsia="楷体"/>
                <w:kern w:val="0"/>
                <w:sz w:val="22"/>
                <w:szCs w:val="22"/>
              </w:rPr>
              <w:t>t=27.4578</w:t>
            </w:r>
            <w:r>
              <w:rPr>
                <w:rFonts w:hint="eastAsia" w:eastAsia="楷体"/>
                <w:kern w:val="0"/>
                <w:sz w:val="22"/>
                <w:szCs w:val="22"/>
              </w:rPr>
              <w:t>，</w:t>
            </w:r>
            <w:r>
              <w:rPr>
                <w:rFonts w:eastAsia="楷体"/>
                <w:kern w:val="0"/>
                <w:sz w:val="22"/>
                <w:szCs w:val="22"/>
              </w:rPr>
              <w:t>R=0.8321</w:t>
            </w:r>
          </w:p>
        </w:tc>
      </w:tr>
    </w:tbl>
    <w:p w14:paraId="38DE29ED">
      <w:pPr>
        <w:widowControl w:val="0"/>
        <w:spacing w:before="120" w:beforeLines="50" w:after="120" w:afterLines="50" w:line="240" w:lineRule="atLeast"/>
        <w:jc w:val="center"/>
        <w:rPr>
          <w:rFonts w:eastAsia="黑体"/>
          <w:sz w:val="28"/>
          <w:szCs w:val="21"/>
        </w:rPr>
      </w:pPr>
      <w:r>
        <w:rPr>
          <w:rFonts w:eastAsia="黑体"/>
          <w:sz w:val="28"/>
          <w:szCs w:val="21"/>
        </w:rPr>
        <w:t>表2-5-</w:t>
      </w:r>
      <w:r>
        <w:rPr>
          <w:rFonts w:hint="eastAsia" w:eastAsia="黑体"/>
          <w:sz w:val="28"/>
          <w:szCs w:val="21"/>
        </w:rPr>
        <w:t>2</w:t>
      </w:r>
      <w:r>
        <w:rPr>
          <w:rFonts w:eastAsia="黑体"/>
          <w:sz w:val="28"/>
          <w:szCs w:val="21"/>
        </w:rPr>
        <w:t xml:space="preserve">2  </w:t>
      </w:r>
      <w:r>
        <w:rPr>
          <w:rFonts w:hint="eastAsia" w:eastAsia="黑体"/>
          <w:sz w:val="28"/>
          <w:szCs w:val="21"/>
        </w:rPr>
        <w:t>支河乡</w:t>
      </w:r>
      <w:r>
        <w:rPr>
          <w:rFonts w:eastAsia="黑体"/>
          <w:sz w:val="28"/>
          <w:szCs w:val="21"/>
        </w:rPr>
        <w:t>样点地价与土地级别指数模型测算结果表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59972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14DB5DF3">
            <w:pPr>
              <w:jc w:val="center"/>
              <w:rPr>
                <w:rFonts w:eastAsia="楷体"/>
                <w:kern w:val="0"/>
                <w:sz w:val="22"/>
                <w:szCs w:val="22"/>
              </w:rPr>
            </w:pPr>
            <w:r>
              <w:rPr>
                <w:rFonts w:eastAsia="楷体"/>
                <w:kern w:val="0"/>
                <w:sz w:val="22"/>
                <w:szCs w:val="22"/>
              </w:rPr>
              <w:t>用地类型</w:t>
            </w:r>
          </w:p>
        </w:tc>
        <w:tc>
          <w:tcPr>
            <w:tcW w:w="3617" w:type="dxa"/>
            <w:noWrap w:val="0"/>
            <w:vAlign w:val="center"/>
          </w:tcPr>
          <w:p w14:paraId="49302620">
            <w:pPr>
              <w:jc w:val="center"/>
              <w:rPr>
                <w:rFonts w:eastAsia="楷体"/>
                <w:kern w:val="0"/>
                <w:sz w:val="22"/>
                <w:szCs w:val="22"/>
              </w:rPr>
            </w:pPr>
            <w:r>
              <w:rPr>
                <w:rFonts w:eastAsia="楷体"/>
                <w:kern w:val="0"/>
                <w:sz w:val="22"/>
                <w:szCs w:val="22"/>
              </w:rPr>
              <w:t>模型数学表达式</w:t>
            </w:r>
          </w:p>
        </w:tc>
        <w:tc>
          <w:tcPr>
            <w:tcW w:w="4089" w:type="dxa"/>
            <w:noWrap w:val="0"/>
            <w:vAlign w:val="center"/>
          </w:tcPr>
          <w:p w14:paraId="65292A71">
            <w:pPr>
              <w:jc w:val="center"/>
              <w:rPr>
                <w:rFonts w:eastAsia="楷体"/>
                <w:kern w:val="0"/>
                <w:sz w:val="22"/>
                <w:szCs w:val="22"/>
              </w:rPr>
            </w:pPr>
            <w:r>
              <w:rPr>
                <w:rFonts w:eastAsia="楷体"/>
                <w:kern w:val="0"/>
                <w:sz w:val="22"/>
                <w:szCs w:val="22"/>
              </w:rPr>
              <w:t>统计量检验</w:t>
            </w:r>
          </w:p>
        </w:tc>
      </w:tr>
      <w:tr w14:paraId="7F3D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360121DB">
            <w:pPr>
              <w:jc w:val="center"/>
              <w:rPr>
                <w:rFonts w:eastAsia="楷体"/>
                <w:kern w:val="0"/>
                <w:sz w:val="22"/>
                <w:szCs w:val="22"/>
              </w:rPr>
            </w:pPr>
            <w:r>
              <w:rPr>
                <w:rFonts w:eastAsia="楷体"/>
                <w:kern w:val="0"/>
                <w:sz w:val="22"/>
                <w:szCs w:val="22"/>
              </w:rPr>
              <w:t>商服用地</w:t>
            </w:r>
          </w:p>
        </w:tc>
        <w:tc>
          <w:tcPr>
            <w:tcW w:w="3617" w:type="dxa"/>
            <w:noWrap w:val="0"/>
            <w:vAlign w:val="center"/>
          </w:tcPr>
          <w:p w14:paraId="72A93867">
            <w:pPr>
              <w:jc w:val="center"/>
              <w:rPr>
                <w:rFonts w:eastAsia="楷体"/>
                <w:kern w:val="0"/>
                <w:sz w:val="22"/>
                <w:szCs w:val="22"/>
              </w:rPr>
            </w:pPr>
            <w:r>
              <w:rPr>
                <w:rFonts w:eastAsia="楷体"/>
                <w:kern w:val="0"/>
                <w:sz w:val="22"/>
                <w:szCs w:val="22"/>
              </w:rPr>
              <w:t>Yn = 139.5602×</w:t>
            </w:r>
            <w:r>
              <w:rPr>
                <w:rFonts w:hint="eastAsia" w:eastAsia="楷体"/>
                <w:kern w:val="0"/>
                <w:sz w:val="22"/>
                <w:szCs w:val="22"/>
              </w:rPr>
              <w:t>（</w:t>
            </w:r>
            <w:r>
              <w:rPr>
                <w:rFonts w:eastAsia="楷体"/>
                <w:kern w:val="0"/>
                <w:sz w:val="22"/>
                <w:szCs w:val="22"/>
              </w:rPr>
              <w:t>1+ 0.6712</w:t>
            </w:r>
            <w:r>
              <w:rPr>
                <w:rFonts w:hint="eastAsia" w:eastAsia="楷体"/>
                <w:kern w:val="0"/>
                <w:sz w:val="22"/>
                <w:szCs w:val="22"/>
              </w:rPr>
              <w:t>）</w:t>
            </w:r>
            <w:r>
              <w:rPr>
                <w:rFonts w:eastAsia="楷体"/>
                <w:kern w:val="0"/>
                <w:sz w:val="22"/>
                <w:szCs w:val="22"/>
              </w:rPr>
              <w:drawing>
                <wp:inline distT="0" distB="0" distL="114300" distR="114300">
                  <wp:extent cx="180975" cy="180975"/>
                  <wp:effectExtent l="0" t="0" r="0" b="0"/>
                  <wp:docPr id="92"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34"/>
                          <pic:cNvPicPr>
                            <a:picLocks noChangeAspect="1"/>
                          </pic:cNvPicPr>
                        </pic:nvPicPr>
                        <pic:blipFill>
                          <a:blip r:embed="rId277"/>
                          <a:stretch>
                            <a:fillRect/>
                          </a:stretch>
                        </pic:blipFill>
                        <pic:spPr>
                          <a:xfrm>
                            <a:off x="0" y="0"/>
                            <a:ext cx="180975" cy="180975"/>
                          </a:xfrm>
                          <a:prstGeom prst="rect">
                            <a:avLst/>
                          </a:prstGeom>
                          <a:noFill/>
                          <a:ln>
                            <a:noFill/>
                          </a:ln>
                        </pic:spPr>
                      </pic:pic>
                    </a:graphicData>
                  </a:graphic>
                </wp:inline>
              </w:drawing>
            </w:r>
          </w:p>
        </w:tc>
        <w:tc>
          <w:tcPr>
            <w:tcW w:w="4089" w:type="dxa"/>
            <w:noWrap w:val="0"/>
            <w:vAlign w:val="center"/>
          </w:tcPr>
          <w:p w14:paraId="4B4567F6">
            <w:pPr>
              <w:jc w:val="center"/>
              <w:rPr>
                <w:rFonts w:eastAsia="楷体"/>
                <w:kern w:val="0"/>
                <w:sz w:val="22"/>
                <w:szCs w:val="22"/>
              </w:rPr>
            </w:pPr>
            <w:r>
              <w:rPr>
                <w:rFonts w:eastAsia="楷体"/>
                <w:kern w:val="0"/>
                <w:sz w:val="22"/>
                <w:szCs w:val="22"/>
              </w:rPr>
              <w:t>α=0.05</w:t>
            </w:r>
            <w:r>
              <w:rPr>
                <w:rFonts w:hint="eastAsia" w:eastAsia="楷体"/>
                <w:kern w:val="0"/>
                <w:sz w:val="22"/>
                <w:szCs w:val="22"/>
              </w:rPr>
              <w:t>，</w:t>
            </w:r>
            <w:r>
              <w:rPr>
                <w:rFonts w:eastAsia="楷体"/>
                <w:kern w:val="0"/>
                <w:sz w:val="22"/>
                <w:szCs w:val="22"/>
              </w:rPr>
              <w:t>F=542.6587</w:t>
            </w:r>
            <w:r>
              <w:rPr>
                <w:rFonts w:hint="eastAsia" w:eastAsia="楷体"/>
                <w:kern w:val="0"/>
                <w:sz w:val="22"/>
                <w:szCs w:val="22"/>
              </w:rPr>
              <w:t>，</w:t>
            </w:r>
            <w:r>
              <w:rPr>
                <w:rFonts w:eastAsia="楷体"/>
                <w:kern w:val="0"/>
                <w:sz w:val="22"/>
                <w:szCs w:val="22"/>
              </w:rPr>
              <w:t>t=35.4132</w:t>
            </w:r>
            <w:r>
              <w:rPr>
                <w:rFonts w:hint="eastAsia" w:eastAsia="楷体"/>
                <w:kern w:val="0"/>
                <w:sz w:val="22"/>
                <w:szCs w:val="22"/>
              </w:rPr>
              <w:t>，</w:t>
            </w:r>
            <w:r>
              <w:rPr>
                <w:rFonts w:eastAsia="楷体"/>
                <w:kern w:val="0"/>
                <w:sz w:val="22"/>
                <w:szCs w:val="22"/>
              </w:rPr>
              <w:t>R=0. 8325</w:t>
            </w:r>
          </w:p>
        </w:tc>
      </w:tr>
      <w:tr w14:paraId="7A98E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7DF6F37D">
            <w:pPr>
              <w:jc w:val="center"/>
              <w:rPr>
                <w:rFonts w:eastAsia="楷体"/>
                <w:kern w:val="0"/>
                <w:sz w:val="22"/>
                <w:szCs w:val="22"/>
              </w:rPr>
            </w:pPr>
            <w:r>
              <w:rPr>
                <w:rFonts w:eastAsia="楷体"/>
                <w:kern w:val="0"/>
                <w:sz w:val="22"/>
                <w:szCs w:val="22"/>
              </w:rPr>
              <w:t>住宅用地</w:t>
            </w:r>
          </w:p>
        </w:tc>
        <w:tc>
          <w:tcPr>
            <w:tcW w:w="3617" w:type="dxa"/>
            <w:noWrap w:val="0"/>
            <w:vAlign w:val="center"/>
          </w:tcPr>
          <w:p w14:paraId="17350615">
            <w:pPr>
              <w:jc w:val="center"/>
              <w:rPr>
                <w:rFonts w:eastAsia="楷体"/>
                <w:kern w:val="0"/>
                <w:sz w:val="22"/>
                <w:szCs w:val="22"/>
              </w:rPr>
            </w:pPr>
            <w:r>
              <w:rPr>
                <w:rFonts w:eastAsia="楷体"/>
                <w:kern w:val="0"/>
                <w:sz w:val="22"/>
                <w:szCs w:val="22"/>
              </w:rPr>
              <w:t>Yn = 125.3642×</w:t>
            </w:r>
            <w:r>
              <w:rPr>
                <w:rFonts w:hint="eastAsia" w:eastAsia="楷体"/>
                <w:kern w:val="0"/>
                <w:sz w:val="22"/>
                <w:szCs w:val="22"/>
              </w:rPr>
              <w:t>（</w:t>
            </w:r>
            <w:r>
              <w:rPr>
                <w:rFonts w:eastAsia="楷体"/>
                <w:kern w:val="0"/>
                <w:sz w:val="22"/>
                <w:szCs w:val="22"/>
              </w:rPr>
              <w:t>1+0.6025</w:t>
            </w:r>
            <w:r>
              <w:rPr>
                <w:rFonts w:hint="eastAsia" w:eastAsia="楷体"/>
                <w:kern w:val="0"/>
                <w:sz w:val="22"/>
                <w:szCs w:val="22"/>
              </w:rPr>
              <w:t>）</w:t>
            </w:r>
            <w:r>
              <w:rPr>
                <w:rFonts w:eastAsia="楷体"/>
                <w:kern w:val="0"/>
                <w:sz w:val="22"/>
                <w:szCs w:val="22"/>
              </w:rPr>
              <w:drawing>
                <wp:inline distT="0" distB="0" distL="114300" distR="114300">
                  <wp:extent cx="180975" cy="180975"/>
                  <wp:effectExtent l="0" t="0" r="0" b="0"/>
                  <wp:docPr id="93"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35"/>
                          <pic:cNvPicPr>
                            <a:picLocks noChangeAspect="1"/>
                          </pic:cNvPicPr>
                        </pic:nvPicPr>
                        <pic:blipFill>
                          <a:blip r:embed="rId277"/>
                          <a:stretch>
                            <a:fillRect/>
                          </a:stretch>
                        </pic:blipFill>
                        <pic:spPr>
                          <a:xfrm>
                            <a:off x="0" y="0"/>
                            <a:ext cx="180975" cy="180975"/>
                          </a:xfrm>
                          <a:prstGeom prst="rect">
                            <a:avLst/>
                          </a:prstGeom>
                          <a:noFill/>
                          <a:ln>
                            <a:noFill/>
                          </a:ln>
                        </pic:spPr>
                      </pic:pic>
                    </a:graphicData>
                  </a:graphic>
                </wp:inline>
              </w:drawing>
            </w:r>
          </w:p>
        </w:tc>
        <w:tc>
          <w:tcPr>
            <w:tcW w:w="4089" w:type="dxa"/>
            <w:noWrap w:val="0"/>
            <w:vAlign w:val="center"/>
          </w:tcPr>
          <w:p w14:paraId="0C6CF021">
            <w:pPr>
              <w:jc w:val="center"/>
              <w:rPr>
                <w:rFonts w:eastAsia="楷体"/>
                <w:kern w:val="0"/>
                <w:sz w:val="22"/>
                <w:szCs w:val="22"/>
              </w:rPr>
            </w:pPr>
            <w:r>
              <w:rPr>
                <w:rFonts w:eastAsia="楷体"/>
                <w:kern w:val="0"/>
                <w:sz w:val="22"/>
                <w:szCs w:val="22"/>
              </w:rPr>
              <w:t>α=0.05</w:t>
            </w:r>
            <w:r>
              <w:rPr>
                <w:rFonts w:hint="eastAsia" w:eastAsia="楷体"/>
                <w:kern w:val="0"/>
                <w:sz w:val="22"/>
                <w:szCs w:val="22"/>
              </w:rPr>
              <w:t>，</w:t>
            </w:r>
            <w:r>
              <w:rPr>
                <w:rFonts w:eastAsia="楷体"/>
                <w:kern w:val="0"/>
                <w:sz w:val="22"/>
                <w:szCs w:val="22"/>
              </w:rPr>
              <w:t>F=310.2147</w:t>
            </w:r>
            <w:r>
              <w:rPr>
                <w:rFonts w:hint="eastAsia" w:eastAsia="楷体"/>
                <w:kern w:val="0"/>
                <w:sz w:val="22"/>
                <w:szCs w:val="22"/>
              </w:rPr>
              <w:t>，</w:t>
            </w:r>
            <w:r>
              <w:rPr>
                <w:rFonts w:eastAsia="楷体"/>
                <w:kern w:val="0"/>
                <w:sz w:val="22"/>
                <w:szCs w:val="22"/>
              </w:rPr>
              <w:t>t=24.5547</w:t>
            </w:r>
            <w:r>
              <w:rPr>
                <w:rFonts w:hint="eastAsia" w:eastAsia="楷体"/>
                <w:kern w:val="0"/>
                <w:sz w:val="22"/>
                <w:szCs w:val="22"/>
              </w:rPr>
              <w:t>，</w:t>
            </w:r>
            <w:r>
              <w:rPr>
                <w:rFonts w:eastAsia="楷体"/>
                <w:kern w:val="0"/>
                <w:sz w:val="22"/>
                <w:szCs w:val="22"/>
              </w:rPr>
              <w:t>R=0.8763</w:t>
            </w:r>
          </w:p>
        </w:tc>
      </w:tr>
    </w:tbl>
    <w:p w14:paraId="58036D17">
      <w:pPr>
        <w:widowControl w:val="0"/>
        <w:spacing w:before="120" w:beforeLines="50" w:after="120" w:afterLines="50" w:line="240" w:lineRule="atLeast"/>
        <w:jc w:val="center"/>
        <w:rPr>
          <w:rFonts w:eastAsia="黑体"/>
          <w:sz w:val="28"/>
          <w:szCs w:val="21"/>
        </w:rPr>
      </w:pPr>
      <w:r>
        <w:rPr>
          <w:rFonts w:eastAsia="黑体"/>
          <w:sz w:val="28"/>
          <w:szCs w:val="21"/>
        </w:rPr>
        <w:t>表2-5-</w:t>
      </w:r>
      <w:r>
        <w:rPr>
          <w:rFonts w:hint="eastAsia" w:eastAsia="黑体"/>
          <w:sz w:val="28"/>
          <w:szCs w:val="21"/>
        </w:rPr>
        <w:t>23</w:t>
      </w:r>
      <w:r>
        <w:rPr>
          <w:rFonts w:eastAsia="黑体"/>
          <w:sz w:val="28"/>
          <w:szCs w:val="21"/>
        </w:rPr>
        <w:t xml:space="preserve">  </w:t>
      </w:r>
      <w:r>
        <w:rPr>
          <w:rFonts w:hint="eastAsia" w:eastAsia="黑体"/>
          <w:sz w:val="28"/>
          <w:szCs w:val="21"/>
        </w:rPr>
        <w:t>灰古镇</w:t>
      </w:r>
      <w:r>
        <w:rPr>
          <w:rFonts w:eastAsia="黑体"/>
          <w:sz w:val="28"/>
          <w:szCs w:val="21"/>
        </w:rPr>
        <w:t>样点地价与土地级别指数模型测算结果表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199A6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5FB322C2">
            <w:pPr>
              <w:jc w:val="center"/>
              <w:rPr>
                <w:rFonts w:eastAsia="楷体"/>
                <w:kern w:val="0"/>
                <w:sz w:val="22"/>
                <w:szCs w:val="22"/>
              </w:rPr>
            </w:pPr>
            <w:r>
              <w:rPr>
                <w:rFonts w:eastAsia="楷体"/>
                <w:kern w:val="0"/>
                <w:sz w:val="22"/>
                <w:szCs w:val="22"/>
              </w:rPr>
              <w:t>用地类型</w:t>
            </w:r>
          </w:p>
        </w:tc>
        <w:tc>
          <w:tcPr>
            <w:tcW w:w="3617" w:type="dxa"/>
            <w:noWrap w:val="0"/>
            <w:vAlign w:val="center"/>
          </w:tcPr>
          <w:p w14:paraId="643B9D1A">
            <w:pPr>
              <w:jc w:val="center"/>
              <w:rPr>
                <w:rFonts w:eastAsia="楷体"/>
                <w:kern w:val="0"/>
                <w:sz w:val="22"/>
                <w:szCs w:val="22"/>
              </w:rPr>
            </w:pPr>
            <w:r>
              <w:rPr>
                <w:rFonts w:eastAsia="楷体"/>
                <w:kern w:val="0"/>
                <w:sz w:val="22"/>
                <w:szCs w:val="22"/>
              </w:rPr>
              <w:t>模型数学表达式</w:t>
            </w:r>
          </w:p>
        </w:tc>
        <w:tc>
          <w:tcPr>
            <w:tcW w:w="4089" w:type="dxa"/>
            <w:noWrap w:val="0"/>
            <w:vAlign w:val="center"/>
          </w:tcPr>
          <w:p w14:paraId="49DD73C3">
            <w:pPr>
              <w:jc w:val="center"/>
              <w:rPr>
                <w:rFonts w:eastAsia="楷体"/>
                <w:kern w:val="0"/>
                <w:sz w:val="22"/>
                <w:szCs w:val="22"/>
              </w:rPr>
            </w:pPr>
            <w:r>
              <w:rPr>
                <w:rFonts w:eastAsia="楷体"/>
                <w:kern w:val="0"/>
                <w:sz w:val="22"/>
                <w:szCs w:val="22"/>
              </w:rPr>
              <w:t>统计量检验</w:t>
            </w:r>
          </w:p>
        </w:tc>
      </w:tr>
      <w:tr w14:paraId="16B83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506CC28F">
            <w:pPr>
              <w:jc w:val="center"/>
              <w:rPr>
                <w:rFonts w:eastAsia="楷体"/>
                <w:kern w:val="0"/>
                <w:sz w:val="22"/>
                <w:szCs w:val="22"/>
              </w:rPr>
            </w:pPr>
            <w:r>
              <w:rPr>
                <w:rFonts w:eastAsia="楷体"/>
                <w:kern w:val="0"/>
                <w:sz w:val="22"/>
                <w:szCs w:val="22"/>
              </w:rPr>
              <w:t>商服用地</w:t>
            </w:r>
          </w:p>
        </w:tc>
        <w:tc>
          <w:tcPr>
            <w:tcW w:w="3617" w:type="dxa"/>
            <w:noWrap w:val="0"/>
            <w:vAlign w:val="center"/>
          </w:tcPr>
          <w:p w14:paraId="65C8BD28">
            <w:pPr>
              <w:jc w:val="center"/>
              <w:rPr>
                <w:rFonts w:eastAsia="楷体"/>
                <w:kern w:val="0"/>
                <w:sz w:val="22"/>
                <w:szCs w:val="22"/>
              </w:rPr>
            </w:pPr>
            <w:r>
              <w:rPr>
                <w:rFonts w:eastAsia="楷体"/>
                <w:kern w:val="0"/>
                <w:sz w:val="22"/>
                <w:szCs w:val="22"/>
              </w:rPr>
              <w:t>Yn = 134.2563×</w:t>
            </w:r>
            <w:r>
              <w:rPr>
                <w:rFonts w:hint="eastAsia" w:eastAsia="楷体"/>
                <w:kern w:val="0"/>
                <w:sz w:val="22"/>
                <w:szCs w:val="22"/>
              </w:rPr>
              <w:t>（</w:t>
            </w:r>
            <w:r>
              <w:rPr>
                <w:rFonts w:eastAsia="楷体"/>
                <w:kern w:val="0"/>
                <w:sz w:val="22"/>
                <w:szCs w:val="22"/>
              </w:rPr>
              <w:t>1+0.6703</w:t>
            </w:r>
            <w:r>
              <w:rPr>
                <w:rFonts w:hint="eastAsia" w:eastAsia="楷体"/>
                <w:kern w:val="0"/>
                <w:sz w:val="22"/>
                <w:szCs w:val="22"/>
              </w:rPr>
              <w:t>）</w:t>
            </w:r>
            <w:r>
              <w:rPr>
                <w:rFonts w:eastAsia="楷体"/>
                <w:kern w:val="0"/>
                <w:sz w:val="22"/>
                <w:szCs w:val="22"/>
              </w:rPr>
              <w:drawing>
                <wp:inline distT="0" distB="0" distL="114300" distR="114300">
                  <wp:extent cx="180975" cy="180975"/>
                  <wp:effectExtent l="0" t="0" r="0" b="0"/>
                  <wp:docPr id="94"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6"/>
                          <pic:cNvPicPr>
                            <a:picLocks noChangeAspect="1"/>
                          </pic:cNvPicPr>
                        </pic:nvPicPr>
                        <pic:blipFill>
                          <a:blip r:embed="rId277"/>
                          <a:stretch>
                            <a:fillRect/>
                          </a:stretch>
                        </pic:blipFill>
                        <pic:spPr>
                          <a:xfrm>
                            <a:off x="0" y="0"/>
                            <a:ext cx="180975" cy="180975"/>
                          </a:xfrm>
                          <a:prstGeom prst="rect">
                            <a:avLst/>
                          </a:prstGeom>
                          <a:noFill/>
                          <a:ln>
                            <a:noFill/>
                          </a:ln>
                        </pic:spPr>
                      </pic:pic>
                    </a:graphicData>
                  </a:graphic>
                </wp:inline>
              </w:drawing>
            </w:r>
          </w:p>
        </w:tc>
        <w:tc>
          <w:tcPr>
            <w:tcW w:w="4089" w:type="dxa"/>
            <w:noWrap w:val="0"/>
            <w:vAlign w:val="center"/>
          </w:tcPr>
          <w:p w14:paraId="0D8E573E">
            <w:pPr>
              <w:jc w:val="center"/>
              <w:rPr>
                <w:rFonts w:eastAsia="楷体"/>
                <w:kern w:val="0"/>
                <w:sz w:val="22"/>
                <w:szCs w:val="22"/>
              </w:rPr>
            </w:pPr>
            <w:r>
              <w:rPr>
                <w:rFonts w:eastAsia="楷体"/>
                <w:kern w:val="0"/>
                <w:sz w:val="22"/>
                <w:szCs w:val="22"/>
              </w:rPr>
              <w:t>α=0.05</w:t>
            </w:r>
            <w:r>
              <w:rPr>
                <w:rFonts w:hint="eastAsia" w:eastAsia="楷体"/>
                <w:kern w:val="0"/>
                <w:sz w:val="22"/>
                <w:szCs w:val="22"/>
              </w:rPr>
              <w:t>，</w:t>
            </w:r>
            <w:r>
              <w:rPr>
                <w:rFonts w:eastAsia="楷体"/>
                <w:kern w:val="0"/>
                <w:sz w:val="22"/>
                <w:szCs w:val="22"/>
              </w:rPr>
              <w:t>F=522.4753</w:t>
            </w:r>
            <w:r>
              <w:rPr>
                <w:rFonts w:hint="eastAsia" w:eastAsia="楷体"/>
                <w:kern w:val="0"/>
                <w:sz w:val="22"/>
                <w:szCs w:val="22"/>
              </w:rPr>
              <w:t>，</w:t>
            </w:r>
            <w:r>
              <w:rPr>
                <w:rFonts w:eastAsia="楷体"/>
                <w:kern w:val="0"/>
                <w:sz w:val="22"/>
                <w:szCs w:val="22"/>
              </w:rPr>
              <w:t>t=32.6568</w:t>
            </w:r>
            <w:r>
              <w:rPr>
                <w:rFonts w:hint="eastAsia" w:eastAsia="楷体"/>
                <w:kern w:val="0"/>
                <w:sz w:val="22"/>
                <w:szCs w:val="22"/>
              </w:rPr>
              <w:t>，</w:t>
            </w:r>
            <w:r>
              <w:rPr>
                <w:rFonts w:eastAsia="楷体"/>
                <w:kern w:val="0"/>
                <w:sz w:val="22"/>
                <w:szCs w:val="22"/>
              </w:rPr>
              <w:t>R=0. 8586</w:t>
            </w:r>
          </w:p>
        </w:tc>
      </w:tr>
      <w:tr w14:paraId="4AD63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48034634">
            <w:pPr>
              <w:jc w:val="center"/>
              <w:rPr>
                <w:rFonts w:eastAsia="楷体"/>
                <w:kern w:val="0"/>
                <w:sz w:val="22"/>
                <w:szCs w:val="22"/>
              </w:rPr>
            </w:pPr>
            <w:r>
              <w:rPr>
                <w:rFonts w:eastAsia="楷体"/>
                <w:kern w:val="0"/>
                <w:sz w:val="22"/>
                <w:szCs w:val="22"/>
              </w:rPr>
              <w:t>住宅用地</w:t>
            </w:r>
          </w:p>
        </w:tc>
        <w:tc>
          <w:tcPr>
            <w:tcW w:w="3617" w:type="dxa"/>
            <w:noWrap w:val="0"/>
            <w:vAlign w:val="center"/>
          </w:tcPr>
          <w:p w14:paraId="6D3FECFD">
            <w:pPr>
              <w:jc w:val="center"/>
              <w:rPr>
                <w:rFonts w:eastAsia="楷体"/>
                <w:kern w:val="0"/>
                <w:sz w:val="22"/>
                <w:szCs w:val="22"/>
              </w:rPr>
            </w:pPr>
            <w:r>
              <w:rPr>
                <w:rFonts w:eastAsia="楷体"/>
                <w:kern w:val="0"/>
                <w:sz w:val="22"/>
                <w:szCs w:val="22"/>
              </w:rPr>
              <w:t>Yn =122.0182×</w:t>
            </w:r>
            <w:r>
              <w:rPr>
                <w:rFonts w:hint="eastAsia" w:eastAsia="楷体"/>
                <w:kern w:val="0"/>
                <w:sz w:val="22"/>
                <w:szCs w:val="22"/>
              </w:rPr>
              <w:t>（</w:t>
            </w:r>
            <w:r>
              <w:rPr>
                <w:rFonts w:eastAsia="楷体"/>
                <w:kern w:val="0"/>
                <w:sz w:val="22"/>
                <w:szCs w:val="22"/>
              </w:rPr>
              <w:t>1+0.5865</w:t>
            </w:r>
            <w:r>
              <w:rPr>
                <w:rFonts w:hint="eastAsia" w:eastAsia="楷体"/>
                <w:kern w:val="0"/>
                <w:sz w:val="22"/>
                <w:szCs w:val="22"/>
              </w:rPr>
              <w:t>）</w:t>
            </w:r>
            <w:r>
              <w:rPr>
                <w:rFonts w:eastAsia="楷体"/>
                <w:kern w:val="0"/>
                <w:sz w:val="22"/>
                <w:szCs w:val="22"/>
              </w:rPr>
              <w:drawing>
                <wp:inline distT="0" distB="0" distL="114300" distR="114300">
                  <wp:extent cx="180975" cy="180975"/>
                  <wp:effectExtent l="0" t="0" r="0" b="0"/>
                  <wp:docPr id="95"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37"/>
                          <pic:cNvPicPr>
                            <a:picLocks noChangeAspect="1"/>
                          </pic:cNvPicPr>
                        </pic:nvPicPr>
                        <pic:blipFill>
                          <a:blip r:embed="rId277"/>
                          <a:stretch>
                            <a:fillRect/>
                          </a:stretch>
                        </pic:blipFill>
                        <pic:spPr>
                          <a:xfrm>
                            <a:off x="0" y="0"/>
                            <a:ext cx="180975" cy="180975"/>
                          </a:xfrm>
                          <a:prstGeom prst="rect">
                            <a:avLst/>
                          </a:prstGeom>
                          <a:noFill/>
                          <a:ln>
                            <a:noFill/>
                          </a:ln>
                        </pic:spPr>
                      </pic:pic>
                    </a:graphicData>
                  </a:graphic>
                </wp:inline>
              </w:drawing>
            </w:r>
          </w:p>
        </w:tc>
        <w:tc>
          <w:tcPr>
            <w:tcW w:w="4089" w:type="dxa"/>
            <w:noWrap w:val="0"/>
            <w:vAlign w:val="center"/>
          </w:tcPr>
          <w:p w14:paraId="7F9613DC">
            <w:pPr>
              <w:jc w:val="center"/>
              <w:rPr>
                <w:rFonts w:eastAsia="楷体"/>
                <w:kern w:val="0"/>
                <w:sz w:val="22"/>
                <w:szCs w:val="22"/>
              </w:rPr>
            </w:pPr>
            <w:r>
              <w:rPr>
                <w:rFonts w:eastAsia="楷体"/>
                <w:kern w:val="0"/>
                <w:sz w:val="22"/>
                <w:szCs w:val="22"/>
              </w:rPr>
              <w:t>α=0.05</w:t>
            </w:r>
            <w:r>
              <w:rPr>
                <w:rFonts w:hint="eastAsia" w:eastAsia="楷体"/>
                <w:kern w:val="0"/>
                <w:sz w:val="22"/>
                <w:szCs w:val="22"/>
              </w:rPr>
              <w:t>，</w:t>
            </w:r>
            <w:r>
              <w:rPr>
                <w:rFonts w:eastAsia="楷体"/>
                <w:kern w:val="0"/>
                <w:sz w:val="22"/>
                <w:szCs w:val="22"/>
              </w:rPr>
              <w:t>F=298.4312</w:t>
            </w:r>
            <w:r>
              <w:rPr>
                <w:rFonts w:hint="eastAsia" w:eastAsia="楷体"/>
                <w:kern w:val="0"/>
                <w:sz w:val="22"/>
                <w:szCs w:val="22"/>
              </w:rPr>
              <w:t>，</w:t>
            </w:r>
            <w:r>
              <w:rPr>
                <w:rFonts w:eastAsia="楷体"/>
                <w:kern w:val="0"/>
                <w:sz w:val="22"/>
                <w:szCs w:val="22"/>
              </w:rPr>
              <w:t>t=26.4418</w:t>
            </w:r>
            <w:r>
              <w:rPr>
                <w:rFonts w:hint="eastAsia" w:eastAsia="楷体"/>
                <w:kern w:val="0"/>
                <w:sz w:val="22"/>
                <w:szCs w:val="22"/>
              </w:rPr>
              <w:t>，</w:t>
            </w:r>
            <w:r>
              <w:rPr>
                <w:rFonts w:eastAsia="楷体"/>
                <w:kern w:val="0"/>
                <w:sz w:val="22"/>
                <w:szCs w:val="22"/>
              </w:rPr>
              <w:t>R=0.8744</w:t>
            </w:r>
          </w:p>
        </w:tc>
      </w:tr>
    </w:tbl>
    <w:p w14:paraId="20758B04">
      <w:pPr>
        <w:widowControl w:val="0"/>
        <w:spacing w:before="120" w:beforeLines="50" w:after="120" w:afterLines="50" w:line="240" w:lineRule="atLeast"/>
        <w:jc w:val="center"/>
        <w:rPr>
          <w:rFonts w:eastAsia="黑体"/>
          <w:sz w:val="28"/>
          <w:szCs w:val="21"/>
        </w:rPr>
      </w:pPr>
      <w:r>
        <w:rPr>
          <w:rFonts w:eastAsia="黑体"/>
          <w:sz w:val="28"/>
          <w:szCs w:val="21"/>
        </w:rPr>
        <w:t>表2-5-</w:t>
      </w:r>
      <w:r>
        <w:rPr>
          <w:rFonts w:hint="eastAsia" w:eastAsia="黑体"/>
          <w:sz w:val="28"/>
          <w:szCs w:val="21"/>
        </w:rPr>
        <w:t>24</w:t>
      </w:r>
      <w:r>
        <w:rPr>
          <w:rFonts w:eastAsia="黑体"/>
          <w:sz w:val="28"/>
          <w:szCs w:val="21"/>
        </w:rPr>
        <w:t xml:space="preserve">  </w:t>
      </w:r>
      <w:r>
        <w:rPr>
          <w:rFonts w:hint="eastAsia" w:eastAsia="黑体"/>
          <w:sz w:val="28"/>
          <w:szCs w:val="21"/>
        </w:rPr>
        <w:t>桃沟乡</w:t>
      </w:r>
      <w:r>
        <w:rPr>
          <w:rFonts w:eastAsia="黑体"/>
          <w:sz w:val="28"/>
          <w:szCs w:val="21"/>
        </w:rPr>
        <w:t>样点地价与土地级别指数模型测算结果表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52A9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73ADDEA8">
            <w:pPr>
              <w:jc w:val="center"/>
              <w:rPr>
                <w:rFonts w:eastAsia="楷体"/>
                <w:kern w:val="0"/>
                <w:sz w:val="22"/>
                <w:szCs w:val="22"/>
              </w:rPr>
            </w:pPr>
            <w:r>
              <w:rPr>
                <w:rFonts w:eastAsia="楷体"/>
                <w:kern w:val="0"/>
                <w:sz w:val="22"/>
                <w:szCs w:val="22"/>
              </w:rPr>
              <w:t>用地类型</w:t>
            </w:r>
          </w:p>
        </w:tc>
        <w:tc>
          <w:tcPr>
            <w:tcW w:w="3617" w:type="dxa"/>
            <w:noWrap w:val="0"/>
            <w:vAlign w:val="center"/>
          </w:tcPr>
          <w:p w14:paraId="57BFEA00">
            <w:pPr>
              <w:jc w:val="center"/>
              <w:rPr>
                <w:rFonts w:eastAsia="楷体"/>
                <w:kern w:val="0"/>
                <w:sz w:val="22"/>
                <w:szCs w:val="22"/>
              </w:rPr>
            </w:pPr>
            <w:r>
              <w:rPr>
                <w:rFonts w:eastAsia="楷体"/>
                <w:kern w:val="0"/>
                <w:sz w:val="22"/>
                <w:szCs w:val="22"/>
              </w:rPr>
              <w:t>模型数学表达式</w:t>
            </w:r>
          </w:p>
        </w:tc>
        <w:tc>
          <w:tcPr>
            <w:tcW w:w="4089" w:type="dxa"/>
            <w:noWrap w:val="0"/>
            <w:vAlign w:val="center"/>
          </w:tcPr>
          <w:p w14:paraId="008C3557">
            <w:pPr>
              <w:jc w:val="center"/>
              <w:rPr>
                <w:rFonts w:eastAsia="楷体"/>
                <w:kern w:val="0"/>
                <w:sz w:val="22"/>
                <w:szCs w:val="22"/>
              </w:rPr>
            </w:pPr>
            <w:r>
              <w:rPr>
                <w:rFonts w:eastAsia="楷体"/>
                <w:kern w:val="0"/>
                <w:sz w:val="22"/>
                <w:szCs w:val="22"/>
              </w:rPr>
              <w:t>统计量检验</w:t>
            </w:r>
          </w:p>
        </w:tc>
      </w:tr>
      <w:tr w14:paraId="27F80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47880439">
            <w:pPr>
              <w:jc w:val="center"/>
              <w:rPr>
                <w:rFonts w:eastAsia="楷体"/>
                <w:kern w:val="0"/>
                <w:sz w:val="22"/>
                <w:szCs w:val="22"/>
              </w:rPr>
            </w:pPr>
            <w:r>
              <w:rPr>
                <w:rFonts w:eastAsia="楷体"/>
                <w:kern w:val="0"/>
                <w:sz w:val="22"/>
                <w:szCs w:val="22"/>
              </w:rPr>
              <w:t>商服用地</w:t>
            </w:r>
          </w:p>
        </w:tc>
        <w:tc>
          <w:tcPr>
            <w:tcW w:w="3617" w:type="dxa"/>
            <w:noWrap w:val="0"/>
            <w:vAlign w:val="center"/>
          </w:tcPr>
          <w:p w14:paraId="0DF5555B">
            <w:pPr>
              <w:jc w:val="center"/>
              <w:rPr>
                <w:rFonts w:eastAsia="楷体"/>
                <w:kern w:val="0"/>
                <w:sz w:val="22"/>
                <w:szCs w:val="22"/>
              </w:rPr>
            </w:pPr>
            <w:r>
              <w:rPr>
                <w:rFonts w:eastAsia="楷体"/>
                <w:kern w:val="0"/>
                <w:sz w:val="22"/>
                <w:szCs w:val="22"/>
              </w:rPr>
              <w:t>Yn = 235.6601×</w:t>
            </w:r>
            <w:r>
              <w:rPr>
                <w:rFonts w:hint="eastAsia" w:eastAsia="楷体"/>
                <w:kern w:val="0"/>
                <w:sz w:val="22"/>
                <w:szCs w:val="22"/>
              </w:rPr>
              <w:t>（</w:t>
            </w:r>
            <w:r>
              <w:rPr>
                <w:rFonts w:eastAsia="楷体"/>
                <w:kern w:val="0"/>
                <w:sz w:val="22"/>
                <w:szCs w:val="22"/>
              </w:rPr>
              <w:t>1+ 0.6541</w:t>
            </w:r>
            <w:r>
              <w:rPr>
                <w:rFonts w:hint="eastAsia" w:eastAsia="楷体"/>
                <w:kern w:val="0"/>
                <w:sz w:val="22"/>
                <w:szCs w:val="22"/>
              </w:rPr>
              <w:t>）</w:t>
            </w:r>
            <w:r>
              <w:rPr>
                <w:rFonts w:eastAsia="楷体"/>
                <w:kern w:val="0"/>
                <w:sz w:val="22"/>
                <w:szCs w:val="22"/>
              </w:rPr>
              <w:drawing>
                <wp:inline distT="0" distB="0" distL="114300" distR="114300">
                  <wp:extent cx="180975" cy="180975"/>
                  <wp:effectExtent l="0" t="0" r="0" b="0"/>
                  <wp:docPr id="96"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38"/>
                          <pic:cNvPicPr>
                            <a:picLocks noChangeAspect="1"/>
                          </pic:cNvPicPr>
                        </pic:nvPicPr>
                        <pic:blipFill>
                          <a:blip r:embed="rId277"/>
                          <a:stretch>
                            <a:fillRect/>
                          </a:stretch>
                        </pic:blipFill>
                        <pic:spPr>
                          <a:xfrm>
                            <a:off x="0" y="0"/>
                            <a:ext cx="180975" cy="180975"/>
                          </a:xfrm>
                          <a:prstGeom prst="rect">
                            <a:avLst/>
                          </a:prstGeom>
                          <a:noFill/>
                          <a:ln>
                            <a:noFill/>
                          </a:ln>
                        </pic:spPr>
                      </pic:pic>
                    </a:graphicData>
                  </a:graphic>
                </wp:inline>
              </w:drawing>
            </w:r>
          </w:p>
        </w:tc>
        <w:tc>
          <w:tcPr>
            <w:tcW w:w="4089" w:type="dxa"/>
            <w:noWrap w:val="0"/>
            <w:vAlign w:val="center"/>
          </w:tcPr>
          <w:p w14:paraId="36C98354">
            <w:pPr>
              <w:jc w:val="center"/>
              <w:rPr>
                <w:rFonts w:eastAsia="楷体"/>
                <w:kern w:val="0"/>
                <w:sz w:val="22"/>
                <w:szCs w:val="22"/>
              </w:rPr>
            </w:pPr>
            <w:r>
              <w:rPr>
                <w:rFonts w:eastAsia="楷体"/>
                <w:kern w:val="0"/>
                <w:sz w:val="22"/>
                <w:szCs w:val="22"/>
              </w:rPr>
              <w:t>α=0.05</w:t>
            </w:r>
            <w:r>
              <w:rPr>
                <w:rFonts w:hint="eastAsia" w:eastAsia="楷体"/>
                <w:kern w:val="0"/>
                <w:sz w:val="22"/>
                <w:szCs w:val="22"/>
              </w:rPr>
              <w:t>，</w:t>
            </w:r>
            <w:r>
              <w:rPr>
                <w:rFonts w:eastAsia="楷体"/>
                <w:kern w:val="0"/>
                <w:sz w:val="22"/>
                <w:szCs w:val="22"/>
              </w:rPr>
              <w:t>F=515.4205</w:t>
            </w:r>
            <w:r>
              <w:rPr>
                <w:rFonts w:hint="eastAsia" w:eastAsia="楷体"/>
                <w:kern w:val="0"/>
                <w:sz w:val="22"/>
                <w:szCs w:val="22"/>
              </w:rPr>
              <w:t>，</w:t>
            </w:r>
            <w:r>
              <w:rPr>
                <w:rFonts w:eastAsia="楷体"/>
                <w:kern w:val="0"/>
                <w:sz w:val="22"/>
                <w:szCs w:val="22"/>
              </w:rPr>
              <w:t>t=31.2491</w:t>
            </w:r>
            <w:r>
              <w:rPr>
                <w:rFonts w:hint="eastAsia" w:eastAsia="楷体"/>
                <w:kern w:val="0"/>
                <w:sz w:val="22"/>
                <w:szCs w:val="22"/>
              </w:rPr>
              <w:t>，</w:t>
            </w:r>
            <w:r>
              <w:rPr>
                <w:rFonts w:eastAsia="楷体"/>
                <w:kern w:val="0"/>
                <w:sz w:val="22"/>
                <w:szCs w:val="22"/>
              </w:rPr>
              <w:t>R=0. 8507</w:t>
            </w:r>
          </w:p>
        </w:tc>
      </w:tr>
      <w:tr w14:paraId="06496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759C4A66">
            <w:pPr>
              <w:jc w:val="center"/>
              <w:rPr>
                <w:rFonts w:eastAsia="楷体"/>
                <w:kern w:val="0"/>
                <w:sz w:val="22"/>
                <w:szCs w:val="22"/>
              </w:rPr>
            </w:pPr>
            <w:r>
              <w:rPr>
                <w:rFonts w:eastAsia="楷体"/>
                <w:kern w:val="0"/>
                <w:sz w:val="22"/>
                <w:szCs w:val="22"/>
              </w:rPr>
              <w:t>住宅用地</w:t>
            </w:r>
          </w:p>
        </w:tc>
        <w:tc>
          <w:tcPr>
            <w:tcW w:w="3617" w:type="dxa"/>
            <w:noWrap w:val="0"/>
            <w:vAlign w:val="center"/>
          </w:tcPr>
          <w:p w14:paraId="574703C8">
            <w:pPr>
              <w:jc w:val="center"/>
              <w:rPr>
                <w:rFonts w:eastAsia="楷体"/>
                <w:kern w:val="0"/>
                <w:sz w:val="22"/>
                <w:szCs w:val="22"/>
              </w:rPr>
            </w:pPr>
            <w:r>
              <w:rPr>
                <w:rFonts w:eastAsia="楷体"/>
                <w:kern w:val="0"/>
                <w:sz w:val="22"/>
                <w:szCs w:val="22"/>
              </w:rPr>
              <w:t>Yn =204.2355×</w:t>
            </w:r>
            <w:r>
              <w:rPr>
                <w:rFonts w:hint="eastAsia" w:eastAsia="楷体"/>
                <w:kern w:val="0"/>
                <w:sz w:val="22"/>
                <w:szCs w:val="22"/>
              </w:rPr>
              <w:t>（</w:t>
            </w:r>
            <w:r>
              <w:rPr>
                <w:rFonts w:eastAsia="楷体"/>
                <w:kern w:val="0"/>
                <w:sz w:val="22"/>
                <w:szCs w:val="22"/>
              </w:rPr>
              <w:t>1+ 0.5582</w:t>
            </w:r>
            <w:r>
              <w:rPr>
                <w:rFonts w:hint="eastAsia" w:eastAsia="楷体"/>
                <w:kern w:val="0"/>
                <w:sz w:val="22"/>
                <w:szCs w:val="22"/>
              </w:rPr>
              <w:t>）</w:t>
            </w:r>
            <w:r>
              <w:rPr>
                <w:rFonts w:eastAsia="楷体"/>
                <w:kern w:val="0"/>
                <w:sz w:val="22"/>
                <w:szCs w:val="22"/>
              </w:rPr>
              <w:drawing>
                <wp:inline distT="0" distB="0" distL="114300" distR="114300">
                  <wp:extent cx="180975" cy="180975"/>
                  <wp:effectExtent l="0" t="0" r="0" b="0"/>
                  <wp:docPr id="97"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39"/>
                          <pic:cNvPicPr>
                            <a:picLocks noChangeAspect="1"/>
                          </pic:cNvPicPr>
                        </pic:nvPicPr>
                        <pic:blipFill>
                          <a:blip r:embed="rId277"/>
                          <a:stretch>
                            <a:fillRect/>
                          </a:stretch>
                        </pic:blipFill>
                        <pic:spPr>
                          <a:xfrm>
                            <a:off x="0" y="0"/>
                            <a:ext cx="180975" cy="180975"/>
                          </a:xfrm>
                          <a:prstGeom prst="rect">
                            <a:avLst/>
                          </a:prstGeom>
                          <a:noFill/>
                          <a:ln>
                            <a:noFill/>
                          </a:ln>
                        </pic:spPr>
                      </pic:pic>
                    </a:graphicData>
                  </a:graphic>
                </wp:inline>
              </w:drawing>
            </w:r>
          </w:p>
        </w:tc>
        <w:tc>
          <w:tcPr>
            <w:tcW w:w="4089" w:type="dxa"/>
            <w:noWrap w:val="0"/>
            <w:vAlign w:val="center"/>
          </w:tcPr>
          <w:p w14:paraId="36ACE1FC">
            <w:pPr>
              <w:jc w:val="center"/>
              <w:rPr>
                <w:rFonts w:eastAsia="楷体"/>
                <w:kern w:val="0"/>
                <w:sz w:val="22"/>
                <w:szCs w:val="22"/>
              </w:rPr>
            </w:pPr>
            <w:r>
              <w:rPr>
                <w:rFonts w:eastAsia="楷体"/>
                <w:kern w:val="0"/>
                <w:sz w:val="22"/>
                <w:szCs w:val="22"/>
              </w:rPr>
              <w:t>α=0.05</w:t>
            </w:r>
            <w:r>
              <w:rPr>
                <w:rFonts w:hint="eastAsia" w:eastAsia="楷体"/>
                <w:kern w:val="0"/>
                <w:sz w:val="22"/>
                <w:szCs w:val="22"/>
              </w:rPr>
              <w:t>，</w:t>
            </w:r>
            <w:r>
              <w:rPr>
                <w:rFonts w:eastAsia="楷体"/>
                <w:kern w:val="0"/>
                <w:sz w:val="22"/>
                <w:szCs w:val="22"/>
              </w:rPr>
              <w:t>F=299.7605</w:t>
            </w:r>
            <w:r>
              <w:rPr>
                <w:rFonts w:hint="eastAsia" w:eastAsia="楷体"/>
                <w:kern w:val="0"/>
                <w:sz w:val="22"/>
                <w:szCs w:val="22"/>
              </w:rPr>
              <w:t>，</w:t>
            </w:r>
            <w:r>
              <w:rPr>
                <w:rFonts w:eastAsia="楷体"/>
                <w:kern w:val="0"/>
                <w:sz w:val="22"/>
                <w:szCs w:val="22"/>
              </w:rPr>
              <w:t>t=24.4532</w:t>
            </w:r>
            <w:r>
              <w:rPr>
                <w:rFonts w:hint="eastAsia" w:eastAsia="楷体"/>
                <w:kern w:val="0"/>
                <w:sz w:val="22"/>
                <w:szCs w:val="22"/>
              </w:rPr>
              <w:t>，</w:t>
            </w:r>
            <w:r>
              <w:rPr>
                <w:rFonts w:eastAsia="楷体"/>
                <w:kern w:val="0"/>
                <w:sz w:val="22"/>
                <w:szCs w:val="22"/>
              </w:rPr>
              <w:t>R=0.8873</w:t>
            </w:r>
          </w:p>
        </w:tc>
      </w:tr>
    </w:tbl>
    <w:p w14:paraId="2EB68B2A">
      <w:pPr>
        <w:pStyle w:val="20"/>
        <w:spacing w:line="480" w:lineRule="exac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25</w:t>
      </w:r>
      <w:r>
        <w:rPr>
          <w:rFonts w:ascii="Times New Roman" w:hAnsi="Times New Roman" w:eastAsia="黑体" w:cs="Times New Roman"/>
          <w:sz w:val="28"/>
        </w:rPr>
        <w:t xml:space="preserve">  埇桥区各乡镇镇区样点地价与土地级别指数模型</w:t>
      </w:r>
    </w:p>
    <w:p w14:paraId="290F5B60">
      <w:pPr>
        <w:pStyle w:val="20"/>
        <w:jc w:val="center"/>
        <w:rPr>
          <w:rFonts w:ascii="Times New Roman" w:hAnsi="Times New Roman" w:eastAsia="黑体" w:cs="Times New Roman"/>
          <w:sz w:val="28"/>
        </w:rPr>
      </w:pPr>
      <w:r>
        <w:rPr>
          <w:rFonts w:ascii="Times New Roman" w:hAnsi="Times New Roman" w:eastAsia="黑体" w:cs="Times New Roman"/>
          <w:sz w:val="28"/>
        </w:rPr>
        <w:t>测算级别基准地价结果表</w:t>
      </w:r>
    </w:p>
    <w:p w14:paraId="62AFDAE7">
      <w:pPr>
        <w:pStyle w:val="20"/>
        <w:jc w:val="right"/>
        <w:rPr>
          <w:rFonts w:ascii="Times New Roman" w:hAnsi="Times New Roman" w:eastAsia="黑体" w:cs="Times New Roman"/>
          <w:sz w:val="28"/>
        </w:rPr>
      </w:pPr>
      <w:r>
        <w:rPr>
          <w:rFonts w:ascii="Times New Roman" w:hAnsi="Times New Roman" w:eastAsia="楷体_GB2312" w:cs="Times New Roman"/>
        </w:rPr>
        <w:t>单位：个，元/m</w:t>
      </w:r>
      <w:r>
        <w:rPr>
          <w:rFonts w:ascii="Times New Roman" w:hAnsi="Times New Roman" w:eastAsia="楷体_GB2312" w:cs="Times New Roman"/>
          <w:vertAlign w:val="superscript"/>
        </w:rPr>
        <w:t>2</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932"/>
        <w:gridCol w:w="932"/>
        <w:gridCol w:w="1101"/>
        <w:gridCol w:w="1104"/>
        <w:gridCol w:w="1081"/>
        <w:gridCol w:w="1101"/>
        <w:gridCol w:w="1270"/>
        <w:gridCol w:w="956"/>
      </w:tblGrid>
      <w:tr w14:paraId="56042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blHeader/>
          <w:jc w:val="center"/>
        </w:trPr>
        <w:tc>
          <w:tcPr>
            <w:tcW w:w="0" w:type="auto"/>
            <w:vMerge w:val="restart"/>
            <w:noWrap w:val="0"/>
            <w:vAlign w:val="center"/>
          </w:tcPr>
          <w:p w14:paraId="5E70BE5F">
            <w:pPr>
              <w:spacing w:before="100" w:beforeAutospacing="1" w:after="100" w:afterAutospacing="1" w:line="240" w:lineRule="atLeast"/>
              <w:jc w:val="center"/>
              <w:rPr>
                <w:rFonts w:eastAsia="楷体_GB2312"/>
                <w:kern w:val="0"/>
                <w:szCs w:val="21"/>
              </w:rPr>
            </w:pPr>
            <w:r>
              <w:rPr>
                <w:rFonts w:eastAsia="楷体_GB2312"/>
                <w:kern w:val="0"/>
                <w:szCs w:val="21"/>
              </w:rPr>
              <w:t>编号</w:t>
            </w:r>
          </w:p>
        </w:tc>
        <w:tc>
          <w:tcPr>
            <w:tcW w:w="0" w:type="auto"/>
            <w:vMerge w:val="restart"/>
            <w:noWrap w:val="0"/>
            <w:vAlign w:val="center"/>
          </w:tcPr>
          <w:p w14:paraId="1501DD04">
            <w:pPr>
              <w:spacing w:before="100" w:beforeAutospacing="1" w:after="100" w:afterAutospacing="1" w:line="240" w:lineRule="atLeast"/>
              <w:jc w:val="center"/>
              <w:rPr>
                <w:rFonts w:eastAsia="楷体_GB2312"/>
                <w:kern w:val="0"/>
                <w:szCs w:val="21"/>
              </w:rPr>
            </w:pPr>
            <w:r>
              <w:rPr>
                <w:rFonts w:eastAsia="楷体_GB2312"/>
                <w:kern w:val="0"/>
                <w:szCs w:val="21"/>
              </w:rPr>
              <w:t>乡镇名称</w:t>
            </w:r>
          </w:p>
        </w:tc>
        <w:tc>
          <w:tcPr>
            <w:tcW w:w="0" w:type="auto"/>
            <w:vMerge w:val="restart"/>
            <w:noWrap w:val="0"/>
            <w:vAlign w:val="center"/>
          </w:tcPr>
          <w:p w14:paraId="108D47D8">
            <w:pPr>
              <w:spacing w:before="100" w:beforeAutospacing="1" w:after="100" w:afterAutospacing="1" w:line="240" w:lineRule="atLeast"/>
              <w:jc w:val="center"/>
              <w:rPr>
                <w:rFonts w:eastAsia="楷体_GB2312"/>
                <w:kern w:val="0"/>
                <w:szCs w:val="21"/>
              </w:rPr>
            </w:pPr>
            <w:r>
              <w:rPr>
                <w:rFonts w:eastAsia="楷体_GB2312"/>
                <w:kern w:val="0"/>
                <w:szCs w:val="21"/>
              </w:rPr>
              <w:t>土地级别</w:t>
            </w:r>
          </w:p>
        </w:tc>
        <w:tc>
          <w:tcPr>
            <w:tcW w:w="0" w:type="auto"/>
            <w:gridSpan w:val="3"/>
            <w:noWrap w:val="0"/>
            <w:vAlign w:val="center"/>
          </w:tcPr>
          <w:p w14:paraId="0D66F33E">
            <w:pPr>
              <w:spacing w:before="100" w:beforeAutospacing="1" w:after="100" w:afterAutospacing="1" w:line="240" w:lineRule="atLeast"/>
              <w:jc w:val="center"/>
              <w:rPr>
                <w:rFonts w:eastAsia="楷体_GB2312"/>
                <w:kern w:val="0"/>
                <w:szCs w:val="21"/>
              </w:rPr>
            </w:pPr>
            <w:r>
              <w:rPr>
                <w:rFonts w:eastAsia="楷体_GB2312"/>
                <w:kern w:val="0"/>
                <w:szCs w:val="21"/>
              </w:rPr>
              <w:t>商服用地</w:t>
            </w:r>
          </w:p>
        </w:tc>
        <w:tc>
          <w:tcPr>
            <w:tcW w:w="0" w:type="auto"/>
            <w:gridSpan w:val="3"/>
            <w:noWrap w:val="0"/>
            <w:vAlign w:val="center"/>
          </w:tcPr>
          <w:p w14:paraId="7B31D069">
            <w:pPr>
              <w:spacing w:before="100" w:beforeAutospacing="1" w:after="100" w:afterAutospacing="1" w:line="240" w:lineRule="atLeast"/>
              <w:jc w:val="center"/>
              <w:rPr>
                <w:rFonts w:eastAsia="楷体_GB2312"/>
                <w:kern w:val="0"/>
                <w:szCs w:val="21"/>
              </w:rPr>
            </w:pPr>
            <w:r>
              <w:rPr>
                <w:rFonts w:eastAsia="楷体_GB2312"/>
                <w:kern w:val="0"/>
                <w:szCs w:val="21"/>
              </w:rPr>
              <w:t>住宅用地</w:t>
            </w:r>
          </w:p>
        </w:tc>
      </w:tr>
      <w:tr w14:paraId="26ED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0" w:type="auto"/>
            <w:vMerge w:val="continue"/>
            <w:noWrap w:val="0"/>
            <w:vAlign w:val="center"/>
          </w:tcPr>
          <w:p w14:paraId="2C3210DC">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EF453B2">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7F846B50">
            <w:pPr>
              <w:spacing w:before="100" w:beforeAutospacing="1" w:after="100" w:afterAutospacing="1" w:line="240" w:lineRule="atLeast"/>
              <w:jc w:val="center"/>
              <w:rPr>
                <w:rFonts w:eastAsia="楷体_GB2312"/>
                <w:kern w:val="0"/>
                <w:szCs w:val="21"/>
              </w:rPr>
            </w:pPr>
          </w:p>
        </w:tc>
        <w:tc>
          <w:tcPr>
            <w:tcW w:w="0" w:type="auto"/>
            <w:noWrap w:val="0"/>
            <w:vAlign w:val="center"/>
          </w:tcPr>
          <w:p w14:paraId="7FA9E3DF">
            <w:pPr>
              <w:jc w:val="center"/>
              <w:rPr>
                <w:rFonts w:eastAsia="楷体_GB2312"/>
                <w:kern w:val="0"/>
                <w:szCs w:val="21"/>
              </w:rPr>
            </w:pPr>
            <w:r>
              <w:rPr>
                <w:rFonts w:eastAsia="楷体_GB2312"/>
                <w:kern w:val="0"/>
                <w:szCs w:val="21"/>
              </w:rPr>
              <w:t>参算样点数</w:t>
            </w:r>
          </w:p>
        </w:tc>
        <w:tc>
          <w:tcPr>
            <w:tcW w:w="1105" w:type="dxa"/>
            <w:noWrap w:val="0"/>
            <w:vAlign w:val="center"/>
          </w:tcPr>
          <w:p w14:paraId="47417BB6">
            <w:pPr>
              <w:jc w:val="center"/>
              <w:rPr>
                <w:rFonts w:eastAsia="楷体_GB2312"/>
                <w:kern w:val="0"/>
                <w:szCs w:val="21"/>
              </w:rPr>
            </w:pPr>
            <w:r>
              <w:rPr>
                <w:rFonts w:eastAsia="楷体_GB2312"/>
                <w:kern w:val="0"/>
                <w:szCs w:val="21"/>
              </w:rPr>
              <w:t>土地级别指数</w:t>
            </w:r>
          </w:p>
        </w:tc>
        <w:tc>
          <w:tcPr>
            <w:tcW w:w="1081" w:type="dxa"/>
            <w:noWrap w:val="0"/>
            <w:vAlign w:val="center"/>
          </w:tcPr>
          <w:p w14:paraId="6E8160A4">
            <w:pPr>
              <w:jc w:val="center"/>
              <w:rPr>
                <w:rFonts w:eastAsia="楷体_GB2312"/>
                <w:kern w:val="0"/>
                <w:szCs w:val="21"/>
              </w:rPr>
            </w:pPr>
            <w:r>
              <w:rPr>
                <w:rFonts w:eastAsia="楷体_GB2312"/>
                <w:kern w:val="0"/>
                <w:szCs w:val="21"/>
              </w:rPr>
              <w:t>平均地价</w:t>
            </w:r>
          </w:p>
        </w:tc>
        <w:tc>
          <w:tcPr>
            <w:tcW w:w="0" w:type="auto"/>
            <w:noWrap w:val="0"/>
            <w:vAlign w:val="center"/>
          </w:tcPr>
          <w:p w14:paraId="4A7AC9AF">
            <w:pPr>
              <w:jc w:val="center"/>
              <w:rPr>
                <w:rFonts w:eastAsia="楷体_GB2312"/>
                <w:kern w:val="0"/>
                <w:szCs w:val="21"/>
              </w:rPr>
            </w:pPr>
            <w:r>
              <w:rPr>
                <w:rFonts w:eastAsia="楷体_GB2312"/>
                <w:kern w:val="0"/>
                <w:szCs w:val="21"/>
              </w:rPr>
              <w:t>参算样点数</w:t>
            </w:r>
          </w:p>
        </w:tc>
        <w:tc>
          <w:tcPr>
            <w:tcW w:w="0" w:type="auto"/>
            <w:noWrap w:val="0"/>
            <w:vAlign w:val="center"/>
          </w:tcPr>
          <w:p w14:paraId="6DCB9025">
            <w:pPr>
              <w:jc w:val="center"/>
              <w:rPr>
                <w:rFonts w:eastAsia="楷体_GB2312"/>
                <w:kern w:val="0"/>
                <w:szCs w:val="21"/>
              </w:rPr>
            </w:pPr>
            <w:r>
              <w:rPr>
                <w:rFonts w:eastAsia="楷体_GB2312"/>
                <w:kern w:val="0"/>
                <w:szCs w:val="21"/>
              </w:rPr>
              <w:t>土地级别指数</w:t>
            </w:r>
          </w:p>
        </w:tc>
        <w:tc>
          <w:tcPr>
            <w:tcW w:w="0" w:type="auto"/>
            <w:noWrap w:val="0"/>
            <w:vAlign w:val="center"/>
          </w:tcPr>
          <w:p w14:paraId="1D2BAFF7">
            <w:pPr>
              <w:jc w:val="center"/>
              <w:rPr>
                <w:rFonts w:eastAsia="楷体_GB2312"/>
                <w:kern w:val="0"/>
                <w:szCs w:val="21"/>
              </w:rPr>
            </w:pPr>
            <w:r>
              <w:rPr>
                <w:rFonts w:eastAsia="楷体_GB2312"/>
                <w:kern w:val="0"/>
                <w:szCs w:val="21"/>
              </w:rPr>
              <w:t>平均地价</w:t>
            </w:r>
          </w:p>
        </w:tc>
      </w:tr>
      <w:tr w14:paraId="62731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137A0D01">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vMerge w:val="restart"/>
            <w:noWrap w:val="0"/>
            <w:vAlign w:val="center"/>
          </w:tcPr>
          <w:p w14:paraId="1F4E14C7">
            <w:pPr>
              <w:spacing w:before="100" w:beforeAutospacing="1" w:after="100" w:afterAutospacing="1" w:line="240" w:lineRule="atLeast"/>
              <w:jc w:val="center"/>
              <w:rPr>
                <w:rFonts w:eastAsia="楷体_GB2312"/>
                <w:kern w:val="0"/>
                <w:szCs w:val="21"/>
              </w:rPr>
            </w:pPr>
            <w:r>
              <w:rPr>
                <w:rFonts w:hint="eastAsia" w:eastAsia="楷体_GB2312"/>
                <w:kern w:val="0"/>
                <w:szCs w:val="21"/>
              </w:rPr>
              <w:t>符离镇</w:t>
            </w:r>
          </w:p>
        </w:tc>
        <w:tc>
          <w:tcPr>
            <w:tcW w:w="0" w:type="auto"/>
            <w:noWrap w:val="0"/>
            <w:vAlign w:val="center"/>
          </w:tcPr>
          <w:p w14:paraId="7510345D">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6E6AD2E1">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1105" w:type="dxa"/>
            <w:noWrap w:val="0"/>
            <w:vAlign w:val="center"/>
          </w:tcPr>
          <w:p w14:paraId="3B34EE55">
            <w:pPr>
              <w:spacing w:before="100" w:beforeAutospacing="1" w:after="100" w:afterAutospacing="1" w:line="240" w:lineRule="atLeast"/>
              <w:jc w:val="center"/>
              <w:rPr>
                <w:rFonts w:eastAsia="楷体_GB2312"/>
                <w:szCs w:val="21"/>
              </w:rPr>
            </w:pPr>
            <w:r>
              <w:rPr>
                <w:rFonts w:hint="eastAsia" w:eastAsia="楷体_GB2312"/>
                <w:szCs w:val="21"/>
              </w:rPr>
              <w:t>3</w:t>
            </w:r>
          </w:p>
        </w:tc>
        <w:tc>
          <w:tcPr>
            <w:tcW w:w="1081" w:type="dxa"/>
            <w:noWrap w:val="0"/>
            <w:vAlign w:val="center"/>
          </w:tcPr>
          <w:p w14:paraId="60FD6C80">
            <w:pPr>
              <w:jc w:val="center"/>
              <w:rPr>
                <w:rFonts w:ascii="宋体" w:hAnsi="宋体" w:cs="宋体"/>
                <w:color w:val="000000"/>
                <w:sz w:val="22"/>
                <w:szCs w:val="22"/>
              </w:rPr>
            </w:pPr>
            <w:r>
              <w:rPr>
                <w:rFonts w:hint="eastAsia"/>
                <w:color w:val="000000"/>
                <w:sz w:val="22"/>
                <w:szCs w:val="22"/>
              </w:rPr>
              <w:t>608</w:t>
            </w:r>
          </w:p>
        </w:tc>
        <w:tc>
          <w:tcPr>
            <w:tcW w:w="0" w:type="auto"/>
            <w:noWrap w:val="0"/>
            <w:vAlign w:val="center"/>
          </w:tcPr>
          <w:p w14:paraId="6F345832">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noWrap w:val="0"/>
            <w:vAlign w:val="center"/>
          </w:tcPr>
          <w:p w14:paraId="41304680">
            <w:pPr>
              <w:spacing w:before="100" w:beforeAutospacing="1" w:after="100" w:afterAutospacing="1" w:line="240" w:lineRule="atLeast"/>
              <w:jc w:val="center"/>
              <w:rPr>
                <w:rFonts w:eastAsia="楷体_GB2312"/>
                <w:szCs w:val="21"/>
              </w:rPr>
            </w:pPr>
            <w:r>
              <w:rPr>
                <w:rFonts w:hint="eastAsia" w:eastAsia="楷体_GB2312"/>
                <w:szCs w:val="21"/>
              </w:rPr>
              <w:t>3</w:t>
            </w:r>
          </w:p>
        </w:tc>
        <w:tc>
          <w:tcPr>
            <w:tcW w:w="0" w:type="auto"/>
            <w:noWrap w:val="0"/>
            <w:vAlign w:val="center"/>
          </w:tcPr>
          <w:p w14:paraId="04321A28">
            <w:pPr>
              <w:jc w:val="center"/>
              <w:rPr>
                <w:rFonts w:ascii="宋体" w:hAnsi="宋体" w:cs="宋体"/>
                <w:color w:val="000000"/>
                <w:sz w:val="22"/>
                <w:szCs w:val="22"/>
              </w:rPr>
            </w:pPr>
            <w:r>
              <w:rPr>
                <w:rFonts w:hint="eastAsia"/>
                <w:color w:val="000000"/>
                <w:sz w:val="22"/>
                <w:szCs w:val="22"/>
              </w:rPr>
              <w:t>456</w:t>
            </w:r>
          </w:p>
        </w:tc>
      </w:tr>
      <w:tr w14:paraId="4F010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45ABB14">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B624957">
            <w:pPr>
              <w:spacing w:before="100" w:beforeAutospacing="1" w:after="100" w:afterAutospacing="1" w:line="240" w:lineRule="atLeast"/>
              <w:jc w:val="center"/>
              <w:rPr>
                <w:rFonts w:eastAsia="楷体_GB2312"/>
                <w:kern w:val="0"/>
                <w:szCs w:val="21"/>
              </w:rPr>
            </w:pPr>
          </w:p>
        </w:tc>
        <w:tc>
          <w:tcPr>
            <w:tcW w:w="0" w:type="auto"/>
            <w:noWrap w:val="0"/>
            <w:vAlign w:val="center"/>
          </w:tcPr>
          <w:p w14:paraId="50BCAC35">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44F6C52E">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1105" w:type="dxa"/>
            <w:noWrap w:val="0"/>
            <w:vAlign w:val="center"/>
          </w:tcPr>
          <w:p w14:paraId="3C483CEC">
            <w:pPr>
              <w:spacing w:before="100" w:beforeAutospacing="1" w:after="100" w:afterAutospacing="1" w:line="240" w:lineRule="atLeast"/>
              <w:jc w:val="center"/>
              <w:rPr>
                <w:rFonts w:eastAsia="楷体_GB2312"/>
                <w:szCs w:val="21"/>
              </w:rPr>
            </w:pPr>
            <w:r>
              <w:rPr>
                <w:rFonts w:hint="eastAsia" w:eastAsia="楷体_GB2312"/>
                <w:szCs w:val="21"/>
              </w:rPr>
              <w:t>2</w:t>
            </w:r>
          </w:p>
        </w:tc>
        <w:tc>
          <w:tcPr>
            <w:tcW w:w="1081" w:type="dxa"/>
            <w:noWrap w:val="0"/>
            <w:vAlign w:val="center"/>
          </w:tcPr>
          <w:p w14:paraId="7864970C">
            <w:pPr>
              <w:jc w:val="center"/>
              <w:rPr>
                <w:rFonts w:ascii="宋体" w:hAnsi="宋体" w:cs="宋体"/>
                <w:color w:val="000000"/>
                <w:sz w:val="22"/>
                <w:szCs w:val="22"/>
              </w:rPr>
            </w:pPr>
            <w:r>
              <w:rPr>
                <w:rFonts w:hint="eastAsia"/>
                <w:color w:val="000000"/>
                <w:sz w:val="22"/>
                <w:szCs w:val="22"/>
              </w:rPr>
              <w:t>520</w:t>
            </w:r>
          </w:p>
        </w:tc>
        <w:tc>
          <w:tcPr>
            <w:tcW w:w="0" w:type="auto"/>
            <w:noWrap w:val="0"/>
            <w:vAlign w:val="center"/>
          </w:tcPr>
          <w:p w14:paraId="2795017A">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1FC40656">
            <w:pPr>
              <w:spacing w:before="100" w:beforeAutospacing="1" w:after="100" w:afterAutospacing="1" w:line="240" w:lineRule="atLeast"/>
              <w:jc w:val="center"/>
              <w:rPr>
                <w:rFonts w:eastAsia="楷体_GB2312"/>
                <w:szCs w:val="21"/>
              </w:rPr>
            </w:pPr>
            <w:r>
              <w:rPr>
                <w:rFonts w:hint="eastAsia" w:eastAsia="楷体_GB2312"/>
                <w:szCs w:val="21"/>
              </w:rPr>
              <w:t>2</w:t>
            </w:r>
          </w:p>
        </w:tc>
        <w:tc>
          <w:tcPr>
            <w:tcW w:w="0" w:type="auto"/>
            <w:noWrap w:val="0"/>
            <w:vAlign w:val="center"/>
          </w:tcPr>
          <w:p w14:paraId="7BCAE8DD">
            <w:pPr>
              <w:jc w:val="center"/>
              <w:rPr>
                <w:rFonts w:ascii="宋体" w:hAnsi="宋体" w:cs="宋体"/>
                <w:color w:val="000000"/>
                <w:sz w:val="22"/>
                <w:szCs w:val="22"/>
              </w:rPr>
            </w:pPr>
            <w:r>
              <w:rPr>
                <w:rFonts w:hint="eastAsia"/>
                <w:color w:val="000000"/>
                <w:sz w:val="22"/>
                <w:szCs w:val="22"/>
              </w:rPr>
              <w:t>359</w:t>
            </w:r>
          </w:p>
        </w:tc>
      </w:tr>
      <w:tr w14:paraId="7221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62C9378">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CADC299">
            <w:pPr>
              <w:spacing w:before="100" w:beforeAutospacing="1" w:after="100" w:afterAutospacing="1" w:line="240" w:lineRule="atLeast"/>
              <w:jc w:val="center"/>
              <w:rPr>
                <w:rFonts w:eastAsia="楷体_GB2312"/>
                <w:kern w:val="0"/>
                <w:szCs w:val="21"/>
              </w:rPr>
            </w:pPr>
          </w:p>
        </w:tc>
        <w:tc>
          <w:tcPr>
            <w:tcW w:w="0" w:type="auto"/>
            <w:noWrap w:val="0"/>
            <w:vAlign w:val="center"/>
          </w:tcPr>
          <w:p w14:paraId="34FAFDD2">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56F6C877">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1105" w:type="dxa"/>
            <w:noWrap w:val="0"/>
            <w:vAlign w:val="center"/>
          </w:tcPr>
          <w:p w14:paraId="1CBC34D2">
            <w:pPr>
              <w:spacing w:before="100" w:beforeAutospacing="1" w:after="100" w:afterAutospacing="1" w:line="240" w:lineRule="atLeast"/>
              <w:jc w:val="center"/>
              <w:rPr>
                <w:rFonts w:eastAsia="楷体_GB2312"/>
                <w:szCs w:val="21"/>
              </w:rPr>
            </w:pPr>
            <w:r>
              <w:rPr>
                <w:rFonts w:hint="eastAsia" w:eastAsia="楷体_GB2312"/>
                <w:szCs w:val="21"/>
              </w:rPr>
              <w:t>1</w:t>
            </w:r>
          </w:p>
        </w:tc>
        <w:tc>
          <w:tcPr>
            <w:tcW w:w="1081" w:type="dxa"/>
            <w:noWrap w:val="0"/>
            <w:vAlign w:val="center"/>
          </w:tcPr>
          <w:p w14:paraId="14F72F3C">
            <w:pPr>
              <w:jc w:val="center"/>
              <w:rPr>
                <w:rFonts w:ascii="宋体" w:hAnsi="宋体" w:cs="宋体"/>
                <w:color w:val="000000"/>
                <w:sz w:val="22"/>
                <w:szCs w:val="22"/>
              </w:rPr>
            </w:pPr>
            <w:r>
              <w:rPr>
                <w:rFonts w:hint="eastAsia"/>
                <w:color w:val="000000"/>
                <w:sz w:val="22"/>
                <w:szCs w:val="22"/>
              </w:rPr>
              <w:t>412</w:t>
            </w:r>
          </w:p>
        </w:tc>
        <w:tc>
          <w:tcPr>
            <w:tcW w:w="0" w:type="auto"/>
            <w:noWrap w:val="0"/>
            <w:vAlign w:val="center"/>
          </w:tcPr>
          <w:p w14:paraId="72B52C04">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0" w:type="auto"/>
            <w:noWrap w:val="0"/>
            <w:vAlign w:val="center"/>
          </w:tcPr>
          <w:p w14:paraId="4712D2A2">
            <w:pPr>
              <w:spacing w:before="100" w:beforeAutospacing="1" w:after="100" w:afterAutospacing="1" w:line="240" w:lineRule="atLeast"/>
              <w:jc w:val="center"/>
              <w:rPr>
                <w:rFonts w:eastAsia="楷体_GB2312"/>
                <w:szCs w:val="21"/>
              </w:rPr>
            </w:pPr>
            <w:r>
              <w:rPr>
                <w:rFonts w:hint="eastAsia" w:eastAsia="楷体_GB2312"/>
                <w:szCs w:val="21"/>
              </w:rPr>
              <w:t>1</w:t>
            </w:r>
          </w:p>
        </w:tc>
        <w:tc>
          <w:tcPr>
            <w:tcW w:w="0" w:type="auto"/>
            <w:noWrap w:val="0"/>
            <w:vAlign w:val="center"/>
          </w:tcPr>
          <w:p w14:paraId="0C55D352">
            <w:pPr>
              <w:jc w:val="center"/>
              <w:rPr>
                <w:rFonts w:ascii="宋体" w:hAnsi="宋体" w:cs="宋体"/>
                <w:color w:val="000000"/>
                <w:sz w:val="22"/>
                <w:szCs w:val="22"/>
              </w:rPr>
            </w:pPr>
            <w:r>
              <w:rPr>
                <w:rFonts w:hint="eastAsia"/>
                <w:color w:val="000000"/>
                <w:sz w:val="22"/>
                <w:szCs w:val="22"/>
              </w:rPr>
              <w:t>302</w:t>
            </w:r>
          </w:p>
        </w:tc>
      </w:tr>
      <w:tr w14:paraId="3E9DF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7764B816">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vMerge w:val="restart"/>
            <w:noWrap w:val="0"/>
            <w:vAlign w:val="center"/>
          </w:tcPr>
          <w:p w14:paraId="6A29B0FA">
            <w:pPr>
              <w:spacing w:before="100" w:beforeAutospacing="1" w:after="100" w:afterAutospacing="1" w:line="240" w:lineRule="atLeast"/>
              <w:jc w:val="center"/>
              <w:rPr>
                <w:rFonts w:eastAsia="楷体_GB2312"/>
                <w:kern w:val="0"/>
                <w:szCs w:val="21"/>
              </w:rPr>
            </w:pPr>
            <w:r>
              <w:rPr>
                <w:rFonts w:hint="eastAsia" w:eastAsia="楷体_GB2312"/>
                <w:kern w:val="0"/>
                <w:szCs w:val="21"/>
              </w:rPr>
              <w:t>朱仙庄镇</w:t>
            </w:r>
          </w:p>
        </w:tc>
        <w:tc>
          <w:tcPr>
            <w:tcW w:w="0" w:type="auto"/>
            <w:noWrap w:val="0"/>
            <w:vAlign w:val="center"/>
          </w:tcPr>
          <w:p w14:paraId="272D5EF9">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6E036BFF">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1105" w:type="dxa"/>
            <w:noWrap w:val="0"/>
            <w:vAlign w:val="center"/>
          </w:tcPr>
          <w:p w14:paraId="2B0EB14D">
            <w:pPr>
              <w:spacing w:before="100" w:beforeAutospacing="1" w:after="100" w:afterAutospacing="1" w:line="240" w:lineRule="atLeast"/>
              <w:jc w:val="center"/>
              <w:rPr>
                <w:szCs w:val="21"/>
              </w:rPr>
            </w:pPr>
            <w:r>
              <w:rPr>
                <w:rFonts w:hint="eastAsia"/>
                <w:szCs w:val="21"/>
              </w:rPr>
              <w:t>3</w:t>
            </w:r>
          </w:p>
        </w:tc>
        <w:tc>
          <w:tcPr>
            <w:tcW w:w="1081" w:type="dxa"/>
            <w:noWrap w:val="0"/>
            <w:vAlign w:val="center"/>
          </w:tcPr>
          <w:p w14:paraId="0D1EC4B8">
            <w:pPr>
              <w:jc w:val="center"/>
              <w:rPr>
                <w:rFonts w:ascii="宋体" w:hAnsi="宋体" w:cs="宋体"/>
                <w:color w:val="000000"/>
                <w:sz w:val="22"/>
                <w:szCs w:val="22"/>
              </w:rPr>
            </w:pPr>
            <w:r>
              <w:rPr>
                <w:rFonts w:hint="eastAsia"/>
                <w:color w:val="000000"/>
                <w:sz w:val="22"/>
                <w:szCs w:val="22"/>
              </w:rPr>
              <w:t>595</w:t>
            </w:r>
          </w:p>
        </w:tc>
        <w:tc>
          <w:tcPr>
            <w:tcW w:w="0" w:type="auto"/>
            <w:noWrap w:val="0"/>
            <w:vAlign w:val="center"/>
          </w:tcPr>
          <w:p w14:paraId="49D2B9E0">
            <w:pPr>
              <w:spacing w:before="100" w:beforeAutospacing="1" w:after="100" w:afterAutospacing="1" w:line="240" w:lineRule="atLeast"/>
              <w:jc w:val="center"/>
              <w:rPr>
                <w:rFonts w:eastAsia="楷体_GB2312"/>
                <w:kern w:val="0"/>
                <w:szCs w:val="21"/>
              </w:rPr>
            </w:pPr>
            <w:r>
              <w:rPr>
                <w:rFonts w:hint="eastAsia" w:eastAsia="楷体_GB2312"/>
                <w:kern w:val="0"/>
                <w:szCs w:val="21"/>
              </w:rPr>
              <w:t>13</w:t>
            </w:r>
          </w:p>
        </w:tc>
        <w:tc>
          <w:tcPr>
            <w:tcW w:w="0" w:type="auto"/>
            <w:noWrap w:val="0"/>
            <w:vAlign w:val="center"/>
          </w:tcPr>
          <w:p w14:paraId="4B56795D">
            <w:pPr>
              <w:spacing w:before="100" w:beforeAutospacing="1" w:after="100" w:afterAutospacing="1" w:line="240" w:lineRule="atLeast"/>
              <w:jc w:val="center"/>
              <w:rPr>
                <w:szCs w:val="21"/>
              </w:rPr>
            </w:pPr>
            <w:r>
              <w:rPr>
                <w:rFonts w:hint="eastAsia"/>
                <w:szCs w:val="21"/>
              </w:rPr>
              <w:t>3</w:t>
            </w:r>
          </w:p>
        </w:tc>
        <w:tc>
          <w:tcPr>
            <w:tcW w:w="0" w:type="auto"/>
            <w:noWrap w:val="0"/>
            <w:vAlign w:val="center"/>
          </w:tcPr>
          <w:p w14:paraId="6143468B">
            <w:pPr>
              <w:jc w:val="center"/>
              <w:rPr>
                <w:rFonts w:ascii="宋体" w:hAnsi="宋体" w:cs="宋体"/>
                <w:color w:val="000000"/>
                <w:sz w:val="22"/>
                <w:szCs w:val="22"/>
              </w:rPr>
            </w:pPr>
            <w:r>
              <w:rPr>
                <w:rFonts w:hint="eastAsia"/>
                <w:color w:val="000000"/>
                <w:sz w:val="22"/>
                <w:szCs w:val="22"/>
              </w:rPr>
              <w:t>432</w:t>
            </w:r>
          </w:p>
        </w:tc>
      </w:tr>
      <w:tr w14:paraId="2AE1E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FBD01C0">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7F26772B">
            <w:pPr>
              <w:spacing w:before="100" w:beforeAutospacing="1" w:after="100" w:afterAutospacing="1" w:line="240" w:lineRule="atLeast"/>
              <w:jc w:val="center"/>
              <w:rPr>
                <w:rFonts w:eastAsia="楷体_GB2312"/>
                <w:kern w:val="0"/>
                <w:szCs w:val="21"/>
              </w:rPr>
            </w:pPr>
          </w:p>
        </w:tc>
        <w:tc>
          <w:tcPr>
            <w:tcW w:w="0" w:type="auto"/>
            <w:noWrap w:val="0"/>
            <w:vAlign w:val="center"/>
          </w:tcPr>
          <w:p w14:paraId="363F43A1">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4CA95640">
            <w:pPr>
              <w:spacing w:before="100" w:beforeAutospacing="1" w:after="100" w:afterAutospacing="1" w:line="240" w:lineRule="atLeast"/>
              <w:jc w:val="center"/>
              <w:rPr>
                <w:rFonts w:eastAsia="楷体_GB2312"/>
                <w:kern w:val="0"/>
                <w:szCs w:val="21"/>
              </w:rPr>
            </w:pPr>
            <w:r>
              <w:rPr>
                <w:rFonts w:hint="eastAsia" w:eastAsia="楷体_GB2312"/>
                <w:kern w:val="0"/>
                <w:szCs w:val="21"/>
              </w:rPr>
              <w:t>9</w:t>
            </w:r>
          </w:p>
        </w:tc>
        <w:tc>
          <w:tcPr>
            <w:tcW w:w="1105" w:type="dxa"/>
            <w:noWrap w:val="0"/>
            <w:vAlign w:val="center"/>
          </w:tcPr>
          <w:p w14:paraId="2CBA4BE7">
            <w:pPr>
              <w:spacing w:before="100" w:beforeAutospacing="1" w:after="100" w:afterAutospacing="1" w:line="240" w:lineRule="atLeast"/>
              <w:jc w:val="center"/>
              <w:rPr>
                <w:szCs w:val="21"/>
              </w:rPr>
            </w:pPr>
            <w:r>
              <w:rPr>
                <w:rFonts w:hint="eastAsia"/>
                <w:szCs w:val="21"/>
              </w:rPr>
              <w:t>2</w:t>
            </w:r>
          </w:p>
        </w:tc>
        <w:tc>
          <w:tcPr>
            <w:tcW w:w="1081" w:type="dxa"/>
            <w:noWrap w:val="0"/>
            <w:vAlign w:val="center"/>
          </w:tcPr>
          <w:p w14:paraId="0EBC533C">
            <w:pPr>
              <w:jc w:val="center"/>
              <w:rPr>
                <w:rFonts w:ascii="宋体" w:hAnsi="宋体" w:cs="宋体"/>
                <w:color w:val="000000"/>
                <w:sz w:val="22"/>
                <w:szCs w:val="22"/>
              </w:rPr>
            </w:pPr>
            <w:r>
              <w:rPr>
                <w:rFonts w:hint="eastAsia"/>
                <w:color w:val="000000"/>
                <w:sz w:val="22"/>
                <w:szCs w:val="22"/>
              </w:rPr>
              <w:t>478</w:t>
            </w:r>
          </w:p>
        </w:tc>
        <w:tc>
          <w:tcPr>
            <w:tcW w:w="0" w:type="auto"/>
            <w:noWrap w:val="0"/>
            <w:vAlign w:val="center"/>
          </w:tcPr>
          <w:p w14:paraId="1EA76E5F">
            <w:pPr>
              <w:spacing w:before="100" w:beforeAutospacing="1" w:after="100" w:afterAutospacing="1" w:line="240" w:lineRule="atLeast"/>
              <w:jc w:val="center"/>
              <w:rPr>
                <w:rFonts w:eastAsia="楷体_GB2312"/>
                <w:kern w:val="0"/>
                <w:szCs w:val="21"/>
              </w:rPr>
            </w:pPr>
            <w:r>
              <w:rPr>
                <w:rFonts w:hint="eastAsia" w:eastAsia="楷体_GB2312"/>
                <w:kern w:val="0"/>
                <w:szCs w:val="21"/>
              </w:rPr>
              <w:t>11</w:t>
            </w:r>
          </w:p>
        </w:tc>
        <w:tc>
          <w:tcPr>
            <w:tcW w:w="0" w:type="auto"/>
            <w:noWrap w:val="0"/>
            <w:vAlign w:val="center"/>
          </w:tcPr>
          <w:p w14:paraId="104BEDB6">
            <w:pPr>
              <w:spacing w:before="100" w:beforeAutospacing="1" w:after="100" w:afterAutospacing="1" w:line="240" w:lineRule="atLeast"/>
              <w:jc w:val="center"/>
              <w:rPr>
                <w:szCs w:val="21"/>
              </w:rPr>
            </w:pPr>
            <w:r>
              <w:rPr>
                <w:rFonts w:hint="eastAsia"/>
                <w:szCs w:val="21"/>
              </w:rPr>
              <w:t>2</w:t>
            </w:r>
          </w:p>
        </w:tc>
        <w:tc>
          <w:tcPr>
            <w:tcW w:w="0" w:type="auto"/>
            <w:noWrap w:val="0"/>
            <w:vAlign w:val="center"/>
          </w:tcPr>
          <w:p w14:paraId="49C82AC9">
            <w:pPr>
              <w:jc w:val="center"/>
              <w:rPr>
                <w:rFonts w:ascii="宋体" w:hAnsi="宋体" w:cs="宋体"/>
                <w:color w:val="000000"/>
                <w:sz w:val="22"/>
                <w:szCs w:val="22"/>
              </w:rPr>
            </w:pPr>
            <w:r>
              <w:rPr>
                <w:rFonts w:hint="eastAsia"/>
                <w:color w:val="000000"/>
                <w:sz w:val="22"/>
                <w:szCs w:val="22"/>
              </w:rPr>
              <w:t>319</w:t>
            </w:r>
          </w:p>
        </w:tc>
      </w:tr>
      <w:tr w14:paraId="74D4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41CBE28">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30BCA94E">
            <w:pPr>
              <w:spacing w:before="100" w:beforeAutospacing="1" w:after="100" w:afterAutospacing="1" w:line="240" w:lineRule="atLeast"/>
              <w:jc w:val="center"/>
              <w:rPr>
                <w:rFonts w:eastAsia="楷体_GB2312"/>
                <w:kern w:val="0"/>
                <w:szCs w:val="21"/>
              </w:rPr>
            </w:pPr>
          </w:p>
        </w:tc>
        <w:tc>
          <w:tcPr>
            <w:tcW w:w="0" w:type="auto"/>
            <w:noWrap w:val="0"/>
            <w:vAlign w:val="center"/>
          </w:tcPr>
          <w:p w14:paraId="0C42CEBE">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6955DF16">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1105" w:type="dxa"/>
            <w:noWrap w:val="0"/>
            <w:vAlign w:val="center"/>
          </w:tcPr>
          <w:p w14:paraId="4D36EABE">
            <w:pPr>
              <w:spacing w:before="100" w:beforeAutospacing="1" w:after="100" w:afterAutospacing="1" w:line="240" w:lineRule="atLeast"/>
              <w:jc w:val="center"/>
              <w:rPr>
                <w:szCs w:val="21"/>
              </w:rPr>
            </w:pPr>
            <w:r>
              <w:rPr>
                <w:rFonts w:hint="eastAsia"/>
                <w:szCs w:val="21"/>
              </w:rPr>
              <w:t>1</w:t>
            </w:r>
          </w:p>
        </w:tc>
        <w:tc>
          <w:tcPr>
            <w:tcW w:w="1081" w:type="dxa"/>
            <w:noWrap w:val="0"/>
            <w:vAlign w:val="center"/>
          </w:tcPr>
          <w:p w14:paraId="297DB6A2">
            <w:pPr>
              <w:jc w:val="center"/>
              <w:rPr>
                <w:rFonts w:ascii="宋体" w:hAnsi="宋体" w:cs="宋体"/>
                <w:color w:val="000000"/>
                <w:sz w:val="22"/>
                <w:szCs w:val="22"/>
              </w:rPr>
            </w:pPr>
            <w:r>
              <w:rPr>
                <w:rFonts w:hint="eastAsia"/>
                <w:color w:val="000000"/>
                <w:sz w:val="22"/>
                <w:szCs w:val="22"/>
              </w:rPr>
              <w:t>374</w:t>
            </w:r>
          </w:p>
        </w:tc>
        <w:tc>
          <w:tcPr>
            <w:tcW w:w="0" w:type="auto"/>
            <w:noWrap w:val="0"/>
            <w:vAlign w:val="center"/>
          </w:tcPr>
          <w:p w14:paraId="0D0C0EAC">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0" w:type="auto"/>
            <w:noWrap w:val="0"/>
            <w:vAlign w:val="center"/>
          </w:tcPr>
          <w:p w14:paraId="76894CE2">
            <w:pPr>
              <w:spacing w:before="100" w:beforeAutospacing="1" w:after="100" w:afterAutospacing="1" w:line="240" w:lineRule="atLeast"/>
              <w:jc w:val="center"/>
              <w:rPr>
                <w:szCs w:val="21"/>
              </w:rPr>
            </w:pPr>
            <w:r>
              <w:rPr>
                <w:rFonts w:hint="eastAsia"/>
                <w:szCs w:val="21"/>
              </w:rPr>
              <w:t>1</w:t>
            </w:r>
          </w:p>
        </w:tc>
        <w:tc>
          <w:tcPr>
            <w:tcW w:w="0" w:type="auto"/>
            <w:noWrap w:val="0"/>
            <w:vAlign w:val="center"/>
          </w:tcPr>
          <w:p w14:paraId="5554612B">
            <w:pPr>
              <w:jc w:val="center"/>
              <w:rPr>
                <w:rFonts w:ascii="宋体" w:hAnsi="宋体" w:cs="宋体"/>
                <w:color w:val="000000"/>
                <w:sz w:val="22"/>
                <w:szCs w:val="22"/>
              </w:rPr>
            </w:pPr>
            <w:r>
              <w:rPr>
                <w:rFonts w:hint="eastAsia"/>
                <w:color w:val="000000"/>
                <w:sz w:val="22"/>
                <w:szCs w:val="22"/>
              </w:rPr>
              <w:t>230</w:t>
            </w:r>
          </w:p>
        </w:tc>
      </w:tr>
      <w:tr w14:paraId="2D3FA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03BFFE80">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vMerge w:val="restart"/>
            <w:noWrap w:val="0"/>
            <w:vAlign w:val="center"/>
          </w:tcPr>
          <w:p w14:paraId="3685D8E5">
            <w:pPr>
              <w:spacing w:before="100" w:beforeAutospacing="1" w:after="100" w:afterAutospacing="1" w:line="240" w:lineRule="atLeast"/>
              <w:jc w:val="center"/>
              <w:rPr>
                <w:rFonts w:eastAsia="楷体_GB2312"/>
                <w:kern w:val="0"/>
                <w:szCs w:val="21"/>
              </w:rPr>
            </w:pPr>
            <w:r>
              <w:rPr>
                <w:rFonts w:hint="eastAsia" w:eastAsia="楷体_GB2312"/>
                <w:kern w:val="0"/>
                <w:szCs w:val="21"/>
              </w:rPr>
              <w:t>蕲县镇</w:t>
            </w:r>
          </w:p>
        </w:tc>
        <w:tc>
          <w:tcPr>
            <w:tcW w:w="0" w:type="auto"/>
            <w:noWrap w:val="0"/>
            <w:vAlign w:val="center"/>
          </w:tcPr>
          <w:p w14:paraId="06ABF57D">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0BF96D32">
            <w:pPr>
              <w:spacing w:before="100" w:beforeAutospacing="1" w:after="100" w:afterAutospacing="1" w:line="240" w:lineRule="atLeast"/>
              <w:jc w:val="center"/>
              <w:rPr>
                <w:rFonts w:eastAsia="楷体_GB2312"/>
                <w:kern w:val="0"/>
                <w:szCs w:val="21"/>
              </w:rPr>
            </w:pPr>
            <w:r>
              <w:rPr>
                <w:rFonts w:hint="eastAsia" w:eastAsia="楷体_GB2312"/>
                <w:kern w:val="0"/>
                <w:szCs w:val="21"/>
              </w:rPr>
              <w:t>18</w:t>
            </w:r>
          </w:p>
        </w:tc>
        <w:tc>
          <w:tcPr>
            <w:tcW w:w="1105" w:type="dxa"/>
            <w:noWrap w:val="0"/>
            <w:vAlign w:val="center"/>
          </w:tcPr>
          <w:p w14:paraId="26E96E87">
            <w:pPr>
              <w:spacing w:before="100" w:beforeAutospacing="1" w:after="100" w:afterAutospacing="1" w:line="240" w:lineRule="atLeast"/>
              <w:jc w:val="center"/>
              <w:rPr>
                <w:rFonts w:eastAsia="楷体_GB2312"/>
                <w:szCs w:val="21"/>
              </w:rPr>
            </w:pPr>
            <w:r>
              <w:rPr>
                <w:rFonts w:hint="eastAsia" w:eastAsia="楷体_GB2312"/>
                <w:szCs w:val="21"/>
              </w:rPr>
              <w:t>3</w:t>
            </w:r>
          </w:p>
        </w:tc>
        <w:tc>
          <w:tcPr>
            <w:tcW w:w="1081" w:type="dxa"/>
            <w:noWrap w:val="0"/>
            <w:vAlign w:val="center"/>
          </w:tcPr>
          <w:p w14:paraId="26410E9A">
            <w:pPr>
              <w:jc w:val="center"/>
              <w:rPr>
                <w:rFonts w:ascii="宋体" w:hAnsi="宋体" w:cs="宋体"/>
                <w:color w:val="000000"/>
                <w:sz w:val="22"/>
                <w:szCs w:val="22"/>
              </w:rPr>
            </w:pPr>
            <w:r>
              <w:rPr>
                <w:rFonts w:hint="eastAsia"/>
                <w:color w:val="000000"/>
                <w:sz w:val="22"/>
                <w:szCs w:val="22"/>
              </w:rPr>
              <w:t>563</w:t>
            </w:r>
          </w:p>
        </w:tc>
        <w:tc>
          <w:tcPr>
            <w:tcW w:w="0" w:type="auto"/>
            <w:noWrap w:val="0"/>
            <w:vAlign w:val="center"/>
          </w:tcPr>
          <w:p w14:paraId="60A144EC">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765F1EBE">
            <w:pPr>
              <w:spacing w:before="100" w:beforeAutospacing="1" w:after="100" w:afterAutospacing="1" w:line="240" w:lineRule="atLeast"/>
              <w:jc w:val="center"/>
              <w:rPr>
                <w:rFonts w:eastAsia="楷体_GB2312"/>
                <w:szCs w:val="21"/>
              </w:rPr>
            </w:pPr>
            <w:r>
              <w:rPr>
                <w:rFonts w:hint="eastAsia" w:eastAsia="楷体_GB2312"/>
                <w:szCs w:val="21"/>
              </w:rPr>
              <w:t>3</w:t>
            </w:r>
          </w:p>
        </w:tc>
        <w:tc>
          <w:tcPr>
            <w:tcW w:w="0" w:type="auto"/>
            <w:noWrap w:val="0"/>
            <w:vAlign w:val="center"/>
          </w:tcPr>
          <w:p w14:paraId="4373CCE7">
            <w:pPr>
              <w:jc w:val="center"/>
              <w:rPr>
                <w:rFonts w:ascii="宋体" w:hAnsi="宋体" w:cs="宋体"/>
                <w:color w:val="000000"/>
                <w:sz w:val="22"/>
                <w:szCs w:val="22"/>
              </w:rPr>
            </w:pPr>
            <w:r>
              <w:rPr>
                <w:rFonts w:hint="eastAsia"/>
                <w:color w:val="000000"/>
                <w:sz w:val="22"/>
                <w:szCs w:val="22"/>
              </w:rPr>
              <w:t>413</w:t>
            </w:r>
          </w:p>
        </w:tc>
      </w:tr>
      <w:tr w14:paraId="7E021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100BB28">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9B8EFFF">
            <w:pPr>
              <w:spacing w:before="100" w:beforeAutospacing="1" w:after="100" w:afterAutospacing="1" w:line="240" w:lineRule="atLeast"/>
              <w:jc w:val="center"/>
              <w:rPr>
                <w:rFonts w:eastAsia="楷体_GB2312"/>
                <w:kern w:val="0"/>
                <w:szCs w:val="21"/>
              </w:rPr>
            </w:pPr>
          </w:p>
        </w:tc>
        <w:tc>
          <w:tcPr>
            <w:tcW w:w="0" w:type="auto"/>
            <w:noWrap w:val="0"/>
            <w:vAlign w:val="center"/>
          </w:tcPr>
          <w:p w14:paraId="7AC92F1E">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49E163D6">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1105" w:type="dxa"/>
            <w:noWrap w:val="0"/>
            <w:vAlign w:val="center"/>
          </w:tcPr>
          <w:p w14:paraId="49590D52">
            <w:pPr>
              <w:spacing w:before="100" w:beforeAutospacing="1" w:after="100" w:afterAutospacing="1" w:line="240" w:lineRule="atLeast"/>
              <w:jc w:val="center"/>
              <w:rPr>
                <w:rFonts w:eastAsia="楷体_GB2312"/>
                <w:szCs w:val="21"/>
              </w:rPr>
            </w:pPr>
            <w:r>
              <w:rPr>
                <w:rFonts w:hint="eastAsia" w:eastAsia="楷体_GB2312"/>
                <w:szCs w:val="21"/>
              </w:rPr>
              <w:t>2</w:t>
            </w:r>
          </w:p>
        </w:tc>
        <w:tc>
          <w:tcPr>
            <w:tcW w:w="1081" w:type="dxa"/>
            <w:noWrap w:val="0"/>
            <w:vAlign w:val="center"/>
          </w:tcPr>
          <w:p w14:paraId="5B6B0595">
            <w:pPr>
              <w:jc w:val="center"/>
              <w:rPr>
                <w:rFonts w:ascii="宋体" w:hAnsi="宋体" w:cs="宋体"/>
                <w:color w:val="000000"/>
                <w:sz w:val="22"/>
                <w:szCs w:val="22"/>
              </w:rPr>
            </w:pPr>
            <w:r>
              <w:rPr>
                <w:rFonts w:hint="eastAsia"/>
                <w:color w:val="000000"/>
                <w:sz w:val="22"/>
                <w:szCs w:val="22"/>
              </w:rPr>
              <w:t>475</w:t>
            </w:r>
          </w:p>
        </w:tc>
        <w:tc>
          <w:tcPr>
            <w:tcW w:w="0" w:type="auto"/>
            <w:noWrap w:val="0"/>
            <w:vAlign w:val="center"/>
          </w:tcPr>
          <w:p w14:paraId="79D131D3">
            <w:pPr>
              <w:spacing w:before="100" w:beforeAutospacing="1" w:after="100" w:afterAutospacing="1" w:line="240" w:lineRule="atLeast"/>
              <w:jc w:val="center"/>
              <w:rPr>
                <w:rFonts w:eastAsia="楷体_GB2312"/>
                <w:kern w:val="0"/>
                <w:szCs w:val="21"/>
              </w:rPr>
            </w:pPr>
            <w:r>
              <w:rPr>
                <w:rFonts w:hint="eastAsia" w:eastAsia="楷体_GB2312"/>
                <w:kern w:val="0"/>
                <w:szCs w:val="21"/>
              </w:rPr>
              <w:t>9</w:t>
            </w:r>
          </w:p>
        </w:tc>
        <w:tc>
          <w:tcPr>
            <w:tcW w:w="0" w:type="auto"/>
            <w:noWrap w:val="0"/>
            <w:vAlign w:val="center"/>
          </w:tcPr>
          <w:p w14:paraId="217B5936">
            <w:pPr>
              <w:spacing w:before="100" w:beforeAutospacing="1" w:after="100" w:afterAutospacing="1" w:line="240" w:lineRule="atLeast"/>
              <w:jc w:val="center"/>
              <w:rPr>
                <w:rFonts w:eastAsia="楷体_GB2312"/>
                <w:szCs w:val="21"/>
              </w:rPr>
            </w:pPr>
            <w:r>
              <w:rPr>
                <w:rFonts w:hint="eastAsia" w:eastAsia="楷体_GB2312"/>
                <w:szCs w:val="21"/>
              </w:rPr>
              <w:t>2</w:t>
            </w:r>
          </w:p>
        </w:tc>
        <w:tc>
          <w:tcPr>
            <w:tcW w:w="0" w:type="auto"/>
            <w:noWrap w:val="0"/>
            <w:vAlign w:val="center"/>
          </w:tcPr>
          <w:p w14:paraId="6195FBF1">
            <w:pPr>
              <w:jc w:val="center"/>
              <w:rPr>
                <w:rFonts w:ascii="宋体" w:hAnsi="宋体" w:cs="宋体"/>
                <w:color w:val="000000"/>
                <w:sz w:val="22"/>
                <w:szCs w:val="22"/>
              </w:rPr>
            </w:pPr>
            <w:r>
              <w:rPr>
                <w:rFonts w:hint="eastAsia"/>
                <w:color w:val="000000"/>
                <w:sz w:val="22"/>
                <w:szCs w:val="22"/>
              </w:rPr>
              <w:t>326</w:t>
            </w:r>
          </w:p>
        </w:tc>
      </w:tr>
      <w:tr w14:paraId="51FBB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40F6023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66B8578">
            <w:pPr>
              <w:spacing w:before="100" w:beforeAutospacing="1" w:after="100" w:afterAutospacing="1" w:line="240" w:lineRule="atLeast"/>
              <w:jc w:val="center"/>
              <w:rPr>
                <w:rFonts w:eastAsia="楷体_GB2312"/>
                <w:kern w:val="0"/>
                <w:szCs w:val="21"/>
              </w:rPr>
            </w:pPr>
          </w:p>
        </w:tc>
        <w:tc>
          <w:tcPr>
            <w:tcW w:w="0" w:type="auto"/>
            <w:noWrap w:val="0"/>
            <w:vAlign w:val="center"/>
          </w:tcPr>
          <w:p w14:paraId="1BE46A0C">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5697B1D0">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1105" w:type="dxa"/>
            <w:noWrap w:val="0"/>
            <w:vAlign w:val="center"/>
          </w:tcPr>
          <w:p w14:paraId="639D95EA">
            <w:pPr>
              <w:spacing w:before="100" w:beforeAutospacing="1" w:after="100" w:afterAutospacing="1" w:line="240" w:lineRule="atLeast"/>
              <w:jc w:val="center"/>
              <w:rPr>
                <w:rFonts w:eastAsia="楷体_GB2312"/>
                <w:szCs w:val="21"/>
              </w:rPr>
            </w:pPr>
            <w:r>
              <w:rPr>
                <w:rFonts w:hint="eastAsia" w:eastAsia="楷体_GB2312"/>
                <w:szCs w:val="21"/>
              </w:rPr>
              <w:t>1</w:t>
            </w:r>
          </w:p>
        </w:tc>
        <w:tc>
          <w:tcPr>
            <w:tcW w:w="1081" w:type="dxa"/>
            <w:noWrap w:val="0"/>
            <w:vAlign w:val="center"/>
          </w:tcPr>
          <w:p w14:paraId="41CB5E7F">
            <w:pPr>
              <w:jc w:val="center"/>
              <w:rPr>
                <w:rFonts w:ascii="宋体" w:hAnsi="宋体" w:cs="宋体"/>
                <w:color w:val="000000"/>
                <w:sz w:val="22"/>
                <w:szCs w:val="22"/>
              </w:rPr>
            </w:pPr>
            <w:r>
              <w:rPr>
                <w:rFonts w:hint="eastAsia"/>
                <w:color w:val="000000"/>
                <w:sz w:val="22"/>
                <w:szCs w:val="22"/>
              </w:rPr>
              <w:t>374</w:t>
            </w:r>
          </w:p>
        </w:tc>
        <w:tc>
          <w:tcPr>
            <w:tcW w:w="0" w:type="auto"/>
            <w:noWrap w:val="0"/>
            <w:vAlign w:val="center"/>
          </w:tcPr>
          <w:p w14:paraId="3219023F">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1C2AC102">
            <w:pPr>
              <w:spacing w:before="100" w:beforeAutospacing="1" w:after="100" w:afterAutospacing="1" w:line="240" w:lineRule="atLeast"/>
              <w:jc w:val="center"/>
              <w:rPr>
                <w:rFonts w:eastAsia="楷体_GB2312"/>
                <w:szCs w:val="21"/>
              </w:rPr>
            </w:pPr>
            <w:r>
              <w:rPr>
                <w:rFonts w:hint="eastAsia" w:eastAsia="楷体_GB2312"/>
                <w:szCs w:val="21"/>
              </w:rPr>
              <w:t>1</w:t>
            </w:r>
          </w:p>
        </w:tc>
        <w:tc>
          <w:tcPr>
            <w:tcW w:w="0" w:type="auto"/>
            <w:noWrap w:val="0"/>
            <w:vAlign w:val="center"/>
          </w:tcPr>
          <w:p w14:paraId="742D287C">
            <w:pPr>
              <w:jc w:val="center"/>
              <w:rPr>
                <w:rFonts w:ascii="宋体" w:hAnsi="宋体" w:cs="宋体"/>
                <w:color w:val="000000"/>
                <w:sz w:val="22"/>
                <w:szCs w:val="22"/>
              </w:rPr>
            </w:pPr>
            <w:r>
              <w:rPr>
                <w:rFonts w:hint="eastAsia"/>
                <w:color w:val="000000"/>
                <w:sz w:val="22"/>
                <w:szCs w:val="22"/>
              </w:rPr>
              <w:t>244</w:t>
            </w:r>
          </w:p>
        </w:tc>
      </w:tr>
      <w:tr w14:paraId="46AC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55B0F9F5">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vMerge w:val="restart"/>
            <w:noWrap w:val="0"/>
            <w:vAlign w:val="center"/>
          </w:tcPr>
          <w:p w14:paraId="32B43942">
            <w:pPr>
              <w:spacing w:before="100" w:beforeAutospacing="1" w:after="100" w:afterAutospacing="1" w:line="240" w:lineRule="atLeast"/>
              <w:jc w:val="center"/>
              <w:rPr>
                <w:rFonts w:eastAsia="楷体_GB2312"/>
                <w:kern w:val="0"/>
                <w:szCs w:val="21"/>
              </w:rPr>
            </w:pPr>
            <w:r>
              <w:rPr>
                <w:rFonts w:hint="eastAsia" w:eastAsia="楷体_GB2312"/>
                <w:kern w:val="0"/>
                <w:szCs w:val="21"/>
              </w:rPr>
              <w:t>芦岭镇</w:t>
            </w:r>
          </w:p>
        </w:tc>
        <w:tc>
          <w:tcPr>
            <w:tcW w:w="0" w:type="auto"/>
            <w:noWrap w:val="0"/>
            <w:vAlign w:val="center"/>
          </w:tcPr>
          <w:p w14:paraId="4193278F">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6D7E4631">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1105" w:type="dxa"/>
            <w:noWrap w:val="0"/>
            <w:vAlign w:val="center"/>
          </w:tcPr>
          <w:p w14:paraId="37FEB747">
            <w:pPr>
              <w:spacing w:before="100" w:beforeAutospacing="1" w:after="100" w:afterAutospacing="1" w:line="240" w:lineRule="atLeast"/>
              <w:jc w:val="center"/>
              <w:rPr>
                <w:szCs w:val="21"/>
              </w:rPr>
            </w:pPr>
            <w:r>
              <w:rPr>
                <w:rFonts w:hint="eastAsia"/>
                <w:szCs w:val="21"/>
              </w:rPr>
              <w:t>3</w:t>
            </w:r>
          </w:p>
        </w:tc>
        <w:tc>
          <w:tcPr>
            <w:tcW w:w="1081" w:type="dxa"/>
            <w:noWrap w:val="0"/>
            <w:vAlign w:val="center"/>
          </w:tcPr>
          <w:p w14:paraId="7E0DB090">
            <w:pPr>
              <w:jc w:val="center"/>
              <w:rPr>
                <w:rFonts w:ascii="宋体" w:hAnsi="宋体" w:cs="宋体"/>
                <w:color w:val="000000"/>
                <w:sz w:val="22"/>
                <w:szCs w:val="22"/>
              </w:rPr>
            </w:pPr>
            <w:r>
              <w:rPr>
                <w:rFonts w:hint="eastAsia"/>
                <w:color w:val="000000"/>
                <w:sz w:val="22"/>
                <w:szCs w:val="22"/>
              </w:rPr>
              <w:t>527</w:t>
            </w:r>
          </w:p>
        </w:tc>
        <w:tc>
          <w:tcPr>
            <w:tcW w:w="0" w:type="auto"/>
            <w:noWrap w:val="0"/>
            <w:vAlign w:val="center"/>
          </w:tcPr>
          <w:p w14:paraId="68323C94">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63310D1E">
            <w:pPr>
              <w:spacing w:before="100" w:beforeAutospacing="1" w:after="100" w:afterAutospacing="1" w:line="240" w:lineRule="atLeast"/>
              <w:jc w:val="center"/>
              <w:rPr>
                <w:szCs w:val="21"/>
              </w:rPr>
            </w:pPr>
            <w:r>
              <w:rPr>
                <w:rFonts w:hint="eastAsia"/>
                <w:szCs w:val="21"/>
              </w:rPr>
              <w:t>3</w:t>
            </w:r>
          </w:p>
        </w:tc>
        <w:tc>
          <w:tcPr>
            <w:tcW w:w="0" w:type="auto"/>
            <w:noWrap w:val="0"/>
            <w:vAlign w:val="center"/>
          </w:tcPr>
          <w:p w14:paraId="31ADA9BC">
            <w:pPr>
              <w:jc w:val="center"/>
              <w:rPr>
                <w:rFonts w:ascii="宋体" w:hAnsi="宋体" w:cs="宋体"/>
                <w:color w:val="000000"/>
                <w:sz w:val="22"/>
                <w:szCs w:val="22"/>
              </w:rPr>
            </w:pPr>
            <w:r>
              <w:rPr>
                <w:rFonts w:hint="eastAsia"/>
                <w:color w:val="000000"/>
                <w:sz w:val="22"/>
                <w:szCs w:val="22"/>
              </w:rPr>
              <w:t>398</w:t>
            </w:r>
          </w:p>
        </w:tc>
      </w:tr>
      <w:tr w14:paraId="3D170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C60159A">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7E3A0439">
            <w:pPr>
              <w:spacing w:before="100" w:beforeAutospacing="1" w:after="100" w:afterAutospacing="1" w:line="240" w:lineRule="atLeast"/>
              <w:jc w:val="center"/>
              <w:rPr>
                <w:rFonts w:eastAsia="楷体_GB2312"/>
                <w:kern w:val="0"/>
                <w:szCs w:val="21"/>
              </w:rPr>
            </w:pPr>
          </w:p>
        </w:tc>
        <w:tc>
          <w:tcPr>
            <w:tcW w:w="0" w:type="auto"/>
            <w:noWrap w:val="0"/>
            <w:vAlign w:val="center"/>
          </w:tcPr>
          <w:p w14:paraId="3A8E2F8B">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672A0F8E">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1105" w:type="dxa"/>
            <w:noWrap w:val="0"/>
            <w:vAlign w:val="center"/>
          </w:tcPr>
          <w:p w14:paraId="384A05C2">
            <w:pPr>
              <w:spacing w:before="100" w:beforeAutospacing="1" w:after="100" w:afterAutospacing="1" w:line="240" w:lineRule="atLeast"/>
              <w:jc w:val="center"/>
              <w:rPr>
                <w:szCs w:val="21"/>
              </w:rPr>
            </w:pPr>
            <w:r>
              <w:rPr>
                <w:rFonts w:hint="eastAsia"/>
                <w:szCs w:val="21"/>
              </w:rPr>
              <w:t>2</w:t>
            </w:r>
          </w:p>
        </w:tc>
        <w:tc>
          <w:tcPr>
            <w:tcW w:w="1081" w:type="dxa"/>
            <w:noWrap w:val="0"/>
            <w:vAlign w:val="center"/>
          </w:tcPr>
          <w:p w14:paraId="4FC9D4F0">
            <w:pPr>
              <w:jc w:val="center"/>
              <w:rPr>
                <w:rFonts w:ascii="宋体" w:hAnsi="宋体" w:cs="宋体"/>
                <w:color w:val="000000"/>
                <w:sz w:val="22"/>
                <w:szCs w:val="22"/>
              </w:rPr>
            </w:pPr>
            <w:r>
              <w:rPr>
                <w:rFonts w:hint="eastAsia"/>
                <w:color w:val="000000"/>
                <w:sz w:val="22"/>
                <w:szCs w:val="22"/>
              </w:rPr>
              <w:t>437</w:t>
            </w:r>
          </w:p>
        </w:tc>
        <w:tc>
          <w:tcPr>
            <w:tcW w:w="0" w:type="auto"/>
            <w:noWrap w:val="0"/>
            <w:vAlign w:val="center"/>
          </w:tcPr>
          <w:p w14:paraId="7D42465B">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79AC2218">
            <w:pPr>
              <w:spacing w:before="100" w:beforeAutospacing="1" w:after="100" w:afterAutospacing="1" w:line="240" w:lineRule="atLeast"/>
              <w:jc w:val="center"/>
              <w:rPr>
                <w:szCs w:val="21"/>
              </w:rPr>
            </w:pPr>
            <w:r>
              <w:rPr>
                <w:rFonts w:hint="eastAsia"/>
                <w:szCs w:val="21"/>
              </w:rPr>
              <w:t>2</w:t>
            </w:r>
          </w:p>
        </w:tc>
        <w:tc>
          <w:tcPr>
            <w:tcW w:w="0" w:type="auto"/>
            <w:noWrap w:val="0"/>
            <w:vAlign w:val="center"/>
          </w:tcPr>
          <w:p w14:paraId="2FBD4D2E">
            <w:pPr>
              <w:jc w:val="center"/>
              <w:rPr>
                <w:rFonts w:ascii="宋体" w:hAnsi="宋体" w:cs="宋体"/>
                <w:color w:val="000000"/>
                <w:sz w:val="22"/>
                <w:szCs w:val="22"/>
              </w:rPr>
            </w:pPr>
            <w:r>
              <w:rPr>
                <w:rFonts w:hint="eastAsia"/>
                <w:color w:val="000000"/>
                <w:sz w:val="22"/>
                <w:szCs w:val="22"/>
              </w:rPr>
              <w:t>290</w:t>
            </w:r>
          </w:p>
        </w:tc>
      </w:tr>
      <w:tr w14:paraId="5BEF4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91F116B">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4694E68">
            <w:pPr>
              <w:spacing w:before="100" w:beforeAutospacing="1" w:after="100" w:afterAutospacing="1" w:line="240" w:lineRule="atLeast"/>
              <w:jc w:val="center"/>
              <w:rPr>
                <w:rFonts w:eastAsia="楷体_GB2312"/>
                <w:kern w:val="0"/>
                <w:szCs w:val="21"/>
              </w:rPr>
            </w:pPr>
          </w:p>
        </w:tc>
        <w:tc>
          <w:tcPr>
            <w:tcW w:w="0" w:type="auto"/>
            <w:noWrap w:val="0"/>
            <w:vAlign w:val="center"/>
          </w:tcPr>
          <w:p w14:paraId="0D783386">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445F7401">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1105" w:type="dxa"/>
            <w:noWrap w:val="0"/>
            <w:vAlign w:val="center"/>
          </w:tcPr>
          <w:p w14:paraId="30A2946A">
            <w:pPr>
              <w:spacing w:before="100" w:beforeAutospacing="1" w:after="100" w:afterAutospacing="1" w:line="240" w:lineRule="atLeast"/>
              <w:jc w:val="center"/>
              <w:rPr>
                <w:szCs w:val="21"/>
              </w:rPr>
            </w:pPr>
            <w:r>
              <w:rPr>
                <w:rFonts w:hint="eastAsia"/>
                <w:szCs w:val="21"/>
              </w:rPr>
              <w:t>1</w:t>
            </w:r>
          </w:p>
        </w:tc>
        <w:tc>
          <w:tcPr>
            <w:tcW w:w="1081" w:type="dxa"/>
            <w:noWrap w:val="0"/>
            <w:vAlign w:val="center"/>
          </w:tcPr>
          <w:p w14:paraId="6CD40AEA">
            <w:pPr>
              <w:jc w:val="center"/>
              <w:rPr>
                <w:rFonts w:ascii="宋体" w:hAnsi="宋体" w:cs="宋体"/>
                <w:color w:val="000000"/>
                <w:sz w:val="22"/>
                <w:szCs w:val="22"/>
              </w:rPr>
            </w:pPr>
            <w:r>
              <w:rPr>
                <w:rFonts w:hint="eastAsia"/>
                <w:color w:val="000000"/>
                <w:sz w:val="22"/>
                <w:szCs w:val="22"/>
              </w:rPr>
              <w:t>385</w:t>
            </w:r>
          </w:p>
        </w:tc>
        <w:tc>
          <w:tcPr>
            <w:tcW w:w="0" w:type="auto"/>
            <w:noWrap w:val="0"/>
            <w:vAlign w:val="center"/>
          </w:tcPr>
          <w:p w14:paraId="18ED7F91">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24D6354C">
            <w:pPr>
              <w:spacing w:before="100" w:beforeAutospacing="1" w:after="100" w:afterAutospacing="1" w:line="240" w:lineRule="atLeast"/>
              <w:jc w:val="center"/>
              <w:rPr>
                <w:szCs w:val="21"/>
              </w:rPr>
            </w:pPr>
            <w:r>
              <w:rPr>
                <w:rFonts w:hint="eastAsia"/>
                <w:szCs w:val="21"/>
              </w:rPr>
              <w:t>1</w:t>
            </w:r>
          </w:p>
        </w:tc>
        <w:tc>
          <w:tcPr>
            <w:tcW w:w="0" w:type="auto"/>
            <w:noWrap w:val="0"/>
            <w:vAlign w:val="center"/>
          </w:tcPr>
          <w:p w14:paraId="00B32461">
            <w:pPr>
              <w:jc w:val="center"/>
              <w:rPr>
                <w:rFonts w:ascii="宋体" w:hAnsi="宋体" w:cs="宋体"/>
                <w:color w:val="000000"/>
                <w:sz w:val="22"/>
                <w:szCs w:val="22"/>
              </w:rPr>
            </w:pPr>
            <w:r>
              <w:rPr>
                <w:rFonts w:hint="eastAsia"/>
                <w:color w:val="000000"/>
                <w:sz w:val="22"/>
                <w:szCs w:val="22"/>
              </w:rPr>
              <w:t>223</w:t>
            </w:r>
          </w:p>
        </w:tc>
      </w:tr>
      <w:tr w14:paraId="2953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6AC09DB3">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vMerge w:val="restart"/>
            <w:noWrap w:val="0"/>
            <w:vAlign w:val="center"/>
          </w:tcPr>
          <w:p w14:paraId="68282A14">
            <w:pPr>
              <w:spacing w:before="100" w:beforeAutospacing="1" w:after="100" w:afterAutospacing="1" w:line="240" w:lineRule="atLeast"/>
              <w:jc w:val="center"/>
              <w:rPr>
                <w:rFonts w:eastAsia="楷体_GB2312"/>
                <w:kern w:val="0"/>
                <w:szCs w:val="21"/>
              </w:rPr>
            </w:pPr>
            <w:r>
              <w:rPr>
                <w:rFonts w:hint="eastAsia" w:eastAsia="楷体_GB2312"/>
                <w:kern w:val="0"/>
                <w:szCs w:val="21"/>
              </w:rPr>
              <w:t>大店镇</w:t>
            </w:r>
          </w:p>
        </w:tc>
        <w:tc>
          <w:tcPr>
            <w:tcW w:w="0" w:type="auto"/>
            <w:noWrap w:val="0"/>
            <w:vAlign w:val="center"/>
          </w:tcPr>
          <w:p w14:paraId="72B765C8">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36E583AE">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1105" w:type="dxa"/>
            <w:noWrap w:val="0"/>
            <w:vAlign w:val="center"/>
          </w:tcPr>
          <w:p w14:paraId="0F6D9F92">
            <w:pPr>
              <w:spacing w:before="100" w:beforeAutospacing="1" w:after="100" w:afterAutospacing="1" w:line="240" w:lineRule="atLeast"/>
              <w:jc w:val="center"/>
              <w:rPr>
                <w:rFonts w:eastAsia="楷体_GB2312"/>
                <w:szCs w:val="21"/>
              </w:rPr>
            </w:pPr>
            <w:r>
              <w:rPr>
                <w:rFonts w:hint="eastAsia" w:eastAsia="楷体_GB2312"/>
                <w:szCs w:val="21"/>
              </w:rPr>
              <w:t>3</w:t>
            </w:r>
          </w:p>
        </w:tc>
        <w:tc>
          <w:tcPr>
            <w:tcW w:w="1081" w:type="dxa"/>
            <w:noWrap w:val="0"/>
            <w:vAlign w:val="center"/>
          </w:tcPr>
          <w:p w14:paraId="7B1ACCC6">
            <w:pPr>
              <w:jc w:val="center"/>
              <w:rPr>
                <w:rFonts w:ascii="宋体" w:hAnsi="宋体" w:cs="宋体"/>
                <w:color w:val="000000"/>
                <w:sz w:val="22"/>
                <w:szCs w:val="22"/>
              </w:rPr>
            </w:pPr>
            <w:r>
              <w:rPr>
                <w:rFonts w:hint="eastAsia"/>
                <w:color w:val="000000"/>
                <w:sz w:val="22"/>
                <w:szCs w:val="22"/>
              </w:rPr>
              <w:t>556</w:t>
            </w:r>
          </w:p>
        </w:tc>
        <w:tc>
          <w:tcPr>
            <w:tcW w:w="0" w:type="auto"/>
            <w:noWrap w:val="0"/>
            <w:vAlign w:val="center"/>
          </w:tcPr>
          <w:p w14:paraId="56E3AC61">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035A2DDC">
            <w:pPr>
              <w:spacing w:before="100" w:beforeAutospacing="1" w:after="100" w:afterAutospacing="1" w:line="240" w:lineRule="atLeast"/>
              <w:jc w:val="center"/>
              <w:rPr>
                <w:rFonts w:eastAsia="楷体_GB2312"/>
                <w:szCs w:val="21"/>
              </w:rPr>
            </w:pPr>
            <w:r>
              <w:rPr>
                <w:rFonts w:hint="eastAsia" w:eastAsia="楷体_GB2312"/>
                <w:szCs w:val="21"/>
              </w:rPr>
              <w:t>3</w:t>
            </w:r>
          </w:p>
        </w:tc>
        <w:tc>
          <w:tcPr>
            <w:tcW w:w="0" w:type="auto"/>
            <w:noWrap w:val="0"/>
            <w:vAlign w:val="center"/>
          </w:tcPr>
          <w:p w14:paraId="5BC19151">
            <w:pPr>
              <w:jc w:val="center"/>
              <w:rPr>
                <w:rFonts w:ascii="宋体" w:hAnsi="宋体" w:cs="宋体"/>
                <w:color w:val="000000"/>
                <w:sz w:val="22"/>
                <w:szCs w:val="22"/>
              </w:rPr>
            </w:pPr>
            <w:r>
              <w:rPr>
                <w:rFonts w:hint="eastAsia"/>
                <w:color w:val="000000"/>
                <w:sz w:val="22"/>
                <w:szCs w:val="22"/>
              </w:rPr>
              <w:t>412</w:t>
            </w:r>
          </w:p>
        </w:tc>
      </w:tr>
      <w:tr w14:paraId="140CE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CB622C6">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7924AFA5">
            <w:pPr>
              <w:spacing w:before="100" w:beforeAutospacing="1" w:after="100" w:afterAutospacing="1" w:line="240" w:lineRule="atLeast"/>
              <w:jc w:val="center"/>
              <w:rPr>
                <w:rFonts w:eastAsia="楷体_GB2312"/>
                <w:kern w:val="0"/>
                <w:szCs w:val="21"/>
              </w:rPr>
            </w:pPr>
          </w:p>
        </w:tc>
        <w:tc>
          <w:tcPr>
            <w:tcW w:w="0" w:type="auto"/>
            <w:noWrap w:val="0"/>
            <w:vAlign w:val="center"/>
          </w:tcPr>
          <w:p w14:paraId="6A12143F">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57612066">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1105" w:type="dxa"/>
            <w:noWrap w:val="0"/>
            <w:vAlign w:val="center"/>
          </w:tcPr>
          <w:p w14:paraId="70ABC338">
            <w:pPr>
              <w:spacing w:before="100" w:beforeAutospacing="1" w:after="100" w:afterAutospacing="1" w:line="240" w:lineRule="atLeast"/>
              <w:jc w:val="center"/>
              <w:rPr>
                <w:rFonts w:eastAsia="楷体_GB2312"/>
                <w:szCs w:val="21"/>
              </w:rPr>
            </w:pPr>
            <w:r>
              <w:rPr>
                <w:rFonts w:hint="eastAsia" w:eastAsia="楷体_GB2312"/>
                <w:szCs w:val="21"/>
              </w:rPr>
              <w:t>2</w:t>
            </w:r>
          </w:p>
        </w:tc>
        <w:tc>
          <w:tcPr>
            <w:tcW w:w="1081" w:type="dxa"/>
            <w:noWrap w:val="0"/>
            <w:vAlign w:val="center"/>
          </w:tcPr>
          <w:p w14:paraId="3DD27583">
            <w:pPr>
              <w:jc w:val="center"/>
              <w:rPr>
                <w:rFonts w:ascii="宋体" w:hAnsi="宋体" w:cs="宋体"/>
                <w:color w:val="000000"/>
                <w:sz w:val="22"/>
                <w:szCs w:val="22"/>
              </w:rPr>
            </w:pPr>
            <w:r>
              <w:rPr>
                <w:rFonts w:hint="eastAsia"/>
                <w:color w:val="000000"/>
                <w:sz w:val="22"/>
                <w:szCs w:val="22"/>
              </w:rPr>
              <w:t>443</w:t>
            </w:r>
          </w:p>
        </w:tc>
        <w:tc>
          <w:tcPr>
            <w:tcW w:w="0" w:type="auto"/>
            <w:noWrap w:val="0"/>
            <w:vAlign w:val="center"/>
          </w:tcPr>
          <w:p w14:paraId="096CF1F7">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0" w:type="auto"/>
            <w:noWrap w:val="0"/>
            <w:vAlign w:val="center"/>
          </w:tcPr>
          <w:p w14:paraId="4AE6A0E9">
            <w:pPr>
              <w:spacing w:before="100" w:beforeAutospacing="1" w:after="100" w:afterAutospacing="1" w:line="240" w:lineRule="atLeast"/>
              <w:jc w:val="center"/>
              <w:rPr>
                <w:rFonts w:eastAsia="楷体_GB2312"/>
                <w:szCs w:val="21"/>
              </w:rPr>
            </w:pPr>
            <w:r>
              <w:rPr>
                <w:rFonts w:hint="eastAsia" w:eastAsia="楷体_GB2312"/>
                <w:szCs w:val="21"/>
              </w:rPr>
              <w:t>2</w:t>
            </w:r>
          </w:p>
        </w:tc>
        <w:tc>
          <w:tcPr>
            <w:tcW w:w="0" w:type="auto"/>
            <w:noWrap w:val="0"/>
            <w:vAlign w:val="center"/>
          </w:tcPr>
          <w:p w14:paraId="1CF967C8">
            <w:pPr>
              <w:jc w:val="center"/>
              <w:rPr>
                <w:rFonts w:ascii="宋体" w:hAnsi="宋体" w:cs="宋体"/>
                <w:color w:val="000000"/>
                <w:sz w:val="22"/>
                <w:szCs w:val="22"/>
              </w:rPr>
            </w:pPr>
            <w:r>
              <w:rPr>
                <w:rFonts w:hint="eastAsia"/>
                <w:color w:val="000000"/>
                <w:sz w:val="22"/>
                <w:szCs w:val="22"/>
              </w:rPr>
              <w:t>294</w:t>
            </w:r>
          </w:p>
        </w:tc>
      </w:tr>
      <w:tr w14:paraId="2AE48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C475C11">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30D4255">
            <w:pPr>
              <w:spacing w:before="100" w:beforeAutospacing="1" w:after="100" w:afterAutospacing="1" w:line="240" w:lineRule="atLeast"/>
              <w:jc w:val="center"/>
              <w:rPr>
                <w:rFonts w:eastAsia="楷体_GB2312"/>
                <w:kern w:val="0"/>
                <w:szCs w:val="21"/>
              </w:rPr>
            </w:pPr>
          </w:p>
        </w:tc>
        <w:tc>
          <w:tcPr>
            <w:tcW w:w="0" w:type="auto"/>
            <w:noWrap w:val="0"/>
            <w:vAlign w:val="center"/>
          </w:tcPr>
          <w:p w14:paraId="2E7B0BD4">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12ED427C">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1105" w:type="dxa"/>
            <w:noWrap w:val="0"/>
            <w:vAlign w:val="center"/>
          </w:tcPr>
          <w:p w14:paraId="6B1FF601">
            <w:pPr>
              <w:spacing w:before="100" w:beforeAutospacing="1" w:after="100" w:afterAutospacing="1" w:line="240" w:lineRule="atLeast"/>
              <w:jc w:val="center"/>
              <w:rPr>
                <w:rFonts w:eastAsia="楷体_GB2312"/>
                <w:szCs w:val="21"/>
              </w:rPr>
            </w:pPr>
            <w:r>
              <w:rPr>
                <w:rFonts w:hint="eastAsia" w:eastAsia="楷体_GB2312"/>
                <w:szCs w:val="21"/>
              </w:rPr>
              <w:t>1</w:t>
            </w:r>
          </w:p>
        </w:tc>
        <w:tc>
          <w:tcPr>
            <w:tcW w:w="1081" w:type="dxa"/>
            <w:noWrap w:val="0"/>
            <w:vAlign w:val="center"/>
          </w:tcPr>
          <w:p w14:paraId="51E4788A">
            <w:pPr>
              <w:jc w:val="center"/>
              <w:rPr>
                <w:rFonts w:ascii="宋体" w:hAnsi="宋体" w:cs="宋体"/>
                <w:color w:val="000000"/>
                <w:sz w:val="22"/>
                <w:szCs w:val="22"/>
              </w:rPr>
            </w:pPr>
            <w:r>
              <w:rPr>
                <w:rFonts w:hint="eastAsia"/>
                <w:color w:val="000000"/>
                <w:sz w:val="22"/>
                <w:szCs w:val="22"/>
              </w:rPr>
              <w:t>361</w:t>
            </w:r>
          </w:p>
        </w:tc>
        <w:tc>
          <w:tcPr>
            <w:tcW w:w="0" w:type="auto"/>
            <w:noWrap w:val="0"/>
            <w:vAlign w:val="center"/>
          </w:tcPr>
          <w:p w14:paraId="29B428A2">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25594408">
            <w:pPr>
              <w:spacing w:before="100" w:beforeAutospacing="1" w:after="100" w:afterAutospacing="1" w:line="240" w:lineRule="atLeast"/>
              <w:jc w:val="center"/>
              <w:rPr>
                <w:rFonts w:eastAsia="楷体_GB2312"/>
                <w:szCs w:val="21"/>
              </w:rPr>
            </w:pPr>
            <w:r>
              <w:rPr>
                <w:rFonts w:hint="eastAsia" w:eastAsia="楷体_GB2312"/>
                <w:szCs w:val="21"/>
              </w:rPr>
              <w:t>1</w:t>
            </w:r>
          </w:p>
        </w:tc>
        <w:tc>
          <w:tcPr>
            <w:tcW w:w="0" w:type="auto"/>
            <w:noWrap w:val="0"/>
            <w:vAlign w:val="center"/>
          </w:tcPr>
          <w:p w14:paraId="0CCC01B9">
            <w:pPr>
              <w:jc w:val="center"/>
              <w:rPr>
                <w:rFonts w:ascii="宋体" w:hAnsi="宋体" w:cs="宋体"/>
                <w:color w:val="000000"/>
                <w:sz w:val="22"/>
                <w:szCs w:val="22"/>
              </w:rPr>
            </w:pPr>
            <w:r>
              <w:rPr>
                <w:rFonts w:hint="eastAsia"/>
                <w:color w:val="000000"/>
                <w:sz w:val="22"/>
                <w:szCs w:val="22"/>
              </w:rPr>
              <w:t>218</w:t>
            </w:r>
          </w:p>
        </w:tc>
      </w:tr>
      <w:tr w14:paraId="4B9E7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1E4AC708">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0" w:type="auto"/>
            <w:vMerge w:val="restart"/>
            <w:noWrap w:val="0"/>
            <w:vAlign w:val="center"/>
          </w:tcPr>
          <w:p w14:paraId="6D439515">
            <w:pPr>
              <w:spacing w:before="100" w:beforeAutospacing="1" w:after="100" w:afterAutospacing="1" w:line="240" w:lineRule="atLeast"/>
              <w:jc w:val="center"/>
              <w:rPr>
                <w:rFonts w:eastAsia="楷体_GB2312"/>
                <w:kern w:val="0"/>
                <w:szCs w:val="21"/>
              </w:rPr>
            </w:pPr>
            <w:r>
              <w:rPr>
                <w:rFonts w:hint="eastAsia" w:eastAsia="楷体_GB2312"/>
                <w:kern w:val="0"/>
                <w:szCs w:val="21"/>
              </w:rPr>
              <w:t>栏杆镇</w:t>
            </w:r>
          </w:p>
        </w:tc>
        <w:tc>
          <w:tcPr>
            <w:tcW w:w="0" w:type="auto"/>
            <w:noWrap w:val="0"/>
            <w:vAlign w:val="center"/>
          </w:tcPr>
          <w:p w14:paraId="447320A0">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022E55B0">
            <w:pPr>
              <w:spacing w:before="100" w:beforeAutospacing="1" w:after="100" w:afterAutospacing="1" w:line="240" w:lineRule="atLeast"/>
              <w:jc w:val="center"/>
              <w:rPr>
                <w:rFonts w:eastAsia="楷体_GB2312"/>
                <w:kern w:val="0"/>
                <w:szCs w:val="21"/>
              </w:rPr>
            </w:pPr>
            <w:r>
              <w:rPr>
                <w:rFonts w:hint="eastAsia" w:eastAsia="楷体_GB2312"/>
                <w:kern w:val="0"/>
                <w:szCs w:val="21"/>
              </w:rPr>
              <w:t>21</w:t>
            </w:r>
          </w:p>
        </w:tc>
        <w:tc>
          <w:tcPr>
            <w:tcW w:w="1105" w:type="dxa"/>
            <w:noWrap w:val="0"/>
            <w:vAlign w:val="center"/>
          </w:tcPr>
          <w:p w14:paraId="2D47A338">
            <w:pPr>
              <w:spacing w:before="100" w:beforeAutospacing="1" w:after="100" w:afterAutospacing="1" w:line="240" w:lineRule="atLeast"/>
              <w:jc w:val="center"/>
              <w:rPr>
                <w:szCs w:val="21"/>
              </w:rPr>
            </w:pPr>
            <w:r>
              <w:rPr>
                <w:rFonts w:hint="eastAsia"/>
                <w:szCs w:val="21"/>
              </w:rPr>
              <w:t>3</w:t>
            </w:r>
          </w:p>
        </w:tc>
        <w:tc>
          <w:tcPr>
            <w:tcW w:w="1081" w:type="dxa"/>
            <w:noWrap w:val="0"/>
            <w:vAlign w:val="center"/>
          </w:tcPr>
          <w:p w14:paraId="7FF75951">
            <w:pPr>
              <w:jc w:val="center"/>
              <w:rPr>
                <w:rFonts w:ascii="宋体" w:hAnsi="宋体" w:cs="宋体"/>
                <w:color w:val="000000"/>
                <w:sz w:val="22"/>
                <w:szCs w:val="22"/>
              </w:rPr>
            </w:pPr>
            <w:r>
              <w:rPr>
                <w:rFonts w:hint="eastAsia"/>
                <w:color w:val="000000"/>
                <w:sz w:val="22"/>
                <w:szCs w:val="22"/>
              </w:rPr>
              <w:t>530</w:t>
            </w:r>
          </w:p>
        </w:tc>
        <w:tc>
          <w:tcPr>
            <w:tcW w:w="0" w:type="auto"/>
            <w:noWrap w:val="0"/>
            <w:vAlign w:val="center"/>
          </w:tcPr>
          <w:p w14:paraId="617083DF">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6DBD9B1F">
            <w:pPr>
              <w:spacing w:before="100" w:beforeAutospacing="1" w:after="100" w:afterAutospacing="1" w:line="240" w:lineRule="atLeast"/>
              <w:jc w:val="center"/>
              <w:rPr>
                <w:szCs w:val="21"/>
              </w:rPr>
            </w:pPr>
            <w:r>
              <w:rPr>
                <w:rFonts w:hint="eastAsia"/>
                <w:szCs w:val="21"/>
              </w:rPr>
              <w:t>3</w:t>
            </w:r>
          </w:p>
        </w:tc>
        <w:tc>
          <w:tcPr>
            <w:tcW w:w="0" w:type="auto"/>
            <w:noWrap w:val="0"/>
            <w:vAlign w:val="center"/>
          </w:tcPr>
          <w:p w14:paraId="6924C584">
            <w:pPr>
              <w:jc w:val="center"/>
              <w:rPr>
                <w:rFonts w:ascii="宋体" w:hAnsi="宋体" w:cs="宋体"/>
                <w:color w:val="000000"/>
                <w:sz w:val="22"/>
                <w:szCs w:val="22"/>
              </w:rPr>
            </w:pPr>
            <w:r>
              <w:rPr>
                <w:rFonts w:hint="eastAsia"/>
                <w:color w:val="000000"/>
                <w:sz w:val="22"/>
                <w:szCs w:val="22"/>
              </w:rPr>
              <w:t>375</w:t>
            </w:r>
          </w:p>
        </w:tc>
      </w:tr>
      <w:tr w14:paraId="2624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161E917">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3730F6C7">
            <w:pPr>
              <w:spacing w:before="100" w:beforeAutospacing="1" w:after="100" w:afterAutospacing="1" w:line="240" w:lineRule="atLeast"/>
              <w:jc w:val="center"/>
              <w:rPr>
                <w:rFonts w:eastAsia="楷体_GB2312"/>
                <w:kern w:val="0"/>
                <w:szCs w:val="21"/>
              </w:rPr>
            </w:pPr>
          </w:p>
        </w:tc>
        <w:tc>
          <w:tcPr>
            <w:tcW w:w="0" w:type="auto"/>
            <w:noWrap w:val="0"/>
            <w:vAlign w:val="center"/>
          </w:tcPr>
          <w:p w14:paraId="42D6004E">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7E46961A">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1105" w:type="dxa"/>
            <w:noWrap w:val="0"/>
            <w:vAlign w:val="center"/>
          </w:tcPr>
          <w:p w14:paraId="7F8E83AF">
            <w:pPr>
              <w:spacing w:before="100" w:beforeAutospacing="1" w:after="100" w:afterAutospacing="1" w:line="240" w:lineRule="atLeast"/>
              <w:jc w:val="center"/>
              <w:rPr>
                <w:szCs w:val="21"/>
              </w:rPr>
            </w:pPr>
            <w:r>
              <w:rPr>
                <w:rFonts w:hint="eastAsia"/>
                <w:szCs w:val="21"/>
              </w:rPr>
              <w:t>2</w:t>
            </w:r>
          </w:p>
        </w:tc>
        <w:tc>
          <w:tcPr>
            <w:tcW w:w="1081" w:type="dxa"/>
            <w:noWrap w:val="0"/>
            <w:vAlign w:val="center"/>
          </w:tcPr>
          <w:p w14:paraId="06E5A9EC">
            <w:pPr>
              <w:jc w:val="center"/>
              <w:rPr>
                <w:rFonts w:ascii="宋体" w:hAnsi="宋体" w:cs="宋体"/>
                <w:color w:val="000000"/>
                <w:sz w:val="22"/>
                <w:szCs w:val="22"/>
              </w:rPr>
            </w:pPr>
            <w:r>
              <w:rPr>
                <w:rFonts w:hint="eastAsia"/>
                <w:color w:val="000000"/>
                <w:sz w:val="22"/>
                <w:szCs w:val="22"/>
              </w:rPr>
              <w:t>406</w:t>
            </w:r>
          </w:p>
        </w:tc>
        <w:tc>
          <w:tcPr>
            <w:tcW w:w="0" w:type="auto"/>
            <w:noWrap w:val="0"/>
            <w:vAlign w:val="center"/>
          </w:tcPr>
          <w:p w14:paraId="141E2270">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0" w:type="auto"/>
            <w:noWrap w:val="0"/>
            <w:vAlign w:val="center"/>
          </w:tcPr>
          <w:p w14:paraId="5234C4E8">
            <w:pPr>
              <w:spacing w:before="100" w:beforeAutospacing="1" w:after="100" w:afterAutospacing="1" w:line="240" w:lineRule="atLeast"/>
              <w:jc w:val="center"/>
              <w:rPr>
                <w:szCs w:val="21"/>
              </w:rPr>
            </w:pPr>
            <w:r>
              <w:rPr>
                <w:rFonts w:hint="eastAsia"/>
                <w:szCs w:val="21"/>
              </w:rPr>
              <w:t>2</w:t>
            </w:r>
          </w:p>
        </w:tc>
        <w:tc>
          <w:tcPr>
            <w:tcW w:w="0" w:type="auto"/>
            <w:noWrap w:val="0"/>
            <w:vAlign w:val="center"/>
          </w:tcPr>
          <w:p w14:paraId="6A36AC43">
            <w:pPr>
              <w:jc w:val="center"/>
              <w:rPr>
                <w:rFonts w:ascii="宋体" w:hAnsi="宋体" w:cs="宋体"/>
                <w:color w:val="000000"/>
                <w:sz w:val="22"/>
                <w:szCs w:val="22"/>
              </w:rPr>
            </w:pPr>
            <w:r>
              <w:rPr>
                <w:rFonts w:hint="eastAsia"/>
                <w:color w:val="000000"/>
                <w:sz w:val="22"/>
                <w:szCs w:val="22"/>
              </w:rPr>
              <w:t>310</w:t>
            </w:r>
          </w:p>
        </w:tc>
      </w:tr>
      <w:tr w14:paraId="5DF6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0171894">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DC051CA">
            <w:pPr>
              <w:spacing w:before="100" w:beforeAutospacing="1" w:after="100" w:afterAutospacing="1" w:line="240" w:lineRule="atLeast"/>
              <w:jc w:val="center"/>
              <w:rPr>
                <w:rFonts w:eastAsia="楷体_GB2312"/>
                <w:kern w:val="0"/>
                <w:szCs w:val="21"/>
              </w:rPr>
            </w:pPr>
          </w:p>
        </w:tc>
        <w:tc>
          <w:tcPr>
            <w:tcW w:w="0" w:type="auto"/>
            <w:noWrap w:val="0"/>
            <w:vAlign w:val="center"/>
          </w:tcPr>
          <w:p w14:paraId="25C6F1B2">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6D530B47">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1105" w:type="dxa"/>
            <w:noWrap w:val="0"/>
            <w:vAlign w:val="center"/>
          </w:tcPr>
          <w:p w14:paraId="29C78959">
            <w:pPr>
              <w:spacing w:before="100" w:beforeAutospacing="1" w:after="100" w:afterAutospacing="1" w:line="240" w:lineRule="atLeast"/>
              <w:jc w:val="center"/>
              <w:rPr>
                <w:szCs w:val="21"/>
              </w:rPr>
            </w:pPr>
            <w:r>
              <w:rPr>
                <w:rFonts w:hint="eastAsia"/>
                <w:szCs w:val="21"/>
              </w:rPr>
              <w:t>1</w:t>
            </w:r>
          </w:p>
        </w:tc>
        <w:tc>
          <w:tcPr>
            <w:tcW w:w="1081" w:type="dxa"/>
            <w:noWrap w:val="0"/>
            <w:vAlign w:val="center"/>
          </w:tcPr>
          <w:p w14:paraId="639A2962">
            <w:pPr>
              <w:jc w:val="center"/>
              <w:rPr>
                <w:rFonts w:ascii="宋体" w:hAnsi="宋体" w:cs="宋体"/>
                <w:color w:val="000000"/>
                <w:sz w:val="22"/>
                <w:szCs w:val="22"/>
              </w:rPr>
            </w:pPr>
            <w:r>
              <w:rPr>
                <w:rFonts w:hint="eastAsia"/>
                <w:color w:val="000000"/>
                <w:sz w:val="22"/>
                <w:szCs w:val="22"/>
              </w:rPr>
              <w:t>315</w:t>
            </w:r>
          </w:p>
        </w:tc>
        <w:tc>
          <w:tcPr>
            <w:tcW w:w="0" w:type="auto"/>
            <w:noWrap w:val="0"/>
            <w:vAlign w:val="center"/>
          </w:tcPr>
          <w:p w14:paraId="59580012">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24664380">
            <w:pPr>
              <w:spacing w:before="100" w:beforeAutospacing="1" w:after="100" w:afterAutospacing="1" w:line="240" w:lineRule="atLeast"/>
              <w:jc w:val="center"/>
              <w:rPr>
                <w:szCs w:val="21"/>
              </w:rPr>
            </w:pPr>
            <w:r>
              <w:rPr>
                <w:rFonts w:hint="eastAsia"/>
                <w:szCs w:val="21"/>
              </w:rPr>
              <w:t>1</w:t>
            </w:r>
          </w:p>
        </w:tc>
        <w:tc>
          <w:tcPr>
            <w:tcW w:w="0" w:type="auto"/>
            <w:noWrap w:val="0"/>
            <w:vAlign w:val="center"/>
          </w:tcPr>
          <w:p w14:paraId="5BC0C583">
            <w:pPr>
              <w:jc w:val="center"/>
              <w:rPr>
                <w:rFonts w:ascii="宋体" w:hAnsi="宋体" w:cs="宋体"/>
                <w:color w:val="000000"/>
                <w:sz w:val="22"/>
                <w:szCs w:val="22"/>
              </w:rPr>
            </w:pPr>
            <w:r>
              <w:rPr>
                <w:rFonts w:hint="eastAsia"/>
                <w:color w:val="000000"/>
                <w:sz w:val="22"/>
                <w:szCs w:val="22"/>
              </w:rPr>
              <w:t>218</w:t>
            </w:r>
          </w:p>
        </w:tc>
      </w:tr>
      <w:tr w14:paraId="5765C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15E24BEE">
            <w:pPr>
              <w:spacing w:before="100" w:beforeAutospacing="1" w:after="100" w:afterAutospacing="1" w:line="240" w:lineRule="atLeast"/>
              <w:jc w:val="center"/>
              <w:rPr>
                <w:rFonts w:eastAsia="楷体_GB2312"/>
                <w:kern w:val="0"/>
                <w:szCs w:val="21"/>
              </w:rPr>
            </w:pPr>
            <w:r>
              <w:rPr>
                <w:rFonts w:hint="eastAsia" w:eastAsia="楷体_GB2312"/>
                <w:kern w:val="0"/>
                <w:szCs w:val="21"/>
              </w:rPr>
              <w:t>7</w:t>
            </w:r>
          </w:p>
        </w:tc>
        <w:tc>
          <w:tcPr>
            <w:tcW w:w="0" w:type="auto"/>
            <w:vMerge w:val="restart"/>
            <w:noWrap w:val="0"/>
            <w:vAlign w:val="center"/>
          </w:tcPr>
          <w:p w14:paraId="70446723">
            <w:pPr>
              <w:spacing w:before="100" w:beforeAutospacing="1" w:after="100" w:afterAutospacing="1" w:line="240" w:lineRule="atLeast"/>
              <w:jc w:val="center"/>
              <w:rPr>
                <w:rFonts w:eastAsia="楷体_GB2312"/>
                <w:kern w:val="0"/>
                <w:szCs w:val="21"/>
              </w:rPr>
            </w:pPr>
            <w:r>
              <w:rPr>
                <w:rFonts w:hint="eastAsia" w:eastAsia="楷体_GB2312"/>
                <w:kern w:val="0"/>
                <w:szCs w:val="21"/>
              </w:rPr>
              <w:t>时村镇</w:t>
            </w:r>
          </w:p>
        </w:tc>
        <w:tc>
          <w:tcPr>
            <w:tcW w:w="0" w:type="auto"/>
            <w:noWrap w:val="0"/>
            <w:vAlign w:val="center"/>
          </w:tcPr>
          <w:p w14:paraId="31F4DABB">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27AEA823">
            <w:pPr>
              <w:spacing w:before="100" w:beforeAutospacing="1" w:after="100" w:afterAutospacing="1" w:line="240" w:lineRule="atLeast"/>
              <w:jc w:val="center"/>
              <w:rPr>
                <w:rFonts w:eastAsia="楷体_GB2312"/>
                <w:kern w:val="0"/>
                <w:szCs w:val="21"/>
              </w:rPr>
            </w:pPr>
            <w:r>
              <w:rPr>
                <w:rFonts w:hint="eastAsia" w:eastAsia="楷体_GB2312"/>
                <w:kern w:val="0"/>
                <w:szCs w:val="21"/>
              </w:rPr>
              <w:t>19</w:t>
            </w:r>
          </w:p>
        </w:tc>
        <w:tc>
          <w:tcPr>
            <w:tcW w:w="1105" w:type="dxa"/>
            <w:noWrap w:val="0"/>
            <w:vAlign w:val="center"/>
          </w:tcPr>
          <w:p w14:paraId="2C8C9054">
            <w:pPr>
              <w:spacing w:before="100" w:beforeAutospacing="1" w:after="100" w:afterAutospacing="1" w:line="240" w:lineRule="atLeast"/>
              <w:jc w:val="center"/>
              <w:rPr>
                <w:rFonts w:eastAsia="楷体_GB2312"/>
                <w:szCs w:val="21"/>
              </w:rPr>
            </w:pPr>
            <w:r>
              <w:rPr>
                <w:rFonts w:hint="eastAsia" w:eastAsia="楷体_GB2312"/>
                <w:szCs w:val="21"/>
              </w:rPr>
              <w:t>3</w:t>
            </w:r>
          </w:p>
        </w:tc>
        <w:tc>
          <w:tcPr>
            <w:tcW w:w="1081" w:type="dxa"/>
            <w:noWrap w:val="0"/>
            <w:vAlign w:val="center"/>
          </w:tcPr>
          <w:p w14:paraId="6D6FFAD1">
            <w:pPr>
              <w:jc w:val="center"/>
              <w:rPr>
                <w:rFonts w:ascii="宋体" w:hAnsi="宋体" w:cs="宋体"/>
                <w:color w:val="000000"/>
                <w:sz w:val="22"/>
                <w:szCs w:val="22"/>
              </w:rPr>
            </w:pPr>
            <w:r>
              <w:rPr>
                <w:rFonts w:hint="eastAsia"/>
                <w:color w:val="000000"/>
                <w:sz w:val="22"/>
                <w:szCs w:val="22"/>
              </w:rPr>
              <w:t>510</w:t>
            </w:r>
          </w:p>
        </w:tc>
        <w:tc>
          <w:tcPr>
            <w:tcW w:w="0" w:type="auto"/>
            <w:noWrap w:val="0"/>
            <w:vAlign w:val="center"/>
          </w:tcPr>
          <w:p w14:paraId="3AB49223">
            <w:pPr>
              <w:spacing w:before="100" w:beforeAutospacing="1" w:after="100" w:afterAutospacing="1" w:line="240" w:lineRule="atLeast"/>
              <w:jc w:val="center"/>
              <w:rPr>
                <w:rFonts w:eastAsia="楷体_GB2312"/>
                <w:kern w:val="0"/>
                <w:szCs w:val="21"/>
              </w:rPr>
            </w:pPr>
            <w:r>
              <w:rPr>
                <w:rFonts w:hint="eastAsia" w:eastAsia="楷体_GB2312"/>
                <w:kern w:val="0"/>
                <w:szCs w:val="21"/>
              </w:rPr>
              <w:t>21</w:t>
            </w:r>
          </w:p>
        </w:tc>
        <w:tc>
          <w:tcPr>
            <w:tcW w:w="0" w:type="auto"/>
            <w:noWrap w:val="0"/>
            <w:vAlign w:val="center"/>
          </w:tcPr>
          <w:p w14:paraId="32181D77">
            <w:pPr>
              <w:spacing w:before="100" w:beforeAutospacing="1" w:after="100" w:afterAutospacing="1" w:line="240" w:lineRule="atLeast"/>
              <w:jc w:val="center"/>
              <w:rPr>
                <w:rFonts w:eastAsia="楷体_GB2312"/>
                <w:szCs w:val="21"/>
              </w:rPr>
            </w:pPr>
            <w:r>
              <w:rPr>
                <w:rFonts w:hint="eastAsia" w:eastAsia="楷体_GB2312"/>
                <w:szCs w:val="21"/>
              </w:rPr>
              <w:t>3</w:t>
            </w:r>
          </w:p>
        </w:tc>
        <w:tc>
          <w:tcPr>
            <w:tcW w:w="0" w:type="auto"/>
            <w:noWrap w:val="0"/>
            <w:vAlign w:val="center"/>
          </w:tcPr>
          <w:p w14:paraId="3E2F31EA">
            <w:pPr>
              <w:jc w:val="center"/>
              <w:rPr>
                <w:rFonts w:ascii="宋体" w:hAnsi="宋体" w:cs="宋体"/>
                <w:color w:val="000000"/>
                <w:sz w:val="22"/>
                <w:szCs w:val="22"/>
              </w:rPr>
            </w:pPr>
            <w:r>
              <w:rPr>
                <w:rFonts w:hint="eastAsia"/>
                <w:color w:val="000000"/>
                <w:sz w:val="22"/>
                <w:szCs w:val="22"/>
              </w:rPr>
              <w:t>386</w:t>
            </w:r>
          </w:p>
        </w:tc>
      </w:tr>
      <w:tr w14:paraId="6405E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E0D4F69">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5A537B2">
            <w:pPr>
              <w:spacing w:before="100" w:beforeAutospacing="1" w:after="100" w:afterAutospacing="1" w:line="240" w:lineRule="atLeast"/>
              <w:jc w:val="center"/>
              <w:rPr>
                <w:rFonts w:eastAsia="楷体_GB2312"/>
                <w:kern w:val="0"/>
                <w:szCs w:val="21"/>
              </w:rPr>
            </w:pPr>
          </w:p>
        </w:tc>
        <w:tc>
          <w:tcPr>
            <w:tcW w:w="0" w:type="auto"/>
            <w:noWrap w:val="0"/>
            <w:vAlign w:val="center"/>
          </w:tcPr>
          <w:p w14:paraId="65D6B05B">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024F7E04">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1105" w:type="dxa"/>
            <w:noWrap w:val="0"/>
            <w:vAlign w:val="center"/>
          </w:tcPr>
          <w:p w14:paraId="318E61F1">
            <w:pPr>
              <w:spacing w:before="100" w:beforeAutospacing="1" w:after="100" w:afterAutospacing="1" w:line="240" w:lineRule="atLeast"/>
              <w:jc w:val="center"/>
              <w:rPr>
                <w:rFonts w:eastAsia="楷体_GB2312"/>
                <w:szCs w:val="21"/>
              </w:rPr>
            </w:pPr>
            <w:r>
              <w:rPr>
                <w:rFonts w:hint="eastAsia" w:eastAsia="楷体_GB2312"/>
                <w:szCs w:val="21"/>
              </w:rPr>
              <w:t>2</w:t>
            </w:r>
          </w:p>
        </w:tc>
        <w:tc>
          <w:tcPr>
            <w:tcW w:w="1081" w:type="dxa"/>
            <w:noWrap w:val="0"/>
            <w:vAlign w:val="center"/>
          </w:tcPr>
          <w:p w14:paraId="2D78871C">
            <w:pPr>
              <w:jc w:val="center"/>
              <w:rPr>
                <w:rFonts w:ascii="宋体" w:hAnsi="宋体" w:cs="宋体"/>
                <w:color w:val="000000"/>
                <w:sz w:val="22"/>
                <w:szCs w:val="22"/>
              </w:rPr>
            </w:pPr>
            <w:r>
              <w:rPr>
                <w:rFonts w:hint="eastAsia"/>
                <w:color w:val="000000"/>
                <w:sz w:val="22"/>
                <w:szCs w:val="22"/>
              </w:rPr>
              <w:t>389</w:t>
            </w:r>
          </w:p>
        </w:tc>
        <w:tc>
          <w:tcPr>
            <w:tcW w:w="0" w:type="auto"/>
            <w:noWrap w:val="0"/>
            <w:vAlign w:val="center"/>
          </w:tcPr>
          <w:p w14:paraId="12EFE9BE">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0" w:type="auto"/>
            <w:noWrap w:val="0"/>
            <w:vAlign w:val="center"/>
          </w:tcPr>
          <w:p w14:paraId="7195AC88">
            <w:pPr>
              <w:spacing w:before="100" w:beforeAutospacing="1" w:after="100" w:afterAutospacing="1" w:line="240" w:lineRule="atLeast"/>
              <w:jc w:val="center"/>
              <w:rPr>
                <w:rFonts w:eastAsia="楷体_GB2312"/>
                <w:szCs w:val="21"/>
              </w:rPr>
            </w:pPr>
            <w:r>
              <w:rPr>
                <w:rFonts w:hint="eastAsia" w:eastAsia="楷体_GB2312"/>
                <w:szCs w:val="21"/>
              </w:rPr>
              <w:t>2</w:t>
            </w:r>
          </w:p>
        </w:tc>
        <w:tc>
          <w:tcPr>
            <w:tcW w:w="0" w:type="auto"/>
            <w:noWrap w:val="0"/>
            <w:vAlign w:val="center"/>
          </w:tcPr>
          <w:p w14:paraId="0ECC1D17">
            <w:pPr>
              <w:jc w:val="center"/>
              <w:rPr>
                <w:rFonts w:ascii="宋体" w:hAnsi="宋体" w:cs="宋体"/>
                <w:color w:val="000000"/>
                <w:sz w:val="22"/>
                <w:szCs w:val="22"/>
              </w:rPr>
            </w:pPr>
            <w:r>
              <w:rPr>
                <w:rFonts w:hint="eastAsia"/>
                <w:color w:val="000000"/>
                <w:sz w:val="22"/>
                <w:szCs w:val="22"/>
              </w:rPr>
              <w:t>283</w:t>
            </w:r>
          </w:p>
        </w:tc>
      </w:tr>
      <w:tr w14:paraId="7D49E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37E347A0">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2166120">
            <w:pPr>
              <w:spacing w:before="100" w:beforeAutospacing="1" w:after="100" w:afterAutospacing="1" w:line="240" w:lineRule="atLeast"/>
              <w:jc w:val="center"/>
              <w:rPr>
                <w:rFonts w:eastAsia="楷体_GB2312"/>
                <w:kern w:val="0"/>
                <w:szCs w:val="21"/>
              </w:rPr>
            </w:pPr>
          </w:p>
        </w:tc>
        <w:tc>
          <w:tcPr>
            <w:tcW w:w="0" w:type="auto"/>
            <w:noWrap w:val="0"/>
            <w:vAlign w:val="center"/>
          </w:tcPr>
          <w:p w14:paraId="734EFC27">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307272D8">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1105" w:type="dxa"/>
            <w:noWrap w:val="0"/>
            <w:vAlign w:val="center"/>
          </w:tcPr>
          <w:p w14:paraId="313669BD">
            <w:pPr>
              <w:spacing w:before="100" w:beforeAutospacing="1" w:after="100" w:afterAutospacing="1" w:line="240" w:lineRule="atLeast"/>
              <w:jc w:val="center"/>
              <w:rPr>
                <w:rFonts w:eastAsia="楷体_GB2312"/>
                <w:szCs w:val="21"/>
              </w:rPr>
            </w:pPr>
            <w:r>
              <w:rPr>
                <w:rFonts w:hint="eastAsia" w:eastAsia="楷体_GB2312"/>
                <w:szCs w:val="21"/>
              </w:rPr>
              <w:t>1</w:t>
            </w:r>
          </w:p>
        </w:tc>
        <w:tc>
          <w:tcPr>
            <w:tcW w:w="1081" w:type="dxa"/>
            <w:noWrap w:val="0"/>
            <w:vAlign w:val="center"/>
          </w:tcPr>
          <w:p w14:paraId="1639ED4A">
            <w:pPr>
              <w:jc w:val="center"/>
              <w:rPr>
                <w:rFonts w:ascii="宋体" w:hAnsi="宋体" w:cs="宋体"/>
                <w:color w:val="000000"/>
                <w:sz w:val="22"/>
                <w:szCs w:val="22"/>
              </w:rPr>
            </w:pPr>
            <w:r>
              <w:rPr>
                <w:rFonts w:hint="eastAsia"/>
                <w:color w:val="000000"/>
                <w:sz w:val="22"/>
                <w:szCs w:val="22"/>
              </w:rPr>
              <w:t>309</w:t>
            </w:r>
          </w:p>
        </w:tc>
        <w:tc>
          <w:tcPr>
            <w:tcW w:w="0" w:type="auto"/>
            <w:noWrap w:val="0"/>
            <w:vAlign w:val="center"/>
          </w:tcPr>
          <w:p w14:paraId="752991DF">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375A8F40">
            <w:pPr>
              <w:spacing w:before="100" w:beforeAutospacing="1" w:after="100" w:afterAutospacing="1" w:line="240" w:lineRule="atLeast"/>
              <w:jc w:val="center"/>
              <w:rPr>
                <w:rFonts w:eastAsia="楷体_GB2312"/>
                <w:szCs w:val="21"/>
              </w:rPr>
            </w:pPr>
            <w:r>
              <w:rPr>
                <w:rFonts w:hint="eastAsia" w:eastAsia="楷体_GB2312"/>
                <w:szCs w:val="21"/>
              </w:rPr>
              <w:t>1</w:t>
            </w:r>
          </w:p>
        </w:tc>
        <w:tc>
          <w:tcPr>
            <w:tcW w:w="0" w:type="auto"/>
            <w:noWrap w:val="0"/>
            <w:vAlign w:val="center"/>
          </w:tcPr>
          <w:p w14:paraId="1CBD521F">
            <w:pPr>
              <w:jc w:val="center"/>
              <w:rPr>
                <w:rFonts w:ascii="宋体" w:hAnsi="宋体" w:cs="宋体"/>
                <w:color w:val="000000"/>
                <w:sz w:val="22"/>
                <w:szCs w:val="22"/>
              </w:rPr>
            </w:pPr>
            <w:r>
              <w:rPr>
                <w:rFonts w:hint="eastAsia"/>
                <w:color w:val="000000"/>
                <w:sz w:val="22"/>
                <w:szCs w:val="22"/>
              </w:rPr>
              <w:t>210</w:t>
            </w:r>
          </w:p>
        </w:tc>
      </w:tr>
      <w:tr w14:paraId="6959A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5BA4302A">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0" w:type="auto"/>
            <w:vMerge w:val="restart"/>
            <w:noWrap w:val="0"/>
            <w:vAlign w:val="center"/>
          </w:tcPr>
          <w:p w14:paraId="2DC4DFE7">
            <w:pPr>
              <w:spacing w:before="100" w:beforeAutospacing="1" w:after="100" w:afterAutospacing="1" w:line="240" w:lineRule="atLeast"/>
              <w:jc w:val="center"/>
              <w:rPr>
                <w:rFonts w:eastAsia="楷体_GB2312"/>
                <w:kern w:val="0"/>
                <w:szCs w:val="21"/>
              </w:rPr>
            </w:pPr>
            <w:r>
              <w:rPr>
                <w:rFonts w:hint="eastAsia" w:eastAsia="楷体_GB2312"/>
                <w:kern w:val="0"/>
                <w:szCs w:val="21"/>
              </w:rPr>
              <w:t>夹沟镇</w:t>
            </w:r>
          </w:p>
        </w:tc>
        <w:tc>
          <w:tcPr>
            <w:tcW w:w="0" w:type="auto"/>
            <w:noWrap w:val="0"/>
            <w:vAlign w:val="center"/>
          </w:tcPr>
          <w:p w14:paraId="6BC5DC01">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16677304">
            <w:pPr>
              <w:spacing w:before="100" w:beforeAutospacing="1" w:after="100" w:afterAutospacing="1" w:line="240" w:lineRule="atLeast"/>
              <w:jc w:val="center"/>
              <w:rPr>
                <w:rFonts w:eastAsia="楷体_GB2312"/>
                <w:kern w:val="0"/>
                <w:szCs w:val="21"/>
              </w:rPr>
            </w:pPr>
            <w:r>
              <w:rPr>
                <w:rFonts w:hint="eastAsia" w:eastAsia="楷体_GB2312"/>
                <w:kern w:val="0"/>
                <w:szCs w:val="21"/>
              </w:rPr>
              <w:t>21</w:t>
            </w:r>
          </w:p>
        </w:tc>
        <w:tc>
          <w:tcPr>
            <w:tcW w:w="1105" w:type="dxa"/>
            <w:noWrap w:val="0"/>
            <w:vAlign w:val="center"/>
          </w:tcPr>
          <w:p w14:paraId="2F933015">
            <w:pPr>
              <w:spacing w:before="100" w:beforeAutospacing="1" w:after="100" w:afterAutospacing="1" w:line="240" w:lineRule="atLeast"/>
              <w:jc w:val="center"/>
              <w:rPr>
                <w:szCs w:val="21"/>
              </w:rPr>
            </w:pPr>
            <w:r>
              <w:rPr>
                <w:rFonts w:hint="eastAsia"/>
                <w:szCs w:val="21"/>
              </w:rPr>
              <w:t>3</w:t>
            </w:r>
          </w:p>
        </w:tc>
        <w:tc>
          <w:tcPr>
            <w:tcW w:w="1081" w:type="dxa"/>
            <w:noWrap w:val="0"/>
            <w:vAlign w:val="center"/>
          </w:tcPr>
          <w:p w14:paraId="4DD3ED22">
            <w:pPr>
              <w:jc w:val="center"/>
              <w:rPr>
                <w:rFonts w:ascii="宋体" w:hAnsi="宋体" w:cs="宋体"/>
                <w:color w:val="000000"/>
                <w:sz w:val="22"/>
                <w:szCs w:val="22"/>
              </w:rPr>
            </w:pPr>
            <w:r>
              <w:rPr>
                <w:rFonts w:hint="eastAsia"/>
                <w:color w:val="000000"/>
                <w:sz w:val="22"/>
                <w:szCs w:val="22"/>
              </w:rPr>
              <w:t>510</w:t>
            </w:r>
          </w:p>
        </w:tc>
        <w:tc>
          <w:tcPr>
            <w:tcW w:w="0" w:type="auto"/>
            <w:noWrap w:val="0"/>
            <w:vAlign w:val="center"/>
          </w:tcPr>
          <w:p w14:paraId="1950B291">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78187349">
            <w:pPr>
              <w:spacing w:before="100" w:beforeAutospacing="1" w:after="100" w:afterAutospacing="1" w:line="240" w:lineRule="atLeast"/>
              <w:jc w:val="center"/>
              <w:rPr>
                <w:szCs w:val="21"/>
              </w:rPr>
            </w:pPr>
            <w:r>
              <w:rPr>
                <w:rFonts w:hint="eastAsia"/>
                <w:szCs w:val="21"/>
              </w:rPr>
              <w:t>3</w:t>
            </w:r>
          </w:p>
        </w:tc>
        <w:tc>
          <w:tcPr>
            <w:tcW w:w="0" w:type="auto"/>
            <w:noWrap w:val="0"/>
            <w:vAlign w:val="center"/>
          </w:tcPr>
          <w:p w14:paraId="5C2F6C0B">
            <w:pPr>
              <w:jc w:val="center"/>
              <w:rPr>
                <w:rFonts w:ascii="宋体" w:hAnsi="宋体" w:cs="宋体"/>
                <w:color w:val="000000"/>
                <w:sz w:val="22"/>
                <w:szCs w:val="22"/>
              </w:rPr>
            </w:pPr>
            <w:r>
              <w:rPr>
                <w:rFonts w:hint="eastAsia"/>
                <w:color w:val="000000"/>
                <w:sz w:val="22"/>
                <w:szCs w:val="22"/>
              </w:rPr>
              <w:t>380</w:t>
            </w:r>
          </w:p>
        </w:tc>
      </w:tr>
      <w:tr w14:paraId="38F4F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C2FFD9C">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445F1509">
            <w:pPr>
              <w:spacing w:before="100" w:beforeAutospacing="1" w:after="100" w:afterAutospacing="1" w:line="240" w:lineRule="atLeast"/>
              <w:jc w:val="center"/>
              <w:rPr>
                <w:rFonts w:eastAsia="楷体_GB2312"/>
                <w:kern w:val="0"/>
                <w:szCs w:val="21"/>
              </w:rPr>
            </w:pPr>
          </w:p>
        </w:tc>
        <w:tc>
          <w:tcPr>
            <w:tcW w:w="0" w:type="auto"/>
            <w:noWrap w:val="0"/>
            <w:vAlign w:val="center"/>
          </w:tcPr>
          <w:p w14:paraId="070B373A">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7E7B15CC">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1105" w:type="dxa"/>
            <w:noWrap w:val="0"/>
            <w:vAlign w:val="center"/>
          </w:tcPr>
          <w:p w14:paraId="62A36937">
            <w:pPr>
              <w:spacing w:before="100" w:beforeAutospacing="1" w:after="100" w:afterAutospacing="1" w:line="240" w:lineRule="atLeast"/>
              <w:jc w:val="center"/>
              <w:rPr>
                <w:szCs w:val="21"/>
              </w:rPr>
            </w:pPr>
            <w:r>
              <w:rPr>
                <w:rFonts w:hint="eastAsia"/>
                <w:szCs w:val="21"/>
              </w:rPr>
              <w:t>2</w:t>
            </w:r>
          </w:p>
        </w:tc>
        <w:tc>
          <w:tcPr>
            <w:tcW w:w="1081" w:type="dxa"/>
            <w:noWrap w:val="0"/>
            <w:vAlign w:val="center"/>
          </w:tcPr>
          <w:p w14:paraId="560371EF">
            <w:pPr>
              <w:jc w:val="center"/>
              <w:rPr>
                <w:rFonts w:ascii="宋体" w:hAnsi="宋体" w:cs="宋体"/>
                <w:color w:val="000000"/>
                <w:sz w:val="22"/>
                <w:szCs w:val="22"/>
              </w:rPr>
            </w:pPr>
            <w:r>
              <w:rPr>
                <w:rFonts w:hint="eastAsia"/>
                <w:color w:val="000000"/>
                <w:sz w:val="22"/>
                <w:szCs w:val="22"/>
              </w:rPr>
              <w:t>407</w:t>
            </w:r>
          </w:p>
        </w:tc>
        <w:tc>
          <w:tcPr>
            <w:tcW w:w="0" w:type="auto"/>
            <w:noWrap w:val="0"/>
            <w:vAlign w:val="center"/>
          </w:tcPr>
          <w:p w14:paraId="59A3F8EC">
            <w:pPr>
              <w:spacing w:before="100" w:beforeAutospacing="1" w:after="100" w:afterAutospacing="1" w:line="240" w:lineRule="atLeast"/>
              <w:jc w:val="center"/>
              <w:rPr>
                <w:rFonts w:eastAsia="楷体_GB2312"/>
                <w:kern w:val="0"/>
                <w:szCs w:val="21"/>
              </w:rPr>
            </w:pPr>
            <w:r>
              <w:rPr>
                <w:rFonts w:hint="eastAsia" w:eastAsia="楷体_GB2312"/>
                <w:kern w:val="0"/>
                <w:szCs w:val="21"/>
              </w:rPr>
              <w:t>13</w:t>
            </w:r>
          </w:p>
        </w:tc>
        <w:tc>
          <w:tcPr>
            <w:tcW w:w="0" w:type="auto"/>
            <w:noWrap w:val="0"/>
            <w:vAlign w:val="center"/>
          </w:tcPr>
          <w:p w14:paraId="246F9899">
            <w:pPr>
              <w:spacing w:before="100" w:beforeAutospacing="1" w:after="100" w:afterAutospacing="1" w:line="240" w:lineRule="atLeast"/>
              <w:jc w:val="center"/>
              <w:rPr>
                <w:szCs w:val="21"/>
              </w:rPr>
            </w:pPr>
            <w:r>
              <w:rPr>
                <w:rFonts w:hint="eastAsia"/>
                <w:szCs w:val="21"/>
              </w:rPr>
              <w:t>2</w:t>
            </w:r>
          </w:p>
        </w:tc>
        <w:tc>
          <w:tcPr>
            <w:tcW w:w="0" w:type="auto"/>
            <w:noWrap w:val="0"/>
            <w:vAlign w:val="center"/>
          </w:tcPr>
          <w:p w14:paraId="2F7302FB">
            <w:pPr>
              <w:jc w:val="center"/>
              <w:rPr>
                <w:rFonts w:ascii="宋体" w:hAnsi="宋体" w:cs="宋体"/>
                <w:color w:val="000000"/>
                <w:sz w:val="22"/>
                <w:szCs w:val="22"/>
              </w:rPr>
            </w:pPr>
            <w:r>
              <w:rPr>
                <w:rFonts w:hint="eastAsia"/>
                <w:color w:val="000000"/>
                <w:sz w:val="22"/>
                <w:szCs w:val="22"/>
              </w:rPr>
              <w:t>305</w:t>
            </w:r>
          </w:p>
        </w:tc>
      </w:tr>
      <w:tr w14:paraId="6C15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370729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04BB22E">
            <w:pPr>
              <w:spacing w:before="100" w:beforeAutospacing="1" w:after="100" w:afterAutospacing="1" w:line="240" w:lineRule="atLeast"/>
              <w:jc w:val="center"/>
              <w:rPr>
                <w:rFonts w:eastAsia="楷体_GB2312"/>
                <w:kern w:val="0"/>
                <w:szCs w:val="21"/>
              </w:rPr>
            </w:pPr>
          </w:p>
        </w:tc>
        <w:tc>
          <w:tcPr>
            <w:tcW w:w="0" w:type="auto"/>
            <w:noWrap w:val="0"/>
            <w:vAlign w:val="center"/>
          </w:tcPr>
          <w:p w14:paraId="24489547">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1D7664C9">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1105" w:type="dxa"/>
            <w:noWrap w:val="0"/>
            <w:vAlign w:val="center"/>
          </w:tcPr>
          <w:p w14:paraId="1A810782">
            <w:pPr>
              <w:spacing w:before="100" w:beforeAutospacing="1" w:after="100" w:afterAutospacing="1" w:line="240" w:lineRule="atLeast"/>
              <w:jc w:val="center"/>
              <w:rPr>
                <w:szCs w:val="21"/>
              </w:rPr>
            </w:pPr>
            <w:r>
              <w:rPr>
                <w:rFonts w:hint="eastAsia"/>
                <w:szCs w:val="21"/>
              </w:rPr>
              <w:t>1</w:t>
            </w:r>
          </w:p>
        </w:tc>
        <w:tc>
          <w:tcPr>
            <w:tcW w:w="1081" w:type="dxa"/>
            <w:noWrap w:val="0"/>
            <w:vAlign w:val="center"/>
          </w:tcPr>
          <w:p w14:paraId="3DC9A40A">
            <w:pPr>
              <w:jc w:val="center"/>
              <w:rPr>
                <w:rFonts w:ascii="宋体" w:hAnsi="宋体" w:cs="宋体"/>
                <w:color w:val="000000"/>
                <w:sz w:val="22"/>
                <w:szCs w:val="22"/>
              </w:rPr>
            </w:pPr>
            <w:r>
              <w:rPr>
                <w:rFonts w:hint="eastAsia"/>
                <w:color w:val="000000"/>
                <w:sz w:val="22"/>
                <w:szCs w:val="22"/>
              </w:rPr>
              <w:t>318</w:t>
            </w:r>
          </w:p>
        </w:tc>
        <w:tc>
          <w:tcPr>
            <w:tcW w:w="0" w:type="auto"/>
            <w:noWrap w:val="0"/>
            <w:vAlign w:val="center"/>
          </w:tcPr>
          <w:p w14:paraId="05FB91C6">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7DB2A068">
            <w:pPr>
              <w:spacing w:before="100" w:beforeAutospacing="1" w:after="100" w:afterAutospacing="1" w:line="240" w:lineRule="atLeast"/>
              <w:jc w:val="center"/>
              <w:rPr>
                <w:szCs w:val="21"/>
              </w:rPr>
            </w:pPr>
            <w:r>
              <w:rPr>
                <w:rFonts w:hint="eastAsia"/>
                <w:szCs w:val="21"/>
              </w:rPr>
              <w:t>1</w:t>
            </w:r>
          </w:p>
        </w:tc>
        <w:tc>
          <w:tcPr>
            <w:tcW w:w="0" w:type="auto"/>
            <w:noWrap w:val="0"/>
            <w:vAlign w:val="center"/>
          </w:tcPr>
          <w:p w14:paraId="572195DC">
            <w:pPr>
              <w:jc w:val="center"/>
              <w:rPr>
                <w:rFonts w:ascii="宋体" w:hAnsi="宋体" w:cs="宋体"/>
                <w:color w:val="000000"/>
                <w:sz w:val="22"/>
                <w:szCs w:val="22"/>
              </w:rPr>
            </w:pPr>
            <w:r>
              <w:rPr>
                <w:rFonts w:hint="eastAsia"/>
                <w:color w:val="000000"/>
                <w:sz w:val="22"/>
                <w:szCs w:val="22"/>
              </w:rPr>
              <w:t>231</w:t>
            </w:r>
          </w:p>
        </w:tc>
      </w:tr>
      <w:tr w14:paraId="377F7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474A6BDC">
            <w:pPr>
              <w:spacing w:before="100" w:beforeAutospacing="1" w:after="100" w:afterAutospacing="1" w:line="240" w:lineRule="atLeast"/>
              <w:jc w:val="center"/>
              <w:rPr>
                <w:rFonts w:eastAsia="楷体_GB2312"/>
                <w:kern w:val="0"/>
                <w:szCs w:val="21"/>
              </w:rPr>
            </w:pPr>
            <w:r>
              <w:rPr>
                <w:rFonts w:hint="eastAsia" w:eastAsia="楷体_GB2312"/>
                <w:kern w:val="0"/>
                <w:szCs w:val="21"/>
              </w:rPr>
              <w:t>9</w:t>
            </w:r>
          </w:p>
        </w:tc>
        <w:tc>
          <w:tcPr>
            <w:tcW w:w="0" w:type="auto"/>
            <w:vMerge w:val="restart"/>
            <w:noWrap w:val="0"/>
            <w:vAlign w:val="center"/>
          </w:tcPr>
          <w:p w14:paraId="30814E22">
            <w:pPr>
              <w:spacing w:before="100" w:beforeAutospacing="1" w:after="100" w:afterAutospacing="1" w:line="240" w:lineRule="atLeast"/>
              <w:jc w:val="center"/>
              <w:rPr>
                <w:rFonts w:eastAsia="楷体_GB2312"/>
                <w:kern w:val="0"/>
                <w:szCs w:val="21"/>
              </w:rPr>
            </w:pPr>
            <w:r>
              <w:rPr>
                <w:rFonts w:hint="eastAsia" w:eastAsia="楷体_GB2312"/>
                <w:kern w:val="0"/>
                <w:szCs w:val="21"/>
              </w:rPr>
              <w:t>西二铺乡</w:t>
            </w:r>
          </w:p>
        </w:tc>
        <w:tc>
          <w:tcPr>
            <w:tcW w:w="0" w:type="auto"/>
            <w:noWrap w:val="0"/>
            <w:vAlign w:val="center"/>
          </w:tcPr>
          <w:p w14:paraId="6C5B5166">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58F3051A">
            <w:pPr>
              <w:spacing w:before="100" w:beforeAutospacing="1" w:after="100" w:afterAutospacing="1" w:line="240" w:lineRule="atLeast"/>
              <w:jc w:val="center"/>
              <w:rPr>
                <w:rFonts w:eastAsia="楷体_GB2312"/>
                <w:kern w:val="0"/>
                <w:szCs w:val="21"/>
              </w:rPr>
            </w:pPr>
            <w:r>
              <w:rPr>
                <w:rFonts w:hint="eastAsia" w:eastAsia="楷体_GB2312"/>
                <w:kern w:val="0"/>
                <w:szCs w:val="21"/>
              </w:rPr>
              <w:t>17</w:t>
            </w:r>
          </w:p>
        </w:tc>
        <w:tc>
          <w:tcPr>
            <w:tcW w:w="1105" w:type="dxa"/>
            <w:noWrap w:val="0"/>
            <w:vAlign w:val="center"/>
          </w:tcPr>
          <w:p w14:paraId="454BF017">
            <w:pPr>
              <w:spacing w:before="100" w:beforeAutospacing="1" w:after="100" w:afterAutospacing="1" w:line="240" w:lineRule="atLeast"/>
              <w:jc w:val="center"/>
              <w:rPr>
                <w:rFonts w:eastAsia="楷体_GB2312"/>
                <w:szCs w:val="21"/>
              </w:rPr>
            </w:pPr>
            <w:r>
              <w:rPr>
                <w:rFonts w:hint="eastAsia" w:eastAsia="楷体_GB2312"/>
                <w:szCs w:val="21"/>
              </w:rPr>
              <w:t>3</w:t>
            </w:r>
          </w:p>
        </w:tc>
        <w:tc>
          <w:tcPr>
            <w:tcW w:w="1081" w:type="dxa"/>
            <w:noWrap w:val="0"/>
            <w:vAlign w:val="center"/>
          </w:tcPr>
          <w:p w14:paraId="13B75F06">
            <w:pPr>
              <w:jc w:val="center"/>
              <w:rPr>
                <w:rFonts w:ascii="宋体" w:hAnsi="宋体" w:cs="宋体"/>
                <w:color w:val="000000"/>
                <w:sz w:val="22"/>
                <w:szCs w:val="22"/>
              </w:rPr>
            </w:pPr>
            <w:r>
              <w:rPr>
                <w:rFonts w:hint="eastAsia"/>
                <w:color w:val="000000"/>
                <w:sz w:val="22"/>
                <w:szCs w:val="22"/>
              </w:rPr>
              <w:t>515</w:t>
            </w:r>
          </w:p>
        </w:tc>
        <w:tc>
          <w:tcPr>
            <w:tcW w:w="0" w:type="auto"/>
            <w:noWrap w:val="0"/>
            <w:vAlign w:val="center"/>
          </w:tcPr>
          <w:p w14:paraId="61C7F8C3">
            <w:pPr>
              <w:spacing w:before="100" w:beforeAutospacing="1" w:after="100" w:afterAutospacing="1" w:line="240" w:lineRule="atLeast"/>
              <w:jc w:val="center"/>
              <w:rPr>
                <w:rFonts w:eastAsia="楷体_GB2312"/>
                <w:kern w:val="0"/>
                <w:szCs w:val="21"/>
              </w:rPr>
            </w:pPr>
            <w:r>
              <w:rPr>
                <w:rFonts w:hint="eastAsia" w:eastAsia="楷体_GB2312"/>
                <w:kern w:val="0"/>
                <w:szCs w:val="21"/>
              </w:rPr>
              <w:t>18</w:t>
            </w:r>
          </w:p>
        </w:tc>
        <w:tc>
          <w:tcPr>
            <w:tcW w:w="0" w:type="auto"/>
            <w:noWrap w:val="0"/>
            <w:vAlign w:val="center"/>
          </w:tcPr>
          <w:p w14:paraId="2FBC2874">
            <w:pPr>
              <w:spacing w:before="100" w:beforeAutospacing="1" w:after="100" w:afterAutospacing="1" w:line="240" w:lineRule="atLeast"/>
              <w:jc w:val="center"/>
              <w:rPr>
                <w:rFonts w:eastAsia="楷体_GB2312"/>
                <w:szCs w:val="21"/>
              </w:rPr>
            </w:pPr>
            <w:r>
              <w:rPr>
                <w:rFonts w:hint="eastAsia" w:eastAsia="楷体_GB2312"/>
                <w:szCs w:val="21"/>
              </w:rPr>
              <w:t>3</w:t>
            </w:r>
          </w:p>
        </w:tc>
        <w:tc>
          <w:tcPr>
            <w:tcW w:w="0" w:type="auto"/>
            <w:noWrap w:val="0"/>
            <w:vAlign w:val="center"/>
          </w:tcPr>
          <w:p w14:paraId="392C686D">
            <w:pPr>
              <w:jc w:val="center"/>
              <w:rPr>
                <w:rFonts w:ascii="宋体" w:hAnsi="宋体" w:cs="宋体"/>
                <w:color w:val="000000"/>
                <w:sz w:val="22"/>
                <w:szCs w:val="22"/>
              </w:rPr>
            </w:pPr>
            <w:r>
              <w:rPr>
                <w:rFonts w:hint="eastAsia"/>
                <w:color w:val="000000"/>
                <w:sz w:val="22"/>
                <w:szCs w:val="22"/>
              </w:rPr>
              <w:t>360</w:t>
            </w:r>
          </w:p>
        </w:tc>
      </w:tr>
      <w:tr w14:paraId="65420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0134B2F">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8D61F39">
            <w:pPr>
              <w:spacing w:before="100" w:beforeAutospacing="1" w:after="100" w:afterAutospacing="1" w:line="240" w:lineRule="atLeast"/>
              <w:jc w:val="center"/>
              <w:rPr>
                <w:rFonts w:eastAsia="楷体_GB2312"/>
                <w:kern w:val="0"/>
                <w:szCs w:val="21"/>
              </w:rPr>
            </w:pPr>
          </w:p>
        </w:tc>
        <w:tc>
          <w:tcPr>
            <w:tcW w:w="0" w:type="auto"/>
            <w:noWrap w:val="0"/>
            <w:vAlign w:val="center"/>
          </w:tcPr>
          <w:p w14:paraId="6BD6F9AE">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46AEEAD4">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1105" w:type="dxa"/>
            <w:noWrap w:val="0"/>
            <w:vAlign w:val="center"/>
          </w:tcPr>
          <w:p w14:paraId="32BCB8FC">
            <w:pPr>
              <w:spacing w:before="100" w:beforeAutospacing="1" w:after="100" w:afterAutospacing="1" w:line="240" w:lineRule="atLeast"/>
              <w:jc w:val="center"/>
              <w:rPr>
                <w:rFonts w:eastAsia="楷体_GB2312"/>
                <w:szCs w:val="21"/>
              </w:rPr>
            </w:pPr>
            <w:r>
              <w:rPr>
                <w:rFonts w:hint="eastAsia" w:eastAsia="楷体_GB2312"/>
                <w:szCs w:val="21"/>
              </w:rPr>
              <w:t>2</w:t>
            </w:r>
          </w:p>
        </w:tc>
        <w:tc>
          <w:tcPr>
            <w:tcW w:w="1081" w:type="dxa"/>
            <w:noWrap w:val="0"/>
            <w:vAlign w:val="center"/>
          </w:tcPr>
          <w:p w14:paraId="6EC71A61">
            <w:pPr>
              <w:jc w:val="center"/>
              <w:rPr>
                <w:rFonts w:ascii="宋体" w:hAnsi="宋体" w:cs="宋体"/>
                <w:color w:val="000000"/>
                <w:sz w:val="22"/>
                <w:szCs w:val="22"/>
              </w:rPr>
            </w:pPr>
            <w:r>
              <w:rPr>
                <w:rFonts w:hint="eastAsia"/>
                <w:color w:val="000000"/>
                <w:sz w:val="22"/>
                <w:szCs w:val="22"/>
              </w:rPr>
              <w:t>387</w:t>
            </w:r>
          </w:p>
        </w:tc>
        <w:tc>
          <w:tcPr>
            <w:tcW w:w="0" w:type="auto"/>
            <w:noWrap w:val="0"/>
            <w:vAlign w:val="center"/>
          </w:tcPr>
          <w:p w14:paraId="49FFFBD9">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0" w:type="auto"/>
            <w:noWrap w:val="0"/>
            <w:vAlign w:val="center"/>
          </w:tcPr>
          <w:p w14:paraId="378FF3C2">
            <w:pPr>
              <w:spacing w:before="100" w:beforeAutospacing="1" w:after="100" w:afterAutospacing="1" w:line="240" w:lineRule="atLeast"/>
              <w:jc w:val="center"/>
              <w:rPr>
                <w:rFonts w:eastAsia="楷体_GB2312"/>
                <w:szCs w:val="21"/>
              </w:rPr>
            </w:pPr>
            <w:r>
              <w:rPr>
                <w:rFonts w:hint="eastAsia" w:eastAsia="楷体_GB2312"/>
                <w:szCs w:val="21"/>
              </w:rPr>
              <w:t>2</w:t>
            </w:r>
          </w:p>
        </w:tc>
        <w:tc>
          <w:tcPr>
            <w:tcW w:w="0" w:type="auto"/>
            <w:noWrap w:val="0"/>
            <w:vAlign w:val="center"/>
          </w:tcPr>
          <w:p w14:paraId="1B6566AA">
            <w:pPr>
              <w:jc w:val="center"/>
              <w:rPr>
                <w:rFonts w:ascii="宋体" w:hAnsi="宋体" w:cs="宋体"/>
                <w:color w:val="000000"/>
                <w:sz w:val="22"/>
                <w:szCs w:val="22"/>
              </w:rPr>
            </w:pPr>
            <w:r>
              <w:rPr>
                <w:rFonts w:hint="eastAsia"/>
                <w:color w:val="000000"/>
                <w:sz w:val="22"/>
                <w:szCs w:val="22"/>
              </w:rPr>
              <w:t>285</w:t>
            </w:r>
          </w:p>
        </w:tc>
      </w:tr>
      <w:tr w14:paraId="7E114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6797BE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39D76155">
            <w:pPr>
              <w:spacing w:before="100" w:beforeAutospacing="1" w:after="100" w:afterAutospacing="1" w:line="240" w:lineRule="atLeast"/>
              <w:jc w:val="center"/>
              <w:rPr>
                <w:rFonts w:eastAsia="楷体_GB2312"/>
                <w:kern w:val="0"/>
                <w:szCs w:val="21"/>
              </w:rPr>
            </w:pPr>
          </w:p>
        </w:tc>
        <w:tc>
          <w:tcPr>
            <w:tcW w:w="0" w:type="auto"/>
            <w:noWrap w:val="0"/>
            <w:vAlign w:val="center"/>
          </w:tcPr>
          <w:p w14:paraId="3217717A">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50438964">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1105" w:type="dxa"/>
            <w:noWrap w:val="0"/>
            <w:vAlign w:val="center"/>
          </w:tcPr>
          <w:p w14:paraId="495A334D">
            <w:pPr>
              <w:spacing w:before="100" w:beforeAutospacing="1" w:after="100" w:afterAutospacing="1" w:line="240" w:lineRule="atLeast"/>
              <w:jc w:val="center"/>
              <w:rPr>
                <w:rFonts w:eastAsia="楷体_GB2312"/>
                <w:szCs w:val="21"/>
              </w:rPr>
            </w:pPr>
            <w:r>
              <w:rPr>
                <w:rFonts w:hint="eastAsia" w:eastAsia="楷体_GB2312"/>
                <w:szCs w:val="21"/>
              </w:rPr>
              <w:t>1</w:t>
            </w:r>
          </w:p>
        </w:tc>
        <w:tc>
          <w:tcPr>
            <w:tcW w:w="1081" w:type="dxa"/>
            <w:noWrap w:val="0"/>
            <w:vAlign w:val="center"/>
          </w:tcPr>
          <w:p w14:paraId="3318679C">
            <w:pPr>
              <w:jc w:val="center"/>
              <w:rPr>
                <w:rFonts w:ascii="宋体" w:hAnsi="宋体" w:cs="宋体"/>
                <w:color w:val="000000"/>
                <w:sz w:val="22"/>
                <w:szCs w:val="22"/>
              </w:rPr>
            </w:pPr>
            <w:r>
              <w:rPr>
                <w:rFonts w:hint="eastAsia"/>
                <w:color w:val="000000"/>
                <w:sz w:val="22"/>
                <w:szCs w:val="22"/>
              </w:rPr>
              <w:t>316</w:t>
            </w:r>
          </w:p>
        </w:tc>
        <w:tc>
          <w:tcPr>
            <w:tcW w:w="0" w:type="auto"/>
            <w:noWrap w:val="0"/>
            <w:vAlign w:val="center"/>
          </w:tcPr>
          <w:p w14:paraId="07DE7140">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341028DD">
            <w:pPr>
              <w:spacing w:before="100" w:beforeAutospacing="1" w:after="100" w:afterAutospacing="1" w:line="240" w:lineRule="atLeast"/>
              <w:jc w:val="center"/>
              <w:rPr>
                <w:rFonts w:eastAsia="楷体_GB2312"/>
                <w:szCs w:val="21"/>
              </w:rPr>
            </w:pPr>
            <w:r>
              <w:rPr>
                <w:rFonts w:hint="eastAsia" w:eastAsia="楷体_GB2312"/>
                <w:szCs w:val="21"/>
              </w:rPr>
              <w:t>1</w:t>
            </w:r>
          </w:p>
        </w:tc>
        <w:tc>
          <w:tcPr>
            <w:tcW w:w="0" w:type="auto"/>
            <w:noWrap w:val="0"/>
            <w:vAlign w:val="center"/>
          </w:tcPr>
          <w:p w14:paraId="19E2A17C">
            <w:pPr>
              <w:jc w:val="center"/>
              <w:rPr>
                <w:rFonts w:ascii="宋体" w:hAnsi="宋体" w:cs="宋体"/>
                <w:color w:val="000000"/>
                <w:sz w:val="22"/>
                <w:szCs w:val="22"/>
              </w:rPr>
            </w:pPr>
            <w:r>
              <w:rPr>
                <w:rFonts w:hint="eastAsia"/>
                <w:color w:val="000000"/>
                <w:sz w:val="22"/>
                <w:szCs w:val="22"/>
              </w:rPr>
              <w:t>213</w:t>
            </w:r>
          </w:p>
        </w:tc>
      </w:tr>
      <w:tr w14:paraId="1AA6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35F4068D">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vMerge w:val="restart"/>
            <w:noWrap w:val="0"/>
            <w:vAlign w:val="center"/>
          </w:tcPr>
          <w:p w14:paraId="57C720E9">
            <w:pPr>
              <w:spacing w:before="100" w:beforeAutospacing="1" w:after="100" w:afterAutospacing="1" w:line="240" w:lineRule="atLeast"/>
              <w:jc w:val="center"/>
              <w:rPr>
                <w:rFonts w:eastAsia="楷体_GB2312"/>
                <w:kern w:val="0"/>
                <w:szCs w:val="21"/>
              </w:rPr>
            </w:pPr>
            <w:r>
              <w:rPr>
                <w:rFonts w:hint="eastAsia" w:eastAsia="楷体_GB2312"/>
                <w:kern w:val="0"/>
                <w:szCs w:val="21"/>
              </w:rPr>
              <w:t>桃园镇</w:t>
            </w:r>
          </w:p>
        </w:tc>
        <w:tc>
          <w:tcPr>
            <w:tcW w:w="0" w:type="auto"/>
            <w:noWrap w:val="0"/>
            <w:vAlign w:val="center"/>
          </w:tcPr>
          <w:p w14:paraId="14459708">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49D1AAAF">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1105" w:type="dxa"/>
            <w:noWrap w:val="0"/>
            <w:vAlign w:val="center"/>
          </w:tcPr>
          <w:p w14:paraId="3C727713">
            <w:pPr>
              <w:spacing w:before="100" w:beforeAutospacing="1" w:after="100" w:afterAutospacing="1" w:line="240" w:lineRule="atLeast"/>
              <w:jc w:val="center"/>
              <w:rPr>
                <w:szCs w:val="21"/>
              </w:rPr>
            </w:pPr>
            <w:r>
              <w:rPr>
                <w:rFonts w:hint="eastAsia"/>
                <w:szCs w:val="21"/>
              </w:rPr>
              <w:t>3</w:t>
            </w:r>
          </w:p>
        </w:tc>
        <w:tc>
          <w:tcPr>
            <w:tcW w:w="1081" w:type="dxa"/>
            <w:noWrap w:val="0"/>
            <w:vAlign w:val="center"/>
          </w:tcPr>
          <w:p w14:paraId="476D3CCA">
            <w:pPr>
              <w:jc w:val="center"/>
              <w:rPr>
                <w:rFonts w:ascii="宋体" w:hAnsi="宋体" w:cs="宋体"/>
                <w:color w:val="000000"/>
                <w:sz w:val="22"/>
                <w:szCs w:val="22"/>
              </w:rPr>
            </w:pPr>
            <w:r>
              <w:rPr>
                <w:rFonts w:hint="eastAsia"/>
                <w:color w:val="000000"/>
                <w:sz w:val="22"/>
                <w:szCs w:val="22"/>
              </w:rPr>
              <w:t>515</w:t>
            </w:r>
          </w:p>
        </w:tc>
        <w:tc>
          <w:tcPr>
            <w:tcW w:w="0" w:type="auto"/>
            <w:noWrap w:val="0"/>
            <w:vAlign w:val="center"/>
          </w:tcPr>
          <w:p w14:paraId="2F163798">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18BB9175">
            <w:pPr>
              <w:spacing w:before="100" w:beforeAutospacing="1" w:after="100" w:afterAutospacing="1" w:line="240" w:lineRule="atLeast"/>
              <w:jc w:val="center"/>
              <w:rPr>
                <w:szCs w:val="21"/>
              </w:rPr>
            </w:pPr>
            <w:r>
              <w:rPr>
                <w:rFonts w:hint="eastAsia"/>
                <w:szCs w:val="21"/>
              </w:rPr>
              <w:t>3</w:t>
            </w:r>
          </w:p>
        </w:tc>
        <w:tc>
          <w:tcPr>
            <w:tcW w:w="0" w:type="auto"/>
            <w:noWrap w:val="0"/>
            <w:vAlign w:val="center"/>
          </w:tcPr>
          <w:p w14:paraId="1E7220A2">
            <w:pPr>
              <w:jc w:val="center"/>
              <w:rPr>
                <w:rFonts w:ascii="宋体" w:hAnsi="宋体" w:cs="宋体"/>
                <w:color w:val="000000"/>
                <w:sz w:val="22"/>
                <w:szCs w:val="22"/>
              </w:rPr>
            </w:pPr>
            <w:r>
              <w:rPr>
                <w:rFonts w:hint="eastAsia"/>
                <w:color w:val="000000"/>
                <w:sz w:val="22"/>
                <w:szCs w:val="22"/>
              </w:rPr>
              <w:t>380</w:t>
            </w:r>
          </w:p>
        </w:tc>
      </w:tr>
      <w:tr w14:paraId="29F89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8B47CB9">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B07845D">
            <w:pPr>
              <w:spacing w:before="100" w:beforeAutospacing="1" w:after="100" w:afterAutospacing="1" w:line="240" w:lineRule="atLeast"/>
              <w:jc w:val="center"/>
              <w:rPr>
                <w:rFonts w:eastAsia="楷体_GB2312"/>
                <w:kern w:val="0"/>
                <w:szCs w:val="21"/>
              </w:rPr>
            </w:pPr>
          </w:p>
        </w:tc>
        <w:tc>
          <w:tcPr>
            <w:tcW w:w="0" w:type="auto"/>
            <w:noWrap w:val="0"/>
            <w:vAlign w:val="center"/>
          </w:tcPr>
          <w:p w14:paraId="4A253BE2">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0899F204">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1105" w:type="dxa"/>
            <w:noWrap w:val="0"/>
            <w:vAlign w:val="center"/>
          </w:tcPr>
          <w:p w14:paraId="24F70929">
            <w:pPr>
              <w:spacing w:before="100" w:beforeAutospacing="1" w:after="100" w:afterAutospacing="1" w:line="240" w:lineRule="atLeast"/>
              <w:jc w:val="center"/>
              <w:rPr>
                <w:szCs w:val="21"/>
              </w:rPr>
            </w:pPr>
            <w:r>
              <w:rPr>
                <w:rFonts w:hint="eastAsia"/>
                <w:szCs w:val="21"/>
              </w:rPr>
              <w:t>2</w:t>
            </w:r>
          </w:p>
        </w:tc>
        <w:tc>
          <w:tcPr>
            <w:tcW w:w="1081" w:type="dxa"/>
            <w:noWrap w:val="0"/>
            <w:vAlign w:val="center"/>
          </w:tcPr>
          <w:p w14:paraId="1CC872FE">
            <w:pPr>
              <w:jc w:val="center"/>
              <w:rPr>
                <w:rFonts w:ascii="宋体" w:hAnsi="宋体" w:cs="宋体"/>
                <w:color w:val="000000"/>
                <w:sz w:val="22"/>
                <w:szCs w:val="22"/>
              </w:rPr>
            </w:pPr>
            <w:r>
              <w:rPr>
                <w:rFonts w:hint="eastAsia"/>
                <w:color w:val="000000"/>
                <w:sz w:val="22"/>
                <w:szCs w:val="22"/>
              </w:rPr>
              <w:t>385</w:t>
            </w:r>
          </w:p>
        </w:tc>
        <w:tc>
          <w:tcPr>
            <w:tcW w:w="0" w:type="auto"/>
            <w:noWrap w:val="0"/>
            <w:vAlign w:val="center"/>
          </w:tcPr>
          <w:p w14:paraId="660CC6CA">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3C3B7F1B">
            <w:pPr>
              <w:spacing w:before="100" w:beforeAutospacing="1" w:after="100" w:afterAutospacing="1" w:line="240" w:lineRule="atLeast"/>
              <w:jc w:val="center"/>
              <w:rPr>
                <w:szCs w:val="21"/>
              </w:rPr>
            </w:pPr>
            <w:r>
              <w:rPr>
                <w:rFonts w:hint="eastAsia"/>
                <w:szCs w:val="21"/>
              </w:rPr>
              <w:t>2</w:t>
            </w:r>
          </w:p>
        </w:tc>
        <w:tc>
          <w:tcPr>
            <w:tcW w:w="0" w:type="auto"/>
            <w:noWrap w:val="0"/>
            <w:vAlign w:val="center"/>
          </w:tcPr>
          <w:p w14:paraId="4B4AA6CF">
            <w:pPr>
              <w:jc w:val="center"/>
              <w:rPr>
                <w:rFonts w:ascii="宋体" w:hAnsi="宋体" w:cs="宋体"/>
                <w:color w:val="000000"/>
                <w:sz w:val="22"/>
                <w:szCs w:val="22"/>
              </w:rPr>
            </w:pPr>
            <w:r>
              <w:rPr>
                <w:rFonts w:hint="eastAsia"/>
                <w:color w:val="000000"/>
                <w:sz w:val="22"/>
                <w:szCs w:val="22"/>
              </w:rPr>
              <w:t>283</w:t>
            </w:r>
          </w:p>
        </w:tc>
      </w:tr>
      <w:tr w14:paraId="360A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FA15835">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30DAFFF2">
            <w:pPr>
              <w:spacing w:before="100" w:beforeAutospacing="1" w:after="100" w:afterAutospacing="1" w:line="240" w:lineRule="atLeast"/>
              <w:jc w:val="center"/>
              <w:rPr>
                <w:rFonts w:eastAsia="楷体_GB2312"/>
                <w:kern w:val="0"/>
                <w:szCs w:val="21"/>
              </w:rPr>
            </w:pPr>
          </w:p>
        </w:tc>
        <w:tc>
          <w:tcPr>
            <w:tcW w:w="0" w:type="auto"/>
            <w:noWrap w:val="0"/>
            <w:vAlign w:val="center"/>
          </w:tcPr>
          <w:p w14:paraId="119D9D05">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69ADEDC7">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1105" w:type="dxa"/>
            <w:noWrap w:val="0"/>
            <w:vAlign w:val="center"/>
          </w:tcPr>
          <w:p w14:paraId="03279359">
            <w:pPr>
              <w:spacing w:before="100" w:beforeAutospacing="1" w:after="100" w:afterAutospacing="1" w:line="240" w:lineRule="atLeast"/>
              <w:jc w:val="center"/>
              <w:rPr>
                <w:szCs w:val="21"/>
              </w:rPr>
            </w:pPr>
            <w:r>
              <w:rPr>
                <w:rFonts w:hint="eastAsia"/>
                <w:szCs w:val="21"/>
              </w:rPr>
              <w:t>1</w:t>
            </w:r>
          </w:p>
        </w:tc>
        <w:tc>
          <w:tcPr>
            <w:tcW w:w="1081" w:type="dxa"/>
            <w:noWrap w:val="0"/>
            <w:vAlign w:val="center"/>
          </w:tcPr>
          <w:p w14:paraId="19FE2596">
            <w:pPr>
              <w:jc w:val="center"/>
              <w:rPr>
                <w:rFonts w:ascii="宋体" w:hAnsi="宋体" w:cs="宋体"/>
                <w:color w:val="000000"/>
                <w:sz w:val="22"/>
                <w:szCs w:val="22"/>
              </w:rPr>
            </w:pPr>
            <w:r>
              <w:rPr>
                <w:rFonts w:hint="eastAsia"/>
                <w:color w:val="000000"/>
                <w:sz w:val="22"/>
                <w:szCs w:val="22"/>
              </w:rPr>
              <w:t>315</w:t>
            </w:r>
          </w:p>
        </w:tc>
        <w:tc>
          <w:tcPr>
            <w:tcW w:w="0" w:type="auto"/>
            <w:noWrap w:val="0"/>
            <w:vAlign w:val="center"/>
          </w:tcPr>
          <w:p w14:paraId="299D72BF">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0734591D">
            <w:pPr>
              <w:spacing w:before="100" w:beforeAutospacing="1" w:after="100" w:afterAutospacing="1" w:line="240" w:lineRule="atLeast"/>
              <w:jc w:val="center"/>
              <w:rPr>
                <w:szCs w:val="21"/>
              </w:rPr>
            </w:pPr>
            <w:r>
              <w:rPr>
                <w:rFonts w:hint="eastAsia"/>
                <w:szCs w:val="21"/>
              </w:rPr>
              <w:t>1</w:t>
            </w:r>
          </w:p>
        </w:tc>
        <w:tc>
          <w:tcPr>
            <w:tcW w:w="0" w:type="auto"/>
            <w:noWrap w:val="0"/>
            <w:vAlign w:val="center"/>
          </w:tcPr>
          <w:p w14:paraId="25870F9D">
            <w:pPr>
              <w:jc w:val="center"/>
              <w:rPr>
                <w:rFonts w:ascii="宋体" w:hAnsi="宋体" w:cs="宋体"/>
                <w:color w:val="000000"/>
                <w:sz w:val="22"/>
                <w:szCs w:val="22"/>
              </w:rPr>
            </w:pPr>
            <w:r>
              <w:rPr>
                <w:rFonts w:hint="eastAsia"/>
                <w:color w:val="000000"/>
                <w:sz w:val="22"/>
                <w:szCs w:val="22"/>
              </w:rPr>
              <w:t>204</w:t>
            </w:r>
          </w:p>
        </w:tc>
      </w:tr>
      <w:tr w14:paraId="1015D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08BDB912">
            <w:pPr>
              <w:spacing w:before="100" w:beforeAutospacing="1" w:after="100" w:afterAutospacing="1" w:line="240" w:lineRule="atLeast"/>
              <w:jc w:val="center"/>
              <w:rPr>
                <w:rFonts w:eastAsia="楷体_GB2312"/>
                <w:kern w:val="0"/>
                <w:szCs w:val="21"/>
              </w:rPr>
            </w:pPr>
            <w:r>
              <w:rPr>
                <w:rFonts w:hint="eastAsia" w:eastAsia="楷体_GB2312"/>
                <w:kern w:val="0"/>
                <w:szCs w:val="21"/>
              </w:rPr>
              <w:t>11</w:t>
            </w:r>
          </w:p>
        </w:tc>
        <w:tc>
          <w:tcPr>
            <w:tcW w:w="0" w:type="auto"/>
            <w:vMerge w:val="restart"/>
            <w:noWrap w:val="0"/>
            <w:vAlign w:val="center"/>
          </w:tcPr>
          <w:p w14:paraId="2F460A4B">
            <w:pPr>
              <w:spacing w:before="100" w:beforeAutospacing="1" w:after="100" w:afterAutospacing="1" w:line="240" w:lineRule="atLeast"/>
              <w:jc w:val="center"/>
              <w:rPr>
                <w:rFonts w:eastAsia="楷体_GB2312"/>
                <w:kern w:val="0"/>
                <w:szCs w:val="21"/>
              </w:rPr>
            </w:pPr>
            <w:r>
              <w:rPr>
                <w:rFonts w:hint="eastAsia" w:eastAsia="楷体_GB2312"/>
                <w:kern w:val="0"/>
                <w:szCs w:val="21"/>
              </w:rPr>
              <w:t>曹村镇</w:t>
            </w:r>
          </w:p>
        </w:tc>
        <w:tc>
          <w:tcPr>
            <w:tcW w:w="0" w:type="auto"/>
            <w:noWrap w:val="0"/>
            <w:vAlign w:val="center"/>
          </w:tcPr>
          <w:p w14:paraId="026B9ABC">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5C6BA6F3">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1105" w:type="dxa"/>
            <w:noWrap w:val="0"/>
            <w:vAlign w:val="center"/>
          </w:tcPr>
          <w:p w14:paraId="0E1662FD">
            <w:pPr>
              <w:spacing w:before="100" w:beforeAutospacing="1" w:after="100" w:afterAutospacing="1" w:line="240" w:lineRule="atLeast"/>
              <w:jc w:val="center"/>
              <w:rPr>
                <w:rFonts w:eastAsia="楷体_GB2312"/>
                <w:szCs w:val="21"/>
              </w:rPr>
            </w:pPr>
            <w:r>
              <w:rPr>
                <w:rFonts w:hint="eastAsia" w:eastAsia="楷体_GB2312"/>
                <w:szCs w:val="21"/>
              </w:rPr>
              <w:t>3</w:t>
            </w:r>
          </w:p>
        </w:tc>
        <w:tc>
          <w:tcPr>
            <w:tcW w:w="1081" w:type="dxa"/>
            <w:noWrap w:val="0"/>
            <w:vAlign w:val="center"/>
          </w:tcPr>
          <w:p w14:paraId="36999D6E">
            <w:pPr>
              <w:jc w:val="center"/>
              <w:rPr>
                <w:rFonts w:ascii="宋体" w:hAnsi="宋体" w:cs="宋体"/>
                <w:color w:val="000000"/>
                <w:sz w:val="22"/>
                <w:szCs w:val="22"/>
              </w:rPr>
            </w:pPr>
            <w:r>
              <w:rPr>
                <w:rFonts w:hint="eastAsia"/>
                <w:color w:val="000000"/>
                <w:sz w:val="22"/>
                <w:szCs w:val="22"/>
              </w:rPr>
              <w:t>475</w:t>
            </w:r>
          </w:p>
        </w:tc>
        <w:tc>
          <w:tcPr>
            <w:tcW w:w="0" w:type="auto"/>
            <w:noWrap w:val="0"/>
            <w:vAlign w:val="center"/>
          </w:tcPr>
          <w:p w14:paraId="5F5D67E2">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2517D7B1">
            <w:pPr>
              <w:spacing w:before="100" w:beforeAutospacing="1" w:after="100" w:afterAutospacing="1" w:line="240" w:lineRule="atLeast"/>
              <w:jc w:val="center"/>
              <w:rPr>
                <w:rFonts w:eastAsia="楷体_GB2312"/>
                <w:szCs w:val="21"/>
              </w:rPr>
            </w:pPr>
            <w:r>
              <w:rPr>
                <w:rFonts w:hint="eastAsia" w:eastAsia="楷体_GB2312"/>
                <w:szCs w:val="21"/>
              </w:rPr>
              <w:t>3</w:t>
            </w:r>
          </w:p>
        </w:tc>
        <w:tc>
          <w:tcPr>
            <w:tcW w:w="0" w:type="auto"/>
            <w:noWrap w:val="0"/>
            <w:vAlign w:val="center"/>
          </w:tcPr>
          <w:p w14:paraId="64A213B1">
            <w:pPr>
              <w:jc w:val="center"/>
              <w:rPr>
                <w:rFonts w:ascii="宋体" w:hAnsi="宋体" w:cs="宋体"/>
                <w:color w:val="000000"/>
                <w:sz w:val="22"/>
                <w:szCs w:val="22"/>
              </w:rPr>
            </w:pPr>
            <w:r>
              <w:rPr>
                <w:rFonts w:hint="eastAsia"/>
                <w:color w:val="000000"/>
                <w:sz w:val="22"/>
                <w:szCs w:val="22"/>
              </w:rPr>
              <w:t>346</w:t>
            </w:r>
          </w:p>
        </w:tc>
      </w:tr>
      <w:tr w14:paraId="3CFDF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7D79B3C">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B6D76E2">
            <w:pPr>
              <w:spacing w:before="100" w:beforeAutospacing="1" w:after="100" w:afterAutospacing="1" w:line="240" w:lineRule="atLeast"/>
              <w:jc w:val="center"/>
              <w:rPr>
                <w:rFonts w:eastAsia="楷体_GB2312"/>
                <w:kern w:val="0"/>
                <w:szCs w:val="21"/>
              </w:rPr>
            </w:pPr>
          </w:p>
        </w:tc>
        <w:tc>
          <w:tcPr>
            <w:tcW w:w="0" w:type="auto"/>
            <w:noWrap w:val="0"/>
            <w:vAlign w:val="center"/>
          </w:tcPr>
          <w:p w14:paraId="1FC4F910">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0B99DA30">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1105" w:type="dxa"/>
            <w:noWrap w:val="0"/>
            <w:vAlign w:val="center"/>
          </w:tcPr>
          <w:p w14:paraId="552FD296">
            <w:pPr>
              <w:spacing w:before="100" w:beforeAutospacing="1" w:after="100" w:afterAutospacing="1" w:line="240" w:lineRule="atLeast"/>
              <w:jc w:val="center"/>
              <w:rPr>
                <w:rFonts w:eastAsia="楷体_GB2312"/>
                <w:szCs w:val="21"/>
              </w:rPr>
            </w:pPr>
            <w:r>
              <w:rPr>
                <w:rFonts w:hint="eastAsia" w:eastAsia="楷体_GB2312"/>
                <w:szCs w:val="21"/>
              </w:rPr>
              <w:t>2</w:t>
            </w:r>
          </w:p>
        </w:tc>
        <w:tc>
          <w:tcPr>
            <w:tcW w:w="1081" w:type="dxa"/>
            <w:noWrap w:val="0"/>
            <w:vAlign w:val="center"/>
          </w:tcPr>
          <w:p w14:paraId="7FBE15A9">
            <w:pPr>
              <w:jc w:val="center"/>
              <w:rPr>
                <w:rFonts w:ascii="宋体" w:hAnsi="宋体" w:cs="宋体"/>
                <w:color w:val="000000"/>
                <w:sz w:val="22"/>
                <w:szCs w:val="22"/>
              </w:rPr>
            </w:pPr>
            <w:r>
              <w:rPr>
                <w:rFonts w:hint="eastAsia"/>
                <w:color w:val="000000"/>
                <w:sz w:val="22"/>
                <w:szCs w:val="22"/>
              </w:rPr>
              <w:t>380</w:t>
            </w:r>
          </w:p>
        </w:tc>
        <w:tc>
          <w:tcPr>
            <w:tcW w:w="0" w:type="auto"/>
            <w:noWrap w:val="0"/>
            <w:vAlign w:val="center"/>
          </w:tcPr>
          <w:p w14:paraId="36C3C7BE">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6053E5A1">
            <w:pPr>
              <w:spacing w:before="100" w:beforeAutospacing="1" w:after="100" w:afterAutospacing="1" w:line="240" w:lineRule="atLeast"/>
              <w:jc w:val="center"/>
              <w:rPr>
                <w:rFonts w:eastAsia="楷体_GB2312"/>
                <w:szCs w:val="21"/>
              </w:rPr>
            </w:pPr>
            <w:r>
              <w:rPr>
                <w:rFonts w:hint="eastAsia" w:eastAsia="楷体_GB2312"/>
                <w:szCs w:val="21"/>
              </w:rPr>
              <w:t>2</w:t>
            </w:r>
          </w:p>
        </w:tc>
        <w:tc>
          <w:tcPr>
            <w:tcW w:w="0" w:type="auto"/>
            <w:noWrap w:val="0"/>
            <w:vAlign w:val="center"/>
          </w:tcPr>
          <w:p w14:paraId="58BED833">
            <w:pPr>
              <w:jc w:val="center"/>
              <w:rPr>
                <w:rFonts w:ascii="宋体" w:hAnsi="宋体" w:cs="宋体"/>
                <w:color w:val="000000"/>
                <w:sz w:val="22"/>
                <w:szCs w:val="22"/>
              </w:rPr>
            </w:pPr>
            <w:r>
              <w:rPr>
                <w:rFonts w:hint="eastAsia"/>
                <w:color w:val="000000"/>
                <w:sz w:val="22"/>
                <w:szCs w:val="22"/>
              </w:rPr>
              <w:t>283</w:t>
            </w:r>
          </w:p>
        </w:tc>
      </w:tr>
      <w:tr w14:paraId="5562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33A0BA8">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4CD40B99">
            <w:pPr>
              <w:spacing w:before="100" w:beforeAutospacing="1" w:after="100" w:afterAutospacing="1" w:line="240" w:lineRule="atLeast"/>
              <w:jc w:val="center"/>
              <w:rPr>
                <w:rFonts w:eastAsia="楷体_GB2312"/>
                <w:kern w:val="0"/>
                <w:szCs w:val="21"/>
              </w:rPr>
            </w:pPr>
          </w:p>
        </w:tc>
        <w:tc>
          <w:tcPr>
            <w:tcW w:w="0" w:type="auto"/>
            <w:noWrap w:val="0"/>
            <w:vAlign w:val="center"/>
          </w:tcPr>
          <w:p w14:paraId="52BB8C0D">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7E223D4D">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1105" w:type="dxa"/>
            <w:noWrap w:val="0"/>
            <w:vAlign w:val="center"/>
          </w:tcPr>
          <w:p w14:paraId="20AD6515">
            <w:pPr>
              <w:spacing w:before="100" w:beforeAutospacing="1" w:after="100" w:afterAutospacing="1" w:line="240" w:lineRule="atLeast"/>
              <w:jc w:val="center"/>
              <w:rPr>
                <w:rFonts w:eastAsia="楷体_GB2312"/>
                <w:szCs w:val="21"/>
              </w:rPr>
            </w:pPr>
            <w:r>
              <w:rPr>
                <w:rFonts w:hint="eastAsia" w:eastAsia="楷体_GB2312"/>
                <w:szCs w:val="21"/>
              </w:rPr>
              <w:t>1</w:t>
            </w:r>
          </w:p>
        </w:tc>
        <w:tc>
          <w:tcPr>
            <w:tcW w:w="1081" w:type="dxa"/>
            <w:noWrap w:val="0"/>
            <w:vAlign w:val="center"/>
          </w:tcPr>
          <w:p w14:paraId="1D543788">
            <w:pPr>
              <w:jc w:val="center"/>
              <w:rPr>
                <w:rFonts w:ascii="宋体" w:hAnsi="宋体" w:cs="宋体"/>
                <w:color w:val="000000"/>
                <w:sz w:val="22"/>
                <w:szCs w:val="22"/>
              </w:rPr>
            </w:pPr>
            <w:r>
              <w:rPr>
                <w:rFonts w:hint="eastAsia"/>
                <w:color w:val="000000"/>
                <w:sz w:val="22"/>
                <w:szCs w:val="22"/>
              </w:rPr>
              <w:t>303</w:t>
            </w:r>
          </w:p>
        </w:tc>
        <w:tc>
          <w:tcPr>
            <w:tcW w:w="0" w:type="auto"/>
            <w:noWrap w:val="0"/>
            <w:vAlign w:val="center"/>
          </w:tcPr>
          <w:p w14:paraId="4F7E3490">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7CB9C186">
            <w:pPr>
              <w:spacing w:before="100" w:beforeAutospacing="1" w:after="100" w:afterAutospacing="1" w:line="240" w:lineRule="atLeast"/>
              <w:jc w:val="center"/>
              <w:rPr>
                <w:rFonts w:eastAsia="楷体_GB2312"/>
                <w:szCs w:val="21"/>
              </w:rPr>
            </w:pPr>
            <w:r>
              <w:rPr>
                <w:rFonts w:hint="eastAsia" w:eastAsia="楷体_GB2312"/>
                <w:szCs w:val="21"/>
              </w:rPr>
              <w:t>1</w:t>
            </w:r>
          </w:p>
        </w:tc>
        <w:tc>
          <w:tcPr>
            <w:tcW w:w="0" w:type="auto"/>
            <w:noWrap w:val="0"/>
            <w:vAlign w:val="center"/>
          </w:tcPr>
          <w:p w14:paraId="27CED9CB">
            <w:pPr>
              <w:jc w:val="center"/>
              <w:rPr>
                <w:rFonts w:ascii="宋体" w:hAnsi="宋体" w:cs="宋体"/>
                <w:color w:val="000000"/>
                <w:sz w:val="22"/>
                <w:szCs w:val="22"/>
              </w:rPr>
            </w:pPr>
            <w:r>
              <w:rPr>
                <w:rFonts w:hint="eastAsia"/>
                <w:color w:val="000000"/>
                <w:sz w:val="22"/>
                <w:szCs w:val="22"/>
              </w:rPr>
              <w:t>200</w:t>
            </w:r>
          </w:p>
        </w:tc>
      </w:tr>
      <w:tr w14:paraId="13FBA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2E125A4A">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0" w:type="auto"/>
            <w:vMerge w:val="restart"/>
            <w:noWrap w:val="0"/>
            <w:vAlign w:val="center"/>
          </w:tcPr>
          <w:p w14:paraId="10DB6990">
            <w:pPr>
              <w:spacing w:before="100" w:beforeAutospacing="1" w:after="100" w:afterAutospacing="1" w:line="240" w:lineRule="atLeast"/>
              <w:jc w:val="center"/>
              <w:rPr>
                <w:rFonts w:eastAsia="楷体_GB2312"/>
                <w:kern w:val="0"/>
                <w:szCs w:val="21"/>
              </w:rPr>
            </w:pPr>
            <w:r>
              <w:rPr>
                <w:rFonts w:hint="eastAsia" w:eastAsia="楷体_GB2312"/>
                <w:kern w:val="0"/>
                <w:szCs w:val="21"/>
              </w:rPr>
              <w:t>大营镇</w:t>
            </w:r>
          </w:p>
        </w:tc>
        <w:tc>
          <w:tcPr>
            <w:tcW w:w="0" w:type="auto"/>
            <w:noWrap w:val="0"/>
            <w:vAlign w:val="center"/>
          </w:tcPr>
          <w:p w14:paraId="5F0D0863">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1B2BE10D">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1105" w:type="dxa"/>
            <w:noWrap w:val="0"/>
            <w:vAlign w:val="center"/>
          </w:tcPr>
          <w:p w14:paraId="0B45C32A">
            <w:pPr>
              <w:spacing w:before="100" w:beforeAutospacing="1" w:after="100" w:afterAutospacing="1" w:line="240" w:lineRule="atLeast"/>
              <w:jc w:val="center"/>
              <w:rPr>
                <w:szCs w:val="21"/>
              </w:rPr>
            </w:pPr>
            <w:r>
              <w:rPr>
                <w:rFonts w:hint="eastAsia"/>
                <w:szCs w:val="21"/>
              </w:rPr>
              <w:t>3</w:t>
            </w:r>
          </w:p>
        </w:tc>
        <w:tc>
          <w:tcPr>
            <w:tcW w:w="1081" w:type="dxa"/>
            <w:noWrap w:val="0"/>
            <w:vAlign w:val="center"/>
          </w:tcPr>
          <w:p w14:paraId="3575BF0A">
            <w:pPr>
              <w:jc w:val="center"/>
              <w:rPr>
                <w:rFonts w:ascii="宋体" w:hAnsi="宋体" w:cs="宋体"/>
                <w:color w:val="000000"/>
                <w:sz w:val="22"/>
                <w:szCs w:val="22"/>
              </w:rPr>
            </w:pPr>
            <w:r>
              <w:rPr>
                <w:rFonts w:hint="eastAsia"/>
                <w:color w:val="000000"/>
                <w:sz w:val="22"/>
                <w:szCs w:val="22"/>
              </w:rPr>
              <w:t>461</w:t>
            </w:r>
          </w:p>
        </w:tc>
        <w:tc>
          <w:tcPr>
            <w:tcW w:w="0" w:type="auto"/>
            <w:noWrap w:val="0"/>
            <w:vAlign w:val="center"/>
          </w:tcPr>
          <w:p w14:paraId="3AF16FC8">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3089E347">
            <w:pPr>
              <w:spacing w:before="100" w:beforeAutospacing="1" w:after="100" w:afterAutospacing="1" w:line="240" w:lineRule="atLeast"/>
              <w:jc w:val="center"/>
              <w:rPr>
                <w:szCs w:val="21"/>
              </w:rPr>
            </w:pPr>
            <w:r>
              <w:rPr>
                <w:rFonts w:hint="eastAsia"/>
                <w:szCs w:val="21"/>
              </w:rPr>
              <w:t>3</w:t>
            </w:r>
          </w:p>
        </w:tc>
        <w:tc>
          <w:tcPr>
            <w:tcW w:w="0" w:type="auto"/>
            <w:noWrap w:val="0"/>
            <w:vAlign w:val="center"/>
          </w:tcPr>
          <w:p w14:paraId="4C2B2F39">
            <w:pPr>
              <w:jc w:val="center"/>
              <w:rPr>
                <w:rFonts w:ascii="宋体" w:hAnsi="宋体" w:cs="宋体"/>
                <w:color w:val="000000"/>
                <w:sz w:val="22"/>
                <w:szCs w:val="22"/>
              </w:rPr>
            </w:pPr>
            <w:r>
              <w:rPr>
                <w:rFonts w:hint="eastAsia"/>
                <w:color w:val="000000"/>
                <w:sz w:val="22"/>
                <w:szCs w:val="22"/>
              </w:rPr>
              <w:t>369</w:t>
            </w:r>
          </w:p>
        </w:tc>
      </w:tr>
      <w:tr w14:paraId="50020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C1E8BB0">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CC07DAF">
            <w:pPr>
              <w:spacing w:before="100" w:beforeAutospacing="1" w:after="100" w:afterAutospacing="1" w:line="240" w:lineRule="atLeast"/>
              <w:jc w:val="center"/>
              <w:rPr>
                <w:rFonts w:eastAsia="楷体_GB2312"/>
                <w:kern w:val="0"/>
                <w:szCs w:val="21"/>
              </w:rPr>
            </w:pPr>
          </w:p>
        </w:tc>
        <w:tc>
          <w:tcPr>
            <w:tcW w:w="0" w:type="auto"/>
            <w:noWrap w:val="0"/>
            <w:vAlign w:val="center"/>
          </w:tcPr>
          <w:p w14:paraId="1A4E6DAF">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4D03EBBE">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1105" w:type="dxa"/>
            <w:noWrap w:val="0"/>
            <w:vAlign w:val="center"/>
          </w:tcPr>
          <w:p w14:paraId="7EB9718E">
            <w:pPr>
              <w:spacing w:before="100" w:beforeAutospacing="1" w:after="100" w:afterAutospacing="1" w:line="240" w:lineRule="atLeast"/>
              <w:jc w:val="center"/>
              <w:rPr>
                <w:szCs w:val="21"/>
              </w:rPr>
            </w:pPr>
            <w:r>
              <w:rPr>
                <w:rFonts w:hint="eastAsia"/>
                <w:szCs w:val="21"/>
              </w:rPr>
              <w:t>2</w:t>
            </w:r>
          </w:p>
        </w:tc>
        <w:tc>
          <w:tcPr>
            <w:tcW w:w="1081" w:type="dxa"/>
            <w:noWrap w:val="0"/>
            <w:vAlign w:val="center"/>
          </w:tcPr>
          <w:p w14:paraId="3C3E8337">
            <w:pPr>
              <w:jc w:val="center"/>
              <w:rPr>
                <w:rFonts w:ascii="宋体" w:hAnsi="宋体" w:cs="宋体"/>
                <w:color w:val="000000"/>
                <w:sz w:val="22"/>
                <w:szCs w:val="22"/>
              </w:rPr>
            </w:pPr>
            <w:r>
              <w:rPr>
                <w:rFonts w:hint="eastAsia"/>
                <w:color w:val="000000"/>
                <w:sz w:val="22"/>
                <w:szCs w:val="22"/>
              </w:rPr>
              <w:t>390</w:t>
            </w:r>
          </w:p>
        </w:tc>
        <w:tc>
          <w:tcPr>
            <w:tcW w:w="0" w:type="auto"/>
            <w:noWrap w:val="0"/>
            <w:vAlign w:val="center"/>
          </w:tcPr>
          <w:p w14:paraId="25618E95">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noWrap w:val="0"/>
            <w:vAlign w:val="center"/>
          </w:tcPr>
          <w:p w14:paraId="15F888C1">
            <w:pPr>
              <w:spacing w:before="100" w:beforeAutospacing="1" w:after="100" w:afterAutospacing="1" w:line="240" w:lineRule="atLeast"/>
              <w:jc w:val="center"/>
              <w:rPr>
                <w:szCs w:val="21"/>
              </w:rPr>
            </w:pPr>
            <w:r>
              <w:rPr>
                <w:rFonts w:hint="eastAsia"/>
                <w:szCs w:val="21"/>
              </w:rPr>
              <w:t>2</w:t>
            </w:r>
          </w:p>
        </w:tc>
        <w:tc>
          <w:tcPr>
            <w:tcW w:w="0" w:type="auto"/>
            <w:noWrap w:val="0"/>
            <w:vAlign w:val="center"/>
          </w:tcPr>
          <w:p w14:paraId="5C770988">
            <w:pPr>
              <w:jc w:val="center"/>
              <w:rPr>
                <w:rFonts w:ascii="宋体" w:hAnsi="宋体" w:cs="宋体"/>
                <w:color w:val="000000"/>
                <w:sz w:val="22"/>
                <w:szCs w:val="22"/>
              </w:rPr>
            </w:pPr>
            <w:r>
              <w:rPr>
                <w:rFonts w:hint="eastAsia"/>
                <w:color w:val="000000"/>
                <w:sz w:val="22"/>
                <w:szCs w:val="22"/>
              </w:rPr>
              <w:t>265</w:t>
            </w:r>
          </w:p>
        </w:tc>
      </w:tr>
      <w:tr w14:paraId="7F96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0696A7B">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40991AF">
            <w:pPr>
              <w:spacing w:before="100" w:beforeAutospacing="1" w:after="100" w:afterAutospacing="1" w:line="240" w:lineRule="atLeast"/>
              <w:jc w:val="center"/>
              <w:rPr>
                <w:rFonts w:eastAsia="楷体_GB2312"/>
                <w:kern w:val="0"/>
                <w:szCs w:val="21"/>
              </w:rPr>
            </w:pPr>
          </w:p>
        </w:tc>
        <w:tc>
          <w:tcPr>
            <w:tcW w:w="0" w:type="auto"/>
            <w:noWrap w:val="0"/>
            <w:vAlign w:val="center"/>
          </w:tcPr>
          <w:p w14:paraId="00B127C5">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044BCA04">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1105" w:type="dxa"/>
            <w:noWrap w:val="0"/>
            <w:vAlign w:val="center"/>
          </w:tcPr>
          <w:p w14:paraId="60417D8E">
            <w:pPr>
              <w:spacing w:before="100" w:beforeAutospacing="1" w:after="100" w:afterAutospacing="1" w:line="240" w:lineRule="atLeast"/>
              <w:jc w:val="center"/>
              <w:rPr>
                <w:szCs w:val="21"/>
              </w:rPr>
            </w:pPr>
            <w:r>
              <w:rPr>
                <w:rFonts w:hint="eastAsia"/>
                <w:szCs w:val="21"/>
              </w:rPr>
              <w:t>1</w:t>
            </w:r>
          </w:p>
        </w:tc>
        <w:tc>
          <w:tcPr>
            <w:tcW w:w="1081" w:type="dxa"/>
            <w:noWrap w:val="0"/>
            <w:vAlign w:val="center"/>
          </w:tcPr>
          <w:p w14:paraId="4336B512">
            <w:pPr>
              <w:jc w:val="center"/>
              <w:rPr>
                <w:rFonts w:ascii="宋体" w:hAnsi="宋体" w:cs="宋体"/>
                <w:color w:val="000000"/>
                <w:sz w:val="22"/>
                <w:szCs w:val="22"/>
              </w:rPr>
            </w:pPr>
            <w:r>
              <w:rPr>
                <w:rFonts w:hint="eastAsia"/>
                <w:color w:val="000000"/>
                <w:sz w:val="22"/>
                <w:szCs w:val="22"/>
              </w:rPr>
              <w:t>301</w:t>
            </w:r>
          </w:p>
        </w:tc>
        <w:tc>
          <w:tcPr>
            <w:tcW w:w="0" w:type="auto"/>
            <w:noWrap w:val="0"/>
            <w:vAlign w:val="center"/>
          </w:tcPr>
          <w:p w14:paraId="180F5105">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32D87389">
            <w:pPr>
              <w:spacing w:before="100" w:beforeAutospacing="1" w:after="100" w:afterAutospacing="1" w:line="240" w:lineRule="atLeast"/>
              <w:jc w:val="center"/>
              <w:rPr>
                <w:szCs w:val="21"/>
              </w:rPr>
            </w:pPr>
            <w:r>
              <w:rPr>
                <w:rFonts w:hint="eastAsia"/>
                <w:szCs w:val="21"/>
              </w:rPr>
              <w:t>1</w:t>
            </w:r>
          </w:p>
        </w:tc>
        <w:tc>
          <w:tcPr>
            <w:tcW w:w="0" w:type="auto"/>
            <w:noWrap w:val="0"/>
            <w:vAlign w:val="center"/>
          </w:tcPr>
          <w:p w14:paraId="7E08EFBC">
            <w:pPr>
              <w:jc w:val="center"/>
              <w:rPr>
                <w:rFonts w:ascii="宋体" w:hAnsi="宋体" w:cs="宋体"/>
                <w:color w:val="000000"/>
                <w:sz w:val="22"/>
                <w:szCs w:val="22"/>
              </w:rPr>
            </w:pPr>
            <w:r>
              <w:rPr>
                <w:rFonts w:hint="eastAsia"/>
                <w:color w:val="000000"/>
                <w:sz w:val="22"/>
                <w:szCs w:val="22"/>
              </w:rPr>
              <w:t>212</w:t>
            </w:r>
          </w:p>
        </w:tc>
      </w:tr>
      <w:tr w14:paraId="5897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47141098">
            <w:pPr>
              <w:spacing w:before="100" w:beforeAutospacing="1" w:after="100" w:afterAutospacing="1" w:line="240" w:lineRule="atLeast"/>
              <w:jc w:val="center"/>
              <w:rPr>
                <w:rFonts w:eastAsia="楷体_GB2312"/>
                <w:kern w:val="0"/>
                <w:szCs w:val="21"/>
              </w:rPr>
            </w:pPr>
            <w:r>
              <w:rPr>
                <w:rFonts w:hint="eastAsia" w:eastAsia="楷体_GB2312"/>
                <w:kern w:val="0"/>
                <w:szCs w:val="21"/>
              </w:rPr>
              <w:t>13</w:t>
            </w:r>
          </w:p>
        </w:tc>
        <w:tc>
          <w:tcPr>
            <w:tcW w:w="0" w:type="auto"/>
            <w:vMerge w:val="restart"/>
            <w:noWrap w:val="0"/>
            <w:vAlign w:val="center"/>
          </w:tcPr>
          <w:p w14:paraId="04E2E5C3">
            <w:pPr>
              <w:spacing w:before="100" w:beforeAutospacing="1" w:after="100" w:afterAutospacing="1" w:line="240" w:lineRule="atLeast"/>
              <w:jc w:val="center"/>
              <w:rPr>
                <w:rFonts w:eastAsia="楷体_GB2312"/>
                <w:kern w:val="0"/>
                <w:szCs w:val="21"/>
              </w:rPr>
            </w:pPr>
            <w:r>
              <w:rPr>
                <w:rFonts w:hint="eastAsia" w:eastAsia="楷体_GB2312"/>
                <w:kern w:val="0"/>
                <w:szCs w:val="21"/>
              </w:rPr>
              <w:t>褚兰镇</w:t>
            </w:r>
          </w:p>
        </w:tc>
        <w:tc>
          <w:tcPr>
            <w:tcW w:w="0" w:type="auto"/>
            <w:noWrap w:val="0"/>
            <w:vAlign w:val="center"/>
          </w:tcPr>
          <w:p w14:paraId="1BDB9E94">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356A9715">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1105" w:type="dxa"/>
            <w:noWrap w:val="0"/>
            <w:vAlign w:val="center"/>
          </w:tcPr>
          <w:p w14:paraId="004BFF98">
            <w:pPr>
              <w:spacing w:before="100" w:beforeAutospacing="1" w:after="100" w:afterAutospacing="1" w:line="240" w:lineRule="atLeast"/>
              <w:jc w:val="center"/>
              <w:rPr>
                <w:rFonts w:eastAsia="楷体_GB2312"/>
                <w:szCs w:val="21"/>
              </w:rPr>
            </w:pPr>
            <w:r>
              <w:rPr>
                <w:rFonts w:hint="eastAsia" w:eastAsia="楷体_GB2312"/>
                <w:szCs w:val="21"/>
              </w:rPr>
              <w:t>3</w:t>
            </w:r>
          </w:p>
        </w:tc>
        <w:tc>
          <w:tcPr>
            <w:tcW w:w="1081" w:type="dxa"/>
            <w:noWrap w:val="0"/>
            <w:vAlign w:val="center"/>
          </w:tcPr>
          <w:p w14:paraId="151DD362">
            <w:pPr>
              <w:jc w:val="center"/>
              <w:rPr>
                <w:rFonts w:ascii="宋体" w:hAnsi="宋体" w:cs="宋体"/>
                <w:color w:val="000000"/>
                <w:sz w:val="22"/>
                <w:szCs w:val="22"/>
              </w:rPr>
            </w:pPr>
            <w:r>
              <w:rPr>
                <w:rFonts w:hint="eastAsia"/>
                <w:color w:val="000000"/>
                <w:sz w:val="22"/>
                <w:szCs w:val="22"/>
              </w:rPr>
              <w:t>485</w:t>
            </w:r>
          </w:p>
        </w:tc>
        <w:tc>
          <w:tcPr>
            <w:tcW w:w="0" w:type="auto"/>
            <w:noWrap w:val="0"/>
            <w:vAlign w:val="center"/>
          </w:tcPr>
          <w:p w14:paraId="46F588D1">
            <w:pPr>
              <w:spacing w:before="100" w:beforeAutospacing="1" w:after="100" w:afterAutospacing="1" w:line="240" w:lineRule="atLeast"/>
              <w:jc w:val="center"/>
              <w:rPr>
                <w:rFonts w:eastAsia="楷体_GB2312"/>
                <w:kern w:val="0"/>
                <w:szCs w:val="21"/>
              </w:rPr>
            </w:pPr>
            <w:r>
              <w:rPr>
                <w:rFonts w:hint="eastAsia" w:eastAsia="楷体_GB2312"/>
                <w:kern w:val="0"/>
                <w:szCs w:val="21"/>
              </w:rPr>
              <w:t>19</w:t>
            </w:r>
          </w:p>
        </w:tc>
        <w:tc>
          <w:tcPr>
            <w:tcW w:w="0" w:type="auto"/>
            <w:noWrap w:val="0"/>
            <w:vAlign w:val="center"/>
          </w:tcPr>
          <w:p w14:paraId="6B869CCC">
            <w:pPr>
              <w:spacing w:before="100" w:beforeAutospacing="1" w:after="100" w:afterAutospacing="1" w:line="240" w:lineRule="atLeast"/>
              <w:jc w:val="center"/>
              <w:rPr>
                <w:rFonts w:eastAsia="楷体_GB2312"/>
                <w:szCs w:val="21"/>
              </w:rPr>
            </w:pPr>
            <w:r>
              <w:rPr>
                <w:rFonts w:hint="eastAsia" w:eastAsia="楷体_GB2312"/>
                <w:szCs w:val="21"/>
              </w:rPr>
              <w:t>3</w:t>
            </w:r>
          </w:p>
        </w:tc>
        <w:tc>
          <w:tcPr>
            <w:tcW w:w="0" w:type="auto"/>
            <w:noWrap w:val="0"/>
            <w:vAlign w:val="center"/>
          </w:tcPr>
          <w:p w14:paraId="695BC58A">
            <w:pPr>
              <w:jc w:val="center"/>
              <w:rPr>
                <w:rFonts w:ascii="宋体" w:hAnsi="宋体" w:cs="宋体"/>
                <w:color w:val="000000"/>
                <w:sz w:val="22"/>
                <w:szCs w:val="22"/>
              </w:rPr>
            </w:pPr>
            <w:r>
              <w:rPr>
                <w:rFonts w:hint="eastAsia"/>
                <w:color w:val="000000"/>
                <w:sz w:val="22"/>
                <w:szCs w:val="22"/>
              </w:rPr>
              <w:t>343</w:t>
            </w:r>
          </w:p>
        </w:tc>
      </w:tr>
      <w:tr w14:paraId="135B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202A098">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D918B0F">
            <w:pPr>
              <w:spacing w:before="100" w:beforeAutospacing="1" w:after="100" w:afterAutospacing="1" w:line="240" w:lineRule="atLeast"/>
              <w:jc w:val="center"/>
              <w:rPr>
                <w:rFonts w:eastAsia="楷体_GB2312"/>
                <w:kern w:val="0"/>
                <w:szCs w:val="21"/>
              </w:rPr>
            </w:pPr>
          </w:p>
        </w:tc>
        <w:tc>
          <w:tcPr>
            <w:tcW w:w="0" w:type="auto"/>
            <w:noWrap w:val="0"/>
            <w:vAlign w:val="center"/>
          </w:tcPr>
          <w:p w14:paraId="6E5B32D1">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3841D87F">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1105" w:type="dxa"/>
            <w:noWrap w:val="0"/>
            <w:vAlign w:val="center"/>
          </w:tcPr>
          <w:p w14:paraId="69764B7B">
            <w:pPr>
              <w:spacing w:before="100" w:beforeAutospacing="1" w:after="100" w:afterAutospacing="1" w:line="240" w:lineRule="atLeast"/>
              <w:jc w:val="center"/>
              <w:rPr>
                <w:rFonts w:eastAsia="楷体_GB2312"/>
                <w:szCs w:val="21"/>
              </w:rPr>
            </w:pPr>
            <w:r>
              <w:rPr>
                <w:rFonts w:hint="eastAsia" w:eastAsia="楷体_GB2312"/>
                <w:szCs w:val="21"/>
              </w:rPr>
              <w:t>2</w:t>
            </w:r>
          </w:p>
        </w:tc>
        <w:tc>
          <w:tcPr>
            <w:tcW w:w="1081" w:type="dxa"/>
            <w:noWrap w:val="0"/>
            <w:vAlign w:val="center"/>
          </w:tcPr>
          <w:p w14:paraId="1E22A08B">
            <w:pPr>
              <w:jc w:val="center"/>
              <w:rPr>
                <w:rFonts w:ascii="宋体" w:hAnsi="宋体" w:cs="宋体"/>
                <w:color w:val="000000"/>
                <w:sz w:val="22"/>
                <w:szCs w:val="22"/>
              </w:rPr>
            </w:pPr>
            <w:r>
              <w:rPr>
                <w:rFonts w:hint="eastAsia"/>
                <w:color w:val="000000"/>
                <w:sz w:val="22"/>
                <w:szCs w:val="22"/>
              </w:rPr>
              <w:t>356</w:t>
            </w:r>
          </w:p>
        </w:tc>
        <w:tc>
          <w:tcPr>
            <w:tcW w:w="0" w:type="auto"/>
            <w:noWrap w:val="0"/>
            <w:vAlign w:val="center"/>
          </w:tcPr>
          <w:p w14:paraId="1273AC79">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70378588">
            <w:pPr>
              <w:spacing w:before="100" w:beforeAutospacing="1" w:after="100" w:afterAutospacing="1" w:line="240" w:lineRule="atLeast"/>
              <w:jc w:val="center"/>
              <w:rPr>
                <w:rFonts w:eastAsia="楷体_GB2312"/>
                <w:szCs w:val="21"/>
              </w:rPr>
            </w:pPr>
            <w:r>
              <w:rPr>
                <w:rFonts w:hint="eastAsia" w:eastAsia="楷体_GB2312"/>
                <w:szCs w:val="21"/>
              </w:rPr>
              <w:t>2</w:t>
            </w:r>
          </w:p>
        </w:tc>
        <w:tc>
          <w:tcPr>
            <w:tcW w:w="0" w:type="auto"/>
            <w:noWrap w:val="0"/>
            <w:vAlign w:val="center"/>
          </w:tcPr>
          <w:p w14:paraId="2B0E7783">
            <w:pPr>
              <w:jc w:val="center"/>
              <w:rPr>
                <w:rFonts w:ascii="宋体" w:hAnsi="宋体" w:cs="宋体"/>
                <w:color w:val="000000"/>
                <w:sz w:val="22"/>
                <w:szCs w:val="22"/>
              </w:rPr>
            </w:pPr>
            <w:r>
              <w:rPr>
                <w:rFonts w:hint="eastAsia"/>
                <w:color w:val="000000"/>
                <w:sz w:val="22"/>
                <w:szCs w:val="22"/>
              </w:rPr>
              <w:t>281</w:t>
            </w:r>
          </w:p>
        </w:tc>
      </w:tr>
      <w:tr w14:paraId="195A7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9886F5A">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70BF0AD">
            <w:pPr>
              <w:spacing w:before="100" w:beforeAutospacing="1" w:after="100" w:afterAutospacing="1" w:line="240" w:lineRule="atLeast"/>
              <w:jc w:val="center"/>
              <w:rPr>
                <w:rFonts w:eastAsia="楷体_GB2312"/>
                <w:kern w:val="0"/>
                <w:szCs w:val="21"/>
              </w:rPr>
            </w:pPr>
          </w:p>
        </w:tc>
        <w:tc>
          <w:tcPr>
            <w:tcW w:w="0" w:type="auto"/>
            <w:noWrap w:val="0"/>
            <w:vAlign w:val="center"/>
          </w:tcPr>
          <w:p w14:paraId="06E283A0">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209A3273">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1105" w:type="dxa"/>
            <w:noWrap w:val="0"/>
            <w:vAlign w:val="center"/>
          </w:tcPr>
          <w:p w14:paraId="7A599B5B">
            <w:pPr>
              <w:spacing w:before="100" w:beforeAutospacing="1" w:after="100" w:afterAutospacing="1" w:line="240" w:lineRule="atLeast"/>
              <w:jc w:val="center"/>
              <w:rPr>
                <w:rFonts w:eastAsia="楷体_GB2312"/>
                <w:szCs w:val="21"/>
              </w:rPr>
            </w:pPr>
            <w:r>
              <w:rPr>
                <w:rFonts w:hint="eastAsia" w:eastAsia="楷体_GB2312"/>
                <w:szCs w:val="21"/>
              </w:rPr>
              <w:t>1</w:t>
            </w:r>
          </w:p>
        </w:tc>
        <w:tc>
          <w:tcPr>
            <w:tcW w:w="1081" w:type="dxa"/>
            <w:noWrap w:val="0"/>
            <w:vAlign w:val="center"/>
          </w:tcPr>
          <w:p w14:paraId="59669A2E">
            <w:pPr>
              <w:jc w:val="center"/>
              <w:rPr>
                <w:rFonts w:ascii="宋体" w:hAnsi="宋体" w:cs="宋体"/>
                <w:color w:val="000000"/>
                <w:sz w:val="22"/>
                <w:szCs w:val="22"/>
              </w:rPr>
            </w:pPr>
            <w:r>
              <w:rPr>
                <w:rFonts w:hint="eastAsia"/>
                <w:color w:val="000000"/>
                <w:sz w:val="22"/>
                <w:szCs w:val="22"/>
              </w:rPr>
              <w:t>298</w:t>
            </w:r>
          </w:p>
        </w:tc>
        <w:tc>
          <w:tcPr>
            <w:tcW w:w="0" w:type="auto"/>
            <w:noWrap w:val="0"/>
            <w:vAlign w:val="center"/>
          </w:tcPr>
          <w:p w14:paraId="7647A19A">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5F0A321B">
            <w:pPr>
              <w:spacing w:before="100" w:beforeAutospacing="1" w:after="100" w:afterAutospacing="1" w:line="240" w:lineRule="atLeast"/>
              <w:jc w:val="center"/>
              <w:rPr>
                <w:rFonts w:eastAsia="楷体_GB2312"/>
                <w:szCs w:val="21"/>
              </w:rPr>
            </w:pPr>
            <w:r>
              <w:rPr>
                <w:rFonts w:hint="eastAsia" w:eastAsia="楷体_GB2312"/>
                <w:szCs w:val="21"/>
              </w:rPr>
              <w:t>1</w:t>
            </w:r>
          </w:p>
        </w:tc>
        <w:tc>
          <w:tcPr>
            <w:tcW w:w="0" w:type="auto"/>
            <w:noWrap w:val="0"/>
            <w:vAlign w:val="center"/>
          </w:tcPr>
          <w:p w14:paraId="256B21D5">
            <w:pPr>
              <w:jc w:val="center"/>
              <w:rPr>
                <w:rFonts w:ascii="宋体" w:hAnsi="宋体" w:cs="宋体"/>
                <w:color w:val="000000"/>
                <w:sz w:val="22"/>
                <w:szCs w:val="22"/>
              </w:rPr>
            </w:pPr>
            <w:r>
              <w:rPr>
                <w:rFonts w:hint="eastAsia"/>
                <w:color w:val="000000"/>
                <w:sz w:val="22"/>
                <w:szCs w:val="22"/>
              </w:rPr>
              <w:t>199</w:t>
            </w:r>
          </w:p>
        </w:tc>
      </w:tr>
      <w:tr w14:paraId="43335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24D2AD7B">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vMerge w:val="restart"/>
            <w:noWrap w:val="0"/>
            <w:vAlign w:val="center"/>
          </w:tcPr>
          <w:p w14:paraId="026294FD">
            <w:pPr>
              <w:spacing w:before="100" w:beforeAutospacing="1" w:after="100" w:afterAutospacing="1" w:line="240" w:lineRule="atLeast"/>
              <w:jc w:val="center"/>
              <w:rPr>
                <w:rFonts w:eastAsia="楷体_GB2312"/>
                <w:kern w:val="0"/>
                <w:szCs w:val="21"/>
              </w:rPr>
            </w:pPr>
            <w:r>
              <w:rPr>
                <w:rFonts w:hint="eastAsia" w:eastAsia="楷体_GB2312"/>
                <w:kern w:val="0"/>
                <w:szCs w:val="21"/>
              </w:rPr>
              <w:t>顺河镇</w:t>
            </w:r>
          </w:p>
        </w:tc>
        <w:tc>
          <w:tcPr>
            <w:tcW w:w="0" w:type="auto"/>
            <w:noWrap w:val="0"/>
            <w:vAlign w:val="center"/>
          </w:tcPr>
          <w:p w14:paraId="27073365">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422984BB">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1105" w:type="dxa"/>
            <w:noWrap w:val="0"/>
            <w:vAlign w:val="center"/>
          </w:tcPr>
          <w:p w14:paraId="50928048">
            <w:pPr>
              <w:spacing w:before="100" w:beforeAutospacing="1" w:after="100" w:afterAutospacing="1" w:line="240" w:lineRule="atLeast"/>
              <w:jc w:val="center"/>
              <w:rPr>
                <w:szCs w:val="21"/>
              </w:rPr>
            </w:pPr>
            <w:r>
              <w:rPr>
                <w:rFonts w:hint="eastAsia"/>
                <w:szCs w:val="21"/>
              </w:rPr>
              <w:t>3</w:t>
            </w:r>
          </w:p>
        </w:tc>
        <w:tc>
          <w:tcPr>
            <w:tcW w:w="1081" w:type="dxa"/>
            <w:noWrap w:val="0"/>
            <w:vAlign w:val="center"/>
          </w:tcPr>
          <w:p w14:paraId="43D2CCC7">
            <w:pPr>
              <w:jc w:val="center"/>
              <w:rPr>
                <w:rFonts w:ascii="宋体" w:hAnsi="宋体" w:cs="宋体"/>
                <w:color w:val="000000"/>
                <w:sz w:val="22"/>
                <w:szCs w:val="22"/>
              </w:rPr>
            </w:pPr>
            <w:r>
              <w:rPr>
                <w:rFonts w:hint="eastAsia"/>
                <w:color w:val="000000"/>
                <w:sz w:val="22"/>
                <w:szCs w:val="22"/>
              </w:rPr>
              <w:t>451</w:t>
            </w:r>
          </w:p>
        </w:tc>
        <w:tc>
          <w:tcPr>
            <w:tcW w:w="0" w:type="auto"/>
            <w:noWrap w:val="0"/>
            <w:vAlign w:val="center"/>
          </w:tcPr>
          <w:p w14:paraId="50775234">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736EF97E">
            <w:pPr>
              <w:spacing w:before="100" w:beforeAutospacing="1" w:after="100" w:afterAutospacing="1" w:line="240" w:lineRule="atLeast"/>
              <w:jc w:val="center"/>
              <w:rPr>
                <w:szCs w:val="21"/>
              </w:rPr>
            </w:pPr>
            <w:r>
              <w:rPr>
                <w:rFonts w:hint="eastAsia"/>
                <w:szCs w:val="21"/>
              </w:rPr>
              <w:t>3</w:t>
            </w:r>
          </w:p>
        </w:tc>
        <w:tc>
          <w:tcPr>
            <w:tcW w:w="0" w:type="auto"/>
            <w:noWrap w:val="0"/>
            <w:vAlign w:val="center"/>
          </w:tcPr>
          <w:p w14:paraId="6F3F5A9D">
            <w:pPr>
              <w:jc w:val="center"/>
              <w:rPr>
                <w:rFonts w:ascii="宋体" w:hAnsi="宋体" w:cs="宋体"/>
                <w:color w:val="000000"/>
                <w:sz w:val="22"/>
                <w:szCs w:val="22"/>
              </w:rPr>
            </w:pPr>
            <w:r>
              <w:rPr>
                <w:rFonts w:hint="eastAsia"/>
                <w:color w:val="000000"/>
                <w:sz w:val="22"/>
                <w:szCs w:val="22"/>
              </w:rPr>
              <w:t>337</w:t>
            </w:r>
          </w:p>
        </w:tc>
      </w:tr>
      <w:tr w14:paraId="69D05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5D55BB2">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4C09711">
            <w:pPr>
              <w:spacing w:before="100" w:beforeAutospacing="1" w:after="100" w:afterAutospacing="1" w:line="240" w:lineRule="atLeast"/>
              <w:jc w:val="center"/>
              <w:rPr>
                <w:rFonts w:eastAsia="楷体_GB2312"/>
                <w:kern w:val="0"/>
                <w:szCs w:val="21"/>
              </w:rPr>
            </w:pPr>
          </w:p>
        </w:tc>
        <w:tc>
          <w:tcPr>
            <w:tcW w:w="0" w:type="auto"/>
            <w:noWrap w:val="0"/>
            <w:vAlign w:val="center"/>
          </w:tcPr>
          <w:p w14:paraId="410C1024">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567E38C4">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1105" w:type="dxa"/>
            <w:noWrap w:val="0"/>
            <w:vAlign w:val="center"/>
          </w:tcPr>
          <w:p w14:paraId="573A0C74">
            <w:pPr>
              <w:spacing w:before="100" w:beforeAutospacing="1" w:after="100" w:afterAutospacing="1" w:line="240" w:lineRule="atLeast"/>
              <w:jc w:val="center"/>
              <w:rPr>
                <w:szCs w:val="21"/>
              </w:rPr>
            </w:pPr>
            <w:r>
              <w:rPr>
                <w:rFonts w:hint="eastAsia"/>
                <w:szCs w:val="21"/>
              </w:rPr>
              <w:t>2</w:t>
            </w:r>
          </w:p>
        </w:tc>
        <w:tc>
          <w:tcPr>
            <w:tcW w:w="1081" w:type="dxa"/>
            <w:noWrap w:val="0"/>
            <w:vAlign w:val="center"/>
          </w:tcPr>
          <w:p w14:paraId="401EBD60">
            <w:pPr>
              <w:jc w:val="center"/>
              <w:rPr>
                <w:rFonts w:ascii="宋体" w:hAnsi="宋体" w:cs="宋体"/>
                <w:color w:val="000000"/>
                <w:sz w:val="22"/>
                <w:szCs w:val="22"/>
              </w:rPr>
            </w:pPr>
            <w:r>
              <w:rPr>
                <w:rFonts w:hint="eastAsia"/>
                <w:color w:val="000000"/>
                <w:sz w:val="22"/>
                <w:szCs w:val="22"/>
              </w:rPr>
              <w:t>355</w:t>
            </w:r>
          </w:p>
        </w:tc>
        <w:tc>
          <w:tcPr>
            <w:tcW w:w="0" w:type="auto"/>
            <w:noWrap w:val="0"/>
            <w:vAlign w:val="center"/>
          </w:tcPr>
          <w:p w14:paraId="1F515508">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0E2F7B76">
            <w:pPr>
              <w:spacing w:before="100" w:beforeAutospacing="1" w:after="100" w:afterAutospacing="1" w:line="240" w:lineRule="atLeast"/>
              <w:jc w:val="center"/>
              <w:rPr>
                <w:szCs w:val="21"/>
              </w:rPr>
            </w:pPr>
            <w:r>
              <w:rPr>
                <w:rFonts w:hint="eastAsia"/>
                <w:szCs w:val="21"/>
              </w:rPr>
              <w:t>2</w:t>
            </w:r>
          </w:p>
        </w:tc>
        <w:tc>
          <w:tcPr>
            <w:tcW w:w="0" w:type="auto"/>
            <w:noWrap w:val="0"/>
            <w:vAlign w:val="center"/>
          </w:tcPr>
          <w:p w14:paraId="11F9322A">
            <w:pPr>
              <w:jc w:val="center"/>
              <w:rPr>
                <w:rFonts w:ascii="宋体" w:hAnsi="宋体" w:cs="宋体"/>
                <w:color w:val="000000"/>
                <w:sz w:val="22"/>
                <w:szCs w:val="22"/>
              </w:rPr>
            </w:pPr>
            <w:r>
              <w:rPr>
                <w:rFonts w:hint="eastAsia"/>
                <w:color w:val="000000"/>
                <w:sz w:val="22"/>
                <w:szCs w:val="22"/>
              </w:rPr>
              <w:t>273</w:t>
            </w:r>
          </w:p>
        </w:tc>
      </w:tr>
      <w:tr w14:paraId="3C38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BE95284">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AC4680F">
            <w:pPr>
              <w:spacing w:before="100" w:beforeAutospacing="1" w:after="100" w:afterAutospacing="1" w:line="240" w:lineRule="atLeast"/>
              <w:jc w:val="center"/>
              <w:rPr>
                <w:rFonts w:eastAsia="楷体_GB2312"/>
                <w:kern w:val="0"/>
                <w:szCs w:val="21"/>
              </w:rPr>
            </w:pPr>
          </w:p>
        </w:tc>
        <w:tc>
          <w:tcPr>
            <w:tcW w:w="0" w:type="auto"/>
            <w:noWrap w:val="0"/>
            <w:vAlign w:val="center"/>
          </w:tcPr>
          <w:p w14:paraId="39F1AEED">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1FEBE3F4">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1105" w:type="dxa"/>
            <w:noWrap w:val="0"/>
            <w:vAlign w:val="center"/>
          </w:tcPr>
          <w:p w14:paraId="4A2456F8">
            <w:pPr>
              <w:spacing w:before="100" w:beforeAutospacing="1" w:after="100" w:afterAutospacing="1" w:line="240" w:lineRule="atLeast"/>
              <w:jc w:val="center"/>
              <w:rPr>
                <w:szCs w:val="21"/>
              </w:rPr>
            </w:pPr>
            <w:r>
              <w:rPr>
                <w:rFonts w:hint="eastAsia"/>
                <w:szCs w:val="21"/>
              </w:rPr>
              <w:t>1</w:t>
            </w:r>
          </w:p>
        </w:tc>
        <w:tc>
          <w:tcPr>
            <w:tcW w:w="1081" w:type="dxa"/>
            <w:noWrap w:val="0"/>
            <w:vAlign w:val="center"/>
          </w:tcPr>
          <w:p w14:paraId="38BA294E">
            <w:pPr>
              <w:jc w:val="center"/>
              <w:rPr>
                <w:rFonts w:ascii="宋体" w:hAnsi="宋体" w:cs="宋体"/>
                <w:color w:val="000000"/>
                <w:sz w:val="22"/>
                <w:szCs w:val="22"/>
              </w:rPr>
            </w:pPr>
            <w:r>
              <w:rPr>
                <w:rFonts w:hint="eastAsia"/>
                <w:color w:val="000000"/>
                <w:sz w:val="22"/>
                <w:szCs w:val="22"/>
              </w:rPr>
              <w:t>310</w:t>
            </w:r>
          </w:p>
        </w:tc>
        <w:tc>
          <w:tcPr>
            <w:tcW w:w="0" w:type="auto"/>
            <w:noWrap w:val="0"/>
            <w:vAlign w:val="center"/>
          </w:tcPr>
          <w:p w14:paraId="5E83B580">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722E16D5">
            <w:pPr>
              <w:spacing w:before="100" w:beforeAutospacing="1" w:after="100" w:afterAutospacing="1" w:line="240" w:lineRule="atLeast"/>
              <w:jc w:val="center"/>
              <w:rPr>
                <w:szCs w:val="21"/>
              </w:rPr>
            </w:pPr>
            <w:r>
              <w:rPr>
                <w:rFonts w:hint="eastAsia"/>
                <w:szCs w:val="21"/>
              </w:rPr>
              <w:t>1</w:t>
            </w:r>
          </w:p>
        </w:tc>
        <w:tc>
          <w:tcPr>
            <w:tcW w:w="0" w:type="auto"/>
            <w:noWrap w:val="0"/>
            <w:vAlign w:val="center"/>
          </w:tcPr>
          <w:p w14:paraId="60F989A0">
            <w:pPr>
              <w:jc w:val="center"/>
              <w:rPr>
                <w:rFonts w:ascii="宋体" w:hAnsi="宋体" w:cs="宋体"/>
                <w:color w:val="000000"/>
                <w:sz w:val="22"/>
                <w:szCs w:val="22"/>
              </w:rPr>
            </w:pPr>
            <w:r>
              <w:rPr>
                <w:rFonts w:hint="eastAsia"/>
                <w:color w:val="000000"/>
                <w:sz w:val="22"/>
                <w:szCs w:val="22"/>
              </w:rPr>
              <w:t>215</w:t>
            </w:r>
          </w:p>
        </w:tc>
      </w:tr>
      <w:tr w14:paraId="4312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73E1EC38">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vMerge w:val="restart"/>
            <w:noWrap w:val="0"/>
            <w:vAlign w:val="center"/>
          </w:tcPr>
          <w:p w14:paraId="7C5DF089">
            <w:pPr>
              <w:spacing w:before="100" w:beforeAutospacing="1" w:after="100" w:afterAutospacing="1" w:line="240" w:lineRule="atLeast"/>
              <w:jc w:val="center"/>
              <w:rPr>
                <w:rFonts w:eastAsia="楷体_GB2312"/>
                <w:kern w:val="0"/>
                <w:szCs w:val="21"/>
              </w:rPr>
            </w:pPr>
            <w:r>
              <w:rPr>
                <w:rFonts w:hint="eastAsia" w:eastAsia="楷体_GB2312"/>
                <w:kern w:val="0"/>
                <w:szCs w:val="21"/>
              </w:rPr>
              <w:t>杨庄镇</w:t>
            </w:r>
          </w:p>
        </w:tc>
        <w:tc>
          <w:tcPr>
            <w:tcW w:w="0" w:type="auto"/>
            <w:noWrap w:val="0"/>
            <w:vAlign w:val="center"/>
          </w:tcPr>
          <w:p w14:paraId="1459DEE4">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6623DE62">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1105" w:type="dxa"/>
            <w:noWrap w:val="0"/>
            <w:vAlign w:val="center"/>
          </w:tcPr>
          <w:p w14:paraId="25F9648A">
            <w:pPr>
              <w:spacing w:before="100" w:beforeAutospacing="1" w:after="100" w:afterAutospacing="1" w:line="240" w:lineRule="atLeast"/>
              <w:jc w:val="center"/>
              <w:rPr>
                <w:rFonts w:eastAsia="楷体_GB2312"/>
                <w:szCs w:val="21"/>
              </w:rPr>
            </w:pPr>
            <w:r>
              <w:rPr>
                <w:rFonts w:hint="eastAsia" w:eastAsia="楷体_GB2312"/>
                <w:szCs w:val="21"/>
              </w:rPr>
              <w:t>3</w:t>
            </w:r>
          </w:p>
        </w:tc>
        <w:tc>
          <w:tcPr>
            <w:tcW w:w="1081" w:type="dxa"/>
            <w:noWrap w:val="0"/>
            <w:vAlign w:val="center"/>
          </w:tcPr>
          <w:p w14:paraId="7AA75BEA">
            <w:pPr>
              <w:jc w:val="center"/>
              <w:rPr>
                <w:rFonts w:ascii="宋体" w:hAnsi="宋体" w:cs="宋体"/>
                <w:color w:val="000000"/>
                <w:sz w:val="22"/>
                <w:szCs w:val="22"/>
              </w:rPr>
            </w:pPr>
            <w:r>
              <w:rPr>
                <w:rFonts w:hint="eastAsia"/>
                <w:color w:val="000000"/>
                <w:sz w:val="22"/>
                <w:szCs w:val="22"/>
              </w:rPr>
              <w:t>455</w:t>
            </w:r>
          </w:p>
        </w:tc>
        <w:tc>
          <w:tcPr>
            <w:tcW w:w="0" w:type="auto"/>
            <w:noWrap w:val="0"/>
            <w:vAlign w:val="center"/>
          </w:tcPr>
          <w:p w14:paraId="33D4A50C">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27F13E7B">
            <w:pPr>
              <w:spacing w:before="100" w:beforeAutospacing="1" w:after="100" w:afterAutospacing="1" w:line="240" w:lineRule="atLeast"/>
              <w:jc w:val="center"/>
              <w:rPr>
                <w:rFonts w:eastAsia="楷体_GB2312"/>
                <w:szCs w:val="21"/>
              </w:rPr>
            </w:pPr>
            <w:r>
              <w:rPr>
                <w:rFonts w:hint="eastAsia" w:eastAsia="楷体_GB2312"/>
                <w:szCs w:val="21"/>
              </w:rPr>
              <w:t>3</w:t>
            </w:r>
          </w:p>
        </w:tc>
        <w:tc>
          <w:tcPr>
            <w:tcW w:w="0" w:type="auto"/>
            <w:noWrap w:val="0"/>
            <w:vAlign w:val="center"/>
          </w:tcPr>
          <w:p w14:paraId="617F247B">
            <w:pPr>
              <w:jc w:val="center"/>
              <w:rPr>
                <w:rFonts w:ascii="宋体" w:hAnsi="宋体" w:cs="宋体"/>
                <w:color w:val="000000"/>
                <w:sz w:val="22"/>
                <w:szCs w:val="22"/>
              </w:rPr>
            </w:pPr>
            <w:r>
              <w:rPr>
                <w:rFonts w:hint="eastAsia"/>
                <w:color w:val="000000"/>
                <w:sz w:val="22"/>
                <w:szCs w:val="22"/>
              </w:rPr>
              <w:t>333</w:t>
            </w:r>
          </w:p>
        </w:tc>
      </w:tr>
      <w:tr w14:paraId="11955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B3158F2">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34AA3A62">
            <w:pPr>
              <w:spacing w:before="100" w:beforeAutospacing="1" w:after="100" w:afterAutospacing="1" w:line="240" w:lineRule="atLeast"/>
              <w:jc w:val="center"/>
              <w:rPr>
                <w:rFonts w:eastAsia="楷体_GB2312"/>
                <w:kern w:val="0"/>
                <w:szCs w:val="21"/>
              </w:rPr>
            </w:pPr>
          </w:p>
        </w:tc>
        <w:tc>
          <w:tcPr>
            <w:tcW w:w="0" w:type="auto"/>
            <w:noWrap w:val="0"/>
            <w:vAlign w:val="center"/>
          </w:tcPr>
          <w:p w14:paraId="32FAB284">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7815CDA2">
            <w:pPr>
              <w:spacing w:before="100" w:beforeAutospacing="1" w:after="100" w:afterAutospacing="1" w:line="240" w:lineRule="atLeast"/>
              <w:jc w:val="center"/>
              <w:rPr>
                <w:rFonts w:eastAsia="楷体_GB2312"/>
                <w:kern w:val="0"/>
                <w:szCs w:val="21"/>
              </w:rPr>
            </w:pPr>
            <w:r>
              <w:rPr>
                <w:rFonts w:hint="eastAsia" w:eastAsia="楷体_GB2312"/>
                <w:kern w:val="0"/>
                <w:szCs w:val="21"/>
              </w:rPr>
              <w:t>9</w:t>
            </w:r>
          </w:p>
        </w:tc>
        <w:tc>
          <w:tcPr>
            <w:tcW w:w="1105" w:type="dxa"/>
            <w:noWrap w:val="0"/>
            <w:vAlign w:val="center"/>
          </w:tcPr>
          <w:p w14:paraId="6FEF4DA0">
            <w:pPr>
              <w:spacing w:before="100" w:beforeAutospacing="1" w:after="100" w:afterAutospacing="1" w:line="240" w:lineRule="atLeast"/>
              <w:jc w:val="center"/>
              <w:rPr>
                <w:rFonts w:eastAsia="楷体_GB2312"/>
                <w:szCs w:val="21"/>
              </w:rPr>
            </w:pPr>
            <w:r>
              <w:rPr>
                <w:rFonts w:hint="eastAsia" w:eastAsia="楷体_GB2312"/>
                <w:szCs w:val="21"/>
              </w:rPr>
              <w:t>2</w:t>
            </w:r>
          </w:p>
        </w:tc>
        <w:tc>
          <w:tcPr>
            <w:tcW w:w="1081" w:type="dxa"/>
            <w:noWrap w:val="0"/>
            <w:vAlign w:val="center"/>
          </w:tcPr>
          <w:p w14:paraId="28A54DE8">
            <w:pPr>
              <w:jc w:val="center"/>
              <w:rPr>
                <w:rFonts w:ascii="宋体" w:hAnsi="宋体" w:cs="宋体"/>
                <w:color w:val="000000"/>
                <w:sz w:val="22"/>
                <w:szCs w:val="22"/>
              </w:rPr>
            </w:pPr>
            <w:r>
              <w:rPr>
                <w:rFonts w:hint="eastAsia"/>
                <w:color w:val="000000"/>
                <w:sz w:val="22"/>
                <w:szCs w:val="22"/>
              </w:rPr>
              <w:t>369</w:t>
            </w:r>
          </w:p>
        </w:tc>
        <w:tc>
          <w:tcPr>
            <w:tcW w:w="0" w:type="auto"/>
            <w:noWrap w:val="0"/>
            <w:vAlign w:val="center"/>
          </w:tcPr>
          <w:p w14:paraId="1F250B4C">
            <w:pPr>
              <w:spacing w:before="100" w:beforeAutospacing="1" w:after="100" w:afterAutospacing="1" w:line="240" w:lineRule="atLeast"/>
              <w:jc w:val="center"/>
              <w:rPr>
                <w:rFonts w:eastAsia="楷体_GB2312"/>
                <w:kern w:val="0"/>
                <w:szCs w:val="21"/>
              </w:rPr>
            </w:pPr>
            <w:r>
              <w:rPr>
                <w:rFonts w:hint="eastAsia" w:eastAsia="楷体_GB2312"/>
                <w:kern w:val="0"/>
                <w:szCs w:val="21"/>
              </w:rPr>
              <w:t>13</w:t>
            </w:r>
          </w:p>
        </w:tc>
        <w:tc>
          <w:tcPr>
            <w:tcW w:w="0" w:type="auto"/>
            <w:noWrap w:val="0"/>
            <w:vAlign w:val="center"/>
          </w:tcPr>
          <w:p w14:paraId="15698410">
            <w:pPr>
              <w:spacing w:before="100" w:beforeAutospacing="1" w:after="100" w:afterAutospacing="1" w:line="240" w:lineRule="atLeast"/>
              <w:jc w:val="center"/>
              <w:rPr>
                <w:rFonts w:eastAsia="楷体_GB2312"/>
                <w:szCs w:val="21"/>
              </w:rPr>
            </w:pPr>
            <w:r>
              <w:rPr>
                <w:rFonts w:hint="eastAsia" w:eastAsia="楷体_GB2312"/>
                <w:szCs w:val="21"/>
              </w:rPr>
              <w:t>2</w:t>
            </w:r>
          </w:p>
        </w:tc>
        <w:tc>
          <w:tcPr>
            <w:tcW w:w="0" w:type="auto"/>
            <w:noWrap w:val="0"/>
            <w:vAlign w:val="center"/>
          </w:tcPr>
          <w:p w14:paraId="3B70B9B7">
            <w:pPr>
              <w:jc w:val="center"/>
              <w:rPr>
                <w:rFonts w:ascii="宋体" w:hAnsi="宋体" w:cs="宋体"/>
                <w:color w:val="000000"/>
                <w:sz w:val="22"/>
                <w:szCs w:val="22"/>
              </w:rPr>
            </w:pPr>
            <w:r>
              <w:rPr>
                <w:rFonts w:hint="eastAsia"/>
                <w:color w:val="000000"/>
                <w:sz w:val="22"/>
                <w:szCs w:val="22"/>
              </w:rPr>
              <w:t>242</w:t>
            </w:r>
          </w:p>
        </w:tc>
      </w:tr>
      <w:tr w14:paraId="39311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07E3DF4">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0DE88A5">
            <w:pPr>
              <w:spacing w:before="100" w:beforeAutospacing="1" w:after="100" w:afterAutospacing="1" w:line="240" w:lineRule="atLeast"/>
              <w:jc w:val="center"/>
              <w:rPr>
                <w:rFonts w:eastAsia="楷体_GB2312"/>
                <w:kern w:val="0"/>
                <w:szCs w:val="21"/>
              </w:rPr>
            </w:pPr>
          </w:p>
        </w:tc>
        <w:tc>
          <w:tcPr>
            <w:tcW w:w="0" w:type="auto"/>
            <w:noWrap w:val="0"/>
            <w:vAlign w:val="center"/>
          </w:tcPr>
          <w:p w14:paraId="11D7570D">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56F386D8">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1105" w:type="dxa"/>
            <w:noWrap w:val="0"/>
            <w:vAlign w:val="center"/>
          </w:tcPr>
          <w:p w14:paraId="4352713F">
            <w:pPr>
              <w:spacing w:before="100" w:beforeAutospacing="1" w:after="100" w:afterAutospacing="1" w:line="240" w:lineRule="atLeast"/>
              <w:jc w:val="center"/>
              <w:rPr>
                <w:rFonts w:eastAsia="楷体_GB2312"/>
                <w:szCs w:val="21"/>
              </w:rPr>
            </w:pPr>
            <w:r>
              <w:rPr>
                <w:rFonts w:hint="eastAsia" w:eastAsia="楷体_GB2312"/>
                <w:szCs w:val="21"/>
              </w:rPr>
              <w:t>1</w:t>
            </w:r>
          </w:p>
        </w:tc>
        <w:tc>
          <w:tcPr>
            <w:tcW w:w="1081" w:type="dxa"/>
            <w:noWrap w:val="0"/>
            <w:vAlign w:val="center"/>
          </w:tcPr>
          <w:p w14:paraId="6B800862">
            <w:pPr>
              <w:jc w:val="center"/>
              <w:rPr>
                <w:rFonts w:ascii="宋体" w:hAnsi="宋体" w:cs="宋体"/>
                <w:color w:val="000000"/>
                <w:sz w:val="22"/>
                <w:szCs w:val="22"/>
              </w:rPr>
            </w:pPr>
            <w:r>
              <w:rPr>
                <w:rFonts w:hint="eastAsia"/>
                <w:color w:val="000000"/>
                <w:sz w:val="22"/>
                <w:szCs w:val="22"/>
              </w:rPr>
              <w:t>272</w:t>
            </w:r>
          </w:p>
        </w:tc>
        <w:tc>
          <w:tcPr>
            <w:tcW w:w="0" w:type="auto"/>
            <w:noWrap w:val="0"/>
            <w:vAlign w:val="center"/>
          </w:tcPr>
          <w:p w14:paraId="29A9EA54">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00A1873B">
            <w:pPr>
              <w:spacing w:before="100" w:beforeAutospacing="1" w:after="100" w:afterAutospacing="1" w:line="240" w:lineRule="atLeast"/>
              <w:jc w:val="center"/>
              <w:rPr>
                <w:rFonts w:eastAsia="楷体_GB2312"/>
                <w:szCs w:val="21"/>
              </w:rPr>
            </w:pPr>
            <w:r>
              <w:rPr>
                <w:rFonts w:hint="eastAsia" w:eastAsia="楷体_GB2312"/>
                <w:szCs w:val="21"/>
              </w:rPr>
              <w:t>1</w:t>
            </w:r>
          </w:p>
        </w:tc>
        <w:tc>
          <w:tcPr>
            <w:tcW w:w="0" w:type="auto"/>
            <w:noWrap w:val="0"/>
            <w:vAlign w:val="center"/>
          </w:tcPr>
          <w:p w14:paraId="7C3C5FA8">
            <w:pPr>
              <w:jc w:val="center"/>
              <w:rPr>
                <w:rFonts w:ascii="宋体" w:hAnsi="宋体" w:cs="宋体"/>
                <w:color w:val="000000"/>
                <w:sz w:val="22"/>
                <w:szCs w:val="22"/>
              </w:rPr>
            </w:pPr>
            <w:r>
              <w:rPr>
                <w:rFonts w:hint="eastAsia"/>
                <w:color w:val="000000"/>
                <w:sz w:val="22"/>
                <w:szCs w:val="22"/>
              </w:rPr>
              <w:t>195</w:t>
            </w:r>
          </w:p>
        </w:tc>
      </w:tr>
      <w:tr w14:paraId="2E71D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7618C276">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vMerge w:val="restart"/>
            <w:noWrap w:val="0"/>
            <w:vAlign w:val="center"/>
          </w:tcPr>
          <w:p w14:paraId="41D3FC80">
            <w:pPr>
              <w:spacing w:before="100" w:beforeAutospacing="1" w:after="100" w:afterAutospacing="1" w:line="240" w:lineRule="atLeast"/>
              <w:jc w:val="center"/>
              <w:rPr>
                <w:rFonts w:eastAsia="楷体_GB2312"/>
                <w:kern w:val="0"/>
                <w:szCs w:val="21"/>
              </w:rPr>
            </w:pPr>
            <w:r>
              <w:rPr>
                <w:rFonts w:hint="eastAsia" w:eastAsia="楷体_GB2312"/>
                <w:kern w:val="0"/>
                <w:szCs w:val="21"/>
              </w:rPr>
              <w:t>永镇乡</w:t>
            </w:r>
          </w:p>
        </w:tc>
        <w:tc>
          <w:tcPr>
            <w:tcW w:w="0" w:type="auto"/>
            <w:noWrap w:val="0"/>
            <w:vAlign w:val="center"/>
          </w:tcPr>
          <w:p w14:paraId="1930CB31">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19F23CBD">
            <w:pPr>
              <w:spacing w:before="100" w:beforeAutospacing="1" w:after="100" w:afterAutospacing="1" w:line="240" w:lineRule="atLeast"/>
              <w:jc w:val="center"/>
              <w:rPr>
                <w:rFonts w:eastAsia="楷体_GB2312"/>
                <w:kern w:val="0"/>
                <w:szCs w:val="21"/>
              </w:rPr>
            </w:pPr>
            <w:r>
              <w:rPr>
                <w:rFonts w:hint="eastAsia" w:eastAsia="楷体_GB2312"/>
                <w:kern w:val="0"/>
                <w:szCs w:val="21"/>
              </w:rPr>
              <w:t>13</w:t>
            </w:r>
          </w:p>
        </w:tc>
        <w:tc>
          <w:tcPr>
            <w:tcW w:w="1105" w:type="dxa"/>
            <w:noWrap w:val="0"/>
            <w:vAlign w:val="center"/>
          </w:tcPr>
          <w:p w14:paraId="02FA66F0">
            <w:pPr>
              <w:spacing w:before="100" w:beforeAutospacing="1" w:after="100" w:afterAutospacing="1" w:line="240" w:lineRule="atLeast"/>
              <w:jc w:val="center"/>
              <w:rPr>
                <w:szCs w:val="21"/>
              </w:rPr>
            </w:pPr>
            <w:r>
              <w:rPr>
                <w:rFonts w:hint="eastAsia"/>
                <w:szCs w:val="21"/>
              </w:rPr>
              <w:t>3</w:t>
            </w:r>
          </w:p>
        </w:tc>
        <w:tc>
          <w:tcPr>
            <w:tcW w:w="1081" w:type="dxa"/>
            <w:noWrap w:val="0"/>
            <w:vAlign w:val="center"/>
          </w:tcPr>
          <w:p w14:paraId="2702D5FE">
            <w:pPr>
              <w:jc w:val="center"/>
              <w:rPr>
                <w:rFonts w:ascii="宋体" w:hAnsi="宋体" w:cs="宋体"/>
                <w:color w:val="000000"/>
                <w:sz w:val="22"/>
                <w:szCs w:val="22"/>
              </w:rPr>
            </w:pPr>
            <w:r>
              <w:rPr>
                <w:rFonts w:hint="eastAsia"/>
                <w:color w:val="000000"/>
                <w:sz w:val="22"/>
                <w:szCs w:val="22"/>
              </w:rPr>
              <w:t>450</w:t>
            </w:r>
          </w:p>
        </w:tc>
        <w:tc>
          <w:tcPr>
            <w:tcW w:w="0" w:type="auto"/>
            <w:noWrap w:val="0"/>
            <w:vAlign w:val="center"/>
          </w:tcPr>
          <w:p w14:paraId="13A33C01">
            <w:pPr>
              <w:spacing w:before="100" w:beforeAutospacing="1" w:after="100" w:afterAutospacing="1" w:line="240" w:lineRule="atLeast"/>
              <w:jc w:val="center"/>
              <w:rPr>
                <w:rFonts w:eastAsia="楷体_GB2312"/>
                <w:kern w:val="0"/>
                <w:szCs w:val="21"/>
              </w:rPr>
            </w:pPr>
            <w:r>
              <w:rPr>
                <w:rFonts w:hint="eastAsia" w:eastAsia="楷体_GB2312"/>
                <w:kern w:val="0"/>
                <w:szCs w:val="21"/>
              </w:rPr>
              <w:t>18</w:t>
            </w:r>
          </w:p>
        </w:tc>
        <w:tc>
          <w:tcPr>
            <w:tcW w:w="0" w:type="auto"/>
            <w:noWrap w:val="0"/>
            <w:vAlign w:val="center"/>
          </w:tcPr>
          <w:p w14:paraId="10E93174">
            <w:pPr>
              <w:spacing w:before="100" w:beforeAutospacing="1" w:after="100" w:afterAutospacing="1" w:line="240" w:lineRule="atLeast"/>
              <w:jc w:val="center"/>
              <w:rPr>
                <w:szCs w:val="21"/>
              </w:rPr>
            </w:pPr>
            <w:r>
              <w:rPr>
                <w:rFonts w:hint="eastAsia"/>
                <w:szCs w:val="21"/>
              </w:rPr>
              <w:t>3</w:t>
            </w:r>
          </w:p>
        </w:tc>
        <w:tc>
          <w:tcPr>
            <w:tcW w:w="0" w:type="auto"/>
            <w:noWrap w:val="0"/>
            <w:vAlign w:val="center"/>
          </w:tcPr>
          <w:p w14:paraId="7689A16C">
            <w:pPr>
              <w:jc w:val="center"/>
              <w:rPr>
                <w:rFonts w:ascii="宋体" w:hAnsi="宋体" w:cs="宋体"/>
                <w:color w:val="000000"/>
                <w:sz w:val="22"/>
                <w:szCs w:val="22"/>
              </w:rPr>
            </w:pPr>
            <w:r>
              <w:rPr>
                <w:rFonts w:hint="eastAsia"/>
                <w:color w:val="000000"/>
                <w:sz w:val="22"/>
                <w:szCs w:val="22"/>
              </w:rPr>
              <w:t>330</w:t>
            </w:r>
          </w:p>
        </w:tc>
      </w:tr>
      <w:tr w14:paraId="52E70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B3B7FB5">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7888DCA">
            <w:pPr>
              <w:spacing w:before="100" w:beforeAutospacing="1" w:after="100" w:afterAutospacing="1" w:line="240" w:lineRule="atLeast"/>
              <w:jc w:val="center"/>
              <w:rPr>
                <w:rFonts w:eastAsia="楷体_GB2312"/>
                <w:kern w:val="0"/>
                <w:szCs w:val="21"/>
              </w:rPr>
            </w:pPr>
          </w:p>
        </w:tc>
        <w:tc>
          <w:tcPr>
            <w:tcW w:w="0" w:type="auto"/>
            <w:noWrap w:val="0"/>
            <w:vAlign w:val="center"/>
          </w:tcPr>
          <w:p w14:paraId="0FE14FE7">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30C0ED5D">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1105" w:type="dxa"/>
            <w:noWrap w:val="0"/>
            <w:vAlign w:val="center"/>
          </w:tcPr>
          <w:p w14:paraId="04B3524E">
            <w:pPr>
              <w:spacing w:before="100" w:beforeAutospacing="1" w:after="100" w:afterAutospacing="1" w:line="240" w:lineRule="atLeast"/>
              <w:jc w:val="center"/>
              <w:rPr>
                <w:szCs w:val="21"/>
              </w:rPr>
            </w:pPr>
            <w:r>
              <w:rPr>
                <w:rFonts w:hint="eastAsia"/>
                <w:szCs w:val="21"/>
              </w:rPr>
              <w:t>2</w:t>
            </w:r>
          </w:p>
        </w:tc>
        <w:tc>
          <w:tcPr>
            <w:tcW w:w="1081" w:type="dxa"/>
            <w:noWrap w:val="0"/>
            <w:vAlign w:val="center"/>
          </w:tcPr>
          <w:p w14:paraId="09867AB7">
            <w:pPr>
              <w:jc w:val="center"/>
              <w:rPr>
                <w:rFonts w:ascii="宋体" w:hAnsi="宋体" w:cs="宋体"/>
                <w:color w:val="000000"/>
                <w:sz w:val="22"/>
                <w:szCs w:val="22"/>
              </w:rPr>
            </w:pPr>
            <w:r>
              <w:rPr>
                <w:rFonts w:hint="eastAsia"/>
                <w:color w:val="000000"/>
                <w:sz w:val="22"/>
                <w:szCs w:val="22"/>
              </w:rPr>
              <w:t>351</w:t>
            </w:r>
          </w:p>
        </w:tc>
        <w:tc>
          <w:tcPr>
            <w:tcW w:w="0" w:type="auto"/>
            <w:noWrap w:val="0"/>
            <w:vAlign w:val="center"/>
          </w:tcPr>
          <w:p w14:paraId="10DBFF55">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23061112">
            <w:pPr>
              <w:spacing w:before="100" w:beforeAutospacing="1" w:after="100" w:afterAutospacing="1" w:line="240" w:lineRule="atLeast"/>
              <w:jc w:val="center"/>
              <w:rPr>
                <w:szCs w:val="21"/>
              </w:rPr>
            </w:pPr>
            <w:r>
              <w:rPr>
                <w:rFonts w:hint="eastAsia"/>
                <w:szCs w:val="21"/>
              </w:rPr>
              <w:t>2</w:t>
            </w:r>
          </w:p>
        </w:tc>
        <w:tc>
          <w:tcPr>
            <w:tcW w:w="0" w:type="auto"/>
            <w:noWrap w:val="0"/>
            <w:vAlign w:val="center"/>
          </w:tcPr>
          <w:p w14:paraId="19F88CAB">
            <w:pPr>
              <w:jc w:val="center"/>
              <w:rPr>
                <w:rFonts w:ascii="宋体" w:hAnsi="宋体" w:cs="宋体"/>
                <w:color w:val="000000"/>
                <w:sz w:val="22"/>
                <w:szCs w:val="22"/>
              </w:rPr>
            </w:pPr>
            <w:r>
              <w:rPr>
                <w:rFonts w:hint="eastAsia"/>
                <w:color w:val="000000"/>
                <w:sz w:val="22"/>
                <w:szCs w:val="22"/>
              </w:rPr>
              <w:t>245</w:t>
            </w:r>
          </w:p>
        </w:tc>
      </w:tr>
      <w:tr w14:paraId="390B9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F210F70">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265BAF6">
            <w:pPr>
              <w:spacing w:before="100" w:beforeAutospacing="1" w:after="100" w:afterAutospacing="1" w:line="240" w:lineRule="atLeast"/>
              <w:jc w:val="center"/>
              <w:rPr>
                <w:rFonts w:eastAsia="楷体_GB2312"/>
                <w:kern w:val="0"/>
                <w:szCs w:val="21"/>
              </w:rPr>
            </w:pPr>
          </w:p>
        </w:tc>
        <w:tc>
          <w:tcPr>
            <w:tcW w:w="0" w:type="auto"/>
            <w:noWrap w:val="0"/>
            <w:vAlign w:val="center"/>
          </w:tcPr>
          <w:p w14:paraId="6B4690F9">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5AEE4788">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1105" w:type="dxa"/>
            <w:noWrap w:val="0"/>
            <w:vAlign w:val="center"/>
          </w:tcPr>
          <w:p w14:paraId="6270797F">
            <w:pPr>
              <w:spacing w:before="100" w:beforeAutospacing="1" w:after="100" w:afterAutospacing="1" w:line="240" w:lineRule="atLeast"/>
              <w:jc w:val="center"/>
              <w:rPr>
                <w:szCs w:val="21"/>
              </w:rPr>
            </w:pPr>
            <w:r>
              <w:rPr>
                <w:rFonts w:hint="eastAsia"/>
                <w:szCs w:val="21"/>
              </w:rPr>
              <w:t>1</w:t>
            </w:r>
          </w:p>
        </w:tc>
        <w:tc>
          <w:tcPr>
            <w:tcW w:w="1081" w:type="dxa"/>
            <w:noWrap w:val="0"/>
            <w:vAlign w:val="center"/>
          </w:tcPr>
          <w:p w14:paraId="428B4E40">
            <w:pPr>
              <w:jc w:val="center"/>
              <w:rPr>
                <w:rFonts w:ascii="宋体" w:hAnsi="宋体" w:cs="宋体"/>
                <w:color w:val="000000"/>
                <w:sz w:val="22"/>
                <w:szCs w:val="22"/>
              </w:rPr>
            </w:pPr>
            <w:r>
              <w:rPr>
                <w:rFonts w:hint="eastAsia"/>
                <w:color w:val="000000"/>
                <w:sz w:val="22"/>
                <w:szCs w:val="22"/>
              </w:rPr>
              <w:t>269</w:t>
            </w:r>
          </w:p>
        </w:tc>
        <w:tc>
          <w:tcPr>
            <w:tcW w:w="0" w:type="auto"/>
            <w:noWrap w:val="0"/>
            <w:vAlign w:val="center"/>
          </w:tcPr>
          <w:p w14:paraId="1EC320AC">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1A89CE83">
            <w:pPr>
              <w:spacing w:before="100" w:beforeAutospacing="1" w:after="100" w:afterAutospacing="1" w:line="240" w:lineRule="atLeast"/>
              <w:jc w:val="center"/>
              <w:rPr>
                <w:szCs w:val="21"/>
              </w:rPr>
            </w:pPr>
            <w:r>
              <w:rPr>
                <w:rFonts w:hint="eastAsia"/>
                <w:szCs w:val="21"/>
              </w:rPr>
              <w:t>1</w:t>
            </w:r>
          </w:p>
        </w:tc>
        <w:tc>
          <w:tcPr>
            <w:tcW w:w="0" w:type="auto"/>
            <w:noWrap w:val="0"/>
            <w:vAlign w:val="center"/>
          </w:tcPr>
          <w:p w14:paraId="7B708E22">
            <w:pPr>
              <w:jc w:val="center"/>
              <w:rPr>
                <w:rFonts w:ascii="宋体" w:hAnsi="宋体" w:cs="宋体"/>
                <w:color w:val="000000"/>
                <w:sz w:val="22"/>
                <w:szCs w:val="22"/>
              </w:rPr>
            </w:pPr>
            <w:r>
              <w:rPr>
                <w:rFonts w:hint="eastAsia"/>
                <w:color w:val="000000"/>
                <w:sz w:val="22"/>
                <w:szCs w:val="22"/>
              </w:rPr>
              <w:t>192</w:t>
            </w:r>
          </w:p>
        </w:tc>
      </w:tr>
      <w:tr w14:paraId="55710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2882A242">
            <w:pPr>
              <w:spacing w:before="100" w:beforeAutospacing="1" w:after="100" w:afterAutospacing="1" w:line="240" w:lineRule="atLeast"/>
              <w:jc w:val="center"/>
              <w:rPr>
                <w:rFonts w:eastAsia="楷体_GB2312"/>
                <w:kern w:val="0"/>
                <w:szCs w:val="21"/>
              </w:rPr>
            </w:pPr>
            <w:r>
              <w:rPr>
                <w:rFonts w:hint="eastAsia" w:eastAsia="楷体_GB2312"/>
                <w:kern w:val="0"/>
                <w:szCs w:val="21"/>
              </w:rPr>
              <w:t>17</w:t>
            </w:r>
          </w:p>
        </w:tc>
        <w:tc>
          <w:tcPr>
            <w:tcW w:w="0" w:type="auto"/>
            <w:vMerge w:val="restart"/>
            <w:noWrap w:val="0"/>
            <w:vAlign w:val="center"/>
          </w:tcPr>
          <w:p w14:paraId="25E563E6">
            <w:pPr>
              <w:spacing w:before="100" w:beforeAutospacing="1" w:after="100" w:afterAutospacing="1" w:line="240" w:lineRule="atLeast"/>
              <w:jc w:val="center"/>
              <w:rPr>
                <w:rFonts w:eastAsia="楷体_GB2312"/>
                <w:kern w:val="0"/>
                <w:szCs w:val="21"/>
              </w:rPr>
            </w:pPr>
            <w:r>
              <w:rPr>
                <w:rFonts w:hint="eastAsia" w:eastAsia="楷体_GB2312"/>
                <w:kern w:val="0"/>
                <w:szCs w:val="21"/>
              </w:rPr>
              <w:t>解集镇</w:t>
            </w:r>
          </w:p>
        </w:tc>
        <w:tc>
          <w:tcPr>
            <w:tcW w:w="0" w:type="auto"/>
            <w:noWrap w:val="0"/>
            <w:vAlign w:val="center"/>
          </w:tcPr>
          <w:p w14:paraId="6FFEF8B3">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535B4633">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1105" w:type="dxa"/>
            <w:noWrap w:val="0"/>
            <w:vAlign w:val="center"/>
          </w:tcPr>
          <w:p w14:paraId="58781CD3">
            <w:pPr>
              <w:spacing w:before="100" w:beforeAutospacing="1" w:after="100" w:afterAutospacing="1" w:line="240" w:lineRule="atLeast"/>
              <w:jc w:val="center"/>
              <w:rPr>
                <w:szCs w:val="21"/>
              </w:rPr>
            </w:pPr>
            <w:r>
              <w:rPr>
                <w:rFonts w:hint="eastAsia"/>
                <w:szCs w:val="21"/>
              </w:rPr>
              <w:t>3</w:t>
            </w:r>
          </w:p>
        </w:tc>
        <w:tc>
          <w:tcPr>
            <w:tcW w:w="1081" w:type="dxa"/>
            <w:noWrap w:val="0"/>
            <w:vAlign w:val="center"/>
          </w:tcPr>
          <w:p w14:paraId="6A87F3DF">
            <w:pPr>
              <w:jc w:val="center"/>
              <w:rPr>
                <w:rFonts w:ascii="宋体" w:hAnsi="宋体" w:cs="宋体"/>
                <w:color w:val="000000"/>
                <w:sz w:val="22"/>
                <w:szCs w:val="22"/>
              </w:rPr>
            </w:pPr>
            <w:r>
              <w:rPr>
                <w:rFonts w:hint="eastAsia"/>
                <w:color w:val="000000"/>
                <w:sz w:val="22"/>
                <w:szCs w:val="22"/>
              </w:rPr>
              <w:t>418</w:t>
            </w:r>
          </w:p>
        </w:tc>
        <w:tc>
          <w:tcPr>
            <w:tcW w:w="0" w:type="auto"/>
            <w:noWrap w:val="0"/>
            <w:vAlign w:val="center"/>
          </w:tcPr>
          <w:p w14:paraId="19067D88">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338AFDC1">
            <w:pPr>
              <w:spacing w:before="100" w:beforeAutospacing="1" w:after="100" w:afterAutospacing="1" w:line="240" w:lineRule="atLeast"/>
              <w:jc w:val="center"/>
              <w:rPr>
                <w:szCs w:val="21"/>
              </w:rPr>
            </w:pPr>
            <w:r>
              <w:rPr>
                <w:rFonts w:hint="eastAsia"/>
                <w:szCs w:val="21"/>
              </w:rPr>
              <w:t>3</w:t>
            </w:r>
          </w:p>
        </w:tc>
        <w:tc>
          <w:tcPr>
            <w:tcW w:w="0" w:type="auto"/>
            <w:noWrap w:val="0"/>
            <w:vAlign w:val="center"/>
          </w:tcPr>
          <w:p w14:paraId="5762E3BA">
            <w:pPr>
              <w:jc w:val="center"/>
              <w:rPr>
                <w:rFonts w:ascii="宋体" w:hAnsi="宋体" w:cs="宋体"/>
                <w:color w:val="000000"/>
                <w:sz w:val="22"/>
                <w:szCs w:val="22"/>
              </w:rPr>
            </w:pPr>
            <w:r>
              <w:rPr>
                <w:rFonts w:hint="eastAsia"/>
                <w:color w:val="000000"/>
                <w:sz w:val="22"/>
                <w:szCs w:val="22"/>
              </w:rPr>
              <w:t>328</w:t>
            </w:r>
          </w:p>
        </w:tc>
      </w:tr>
      <w:tr w14:paraId="2AC0A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5E4DBE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3A845DA9">
            <w:pPr>
              <w:spacing w:before="100" w:beforeAutospacing="1" w:after="100" w:afterAutospacing="1" w:line="240" w:lineRule="atLeast"/>
              <w:jc w:val="center"/>
              <w:rPr>
                <w:rFonts w:eastAsia="楷体_GB2312"/>
                <w:kern w:val="0"/>
                <w:szCs w:val="21"/>
              </w:rPr>
            </w:pPr>
          </w:p>
        </w:tc>
        <w:tc>
          <w:tcPr>
            <w:tcW w:w="0" w:type="auto"/>
            <w:noWrap w:val="0"/>
            <w:vAlign w:val="center"/>
          </w:tcPr>
          <w:p w14:paraId="75364F70">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4EB56547">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1105" w:type="dxa"/>
            <w:noWrap w:val="0"/>
            <w:vAlign w:val="center"/>
          </w:tcPr>
          <w:p w14:paraId="5772DD81">
            <w:pPr>
              <w:spacing w:before="100" w:beforeAutospacing="1" w:after="100" w:afterAutospacing="1" w:line="240" w:lineRule="atLeast"/>
              <w:jc w:val="center"/>
              <w:rPr>
                <w:szCs w:val="21"/>
              </w:rPr>
            </w:pPr>
            <w:r>
              <w:rPr>
                <w:rFonts w:hint="eastAsia"/>
                <w:szCs w:val="21"/>
              </w:rPr>
              <w:t>2</w:t>
            </w:r>
          </w:p>
        </w:tc>
        <w:tc>
          <w:tcPr>
            <w:tcW w:w="1081" w:type="dxa"/>
            <w:noWrap w:val="0"/>
            <w:vAlign w:val="center"/>
          </w:tcPr>
          <w:p w14:paraId="57210060">
            <w:pPr>
              <w:jc w:val="center"/>
              <w:rPr>
                <w:rFonts w:ascii="宋体" w:hAnsi="宋体" w:cs="宋体"/>
                <w:color w:val="000000"/>
                <w:sz w:val="22"/>
                <w:szCs w:val="22"/>
              </w:rPr>
            </w:pPr>
            <w:r>
              <w:rPr>
                <w:rFonts w:hint="eastAsia"/>
                <w:color w:val="000000"/>
                <w:sz w:val="22"/>
                <w:szCs w:val="22"/>
              </w:rPr>
              <w:t>342</w:t>
            </w:r>
          </w:p>
        </w:tc>
        <w:tc>
          <w:tcPr>
            <w:tcW w:w="0" w:type="auto"/>
            <w:noWrap w:val="0"/>
            <w:vAlign w:val="center"/>
          </w:tcPr>
          <w:p w14:paraId="5CDACA2F">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0" w:type="auto"/>
            <w:noWrap w:val="0"/>
            <w:vAlign w:val="center"/>
          </w:tcPr>
          <w:p w14:paraId="6ACEF414">
            <w:pPr>
              <w:spacing w:before="100" w:beforeAutospacing="1" w:after="100" w:afterAutospacing="1" w:line="240" w:lineRule="atLeast"/>
              <w:jc w:val="center"/>
              <w:rPr>
                <w:szCs w:val="21"/>
              </w:rPr>
            </w:pPr>
            <w:r>
              <w:rPr>
                <w:rFonts w:hint="eastAsia"/>
                <w:szCs w:val="21"/>
              </w:rPr>
              <w:t>2</w:t>
            </w:r>
          </w:p>
        </w:tc>
        <w:tc>
          <w:tcPr>
            <w:tcW w:w="0" w:type="auto"/>
            <w:noWrap w:val="0"/>
            <w:vAlign w:val="center"/>
          </w:tcPr>
          <w:p w14:paraId="0D0F3866">
            <w:pPr>
              <w:jc w:val="center"/>
              <w:rPr>
                <w:rFonts w:ascii="宋体" w:hAnsi="宋体" w:cs="宋体"/>
                <w:color w:val="000000"/>
                <w:sz w:val="22"/>
                <w:szCs w:val="22"/>
              </w:rPr>
            </w:pPr>
            <w:r>
              <w:rPr>
                <w:rFonts w:hint="eastAsia"/>
                <w:color w:val="000000"/>
                <w:sz w:val="22"/>
                <w:szCs w:val="22"/>
              </w:rPr>
              <w:t>242</w:t>
            </w:r>
          </w:p>
        </w:tc>
      </w:tr>
      <w:tr w14:paraId="6AD86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F67B5C0">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C719E63">
            <w:pPr>
              <w:spacing w:before="100" w:beforeAutospacing="1" w:after="100" w:afterAutospacing="1" w:line="240" w:lineRule="atLeast"/>
              <w:jc w:val="center"/>
              <w:rPr>
                <w:rFonts w:eastAsia="楷体_GB2312"/>
                <w:kern w:val="0"/>
                <w:szCs w:val="21"/>
              </w:rPr>
            </w:pPr>
          </w:p>
        </w:tc>
        <w:tc>
          <w:tcPr>
            <w:tcW w:w="0" w:type="auto"/>
            <w:noWrap w:val="0"/>
            <w:vAlign w:val="center"/>
          </w:tcPr>
          <w:p w14:paraId="31901545">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11B9DEA9">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1105" w:type="dxa"/>
            <w:noWrap w:val="0"/>
            <w:vAlign w:val="center"/>
          </w:tcPr>
          <w:p w14:paraId="4CCCFBCA">
            <w:pPr>
              <w:spacing w:before="100" w:beforeAutospacing="1" w:after="100" w:afterAutospacing="1" w:line="240" w:lineRule="atLeast"/>
              <w:jc w:val="center"/>
              <w:rPr>
                <w:szCs w:val="21"/>
              </w:rPr>
            </w:pPr>
            <w:r>
              <w:rPr>
                <w:rFonts w:hint="eastAsia"/>
                <w:szCs w:val="21"/>
              </w:rPr>
              <w:t>1</w:t>
            </w:r>
          </w:p>
        </w:tc>
        <w:tc>
          <w:tcPr>
            <w:tcW w:w="1081" w:type="dxa"/>
            <w:noWrap w:val="0"/>
            <w:vAlign w:val="center"/>
          </w:tcPr>
          <w:p w14:paraId="311D45D3">
            <w:pPr>
              <w:jc w:val="center"/>
              <w:rPr>
                <w:rFonts w:ascii="宋体" w:hAnsi="宋体" w:cs="宋体"/>
                <w:color w:val="000000"/>
                <w:sz w:val="22"/>
                <w:szCs w:val="22"/>
              </w:rPr>
            </w:pPr>
            <w:r>
              <w:rPr>
                <w:rFonts w:hint="eastAsia"/>
                <w:color w:val="000000"/>
                <w:sz w:val="22"/>
                <w:szCs w:val="22"/>
              </w:rPr>
              <w:t>276</w:t>
            </w:r>
          </w:p>
        </w:tc>
        <w:tc>
          <w:tcPr>
            <w:tcW w:w="0" w:type="auto"/>
            <w:noWrap w:val="0"/>
            <w:vAlign w:val="center"/>
          </w:tcPr>
          <w:p w14:paraId="1E7C82A0">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5881AC54">
            <w:pPr>
              <w:spacing w:before="100" w:beforeAutospacing="1" w:after="100" w:afterAutospacing="1" w:line="240" w:lineRule="atLeast"/>
              <w:jc w:val="center"/>
              <w:rPr>
                <w:szCs w:val="21"/>
              </w:rPr>
            </w:pPr>
            <w:r>
              <w:rPr>
                <w:rFonts w:hint="eastAsia"/>
                <w:szCs w:val="21"/>
              </w:rPr>
              <w:t>1</w:t>
            </w:r>
          </w:p>
        </w:tc>
        <w:tc>
          <w:tcPr>
            <w:tcW w:w="0" w:type="auto"/>
            <w:noWrap w:val="0"/>
            <w:vAlign w:val="center"/>
          </w:tcPr>
          <w:p w14:paraId="74502F90">
            <w:pPr>
              <w:jc w:val="center"/>
              <w:rPr>
                <w:rFonts w:ascii="宋体" w:hAnsi="宋体" w:cs="宋体"/>
                <w:color w:val="000000"/>
                <w:sz w:val="22"/>
                <w:szCs w:val="22"/>
              </w:rPr>
            </w:pPr>
            <w:r>
              <w:rPr>
                <w:rFonts w:hint="eastAsia"/>
                <w:color w:val="000000"/>
                <w:sz w:val="22"/>
                <w:szCs w:val="22"/>
              </w:rPr>
              <w:t>201</w:t>
            </w:r>
          </w:p>
        </w:tc>
      </w:tr>
      <w:tr w14:paraId="7E9B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2127495A">
            <w:pPr>
              <w:spacing w:before="100" w:beforeAutospacing="1" w:after="100" w:afterAutospacing="1" w:line="240" w:lineRule="atLeast"/>
              <w:jc w:val="center"/>
              <w:rPr>
                <w:rFonts w:eastAsia="楷体_GB2312"/>
                <w:kern w:val="0"/>
                <w:szCs w:val="21"/>
              </w:rPr>
            </w:pPr>
            <w:r>
              <w:rPr>
                <w:rFonts w:hint="eastAsia" w:eastAsia="楷体_GB2312"/>
                <w:kern w:val="0"/>
                <w:szCs w:val="21"/>
              </w:rPr>
              <w:t>18</w:t>
            </w:r>
          </w:p>
        </w:tc>
        <w:tc>
          <w:tcPr>
            <w:tcW w:w="0" w:type="auto"/>
            <w:vMerge w:val="restart"/>
            <w:noWrap w:val="0"/>
            <w:vAlign w:val="center"/>
          </w:tcPr>
          <w:p w14:paraId="6875A460">
            <w:pPr>
              <w:spacing w:before="100" w:beforeAutospacing="1" w:after="100" w:afterAutospacing="1" w:line="240" w:lineRule="atLeast"/>
              <w:jc w:val="center"/>
              <w:rPr>
                <w:rFonts w:eastAsia="楷体_GB2312"/>
                <w:kern w:val="0"/>
                <w:szCs w:val="21"/>
              </w:rPr>
            </w:pPr>
            <w:r>
              <w:rPr>
                <w:rFonts w:hint="eastAsia" w:eastAsia="楷体_GB2312"/>
                <w:kern w:val="0"/>
                <w:szCs w:val="21"/>
              </w:rPr>
              <w:t>大泽乡镇</w:t>
            </w:r>
          </w:p>
        </w:tc>
        <w:tc>
          <w:tcPr>
            <w:tcW w:w="0" w:type="auto"/>
            <w:noWrap w:val="0"/>
            <w:vAlign w:val="center"/>
          </w:tcPr>
          <w:p w14:paraId="7688A2B5">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6095656C">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1105" w:type="dxa"/>
            <w:noWrap w:val="0"/>
            <w:vAlign w:val="center"/>
          </w:tcPr>
          <w:p w14:paraId="42A974A3">
            <w:pPr>
              <w:spacing w:before="100" w:beforeAutospacing="1" w:after="100" w:afterAutospacing="1" w:line="240" w:lineRule="atLeast"/>
              <w:jc w:val="center"/>
              <w:rPr>
                <w:szCs w:val="21"/>
              </w:rPr>
            </w:pPr>
            <w:r>
              <w:rPr>
                <w:rFonts w:hint="eastAsia"/>
                <w:szCs w:val="21"/>
              </w:rPr>
              <w:t>3</w:t>
            </w:r>
          </w:p>
        </w:tc>
        <w:tc>
          <w:tcPr>
            <w:tcW w:w="1081" w:type="dxa"/>
            <w:noWrap w:val="0"/>
            <w:vAlign w:val="center"/>
          </w:tcPr>
          <w:p w14:paraId="35CE8A26">
            <w:pPr>
              <w:jc w:val="center"/>
              <w:rPr>
                <w:rFonts w:ascii="宋体" w:hAnsi="宋体" w:cs="宋体"/>
                <w:color w:val="000000"/>
                <w:sz w:val="22"/>
                <w:szCs w:val="22"/>
              </w:rPr>
            </w:pPr>
            <w:r>
              <w:rPr>
                <w:rFonts w:hint="eastAsia"/>
                <w:color w:val="000000"/>
                <w:sz w:val="22"/>
                <w:szCs w:val="22"/>
              </w:rPr>
              <w:t>418</w:t>
            </w:r>
          </w:p>
        </w:tc>
        <w:tc>
          <w:tcPr>
            <w:tcW w:w="0" w:type="auto"/>
            <w:noWrap w:val="0"/>
            <w:vAlign w:val="center"/>
          </w:tcPr>
          <w:p w14:paraId="4E28B1FE">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noWrap w:val="0"/>
            <w:vAlign w:val="center"/>
          </w:tcPr>
          <w:p w14:paraId="63725113">
            <w:pPr>
              <w:spacing w:before="100" w:beforeAutospacing="1" w:after="100" w:afterAutospacing="1" w:line="240" w:lineRule="atLeast"/>
              <w:jc w:val="center"/>
              <w:rPr>
                <w:szCs w:val="21"/>
              </w:rPr>
            </w:pPr>
            <w:r>
              <w:rPr>
                <w:rFonts w:hint="eastAsia"/>
                <w:szCs w:val="21"/>
              </w:rPr>
              <w:t>3</w:t>
            </w:r>
          </w:p>
        </w:tc>
        <w:tc>
          <w:tcPr>
            <w:tcW w:w="0" w:type="auto"/>
            <w:noWrap w:val="0"/>
            <w:vAlign w:val="center"/>
          </w:tcPr>
          <w:p w14:paraId="22DCB4A9">
            <w:pPr>
              <w:jc w:val="center"/>
              <w:rPr>
                <w:rFonts w:ascii="宋体" w:hAnsi="宋体" w:cs="宋体"/>
                <w:color w:val="000000"/>
                <w:sz w:val="22"/>
                <w:szCs w:val="22"/>
              </w:rPr>
            </w:pPr>
            <w:r>
              <w:rPr>
                <w:rFonts w:hint="eastAsia"/>
                <w:color w:val="000000"/>
                <w:sz w:val="22"/>
                <w:szCs w:val="22"/>
              </w:rPr>
              <w:t>333</w:t>
            </w:r>
          </w:p>
        </w:tc>
      </w:tr>
      <w:tr w14:paraId="718B0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316704A9">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779DC69C">
            <w:pPr>
              <w:spacing w:before="100" w:beforeAutospacing="1" w:after="100" w:afterAutospacing="1" w:line="240" w:lineRule="atLeast"/>
              <w:jc w:val="center"/>
              <w:rPr>
                <w:rFonts w:eastAsia="楷体_GB2312"/>
                <w:kern w:val="0"/>
                <w:szCs w:val="21"/>
              </w:rPr>
            </w:pPr>
          </w:p>
        </w:tc>
        <w:tc>
          <w:tcPr>
            <w:tcW w:w="0" w:type="auto"/>
            <w:noWrap w:val="0"/>
            <w:vAlign w:val="center"/>
          </w:tcPr>
          <w:p w14:paraId="0B6AA935">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6B4BF305">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1105" w:type="dxa"/>
            <w:noWrap w:val="0"/>
            <w:vAlign w:val="center"/>
          </w:tcPr>
          <w:p w14:paraId="3A55AF62">
            <w:pPr>
              <w:spacing w:before="100" w:beforeAutospacing="1" w:after="100" w:afterAutospacing="1" w:line="240" w:lineRule="atLeast"/>
              <w:jc w:val="center"/>
              <w:rPr>
                <w:szCs w:val="21"/>
              </w:rPr>
            </w:pPr>
            <w:r>
              <w:rPr>
                <w:rFonts w:hint="eastAsia"/>
                <w:szCs w:val="21"/>
              </w:rPr>
              <w:t>2</w:t>
            </w:r>
          </w:p>
        </w:tc>
        <w:tc>
          <w:tcPr>
            <w:tcW w:w="1081" w:type="dxa"/>
            <w:noWrap w:val="0"/>
            <w:vAlign w:val="center"/>
          </w:tcPr>
          <w:p w14:paraId="46282EA0">
            <w:pPr>
              <w:jc w:val="center"/>
              <w:rPr>
                <w:rFonts w:ascii="宋体" w:hAnsi="宋体" w:cs="宋体"/>
                <w:color w:val="000000"/>
                <w:sz w:val="22"/>
                <w:szCs w:val="22"/>
              </w:rPr>
            </w:pPr>
            <w:r>
              <w:rPr>
                <w:rFonts w:hint="eastAsia"/>
                <w:color w:val="000000"/>
                <w:sz w:val="22"/>
                <w:szCs w:val="22"/>
              </w:rPr>
              <w:t>359</w:t>
            </w:r>
          </w:p>
        </w:tc>
        <w:tc>
          <w:tcPr>
            <w:tcW w:w="0" w:type="auto"/>
            <w:noWrap w:val="0"/>
            <w:vAlign w:val="center"/>
          </w:tcPr>
          <w:p w14:paraId="14124A7A">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noWrap w:val="0"/>
            <w:vAlign w:val="center"/>
          </w:tcPr>
          <w:p w14:paraId="190559A3">
            <w:pPr>
              <w:spacing w:before="100" w:beforeAutospacing="1" w:after="100" w:afterAutospacing="1" w:line="240" w:lineRule="atLeast"/>
              <w:jc w:val="center"/>
              <w:rPr>
                <w:szCs w:val="21"/>
              </w:rPr>
            </w:pPr>
            <w:r>
              <w:rPr>
                <w:rFonts w:hint="eastAsia"/>
                <w:szCs w:val="21"/>
              </w:rPr>
              <w:t>2</w:t>
            </w:r>
          </w:p>
        </w:tc>
        <w:tc>
          <w:tcPr>
            <w:tcW w:w="0" w:type="auto"/>
            <w:noWrap w:val="0"/>
            <w:vAlign w:val="center"/>
          </w:tcPr>
          <w:p w14:paraId="6842E68B">
            <w:pPr>
              <w:jc w:val="center"/>
              <w:rPr>
                <w:rFonts w:ascii="宋体" w:hAnsi="宋体" w:cs="宋体"/>
                <w:color w:val="000000"/>
                <w:sz w:val="22"/>
                <w:szCs w:val="22"/>
              </w:rPr>
            </w:pPr>
            <w:r>
              <w:rPr>
                <w:rFonts w:hint="eastAsia"/>
                <w:color w:val="000000"/>
                <w:sz w:val="22"/>
                <w:szCs w:val="22"/>
              </w:rPr>
              <w:t>238</w:t>
            </w:r>
          </w:p>
        </w:tc>
      </w:tr>
      <w:tr w14:paraId="1A26E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3F0CC0F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1A16FC0">
            <w:pPr>
              <w:spacing w:before="100" w:beforeAutospacing="1" w:after="100" w:afterAutospacing="1" w:line="240" w:lineRule="atLeast"/>
              <w:jc w:val="center"/>
              <w:rPr>
                <w:rFonts w:eastAsia="楷体_GB2312"/>
                <w:kern w:val="0"/>
                <w:szCs w:val="21"/>
              </w:rPr>
            </w:pPr>
          </w:p>
        </w:tc>
        <w:tc>
          <w:tcPr>
            <w:tcW w:w="0" w:type="auto"/>
            <w:noWrap w:val="0"/>
            <w:vAlign w:val="center"/>
          </w:tcPr>
          <w:p w14:paraId="41B64C1E">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4A2F6DA1">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1105" w:type="dxa"/>
            <w:noWrap w:val="0"/>
            <w:vAlign w:val="center"/>
          </w:tcPr>
          <w:p w14:paraId="6BE2D438">
            <w:pPr>
              <w:spacing w:before="100" w:beforeAutospacing="1" w:after="100" w:afterAutospacing="1" w:line="240" w:lineRule="atLeast"/>
              <w:jc w:val="center"/>
              <w:rPr>
                <w:szCs w:val="21"/>
              </w:rPr>
            </w:pPr>
            <w:r>
              <w:rPr>
                <w:rFonts w:hint="eastAsia"/>
                <w:szCs w:val="21"/>
              </w:rPr>
              <w:t>1</w:t>
            </w:r>
          </w:p>
        </w:tc>
        <w:tc>
          <w:tcPr>
            <w:tcW w:w="1081" w:type="dxa"/>
            <w:noWrap w:val="0"/>
            <w:vAlign w:val="center"/>
          </w:tcPr>
          <w:p w14:paraId="72FFD5DA">
            <w:pPr>
              <w:jc w:val="center"/>
              <w:rPr>
                <w:rFonts w:ascii="宋体" w:hAnsi="宋体" w:cs="宋体"/>
                <w:color w:val="000000"/>
                <w:sz w:val="22"/>
                <w:szCs w:val="22"/>
              </w:rPr>
            </w:pPr>
            <w:r>
              <w:rPr>
                <w:rFonts w:hint="eastAsia"/>
                <w:color w:val="000000"/>
                <w:sz w:val="22"/>
                <w:szCs w:val="22"/>
              </w:rPr>
              <w:t>257</w:t>
            </w:r>
          </w:p>
        </w:tc>
        <w:tc>
          <w:tcPr>
            <w:tcW w:w="0" w:type="auto"/>
            <w:noWrap w:val="0"/>
            <w:vAlign w:val="center"/>
          </w:tcPr>
          <w:p w14:paraId="6FEFC431">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544908AE">
            <w:pPr>
              <w:spacing w:before="100" w:beforeAutospacing="1" w:after="100" w:afterAutospacing="1" w:line="240" w:lineRule="atLeast"/>
              <w:jc w:val="center"/>
              <w:rPr>
                <w:szCs w:val="21"/>
              </w:rPr>
            </w:pPr>
            <w:r>
              <w:rPr>
                <w:rFonts w:hint="eastAsia"/>
                <w:szCs w:val="21"/>
              </w:rPr>
              <w:t>1</w:t>
            </w:r>
          </w:p>
        </w:tc>
        <w:tc>
          <w:tcPr>
            <w:tcW w:w="0" w:type="auto"/>
            <w:noWrap w:val="0"/>
            <w:vAlign w:val="center"/>
          </w:tcPr>
          <w:p w14:paraId="02761323">
            <w:pPr>
              <w:jc w:val="center"/>
              <w:rPr>
                <w:rFonts w:ascii="宋体" w:hAnsi="宋体" w:cs="宋体"/>
                <w:color w:val="000000"/>
                <w:sz w:val="22"/>
                <w:szCs w:val="22"/>
              </w:rPr>
            </w:pPr>
            <w:r>
              <w:rPr>
                <w:rFonts w:hint="eastAsia"/>
                <w:color w:val="000000"/>
                <w:sz w:val="22"/>
                <w:szCs w:val="22"/>
              </w:rPr>
              <w:t>203</w:t>
            </w:r>
          </w:p>
        </w:tc>
      </w:tr>
      <w:tr w14:paraId="53E52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6BF9096F">
            <w:pPr>
              <w:spacing w:before="100" w:beforeAutospacing="1" w:after="100" w:afterAutospacing="1" w:line="240" w:lineRule="atLeast"/>
              <w:jc w:val="center"/>
              <w:rPr>
                <w:rFonts w:eastAsia="楷体_GB2312"/>
                <w:kern w:val="0"/>
                <w:szCs w:val="21"/>
              </w:rPr>
            </w:pPr>
            <w:r>
              <w:rPr>
                <w:rFonts w:hint="eastAsia" w:eastAsia="楷体_GB2312"/>
                <w:kern w:val="0"/>
                <w:szCs w:val="21"/>
              </w:rPr>
              <w:t>19</w:t>
            </w:r>
          </w:p>
        </w:tc>
        <w:tc>
          <w:tcPr>
            <w:tcW w:w="0" w:type="auto"/>
            <w:vMerge w:val="restart"/>
            <w:noWrap w:val="0"/>
            <w:vAlign w:val="center"/>
          </w:tcPr>
          <w:p w14:paraId="7FC1BC31">
            <w:pPr>
              <w:spacing w:before="100" w:beforeAutospacing="1" w:after="100" w:afterAutospacing="1" w:line="240" w:lineRule="atLeast"/>
              <w:jc w:val="center"/>
              <w:rPr>
                <w:rFonts w:eastAsia="楷体_GB2312"/>
                <w:kern w:val="0"/>
                <w:szCs w:val="21"/>
              </w:rPr>
            </w:pPr>
            <w:r>
              <w:rPr>
                <w:rFonts w:hint="eastAsia" w:eastAsia="楷体_GB2312"/>
                <w:kern w:val="0"/>
                <w:szCs w:val="21"/>
              </w:rPr>
              <w:t>永安镇</w:t>
            </w:r>
          </w:p>
        </w:tc>
        <w:tc>
          <w:tcPr>
            <w:tcW w:w="0" w:type="auto"/>
            <w:noWrap w:val="0"/>
            <w:vAlign w:val="center"/>
          </w:tcPr>
          <w:p w14:paraId="0F983206">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0EA621B5">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1105" w:type="dxa"/>
            <w:noWrap w:val="0"/>
            <w:vAlign w:val="center"/>
          </w:tcPr>
          <w:p w14:paraId="15786343">
            <w:pPr>
              <w:spacing w:before="100" w:beforeAutospacing="1" w:after="100" w:afterAutospacing="1" w:line="240" w:lineRule="atLeast"/>
              <w:jc w:val="center"/>
              <w:rPr>
                <w:szCs w:val="21"/>
              </w:rPr>
            </w:pPr>
            <w:r>
              <w:rPr>
                <w:rFonts w:hint="eastAsia"/>
                <w:szCs w:val="21"/>
              </w:rPr>
              <w:t>3</w:t>
            </w:r>
          </w:p>
        </w:tc>
        <w:tc>
          <w:tcPr>
            <w:tcW w:w="1081" w:type="dxa"/>
            <w:noWrap w:val="0"/>
            <w:vAlign w:val="center"/>
          </w:tcPr>
          <w:p w14:paraId="39DF33B8">
            <w:pPr>
              <w:jc w:val="center"/>
              <w:rPr>
                <w:rFonts w:ascii="宋体" w:hAnsi="宋体" w:cs="宋体"/>
                <w:color w:val="000000"/>
                <w:sz w:val="22"/>
                <w:szCs w:val="22"/>
              </w:rPr>
            </w:pPr>
            <w:r>
              <w:rPr>
                <w:rFonts w:hint="eastAsia"/>
                <w:color w:val="000000"/>
                <w:sz w:val="22"/>
                <w:szCs w:val="22"/>
              </w:rPr>
              <w:t>444</w:t>
            </w:r>
          </w:p>
        </w:tc>
        <w:tc>
          <w:tcPr>
            <w:tcW w:w="0" w:type="auto"/>
            <w:noWrap w:val="0"/>
            <w:vAlign w:val="center"/>
          </w:tcPr>
          <w:p w14:paraId="1CF06CDA">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4E3E7073">
            <w:pPr>
              <w:spacing w:before="100" w:beforeAutospacing="1" w:after="100" w:afterAutospacing="1" w:line="240" w:lineRule="atLeast"/>
              <w:jc w:val="center"/>
              <w:rPr>
                <w:szCs w:val="21"/>
              </w:rPr>
            </w:pPr>
            <w:r>
              <w:rPr>
                <w:rFonts w:hint="eastAsia"/>
                <w:szCs w:val="21"/>
              </w:rPr>
              <w:t>3</w:t>
            </w:r>
          </w:p>
        </w:tc>
        <w:tc>
          <w:tcPr>
            <w:tcW w:w="0" w:type="auto"/>
            <w:noWrap w:val="0"/>
            <w:vAlign w:val="center"/>
          </w:tcPr>
          <w:p w14:paraId="20FE3C0D">
            <w:pPr>
              <w:jc w:val="center"/>
              <w:rPr>
                <w:rFonts w:ascii="宋体" w:hAnsi="宋体" w:cs="宋体"/>
                <w:color w:val="000000"/>
                <w:sz w:val="22"/>
                <w:szCs w:val="22"/>
              </w:rPr>
            </w:pPr>
            <w:r>
              <w:rPr>
                <w:rFonts w:hint="eastAsia"/>
                <w:color w:val="000000"/>
                <w:sz w:val="22"/>
                <w:szCs w:val="22"/>
              </w:rPr>
              <w:t>335</w:t>
            </w:r>
          </w:p>
        </w:tc>
      </w:tr>
      <w:tr w14:paraId="1531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A8A57F1">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0B3E183">
            <w:pPr>
              <w:spacing w:before="100" w:beforeAutospacing="1" w:after="100" w:afterAutospacing="1" w:line="240" w:lineRule="atLeast"/>
              <w:jc w:val="center"/>
              <w:rPr>
                <w:rFonts w:eastAsia="楷体_GB2312"/>
                <w:kern w:val="0"/>
                <w:szCs w:val="21"/>
              </w:rPr>
            </w:pPr>
          </w:p>
        </w:tc>
        <w:tc>
          <w:tcPr>
            <w:tcW w:w="0" w:type="auto"/>
            <w:noWrap w:val="0"/>
            <w:vAlign w:val="center"/>
          </w:tcPr>
          <w:p w14:paraId="63D3EE09">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0FB9267A">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1105" w:type="dxa"/>
            <w:noWrap w:val="0"/>
            <w:vAlign w:val="center"/>
          </w:tcPr>
          <w:p w14:paraId="7EF75A5C">
            <w:pPr>
              <w:spacing w:before="100" w:beforeAutospacing="1" w:after="100" w:afterAutospacing="1" w:line="240" w:lineRule="atLeast"/>
              <w:jc w:val="center"/>
              <w:rPr>
                <w:szCs w:val="21"/>
              </w:rPr>
            </w:pPr>
            <w:r>
              <w:rPr>
                <w:rFonts w:hint="eastAsia"/>
                <w:szCs w:val="21"/>
              </w:rPr>
              <w:t>2</w:t>
            </w:r>
          </w:p>
        </w:tc>
        <w:tc>
          <w:tcPr>
            <w:tcW w:w="1081" w:type="dxa"/>
            <w:noWrap w:val="0"/>
            <w:vAlign w:val="center"/>
          </w:tcPr>
          <w:p w14:paraId="786F82D7">
            <w:pPr>
              <w:jc w:val="center"/>
              <w:rPr>
                <w:rFonts w:ascii="宋体" w:hAnsi="宋体" w:cs="宋体"/>
                <w:color w:val="000000"/>
                <w:sz w:val="22"/>
                <w:szCs w:val="22"/>
              </w:rPr>
            </w:pPr>
            <w:r>
              <w:rPr>
                <w:rFonts w:hint="eastAsia"/>
                <w:color w:val="000000"/>
                <w:sz w:val="22"/>
                <w:szCs w:val="22"/>
              </w:rPr>
              <w:t>357</w:t>
            </w:r>
          </w:p>
        </w:tc>
        <w:tc>
          <w:tcPr>
            <w:tcW w:w="0" w:type="auto"/>
            <w:noWrap w:val="0"/>
            <w:vAlign w:val="center"/>
          </w:tcPr>
          <w:p w14:paraId="35AE0164">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2E1DE597">
            <w:pPr>
              <w:spacing w:before="100" w:beforeAutospacing="1" w:after="100" w:afterAutospacing="1" w:line="240" w:lineRule="atLeast"/>
              <w:jc w:val="center"/>
              <w:rPr>
                <w:szCs w:val="21"/>
              </w:rPr>
            </w:pPr>
            <w:r>
              <w:rPr>
                <w:rFonts w:hint="eastAsia"/>
                <w:szCs w:val="21"/>
              </w:rPr>
              <w:t>2</w:t>
            </w:r>
          </w:p>
        </w:tc>
        <w:tc>
          <w:tcPr>
            <w:tcW w:w="0" w:type="auto"/>
            <w:noWrap w:val="0"/>
            <w:vAlign w:val="center"/>
          </w:tcPr>
          <w:p w14:paraId="1D85EEB9">
            <w:pPr>
              <w:jc w:val="center"/>
              <w:rPr>
                <w:rFonts w:ascii="宋体" w:hAnsi="宋体" w:cs="宋体"/>
                <w:color w:val="000000"/>
                <w:sz w:val="22"/>
                <w:szCs w:val="22"/>
              </w:rPr>
            </w:pPr>
            <w:r>
              <w:rPr>
                <w:rFonts w:hint="eastAsia"/>
                <w:color w:val="000000"/>
                <w:sz w:val="22"/>
                <w:szCs w:val="22"/>
              </w:rPr>
              <w:t>263</w:t>
            </w:r>
          </w:p>
        </w:tc>
      </w:tr>
      <w:tr w14:paraId="53A57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FD96979">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446E0429">
            <w:pPr>
              <w:spacing w:before="100" w:beforeAutospacing="1" w:after="100" w:afterAutospacing="1" w:line="240" w:lineRule="atLeast"/>
              <w:jc w:val="center"/>
              <w:rPr>
                <w:rFonts w:eastAsia="楷体_GB2312"/>
                <w:kern w:val="0"/>
                <w:szCs w:val="21"/>
              </w:rPr>
            </w:pPr>
          </w:p>
        </w:tc>
        <w:tc>
          <w:tcPr>
            <w:tcW w:w="0" w:type="auto"/>
            <w:noWrap w:val="0"/>
            <w:vAlign w:val="center"/>
          </w:tcPr>
          <w:p w14:paraId="771508C0">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5D7A5C74">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1105" w:type="dxa"/>
            <w:noWrap w:val="0"/>
            <w:vAlign w:val="center"/>
          </w:tcPr>
          <w:p w14:paraId="403477D5">
            <w:pPr>
              <w:spacing w:before="100" w:beforeAutospacing="1" w:after="100" w:afterAutospacing="1" w:line="240" w:lineRule="atLeast"/>
              <w:jc w:val="center"/>
              <w:rPr>
                <w:szCs w:val="21"/>
              </w:rPr>
            </w:pPr>
            <w:r>
              <w:rPr>
                <w:rFonts w:hint="eastAsia"/>
                <w:szCs w:val="21"/>
              </w:rPr>
              <w:t>1</w:t>
            </w:r>
          </w:p>
        </w:tc>
        <w:tc>
          <w:tcPr>
            <w:tcW w:w="1081" w:type="dxa"/>
            <w:noWrap w:val="0"/>
            <w:vAlign w:val="center"/>
          </w:tcPr>
          <w:p w14:paraId="5250F7FF">
            <w:pPr>
              <w:jc w:val="center"/>
              <w:rPr>
                <w:rFonts w:ascii="宋体" w:hAnsi="宋体" w:cs="宋体"/>
                <w:color w:val="000000"/>
                <w:sz w:val="22"/>
                <w:szCs w:val="22"/>
              </w:rPr>
            </w:pPr>
            <w:r>
              <w:rPr>
                <w:rFonts w:hint="eastAsia"/>
                <w:color w:val="000000"/>
                <w:sz w:val="22"/>
                <w:szCs w:val="22"/>
              </w:rPr>
              <w:t>273</w:t>
            </w:r>
          </w:p>
        </w:tc>
        <w:tc>
          <w:tcPr>
            <w:tcW w:w="0" w:type="auto"/>
            <w:noWrap w:val="0"/>
            <w:vAlign w:val="center"/>
          </w:tcPr>
          <w:p w14:paraId="20683CE8">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5C4B25F9">
            <w:pPr>
              <w:spacing w:before="100" w:beforeAutospacing="1" w:after="100" w:afterAutospacing="1" w:line="240" w:lineRule="atLeast"/>
              <w:jc w:val="center"/>
              <w:rPr>
                <w:szCs w:val="21"/>
              </w:rPr>
            </w:pPr>
            <w:r>
              <w:rPr>
                <w:rFonts w:hint="eastAsia"/>
                <w:szCs w:val="21"/>
              </w:rPr>
              <w:t>1</w:t>
            </w:r>
          </w:p>
        </w:tc>
        <w:tc>
          <w:tcPr>
            <w:tcW w:w="0" w:type="auto"/>
            <w:noWrap w:val="0"/>
            <w:vAlign w:val="center"/>
          </w:tcPr>
          <w:p w14:paraId="24B1E500">
            <w:pPr>
              <w:jc w:val="center"/>
              <w:rPr>
                <w:rFonts w:ascii="宋体" w:hAnsi="宋体" w:cs="宋体"/>
                <w:color w:val="000000"/>
                <w:sz w:val="22"/>
                <w:szCs w:val="22"/>
              </w:rPr>
            </w:pPr>
            <w:r>
              <w:rPr>
                <w:rFonts w:hint="eastAsia"/>
                <w:color w:val="000000"/>
                <w:sz w:val="22"/>
                <w:szCs w:val="22"/>
              </w:rPr>
              <w:t>205</w:t>
            </w:r>
          </w:p>
        </w:tc>
      </w:tr>
      <w:tr w14:paraId="679C6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1E2ADDD8">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vMerge w:val="restart"/>
            <w:noWrap w:val="0"/>
            <w:vAlign w:val="center"/>
          </w:tcPr>
          <w:p w14:paraId="0E4973C2">
            <w:pPr>
              <w:spacing w:before="100" w:beforeAutospacing="1" w:after="100" w:afterAutospacing="1" w:line="240" w:lineRule="atLeast"/>
              <w:jc w:val="center"/>
              <w:rPr>
                <w:rFonts w:eastAsia="楷体_GB2312"/>
                <w:kern w:val="0"/>
                <w:szCs w:val="21"/>
              </w:rPr>
            </w:pPr>
            <w:r>
              <w:rPr>
                <w:rFonts w:hint="eastAsia" w:eastAsia="楷体_GB2312"/>
                <w:kern w:val="0"/>
                <w:szCs w:val="21"/>
              </w:rPr>
              <w:t>支河乡</w:t>
            </w:r>
          </w:p>
        </w:tc>
        <w:tc>
          <w:tcPr>
            <w:tcW w:w="0" w:type="auto"/>
            <w:noWrap w:val="0"/>
            <w:vAlign w:val="center"/>
          </w:tcPr>
          <w:p w14:paraId="3760D0CA">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6AF3C8B3">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1105" w:type="dxa"/>
            <w:noWrap w:val="0"/>
            <w:vAlign w:val="center"/>
          </w:tcPr>
          <w:p w14:paraId="7F920FEF">
            <w:pPr>
              <w:spacing w:before="100" w:beforeAutospacing="1" w:after="100" w:afterAutospacing="1" w:line="240" w:lineRule="atLeast"/>
              <w:jc w:val="center"/>
              <w:rPr>
                <w:szCs w:val="21"/>
              </w:rPr>
            </w:pPr>
            <w:r>
              <w:rPr>
                <w:rFonts w:hint="eastAsia"/>
                <w:szCs w:val="21"/>
              </w:rPr>
              <w:t>3</w:t>
            </w:r>
          </w:p>
        </w:tc>
        <w:tc>
          <w:tcPr>
            <w:tcW w:w="1081" w:type="dxa"/>
            <w:noWrap w:val="0"/>
            <w:vAlign w:val="center"/>
          </w:tcPr>
          <w:p w14:paraId="1D11E058">
            <w:pPr>
              <w:jc w:val="center"/>
              <w:rPr>
                <w:rFonts w:ascii="宋体" w:hAnsi="宋体" w:cs="宋体"/>
                <w:color w:val="000000"/>
                <w:sz w:val="22"/>
                <w:szCs w:val="22"/>
              </w:rPr>
            </w:pPr>
            <w:r>
              <w:rPr>
                <w:rFonts w:hint="eastAsia"/>
                <w:color w:val="000000"/>
                <w:sz w:val="22"/>
                <w:szCs w:val="22"/>
              </w:rPr>
              <w:t>404</w:t>
            </w:r>
          </w:p>
        </w:tc>
        <w:tc>
          <w:tcPr>
            <w:tcW w:w="0" w:type="auto"/>
            <w:noWrap w:val="0"/>
            <w:vAlign w:val="center"/>
          </w:tcPr>
          <w:p w14:paraId="59017C1F">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07040F03">
            <w:pPr>
              <w:spacing w:before="100" w:beforeAutospacing="1" w:after="100" w:afterAutospacing="1" w:line="240" w:lineRule="atLeast"/>
              <w:jc w:val="center"/>
              <w:rPr>
                <w:szCs w:val="21"/>
              </w:rPr>
            </w:pPr>
            <w:r>
              <w:rPr>
                <w:rFonts w:hint="eastAsia"/>
                <w:szCs w:val="21"/>
              </w:rPr>
              <w:t>3</w:t>
            </w:r>
          </w:p>
        </w:tc>
        <w:tc>
          <w:tcPr>
            <w:tcW w:w="0" w:type="auto"/>
            <w:noWrap w:val="0"/>
            <w:vAlign w:val="center"/>
          </w:tcPr>
          <w:p w14:paraId="3AF52E60">
            <w:pPr>
              <w:jc w:val="center"/>
              <w:rPr>
                <w:rFonts w:ascii="宋体" w:hAnsi="宋体" w:cs="宋体"/>
                <w:color w:val="000000"/>
                <w:sz w:val="22"/>
                <w:szCs w:val="22"/>
              </w:rPr>
            </w:pPr>
            <w:r>
              <w:rPr>
                <w:rFonts w:hint="eastAsia"/>
                <w:color w:val="000000"/>
                <w:sz w:val="22"/>
                <w:szCs w:val="22"/>
              </w:rPr>
              <w:t>328</w:t>
            </w:r>
          </w:p>
        </w:tc>
      </w:tr>
      <w:tr w14:paraId="0D38A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BBB6ED8">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6D3E969">
            <w:pPr>
              <w:spacing w:before="100" w:beforeAutospacing="1" w:after="100" w:afterAutospacing="1" w:line="240" w:lineRule="atLeast"/>
              <w:jc w:val="center"/>
              <w:rPr>
                <w:rFonts w:eastAsia="楷体_GB2312"/>
                <w:kern w:val="0"/>
                <w:szCs w:val="21"/>
              </w:rPr>
            </w:pPr>
          </w:p>
        </w:tc>
        <w:tc>
          <w:tcPr>
            <w:tcW w:w="0" w:type="auto"/>
            <w:noWrap w:val="0"/>
            <w:vAlign w:val="center"/>
          </w:tcPr>
          <w:p w14:paraId="23D37C66">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6ABC866C">
            <w:pPr>
              <w:spacing w:before="100" w:beforeAutospacing="1" w:after="100" w:afterAutospacing="1" w:line="240" w:lineRule="atLeast"/>
              <w:jc w:val="center"/>
              <w:rPr>
                <w:rFonts w:eastAsia="楷体_GB2312"/>
                <w:kern w:val="0"/>
                <w:szCs w:val="21"/>
              </w:rPr>
            </w:pPr>
            <w:r>
              <w:rPr>
                <w:rFonts w:hint="eastAsia" w:eastAsia="楷体_GB2312"/>
                <w:kern w:val="0"/>
                <w:szCs w:val="21"/>
              </w:rPr>
              <w:t>9</w:t>
            </w:r>
          </w:p>
        </w:tc>
        <w:tc>
          <w:tcPr>
            <w:tcW w:w="1105" w:type="dxa"/>
            <w:noWrap w:val="0"/>
            <w:vAlign w:val="center"/>
          </w:tcPr>
          <w:p w14:paraId="48B09921">
            <w:pPr>
              <w:spacing w:before="100" w:beforeAutospacing="1" w:after="100" w:afterAutospacing="1" w:line="240" w:lineRule="atLeast"/>
              <w:jc w:val="center"/>
              <w:rPr>
                <w:szCs w:val="21"/>
              </w:rPr>
            </w:pPr>
            <w:r>
              <w:rPr>
                <w:rFonts w:hint="eastAsia"/>
                <w:szCs w:val="21"/>
              </w:rPr>
              <w:t>2</w:t>
            </w:r>
          </w:p>
        </w:tc>
        <w:tc>
          <w:tcPr>
            <w:tcW w:w="1081" w:type="dxa"/>
            <w:noWrap w:val="0"/>
            <w:vAlign w:val="center"/>
          </w:tcPr>
          <w:p w14:paraId="20867010">
            <w:pPr>
              <w:jc w:val="center"/>
              <w:rPr>
                <w:rFonts w:ascii="宋体" w:hAnsi="宋体" w:cs="宋体"/>
                <w:color w:val="000000"/>
                <w:sz w:val="22"/>
                <w:szCs w:val="22"/>
              </w:rPr>
            </w:pPr>
            <w:r>
              <w:rPr>
                <w:rFonts w:hint="eastAsia"/>
                <w:color w:val="000000"/>
                <w:sz w:val="22"/>
                <w:szCs w:val="22"/>
              </w:rPr>
              <w:t>330</w:t>
            </w:r>
          </w:p>
        </w:tc>
        <w:tc>
          <w:tcPr>
            <w:tcW w:w="0" w:type="auto"/>
            <w:noWrap w:val="0"/>
            <w:vAlign w:val="center"/>
          </w:tcPr>
          <w:p w14:paraId="30E97238">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4D8E453B">
            <w:pPr>
              <w:spacing w:before="100" w:beforeAutospacing="1" w:after="100" w:afterAutospacing="1" w:line="240" w:lineRule="atLeast"/>
              <w:jc w:val="center"/>
              <w:rPr>
                <w:szCs w:val="21"/>
              </w:rPr>
            </w:pPr>
            <w:r>
              <w:rPr>
                <w:rFonts w:hint="eastAsia"/>
                <w:szCs w:val="21"/>
              </w:rPr>
              <w:t>2</w:t>
            </w:r>
          </w:p>
        </w:tc>
        <w:tc>
          <w:tcPr>
            <w:tcW w:w="0" w:type="auto"/>
            <w:noWrap w:val="0"/>
            <w:vAlign w:val="center"/>
          </w:tcPr>
          <w:p w14:paraId="29B5492C">
            <w:pPr>
              <w:jc w:val="center"/>
              <w:rPr>
                <w:rFonts w:ascii="宋体" w:hAnsi="宋体" w:cs="宋体"/>
                <w:color w:val="000000"/>
                <w:sz w:val="22"/>
                <w:szCs w:val="22"/>
              </w:rPr>
            </w:pPr>
            <w:r>
              <w:rPr>
                <w:rFonts w:hint="eastAsia"/>
                <w:color w:val="000000"/>
                <w:sz w:val="22"/>
                <w:szCs w:val="22"/>
              </w:rPr>
              <w:t>257</w:t>
            </w:r>
          </w:p>
        </w:tc>
      </w:tr>
      <w:tr w14:paraId="6F3E7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8EEA7B9">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322E66FD">
            <w:pPr>
              <w:spacing w:before="100" w:beforeAutospacing="1" w:after="100" w:afterAutospacing="1" w:line="240" w:lineRule="atLeast"/>
              <w:jc w:val="center"/>
              <w:rPr>
                <w:rFonts w:eastAsia="楷体_GB2312"/>
                <w:kern w:val="0"/>
                <w:szCs w:val="21"/>
              </w:rPr>
            </w:pPr>
          </w:p>
        </w:tc>
        <w:tc>
          <w:tcPr>
            <w:tcW w:w="0" w:type="auto"/>
            <w:noWrap w:val="0"/>
            <w:vAlign w:val="center"/>
          </w:tcPr>
          <w:p w14:paraId="29ACA65B">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0F2A1548">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1105" w:type="dxa"/>
            <w:noWrap w:val="0"/>
            <w:vAlign w:val="center"/>
          </w:tcPr>
          <w:p w14:paraId="0A434D2D">
            <w:pPr>
              <w:spacing w:before="100" w:beforeAutospacing="1" w:after="100" w:afterAutospacing="1" w:line="240" w:lineRule="atLeast"/>
              <w:jc w:val="center"/>
              <w:rPr>
                <w:szCs w:val="21"/>
              </w:rPr>
            </w:pPr>
            <w:r>
              <w:rPr>
                <w:rFonts w:hint="eastAsia"/>
                <w:szCs w:val="21"/>
              </w:rPr>
              <w:t>1</w:t>
            </w:r>
          </w:p>
        </w:tc>
        <w:tc>
          <w:tcPr>
            <w:tcW w:w="1081" w:type="dxa"/>
            <w:noWrap w:val="0"/>
            <w:vAlign w:val="center"/>
          </w:tcPr>
          <w:p w14:paraId="126962F3">
            <w:pPr>
              <w:jc w:val="center"/>
              <w:rPr>
                <w:rFonts w:ascii="宋体" w:hAnsi="宋体" w:cs="宋体"/>
                <w:color w:val="000000"/>
                <w:sz w:val="22"/>
                <w:szCs w:val="22"/>
              </w:rPr>
            </w:pPr>
            <w:r>
              <w:rPr>
                <w:rFonts w:hint="eastAsia"/>
                <w:color w:val="000000"/>
                <w:sz w:val="22"/>
                <w:szCs w:val="22"/>
              </w:rPr>
              <w:t>263</w:t>
            </w:r>
          </w:p>
        </w:tc>
        <w:tc>
          <w:tcPr>
            <w:tcW w:w="0" w:type="auto"/>
            <w:noWrap w:val="0"/>
            <w:vAlign w:val="center"/>
          </w:tcPr>
          <w:p w14:paraId="648C3DC8">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4ADF41BB">
            <w:pPr>
              <w:spacing w:before="100" w:beforeAutospacing="1" w:after="100" w:afterAutospacing="1" w:line="240" w:lineRule="atLeast"/>
              <w:jc w:val="center"/>
              <w:rPr>
                <w:szCs w:val="21"/>
              </w:rPr>
            </w:pPr>
            <w:r>
              <w:rPr>
                <w:rFonts w:hint="eastAsia"/>
                <w:szCs w:val="21"/>
              </w:rPr>
              <w:t>1</w:t>
            </w:r>
          </w:p>
        </w:tc>
        <w:tc>
          <w:tcPr>
            <w:tcW w:w="0" w:type="auto"/>
            <w:noWrap w:val="0"/>
            <w:vAlign w:val="center"/>
          </w:tcPr>
          <w:p w14:paraId="77C121D4">
            <w:pPr>
              <w:jc w:val="center"/>
              <w:rPr>
                <w:rFonts w:ascii="宋体" w:hAnsi="宋体" w:cs="宋体"/>
                <w:color w:val="000000"/>
                <w:sz w:val="22"/>
                <w:szCs w:val="22"/>
              </w:rPr>
            </w:pPr>
            <w:r>
              <w:rPr>
                <w:rFonts w:hint="eastAsia"/>
                <w:color w:val="000000"/>
                <w:sz w:val="22"/>
                <w:szCs w:val="22"/>
              </w:rPr>
              <w:t>200</w:t>
            </w:r>
          </w:p>
        </w:tc>
      </w:tr>
      <w:tr w14:paraId="0504B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63C83743">
            <w:pPr>
              <w:spacing w:before="100" w:beforeAutospacing="1" w:after="100" w:afterAutospacing="1" w:line="240" w:lineRule="atLeast"/>
              <w:jc w:val="center"/>
              <w:rPr>
                <w:rFonts w:eastAsia="楷体_GB2312"/>
                <w:kern w:val="0"/>
                <w:szCs w:val="21"/>
              </w:rPr>
            </w:pPr>
            <w:r>
              <w:rPr>
                <w:rFonts w:hint="eastAsia" w:eastAsia="楷体_GB2312"/>
                <w:kern w:val="0"/>
                <w:szCs w:val="21"/>
              </w:rPr>
              <w:t>21</w:t>
            </w:r>
          </w:p>
        </w:tc>
        <w:tc>
          <w:tcPr>
            <w:tcW w:w="0" w:type="auto"/>
            <w:vMerge w:val="restart"/>
            <w:noWrap w:val="0"/>
            <w:vAlign w:val="center"/>
          </w:tcPr>
          <w:p w14:paraId="75711702">
            <w:pPr>
              <w:spacing w:before="100" w:beforeAutospacing="1" w:after="100" w:afterAutospacing="1" w:line="240" w:lineRule="atLeast"/>
              <w:jc w:val="center"/>
              <w:rPr>
                <w:rFonts w:eastAsia="楷体_GB2312"/>
                <w:kern w:val="0"/>
                <w:szCs w:val="21"/>
              </w:rPr>
            </w:pPr>
            <w:r>
              <w:rPr>
                <w:rFonts w:hint="eastAsia" w:eastAsia="楷体_GB2312"/>
                <w:kern w:val="0"/>
                <w:szCs w:val="21"/>
              </w:rPr>
              <w:t>灰古镇</w:t>
            </w:r>
          </w:p>
        </w:tc>
        <w:tc>
          <w:tcPr>
            <w:tcW w:w="0" w:type="auto"/>
            <w:noWrap w:val="0"/>
            <w:vAlign w:val="center"/>
          </w:tcPr>
          <w:p w14:paraId="09181F9C">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447FDA15">
            <w:pPr>
              <w:spacing w:before="100" w:beforeAutospacing="1" w:after="100" w:afterAutospacing="1" w:line="240" w:lineRule="atLeast"/>
              <w:jc w:val="center"/>
              <w:rPr>
                <w:rFonts w:eastAsia="楷体_GB2312"/>
                <w:kern w:val="0"/>
                <w:szCs w:val="21"/>
              </w:rPr>
            </w:pPr>
            <w:r>
              <w:rPr>
                <w:rFonts w:hint="eastAsia" w:eastAsia="楷体_GB2312"/>
                <w:kern w:val="0"/>
                <w:szCs w:val="21"/>
              </w:rPr>
              <w:t>18</w:t>
            </w:r>
          </w:p>
        </w:tc>
        <w:tc>
          <w:tcPr>
            <w:tcW w:w="1105" w:type="dxa"/>
            <w:noWrap w:val="0"/>
            <w:vAlign w:val="center"/>
          </w:tcPr>
          <w:p w14:paraId="3C6DE279">
            <w:pPr>
              <w:spacing w:before="100" w:beforeAutospacing="1" w:after="100" w:afterAutospacing="1" w:line="240" w:lineRule="atLeast"/>
              <w:jc w:val="center"/>
              <w:rPr>
                <w:szCs w:val="21"/>
              </w:rPr>
            </w:pPr>
            <w:r>
              <w:rPr>
                <w:rFonts w:hint="eastAsia"/>
                <w:szCs w:val="21"/>
              </w:rPr>
              <w:t>3</w:t>
            </w:r>
          </w:p>
        </w:tc>
        <w:tc>
          <w:tcPr>
            <w:tcW w:w="1081" w:type="dxa"/>
            <w:noWrap w:val="0"/>
            <w:vAlign w:val="center"/>
          </w:tcPr>
          <w:p w14:paraId="395F16CE">
            <w:pPr>
              <w:jc w:val="center"/>
              <w:rPr>
                <w:rFonts w:ascii="宋体" w:hAnsi="宋体" w:cs="宋体"/>
                <w:color w:val="000000"/>
                <w:sz w:val="22"/>
                <w:szCs w:val="22"/>
              </w:rPr>
            </w:pPr>
            <w:r>
              <w:rPr>
                <w:rFonts w:hint="eastAsia"/>
                <w:color w:val="000000"/>
                <w:sz w:val="22"/>
                <w:szCs w:val="22"/>
              </w:rPr>
              <w:t>417</w:t>
            </w:r>
          </w:p>
        </w:tc>
        <w:tc>
          <w:tcPr>
            <w:tcW w:w="0" w:type="auto"/>
            <w:noWrap w:val="0"/>
            <w:vAlign w:val="center"/>
          </w:tcPr>
          <w:p w14:paraId="363569C1">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5346025C">
            <w:pPr>
              <w:spacing w:before="100" w:beforeAutospacing="1" w:after="100" w:afterAutospacing="1" w:line="240" w:lineRule="atLeast"/>
              <w:jc w:val="center"/>
              <w:rPr>
                <w:szCs w:val="21"/>
              </w:rPr>
            </w:pPr>
            <w:r>
              <w:rPr>
                <w:rFonts w:hint="eastAsia"/>
                <w:szCs w:val="21"/>
              </w:rPr>
              <w:t>3</w:t>
            </w:r>
          </w:p>
        </w:tc>
        <w:tc>
          <w:tcPr>
            <w:tcW w:w="0" w:type="auto"/>
            <w:noWrap w:val="0"/>
            <w:vAlign w:val="center"/>
          </w:tcPr>
          <w:p w14:paraId="0DD4D8E9">
            <w:pPr>
              <w:jc w:val="center"/>
              <w:rPr>
                <w:rFonts w:ascii="宋体" w:hAnsi="宋体" w:cs="宋体"/>
                <w:color w:val="000000"/>
                <w:sz w:val="22"/>
                <w:szCs w:val="22"/>
              </w:rPr>
            </w:pPr>
            <w:r>
              <w:rPr>
                <w:rFonts w:hint="eastAsia"/>
                <w:color w:val="000000"/>
                <w:sz w:val="22"/>
                <w:szCs w:val="22"/>
              </w:rPr>
              <w:t>326</w:t>
            </w:r>
          </w:p>
        </w:tc>
      </w:tr>
      <w:tr w14:paraId="15B81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E93945F">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2F64865">
            <w:pPr>
              <w:spacing w:before="100" w:beforeAutospacing="1" w:after="100" w:afterAutospacing="1" w:line="240" w:lineRule="atLeast"/>
              <w:jc w:val="center"/>
              <w:rPr>
                <w:rFonts w:eastAsia="楷体_GB2312"/>
                <w:kern w:val="0"/>
                <w:szCs w:val="21"/>
              </w:rPr>
            </w:pPr>
          </w:p>
        </w:tc>
        <w:tc>
          <w:tcPr>
            <w:tcW w:w="0" w:type="auto"/>
            <w:noWrap w:val="0"/>
            <w:vAlign w:val="center"/>
          </w:tcPr>
          <w:p w14:paraId="313CD9D0">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77D19F13">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1105" w:type="dxa"/>
            <w:noWrap w:val="0"/>
            <w:vAlign w:val="center"/>
          </w:tcPr>
          <w:p w14:paraId="0329E9CA">
            <w:pPr>
              <w:spacing w:before="100" w:beforeAutospacing="1" w:after="100" w:afterAutospacing="1" w:line="240" w:lineRule="atLeast"/>
              <w:jc w:val="center"/>
              <w:rPr>
                <w:szCs w:val="21"/>
              </w:rPr>
            </w:pPr>
            <w:r>
              <w:rPr>
                <w:rFonts w:hint="eastAsia"/>
                <w:szCs w:val="21"/>
              </w:rPr>
              <w:t>2</w:t>
            </w:r>
          </w:p>
        </w:tc>
        <w:tc>
          <w:tcPr>
            <w:tcW w:w="1081" w:type="dxa"/>
            <w:noWrap w:val="0"/>
            <w:vAlign w:val="center"/>
          </w:tcPr>
          <w:p w14:paraId="77542156">
            <w:pPr>
              <w:jc w:val="center"/>
              <w:rPr>
                <w:rFonts w:ascii="宋体" w:hAnsi="宋体" w:cs="宋体"/>
                <w:color w:val="000000"/>
                <w:sz w:val="22"/>
                <w:szCs w:val="22"/>
              </w:rPr>
            </w:pPr>
            <w:r>
              <w:rPr>
                <w:rFonts w:hint="eastAsia"/>
                <w:color w:val="000000"/>
                <w:sz w:val="22"/>
                <w:szCs w:val="22"/>
              </w:rPr>
              <w:t>357</w:t>
            </w:r>
          </w:p>
        </w:tc>
        <w:tc>
          <w:tcPr>
            <w:tcW w:w="0" w:type="auto"/>
            <w:noWrap w:val="0"/>
            <w:vAlign w:val="center"/>
          </w:tcPr>
          <w:p w14:paraId="659B2AD2">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2C86E298">
            <w:pPr>
              <w:spacing w:before="100" w:beforeAutospacing="1" w:after="100" w:afterAutospacing="1" w:line="240" w:lineRule="atLeast"/>
              <w:jc w:val="center"/>
              <w:rPr>
                <w:szCs w:val="21"/>
              </w:rPr>
            </w:pPr>
            <w:r>
              <w:rPr>
                <w:rFonts w:hint="eastAsia"/>
                <w:szCs w:val="21"/>
              </w:rPr>
              <w:t>2</w:t>
            </w:r>
          </w:p>
        </w:tc>
        <w:tc>
          <w:tcPr>
            <w:tcW w:w="0" w:type="auto"/>
            <w:noWrap w:val="0"/>
            <w:vAlign w:val="center"/>
          </w:tcPr>
          <w:p w14:paraId="022420EE">
            <w:pPr>
              <w:jc w:val="center"/>
              <w:rPr>
                <w:rFonts w:ascii="宋体" w:hAnsi="宋体" w:cs="宋体"/>
                <w:color w:val="000000"/>
                <w:sz w:val="22"/>
                <w:szCs w:val="22"/>
              </w:rPr>
            </w:pPr>
            <w:r>
              <w:rPr>
                <w:rFonts w:hint="eastAsia"/>
                <w:color w:val="000000"/>
                <w:sz w:val="22"/>
                <w:szCs w:val="22"/>
              </w:rPr>
              <w:t>260</w:t>
            </w:r>
          </w:p>
        </w:tc>
      </w:tr>
      <w:tr w14:paraId="642CE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D5CD4BB">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4D80EE41">
            <w:pPr>
              <w:spacing w:before="100" w:beforeAutospacing="1" w:after="100" w:afterAutospacing="1" w:line="240" w:lineRule="atLeast"/>
              <w:jc w:val="center"/>
              <w:rPr>
                <w:rFonts w:eastAsia="楷体_GB2312"/>
                <w:kern w:val="0"/>
                <w:szCs w:val="21"/>
              </w:rPr>
            </w:pPr>
          </w:p>
        </w:tc>
        <w:tc>
          <w:tcPr>
            <w:tcW w:w="0" w:type="auto"/>
            <w:noWrap w:val="0"/>
            <w:vAlign w:val="center"/>
          </w:tcPr>
          <w:p w14:paraId="7760D245">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72FF6239">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1105" w:type="dxa"/>
            <w:noWrap w:val="0"/>
            <w:vAlign w:val="center"/>
          </w:tcPr>
          <w:p w14:paraId="593F0123">
            <w:pPr>
              <w:spacing w:before="100" w:beforeAutospacing="1" w:after="100" w:afterAutospacing="1" w:line="240" w:lineRule="atLeast"/>
              <w:jc w:val="center"/>
              <w:rPr>
                <w:szCs w:val="21"/>
              </w:rPr>
            </w:pPr>
            <w:r>
              <w:rPr>
                <w:rFonts w:hint="eastAsia"/>
                <w:szCs w:val="21"/>
              </w:rPr>
              <w:t>1</w:t>
            </w:r>
          </w:p>
        </w:tc>
        <w:tc>
          <w:tcPr>
            <w:tcW w:w="1081" w:type="dxa"/>
            <w:noWrap w:val="0"/>
            <w:vAlign w:val="center"/>
          </w:tcPr>
          <w:p w14:paraId="5705994B">
            <w:pPr>
              <w:jc w:val="center"/>
              <w:rPr>
                <w:rFonts w:ascii="宋体" w:hAnsi="宋体" w:cs="宋体"/>
                <w:color w:val="000000"/>
                <w:sz w:val="22"/>
                <w:szCs w:val="22"/>
              </w:rPr>
            </w:pPr>
            <w:r>
              <w:rPr>
                <w:rFonts w:hint="eastAsia"/>
                <w:color w:val="000000"/>
                <w:sz w:val="22"/>
                <w:szCs w:val="22"/>
              </w:rPr>
              <w:t>276</w:t>
            </w:r>
          </w:p>
        </w:tc>
        <w:tc>
          <w:tcPr>
            <w:tcW w:w="0" w:type="auto"/>
            <w:noWrap w:val="0"/>
            <w:vAlign w:val="center"/>
          </w:tcPr>
          <w:p w14:paraId="33DF32C6">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67B29E74">
            <w:pPr>
              <w:spacing w:before="100" w:beforeAutospacing="1" w:after="100" w:afterAutospacing="1" w:line="240" w:lineRule="atLeast"/>
              <w:jc w:val="center"/>
              <w:rPr>
                <w:szCs w:val="21"/>
              </w:rPr>
            </w:pPr>
            <w:r>
              <w:rPr>
                <w:rFonts w:hint="eastAsia"/>
                <w:szCs w:val="21"/>
              </w:rPr>
              <w:t>1</w:t>
            </w:r>
          </w:p>
        </w:tc>
        <w:tc>
          <w:tcPr>
            <w:tcW w:w="0" w:type="auto"/>
            <w:noWrap w:val="0"/>
            <w:vAlign w:val="center"/>
          </w:tcPr>
          <w:p w14:paraId="08D8823C">
            <w:pPr>
              <w:jc w:val="center"/>
              <w:rPr>
                <w:rFonts w:ascii="宋体" w:hAnsi="宋体" w:cs="宋体"/>
                <w:color w:val="000000"/>
                <w:sz w:val="22"/>
                <w:szCs w:val="22"/>
              </w:rPr>
            </w:pPr>
            <w:r>
              <w:rPr>
                <w:rFonts w:hint="eastAsia"/>
                <w:color w:val="000000"/>
                <w:sz w:val="22"/>
                <w:szCs w:val="22"/>
              </w:rPr>
              <w:t>198</w:t>
            </w:r>
          </w:p>
        </w:tc>
      </w:tr>
      <w:tr w14:paraId="4C88A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62329866">
            <w:pPr>
              <w:spacing w:before="100" w:beforeAutospacing="1" w:after="100" w:afterAutospacing="1" w:line="240" w:lineRule="atLeast"/>
              <w:jc w:val="center"/>
              <w:rPr>
                <w:rFonts w:eastAsia="楷体_GB2312"/>
                <w:kern w:val="0"/>
                <w:szCs w:val="21"/>
              </w:rPr>
            </w:pPr>
            <w:r>
              <w:rPr>
                <w:rFonts w:hint="eastAsia" w:eastAsia="楷体_GB2312"/>
                <w:kern w:val="0"/>
                <w:szCs w:val="21"/>
              </w:rPr>
              <w:t>22</w:t>
            </w:r>
          </w:p>
        </w:tc>
        <w:tc>
          <w:tcPr>
            <w:tcW w:w="0" w:type="auto"/>
            <w:vMerge w:val="restart"/>
            <w:noWrap w:val="0"/>
            <w:vAlign w:val="center"/>
          </w:tcPr>
          <w:p w14:paraId="5127121E">
            <w:pPr>
              <w:spacing w:before="100" w:beforeAutospacing="1" w:after="100" w:afterAutospacing="1" w:line="240" w:lineRule="atLeast"/>
              <w:jc w:val="center"/>
              <w:rPr>
                <w:rFonts w:eastAsia="楷体_GB2312"/>
                <w:kern w:val="0"/>
                <w:szCs w:val="21"/>
              </w:rPr>
            </w:pPr>
            <w:r>
              <w:rPr>
                <w:rFonts w:hint="eastAsia" w:eastAsia="楷体_GB2312"/>
                <w:kern w:val="0"/>
                <w:szCs w:val="21"/>
              </w:rPr>
              <w:t>桃沟乡</w:t>
            </w:r>
          </w:p>
        </w:tc>
        <w:tc>
          <w:tcPr>
            <w:tcW w:w="0" w:type="auto"/>
            <w:noWrap w:val="0"/>
            <w:vAlign w:val="center"/>
          </w:tcPr>
          <w:p w14:paraId="06C7D316">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2FD8B6A9">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1105" w:type="dxa"/>
            <w:noWrap w:val="0"/>
            <w:vAlign w:val="center"/>
          </w:tcPr>
          <w:p w14:paraId="21EF3F85">
            <w:pPr>
              <w:spacing w:before="100" w:beforeAutospacing="1" w:after="100" w:afterAutospacing="1" w:line="240" w:lineRule="atLeast"/>
              <w:jc w:val="center"/>
              <w:rPr>
                <w:szCs w:val="21"/>
              </w:rPr>
            </w:pPr>
            <w:r>
              <w:rPr>
                <w:rFonts w:hint="eastAsia"/>
                <w:szCs w:val="21"/>
              </w:rPr>
              <w:t>3</w:t>
            </w:r>
          </w:p>
        </w:tc>
        <w:tc>
          <w:tcPr>
            <w:tcW w:w="1081" w:type="dxa"/>
            <w:noWrap w:val="0"/>
            <w:vAlign w:val="center"/>
          </w:tcPr>
          <w:p w14:paraId="0DCCBEEE">
            <w:pPr>
              <w:jc w:val="center"/>
              <w:rPr>
                <w:rFonts w:ascii="宋体" w:hAnsi="宋体" w:cs="宋体"/>
                <w:color w:val="000000"/>
                <w:sz w:val="22"/>
                <w:szCs w:val="22"/>
              </w:rPr>
            </w:pPr>
            <w:r>
              <w:rPr>
                <w:rFonts w:hint="eastAsia"/>
                <w:color w:val="000000"/>
                <w:sz w:val="22"/>
                <w:szCs w:val="22"/>
              </w:rPr>
              <w:t>417</w:t>
            </w:r>
          </w:p>
        </w:tc>
        <w:tc>
          <w:tcPr>
            <w:tcW w:w="0" w:type="auto"/>
            <w:noWrap w:val="0"/>
            <w:vAlign w:val="center"/>
          </w:tcPr>
          <w:p w14:paraId="058FA8BC">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755C0A03">
            <w:pPr>
              <w:spacing w:before="100" w:beforeAutospacing="1" w:after="100" w:afterAutospacing="1" w:line="240" w:lineRule="atLeast"/>
              <w:jc w:val="center"/>
              <w:rPr>
                <w:szCs w:val="21"/>
              </w:rPr>
            </w:pPr>
            <w:r>
              <w:rPr>
                <w:rFonts w:hint="eastAsia"/>
                <w:szCs w:val="21"/>
              </w:rPr>
              <w:t>3</w:t>
            </w:r>
          </w:p>
        </w:tc>
        <w:tc>
          <w:tcPr>
            <w:tcW w:w="0" w:type="auto"/>
            <w:noWrap w:val="0"/>
            <w:vAlign w:val="center"/>
          </w:tcPr>
          <w:p w14:paraId="098B5C37">
            <w:pPr>
              <w:jc w:val="center"/>
              <w:rPr>
                <w:rFonts w:ascii="宋体" w:hAnsi="宋体" w:cs="宋体"/>
                <w:color w:val="000000"/>
                <w:sz w:val="22"/>
                <w:szCs w:val="22"/>
              </w:rPr>
            </w:pPr>
            <w:r>
              <w:rPr>
                <w:rFonts w:hint="eastAsia"/>
                <w:color w:val="000000"/>
                <w:sz w:val="22"/>
                <w:szCs w:val="22"/>
              </w:rPr>
              <w:t>307</w:t>
            </w:r>
          </w:p>
        </w:tc>
      </w:tr>
      <w:tr w14:paraId="27DFF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B7E19A9">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5D7349F">
            <w:pPr>
              <w:spacing w:before="100" w:beforeAutospacing="1" w:after="100" w:afterAutospacing="1" w:line="240" w:lineRule="atLeast"/>
              <w:jc w:val="center"/>
              <w:rPr>
                <w:rFonts w:eastAsia="楷体_GB2312"/>
                <w:kern w:val="0"/>
                <w:szCs w:val="21"/>
              </w:rPr>
            </w:pPr>
          </w:p>
        </w:tc>
        <w:tc>
          <w:tcPr>
            <w:tcW w:w="0" w:type="auto"/>
            <w:noWrap w:val="0"/>
            <w:vAlign w:val="center"/>
          </w:tcPr>
          <w:p w14:paraId="16F19BBE">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49E59431">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1105" w:type="dxa"/>
            <w:noWrap w:val="0"/>
            <w:vAlign w:val="center"/>
          </w:tcPr>
          <w:p w14:paraId="6293CBC4">
            <w:pPr>
              <w:spacing w:before="100" w:beforeAutospacing="1" w:after="100" w:afterAutospacing="1" w:line="240" w:lineRule="atLeast"/>
              <w:jc w:val="center"/>
              <w:rPr>
                <w:szCs w:val="21"/>
              </w:rPr>
            </w:pPr>
            <w:r>
              <w:rPr>
                <w:rFonts w:hint="eastAsia"/>
                <w:szCs w:val="21"/>
              </w:rPr>
              <w:t>2</w:t>
            </w:r>
          </w:p>
        </w:tc>
        <w:tc>
          <w:tcPr>
            <w:tcW w:w="1081" w:type="dxa"/>
            <w:noWrap w:val="0"/>
            <w:vAlign w:val="center"/>
          </w:tcPr>
          <w:p w14:paraId="0ABEBD96">
            <w:pPr>
              <w:jc w:val="center"/>
              <w:rPr>
                <w:rFonts w:ascii="宋体" w:hAnsi="宋体" w:cs="宋体"/>
                <w:color w:val="000000"/>
                <w:sz w:val="22"/>
                <w:szCs w:val="22"/>
              </w:rPr>
            </w:pPr>
            <w:r>
              <w:rPr>
                <w:rFonts w:hint="eastAsia"/>
                <w:color w:val="000000"/>
                <w:sz w:val="22"/>
                <w:szCs w:val="22"/>
              </w:rPr>
              <w:t>328</w:t>
            </w:r>
          </w:p>
        </w:tc>
        <w:tc>
          <w:tcPr>
            <w:tcW w:w="0" w:type="auto"/>
            <w:noWrap w:val="0"/>
            <w:vAlign w:val="center"/>
          </w:tcPr>
          <w:p w14:paraId="58CE6289">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42DCC487">
            <w:pPr>
              <w:spacing w:before="100" w:beforeAutospacing="1" w:after="100" w:afterAutospacing="1" w:line="240" w:lineRule="atLeast"/>
              <w:jc w:val="center"/>
              <w:rPr>
                <w:szCs w:val="21"/>
              </w:rPr>
            </w:pPr>
            <w:r>
              <w:rPr>
                <w:rFonts w:hint="eastAsia"/>
                <w:szCs w:val="21"/>
              </w:rPr>
              <w:t>2</w:t>
            </w:r>
          </w:p>
        </w:tc>
        <w:tc>
          <w:tcPr>
            <w:tcW w:w="0" w:type="auto"/>
            <w:noWrap w:val="0"/>
            <w:vAlign w:val="center"/>
          </w:tcPr>
          <w:p w14:paraId="2350CA74">
            <w:pPr>
              <w:jc w:val="center"/>
              <w:rPr>
                <w:rFonts w:ascii="宋体" w:hAnsi="宋体" w:cs="宋体"/>
                <w:color w:val="000000"/>
                <w:sz w:val="22"/>
                <w:szCs w:val="22"/>
              </w:rPr>
            </w:pPr>
            <w:r>
              <w:rPr>
                <w:rFonts w:hint="eastAsia"/>
                <w:color w:val="000000"/>
                <w:sz w:val="22"/>
                <w:szCs w:val="22"/>
              </w:rPr>
              <w:t>238</w:t>
            </w:r>
          </w:p>
        </w:tc>
      </w:tr>
      <w:tr w14:paraId="2948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EBB1014">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4AA9A031">
            <w:pPr>
              <w:spacing w:before="100" w:beforeAutospacing="1" w:after="100" w:afterAutospacing="1" w:line="240" w:lineRule="atLeast"/>
              <w:jc w:val="center"/>
              <w:rPr>
                <w:rFonts w:eastAsia="楷体_GB2312"/>
                <w:kern w:val="0"/>
                <w:szCs w:val="21"/>
              </w:rPr>
            </w:pPr>
          </w:p>
        </w:tc>
        <w:tc>
          <w:tcPr>
            <w:tcW w:w="0" w:type="auto"/>
            <w:noWrap w:val="0"/>
            <w:vAlign w:val="center"/>
          </w:tcPr>
          <w:p w14:paraId="5F860B02">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48E1101E">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1105" w:type="dxa"/>
            <w:noWrap w:val="0"/>
            <w:vAlign w:val="center"/>
          </w:tcPr>
          <w:p w14:paraId="72EA780C">
            <w:pPr>
              <w:spacing w:before="100" w:beforeAutospacing="1" w:after="100" w:afterAutospacing="1" w:line="240" w:lineRule="atLeast"/>
              <w:jc w:val="center"/>
              <w:rPr>
                <w:szCs w:val="21"/>
              </w:rPr>
            </w:pPr>
            <w:r>
              <w:rPr>
                <w:rFonts w:hint="eastAsia"/>
                <w:szCs w:val="21"/>
              </w:rPr>
              <w:t>1</w:t>
            </w:r>
          </w:p>
        </w:tc>
        <w:tc>
          <w:tcPr>
            <w:tcW w:w="1081" w:type="dxa"/>
            <w:noWrap w:val="0"/>
            <w:vAlign w:val="center"/>
          </w:tcPr>
          <w:p w14:paraId="174435E5">
            <w:pPr>
              <w:jc w:val="center"/>
              <w:rPr>
                <w:rFonts w:ascii="宋体" w:hAnsi="宋体" w:cs="宋体"/>
                <w:color w:val="000000"/>
                <w:sz w:val="22"/>
                <w:szCs w:val="22"/>
              </w:rPr>
            </w:pPr>
            <w:r>
              <w:rPr>
                <w:rFonts w:hint="eastAsia"/>
                <w:color w:val="000000"/>
                <w:sz w:val="22"/>
                <w:szCs w:val="22"/>
              </w:rPr>
              <w:t>257</w:t>
            </w:r>
          </w:p>
        </w:tc>
        <w:tc>
          <w:tcPr>
            <w:tcW w:w="0" w:type="auto"/>
            <w:noWrap w:val="0"/>
            <w:vAlign w:val="center"/>
          </w:tcPr>
          <w:p w14:paraId="49E1D85B">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1AEC61EB">
            <w:pPr>
              <w:spacing w:before="100" w:beforeAutospacing="1" w:after="100" w:afterAutospacing="1" w:line="240" w:lineRule="atLeast"/>
              <w:jc w:val="center"/>
              <w:rPr>
                <w:szCs w:val="21"/>
              </w:rPr>
            </w:pPr>
            <w:r>
              <w:rPr>
                <w:rFonts w:hint="eastAsia"/>
                <w:szCs w:val="21"/>
              </w:rPr>
              <w:t>1</w:t>
            </w:r>
          </w:p>
        </w:tc>
        <w:tc>
          <w:tcPr>
            <w:tcW w:w="0" w:type="auto"/>
            <w:noWrap w:val="0"/>
            <w:vAlign w:val="center"/>
          </w:tcPr>
          <w:p w14:paraId="596BF83C">
            <w:pPr>
              <w:jc w:val="center"/>
              <w:rPr>
                <w:rFonts w:ascii="宋体" w:hAnsi="宋体" w:cs="宋体"/>
                <w:color w:val="000000"/>
                <w:sz w:val="22"/>
                <w:szCs w:val="22"/>
              </w:rPr>
            </w:pPr>
            <w:r>
              <w:rPr>
                <w:rFonts w:hint="eastAsia"/>
                <w:color w:val="000000"/>
                <w:sz w:val="22"/>
                <w:szCs w:val="22"/>
              </w:rPr>
              <w:t>194</w:t>
            </w:r>
          </w:p>
        </w:tc>
      </w:tr>
    </w:tbl>
    <w:p w14:paraId="509AAACD">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（2）模型检验</w:t>
      </w:r>
    </w:p>
    <w:p w14:paraId="64C7DE27">
      <w:pPr>
        <w:pStyle w:val="20"/>
        <w:spacing w:line="480" w:lineRule="exact"/>
        <w:ind w:firstLine="560" w:firstLineChars="200"/>
        <w:rPr>
          <w:rFonts w:ascii="Times New Roman" w:hAnsi="Times New Roman" w:eastAsia="楷体_GB2312" w:cs="Times New Roman"/>
          <w:sz w:val="28"/>
        </w:rPr>
      </w:pPr>
      <w:r>
        <w:rPr>
          <w:rFonts w:hint="eastAsia" w:hAnsi="宋体" w:cs="宋体"/>
          <w:sz w:val="28"/>
        </w:rPr>
        <w:t>①</w:t>
      </w:r>
      <w:r>
        <w:rPr>
          <w:rFonts w:ascii="Times New Roman" w:hAnsi="Times New Roman" w:eastAsia="楷体_GB2312" w:cs="Times New Roman"/>
          <w:sz w:val="28"/>
        </w:rPr>
        <w:t>参数估计值可靠性检验</w:t>
      </w:r>
    </w:p>
    <w:p w14:paraId="6251D7C1">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分析上述测算结果可以看出地价与土地级别存在明显的正级差，参数符号意义是合理的，通过统计量α=0.05，F、t检验，可以看出整个回归效果是显著的，回归系数检验也显著，说明土地级别质量指数对土地有显著影响；通过复相关系数R检验，说明模型拟合优度通过α=0.05的假设检验。</w:t>
      </w:r>
      <w:r>
        <w:rPr>
          <w:rFonts w:hint="eastAsia" w:ascii="楷体" w:hAnsi="楷体" w:eastAsia="楷体" w:cs="宋体"/>
          <w:sz w:val="28"/>
          <w:szCs w:val="24"/>
        </w:rPr>
        <w:t>埇桥区</w:t>
      </w:r>
      <w:r>
        <w:rPr>
          <w:rFonts w:ascii="Times New Roman" w:hAnsi="Times New Roman" w:eastAsia="楷体_GB2312" w:cs="Times New Roman"/>
          <w:sz w:val="28"/>
        </w:rPr>
        <w:t>各乡镇镇区商服、住宅用地复相关系数R在0.3以上。</w:t>
      </w:r>
    </w:p>
    <w:p w14:paraId="5BBDFD35">
      <w:pPr>
        <w:pStyle w:val="20"/>
        <w:spacing w:line="480" w:lineRule="exact"/>
        <w:ind w:firstLine="560" w:firstLineChars="200"/>
        <w:rPr>
          <w:rFonts w:ascii="Times New Roman" w:hAnsi="Times New Roman" w:eastAsia="楷体_GB2312" w:cs="Times New Roman"/>
          <w:sz w:val="28"/>
        </w:rPr>
      </w:pPr>
      <w:r>
        <w:rPr>
          <w:rFonts w:hint="eastAsia" w:hAnsi="宋体" w:cs="宋体"/>
          <w:sz w:val="28"/>
        </w:rPr>
        <w:t>②</w:t>
      </w:r>
      <w:r>
        <w:rPr>
          <w:rFonts w:ascii="Times New Roman" w:hAnsi="Times New Roman" w:eastAsia="楷体_GB2312" w:cs="Times New Roman"/>
          <w:sz w:val="28"/>
        </w:rPr>
        <w:t>计量经济检验</w:t>
      </w:r>
    </w:p>
    <w:p w14:paraId="258CFED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上述测算结果表明商服、住宅用地级别基准地价与土地级别质量指数存在明显级差，且随着土地级别的降低，级别间地价差距逐渐变小。模型回归揭示的级差地价空间变化规律符合</w:t>
      </w:r>
      <w:r>
        <w:rPr>
          <w:rFonts w:hint="eastAsia" w:ascii="楷体" w:hAnsi="楷体" w:eastAsia="楷体" w:cs="宋体"/>
          <w:sz w:val="28"/>
          <w:szCs w:val="24"/>
        </w:rPr>
        <w:t>埇桥区</w:t>
      </w:r>
      <w:r>
        <w:rPr>
          <w:rFonts w:ascii="Times New Roman" w:hAnsi="Times New Roman" w:eastAsia="楷体_GB2312" w:cs="Times New Roman"/>
          <w:sz w:val="28"/>
        </w:rPr>
        <w:t>各乡镇镇区地价变化的实际情况，因而计量经济检验说明模型回归结果有效，可作为级别基准地价确定的参考依据之一。</w:t>
      </w:r>
    </w:p>
    <w:p w14:paraId="67E11EE6">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2、样点地价与定级单元总分值指数模型测算</w:t>
      </w:r>
    </w:p>
    <w:p w14:paraId="5E1B03A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w:t>
      </w:r>
      <w:r>
        <w:rPr>
          <w:rFonts w:hint="eastAsia" w:ascii="楷体" w:hAnsi="楷体" w:eastAsia="楷体" w:cs="宋体"/>
          <w:sz w:val="28"/>
          <w:szCs w:val="24"/>
        </w:rPr>
        <w:t>埇桥区</w:t>
      </w:r>
      <w:r>
        <w:rPr>
          <w:rFonts w:ascii="Times New Roman" w:hAnsi="Times New Roman" w:eastAsia="楷体_GB2312" w:cs="Times New Roman"/>
          <w:sz w:val="28"/>
        </w:rPr>
        <w:t>各乡镇镇区商服、住宅用地样点地价与定级单元总分值指数模型测算结果与样点地价与土地级别之间指数模型测算相同方法，进行各乡镇镇区商服、住宅用地样点地价与定级单元总分值指数模型测算结果见表2-5-</w:t>
      </w:r>
      <w:r>
        <w:rPr>
          <w:rFonts w:hint="eastAsia" w:ascii="Times New Roman" w:hAnsi="Times New Roman" w:eastAsia="楷体_GB2312" w:cs="Times New Roman"/>
          <w:sz w:val="28"/>
        </w:rPr>
        <w:t>26</w:t>
      </w:r>
      <w:r>
        <w:rPr>
          <w:rFonts w:ascii="Times New Roman" w:hAnsi="Times New Roman" w:eastAsia="楷体_GB2312" w:cs="Times New Roman"/>
          <w:sz w:val="28"/>
        </w:rPr>
        <w:t>和表2-5-</w:t>
      </w:r>
      <w:r>
        <w:rPr>
          <w:rFonts w:hint="eastAsia" w:ascii="Times New Roman" w:hAnsi="Times New Roman" w:eastAsia="楷体_GB2312" w:cs="Times New Roman"/>
          <w:sz w:val="28"/>
        </w:rPr>
        <w:t>48</w:t>
      </w:r>
      <w:r>
        <w:rPr>
          <w:rFonts w:ascii="Times New Roman" w:hAnsi="Times New Roman" w:eastAsia="楷体_GB2312" w:cs="Times New Roman"/>
          <w:sz w:val="28"/>
        </w:rPr>
        <w:t>。</w:t>
      </w:r>
    </w:p>
    <w:p w14:paraId="3312923D">
      <w:pPr>
        <w:pStyle w:val="20"/>
        <w:spacing w:before="120" w:beforeLines="50" w:after="120" w:afterLines="50" w:line="240" w:lineRule="atLeas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26</w:t>
      </w:r>
      <w:r>
        <w:rPr>
          <w:rFonts w:ascii="Times New Roman" w:hAnsi="Times New Roman" w:eastAsia="黑体" w:cs="Times New Roman"/>
          <w:sz w:val="28"/>
        </w:rPr>
        <w:t xml:space="preserve">  </w:t>
      </w:r>
      <w:r>
        <w:rPr>
          <w:rFonts w:hint="eastAsia" w:ascii="Times New Roman" w:hAnsi="Times New Roman" w:eastAsia="黑体" w:cs="Times New Roman"/>
          <w:sz w:val="28"/>
        </w:rPr>
        <w:t>符离镇</w:t>
      </w:r>
      <w:r>
        <w:rPr>
          <w:rFonts w:ascii="Times New Roman" w:hAnsi="Times New Roman" w:eastAsia="黑体" w:cs="Times New Roman"/>
          <w:sz w:val="28"/>
        </w:rPr>
        <w:t>样点地价与定级单元总分值模型测算结果表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74646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72309612">
            <w:pPr>
              <w:jc w:val="center"/>
              <w:rPr>
                <w:rFonts w:eastAsia="楷体_GB2312"/>
                <w:kern w:val="0"/>
                <w:szCs w:val="21"/>
              </w:rPr>
            </w:pPr>
            <w:r>
              <w:rPr>
                <w:rFonts w:eastAsia="楷体_GB2312"/>
                <w:kern w:val="0"/>
                <w:szCs w:val="21"/>
              </w:rPr>
              <w:t>用地类型</w:t>
            </w:r>
          </w:p>
        </w:tc>
        <w:tc>
          <w:tcPr>
            <w:tcW w:w="3504" w:type="dxa"/>
            <w:noWrap w:val="0"/>
            <w:vAlign w:val="center"/>
          </w:tcPr>
          <w:p w14:paraId="46B545C8">
            <w:pPr>
              <w:jc w:val="center"/>
              <w:rPr>
                <w:rFonts w:eastAsia="楷体_GB2312"/>
                <w:kern w:val="0"/>
                <w:szCs w:val="21"/>
              </w:rPr>
            </w:pPr>
            <w:r>
              <w:rPr>
                <w:rFonts w:eastAsia="楷体_GB2312"/>
                <w:kern w:val="0"/>
                <w:szCs w:val="21"/>
              </w:rPr>
              <w:t>模型数学表达式</w:t>
            </w:r>
          </w:p>
        </w:tc>
        <w:tc>
          <w:tcPr>
            <w:tcW w:w="3961" w:type="dxa"/>
            <w:noWrap w:val="0"/>
            <w:vAlign w:val="center"/>
          </w:tcPr>
          <w:p w14:paraId="738F797F">
            <w:pPr>
              <w:jc w:val="center"/>
              <w:rPr>
                <w:rFonts w:eastAsia="楷体_GB2312"/>
                <w:kern w:val="0"/>
                <w:szCs w:val="21"/>
              </w:rPr>
            </w:pPr>
            <w:r>
              <w:rPr>
                <w:rFonts w:eastAsia="楷体_GB2312"/>
                <w:kern w:val="0"/>
                <w:szCs w:val="21"/>
              </w:rPr>
              <w:t>统计量检验</w:t>
            </w:r>
          </w:p>
        </w:tc>
      </w:tr>
      <w:tr w14:paraId="6A88B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65A690B2">
            <w:pPr>
              <w:jc w:val="center"/>
              <w:rPr>
                <w:rFonts w:eastAsia="楷体_GB2312"/>
                <w:kern w:val="0"/>
                <w:szCs w:val="21"/>
              </w:rPr>
            </w:pPr>
            <w:r>
              <w:rPr>
                <w:rFonts w:eastAsia="楷体_GB2312"/>
                <w:kern w:val="0"/>
                <w:szCs w:val="21"/>
              </w:rPr>
              <w:t>商服用地</w:t>
            </w:r>
          </w:p>
        </w:tc>
        <w:tc>
          <w:tcPr>
            <w:tcW w:w="3504" w:type="dxa"/>
            <w:noWrap w:val="0"/>
            <w:vAlign w:val="center"/>
          </w:tcPr>
          <w:p w14:paraId="162B785D">
            <w:pPr>
              <w:jc w:val="center"/>
              <w:rPr>
                <w:rFonts w:eastAsia="楷体"/>
                <w:kern w:val="0"/>
                <w:szCs w:val="21"/>
              </w:rPr>
            </w:pPr>
            <w:r>
              <w:rPr>
                <w:rFonts w:eastAsia="楷体"/>
                <w:kern w:val="0"/>
                <w:szCs w:val="21"/>
              </w:rPr>
              <w:t>Yn =130.5214×(1+0.0233)</w:t>
            </w:r>
            <w:r>
              <w:rPr>
                <w:rFonts w:eastAsia="楷体"/>
                <w:kern w:val="0"/>
                <w:szCs w:val="21"/>
              </w:rPr>
              <w:object>
                <v:shape id="_x0000_i1175"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75" DrawAspect="Content" ObjectID="_1468075875" r:id="rId311">
                  <o:LockedField>false</o:LockedField>
                </o:OLEObject>
              </w:object>
            </w:r>
          </w:p>
        </w:tc>
        <w:tc>
          <w:tcPr>
            <w:tcW w:w="3961" w:type="dxa"/>
            <w:noWrap w:val="0"/>
            <w:vAlign w:val="center"/>
          </w:tcPr>
          <w:p w14:paraId="16FFA77F">
            <w:pPr>
              <w:jc w:val="center"/>
              <w:rPr>
                <w:rFonts w:eastAsia="楷体"/>
                <w:kern w:val="0"/>
                <w:szCs w:val="21"/>
              </w:rPr>
            </w:pPr>
            <w:r>
              <w:rPr>
                <w:rFonts w:eastAsia="楷体"/>
                <w:kern w:val="0"/>
                <w:szCs w:val="21"/>
              </w:rPr>
              <w:t>α=0.05，F=528.3417，t=37.6101,R=0. 8732</w:t>
            </w:r>
          </w:p>
        </w:tc>
      </w:tr>
      <w:tr w14:paraId="636F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6A780629">
            <w:pPr>
              <w:jc w:val="center"/>
              <w:rPr>
                <w:rFonts w:eastAsia="楷体_GB2312"/>
                <w:kern w:val="0"/>
                <w:szCs w:val="21"/>
              </w:rPr>
            </w:pPr>
            <w:r>
              <w:rPr>
                <w:rFonts w:eastAsia="楷体_GB2312"/>
                <w:kern w:val="0"/>
                <w:szCs w:val="21"/>
              </w:rPr>
              <w:t>住宅用地</w:t>
            </w:r>
          </w:p>
        </w:tc>
        <w:tc>
          <w:tcPr>
            <w:tcW w:w="3504" w:type="dxa"/>
            <w:noWrap w:val="0"/>
            <w:vAlign w:val="center"/>
          </w:tcPr>
          <w:p w14:paraId="05F6BD60">
            <w:pPr>
              <w:jc w:val="center"/>
              <w:rPr>
                <w:rFonts w:eastAsia="楷体"/>
                <w:kern w:val="0"/>
                <w:szCs w:val="21"/>
              </w:rPr>
            </w:pPr>
            <w:r>
              <w:rPr>
                <w:rFonts w:eastAsia="楷体"/>
                <w:kern w:val="0"/>
                <w:szCs w:val="21"/>
              </w:rPr>
              <w:t>Yn =165.2775×(1+0.0103)</w:t>
            </w:r>
            <w:r>
              <w:rPr>
                <w:rFonts w:eastAsia="楷体"/>
                <w:kern w:val="0"/>
                <w:szCs w:val="21"/>
              </w:rPr>
              <w:object>
                <v:shape id="_x0000_i1176"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76" DrawAspect="Content" ObjectID="_1468075876" r:id="rId312">
                  <o:LockedField>false</o:LockedField>
                </o:OLEObject>
              </w:object>
            </w:r>
          </w:p>
        </w:tc>
        <w:tc>
          <w:tcPr>
            <w:tcW w:w="3961" w:type="dxa"/>
            <w:noWrap w:val="0"/>
            <w:vAlign w:val="center"/>
          </w:tcPr>
          <w:p w14:paraId="71631862">
            <w:pPr>
              <w:jc w:val="center"/>
              <w:rPr>
                <w:rFonts w:eastAsia="楷体"/>
                <w:kern w:val="0"/>
                <w:szCs w:val="21"/>
              </w:rPr>
            </w:pPr>
            <w:r>
              <w:rPr>
                <w:rFonts w:eastAsia="楷体"/>
                <w:kern w:val="0"/>
                <w:szCs w:val="21"/>
              </w:rPr>
              <w:t>α=0.05，F=283.2405，t=27.4418，R=0.8413</w:t>
            </w:r>
          </w:p>
        </w:tc>
      </w:tr>
    </w:tbl>
    <w:p w14:paraId="2E15E51F">
      <w:pPr>
        <w:pStyle w:val="20"/>
        <w:spacing w:before="120" w:beforeLines="50" w:after="120" w:afterLines="50" w:line="240" w:lineRule="atLeas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27</w:t>
      </w:r>
      <w:r>
        <w:rPr>
          <w:rFonts w:ascii="Times New Roman" w:hAnsi="Times New Roman" w:eastAsia="黑体" w:cs="Times New Roman"/>
          <w:sz w:val="28"/>
        </w:rPr>
        <w:t xml:space="preserve">  </w:t>
      </w:r>
      <w:r>
        <w:rPr>
          <w:rFonts w:hint="eastAsia" w:ascii="Times New Roman" w:hAnsi="Times New Roman" w:eastAsia="黑体" w:cs="Times New Roman"/>
          <w:sz w:val="28"/>
        </w:rPr>
        <w:t>朱仙庄镇</w:t>
      </w:r>
      <w:r>
        <w:rPr>
          <w:rFonts w:ascii="Times New Roman" w:hAnsi="Times New Roman" w:eastAsia="黑体" w:cs="Times New Roman"/>
          <w:sz w:val="28"/>
        </w:rPr>
        <w:t>样点地价与定级单元总分值模型测算结果表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32C05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4F895BE3">
            <w:pPr>
              <w:jc w:val="center"/>
              <w:rPr>
                <w:rFonts w:eastAsia="楷体_GB2312"/>
                <w:kern w:val="0"/>
                <w:szCs w:val="21"/>
              </w:rPr>
            </w:pPr>
            <w:r>
              <w:rPr>
                <w:rFonts w:eastAsia="楷体_GB2312"/>
                <w:kern w:val="0"/>
                <w:szCs w:val="21"/>
              </w:rPr>
              <w:t>用地类型</w:t>
            </w:r>
          </w:p>
        </w:tc>
        <w:tc>
          <w:tcPr>
            <w:tcW w:w="3504" w:type="dxa"/>
            <w:noWrap w:val="0"/>
            <w:vAlign w:val="center"/>
          </w:tcPr>
          <w:p w14:paraId="1DCC84E5">
            <w:pPr>
              <w:jc w:val="center"/>
              <w:rPr>
                <w:rFonts w:eastAsia="楷体_GB2312"/>
                <w:kern w:val="0"/>
                <w:szCs w:val="21"/>
              </w:rPr>
            </w:pPr>
            <w:r>
              <w:rPr>
                <w:rFonts w:eastAsia="楷体_GB2312"/>
                <w:kern w:val="0"/>
                <w:szCs w:val="21"/>
              </w:rPr>
              <w:t>模型数学表达式</w:t>
            </w:r>
          </w:p>
        </w:tc>
        <w:tc>
          <w:tcPr>
            <w:tcW w:w="3961" w:type="dxa"/>
            <w:noWrap w:val="0"/>
            <w:vAlign w:val="center"/>
          </w:tcPr>
          <w:p w14:paraId="04091C7F">
            <w:pPr>
              <w:jc w:val="center"/>
              <w:rPr>
                <w:rFonts w:eastAsia="楷体_GB2312"/>
                <w:kern w:val="0"/>
                <w:szCs w:val="21"/>
              </w:rPr>
            </w:pPr>
            <w:r>
              <w:rPr>
                <w:rFonts w:eastAsia="楷体_GB2312"/>
                <w:kern w:val="0"/>
                <w:szCs w:val="21"/>
              </w:rPr>
              <w:t>统计量检验</w:t>
            </w:r>
          </w:p>
        </w:tc>
      </w:tr>
      <w:tr w14:paraId="79FE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47EE908D">
            <w:pPr>
              <w:jc w:val="center"/>
              <w:rPr>
                <w:rFonts w:eastAsia="楷体_GB2312"/>
                <w:kern w:val="0"/>
                <w:szCs w:val="21"/>
              </w:rPr>
            </w:pPr>
            <w:r>
              <w:rPr>
                <w:rFonts w:eastAsia="楷体_GB2312"/>
                <w:kern w:val="0"/>
                <w:szCs w:val="21"/>
              </w:rPr>
              <w:t>商服用地</w:t>
            </w:r>
          </w:p>
        </w:tc>
        <w:tc>
          <w:tcPr>
            <w:tcW w:w="3504" w:type="dxa"/>
            <w:noWrap w:val="0"/>
            <w:vAlign w:val="center"/>
          </w:tcPr>
          <w:p w14:paraId="3DEBAB48">
            <w:pPr>
              <w:jc w:val="center"/>
              <w:rPr>
                <w:rFonts w:eastAsia="楷体"/>
                <w:kern w:val="0"/>
                <w:szCs w:val="21"/>
              </w:rPr>
            </w:pPr>
            <w:r>
              <w:rPr>
                <w:rFonts w:eastAsia="楷体"/>
                <w:kern w:val="0"/>
                <w:szCs w:val="21"/>
              </w:rPr>
              <w:t>Yn =</w:t>
            </w:r>
            <w:r>
              <w:rPr>
                <w:szCs w:val="21"/>
              </w:rPr>
              <w:t>240.6514</w:t>
            </w:r>
            <w:r>
              <w:rPr>
                <w:rFonts w:eastAsia="楷体"/>
                <w:kern w:val="0"/>
                <w:szCs w:val="21"/>
              </w:rPr>
              <w:t>×</w:t>
            </w:r>
            <w:r>
              <w:rPr>
                <w:szCs w:val="21"/>
              </w:rPr>
              <w:t>(1+0.0144)</w:t>
            </w:r>
            <w:r>
              <w:rPr>
                <w:rFonts w:eastAsia="楷体"/>
                <w:kern w:val="0"/>
                <w:szCs w:val="21"/>
              </w:rPr>
              <w:object>
                <v:shape id="_x0000_i1177"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77" DrawAspect="Content" ObjectID="_1468075877" r:id="rId313">
                  <o:LockedField>false</o:LockedField>
                </o:OLEObject>
              </w:object>
            </w:r>
          </w:p>
        </w:tc>
        <w:tc>
          <w:tcPr>
            <w:tcW w:w="3961" w:type="dxa"/>
            <w:noWrap w:val="0"/>
            <w:vAlign w:val="center"/>
          </w:tcPr>
          <w:p w14:paraId="07CC0169">
            <w:pPr>
              <w:jc w:val="center"/>
              <w:rPr>
                <w:rFonts w:eastAsia="楷体"/>
                <w:kern w:val="0"/>
                <w:szCs w:val="21"/>
              </w:rPr>
            </w:pPr>
            <w:r>
              <w:rPr>
                <w:rFonts w:eastAsia="楷体"/>
                <w:kern w:val="0"/>
                <w:szCs w:val="21"/>
              </w:rPr>
              <w:t>α=0.05，F=544.7513，t=34.6691,R=0. 8123</w:t>
            </w:r>
          </w:p>
        </w:tc>
      </w:tr>
      <w:tr w14:paraId="13AF9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710DD0A9">
            <w:pPr>
              <w:jc w:val="center"/>
              <w:rPr>
                <w:rFonts w:eastAsia="楷体_GB2312"/>
                <w:kern w:val="0"/>
                <w:szCs w:val="21"/>
              </w:rPr>
            </w:pPr>
            <w:r>
              <w:rPr>
                <w:rFonts w:eastAsia="楷体_GB2312"/>
                <w:kern w:val="0"/>
                <w:szCs w:val="21"/>
              </w:rPr>
              <w:t>住宅用地</w:t>
            </w:r>
          </w:p>
        </w:tc>
        <w:tc>
          <w:tcPr>
            <w:tcW w:w="3504" w:type="dxa"/>
            <w:noWrap w:val="0"/>
            <w:vAlign w:val="center"/>
          </w:tcPr>
          <w:p w14:paraId="49CC0DC7">
            <w:pPr>
              <w:jc w:val="center"/>
              <w:rPr>
                <w:rFonts w:eastAsia="楷体"/>
                <w:kern w:val="0"/>
                <w:szCs w:val="21"/>
              </w:rPr>
            </w:pPr>
            <w:r>
              <w:rPr>
                <w:rFonts w:eastAsia="楷体"/>
                <w:kern w:val="0"/>
                <w:szCs w:val="21"/>
              </w:rPr>
              <w:t>Yn =251.3664×(1+0.0125)</w:t>
            </w:r>
            <w:r>
              <w:rPr>
                <w:rFonts w:eastAsia="楷体"/>
                <w:kern w:val="0"/>
                <w:szCs w:val="21"/>
              </w:rPr>
              <w:object>
                <v:shape id="_x0000_i1178"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78" DrawAspect="Content" ObjectID="_1468075878" r:id="rId314">
                  <o:LockedField>false</o:LockedField>
                </o:OLEObject>
              </w:object>
            </w:r>
          </w:p>
        </w:tc>
        <w:tc>
          <w:tcPr>
            <w:tcW w:w="3961" w:type="dxa"/>
            <w:noWrap w:val="0"/>
            <w:vAlign w:val="center"/>
          </w:tcPr>
          <w:p w14:paraId="6B799627">
            <w:pPr>
              <w:jc w:val="center"/>
              <w:rPr>
                <w:rFonts w:eastAsia="楷体"/>
                <w:kern w:val="0"/>
                <w:szCs w:val="21"/>
              </w:rPr>
            </w:pPr>
            <w:r>
              <w:rPr>
                <w:rFonts w:eastAsia="楷体"/>
                <w:kern w:val="0"/>
                <w:szCs w:val="21"/>
              </w:rPr>
              <w:t>α=0.05，F=293.7605，t=27.4578，R=0.8321</w:t>
            </w:r>
          </w:p>
        </w:tc>
      </w:tr>
    </w:tbl>
    <w:p w14:paraId="1F55B3CF">
      <w:pPr>
        <w:pStyle w:val="20"/>
        <w:spacing w:before="120" w:beforeLines="50" w:after="120" w:afterLines="50" w:line="240" w:lineRule="atLeas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28</w:t>
      </w:r>
      <w:r>
        <w:rPr>
          <w:rFonts w:ascii="Times New Roman" w:hAnsi="Times New Roman" w:eastAsia="黑体" w:cs="Times New Roman"/>
          <w:sz w:val="28"/>
        </w:rPr>
        <w:t xml:space="preserve">  </w:t>
      </w:r>
      <w:r>
        <w:rPr>
          <w:rFonts w:hint="eastAsia" w:ascii="Times New Roman" w:hAnsi="Times New Roman" w:eastAsia="黑体" w:cs="Times New Roman"/>
          <w:sz w:val="28"/>
        </w:rPr>
        <w:t>蕲县镇</w:t>
      </w:r>
      <w:r>
        <w:rPr>
          <w:rFonts w:ascii="Times New Roman" w:hAnsi="Times New Roman" w:eastAsia="黑体" w:cs="Times New Roman"/>
          <w:sz w:val="28"/>
        </w:rPr>
        <w:t>样点地价与定级单元总分值模型测算结果表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7EF76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291B4617">
            <w:pPr>
              <w:jc w:val="center"/>
              <w:rPr>
                <w:rFonts w:eastAsia="楷体_GB2312"/>
                <w:kern w:val="0"/>
                <w:szCs w:val="21"/>
              </w:rPr>
            </w:pPr>
            <w:r>
              <w:rPr>
                <w:rFonts w:eastAsia="楷体_GB2312"/>
                <w:kern w:val="0"/>
                <w:szCs w:val="21"/>
              </w:rPr>
              <w:t>用地类型</w:t>
            </w:r>
          </w:p>
        </w:tc>
        <w:tc>
          <w:tcPr>
            <w:tcW w:w="3504" w:type="dxa"/>
            <w:noWrap w:val="0"/>
            <w:vAlign w:val="center"/>
          </w:tcPr>
          <w:p w14:paraId="2217D616">
            <w:pPr>
              <w:jc w:val="center"/>
              <w:rPr>
                <w:rFonts w:eastAsia="楷体_GB2312"/>
                <w:kern w:val="0"/>
                <w:szCs w:val="21"/>
              </w:rPr>
            </w:pPr>
            <w:r>
              <w:rPr>
                <w:rFonts w:eastAsia="楷体_GB2312"/>
                <w:kern w:val="0"/>
                <w:szCs w:val="21"/>
              </w:rPr>
              <w:t>模型数学表达式</w:t>
            </w:r>
          </w:p>
        </w:tc>
        <w:tc>
          <w:tcPr>
            <w:tcW w:w="3961" w:type="dxa"/>
            <w:noWrap w:val="0"/>
            <w:vAlign w:val="center"/>
          </w:tcPr>
          <w:p w14:paraId="21BFB41A">
            <w:pPr>
              <w:jc w:val="center"/>
              <w:rPr>
                <w:rFonts w:eastAsia="楷体_GB2312"/>
                <w:kern w:val="0"/>
                <w:szCs w:val="21"/>
              </w:rPr>
            </w:pPr>
            <w:r>
              <w:rPr>
                <w:rFonts w:eastAsia="楷体_GB2312"/>
                <w:kern w:val="0"/>
                <w:szCs w:val="21"/>
              </w:rPr>
              <w:t>统计量检验</w:t>
            </w:r>
          </w:p>
        </w:tc>
      </w:tr>
      <w:tr w14:paraId="35C76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302C7401">
            <w:pPr>
              <w:jc w:val="center"/>
              <w:rPr>
                <w:rFonts w:eastAsia="楷体_GB2312"/>
                <w:kern w:val="0"/>
                <w:szCs w:val="21"/>
              </w:rPr>
            </w:pPr>
            <w:r>
              <w:rPr>
                <w:rFonts w:eastAsia="楷体_GB2312"/>
                <w:kern w:val="0"/>
                <w:szCs w:val="21"/>
              </w:rPr>
              <w:t>商服用地</w:t>
            </w:r>
          </w:p>
        </w:tc>
        <w:tc>
          <w:tcPr>
            <w:tcW w:w="3504" w:type="dxa"/>
            <w:noWrap w:val="0"/>
            <w:vAlign w:val="center"/>
          </w:tcPr>
          <w:p w14:paraId="553C22F6">
            <w:pPr>
              <w:jc w:val="center"/>
              <w:rPr>
                <w:rFonts w:eastAsia="楷体"/>
                <w:kern w:val="0"/>
                <w:szCs w:val="21"/>
              </w:rPr>
            </w:pPr>
            <w:r>
              <w:rPr>
                <w:rFonts w:eastAsia="楷体"/>
                <w:kern w:val="0"/>
                <w:szCs w:val="21"/>
              </w:rPr>
              <w:t>Yn =</w:t>
            </w:r>
            <w:r>
              <w:rPr>
                <w:szCs w:val="21"/>
              </w:rPr>
              <w:t>182.1455</w:t>
            </w:r>
            <w:r>
              <w:rPr>
                <w:rFonts w:eastAsia="楷体"/>
                <w:kern w:val="0"/>
                <w:szCs w:val="21"/>
              </w:rPr>
              <w:t>×</w:t>
            </w:r>
            <w:r>
              <w:rPr>
                <w:szCs w:val="21"/>
              </w:rPr>
              <w:t>(1+0.0083)</w:t>
            </w:r>
            <w:r>
              <w:rPr>
                <w:rFonts w:eastAsia="楷体"/>
                <w:kern w:val="0"/>
                <w:szCs w:val="21"/>
              </w:rPr>
              <w:object>
                <v:shape id="_x0000_i1179"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79" DrawAspect="Content" ObjectID="_1468075879" r:id="rId315">
                  <o:LockedField>false</o:LockedField>
                </o:OLEObject>
              </w:object>
            </w:r>
          </w:p>
        </w:tc>
        <w:tc>
          <w:tcPr>
            <w:tcW w:w="3961" w:type="dxa"/>
            <w:noWrap w:val="0"/>
            <w:vAlign w:val="center"/>
          </w:tcPr>
          <w:p w14:paraId="43D56B96">
            <w:pPr>
              <w:jc w:val="center"/>
              <w:rPr>
                <w:rFonts w:eastAsia="楷体"/>
                <w:kern w:val="0"/>
                <w:szCs w:val="21"/>
              </w:rPr>
            </w:pPr>
            <w:r>
              <w:rPr>
                <w:rFonts w:eastAsia="楷体"/>
                <w:kern w:val="0"/>
                <w:szCs w:val="21"/>
              </w:rPr>
              <w:t>α=0.05，F=534.1274，t=35.4132,R=0. 8325</w:t>
            </w:r>
          </w:p>
        </w:tc>
      </w:tr>
      <w:tr w14:paraId="6258E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549BFF41">
            <w:pPr>
              <w:jc w:val="center"/>
              <w:rPr>
                <w:rFonts w:eastAsia="楷体_GB2312"/>
                <w:kern w:val="0"/>
                <w:szCs w:val="21"/>
              </w:rPr>
            </w:pPr>
            <w:r>
              <w:rPr>
                <w:rFonts w:eastAsia="楷体_GB2312"/>
                <w:kern w:val="0"/>
                <w:szCs w:val="21"/>
              </w:rPr>
              <w:t>住宅用地</w:t>
            </w:r>
          </w:p>
        </w:tc>
        <w:tc>
          <w:tcPr>
            <w:tcW w:w="3504" w:type="dxa"/>
            <w:noWrap w:val="0"/>
            <w:vAlign w:val="center"/>
          </w:tcPr>
          <w:p w14:paraId="6A3A32A6">
            <w:pPr>
              <w:jc w:val="center"/>
              <w:rPr>
                <w:rFonts w:eastAsia="楷体"/>
                <w:kern w:val="0"/>
                <w:szCs w:val="21"/>
              </w:rPr>
            </w:pPr>
            <w:r>
              <w:rPr>
                <w:rFonts w:eastAsia="楷体"/>
                <w:kern w:val="0"/>
                <w:szCs w:val="21"/>
              </w:rPr>
              <w:t>Yn =</w:t>
            </w:r>
            <w:r>
              <w:rPr>
                <w:szCs w:val="21"/>
              </w:rPr>
              <w:t>176.5114</w:t>
            </w:r>
            <w:r>
              <w:rPr>
                <w:rFonts w:eastAsia="楷体"/>
                <w:kern w:val="0"/>
                <w:szCs w:val="21"/>
              </w:rPr>
              <w:t>×</w:t>
            </w:r>
            <w:r>
              <w:rPr>
                <w:szCs w:val="21"/>
              </w:rPr>
              <w:t>(1+0.0066)</w:t>
            </w:r>
            <w:r>
              <w:rPr>
                <w:rFonts w:eastAsia="楷体"/>
                <w:kern w:val="0"/>
                <w:szCs w:val="21"/>
              </w:rPr>
              <w:object>
                <v:shape id="_x0000_i1180"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80" DrawAspect="Content" ObjectID="_1468075880" r:id="rId316">
                  <o:LockedField>false</o:LockedField>
                </o:OLEObject>
              </w:object>
            </w:r>
          </w:p>
        </w:tc>
        <w:tc>
          <w:tcPr>
            <w:tcW w:w="3961" w:type="dxa"/>
            <w:noWrap w:val="0"/>
            <w:vAlign w:val="center"/>
          </w:tcPr>
          <w:p w14:paraId="0F522D02">
            <w:pPr>
              <w:jc w:val="center"/>
              <w:rPr>
                <w:rFonts w:eastAsia="楷体"/>
                <w:kern w:val="0"/>
                <w:szCs w:val="21"/>
              </w:rPr>
            </w:pPr>
            <w:r>
              <w:rPr>
                <w:rFonts w:eastAsia="楷体"/>
                <w:kern w:val="0"/>
                <w:szCs w:val="21"/>
              </w:rPr>
              <w:t>α=0.05，F=310.2147，t=24.5547，R=0.8763</w:t>
            </w:r>
          </w:p>
        </w:tc>
      </w:tr>
    </w:tbl>
    <w:p w14:paraId="3C4BAD8F">
      <w:pPr>
        <w:pStyle w:val="20"/>
        <w:spacing w:before="120" w:beforeLines="50" w:after="120" w:afterLines="50" w:line="240" w:lineRule="atLeas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29</w:t>
      </w:r>
      <w:r>
        <w:rPr>
          <w:rFonts w:ascii="Times New Roman" w:hAnsi="Times New Roman" w:eastAsia="黑体" w:cs="Times New Roman"/>
          <w:sz w:val="28"/>
        </w:rPr>
        <w:t xml:space="preserve">  </w:t>
      </w:r>
      <w:r>
        <w:rPr>
          <w:rFonts w:hint="eastAsia" w:ascii="Times New Roman" w:hAnsi="Times New Roman" w:eastAsia="黑体" w:cs="Times New Roman"/>
          <w:sz w:val="28"/>
        </w:rPr>
        <w:t>芦岭镇</w:t>
      </w:r>
      <w:r>
        <w:rPr>
          <w:rFonts w:ascii="Times New Roman" w:hAnsi="Times New Roman" w:eastAsia="黑体" w:cs="Times New Roman"/>
          <w:sz w:val="28"/>
        </w:rPr>
        <w:t>样点地价与定级单元总分值模型测算结果表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4EB4D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6441EE58">
            <w:pPr>
              <w:jc w:val="center"/>
              <w:rPr>
                <w:rFonts w:eastAsia="楷体_GB2312"/>
                <w:kern w:val="0"/>
                <w:szCs w:val="21"/>
              </w:rPr>
            </w:pPr>
            <w:r>
              <w:rPr>
                <w:rFonts w:eastAsia="楷体_GB2312"/>
                <w:kern w:val="0"/>
                <w:szCs w:val="21"/>
              </w:rPr>
              <w:t>用地类型</w:t>
            </w:r>
          </w:p>
        </w:tc>
        <w:tc>
          <w:tcPr>
            <w:tcW w:w="3504" w:type="dxa"/>
            <w:noWrap w:val="0"/>
            <w:vAlign w:val="center"/>
          </w:tcPr>
          <w:p w14:paraId="0AFC9E00">
            <w:pPr>
              <w:jc w:val="center"/>
              <w:rPr>
                <w:rFonts w:eastAsia="楷体_GB2312"/>
                <w:kern w:val="0"/>
                <w:szCs w:val="21"/>
              </w:rPr>
            </w:pPr>
            <w:r>
              <w:rPr>
                <w:rFonts w:eastAsia="楷体_GB2312"/>
                <w:kern w:val="0"/>
                <w:szCs w:val="21"/>
              </w:rPr>
              <w:t>模型数学表达式</w:t>
            </w:r>
          </w:p>
        </w:tc>
        <w:tc>
          <w:tcPr>
            <w:tcW w:w="3961" w:type="dxa"/>
            <w:noWrap w:val="0"/>
            <w:vAlign w:val="center"/>
          </w:tcPr>
          <w:p w14:paraId="5EE99945">
            <w:pPr>
              <w:jc w:val="center"/>
              <w:rPr>
                <w:rFonts w:eastAsia="楷体_GB2312"/>
                <w:kern w:val="0"/>
                <w:szCs w:val="21"/>
              </w:rPr>
            </w:pPr>
            <w:r>
              <w:rPr>
                <w:rFonts w:eastAsia="楷体_GB2312"/>
                <w:kern w:val="0"/>
                <w:szCs w:val="21"/>
              </w:rPr>
              <w:t>统计量检验</w:t>
            </w:r>
          </w:p>
        </w:tc>
      </w:tr>
      <w:tr w14:paraId="466FF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7723D9BC">
            <w:pPr>
              <w:jc w:val="center"/>
              <w:rPr>
                <w:rFonts w:eastAsia="楷体_GB2312"/>
                <w:kern w:val="0"/>
                <w:szCs w:val="21"/>
              </w:rPr>
            </w:pPr>
            <w:r>
              <w:rPr>
                <w:rFonts w:eastAsia="楷体_GB2312"/>
                <w:kern w:val="0"/>
                <w:szCs w:val="21"/>
              </w:rPr>
              <w:t>商服用地</w:t>
            </w:r>
          </w:p>
        </w:tc>
        <w:tc>
          <w:tcPr>
            <w:tcW w:w="3504" w:type="dxa"/>
            <w:noWrap w:val="0"/>
            <w:vAlign w:val="center"/>
          </w:tcPr>
          <w:p w14:paraId="3C860E8E">
            <w:pPr>
              <w:jc w:val="center"/>
              <w:rPr>
                <w:rFonts w:eastAsia="楷体"/>
                <w:kern w:val="0"/>
                <w:szCs w:val="21"/>
              </w:rPr>
            </w:pPr>
            <w:r>
              <w:rPr>
                <w:rFonts w:eastAsia="仿宋_GB2312"/>
                <w:szCs w:val="21"/>
              </w:rPr>
              <w:t>Y</w:t>
            </w:r>
            <w:r>
              <w:rPr>
                <w:rFonts w:eastAsia="仿宋_GB2312"/>
                <w:szCs w:val="21"/>
                <w:vertAlign w:val="subscript"/>
              </w:rPr>
              <w:t>n</w:t>
            </w:r>
            <w:r>
              <w:rPr>
                <w:rFonts w:eastAsia="楷体"/>
                <w:kern w:val="0"/>
                <w:szCs w:val="21"/>
              </w:rPr>
              <w:t xml:space="preserve"> =</w:t>
            </w:r>
            <w:r>
              <w:rPr>
                <w:szCs w:val="21"/>
              </w:rPr>
              <w:t>145.8512</w:t>
            </w:r>
            <w:r>
              <w:rPr>
                <w:rFonts w:eastAsia="楷体"/>
                <w:kern w:val="0"/>
                <w:szCs w:val="21"/>
              </w:rPr>
              <w:t>×</w:t>
            </w:r>
            <w:r>
              <w:rPr>
                <w:szCs w:val="21"/>
              </w:rPr>
              <w:t>(1+0.0123)</w:t>
            </w:r>
            <w:r>
              <w:rPr>
                <w:rFonts w:eastAsia="楷体"/>
                <w:kern w:val="0"/>
                <w:szCs w:val="21"/>
              </w:rPr>
              <w:object>
                <v:shape id="_x0000_i1181"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81" DrawAspect="Content" ObjectID="_1468075881" r:id="rId317">
                  <o:LockedField>false</o:LockedField>
                </o:OLEObject>
              </w:object>
            </w:r>
          </w:p>
        </w:tc>
        <w:tc>
          <w:tcPr>
            <w:tcW w:w="3961" w:type="dxa"/>
            <w:noWrap w:val="0"/>
            <w:vAlign w:val="center"/>
          </w:tcPr>
          <w:p w14:paraId="07F4D77F">
            <w:pPr>
              <w:jc w:val="center"/>
              <w:rPr>
                <w:rFonts w:eastAsia="楷体"/>
                <w:kern w:val="0"/>
                <w:szCs w:val="21"/>
              </w:rPr>
            </w:pPr>
            <w:r>
              <w:rPr>
                <w:rFonts w:eastAsia="楷体"/>
                <w:kern w:val="0"/>
                <w:szCs w:val="21"/>
              </w:rPr>
              <w:t>α=0.05，F=521.4531，t=33.2147,R=0. 8742</w:t>
            </w:r>
          </w:p>
        </w:tc>
      </w:tr>
      <w:tr w14:paraId="598FB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5FAC906D">
            <w:pPr>
              <w:jc w:val="center"/>
              <w:rPr>
                <w:rFonts w:eastAsia="楷体_GB2312"/>
                <w:kern w:val="0"/>
                <w:szCs w:val="21"/>
              </w:rPr>
            </w:pPr>
            <w:r>
              <w:rPr>
                <w:rFonts w:eastAsia="楷体_GB2312"/>
                <w:kern w:val="0"/>
                <w:szCs w:val="21"/>
              </w:rPr>
              <w:t>住宅用地</w:t>
            </w:r>
          </w:p>
        </w:tc>
        <w:tc>
          <w:tcPr>
            <w:tcW w:w="3504" w:type="dxa"/>
            <w:noWrap w:val="0"/>
            <w:vAlign w:val="center"/>
          </w:tcPr>
          <w:p w14:paraId="1DAFACE5">
            <w:pPr>
              <w:jc w:val="center"/>
              <w:rPr>
                <w:rFonts w:eastAsia="楷体"/>
                <w:kern w:val="0"/>
                <w:szCs w:val="21"/>
              </w:rPr>
            </w:pPr>
            <w:r>
              <w:rPr>
                <w:rFonts w:eastAsia="仿宋_GB2312"/>
                <w:szCs w:val="21"/>
              </w:rPr>
              <w:t>Y</w:t>
            </w:r>
            <w:r>
              <w:rPr>
                <w:rFonts w:eastAsia="仿宋_GB2312"/>
                <w:szCs w:val="21"/>
                <w:vertAlign w:val="subscript"/>
              </w:rPr>
              <w:t>n</w:t>
            </w:r>
            <w:r>
              <w:rPr>
                <w:rFonts w:eastAsia="楷体"/>
                <w:kern w:val="0"/>
                <w:szCs w:val="21"/>
              </w:rPr>
              <w:t xml:space="preserve"> =</w:t>
            </w:r>
            <w:r>
              <w:rPr>
                <w:szCs w:val="21"/>
              </w:rPr>
              <w:t xml:space="preserve"> </w:t>
            </w:r>
            <w:r>
              <w:rPr>
                <w:rFonts w:eastAsia="楷体"/>
                <w:kern w:val="0"/>
                <w:szCs w:val="21"/>
              </w:rPr>
              <w:t>158.4461×(1+0.0081)</w:t>
            </w:r>
            <w:r>
              <w:rPr>
                <w:rFonts w:eastAsia="楷体"/>
                <w:kern w:val="0"/>
                <w:szCs w:val="21"/>
              </w:rPr>
              <w:object>
                <v:shape id="_x0000_i1182"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82" DrawAspect="Content" ObjectID="_1468075882" r:id="rId318">
                  <o:LockedField>false</o:LockedField>
                </o:OLEObject>
              </w:object>
            </w:r>
          </w:p>
        </w:tc>
        <w:tc>
          <w:tcPr>
            <w:tcW w:w="3961" w:type="dxa"/>
            <w:noWrap w:val="0"/>
            <w:vAlign w:val="center"/>
          </w:tcPr>
          <w:p w14:paraId="525DCAEF">
            <w:pPr>
              <w:jc w:val="center"/>
              <w:rPr>
                <w:rFonts w:eastAsia="楷体"/>
                <w:kern w:val="0"/>
                <w:szCs w:val="21"/>
              </w:rPr>
            </w:pPr>
            <w:r>
              <w:rPr>
                <w:rFonts w:eastAsia="楷体"/>
                <w:kern w:val="0"/>
                <w:szCs w:val="21"/>
              </w:rPr>
              <w:t>α=0.05，F=298.4312，t=26.4418，R=0.8763</w:t>
            </w:r>
          </w:p>
        </w:tc>
      </w:tr>
    </w:tbl>
    <w:p w14:paraId="1847002D">
      <w:pPr>
        <w:pStyle w:val="20"/>
        <w:spacing w:before="120" w:beforeLines="50" w:after="120" w:afterLines="50" w:line="240" w:lineRule="atLeas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30</w:t>
      </w:r>
      <w:r>
        <w:rPr>
          <w:rFonts w:ascii="Times New Roman" w:hAnsi="Times New Roman" w:eastAsia="黑体" w:cs="Times New Roman"/>
          <w:sz w:val="28"/>
        </w:rPr>
        <w:t xml:space="preserve">  </w:t>
      </w:r>
      <w:r>
        <w:rPr>
          <w:rFonts w:hint="eastAsia" w:ascii="Times New Roman" w:hAnsi="Times New Roman" w:eastAsia="黑体" w:cs="Times New Roman"/>
          <w:sz w:val="28"/>
        </w:rPr>
        <w:t>大店镇</w:t>
      </w:r>
      <w:r>
        <w:rPr>
          <w:rFonts w:ascii="Times New Roman" w:hAnsi="Times New Roman" w:eastAsia="黑体" w:cs="Times New Roman"/>
          <w:sz w:val="28"/>
        </w:rPr>
        <w:t>样点地价与定级单元总分值模型测算结果表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29D5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45DDA1D5">
            <w:pPr>
              <w:jc w:val="center"/>
              <w:rPr>
                <w:rFonts w:eastAsia="楷体_GB2312"/>
                <w:kern w:val="0"/>
                <w:szCs w:val="21"/>
              </w:rPr>
            </w:pPr>
            <w:r>
              <w:rPr>
                <w:rFonts w:eastAsia="楷体_GB2312"/>
                <w:kern w:val="0"/>
                <w:szCs w:val="21"/>
              </w:rPr>
              <w:t>用地类型</w:t>
            </w:r>
          </w:p>
        </w:tc>
        <w:tc>
          <w:tcPr>
            <w:tcW w:w="3504" w:type="dxa"/>
            <w:noWrap w:val="0"/>
            <w:vAlign w:val="center"/>
          </w:tcPr>
          <w:p w14:paraId="2736CC1D">
            <w:pPr>
              <w:jc w:val="center"/>
              <w:rPr>
                <w:rFonts w:eastAsia="楷体_GB2312"/>
                <w:kern w:val="0"/>
                <w:szCs w:val="21"/>
              </w:rPr>
            </w:pPr>
            <w:r>
              <w:rPr>
                <w:rFonts w:eastAsia="楷体_GB2312"/>
                <w:kern w:val="0"/>
                <w:szCs w:val="21"/>
              </w:rPr>
              <w:t>模型数学表达式</w:t>
            </w:r>
          </w:p>
        </w:tc>
        <w:tc>
          <w:tcPr>
            <w:tcW w:w="3961" w:type="dxa"/>
            <w:noWrap w:val="0"/>
            <w:vAlign w:val="center"/>
          </w:tcPr>
          <w:p w14:paraId="0CED8B9D">
            <w:pPr>
              <w:jc w:val="center"/>
              <w:rPr>
                <w:rFonts w:eastAsia="楷体_GB2312"/>
                <w:kern w:val="0"/>
                <w:szCs w:val="21"/>
              </w:rPr>
            </w:pPr>
            <w:r>
              <w:rPr>
                <w:rFonts w:eastAsia="楷体_GB2312"/>
                <w:kern w:val="0"/>
                <w:szCs w:val="21"/>
              </w:rPr>
              <w:t>统计量检验</w:t>
            </w:r>
          </w:p>
        </w:tc>
      </w:tr>
      <w:tr w14:paraId="3141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5894EC0E">
            <w:pPr>
              <w:jc w:val="center"/>
              <w:rPr>
                <w:rFonts w:eastAsia="楷体_GB2312"/>
                <w:kern w:val="0"/>
                <w:szCs w:val="21"/>
              </w:rPr>
            </w:pPr>
            <w:r>
              <w:rPr>
                <w:rFonts w:eastAsia="楷体_GB2312"/>
                <w:kern w:val="0"/>
                <w:szCs w:val="21"/>
              </w:rPr>
              <w:t>商服用地</w:t>
            </w:r>
          </w:p>
        </w:tc>
        <w:tc>
          <w:tcPr>
            <w:tcW w:w="3504" w:type="dxa"/>
            <w:noWrap w:val="0"/>
            <w:vAlign w:val="center"/>
          </w:tcPr>
          <w:p w14:paraId="54E6F15C">
            <w:pPr>
              <w:jc w:val="center"/>
              <w:rPr>
                <w:rFonts w:eastAsia="楷体"/>
                <w:kern w:val="0"/>
                <w:szCs w:val="21"/>
              </w:rPr>
            </w:pPr>
            <w:r>
              <w:rPr>
                <w:rFonts w:eastAsia="楷体"/>
                <w:kern w:val="0"/>
                <w:szCs w:val="21"/>
              </w:rPr>
              <w:t>Yn =169.5914×(1+0.0096)</w:t>
            </w:r>
            <w:r>
              <w:rPr>
                <w:rFonts w:eastAsia="楷体"/>
                <w:kern w:val="0"/>
                <w:szCs w:val="21"/>
              </w:rPr>
              <w:object>
                <v:shape id="_x0000_i1183"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83" DrawAspect="Content" ObjectID="_1468075883" r:id="rId319">
                  <o:LockedField>false</o:LockedField>
                </o:OLEObject>
              </w:object>
            </w:r>
          </w:p>
        </w:tc>
        <w:tc>
          <w:tcPr>
            <w:tcW w:w="3961" w:type="dxa"/>
            <w:noWrap w:val="0"/>
            <w:vAlign w:val="center"/>
          </w:tcPr>
          <w:p w14:paraId="1ADBD86C">
            <w:pPr>
              <w:jc w:val="center"/>
              <w:rPr>
                <w:rFonts w:eastAsia="楷体"/>
                <w:kern w:val="0"/>
                <w:szCs w:val="21"/>
              </w:rPr>
            </w:pPr>
            <w:r>
              <w:rPr>
                <w:rFonts w:eastAsia="楷体"/>
                <w:kern w:val="0"/>
                <w:szCs w:val="21"/>
              </w:rPr>
              <w:t>α=0.05，F=517.3347，t=31.2491,R=0. 8427</w:t>
            </w:r>
          </w:p>
        </w:tc>
      </w:tr>
      <w:tr w14:paraId="7104D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0591F087">
            <w:pPr>
              <w:jc w:val="center"/>
              <w:rPr>
                <w:rFonts w:eastAsia="楷体_GB2312"/>
                <w:kern w:val="0"/>
                <w:szCs w:val="21"/>
              </w:rPr>
            </w:pPr>
            <w:r>
              <w:rPr>
                <w:rFonts w:eastAsia="楷体_GB2312"/>
                <w:kern w:val="0"/>
                <w:szCs w:val="21"/>
              </w:rPr>
              <w:t>住宅用地</w:t>
            </w:r>
          </w:p>
        </w:tc>
        <w:tc>
          <w:tcPr>
            <w:tcW w:w="3504" w:type="dxa"/>
            <w:noWrap w:val="0"/>
            <w:vAlign w:val="center"/>
          </w:tcPr>
          <w:p w14:paraId="4F8164C7">
            <w:pPr>
              <w:jc w:val="center"/>
              <w:rPr>
                <w:rFonts w:eastAsia="楷体"/>
                <w:kern w:val="0"/>
                <w:szCs w:val="21"/>
              </w:rPr>
            </w:pPr>
            <w:r>
              <w:rPr>
                <w:rFonts w:eastAsia="楷体"/>
                <w:kern w:val="0"/>
                <w:szCs w:val="21"/>
              </w:rPr>
              <w:t>Yn =161.2213×(1+0.0079)</w:t>
            </w:r>
            <w:r>
              <w:rPr>
                <w:rFonts w:eastAsia="楷体"/>
                <w:kern w:val="0"/>
                <w:szCs w:val="21"/>
              </w:rPr>
              <w:object>
                <v:shape id="_x0000_i1184"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84" DrawAspect="Content" ObjectID="_1468075884" r:id="rId320">
                  <o:LockedField>false</o:LockedField>
                </o:OLEObject>
              </w:object>
            </w:r>
          </w:p>
        </w:tc>
        <w:tc>
          <w:tcPr>
            <w:tcW w:w="3961" w:type="dxa"/>
            <w:noWrap w:val="0"/>
            <w:vAlign w:val="center"/>
          </w:tcPr>
          <w:p w14:paraId="77B44563">
            <w:pPr>
              <w:jc w:val="center"/>
              <w:rPr>
                <w:rFonts w:eastAsia="楷体"/>
                <w:kern w:val="0"/>
                <w:szCs w:val="21"/>
              </w:rPr>
            </w:pPr>
            <w:r>
              <w:rPr>
                <w:rFonts w:eastAsia="楷体"/>
                <w:kern w:val="0"/>
                <w:szCs w:val="21"/>
              </w:rPr>
              <w:t>α=0.05，F=299.7605，t=24.4532，R=0.8873</w:t>
            </w:r>
          </w:p>
        </w:tc>
      </w:tr>
    </w:tbl>
    <w:p w14:paraId="58233D41">
      <w:pPr>
        <w:pStyle w:val="20"/>
        <w:spacing w:before="120" w:beforeLines="50" w:after="120" w:afterLines="50" w:line="240" w:lineRule="atLeas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31</w:t>
      </w:r>
      <w:r>
        <w:rPr>
          <w:rFonts w:ascii="Times New Roman" w:hAnsi="Times New Roman" w:eastAsia="黑体" w:cs="Times New Roman"/>
          <w:sz w:val="28"/>
        </w:rPr>
        <w:t xml:space="preserve">  </w:t>
      </w:r>
      <w:r>
        <w:rPr>
          <w:rFonts w:hint="eastAsia" w:ascii="Times New Roman" w:hAnsi="Times New Roman" w:eastAsia="黑体" w:cs="Times New Roman"/>
          <w:sz w:val="28"/>
        </w:rPr>
        <w:t>栏杆镇</w:t>
      </w:r>
      <w:r>
        <w:rPr>
          <w:rFonts w:ascii="Times New Roman" w:hAnsi="Times New Roman" w:eastAsia="黑体" w:cs="Times New Roman"/>
          <w:sz w:val="28"/>
        </w:rPr>
        <w:t>样点地价与定级单元总分值模型测算结果表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2227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263E26FD">
            <w:pPr>
              <w:jc w:val="center"/>
              <w:rPr>
                <w:rFonts w:eastAsia="楷体_GB2312"/>
                <w:kern w:val="0"/>
                <w:szCs w:val="21"/>
              </w:rPr>
            </w:pPr>
            <w:r>
              <w:rPr>
                <w:rFonts w:eastAsia="楷体_GB2312"/>
                <w:kern w:val="0"/>
                <w:szCs w:val="21"/>
              </w:rPr>
              <w:t>用地类型</w:t>
            </w:r>
          </w:p>
        </w:tc>
        <w:tc>
          <w:tcPr>
            <w:tcW w:w="3504" w:type="dxa"/>
            <w:noWrap w:val="0"/>
            <w:vAlign w:val="center"/>
          </w:tcPr>
          <w:p w14:paraId="0D0867F2">
            <w:pPr>
              <w:jc w:val="center"/>
              <w:rPr>
                <w:rFonts w:eastAsia="楷体_GB2312"/>
                <w:kern w:val="0"/>
                <w:szCs w:val="21"/>
              </w:rPr>
            </w:pPr>
            <w:r>
              <w:rPr>
                <w:rFonts w:eastAsia="楷体_GB2312"/>
                <w:kern w:val="0"/>
                <w:szCs w:val="21"/>
              </w:rPr>
              <w:t>模型数学表达式</w:t>
            </w:r>
          </w:p>
        </w:tc>
        <w:tc>
          <w:tcPr>
            <w:tcW w:w="3961" w:type="dxa"/>
            <w:noWrap w:val="0"/>
            <w:vAlign w:val="center"/>
          </w:tcPr>
          <w:p w14:paraId="464CBDFA">
            <w:pPr>
              <w:jc w:val="center"/>
              <w:rPr>
                <w:rFonts w:eastAsia="楷体_GB2312"/>
                <w:kern w:val="0"/>
                <w:szCs w:val="21"/>
              </w:rPr>
            </w:pPr>
            <w:r>
              <w:rPr>
                <w:rFonts w:eastAsia="楷体_GB2312"/>
                <w:kern w:val="0"/>
                <w:szCs w:val="21"/>
              </w:rPr>
              <w:t>统计量检验</w:t>
            </w:r>
          </w:p>
        </w:tc>
      </w:tr>
      <w:tr w14:paraId="1564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35F848EA">
            <w:pPr>
              <w:jc w:val="center"/>
              <w:rPr>
                <w:rFonts w:eastAsia="楷体_GB2312"/>
                <w:kern w:val="0"/>
                <w:szCs w:val="21"/>
              </w:rPr>
            </w:pPr>
            <w:r>
              <w:rPr>
                <w:rFonts w:eastAsia="楷体_GB2312"/>
                <w:kern w:val="0"/>
                <w:szCs w:val="21"/>
              </w:rPr>
              <w:t>商服用地</w:t>
            </w:r>
          </w:p>
        </w:tc>
        <w:tc>
          <w:tcPr>
            <w:tcW w:w="3504" w:type="dxa"/>
            <w:noWrap w:val="0"/>
            <w:vAlign w:val="center"/>
          </w:tcPr>
          <w:p w14:paraId="6AC56FAE">
            <w:pPr>
              <w:jc w:val="center"/>
              <w:rPr>
                <w:rFonts w:eastAsia="楷体"/>
                <w:kern w:val="0"/>
                <w:szCs w:val="21"/>
              </w:rPr>
            </w:pPr>
            <w:r>
              <w:rPr>
                <w:rFonts w:eastAsia="楷体"/>
                <w:kern w:val="0"/>
                <w:szCs w:val="21"/>
              </w:rPr>
              <w:t>Yn = 162.5415×(1+0.0101)</w:t>
            </w:r>
            <w:r>
              <w:rPr>
                <w:rFonts w:eastAsia="楷体"/>
                <w:kern w:val="0"/>
                <w:szCs w:val="21"/>
              </w:rPr>
              <w:object>
                <v:shape id="_x0000_i1185"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85" DrawAspect="Content" ObjectID="_1468075885" r:id="rId321">
                  <o:LockedField>false</o:LockedField>
                </o:OLEObject>
              </w:object>
            </w:r>
          </w:p>
        </w:tc>
        <w:tc>
          <w:tcPr>
            <w:tcW w:w="3961" w:type="dxa"/>
            <w:noWrap w:val="0"/>
            <w:vAlign w:val="center"/>
          </w:tcPr>
          <w:p w14:paraId="739E1A2C">
            <w:pPr>
              <w:jc w:val="center"/>
              <w:rPr>
                <w:rFonts w:eastAsia="楷体"/>
                <w:kern w:val="0"/>
                <w:szCs w:val="21"/>
              </w:rPr>
            </w:pPr>
            <w:r>
              <w:rPr>
                <w:rFonts w:eastAsia="楷体"/>
                <w:kern w:val="0"/>
                <w:szCs w:val="21"/>
              </w:rPr>
              <w:t>α=0.05，F=524.7547，t=37.6712,R=0. 8127</w:t>
            </w:r>
          </w:p>
        </w:tc>
      </w:tr>
      <w:tr w14:paraId="50E04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1E8E7454">
            <w:pPr>
              <w:jc w:val="center"/>
              <w:rPr>
                <w:rFonts w:eastAsia="楷体_GB2312"/>
                <w:kern w:val="0"/>
                <w:szCs w:val="21"/>
              </w:rPr>
            </w:pPr>
            <w:r>
              <w:rPr>
                <w:rFonts w:eastAsia="楷体_GB2312"/>
                <w:kern w:val="0"/>
                <w:szCs w:val="21"/>
              </w:rPr>
              <w:t>住宅用地</w:t>
            </w:r>
          </w:p>
        </w:tc>
        <w:tc>
          <w:tcPr>
            <w:tcW w:w="3504" w:type="dxa"/>
            <w:noWrap w:val="0"/>
            <w:vAlign w:val="center"/>
          </w:tcPr>
          <w:p w14:paraId="23D2983D">
            <w:pPr>
              <w:jc w:val="center"/>
              <w:rPr>
                <w:rFonts w:eastAsia="楷体"/>
                <w:kern w:val="0"/>
                <w:szCs w:val="21"/>
              </w:rPr>
            </w:pPr>
            <w:r>
              <w:rPr>
                <w:rFonts w:eastAsia="楷体"/>
                <w:kern w:val="0"/>
                <w:szCs w:val="21"/>
              </w:rPr>
              <w:t>Yn = 164.5312×(1+0.0075)</w:t>
            </w:r>
            <w:r>
              <w:rPr>
                <w:rFonts w:eastAsia="楷体"/>
                <w:kern w:val="0"/>
                <w:szCs w:val="21"/>
              </w:rPr>
              <w:object>
                <v:shape id="_x0000_i1186"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86" DrawAspect="Content" ObjectID="_1468075886" r:id="rId322">
                  <o:LockedField>false</o:LockedField>
                </o:OLEObject>
              </w:object>
            </w:r>
          </w:p>
        </w:tc>
        <w:tc>
          <w:tcPr>
            <w:tcW w:w="3961" w:type="dxa"/>
            <w:noWrap w:val="0"/>
            <w:vAlign w:val="center"/>
          </w:tcPr>
          <w:p w14:paraId="00721104">
            <w:pPr>
              <w:jc w:val="center"/>
              <w:rPr>
                <w:rFonts w:eastAsia="楷体"/>
                <w:kern w:val="0"/>
                <w:szCs w:val="21"/>
              </w:rPr>
            </w:pPr>
            <w:r>
              <w:rPr>
                <w:rFonts w:eastAsia="楷体"/>
                <w:kern w:val="0"/>
                <w:szCs w:val="21"/>
              </w:rPr>
              <w:t>α=0.05，F=283.7245，t=23.4447，R=0.8183</w:t>
            </w:r>
          </w:p>
        </w:tc>
      </w:tr>
    </w:tbl>
    <w:p w14:paraId="511BFA60">
      <w:pPr>
        <w:pStyle w:val="20"/>
        <w:spacing w:before="120" w:beforeLines="50" w:after="120" w:afterLines="50" w:line="240" w:lineRule="atLeas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32</w:t>
      </w:r>
      <w:r>
        <w:rPr>
          <w:rFonts w:ascii="Times New Roman" w:hAnsi="Times New Roman" w:eastAsia="黑体" w:cs="Times New Roman"/>
          <w:sz w:val="28"/>
        </w:rPr>
        <w:t xml:space="preserve">  </w:t>
      </w:r>
      <w:r>
        <w:rPr>
          <w:rFonts w:hint="eastAsia" w:ascii="Times New Roman" w:hAnsi="Times New Roman" w:eastAsia="黑体" w:cs="Times New Roman"/>
          <w:sz w:val="28"/>
        </w:rPr>
        <w:t>时村镇</w:t>
      </w:r>
      <w:r>
        <w:rPr>
          <w:rFonts w:ascii="Times New Roman" w:hAnsi="Times New Roman" w:eastAsia="黑体" w:cs="Times New Roman"/>
          <w:sz w:val="28"/>
        </w:rPr>
        <w:t>样点地价与定级单元总分值模型测算结果表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3823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25ED530F">
            <w:pPr>
              <w:jc w:val="center"/>
              <w:rPr>
                <w:rFonts w:eastAsia="楷体_GB2312"/>
                <w:kern w:val="0"/>
                <w:szCs w:val="21"/>
              </w:rPr>
            </w:pPr>
            <w:r>
              <w:rPr>
                <w:rFonts w:eastAsia="楷体_GB2312"/>
                <w:kern w:val="0"/>
                <w:szCs w:val="21"/>
              </w:rPr>
              <w:t>用地类型</w:t>
            </w:r>
          </w:p>
        </w:tc>
        <w:tc>
          <w:tcPr>
            <w:tcW w:w="3617" w:type="dxa"/>
            <w:noWrap w:val="0"/>
            <w:vAlign w:val="center"/>
          </w:tcPr>
          <w:p w14:paraId="2A1797D3">
            <w:pPr>
              <w:jc w:val="center"/>
              <w:rPr>
                <w:rFonts w:eastAsia="楷体_GB2312"/>
                <w:kern w:val="0"/>
                <w:szCs w:val="21"/>
              </w:rPr>
            </w:pPr>
            <w:r>
              <w:rPr>
                <w:rFonts w:eastAsia="楷体_GB2312"/>
                <w:kern w:val="0"/>
                <w:szCs w:val="21"/>
              </w:rPr>
              <w:t>模型数学表达式</w:t>
            </w:r>
          </w:p>
        </w:tc>
        <w:tc>
          <w:tcPr>
            <w:tcW w:w="4089" w:type="dxa"/>
            <w:noWrap w:val="0"/>
            <w:vAlign w:val="center"/>
          </w:tcPr>
          <w:p w14:paraId="78A9AD08">
            <w:pPr>
              <w:jc w:val="center"/>
              <w:rPr>
                <w:rFonts w:eastAsia="楷体_GB2312"/>
                <w:kern w:val="0"/>
                <w:szCs w:val="21"/>
              </w:rPr>
            </w:pPr>
            <w:r>
              <w:rPr>
                <w:rFonts w:eastAsia="楷体_GB2312"/>
                <w:kern w:val="0"/>
                <w:szCs w:val="21"/>
              </w:rPr>
              <w:t>统计量检验</w:t>
            </w:r>
          </w:p>
        </w:tc>
      </w:tr>
      <w:tr w14:paraId="0ECE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485358E4">
            <w:pPr>
              <w:jc w:val="center"/>
              <w:rPr>
                <w:rFonts w:eastAsia="楷体_GB2312"/>
                <w:kern w:val="0"/>
                <w:szCs w:val="21"/>
              </w:rPr>
            </w:pPr>
            <w:r>
              <w:rPr>
                <w:rFonts w:eastAsia="楷体_GB2312"/>
                <w:kern w:val="0"/>
                <w:szCs w:val="21"/>
              </w:rPr>
              <w:t>商服用地</w:t>
            </w:r>
          </w:p>
        </w:tc>
        <w:tc>
          <w:tcPr>
            <w:tcW w:w="3617" w:type="dxa"/>
            <w:noWrap w:val="0"/>
            <w:vAlign w:val="center"/>
          </w:tcPr>
          <w:p w14:paraId="6C969B5D">
            <w:pPr>
              <w:jc w:val="center"/>
              <w:rPr>
                <w:rFonts w:eastAsia="楷体"/>
                <w:kern w:val="0"/>
                <w:szCs w:val="21"/>
              </w:rPr>
            </w:pPr>
            <w:r>
              <w:rPr>
                <w:rFonts w:eastAsia="楷体"/>
                <w:kern w:val="0"/>
                <w:szCs w:val="21"/>
              </w:rPr>
              <w:t>Yn =219.4633×(1+0.0062)</w:t>
            </w:r>
            <w:r>
              <w:rPr>
                <w:rFonts w:eastAsia="楷体"/>
                <w:kern w:val="0"/>
                <w:szCs w:val="21"/>
              </w:rPr>
              <w:object>
                <v:shape id="_x0000_i1187"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87" DrawAspect="Content" ObjectID="_1468075887" r:id="rId323">
                  <o:LockedField>false</o:LockedField>
                </o:OLEObject>
              </w:object>
            </w:r>
          </w:p>
        </w:tc>
        <w:tc>
          <w:tcPr>
            <w:tcW w:w="4089" w:type="dxa"/>
            <w:noWrap w:val="0"/>
            <w:vAlign w:val="center"/>
          </w:tcPr>
          <w:p w14:paraId="304F4F4F">
            <w:pPr>
              <w:jc w:val="center"/>
              <w:rPr>
                <w:rFonts w:eastAsia="楷体"/>
                <w:kern w:val="0"/>
                <w:szCs w:val="21"/>
              </w:rPr>
            </w:pPr>
            <w:r>
              <w:rPr>
                <w:rFonts w:eastAsia="楷体"/>
                <w:kern w:val="0"/>
                <w:szCs w:val="21"/>
              </w:rPr>
              <w:t>α=0.05，F=523.3741，t=33.4721,R=0. 8652</w:t>
            </w:r>
          </w:p>
        </w:tc>
      </w:tr>
      <w:tr w14:paraId="3B28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6B4D7444">
            <w:pPr>
              <w:jc w:val="center"/>
              <w:rPr>
                <w:rFonts w:eastAsia="楷体_GB2312"/>
                <w:kern w:val="0"/>
                <w:szCs w:val="21"/>
              </w:rPr>
            </w:pPr>
            <w:r>
              <w:rPr>
                <w:rFonts w:eastAsia="楷体_GB2312"/>
                <w:kern w:val="0"/>
                <w:szCs w:val="21"/>
              </w:rPr>
              <w:t>住宅用地</w:t>
            </w:r>
          </w:p>
        </w:tc>
        <w:tc>
          <w:tcPr>
            <w:tcW w:w="3617" w:type="dxa"/>
            <w:noWrap w:val="0"/>
            <w:vAlign w:val="center"/>
          </w:tcPr>
          <w:p w14:paraId="3F30B633">
            <w:pPr>
              <w:jc w:val="center"/>
              <w:rPr>
                <w:rFonts w:eastAsia="楷体"/>
                <w:kern w:val="0"/>
                <w:szCs w:val="21"/>
              </w:rPr>
            </w:pPr>
            <w:r>
              <w:rPr>
                <w:rFonts w:eastAsia="楷体"/>
                <w:kern w:val="0"/>
                <w:szCs w:val="21"/>
              </w:rPr>
              <w:t>Yn = 216.6113×(1+0.0036)</w:t>
            </w:r>
            <w:r>
              <w:rPr>
                <w:rFonts w:eastAsia="楷体"/>
                <w:kern w:val="0"/>
                <w:szCs w:val="21"/>
              </w:rPr>
              <w:object>
                <v:shape id="_x0000_i1188"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88" DrawAspect="Content" ObjectID="_1468075888" r:id="rId324">
                  <o:LockedField>false</o:LockedField>
                </o:OLEObject>
              </w:object>
            </w:r>
          </w:p>
        </w:tc>
        <w:tc>
          <w:tcPr>
            <w:tcW w:w="4089" w:type="dxa"/>
            <w:noWrap w:val="0"/>
            <w:vAlign w:val="center"/>
          </w:tcPr>
          <w:p w14:paraId="3926EA81">
            <w:pPr>
              <w:jc w:val="center"/>
              <w:rPr>
                <w:rFonts w:eastAsia="楷体"/>
                <w:kern w:val="0"/>
                <w:szCs w:val="21"/>
              </w:rPr>
            </w:pPr>
            <w:r>
              <w:rPr>
                <w:rFonts w:eastAsia="楷体"/>
                <w:kern w:val="0"/>
                <w:szCs w:val="21"/>
              </w:rPr>
              <w:t>α=0.05，F=273.7545，t=28.4597，R=0.8234</w:t>
            </w:r>
          </w:p>
        </w:tc>
      </w:tr>
    </w:tbl>
    <w:p w14:paraId="20F8B9F9">
      <w:pPr>
        <w:pStyle w:val="20"/>
        <w:spacing w:before="120" w:beforeLines="50" w:after="120" w:afterLines="50" w:line="240" w:lineRule="atLeas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33</w:t>
      </w:r>
      <w:r>
        <w:rPr>
          <w:rFonts w:ascii="Times New Roman" w:hAnsi="Times New Roman" w:eastAsia="黑体" w:cs="Times New Roman"/>
          <w:sz w:val="28"/>
        </w:rPr>
        <w:t xml:space="preserve">  </w:t>
      </w:r>
      <w:r>
        <w:rPr>
          <w:rFonts w:hint="eastAsia" w:ascii="Times New Roman" w:hAnsi="Times New Roman" w:eastAsia="黑体" w:cs="Times New Roman"/>
          <w:sz w:val="28"/>
        </w:rPr>
        <w:t>夹沟镇</w:t>
      </w:r>
      <w:r>
        <w:rPr>
          <w:rFonts w:ascii="Times New Roman" w:hAnsi="Times New Roman" w:eastAsia="黑体" w:cs="Times New Roman"/>
          <w:sz w:val="28"/>
        </w:rPr>
        <w:t>样点地价与定级单元总分值模型测算结果表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5AC5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18B01EE6">
            <w:pPr>
              <w:jc w:val="center"/>
              <w:rPr>
                <w:rFonts w:eastAsia="楷体_GB2312"/>
                <w:kern w:val="0"/>
                <w:szCs w:val="21"/>
              </w:rPr>
            </w:pPr>
            <w:r>
              <w:rPr>
                <w:rFonts w:eastAsia="楷体_GB2312"/>
                <w:kern w:val="0"/>
                <w:szCs w:val="21"/>
              </w:rPr>
              <w:t>用地类型</w:t>
            </w:r>
          </w:p>
        </w:tc>
        <w:tc>
          <w:tcPr>
            <w:tcW w:w="3617" w:type="dxa"/>
            <w:noWrap w:val="0"/>
            <w:vAlign w:val="center"/>
          </w:tcPr>
          <w:p w14:paraId="5D798661">
            <w:pPr>
              <w:jc w:val="center"/>
              <w:rPr>
                <w:rFonts w:eastAsia="楷体_GB2312"/>
                <w:kern w:val="0"/>
                <w:szCs w:val="21"/>
              </w:rPr>
            </w:pPr>
            <w:r>
              <w:rPr>
                <w:rFonts w:eastAsia="楷体_GB2312"/>
                <w:kern w:val="0"/>
                <w:szCs w:val="21"/>
              </w:rPr>
              <w:t>模型数学表达式</w:t>
            </w:r>
          </w:p>
        </w:tc>
        <w:tc>
          <w:tcPr>
            <w:tcW w:w="4089" w:type="dxa"/>
            <w:noWrap w:val="0"/>
            <w:vAlign w:val="center"/>
          </w:tcPr>
          <w:p w14:paraId="5F581EF9">
            <w:pPr>
              <w:jc w:val="center"/>
              <w:rPr>
                <w:rFonts w:eastAsia="楷体_GB2312"/>
                <w:kern w:val="0"/>
                <w:szCs w:val="21"/>
              </w:rPr>
            </w:pPr>
            <w:r>
              <w:rPr>
                <w:rFonts w:eastAsia="楷体_GB2312"/>
                <w:kern w:val="0"/>
                <w:szCs w:val="21"/>
              </w:rPr>
              <w:t>统计量检验</w:t>
            </w:r>
          </w:p>
        </w:tc>
      </w:tr>
      <w:tr w14:paraId="322C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0AA0DD23">
            <w:pPr>
              <w:jc w:val="center"/>
              <w:rPr>
                <w:rFonts w:eastAsia="楷体_GB2312"/>
                <w:kern w:val="0"/>
                <w:szCs w:val="21"/>
              </w:rPr>
            </w:pPr>
            <w:r>
              <w:rPr>
                <w:rFonts w:eastAsia="楷体_GB2312"/>
                <w:kern w:val="0"/>
                <w:szCs w:val="21"/>
              </w:rPr>
              <w:t>商服用地</w:t>
            </w:r>
          </w:p>
        </w:tc>
        <w:tc>
          <w:tcPr>
            <w:tcW w:w="3617" w:type="dxa"/>
            <w:noWrap w:val="0"/>
            <w:vAlign w:val="center"/>
          </w:tcPr>
          <w:p w14:paraId="496B9E62">
            <w:pPr>
              <w:jc w:val="center"/>
              <w:rPr>
                <w:rFonts w:eastAsia="楷体"/>
                <w:kern w:val="0"/>
                <w:szCs w:val="21"/>
              </w:rPr>
            </w:pPr>
            <w:r>
              <w:rPr>
                <w:rFonts w:eastAsia="楷体"/>
                <w:kern w:val="0"/>
                <w:szCs w:val="21"/>
              </w:rPr>
              <w:t>Yn = 168.6639×(1+0.0092)</w:t>
            </w:r>
            <w:r>
              <w:rPr>
                <w:rFonts w:eastAsia="楷体"/>
                <w:kern w:val="0"/>
                <w:szCs w:val="21"/>
              </w:rPr>
              <w:object>
                <v:shape id="_x0000_i1189"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89" DrawAspect="Content" ObjectID="_1468075889" r:id="rId325">
                  <o:LockedField>false</o:LockedField>
                </o:OLEObject>
              </w:object>
            </w:r>
          </w:p>
        </w:tc>
        <w:tc>
          <w:tcPr>
            <w:tcW w:w="4089" w:type="dxa"/>
            <w:noWrap w:val="0"/>
            <w:vAlign w:val="center"/>
          </w:tcPr>
          <w:p w14:paraId="0C887C2E">
            <w:pPr>
              <w:jc w:val="center"/>
              <w:rPr>
                <w:rFonts w:eastAsia="楷体"/>
                <w:kern w:val="0"/>
                <w:szCs w:val="21"/>
              </w:rPr>
            </w:pPr>
            <w:r>
              <w:rPr>
                <w:rFonts w:eastAsia="楷体"/>
                <w:kern w:val="0"/>
                <w:szCs w:val="21"/>
              </w:rPr>
              <w:t>α=0.05，F=523.3741，t=33.4721,R=0. 8652</w:t>
            </w:r>
          </w:p>
        </w:tc>
      </w:tr>
      <w:tr w14:paraId="6CA70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2DD6548D">
            <w:pPr>
              <w:jc w:val="center"/>
              <w:rPr>
                <w:rFonts w:eastAsia="楷体_GB2312"/>
                <w:kern w:val="0"/>
                <w:szCs w:val="21"/>
              </w:rPr>
            </w:pPr>
            <w:r>
              <w:rPr>
                <w:rFonts w:eastAsia="楷体_GB2312"/>
                <w:kern w:val="0"/>
                <w:szCs w:val="21"/>
              </w:rPr>
              <w:t>住宅用地</w:t>
            </w:r>
          </w:p>
        </w:tc>
        <w:tc>
          <w:tcPr>
            <w:tcW w:w="3617" w:type="dxa"/>
            <w:noWrap w:val="0"/>
            <w:vAlign w:val="center"/>
          </w:tcPr>
          <w:p w14:paraId="7C5E739E">
            <w:pPr>
              <w:jc w:val="center"/>
              <w:rPr>
                <w:rFonts w:eastAsia="楷体"/>
                <w:kern w:val="0"/>
                <w:szCs w:val="21"/>
              </w:rPr>
            </w:pPr>
            <w:r>
              <w:rPr>
                <w:rFonts w:eastAsia="楷体"/>
                <w:kern w:val="0"/>
                <w:szCs w:val="21"/>
              </w:rPr>
              <w:t>Yn =168.4412×(1+0.0065)</w:t>
            </w:r>
            <w:r>
              <w:rPr>
                <w:rFonts w:eastAsia="楷体"/>
                <w:kern w:val="0"/>
                <w:szCs w:val="21"/>
              </w:rPr>
              <w:object>
                <v:shape id="_x0000_i1190"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90" DrawAspect="Content" ObjectID="_1468075890" r:id="rId326">
                  <o:LockedField>false</o:LockedField>
                </o:OLEObject>
              </w:object>
            </w:r>
          </w:p>
        </w:tc>
        <w:tc>
          <w:tcPr>
            <w:tcW w:w="4089" w:type="dxa"/>
            <w:noWrap w:val="0"/>
            <w:vAlign w:val="center"/>
          </w:tcPr>
          <w:p w14:paraId="620D61F0">
            <w:pPr>
              <w:jc w:val="center"/>
              <w:rPr>
                <w:rFonts w:eastAsia="楷体"/>
                <w:kern w:val="0"/>
                <w:szCs w:val="21"/>
              </w:rPr>
            </w:pPr>
            <w:r>
              <w:rPr>
                <w:rFonts w:eastAsia="楷体"/>
                <w:kern w:val="0"/>
                <w:szCs w:val="21"/>
              </w:rPr>
              <w:t>α=0.05，F=273.7545，t=28.4597，R=0.8234</w:t>
            </w:r>
          </w:p>
        </w:tc>
      </w:tr>
    </w:tbl>
    <w:p w14:paraId="1F447944">
      <w:pPr>
        <w:pStyle w:val="20"/>
        <w:spacing w:before="120" w:beforeLines="50" w:after="120" w:afterLines="50" w:line="240" w:lineRule="atLeast"/>
        <w:jc w:val="center"/>
        <w:rPr>
          <w:rFonts w:hint="eastAsia" w:ascii="Times New Roman" w:hAnsi="Times New Roman" w:eastAsia="黑体" w:cs="Times New Roman"/>
          <w:sz w:val="28"/>
        </w:rPr>
      </w:pPr>
    </w:p>
    <w:p w14:paraId="4DF3C1A6">
      <w:pPr>
        <w:pStyle w:val="20"/>
        <w:spacing w:before="120" w:beforeLines="50" w:after="120" w:afterLines="50" w:line="240" w:lineRule="atLeast"/>
        <w:jc w:val="center"/>
        <w:rPr>
          <w:rFonts w:hint="eastAsia" w:ascii="Times New Roman" w:hAnsi="Times New Roman" w:eastAsia="黑体" w:cs="Times New Roman"/>
          <w:sz w:val="28"/>
        </w:rPr>
      </w:pPr>
    </w:p>
    <w:p w14:paraId="66320812">
      <w:pPr>
        <w:pStyle w:val="20"/>
        <w:spacing w:before="120" w:beforeLines="50" w:after="120" w:afterLines="50" w:line="240" w:lineRule="atLeas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34</w:t>
      </w:r>
      <w:r>
        <w:rPr>
          <w:rFonts w:ascii="Times New Roman" w:hAnsi="Times New Roman" w:eastAsia="黑体" w:cs="Times New Roman"/>
          <w:sz w:val="28"/>
        </w:rPr>
        <w:t xml:space="preserve">  </w:t>
      </w:r>
      <w:r>
        <w:rPr>
          <w:rFonts w:hint="eastAsia" w:ascii="Times New Roman" w:hAnsi="Times New Roman" w:eastAsia="黑体" w:cs="Times New Roman"/>
          <w:sz w:val="28"/>
        </w:rPr>
        <w:t>西二铺乡</w:t>
      </w:r>
      <w:r>
        <w:rPr>
          <w:rFonts w:ascii="Times New Roman" w:hAnsi="Times New Roman" w:eastAsia="黑体" w:cs="Times New Roman"/>
          <w:sz w:val="28"/>
        </w:rPr>
        <w:t>样点地价与定级单元总分值模型测算结果表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32D2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07232A22">
            <w:pPr>
              <w:jc w:val="center"/>
              <w:rPr>
                <w:rFonts w:eastAsia="楷体_GB2312"/>
                <w:kern w:val="0"/>
                <w:szCs w:val="21"/>
              </w:rPr>
            </w:pPr>
            <w:r>
              <w:rPr>
                <w:rFonts w:eastAsia="楷体_GB2312"/>
                <w:kern w:val="0"/>
                <w:szCs w:val="21"/>
              </w:rPr>
              <w:t>用地类型</w:t>
            </w:r>
          </w:p>
        </w:tc>
        <w:tc>
          <w:tcPr>
            <w:tcW w:w="3504" w:type="dxa"/>
            <w:noWrap w:val="0"/>
            <w:vAlign w:val="center"/>
          </w:tcPr>
          <w:p w14:paraId="7F81F90E">
            <w:pPr>
              <w:jc w:val="center"/>
              <w:rPr>
                <w:rFonts w:eastAsia="楷体_GB2312"/>
                <w:kern w:val="0"/>
                <w:szCs w:val="21"/>
              </w:rPr>
            </w:pPr>
            <w:r>
              <w:rPr>
                <w:rFonts w:eastAsia="楷体_GB2312"/>
                <w:kern w:val="0"/>
                <w:szCs w:val="21"/>
              </w:rPr>
              <w:t>模型数学表达式</w:t>
            </w:r>
          </w:p>
        </w:tc>
        <w:tc>
          <w:tcPr>
            <w:tcW w:w="3961" w:type="dxa"/>
            <w:noWrap w:val="0"/>
            <w:vAlign w:val="center"/>
          </w:tcPr>
          <w:p w14:paraId="1A769389">
            <w:pPr>
              <w:jc w:val="center"/>
              <w:rPr>
                <w:rFonts w:eastAsia="楷体_GB2312"/>
                <w:kern w:val="0"/>
                <w:szCs w:val="21"/>
              </w:rPr>
            </w:pPr>
            <w:r>
              <w:rPr>
                <w:rFonts w:eastAsia="楷体_GB2312"/>
                <w:kern w:val="0"/>
                <w:szCs w:val="21"/>
              </w:rPr>
              <w:t>统计量检验</w:t>
            </w:r>
          </w:p>
        </w:tc>
      </w:tr>
      <w:tr w14:paraId="35EE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4F90E7E0">
            <w:pPr>
              <w:jc w:val="center"/>
              <w:rPr>
                <w:rFonts w:eastAsia="楷体_GB2312"/>
                <w:kern w:val="0"/>
                <w:szCs w:val="21"/>
              </w:rPr>
            </w:pPr>
            <w:r>
              <w:rPr>
                <w:rFonts w:eastAsia="楷体_GB2312"/>
                <w:kern w:val="0"/>
                <w:szCs w:val="21"/>
              </w:rPr>
              <w:t>商服用地</w:t>
            </w:r>
          </w:p>
        </w:tc>
        <w:tc>
          <w:tcPr>
            <w:tcW w:w="3504" w:type="dxa"/>
            <w:noWrap w:val="0"/>
            <w:vAlign w:val="center"/>
          </w:tcPr>
          <w:p w14:paraId="596BB7D5">
            <w:pPr>
              <w:jc w:val="center"/>
              <w:rPr>
                <w:rFonts w:eastAsia="楷体"/>
                <w:kern w:val="0"/>
                <w:szCs w:val="21"/>
              </w:rPr>
            </w:pPr>
            <w:r>
              <w:rPr>
                <w:rFonts w:eastAsia="楷体"/>
                <w:kern w:val="0"/>
                <w:szCs w:val="21"/>
              </w:rPr>
              <w:t>Yn =158.6639×(1+0.0082)</w:t>
            </w:r>
            <w:r>
              <w:rPr>
                <w:rFonts w:eastAsia="楷体"/>
                <w:kern w:val="0"/>
                <w:szCs w:val="21"/>
              </w:rPr>
              <w:object>
                <v:shape id="_x0000_i1191"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91" DrawAspect="Content" ObjectID="_1468075891" r:id="rId327">
                  <o:LockedField>false</o:LockedField>
                </o:OLEObject>
              </w:object>
            </w:r>
          </w:p>
        </w:tc>
        <w:tc>
          <w:tcPr>
            <w:tcW w:w="3961" w:type="dxa"/>
            <w:noWrap w:val="0"/>
            <w:vAlign w:val="center"/>
          </w:tcPr>
          <w:p w14:paraId="3784835B">
            <w:pPr>
              <w:jc w:val="center"/>
              <w:rPr>
                <w:rFonts w:eastAsia="楷体"/>
                <w:kern w:val="0"/>
                <w:szCs w:val="21"/>
              </w:rPr>
            </w:pPr>
            <w:r>
              <w:rPr>
                <w:rFonts w:eastAsia="楷体"/>
                <w:kern w:val="0"/>
                <w:szCs w:val="21"/>
              </w:rPr>
              <w:t>α=0.05，F=523.3741，t=33.4721,R=0. 8652</w:t>
            </w:r>
          </w:p>
        </w:tc>
      </w:tr>
      <w:tr w14:paraId="6839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24" w:type="dxa"/>
            <w:noWrap w:val="0"/>
            <w:vAlign w:val="center"/>
          </w:tcPr>
          <w:p w14:paraId="6D38A9B6">
            <w:pPr>
              <w:jc w:val="center"/>
              <w:rPr>
                <w:rFonts w:eastAsia="楷体_GB2312"/>
                <w:kern w:val="0"/>
                <w:szCs w:val="21"/>
              </w:rPr>
            </w:pPr>
            <w:r>
              <w:rPr>
                <w:rFonts w:eastAsia="楷体_GB2312"/>
                <w:kern w:val="0"/>
                <w:szCs w:val="21"/>
              </w:rPr>
              <w:t>住宅用地</w:t>
            </w:r>
          </w:p>
        </w:tc>
        <w:tc>
          <w:tcPr>
            <w:tcW w:w="3504" w:type="dxa"/>
            <w:noWrap w:val="0"/>
            <w:vAlign w:val="center"/>
          </w:tcPr>
          <w:p w14:paraId="47314BD2">
            <w:pPr>
              <w:jc w:val="center"/>
              <w:rPr>
                <w:rFonts w:eastAsia="楷体"/>
                <w:kern w:val="0"/>
                <w:szCs w:val="21"/>
              </w:rPr>
            </w:pPr>
            <w:r>
              <w:rPr>
                <w:rFonts w:eastAsia="楷体"/>
                <w:kern w:val="0"/>
                <w:szCs w:val="21"/>
              </w:rPr>
              <w:t>Yn =158.4412×(1+0.0065)</w:t>
            </w:r>
            <w:r>
              <w:rPr>
                <w:rFonts w:eastAsia="楷体"/>
                <w:kern w:val="0"/>
                <w:szCs w:val="21"/>
              </w:rPr>
              <w:object>
                <v:shape id="_x0000_i1192"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92" DrawAspect="Content" ObjectID="_1468075892" r:id="rId328">
                  <o:LockedField>false</o:LockedField>
                </o:OLEObject>
              </w:object>
            </w:r>
          </w:p>
        </w:tc>
        <w:tc>
          <w:tcPr>
            <w:tcW w:w="3961" w:type="dxa"/>
            <w:noWrap w:val="0"/>
            <w:vAlign w:val="center"/>
          </w:tcPr>
          <w:p w14:paraId="2E98DE7A">
            <w:pPr>
              <w:jc w:val="center"/>
              <w:rPr>
                <w:rFonts w:eastAsia="楷体"/>
                <w:kern w:val="0"/>
                <w:szCs w:val="21"/>
              </w:rPr>
            </w:pPr>
            <w:r>
              <w:rPr>
                <w:rFonts w:eastAsia="楷体"/>
                <w:kern w:val="0"/>
                <w:szCs w:val="21"/>
              </w:rPr>
              <w:t>α=0.05，F=273.7545，t=28.4597，R=0.8234</w:t>
            </w:r>
          </w:p>
        </w:tc>
      </w:tr>
    </w:tbl>
    <w:p w14:paraId="530A773A">
      <w:pPr>
        <w:pStyle w:val="20"/>
        <w:spacing w:before="120" w:beforeLines="50" w:after="120" w:afterLines="50" w:line="240" w:lineRule="atLeas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35</w:t>
      </w:r>
      <w:r>
        <w:rPr>
          <w:rFonts w:ascii="Times New Roman" w:hAnsi="Times New Roman" w:eastAsia="黑体" w:cs="Times New Roman"/>
          <w:sz w:val="28"/>
        </w:rPr>
        <w:t xml:space="preserve">  </w:t>
      </w:r>
      <w:r>
        <w:rPr>
          <w:rFonts w:hint="eastAsia" w:ascii="Times New Roman" w:hAnsi="Times New Roman" w:eastAsia="黑体" w:cs="Times New Roman"/>
          <w:sz w:val="28"/>
        </w:rPr>
        <w:t>桃园镇</w:t>
      </w:r>
      <w:r>
        <w:rPr>
          <w:rFonts w:ascii="Times New Roman" w:hAnsi="Times New Roman" w:eastAsia="黑体" w:cs="Times New Roman"/>
          <w:sz w:val="28"/>
        </w:rPr>
        <w:t>样点地价与定级单元总分值模型测算结果表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4014C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4349F91F">
            <w:pPr>
              <w:jc w:val="center"/>
              <w:rPr>
                <w:rFonts w:eastAsia="楷体_GB2312"/>
                <w:kern w:val="0"/>
                <w:szCs w:val="21"/>
              </w:rPr>
            </w:pPr>
            <w:r>
              <w:rPr>
                <w:rFonts w:eastAsia="楷体_GB2312"/>
                <w:kern w:val="0"/>
                <w:szCs w:val="21"/>
              </w:rPr>
              <w:t>用地类型</w:t>
            </w:r>
          </w:p>
        </w:tc>
        <w:tc>
          <w:tcPr>
            <w:tcW w:w="3617" w:type="dxa"/>
            <w:noWrap w:val="0"/>
            <w:vAlign w:val="center"/>
          </w:tcPr>
          <w:p w14:paraId="782624F2">
            <w:pPr>
              <w:jc w:val="center"/>
              <w:rPr>
                <w:rFonts w:eastAsia="楷体_GB2312"/>
                <w:kern w:val="0"/>
                <w:szCs w:val="21"/>
              </w:rPr>
            </w:pPr>
            <w:r>
              <w:rPr>
                <w:rFonts w:eastAsia="楷体_GB2312"/>
                <w:kern w:val="0"/>
                <w:szCs w:val="21"/>
              </w:rPr>
              <w:t>模型数学表达式</w:t>
            </w:r>
          </w:p>
        </w:tc>
        <w:tc>
          <w:tcPr>
            <w:tcW w:w="4089" w:type="dxa"/>
            <w:noWrap w:val="0"/>
            <w:vAlign w:val="center"/>
          </w:tcPr>
          <w:p w14:paraId="4D1D207B">
            <w:pPr>
              <w:jc w:val="center"/>
              <w:rPr>
                <w:rFonts w:eastAsia="楷体_GB2312"/>
                <w:kern w:val="0"/>
                <w:szCs w:val="21"/>
              </w:rPr>
            </w:pPr>
            <w:r>
              <w:rPr>
                <w:rFonts w:eastAsia="楷体_GB2312"/>
                <w:kern w:val="0"/>
                <w:szCs w:val="21"/>
              </w:rPr>
              <w:t>统计量检验</w:t>
            </w:r>
          </w:p>
        </w:tc>
      </w:tr>
      <w:tr w14:paraId="1FAF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1124A208">
            <w:pPr>
              <w:jc w:val="center"/>
              <w:rPr>
                <w:rFonts w:eastAsia="楷体_GB2312"/>
                <w:kern w:val="0"/>
                <w:szCs w:val="21"/>
              </w:rPr>
            </w:pPr>
            <w:r>
              <w:rPr>
                <w:rFonts w:eastAsia="楷体_GB2312"/>
                <w:kern w:val="0"/>
                <w:szCs w:val="21"/>
              </w:rPr>
              <w:t>商服用地</w:t>
            </w:r>
          </w:p>
        </w:tc>
        <w:tc>
          <w:tcPr>
            <w:tcW w:w="3617" w:type="dxa"/>
            <w:noWrap w:val="0"/>
            <w:vAlign w:val="center"/>
          </w:tcPr>
          <w:p w14:paraId="58E57CBC">
            <w:pPr>
              <w:jc w:val="center"/>
              <w:rPr>
                <w:rFonts w:eastAsia="楷体"/>
                <w:kern w:val="0"/>
                <w:szCs w:val="21"/>
              </w:rPr>
            </w:pPr>
            <w:r>
              <w:rPr>
                <w:rFonts w:eastAsia="楷体"/>
                <w:kern w:val="0"/>
                <w:szCs w:val="21"/>
              </w:rPr>
              <w:t>Yn =178.6639×(1+0.0052)</w:t>
            </w:r>
            <w:r>
              <w:rPr>
                <w:rFonts w:eastAsia="楷体"/>
                <w:kern w:val="0"/>
                <w:szCs w:val="21"/>
              </w:rPr>
              <w:object>
                <v:shape id="_x0000_i1193"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93" DrawAspect="Content" ObjectID="_1468075893" r:id="rId329">
                  <o:LockedField>false</o:LockedField>
                </o:OLEObject>
              </w:object>
            </w:r>
          </w:p>
        </w:tc>
        <w:tc>
          <w:tcPr>
            <w:tcW w:w="4089" w:type="dxa"/>
            <w:noWrap w:val="0"/>
            <w:vAlign w:val="center"/>
          </w:tcPr>
          <w:p w14:paraId="2806B16D">
            <w:pPr>
              <w:jc w:val="center"/>
              <w:rPr>
                <w:rFonts w:eastAsia="楷体"/>
                <w:kern w:val="0"/>
                <w:szCs w:val="21"/>
              </w:rPr>
            </w:pPr>
            <w:r>
              <w:rPr>
                <w:rFonts w:eastAsia="楷体"/>
                <w:kern w:val="0"/>
                <w:szCs w:val="21"/>
              </w:rPr>
              <w:t>α=0.05，F=522.6724，t=34.5121,R=0. 8566</w:t>
            </w:r>
          </w:p>
        </w:tc>
      </w:tr>
      <w:tr w14:paraId="66F8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4ED06D28">
            <w:pPr>
              <w:jc w:val="center"/>
              <w:rPr>
                <w:rFonts w:eastAsia="楷体_GB2312"/>
                <w:kern w:val="0"/>
                <w:szCs w:val="21"/>
              </w:rPr>
            </w:pPr>
            <w:r>
              <w:rPr>
                <w:rFonts w:eastAsia="楷体_GB2312"/>
                <w:kern w:val="0"/>
                <w:szCs w:val="21"/>
              </w:rPr>
              <w:t>住宅用地</w:t>
            </w:r>
          </w:p>
        </w:tc>
        <w:tc>
          <w:tcPr>
            <w:tcW w:w="3617" w:type="dxa"/>
            <w:noWrap w:val="0"/>
            <w:vAlign w:val="center"/>
          </w:tcPr>
          <w:p w14:paraId="002903B5">
            <w:pPr>
              <w:jc w:val="center"/>
              <w:rPr>
                <w:rFonts w:eastAsia="楷体"/>
                <w:kern w:val="0"/>
                <w:szCs w:val="21"/>
              </w:rPr>
            </w:pPr>
            <w:r>
              <w:rPr>
                <w:rFonts w:eastAsia="楷体"/>
                <w:kern w:val="0"/>
                <w:szCs w:val="21"/>
              </w:rPr>
              <w:t>Yn =164.5529×(1+0.0061)</w:t>
            </w:r>
            <w:r>
              <w:rPr>
                <w:rFonts w:eastAsia="楷体"/>
                <w:kern w:val="0"/>
                <w:szCs w:val="21"/>
              </w:rPr>
              <w:object>
                <v:shape id="_x0000_i1194"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94" DrawAspect="Content" ObjectID="_1468075894" r:id="rId330">
                  <o:LockedField>false</o:LockedField>
                </o:OLEObject>
              </w:object>
            </w:r>
          </w:p>
        </w:tc>
        <w:tc>
          <w:tcPr>
            <w:tcW w:w="4089" w:type="dxa"/>
            <w:noWrap w:val="0"/>
            <w:vAlign w:val="center"/>
          </w:tcPr>
          <w:p w14:paraId="2E5E8FB4">
            <w:pPr>
              <w:jc w:val="center"/>
              <w:rPr>
                <w:rFonts w:eastAsia="楷体"/>
                <w:kern w:val="0"/>
                <w:szCs w:val="21"/>
              </w:rPr>
            </w:pPr>
            <w:r>
              <w:rPr>
                <w:rFonts w:eastAsia="楷体"/>
                <w:kern w:val="0"/>
                <w:szCs w:val="21"/>
              </w:rPr>
              <w:t>α=0.05，F=274.7921，t=29.1251，R=0.8634</w:t>
            </w:r>
          </w:p>
        </w:tc>
      </w:tr>
    </w:tbl>
    <w:p w14:paraId="22D5CDF5">
      <w:pPr>
        <w:pStyle w:val="20"/>
        <w:spacing w:before="120" w:beforeLines="50" w:after="120" w:afterLines="50" w:line="240" w:lineRule="atLeas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36</w:t>
      </w:r>
      <w:r>
        <w:rPr>
          <w:rFonts w:ascii="Times New Roman" w:hAnsi="Times New Roman" w:eastAsia="黑体" w:cs="Times New Roman"/>
          <w:sz w:val="28"/>
        </w:rPr>
        <w:t xml:space="preserve">  </w:t>
      </w:r>
      <w:r>
        <w:rPr>
          <w:rFonts w:hint="eastAsia" w:ascii="Times New Roman" w:hAnsi="Times New Roman" w:eastAsia="黑体" w:cs="Times New Roman"/>
          <w:sz w:val="28"/>
        </w:rPr>
        <w:t>曹村镇</w:t>
      </w:r>
      <w:r>
        <w:rPr>
          <w:rFonts w:ascii="Times New Roman" w:hAnsi="Times New Roman" w:eastAsia="黑体" w:cs="Times New Roman"/>
          <w:sz w:val="28"/>
        </w:rPr>
        <w:t>样点地价与定级单元总分值模型测算结果表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0CC4D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0B3A6B4A">
            <w:pPr>
              <w:jc w:val="center"/>
              <w:rPr>
                <w:rFonts w:eastAsia="楷体_GB2312"/>
                <w:kern w:val="0"/>
                <w:szCs w:val="21"/>
              </w:rPr>
            </w:pPr>
            <w:r>
              <w:rPr>
                <w:rFonts w:eastAsia="楷体_GB2312"/>
                <w:kern w:val="0"/>
                <w:szCs w:val="21"/>
              </w:rPr>
              <w:t>用地类型</w:t>
            </w:r>
          </w:p>
        </w:tc>
        <w:tc>
          <w:tcPr>
            <w:tcW w:w="3617" w:type="dxa"/>
            <w:noWrap w:val="0"/>
            <w:vAlign w:val="center"/>
          </w:tcPr>
          <w:p w14:paraId="5DAA7D35">
            <w:pPr>
              <w:jc w:val="center"/>
              <w:rPr>
                <w:rFonts w:eastAsia="楷体_GB2312"/>
                <w:kern w:val="0"/>
                <w:szCs w:val="21"/>
              </w:rPr>
            </w:pPr>
            <w:r>
              <w:rPr>
                <w:rFonts w:eastAsia="楷体_GB2312"/>
                <w:kern w:val="0"/>
                <w:szCs w:val="21"/>
              </w:rPr>
              <w:t>模型数学表达式</w:t>
            </w:r>
          </w:p>
        </w:tc>
        <w:tc>
          <w:tcPr>
            <w:tcW w:w="4089" w:type="dxa"/>
            <w:noWrap w:val="0"/>
            <w:vAlign w:val="center"/>
          </w:tcPr>
          <w:p w14:paraId="27800AB3">
            <w:pPr>
              <w:jc w:val="center"/>
              <w:rPr>
                <w:rFonts w:eastAsia="楷体_GB2312"/>
                <w:kern w:val="0"/>
                <w:szCs w:val="21"/>
              </w:rPr>
            </w:pPr>
            <w:r>
              <w:rPr>
                <w:rFonts w:eastAsia="楷体_GB2312"/>
                <w:kern w:val="0"/>
                <w:szCs w:val="21"/>
              </w:rPr>
              <w:t>统计量检验</w:t>
            </w:r>
          </w:p>
        </w:tc>
      </w:tr>
      <w:tr w14:paraId="20CE4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22FCD71E">
            <w:pPr>
              <w:jc w:val="center"/>
              <w:rPr>
                <w:rFonts w:eastAsia="楷体_GB2312"/>
                <w:kern w:val="0"/>
                <w:szCs w:val="21"/>
              </w:rPr>
            </w:pPr>
            <w:r>
              <w:rPr>
                <w:rFonts w:eastAsia="楷体_GB2312"/>
                <w:kern w:val="0"/>
                <w:szCs w:val="21"/>
              </w:rPr>
              <w:t>商服用地</w:t>
            </w:r>
          </w:p>
        </w:tc>
        <w:tc>
          <w:tcPr>
            <w:tcW w:w="3617" w:type="dxa"/>
            <w:noWrap w:val="0"/>
            <w:vAlign w:val="center"/>
          </w:tcPr>
          <w:p w14:paraId="0C8AF214">
            <w:pPr>
              <w:jc w:val="center"/>
              <w:rPr>
                <w:rFonts w:eastAsia="楷体"/>
                <w:kern w:val="0"/>
                <w:sz w:val="22"/>
                <w:szCs w:val="22"/>
              </w:rPr>
            </w:pPr>
            <w:r>
              <w:rPr>
                <w:rFonts w:eastAsia="楷体"/>
                <w:kern w:val="0"/>
                <w:sz w:val="22"/>
                <w:szCs w:val="22"/>
              </w:rPr>
              <w:t>Yn =186.2045×</w:t>
            </w:r>
            <w:r>
              <w:rPr>
                <w:rFonts w:hint="eastAsia" w:eastAsia="楷体"/>
                <w:kern w:val="0"/>
                <w:sz w:val="22"/>
                <w:szCs w:val="22"/>
              </w:rPr>
              <w:t>（</w:t>
            </w:r>
            <w:r>
              <w:rPr>
                <w:rFonts w:eastAsia="楷体"/>
                <w:kern w:val="0"/>
                <w:sz w:val="22"/>
                <w:szCs w:val="22"/>
              </w:rPr>
              <w:t>1+0.0175</w:t>
            </w:r>
            <w:r>
              <w:rPr>
                <w:rFonts w:hint="eastAsia" w:eastAsia="楷体"/>
                <w:kern w:val="0"/>
                <w:sz w:val="22"/>
                <w:szCs w:val="22"/>
              </w:rPr>
              <w:t>）</w:t>
            </w:r>
            <w:r>
              <w:rPr>
                <w:rFonts w:eastAsia="楷体"/>
                <w:kern w:val="0"/>
                <w:sz w:val="22"/>
                <w:szCs w:val="22"/>
              </w:rPr>
              <w:drawing>
                <wp:inline distT="0" distB="0" distL="114300" distR="114300">
                  <wp:extent cx="180975" cy="180975"/>
                  <wp:effectExtent l="0" t="0" r="0" b="0"/>
                  <wp:docPr id="98"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60"/>
                          <pic:cNvPicPr>
                            <a:picLocks noChangeAspect="1"/>
                          </pic:cNvPicPr>
                        </pic:nvPicPr>
                        <pic:blipFill>
                          <a:blip r:embed="rId277"/>
                          <a:stretch>
                            <a:fillRect/>
                          </a:stretch>
                        </pic:blipFill>
                        <pic:spPr>
                          <a:xfrm>
                            <a:off x="0" y="0"/>
                            <a:ext cx="180975" cy="180975"/>
                          </a:xfrm>
                          <a:prstGeom prst="rect">
                            <a:avLst/>
                          </a:prstGeom>
                          <a:noFill/>
                          <a:ln>
                            <a:noFill/>
                          </a:ln>
                        </pic:spPr>
                      </pic:pic>
                    </a:graphicData>
                  </a:graphic>
                </wp:inline>
              </w:drawing>
            </w:r>
          </w:p>
        </w:tc>
        <w:tc>
          <w:tcPr>
            <w:tcW w:w="4089" w:type="dxa"/>
            <w:noWrap w:val="0"/>
            <w:vAlign w:val="center"/>
          </w:tcPr>
          <w:p w14:paraId="0AABF536">
            <w:pPr>
              <w:jc w:val="center"/>
              <w:rPr>
                <w:rFonts w:eastAsia="楷体"/>
                <w:kern w:val="0"/>
                <w:sz w:val="22"/>
                <w:szCs w:val="22"/>
              </w:rPr>
            </w:pPr>
            <w:r>
              <w:rPr>
                <w:rFonts w:eastAsia="楷体"/>
                <w:kern w:val="0"/>
                <w:sz w:val="22"/>
                <w:szCs w:val="22"/>
              </w:rPr>
              <w:t>α=0.05</w:t>
            </w:r>
            <w:r>
              <w:rPr>
                <w:rFonts w:hint="eastAsia" w:eastAsia="楷体"/>
                <w:kern w:val="0"/>
                <w:sz w:val="22"/>
                <w:szCs w:val="22"/>
              </w:rPr>
              <w:t>，</w:t>
            </w:r>
            <w:r>
              <w:rPr>
                <w:rFonts w:eastAsia="楷体"/>
                <w:kern w:val="0"/>
                <w:sz w:val="22"/>
                <w:szCs w:val="22"/>
              </w:rPr>
              <w:t>F=526.5422</w:t>
            </w:r>
            <w:r>
              <w:rPr>
                <w:rFonts w:hint="eastAsia" w:eastAsia="楷体"/>
                <w:kern w:val="0"/>
                <w:sz w:val="22"/>
                <w:szCs w:val="22"/>
              </w:rPr>
              <w:t>，</w:t>
            </w:r>
            <w:r>
              <w:rPr>
                <w:rFonts w:eastAsia="楷体"/>
                <w:kern w:val="0"/>
                <w:sz w:val="22"/>
                <w:szCs w:val="22"/>
              </w:rPr>
              <w:t>t=36.5066,R=0. 8623</w:t>
            </w:r>
          </w:p>
        </w:tc>
      </w:tr>
      <w:tr w14:paraId="2442F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14E0F607">
            <w:pPr>
              <w:jc w:val="center"/>
              <w:rPr>
                <w:rFonts w:eastAsia="楷体_GB2312"/>
                <w:kern w:val="0"/>
                <w:szCs w:val="21"/>
              </w:rPr>
            </w:pPr>
            <w:r>
              <w:rPr>
                <w:rFonts w:eastAsia="楷体_GB2312"/>
                <w:kern w:val="0"/>
                <w:szCs w:val="21"/>
              </w:rPr>
              <w:t>住宅用地</w:t>
            </w:r>
          </w:p>
        </w:tc>
        <w:tc>
          <w:tcPr>
            <w:tcW w:w="3617" w:type="dxa"/>
            <w:noWrap w:val="0"/>
            <w:vAlign w:val="center"/>
          </w:tcPr>
          <w:p w14:paraId="19B20FB7">
            <w:pPr>
              <w:jc w:val="center"/>
              <w:rPr>
                <w:rFonts w:eastAsia="楷体"/>
                <w:kern w:val="0"/>
                <w:sz w:val="22"/>
                <w:szCs w:val="22"/>
              </w:rPr>
            </w:pPr>
            <w:r>
              <w:rPr>
                <w:rFonts w:eastAsia="楷体"/>
                <w:kern w:val="0"/>
                <w:sz w:val="22"/>
                <w:szCs w:val="22"/>
              </w:rPr>
              <w:t>Yn =1174.5671×</w:t>
            </w:r>
            <w:r>
              <w:rPr>
                <w:rFonts w:hint="eastAsia" w:eastAsia="楷体"/>
                <w:kern w:val="0"/>
                <w:sz w:val="22"/>
                <w:szCs w:val="22"/>
              </w:rPr>
              <w:t>（</w:t>
            </w:r>
            <w:r>
              <w:rPr>
                <w:rFonts w:eastAsia="楷体"/>
                <w:kern w:val="0"/>
                <w:sz w:val="22"/>
                <w:szCs w:val="22"/>
              </w:rPr>
              <w:t>1+0.0155</w:t>
            </w:r>
            <w:r>
              <w:rPr>
                <w:rFonts w:hint="eastAsia" w:eastAsia="楷体"/>
                <w:kern w:val="0"/>
                <w:sz w:val="22"/>
                <w:szCs w:val="22"/>
              </w:rPr>
              <w:t>）</w:t>
            </w:r>
            <w:r>
              <w:rPr>
                <w:rFonts w:eastAsia="楷体"/>
                <w:kern w:val="0"/>
                <w:sz w:val="22"/>
                <w:szCs w:val="22"/>
              </w:rPr>
              <w:drawing>
                <wp:inline distT="0" distB="0" distL="114300" distR="114300">
                  <wp:extent cx="180975" cy="180975"/>
                  <wp:effectExtent l="0" t="0" r="0" b="0"/>
                  <wp:docPr id="99"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61"/>
                          <pic:cNvPicPr>
                            <a:picLocks noChangeAspect="1"/>
                          </pic:cNvPicPr>
                        </pic:nvPicPr>
                        <pic:blipFill>
                          <a:blip r:embed="rId277"/>
                          <a:stretch>
                            <a:fillRect/>
                          </a:stretch>
                        </pic:blipFill>
                        <pic:spPr>
                          <a:xfrm>
                            <a:off x="0" y="0"/>
                            <a:ext cx="180975" cy="180975"/>
                          </a:xfrm>
                          <a:prstGeom prst="rect">
                            <a:avLst/>
                          </a:prstGeom>
                          <a:noFill/>
                          <a:ln>
                            <a:noFill/>
                          </a:ln>
                        </pic:spPr>
                      </pic:pic>
                    </a:graphicData>
                  </a:graphic>
                </wp:inline>
              </w:drawing>
            </w:r>
          </w:p>
        </w:tc>
        <w:tc>
          <w:tcPr>
            <w:tcW w:w="4089" w:type="dxa"/>
            <w:noWrap w:val="0"/>
            <w:vAlign w:val="center"/>
          </w:tcPr>
          <w:p w14:paraId="6058BF7C">
            <w:pPr>
              <w:jc w:val="center"/>
              <w:rPr>
                <w:rFonts w:eastAsia="楷体"/>
                <w:kern w:val="0"/>
                <w:sz w:val="22"/>
                <w:szCs w:val="22"/>
              </w:rPr>
            </w:pPr>
            <w:r>
              <w:rPr>
                <w:rFonts w:eastAsia="楷体"/>
                <w:kern w:val="0"/>
                <w:sz w:val="22"/>
                <w:szCs w:val="22"/>
              </w:rPr>
              <w:t>α=0.05</w:t>
            </w:r>
            <w:r>
              <w:rPr>
                <w:rFonts w:hint="eastAsia" w:eastAsia="楷体"/>
                <w:kern w:val="0"/>
                <w:sz w:val="22"/>
                <w:szCs w:val="22"/>
              </w:rPr>
              <w:t>，</w:t>
            </w:r>
            <w:r>
              <w:rPr>
                <w:rFonts w:eastAsia="楷体"/>
                <w:kern w:val="0"/>
                <w:sz w:val="22"/>
                <w:szCs w:val="22"/>
              </w:rPr>
              <w:t>F=281.0255</w:t>
            </w:r>
            <w:r>
              <w:rPr>
                <w:rFonts w:hint="eastAsia" w:eastAsia="楷体"/>
                <w:kern w:val="0"/>
                <w:sz w:val="22"/>
                <w:szCs w:val="22"/>
              </w:rPr>
              <w:t>，</w:t>
            </w:r>
            <w:r>
              <w:rPr>
                <w:rFonts w:eastAsia="楷体"/>
                <w:kern w:val="0"/>
                <w:sz w:val="22"/>
                <w:szCs w:val="22"/>
              </w:rPr>
              <w:t>t=28.1563</w:t>
            </w:r>
            <w:r>
              <w:rPr>
                <w:rFonts w:hint="eastAsia" w:eastAsia="楷体"/>
                <w:kern w:val="0"/>
                <w:sz w:val="22"/>
                <w:szCs w:val="22"/>
              </w:rPr>
              <w:t>，</w:t>
            </w:r>
            <w:r>
              <w:rPr>
                <w:rFonts w:eastAsia="楷体"/>
                <w:kern w:val="0"/>
                <w:sz w:val="22"/>
                <w:szCs w:val="22"/>
              </w:rPr>
              <w:t>R=0.8563</w:t>
            </w:r>
          </w:p>
        </w:tc>
      </w:tr>
    </w:tbl>
    <w:p w14:paraId="08828D66">
      <w:pPr>
        <w:pStyle w:val="20"/>
        <w:spacing w:before="120" w:beforeLines="50" w:after="120" w:afterLines="50" w:line="240" w:lineRule="atLeas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37</w:t>
      </w:r>
      <w:r>
        <w:rPr>
          <w:rFonts w:ascii="Times New Roman" w:hAnsi="Times New Roman" w:eastAsia="黑体" w:cs="Times New Roman"/>
          <w:sz w:val="28"/>
        </w:rPr>
        <w:t xml:space="preserve">  </w:t>
      </w:r>
      <w:r>
        <w:rPr>
          <w:rFonts w:hint="eastAsia" w:ascii="Times New Roman" w:hAnsi="Times New Roman" w:eastAsia="黑体" w:cs="Times New Roman"/>
          <w:sz w:val="28"/>
        </w:rPr>
        <w:t>大营镇镇</w:t>
      </w:r>
      <w:r>
        <w:rPr>
          <w:rFonts w:ascii="Times New Roman" w:hAnsi="Times New Roman" w:eastAsia="黑体" w:cs="Times New Roman"/>
          <w:sz w:val="28"/>
        </w:rPr>
        <w:t>样点地价与定级单元总分值模型测算结果表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0AB1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24B26B4D">
            <w:pPr>
              <w:jc w:val="center"/>
              <w:rPr>
                <w:rFonts w:eastAsia="楷体_GB2312"/>
                <w:kern w:val="0"/>
                <w:szCs w:val="21"/>
              </w:rPr>
            </w:pPr>
            <w:r>
              <w:rPr>
                <w:rFonts w:eastAsia="楷体_GB2312"/>
                <w:kern w:val="0"/>
                <w:szCs w:val="21"/>
              </w:rPr>
              <w:t>用地类型</w:t>
            </w:r>
          </w:p>
        </w:tc>
        <w:tc>
          <w:tcPr>
            <w:tcW w:w="3617" w:type="dxa"/>
            <w:noWrap w:val="0"/>
            <w:vAlign w:val="center"/>
          </w:tcPr>
          <w:p w14:paraId="489ABEFD">
            <w:pPr>
              <w:jc w:val="center"/>
              <w:rPr>
                <w:rFonts w:eastAsia="楷体_GB2312"/>
                <w:kern w:val="0"/>
                <w:szCs w:val="21"/>
              </w:rPr>
            </w:pPr>
            <w:r>
              <w:rPr>
                <w:rFonts w:eastAsia="楷体_GB2312"/>
                <w:kern w:val="0"/>
                <w:szCs w:val="21"/>
              </w:rPr>
              <w:t>模型数学表达式</w:t>
            </w:r>
          </w:p>
        </w:tc>
        <w:tc>
          <w:tcPr>
            <w:tcW w:w="4089" w:type="dxa"/>
            <w:noWrap w:val="0"/>
            <w:vAlign w:val="center"/>
          </w:tcPr>
          <w:p w14:paraId="17815BBB">
            <w:pPr>
              <w:jc w:val="center"/>
              <w:rPr>
                <w:rFonts w:eastAsia="楷体_GB2312"/>
                <w:kern w:val="0"/>
                <w:szCs w:val="21"/>
              </w:rPr>
            </w:pPr>
            <w:r>
              <w:rPr>
                <w:rFonts w:eastAsia="楷体_GB2312"/>
                <w:kern w:val="0"/>
                <w:szCs w:val="21"/>
              </w:rPr>
              <w:t>统计量检验</w:t>
            </w:r>
          </w:p>
        </w:tc>
      </w:tr>
      <w:tr w14:paraId="6F98D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22DEF4CC">
            <w:pPr>
              <w:jc w:val="center"/>
              <w:rPr>
                <w:rFonts w:eastAsia="楷体_GB2312"/>
                <w:kern w:val="0"/>
                <w:szCs w:val="21"/>
              </w:rPr>
            </w:pPr>
            <w:r>
              <w:rPr>
                <w:rFonts w:eastAsia="楷体_GB2312"/>
                <w:kern w:val="0"/>
                <w:szCs w:val="21"/>
              </w:rPr>
              <w:t>商服用地</w:t>
            </w:r>
          </w:p>
        </w:tc>
        <w:tc>
          <w:tcPr>
            <w:tcW w:w="3617" w:type="dxa"/>
            <w:noWrap w:val="0"/>
            <w:vAlign w:val="center"/>
          </w:tcPr>
          <w:p w14:paraId="66D4D735">
            <w:pPr>
              <w:jc w:val="center"/>
              <w:rPr>
                <w:rFonts w:eastAsia="楷体"/>
                <w:kern w:val="0"/>
                <w:sz w:val="22"/>
                <w:szCs w:val="22"/>
              </w:rPr>
            </w:pPr>
            <w:r>
              <w:rPr>
                <w:rFonts w:eastAsia="楷体"/>
                <w:kern w:val="0"/>
                <w:sz w:val="22"/>
                <w:szCs w:val="22"/>
              </w:rPr>
              <w:t>Yn =</w:t>
            </w:r>
            <w:r>
              <w:t xml:space="preserve"> </w:t>
            </w:r>
            <w:r>
              <w:rPr>
                <w:rFonts w:eastAsia="楷体"/>
                <w:kern w:val="0"/>
                <w:sz w:val="22"/>
                <w:szCs w:val="22"/>
              </w:rPr>
              <w:t>143.2651×</w:t>
            </w:r>
            <w:r>
              <w:rPr>
                <w:rFonts w:hint="eastAsia" w:eastAsia="楷体"/>
                <w:kern w:val="0"/>
                <w:sz w:val="22"/>
                <w:szCs w:val="22"/>
              </w:rPr>
              <w:t>（</w:t>
            </w:r>
            <w:r>
              <w:rPr>
                <w:rFonts w:eastAsia="楷体"/>
                <w:kern w:val="0"/>
                <w:sz w:val="22"/>
                <w:szCs w:val="22"/>
              </w:rPr>
              <w:t>1+</w:t>
            </w:r>
            <w:r>
              <w:t>0.0191</w:t>
            </w:r>
            <w:r>
              <w:rPr>
                <w:rFonts w:hint="eastAsia" w:eastAsia="楷体"/>
                <w:kern w:val="0"/>
                <w:sz w:val="22"/>
                <w:szCs w:val="22"/>
              </w:rPr>
              <w:t>）</w:t>
            </w:r>
            <w:r>
              <w:rPr>
                <w:rFonts w:eastAsia="楷体"/>
                <w:kern w:val="0"/>
                <w:sz w:val="22"/>
                <w:szCs w:val="22"/>
              </w:rPr>
              <w:drawing>
                <wp:inline distT="0" distB="0" distL="114300" distR="114300">
                  <wp:extent cx="180975" cy="180975"/>
                  <wp:effectExtent l="0" t="0" r="0" b="0"/>
                  <wp:docPr id="100"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62"/>
                          <pic:cNvPicPr>
                            <a:picLocks noChangeAspect="1"/>
                          </pic:cNvPicPr>
                        </pic:nvPicPr>
                        <pic:blipFill>
                          <a:blip r:embed="rId277"/>
                          <a:stretch>
                            <a:fillRect/>
                          </a:stretch>
                        </pic:blipFill>
                        <pic:spPr>
                          <a:xfrm>
                            <a:off x="0" y="0"/>
                            <a:ext cx="180975" cy="180975"/>
                          </a:xfrm>
                          <a:prstGeom prst="rect">
                            <a:avLst/>
                          </a:prstGeom>
                          <a:noFill/>
                          <a:ln>
                            <a:noFill/>
                          </a:ln>
                        </pic:spPr>
                      </pic:pic>
                    </a:graphicData>
                  </a:graphic>
                </wp:inline>
              </w:drawing>
            </w:r>
          </w:p>
        </w:tc>
        <w:tc>
          <w:tcPr>
            <w:tcW w:w="4089" w:type="dxa"/>
            <w:noWrap w:val="0"/>
            <w:vAlign w:val="center"/>
          </w:tcPr>
          <w:p w14:paraId="0C1A0B25">
            <w:pPr>
              <w:jc w:val="center"/>
              <w:rPr>
                <w:rFonts w:eastAsia="楷体"/>
                <w:kern w:val="0"/>
                <w:sz w:val="22"/>
                <w:szCs w:val="22"/>
              </w:rPr>
            </w:pPr>
            <w:r>
              <w:rPr>
                <w:rFonts w:eastAsia="楷体"/>
                <w:kern w:val="0"/>
                <w:sz w:val="22"/>
                <w:szCs w:val="22"/>
              </w:rPr>
              <w:t>α=0.05</w:t>
            </w:r>
            <w:r>
              <w:rPr>
                <w:rFonts w:hint="eastAsia" w:eastAsia="楷体"/>
                <w:kern w:val="0"/>
                <w:sz w:val="22"/>
                <w:szCs w:val="22"/>
              </w:rPr>
              <w:t>，</w:t>
            </w:r>
            <w:r>
              <w:rPr>
                <w:rFonts w:eastAsia="楷体"/>
                <w:kern w:val="0"/>
                <w:sz w:val="22"/>
                <w:szCs w:val="22"/>
              </w:rPr>
              <w:t>F=544.7513</w:t>
            </w:r>
            <w:r>
              <w:rPr>
                <w:rFonts w:hint="eastAsia" w:eastAsia="楷体"/>
                <w:kern w:val="0"/>
                <w:sz w:val="22"/>
                <w:szCs w:val="22"/>
              </w:rPr>
              <w:t>，</w:t>
            </w:r>
            <w:r>
              <w:rPr>
                <w:rFonts w:eastAsia="楷体"/>
                <w:kern w:val="0"/>
                <w:sz w:val="22"/>
                <w:szCs w:val="22"/>
              </w:rPr>
              <w:t>t=34.6691,R=0. 8123</w:t>
            </w:r>
          </w:p>
        </w:tc>
      </w:tr>
      <w:tr w14:paraId="0CE02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6FC3D68D">
            <w:pPr>
              <w:jc w:val="center"/>
              <w:rPr>
                <w:rFonts w:eastAsia="楷体_GB2312"/>
                <w:kern w:val="0"/>
                <w:szCs w:val="21"/>
              </w:rPr>
            </w:pPr>
            <w:r>
              <w:rPr>
                <w:rFonts w:eastAsia="楷体_GB2312"/>
                <w:kern w:val="0"/>
                <w:szCs w:val="21"/>
              </w:rPr>
              <w:t>住宅用地</w:t>
            </w:r>
          </w:p>
        </w:tc>
        <w:tc>
          <w:tcPr>
            <w:tcW w:w="3617" w:type="dxa"/>
            <w:noWrap w:val="0"/>
            <w:vAlign w:val="center"/>
          </w:tcPr>
          <w:p w14:paraId="0CAC9B3B">
            <w:pPr>
              <w:jc w:val="center"/>
              <w:rPr>
                <w:rFonts w:eastAsia="楷体"/>
                <w:kern w:val="0"/>
                <w:sz w:val="22"/>
                <w:szCs w:val="22"/>
              </w:rPr>
            </w:pPr>
            <w:r>
              <w:rPr>
                <w:rFonts w:eastAsia="楷体"/>
                <w:kern w:val="0"/>
                <w:sz w:val="22"/>
                <w:szCs w:val="22"/>
              </w:rPr>
              <w:t>Yn =</w:t>
            </w:r>
            <w:r>
              <w:t xml:space="preserve"> </w:t>
            </w:r>
            <w:r>
              <w:rPr>
                <w:rFonts w:eastAsia="楷体"/>
                <w:kern w:val="0"/>
                <w:sz w:val="22"/>
                <w:szCs w:val="22"/>
              </w:rPr>
              <w:t>135.0143×</w:t>
            </w:r>
            <w:r>
              <w:rPr>
                <w:rFonts w:hint="eastAsia" w:eastAsia="楷体"/>
                <w:kern w:val="0"/>
                <w:sz w:val="22"/>
                <w:szCs w:val="22"/>
              </w:rPr>
              <w:t>（</w:t>
            </w:r>
            <w:r>
              <w:rPr>
                <w:rFonts w:eastAsia="楷体"/>
                <w:kern w:val="0"/>
                <w:sz w:val="22"/>
                <w:szCs w:val="22"/>
              </w:rPr>
              <w:t>1+</w:t>
            </w:r>
            <w:r>
              <w:t>0.0172</w:t>
            </w:r>
            <w:r>
              <w:rPr>
                <w:rFonts w:hint="eastAsia" w:eastAsia="楷体"/>
                <w:kern w:val="0"/>
                <w:sz w:val="22"/>
                <w:szCs w:val="22"/>
              </w:rPr>
              <w:t>）</w:t>
            </w:r>
            <w:r>
              <w:rPr>
                <w:rFonts w:eastAsia="楷体"/>
                <w:kern w:val="0"/>
                <w:sz w:val="22"/>
                <w:szCs w:val="22"/>
              </w:rPr>
              <w:drawing>
                <wp:inline distT="0" distB="0" distL="114300" distR="114300">
                  <wp:extent cx="180975" cy="180975"/>
                  <wp:effectExtent l="0" t="0" r="0" b="0"/>
                  <wp:docPr id="101"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63"/>
                          <pic:cNvPicPr>
                            <a:picLocks noChangeAspect="1"/>
                          </pic:cNvPicPr>
                        </pic:nvPicPr>
                        <pic:blipFill>
                          <a:blip r:embed="rId277"/>
                          <a:stretch>
                            <a:fillRect/>
                          </a:stretch>
                        </pic:blipFill>
                        <pic:spPr>
                          <a:xfrm>
                            <a:off x="0" y="0"/>
                            <a:ext cx="180975" cy="180975"/>
                          </a:xfrm>
                          <a:prstGeom prst="rect">
                            <a:avLst/>
                          </a:prstGeom>
                          <a:noFill/>
                          <a:ln>
                            <a:noFill/>
                          </a:ln>
                        </pic:spPr>
                      </pic:pic>
                    </a:graphicData>
                  </a:graphic>
                </wp:inline>
              </w:drawing>
            </w:r>
          </w:p>
        </w:tc>
        <w:tc>
          <w:tcPr>
            <w:tcW w:w="4089" w:type="dxa"/>
            <w:noWrap w:val="0"/>
            <w:vAlign w:val="center"/>
          </w:tcPr>
          <w:p w14:paraId="4EF0262C">
            <w:pPr>
              <w:jc w:val="center"/>
              <w:rPr>
                <w:rFonts w:eastAsia="楷体"/>
                <w:kern w:val="0"/>
                <w:sz w:val="22"/>
                <w:szCs w:val="22"/>
              </w:rPr>
            </w:pPr>
            <w:r>
              <w:rPr>
                <w:rFonts w:eastAsia="楷体"/>
                <w:kern w:val="0"/>
                <w:sz w:val="22"/>
                <w:szCs w:val="22"/>
              </w:rPr>
              <w:t>α=0.05</w:t>
            </w:r>
            <w:r>
              <w:rPr>
                <w:rFonts w:hint="eastAsia" w:eastAsia="楷体"/>
                <w:kern w:val="0"/>
                <w:sz w:val="22"/>
                <w:szCs w:val="22"/>
              </w:rPr>
              <w:t>，</w:t>
            </w:r>
            <w:r>
              <w:rPr>
                <w:rFonts w:eastAsia="楷体"/>
                <w:kern w:val="0"/>
                <w:sz w:val="22"/>
                <w:szCs w:val="22"/>
              </w:rPr>
              <w:t>F=294.4395</w:t>
            </w:r>
            <w:r>
              <w:rPr>
                <w:rFonts w:hint="eastAsia" w:eastAsia="楷体"/>
                <w:kern w:val="0"/>
                <w:sz w:val="22"/>
                <w:szCs w:val="22"/>
              </w:rPr>
              <w:t>，</w:t>
            </w:r>
            <w:r>
              <w:rPr>
                <w:rFonts w:eastAsia="楷体"/>
                <w:kern w:val="0"/>
                <w:sz w:val="22"/>
                <w:szCs w:val="22"/>
              </w:rPr>
              <w:t>t=28.4653</w:t>
            </w:r>
            <w:r>
              <w:rPr>
                <w:rFonts w:hint="eastAsia" w:eastAsia="楷体"/>
                <w:kern w:val="0"/>
                <w:sz w:val="22"/>
                <w:szCs w:val="22"/>
              </w:rPr>
              <w:t>，</w:t>
            </w:r>
            <w:r>
              <w:rPr>
                <w:rFonts w:eastAsia="楷体"/>
                <w:kern w:val="0"/>
                <w:sz w:val="22"/>
                <w:szCs w:val="22"/>
              </w:rPr>
              <w:t>R=0.8546</w:t>
            </w:r>
          </w:p>
        </w:tc>
      </w:tr>
    </w:tbl>
    <w:p w14:paraId="6EB45FFC">
      <w:pPr>
        <w:pStyle w:val="20"/>
        <w:spacing w:before="120" w:beforeLines="50" w:after="120" w:afterLines="50" w:line="240" w:lineRule="atLeas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38</w:t>
      </w:r>
      <w:r>
        <w:rPr>
          <w:rFonts w:ascii="Times New Roman" w:hAnsi="Times New Roman" w:eastAsia="黑体" w:cs="Times New Roman"/>
          <w:sz w:val="28"/>
        </w:rPr>
        <w:t xml:space="preserve">  </w:t>
      </w:r>
      <w:r>
        <w:rPr>
          <w:rFonts w:hint="eastAsia" w:ascii="Times New Roman" w:hAnsi="Times New Roman" w:eastAsia="黑体" w:cs="Times New Roman"/>
          <w:sz w:val="28"/>
        </w:rPr>
        <w:t>褚兰镇</w:t>
      </w:r>
      <w:r>
        <w:rPr>
          <w:rFonts w:ascii="Times New Roman" w:hAnsi="Times New Roman" w:eastAsia="黑体" w:cs="Times New Roman"/>
          <w:sz w:val="28"/>
        </w:rPr>
        <w:t>点地价与定级单元总分值模型测算结果表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21543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0E7E5AD7">
            <w:pPr>
              <w:jc w:val="center"/>
              <w:rPr>
                <w:rFonts w:eastAsia="楷体_GB2312"/>
                <w:kern w:val="0"/>
                <w:szCs w:val="21"/>
              </w:rPr>
            </w:pPr>
            <w:r>
              <w:rPr>
                <w:rFonts w:eastAsia="楷体_GB2312"/>
                <w:kern w:val="0"/>
                <w:szCs w:val="21"/>
              </w:rPr>
              <w:t>用地类型</w:t>
            </w:r>
          </w:p>
        </w:tc>
        <w:tc>
          <w:tcPr>
            <w:tcW w:w="3617" w:type="dxa"/>
            <w:noWrap w:val="0"/>
            <w:vAlign w:val="center"/>
          </w:tcPr>
          <w:p w14:paraId="0D249AA7">
            <w:pPr>
              <w:jc w:val="center"/>
              <w:rPr>
                <w:rFonts w:eastAsia="楷体_GB2312"/>
                <w:kern w:val="0"/>
                <w:szCs w:val="21"/>
              </w:rPr>
            </w:pPr>
            <w:r>
              <w:rPr>
                <w:rFonts w:eastAsia="楷体_GB2312"/>
                <w:kern w:val="0"/>
                <w:szCs w:val="21"/>
              </w:rPr>
              <w:t>模型数学表达式</w:t>
            </w:r>
          </w:p>
        </w:tc>
        <w:tc>
          <w:tcPr>
            <w:tcW w:w="4089" w:type="dxa"/>
            <w:noWrap w:val="0"/>
            <w:vAlign w:val="center"/>
          </w:tcPr>
          <w:p w14:paraId="4B5145D2">
            <w:pPr>
              <w:jc w:val="center"/>
              <w:rPr>
                <w:rFonts w:eastAsia="楷体_GB2312"/>
                <w:kern w:val="0"/>
                <w:szCs w:val="21"/>
              </w:rPr>
            </w:pPr>
            <w:r>
              <w:rPr>
                <w:rFonts w:eastAsia="楷体_GB2312"/>
                <w:kern w:val="0"/>
                <w:szCs w:val="21"/>
              </w:rPr>
              <w:t>统计量检验</w:t>
            </w:r>
          </w:p>
        </w:tc>
      </w:tr>
      <w:tr w14:paraId="0CC4D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2781C436">
            <w:pPr>
              <w:jc w:val="center"/>
              <w:rPr>
                <w:rFonts w:eastAsia="楷体_GB2312"/>
                <w:kern w:val="0"/>
                <w:szCs w:val="21"/>
              </w:rPr>
            </w:pPr>
            <w:r>
              <w:rPr>
                <w:rFonts w:eastAsia="楷体_GB2312"/>
                <w:kern w:val="0"/>
                <w:szCs w:val="21"/>
              </w:rPr>
              <w:t>商服用地</w:t>
            </w:r>
          </w:p>
        </w:tc>
        <w:tc>
          <w:tcPr>
            <w:tcW w:w="3617" w:type="dxa"/>
            <w:noWrap w:val="0"/>
            <w:vAlign w:val="center"/>
          </w:tcPr>
          <w:p w14:paraId="369F33EE">
            <w:pPr>
              <w:jc w:val="center"/>
              <w:rPr>
                <w:rFonts w:eastAsia="楷体"/>
                <w:kern w:val="0"/>
                <w:sz w:val="22"/>
                <w:szCs w:val="22"/>
              </w:rPr>
            </w:pPr>
            <w:r>
              <w:rPr>
                <w:rFonts w:eastAsia="楷体"/>
                <w:kern w:val="0"/>
                <w:sz w:val="22"/>
                <w:szCs w:val="22"/>
              </w:rPr>
              <w:t>Yn =</w:t>
            </w:r>
            <w:r>
              <w:t xml:space="preserve"> </w:t>
            </w:r>
            <w:r>
              <w:rPr>
                <w:rFonts w:eastAsia="楷体"/>
                <w:kern w:val="0"/>
                <w:sz w:val="22"/>
                <w:szCs w:val="22"/>
              </w:rPr>
              <w:t>167.5632×</w:t>
            </w:r>
            <w:r>
              <w:rPr>
                <w:rFonts w:hint="eastAsia" w:eastAsia="楷体"/>
                <w:kern w:val="0"/>
                <w:sz w:val="22"/>
                <w:szCs w:val="22"/>
              </w:rPr>
              <w:t>（</w:t>
            </w:r>
            <w:r>
              <w:rPr>
                <w:rFonts w:eastAsia="楷体"/>
                <w:kern w:val="0"/>
                <w:sz w:val="22"/>
                <w:szCs w:val="22"/>
              </w:rPr>
              <w:t>1+</w:t>
            </w:r>
            <w:r>
              <w:t>0.0189</w:t>
            </w:r>
            <w:r>
              <w:rPr>
                <w:rFonts w:hint="eastAsia" w:eastAsia="楷体"/>
                <w:kern w:val="0"/>
                <w:sz w:val="22"/>
                <w:szCs w:val="22"/>
              </w:rPr>
              <w:t>）</w:t>
            </w:r>
            <w:r>
              <w:rPr>
                <w:rFonts w:eastAsia="楷体"/>
                <w:kern w:val="0"/>
                <w:sz w:val="22"/>
                <w:szCs w:val="22"/>
              </w:rPr>
              <w:drawing>
                <wp:inline distT="0" distB="0" distL="114300" distR="114300">
                  <wp:extent cx="180975" cy="180975"/>
                  <wp:effectExtent l="0" t="0" r="0" b="0"/>
                  <wp:docPr id="102"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64"/>
                          <pic:cNvPicPr>
                            <a:picLocks noChangeAspect="1"/>
                          </pic:cNvPicPr>
                        </pic:nvPicPr>
                        <pic:blipFill>
                          <a:blip r:embed="rId277"/>
                          <a:stretch>
                            <a:fillRect/>
                          </a:stretch>
                        </pic:blipFill>
                        <pic:spPr>
                          <a:xfrm>
                            <a:off x="0" y="0"/>
                            <a:ext cx="180975" cy="180975"/>
                          </a:xfrm>
                          <a:prstGeom prst="rect">
                            <a:avLst/>
                          </a:prstGeom>
                          <a:noFill/>
                          <a:ln>
                            <a:noFill/>
                          </a:ln>
                        </pic:spPr>
                      </pic:pic>
                    </a:graphicData>
                  </a:graphic>
                </wp:inline>
              </w:drawing>
            </w:r>
          </w:p>
        </w:tc>
        <w:tc>
          <w:tcPr>
            <w:tcW w:w="4089" w:type="dxa"/>
            <w:noWrap w:val="0"/>
            <w:vAlign w:val="center"/>
          </w:tcPr>
          <w:p w14:paraId="33DCA2E8">
            <w:pPr>
              <w:jc w:val="center"/>
              <w:rPr>
                <w:rFonts w:eastAsia="楷体"/>
                <w:kern w:val="0"/>
                <w:sz w:val="22"/>
                <w:szCs w:val="22"/>
              </w:rPr>
            </w:pPr>
            <w:r>
              <w:rPr>
                <w:rFonts w:eastAsia="楷体"/>
                <w:kern w:val="0"/>
                <w:sz w:val="22"/>
                <w:szCs w:val="22"/>
              </w:rPr>
              <w:t>α=0.05</w:t>
            </w:r>
            <w:r>
              <w:rPr>
                <w:rFonts w:hint="eastAsia" w:eastAsia="楷体"/>
                <w:kern w:val="0"/>
                <w:sz w:val="22"/>
                <w:szCs w:val="22"/>
              </w:rPr>
              <w:t>，</w:t>
            </w:r>
            <w:r>
              <w:rPr>
                <w:rFonts w:eastAsia="楷体"/>
                <w:kern w:val="0"/>
                <w:sz w:val="22"/>
                <w:szCs w:val="22"/>
              </w:rPr>
              <w:t>F=537.5683</w:t>
            </w:r>
            <w:r>
              <w:rPr>
                <w:rFonts w:hint="eastAsia" w:eastAsia="楷体"/>
                <w:kern w:val="0"/>
                <w:sz w:val="22"/>
                <w:szCs w:val="22"/>
              </w:rPr>
              <w:t>，</w:t>
            </w:r>
            <w:r>
              <w:rPr>
                <w:rFonts w:eastAsia="楷体"/>
                <w:kern w:val="0"/>
                <w:sz w:val="22"/>
                <w:szCs w:val="22"/>
              </w:rPr>
              <w:t>t=34.7319,R=0.8379</w:t>
            </w:r>
          </w:p>
        </w:tc>
      </w:tr>
      <w:tr w14:paraId="1B12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749F3A3A">
            <w:pPr>
              <w:jc w:val="center"/>
              <w:rPr>
                <w:rFonts w:eastAsia="楷体_GB2312"/>
                <w:kern w:val="0"/>
                <w:szCs w:val="21"/>
              </w:rPr>
            </w:pPr>
            <w:r>
              <w:rPr>
                <w:rFonts w:eastAsia="楷体_GB2312"/>
                <w:kern w:val="0"/>
                <w:szCs w:val="21"/>
              </w:rPr>
              <w:t>住宅用地</w:t>
            </w:r>
          </w:p>
        </w:tc>
        <w:tc>
          <w:tcPr>
            <w:tcW w:w="3617" w:type="dxa"/>
            <w:noWrap w:val="0"/>
            <w:vAlign w:val="center"/>
          </w:tcPr>
          <w:p w14:paraId="20783DFE">
            <w:pPr>
              <w:jc w:val="center"/>
              <w:rPr>
                <w:rFonts w:eastAsia="楷体"/>
                <w:kern w:val="0"/>
                <w:sz w:val="22"/>
                <w:szCs w:val="22"/>
              </w:rPr>
            </w:pPr>
            <w:r>
              <w:rPr>
                <w:rFonts w:eastAsia="楷体"/>
                <w:kern w:val="0"/>
                <w:sz w:val="22"/>
                <w:szCs w:val="22"/>
              </w:rPr>
              <w:t>Yn =</w:t>
            </w:r>
            <w:r>
              <w:t xml:space="preserve"> </w:t>
            </w:r>
            <w:r>
              <w:rPr>
                <w:rFonts w:eastAsia="楷体"/>
                <w:kern w:val="0"/>
                <w:sz w:val="22"/>
                <w:szCs w:val="22"/>
              </w:rPr>
              <w:t>170.2564×</w:t>
            </w:r>
            <w:r>
              <w:rPr>
                <w:rFonts w:hint="eastAsia" w:eastAsia="楷体"/>
                <w:kern w:val="0"/>
                <w:sz w:val="22"/>
                <w:szCs w:val="22"/>
              </w:rPr>
              <w:t>（</w:t>
            </w:r>
            <w:r>
              <w:rPr>
                <w:rFonts w:eastAsia="楷体"/>
                <w:kern w:val="0"/>
                <w:sz w:val="22"/>
                <w:szCs w:val="22"/>
              </w:rPr>
              <w:t>1+</w:t>
            </w:r>
            <w:r>
              <w:t xml:space="preserve"> </w:t>
            </w:r>
            <w:r>
              <w:rPr>
                <w:rFonts w:eastAsia="楷体"/>
                <w:kern w:val="0"/>
                <w:sz w:val="22"/>
                <w:szCs w:val="22"/>
              </w:rPr>
              <w:t>0.0155</w:t>
            </w:r>
            <w:r>
              <w:rPr>
                <w:rFonts w:hint="eastAsia" w:eastAsia="楷体"/>
                <w:kern w:val="0"/>
                <w:sz w:val="22"/>
                <w:szCs w:val="22"/>
              </w:rPr>
              <w:t>）</w:t>
            </w:r>
            <w:r>
              <w:rPr>
                <w:rFonts w:eastAsia="楷体"/>
                <w:kern w:val="0"/>
                <w:sz w:val="22"/>
                <w:szCs w:val="22"/>
              </w:rPr>
              <w:drawing>
                <wp:inline distT="0" distB="0" distL="114300" distR="114300">
                  <wp:extent cx="180975" cy="180975"/>
                  <wp:effectExtent l="0" t="0" r="0" b="0"/>
                  <wp:docPr id="103"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65"/>
                          <pic:cNvPicPr>
                            <a:picLocks noChangeAspect="1"/>
                          </pic:cNvPicPr>
                        </pic:nvPicPr>
                        <pic:blipFill>
                          <a:blip r:embed="rId277"/>
                          <a:stretch>
                            <a:fillRect/>
                          </a:stretch>
                        </pic:blipFill>
                        <pic:spPr>
                          <a:xfrm>
                            <a:off x="0" y="0"/>
                            <a:ext cx="180975" cy="180975"/>
                          </a:xfrm>
                          <a:prstGeom prst="rect">
                            <a:avLst/>
                          </a:prstGeom>
                          <a:noFill/>
                          <a:ln>
                            <a:noFill/>
                          </a:ln>
                        </pic:spPr>
                      </pic:pic>
                    </a:graphicData>
                  </a:graphic>
                </wp:inline>
              </w:drawing>
            </w:r>
          </w:p>
        </w:tc>
        <w:tc>
          <w:tcPr>
            <w:tcW w:w="4089" w:type="dxa"/>
            <w:noWrap w:val="0"/>
            <w:vAlign w:val="center"/>
          </w:tcPr>
          <w:p w14:paraId="1EC7B70A">
            <w:pPr>
              <w:jc w:val="center"/>
              <w:rPr>
                <w:rFonts w:eastAsia="楷体"/>
                <w:kern w:val="0"/>
                <w:sz w:val="22"/>
                <w:szCs w:val="22"/>
              </w:rPr>
            </w:pPr>
            <w:r>
              <w:rPr>
                <w:rFonts w:eastAsia="楷体"/>
                <w:kern w:val="0"/>
                <w:sz w:val="22"/>
                <w:szCs w:val="22"/>
              </w:rPr>
              <w:t>α=0.05</w:t>
            </w:r>
            <w:r>
              <w:rPr>
                <w:rFonts w:hint="eastAsia" w:eastAsia="楷体"/>
                <w:kern w:val="0"/>
                <w:sz w:val="22"/>
                <w:szCs w:val="22"/>
              </w:rPr>
              <w:t>，</w:t>
            </w:r>
            <w:r>
              <w:rPr>
                <w:rFonts w:eastAsia="楷体"/>
                <w:kern w:val="0"/>
                <w:sz w:val="22"/>
                <w:szCs w:val="22"/>
              </w:rPr>
              <w:t>F=311.4673</w:t>
            </w:r>
            <w:r>
              <w:rPr>
                <w:rFonts w:hint="eastAsia" w:eastAsia="楷体"/>
                <w:kern w:val="0"/>
                <w:sz w:val="22"/>
                <w:szCs w:val="22"/>
              </w:rPr>
              <w:t>，</w:t>
            </w:r>
            <w:r>
              <w:rPr>
                <w:rFonts w:eastAsia="楷体"/>
                <w:kern w:val="0"/>
                <w:sz w:val="22"/>
                <w:szCs w:val="22"/>
              </w:rPr>
              <w:t>t=25.5543</w:t>
            </w:r>
            <w:r>
              <w:rPr>
                <w:rFonts w:hint="eastAsia" w:eastAsia="楷体"/>
                <w:kern w:val="0"/>
                <w:sz w:val="22"/>
                <w:szCs w:val="22"/>
              </w:rPr>
              <w:t>，</w:t>
            </w:r>
            <w:r>
              <w:rPr>
                <w:rFonts w:eastAsia="楷体"/>
                <w:kern w:val="0"/>
                <w:sz w:val="22"/>
                <w:szCs w:val="22"/>
              </w:rPr>
              <w:t>R=0.8735</w:t>
            </w:r>
          </w:p>
        </w:tc>
      </w:tr>
    </w:tbl>
    <w:p w14:paraId="46B1A1D8">
      <w:pPr>
        <w:pStyle w:val="20"/>
        <w:spacing w:before="120" w:beforeLines="50" w:after="120" w:afterLines="50" w:line="240" w:lineRule="atLeas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39</w:t>
      </w:r>
      <w:r>
        <w:rPr>
          <w:rFonts w:ascii="Times New Roman" w:hAnsi="Times New Roman" w:eastAsia="黑体" w:cs="Times New Roman"/>
          <w:sz w:val="28"/>
        </w:rPr>
        <w:t xml:space="preserve">  </w:t>
      </w:r>
      <w:r>
        <w:rPr>
          <w:rFonts w:hint="eastAsia" w:ascii="Times New Roman" w:hAnsi="Times New Roman" w:eastAsia="黑体" w:cs="Times New Roman"/>
          <w:sz w:val="28"/>
        </w:rPr>
        <w:t>顺河镇</w:t>
      </w:r>
      <w:r>
        <w:rPr>
          <w:rFonts w:ascii="Times New Roman" w:hAnsi="Times New Roman" w:eastAsia="黑体" w:cs="Times New Roman"/>
          <w:sz w:val="28"/>
        </w:rPr>
        <w:t>样点地价与定级单元总分值模型测算结果表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4855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7A208C3B">
            <w:pPr>
              <w:jc w:val="center"/>
              <w:rPr>
                <w:rFonts w:eastAsia="楷体_GB2312"/>
                <w:kern w:val="0"/>
                <w:szCs w:val="21"/>
              </w:rPr>
            </w:pPr>
            <w:r>
              <w:rPr>
                <w:rFonts w:eastAsia="楷体_GB2312"/>
                <w:kern w:val="0"/>
                <w:szCs w:val="21"/>
              </w:rPr>
              <w:t>用地类型</w:t>
            </w:r>
          </w:p>
        </w:tc>
        <w:tc>
          <w:tcPr>
            <w:tcW w:w="3617" w:type="dxa"/>
            <w:noWrap w:val="0"/>
            <w:vAlign w:val="center"/>
          </w:tcPr>
          <w:p w14:paraId="6683B55F">
            <w:pPr>
              <w:jc w:val="center"/>
              <w:rPr>
                <w:rFonts w:eastAsia="楷体_GB2312"/>
                <w:kern w:val="0"/>
                <w:szCs w:val="21"/>
              </w:rPr>
            </w:pPr>
            <w:r>
              <w:rPr>
                <w:rFonts w:eastAsia="楷体_GB2312"/>
                <w:kern w:val="0"/>
                <w:szCs w:val="21"/>
              </w:rPr>
              <w:t>模型数学表达式</w:t>
            </w:r>
          </w:p>
        </w:tc>
        <w:tc>
          <w:tcPr>
            <w:tcW w:w="4089" w:type="dxa"/>
            <w:noWrap w:val="0"/>
            <w:vAlign w:val="center"/>
          </w:tcPr>
          <w:p w14:paraId="741DF308">
            <w:pPr>
              <w:jc w:val="center"/>
              <w:rPr>
                <w:rFonts w:eastAsia="楷体_GB2312"/>
                <w:kern w:val="0"/>
                <w:szCs w:val="21"/>
              </w:rPr>
            </w:pPr>
            <w:r>
              <w:rPr>
                <w:rFonts w:eastAsia="楷体_GB2312"/>
                <w:kern w:val="0"/>
                <w:szCs w:val="21"/>
              </w:rPr>
              <w:t>统计量检验</w:t>
            </w:r>
          </w:p>
        </w:tc>
      </w:tr>
      <w:tr w14:paraId="3184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56AC8813">
            <w:pPr>
              <w:jc w:val="center"/>
              <w:rPr>
                <w:rFonts w:eastAsia="楷体_GB2312"/>
                <w:kern w:val="0"/>
                <w:szCs w:val="21"/>
              </w:rPr>
            </w:pPr>
            <w:r>
              <w:rPr>
                <w:rFonts w:eastAsia="楷体_GB2312"/>
                <w:kern w:val="0"/>
                <w:szCs w:val="21"/>
              </w:rPr>
              <w:t>商服用地</w:t>
            </w:r>
          </w:p>
        </w:tc>
        <w:tc>
          <w:tcPr>
            <w:tcW w:w="3617" w:type="dxa"/>
            <w:noWrap w:val="0"/>
            <w:vAlign w:val="center"/>
          </w:tcPr>
          <w:p w14:paraId="35BEFD06">
            <w:pPr>
              <w:jc w:val="center"/>
              <w:rPr>
                <w:rFonts w:eastAsia="楷体"/>
                <w:kern w:val="0"/>
                <w:sz w:val="22"/>
                <w:szCs w:val="22"/>
              </w:rPr>
            </w:pPr>
            <w:r>
              <w:rPr>
                <w:rFonts w:eastAsia="仿宋_GB2312"/>
                <w:color w:val="000000"/>
              </w:rPr>
              <w:t>Y</w:t>
            </w:r>
            <w:r>
              <w:rPr>
                <w:rFonts w:eastAsia="仿宋_GB2312"/>
                <w:color w:val="000000"/>
                <w:vertAlign w:val="subscript"/>
              </w:rPr>
              <w:t>n</w:t>
            </w:r>
            <w:r>
              <w:rPr>
                <w:rFonts w:eastAsia="楷体"/>
                <w:kern w:val="0"/>
                <w:sz w:val="22"/>
                <w:szCs w:val="22"/>
              </w:rPr>
              <w:t xml:space="preserve"> =</w:t>
            </w:r>
            <w:r>
              <w:t xml:space="preserve"> </w:t>
            </w:r>
            <w:r>
              <w:rPr>
                <w:rFonts w:eastAsia="楷体"/>
                <w:kern w:val="0"/>
                <w:sz w:val="22"/>
                <w:szCs w:val="22"/>
              </w:rPr>
              <w:t>156.3324×</w:t>
            </w:r>
            <w:r>
              <w:rPr>
                <w:rFonts w:hint="eastAsia" w:eastAsia="楷体"/>
                <w:kern w:val="0"/>
                <w:sz w:val="22"/>
                <w:szCs w:val="22"/>
              </w:rPr>
              <w:t>（</w:t>
            </w:r>
            <w:r>
              <w:rPr>
                <w:rFonts w:eastAsia="楷体"/>
                <w:kern w:val="0"/>
                <w:sz w:val="22"/>
                <w:szCs w:val="22"/>
              </w:rPr>
              <w:t>1+</w:t>
            </w:r>
            <w:r>
              <w:t>0.0179</w:t>
            </w:r>
            <w:r>
              <w:rPr>
                <w:rFonts w:hint="eastAsia" w:eastAsia="楷体"/>
                <w:kern w:val="0"/>
                <w:sz w:val="22"/>
                <w:szCs w:val="22"/>
              </w:rPr>
              <w:t>）</w:t>
            </w:r>
            <w:r>
              <w:rPr>
                <w:rFonts w:eastAsia="楷体"/>
                <w:kern w:val="0"/>
                <w:sz w:val="22"/>
                <w:szCs w:val="22"/>
              </w:rPr>
              <w:drawing>
                <wp:inline distT="0" distB="0" distL="114300" distR="114300">
                  <wp:extent cx="180975" cy="180975"/>
                  <wp:effectExtent l="0" t="0" r="0" b="0"/>
                  <wp:docPr id="104"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66"/>
                          <pic:cNvPicPr>
                            <a:picLocks noChangeAspect="1"/>
                          </pic:cNvPicPr>
                        </pic:nvPicPr>
                        <pic:blipFill>
                          <a:blip r:embed="rId277"/>
                          <a:stretch>
                            <a:fillRect/>
                          </a:stretch>
                        </pic:blipFill>
                        <pic:spPr>
                          <a:xfrm>
                            <a:off x="0" y="0"/>
                            <a:ext cx="180975" cy="180975"/>
                          </a:xfrm>
                          <a:prstGeom prst="rect">
                            <a:avLst/>
                          </a:prstGeom>
                          <a:noFill/>
                          <a:ln>
                            <a:noFill/>
                          </a:ln>
                        </pic:spPr>
                      </pic:pic>
                    </a:graphicData>
                  </a:graphic>
                </wp:inline>
              </w:drawing>
            </w:r>
          </w:p>
        </w:tc>
        <w:tc>
          <w:tcPr>
            <w:tcW w:w="4089" w:type="dxa"/>
            <w:noWrap w:val="0"/>
            <w:vAlign w:val="center"/>
          </w:tcPr>
          <w:p w14:paraId="6E6DF6C6">
            <w:pPr>
              <w:jc w:val="center"/>
              <w:rPr>
                <w:rFonts w:eastAsia="楷体"/>
                <w:kern w:val="0"/>
                <w:sz w:val="22"/>
                <w:szCs w:val="22"/>
              </w:rPr>
            </w:pPr>
            <w:r>
              <w:rPr>
                <w:rFonts w:eastAsia="楷体"/>
                <w:kern w:val="0"/>
                <w:sz w:val="22"/>
                <w:szCs w:val="22"/>
              </w:rPr>
              <w:t>α=0.05</w:t>
            </w:r>
            <w:r>
              <w:rPr>
                <w:rFonts w:hint="eastAsia" w:eastAsia="楷体"/>
                <w:kern w:val="0"/>
                <w:sz w:val="22"/>
                <w:szCs w:val="22"/>
              </w:rPr>
              <w:t>，</w:t>
            </w:r>
            <w:r>
              <w:rPr>
                <w:rFonts w:eastAsia="楷体"/>
                <w:kern w:val="0"/>
                <w:sz w:val="22"/>
                <w:szCs w:val="22"/>
              </w:rPr>
              <w:t>F=524.7738</w:t>
            </w:r>
            <w:r>
              <w:rPr>
                <w:rFonts w:hint="eastAsia" w:eastAsia="楷体"/>
                <w:kern w:val="0"/>
                <w:sz w:val="22"/>
                <w:szCs w:val="22"/>
              </w:rPr>
              <w:t>，</w:t>
            </w:r>
            <w:r>
              <w:rPr>
                <w:rFonts w:eastAsia="楷体"/>
                <w:kern w:val="0"/>
                <w:sz w:val="22"/>
                <w:szCs w:val="22"/>
              </w:rPr>
              <w:t>t=34.6598R=0. 8436</w:t>
            </w:r>
          </w:p>
        </w:tc>
      </w:tr>
      <w:tr w14:paraId="50FAA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36FCB20C">
            <w:pPr>
              <w:jc w:val="center"/>
              <w:rPr>
                <w:rFonts w:eastAsia="楷体_GB2312"/>
                <w:kern w:val="0"/>
                <w:szCs w:val="21"/>
              </w:rPr>
            </w:pPr>
            <w:r>
              <w:rPr>
                <w:rFonts w:eastAsia="楷体_GB2312"/>
                <w:kern w:val="0"/>
                <w:szCs w:val="21"/>
              </w:rPr>
              <w:t>住宅用地</w:t>
            </w:r>
          </w:p>
        </w:tc>
        <w:tc>
          <w:tcPr>
            <w:tcW w:w="3617" w:type="dxa"/>
            <w:noWrap w:val="0"/>
            <w:vAlign w:val="center"/>
          </w:tcPr>
          <w:p w14:paraId="24AF7BE5">
            <w:pPr>
              <w:jc w:val="center"/>
              <w:rPr>
                <w:rFonts w:eastAsia="楷体"/>
                <w:kern w:val="0"/>
                <w:sz w:val="22"/>
                <w:szCs w:val="22"/>
              </w:rPr>
            </w:pPr>
            <w:r>
              <w:rPr>
                <w:rFonts w:eastAsia="仿宋_GB2312"/>
                <w:color w:val="000000"/>
              </w:rPr>
              <w:t>Y</w:t>
            </w:r>
            <w:r>
              <w:rPr>
                <w:rFonts w:eastAsia="仿宋_GB2312"/>
                <w:color w:val="000000"/>
                <w:vertAlign w:val="subscript"/>
              </w:rPr>
              <w:t>n</w:t>
            </w:r>
            <w:r>
              <w:rPr>
                <w:rFonts w:eastAsia="楷体"/>
                <w:kern w:val="0"/>
                <w:sz w:val="22"/>
                <w:szCs w:val="22"/>
              </w:rPr>
              <w:t xml:space="preserve"> =</w:t>
            </w:r>
            <w:r>
              <w:t xml:space="preserve"> </w:t>
            </w:r>
            <w:r>
              <w:rPr>
                <w:rFonts w:eastAsia="楷体"/>
                <w:kern w:val="0"/>
                <w:sz w:val="22"/>
                <w:szCs w:val="22"/>
              </w:rPr>
              <w:t>146.1523×</w:t>
            </w:r>
            <w:r>
              <w:rPr>
                <w:rFonts w:hint="eastAsia" w:eastAsia="楷体"/>
                <w:kern w:val="0"/>
                <w:sz w:val="22"/>
                <w:szCs w:val="22"/>
              </w:rPr>
              <w:t>（</w:t>
            </w:r>
            <w:r>
              <w:rPr>
                <w:rFonts w:eastAsia="楷体"/>
                <w:kern w:val="0"/>
                <w:sz w:val="22"/>
                <w:szCs w:val="22"/>
              </w:rPr>
              <w:t>1+</w:t>
            </w:r>
            <w:r>
              <w:t xml:space="preserve"> </w:t>
            </w:r>
            <w:r>
              <w:rPr>
                <w:rFonts w:eastAsia="楷体"/>
                <w:kern w:val="0"/>
                <w:sz w:val="22"/>
                <w:szCs w:val="22"/>
              </w:rPr>
              <w:t>0.0155</w:t>
            </w:r>
            <w:r>
              <w:rPr>
                <w:rFonts w:hint="eastAsia" w:eastAsia="楷体"/>
                <w:kern w:val="0"/>
                <w:sz w:val="22"/>
                <w:szCs w:val="22"/>
              </w:rPr>
              <w:t>）</w:t>
            </w:r>
            <w:r>
              <w:rPr>
                <w:rFonts w:eastAsia="楷体"/>
                <w:kern w:val="0"/>
                <w:sz w:val="22"/>
                <w:szCs w:val="22"/>
              </w:rPr>
              <w:drawing>
                <wp:inline distT="0" distB="0" distL="114300" distR="114300">
                  <wp:extent cx="180975" cy="180975"/>
                  <wp:effectExtent l="0" t="0" r="0" b="0"/>
                  <wp:docPr id="105"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67"/>
                          <pic:cNvPicPr>
                            <a:picLocks noChangeAspect="1"/>
                          </pic:cNvPicPr>
                        </pic:nvPicPr>
                        <pic:blipFill>
                          <a:blip r:embed="rId277"/>
                          <a:stretch>
                            <a:fillRect/>
                          </a:stretch>
                        </pic:blipFill>
                        <pic:spPr>
                          <a:xfrm>
                            <a:off x="0" y="0"/>
                            <a:ext cx="180975" cy="180975"/>
                          </a:xfrm>
                          <a:prstGeom prst="rect">
                            <a:avLst/>
                          </a:prstGeom>
                          <a:noFill/>
                          <a:ln>
                            <a:noFill/>
                          </a:ln>
                        </pic:spPr>
                      </pic:pic>
                    </a:graphicData>
                  </a:graphic>
                </wp:inline>
              </w:drawing>
            </w:r>
          </w:p>
        </w:tc>
        <w:tc>
          <w:tcPr>
            <w:tcW w:w="4089" w:type="dxa"/>
            <w:noWrap w:val="0"/>
            <w:vAlign w:val="center"/>
          </w:tcPr>
          <w:p w14:paraId="53964C18">
            <w:pPr>
              <w:jc w:val="center"/>
              <w:rPr>
                <w:rFonts w:eastAsia="楷体"/>
                <w:kern w:val="0"/>
                <w:sz w:val="22"/>
                <w:szCs w:val="22"/>
              </w:rPr>
            </w:pPr>
            <w:r>
              <w:rPr>
                <w:rFonts w:eastAsia="楷体"/>
                <w:kern w:val="0"/>
                <w:sz w:val="22"/>
                <w:szCs w:val="22"/>
              </w:rPr>
              <w:t>α=0.05</w:t>
            </w:r>
            <w:r>
              <w:rPr>
                <w:rFonts w:hint="eastAsia" w:eastAsia="楷体"/>
                <w:kern w:val="0"/>
                <w:sz w:val="22"/>
                <w:szCs w:val="22"/>
              </w:rPr>
              <w:t>，</w:t>
            </w:r>
            <w:r>
              <w:rPr>
                <w:rFonts w:eastAsia="楷体"/>
                <w:kern w:val="0"/>
                <w:sz w:val="22"/>
                <w:szCs w:val="22"/>
              </w:rPr>
              <w:t>F=298.7346</w:t>
            </w:r>
            <w:r>
              <w:rPr>
                <w:rFonts w:hint="eastAsia" w:eastAsia="楷体"/>
                <w:kern w:val="0"/>
                <w:sz w:val="22"/>
                <w:szCs w:val="22"/>
              </w:rPr>
              <w:t>，</w:t>
            </w:r>
            <w:r>
              <w:rPr>
                <w:rFonts w:eastAsia="楷体"/>
                <w:kern w:val="0"/>
                <w:sz w:val="22"/>
                <w:szCs w:val="22"/>
              </w:rPr>
              <w:t>t=24.3677</w:t>
            </w:r>
            <w:r>
              <w:rPr>
                <w:rFonts w:hint="eastAsia" w:eastAsia="楷体"/>
                <w:kern w:val="0"/>
                <w:sz w:val="22"/>
                <w:szCs w:val="22"/>
              </w:rPr>
              <w:t>，</w:t>
            </w:r>
            <w:r>
              <w:rPr>
                <w:rFonts w:eastAsia="楷体"/>
                <w:kern w:val="0"/>
                <w:sz w:val="22"/>
                <w:szCs w:val="22"/>
              </w:rPr>
              <w:t>R=0.8673</w:t>
            </w:r>
          </w:p>
        </w:tc>
      </w:tr>
    </w:tbl>
    <w:p w14:paraId="4B684D0F">
      <w:pPr>
        <w:pStyle w:val="20"/>
        <w:spacing w:before="120" w:beforeLines="50" w:after="120" w:afterLines="50" w:line="240" w:lineRule="atLeas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40</w:t>
      </w:r>
      <w:r>
        <w:rPr>
          <w:rFonts w:ascii="Times New Roman" w:hAnsi="Times New Roman" w:eastAsia="黑体" w:cs="Times New Roman"/>
          <w:sz w:val="28"/>
        </w:rPr>
        <w:t xml:space="preserve">  </w:t>
      </w:r>
      <w:r>
        <w:rPr>
          <w:rFonts w:hint="eastAsia" w:ascii="Times New Roman" w:hAnsi="Times New Roman" w:eastAsia="黑体" w:cs="Times New Roman"/>
          <w:sz w:val="28"/>
        </w:rPr>
        <w:t>杨庄镇</w:t>
      </w:r>
      <w:r>
        <w:rPr>
          <w:rFonts w:ascii="Times New Roman" w:hAnsi="Times New Roman" w:eastAsia="黑体" w:cs="Times New Roman"/>
          <w:sz w:val="28"/>
        </w:rPr>
        <w:t>样点地价与定级单元总分值模型测算结果表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0AECC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4DE94090">
            <w:pPr>
              <w:jc w:val="center"/>
              <w:rPr>
                <w:rFonts w:eastAsia="楷体_GB2312"/>
                <w:kern w:val="0"/>
                <w:szCs w:val="21"/>
              </w:rPr>
            </w:pPr>
            <w:r>
              <w:rPr>
                <w:rFonts w:eastAsia="楷体_GB2312"/>
                <w:kern w:val="0"/>
                <w:szCs w:val="21"/>
              </w:rPr>
              <w:t>用地类型</w:t>
            </w:r>
          </w:p>
        </w:tc>
        <w:tc>
          <w:tcPr>
            <w:tcW w:w="3617" w:type="dxa"/>
            <w:noWrap w:val="0"/>
            <w:vAlign w:val="center"/>
          </w:tcPr>
          <w:p w14:paraId="0D6869F7">
            <w:pPr>
              <w:jc w:val="center"/>
              <w:rPr>
                <w:rFonts w:eastAsia="楷体_GB2312"/>
                <w:kern w:val="0"/>
                <w:szCs w:val="21"/>
              </w:rPr>
            </w:pPr>
            <w:r>
              <w:rPr>
                <w:rFonts w:eastAsia="楷体_GB2312"/>
                <w:kern w:val="0"/>
                <w:szCs w:val="21"/>
              </w:rPr>
              <w:t>模型数学表达式</w:t>
            </w:r>
          </w:p>
        </w:tc>
        <w:tc>
          <w:tcPr>
            <w:tcW w:w="4089" w:type="dxa"/>
            <w:noWrap w:val="0"/>
            <w:vAlign w:val="center"/>
          </w:tcPr>
          <w:p w14:paraId="67BCD813">
            <w:pPr>
              <w:jc w:val="center"/>
              <w:rPr>
                <w:rFonts w:eastAsia="楷体_GB2312"/>
                <w:kern w:val="0"/>
                <w:szCs w:val="21"/>
              </w:rPr>
            </w:pPr>
            <w:r>
              <w:rPr>
                <w:rFonts w:eastAsia="楷体_GB2312"/>
                <w:kern w:val="0"/>
                <w:szCs w:val="21"/>
              </w:rPr>
              <w:t>统计量检验</w:t>
            </w:r>
          </w:p>
        </w:tc>
      </w:tr>
      <w:tr w14:paraId="7086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2642C340">
            <w:pPr>
              <w:jc w:val="center"/>
              <w:rPr>
                <w:rFonts w:eastAsia="楷体_GB2312"/>
                <w:kern w:val="0"/>
                <w:szCs w:val="21"/>
              </w:rPr>
            </w:pPr>
            <w:r>
              <w:rPr>
                <w:rFonts w:eastAsia="楷体_GB2312"/>
                <w:kern w:val="0"/>
                <w:szCs w:val="21"/>
              </w:rPr>
              <w:t>商服用地</w:t>
            </w:r>
          </w:p>
        </w:tc>
        <w:tc>
          <w:tcPr>
            <w:tcW w:w="3617" w:type="dxa"/>
            <w:noWrap w:val="0"/>
            <w:vAlign w:val="center"/>
          </w:tcPr>
          <w:p w14:paraId="0B5BD440">
            <w:pPr>
              <w:jc w:val="center"/>
              <w:rPr>
                <w:rFonts w:eastAsia="楷体"/>
                <w:kern w:val="0"/>
                <w:sz w:val="22"/>
                <w:szCs w:val="22"/>
              </w:rPr>
            </w:pPr>
            <w:r>
              <w:rPr>
                <w:rFonts w:eastAsia="楷体"/>
                <w:kern w:val="0"/>
                <w:sz w:val="22"/>
                <w:szCs w:val="22"/>
              </w:rPr>
              <w:t>Yn =217.2486×</w:t>
            </w:r>
            <w:r>
              <w:rPr>
                <w:rFonts w:hint="eastAsia" w:eastAsia="楷体"/>
                <w:kern w:val="0"/>
                <w:sz w:val="22"/>
                <w:szCs w:val="22"/>
              </w:rPr>
              <w:t>（</w:t>
            </w:r>
            <w:r>
              <w:rPr>
                <w:rFonts w:eastAsia="楷体"/>
                <w:kern w:val="0"/>
                <w:sz w:val="22"/>
                <w:szCs w:val="22"/>
              </w:rPr>
              <w:t>1+0.0171</w:t>
            </w:r>
            <w:r>
              <w:rPr>
                <w:rFonts w:hint="eastAsia" w:eastAsia="楷体"/>
                <w:kern w:val="0"/>
                <w:sz w:val="22"/>
                <w:szCs w:val="22"/>
              </w:rPr>
              <w:t>）</w:t>
            </w:r>
            <w:r>
              <w:rPr>
                <w:rFonts w:eastAsia="楷体"/>
                <w:kern w:val="0"/>
                <w:sz w:val="22"/>
                <w:szCs w:val="22"/>
              </w:rPr>
              <w:drawing>
                <wp:inline distT="0" distB="0" distL="114300" distR="114300">
                  <wp:extent cx="180975" cy="180975"/>
                  <wp:effectExtent l="0" t="0" r="0" b="0"/>
                  <wp:docPr id="106"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68"/>
                          <pic:cNvPicPr>
                            <a:picLocks noChangeAspect="1"/>
                          </pic:cNvPicPr>
                        </pic:nvPicPr>
                        <pic:blipFill>
                          <a:blip r:embed="rId277"/>
                          <a:stretch>
                            <a:fillRect/>
                          </a:stretch>
                        </pic:blipFill>
                        <pic:spPr>
                          <a:xfrm>
                            <a:off x="0" y="0"/>
                            <a:ext cx="180975" cy="180975"/>
                          </a:xfrm>
                          <a:prstGeom prst="rect">
                            <a:avLst/>
                          </a:prstGeom>
                          <a:noFill/>
                          <a:ln>
                            <a:noFill/>
                          </a:ln>
                        </pic:spPr>
                      </pic:pic>
                    </a:graphicData>
                  </a:graphic>
                </wp:inline>
              </w:drawing>
            </w:r>
          </w:p>
        </w:tc>
        <w:tc>
          <w:tcPr>
            <w:tcW w:w="4089" w:type="dxa"/>
            <w:noWrap w:val="0"/>
            <w:vAlign w:val="center"/>
          </w:tcPr>
          <w:p w14:paraId="6BBC310A">
            <w:pPr>
              <w:jc w:val="center"/>
              <w:rPr>
                <w:rFonts w:eastAsia="楷体"/>
                <w:kern w:val="0"/>
                <w:sz w:val="22"/>
                <w:szCs w:val="22"/>
              </w:rPr>
            </w:pPr>
            <w:r>
              <w:rPr>
                <w:rFonts w:eastAsia="楷体"/>
                <w:kern w:val="0"/>
                <w:sz w:val="22"/>
                <w:szCs w:val="22"/>
              </w:rPr>
              <w:t>α=0.05</w:t>
            </w:r>
            <w:r>
              <w:rPr>
                <w:rFonts w:hint="eastAsia" w:eastAsia="楷体"/>
                <w:kern w:val="0"/>
                <w:sz w:val="22"/>
                <w:szCs w:val="22"/>
              </w:rPr>
              <w:t>，</w:t>
            </w:r>
            <w:r>
              <w:rPr>
                <w:rFonts w:eastAsia="楷体"/>
                <w:kern w:val="0"/>
                <w:sz w:val="22"/>
                <w:szCs w:val="22"/>
              </w:rPr>
              <w:t>F=511.5446</w:t>
            </w:r>
            <w:r>
              <w:rPr>
                <w:rFonts w:hint="eastAsia" w:eastAsia="楷体"/>
                <w:kern w:val="0"/>
                <w:sz w:val="22"/>
                <w:szCs w:val="22"/>
              </w:rPr>
              <w:t>，</w:t>
            </w:r>
            <w:r>
              <w:rPr>
                <w:rFonts w:eastAsia="楷体"/>
                <w:kern w:val="0"/>
                <w:sz w:val="22"/>
                <w:szCs w:val="22"/>
              </w:rPr>
              <w:t>t=37.4381,R=0. 8535</w:t>
            </w:r>
          </w:p>
        </w:tc>
      </w:tr>
      <w:tr w14:paraId="0632F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2D660257">
            <w:pPr>
              <w:jc w:val="center"/>
              <w:rPr>
                <w:rFonts w:eastAsia="楷体_GB2312"/>
                <w:kern w:val="0"/>
                <w:szCs w:val="21"/>
              </w:rPr>
            </w:pPr>
            <w:r>
              <w:rPr>
                <w:rFonts w:eastAsia="楷体_GB2312"/>
                <w:kern w:val="0"/>
                <w:szCs w:val="21"/>
              </w:rPr>
              <w:t>住宅用地</w:t>
            </w:r>
          </w:p>
        </w:tc>
        <w:tc>
          <w:tcPr>
            <w:tcW w:w="3617" w:type="dxa"/>
            <w:noWrap w:val="0"/>
            <w:vAlign w:val="center"/>
          </w:tcPr>
          <w:p w14:paraId="642B1A00">
            <w:pPr>
              <w:jc w:val="center"/>
              <w:rPr>
                <w:rFonts w:eastAsia="楷体"/>
                <w:kern w:val="0"/>
                <w:sz w:val="22"/>
                <w:szCs w:val="22"/>
              </w:rPr>
            </w:pPr>
            <w:r>
              <w:rPr>
                <w:rFonts w:eastAsia="楷体"/>
                <w:kern w:val="0"/>
                <w:sz w:val="22"/>
                <w:szCs w:val="22"/>
              </w:rPr>
              <w:t>Yn =200.7761×</w:t>
            </w:r>
            <w:r>
              <w:rPr>
                <w:rFonts w:hint="eastAsia" w:eastAsia="楷体"/>
                <w:kern w:val="0"/>
                <w:sz w:val="22"/>
                <w:szCs w:val="22"/>
              </w:rPr>
              <w:t>（</w:t>
            </w:r>
            <w:r>
              <w:rPr>
                <w:rFonts w:eastAsia="楷体"/>
                <w:kern w:val="0"/>
                <w:sz w:val="22"/>
                <w:szCs w:val="22"/>
              </w:rPr>
              <w:t>1+0.0148</w:t>
            </w:r>
            <w:r>
              <w:rPr>
                <w:rFonts w:hint="eastAsia" w:eastAsia="楷体"/>
                <w:kern w:val="0"/>
                <w:sz w:val="22"/>
                <w:szCs w:val="22"/>
              </w:rPr>
              <w:t>）</w:t>
            </w:r>
            <w:r>
              <w:rPr>
                <w:rFonts w:eastAsia="楷体"/>
                <w:kern w:val="0"/>
                <w:sz w:val="22"/>
                <w:szCs w:val="22"/>
              </w:rPr>
              <w:drawing>
                <wp:inline distT="0" distB="0" distL="114300" distR="114300">
                  <wp:extent cx="180975" cy="180975"/>
                  <wp:effectExtent l="0" t="0" r="0" b="0"/>
                  <wp:docPr id="107"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69"/>
                          <pic:cNvPicPr>
                            <a:picLocks noChangeAspect="1"/>
                          </pic:cNvPicPr>
                        </pic:nvPicPr>
                        <pic:blipFill>
                          <a:blip r:embed="rId277"/>
                          <a:stretch>
                            <a:fillRect/>
                          </a:stretch>
                        </pic:blipFill>
                        <pic:spPr>
                          <a:xfrm>
                            <a:off x="0" y="0"/>
                            <a:ext cx="180975" cy="180975"/>
                          </a:xfrm>
                          <a:prstGeom prst="rect">
                            <a:avLst/>
                          </a:prstGeom>
                          <a:noFill/>
                          <a:ln>
                            <a:noFill/>
                          </a:ln>
                        </pic:spPr>
                      </pic:pic>
                    </a:graphicData>
                  </a:graphic>
                </wp:inline>
              </w:drawing>
            </w:r>
          </w:p>
        </w:tc>
        <w:tc>
          <w:tcPr>
            <w:tcW w:w="4089" w:type="dxa"/>
            <w:noWrap w:val="0"/>
            <w:vAlign w:val="center"/>
          </w:tcPr>
          <w:p w14:paraId="6D5AE95C">
            <w:pPr>
              <w:jc w:val="center"/>
              <w:rPr>
                <w:rFonts w:eastAsia="楷体"/>
                <w:kern w:val="0"/>
                <w:sz w:val="22"/>
                <w:szCs w:val="22"/>
              </w:rPr>
            </w:pPr>
            <w:r>
              <w:rPr>
                <w:rFonts w:eastAsia="楷体"/>
                <w:kern w:val="0"/>
                <w:sz w:val="22"/>
                <w:szCs w:val="22"/>
              </w:rPr>
              <w:t>α=0.05</w:t>
            </w:r>
            <w:r>
              <w:rPr>
                <w:rFonts w:hint="eastAsia" w:eastAsia="楷体"/>
                <w:kern w:val="0"/>
                <w:sz w:val="22"/>
                <w:szCs w:val="22"/>
              </w:rPr>
              <w:t>，</w:t>
            </w:r>
            <w:r>
              <w:rPr>
                <w:rFonts w:eastAsia="楷体"/>
                <w:kern w:val="0"/>
                <w:sz w:val="22"/>
                <w:szCs w:val="22"/>
              </w:rPr>
              <w:t>F=302.8564</w:t>
            </w:r>
            <w:r>
              <w:rPr>
                <w:rFonts w:hint="eastAsia" w:eastAsia="楷体"/>
                <w:kern w:val="0"/>
                <w:sz w:val="22"/>
                <w:szCs w:val="22"/>
              </w:rPr>
              <w:t>，</w:t>
            </w:r>
            <w:r>
              <w:rPr>
                <w:rFonts w:eastAsia="楷体"/>
                <w:kern w:val="0"/>
                <w:sz w:val="22"/>
                <w:szCs w:val="22"/>
              </w:rPr>
              <w:t>t=25.7854</w:t>
            </w:r>
            <w:r>
              <w:rPr>
                <w:rFonts w:hint="eastAsia" w:eastAsia="楷体"/>
                <w:kern w:val="0"/>
                <w:sz w:val="22"/>
                <w:szCs w:val="22"/>
              </w:rPr>
              <w:t>，</w:t>
            </w:r>
            <w:r>
              <w:rPr>
                <w:rFonts w:eastAsia="楷体"/>
                <w:kern w:val="0"/>
                <w:sz w:val="22"/>
                <w:szCs w:val="22"/>
              </w:rPr>
              <w:t>R=0.8734</w:t>
            </w:r>
          </w:p>
        </w:tc>
      </w:tr>
    </w:tbl>
    <w:p w14:paraId="08A001A3">
      <w:pPr>
        <w:pStyle w:val="20"/>
        <w:spacing w:before="120" w:beforeLines="50" w:after="120" w:afterLines="50" w:line="240" w:lineRule="atLeas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41</w:t>
      </w:r>
      <w:r>
        <w:rPr>
          <w:rFonts w:ascii="Times New Roman" w:hAnsi="Times New Roman" w:eastAsia="黑体" w:cs="Times New Roman"/>
          <w:sz w:val="28"/>
        </w:rPr>
        <w:t xml:space="preserve">  </w:t>
      </w:r>
      <w:r>
        <w:rPr>
          <w:rFonts w:hint="eastAsia" w:ascii="Times New Roman" w:hAnsi="Times New Roman" w:eastAsia="黑体" w:cs="Times New Roman"/>
          <w:sz w:val="28"/>
        </w:rPr>
        <w:t>永镇乡</w:t>
      </w:r>
      <w:r>
        <w:rPr>
          <w:rFonts w:ascii="Times New Roman" w:hAnsi="Times New Roman" w:eastAsia="黑体" w:cs="Times New Roman"/>
          <w:sz w:val="28"/>
        </w:rPr>
        <w:t>样点地价与定级单元总分值模型测算结果表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3AE9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685376C7">
            <w:pPr>
              <w:jc w:val="center"/>
              <w:rPr>
                <w:rFonts w:eastAsia="楷体_GB2312"/>
                <w:kern w:val="0"/>
                <w:szCs w:val="21"/>
              </w:rPr>
            </w:pPr>
            <w:r>
              <w:rPr>
                <w:rFonts w:eastAsia="楷体_GB2312"/>
                <w:kern w:val="0"/>
                <w:szCs w:val="21"/>
              </w:rPr>
              <w:t>用地类型</w:t>
            </w:r>
          </w:p>
        </w:tc>
        <w:tc>
          <w:tcPr>
            <w:tcW w:w="3617" w:type="dxa"/>
            <w:noWrap w:val="0"/>
            <w:vAlign w:val="center"/>
          </w:tcPr>
          <w:p w14:paraId="6F410C27">
            <w:pPr>
              <w:jc w:val="center"/>
              <w:rPr>
                <w:rFonts w:eastAsia="楷体_GB2312"/>
                <w:kern w:val="0"/>
                <w:szCs w:val="21"/>
              </w:rPr>
            </w:pPr>
            <w:r>
              <w:rPr>
                <w:rFonts w:eastAsia="楷体_GB2312"/>
                <w:kern w:val="0"/>
                <w:szCs w:val="21"/>
              </w:rPr>
              <w:t>模型数学表达式</w:t>
            </w:r>
          </w:p>
        </w:tc>
        <w:tc>
          <w:tcPr>
            <w:tcW w:w="4089" w:type="dxa"/>
            <w:noWrap w:val="0"/>
            <w:vAlign w:val="center"/>
          </w:tcPr>
          <w:p w14:paraId="4F7A23E5">
            <w:pPr>
              <w:jc w:val="center"/>
              <w:rPr>
                <w:rFonts w:eastAsia="楷体_GB2312"/>
                <w:kern w:val="0"/>
                <w:szCs w:val="21"/>
              </w:rPr>
            </w:pPr>
            <w:r>
              <w:rPr>
                <w:rFonts w:eastAsia="楷体_GB2312"/>
                <w:kern w:val="0"/>
                <w:szCs w:val="21"/>
              </w:rPr>
              <w:t>统计量检验</w:t>
            </w:r>
          </w:p>
        </w:tc>
      </w:tr>
      <w:tr w14:paraId="49D76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22E2D978">
            <w:pPr>
              <w:jc w:val="center"/>
              <w:rPr>
                <w:rFonts w:eastAsia="楷体_GB2312"/>
                <w:kern w:val="0"/>
                <w:szCs w:val="21"/>
              </w:rPr>
            </w:pPr>
            <w:r>
              <w:rPr>
                <w:rFonts w:eastAsia="楷体_GB2312"/>
                <w:kern w:val="0"/>
                <w:szCs w:val="21"/>
              </w:rPr>
              <w:t>商服用地</w:t>
            </w:r>
          </w:p>
        </w:tc>
        <w:tc>
          <w:tcPr>
            <w:tcW w:w="3617" w:type="dxa"/>
            <w:noWrap w:val="0"/>
            <w:vAlign w:val="center"/>
          </w:tcPr>
          <w:p w14:paraId="4DAE0034">
            <w:pPr>
              <w:jc w:val="center"/>
              <w:rPr>
                <w:rFonts w:eastAsia="楷体_GB2312"/>
                <w:kern w:val="0"/>
                <w:szCs w:val="21"/>
              </w:rPr>
            </w:pPr>
            <w:r>
              <w:rPr>
                <w:rFonts w:eastAsia="楷体_GB2312"/>
                <w:kern w:val="0"/>
                <w:szCs w:val="21"/>
              </w:rPr>
              <w:t>Yn =233.0052×（1+0.0150）</w:t>
            </w:r>
            <w:r>
              <w:rPr>
                <w:rFonts w:eastAsia="楷体_GB2312"/>
                <w:kern w:val="0"/>
                <w:szCs w:val="21"/>
              </w:rPr>
              <w:object>
                <v:shape id="_x0000_i1195"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95" DrawAspect="Content" ObjectID="_1468075895" r:id="rId331">
                  <o:LockedField>false</o:LockedField>
                </o:OLEObject>
              </w:object>
            </w:r>
          </w:p>
        </w:tc>
        <w:tc>
          <w:tcPr>
            <w:tcW w:w="4089" w:type="dxa"/>
            <w:noWrap w:val="0"/>
            <w:vAlign w:val="center"/>
          </w:tcPr>
          <w:p w14:paraId="0D22B51C">
            <w:pPr>
              <w:jc w:val="center"/>
              <w:rPr>
                <w:rFonts w:eastAsia="楷体_GB2312"/>
                <w:kern w:val="0"/>
                <w:szCs w:val="21"/>
              </w:rPr>
            </w:pPr>
            <w:r>
              <w:rPr>
                <w:rFonts w:eastAsia="楷体_GB2312"/>
                <w:kern w:val="0"/>
                <w:szCs w:val="21"/>
              </w:rPr>
              <w:t>α=0.05，F=528.3417，t=37.6101</w:t>
            </w:r>
            <w:r>
              <w:rPr>
                <w:rFonts w:hint="eastAsia" w:eastAsia="楷体_GB2312"/>
                <w:kern w:val="0"/>
                <w:szCs w:val="21"/>
              </w:rPr>
              <w:t>，</w:t>
            </w:r>
            <w:r>
              <w:rPr>
                <w:rFonts w:eastAsia="楷体_GB2312"/>
                <w:kern w:val="0"/>
                <w:szCs w:val="21"/>
              </w:rPr>
              <w:t>R=0、8732</w:t>
            </w:r>
          </w:p>
        </w:tc>
      </w:tr>
      <w:tr w14:paraId="5A2E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6001104E">
            <w:pPr>
              <w:jc w:val="center"/>
              <w:rPr>
                <w:rFonts w:eastAsia="楷体_GB2312"/>
                <w:kern w:val="0"/>
                <w:szCs w:val="21"/>
              </w:rPr>
            </w:pPr>
            <w:r>
              <w:rPr>
                <w:rFonts w:eastAsia="楷体_GB2312"/>
                <w:kern w:val="0"/>
                <w:szCs w:val="21"/>
              </w:rPr>
              <w:t>住宅用地</w:t>
            </w:r>
          </w:p>
        </w:tc>
        <w:tc>
          <w:tcPr>
            <w:tcW w:w="3617" w:type="dxa"/>
            <w:noWrap w:val="0"/>
            <w:vAlign w:val="center"/>
          </w:tcPr>
          <w:p w14:paraId="0EE0C33D">
            <w:pPr>
              <w:jc w:val="center"/>
              <w:rPr>
                <w:rFonts w:eastAsia="楷体_GB2312"/>
                <w:kern w:val="0"/>
                <w:szCs w:val="21"/>
              </w:rPr>
            </w:pPr>
            <w:r>
              <w:rPr>
                <w:rFonts w:eastAsia="楷体_GB2312"/>
                <w:kern w:val="0"/>
                <w:szCs w:val="21"/>
              </w:rPr>
              <w:t>Yn =165.5659×（1+0.0132）</w:t>
            </w:r>
            <w:r>
              <w:rPr>
                <w:rFonts w:eastAsia="楷体_GB2312"/>
                <w:kern w:val="0"/>
                <w:szCs w:val="21"/>
              </w:rPr>
              <w:object>
                <v:shape id="_x0000_i1196"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96" DrawAspect="Content" ObjectID="_1468075896" r:id="rId332">
                  <o:LockedField>false</o:LockedField>
                </o:OLEObject>
              </w:object>
            </w:r>
          </w:p>
        </w:tc>
        <w:tc>
          <w:tcPr>
            <w:tcW w:w="4089" w:type="dxa"/>
            <w:noWrap w:val="0"/>
            <w:vAlign w:val="center"/>
          </w:tcPr>
          <w:p w14:paraId="3B78C9AE">
            <w:pPr>
              <w:jc w:val="center"/>
              <w:rPr>
                <w:rFonts w:eastAsia="楷体_GB2312"/>
                <w:kern w:val="0"/>
                <w:szCs w:val="21"/>
              </w:rPr>
            </w:pPr>
            <w:r>
              <w:rPr>
                <w:rFonts w:eastAsia="楷体_GB2312"/>
                <w:kern w:val="0"/>
                <w:szCs w:val="21"/>
              </w:rPr>
              <w:t>α=0.05，F=283.2405，t=27.4418，R=0.8413</w:t>
            </w:r>
          </w:p>
        </w:tc>
      </w:tr>
    </w:tbl>
    <w:p w14:paraId="662D400B">
      <w:pPr>
        <w:pStyle w:val="20"/>
        <w:spacing w:before="120" w:beforeLines="50" w:after="120" w:afterLines="50" w:line="240" w:lineRule="atLeast"/>
        <w:jc w:val="center"/>
        <w:rPr>
          <w:rFonts w:hint="eastAsia" w:ascii="Times New Roman" w:hAnsi="Times New Roman" w:eastAsia="黑体" w:cs="Times New Roman"/>
          <w:sz w:val="28"/>
        </w:rPr>
      </w:pPr>
    </w:p>
    <w:p w14:paraId="02890C28">
      <w:pPr>
        <w:pStyle w:val="20"/>
        <w:spacing w:before="120" w:beforeLines="50" w:after="120" w:afterLines="50" w:line="240" w:lineRule="atLeas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42</w:t>
      </w:r>
      <w:r>
        <w:rPr>
          <w:rFonts w:ascii="Times New Roman" w:hAnsi="Times New Roman" w:eastAsia="黑体" w:cs="Times New Roman"/>
          <w:sz w:val="28"/>
        </w:rPr>
        <w:t xml:space="preserve">  </w:t>
      </w:r>
      <w:r>
        <w:rPr>
          <w:rFonts w:hint="eastAsia" w:ascii="Times New Roman" w:hAnsi="Times New Roman" w:eastAsia="黑体" w:cs="Times New Roman"/>
          <w:sz w:val="28"/>
        </w:rPr>
        <w:t>解集镇</w:t>
      </w:r>
      <w:r>
        <w:rPr>
          <w:rFonts w:ascii="Times New Roman" w:hAnsi="Times New Roman" w:eastAsia="黑体" w:cs="Times New Roman"/>
          <w:sz w:val="28"/>
        </w:rPr>
        <w:t>样点地价与定级单元总分值模型测算结果表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1126E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1FB50D74">
            <w:pPr>
              <w:jc w:val="center"/>
              <w:rPr>
                <w:rFonts w:eastAsia="楷体_GB2312"/>
                <w:kern w:val="0"/>
                <w:szCs w:val="21"/>
              </w:rPr>
            </w:pPr>
            <w:r>
              <w:rPr>
                <w:rFonts w:eastAsia="楷体_GB2312"/>
                <w:kern w:val="0"/>
                <w:szCs w:val="21"/>
              </w:rPr>
              <w:t>用地类型</w:t>
            </w:r>
          </w:p>
        </w:tc>
        <w:tc>
          <w:tcPr>
            <w:tcW w:w="3617" w:type="dxa"/>
            <w:noWrap w:val="0"/>
            <w:vAlign w:val="center"/>
          </w:tcPr>
          <w:p w14:paraId="39476B3D">
            <w:pPr>
              <w:jc w:val="center"/>
              <w:rPr>
                <w:rFonts w:eastAsia="楷体_GB2312"/>
                <w:kern w:val="0"/>
                <w:szCs w:val="21"/>
              </w:rPr>
            </w:pPr>
            <w:r>
              <w:rPr>
                <w:rFonts w:eastAsia="楷体_GB2312"/>
                <w:kern w:val="0"/>
                <w:szCs w:val="21"/>
              </w:rPr>
              <w:t>模型数学表达式</w:t>
            </w:r>
          </w:p>
        </w:tc>
        <w:tc>
          <w:tcPr>
            <w:tcW w:w="4089" w:type="dxa"/>
            <w:noWrap w:val="0"/>
            <w:vAlign w:val="center"/>
          </w:tcPr>
          <w:p w14:paraId="60A4B1C5">
            <w:pPr>
              <w:jc w:val="center"/>
              <w:rPr>
                <w:rFonts w:eastAsia="楷体_GB2312"/>
                <w:kern w:val="0"/>
                <w:szCs w:val="21"/>
              </w:rPr>
            </w:pPr>
            <w:r>
              <w:rPr>
                <w:rFonts w:eastAsia="楷体_GB2312"/>
                <w:kern w:val="0"/>
                <w:szCs w:val="21"/>
              </w:rPr>
              <w:t>统计量检验</w:t>
            </w:r>
          </w:p>
        </w:tc>
      </w:tr>
      <w:tr w14:paraId="1824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1C9B6D88">
            <w:pPr>
              <w:jc w:val="center"/>
              <w:rPr>
                <w:rFonts w:eastAsia="楷体_GB2312"/>
                <w:kern w:val="0"/>
                <w:szCs w:val="21"/>
              </w:rPr>
            </w:pPr>
            <w:r>
              <w:rPr>
                <w:rFonts w:eastAsia="楷体_GB2312"/>
                <w:kern w:val="0"/>
                <w:szCs w:val="21"/>
              </w:rPr>
              <w:t>商服用地</w:t>
            </w:r>
          </w:p>
        </w:tc>
        <w:tc>
          <w:tcPr>
            <w:tcW w:w="3617" w:type="dxa"/>
            <w:noWrap w:val="0"/>
            <w:vAlign w:val="center"/>
          </w:tcPr>
          <w:p w14:paraId="24B0EE5F">
            <w:pPr>
              <w:jc w:val="center"/>
              <w:rPr>
                <w:rFonts w:eastAsia="楷体_GB2312"/>
                <w:kern w:val="0"/>
                <w:szCs w:val="21"/>
              </w:rPr>
            </w:pPr>
            <w:r>
              <w:rPr>
                <w:rFonts w:eastAsia="楷体_GB2312"/>
                <w:kern w:val="0"/>
                <w:szCs w:val="21"/>
              </w:rPr>
              <w:t>Yn =</w:t>
            </w:r>
            <w:r>
              <w:rPr>
                <w:rFonts w:eastAsia="楷体_GB2312"/>
                <w:szCs w:val="21"/>
              </w:rPr>
              <w:t xml:space="preserve"> </w:t>
            </w:r>
            <w:r>
              <w:rPr>
                <w:rFonts w:eastAsia="楷体_GB2312"/>
                <w:kern w:val="0"/>
                <w:szCs w:val="21"/>
              </w:rPr>
              <w:t>193.2056×（1+</w:t>
            </w:r>
            <w:r>
              <w:rPr>
                <w:rFonts w:eastAsia="楷体_GB2312"/>
                <w:szCs w:val="21"/>
              </w:rPr>
              <w:t>0.0170</w:t>
            </w:r>
            <w:r>
              <w:rPr>
                <w:rFonts w:eastAsia="楷体_GB2312"/>
                <w:kern w:val="0"/>
                <w:szCs w:val="21"/>
              </w:rPr>
              <w:t>）</w:t>
            </w:r>
            <w:r>
              <w:rPr>
                <w:rFonts w:eastAsia="楷体_GB2312"/>
                <w:kern w:val="0"/>
                <w:szCs w:val="21"/>
              </w:rPr>
              <w:object>
                <v:shape id="_x0000_i1197"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97" DrawAspect="Content" ObjectID="_1468075897" r:id="rId333">
                  <o:LockedField>false</o:LockedField>
                </o:OLEObject>
              </w:object>
            </w:r>
          </w:p>
        </w:tc>
        <w:tc>
          <w:tcPr>
            <w:tcW w:w="4089" w:type="dxa"/>
            <w:noWrap w:val="0"/>
            <w:vAlign w:val="center"/>
          </w:tcPr>
          <w:p w14:paraId="3DE793F8">
            <w:pPr>
              <w:jc w:val="center"/>
              <w:rPr>
                <w:rFonts w:eastAsia="楷体_GB2312"/>
                <w:kern w:val="0"/>
                <w:szCs w:val="21"/>
              </w:rPr>
            </w:pPr>
            <w:r>
              <w:rPr>
                <w:rFonts w:eastAsia="楷体_GB2312"/>
                <w:kern w:val="0"/>
                <w:szCs w:val="21"/>
              </w:rPr>
              <w:t>α=0.05，F=544.7513，t=34.6691</w:t>
            </w:r>
            <w:r>
              <w:rPr>
                <w:rFonts w:hint="eastAsia" w:eastAsia="楷体_GB2312"/>
                <w:kern w:val="0"/>
                <w:szCs w:val="21"/>
              </w:rPr>
              <w:t>，</w:t>
            </w:r>
            <w:r>
              <w:rPr>
                <w:rFonts w:eastAsia="楷体_GB2312"/>
                <w:kern w:val="0"/>
                <w:szCs w:val="21"/>
              </w:rPr>
              <w:t>R=0、8123</w:t>
            </w:r>
          </w:p>
        </w:tc>
      </w:tr>
      <w:tr w14:paraId="31D34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68415EBD">
            <w:pPr>
              <w:jc w:val="center"/>
              <w:rPr>
                <w:rFonts w:eastAsia="楷体_GB2312"/>
                <w:kern w:val="0"/>
                <w:szCs w:val="21"/>
              </w:rPr>
            </w:pPr>
            <w:r>
              <w:rPr>
                <w:rFonts w:eastAsia="楷体_GB2312"/>
                <w:kern w:val="0"/>
                <w:szCs w:val="21"/>
              </w:rPr>
              <w:t>住宅用地</w:t>
            </w:r>
          </w:p>
        </w:tc>
        <w:tc>
          <w:tcPr>
            <w:tcW w:w="3617" w:type="dxa"/>
            <w:noWrap w:val="0"/>
            <w:vAlign w:val="center"/>
          </w:tcPr>
          <w:p w14:paraId="241695B2">
            <w:pPr>
              <w:jc w:val="center"/>
              <w:rPr>
                <w:rFonts w:eastAsia="楷体_GB2312"/>
                <w:kern w:val="0"/>
                <w:szCs w:val="21"/>
              </w:rPr>
            </w:pPr>
            <w:r>
              <w:rPr>
                <w:rFonts w:eastAsia="楷体_GB2312"/>
                <w:kern w:val="0"/>
                <w:szCs w:val="21"/>
              </w:rPr>
              <w:t>Yn =</w:t>
            </w:r>
            <w:r>
              <w:rPr>
                <w:rFonts w:eastAsia="楷体_GB2312"/>
                <w:szCs w:val="21"/>
              </w:rPr>
              <w:t>133.9458</w:t>
            </w:r>
            <w:r>
              <w:rPr>
                <w:rFonts w:eastAsia="楷体_GB2312"/>
                <w:kern w:val="0"/>
                <w:szCs w:val="21"/>
              </w:rPr>
              <w:t>×（1+</w:t>
            </w:r>
            <w:r>
              <w:rPr>
                <w:rFonts w:eastAsia="楷体_GB2312"/>
                <w:szCs w:val="21"/>
              </w:rPr>
              <w:t xml:space="preserve"> </w:t>
            </w:r>
            <w:r>
              <w:rPr>
                <w:rFonts w:eastAsia="楷体_GB2312"/>
                <w:kern w:val="0"/>
                <w:szCs w:val="21"/>
              </w:rPr>
              <w:t>0.0155）</w:t>
            </w:r>
            <w:r>
              <w:rPr>
                <w:rFonts w:eastAsia="楷体_GB2312"/>
                <w:kern w:val="0"/>
                <w:szCs w:val="21"/>
              </w:rPr>
              <w:object>
                <v:shape id="_x0000_i1198"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98" DrawAspect="Content" ObjectID="_1468075898" r:id="rId334">
                  <o:LockedField>false</o:LockedField>
                </o:OLEObject>
              </w:object>
            </w:r>
          </w:p>
        </w:tc>
        <w:tc>
          <w:tcPr>
            <w:tcW w:w="4089" w:type="dxa"/>
            <w:noWrap w:val="0"/>
            <w:vAlign w:val="center"/>
          </w:tcPr>
          <w:p w14:paraId="2B479CD7">
            <w:pPr>
              <w:jc w:val="center"/>
              <w:rPr>
                <w:rFonts w:eastAsia="楷体_GB2312"/>
                <w:kern w:val="0"/>
                <w:szCs w:val="21"/>
              </w:rPr>
            </w:pPr>
            <w:r>
              <w:rPr>
                <w:rFonts w:eastAsia="楷体_GB2312"/>
                <w:kern w:val="0"/>
                <w:szCs w:val="21"/>
              </w:rPr>
              <w:t>α=0.05，F=293.7605，t=27.4578，R=0.8321</w:t>
            </w:r>
          </w:p>
        </w:tc>
      </w:tr>
    </w:tbl>
    <w:p w14:paraId="4A54C1EC">
      <w:pPr>
        <w:pStyle w:val="20"/>
        <w:spacing w:before="120" w:beforeLines="50" w:after="120" w:afterLines="50" w:line="240" w:lineRule="atLeas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43</w:t>
      </w:r>
      <w:r>
        <w:rPr>
          <w:rFonts w:ascii="Times New Roman" w:hAnsi="Times New Roman" w:eastAsia="黑体" w:cs="Times New Roman"/>
          <w:sz w:val="28"/>
        </w:rPr>
        <w:t xml:space="preserve">  </w:t>
      </w:r>
      <w:r>
        <w:rPr>
          <w:rFonts w:hint="eastAsia" w:ascii="Times New Roman" w:hAnsi="Times New Roman" w:eastAsia="黑体" w:cs="Times New Roman"/>
          <w:sz w:val="28"/>
        </w:rPr>
        <w:t>大泽乡镇</w:t>
      </w:r>
      <w:r>
        <w:rPr>
          <w:rFonts w:ascii="Times New Roman" w:hAnsi="Times New Roman" w:eastAsia="黑体" w:cs="Times New Roman"/>
          <w:sz w:val="28"/>
        </w:rPr>
        <w:t>样点地价与定级单元总分值模型测算结果表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62EF8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059B5D6F">
            <w:pPr>
              <w:jc w:val="center"/>
              <w:rPr>
                <w:rFonts w:eastAsia="楷体_GB2312"/>
                <w:kern w:val="0"/>
                <w:szCs w:val="21"/>
              </w:rPr>
            </w:pPr>
            <w:r>
              <w:rPr>
                <w:rFonts w:eastAsia="楷体_GB2312"/>
                <w:kern w:val="0"/>
                <w:szCs w:val="21"/>
              </w:rPr>
              <w:t>用地类型</w:t>
            </w:r>
          </w:p>
        </w:tc>
        <w:tc>
          <w:tcPr>
            <w:tcW w:w="3617" w:type="dxa"/>
            <w:noWrap w:val="0"/>
            <w:vAlign w:val="center"/>
          </w:tcPr>
          <w:p w14:paraId="3C98E332">
            <w:pPr>
              <w:jc w:val="center"/>
              <w:rPr>
                <w:rFonts w:eastAsia="楷体_GB2312"/>
                <w:kern w:val="0"/>
                <w:szCs w:val="21"/>
              </w:rPr>
            </w:pPr>
            <w:r>
              <w:rPr>
                <w:rFonts w:eastAsia="楷体_GB2312"/>
                <w:kern w:val="0"/>
                <w:szCs w:val="21"/>
              </w:rPr>
              <w:t>模型数学表达式</w:t>
            </w:r>
          </w:p>
        </w:tc>
        <w:tc>
          <w:tcPr>
            <w:tcW w:w="4089" w:type="dxa"/>
            <w:noWrap w:val="0"/>
            <w:vAlign w:val="center"/>
          </w:tcPr>
          <w:p w14:paraId="3E5AF9E5">
            <w:pPr>
              <w:jc w:val="center"/>
              <w:rPr>
                <w:rFonts w:eastAsia="楷体_GB2312"/>
                <w:kern w:val="0"/>
                <w:szCs w:val="21"/>
              </w:rPr>
            </w:pPr>
            <w:r>
              <w:rPr>
                <w:rFonts w:eastAsia="楷体_GB2312"/>
                <w:kern w:val="0"/>
                <w:szCs w:val="21"/>
              </w:rPr>
              <w:t>统计量检验</w:t>
            </w:r>
          </w:p>
        </w:tc>
      </w:tr>
      <w:tr w14:paraId="778A6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7D6E7685">
            <w:pPr>
              <w:jc w:val="center"/>
              <w:rPr>
                <w:rFonts w:eastAsia="楷体_GB2312"/>
                <w:kern w:val="0"/>
                <w:szCs w:val="21"/>
              </w:rPr>
            </w:pPr>
            <w:r>
              <w:rPr>
                <w:rFonts w:eastAsia="楷体_GB2312"/>
                <w:kern w:val="0"/>
                <w:szCs w:val="21"/>
              </w:rPr>
              <w:t>商服用地</w:t>
            </w:r>
          </w:p>
        </w:tc>
        <w:tc>
          <w:tcPr>
            <w:tcW w:w="3617" w:type="dxa"/>
            <w:noWrap w:val="0"/>
            <w:vAlign w:val="center"/>
          </w:tcPr>
          <w:p w14:paraId="18E79416">
            <w:pPr>
              <w:jc w:val="center"/>
              <w:rPr>
                <w:rFonts w:eastAsia="楷体_GB2312"/>
                <w:kern w:val="0"/>
                <w:szCs w:val="21"/>
              </w:rPr>
            </w:pPr>
            <w:r>
              <w:rPr>
                <w:rFonts w:eastAsia="楷体_GB2312"/>
                <w:kern w:val="0"/>
                <w:szCs w:val="21"/>
              </w:rPr>
              <w:t>Yn =</w:t>
            </w:r>
            <w:r>
              <w:rPr>
                <w:rFonts w:eastAsia="楷体_GB2312"/>
                <w:szCs w:val="21"/>
              </w:rPr>
              <w:t xml:space="preserve"> </w:t>
            </w:r>
            <w:r>
              <w:rPr>
                <w:rFonts w:eastAsia="楷体_GB2312"/>
                <w:kern w:val="0"/>
                <w:szCs w:val="21"/>
              </w:rPr>
              <w:t>206.1355×（1+</w:t>
            </w:r>
            <w:r>
              <w:rPr>
                <w:rFonts w:eastAsia="楷体_GB2312"/>
                <w:szCs w:val="21"/>
              </w:rPr>
              <w:t xml:space="preserve"> </w:t>
            </w:r>
            <w:r>
              <w:rPr>
                <w:rFonts w:eastAsia="楷体_GB2312"/>
                <w:kern w:val="0"/>
                <w:szCs w:val="21"/>
              </w:rPr>
              <w:t>0.0157）</w:t>
            </w:r>
            <w:r>
              <w:rPr>
                <w:rFonts w:eastAsia="楷体_GB2312"/>
                <w:kern w:val="0"/>
                <w:szCs w:val="21"/>
              </w:rPr>
              <w:object>
                <v:shape id="_x0000_i1199"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199" DrawAspect="Content" ObjectID="_1468075899" r:id="rId335">
                  <o:LockedField>false</o:LockedField>
                </o:OLEObject>
              </w:object>
            </w:r>
          </w:p>
        </w:tc>
        <w:tc>
          <w:tcPr>
            <w:tcW w:w="4089" w:type="dxa"/>
            <w:noWrap w:val="0"/>
            <w:vAlign w:val="center"/>
          </w:tcPr>
          <w:p w14:paraId="17C301CB">
            <w:pPr>
              <w:jc w:val="center"/>
              <w:rPr>
                <w:rFonts w:eastAsia="楷体_GB2312"/>
                <w:kern w:val="0"/>
                <w:szCs w:val="21"/>
              </w:rPr>
            </w:pPr>
            <w:r>
              <w:rPr>
                <w:rFonts w:eastAsia="楷体_GB2312"/>
                <w:kern w:val="0"/>
                <w:szCs w:val="21"/>
              </w:rPr>
              <w:t>α=0.05，F=450.4682，t=30.8620</w:t>
            </w:r>
            <w:r>
              <w:rPr>
                <w:rFonts w:hint="eastAsia" w:eastAsia="楷体_GB2312"/>
                <w:kern w:val="0"/>
                <w:szCs w:val="21"/>
              </w:rPr>
              <w:t>，</w:t>
            </w:r>
            <w:r>
              <w:rPr>
                <w:rFonts w:eastAsia="楷体_GB2312"/>
                <w:kern w:val="0"/>
                <w:szCs w:val="21"/>
              </w:rPr>
              <w:t>R=0、9435</w:t>
            </w:r>
          </w:p>
        </w:tc>
      </w:tr>
      <w:tr w14:paraId="640D6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2944C7AE">
            <w:pPr>
              <w:jc w:val="center"/>
              <w:rPr>
                <w:rFonts w:eastAsia="楷体_GB2312"/>
                <w:kern w:val="0"/>
                <w:szCs w:val="21"/>
              </w:rPr>
            </w:pPr>
            <w:r>
              <w:rPr>
                <w:rFonts w:eastAsia="楷体_GB2312"/>
                <w:kern w:val="0"/>
                <w:szCs w:val="21"/>
              </w:rPr>
              <w:t>住宅用地</w:t>
            </w:r>
          </w:p>
        </w:tc>
        <w:tc>
          <w:tcPr>
            <w:tcW w:w="3617" w:type="dxa"/>
            <w:noWrap w:val="0"/>
            <w:vAlign w:val="center"/>
          </w:tcPr>
          <w:p w14:paraId="0E397AF3">
            <w:pPr>
              <w:jc w:val="center"/>
              <w:rPr>
                <w:rFonts w:eastAsia="楷体_GB2312"/>
                <w:kern w:val="0"/>
                <w:szCs w:val="21"/>
              </w:rPr>
            </w:pPr>
            <w:r>
              <w:rPr>
                <w:rFonts w:eastAsia="楷体_GB2312"/>
                <w:kern w:val="0"/>
                <w:szCs w:val="21"/>
              </w:rPr>
              <w:t>Yn =</w:t>
            </w:r>
            <w:r>
              <w:rPr>
                <w:rFonts w:eastAsia="楷体_GB2312"/>
                <w:szCs w:val="21"/>
              </w:rPr>
              <w:t>140.2055</w:t>
            </w:r>
            <w:r>
              <w:rPr>
                <w:rFonts w:eastAsia="楷体_GB2312"/>
                <w:kern w:val="0"/>
                <w:szCs w:val="21"/>
              </w:rPr>
              <w:t>×（1+</w:t>
            </w:r>
            <w:r>
              <w:rPr>
                <w:rFonts w:eastAsia="楷体_GB2312"/>
                <w:szCs w:val="21"/>
              </w:rPr>
              <w:t xml:space="preserve"> </w:t>
            </w:r>
            <w:r>
              <w:rPr>
                <w:rFonts w:eastAsia="楷体_GB2312"/>
                <w:kern w:val="0"/>
                <w:szCs w:val="21"/>
              </w:rPr>
              <w:t>0.0145）</w:t>
            </w:r>
            <w:r>
              <w:rPr>
                <w:rFonts w:eastAsia="楷体_GB2312"/>
                <w:kern w:val="0"/>
                <w:szCs w:val="21"/>
              </w:rPr>
              <w:object>
                <v:shape id="_x0000_i1200"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200" DrawAspect="Content" ObjectID="_1468075900" r:id="rId336">
                  <o:LockedField>false</o:LockedField>
                </o:OLEObject>
              </w:object>
            </w:r>
          </w:p>
        </w:tc>
        <w:tc>
          <w:tcPr>
            <w:tcW w:w="4089" w:type="dxa"/>
            <w:noWrap w:val="0"/>
            <w:vAlign w:val="center"/>
          </w:tcPr>
          <w:p w14:paraId="5E0B00CB">
            <w:pPr>
              <w:jc w:val="center"/>
              <w:rPr>
                <w:rFonts w:eastAsia="楷体_GB2312"/>
                <w:kern w:val="0"/>
                <w:szCs w:val="21"/>
              </w:rPr>
            </w:pPr>
            <w:r>
              <w:rPr>
                <w:rFonts w:eastAsia="楷体_GB2312"/>
                <w:kern w:val="0"/>
                <w:szCs w:val="21"/>
              </w:rPr>
              <w:t>α=0.05，F=286.7022，t=25.4605，R=0.8463</w:t>
            </w:r>
          </w:p>
        </w:tc>
      </w:tr>
    </w:tbl>
    <w:p w14:paraId="36F32639">
      <w:pPr>
        <w:pStyle w:val="20"/>
        <w:spacing w:before="120" w:beforeLines="50" w:after="120" w:afterLines="50" w:line="240" w:lineRule="atLeas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44</w:t>
      </w:r>
      <w:r>
        <w:rPr>
          <w:rFonts w:ascii="Times New Roman" w:hAnsi="Times New Roman" w:eastAsia="黑体" w:cs="Times New Roman"/>
          <w:sz w:val="28"/>
        </w:rPr>
        <w:t xml:space="preserve">  </w:t>
      </w:r>
      <w:r>
        <w:rPr>
          <w:rFonts w:hint="eastAsia" w:ascii="Times New Roman" w:hAnsi="Times New Roman" w:eastAsia="黑体" w:cs="Times New Roman"/>
          <w:sz w:val="28"/>
        </w:rPr>
        <w:t>永安镇</w:t>
      </w:r>
      <w:r>
        <w:rPr>
          <w:rFonts w:ascii="Times New Roman" w:hAnsi="Times New Roman" w:eastAsia="黑体" w:cs="Times New Roman"/>
          <w:sz w:val="28"/>
        </w:rPr>
        <w:t>样点地价与定级单元总分值模型测算结果表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41BF1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111B9445">
            <w:pPr>
              <w:jc w:val="center"/>
              <w:rPr>
                <w:rFonts w:eastAsia="楷体_GB2312"/>
                <w:kern w:val="0"/>
                <w:szCs w:val="21"/>
              </w:rPr>
            </w:pPr>
            <w:r>
              <w:rPr>
                <w:rFonts w:eastAsia="楷体_GB2312"/>
                <w:kern w:val="0"/>
                <w:szCs w:val="21"/>
              </w:rPr>
              <w:t>用地类型</w:t>
            </w:r>
          </w:p>
        </w:tc>
        <w:tc>
          <w:tcPr>
            <w:tcW w:w="3617" w:type="dxa"/>
            <w:noWrap w:val="0"/>
            <w:vAlign w:val="center"/>
          </w:tcPr>
          <w:p w14:paraId="48556C73">
            <w:pPr>
              <w:jc w:val="center"/>
              <w:rPr>
                <w:rFonts w:eastAsia="楷体_GB2312"/>
                <w:kern w:val="0"/>
                <w:szCs w:val="21"/>
              </w:rPr>
            </w:pPr>
            <w:r>
              <w:rPr>
                <w:rFonts w:eastAsia="楷体_GB2312"/>
                <w:kern w:val="0"/>
                <w:szCs w:val="21"/>
              </w:rPr>
              <w:t>模型数学表达式</w:t>
            </w:r>
          </w:p>
        </w:tc>
        <w:tc>
          <w:tcPr>
            <w:tcW w:w="4089" w:type="dxa"/>
            <w:noWrap w:val="0"/>
            <w:vAlign w:val="center"/>
          </w:tcPr>
          <w:p w14:paraId="1E4F1800">
            <w:pPr>
              <w:jc w:val="center"/>
              <w:rPr>
                <w:rFonts w:eastAsia="楷体_GB2312"/>
                <w:kern w:val="0"/>
                <w:szCs w:val="21"/>
              </w:rPr>
            </w:pPr>
            <w:r>
              <w:rPr>
                <w:rFonts w:eastAsia="楷体_GB2312"/>
                <w:kern w:val="0"/>
                <w:szCs w:val="21"/>
              </w:rPr>
              <w:t>统计量检验</w:t>
            </w:r>
          </w:p>
        </w:tc>
      </w:tr>
      <w:tr w14:paraId="35D4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12486F38">
            <w:pPr>
              <w:jc w:val="center"/>
              <w:rPr>
                <w:rFonts w:eastAsia="楷体_GB2312"/>
                <w:kern w:val="0"/>
                <w:szCs w:val="21"/>
              </w:rPr>
            </w:pPr>
            <w:r>
              <w:rPr>
                <w:rFonts w:eastAsia="楷体_GB2312"/>
                <w:kern w:val="0"/>
                <w:szCs w:val="21"/>
              </w:rPr>
              <w:t>商服用地</w:t>
            </w:r>
          </w:p>
        </w:tc>
        <w:tc>
          <w:tcPr>
            <w:tcW w:w="3617" w:type="dxa"/>
            <w:noWrap w:val="0"/>
            <w:vAlign w:val="center"/>
          </w:tcPr>
          <w:p w14:paraId="3B801446">
            <w:pPr>
              <w:jc w:val="center"/>
              <w:rPr>
                <w:rFonts w:eastAsia="楷体_GB2312"/>
                <w:kern w:val="0"/>
                <w:szCs w:val="21"/>
              </w:rPr>
            </w:pPr>
            <w:r>
              <w:rPr>
                <w:rFonts w:eastAsia="楷体_GB2312"/>
                <w:color w:val="000000"/>
                <w:szCs w:val="21"/>
              </w:rPr>
              <w:t>Y</w:t>
            </w:r>
            <w:r>
              <w:rPr>
                <w:rFonts w:eastAsia="楷体_GB2312"/>
                <w:color w:val="000000"/>
                <w:szCs w:val="21"/>
                <w:vertAlign w:val="subscript"/>
              </w:rPr>
              <w:t>n</w:t>
            </w:r>
            <w:r>
              <w:rPr>
                <w:rFonts w:eastAsia="楷体_GB2312"/>
                <w:kern w:val="0"/>
                <w:szCs w:val="21"/>
              </w:rPr>
              <w:t xml:space="preserve"> =</w:t>
            </w:r>
            <w:r>
              <w:rPr>
                <w:rFonts w:eastAsia="楷体_GB2312"/>
                <w:szCs w:val="21"/>
              </w:rPr>
              <w:t xml:space="preserve"> </w:t>
            </w:r>
            <w:r>
              <w:rPr>
                <w:rFonts w:eastAsia="楷体_GB2312"/>
                <w:kern w:val="0"/>
                <w:szCs w:val="21"/>
              </w:rPr>
              <w:t>214.5623×（1+</w:t>
            </w:r>
            <w:r>
              <w:rPr>
                <w:rFonts w:eastAsia="楷体_GB2312"/>
                <w:szCs w:val="21"/>
              </w:rPr>
              <w:t xml:space="preserve"> </w:t>
            </w:r>
            <w:r>
              <w:rPr>
                <w:rFonts w:eastAsia="楷体_GB2312"/>
                <w:kern w:val="0"/>
                <w:szCs w:val="21"/>
              </w:rPr>
              <w:t>0.0151）</w:t>
            </w:r>
            <w:r>
              <w:rPr>
                <w:rFonts w:eastAsia="楷体_GB2312"/>
                <w:kern w:val="0"/>
                <w:szCs w:val="21"/>
              </w:rPr>
              <w:object>
                <v:shape id="_x0000_i1201"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201" DrawAspect="Content" ObjectID="_1468075901" r:id="rId337">
                  <o:LockedField>false</o:LockedField>
                </o:OLEObject>
              </w:object>
            </w:r>
          </w:p>
        </w:tc>
        <w:tc>
          <w:tcPr>
            <w:tcW w:w="4089" w:type="dxa"/>
            <w:noWrap w:val="0"/>
            <w:vAlign w:val="center"/>
          </w:tcPr>
          <w:p w14:paraId="1FF77CD9">
            <w:pPr>
              <w:jc w:val="center"/>
              <w:rPr>
                <w:rFonts w:eastAsia="楷体_GB2312"/>
                <w:kern w:val="0"/>
                <w:szCs w:val="21"/>
              </w:rPr>
            </w:pPr>
            <w:r>
              <w:rPr>
                <w:rFonts w:eastAsia="楷体_GB2312"/>
                <w:kern w:val="0"/>
                <w:szCs w:val="21"/>
              </w:rPr>
              <w:t>α=0.05，F=376.1582，t=36.7828</w:t>
            </w:r>
            <w:r>
              <w:rPr>
                <w:rFonts w:hint="eastAsia" w:eastAsia="楷体_GB2312"/>
                <w:kern w:val="0"/>
                <w:szCs w:val="21"/>
              </w:rPr>
              <w:t>，</w:t>
            </w:r>
            <w:r>
              <w:rPr>
                <w:rFonts w:eastAsia="楷体_GB2312"/>
                <w:kern w:val="0"/>
                <w:szCs w:val="21"/>
              </w:rPr>
              <w:t>R=0、9232</w:t>
            </w:r>
          </w:p>
        </w:tc>
      </w:tr>
      <w:tr w14:paraId="3BF8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4AB0B6C7">
            <w:pPr>
              <w:jc w:val="center"/>
              <w:rPr>
                <w:rFonts w:eastAsia="楷体_GB2312"/>
                <w:kern w:val="0"/>
                <w:szCs w:val="21"/>
              </w:rPr>
            </w:pPr>
            <w:r>
              <w:rPr>
                <w:rFonts w:eastAsia="楷体_GB2312"/>
                <w:kern w:val="0"/>
                <w:szCs w:val="21"/>
              </w:rPr>
              <w:t>住宅用地</w:t>
            </w:r>
          </w:p>
        </w:tc>
        <w:tc>
          <w:tcPr>
            <w:tcW w:w="3617" w:type="dxa"/>
            <w:noWrap w:val="0"/>
            <w:vAlign w:val="center"/>
          </w:tcPr>
          <w:p w14:paraId="63330814">
            <w:pPr>
              <w:jc w:val="center"/>
              <w:rPr>
                <w:rFonts w:eastAsia="楷体_GB2312"/>
                <w:kern w:val="0"/>
                <w:szCs w:val="21"/>
              </w:rPr>
            </w:pPr>
            <w:r>
              <w:rPr>
                <w:rFonts w:eastAsia="楷体_GB2312"/>
                <w:color w:val="000000"/>
                <w:szCs w:val="21"/>
              </w:rPr>
              <w:t>Y</w:t>
            </w:r>
            <w:r>
              <w:rPr>
                <w:rFonts w:eastAsia="楷体_GB2312"/>
                <w:color w:val="000000"/>
                <w:szCs w:val="21"/>
                <w:vertAlign w:val="subscript"/>
              </w:rPr>
              <w:t>n</w:t>
            </w:r>
            <w:r>
              <w:rPr>
                <w:rFonts w:eastAsia="楷体_GB2312"/>
                <w:kern w:val="0"/>
                <w:szCs w:val="21"/>
              </w:rPr>
              <w:t xml:space="preserve"> =</w:t>
            </w:r>
            <w:r>
              <w:rPr>
                <w:rFonts w:eastAsia="楷体_GB2312"/>
                <w:szCs w:val="21"/>
              </w:rPr>
              <w:t xml:space="preserve"> </w:t>
            </w:r>
            <w:r>
              <w:rPr>
                <w:rFonts w:eastAsia="楷体_GB2312"/>
                <w:kern w:val="0"/>
                <w:szCs w:val="21"/>
              </w:rPr>
              <w:t>146.1005×（1+</w:t>
            </w:r>
            <w:r>
              <w:rPr>
                <w:rFonts w:eastAsia="楷体_GB2312"/>
                <w:szCs w:val="21"/>
              </w:rPr>
              <w:t xml:space="preserve"> </w:t>
            </w:r>
            <w:r>
              <w:rPr>
                <w:rFonts w:eastAsia="楷体_GB2312"/>
                <w:kern w:val="0"/>
                <w:szCs w:val="21"/>
              </w:rPr>
              <w:t>0.0138）</w:t>
            </w:r>
            <w:r>
              <w:rPr>
                <w:rFonts w:eastAsia="楷体_GB2312"/>
                <w:kern w:val="0"/>
                <w:szCs w:val="21"/>
              </w:rPr>
              <w:object>
                <v:shape id="_x0000_i1202"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202" DrawAspect="Content" ObjectID="_1468075902" r:id="rId338">
                  <o:LockedField>false</o:LockedField>
                </o:OLEObject>
              </w:object>
            </w:r>
          </w:p>
        </w:tc>
        <w:tc>
          <w:tcPr>
            <w:tcW w:w="4089" w:type="dxa"/>
            <w:noWrap w:val="0"/>
            <w:vAlign w:val="center"/>
          </w:tcPr>
          <w:p w14:paraId="3F6C8CF5">
            <w:pPr>
              <w:jc w:val="center"/>
              <w:rPr>
                <w:rFonts w:eastAsia="楷体_GB2312"/>
                <w:kern w:val="0"/>
                <w:szCs w:val="21"/>
              </w:rPr>
            </w:pPr>
            <w:r>
              <w:rPr>
                <w:rFonts w:eastAsia="楷体_GB2312"/>
                <w:kern w:val="0"/>
                <w:szCs w:val="21"/>
              </w:rPr>
              <w:t>α=0.05，F=245.7633，t=20.4475，R=0.8466</w:t>
            </w:r>
          </w:p>
        </w:tc>
      </w:tr>
    </w:tbl>
    <w:p w14:paraId="7F86504A">
      <w:pPr>
        <w:pStyle w:val="20"/>
        <w:spacing w:before="120" w:beforeLines="50" w:after="120" w:afterLines="50" w:line="240" w:lineRule="atLeas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45</w:t>
      </w:r>
      <w:r>
        <w:rPr>
          <w:rFonts w:ascii="Times New Roman" w:hAnsi="Times New Roman" w:eastAsia="黑体" w:cs="Times New Roman"/>
          <w:sz w:val="28"/>
        </w:rPr>
        <w:t xml:space="preserve">  </w:t>
      </w:r>
      <w:r>
        <w:rPr>
          <w:rFonts w:hint="eastAsia" w:ascii="Times New Roman" w:hAnsi="Times New Roman" w:eastAsia="黑体" w:cs="Times New Roman"/>
          <w:sz w:val="28"/>
        </w:rPr>
        <w:t>支河乡</w:t>
      </w:r>
      <w:r>
        <w:rPr>
          <w:rFonts w:ascii="Times New Roman" w:hAnsi="Times New Roman" w:eastAsia="黑体" w:cs="Times New Roman"/>
          <w:sz w:val="28"/>
        </w:rPr>
        <w:t>样点地价与定级单元总分值模型测算结果表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7268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08E878A9">
            <w:pPr>
              <w:jc w:val="center"/>
              <w:rPr>
                <w:rFonts w:eastAsia="楷体_GB2312"/>
                <w:kern w:val="0"/>
                <w:szCs w:val="21"/>
              </w:rPr>
            </w:pPr>
            <w:r>
              <w:rPr>
                <w:rFonts w:eastAsia="楷体_GB2312"/>
                <w:kern w:val="0"/>
                <w:szCs w:val="21"/>
              </w:rPr>
              <w:t>用地类型</w:t>
            </w:r>
          </w:p>
        </w:tc>
        <w:tc>
          <w:tcPr>
            <w:tcW w:w="3617" w:type="dxa"/>
            <w:noWrap w:val="0"/>
            <w:vAlign w:val="center"/>
          </w:tcPr>
          <w:p w14:paraId="6F4C64E7">
            <w:pPr>
              <w:jc w:val="center"/>
              <w:rPr>
                <w:rFonts w:eastAsia="楷体_GB2312"/>
                <w:kern w:val="0"/>
                <w:szCs w:val="21"/>
              </w:rPr>
            </w:pPr>
            <w:r>
              <w:rPr>
                <w:rFonts w:eastAsia="楷体_GB2312"/>
                <w:kern w:val="0"/>
                <w:szCs w:val="21"/>
              </w:rPr>
              <w:t>模型数学表达式</w:t>
            </w:r>
          </w:p>
        </w:tc>
        <w:tc>
          <w:tcPr>
            <w:tcW w:w="4089" w:type="dxa"/>
            <w:noWrap w:val="0"/>
            <w:vAlign w:val="center"/>
          </w:tcPr>
          <w:p w14:paraId="31129085">
            <w:pPr>
              <w:jc w:val="center"/>
              <w:rPr>
                <w:rFonts w:eastAsia="楷体_GB2312"/>
                <w:kern w:val="0"/>
                <w:szCs w:val="21"/>
              </w:rPr>
            </w:pPr>
            <w:r>
              <w:rPr>
                <w:rFonts w:eastAsia="楷体_GB2312"/>
                <w:kern w:val="0"/>
                <w:szCs w:val="21"/>
              </w:rPr>
              <w:t>统计量检验</w:t>
            </w:r>
          </w:p>
        </w:tc>
      </w:tr>
      <w:tr w14:paraId="53ADF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6E3C63BB">
            <w:pPr>
              <w:jc w:val="center"/>
              <w:rPr>
                <w:rFonts w:eastAsia="楷体_GB2312"/>
                <w:kern w:val="0"/>
                <w:szCs w:val="21"/>
              </w:rPr>
            </w:pPr>
            <w:r>
              <w:rPr>
                <w:rFonts w:eastAsia="楷体_GB2312"/>
                <w:kern w:val="0"/>
                <w:szCs w:val="21"/>
              </w:rPr>
              <w:t>商服用地</w:t>
            </w:r>
          </w:p>
        </w:tc>
        <w:tc>
          <w:tcPr>
            <w:tcW w:w="3617" w:type="dxa"/>
            <w:noWrap w:val="0"/>
            <w:vAlign w:val="center"/>
          </w:tcPr>
          <w:p w14:paraId="15A452AB">
            <w:pPr>
              <w:jc w:val="center"/>
              <w:rPr>
                <w:rFonts w:eastAsia="楷体_GB2312"/>
                <w:kern w:val="0"/>
                <w:szCs w:val="21"/>
              </w:rPr>
            </w:pPr>
            <w:r>
              <w:rPr>
                <w:rFonts w:eastAsia="楷体_GB2312"/>
                <w:kern w:val="0"/>
                <w:szCs w:val="21"/>
              </w:rPr>
              <w:t>Yn =196.5233×（1+0.0116）</w:t>
            </w:r>
            <w:r>
              <w:rPr>
                <w:rFonts w:eastAsia="楷体_GB2312"/>
                <w:kern w:val="0"/>
                <w:szCs w:val="21"/>
              </w:rPr>
              <w:object>
                <v:shape id="_x0000_i1203"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203" DrawAspect="Content" ObjectID="_1468075903" r:id="rId339">
                  <o:LockedField>false</o:LockedField>
                </o:OLEObject>
              </w:object>
            </w:r>
          </w:p>
        </w:tc>
        <w:tc>
          <w:tcPr>
            <w:tcW w:w="4089" w:type="dxa"/>
            <w:noWrap w:val="0"/>
            <w:vAlign w:val="center"/>
          </w:tcPr>
          <w:p w14:paraId="390A688B">
            <w:pPr>
              <w:jc w:val="center"/>
              <w:rPr>
                <w:rFonts w:eastAsia="楷体_GB2312"/>
                <w:kern w:val="0"/>
                <w:szCs w:val="21"/>
              </w:rPr>
            </w:pPr>
            <w:r>
              <w:rPr>
                <w:rFonts w:eastAsia="楷体_GB2312"/>
                <w:kern w:val="0"/>
                <w:szCs w:val="21"/>
              </w:rPr>
              <w:t>α=0.05，F=501.4675，t=29.7603</w:t>
            </w:r>
            <w:r>
              <w:rPr>
                <w:rFonts w:hint="eastAsia" w:eastAsia="楷体_GB2312"/>
                <w:kern w:val="0"/>
                <w:szCs w:val="21"/>
              </w:rPr>
              <w:t>，</w:t>
            </w:r>
            <w:r>
              <w:rPr>
                <w:rFonts w:eastAsia="楷体_GB2312"/>
                <w:kern w:val="0"/>
                <w:szCs w:val="21"/>
              </w:rPr>
              <w:t>R=0、8399</w:t>
            </w:r>
          </w:p>
        </w:tc>
      </w:tr>
      <w:tr w14:paraId="2454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3B9339F5">
            <w:pPr>
              <w:jc w:val="center"/>
              <w:rPr>
                <w:rFonts w:eastAsia="楷体_GB2312"/>
                <w:kern w:val="0"/>
                <w:szCs w:val="21"/>
              </w:rPr>
            </w:pPr>
            <w:r>
              <w:rPr>
                <w:rFonts w:eastAsia="楷体_GB2312"/>
                <w:kern w:val="0"/>
                <w:szCs w:val="21"/>
              </w:rPr>
              <w:t>住宅用地</w:t>
            </w:r>
          </w:p>
        </w:tc>
        <w:tc>
          <w:tcPr>
            <w:tcW w:w="3617" w:type="dxa"/>
            <w:noWrap w:val="0"/>
            <w:vAlign w:val="center"/>
          </w:tcPr>
          <w:p w14:paraId="3DDFF3E1">
            <w:pPr>
              <w:jc w:val="center"/>
              <w:rPr>
                <w:rFonts w:eastAsia="楷体_GB2312"/>
                <w:kern w:val="0"/>
                <w:szCs w:val="21"/>
              </w:rPr>
            </w:pPr>
            <w:r>
              <w:rPr>
                <w:rFonts w:eastAsia="楷体_GB2312"/>
                <w:kern w:val="0"/>
                <w:szCs w:val="21"/>
              </w:rPr>
              <w:t>Yn =138.0562×（1+0.0111）</w:t>
            </w:r>
            <w:r>
              <w:rPr>
                <w:rFonts w:eastAsia="楷体_GB2312"/>
                <w:kern w:val="0"/>
                <w:szCs w:val="21"/>
              </w:rPr>
              <w:object>
                <v:shape id="_x0000_i1204"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204" DrawAspect="Content" ObjectID="_1468075904" r:id="rId340">
                  <o:LockedField>false</o:LockedField>
                </o:OLEObject>
              </w:object>
            </w:r>
          </w:p>
        </w:tc>
        <w:tc>
          <w:tcPr>
            <w:tcW w:w="4089" w:type="dxa"/>
            <w:noWrap w:val="0"/>
            <w:vAlign w:val="center"/>
          </w:tcPr>
          <w:p w14:paraId="539EA614">
            <w:pPr>
              <w:jc w:val="center"/>
              <w:rPr>
                <w:rFonts w:eastAsia="楷体_GB2312"/>
                <w:kern w:val="0"/>
                <w:szCs w:val="21"/>
              </w:rPr>
            </w:pPr>
            <w:r>
              <w:rPr>
                <w:rFonts w:eastAsia="楷体_GB2312"/>
                <w:kern w:val="0"/>
                <w:szCs w:val="21"/>
              </w:rPr>
              <w:t>α=0.05，F=268.7373，t=28.7822，R=0.8546</w:t>
            </w:r>
          </w:p>
        </w:tc>
      </w:tr>
    </w:tbl>
    <w:p w14:paraId="13A9D943">
      <w:pPr>
        <w:pStyle w:val="20"/>
        <w:spacing w:before="120" w:beforeLines="50" w:after="120" w:afterLines="50" w:line="240" w:lineRule="atLeas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46</w:t>
      </w:r>
      <w:r>
        <w:rPr>
          <w:rFonts w:ascii="Times New Roman" w:hAnsi="Times New Roman" w:eastAsia="黑体" w:cs="Times New Roman"/>
          <w:sz w:val="28"/>
        </w:rPr>
        <w:t xml:space="preserve">  </w:t>
      </w:r>
      <w:r>
        <w:rPr>
          <w:rFonts w:hint="eastAsia" w:ascii="Times New Roman" w:hAnsi="Times New Roman" w:eastAsia="黑体" w:cs="Times New Roman"/>
          <w:sz w:val="28"/>
        </w:rPr>
        <w:t>灰古镇</w:t>
      </w:r>
      <w:r>
        <w:rPr>
          <w:rFonts w:ascii="Times New Roman" w:hAnsi="Times New Roman" w:eastAsia="黑体" w:cs="Times New Roman"/>
          <w:sz w:val="28"/>
        </w:rPr>
        <w:t>样点地价与定级单元总分值模型测算结果表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3AA9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6A55FAF7">
            <w:pPr>
              <w:jc w:val="center"/>
              <w:rPr>
                <w:rFonts w:eastAsia="楷体_GB2312"/>
                <w:kern w:val="0"/>
                <w:szCs w:val="21"/>
              </w:rPr>
            </w:pPr>
            <w:r>
              <w:rPr>
                <w:rFonts w:eastAsia="楷体_GB2312"/>
                <w:kern w:val="0"/>
                <w:szCs w:val="21"/>
              </w:rPr>
              <w:t>用地类型</w:t>
            </w:r>
          </w:p>
        </w:tc>
        <w:tc>
          <w:tcPr>
            <w:tcW w:w="3617" w:type="dxa"/>
            <w:noWrap w:val="0"/>
            <w:vAlign w:val="center"/>
          </w:tcPr>
          <w:p w14:paraId="2B5D8869">
            <w:pPr>
              <w:jc w:val="center"/>
              <w:rPr>
                <w:rFonts w:eastAsia="楷体_GB2312"/>
                <w:kern w:val="0"/>
                <w:szCs w:val="21"/>
              </w:rPr>
            </w:pPr>
            <w:r>
              <w:rPr>
                <w:rFonts w:eastAsia="楷体_GB2312"/>
                <w:kern w:val="0"/>
                <w:szCs w:val="21"/>
              </w:rPr>
              <w:t>模型数学表达式</w:t>
            </w:r>
          </w:p>
        </w:tc>
        <w:tc>
          <w:tcPr>
            <w:tcW w:w="4089" w:type="dxa"/>
            <w:noWrap w:val="0"/>
            <w:vAlign w:val="center"/>
          </w:tcPr>
          <w:p w14:paraId="4E906CFA">
            <w:pPr>
              <w:jc w:val="center"/>
              <w:rPr>
                <w:rFonts w:eastAsia="楷体_GB2312"/>
                <w:kern w:val="0"/>
                <w:szCs w:val="21"/>
              </w:rPr>
            </w:pPr>
            <w:r>
              <w:rPr>
                <w:rFonts w:eastAsia="楷体_GB2312"/>
                <w:kern w:val="0"/>
                <w:szCs w:val="21"/>
              </w:rPr>
              <w:t>统计量检验</w:t>
            </w:r>
          </w:p>
        </w:tc>
      </w:tr>
      <w:tr w14:paraId="691D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3E4AA917">
            <w:pPr>
              <w:jc w:val="center"/>
              <w:rPr>
                <w:rFonts w:eastAsia="楷体_GB2312"/>
                <w:kern w:val="0"/>
                <w:szCs w:val="21"/>
              </w:rPr>
            </w:pPr>
            <w:r>
              <w:rPr>
                <w:rFonts w:eastAsia="楷体_GB2312"/>
                <w:kern w:val="0"/>
                <w:szCs w:val="21"/>
              </w:rPr>
              <w:t>商服用地</w:t>
            </w:r>
          </w:p>
        </w:tc>
        <w:tc>
          <w:tcPr>
            <w:tcW w:w="3617" w:type="dxa"/>
            <w:noWrap w:val="0"/>
            <w:vAlign w:val="center"/>
          </w:tcPr>
          <w:p w14:paraId="703EBEA8">
            <w:pPr>
              <w:jc w:val="center"/>
              <w:rPr>
                <w:rFonts w:eastAsia="楷体_GB2312"/>
                <w:kern w:val="0"/>
                <w:szCs w:val="21"/>
              </w:rPr>
            </w:pPr>
            <w:r>
              <w:rPr>
                <w:rFonts w:eastAsia="楷体_GB2312"/>
                <w:kern w:val="0"/>
                <w:szCs w:val="21"/>
              </w:rPr>
              <w:t>Yn = 179.8411×（1+ 0.0115）</w:t>
            </w:r>
            <w:r>
              <w:rPr>
                <w:rFonts w:eastAsia="楷体_GB2312"/>
                <w:kern w:val="0"/>
                <w:szCs w:val="21"/>
              </w:rPr>
              <w:object>
                <v:shape id="_x0000_i1205"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205" DrawAspect="Content" ObjectID="_1468075905" r:id="rId341">
                  <o:LockedField>false</o:LockedField>
                </o:OLEObject>
              </w:object>
            </w:r>
          </w:p>
        </w:tc>
        <w:tc>
          <w:tcPr>
            <w:tcW w:w="4089" w:type="dxa"/>
            <w:noWrap w:val="0"/>
            <w:vAlign w:val="center"/>
          </w:tcPr>
          <w:p w14:paraId="66BF3574">
            <w:pPr>
              <w:jc w:val="center"/>
              <w:rPr>
                <w:rFonts w:eastAsia="楷体_GB2312"/>
                <w:kern w:val="0"/>
                <w:szCs w:val="21"/>
              </w:rPr>
            </w:pPr>
            <w:r>
              <w:rPr>
                <w:rFonts w:eastAsia="楷体_GB2312"/>
                <w:kern w:val="0"/>
                <w:szCs w:val="21"/>
              </w:rPr>
              <w:t>α=0.05，F=476.5578，t=36.5935</w:t>
            </w:r>
            <w:r>
              <w:rPr>
                <w:rFonts w:hint="eastAsia" w:eastAsia="楷体_GB2312"/>
                <w:kern w:val="0"/>
                <w:szCs w:val="21"/>
              </w:rPr>
              <w:t>，</w:t>
            </w:r>
            <w:r>
              <w:rPr>
                <w:rFonts w:eastAsia="楷体_GB2312"/>
                <w:kern w:val="0"/>
                <w:szCs w:val="21"/>
              </w:rPr>
              <w:t>R=0、8297</w:t>
            </w:r>
          </w:p>
        </w:tc>
      </w:tr>
      <w:tr w14:paraId="3A6CF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7BC0D587">
            <w:pPr>
              <w:jc w:val="center"/>
              <w:rPr>
                <w:rFonts w:eastAsia="楷体_GB2312"/>
                <w:kern w:val="0"/>
                <w:szCs w:val="21"/>
              </w:rPr>
            </w:pPr>
            <w:r>
              <w:rPr>
                <w:rFonts w:eastAsia="楷体_GB2312"/>
                <w:kern w:val="0"/>
                <w:szCs w:val="21"/>
              </w:rPr>
              <w:t>住宅用地</w:t>
            </w:r>
          </w:p>
        </w:tc>
        <w:tc>
          <w:tcPr>
            <w:tcW w:w="3617" w:type="dxa"/>
            <w:noWrap w:val="0"/>
            <w:vAlign w:val="center"/>
          </w:tcPr>
          <w:p w14:paraId="6D44CDD7">
            <w:pPr>
              <w:jc w:val="center"/>
              <w:rPr>
                <w:rFonts w:eastAsia="楷体_GB2312"/>
                <w:kern w:val="0"/>
                <w:szCs w:val="21"/>
              </w:rPr>
            </w:pPr>
            <w:r>
              <w:rPr>
                <w:rFonts w:eastAsia="楷体_GB2312"/>
                <w:kern w:val="0"/>
                <w:szCs w:val="21"/>
              </w:rPr>
              <w:t>Yn = 124.2503×（1+0.011）</w:t>
            </w:r>
            <w:r>
              <w:rPr>
                <w:rFonts w:eastAsia="楷体_GB2312"/>
                <w:kern w:val="0"/>
                <w:szCs w:val="21"/>
              </w:rPr>
              <w:object>
                <v:shape id="_x0000_i1206"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206" DrawAspect="Content" ObjectID="_1468075906" r:id="rId342">
                  <o:LockedField>false</o:LockedField>
                </o:OLEObject>
              </w:object>
            </w:r>
          </w:p>
        </w:tc>
        <w:tc>
          <w:tcPr>
            <w:tcW w:w="4089" w:type="dxa"/>
            <w:noWrap w:val="0"/>
            <w:vAlign w:val="center"/>
          </w:tcPr>
          <w:p w14:paraId="50F724B6">
            <w:pPr>
              <w:jc w:val="center"/>
              <w:rPr>
                <w:rFonts w:eastAsia="楷体_GB2312"/>
                <w:kern w:val="0"/>
                <w:szCs w:val="21"/>
              </w:rPr>
            </w:pPr>
            <w:r>
              <w:rPr>
                <w:rFonts w:eastAsia="楷体_GB2312"/>
                <w:kern w:val="0"/>
                <w:szCs w:val="21"/>
              </w:rPr>
              <w:t>α=0.05，F=285.6941，t=26.2545，R=0.8468</w:t>
            </w:r>
          </w:p>
        </w:tc>
      </w:tr>
    </w:tbl>
    <w:p w14:paraId="191EE708">
      <w:pPr>
        <w:pStyle w:val="20"/>
        <w:spacing w:before="120" w:beforeLines="50" w:after="120" w:afterLines="50" w:line="240" w:lineRule="atLeas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47</w:t>
      </w:r>
      <w:r>
        <w:rPr>
          <w:rFonts w:ascii="Times New Roman" w:hAnsi="Times New Roman" w:eastAsia="黑体" w:cs="Times New Roman"/>
          <w:sz w:val="28"/>
        </w:rPr>
        <w:t xml:space="preserve">  </w:t>
      </w:r>
      <w:r>
        <w:rPr>
          <w:rFonts w:hint="eastAsia" w:ascii="Times New Roman" w:hAnsi="Times New Roman" w:eastAsia="黑体" w:cs="Times New Roman"/>
          <w:sz w:val="28"/>
        </w:rPr>
        <w:t>桃沟乡</w:t>
      </w:r>
      <w:r>
        <w:rPr>
          <w:rFonts w:ascii="Times New Roman" w:hAnsi="Times New Roman" w:eastAsia="黑体" w:cs="Times New Roman"/>
          <w:sz w:val="28"/>
        </w:rPr>
        <w:t>样点地价与定级单元总分值模型测算结果表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3617"/>
        <w:gridCol w:w="4089"/>
      </w:tblGrid>
      <w:tr w14:paraId="63EF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59EB6F09">
            <w:pPr>
              <w:jc w:val="center"/>
              <w:rPr>
                <w:rFonts w:eastAsia="楷体_GB2312"/>
                <w:kern w:val="0"/>
                <w:szCs w:val="21"/>
              </w:rPr>
            </w:pPr>
            <w:r>
              <w:rPr>
                <w:rFonts w:eastAsia="楷体_GB2312"/>
                <w:kern w:val="0"/>
                <w:szCs w:val="21"/>
              </w:rPr>
              <w:t>用地类型</w:t>
            </w:r>
          </w:p>
        </w:tc>
        <w:tc>
          <w:tcPr>
            <w:tcW w:w="3617" w:type="dxa"/>
            <w:noWrap w:val="0"/>
            <w:vAlign w:val="center"/>
          </w:tcPr>
          <w:p w14:paraId="3D7214D8">
            <w:pPr>
              <w:jc w:val="center"/>
              <w:rPr>
                <w:rFonts w:eastAsia="楷体_GB2312"/>
                <w:kern w:val="0"/>
                <w:szCs w:val="21"/>
              </w:rPr>
            </w:pPr>
            <w:r>
              <w:rPr>
                <w:rFonts w:eastAsia="楷体_GB2312"/>
                <w:kern w:val="0"/>
                <w:szCs w:val="21"/>
              </w:rPr>
              <w:t>模型数学表达式</w:t>
            </w:r>
          </w:p>
        </w:tc>
        <w:tc>
          <w:tcPr>
            <w:tcW w:w="4089" w:type="dxa"/>
            <w:noWrap w:val="0"/>
            <w:vAlign w:val="center"/>
          </w:tcPr>
          <w:p w14:paraId="57676A9C">
            <w:pPr>
              <w:jc w:val="center"/>
              <w:rPr>
                <w:rFonts w:eastAsia="楷体_GB2312"/>
                <w:kern w:val="0"/>
                <w:szCs w:val="21"/>
              </w:rPr>
            </w:pPr>
            <w:r>
              <w:rPr>
                <w:rFonts w:eastAsia="楷体_GB2312"/>
                <w:kern w:val="0"/>
                <w:szCs w:val="21"/>
              </w:rPr>
              <w:t>统计量检验</w:t>
            </w:r>
          </w:p>
        </w:tc>
      </w:tr>
      <w:tr w14:paraId="7E8E9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002416F5">
            <w:pPr>
              <w:jc w:val="center"/>
              <w:rPr>
                <w:rFonts w:eastAsia="楷体_GB2312"/>
                <w:kern w:val="0"/>
                <w:szCs w:val="21"/>
              </w:rPr>
            </w:pPr>
            <w:r>
              <w:rPr>
                <w:rFonts w:eastAsia="楷体_GB2312"/>
                <w:kern w:val="0"/>
                <w:szCs w:val="21"/>
              </w:rPr>
              <w:t>商服用地</w:t>
            </w:r>
          </w:p>
        </w:tc>
        <w:tc>
          <w:tcPr>
            <w:tcW w:w="3617" w:type="dxa"/>
            <w:noWrap w:val="0"/>
            <w:vAlign w:val="center"/>
          </w:tcPr>
          <w:p w14:paraId="505FC4A7">
            <w:pPr>
              <w:jc w:val="center"/>
              <w:rPr>
                <w:rFonts w:eastAsia="楷体_GB2312"/>
                <w:kern w:val="0"/>
                <w:szCs w:val="21"/>
              </w:rPr>
            </w:pPr>
            <w:r>
              <w:rPr>
                <w:rFonts w:eastAsia="楷体_GB2312"/>
                <w:kern w:val="0"/>
                <w:szCs w:val="21"/>
              </w:rPr>
              <w:t>Yn =175.5322×（1+0.0118）</w:t>
            </w:r>
            <w:r>
              <w:rPr>
                <w:rFonts w:eastAsia="楷体_GB2312"/>
                <w:kern w:val="0"/>
                <w:szCs w:val="21"/>
              </w:rPr>
              <w:object>
                <v:shape id="_x0000_i1207"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207" DrawAspect="Content" ObjectID="_1468075907" r:id="rId343">
                  <o:LockedField>false</o:LockedField>
                </o:OLEObject>
              </w:object>
            </w:r>
          </w:p>
        </w:tc>
        <w:tc>
          <w:tcPr>
            <w:tcW w:w="4089" w:type="dxa"/>
            <w:noWrap w:val="0"/>
            <w:vAlign w:val="center"/>
          </w:tcPr>
          <w:p w14:paraId="31587D4B">
            <w:pPr>
              <w:jc w:val="center"/>
              <w:rPr>
                <w:rFonts w:eastAsia="楷体_GB2312"/>
                <w:kern w:val="0"/>
                <w:szCs w:val="21"/>
              </w:rPr>
            </w:pPr>
            <w:r>
              <w:rPr>
                <w:rFonts w:eastAsia="楷体_GB2312"/>
                <w:kern w:val="0"/>
                <w:szCs w:val="21"/>
              </w:rPr>
              <w:t>α=0.05，F=576.4965，t=29.4958</w:t>
            </w:r>
            <w:r>
              <w:rPr>
                <w:rFonts w:hint="eastAsia" w:eastAsia="楷体_GB2312"/>
                <w:kern w:val="0"/>
                <w:szCs w:val="21"/>
              </w:rPr>
              <w:t>，</w:t>
            </w:r>
            <w:r>
              <w:rPr>
                <w:rFonts w:eastAsia="楷体_GB2312"/>
                <w:kern w:val="0"/>
                <w:szCs w:val="21"/>
              </w:rPr>
              <w:t>R=0、8792</w:t>
            </w:r>
          </w:p>
        </w:tc>
      </w:tr>
      <w:tr w14:paraId="7B23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366" w:type="dxa"/>
            <w:noWrap w:val="0"/>
            <w:vAlign w:val="center"/>
          </w:tcPr>
          <w:p w14:paraId="467F908C">
            <w:pPr>
              <w:jc w:val="center"/>
              <w:rPr>
                <w:rFonts w:eastAsia="楷体_GB2312"/>
                <w:kern w:val="0"/>
                <w:szCs w:val="21"/>
              </w:rPr>
            </w:pPr>
            <w:r>
              <w:rPr>
                <w:rFonts w:eastAsia="楷体_GB2312"/>
                <w:kern w:val="0"/>
                <w:szCs w:val="21"/>
              </w:rPr>
              <w:t>住宅用地</w:t>
            </w:r>
          </w:p>
        </w:tc>
        <w:tc>
          <w:tcPr>
            <w:tcW w:w="3617" w:type="dxa"/>
            <w:noWrap w:val="0"/>
            <w:vAlign w:val="center"/>
          </w:tcPr>
          <w:p w14:paraId="434063D9">
            <w:pPr>
              <w:jc w:val="center"/>
              <w:rPr>
                <w:rFonts w:eastAsia="楷体_GB2312"/>
                <w:kern w:val="0"/>
                <w:szCs w:val="21"/>
              </w:rPr>
            </w:pPr>
            <w:r>
              <w:rPr>
                <w:rFonts w:eastAsia="楷体_GB2312"/>
                <w:kern w:val="0"/>
                <w:szCs w:val="21"/>
              </w:rPr>
              <w:t>Yn = 132.5066×（1+ 0.0096）</w:t>
            </w:r>
            <w:r>
              <w:rPr>
                <w:rFonts w:eastAsia="楷体_GB2312"/>
                <w:kern w:val="0"/>
                <w:szCs w:val="21"/>
              </w:rPr>
              <w:object>
                <v:shape id="_x0000_i1208" o:spt="75" type="#_x0000_t75" style="height:14.25pt;width:14.25pt;" o:ole="t" filled="f" o:preferrelative="t" stroked="f" coordsize="21600,21600">
                  <v:path/>
                  <v:fill on="f" focussize="0,0"/>
                  <v:stroke on="f"/>
                  <v:imagedata r:id="rId277" o:title=""/>
                  <o:lock v:ext="edit" aspectratio="t"/>
                  <w10:wrap type="none"/>
                  <w10:anchorlock/>
                </v:shape>
                <o:OLEObject Type="Embed" ProgID="Equation.3" ShapeID="_x0000_i1208" DrawAspect="Content" ObjectID="_1468075908" r:id="rId344">
                  <o:LockedField>false</o:LockedField>
                </o:OLEObject>
              </w:object>
            </w:r>
          </w:p>
        </w:tc>
        <w:tc>
          <w:tcPr>
            <w:tcW w:w="4089" w:type="dxa"/>
            <w:noWrap w:val="0"/>
            <w:vAlign w:val="center"/>
          </w:tcPr>
          <w:p w14:paraId="2EA08270">
            <w:pPr>
              <w:jc w:val="center"/>
              <w:rPr>
                <w:rFonts w:eastAsia="楷体_GB2312"/>
                <w:kern w:val="0"/>
                <w:szCs w:val="21"/>
              </w:rPr>
            </w:pPr>
            <w:r>
              <w:rPr>
                <w:rFonts w:eastAsia="楷体_GB2312"/>
                <w:kern w:val="0"/>
                <w:szCs w:val="21"/>
              </w:rPr>
              <w:t>α=0.05，F=293.4657，t=29.7652，R=0.8435</w:t>
            </w:r>
          </w:p>
        </w:tc>
      </w:tr>
    </w:tbl>
    <w:p w14:paraId="37DFACB3">
      <w:pPr>
        <w:pStyle w:val="20"/>
        <w:spacing w:before="120" w:beforeLines="50" w:line="0" w:lineRule="atLeast"/>
        <w:jc w:val="center"/>
        <w:rPr>
          <w:rFonts w:ascii="Times New Roman" w:hAnsi="Times New Roman" w:eastAsia="黑体" w:cs="Times New Roman"/>
          <w:sz w:val="28"/>
        </w:rPr>
      </w:pPr>
      <w:r>
        <w:rPr>
          <w:rFonts w:ascii="Times New Roman" w:hAnsi="Times New Roman" w:eastAsia="黑体" w:cs="Times New Roman"/>
          <w:sz w:val="28"/>
        </w:rPr>
        <w:t>表2-5-</w:t>
      </w:r>
      <w:r>
        <w:rPr>
          <w:rFonts w:hint="eastAsia" w:ascii="Times New Roman" w:hAnsi="Times New Roman" w:eastAsia="黑体" w:cs="Times New Roman"/>
          <w:sz w:val="28"/>
        </w:rPr>
        <w:t>48</w:t>
      </w:r>
      <w:r>
        <w:rPr>
          <w:rFonts w:ascii="Times New Roman" w:hAnsi="Times New Roman" w:eastAsia="黑体" w:cs="Times New Roman"/>
          <w:sz w:val="28"/>
        </w:rPr>
        <w:t xml:space="preserve"> 埇桥区各乡镇镇区样点地价与定级单元总分值指数模型</w:t>
      </w:r>
    </w:p>
    <w:p w14:paraId="3FFE61CA">
      <w:pPr>
        <w:pStyle w:val="20"/>
        <w:spacing w:line="0" w:lineRule="atLeast"/>
        <w:jc w:val="center"/>
        <w:rPr>
          <w:rFonts w:ascii="Times New Roman" w:hAnsi="Times New Roman" w:eastAsia="黑体" w:cs="Times New Roman"/>
          <w:sz w:val="28"/>
        </w:rPr>
      </w:pPr>
      <w:r>
        <w:rPr>
          <w:rFonts w:ascii="Times New Roman" w:hAnsi="Times New Roman" w:eastAsia="黑体" w:cs="Times New Roman"/>
          <w:sz w:val="28"/>
        </w:rPr>
        <w:t>测算级别基准地价表</w:t>
      </w:r>
    </w:p>
    <w:p w14:paraId="22756110">
      <w:pPr>
        <w:pStyle w:val="20"/>
        <w:jc w:val="right"/>
        <w:rPr>
          <w:rFonts w:ascii="Times New Roman" w:hAnsi="Times New Roman" w:eastAsia="黑体" w:cs="Times New Roman"/>
          <w:sz w:val="28"/>
        </w:rPr>
      </w:pPr>
      <w:r>
        <w:rPr>
          <w:rFonts w:ascii="Times New Roman" w:hAnsi="Times New Roman" w:eastAsia="楷体_GB2312" w:cs="Times New Roman"/>
        </w:rPr>
        <w:t>单位：个，元/m</w:t>
      </w:r>
      <w:r>
        <w:rPr>
          <w:rFonts w:ascii="Times New Roman" w:hAnsi="Times New Roman" w:eastAsia="楷体_GB2312" w:cs="Times New Roman"/>
          <w:vertAlign w:val="superscript"/>
        </w:rPr>
        <w:t>2</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8"/>
        <w:gridCol w:w="911"/>
        <w:gridCol w:w="911"/>
        <w:gridCol w:w="1073"/>
        <w:gridCol w:w="1104"/>
        <w:gridCol w:w="1081"/>
        <w:gridCol w:w="1073"/>
        <w:gridCol w:w="1396"/>
        <w:gridCol w:w="935"/>
      </w:tblGrid>
      <w:tr w14:paraId="3F72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blHeader/>
          <w:jc w:val="center"/>
        </w:trPr>
        <w:tc>
          <w:tcPr>
            <w:tcW w:w="0" w:type="auto"/>
            <w:vMerge w:val="restart"/>
            <w:noWrap w:val="0"/>
            <w:vAlign w:val="center"/>
          </w:tcPr>
          <w:p w14:paraId="5394BA30">
            <w:pPr>
              <w:spacing w:before="100" w:beforeAutospacing="1" w:after="100" w:afterAutospacing="1" w:line="240" w:lineRule="atLeast"/>
              <w:jc w:val="center"/>
              <w:rPr>
                <w:rFonts w:eastAsia="楷体_GB2312"/>
                <w:kern w:val="0"/>
                <w:szCs w:val="21"/>
              </w:rPr>
            </w:pPr>
            <w:r>
              <w:rPr>
                <w:rFonts w:eastAsia="楷体_GB2312"/>
                <w:kern w:val="0"/>
                <w:szCs w:val="21"/>
              </w:rPr>
              <w:t>编号</w:t>
            </w:r>
          </w:p>
        </w:tc>
        <w:tc>
          <w:tcPr>
            <w:tcW w:w="0" w:type="auto"/>
            <w:vMerge w:val="restart"/>
            <w:noWrap w:val="0"/>
            <w:vAlign w:val="center"/>
          </w:tcPr>
          <w:p w14:paraId="794AE5DC">
            <w:pPr>
              <w:spacing w:before="100" w:beforeAutospacing="1" w:after="100" w:afterAutospacing="1" w:line="240" w:lineRule="atLeast"/>
              <w:jc w:val="center"/>
              <w:rPr>
                <w:rFonts w:eastAsia="楷体_GB2312"/>
                <w:kern w:val="0"/>
                <w:szCs w:val="21"/>
              </w:rPr>
            </w:pPr>
            <w:r>
              <w:rPr>
                <w:rFonts w:eastAsia="楷体_GB2312"/>
                <w:kern w:val="0"/>
                <w:szCs w:val="21"/>
              </w:rPr>
              <w:t>乡镇名称</w:t>
            </w:r>
          </w:p>
        </w:tc>
        <w:tc>
          <w:tcPr>
            <w:tcW w:w="0" w:type="auto"/>
            <w:vMerge w:val="restart"/>
            <w:noWrap w:val="0"/>
            <w:vAlign w:val="center"/>
          </w:tcPr>
          <w:p w14:paraId="07706C6B">
            <w:pPr>
              <w:spacing w:before="100" w:beforeAutospacing="1" w:after="100" w:afterAutospacing="1" w:line="240" w:lineRule="atLeast"/>
              <w:jc w:val="center"/>
              <w:rPr>
                <w:rFonts w:eastAsia="楷体_GB2312"/>
                <w:kern w:val="0"/>
                <w:szCs w:val="21"/>
              </w:rPr>
            </w:pPr>
            <w:r>
              <w:rPr>
                <w:rFonts w:eastAsia="楷体_GB2312"/>
                <w:kern w:val="0"/>
                <w:szCs w:val="21"/>
              </w:rPr>
              <w:t>土地级别</w:t>
            </w:r>
          </w:p>
        </w:tc>
        <w:tc>
          <w:tcPr>
            <w:tcW w:w="0" w:type="auto"/>
            <w:gridSpan w:val="3"/>
            <w:noWrap w:val="0"/>
            <w:vAlign w:val="center"/>
          </w:tcPr>
          <w:p w14:paraId="10100CF3">
            <w:pPr>
              <w:spacing w:before="100" w:beforeAutospacing="1" w:after="100" w:afterAutospacing="1" w:line="240" w:lineRule="atLeast"/>
              <w:jc w:val="center"/>
              <w:rPr>
                <w:rFonts w:eastAsia="楷体_GB2312"/>
                <w:kern w:val="0"/>
                <w:szCs w:val="21"/>
              </w:rPr>
            </w:pPr>
            <w:r>
              <w:rPr>
                <w:rFonts w:eastAsia="楷体_GB2312"/>
                <w:kern w:val="0"/>
                <w:szCs w:val="21"/>
              </w:rPr>
              <w:t>商服用地</w:t>
            </w:r>
          </w:p>
        </w:tc>
        <w:tc>
          <w:tcPr>
            <w:tcW w:w="0" w:type="auto"/>
            <w:gridSpan w:val="3"/>
            <w:noWrap w:val="0"/>
            <w:vAlign w:val="center"/>
          </w:tcPr>
          <w:p w14:paraId="0DF587DF">
            <w:pPr>
              <w:spacing w:before="100" w:beforeAutospacing="1" w:after="100" w:afterAutospacing="1" w:line="240" w:lineRule="atLeast"/>
              <w:jc w:val="center"/>
              <w:rPr>
                <w:rFonts w:eastAsia="楷体_GB2312"/>
                <w:kern w:val="0"/>
                <w:szCs w:val="21"/>
              </w:rPr>
            </w:pPr>
            <w:r>
              <w:rPr>
                <w:rFonts w:eastAsia="楷体_GB2312"/>
                <w:kern w:val="0"/>
                <w:szCs w:val="21"/>
              </w:rPr>
              <w:t>住宅用地</w:t>
            </w:r>
          </w:p>
        </w:tc>
      </w:tr>
      <w:tr w14:paraId="26885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0" w:type="auto"/>
            <w:vMerge w:val="continue"/>
            <w:noWrap w:val="0"/>
            <w:vAlign w:val="center"/>
          </w:tcPr>
          <w:p w14:paraId="1BF6B296">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359CB25">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922FD77">
            <w:pPr>
              <w:spacing w:before="100" w:beforeAutospacing="1" w:after="100" w:afterAutospacing="1" w:line="240" w:lineRule="atLeast"/>
              <w:jc w:val="center"/>
              <w:rPr>
                <w:rFonts w:eastAsia="楷体_GB2312"/>
                <w:kern w:val="0"/>
                <w:szCs w:val="21"/>
              </w:rPr>
            </w:pPr>
          </w:p>
        </w:tc>
        <w:tc>
          <w:tcPr>
            <w:tcW w:w="0" w:type="auto"/>
            <w:noWrap w:val="0"/>
            <w:vAlign w:val="center"/>
          </w:tcPr>
          <w:p w14:paraId="3599E45F">
            <w:pPr>
              <w:jc w:val="center"/>
              <w:rPr>
                <w:rFonts w:eastAsia="楷体_GB2312"/>
                <w:kern w:val="0"/>
                <w:szCs w:val="21"/>
              </w:rPr>
            </w:pPr>
            <w:r>
              <w:rPr>
                <w:rFonts w:eastAsia="楷体_GB2312"/>
                <w:kern w:val="0"/>
                <w:szCs w:val="21"/>
              </w:rPr>
              <w:t>参算样点数</w:t>
            </w:r>
          </w:p>
        </w:tc>
        <w:tc>
          <w:tcPr>
            <w:tcW w:w="1105" w:type="dxa"/>
            <w:noWrap w:val="0"/>
            <w:vAlign w:val="center"/>
          </w:tcPr>
          <w:p w14:paraId="7F0EB963">
            <w:pPr>
              <w:jc w:val="center"/>
              <w:rPr>
                <w:rFonts w:eastAsia="楷体_GB2312"/>
                <w:kern w:val="0"/>
                <w:szCs w:val="21"/>
              </w:rPr>
            </w:pPr>
            <w:r>
              <w:rPr>
                <w:rFonts w:hint="eastAsia" w:eastAsia="楷体_GB2312"/>
                <w:kern w:val="0"/>
                <w:szCs w:val="21"/>
              </w:rPr>
              <w:t>定级单元总分值</w:t>
            </w:r>
          </w:p>
        </w:tc>
        <w:tc>
          <w:tcPr>
            <w:tcW w:w="1081" w:type="dxa"/>
            <w:noWrap w:val="0"/>
            <w:vAlign w:val="center"/>
          </w:tcPr>
          <w:p w14:paraId="1C66F8DB">
            <w:pPr>
              <w:jc w:val="center"/>
              <w:rPr>
                <w:rFonts w:eastAsia="楷体_GB2312"/>
                <w:kern w:val="0"/>
                <w:szCs w:val="21"/>
              </w:rPr>
            </w:pPr>
            <w:r>
              <w:rPr>
                <w:rFonts w:eastAsia="楷体_GB2312"/>
                <w:kern w:val="0"/>
                <w:szCs w:val="21"/>
              </w:rPr>
              <w:t>平均地价</w:t>
            </w:r>
          </w:p>
        </w:tc>
        <w:tc>
          <w:tcPr>
            <w:tcW w:w="0" w:type="auto"/>
            <w:noWrap w:val="0"/>
            <w:vAlign w:val="center"/>
          </w:tcPr>
          <w:p w14:paraId="01DBC712">
            <w:pPr>
              <w:jc w:val="center"/>
              <w:rPr>
                <w:rFonts w:eastAsia="楷体_GB2312"/>
                <w:kern w:val="0"/>
                <w:szCs w:val="21"/>
              </w:rPr>
            </w:pPr>
            <w:r>
              <w:rPr>
                <w:rFonts w:eastAsia="楷体_GB2312"/>
                <w:kern w:val="0"/>
                <w:szCs w:val="21"/>
              </w:rPr>
              <w:t>参算样点数</w:t>
            </w:r>
          </w:p>
        </w:tc>
        <w:tc>
          <w:tcPr>
            <w:tcW w:w="0" w:type="auto"/>
            <w:noWrap w:val="0"/>
            <w:vAlign w:val="center"/>
          </w:tcPr>
          <w:p w14:paraId="6BFB7A57">
            <w:pPr>
              <w:jc w:val="center"/>
              <w:rPr>
                <w:rFonts w:eastAsia="楷体_GB2312"/>
                <w:kern w:val="0"/>
                <w:szCs w:val="21"/>
              </w:rPr>
            </w:pPr>
            <w:r>
              <w:rPr>
                <w:rFonts w:hint="eastAsia" w:eastAsia="楷体_GB2312"/>
                <w:kern w:val="0"/>
                <w:szCs w:val="21"/>
              </w:rPr>
              <w:t>定级单元总分值</w:t>
            </w:r>
          </w:p>
        </w:tc>
        <w:tc>
          <w:tcPr>
            <w:tcW w:w="0" w:type="auto"/>
            <w:noWrap w:val="0"/>
            <w:vAlign w:val="center"/>
          </w:tcPr>
          <w:p w14:paraId="39161FB1">
            <w:pPr>
              <w:jc w:val="center"/>
              <w:rPr>
                <w:rFonts w:eastAsia="楷体_GB2312"/>
                <w:kern w:val="0"/>
                <w:szCs w:val="21"/>
              </w:rPr>
            </w:pPr>
            <w:r>
              <w:rPr>
                <w:rFonts w:eastAsia="楷体_GB2312"/>
                <w:kern w:val="0"/>
                <w:szCs w:val="21"/>
              </w:rPr>
              <w:t>平均地价</w:t>
            </w:r>
          </w:p>
        </w:tc>
      </w:tr>
      <w:tr w14:paraId="57C78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7FD6E5E4">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vMerge w:val="restart"/>
            <w:noWrap w:val="0"/>
            <w:vAlign w:val="center"/>
          </w:tcPr>
          <w:p w14:paraId="0F8F9A0A">
            <w:pPr>
              <w:spacing w:before="100" w:beforeAutospacing="1" w:after="100" w:afterAutospacing="1" w:line="240" w:lineRule="atLeast"/>
              <w:jc w:val="center"/>
              <w:rPr>
                <w:rFonts w:eastAsia="楷体_GB2312"/>
                <w:kern w:val="0"/>
                <w:szCs w:val="21"/>
              </w:rPr>
            </w:pPr>
            <w:r>
              <w:rPr>
                <w:rFonts w:hint="eastAsia" w:eastAsia="楷体_GB2312"/>
                <w:kern w:val="0"/>
                <w:szCs w:val="21"/>
              </w:rPr>
              <w:t>符离镇</w:t>
            </w:r>
          </w:p>
        </w:tc>
        <w:tc>
          <w:tcPr>
            <w:tcW w:w="0" w:type="auto"/>
            <w:noWrap w:val="0"/>
            <w:vAlign w:val="center"/>
          </w:tcPr>
          <w:p w14:paraId="06F16F3F">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5A5B3B9F">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1105" w:type="dxa"/>
            <w:noWrap w:val="0"/>
            <w:vAlign w:val="center"/>
          </w:tcPr>
          <w:p w14:paraId="15C95454">
            <w:pPr>
              <w:spacing w:before="100" w:beforeAutospacing="1" w:after="100" w:afterAutospacing="1" w:line="240" w:lineRule="atLeast"/>
              <w:jc w:val="center"/>
              <w:rPr>
                <w:rFonts w:eastAsia="楷体_GB2312"/>
                <w:szCs w:val="21"/>
              </w:rPr>
            </w:pPr>
            <w:r>
              <w:rPr>
                <w:rFonts w:hint="eastAsia" w:eastAsia="楷体_GB2312"/>
                <w:szCs w:val="21"/>
              </w:rPr>
              <w:t>72</w:t>
            </w:r>
          </w:p>
        </w:tc>
        <w:tc>
          <w:tcPr>
            <w:tcW w:w="1081" w:type="dxa"/>
            <w:noWrap w:val="0"/>
            <w:vAlign w:val="center"/>
          </w:tcPr>
          <w:p w14:paraId="02F20BAB">
            <w:pPr>
              <w:jc w:val="center"/>
              <w:rPr>
                <w:rFonts w:ascii="宋体" w:hAnsi="宋体" w:cs="宋体"/>
                <w:color w:val="000000"/>
                <w:szCs w:val="21"/>
              </w:rPr>
            </w:pPr>
            <w:r>
              <w:rPr>
                <w:rFonts w:hint="eastAsia"/>
                <w:color w:val="000000"/>
                <w:szCs w:val="21"/>
              </w:rPr>
              <w:t>620</w:t>
            </w:r>
          </w:p>
        </w:tc>
        <w:tc>
          <w:tcPr>
            <w:tcW w:w="0" w:type="auto"/>
            <w:noWrap w:val="0"/>
            <w:vAlign w:val="center"/>
          </w:tcPr>
          <w:p w14:paraId="359A1985">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noWrap w:val="0"/>
            <w:vAlign w:val="center"/>
          </w:tcPr>
          <w:p w14:paraId="6DA640AC">
            <w:pPr>
              <w:spacing w:before="100" w:beforeAutospacing="1" w:after="100" w:afterAutospacing="1" w:line="240" w:lineRule="atLeast"/>
              <w:jc w:val="center"/>
              <w:rPr>
                <w:rFonts w:eastAsia="楷体_GB2312"/>
                <w:szCs w:val="21"/>
              </w:rPr>
            </w:pPr>
            <w:r>
              <w:rPr>
                <w:rFonts w:hint="eastAsia" w:eastAsia="楷体_GB2312"/>
                <w:szCs w:val="21"/>
              </w:rPr>
              <w:t>72</w:t>
            </w:r>
          </w:p>
        </w:tc>
        <w:tc>
          <w:tcPr>
            <w:tcW w:w="0" w:type="auto"/>
            <w:noWrap w:val="0"/>
            <w:vAlign w:val="center"/>
          </w:tcPr>
          <w:p w14:paraId="3AD79836">
            <w:pPr>
              <w:jc w:val="center"/>
              <w:rPr>
                <w:rFonts w:ascii="宋体" w:hAnsi="宋体" w:cs="宋体"/>
                <w:color w:val="000000"/>
                <w:szCs w:val="21"/>
              </w:rPr>
            </w:pPr>
            <w:r>
              <w:rPr>
                <w:rFonts w:hint="eastAsia"/>
                <w:color w:val="000000"/>
                <w:szCs w:val="21"/>
              </w:rPr>
              <w:t>493</w:t>
            </w:r>
          </w:p>
        </w:tc>
      </w:tr>
      <w:tr w14:paraId="6B214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4B223475">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373373C">
            <w:pPr>
              <w:spacing w:before="100" w:beforeAutospacing="1" w:after="100" w:afterAutospacing="1" w:line="240" w:lineRule="atLeast"/>
              <w:jc w:val="center"/>
              <w:rPr>
                <w:rFonts w:eastAsia="楷体_GB2312"/>
                <w:kern w:val="0"/>
                <w:szCs w:val="21"/>
              </w:rPr>
            </w:pPr>
          </w:p>
        </w:tc>
        <w:tc>
          <w:tcPr>
            <w:tcW w:w="0" w:type="auto"/>
            <w:noWrap w:val="0"/>
            <w:vAlign w:val="center"/>
          </w:tcPr>
          <w:p w14:paraId="5565F027">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0E504A89">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1105" w:type="dxa"/>
            <w:noWrap w:val="0"/>
            <w:vAlign w:val="center"/>
          </w:tcPr>
          <w:p w14:paraId="0AA762F8">
            <w:pPr>
              <w:spacing w:before="100" w:beforeAutospacing="1" w:after="100" w:afterAutospacing="1" w:line="240" w:lineRule="atLeast"/>
              <w:jc w:val="center"/>
              <w:rPr>
                <w:rFonts w:eastAsia="楷体_GB2312"/>
                <w:szCs w:val="21"/>
              </w:rPr>
            </w:pPr>
            <w:r>
              <w:rPr>
                <w:rFonts w:hint="eastAsia" w:eastAsia="楷体_GB2312"/>
                <w:szCs w:val="21"/>
              </w:rPr>
              <w:t>50</w:t>
            </w:r>
          </w:p>
        </w:tc>
        <w:tc>
          <w:tcPr>
            <w:tcW w:w="1081" w:type="dxa"/>
            <w:noWrap w:val="0"/>
            <w:vAlign w:val="center"/>
          </w:tcPr>
          <w:p w14:paraId="09750E01">
            <w:pPr>
              <w:jc w:val="center"/>
              <w:rPr>
                <w:rFonts w:ascii="宋体" w:hAnsi="宋体" w:cs="宋体"/>
                <w:color w:val="000000"/>
                <w:szCs w:val="21"/>
              </w:rPr>
            </w:pPr>
            <w:r>
              <w:rPr>
                <w:rFonts w:hint="eastAsia"/>
                <w:color w:val="000000"/>
                <w:szCs w:val="21"/>
              </w:rPr>
              <w:t>505</w:t>
            </w:r>
          </w:p>
        </w:tc>
        <w:tc>
          <w:tcPr>
            <w:tcW w:w="0" w:type="auto"/>
            <w:noWrap w:val="0"/>
            <w:vAlign w:val="center"/>
          </w:tcPr>
          <w:p w14:paraId="06A1EAF7">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35C2A983">
            <w:pPr>
              <w:spacing w:before="100" w:beforeAutospacing="1" w:after="100" w:afterAutospacing="1" w:line="240" w:lineRule="atLeast"/>
              <w:jc w:val="center"/>
              <w:rPr>
                <w:rFonts w:eastAsia="楷体_GB2312"/>
                <w:szCs w:val="21"/>
              </w:rPr>
            </w:pPr>
            <w:r>
              <w:rPr>
                <w:rFonts w:hint="eastAsia" w:eastAsia="楷体_GB2312"/>
                <w:szCs w:val="21"/>
              </w:rPr>
              <w:t>50</w:t>
            </w:r>
          </w:p>
        </w:tc>
        <w:tc>
          <w:tcPr>
            <w:tcW w:w="0" w:type="auto"/>
            <w:noWrap w:val="0"/>
            <w:vAlign w:val="center"/>
          </w:tcPr>
          <w:p w14:paraId="575337F0">
            <w:pPr>
              <w:jc w:val="center"/>
              <w:rPr>
                <w:rFonts w:ascii="宋体" w:hAnsi="宋体" w:cs="宋体"/>
                <w:color w:val="000000"/>
                <w:szCs w:val="21"/>
              </w:rPr>
            </w:pPr>
            <w:r>
              <w:rPr>
                <w:rFonts w:hint="eastAsia"/>
                <w:color w:val="000000"/>
                <w:szCs w:val="21"/>
              </w:rPr>
              <w:t>362</w:t>
            </w:r>
          </w:p>
        </w:tc>
      </w:tr>
      <w:tr w14:paraId="24AE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F61C701">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39F6411">
            <w:pPr>
              <w:spacing w:before="100" w:beforeAutospacing="1" w:after="100" w:afterAutospacing="1" w:line="240" w:lineRule="atLeast"/>
              <w:jc w:val="center"/>
              <w:rPr>
                <w:rFonts w:eastAsia="楷体_GB2312"/>
                <w:kern w:val="0"/>
                <w:szCs w:val="21"/>
              </w:rPr>
            </w:pPr>
          </w:p>
        </w:tc>
        <w:tc>
          <w:tcPr>
            <w:tcW w:w="0" w:type="auto"/>
            <w:noWrap w:val="0"/>
            <w:vAlign w:val="center"/>
          </w:tcPr>
          <w:p w14:paraId="5D63A0F8">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0B5521B3">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1105" w:type="dxa"/>
            <w:noWrap w:val="0"/>
            <w:vAlign w:val="center"/>
          </w:tcPr>
          <w:p w14:paraId="1E827257">
            <w:pPr>
              <w:spacing w:before="100" w:beforeAutospacing="1" w:after="100" w:afterAutospacing="1" w:line="240" w:lineRule="atLeast"/>
              <w:jc w:val="center"/>
              <w:rPr>
                <w:rFonts w:eastAsia="楷体_GB2312"/>
                <w:szCs w:val="21"/>
              </w:rPr>
            </w:pPr>
            <w:r>
              <w:rPr>
                <w:rFonts w:hint="eastAsia" w:eastAsia="楷体_GB2312"/>
                <w:szCs w:val="21"/>
              </w:rPr>
              <w:t>19</w:t>
            </w:r>
          </w:p>
        </w:tc>
        <w:tc>
          <w:tcPr>
            <w:tcW w:w="1081" w:type="dxa"/>
            <w:noWrap w:val="0"/>
            <w:vAlign w:val="center"/>
          </w:tcPr>
          <w:p w14:paraId="7A5AE93A">
            <w:pPr>
              <w:jc w:val="center"/>
              <w:rPr>
                <w:rFonts w:ascii="宋体" w:hAnsi="宋体" w:cs="宋体"/>
                <w:color w:val="000000"/>
                <w:szCs w:val="21"/>
              </w:rPr>
            </w:pPr>
            <w:r>
              <w:rPr>
                <w:rFonts w:hint="eastAsia"/>
                <w:color w:val="000000"/>
                <w:szCs w:val="21"/>
              </w:rPr>
              <w:t>421</w:t>
            </w:r>
          </w:p>
        </w:tc>
        <w:tc>
          <w:tcPr>
            <w:tcW w:w="0" w:type="auto"/>
            <w:noWrap w:val="0"/>
            <w:vAlign w:val="center"/>
          </w:tcPr>
          <w:p w14:paraId="2E6A5F24">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0" w:type="auto"/>
            <w:noWrap w:val="0"/>
            <w:vAlign w:val="center"/>
          </w:tcPr>
          <w:p w14:paraId="0124228B">
            <w:pPr>
              <w:spacing w:before="100" w:beforeAutospacing="1" w:after="100" w:afterAutospacing="1" w:line="240" w:lineRule="atLeast"/>
              <w:jc w:val="center"/>
              <w:rPr>
                <w:rFonts w:eastAsia="楷体_GB2312"/>
                <w:szCs w:val="21"/>
              </w:rPr>
            </w:pPr>
            <w:r>
              <w:rPr>
                <w:rFonts w:hint="eastAsia" w:eastAsia="楷体_GB2312"/>
                <w:szCs w:val="21"/>
              </w:rPr>
              <w:t>19</w:t>
            </w:r>
          </w:p>
        </w:tc>
        <w:tc>
          <w:tcPr>
            <w:tcW w:w="0" w:type="auto"/>
            <w:noWrap w:val="0"/>
            <w:vAlign w:val="center"/>
          </w:tcPr>
          <w:p w14:paraId="35F75166">
            <w:pPr>
              <w:jc w:val="center"/>
              <w:rPr>
                <w:rFonts w:ascii="宋体" w:hAnsi="宋体" w:cs="宋体"/>
                <w:color w:val="000000"/>
                <w:szCs w:val="21"/>
              </w:rPr>
            </w:pPr>
            <w:r>
              <w:rPr>
                <w:rFonts w:hint="eastAsia"/>
                <w:color w:val="000000"/>
                <w:szCs w:val="21"/>
              </w:rPr>
              <w:t>287</w:t>
            </w:r>
          </w:p>
        </w:tc>
      </w:tr>
      <w:tr w14:paraId="6C63A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6FB4750D">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vMerge w:val="restart"/>
            <w:noWrap w:val="0"/>
            <w:vAlign w:val="center"/>
          </w:tcPr>
          <w:p w14:paraId="51B28A97">
            <w:pPr>
              <w:spacing w:before="100" w:beforeAutospacing="1" w:after="100" w:afterAutospacing="1" w:line="240" w:lineRule="atLeast"/>
              <w:jc w:val="center"/>
              <w:rPr>
                <w:rFonts w:eastAsia="楷体_GB2312"/>
                <w:kern w:val="0"/>
                <w:szCs w:val="21"/>
              </w:rPr>
            </w:pPr>
            <w:r>
              <w:rPr>
                <w:rFonts w:hint="eastAsia" w:eastAsia="楷体_GB2312"/>
                <w:kern w:val="0"/>
                <w:szCs w:val="21"/>
              </w:rPr>
              <w:t>朱仙庄镇</w:t>
            </w:r>
          </w:p>
        </w:tc>
        <w:tc>
          <w:tcPr>
            <w:tcW w:w="0" w:type="auto"/>
            <w:noWrap w:val="0"/>
            <w:vAlign w:val="center"/>
          </w:tcPr>
          <w:p w14:paraId="08D96E3B">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3DDF47B1">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1105" w:type="dxa"/>
            <w:noWrap w:val="0"/>
            <w:vAlign w:val="center"/>
          </w:tcPr>
          <w:p w14:paraId="266AAD09">
            <w:pPr>
              <w:spacing w:before="100" w:beforeAutospacing="1" w:after="100" w:afterAutospacing="1" w:line="240" w:lineRule="atLeast"/>
              <w:jc w:val="center"/>
              <w:rPr>
                <w:szCs w:val="21"/>
              </w:rPr>
            </w:pPr>
            <w:r>
              <w:rPr>
                <w:rFonts w:hint="eastAsia"/>
                <w:szCs w:val="21"/>
              </w:rPr>
              <w:t>80</w:t>
            </w:r>
          </w:p>
        </w:tc>
        <w:tc>
          <w:tcPr>
            <w:tcW w:w="1081" w:type="dxa"/>
            <w:noWrap w:val="0"/>
            <w:vAlign w:val="center"/>
          </w:tcPr>
          <w:p w14:paraId="3EA4C5B0">
            <w:pPr>
              <w:jc w:val="center"/>
              <w:rPr>
                <w:rFonts w:ascii="宋体" w:hAnsi="宋体" w:cs="宋体"/>
                <w:color w:val="000000"/>
                <w:szCs w:val="21"/>
              </w:rPr>
            </w:pPr>
            <w:r>
              <w:rPr>
                <w:rFonts w:hint="eastAsia"/>
                <w:color w:val="000000"/>
                <w:szCs w:val="21"/>
              </w:rPr>
              <w:t>619</w:t>
            </w:r>
          </w:p>
        </w:tc>
        <w:tc>
          <w:tcPr>
            <w:tcW w:w="0" w:type="auto"/>
            <w:noWrap w:val="0"/>
            <w:vAlign w:val="center"/>
          </w:tcPr>
          <w:p w14:paraId="6942BA0C">
            <w:pPr>
              <w:spacing w:before="100" w:beforeAutospacing="1" w:after="100" w:afterAutospacing="1" w:line="240" w:lineRule="atLeast"/>
              <w:jc w:val="center"/>
              <w:rPr>
                <w:rFonts w:eastAsia="楷体_GB2312"/>
                <w:kern w:val="0"/>
                <w:szCs w:val="21"/>
              </w:rPr>
            </w:pPr>
            <w:r>
              <w:rPr>
                <w:rFonts w:hint="eastAsia" w:eastAsia="楷体_GB2312"/>
                <w:kern w:val="0"/>
                <w:szCs w:val="21"/>
              </w:rPr>
              <w:t>13</w:t>
            </w:r>
          </w:p>
        </w:tc>
        <w:tc>
          <w:tcPr>
            <w:tcW w:w="0" w:type="auto"/>
            <w:noWrap w:val="0"/>
            <w:vAlign w:val="center"/>
          </w:tcPr>
          <w:p w14:paraId="39812252">
            <w:pPr>
              <w:spacing w:before="100" w:beforeAutospacing="1" w:after="100" w:afterAutospacing="1" w:line="240" w:lineRule="atLeast"/>
              <w:jc w:val="center"/>
              <w:rPr>
                <w:szCs w:val="21"/>
              </w:rPr>
            </w:pPr>
            <w:r>
              <w:rPr>
                <w:rFonts w:hint="eastAsia"/>
                <w:szCs w:val="21"/>
              </w:rPr>
              <w:t>80</w:t>
            </w:r>
          </w:p>
        </w:tc>
        <w:tc>
          <w:tcPr>
            <w:tcW w:w="0" w:type="auto"/>
            <w:noWrap w:val="0"/>
            <w:vAlign w:val="center"/>
          </w:tcPr>
          <w:p w14:paraId="151AD296">
            <w:pPr>
              <w:jc w:val="center"/>
              <w:rPr>
                <w:rFonts w:ascii="宋体" w:hAnsi="宋体" w:cs="宋体"/>
                <w:color w:val="000000"/>
                <w:szCs w:val="21"/>
              </w:rPr>
            </w:pPr>
            <w:r>
              <w:rPr>
                <w:rFonts w:hint="eastAsia"/>
                <w:color w:val="000000"/>
                <w:szCs w:val="21"/>
              </w:rPr>
              <w:t>486</w:t>
            </w:r>
          </w:p>
        </w:tc>
      </w:tr>
      <w:tr w14:paraId="6A790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856B0F2">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48CF6F61">
            <w:pPr>
              <w:spacing w:before="100" w:beforeAutospacing="1" w:after="100" w:afterAutospacing="1" w:line="240" w:lineRule="atLeast"/>
              <w:jc w:val="center"/>
              <w:rPr>
                <w:rFonts w:eastAsia="楷体_GB2312"/>
                <w:kern w:val="0"/>
                <w:szCs w:val="21"/>
              </w:rPr>
            </w:pPr>
          </w:p>
        </w:tc>
        <w:tc>
          <w:tcPr>
            <w:tcW w:w="0" w:type="auto"/>
            <w:noWrap w:val="0"/>
            <w:vAlign w:val="center"/>
          </w:tcPr>
          <w:p w14:paraId="54E73081">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1F724830">
            <w:pPr>
              <w:spacing w:before="100" w:beforeAutospacing="1" w:after="100" w:afterAutospacing="1" w:line="240" w:lineRule="atLeast"/>
              <w:jc w:val="center"/>
              <w:rPr>
                <w:rFonts w:eastAsia="楷体_GB2312"/>
                <w:kern w:val="0"/>
                <w:szCs w:val="21"/>
              </w:rPr>
            </w:pPr>
            <w:r>
              <w:rPr>
                <w:rFonts w:hint="eastAsia" w:eastAsia="楷体_GB2312"/>
                <w:kern w:val="0"/>
                <w:szCs w:val="21"/>
              </w:rPr>
              <w:t>9</w:t>
            </w:r>
          </w:p>
        </w:tc>
        <w:tc>
          <w:tcPr>
            <w:tcW w:w="1105" w:type="dxa"/>
            <w:noWrap w:val="0"/>
            <w:vAlign w:val="center"/>
          </w:tcPr>
          <w:p w14:paraId="55FECD3B">
            <w:pPr>
              <w:spacing w:before="100" w:beforeAutospacing="1" w:after="100" w:afterAutospacing="1" w:line="240" w:lineRule="atLeast"/>
              <w:jc w:val="center"/>
              <w:rPr>
                <w:szCs w:val="21"/>
              </w:rPr>
            </w:pPr>
            <w:r>
              <w:rPr>
                <w:rFonts w:hint="eastAsia"/>
                <w:szCs w:val="21"/>
              </w:rPr>
              <w:t>49</w:t>
            </w:r>
          </w:p>
        </w:tc>
        <w:tc>
          <w:tcPr>
            <w:tcW w:w="1081" w:type="dxa"/>
            <w:noWrap w:val="0"/>
            <w:vAlign w:val="center"/>
          </w:tcPr>
          <w:p w14:paraId="7E44BAB8">
            <w:pPr>
              <w:jc w:val="center"/>
              <w:rPr>
                <w:rFonts w:ascii="宋体" w:hAnsi="宋体" w:cs="宋体"/>
                <w:color w:val="000000"/>
                <w:szCs w:val="21"/>
              </w:rPr>
            </w:pPr>
            <w:r>
              <w:rPr>
                <w:rFonts w:hint="eastAsia"/>
                <w:color w:val="000000"/>
                <w:szCs w:val="21"/>
              </w:rPr>
              <w:t>428</w:t>
            </w:r>
          </w:p>
        </w:tc>
        <w:tc>
          <w:tcPr>
            <w:tcW w:w="0" w:type="auto"/>
            <w:noWrap w:val="0"/>
            <w:vAlign w:val="center"/>
          </w:tcPr>
          <w:p w14:paraId="3B4F62BB">
            <w:pPr>
              <w:spacing w:before="100" w:beforeAutospacing="1" w:after="100" w:afterAutospacing="1" w:line="240" w:lineRule="atLeast"/>
              <w:jc w:val="center"/>
              <w:rPr>
                <w:rFonts w:eastAsia="楷体_GB2312"/>
                <w:kern w:val="0"/>
                <w:szCs w:val="21"/>
              </w:rPr>
            </w:pPr>
            <w:r>
              <w:rPr>
                <w:rFonts w:hint="eastAsia" w:eastAsia="楷体_GB2312"/>
                <w:kern w:val="0"/>
                <w:szCs w:val="21"/>
              </w:rPr>
              <w:t>11</w:t>
            </w:r>
          </w:p>
        </w:tc>
        <w:tc>
          <w:tcPr>
            <w:tcW w:w="0" w:type="auto"/>
            <w:noWrap w:val="0"/>
            <w:vAlign w:val="center"/>
          </w:tcPr>
          <w:p w14:paraId="6D2491F0">
            <w:pPr>
              <w:spacing w:before="100" w:beforeAutospacing="1" w:after="100" w:afterAutospacing="1" w:line="240" w:lineRule="atLeast"/>
              <w:jc w:val="center"/>
              <w:rPr>
                <w:szCs w:val="21"/>
              </w:rPr>
            </w:pPr>
            <w:r>
              <w:rPr>
                <w:rFonts w:hint="eastAsia"/>
                <w:szCs w:val="21"/>
              </w:rPr>
              <w:t>49</w:t>
            </w:r>
          </w:p>
        </w:tc>
        <w:tc>
          <w:tcPr>
            <w:tcW w:w="0" w:type="auto"/>
            <w:noWrap w:val="0"/>
            <w:vAlign w:val="center"/>
          </w:tcPr>
          <w:p w14:paraId="649AF4F4">
            <w:pPr>
              <w:jc w:val="center"/>
              <w:rPr>
                <w:rFonts w:ascii="宋体" w:hAnsi="宋体" w:cs="宋体"/>
                <w:color w:val="000000"/>
                <w:szCs w:val="21"/>
              </w:rPr>
            </w:pPr>
            <w:r>
              <w:rPr>
                <w:rFonts w:hint="eastAsia"/>
                <w:color w:val="000000"/>
                <w:szCs w:val="21"/>
              </w:rPr>
              <w:t>337</w:t>
            </w:r>
          </w:p>
        </w:tc>
      </w:tr>
      <w:tr w14:paraId="27681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449C0753">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7BDE2015">
            <w:pPr>
              <w:spacing w:before="100" w:beforeAutospacing="1" w:after="100" w:afterAutospacing="1" w:line="240" w:lineRule="atLeast"/>
              <w:jc w:val="center"/>
              <w:rPr>
                <w:rFonts w:eastAsia="楷体_GB2312"/>
                <w:kern w:val="0"/>
                <w:szCs w:val="21"/>
              </w:rPr>
            </w:pPr>
          </w:p>
        </w:tc>
        <w:tc>
          <w:tcPr>
            <w:tcW w:w="0" w:type="auto"/>
            <w:noWrap w:val="0"/>
            <w:vAlign w:val="center"/>
          </w:tcPr>
          <w:p w14:paraId="1306957D">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6672E739">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1105" w:type="dxa"/>
            <w:noWrap w:val="0"/>
            <w:vAlign w:val="center"/>
          </w:tcPr>
          <w:p w14:paraId="13DB066C">
            <w:pPr>
              <w:spacing w:before="100" w:beforeAutospacing="1" w:after="100" w:afterAutospacing="1" w:line="240" w:lineRule="atLeast"/>
              <w:jc w:val="center"/>
              <w:rPr>
                <w:szCs w:val="21"/>
              </w:rPr>
            </w:pPr>
            <w:r>
              <w:rPr>
                <w:rFonts w:hint="eastAsia"/>
                <w:szCs w:val="21"/>
              </w:rPr>
              <w:t>18</w:t>
            </w:r>
          </w:p>
        </w:tc>
        <w:tc>
          <w:tcPr>
            <w:tcW w:w="1081" w:type="dxa"/>
            <w:noWrap w:val="0"/>
            <w:vAlign w:val="center"/>
          </w:tcPr>
          <w:p w14:paraId="2A39BE48">
            <w:pPr>
              <w:jc w:val="center"/>
              <w:rPr>
                <w:rFonts w:ascii="宋体" w:hAnsi="宋体" w:cs="宋体"/>
                <w:color w:val="000000"/>
                <w:szCs w:val="21"/>
              </w:rPr>
            </w:pPr>
            <w:r>
              <w:rPr>
                <w:rFonts w:hint="eastAsia"/>
                <w:color w:val="000000"/>
                <w:szCs w:val="21"/>
              </w:rPr>
              <w:t>364</w:t>
            </w:r>
          </w:p>
        </w:tc>
        <w:tc>
          <w:tcPr>
            <w:tcW w:w="0" w:type="auto"/>
            <w:noWrap w:val="0"/>
            <w:vAlign w:val="center"/>
          </w:tcPr>
          <w:p w14:paraId="1C144670">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0" w:type="auto"/>
            <w:noWrap w:val="0"/>
            <w:vAlign w:val="center"/>
          </w:tcPr>
          <w:p w14:paraId="04CAC510">
            <w:pPr>
              <w:spacing w:before="100" w:beforeAutospacing="1" w:after="100" w:afterAutospacing="1" w:line="240" w:lineRule="atLeast"/>
              <w:jc w:val="center"/>
              <w:rPr>
                <w:szCs w:val="21"/>
              </w:rPr>
            </w:pPr>
            <w:r>
              <w:rPr>
                <w:rFonts w:hint="eastAsia"/>
                <w:szCs w:val="21"/>
              </w:rPr>
              <w:t>18</w:t>
            </w:r>
          </w:p>
        </w:tc>
        <w:tc>
          <w:tcPr>
            <w:tcW w:w="0" w:type="auto"/>
            <w:noWrap w:val="0"/>
            <w:vAlign w:val="center"/>
          </w:tcPr>
          <w:p w14:paraId="0A6DBBCD">
            <w:pPr>
              <w:jc w:val="center"/>
              <w:rPr>
                <w:rFonts w:ascii="宋体" w:hAnsi="宋体" w:cs="宋体"/>
                <w:color w:val="000000"/>
                <w:szCs w:val="21"/>
              </w:rPr>
            </w:pPr>
            <w:r>
              <w:rPr>
                <w:rFonts w:hint="eastAsia"/>
                <w:color w:val="000000"/>
                <w:szCs w:val="21"/>
              </w:rPr>
              <w:t>249</w:t>
            </w:r>
          </w:p>
        </w:tc>
      </w:tr>
      <w:tr w14:paraId="4DF0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150948CD">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vMerge w:val="restart"/>
            <w:noWrap w:val="0"/>
            <w:vAlign w:val="center"/>
          </w:tcPr>
          <w:p w14:paraId="2BF2FDA7">
            <w:pPr>
              <w:spacing w:before="100" w:beforeAutospacing="1" w:after="100" w:afterAutospacing="1" w:line="240" w:lineRule="atLeast"/>
              <w:jc w:val="center"/>
              <w:rPr>
                <w:rFonts w:eastAsia="楷体_GB2312"/>
                <w:kern w:val="0"/>
                <w:szCs w:val="21"/>
              </w:rPr>
            </w:pPr>
            <w:r>
              <w:rPr>
                <w:rFonts w:hint="eastAsia" w:eastAsia="楷体_GB2312"/>
                <w:kern w:val="0"/>
                <w:szCs w:val="21"/>
              </w:rPr>
              <w:t>蕲县镇</w:t>
            </w:r>
          </w:p>
        </w:tc>
        <w:tc>
          <w:tcPr>
            <w:tcW w:w="0" w:type="auto"/>
            <w:noWrap w:val="0"/>
            <w:vAlign w:val="center"/>
          </w:tcPr>
          <w:p w14:paraId="24D3065B">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749D1716">
            <w:pPr>
              <w:spacing w:before="100" w:beforeAutospacing="1" w:after="100" w:afterAutospacing="1" w:line="240" w:lineRule="atLeast"/>
              <w:jc w:val="center"/>
              <w:rPr>
                <w:rFonts w:eastAsia="楷体_GB2312"/>
                <w:kern w:val="0"/>
                <w:szCs w:val="21"/>
              </w:rPr>
            </w:pPr>
            <w:r>
              <w:rPr>
                <w:rFonts w:hint="eastAsia" w:eastAsia="楷体_GB2312"/>
                <w:kern w:val="0"/>
                <w:szCs w:val="21"/>
              </w:rPr>
              <w:t>18</w:t>
            </w:r>
          </w:p>
        </w:tc>
        <w:tc>
          <w:tcPr>
            <w:tcW w:w="1105" w:type="dxa"/>
            <w:noWrap w:val="0"/>
            <w:vAlign w:val="center"/>
          </w:tcPr>
          <w:p w14:paraId="48AEEFB9">
            <w:pPr>
              <w:spacing w:before="100" w:beforeAutospacing="1" w:after="100" w:afterAutospacing="1" w:line="240" w:lineRule="atLeast"/>
              <w:jc w:val="center"/>
              <w:rPr>
                <w:rFonts w:eastAsia="楷体_GB2312"/>
                <w:szCs w:val="21"/>
              </w:rPr>
            </w:pPr>
            <w:r>
              <w:rPr>
                <w:rFonts w:hint="eastAsia" w:eastAsia="楷体_GB2312"/>
                <w:szCs w:val="21"/>
              </w:rPr>
              <w:t>73</w:t>
            </w:r>
          </w:p>
        </w:tc>
        <w:tc>
          <w:tcPr>
            <w:tcW w:w="1081" w:type="dxa"/>
            <w:noWrap w:val="0"/>
            <w:vAlign w:val="center"/>
          </w:tcPr>
          <w:p w14:paraId="7E9AE308">
            <w:pPr>
              <w:jc w:val="center"/>
              <w:rPr>
                <w:rFonts w:ascii="宋体" w:hAnsi="宋体" w:cs="宋体"/>
                <w:color w:val="000000"/>
                <w:szCs w:val="21"/>
              </w:rPr>
            </w:pPr>
            <w:r>
              <w:rPr>
                <w:rFonts w:hint="eastAsia"/>
                <w:color w:val="000000"/>
                <w:szCs w:val="21"/>
              </w:rPr>
              <w:t>580</w:t>
            </w:r>
          </w:p>
        </w:tc>
        <w:tc>
          <w:tcPr>
            <w:tcW w:w="0" w:type="auto"/>
            <w:noWrap w:val="0"/>
            <w:vAlign w:val="center"/>
          </w:tcPr>
          <w:p w14:paraId="6931534C">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2C8ABB5D">
            <w:pPr>
              <w:spacing w:before="100" w:beforeAutospacing="1" w:after="100" w:afterAutospacing="1" w:line="240" w:lineRule="atLeast"/>
              <w:jc w:val="center"/>
              <w:rPr>
                <w:rFonts w:eastAsia="楷体_GB2312"/>
                <w:szCs w:val="21"/>
              </w:rPr>
            </w:pPr>
            <w:r>
              <w:rPr>
                <w:rFonts w:hint="eastAsia" w:eastAsia="楷体_GB2312"/>
                <w:szCs w:val="21"/>
              </w:rPr>
              <w:t>73</w:t>
            </w:r>
          </w:p>
        </w:tc>
        <w:tc>
          <w:tcPr>
            <w:tcW w:w="0" w:type="auto"/>
            <w:noWrap w:val="0"/>
            <w:vAlign w:val="center"/>
          </w:tcPr>
          <w:p w14:paraId="0CD5F04C">
            <w:pPr>
              <w:jc w:val="center"/>
              <w:rPr>
                <w:rFonts w:ascii="宋体" w:hAnsi="宋体" w:cs="宋体"/>
                <w:color w:val="000000"/>
                <w:szCs w:val="21"/>
              </w:rPr>
            </w:pPr>
            <w:r>
              <w:rPr>
                <w:rFonts w:hint="eastAsia"/>
                <w:color w:val="000000"/>
                <w:szCs w:val="21"/>
              </w:rPr>
              <w:t>464</w:t>
            </w:r>
          </w:p>
        </w:tc>
      </w:tr>
      <w:tr w14:paraId="072E4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1701E40">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37E96DC9">
            <w:pPr>
              <w:spacing w:before="100" w:beforeAutospacing="1" w:after="100" w:afterAutospacing="1" w:line="240" w:lineRule="atLeast"/>
              <w:jc w:val="center"/>
              <w:rPr>
                <w:rFonts w:eastAsia="楷体_GB2312"/>
                <w:kern w:val="0"/>
                <w:szCs w:val="21"/>
              </w:rPr>
            </w:pPr>
          </w:p>
        </w:tc>
        <w:tc>
          <w:tcPr>
            <w:tcW w:w="0" w:type="auto"/>
            <w:noWrap w:val="0"/>
            <w:vAlign w:val="center"/>
          </w:tcPr>
          <w:p w14:paraId="5597E723">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283A4ADF">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1105" w:type="dxa"/>
            <w:noWrap w:val="0"/>
            <w:vAlign w:val="center"/>
          </w:tcPr>
          <w:p w14:paraId="65E4D690">
            <w:pPr>
              <w:spacing w:before="100" w:beforeAutospacing="1" w:after="100" w:afterAutospacing="1" w:line="240" w:lineRule="atLeast"/>
              <w:jc w:val="center"/>
              <w:rPr>
                <w:rFonts w:eastAsia="楷体_GB2312"/>
                <w:szCs w:val="21"/>
              </w:rPr>
            </w:pPr>
            <w:r>
              <w:rPr>
                <w:rFonts w:hint="eastAsia" w:eastAsia="楷体_GB2312"/>
                <w:szCs w:val="21"/>
              </w:rPr>
              <w:t>43</w:t>
            </w:r>
          </w:p>
        </w:tc>
        <w:tc>
          <w:tcPr>
            <w:tcW w:w="1081" w:type="dxa"/>
            <w:noWrap w:val="0"/>
            <w:vAlign w:val="center"/>
          </w:tcPr>
          <w:p w14:paraId="63E17FE8">
            <w:pPr>
              <w:jc w:val="center"/>
              <w:rPr>
                <w:rFonts w:ascii="宋体" w:hAnsi="宋体" w:cs="宋体"/>
                <w:color w:val="000000"/>
                <w:szCs w:val="21"/>
              </w:rPr>
            </w:pPr>
            <w:r>
              <w:rPr>
                <w:rFonts w:hint="eastAsia"/>
                <w:color w:val="000000"/>
                <w:szCs w:val="21"/>
              </w:rPr>
              <w:t>461</w:t>
            </w:r>
          </w:p>
        </w:tc>
        <w:tc>
          <w:tcPr>
            <w:tcW w:w="0" w:type="auto"/>
            <w:noWrap w:val="0"/>
            <w:vAlign w:val="center"/>
          </w:tcPr>
          <w:p w14:paraId="1FFD8214">
            <w:pPr>
              <w:spacing w:before="100" w:beforeAutospacing="1" w:after="100" w:afterAutospacing="1" w:line="240" w:lineRule="atLeast"/>
              <w:jc w:val="center"/>
              <w:rPr>
                <w:rFonts w:eastAsia="楷体_GB2312"/>
                <w:kern w:val="0"/>
                <w:szCs w:val="21"/>
              </w:rPr>
            </w:pPr>
            <w:r>
              <w:rPr>
                <w:rFonts w:hint="eastAsia" w:eastAsia="楷体_GB2312"/>
                <w:kern w:val="0"/>
                <w:szCs w:val="21"/>
              </w:rPr>
              <w:t>9</w:t>
            </w:r>
          </w:p>
        </w:tc>
        <w:tc>
          <w:tcPr>
            <w:tcW w:w="0" w:type="auto"/>
            <w:noWrap w:val="0"/>
            <w:vAlign w:val="center"/>
          </w:tcPr>
          <w:p w14:paraId="72A47725">
            <w:pPr>
              <w:spacing w:before="100" w:beforeAutospacing="1" w:after="100" w:afterAutospacing="1" w:line="240" w:lineRule="atLeast"/>
              <w:jc w:val="center"/>
              <w:rPr>
                <w:rFonts w:eastAsia="楷体_GB2312"/>
                <w:szCs w:val="21"/>
              </w:rPr>
            </w:pPr>
            <w:r>
              <w:rPr>
                <w:rFonts w:hint="eastAsia" w:eastAsia="楷体_GB2312"/>
                <w:szCs w:val="21"/>
              </w:rPr>
              <w:t>43</w:t>
            </w:r>
          </w:p>
        </w:tc>
        <w:tc>
          <w:tcPr>
            <w:tcW w:w="0" w:type="auto"/>
            <w:noWrap w:val="0"/>
            <w:vAlign w:val="center"/>
          </w:tcPr>
          <w:p w14:paraId="69963D46">
            <w:pPr>
              <w:jc w:val="center"/>
              <w:rPr>
                <w:rFonts w:ascii="宋体" w:hAnsi="宋体" w:cs="宋体"/>
                <w:color w:val="000000"/>
                <w:szCs w:val="21"/>
              </w:rPr>
            </w:pPr>
            <w:r>
              <w:rPr>
                <w:rFonts w:hint="eastAsia"/>
                <w:color w:val="000000"/>
                <w:szCs w:val="21"/>
              </w:rPr>
              <w:t>301</w:t>
            </w:r>
          </w:p>
        </w:tc>
      </w:tr>
      <w:tr w14:paraId="489B7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40259E12">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3FC36B11">
            <w:pPr>
              <w:spacing w:before="100" w:beforeAutospacing="1" w:after="100" w:afterAutospacing="1" w:line="240" w:lineRule="atLeast"/>
              <w:jc w:val="center"/>
              <w:rPr>
                <w:rFonts w:eastAsia="楷体_GB2312"/>
                <w:kern w:val="0"/>
                <w:szCs w:val="21"/>
              </w:rPr>
            </w:pPr>
          </w:p>
        </w:tc>
        <w:tc>
          <w:tcPr>
            <w:tcW w:w="0" w:type="auto"/>
            <w:noWrap w:val="0"/>
            <w:vAlign w:val="center"/>
          </w:tcPr>
          <w:p w14:paraId="55B20467">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47ABB317">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1105" w:type="dxa"/>
            <w:noWrap w:val="0"/>
            <w:vAlign w:val="center"/>
          </w:tcPr>
          <w:p w14:paraId="7C4B64A2">
            <w:pPr>
              <w:spacing w:before="100" w:beforeAutospacing="1" w:after="100" w:afterAutospacing="1" w:line="240" w:lineRule="atLeast"/>
              <w:jc w:val="center"/>
              <w:rPr>
                <w:rFonts w:eastAsia="楷体_GB2312"/>
                <w:szCs w:val="21"/>
              </w:rPr>
            </w:pPr>
            <w:r>
              <w:rPr>
                <w:rFonts w:hint="eastAsia" w:eastAsia="楷体_GB2312"/>
                <w:szCs w:val="21"/>
              </w:rPr>
              <w:t>20</w:t>
            </w:r>
          </w:p>
        </w:tc>
        <w:tc>
          <w:tcPr>
            <w:tcW w:w="1081" w:type="dxa"/>
            <w:noWrap w:val="0"/>
            <w:vAlign w:val="center"/>
          </w:tcPr>
          <w:p w14:paraId="39A9C3F6">
            <w:pPr>
              <w:jc w:val="center"/>
              <w:rPr>
                <w:rFonts w:ascii="宋体" w:hAnsi="宋体" w:cs="宋体"/>
                <w:color w:val="000000"/>
                <w:szCs w:val="21"/>
              </w:rPr>
            </w:pPr>
            <w:r>
              <w:rPr>
                <w:rFonts w:hint="eastAsia"/>
                <w:color w:val="000000"/>
                <w:szCs w:val="21"/>
              </w:rPr>
              <w:t>390</w:t>
            </w:r>
          </w:p>
        </w:tc>
        <w:tc>
          <w:tcPr>
            <w:tcW w:w="0" w:type="auto"/>
            <w:noWrap w:val="0"/>
            <w:vAlign w:val="center"/>
          </w:tcPr>
          <w:p w14:paraId="5C9429EE">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59EB973E">
            <w:pPr>
              <w:spacing w:before="100" w:beforeAutospacing="1" w:after="100" w:afterAutospacing="1" w:line="240" w:lineRule="atLeast"/>
              <w:jc w:val="center"/>
              <w:rPr>
                <w:rFonts w:eastAsia="楷体_GB2312"/>
                <w:szCs w:val="21"/>
              </w:rPr>
            </w:pPr>
            <w:r>
              <w:rPr>
                <w:rFonts w:hint="eastAsia" w:eastAsia="楷体_GB2312"/>
                <w:szCs w:val="21"/>
              </w:rPr>
              <w:t>20</w:t>
            </w:r>
          </w:p>
        </w:tc>
        <w:tc>
          <w:tcPr>
            <w:tcW w:w="0" w:type="auto"/>
            <w:noWrap w:val="0"/>
            <w:vAlign w:val="center"/>
          </w:tcPr>
          <w:p w14:paraId="18CA025A">
            <w:pPr>
              <w:jc w:val="center"/>
              <w:rPr>
                <w:rFonts w:ascii="宋体" w:hAnsi="宋体" w:cs="宋体"/>
                <w:color w:val="000000"/>
                <w:szCs w:val="21"/>
              </w:rPr>
            </w:pPr>
            <w:r>
              <w:rPr>
                <w:rFonts w:hint="eastAsia"/>
                <w:color w:val="000000"/>
                <w:szCs w:val="21"/>
              </w:rPr>
              <w:t>226</w:t>
            </w:r>
          </w:p>
        </w:tc>
      </w:tr>
      <w:tr w14:paraId="3BB85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012764EF">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vMerge w:val="restart"/>
            <w:noWrap w:val="0"/>
            <w:vAlign w:val="center"/>
          </w:tcPr>
          <w:p w14:paraId="08C6B8DB">
            <w:pPr>
              <w:spacing w:before="100" w:beforeAutospacing="1" w:after="100" w:afterAutospacing="1" w:line="240" w:lineRule="atLeast"/>
              <w:jc w:val="center"/>
              <w:rPr>
                <w:rFonts w:eastAsia="楷体_GB2312"/>
                <w:kern w:val="0"/>
                <w:szCs w:val="21"/>
              </w:rPr>
            </w:pPr>
            <w:r>
              <w:rPr>
                <w:rFonts w:hint="eastAsia" w:eastAsia="楷体_GB2312"/>
                <w:kern w:val="0"/>
                <w:szCs w:val="21"/>
              </w:rPr>
              <w:t>芦岭镇</w:t>
            </w:r>
          </w:p>
        </w:tc>
        <w:tc>
          <w:tcPr>
            <w:tcW w:w="0" w:type="auto"/>
            <w:noWrap w:val="0"/>
            <w:vAlign w:val="center"/>
          </w:tcPr>
          <w:p w14:paraId="64823695">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72EFDFBC">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1105" w:type="dxa"/>
            <w:noWrap w:val="0"/>
            <w:vAlign w:val="center"/>
          </w:tcPr>
          <w:p w14:paraId="0123CC41">
            <w:pPr>
              <w:spacing w:before="100" w:beforeAutospacing="1" w:after="100" w:afterAutospacing="1" w:line="240" w:lineRule="atLeast"/>
              <w:jc w:val="center"/>
              <w:rPr>
                <w:szCs w:val="21"/>
              </w:rPr>
            </w:pPr>
            <w:r>
              <w:rPr>
                <w:rFonts w:hint="eastAsia"/>
                <w:szCs w:val="21"/>
              </w:rPr>
              <w:t>80</w:t>
            </w:r>
          </w:p>
        </w:tc>
        <w:tc>
          <w:tcPr>
            <w:tcW w:w="1081" w:type="dxa"/>
            <w:noWrap w:val="0"/>
            <w:vAlign w:val="center"/>
          </w:tcPr>
          <w:p w14:paraId="53335375">
            <w:pPr>
              <w:jc w:val="center"/>
              <w:rPr>
                <w:rFonts w:ascii="宋体" w:hAnsi="宋体" w:cs="宋体"/>
                <w:color w:val="000000"/>
                <w:szCs w:val="21"/>
              </w:rPr>
            </w:pPr>
            <w:r>
              <w:rPr>
                <w:rFonts w:hint="eastAsia"/>
                <w:color w:val="000000"/>
                <w:szCs w:val="21"/>
              </w:rPr>
              <w:t>561</w:t>
            </w:r>
          </w:p>
        </w:tc>
        <w:tc>
          <w:tcPr>
            <w:tcW w:w="0" w:type="auto"/>
            <w:noWrap w:val="0"/>
            <w:vAlign w:val="center"/>
          </w:tcPr>
          <w:p w14:paraId="4AED1A9F">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7EE897C3">
            <w:pPr>
              <w:spacing w:before="100" w:beforeAutospacing="1" w:after="100" w:afterAutospacing="1" w:line="240" w:lineRule="atLeast"/>
              <w:jc w:val="center"/>
              <w:rPr>
                <w:szCs w:val="21"/>
              </w:rPr>
            </w:pPr>
            <w:r>
              <w:rPr>
                <w:rFonts w:hint="eastAsia"/>
                <w:szCs w:val="21"/>
              </w:rPr>
              <w:t>80</w:t>
            </w:r>
          </w:p>
        </w:tc>
        <w:tc>
          <w:tcPr>
            <w:tcW w:w="0" w:type="auto"/>
            <w:noWrap w:val="0"/>
            <w:vAlign w:val="center"/>
          </w:tcPr>
          <w:p w14:paraId="0DC0FEDA">
            <w:pPr>
              <w:jc w:val="center"/>
              <w:rPr>
                <w:rFonts w:ascii="宋体" w:hAnsi="宋体" w:cs="宋体"/>
                <w:color w:val="000000"/>
                <w:szCs w:val="21"/>
              </w:rPr>
            </w:pPr>
            <w:r>
              <w:rPr>
                <w:rFonts w:hint="eastAsia"/>
                <w:color w:val="000000"/>
                <w:szCs w:val="21"/>
              </w:rPr>
              <w:t>418</w:t>
            </w:r>
          </w:p>
        </w:tc>
      </w:tr>
      <w:tr w14:paraId="4492C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776AE9F">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FD8121B">
            <w:pPr>
              <w:spacing w:before="100" w:beforeAutospacing="1" w:after="100" w:afterAutospacing="1" w:line="240" w:lineRule="atLeast"/>
              <w:jc w:val="center"/>
              <w:rPr>
                <w:rFonts w:eastAsia="楷体_GB2312"/>
                <w:kern w:val="0"/>
                <w:szCs w:val="21"/>
              </w:rPr>
            </w:pPr>
          </w:p>
        </w:tc>
        <w:tc>
          <w:tcPr>
            <w:tcW w:w="0" w:type="auto"/>
            <w:noWrap w:val="0"/>
            <w:vAlign w:val="center"/>
          </w:tcPr>
          <w:p w14:paraId="3983D17D">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57D84821">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1105" w:type="dxa"/>
            <w:noWrap w:val="0"/>
            <w:vAlign w:val="center"/>
          </w:tcPr>
          <w:p w14:paraId="71176D0B">
            <w:pPr>
              <w:spacing w:before="100" w:beforeAutospacing="1" w:after="100" w:afterAutospacing="1" w:line="240" w:lineRule="atLeast"/>
              <w:jc w:val="center"/>
              <w:rPr>
                <w:szCs w:val="21"/>
              </w:rPr>
            </w:pPr>
            <w:r>
              <w:rPr>
                <w:rFonts w:hint="eastAsia"/>
                <w:szCs w:val="21"/>
              </w:rPr>
              <w:t>54</w:t>
            </w:r>
          </w:p>
        </w:tc>
        <w:tc>
          <w:tcPr>
            <w:tcW w:w="1081" w:type="dxa"/>
            <w:noWrap w:val="0"/>
            <w:vAlign w:val="center"/>
          </w:tcPr>
          <w:p w14:paraId="1515FB99">
            <w:pPr>
              <w:jc w:val="center"/>
              <w:rPr>
                <w:rFonts w:ascii="宋体" w:hAnsi="宋体" w:cs="宋体"/>
                <w:color w:val="000000"/>
                <w:szCs w:val="21"/>
              </w:rPr>
            </w:pPr>
            <w:r>
              <w:rPr>
                <w:rFonts w:hint="eastAsia"/>
                <w:color w:val="000000"/>
                <w:szCs w:val="21"/>
              </w:rPr>
              <w:t>445</w:t>
            </w:r>
          </w:p>
        </w:tc>
        <w:tc>
          <w:tcPr>
            <w:tcW w:w="0" w:type="auto"/>
            <w:noWrap w:val="0"/>
            <w:vAlign w:val="center"/>
          </w:tcPr>
          <w:p w14:paraId="42779A0E">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3ABEF3FE">
            <w:pPr>
              <w:spacing w:before="100" w:beforeAutospacing="1" w:after="100" w:afterAutospacing="1" w:line="240" w:lineRule="atLeast"/>
              <w:jc w:val="center"/>
              <w:rPr>
                <w:szCs w:val="21"/>
              </w:rPr>
            </w:pPr>
            <w:r>
              <w:rPr>
                <w:rFonts w:hint="eastAsia"/>
                <w:szCs w:val="21"/>
              </w:rPr>
              <w:t>54</w:t>
            </w:r>
          </w:p>
        </w:tc>
        <w:tc>
          <w:tcPr>
            <w:tcW w:w="0" w:type="auto"/>
            <w:noWrap w:val="0"/>
            <w:vAlign w:val="center"/>
          </w:tcPr>
          <w:p w14:paraId="63AEA41B">
            <w:pPr>
              <w:jc w:val="center"/>
              <w:rPr>
                <w:rFonts w:ascii="宋体" w:hAnsi="宋体" w:cs="宋体"/>
                <w:color w:val="000000"/>
                <w:szCs w:val="21"/>
              </w:rPr>
            </w:pPr>
            <w:r>
              <w:rPr>
                <w:rFonts w:hint="eastAsia"/>
                <w:color w:val="000000"/>
                <w:szCs w:val="21"/>
              </w:rPr>
              <w:t>329</w:t>
            </w:r>
          </w:p>
        </w:tc>
      </w:tr>
      <w:tr w14:paraId="615E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38CB4F9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CB9A21F">
            <w:pPr>
              <w:spacing w:before="100" w:beforeAutospacing="1" w:after="100" w:afterAutospacing="1" w:line="240" w:lineRule="atLeast"/>
              <w:jc w:val="center"/>
              <w:rPr>
                <w:rFonts w:eastAsia="楷体_GB2312"/>
                <w:kern w:val="0"/>
                <w:szCs w:val="21"/>
              </w:rPr>
            </w:pPr>
          </w:p>
        </w:tc>
        <w:tc>
          <w:tcPr>
            <w:tcW w:w="0" w:type="auto"/>
            <w:noWrap w:val="0"/>
            <w:vAlign w:val="center"/>
          </w:tcPr>
          <w:p w14:paraId="66C5FD83">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6AB17B8F">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1105" w:type="dxa"/>
            <w:noWrap w:val="0"/>
            <w:vAlign w:val="center"/>
          </w:tcPr>
          <w:p w14:paraId="4C270B50">
            <w:pPr>
              <w:spacing w:before="100" w:beforeAutospacing="1" w:after="100" w:afterAutospacing="1" w:line="240" w:lineRule="atLeast"/>
              <w:jc w:val="center"/>
              <w:rPr>
                <w:szCs w:val="21"/>
              </w:rPr>
            </w:pPr>
            <w:r>
              <w:rPr>
                <w:rFonts w:hint="eastAsia"/>
                <w:szCs w:val="21"/>
              </w:rPr>
              <w:t>22</w:t>
            </w:r>
          </w:p>
        </w:tc>
        <w:tc>
          <w:tcPr>
            <w:tcW w:w="1081" w:type="dxa"/>
            <w:noWrap w:val="0"/>
            <w:vAlign w:val="center"/>
          </w:tcPr>
          <w:p w14:paraId="4FB4323B">
            <w:pPr>
              <w:jc w:val="center"/>
              <w:rPr>
                <w:rFonts w:ascii="宋体" w:hAnsi="宋体" w:cs="宋体"/>
                <w:color w:val="000000"/>
                <w:szCs w:val="21"/>
              </w:rPr>
            </w:pPr>
            <w:r>
              <w:rPr>
                <w:rFonts w:hint="eastAsia"/>
                <w:color w:val="000000"/>
                <w:szCs w:val="21"/>
              </w:rPr>
              <w:t>340</w:t>
            </w:r>
          </w:p>
        </w:tc>
        <w:tc>
          <w:tcPr>
            <w:tcW w:w="0" w:type="auto"/>
            <w:noWrap w:val="0"/>
            <w:vAlign w:val="center"/>
          </w:tcPr>
          <w:p w14:paraId="7460D7CA">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2DFB3A36">
            <w:pPr>
              <w:spacing w:before="100" w:beforeAutospacing="1" w:after="100" w:afterAutospacing="1" w:line="240" w:lineRule="atLeast"/>
              <w:jc w:val="center"/>
              <w:rPr>
                <w:szCs w:val="21"/>
              </w:rPr>
            </w:pPr>
            <w:r>
              <w:rPr>
                <w:rFonts w:hint="eastAsia"/>
                <w:szCs w:val="21"/>
              </w:rPr>
              <w:t>22</w:t>
            </w:r>
          </w:p>
        </w:tc>
        <w:tc>
          <w:tcPr>
            <w:tcW w:w="0" w:type="auto"/>
            <w:noWrap w:val="0"/>
            <w:vAlign w:val="center"/>
          </w:tcPr>
          <w:p w14:paraId="17309F4F">
            <w:pPr>
              <w:jc w:val="center"/>
              <w:rPr>
                <w:rFonts w:ascii="宋体" w:hAnsi="宋体" w:cs="宋体"/>
                <w:color w:val="000000"/>
                <w:szCs w:val="21"/>
              </w:rPr>
            </w:pPr>
            <w:r>
              <w:rPr>
                <w:rFonts w:hint="eastAsia"/>
                <w:color w:val="000000"/>
                <w:szCs w:val="21"/>
              </w:rPr>
              <w:t>225</w:t>
            </w:r>
          </w:p>
        </w:tc>
      </w:tr>
      <w:tr w14:paraId="2A48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5BDB8FDF">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vMerge w:val="restart"/>
            <w:noWrap w:val="0"/>
            <w:vAlign w:val="center"/>
          </w:tcPr>
          <w:p w14:paraId="61E6B498">
            <w:pPr>
              <w:spacing w:before="100" w:beforeAutospacing="1" w:after="100" w:afterAutospacing="1" w:line="240" w:lineRule="atLeast"/>
              <w:jc w:val="center"/>
              <w:rPr>
                <w:rFonts w:eastAsia="楷体_GB2312"/>
                <w:kern w:val="0"/>
                <w:szCs w:val="21"/>
              </w:rPr>
            </w:pPr>
            <w:r>
              <w:rPr>
                <w:rFonts w:hint="eastAsia" w:eastAsia="楷体_GB2312"/>
                <w:kern w:val="0"/>
                <w:szCs w:val="21"/>
              </w:rPr>
              <w:t>大店镇</w:t>
            </w:r>
          </w:p>
        </w:tc>
        <w:tc>
          <w:tcPr>
            <w:tcW w:w="0" w:type="auto"/>
            <w:noWrap w:val="0"/>
            <w:vAlign w:val="center"/>
          </w:tcPr>
          <w:p w14:paraId="559AE6E9">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0AB3A189">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1105" w:type="dxa"/>
            <w:noWrap w:val="0"/>
            <w:vAlign w:val="center"/>
          </w:tcPr>
          <w:p w14:paraId="64B27EB6">
            <w:pPr>
              <w:spacing w:before="100" w:beforeAutospacing="1" w:after="100" w:afterAutospacing="1" w:line="240" w:lineRule="atLeast"/>
              <w:jc w:val="center"/>
              <w:rPr>
                <w:rFonts w:eastAsia="楷体_GB2312"/>
                <w:szCs w:val="21"/>
              </w:rPr>
            </w:pPr>
            <w:r>
              <w:rPr>
                <w:rFonts w:hint="eastAsia" w:eastAsia="楷体_GB2312"/>
                <w:szCs w:val="21"/>
              </w:rPr>
              <w:t>78</w:t>
            </w:r>
          </w:p>
        </w:tc>
        <w:tc>
          <w:tcPr>
            <w:tcW w:w="1081" w:type="dxa"/>
            <w:noWrap w:val="0"/>
            <w:vAlign w:val="center"/>
          </w:tcPr>
          <w:p w14:paraId="65E18957">
            <w:pPr>
              <w:jc w:val="center"/>
              <w:rPr>
                <w:rFonts w:ascii="宋体" w:hAnsi="宋体" w:cs="宋体"/>
                <w:color w:val="000000"/>
                <w:szCs w:val="21"/>
              </w:rPr>
            </w:pPr>
            <w:r>
              <w:rPr>
                <w:rFonts w:hint="eastAsia"/>
                <w:color w:val="000000"/>
                <w:szCs w:val="21"/>
              </w:rPr>
              <w:t>525</w:t>
            </w:r>
          </w:p>
        </w:tc>
        <w:tc>
          <w:tcPr>
            <w:tcW w:w="0" w:type="auto"/>
            <w:noWrap w:val="0"/>
            <w:vAlign w:val="center"/>
          </w:tcPr>
          <w:p w14:paraId="4EA2000F">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0B3F9386">
            <w:pPr>
              <w:spacing w:before="100" w:beforeAutospacing="1" w:after="100" w:afterAutospacing="1" w:line="240" w:lineRule="atLeast"/>
              <w:jc w:val="center"/>
              <w:rPr>
                <w:rFonts w:eastAsia="楷体_GB2312"/>
                <w:szCs w:val="21"/>
              </w:rPr>
            </w:pPr>
            <w:r>
              <w:rPr>
                <w:rFonts w:hint="eastAsia" w:eastAsia="楷体_GB2312"/>
                <w:szCs w:val="21"/>
              </w:rPr>
              <w:t>78</w:t>
            </w:r>
          </w:p>
        </w:tc>
        <w:tc>
          <w:tcPr>
            <w:tcW w:w="0" w:type="auto"/>
            <w:noWrap w:val="0"/>
            <w:vAlign w:val="center"/>
          </w:tcPr>
          <w:p w14:paraId="1E4B23D2">
            <w:pPr>
              <w:jc w:val="center"/>
              <w:rPr>
                <w:rFonts w:ascii="宋体" w:hAnsi="宋体" w:cs="宋体"/>
                <w:color w:val="000000"/>
                <w:szCs w:val="21"/>
              </w:rPr>
            </w:pPr>
            <w:r>
              <w:rPr>
                <w:rFonts w:hint="eastAsia"/>
                <w:color w:val="000000"/>
                <w:szCs w:val="21"/>
              </w:rPr>
              <w:t>396</w:t>
            </w:r>
          </w:p>
        </w:tc>
      </w:tr>
      <w:tr w14:paraId="3B90E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09D7CF8">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3CED742D">
            <w:pPr>
              <w:spacing w:before="100" w:beforeAutospacing="1" w:after="100" w:afterAutospacing="1" w:line="240" w:lineRule="atLeast"/>
              <w:jc w:val="center"/>
              <w:rPr>
                <w:rFonts w:eastAsia="楷体_GB2312"/>
                <w:kern w:val="0"/>
                <w:szCs w:val="21"/>
              </w:rPr>
            </w:pPr>
          </w:p>
        </w:tc>
        <w:tc>
          <w:tcPr>
            <w:tcW w:w="0" w:type="auto"/>
            <w:noWrap w:val="0"/>
            <w:vAlign w:val="center"/>
          </w:tcPr>
          <w:p w14:paraId="4C147E84">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35621EF3">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1105" w:type="dxa"/>
            <w:noWrap w:val="0"/>
            <w:vAlign w:val="center"/>
          </w:tcPr>
          <w:p w14:paraId="4730DD34">
            <w:pPr>
              <w:spacing w:before="100" w:beforeAutospacing="1" w:after="100" w:afterAutospacing="1" w:line="240" w:lineRule="atLeast"/>
              <w:jc w:val="center"/>
              <w:rPr>
                <w:rFonts w:eastAsia="楷体_GB2312"/>
                <w:szCs w:val="21"/>
              </w:rPr>
            </w:pPr>
            <w:r>
              <w:rPr>
                <w:rFonts w:hint="eastAsia" w:eastAsia="楷体_GB2312"/>
                <w:szCs w:val="21"/>
              </w:rPr>
              <w:t>52</w:t>
            </w:r>
          </w:p>
        </w:tc>
        <w:tc>
          <w:tcPr>
            <w:tcW w:w="1081" w:type="dxa"/>
            <w:noWrap w:val="0"/>
            <w:vAlign w:val="center"/>
          </w:tcPr>
          <w:p w14:paraId="133AFF94">
            <w:pPr>
              <w:jc w:val="center"/>
              <w:rPr>
                <w:rFonts w:ascii="宋体" w:hAnsi="宋体" w:cs="宋体"/>
                <w:color w:val="000000"/>
                <w:szCs w:val="21"/>
              </w:rPr>
            </w:pPr>
            <w:r>
              <w:rPr>
                <w:rFonts w:hint="eastAsia"/>
                <w:color w:val="000000"/>
                <w:szCs w:val="21"/>
              </w:rPr>
              <w:t>408</w:t>
            </w:r>
          </w:p>
        </w:tc>
        <w:tc>
          <w:tcPr>
            <w:tcW w:w="0" w:type="auto"/>
            <w:noWrap w:val="0"/>
            <w:vAlign w:val="center"/>
          </w:tcPr>
          <w:p w14:paraId="4918FF7B">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0" w:type="auto"/>
            <w:noWrap w:val="0"/>
            <w:vAlign w:val="center"/>
          </w:tcPr>
          <w:p w14:paraId="1CB86185">
            <w:pPr>
              <w:spacing w:before="100" w:beforeAutospacing="1" w:after="100" w:afterAutospacing="1" w:line="240" w:lineRule="atLeast"/>
              <w:jc w:val="center"/>
              <w:rPr>
                <w:rFonts w:eastAsia="楷体_GB2312"/>
                <w:szCs w:val="21"/>
              </w:rPr>
            </w:pPr>
            <w:r>
              <w:rPr>
                <w:rFonts w:hint="eastAsia" w:eastAsia="楷体_GB2312"/>
                <w:szCs w:val="21"/>
              </w:rPr>
              <w:t>52</w:t>
            </w:r>
          </w:p>
        </w:tc>
        <w:tc>
          <w:tcPr>
            <w:tcW w:w="0" w:type="auto"/>
            <w:noWrap w:val="0"/>
            <w:vAlign w:val="center"/>
          </w:tcPr>
          <w:p w14:paraId="4F6AB9D9">
            <w:pPr>
              <w:jc w:val="center"/>
              <w:rPr>
                <w:rFonts w:ascii="宋体" w:hAnsi="宋体" w:cs="宋体"/>
                <w:color w:val="000000"/>
                <w:szCs w:val="21"/>
              </w:rPr>
            </w:pPr>
            <w:r>
              <w:rPr>
                <w:rFonts w:hint="eastAsia"/>
                <w:color w:val="000000"/>
                <w:szCs w:val="21"/>
              </w:rPr>
              <w:t>318</w:t>
            </w:r>
          </w:p>
        </w:tc>
      </w:tr>
      <w:tr w14:paraId="522A1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DE3B062">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153BC1D">
            <w:pPr>
              <w:spacing w:before="100" w:beforeAutospacing="1" w:after="100" w:afterAutospacing="1" w:line="240" w:lineRule="atLeast"/>
              <w:jc w:val="center"/>
              <w:rPr>
                <w:rFonts w:eastAsia="楷体_GB2312"/>
                <w:kern w:val="0"/>
                <w:szCs w:val="21"/>
              </w:rPr>
            </w:pPr>
          </w:p>
        </w:tc>
        <w:tc>
          <w:tcPr>
            <w:tcW w:w="0" w:type="auto"/>
            <w:noWrap w:val="0"/>
            <w:vAlign w:val="center"/>
          </w:tcPr>
          <w:p w14:paraId="6D2F5A8D">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63C9F990">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1105" w:type="dxa"/>
            <w:noWrap w:val="0"/>
            <w:vAlign w:val="center"/>
          </w:tcPr>
          <w:p w14:paraId="3AE812E3">
            <w:pPr>
              <w:spacing w:before="100" w:beforeAutospacing="1" w:after="100" w:afterAutospacing="1" w:line="240" w:lineRule="atLeast"/>
              <w:jc w:val="center"/>
              <w:rPr>
                <w:rFonts w:eastAsia="楷体_GB2312"/>
                <w:szCs w:val="21"/>
              </w:rPr>
            </w:pPr>
            <w:r>
              <w:rPr>
                <w:rFonts w:hint="eastAsia" w:eastAsia="楷体_GB2312"/>
                <w:szCs w:val="21"/>
              </w:rPr>
              <w:t>23</w:t>
            </w:r>
          </w:p>
        </w:tc>
        <w:tc>
          <w:tcPr>
            <w:tcW w:w="1081" w:type="dxa"/>
            <w:noWrap w:val="0"/>
            <w:vAlign w:val="center"/>
          </w:tcPr>
          <w:p w14:paraId="06B52B1C">
            <w:pPr>
              <w:jc w:val="center"/>
              <w:rPr>
                <w:rFonts w:ascii="宋体" w:hAnsi="宋体" w:cs="宋体"/>
                <w:color w:val="000000"/>
                <w:szCs w:val="21"/>
              </w:rPr>
            </w:pPr>
            <w:r>
              <w:rPr>
                <w:rFonts w:hint="eastAsia"/>
                <w:color w:val="000000"/>
                <w:szCs w:val="21"/>
              </w:rPr>
              <w:t>349</w:t>
            </w:r>
          </w:p>
        </w:tc>
        <w:tc>
          <w:tcPr>
            <w:tcW w:w="0" w:type="auto"/>
            <w:noWrap w:val="0"/>
            <w:vAlign w:val="center"/>
          </w:tcPr>
          <w:p w14:paraId="05C68E66">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76CE1261">
            <w:pPr>
              <w:spacing w:before="100" w:beforeAutospacing="1" w:after="100" w:afterAutospacing="1" w:line="240" w:lineRule="atLeast"/>
              <w:jc w:val="center"/>
              <w:rPr>
                <w:rFonts w:eastAsia="楷体_GB2312"/>
                <w:szCs w:val="21"/>
              </w:rPr>
            </w:pPr>
            <w:r>
              <w:rPr>
                <w:rFonts w:hint="eastAsia" w:eastAsia="楷体_GB2312"/>
                <w:szCs w:val="21"/>
              </w:rPr>
              <w:t>23</w:t>
            </w:r>
          </w:p>
        </w:tc>
        <w:tc>
          <w:tcPr>
            <w:tcW w:w="0" w:type="auto"/>
            <w:noWrap w:val="0"/>
            <w:vAlign w:val="center"/>
          </w:tcPr>
          <w:p w14:paraId="62FEFF93">
            <w:pPr>
              <w:jc w:val="center"/>
              <w:rPr>
                <w:rFonts w:ascii="宋体" w:hAnsi="宋体" w:cs="宋体"/>
                <w:color w:val="000000"/>
                <w:szCs w:val="21"/>
              </w:rPr>
            </w:pPr>
            <w:r>
              <w:rPr>
                <w:rFonts w:hint="eastAsia"/>
                <w:color w:val="000000"/>
                <w:szCs w:val="21"/>
              </w:rPr>
              <w:t>239</w:t>
            </w:r>
          </w:p>
        </w:tc>
      </w:tr>
      <w:tr w14:paraId="336A5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09FBC548">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0" w:type="auto"/>
            <w:vMerge w:val="restart"/>
            <w:noWrap w:val="0"/>
            <w:vAlign w:val="center"/>
          </w:tcPr>
          <w:p w14:paraId="36EF8387">
            <w:pPr>
              <w:spacing w:before="100" w:beforeAutospacing="1" w:after="100" w:afterAutospacing="1" w:line="240" w:lineRule="atLeast"/>
              <w:jc w:val="center"/>
              <w:rPr>
                <w:rFonts w:eastAsia="楷体_GB2312"/>
                <w:kern w:val="0"/>
                <w:szCs w:val="21"/>
              </w:rPr>
            </w:pPr>
            <w:r>
              <w:rPr>
                <w:rFonts w:hint="eastAsia" w:eastAsia="楷体_GB2312"/>
                <w:kern w:val="0"/>
                <w:szCs w:val="21"/>
              </w:rPr>
              <w:t>栏杆镇</w:t>
            </w:r>
          </w:p>
        </w:tc>
        <w:tc>
          <w:tcPr>
            <w:tcW w:w="0" w:type="auto"/>
            <w:noWrap w:val="0"/>
            <w:vAlign w:val="center"/>
          </w:tcPr>
          <w:p w14:paraId="04F80180">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62DF1CCD">
            <w:pPr>
              <w:spacing w:before="100" w:beforeAutospacing="1" w:after="100" w:afterAutospacing="1" w:line="240" w:lineRule="atLeast"/>
              <w:jc w:val="center"/>
              <w:rPr>
                <w:rFonts w:eastAsia="楷体_GB2312"/>
                <w:kern w:val="0"/>
                <w:szCs w:val="21"/>
              </w:rPr>
            </w:pPr>
            <w:r>
              <w:rPr>
                <w:rFonts w:hint="eastAsia" w:eastAsia="楷体_GB2312"/>
                <w:kern w:val="0"/>
                <w:szCs w:val="21"/>
              </w:rPr>
              <w:t>21</w:t>
            </w:r>
          </w:p>
        </w:tc>
        <w:tc>
          <w:tcPr>
            <w:tcW w:w="1105" w:type="dxa"/>
            <w:noWrap w:val="0"/>
            <w:vAlign w:val="center"/>
          </w:tcPr>
          <w:p w14:paraId="5C681DAB">
            <w:pPr>
              <w:spacing w:before="100" w:beforeAutospacing="1" w:after="100" w:afterAutospacing="1" w:line="240" w:lineRule="atLeast"/>
              <w:jc w:val="center"/>
              <w:rPr>
                <w:szCs w:val="21"/>
              </w:rPr>
            </w:pPr>
            <w:r>
              <w:rPr>
                <w:rFonts w:hint="eastAsia"/>
                <w:szCs w:val="21"/>
              </w:rPr>
              <w:t>86</w:t>
            </w:r>
          </w:p>
        </w:tc>
        <w:tc>
          <w:tcPr>
            <w:tcW w:w="1081" w:type="dxa"/>
            <w:noWrap w:val="0"/>
            <w:vAlign w:val="center"/>
          </w:tcPr>
          <w:p w14:paraId="700F63E4">
            <w:pPr>
              <w:jc w:val="center"/>
              <w:rPr>
                <w:rFonts w:ascii="宋体" w:hAnsi="宋体" w:cs="宋体"/>
                <w:color w:val="000000"/>
                <w:szCs w:val="21"/>
              </w:rPr>
            </w:pPr>
            <w:r>
              <w:rPr>
                <w:rFonts w:hint="eastAsia"/>
                <w:color w:val="000000"/>
                <w:szCs w:val="21"/>
              </w:rPr>
              <w:t>536</w:t>
            </w:r>
          </w:p>
        </w:tc>
        <w:tc>
          <w:tcPr>
            <w:tcW w:w="0" w:type="auto"/>
            <w:noWrap w:val="0"/>
            <w:vAlign w:val="center"/>
          </w:tcPr>
          <w:p w14:paraId="6E9A35F5">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56A5792C">
            <w:pPr>
              <w:spacing w:before="100" w:beforeAutospacing="1" w:after="100" w:afterAutospacing="1" w:line="240" w:lineRule="atLeast"/>
              <w:jc w:val="center"/>
              <w:rPr>
                <w:szCs w:val="21"/>
              </w:rPr>
            </w:pPr>
            <w:r>
              <w:rPr>
                <w:rFonts w:hint="eastAsia"/>
                <w:szCs w:val="21"/>
              </w:rPr>
              <w:t>86</w:t>
            </w:r>
          </w:p>
        </w:tc>
        <w:tc>
          <w:tcPr>
            <w:tcW w:w="0" w:type="auto"/>
            <w:noWrap w:val="0"/>
            <w:vAlign w:val="center"/>
          </w:tcPr>
          <w:p w14:paraId="019DE15D">
            <w:pPr>
              <w:jc w:val="center"/>
              <w:rPr>
                <w:rFonts w:ascii="宋体" w:hAnsi="宋体" w:cs="宋体"/>
                <w:color w:val="000000"/>
                <w:szCs w:val="21"/>
              </w:rPr>
            </w:pPr>
            <w:r>
              <w:rPr>
                <w:rFonts w:hint="eastAsia"/>
                <w:color w:val="000000"/>
                <w:szCs w:val="21"/>
              </w:rPr>
              <w:t>431</w:t>
            </w:r>
          </w:p>
        </w:tc>
      </w:tr>
      <w:tr w14:paraId="3A14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43C81A5">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875683E">
            <w:pPr>
              <w:spacing w:before="100" w:beforeAutospacing="1" w:after="100" w:afterAutospacing="1" w:line="240" w:lineRule="atLeast"/>
              <w:jc w:val="center"/>
              <w:rPr>
                <w:rFonts w:eastAsia="楷体_GB2312"/>
                <w:kern w:val="0"/>
                <w:szCs w:val="21"/>
              </w:rPr>
            </w:pPr>
          </w:p>
        </w:tc>
        <w:tc>
          <w:tcPr>
            <w:tcW w:w="0" w:type="auto"/>
            <w:noWrap w:val="0"/>
            <w:vAlign w:val="center"/>
          </w:tcPr>
          <w:p w14:paraId="743AEF0F">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7912913C">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1105" w:type="dxa"/>
            <w:noWrap w:val="0"/>
            <w:vAlign w:val="center"/>
          </w:tcPr>
          <w:p w14:paraId="3F7F90DA">
            <w:pPr>
              <w:spacing w:before="100" w:beforeAutospacing="1" w:after="100" w:afterAutospacing="1" w:line="240" w:lineRule="atLeast"/>
              <w:jc w:val="center"/>
              <w:rPr>
                <w:szCs w:val="21"/>
              </w:rPr>
            </w:pPr>
            <w:r>
              <w:rPr>
                <w:rFonts w:hint="eastAsia"/>
                <w:szCs w:val="21"/>
              </w:rPr>
              <w:t>48</w:t>
            </w:r>
          </w:p>
        </w:tc>
        <w:tc>
          <w:tcPr>
            <w:tcW w:w="1081" w:type="dxa"/>
            <w:noWrap w:val="0"/>
            <w:vAlign w:val="center"/>
          </w:tcPr>
          <w:p w14:paraId="3978E5AA">
            <w:pPr>
              <w:jc w:val="center"/>
              <w:rPr>
                <w:rFonts w:ascii="宋体" w:hAnsi="宋体" w:cs="宋体"/>
                <w:color w:val="000000"/>
                <w:szCs w:val="21"/>
              </w:rPr>
            </w:pPr>
            <w:r>
              <w:rPr>
                <w:rFonts w:hint="eastAsia"/>
                <w:color w:val="000000"/>
                <w:szCs w:val="21"/>
              </w:rPr>
              <w:t>422</w:t>
            </w:r>
          </w:p>
        </w:tc>
        <w:tc>
          <w:tcPr>
            <w:tcW w:w="0" w:type="auto"/>
            <w:noWrap w:val="0"/>
            <w:vAlign w:val="center"/>
          </w:tcPr>
          <w:p w14:paraId="1571B1F3">
            <w:pPr>
              <w:spacing w:before="100" w:beforeAutospacing="1" w:after="100" w:afterAutospacing="1" w:line="240" w:lineRule="atLeast"/>
              <w:jc w:val="center"/>
              <w:rPr>
                <w:rFonts w:eastAsia="楷体_GB2312"/>
                <w:kern w:val="0"/>
                <w:szCs w:val="21"/>
              </w:rPr>
            </w:pPr>
            <w:r>
              <w:rPr>
                <w:rFonts w:hint="eastAsia" w:eastAsia="楷体_GB2312"/>
                <w:kern w:val="0"/>
                <w:szCs w:val="21"/>
              </w:rPr>
              <w:t>6</w:t>
            </w:r>
          </w:p>
        </w:tc>
        <w:tc>
          <w:tcPr>
            <w:tcW w:w="0" w:type="auto"/>
            <w:noWrap w:val="0"/>
            <w:vAlign w:val="center"/>
          </w:tcPr>
          <w:p w14:paraId="33E21CDF">
            <w:pPr>
              <w:spacing w:before="100" w:beforeAutospacing="1" w:after="100" w:afterAutospacing="1" w:line="240" w:lineRule="atLeast"/>
              <w:jc w:val="center"/>
              <w:rPr>
                <w:szCs w:val="21"/>
              </w:rPr>
            </w:pPr>
            <w:r>
              <w:rPr>
                <w:rFonts w:hint="eastAsia"/>
                <w:szCs w:val="21"/>
              </w:rPr>
              <w:t>48</w:t>
            </w:r>
          </w:p>
        </w:tc>
        <w:tc>
          <w:tcPr>
            <w:tcW w:w="0" w:type="auto"/>
            <w:noWrap w:val="0"/>
            <w:vAlign w:val="center"/>
          </w:tcPr>
          <w:p w14:paraId="5E291330">
            <w:pPr>
              <w:jc w:val="center"/>
              <w:rPr>
                <w:rFonts w:ascii="宋体" w:hAnsi="宋体" w:cs="宋体"/>
                <w:color w:val="000000"/>
                <w:szCs w:val="21"/>
              </w:rPr>
            </w:pPr>
            <w:r>
              <w:rPr>
                <w:rFonts w:hint="eastAsia"/>
                <w:color w:val="000000"/>
                <w:szCs w:val="21"/>
              </w:rPr>
              <w:t>271</w:t>
            </w:r>
          </w:p>
        </w:tc>
      </w:tr>
      <w:tr w14:paraId="2336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884A61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705EF6DF">
            <w:pPr>
              <w:spacing w:before="100" w:beforeAutospacing="1" w:after="100" w:afterAutospacing="1" w:line="240" w:lineRule="atLeast"/>
              <w:jc w:val="center"/>
              <w:rPr>
                <w:rFonts w:eastAsia="楷体_GB2312"/>
                <w:kern w:val="0"/>
                <w:szCs w:val="21"/>
              </w:rPr>
            </w:pPr>
          </w:p>
        </w:tc>
        <w:tc>
          <w:tcPr>
            <w:tcW w:w="0" w:type="auto"/>
            <w:noWrap w:val="0"/>
            <w:vAlign w:val="center"/>
          </w:tcPr>
          <w:p w14:paraId="5E1FCB70">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487F198C">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1105" w:type="dxa"/>
            <w:noWrap w:val="0"/>
            <w:vAlign w:val="center"/>
          </w:tcPr>
          <w:p w14:paraId="7313A240">
            <w:pPr>
              <w:spacing w:before="100" w:beforeAutospacing="1" w:after="100" w:afterAutospacing="1" w:line="240" w:lineRule="atLeast"/>
              <w:jc w:val="center"/>
              <w:rPr>
                <w:szCs w:val="21"/>
              </w:rPr>
            </w:pPr>
            <w:r>
              <w:rPr>
                <w:rFonts w:hint="eastAsia"/>
                <w:szCs w:val="21"/>
              </w:rPr>
              <w:t>20</w:t>
            </w:r>
          </w:p>
        </w:tc>
        <w:tc>
          <w:tcPr>
            <w:tcW w:w="1081" w:type="dxa"/>
            <w:noWrap w:val="0"/>
            <w:vAlign w:val="center"/>
          </w:tcPr>
          <w:p w14:paraId="55E678E3">
            <w:pPr>
              <w:jc w:val="center"/>
              <w:rPr>
                <w:rFonts w:ascii="宋体" w:hAnsi="宋体" w:cs="宋体"/>
                <w:color w:val="000000"/>
                <w:szCs w:val="21"/>
              </w:rPr>
            </w:pPr>
            <w:r>
              <w:rPr>
                <w:rFonts w:hint="eastAsia"/>
                <w:color w:val="000000"/>
                <w:szCs w:val="21"/>
              </w:rPr>
              <w:t>348</w:t>
            </w:r>
          </w:p>
        </w:tc>
        <w:tc>
          <w:tcPr>
            <w:tcW w:w="0" w:type="auto"/>
            <w:noWrap w:val="0"/>
            <w:vAlign w:val="center"/>
          </w:tcPr>
          <w:p w14:paraId="27ED52DA">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44700023">
            <w:pPr>
              <w:spacing w:before="100" w:beforeAutospacing="1" w:after="100" w:afterAutospacing="1" w:line="240" w:lineRule="atLeast"/>
              <w:jc w:val="center"/>
              <w:rPr>
                <w:szCs w:val="21"/>
              </w:rPr>
            </w:pPr>
            <w:r>
              <w:rPr>
                <w:rFonts w:hint="eastAsia"/>
                <w:szCs w:val="21"/>
              </w:rPr>
              <w:t>20</w:t>
            </w:r>
          </w:p>
        </w:tc>
        <w:tc>
          <w:tcPr>
            <w:tcW w:w="0" w:type="auto"/>
            <w:noWrap w:val="0"/>
            <w:vAlign w:val="center"/>
          </w:tcPr>
          <w:p w14:paraId="43C7FF6E">
            <w:pPr>
              <w:jc w:val="center"/>
              <w:rPr>
                <w:rFonts w:ascii="宋体" w:hAnsi="宋体" w:cs="宋体"/>
                <w:color w:val="000000"/>
                <w:szCs w:val="21"/>
              </w:rPr>
            </w:pPr>
            <w:r>
              <w:rPr>
                <w:rFonts w:hint="eastAsia"/>
                <w:color w:val="000000"/>
                <w:szCs w:val="21"/>
              </w:rPr>
              <w:t>223</w:t>
            </w:r>
          </w:p>
        </w:tc>
      </w:tr>
      <w:tr w14:paraId="5CF8C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4CAF64D4">
            <w:pPr>
              <w:spacing w:before="100" w:beforeAutospacing="1" w:after="100" w:afterAutospacing="1" w:line="240" w:lineRule="atLeast"/>
              <w:jc w:val="center"/>
              <w:rPr>
                <w:rFonts w:eastAsia="楷体_GB2312"/>
                <w:kern w:val="0"/>
                <w:szCs w:val="21"/>
              </w:rPr>
            </w:pPr>
            <w:r>
              <w:rPr>
                <w:rFonts w:hint="eastAsia" w:eastAsia="楷体_GB2312"/>
                <w:kern w:val="0"/>
                <w:szCs w:val="21"/>
              </w:rPr>
              <w:t>7</w:t>
            </w:r>
          </w:p>
        </w:tc>
        <w:tc>
          <w:tcPr>
            <w:tcW w:w="0" w:type="auto"/>
            <w:vMerge w:val="restart"/>
            <w:noWrap w:val="0"/>
            <w:vAlign w:val="center"/>
          </w:tcPr>
          <w:p w14:paraId="30214B24">
            <w:pPr>
              <w:spacing w:before="100" w:beforeAutospacing="1" w:after="100" w:afterAutospacing="1" w:line="240" w:lineRule="atLeast"/>
              <w:jc w:val="center"/>
              <w:rPr>
                <w:rFonts w:eastAsia="楷体_GB2312"/>
                <w:kern w:val="0"/>
                <w:szCs w:val="21"/>
              </w:rPr>
            </w:pPr>
            <w:r>
              <w:rPr>
                <w:rFonts w:hint="eastAsia" w:eastAsia="楷体_GB2312"/>
                <w:kern w:val="0"/>
                <w:szCs w:val="21"/>
              </w:rPr>
              <w:t>时村镇</w:t>
            </w:r>
          </w:p>
        </w:tc>
        <w:tc>
          <w:tcPr>
            <w:tcW w:w="0" w:type="auto"/>
            <w:noWrap w:val="0"/>
            <w:vAlign w:val="center"/>
          </w:tcPr>
          <w:p w14:paraId="3F74347F">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73718745">
            <w:pPr>
              <w:spacing w:before="100" w:beforeAutospacing="1" w:after="100" w:afterAutospacing="1" w:line="240" w:lineRule="atLeast"/>
              <w:jc w:val="center"/>
              <w:rPr>
                <w:rFonts w:eastAsia="楷体_GB2312"/>
                <w:kern w:val="0"/>
                <w:szCs w:val="21"/>
              </w:rPr>
            </w:pPr>
            <w:r>
              <w:rPr>
                <w:rFonts w:hint="eastAsia" w:eastAsia="楷体_GB2312"/>
                <w:kern w:val="0"/>
                <w:szCs w:val="21"/>
              </w:rPr>
              <w:t>19</w:t>
            </w:r>
          </w:p>
        </w:tc>
        <w:tc>
          <w:tcPr>
            <w:tcW w:w="1105" w:type="dxa"/>
            <w:noWrap w:val="0"/>
            <w:vAlign w:val="center"/>
          </w:tcPr>
          <w:p w14:paraId="47C3EBF4">
            <w:pPr>
              <w:spacing w:before="100" w:beforeAutospacing="1" w:after="100" w:afterAutospacing="1" w:line="240" w:lineRule="atLeast"/>
              <w:jc w:val="center"/>
              <w:rPr>
                <w:rFonts w:eastAsia="楷体_GB2312"/>
                <w:szCs w:val="21"/>
              </w:rPr>
            </w:pPr>
            <w:r>
              <w:rPr>
                <w:rFonts w:hint="eastAsia" w:eastAsia="楷体_GB2312"/>
                <w:szCs w:val="21"/>
              </w:rPr>
              <w:t>78</w:t>
            </w:r>
          </w:p>
        </w:tc>
        <w:tc>
          <w:tcPr>
            <w:tcW w:w="1081" w:type="dxa"/>
            <w:noWrap w:val="0"/>
            <w:vAlign w:val="center"/>
          </w:tcPr>
          <w:p w14:paraId="039E8CB8">
            <w:pPr>
              <w:jc w:val="center"/>
              <w:rPr>
                <w:rFonts w:ascii="宋体" w:hAnsi="宋体" w:cs="宋体"/>
                <w:color w:val="000000"/>
                <w:szCs w:val="21"/>
              </w:rPr>
            </w:pPr>
            <w:r>
              <w:rPr>
                <w:rFonts w:hint="eastAsia"/>
                <w:color w:val="000000"/>
                <w:szCs w:val="21"/>
              </w:rPr>
              <w:t>499</w:t>
            </w:r>
          </w:p>
        </w:tc>
        <w:tc>
          <w:tcPr>
            <w:tcW w:w="0" w:type="auto"/>
            <w:noWrap w:val="0"/>
            <w:vAlign w:val="center"/>
          </w:tcPr>
          <w:p w14:paraId="3183F827">
            <w:pPr>
              <w:spacing w:before="100" w:beforeAutospacing="1" w:after="100" w:afterAutospacing="1" w:line="240" w:lineRule="atLeast"/>
              <w:jc w:val="center"/>
              <w:rPr>
                <w:rFonts w:eastAsia="楷体_GB2312"/>
                <w:kern w:val="0"/>
                <w:szCs w:val="21"/>
              </w:rPr>
            </w:pPr>
            <w:r>
              <w:rPr>
                <w:rFonts w:hint="eastAsia" w:eastAsia="楷体_GB2312"/>
                <w:kern w:val="0"/>
                <w:szCs w:val="21"/>
              </w:rPr>
              <w:t>21</w:t>
            </w:r>
          </w:p>
        </w:tc>
        <w:tc>
          <w:tcPr>
            <w:tcW w:w="0" w:type="auto"/>
            <w:noWrap w:val="0"/>
            <w:vAlign w:val="center"/>
          </w:tcPr>
          <w:p w14:paraId="3DF1F9F2">
            <w:pPr>
              <w:spacing w:before="100" w:beforeAutospacing="1" w:after="100" w:afterAutospacing="1" w:line="240" w:lineRule="atLeast"/>
              <w:jc w:val="center"/>
              <w:rPr>
                <w:rFonts w:eastAsia="楷体_GB2312"/>
                <w:szCs w:val="21"/>
              </w:rPr>
            </w:pPr>
            <w:r>
              <w:rPr>
                <w:rFonts w:hint="eastAsia" w:eastAsia="楷体_GB2312"/>
                <w:szCs w:val="21"/>
              </w:rPr>
              <w:t>78</w:t>
            </w:r>
          </w:p>
        </w:tc>
        <w:tc>
          <w:tcPr>
            <w:tcW w:w="0" w:type="auto"/>
            <w:noWrap w:val="0"/>
            <w:vAlign w:val="center"/>
          </w:tcPr>
          <w:p w14:paraId="7059A8B5">
            <w:pPr>
              <w:jc w:val="center"/>
              <w:rPr>
                <w:rFonts w:ascii="宋体" w:hAnsi="宋体" w:cs="宋体"/>
                <w:color w:val="000000"/>
                <w:szCs w:val="21"/>
              </w:rPr>
            </w:pPr>
            <w:r>
              <w:rPr>
                <w:rFonts w:hint="eastAsia"/>
                <w:color w:val="000000"/>
                <w:szCs w:val="21"/>
              </w:rPr>
              <w:t>398</w:t>
            </w:r>
          </w:p>
        </w:tc>
      </w:tr>
      <w:tr w14:paraId="2AF3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6118720">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2504B4F">
            <w:pPr>
              <w:spacing w:before="100" w:beforeAutospacing="1" w:after="100" w:afterAutospacing="1" w:line="240" w:lineRule="atLeast"/>
              <w:jc w:val="center"/>
              <w:rPr>
                <w:rFonts w:eastAsia="楷体_GB2312"/>
                <w:kern w:val="0"/>
                <w:szCs w:val="21"/>
              </w:rPr>
            </w:pPr>
          </w:p>
        </w:tc>
        <w:tc>
          <w:tcPr>
            <w:tcW w:w="0" w:type="auto"/>
            <w:noWrap w:val="0"/>
            <w:vAlign w:val="center"/>
          </w:tcPr>
          <w:p w14:paraId="35DD0B0F">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2DD41F82">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1105" w:type="dxa"/>
            <w:noWrap w:val="0"/>
            <w:vAlign w:val="center"/>
          </w:tcPr>
          <w:p w14:paraId="3C307044">
            <w:pPr>
              <w:spacing w:before="100" w:beforeAutospacing="1" w:after="100" w:afterAutospacing="1" w:line="240" w:lineRule="atLeast"/>
              <w:jc w:val="center"/>
              <w:rPr>
                <w:rFonts w:eastAsia="楷体_GB2312"/>
                <w:szCs w:val="21"/>
              </w:rPr>
            </w:pPr>
            <w:r>
              <w:rPr>
                <w:rFonts w:hint="eastAsia" w:eastAsia="楷体_GB2312"/>
                <w:szCs w:val="21"/>
              </w:rPr>
              <w:t>47</w:t>
            </w:r>
          </w:p>
        </w:tc>
        <w:tc>
          <w:tcPr>
            <w:tcW w:w="1081" w:type="dxa"/>
            <w:noWrap w:val="0"/>
            <w:vAlign w:val="center"/>
          </w:tcPr>
          <w:p w14:paraId="6EB03769">
            <w:pPr>
              <w:jc w:val="center"/>
              <w:rPr>
                <w:rFonts w:ascii="宋体" w:hAnsi="宋体" w:cs="宋体"/>
                <w:color w:val="000000"/>
                <w:szCs w:val="21"/>
              </w:rPr>
            </w:pPr>
            <w:r>
              <w:rPr>
                <w:rFonts w:hint="eastAsia"/>
                <w:color w:val="000000"/>
                <w:szCs w:val="21"/>
              </w:rPr>
              <w:t>429</w:t>
            </w:r>
          </w:p>
        </w:tc>
        <w:tc>
          <w:tcPr>
            <w:tcW w:w="0" w:type="auto"/>
            <w:noWrap w:val="0"/>
            <w:vAlign w:val="center"/>
          </w:tcPr>
          <w:p w14:paraId="7187E4EE">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0" w:type="auto"/>
            <w:noWrap w:val="0"/>
            <w:vAlign w:val="center"/>
          </w:tcPr>
          <w:p w14:paraId="72A26B09">
            <w:pPr>
              <w:spacing w:before="100" w:beforeAutospacing="1" w:after="100" w:afterAutospacing="1" w:line="240" w:lineRule="atLeast"/>
              <w:jc w:val="center"/>
              <w:rPr>
                <w:rFonts w:eastAsia="楷体_GB2312"/>
                <w:szCs w:val="21"/>
              </w:rPr>
            </w:pPr>
            <w:r>
              <w:rPr>
                <w:rFonts w:hint="eastAsia" w:eastAsia="楷体_GB2312"/>
                <w:szCs w:val="21"/>
              </w:rPr>
              <w:t>47</w:t>
            </w:r>
          </w:p>
        </w:tc>
        <w:tc>
          <w:tcPr>
            <w:tcW w:w="0" w:type="auto"/>
            <w:noWrap w:val="0"/>
            <w:vAlign w:val="center"/>
          </w:tcPr>
          <w:p w14:paraId="7D820BB8">
            <w:pPr>
              <w:jc w:val="center"/>
              <w:rPr>
                <w:rFonts w:ascii="宋体" w:hAnsi="宋体" w:cs="宋体"/>
                <w:color w:val="000000"/>
                <w:szCs w:val="21"/>
              </w:rPr>
            </w:pPr>
            <w:r>
              <w:rPr>
                <w:rFonts w:hint="eastAsia"/>
                <w:color w:val="000000"/>
                <w:szCs w:val="21"/>
              </w:rPr>
              <w:t>280</w:t>
            </w:r>
          </w:p>
        </w:tc>
      </w:tr>
      <w:tr w14:paraId="3F316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F511CC9">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EFEB858">
            <w:pPr>
              <w:spacing w:before="100" w:beforeAutospacing="1" w:after="100" w:afterAutospacing="1" w:line="240" w:lineRule="atLeast"/>
              <w:jc w:val="center"/>
              <w:rPr>
                <w:rFonts w:eastAsia="楷体_GB2312"/>
                <w:kern w:val="0"/>
                <w:szCs w:val="21"/>
              </w:rPr>
            </w:pPr>
          </w:p>
        </w:tc>
        <w:tc>
          <w:tcPr>
            <w:tcW w:w="0" w:type="auto"/>
            <w:noWrap w:val="0"/>
            <w:vAlign w:val="center"/>
          </w:tcPr>
          <w:p w14:paraId="0A6AE126">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69957F98">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1105" w:type="dxa"/>
            <w:noWrap w:val="0"/>
            <w:vAlign w:val="center"/>
          </w:tcPr>
          <w:p w14:paraId="1E46E16E">
            <w:pPr>
              <w:spacing w:before="100" w:beforeAutospacing="1" w:after="100" w:afterAutospacing="1" w:line="240" w:lineRule="atLeast"/>
              <w:jc w:val="center"/>
              <w:rPr>
                <w:rFonts w:eastAsia="楷体_GB2312"/>
                <w:szCs w:val="21"/>
              </w:rPr>
            </w:pPr>
            <w:r>
              <w:rPr>
                <w:rFonts w:hint="eastAsia" w:eastAsia="楷体_GB2312"/>
                <w:szCs w:val="21"/>
              </w:rPr>
              <w:t>22</w:t>
            </w:r>
          </w:p>
        </w:tc>
        <w:tc>
          <w:tcPr>
            <w:tcW w:w="1081" w:type="dxa"/>
            <w:noWrap w:val="0"/>
            <w:vAlign w:val="center"/>
          </w:tcPr>
          <w:p w14:paraId="07A47942">
            <w:pPr>
              <w:jc w:val="center"/>
              <w:rPr>
                <w:rFonts w:ascii="宋体" w:hAnsi="宋体" w:cs="宋体"/>
                <w:color w:val="000000"/>
                <w:szCs w:val="21"/>
              </w:rPr>
            </w:pPr>
            <w:r>
              <w:rPr>
                <w:rFonts w:hint="eastAsia"/>
                <w:color w:val="000000"/>
                <w:szCs w:val="21"/>
              </w:rPr>
              <w:t>327</w:t>
            </w:r>
          </w:p>
        </w:tc>
        <w:tc>
          <w:tcPr>
            <w:tcW w:w="0" w:type="auto"/>
            <w:noWrap w:val="0"/>
            <w:vAlign w:val="center"/>
          </w:tcPr>
          <w:p w14:paraId="0767DB43">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15352AB9">
            <w:pPr>
              <w:spacing w:before="100" w:beforeAutospacing="1" w:after="100" w:afterAutospacing="1" w:line="240" w:lineRule="atLeast"/>
              <w:jc w:val="center"/>
              <w:rPr>
                <w:rFonts w:eastAsia="楷体_GB2312"/>
                <w:szCs w:val="21"/>
              </w:rPr>
            </w:pPr>
            <w:r>
              <w:rPr>
                <w:rFonts w:hint="eastAsia" w:eastAsia="楷体_GB2312"/>
                <w:szCs w:val="21"/>
              </w:rPr>
              <w:t>22</w:t>
            </w:r>
          </w:p>
        </w:tc>
        <w:tc>
          <w:tcPr>
            <w:tcW w:w="0" w:type="auto"/>
            <w:noWrap w:val="0"/>
            <w:vAlign w:val="center"/>
          </w:tcPr>
          <w:p w14:paraId="58876AA8">
            <w:pPr>
              <w:jc w:val="center"/>
              <w:rPr>
                <w:rFonts w:ascii="宋体" w:hAnsi="宋体" w:cs="宋体"/>
                <w:color w:val="000000"/>
                <w:szCs w:val="21"/>
              </w:rPr>
            </w:pPr>
            <w:r>
              <w:rPr>
                <w:rFonts w:hint="eastAsia"/>
                <w:color w:val="000000"/>
                <w:szCs w:val="21"/>
              </w:rPr>
              <w:t>194</w:t>
            </w:r>
          </w:p>
        </w:tc>
      </w:tr>
      <w:tr w14:paraId="085FD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11B50080">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0" w:type="auto"/>
            <w:vMerge w:val="restart"/>
            <w:noWrap w:val="0"/>
            <w:vAlign w:val="center"/>
          </w:tcPr>
          <w:p w14:paraId="47FB6EB6">
            <w:pPr>
              <w:spacing w:before="100" w:beforeAutospacing="1" w:after="100" w:afterAutospacing="1" w:line="240" w:lineRule="atLeast"/>
              <w:jc w:val="center"/>
              <w:rPr>
                <w:rFonts w:eastAsia="楷体_GB2312"/>
                <w:kern w:val="0"/>
                <w:szCs w:val="21"/>
              </w:rPr>
            </w:pPr>
            <w:r>
              <w:rPr>
                <w:rFonts w:hint="eastAsia" w:eastAsia="楷体_GB2312"/>
                <w:kern w:val="0"/>
                <w:szCs w:val="21"/>
              </w:rPr>
              <w:t>夹沟镇</w:t>
            </w:r>
          </w:p>
        </w:tc>
        <w:tc>
          <w:tcPr>
            <w:tcW w:w="0" w:type="auto"/>
            <w:noWrap w:val="0"/>
            <w:vAlign w:val="center"/>
          </w:tcPr>
          <w:p w14:paraId="32F77FC5">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1A8AFA8B">
            <w:pPr>
              <w:spacing w:before="100" w:beforeAutospacing="1" w:after="100" w:afterAutospacing="1" w:line="240" w:lineRule="atLeast"/>
              <w:jc w:val="center"/>
              <w:rPr>
                <w:rFonts w:eastAsia="楷体_GB2312"/>
                <w:kern w:val="0"/>
                <w:szCs w:val="21"/>
              </w:rPr>
            </w:pPr>
            <w:r>
              <w:rPr>
                <w:rFonts w:hint="eastAsia" w:eastAsia="楷体_GB2312"/>
                <w:kern w:val="0"/>
                <w:szCs w:val="21"/>
              </w:rPr>
              <w:t>21</w:t>
            </w:r>
          </w:p>
        </w:tc>
        <w:tc>
          <w:tcPr>
            <w:tcW w:w="1105" w:type="dxa"/>
            <w:noWrap w:val="0"/>
            <w:vAlign w:val="center"/>
          </w:tcPr>
          <w:p w14:paraId="7BBB83EB">
            <w:pPr>
              <w:spacing w:before="100" w:beforeAutospacing="1" w:after="100" w:afterAutospacing="1" w:line="240" w:lineRule="atLeast"/>
              <w:jc w:val="center"/>
              <w:rPr>
                <w:szCs w:val="21"/>
              </w:rPr>
            </w:pPr>
            <w:r>
              <w:rPr>
                <w:rFonts w:hint="eastAsia"/>
                <w:szCs w:val="21"/>
              </w:rPr>
              <w:t>72</w:t>
            </w:r>
          </w:p>
        </w:tc>
        <w:tc>
          <w:tcPr>
            <w:tcW w:w="1081" w:type="dxa"/>
            <w:noWrap w:val="0"/>
            <w:vAlign w:val="center"/>
          </w:tcPr>
          <w:p w14:paraId="1A5117DF">
            <w:pPr>
              <w:jc w:val="center"/>
              <w:rPr>
                <w:rFonts w:ascii="宋体" w:hAnsi="宋体" w:cs="宋体"/>
                <w:color w:val="000000"/>
                <w:szCs w:val="21"/>
              </w:rPr>
            </w:pPr>
            <w:r>
              <w:rPr>
                <w:rFonts w:hint="eastAsia"/>
                <w:color w:val="000000"/>
                <w:szCs w:val="21"/>
              </w:rPr>
              <w:t>490</w:t>
            </w:r>
          </w:p>
        </w:tc>
        <w:tc>
          <w:tcPr>
            <w:tcW w:w="0" w:type="auto"/>
            <w:noWrap w:val="0"/>
            <w:vAlign w:val="center"/>
          </w:tcPr>
          <w:p w14:paraId="4B08D79B">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1CE4D570">
            <w:pPr>
              <w:spacing w:before="100" w:beforeAutospacing="1" w:after="100" w:afterAutospacing="1" w:line="240" w:lineRule="atLeast"/>
              <w:jc w:val="center"/>
              <w:rPr>
                <w:szCs w:val="21"/>
              </w:rPr>
            </w:pPr>
            <w:r>
              <w:rPr>
                <w:rFonts w:hint="eastAsia"/>
                <w:szCs w:val="21"/>
              </w:rPr>
              <w:t>72</w:t>
            </w:r>
          </w:p>
        </w:tc>
        <w:tc>
          <w:tcPr>
            <w:tcW w:w="0" w:type="auto"/>
            <w:noWrap w:val="0"/>
            <w:vAlign w:val="center"/>
          </w:tcPr>
          <w:p w14:paraId="2B07C162">
            <w:pPr>
              <w:jc w:val="center"/>
              <w:rPr>
                <w:rFonts w:ascii="宋体" w:hAnsi="宋体" w:cs="宋体"/>
                <w:color w:val="000000"/>
                <w:szCs w:val="21"/>
              </w:rPr>
            </w:pPr>
            <w:r>
              <w:rPr>
                <w:rFonts w:hint="eastAsia"/>
                <w:color w:val="000000"/>
                <w:szCs w:val="21"/>
              </w:rPr>
              <w:t>399</w:t>
            </w:r>
          </w:p>
        </w:tc>
      </w:tr>
      <w:tr w14:paraId="717B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6D442A1">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3C3C15B0">
            <w:pPr>
              <w:spacing w:before="100" w:beforeAutospacing="1" w:after="100" w:afterAutospacing="1" w:line="240" w:lineRule="atLeast"/>
              <w:jc w:val="center"/>
              <w:rPr>
                <w:rFonts w:eastAsia="楷体_GB2312"/>
                <w:kern w:val="0"/>
                <w:szCs w:val="21"/>
              </w:rPr>
            </w:pPr>
          </w:p>
        </w:tc>
        <w:tc>
          <w:tcPr>
            <w:tcW w:w="0" w:type="auto"/>
            <w:noWrap w:val="0"/>
            <w:vAlign w:val="center"/>
          </w:tcPr>
          <w:p w14:paraId="1A50E02D">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783C39EB">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1105" w:type="dxa"/>
            <w:noWrap w:val="0"/>
            <w:vAlign w:val="center"/>
          </w:tcPr>
          <w:p w14:paraId="7B8E1E0F">
            <w:pPr>
              <w:spacing w:before="100" w:beforeAutospacing="1" w:after="100" w:afterAutospacing="1" w:line="240" w:lineRule="atLeast"/>
              <w:jc w:val="center"/>
              <w:rPr>
                <w:szCs w:val="21"/>
              </w:rPr>
            </w:pPr>
            <w:r>
              <w:rPr>
                <w:rFonts w:hint="eastAsia"/>
                <w:szCs w:val="21"/>
              </w:rPr>
              <w:t>53</w:t>
            </w:r>
          </w:p>
        </w:tc>
        <w:tc>
          <w:tcPr>
            <w:tcW w:w="1081" w:type="dxa"/>
            <w:noWrap w:val="0"/>
            <w:vAlign w:val="center"/>
          </w:tcPr>
          <w:p w14:paraId="4FF96517">
            <w:pPr>
              <w:jc w:val="center"/>
              <w:rPr>
                <w:rFonts w:ascii="宋体" w:hAnsi="宋体" w:cs="宋体"/>
                <w:color w:val="000000"/>
                <w:szCs w:val="21"/>
              </w:rPr>
            </w:pPr>
            <w:r>
              <w:rPr>
                <w:rFonts w:hint="eastAsia"/>
                <w:color w:val="000000"/>
                <w:szCs w:val="21"/>
              </w:rPr>
              <w:t>379</w:t>
            </w:r>
          </w:p>
        </w:tc>
        <w:tc>
          <w:tcPr>
            <w:tcW w:w="0" w:type="auto"/>
            <w:noWrap w:val="0"/>
            <w:vAlign w:val="center"/>
          </w:tcPr>
          <w:p w14:paraId="6DBFCD0C">
            <w:pPr>
              <w:spacing w:before="100" w:beforeAutospacing="1" w:after="100" w:afterAutospacing="1" w:line="240" w:lineRule="atLeast"/>
              <w:jc w:val="center"/>
              <w:rPr>
                <w:rFonts w:eastAsia="楷体_GB2312"/>
                <w:kern w:val="0"/>
                <w:szCs w:val="21"/>
              </w:rPr>
            </w:pPr>
            <w:r>
              <w:rPr>
                <w:rFonts w:hint="eastAsia" w:eastAsia="楷体_GB2312"/>
                <w:kern w:val="0"/>
                <w:szCs w:val="21"/>
              </w:rPr>
              <w:t>13</w:t>
            </w:r>
          </w:p>
        </w:tc>
        <w:tc>
          <w:tcPr>
            <w:tcW w:w="0" w:type="auto"/>
            <w:noWrap w:val="0"/>
            <w:vAlign w:val="center"/>
          </w:tcPr>
          <w:p w14:paraId="634729D6">
            <w:pPr>
              <w:spacing w:before="100" w:beforeAutospacing="1" w:after="100" w:afterAutospacing="1" w:line="240" w:lineRule="atLeast"/>
              <w:jc w:val="center"/>
              <w:rPr>
                <w:szCs w:val="21"/>
              </w:rPr>
            </w:pPr>
            <w:r>
              <w:rPr>
                <w:rFonts w:hint="eastAsia"/>
                <w:szCs w:val="21"/>
              </w:rPr>
              <w:t>53</w:t>
            </w:r>
          </w:p>
        </w:tc>
        <w:tc>
          <w:tcPr>
            <w:tcW w:w="0" w:type="auto"/>
            <w:noWrap w:val="0"/>
            <w:vAlign w:val="center"/>
          </w:tcPr>
          <w:p w14:paraId="0484B5A0">
            <w:pPr>
              <w:jc w:val="center"/>
              <w:rPr>
                <w:rFonts w:ascii="宋体" w:hAnsi="宋体" w:cs="宋体"/>
                <w:color w:val="000000"/>
                <w:szCs w:val="21"/>
              </w:rPr>
            </w:pPr>
            <w:r>
              <w:rPr>
                <w:rFonts w:hint="eastAsia"/>
                <w:color w:val="000000"/>
                <w:szCs w:val="21"/>
              </w:rPr>
              <w:t>284</w:t>
            </w:r>
          </w:p>
        </w:tc>
      </w:tr>
      <w:tr w14:paraId="230CF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5773C6A">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34CE73A">
            <w:pPr>
              <w:spacing w:before="100" w:beforeAutospacing="1" w:after="100" w:afterAutospacing="1" w:line="240" w:lineRule="atLeast"/>
              <w:jc w:val="center"/>
              <w:rPr>
                <w:rFonts w:eastAsia="楷体_GB2312"/>
                <w:kern w:val="0"/>
                <w:szCs w:val="21"/>
              </w:rPr>
            </w:pPr>
          </w:p>
        </w:tc>
        <w:tc>
          <w:tcPr>
            <w:tcW w:w="0" w:type="auto"/>
            <w:noWrap w:val="0"/>
            <w:vAlign w:val="center"/>
          </w:tcPr>
          <w:p w14:paraId="3B379638">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350AA2B7">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1105" w:type="dxa"/>
            <w:noWrap w:val="0"/>
            <w:vAlign w:val="center"/>
          </w:tcPr>
          <w:p w14:paraId="1CD36142">
            <w:pPr>
              <w:spacing w:before="100" w:beforeAutospacing="1" w:after="100" w:afterAutospacing="1" w:line="240" w:lineRule="atLeast"/>
              <w:jc w:val="center"/>
              <w:rPr>
                <w:szCs w:val="21"/>
              </w:rPr>
            </w:pPr>
            <w:r>
              <w:rPr>
                <w:rFonts w:hint="eastAsia"/>
                <w:szCs w:val="21"/>
              </w:rPr>
              <w:t>30</w:t>
            </w:r>
          </w:p>
        </w:tc>
        <w:tc>
          <w:tcPr>
            <w:tcW w:w="1081" w:type="dxa"/>
            <w:noWrap w:val="0"/>
            <w:vAlign w:val="center"/>
          </w:tcPr>
          <w:p w14:paraId="28CD3357">
            <w:pPr>
              <w:jc w:val="center"/>
              <w:rPr>
                <w:rFonts w:ascii="宋体" w:hAnsi="宋体" w:cs="宋体"/>
                <w:color w:val="000000"/>
                <w:szCs w:val="21"/>
              </w:rPr>
            </w:pPr>
            <w:r>
              <w:rPr>
                <w:rFonts w:hint="eastAsia"/>
                <w:color w:val="000000"/>
                <w:szCs w:val="21"/>
              </w:rPr>
              <w:t>312</w:t>
            </w:r>
          </w:p>
        </w:tc>
        <w:tc>
          <w:tcPr>
            <w:tcW w:w="0" w:type="auto"/>
            <w:noWrap w:val="0"/>
            <w:vAlign w:val="center"/>
          </w:tcPr>
          <w:p w14:paraId="59C37B20">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64E8FE33">
            <w:pPr>
              <w:spacing w:before="100" w:beforeAutospacing="1" w:after="100" w:afterAutospacing="1" w:line="240" w:lineRule="atLeast"/>
              <w:jc w:val="center"/>
              <w:rPr>
                <w:szCs w:val="21"/>
              </w:rPr>
            </w:pPr>
            <w:r>
              <w:rPr>
                <w:rFonts w:hint="eastAsia"/>
                <w:szCs w:val="21"/>
              </w:rPr>
              <w:t>30</w:t>
            </w:r>
          </w:p>
        </w:tc>
        <w:tc>
          <w:tcPr>
            <w:tcW w:w="0" w:type="auto"/>
            <w:noWrap w:val="0"/>
            <w:vAlign w:val="center"/>
          </w:tcPr>
          <w:p w14:paraId="551EC292">
            <w:pPr>
              <w:jc w:val="center"/>
              <w:rPr>
                <w:rFonts w:ascii="宋体" w:hAnsi="宋体" w:cs="宋体"/>
                <w:color w:val="000000"/>
                <w:szCs w:val="21"/>
              </w:rPr>
            </w:pPr>
            <w:r>
              <w:rPr>
                <w:rFonts w:hint="eastAsia"/>
                <w:color w:val="000000"/>
                <w:szCs w:val="21"/>
              </w:rPr>
              <w:t>211</w:t>
            </w:r>
          </w:p>
        </w:tc>
      </w:tr>
      <w:tr w14:paraId="673CC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718D9D2A">
            <w:pPr>
              <w:spacing w:before="100" w:beforeAutospacing="1" w:after="100" w:afterAutospacing="1" w:line="240" w:lineRule="atLeast"/>
              <w:jc w:val="center"/>
              <w:rPr>
                <w:rFonts w:eastAsia="楷体_GB2312"/>
                <w:kern w:val="0"/>
                <w:szCs w:val="21"/>
              </w:rPr>
            </w:pPr>
            <w:r>
              <w:rPr>
                <w:rFonts w:hint="eastAsia" w:eastAsia="楷体_GB2312"/>
                <w:kern w:val="0"/>
                <w:szCs w:val="21"/>
              </w:rPr>
              <w:t>9</w:t>
            </w:r>
          </w:p>
        </w:tc>
        <w:tc>
          <w:tcPr>
            <w:tcW w:w="0" w:type="auto"/>
            <w:vMerge w:val="restart"/>
            <w:noWrap w:val="0"/>
            <w:vAlign w:val="center"/>
          </w:tcPr>
          <w:p w14:paraId="19E57B89">
            <w:pPr>
              <w:spacing w:before="100" w:beforeAutospacing="1" w:after="100" w:afterAutospacing="1" w:line="240" w:lineRule="atLeast"/>
              <w:jc w:val="center"/>
              <w:rPr>
                <w:rFonts w:eastAsia="楷体_GB2312"/>
                <w:kern w:val="0"/>
                <w:szCs w:val="21"/>
              </w:rPr>
            </w:pPr>
            <w:r>
              <w:rPr>
                <w:rFonts w:hint="eastAsia" w:eastAsia="楷体_GB2312"/>
                <w:kern w:val="0"/>
                <w:szCs w:val="21"/>
              </w:rPr>
              <w:t>西二铺乡</w:t>
            </w:r>
          </w:p>
        </w:tc>
        <w:tc>
          <w:tcPr>
            <w:tcW w:w="0" w:type="auto"/>
            <w:noWrap w:val="0"/>
            <w:vAlign w:val="center"/>
          </w:tcPr>
          <w:p w14:paraId="09EE093D">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4207B1F5">
            <w:pPr>
              <w:spacing w:before="100" w:beforeAutospacing="1" w:after="100" w:afterAutospacing="1" w:line="240" w:lineRule="atLeast"/>
              <w:jc w:val="center"/>
              <w:rPr>
                <w:rFonts w:eastAsia="楷体_GB2312"/>
                <w:kern w:val="0"/>
                <w:szCs w:val="21"/>
              </w:rPr>
            </w:pPr>
            <w:r>
              <w:rPr>
                <w:rFonts w:hint="eastAsia" w:eastAsia="楷体_GB2312"/>
                <w:kern w:val="0"/>
                <w:szCs w:val="21"/>
              </w:rPr>
              <w:t>17</w:t>
            </w:r>
          </w:p>
        </w:tc>
        <w:tc>
          <w:tcPr>
            <w:tcW w:w="1105" w:type="dxa"/>
            <w:noWrap w:val="0"/>
            <w:vAlign w:val="center"/>
          </w:tcPr>
          <w:p w14:paraId="62FEB666">
            <w:pPr>
              <w:spacing w:before="100" w:beforeAutospacing="1" w:after="100" w:afterAutospacing="1" w:line="240" w:lineRule="atLeast"/>
              <w:jc w:val="center"/>
              <w:rPr>
                <w:rFonts w:eastAsia="楷体_GB2312"/>
                <w:szCs w:val="21"/>
              </w:rPr>
            </w:pPr>
            <w:r>
              <w:rPr>
                <w:rFonts w:hint="eastAsia" w:eastAsia="楷体_GB2312"/>
                <w:szCs w:val="21"/>
              </w:rPr>
              <w:t>78</w:t>
            </w:r>
          </w:p>
        </w:tc>
        <w:tc>
          <w:tcPr>
            <w:tcW w:w="1081" w:type="dxa"/>
            <w:noWrap w:val="0"/>
            <w:vAlign w:val="center"/>
          </w:tcPr>
          <w:p w14:paraId="52749D2B">
            <w:pPr>
              <w:jc w:val="center"/>
              <w:rPr>
                <w:rFonts w:ascii="宋体" w:hAnsi="宋体" w:cs="宋体"/>
                <w:color w:val="000000"/>
                <w:szCs w:val="21"/>
              </w:rPr>
            </w:pPr>
            <w:r>
              <w:rPr>
                <w:rFonts w:hint="eastAsia"/>
                <w:color w:val="000000"/>
                <w:szCs w:val="21"/>
              </w:rPr>
              <w:t>460</w:t>
            </w:r>
          </w:p>
        </w:tc>
        <w:tc>
          <w:tcPr>
            <w:tcW w:w="0" w:type="auto"/>
            <w:noWrap w:val="0"/>
            <w:vAlign w:val="center"/>
          </w:tcPr>
          <w:p w14:paraId="63DEB37B">
            <w:pPr>
              <w:spacing w:before="100" w:beforeAutospacing="1" w:after="100" w:afterAutospacing="1" w:line="240" w:lineRule="atLeast"/>
              <w:jc w:val="center"/>
              <w:rPr>
                <w:rFonts w:eastAsia="楷体_GB2312"/>
                <w:kern w:val="0"/>
                <w:szCs w:val="21"/>
              </w:rPr>
            </w:pPr>
            <w:r>
              <w:rPr>
                <w:rFonts w:hint="eastAsia" w:eastAsia="楷体_GB2312"/>
                <w:kern w:val="0"/>
                <w:szCs w:val="21"/>
              </w:rPr>
              <w:t>18</w:t>
            </w:r>
          </w:p>
        </w:tc>
        <w:tc>
          <w:tcPr>
            <w:tcW w:w="0" w:type="auto"/>
            <w:noWrap w:val="0"/>
            <w:vAlign w:val="center"/>
          </w:tcPr>
          <w:p w14:paraId="03C50667">
            <w:pPr>
              <w:spacing w:before="100" w:beforeAutospacing="1" w:after="100" w:afterAutospacing="1" w:line="240" w:lineRule="atLeast"/>
              <w:jc w:val="center"/>
              <w:rPr>
                <w:rFonts w:eastAsia="楷体_GB2312"/>
                <w:szCs w:val="21"/>
              </w:rPr>
            </w:pPr>
            <w:r>
              <w:rPr>
                <w:rFonts w:hint="eastAsia" w:eastAsia="楷体_GB2312"/>
                <w:szCs w:val="21"/>
              </w:rPr>
              <w:t>78</w:t>
            </w:r>
          </w:p>
        </w:tc>
        <w:tc>
          <w:tcPr>
            <w:tcW w:w="0" w:type="auto"/>
            <w:noWrap w:val="0"/>
            <w:vAlign w:val="center"/>
          </w:tcPr>
          <w:p w14:paraId="1C36F867">
            <w:pPr>
              <w:jc w:val="center"/>
              <w:rPr>
                <w:rFonts w:ascii="宋体" w:hAnsi="宋体" w:cs="宋体"/>
                <w:color w:val="000000"/>
                <w:szCs w:val="21"/>
              </w:rPr>
            </w:pPr>
            <w:r>
              <w:rPr>
                <w:rFonts w:hint="eastAsia"/>
                <w:color w:val="000000"/>
                <w:szCs w:val="21"/>
              </w:rPr>
              <w:t>394</w:t>
            </w:r>
          </w:p>
        </w:tc>
      </w:tr>
      <w:tr w14:paraId="39FAA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4932CF41">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6D1397F">
            <w:pPr>
              <w:spacing w:before="100" w:beforeAutospacing="1" w:after="100" w:afterAutospacing="1" w:line="240" w:lineRule="atLeast"/>
              <w:jc w:val="center"/>
              <w:rPr>
                <w:rFonts w:eastAsia="楷体_GB2312"/>
                <w:kern w:val="0"/>
                <w:szCs w:val="21"/>
              </w:rPr>
            </w:pPr>
          </w:p>
        </w:tc>
        <w:tc>
          <w:tcPr>
            <w:tcW w:w="0" w:type="auto"/>
            <w:noWrap w:val="0"/>
            <w:vAlign w:val="center"/>
          </w:tcPr>
          <w:p w14:paraId="2A739D70">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431DFFD6">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1105" w:type="dxa"/>
            <w:noWrap w:val="0"/>
            <w:vAlign w:val="center"/>
          </w:tcPr>
          <w:p w14:paraId="4B499C8A">
            <w:pPr>
              <w:spacing w:before="100" w:beforeAutospacing="1" w:after="100" w:afterAutospacing="1" w:line="240" w:lineRule="atLeast"/>
              <w:jc w:val="center"/>
              <w:rPr>
                <w:rFonts w:eastAsia="楷体_GB2312"/>
                <w:szCs w:val="21"/>
              </w:rPr>
            </w:pPr>
            <w:r>
              <w:rPr>
                <w:rFonts w:hint="eastAsia" w:eastAsia="楷体_GB2312"/>
                <w:szCs w:val="21"/>
              </w:rPr>
              <w:t>57</w:t>
            </w:r>
          </w:p>
        </w:tc>
        <w:tc>
          <w:tcPr>
            <w:tcW w:w="1081" w:type="dxa"/>
            <w:noWrap w:val="0"/>
            <w:vAlign w:val="center"/>
          </w:tcPr>
          <w:p w14:paraId="1DE842C4">
            <w:pPr>
              <w:jc w:val="center"/>
              <w:rPr>
                <w:rFonts w:ascii="宋体" w:hAnsi="宋体" w:cs="宋体"/>
                <w:color w:val="000000"/>
                <w:szCs w:val="21"/>
              </w:rPr>
            </w:pPr>
            <w:r>
              <w:rPr>
                <w:rFonts w:hint="eastAsia"/>
                <w:color w:val="000000"/>
                <w:szCs w:val="21"/>
              </w:rPr>
              <w:t>387</w:t>
            </w:r>
          </w:p>
        </w:tc>
        <w:tc>
          <w:tcPr>
            <w:tcW w:w="0" w:type="auto"/>
            <w:noWrap w:val="0"/>
            <w:vAlign w:val="center"/>
          </w:tcPr>
          <w:p w14:paraId="1FD04756">
            <w:pPr>
              <w:spacing w:before="100" w:beforeAutospacing="1" w:after="100" w:afterAutospacing="1" w:line="240" w:lineRule="atLeast"/>
              <w:jc w:val="center"/>
              <w:rPr>
                <w:rFonts w:eastAsia="楷体_GB2312"/>
                <w:kern w:val="0"/>
                <w:szCs w:val="21"/>
              </w:rPr>
            </w:pPr>
            <w:r>
              <w:rPr>
                <w:rFonts w:hint="eastAsia" w:eastAsia="楷体_GB2312"/>
                <w:kern w:val="0"/>
                <w:szCs w:val="21"/>
              </w:rPr>
              <w:t>8</w:t>
            </w:r>
          </w:p>
        </w:tc>
        <w:tc>
          <w:tcPr>
            <w:tcW w:w="0" w:type="auto"/>
            <w:noWrap w:val="0"/>
            <w:vAlign w:val="center"/>
          </w:tcPr>
          <w:p w14:paraId="25DCB887">
            <w:pPr>
              <w:spacing w:before="100" w:beforeAutospacing="1" w:after="100" w:afterAutospacing="1" w:line="240" w:lineRule="atLeast"/>
              <w:jc w:val="center"/>
              <w:rPr>
                <w:rFonts w:eastAsia="楷体_GB2312"/>
                <w:szCs w:val="21"/>
              </w:rPr>
            </w:pPr>
            <w:r>
              <w:rPr>
                <w:rFonts w:hint="eastAsia" w:eastAsia="楷体_GB2312"/>
                <w:szCs w:val="21"/>
              </w:rPr>
              <w:t>57</w:t>
            </w:r>
          </w:p>
        </w:tc>
        <w:tc>
          <w:tcPr>
            <w:tcW w:w="0" w:type="auto"/>
            <w:noWrap w:val="0"/>
            <w:vAlign w:val="center"/>
          </w:tcPr>
          <w:p w14:paraId="23CAF48C">
            <w:pPr>
              <w:jc w:val="center"/>
              <w:rPr>
                <w:rFonts w:ascii="宋体" w:hAnsi="宋体" w:cs="宋体"/>
                <w:color w:val="000000"/>
                <w:szCs w:val="21"/>
              </w:rPr>
            </w:pPr>
            <w:r>
              <w:rPr>
                <w:rFonts w:hint="eastAsia"/>
                <w:color w:val="000000"/>
                <w:szCs w:val="21"/>
              </w:rPr>
              <w:t>282</w:t>
            </w:r>
          </w:p>
        </w:tc>
      </w:tr>
      <w:tr w14:paraId="219D9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478D097F">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A5F88D3">
            <w:pPr>
              <w:spacing w:before="100" w:beforeAutospacing="1" w:after="100" w:afterAutospacing="1" w:line="240" w:lineRule="atLeast"/>
              <w:jc w:val="center"/>
              <w:rPr>
                <w:rFonts w:eastAsia="楷体_GB2312"/>
                <w:kern w:val="0"/>
                <w:szCs w:val="21"/>
              </w:rPr>
            </w:pPr>
          </w:p>
        </w:tc>
        <w:tc>
          <w:tcPr>
            <w:tcW w:w="0" w:type="auto"/>
            <w:noWrap w:val="0"/>
            <w:vAlign w:val="center"/>
          </w:tcPr>
          <w:p w14:paraId="40191843">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1F9EB771">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1105" w:type="dxa"/>
            <w:noWrap w:val="0"/>
            <w:vAlign w:val="center"/>
          </w:tcPr>
          <w:p w14:paraId="12BB58DF">
            <w:pPr>
              <w:spacing w:before="100" w:beforeAutospacing="1" w:after="100" w:afterAutospacing="1" w:line="240" w:lineRule="atLeast"/>
              <w:jc w:val="center"/>
              <w:rPr>
                <w:rFonts w:eastAsia="楷体_GB2312"/>
                <w:szCs w:val="21"/>
              </w:rPr>
            </w:pPr>
            <w:r>
              <w:rPr>
                <w:rFonts w:hint="eastAsia" w:eastAsia="楷体_GB2312"/>
                <w:szCs w:val="21"/>
              </w:rPr>
              <w:t>25</w:t>
            </w:r>
          </w:p>
        </w:tc>
        <w:tc>
          <w:tcPr>
            <w:tcW w:w="1081" w:type="dxa"/>
            <w:noWrap w:val="0"/>
            <w:vAlign w:val="center"/>
          </w:tcPr>
          <w:p w14:paraId="04803546">
            <w:pPr>
              <w:jc w:val="center"/>
              <w:rPr>
                <w:rFonts w:ascii="宋体" w:hAnsi="宋体" w:cs="宋体"/>
                <w:color w:val="000000"/>
                <w:szCs w:val="21"/>
              </w:rPr>
            </w:pPr>
            <w:r>
              <w:rPr>
                <w:rFonts w:hint="eastAsia"/>
                <w:color w:val="000000"/>
                <w:szCs w:val="21"/>
              </w:rPr>
              <w:t>313</w:t>
            </w:r>
          </w:p>
        </w:tc>
        <w:tc>
          <w:tcPr>
            <w:tcW w:w="0" w:type="auto"/>
            <w:noWrap w:val="0"/>
            <w:vAlign w:val="center"/>
          </w:tcPr>
          <w:p w14:paraId="04ADDD54">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107ACA9B">
            <w:pPr>
              <w:spacing w:before="100" w:beforeAutospacing="1" w:after="100" w:afterAutospacing="1" w:line="240" w:lineRule="atLeast"/>
              <w:jc w:val="center"/>
              <w:rPr>
                <w:rFonts w:eastAsia="楷体_GB2312"/>
                <w:szCs w:val="21"/>
              </w:rPr>
            </w:pPr>
            <w:r>
              <w:rPr>
                <w:rFonts w:hint="eastAsia" w:eastAsia="楷体_GB2312"/>
                <w:szCs w:val="21"/>
              </w:rPr>
              <w:t>25</w:t>
            </w:r>
          </w:p>
        </w:tc>
        <w:tc>
          <w:tcPr>
            <w:tcW w:w="0" w:type="auto"/>
            <w:noWrap w:val="0"/>
            <w:vAlign w:val="center"/>
          </w:tcPr>
          <w:p w14:paraId="43394C66">
            <w:pPr>
              <w:jc w:val="center"/>
              <w:rPr>
                <w:rFonts w:ascii="宋体" w:hAnsi="宋体" w:cs="宋体"/>
                <w:color w:val="000000"/>
                <w:szCs w:val="21"/>
              </w:rPr>
            </w:pPr>
            <w:r>
              <w:rPr>
                <w:rFonts w:hint="eastAsia"/>
                <w:color w:val="000000"/>
                <w:szCs w:val="21"/>
              </w:rPr>
              <w:t>208</w:t>
            </w:r>
          </w:p>
        </w:tc>
      </w:tr>
      <w:tr w14:paraId="4DF5D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11820F9B">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vMerge w:val="restart"/>
            <w:noWrap w:val="0"/>
            <w:vAlign w:val="center"/>
          </w:tcPr>
          <w:p w14:paraId="39506DAE">
            <w:pPr>
              <w:spacing w:before="100" w:beforeAutospacing="1" w:after="100" w:afterAutospacing="1" w:line="240" w:lineRule="atLeast"/>
              <w:jc w:val="center"/>
              <w:rPr>
                <w:rFonts w:eastAsia="楷体_GB2312"/>
                <w:kern w:val="0"/>
                <w:szCs w:val="21"/>
              </w:rPr>
            </w:pPr>
            <w:r>
              <w:rPr>
                <w:rFonts w:hint="eastAsia" w:eastAsia="楷体_GB2312"/>
                <w:kern w:val="0"/>
                <w:szCs w:val="21"/>
              </w:rPr>
              <w:t>桃园镇</w:t>
            </w:r>
          </w:p>
        </w:tc>
        <w:tc>
          <w:tcPr>
            <w:tcW w:w="0" w:type="auto"/>
            <w:noWrap w:val="0"/>
            <w:vAlign w:val="center"/>
          </w:tcPr>
          <w:p w14:paraId="2688A150">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0B7C7BC8">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1105" w:type="dxa"/>
            <w:noWrap w:val="0"/>
            <w:vAlign w:val="center"/>
          </w:tcPr>
          <w:p w14:paraId="1F011787">
            <w:pPr>
              <w:spacing w:before="100" w:beforeAutospacing="1" w:after="100" w:afterAutospacing="1" w:line="240" w:lineRule="atLeast"/>
              <w:jc w:val="center"/>
              <w:rPr>
                <w:szCs w:val="21"/>
              </w:rPr>
            </w:pPr>
            <w:r>
              <w:rPr>
                <w:rFonts w:hint="eastAsia"/>
                <w:szCs w:val="21"/>
              </w:rPr>
              <w:t>68</w:t>
            </w:r>
          </w:p>
        </w:tc>
        <w:tc>
          <w:tcPr>
            <w:tcW w:w="1081" w:type="dxa"/>
            <w:noWrap w:val="0"/>
            <w:vAlign w:val="center"/>
          </w:tcPr>
          <w:p w14:paraId="70E33678">
            <w:pPr>
              <w:jc w:val="center"/>
              <w:rPr>
                <w:rFonts w:ascii="宋体" w:hAnsi="宋体" w:cs="宋体"/>
                <w:color w:val="000000"/>
                <w:szCs w:val="21"/>
              </w:rPr>
            </w:pPr>
            <w:r>
              <w:rPr>
                <w:rFonts w:hint="eastAsia"/>
                <w:color w:val="000000"/>
                <w:szCs w:val="21"/>
              </w:rPr>
              <w:t>475</w:t>
            </w:r>
          </w:p>
        </w:tc>
        <w:tc>
          <w:tcPr>
            <w:tcW w:w="0" w:type="auto"/>
            <w:noWrap w:val="0"/>
            <w:vAlign w:val="center"/>
          </w:tcPr>
          <w:p w14:paraId="2DC44508">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12481CA7">
            <w:pPr>
              <w:spacing w:before="100" w:beforeAutospacing="1" w:after="100" w:afterAutospacing="1" w:line="240" w:lineRule="atLeast"/>
              <w:jc w:val="center"/>
              <w:rPr>
                <w:szCs w:val="21"/>
              </w:rPr>
            </w:pPr>
            <w:r>
              <w:rPr>
                <w:rFonts w:hint="eastAsia"/>
                <w:szCs w:val="21"/>
              </w:rPr>
              <w:t>68</w:t>
            </w:r>
          </w:p>
        </w:tc>
        <w:tc>
          <w:tcPr>
            <w:tcW w:w="0" w:type="auto"/>
            <w:noWrap w:val="0"/>
            <w:vAlign w:val="center"/>
          </w:tcPr>
          <w:p w14:paraId="146C3F5A">
            <w:pPr>
              <w:jc w:val="center"/>
              <w:rPr>
                <w:rFonts w:ascii="宋体" w:hAnsi="宋体" w:cs="宋体"/>
                <w:color w:val="000000"/>
                <w:szCs w:val="21"/>
              </w:rPr>
            </w:pPr>
            <w:r>
              <w:rPr>
                <w:rFonts w:hint="eastAsia"/>
                <w:color w:val="000000"/>
                <w:szCs w:val="21"/>
              </w:rPr>
              <w:t>361</w:t>
            </w:r>
          </w:p>
        </w:tc>
      </w:tr>
      <w:tr w14:paraId="0D9B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225D338">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F0E5B8B">
            <w:pPr>
              <w:spacing w:before="100" w:beforeAutospacing="1" w:after="100" w:afterAutospacing="1" w:line="240" w:lineRule="atLeast"/>
              <w:jc w:val="center"/>
              <w:rPr>
                <w:rFonts w:eastAsia="楷体_GB2312"/>
                <w:kern w:val="0"/>
                <w:szCs w:val="21"/>
              </w:rPr>
            </w:pPr>
          </w:p>
        </w:tc>
        <w:tc>
          <w:tcPr>
            <w:tcW w:w="0" w:type="auto"/>
            <w:noWrap w:val="0"/>
            <w:vAlign w:val="center"/>
          </w:tcPr>
          <w:p w14:paraId="474BBE10">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5B7B741D">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1105" w:type="dxa"/>
            <w:noWrap w:val="0"/>
            <w:vAlign w:val="center"/>
          </w:tcPr>
          <w:p w14:paraId="18A08EE8">
            <w:pPr>
              <w:spacing w:before="100" w:beforeAutospacing="1" w:after="100" w:afterAutospacing="1" w:line="240" w:lineRule="atLeast"/>
              <w:jc w:val="center"/>
              <w:rPr>
                <w:szCs w:val="21"/>
              </w:rPr>
            </w:pPr>
            <w:r>
              <w:rPr>
                <w:rFonts w:hint="eastAsia"/>
                <w:szCs w:val="21"/>
              </w:rPr>
              <w:t>42</w:t>
            </w:r>
          </w:p>
        </w:tc>
        <w:tc>
          <w:tcPr>
            <w:tcW w:w="1081" w:type="dxa"/>
            <w:noWrap w:val="0"/>
            <w:vAlign w:val="center"/>
          </w:tcPr>
          <w:p w14:paraId="786C9998">
            <w:pPr>
              <w:jc w:val="center"/>
              <w:rPr>
                <w:rFonts w:ascii="宋体" w:hAnsi="宋体" w:cs="宋体"/>
                <w:color w:val="000000"/>
                <w:szCs w:val="21"/>
              </w:rPr>
            </w:pPr>
            <w:r>
              <w:rPr>
                <w:rFonts w:hint="eastAsia"/>
                <w:color w:val="000000"/>
                <w:szCs w:val="21"/>
              </w:rPr>
              <w:t>404</w:t>
            </w:r>
          </w:p>
        </w:tc>
        <w:tc>
          <w:tcPr>
            <w:tcW w:w="0" w:type="auto"/>
            <w:noWrap w:val="0"/>
            <w:vAlign w:val="center"/>
          </w:tcPr>
          <w:p w14:paraId="3E8A3CA4">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521F299C">
            <w:pPr>
              <w:spacing w:before="100" w:beforeAutospacing="1" w:after="100" w:afterAutospacing="1" w:line="240" w:lineRule="atLeast"/>
              <w:jc w:val="center"/>
              <w:rPr>
                <w:szCs w:val="21"/>
              </w:rPr>
            </w:pPr>
            <w:r>
              <w:rPr>
                <w:rFonts w:hint="eastAsia"/>
                <w:szCs w:val="21"/>
              </w:rPr>
              <w:t>42</w:t>
            </w:r>
          </w:p>
        </w:tc>
        <w:tc>
          <w:tcPr>
            <w:tcW w:w="0" w:type="auto"/>
            <w:noWrap w:val="0"/>
            <w:vAlign w:val="center"/>
          </w:tcPr>
          <w:p w14:paraId="4E0490D6">
            <w:pPr>
              <w:jc w:val="center"/>
              <w:rPr>
                <w:rFonts w:ascii="宋体" w:hAnsi="宋体" w:cs="宋体"/>
                <w:color w:val="000000"/>
                <w:szCs w:val="21"/>
              </w:rPr>
            </w:pPr>
            <w:r>
              <w:rPr>
                <w:rFonts w:hint="eastAsia"/>
                <w:color w:val="000000"/>
                <w:szCs w:val="21"/>
              </w:rPr>
              <w:t>275</w:t>
            </w:r>
          </w:p>
        </w:tc>
      </w:tr>
      <w:tr w14:paraId="0F55C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938DDCC">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77E5D869">
            <w:pPr>
              <w:spacing w:before="100" w:beforeAutospacing="1" w:after="100" w:afterAutospacing="1" w:line="240" w:lineRule="atLeast"/>
              <w:jc w:val="center"/>
              <w:rPr>
                <w:rFonts w:eastAsia="楷体_GB2312"/>
                <w:kern w:val="0"/>
                <w:szCs w:val="21"/>
              </w:rPr>
            </w:pPr>
          </w:p>
        </w:tc>
        <w:tc>
          <w:tcPr>
            <w:tcW w:w="0" w:type="auto"/>
            <w:noWrap w:val="0"/>
            <w:vAlign w:val="center"/>
          </w:tcPr>
          <w:p w14:paraId="138A6491">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49F12C68">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1105" w:type="dxa"/>
            <w:noWrap w:val="0"/>
            <w:vAlign w:val="center"/>
          </w:tcPr>
          <w:p w14:paraId="4FACE4F5">
            <w:pPr>
              <w:spacing w:before="100" w:beforeAutospacing="1" w:after="100" w:afterAutospacing="1" w:line="240" w:lineRule="atLeast"/>
              <w:jc w:val="center"/>
              <w:rPr>
                <w:szCs w:val="21"/>
              </w:rPr>
            </w:pPr>
            <w:r>
              <w:rPr>
                <w:rFonts w:hint="eastAsia"/>
                <w:szCs w:val="21"/>
              </w:rPr>
              <w:t>23</w:t>
            </w:r>
          </w:p>
        </w:tc>
        <w:tc>
          <w:tcPr>
            <w:tcW w:w="1081" w:type="dxa"/>
            <w:noWrap w:val="0"/>
            <w:vAlign w:val="center"/>
          </w:tcPr>
          <w:p w14:paraId="2B6009DE">
            <w:pPr>
              <w:jc w:val="center"/>
              <w:rPr>
                <w:rFonts w:ascii="宋体" w:hAnsi="宋体" w:cs="宋体"/>
                <w:color w:val="000000"/>
                <w:szCs w:val="21"/>
              </w:rPr>
            </w:pPr>
            <w:r>
              <w:rPr>
                <w:rFonts w:hint="eastAsia"/>
                <w:color w:val="000000"/>
                <w:szCs w:val="21"/>
              </w:rPr>
              <w:t>291</w:t>
            </w:r>
          </w:p>
        </w:tc>
        <w:tc>
          <w:tcPr>
            <w:tcW w:w="0" w:type="auto"/>
            <w:noWrap w:val="0"/>
            <w:vAlign w:val="center"/>
          </w:tcPr>
          <w:p w14:paraId="4A8E8B5C">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31120EB4">
            <w:pPr>
              <w:spacing w:before="100" w:beforeAutospacing="1" w:after="100" w:afterAutospacing="1" w:line="240" w:lineRule="atLeast"/>
              <w:jc w:val="center"/>
              <w:rPr>
                <w:szCs w:val="21"/>
              </w:rPr>
            </w:pPr>
            <w:r>
              <w:rPr>
                <w:rFonts w:hint="eastAsia"/>
                <w:szCs w:val="21"/>
              </w:rPr>
              <w:t>23</w:t>
            </w:r>
          </w:p>
        </w:tc>
        <w:tc>
          <w:tcPr>
            <w:tcW w:w="0" w:type="auto"/>
            <w:noWrap w:val="0"/>
            <w:vAlign w:val="center"/>
          </w:tcPr>
          <w:p w14:paraId="47B2F78D">
            <w:pPr>
              <w:jc w:val="center"/>
              <w:rPr>
                <w:rFonts w:ascii="宋体" w:hAnsi="宋体" w:cs="宋体"/>
                <w:color w:val="000000"/>
                <w:szCs w:val="21"/>
              </w:rPr>
            </w:pPr>
            <w:r>
              <w:rPr>
                <w:rFonts w:hint="eastAsia"/>
                <w:color w:val="000000"/>
                <w:szCs w:val="21"/>
              </w:rPr>
              <w:t>222</w:t>
            </w:r>
          </w:p>
        </w:tc>
      </w:tr>
      <w:tr w14:paraId="0A713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0AB8F918">
            <w:pPr>
              <w:spacing w:before="100" w:beforeAutospacing="1" w:after="100" w:afterAutospacing="1" w:line="240" w:lineRule="atLeast"/>
              <w:jc w:val="center"/>
              <w:rPr>
                <w:rFonts w:eastAsia="楷体_GB2312"/>
                <w:kern w:val="0"/>
                <w:szCs w:val="21"/>
              </w:rPr>
            </w:pPr>
            <w:r>
              <w:rPr>
                <w:rFonts w:hint="eastAsia" w:eastAsia="楷体_GB2312"/>
                <w:kern w:val="0"/>
                <w:szCs w:val="21"/>
              </w:rPr>
              <w:t>11</w:t>
            </w:r>
          </w:p>
        </w:tc>
        <w:tc>
          <w:tcPr>
            <w:tcW w:w="0" w:type="auto"/>
            <w:vMerge w:val="restart"/>
            <w:noWrap w:val="0"/>
            <w:vAlign w:val="center"/>
          </w:tcPr>
          <w:p w14:paraId="16F7D8D9">
            <w:pPr>
              <w:spacing w:before="100" w:beforeAutospacing="1" w:after="100" w:afterAutospacing="1" w:line="240" w:lineRule="atLeast"/>
              <w:jc w:val="center"/>
              <w:rPr>
                <w:rFonts w:eastAsia="楷体_GB2312"/>
                <w:kern w:val="0"/>
                <w:szCs w:val="21"/>
              </w:rPr>
            </w:pPr>
            <w:r>
              <w:rPr>
                <w:rFonts w:hint="eastAsia" w:eastAsia="楷体_GB2312"/>
                <w:kern w:val="0"/>
                <w:szCs w:val="21"/>
              </w:rPr>
              <w:t>曹村镇</w:t>
            </w:r>
          </w:p>
        </w:tc>
        <w:tc>
          <w:tcPr>
            <w:tcW w:w="0" w:type="auto"/>
            <w:noWrap w:val="0"/>
            <w:vAlign w:val="center"/>
          </w:tcPr>
          <w:p w14:paraId="770EAE64">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247C115F">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1105" w:type="dxa"/>
            <w:noWrap w:val="0"/>
            <w:vAlign w:val="center"/>
          </w:tcPr>
          <w:p w14:paraId="411FE1A9">
            <w:pPr>
              <w:spacing w:before="100" w:beforeAutospacing="1" w:after="100" w:afterAutospacing="1" w:line="240" w:lineRule="atLeast"/>
              <w:jc w:val="center"/>
              <w:rPr>
                <w:rFonts w:eastAsia="楷体_GB2312"/>
                <w:szCs w:val="21"/>
              </w:rPr>
            </w:pPr>
            <w:r>
              <w:rPr>
                <w:rFonts w:hint="eastAsia" w:eastAsia="楷体_GB2312"/>
                <w:szCs w:val="21"/>
              </w:rPr>
              <w:t>82</w:t>
            </w:r>
          </w:p>
        </w:tc>
        <w:tc>
          <w:tcPr>
            <w:tcW w:w="1081" w:type="dxa"/>
            <w:noWrap w:val="0"/>
            <w:vAlign w:val="center"/>
          </w:tcPr>
          <w:p w14:paraId="01E2D02C">
            <w:pPr>
              <w:jc w:val="center"/>
              <w:rPr>
                <w:rFonts w:ascii="宋体" w:hAnsi="宋体" w:cs="宋体"/>
                <w:color w:val="000000"/>
                <w:szCs w:val="21"/>
              </w:rPr>
            </w:pPr>
            <w:r>
              <w:rPr>
                <w:rFonts w:hint="eastAsia"/>
                <w:color w:val="000000"/>
                <w:szCs w:val="21"/>
              </w:rPr>
              <w:t>510</w:t>
            </w:r>
          </w:p>
        </w:tc>
        <w:tc>
          <w:tcPr>
            <w:tcW w:w="0" w:type="auto"/>
            <w:noWrap w:val="0"/>
            <w:vAlign w:val="center"/>
          </w:tcPr>
          <w:p w14:paraId="453B7691">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46B99BF0">
            <w:pPr>
              <w:spacing w:before="100" w:beforeAutospacing="1" w:after="100" w:afterAutospacing="1" w:line="240" w:lineRule="atLeast"/>
              <w:jc w:val="center"/>
              <w:rPr>
                <w:rFonts w:eastAsia="楷体_GB2312"/>
                <w:szCs w:val="21"/>
              </w:rPr>
            </w:pPr>
            <w:r>
              <w:rPr>
                <w:rFonts w:hint="eastAsia" w:eastAsia="楷体_GB2312"/>
                <w:szCs w:val="21"/>
              </w:rPr>
              <w:t>82</w:t>
            </w:r>
          </w:p>
        </w:tc>
        <w:tc>
          <w:tcPr>
            <w:tcW w:w="0" w:type="auto"/>
            <w:noWrap w:val="0"/>
            <w:vAlign w:val="center"/>
          </w:tcPr>
          <w:p w14:paraId="76F292EA">
            <w:pPr>
              <w:jc w:val="center"/>
              <w:rPr>
                <w:rFonts w:ascii="宋体" w:hAnsi="宋体" w:cs="宋体"/>
                <w:color w:val="000000"/>
                <w:szCs w:val="21"/>
              </w:rPr>
            </w:pPr>
            <w:r>
              <w:rPr>
                <w:rFonts w:hint="eastAsia"/>
                <w:color w:val="000000"/>
                <w:szCs w:val="21"/>
              </w:rPr>
              <w:t>356</w:t>
            </w:r>
          </w:p>
        </w:tc>
      </w:tr>
      <w:tr w14:paraId="477C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89E6F98">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F32CB07">
            <w:pPr>
              <w:spacing w:before="100" w:beforeAutospacing="1" w:after="100" w:afterAutospacing="1" w:line="240" w:lineRule="atLeast"/>
              <w:jc w:val="center"/>
              <w:rPr>
                <w:rFonts w:eastAsia="楷体_GB2312"/>
                <w:kern w:val="0"/>
                <w:szCs w:val="21"/>
              </w:rPr>
            </w:pPr>
          </w:p>
        </w:tc>
        <w:tc>
          <w:tcPr>
            <w:tcW w:w="0" w:type="auto"/>
            <w:noWrap w:val="0"/>
            <w:vAlign w:val="center"/>
          </w:tcPr>
          <w:p w14:paraId="595F3300">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726779BF">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1105" w:type="dxa"/>
            <w:noWrap w:val="0"/>
            <w:vAlign w:val="center"/>
          </w:tcPr>
          <w:p w14:paraId="0EFFA2F5">
            <w:pPr>
              <w:spacing w:before="100" w:beforeAutospacing="1" w:after="100" w:afterAutospacing="1" w:line="240" w:lineRule="atLeast"/>
              <w:jc w:val="center"/>
              <w:rPr>
                <w:rFonts w:eastAsia="楷体_GB2312"/>
                <w:szCs w:val="21"/>
              </w:rPr>
            </w:pPr>
            <w:r>
              <w:rPr>
                <w:rFonts w:hint="eastAsia" w:eastAsia="楷体_GB2312"/>
                <w:szCs w:val="21"/>
              </w:rPr>
              <w:t>64</w:t>
            </w:r>
          </w:p>
        </w:tc>
        <w:tc>
          <w:tcPr>
            <w:tcW w:w="1081" w:type="dxa"/>
            <w:noWrap w:val="0"/>
            <w:vAlign w:val="center"/>
          </w:tcPr>
          <w:p w14:paraId="7A8FB6AC">
            <w:pPr>
              <w:jc w:val="center"/>
              <w:rPr>
                <w:rFonts w:ascii="宋体" w:hAnsi="宋体" w:cs="宋体"/>
                <w:color w:val="000000"/>
                <w:szCs w:val="21"/>
              </w:rPr>
            </w:pPr>
            <w:r>
              <w:rPr>
                <w:rFonts w:hint="eastAsia"/>
                <w:color w:val="000000"/>
                <w:szCs w:val="21"/>
              </w:rPr>
              <w:t>361</w:t>
            </w:r>
          </w:p>
        </w:tc>
        <w:tc>
          <w:tcPr>
            <w:tcW w:w="0" w:type="auto"/>
            <w:noWrap w:val="0"/>
            <w:vAlign w:val="center"/>
          </w:tcPr>
          <w:p w14:paraId="2F2D6BD9">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3D5D5DE9">
            <w:pPr>
              <w:spacing w:before="100" w:beforeAutospacing="1" w:after="100" w:afterAutospacing="1" w:line="240" w:lineRule="atLeast"/>
              <w:jc w:val="center"/>
              <w:rPr>
                <w:rFonts w:eastAsia="楷体_GB2312"/>
                <w:szCs w:val="21"/>
              </w:rPr>
            </w:pPr>
            <w:r>
              <w:rPr>
                <w:rFonts w:hint="eastAsia" w:eastAsia="楷体_GB2312"/>
                <w:szCs w:val="21"/>
              </w:rPr>
              <w:t>64</w:t>
            </w:r>
          </w:p>
        </w:tc>
        <w:tc>
          <w:tcPr>
            <w:tcW w:w="0" w:type="auto"/>
            <w:noWrap w:val="0"/>
            <w:vAlign w:val="center"/>
          </w:tcPr>
          <w:p w14:paraId="37CADE9B">
            <w:pPr>
              <w:jc w:val="center"/>
              <w:rPr>
                <w:rFonts w:ascii="宋体" w:hAnsi="宋体" w:cs="宋体"/>
                <w:color w:val="000000"/>
                <w:szCs w:val="21"/>
              </w:rPr>
            </w:pPr>
            <w:r>
              <w:rPr>
                <w:rFonts w:hint="eastAsia"/>
                <w:color w:val="000000"/>
                <w:szCs w:val="21"/>
              </w:rPr>
              <w:t>267</w:t>
            </w:r>
          </w:p>
        </w:tc>
      </w:tr>
      <w:tr w14:paraId="2B58A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4A984E6A">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2782825">
            <w:pPr>
              <w:spacing w:before="100" w:beforeAutospacing="1" w:after="100" w:afterAutospacing="1" w:line="240" w:lineRule="atLeast"/>
              <w:jc w:val="center"/>
              <w:rPr>
                <w:rFonts w:eastAsia="楷体_GB2312"/>
                <w:kern w:val="0"/>
                <w:szCs w:val="21"/>
              </w:rPr>
            </w:pPr>
          </w:p>
        </w:tc>
        <w:tc>
          <w:tcPr>
            <w:tcW w:w="0" w:type="auto"/>
            <w:noWrap w:val="0"/>
            <w:vAlign w:val="center"/>
          </w:tcPr>
          <w:p w14:paraId="03FA74B6">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5C688DE5">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1105" w:type="dxa"/>
            <w:noWrap w:val="0"/>
            <w:vAlign w:val="center"/>
          </w:tcPr>
          <w:p w14:paraId="7F438E3D">
            <w:pPr>
              <w:spacing w:before="100" w:beforeAutospacing="1" w:after="100" w:afterAutospacing="1" w:line="240" w:lineRule="atLeast"/>
              <w:jc w:val="center"/>
              <w:rPr>
                <w:rFonts w:eastAsia="楷体_GB2312"/>
                <w:szCs w:val="21"/>
              </w:rPr>
            </w:pPr>
            <w:r>
              <w:rPr>
                <w:rFonts w:hint="eastAsia" w:eastAsia="楷体_GB2312"/>
                <w:szCs w:val="21"/>
              </w:rPr>
              <w:t>9</w:t>
            </w:r>
          </w:p>
        </w:tc>
        <w:tc>
          <w:tcPr>
            <w:tcW w:w="1081" w:type="dxa"/>
            <w:noWrap w:val="0"/>
            <w:vAlign w:val="center"/>
          </w:tcPr>
          <w:p w14:paraId="128C89CA">
            <w:pPr>
              <w:jc w:val="center"/>
              <w:rPr>
                <w:rFonts w:ascii="宋体" w:hAnsi="宋体" w:cs="宋体"/>
                <w:color w:val="000000"/>
                <w:szCs w:val="21"/>
              </w:rPr>
            </w:pPr>
            <w:r>
              <w:rPr>
                <w:rFonts w:hint="eastAsia"/>
                <w:color w:val="000000"/>
                <w:szCs w:val="21"/>
              </w:rPr>
              <w:t>312</w:t>
            </w:r>
          </w:p>
        </w:tc>
        <w:tc>
          <w:tcPr>
            <w:tcW w:w="0" w:type="auto"/>
            <w:noWrap w:val="0"/>
            <w:vAlign w:val="center"/>
          </w:tcPr>
          <w:p w14:paraId="67A2E066">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42DA3DDD">
            <w:pPr>
              <w:spacing w:before="100" w:beforeAutospacing="1" w:after="100" w:afterAutospacing="1" w:line="240" w:lineRule="atLeast"/>
              <w:jc w:val="center"/>
              <w:rPr>
                <w:rFonts w:eastAsia="楷体_GB2312"/>
                <w:szCs w:val="21"/>
              </w:rPr>
            </w:pPr>
            <w:r>
              <w:rPr>
                <w:rFonts w:hint="eastAsia" w:eastAsia="楷体_GB2312"/>
                <w:szCs w:val="21"/>
              </w:rPr>
              <w:t>9</w:t>
            </w:r>
          </w:p>
        </w:tc>
        <w:tc>
          <w:tcPr>
            <w:tcW w:w="0" w:type="auto"/>
            <w:noWrap w:val="0"/>
            <w:vAlign w:val="center"/>
          </w:tcPr>
          <w:p w14:paraId="7507D60A">
            <w:pPr>
              <w:jc w:val="center"/>
              <w:rPr>
                <w:rFonts w:ascii="宋体" w:hAnsi="宋体" w:cs="宋体"/>
                <w:color w:val="000000"/>
                <w:szCs w:val="21"/>
              </w:rPr>
            </w:pPr>
            <w:r>
              <w:rPr>
                <w:rFonts w:hint="eastAsia"/>
                <w:color w:val="000000"/>
                <w:szCs w:val="21"/>
              </w:rPr>
              <w:t>218</w:t>
            </w:r>
          </w:p>
        </w:tc>
      </w:tr>
      <w:tr w14:paraId="51FA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65FC2B36">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0" w:type="auto"/>
            <w:vMerge w:val="restart"/>
            <w:noWrap w:val="0"/>
            <w:vAlign w:val="center"/>
          </w:tcPr>
          <w:p w14:paraId="5FBBA5CF">
            <w:pPr>
              <w:spacing w:before="100" w:beforeAutospacing="1" w:after="100" w:afterAutospacing="1" w:line="240" w:lineRule="atLeast"/>
              <w:jc w:val="center"/>
              <w:rPr>
                <w:rFonts w:eastAsia="楷体_GB2312"/>
                <w:kern w:val="0"/>
                <w:szCs w:val="21"/>
              </w:rPr>
            </w:pPr>
            <w:r>
              <w:rPr>
                <w:rFonts w:hint="eastAsia" w:eastAsia="楷体_GB2312"/>
                <w:kern w:val="0"/>
                <w:szCs w:val="21"/>
              </w:rPr>
              <w:t>大营镇</w:t>
            </w:r>
          </w:p>
        </w:tc>
        <w:tc>
          <w:tcPr>
            <w:tcW w:w="0" w:type="auto"/>
            <w:noWrap w:val="0"/>
            <w:vAlign w:val="center"/>
          </w:tcPr>
          <w:p w14:paraId="60CEF239">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1211C804">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1105" w:type="dxa"/>
            <w:noWrap w:val="0"/>
            <w:vAlign w:val="center"/>
          </w:tcPr>
          <w:p w14:paraId="29ACBFFA">
            <w:pPr>
              <w:spacing w:before="100" w:beforeAutospacing="1" w:after="100" w:afterAutospacing="1" w:line="240" w:lineRule="atLeast"/>
              <w:jc w:val="center"/>
              <w:rPr>
                <w:szCs w:val="21"/>
              </w:rPr>
            </w:pPr>
            <w:r>
              <w:rPr>
                <w:rFonts w:hint="eastAsia"/>
                <w:szCs w:val="21"/>
              </w:rPr>
              <w:t>83</w:t>
            </w:r>
          </w:p>
        </w:tc>
        <w:tc>
          <w:tcPr>
            <w:tcW w:w="1081" w:type="dxa"/>
            <w:noWrap w:val="0"/>
            <w:vAlign w:val="center"/>
          </w:tcPr>
          <w:p w14:paraId="3D1E880F">
            <w:pPr>
              <w:jc w:val="center"/>
              <w:rPr>
                <w:rFonts w:ascii="宋体" w:hAnsi="宋体" w:cs="宋体"/>
                <w:color w:val="000000"/>
                <w:szCs w:val="21"/>
              </w:rPr>
            </w:pPr>
            <w:r>
              <w:rPr>
                <w:rFonts w:hint="eastAsia"/>
                <w:color w:val="000000"/>
                <w:szCs w:val="21"/>
              </w:rPr>
              <w:t>504</w:t>
            </w:r>
          </w:p>
        </w:tc>
        <w:tc>
          <w:tcPr>
            <w:tcW w:w="0" w:type="auto"/>
            <w:noWrap w:val="0"/>
            <w:vAlign w:val="center"/>
          </w:tcPr>
          <w:p w14:paraId="4F721989">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5BC8406A">
            <w:pPr>
              <w:spacing w:before="100" w:beforeAutospacing="1" w:after="100" w:afterAutospacing="1" w:line="240" w:lineRule="atLeast"/>
              <w:jc w:val="center"/>
              <w:rPr>
                <w:szCs w:val="21"/>
              </w:rPr>
            </w:pPr>
            <w:r>
              <w:rPr>
                <w:rFonts w:hint="eastAsia"/>
                <w:szCs w:val="21"/>
              </w:rPr>
              <w:t>83</w:t>
            </w:r>
          </w:p>
        </w:tc>
        <w:tc>
          <w:tcPr>
            <w:tcW w:w="0" w:type="auto"/>
            <w:noWrap w:val="0"/>
            <w:vAlign w:val="center"/>
          </w:tcPr>
          <w:p w14:paraId="14E890DF">
            <w:pPr>
              <w:jc w:val="center"/>
              <w:rPr>
                <w:rFonts w:ascii="宋体" w:hAnsi="宋体" w:cs="宋体"/>
                <w:color w:val="000000"/>
                <w:szCs w:val="21"/>
              </w:rPr>
            </w:pPr>
            <w:r>
              <w:rPr>
                <w:rFonts w:hint="eastAsia"/>
                <w:color w:val="000000"/>
                <w:szCs w:val="21"/>
              </w:rPr>
              <w:t>330</w:t>
            </w:r>
          </w:p>
        </w:tc>
      </w:tr>
      <w:tr w14:paraId="12CB3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FEC2437">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59DD554">
            <w:pPr>
              <w:spacing w:before="100" w:beforeAutospacing="1" w:after="100" w:afterAutospacing="1" w:line="240" w:lineRule="atLeast"/>
              <w:jc w:val="center"/>
              <w:rPr>
                <w:rFonts w:eastAsia="楷体_GB2312"/>
                <w:kern w:val="0"/>
                <w:szCs w:val="21"/>
              </w:rPr>
            </w:pPr>
          </w:p>
        </w:tc>
        <w:tc>
          <w:tcPr>
            <w:tcW w:w="0" w:type="auto"/>
            <w:noWrap w:val="0"/>
            <w:vAlign w:val="center"/>
          </w:tcPr>
          <w:p w14:paraId="47B1404E">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7EF1A874">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1105" w:type="dxa"/>
            <w:noWrap w:val="0"/>
            <w:vAlign w:val="center"/>
          </w:tcPr>
          <w:p w14:paraId="4D4CB9A6">
            <w:pPr>
              <w:spacing w:before="100" w:beforeAutospacing="1" w:after="100" w:afterAutospacing="1" w:line="240" w:lineRule="atLeast"/>
              <w:jc w:val="center"/>
              <w:rPr>
                <w:szCs w:val="21"/>
              </w:rPr>
            </w:pPr>
            <w:r>
              <w:rPr>
                <w:rFonts w:hint="eastAsia"/>
                <w:szCs w:val="21"/>
              </w:rPr>
              <w:t>51</w:t>
            </w:r>
          </w:p>
        </w:tc>
        <w:tc>
          <w:tcPr>
            <w:tcW w:w="1081" w:type="dxa"/>
            <w:noWrap w:val="0"/>
            <w:vAlign w:val="center"/>
          </w:tcPr>
          <w:p w14:paraId="30B449FA">
            <w:pPr>
              <w:jc w:val="center"/>
              <w:rPr>
                <w:rFonts w:ascii="宋体" w:hAnsi="宋体" w:cs="宋体"/>
                <w:color w:val="000000"/>
                <w:szCs w:val="21"/>
              </w:rPr>
            </w:pPr>
            <w:r>
              <w:rPr>
                <w:rFonts w:hint="eastAsia"/>
                <w:color w:val="000000"/>
                <w:szCs w:val="21"/>
              </w:rPr>
              <w:t>349</w:t>
            </w:r>
          </w:p>
        </w:tc>
        <w:tc>
          <w:tcPr>
            <w:tcW w:w="0" w:type="auto"/>
            <w:noWrap w:val="0"/>
            <w:vAlign w:val="center"/>
          </w:tcPr>
          <w:p w14:paraId="1863EA28">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noWrap w:val="0"/>
            <w:vAlign w:val="center"/>
          </w:tcPr>
          <w:p w14:paraId="0A640BEA">
            <w:pPr>
              <w:spacing w:before="100" w:beforeAutospacing="1" w:after="100" w:afterAutospacing="1" w:line="240" w:lineRule="atLeast"/>
              <w:jc w:val="center"/>
              <w:rPr>
                <w:szCs w:val="21"/>
              </w:rPr>
            </w:pPr>
            <w:r>
              <w:rPr>
                <w:rFonts w:hint="eastAsia"/>
                <w:szCs w:val="21"/>
              </w:rPr>
              <w:t>51</w:t>
            </w:r>
          </w:p>
        </w:tc>
        <w:tc>
          <w:tcPr>
            <w:tcW w:w="0" w:type="auto"/>
            <w:noWrap w:val="0"/>
            <w:vAlign w:val="center"/>
          </w:tcPr>
          <w:p w14:paraId="0BA2EACC">
            <w:pPr>
              <w:jc w:val="center"/>
              <w:rPr>
                <w:rFonts w:ascii="宋体" w:hAnsi="宋体" w:cs="宋体"/>
                <w:color w:val="000000"/>
                <w:szCs w:val="21"/>
              </w:rPr>
            </w:pPr>
            <w:r>
              <w:rPr>
                <w:rFonts w:hint="eastAsia"/>
                <w:color w:val="000000"/>
                <w:szCs w:val="21"/>
              </w:rPr>
              <w:t>275</w:t>
            </w:r>
          </w:p>
        </w:tc>
      </w:tr>
      <w:tr w14:paraId="781E4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ADDABD9">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3338DBE7">
            <w:pPr>
              <w:spacing w:before="100" w:beforeAutospacing="1" w:after="100" w:afterAutospacing="1" w:line="240" w:lineRule="atLeast"/>
              <w:jc w:val="center"/>
              <w:rPr>
                <w:rFonts w:eastAsia="楷体_GB2312"/>
                <w:kern w:val="0"/>
                <w:szCs w:val="21"/>
              </w:rPr>
            </w:pPr>
          </w:p>
        </w:tc>
        <w:tc>
          <w:tcPr>
            <w:tcW w:w="0" w:type="auto"/>
            <w:noWrap w:val="0"/>
            <w:vAlign w:val="center"/>
          </w:tcPr>
          <w:p w14:paraId="0D5797A5">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5E5FEB3F">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1105" w:type="dxa"/>
            <w:noWrap w:val="0"/>
            <w:vAlign w:val="center"/>
          </w:tcPr>
          <w:p w14:paraId="2194E3A5">
            <w:pPr>
              <w:spacing w:before="100" w:beforeAutospacing="1" w:after="100" w:afterAutospacing="1" w:line="240" w:lineRule="atLeast"/>
              <w:jc w:val="center"/>
              <w:rPr>
                <w:szCs w:val="21"/>
              </w:rPr>
            </w:pPr>
            <w:r>
              <w:rPr>
                <w:rFonts w:hint="eastAsia"/>
                <w:szCs w:val="21"/>
              </w:rPr>
              <w:t>20</w:t>
            </w:r>
          </w:p>
        </w:tc>
        <w:tc>
          <w:tcPr>
            <w:tcW w:w="1081" w:type="dxa"/>
            <w:noWrap w:val="0"/>
            <w:vAlign w:val="center"/>
          </w:tcPr>
          <w:p w14:paraId="56B45F90">
            <w:pPr>
              <w:jc w:val="center"/>
              <w:rPr>
                <w:rFonts w:ascii="宋体" w:hAnsi="宋体" w:cs="宋体"/>
                <w:color w:val="000000"/>
                <w:szCs w:val="21"/>
              </w:rPr>
            </w:pPr>
            <w:r>
              <w:rPr>
                <w:rFonts w:hint="eastAsia"/>
                <w:color w:val="000000"/>
                <w:szCs w:val="21"/>
              </w:rPr>
              <w:t>280</w:t>
            </w:r>
          </w:p>
        </w:tc>
        <w:tc>
          <w:tcPr>
            <w:tcW w:w="0" w:type="auto"/>
            <w:noWrap w:val="0"/>
            <w:vAlign w:val="center"/>
          </w:tcPr>
          <w:p w14:paraId="2DB07DC6">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7E2B6974">
            <w:pPr>
              <w:spacing w:before="100" w:beforeAutospacing="1" w:after="100" w:afterAutospacing="1" w:line="240" w:lineRule="atLeast"/>
              <w:jc w:val="center"/>
              <w:rPr>
                <w:szCs w:val="21"/>
              </w:rPr>
            </w:pPr>
            <w:r>
              <w:rPr>
                <w:rFonts w:hint="eastAsia"/>
                <w:szCs w:val="21"/>
              </w:rPr>
              <w:t>20</w:t>
            </w:r>
          </w:p>
        </w:tc>
        <w:tc>
          <w:tcPr>
            <w:tcW w:w="0" w:type="auto"/>
            <w:noWrap w:val="0"/>
            <w:vAlign w:val="center"/>
          </w:tcPr>
          <w:p w14:paraId="5832B5E7">
            <w:pPr>
              <w:jc w:val="center"/>
              <w:rPr>
                <w:rFonts w:ascii="宋体" w:hAnsi="宋体" w:cs="宋体"/>
                <w:color w:val="000000"/>
                <w:szCs w:val="21"/>
              </w:rPr>
            </w:pPr>
            <w:r>
              <w:rPr>
                <w:rFonts w:hint="eastAsia"/>
                <w:color w:val="000000"/>
                <w:szCs w:val="21"/>
              </w:rPr>
              <w:t>212</w:t>
            </w:r>
          </w:p>
        </w:tc>
      </w:tr>
      <w:tr w14:paraId="49D11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42F99EDC">
            <w:pPr>
              <w:spacing w:before="100" w:beforeAutospacing="1" w:after="100" w:afterAutospacing="1" w:line="240" w:lineRule="atLeast"/>
              <w:jc w:val="center"/>
              <w:rPr>
                <w:rFonts w:eastAsia="楷体_GB2312"/>
                <w:kern w:val="0"/>
                <w:szCs w:val="21"/>
              </w:rPr>
            </w:pPr>
            <w:r>
              <w:rPr>
                <w:rFonts w:hint="eastAsia" w:eastAsia="楷体_GB2312"/>
                <w:kern w:val="0"/>
                <w:szCs w:val="21"/>
              </w:rPr>
              <w:t>13</w:t>
            </w:r>
          </w:p>
        </w:tc>
        <w:tc>
          <w:tcPr>
            <w:tcW w:w="0" w:type="auto"/>
            <w:vMerge w:val="restart"/>
            <w:noWrap w:val="0"/>
            <w:vAlign w:val="center"/>
          </w:tcPr>
          <w:p w14:paraId="4D0E8D1C">
            <w:pPr>
              <w:spacing w:before="100" w:beforeAutospacing="1" w:after="100" w:afterAutospacing="1" w:line="240" w:lineRule="atLeast"/>
              <w:jc w:val="center"/>
              <w:rPr>
                <w:rFonts w:eastAsia="楷体_GB2312"/>
                <w:kern w:val="0"/>
                <w:szCs w:val="21"/>
              </w:rPr>
            </w:pPr>
            <w:r>
              <w:rPr>
                <w:rFonts w:hint="eastAsia" w:eastAsia="楷体_GB2312"/>
                <w:kern w:val="0"/>
                <w:szCs w:val="21"/>
              </w:rPr>
              <w:t>褚兰镇</w:t>
            </w:r>
          </w:p>
        </w:tc>
        <w:tc>
          <w:tcPr>
            <w:tcW w:w="0" w:type="auto"/>
            <w:noWrap w:val="0"/>
            <w:vAlign w:val="center"/>
          </w:tcPr>
          <w:p w14:paraId="622F6F70">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3101E2F8">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1105" w:type="dxa"/>
            <w:noWrap w:val="0"/>
            <w:vAlign w:val="center"/>
          </w:tcPr>
          <w:p w14:paraId="4F3A14B0">
            <w:pPr>
              <w:spacing w:before="100" w:beforeAutospacing="1" w:after="100" w:afterAutospacing="1" w:line="240" w:lineRule="atLeast"/>
              <w:jc w:val="center"/>
              <w:rPr>
                <w:rFonts w:eastAsia="楷体_GB2312"/>
                <w:szCs w:val="21"/>
              </w:rPr>
            </w:pPr>
            <w:r>
              <w:rPr>
                <w:rFonts w:hint="eastAsia" w:eastAsia="楷体_GB2312"/>
                <w:szCs w:val="21"/>
              </w:rPr>
              <w:t>83</w:t>
            </w:r>
          </w:p>
        </w:tc>
        <w:tc>
          <w:tcPr>
            <w:tcW w:w="1081" w:type="dxa"/>
            <w:noWrap w:val="0"/>
            <w:vAlign w:val="center"/>
          </w:tcPr>
          <w:p w14:paraId="38772DA6">
            <w:pPr>
              <w:jc w:val="center"/>
              <w:rPr>
                <w:rFonts w:ascii="宋体" w:hAnsi="宋体" w:cs="宋体"/>
                <w:color w:val="000000"/>
                <w:szCs w:val="21"/>
              </w:rPr>
            </w:pPr>
            <w:r>
              <w:rPr>
                <w:rFonts w:hint="eastAsia"/>
                <w:color w:val="000000"/>
                <w:szCs w:val="21"/>
              </w:rPr>
              <w:t>451</w:t>
            </w:r>
          </w:p>
        </w:tc>
        <w:tc>
          <w:tcPr>
            <w:tcW w:w="0" w:type="auto"/>
            <w:noWrap w:val="0"/>
            <w:vAlign w:val="center"/>
          </w:tcPr>
          <w:p w14:paraId="7D2DA26C">
            <w:pPr>
              <w:spacing w:before="100" w:beforeAutospacing="1" w:after="100" w:afterAutospacing="1" w:line="240" w:lineRule="atLeast"/>
              <w:jc w:val="center"/>
              <w:rPr>
                <w:rFonts w:eastAsia="楷体_GB2312"/>
                <w:kern w:val="0"/>
                <w:szCs w:val="21"/>
              </w:rPr>
            </w:pPr>
            <w:r>
              <w:rPr>
                <w:rFonts w:hint="eastAsia" w:eastAsia="楷体_GB2312"/>
                <w:kern w:val="0"/>
                <w:szCs w:val="21"/>
              </w:rPr>
              <w:t>19</w:t>
            </w:r>
          </w:p>
        </w:tc>
        <w:tc>
          <w:tcPr>
            <w:tcW w:w="0" w:type="auto"/>
            <w:noWrap w:val="0"/>
            <w:vAlign w:val="center"/>
          </w:tcPr>
          <w:p w14:paraId="45AC3922">
            <w:pPr>
              <w:spacing w:before="100" w:beforeAutospacing="1" w:after="100" w:afterAutospacing="1" w:line="240" w:lineRule="atLeast"/>
              <w:jc w:val="center"/>
              <w:rPr>
                <w:rFonts w:eastAsia="楷体_GB2312"/>
                <w:szCs w:val="21"/>
              </w:rPr>
            </w:pPr>
            <w:r>
              <w:rPr>
                <w:rFonts w:hint="eastAsia" w:eastAsia="楷体_GB2312"/>
                <w:szCs w:val="21"/>
              </w:rPr>
              <w:t>83</w:t>
            </w:r>
          </w:p>
        </w:tc>
        <w:tc>
          <w:tcPr>
            <w:tcW w:w="0" w:type="auto"/>
            <w:noWrap w:val="0"/>
            <w:vAlign w:val="center"/>
          </w:tcPr>
          <w:p w14:paraId="0ED82950">
            <w:pPr>
              <w:jc w:val="center"/>
              <w:rPr>
                <w:rFonts w:ascii="宋体" w:hAnsi="宋体" w:cs="宋体"/>
                <w:color w:val="000000"/>
                <w:szCs w:val="21"/>
              </w:rPr>
            </w:pPr>
            <w:r>
              <w:rPr>
                <w:rFonts w:hint="eastAsia"/>
                <w:color w:val="000000"/>
                <w:szCs w:val="21"/>
              </w:rPr>
              <w:t>339</w:t>
            </w:r>
          </w:p>
        </w:tc>
      </w:tr>
      <w:tr w14:paraId="174BC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4177177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FAEA49D">
            <w:pPr>
              <w:spacing w:before="100" w:beforeAutospacing="1" w:after="100" w:afterAutospacing="1" w:line="240" w:lineRule="atLeast"/>
              <w:jc w:val="center"/>
              <w:rPr>
                <w:rFonts w:eastAsia="楷体_GB2312"/>
                <w:kern w:val="0"/>
                <w:szCs w:val="21"/>
              </w:rPr>
            </w:pPr>
          </w:p>
        </w:tc>
        <w:tc>
          <w:tcPr>
            <w:tcW w:w="0" w:type="auto"/>
            <w:noWrap w:val="0"/>
            <w:vAlign w:val="center"/>
          </w:tcPr>
          <w:p w14:paraId="24908136">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71DFD2C7">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1105" w:type="dxa"/>
            <w:noWrap w:val="0"/>
            <w:vAlign w:val="center"/>
          </w:tcPr>
          <w:p w14:paraId="718B65C6">
            <w:pPr>
              <w:spacing w:before="100" w:beforeAutospacing="1" w:after="100" w:afterAutospacing="1" w:line="240" w:lineRule="atLeast"/>
              <w:jc w:val="center"/>
              <w:rPr>
                <w:rFonts w:eastAsia="楷体_GB2312"/>
                <w:szCs w:val="21"/>
              </w:rPr>
            </w:pPr>
            <w:r>
              <w:rPr>
                <w:rFonts w:hint="eastAsia" w:eastAsia="楷体_GB2312"/>
                <w:szCs w:val="21"/>
              </w:rPr>
              <w:t>55</w:t>
            </w:r>
          </w:p>
        </w:tc>
        <w:tc>
          <w:tcPr>
            <w:tcW w:w="1081" w:type="dxa"/>
            <w:noWrap w:val="0"/>
            <w:vAlign w:val="center"/>
          </w:tcPr>
          <w:p w14:paraId="7119193B">
            <w:pPr>
              <w:jc w:val="center"/>
              <w:rPr>
                <w:rFonts w:ascii="宋体" w:hAnsi="宋体" w:cs="宋体"/>
                <w:color w:val="000000"/>
                <w:szCs w:val="21"/>
              </w:rPr>
            </w:pPr>
            <w:r>
              <w:rPr>
                <w:rFonts w:hint="eastAsia"/>
                <w:color w:val="000000"/>
                <w:szCs w:val="21"/>
              </w:rPr>
              <w:t>383</w:t>
            </w:r>
          </w:p>
        </w:tc>
        <w:tc>
          <w:tcPr>
            <w:tcW w:w="0" w:type="auto"/>
            <w:noWrap w:val="0"/>
            <w:vAlign w:val="center"/>
          </w:tcPr>
          <w:p w14:paraId="732128CD">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77D974A1">
            <w:pPr>
              <w:spacing w:before="100" w:beforeAutospacing="1" w:after="100" w:afterAutospacing="1" w:line="240" w:lineRule="atLeast"/>
              <w:jc w:val="center"/>
              <w:rPr>
                <w:rFonts w:eastAsia="楷体_GB2312"/>
                <w:szCs w:val="21"/>
              </w:rPr>
            </w:pPr>
            <w:r>
              <w:rPr>
                <w:rFonts w:hint="eastAsia" w:eastAsia="楷体_GB2312"/>
                <w:szCs w:val="21"/>
              </w:rPr>
              <w:t>55</w:t>
            </w:r>
          </w:p>
        </w:tc>
        <w:tc>
          <w:tcPr>
            <w:tcW w:w="0" w:type="auto"/>
            <w:noWrap w:val="0"/>
            <w:vAlign w:val="center"/>
          </w:tcPr>
          <w:p w14:paraId="018CFEAF">
            <w:pPr>
              <w:jc w:val="center"/>
              <w:rPr>
                <w:rFonts w:ascii="宋体" w:hAnsi="宋体" w:cs="宋体"/>
                <w:color w:val="000000"/>
                <w:szCs w:val="21"/>
              </w:rPr>
            </w:pPr>
            <w:r>
              <w:rPr>
                <w:rFonts w:hint="eastAsia"/>
                <w:color w:val="000000"/>
                <w:szCs w:val="21"/>
              </w:rPr>
              <w:t>245</w:t>
            </w:r>
          </w:p>
        </w:tc>
      </w:tr>
      <w:tr w14:paraId="7E4E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9BE8D1B">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40F7750">
            <w:pPr>
              <w:spacing w:before="100" w:beforeAutospacing="1" w:after="100" w:afterAutospacing="1" w:line="240" w:lineRule="atLeast"/>
              <w:jc w:val="center"/>
              <w:rPr>
                <w:rFonts w:eastAsia="楷体_GB2312"/>
                <w:kern w:val="0"/>
                <w:szCs w:val="21"/>
              </w:rPr>
            </w:pPr>
          </w:p>
        </w:tc>
        <w:tc>
          <w:tcPr>
            <w:tcW w:w="0" w:type="auto"/>
            <w:noWrap w:val="0"/>
            <w:vAlign w:val="center"/>
          </w:tcPr>
          <w:p w14:paraId="51692D4C">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2B81FDD7">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1105" w:type="dxa"/>
            <w:noWrap w:val="0"/>
            <w:vAlign w:val="center"/>
          </w:tcPr>
          <w:p w14:paraId="28929896">
            <w:pPr>
              <w:spacing w:before="100" w:beforeAutospacing="1" w:after="100" w:afterAutospacing="1" w:line="240" w:lineRule="atLeast"/>
              <w:jc w:val="center"/>
              <w:rPr>
                <w:rFonts w:eastAsia="楷体_GB2312"/>
                <w:szCs w:val="21"/>
              </w:rPr>
            </w:pPr>
            <w:r>
              <w:rPr>
                <w:rFonts w:hint="eastAsia" w:eastAsia="楷体_GB2312"/>
                <w:szCs w:val="21"/>
              </w:rPr>
              <w:t>29</w:t>
            </w:r>
          </w:p>
        </w:tc>
        <w:tc>
          <w:tcPr>
            <w:tcW w:w="1081" w:type="dxa"/>
            <w:noWrap w:val="0"/>
            <w:vAlign w:val="center"/>
          </w:tcPr>
          <w:p w14:paraId="74AD95D1">
            <w:pPr>
              <w:jc w:val="center"/>
              <w:rPr>
                <w:rFonts w:ascii="宋体" w:hAnsi="宋体" w:cs="宋体"/>
                <w:color w:val="000000"/>
                <w:szCs w:val="21"/>
              </w:rPr>
            </w:pPr>
            <w:r>
              <w:rPr>
                <w:rFonts w:hint="eastAsia"/>
                <w:color w:val="000000"/>
                <w:szCs w:val="21"/>
              </w:rPr>
              <w:t>277</w:t>
            </w:r>
          </w:p>
        </w:tc>
        <w:tc>
          <w:tcPr>
            <w:tcW w:w="0" w:type="auto"/>
            <w:noWrap w:val="0"/>
            <w:vAlign w:val="center"/>
          </w:tcPr>
          <w:p w14:paraId="6502944D">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065EC2C5">
            <w:pPr>
              <w:spacing w:before="100" w:beforeAutospacing="1" w:after="100" w:afterAutospacing="1" w:line="240" w:lineRule="atLeast"/>
              <w:jc w:val="center"/>
              <w:rPr>
                <w:rFonts w:eastAsia="楷体_GB2312"/>
                <w:szCs w:val="21"/>
              </w:rPr>
            </w:pPr>
            <w:r>
              <w:rPr>
                <w:rFonts w:hint="eastAsia" w:eastAsia="楷体_GB2312"/>
                <w:szCs w:val="21"/>
              </w:rPr>
              <w:t>29</w:t>
            </w:r>
          </w:p>
        </w:tc>
        <w:tc>
          <w:tcPr>
            <w:tcW w:w="0" w:type="auto"/>
            <w:noWrap w:val="0"/>
            <w:vAlign w:val="center"/>
          </w:tcPr>
          <w:p w14:paraId="3347B48B">
            <w:pPr>
              <w:jc w:val="center"/>
              <w:rPr>
                <w:rFonts w:ascii="宋体" w:hAnsi="宋体" w:cs="宋体"/>
                <w:color w:val="000000"/>
                <w:szCs w:val="21"/>
              </w:rPr>
            </w:pPr>
            <w:r>
              <w:rPr>
                <w:rFonts w:hint="eastAsia"/>
                <w:color w:val="000000"/>
                <w:szCs w:val="21"/>
              </w:rPr>
              <w:t>217</w:t>
            </w:r>
          </w:p>
        </w:tc>
      </w:tr>
      <w:tr w14:paraId="4DF84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618CBC2B">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vMerge w:val="restart"/>
            <w:noWrap w:val="0"/>
            <w:vAlign w:val="center"/>
          </w:tcPr>
          <w:p w14:paraId="47B75056">
            <w:pPr>
              <w:spacing w:before="100" w:beforeAutospacing="1" w:after="100" w:afterAutospacing="1" w:line="240" w:lineRule="atLeast"/>
              <w:jc w:val="center"/>
              <w:rPr>
                <w:rFonts w:eastAsia="楷体_GB2312"/>
                <w:kern w:val="0"/>
                <w:szCs w:val="21"/>
              </w:rPr>
            </w:pPr>
            <w:r>
              <w:rPr>
                <w:rFonts w:hint="eastAsia" w:eastAsia="楷体_GB2312"/>
                <w:kern w:val="0"/>
                <w:szCs w:val="21"/>
              </w:rPr>
              <w:t>顺河镇</w:t>
            </w:r>
          </w:p>
        </w:tc>
        <w:tc>
          <w:tcPr>
            <w:tcW w:w="0" w:type="auto"/>
            <w:noWrap w:val="0"/>
            <w:vAlign w:val="center"/>
          </w:tcPr>
          <w:p w14:paraId="42A9C302">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0DC80480">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1105" w:type="dxa"/>
            <w:noWrap w:val="0"/>
            <w:vAlign w:val="center"/>
          </w:tcPr>
          <w:p w14:paraId="10BDBEBB">
            <w:pPr>
              <w:spacing w:before="100" w:beforeAutospacing="1" w:after="100" w:afterAutospacing="1" w:line="240" w:lineRule="atLeast"/>
              <w:jc w:val="center"/>
              <w:rPr>
                <w:szCs w:val="21"/>
              </w:rPr>
            </w:pPr>
            <w:r>
              <w:rPr>
                <w:rFonts w:hint="eastAsia"/>
                <w:szCs w:val="21"/>
              </w:rPr>
              <w:t>81</w:t>
            </w:r>
          </w:p>
        </w:tc>
        <w:tc>
          <w:tcPr>
            <w:tcW w:w="1081" w:type="dxa"/>
            <w:noWrap w:val="0"/>
            <w:vAlign w:val="center"/>
          </w:tcPr>
          <w:p w14:paraId="032A4545">
            <w:pPr>
              <w:jc w:val="center"/>
              <w:rPr>
                <w:rFonts w:ascii="宋体" w:hAnsi="宋体" w:cs="宋体"/>
                <w:color w:val="000000"/>
                <w:szCs w:val="21"/>
              </w:rPr>
            </w:pPr>
            <w:r>
              <w:rPr>
                <w:rFonts w:hint="eastAsia"/>
                <w:color w:val="000000"/>
                <w:szCs w:val="21"/>
              </w:rPr>
              <w:t>503</w:t>
            </w:r>
          </w:p>
        </w:tc>
        <w:tc>
          <w:tcPr>
            <w:tcW w:w="0" w:type="auto"/>
            <w:noWrap w:val="0"/>
            <w:vAlign w:val="center"/>
          </w:tcPr>
          <w:p w14:paraId="488C51FF">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1C8B6BF8">
            <w:pPr>
              <w:spacing w:before="100" w:beforeAutospacing="1" w:after="100" w:afterAutospacing="1" w:line="240" w:lineRule="atLeast"/>
              <w:jc w:val="center"/>
              <w:rPr>
                <w:szCs w:val="21"/>
              </w:rPr>
            </w:pPr>
            <w:r>
              <w:rPr>
                <w:rFonts w:hint="eastAsia"/>
                <w:szCs w:val="21"/>
              </w:rPr>
              <w:t>81</w:t>
            </w:r>
          </w:p>
        </w:tc>
        <w:tc>
          <w:tcPr>
            <w:tcW w:w="0" w:type="auto"/>
            <w:noWrap w:val="0"/>
            <w:vAlign w:val="center"/>
          </w:tcPr>
          <w:p w14:paraId="4BF27EBA">
            <w:pPr>
              <w:jc w:val="center"/>
              <w:rPr>
                <w:rFonts w:ascii="宋体" w:hAnsi="宋体" w:cs="宋体"/>
                <w:color w:val="000000"/>
                <w:szCs w:val="21"/>
              </w:rPr>
            </w:pPr>
            <w:r>
              <w:rPr>
                <w:rFonts w:hint="eastAsia"/>
                <w:color w:val="000000"/>
                <w:szCs w:val="21"/>
              </w:rPr>
              <w:t>353</w:t>
            </w:r>
          </w:p>
        </w:tc>
      </w:tr>
      <w:tr w14:paraId="77C8A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992963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E0BC5DE">
            <w:pPr>
              <w:spacing w:before="100" w:beforeAutospacing="1" w:after="100" w:afterAutospacing="1" w:line="240" w:lineRule="atLeast"/>
              <w:jc w:val="center"/>
              <w:rPr>
                <w:rFonts w:eastAsia="楷体_GB2312"/>
                <w:kern w:val="0"/>
                <w:szCs w:val="21"/>
              </w:rPr>
            </w:pPr>
          </w:p>
        </w:tc>
        <w:tc>
          <w:tcPr>
            <w:tcW w:w="0" w:type="auto"/>
            <w:noWrap w:val="0"/>
            <w:vAlign w:val="center"/>
          </w:tcPr>
          <w:p w14:paraId="1D3A9871">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384C120B">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1105" w:type="dxa"/>
            <w:noWrap w:val="0"/>
            <w:vAlign w:val="center"/>
          </w:tcPr>
          <w:p w14:paraId="7285BF1C">
            <w:pPr>
              <w:spacing w:before="100" w:beforeAutospacing="1" w:after="100" w:afterAutospacing="1" w:line="240" w:lineRule="atLeast"/>
              <w:jc w:val="center"/>
              <w:rPr>
                <w:szCs w:val="21"/>
              </w:rPr>
            </w:pPr>
            <w:r>
              <w:rPr>
                <w:rFonts w:hint="eastAsia"/>
                <w:szCs w:val="21"/>
              </w:rPr>
              <w:t>55</w:t>
            </w:r>
          </w:p>
        </w:tc>
        <w:tc>
          <w:tcPr>
            <w:tcW w:w="1081" w:type="dxa"/>
            <w:noWrap w:val="0"/>
            <w:vAlign w:val="center"/>
          </w:tcPr>
          <w:p w14:paraId="54BFCDB3">
            <w:pPr>
              <w:jc w:val="center"/>
              <w:rPr>
                <w:rFonts w:ascii="宋体" w:hAnsi="宋体" w:cs="宋体"/>
                <w:color w:val="000000"/>
                <w:szCs w:val="21"/>
              </w:rPr>
            </w:pPr>
            <w:r>
              <w:rPr>
                <w:rFonts w:hint="eastAsia"/>
                <w:color w:val="000000"/>
                <w:szCs w:val="21"/>
              </w:rPr>
              <w:t>370</w:t>
            </w:r>
          </w:p>
        </w:tc>
        <w:tc>
          <w:tcPr>
            <w:tcW w:w="0" w:type="auto"/>
            <w:noWrap w:val="0"/>
            <w:vAlign w:val="center"/>
          </w:tcPr>
          <w:p w14:paraId="7FA4674E">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20C1268C">
            <w:pPr>
              <w:spacing w:before="100" w:beforeAutospacing="1" w:after="100" w:afterAutospacing="1" w:line="240" w:lineRule="atLeast"/>
              <w:jc w:val="center"/>
              <w:rPr>
                <w:szCs w:val="21"/>
              </w:rPr>
            </w:pPr>
            <w:r>
              <w:rPr>
                <w:rFonts w:hint="eastAsia"/>
                <w:szCs w:val="21"/>
              </w:rPr>
              <w:t>55</w:t>
            </w:r>
          </w:p>
        </w:tc>
        <w:tc>
          <w:tcPr>
            <w:tcW w:w="0" w:type="auto"/>
            <w:noWrap w:val="0"/>
            <w:vAlign w:val="center"/>
          </w:tcPr>
          <w:p w14:paraId="261F02E7">
            <w:pPr>
              <w:jc w:val="center"/>
              <w:rPr>
                <w:rFonts w:ascii="宋体" w:hAnsi="宋体" w:cs="宋体"/>
                <w:color w:val="000000"/>
                <w:szCs w:val="21"/>
              </w:rPr>
            </w:pPr>
            <w:r>
              <w:rPr>
                <w:rFonts w:hint="eastAsia"/>
                <w:color w:val="000000"/>
                <w:szCs w:val="21"/>
              </w:rPr>
              <w:t>265</w:t>
            </w:r>
          </w:p>
        </w:tc>
      </w:tr>
      <w:tr w14:paraId="4970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965DDC1">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2481FB3">
            <w:pPr>
              <w:spacing w:before="100" w:beforeAutospacing="1" w:after="100" w:afterAutospacing="1" w:line="240" w:lineRule="atLeast"/>
              <w:jc w:val="center"/>
              <w:rPr>
                <w:rFonts w:eastAsia="楷体_GB2312"/>
                <w:kern w:val="0"/>
                <w:szCs w:val="21"/>
              </w:rPr>
            </w:pPr>
          </w:p>
        </w:tc>
        <w:tc>
          <w:tcPr>
            <w:tcW w:w="0" w:type="auto"/>
            <w:noWrap w:val="0"/>
            <w:vAlign w:val="center"/>
          </w:tcPr>
          <w:p w14:paraId="46866D9F">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64C317E2">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1105" w:type="dxa"/>
            <w:noWrap w:val="0"/>
            <w:vAlign w:val="center"/>
          </w:tcPr>
          <w:p w14:paraId="21CC4679">
            <w:pPr>
              <w:spacing w:before="100" w:beforeAutospacing="1" w:after="100" w:afterAutospacing="1" w:line="240" w:lineRule="atLeast"/>
              <w:jc w:val="center"/>
              <w:rPr>
                <w:szCs w:val="21"/>
              </w:rPr>
            </w:pPr>
            <w:r>
              <w:rPr>
                <w:rFonts w:hint="eastAsia"/>
                <w:szCs w:val="21"/>
              </w:rPr>
              <w:t>19</w:t>
            </w:r>
          </w:p>
        </w:tc>
        <w:tc>
          <w:tcPr>
            <w:tcW w:w="1081" w:type="dxa"/>
            <w:noWrap w:val="0"/>
            <w:vAlign w:val="center"/>
          </w:tcPr>
          <w:p w14:paraId="07A19BE1">
            <w:pPr>
              <w:jc w:val="center"/>
              <w:rPr>
                <w:rFonts w:ascii="宋体" w:hAnsi="宋体" w:cs="宋体"/>
                <w:color w:val="000000"/>
                <w:szCs w:val="21"/>
              </w:rPr>
            </w:pPr>
            <w:r>
              <w:rPr>
                <w:rFonts w:hint="eastAsia"/>
                <w:color w:val="000000"/>
                <w:szCs w:val="21"/>
              </w:rPr>
              <w:t>265</w:t>
            </w:r>
          </w:p>
        </w:tc>
        <w:tc>
          <w:tcPr>
            <w:tcW w:w="0" w:type="auto"/>
            <w:noWrap w:val="0"/>
            <w:vAlign w:val="center"/>
          </w:tcPr>
          <w:p w14:paraId="76768526">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7389374B">
            <w:pPr>
              <w:spacing w:before="100" w:beforeAutospacing="1" w:after="100" w:afterAutospacing="1" w:line="240" w:lineRule="atLeast"/>
              <w:jc w:val="center"/>
              <w:rPr>
                <w:szCs w:val="21"/>
              </w:rPr>
            </w:pPr>
            <w:r>
              <w:rPr>
                <w:rFonts w:hint="eastAsia"/>
                <w:szCs w:val="21"/>
              </w:rPr>
              <w:t>19</w:t>
            </w:r>
          </w:p>
        </w:tc>
        <w:tc>
          <w:tcPr>
            <w:tcW w:w="0" w:type="auto"/>
            <w:noWrap w:val="0"/>
            <w:vAlign w:val="center"/>
          </w:tcPr>
          <w:p w14:paraId="26D12F83">
            <w:pPr>
              <w:jc w:val="center"/>
              <w:rPr>
                <w:rFonts w:ascii="宋体" w:hAnsi="宋体" w:cs="宋体"/>
                <w:color w:val="000000"/>
                <w:szCs w:val="21"/>
              </w:rPr>
            </w:pPr>
            <w:r>
              <w:rPr>
                <w:rFonts w:hint="eastAsia"/>
                <w:color w:val="000000"/>
                <w:szCs w:val="21"/>
              </w:rPr>
              <w:t>191</w:t>
            </w:r>
          </w:p>
        </w:tc>
      </w:tr>
      <w:tr w14:paraId="1E5A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24C16895">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vMerge w:val="restart"/>
            <w:noWrap w:val="0"/>
            <w:vAlign w:val="center"/>
          </w:tcPr>
          <w:p w14:paraId="7F40B045">
            <w:pPr>
              <w:spacing w:before="100" w:beforeAutospacing="1" w:after="100" w:afterAutospacing="1" w:line="240" w:lineRule="atLeast"/>
              <w:jc w:val="center"/>
              <w:rPr>
                <w:rFonts w:eastAsia="楷体_GB2312"/>
                <w:kern w:val="0"/>
                <w:szCs w:val="21"/>
              </w:rPr>
            </w:pPr>
            <w:r>
              <w:rPr>
                <w:rFonts w:hint="eastAsia" w:eastAsia="楷体_GB2312"/>
                <w:kern w:val="0"/>
                <w:szCs w:val="21"/>
              </w:rPr>
              <w:t>杨庄镇</w:t>
            </w:r>
          </w:p>
        </w:tc>
        <w:tc>
          <w:tcPr>
            <w:tcW w:w="0" w:type="auto"/>
            <w:noWrap w:val="0"/>
            <w:vAlign w:val="center"/>
          </w:tcPr>
          <w:p w14:paraId="1063F4EB">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71C9AB95">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1105" w:type="dxa"/>
            <w:noWrap w:val="0"/>
            <w:vAlign w:val="center"/>
          </w:tcPr>
          <w:p w14:paraId="150E3905">
            <w:pPr>
              <w:spacing w:before="100" w:beforeAutospacing="1" w:after="100" w:afterAutospacing="1" w:line="240" w:lineRule="atLeast"/>
              <w:jc w:val="center"/>
              <w:rPr>
                <w:rFonts w:eastAsia="楷体_GB2312"/>
                <w:szCs w:val="21"/>
              </w:rPr>
            </w:pPr>
            <w:r>
              <w:rPr>
                <w:rFonts w:hint="eastAsia" w:eastAsia="楷体_GB2312"/>
                <w:szCs w:val="21"/>
              </w:rPr>
              <w:t>71</w:t>
            </w:r>
          </w:p>
        </w:tc>
        <w:tc>
          <w:tcPr>
            <w:tcW w:w="1081" w:type="dxa"/>
            <w:noWrap w:val="0"/>
            <w:vAlign w:val="center"/>
          </w:tcPr>
          <w:p w14:paraId="1149163E">
            <w:pPr>
              <w:jc w:val="center"/>
              <w:rPr>
                <w:rFonts w:ascii="宋体" w:hAnsi="宋体" w:cs="宋体"/>
                <w:color w:val="000000"/>
                <w:szCs w:val="21"/>
              </w:rPr>
            </w:pPr>
            <w:r>
              <w:rPr>
                <w:rFonts w:hint="eastAsia"/>
                <w:color w:val="000000"/>
                <w:szCs w:val="21"/>
              </w:rPr>
              <w:t>464</w:t>
            </w:r>
          </w:p>
        </w:tc>
        <w:tc>
          <w:tcPr>
            <w:tcW w:w="0" w:type="auto"/>
            <w:noWrap w:val="0"/>
            <w:vAlign w:val="center"/>
          </w:tcPr>
          <w:p w14:paraId="6DDBE5B0">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12C67DB2">
            <w:pPr>
              <w:spacing w:before="100" w:beforeAutospacing="1" w:after="100" w:afterAutospacing="1" w:line="240" w:lineRule="atLeast"/>
              <w:jc w:val="center"/>
              <w:rPr>
                <w:rFonts w:eastAsia="楷体_GB2312"/>
                <w:szCs w:val="21"/>
              </w:rPr>
            </w:pPr>
            <w:r>
              <w:rPr>
                <w:rFonts w:hint="eastAsia" w:eastAsia="楷体_GB2312"/>
                <w:szCs w:val="21"/>
              </w:rPr>
              <w:t>71</w:t>
            </w:r>
          </w:p>
        </w:tc>
        <w:tc>
          <w:tcPr>
            <w:tcW w:w="0" w:type="auto"/>
            <w:noWrap w:val="0"/>
            <w:vAlign w:val="center"/>
          </w:tcPr>
          <w:p w14:paraId="395FBEE5">
            <w:pPr>
              <w:jc w:val="center"/>
              <w:rPr>
                <w:rFonts w:ascii="宋体" w:hAnsi="宋体" w:cs="宋体"/>
                <w:color w:val="000000"/>
                <w:szCs w:val="21"/>
              </w:rPr>
            </w:pPr>
            <w:r>
              <w:rPr>
                <w:rFonts w:hint="eastAsia"/>
                <w:color w:val="000000"/>
                <w:szCs w:val="21"/>
              </w:rPr>
              <w:t>330</w:t>
            </w:r>
          </w:p>
        </w:tc>
      </w:tr>
      <w:tr w14:paraId="642D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39B70B6">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147821C">
            <w:pPr>
              <w:spacing w:before="100" w:beforeAutospacing="1" w:after="100" w:afterAutospacing="1" w:line="240" w:lineRule="atLeast"/>
              <w:jc w:val="center"/>
              <w:rPr>
                <w:rFonts w:eastAsia="楷体_GB2312"/>
                <w:kern w:val="0"/>
                <w:szCs w:val="21"/>
              </w:rPr>
            </w:pPr>
          </w:p>
        </w:tc>
        <w:tc>
          <w:tcPr>
            <w:tcW w:w="0" w:type="auto"/>
            <w:noWrap w:val="0"/>
            <w:vAlign w:val="center"/>
          </w:tcPr>
          <w:p w14:paraId="19AA34F7">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3192C1D6">
            <w:pPr>
              <w:spacing w:before="100" w:beforeAutospacing="1" w:after="100" w:afterAutospacing="1" w:line="240" w:lineRule="atLeast"/>
              <w:jc w:val="center"/>
              <w:rPr>
                <w:rFonts w:eastAsia="楷体_GB2312"/>
                <w:kern w:val="0"/>
                <w:szCs w:val="21"/>
              </w:rPr>
            </w:pPr>
            <w:r>
              <w:rPr>
                <w:rFonts w:hint="eastAsia" w:eastAsia="楷体_GB2312"/>
                <w:kern w:val="0"/>
                <w:szCs w:val="21"/>
              </w:rPr>
              <w:t>9</w:t>
            </w:r>
          </w:p>
        </w:tc>
        <w:tc>
          <w:tcPr>
            <w:tcW w:w="1105" w:type="dxa"/>
            <w:noWrap w:val="0"/>
            <w:vAlign w:val="center"/>
          </w:tcPr>
          <w:p w14:paraId="6BEF0A84">
            <w:pPr>
              <w:spacing w:before="100" w:beforeAutospacing="1" w:after="100" w:afterAutospacing="1" w:line="240" w:lineRule="atLeast"/>
              <w:jc w:val="center"/>
              <w:rPr>
                <w:rFonts w:eastAsia="楷体_GB2312"/>
                <w:szCs w:val="21"/>
              </w:rPr>
            </w:pPr>
            <w:r>
              <w:rPr>
                <w:rFonts w:hint="eastAsia" w:eastAsia="楷体_GB2312"/>
                <w:szCs w:val="21"/>
              </w:rPr>
              <w:t>48</w:t>
            </w:r>
          </w:p>
        </w:tc>
        <w:tc>
          <w:tcPr>
            <w:tcW w:w="1081" w:type="dxa"/>
            <w:noWrap w:val="0"/>
            <w:vAlign w:val="center"/>
          </w:tcPr>
          <w:p w14:paraId="66C73026">
            <w:pPr>
              <w:jc w:val="center"/>
              <w:rPr>
                <w:rFonts w:ascii="宋体" w:hAnsi="宋体" w:cs="宋体"/>
                <w:color w:val="000000"/>
                <w:szCs w:val="21"/>
              </w:rPr>
            </w:pPr>
            <w:r>
              <w:rPr>
                <w:rFonts w:hint="eastAsia"/>
                <w:color w:val="000000"/>
                <w:szCs w:val="21"/>
              </w:rPr>
              <w:t>341</w:t>
            </w:r>
          </w:p>
        </w:tc>
        <w:tc>
          <w:tcPr>
            <w:tcW w:w="0" w:type="auto"/>
            <w:noWrap w:val="0"/>
            <w:vAlign w:val="center"/>
          </w:tcPr>
          <w:p w14:paraId="24CC3145">
            <w:pPr>
              <w:spacing w:before="100" w:beforeAutospacing="1" w:after="100" w:afterAutospacing="1" w:line="240" w:lineRule="atLeast"/>
              <w:jc w:val="center"/>
              <w:rPr>
                <w:rFonts w:eastAsia="楷体_GB2312"/>
                <w:kern w:val="0"/>
                <w:szCs w:val="21"/>
              </w:rPr>
            </w:pPr>
            <w:r>
              <w:rPr>
                <w:rFonts w:hint="eastAsia" w:eastAsia="楷体_GB2312"/>
                <w:kern w:val="0"/>
                <w:szCs w:val="21"/>
              </w:rPr>
              <w:t>13</w:t>
            </w:r>
          </w:p>
        </w:tc>
        <w:tc>
          <w:tcPr>
            <w:tcW w:w="0" w:type="auto"/>
            <w:noWrap w:val="0"/>
            <w:vAlign w:val="center"/>
          </w:tcPr>
          <w:p w14:paraId="49E5EA52">
            <w:pPr>
              <w:spacing w:before="100" w:beforeAutospacing="1" w:after="100" w:afterAutospacing="1" w:line="240" w:lineRule="atLeast"/>
              <w:jc w:val="center"/>
              <w:rPr>
                <w:rFonts w:eastAsia="楷体_GB2312"/>
                <w:szCs w:val="21"/>
              </w:rPr>
            </w:pPr>
            <w:r>
              <w:rPr>
                <w:rFonts w:hint="eastAsia" w:eastAsia="楷体_GB2312"/>
                <w:szCs w:val="21"/>
              </w:rPr>
              <w:t>48</w:t>
            </w:r>
          </w:p>
        </w:tc>
        <w:tc>
          <w:tcPr>
            <w:tcW w:w="0" w:type="auto"/>
            <w:noWrap w:val="0"/>
            <w:vAlign w:val="center"/>
          </w:tcPr>
          <w:p w14:paraId="0A989B45">
            <w:pPr>
              <w:jc w:val="center"/>
              <w:rPr>
                <w:rFonts w:ascii="宋体" w:hAnsi="宋体" w:cs="宋体"/>
                <w:color w:val="000000"/>
                <w:szCs w:val="21"/>
              </w:rPr>
            </w:pPr>
            <w:r>
              <w:rPr>
                <w:rFonts w:hint="eastAsia"/>
                <w:color w:val="000000"/>
                <w:szCs w:val="21"/>
              </w:rPr>
              <w:t>263</w:t>
            </w:r>
          </w:p>
        </w:tc>
      </w:tr>
      <w:tr w14:paraId="54DF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24F0146">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AEC0BF2">
            <w:pPr>
              <w:spacing w:before="100" w:beforeAutospacing="1" w:after="100" w:afterAutospacing="1" w:line="240" w:lineRule="atLeast"/>
              <w:jc w:val="center"/>
              <w:rPr>
                <w:rFonts w:eastAsia="楷体_GB2312"/>
                <w:kern w:val="0"/>
                <w:szCs w:val="21"/>
              </w:rPr>
            </w:pPr>
          </w:p>
        </w:tc>
        <w:tc>
          <w:tcPr>
            <w:tcW w:w="0" w:type="auto"/>
            <w:noWrap w:val="0"/>
            <w:vAlign w:val="center"/>
          </w:tcPr>
          <w:p w14:paraId="48AC2FA4">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5CF8DC48">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1105" w:type="dxa"/>
            <w:noWrap w:val="0"/>
            <w:vAlign w:val="center"/>
          </w:tcPr>
          <w:p w14:paraId="5DD8124D">
            <w:pPr>
              <w:spacing w:before="100" w:beforeAutospacing="1" w:after="100" w:afterAutospacing="1" w:line="240" w:lineRule="atLeast"/>
              <w:jc w:val="center"/>
              <w:rPr>
                <w:rFonts w:eastAsia="楷体_GB2312"/>
                <w:szCs w:val="21"/>
              </w:rPr>
            </w:pPr>
            <w:r>
              <w:rPr>
                <w:rFonts w:hint="eastAsia" w:eastAsia="楷体_GB2312"/>
                <w:szCs w:val="21"/>
              </w:rPr>
              <w:t>20</w:t>
            </w:r>
          </w:p>
        </w:tc>
        <w:tc>
          <w:tcPr>
            <w:tcW w:w="1081" w:type="dxa"/>
            <w:noWrap w:val="0"/>
            <w:vAlign w:val="center"/>
          </w:tcPr>
          <w:p w14:paraId="0EB26C6E">
            <w:pPr>
              <w:jc w:val="center"/>
              <w:rPr>
                <w:rFonts w:ascii="宋体" w:hAnsi="宋体" w:cs="宋体"/>
                <w:color w:val="000000"/>
                <w:szCs w:val="21"/>
              </w:rPr>
            </w:pPr>
            <w:r>
              <w:rPr>
                <w:rFonts w:hint="eastAsia"/>
                <w:color w:val="000000"/>
                <w:szCs w:val="21"/>
              </w:rPr>
              <w:t>278</w:t>
            </w:r>
          </w:p>
        </w:tc>
        <w:tc>
          <w:tcPr>
            <w:tcW w:w="0" w:type="auto"/>
            <w:noWrap w:val="0"/>
            <w:vAlign w:val="center"/>
          </w:tcPr>
          <w:p w14:paraId="55A27F8B">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1A9634CE">
            <w:pPr>
              <w:spacing w:before="100" w:beforeAutospacing="1" w:after="100" w:afterAutospacing="1" w:line="240" w:lineRule="atLeast"/>
              <w:jc w:val="center"/>
              <w:rPr>
                <w:rFonts w:eastAsia="楷体_GB2312"/>
                <w:szCs w:val="21"/>
              </w:rPr>
            </w:pPr>
            <w:r>
              <w:rPr>
                <w:rFonts w:hint="eastAsia" w:eastAsia="楷体_GB2312"/>
                <w:szCs w:val="21"/>
              </w:rPr>
              <w:t>20</w:t>
            </w:r>
          </w:p>
        </w:tc>
        <w:tc>
          <w:tcPr>
            <w:tcW w:w="0" w:type="auto"/>
            <w:noWrap w:val="0"/>
            <w:vAlign w:val="center"/>
          </w:tcPr>
          <w:p w14:paraId="6BE1694B">
            <w:pPr>
              <w:jc w:val="center"/>
              <w:rPr>
                <w:rFonts w:ascii="宋体" w:hAnsi="宋体" w:cs="宋体"/>
                <w:color w:val="000000"/>
                <w:szCs w:val="21"/>
              </w:rPr>
            </w:pPr>
            <w:r>
              <w:rPr>
                <w:rFonts w:hint="eastAsia"/>
                <w:color w:val="000000"/>
                <w:szCs w:val="21"/>
              </w:rPr>
              <w:t>185</w:t>
            </w:r>
          </w:p>
        </w:tc>
      </w:tr>
      <w:tr w14:paraId="21A9E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0686946A">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vMerge w:val="restart"/>
            <w:noWrap w:val="0"/>
            <w:vAlign w:val="center"/>
          </w:tcPr>
          <w:p w14:paraId="3FB57AED">
            <w:pPr>
              <w:spacing w:before="100" w:beforeAutospacing="1" w:after="100" w:afterAutospacing="1" w:line="240" w:lineRule="atLeast"/>
              <w:jc w:val="center"/>
              <w:rPr>
                <w:rFonts w:eastAsia="楷体_GB2312"/>
                <w:kern w:val="0"/>
                <w:szCs w:val="21"/>
              </w:rPr>
            </w:pPr>
            <w:r>
              <w:rPr>
                <w:rFonts w:hint="eastAsia" w:eastAsia="楷体_GB2312"/>
                <w:kern w:val="0"/>
                <w:szCs w:val="21"/>
              </w:rPr>
              <w:t>永镇乡</w:t>
            </w:r>
          </w:p>
        </w:tc>
        <w:tc>
          <w:tcPr>
            <w:tcW w:w="0" w:type="auto"/>
            <w:noWrap w:val="0"/>
            <w:vAlign w:val="center"/>
          </w:tcPr>
          <w:p w14:paraId="72DC4B63">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404EF8BC">
            <w:pPr>
              <w:spacing w:before="100" w:beforeAutospacing="1" w:after="100" w:afterAutospacing="1" w:line="240" w:lineRule="atLeast"/>
              <w:jc w:val="center"/>
              <w:rPr>
                <w:rFonts w:eastAsia="楷体_GB2312"/>
                <w:kern w:val="0"/>
                <w:szCs w:val="21"/>
              </w:rPr>
            </w:pPr>
            <w:r>
              <w:rPr>
                <w:rFonts w:hint="eastAsia" w:eastAsia="楷体_GB2312"/>
                <w:kern w:val="0"/>
                <w:szCs w:val="21"/>
              </w:rPr>
              <w:t>13</w:t>
            </w:r>
          </w:p>
        </w:tc>
        <w:tc>
          <w:tcPr>
            <w:tcW w:w="1105" w:type="dxa"/>
            <w:noWrap w:val="0"/>
            <w:vAlign w:val="center"/>
          </w:tcPr>
          <w:p w14:paraId="3084B89D">
            <w:pPr>
              <w:spacing w:before="100" w:beforeAutospacing="1" w:after="100" w:afterAutospacing="1" w:line="240" w:lineRule="atLeast"/>
              <w:jc w:val="center"/>
              <w:rPr>
                <w:szCs w:val="21"/>
              </w:rPr>
            </w:pPr>
            <w:r>
              <w:rPr>
                <w:rFonts w:hint="eastAsia"/>
                <w:szCs w:val="21"/>
              </w:rPr>
              <w:t>80</w:t>
            </w:r>
          </w:p>
        </w:tc>
        <w:tc>
          <w:tcPr>
            <w:tcW w:w="1081" w:type="dxa"/>
            <w:noWrap w:val="0"/>
            <w:vAlign w:val="center"/>
          </w:tcPr>
          <w:p w14:paraId="0DCAEEC5">
            <w:pPr>
              <w:jc w:val="center"/>
              <w:rPr>
                <w:rFonts w:ascii="宋体" w:hAnsi="宋体" w:cs="宋体"/>
                <w:color w:val="000000"/>
                <w:szCs w:val="21"/>
              </w:rPr>
            </w:pPr>
            <w:r>
              <w:rPr>
                <w:rFonts w:hint="eastAsia"/>
                <w:color w:val="000000"/>
                <w:szCs w:val="21"/>
              </w:rPr>
              <w:t>436</w:t>
            </w:r>
          </w:p>
        </w:tc>
        <w:tc>
          <w:tcPr>
            <w:tcW w:w="0" w:type="auto"/>
            <w:noWrap w:val="0"/>
            <w:vAlign w:val="center"/>
          </w:tcPr>
          <w:p w14:paraId="508F235C">
            <w:pPr>
              <w:spacing w:before="100" w:beforeAutospacing="1" w:after="100" w:afterAutospacing="1" w:line="240" w:lineRule="atLeast"/>
              <w:jc w:val="center"/>
              <w:rPr>
                <w:rFonts w:eastAsia="楷体_GB2312"/>
                <w:kern w:val="0"/>
                <w:szCs w:val="21"/>
              </w:rPr>
            </w:pPr>
            <w:r>
              <w:rPr>
                <w:rFonts w:hint="eastAsia" w:eastAsia="楷体_GB2312"/>
                <w:kern w:val="0"/>
                <w:szCs w:val="21"/>
              </w:rPr>
              <w:t>18</w:t>
            </w:r>
          </w:p>
        </w:tc>
        <w:tc>
          <w:tcPr>
            <w:tcW w:w="0" w:type="auto"/>
            <w:noWrap w:val="0"/>
            <w:vAlign w:val="center"/>
          </w:tcPr>
          <w:p w14:paraId="5EE25098">
            <w:pPr>
              <w:spacing w:before="100" w:beforeAutospacing="1" w:after="100" w:afterAutospacing="1" w:line="240" w:lineRule="atLeast"/>
              <w:jc w:val="center"/>
              <w:rPr>
                <w:szCs w:val="21"/>
              </w:rPr>
            </w:pPr>
            <w:r>
              <w:rPr>
                <w:rFonts w:hint="eastAsia"/>
                <w:szCs w:val="21"/>
              </w:rPr>
              <w:t>80</w:t>
            </w:r>
          </w:p>
        </w:tc>
        <w:tc>
          <w:tcPr>
            <w:tcW w:w="0" w:type="auto"/>
            <w:noWrap w:val="0"/>
            <w:vAlign w:val="center"/>
          </w:tcPr>
          <w:p w14:paraId="13181C8E">
            <w:pPr>
              <w:jc w:val="center"/>
              <w:rPr>
                <w:rFonts w:ascii="宋体" w:hAnsi="宋体" w:cs="宋体"/>
                <w:color w:val="000000"/>
                <w:szCs w:val="21"/>
              </w:rPr>
            </w:pPr>
            <w:r>
              <w:rPr>
                <w:rFonts w:hint="eastAsia"/>
                <w:color w:val="000000"/>
                <w:szCs w:val="21"/>
              </w:rPr>
              <w:t>313</w:t>
            </w:r>
          </w:p>
        </w:tc>
      </w:tr>
      <w:tr w14:paraId="3B034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82EAA29">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2752706">
            <w:pPr>
              <w:spacing w:before="100" w:beforeAutospacing="1" w:after="100" w:afterAutospacing="1" w:line="240" w:lineRule="atLeast"/>
              <w:jc w:val="center"/>
              <w:rPr>
                <w:rFonts w:eastAsia="楷体_GB2312"/>
                <w:kern w:val="0"/>
                <w:szCs w:val="21"/>
              </w:rPr>
            </w:pPr>
          </w:p>
        </w:tc>
        <w:tc>
          <w:tcPr>
            <w:tcW w:w="0" w:type="auto"/>
            <w:noWrap w:val="0"/>
            <w:vAlign w:val="center"/>
          </w:tcPr>
          <w:p w14:paraId="12BB2542">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6F887114">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1105" w:type="dxa"/>
            <w:noWrap w:val="0"/>
            <w:vAlign w:val="center"/>
          </w:tcPr>
          <w:p w14:paraId="3516C360">
            <w:pPr>
              <w:spacing w:before="100" w:beforeAutospacing="1" w:after="100" w:afterAutospacing="1" w:line="240" w:lineRule="atLeast"/>
              <w:jc w:val="center"/>
              <w:rPr>
                <w:szCs w:val="21"/>
              </w:rPr>
            </w:pPr>
            <w:r>
              <w:rPr>
                <w:rFonts w:hint="eastAsia"/>
                <w:szCs w:val="21"/>
              </w:rPr>
              <w:t>49</w:t>
            </w:r>
          </w:p>
        </w:tc>
        <w:tc>
          <w:tcPr>
            <w:tcW w:w="1081" w:type="dxa"/>
            <w:noWrap w:val="0"/>
            <w:vAlign w:val="center"/>
          </w:tcPr>
          <w:p w14:paraId="4CD25C5A">
            <w:pPr>
              <w:jc w:val="center"/>
              <w:rPr>
                <w:rFonts w:ascii="宋体" w:hAnsi="宋体" w:cs="宋体"/>
                <w:color w:val="000000"/>
                <w:szCs w:val="21"/>
              </w:rPr>
            </w:pPr>
            <w:r>
              <w:rPr>
                <w:rFonts w:hint="eastAsia"/>
                <w:color w:val="000000"/>
                <w:szCs w:val="21"/>
              </w:rPr>
              <w:t>377</w:t>
            </w:r>
          </w:p>
        </w:tc>
        <w:tc>
          <w:tcPr>
            <w:tcW w:w="0" w:type="auto"/>
            <w:noWrap w:val="0"/>
            <w:vAlign w:val="center"/>
          </w:tcPr>
          <w:p w14:paraId="758AE382">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1122A0A1">
            <w:pPr>
              <w:spacing w:before="100" w:beforeAutospacing="1" w:after="100" w:afterAutospacing="1" w:line="240" w:lineRule="atLeast"/>
              <w:jc w:val="center"/>
              <w:rPr>
                <w:szCs w:val="21"/>
              </w:rPr>
            </w:pPr>
            <w:r>
              <w:rPr>
                <w:rFonts w:hint="eastAsia"/>
                <w:szCs w:val="21"/>
              </w:rPr>
              <w:t>49</w:t>
            </w:r>
          </w:p>
        </w:tc>
        <w:tc>
          <w:tcPr>
            <w:tcW w:w="0" w:type="auto"/>
            <w:noWrap w:val="0"/>
            <w:vAlign w:val="center"/>
          </w:tcPr>
          <w:p w14:paraId="1C03B217">
            <w:pPr>
              <w:jc w:val="center"/>
              <w:rPr>
                <w:rFonts w:ascii="宋体" w:hAnsi="宋体" w:cs="宋体"/>
                <w:color w:val="000000"/>
                <w:szCs w:val="21"/>
              </w:rPr>
            </w:pPr>
            <w:r>
              <w:rPr>
                <w:rFonts w:hint="eastAsia"/>
                <w:color w:val="000000"/>
                <w:szCs w:val="21"/>
              </w:rPr>
              <w:t>260</w:t>
            </w:r>
          </w:p>
        </w:tc>
      </w:tr>
      <w:tr w14:paraId="36EDC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099BF21">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9123D41">
            <w:pPr>
              <w:spacing w:before="100" w:beforeAutospacing="1" w:after="100" w:afterAutospacing="1" w:line="240" w:lineRule="atLeast"/>
              <w:jc w:val="center"/>
              <w:rPr>
                <w:rFonts w:eastAsia="楷体_GB2312"/>
                <w:kern w:val="0"/>
                <w:szCs w:val="21"/>
              </w:rPr>
            </w:pPr>
          </w:p>
        </w:tc>
        <w:tc>
          <w:tcPr>
            <w:tcW w:w="0" w:type="auto"/>
            <w:noWrap w:val="0"/>
            <w:vAlign w:val="center"/>
          </w:tcPr>
          <w:p w14:paraId="5E7E0CCA">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1D2AC175">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1105" w:type="dxa"/>
            <w:noWrap w:val="0"/>
            <w:vAlign w:val="center"/>
          </w:tcPr>
          <w:p w14:paraId="67B7ECB0">
            <w:pPr>
              <w:spacing w:before="100" w:beforeAutospacing="1" w:after="100" w:afterAutospacing="1" w:line="240" w:lineRule="atLeast"/>
              <w:jc w:val="center"/>
              <w:rPr>
                <w:szCs w:val="21"/>
              </w:rPr>
            </w:pPr>
            <w:r>
              <w:rPr>
                <w:rFonts w:hint="eastAsia"/>
                <w:szCs w:val="21"/>
              </w:rPr>
              <w:t>23</w:t>
            </w:r>
          </w:p>
        </w:tc>
        <w:tc>
          <w:tcPr>
            <w:tcW w:w="1081" w:type="dxa"/>
            <w:noWrap w:val="0"/>
            <w:vAlign w:val="center"/>
          </w:tcPr>
          <w:p w14:paraId="0E93459D">
            <w:pPr>
              <w:jc w:val="center"/>
              <w:rPr>
                <w:rFonts w:ascii="宋体" w:hAnsi="宋体" w:cs="宋体"/>
                <w:color w:val="000000"/>
                <w:szCs w:val="21"/>
              </w:rPr>
            </w:pPr>
            <w:r>
              <w:rPr>
                <w:rFonts w:hint="eastAsia"/>
                <w:color w:val="000000"/>
                <w:szCs w:val="21"/>
              </w:rPr>
              <w:t>305</w:t>
            </w:r>
          </w:p>
        </w:tc>
        <w:tc>
          <w:tcPr>
            <w:tcW w:w="0" w:type="auto"/>
            <w:noWrap w:val="0"/>
            <w:vAlign w:val="center"/>
          </w:tcPr>
          <w:p w14:paraId="0EECAA33">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39D874F2">
            <w:pPr>
              <w:spacing w:before="100" w:beforeAutospacing="1" w:after="100" w:afterAutospacing="1" w:line="240" w:lineRule="atLeast"/>
              <w:jc w:val="center"/>
              <w:rPr>
                <w:szCs w:val="21"/>
              </w:rPr>
            </w:pPr>
            <w:r>
              <w:rPr>
                <w:rFonts w:hint="eastAsia"/>
                <w:szCs w:val="21"/>
              </w:rPr>
              <w:t>23</w:t>
            </w:r>
          </w:p>
        </w:tc>
        <w:tc>
          <w:tcPr>
            <w:tcW w:w="0" w:type="auto"/>
            <w:noWrap w:val="0"/>
            <w:vAlign w:val="center"/>
          </w:tcPr>
          <w:p w14:paraId="6F696211">
            <w:pPr>
              <w:jc w:val="center"/>
              <w:rPr>
                <w:rFonts w:ascii="宋体" w:hAnsi="宋体" w:cs="宋体"/>
                <w:color w:val="000000"/>
                <w:szCs w:val="21"/>
              </w:rPr>
            </w:pPr>
            <w:r>
              <w:rPr>
                <w:rFonts w:hint="eastAsia"/>
                <w:color w:val="000000"/>
                <w:szCs w:val="21"/>
              </w:rPr>
              <w:t>204</w:t>
            </w:r>
          </w:p>
        </w:tc>
      </w:tr>
      <w:tr w14:paraId="04EE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50F52BA3">
            <w:pPr>
              <w:spacing w:before="100" w:beforeAutospacing="1" w:after="100" w:afterAutospacing="1" w:line="240" w:lineRule="atLeast"/>
              <w:jc w:val="center"/>
              <w:rPr>
                <w:rFonts w:eastAsia="楷体_GB2312"/>
                <w:kern w:val="0"/>
                <w:szCs w:val="21"/>
              </w:rPr>
            </w:pPr>
            <w:r>
              <w:rPr>
                <w:rFonts w:hint="eastAsia" w:eastAsia="楷体_GB2312"/>
                <w:kern w:val="0"/>
                <w:szCs w:val="21"/>
              </w:rPr>
              <w:t>17</w:t>
            </w:r>
          </w:p>
        </w:tc>
        <w:tc>
          <w:tcPr>
            <w:tcW w:w="0" w:type="auto"/>
            <w:vMerge w:val="restart"/>
            <w:noWrap w:val="0"/>
            <w:vAlign w:val="center"/>
          </w:tcPr>
          <w:p w14:paraId="0C161B4D">
            <w:pPr>
              <w:spacing w:before="100" w:beforeAutospacing="1" w:after="100" w:afterAutospacing="1" w:line="240" w:lineRule="atLeast"/>
              <w:jc w:val="center"/>
              <w:rPr>
                <w:rFonts w:eastAsia="楷体_GB2312"/>
                <w:kern w:val="0"/>
                <w:szCs w:val="21"/>
              </w:rPr>
            </w:pPr>
            <w:r>
              <w:rPr>
                <w:rFonts w:hint="eastAsia" w:eastAsia="楷体_GB2312"/>
                <w:kern w:val="0"/>
                <w:szCs w:val="21"/>
              </w:rPr>
              <w:t>解集镇</w:t>
            </w:r>
          </w:p>
        </w:tc>
        <w:tc>
          <w:tcPr>
            <w:tcW w:w="0" w:type="auto"/>
            <w:noWrap w:val="0"/>
            <w:vAlign w:val="center"/>
          </w:tcPr>
          <w:p w14:paraId="72CEF68A">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2EFFD0DB">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1105" w:type="dxa"/>
            <w:noWrap w:val="0"/>
            <w:vAlign w:val="center"/>
          </w:tcPr>
          <w:p w14:paraId="1627911D">
            <w:pPr>
              <w:spacing w:before="100" w:beforeAutospacing="1" w:after="100" w:afterAutospacing="1" w:line="240" w:lineRule="atLeast"/>
              <w:jc w:val="center"/>
              <w:rPr>
                <w:szCs w:val="21"/>
              </w:rPr>
            </w:pPr>
            <w:r>
              <w:rPr>
                <w:rFonts w:hint="eastAsia"/>
                <w:szCs w:val="21"/>
              </w:rPr>
              <w:t>68</w:t>
            </w:r>
          </w:p>
        </w:tc>
        <w:tc>
          <w:tcPr>
            <w:tcW w:w="1081" w:type="dxa"/>
            <w:noWrap w:val="0"/>
            <w:vAlign w:val="center"/>
          </w:tcPr>
          <w:p w14:paraId="3EC6C969">
            <w:pPr>
              <w:jc w:val="center"/>
              <w:rPr>
                <w:rFonts w:ascii="宋体" w:hAnsi="宋体" w:cs="宋体"/>
                <w:color w:val="000000"/>
                <w:szCs w:val="21"/>
              </w:rPr>
            </w:pPr>
            <w:r>
              <w:rPr>
                <w:rFonts w:hint="eastAsia"/>
                <w:color w:val="000000"/>
                <w:szCs w:val="21"/>
              </w:rPr>
              <w:t>474</w:t>
            </w:r>
          </w:p>
        </w:tc>
        <w:tc>
          <w:tcPr>
            <w:tcW w:w="0" w:type="auto"/>
            <w:noWrap w:val="0"/>
            <w:vAlign w:val="center"/>
          </w:tcPr>
          <w:p w14:paraId="730D291C">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7EFFECCA">
            <w:pPr>
              <w:spacing w:before="100" w:beforeAutospacing="1" w:after="100" w:afterAutospacing="1" w:line="240" w:lineRule="atLeast"/>
              <w:jc w:val="center"/>
              <w:rPr>
                <w:szCs w:val="21"/>
              </w:rPr>
            </w:pPr>
            <w:r>
              <w:rPr>
                <w:rFonts w:hint="eastAsia"/>
                <w:szCs w:val="21"/>
              </w:rPr>
              <w:t>68</w:t>
            </w:r>
          </w:p>
        </w:tc>
        <w:tc>
          <w:tcPr>
            <w:tcW w:w="0" w:type="auto"/>
            <w:noWrap w:val="0"/>
            <w:vAlign w:val="center"/>
          </w:tcPr>
          <w:p w14:paraId="1E3335E6">
            <w:pPr>
              <w:jc w:val="center"/>
              <w:rPr>
                <w:rFonts w:ascii="宋体" w:hAnsi="宋体" w:cs="宋体"/>
                <w:color w:val="000000"/>
                <w:szCs w:val="21"/>
              </w:rPr>
            </w:pPr>
            <w:r>
              <w:rPr>
                <w:rFonts w:hint="eastAsia"/>
                <w:color w:val="000000"/>
                <w:szCs w:val="21"/>
              </w:rPr>
              <w:t>329</w:t>
            </w:r>
          </w:p>
        </w:tc>
      </w:tr>
      <w:tr w14:paraId="20542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53EA203">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3C60FD2">
            <w:pPr>
              <w:spacing w:before="100" w:beforeAutospacing="1" w:after="100" w:afterAutospacing="1" w:line="240" w:lineRule="atLeast"/>
              <w:jc w:val="center"/>
              <w:rPr>
                <w:rFonts w:eastAsia="楷体_GB2312"/>
                <w:kern w:val="0"/>
                <w:szCs w:val="21"/>
              </w:rPr>
            </w:pPr>
          </w:p>
        </w:tc>
        <w:tc>
          <w:tcPr>
            <w:tcW w:w="0" w:type="auto"/>
            <w:noWrap w:val="0"/>
            <w:vAlign w:val="center"/>
          </w:tcPr>
          <w:p w14:paraId="21245ABD">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096005AC">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1105" w:type="dxa"/>
            <w:noWrap w:val="0"/>
            <w:vAlign w:val="center"/>
          </w:tcPr>
          <w:p w14:paraId="3A5A7368">
            <w:pPr>
              <w:spacing w:before="100" w:beforeAutospacing="1" w:after="100" w:afterAutospacing="1" w:line="240" w:lineRule="atLeast"/>
              <w:jc w:val="center"/>
              <w:rPr>
                <w:szCs w:val="21"/>
              </w:rPr>
            </w:pPr>
            <w:r>
              <w:rPr>
                <w:rFonts w:hint="eastAsia"/>
                <w:szCs w:val="21"/>
              </w:rPr>
              <w:t>47</w:t>
            </w:r>
          </w:p>
        </w:tc>
        <w:tc>
          <w:tcPr>
            <w:tcW w:w="1081" w:type="dxa"/>
            <w:noWrap w:val="0"/>
            <w:vAlign w:val="center"/>
          </w:tcPr>
          <w:p w14:paraId="4DB58C55">
            <w:pPr>
              <w:jc w:val="center"/>
              <w:rPr>
                <w:rFonts w:ascii="宋体" w:hAnsi="宋体" w:cs="宋体"/>
                <w:color w:val="000000"/>
                <w:szCs w:val="21"/>
              </w:rPr>
            </w:pPr>
            <w:r>
              <w:rPr>
                <w:rFonts w:hint="eastAsia"/>
                <w:color w:val="000000"/>
                <w:szCs w:val="21"/>
              </w:rPr>
              <w:t>351</w:t>
            </w:r>
          </w:p>
        </w:tc>
        <w:tc>
          <w:tcPr>
            <w:tcW w:w="0" w:type="auto"/>
            <w:noWrap w:val="0"/>
            <w:vAlign w:val="center"/>
          </w:tcPr>
          <w:p w14:paraId="0C833D30">
            <w:pPr>
              <w:spacing w:before="100" w:beforeAutospacing="1" w:after="100" w:afterAutospacing="1" w:line="240" w:lineRule="atLeast"/>
              <w:jc w:val="center"/>
              <w:rPr>
                <w:rFonts w:eastAsia="楷体_GB2312"/>
                <w:kern w:val="0"/>
                <w:szCs w:val="21"/>
              </w:rPr>
            </w:pPr>
            <w:r>
              <w:rPr>
                <w:rFonts w:hint="eastAsia" w:eastAsia="楷体_GB2312"/>
                <w:kern w:val="0"/>
                <w:szCs w:val="21"/>
              </w:rPr>
              <w:t>12</w:t>
            </w:r>
          </w:p>
        </w:tc>
        <w:tc>
          <w:tcPr>
            <w:tcW w:w="0" w:type="auto"/>
            <w:noWrap w:val="0"/>
            <w:vAlign w:val="center"/>
          </w:tcPr>
          <w:p w14:paraId="2F363FD6">
            <w:pPr>
              <w:spacing w:before="100" w:beforeAutospacing="1" w:after="100" w:afterAutospacing="1" w:line="240" w:lineRule="atLeast"/>
              <w:jc w:val="center"/>
              <w:rPr>
                <w:szCs w:val="21"/>
              </w:rPr>
            </w:pPr>
            <w:r>
              <w:rPr>
                <w:rFonts w:hint="eastAsia"/>
                <w:szCs w:val="21"/>
              </w:rPr>
              <w:t>47</w:t>
            </w:r>
          </w:p>
        </w:tc>
        <w:tc>
          <w:tcPr>
            <w:tcW w:w="0" w:type="auto"/>
            <w:noWrap w:val="0"/>
            <w:vAlign w:val="center"/>
          </w:tcPr>
          <w:p w14:paraId="4F91F26C">
            <w:pPr>
              <w:jc w:val="center"/>
              <w:rPr>
                <w:rFonts w:ascii="宋体" w:hAnsi="宋体" w:cs="宋体"/>
                <w:color w:val="000000"/>
                <w:szCs w:val="21"/>
              </w:rPr>
            </w:pPr>
            <w:r>
              <w:rPr>
                <w:rFonts w:hint="eastAsia"/>
                <w:color w:val="000000"/>
                <w:szCs w:val="21"/>
              </w:rPr>
              <w:t>276</w:t>
            </w:r>
          </w:p>
        </w:tc>
      </w:tr>
      <w:tr w14:paraId="64D5E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38DAB87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8573ED4">
            <w:pPr>
              <w:spacing w:before="100" w:beforeAutospacing="1" w:after="100" w:afterAutospacing="1" w:line="240" w:lineRule="atLeast"/>
              <w:jc w:val="center"/>
              <w:rPr>
                <w:rFonts w:eastAsia="楷体_GB2312"/>
                <w:kern w:val="0"/>
                <w:szCs w:val="21"/>
              </w:rPr>
            </w:pPr>
          </w:p>
        </w:tc>
        <w:tc>
          <w:tcPr>
            <w:tcW w:w="0" w:type="auto"/>
            <w:noWrap w:val="0"/>
            <w:vAlign w:val="center"/>
          </w:tcPr>
          <w:p w14:paraId="25B9597C">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3383FB1D">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1105" w:type="dxa"/>
            <w:noWrap w:val="0"/>
            <w:vAlign w:val="center"/>
          </w:tcPr>
          <w:p w14:paraId="206BE6F9">
            <w:pPr>
              <w:spacing w:before="100" w:beforeAutospacing="1" w:after="100" w:afterAutospacing="1" w:line="240" w:lineRule="atLeast"/>
              <w:jc w:val="center"/>
              <w:rPr>
                <w:szCs w:val="21"/>
              </w:rPr>
            </w:pPr>
            <w:r>
              <w:rPr>
                <w:rFonts w:hint="eastAsia"/>
                <w:szCs w:val="21"/>
              </w:rPr>
              <w:t>25</w:t>
            </w:r>
          </w:p>
        </w:tc>
        <w:tc>
          <w:tcPr>
            <w:tcW w:w="1081" w:type="dxa"/>
            <w:noWrap w:val="0"/>
            <w:vAlign w:val="center"/>
          </w:tcPr>
          <w:p w14:paraId="0D5D2AD5">
            <w:pPr>
              <w:jc w:val="center"/>
              <w:rPr>
                <w:rFonts w:ascii="宋体" w:hAnsi="宋体" w:cs="宋体"/>
                <w:color w:val="000000"/>
                <w:szCs w:val="21"/>
              </w:rPr>
            </w:pPr>
            <w:r>
              <w:rPr>
                <w:rFonts w:hint="eastAsia"/>
                <w:color w:val="000000"/>
                <w:szCs w:val="21"/>
              </w:rPr>
              <w:t>262</w:t>
            </w:r>
          </w:p>
        </w:tc>
        <w:tc>
          <w:tcPr>
            <w:tcW w:w="0" w:type="auto"/>
            <w:noWrap w:val="0"/>
            <w:vAlign w:val="center"/>
          </w:tcPr>
          <w:p w14:paraId="7C704AF2">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3D658357">
            <w:pPr>
              <w:spacing w:before="100" w:beforeAutospacing="1" w:after="100" w:afterAutospacing="1" w:line="240" w:lineRule="atLeast"/>
              <w:jc w:val="center"/>
              <w:rPr>
                <w:szCs w:val="21"/>
              </w:rPr>
            </w:pPr>
            <w:r>
              <w:rPr>
                <w:rFonts w:hint="eastAsia"/>
                <w:szCs w:val="21"/>
              </w:rPr>
              <w:t>25</w:t>
            </w:r>
          </w:p>
        </w:tc>
        <w:tc>
          <w:tcPr>
            <w:tcW w:w="0" w:type="auto"/>
            <w:noWrap w:val="0"/>
            <w:vAlign w:val="center"/>
          </w:tcPr>
          <w:p w14:paraId="6D27CF30">
            <w:pPr>
              <w:jc w:val="center"/>
              <w:rPr>
                <w:rFonts w:ascii="宋体" w:hAnsi="宋体" w:cs="宋体"/>
                <w:color w:val="000000"/>
                <w:szCs w:val="21"/>
              </w:rPr>
            </w:pPr>
            <w:r>
              <w:rPr>
                <w:rFonts w:hint="eastAsia"/>
                <w:color w:val="000000"/>
                <w:szCs w:val="21"/>
              </w:rPr>
              <w:t>181</w:t>
            </w:r>
          </w:p>
        </w:tc>
      </w:tr>
      <w:tr w14:paraId="478E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612C8588">
            <w:pPr>
              <w:spacing w:before="100" w:beforeAutospacing="1" w:after="100" w:afterAutospacing="1" w:line="240" w:lineRule="atLeast"/>
              <w:jc w:val="center"/>
              <w:rPr>
                <w:rFonts w:eastAsia="楷体_GB2312"/>
                <w:kern w:val="0"/>
                <w:szCs w:val="21"/>
              </w:rPr>
            </w:pPr>
            <w:r>
              <w:rPr>
                <w:rFonts w:hint="eastAsia" w:eastAsia="楷体_GB2312"/>
                <w:kern w:val="0"/>
                <w:szCs w:val="21"/>
              </w:rPr>
              <w:t>18</w:t>
            </w:r>
          </w:p>
        </w:tc>
        <w:tc>
          <w:tcPr>
            <w:tcW w:w="0" w:type="auto"/>
            <w:vMerge w:val="restart"/>
            <w:noWrap w:val="0"/>
            <w:vAlign w:val="center"/>
          </w:tcPr>
          <w:p w14:paraId="3D95C734">
            <w:pPr>
              <w:spacing w:before="100" w:beforeAutospacing="1" w:after="100" w:afterAutospacing="1" w:line="240" w:lineRule="atLeast"/>
              <w:jc w:val="center"/>
              <w:rPr>
                <w:rFonts w:eastAsia="楷体_GB2312"/>
                <w:kern w:val="0"/>
                <w:szCs w:val="21"/>
              </w:rPr>
            </w:pPr>
            <w:r>
              <w:rPr>
                <w:rFonts w:hint="eastAsia" w:eastAsia="楷体_GB2312"/>
                <w:kern w:val="0"/>
                <w:szCs w:val="21"/>
              </w:rPr>
              <w:t>大泽乡镇</w:t>
            </w:r>
          </w:p>
        </w:tc>
        <w:tc>
          <w:tcPr>
            <w:tcW w:w="0" w:type="auto"/>
            <w:noWrap w:val="0"/>
            <w:vAlign w:val="center"/>
          </w:tcPr>
          <w:p w14:paraId="2223FDB4">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54D22A17">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1105" w:type="dxa"/>
            <w:noWrap w:val="0"/>
            <w:vAlign w:val="center"/>
          </w:tcPr>
          <w:p w14:paraId="599E3CCA">
            <w:pPr>
              <w:spacing w:before="100" w:beforeAutospacing="1" w:after="100" w:afterAutospacing="1" w:line="240" w:lineRule="atLeast"/>
              <w:jc w:val="center"/>
              <w:rPr>
                <w:szCs w:val="21"/>
              </w:rPr>
            </w:pPr>
            <w:r>
              <w:rPr>
                <w:rFonts w:hint="eastAsia"/>
                <w:szCs w:val="21"/>
              </w:rPr>
              <w:t>77</w:t>
            </w:r>
          </w:p>
        </w:tc>
        <w:tc>
          <w:tcPr>
            <w:tcW w:w="1081" w:type="dxa"/>
            <w:noWrap w:val="0"/>
            <w:vAlign w:val="center"/>
          </w:tcPr>
          <w:p w14:paraId="38BC5529">
            <w:pPr>
              <w:jc w:val="center"/>
              <w:rPr>
                <w:rFonts w:ascii="宋体" w:hAnsi="宋体" w:cs="宋体"/>
                <w:color w:val="000000"/>
                <w:szCs w:val="21"/>
              </w:rPr>
            </w:pPr>
            <w:r>
              <w:rPr>
                <w:rFonts w:hint="eastAsia"/>
                <w:color w:val="000000"/>
                <w:szCs w:val="21"/>
              </w:rPr>
              <w:t>456</w:t>
            </w:r>
          </w:p>
        </w:tc>
        <w:tc>
          <w:tcPr>
            <w:tcW w:w="0" w:type="auto"/>
            <w:noWrap w:val="0"/>
            <w:vAlign w:val="center"/>
          </w:tcPr>
          <w:p w14:paraId="551849F3">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noWrap w:val="0"/>
            <w:vAlign w:val="center"/>
          </w:tcPr>
          <w:p w14:paraId="4077B065">
            <w:pPr>
              <w:spacing w:before="100" w:beforeAutospacing="1" w:after="100" w:afterAutospacing="1" w:line="240" w:lineRule="atLeast"/>
              <w:jc w:val="center"/>
              <w:rPr>
                <w:szCs w:val="21"/>
              </w:rPr>
            </w:pPr>
            <w:r>
              <w:rPr>
                <w:rFonts w:hint="eastAsia"/>
                <w:szCs w:val="21"/>
              </w:rPr>
              <w:t>77</w:t>
            </w:r>
          </w:p>
        </w:tc>
        <w:tc>
          <w:tcPr>
            <w:tcW w:w="0" w:type="auto"/>
            <w:noWrap w:val="0"/>
            <w:vAlign w:val="center"/>
          </w:tcPr>
          <w:p w14:paraId="3975C8AE">
            <w:pPr>
              <w:jc w:val="center"/>
              <w:rPr>
                <w:rFonts w:ascii="宋体" w:hAnsi="宋体" w:cs="宋体"/>
                <w:color w:val="000000"/>
                <w:szCs w:val="21"/>
              </w:rPr>
            </w:pPr>
            <w:r>
              <w:rPr>
                <w:rFonts w:hint="eastAsia"/>
                <w:color w:val="000000"/>
                <w:szCs w:val="21"/>
              </w:rPr>
              <w:t>307</w:t>
            </w:r>
          </w:p>
        </w:tc>
      </w:tr>
      <w:tr w14:paraId="1D3DE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3E8C8550">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E84ED87">
            <w:pPr>
              <w:spacing w:before="100" w:beforeAutospacing="1" w:after="100" w:afterAutospacing="1" w:line="240" w:lineRule="atLeast"/>
              <w:jc w:val="center"/>
              <w:rPr>
                <w:rFonts w:eastAsia="楷体_GB2312"/>
                <w:kern w:val="0"/>
                <w:szCs w:val="21"/>
              </w:rPr>
            </w:pPr>
          </w:p>
        </w:tc>
        <w:tc>
          <w:tcPr>
            <w:tcW w:w="0" w:type="auto"/>
            <w:noWrap w:val="0"/>
            <w:vAlign w:val="center"/>
          </w:tcPr>
          <w:p w14:paraId="1922BBB0">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3DA14B4B">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1105" w:type="dxa"/>
            <w:noWrap w:val="0"/>
            <w:vAlign w:val="center"/>
          </w:tcPr>
          <w:p w14:paraId="10DA0B8D">
            <w:pPr>
              <w:spacing w:before="100" w:beforeAutospacing="1" w:after="100" w:afterAutospacing="1" w:line="240" w:lineRule="atLeast"/>
              <w:jc w:val="center"/>
              <w:rPr>
                <w:szCs w:val="21"/>
              </w:rPr>
            </w:pPr>
            <w:r>
              <w:rPr>
                <w:rFonts w:hint="eastAsia"/>
                <w:szCs w:val="21"/>
              </w:rPr>
              <w:t>49</w:t>
            </w:r>
          </w:p>
        </w:tc>
        <w:tc>
          <w:tcPr>
            <w:tcW w:w="1081" w:type="dxa"/>
            <w:noWrap w:val="0"/>
            <w:vAlign w:val="center"/>
          </w:tcPr>
          <w:p w14:paraId="478A74AE">
            <w:pPr>
              <w:jc w:val="center"/>
              <w:rPr>
                <w:rFonts w:ascii="宋体" w:hAnsi="宋体" w:cs="宋体"/>
                <w:color w:val="000000"/>
                <w:szCs w:val="21"/>
              </w:rPr>
            </w:pPr>
            <w:r>
              <w:rPr>
                <w:rFonts w:hint="eastAsia"/>
                <w:color w:val="000000"/>
                <w:szCs w:val="21"/>
              </w:rPr>
              <w:t>314</w:t>
            </w:r>
          </w:p>
        </w:tc>
        <w:tc>
          <w:tcPr>
            <w:tcW w:w="0" w:type="auto"/>
            <w:noWrap w:val="0"/>
            <w:vAlign w:val="center"/>
          </w:tcPr>
          <w:p w14:paraId="579551D9">
            <w:pPr>
              <w:spacing w:before="100" w:beforeAutospacing="1" w:after="100" w:afterAutospacing="1" w:line="240" w:lineRule="atLeast"/>
              <w:jc w:val="center"/>
              <w:rPr>
                <w:rFonts w:eastAsia="楷体_GB2312"/>
                <w:kern w:val="0"/>
                <w:szCs w:val="21"/>
              </w:rPr>
            </w:pPr>
            <w:r>
              <w:rPr>
                <w:rFonts w:hint="eastAsia" w:eastAsia="楷体_GB2312"/>
                <w:kern w:val="0"/>
                <w:szCs w:val="21"/>
              </w:rPr>
              <w:t>14</w:t>
            </w:r>
          </w:p>
        </w:tc>
        <w:tc>
          <w:tcPr>
            <w:tcW w:w="0" w:type="auto"/>
            <w:noWrap w:val="0"/>
            <w:vAlign w:val="center"/>
          </w:tcPr>
          <w:p w14:paraId="7E74C69F">
            <w:pPr>
              <w:spacing w:before="100" w:beforeAutospacing="1" w:after="100" w:afterAutospacing="1" w:line="240" w:lineRule="atLeast"/>
              <w:jc w:val="center"/>
              <w:rPr>
                <w:szCs w:val="21"/>
              </w:rPr>
            </w:pPr>
            <w:r>
              <w:rPr>
                <w:rFonts w:hint="eastAsia"/>
                <w:szCs w:val="21"/>
              </w:rPr>
              <w:t>49</w:t>
            </w:r>
          </w:p>
        </w:tc>
        <w:tc>
          <w:tcPr>
            <w:tcW w:w="0" w:type="auto"/>
            <w:noWrap w:val="0"/>
            <w:vAlign w:val="center"/>
          </w:tcPr>
          <w:p w14:paraId="67C23390">
            <w:pPr>
              <w:jc w:val="center"/>
              <w:rPr>
                <w:rFonts w:ascii="宋体" w:hAnsi="宋体" w:cs="宋体"/>
                <w:color w:val="000000"/>
                <w:szCs w:val="21"/>
              </w:rPr>
            </w:pPr>
            <w:r>
              <w:rPr>
                <w:rFonts w:hint="eastAsia"/>
                <w:color w:val="000000"/>
                <w:szCs w:val="21"/>
              </w:rPr>
              <w:t>254</w:t>
            </w:r>
          </w:p>
        </w:tc>
      </w:tr>
      <w:tr w14:paraId="6C0B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8AC03DD">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BBB787A">
            <w:pPr>
              <w:spacing w:before="100" w:beforeAutospacing="1" w:after="100" w:afterAutospacing="1" w:line="240" w:lineRule="atLeast"/>
              <w:jc w:val="center"/>
              <w:rPr>
                <w:rFonts w:eastAsia="楷体_GB2312"/>
                <w:kern w:val="0"/>
                <w:szCs w:val="21"/>
              </w:rPr>
            </w:pPr>
          </w:p>
        </w:tc>
        <w:tc>
          <w:tcPr>
            <w:tcW w:w="0" w:type="auto"/>
            <w:noWrap w:val="0"/>
            <w:vAlign w:val="center"/>
          </w:tcPr>
          <w:p w14:paraId="4CCD3840">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4F5E0F17">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1105" w:type="dxa"/>
            <w:noWrap w:val="0"/>
            <w:vAlign w:val="center"/>
          </w:tcPr>
          <w:p w14:paraId="3E9D98D7">
            <w:pPr>
              <w:spacing w:before="100" w:beforeAutospacing="1" w:after="100" w:afterAutospacing="1" w:line="240" w:lineRule="atLeast"/>
              <w:jc w:val="center"/>
              <w:rPr>
                <w:szCs w:val="21"/>
              </w:rPr>
            </w:pPr>
            <w:r>
              <w:rPr>
                <w:rFonts w:hint="eastAsia"/>
                <w:szCs w:val="21"/>
              </w:rPr>
              <w:t>20</w:t>
            </w:r>
          </w:p>
        </w:tc>
        <w:tc>
          <w:tcPr>
            <w:tcW w:w="1081" w:type="dxa"/>
            <w:noWrap w:val="0"/>
            <w:vAlign w:val="center"/>
          </w:tcPr>
          <w:p w14:paraId="7CAE6CE4">
            <w:pPr>
              <w:jc w:val="center"/>
              <w:rPr>
                <w:rFonts w:ascii="宋体" w:hAnsi="宋体" w:cs="宋体"/>
                <w:color w:val="000000"/>
                <w:szCs w:val="21"/>
              </w:rPr>
            </w:pPr>
            <w:r>
              <w:rPr>
                <w:rFonts w:hint="eastAsia"/>
                <w:color w:val="000000"/>
                <w:szCs w:val="21"/>
              </w:rPr>
              <w:t>278</w:t>
            </w:r>
          </w:p>
        </w:tc>
        <w:tc>
          <w:tcPr>
            <w:tcW w:w="0" w:type="auto"/>
            <w:noWrap w:val="0"/>
            <w:vAlign w:val="center"/>
          </w:tcPr>
          <w:p w14:paraId="40C738C6">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266B18E4">
            <w:pPr>
              <w:spacing w:before="100" w:beforeAutospacing="1" w:after="100" w:afterAutospacing="1" w:line="240" w:lineRule="atLeast"/>
              <w:jc w:val="center"/>
              <w:rPr>
                <w:szCs w:val="21"/>
              </w:rPr>
            </w:pPr>
            <w:r>
              <w:rPr>
                <w:rFonts w:hint="eastAsia"/>
                <w:szCs w:val="21"/>
              </w:rPr>
              <w:t>20</w:t>
            </w:r>
          </w:p>
        </w:tc>
        <w:tc>
          <w:tcPr>
            <w:tcW w:w="0" w:type="auto"/>
            <w:noWrap w:val="0"/>
            <w:vAlign w:val="center"/>
          </w:tcPr>
          <w:p w14:paraId="74A62813">
            <w:pPr>
              <w:jc w:val="center"/>
              <w:rPr>
                <w:rFonts w:ascii="宋体" w:hAnsi="宋体" w:cs="宋体"/>
                <w:color w:val="000000"/>
                <w:szCs w:val="21"/>
              </w:rPr>
            </w:pPr>
            <w:r>
              <w:rPr>
                <w:rFonts w:hint="eastAsia"/>
                <w:color w:val="000000"/>
                <w:szCs w:val="21"/>
              </w:rPr>
              <w:t>177</w:t>
            </w:r>
          </w:p>
        </w:tc>
      </w:tr>
      <w:tr w14:paraId="7659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59609889">
            <w:pPr>
              <w:spacing w:before="100" w:beforeAutospacing="1" w:after="100" w:afterAutospacing="1" w:line="240" w:lineRule="atLeast"/>
              <w:jc w:val="center"/>
              <w:rPr>
                <w:rFonts w:eastAsia="楷体_GB2312"/>
                <w:kern w:val="0"/>
                <w:szCs w:val="21"/>
              </w:rPr>
            </w:pPr>
            <w:r>
              <w:rPr>
                <w:rFonts w:hint="eastAsia" w:eastAsia="楷体_GB2312"/>
                <w:kern w:val="0"/>
                <w:szCs w:val="21"/>
              </w:rPr>
              <w:t>19</w:t>
            </w:r>
          </w:p>
        </w:tc>
        <w:tc>
          <w:tcPr>
            <w:tcW w:w="0" w:type="auto"/>
            <w:vMerge w:val="restart"/>
            <w:noWrap w:val="0"/>
            <w:vAlign w:val="center"/>
          </w:tcPr>
          <w:p w14:paraId="1EF5B2BD">
            <w:pPr>
              <w:spacing w:before="100" w:beforeAutospacing="1" w:after="100" w:afterAutospacing="1" w:line="240" w:lineRule="atLeast"/>
              <w:jc w:val="center"/>
              <w:rPr>
                <w:rFonts w:eastAsia="楷体_GB2312"/>
                <w:kern w:val="0"/>
                <w:szCs w:val="21"/>
              </w:rPr>
            </w:pPr>
            <w:r>
              <w:rPr>
                <w:rFonts w:hint="eastAsia" w:eastAsia="楷体_GB2312"/>
                <w:kern w:val="0"/>
                <w:szCs w:val="21"/>
              </w:rPr>
              <w:t>永安镇</w:t>
            </w:r>
          </w:p>
        </w:tc>
        <w:tc>
          <w:tcPr>
            <w:tcW w:w="0" w:type="auto"/>
            <w:noWrap w:val="0"/>
            <w:vAlign w:val="center"/>
          </w:tcPr>
          <w:p w14:paraId="4AD424FD">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4868BAAF">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1105" w:type="dxa"/>
            <w:noWrap w:val="0"/>
            <w:vAlign w:val="center"/>
          </w:tcPr>
          <w:p w14:paraId="0993EC41">
            <w:pPr>
              <w:spacing w:before="100" w:beforeAutospacing="1" w:after="100" w:afterAutospacing="1" w:line="240" w:lineRule="atLeast"/>
              <w:jc w:val="center"/>
              <w:rPr>
                <w:szCs w:val="21"/>
              </w:rPr>
            </w:pPr>
            <w:r>
              <w:rPr>
                <w:rFonts w:hint="eastAsia"/>
                <w:szCs w:val="21"/>
              </w:rPr>
              <w:t>81</w:t>
            </w:r>
          </w:p>
        </w:tc>
        <w:tc>
          <w:tcPr>
            <w:tcW w:w="1081" w:type="dxa"/>
            <w:noWrap w:val="0"/>
            <w:vAlign w:val="center"/>
          </w:tcPr>
          <w:p w14:paraId="4B0263D1">
            <w:pPr>
              <w:jc w:val="center"/>
              <w:rPr>
                <w:rFonts w:ascii="宋体" w:hAnsi="宋体" w:cs="宋体"/>
                <w:color w:val="000000"/>
                <w:szCs w:val="21"/>
              </w:rPr>
            </w:pPr>
            <w:r>
              <w:rPr>
                <w:rFonts w:hint="eastAsia"/>
                <w:color w:val="000000"/>
                <w:szCs w:val="21"/>
              </w:rPr>
              <w:t>417</w:t>
            </w:r>
          </w:p>
        </w:tc>
        <w:tc>
          <w:tcPr>
            <w:tcW w:w="0" w:type="auto"/>
            <w:noWrap w:val="0"/>
            <w:vAlign w:val="center"/>
          </w:tcPr>
          <w:p w14:paraId="7AB2690D">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63E2EC0F">
            <w:pPr>
              <w:spacing w:before="100" w:beforeAutospacing="1" w:after="100" w:afterAutospacing="1" w:line="240" w:lineRule="atLeast"/>
              <w:jc w:val="center"/>
              <w:rPr>
                <w:szCs w:val="21"/>
              </w:rPr>
            </w:pPr>
            <w:r>
              <w:rPr>
                <w:rFonts w:hint="eastAsia"/>
                <w:szCs w:val="21"/>
              </w:rPr>
              <w:t>81</w:t>
            </w:r>
          </w:p>
        </w:tc>
        <w:tc>
          <w:tcPr>
            <w:tcW w:w="0" w:type="auto"/>
            <w:noWrap w:val="0"/>
            <w:vAlign w:val="center"/>
          </w:tcPr>
          <w:p w14:paraId="703CDAA7">
            <w:pPr>
              <w:jc w:val="center"/>
              <w:rPr>
                <w:rFonts w:ascii="宋体" w:hAnsi="宋体" w:cs="宋体"/>
                <w:color w:val="000000"/>
                <w:szCs w:val="21"/>
              </w:rPr>
            </w:pPr>
            <w:r>
              <w:rPr>
                <w:rFonts w:hint="eastAsia"/>
                <w:color w:val="000000"/>
                <w:szCs w:val="21"/>
              </w:rPr>
              <w:t>348</w:t>
            </w:r>
          </w:p>
        </w:tc>
      </w:tr>
      <w:tr w14:paraId="26E2E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878BB36">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643ED2B">
            <w:pPr>
              <w:spacing w:before="100" w:beforeAutospacing="1" w:after="100" w:afterAutospacing="1" w:line="240" w:lineRule="atLeast"/>
              <w:jc w:val="center"/>
              <w:rPr>
                <w:rFonts w:eastAsia="楷体_GB2312"/>
                <w:kern w:val="0"/>
                <w:szCs w:val="21"/>
              </w:rPr>
            </w:pPr>
          </w:p>
        </w:tc>
        <w:tc>
          <w:tcPr>
            <w:tcW w:w="0" w:type="auto"/>
            <w:noWrap w:val="0"/>
            <w:vAlign w:val="center"/>
          </w:tcPr>
          <w:p w14:paraId="25949BA2">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4E0FCD14">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1105" w:type="dxa"/>
            <w:noWrap w:val="0"/>
            <w:vAlign w:val="center"/>
          </w:tcPr>
          <w:p w14:paraId="00B43508">
            <w:pPr>
              <w:spacing w:before="100" w:beforeAutospacing="1" w:after="100" w:afterAutospacing="1" w:line="240" w:lineRule="atLeast"/>
              <w:jc w:val="center"/>
              <w:rPr>
                <w:szCs w:val="21"/>
              </w:rPr>
            </w:pPr>
            <w:r>
              <w:rPr>
                <w:rFonts w:hint="eastAsia"/>
                <w:szCs w:val="21"/>
              </w:rPr>
              <w:t>50</w:t>
            </w:r>
          </w:p>
        </w:tc>
        <w:tc>
          <w:tcPr>
            <w:tcW w:w="1081" w:type="dxa"/>
            <w:noWrap w:val="0"/>
            <w:vAlign w:val="center"/>
          </w:tcPr>
          <w:p w14:paraId="293964EE">
            <w:pPr>
              <w:jc w:val="center"/>
              <w:rPr>
                <w:rFonts w:ascii="宋体" w:hAnsi="宋体" w:cs="宋体"/>
                <w:color w:val="000000"/>
                <w:szCs w:val="21"/>
              </w:rPr>
            </w:pPr>
            <w:r>
              <w:rPr>
                <w:rFonts w:hint="eastAsia"/>
                <w:color w:val="000000"/>
                <w:szCs w:val="21"/>
              </w:rPr>
              <w:t>357</w:t>
            </w:r>
          </w:p>
        </w:tc>
        <w:tc>
          <w:tcPr>
            <w:tcW w:w="0" w:type="auto"/>
            <w:noWrap w:val="0"/>
            <w:vAlign w:val="center"/>
          </w:tcPr>
          <w:p w14:paraId="657C585E">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5F8585D2">
            <w:pPr>
              <w:spacing w:before="100" w:beforeAutospacing="1" w:after="100" w:afterAutospacing="1" w:line="240" w:lineRule="atLeast"/>
              <w:jc w:val="center"/>
              <w:rPr>
                <w:szCs w:val="21"/>
              </w:rPr>
            </w:pPr>
            <w:r>
              <w:rPr>
                <w:rFonts w:hint="eastAsia"/>
                <w:szCs w:val="21"/>
              </w:rPr>
              <w:t>50</w:t>
            </w:r>
          </w:p>
        </w:tc>
        <w:tc>
          <w:tcPr>
            <w:tcW w:w="0" w:type="auto"/>
            <w:noWrap w:val="0"/>
            <w:vAlign w:val="center"/>
          </w:tcPr>
          <w:p w14:paraId="4BC458AF">
            <w:pPr>
              <w:jc w:val="center"/>
              <w:rPr>
                <w:rFonts w:ascii="宋体" w:hAnsi="宋体" w:cs="宋体"/>
                <w:color w:val="000000"/>
                <w:szCs w:val="21"/>
              </w:rPr>
            </w:pPr>
            <w:r>
              <w:rPr>
                <w:rFonts w:hint="eastAsia"/>
                <w:color w:val="000000"/>
                <w:szCs w:val="21"/>
              </w:rPr>
              <w:t>242</w:t>
            </w:r>
          </w:p>
        </w:tc>
      </w:tr>
      <w:tr w14:paraId="08B80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21C3F5C">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267C8F9">
            <w:pPr>
              <w:spacing w:before="100" w:beforeAutospacing="1" w:after="100" w:afterAutospacing="1" w:line="240" w:lineRule="atLeast"/>
              <w:jc w:val="center"/>
              <w:rPr>
                <w:rFonts w:eastAsia="楷体_GB2312"/>
                <w:kern w:val="0"/>
                <w:szCs w:val="21"/>
              </w:rPr>
            </w:pPr>
          </w:p>
        </w:tc>
        <w:tc>
          <w:tcPr>
            <w:tcW w:w="0" w:type="auto"/>
            <w:noWrap w:val="0"/>
            <w:vAlign w:val="center"/>
          </w:tcPr>
          <w:p w14:paraId="3E907EF2">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0CD3EF77">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1105" w:type="dxa"/>
            <w:noWrap w:val="0"/>
            <w:vAlign w:val="center"/>
          </w:tcPr>
          <w:p w14:paraId="4BBDFA43">
            <w:pPr>
              <w:spacing w:before="100" w:beforeAutospacing="1" w:after="100" w:afterAutospacing="1" w:line="240" w:lineRule="atLeast"/>
              <w:jc w:val="center"/>
              <w:rPr>
                <w:szCs w:val="21"/>
              </w:rPr>
            </w:pPr>
            <w:r>
              <w:rPr>
                <w:rFonts w:hint="eastAsia"/>
                <w:szCs w:val="21"/>
              </w:rPr>
              <w:t>20</w:t>
            </w:r>
          </w:p>
        </w:tc>
        <w:tc>
          <w:tcPr>
            <w:tcW w:w="1081" w:type="dxa"/>
            <w:noWrap w:val="0"/>
            <w:vAlign w:val="center"/>
          </w:tcPr>
          <w:p w14:paraId="32962848">
            <w:pPr>
              <w:jc w:val="center"/>
              <w:rPr>
                <w:rFonts w:ascii="宋体" w:hAnsi="宋体" w:cs="宋体"/>
                <w:color w:val="000000"/>
                <w:szCs w:val="21"/>
              </w:rPr>
            </w:pPr>
            <w:r>
              <w:rPr>
                <w:rFonts w:hint="eastAsia"/>
                <w:color w:val="000000"/>
                <w:szCs w:val="21"/>
              </w:rPr>
              <w:t>253</w:t>
            </w:r>
          </w:p>
        </w:tc>
        <w:tc>
          <w:tcPr>
            <w:tcW w:w="0" w:type="auto"/>
            <w:noWrap w:val="0"/>
            <w:vAlign w:val="center"/>
          </w:tcPr>
          <w:p w14:paraId="0CB9590F">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570E5EC3">
            <w:pPr>
              <w:spacing w:before="100" w:beforeAutospacing="1" w:after="100" w:afterAutospacing="1" w:line="240" w:lineRule="atLeast"/>
              <w:jc w:val="center"/>
              <w:rPr>
                <w:szCs w:val="21"/>
              </w:rPr>
            </w:pPr>
            <w:r>
              <w:rPr>
                <w:rFonts w:hint="eastAsia"/>
                <w:szCs w:val="21"/>
              </w:rPr>
              <w:t>20</w:t>
            </w:r>
          </w:p>
        </w:tc>
        <w:tc>
          <w:tcPr>
            <w:tcW w:w="0" w:type="auto"/>
            <w:noWrap w:val="0"/>
            <w:vAlign w:val="center"/>
          </w:tcPr>
          <w:p w14:paraId="1EA402CF">
            <w:pPr>
              <w:jc w:val="center"/>
              <w:rPr>
                <w:rFonts w:ascii="宋体" w:hAnsi="宋体" w:cs="宋体"/>
                <w:color w:val="000000"/>
                <w:szCs w:val="21"/>
              </w:rPr>
            </w:pPr>
            <w:r>
              <w:rPr>
                <w:rFonts w:hint="eastAsia"/>
                <w:color w:val="000000"/>
                <w:szCs w:val="21"/>
              </w:rPr>
              <w:t>187</w:t>
            </w:r>
          </w:p>
        </w:tc>
      </w:tr>
      <w:tr w14:paraId="2E01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1187DD6C">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vMerge w:val="restart"/>
            <w:noWrap w:val="0"/>
            <w:vAlign w:val="center"/>
          </w:tcPr>
          <w:p w14:paraId="45165B70">
            <w:pPr>
              <w:spacing w:before="100" w:beforeAutospacing="1" w:after="100" w:afterAutospacing="1" w:line="240" w:lineRule="atLeast"/>
              <w:jc w:val="center"/>
              <w:rPr>
                <w:rFonts w:eastAsia="楷体_GB2312"/>
                <w:kern w:val="0"/>
                <w:szCs w:val="21"/>
              </w:rPr>
            </w:pPr>
            <w:r>
              <w:rPr>
                <w:rFonts w:hint="eastAsia" w:eastAsia="楷体_GB2312"/>
                <w:kern w:val="0"/>
                <w:szCs w:val="21"/>
              </w:rPr>
              <w:t>支河乡</w:t>
            </w:r>
          </w:p>
        </w:tc>
        <w:tc>
          <w:tcPr>
            <w:tcW w:w="0" w:type="auto"/>
            <w:noWrap w:val="0"/>
            <w:vAlign w:val="center"/>
          </w:tcPr>
          <w:p w14:paraId="378C0E2B">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06024D0D">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1105" w:type="dxa"/>
            <w:noWrap w:val="0"/>
            <w:vAlign w:val="center"/>
          </w:tcPr>
          <w:p w14:paraId="1A7C4D60">
            <w:pPr>
              <w:spacing w:before="100" w:beforeAutospacing="1" w:after="100" w:afterAutospacing="1" w:line="240" w:lineRule="atLeast"/>
              <w:jc w:val="center"/>
              <w:rPr>
                <w:szCs w:val="21"/>
              </w:rPr>
            </w:pPr>
            <w:r>
              <w:rPr>
                <w:rFonts w:hint="eastAsia"/>
                <w:szCs w:val="21"/>
              </w:rPr>
              <w:t>79</w:t>
            </w:r>
          </w:p>
        </w:tc>
        <w:tc>
          <w:tcPr>
            <w:tcW w:w="1081" w:type="dxa"/>
            <w:noWrap w:val="0"/>
            <w:vAlign w:val="center"/>
          </w:tcPr>
          <w:p w14:paraId="57053225">
            <w:pPr>
              <w:jc w:val="center"/>
              <w:rPr>
                <w:rFonts w:ascii="宋体" w:hAnsi="宋体" w:cs="宋体"/>
                <w:color w:val="000000"/>
                <w:szCs w:val="21"/>
              </w:rPr>
            </w:pPr>
            <w:r>
              <w:rPr>
                <w:rFonts w:hint="eastAsia"/>
                <w:color w:val="000000"/>
                <w:szCs w:val="21"/>
              </w:rPr>
              <w:t>425</w:t>
            </w:r>
          </w:p>
        </w:tc>
        <w:tc>
          <w:tcPr>
            <w:tcW w:w="0" w:type="auto"/>
            <w:noWrap w:val="0"/>
            <w:vAlign w:val="center"/>
          </w:tcPr>
          <w:p w14:paraId="6DC9AF9E">
            <w:pPr>
              <w:spacing w:before="100" w:beforeAutospacing="1" w:after="100" w:afterAutospacing="1" w:line="240" w:lineRule="atLeast"/>
              <w:jc w:val="center"/>
              <w:rPr>
                <w:rFonts w:eastAsia="楷体_GB2312"/>
                <w:kern w:val="0"/>
                <w:szCs w:val="21"/>
              </w:rPr>
            </w:pPr>
            <w:r>
              <w:rPr>
                <w:rFonts w:hint="eastAsia" w:eastAsia="楷体_GB2312"/>
                <w:kern w:val="0"/>
                <w:szCs w:val="21"/>
              </w:rPr>
              <w:t>16</w:t>
            </w:r>
          </w:p>
        </w:tc>
        <w:tc>
          <w:tcPr>
            <w:tcW w:w="0" w:type="auto"/>
            <w:noWrap w:val="0"/>
            <w:vAlign w:val="center"/>
          </w:tcPr>
          <w:p w14:paraId="2FC17D70">
            <w:pPr>
              <w:spacing w:before="100" w:beforeAutospacing="1" w:after="100" w:afterAutospacing="1" w:line="240" w:lineRule="atLeast"/>
              <w:jc w:val="center"/>
              <w:rPr>
                <w:szCs w:val="21"/>
              </w:rPr>
            </w:pPr>
            <w:r>
              <w:rPr>
                <w:rFonts w:hint="eastAsia"/>
                <w:szCs w:val="21"/>
              </w:rPr>
              <w:t>79</w:t>
            </w:r>
          </w:p>
        </w:tc>
        <w:tc>
          <w:tcPr>
            <w:tcW w:w="0" w:type="auto"/>
            <w:noWrap w:val="0"/>
            <w:vAlign w:val="center"/>
          </w:tcPr>
          <w:p w14:paraId="21DCE215">
            <w:pPr>
              <w:jc w:val="center"/>
              <w:rPr>
                <w:rFonts w:ascii="宋体" w:hAnsi="宋体" w:cs="宋体"/>
                <w:color w:val="000000"/>
                <w:szCs w:val="21"/>
              </w:rPr>
            </w:pPr>
            <w:r>
              <w:rPr>
                <w:rFonts w:hint="eastAsia"/>
                <w:color w:val="000000"/>
                <w:szCs w:val="21"/>
              </w:rPr>
              <w:t>308</w:t>
            </w:r>
          </w:p>
        </w:tc>
      </w:tr>
      <w:tr w14:paraId="455C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36FE902C">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9EAFA3E">
            <w:pPr>
              <w:spacing w:before="100" w:beforeAutospacing="1" w:after="100" w:afterAutospacing="1" w:line="240" w:lineRule="atLeast"/>
              <w:jc w:val="center"/>
              <w:rPr>
                <w:rFonts w:eastAsia="楷体_GB2312"/>
                <w:kern w:val="0"/>
                <w:szCs w:val="21"/>
              </w:rPr>
            </w:pPr>
          </w:p>
        </w:tc>
        <w:tc>
          <w:tcPr>
            <w:tcW w:w="0" w:type="auto"/>
            <w:noWrap w:val="0"/>
            <w:vAlign w:val="center"/>
          </w:tcPr>
          <w:p w14:paraId="0C5721F1">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04E71945">
            <w:pPr>
              <w:spacing w:before="100" w:beforeAutospacing="1" w:after="100" w:afterAutospacing="1" w:line="240" w:lineRule="atLeast"/>
              <w:jc w:val="center"/>
              <w:rPr>
                <w:rFonts w:eastAsia="楷体_GB2312"/>
                <w:kern w:val="0"/>
                <w:szCs w:val="21"/>
              </w:rPr>
            </w:pPr>
            <w:r>
              <w:rPr>
                <w:rFonts w:hint="eastAsia" w:eastAsia="楷体_GB2312"/>
                <w:kern w:val="0"/>
                <w:szCs w:val="21"/>
              </w:rPr>
              <w:t>9</w:t>
            </w:r>
          </w:p>
        </w:tc>
        <w:tc>
          <w:tcPr>
            <w:tcW w:w="1105" w:type="dxa"/>
            <w:noWrap w:val="0"/>
            <w:vAlign w:val="center"/>
          </w:tcPr>
          <w:p w14:paraId="0F8B54CA">
            <w:pPr>
              <w:spacing w:before="100" w:beforeAutospacing="1" w:after="100" w:afterAutospacing="1" w:line="240" w:lineRule="atLeast"/>
              <w:jc w:val="center"/>
              <w:rPr>
                <w:szCs w:val="21"/>
              </w:rPr>
            </w:pPr>
            <w:r>
              <w:rPr>
                <w:rFonts w:hint="eastAsia"/>
                <w:szCs w:val="21"/>
              </w:rPr>
              <w:t>58</w:t>
            </w:r>
          </w:p>
        </w:tc>
        <w:tc>
          <w:tcPr>
            <w:tcW w:w="1081" w:type="dxa"/>
            <w:noWrap w:val="0"/>
            <w:vAlign w:val="center"/>
          </w:tcPr>
          <w:p w14:paraId="776B1FFE">
            <w:pPr>
              <w:jc w:val="center"/>
              <w:rPr>
                <w:rFonts w:ascii="宋体" w:hAnsi="宋体" w:cs="宋体"/>
                <w:color w:val="000000"/>
                <w:szCs w:val="21"/>
              </w:rPr>
            </w:pPr>
            <w:r>
              <w:rPr>
                <w:rFonts w:hint="eastAsia"/>
                <w:color w:val="000000"/>
                <w:szCs w:val="21"/>
              </w:rPr>
              <w:t>343</w:t>
            </w:r>
          </w:p>
        </w:tc>
        <w:tc>
          <w:tcPr>
            <w:tcW w:w="0" w:type="auto"/>
            <w:noWrap w:val="0"/>
            <w:vAlign w:val="center"/>
          </w:tcPr>
          <w:p w14:paraId="76D9B21F">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4F91F5D9">
            <w:pPr>
              <w:spacing w:before="100" w:beforeAutospacing="1" w:after="100" w:afterAutospacing="1" w:line="240" w:lineRule="atLeast"/>
              <w:jc w:val="center"/>
              <w:rPr>
                <w:szCs w:val="21"/>
              </w:rPr>
            </w:pPr>
            <w:r>
              <w:rPr>
                <w:rFonts w:hint="eastAsia"/>
                <w:szCs w:val="21"/>
              </w:rPr>
              <w:t>58</w:t>
            </w:r>
          </w:p>
        </w:tc>
        <w:tc>
          <w:tcPr>
            <w:tcW w:w="0" w:type="auto"/>
            <w:noWrap w:val="0"/>
            <w:vAlign w:val="center"/>
          </w:tcPr>
          <w:p w14:paraId="59B55A88">
            <w:pPr>
              <w:jc w:val="center"/>
              <w:rPr>
                <w:rFonts w:ascii="宋体" w:hAnsi="宋体" w:cs="宋体"/>
                <w:color w:val="000000"/>
                <w:szCs w:val="21"/>
              </w:rPr>
            </w:pPr>
            <w:r>
              <w:rPr>
                <w:rFonts w:hint="eastAsia"/>
                <w:color w:val="000000"/>
                <w:szCs w:val="21"/>
              </w:rPr>
              <w:t>238</w:t>
            </w:r>
          </w:p>
        </w:tc>
      </w:tr>
      <w:tr w14:paraId="5511B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98D53EA">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E430D35">
            <w:pPr>
              <w:spacing w:before="100" w:beforeAutospacing="1" w:after="100" w:afterAutospacing="1" w:line="240" w:lineRule="atLeast"/>
              <w:jc w:val="center"/>
              <w:rPr>
                <w:rFonts w:eastAsia="楷体_GB2312"/>
                <w:kern w:val="0"/>
                <w:szCs w:val="21"/>
              </w:rPr>
            </w:pPr>
          </w:p>
        </w:tc>
        <w:tc>
          <w:tcPr>
            <w:tcW w:w="0" w:type="auto"/>
            <w:noWrap w:val="0"/>
            <w:vAlign w:val="center"/>
          </w:tcPr>
          <w:p w14:paraId="3F488B71">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62D12D4C">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1105" w:type="dxa"/>
            <w:noWrap w:val="0"/>
            <w:vAlign w:val="center"/>
          </w:tcPr>
          <w:p w14:paraId="0293E4D1">
            <w:pPr>
              <w:spacing w:before="100" w:beforeAutospacing="1" w:after="100" w:afterAutospacing="1" w:line="240" w:lineRule="atLeast"/>
              <w:jc w:val="center"/>
              <w:rPr>
                <w:szCs w:val="21"/>
              </w:rPr>
            </w:pPr>
            <w:r>
              <w:rPr>
                <w:rFonts w:hint="eastAsia"/>
                <w:szCs w:val="21"/>
              </w:rPr>
              <w:t>22</w:t>
            </w:r>
          </w:p>
        </w:tc>
        <w:tc>
          <w:tcPr>
            <w:tcW w:w="1081" w:type="dxa"/>
            <w:noWrap w:val="0"/>
            <w:vAlign w:val="center"/>
          </w:tcPr>
          <w:p w14:paraId="54C430FE">
            <w:pPr>
              <w:jc w:val="center"/>
              <w:rPr>
                <w:rFonts w:ascii="宋体" w:hAnsi="宋体" w:cs="宋体"/>
                <w:color w:val="000000"/>
                <w:szCs w:val="21"/>
              </w:rPr>
            </w:pPr>
            <w:r>
              <w:rPr>
                <w:rFonts w:hint="eastAsia"/>
                <w:color w:val="000000"/>
                <w:szCs w:val="21"/>
              </w:rPr>
              <w:t>250</w:t>
            </w:r>
          </w:p>
        </w:tc>
        <w:tc>
          <w:tcPr>
            <w:tcW w:w="0" w:type="auto"/>
            <w:noWrap w:val="0"/>
            <w:vAlign w:val="center"/>
          </w:tcPr>
          <w:p w14:paraId="536FF26F">
            <w:pPr>
              <w:spacing w:before="100" w:beforeAutospacing="1" w:after="100" w:afterAutospacing="1" w:line="240" w:lineRule="atLeast"/>
              <w:jc w:val="center"/>
              <w:rPr>
                <w:rFonts w:eastAsia="楷体_GB2312"/>
                <w:kern w:val="0"/>
                <w:szCs w:val="21"/>
              </w:rPr>
            </w:pPr>
            <w:r>
              <w:rPr>
                <w:rFonts w:hint="eastAsia" w:eastAsia="楷体_GB2312"/>
                <w:kern w:val="0"/>
                <w:szCs w:val="21"/>
              </w:rPr>
              <w:t>4</w:t>
            </w:r>
          </w:p>
        </w:tc>
        <w:tc>
          <w:tcPr>
            <w:tcW w:w="0" w:type="auto"/>
            <w:noWrap w:val="0"/>
            <w:vAlign w:val="center"/>
          </w:tcPr>
          <w:p w14:paraId="36931B7A">
            <w:pPr>
              <w:spacing w:before="100" w:beforeAutospacing="1" w:after="100" w:afterAutospacing="1" w:line="240" w:lineRule="atLeast"/>
              <w:jc w:val="center"/>
              <w:rPr>
                <w:szCs w:val="21"/>
              </w:rPr>
            </w:pPr>
            <w:r>
              <w:rPr>
                <w:rFonts w:hint="eastAsia"/>
                <w:szCs w:val="21"/>
              </w:rPr>
              <w:t>22</w:t>
            </w:r>
          </w:p>
        </w:tc>
        <w:tc>
          <w:tcPr>
            <w:tcW w:w="0" w:type="auto"/>
            <w:noWrap w:val="0"/>
            <w:vAlign w:val="center"/>
          </w:tcPr>
          <w:p w14:paraId="6A798B9A">
            <w:pPr>
              <w:jc w:val="center"/>
              <w:rPr>
                <w:rFonts w:ascii="宋体" w:hAnsi="宋体" w:cs="宋体"/>
                <w:color w:val="000000"/>
                <w:szCs w:val="21"/>
              </w:rPr>
            </w:pPr>
            <w:r>
              <w:rPr>
                <w:rFonts w:hint="eastAsia"/>
                <w:color w:val="000000"/>
                <w:szCs w:val="21"/>
              </w:rPr>
              <w:t>178</w:t>
            </w:r>
          </w:p>
        </w:tc>
      </w:tr>
      <w:tr w14:paraId="4280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5EF79AB1">
            <w:pPr>
              <w:spacing w:before="100" w:beforeAutospacing="1" w:after="100" w:afterAutospacing="1" w:line="240" w:lineRule="atLeast"/>
              <w:jc w:val="center"/>
              <w:rPr>
                <w:rFonts w:eastAsia="楷体_GB2312"/>
                <w:kern w:val="0"/>
                <w:szCs w:val="21"/>
              </w:rPr>
            </w:pPr>
            <w:r>
              <w:rPr>
                <w:rFonts w:hint="eastAsia" w:eastAsia="楷体_GB2312"/>
                <w:kern w:val="0"/>
                <w:szCs w:val="21"/>
              </w:rPr>
              <w:t>21</w:t>
            </w:r>
          </w:p>
        </w:tc>
        <w:tc>
          <w:tcPr>
            <w:tcW w:w="0" w:type="auto"/>
            <w:vMerge w:val="restart"/>
            <w:noWrap w:val="0"/>
            <w:vAlign w:val="center"/>
          </w:tcPr>
          <w:p w14:paraId="4E42AA7D">
            <w:pPr>
              <w:spacing w:before="100" w:beforeAutospacing="1" w:after="100" w:afterAutospacing="1" w:line="240" w:lineRule="atLeast"/>
              <w:jc w:val="center"/>
              <w:rPr>
                <w:rFonts w:eastAsia="楷体_GB2312"/>
                <w:kern w:val="0"/>
                <w:szCs w:val="21"/>
              </w:rPr>
            </w:pPr>
            <w:r>
              <w:rPr>
                <w:rFonts w:hint="eastAsia" w:eastAsia="楷体_GB2312"/>
                <w:kern w:val="0"/>
                <w:szCs w:val="21"/>
              </w:rPr>
              <w:t>灰古镇</w:t>
            </w:r>
          </w:p>
        </w:tc>
        <w:tc>
          <w:tcPr>
            <w:tcW w:w="0" w:type="auto"/>
            <w:noWrap w:val="0"/>
            <w:vAlign w:val="center"/>
          </w:tcPr>
          <w:p w14:paraId="24A44D90">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3473B866">
            <w:pPr>
              <w:spacing w:before="100" w:beforeAutospacing="1" w:after="100" w:afterAutospacing="1" w:line="240" w:lineRule="atLeast"/>
              <w:jc w:val="center"/>
              <w:rPr>
                <w:rFonts w:eastAsia="楷体_GB2312"/>
                <w:kern w:val="0"/>
                <w:szCs w:val="21"/>
              </w:rPr>
            </w:pPr>
            <w:r>
              <w:rPr>
                <w:rFonts w:hint="eastAsia" w:eastAsia="楷体_GB2312"/>
                <w:kern w:val="0"/>
                <w:szCs w:val="21"/>
              </w:rPr>
              <w:t>18</w:t>
            </w:r>
          </w:p>
        </w:tc>
        <w:tc>
          <w:tcPr>
            <w:tcW w:w="1105" w:type="dxa"/>
            <w:noWrap w:val="0"/>
            <w:vAlign w:val="center"/>
          </w:tcPr>
          <w:p w14:paraId="0AB8F97B">
            <w:pPr>
              <w:spacing w:before="100" w:beforeAutospacing="1" w:after="100" w:afterAutospacing="1" w:line="240" w:lineRule="atLeast"/>
              <w:jc w:val="center"/>
              <w:rPr>
                <w:szCs w:val="21"/>
              </w:rPr>
            </w:pPr>
            <w:r>
              <w:rPr>
                <w:rFonts w:hint="eastAsia"/>
                <w:szCs w:val="21"/>
              </w:rPr>
              <w:t>80</w:t>
            </w:r>
          </w:p>
        </w:tc>
        <w:tc>
          <w:tcPr>
            <w:tcW w:w="1081" w:type="dxa"/>
            <w:noWrap w:val="0"/>
            <w:vAlign w:val="center"/>
          </w:tcPr>
          <w:p w14:paraId="1E8733BE">
            <w:pPr>
              <w:jc w:val="center"/>
              <w:rPr>
                <w:rFonts w:ascii="宋体" w:hAnsi="宋体" w:cs="宋体"/>
                <w:color w:val="000000"/>
                <w:szCs w:val="21"/>
              </w:rPr>
            </w:pPr>
            <w:r>
              <w:rPr>
                <w:rFonts w:hint="eastAsia"/>
                <w:color w:val="000000"/>
                <w:szCs w:val="21"/>
              </w:rPr>
              <w:t>447</w:t>
            </w:r>
          </w:p>
        </w:tc>
        <w:tc>
          <w:tcPr>
            <w:tcW w:w="0" w:type="auto"/>
            <w:noWrap w:val="0"/>
            <w:vAlign w:val="center"/>
          </w:tcPr>
          <w:p w14:paraId="5168CE0E">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0" w:type="auto"/>
            <w:noWrap w:val="0"/>
            <w:vAlign w:val="center"/>
          </w:tcPr>
          <w:p w14:paraId="08A7888D">
            <w:pPr>
              <w:spacing w:before="100" w:beforeAutospacing="1" w:after="100" w:afterAutospacing="1" w:line="240" w:lineRule="atLeast"/>
              <w:jc w:val="center"/>
              <w:rPr>
                <w:szCs w:val="21"/>
              </w:rPr>
            </w:pPr>
            <w:r>
              <w:rPr>
                <w:rFonts w:hint="eastAsia"/>
                <w:szCs w:val="21"/>
              </w:rPr>
              <w:t>80</w:t>
            </w:r>
          </w:p>
        </w:tc>
        <w:tc>
          <w:tcPr>
            <w:tcW w:w="0" w:type="auto"/>
            <w:noWrap w:val="0"/>
            <w:vAlign w:val="center"/>
          </w:tcPr>
          <w:p w14:paraId="046A5CDA">
            <w:pPr>
              <w:jc w:val="center"/>
              <w:rPr>
                <w:rFonts w:ascii="宋体" w:hAnsi="宋体" w:cs="宋体"/>
                <w:color w:val="000000"/>
                <w:szCs w:val="21"/>
              </w:rPr>
            </w:pPr>
            <w:r>
              <w:rPr>
                <w:rFonts w:hint="eastAsia"/>
                <w:color w:val="000000"/>
                <w:szCs w:val="21"/>
              </w:rPr>
              <w:t>330</w:t>
            </w:r>
          </w:p>
        </w:tc>
      </w:tr>
      <w:tr w14:paraId="6D4B2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D1CC477">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8174CF7">
            <w:pPr>
              <w:spacing w:before="100" w:beforeAutospacing="1" w:after="100" w:afterAutospacing="1" w:line="240" w:lineRule="atLeast"/>
              <w:jc w:val="center"/>
              <w:rPr>
                <w:rFonts w:eastAsia="楷体_GB2312"/>
                <w:kern w:val="0"/>
                <w:szCs w:val="21"/>
              </w:rPr>
            </w:pPr>
          </w:p>
        </w:tc>
        <w:tc>
          <w:tcPr>
            <w:tcW w:w="0" w:type="auto"/>
            <w:noWrap w:val="0"/>
            <w:vAlign w:val="center"/>
          </w:tcPr>
          <w:p w14:paraId="5451949F">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74AD822D">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1105" w:type="dxa"/>
            <w:noWrap w:val="0"/>
            <w:vAlign w:val="center"/>
          </w:tcPr>
          <w:p w14:paraId="222A5CA7">
            <w:pPr>
              <w:spacing w:before="100" w:beforeAutospacing="1" w:after="100" w:afterAutospacing="1" w:line="240" w:lineRule="atLeast"/>
              <w:jc w:val="center"/>
              <w:rPr>
                <w:szCs w:val="21"/>
              </w:rPr>
            </w:pPr>
            <w:r>
              <w:rPr>
                <w:rFonts w:hint="eastAsia"/>
                <w:szCs w:val="21"/>
              </w:rPr>
              <w:t>51</w:t>
            </w:r>
          </w:p>
        </w:tc>
        <w:tc>
          <w:tcPr>
            <w:tcW w:w="1081" w:type="dxa"/>
            <w:noWrap w:val="0"/>
            <w:vAlign w:val="center"/>
          </w:tcPr>
          <w:p w14:paraId="3B0BAE13">
            <w:pPr>
              <w:jc w:val="center"/>
              <w:rPr>
                <w:rFonts w:ascii="宋体" w:hAnsi="宋体" w:cs="宋体"/>
                <w:color w:val="000000"/>
                <w:szCs w:val="21"/>
              </w:rPr>
            </w:pPr>
            <w:r>
              <w:rPr>
                <w:rFonts w:hint="eastAsia"/>
                <w:color w:val="000000"/>
                <w:szCs w:val="21"/>
              </w:rPr>
              <w:t>336</w:t>
            </w:r>
          </w:p>
        </w:tc>
        <w:tc>
          <w:tcPr>
            <w:tcW w:w="0" w:type="auto"/>
            <w:noWrap w:val="0"/>
            <w:vAlign w:val="center"/>
          </w:tcPr>
          <w:p w14:paraId="5D89C9C6">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12150725">
            <w:pPr>
              <w:spacing w:before="100" w:beforeAutospacing="1" w:after="100" w:afterAutospacing="1" w:line="240" w:lineRule="atLeast"/>
              <w:jc w:val="center"/>
              <w:rPr>
                <w:szCs w:val="21"/>
              </w:rPr>
            </w:pPr>
            <w:r>
              <w:rPr>
                <w:rFonts w:hint="eastAsia"/>
                <w:szCs w:val="21"/>
              </w:rPr>
              <w:t>51</w:t>
            </w:r>
          </w:p>
        </w:tc>
        <w:tc>
          <w:tcPr>
            <w:tcW w:w="0" w:type="auto"/>
            <w:noWrap w:val="0"/>
            <w:vAlign w:val="center"/>
          </w:tcPr>
          <w:p w14:paraId="6FB29FF5">
            <w:pPr>
              <w:jc w:val="center"/>
              <w:rPr>
                <w:rFonts w:ascii="宋体" w:hAnsi="宋体" w:cs="宋体"/>
                <w:color w:val="000000"/>
                <w:szCs w:val="21"/>
              </w:rPr>
            </w:pPr>
            <w:r>
              <w:rPr>
                <w:rFonts w:hint="eastAsia"/>
                <w:color w:val="000000"/>
                <w:szCs w:val="21"/>
              </w:rPr>
              <w:t>253</w:t>
            </w:r>
          </w:p>
        </w:tc>
      </w:tr>
      <w:tr w14:paraId="0DC44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4BB3400B">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25EB64F">
            <w:pPr>
              <w:spacing w:before="100" w:beforeAutospacing="1" w:after="100" w:afterAutospacing="1" w:line="240" w:lineRule="atLeast"/>
              <w:jc w:val="center"/>
              <w:rPr>
                <w:rFonts w:eastAsia="楷体_GB2312"/>
                <w:kern w:val="0"/>
                <w:szCs w:val="21"/>
              </w:rPr>
            </w:pPr>
          </w:p>
        </w:tc>
        <w:tc>
          <w:tcPr>
            <w:tcW w:w="0" w:type="auto"/>
            <w:noWrap w:val="0"/>
            <w:vAlign w:val="center"/>
          </w:tcPr>
          <w:p w14:paraId="1B2E2324">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63F0D51E">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1105" w:type="dxa"/>
            <w:noWrap w:val="0"/>
            <w:vAlign w:val="center"/>
          </w:tcPr>
          <w:p w14:paraId="764FAA5E">
            <w:pPr>
              <w:spacing w:before="100" w:beforeAutospacing="1" w:after="100" w:afterAutospacing="1" w:line="240" w:lineRule="atLeast"/>
              <w:jc w:val="center"/>
              <w:rPr>
                <w:szCs w:val="21"/>
              </w:rPr>
            </w:pPr>
            <w:r>
              <w:rPr>
                <w:rFonts w:hint="eastAsia"/>
                <w:szCs w:val="21"/>
              </w:rPr>
              <w:t>23</w:t>
            </w:r>
          </w:p>
        </w:tc>
        <w:tc>
          <w:tcPr>
            <w:tcW w:w="1081" w:type="dxa"/>
            <w:noWrap w:val="0"/>
            <w:vAlign w:val="center"/>
          </w:tcPr>
          <w:p w14:paraId="42F686A2">
            <w:pPr>
              <w:jc w:val="center"/>
              <w:rPr>
                <w:rFonts w:ascii="宋体" w:hAnsi="宋体" w:cs="宋体"/>
                <w:color w:val="000000"/>
                <w:szCs w:val="21"/>
              </w:rPr>
            </w:pPr>
            <w:r>
              <w:rPr>
                <w:rFonts w:hint="eastAsia"/>
                <w:color w:val="000000"/>
                <w:szCs w:val="21"/>
              </w:rPr>
              <w:t>308</w:t>
            </w:r>
          </w:p>
        </w:tc>
        <w:tc>
          <w:tcPr>
            <w:tcW w:w="0" w:type="auto"/>
            <w:noWrap w:val="0"/>
            <w:vAlign w:val="center"/>
          </w:tcPr>
          <w:p w14:paraId="099C94A4">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2031D707">
            <w:pPr>
              <w:spacing w:before="100" w:beforeAutospacing="1" w:after="100" w:afterAutospacing="1" w:line="240" w:lineRule="atLeast"/>
              <w:jc w:val="center"/>
              <w:rPr>
                <w:szCs w:val="21"/>
              </w:rPr>
            </w:pPr>
            <w:r>
              <w:rPr>
                <w:rFonts w:hint="eastAsia"/>
                <w:szCs w:val="21"/>
              </w:rPr>
              <w:t>23</w:t>
            </w:r>
          </w:p>
        </w:tc>
        <w:tc>
          <w:tcPr>
            <w:tcW w:w="0" w:type="auto"/>
            <w:noWrap w:val="0"/>
            <w:vAlign w:val="center"/>
          </w:tcPr>
          <w:p w14:paraId="480FBE12">
            <w:pPr>
              <w:jc w:val="center"/>
              <w:rPr>
                <w:rFonts w:ascii="宋体" w:hAnsi="宋体" w:cs="宋体"/>
                <w:color w:val="000000"/>
                <w:szCs w:val="21"/>
              </w:rPr>
            </w:pPr>
            <w:r>
              <w:rPr>
                <w:rFonts w:hint="eastAsia"/>
                <w:color w:val="000000"/>
                <w:szCs w:val="21"/>
              </w:rPr>
              <w:t>202</w:t>
            </w:r>
          </w:p>
        </w:tc>
      </w:tr>
      <w:tr w14:paraId="71F2C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37B1E89C">
            <w:pPr>
              <w:spacing w:before="100" w:beforeAutospacing="1" w:after="100" w:afterAutospacing="1" w:line="240" w:lineRule="atLeast"/>
              <w:jc w:val="center"/>
              <w:rPr>
                <w:rFonts w:eastAsia="楷体_GB2312"/>
                <w:kern w:val="0"/>
                <w:szCs w:val="21"/>
              </w:rPr>
            </w:pPr>
            <w:r>
              <w:rPr>
                <w:rFonts w:hint="eastAsia" w:eastAsia="楷体_GB2312"/>
                <w:kern w:val="0"/>
                <w:szCs w:val="21"/>
              </w:rPr>
              <w:t>22</w:t>
            </w:r>
          </w:p>
        </w:tc>
        <w:tc>
          <w:tcPr>
            <w:tcW w:w="0" w:type="auto"/>
            <w:vMerge w:val="restart"/>
            <w:noWrap w:val="0"/>
            <w:vAlign w:val="center"/>
          </w:tcPr>
          <w:p w14:paraId="79926BCA">
            <w:pPr>
              <w:spacing w:before="100" w:beforeAutospacing="1" w:after="100" w:afterAutospacing="1" w:line="240" w:lineRule="atLeast"/>
              <w:jc w:val="center"/>
              <w:rPr>
                <w:rFonts w:eastAsia="楷体_GB2312"/>
                <w:kern w:val="0"/>
                <w:szCs w:val="21"/>
              </w:rPr>
            </w:pPr>
            <w:r>
              <w:rPr>
                <w:rFonts w:hint="eastAsia" w:eastAsia="楷体_GB2312"/>
                <w:kern w:val="0"/>
                <w:szCs w:val="21"/>
              </w:rPr>
              <w:t>桃沟乡</w:t>
            </w:r>
          </w:p>
        </w:tc>
        <w:tc>
          <w:tcPr>
            <w:tcW w:w="0" w:type="auto"/>
            <w:noWrap w:val="0"/>
            <w:vAlign w:val="center"/>
          </w:tcPr>
          <w:p w14:paraId="7CAF4CAC">
            <w:pPr>
              <w:spacing w:before="100" w:beforeAutospacing="1" w:after="100" w:afterAutospacing="1" w:line="240" w:lineRule="atLeast"/>
              <w:jc w:val="center"/>
              <w:rPr>
                <w:rFonts w:eastAsia="楷体_GB2312"/>
                <w:kern w:val="0"/>
                <w:szCs w:val="21"/>
              </w:rPr>
            </w:pPr>
            <w:r>
              <w:rPr>
                <w:rFonts w:hint="eastAsia" w:eastAsia="楷体_GB2312"/>
                <w:kern w:val="0"/>
                <w:szCs w:val="21"/>
              </w:rPr>
              <w:t>1</w:t>
            </w:r>
          </w:p>
        </w:tc>
        <w:tc>
          <w:tcPr>
            <w:tcW w:w="0" w:type="auto"/>
            <w:noWrap w:val="0"/>
            <w:vAlign w:val="center"/>
          </w:tcPr>
          <w:p w14:paraId="2FB9CDD7">
            <w:pPr>
              <w:spacing w:before="100" w:beforeAutospacing="1" w:after="100" w:afterAutospacing="1" w:line="240" w:lineRule="atLeast"/>
              <w:jc w:val="center"/>
              <w:rPr>
                <w:rFonts w:eastAsia="楷体_GB2312"/>
                <w:kern w:val="0"/>
                <w:szCs w:val="21"/>
              </w:rPr>
            </w:pPr>
            <w:r>
              <w:rPr>
                <w:rFonts w:hint="eastAsia" w:eastAsia="楷体_GB2312"/>
                <w:kern w:val="0"/>
                <w:szCs w:val="21"/>
              </w:rPr>
              <w:t>20</w:t>
            </w:r>
          </w:p>
        </w:tc>
        <w:tc>
          <w:tcPr>
            <w:tcW w:w="1105" w:type="dxa"/>
            <w:noWrap w:val="0"/>
            <w:vAlign w:val="center"/>
          </w:tcPr>
          <w:p w14:paraId="49D85A71">
            <w:pPr>
              <w:spacing w:before="100" w:beforeAutospacing="1" w:after="100" w:afterAutospacing="1" w:line="240" w:lineRule="atLeast"/>
              <w:jc w:val="center"/>
              <w:rPr>
                <w:szCs w:val="21"/>
              </w:rPr>
            </w:pPr>
            <w:r>
              <w:rPr>
                <w:rFonts w:hint="eastAsia"/>
                <w:szCs w:val="21"/>
              </w:rPr>
              <w:t>81</w:t>
            </w:r>
          </w:p>
        </w:tc>
        <w:tc>
          <w:tcPr>
            <w:tcW w:w="1081" w:type="dxa"/>
            <w:noWrap w:val="0"/>
            <w:vAlign w:val="center"/>
          </w:tcPr>
          <w:p w14:paraId="68F9011D">
            <w:pPr>
              <w:jc w:val="center"/>
              <w:rPr>
                <w:rFonts w:ascii="宋体" w:hAnsi="宋体" w:cs="宋体"/>
                <w:color w:val="000000"/>
                <w:szCs w:val="21"/>
              </w:rPr>
            </w:pPr>
            <w:r>
              <w:rPr>
                <w:rFonts w:hint="eastAsia"/>
                <w:color w:val="000000"/>
                <w:szCs w:val="21"/>
              </w:rPr>
              <w:t>454</w:t>
            </w:r>
          </w:p>
        </w:tc>
        <w:tc>
          <w:tcPr>
            <w:tcW w:w="0" w:type="auto"/>
            <w:noWrap w:val="0"/>
            <w:vAlign w:val="center"/>
          </w:tcPr>
          <w:p w14:paraId="6A0E5F0D">
            <w:pPr>
              <w:spacing w:before="100" w:beforeAutospacing="1" w:after="100" w:afterAutospacing="1" w:line="240" w:lineRule="atLeast"/>
              <w:jc w:val="center"/>
              <w:rPr>
                <w:rFonts w:eastAsia="楷体_GB2312"/>
                <w:kern w:val="0"/>
                <w:szCs w:val="21"/>
              </w:rPr>
            </w:pPr>
            <w:r>
              <w:rPr>
                <w:rFonts w:hint="eastAsia" w:eastAsia="楷体_GB2312"/>
                <w:kern w:val="0"/>
                <w:szCs w:val="21"/>
              </w:rPr>
              <w:t>15</w:t>
            </w:r>
          </w:p>
        </w:tc>
        <w:tc>
          <w:tcPr>
            <w:tcW w:w="0" w:type="auto"/>
            <w:noWrap w:val="0"/>
            <w:vAlign w:val="center"/>
          </w:tcPr>
          <w:p w14:paraId="57E3FD4A">
            <w:pPr>
              <w:spacing w:before="100" w:beforeAutospacing="1" w:after="100" w:afterAutospacing="1" w:line="240" w:lineRule="atLeast"/>
              <w:jc w:val="center"/>
              <w:rPr>
                <w:szCs w:val="21"/>
              </w:rPr>
            </w:pPr>
            <w:r>
              <w:rPr>
                <w:rFonts w:hint="eastAsia"/>
                <w:szCs w:val="21"/>
              </w:rPr>
              <w:t>81</w:t>
            </w:r>
          </w:p>
        </w:tc>
        <w:tc>
          <w:tcPr>
            <w:tcW w:w="0" w:type="auto"/>
            <w:noWrap w:val="0"/>
            <w:vAlign w:val="center"/>
          </w:tcPr>
          <w:p w14:paraId="176D2B78">
            <w:pPr>
              <w:jc w:val="center"/>
              <w:rPr>
                <w:rFonts w:ascii="宋体" w:hAnsi="宋体" w:cs="宋体"/>
                <w:color w:val="000000"/>
                <w:szCs w:val="21"/>
              </w:rPr>
            </w:pPr>
            <w:r>
              <w:rPr>
                <w:rFonts w:hint="eastAsia"/>
                <w:color w:val="000000"/>
                <w:szCs w:val="21"/>
              </w:rPr>
              <w:t>297</w:t>
            </w:r>
          </w:p>
        </w:tc>
      </w:tr>
      <w:tr w14:paraId="09A06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7BCD023">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2A5A28B">
            <w:pPr>
              <w:spacing w:before="100" w:beforeAutospacing="1" w:after="100" w:afterAutospacing="1" w:line="240" w:lineRule="atLeast"/>
              <w:jc w:val="center"/>
              <w:rPr>
                <w:rFonts w:eastAsia="楷体_GB2312"/>
                <w:kern w:val="0"/>
                <w:szCs w:val="21"/>
              </w:rPr>
            </w:pPr>
          </w:p>
        </w:tc>
        <w:tc>
          <w:tcPr>
            <w:tcW w:w="0" w:type="auto"/>
            <w:noWrap w:val="0"/>
            <w:vAlign w:val="center"/>
          </w:tcPr>
          <w:p w14:paraId="0C9D02BC">
            <w:pPr>
              <w:spacing w:before="100" w:beforeAutospacing="1" w:after="100" w:afterAutospacing="1" w:line="240" w:lineRule="atLeast"/>
              <w:jc w:val="center"/>
              <w:rPr>
                <w:rFonts w:eastAsia="楷体_GB2312"/>
                <w:kern w:val="0"/>
                <w:szCs w:val="21"/>
              </w:rPr>
            </w:pPr>
            <w:r>
              <w:rPr>
                <w:rFonts w:hint="eastAsia" w:eastAsia="楷体_GB2312"/>
                <w:kern w:val="0"/>
                <w:szCs w:val="21"/>
              </w:rPr>
              <w:t>2</w:t>
            </w:r>
          </w:p>
        </w:tc>
        <w:tc>
          <w:tcPr>
            <w:tcW w:w="0" w:type="auto"/>
            <w:noWrap w:val="0"/>
            <w:vAlign w:val="center"/>
          </w:tcPr>
          <w:p w14:paraId="44997122">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1105" w:type="dxa"/>
            <w:noWrap w:val="0"/>
            <w:vAlign w:val="center"/>
          </w:tcPr>
          <w:p w14:paraId="3C472018">
            <w:pPr>
              <w:spacing w:before="100" w:beforeAutospacing="1" w:after="100" w:afterAutospacing="1" w:line="240" w:lineRule="atLeast"/>
              <w:jc w:val="center"/>
              <w:rPr>
                <w:szCs w:val="21"/>
              </w:rPr>
            </w:pPr>
            <w:r>
              <w:rPr>
                <w:rFonts w:hint="eastAsia"/>
                <w:szCs w:val="21"/>
              </w:rPr>
              <w:t>50</w:t>
            </w:r>
          </w:p>
        </w:tc>
        <w:tc>
          <w:tcPr>
            <w:tcW w:w="1081" w:type="dxa"/>
            <w:noWrap w:val="0"/>
            <w:vAlign w:val="center"/>
          </w:tcPr>
          <w:p w14:paraId="4F029BB4">
            <w:pPr>
              <w:jc w:val="center"/>
              <w:rPr>
                <w:rFonts w:ascii="宋体" w:hAnsi="宋体" w:cs="宋体"/>
                <w:color w:val="000000"/>
                <w:szCs w:val="21"/>
              </w:rPr>
            </w:pPr>
            <w:r>
              <w:rPr>
                <w:rFonts w:hint="eastAsia"/>
                <w:color w:val="000000"/>
                <w:szCs w:val="21"/>
              </w:rPr>
              <w:t>352</w:t>
            </w:r>
          </w:p>
        </w:tc>
        <w:tc>
          <w:tcPr>
            <w:tcW w:w="0" w:type="auto"/>
            <w:noWrap w:val="0"/>
            <w:vAlign w:val="center"/>
          </w:tcPr>
          <w:p w14:paraId="0528CD3A">
            <w:pPr>
              <w:spacing w:before="100" w:beforeAutospacing="1" w:after="100" w:afterAutospacing="1" w:line="240" w:lineRule="atLeast"/>
              <w:jc w:val="center"/>
              <w:rPr>
                <w:rFonts w:eastAsia="楷体_GB2312"/>
                <w:kern w:val="0"/>
                <w:szCs w:val="21"/>
              </w:rPr>
            </w:pPr>
            <w:r>
              <w:rPr>
                <w:rFonts w:hint="eastAsia" w:eastAsia="楷体_GB2312"/>
                <w:kern w:val="0"/>
                <w:szCs w:val="21"/>
              </w:rPr>
              <w:t>10</w:t>
            </w:r>
          </w:p>
        </w:tc>
        <w:tc>
          <w:tcPr>
            <w:tcW w:w="0" w:type="auto"/>
            <w:noWrap w:val="0"/>
            <w:vAlign w:val="center"/>
          </w:tcPr>
          <w:p w14:paraId="118EE8B0">
            <w:pPr>
              <w:spacing w:before="100" w:beforeAutospacing="1" w:after="100" w:afterAutospacing="1" w:line="240" w:lineRule="atLeast"/>
              <w:jc w:val="center"/>
              <w:rPr>
                <w:szCs w:val="21"/>
              </w:rPr>
            </w:pPr>
            <w:r>
              <w:rPr>
                <w:rFonts w:hint="eastAsia"/>
                <w:szCs w:val="21"/>
              </w:rPr>
              <w:t>50</w:t>
            </w:r>
          </w:p>
        </w:tc>
        <w:tc>
          <w:tcPr>
            <w:tcW w:w="0" w:type="auto"/>
            <w:noWrap w:val="0"/>
            <w:vAlign w:val="center"/>
          </w:tcPr>
          <w:p w14:paraId="00017FB7">
            <w:pPr>
              <w:jc w:val="center"/>
              <w:rPr>
                <w:rFonts w:ascii="宋体" w:hAnsi="宋体" w:cs="宋体"/>
                <w:color w:val="000000"/>
                <w:szCs w:val="21"/>
              </w:rPr>
            </w:pPr>
            <w:r>
              <w:rPr>
                <w:rFonts w:hint="eastAsia"/>
                <w:color w:val="000000"/>
                <w:szCs w:val="21"/>
              </w:rPr>
              <w:t>259</w:t>
            </w:r>
          </w:p>
        </w:tc>
      </w:tr>
      <w:tr w14:paraId="6157E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382563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3DBA35F">
            <w:pPr>
              <w:spacing w:before="100" w:beforeAutospacing="1" w:after="100" w:afterAutospacing="1" w:line="240" w:lineRule="atLeast"/>
              <w:jc w:val="center"/>
              <w:rPr>
                <w:rFonts w:eastAsia="楷体_GB2312"/>
                <w:kern w:val="0"/>
                <w:szCs w:val="21"/>
              </w:rPr>
            </w:pPr>
          </w:p>
        </w:tc>
        <w:tc>
          <w:tcPr>
            <w:tcW w:w="0" w:type="auto"/>
            <w:noWrap w:val="0"/>
            <w:vAlign w:val="center"/>
          </w:tcPr>
          <w:p w14:paraId="72DB30AB">
            <w:pPr>
              <w:spacing w:before="100" w:beforeAutospacing="1" w:after="100" w:afterAutospacing="1" w:line="240" w:lineRule="atLeast"/>
              <w:jc w:val="center"/>
              <w:rPr>
                <w:rFonts w:eastAsia="楷体_GB2312"/>
                <w:kern w:val="0"/>
                <w:szCs w:val="21"/>
              </w:rPr>
            </w:pPr>
            <w:r>
              <w:rPr>
                <w:rFonts w:hint="eastAsia" w:eastAsia="楷体_GB2312"/>
                <w:kern w:val="0"/>
                <w:szCs w:val="21"/>
              </w:rPr>
              <w:t>3</w:t>
            </w:r>
          </w:p>
        </w:tc>
        <w:tc>
          <w:tcPr>
            <w:tcW w:w="0" w:type="auto"/>
            <w:noWrap w:val="0"/>
            <w:vAlign w:val="center"/>
          </w:tcPr>
          <w:p w14:paraId="5AAF78CE">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1105" w:type="dxa"/>
            <w:noWrap w:val="0"/>
            <w:vAlign w:val="center"/>
          </w:tcPr>
          <w:p w14:paraId="6214D563">
            <w:pPr>
              <w:spacing w:before="100" w:beforeAutospacing="1" w:after="100" w:afterAutospacing="1" w:line="240" w:lineRule="atLeast"/>
              <w:jc w:val="center"/>
              <w:rPr>
                <w:szCs w:val="21"/>
              </w:rPr>
            </w:pPr>
            <w:r>
              <w:rPr>
                <w:rFonts w:hint="eastAsia"/>
                <w:szCs w:val="21"/>
              </w:rPr>
              <w:t>27</w:t>
            </w:r>
          </w:p>
        </w:tc>
        <w:tc>
          <w:tcPr>
            <w:tcW w:w="1081" w:type="dxa"/>
            <w:noWrap w:val="0"/>
            <w:vAlign w:val="center"/>
          </w:tcPr>
          <w:p w14:paraId="4168126B">
            <w:pPr>
              <w:jc w:val="center"/>
              <w:rPr>
                <w:rFonts w:ascii="宋体" w:hAnsi="宋体" w:cs="宋体"/>
                <w:color w:val="000000"/>
                <w:szCs w:val="21"/>
              </w:rPr>
            </w:pPr>
            <w:r>
              <w:rPr>
                <w:rFonts w:hint="eastAsia"/>
                <w:color w:val="000000"/>
                <w:szCs w:val="21"/>
              </w:rPr>
              <w:t>284</w:t>
            </w:r>
          </w:p>
        </w:tc>
        <w:tc>
          <w:tcPr>
            <w:tcW w:w="0" w:type="auto"/>
            <w:noWrap w:val="0"/>
            <w:vAlign w:val="center"/>
          </w:tcPr>
          <w:p w14:paraId="1245E490">
            <w:pPr>
              <w:spacing w:before="100" w:beforeAutospacing="1" w:after="100" w:afterAutospacing="1" w:line="240" w:lineRule="atLeast"/>
              <w:jc w:val="center"/>
              <w:rPr>
                <w:rFonts w:eastAsia="楷体_GB2312"/>
                <w:kern w:val="0"/>
                <w:szCs w:val="21"/>
              </w:rPr>
            </w:pPr>
            <w:r>
              <w:rPr>
                <w:rFonts w:hint="eastAsia" w:eastAsia="楷体_GB2312"/>
                <w:kern w:val="0"/>
                <w:szCs w:val="21"/>
              </w:rPr>
              <w:t>5</w:t>
            </w:r>
          </w:p>
        </w:tc>
        <w:tc>
          <w:tcPr>
            <w:tcW w:w="0" w:type="auto"/>
            <w:noWrap w:val="0"/>
            <w:vAlign w:val="center"/>
          </w:tcPr>
          <w:p w14:paraId="184628E3">
            <w:pPr>
              <w:spacing w:before="100" w:beforeAutospacing="1" w:after="100" w:afterAutospacing="1" w:line="240" w:lineRule="atLeast"/>
              <w:jc w:val="center"/>
              <w:rPr>
                <w:szCs w:val="21"/>
              </w:rPr>
            </w:pPr>
            <w:r>
              <w:rPr>
                <w:rFonts w:hint="eastAsia"/>
                <w:szCs w:val="21"/>
              </w:rPr>
              <w:t>27</w:t>
            </w:r>
          </w:p>
        </w:tc>
        <w:tc>
          <w:tcPr>
            <w:tcW w:w="0" w:type="auto"/>
            <w:noWrap w:val="0"/>
            <w:vAlign w:val="center"/>
          </w:tcPr>
          <w:p w14:paraId="515074C7">
            <w:pPr>
              <w:jc w:val="center"/>
              <w:rPr>
                <w:rFonts w:ascii="宋体" w:hAnsi="宋体" w:cs="宋体"/>
                <w:color w:val="000000"/>
                <w:szCs w:val="21"/>
              </w:rPr>
            </w:pPr>
            <w:r>
              <w:rPr>
                <w:rFonts w:hint="eastAsia"/>
                <w:color w:val="000000"/>
                <w:szCs w:val="21"/>
              </w:rPr>
              <w:t>196</w:t>
            </w:r>
          </w:p>
        </w:tc>
      </w:tr>
    </w:tbl>
    <w:p w14:paraId="010113E5">
      <w:pPr>
        <w:pStyle w:val="20"/>
        <w:spacing w:before="120" w:beforeLines="50"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（2）模型检验</w:t>
      </w:r>
    </w:p>
    <w:p w14:paraId="07F45D07">
      <w:pPr>
        <w:pStyle w:val="20"/>
        <w:spacing w:line="480" w:lineRule="exact"/>
        <w:ind w:firstLine="560" w:firstLineChars="200"/>
        <w:rPr>
          <w:rFonts w:ascii="Times New Roman" w:hAnsi="Times New Roman" w:eastAsia="楷体_GB2312" w:cs="Times New Roman"/>
          <w:sz w:val="28"/>
        </w:rPr>
      </w:pPr>
      <w:r>
        <w:rPr>
          <w:rFonts w:hint="eastAsia" w:hAnsi="宋体" w:cs="宋体"/>
          <w:sz w:val="28"/>
        </w:rPr>
        <w:t>①</w:t>
      </w:r>
      <w:r>
        <w:rPr>
          <w:rFonts w:ascii="Times New Roman" w:hAnsi="Times New Roman" w:eastAsia="楷体_GB2312" w:cs="Times New Roman"/>
          <w:sz w:val="28"/>
        </w:rPr>
        <w:t>参数估计值可靠性检验</w:t>
      </w:r>
    </w:p>
    <w:p w14:paraId="217C787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分析上述测算结果可以发现地价与级别内定级单元总分值存在明显的正级差，参数符号意义是合理的。通过统计量α=0.05，F、t检验，可以看出整个回归效果是显著的，回归系数检验也显著，说明级别内定级单元总分值对地价有显著影响。通过复相关系数R检验说明模型拟合优度通过α=0.05的假设检验。因而该模型回归效果较好。</w:t>
      </w:r>
    </w:p>
    <w:p w14:paraId="79DDDFE1">
      <w:pPr>
        <w:pStyle w:val="20"/>
        <w:spacing w:line="480" w:lineRule="exact"/>
        <w:ind w:firstLine="560" w:firstLineChars="200"/>
        <w:rPr>
          <w:rFonts w:ascii="Times New Roman" w:hAnsi="Times New Roman" w:eastAsia="楷体_GB2312" w:cs="Times New Roman"/>
          <w:sz w:val="28"/>
        </w:rPr>
      </w:pPr>
      <w:r>
        <w:rPr>
          <w:rFonts w:hint="eastAsia" w:hAnsi="宋体" w:cs="宋体"/>
          <w:sz w:val="28"/>
        </w:rPr>
        <w:t>②</w:t>
      </w:r>
      <w:r>
        <w:rPr>
          <w:rFonts w:ascii="Times New Roman" w:hAnsi="Times New Roman" w:eastAsia="楷体_GB2312" w:cs="Times New Roman"/>
          <w:sz w:val="28"/>
        </w:rPr>
        <w:t>计量经济检验</w:t>
      </w:r>
    </w:p>
    <w:p w14:paraId="2C18E94C">
      <w:pPr>
        <w:spacing w:line="480" w:lineRule="exact"/>
        <w:ind w:firstLine="560" w:firstLineChars="200"/>
        <w:rPr>
          <w:rFonts w:eastAsia="楷体_GB2312"/>
          <w:sz w:val="28"/>
        </w:rPr>
      </w:pPr>
      <w:r>
        <w:rPr>
          <w:rFonts w:eastAsia="楷体_GB2312"/>
          <w:sz w:val="28"/>
        </w:rPr>
        <w:t>上述测算结果表明</w:t>
      </w:r>
      <w:r>
        <w:rPr>
          <w:rFonts w:hint="eastAsia" w:ascii="楷体" w:hAnsi="楷体" w:eastAsia="楷体" w:cs="宋体"/>
          <w:sz w:val="28"/>
        </w:rPr>
        <w:t>埇桥区</w:t>
      </w:r>
      <w:r>
        <w:rPr>
          <w:rFonts w:ascii="楷体" w:hAnsi="楷体" w:eastAsia="楷体" w:cs="宋体"/>
          <w:sz w:val="28"/>
        </w:rPr>
        <w:t>各乡镇镇区商服、住宅用地样点地价与其所在定级单元的总分值存在明显的正级差。模型回归揭示的样点地价空间变化规律符合</w:t>
      </w:r>
      <w:r>
        <w:rPr>
          <w:rFonts w:hint="eastAsia" w:ascii="楷体" w:hAnsi="楷体" w:eastAsia="楷体" w:cs="宋体"/>
          <w:sz w:val="28"/>
        </w:rPr>
        <w:t>埇桥区</w:t>
      </w:r>
      <w:r>
        <w:rPr>
          <w:rFonts w:eastAsia="楷体_GB2312"/>
          <w:sz w:val="28"/>
        </w:rPr>
        <w:t>各乡镇镇区样点地价空间变化的实际情况，因而计量经济检验说明模型回归结果有效，可作为级别基准地价确定的依据之一。</w:t>
      </w:r>
    </w:p>
    <w:p w14:paraId="46877FE9">
      <w:pPr>
        <w:pStyle w:val="20"/>
        <w:spacing w:line="480" w:lineRule="exact"/>
        <w:rPr>
          <w:rFonts w:ascii="Times New Roman" w:hAnsi="Times New Roman" w:eastAsia="黑体" w:cs="Times New Roman"/>
          <w:sz w:val="28"/>
        </w:rPr>
      </w:pPr>
      <w:r>
        <w:rPr>
          <w:rFonts w:ascii="Times New Roman" w:hAnsi="Times New Roman" w:eastAsia="黑体" w:cs="Times New Roman"/>
          <w:sz w:val="28"/>
        </w:rPr>
        <w:t>三、工矿仓储用地镇区基准地价的确定</w:t>
      </w:r>
    </w:p>
    <w:p w14:paraId="1EFB3FB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利用市场交易出让样点地价测算乡镇工矿仓储用地级别基准地价见下表：</w:t>
      </w:r>
    </w:p>
    <w:p w14:paraId="52AC012F">
      <w:pPr>
        <w:pStyle w:val="171"/>
        <w:spacing w:before="120" w:beforeLines="50" w:after="120" w:afterLines="50" w:line="480" w:lineRule="exact"/>
        <w:jc w:val="center"/>
        <w:rPr>
          <w:rFonts w:hint="eastAsia" w:ascii="Times New Roman" w:hAnsi="Times New Roman" w:eastAsia="黑体"/>
          <w:sz w:val="28"/>
          <w:szCs w:val="21"/>
        </w:rPr>
      </w:pPr>
    </w:p>
    <w:p w14:paraId="5195F4B8">
      <w:pPr>
        <w:pStyle w:val="171"/>
        <w:spacing w:before="120" w:beforeLines="50" w:after="120" w:afterLines="50" w:line="480" w:lineRule="exact"/>
        <w:jc w:val="center"/>
        <w:rPr>
          <w:rFonts w:ascii="Times New Roman" w:hAnsi="Times New Roman" w:eastAsia="黑体"/>
          <w:sz w:val="28"/>
          <w:szCs w:val="21"/>
        </w:rPr>
      </w:pPr>
      <w:r>
        <w:rPr>
          <w:rFonts w:ascii="Times New Roman" w:hAnsi="Times New Roman" w:eastAsia="黑体"/>
          <w:sz w:val="28"/>
          <w:szCs w:val="21"/>
        </w:rPr>
        <w:t>表2-5-</w:t>
      </w:r>
      <w:r>
        <w:rPr>
          <w:rFonts w:hint="eastAsia" w:ascii="Times New Roman" w:hAnsi="Times New Roman" w:eastAsia="黑体"/>
          <w:sz w:val="28"/>
          <w:szCs w:val="21"/>
        </w:rPr>
        <w:t>49</w:t>
      </w:r>
      <w:r>
        <w:rPr>
          <w:rFonts w:ascii="Times New Roman" w:hAnsi="Times New Roman" w:eastAsia="黑体"/>
          <w:sz w:val="28"/>
          <w:szCs w:val="21"/>
        </w:rPr>
        <w:t xml:space="preserve">  利用市场交易样点地价测算工矿仓储用地级别基准地价表</w:t>
      </w:r>
    </w:p>
    <w:p w14:paraId="7393C9E8">
      <w:pPr>
        <w:pStyle w:val="20"/>
        <w:jc w:val="right"/>
        <w:rPr>
          <w:rFonts w:ascii="Times New Roman" w:hAnsi="Times New Roman" w:eastAsia="楷体_GB2312" w:cs="Times New Roman"/>
        </w:rPr>
      </w:pPr>
      <w:r>
        <w:rPr>
          <w:rFonts w:ascii="Times New Roman" w:hAnsi="Times New Roman" w:eastAsia="楷体_GB2312" w:cs="Times New Roman"/>
        </w:rPr>
        <w:t>单位：个，元/m</w:t>
      </w:r>
      <w:r>
        <w:rPr>
          <w:rFonts w:ascii="Times New Roman" w:hAnsi="Times New Roman" w:eastAsia="楷体_GB2312" w:cs="Times New Roman"/>
          <w:vertAlign w:val="superscript"/>
        </w:rPr>
        <w:t>2</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121"/>
        <w:gridCol w:w="965"/>
        <w:gridCol w:w="1047"/>
        <w:gridCol w:w="1054"/>
        <w:gridCol w:w="1047"/>
        <w:gridCol w:w="1045"/>
        <w:gridCol w:w="1060"/>
        <w:gridCol w:w="1032"/>
      </w:tblGrid>
      <w:tr w14:paraId="4A04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atLeast"/>
          <w:jc w:val="center"/>
        </w:trPr>
        <w:tc>
          <w:tcPr>
            <w:tcW w:w="386" w:type="pct"/>
            <w:vMerge w:val="restart"/>
            <w:noWrap w:val="0"/>
            <w:vAlign w:val="center"/>
          </w:tcPr>
          <w:p w14:paraId="5A8C673B">
            <w:pPr>
              <w:jc w:val="center"/>
              <w:rPr>
                <w:rFonts w:eastAsia="楷体_GB2312"/>
                <w:kern w:val="0"/>
                <w:szCs w:val="21"/>
              </w:rPr>
            </w:pPr>
            <w:bookmarkStart w:id="86" w:name="_Toc500767419"/>
            <w:r>
              <w:rPr>
                <w:rFonts w:eastAsia="楷体_GB2312"/>
                <w:kern w:val="0"/>
                <w:szCs w:val="21"/>
              </w:rPr>
              <w:t>乡镇编号</w:t>
            </w:r>
          </w:p>
        </w:tc>
        <w:tc>
          <w:tcPr>
            <w:tcW w:w="618" w:type="pct"/>
            <w:vMerge w:val="restart"/>
            <w:noWrap w:val="0"/>
            <w:vAlign w:val="center"/>
          </w:tcPr>
          <w:p w14:paraId="0C1CC917">
            <w:pPr>
              <w:jc w:val="center"/>
              <w:rPr>
                <w:rFonts w:eastAsia="楷体_GB2312"/>
                <w:kern w:val="0"/>
                <w:szCs w:val="21"/>
              </w:rPr>
            </w:pPr>
            <w:r>
              <w:rPr>
                <w:rFonts w:eastAsia="楷体_GB2312"/>
                <w:kern w:val="0"/>
                <w:szCs w:val="21"/>
              </w:rPr>
              <w:t>乡镇名称</w:t>
            </w:r>
          </w:p>
        </w:tc>
        <w:tc>
          <w:tcPr>
            <w:tcW w:w="532" w:type="pct"/>
            <w:vMerge w:val="restart"/>
            <w:noWrap w:val="0"/>
            <w:vAlign w:val="center"/>
          </w:tcPr>
          <w:p w14:paraId="617CFDD0">
            <w:pPr>
              <w:spacing w:line="240" w:lineRule="exact"/>
              <w:jc w:val="center"/>
              <w:rPr>
                <w:rFonts w:eastAsia="楷体_GB2312"/>
                <w:kern w:val="0"/>
                <w:szCs w:val="21"/>
              </w:rPr>
            </w:pPr>
            <w:r>
              <w:rPr>
                <w:rFonts w:eastAsia="楷体_GB2312"/>
                <w:kern w:val="0"/>
                <w:szCs w:val="21"/>
              </w:rPr>
              <w:t>市场交易样点个数</w:t>
            </w:r>
          </w:p>
        </w:tc>
        <w:tc>
          <w:tcPr>
            <w:tcW w:w="1158" w:type="pct"/>
            <w:gridSpan w:val="2"/>
            <w:noWrap w:val="0"/>
            <w:vAlign w:val="center"/>
          </w:tcPr>
          <w:p w14:paraId="2232F7C1">
            <w:pPr>
              <w:spacing w:line="240" w:lineRule="exact"/>
              <w:jc w:val="center"/>
              <w:rPr>
                <w:rFonts w:eastAsia="楷体_GB2312"/>
                <w:kern w:val="0"/>
                <w:szCs w:val="21"/>
              </w:rPr>
            </w:pPr>
            <w:r>
              <w:rPr>
                <w:rFonts w:eastAsia="楷体_GB2312"/>
                <w:kern w:val="0"/>
                <w:szCs w:val="21"/>
              </w:rPr>
              <w:t>一级地</w:t>
            </w:r>
          </w:p>
        </w:tc>
        <w:tc>
          <w:tcPr>
            <w:tcW w:w="1153" w:type="pct"/>
            <w:gridSpan w:val="2"/>
            <w:noWrap w:val="0"/>
            <w:vAlign w:val="center"/>
          </w:tcPr>
          <w:p w14:paraId="11D7A786">
            <w:pPr>
              <w:spacing w:line="240" w:lineRule="exact"/>
              <w:jc w:val="center"/>
              <w:rPr>
                <w:rFonts w:eastAsia="楷体_GB2312"/>
                <w:kern w:val="0"/>
                <w:szCs w:val="21"/>
              </w:rPr>
            </w:pPr>
            <w:r>
              <w:rPr>
                <w:rFonts w:eastAsia="楷体_GB2312"/>
                <w:kern w:val="0"/>
                <w:szCs w:val="21"/>
              </w:rPr>
              <w:t>二级地</w:t>
            </w:r>
          </w:p>
        </w:tc>
        <w:tc>
          <w:tcPr>
            <w:tcW w:w="1153" w:type="pct"/>
            <w:gridSpan w:val="2"/>
            <w:noWrap w:val="0"/>
            <w:vAlign w:val="center"/>
          </w:tcPr>
          <w:p w14:paraId="5654E438">
            <w:pPr>
              <w:spacing w:line="240" w:lineRule="exact"/>
              <w:jc w:val="center"/>
              <w:rPr>
                <w:rFonts w:eastAsia="楷体_GB2312"/>
                <w:kern w:val="0"/>
                <w:szCs w:val="21"/>
              </w:rPr>
            </w:pPr>
            <w:r>
              <w:rPr>
                <w:rFonts w:eastAsia="楷体_GB2312"/>
                <w:kern w:val="0"/>
                <w:szCs w:val="21"/>
              </w:rPr>
              <w:t>三级地</w:t>
            </w:r>
          </w:p>
        </w:tc>
      </w:tr>
      <w:tr w14:paraId="6805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atLeast"/>
          <w:jc w:val="center"/>
        </w:trPr>
        <w:tc>
          <w:tcPr>
            <w:tcW w:w="386" w:type="pct"/>
            <w:vMerge w:val="continue"/>
            <w:noWrap w:val="0"/>
            <w:vAlign w:val="center"/>
          </w:tcPr>
          <w:p w14:paraId="3994D1C1">
            <w:pPr>
              <w:jc w:val="center"/>
              <w:rPr>
                <w:rFonts w:eastAsia="楷体_GB2312"/>
                <w:kern w:val="0"/>
                <w:szCs w:val="21"/>
              </w:rPr>
            </w:pPr>
          </w:p>
        </w:tc>
        <w:tc>
          <w:tcPr>
            <w:tcW w:w="618" w:type="pct"/>
            <w:vMerge w:val="continue"/>
            <w:noWrap w:val="0"/>
            <w:vAlign w:val="center"/>
          </w:tcPr>
          <w:p w14:paraId="0C153909">
            <w:pPr>
              <w:jc w:val="center"/>
              <w:rPr>
                <w:rFonts w:eastAsia="楷体_GB2312"/>
                <w:kern w:val="0"/>
                <w:szCs w:val="21"/>
              </w:rPr>
            </w:pPr>
          </w:p>
        </w:tc>
        <w:tc>
          <w:tcPr>
            <w:tcW w:w="532" w:type="pct"/>
            <w:vMerge w:val="continue"/>
            <w:noWrap w:val="0"/>
            <w:vAlign w:val="center"/>
          </w:tcPr>
          <w:p w14:paraId="5121650E">
            <w:pPr>
              <w:jc w:val="center"/>
              <w:rPr>
                <w:rFonts w:eastAsia="楷体_GB2312"/>
                <w:kern w:val="0"/>
                <w:szCs w:val="21"/>
              </w:rPr>
            </w:pPr>
          </w:p>
        </w:tc>
        <w:tc>
          <w:tcPr>
            <w:tcW w:w="577" w:type="pct"/>
            <w:noWrap w:val="0"/>
            <w:vAlign w:val="center"/>
          </w:tcPr>
          <w:p w14:paraId="6A709059">
            <w:pPr>
              <w:jc w:val="center"/>
              <w:rPr>
                <w:rFonts w:eastAsia="楷体_GB2312"/>
                <w:kern w:val="0"/>
                <w:szCs w:val="21"/>
              </w:rPr>
            </w:pPr>
            <w:r>
              <w:rPr>
                <w:rFonts w:eastAsia="楷体_GB2312"/>
                <w:kern w:val="0"/>
                <w:szCs w:val="21"/>
              </w:rPr>
              <w:t>参算数</w:t>
            </w:r>
          </w:p>
        </w:tc>
        <w:tc>
          <w:tcPr>
            <w:tcW w:w="581" w:type="pct"/>
            <w:noWrap w:val="0"/>
            <w:vAlign w:val="center"/>
          </w:tcPr>
          <w:p w14:paraId="0B7F866B">
            <w:pPr>
              <w:jc w:val="center"/>
              <w:rPr>
                <w:rFonts w:eastAsia="楷体_GB2312"/>
                <w:kern w:val="0"/>
                <w:szCs w:val="21"/>
              </w:rPr>
            </w:pPr>
            <w:r>
              <w:rPr>
                <w:rFonts w:eastAsia="楷体_GB2312"/>
                <w:kern w:val="0"/>
                <w:szCs w:val="21"/>
              </w:rPr>
              <w:t>平均地价</w:t>
            </w:r>
          </w:p>
        </w:tc>
        <w:tc>
          <w:tcPr>
            <w:tcW w:w="577" w:type="pct"/>
            <w:noWrap w:val="0"/>
            <w:vAlign w:val="center"/>
          </w:tcPr>
          <w:p w14:paraId="08A166EB">
            <w:pPr>
              <w:jc w:val="center"/>
              <w:rPr>
                <w:rFonts w:eastAsia="楷体_GB2312"/>
                <w:kern w:val="0"/>
                <w:szCs w:val="21"/>
              </w:rPr>
            </w:pPr>
            <w:r>
              <w:rPr>
                <w:rFonts w:eastAsia="楷体_GB2312"/>
                <w:kern w:val="0"/>
                <w:szCs w:val="21"/>
              </w:rPr>
              <w:t>参算数</w:t>
            </w:r>
          </w:p>
        </w:tc>
        <w:tc>
          <w:tcPr>
            <w:tcW w:w="576" w:type="pct"/>
            <w:noWrap w:val="0"/>
            <w:vAlign w:val="center"/>
          </w:tcPr>
          <w:p w14:paraId="59C6E47F">
            <w:pPr>
              <w:jc w:val="center"/>
              <w:rPr>
                <w:rFonts w:eastAsia="楷体_GB2312"/>
                <w:kern w:val="0"/>
                <w:szCs w:val="21"/>
              </w:rPr>
            </w:pPr>
            <w:r>
              <w:rPr>
                <w:rFonts w:eastAsia="楷体_GB2312"/>
                <w:kern w:val="0"/>
                <w:szCs w:val="21"/>
              </w:rPr>
              <w:t>平均地价</w:t>
            </w:r>
          </w:p>
        </w:tc>
        <w:tc>
          <w:tcPr>
            <w:tcW w:w="584" w:type="pct"/>
            <w:noWrap w:val="0"/>
            <w:vAlign w:val="center"/>
          </w:tcPr>
          <w:p w14:paraId="79C74CDA">
            <w:pPr>
              <w:jc w:val="center"/>
              <w:rPr>
                <w:rFonts w:eastAsia="楷体_GB2312"/>
                <w:kern w:val="0"/>
                <w:szCs w:val="21"/>
              </w:rPr>
            </w:pPr>
            <w:r>
              <w:rPr>
                <w:rFonts w:eastAsia="楷体_GB2312"/>
                <w:kern w:val="0"/>
                <w:szCs w:val="21"/>
              </w:rPr>
              <w:t>参算数</w:t>
            </w:r>
          </w:p>
        </w:tc>
        <w:tc>
          <w:tcPr>
            <w:tcW w:w="569" w:type="pct"/>
            <w:noWrap w:val="0"/>
            <w:vAlign w:val="center"/>
          </w:tcPr>
          <w:p w14:paraId="28659781">
            <w:pPr>
              <w:jc w:val="center"/>
              <w:rPr>
                <w:rFonts w:eastAsia="楷体_GB2312"/>
                <w:kern w:val="0"/>
                <w:szCs w:val="21"/>
              </w:rPr>
            </w:pPr>
            <w:r>
              <w:rPr>
                <w:rFonts w:eastAsia="楷体_GB2312"/>
                <w:kern w:val="0"/>
                <w:szCs w:val="21"/>
              </w:rPr>
              <w:t>平均地价</w:t>
            </w:r>
          </w:p>
        </w:tc>
      </w:tr>
      <w:tr w14:paraId="42DBC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386" w:type="pct"/>
            <w:noWrap w:val="0"/>
            <w:vAlign w:val="center"/>
          </w:tcPr>
          <w:p w14:paraId="6C21610C">
            <w:pPr>
              <w:jc w:val="center"/>
              <w:rPr>
                <w:rFonts w:eastAsia="楷体_GB2312"/>
                <w:kern w:val="0"/>
                <w:sz w:val="22"/>
                <w:szCs w:val="22"/>
              </w:rPr>
            </w:pPr>
            <w:r>
              <w:rPr>
                <w:rFonts w:eastAsia="楷体_GB2312"/>
                <w:kern w:val="0"/>
                <w:sz w:val="22"/>
                <w:szCs w:val="22"/>
              </w:rPr>
              <w:t>1</w:t>
            </w:r>
          </w:p>
        </w:tc>
        <w:tc>
          <w:tcPr>
            <w:tcW w:w="618" w:type="pct"/>
            <w:noWrap w:val="0"/>
            <w:vAlign w:val="center"/>
          </w:tcPr>
          <w:p w14:paraId="1FE3591A">
            <w:pPr>
              <w:jc w:val="center"/>
              <w:rPr>
                <w:rFonts w:eastAsia="楷体_GB2312"/>
                <w:kern w:val="0"/>
                <w:szCs w:val="21"/>
              </w:rPr>
            </w:pPr>
            <w:r>
              <w:rPr>
                <w:rFonts w:eastAsia="楷体_GB2312"/>
                <w:kern w:val="0"/>
                <w:szCs w:val="21"/>
              </w:rPr>
              <w:t>符离镇</w:t>
            </w:r>
          </w:p>
        </w:tc>
        <w:tc>
          <w:tcPr>
            <w:tcW w:w="532" w:type="pct"/>
            <w:noWrap w:val="0"/>
            <w:vAlign w:val="center"/>
          </w:tcPr>
          <w:p w14:paraId="08CB7E6D">
            <w:pPr>
              <w:jc w:val="center"/>
              <w:rPr>
                <w:rFonts w:eastAsia="楷体_GB2312"/>
                <w:kern w:val="0"/>
                <w:szCs w:val="21"/>
              </w:rPr>
            </w:pPr>
            <w:r>
              <w:rPr>
                <w:rFonts w:eastAsia="楷体_GB2312"/>
                <w:kern w:val="0"/>
                <w:szCs w:val="21"/>
              </w:rPr>
              <w:t>9</w:t>
            </w:r>
          </w:p>
        </w:tc>
        <w:tc>
          <w:tcPr>
            <w:tcW w:w="577" w:type="pct"/>
            <w:noWrap w:val="0"/>
            <w:vAlign w:val="center"/>
          </w:tcPr>
          <w:p w14:paraId="0082C72B">
            <w:pPr>
              <w:jc w:val="center"/>
              <w:rPr>
                <w:rFonts w:eastAsia="楷体_GB2312"/>
                <w:kern w:val="0"/>
                <w:sz w:val="22"/>
                <w:szCs w:val="22"/>
              </w:rPr>
            </w:pPr>
            <w:r>
              <w:rPr>
                <w:rFonts w:eastAsia="楷体_GB2312"/>
                <w:kern w:val="0"/>
                <w:sz w:val="22"/>
                <w:szCs w:val="22"/>
              </w:rPr>
              <w:t>1</w:t>
            </w:r>
          </w:p>
        </w:tc>
        <w:tc>
          <w:tcPr>
            <w:tcW w:w="581" w:type="pct"/>
            <w:noWrap w:val="0"/>
            <w:vAlign w:val="center"/>
          </w:tcPr>
          <w:p w14:paraId="59210FA3">
            <w:pPr>
              <w:jc w:val="center"/>
              <w:rPr>
                <w:rFonts w:eastAsia="楷体_GB2312"/>
                <w:kern w:val="0"/>
                <w:sz w:val="22"/>
                <w:szCs w:val="22"/>
              </w:rPr>
            </w:pPr>
            <w:r>
              <w:rPr>
                <w:rFonts w:eastAsia="楷体_GB2312"/>
                <w:kern w:val="0"/>
                <w:sz w:val="22"/>
                <w:szCs w:val="22"/>
              </w:rPr>
              <w:t>230</w:t>
            </w:r>
          </w:p>
        </w:tc>
        <w:tc>
          <w:tcPr>
            <w:tcW w:w="577" w:type="pct"/>
            <w:noWrap w:val="0"/>
            <w:vAlign w:val="center"/>
          </w:tcPr>
          <w:p w14:paraId="20A8B8DC">
            <w:pPr>
              <w:jc w:val="center"/>
              <w:rPr>
                <w:rFonts w:eastAsia="楷体_GB2312"/>
                <w:kern w:val="0"/>
                <w:sz w:val="22"/>
                <w:szCs w:val="22"/>
              </w:rPr>
            </w:pPr>
            <w:r>
              <w:rPr>
                <w:rFonts w:eastAsia="楷体_GB2312"/>
                <w:kern w:val="0"/>
                <w:sz w:val="22"/>
                <w:szCs w:val="22"/>
              </w:rPr>
              <w:t>3</w:t>
            </w:r>
          </w:p>
        </w:tc>
        <w:tc>
          <w:tcPr>
            <w:tcW w:w="576" w:type="pct"/>
            <w:noWrap w:val="0"/>
            <w:vAlign w:val="center"/>
          </w:tcPr>
          <w:p w14:paraId="15A5139B">
            <w:pPr>
              <w:jc w:val="center"/>
              <w:rPr>
                <w:rFonts w:eastAsia="楷体_GB2312"/>
                <w:kern w:val="0"/>
                <w:sz w:val="22"/>
                <w:szCs w:val="22"/>
              </w:rPr>
            </w:pPr>
            <w:r>
              <w:rPr>
                <w:rFonts w:eastAsia="楷体_GB2312"/>
                <w:kern w:val="0"/>
                <w:sz w:val="22"/>
                <w:szCs w:val="22"/>
              </w:rPr>
              <w:t>185</w:t>
            </w:r>
          </w:p>
        </w:tc>
        <w:tc>
          <w:tcPr>
            <w:tcW w:w="584" w:type="pct"/>
            <w:noWrap w:val="0"/>
            <w:vAlign w:val="center"/>
          </w:tcPr>
          <w:p w14:paraId="0C4D85FF">
            <w:pPr>
              <w:jc w:val="center"/>
              <w:rPr>
                <w:rFonts w:eastAsia="楷体_GB2312"/>
                <w:kern w:val="0"/>
                <w:sz w:val="22"/>
                <w:szCs w:val="22"/>
              </w:rPr>
            </w:pPr>
            <w:r>
              <w:rPr>
                <w:rFonts w:eastAsia="楷体_GB2312"/>
                <w:kern w:val="0"/>
                <w:sz w:val="22"/>
                <w:szCs w:val="22"/>
              </w:rPr>
              <w:t>5</w:t>
            </w:r>
          </w:p>
        </w:tc>
        <w:tc>
          <w:tcPr>
            <w:tcW w:w="569" w:type="pct"/>
            <w:noWrap w:val="0"/>
            <w:vAlign w:val="center"/>
          </w:tcPr>
          <w:p w14:paraId="726D2C7A">
            <w:pPr>
              <w:jc w:val="center"/>
              <w:rPr>
                <w:rFonts w:eastAsia="楷体_GB2312"/>
                <w:kern w:val="0"/>
                <w:sz w:val="22"/>
                <w:szCs w:val="22"/>
              </w:rPr>
            </w:pPr>
            <w:r>
              <w:rPr>
                <w:rFonts w:eastAsia="楷体_GB2312"/>
                <w:kern w:val="0"/>
                <w:sz w:val="22"/>
                <w:szCs w:val="22"/>
              </w:rPr>
              <w:t>144</w:t>
            </w:r>
          </w:p>
        </w:tc>
      </w:tr>
      <w:tr w14:paraId="62669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386" w:type="pct"/>
            <w:noWrap w:val="0"/>
            <w:vAlign w:val="center"/>
          </w:tcPr>
          <w:p w14:paraId="4548D2A9">
            <w:pPr>
              <w:jc w:val="center"/>
              <w:rPr>
                <w:rFonts w:eastAsia="楷体_GB2312"/>
                <w:kern w:val="0"/>
                <w:sz w:val="22"/>
                <w:szCs w:val="22"/>
              </w:rPr>
            </w:pPr>
            <w:r>
              <w:rPr>
                <w:rFonts w:eastAsia="楷体_GB2312"/>
                <w:kern w:val="0"/>
                <w:sz w:val="22"/>
                <w:szCs w:val="22"/>
              </w:rPr>
              <w:t>2</w:t>
            </w:r>
          </w:p>
        </w:tc>
        <w:tc>
          <w:tcPr>
            <w:tcW w:w="618" w:type="pct"/>
            <w:noWrap w:val="0"/>
            <w:vAlign w:val="center"/>
          </w:tcPr>
          <w:p w14:paraId="078A0602">
            <w:pPr>
              <w:jc w:val="center"/>
              <w:rPr>
                <w:rFonts w:eastAsia="楷体_GB2312"/>
                <w:kern w:val="0"/>
                <w:szCs w:val="21"/>
              </w:rPr>
            </w:pPr>
            <w:r>
              <w:rPr>
                <w:rFonts w:eastAsia="楷体_GB2312"/>
                <w:kern w:val="0"/>
                <w:szCs w:val="21"/>
              </w:rPr>
              <w:t>朱仙庄镇</w:t>
            </w:r>
          </w:p>
        </w:tc>
        <w:tc>
          <w:tcPr>
            <w:tcW w:w="532" w:type="pct"/>
            <w:noWrap w:val="0"/>
            <w:vAlign w:val="center"/>
          </w:tcPr>
          <w:p w14:paraId="6BD7C540">
            <w:pPr>
              <w:jc w:val="center"/>
              <w:rPr>
                <w:rFonts w:eastAsia="楷体_GB2312"/>
                <w:kern w:val="0"/>
                <w:szCs w:val="21"/>
              </w:rPr>
            </w:pPr>
            <w:r>
              <w:rPr>
                <w:rFonts w:eastAsia="楷体_GB2312"/>
                <w:kern w:val="0"/>
                <w:szCs w:val="21"/>
              </w:rPr>
              <w:t>4</w:t>
            </w:r>
          </w:p>
        </w:tc>
        <w:tc>
          <w:tcPr>
            <w:tcW w:w="577" w:type="pct"/>
            <w:noWrap w:val="0"/>
            <w:vAlign w:val="center"/>
          </w:tcPr>
          <w:p w14:paraId="23240C29">
            <w:pPr>
              <w:jc w:val="center"/>
              <w:rPr>
                <w:rFonts w:eastAsia="楷体_GB2312"/>
                <w:kern w:val="0"/>
                <w:sz w:val="22"/>
                <w:szCs w:val="22"/>
              </w:rPr>
            </w:pPr>
            <w:r>
              <w:rPr>
                <w:rFonts w:eastAsia="楷体_GB2312"/>
                <w:kern w:val="0"/>
                <w:sz w:val="22"/>
                <w:szCs w:val="22"/>
              </w:rPr>
              <w:t>1</w:t>
            </w:r>
          </w:p>
        </w:tc>
        <w:tc>
          <w:tcPr>
            <w:tcW w:w="581" w:type="pct"/>
            <w:noWrap w:val="0"/>
            <w:vAlign w:val="center"/>
          </w:tcPr>
          <w:p w14:paraId="7A81F82C">
            <w:pPr>
              <w:jc w:val="center"/>
              <w:rPr>
                <w:rFonts w:eastAsia="楷体_GB2312"/>
                <w:kern w:val="0"/>
                <w:sz w:val="22"/>
                <w:szCs w:val="22"/>
              </w:rPr>
            </w:pPr>
            <w:r>
              <w:rPr>
                <w:rFonts w:eastAsia="楷体_GB2312"/>
                <w:kern w:val="0"/>
                <w:sz w:val="22"/>
                <w:szCs w:val="22"/>
              </w:rPr>
              <w:t>200</w:t>
            </w:r>
          </w:p>
        </w:tc>
        <w:tc>
          <w:tcPr>
            <w:tcW w:w="577" w:type="pct"/>
            <w:noWrap w:val="0"/>
            <w:vAlign w:val="center"/>
          </w:tcPr>
          <w:p w14:paraId="13C8C8B6">
            <w:pPr>
              <w:jc w:val="center"/>
              <w:rPr>
                <w:rFonts w:eastAsia="楷体_GB2312"/>
                <w:kern w:val="0"/>
                <w:sz w:val="22"/>
                <w:szCs w:val="22"/>
              </w:rPr>
            </w:pPr>
            <w:r>
              <w:rPr>
                <w:rFonts w:eastAsia="楷体_GB2312"/>
                <w:kern w:val="0"/>
                <w:sz w:val="22"/>
                <w:szCs w:val="22"/>
              </w:rPr>
              <w:t>1</w:t>
            </w:r>
          </w:p>
        </w:tc>
        <w:tc>
          <w:tcPr>
            <w:tcW w:w="576" w:type="pct"/>
            <w:noWrap w:val="0"/>
            <w:vAlign w:val="center"/>
          </w:tcPr>
          <w:p w14:paraId="7269BFE7">
            <w:pPr>
              <w:jc w:val="center"/>
              <w:rPr>
                <w:rFonts w:eastAsia="楷体_GB2312"/>
                <w:kern w:val="0"/>
                <w:sz w:val="22"/>
                <w:szCs w:val="22"/>
              </w:rPr>
            </w:pPr>
            <w:r>
              <w:rPr>
                <w:rFonts w:eastAsia="楷体_GB2312"/>
                <w:kern w:val="0"/>
                <w:sz w:val="22"/>
                <w:szCs w:val="22"/>
              </w:rPr>
              <w:t>170</w:t>
            </w:r>
          </w:p>
        </w:tc>
        <w:tc>
          <w:tcPr>
            <w:tcW w:w="584" w:type="pct"/>
            <w:noWrap w:val="0"/>
            <w:vAlign w:val="center"/>
          </w:tcPr>
          <w:p w14:paraId="070904FF">
            <w:pPr>
              <w:jc w:val="center"/>
              <w:rPr>
                <w:rFonts w:eastAsia="楷体_GB2312"/>
                <w:kern w:val="0"/>
                <w:sz w:val="22"/>
                <w:szCs w:val="22"/>
              </w:rPr>
            </w:pPr>
            <w:r>
              <w:rPr>
                <w:rFonts w:eastAsia="楷体_GB2312"/>
                <w:kern w:val="0"/>
                <w:sz w:val="22"/>
                <w:szCs w:val="22"/>
              </w:rPr>
              <w:t>2</w:t>
            </w:r>
          </w:p>
        </w:tc>
        <w:tc>
          <w:tcPr>
            <w:tcW w:w="569" w:type="pct"/>
            <w:noWrap w:val="0"/>
            <w:vAlign w:val="center"/>
          </w:tcPr>
          <w:p w14:paraId="0F0E906B">
            <w:pPr>
              <w:jc w:val="center"/>
              <w:rPr>
                <w:rFonts w:eastAsia="楷体_GB2312"/>
                <w:kern w:val="0"/>
                <w:sz w:val="22"/>
                <w:szCs w:val="22"/>
              </w:rPr>
            </w:pPr>
            <w:r>
              <w:rPr>
                <w:rFonts w:eastAsia="楷体_GB2312"/>
                <w:kern w:val="0"/>
                <w:sz w:val="22"/>
                <w:szCs w:val="22"/>
              </w:rPr>
              <w:t>144</w:t>
            </w:r>
          </w:p>
        </w:tc>
      </w:tr>
      <w:tr w14:paraId="53A15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386" w:type="pct"/>
            <w:noWrap w:val="0"/>
            <w:vAlign w:val="center"/>
          </w:tcPr>
          <w:p w14:paraId="5C19188B">
            <w:pPr>
              <w:jc w:val="center"/>
              <w:rPr>
                <w:rFonts w:eastAsia="楷体_GB2312"/>
                <w:kern w:val="0"/>
                <w:sz w:val="22"/>
                <w:szCs w:val="22"/>
              </w:rPr>
            </w:pPr>
            <w:r>
              <w:rPr>
                <w:rFonts w:eastAsia="楷体_GB2312"/>
                <w:kern w:val="0"/>
                <w:sz w:val="22"/>
                <w:szCs w:val="22"/>
              </w:rPr>
              <w:t>3</w:t>
            </w:r>
          </w:p>
        </w:tc>
        <w:tc>
          <w:tcPr>
            <w:tcW w:w="618" w:type="pct"/>
            <w:noWrap w:val="0"/>
            <w:vAlign w:val="center"/>
          </w:tcPr>
          <w:p w14:paraId="4688D9C9">
            <w:pPr>
              <w:jc w:val="center"/>
              <w:rPr>
                <w:rFonts w:eastAsia="楷体_GB2312"/>
                <w:kern w:val="0"/>
                <w:szCs w:val="21"/>
              </w:rPr>
            </w:pPr>
            <w:r>
              <w:rPr>
                <w:rFonts w:eastAsia="楷体_GB2312"/>
                <w:kern w:val="0"/>
                <w:szCs w:val="21"/>
              </w:rPr>
              <w:t>蕲县镇</w:t>
            </w:r>
          </w:p>
        </w:tc>
        <w:tc>
          <w:tcPr>
            <w:tcW w:w="532" w:type="pct"/>
            <w:noWrap w:val="0"/>
            <w:vAlign w:val="center"/>
          </w:tcPr>
          <w:p w14:paraId="1DA06CE3">
            <w:pPr>
              <w:jc w:val="center"/>
              <w:rPr>
                <w:rFonts w:eastAsia="楷体_GB2312"/>
                <w:kern w:val="0"/>
                <w:szCs w:val="21"/>
              </w:rPr>
            </w:pPr>
            <w:r>
              <w:rPr>
                <w:rFonts w:eastAsia="楷体_GB2312"/>
                <w:kern w:val="0"/>
                <w:szCs w:val="21"/>
              </w:rPr>
              <w:t>0</w:t>
            </w:r>
          </w:p>
        </w:tc>
        <w:tc>
          <w:tcPr>
            <w:tcW w:w="577" w:type="pct"/>
            <w:noWrap w:val="0"/>
            <w:vAlign w:val="center"/>
          </w:tcPr>
          <w:p w14:paraId="3835BE26">
            <w:pPr>
              <w:jc w:val="center"/>
              <w:rPr>
                <w:rFonts w:eastAsia="楷体_GB2312"/>
                <w:kern w:val="0"/>
                <w:sz w:val="22"/>
                <w:szCs w:val="22"/>
              </w:rPr>
            </w:pPr>
            <w:r>
              <w:rPr>
                <w:rFonts w:eastAsia="楷体_GB2312"/>
                <w:kern w:val="0"/>
                <w:sz w:val="22"/>
                <w:szCs w:val="22"/>
              </w:rPr>
              <w:t>0</w:t>
            </w:r>
          </w:p>
        </w:tc>
        <w:tc>
          <w:tcPr>
            <w:tcW w:w="581" w:type="pct"/>
            <w:noWrap w:val="0"/>
            <w:vAlign w:val="center"/>
          </w:tcPr>
          <w:p w14:paraId="3E2607DF">
            <w:pPr>
              <w:jc w:val="center"/>
              <w:rPr>
                <w:rFonts w:eastAsia="楷体_GB2312"/>
                <w:kern w:val="0"/>
                <w:sz w:val="22"/>
                <w:szCs w:val="22"/>
              </w:rPr>
            </w:pPr>
            <w:r>
              <w:rPr>
                <w:rFonts w:eastAsia="楷体_GB2312"/>
                <w:kern w:val="0"/>
                <w:sz w:val="22"/>
                <w:szCs w:val="22"/>
              </w:rPr>
              <w:t>/</w:t>
            </w:r>
          </w:p>
        </w:tc>
        <w:tc>
          <w:tcPr>
            <w:tcW w:w="577" w:type="pct"/>
            <w:noWrap w:val="0"/>
            <w:vAlign w:val="center"/>
          </w:tcPr>
          <w:p w14:paraId="380AEF3B">
            <w:pPr>
              <w:jc w:val="center"/>
              <w:rPr>
                <w:rFonts w:eastAsia="楷体_GB2312"/>
                <w:kern w:val="0"/>
                <w:sz w:val="22"/>
                <w:szCs w:val="22"/>
              </w:rPr>
            </w:pPr>
            <w:r>
              <w:rPr>
                <w:rFonts w:eastAsia="楷体_GB2312"/>
                <w:kern w:val="0"/>
                <w:sz w:val="22"/>
                <w:szCs w:val="22"/>
              </w:rPr>
              <w:t>0</w:t>
            </w:r>
          </w:p>
        </w:tc>
        <w:tc>
          <w:tcPr>
            <w:tcW w:w="576" w:type="pct"/>
            <w:noWrap w:val="0"/>
            <w:vAlign w:val="center"/>
          </w:tcPr>
          <w:p w14:paraId="2F262866">
            <w:pPr>
              <w:jc w:val="center"/>
              <w:rPr>
                <w:rFonts w:eastAsia="楷体_GB2312"/>
                <w:kern w:val="0"/>
                <w:sz w:val="22"/>
                <w:szCs w:val="22"/>
              </w:rPr>
            </w:pPr>
            <w:r>
              <w:rPr>
                <w:rFonts w:eastAsia="楷体_GB2312"/>
                <w:kern w:val="0"/>
                <w:sz w:val="22"/>
                <w:szCs w:val="22"/>
              </w:rPr>
              <w:t>/</w:t>
            </w:r>
          </w:p>
        </w:tc>
        <w:tc>
          <w:tcPr>
            <w:tcW w:w="584" w:type="pct"/>
            <w:noWrap w:val="0"/>
            <w:vAlign w:val="center"/>
          </w:tcPr>
          <w:p w14:paraId="03E801D5">
            <w:pPr>
              <w:jc w:val="center"/>
              <w:rPr>
                <w:rFonts w:eastAsia="楷体_GB2312"/>
                <w:kern w:val="0"/>
                <w:sz w:val="22"/>
                <w:szCs w:val="22"/>
              </w:rPr>
            </w:pPr>
            <w:r>
              <w:rPr>
                <w:rFonts w:eastAsia="楷体_GB2312"/>
                <w:kern w:val="0"/>
                <w:sz w:val="22"/>
                <w:szCs w:val="22"/>
              </w:rPr>
              <w:t>0</w:t>
            </w:r>
          </w:p>
        </w:tc>
        <w:tc>
          <w:tcPr>
            <w:tcW w:w="569" w:type="pct"/>
            <w:noWrap w:val="0"/>
            <w:vAlign w:val="center"/>
          </w:tcPr>
          <w:p w14:paraId="0839734F">
            <w:pPr>
              <w:jc w:val="center"/>
              <w:rPr>
                <w:rFonts w:eastAsia="楷体_GB2312"/>
                <w:kern w:val="0"/>
                <w:sz w:val="22"/>
                <w:szCs w:val="22"/>
              </w:rPr>
            </w:pPr>
            <w:r>
              <w:rPr>
                <w:rFonts w:eastAsia="楷体_GB2312"/>
                <w:kern w:val="0"/>
                <w:sz w:val="22"/>
                <w:szCs w:val="22"/>
              </w:rPr>
              <w:t>/</w:t>
            </w:r>
          </w:p>
        </w:tc>
      </w:tr>
      <w:tr w14:paraId="68516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3457E8DE">
            <w:pPr>
              <w:jc w:val="center"/>
              <w:rPr>
                <w:rFonts w:eastAsia="楷体_GB2312"/>
                <w:kern w:val="0"/>
                <w:sz w:val="22"/>
                <w:szCs w:val="22"/>
              </w:rPr>
            </w:pPr>
            <w:r>
              <w:rPr>
                <w:rFonts w:eastAsia="楷体_GB2312"/>
                <w:kern w:val="0"/>
                <w:sz w:val="22"/>
                <w:szCs w:val="22"/>
              </w:rPr>
              <w:t>4</w:t>
            </w:r>
          </w:p>
        </w:tc>
        <w:tc>
          <w:tcPr>
            <w:tcW w:w="618" w:type="pct"/>
            <w:noWrap w:val="0"/>
            <w:vAlign w:val="center"/>
          </w:tcPr>
          <w:p w14:paraId="443D720D">
            <w:pPr>
              <w:jc w:val="center"/>
              <w:rPr>
                <w:rFonts w:eastAsia="楷体_GB2312"/>
                <w:kern w:val="0"/>
                <w:szCs w:val="21"/>
              </w:rPr>
            </w:pPr>
            <w:r>
              <w:rPr>
                <w:rFonts w:eastAsia="楷体_GB2312"/>
                <w:kern w:val="0"/>
                <w:szCs w:val="21"/>
              </w:rPr>
              <w:t>芦岭镇</w:t>
            </w:r>
          </w:p>
        </w:tc>
        <w:tc>
          <w:tcPr>
            <w:tcW w:w="532" w:type="pct"/>
            <w:noWrap w:val="0"/>
            <w:vAlign w:val="center"/>
          </w:tcPr>
          <w:p w14:paraId="2ADF96C4">
            <w:pPr>
              <w:jc w:val="center"/>
              <w:rPr>
                <w:rFonts w:eastAsia="楷体_GB2312"/>
                <w:kern w:val="0"/>
                <w:szCs w:val="21"/>
              </w:rPr>
            </w:pPr>
            <w:r>
              <w:rPr>
                <w:rFonts w:eastAsia="楷体_GB2312"/>
                <w:kern w:val="0"/>
                <w:szCs w:val="21"/>
              </w:rPr>
              <w:t>1</w:t>
            </w:r>
          </w:p>
        </w:tc>
        <w:tc>
          <w:tcPr>
            <w:tcW w:w="577" w:type="pct"/>
            <w:noWrap w:val="0"/>
            <w:vAlign w:val="center"/>
          </w:tcPr>
          <w:p w14:paraId="295EB0CA">
            <w:pPr>
              <w:jc w:val="center"/>
              <w:rPr>
                <w:rFonts w:eastAsia="楷体_GB2312"/>
                <w:kern w:val="0"/>
                <w:sz w:val="22"/>
                <w:szCs w:val="22"/>
              </w:rPr>
            </w:pPr>
            <w:r>
              <w:rPr>
                <w:rFonts w:eastAsia="楷体_GB2312"/>
                <w:kern w:val="0"/>
                <w:sz w:val="22"/>
                <w:szCs w:val="22"/>
              </w:rPr>
              <w:t>0</w:t>
            </w:r>
          </w:p>
        </w:tc>
        <w:tc>
          <w:tcPr>
            <w:tcW w:w="581" w:type="pct"/>
            <w:noWrap w:val="0"/>
            <w:vAlign w:val="center"/>
          </w:tcPr>
          <w:p w14:paraId="4B1967B6">
            <w:pPr>
              <w:jc w:val="center"/>
              <w:rPr>
                <w:rFonts w:eastAsia="楷体_GB2312"/>
                <w:kern w:val="0"/>
                <w:sz w:val="22"/>
                <w:szCs w:val="22"/>
              </w:rPr>
            </w:pPr>
            <w:r>
              <w:rPr>
                <w:rFonts w:eastAsia="楷体_GB2312"/>
                <w:kern w:val="0"/>
                <w:sz w:val="22"/>
                <w:szCs w:val="22"/>
              </w:rPr>
              <w:t>/</w:t>
            </w:r>
          </w:p>
        </w:tc>
        <w:tc>
          <w:tcPr>
            <w:tcW w:w="577" w:type="pct"/>
            <w:noWrap w:val="0"/>
            <w:vAlign w:val="center"/>
          </w:tcPr>
          <w:p w14:paraId="013E602C">
            <w:pPr>
              <w:jc w:val="center"/>
              <w:rPr>
                <w:rFonts w:eastAsia="楷体_GB2312"/>
                <w:kern w:val="0"/>
                <w:sz w:val="22"/>
                <w:szCs w:val="22"/>
              </w:rPr>
            </w:pPr>
            <w:r>
              <w:rPr>
                <w:rFonts w:eastAsia="楷体_GB2312"/>
                <w:kern w:val="0"/>
                <w:sz w:val="22"/>
                <w:szCs w:val="22"/>
              </w:rPr>
              <w:t>0</w:t>
            </w:r>
          </w:p>
        </w:tc>
        <w:tc>
          <w:tcPr>
            <w:tcW w:w="576" w:type="pct"/>
            <w:noWrap w:val="0"/>
            <w:vAlign w:val="center"/>
          </w:tcPr>
          <w:p w14:paraId="498DA049">
            <w:pPr>
              <w:jc w:val="center"/>
              <w:rPr>
                <w:rFonts w:eastAsia="楷体_GB2312"/>
                <w:kern w:val="0"/>
                <w:sz w:val="22"/>
                <w:szCs w:val="22"/>
              </w:rPr>
            </w:pPr>
            <w:r>
              <w:rPr>
                <w:rFonts w:eastAsia="楷体_GB2312"/>
                <w:kern w:val="0"/>
                <w:sz w:val="22"/>
                <w:szCs w:val="22"/>
              </w:rPr>
              <w:t>/</w:t>
            </w:r>
          </w:p>
        </w:tc>
        <w:tc>
          <w:tcPr>
            <w:tcW w:w="584" w:type="pct"/>
            <w:noWrap w:val="0"/>
            <w:vAlign w:val="center"/>
          </w:tcPr>
          <w:p w14:paraId="7AFF76FD">
            <w:pPr>
              <w:jc w:val="center"/>
              <w:rPr>
                <w:rFonts w:eastAsia="楷体_GB2312"/>
                <w:kern w:val="0"/>
                <w:sz w:val="22"/>
                <w:szCs w:val="22"/>
              </w:rPr>
            </w:pPr>
            <w:r>
              <w:rPr>
                <w:rFonts w:eastAsia="楷体_GB2312"/>
                <w:kern w:val="0"/>
                <w:sz w:val="22"/>
                <w:szCs w:val="22"/>
              </w:rPr>
              <w:t>1</w:t>
            </w:r>
          </w:p>
        </w:tc>
        <w:tc>
          <w:tcPr>
            <w:tcW w:w="569" w:type="pct"/>
            <w:noWrap w:val="0"/>
            <w:vAlign w:val="center"/>
          </w:tcPr>
          <w:p w14:paraId="0805DC36">
            <w:pPr>
              <w:jc w:val="center"/>
              <w:rPr>
                <w:rFonts w:eastAsia="楷体_GB2312"/>
                <w:kern w:val="0"/>
                <w:sz w:val="22"/>
                <w:szCs w:val="22"/>
              </w:rPr>
            </w:pPr>
            <w:r>
              <w:rPr>
                <w:rFonts w:eastAsia="楷体_GB2312"/>
                <w:kern w:val="0"/>
                <w:sz w:val="22"/>
                <w:szCs w:val="22"/>
              </w:rPr>
              <w:t>144</w:t>
            </w:r>
          </w:p>
        </w:tc>
      </w:tr>
      <w:tr w14:paraId="5AF01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2EF4E995">
            <w:pPr>
              <w:jc w:val="center"/>
              <w:rPr>
                <w:rFonts w:eastAsia="楷体_GB2312"/>
                <w:kern w:val="0"/>
                <w:sz w:val="22"/>
                <w:szCs w:val="22"/>
              </w:rPr>
            </w:pPr>
            <w:r>
              <w:rPr>
                <w:rFonts w:eastAsia="楷体_GB2312"/>
                <w:kern w:val="0"/>
                <w:sz w:val="22"/>
                <w:szCs w:val="22"/>
              </w:rPr>
              <w:t>5</w:t>
            </w:r>
          </w:p>
        </w:tc>
        <w:tc>
          <w:tcPr>
            <w:tcW w:w="618" w:type="pct"/>
            <w:noWrap w:val="0"/>
            <w:vAlign w:val="center"/>
          </w:tcPr>
          <w:p w14:paraId="2FDBDC6C">
            <w:pPr>
              <w:jc w:val="center"/>
              <w:rPr>
                <w:rFonts w:eastAsia="楷体_GB2312"/>
                <w:kern w:val="0"/>
                <w:szCs w:val="21"/>
              </w:rPr>
            </w:pPr>
            <w:r>
              <w:rPr>
                <w:rFonts w:eastAsia="楷体_GB2312"/>
                <w:kern w:val="0"/>
                <w:szCs w:val="21"/>
              </w:rPr>
              <w:t>大店镇</w:t>
            </w:r>
          </w:p>
        </w:tc>
        <w:tc>
          <w:tcPr>
            <w:tcW w:w="532" w:type="pct"/>
            <w:noWrap w:val="0"/>
            <w:vAlign w:val="center"/>
          </w:tcPr>
          <w:p w14:paraId="25E5105B">
            <w:pPr>
              <w:jc w:val="center"/>
              <w:rPr>
                <w:rFonts w:eastAsia="楷体_GB2312"/>
                <w:kern w:val="0"/>
                <w:szCs w:val="21"/>
              </w:rPr>
            </w:pPr>
            <w:r>
              <w:rPr>
                <w:rFonts w:eastAsia="楷体_GB2312"/>
                <w:kern w:val="0"/>
                <w:szCs w:val="21"/>
              </w:rPr>
              <w:t>1</w:t>
            </w:r>
          </w:p>
        </w:tc>
        <w:tc>
          <w:tcPr>
            <w:tcW w:w="577" w:type="pct"/>
            <w:noWrap w:val="0"/>
            <w:vAlign w:val="center"/>
          </w:tcPr>
          <w:p w14:paraId="015B2B78">
            <w:pPr>
              <w:jc w:val="center"/>
              <w:rPr>
                <w:rFonts w:eastAsia="楷体_GB2312"/>
                <w:kern w:val="0"/>
                <w:sz w:val="22"/>
                <w:szCs w:val="22"/>
              </w:rPr>
            </w:pPr>
            <w:r>
              <w:rPr>
                <w:rFonts w:eastAsia="楷体_GB2312"/>
                <w:kern w:val="0"/>
                <w:sz w:val="22"/>
                <w:szCs w:val="22"/>
              </w:rPr>
              <w:t>0</w:t>
            </w:r>
          </w:p>
        </w:tc>
        <w:tc>
          <w:tcPr>
            <w:tcW w:w="581" w:type="pct"/>
            <w:noWrap w:val="0"/>
            <w:vAlign w:val="center"/>
          </w:tcPr>
          <w:p w14:paraId="68B23E8B">
            <w:pPr>
              <w:jc w:val="center"/>
              <w:rPr>
                <w:rFonts w:eastAsia="楷体_GB2312"/>
              </w:rPr>
            </w:pPr>
            <w:r>
              <w:rPr>
                <w:rFonts w:eastAsia="楷体_GB2312"/>
                <w:kern w:val="0"/>
                <w:sz w:val="22"/>
                <w:szCs w:val="22"/>
              </w:rPr>
              <w:t>/</w:t>
            </w:r>
          </w:p>
        </w:tc>
        <w:tc>
          <w:tcPr>
            <w:tcW w:w="577" w:type="pct"/>
            <w:noWrap w:val="0"/>
            <w:vAlign w:val="center"/>
          </w:tcPr>
          <w:p w14:paraId="2E5B398D">
            <w:pPr>
              <w:jc w:val="center"/>
              <w:rPr>
                <w:rFonts w:eastAsia="楷体_GB2312"/>
                <w:kern w:val="0"/>
                <w:sz w:val="22"/>
                <w:szCs w:val="22"/>
              </w:rPr>
            </w:pPr>
            <w:r>
              <w:rPr>
                <w:rFonts w:eastAsia="楷体_GB2312"/>
                <w:kern w:val="0"/>
                <w:sz w:val="22"/>
                <w:szCs w:val="22"/>
              </w:rPr>
              <w:t>1</w:t>
            </w:r>
          </w:p>
        </w:tc>
        <w:tc>
          <w:tcPr>
            <w:tcW w:w="576" w:type="pct"/>
            <w:noWrap w:val="0"/>
            <w:vAlign w:val="center"/>
          </w:tcPr>
          <w:p w14:paraId="6935D918">
            <w:pPr>
              <w:jc w:val="center"/>
              <w:rPr>
                <w:rFonts w:eastAsia="楷体_GB2312"/>
                <w:kern w:val="0"/>
                <w:sz w:val="22"/>
                <w:szCs w:val="22"/>
              </w:rPr>
            </w:pPr>
            <w:r>
              <w:rPr>
                <w:rFonts w:eastAsia="楷体_GB2312"/>
                <w:kern w:val="0"/>
                <w:sz w:val="22"/>
                <w:szCs w:val="22"/>
              </w:rPr>
              <w:t>155</w:t>
            </w:r>
          </w:p>
        </w:tc>
        <w:tc>
          <w:tcPr>
            <w:tcW w:w="584" w:type="pct"/>
            <w:noWrap w:val="0"/>
            <w:vAlign w:val="center"/>
          </w:tcPr>
          <w:p w14:paraId="603937E6">
            <w:pPr>
              <w:jc w:val="center"/>
              <w:rPr>
                <w:rFonts w:eastAsia="楷体_GB2312"/>
                <w:kern w:val="0"/>
                <w:sz w:val="22"/>
                <w:szCs w:val="22"/>
              </w:rPr>
            </w:pPr>
            <w:r>
              <w:rPr>
                <w:rFonts w:eastAsia="楷体_GB2312"/>
                <w:kern w:val="0"/>
                <w:sz w:val="22"/>
                <w:szCs w:val="22"/>
              </w:rPr>
              <w:t>0</w:t>
            </w:r>
          </w:p>
        </w:tc>
        <w:tc>
          <w:tcPr>
            <w:tcW w:w="569" w:type="pct"/>
            <w:noWrap w:val="0"/>
            <w:vAlign w:val="center"/>
          </w:tcPr>
          <w:p w14:paraId="031F5C9F">
            <w:pPr>
              <w:jc w:val="center"/>
              <w:rPr>
                <w:rFonts w:eastAsia="楷体_GB2312"/>
                <w:kern w:val="0"/>
                <w:sz w:val="22"/>
                <w:szCs w:val="22"/>
              </w:rPr>
            </w:pPr>
            <w:r>
              <w:rPr>
                <w:rFonts w:eastAsia="楷体_GB2312"/>
                <w:kern w:val="0"/>
                <w:sz w:val="22"/>
                <w:szCs w:val="22"/>
              </w:rPr>
              <w:t>/</w:t>
            </w:r>
          </w:p>
        </w:tc>
      </w:tr>
      <w:tr w14:paraId="2E99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279B4ADE">
            <w:pPr>
              <w:jc w:val="center"/>
              <w:rPr>
                <w:rFonts w:eastAsia="楷体_GB2312"/>
                <w:kern w:val="0"/>
                <w:sz w:val="22"/>
                <w:szCs w:val="22"/>
              </w:rPr>
            </w:pPr>
            <w:r>
              <w:rPr>
                <w:rFonts w:eastAsia="楷体_GB2312"/>
                <w:kern w:val="0"/>
                <w:sz w:val="22"/>
                <w:szCs w:val="22"/>
              </w:rPr>
              <w:t>6</w:t>
            </w:r>
          </w:p>
        </w:tc>
        <w:tc>
          <w:tcPr>
            <w:tcW w:w="618" w:type="pct"/>
            <w:noWrap w:val="0"/>
            <w:vAlign w:val="center"/>
          </w:tcPr>
          <w:p w14:paraId="007A2B27">
            <w:pPr>
              <w:jc w:val="center"/>
              <w:rPr>
                <w:rFonts w:eastAsia="楷体_GB2312"/>
                <w:kern w:val="0"/>
                <w:szCs w:val="21"/>
              </w:rPr>
            </w:pPr>
            <w:r>
              <w:rPr>
                <w:rFonts w:eastAsia="楷体_GB2312"/>
                <w:kern w:val="0"/>
                <w:szCs w:val="21"/>
              </w:rPr>
              <w:t>栏杆镇</w:t>
            </w:r>
          </w:p>
        </w:tc>
        <w:tc>
          <w:tcPr>
            <w:tcW w:w="532" w:type="pct"/>
            <w:noWrap w:val="0"/>
            <w:vAlign w:val="center"/>
          </w:tcPr>
          <w:p w14:paraId="16945523">
            <w:pPr>
              <w:jc w:val="center"/>
              <w:rPr>
                <w:rFonts w:eastAsia="楷体_GB2312"/>
                <w:kern w:val="0"/>
                <w:szCs w:val="21"/>
              </w:rPr>
            </w:pPr>
            <w:r>
              <w:rPr>
                <w:rFonts w:eastAsia="楷体_GB2312"/>
                <w:kern w:val="0"/>
                <w:szCs w:val="21"/>
              </w:rPr>
              <w:t>2</w:t>
            </w:r>
          </w:p>
        </w:tc>
        <w:tc>
          <w:tcPr>
            <w:tcW w:w="577" w:type="pct"/>
            <w:noWrap w:val="0"/>
            <w:vAlign w:val="center"/>
          </w:tcPr>
          <w:p w14:paraId="7175EF0A">
            <w:pPr>
              <w:jc w:val="center"/>
              <w:rPr>
                <w:rFonts w:eastAsia="楷体_GB2312"/>
              </w:rPr>
            </w:pPr>
            <w:r>
              <w:rPr>
                <w:rFonts w:eastAsia="楷体_GB2312"/>
                <w:kern w:val="0"/>
                <w:sz w:val="22"/>
                <w:szCs w:val="22"/>
              </w:rPr>
              <w:t>0</w:t>
            </w:r>
          </w:p>
        </w:tc>
        <w:tc>
          <w:tcPr>
            <w:tcW w:w="581" w:type="pct"/>
            <w:noWrap w:val="0"/>
            <w:vAlign w:val="center"/>
          </w:tcPr>
          <w:p w14:paraId="46711643">
            <w:pPr>
              <w:jc w:val="center"/>
              <w:rPr>
                <w:rFonts w:eastAsia="楷体_GB2312"/>
              </w:rPr>
            </w:pPr>
            <w:r>
              <w:rPr>
                <w:rFonts w:eastAsia="楷体_GB2312"/>
                <w:kern w:val="0"/>
                <w:sz w:val="22"/>
                <w:szCs w:val="22"/>
              </w:rPr>
              <w:t>/</w:t>
            </w:r>
          </w:p>
        </w:tc>
        <w:tc>
          <w:tcPr>
            <w:tcW w:w="577" w:type="pct"/>
            <w:noWrap w:val="0"/>
            <w:vAlign w:val="center"/>
          </w:tcPr>
          <w:p w14:paraId="40C49DA6">
            <w:pPr>
              <w:jc w:val="center"/>
              <w:rPr>
                <w:rFonts w:eastAsia="楷体_GB2312"/>
                <w:kern w:val="0"/>
                <w:sz w:val="22"/>
                <w:szCs w:val="22"/>
              </w:rPr>
            </w:pPr>
            <w:r>
              <w:rPr>
                <w:rFonts w:eastAsia="楷体_GB2312"/>
                <w:kern w:val="0"/>
                <w:sz w:val="22"/>
                <w:szCs w:val="22"/>
              </w:rPr>
              <w:t>1</w:t>
            </w:r>
          </w:p>
        </w:tc>
        <w:tc>
          <w:tcPr>
            <w:tcW w:w="576" w:type="pct"/>
            <w:noWrap w:val="0"/>
            <w:vAlign w:val="center"/>
          </w:tcPr>
          <w:p w14:paraId="3AC8BF93">
            <w:pPr>
              <w:jc w:val="center"/>
              <w:rPr>
                <w:rFonts w:eastAsia="楷体_GB2312"/>
                <w:kern w:val="0"/>
                <w:sz w:val="22"/>
                <w:szCs w:val="22"/>
              </w:rPr>
            </w:pPr>
            <w:r>
              <w:rPr>
                <w:rFonts w:eastAsia="楷体_GB2312"/>
                <w:kern w:val="0"/>
                <w:sz w:val="22"/>
                <w:szCs w:val="22"/>
              </w:rPr>
              <w:t>170</w:t>
            </w:r>
          </w:p>
        </w:tc>
        <w:tc>
          <w:tcPr>
            <w:tcW w:w="584" w:type="pct"/>
            <w:noWrap w:val="0"/>
            <w:vAlign w:val="center"/>
          </w:tcPr>
          <w:p w14:paraId="2F4FD676">
            <w:pPr>
              <w:jc w:val="center"/>
              <w:rPr>
                <w:rFonts w:eastAsia="楷体_GB2312"/>
                <w:kern w:val="0"/>
                <w:sz w:val="22"/>
                <w:szCs w:val="22"/>
              </w:rPr>
            </w:pPr>
            <w:r>
              <w:rPr>
                <w:rFonts w:eastAsia="楷体_GB2312"/>
                <w:kern w:val="0"/>
                <w:sz w:val="22"/>
                <w:szCs w:val="22"/>
              </w:rPr>
              <w:t>1</w:t>
            </w:r>
          </w:p>
        </w:tc>
        <w:tc>
          <w:tcPr>
            <w:tcW w:w="569" w:type="pct"/>
            <w:noWrap w:val="0"/>
            <w:vAlign w:val="center"/>
          </w:tcPr>
          <w:p w14:paraId="240504E2">
            <w:pPr>
              <w:jc w:val="center"/>
              <w:rPr>
                <w:rFonts w:eastAsia="楷体_GB2312"/>
                <w:kern w:val="0"/>
                <w:sz w:val="22"/>
                <w:szCs w:val="22"/>
              </w:rPr>
            </w:pPr>
            <w:r>
              <w:rPr>
                <w:rFonts w:eastAsia="楷体_GB2312"/>
                <w:kern w:val="0"/>
                <w:sz w:val="22"/>
                <w:szCs w:val="22"/>
              </w:rPr>
              <w:t>144</w:t>
            </w:r>
          </w:p>
        </w:tc>
      </w:tr>
      <w:tr w14:paraId="5EA08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0AFFDD82">
            <w:pPr>
              <w:jc w:val="center"/>
              <w:rPr>
                <w:rFonts w:eastAsia="楷体_GB2312"/>
                <w:kern w:val="0"/>
                <w:sz w:val="22"/>
                <w:szCs w:val="22"/>
              </w:rPr>
            </w:pPr>
            <w:r>
              <w:rPr>
                <w:rFonts w:eastAsia="楷体_GB2312"/>
                <w:kern w:val="0"/>
                <w:sz w:val="22"/>
                <w:szCs w:val="22"/>
              </w:rPr>
              <w:t>7</w:t>
            </w:r>
          </w:p>
        </w:tc>
        <w:tc>
          <w:tcPr>
            <w:tcW w:w="618" w:type="pct"/>
            <w:noWrap w:val="0"/>
            <w:vAlign w:val="center"/>
          </w:tcPr>
          <w:p w14:paraId="427EEE80">
            <w:pPr>
              <w:jc w:val="center"/>
              <w:rPr>
                <w:rFonts w:eastAsia="楷体_GB2312"/>
                <w:kern w:val="0"/>
                <w:szCs w:val="21"/>
              </w:rPr>
            </w:pPr>
            <w:r>
              <w:rPr>
                <w:rFonts w:eastAsia="楷体_GB2312"/>
                <w:kern w:val="0"/>
                <w:szCs w:val="21"/>
              </w:rPr>
              <w:t>时村镇</w:t>
            </w:r>
          </w:p>
        </w:tc>
        <w:tc>
          <w:tcPr>
            <w:tcW w:w="532" w:type="pct"/>
            <w:noWrap w:val="0"/>
            <w:vAlign w:val="center"/>
          </w:tcPr>
          <w:p w14:paraId="6B74FBA1">
            <w:pPr>
              <w:jc w:val="center"/>
              <w:rPr>
                <w:rFonts w:eastAsia="楷体_GB2312"/>
                <w:kern w:val="0"/>
                <w:szCs w:val="21"/>
              </w:rPr>
            </w:pPr>
            <w:r>
              <w:rPr>
                <w:rFonts w:eastAsia="楷体_GB2312"/>
                <w:kern w:val="0"/>
                <w:szCs w:val="21"/>
              </w:rPr>
              <w:t>1</w:t>
            </w:r>
          </w:p>
        </w:tc>
        <w:tc>
          <w:tcPr>
            <w:tcW w:w="577" w:type="pct"/>
            <w:noWrap w:val="0"/>
            <w:vAlign w:val="center"/>
          </w:tcPr>
          <w:p w14:paraId="4051BE89">
            <w:pPr>
              <w:jc w:val="center"/>
              <w:rPr>
                <w:rFonts w:eastAsia="楷体_GB2312"/>
              </w:rPr>
            </w:pPr>
            <w:r>
              <w:rPr>
                <w:rFonts w:eastAsia="楷体_GB2312"/>
                <w:kern w:val="0"/>
                <w:sz w:val="22"/>
                <w:szCs w:val="22"/>
              </w:rPr>
              <w:t>0</w:t>
            </w:r>
          </w:p>
        </w:tc>
        <w:tc>
          <w:tcPr>
            <w:tcW w:w="581" w:type="pct"/>
            <w:noWrap w:val="0"/>
            <w:vAlign w:val="center"/>
          </w:tcPr>
          <w:p w14:paraId="2EC631B0">
            <w:pPr>
              <w:jc w:val="center"/>
              <w:rPr>
                <w:rFonts w:eastAsia="楷体_GB2312"/>
              </w:rPr>
            </w:pPr>
            <w:r>
              <w:rPr>
                <w:rFonts w:eastAsia="楷体_GB2312"/>
                <w:kern w:val="0"/>
                <w:sz w:val="22"/>
                <w:szCs w:val="22"/>
              </w:rPr>
              <w:t>/</w:t>
            </w:r>
          </w:p>
        </w:tc>
        <w:tc>
          <w:tcPr>
            <w:tcW w:w="577" w:type="pct"/>
            <w:noWrap w:val="0"/>
            <w:vAlign w:val="center"/>
          </w:tcPr>
          <w:p w14:paraId="726B6FF7">
            <w:pPr>
              <w:jc w:val="center"/>
              <w:rPr>
                <w:rFonts w:eastAsia="楷体_GB2312"/>
                <w:kern w:val="0"/>
                <w:szCs w:val="21"/>
              </w:rPr>
            </w:pPr>
            <w:r>
              <w:rPr>
                <w:rFonts w:eastAsia="楷体_GB2312"/>
                <w:kern w:val="0"/>
                <w:szCs w:val="21"/>
              </w:rPr>
              <w:t>1</w:t>
            </w:r>
          </w:p>
        </w:tc>
        <w:tc>
          <w:tcPr>
            <w:tcW w:w="576" w:type="pct"/>
            <w:noWrap w:val="0"/>
            <w:vAlign w:val="center"/>
          </w:tcPr>
          <w:p w14:paraId="6212AA45">
            <w:pPr>
              <w:jc w:val="center"/>
              <w:rPr>
                <w:rFonts w:eastAsia="楷体_GB2312"/>
                <w:kern w:val="0"/>
                <w:sz w:val="22"/>
                <w:szCs w:val="22"/>
              </w:rPr>
            </w:pPr>
            <w:r>
              <w:rPr>
                <w:rFonts w:eastAsia="楷体_GB2312"/>
                <w:kern w:val="0"/>
                <w:sz w:val="22"/>
                <w:szCs w:val="22"/>
              </w:rPr>
              <w:t>170</w:t>
            </w:r>
          </w:p>
        </w:tc>
        <w:tc>
          <w:tcPr>
            <w:tcW w:w="584" w:type="pct"/>
            <w:noWrap w:val="0"/>
            <w:vAlign w:val="center"/>
          </w:tcPr>
          <w:p w14:paraId="508408BA">
            <w:pPr>
              <w:jc w:val="center"/>
              <w:rPr>
                <w:rFonts w:eastAsia="楷体_GB2312"/>
              </w:rPr>
            </w:pPr>
            <w:r>
              <w:rPr>
                <w:rFonts w:eastAsia="楷体_GB2312"/>
                <w:kern w:val="0"/>
                <w:sz w:val="22"/>
                <w:szCs w:val="22"/>
              </w:rPr>
              <w:t>0</w:t>
            </w:r>
          </w:p>
        </w:tc>
        <w:tc>
          <w:tcPr>
            <w:tcW w:w="569" w:type="pct"/>
            <w:noWrap w:val="0"/>
            <w:vAlign w:val="center"/>
          </w:tcPr>
          <w:p w14:paraId="62B88261">
            <w:pPr>
              <w:jc w:val="center"/>
              <w:rPr>
                <w:rFonts w:eastAsia="楷体_GB2312"/>
              </w:rPr>
            </w:pPr>
            <w:r>
              <w:rPr>
                <w:rFonts w:eastAsia="楷体_GB2312"/>
                <w:kern w:val="0"/>
                <w:sz w:val="22"/>
                <w:szCs w:val="22"/>
              </w:rPr>
              <w:t>/</w:t>
            </w:r>
          </w:p>
        </w:tc>
      </w:tr>
      <w:tr w14:paraId="701E9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525A237E">
            <w:pPr>
              <w:jc w:val="center"/>
              <w:rPr>
                <w:rFonts w:eastAsia="楷体_GB2312"/>
                <w:kern w:val="0"/>
                <w:sz w:val="22"/>
                <w:szCs w:val="22"/>
              </w:rPr>
            </w:pPr>
            <w:r>
              <w:rPr>
                <w:rFonts w:eastAsia="楷体_GB2312"/>
                <w:kern w:val="0"/>
                <w:sz w:val="22"/>
                <w:szCs w:val="22"/>
              </w:rPr>
              <w:t>8</w:t>
            </w:r>
          </w:p>
        </w:tc>
        <w:tc>
          <w:tcPr>
            <w:tcW w:w="618" w:type="pct"/>
            <w:noWrap w:val="0"/>
            <w:vAlign w:val="center"/>
          </w:tcPr>
          <w:p w14:paraId="7338E766">
            <w:pPr>
              <w:jc w:val="center"/>
              <w:rPr>
                <w:rFonts w:eastAsia="楷体_GB2312"/>
                <w:kern w:val="0"/>
                <w:szCs w:val="21"/>
              </w:rPr>
            </w:pPr>
            <w:r>
              <w:rPr>
                <w:rFonts w:eastAsia="楷体_GB2312"/>
                <w:kern w:val="0"/>
                <w:szCs w:val="21"/>
              </w:rPr>
              <w:t>夹沟镇</w:t>
            </w:r>
          </w:p>
        </w:tc>
        <w:tc>
          <w:tcPr>
            <w:tcW w:w="532" w:type="pct"/>
            <w:noWrap w:val="0"/>
            <w:vAlign w:val="center"/>
          </w:tcPr>
          <w:p w14:paraId="10BE275F">
            <w:pPr>
              <w:jc w:val="center"/>
              <w:rPr>
                <w:rFonts w:eastAsia="楷体_GB2312"/>
                <w:kern w:val="0"/>
                <w:szCs w:val="21"/>
              </w:rPr>
            </w:pPr>
            <w:r>
              <w:rPr>
                <w:rFonts w:eastAsia="楷体_GB2312"/>
                <w:kern w:val="0"/>
                <w:szCs w:val="21"/>
              </w:rPr>
              <w:t>1</w:t>
            </w:r>
          </w:p>
        </w:tc>
        <w:tc>
          <w:tcPr>
            <w:tcW w:w="577" w:type="pct"/>
            <w:noWrap w:val="0"/>
            <w:vAlign w:val="center"/>
          </w:tcPr>
          <w:p w14:paraId="15DF42A9">
            <w:pPr>
              <w:jc w:val="center"/>
              <w:rPr>
                <w:rFonts w:eastAsia="楷体_GB2312"/>
              </w:rPr>
            </w:pPr>
            <w:r>
              <w:rPr>
                <w:rFonts w:eastAsia="楷体_GB2312"/>
                <w:kern w:val="0"/>
                <w:sz w:val="22"/>
                <w:szCs w:val="22"/>
              </w:rPr>
              <w:t>0</w:t>
            </w:r>
          </w:p>
        </w:tc>
        <w:tc>
          <w:tcPr>
            <w:tcW w:w="581" w:type="pct"/>
            <w:noWrap w:val="0"/>
            <w:vAlign w:val="center"/>
          </w:tcPr>
          <w:p w14:paraId="67CCA572">
            <w:pPr>
              <w:jc w:val="center"/>
              <w:rPr>
                <w:rFonts w:eastAsia="楷体_GB2312"/>
              </w:rPr>
            </w:pPr>
            <w:r>
              <w:rPr>
                <w:rFonts w:eastAsia="楷体_GB2312"/>
                <w:kern w:val="0"/>
                <w:sz w:val="22"/>
                <w:szCs w:val="22"/>
              </w:rPr>
              <w:t>/</w:t>
            </w:r>
          </w:p>
        </w:tc>
        <w:tc>
          <w:tcPr>
            <w:tcW w:w="577" w:type="pct"/>
            <w:noWrap w:val="0"/>
            <w:vAlign w:val="center"/>
          </w:tcPr>
          <w:p w14:paraId="236E58D6">
            <w:pPr>
              <w:jc w:val="center"/>
              <w:rPr>
                <w:rFonts w:eastAsia="楷体_GB2312"/>
                <w:kern w:val="0"/>
                <w:szCs w:val="21"/>
              </w:rPr>
            </w:pPr>
            <w:r>
              <w:rPr>
                <w:rFonts w:eastAsia="楷体_GB2312"/>
                <w:kern w:val="0"/>
                <w:szCs w:val="21"/>
              </w:rPr>
              <w:t>1</w:t>
            </w:r>
          </w:p>
        </w:tc>
        <w:tc>
          <w:tcPr>
            <w:tcW w:w="576" w:type="pct"/>
            <w:noWrap w:val="0"/>
            <w:vAlign w:val="center"/>
          </w:tcPr>
          <w:p w14:paraId="7C65DFCE">
            <w:pPr>
              <w:jc w:val="center"/>
              <w:rPr>
                <w:rFonts w:eastAsia="楷体_GB2312"/>
                <w:kern w:val="0"/>
                <w:sz w:val="22"/>
                <w:szCs w:val="22"/>
              </w:rPr>
            </w:pPr>
            <w:r>
              <w:rPr>
                <w:rFonts w:eastAsia="楷体_GB2312"/>
                <w:kern w:val="0"/>
                <w:sz w:val="22"/>
                <w:szCs w:val="22"/>
              </w:rPr>
              <w:t>155</w:t>
            </w:r>
          </w:p>
        </w:tc>
        <w:tc>
          <w:tcPr>
            <w:tcW w:w="584" w:type="pct"/>
            <w:noWrap w:val="0"/>
            <w:vAlign w:val="center"/>
          </w:tcPr>
          <w:p w14:paraId="203DF9FC">
            <w:pPr>
              <w:jc w:val="center"/>
              <w:rPr>
                <w:rFonts w:eastAsia="楷体_GB2312"/>
              </w:rPr>
            </w:pPr>
            <w:r>
              <w:rPr>
                <w:rFonts w:eastAsia="楷体_GB2312"/>
                <w:kern w:val="0"/>
                <w:sz w:val="22"/>
                <w:szCs w:val="22"/>
              </w:rPr>
              <w:t>0</w:t>
            </w:r>
          </w:p>
        </w:tc>
        <w:tc>
          <w:tcPr>
            <w:tcW w:w="569" w:type="pct"/>
            <w:noWrap w:val="0"/>
            <w:vAlign w:val="center"/>
          </w:tcPr>
          <w:p w14:paraId="5CF1DB5A">
            <w:pPr>
              <w:jc w:val="center"/>
              <w:rPr>
                <w:rFonts w:eastAsia="楷体_GB2312"/>
              </w:rPr>
            </w:pPr>
            <w:r>
              <w:rPr>
                <w:rFonts w:eastAsia="楷体_GB2312"/>
                <w:kern w:val="0"/>
                <w:sz w:val="22"/>
                <w:szCs w:val="22"/>
              </w:rPr>
              <w:t>/</w:t>
            </w:r>
          </w:p>
        </w:tc>
      </w:tr>
      <w:tr w14:paraId="468F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25A3B294">
            <w:pPr>
              <w:jc w:val="center"/>
              <w:rPr>
                <w:rFonts w:eastAsia="楷体_GB2312"/>
                <w:kern w:val="0"/>
                <w:sz w:val="22"/>
                <w:szCs w:val="22"/>
              </w:rPr>
            </w:pPr>
            <w:r>
              <w:rPr>
                <w:rFonts w:eastAsia="楷体_GB2312"/>
                <w:kern w:val="0"/>
                <w:sz w:val="22"/>
                <w:szCs w:val="22"/>
              </w:rPr>
              <w:t>9</w:t>
            </w:r>
          </w:p>
        </w:tc>
        <w:tc>
          <w:tcPr>
            <w:tcW w:w="618" w:type="pct"/>
            <w:noWrap w:val="0"/>
            <w:vAlign w:val="center"/>
          </w:tcPr>
          <w:p w14:paraId="7B352F90">
            <w:pPr>
              <w:jc w:val="center"/>
              <w:rPr>
                <w:rFonts w:eastAsia="楷体_GB2312"/>
                <w:kern w:val="0"/>
                <w:szCs w:val="21"/>
              </w:rPr>
            </w:pPr>
            <w:r>
              <w:rPr>
                <w:rFonts w:eastAsia="楷体_GB2312"/>
                <w:kern w:val="0"/>
                <w:szCs w:val="21"/>
              </w:rPr>
              <w:t>西二铺乡</w:t>
            </w:r>
          </w:p>
        </w:tc>
        <w:tc>
          <w:tcPr>
            <w:tcW w:w="532" w:type="pct"/>
            <w:noWrap w:val="0"/>
            <w:vAlign w:val="center"/>
          </w:tcPr>
          <w:p w14:paraId="7D43489C">
            <w:pPr>
              <w:jc w:val="center"/>
              <w:rPr>
                <w:rFonts w:eastAsia="楷体_GB2312"/>
                <w:kern w:val="0"/>
                <w:szCs w:val="21"/>
              </w:rPr>
            </w:pPr>
            <w:r>
              <w:rPr>
                <w:rFonts w:eastAsia="楷体_GB2312"/>
                <w:kern w:val="0"/>
                <w:szCs w:val="21"/>
              </w:rPr>
              <w:t>0</w:t>
            </w:r>
          </w:p>
        </w:tc>
        <w:tc>
          <w:tcPr>
            <w:tcW w:w="577" w:type="pct"/>
            <w:noWrap w:val="0"/>
            <w:vAlign w:val="center"/>
          </w:tcPr>
          <w:p w14:paraId="03D2E32C">
            <w:pPr>
              <w:jc w:val="center"/>
              <w:rPr>
                <w:rFonts w:eastAsia="楷体_GB2312"/>
              </w:rPr>
            </w:pPr>
            <w:r>
              <w:rPr>
                <w:rFonts w:eastAsia="楷体_GB2312"/>
                <w:kern w:val="0"/>
                <w:sz w:val="22"/>
                <w:szCs w:val="22"/>
              </w:rPr>
              <w:t>0</w:t>
            </w:r>
          </w:p>
        </w:tc>
        <w:tc>
          <w:tcPr>
            <w:tcW w:w="581" w:type="pct"/>
            <w:noWrap w:val="0"/>
            <w:vAlign w:val="center"/>
          </w:tcPr>
          <w:p w14:paraId="2506EA5C">
            <w:pPr>
              <w:jc w:val="center"/>
              <w:rPr>
                <w:rFonts w:eastAsia="楷体_GB2312"/>
              </w:rPr>
            </w:pPr>
            <w:r>
              <w:rPr>
                <w:rFonts w:eastAsia="楷体_GB2312"/>
                <w:kern w:val="0"/>
                <w:sz w:val="22"/>
                <w:szCs w:val="22"/>
              </w:rPr>
              <w:t>/</w:t>
            </w:r>
          </w:p>
        </w:tc>
        <w:tc>
          <w:tcPr>
            <w:tcW w:w="577" w:type="pct"/>
            <w:noWrap w:val="0"/>
            <w:vAlign w:val="center"/>
          </w:tcPr>
          <w:p w14:paraId="22B5AE57">
            <w:pPr>
              <w:jc w:val="center"/>
              <w:rPr>
                <w:rFonts w:eastAsia="楷体_GB2312"/>
              </w:rPr>
            </w:pPr>
            <w:r>
              <w:rPr>
                <w:rFonts w:eastAsia="楷体_GB2312"/>
                <w:kern w:val="0"/>
                <w:sz w:val="22"/>
                <w:szCs w:val="22"/>
              </w:rPr>
              <w:t>0</w:t>
            </w:r>
          </w:p>
        </w:tc>
        <w:tc>
          <w:tcPr>
            <w:tcW w:w="576" w:type="pct"/>
            <w:noWrap w:val="0"/>
            <w:vAlign w:val="center"/>
          </w:tcPr>
          <w:p w14:paraId="7FFCF2BB">
            <w:pPr>
              <w:jc w:val="center"/>
              <w:rPr>
                <w:rFonts w:eastAsia="楷体_GB2312"/>
              </w:rPr>
            </w:pPr>
            <w:r>
              <w:rPr>
                <w:rFonts w:eastAsia="楷体_GB2312"/>
                <w:kern w:val="0"/>
                <w:sz w:val="22"/>
                <w:szCs w:val="22"/>
              </w:rPr>
              <w:t>/</w:t>
            </w:r>
          </w:p>
        </w:tc>
        <w:tc>
          <w:tcPr>
            <w:tcW w:w="584" w:type="pct"/>
            <w:noWrap w:val="0"/>
            <w:vAlign w:val="center"/>
          </w:tcPr>
          <w:p w14:paraId="007CB249">
            <w:pPr>
              <w:jc w:val="center"/>
              <w:rPr>
                <w:rFonts w:eastAsia="楷体_GB2312"/>
              </w:rPr>
            </w:pPr>
            <w:r>
              <w:rPr>
                <w:rFonts w:eastAsia="楷体_GB2312"/>
                <w:kern w:val="0"/>
                <w:sz w:val="22"/>
                <w:szCs w:val="22"/>
              </w:rPr>
              <w:t>0</w:t>
            </w:r>
          </w:p>
        </w:tc>
        <w:tc>
          <w:tcPr>
            <w:tcW w:w="569" w:type="pct"/>
            <w:noWrap w:val="0"/>
            <w:vAlign w:val="center"/>
          </w:tcPr>
          <w:p w14:paraId="4A22F856">
            <w:pPr>
              <w:jc w:val="center"/>
              <w:rPr>
                <w:rFonts w:eastAsia="楷体_GB2312"/>
              </w:rPr>
            </w:pPr>
            <w:r>
              <w:rPr>
                <w:rFonts w:eastAsia="楷体_GB2312"/>
                <w:kern w:val="0"/>
                <w:sz w:val="22"/>
                <w:szCs w:val="22"/>
              </w:rPr>
              <w:t>/</w:t>
            </w:r>
          </w:p>
        </w:tc>
      </w:tr>
      <w:tr w14:paraId="331A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4510FE71">
            <w:pPr>
              <w:jc w:val="center"/>
              <w:rPr>
                <w:rFonts w:eastAsia="楷体_GB2312"/>
                <w:kern w:val="0"/>
                <w:sz w:val="22"/>
                <w:szCs w:val="22"/>
              </w:rPr>
            </w:pPr>
            <w:r>
              <w:rPr>
                <w:rFonts w:eastAsia="楷体_GB2312"/>
                <w:kern w:val="0"/>
                <w:sz w:val="22"/>
                <w:szCs w:val="22"/>
              </w:rPr>
              <w:t>10</w:t>
            </w:r>
          </w:p>
        </w:tc>
        <w:tc>
          <w:tcPr>
            <w:tcW w:w="618" w:type="pct"/>
            <w:noWrap w:val="0"/>
            <w:vAlign w:val="center"/>
          </w:tcPr>
          <w:p w14:paraId="2A937631">
            <w:pPr>
              <w:jc w:val="center"/>
              <w:rPr>
                <w:rFonts w:eastAsia="楷体_GB2312"/>
                <w:kern w:val="0"/>
                <w:szCs w:val="21"/>
              </w:rPr>
            </w:pPr>
            <w:r>
              <w:rPr>
                <w:rFonts w:eastAsia="楷体_GB2312"/>
                <w:kern w:val="0"/>
                <w:szCs w:val="21"/>
              </w:rPr>
              <w:t>桃园镇</w:t>
            </w:r>
          </w:p>
        </w:tc>
        <w:tc>
          <w:tcPr>
            <w:tcW w:w="532" w:type="pct"/>
            <w:noWrap w:val="0"/>
            <w:vAlign w:val="center"/>
          </w:tcPr>
          <w:p w14:paraId="2C3EF513">
            <w:pPr>
              <w:jc w:val="center"/>
              <w:rPr>
                <w:rFonts w:eastAsia="楷体_GB2312"/>
                <w:kern w:val="0"/>
                <w:szCs w:val="21"/>
              </w:rPr>
            </w:pPr>
            <w:r>
              <w:rPr>
                <w:rFonts w:eastAsia="楷体_GB2312"/>
                <w:kern w:val="0"/>
                <w:szCs w:val="21"/>
              </w:rPr>
              <w:t>1</w:t>
            </w:r>
          </w:p>
        </w:tc>
        <w:tc>
          <w:tcPr>
            <w:tcW w:w="577" w:type="pct"/>
            <w:noWrap w:val="0"/>
            <w:vAlign w:val="center"/>
          </w:tcPr>
          <w:p w14:paraId="6B01D2C3">
            <w:pPr>
              <w:jc w:val="center"/>
              <w:rPr>
                <w:rFonts w:eastAsia="楷体_GB2312"/>
              </w:rPr>
            </w:pPr>
            <w:r>
              <w:rPr>
                <w:rFonts w:eastAsia="楷体_GB2312"/>
                <w:kern w:val="0"/>
                <w:sz w:val="22"/>
                <w:szCs w:val="22"/>
              </w:rPr>
              <w:t>0</w:t>
            </w:r>
          </w:p>
        </w:tc>
        <w:tc>
          <w:tcPr>
            <w:tcW w:w="581" w:type="pct"/>
            <w:noWrap w:val="0"/>
            <w:vAlign w:val="center"/>
          </w:tcPr>
          <w:p w14:paraId="39EA164F">
            <w:pPr>
              <w:jc w:val="center"/>
              <w:rPr>
                <w:rFonts w:eastAsia="楷体_GB2312"/>
              </w:rPr>
            </w:pPr>
            <w:r>
              <w:rPr>
                <w:rFonts w:eastAsia="楷体_GB2312"/>
                <w:kern w:val="0"/>
                <w:sz w:val="22"/>
                <w:szCs w:val="22"/>
              </w:rPr>
              <w:t>/</w:t>
            </w:r>
          </w:p>
        </w:tc>
        <w:tc>
          <w:tcPr>
            <w:tcW w:w="577" w:type="pct"/>
            <w:noWrap w:val="0"/>
            <w:vAlign w:val="center"/>
          </w:tcPr>
          <w:p w14:paraId="0650746C">
            <w:pPr>
              <w:jc w:val="center"/>
              <w:rPr>
                <w:rFonts w:eastAsia="楷体_GB2312"/>
              </w:rPr>
            </w:pPr>
            <w:r>
              <w:rPr>
                <w:rFonts w:eastAsia="楷体_GB2312"/>
                <w:kern w:val="0"/>
                <w:sz w:val="22"/>
                <w:szCs w:val="22"/>
              </w:rPr>
              <w:t>0</w:t>
            </w:r>
          </w:p>
        </w:tc>
        <w:tc>
          <w:tcPr>
            <w:tcW w:w="576" w:type="pct"/>
            <w:noWrap w:val="0"/>
            <w:vAlign w:val="center"/>
          </w:tcPr>
          <w:p w14:paraId="02D49F58">
            <w:pPr>
              <w:jc w:val="center"/>
              <w:rPr>
                <w:rFonts w:eastAsia="楷体_GB2312"/>
              </w:rPr>
            </w:pPr>
            <w:r>
              <w:rPr>
                <w:rFonts w:eastAsia="楷体_GB2312"/>
                <w:kern w:val="0"/>
                <w:sz w:val="22"/>
                <w:szCs w:val="22"/>
              </w:rPr>
              <w:t>/</w:t>
            </w:r>
          </w:p>
        </w:tc>
        <w:tc>
          <w:tcPr>
            <w:tcW w:w="584" w:type="pct"/>
            <w:noWrap w:val="0"/>
            <w:vAlign w:val="center"/>
          </w:tcPr>
          <w:p w14:paraId="002CD635">
            <w:pPr>
              <w:jc w:val="center"/>
              <w:rPr>
                <w:rFonts w:eastAsia="楷体_GB2312"/>
                <w:kern w:val="0"/>
                <w:sz w:val="22"/>
                <w:szCs w:val="22"/>
              </w:rPr>
            </w:pPr>
            <w:r>
              <w:rPr>
                <w:rFonts w:eastAsia="楷体_GB2312"/>
                <w:kern w:val="0"/>
                <w:sz w:val="22"/>
                <w:szCs w:val="22"/>
              </w:rPr>
              <w:t>1</w:t>
            </w:r>
          </w:p>
        </w:tc>
        <w:tc>
          <w:tcPr>
            <w:tcW w:w="569" w:type="pct"/>
            <w:noWrap w:val="0"/>
            <w:vAlign w:val="center"/>
          </w:tcPr>
          <w:p w14:paraId="72676D59">
            <w:pPr>
              <w:jc w:val="center"/>
              <w:rPr>
                <w:rFonts w:eastAsia="楷体_GB2312"/>
              </w:rPr>
            </w:pPr>
            <w:r>
              <w:rPr>
                <w:rFonts w:eastAsia="楷体_GB2312"/>
                <w:kern w:val="0"/>
                <w:sz w:val="22"/>
                <w:szCs w:val="22"/>
              </w:rPr>
              <w:t>144</w:t>
            </w:r>
          </w:p>
        </w:tc>
      </w:tr>
      <w:tr w14:paraId="117F5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72CB4083">
            <w:pPr>
              <w:jc w:val="center"/>
              <w:rPr>
                <w:rFonts w:eastAsia="楷体_GB2312"/>
                <w:kern w:val="0"/>
                <w:sz w:val="22"/>
                <w:szCs w:val="22"/>
              </w:rPr>
            </w:pPr>
            <w:r>
              <w:rPr>
                <w:rFonts w:eastAsia="楷体_GB2312"/>
                <w:kern w:val="0"/>
                <w:sz w:val="22"/>
                <w:szCs w:val="22"/>
              </w:rPr>
              <w:t>11</w:t>
            </w:r>
          </w:p>
        </w:tc>
        <w:tc>
          <w:tcPr>
            <w:tcW w:w="618" w:type="pct"/>
            <w:noWrap w:val="0"/>
            <w:vAlign w:val="center"/>
          </w:tcPr>
          <w:p w14:paraId="4F3035BC">
            <w:pPr>
              <w:jc w:val="center"/>
              <w:rPr>
                <w:rFonts w:eastAsia="楷体_GB2312"/>
                <w:kern w:val="0"/>
                <w:szCs w:val="21"/>
              </w:rPr>
            </w:pPr>
            <w:r>
              <w:rPr>
                <w:rFonts w:eastAsia="楷体_GB2312"/>
                <w:kern w:val="0"/>
                <w:szCs w:val="21"/>
              </w:rPr>
              <w:t>曹村镇</w:t>
            </w:r>
          </w:p>
        </w:tc>
        <w:tc>
          <w:tcPr>
            <w:tcW w:w="532" w:type="pct"/>
            <w:noWrap w:val="0"/>
            <w:vAlign w:val="center"/>
          </w:tcPr>
          <w:p w14:paraId="76F5EE04">
            <w:pPr>
              <w:jc w:val="center"/>
              <w:rPr>
                <w:rFonts w:eastAsia="楷体_GB2312"/>
                <w:kern w:val="0"/>
                <w:szCs w:val="21"/>
              </w:rPr>
            </w:pPr>
            <w:r>
              <w:rPr>
                <w:rFonts w:eastAsia="楷体_GB2312"/>
                <w:kern w:val="0"/>
                <w:szCs w:val="21"/>
              </w:rPr>
              <w:t>16</w:t>
            </w:r>
          </w:p>
        </w:tc>
        <w:tc>
          <w:tcPr>
            <w:tcW w:w="577" w:type="pct"/>
            <w:noWrap w:val="0"/>
            <w:vAlign w:val="center"/>
          </w:tcPr>
          <w:p w14:paraId="593969EA">
            <w:pPr>
              <w:jc w:val="center"/>
              <w:rPr>
                <w:rFonts w:eastAsia="楷体_GB2312"/>
                <w:kern w:val="0"/>
                <w:szCs w:val="21"/>
              </w:rPr>
            </w:pPr>
            <w:r>
              <w:rPr>
                <w:rFonts w:eastAsia="楷体_GB2312"/>
                <w:kern w:val="0"/>
                <w:szCs w:val="21"/>
              </w:rPr>
              <w:t>2</w:t>
            </w:r>
          </w:p>
        </w:tc>
        <w:tc>
          <w:tcPr>
            <w:tcW w:w="581" w:type="pct"/>
            <w:noWrap w:val="0"/>
            <w:vAlign w:val="center"/>
          </w:tcPr>
          <w:p w14:paraId="3715362E">
            <w:pPr>
              <w:jc w:val="center"/>
              <w:rPr>
                <w:rFonts w:eastAsia="楷体_GB2312"/>
              </w:rPr>
            </w:pPr>
            <w:r>
              <w:rPr>
                <w:rFonts w:eastAsia="楷体_GB2312"/>
                <w:kern w:val="0"/>
                <w:sz w:val="22"/>
                <w:szCs w:val="22"/>
              </w:rPr>
              <w:t>170</w:t>
            </w:r>
          </w:p>
        </w:tc>
        <w:tc>
          <w:tcPr>
            <w:tcW w:w="577" w:type="pct"/>
            <w:noWrap w:val="0"/>
            <w:vAlign w:val="center"/>
          </w:tcPr>
          <w:p w14:paraId="677D5906">
            <w:pPr>
              <w:jc w:val="center"/>
              <w:rPr>
                <w:rFonts w:eastAsia="楷体_GB2312"/>
                <w:kern w:val="0"/>
                <w:szCs w:val="21"/>
              </w:rPr>
            </w:pPr>
            <w:r>
              <w:rPr>
                <w:rFonts w:eastAsia="楷体_GB2312"/>
                <w:kern w:val="0"/>
                <w:szCs w:val="21"/>
              </w:rPr>
              <w:t>5</w:t>
            </w:r>
          </w:p>
        </w:tc>
        <w:tc>
          <w:tcPr>
            <w:tcW w:w="576" w:type="pct"/>
            <w:noWrap w:val="0"/>
            <w:vAlign w:val="center"/>
          </w:tcPr>
          <w:p w14:paraId="376E0EE4">
            <w:pPr>
              <w:jc w:val="center"/>
              <w:rPr>
                <w:rFonts w:eastAsia="楷体_GB2312"/>
              </w:rPr>
            </w:pPr>
            <w:r>
              <w:rPr>
                <w:rFonts w:eastAsia="楷体_GB2312"/>
                <w:kern w:val="0"/>
                <w:sz w:val="22"/>
                <w:szCs w:val="22"/>
              </w:rPr>
              <w:t>155</w:t>
            </w:r>
          </w:p>
        </w:tc>
        <w:tc>
          <w:tcPr>
            <w:tcW w:w="584" w:type="pct"/>
            <w:noWrap w:val="0"/>
            <w:vAlign w:val="center"/>
          </w:tcPr>
          <w:p w14:paraId="50BE9F0A">
            <w:pPr>
              <w:jc w:val="center"/>
              <w:rPr>
                <w:rFonts w:eastAsia="楷体_GB2312"/>
                <w:kern w:val="0"/>
                <w:sz w:val="22"/>
                <w:szCs w:val="22"/>
              </w:rPr>
            </w:pPr>
            <w:r>
              <w:rPr>
                <w:rFonts w:eastAsia="楷体_GB2312"/>
                <w:kern w:val="0"/>
                <w:sz w:val="22"/>
                <w:szCs w:val="22"/>
              </w:rPr>
              <w:t>9</w:t>
            </w:r>
          </w:p>
        </w:tc>
        <w:tc>
          <w:tcPr>
            <w:tcW w:w="569" w:type="pct"/>
            <w:noWrap w:val="0"/>
            <w:vAlign w:val="center"/>
          </w:tcPr>
          <w:p w14:paraId="3A72C6F3">
            <w:pPr>
              <w:jc w:val="center"/>
              <w:rPr>
                <w:rFonts w:eastAsia="楷体_GB2312"/>
              </w:rPr>
            </w:pPr>
            <w:r>
              <w:rPr>
                <w:rFonts w:eastAsia="楷体_GB2312"/>
                <w:kern w:val="0"/>
                <w:sz w:val="22"/>
                <w:szCs w:val="22"/>
              </w:rPr>
              <w:t>144</w:t>
            </w:r>
          </w:p>
        </w:tc>
      </w:tr>
      <w:tr w14:paraId="29F64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0A183178">
            <w:pPr>
              <w:jc w:val="center"/>
              <w:rPr>
                <w:rFonts w:eastAsia="楷体_GB2312"/>
                <w:kern w:val="0"/>
                <w:sz w:val="22"/>
                <w:szCs w:val="22"/>
              </w:rPr>
            </w:pPr>
            <w:r>
              <w:rPr>
                <w:rFonts w:eastAsia="楷体_GB2312"/>
                <w:kern w:val="0"/>
                <w:sz w:val="22"/>
                <w:szCs w:val="22"/>
              </w:rPr>
              <w:t>12</w:t>
            </w:r>
          </w:p>
        </w:tc>
        <w:tc>
          <w:tcPr>
            <w:tcW w:w="618" w:type="pct"/>
            <w:noWrap w:val="0"/>
            <w:vAlign w:val="center"/>
          </w:tcPr>
          <w:p w14:paraId="6BB9D4E5">
            <w:pPr>
              <w:jc w:val="center"/>
              <w:rPr>
                <w:rFonts w:eastAsia="楷体_GB2312"/>
                <w:kern w:val="0"/>
                <w:szCs w:val="21"/>
              </w:rPr>
            </w:pPr>
            <w:r>
              <w:rPr>
                <w:rFonts w:eastAsia="楷体_GB2312"/>
                <w:kern w:val="0"/>
                <w:szCs w:val="21"/>
              </w:rPr>
              <w:t>大营镇</w:t>
            </w:r>
          </w:p>
        </w:tc>
        <w:tc>
          <w:tcPr>
            <w:tcW w:w="532" w:type="pct"/>
            <w:noWrap w:val="0"/>
            <w:vAlign w:val="center"/>
          </w:tcPr>
          <w:p w14:paraId="6225C5EC">
            <w:pPr>
              <w:jc w:val="center"/>
              <w:rPr>
                <w:rFonts w:eastAsia="楷体_GB2312"/>
                <w:kern w:val="0"/>
                <w:szCs w:val="21"/>
              </w:rPr>
            </w:pPr>
            <w:r>
              <w:rPr>
                <w:rFonts w:eastAsia="楷体_GB2312"/>
                <w:kern w:val="0"/>
                <w:szCs w:val="21"/>
              </w:rPr>
              <w:t>1</w:t>
            </w:r>
          </w:p>
        </w:tc>
        <w:tc>
          <w:tcPr>
            <w:tcW w:w="577" w:type="pct"/>
            <w:noWrap w:val="0"/>
            <w:vAlign w:val="center"/>
          </w:tcPr>
          <w:p w14:paraId="670EE4F0">
            <w:pPr>
              <w:jc w:val="center"/>
              <w:rPr>
                <w:rFonts w:eastAsia="楷体_GB2312"/>
              </w:rPr>
            </w:pPr>
            <w:r>
              <w:rPr>
                <w:rFonts w:eastAsia="楷体_GB2312"/>
                <w:kern w:val="0"/>
                <w:sz w:val="22"/>
                <w:szCs w:val="22"/>
              </w:rPr>
              <w:t>0</w:t>
            </w:r>
          </w:p>
        </w:tc>
        <w:tc>
          <w:tcPr>
            <w:tcW w:w="581" w:type="pct"/>
            <w:noWrap w:val="0"/>
            <w:vAlign w:val="center"/>
          </w:tcPr>
          <w:p w14:paraId="004A3C41">
            <w:pPr>
              <w:jc w:val="center"/>
              <w:rPr>
                <w:rFonts w:eastAsia="楷体_GB2312"/>
              </w:rPr>
            </w:pPr>
            <w:r>
              <w:rPr>
                <w:rFonts w:eastAsia="楷体_GB2312"/>
                <w:kern w:val="0"/>
                <w:sz w:val="22"/>
                <w:szCs w:val="22"/>
              </w:rPr>
              <w:t>/</w:t>
            </w:r>
          </w:p>
        </w:tc>
        <w:tc>
          <w:tcPr>
            <w:tcW w:w="577" w:type="pct"/>
            <w:noWrap w:val="0"/>
            <w:vAlign w:val="center"/>
          </w:tcPr>
          <w:p w14:paraId="2991DBA7">
            <w:pPr>
              <w:jc w:val="center"/>
              <w:rPr>
                <w:rFonts w:eastAsia="楷体_GB2312"/>
              </w:rPr>
            </w:pPr>
            <w:r>
              <w:rPr>
                <w:rFonts w:eastAsia="楷体_GB2312"/>
                <w:kern w:val="0"/>
                <w:sz w:val="22"/>
                <w:szCs w:val="22"/>
              </w:rPr>
              <w:t>0</w:t>
            </w:r>
          </w:p>
        </w:tc>
        <w:tc>
          <w:tcPr>
            <w:tcW w:w="576" w:type="pct"/>
            <w:noWrap w:val="0"/>
            <w:vAlign w:val="center"/>
          </w:tcPr>
          <w:p w14:paraId="09DF3A05">
            <w:pPr>
              <w:jc w:val="center"/>
              <w:rPr>
                <w:rFonts w:eastAsia="楷体_GB2312"/>
              </w:rPr>
            </w:pPr>
            <w:r>
              <w:rPr>
                <w:rFonts w:eastAsia="楷体_GB2312"/>
                <w:kern w:val="0"/>
                <w:sz w:val="22"/>
                <w:szCs w:val="22"/>
              </w:rPr>
              <w:t>/</w:t>
            </w:r>
          </w:p>
        </w:tc>
        <w:tc>
          <w:tcPr>
            <w:tcW w:w="584" w:type="pct"/>
            <w:noWrap w:val="0"/>
            <w:vAlign w:val="center"/>
          </w:tcPr>
          <w:p w14:paraId="58742638">
            <w:pPr>
              <w:jc w:val="center"/>
              <w:rPr>
                <w:rFonts w:eastAsia="楷体_GB2312"/>
                <w:kern w:val="0"/>
                <w:sz w:val="22"/>
                <w:szCs w:val="22"/>
              </w:rPr>
            </w:pPr>
            <w:r>
              <w:rPr>
                <w:rFonts w:eastAsia="楷体_GB2312"/>
                <w:kern w:val="0"/>
                <w:sz w:val="22"/>
                <w:szCs w:val="22"/>
              </w:rPr>
              <w:t>1</w:t>
            </w:r>
          </w:p>
        </w:tc>
        <w:tc>
          <w:tcPr>
            <w:tcW w:w="569" w:type="pct"/>
            <w:noWrap w:val="0"/>
            <w:vAlign w:val="center"/>
          </w:tcPr>
          <w:p w14:paraId="5261E0BD">
            <w:pPr>
              <w:jc w:val="center"/>
              <w:rPr>
                <w:rFonts w:eastAsia="楷体_GB2312"/>
              </w:rPr>
            </w:pPr>
            <w:r>
              <w:rPr>
                <w:rFonts w:eastAsia="楷体_GB2312"/>
                <w:kern w:val="0"/>
                <w:sz w:val="22"/>
                <w:szCs w:val="22"/>
              </w:rPr>
              <w:t>144</w:t>
            </w:r>
          </w:p>
        </w:tc>
      </w:tr>
      <w:tr w14:paraId="02519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7D3B6EA1">
            <w:pPr>
              <w:jc w:val="center"/>
              <w:rPr>
                <w:rFonts w:eastAsia="楷体_GB2312"/>
                <w:kern w:val="0"/>
                <w:sz w:val="22"/>
                <w:szCs w:val="22"/>
              </w:rPr>
            </w:pPr>
            <w:r>
              <w:rPr>
                <w:rFonts w:eastAsia="楷体_GB2312"/>
                <w:kern w:val="0"/>
                <w:sz w:val="22"/>
                <w:szCs w:val="22"/>
              </w:rPr>
              <w:t>13</w:t>
            </w:r>
          </w:p>
        </w:tc>
        <w:tc>
          <w:tcPr>
            <w:tcW w:w="618" w:type="pct"/>
            <w:noWrap w:val="0"/>
            <w:vAlign w:val="center"/>
          </w:tcPr>
          <w:p w14:paraId="4E065796">
            <w:pPr>
              <w:jc w:val="center"/>
              <w:rPr>
                <w:rFonts w:eastAsia="楷体_GB2312"/>
                <w:kern w:val="0"/>
                <w:szCs w:val="21"/>
              </w:rPr>
            </w:pPr>
            <w:r>
              <w:rPr>
                <w:rFonts w:eastAsia="楷体_GB2312"/>
                <w:kern w:val="0"/>
                <w:szCs w:val="21"/>
              </w:rPr>
              <w:t>褚兰镇</w:t>
            </w:r>
          </w:p>
        </w:tc>
        <w:tc>
          <w:tcPr>
            <w:tcW w:w="532" w:type="pct"/>
            <w:noWrap w:val="0"/>
            <w:vAlign w:val="center"/>
          </w:tcPr>
          <w:p w14:paraId="20DD9BB8">
            <w:pPr>
              <w:jc w:val="center"/>
              <w:rPr>
                <w:rFonts w:eastAsia="楷体_GB2312"/>
                <w:kern w:val="0"/>
                <w:szCs w:val="21"/>
              </w:rPr>
            </w:pPr>
            <w:r>
              <w:rPr>
                <w:rFonts w:eastAsia="楷体_GB2312"/>
                <w:kern w:val="0"/>
                <w:szCs w:val="21"/>
              </w:rPr>
              <w:t>0</w:t>
            </w:r>
          </w:p>
        </w:tc>
        <w:tc>
          <w:tcPr>
            <w:tcW w:w="577" w:type="pct"/>
            <w:noWrap w:val="0"/>
            <w:vAlign w:val="center"/>
          </w:tcPr>
          <w:p w14:paraId="485EC343">
            <w:pPr>
              <w:jc w:val="center"/>
              <w:rPr>
                <w:rFonts w:eastAsia="楷体_GB2312"/>
              </w:rPr>
            </w:pPr>
            <w:r>
              <w:rPr>
                <w:rFonts w:eastAsia="楷体_GB2312"/>
                <w:kern w:val="0"/>
                <w:sz w:val="22"/>
                <w:szCs w:val="22"/>
              </w:rPr>
              <w:t>0</w:t>
            </w:r>
          </w:p>
        </w:tc>
        <w:tc>
          <w:tcPr>
            <w:tcW w:w="581" w:type="pct"/>
            <w:noWrap w:val="0"/>
            <w:vAlign w:val="center"/>
          </w:tcPr>
          <w:p w14:paraId="4755AAF7">
            <w:pPr>
              <w:jc w:val="center"/>
              <w:rPr>
                <w:rFonts w:eastAsia="楷体_GB2312"/>
              </w:rPr>
            </w:pPr>
            <w:r>
              <w:rPr>
                <w:rFonts w:eastAsia="楷体_GB2312"/>
                <w:kern w:val="0"/>
                <w:sz w:val="22"/>
                <w:szCs w:val="22"/>
              </w:rPr>
              <w:t>/</w:t>
            </w:r>
          </w:p>
        </w:tc>
        <w:tc>
          <w:tcPr>
            <w:tcW w:w="577" w:type="pct"/>
            <w:noWrap w:val="0"/>
            <w:vAlign w:val="center"/>
          </w:tcPr>
          <w:p w14:paraId="5356C7F5">
            <w:pPr>
              <w:jc w:val="center"/>
              <w:rPr>
                <w:rFonts w:eastAsia="楷体_GB2312"/>
              </w:rPr>
            </w:pPr>
            <w:r>
              <w:rPr>
                <w:rFonts w:eastAsia="楷体_GB2312"/>
                <w:kern w:val="0"/>
                <w:sz w:val="22"/>
                <w:szCs w:val="22"/>
              </w:rPr>
              <w:t>0</w:t>
            </w:r>
          </w:p>
        </w:tc>
        <w:tc>
          <w:tcPr>
            <w:tcW w:w="576" w:type="pct"/>
            <w:noWrap w:val="0"/>
            <w:vAlign w:val="center"/>
          </w:tcPr>
          <w:p w14:paraId="508253B9">
            <w:pPr>
              <w:jc w:val="center"/>
              <w:rPr>
                <w:rFonts w:eastAsia="楷体_GB2312"/>
              </w:rPr>
            </w:pPr>
            <w:r>
              <w:rPr>
                <w:rFonts w:eastAsia="楷体_GB2312"/>
                <w:kern w:val="0"/>
                <w:sz w:val="22"/>
                <w:szCs w:val="22"/>
              </w:rPr>
              <w:t>/</w:t>
            </w:r>
          </w:p>
        </w:tc>
        <w:tc>
          <w:tcPr>
            <w:tcW w:w="584" w:type="pct"/>
            <w:noWrap w:val="0"/>
            <w:vAlign w:val="center"/>
          </w:tcPr>
          <w:p w14:paraId="2343EEE2">
            <w:pPr>
              <w:jc w:val="center"/>
              <w:rPr>
                <w:rFonts w:eastAsia="楷体_GB2312"/>
              </w:rPr>
            </w:pPr>
            <w:r>
              <w:rPr>
                <w:rFonts w:eastAsia="楷体_GB2312"/>
                <w:kern w:val="0"/>
                <w:sz w:val="22"/>
                <w:szCs w:val="22"/>
              </w:rPr>
              <w:t>0</w:t>
            </w:r>
          </w:p>
        </w:tc>
        <w:tc>
          <w:tcPr>
            <w:tcW w:w="569" w:type="pct"/>
            <w:noWrap w:val="0"/>
            <w:vAlign w:val="center"/>
          </w:tcPr>
          <w:p w14:paraId="77CB7793">
            <w:pPr>
              <w:jc w:val="center"/>
              <w:rPr>
                <w:rFonts w:eastAsia="楷体_GB2312"/>
              </w:rPr>
            </w:pPr>
            <w:r>
              <w:rPr>
                <w:rFonts w:eastAsia="楷体_GB2312"/>
                <w:kern w:val="0"/>
                <w:sz w:val="22"/>
                <w:szCs w:val="22"/>
              </w:rPr>
              <w:t>/</w:t>
            </w:r>
          </w:p>
        </w:tc>
      </w:tr>
      <w:tr w14:paraId="74EE6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4595E961">
            <w:pPr>
              <w:jc w:val="center"/>
              <w:rPr>
                <w:rFonts w:eastAsia="楷体_GB2312"/>
                <w:kern w:val="0"/>
                <w:sz w:val="22"/>
                <w:szCs w:val="22"/>
              </w:rPr>
            </w:pPr>
            <w:r>
              <w:rPr>
                <w:rFonts w:eastAsia="楷体_GB2312"/>
                <w:kern w:val="0"/>
                <w:sz w:val="22"/>
                <w:szCs w:val="22"/>
              </w:rPr>
              <w:t>14</w:t>
            </w:r>
          </w:p>
        </w:tc>
        <w:tc>
          <w:tcPr>
            <w:tcW w:w="618" w:type="pct"/>
            <w:noWrap w:val="0"/>
            <w:vAlign w:val="center"/>
          </w:tcPr>
          <w:p w14:paraId="5B67469B">
            <w:pPr>
              <w:jc w:val="center"/>
              <w:rPr>
                <w:rFonts w:eastAsia="楷体_GB2312"/>
                <w:kern w:val="0"/>
                <w:szCs w:val="21"/>
              </w:rPr>
            </w:pPr>
            <w:r>
              <w:rPr>
                <w:rFonts w:eastAsia="楷体_GB2312"/>
                <w:kern w:val="0"/>
                <w:szCs w:val="21"/>
              </w:rPr>
              <w:t>顺河镇</w:t>
            </w:r>
          </w:p>
        </w:tc>
        <w:tc>
          <w:tcPr>
            <w:tcW w:w="532" w:type="pct"/>
            <w:noWrap w:val="0"/>
            <w:vAlign w:val="center"/>
          </w:tcPr>
          <w:p w14:paraId="18E720E3">
            <w:pPr>
              <w:jc w:val="center"/>
              <w:rPr>
                <w:rFonts w:eastAsia="楷体_GB2312"/>
                <w:kern w:val="0"/>
                <w:szCs w:val="21"/>
              </w:rPr>
            </w:pPr>
            <w:r>
              <w:rPr>
                <w:rFonts w:eastAsia="楷体_GB2312"/>
                <w:kern w:val="0"/>
                <w:szCs w:val="21"/>
              </w:rPr>
              <w:t>0</w:t>
            </w:r>
          </w:p>
        </w:tc>
        <w:tc>
          <w:tcPr>
            <w:tcW w:w="577" w:type="pct"/>
            <w:noWrap w:val="0"/>
            <w:vAlign w:val="center"/>
          </w:tcPr>
          <w:p w14:paraId="258126C9">
            <w:pPr>
              <w:jc w:val="center"/>
              <w:rPr>
                <w:rFonts w:eastAsia="楷体_GB2312"/>
              </w:rPr>
            </w:pPr>
            <w:r>
              <w:rPr>
                <w:rFonts w:eastAsia="楷体_GB2312"/>
                <w:kern w:val="0"/>
                <w:sz w:val="22"/>
                <w:szCs w:val="22"/>
              </w:rPr>
              <w:t>0</w:t>
            </w:r>
          </w:p>
        </w:tc>
        <w:tc>
          <w:tcPr>
            <w:tcW w:w="581" w:type="pct"/>
            <w:noWrap w:val="0"/>
            <w:vAlign w:val="center"/>
          </w:tcPr>
          <w:p w14:paraId="477A52D9">
            <w:pPr>
              <w:jc w:val="center"/>
              <w:rPr>
                <w:rFonts w:eastAsia="楷体_GB2312"/>
              </w:rPr>
            </w:pPr>
            <w:r>
              <w:rPr>
                <w:rFonts w:eastAsia="楷体_GB2312"/>
                <w:kern w:val="0"/>
                <w:sz w:val="22"/>
                <w:szCs w:val="22"/>
              </w:rPr>
              <w:t>/</w:t>
            </w:r>
          </w:p>
        </w:tc>
        <w:tc>
          <w:tcPr>
            <w:tcW w:w="577" w:type="pct"/>
            <w:noWrap w:val="0"/>
            <w:vAlign w:val="center"/>
          </w:tcPr>
          <w:p w14:paraId="1F482420">
            <w:pPr>
              <w:jc w:val="center"/>
              <w:rPr>
                <w:rFonts w:eastAsia="楷体_GB2312"/>
              </w:rPr>
            </w:pPr>
            <w:r>
              <w:rPr>
                <w:rFonts w:eastAsia="楷体_GB2312"/>
                <w:kern w:val="0"/>
                <w:sz w:val="22"/>
                <w:szCs w:val="22"/>
              </w:rPr>
              <w:t>0</w:t>
            </w:r>
          </w:p>
        </w:tc>
        <w:tc>
          <w:tcPr>
            <w:tcW w:w="576" w:type="pct"/>
            <w:noWrap w:val="0"/>
            <w:vAlign w:val="center"/>
          </w:tcPr>
          <w:p w14:paraId="056EADE3">
            <w:pPr>
              <w:jc w:val="center"/>
              <w:rPr>
                <w:rFonts w:eastAsia="楷体_GB2312"/>
              </w:rPr>
            </w:pPr>
            <w:r>
              <w:rPr>
                <w:rFonts w:eastAsia="楷体_GB2312"/>
                <w:kern w:val="0"/>
                <w:sz w:val="22"/>
                <w:szCs w:val="22"/>
              </w:rPr>
              <w:t>/</w:t>
            </w:r>
          </w:p>
        </w:tc>
        <w:tc>
          <w:tcPr>
            <w:tcW w:w="584" w:type="pct"/>
            <w:noWrap w:val="0"/>
            <w:vAlign w:val="center"/>
          </w:tcPr>
          <w:p w14:paraId="715BC46E">
            <w:pPr>
              <w:jc w:val="center"/>
              <w:rPr>
                <w:rFonts w:eastAsia="楷体_GB2312"/>
              </w:rPr>
            </w:pPr>
            <w:r>
              <w:rPr>
                <w:rFonts w:eastAsia="楷体_GB2312"/>
                <w:kern w:val="0"/>
                <w:sz w:val="22"/>
                <w:szCs w:val="22"/>
              </w:rPr>
              <w:t>0</w:t>
            </w:r>
          </w:p>
        </w:tc>
        <w:tc>
          <w:tcPr>
            <w:tcW w:w="569" w:type="pct"/>
            <w:noWrap w:val="0"/>
            <w:vAlign w:val="center"/>
          </w:tcPr>
          <w:p w14:paraId="3D693A9F">
            <w:pPr>
              <w:jc w:val="center"/>
              <w:rPr>
                <w:rFonts w:eastAsia="楷体_GB2312"/>
              </w:rPr>
            </w:pPr>
            <w:r>
              <w:rPr>
                <w:rFonts w:eastAsia="楷体_GB2312"/>
                <w:kern w:val="0"/>
                <w:sz w:val="22"/>
                <w:szCs w:val="22"/>
              </w:rPr>
              <w:t>/</w:t>
            </w:r>
          </w:p>
        </w:tc>
      </w:tr>
      <w:tr w14:paraId="328EF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30FB9936">
            <w:pPr>
              <w:jc w:val="center"/>
              <w:rPr>
                <w:rFonts w:eastAsia="楷体_GB2312"/>
                <w:kern w:val="0"/>
                <w:sz w:val="22"/>
                <w:szCs w:val="22"/>
              </w:rPr>
            </w:pPr>
            <w:r>
              <w:rPr>
                <w:rFonts w:eastAsia="楷体_GB2312"/>
                <w:kern w:val="0"/>
                <w:sz w:val="22"/>
                <w:szCs w:val="22"/>
              </w:rPr>
              <w:t>15</w:t>
            </w:r>
          </w:p>
        </w:tc>
        <w:tc>
          <w:tcPr>
            <w:tcW w:w="618" w:type="pct"/>
            <w:noWrap w:val="0"/>
            <w:vAlign w:val="center"/>
          </w:tcPr>
          <w:p w14:paraId="47FF5275">
            <w:pPr>
              <w:jc w:val="center"/>
              <w:rPr>
                <w:rFonts w:eastAsia="楷体_GB2312"/>
                <w:kern w:val="0"/>
                <w:szCs w:val="21"/>
              </w:rPr>
            </w:pPr>
            <w:r>
              <w:rPr>
                <w:rFonts w:eastAsia="楷体_GB2312"/>
                <w:kern w:val="0"/>
                <w:szCs w:val="21"/>
              </w:rPr>
              <w:t>杨庄镇</w:t>
            </w:r>
          </w:p>
        </w:tc>
        <w:tc>
          <w:tcPr>
            <w:tcW w:w="532" w:type="pct"/>
            <w:noWrap w:val="0"/>
            <w:vAlign w:val="center"/>
          </w:tcPr>
          <w:p w14:paraId="3626167C">
            <w:pPr>
              <w:jc w:val="center"/>
              <w:rPr>
                <w:rFonts w:eastAsia="楷体_GB2312"/>
                <w:kern w:val="0"/>
                <w:szCs w:val="21"/>
              </w:rPr>
            </w:pPr>
            <w:r>
              <w:rPr>
                <w:rFonts w:eastAsia="楷体_GB2312"/>
                <w:kern w:val="0"/>
                <w:szCs w:val="21"/>
              </w:rPr>
              <w:t>0</w:t>
            </w:r>
          </w:p>
        </w:tc>
        <w:tc>
          <w:tcPr>
            <w:tcW w:w="577" w:type="pct"/>
            <w:noWrap w:val="0"/>
            <w:vAlign w:val="center"/>
          </w:tcPr>
          <w:p w14:paraId="0683637E">
            <w:pPr>
              <w:jc w:val="center"/>
              <w:rPr>
                <w:rFonts w:eastAsia="楷体_GB2312"/>
              </w:rPr>
            </w:pPr>
            <w:r>
              <w:rPr>
                <w:rFonts w:eastAsia="楷体_GB2312"/>
                <w:kern w:val="0"/>
                <w:sz w:val="22"/>
                <w:szCs w:val="22"/>
              </w:rPr>
              <w:t>0</w:t>
            </w:r>
          </w:p>
        </w:tc>
        <w:tc>
          <w:tcPr>
            <w:tcW w:w="581" w:type="pct"/>
            <w:noWrap w:val="0"/>
            <w:vAlign w:val="center"/>
          </w:tcPr>
          <w:p w14:paraId="1F6240E9">
            <w:pPr>
              <w:jc w:val="center"/>
              <w:rPr>
                <w:rFonts w:eastAsia="楷体_GB2312"/>
              </w:rPr>
            </w:pPr>
            <w:r>
              <w:rPr>
                <w:rFonts w:eastAsia="楷体_GB2312"/>
                <w:kern w:val="0"/>
                <w:sz w:val="22"/>
                <w:szCs w:val="22"/>
              </w:rPr>
              <w:t>/</w:t>
            </w:r>
          </w:p>
        </w:tc>
        <w:tc>
          <w:tcPr>
            <w:tcW w:w="577" w:type="pct"/>
            <w:noWrap w:val="0"/>
            <w:vAlign w:val="center"/>
          </w:tcPr>
          <w:p w14:paraId="5D788BAB">
            <w:pPr>
              <w:jc w:val="center"/>
              <w:rPr>
                <w:rFonts w:eastAsia="楷体_GB2312"/>
              </w:rPr>
            </w:pPr>
            <w:r>
              <w:rPr>
                <w:rFonts w:eastAsia="楷体_GB2312"/>
                <w:kern w:val="0"/>
                <w:sz w:val="22"/>
                <w:szCs w:val="22"/>
              </w:rPr>
              <w:t>0</w:t>
            </w:r>
          </w:p>
        </w:tc>
        <w:tc>
          <w:tcPr>
            <w:tcW w:w="576" w:type="pct"/>
            <w:noWrap w:val="0"/>
            <w:vAlign w:val="center"/>
          </w:tcPr>
          <w:p w14:paraId="4D19B14D">
            <w:pPr>
              <w:jc w:val="center"/>
              <w:rPr>
                <w:rFonts w:eastAsia="楷体_GB2312"/>
              </w:rPr>
            </w:pPr>
            <w:r>
              <w:rPr>
                <w:rFonts w:eastAsia="楷体_GB2312"/>
                <w:kern w:val="0"/>
                <w:sz w:val="22"/>
                <w:szCs w:val="22"/>
              </w:rPr>
              <w:t>/</w:t>
            </w:r>
          </w:p>
        </w:tc>
        <w:tc>
          <w:tcPr>
            <w:tcW w:w="584" w:type="pct"/>
            <w:noWrap w:val="0"/>
            <w:vAlign w:val="center"/>
          </w:tcPr>
          <w:p w14:paraId="100573CA">
            <w:pPr>
              <w:jc w:val="center"/>
              <w:rPr>
                <w:rFonts w:eastAsia="楷体_GB2312"/>
              </w:rPr>
            </w:pPr>
            <w:r>
              <w:rPr>
                <w:rFonts w:eastAsia="楷体_GB2312"/>
                <w:kern w:val="0"/>
                <w:sz w:val="22"/>
                <w:szCs w:val="22"/>
              </w:rPr>
              <w:t>0</w:t>
            </w:r>
          </w:p>
        </w:tc>
        <w:tc>
          <w:tcPr>
            <w:tcW w:w="569" w:type="pct"/>
            <w:noWrap w:val="0"/>
            <w:vAlign w:val="center"/>
          </w:tcPr>
          <w:p w14:paraId="4E81B758">
            <w:pPr>
              <w:jc w:val="center"/>
              <w:rPr>
                <w:rFonts w:eastAsia="楷体_GB2312"/>
              </w:rPr>
            </w:pPr>
            <w:r>
              <w:rPr>
                <w:rFonts w:eastAsia="楷体_GB2312"/>
                <w:kern w:val="0"/>
                <w:sz w:val="22"/>
                <w:szCs w:val="22"/>
              </w:rPr>
              <w:t>/</w:t>
            </w:r>
          </w:p>
        </w:tc>
      </w:tr>
      <w:tr w14:paraId="03D85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76322178">
            <w:pPr>
              <w:jc w:val="center"/>
              <w:rPr>
                <w:rFonts w:eastAsia="楷体_GB2312"/>
                <w:kern w:val="0"/>
                <w:sz w:val="22"/>
                <w:szCs w:val="22"/>
              </w:rPr>
            </w:pPr>
            <w:r>
              <w:rPr>
                <w:rFonts w:eastAsia="楷体_GB2312"/>
                <w:kern w:val="0"/>
                <w:sz w:val="22"/>
                <w:szCs w:val="22"/>
              </w:rPr>
              <w:t>16</w:t>
            </w:r>
          </w:p>
        </w:tc>
        <w:tc>
          <w:tcPr>
            <w:tcW w:w="618" w:type="pct"/>
            <w:noWrap w:val="0"/>
            <w:vAlign w:val="center"/>
          </w:tcPr>
          <w:p w14:paraId="6E5E1220">
            <w:pPr>
              <w:jc w:val="center"/>
              <w:rPr>
                <w:rFonts w:eastAsia="楷体_GB2312"/>
                <w:kern w:val="0"/>
                <w:szCs w:val="21"/>
              </w:rPr>
            </w:pPr>
            <w:r>
              <w:rPr>
                <w:rFonts w:eastAsia="楷体_GB2312"/>
                <w:kern w:val="0"/>
                <w:szCs w:val="21"/>
              </w:rPr>
              <w:t>永镇乡</w:t>
            </w:r>
          </w:p>
        </w:tc>
        <w:tc>
          <w:tcPr>
            <w:tcW w:w="532" w:type="pct"/>
            <w:noWrap w:val="0"/>
            <w:vAlign w:val="center"/>
          </w:tcPr>
          <w:p w14:paraId="3246B063">
            <w:pPr>
              <w:jc w:val="center"/>
              <w:rPr>
                <w:rFonts w:eastAsia="楷体_GB2312"/>
                <w:kern w:val="0"/>
                <w:szCs w:val="21"/>
              </w:rPr>
            </w:pPr>
            <w:r>
              <w:rPr>
                <w:rFonts w:eastAsia="楷体_GB2312"/>
                <w:kern w:val="0"/>
                <w:szCs w:val="21"/>
              </w:rPr>
              <w:t>0</w:t>
            </w:r>
          </w:p>
        </w:tc>
        <w:tc>
          <w:tcPr>
            <w:tcW w:w="577" w:type="pct"/>
            <w:noWrap w:val="0"/>
            <w:vAlign w:val="center"/>
          </w:tcPr>
          <w:p w14:paraId="7725C6D1">
            <w:pPr>
              <w:jc w:val="center"/>
              <w:rPr>
                <w:rFonts w:eastAsia="楷体_GB2312"/>
              </w:rPr>
            </w:pPr>
            <w:r>
              <w:rPr>
                <w:rFonts w:eastAsia="楷体_GB2312"/>
                <w:kern w:val="0"/>
                <w:sz w:val="22"/>
                <w:szCs w:val="22"/>
              </w:rPr>
              <w:t>0</w:t>
            </w:r>
          </w:p>
        </w:tc>
        <w:tc>
          <w:tcPr>
            <w:tcW w:w="581" w:type="pct"/>
            <w:noWrap w:val="0"/>
            <w:vAlign w:val="center"/>
          </w:tcPr>
          <w:p w14:paraId="693A0D01">
            <w:pPr>
              <w:jc w:val="center"/>
              <w:rPr>
                <w:rFonts w:eastAsia="楷体_GB2312"/>
              </w:rPr>
            </w:pPr>
            <w:r>
              <w:rPr>
                <w:rFonts w:eastAsia="楷体_GB2312"/>
                <w:kern w:val="0"/>
                <w:sz w:val="22"/>
                <w:szCs w:val="22"/>
              </w:rPr>
              <w:t>/</w:t>
            </w:r>
          </w:p>
        </w:tc>
        <w:tc>
          <w:tcPr>
            <w:tcW w:w="577" w:type="pct"/>
            <w:noWrap w:val="0"/>
            <w:vAlign w:val="center"/>
          </w:tcPr>
          <w:p w14:paraId="498EC5D9">
            <w:pPr>
              <w:jc w:val="center"/>
              <w:rPr>
                <w:rFonts w:eastAsia="楷体_GB2312"/>
              </w:rPr>
            </w:pPr>
            <w:r>
              <w:rPr>
                <w:rFonts w:eastAsia="楷体_GB2312"/>
                <w:kern w:val="0"/>
                <w:sz w:val="22"/>
                <w:szCs w:val="22"/>
              </w:rPr>
              <w:t>0</w:t>
            </w:r>
          </w:p>
        </w:tc>
        <w:tc>
          <w:tcPr>
            <w:tcW w:w="576" w:type="pct"/>
            <w:noWrap w:val="0"/>
            <w:vAlign w:val="center"/>
          </w:tcPr>
          <w:p w14:paraId="5265053E">
            <w:pPr>
              <w:jc w:val="center"/>
              <w:rPr>
                <w:rFonts w:eastAsia="楷体_GB2312"/>
              </w:rPr>
            </w:pPr>
            <w:r>
              <w:rPr>
                <w:rFonts w:eastAsia="楷体_GB2312"/>
                <w:kern w:val="0"/>
                <w:sz w:val="22"/>
                <w:szCs w:val="22"/>
              </w:rPr>
              <w:t>/</w:t>
            </w:r>
          </w:p>
        </w:tc>
        <w:tc>
          <w:tcPr>
            <w:tcW w:w="584" w:type="pct"/>
            <w:noWrap w:val="0"/>
            <w:vAlign w:val="center"/>
          </w:tcPr>
          <w:p w14:paraId="41433BB2">
            <w:pPr>
              <w:jc w:val="center"/>
              <w:rPr>
                <w:rFonts w:eastAsia="楷体_GB2312"/>
              </w:rPr>
            </w:pPr>
            <w:r>
              <w:rPr>
                <w:rFonts w:eastAsia="楷体_GB2312"/>
                <w:kern w:val="0"/>
                <w:sz w:val="22"/>
                <w:szCs w:val="22"/>
              </w:rPr>
              <w:t>0</w:t>
            </w:r>
          </w:p>
        </w:tc>
        <w:tc>
          <w:tcPr>
            <w:tcW w:w="569" w:type="pct"/>
            <w:noWrap w:val="0"/>
            <w:vAlign w:val="center"/>
          </w:tcPr>
          <w:p w14:paraId="6CF75934">
            <w:pPr>
              <w:jc w:val="center"/>
              <w:rPr>
                <w:rFonts w:eastAsia="楷体_GB2312"/>
              </w:rPr>
            </w:pPr>
            <w:r>
              <w:rPr>
                <w:rFonts w:eastAsia="楷体_GB2312"/>
                <w:kern w:val="0"/>
                <w:sz w:val="22"/>
                <w:szCs w:val="22"/>
              </w:rPr>
              <w:t>/</w:t>
            </w:r>
          </w:p>
        </w:tc>
      </w:tr>
      <w:tr w14:paraId="516EB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17414538">
            <w:pPr>
              <w:jc w:val="center"/>
              <w:rPr>
                <w:rFonts w:eastAsia="楷体_GB2312"/>
                <w:kern w:val="0"/>
                <w:sz w:val="22"/>
                <w:szCs w:val="22"/>
              </w:rPr>
            </w:pPr>
            <w:r>
              <w:rPr>
                <w:rFonts w:eastAsia="楷体_GB2312"/>
                <w:kern w:val="0"/>
                <w:sz w:val="22"/>
                <w:szCs w:val="22"/>
              </w:rPr>
              <w:t>17</w:t>
            </w:r>
          </w:p>
        </w:tc>
        <w:tc>
          <w:tcPr>
            <w:tcW w:w="618" w:type="pct"/>
            <w:noWrap w:val="0"/>
            <w:vAlign w:val="center"/>
          </w:tcPr>
          <w:p w14:paraId="369D13B7">
            <w:pPr>
              <w:jc w:val="center"/>
              <w:rPr>
                <w:rFonts w:eastAsia="楷体_GB2312"/>
                <w:kern w:val="0"/>
                <w:szCs w:val="21"/>
              </w:rPr>
            </w:pPr>
            <w:r>
              <w:rPr>
                <w:rFonts w:eastAsia="楷体_GB2312"/>
                <w:kern w:val="0"/>
                <w:szCs w:val="21"/>
              </w:rPr>
              <w:t>解集镇</w:t>
            </w:r>
          </w:p>
        </w:tc>
        <w:tc>
          <w:tcPr>
            <w:tcW w:w="532" w:type="pct"/>
            <w:noWrap w:val="0"/>
            <w:vAlign w:val="center"/>
          </w:tcPr>
          <w:p w14:paraId="4D73BA41">
            <w:pPr>
              <w:jc w:val="center"/>
              <w:rPr>
                <w:rFonts w:eastAsia="楷体_GB2312"/>
                <w:kern w:val="0"/>
                <w:szCs w:val="21"/>
              </w:rPr>
            </w:pPr>
            <w:r>
              <w:rPr>
                <w:rFonts w:eastAsia="楷体_GB2312"/>
                <w:kern w:val="0"/>
                <w:szCs w:val="21"/>
              </w:rPr>
              <w:t>0</w:t>
            </w:r>
          </w:p>
        </w:tc>
        <w:tc>
          <w:tcPr>
            <w:tcW w:w="577" w:type="pct"/>
            <w:noWrap w:val="0"/>
            <w:vAlign w:val="center"/>
          </w:tcPr>
          <w:p w14:paraId="6EA5B66F">
            <w:pPr>
              <w:jc w:val="center"/>
              <w:rPr>
                <w:rFonts w:eastAsia="楷体_GB2312"/>
              </w:rPr>
            </w:pPr>
            <w:r>
              <w:rPr>
                <w:rFonts w:eastAsia="楷体_GB2312"/>
                <w:kern w:val="0"/>
                <w:sz w:val="22"/>
                <w:szCs w:val="22"/>
              </w:rPr>
              <w:t>0</w:t>
            </w:r>
          </w:p>
        </w:tc>
        <w:tc>
          <w:tcPr>
            <w:tcW w:w="581" w:type="pct"/>
            <w:noWrap w:val="0"/>
            <w:vAlign w:val="center"/>
          </w:tcPr>
          <w:p w14:paraId="3B25328E">
            <w:pPr>
              <w:jc w:val="center"/>
              <w:rPr>
                <w:rFonts w:eastAsia="楷体_GB2312"/>
              </w:rPr>
            </w:pPr>
            <w:r>
              <w:rPr>
                <w:rFonts w:eastAsia="楷体_GB2312"/>
                <w:kern w:val="0"/>
                <w:sz w:val="22"/>
                <w:szCs w:val="22"/>
              </w:rPr>
              <w:t>/</w:t>
            </w:r>
          </w:p>
        </w:tc>
        <w:tc>
          <w:tcPr>
            <w:tcW w:w="577" w:type="pct"/>
            <w:noWrap w:val="0"/>
            <w:vAlign w:val="center"/>
          </w:tcPr>
          <w:p w14:paraId="1FC184B2">
            <w:pPr>
              <w:jc w:val="center"/>
              <w:rPr>
                <w:rFonts w:eastAsia="楷体_GB2312"/>
              </w:rPr>
            </w:pPr>
            <w:r>
              <w:rPr>
                <w:rFonts w:eastAsia="楷体_GB2312"/>
                <w:kern w:val="0"/>
                <w:sz w:val="22"/>
                <w:szCs w:val="22"/>
              </w:rPr>
              <w:t>0</w:t>
            </w:r>
          </w:p>
        </w:tc>
        <w:tc>
          <w:tcPr>
            <w:tcW w:w="576" w:type="pct"/>
            <w:noWrap w:val="0"/>
            <w:vAlign w:val="center"/>
          </w:tcPr>
          <w:p w14:paraId="3FE36C7A">
            <w:pPr>
              <w:jc w:val="center"/>
              <w:rPr>
                <w:rFonts w:eastAsia="楷体_GB2312"/>
              </w:rPr>
            </w:pPr>
            <w:r>
              <w:rPr>
                <w:rFonts w:eastAsia="楷体_GB2312"/>
                <w:kern w:val="0"/>
                <w:sz w:val="22"/>
                <w:szCs w:val="22"/>
              </w:rPr>
              <w:t>/</w:t>
            </w:r>
          </w:p>
        </w:tc>
        <w:tc>
          <w:tcPr>
            <w:tcW w:w="584" w:type="pct"/>
            <w:noWrap w:val="0"/>
            <w:vAlign w:val="center"/>
          </w:tcPr>
          <w:p w14:paraId="2A8C826F">
            <w:pPr>
              <w:jc w:val="center"/>
              <w:rPr>
                <w:rFonts w:eastAsia="楷体_GB2312"/>
                <w:kern w:val="0"/>
                <w:sz w:val="22"/>
                <w:szCs w:val="22"/>
              </w:rPr>
            </w:pPr>
            <w:r>
              <w:rPr>
                <w:rFonts w:eastAsia="楷体_GB2312"/>
                <w:kern w:val="0"/>
                <w:sz w:val="22"/>
                <w:szCs w:val="22"/>
              </w:rPr>
              <w:t>0</w:t>
            </w:r>
          </w:p>
        </w:tc>
        <w:tc>
          <w:tcPr>
            <w:tcW w:w="569" w:type="pct"/>
            <w:noWrap w:val="0"/>
            <w:vAlign w:val="center"/>
          </w:tcPr>
          <w:p w14:paraId="4444B52A">
            <w:pPr>
              <w:jc w:val="center"/>
              <w:rPr>
                <w:rFonts w:eastAsia="楷体_GB2312"/>
              </w:rPr>
            </w:pPr>
            <w:r>
              <w:rPr>
                <w:rFonts w:eastAsia="楷体_GB2312"/>
                <w:kern w:val="0"/>
                <w:sz w:val="22"/>
                <w:szCs w:val="22"/>
              </w:rPr>
              <w:t>/</w:t>
            </w:r>
          </w:p>
        </w:tc>
      </w:tr>
      <w:tr w14:paraId="281C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0FA04039">
            <w:pPr>
              <w:jc w:val="center"/>
              <w:rPr>
                <w:rFonts w:eastAsia="楷体_GB2312"/>
                <w:kern w:val="0"/>
                <w:sz w:val="22"/>
                <w:szCs w:val="22"/>
              </w:rPr>
            </w:pPr>
            <w:r>
              <w:rPr>
                <w:rFonts w:eastAsia="楷体_GB2312"/>
                <w:kern w:val="0"/>
                <w:sz w:val="22"/>
                <w:szCs w:val="22"/>
              </w:rPr>
              <w:t>18</w:t>
            </w:r>
          </w:p>
        </w:tc>
        <w:tc>
          <w:tcPr>
            <w:tcW w:w="618" w:type="pct"/>
            <w:noWrap w:val="0"/>
            <w:vAlign w:val="center"/>
          </w:tcPr>
          <w:p w14:paraId="1583C45A">
            <w:pPr>
              <w:jc w:val="center"/>
              <w:rPr>
                <w:rFonts w:eastAsia="楷体_GB2312"/>
                <w:kern w:val="0"/>
                <w:szCs w:val="21"/>
              </w:rPr>
            </w:pPr>
            <w:r>
              <w:rPr>
                <w:rFonts w:eastAsia="楷体_GB2312"/>
                <w:kern w:val="0"/>
                <w:szCs w:val="21"/>
              </w:rPr>
              <w:t>大泽乡镇</w:t>
            </w:r>
          </w:p>
        </w:tc>
        <w:tc>
          <w:tcPr>
            <w:tcW w:w="532" w:type="pct"/>
            <w:noWrap w:val="0"/>
            <w:vAlign w:val="center"/>
          </w:tcPr>
          <w:p w14:paraId="7F542730">
            <w:pPr>
              <w:jc w:val="center"/>
              <w:rPr>
                <w:rFonts w:eastAsia="楷体_GB2312"/>
                <w:kern w:val="0"/>
                <w:szCs w:val="21"/>
              </w:rPr>
            </w:pPr>
            <w:r>
              <w:rPr>
                <w:rFonts w:eastAsia="楷体_GB2312"/>
                <w:kern w:val="0"/>
                <w:szCs w:val="21"/>
              </w:rPr>
              <w:t>1</w:t>
            </w:r>
          </w:p>
        </w:tc>
        <w:tc>
          <w:tcPr>
            <w:tcW w:w="577" w:type="pct"/>
            <w:noWrap w:val="0"/>
            <w:vAlign w:val="center"/>
          </w:tcPr>
          <w:p w14:paraId="438610A0">
            <w:pPr>
              <w:jc w:val="center"/>
              <w:rPr>
                <w:rFonts w:eastAsia="楷体_GB2312"/>
              </w:rPr>
            </w:pPr>
            <w:r>
              <w:rPr>
                <w:rFonts w:eastAsia="楷体_GB2312"/>
                <w:kern w:val="0"/>
                <w:sz w:val="22"/>
                <w:szCs w:val="22"/>
              </w:rPr>
              <w:t>0</w:t>
            </w:r>
          </w:p>
        </w:tc>
        <w:tc>
          <w:tcPr>
            <w:tcW w:w="581" w:type="pct"/>
            <w:noWrap w:val="0"/>
            <w:vAlign w:val="center"/>
          </w:tcPr>
          <w:p w14:paraId="12A0418A">
            <w:pPr>
              <w:jc w:val="center"/>
              <w:rPr>
                <w:rFonts w:eastAsia="楷体_GB2312"/>
              </w:rPr>
            </w:pPr>
            <w:r>
              <w:rPr>
                <w:rFonts w:eastAsia="楷体_GB2312"/>
                <w:kern w:val="0"/>
                <w:sz w:val="22"/>
                <w:szCs w:val="22"/>
              </w:rPr>
              <w:t>/</w:t>
            </w:r>
          </w:p>
        </w:tc>
        <w:tc>
          <w:tcPr>
            <w:tcW w:w="577" w:type="pct"/>
            <w:noWrap w:val="0"/>
            <w:vAlign w:val="center"/>
          </w:tcPr>
          <w:p w14:paraId="0E23CFB6">
            <w:pPr>
              <w:jc w:val="center"/>
              <w:rPr>
                <w:rFonts w:eastAsia="楷体_GB2312"/>
              </w:rPr>
            </w:pPr>
            <w:r>
              <w:rPr>
                <w:rFonts w:eastAsia="楷体_GB2312"/>
                <w:kern w:val="0"/>
                <w:sz w:val="22"/>
                <w:szCs w:val="22"/>
              </w:rPr>
              <w:t>0</w:t>
            </w:r>
          </w:p>
        </w:tc>
        <w:tc>
          <w:tcPr>
            <w:tcW w:w="576" w:type="pct"/>
            <w:noWrap w:val="0"/>
            <w:vAlign w:val="center"/>
          </w:tcPr>
          <w:p w14:paraId="7A10FC22">
            <w:pPr>
              <w:jc w:val="center"/>
              <w:rPr>
                <w:rFonts w:eastAsia="楷体_GB2312"/>
              </w:rPr>
            </w:pPr>
            <w:r>
              <w:rPr>
                <w:rFonts w:eastAsia="楷体_GB2312"/>
                <w:kern w:val="0"/>
                <w:sz w:val="22"/>
                <w:szCs w:val="22"/>
              </w:rPr>
              <w:t>/</w:t>
            </w:r>
          </w:p>
        </w:tc>
        <w:tc>
          <w:tcPr>
            <w:tcW w:w="584" w:type="pct"/>
            <w:noWrap w:val="0"/>
            <w:vAlign w:val="center"/>
          </w:tcPr>
          <w:p w14:paraId="6BA0DC0C">
            <w:pPr>
              <w:jc w:val="center"/>
              <w:rPr>
                <w:rFonts w:eastAsia="楷体_GB2312"/>
                <w:kern w:val="0"/>
                <w:sz w:val="22"/>
                <w:szCs w:val="22"/>
              </w:rPr>
            </w:pPr>
            <w:r>
              <w:rPr>
                <w:rFonts w:eastAsia="楷体_GB2312"/>
                <w:kern w:val="0"/>
                <w:sz w:val="22"/>
                <w:szCs w:val="22"/>
              </w:rPr>
              <w:t>1</w:t>
            </w:r>
          </w:p>
        </w:tc>
        <w:tc>
          <w:tcPr>
            <w:tcW w:w="569" w:type="pct"/>
            <w:noWrap w:val="0"/>
            <w:vAlign w:val="center"/>
          </w:tcPr>
          <w:p w14:paraId="6C91BD64">
            <w:pPr>
              <w:jc w:val="center"/>
              <w:rPr>
                <w:rFonts w:eastAsia="楷体_GB2312"/>
              </w:rPr>
            </w:pPr>
            <w:r>
              <w:rPr>
                <w:rFonts w:eastAsia="楷体_GB2312"/>
                <w:kern w:val="0"/>
                <w:sz w:val="22"/>
                <w:szCs w:val="22"/>
              </w:rPr>
              <w:t>144</w:t>
            </w:r>
          </w:p>
        </w:tc>
      </w:tr>
      <w:tr w14:paraId="22F74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45159E5F">
            <w:pPr>
              <w:jc w:val="center"/>
              <w:rPr>
                <w:rFonts w:eastAsia="楷体_GB2312"/>
                <w:kern w:val="0"/>
                <w:sz w:val="22"/>
                <w:szCs w:val="22"/>
              </w:rPr>
            </w:pPr>
            <w:r>
              <w:rPr>
                <w:rFonts w:eastAsia="楷体_GB2312"/>
                <w:kern w:val="0"/>
                <w:sz w:val="22"/>
                <w:szCs w:val="22"/>
              </w:rPr>
              <w:t>19</w:t>
            </w:r>
          </w:p>
        </w:tc>
        <w:tc>
          <w:tcPr>
            <w:tcW w:w="618" w:type="pct"/>
            <w:noWrap w:val="0"/>
            <w:vAlign w:val="center"/>
          </w:tcPr>
          <w:p w14:paraId="30722D25">
            <w:pPr>
              <w:jc w:val="center"/>
              <w:rPr>
                <w:rFonts w:eastAsia="楷体_GB2312"/>
                <w:kern w:val="0"/>
                <w:szCs w:val="21"/>
              </w:rPr>
            </w:pPr>
            <w:r>
              <w:rPr>
                <w:rFonts w:eastAsia="楷体_GB2312"/>
                <w:kern w:val="0"/>
                <w:szCs w:val="21"/>
              </w:rPr>
              <w:t>永安镇</w:t>
            </w:r>
          </w:p>
        </w:tc>
        <w:tc>
          <w:tcPr>
            <w:tcW w:w="532" w:type="pct"/>
            <w:noWrap w:val="0"/>
            <w:vAlign w:val="center"/>
          </w:tcPr>
          <w:p w14:paraId="116D6C9D">
            <w:pPr>
              <w:jc w:val="center"/>
              <w:rPr>
                <w:rFonts w:eastAsia="楷体_GB2312"/>
                <w:kern w:val="0"/>
                <w:szCs w:val="21"/>
              </w:rPr>
            </w:pPr>
            <w:r>
              <w:rPr>
                <w:rFonts w:eastAsia="楷体_GB2312"/>
                <w:kern w:val="0"/>
                <w:szCs w:val="21"/>
              </w:rPr>
              <w:t>0</w:t>
            </w:r>
          </w:p>
        </w:tc>
        <w:tc>
          <w:tcPr>
            <w:tcW w:w="577" w:type="pct"/>
            <w:noWrap w:val="0"/>
            <w:vAlign w:val="center"/>
          </w:tcPr>
          <w:p w14:paraId="518ACDD6">
            <w:pPr>
              <w:jc w:val="center"/>
              <w:rPr>
                <w:rFonts w:eastAsia="楷体_GB2312"/>
              </w:rPr>
            </w:pPr>
            <w:r>
              <w:rPr>
                <w:rFonts w:eastAsia="楷体_GB2312"/>
                <w:kern w:val="0"/>
                <w:sz w:val="22"/>
                <w:szCs w:val="22"/>
              </w:rPr>
              <w:t>0</w:t>
            </w:r>
          </w:p>
        </w:tc>
        <w:tc>
          <w:tcPr>
            <w:tcW w:w="581" w:type="pct"/>
            <w:noWrap w:val="0"/>
            <w:vAlign w:val="center"/>
          </w:tcPr>
          <w:p w14:paraId="602AF331">
            <w:pPr>
              <w:jc w:val="center"/>
              <w:rPr>
                <w:rFonts w:eastAsia="楷体_GB2312"/>
              </w:rPr>
            </w:pPr>
            <w:r>
              <w:rPr>
                <w:rFonts w:eastAsia="楷体_GB2312"/>
                <w:kern w:val="0"/>
                <w:sz w:val="22"/>
                <w:szCs w:val="22"/>
              </w:rPr>
              <w:t>/</w:t>
            </w:r>
          </w:p>
        </w:tc>
        <w:tc>
          <w:tcPr>
            <w:tcW w:w="577" w:type="pct"/>
            <w:noWrap w:val="0"/>
            <w:vAlign w:val="center"/>
          </w:tcPr>
          <w:p w14:paraId="60B99FBD">
            <w:pPr>
              <w:jc w:val="center"/>
              <w:rPr>
                <w:rFonts w:eastAsia="楷体_GB2312"/>
              </w:rPr>
            </w:pPr>
            <w:r>
              <w:rPr>
                <w:rFonts w:eastAsia="楷体_GB2312"/>
                <w:kern w:val="0"/>
                <w:sz w:val="22"/>
                <w:szCs w:val="22"/>
              </w:rPr>
              <w:t>0</w:t>
            </w:r>
          </w:p>
        </w:tc>
        <w:tc>
          <w:tcPr>
            <w:tcW w:w="576" w:type="pct"/>
            <w:noWrap w:val="0"/>
            <w:vAlign w:val="center"/>
          </w:tcPr>
          <w:p w14:paraId="077C6894">
            <w:pPr>
              <w:jc w:val="center"/>
              <w:rPr>
                <w:rFonts w:eastAsia="楷体_GB2312"/>
              </w:rPr>
            </w:pPr>
            <w:r>
              <w:rPr>
                <w:rFonts w:eastAsia="楷体_GB2312"/>
                <w:kern w:val="0"/>
                <w:sz w:val="22"/>
                <w:szCs w:val="22"/>
              </w:rPr>
              <w:t>/</w:t>
            </w:r>
          </w:p>
        </w:tc>
        <w:tc>
          <w:tcPr>
            <w:tcW w:w="584" w:type="pct"/>
            <w:noWrap w:val="0"/>
            <w:vAlign w:val="center"/>
          </w:tcPr>
          <w:p w14:paraId="1A99DA99">
            <w:pPr>
              <w:jc w:val="center"/>
              <w:rPr>
                <w:rFonts w:eastAsia="楷体_GB2312"/>
              </w:rPr>
            </w:pPr>
            <w:r>
              <w:rPr>
                <w:rFonts w:eastAsia="楷体_GB2312"/>
                <w:kern w:val="0"/>
                <w:sz w:val="22"/>
                <w:szCs w:val="22"/>
              </w:rPr>
              <w:t>0</w:t>
            </w:r>
          </w:p>
        </w:tc>
        <w:tc>
          <w:tcPr>
            <w:tcW w:w="569" w:type="pct"/>
            <w:noWrap w:val="0"/>
            <w:vAlign w:val="center"/>
          </w:tcPr>
          <w:p w14:paraId="3E37A516">
            <w:pPr>
              <w:jc w:val="center"/>
              <w:rPr>
                <w:rFonts w:eastAsia="楷体_GB2312"/>
              </w:rPr>
            </w:pPr>
            <w:r>
              <w:rPr>
                <w:rFonts w:eastAsia="楷体_GB2312"/>
                <w:kern w:val="0"/>
                <w:sz w:val="22"/>
                <w:szCs w:val="22"/>
              </w:rPr>
              <w:t>/</w:t>
            </w:r>
          </w:p>
        </w:tc>
      </w:tr>
      <w:tr w14:paraId="12A6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68F71E8A">
            <w:pPr>
              <w:jc w:val="center"/>
              <w:rPr>
                <w:rFonts w:eastAsia="楷体_GB2312"/>
                <w:kern w:val="0"/>
                <w:sz w:val="22"/>
                <w:szCs w:val="22"/>
              </w:rPr>
            </w:pPr>
            <w:r>
              <w:rPr>
                <w:rFonts w:eastAsia="楷体_GB2312"/>
                <w:kern w:val="0"/>
                <w:sz w:val="22"/>
                <w:szCs w:val="22"/>
              </w:rPr>
              <w:t>20</w:t>
            </w:r>
          </w:p>
        </w:tc>
        <w:tc>
          <w:tcPr>
            <w:tcW w:w="618" w:type="pct"/>
            <w:noWrap w:val="0"/>
            <w:vAlign w:val="center"/>
          </w:tcPr>
          <w:p w14:paraId="0B9D8A92">
            <w:pPr>
              <w:jc w:val="center"/>
              <w:rPr>
                <w:rFonts w:eastAsia="楷体_GB2312"/>
                <w:kern w:val="0"/>
                <w:szCs w:val="21"/>
              </w:rPr>
            </w:pPr>
            <w:r>
              <w:rPr>
                <w:rFonts w:eastAsia="楷体_GB2312"/>
                <w:kern w:val="0"/>
                <w:szCs w:val="21"/>
              </w:rPr>
              <w:t>支河乡</w:t>
            </w:r>
          </w:p>
        </w:tc>
        <w:tc>
          <w:tcPr>
            <w:tcW w:w="532" w:type="pct"/>
            <w:noWrap w:val="0"/>
            <w:vAlign w:val="center"/>
          </w:tcPr>
          <w:p w14:paraId="230B7F28">
            <w:pPr>
              <w:jc w:val="center"/>
              <w:rPr>
                <w:rFonts w:eastAsia="楷体_GB2312"/>
                <w:kern w:val="0"/>
                <w:szCs w:val="21"/>
              </w:rPr>
            </w:pPr>
            <w:r>
              <w:rPr>
                <w:rFonts w:eastAsia="楷体_GB2312"/>
                <w:kern w:val="0"/>
                <w:szCs w:val="21"/>
              </w:rPr>
              <w:t>0</w:t>
            </w:r>
          </w:p>
        </w:tc>
        <w:tc>
          <w:tcPr>
            <w:tcW w:w="577" w:type="pct"/>
            <w:noWrap w:val="0"/>
            <w:vAlign w:val="center"/>
          </w:tcPr>
          <w:p w14:paraId="1417D4F7">
            <w:pPr>
              <w:jc w:val="center"/>
              <w:rPr>
                <w:rFonts w:eastAsia="楷体_GB2312"/>
              </w:rPr>
            </w:pPr>
            <w:r>
              <w:rPr>
                <w:rFonts w:eastAsia="楷体_GB2312"/>
                <w:kern w:val="0"/>
                <w:sz w:val="22"/>
                <w:szCs w:val="22"/>
              </w:rPr>
              <w:t>0</w:t>
            </w:r>
          </w:p>
        </w:tc>
        <w:tc>
          <w:tcPr>
            <w:tcW w:w="581" w:type="pct"/>
            <w:noWrap w:val="0"/>
            <w:vAlign w:val="center"/>
          </w:tcPr>
          <w:p w14:paraId="1764CB1E">
            <w:pPr>
              <w:jc w:val="center"/>
              <w:rPr>
                <w:rFonts w:eastAsia="楷体_GB2312"/>
              </w:rPr>
            </w:pPr>
            <w:r>
              <w:rPr>
                <w:rFonts w:eastAsia="楷体_GB2312"/>
                <w:kern w:val="0"/>
                <w:sz w:val="22"/>
                <w:szCs w:val="22"/>
              </w:rPr>
              <w:t>/</w:t>
            </w:r>
          </w:p>
        </w:tc>
        <w:tc>
          <w:tcPr>
            <w:tcW w:w="577" w:type="pct"/>
            <w:noWrap w:val="0"/>
            <w:vAlign w:val="center"/>
          </w:tcPr>
          <w:p w14:paraId="4A126420">
            <w:pPr>
              <w:jc w:val="center"/>
              <w:rPr>
                <w:rFonts w:eastAsia="楷体_GB2312"/>
              </w:rPr>
            </w:pPr>
            <w:r>
              <w:rPr>
                <w:rFonts w:eastAsia="楷体_GB2312"/>
                <w:kern w:val="0"/>
                <w:sz w:val="22"/>
                <w:szCs w:val="22"/>
              </w:rPr>
              <w:t>0</w:t>
            </w:r>
          </w:p>
        </w:tc>
        <w:tc>
          <w:tcPr>
            <w:tcW w:w="576" w:type="pct"/>
            <w:noWrap w:val="0"/>
            <w:vAlign w:val="center"/>
          </w:tcPr>
          <w:p w14:paraId="7700BD41">
            <w:pPr>
              <w:jc w:val="center"/>
              <w:rPr>
                <w:rFonts w:eastAsia="楷体_GB2312"/>
              </w:rPr>
            </w:pPr>
            <w:r>
              <w:rPr>
                <w:rFonts w:eastAsia="楷体_GB2312"/>
                <w:kern w:val="0"/>
                <w:sz w:val="22"/>
                <w:szCs w:val="22"/>
              </w:rPr>
              <w:t>/</w:t>
            </w:r>
          </w:p>
        </w:tc>
        <w:tc>
          <w:tcPr>
            <w:tcW w:w="584" w:type="pct"/>
            <w:noWrap w:val="0"/>
            <w:vAlign w:val="center"/>
          </w:tcPr>
          <w:p w14:paraId="17081185">
            <w:pPr>
              <w:jc w:val="center"/>
              <w:rPr>
                <w:rFonts w:eastAsia="楷体_GB2312"/>
              </w:rPr>
            </w:pPr>
            <w:r>
              <w:rPr>
                <w:rFonts w:eastAsia="楷体_GB2312"/>
                <w:kern w:val="0"/>
                <w:sz w:val="22"/>
                <w:szCs w:val="22"/>
              </w:rPr>
              <w:t>0</w:t>
            </w:r>
          </w:p>
        </w:tc>
        <w:tc>
          <w:tcPr>
            <w:tcW w:w="569" w:type="pct"/>
            <w:noWrap w:val="0"/>
            <w:vAlign w:val="center"/>
          </w:tcPr>
          <w:p w14:paraId="539A7685">
            <w:pPr>
              <w:jc w:val="center"/>
              <w:rPr>
                <w:rFonts w:eastAsia="楷体_GB2312"/>
              </w:rPr>
            </w:pPr>
            <w:r>
              <w:rPr>
                <w:rFonts w:eastAsia="楷体_GB2312"/>
                <w:kern w:val="0"/>
                <w:sz w:val="22"/>
                <w:szCs w:val="22"/>
              </w:rPr>
              <w:t>/</w:t>
            </w:r>
          </w:p>
        </w:tc>
      </w:tr>
      <w:tr w14:paraId="02FF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72590820">
            <w:pPr>
              <w:jc w:val="center"/>
              <w:rPr>
                <w:rFonts w:eastAsia="楷体_GB2312"/>
                <w:kern w:val="0"/>
                <w:sz w:val="22"/>
                <w:szCs w:val="22"/>
              </w:rPr>
            </w:pPr>
            <w:r>
              <w:rPr>
                <w:rFonts w:eastAsia="楷体_GB2312"/>
                <w:kern w:val="0"/>
                <w:sz w:val="22"/>
                <w:szCs w:val="22"/>
              </w:rPr>
              <w:t>21</w:t>
            </w:r>
          </w:p>
        </w:tc>
        <w:tc>
          <w:tcPr>
            <w:tcW w:w="618" w:type="pct"/>
            <w:noWrap w:val="0"/>
            <w:vAlign w:val="center"/>
          </w:tcPr>
          <w:p w14:paraId="7371661D">
            <w:pPr>
              <w:jc w:val="center"/>
              <w:rPr>
                <w:rFonts w:eastAsia="楷体_GB2312"/>
                <w:kern w:val="0"/>
                <w:szCs w:val="21"/>
              </w:rPr>
            </w:pPr>
            <w:r>
              <w:rPr>
                <w:rFonts w:eastAsia="楷体_GB2312"/>
                <w:kern w:val="0"/>
                <w:szCs w:val="21"/>
              </w:rPr>
              <w:t>灰古镇</w:t>
            </w:r>
          </w:p>
        </w:tc>
        <w:tc>
          <w:tcPr>
            <w:tcW w:w="532" w:type="pct"/>
            <w:noWrap w:val="0"/>
            <w:vAlign w:val="center"/>
          </w:tcPr>
          <w:p w14:paraId="51EE3813">
            <w:pPr>
              <w:jc w:val="center"/>
              <w:rPr>
                <w:rFonts w:eastAsia="楷体_GB2312"/>
                <w:kern w:val="0"/>
                <w:szCs w:val="21"/>
              </w:rPr>
            </w:pPr>
            <w:r>
              <w:rPr>
                <w:rFonts w:eastAsia="楷体_GB2312"/>
                <w:kern w:val="0"/>
                <w:szCs w:val="21"/>
              </w:rPr>
              <w:t>2</w:t>
            </w:r>
          </w:p>
        </w:tc>
        <w:tc>
          <w:tcPr>
            <w:tcW w:w="577" w:type="pct"/>
            <w:noWrap w:val="0"/>
            <w:vAlign w:val="center"/>
          </w:tcPr>
          <w:p w14:paraId="176940B3">
            <w:pPr>
              <w:jc w:val="center"/>
              <w:rPr>
                <w:rFonts w:eastAsia="楷体_GB2312"/>
              </w:rPr>
            </w:pPr>
            <w:r>
              <w:rPr>
                <w:rFonts w:eastAsia="楷体_GB2312"/>
                <w:kern w:val="0"/>
                <w:sz w:val="22"/>
                <w:szCs w:val="22"/>
              </w:rPr>
              <w:t>0</w:t>
            </w:r>
          </w:p>
        </w:tc>
        <w:tc>
          <w:tcPr>
            <w:tcW w:w="581" w:type="pct"/>
            <w:noWrap w:val="0"/>
            <w:vAlign w:val="center"/>
          </w:tcPr>
          <w:p w14:paraId="7813ABA3">
            <w:pPr>
              <w:jc w:val="center"/>
              <w:rPr>
                <w:rFonts w:eastAsia="楷体_GB2312"/>
              </w:rPr>
            </w:pPr>
            <w:r>
              <w:rPr>
                <w:rFonts w:eastAsia="楷体_GB2312"/>
                <w:kern w:val="0"/>
                <w:sz w:val="22"/>
                <w:szCs w:val="22"/>
              </w:rPr>
              <w:t>/</w:t>
            </w:r>
          </w:p>
        </w:tc>
        <w:tc>
          <w:tcPr>
            <w:tcW w:w="577" w:type="pct"/>
            <w:noWrap w:val="0"/>
            <w:vAlign w:val="center"/>
          </w:tcPr>
          <w:p w14:paraId="52BAD804">
            <w:pPr>
              <w:jc w:val="center"/>
              <w:rPr>
                <w:rFonts w:eastAsia="楷体_GB2312"/>
                <w:kern w:val="0"/>
                <w:szCs w:val="21"/>
              </w:rPr>
            </w:pPr>
            <w:r>
              <w:rPr>
                <w:rFonts w:eastAsia="楷体_GB2312"/>
                <w:kern w:val="0"/>
                <w:szCs w:val="21"/>
              </w:rPr>
              <w:t>1</w:t>
            </w:r>
          </w:p>
        </w:tc>
        <w:tc>
          <w:tcPr>
            <w:tcW w:w="576" w:type="pct"/>
            <w:noWrap w:val="0"/>
            <w:vAlign w:val="center"/>
          </w:tcPr>
          <w:p w14:paraId="791014F3">
            <w:pPr>
              <w:jc w:val="center"/>
              <w:rPr>
                <w:rFonts w:eastAsia="楷体_GB2312"/>
              </w:rPr>
            </w:pPr>
            <w:r>
              <w:rPr>
                <w:rFonts w:eastAsia="楷体_GB2312"/>
                <w:kern w:val="0"/>
                <w:sz w:val="22"/>
                <w:szCs w:val="22"/>
              </w:rPr>
              <w:t>155</w:t>
            </w:r>
          </w:p>
        </w:tc>
        <w:tc>
          <w:tcPr>
            <w:tcW w:w="584" w:type="pct"/>
            <w:noWrap w:val="0"/>
            <w:vAlign w:val="center"/>
          </w:tcPr>
          <w:p w14:paraId="0F36112C">
            <w:pPr>
              <w:jc w:val="center"/>
              <w:rPr>
                <w:rFonts w:eastAsia="楷体_GB2312"/>
                <w:kern w:val="0"/>
                <w:sz w:val="22"/>
                <w:szCs w:val="22"/>
              </w:rPr>
            </w:pPr>
            <w:r>
              <w:rPr>
                <w:rFonts w:eastAsia="楷体_GB2312"/>
                <w:kern w:val="0"/>
                <w:sz w:val="22"/>
                <w:szCs w:val="22"/>
              </w:rPr>
              <w:t>1</w:t>
            </w:r>
          </w:p>
        </w:tc>
        <w:tc>
          <w:tcPr>
            <w:tcW w:w="569" w:type="pct"/>
            <w:noWrap w:val="0"/>
            <w:vAlign w:val="center"/>
          </w:tcPr>
          <w:p w14:paraId="3D6D2F2E">
            <w:pPr>
              <w:jc w:val="center"/>
              <w:rPr>
                <w:rFonts w:eastAsia="楷体_GB2312"/>
              </w:rPr>
            </w:pPr>
            <w:r>
              <w:rPr>
                <w:rFonts w:eastAsia="楷体_GB2312"/>
                <w:kern w:val="0"/>
                <w:sz w:val="22"/>
                <w:szCs w:val="22"/>
              </w:rPr>
              <w:t>144</w:t>
            </w:r>
          </w:p>
        </w:tc>
      </w:tr>
      <w:tr w14:paraId="0611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2DA12FB8">
            <w:pPr>
              <w:jc w:val="center"/>
              <w:rPr>
                <w:rFonts w:eastAsia="楷体_GB2312"/>
                <w:kern w:val="0"/>
                <w:sz w:val="22"/>
                <w:szCs w:val="22"/>
              </w:rPr>
            </w:pPr>
            <w:r>
              <w:rPr>
                <w:rFonts w:eastAsia="楷体_GB2312"/>
                <w:kern w:val="0"/>
                <w:sz w:val="22"/>
                <w:szCs w:val="22"/>
              </w:rPr>
              <w:t>22</w:t>
            </w:r>
          </w:p>
        </w:tc>
        <w:tc>
          <w:tcPr>
            <w:tcW w:w="618" w:type="pct"/>
            <w:noWrap w:val="0"/>
            <w:vAlign w:val="center"/>
          </w:tcPr>
          <w:p w14:paraId="34A4C548">
            <w:pPr>
              <w:jc w:val="center"/>
              <w:rPr>
                <w:rFonts w:eastAsia="楷体_GB2312"/>
                <w:kern w:val="0"/>
                <w:szCs w:val="21"/>
              </w:rPr>
            </w:pPr>
            <w:r>
              <w:rPr>
                <w:rFonts w:eastAsia="楷体_GB2312"/>
                <w:kern w:val="0"/>
                <w:szCs w:val="21"/>
              </w:rPr>
              <w:t>桃沟乡</w:t>
            </w:r>
          </w:p>
        </w:tc>
        <w:tc>
          <w:tcPr>
            <w:tcW w:w="532" w:type="pct"/>
            <w:noWrap w:val="0"/>
            <w:vAlign w:val="center"/>
          </w:tcPr>
          <w:p w14:paraId="63F7F42E">
            <w:pPr>
              <w:jc w:val="center"/>
              <w:rPr>
                <w:rFonts w:eastAsia="楷体_GB2312"/>
                <w:kern w:val="0"/>
                <w:szCs w:val="21"/>
              </w:rPr>
            </w:pPr>
            <w:r>
              <w:rPr>
                <w:rFonts w:eastAsia="楷体_GB2312"/>
                <w:kern w:val="0"/>
                <w:szCs w:val="21"/>
              </w:rPr>
              <w:t>1</w:t>
            </w:r>
          </w:p>
        </w:tc>
        <w:tc>
          <w:tcPr>
            <w:tcW w:w="577" w:type="pct"/>
            <w:noWrap w:val="0"/>
            <w:vAlign w:val="center"/>
          </w:tcPr>
          <w:p w14:paraId="3984D3E2">
            <w:pPr>
              <w:jc w:val="center"/>
              <w:rPr>
                <w:rFonts w:eastAsia="楷体_GB2312"/>
              </w:rPr>
            </w:pPr>
            <w:r>
              <w:rPr>
                <w:rFonts w:eastAsia="楷体_GB2312"/>
                <w:kern w:val="0"/>
                <w:sz w:val="22"/>
                <w:szCs w:val="22"/>
              </w:rPr>
              <w:t>0</w:t>
            </w:r>
          </w:p>
        </w:tc>
        <w:tc>
          <w:tcPr>
            <w:tcW w:w="581" w:type="pct"/>
            <w:noWrap w:val="0"/>
            <w:vAlign w:val="center"/>
          </w:tcPr>
          <w:p w14:paraId="45863415">
            <w:pPr>
              <w:jc w:val="center"/>
              <w:rPr>
                <w:rFonts w:eastAsia="楷体_GB2312"/>
              </w:rPr>
            </w:pPr>
            <w:r>
              <w:rPr>
                <w:rFonts w:eastAsia="楷体_GB2312"/>
                <w:kern w:val="0"/>
                <w:sz w:val="22"/>
                <w:szCs w:val="22"/>
              </w:rPr>
              <w:t>/</w:t>
            </w:r>
          </w:p>
        </w:tc>
        <w:tc>
          <w:tcPr>
            <w:tcW w:w="577" w:type="pct"/>
            <w:noWrap w:val="0"/>
            <w:vAlign w:val="center"/>
          </w:tcPr>
          <w:p w14:paraId="34580479">
            <w:pPr>
              <w:jc w:val="center"/>
              <w:rPr>
                <w:rFonts w:eastAsia="楷体_GB2312"/>
                <w:kern w:val="0"/>
                <w:szCs w:val="21"/>
              </w:rPr>
            </w:pPr>
            <w:r>
              <w:rPr>
                <w:rFonts w:eastAsia="楷体_GB2312"/>
                <w:kern w:val="0"/>
                <w:sz w:val="22"/>
                <w:szCs w:val="22"/>
              </w:rPr>
              <w:t>0</w:t>
            </w:r>
          </w:p>
        </w:tc>
        <w:tc>
          <w:tcPr>
            <w:tcW w:w="576" w:type="pct"/>
            <w:noWrap w:val="0"/>
            <w:vAlign w:val="center"/>
          </w:tcPr>
          <w:p w14:paraId="705202A7">
            <w:pPr>
              <w:jc w:val="center"/>
              <w:rPr>
                <w:rFonts w:eastAsia="楷体_GB2312"/>
              </w:rPr>
            </w:pPr>
            <w:r>
              <w:rPr>
                <w:rFonts w:eastAsia="楷体_GB2312"/>
                <w:kern w:val="0"/>
                <w:sz w:val="22"/>
                <w:szCs w:val="22"/>
              </w:rPr>
              <w:t>/</w:t>
            </w:r>
          </w:p>
        </w:tc>
        <w:tc>
          <w:tcPr>
            <w:tcW w:w="584" w:type="pct"/>
            <w:noWrap w:val="0"/>
            <w:vAlign w:val="center"/>
          </w:tcPr>
          <w:p w14:paraId="4DA77584">
            <w:pPr>
              <w:jc w:val="center"/>
              <w:rPr>
                <w:rFonts w:eastAsia="楷体_GB2312"/>
                <w:kern w:val="0"/>
                <w:sz w:val="22"/>
                <w:szCs w:val="22"/>
              </w:rPr>
            </w:pPr>
            <w:r>
              <w:rPr>
                <w:rFonts w:eastAsia="楷体_GB2312"/>
                <w:kern w:val="0"/>
                <w:sz w:val="22"/>
                <w:szCs w:val="22"/>
              </w:rPr>
              <w:t>1</w:t>
            </w:r>
          </w:p>
        </w:tc>
        <w:tc>
          <w:tcPr>
            <w:tcW w:w="569" w:type="pct"/>
            <w:noWrap w:val="0"/>
            <w:vAlign w:val="center"/>
          </w:tcPr>
          <w:p w14:paraId="70E2FB65">
            <w:pPr>
              <w:jc w:val="center"/>
              <w:rPr>
                <w:rFonts w:eastAsia="楷体_GB2312"/>
              </w:rPr>
            </w:pPr>
            <w:r>
              <w:rPr>
                <w:rFonts w:eastAsia="楷体_GB2312"/>
                <w:kern w:val="0"/>
                <w:sz w:val="22"/>
                <w:szCs w:val="22"/>
              </w:rPr>
              <w:t>144</w:t>
            </w:r>
          </w:p>
        </w:tc>
      </w:tr>
      <w:tr w14:paraId="6A36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0AA50491">
            <w:pPr>
              <w:jc w:val="center"/>
              <w:rPr>
                <w:rFonts w:eastAsia="楷体_GB2312"/>
                <w:kern w:val="0"/>
                <w:sz w:val="22"/>
                <w:szCs w:val="22"/>
              </w:rPr>
            </w:pPr>
            <w:r>
              <w:rPr>
                <w:rFonts w:eastAsia="楷体_GB2312"/>
                <w:kern w:val="0"/>
                <w:sz w:val="22"/>
                <w:szCs w:val="22"/>
              </w:rPr>
              <w:t>23</w:t>
            </w:r>
          </w:p>
        </w:tc>
        <w:tc>
          <w:tcPr>
            <w:tcW w:w="618" w:type="pct"/>
            <w:noWrap w:val="0"/>
            <w:vAlign w:val="center"/>
          </w:tcPr>
          <w:p w14:paraId="6CC876D2">
            <w:pPr>
              <w:jc w:val="center"/>
              <w:rPr>
                <w:rFonts w:eastAsia="楷体_GB2312"/>
                <w:kern w:val="0"/>
                <w:szCs w:val="21"/>
              </w:rPr>
            </w:pPr>
            <w:r>
              <w:rPr>
                <w:rFonts w:eastAsia="楷体_GB2312"/>
                <w:kern w:val="0"/>
                <w:szCs w:val="21"/>
              </w:rPr>
              <w:t>曹村开发区</w:t>
            </w:r>
          </w:p>
        </w:tc>
        <w:tc>
          <w:tcPr>
            <w:tcW w:w="532" w:type="pct"/>
            <w:noWrap w:val="0"/>
            <w:vAlign w:val="center"/>
          </w:tcPr>
          <w:p w14:paraId="3D37DEF8">
            <w:pPr>
              <w:jc w:val="center"/>
              <w:rPr>
                <w:rFonts w:eastAsia="楷体_GB2312"/>
                <w:kern w:val="0"/>
                <w:szCs w:val="21"/>
              </w:rPr>
            </w:pPr>
            <w:r>
              <w:rPr>
                <w:rFonts w:eastAsia="楷体_GB2312"/>
                <w:kern w:val="0"/>
                <w:szCs w:val="21"/>
              </w:rPr>
              <w:t>31</w:t>
            </w:r>
          </w:p>
        </w:tc>
        <w:tc>
          <w:tcPr>
            <w:tcW w:w="3464" w:type="pct"/>
            <w:gridSpan w:val="6"/>
            <w:noWrap w:val="0"/>
            <w:vAlign w:val="center"/>
          </w:tcPr>
          <w:p w14:paraId="57698E9F">
            <w:pPr>
              <w:jc w:val="center"/>
              <w:rPr>
                <w:rFonts w:eastAsia="楷体_GB2312"/>
                <w:kern w:val="0"/>
                <w:sz w:val="22"/>
                <w:szCs w:val="22"/>
              </w:rPr>
            </w:pPr>
            <w:r>
              <w:rPr>
                <w:rFonts w:eastAsia="楷体_GB2312"/>
                <w:kern w:val="0"/>
                <w:sz w:val="22"/>
                <w:szCs w:val="22"/>
              </w:rPr>
              <w:t>155</w:t>
            </w:r>
          </w:p>
        </w:tc>
      </w:tr>
      <w:tr w14:paraId="0A7D5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4C84D773">
            <w:pPr>
              <w:jc w:val="center"/>
              <w:rPr>
                <w:rFonts w:eastAsia="楷体_GB2312"/>
                <w:kern w:val="0"/>
                <w:sz w:val="22"/>
                <w:szCs w:val="22"/>
              </w:rPr>
            </w:pPr>
            <w:r>
              <w:rPr>
                <w:rFonts w:eastAsia="楷体_GB2312"/>
                <w:kern w:val="0"/>
                <w:sz w:val="22"/>
                <w:szCs w:val="22"/>
              </w:rPr>
              <w:t>24</w:t>
            </w:r>
          </w:p>
        </w:tc>
        <w:tc>
          <w:tcPr>
            <w:tcW w:w="618" w:type="pct"/>
            <w:noWrap w:val="0"/>
            <w:vAlign w:val="center"/>
          </w:tcPr>
          <w:p w14:paraId="632223DE">
            <w:pPr>
              <w:jc w:val="center"/>
              <w:rPr>
                <w:rFonts w:eastAsia="楷体_GB2312"/>
                <w:kern w:val="0"/>
                <w:szCs w:val="21"/>
              </w:rPr>
            </w:pPr>
            <w:r>
              <w:rPr>
                <w:rFonts w:eastAsia="楷体_GB2312"/>
                <w:kern w:val="0"/>
                <w:szCs w:val="21"/>
              </w:rPr>
              <w:t>家具产业园</w:t>
            </w:r>
          </w:p>
        </w:tc>
        <w:tc>
          <w:tcPr>
            <w:tcW w:w="532" w:type="pct"/>
            <w:noWrap w:val="0"/>
            <w:vAlign w:val="center"/>
          </w:tcPr>
          <w:p w14:paraId="64E06902">
            <w:pPr>
              <w:jc w:val="center"/>
              <w:rPr>
                <w:rFonts w:eastAsia="楷体_GB2312"/>
                <w:kern w:val="0"/>
                <w:szCs w:val="21"/>
              </w:rPr>
            </w:pPr>
            <w:r>
              <w:rPr>
                <w:rFonts w:eastAsia="楷体_GB2312"/>
                <w:kern w:val="0"/>
                <w:szCs w:val="21"/>
              </w:rPr>
              <w:t>5</w:t>
            </w:r>
          </w:p>
        </w:tc>
        <w:tc>
          <w:tcPr>
            <w:tcW w:w="3464" w:type="pct"/>
            <w:gridSpan w:val="6"/>
            <w:noWrap w:val="0"/>
            <w:vAlign w:val="center"/>
          </w:tcPr>
          <w:p w14:paraId="6578B0FF">
            <w:pPr>
              <w:jc w:val="center"/>
              <w:rPr>
                <w:rFonts w:eastAsia="楷体_GB2312"/>
                <w:kern w:val="0"/>
                <w:sz w:val="22"/>
                <w:szCs w:val="22"/>
              </w:rPr>
            </w:pPr>
            <w:r>
              <w:rPr>
                <w:rFonts w:eastAsia="楷体_GB2312"/>
                <w:kern w:val="0"/>
                <w:sz w:val="22"/>
                <w:szCs w:val="22"/>
              </w:rPr>
              <w:t>155</w:t>
            </w:r>
          </w:p>
        </w:tc>
      </w:tr>
      <w:tr w14:paraId="5B54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16F466B3">
            <w:pPr>
              <w:jc w:val="center"/>
              <w:rPr>
                <w:rFonts w:eastAsia="楷体_GB2312"/>
                <w:kern w:val="0"/>
                <w:sz w:val="22"/>
                <w:szCs w:val="22"/>
              </w:rPr>
            </w:pPr>
            <w:r>
              <w:rPr>
                <w:rFonts w:eastAsia="楷体_GB2312"/>
                <w:kern w:val="0"/>
                <w:sz w:val="22"/>
                <w:szCs w:val="22"/>
              </w:rPr>
              <w:t>25</w:t>
            </w:r>
          </w:p>
        </w:tc>
        <w:tc>
          <w:tcPr>
            <w:tcW w:w="618" w:type="pct"/>
            <w:noWrap w:val="0"/>
            <w:vAlign w:val="center"/>
          </w:tcPr>
          <w:p w14:paraId="2A576387">
            <w:pPr>
              <w:jc w:val="center"/>
              <w:rPr>
                <w:rFonts w:eastAsia="楷体_GB2312"/>
                <w:kern w:val="0"/>
                <w:szCs w:val="21"/>
              </w:rPr>
            </w:pPr>
            <w:r>
              <w:rPr>
                <w:rFonts w:eastAsia="楷体_GB2312"/>
                <w:kern w:val="0"/>
                <w:szCs w:val="21"/>
              </w:rPr>
              <w:t>农业示范园</w:t>
            </w:r>
          </w:p>
        </w:tc>
        <w:tc>
          <w:tcPr>
            <w:tcW w:w="532" w:type="pct"/>
            <w:noWrap w:val="0"/>
            <w:vAlign w:val="center"/>
          </w:tcPr>
          <w:p w14:paraId="53AF6481">
            <w:pPr>
              <w:jc w:val="center"/>
              <w:rPr>
                <w:rFonts w:eastAsia="楷体_GB2312"/>
                <w:kern w:val="0"/>
                <w:szCs w:val="21"/>
              </w:rPr>
            </w:pPr>
            <w:r>
              <w:rPr>
                <w:rFonts w:eastAsia="楷体_GB2312"/>
                <w:kern w:val="0"/>
                <w:szCs w:val="21"/>
              </w:rPr>
              <w:t>2</w:t>
            </w:r>
          </w:p>
        </w:tc>
        <w:tc>
          <w:tcPr>
            <w:tcW w:w="3464" w:type="pct"/>
            <w:gridSpan w:val="6"/>
            <w:noWrap w:val="0"/>
            <w:vAlign w:val="center"/>
          </w:tcPr>
          <w:p w14:paraId="32EE1FE3">
            <w:pPr>
              <w:jc w:val="center"/>
              <w:rPr>
                <w:rFonts w:eastAsia="楷体_GB2312"/>
                <w:kern w:val="0"/>
                <w:sz w:val="22"/>
                <w:szCs w:val="22"/>
              </w:rPr>
            </w:pPr>
            <w:r>
              <w:rPr>
                <w:rFonts w:eastAsia="楷体_GB2312"/>
                <w:kern w:val="0"/>
                <w:sz w:val="22"/>
                <w:szCs w:val="22"/>
              </w:rPr>
              <w:t>155</w:t>
            </w:r>
          </w:p>
        </w:tc>
      </w:tr>
    </w:tbl>
    <w:p w14:paraId="5BF822D5">
      <w:pPr>
        <w:spacing w:line="480" w:lineRule="exact"/>
        <w:ind w:firstLine="560" w:firstLineChars="200"/>
        <w:rPr>
          <w:rFonts w:eastAsia="楷体_GB2312"/>
          <w:sz w:val="28"/>
        </w:rPr>
      </w:pPr>
      <w:r>
        <w:rPr>
          <w:rFonts w:hint="eastAsia" w:ascii="楷体" w:hAnsi="楷体" w:eastAsia="楷体"/>
          <w:sz w:val="28"/>
        </w:rPr>
        <w:t>埇</w:t>
      </w:r>
      <w:r>
        <w:rPr>
          <w:rFonts w:hint="eastAsia" w:eastAsia="楷体_GB2312"/>
          <w:sz w:val="28"/>
        </w:rPr>
        <w:t>桥区</w:t>
      </w:r>
      <w:r>
        <w:rPr>
          <w:rFonts w:eastAsia="楷体_GB2312"/>
          <w:sz w:val="28"/>
        </w:rPr>
        <w:t>乡镇工矿仓储用地样点地价主要为土地使用权出让样点资料，</w:t>
      </w:r>
      <w:r>
        <w:rPr>
          <w:rFonts w:hint="eastAsia" w:eastAsia="楷体_GB2312"/>
          <w:sz w:val="28"/>
        </w:rPr>
        <w:t>蕲县镇、西二铺乡、褚兰镇、顺河镇、杨庄镇、永镇乡、解集镇、永安镇、支河乡</w:t>
      </w:r>
      <w:r>
        <w:rPr>
          <w:rFonts w:eastAsia="楷体_GB2312"/>
          <w:sz w:val="28"/>
        </w:rPr>
        <w:t>没有交易样点。</w:t>
      </w:r>
      <w:r>
        <w:rPr>
          <w:rFonts w:hint="eastAsia" w:eastAsia="楷体_GB2312"/>
          <w:sz w:val="28"/>
        </w:rPr>
        <w:t>蕲县镇</w:t>
      </w:r>
      <w:r>
        <w:rPr>
          <w:rFonts w:eastAsia="楷体_GB2312"/>
          <w:sz w:val="28"/>
        </w:rPr>
        <w:t>区位和个别因素与</w:t>
      </w:r>
      <w:r>
        <w:rPr>
          <w:rFonts w:hint="eastAsia" w:eastAsia="楷体_GB2312"/>
          <w:sz w:val="28"/>
        </w:rPr>
        <w:t>芦岭镇</w:t>
      </w:r>
      <w:r>
        <w:rPr>
          <w:rFonts w:eastAsia="楷体_GB2312"/>
          <w:sz w:val="28"/>
        </w:rPr>
        <w:t>相类似，故参照</w:t>
      </w:r>
      <w:r>
        <w:rPr>
          <w:rFonts w:hint="eastAsia" w:eastAsia="楷体_GB2312"/>
          <w:sz w:val="28"/>
        </w:rPr>
        <w:t>芦岭镇</w:t>
      </w:r>
      <w:r>
        <w:rPr>
          <w:rFonts w:eastAsia="楷体_GB2312"/>
          <w:sz w:val="28"/>
        </w:rPr>
        <w:t>交易样点地价测算结果。</w:t>
      </w:r>
      <w:r>
        <w:rPr>
          <w:rFonts w:hint="eastAsia" w:eastAsia="楷体_GB2312"/>
          <w:sz w:val="28"/>
        </w:rPr>
        <w:t>西二铺乡</w:t>
      </w:r>
      <w:r>
        <w:rPr>
          <w:rFonts w:eastAsia="楷体_GB2312"/>
          <w:sz w:val="28"/>
        </w:rPr>
        <w:t>参照</w:t>
      </w:r>
      <w:r>
        <w:rPr>
          <w:rFonts w:hint="eastAsia" w:eastAsia="楷体_GB2312"/>
          <w:sz w:val="28"/>
        </w:rPr>
        <w:t>桃园镇</w:t>
      </w:r>
      <w:r>
        <w:rPr>
          <w:rFonts w:eastAsia="楷体_GB2312"/>
          <w:sz w:val="28"/>
        </w:rPr>
        <w:t>并进行了修正，</w:t>
      </w:r>
      <w:r>
        <w:rPr>
          <w:rFonts w:hint="eastAsia" w:eastAsia="楷体_GB2312"/>
          <w:sz w:val="28"/>
        </w:rPr>
        <w:t>褚兰镇、顺河镇、杨庄镇、永镇乡、解集镇、永安镇、支河乡</w:t>
      </w:r>
      <w:r>
        <w:rPr>
          <w:rFonts w:eastAsia="楷体_GB2312"/>
          <w:sz w:val="28"/>
        </w:rPr>
        <w:t>参照</w:t>
      </w:r>
      <w:r>
        <w:rPr>
          <w:rFonts w:hint="eastAsia" w:eastAsia="楷体_GB2312"/>
          <w:sz w:val="28"/>
        </w:rPr>
        <w:t>栏杆镇</w:t>
      </w:r>
      <w:r>
        <w:rPr>
          <w:rFonts w:eastAsia="楷体_GB2312"/>
          <w:sz w:val="28"/>
        </w:rPr>
        <w:t>并进行了修正，作为交易样点地价测算结果。具体测算修正后的价格见下表。</w:t>
      </w:r>
    </w:p>
    <w:p w14:paraId="56A0A706">
      <w:pPr>
        <w:pStyle w:val="171"/>
        <w:spacing w:before="120" w:beforeLines="50" w:after="120" w:afterLines="50" w:line="480" w:lineRule="exact"/>
        <w:jc w:val="center"/>
        <w:rPr>
          <w:rFonts w:ascii="Times New Roman" w:hAnsi="Times New Roman" w:eastAsia="黑体"/>
          <w:sz w:val="28"/>
          <w:szCs w:val="21"/>
        </w:rPr>
      </w:pPr>
      <w:r>
        <w:rPr>
          <w:rFonts w:ascii="Times New Roman" w:hAnsi="Times New Roman" w:eastAsia="黑体"/>
          <w:sz w:val="28"/>
          <w:szCs w:val="21"/>
        </w:rPr>
        <w:t>表2-5-</w:t>
      </w:r>
      <w:r>
        <w:rPr>
          <w:rFonts w:hint="eastAsia" w:ascii="Times New Roman" w:hAnsi="Times New Roman" w:eastAsia="黑体"/>
          <w:sz w:val="28"/>
          <w:szCs w:val="21"/>
        </w:rPr>
        <w:t>50</w:t>
      </w:r>
      <w:r>
        <w:rPr>
          <w:rFonts w:ascii="Times New Roman" w:hAnsi="Times New Roman" w:eastAsia="黑体"/>
          <w:sz w:val="28"/>
          <w:szCs w:val="21"/>
        </w:rPr>
        <w:t xml:space="preserve">  修正后市场交易样点地价测算工矿仓储用地级别基准地价表</w:t>
      </w:r>
    </w:p>
    <w:p w14:paraId="1016EDC3">
      <w:pPr>
        <w:pStyle w:val="20"/>
        <w:jc w:val="right"/>
        <w:rPr>
          <w:rFonts w:ascii="Times New Roman" w:hAnsi="Times New Roman" w:eastAsia="楷体_GB2312" w:cs="Times New Roman"/>
        </w:rPr>
      </w:pPr>
      <w:r>
        <w:rPr>
          <w:rFonts w:ascii="Times New Roman" w:hAnsi="Times New Roman" w:eastAsia="楷体_GB2312" w:cs="Times New Roman"/>
        </w:rPr>
        <w:t>单位：个，元/m</w:t>
      </w:r>
      <w:r>
        <w:rPr>
          <w:rFonts w:ascii="Times New Roman" w:hAnsi="Times New Roman" w:eastAsia="楷体_GB2312" w:cs="Times New Roman"/>
          <w:vertAlign w:val="superscript"/>
        </w:rPr>
        <w:t>2</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121"/>
        <w:gridCol w:w="965"/>
        <w:gridCol w:w="1047"/>
        <w:gridCol w:w="1054"/>
        <w:gridCol w:w="1047"/>
        <w:gridCol w:w="1045"/>
        <w:gridCol w:w="1060"/>
        <w:gridCol w:w="1032"/>
      </w:tblGrid>
      <w:tr w14:paraId="1CAA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8" w:hRule="atLeast"/>
          <w:tblHeader/>
          <w:jc w:val="center"/>
        </w:trPr>
        <w:tc>
          <w:tcPr>
            <w:tcW w:w="386" w:type="pct"/>
            <w:vMerge w:val="restart"/>
            <w:noWrap w:val="0"/>
            <w:vAlign w:val="center"/>
          </w:tcPr>
          <w:p w14:paraId="5F880EC7">
            <w:pPr>
              <w:jc w:val="center"/>
              <w:rPr>
                <w:rFonts w:eastAsia="楷体_GB2312"/>
                <w:kern w:val="0"/>
                <w:sz w:val="22"/>
                <w:szCs w:val="22"/>
              </w:rPr>
            </w:pPr>
            <w:r>
              <w:rPr>
                <w:rFonts w:eastAsia="楷体_GB2312"/>
                <w:kern w:val="0"/>
                <w:sz w:val="22"/>
                <w:szCs w:val="22"/>
              </w:rPr>
              <w:t>乡镇编号</w:t>
            </w:r>
          </w:p>
        </w:tc>
        <w:tc>
          <w:tcPr>
            <w:tcW w:w="618" w:type="pct"/>
            <w:vMerge w:val="restart"/>
            <w:noWrap w:val="0"/>
            <w:vAlign w:val="center"/>
          </w:tcPr>
          <w:p w14:paraId="2C0172C8">
            <w:pPr>
              <w:jc w:val="center"/>
              <w:rPr>
                <w:rFonts w:eastAsia="楷体_GB2312"/>
                <w:kern w:val="0"/>
                <w:sz w:val="22"/>
                <w:szCs w:val="22"/>
              </w:rPr>
            </w:pPr>
            <w:r>
              <w:rPr>
                <w:rFonts w:eastAsia="楷体_GB2312"/>
                <w:kern w:val="0"/>
                <w:sz w:val="22"/>
                <w:szCs w:val="22"/>
              </w:rPr>
              <w:t>乡镇名称</w:t>
            </w:r>
          </w:p>
        </w:tc>
        <w:tc>
          <w:tcPr>
            <w:tcW w:w="532" w:type="pct"/>
            <w:vMerge w:val="restart"/>
            <w:noWrap w:val="0"/>
            <w:vAlign w:val="center"/>
          </w:tcPr>
          <w:p w14:paraId="2144A8EE">
            <w:pPr>
              <w:spacing w:line="240" w:lineRule="exact"/>
              <w:jc w:val="center"/>
              <w:rPr>
                <w:rFonts w:eastAsia="楷体_GB2312"/>
                <w:kern w:val="0"/>
                <w:sz w:val="22"/>
                <w:szCs w:val="22"/>
              </w:rPr>
            </w:pPr>
            <w:r>
              <w:rPr>
                <w:rFonts w:eastAsia="楷体_GB2312"/>
                <w:kern w:val="0"/>
                <w:sz w:val="22"/>
                <w:szCs w:val="22"/>
              </w:rPr>
              <w:t>市场交易样点个数</w:t>
            </w:r>
          </w:p>
        </w:tc>
        <w:tc>
          <w:tcPr>
            <w:tcW w:w="1158" w:type="pct"/>
            <w:gridSpan w:val="2"/>
            <w:noWrap w:val="0"/>
            <w:vAlign w:val="center"/>
          </w:tcPr>
          <w:p w14:paraId="40100C7F">
            <w:pPr>
              <w:spacing w:line="240" w:lineRule="exact"/>
              <w:jc w:val="center"/>
              <w:rPr>
                <w:rFonts w:eastAsia="楷体_GB2312"/>
                <w:kern w:val="0"/>
                <w:sz w:val="22"/>
                <w:szCs w:val="22"/>
              </w:rPr>
            </w:pPr>
            <w:r>
              <w:rPr>
                <w:rFonts w:eastAsia="楷体_GB2312"/>
                <w:kern w:val="0"/>
                <w:sz w:val="22"/>
                <w:szCs w:val="22"/>
              </w:rPr>
              <w:t>一级地</w:t>
            </w:r>
          </w:p>
        </w:tc>
        <w:tc>
          <w:tcPr>
            <w:tcW w:w="1153" w:type="pct"/>
            <w:gridSpan w:val="2"/>
            <w:noWrap w:val="0"/>
            <w:vAlign w:val="center"/>
          </w:tcPr>
          <w:p w14:paraId="50EAD4E3">
            <w:pPr>
              <w:spacing w:line="240" w:lineRule="exact"/>
              <w:jc w:val="center"/>
              <w:rPr>
                <w:rFonts w:eastAsia="楷体_GB2312"/>
                <w:kern w:val="0"/>
                <w:sz w:val="22"/>
                <w:szCs w:val="22"/>
              </w:rPr>
            </w:pPr>
            <w:r>
              <w:rPr>
                <w:rFonts w:eastAsia="楷体_GB2312"/>
                <w:kern w:val="0"/>
                <w:sz w:val="22"/>
                <w:szCs w:val="22"/>
              </w:rPr>
              <w:t>二级地</w:t>
            </w:r>
          </w:p>
        </w:tc>
        <w:tc>
          <w:tcPr>
            <w:tcW w:w="1153" w:type="pct"/>
            <w:gridSpan w:val="2"/>
            <w:noWrap w:val="0"/>
            <w:vAlign w:val="center"/>
          </w:tcPr>
          <w:p w14:paraId="7C2E8FDC">
            <w:pPr>
              <w:spacing w:line="240" w:lineRule="exact"/>
              <w:jc w:val="center"/>
              <w:rPr>
                <w:rFonts w:eastAsia="楷体_GB2312"/>
                <w:kern w:val="0"/>
                <w:sz w:val="22"/>
                <w:szCs w:val="22"/>
              </w:rPr>
            </w:pPr>
            <w:r>
              <w:rPr>
                <w:rFonts w:eastAsia="楷体_GB2312"/>
                <w:kern w:val="0"/>
                <w:sz w:val="22"/>
                <w:szCs w:val="22"/>
              </w:rPr>
              <w:t>三级地</w:t>
            </w:r>
          </w:p>
        </w:tc>
      </w:tr>
      <w:tr w14:paraId="67328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atLeast"/>
          <w:tblHeader/>
          <w:jc w:val="center"/>
        </w:trPr>
        <w:tc>
          <w:tcPr>
            <w:tcW w:w="386" w:type="pct"/>
            <w:vMerge w:val="continue"/>
            <w:noWrap w:val="0"/>
            <w:vAlign w:val="center"/>
          </w:tcPr>
          <w:p w14:paraId="4A1A0230">
            <w:pPr>
              <w:jc w:val="center"/>
              <w:rPr>
                <w:rFonts w:eastAsia="楷体_GB2312"/>
                <w:kern w:val="0"/>
                <w:sz w:val="22"/>
                <w:szCs w:val="22"/>
              </w:rPr>
            </w:pPr>
          </w:p>
        </w:tc>
        <w:tc>
          <w:tcPr>
            <w:tcW w:w="618" w:type="pct"/>
            <w:vMerge w:val="continue"/>
            <w:noWrap w:val="0"/>
            <w:vAlign w:val="center"/>
          </w:tcPr>
          <w:p w14:paraId="4DAF2F24">
            <w:pPr>
              <w:jc w:val="center"/>
              <w:rPr>
                <w:rFonts w:eastAsia="楷体_GB2312"/>
                <w:kern w:val="0"/>
                <w:sz w:val="22"/>
                <w:szCs w:val="22"/>
              </w:rPr>
            </w:pPr>
          </w:p>
        </w:tc>
        <w:tc>
          <w:tcPr>
            <w:tcW w:w="532" w:type="pct"/>
            <w:vMerge w:val="continue"/>
            <w:noWrap w:val="0"/>
            <w:vAlign w:val="center"/>
          </w:tcPr>
          <w:p w14:paraId="60233547">
            <w:pPr>
              <w:jc w:val="center"/>
              <w:rPr>
                <w:rFonts w:eastAsia="楷体_GB2312"/>
                <w:kern w:val="0"/>
                <w:sz w:val="22"/>
                <w:szCs w:val="22"/>
              </w:rPr>
            </w:pPr>
          </w:p>
        </w:tc>
        <w:tc>
          <w:tcPr>
            <w:tcW w:w="577" w:type="pct"/>
            <w:noWrap w:val="0"/>
            <w:vAlign w:val="center"/>
          </w:tcPr>
          <w:p w14:paraId="4A2D71D6">
            <w:pPr>
              <w:jc w:val="center"/>
              <w:rPr>
                <w:rFonts w:eastAsia="楷体_GB2312"/>
                <w:kern w:val="0"/>
                <w:sz w:val="22"/>
                <w:szCs w:val="22"/>
              </w:rPr>
            </w:pPr>
            <w:r>
              <w:rPr>
                <w:rFonts w:eastAsia="楷体_GB2312"/>
                <w:kern w:val="0"/>
                <w:sz w:val="22"/>
                <w:szCs w:val="22"/>
              </w:rPr>
              <w:t>参算数</w:t>
            </w:r>
          </w:p>
        </w:tc>
        <w:tc>
          <w:tcPr>
            <w:tcW w:w="581" w:type="pct"/>
            <w:noWrap w:val="0"/>
            <w:vAlign w:val="center"/>
          </w:tcPr>
          <w:p w14:paraId="3791BA0A">
            <w:pPr>
              <w:jc w:val="center"/>
              <w:rPr>
                <w:rFonts w:eastAsia="楷体_GB2312"/>
                <w:kern w:val="0"/>
                <w:sz w:val="22"/>
                <w:szCs w:val="22"/>
              </w:rPr>
            </w:pPr>
            <w:r>
              <w:rPr>
                <w:rFonts w:eastAsia="楷体_GB2312"/>
                <w:kern w:val="0"/>
                <w:sz w:val="22"/>
                <w:szCs w:val="22"/>
              </w:rPr>
              <w:t>平均地价</w:t>
            </w:r>
          </w:p>
        </w:tc>
        <w:tc>
          <w:tcPr>
            <w:tcW w:w="577" w:type="pct"/>
            <w:noWrap w:val="0"/>
            <w:vAlign w:val="center"/>
          </w:tcPr>
          <w:p w14:paraId="32B080E5">
            <w:pPr>
              <w:jc w:val="center"/>
              <w:rPr>
                <w:rFonts w:eastAsia="楷体_GB2312"/>
                <w:kern w:val="0"/>
                <w:sz w:val="22"/>
                <w:szCs w:val="22"/>
              </w:rPr>
            </w:pPr>
            <w:r>
              <w:rPr>
                <w:rFonts w:eastAsia="楷体_GB2312"/>
                <w:kern w:val="0"/>
                <w:sz w:val="22"/>
                <w:szCs w:val="22"/>
              </w:rPr>
              <w:t>参算数</w:t>
            </w:r>
          </w:p>
        </w:tc>
        <w:tc>
          <w:tcPr>
            <w:tcW w:w="576" w:type="pct"/>
            <w:noWrap w:val="0"/>
            <w:vAlign w:val="center"/>
          </w:tcPr>
          <w:p w14:paraId="4B03511F">
            <w:pPr>
              <w:jc w:val="center"/>
              <w:rPr>
                <w:rFonts w:eastAsia="楷体_GB2312"/>
                <w:kern w:val="0"/>
                <w:sz w:val="22"/>
                <w:szCs w:val="22"/>
              </w:rPr>
            </w:pPr>
            <w:r>
              <w:rPr>
                <w:rFonts w:eastAsia="楷体_GB2312"/>
                <w:kern w:val="0"/>
                <w:sz w:val="22"/>
                <w:szCs w:val="22"/>
              </w:rPr>
              <w:t>平均地价</w:t>
            </w:r>
          </w:p>
        </w:tc>
        <w:tc>
          <w:tcPr>
            <w:tcW w:w="584" w:type="pct"/>
            <w:noWrap w:val="0"/>
            <w:vAlign w:val="center"/>
          </w:tcPr>
          <w:p w14:paraId="5933668B">
            <w:pPr>
              <w:jc w:val="center"/>
              <w:rPr>
                <w:rFonts w:eastAsia="楷体_GB2312"/>
                <w:kern w:val="0"/>
                <w:sz w:val="22"/>
                <w:szCs w:val="22"/>
              </w:rPr>
            </w:pPr>
            <w:r>
              <w:rPr>
                <w:rFonts w:eastAsia="楷体_GB2312"/>
                <w:kern w:val="0"/>
                <w:sz w:val="22"/>
                <w:szCs w:val="22"/>
              </w:rPr>
              <w:t>参算数</w:t>
            </w:r>
          </w:p>
        </w:tc>
        <w:tc>
          <w:tcPr>
            <w:tcW w:w="569" w:type="pct"/>
            <w:noWrap w:val="0"/>
            <w:vAlign w:val="center"/>
          </w:tcPr>
          <w:p w14:paraId="2FAA93C4">
            <w:pPr>
              <w:jc w:val="center"/>
              <w:rPr>
                <w:rFonts w:eastAsia="楷体_GB2312"/>
                <w:kern w:val="0"/>
                <w:sz w:val="22"/>
                <w:szCs w:val="22"/>
              </w:rPr>
            </w:pPr>
            <w:r>
              <w:rPr>
                <w:rFonts w:eastAsia="楷体_GB2312"/>
                <w:kern w:val="0"/>
                <w:sz w:val="22"/>
                <w:szCs w:val="22"/>
              </w:rPr>
              <w:t>平均地价</w:t>
            </w:r>
          </w:p>
        </w:tc>
      </w:tr>
      <w:tr w14:paraId="310FC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386" w:type="pct"/>
            <w:noWrap w:val="0"/>
            <w:vAlign w:val="center"/>
          </w:tcPr>
          <w:p w14:paraId="4B8082A6">
            <w:pPr>
              <w:jc w:val="center"/>
              <w:rPr>
                <w:rFonts w:eastAsia="楷体_GB2312"/>
                <w:kern w:val="0"/>
                <w:sz w:val="22"/>
                <w:szCs w:val="22"/>
              </w:rPr>
            </w:pPr>
            <w:r>
              <w:rPr>
                <w:rFonts w:eastAsia="楷体_GB2312"/>
                <w:kern w:val="0"/>
                <w:sz w:val="22"/>
                <w:szCs w:val="22"/>
              </w:rPr>
              <w:t>1</w:t>
            </w:r>
          </w:p>
        </w:tc>
        <w:tc>
          <w:tcPr>
            <w:tcW w:w="618" w:type="pct"/>
            <w:noWrap w:val="0"/>
            <w:vAlign w:val="center"/>
          </w:tcPr>
          <w:p w14:paraId="1A3E4C8B">
            <w:pPr>
              <w:jc w:val="center"/>
              <w:rPr>
                <w:rFonts w:eastAsia="楷体_GB2312"/>
                <w:kern w:val="0"/>
                <w:szCs w:val="21"/>
              </w:rPr>
            </w:pPr>
            <w:r>
              <w:rPr>
                <w:rFonts w:eastAsia="楷体_GB2312"/>
                <w:kern w:val="0"/>
                <w:szCs w:val="21"/>
              </w:rPr>
              <w:t>符离镇</w:t>
            </w:r>
          </w:p>
        </w:tc>
        <w:tc>
          <w:tcPr>
            <w:tcW w:w="532" w:type="pct"/>
            <w:noWrap w:val="0"/>
            <w:vAlign w:val="center"/>
          </w:tcPr>
          <w:p w14:paraId="729719FC">
            <w:pPr>
              <w:jc w:val="center"/>
              <w:rPr>
                <w:rFonts w:eastAsia="楷体_GB2312"/>
                <w:kern w:val="0"/>
                <w:szCs w:val="21"/>
              </w:rPr>
            </w:pPr>
            <w:r>
              <w:rPr>
                <w:rFonts w:eastAsia="楷体_GB2312"/>
                <w:kern w:val="0"/>
                <w:szCs w:val="21"/>
              </w:rPr>
              <w:t>9</w:t>
            </w:r>
          </w:p>
        </w:tc>
        <w:tc>
          <w:tcPr>
            <w:tcW w:w="577" w:type="pct"/>
            <w:noWrap w:val="0"/>
            <w:vAlign w:val="center"/>
          </w:tcPr>
          <w:p w14:paraId="48E9B4FB">
            <w:pPr>
              <w:jc w:val="center"/>
              <w:rPr>
                <w:rFonts w:eastAsia="楷体_GB2312"/>
                <w:kern w:val="0"/>
                <w:sz w:val="22"/>
                <w:szCs w:val="22"/>
              </w:rPr>
            </w:pPr>
            <w:r>
              <w:rPr>
                <w:rFonts w:eastAsia="楷体_GB2312"/>
                <w:kern w:val="0"/>
                <w:sz w:val="22"/>
                <w:szCs w:val="22"/>
              </w:rPr>
              <w:t>1</w:t>
            </w:r>
          </w:p>
        </w:tc>
        <w:tc>
          <w:tcPr>
            <w:tcW w:w="581" w:type="pct"/>
            <w:noWrap w:val="0"/>
            <w:vAlign w:val="center"/>
          </w:tcPr>
          <w:p w14:paraId="1CC25EB8">
            <w:pPr>
              <w:jc w:val="center"/>
              <w:rPr>
                <w:rFonts w:eastAsia="楷体_GB2312"/>
                <w:kern w:val="0"/>
                <w:sz w:val="22"/>
                <w:szCs w:val="22"/>
              </w:rPr>
            </w:pPr>
            <w:r>
              <w:rPr>
                <w:rFonts w:eastAsia="楷体_GB2312"/>
                <w:kern w:val="0"/>
                <w:sz w:val="22"/>
                <w:szCs w:val="22"/>
              </w:rPr>
              <w:t>230</w:t>
            </w:r>
          </w:p>
        </w:tc>
        <w:tc>
          <w:tcPr>
            <w:tcW w:w="577" w:type="pct"/>
            <w:noWrap w:val="0"/>
            <w:vAlign w:val="center"/>
          </w:tcPr>
          <w:p w14:paraId="6D511984">
            <w:pPr>
              <w:jc w:val="center"/>
              <w:rPr>
                <w:rFonts w:eastAsia="楷体_GB2312"/>
                <w:kern w:val="0"/>
                <w:sz w:val="22"/>
                <w:szCs w:val="22"/>
              </w:rPr>
            </w:pPr>
            <w:r>
              <w:rPr>
                <w:rFonts w:eastAsia="楷体_GB2312"/>
                <w:kern w:val="0"/>
                <w:sz w:val="22"/>
                <w:szCs w:val="22"/>
              </w:rPr>
              <w:t>3</w:t>
            </w:r>
          </w:p>
        </w:tc>
        <w:tc>
          <w:tcPr>
            <w:tcW w:w="576" w:type="pct"/>
            <w:noWrap w:val="0"/>
            <w:vAlign w:val="center"/>
          </w:tcPr>
          <w:p w14:paraId="3A3FDC0E">
            <w:pPr>
              <w:jc w:val="center"/>
              <w:rPr>
                <w:rFonts w:eastAsia="楷体_GB2312"/>
                <w:kern w:val="0"/>
                <w:sz w:val="22"/>
                <w:szCs w:val="22"/>
              </w:rPr>
            </w:pPr>
            <w:r>
              <w:rPr>
                <w:rFonts w:eastAsia="楷体_GB2312"/>
                <w:kern w:val="0"/>
                <w:sz w:val="22"/>
                <w:szCs w:val="22"/>
              </w:rPr>
              <w:t>185</w:t>
            </w:r>
          </w:p>
        </w:tc>
        <w:tc>
          <w:tcPr>
            <w:tcW w:w="584" w:type="pct"/>
            <w:noWrap w:val="0"/>
            <w:vAlign w:val="center"/>
          </w:tcPr>
          <w:p w14:paraId="6A751E30">
            <w:pPr>
              <w:jc w:val="center"/>
              <w:rPr>
                <w:rFonts w:eastAsia="楷体_GB2312"/>
                <w:kern w:val="0"/>
                <w:sz w:val="22"/>
                <w:szCs w:val="22"/>
              </w:rPr>
            </w:pPr>
            <w:r>
              <w:rPr>
                <w:rFonts w:eastAsia="楷体_GB2312"/>
                <w:kern w:val="0"/>
                <w:sz w:val="22"/>
                <w:szCs w:val="22"/>
              </w:rPr>
              <w:t>5</w:t>
            </w:r>
          </w:p>
        </w:tc>
        <w:tc>
          <w:tcPr>
            <w:tcW w:w="569" w:type="pct"/>
            <w:noWrap w:val="0"/>
            <w:vAlign w:val="center"/>
          </w:tcPr>
          <w:p w14:paraId="6BA2C55C">
            <w:pPr>
              <w:jc w:val="center"/>
              <w:rPr>
                <w:rFonts w:eastAsia="楷体_GB2312"/>
                <w:kern w:val="0"/>
                <w:sz w:val="22"/>
                <w:szCs w:val="22"/>
              </w:rPr>
            </w:pPr>
            <w:r>
              <w:rPr>
                <w:rFonts w:eastAsia="楷体_GB2312"/>
                <w:kern w:val="0"/>
                <w:sz w:val="22"/>
                <w:szCs w:val="22"/>
              </w:rPr>
              <w:t>144</w:t>
            </w:r>
          </w:p>
        </w:tc>
      </w:tr>
      <w:tr w14:paraId="3DCE0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386" w:type="pct"/>
            <w:noWrap w:val="0"/>
            <w:vAlign w:val="center"/>
          </w:tcPr>
          <w:p w14:paraId="0342D32E">
            <w:pPr>
              <w:jc w:val="center"/>
              <w:rPr>
                <w:rFonts w:eastAsia="楷体_GB2312"/>
                <w:kern w:val="0"/>
                <w:sz w:val="22"/>
                <w:szCs w:val="22"/>
              </w:rPr>
            </w:pPr>
            <w:r>
              <w:rPr>
                <w:rFonts w:eastAsia="楷体_GB2312"/>
                <w:kern w:val="0"/>
                <w:sz w:val="22"/>
                <w:szCs w:val="22"/>
              </w:rPr>
              <w:t>2</w:t>
            </w:r>
          </w:p>
        </w:tc>
        <w:tc>
          <w:tcPr>
            <w:tcW w:w="618" w:type="pct"/>
            <w:noWrap w:val="0"/>
            <w:vAlign w:val="center"/>
          </w:tcPr>
          <w:p w14:paraId="13D0CF6E">
            <w:pPr>
              <w:jc w:val="center"/>
              <w:rPr>
                <w:rFonts w:eastAsia="楷体_GB2312"/>
                <w:kern w:val="0"/>
                <w:szCs w:val="21"/>
              </w:rPr>
            </w:pPr>
            <w:r>
              <w:rPr>
                <w:rFonts w:eastAsia="楷体_GB2312"/>
                <w:kern w:val="0"/>
                <w:szCs w:val="21"/>
              </w:rPr>
              <w:t>朱仙庄镇</w:t>
            </w:r>
          </w:p>
        </w:tc>
        <w:tc>
          <w:tcPr>
            <w:tcW w:w="532" w:type="pct"/>
            <w:noWrap w:val="0"/>
            <w:vAlign w:val="center"/>
          </w:tcPr>
          <w:p w14:paraId="3BDAF7F6">
            <w:pPr>
              <w:jc w:val="center"/>
              <w:rPr>
                <w:rFonts w:eastAsia="楷体_GB2312"/>
                <w:kern w:val="0"/>
                <w:szCs w:val="21"/>
              </w:rPr>
            </w:pPr>
            <w:r>
              <w:rPr>
                <w:rFonts w:eastAsia="楷体_GB2312"/>
                <w:kern w:val="0"/>
                <w:szCs w:val="21"/>
              </w:rPr>
              <w:t>4</w:t>
            </w:r>
          </w:p>
        </w:tc>
        <w:tc>
          <w:tcPr>
            <w:tcW w:w="577" w:type="pct"/>
            <w:noWrap w:val="0"/>
            <w:vAlign w:val="center"/>
          </w:tcPr>
          <w:p w14:paraId="0C2D37C4">
            <w:pPr>
              <w:jc w:val="center"/>
              <w:rPr>
                <w:rFonts w:eastAsia="楷体_GB2312"/>
                <w:kern w:val="0"/>
                <w:sz w:val="22"/>
                <w:szCs w:val="22"/>
              </w:rPr>
            </w:pPr>
            <w:r>
              <w:rPr>
                <w:rFonts w:eastAsia="楷体_GB2312"/>
                <w:kern w:val="0"/>
                <w:sz w:val="22"/>
                <w:szCs w:val="22"/>
              </w:rPr>
              <w:t>1</w:t>
            </w:r>
          </w:p>
        </w:tc>
        <w:tc>
          <w:tcPr>
            <w:tcW w:w="581" w:type="pct"/>
            <w:noWrap w:val="0"/>
            <w:vAlign w:val="center"/>
          </w:tcPr>
          <w:p w14:paraId="76559D67">
            <w:pPr>
              <w:jc w:val="center"/>
              <w:rPr>
                <w:rFonts w:eastAsia="楷体_GB2312"/>
                <w:kern w:val="0"/>
                <w:sz w:val="22"/>
                <w:szCs w:val="22"/>
              </w:rPr>
            </w:pPr>
            <w:r>
              <w:rPr>
                <w:rFonts w:eastAsia="楷体_GB2312"/>
                <w:kern w:val="0"/>
                <w:sz w:val="22"/>
                <w:szCs w:val="22"/>
              </w:rPr>
              <w:t>200</w:t>
            </w:r>
          </w:p>
        </w:tc>
        <w:tc>
          <w:tcPr>
            <w:tcW w:w="577" w:type="pct"/>
            <w:noWrap w:val="0"/>
            <w:vAlign w:val="center"/>
          </w:tcPr>
          <w:p w14:paraId="55CFDA10">
            <w:pPr>
              <w:jc w:val="center"/>
              <w:rPr>
                <w:rFonts w:eastAsia="楷体_GB2312"/>
                <w:kern w:val="0"/>
                <w:sz w:val="22"/>
                <w:szCs w:val="22"/>
              </w:rPr>
            </w:pPr>
            <w:r>
              <w:rPr>
                <w:rFonts w:eastAsia="楷体_GB2312"/>
                <w:kern w:val="0"/>
                <w:sz w:val="22"/>
                <w:szCs w:val="22"/>
              </w:rPr>
              <w:t>1</w:t>
            </w:r>
          </w:p>
        </w:tc>
        <w:tc>
          <w:tcPr>
            <w:tcW w:w="576" w:type="pct"/>
            <w:noWrap w:val="0"/>
            <w:vAlign w:val="center"/>
          </w:tcPr>
          <w:p w14:paraId="2D641348">
            <w:pPr>
              <w:jc w:val="center"/>
              <w:rPr>
                <w:rFonts w:eastAsia="楷体_GB2312"/>
                <w:kern w:val="0"/>
                <w:sz w:val="22"/>
                <w:szCs w:val="22"/>
              </w:rPr>
            </w:pPr>
            <w:r>
              <w:rPr>
                <w:rFonts w:eastAsia="楷体_GB2312"/>
                <w:kern w:val="0"/>
                <w:sz w:val="22"/>
                <w:szCs w:val="22"/>
              </w:rPr>
              <w:t>170</w:t>
            </w:r>
          </w:p>
        </w:tc>
        <w:tc>
          <w:tcPr>
            <w:tcW w:w="584" w:type="pct"/>
            <w:noWrap w:val="0"/>
            <w:vAlign w:val="center"/>
          </w:tcPr>
          <w:p w14:paraId="6FC526DE">
            <w:pPr>
              <w:jc w:val="center"/>
              <w:rPr>
                <w:rFonts w:eastAsia="楷体_GB2312"/>
                <w:kern w:val="0"/>
                <w:sz w:val="22"/>
                <w:szCs w:val="22"/>
              </w:rPr>
            </w:pPr>
            <w:r>
              <w:rPr>
                <w:rFonts w:eastAsia="楷体_GB2312"/>
                <w:kern w:val="0"/>
                <w:sz w:val="22"/>
                <w:szCs w:val="22"/>
              </w:rPr>
              <w:t>2</w:t>
            </w:r>
          </w:p>
        </w:tc>
        <w:tc>
          <w:tcPr>
            <w:tcW w:w="569" w:type="pct"/>
            <w:noWrap w:val="0"/>
            <w:vAlign w:val="center"/>
          </w:tcPr>
          <w:p w14:paraId="1C24232D">
            <w:pPr>
              <w:jc w:val="center"/>
              <w:rPr>
                <w:rFonts w:eastAsia="楷体_GB2312"/>
                <w:kern w:val="0"/>
                <w:sz w:val="22"/>
                <w:szCs w:val="22"/>
              </w:rPr>
            </w:pPr>
            <w:r>
              <w:rPr>
                <w:rFonts w:eastAsia="楷体_GB2312"/>
                <w:kern w:val="0"/>
                <w:sz w:val="22"/>
                <w:szCs w:val="22"/>
              </w:rPr>
              <w:t>144</w:t>
            </w:r>
          </w:p>
        </w:tc>
      </w:tr>
      <w:tr w14:paraId="10254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386" w:type="pct"/>
            <w:noWrap w:val="0"/>
            <w:vAlign w:val="center"/>
          </w:tcPr>
          <w:p w14:paraId="17816E73">
            <w:pPr>
              <w:jc w:val="center"/>
              <w:rPr>
                <w:rFonts w:eastAsia="楷体_GB2312"/>
                <w:kern w:val="0"/>
                <w:sz w:val="22"/>
                <w:szCs w:val="22"/>
              </w:rPr>
            </w:pPr>
            <w:r>
              <w:rPr>
                <w:rFonts w:eastAsia="楷体_GB2312"/>
                <w:kern w:val="0"/>
                <w:sz w:val="22"/>
                <w:szCs w:val="22"/>
              </w:rPr>
              <w:t>3</w:t>
            </w:r>
          </w:p>
        </w:tc>
        <w:tc>
          <w:tcPr>
            <w:tcW w:w="618" w:type="pct"/>
            <w:noWrap w:val="0"/>
            <w:vAlign w:val="center"/>
          </w:tcPr>
          <w:p w14:paraId="077A86D8">
            <w:pPr>
              <w:jc w:val="center"/>
              <w:rPr>
                <w:rFonts w:eastAsia="楷体_GB2312"/>
                <w:kern w:val="0"/>
                <w:szCs w:val="21"/>
              </w:rPr>
            </w:pPr>
            <w:r>
              <w:rPr>
                <w:rFonts w:eastAsia="楷体_GB2312"/>
                <w:kern w:val="0"/>
                <w:szCs w:val="21"/>
              </w:rPr>
              <w:t>蕲县镇</w:t>
            </w:r>
          </w:p>
        </w:tc>
        <w:tc>
          <w:tcPr>
            <w:tcW w:w="532" w:type="pct"/>
            <w:noWrap w:val="0"/>
            <w:vAlign w:val="center"/>
          </w:tcPr>
          <w:p w14:paraId="6B6F5EAC">
            <w:pPr>
              <w:jc w:val="center"/>
              <w:rPr>
                <w:rFonts w:eastAsia="楷体_GB2312"/>
                <w:kern w:val="0"/>
                <w:szCs w:val="21"/>
              </w:rPr>
            </w:pPr>
            <w:r>
              <w:rPr>
                <w:rFonts w:eastAsia="楷体_GB2312"/>
                <w:kern w:val="0"/>
                <w:szCs w:val="21"/>
              </w:rPr>
              <w:t>0</w:t>
            </w:r>
          </w:p>
        </w:tc>
        <w:tc>
          <w:tcPr>
            <w:tcW w:w="577" w:type="pct"/>
            <w:noWrap w:val="0"/>
            <w:vAlign w:val="center"/>
          </w:tcPr>
          <w:p w14:paraId="068FCDCC">
            <w:pPr>
              <w:jc w:val="center"/>
              <w:rPr>
                <w:rFonts w:eastAsia="楷体_GB2312"/>
                <w:kern w:val="0"/>
                <w:sz w:val="22"/>
                <w:szCs w:val="22"/>
              </w:rPr>
            </w:pPr>
            <w:r>
              <w:rPr>
                <w:rFonts w:eastAsia="楷体_GB2312"/>
                <w:kern w:val="0"/>
                <w:sz w:val="22"/>
                <w:szCs w:val="22"/>
              </w:rPr>
              <w:t>0</w:t>
            </w:r>
          </w:p>
        </w:tc>
        <w:tc>
          <w:tcPr>
            <w:tcW w:w="581" w:type="pct"/>
            <w:noWrap w:val="0"/>
            <w:vAlign w:val="center"/>
          </w:tcPr>
          <w:p w14:paraId="120C43E1">
            <w:pPr>
              <w:jc w:val="center"/>
              <w:rPr>
                <w:rFonts w:eastAsia="楷体_GB2312"/>
                <w:kern w:val="0"/>
                <w:sz w:val="22"/>
                <w:szCs w:val="22"/>
              </w:rPr>
            </w:pPr>
            <w:r>
              <w:rPr>
                <w:rFonts w:eastAsia="楷体_GB2312"/>
                <w:kern w:val="0"/>
                <w:sz w:val="22"/>
                <w:szCs w:val="22"/>
              </w:rPr>
              <w:t>200</w:t>
            </w:r>
          </w:p>
        </w:tc>
        <w:tc>
          <w:tcPr>
            <w:tcW w:w="577" w:type="pct"/>
            <w:noWrap w:val="0"/>
            <w:vAlign w:val="center"/>
          </w:tcPr>
          <w:p w14:paraId="1C3BA5A3">
            <w:pPr>
              <w:jc w:val="center"/>
              <w:rPr>
                <w:rFonts w:eastAsia="楷体_GB2312"/>
                <w:kern w:val="0"/>
                <w:sz w:val="22"/>
                <w:szCs w:val="22"/>
              </w:rPr>
            </w:pPr>
            <w:r>
              <w:rPr>
                <w:rFonts w:eastAsia="楷体_GB2312"/>
                <w:kern w:val="0"/>
                <w:sz w:val="22"/>
                <w:szCs w:val="22"/>
              </w:rPr>
              <w:t>0</w:t>
            </w:r>
          </w:p>
        </w:tc>
        <w:tc>
          <w:tcPr>
            <w:tcW w:w="576" w:type="pct"/>
            <w:noWrap w:val="0"/>
            <w:vAlign w:val="center"/>
          </w:tcPr>
          <w:p w14:paraId="11978B08">
            <w:pPr>
              <w:jc w:val="center"/>
              <w:rPr>
                <w:rFonts w:eastAsia="楷体_GB2312"/>
                <w:kern w:val="0"/>
                <w:sz w:val="22"/>
                <w:szCs w:val="22"/>
              </w:rPr>
            </w:pPr>
            <w:r>
              <w:rPr>
                <w:rFonts w:eastAsia="楷体_GB2312"/>
                <w:kern w:val="0"/>
                <w:sz w:val="22"/>
                <w:szCs w:val="22"/>
              </w:rPr>
              <w:t>170</w:t>
            </w:r>
          </w:p>
        </w:tc>
        <w:tc>
          <w:tcPr>
            <w:tcW w:w="584" w:type="pct"/>
            <w:noWrap w:val="0"/>
            <w:vAlign w:val="center"/>
          </w:tcPr>
          <w:p w14:paraId="188B8254">
            <w:pPr>
              <w:jc w:val="center"/>
              <w:rPr>
                <w:rFonts w:eastAsia="楷体_GB2312"/>
                <w:kern w:val="0"/>
                <w:sz w:val="22"/>
                <w:szCs w:val="22"/>
              </w:rPr>
            </w:pPr>
            <w:r>
              <w:rPr>
                <w:rFonts w:eastAsia="楷体_GB2312"/>
                <w:kern w:val="0"/>
                <w:sz w:val="22"/>
                <w:szCs w:val="22"/>
              </w:rPr>
              <w:t>0</w:t>
            </w:r>
          </w:p>
        </w:tc>
        <w:tc>
          <w:tcPr>
            <w:tcW w:w="569" w:type="pct"/>
            <w:noWrap w:val="0"/>
            <w:vAlign w:val="center"/>
          </w:tcPr>
          <w:p w14:paraId="7C3904B2">
            <w:pPr>
              <w:jc w:val="center"/>
              <w:rPr>
                <w:rFonts w:eastAsia="楷体_GB2312"/>
                <w:kern w:val="0"/>
                <w:sz w:val="22"/>
                <w:szCs w:val="22"/>
              </w:rPr>
            </w:pPr>
            <w:r>
              <w:rPr>
                <w:rFonts w:eastAsia="楷体_GB2312"/>
                <w:kern w:val="0"/>
                <w:sz w:val="22"/>
                <w:szCs w:val="22"/>
              </w:rPr>
              <w:t>144</w:t>
            </w:r>
          </w:p>
        </w:tc>
      </w:tr>
      <w:tr w14:paraId="7BE3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0515FE72">
            <w:pPr>
              <w:jc w:val="center"/>
              <w:rPr>
                <w:rFonts w:eastAsia="楷体_GB2312"/>
                <w:kern w:val="0"/>
                <w:sz w:val="22"/>
                <w:szCs w:val="22"/>
              </w:rPr>
            </w:pPr>
            <w:r>
              <w:rPr>
                <w:rFonts w:eastAsia="楷体_GB2312"/>
                <w:kern w:val="0"/>
                <w:sz w:val="22"/>
                <w:szCs w:val="22"/>
              </w:rPr>
              <w:t>4</w:t>
            </w:r>
          </w:p>
        </w:tc>
        <w:tc>
          <w:tcPr>
            <w:tcW w:w="618" w:type="pct"/>
            <w:noWrap w:val="0"/>
            <w:vAlign w:val="center"/>
          </w:tcPr>
          <w:p w14:paraId="1FA6D4E5">
            <w:pPr>
              <w:jc w:val="center"/>
              <w:rPr>
                <w:rFonts w:eastAsia="楷体_GB2312"/>
                <w:kern w:val="0"/>
                <w:szCs w:val="21"/>
              </w:rPr>
            </w:pPr>
            <w:r>
              <w:rPr>
                <w:rFonts w:eastAsia="楷体_GB2312"/>
                <w:kern w:val="0"/>
                <w:szCs w:val="21"/>
              </w:rPr>
              <w:t>芦岭镇</w:t>
            </w:r>
          </w:p>
        </w:tc>
        <w:tc>
          <w:tcPr>
            <w:tcW w:w="532" w:type="pct"/>
            <w:noWrap w:val="0"/>
            <w:vAlign w:val="center"/>
          </w:tcPr>
          <w:p w14:paraId="0B8C0564">
            <w:pPr>
              <w:jc w:val="center"/>
              <w:rPr>
                <w:rFonts w:eastAsia="楷体_GB2312"/>
                <w:kern w:val="0"/>
                <w:szCs w:val="21"/>
              </w:rPr>
            </w:pPr>
            <w:r>
              <w:rPr>
                <w:rFonts w:eastAsia="楷体_GB2312"/>
                <w:kern w:val="0"/>
                <w:szCs w:val="21"/>
              </w:rPr>
              <w:t>1</w:t>
            </w:r>
          </w:p>
        </w:tc>
        <w:tc>
          <w:tcPr>
            <w:tcW w:w="577" w:type="pct"/>
            <w:noWrap w:val="0"/>
            <w:vAlign w:val="center"/>
          </w:tcPr>
          <w:p w14:paraId="2FC42E6F">
            <w:pPr>
              <w:jc w:val="center"/>
              <w:rPr>
                <w:rFonts w:eastAsia="楷体_GB2312"/>
                <w:kern w:val="0"/>
                <w:sz w:val="22"/>
                <w:szCs w:val="22"/>
              </w:rPr>
            </w:pPr>
            <w:r>
              <w:rPr>
                <w:rFonts w:eastAsia="楷体_GB2312"/>
                <w:kern w:val="0"/>
                <w:sz w:val="22"/>
                <w:szCs w:val="22"/>
              </w:rPr>
              <w:t>0</w:t>
            </w:r>
          </w:p>
        </w:tc>
        <w:tc>
          <w:tcPr>
            <w:tcW w:w="581" w:type="pct"/>
            <w:noWrap w:val="0"/>
            <w:vAlign w:val="center"/>
          </w:tcPr>
          <w:p w14:paraId="240CD3CF">
            <w:pPr>
              <w:jc w:val="center"/>
              <w:rPr>
                <w:rFonts w:eastAsia="楷体_GB2312"/>
                <w:kern w:val="0"/>
                <w:sz w:val="22"/>
                <w:szCs w:val="22"/>
              </w:rPr>
            </w:pPr>
            <w:r>
              <w:rPr>
                <w:rFonts w:eastAsia="楷体_GB2312"/>
                <w:kern w:val="0"/>
                <w:sz w:val="22"/>
                <w:szCs w:val="22"/>
              </w:rPr>
              <w:t>200</w:t>
            </w:r>
          </w:p>
        </w:tc>
        <w:tc>
          <w:tcPr>
            <w:tcW w:w="577" w:type="pct"/>
            <w:noWrap w:val="0"/>
            <w:vAlign w:val="center"/>
          </w:tcPr>
          <w:p w14:paraId="2E67E063">
            <w:pPr>
              <w:jc w:val="center"/>
              <w:rPr>
                <w:rFonts w:eastAsia="楷体_GB2312"/>
                <w:kern w:val="0"/>
                <w:sz w:val="22"/>
                <w:szCs w:val="22"/>
              </w:rPr>
            </w:pPr>
            <w:r>
              <w:rPr>
                <w:rFonts w:eastAsia="楷体_GB2312"/>
                <w:kern w:val="0"/>
                <w:sz w:val="22"/>
                <w:szCs w:val="22"/>
              </w:rPr>
              <w:t>0</w:t>
            </w:r>
          </w:p>
        </w:tc>
        <w:tc>
          <w:tcPr>
            <w:tcW w:w="576" w:type="pct"/>
            <w:noWrap w:val="0"/>
            <w:vAlign w:val="center"/>
          </w:tcPr>
          <w:p w14:paraId="74A0CE3F">
            <w:pPr>
              <w:jc w:val="center"/>
              <w:rPr>
                <w:rFonts w:eastAsia="楷体_GB2312"/>
                <w:kern w:val="0"/>
                <w:sz w:val="22"/>
                <w:szCs w:val="22"/>
              </w:rPr>
            </w:pPr>
            <w:r>
              <w:rPr>
                <w:rFonts w:eastAsia="楷体_GB2312"/>
                <w:kern w:val="0"/>
                <w:sz w:val="22"/>
                <w:szCs w:val="22"/>
              </w:rPr>
              <w:t>170</w:t>
            </w:r>
          </w:p>
        </w:tc>
        <w:tc>
          <w:tcPr>
            <w:tcW w:w="584" w:type="pct"/>
            <w:noWrap w:val="0"/>
            <w:vAlign w:val="center"/>
          </w:tcPr>
          <w:p w14:paraId="5C6B3340">
            <w:pPr>
              <w:jc w:val="center"/>
              <w:rPr>
                <w:rFonts w:eastAsia="楷体_GB2312"/>
                <w:kern w:val="0"/>
                <w:sz w:val="22"/>
                <w:szCs w:val="22"/>
              </w:rPr>
            </w:pPr>
            <w:r>
              <w:rPr>
                <w:rFonts w:eastAsia="楷体_GB2312"/>
                <w:kern w:val="0"/>
                <w:sz w:val="22"/>
                <w:szCs w:val="22"/>
              </w:rPr>
              <w:t>1</w:t>
            </w:r>
          </w:p>
        </w:tc>
        <w:tc>
          <w:tcPr>
            <w:tcW w:w="569" w:type="pct"/>
            <w:noWrap w:val="0"/>
            <w:vAlign w:val="center"/>
          </w:tcPr>
          <w:p w14:paraId="0E1CB5F3">
            <w:pPr>
              <w:jc w:val="center"/>
              <w:rPr>
                <w:rFonts w:eastAsia="楷体_GB2312"/>
                <w:kern w:val="0"/>
                <w:sz w:val="22"/>
                <w:szCs w:val="22"/>
              </w:rPr>
            </w:pPr>
            <w:r>
              <w:rPr>
                <w:rFonts w:eastAsia="楷体_GB2312"/>
                <w:kern w:val="0"/>
                <w:sz w:val="22"/>
                <w:szCs w:val="22"/>
              </w:rPr>
              <w:t>144</w:t>
            </w:r>
          </w:p>
        </w:tc>
      </w:tr>
      <w:tr w14:paraId="2A15A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53C25B04">
            <w:pPr>
              <w:jc w:val="center"/>
              <w:rPr>
                <w:rFonts w:eastAsia="楷体_GB2312"/>
                <w:kern w:val="0"/>
                <w:sz w:val="22"/>
                <w:szCs w:val="22"/>
              </w:rPr>
            </w:pPr>
            <w:r>
              <w:rPr>
                <w:rFonts w:eastAsia="楷体_GB2312"/>
                <w:kern w:val="0"/>
                <w:sz w:val="22"/>
                <w:szCs w:val="22"/>
              </w:rPr>
              <w:t>5</w:t>
            </w:r>
          </w:p>
        </w:tc>
        <w:tc>
          <w:tcPr>
            <w:tcW w:w="618" w:type="pct"/>
            <w:noWrap w:val="0"/>
            <w:vAlign w:val="center"/>
          </w:tcPr>
          <w:p w14:paraId="0F4F1659">
            <w:pPr>
              <w:jc w:val="center"/>
              <w:rPr>
                <w:rFonts w:eastAsia="楷体_GB2312"/>
                <w:kern w:val="0"/>
                <w:szCs w:val="21"/>
              </w:rPr>
            </w:pPr>
            <w:r>
              <w:rPr>
                <w:rFonts w:eastAsia="楷体_GB2312"/>
                <w:kern w:val="0"/>
                <w:szCs w:val="21"/>
              </w:rPr>
              <w:t>大店镇</w:t>
            </w:r>
          </w:p>
        </w:tc>
        <w:tc>
          <w:tcPr>
            <w:tcW w:w="532" w:type="pct"/>
            <w:noWrap w:val="0"/>
            <w:vAlign w:val="center"/>
          </w:tcPr>
          <w:p w14:paraId="08560E64">
            <w:pPr>
              <w:jc w:val="center"/>
              <w:rPr>
                <w:rFonts w:eastAsia="楷体_GB2312"/>
                <w:kern w:val="0"/>
                <w:szCs w:val="21"/>
              </w:rPr>
            </w:pPr>
            <w:r>
              <w:rPr>
                <w:rFonts w:eastAsia="楷体_GB2312"/>
                <w:kern w:val="0"/>
                <w:szCs w:val="21"/>
              </w:rPr>
              <w:t>1</w:t>
            </w:r>
          </w:p>
        </w:tc>
        <w:tc>
          <w:tcPr>
            <w:tcW w:w="577" w:type="pct"/>
            <w:noWrap w:val="0"/>
            <w:vAlign w:val="center"/>
          </w:tcPr>
          <w:p w14:paraId="2E941F32">
            <w:pPr>
              <w:jc w:val="center"/>
              <w:rPr>
                <w:rFonts w:eastAsia="楷体_GB2312"/>
                <w:kern w:val="0"/>
                <w:sz w:val="22"/>
                <w:szCs w:val="22"/>
              </w:rPr>
            </w:pPr>
            <w:r>
              <w:rPr>
                <w:rFonts w:eastAsia="楷体_GB2312"/>
                <w:kern w:val="0"/>
                <w:sz w:val="22"/>
                <w:szCs w:val="22"/>
              </w:rPr>
              <w:t>0</w:t>
            </w:r>
          </w:p>
        </w:tc>
        <w:tc>
          <w:tcPr>
            <w:tcW w:w="581" w:type="pct"/>
            <w:noWrap w:val="0"/>
            <w:vAlign w:val="center"/>
          </w:tcPr>
          <w:p w14:paraId="7B64509C">
            <w:pPr>
              <w:jc w:val="center"/>
              <w:rPr>
                <w:rFonts w:eastAsia="楷体_GB2312"/>
                <w:kern w:val="0"/>
                <w:sz w:val="22"/>
                <w:szCs w:val="22"/>
              </w:rPr>
            </w:pPr>
            <w:r>
              <w:rPr>
                <w:rFonts w:eastAsia="楷体_GB2312"/>
                <w:kern w:val="0"/>
                <w:sz w:val="22"/>
                <w:szCs w:val="22"/>
              </w:rPr>
              <w:t>170</w:t>
            </w:r>
          </w:p>
        </w:tc>
        <w:tc>
          <w:tcPr>
            <w:tcW w:w="577" w:type="pct"/>
            <w:noWrap w:val="0"/>
            <w:vAlign w:val="center"/>
          </w:tcPr>
          <w:p w14:paraId="573C15B5">
            <w:pPr>
              <w:jc w:val="center"/>
              <w:rPr>
                <w:rFonts w:eastAsia="楷体_GB2312"/>
                <w:kern w:val="0"/>
                <w:sz w:val="22"/>
                <w:szCs w:val="22"/>
              </w:rPr>
            </w:pPr>
            <w:r>
              <w:rPr>
                <w:rFonts w:eastAsia="楷体_GB2312"/>
                <w:kern w:val="0"/>
                <w:sz w:val="22"/>
                <w:szCs w:val="22"/>
              </w:rPr>
              <w:t>1</w:t>
            </w:r>
          </w:p>
        </w:tc>
        <w:tc>
          <w:tcPr>
            <w:tcW w:w="576" w:type="pct"/>
            <w:noWrap w:val="0"/>
            <w:vAlign w:val="center"/>
          </w:tcPr>
          <w:p w14:paraId="0CFE42F0">
            <w:pPr>
              <w:jc w:val="center"/>
              <w:rPr>
                <w:rFonts w:eastAsia="楷体_GB2312"/>
                <w:kern w:val="0"/>
                <w:sz w:val="22"/>
                <w:szCs w:val="22"/>
              </w:rPr>
            </w:pPr>
            <w:r>
              <w:rPr>
                <w:rFonts w:eastAsia="楷体_GB2312"/>
                <w:kern w:val="0"/>
                <w:sz w:val="22"/>
                <w:szCs w:val="22"/>
              </w:rPr>
              <w:t>155</w:t>
            </w:r>
          </w:p>
        </w:tc>
        <w:tc>
          <w:tcPr>
            <w:tcW w:w="584" w:type="pct"/>
            <w:noWrap w:val="0"/>
            <w:vAlign w:val="center"/>
          </w:tcPr>
          <w:p w14:paraId="2D60FB71">
            <w:pPr>
              <w:jc w:val="center"/>
              <w:rPr>
                <w:rFonts w:eastAsia="楷体_GB2312"/>
                <w:kern w:val="0"/>
                <w:sz w:val="22"/>
                <w:szCs w:val="22"/>
              </w:rPr>
            </w:pPr>
            <w:r>
              <w:rPr>
                <w:rFonts w:eastAsia="楷体_GB2312"/>
                <w:kern w:val="0"/>
                <w:sz w:val="22"/>
                <w:szCs w:val="22"/>
              </w:rPr>
              <w:t>0</w:t>
            </w:r>
          </w:p>
        </w:tc>
        <w:tc>
          <w:tcPr>
            <w:tcW w:w="569" w:type="pct"/>
            <w:noWrap w:val="0"/>
            <w:vAlign w:val="center"/>
          </w:tcPr>
          <w:p w14:paraId="4BE20251">
            <w:pPr>
              <w:jc w:val="center"/>
              <w:rPr>
                <w:rFonts w:eastAsia="楷体_GB2312"/>
                <w:kern w:val="0"/>
                <w:sz w:val="22"/>
                <w:szCs w:val="22"/>
              </w:rPr>
            </w:pPr>
            <w:r>
              <w:rPr>
                <w:rFonts w:eastAsia="楷体_GB2312"/>
                <w:kern w:val="0"/>
                <w:sz w:val="22"/>
                <w:szCs w:val="22"/>
              </w:rPr>
              <w:t>144</w:t>
            </w:r>
          </w:p>
        </w:tc>
      </w:tr>
      <w:tr w14:paraId="4048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7942694B">
            <w:pPr>
              <w:jc w:val="center"/>
              <w:rPr>
                <w:rFonts w:eastAsia="楷体_GB2312"/>
                <w:kern w:val="0"/>
                <w:sz w:val="22"/>
                <w:szCs w:val="22"/>
              </w:rPr>
            </w:pPr>
            <w:r>
              <w:rPr>
                <w:rFonts w:eastAsia="楷体_GB2312"/>
                <w:kern w:val="0"/>
                <w:sz w:val="22"/>
                <w:szCs w:val="22"/>
              </w:rPr>
              <w:t>6</w:t>
            </w:r>
          </w:p>
        </w:tc>
        <w:tc>
          <w:tcPr>
            <w:tcW w:w="618" w:type="pct"/>
            <w:noWrap w:val="0"/>
            <w:vAlign w:val="center"/>
          </w:tcPr>
          <w:p w14:paraId="6E0978F7">
            <w:pPr>
              <w:jc w:val="center"/>
              <w:rPr>
                <w:rFonts w:eastAsia="楷体_GB2312"/>
                <w:kern w:val="0"/>
                <w:szCs w:val="21"/>
              </w:rPr>
            </w:pPr>
            <w:r>
              <w:rPr>
                <w:rFonts w:eastAsia="楷体_GB2312"/>
                <w:kern w:val="0"/>
                <w:szCs w:val="21"/>
              </w:rPr>
              <w:t>栏杆镇</w:t>
            </w:r>
          </w:p>
        </w:tc>
        <w:tc>
          <w:tcPr>
            <w:tcW w:w="532" w:type="pct"/>
            <w:noWrap w:val="0"/>
            <w:vAlign w:val="center"/>
          </w:tcPr>
          <w:p w14:paraId="54729508">
            <w:pPr>
              <w:jc w:val="center"/>
              <w:rPr>
                <w:rFonts w:eastAsia="楷体_GB2312"/>
                <w:kern w:val="0"/>
                <w:szCs w:val="21"/>
              </w:rPr>
            </w:pPr>
            <w:r>
              <w:rPr>
                <w:rFonts w:eastAsia="楷体_GB2312"/>
                <w:kern w:val="0"/>
                <w:szCs w:val="21"/>
              </w:rPr>
              <w:t>2</w:t>
            </w:r>
          </w:p>
        </w:tc>
        <w:tc>
          <w:tcPr>
            <w:tcW w:w="577" w:type="pct"/>
            <w:noWrap w:val="0"/>
            <w:vAlign w:val="center"/>
          </w:tcPr>
          <w:p w14:paraId="5AE6F94C">
            <w:pPr>
              <w:jc w:val="center"/>
              <w:rPr>
                <w:rFonts w:eastAsia="楷体_GB2312"/>
              </w:rPr>
            </w:pPr>
            <w:r>
              <w:rPr>
                <w:rFonts w:eastAsia="楷体_GB2312"/>
                <w:kern w:val="0"/>
                <w:sz w:val="22"/>
                <w:szCs w:val="22"/>
              </w:rPr>
              <w:t>0</w:t>
            </w:r>
          </w:p>
        </w:tc>
        <w:tc>
          <w:tcPr>
            <w:tcW w:w="581" w:type="pct"/>
            <w:noWrap w:val="0"/>
            <w:vAlign w:val="center"/>
          </w:tcPr>
          <w:p w14:paraId="4D88B90E">
            <w:pPr>
              <w:jc w:val="center"/>
              <w:rPr>
                <w:rFonts w:eastAsia="楷体_GB2312"/>
                <w:kern w:val="0"/>
                <w:sz w:val="22"/>
                <w:szCs w:val="22"/>
              </w:rPr>
            </w:pPr>
            <w:r>
              <w:rPr>
                <w:rFonts w:eastAsia="楷体_GB2312"/>
                <w:kern w:val="0"/>
                <w:sz w:val="22"/>
                <w:szCs w:val="22"/>
              </w:rPr>
              <w:t>200</w:t>
            </w:r>
          </w:p>
        </w:tc>
        <w:tc>
          <w:tcPr>
            <w:tcW w:w="577" w:type="pct"/>
            <w:noWrap w:val="0"/>
            <w:vAlign w:val="center"/>
          </w:tcPr>
          <w:p w14:paraId="26A482A5">
            <w:pPr>
              <w:jc w:val="center"/>
              <w:rPr>
                <w:rFonts w:eastAsia="楷体_GB2312"/>
                <w:kern w:val="0"/>
                <w:sz w:val="22"/>
                <w:szCs w:val="22"/>
              </w:rPr>
            </w:pPr>
            <w:r>
              <w:rPr>
                <w:rFonts w:eastAsia="楷体_GB2312"/>
                <w:kern w:val="0"/>
                <w:sz w:val="22"/>
                <w:szCs w:val="22"/>
              </w:rPr>
              <w:t>1</w:t>
            </w:r>
          </w:p>
        </w:tc>
        <w:tc>
          <w:tcPr>
            <w:tcW w:w="576" w:type="pct"/>
            <w:noWrap w:val="0"/>
            <w:vAlign w:val="center"/>
          </w:tcPr>
          <w:p w14:paraId="4AD70A99">
            <w:pPr>
              <w:jc w:val="center"/>
              <w:rPr>
                <w:rFonts w:eastAsia="楷体_GB2312"/>
                <w:kern w:val="0"/>
                <w:sz w:val="22"/>
                <w:szCs w:val="22"/>
              </w:rPr>
            </w:pPr>
            <w:r>
              <w:rPr>
                <w:rFonts w:eastAsia="楷体_GB2312"/>
                <w:kern w:val="0"/>
                <w:sz w:val="22"/>
                <w:szCs w:val="22"/>
              </w:rPr>
              <w:t>170</w:t>
            </w:r>
          </w:p>
        </w:tc>
        <w:tc>
          <w:tcPr>
            <w:tcW w:w="584" w:type="pct"/>
            <w:noWrap w:val="0"/>
            <w:vAlign w:val="center"/>
          </w:tcPr>
          <w:p w14:paraId="22A87888">
            <w:pPr>
              <w:jc w:val="center"/>
              <w:rPr>
                <w:rFonts w:eastAsia="楷体_GB2312"/>
                <w:kern w:val="0"/>
                <w:sz w:val="22"/>
                <w:szCs w:val="22"/>
              </w:rPr>
            </w:pPr>
            <w:r>
              <w:rPr>
                <w:rFonts w:eastAsia="楷体_GB2312"/>
                <w:kern w:val="0"/>
                <w:sz w:val="22"/>
                <w:szCs w:val="22"/>
              </w:rPr>
              <w:t>1</w:t>
            </w:r>
          </w:p>
        </w:tc>
        <w:tc>
          <w:tcPr>
            <w:tcW w:w="569" w:type="pct"/>
            <w:noWrap w:val="0"/>
            <w:vAlign w:val="center"/>
          </w:tcPr>
          <w:p w14:paraId="64AB67B8">
            <w:pPr>
              <w:jc w:val="center"/>
              <w:rPr>
                <w:rFonts w:eastAsia="楷体_GB2312"/>
                <w:kern w:val="0"/>
                <w:sz w:val="22"/>
                <w:szCs w:val="22"/>
              </w:rPr>
            </w:pPr>
            <w:r>
              <w:rPr>
                <w:rFonts w:eastAsia="楷体_GB2312"/>
                <w:kern w:val="0"/>
                <w:sz w:val="22"/>
                <w:szCs w:val="22"/>
              </w:rPr>
              <w:t>144</w:t>
            </w:r>
          </w:p>
        </w:tc>
      </w:tr>
      <w:tr w14:paraId="6BDC8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436045E3">
            <w:pPr>
              <w:jc w:val="center"/>
              <w:rPr>
                <w:rFonts w:eastAsia="楷体_GB2312"/>
                <w:kern w:val="0"/>
                <w:sz w:val="22"/>
                <w:szCs w:val="22"/>
              </w:rPr>
            </w:pPr>
            <w:r>
              <w:rPr>
                <w:rFonts w:eastAsia="楷体_GB2312"/>
                <w:kern w:val="0"/>
                <w:sz w:val="22"/>
                <w:szCs w:val="22"/>
              </w:rPr>
              <w:t>7</w:t>
            </w:r>
          </w:p>
        </w:tc>
        <w:tc>
          <w:tcPr>
            <w:tcW w:w="618" w:type="pct"/>
            <w:noWrap w:val="0"/>
            <w:vAlign w:val="center"/>
          </w:tcPr>
          <w:p w14:paraId="0DC34DB7">
            <w:pPr>
              <w:jc w:val="center"/>
              <w:rPr>
                <w:rFonts w:eastAsia="楷体_GB2312"/>
                <w:kern w:val="0"/>
                <w:szCs w:val="21"/>
              </w:rPr>
            </w:pPr>
            <w:r>
              <w:rPr>
                <w:rFonts w:eastAsia="楷体_GB2312"/>
                <w:kern w:val="0"/>
                <w:szCs w:val="21"/>
              </w:rPr>
              <w:t>时村镇</w:t>
            </w:r>
          </w:p>
        </w:tc>
        <w:tc>
          <w:tcPr>
            <w:tcW w:w="532" w:type="pct"/>
            <w:noWrap w:val="0"/>
            <w:vAlign w:val="center"/>
          </w:tcPr>
          <w:p w14:paraId="7BD99068">
            <w:pPr>
              <w:jc w:val="center"/>
              <w:rPr>
                <w:rFonts w:eastAsia="楷体_GB2312"/>
                <w:kern w:val="0"/>
                <w:szCs w:val="21"/>
              </w:rPr>
            </w:pPr>
            <w:r>
              <w:rPr>
                <w:rFonts w:eastAsia="楷体_GB2312"/>
                <w:kern w:val="0"/>
                <w:szCs w:val="21"/>
              </w:rPr>
              <w:t>1</w:t>
            </w:r>
          </w:p>
        </w:tc>
        <w:tc>
          <w:tcPr>
            <w:tcW w:w="577" w:type="pct"/>
            <w:noWrap w:val="0"/>
            <w:vAlign w:val="center"/>
          </w:tcPr>
          <w:p w14:paraId="0CCF7E49">
            <w:pPr>
              <w:jc w:val="center"/>
              <w:rPr>
                <w:rFonts w:eastAsia="楷体_GB2312"/>
              </w:rPr>
            </w:pPr>
            <w:r>
              <w:rPr>
                <w:rFonts w:eastAsia="楷体_GB2312"/>
                <w:kern w:val="0"/>
                <w:sz w:val="22"/>
                <w:szCs w:val="22"/>
              </w:rPr>
              <w:t>0</w:t>
            </w:r>
          </w:p>
        </w:tc>
        <w:tc>
          <w:tcPr>
            <w:tcW w:w="581" w:type="pct"/>
            <w:noWrap w:val="0"/>
            <w:vAlign w:val="center"/>
          </w:tcPr>
          <w:p w14:paraId="0BD020E2">
            <w:pPr>
              <w:jc w:val="center"/>
              <w:rPr>
                <w:rFonts w:eastAsia="楷体_GB2312"/>
                <w:kern w:val="0"/>
                <w:sz w:val="22"/>
                <w:szCs w:val="22"/>
              </w:rPr>
            </w:pPr>
            <w:r>
              <w:rPr>
                <w:rFonts w:eastAsia="楷体_GB2312"/>
                <w:kern w:val="0"/>
                <w:sz w:val="22"/>
                <w:szCs w:val="22"/>
              </w:rPr>
              <w:t>200</w:t>
            </w:r>
          </w:p>
        </w:tc>
        <w:tc>
          <w:tcPr>
            <w:tcW w:w="577" w:type="pct"/>
            <w:noWrap w:val="0"/>
            <w:vAlign w:val="center"/>
          </w:tcPr>
          <w:p w14:paraId="24B2FF1D">
            <w:pPr>
              <w:jc w:val="center"/>
              <w:rPr>
                <w:rFonts w:eastAsia="楷体_GB2312"/>
                <w:kern w:val="0"/>
                <w:szCs w:val="21"/>
              </w:rPr>
            </w:pPr>
            <w:r>
              <w:rPr>
                <w:rFonts w:eastAsia="楷体_GB2312"/>
                <w:kern w:val="0"/>
                <w:szCs w:val="21"/>
              </w:rPr>
              <w:t>1</w:t>
            </w:r>
          </w:p>
        </w:tc>
        <w:tc>
          <w:tcPr>
            <w:tcW w:w="576" w:type="pct"/>
            <w:noWrap w:val="0"/>
            <w:vAlign w:val="center"/>
          </w:tcPr>
          <w:p w14:paraId="0A96DD66">
            <w:pPr>
              <w:jc w:val="center"/>
              <w:rPr>
                <w:rFonts w:eastAsia="楷体_GB2312"/>
                <w:kern w:val="0"/>
                <w:sz w:val="22"/>
                <w:szCs w:val="22"/>
              </w:rPr>
            </w:pPr>
            <w:r>
              <w:rPr>
                <w:rFonts w:eastAsia="楷体_GB2312"/>
                <w:kern w:val="0"/>
                <w:sz w:val="22"/>
                <w:szCs w:val="22"/>
              </w:rPr>
              <w:t>170</w:t>
            </w:r>
          </w:p>
        </w:tc>
        <w:tc>
          <w:tcPr>
            <w:tcW w:w="584" w:type="pct"/>
            <w:noWrap w:val="0"/>
            <w:vAlign w:val="center"/>
          </w:tcPr>
          <w:p w14:paraId="17C818F5">
            <w:pPr>
              <w:jc w:val="center"/>
              <w:rPr>
                <w:rFonts w:eastAsia="楷体_GB2312"/>
              </w:rPr>
            </w:pPr>
            <w:r>
              <w:rPr>
                <w:rFonts w:eastAsia="楷体_GB2312"/>
                <w:kern w:val="0"/>
                <w:sz w:val="22"/>
                <w:szCs w:val="22"/>
              </w:rPr>
              <w:t>0</w:t>
            </w:r>
          </w:p>
        </w:tc>
        <w:tc>
          <w:tcPr>
            <w:tcW w:w="569" w:type="pct"/>
            <w:noWrap w:val="0"/>
            <w:vAlign w:val="center"/>
          </w:tcPr>
          <w:p w14:paraId="0B2089FB">
            <w:pPr>
              <w:jc w:val="center"/>
              <w:rPr>
                <w:rFonts w:eastAsia="楷体_GB2312"/>
                <w:kern w:val="0"/>
                <w:sz w:val="22"/>
                <w:szCs w:val="22"/>
              </w:rPr>
            </w:pPr>
            <w:r>
              <w:rPr>
                <w:rFonts w:eastAsia="楷体_GB2312"/>
                <w:kern w:val="0"/>
                <w:sz w:val="22"/>
                <w:szCs w:val="22"/>
              </w:rPr>
              <w:t>144</w:t>
            </w:r>
          </w:p>
        </w:tc>
      </w:tr>
      <w:tr w14:paraId="2EAD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677FE855">
            <w:pPr>
              <w:jc w:val="center"/>
              <w:rPr>
                <w:rFonts w:eastAsia="楷体_GB2312"/>
                <w:kern w:val="0"/>
                <w:sz w:val="22"/>
                <w:szCs w:val="22"/>
              </w:rPr>
            </w:pPr>
            <w:r>
              <w:rPr>
                <w:rFonts w:eastAsia="楷体_GB2312"/>
                <w:kern w:val="0"/>
                <w:sz w:val="22"/>
                <w:szCs w:val="22"/>
              </w:rPr>
              <w:t>8</w:t>
            </w:r>
          </w:p>
        </w:tc>
        <w:tc>
          <w:tcPr>
            <w:tcW w:w="618" w:type="pct"/>
            <w:noWrap w:val="0"/>
            <w:vAlign w:val="center"/>
          </w:tcPr>
          <w:p w14:paraId="45D49397">
            <w:pPr>
              <w:jc w:val="center"/>
              <w:rPr>
                <w:rFonts w:eastAsia="楷体_GB2312"/>
                <w:kern w:val="0"/>
                <w:szCs w:val="21"/>
              </w:rPr>
            </w:pPr>
            <w:r>
              <w:rPr>
                <w:rFonts w:eastAsia="楷体_GB2312"/>
                <w:kern w:val="0"/>
                <w:szCs w:val="21"/>
              </w:rPr>
              <w:t>夹沟镇</w:t>
            </w:r>
          </w:p>
        </w:tc>
        <w:tc>
          <w:tcPr>
            <w:tcW w:w="532" w:type="pct"/>
            <w:noWrap w:val="0"/>
            <w:vAlign w:val="center"/>
          </w:tcPr>
          <w:p w14:paraId="27512507">
            <w:pPr>
              <w:jc w:val="center"/>
              <w:rPr>
                <w:rFonts w:eastAsia="楷体_GB2312"/>
                <w:kern w:val="0"/>
                <w:szCs w:val="21"/>
              </w:rPr>
            </w:pPr>
            <w:r>
              <w:rPr>
                <w:rFonts w:eastAsia="楷体_GB2312"/>
                <w:kern w:val="0"/>
                <w:szCs w:val="21"/>
              </w:rPr>
              <w:t>1</w:t>
            </w:r>
          </w:p>
        </w:tc>
        <w:tc>
          <w:tcPr>
            <w:tcW w:w="577" w:type="pct"/>
            <w:noWrap w:val="0"/>
            <w:vAlign w:val="center"/>
          </w:tcPr>
          <w:p w14:paraId="07297282">
            <w:pPr>
              <w:jc w:val="center"/>
              <w:rPr>
                <w:rFonts w:eastAsia="楷体_GB2312"/>
              </w:rPr>
            </w:pPr>
            <w:r>
              <w:rPr>
                <w:rFonts w:eastAsia="楷体_GB2312"/>
                <w:kern w:val="0"/>
                <w:sz w:val="22"/>
                <w:szCs w:val="22"/>
              </w:rPr>
              <w:t>0</w:t>
            </w:r>
          </w:p>
        </w:tc>
        <w:tc>
          <w:tcPr>
            <w:tcW w:w="581" w:type="pct"/>
            <w:noWrap w:val="0"/>
            <w:vAlign w:val="center"/>
          </w:tcPr>
          <w:p w14:paraId="0CAA72F5">
            <w:pPr>
              <w:jc w:val="center"/>
              <w:rPr>
                <w:rFonts w:eastAsia="楷体_GB2312"/>
                <w:kern w:val="0"/>
                <w:sz w:val="22"/>
                <w:szCs w:val="22"/>
              </w:rPr>
            </w:pPr>
            <w:r>
              <w:rPr>
                <w:rFonts w:eastAsia="楷体_GB2312"/>
                <w:kern w:val="0"/>
                <w:sz w:val="22"/>
                <w:szCs w:val="22"/>
              </w:rPr>
              <w:t>170</w:t>
            </w:r>
          </w:p>
        </w:tc>
        <w:tc>
          <w:tcPr>
            <w:tcW w:w="577" w:type="pct"/>
            <w:noWrap w:val="0"/>
            <w:vAlign w:val="center"/>
          </w:tcPr>
          <w:p w14:paraId="685923BE">
            <w:pPr>
              <w:jc w:val="center"/>
              <w:rPr>
                <w:rFonts w:eastAsia="楷体_GB2312"/>
                <w:kern w:val="0"/>
                <w:szCs w:val="21"/>
              </w:rPr>
            </w:pPr>
            <w:r>
              <w:rPr>
                <w:rFonts w:eastAsia="楷体_GB2312"/>
                <w:kern w:val="0"/>
                <w:szCs w:val="21"/>
              </w:rPr>
              <w:t>1</w:t>
            </w:r>
          </w:p>
        </w:tc>
        <w:tc>
          <w:tcPr>
            <w:tcW w:w="576" w:type="pct"/>
            <w:noWrap w:val="0"/>
            <w:vAlign w:val="center"/>
          </w:tcPr>
          <w:p w14:paraId="469F9CF6">
            <w:pPr>
              <w:jc w:val="center"/>
              <w:rPr>
                <w:rFonts w:eastAsia="楷体_GB2312"/>
                <w:kern w:val="0"/>
                <w:sz w:val="22"/>
                <w:szCs w:val="22"/>
              </w:rPr>
            </w:pPr>
            <w:r>
              <w:rPr>
                <w:rFonts w:eastAsia="楷体_GB2312"/>
                <w:kern w:val="0"/>
                <w:sz w:val="22"/>
                <w:szCs w:val="22"/>
              </w:rPr>
              <w:t>155</w:t>
            </w:r>
          </w:p>
        </w:tc>
        <w:tc>
          <w:tcPr>
            <w:tcW w:w="584" w:type="pct"/>
            <w:noWrap w:val="0"/>
            <w:vAlign w:val="center"/>
          </w:tcPr>
          <w:p w14:paraId="3E5BCE74">
            <w:pPr>
              <w:jc w:val="center"/>
              <w:rPr>
                <w:rFonts w:eastAsia="楷体_GB2312"/>
              </w:rPr>
            </w:pPr>
            <w:r>
              <w:rPr>
                <w:rFonts w:eastAsia="楷体_GB2312"/>
                <w:kern w:val="0"/>
                <w:sz w:val="22"/>
                <w:szCs w:val="22"/>
              </w:rPr>
              <w:t>0</w:t>
            </w:r>
          </w:p>
        </w:tc>
        <w:tc>
          <w:tcPr>
            <w:tcW w:w="569" w:type="pct"/>
            <w:noWrap w:val="0"/>
            <w:vAlign w:val="center"/>
          </w:tcPr>
          <w:p w14:paraId="79319425">
            <w:pPr>
              <w:jc w:val="center"/>
              <w:rPr>
                <w:rFonts w:eastAsia="楷体_GB2312"/>
                <w:kern w:val="0"/>
                <w:sz w:val="22"/>
                <w:szCs w:val="22"/>
              </w:rPr>
            </w:pPr>
            <w:r>
              <w:rPr>
                <w:rFonts w:eastAsia="楷体_GB2312"/>
                <w:kern w:val="0"/>
                <w:sz w:val="22"/>
                <w:szCs w:val="22"/>
              </w:rPr>
              <w:t>144</w:t>
            </w:r>
          </w:p>
        </w:tc>
      </w:tr>
      <w:tr w14:paraId="70857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3CE8F10F">
            <w:pPr>
              <w:jc w:val="center"/>
              <w:rPr>
                <w:rFonts w:eastAsia="楷体_GB2312"/>
                <w:kern w:val="0"/>
                <w:sz w:val="22"/>
                <w:szCs w:val="22"/>
              </w:rPr>
            </w:pPr>
            <w:r>
              <w:rPr>
                <w:rFonts w:eastAsia="楷体_GB2312"/>
                <w:kern w:val="0"/>
                <w:sz w:val="22"/>
                <w:szCs w:val="22"/>
              </w:rPr>
              <w:t>9</w:t>
            </w:r>
          </w:p>
        </w:tc>
        <w:tc>
          <w:tcPr>
            <w:tcW w:w="618" w:type="pct"/>
            <w:noWrap w:val="0"/>
            <w:vAlign w:val="center"/>
          </w:tcPr>
          <w:p w14:paraId="574BC507">
            <w:pPr>
              <w:jc w:val="center"/>
              <w:rPr>
                <w:rFonts w:eastAsia="楷体_GB2312"/>
                <w:kern w:val="0"/>
                <w:szCs w:val="21"/>
              </w:rPr>
            </w:pPr>
            <w:r>
              <w:rPr>
                <w:rFonts w:eastAsia="楷体_GB2312"/>
                <w:kern w:val="0"/>
                <w:szCs w:val="21"/>
              </w:rPr>
              <w:t>西二铺乡</w:t>
            </w:r>
          </w:p>
        </w:tc>
        <w:tc>
          <w:tcPr>
            <w:tcW w:w="532" w:type="pct"/>
            <w:noWrap w:val="0"/>
            <w:vAlign w:val="center"/>
          </w:tcPr>
          <w:p w14:paraId="0802EDCA">
            <w:pPr>
              <w:jc w:val="center"/>
              <w:rPr>
                <w:rFonts w:eastAsia="楷体_GB2312"/>
                <w:kern w:val="0"/>
                <w:szCs w:val="21"/>
              </w:rPr>
            </w:pPr>
            <w:r>
              <w:rPr>
                <w:rFonts w:eastAsia="楷体_GB2312"/>
                <w:kern w:val="0"/>
                <w:szCs w:val="21"/>
              </w:rPr>
              <w:t>0</w:t>
            </w:r>
          </w:p>
        </w:tc>
        <w:tc>
          <w:tcPr>
            <w:tcW w:w="577" w:type="pct"/>
            <w:noWrap w:val="0"/>
            <w:vAlign w:val="center"/>
          </w:tcPr>
          <w:p w14:paraId="30AAC78A">
            <w:pPr>
              <w:jc w:val="center"/>
              <w:rPr>
                <w:rFonts w:eastAsia="楷体_GB2312"/>
              </w:rPr>
            </w:pPr>
            <w:r>
              <w:rPr>
                <w:rFonts w:eastAsia="楷体_GB2312"/>
                <w:kern w:val="0"/>
                <w:sz w:val="22"/>
                <w:szCs w:val="22"/>
              </w:rPr>
              <w:t>0</w:t>
            </w:r>
          </w:p>
        </w:tc>
        <w:tc>
          <w:tcPr>
            <w:tcW w:w="581" w:type="pct"/>
            <w:noWrap w:val="0"/>
            <w:vAlign w:val="center"/>
          </w:tcPr>
          <w:p w14:paraId="7DA114D8">
            <w:pPr>
              <w:jc w:val="center"/>
              <w:rPr>
                <w:rFonts w:eastAsia="楷体_GB2312"/>
                <w:kern w:val="0"/>
                <w:sz w:val="22"/>
                <w:szCs w:val="22"/>
              </w:rPr>
            </w:pPr>
            <w:r>
              <w:rPr>
                <w:rFonts w:eastAsia="楷体_GB2312"/>
                <w:kern w:val="0"/>
                <w:sz w:val="22"/>
                <w:szCs w:val="22"/>
              </w:rPr>
              <w:t>170</w:t>
            </w:r>
          </w:p>
        </w:tc>
        <w:tc>
          <w:tcPr>
            <w:tcW w:w="577" w:type="pct"/>
            <w:noWrap w:val="0"/>
            <w:vAlign w:val="center"/>
          </w:tcPr>
          <w:p w14:paraId="79B5636B">
            <w:pPr>
              <w:jc w:val="center"/>
              <w:rPr>
                <w:rFonts w:eastAsia="楷体_GB2312"/>
              </w:rPr>
            </w:pPr>
            <w:r>
              <w:rPr>
                <w:rFonts w:eastAsia="楷体_GB2312"/>
                <w:kern w:val="0"/>
                <w:sz w:val="22"/>
                <w:szCs w:val="22"/>
              </w:rPr>
              <w:t>0</w:t>
            </w:r>
          </w:p>
        </w:tc>
        <w:tc>
          <w:tcPr>
            <w:tcW w:w="576" w:type="pct"/>
            <w:noWrap w:val="0"/>
            <w:vAlign w:val="center"/>
          </w:tcPr>
          <w:p w14:paraId="31F6CEEA">
            <w:pPr>
              <w:jc w:val="center"/>
              <w:rPr>
                <w:rFonts w:eastAsia="楷体_GB2312"/>
              </w:rPr>
            </w:pPr>
            <w:r>
              <w:rPr>
                <w:rFonts w:eastAsia="楷体_GB2312"/>
                <w:kern w:val="0"/>
                <w:sz w:val="22"/>
                <w:szCs w:val="22"/>
              </w:rPr>
              <w:t>155</w:t>
            </w:r>
          </w:p>
        </w:tc>
        <w:tc>
          <w:tcPr>
            <w:tcW w:w="584" w:type="pct"/>
            <w:noWrap w:val="0"/>
            <w:vAlign w:val="center"/>
          </w:tcPr>
          <w:p w14:paraId="7791AA23">
            <w:pPr>
              <w:jc w:val="center"/>
              <w:rPr>
                <w:rFonts w:eastAsia="楷体_GB2312"/>
              </w:rPr>
            </w:pPr>
            <w:r>
              <w:rPr>
                <w:rFonts w:eastAsia="楷体_GB2312"/>
                <w:kern w:val="0"/>
                <w:sz w:val="22"/>
                <w:szCs w:val="22"/>
              </w:rPr>
              <w:t>0</w:t>
            </w:r>
          </w:p>
        </w:tc>
        <w:tc>
          <w:tcPr>
            <w:tcW w:w="569" w:type="pct"/>
            <w:noWrap w:val="0"/>
            <w:vAlign w:val="center"/>
          </w:tcPr>
          <w:p w14:paraId="7A72547B">
            <w:pPr>
              <w:jc w:val="center"/>
              <w:rPr>
                <w:rFonts w:eastAsia="楷体_GB2312"/>
              </w:rPr>
            </w:pPr>
            <w:r>
              <w:rPr>
                <w:rFonts w:eastAsia="楷体_GB2312"/>
                <w:kern w:val="0"/>
                <w:sz w:val="22"/>
                <w:szCs w:val="22"/>
              </w:rPr>
              <w:t>144</w:t>
            </w:r>
          </w:p>
        </w:tc>
      </w:tr>
      <w:tr w14:paraId="5DBA5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5D057171">
            <w:pPr>
              <w:jc w:val="center"/>
              <w:rPr>
                <w:rFonts w:eastAsia="楷体_GB2312"/>
                <w:kern w:val="0"/>
                <w:sz w:val="22"/>
                <w:szCs w:val="22"/>
              </w:rPr>
            </w:pPr>
            <w:r>
              <w:rPr>
                <w:rFonts w:eastAsia="楷体_GB2312"/>
                <w:kern w:val="0"/>
                <w:sz w:val="22"/>
                <w:szCs w:val="22"/>
              </w:rPr>
              <w:t>10</w:t>
            </w:r>
          </w:p>
        </w:tc>
        <w:tc>
          <w:tcPr>
            <w:tcW w:w="618" w:type="pct"/>
            <w:noWrap w:val="0"/>
            <w:vAlign w:val="center"/>
          </w:tcPr>
          <w:p w14:paraId="261CFD88">
            <w:pPr>
              <w:jc w:val="center"/>
              <w:rPr>
                <w:rFonts w:eastAsia="楷体_GB2312"/>
                <w:kern w:val="0"/>
                <w:szCs w:val="21"/>
              </w:rPr>
            </w:pPr>
            <w:r>
              <w:rPr>
                <w:rFonts w:eastAsia="楷体_GB2312"/>
                <w:kern w:val="0"/>
                <w:szCs w:val="21"/>
              </w:rPr>
              <w:t>桃园镇</w:t>
            </w:r>
          </w:p>
        </w:tc>
        <w:tc>
          <w:tcPr>
            <w:tcW w:w="532" w:type="pct"/>
            <w:noWrap w:val="0"/>
            <w:vAlign w:val="center"/>
          </w:tcPr>
          <w:p w14:paraId="393AF33B">
            <w:pPr>
              <w:jc w:val="center"/>
              <w:rPr>
                <w:rFonts w:eastAsia="楷体_GB2312"/>
                <w:kern w:val="0"/>
                <w:szCs w:val="21"/>
              </w:rPr>
            </w:pPr>
            <w:r>
              <w:rPr>
                <w:rFonts w:eastAsia="楷体_GB2312"/>
                <w:kern w:val="0"/>
                <w:szCs w:val="21"/>
              </w:rPr>
              <w:t>1</w:t>
            </w:r>
          </w:p>
        </w:tc>
        <w:tc>
          <w:tcPr>
            <w:tcW w:w="577" w:type="pct"/>
            <w:noWrap w:val="0"/>
            <w:vAlign w:val="center"/>
          </w:tcPr>
          <w:p w14:paraId="6466A219">
            <w:pPr>
              <w:jc w:val="center"/>
              <w:rPr>
                <w:rFonts w:eastAsia="楷体_GB2312"/>
              </w:rPr>
            </w:pPr>
            <w:r>
              <w:rPr>
                <w:rFonts w:eastAsia="楷体_GB2312"/>
                <w:kern w:val="0"/>
                <w:sz w:val="22"/>
                <w:szCs w:val="22"/>
              </w:rPr>
              <w:t>0</w:t>
            </w:r>
          </w:p>
        </w:tc>
        <w:tc>
          <w:tcPr>
            <w:tcW w:w="581" w:type="pct"/>
            <w:noWrap w:val="0"/>
            <w:vAlign w:val="center"/>
          </w:tcPr>
          <w:p w14:paraId="2E13A8AA">
            <w:pPr>
              <w:jc w:val="center"/>
              <w:rPr>
                <w:rFonts w:eastAsia="楷体_GB2312"/>
                <w:kern w:val="0"/>
                <w:sz w:val="22"/>
                <w:szCs w:val="22"/>
              </w:rPr>
            </w:pPr>
            <w:r>
              <w:rPr>
                <w:rFonts w:eastAsia="楷体_GB2312"/>
                <w:kern w:val="0"/>
                <w:sz w:val="22"/>
                <w:szCs w:val="22"/>
              </w:rPr>
              <w:t>170</w:t>
            </w:r>
          </w:p>
        </w:tc>
        <w:tc>
          <w:tcPr>
            <w:tcW w:w="577" w:type="pct"/>
            <w:noWrap w:val="0"/>
            <w:vAlign w:val="center"/>
          </w:tcPr>
          <w:p w14:paraId="269224E6">
            <w:pPr>
              <w:jc w:val="center"/>
              <w:rPr>
                <w:rFonts w:eastAsia="楷体_GB2312"/>
              </w:rPr>
            </w:pPr>
            <w:r>
              <w:rPr>
                <w:rFonts w:eastAsia="楷体_GB2312"/>
                <w:kern w:val="0"/>
                <w:sz w:val="22"/>
                <w:szCs w:val="22"/>
              </w:rPr>
              <w:t>0</w:t>
            </w:r>
          </w:p>
        </w:tc>
        <w:tc>
          <w:tcPr>
            <w:tcW w:w="576" w:type="pct"/>
            <w:noWrap w:val="0"/>
            <w:vAlign w:val="center"/>
          </w:tcPr>
          <w:p w14:paraId="1725BAD3">
            <w:pPr>
              <w:jc w:val="center"/>
              <w:rPr>
                <w:rFonts w:eastAsia="楷体_GB2312"/>
              </w:rPr>
            </w:pPr>
            <w:r>
              <w:rPr>
                <w:rFonts w:eastAsia="楷体_GB2312"/>
                <w:kern w:val="0"/>
                <w:sz w:val="22"/>
                <w:szCs w:val="22"/>
              </w:rPr>
              <w:t>155</w:t>
            </w:r>
          </w:p>
        </w:tc>
        <w:tc>
          <w:tcPr>
            <w:tcW w:w="584" w:type="pct"/>
            <w:noWrap w:val="0"/>
            <w:vAlign w:val="center"/>
          </w:tcPr>
          <w:p w14:paraId="2077064E">
            <w:pPr>
              <w:jc w:val="center"/>
              <w:rPr>
                <w:rFonts w:eastAsia="楷体_GB2312"/>
                <w:kern w:val="0"/>
                <w:sz w:val="22"/>
                <w:szCs w:val="22"/>
              </w:rPr>
            </w:pPr>
            <w:r>
              <w:rPr>
                <w:rFonts w:eastAsia="楷体_GB2312"/>
                <w:kern w:val="0"/>
                <w:sz w:val="22"/>
                <w:szCs w:val="22"/>
              </w:rPr>
              <w:t>1</w:t>
            </w:r>
          </w:p>
        </w:tc>
        <w:tc>
          <w:tcPr>
            <w:tcW w:w="569" w:type="pct"/>
            <w:noWrap w:val="0"/>
            <w:vAlign w:val="center"/>
          </w:tcPr>
          <w:p w14:paraId="5F753AA0">
            <w:pPr>
              <w:jc w:val="center"/>
              <w:rPr>
                <w:rFonts w:eastAsia="楷体_GB2312"/>
              </w:rPr>
            </w:pPr>
            <w:r>
              <w:rPr>
                <w:rFonts w:eastAsia="楷体_GB2312"/>
                <w:kern w:val="0"/>
                <w:sz w:val="22"/>
                <w:szCs w:val="22"/>
              </w:rPr>
              <w:t>144</w:t>
            </w:r>
          </w:p>
        </w:tc>
      </w:tr>
      <w:tr w14:paraId="327AC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2773D80C">
            <w:pPr>
              <w:jc w:val="center"/>
              <w:rPr>
                <w:rFonts w:eastAsia="楷体_GB2312"/>
                <w:kern w:val="0"/>
                <w:sz w:val="22"/>
                <w:szCs w:val="22"/>
              </w:rPr>
            </w:pPr>
            <w:r>
              <w:rPr>
                <w:rFonts w:eastAsia="楷体_GB2312"/>
                <w:kern w:val="0"/>
                <w:sz w:val="22"/>
                <w:szCs w:val="22"/>
              </w:rPr>
              <w:t>11</w:t>
            </w:r>
          </w:p>
        </w:tc>
        <w:tc>
          <w:tcPr>
            <w:tcW w:w="618" w:type="pct"/>
            <w:noWrap w:val="0"/>
            <w:vAlign w:val="center"/>
          </w:tcPr>
          <w:p w14:paraId="1CD12EC3">
            <w:pPr>
              <w:jc w:val="center"/>
              <w:rPr>
                <w:rFonts w:eastAsia="楷体_GB2312"/>
                <w:kern w:val="0"/>
                <w:szCs w:val="21"/>
              </w:rPr>
            </w:pPr>
            <w:r>
              <w:rPr>
                <w:rFonts w:eastAsia="楷体_GB2312"/>
                <w:kern w:val="0"/>
                <w:szCs w:val="21"/>
              </w:rPr>
              <w:t>曹村镇</w:t>
            </w:r>
          </w:p>
        </w:tc>
        <w:tc>
          <w:tcPr>
            <w:tcW w:w="532" w:type="pct"/>
            <w:noWrap w:val="0"/>
            <w:vAlign w:val="center"/>
          </w:tcPr>
          <w:p w14:paraId="54A94FAD">
            <w:pPr>
              <w:jc w:val="center"/>
              <w:rPr>
                <w:rFonts w:eastAsia="楷体_GB2312"/>
                <w:kern w:val="0"/>
                <w:szCs w:val="21"/>
              </w:rPr>
            </w:pPr>
            <w:r>
              <w:rPr>
                <w:rFonts w:eastAsia="楷体_GB2312"/>
                <w:kern w:val="0"/>
                <w:szCs w:val="21"/>
              </w:rPr>
              <w:t>16</w:t>
            </w:r>
          </w:p>
        </w:tc>
        <w:tc>
          <w:tcPr>
            <w:tcW w:w="577" w:type="pct"/>
            <w:noWrap w:val="0"/>
            <w:vAlign w:val="center"/>
          </w:tcPr>
          <w:p w14:paraId="082227B5">
            <w:pPr>
              <w:jc w:val="center"/>
              <w:rPr>
                <w:rFonts w:eastAsia="楷体_GB2312"/>
                <w:kern w:val="0"/>
                <w:szCs w:val="21"/>
              </w:rPr>
            </w:pPr>
            <w:r>
              <w:rPr>
                <w:rFonts w:eastAsia="楷体_GB2312"/>
                <w:kern w:val="0"/>
                <w:szCs w:val="21"/>
              </w:rPr>
              <w:t>2</w:t>
            </w:r>
          </w:p>
        </w:tc>
        <w:tc>
          <w:tcPr>
            <w:tcW w:w="581" w:type="pct"/>
            <w:noWrap w:val="0"/>
            <w:vAlign w:val="center"/>
          </w:tcPr>
          <w:p w14:paraId="081D04A5">
            <w:pPr>
              <w:jc w:val="center"/>
              <w:rPr>
                <w:rFonts w:eastAsia="楷体_GB2312"/>
              </w:rPr>
            </w:pPr>
            <w:r>
              <w:rPr>
                <w:rFonts w:eastAsia="楷体_GB2312"/>
                <w:kern w:val="0"/>
                <w:sz w:val="22"/>
                <w:szCs w:val="22"/>
              </w:rPr>
              <w:t>170</w:t>
            </w:r>
          </w:p>
        </w:tc>
        <w:tc>
          <w:tcPr>
            <w:tcW w:w="577" w:type="pct"/>
            <w:noWrap w:val="0"/>
            <w:vAlign w:val="center"/>
          </w:tcPr>
          <w:p w14:paraId="3FC504C4">
            <w:pPr>
              <w:jc w:val="center"/>
              <w:rPr>
                <w:rFonts w:eastAsia="楷体_GB2312"/>
                <w:kern w:val="0"/>
                <w:szCs w:val="21"/>
              </w:rPr>
            </w:pPr>
            <w:r>
              <w:rPr>
                <w:rFonts w:eastAsia="楷体_GB2312"/>
                <w:kern w:val="0"/>
                <w:szCs w:val="21"/>
              </w:rPr>
              <w:t>5</w:t>
            </w:r>
          </w:p>
        </w:tc>
        <w:tc>
          <w:tcPr>
            <w:tcW w:w="576" w:type="pct"/>
            <w:noWrap w:val="0"/>
            <w:vAlign w:val="center"/>
          </w:tcPr>
          <w:p w14:paraId="12CBE76F">
            <w:pPr>
              <w:jc w:val="center"/>
              <w:rPr>
                <w:rFonts w:eastAsia="楷体_GB2312"/>
              </w:rPr>
            </w:pPr>
            <w:r>
              <w:rPr>
                <w:rFonts w:eastAsia="楷体_GB2312"/>
                <w:kern w:val="0"/>
                <w:sz w:val="22"/>
                <w:szCs w:val="22"/>
              </w:rPr>
              <w:t>155</w:t>
            </w:r>
          </w:p>
        </w:tc>
        <w:tc>
          <w:tcPr>
            <w:tcW w:w="584" w:type="pct"/>
            <w:noWrap w:val="0"/>
            <w:vAlign w:val="center"/>
          </w:tcPr>
          <w:p w14:paraId="27A51D3F">
            <w:pPr>
              <w:jc w:val="center"/>
              <w:rPr>
                <w:rFonts w:eastAsia="楷体_GB2312"/>
                <w:kern w:val="0"/>
                <w:sz w:val="22"/>
                <w:szCs w:val="22"/>
              </w:rPr>
            </w:pPr>
            <w:r>
              <w:rPr>
                <w:rFonts w:eastAsia="楷体_GB2312"/>
                <w:kern w:val="0"/>
                <w:sz w:val="22"/>
                <w:szCs w:val="22"/>
              </w:rPr>
              <w:t>9</w:t>
            </w:r>
          </w:p>
        </w:tc>
        <w:tc>
          <w:tcPr>
            <w:tcW w:w="569" w:type="pct"/>
            <w:noWrap w:val="0"/>
            <w:vAlign w:val="center"/>
          </w:tcPr>
          <w:p w14:paraId="7D7F7A18">
            <w:pPr>
              <w:jc w:val="center"/>
              <w:rPr>
                <w:rFonts w:eastAsia="楷体_GB2312"/>
              </w:rPr>
            </w:pPr>
            <w:r>
              <w:rPr>
                <w:rFonts w:eastAsia="楷体_GB2312"/>
                <w:kern w:val="0"/>
                <w:sz w:val="22"/>
                <w:szCs w:val="22"/>
              </w:rPr>
              <w:t>144</w:t>
            </w:r>
          </w:p>
        </w:tc>
      </w:tr>
      <w:tr w14:paraId="60E71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5729B0C9">
            <w:pPr>
              <w:jc w:val="center"/>
              <w:rPr>
                <w:rFonts w:eastAsia="楷体_GB2312"/>
                <w:kern w:val="0"/>
                <w:sz w:val="22"/>
                <w:szCs w:val="22"/>
              </w:rPr>
            </w:pPr>
            <w:r>
              <w:rPr>
                <w:rFonts w:eastAsia="楷体_GB2312"/>
                <w:kern w:val="0"/>
                <w:sz w:val="22"/>
                <w:szCs w:val="22"/>
              </w:rPr>
              <w:t>12</w:t>
            </w:r>
          </w:p>
        </w:tc>
        <w:tc>
          <w:tcPr>
            <w:tcW w:w="618" w:type="pct"/>
            <w:noWrap w:val="0"/>
            <w:vAlign w:val="center"/>
          </w:tcPr>
          <w:p w14:paraId="02D4D9CB">
            <w:pPr>
              <w:jc w:val="center"/>
              <w:rPr>
                <w:rFonts w:eastAsia="楷体_GB2312"/>
                <w:kern w:val="0"/>
                <w:szCs w:val="21"/>
              </w:rPr>
            </w:pPr>
            <w:r>
              <w:rPr>
                <w:rFonts w:eastAsia="楷体_GB2312"/>
                <w:kern w:val="0"/>
                <w:szCs w:val="21"/>
              </w:rPr>
              <w:t>大营镇</w:t>
            </w:r>
          </w:p>
        </w:tc>
        <w:tc>
          <w:tcPr>
            <w:tcW w:w="532" w:type="pct"/>
            <w:noWrap w:val="0"/>
            <w:vAlign w:val="center"/>
          </w:tcPr>
          <w:p w14:paraId="2B99AF12">
            <w:pPr>
              <w:jc w:val="center"/>
              <w:rPr>
                <w:rFonts w:eastAsia="楷体_GB2312"/>
                <w:kern w:val="0"/>
                <w:szCs w:val="21"/>
              </w:rPr>
            </w:pPr>
            <w:r>
              <w:rPr>
                <w:rFonts w:eastAsia="楷体_GB2312"/>
                <w:kern w:val="0"/>
                <w:szCs w:val="21"/>
              </w:rPr>
              <w:t>1</w:t>
            </w:r>
          </w:p>
        </w:tc>
        <w:tc>
          <w:tcPr>
            <w:tcW w:w="577" w:type="pct"/>
            <w:noWrap w:val="0"/>
            <w:vAlign w:val="center"/>
          </w:tcPr>
          <w:p w14:paraId="3E343BAE">
            <w:pPr>
              <w:jc w:val="center"/>
              <w:rPr>
                <w:rFonts w:eastAsia="楷体_GB2312"/>
              </w:rPr>
            </w:pPr>
            <w:r>
              <w:rPr>
                <w:rFonts w:eastAsia="楷体_GB2312"/>
                <w:kern w:val="0"/>
                <w:sz w:val="22"/>
                <w:szCs w:val="22"/>
              </w:rPr>
              <w:t>0</w:t>
            </w:r>
          </w:p>
        </w:tc>
        <w:tc>
          <w:tcPr>
            <w:tcW w:w="581" w:type="pct"/>
            <w:noWrap w:val="0"/>
            <w:vAlign w:val="center"/>
          </w:tcPr>
          <w:p w14:paraId="72E93FAD">
            <w:pPr>
              <w:jc w:val="center"/>
              <w:rPr>
                <w:rFonts w:eastAsia="楷体_GB2312"/>
              </w:rPr>
            </w:pPr>
            <w:r>
              <w:rPr>
                <w:rFonts w:eastAsia="楷体_GB2312"/>
                <w:kern w:val="0"/>
                <w:sz w:val="22"/>
                <w:szCs w:val="22"/>
              </w:rPr>
              <w:t>170</w:t>
            </w:r>
          </w:p>
        </w:tc>
        <w:tc>
          <w:tcPr>
            <w:tcW w:w="577" w:type="pct"/>
            <w:noWrap w:val="0"/>
            <w:vAlign w:val="center"/>
          </w:tcPr>
          <w:p w14:paraId="2140A6A8">
            <w:pPr>
              <w:jc w:val="center"/>
              <w:rPr>
                <w:rFonts w:eastAsia="楷体_GB2312"/>
              </w:rPr>
            </w:pPr>
            <w:r>
              <w:rPr>
                <w:rFonts w:eastAsia="楷体_GB2312"/>
                <w:kern w:val="0"/>
                <w:sz w:val="22"/>
                <w:szCs w:val="22"/>
              </w:rPr>
              <w:t>0</w:t>
            </w:r>
          </w:p>
        </w:tc>
        <w:tc>
          <w:tcPr>
            <w:tcW w:w="576" w:type="pct"/>
            <w:noWrap w:val="0"/>
            <w:vAlign w:val="center"/>
          </w:tcPr>
          <w:p w14:paraId="301A731D">
            <w:pPr>
              <w:jc w:val="center"/>
              <w:rPr>
                <w:rFonts w:eastAsia="楷体_GB2312"/>
              </w:rPr>
            </w:pPr>
            <w:r>
              <w:rPr>
                <w:rFonts w:eastAsia="楷体_GB2312"/>
                <w:kern w:val="0"/>
                <w:sz w:val="22"/>
                <w:szCs w:val="22"/>
              </w:rPr>
              <w:t>155</w:t>
            </w:r>
          </w:p>
        </w:tc>
        <w:tc>
          <w:tcPr>
            <w:tcW w:w="584" w:type="pct"/>
            <w:noWrap w:val="0"/>
            <w:vAlign w:val="center"/>
          </w:tcPr>
          <w:p w14:paraId="1E492301">
            <w:pPr>
              <w:jc w:val="center"/>
              <w:rPr>
                <w:rFonts w:eastAsia="楷体_GB2312"/>
                <w:kern w:val="0"/>
                <w:sz w:val="22"/>
                <w:szCs w:val="22"/>
              </w:rPr>
            </w:pPr>
            <w:r>
              <w:rPr>
                <w:rFonts w:eastAsia="楷体_GB2312"/>
                <w:kern w:val="0"/>
                <w:sz w:val="22"/>
                <w:szCs w:val="22"/>
              </w:rPr>
              <w:t>1</w:t>
            </w:r>
          </w:p>
        </w:tc>
        <w:tc>
          <w:tcPr>
            <w:tcW w:w="569" w:type="pct"/>
            <w:noWrap w:val="0"/>
            <w:vAlign w:val="center"/>
          </w:tcPr>
          <w:p w14:paraId="1A693AF8">
            <w:pPr>
              <w:jc w:val="center"/>
              <w:rPr>
                <w:rFonts w:eastAsia="楷体_GB2312"/>
              </w:rPr>
            </w:pPr>
            <w:r>
              <w:rPr>
                <w:rFonts w:eastAsia="楷体_GB2312"/>
                <w:kern w:val="0"/>
                <w:sz w:val="22"/>
                <w:szCs w:val="22"/>
              </w:rPr>
              <w:t>144</w:t>
            </w:r>
          </w:p>
        </w:tc>
      </w:tr>
      <w:tr w14:paraId="051B2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44447DF2">
            <w:pPr>
              <w:jc w:val="center"/>
              <w:rPr>
                <w:rFonts w:eastAsia="楷体_GB2312"/>
                <w:kern w:val="0"/>
                <w:sz w:val="22"/>
                <w:szCs w:val="22"/>
              </w:rPr>
            </w:pPr>
            <w:r>
              <w:rPr>
                <w:rFonts w:eastAsia="楷体_GB2312"/>
                <w:kern w:val="0"/>
                <w:sz w:val="22"/>
                <w:szCs w:val="22"/>
              </w:rPr>
              <w:t>13</w:t>
            </w:r>
          </w:p>
        </w:tc>
        <w:tc>
          <w:tcPr>
            <w:tcW w:w="618" w:type="pct"/>
            <w:noWrap w:val="0"/>
            <w:vAlign w:val="center"/>
          </w:tcPr>
          <w:p w14:paraId="08677B4E">
            <w:pPr>
              <w:jc w:val="center"/>
              <w:rPr>
                <w:rFonts w:eastAsia="楷体_GB2312"/>
                <w:kern w:val="0"/>
                <w:szCs w:val="21"/>
              </w:rPr>
            </w:pPr>
            <w:r>
              <w:rPr>
                <w:rFonts w:eastAsia="楷体_GB2312"/>
                <w:kern w:val="0"/>
                <w:szCs w:val="21"/>
              </w:rPr>
              <w:t>褚兰镇</w:t>
            </w:r>
          </w:p>
        </w:tc>
        <w:tc>
          <w:tcPr>
            <w:tcW w:w="532" w:type="pct"/>
            <w:noWrap w:val="0"/>
            <w:vAlign w:val="center"/>
          </w:tcPr>
          <w:p w14:paraId="560E05BA">
            <w:pPr>
              <w:jc w:val="center"/>
              <w:rPr>
                <w:rFonts w:eastAsia="楷体_GB2312"/>
                <w:kern w:val="0"/>
                <w:szCs w:val="21"/>
              </w:rPr>
            </w:pPr>
            <w:r>
              <w:rPr>
                <w:rFonts w:eastAsia="楷体_GB2312"/>
                <w:kern w:val="0"/>
                <w:szCs w:val="21"/>
              </w:rPr>
              <w:t>0</w:t>
            </w:r>
          </w:p>
        </w:tc>
        <w:tc>
          <w:tcPr>
            <w:tcW w:w="577" w:type="pct"/>
            <w:noWrap w:val="0"/>
            <w:vAlign w:val="center"/>
          </w:tcPr>
          <w:p w14:paraId="2101008F">
            <w:pPr>
              <w:jc w:val="center"/>
              <w:rPr>
                <w:rFonts w:eastAsia="楷体_GB2312"/>
              </w:rPr>
            </w:pPr>
            <w:r>
              <w:rPr>
                <w:rFonts w:eastAsia="楷体_GB2312"/>
                <w:kern w:val="0"/>
                <w:sz w:val="22"/>
                <w:szCs w:val="22"/>
              </w:rPr>
              <w:t>0</w:t>
            </w:r>
          </w:p>
        </w:tc>
        <w:tc>
          <w:tcPr>
            <w:tcW w:w="581" w:type="pct"/>
            <w:noWrap w:val="0"/>
            <w:vAlign w:val="center"/>
          </w:tcPr>
          <w:p w14:paraId="4E6E1B67">
            <w:pPr>
              <w:jc w:val="center"/>
              <w:rPr>
                <w:rFonts w:eastAsia="楷体_GB2312"/>
              </w:rPr>
            </w:pPr>
            <w:r>
              <w:rPr>
                <w:rFonts w:eastAsia="楷体_GB2312"/>
                <w:kern w:val="0"/>
                <w:sz w:val="22"/>
                <w:szCs w:val="22"/>
              </w:rPr>
              <w:t>170</w:t>
            </w:r>
          </w:p>
        </w:tc>
        <w:tc>
          <w:tcPr>
            <w:tcW w:w="577" w:type="pct"/>
            <w:noWrap w:val="0"/>
            <w:vAlign w:val="center"/>
          </w:tcPr>
          <w:p w14:paraId="1DFFDB6F">
            <w:pPr>
              <w:jc w:val="center"/>
              <w:rPr>
                <w:rFonts w:eastAsia="楷体_GB2312"/>
              </w:rPr>
            </w:pPr>
            <w:r>
              <w:rPr>
                <w:rFonts w:eastAsia="楷体_GB2312"/>
                <w:kern w:val="0"/>
                <w:sz w:val="22"/>
                <w:szCs w:val="22"/>
              </w:rPr>
              <w:t>0</w:t>
            </w:r>
          </w:p>
        </w:tc>
        <w:tc>
          <w:tcPr>
            <w:tcW w:w="576" w:type="pct"/>
            <w:noWrap w:val="0"/>
            <w:vAlign w:val="center"/>
          </w:tcPr>
          <w:p w14:paraId="77F6E9BA">
            <w:pPr>
              <w:jc w:val="center"/>
              <w:rPr>
                <w:rFonts w:eastAsia="楷体_GB2312"/>
              </w:rPr>
            </w:pPr>
            <w:r>
              <w:rPr>
                <w:rFonts w:eastAsia="楷体_GB2312"/>
                <w:kern w:val="0"/>
                <w:sz w:val="22"/>
                <w:szCs w:val="22"/>
              </w:rPr>
              <w:t>155</w:t>
            </w:r>
          </w:p>
        </w:tc>
        <w:tc>
          <w:tcPr>
            <w:tcW w:w="584" w:type="pct"/>
            <w:noWrap w:val="0"/>
            <w:vAlign w:val="center"/>
          </w:tcPr>
          <w:p w14:paraId="1A2AD9A8">
            <w:pPr>
              <w:jc w:val="center"/>
              <w:rPr>
                <w:rFonts w:eastAsia="楷体_GB2312"/>
              </w:rPr>
            </w:pPr>
            <w:r>
              <w:rPr>
                <w:rFonts w:eastAsia="楷体_GB2312"/>
                <w:kern w:val="0"/>
                <w:sz w:val="22"/>
                <w:szCs w:val="22"/>
              </w:rPr>
              <w:t>0</w:t>
            </w:r>
          </w:p>
        </w:tc>
        <w:tc>
          <w:tcPr>
            <w:tcW w:w="569" w:type="pct"/>
            <w:noWrap w:val="0"/>
            <w:vAlign w:val="center"/>
          </w:tcPr>
          <w:p w14:paraId="52BCAD1D">
            <w:pPr>
              <w:jc w:val="center"/>
              <w:rPr>
                <w:rFonts w:eastAsia="楷体_GB2312"/>
              </w:rPr>
            </w:pPr>
            <w:r>
              <w:rPr>
                <w:rFonts w:eastAsia="楷体_GB2312"/>
                <w:kern w:val="0"/>
                <w:sz w:val="22"/>
                <w:szCs w:val="22"/>
              </w:rPr>
              <w:t>144</w:t>
            </w:r>
          </w:p>
        </w:tc>
      </w:tr>
      <w:tr w14:paraId="5D715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2DBB4DA2">
            <w:pPr>
              <w:jc w:val="center"/>
              <w:rPr>
                <w:rFonts w:eastAsia="楷体_GB2312"/>
                <w:kern w:val="0"/>
                <w:sz w:val="22"/>
                <w:szCs w:val="22"/>
              </w:rPr>
            </w:pPr>
            <w:r>
              <w:rPr>
                <w:rFonts w:eastAsia="楷体_GB2312"/>
                <w:kern w:val="0"/>
                <w:sz w:val="22"/>
                <w:szCs w:val="22"/>
              </w:rPr>
              <w:t>14</w:t>
            </w:r>
          </w:p>
        </w:tc>
        <w:tc>
          <w:tcPr>
            <w:tcW w:w="618" w:type="pct"/>
            <w:noWrap w:val="0"/>
            <w:vAlign w:val="center"/>
          </w:tcPr>
          <w:p w14:paraId="1E75BF77">
            <w:pPr>
              <w:jc w:val="center"/>
              <w:rPr>
                <w:rFonts w:eastAsia="楷体_GB2312"/>
                <w:kern w:val="0"/>
                <w:szCs w:val="21"/>
              </w:rPr>
            </w:pPr>
            <w:r>
              <w:rPr>
                <w:rFonts w:eastAsia="楷体_GB2312"/>
                <w:kern w:val="0"/>
                <w:szCs w:val="21"/>
              </w:rPr>
              <w:t>顺河镇</w:t>
            </w:r>
          </w:p>
        </w:tc>
        <w:tc>
          <w:tcPr>
            <w:tcW w:w="532" w:type="pct"/>
            <w:noWrap w:val="0"/>
            <w:vAlign w:val="center"/>
          </w:tcPr>
          <w:p w14:paraId="373A0B71">
            <w:pPr>
              <w:jc w:val="center"/>
              <w:rPr>
                <w:rFonts w:eastAsia="楷体_GB2312"/>
                <w:kern w:val="0"/>
                <w:szCs w:val="21"/>
              </w:rPr>
            </w:pPr>
            <w:r>
              <w:rPr>
                <w:rFonts w:eastAsia="楷体_GB2312"/>
                <w:kern w:val="0"/>
                <w:szCs w:val="21"/>
              </w:rPr>
              <w:t>0</w:t>
            </w:r>
          </w:p>
        </w:tc>
        <w:tc>
          <w:tcPr>
            <w:tcW w:w="577" w:type="pct"/>
            <w:noWrap w:val="0"/>
            <w:vAlign w:val="center"/>
          </w:tcPr>
          <w:p w14:paraId="766019BA">
            <w:pPr>
              <w:jc w:val="center"/>
              <w:rPr>
                <w:rFonts w:eastAsia="楷体_GB2312"/>
              </w:rPr>
            </w:pPr>
            <w:r>
              <w:rPr>
                <w:rFonts w:eastAsia="楷体_GB2312"/>
                <w:kern w:val="0"/>
                <w:sz w:val="22"/>
                <w:szCs w:val="22"/>
              </w:rPr>
              <w:t>0</w:t>
            </w:r>
          </w:p>
        </w:tc>
        <w:tc>
          <w:tcPr>
            <w:tcW w:w="581" w:type="pct"/>
            <w:noWrap w:val="0"/>
            <w:vAlign w:val="center"/>
          </w:tcPr>
          <w:p w14:paraId="396BD6D2">
            <w:pPr>
              <w:jc w:val="center"/>
              <w:rPr>
                <w:rFonts w:eastAsia="楷体_GB2312"/>
              </w:rPr>
            </w:pPr>
            <w:r>
              <w:rPr>
                <w:rFonts w:eastAsia="楷体_GB2312"/>
                <w:kern w:val="0"/>
                <w:sz w:val="22"/>
                <w:szCs w:val="22"/>
              </w:rPr>
              <w:t>170</w:t>
            </w:r>
          </w:p>
        </w:tc>
        <w:tc>
          <w:tcPr>
            <w:tcW w:w="577" w:type="pct"/>
            <w:noWrap w:val="0"/>
            <w:vAlign w:val="center"/>
          </w:tcPr>
          <w:p w14:paraId="19496F5B">
            <w:pPr>
              <w:jc w:val="center"/>
              <w:rPr>
                <w:rFonts w:eastAsia="楷体_GB2312"/>
              </w:rPr>
            </w:pPr>
            <w:r>
              <w:rPr>
                <w:rFonts w:eastAsia="楷体_GB2312"/>
                <w:kern w:val="0"/>
                <w:sz w:val="22"/>
                <w:szCs w:val="22"/>
              </w:rPr>
              <w:t>0</w:t>
            </w:r>
          </w:p>
        </w:tc>
        <w:tc>
          <w:tcPr>
            <w:tcW w:w="576" w:type="pct"/>
            <w:noWrap w:val="0"/>
            <w:vAlign w:val="center"/>
          </w:tcPr>
          <w:p w14:paraId="5D02F412">
            <w:pPr>
              <w:jc w:val="center"/>
              <w:rPr>
                <w:rFonts w:eastAsia="楷体_GB2312"/>
              </w:rPr>
            </w:pPr>
            <w:r>
              <w:rPr>
                <w:rFonts w:eastAsia="楷体_GB2312"/>
                <w:kern w:val="0"/>
                <w:sz w:val="22"/>
                <w:szCs w:val="22"/>
              </w:rPr>
              <w:t>155</w:t>
            </w:r>
          </w:p>
        </w:tc>
        <w:tc>
          <w:tcPr>
            <w:tcW w:w="584" w:type="pct"/>
            <w:noWrap w:val="0"/>
            <w:vAlign w:val="center"/>
          </w:tcPr>
          <w:p w14:paraId="16CBB8B7">
            <w:pPr>
              <w:jc w:val="center"/>
              <w:rPr>
                <w:rFonts w:eastAsia="楷体_GB2312"/>
              </w:rPr>
            </w:pPr>
            <w:r>
              <w:rPr>
                <w:rFonts w:eastAsia="楷体_GB2312"/>
                <w:kern w:val="0"/>
                <w:sz w:val="22"/>
                <w:szCs w:val="22"/>
              </w:rPr>
              <w:t>0</w:t>
            </w:r>
          </w:p>
        </w:tc>
        <w:tc>
          <w:tcPr>
            <w:tcW w:w="569" w:type="pct"/>
            <w:noWrap w:val="0"/>
            <w:vAlign w:val="center"/>
          </w:tcPr>
          <w:p w14:paraId="02E870EB">
            <w:pPr>
              <w:jc w:val="center"/>
              <w:rPr>
                <w:rFonts w:eastAsia="楷体_GB2312"/>
              </w:rPr>
            </w:pPr>
            <w:r>
              <w:rPr>
                <w:rFonts w:eastAsia="楷体_GB2312"/>
                <w:kern w:val="0"/>
                <w:sz w:val="22"/>
                <w:szCs w:val="22"/>
              </w:rPr>
              <w:t>144</w:t>
            </w:r>
          </w:p>
        </w:tc>
      </w:tr>
      <w:tr w14:paraId="22FE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7AE89A27">
            <w:pPr>
              <w:jc w:val="center"/>
              <w:rPr>
                <w:rFonts w:eastAsia="楷体_GB2312"/>
                <w:kern w:val="0"/>
                <w:sz w:val="22"/>
                <w:szCs w:val="22"/>
              </w:rPr>
            </w:pPr>
            <w:r>
              <w:rPr>
                <w:rFonts w:eastAsia="楷体_GB2312"/>
                <w:kern w:val="0"/>
                <w:sz w:val="22"/>
                <w:szCs w:val="22"/>
              </w:rPr>
              <w:t>15</w:t>
            </w:r>
          </w:p>
        </w:tc>
        <w:tc>
          <w:tcPr>
            <w:tcW w:w="618" w:type="pct"/>
            <w:noWrap w:val="0"/>
            <w:vAlign w:val="center"/>
          </w:tcPr>
          <w:p w14:paraId="2951489D">
            <w:pPr>
              <w:jc w:val="center"/>
              <w:rPr>
                <w:rFonts w:eastAsia="楷体_GB2312"/>
                <w:kern w:val="0"/>
                <w:szCs w:val="21"/>
              </w:rPr>
            </w:pPr>
            <w:r>
              <w:rPr>
                <w:rFonts w:eastAsia="楷体_GB2312"/>
                <w:kern w:val="0"/>
                <w:szCs w:val="21"/>
              </w:rPr>
              <w:t>杨庄镇</w:t>
            </w:r>
          </w:p>
        </w:tc>
        <w:tc>
          <w:tcPr>
            <w:tcW w:w="532" w:type="pct"/>
            <w:noWrap w:val="0"/>
            <w:vAlign w:val="center"/>
          </w:tcPr>
          <w:p w14:paraId="38F4F05F">
            <w:pPr>
              <w:jc w:val="center"/>
              <w:rPr>
                <w:rFonts w:eastAsia="楷体_GB2312"/>
                <w:kern w:val="0"/>
                <w:szCs w:val="21"/>
              </w:rPr>
            </w:pPr>
            <w:r>
              <w:rPr>
                <w:rFonts w:eastAsia="楷体_GB2312"/>
                <w:kern w:val="0"/>
                <w:szCs w:val="21"/>
              </w:rPr>
              <w:t>0</w:t>
            </w:r>
          </w:p>
        </w:tc>
        <w:tc>
          <w:tcPr>
            <w:tcW w:w="577" w:type="pct"/>
            <w:noWrap w:val="0"/>
            <w:vAlign w:val="center"/>
          </w:tcPr>
          <w:p w14:paraId="5B0D0984">
            <w:pPr>
              <w:jc w:val="center"/>
              <w:rPr>
                <w:rFonts w:eastAsia="楷体_GB2312"/>
              </w:rPr>
            </w:pPr>
            <w:r>
              <w:rPr>
                <w:rFonts w:eastAsia="楷体_GB2312"/>
                <w:kern w:val="0"/>
                <w:sz w:val="22"/>
                <w:szCs w:val="22"/>
              </w:rPr>
              <w:t>0</w:t>
            </w:r>
          </w:p>
        </w:tc>
        <w:tc>
          <w:tcPr>
            <w:tcW w:w="581" w:type="pct"/>
            <w:noWrap w:val="0"/>
            <w:vAlign w:val="center"/>
          </w:tcPr>
          <w:p w14:paraId="4AB56A7D">
            <w:pPr>
              <w:jc w:val="center"/>
              <w:rPr>
                <w:rFonts w:eastAsia="楷体_GB2312"/>
              </w:rPr>
            </w:pPr>
            <w:r>
              <w:rPr>
                <w:rFonts w:eastAsia="楷体_GB2312"/>
                <w:kern w:val="0"/>
                <w:sz w:val="22"/>
                <w:szCs w:val="22"/>
              </w:rPr>
              <w:t>170</w:t>
            </w:r>
          </w:p>
        </w:tc>
        <w:tc>
          <w:tcPr>
            <w:tcW w:w="577" w:type="pct"/>
            <w:noWrap w:val="0"/>
            <w:vAlign w:val="center"/>
          </w:tcPr>
          <w:p w14:paraId="2472D30D">
            <w:pPr>
              <w:jc w:val="center"/>
              <w:rPr>
                <w:rFonts w:eastAsia="楷体_GB2312"/>
              </w:rPr>
            </w:pPr>
            <w:r>
              <w:rPr>
                <w:rFonts w:eastAsia="楷体_GB2312"/>
                <w:kern w:val="0"/>
                <w:sz w:val="22"/>
                <w:szCs w:val="22"/>
              </w:rPr>
              <w:t>0</w:t>
            </w:r>
          </w:p>
        </w:tc>
        <w:tc>
          <w:tcPr>
            <w:tcW w:w="576" w:type="pct"/>
            <w:noWrap w:val="0"/>
            <w:vAlign w:val="center"/>
          </w:tcPr>
          <w:p w14:paraId="6277407D">
            <w:pPr>
              <w:jc w:val="center"/>
              <w:rPr>
                <w:rFonts w:eastAsia="楷体_GB2312"/>
              </w:rPr>
            </w:pPr>
            <w:r>
              <w:rPr>
                <w:rFonts w:eastAsia="楷体_GB2312"/>
                <w:kern w:val="0"/>
                <w:sz w:val="22"/>
                <w:szCs w:val="22"/>
              </w:rPr>
              <w:t>155</w:t>
            </w:r>
          </w:p>
        </w:tc>
        <w:tc>
          <w:tcPr>
            <w:tcW w:w="584" w:type="pct"/>
            <w:noWrap w:val="0"/>
            <w:vAlign w:val="center"/>
          </w:tcPr>
          <w:p w14:paraId="5D65BC45">
            <w:pPr>
              <w:jc w:val="center"/>
              <w:rPr>
                <w:rFonts w:eastAsia="楷体_GB2312"/>
              </w:rPr>
            </w:pPr>
            <w:r>
              <w:rPr>
                <w:rFonts w:eastAsia="楷体_GB2312"/>
                <w:kern w:val="0"/>
                <w:sz w:val="22"/>
                <w:szCs w:val="22"/>
              </w:rPr>
              <w:t>0</w:t>
            </w:r>
          </w:p>
        </w:tc>
        <w:tc>
          <w:tcPr>
            <w:tcW w:w="569" w:type="pct"/>
            <w:noWrap w:val="0"/>
            <w:vAlign w:val="center"/>
          </w:tcPr>
          <w:p w14:paraId="289581EE">
            <w:pPr>
              <w:jc w:val="center"/>
              <w:rPr>
                <w:rFonts w:eastAsia="楷体_GB2312"/>
              </w:rPr>
            </w:pPr>
            <w:r>
              <w:rPr>
                <w:rFonts w:eastAsia="楷体_GB2312"/>
                <w:kern w:val="0"/>
                <w:sz w:val="22"/>
                <w:szCs w:val="22"/>
              </w:rPr>
              <w:t>144</w:t>
            </w:r>
          </w:p>
        </w:tc>
      </w:tr>
      <w:tr w14:paraId="6737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26947326">
            <w:pPr>
              <w:jc w:val="center"/>
              <w:rPr>
                <w:rFonts w:eastAsia="楷体_GB2312"/>
                <w:kern w:val="0"/>
                <w:sz w:val="22"/>
                <w:szCs w:val="22"/>
              </w:rPr>
            </w:pPr>
            <w:r>
              <w:rPr>
                <w:rFonts w:eastAsia="楷体_GB2312"/>
                <w:kern w:val="0"/>
                <w:sz w:val="22"/>
                <w:szCs w:val="22"/>
              </w:rPr>
              <w:t>16</w:t>
            </w:r>
          </w:p>
        </w:tc>
        <w:tc>
          <w:tcPr>
            <w:tcW w:w="618" w:type="pct"/>
            <w:noWrap w:val="0"/>
            <w:vAlign w:val="center"/>
          </w:tcPr>
          <w:p w14:paraId="0DBD3519">
            <w:pPr>
              <w:jc w:val="center"/>
              <w:rPr>
                <w:rFonts w:eastAsia="楷体_GB2312"/>
                <w:kern w:val="0"/>
                <w:szCs w:val="21"/>
              </w:rPr>
            </w:pPr>
            <w:r>
              <w:rPr>
                <w:rFonts w:eastAsia="楷体_GB2312"/>
                <w:kern w:val="0"/>
                <w:szCs w:val="21"/>
              </w:rPr>
              <w:t>永镇乡</w:t>
            </w:r>
          </w:p>
        </w:tc>
        <w:tc>
          <w:tcPr>
            <w:tcW w:w="532" w:type="pct"/>
            <w:noWrap w:val="0"/>
            <w:vAlign w:val="center"/>
          </w:tcPr>
          <w:p w14:paraId="4C8FC67A">
            <w:pPr>
              <w:jc w:val="center"/>
              <w:rPr>
                <w:rFonts w:eastAsia="楷体_GB2312"/>
                <w:kern w:val="0"/>
                <w:szCs w:val="21"/>
              </w:rPr>
            </w:pPr>
            <w:r>
              <w:rPr>
                <w:rFonts w:eastAsia="楷体_GB2312"/>
                <w:kern w:val="0"/>
                <w:szCs w:val="21"/>
              </w:rPr>
              <w:t>0</w:t>
            </w:r>
          </w:p>
        </w:tc>
        <w:tc>
          <w:tcPr>
            <w:tcW w:w="577" w:type="pct"/>
            <w:noWrap w:val="0"/>
            <w:vAlign w:val="center"/>
          </w:tcPr>
          <w:p w14:paraId="66F657E2">
            <w:pPr>
              <w:jc w:val="center"/>
              <w:rPr>
                <w:rFonts w:eastAsia="楷体_GB2312"/>
              </w:rPr>
            </w:pPr>
            <w:r>
              <w:rPr>
                <w:rFonts w:eastAsia="楷体_GB2312"/>
                <w:kern w:val="0"/>
                <w:sz w:val="22"/>
                <w:szCs w:val="22"/>
              </w:rPr>
              <w:t>0</w:t>
            </w:r>
          </w:p>
        </w:tc>
        <w:tc>
          <w:tcPr>
            <w:tcW w:w="581" w:type="pct"/>
            <w:noWrap w:val="0"/>
            <w:vAlign w:val="center"/>
          </w:tcPr>
          <w:p w14:paraId="7B14A803">
            <w:pPr>
              <w:jc w:val="center"/>
              <w:rPr>
                <w:rFonts w:eastAsia="楷体_GB2312"/>
              </w:rPr>
            </w:pPr>
            <w:r>
              <w:rPr>
                <w:rFonts w:eastAsia="楷体_GB2312"/>
                <w:kern w:val="0"/>
                <w:sz w:val="22"/>
                <w:szCs w:val="22"/>
              </w:rPr>
              <w:t>170</w:t>
            </w:r>
          </w:p>
        </w:tc>
        <w:tc>
          <w:tcPr>
            <w:tcW w:w="577" w:type="pct"/>
            <w:noWrap w:val="0"/>
            <w:vAlign w:val="center"/>
          </w:tcPr>
          <w:p w14:paraId="56141222">
            <w:pPr>
              <w:jc w:val="center"/>
              <w:rPr>
                <w:rFonts w:eastAsia="楷体_GB2312"/>
              </w:rPr>
            </w:pPr>
            <w:r>
              <w:rPr>
                <w:rFonts w:eastAsia="楷体_GB2312"/>
                <w:kern w:val="0"/>
                <w:sz w:val="22"/>
                <w:szCs w:val="22"/>
              </w:rPr>
              <w:t>0</w:t>
            </w:r>
          </w:p>
        </w:tc>
        <w:tc>
          <w:tcPr>
            <w:tcW w:w="576" w:type="pct"/>
            <w:noWrap w:val="0"/>
            <w:vAlign w:val="center"/>
          </w:tcPr>
          <w:p w14:paraId="3CC5C027">
            <w:pPr>
              <w:jc w:val="center"/>
              <w:rPr>
                <w:rFonts w:eastAsia="楷体_GB2312"/>
              </w:rPr>
            </w:pPr>
            <w:r>
              <w:rPr>
                <w:rFonts w:eastAsia="楷体_GB2312"/>
                <w:kern w:val="0"/>
                <w:sz w:val="22"/>
                <w:szCs w:val="22"/>
              </w:rPr>
              <w:t>155</w:t>
            </w:r>
          </w:p>
        </w:tc>
        <w:tc>
          <w:tcPr>
            <w:tcW w:w="584" w:type="pct"/>
            <w:noWrap w:val="0"/>
            <w:vAlign w:val="center"/>
          </w:tcPr>
          <w:p w14:paraId="553B7076">
            <w:pPr>
              <w:jc w:val="center"/>
              <w:rPr>
                <w:rFonts w:eastAsia="楷体_GB2312"/>
              </w:rPr>
            </w:pPr>
            <w:r>
              <w:rPr>
                <w:rFonts w:eastAsia="楷体_GB2312"/>
                <w:kern w:val="0"/>
                <w:sz w:val="22"/>
                <w:szCs w:val="22"/>
              </w:rPr>
              <w:t>0</w:t>
            </w:r>
          </w:p>
        </w:tc>
        <w:tc>
          <w:tcPr>
            <w:tcW w:w="569" w:type="pct"/>
            <w:noWrap w:val="0"/>
            <w:vAlign w:val="center"/>
          </w:tcPr>
          <w:p w14:paraId="037D8D25">
            <w:pPr>
              <w:jc w:val="center"/>
              <w:rPr>
                <w:rFonts w:eastAsia="楷体_GB2312"/>
              </w:rPr>
            </w:pPr>
            <w:r>
              <w:rPr>
                <w:rFonts w:eastAsia="楷体_GB2312"/>
                <w:kern w:val="0"/>
                <w:sz w:val="22"/>
                <w:szCs w:val="22"/>
              </w:rPr>
              <w:t>144</w:t>
            </w:r>
          </w:p>
        </w:tc>
      </w:tr>
      <w:tr w14:paraId="4D68B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5A6E31C5">
            <w:pPr>
              <w:jc w:val="center"/>
              <w:rPr>
                <w:rFonts w:eastAsia="楷体_GB2312"/>
                <w:kern w:val="0"/>
                <w:sz w:val="22"/>
                <w:szCs w:val="22"/>
              </w:rPr>
            </w:pPr>
            <w:r>
              <w:rPr>
                <w:rFonts w:eastAsia="楷体_GB2312"/>
                <w:kern w:val="0"/>
                <w:sz w:val="22"/>
                <w:szCs w:val="22"/>
              </w:rPr>
              <w:t>17</w:t>
            </w:r>
          </w:p>
        </w:tc>
        <w:tc>
          <w:tcPr>
            <w:tcW w:w="618" w:type="pct"/>
            <w:noWrap w:val="0"/>
            <w:vAlign w:val="center"/>
          </w:tcPr>
          <w:p w14:paraId="2B000DAF">
            <w:pPr>
              <w:jc w:val="center"/>
              <w:rPr>
                <w:rFonts w:eastAsia="楷体_GB2312"/>
                <w:kern w:val="0"/>
                <w:szCs w:val="21"/>
              </w:rPr>
            </w:pPr>
            <w:r>
              <w:rPr>
                <w:rFonts w:eastAsia="楷体_GB2312"/>
                <w:kern w:val="0"/>
                <w:szCs w:val="21"/>
              </w:rPr>
              <w:t>解集镇</w:t>
            </w:r>
          </w:p>
        </w:tc>
        <w:tc>
          <w:tcPr>
            <w:tcW w:w="532" w:type="pct"/>
            <w:noWrap w:val="0"/>
            <w:vAlign w:val="center"/>
          </w:tcPr>
          <w:p w14:paraId="2703EB68">
            <w:pPr>
              <w:jc w:val="center"/>
              <w:rPr>
                <w:rFonts w:eastAsia="楷体_GB2312"/>
                <w:kern w:val="0"/>
                <w:szCs w:val="21"/>
              </w:rPr>
            </w:pPr>
            <w:r>
              <w:rPr>
                <w:rFonts w:eastAsia="楷体_GB2312"/>
                <w:kern w:val="0"/>
                <w:szCs w:val="21"/>
              </w:rPr>
              <w:t>0</w:t>
            </w:r>
          </w:p>
        </w:tc>
        <w:tc>
          <w:tcPr>
            <w:tcW w:w="577" w:type="pct"/>
            <w:noWrap w:val="0"/>
            <w:vAlign w:val="center"/>
          </w:tcPr>
          <w:p w14:paraId="7CA34111">
            <w:pPr>
              <w:jc w:val="center"/>
              <w:rPr>
                <w:rFonts w:eastAsia="楷体_GB2312"/>
              </w:rPr>
            </w:pPr>
            <w:r>
              <w:rPr>
                <w:rFonts w:eastAsia="楷体_GB2312"/>
                <w:kern w:val="0"/>
                <w:sz w:val="22"/>
                <w:szCs w:val="22"/>
              </w:rPr>
              <w:t>0</w:t>
            </w:r>
          </w:p>
        </w:tc>
        <w:tc>
          <w:tcPr>
            <w:tcW w:w="581" w:type="pct"/>
            <w:noWrap w:val="0"/>
            <w:vAlign w:val="center"/>
          </w:tcPr>
          <w:p w14:paraId="19F30137">
            <w:pPr>
              <w:jc w:val="center"/>
              <w:rPr>
                <w:rFonts w:eastAsia="楷体_GB2312"/>
              </w:rPr>
            </w:pPr>
            <w:r>
              <w:rPr>
                <w:rFonts w:eastAsia="楷体_GB2312"/>
                <w:kern w:val="0"/>
                <w:sz w:val="22"/>
                <w:szCs w:val="22"/>
              </w:rPr>
              <w:t>170</w:t>
            </w:r>
          </w:p>
        </w:tc>
        <w:tc>
          <w:tcPr>
            <w:tcW w:w="577" w:type="pct"/>
            <w:noWrap w:val="0"/>
            <w:vAlign w:val="center"/>
          </w:tcPr>
          <w:p w14:paraId="12439348">
            <w:pPr>
              <w:jc w:val="center"/>
              <w:rPr>
                <w:rFonts w:eastAsia="楷体_GB2312"/>
              </w:rPr>
            </w:pPr>
            <w:r>
              <w:rPr>
                <w:rFonts w:eastAsia="楷体_GB2312"/>
                <w:kern w:val="0"/>
                <w:sz w:val="22"/>
                <w:szCs w:val="22"/>
              </w:rPr>
              <w:t>0</w:t>
            </w:r>
          </w:p>
        </w:tc>
        <w:tc>
          <w:tcPr>
            <w:tcW w:w="576" w:type="pct"/>
            <w:noWrap w:val="0"/>
            <w:vAlign w:val="center"/>
          </w:tcPr>
          <w:p w14:paraId="3ED7996B">
            <w:pPr>
              <w:jc w:val="center"/>
              <w:rPr>
                <w:rFonts w:eastAsia="楷体_GB2312"/>
              </w:rPr>
            </w:pPr>
            <w:r>
              <w:rPr>
                <w:rFonts w:eastAsia="楷体_GB2312"/>
                <w:kern w:val="0"/>
                <w:sz w:val="22"/>
                <w:szCs w:val="22"/>
              </w:rPr>
              <w:t>155</w:t>
            </w:r>
          </w:p>
        </w:tc>
        <w:tc>
          <w:tcPr>
            <w:tcW w:w="584" w:type="pct"/>
            <w:noWrap w:val="0"/>
            <w:vAlign w:val="center"/>
          </w:tcPr>
          <w:p w14:paraId="2751A80B">
            <w:pPr>
              <w:jc w:val="center"/>
              <w:rPr>
                <w:rFonts w:eastAsia="楷体_GB2312"/>
                <w:kern w:val="0"/>
                <w:sz w:val="22"/>
                <w:szCs w:val="22"/>
              </w:rPr>
            </w:pPr>
            <w:r>
              <w:rPr>
                <w:rFonts w:eastAsia="楷体_GB2312"/>
                <w:kern w:val="0"/>
                <w:sz w:val="22"/>
                <w:szCs w:val="22"/>
              </w:rPr>
              <w:t>0</w:t>
            </w:r>
          </w:p>
        </w:tc>
        <w:tc>
          <w:tcPr>
            <w:tcW w:w="569" w:type="pct"/>
            <w:noWrap w:val="0"/>
            <w:vAlign w:val="center"/>
          </w:tcPr>
          <w:p w14:paraId="20EEF30B">
            <w:pPr>
              <w:jc w:val="center"/>
              <w:rPr>
                <w:rFonts w:eastAsia="楷体_GB2312"/>
              </w:rPr>
            </w:pPr>
            <w:r>
              <w:rPr>
                <w:rFonts w:eastAsia="楷体_GB2312"/>
                <w:kern w:val="0"/>
                <w:sz w:val="22"/>
                <w:szCs w:val="22"/>
              </w:rPr>
              <w:t>144</w:t>
            </w:r>
          </w:p>
        </w:tc>
      </w:tr>
      <w:tr w14:paraId="3FE2B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4A6026A9">
            <w:pPr>
              <w:jc w:val="center"/>
              <w:rPr>
                <w:rFonts w:eastAsia="楷体_GB2312"/>
                <w:kern w:val="0"/>
                <w:sz w:val="22"/>
                <w:szCs w:val="22"/>
              </w:rPr>
            </w:pPr>
            <w:r>
              <w:rPr>
                <w:rFonts w:eastAsia="楷体_GB2312"/>
                <w:kern w:val="0"/>
                <w:sz w:val="22"/>
                <w:szCs w:val="22"/>
              </w:rPr>
              <w:t>18</w:t>
            </w:r>
          </w:p>
        </w:tc>
        <w:tc>
          <w:tcPr>
            <w:tcW w:w="618" w:type="pct"/>
            <w:noWrap w:val="0"/>
            <w:vAlign w:val="center"/>
          </w:tcPr>
          <w:p w14:paraId="6AE60C5F">
            <w:pPr>
              <w:jc w:val="center"/>
              <w:rPr>
                <w:rFonts w:eastAsia="楷体_GB2312"/>
                <w:kern w:val="0"/>
                <w:szCs w:val="21"/>
              </w:rPr>
            </w:pPr>
            <w:r>
              <w:rPr>
                <w:rFonts w:eastAsia="楷体_GB2312"/>
                <w:kern w:val="0"/>
                <w:szCs w:val="21"/>
              </w:rPr>
              <w:t>大泽乡镇</w:t>
            </w:r>
          </w:p>
        </w:tc>
        <w:tc>
          <w:tcPr>
            <w:tcW w:w="532" w:type="pct"/>
            <w:noWrap w:val="0"/>
            <w:vAlign w:val="center"/>
          </w:tcPr>
          <w:p w14:paraId="2B437EA5">
            <w:pPr>
              <w:jc w:val="center"/>
              <w:rPr>
                <w:rFonts w:eastAsia="楷体_GB2312"/>
                <w:kern w:val="0"/>
                <w:szCs w:val="21"/>
              </w:rPr>
            </w:pPr>
            <w:r>
              <w:rPr>
                <w:rFonts w:eastAsia="楷体_GB2312"/>
                <w:kern w:val="0"/>
                <w:szCs w:val="21"/>
              </w:rPr>
              <w:t>1</w:t>
            </w:r>
          </w:p>
        </w:tc>
        <w:tc>
          <w:tcPr>
            <w:tcW w:w="577" w:type="pct"/>
            <w:noWrap w:val="0"/>
            <w:vAlign w:val="center"/>
          </w:tcPr>
          <w:p w14:paraId="2AA28005">
            <w:pPr>
              <w:jc w:val="center"/>
              <w:rPr>
                <w:rFonts w:eastAsia="楷体_GB2312"/>
              </w:rPr>
            </w:pPr>
            <w:r>
              <w:rPr>
                <w:rFonts w:eastAsia="楷体_GB2312"/>
                <w:kern w:val="0"/>
                <w:sz w:val="22"/>
                <w:szCs w:val="22"/>
              </w:rPr>
              <w:t>0</w:t>
            </w:r>
          </w:p>
        </w:tc>
        <w:tc>
          <w:tcPr>
            <w:tcW w:w="581" w:type="pct"/>
            <w:noWrap w:val="0"/>
            <w:vAlign w:val="center"/>
          </w:tcPr>
          <w:p w14:paraId="63BD1D5E">
            <w:pPr>
              <w:jc w:val="center"/>
              <w:rPr>
                <w:rFonts w:eastAsia="楷体_GB2312"/>
              </w:rPr>
            </w:pPr>
            <w:r>
              <w:rPr>
                <w:rFonts w:eastAsia="楷体_GB2312"/>
                <w:kern w:val="0"/>
                <w:sz w:val="22"/>
                <w:szCs w:val="22"/>
              </w:rPr>
              <w:t>170</w:t>
            </w:r>
          </w:p>
        </w:tc>
        <w:tc>
          <w:tcPr>
            <w:tcW w:w="577" w:type="pct"/>
            <w:noWrap w:val="0"/>
            <w:vAlign w:val="center"/>
          </w:tcPr>
          <w:p w14:paraId="78BD2F78">
            <w:pPr>
              <w:jc w:val="center"/>
              <w:rPr>
                <w:rFonts w:eastAsia="楷体_GB2312"/>
              </w:rPr>
            </w:pPr>
            <w:r>
              <w:rPr>
                <w:rFonts w:eastAsia="楷体_GB2312"/>
                <w:kern w:val="0"/>
                <w:sz w:val="22"/>
                <w:szCs w:val="22"/>
              </w:rPr>
              <w:t>0</w:t>
            </w:r>
          </w:p>
        </w:tc>
        <w:tc>
          <w:tcPr>
            <w:tcW w:w="576" w:type="pct"/>
            <w:noWrap w:val="0"/>
            <w:vAlign w:val="center"/>
          </w:tcPr>
          <w:p w14:paraId="66D9E486">
            <w:pPr>
              <w:jc w:val="center"/>
              <w:rPr>
                <w:rFonts w:eastAsia="楷体_GB2312"/>
              </w:rPr>
            </w:pPr>
            <w:r>
              <w:rPr>
                <w:rFonts w:eastAsia="楷体_GB2312"/>
                <w:kern w:val="0"/>
                <w:sz w:val="22"/>
                <w:szCs w:val="22"/>
              </w:rPr>
              <w:t>155</w:t>
            </w:r>
          </w:p>
        </w:tc>
        <w:tc>
          <w:tcPr>
            <w:tcW w:w="584" w:type="pct"/>
            <w:noWrap w:val="0"/>
            <w:vAlign w:val="center"/>
          </w:tcPr>
          <w:p w14:paraId="0D9BE6A7">
            <w:pPr>
              <w:jc w:val="center"/>
              <w:rPr>
                <w:rFonts w:eastAsia="楷体_GB2312"/>
                <w:kern w:val="0"/>
                <w:sz w:val="22"/>
                <w:szCs w:val="22"/>
              </w:rPr>
            </w:pPr>
            <w:r>
              <w:rPr>
                <w:rFonts w:eastAsia="楷体_GB2312"/>
                <w:kern w:val="0"/>
                <w:sz w:val="22"/>
                <w:szCs w:val="22"/>
              </w:rPr>
              <w:t>1</w:t>
            </w:r>
          </w:p>
        </w:tc>
        <w:tc>
          <w:tcPr>
            <w:tcW w:w="569" w:type="pct"/>
            <w:noWrap w:val="0"/>
            <w:vAlign w:val="center"/>
          </w:tcPr>
          <w:p w14:paraId="381CBF9C">
            <w:pPr>
              <w:jc w:val="center"/>
              <w:rPr>
                <w:rFonts w:eastAsia="楷体_GB2312"/>
              </w:rPr>
            </w:pPr>
            <w:r>
              <w:rPr>
                <w:rFonts w:eastAsia="楷体_GB2312"/>
                <w:kern w:val="0"/>
                <w:sz w:val="22"/>
                <w:szCs w:val="22"/>
              </w:rPr>
              <w:t>144</w:t>
            </w:r>
          </w:p>
        </w:tc>
      </w:tr>
      <w:tr w14:paraId="639B3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7F708975">
            <w:pPr>
              <w:jc w:val="center"/>
              <w:rPr>
                <w:rFonts w:eastAsia="楷体_GB2312"/>
                <w:kern w:val="0"/>
                <w:sz w:val="22"/>
                <w:szCs w:val="22"/>
              </w:rPr>
            </w:pPr>
            <w:r>
              <w:rPr>
                <w:rFonts w:eastAsia="楷体_GB2312"/>
                <w:kern w:val="0"/>
                <w:sz w:val="22"/>
                <w:szCs w:val="22"/>
              </w:rPr>
              <w:t>19</w:t>
            </w:r>
          </w:p>
        </w:tc>
        <w:tc>
          <w:tcPr>
            <w:tcW w:w="618" w:type="pct"/>
            <w:noWrap w:val="0"/>
            <w:vAlign w:val="center"/>
          </w:tcPr>
          <w:p w14:paraId="16A16214">
            <w:pPr>
              <w:jc w:val="center"/>
              <w:rPr>
                <w:rFonts w:eastAsia="楷体_GB2312"/>
                <w:kern w:val="0"/>
                <w:szCs w:val="21"/>
              </w:rPr>
            </w:pPr>
            <w:r>
              <w:rPr>
                <w:rFonts w:eastAsia="楷体_GB2312"/>
                <w:kern w:val="0"/>
                <w:szCs w:val="21"/>
              </w:rPr>
              <w:t>永安镇</w:t>
            </w:r>
          </w:p>
        </w:tc>
        <w:tc>
          <w:tcPr>
            <w:tcW w:w="532" w:type="pct"/>
            <w:noWrap w:val="0"/>
            <w:vAlign w:val="center"/>
          </w:tcPr>
          <w:p w14:paraId="7CF1B943">
            <w:pPr>
              <w:jc w:val="center"/>
              <w:rPr>
                <w:rFonts w:eastAsia="楷体_GB2312"/>
                <w:kern w:val="0"/>
                <w:szCs w:val="21"/>
              </w:rPr>
            </w:pPr>
            <w:r>
              <w:rPr>
                <w:rFonts w:eastAsia="楷体_GB2312"/>
                <w:kern w:val="0"/>
                <w:szCs w:val="21"/>
              </w:rPr>
              <w:t>0</w:t>
            </w:r>
          </w:p>
        </w:tc>
        <w:tc>
          <w:tcPr>
            <w:tcW w:w="577" w:type="pct"/>
            <w:noWrap w:val="0"/>
            <w:vAlign w:val="center"/>
          </w:tcPr>
          <w:p w14:paraId="6FF51717">
            <w:pPr>
              <w:jc w:val="center"/>
              <w:rPr>
                <w:rFonts w:eastAsia="楷体_GB2312"/>
              </w:rPr>
            </w:pPr>
            <w:r>
              <w:rPr>
                <w:rFonts w:eastAsia="楷体_GB2312"/>
                <w:kern w:val="0"/>
                <w:sz w:val="22"/>
                <w:szCs w:val="22"/>
              </w:rPr>
              <w:t>0</w:t>
            </w:r>
          </w:p>
        </w:tc>
        <w:tc>
          <w:tcPr>
            <w:tcW w:w="581" w:type="pct"/>
            <w:noWrap w:val="0"/>
            <w:vAlign w:val="center"/>
          </w:tcPr>
          <w:p w14:paraId="6D7F670F">
            <w:pPr>
              <w:jc w:val="center"/>
              <w:rPr>
                <w:rFonts w:eastAsia="楷体_GB2312"/>
              </w:rPr>
            </w:pPr>
            <w:r>
              <w:rPr>
                <w:rFonts w:eastAsia="楷体_GB2312"/>
                <w:kern w:val="0"/>
                <w:sz w:val="22"/>
                <w:szCs w:val="22"/>
              </w:rPr>
              <w:t>170</w:t>
            </w:r>
          </w:p>
        </w:tc>
        <w:tc>
          <w:tcPr>
            <w:tcW w:w="577" w:type="pct"/>
            <w:noWrap w:val="0"/>
            <w:vAlign w:val="center"/>
          </w:tcPr>
          <w:p w14:paraId="68F14CA3">
            <w:pPr>
              <w:jc w:val="center"/>
              <w:rPr>
                <w:rFonts w:eastAsia="楷体_GB2312"/>
              </w:rPr>
            </w:pPr>
            <w:r>
              <w:rPr>
                <w:rFonts w:eastAsia="楷体_GB2312"/>
                <w:kern w:val="0"/>
                <w:sz w:val="22"/>
                <w:szCs w:val="22"/>
              </w:rPr>
              <w:t>0</w:t>
            </w:r>
          </w:p>
        </w:tc>
        <w:tc>
          <w:tcPr>
            <w:tcW w:w="576" w:type="pct"/>
            <w:noWrap w:val="0"/>
            <w:vAlign w:val="center"/>
          </w:tcPr>
          <w:p w14:paraId="54BD8F48">
            <w:pPr>
              <w:jc w:val="center"/>
              <w:rPr>
                <w:rFonts w:eastAsia="楷体_GB2312"/>
              </w:rPr>
            </w:pPr>
            <w:r>
              <w:rPr>
                <w:rFonts w:eastAsia="楷体_GB2312"/>
                <w:kern w:val="0"/>
                <w:sz w:val="22"/>
                <w:szCs w:val="22"/>
              </w:rPr>
              <w:t>155</w:t>
            </w:r>
          </w:p>
        </w:tc>
        <w:tc>
          <w:tcPr>
            <w:tcW w:w="584" w:type="pct"/>
            <w:noWrap w:val="0"/>
            <w:vAlign w:val="center"/>
          </w:tcPr>
          <w:p w14:paraId="678F4903">
            <w:pPr>
              <w:jc w:val="center"/>
              <w:rPr>
                <w:rFonts w:eastAsia="楷体_GB2312"/>
              </w:rPr>
            </w:pPr>
            <w:r>
              <w:rPr>
                <w:rFonts w:eastAsia="楷体_GB2312"/>
                <w:kern w:val="0"/>
                <w:sz w:val="22"/>
                <w:szCs w:val="22"/>
              </w:rPr>
              <w:t>0</w:t>
            </w:r>
          </w:p>
        </w:tc>
        <w:tc>
          <w:tcPr>
            <w:tcW w:w="569" w:type="pct"/>
            <w:noWrap w:val="0"/>
            <w:vAlign w:val="center"/>
          </w:tcPr>
          <w:p w14:paraId="31EF73D4">
            <w:pPr>
              <w:jc w:val="center"/>
              <w:rPr>
                <w:rFonts w:eastAsia="楷体_GB2312"/>
              </w:rPr>
            </w:pPr>
            <w:r>
              <w:rPr>
                <w:rFonts w:eastAsia="楷体_GB2312"/>
                <w:kern w:val="0"/>
                <w:sz w:val="22"/>
                <w:szCs w:val="22"/>
              </w:rPr>
              <w:t>144</w:t>
            </w:r>
          </w:p>
        </w:tc>
      </w:tr>
      <w:tr w14:paraId="2FA5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4EED4CBC">
            <w:pPr>
              <w:jc w:val="center"/>
              <w:rPr>
                <w:rFonts w:eastAsia="楷体_GB2312"/>
                <w:kern w:val="0"/>
                <w:sz w:val="22"/>
                <w:szCs w:val="22"/>
              </w:rPr>
            </w:pPr>
            <w:r>
              <w:rPr>
                <w:rFonts w:eastAsia="楷体_GB2312"/>
                <w:kern w:val="0"/>
                <w:sz w:val="22"/>
                <w:szCs w:val="22"/>
              </w:rPr>
              <w:t>20</w:t>
            </w:r>
          </w:p>
        </w:tc>
        <w:tc>
          <w:tcPr>
            <w:tcW w:w="618" w:type="pct"/>
            <w:noWrap w:val="0"/>
            <w:vAlign w:val="center"/>
          </w:tcPr>
          <w:p w14:paraId="1110179F">
            <w:pPr>
              <w:jc w:val="center"/>
              <w:rPr>
                <w:rFonts w:eastAsia="楷体_GB2312"/>
                <w:kern w:val="0"/>
                <w:szCs w:val="21"/>
              </w:rPr>
            </w:pPr>
            <w:r>
              <w:rPr>
                <w:rFonts w:eastAsia="楷体_GB2312"/>
                <w:kern w:val="0"/>
                <w:szCs w:val="21"/>
              </w:rPr>
              <w:t>支河乡</w:t>
            </w:r>
          </w:p>
        </w:tc>
        <w:tc>
          <w:tcPr>
            <w:tcW w:w="532" w:type="pct"/>
            <w:noWrap w:val="0"/>
            <w:vAlign w:val="center"/>
          </w:tcPr>
          <w:p w14:paraId="6E8A3D3E">
            <w:pPr>
              <w:jc w:val="center"/>
              <w:rPr>
                <w:rFonts w:eastAsia="楷体_GB2312"/>
                <w:kern w:val="0"/>
                <w:szCs w:val="21"/>
              </w:rPr>
            </w:pPr>
            <w:r>
              <w:rPr>
                <w:rFonts w:eastAsia="楷体_GB2312"/>
                <w:kern w:val="0"/>
                <w:szCs w:val="21"/>
              </w:rPr>
              <w:t>0</w:t>
            </w:r>
          </w:p>
        </w:tc>
        <w:tc>
          <w:tcPr>
            <w:tcW w:w="577" w:type="pct"/>
            <w:noWrap w:val="0"/>
            <w:vAlign w:val="center"/>
          </w:tcPr>
          <w:p w14:paraId="1D5D6226">
            <w:pPr>
              <w:jc w:val="center"/>
              <w:rPr>
                <w:rFonts w:eastAsia="楷体_GB2312"/>
              </w:rPr>
            </w:pPr>
            <w:r>
              <w:rPr>
                <w:rFonts w:eastAsia="楷体_GB2312"/>
                <w:kern w:val="0"/>
                <w:sz w:val="22"/>
                <w:szCs w:val="22"/>
              </w:rPr>
              <w:t>0</w:t>
            </w:r>
          </w:p>
        </w:tc>
        <w:tc>
          <w:tcPr>
            <w:tcW w:w="581" w:type="pct"/>
            <w:noWrap w:val="0"/>
            <w:vAlign w:val="center"/>
          </w:tcPr>
          <w:p w14:paraId="74972E9F">
            <w:pPr>
              <w:jc w:val="center"/>
              <w:rPr>
                <w:rFonts w:eastAsia="楷体_GB2312"/>
              </w:rPr>
            </w:pPr>
            <w:r>
              <w:rPr>
                <w:rFonts w:eastAsia="楷体_GB2312"/>
                <w:kern w:val="0"/>
                <w:sz w:val="22"/>
                <w:szCs w:val="22"/>
              </w:rPr>
              <w:t>170</w:t>
            </w:r>
          </w:p>
        </w:tc>
        <w:tc>
          <w:tcPr>
            <w:tcW w:w="577" w:type="pct"/>
            <w:noWrap w:val="0"/>
            <w:vAlign w:val="center"/>
          </w:tcPr>
          <w:p w14:paraId="2389A691">
            <w:pPr>
              <w:jc w:val="center"/>
              <w:rPr>
                <w:rFonts w:eastAsia="楷体_GB2312"/>
              </w:rPr>
            </w:pPr>
            <w:r>
              <w:rPr>
                <w:rFonts w:eastAsia="楷体_GB2312"/>
                <w:kern w:val="0"/>
                <w:sz w:val="22"/>
                <w:szCs w:val="22"/>
              </w:rPr>
              <w:t>0</w:t>
            </w:r>
          </w:p>
        </w:tc>
        <w:tc>
          <w:tcPr>
            <w:tcW w:w="576" w:type="pct"/>
            <w:noWrap w:val="0"/>
            <w:vAlign w:val="center"/>
          </w:tcPr>
          <w:p w14:paraId="4D2B1C89">
            <w:pPr>
              <w:jc w:val="center"/>
              <w:rPr>
                <w:rFonts w:eastAsia="楷体_GB2312"/>
              </w:rPr>
            </w:pPr>
            <w:r>
              <w:rPr>
                <w:rFonts w:eastAsia="楷体_GB2312"/>
                <w:kern w:val="0"/>
                <w:sz w:val="22"/>
                <w:szCs w:val="22"/>
              </w:rPr>
              <w:t>155</w:t>
            </w:r>
          </w:p>
        </w:tc>
        <w:tc>
          <w:tcPr>
            <w:tcW w:w="584" w:type="pct"/>
            <w:noWrap w:val="0"/>
            <w:vAlign w:val="center"/>
          </w:tcPr>
          <w:p w14:paraId="6076E181">
            <w:pPr>
              <w:jc w:val="center"/>
              <w:rPr>
                <w:rFonts w:eastAsia="楷体_GB2312"/>
              </w:rPr>
            </w:pPr>
            <w:r>
              <w:rPr>
                <w:rFonts w:eastAsia="楷体_GB2312"/>
                <w:kern w:val="0"/>
                <w:sz w:val="22"/>
                <w:szCs w:val="22"/>
              </w:rPr>
              <w:t>0</w:t>
            </w:r>
          </w:p>
        </w:tc>
        <w:tc>
          <w:tcPr>
            <w:tcW w:w="569" w:type="pct"/>
            <w:noWrap w:val="0"/>
            <w:vAlign w:val="center"/>
          </w:tcPr>
          <w:p w14:paraId="60EAD1B6">
            <w:pPr>
              <w:jc w:val="center"/>
              <w:rPr>
                <w:rFonts w:eastAsia="楷体_GB2312"/>
              </w:rPr>
            </w:pPr>
            <w:r>
              <w:rPr>
                <w:rFonts w:eastAsia="楷体_GB2312"/>
                <w:kern w:val="0"/>
                <w:sz w:val="22"/>
                <w:szCs w:val="22"/>
              </w:rPr>
              <w:t>144</w:t>
            </w:r>
          </w:p>
        </w:tc>
      </w:tr>
      <w:tr w14:paraId="3F416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148EB714">
            <w:pPr>
              <w:jc w:val="center"/>
              <w:rPr>
                <w:rFonts w:eastAsia="楷体_GB2312"/>
                <w:kern w:val="0"/>
                <w:sz w:val="22"/>
                <w:szCs w:val="22"/>
              </w:rPr>
            </w:pPr>
            <w:r>
              <w:rPr>
                <w:rFonts w:eastAsia="楷体_GB2312"/>
                <w:kern w:val="0"/>
                <w:sz w:val="22"/>
                <w:szCs w:val="22"/>
              </w:rPr>
              <w:t>21</w:t>
            </w:r>
          </w:p>
        </w:tc>
        <w:tc>
          <w:tcPr>
            <w:tcW w:w="618" w:type="pct"/>
            <w:noWrap w:val="0"/>
            <w:vAlign w:val="center"/>
          </w:tcPr>
          <w:p w14:paraId="51FB643F">
            <w:pPr>
              <w:jc w:val="center"/>
              <w:rPr>
                <w:rFonts w:eastAsia="楷体_GB2312"/>
                <w:kern w:val="0"/>
                <w:szCs w:val="21"/>
              </w:rPr>
            </w:pPr>
            <w:r>
              <w:rPr>
                <w:rFonts w:eastAsia="楷体_GB2312"/>
                <w:kern w:val="0"/>
                <w:szCs w:val="21"/>
              </w:rPr>
              <w:t>灰古镇</w:t>
            </w:r>
          </w:p>
        </w:tc>
        <w:tc>
          <w:tcPr>
            <w:tcW w:w="532" w:type="pct"/>
            <w:noWrap w:val="0"/>
            <w:vAlign w:val="center"/>
          </w:tcPr>
          <w:p w14:paraId="1C8CA9D9">
            <w:pPr>
              <w:jc w:val="center"/>
              <w:rPr>
                <w:rFonts w:eastAsia="楷体_GB2312"/>
                <w:kern w:val="0"/>
                <w:szCs w:val="21"/>
              </w:rPr>
            </w:pPr>
            <w:r>
              <w:rPr>
                <w:rFonts w:eastAsia="楷体_GB2312"/>
                <w:kern w:val="0"/>
                <w:szCs w:val="21"/>
              </w:rPr>
              <w:t>2</w:t>
            </w:r>
          </w:p>
        </w:tc>
        <w:tc>
          <w:tcPr>
            <w:tcW w:w="577" w:type="pct"/>
            <w:noWrap w:val="0"/>
            <w:vAlign w:val="center"/>
          </w:tcPr>
          <w:p w14:paraId="5EC8653D">
            <w:pPr>
              <w:jc w:val="center"/>
              <w:rPr>
                <w:rFonts w:eastAsia="楷体_GB2312"/>
              </w:rPr>
            </w:pPr>
            <w:r>
              <w:rPr>
                <w:rFonts w:eastAsia="楷体_GB2312"/>
                <w:kern w:val="0"/>
                <w:sz w:val="22"/>
                <w:szCs w:val="22"/>
              </w:rPr>
              <w:t>0</w:t>
            </w:r>
          </w:p>
        </w:tc>
        <w:tc>
          <w:tcPr>
            <w:tcW w:w="581" w:type="pct"/>
            <w:noWrap w:val="0"/>
            <w:vAlign w:val="center"/>
          </w:tcPr>
          <w:p w14:paraId="190A336E">
            <w:pPr>
              <w:jc w:val="center"/>
              <w:rPr>
                <w:rFonts w:eastAsia="楷体_GB2312"/>
              </w:rPr>
            </w:pPr>
            <w:r>
              <w:rPr>
                <w:rFonts w:eastAsia="楷体_GB2312"/>
                <w:kern w:val="0"/>
                <w:sz w:val="22"/>
                <w:szCs w:val="22"/>
              </w:rPr>
              <w:t>170</w:t>
            </w:r>
          </w:p>
        </w:tc>
        <w:tc>
          <w:tcPr>
            <w:tcW w:w="577" w:type="pct"/>
            <w:noWrap w:val="0"/>
            <w:vAlign w:val="center"/>
          </w:tcPr>
          <w:p w14:paraId="435F9CFA">
            <w:pPr>
              <w:jc w:val="center"/>
              <w:rPr>
                <w:rFonts w:eastAsia="楷体_GB2312"/>
                <w:kern w:val="0"/>
                <w:szCs w:val="21"/>
              </w:rPr>
            </w:pPr>
            <w:r>
              <w:rPr>
                <w:rFonts w:eastAsia="楷体_GB2312"/>
                <w:kern w:val="0"/>
                <w:szCs w:val="21"/>
              </w:rPr>
              <w:t>1</w:t>
            </w:r>
          </w:p>
        </w:tc>
        <w:tc>
          <w:tcPr>
            <w:tcW w:w="576" w:type="pct"/>
            <w:noWrap w:val="0"/>
            <w:vAlign w:val="center"/>
          </w:tcPr>
          <w:p w14:paraId="3927BC3E">
            <w:pPr>
              <w:jc w:val="center"/>
              <w:rPr>
                <w:rFonts w:eastAsia="楷体_GB2312"/>
              </w:rPr>
            </w:pPr>
            <w:r>
              <w:rPr>
                <w:rFonts w:eastAsia="楷体_GB2312"/>
                <w:kern w:val="0"/>
                <w:sz w:val="22"/>
                <w:szCs w:val="22"/>
              </w:rPr>
              <w:t>155</w:t>
            </w:r>
          </w:p>
        </w:tc>
        <w:tc>
          <w:tcPr>
            <w:tcW w:w="584" w:type="pct"/>
            <w:noWrap w:val="0"/>
            <w:vAlign w:val="center"/>
          </w:tcPr>
          <w:p w14:paraId="3D1B36EB">
            <w:pPr>
              <w:jc w:val="center"/>
              <w:rPr>
                <w:rFonts w:eastAsia="楷体_GB2312"/>
                <w:kern w:val="0"/>
                <w:sz w:val="22"/>
                <w:szCs w:val="22"/>
              </w:rPr>
            </w:pPr>
            <w:r>
              <w:rPr>
                <w:rFonts w:eastAsia="楷体_GB2312"/>
                <w:kern w:val="0"/>
                <w:sz w:val="22"/>
                <w:szCs w:val="22"/>
              </w:rPr>
              <w:t>1</w:t>
            </w:r>
          </w:p>
        </w:tc>
        <w:tc>
          <w:tcPr>
            <w:tcW w:w="569" w:type="pct"/>
            <w:noWrap w:val="0"/>
            <w:vAlign w:val="center"/>
          </w:tcPr>
          <w:p w14:paraId="2C495298">
            <w:pPr>
              <w:jc w:val="center"/>
              <w:rPr>
                <w:rFonts w:eastAsia="楷体_GB2312"/>
              </w:rPr>
            </w:pPr>
            <w:r>
              <w:rPr>
                <w:rFonts w:eastAsia="楷体_GB2312"/>
                <w:kern w:val="0"/>
                <w:sz w:val="22"/>
                <w:szCs w:val="22"/>
              </w:rPr>
              <w:t>144</w:t>
            </w:r>
          </w:p>
        </w:tc>
      </w:tr>
      <w:tr w14:paraId="36A78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399E1BB3">
            <w:pPr>
              <w:jc w:val="center"/>
              <w:rPr>
                <w:rFonts w:eastAsia="楷体_GB2312"/>
                <w:kern w:val="0"/>
                <w:sz w:val="22"/>
                <w:szCs w:val="22"/>
              </w:rPr>
            </w:pPr>
            <w:r>
              <w:rPr>
                <w:rFonts w:eastAsia="楷体_GB2312"/>
                <w:kern w:val="0"/>
                <w:sz w:val="22"/>
                <w:szCs w:val="22"/>
              </w:rPr>
              <w:t>22</w:t>
            </w:r>
          </w:p>
        </w:tc>
        <w:tc>
          <w:tcPr>
            <w:tcW w:w="618" w:type="pct"/>
            <w:noWrap w:val="0"/>
            <w:vAlign w:val="center"/>
          </w:tcPr>
          <w:p w14:paraId="2F6F2B95">
            <w:pPr>
              <w:jc w:val="center"/>
              <w:rPr>
                <w:rFonts w:eastAsia="楷体_GB2312"/>
                <w:kern w:val="0"/>
                <w:szCs w:val="21"/>
              </w:rPr>
            </w:pPr>
            <w:r>
              <w:rPr>
                <w:rFonts w:eastAsia="楷体_GB2312"/>
                <w:kern w:val="0"/>
                <w:szCs w:val="21"/>
              </w:rPr>
              <w:t>桃沟乡</w:t>
            </w:r>
          </w:p>
        </w:tc>
        <w:tc>
          <w:tcPr>
            <w:tcW w:w="532" w:type="pct"/>
            <w:noWrap w:val="0"/>
            <w:vAlign w:val="center"/>
          </w:tcPr>
          <w:p w14:paraId="3D0FE42C">
            <w:pPr>
              <w:jc w:val="center"/>
              <w:rPr>
                <w:rFonts w:eastAsia="楷体_GB2312"/>
                <w:kern w:val="0"/>
                <w:szCs w:val="21"/>
              </w:rPr>
            </w:pPr>
            <w:r>
              <w:rPr>
                <w:rFonts w:eastAsia="楷体_GB2312"/>
                <w:kern w:val="0"/>
                <w:szCs w:val="21"/>
              </w:rPr>
              <w:t>1</w:t>
            </w:r>
          </w:p>
        </w:tc>
        <w:tc>
          <w:tcPr>
            <w:tcW w:w="577" w:type="pct"/>
            <w:noWrap w:val="0"/>
            <w:vAlign w:val="center"/>
          </w:tcPr>
          <w:p w14:paraId="3BC242A7">
            <w:pPr>
              <w:jc w:val="center"/>
              <w:rPr>
                <w:rFonts w:eastAsia="楷体_GB2312"/>
              </w:rPr>
            </w:pPr>
            <w:r>
              <w:rPr>
                <w:rFonts w:eastAsia="楷体_GB2312"/>
                <w:kern w:val="0"/>
                <w:sz w:val="22"/>
                <w:szCs w:val="22"/>
              </w:rPr>
              <w:t>0</w:t>
            </w:r>
          </w:p>
        </w:tc>
        <w:tc>
          <w:tcPr>
            <w:tcW w:w="581" w:type="pct"/>
            <w:noWrap w:val="0"/>
            <w:vAlign w:val="center"/>
          </w:tcPr>
          <w:p w14:paraId="5AF92B06">
            <w:pPr>
              <w:jc w:val="center"/>
              <w:rPr>
                <w:rFonts w:eastAsia="楷体_GB2312"/>
              </w:rPr>
            </w:pPr>
            <w:r>
              <w:rPr>
                <w:rFonts w:eastAsia="楷体_GB2312"/>
                <w:kern w:val="0"/>
                <w:sz w:val="22"/>
                <w:szCs w:val="22"/>
              </w:rPr>
              <w:t>170</w:t>
            </w:r>
          </w:p>
        </w:tc>
        <w:tc>
          <w:tcPr>
            <w:tcW w:w="577" w:type="pct"/>
            <w:noWrap w:val="0"/>
            <w:vAlign w:val="center"/>
          </w:tcPr>
          <w:p w14:paraId="6713A1B7">
            <w:pPr>
              <w:jc w:val="center"/>
              <w:rPr>
                <w:rFonts w:eastAsia="楷体_GB2312"/>
                <w:kern w:val="0"/>
                <w:szCs w:val="21"/>
              </w:rPr>
            </w:pPr>
            <w:r>
              <w:rPr>
                <w:rFonts w:eastAsia="楷体_GB2312"/>
                <w:kern w:val="0"/>
                <w:sz w:val="22"/>
                <w:szCs w:val="22"/>
              </w:rPr>
              <w:t>0</w:t>
            </w:r>
          </w:p>
        </w:tc>
        <w:tc>
          <w:tcPr>
            <w:tcW w:w="576" w:type="pct"/>
            <w:noWrap w:val="0"/>
            <w:vAlign w:val="center"/>
          </w:tcPr>
          <w:p w14:paraId="0DC49EDA">
            <w:pPr>
              <w:jc w:val="center"/>
              <w:rPr>
                <w:rFonts w:eastAsia="楷体_GB2312"/>
              </w:rPr>
            </w:pPr>
            <w:r>
              <w:rPr>
                <w:rFonts w:eastAsia="楷体_GB2312"/>
                <w:kern w:val="0"/>
                <w:sz w:val="22"/>
                <w:szCs w:val="22"/>
              </w:rPr>
              <w:t>155</w:t>
            </w:r>
          </w:p>
        </w:tc>
        <w:tc>
          <w:tcPr>
            <w:tcW w:w="584" w:type="pct"/>
            <w:noWrap w:val="0"/>
            <w:vAlign w:val="center"/>
          </w:tcPr>
          <w:p w14:paraId="1D60E903">
            <w:pPr>
              <w:jc w:val="center"/>
              <w:rPr>
                <w:rFonts w:eastAsia="楷体_GB2312"/>
                <w:kern w:val="0"/>
                <w:sz w:val="22"/>
                <w:szCs w:val="22"/>
              </w:rPr>
            </w:pPr>
            <w:r>
              <w:rPr>
                <w:rFonts w:eastAsia="楷体_GB2312"/>
                <w:kern w:val="0"/>
                <w:sz w:val="22"/>
                <w:szCs w:val="22"/>
              </w:rPr>
              <w:t>1</w:t>
            </w:r>
          </w:p>
        </w:tc>
        <w:tc>
          <w:tcPr>
            <w:tcW w:w="569" w:type="pct"/>
            <w:noWrap w:val="0"/>
            <w:vAlign w:val="center"/>
          </w:tcPr>
          <w:p w14:paraId="47152C41">
            <w:pPr>
              <w:jc w:val="center"/>
              <w:rPr>
                <w:rFonts w:eastAsia="楷体_GB2312"/>
              </w:rPr>
            </w:pPr>
            <w:r>
              <w:rPr>
                <w:rFonts w:eastAsia="楷体_GB2312"/>
                <w:kern w:val="0"/>
                <w:sz w:val="22"/>
                <w:szCs w:val="22"/>
              </w:rPr>
              <w:t>144</w:t>
            </w:r>
          </w:p>
        </w:tc>
      </w:tr>
      <w:tr w14:paraId="26960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19810535">
            <w:pPr>
              <w:jc w:val="center"/>
              <w:rPr>
                <w:rFonts w:eastAsia="楷体_GB2312"/>
                <w:kern w:val="0"/>
                <w:sz w:val="22"/>
                <w:szCs w:val="22"/>
              </w:rPr>
            </w:pPr>
            <w:r>
              <w:rPr>
                <w:rFonts w:eastAsia="楷体_GB2312"/>
                <w:kern w:val="0"/>
                <w:sz w:val="22"/>
                <w:szCs w:val="22"/>
              </w:rPr>
              <w:t>23</w:t>
            </w:r>
          </w:p>
        </w:tc>
        <w:tc>
          <w:tcPr>
            <w:tcW w:w="618" w:type="pct"/>
            <w:noWrap w:val="0"/>
            <w:vAlign w:val="center"/>
          </w:tcPr>
          <w:p w14:paraId="17D26722">
            <w:pPr>
              <w:jc w:val="center"/>
              <w:rPr>
                <w:rFonts w:eastAsia="楷体_GB2312"/>
                <w:kern w:val="0"/>
                <w:szCs w:val="21"/>
              </w:rPr>
            </w:pPr>
            <w:r>
              <w:rPr>
                <w:rFonts w:eastAsia="楷体_GB2312"/>
                <w:kern w:val="0"/>
                <w:szCs w:val="21"/>
              </w:rPr>
              <w:t>曹村开发区</w:t>
            </w:r>
          </w:p>
        </w:tc>
        <w:tc>
          <w:tcPr>
            <w:tcW w:w="532" w:type="pct"/>
            <w:noWrap w:val="0"/>
            <w:vAlign w:val="center"/>
          </w:tcPr>
          <w:p w14:paraId="3C824987">
            <w:pPr>
              <w:jc w:val="center"/>
              <w:rPr>
                <w:rFonts w:eastAsia="楷体_GB2312"/>
                <w:kern w:val="0"/>
                <w:szCs w:val="21"/>
              </w:rPr>
            </w:pPr>
            <w:r>
              <w:rPr>
                <w:rFonts w:eastAsia="楷体_GB2312"/>
                <w:kern w:val="0"/>
                <w:szCs w:val="21"/>
              </w:rPr>
              <w:t>31</w:t>
            </w:r>
          </w:p>
        </w:tc>
        <w:tc>
          <w:tcPr>
            <w:tcW w:w="3464" w:type="pct"/>
            <w:gridSpan w:val="6"/>
            <w:noWrap w:val="0"/>
            <w:vAlign w:val="center"/>
          </w:tcPr>
          <w:p w14:paraId="56BE98A9">
            <w:pPr>
              <w:jc w:val="center"/>
              <w:rPr>
                <w:rFonts w:eastAsia="楷体_GB2312"/>
                <w:kern w:val="0"/>
                <w:sz w:val="22"/>
                <w:szCs w:val="22"/>
              </w:rPr>
            </w:pPr>
            <w:r>
              <w:rPr>
                <w:rFonts w:eastAsia="楷体_GB2312"/>
                <w:kern w:val="0"/>
                <w:sz w:val="22"/>
                <w:szCs w:val="22"/>
              </w:rPr>
              <w:t>155</w:t>
            </w:r>
          </w:p>
        </w:tc>
      </w:tr>
      <w:tr w14:paraId="54A88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6CB7F7F7">
            <w:pPr>
              <w:jc w:val="center"/>
              <w:rPr>
                <w:rFonts w:eastAsia="楷体_GB2312"/>
                <w:kern w:val="0"/>
                <w:sz w:val="22"/>
                <w:szCs w:val="22"/>
              </w:rPr>
            </w:pPr>
            <w:r>
              <w:rPr>
                <w:rFonts w:eastAsia="楷体_GB2312"/>
                <w:kern w:val="0"/>
                <w:sz w:val="22"/>
                <w:szCs w:val="22"/>
              </w:rPr>
              <w:t>24</w:t>
            </w:r>
          </w:p>
        </w:tc>
        <w:tc>
          <w:tcPr>
            <w:tcW w:w="618" w:type="pct"/>
            <w:noWrap w:val="0"/>
            <w:vAlign w:val="center"/>
          </w:tcPr>
          <w:p w14:paraId="70085DE9">
            <w:pPr>
              <w:jc w:val="center"/>
              <w:rPr>
                <w:rFonts w:eastAsia="楷体_GB2312"/>
                <w:kern w:val="0"/>
                <w:szCs w:val="21"/>
              </w:rPr>
            </w:pPr>
            <w:r>
              <w:rPr>
                <w:rFonts w:eastAsia="楷体_GB2312"/>
                <w:kern w:val="0"/>
                <w:szCs w:val="21"/>
              </w:rPr>
              <w:t>家具产业园</w:t>
            </w:r>
          </w:p>
        </w:tc>
        <w:tc>
          <w:tcPr>
            <w:tcW w:w="532" w:type="pct"/>
            <w:noWrap w:val="0"/>
            <w:vAlign w:val="center"/>
          </w:tcPr>
          <w:p w14:paraId="46A7C298">
            <w:pPr>
              <w:jc w:val="center"/>
              <w:rPr>
                <w:rFonts w:eastAsia="楷体_GB2312"/>
                <w:kern w:val="0"/>
                <w:szCs w:val="21"/>
              </w:rPr>
            </w:pPr>
            <w:r>
              <w:rPr>
                <w:rFonts w:eastAsia="楷体_GB2312"/>
                <w:kern w:val="0"/>
                <w:szCs w:val="21"/>
              </w:rPr>
              <w:t>5</w:t>
            </w:r>
          </w:p>
        </w:tc>
        <w:tc>
          <w:tcPr>
            <w:tcW w:w="3464" w:type="pct"/>
            <w:gridSpan w:val="6"/>
            <w:noWrap w:val="0"/>
            <w:vAlign w:val="center"/>
          </w:tcPr>
          <w:p w14:paraId="76E9ACF7">
            <w:pPr>
              <w:jc w:val="center"/>
              <w:rPr>
                <w:rFonts w:eastAsia="楷体_GB2312"/>
                <w:kern w:val="0"/>
                <w:sz w:val="22"/>
                <w:szCs w:val="22"/>
              </w:rPr>
            </w:pPr>
            <w:r>
              <w:rPr>
                <w:rFonts w:eastAsia="楷体_GB2312"/>
                <w:kern w:val="0"/>
                <w:sz w:val="22"/>
                <w:szCs w:val="22"/>
              </w:rPr>
              <w:t>155</w:t>
            </w:r>
          </w:p>
        </w:tc>
      </w:tr>
      <w:tr w14:paraId="58559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386" w:type="pct"/>
            <w:noWrap w:val="0"/>
            <w:vAlign w:val="center"/>
          </w:tcPr>
          <w:p w14:paraId="13D4D4D0">
            <w:pPr>
              <w:jc w:val="center"/>
              <w:rPr>
                <w:rFonts w:eastAsia="楷体_GB2312"/>
                <w:kern w:val="0"/>
                <w:sz w:val="22"/>
                <w:szCs w:val="22"/>
              </w:rPr>
            </w:pPr>
            <w:r>
              <w:rPr>
                <w:rFonts w:eastAsia="楷体_GB2312"/>
                <w:kern w:val="0"/>
                <w:sz w:val="22"/>
                <w:szCs w:val="22"/>
              </w:rPr>
              <w:t>25</w:t>
            </w:r>
          </w:p>
        </w:tc>
        <w:tc>
          <w:tcPr>
            <w:tcW w:w="618" w:type="pct"/>
            <w:noWrap w:val="0"/>
            <w:vAlign w:val="center"/>
          </w:tcPr>
          <w:p w14:paraId="79FE08B7">
            <w:pPr>
              <w:jc w:val="center"/>
              <w:rPr>
                <w:rFonts w:eastAsia="楷体_GB2312"/>
                <w:kern w:val="0"/>
                <w:szCs w:val="21"/>
              </w:rPr>
            </w:pPr>
            <w:r>
              <w:rPr>
                <w:rFonts w:eastAsia="楷体_GB2312"/>
                <w:kern w:val="0"/>
                <w:szCs w:val="21"/>
              </w:rPr>
              <w:t>农业示范园</w:t>
            </w:r>
          </w:p>
        </w:tc>
        <w:tc>
          <w:tcPr>
            <w:tcW w:w="532" w:type="pct"/>
            <w:noWrap w:val="0"/>
            <w:vAlign w:val="center"/>
          </w:tcPr>
          <w:p w14:paraId="67E67FDF">
            <w:pPr>
              <w:jc w:val="center"/>
              <w:rPr>
                <w:rFonts w:eastAsia="楷体_GB2312"/>
                <w:kern w:val="0"/>
                <w:szCs w:val="21"/>
              </w:rPr>
            </w:pPr>
            <w:r>
              <w:rPr>
                <w:rFonts w:eastAsia="楷体_GB2312"/>
                <w:kern w:val="0"/>
                <w:szCs w:val="21"/>
              </w:rPr>
              <w:t>2</w:t>
            </w:r>
          </w:p>
        </w:tc>
        <w:tc>
          <w:tcPr>
            <w:tcW w:w="3464" w:type="pct"/>
            <w:gridSpan w:val="6"/>
            <w:noWrap w:val="0"/>
            <w:vAlign w:val="center"/>
          </w:tcPr>
          <w:p w14:paraId="4E129ED9">
            <w:pPr>
              <w:jc w:val="center"/>
              <w:rPr>
                <w:rFonts w:eastAsia="楷体_GB2312"/>
                <w:kern w:val="0"/>
                <w:sz w:val="22"/>
                <w:szCs w:val="22"/>
              </w:rPr>
            </w:pPr>
            <w:r>
              <w:rPr>
                <w:rFonts w:eastAsia="楷体_GB2312"/>
                <w:kern w:val="0"/>
                <w:sz w:val="22"/>
                <w:szCs w:val="22"/>
              </w:rPr>
              <w:t>155</w:t>
            </w:r>
          </w:p>
        </w:tc>
      </w:tr>
    </w:tbl>
    <w:p w14:paraId="52C1A209">
      <w:pPr>
        <w:spacing w:line="480" w:lineRule="exact"/>
        <w:ind w:firstLine="560" w:firstLineChars="200"/>
        <w:rPr>
          <w:rFonts w:eastAsia="楷体_GB2312"/>
          <w:sz w:val="28"/>
        </w:rPr>
      </w:pPr>
      <w:r>
        <w:rPr>
          <w:rFonts w:hint="eastAsia" w:ascii="楷体" w:hAnsi="楷体" w:eastAsia="楷体" w:cs="宋体"/>
          <w:sz w:val="28"/>
        </w:rPr>
        <w:t>埇桥区</w:t>
      </w:r>
      <w:r>
        <w:rPr>
          <w:rFonts w:eastAsia="楷体_GB2312"/>
          <w:sz w:val="28"/>
        </w:rPr>
        <w:t>乡镇出让最低限价为</w:t>
      </w:r>
      <w:r>
        <w:rPr>
          <w:rFonts w:hint="eastAsia" w:eastAsia="楷体_GB2312"/>
          <w:sz w:val="28"/>
        </w:rPr>
        <w:t>144</w:t>
      </w:r>
      <w:r>
        <w:rPr>
          <w:rFonts w:eastAsia="楷体_GB2312"/>
          <w:sz w:val="28"/>
        </w:rPr>
        <w:t>元/平方米，</w:t>
      </w:r>
      <w:r>
        <w:rPr>
          <w:rFonts w:hint="eastAsia" w:ascii="楷体" w:hAnsi="楷体" w:eastAsia="楷体" w:cs="宋体"/>
          <w:sz w:val="28"/>
        </w:rPr>
        <w:t>埇</w:t>
      </w:r>
      <w:r>
        <w:rPr>
          <w:rFonts w:hint="eastAsia" w:ascii="楷体_GB2312" w:hAnsi="楷体_GB2312" w:eastAsia="楷体_GB2312" w:cs="楷体_GB2312"/>
          <w:sz w:val="28"/>
        </w:rPr>
        <w:t>桥区</w:t>
      </w:r>
      <w:r>
        <w:rPr>
          <w:rFonts w:eastAsia="楷体_GB2312"/>
          <w:sz w:val="28"/>
        </w:rPr>
        <w:t>乡镇工矿仓储用地市场价格基本处于</w:t>
      </w:r>
      <w:r>
        <w:rPr>
          <w:rFonts w:hint="eastAsia" w:eastAsia="楷体_GB2312"/>
          <w:sz w:val="28"/>
        </w:rPr>
        <w:t>144-230</w:t>
      </w:r>
      <w:r>
        <w:rPr>
          <w:rFonts w:eastAsia="楷体_GB2312"/>
          <w:sz w:val="28"/>
        </w:rPr>
        <w:t>元/平方米之间。</w:t>
      </w:r>
    </w:p>
    <w:p w14:paraId="18910E23">
      <w:pPr>
        <w:spacing w:line="480" w:lineRule="exact"/>
        <w:ind w:firstLine="560" w:firstLineChars="200"/>
        <w:rPr>
          <w:rFonts w:eastAsia="楷体_GB2312"/>
          <w:sz w:val="28"/>
        </w:rPr>
      </w:pPr>
      <w:r>
        <w:rPr>
          <w:rFonts w:eastAsia="楷体_GB2312"/>
          <w:sz w:val="28"/>
        </w:rPr>
        <w:t>2009年5月11日，国土资源部发布“国土资发〔2009〕56号”文件《国土资源部关于调整工业用地出让最低价标准实施政策的通知》，确定土地使用权出让价格时必须执行的最低控制标准”。按照《标准》，</w:t>
      </w:r>
      <w:r>
        <w:rPr>
          <w:rFonts w:hint="eastAsia" w:ascii="楷体" w:hAnsi="楷体" w:eastAsia="楷体" w:cs="宋体"/>
          <w:sz w:val="28"/>
        </w:rPr>
        <w:t>埇</w:t>
      </w:r>
      <w:r>
        <w:rPr>
          <w:rFonts w:hint="eastAsia" w:ascii="楷体_GB2312" w:hAnsi="楷体_GB2312" w:eastAsia="楷体_GB2312" w:cs="楷体_GB2312"/>
          <w:sz w:val="28"/>
        </w:rPr>
        <w:t>桥区</w:t>
      </w:r>
      <w:r>
        <w:rPr>
          <w:rFonts w:eastAsia="楷体_GB2312"/>
          <w:sz w:val="28"/>
        </w:rPr>
        <w:t>属“十</w:t>
      </w:r>
      <w:r>
        <w:rPr>
          <w:rFonts w:hint="eastAsia" w:eastAsia="楷体_GB2312"/>
          <w:sz w:val="28"/>
        </w:rPr>
        <w:t>一</w:t>
      </w:r>
      <w:r>
        <w:rPr>
          <w:rFonts w:eastAsia="楷体_GB2312"/>
          <w:sz w:val="28"/>
        </w:rPr>
        <w:t>等”城市，工业用地出让最低标准为1</w:t>
      </w:r>
      <w:r>
        <w:rPr>
          <w:rFonts w:hint="eastAsia" w:eastAsia="楷体_GB2312"/>
          <w:sz w:val="28"/>
        </w:rPr>
        <w:t>44</w:t>
      </w:r>
      <w:r>
        <w:rPr>
          <w:rFonts w:eastAsia="楷体_GB2312"/>
          <w:sz w:val="28"/>
        </w:rPr>
        <w:t>元/平方米，除极少数特殊情况以外，行政区划内（含乡镇）出让土地不得低于此标准。工矿仓储用地样点地价主要为土地使用权出让地价资料，由于受工业出让最低限价的影响，</w:t>
      </w:r>
      <w:r>
        <w:rPr>
          <w:rFonts w:hint="eastAsia" w:ascii="楷体" w:hAnsi="楷体" w:eastAsia="楷体" w:cs="宋体"/>
          <w:sz w:val="28"/>
        </w:rPr>
        <w:t>埇</w:t>
      </w:r>
      <w:r>
        <w:rPr>
          <w:rFonts w:hint="eastAsia" w:ascii="楷体_GB2312" w:hAnsi="楷体_GB2312" w:eastAsia="楷体_GB2312" w:cs="楷体_GB2312"/>
          <w:sz w:val="28"/>
        </w:rPr>
        <w:t>桥区</w:t>
      </w:r>
      <w:r>
        <w:rPr>
          <w:rFonts w:eastAsia="楷体_GB2312"/>
          <w:sz w:val="28"/>
        </w:rPr>
        <w:t>乡镇工矿仓储用地出让价格不得低于</w:t>
      </w:r>
      <w:r>
        <w:rPr>
          <w:rFonts w:hint="eastAsia" w:ascii="楷体" w:hAnsi="楷体" w:eastAsia="楷体" w:cs="宋体"/>
          <w:sz w:val="28"/>
        </w:rPr>
        <w:t>埇</w:t>
      </w:r>
      <w:r>
        <w:rPr>
          <w:rFonts w:hint="eastAsia" w:ascii="楷体_GB2312" w:hAnsi="楷体_GB2312" w:eastAsia="楷体_GB2312" w:cs="楷体_GB2312"/>
          <w:sz w:val="28"/>
        </w:rPr>
        <w:t>桥区</w:t>
      </w:r>
      <w:r>
        <w:rPr>
          <w:rFonts w:eastAsia="楷体_GB2312"/>
          <w:sz w:val="28"/>
        </w:rPr>
        <w:t>工业用地出让最低标准</w:t>
      </w:r>
      <w:r>
        <w:rPr>
          <w:rFonts w:hint="eastAsia" w:eastAsia="楷体_GB2312"/>
          <w:sz w:val="28"/>
        </w:rPr>
        <w:t>144</w:t>
      </w:r>
      <w:r>
        <w:rPr>
          <w:rFonts w:eastAsia="楷体_GB2312"/>
          <w:sz w:val="28"/>
        </w:rPr>
        <w:t>元/平方米。本次基准地价更新工作中，收集工矿仓储用地出让样点共</w:t>
      </w:r>
      <w:r>
        <w:rPr>
          <w:rFonts w:hint="eastAsia" w:eastAsia="楷体_GB2312"/>
          <w:sz w:val="28"/>
        </w:rPr>
        <w:t>79</w:t>
      </w:r>
      <w:r>
        <w:rPr>
          <w:rFonts w:eastAsia="楷体_GB2312"/>
          <w:sz w:val="28"/>
        </w:rPr>
        <w:t>个，样点测算地价基本在</w:t>
      </w:r>
      <w:r>
        <w:rPr>
          <w:rFonts w:hint="eastAsia" w:eastAsia="楷体_GB2312"/>
          <w:sz w:val="28"/>
        </w:rPr>
        <w:t>144-230</w:t>
      </w:r>
      <w:r>
        <w:rPr>
          <w:rFonts w:eastAsia="楷体_GB2312"/>
          <w:sz w:val="28"/>
        </w:rPr>
        <w:t>元/平方米之间，不低于工业用地最低出让价标准。</w:t>
      </w:r>
    </w:p>
    <w:p w14:paraId="0376E295">
      <w:pPr>
        <w:pStyle w:val="3"/>
        <w:spacing w:line="240" w:lineRule="auto"/>
        <w:jc w:val="center"/>
        <w:rPr>
          <w:rFonts w:ascii="Times New Roman" w:hAnsi="Times New Roman" w:eastAsia="宋体"/>
          <w:sz w:val="36"/>
        </w:rPr>
        <w:sectPr>
          <w:footerReference r:id="rId8" w:type="default"/>
          <w:pgSz w:w="11906" w:h="16838"/>
          <w:pgMar w:top="1758" w:right="1474" w:bottom="1474" w:left="1644" w:header="1134" w:footer="992" w:gutter="0"/>
          <w:cols w:space="720" w:num="1"/>
          <w:docGrid w:linePitch="312" w:charSpace="0"/>
        </w:sectPr>
      </w:pPr>
    </w:p>
    <w:p w14:paraId="036CCA65">
      <w:pPr>
        <w:pStyle w:val="3"/>
        <w:spacing w:line="240" w:lineRule="auto"/>
        <w:jc w:val="center"/>
        <w:rPr>
          <w:rFonts w:ascii="Times New Roman" w:hAnsi="Times New Roman" w:eastAsia="宋体"/>
          <w:sz w:val="36"/>
        </w:rPr>
      </w:pPr>
      <w:bookmarkStart w:id="87" w:name="_Toc62563695"/>
      <w:r>
        <w:rPr>
          <w:rFonts w:ascii="Times New Roman" w:hAnsi="Times New Roman" w:eastAsia="宋体"/>
          <w:sz w:val="36"/>
        </w:rPr>
        <w:t>第六章  公共管理与公共服务用地价格评估</w:t>
      </w:r>
      <w:bookmarkEnd w:id="86"/>
      <w:bookmarkEnd w:id="87"/>
    </w:p>
    <w:p w14:paraId="05A4384A">
      <w:pPr>
        <w:widowControl w:val="0"/>
        <w:spacing w:line="480" w:lineRule="exact"/>
        <w:ind w:firstLine="560" w:firstLineChars="200"/>
        <w:jc w:val="both"/>
        <w:rPr>
          <w:rFonts w:eastAsia="楷体_GB2312"/>
          <w:sz w:val="28"/>
          <w:szCs w:val="21"/>
        </w:rPr>
      </w:pPr>
      <w:r>
        <w:rPr>
          <w:rFonts w:eastAsia="楷体_GB2312"/>
          <w:sz w:val="28"/>
          <w:szCs w:val="21"/>
        </w:rPr>
        <w:t>根据《关于扩大国有土地有偿使用范围的意见》（国土资规〔2016〕20号）文件要求，“市、县政府应依据当地土地取得成本、市场供需、产业政策和其他用途基准地价等，制定公共服务项目基准地价。”根据《国土资源部办公厅关于加强公式地价体系建设和管理有关问题的通知》（国土资厅发〔2017〕27号）文件要求，“各地新发布的基准地价体系应包含公共服务项目用地基准地价。”根据《安徽省自然资源厅关于做好自然资源评价评估工作的通知》（皖自然资用函〔2019〕98号）文件要求，“基准地价（包括商服用地、住宅用地、工业用地、公管公服用地）原则上每三年更新一次，并根据市场变化，适时进行调整。”</w:t>
      </w:r>
    </w:p>
    <w:p w14:paraId="08EAB95A">
      <w:pPr>
        <w:widowControl w:val="0"/>
        <w:spacing w:line="480" w:lineRule="exact"/>
        <w:ind w:firstLine="560" w:firstLineChars="200"/>
        <w:jc w:val="both"/>
        <w:rPr>
          <w:rFonts w:eastAsia="楷体_GB2312"/>
          <w:sz w:val="28"/>
          <w:szCs w:val="21"/>
        </w:rPr>
      </w:pPr>
      <w:r>
        <w:rPr>
          <w:rFonts w:eastAsia="楷体_GB2312"/>
          <w:sz w:val="28"/>
          <w:szCs w:val="21"/>
        </w:rPr>
        <w:t>为有效实施产业用地政策，发挥地价在调控土地市场的基础性作用，促进土地节约集约利用和社会经济又好又快发展，结合</w:t>
      </w:r>
      <w:r>
        <w:rPr>
          <w:rFonts w:hint="eastAsia" w:ascii="楷体" w:hAnsi="楷体" w:eastAsia="楷体" w:cs="宋体"/>
          <w:sz w:val="28"/>
        </w:rPr>
        <w:t>埇桥区</w:t>
      </w:r>
      <w:r>
        <w:rPr>
          <w:rFonts w:eastAsia="楷体_GB2312"/>
          <w:sz w:val="28"/>
          <w:szCs w:val="21"/>
        </w:rPr>
        <w:t>的发展战略，制定了公共管理与公共服务用地基准地价的评估任务，有利于促进公共管理与公共服务用地的有偿使用，对于培育公共管理与公共服务用地交易市场的健康发展具有积极的意义。</w:t>
      </w:r>
    </w:p>
    <w:p w14:paraId="2DD1FB34">
      <w:pPr>
        <w:widowControl w:val="0"/>
        <w:spacing w:line="480" w:lineRule="exact"/>
        <w:ind w:firstLine="560" w:firstLineChars="200"/>
        <w:jc w:val="both"/>
        <w:rPr>
          <w:rFonts w:eastAsia="楷体_GB2312"/>
          <w:sz w:val="28"/>
          <w:szCs w:val="21"/>
        </w:rPr>
      </w:pPr>
    </w:p>
    <w:p w14:paraId="0DECD9B0">
      <w:pPr>
        <w:pStyle w:val="4"/>
        <w:numPr>
          <w:ilvl w:val="0"/>
          <w:numId w:val="0"/>
        </w:numPr>
        <w:spacing w:line="240" w:lineRule="auto"/>
        <w:jc w:val="center"/>
        <w:rPr>
          <w:rFonts w:eastAsia="仿宋_GB2312"/>
          <w:bCs w:val="0"/>
        </w:rPr>
      </w:pPr>
      <w:bookmarkStart w:id="88" w:name="_Toc510943382"/>
      <w:bookmarkStart w:id="89" w:name="_Toc62563696"/>
      <w:r>
        <w:rPr>
          <w:rFonts w:eastAsia="仿宋_GB2312"/>
          <w:bCs w:val="0"/>
        </w:rPr>
        <w:t>第一节  公共管理与公共服务用地的特征</w:t>
      </w:r>
      <w:bookmarkEnd w:id="88"/>
      <w:bookmarkEnd w:id="89"/>
    </w:p>
    <w:p w14:paraId="0661F689">
      <w:pPr>
        <w:widowControl w:val="0"/>
        <w:spacing w:line="480" w:lineRule="exact"/>
        <w:ind w:firstLine="560" w:firstLineChars="200"/>
        <w:jc w:val="both"/>
        <w:rPr>
          <w:rFonts w:eastAsia="楷体_GB2312"/>
          <w:sz w:val="28"/>
          <w:szCs w:val="21"/>
        </w:rPr>
      </w:pPr>
      <w:r>
        <w:rPr>
          <w:rFonts w:eastAsia="楷体_GB2312"/>
          <w:sz w:val="28"/>
          <w:szCs w:val="21"/>
        </w:rPr>
        <w:t>根据《土地利用现状分类》，公共管理与公共服务用地属于一级地类，涵盖事业、公用设施用地等。在城市自由发展期，公共管理与公共服务用地所占比例一般较低，城市的整体功能也相对较低。但随着城市的发展，用于公共管理与公共服务的土地占城市土地的比例越来越高。用于公共服务的土地包括公共建筑和公共设施用地，主要是指公益事业和公共设施建设用地。其特征主要包括：</w:t>
      </w:r>
    </w:p>
    <w:p w14:paraId="77C08A03">
      <w:pPr>
        <w:widowControl w:val="0"/>
        <w:spacing w:line="480" w:lineRule="exact"/>
        <w:ind w:firstLine="560" w:firstLineChars="200"/>
        <w:jc w:val="both"/>
        <w:rPr>
          <w:rFonts w:eastAsia="楷体_GB2312"/>
          <w:sz w:val="28"/>
          <w:szCs w:val="21"/>
        </w:rPr>
      </w:pPr>
      <w:r>
        <w:rPr>
          <w:rFonts w:eastAsia="楷体_GB2312"/>
          <w:sz w:val="28"/>
          <w:szCs w:val="21"/>
        </w:rPr>
        <w:t>1、一般为公共服务用地，具有一定的社会效益和生态效益；</w:t>
      </w:r>
    </w:p>
    <w:p w14:paraId="0EA5DC2D">
      <w:pPr>
        <w:widowControl w:val="0"/>
        <w:spacing w:line="480" w:lineRule="exact"/>
        <w:ind w:firstLine="560" w:firstLineChars="200"/>
        <w:jc w:val="both"/>
        <w:rPr>
          <w:rFonts w:eastAsia="楷体_GB2312"/>
          <w:sz w:val="28"/>
          <w:szCs w:val="21"/>
        </w:rPr>
      </w:pPr>
      <w:r>
        <w:rPr>
          <w:rFonts w:eastAsia="楷体_GB2312"/>
          <w:sz w:val="28"/>
          <w:szCs w:val="21"/>
        </w:rPr>
        <w:t>2、多呈点状分布，面积小、数量多，由于具有各自特定的功能，造成其分布广且零散，难以形成功能规模集中的用地分区；</w:t>
      </w:r>
    </w:p>
    <w:p w14:paraId="366F590A">
      <w:pPr>
        <w:widowControl w:val="0"/>
        <w:spacing w:line="480" w:lineRule="exact"/>
        <w:ind w:firstLine="560" w:firstLineChars="200"/>
        <w:jc w:val="both"/>
        <w:rPr>
          <w:rFonts w:eastAsia="楷体_GB2312"/>
          <w:sz w:val="28"/>
          <w:szCs w:val="21"/>
        </w:rPr>
      </w:pPr>
      <w:r>
        <w:rPr>
          <w:rFonts w:eastAsia="楷体_GB2312"/>
          <w:sz w:val="28"/>
          <w:szCs w:val="21"/>
        </w:rPr>
        <w:t>3、主要是公益性用地，收益很小或无收益。用于公共服务的土地一般由政府所有，也有通过出租或者是授权委托给非政府机构经营和管理的。用于公共服务的土地虽然不能直接产生效益，但是对于人们的生活来说是不可或缺的。</w:t>
      </w:r>
    </w:p>
    <w:p w14:paraId="697D8869">
      <w:pPr>
        <w:widowControl w:val="0"/>
        <w:spacing w:line="480" w:lineRule="exact"/>
        <w:ind w:firstLine="560" w:firstLineChars="200"/>
        <w:jc w:val="both"/>
        <w:rPr>
          <w:rFonts w:eastAsia="楷体_GB2312"/>
          <w:sz w:val="28"/>
          <w:szCs w:val="21"/>
        </w:rPr>
      </w:pPr>
      <w:r>
        <w:rPr>
          <w:rFonts w:eastAsia="楷体_GB2312"/>
          <w:sz w:val="28"/>
          <w:szCs w:val="21"/>
        </w:rPr>
        <w:t>4、多以划拨方式取得土地使用权，以有偿出让方式取得的土地使用权极少；</w:t>
      </w:r>
    </w:p>
    <w:p w14:paraId="73AA2BBC">
      <w:pPr>
        <w:widowControl w:val="0"/>
        <w:spacing w:line="480" w:lineRule="exact"/>
        <w:ind w:firstLine="560" w:firstLineChars="200"/>
        <w:jc w:val="both"/>
        <w:rPr>
          <w:rFonts w:eastAsia="楷体_GB2312"/>
          <w:sz w:val="28"/>
          <w:szCs w:val="21"/>
        </w:rPr>
      </w:pPr>
      <w:r>
        <w:rPr>
          <w:rFonts w:eastAsia="楷体_GB2312"/>
          <w:sz w:val="28"/>
          <w:szCs w:val="21"/>
        </w:rPr>
        <w:t>5、土地市场欠发育，市场上土地出让、转让、出租、抵押等交易案例很少。</w:t>
      </w:r>
    </w:p>
    <w:p w14:paraId="77BEEE1F">
      <w:pPr>
        <w:pStyle w:val="4"/>
        <w:numPr>
          <w:ilvl w:val="0"/>
          <w:numId w:val="0"/>
        </w:numPr>
        <w:spacing w:line="240" w:lineRule="auto"/>
        <w:jc w:val="center"/>
        <w:rPr>
          <w:rFonts w:eastAsia="仿宋_GB2312"/>
          <w:bCs w:val="0"/>
        </w:rPr>
      </w:pPr>
      <w:bookmarkStart w:id="90" w:name="_Toc510943383"/>
      <w:bookmarkStart w:id="91" w:name="_Toc62563697"/>
      <w:r>
        <w:rPr>
          <w:rFonts w:eastAsia="仿宋_GB2312"/>
          <w:bCs w:val="0"/>
        </w:rPr>
        <w:t>第二节  公共管理与公共服务用地的评估方法</w:t>
      </w:r>
      <w:bookmarkEnd w:id="90"/>
      <w:bookmarkEnd w:id="91"/>
    </w:p>
    <w:p w14:paraId="7E8C529A">
      <w:pPr>
        <w:widowControl w:val="0"/>
        <w:spacing w:line="480" w:lineRule="exact"/>
        <w:ind w:firstLine="560" w:firstLineChars="200"/>
        <w:jc w:val="both"/>
        <w:rPr>
          <w:rFonts w:eastAsia="楷体_GB2312"/>
          <w:sz w:val="28"/>
          <w:szCs w:val="21"/>
        </w:rPr>
      </w:pPr>
      <w:r>
        <w:rPr>
          <w:rFonts w:eastAsia="楷体_GB2312"/>
          <w:sz w:val="28"/>
          <w:szCs w:val="21"/>
        </w:rPr>
        <w:t>根据</w:t>
      </w:r>
      <w:r>
        <w:rPr>
          <w:rFonts w:hint="eastAsia" w:ascii="楷体" w:hAnsi="楷体" w:eastAsia="楷体" w:cs="宋体"/>
          <w:sz w:val="28"/>
        </w:rPr>
        <w:t>埇</w:t>
      </w:r>
      <w:r>
        <w:rPr>
          <w:rFonts w:hint="eastAsia" w:ascii="楷体_GB2312" w:hAnsi="楷体_GB2312" w:eastAsia="楷体_GB2312" w:cs="楷体_GB2312"/>
          <w:sz w:val="28"/>
          <w:szCs w:val="21"/>
        </w:rPr>
        <w:t>桥区</w:t>
      </w:r>
      <w:r>
        <w:rPr>
          <w:rFonts w:eastAsia="楷体_GB2312"/>
          <w:sz w:val="28"/>
          <w:szCs w:val="21"/>
        </w:rPr>
        <w:t>乡镇实际情况，公共管理与公共服务用地多为划拨用地，土地出让、转让、出租、抵押等交易案例极少，无法选取较多的样点测算区域平均地价。本次公共管理与公共服务用地基准地价的测算，利用收益还原法和成本逼近法测算公共管理与公共服务用地中的文化设施用地、体育用地、教育用地、医疗卫生用地、新闻出版用地、科研用地、社会福利用地、公用设施用地级别平均地价。</w:t>
      </w:r>
    </w:p>
    <w:p w14:paraId="777941ED">
      <w:pPr>
        <w:widowControl w:val="0"/>
        <w:spacing w:line="480" w:lineRule="exact"/>
        <w:jc w:val="both"/>
        <w:rPr>
          <w:b/>
          <w:sz w:val="28"/>
          <w:szCs w:val="21"/>
        </w:rPr>
      </w:pPr>
      <w:r>
        <w:rPr>
          <w:b/>
          <w:sz w:val="28"/>
          <w:szCs w:val="21"/>
        </w:rPr>
        <w:t>一、利用收益还原法测算地价</w:t>
      </w:r>
    </w:p>
    <w:p w14:paraId="4B8885BA">
      <w:pPr>
        <w:widowControl w:val="0"/>
        <w:spacing w:line="480" w:lineRule="exact"/>
        <w:ind w:firstLine="560" w:firstLineChars="200"/>
        <w:jc w:val="both"/>
        <w:rPr>
          <w:rFonts w:eastAsia="楷体_GB2312"/>
          <w:sz w:val="28"/>
          <w:szCs w:val="21"/>
        </w:rPr>
      </w:pPr>
      <w:r>
        <w:rPr>
          <w:rFonts w:eastAsia="楷体_GB2312"/>
          <w:sz w:val="28"/>
          <w:szCs w:val="21"/>
        </w:rPr>
        <w:t>本次</w:t>
      </w:r>
      <w:r>
        <w:rPr>
          <w:rFonts w:hint="eastAsia" w:ascii="楷体" w:hAnsi="楷体" w:eastAsia="楷体" w:cs="宋体"/>
          <w:sz w:val="28"/>
        </w:rPr>
        <w:t>埇</w:t>
      </w:r>
      <w:r>
        <w:rPr>
          <w:rFonts w:hint="eastAsia" w:ascii="楷体_GB2312" w:hAnsi="楷体_GB2312" w:eastAsia="楷体_GB2312" w:cs="楷体_GB2312"/>
          <w:sz w:val="28"/>
          <w:szCs w:val="21"/>
        </w:rPr>
        <w:t>桥区</w:t>
      </w:r>
      <w:r>
        <w:rPr>
          <w:rFonts w:eastAsia="楷体_GB2312"/>
          <w:sz w:val="28"/>
          <w:szCs w:val="21"/>
        </w:rPr>
        <w:t>乡镇公共管理与公共服务类型</w:t>
      </w:r>
      <w:r>
        <w:rPr>
          <w:rFonts w:eastAsia="楷体_GB2312"/>
          <w:sz w:val="28"/>
        </w:rPr>
        <w:t>用地案例匮乏，用地类型单一，基本以划拨的方式供应，划拨土地使用权价格为零，利用市场比较法难以测算公共管理与公共服务用地基准地价</w:t>
      </w:r>
      <w:r>
        <w:rPr>
          <w:rFonts w:eastAsia="楷体_GB2312"/>
          <w:sz w:val="28"/>
          <w:szCs w:val="21"/>
        </w:rPr>
        <w:t>。结合城镇土地分等定级规程的相关规定，采用外业调查中</w:t>
      </w:r>
      <w:r>
        <w:rPr>
          <w:rFonts w:hint="eastAsia" w:ascii="楷体" w:hAnsi="楷体" w:eastAsia="楷体" w:cs="宋体"/>
          <w:sz w:val="28"/>
        </w:rPr>
        <w:t>埇</w:t>
      </w:r>
      <w:r>
        <w:rPr>
          <w:rFonts w:hint="eastAsia" w:ascii="楷体_GB2312" w:hAnsi="楷体_GB2312" w:eastAsia="楷体_GB2312" w:cs="楷体_GB2312"/>
          <w:sz w:val="28"/>
          <w:szCs w:val="21"/>
        </w:rPr>
        <w:t>桥区</w:t>
      </w:r>
      <w:r>
        <w:rPr>
          <w:rFonts w:eastAsia="楷体_GB2312"/>
          <w:sz w:val="28"/>
          <w:szCs w:val="21"/>
        </w:rPr>
        <w:t>乡镇部分商服出租样点，通过用途修正测算公共管理与公共服务用地文化设施用地、体育用地、教育用地、医疗卫生用地、新闻出版用地、科研用地、社会福利用地、公用设施用地共8个二级地类的基准地价。</w:t>
      </w:r>
    </w:p>
    <w:p w14:paraId="494192A3">
      <w:pPr>
        <w:widowControl w:val="0"/>
        <w:spacing w:line="460" w:lineRule="exact"/>
        <w:ind w:firstLine="562" w:firstLineChars="200"/>
        <w:jc w:val="both"/>
        <w:rPr>
          <w:rFonts w:eastAsia="楷体_GB2312"/>
          <w:b/>
          <w:sz w:val="28"/>
          <w:szCs w:val="21"/>
        </w:rPr>
      </w:pPr>
      <w:r>
        <w:rPr>
          <w:rFonts w:eastAsia="楷体_GB2312"/>
          <w:b/>
          <w:sz w:val="28"/>
          <w:szCs w:val="21"/>
        </w:rPr>
        <w:br w:type="page"/>
      </w:r>
      <w:r>
        <w:rPr>
          <w:rFonts w:eastAsia="楷体_GB2312"/>
          <w:b/>
          <w:sz w:val="28"/>
          <w:szCs w:val="21"/>
        </w:rPr>
        <w:t>1、样点数量统计整理</w:t>
      </w:r>
    </w:p>
    <w:p w14:paraId="0456A0EE">
      <w:pPr>
        <w:widowControl w:val="0"/>
        <w:spacing w:line="480" w:lineRule="exact"/>
        <w:jc w:val="center"/>
        <w:rPr>
          <w:rFonts w:eastAsia="黑体"/>
          <w:sz w:val="28"/>
          <w:szCs w:val="21"/>
        </w:rPr>
      </w:pPr>
      <w:r>
        <w:rPr>
          <w:rFonts w:eastAsia="黑体"/>
          <w:sz w:val="28"/>
          <w:szCs w:val="21"/>
        </w:rPr>
        <w:t>表2-6-1  用于测算公共管理与公共服务用地基准地价商服出租</w:t>
      </w:r>
    </w:p>
    <w:p w14:paraId="32B5D078">
      <w:pPr>
        <w:widowControl w:val="0"/>
        <w:spacing w:line="480" w:lineRule="exact"/>
        <w:jc w:val="center"/>
        <w:rPr>
          <w:rFonts w:eastAsia="黑体"/>
          <w:sz w:val="28"/>
          <w:szCs w:val="21"/>
        </w:rPr>
      </w:pPr>
      <w:r>
        <w:rPr>
          <w:rFonts w:eastAsia="黑体"/>
          <w:sz w:val="28"/>
          <w:szCs w:val="21"/>
        </w:rPr>
        <w:t>样点调查统计表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2987"/>
        <w:gridCol w:w="1243"/>
        <w:gridCol w:w="3707"/>
      </w:tblGrid>
      <w:tr w14:paraId="0C61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1135" w:type="dxa"/>
            <w:noWrap w:val="0"/>
            <w:vAlign w:val="center"/>
          </w:tcPr>
          <w:p w14:paraId="43A4BBBA">
            <w:pPr>
              <w:jc w:val="center"/>
              <w:rPr>
                <w:rFonts w:eastAsia="楷体_GB2312"/>
                <w:kern w:val="0"/>
                <w:szCs w:val="21"/>
              </w:rPr>
            </w:pPr>
            <w:r>
              <w:rPr>
                <w:rFonts w:eastAsia="楷体_GB2312"/>
                <w:kern w:val="0"/>
                <w:szCs w:val="21"/>
              </w:rPr>
              <w:t>乡镇编号</w:t>
            </w:r>
          </w:p>
        </w:tc>
        <w:tc>
          <w:tcPr>
            <w:tcW w:w="2987" w:type="dxa"/>
            <w:noWrap w:val="0"/>
            <w:vAlign w:val="center"/>
          </w:tcPr>
          <w:p w14:paraId="10DEEFA6">
            <w:pPr>
              <w:jc w:val="center"/>
              <w:rPr>
                <w:rFonts w:eastAsia="楷体_GB2312"/>
                <w:kern w:val="0"/>
                <w:szCs w:val="21"/>
              </w:rPr>
            </w:pPr>
            <w:r>
              <w:rPr>
                <w:rFonts w:eastAsia="楷体_GB2312"/>
                <w:kern w:val="0"/>
                <w:szCs w:val="21"/>
              </w:rPr>
              <w:t>乡镇名称</w:t>
            </w:r>
          </w:p>
        </w:tc>
        <w:tc>
          <w:tcPr>
            <w:tcW w:w="0" w:type="auto"/>
            <w:noWrap w:val="0"/>
            <w:vAlign w:val="center"/>
          </w:tcPr>
          <w:p w14:paraId="767959F8">
            <w:pPr>
              <w:spacing w:line="240" w:lineRule="exact"/>
              <w:jc w:val="center"/>
              <w:rPr>
                <w:rFonts w:eastAsia="楷体_GB2312"/>
                <w:kern w:val="0"/>
                <w:szCs w:val="21"/>
              </w:rPr>
            </w:pPr>
            <w:r>
              <w:rPr>
                <w:rFonts w:eastAsia="楷体_GB2312"/>
                <w:kern w:val="0"/>
                <w:szCs w:val="21"/>
              </w:rPr>
              <w:t>级别</w:t>
            </w:r>
          </w:p>
        </w:tc>
        <w:tc>
          <w:tcPr>
            <w:tcW w:w="0" w:type="auto"/>
            <w:noWrap w:val="0"/>
            <w:vAlign w:val="center"/>
          </w:tcPr>
          <w:p w14:paraId="1540CE26">
            <w:pPr>
              <w:spacing w:before="100" w:beforeAutospacing="1" w:after="100" w:afterAutospacing="1" w:line="240" w:lineRule="atLeast"/>
              <w:jc w:val="center"/>
              <w:rPr>
                <w:rFonts w:eastAsia="楷体_GB2312"/>
                <w:kern w:val="0"/>
                <w:szCs w:val="21"/>
              </w:rPr>
            </w:pPr>
            <w:r>
              <w:rPr>
                <w:rFonts w:eastAsia="楷体_GB2312"/>
                <w:kern w:val="0"/>
                <w:szCs w:val="21"/>
              </w:rPr>
              <w:t>市场交易样点个数</w:t>
            </w:r>
          </w:p>
        </w:tc>
      </w:tr>
      <w:tr w14:paraId="2087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restart"/>
            <w:noWrap w:val="0"/>
            <w:vAlign w:val="center"/>
          </w:tcPr>
          <w:p w14:paraId="7F19FF19">
            <w:pPr>
              <w:jc w:val="center"/>
              <w:rPr>
                <w:rFonts w:eastAsia="楷体_GB2312"/>
                <w:kern w:val="0"/>
                <w:sz w:val="22"/>
                <w:szCs w:val="22"/>
              </w:rPr>
            </w:pPr>
            <w:r>
              <w:rPr>
                <w:rFonts w:eastAsia="楷体_GB2312"/>
                <w:kern w:val="0"/>
                <w:sz w:val="22"/>
                <w:szCs w:val="22"/>
              </w:rPr>
              <w:t>1</w:t>
            </w:r>
          </w:p>
        </w:tc>
        <w:tc>
          <w:tcPr>
            <w:tcW w:w="2987" w:type="dxa"/>
            <w:vMerge w:val="restart"/>
            <w:noWrap w:val="0"/>
            <w:vAlign w:val="center"/>
          </w:tcPr>
          <w:p w14:paraId="00EACBD5">
            <w:pPr>
              <w:jc w:val="center"/>
              <w:rPr>
                <w:rFonts w:eastAsia="楷体_GB2312"/>
                <w:kern w:val="0"/>
                <w:sz w:val="22"/>
                <w:szCs w:val="22"/>
              </w:rPr>
            </w:pPr>
            <w:r>
              <w:rPr>
                <w:rFonts w:eastAsia="楷体_GB2312"/>
                <w:kern w:val="0"/>
                <w:sz w:val="22"/>
                <w:szCs w:val="22"/>
              </w:rPr>
              <w:t>符离镇</w:t>
            </w:r>
          </w:p>
        </w:tc>
        <w:tc>
          <w:tcPr>
            <w:tcW w:w="0" w:type="auto"/>
            <w:noWrap w:val="0"/>
            <w:vAlign w:val="center"/>
          </w:tcPr>
          <w:p w14:paraId="06A37029">
            <w:pPr>
              <w:jc w:val="center"/>
              <w:rPr>
                <w:rFonts w:eastAsia="楷体_GB2312"/>
                <w:kern w:val="0"/>
                <w:sz w:val="22"/>
                <w:szCs w:val="22"/>
              </w:rPr>
            </w:pPr>
            <w:r>
              <w:rPr>
                <w:rFonts w:eastAsia="楷体_GB2312"/>
                <w:kern w:val="0"/>
                <w:sz w:val="22"/>
                <w:szCs w:val="22"/>
              </w:rPr>
              <w:t>1</w:t>
            </w:r>
          </w:p>
        </w:tc>
        <w:tc>
          <w:tcPr>
            <w:tcW w:w="0" w:type="auto"/>
            <w:noWrap w:val="0"/>
            <w:vAlign w:val="center"/>
          </w:tcPr>
          <w:p w14:paraId="492EB80F">
            <w:pPr>
              <w:spacing w:before="100" w:beforeAutospacing="1" w:after="100" w:afterAutospacing="1" w:line="240" w:lineRule="atLeast"/>
              <w:jc w:val="center"/>
              <w:rPr>
                <w:rFonts w:eastAsia="楷体_GB2312"/>
                <w:kern w:val="0"/>
                <w:szCs w:val="21"/>
              </w:rPr>
            </w:pPr>
            <w:r>
              <w:rPr>
                <w:rFonts w:eastAsia="楷体_GB2312"/>
                <w:kern w:val="0"/>
                <w:szCs w:val="21"/>
              </w:rPr>
              <w:t>12</w:t>
            </w:r>
          </w:p>
        </w:tc>
      </w:tr>
      <w:tr w14:paraId="0C86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04CF7E06">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012D6C38">
            <w:pPr>
              <w:spacing w:before="100" w:beforeAutospacing="1" w:after="100" w:afterAutospacing="1" w:line="240" w:lineRule="atLeast"/>
              <w:jc w:val="center"/>
              <w:rPr>
                <w:rFonts w:eastAsia="楷体_GB2312"/>
                <w:kern w:val="0"/>
                <w:szCs w:val="21"/>
              </w:rPr>
            </w:pPr>
          </w:p>
        </w:tc>
        <w:tc>
          <w:tcPr>
            <w:tcW w:w="0" w:type="auto"/>
            <w:noWrap w:val="0"/>
            <w:vAlign w:val="center"/>
          </w:tcPr>
          <w:p w14:paraId="2B8D30EC">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0682CA6C">
            <w:pPr>
              <w:spacing w:before="100" w:beforeAutospacing="1" w:after="100" w:afterAutospacing="1" w:line="240" w:lineRule="atLeast"/>
              <w:jc w:val="center"/>
              <w:rPr>
                <w:rFonts w:eastAsia="楷体_GB2312"/>
                <w:kern w:val="0"/>
                <w:szCs w:val="21"/>
              </w:rPr>
            </w:pPr>
            <w:r>
              <w:rPr>
                <w:rFonts w:eastAsia="楷体_GB2312"/>
                <w:kern w:val="0"/>
                <w:szCs w:val="21"/>
              </w:rPr>
              <w:t>10</w:t>
            </w:r>
          </w:p>
        </w:tc>
      </w:tr>
      <w:tr w14:paraId="6BD4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7FFE3654">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05E9F4DF">
            <w:pPr>
              <w:spacing w:before="100" w:beforeAutospacing="1" w:after="100" w:afterAutospacing="1" w:line="240" w:lineRule="atLeast"/>
              <w:jc w:val="center"/>
              <w:rPr>
                <w:rFonts w:eastAsia="楷体_GB2312"/>
                <w:kern w:val="0"/>
                <w:szCs w:val="21"/>
              </w:rPr>
            </w:pPr>
          </w:p>
        </w:tc>
        <w:tc>
          <w:tcPr>
            <w:tcW w:w="0" w:type="auto"/>
            <w:noWrap w:val="0"/>
            <w:vAlign w:val="center"/>
          </w:tcPr>
          <w:p w14:paraId="1047A529">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7BE14C26">
            <w:pPr>
              <w:spacing w:before="100" w:beforeAutospacing="1" w:after="100" w:afterAutospacing="1" w:line="240" w:lineRule="atLeast"/>
              <w:jc w:val="center"/>
              <w:rPr>
                <w:rFonts w:eastAsia="楷体_GB2312"/>
                <w:kern w:val="0"/>
                <w:szCs w:val="21"/>
              </w:rPr>
            </w:pPr>
            <w:r>
              <w:rPr>
                <w:rFonts w:eastAsia="楷体_GB2312"/>
                <w:kern w:val="0"/>
                <w:szCs w:val="21"/>
              </w:rPr>
              <w:t>8</w:t>
            </w:r>
          </w:p>
        </w:tc>
      </w:tr>
      <w:tr w14:paraId="76508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restart"/>
            <w:noWrap w:val="0"/>
            <w:vAlign w:val="center"/>
          </w:tcPr>
          <w:p w14:paraId="4BE8AD67">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2987" w:type="dxa"/>
            <w:vMerge w:val="restart"/>
            <w:noWrap w:val="0"/>
            <w:vAlign w:val="center"/>
          </w:tcPr>
          <w:p w14:paraId="04F87E7B">
            <w:pPr>
              <w:spacing w:before="100" w:beforeAutospacing="1" w:after="100" w:afterAutospacing="1" w:line="240" w:lineRule="atLeast"/>
              <w:jc w:val="center"/>
              <w:rPr>
                <w:rFonts w:eastAsia="楷体_GB2312"/>
                <w:kern w:val="0"/>
                <w:szCs w:val="21"/>
              </w:rPr>
            </w:pPr>
            <w:r>
              <w:rPr>
                <w:rFonts w:eastAsia="楷体_GB2312"/>
                <w:kern w:val="0"/>
                <w:szCs w:val="21"/>
              </w:rPr>
              <w:t>朱仙庄镇</w:t>
            </w:r>
          </w:p>
        </w:tc>
        <w:tc>
          <w:tcPr>
            <w:tcW w:w="0" w:type="auto"/>
            <w:noWrap w:val="0"/>
            <w:vAlign w:val="center"/>
          </w:tcPr>
          <w:p w14:paraId="42283CC3">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5750A16C">
            <w:pPr>
              <w:spacing w:before="100" w:beforeAutospacing="1" w:after="100" w:afterAutospacing="1" w:line="240" w:lineRule="atLeast"/>
              <w:jc w:val="center"/>
              <w:rPr>
                <w:rFonts w:eastAsia="楷体_GB2312"/>
                <w:kern w:val="0"/>
                <w:szCs w:val="21"/>
              </w:rPr>
            </w:pPr>
            <w:r>
              <w:rPr>
                <w:rFonts w:eastAsia="楷体_GB2312"/>
                <w:kern w:val="0"/>
                <w:szCs w:val="21"/>
              </w:rPr>
              <w:t>15</w:t>
            </w:r>
          </w:p>
        </w:tc>
      </w:tr>
      <w:tr w14:paraId="659B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53162D66">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7E319FDE">
            <w:pPr>
              <w:spacing w:before="100" w:beforeAutospacing="1" w:after="100" w:afterAutospacing="1" w:line="240" w:lineRule="atLeast"/>
              <w:jc w:val="center"/>
              <w:rPr>
                <w:rFonts w:eastAsia="楷体_GB2312"/>
                <w:kern w:val="0"/>
                <w:szCs w:val="21"/>
              </w:rPr>
            </w:pPr>
          </w:p>
        </w:tc>
        <w:tc>
          <w:tcPr>
            <w:tcW w:w="0" w:type="auto"/>
            <w:noWrap w:val="0"/>
            <w:vAlign w:val="center"/>
          </w:tcPr>
          <w:p w14:paraId="210433C9">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70FBDAC6">
            <w:pPr>
              <w:spacing w:before="100" w:beforeAutospacing="1" w:after="100" w:afterAutospacing="1" w:line="240" w:lineRule="atLeast"/>
              <w:jc w:val="center"/>
              <w:rPr>
                <w:rFonts w:eastAsia="楷体_GB2312"/>
                <w:kern w:val="0"/>
                <w:szCs w:val="21"/>
              </w:rPr>
            </w:pPr>
            <w:r>
              <w:rPr>
                <w:rFonts w:eastAsia="楷体_GB2312"/>
                <w:kern w:val="0"/>
                <w:szCs w:val="21"/>
              </w:rPr>
              <w:t>9</w:t>
            </w:r>
          </w:p>
        </w:tc>
      </w:tr>
      <w:tr w14:paraId="5051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79430FF7">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0229D8E4">
            <w:pPr>
              <w:spacing w:before="100" w:beforeAutospacing="1" w:after="100" w:afterAutospacing="1" w:line="240" w:lineRule="atLeast"/>
              <w:jc w:val="center"/>
              <w:rPr>
                <w:rFonts w:eastAsia="楷体_GB2312"/>
                <w:kern w:val="0"/>
                <w:szCs w:val="21"/>
              </w:rPr>
            </w:pPr>
          </w:p>
        </w:tc>
        <w:tc>
          <w:tcPr>
            <w:tcW w:w="0" w:type="auto"/>
            <w:noWrap w:val="0"/>
            <w:vAlign w:val="center"/>
          </w:tcPr>
          <w:p w14:paraId="736296D7">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10B829F6">
            <w:pPr>
              <w:spacing w:before="100" w:beforeAutospacing="1" w:after="100" w:afterAutospacing="1" w:line="240" w:lineRule="atLeast"/>
              <w:jc w:val="center"/>
              <w:rPr>
                <w:rFonts w:eastAsia="楷体_GB2312"/>
                <w:kern w:val="0"/>
                <w:szCs w:val="21"/>
              </w:rPr>
            </w:pPr>
            <w:r>
              <w:rPr>
                <w:rFonts w:eastAsia="楷体_GB2312"/>
                <w:kern w:val="0"/>
                <w:szCs w:val="21"/>
              </w:rPr>
              <w:t>6</w:t>
            </w:r>
          </w:p>
        </w:tc>
      </w:tr>
      <w:tr w14:paraId="39FDD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restart"/>
            <w:noWrap w:val="0"/>
            <w:vAlign w:val="center"/>
          </w:tcPr>
          <w:p w14:paraId="49B94B26">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2987" w:type="dxa"/>
            <w:vMerge w:val="restart"/>
            <w:noWrap w:val="0"/>
            <w:vAlign w:val="center"/>
          </w:tcPr>
          <w:p w14:paraId="4FF85014">
            <w:pPr>
              <w:spacing w:before="100" w:beforeAutospacing="1" w:after="100" w:afterAutospacing="1" w:line="240" w:lineRule="atLeast"/>
              <w:jc w:val="center"/>
              <w:rPr>
                <w:rFonts w:eastAsia="楷体_GB2312"/>
                <w:kern w:val="0"/>
                <w:szCs w:val="21"/>
              </w:rPr>
            </w:pPr>
            <w:r>
              <w:rPr>
                <w:rFonts w:eastAsia="楷体_GB2312"/>
                <w:kern w:val="0"/>
                <w:szCs w:val="21"/>
              </w:rPr>
              <w:t>蕲县镇</w:t>
            </w:r>
          </w:p>
        </w:tc>
        <w:tc>
          <w:tcPr>
            <w:tcW w:w="0" w:type="auto"/>
            <w:noWrap w:val="0"/>
            <w:vAlign w:val="center"/>
          </w:tcPr>
          <w:p w14:paraId="25AF1028">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3C2D7BDC">
            <w:pPr>
              <w:spacing w:before="100" w:beforeAutospacing="1" w:after="100" w:afterAutospacing="1" w:line="240" w:lineRule="atLeast"/>
              <w:jc w:val="center"/>
              <w:rPr>
                <w:rFonts w:eastAsia="楷体_GB2312"/>
                <w:kern w:val="0"/>
                <w:szCs w:val="21"/>
              </w:rPr>
            </w:pPr>
            <w:r>
              <w:rPr>
                <w:rFonts w:eastAsia="楷体_GB2312"/>
                <w:kern w:val="0"/>
                <w:szCs w:val="21"/>
              </w:rPr>
              <w:t>18</w:t>
            </w:r>
          </w:p>
        </w:tc>
      </w:tr>
      <w:tr w14:paraId="66FE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193E7BE7">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160655AA">
            <w:pPr>
              <w:spacing w:before="100" w:beforeAutospacing="1" w:after="100" w:afterAutospacing="1" w:line="240" w:lineRule="atLeast"/>
              <w:jc w:val="center"/>
              <w:rPr>
                <w:rFonts w:eastAsia="楷体_GB2312"/>
                <w:kern w:val="0"/>
                <w:szCs w:val="21"/>
              </w:rPr>
            </w:pPr>
          </w:p>
        </w:tc>
        <w:tc>
          <w:tcPr>
            <w:tcW w:w="0" w:type="auto"/>
            <w:noWrap w:val="0"/>
            <w:vAlign w:val="center"/>
          </w:tcPr>
          <w:p w14:paraId="407BAAD8">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60B21D94">
            <w:pPr>
              <w:spacing w:before="100" w:beforeAutospacing="1" w:after="100" w:afterAutospacing="1" w:line="240" w:lineRule="atLeast"/>
              <w:jc w:val="center"/>
              <w:rPr>
                <w:rFonts w:eastAsia="楷体_GB2312"/>
                <w:kern w:val="0"/>
                <w:szCs w:val="21"/>
              </w:rPr>
            </w:pPr>
            <w:r>
              <w:rPr>
                <w:rFonts w:eastAsia="楷体_GB2312"/>
                <w:kern w:val="0"/>
                <w:szCs w:val="21"/>
              </w:rPr>
              <w:t>8</w:t>
            </w:r>
          </w:p>
        </w:tc>
      </w:tr>
      <w:tr w14:paraId="4649E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7C45164B">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12A77150">
            <w:pPr>
              <w:spacing w:before="100" w:beforeAutospacing="1" w:after="100" w:afterAutospacing="1" w:line="240" w:lineRule="atLeast"/>
              <w:jc w:val="center"/>
              <w:rPr>
                <w:rFonts w:eastAsia="楷体_GB2312"/>
                <w:kern w:val="0"/>
                <w:szCs w:val="21"/>
              </w:rPr>
            </w:pPr>
          </w:p>
        </w:tc>
        <w:tc>
          <w:tcPr>
            <w:tcW w:w="0" w:type="auto"/>
            <w:noWrap w:val="0"/>
            <w:vAlign w:val="center"/>
          </w:tcPr>
          <w:p w14:paraId="7A1F7CCB">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5B62D267">
            <w:pPr>
              <w:spacing w:before="100" w:beforeAutospacing="1" w:after="100" w:afterAutospacing="1" w:line="240" w:lineRule="atLeast"/>
              <w:jc w:val="center"/>
              <w:rPr>
                <w:rFonts w:eastAsia="楷体_GB2312"/>
                <w:kern w:val="0"/>
                <w:szCs w:val="21"/>
              </w:rPr>
            </w:pPr>
            <w:r>
              <w:rPr>
                <w:rFonts w:eastAsia="楷体_GB2312"/>
                <w:kern w:val="0"/>
                <w:szCs w:val="21"/>
              </w:rPr>
              <w:t>4</w:t>
            </w:r>
          </w:p>
        </w:tc>
      </w:tr>
      <w:tr w14:paraId="6169F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restart"/>
            <w:noWrap w:val="0"/>
            <w:vAlign w:val="center"/>
          </w:tcPr>
          <w:p w14:paraId="6AD0C4A2">
            <w:pPr>
              <w:spacing w:before="100" w:beforeAutospacing="1" w:after="100" w:afterAutospacing="1" w:line="240" w:lineRule="atLeast"/>
              <w:jc w:val="center"/>
              <w:rPr>
                <w:rFonts w:eastAsia="楷体_GB2312"/>
                <w:kern w:val="0"/>
                <w:szCs w:val="21"/>
              </w:rPr>
            </w:pPr>
            <w:r>
              <w:rPr>
                <w:rFonts w:eastAsia="楷体_GB2312"/>
                <w:kern w:val="0"/>
                <w:szCs w:val="21"/>
              </w:rPr>
              <w:t>4</w:t>
            </w:r>
          </w:p>
        </w:tc>
        <w:tc>
          <w:tcPr>
            <w:tcW w:w="2987" w:type="dxa"/>
            <w:vMerge w:val="restart"/>
            <w:noWrap w:val="0"/>
            <w:vAlign w:val="center"/>
          </w:tcPr>
          <w:p w14:paraId="7986C63F">
            <w:pPr>
              <w:spacing w:before="100" w:beforeAutospacing="1" w:after="100" w:afterAutospacing="1" w:line="240" w:lineRule="atLeast"/>
              <w:jc w:val="center"/>
              <w:rPr>
                <w:rFonts w:eastAsia="楷体_GB2312"/>
                <w:kern w:val="0"/>
                <w:szCs w:val="21"/>
              </w:rPr>
            </w:pPr>
            <w:r>
              <w:rPr>
                <w:rFonts w:eastAsia="楷体_GB2312"/>
                <w:kern w:val="0"/>
                <w:szCs w:val="21"/>
              </w:rPr>
              <w:t>芦岭镇</w:t>
            </w:r>
          </w:p>
        </w:tc>
        <w:tc>
          <w:tcPr>
            <w:tcW w:w="0" w:type="auto"/>
            <w:noWrap w:val="0"/>
            <w:vAlign w:val="center"/>
          </w:tcPr>
          <w:p w14:paraId="0AF786D1">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483F66D3">
            <w:pPr>
              <w:spacing w:before="100" w:beforeAutospacing="1" w:after="100" w:afterAutospacing="1" w:line="240" w:lineRule="atLeast"/>
              <w:jc w:val="center"/>
              <w:rPr>
                <w:rFonts w:eastAsia="楷体_GB2312"/>
                <w:kern w:val="0"/>
                <w:szCs w:val="21"/>
              </w:rPr>
            </w:pPr>
            <w:r>
              <w:rPr>
                <w:rFonts w:eastAsia="楷体_GB2312"/>
                <w:kern w:val="0"/>
                <w:szCs w:val="21"/>
              </w:rPr>
              <w:t>20</w:t>
            </w:r>
          </w:p>
        </w:tc>
      </w:tr>
      <w:tr w14:paraId="2351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36B703E0">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5A61D170">
            <w:pPr>
              <w:spacing w:before="100" w:beforeAutospacing="1" w:after="100" w:afterAutospacing="1" w:line="240" w:lineRule="atLeast"/>
              <w:jc w:val="center"/>
              <w:rPr>
                <w:rFonts w:eastAsia="楷体_GB2312"/>
                <w:kern w:val="0"/>
                <w:szCs w:val="21"/>
              </w:rPr>
            </w:pPr>
          </w:p>
        </w:tc>
        <w:tc>
          <w:tcPr>
            <w:tcW w:w="0" w:type="auto"/>
            <w:noWrap w:val="0"/>
            <w:vAlign w:val="center"/>
          </w:tcPr>
          <w:p w14:paraId="580B2BD2">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0AAAB8F7">
            <w:pPr>
              <w:spacing w:before="100" w:beforeAutospacing="1" w:after="100" w:afterAutospacing="1" w:line="240" w:lineRule="atLeast"/>
              <w:jc w:val="center"/>
              <w:rPr>
                <w:rFonts w:eastAsia="楷体_GB2312"/>
                <w:kern w:val="0"/>
                <w:szCs w:val="21"/>
              </w:rPr>
            </w:pPr>
            <w:r>
              <w:rPr>
                <w:rFonts w:eastAsia="楷体_GB2312"/>
                <w:kern w:val="0"/>
                <w:szCs w:val="21"/>
              </w:rPr>
              <w:t>8</w:t>
            </w:r>
          </w:p>
        </w:tc>
      </w:tr>
      <w:tr w14:paraId="2D5B6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3DEAED0D">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4310BF37">
            <w:pPr>
              <w:spacing w:before="100" w:beforeAutospacing="1" w:after="100" w:afterAutospacing="1" w:line="240" w:lineRule="atLeast"/>
              <w:jc w:val="center"/>
              <w:rPr>
                <w:rFonts w:eastAsia="楷体_GB2312"/>
                <w:kern w:val="0"/>
                <w:szCs w:val="21"/>
              </w:rPr>
            </w:pPr>
          </w:p>
        </w:tc>
        <w:tc>
          <w:tcPr>
            <w:tcW w:w="0" w:type="auto"/>
            <w:noWrap w:val="0"/>
            <w:vAlign w:val="center"/>
          </w:tcPr>
          <w:p w14:paraId="182BE473">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4ABD289D">
            <w:pPr>
              <w:spacing w:before="100" w:beforeAutospacing="1" w:after="100" w:afterAutospacing="1" w:line="240" w:lineRule="atLeast"/>
              <w:jc w:val="center"/>
              <w:rPr>
                <w:rFonts w:eastAsia="楷体_GB2312"/>
                <w:kern w:val="0"/>
                <w:szCs w:val="21"/>
              </w:rPr>
            </w:pPr>
            <w:r>
              <w:rPr>
                <w:rFonts w:eastAsia="楷体_GB2312"/>
                <w:kern w:val="0"/>
                <w:szCs w:val="21"/>
              </w:rPr>
              <w:t>2</w:t>
            </w:r>
          </w:p>
        </w:tc>
      </w:tr>
      <w:tr w14:paraId="3142F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restart"/>
            <w:noWrap w:val="0"/>
            <w:vAlign w:val="center"/>
          </w:tcPr>
          <w:p w14:paraId="412BF37A">
            <w:pPr>
              <w:spacing w:before="100" w:beforeAutospacing="1" w:after="100" w:afterAutospacing="1" w:line="240" w:lineRule="atLeast"/>
              <w:jc w:val="center"/>
              <w:rPr>
                <w:rFonts w:eastAsia="楷体_GB2312"/>
                <w:kern w:val="0"/>
                <w:szCs w:val="21"/>
              </w:rPr>
            </w:pPr>
            <w:r>
              <w:rPr>
                <w:rFonts w:eastAsia="楷体_GB2312"/>
                <w:kern w:val="0"/>
                <w:szCs w:val="21"/>
              </w:rPr>
              <w:t>5</w:t>
            </w:r>
          </w:p>
        </w:tc>
        <w:tc>
          <w:tcPr>
            <w:tcW w:w="2987" w:type="dxa"/>
            <w:vMerge w:val="restart"/>
            <w:noWrap w:val="0"/>
            <w:vAlign w:val="center"/>
          </w:tcPr>
          <w:p w14:paraId="14026AFB">
            <w:pPr>
              <w:spacing w:before="100" w:beforeAutospacing="1" w:after="100" w:afterAutospacing="1" w:line="240" w:lineRule="atLeast"/>
              <w:jc w:val="center"/>
              <w:rPr>
                <w:rFonts w:eastAsia="楷体_GB2312"/>
                <w:kern w:val="0"/>
                <w:szCs w:val="21"/>
              </w:rPr>
            </w:pPr>
            <w:r>
              <w:rPr>
                <w:rFonts w:eastAsia="楷体_GB2312"/>
                <w:kern w:val="0"/>
                <w:szCs w:val="21"/>
              </w:rPr>
              <w:t>大店镇</w:t>
            </w:r>
          </w:p>
        </w:tc>
        <w:tc>
          <w:tcPr>
            <w:tcW w:w="0" w:type="auto"/>
            <w:noWrap w:val="0"/>
            <w:vAlign w:val="center"/>
          </w:tcPr>
          <w:p w14:paraId="6E1CC5C6">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3C38D780">
            <w:pPr>
              <w:spacing w:before="100" w:beforeAutospacing="1" w:after="100" w:afterAutospacing="1" w:line="240" w:lineRule="atLeast"/>
              <w:jc w:val="center"/>
              <w:rPr>
                <w:rFonts w:eastAsia="楷体_GB2312"/>
                <w:kern w:val="0"/>
                <w:szCs w:val="21"/>
              </w:rPr>
            </w:pPr>
            <w:r>
              <w:rPr>
                <w:rFonts w:eastAsia="楷体_GB2312"/>
                <w:kern w:val="0"/>
                <w:szCs w:val="21"/>
              </w:rPr>
              <w:t>16</w:t>
            </w:r>
          </w:p>
        </w:tc>
      </w:tr>
      <w:tr w14:paraId="7FD49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1BC14785">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3F796A16">
            <w:pPr>
              <w:spacing w:before="100" w:beforeAutospacing="1" w:after="100" w:afterAutospacing="1" w:line="240" w:lineRule="atLeast"/>
              <w:jc w:val="center"/>
              <w:rPr>
                <w:rFonts w:eastAsia="楷体_GB2312"/>
                <w:kern w:val="0"/>
                <w:szCs w:val="21"/>
              </w:rPr>
            </w:pPr>
          </w:p>
        </w:tc>
        <w:tc>
          <w:tcPr>
            <w:tcW w:w="0" w:type="auto"/>
            <w:noWrap w:val="0"/>
            <w:vAlign w:val="center"/>
          </w:tcPr>
          <w:p w14:paraId="194AEC61">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44DEEB2C">
            <w:pPr>
              <w:spacing w:before="100" w:beforeAutospacing="1" w:after="100" w:afterAutospacing="1" w:line="240" w:lineRule="atLeast"/>
              <w:jc w:val="center"/>
              <w:rPr>
                <w:rFonts w:eastAsia="楷体_GB2312"/>
                <w:kern w:val="0"/>
                <w:szCs w:val="21"/>
              </w:rPr>
            </w:pPr>
            <w:r>
              <w:rPr>
                <w:rFonts w:eastAsia="楷体_GB2312"/>
                <w:kern w:val="0"/>
                <w:szCs w:val="21"/>
              </w:rPr>
              <w:t>8</w:t>
            </w:r>
          </w:p>
        </w:tc>
      </w:tr>
      <w:tr w14:paraId="2EAEF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27A79AE1">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19A54FF8">
            <w:pPr>
              <w:spacing w:before="100" w:beforeAutospacing="1" w:after="100" w:afterAutospacing="1" w:line="240" w:lineRule="atLeast"/>
              <w:jc w:val="center"/>
              <w:rPr>
                <w:rFonts w:eastAsia="楷体_GB2312"/>
                <w:kern w:val="0"/>
                <w:szCs w:val="21"/>
              </w:rPr>
            </w:pPr>
          </w:p>
        </w:tc>
        <w:tc>
          <w:tcPr>
            <w:tcW w:w="0" w:type="auto"/>
            <w:noWrap w:val="0"/>
            <w:vAlign w:val="center"/>
          </w:tcPr>
          <w:p w14:paraId="57DD7E00">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72EB1BA3">
            <w:pPr>
              <w:spacing w:before="100" w:beforeAutospacing="1" w:after="100" w:afterAutospacing="1" w:line="240" w:lineRule="atLeast"/>
              <w:jc w:val="center"/>
              <w:rPr>
                <w:rFonts w:eastAsia="楷体_GB2312"/>
                <w:kern w:val="0"/>
                <w:szCs w:val="21"/>
              </w:rPr>
            </w:pPr>
            <w:r>
              <w:rPr>
                <w:rFonts w:eastAsia="楷体_GB2312"/>
                <w:kern w:val="0"/>
                <w:szCs w:val="21"/>
              </w:rPr>
              <w:t>6</w:t>
            </w:r>
          </w:p>
        </w:tc>
      </w:tr>
      <w:tr w14:paraId="273EC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restart"/>
            <w:noWrap w:val="0"/>
            <w:vAlign w:val="center"/>
          </w:tcPr>
          <w:p w14:paraId="19EF4F9A">
            <w:pPr>
              <w:spacing w:before="100" w:beforeAutospacing="1" w:after="100" w:afterAutospacing="1" w:line="240" w:lineRule="atLeast"/>
              <w:jc w:val="center"/>
              <w:rPr>
                <w:rFonts w:eastAsia="楷体_GB2312"/>
                <w:kern w:val="0"/>
                <w:szCs w:val="21"/>
              </w:rPr>
            </w:pPr>
            <w:r>
              <w:rPr>
                <w:rFonts w:eastAsia="楷体_GB2312"/>
                <w:kern w:val="0"/>
                <w:szCs w:val="21"/>
              </w:rPr>
              <w:t>6</w:t>
            </w:r>
          </w:p>
        </w:tc>
        <w:tc>
          <w:tcPr>
            <w:tcW w:w="2987" w:type="dxa"/>
            <w:vMerge w:val="restart"/>
            <w:noWrap w:val="0"/>
            <w:vAlign w:val="center"/>
          </w:tcPr>
          <w:p w14:paraId="3CC26F13">
            <w:pPr>
              <w:spacing w:before="100" w:beforeAutospacing="1" w:after="100" w:afterAutospacing="1" w:line="240" w:lineRule="atLeast"/>
              <w:jc w:val="center"/>
              <w:rPr>
                <w:rFonts w:eastAsia="楷体_GB2312"/>
                <w:kern w:val="0"/>
                <w:szCs w:val="21"/>
              </w:rPr>
            </w:pPr>
            <w:r>
              <w:rPr>
                <w:rFonts w:eastAsia="楷体_GB2312"/>
                <w:kern w:val="0"/>
                <w:szCs w:val="21"/>
              </w:rPr>
              <w:t>栏杆镇</w:t>
            </w:r>
          </w:p>
        </w:tc>
        <w:tc>
          <w:tcPr>
            <w:tcW w:w="0" w:type="auto"/>
            <w:noWrap w:val="0"/>
            <w:vAlign w:val="center"/>
          </w:tcPr>
          <w:p w14:paraId="13DA48D1">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0B3C250F">
            <w:pPr>
              <w:spacing w:before="100" w:beforeAutospacing="1" w:after="100" w:afterAutospacing="1" w:line="240" w:lineRule="atLeast"/>
              <w:jc w:val="center"/>
              <w:rPr>
                <w:rFonts w:eastAsia="楷体_GB2312"/>
                <w:kern w:val="0"/>
                <w:szCs w:val="21"/>
              </w:rPr>
            </w:pPr>
            <w:r>
              <w:rPr>
                <w:rFonts w:eastAsia="楷体_GB2312"/>
                <w:kern w:val="0"/>
                <w:szCs w:val="21"/>
              </w:rPr>
              <w:t>21</w:t>
            </w:r>
          </w:p>
        </w:tc>
      </w:tr>
      <w:tr w14:paraId="09B96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74844293">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33EADE76">
            <w:pPr>
              <w:spacing w:before="100" w:beforeAutospacing="1" w:after="100" w:afterAutospacing="1" w:line="240" w:lineRule="atLeast"/>
              <w:jc w:val="center"/>
              <w:rPr>
                <w:rFonts w:eastAsia="楷体_GB2312"/>
                <w:kern w:val="0"/>
                <w:szCs w:val="21"/>
              </w:rPr>
            </w:pPr>
          </w:p>
        </w:tc>
        <w:tc>
          <w:tcPr>
            <w:tcW w:w="0" w:type="auto"/>
            <w:noWrap w:val="0"/>
            <w:vAlign w:val="center"/>
          </w:tcPr>
          <w:p w14:paraId="7221BE23">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1EF6744F">
            <w:pPr>
              <w:spacing w:before="100" w:beforeAutospacing="1" w:after="100" w:afterAutospacing="1" w:line="240" w:lineRule="atLeast"/>
              <w:jc w:val="center"/>
              <w:rPr>
                <w:rFonts w:eastAsia="楷体_GB2312"/>
                <w:kern w:val="0"/>
                <w:szCs w:val="21"/>
              </w:rPr>
            </w:pPr>
            <w:r>
              <w:rPr>
                <w:rFonts w:eastAsia="楷体_GB2312"/>
                <w:kern w:val="0"/>
                <w:szCs w:val="21"/>
              </w:rPr>
              <w:t>4</w:t>
            </w:r>
          </w:p>
        </w:tc>
      </w:tr>
      <w:tr w14:paraId="46C3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71B6B93D">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2EFB7170">
            <w:pPr>
              <w:spacing w:before="100" w:beforeAutospacing="1" w:after="100" w:afterAutospacing="1" w:line="240" w:lineRule="atLeast"/>
              <w:jc w:val="center"/>
              <w:rPr>
                <w:rFonts w:eastAsia="楷体_GB2312"/>
                <w:kern w:val="0"/>
                <w:szCs w:val="21"/>
              </w:rPr>
            </w:pPr>
          </w:p>
        </w:tc>
        <w:tc>
          <w:tcPr>
            <w:tcW w:w="0" w:type="auto"/>
            <w:noWrap w:val="0"/>
            <w:vAlign w:val="center"/>
          </w:tcPr>
          <w:p w14:paraId="6B543A2D">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187A4959">
            <w:pPr>
              <w:spacing w:before="100" w:beforeAutospacing="1" w:after="100" w:afterAutospacing="1" w:line="240" w:lineRule="atLeast"/>
              <w:jc w:val="center"/>
              <w:rPr>
                <w:rFonts w:eastAsia="楷体_GB2312"/>
                <w:kern w:val="0"/>
                <w:szCs w:val="21"/>
              </w:rPr>
            </w:pPr>
            <w:r>
              <w:rPr>
                <w:rFonts w:eastAsia="楷体_GB2312"/>
                <w:kern w:val="0"/>
                <w:szCs w:val="21"/>
              </w:rPr>
              <w:t>5</w:t>
            </w:r>
          </w:p>
        </w:tc>
      </w:tr>
      <w:tr w14:paraId="19ABE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restart"/>
            <w:noWrap w:val="0"/>
            <w:vAlign w:val="center"/>
          </w:tcPr>
          <w:p w14:paraId="261C8D83">
            <w:pPr>
              <w:spacing w:before="100" w:beforeAutospacing="1" w:after="100" w:afterAutospacing="1" w:line="240" w:lineRule="atLeast"/>
              <w:jc w:val="center"/>
              <w:rPr>
                <w:rFonts w:eastAsia="楷体_GB2312"/>
                <w:kern w:val="0"/>
                <w:szCs w:val="21"/>
              </w:rPr>
            </w:pPr>
            <w:r>
              <w:rPr>
                <w:rFonts w:eastAsia="楷体_GB2312"/>
                <w:kern w:val="0"/>
                <w:szCs w:val="21"/>
              </w:rPr>
              <w:t>7</w:t>
            </w:r>
          </w:p>
        </w:tc>
        <w:tc>
          <w:tcPr>
            <w:tcW w:w="2987" w:type="dxa"/>
            <w:vMerge w:val="restart"/>
            <w:noWrap w:val="0"/>
            <w:vAlign w:val="center"/>
          </w:tcPr>
          <w:p w14:paraId="79199051">
            <w:pPr>
              <w:spacing w:before="100" w:beforeAutospacing="1" w:after="100" w:afterAutospacing="1" w:line="240" w:lineRule="atLeast"/>
              <w:jc w:val="center"/>
              <w:rPr>
                <w:rFonts w:eastAsia="楷体_GB2312"/>
                <w:kern w:val="0"/>
                <w:szCs w:val="21"/>
              </w:rPr>
            </w:pPr>
            <w:r>
              <w:rPr>
                <w:rFonts w:eastAsia="楷体_GB2312"/>
                <w:kern w:val="0"/>
                <w:szCs w:val="21"/>
              </w:rPr>
              <w:t>时村镇</w:t>
            </w:r>
          </w:p>
        </w:tc>
        <w:tc>
          <w:tcPr>
            <w:tcW w:w="0" w:type="auto"/>
            <w:noWrap w:val="0"/>
            <w:vAlign w:val="center"/>
          </w:tcPr>
          <w:p w14:paraId="7D979979">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445A1075">
            <w:pPr>
              <w:spacing w:before="100" w:beforeAutospacing="1" w:after="100" w:afterAutospacing="1" w:line="240" w:lineRule="atLeast"/>
              <w:jc w:val="center"/>
              <w:rPr>
                <w:rFonts w:eastAsia="楷体_GB2312"/>
                <w:kern w:val="0"/>
                <w:szCs w:val="21"/>
              </w:rPr>
            </w:pPr>
            <w:r>
              <w:rPr>
                <w:rFonts w:eastAsia="楷体_GB2312"/>
                <w:kern w:val="0"/>
                <w:szCs w:val="21"/>
              </w:rPr>
              <w:t>19</w:t>
            </w:r>
          </w:p>
        </w:tc>
      </w:tr>
      <w:tr w14:paraId="07213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6FCFA539">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708C8AF4">
            <w:pPr>
              <w:spacing w:before="100" w:beforeAutospacing="1" w:after="100" w:afterAutospacing="1" w:line="240" w:lineRule="atLeast"/>
              <w:jc w:val="center"/>
              <w:rPr>
                <w:rFonts w:eastAsia="楷体_GB2312"/>
                <w:kern w:val="0"/>
                <w:szCs w:val="21"/>
              </w:rPr>
            </w:pPr>
          </w:p>
        </w:tc>
        <w:tc>
          <w:tcPr>
            <w:tcW w:w="0" w:type="auto"/>
            <w:noWrap w:val="0"/>
            <w:vAlign w:val="center"/>
          </w:tcPr>
          <w:p w14:paraId="2E27B8E2">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387D1143">
            <w:pPr>
              <w:spacing w:before="100" w:beforeAutospacing="1" w:after="100" w:afterAutospacing="1" w:line="240" w:lineRule="atLeast"/>
              <w:jc w:val="center"/>
              <w:rPr>
                <w:rFonts w:eastAsia="楷体_GB2312"/>
                <w:kern w:val="0"/>
                <w:szCs w:val="21"/>
              </w:rPr>
            </w:pPr>
            <w:r>
              <w:rPr>
                <w:rFonts w:eastAsia="楷体_GB2312"/>
                <w:kern w:val="0"/>
                <w:szCs w:val="21"/>
              </w:rPr>
              <w:t>10</w:t>
            </w:r>
          </w:p>
        </w:tc>
      </w:tr>
      <w:tr w14:paraId="5061E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419B30C8">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19CE5266">
            <w:pPr>
              <w:spacing w:before="100" w:beforeAutospacing="1" w:after="100" w:afterAutospacing="1" w:line="240" w:lineRule="atLeast"/>
              <w:jc w:val="center"/>
              <w:rPr>
                <w:rFonts w:eastAsia="楷体_GB2312"/>
                <w:kern w:val="0"/>
                <w:szCs w:val="21"/>
              </w:rPr>
            </w:pPr>
          </w:p>
        </w:tc>
        <w:tc>
          <w:tcPr>
            <w:tcW w:w="0" w:type="auto"/>
            <w:noWrap w:val="0"/>
            <w:vAlign w:val="center"/>
          </w:tcPr>
          <w:p w14:paraId="14C18C8B">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5FCA3E8C">
            <w:pPr>
              <w:spacing w:before="100" w:beforeAutospacing="1" w:after="100" w:afterAutospacing="1" w:line="240" w:lineRule="atLeast"/>
              <w:jc w:val="center"/>
              <w:rPr>
                <w:rFonts w:eastAsia="楷体_GB2312"/>
                <w:kern w:val="0"/>
                <w:szCs w:val="21"/>
              </w:rPr>
            </w:pPr>
            <w:r>
              <w:rPr>
                <w:rFonts w:eastAsia="楷体_GB2312"/>
                <w:kern w:val="0"/>
                <w:szCs w:val="21"/>
              </w:rPr>
              <w:t>1</w:t>
            </w:r>
          </w:p>
        </w:tc>
      </w:tr>
      <w:tr w14:paraId="542C3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restart"/>
            <w:noWrap w:val="0"/>
            <w:vAlign w:val="center"/>
          </w:tcPr>
          <w:p w14:paraId="177E4FA0">
            <w:pPr>
              <w:spacing w:before="100" w:beforeAutospacing="1" w:after="100" w:afterAutospacing="1" w:line="240" w:lineRule="atLeast"/>
              <w:jc w:val="center"/>
              <w:rPr>
                <w:rFonts w:eastAsia="楷体_GB2312"/>
                <w:kern w:val="0"/>
                <w:szCs w:val="21"/>
              </w:rPr>
            </w:pPr>
            <w:r>
              <w:rPr>
                <w:rFonts w:eastAsia="楷体_GB2312"/>
                <w:kern w:val="0"/>
                <w:szCs w:val="21"/>
              </w:rPr>
              <w:t>8</w:t>
            </w:r>
          </w:p>
        </w:tc>
        <w:tc>
          <w:tcPr>
            <w:tcW w:w="2987" w:type="dxa"/>
            <w:vMerge w:val="restart"/>
            <w:noWrap w:val="0"/>
            <w:vAlign w:val="center"/>
          </w:tcPr>
          <w:p w14:paraId="43A5F12D">
            <w:pPr>
              <w:spacing w:before="100" w:beforeAutospacing="1" w:after="100" w:afterAutospacing="1" w:line="240" w:lineRule="atLeast"/>
              <w:jc w:val="center"/>
              <w:rPr>
                <w:rFonts w:eastAsia="楷体_GB2312"/>
                <w:kern w:val="0"/>
                <w:szCs w:val="21"/>
              </w:rPr>
            </w:pPr>
            <w:r>
              <w:rPr>
                <w:rFonts w:eastAsia="楷体_GB2312"/>
                <w:kern w:val="0"/>
                <w:szCs w:val="21"/>
              </w:rPr>
              <w:t>夹沟镇</w:t>
            </w:r>
          </w:p>
        </w:tc>
        <w:tc>
          <w:tcPr>
            <w:tcW w:w="0" w:type="auto"/>
            <w:noWrap w:val="0"/>
            <w:vAlign w:val="center"/>
          </w:tcPr>
          <w:p w14:paraId="54BEAE26">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19D2CC73">
            <w:pPr>
              <w:spacing w:before="100" w:beforeAutospacing="1" w:after="100" w:afterAutospacing="1" w:line="240" w:lineRule="atLeast"/>
              <w:jc w:val="center"/>
              <w:rPr>
                <w:rFonts w:eastAsia="楷体_GB2312"/>
                <w:kern w:val="0"/>
                <w:szCs w:val="21"/>
              </w:rPr>
            </w:pPr>
            <w:r>
              <w:rPr>
                <w:rFonts w:eastAsia="楷体_GB2312"/>
                <w:kern w:val="0"/>
                <w:szCs w:val="21"/>
              </w:rPr>
              <w:t>21</w:t>
            </w:r>
          </w:p>
        </w:tc>
      </w:tr>
      <w:tr w14:paraId="6B92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0F35724F">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75E05DDA">
            <w:pPr>
              <w:spacing w:before="100" w:beforeAutospacing="1" w:after="100" w:afterAutospacing="1" w:line="240" w:lineRule="atLeast"/>
              <w:jc w:val="center"/>
              <w:rPr>
                <w:rFonts w:eastAsia="楷体_GB2312"/>
                <w:kern w:val="0"/>
                <w:szCs w:val="21"/>
              </w:rPr>
            </w:pPr>
          </w:p>
        </w:tc>
        <w:tc>
          <w:tcPr>
            <w:tcW w:w="0" w:type="auto"/>
            <w:noWrap w:val="0"/>
            <w:vAlign w:val="center"/>
          </w:tcPr>
          <w:p w14:paraId="56A87B0E">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10E36718">
            <w:pPr>
              <w:spacing w:before="100" w:beforeAutospacing="1" w:after="100" w:afterAutospacing="1" w:line="240" w:lineRule="atLeast"/>
              <w:jc w:val="center"/>
              <w:rPr>
                <w:rFonts w:eastAsia="楷体_GB2312"/>
                <w:kern w:val="0"/>
                <w:szCs w:val="21"/>
              </w:rPr>
            </w:pPr>
            <w:r>
              <w:rPr>
                <w:rFonts w:eastAsia="楷体_GB2312"/>
                <w:kern w:val="0"/>
                <w:szCs w:val="21"/>
              </w:rPr>
              <w:t>8</w:t>
            </w:r>
          </w:p>
        </w:tc>
      </w:tr>
      <w:tr w14:paraId="77E0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21509300">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44748571">
            <w:pPr>
              <w:spacing w:before="100" w:beforeAutospacing="1" w:after="100" w:afterAutospacing="1" w:line="240" w:lineRule="atLeast"/>
              <w:jc w:val="center"/>
              <w:rPr>
                <w:rFonts w:eastAsia="楷体_GB2312"/>
                <w:kern w:val="0"/>
                <w:szCs w:val="21"/>
              </w:rPr>
            </w:pPr>
          </w:p>
        </w:tc>
        <w:tc>
          <w:tcPr>
            <w:tcW w:w="0" w:type="auto"/>
            <w:noWrap w:val="0"/>
            <w:vAlign w:val="center"/>
          </w:tcPr>
          <w:p w14:paraId="0FB7C7D3">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1C1EC7F3">
            <w:pPr>
              <w:spacing w:before="100" w:beforeAutospacing="1" w:after="100" w:afterAutospacing="1" w:line="240" w:lineRule="atLeast"/>
              <w:jc w:val="center"/>
              <w:rPr>
                <w:rFonts w:eastAsia="楷体_GB2312"/>
                <w:kern w:val="0"/>
                <w:szCs w:val="21"/>
              </w:rPr>
            </w:pPr>
            <w:r>
              <w:rPr>
                <w:rFonts w:eastAsia="楷体_GB2312"/>
                <w:kern w:val="0"/>
                <w:szCs w:val="21"/>
              </w:rPr>
              <w:t>1</w:t>
            </w:r>
          </w:p>
        </w:tc>
      </w:tr>
      <w:tr w14:paraId="6338C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restart"/>
            <w:noWrap w:val="0"/>
            <w:vAlign w:val="center"/>
          </w:tcPr>
          <w:p w14:paraId="701C5CC8">
            <w:pPr>
              <w:spacing w:before="100" w:beforeAutospacing="1" w:after="100" w:afterAutospacing="1" w:line="240" w:lineRule="atLeast"/>
              <w:jc w:val="center"/>
              <w:rPr>
                <w:rFonts w:eastAsia="楷体_GB2312"/>
                <w:kern w:val="0"/>
                <w:szCs w:val="21"/>
              </w:rPr>
            </w:pPr>
            <w:r>
              <w:rPr>
                <w:rFonts w:eastAsia="楷体_GB2312"/>
                <w:kern w:val="0"/>
                <w:szCs w:val="21"/>
              </w:rPr>
              <w:t>9</w:t>
            </w:r>
          </w:p>
        </w:tc>
        <w:tc>
          <w:tcPr>
            <w:tcW w:w="2987" w:type="dxa"/>
            <w:vMerge w:val="restart"/>
            <w:noWrap w:val="0"/>
            <w:vAlign w:val="center"/>
          </w:tcPr>
          <w:p w14:paraId="0DDA35A4">
            <w:pPr>
              <w:spacing w:before="100" w:beforeAutospacing="1" w:after="100" w:afterAutospacing="1" w:line="240" w:lineRule="atLeast"/>
              <w:jc w:val="center"/>
              <w:rPr>
                <w:rFonts w:eastAsia="楷体_GB2312"/>
                <w:kern w:val="0"/>
                <w:szCs w:val="21"/>
              </w:rPr>
            </w:pPr>
            <w:r>
              <w:rPr>
                <w:rFonts w:eastAsia="楷体_GB2312"/>
                <w:kern w:val="0"/>
                <w:szCs w:val="21"/>
              </w:rPr>
              <w:t>西二铺乡</w:t>
            </w:r>
          </w:p>
        </w:tc>
        <w:tc>
          <w:tcPr>
            <w:tcW w:w="0" w:type="auto"/>
            <w:noWrap w:val="0"/>
            <w:vAlign w:val="center"/>
          </w:tcPr>
          <w:p w14:paraId="7D1BE17B">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2F1ECB15">
            <w:pPr>
              <w:spacing w:before="100" w:beforeAutospacing="1" w:after="100" w:afterAutospacing="1" w:line="240" w:lineRule="atLeast"/>
              <w:jc w:val="center"/>
              <w:rPr>
                <w:rFonts w:eastAsia="楷体_GB2312"/>
                <w:kern w:val="0"/>
                <w:szCs w:val="21"/>
              </w:rPr>
            </w:pPr>
            <w:r>
              <w:rPr>
                <w:rFonts w:eastAsia="楷体_GB2312"/>
                <w:kern w:val="0"/>
                <w:szCs w:val="21"/>
              </w:rPr>
              <w:t>17</w:t>
            </w:r>
          </w:p>
        </w:tc>
      </w:tr>
      <w:tr w14:paraId="4D252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4F02F75F">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410BC1B3">
            <w:pPr>
              <w:spacing w:before="100" w:beforeAutospacing="1" w:after="100" w:afterAutospacing="1" w:line="240" w:lineRule="atLeast"/>
              <w:jc w:val="center"/>
              <w:rPr>
                <w:rFonts w:eastAsia="楷体_GB2312"/>
                <w:kern w:val="0"/>
                <w:szCs w:val="21"/>
              </w:rPr>
            </w:pPr>
          </w:p>
        </w:tc>
        <w:tc>
          <w:tcPr>
            <w:tcW w:w="0" w:type="auto"/>
            <w:noWrap w:val="0"/>
            <w:vAlign w:val="center"/>
          </w:tcPr>
          <w:p w14:paraId="427B38E4">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7601C7E8">
            <w:pPr>
              <w:spacing w:before="100" w:beforeAutospacing="1" w:after="100" w:afterAutospacing="1" w:line="240" w:lineRule="atLeast"/>
              <w:jc w:val="center"/>
              <w:rPr>
                <w:rFonts w:eastAsia="楷体_GB2312"/>
                <w:kern w:val="0"/>
                <w:szCs w:val="21"/>
              </w:rPr>
            </w:pPr>
            <w:r>
              <w:rPr>
                <w:rFonts w:eastAsia="楷体_GB2312"/>
                <w:kern w:val="0"/>
                <w:szCs w:val="21"/>
              </w:rPr>
              <w:t>10</w:t>
            </w:r>
          </w:p>
        </w:tc>
      </w:tr>
      <w:tr w14:paraId="22E50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21130457">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65CF2A52">
            <w:pPr>
              <w:spacing w:before="100" w:beforeAutospacing="1" w:after="100" w:afterAutospacing="1" w:line="240" w:lineRule="atLeast"/>
              <w:jc w:val="center"/>
              <w:rPr>
                <w:rFonts w:eastAsia="楷体_GB2312"/>
                <w:kern w:val="0"/>
                <w:szCs w:val="21"/>
              </w:rPr>
            </w:pPr>
          </w:p>
        </w:tc>
        <w:tc>
          <w:tcPr>
            <w:tcW w:w="0" w:type="auto"/>
            <w:noWrap w:val="0"/>
            <w:vAlign w:val="center"/>
          </w:tcPr>
          <w:p w14:paraId="584442CB">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49611411">
            <w:pPr>
              <w:spacing w:before="100" w:beforeAutospacing="1" w:after="100" w:afterAutospacing="1" w:line="240" w:lineRule="atLeast"/>
              <w:jc w:val="center"/>
              <w:rPr>
                <w:rFonts w:eastAsia="楷体_GB2312"/>
                <w:kern w:val="0"/>
                <w:szCs w:val="21"/>
              </w:rPr>
            </w:pPr>
            <w:r>
              <w:rPr>
                <w:rFonts w:eastAsia="楷体_GB2312"/>
                <w:kern w:val="0"/>
                <w:szCs w:val="21"/>
              </w:rPr>
              <w:t>3</w:t>
            </w:r>
          </w:p>
        </w:tc>
      </w:tr>
      <w:tr w14:paraId="54321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restart"/>
            <w:noWrap w:val="0"/>
            <w:vAlign w:val="center"/>
          </w:tcPr>
          <w:p w14:paraId="2AA5CED4">
            <w:pPr>
              <w:spacing w:before="100" w:beforeAutospacing="1" w:after="100" w:afterAutospacing="1" w:line="240" w:lineRule="atLeast"/>
              <w:jc w:val="center"/>
              <w:rPr>
                <w:rFonts w:eastAsia="楷体_GB2312"/>
                <w:kern w:val="0"/>
                <w:szCs w:val="21"/>
              </w:rPr>
            </w:pPr>
            <w:r>
              <w:rPr>
                <w:rFonts w:eastAsia="楷体_GB2312"/>
                <w:kern w:val="0"/>
                <w:szCs w:val="21"/>
              </w:rPr>
              <w:t>10</w:t>
            </w:r>
          </w:p>
        </w:tc>
        <w:tc>
          <w:tcPr>
            <w:tcW w:w="2987" w:type="dxa"/>
            <w:vMerge w:val="restart"/>
            <w:noWrap w:val="0"/>
            <w:vAlign w:val="center"/>
          </w:tcPr>
          <w:p w14:paraId="023458F3">
            <w:pPr>
              <w:spacing w:before="100" w:beforeAutospacing="1" w:after="100" w:afterAutospacing="1" w:line="240" w:lineRule="atLeast"/>
              <w:jc w:val="center"/>
              <w:rPr>
                <w:rFonts w:eastAsia="楷体_GB2312"/>
                <w:kern w:val="0"/>
                <w:szCs w:val="21"/>
              </w:rPr>
            </w:pPr>
            <w:r>
              <w:rPr>
                <w:rFonts w:eastAsia="楷体_GB2312"/>
                <w:kern w:val="0"/>
                <w:szCs w:val="21"/>
              </w:rPr>
              <w:t>桃园镇</w:t>
            </w:r>
          </w:p>
        </w:tc>
        <w:tc>
          <w:tcPr>
            <w:tcW w:w="0" w:type="auto"/>
            <w:noWrap w:val="0"/>
            <w:vAlign w:val="center"/>
          </w:tcPr>
          <w:p w14:paraId="38076943">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31A23492">
            <w:pPr>
              <w:spacing w:before="100" w:beforeAutospacing="1" w:after="100" w:afterAutospacing="1" w:line="240" w:lineRule="atLeast"/>
              <w:jc w:val="center"/>
              <w:rPr>
                <w:rFonts w:eastAsia="楷体_GB2312"/>
                <w:kern w:val="0"/>
                <w:szCs w:val="21"/>
              </w:rPr>
            </w:pPr>
            <w:r>
              <w:rPr>
                <w:rFonts w:eastAsia="楷体_GB2312"/>
                <w:kern w:val="0"/>
                <w:szCs w:val="21"/>
              </w:rPr>
              <w:t>12</w:t>
            </w:r>
          </w:p>
        </w:tc>
      </w:tr>
      <w:tr w14:paraId="26CC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169EE275">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167C1916">
            <w:pPr>
              <w:spacing w:before="100" w:beforeAutospacing="1" w:after="100" w:afterAutospacing="1" w:line="240" w:lineRule="atLeast"/>
              <w:jc w:val="center"/>
              <w:rPr>
                <w:rFonts w:eastAsia="楷体_GB2312"/>
                <w:kern w:val="0"/>
                <w:szCs w:val="21"/>
              </w:rPr>
            </w:pPr>
          </w:p>
        </w:tc>
        <w:tc>
          <w:tcPr>
            <w:tcW w:w="0" w:type="auto"/>
            <w:noWrap w:val="0"/>
            <w:vAlign w:val="center"/>
          </w:tcPr>
          <w:p w14:paraId="6B3EE37A">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13E18804">
            <w:pPr>
              <w:spacing w:before="100" w:beforeAutospacing="1" w:after="100" w:afterAutospacing="1" w:line="240" w:lineRule="atLeast"/>
              <w:jc w:val="center"/>
              <w:rPr>
                <w:rFonts w:eastAsia="楷体_GB2312"/>
                <w:kern w:val="0"/>
                <w:szCs w:val="21"/>
              </w:rPr>
            </w:pPr>
            <w:r>
              <w:rPr>
                <w:rFonts w:eastAsia="楷体_GB2312"/>
                <w:kern w:val="0"/>
                <w:szCs w:val="21"/>
              </w:rPr>
              <w:t>14</w:t>
            </w:r>
          </w:p>
        </w:tc>
      </w:tr>
      <w:tr w14:paraId="67D5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5AAF6E49">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54678880">
            <w:pPr>
              <w:spacing w:before="100" w:beforeAutospacing="1" w:after="100" w:afterAutospacing="1" w:line="240" w:lineRule="atLeast"/>
              <w:jc w:val="center"/>
              <w:rPr>
                <w:rFonts w:eastAsia="楷体_GB2312"/>
                <w:kern w:val="0"/>
                <w:szCs w:val="21"/>
              </w:rPr>
            </w:pPr>
          </w:p>
        </w:tc>
        <w:tc>
          <w:tcPr>
            <w:tcW w:w="0" w:type="auto"/>
            <w:noWrap w:val="0"/>
            <w:vAlign w:val="center"/>
          </w:tcPr>
          <w:p w14:paraId="5F27422C">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52817990">
            <w:pPr>
              <w:spacing w:before="100" w:beforeAutospacing="1" w:after="100" w:afterAutospacing="1" w:line="240" w:lineRule="atLeast"/>
              <w:jc w:val="center"/>
              <w:rPr>
                <w:rFonts w:eastAsia="楷体_GB2312"/>
                <w:kern w:val="0"/>
                <w:szCs w:val="21"/>
              </w:rPr>
            </w:pPr>
            <w:r>
              <w:rPr>
                <w:rFonts w:eastAsia="楷体_GB2312"/>
                <w:kern w:val="0"/>
                <w:szCs w:val="21"/>
              </w:rPr>
              <w:t>4</w:t>
            </w:r>
          </w:p>
        </w:tc>
      </w:tr>
      <w:tr w14:paraId="05362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restart"/>
            <w:noWrap w:val="0"/>
            <w:vAlign w:val="center"/>
          </w:tcPr>
          <w:p w14:paraId="0D1795DA">
            <w:pPr>
              <w:spacing w:before="100" w:beforeAutospacing="1" w:after="100" w:afterAutospacing="1" w:line="240" w:lineRule="atLeast"/>
              <w:jc w:val="center"/>
              <w:rPr>
                <w:rFonts w:eastAsia="楷体_GB2312"/>
                <w:kern w:val="0"/>
                <w:szCs w:val="21"/>
              </w:rPr>
            </w:pPr>
            <w:r>
              <w:rPr>
                <w:rFonts w:eastAsia="楷体_GB2312"/>
                <w:kern w:val="0"/>
                <w:szCs w:val="21"/>
              </w:rPr>
              <w:t>11</w:t>
            </w:r>
          </w:p>
        </w:tc>
        <w:tc>
          <w:tcPr>
            <w:tcW w:w="2987" w:type="dxa"/>
            <w:vMerge w:val="restart"/>
            <w:noWrap w:val="0"/>
            <w:vAlign w:val="center"/>
          </w:tcPr>
          <w:p w14:paraId="542499BD">
            <w:pPr>
              <w:spacing w:before="100" w:beforeAutospacing="1" w:after="100" w:afterAutospacing="1" w:line="240" w:lineRule="atLeast"/>
              <w:jc w:val="center"/>
              <w:rPr>
                <w:rFonts w:eastAsia="楷体_GB2312"/>
                <w:kern w:val="0"/>
                <w:szCs w:val="21"/>
              </w:rPr>
            </w:pPr>
            <w:r>
              <w:rPr>
                <w:rFonts w:eastAsia="楷体_GB2312"/>
                <w:kern w:val="0"/>
                <w:szCs w:val="21"/>
              </w:rPr>
              <w:t>曹村镇</w:t>
            </w:r>
          </w:p>
        </w:tc>
        <w:tc>
          <w:tcPr>
            <w:tcW w:w="0" w:type="auto"/>
            <w:noWrap w:val="0"/>
            <w:vAlign w:val="center"/>
          </w:tcPr>
          <w:p w14:paraId="45697D1B">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22964DAF">
            <w:pPr>
              <w:spacing w:before="100" w:beforeAutospacing="1" w:after="100" w:afterAutospacing="1" w:line="240" w:lineRule="atLeast"/>
              <w:jc w:val="center"/>
              <w:rPr>
                <w:rFonts w:eastAsia="楷体_GB2312"/>
                <w:kern w:val="0"/>
                <w:szCs w:val="21"/>
              </w:rPr>
            </w:pPr>
            <w:r>
              <w:rPr>
                <w:rFonts w:eastAsia="楷体_GB2312"/>
                <w:kern w:val="0"/>
                <w:szCs w:val="21"/>
              </w:rPr>
              <w:t>10</w:t>
            </w:r>
          </w:p>
        </w:tc>
      </w:tr>
      <w:tr w14:paraId="7BCD4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54FAA0ED">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0E61B4BB">
            <w:pPr>
              <w:spacing w:before="100" w:beforeAutospacing="1" w:after="100" w:afterAutospacing="1" w:line="240" w:lineRule="atLeast"/>
              <w:jc w:val="center"/>
              <w:rPr>
                <w:rFonts w:eastAsia="楷体_GB2312"/>
                <w:kern w:val="0"/>
                <w:szCs w:val="21"/>
              </w:rPr>
            </w:pPr>
          </w:p>
        </w:tc>
        <w:tc>
          <w:tcPr>
            <w:tcW w:w="0" w:type="auto"/>
            <w:noWrap w:val="0"/>
            <w:vAlign w:val="center"/>
          </w:tcPr>
          <w:p w14:paraId="46E686F7">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08E31474">
            <w:pPr>
              <w:spacing w:before="100" w:beforeAutospacing="1" w:after="100" w:afterAutospacing="1" w:line="240" w:lineRule="atLeast"/>
              <w:jc w:val="center"/>
              <w:rPr>
                <w:rFonts w:eastAsia="楷体_GB2312"/>
                <w:kern w:val="0"/>
                <w:szCs w:val="21"/>
              </w:rPr>
            </w:pPr>
            <w:r>
              <w:rPr>
                <w:rFonts w:eastAsia="楷体_GB2312"/>
                <w:kern w:val="0"/>
                <w:szCs w:val="21"/>
              </w:rPr>
              <w:t>10</w:t>
            </w:r>
          </w:p>
        </w:tc>
      </w:tr>
      <w:tr w14:paraId="140F5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2FCF2406">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6CD19E77">
            <w:pPr>
              <w:spacing w:before="100" w:beforeAutospacing="1" w:after="100" w:afterAutospacing="1" w:line="240" w:lineRule="atLeast"/>
              <w:jc w:val="center"/>
              <w:rPr>
                <w:rFonts w:eastAsia="楷体_GB2312"/>
                <w:kern w:val="0"/>
                <w:szCs w:val="21"/>
              </w:rPr>
            </w:pPr>
          </w:p>
        </w:tc>
        <w:tc>
          <w:tcPr>
            <w:tcW w:w="0" w:type="auto"/>
            <w:noWrap w:val="0"/>
            <w:vAlign w:val="center"/>
          </w:tcPr>
          <w:p w14:paraId="50BF3FDB">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3AF540C2">
            <w:pPr>
              <w:spacing w:before="100" w:beforeAutospacing="1" w:after="100" w:afterAutospacing="1" w:line="240" w:lineRule="atLeast"/>
              <w:jc w:val="center"/>
              <w:rPr>
                <w:rFonts w:eastAsia="楷体_GB2312"/>
                <w:kern w:val="0"/>
                <w:szCs w:val="21"/>
              </w:rPr>
            </w:pPr>
            <w:r>
              <w:rPr>
                <w:rFonts w:eastAsia="楷体_GB2312"/>
                <w:kern w:val="0"/>
                <w:szCs w:val="21"/>
              </w:rPr>
              <w:t>10</w:t>
            </w:r>
          </w:p>
        </w:tc>
      </w:tr>
      <w:tr w14:paraId="72A38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restart"/>
            <w:noWrap w:val="0"/>
            <w:vAlign w:val="center"/>
          </w:tcPr>
          <w:p w14:paraId="5E12FF0A">
            <w:pPr>
              <w:spacing w:before="100" w:beforeAutospacing="1" w:after="100" w:afterAutospacing="1" w:line="240" w:lineRule="atLeast"/>
              <w:jc w:val="center"/>
              <w:rPr>
                <w:rFonts w:eastAsia="楷体_GB2312"/>
                <w:kern w:val="0"/>
                <w:szCs w:val="21"/>
              </w:rPr>
            </w:pPr>
            <w:r>
              <w:rPr>
                <w:rFonts w:eastAsia="楷体_GB2312"/>
                <w:kern w:val="0"/>
                <w:szCs w:val="21"/>
              </w:rPr>
              <w:t>12</w:t>
            </w:r>
          </w:p>
        </w:tc>
        <w:tc>
          <w:tcPr>
            <w:tcW w:w="2987" w:type="dxa"/>
            <w:vMerge w:val="restart"/>
            <w:noWrap w:val="0"/>
            <w:vAlign w:val="center"/>
          </w:tcPr>
          <w:p w14:paraId="220934ED">
            <w:pPr>
              <w:spacing w:before="100" w:beforeAutospacing="1" w:after="100" w:afterAutospacing="1" w:line="240" w:lineRule="atLeast"/>
              <w:jc w:val="center"/>
              <w:rPr>
                <w:rFonts w:eastAsia="楷体_GB2312"/>
                <w:kern w:val="0"/>
                <w:szCs w:val="21"/>
              </w:rPr>
            </w:pPr>
            <w:r>
              <w:rPr>
                <w:rFonts w:eastAsia="楷体_GB2312"/>
                <w:kern w:val="0"/>
                <w:szCs w:val="21"/>
              </w:rPr>
              <w:t>大营镇</w:t>
            </w:r>
          </w:p>
        </w:tc>
        <w:tc>
          <w:tcPr>
            <w:tcW w:w="0" w:type="auto"/>
            <w:noWrap w:val="0"/>
            <w:vAlign w:val="center"/>
          </w:tcPr>
          <w:p w14:paraId="5CCEA169">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7C78B7B1">
            <w:pPr>
              <w:spacing w:before="100" w:beforeAutospacing="1" w:after="100" w:afterAutospacing="1" w:line="240" w:lineRule="atLeast"/>
              <w:jc w:val="center"/>
              <w:rPr>
                <w:rFonts w:eastAsia="楷体_GB2312"/>
                <w:kern w:val="0"/>
                <w:szCs w:val="21"/>
              </w:rPr>
            </w:pPr>
            <w:r>
              <w:rPr>
                <w:rFonts w:eastAsia="楷体_GB2312"/>
                <w:kern w:val="0"/>
                <w:szCs w:val="21"/>
              </w:rPr>
              <w:t>15</w:t>
            </w:r>
          </w:p>
        </w:tc>
      </w:tr>
      <w:tr w14:paraId="45DA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588BE083">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4D3BCDF2">
            <w:pPr>
              <w:spacing w:before="100" w:beforeAutospacing="1" w:after="100" w:afterAutospacing="1" w:line="240" w:lineRule="atLeast"/>
              <w:jc w:val="center"/>
              <w:rPr>
                <w:rFonts w:eastAsia="楷体_GB2312"/>
                <w:kern w:val="0"/>
                <w:szCs w:val="21"/>
              </w:rPr>
            </w:pPr>
          </w:p>
        </w:tc>
        <w:tc>
          <w:tcPr>
            <w:tcW w:w="0" w:type="auto"/>
            <w:noWrap w:val="0"/>
            <w:vAlign w:val="center"/>
          </w:tcPr>
          <w:p w14:paraId="60DA50E4">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4E92A127">
            <w:pPr>
              <w:spacing w:before="100" w:beforeAutospacing="1" w:after="100" w:afterAutospacing="1" w:line="240" w:lineRule="atLeast"/>
              <w:jc w:val="center"/>
              <w:rPr>
                <w:rFonts w:eastAsia="楷体_GB2312"/>
                <w:kern w:val="0"/>
                <w:szCs w:val="21"/>
              </w:rPr>
            </w:pPr>
            <w:r>
              <w:rPr>
                <w:rFonts w:eastAsia="楷体_GB2312"/>
                <w:kern w:val="0"/>
                <w:szCs w:val="21"/>
              </w:rPr>
              <w:t>14</w:t>
            </w:r>
          </w:p>
        </w:tc>
      </w:tr>
      <w:tr w14:paraId="7F58F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756B3A5E">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62C42D2B">
            <w:pPr>
              <w:spacing w:before="100" w:beforeAutospacing="1" w:after="100" w:afterAutospacing="1" w:line="240" w:lineRule="atLeast"/>
              <w:jc w:val="center"/>
              <w:rPr>
                <w:rFonts w:eastAsia="楷体_GB2312"/>
                <w:kern w:val="0"/>
                <w:szCs w:val="21"/>
              </w:rPr>
            </w:pPr>
          </w:p>
        </w:tc>
        <w:tc>
          <w:tcPr>
            <w:tcW w:w="0" w:type="auto"/>
            <w:noWrap w:val="0"/>
            <w:vAlign w:val="center"/>
          </w:tcPr>
          <w:p w14:paraId="4D2E2E78">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69F01201">
            <w:pPr>
              <w:spacing w:before="100" w:beforeAutospacing="1" w:after="100" w:afterAutospacing="1" w:line="240" w:lineRule="atLeast"/>
              <w:jc w:val="center"/>
              <w:rPr>
                <w:rFonts w:eastAsia="楷体_GB2312"/>
                <w:kern w:val="0"/>
                <w:szCs w:val="21"/>
              </w:rPr>
            </w:pPr>
            <w:r>
              <w:rPr>
                <w:rFonts w:eastAsia="楷体_GB2312"/>
                <w:kern w:val="0"/>
                <w:szCs w:val="21"/>
              </w:rPr>
              <w:t>1</w:t>
            </w:r>
          </w:p>
        </w:tc>
      </w:tr>
      <w:tr w14:paraId="6A62D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restart"/>
            <w:noWrap w:val="0"/>
            <w:vAlign w:val="center"/>
          </w:tcPr>
          <w:p w14:paraId="79FE30BB">
            <w:pPr>
              <w:spacing w:before="100" w:beforeAutospacing="1" w:after="100" w:afterAutospacing="1" w:line="240" w:lineRule="atLeast"/>
              <w:jc w:val="center"/>
              <w:rPr>
                <w:rFonts w:eastAsia="楷体_GB2312"/>
                <w:kern w:val="0"/>
                <w:szCs w:val="21"/>
              </w:rPr>
            </w:pPr>
            <w:r>
              <w:rPr>
                <w:rFonts w:eastAsia="楷体_GB2312"/>
                <w:kern w:val="0"/>
                <w:szCs w:val="21"/>
              </w:rPr>
              <w:t>13</w:t>
            </w:r>
          </w:p>
        </w:tc>
        <w:tc>
          <w:tcPr>
            <w:tcW w:w="2987" w:type="dxa"/>
            <w:vMerge w:val="restart"/>
            <w:noWrap w:val="0"/>
            <w:vAlign w:val="center"/>
          </w:tcPr>
          <w:p w14:paraId="6CA0B706">
            <w:pPr>
              <w:spacing w:before="100" w:beforeAutospacing="1" w:after="100" w:afterAutospacing="1" w:line="240" w:lineRule="atLeast"/>
              <w:jc w:val="center"/>
              <w:rPr>
                <w:rFonts w:eastAsia="楷体_GB2312"/>
                <w:kern w:val="0"/>
                <w:szCs w:val="21"/>
              </w:rPr>
            </w:pPr>
            <w:r>
              <w:rPr>
                <w:rFonts w:eastAsia="楷体_GB2312"/>
                <w:kern w:val="0"/>
                <w:szCs w:val="21"/>
              </w:rPr>
              <w:t>褚兰镇</w:t>
            </w:r>
          </w:p>
        </w:tc>
        <w:tc>
          <w:tcPr>
            <w:tcW w:w="0" w:type="auto"/>
            <w:noWrap w:val="0"/>
            <w:vAlign w:val="center"/>
          </w:tcPr>
          <w:p w14:paraId="42419194">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7F0B4C97">
            <w:pPr>
              <w:spacing w:before="100" w:beforeAutospacing="1" w:after="100" w:afterAutospacing="1" w:line="240" w:lineRule="atLeast"/>
              <w:jc w:val="center"/>
              <w:rPr>
                <w:rFonts w:eastAsia="楷体_GB2312"/>
                <w:kern w:val="0"/>
                <w:szCs w:val="21"/>
              </w:rPr>
            </w:pPr>
            <w:r>
              <w:rPr>
                <w:rFonts w:eastAsia="楷体_GB2312"/>
                <w:kern w:val="0"/>
                <w:szCs w:val="21"/>
              </w:rPr>
              <w:t>16</w:t>
            </w:r>
          </w:p>
        </w:tc>
      </w:tr>
      <w:tr w14:paraId="56C73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5D00078A">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78616014">
            <w:pPr>
              <w:spacing w:before="100" w:beforeAutospacing="1" w:after="100" w:afterAutospacing="1" w:line="240" w:lineRule="atLeast"/>
              <w:jc w:val="center"/>
              <w:rPr>
                <w:rFonts w:eastAsia="楷体_GB2312"/>
                <w:kern w:val="0"/>
                <w:szCs w:val="21"/>
              </w:rPr>
            </w:pPr>
          </w:p>
        </w:tc>
        <w:tc>
          <w:tcPr>
            <w:tcW w:w="0" w:type="auto"/>
            <w:noWrap w:val="0"/>
            <w:vAlign w:val="center"/>
          </w:tcPr>
          <w:p w14:paraId="56B552B2">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092C6039">
            <w:pPr>
              <w:spacing w:before="100" w:beforeAutospacing="1" w:after="100" w:afterAutospacing="1" w:line="240" w:lineRule="atLeast"/>
              <w:jc w:val="center"/>
              <w:rPr>
                <w:rFonts w:eastAsia="楷体_GB2312"/>
                <w:kern w:val="0"/>
                <w:szCs w:val="21"/>
              </w:rPr>
            </w:pPr>
            <w:r>
              <w:rPr>
                <w:rFonts w:eastAsia="楷体_GB2312"/>
                <w:kern w:val="0"/>
                <w:szCs w:val="21"/>
              </w:rPr>
              <w:t>10</w:t>
            </w:r>
          </w:p>
        </w:tc>
      </w:tr>
      <w:tr w14:paraId="69E75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199D1FDD">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5C451898">
            <w:pPr>
              <w:spacing w:before="100" w:beforeAutospacing="1" w:after="100" w:afterAutospacing="1" w:line="240" w:lineRule="atLeast"/>
              <w:jc w:val="center"/>
              <w:rPr>
                <w:rFonts w:eastAsia="楷体_GB2312"/>
                <w:kern w:val="0"/>
                <w:szCs w:val="21"/>
              </w:rPr>
            </w:pPr>
          </w:p>
        </w:tc>
        <w:tc>
          <w:tcPr>
            <w:tcW w:w="0" w:type="auto"/>
            <w:noWrap w:val="0"/>
            <w:vAlign w:val="center"/>
          </w:tcPr>
          <w:p w14:paraId="344E9E62">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03F293D6">
            <w:pPr>
              <w:spacing w:before="100" w:beforeAutospacing="1" w:after="100" w:afterAutospacing="1" w:line="240" w:lineRule="atLeast"/>
              <w:jc w:val="center"/>
              <w:rPr>
                <w:rFonts w:eastAsia="楷体_GB2312"/>
                <w:kern w:val="0"/>
                <w:szCs w:val="21"/>
              </w:rPr>
            </w:pPr>
            <w:r>
              <w:rPr>
                <w:rFonts w:eastAsia="楷体_GB2312"/>
                <w:kern w:val="0"/>
                <w:szCs w:val="21"/>
              </w:rPr>
              <w:t>4</w:t>
            </w:r>
          </w:p>
        </w:tc>
      </w:tr>
      <w:tr w14:paraId="40A41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restart"/>
            <w:noWrap w:val="0"/>
            <w:vAlign w:val="center"/>
          </w:tcPr>
          <w:p w14:paraId="33DFC266">
            <w:pPr>
              <w:spacing w:before="100" w:beforeAutospacing="1" w:after="100" w:afterAutospacing="1" w:line="240" w:lineRule="atLeast"/>
              <w:jc w:val="center"/>
              <w:rPr>
                <w:rFonts w:eastAsia="楷体_GB2312"/>
                <w:kern w:val="0"/>
                <w:szCs w:val="21"/>
              </w:rPr>
            </w:pPr>
            <w:r>
              <w:rPr>
                <w:rFonts w:eastAsia="楷体_GB2312"/>
                <w:kern w:val="0"/>
                <w:szCs w:val="21"/>
              </w:rPr>
              <w:t>14</w:t>
            </w:r>
          </w:p>
        </w:tc>
        <w:tc>
          <w:tcPr>
            <w:tcW w:w="2987" w:type="dxa"/>
            <w:vMerge w:val="restart"/>
            <w:noWrap w:val="0"/>
            <w:vAlign w:val="center"/>
          </w:tcPr>
          <w:p w14:paraId="0D64D856">
            <w:pPr>
              <w:spacing w:before="100" w:beforeAutospacing="1" w:after="100" w:afterAutospacing="1" w:line="240" w:lineRule="atLeast"/>
              <w:jc w:val="center"/>
              <w:rPr>
                <w:rFonts w:eastAsia="楷体_GB2312"/>
                <w:kern w:val="0"/>
                <w:szCs w:val="21"/>
              </w:rPr>
            </w:pPr>
            <w:r>
              <w:rPr>
                <w:rFonts w:eastAsia="楷体_GB2312"/>
                <w:kern w:val="0"/>
                <w:szCs w:val="21"/>
              </w:rPr>
              <w:t>顺河镇</w:t>
            </w:r>
          </w:p>
        </w:tc>
        <w:tc>
          <w:tcPr>
            <w:tcW w:w="0" w:type="auto"/>
            <w:noWrap w:val="0"/>
            <w:vAlign w:val="center"/>
          </w:tcPr>
          <w:p w14:paraId="493C3040">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465B443A">
            <w:pPr>
              <w:spacing w:before="100" w:beforeAutospacing="1" w:after="100" w:afterAutospacing="1" w:line="240" w:lineRule="atLeast"/>
              <w:jc w:val="center"/>
              <w:rPr>
                <w:rFonts w:eastAsia="楷体_GB2312"/>
                <w:kern w:val="0"/>
                <w:szCs w:val="21"/>
              </w:rPr>
            </w:pPr>
            <w:r>
              <w:rPr>
                <w:rFonts w:eastAsia="楷体_GB2312"/>
                <w:kern w:val="0"/>
                <w:szCs w:val="21"/>
              </w:rPr>
              <w:t>10</w:t>
            </w:r>
          </w:p>
        </w:tc>
      </w:tr>
      <w:tr w14:paraId="06BD6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79D0C146">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7CDB097C">
            <w:pPr>
              <w:spacing w:before="100" w:beforeAutospacing="1" w:after="100" w:afterAutospacing="1" w:line="240" w:lineRule="atLeast"/>
              <w:jc w:val="center"/>
              <w:rPr>
                <w:rFonts w:eastAsia="楷体_GB2312"/>
                <w:kern w:val="0"/>
                <w:szCs w:val="21"/>
              </w:rPr>
            </w:pPr>
          </w:p>
        </w:tc>
        <w:tc>
          <w:tcPr>
            <w:tcW w:w="0" w:type="auto"/>
            <w:noWrap w:val="0"/>
            <w:vAlign w:val="center"/>
          </w:tcPr>
          <w:p w14:paraId="4C0D3224">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506B4341">
            <w:pPr>
              <w:spacing w:before="100" w:beforeAutospacing="1" w:after="100" w:afterAutospacing="1" w:line="240" w:lineRule="atLeast"/>
              <w:jc w:val="center"/>
              <w:rPr>
                <w:rFonts w:eastAsia="楷体_GB2312"/>
                <w:kern w:val="0"/>
                <w:szCs w:val="21"/>
              </w:rPr>
            </w:pPr>
            <w:r>
              <w:rPr>
                <w:rFonts w:eastAsia="楷体_GB2312"/>
                <w:kern w:val="0"/>
                <w:szCs w:val="21"/>
              </w:rPr>
              <w:t>15</w:t>
            </w:r>
          </w:p>
        </w:tc>
      </w:tr>
      <w:tr w14:paraId="3E2D3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0445916C">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05EF26C0">
            <w:pPr>
              <w:spacing w:before="100" w:beforeAutospacing="1" w:after="100" w:afterAutospacing="1" w:line="240" w:lineRule="atLeast"/>
              <w:jc w:val="center"/>
              <w:rPr>
                <w:rFonts w:eastAsia="楷体_GB2312"/>
                <w:kern w:val="0"/>
                <w:szCs w:val="21"/>
              </w:rPr>
            </w:pPr>
          </w:p>
        </w:tc>
        <w:tc>
          <w:tcPr>
            <w:tcW w:w="0" w:type="auto"/>
            <w:noWrap w:val="0"/>
            <w:vAlign w:val="center"/>
          </w:tcPr>
          <w:p w14:paraId="4EA32AF5">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5FB51741">
            <w:pPr>
              <w:spacing w:before="100" w:beforeAutospacing="1" w:after="100" w:afterAutospacing="1" w:line="240" w:lineRule="atLeast"/>
              <w:jc w:val="center"/>
              <w:rPr>
                <w:rFonts w:eastAsia="楷体_GB2312"/>
                <w:kern w:val="0"/>
                <w:szCs w:val="21"/>
              </w:rPr>
            </w:pPr>
            <w:r>
              <w:rPr>
                <w:rFonts w:eastAsia="楷体_GB2312"/>
                <w:kern w:val="0"/>
                <w:szCs w:val="21"/>
              </w:rPr>
              <w:t>5</w:t>
            </w:r>
          </w:p>
        </w:tc>
      </w:tr>
      <w:tr w14:paraId="1E8D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restart"/>
            <w:noWrap w:val="0"/>
            <w:vAlign w:val="center"/>
          </w:tcPr>
          <w:p w14:paraId="47658B0D">
            <w:pPr>
              <w:spacing w:before="100" w:beforeAutospacing="1" w:after="100" w:afterAutospacing="1" w:line="240" w:lineRule="atLeast"/>
              <w:jc w:val="center"/>
              <w:rPr>
                <w:rFonts w:eastAsia="楷体_GB2312"/>
                <w:kern w:val="0"/>
                <w:szCs w:val="21"/>
              </w:rPr>
            </w:pPr>
            <w:r>
              <w:rPr>
                <w:rFonts w:eastAsia="楷体_GB2312"/>
                <w:kern w:val="0"/>
                <w:szCs w:val="21"/>
              </w:rPr>
              <w:t>15</w:t>
            </w:r>
          </w:p>
        </w:tc>
        <w:tc>
          <w:tcPr>
            <w:tcW w:w="2987" w:type="dxa"/>
            <w:vMerge w:val="restart"/>
            <w:noWrap w:val="0"/>
            <w:vAlign w:val="center"/>
          </w:tcPr>
          <w:p w14:paraId="01BC85E4">
            <w:pPr>
              <w:spacing w:before="100" w:beforeAutospacing="1" w:after="100" w:afterAutospacing="1" w:line="240" w:lineRule="atLeast"/>
              <w:jc w:val="center"/>
              <w:rPr>
                <w:rFonts w:eastAsia="楷体_GB2312"/>
                <w:kern w:val="0"/>
                <w:szCs w:val="21"/>
              </w:rPr>
            </w:pPr>
            <w:r>
              <w:rPr>
                <w:rFonts w:eastAsia="楷体_GB2312"/>
                <w:kern w:val="0"/>
                <w:szCs w:val="21"/>
              </w:rPr>
              <w:t>杨庄镇</w:t>
            </w:r>
          </w:p>
        </w:tc>
        <w:tc>
          <w:tcPr>
            <w:tcW w:w="0" w:type="auto"/>
            <w:noWrap w:val="0"/>
            <w:vAlign w:val="center"/>
          </w:tcPr>
          <w:p w14:paraId="068D5642">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06597FBA">
            <w:pPr>
              <w:spacing w:before="100" w:beforeAutospacing="1" w:after="100" w:afterAutospacing="1" w:line="240" w:lineRule="atLeast"/>
              <w:jc w:val="center"/>
              <w:rPr>
                <w:rFonts w:eastAsia="楷体_GB2312"/>
                <w:kern w:val="0"/>
                <w:szCs w:val="21"/>
              </w:rPr>
            </w:pPr>
            <w:r>
              <w:rPr>
                <w:rFonts w:eastAsia="楷体_GB2312"/>
                <w:kern w:val="0"/>
                <w:szCs w:val="21"/>
              </w:rPr>
              <w:t>20</w:t>
            </w:r>
          </w:p>
        </w:tc>
      </w:tr>
      <w:tr w14:paraId="40372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65787267">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10697D88">
            <w:pPr>
              <w:spacing w:before="100" w:beforeAutospacing="1" w:after="100" w:afterAutospacing="1" w:line="240" w:lineRule="atLeast"/>
              <w:jc w:val="center"/>
              <w:rPr>
                <w:rFonts w:eastAsia="楷体_GB2312"/>
                <w:kern w:val="0"/>
                <w:szCs w:val="21"/>
              </w:rPr>
            </w:pPr>
          </w:p>
        </w:tc>
        <w:tc>
          <w:tcPr>
            <w:tcW w:w="0" w:type="auto"/>
            <w:noWrap w:val="0"/>
            <w:vAlign w:val="center"/>
          </w:tcPr>
          <w:p w14:paraId="4C9E779D">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4A1B9604">
            <w:pPr>
              <w:spacing w:before="100" w:beforeAutospacing="1" w:after="100" w:afterAutospacing="1" w:line="240" w:lineRule="atLeast"/>
              <w:jc w:val="center"/>
              <w:rPr>
                <w:rFonts w:eastAsia="楷体_GB2312"/>
                <w:kern w:val="0"/>
                <w:szCs w:val="21"/>
              </w:rPr>
            </w:pPr>
            <w:r>
              <w:rPr>
                <w:rFonts w:eastAsia="楷体_GB2312"/>
                <w:kern w:val="0"/>
                <w:szCs w:val="21"/>
              </w:rPr>
              <w:t>9</w:t>
            </w:r>
          </w:p>
        </w:tc>
      </w:tr>
      <w:tr w14:paraId="172F7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7F69C671">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3A61E2B1">
            <w:pPr>
              <w:spacing w:before="100" w:beforeAutospacing="1" w:after="100" w:afterAutospacing="1" w:line="240" w:lineRule="atLeast"/>
              <w:jc w:val="center"/>
              <w:rPr>
                <w:rFonts w:eastAsia="楷体_GB2312"/>
                <w:kern w:val="0"/>
                <w:szCs w:val="21"/>
              </w:rPr>
            </w:pPr>
          </w:p>
        </w:tc>
        <w:tc>
          <w:tcPr>
            <w:tcW w:w="0" w:type="auto"/>
            <w:noWrap w:val="0"/>
            <w:vAlign w:val="center"/>
          </w:tcPr>
          <w:p w14:paraId="7479B35D">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20502CB2">
            <w:pPr>
              <w:spacing w:before="100" w:beforeAutospacing="1" w:after="100" w:afterAutospacing="1" w:line="240" w:lineRule="atLeast"/>
              <w:jc w:val="center"/>
              <w:rPr>
                <w:rFonts w:eastAsia="楷体_GB2312"/>
                <w:kern w:val="0"/>
                <w:szCs w:val="21"/>
              </w:rPr>
            </w:pPr>
            <w:r>
              <w:rPr>
                <w:rFonts w:eastAsia="楷体_GB2312"/>
                <w:kern w:val="0"/>
                <w:szCs w:val="21"/>
              </w:rPr>
              <w:t>1</w:t>
            </w:r>
          </w:p>
        </w:tc>
      </w:tr>
      <w:tr w14:paraId="4658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restart"/>
            <w:noWrap w:val="0"/>
            <w:vAlign w:val="center"/>
          </w:tcPr>
          <w:p w14:paraId="2A1CC3FA">
            <w:pPr>
              <w:spacing w:before="100" w:beforeAutospacing="1" w:after="100" w:afterAutospacing="1" w:line="240" w:lineRule="atLeast"/>
              <w:jc w:val="center"/>
              <w:rPr>
                <w:rFonts w:eastAsia="楷体_GB2312"/>
                <w:kern w:val="0"/>
                <w:szCs w:val="21"/>
              </w:rPr>
            </w:pPr>
            <w:r>
              <w:rPr>
                <w:rFonts w:eastAsia="楷体_GB2312"/>
                <w:kern w:val="0"/>
                <w:szCs w:val="21"/>
              </w:rPr>
              <w:t>16</w:t>
            </w:r>
          </w:p>
        </w:tc>
        <w:tc>
          <w:tcPr>
            <w:tcW w:w="2987" w:type="dxa"/>
            <w:vMerge w:val="restart"/>
            <w:noWrap w:val="0"/>
            <w:vAlign w:val="center"/>
          </w:tcPr>
          <w:p w14:paraId="30B9BA1F">
            <w:pPr>
              <w:spacing w:before="100" w:beforeAutospacing="1" w:after="100" w:afterAutospacing="1" w:line="240" w:lineRule="atLeast"/>
              <w:jc w:val="center"/>
              <w:rPr>
                <w:rFonts w:eastAsia="楷体_GB2312"/>
                <w:kern w:val="0"/>
                <w:szCs w:val="21"/>
              </w:rPr>
            </w:pPr>
            <w:r>
              <w:rPr>
                <w:rFonts w:eastAsia="楷体_GB2312"/>
                <w:kern w:val="0"/>
                <w:szCs w:val="21"/>
              </w:rPr>
              <w:t>永镇乡</w:t>
            </w:r>
          </w:p>
        </w:tc>
        <w:tc>
          <w:tcPr>
            <w:tcW w:w="0" w:type="auto"/>
            <w:noWrap w:val="0"/>
            <w:vAlign w:val="center"/>
          </w:tcPr>
          <w:p w14:paraId="7E8CF4AE">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2F356951">
            <w:pPr>
              <w:spacing w:before="100" w:beforeAutospacing="1" w:after="100" w:afterAutospacing="1" w:line="240" w:lineRule="atLeast"/>
              <w:jc w:val="center"/>
              <w:rPr>
                <w:rFonts w:eastAsia="楷体_GB2312"/>
                <w:kern w:val="0"/>
                <w:szCs w:val="21"/>
              </w:rPr>
            </w:pPr>
            <w:r>
              <w:rPr>
                <w:rFonts w:eastAsia="楷体_GB2312"/>
                <w:kern w:val="0"/>
                <w:szCs w:val="21"/>
              </w:rPr>
              <w:t>13</w:t>
            </w:r>
          </w:p>
        </w:tc>
      </w:tr>
      <w:tr w14:paraId="51F4D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38657979">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05100ED9">
            <w:pPr>
              <w:spacing w:before="100" w:beforeAutospacing="1" w:after="100" w:afterAutospacing="1" w:line="240" w:lineRule="atLeast"/>
              <w:jc w:val="center"/>
              <w:rPr>
                <w:rFonts w:eastAsia="楷体_GB2312"/>
                <w:kern w:val="0"/>
                <w:szCs w:val="21"/>
              </w:rPr>
            </w:pPr>
          </w:p>
        </w:tc>
        <w:tc>
          <w:tcPr>
            <w:tcW w:w="0" w:type="auto"/>
            <w:noWrap w:val="0"/>
            <w:vAlign w:val="center"/>
          </w:tcPr>
          <w:p w14:paraId="4F2D7D6C">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31235BCD">
            <w:pPr>
              <w:spacing w:before="100" w:beforeAutospacing="1" w:after="100" w:afterAutospacing="1" w:line="240" w:lineRule="atLeast"/>
              <w:jc w:val="center"/>
              <w:rPr>
                <w:rFonts w:eastAsia="楷体_GB2312"/>
                <w:kern w:val="0"/>
                <w:szCs w:val="21"/>
              </w:rPr>
            </w:pPr>
            <w:r>
              <w:rPr>
                <w:rFonts w:eastAsia="楷体_GB2312"/>
                <w:kern w:val="0"/>
                <w:szCs w:val="21"/>
              </w:rPr>
              <w:t>15</w:t>
            </w:r>
          </w:p>
        </w:tc>
      </w:tr>
      <w:tr w14:paraId="3DA40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520D1C56">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3CEF1A9E">
            <w:pPr>
              <w:spacing w:before="100" w:beforeAutospacing="1" w:after="100" w:afterAutospacing="1" w:line="240" w:lineRule="atLeast"/>
              <w:jc w:val="center"/>
              <w:rPr>
                <w:rFonts w:eastAsia="楷体_GB2312"/>
                <w:kern w:val="0"/>
                <w:szCs w:val="21"/>
              </w:rPr>
            </w:pPr>
          </w:p>
        </w:tc>
        <w:tc>
          <w:tcPr>
            <w:tcW w:w="0" w:type="auto"/>
            <w:noWrap w:val="0"/>
            <w:vAlign w:val="center"/>
          </w:tcPr>
          <w:p w14:paraId="12CB6152">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16188441">
            <w:pPr>
              <w:spacing w:before="100" w:beforeAutospacing="1" w:after="100" w:afterAutospacing="1" w:line="240" w:lineRule="atLeast"/>
              <w:jc w:val="center"/>
              <w:rPr>
                <w:rFonts w:eastAsia="楷体_GB2312"/>
                <w:kern w:val="0"/>
                <w:szCs w:val="21"/>
              </w:rPr>
            </w:pPr>
            <w:r>
              <w:rPr>
                <w:rFonts w:eastAsia="楷体_GB2312"/>
                <w:kern w:val="0"/>
                <w:szCs w:val="21"/>
              </w:rPr>
              <w:t>2</w:t>
            </w:r>
          </w:p>
        </w:tc>
      </w:tr>
      <w:tr w14:paraId="5D682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restart"/>
            <w:noWrap w:val="0"/>
            <w:vAlign w:val="center"/>
          </w:tcPr>
          <w:p w14:paraId="3860CE0D">
            <w:pPr>
              <w:spacing w:before="100" w:beforeAutospacing="1" w:after="100" w:afterAutospacing="1" w:line="240" w:lineRule="atLeast"/>
              <w:jc w:val="center"/>
              <w:rPr>
                <w:rFonts w:eastAsia="楷体_GB2312"/>
                <w:kern w:val="0"/>
                <w:szCs w:val="21"/>
              </w:rPr>
            </w:pPr>
            <w:r>
              <w:rPr>
                <w:rFonts w:eastAsia="楷体_GB2312"/>
                <w:kern w:val="0"/>
                <w:szCs w:val="21"/>
              </w:rPr>
              <w:t>17</w:t>
            </w:r>
          </w:p>
        </w:tc>
        <w:tc>
          <w:tcPr>
            <w:tcW w:w="2987" w:type="dxa"/>
            <w:vMerge w:val="restart"/>
            <w:noWrap w:val="0"/>
            <w:vAlign w:val="center"/>
          </w:tcPr>
          <w:p w14:paraId="660BEA22">
            <w:pPr>
              <w:spacing w:before="100" w:beforeAutospacing="1" w:after="100" w:afterAutospacing="1" w:line="240" w:lineRule="atLeast"/>
              <w:jc w:val="center"/>
              <w:rPr>
                <w:rFonts w:eastAsia="楷体_GB2312"/>
                <w:kern w:val="0"/>
                <w:szCs w:val="21"/>
              </w:rPr>
            </w:pPr>
            <w:r>
              <w:rPr>
                <w:rFonts w:eastAsia="楷体_GB2312"/>
                <w:kern w:val="0"/>
                <w:szCs w:val="21"/>
              </w:rPr>
              <w:t>解集镇</w:t>
            </w:r>
          </w:p>
        </w:tc>
        <w:tc>
          <w:tcPr>
            <w:tcW w:w="0" w:type="auto"/>
            <w:noWrap w:val="0"/>
            <w:vAlign w:val="center"/>
          </w:tcPr>
          <w:p w14:paraId="054ED6E7">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2F1B6A98">
            <w:pPr>
              <w:spacing w:before="100" w:beforeAutospacing="1" w:after="100" w:afterAutospacing="1" w:line="240" w:lineRule="atLeast"/>
              <w:jc w:val="center"/>
              <w:rPr>
                <w:rFonts w:eastAsia="楷体_GB2312"/>
                <w:kern w:val="0"/>
                <w:szCs w:val="21"/>
              </w:rPr>
            </w:pPr>
            <w:r>
              <w:rPr>
                <w:rFonts w:eastAsia="楷体_GB2312"/>
                <w:kern w:val="0"/>
                <w:szCs w:val="21"/>
              </w:rPr>
              <w:t>12</w:t>
            </w:r>
          </w:p>
        </w:tc>
      </w:tr>
      <w:tr w14:paraId="2EB3A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375CF2D7">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70EAC105">
            <w:pPr>
              <w:spacing w:before="100" w:beforeAutospacing="1" w:after="100" w:afterAutospacing="1" w:line="240" w:lineRule="atLeast"/>
              <w:jc w:val="center"/>
              <w:rPr>
                <w:rFonts w:eastAsia="楷体_GB2312"/>
                <w:kern w:val="0"/>
                <w:szCs w:val="21"/>
              </w:rPr>
            </w:pPr>
          </w:p>
        </w:tc>
        <w:tc>
          <w:tcPr>
            <w:tcW w:w="0" w:type="auto"/>
            <w:noWrap w:val="0"/>
            <w:vAlign w:val="center"/>
          </w:tcPr>
          <w:p w14:paraId="6FF0422F">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56F6748A">
            <w:pPr>
              <w:spacing w:before="100" w:beforeAutospacing="1" w:after="100" w:afterAutospacing="1" w:line="240" w:lineRule="atLeast"/>
              <w:jc w:val="center"/>
              <w:rPr>
                <w:rFonts w:eastAsia="楷体_GB2312"/>
                <w:kern w:val="0"/>
                <w:szCs w:val="21"/>
              </w:rPr>
            </w:pPr>
            <w:r>
              <w:rPr>
                <w:rFonts w:eastAsia="楷体_GB2312"/>
                <w:kern w:val="0"/>
                <w:szCs w:val="21"/>
              </w:rPr>
              <w:t>14</w:t>
            </w:r>
          </w:p>
        </w:tc>
      </w:tr>
      <w:tr w14:paraId="1B01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77F8F3F9">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7FF64CB3">
            <w:pPr>
              <w:spacing w:before="100" w:beforeAutospacing="1" w:after="100" w:afterAutospacing="1" w:line="240" w:lineRule="atLeast"/>
              <w:jc w:val="center"/>
              <w:rPr>
                <w:rFonts w:eastAsia="楷体_GB2312"/>
                <w:kern w:val="0"/>
                <w:szCs w:val="21"/>
              </w:rPr>
            </w:pPr>
          </w:p>
        </w:tc>
        <w:tc>
          <w:tcPr>
            <w:tcW w:w="0" w:type="auto"/>
            <w:noWrap w:val="0"/>
            <w:vAlign w:val="center"/>
          </w:tcPr>
          <w:p w14:paraId="6C343542">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5CE77D97">
            <w:pPr>
              <w:spacing w:before="100" w:beforeAutospacing="1" w:after="100" w:afterAutospacing="1" w:line="240" w:lineRule="atLeast"/>
              <w:jc w:val="center"/>
              <w:rPr>
                <w:rFonts w:eastAsia="楷体_GB2312"/>
                <w:kern w:val="0"/>
                <w:szCs w:val="21"/>
              </w:rPr>
            </w:pPr>
            <w:r>
              <w:rPr>
                <w:rFonts w:eastAsia="楷体_GB2312"/>
                <w:kern w:val="0"/>
                <w:szCs w:val="21"/>
              </w:rPr>
              <w:t>4</w:t>
            </w:r>
          </w:p>
        </w:tc>
      </w:tr>
      <w:tr w14:paraId="013A7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restart"/>
            <w:noWrap w:val="0"/>
            <w:vAlign w:val="center"/>
          </w:tcPr>
          <w:p w14:paraId="242A9DF7">
            <w:pPr>
              <w:spacing w:before="100" w:beforeAutospacing="1" w:after="100" w:afterAutospacing="1" w:line="240" w:lineRule="atLeast"/>
              <w:jc w:val="center"/>
              <w:rPr>
                <w:rFonts w:eastAsia="楷体_GB2312"/>
                <w:kern w:val="0"/>
                <w:szCs w:val="21"/>
              </w:rPr>
            </w:pPr>
            <w:r>
              <w:rPr>
                <w:rFonts w:eastAsia="楷体_GB2312"/>
                <w:kern w:val="0"/>
                <w:szCs w:val="21"/>
              </w:rPr>
              <w:t>18</w:t>
            </w:r>
          </w:p>
        </w:tc>
        <w:tc>
          <w:tcPr>
            <w:tcW w:w="2987" w:type="dxa"/>
            <w:vMerge w:val="restart"/>
            <w:noWrap w:val="0"/>
            <w:vAlign w:val="center"/>
          </w:tcPr>
          <w:p w14:paraId="769C5F36">
            <w:pPr>
              <w:spacing w:before="100" w:beforeAutospacing="1" w:after="100" w:afterAutospacing="1" w:line="240" w:lineRule="atLeast"/>
              <w:jc w:val="center"/>
              <w:rPr>
                <w:rFonts w:eastAsia="楷体_GB2312"/>
                <w:kern w:val="0"/>
                <w:szCs w:val="21"/>
              </w:rPr>
            </w:pPr>
            <w:r>
              <w:rPr>
                <w:rFonts w:eastAsia="楷体_GB2312"/>
                <w:kern w:val="0"/>
                <w:szCs w:val="21"/>
              </w:rPr>
              <w:t>大泽乡镇</w:t>
            </w:r>
          </w:p>
        </w:tc>
        <w:tc>
          <w:tcPr>
            <w:tcW w:w="0" w:type="auto"/>
            <w:noWrap w:val="0"/>
            <w:vAlign w:val="center"/>
          </w:tcPr>
          <w:p w14:paraId="7E22E9CC">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3916F013">
            <w:pPr>
              <w:spacing w:before="100" w:beforeAutospacing="1" w:after="100" w:afterAutospacing="1" w:line="240" w:lineRule="atLeast"/>
              <w:jc w:val="center"/>
              <w:rPr>
                <w:rFonts w:eastAsia="楷体_GB2312"/>
                <w:kern w:val="0"/>
                <w:szCs w:val="21"/>
              </w:rPr>
            </w:pPr>
            <w:r>
              <w:rPr>
                <w:rFonts w:eastAsia="楷体_GB2312"/>
                <w:kern w:val="0"/>
                <w:szCs w:val="21"/>
              </w:rPr>
              <w:t>15</w:t>
            </w:r>
          </w:p>
        </w:tc>
      </w:tr>
      <w:tr w14:paraId="398A4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331E699C">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02D168B2">
            <w:pPr>
              <w:spacing w:before="100" w:beforeAutospacing="1" w:after="100" w:afterAutospacing="1" w:line="240" w:lineRule="atLeast"/>
              <w:jc w:val="center"/>
              <w:rPr>
                <w:rFonts w:eastAsia="楷体_GB2312"/>
                <w:kern w:val="0"/>
                <w:szCs w:val="21"/>
              </w:rPr>
            </w:pPr>
          </w:p>
        </w:tc>
        <w:tc>
          <w:tcPr>
            <w:tcW w:w="0" w:type="auto"/>
            <w:noWrap w:val="0"/>
            <w:vAlign w:val="center"/>
          </w:tcPr>
          <w:p w14:paraId="2E903C19">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4E8374D0">
            <w:pPr>
              <w:spacing w:before="100" w:beforeAutospacing="1" w:after="100" w:afterAutospacing="1" w:line="240" w:lineRule="atLeast"/>
              <w:jc w:val="center"/>
              <w:rPr>
                <w:rFonts w:eastAsia="楷体_GB2312"/>
                <w:kern w:val="0"/>
                <w:szCs w:val="21"/>
              </w:rPr>
            </w:pPr>
            <w:r>
              <w:rPr>
                <w:rFonts w:eastAsia="楷体_GB2312"/>
                <w:kern w:val="0"/>
                <w:szCs w:val="21"/>
              </w:rPr>
              <w:t>10</w:t>
            </w:r>
          </w:p>
        </w:tc>
      </w:tr>
      <w:tr w14:paraId="2175A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4D188825">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45BD72F5">
            <w:pPr>
              <w:spacing w:before="100" w:beforeAutospacing="1" w:after="100" w:afterAutospacing="1" w:line="240" w:lineRule="atLeast"/>
              <w:jc w:val="center"/>
              <w:rPr>
                <w:rFonts w:eastAsia="楷体_GB2312"/>
                <w:kern w:val="0"/>
                <w:szCs w:val="21"/>
              </w:rPr>
            </w:pPr>
          </w:p>
        </w:tc>
        <w:tc>
          <w:tcPr>
            <w:tcW w:w="0" w:type="auto"/>
            <w:noWrap w:val="0"/>
            <w:vAlign w:val="center"/>
          </w:tcPr>
          <w:p w14:paraId="69D59CC9">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072D8585">
            <w:pPr>
              <w:spacing w:before="100" w:beforeAutospacing="1" w:after="100" w:afterAutospacing="1" w:line="240" w:lineRule="atLeast"/>
              <w:jc w:val="center"/>
              <w:rPr>
                <w:rFonts w:eastAsia="楷体_GB2312"/>
                <w:kern w:val="0"/>
                <w:szCs w:val="21"/>
              </w:rPr>
            </w:pPr>
            <w:r>
              <w:rPr>
                <w:rFonts w:eastAsia="楷体_GB2312"/>
                <w:kern w:val="0"/>
                <w:szCs w:val="21"/>
              </w:rPr>
              <w:t>5</w:t>
            </w:r>
          </w:p>
        </w:tc>
      </w:tr>
      <w:tr w14:paraId="192F9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restart"/>
            <w:noWrap w:val="0"/>
            <w:vAlign w:val="center"/>
          </w:tcPr>
          <w:p w14:paraId="026D38DD">
            <w:pPr>
              <w:spacing w:before="100" w:beforeAutospacing="1" w:after="100" w:afterAutospacing="1" w:line="240" w:lineRule="atLeast"/>
              <w:jc w:val="center"/>
              <w:rPr>
                <w:rFonts w:eastAsia="楷体_GB2312"/>
                <w:kern w:val="0"/>
                <w:szCs w:val="21"/>
              </w:rPr>
            </w:pPr>
            <w:r>
              <w:rPr>
                <w:rFonts w:eastAsia="楷体_GB2312"/>
                <w:kern w:val="0"/>
                <w:szCs w:val="21"/>
              </w:rPr>
              <w:t>19</w:t>
            </w:r>
          </w:p>
        </w:tc>
        <w:tc>
          <w:tcPr>
            <w:tcW w:w="2987" w:type="dxa"/>
            <w:vMerge w:val="restart"/>
            <w:noWrap w:val="0"/>
            <w:vAlign w:val="center"/>
          </w:tcPr>
          <w:p w14:paraId="2A8E3A1F">
            <w:pPr>
              <w:spacing w:before="100" w:beforeAutospacing="1" w:after="100" w:afterAutospacing="1" w:line="240" w:lineRule="atLeast"/>
              <w:jc w:val="center"/>
              <w:rPr>
                <w:rFonts w:eastAsia="楷体_GB2312"/>
                <w:kern w:val="0"/>
                <w:szCs w:val="21"/>
              </w:rPr>
            </w:pPr>
            <w:r>
              <w:rPr>
                <w:rFonts w:eastAsia="楷体_GB2312"/>
                <w:kern w:val="0"/>
                <w:szCs w:val="21"/>
              </w:rPr>
              <w:t>永安镇</w:t>
            </w:r>
          </w:p>
        </w:tc>
        <w:tc>
          <w:tcPr>
            <w:tcW w:w="0" w:type="auto"/>
            <w:noWrap w:val="0"/>
            <w:vAlign w:val="center"/>
          </w:tcPr>
          <w:p w14:paraId="094C866F">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029154AD">
            <w:pPr>
              <w:spacing w:before="100" w:beforeAutospacing="1" w:after="100" w:afterAutospacing="1" w:line="240" w:lineRule="atLeast"/>
              <w:jc w:val="center"/>
              <w:rPr>
                <w:rFonts w:eastAsia="楷体_GB2312"/>
                <w:kern w:val="0"/>
                <w:szCs w:val="21"/>
              </w:rPr>
            </w:pPr>
            <w:r>
              <w:rPr>
                <w:rFonts w:eastAsia="楷体_GB2312"/>
                <w:kern w:val="0"/>
                <w:szCs w:val="21"/>
              </w:rPr>
              <w:t>16</w:t>
            </w:r>
          </w:p>
        </w:tc>
      </w:tr>
      <w:tr w14:paraId="74034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2ADB3721">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70A65493">
            <w:pPr>
              <w:spacing w:before="100" w:beforeAutospacing="1" w:after="100" w:afterAutospacing="1" w:line="240" w:lineRule="atLeast"/>
              <w:jc w:val="center"/>
              <w:rPr>
                <w:rFonts w:eastAsia="楷体_GB2312"/>
                <w:kern w:val="0"/>
                <w:szCs w:val="21"/>
              </w:rPr>
            </w:pPr>
          </w:p>
        </w:tc>
        <w:tc>
          <w:tcPr>
            <w:tcW w:w="0" w:type="auto"/>
            <w:noWrap w:val="0"/>
            <w:vAlign w:val="center"/>
          </w:tcPr>
          <w:p w14:paraId="76948408">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3E22C572">
            <w:pPr>
              <w:spacing w:before="100" w:beforeAutospacing="1" w:after="100" w:afterAutospacing="1" w:line="240" w:lineRule="atLeast"/>
              <w:jc w:val="center"/>
              <w:rPr>
                <w:rFonts w:eastAsia="楷体_GB2312"/>
                <w:kern w:val="0"/>
                <w:szCs w:val="21"/>
              </w:rPr>
            </w:pPr>
            <w:r>
              <w:rPr>
                <w:rFonts w:eastAsia="楷体_GB2312"/>
                <w:kern w:val="0"/>
                <w:szCs w:val="21"/>
              </w:rPr>
              <w:t>10</w:t>
            </w:r>
          </w:p>
        </w:tc>
      </w:tr>
      <w:tr w14:paraId="6545E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37788DD2">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082A68DF">
            <w:pPr>
              <w:spacing w:before="100" w:beforeAutospacing="1" w:after="100" w:afterAutospacing="1" w:line="240" w:lineRule="atLeast"/>
              <w:jc w:val="center"/>
              <w:rPr>
                <w:rFonts w:eastAsia="楷体_GB2312"/>
                <w:kern w:val="0"/>
                <w:szCs w:val="21"/>
              </w:rPr>
            </w:pPr>
          </w:p>
        </w:tc>
        <w:tc>
          <w:tcPr>
            <w:tcW w:w="0" w:type="auto"/>
            <w:noWrap w:val="0"/>
            <w:vAlign w:val="center"/>
          </w:tcPr>
          <w:p w14:paraId="00FD9B82">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4DDF9EF7">
            <w:pPr>
              <w:spacing w:before="100" w:beforeAutospacing="1" w:after="100" w:afterAutospacing="1" w:line="240" w:lineRule="atLeast"/>
              <w:jc w:val="center"/>
              <w:rPr>
                <w:rFonts w:eastAsia="楷体_GB2312"/>
                <w:kern w:val="0"/>
                <w:szCs w:val="21"/>
              </w:rPr>
            </w:pPr>
            <w:r>
              <w:rPr>
                <w:rFonts w:eastAsia="楷体_GB2312"/>
                <w:kern w:val="0"/>
                <w:szCs w:val="21"/>
              </w:rPr>
              <w:t>4</w:t>
            </w:r>
          </w:p>
        </w:tc>
      </w:tr>
      <w:tr w14:paraId="1C29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restart"/>
            <w:noWrap w:val="0"/>
            <w:vAlign w:val="center"/>
          </w:tcPr>
          <w:p w14:paraId="416464AF">
            <w:pPr>
              <w:spacing w:before="100" w:beforeAutospacing="1" w:after="100" w:afterAutospacing="1" w:line="240" w:lineRule="atLeast"/>
              <w:jc w:val="center"/>
              <w:rPr>
                <w:rFonts w:eastAsia="楷体_GB2312"/>
                <w:kern w:val="0"/>
                <w:szCs w:val="21"/>
              </w:rPr>
            </w:pPr>
            <w:r>
              <w:rPr>
                <w:rFonts w:eastAsia="楷体_GB2312"/>
                <w:kern w:val="0"/>
                <w:szCs w:val="21"/>
              </w:rPr>
              <w:t>20</w:t>
            </w:r>
          </w:p>
        </w:tc>
        <w:tc>
          <w:tcPr>
            <w:tcW w:w="2987" w:type="dxa"/>
            <w:vMerge w:val="restart"/>
            <w:noWrap w:val="0"/>
            <w:vAlign w:val="center"/>
          </w:tcPr>
          <w:p w14:paraId="756E4D98">
            <w:pPr>
              <w:spacing w:before="100" w:beforeAutospacing="1" w:after="100" w:afterAutospacing="1" w:line="240" w:lineRule="atLeast"/>
              <w:jc w:val="center"/>
              <w:rPr>
                <w:rFonts w:eastAsia="楷体_GB2312"/>
                <w:kern w:val="0"/>
                <w:szCs w:val="21"/>
              </w:rPr>
            </w:pPr>
            <w:r>
              <w:rPr>
                <w:rFonts w:eastAsia="楷体_GB2312"/>
                <w:kern w:val="0"/>
                <w:szCs w:val="21"/>
              </w:rPr>
              <w:t>支河乡</w:t>
            </w:r>
          </w:p>
        </w:tc>
        <w:tc>
          <w:tcPr>
            <w:tcW w:w="0" w:type="auto"/>
            <w:noWrap w:val="0"/>
            <w:vAlign w:val="center"/>
          </w:tcPr>
          <w:p w14:paraId="1A819DD1">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174A9AE9">
            <w:pPr>
              <w:spacing w:before="100" w:beforeAutospacing="1" w:after="100" w:afterAutospacing="1" w:line="240" w:lineRule="atLeast"/>
              <w:jc w:val="center"/>
              <w:rPr>
                <w:rFonts w:eastAsia="楷体_GB2312"/>
                <w:kern w:val="0"/>
                <w:szCs w:val="21"/>
              </w:rPr>
            </w:pPr>
            <w:r>
              <w:rPr>
                <w:rFonts w:eastAsia="楷体_GB2312"/>
                <w:kern w:val="0"/>
                <w:szCs w:val="21"/>
              </w:rPr>
              <w:t>20</w:t>
            </w:r>
          </w:p>
        </w:tc>
      </w:tr>
      <w:tr w14:paraId="7AAA3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11949E03">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2B15709D">
            <w:pPr>
              <w:spacing w:before="100" w:beforeAutospacing="1" w:after="100" w:afterAutospacing="1" w:line="240" w:lineRule="atLeast"/>
              <w:jc w:val="center"/>
              <w:rPr>
                <w:rFonts w:eastAsia="楷体_GB2312"/>
                <w:kern w:val="0"/>
                <w:szCs w:val="21"/>
              </w:rPr>
            </w:pPr>
          </w:p>
        </w:tc>
        <w:tc>
          <w:tcPr>
            <w:tcW w:w="0" w:type="auto"/>
            <w:noWrap w:val="0"/>
            <w:vAlign w:val="center"/>
          </w:tcPr>
          <w:p w14:paraId="2E7FFC04">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266C88F4">
            <w:pPr>
              <w:spacing w:before="100" w:beforeAutospacing="1" w:after="100" w:afterAutospacing="1" w:line="240" w:lineRule="atLeast"/>
              <w:jc w:val="center"/>
              <w:rPr>
                <w:rFonts w:eastAsia="楷体_GB2312"/>
                <w:kern w:val="0"/>
                <w:szCs w:val="21"/>
              </w:rPr>
            </w:pPr>
            <w:r>
              <w:rPr>
                <w:rFonts w:eastAsia="楷体_GB2312"/>
                <w:kern w:val="0"/>
                <w:szCs w:val="21"/>
              </w:rPr>
              <w:t>9</w:t>
            </w:r>
          </w:p>
        </w:tc>
      </w:tr>
      <w:tr w14:paraId="0F018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4CF2D48F">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5D48E781">
            <w:pPr>
              <w:spacing w:before="100" w:beforeAutospacing="1" w:after="100" w:afterAutospacing="1" w:line="240" w:lineRule="atLeast"/>
              <w:jc w:val="center"/>
              <w:rPr>
                <w:rFonts w:eastAsia="楷体_GB2312"/>
                <w:kern w:val="0"/>
                <w:szCs w:val="21"/>
              </w:rPr>
            </w:pPr>
          </w:p>
        </w:tc>
        <w:tc>
          <w:tcPr>
            <w:tcW w:w="0" w:type="auto"/>
            <w:noWrap w:val="0"/>
            <w:vAlign w:val="center"/>
          </w:tcPr>
          <w:p w14:paraId="42885030">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52A7627A">
            <w:pPr>
              <w:spacing w:before="100" w:beforeAutospacing="1" w:after="100" w:afterAutospacing="1" w:line="240" w:lineRule="atLeast"/>
              <w:jc w:val="center"/>
              <w:rPr>
                <w:rFonts w:eastAsia="楷体_GB2312"/>
                <w:kern w:val="0"/>
                <w:szCs w:val="21"/>
              </w:rPr>
            </w:pPr>
            <w:r>
              <w:rPr>
                <w:rFonts w:eastAsia="楷体_GB2312"/>
                <w:kern w:val="0"/>
                <w:szCs w:val="21"/>
              </w:rPr>
              <w:t>1</w:t>
            </w:r>
          </w:p>
        </w:tc>
      </w:tr>
      <w:tr w14:paraId="7FC0F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restart"/>
            <w:noWrap w:val="0"/>
            <w:vAlign w:val="center"/>
          </w:tcPr>
          <w:p w14:paraId="1B4B42FD">
            <w:pPr>
              <w:spacing w:before="100" w:beforeAutospacing="1" w:after="100" w:afterAutospacing="1" w:line="240" w:lineRule="atLeast"/>
              <w:jc w:val="center"/>
              <w:rPr>
                <w:rFonts w:eastAsia="楷体_GB2312"/>
                <w:kern w:val="0"/>
                <w:szCs w:val="21"/>
              </w:rPr>
            </w:pPr>
            <w:r>
              <w:rPr>
                <w:rFonts w:eastAsia="楷体_GB2312"/>
                <w:kern w:val="0"/>
                <w:szCs w:val="21"/>
              </w:rPr>
              <w:t>21</w:t>
            </w:r>
          </w:p>
        </w:tc>
        <w:tc>
          <w:tcPr>
            <w:tcW w:w="2987" w:type="dxa"/>
            <w:vMerge w:val="restart"/>
            <w:noWrap w:val="0"/>
            <w:vAlign w:val="center"/>
          </w:tcPr>
          <w:p w14:paraId="34958B55">
            <w:pPr>
              <w:spacing w:before="100" w:beforeAutospacing="1" w:after="100" w:afterAutospacing="1" w:line="240" w:lineRule="atLeast"/>
              <w:jc w:val="center"/>
              <w:rPr>
                <w:rFonts w:eastAsia="楷体_GB2312"/>
                <w:kern w:val="0"/>
                <w:szCs w:val="21"/>
              </w:rPr>
            </w:pPr>
            <w:r>
              <w:rPr>
                <w:rFonts w:eastAsia="楷体_GB2312"/>
                <w:kern w:val="0"/>
                <w:szCs w:val="21"/>
              </w:rPr>
              <w:t>灰古镇</w:t>
            </w:r>
          </w:p>
        </w:tc>
        <w:tc>
          <w:tcPr>
            <w:tcW w:w="0" w:type="auto"/>
            <w:noWrap w:val="0"/>
            <w:vAlign w:val="center"/>
          </w:tcPr>
          <w:p w14:paraId="1509A60A">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44AA47BF">
            <w:pPr>
              <w:spacing w:before="100" w:beforeAutospacing="1" w:after="100" w:afterAutospacing="1" w:line="240" w:lineRule="atLeast"/>
              <w:jc w:val="center"/>
              <w:rPr>
                <w:rFonts w:eastAsia="楷体_GB2312"/>
                <w:kern w:val="0"/>
                <w:szCs w:val="21"/>
              </w:rPr>
            </w:pPr>
            <w:r>
              <w:rPr>
                <w:rFonts w:eastAsia="楷体_GB2312"/>
                <w:kern w:val="0"/>
                <w:szCs w:val="21"/>
              </w:rPr>
              <w:t>18</w:t>
            </w:r>
          </w:p>
        </w:tc>
      </w:tr>
      <w:tr w14:paraId="0F87A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45DDE89D">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085EDBC0">
            <w:pPr>
              <w:spacing w:before="100" w:beforeAutospacing="1" w:after="100" w:afterAutospacing="1" w:line="240" w:lineRule="atLeast"/>
              <w:jc w:val="center"/>
              <w:rPr>
                <w:rFonts w:eastAsia="楷体_GB2312"/>
                <w:kern w:val="0"/>
                <w:szCs w:val="21"/>
              </w:rPr>
            </w:pPr>
          </w:p>
        </w:tc>
        <w:tc>
          <w:tcPr>
            <w:tcW w:w="0" w:type="auto"/>
            <w:noWrap w:val="0"/>
            <w:vAlign w:val="center"/>
          </w:tcPr>
          <w:p w14:paraId="652317F6">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2CDA617D">
            <w:pPr>
              <w:spacing w:before="100" w:beforeAutospacing="1" w:after="100" w:afterAutospacing="1" w:line="240" w:lineRule="atLeast"/>
              <w:jc w:val="center"/>
              <w:rPr>
                <w:rFonts w:eastAsia="楷体_GB2312"/>
                <w:kern w:val="0"/>
                <w:szCs w:val="21"/>
              </w:rPr>
            </w:pPr>
            <w:r>
              <w:rPr>
                <w:rFonts w:eastAsia="楷体_GB2312"/>
                <w:kern w:val="0"/>
                <w:szCs w:val="21"/>
              </w:rPr>
              <w:t>10</w:t>
            </w:r>
          </w:p>
        </w:tc>
      </w:tr>
      <w:tr w14:paraId="2CF8D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3D356E22">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3730C5D8">
            <w:pPr>
              <w:spacing w:before="100" w:beforeAutospacing="1" w:after="100" w:afterAutospacing="1" w:line="240" w:lineRule="atLeast"/>
              <w:jc w:val="center"/>
              <w:rPr>
                <w:rFonts w:eastAsia="楷体_GB2312"/>
                <w:kern w:val="0"/>
                <w:szCs w:val="21"/>
              </w:rPr>
            </w:pPr>
          </w:p>
        </w:tc>
        <w:tc>
          <w:tcPr>
            <w:tcW w:w="0" w:type="auto"/>
            <w:noWrap w:val="0"/>
            <w:vAlign w:val="center"/>
          </w:tcPr>
          <w:p w14:paraId="7209834F">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23B0C703">
            <w:pPr>
              <w:spacing w:before="100" w:beforeAutospacing="1" w:after="100" w:afterAutospacing="1" w:line="240" w:lineRule="atLeast"/>
              <w:jc w:val="center"/>
              <w:rPr>
                <w:rFonts w:eastAsia="楷体_GB2312"/>
                <w:kern w:val="0"/>
                <w:szCs w:val="21"/>
              </w:rPr>
            </w:pPr>
            <w:r>
              <w:rPr>
                <w:rFonts w:eastAsia="楷体_GB2312"/>
                <w:kern w:val="0"/>
                <w:szCs w:val="21"/>
              </w:rPr>
              <w:t>2</w:t>
            </w:r>
          </w:p>
        </w:tc>
      </w:tr>
      <w:tr w14:paraId="722C7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restart"/>
            <w:noWrap w:val="0"/>
            <w:vAlign w:val="center"/>
          </w:tcPr>
          <w:p w14:paraId="57E9545D">
            <w:pPr>
              <w:spacing w:before="100" w:beforeAutospacing="1" w:after="100" w:afterAutospacing="1" w:line="240" w:lineRule="atLeast"/>
              <w:jc w:val="center"/>
              <w:rPr>
                <w:rFonts w:eastAsia="楷体_GB2312"/>
                <w:kern w:val="0"/>
                <w:szCs w:val="21"/>
              </w:rPr>
            </w:pPr>
            <w:r>
              <w:rPr>
                <w:rFonts w:eastAsia="楷体_GB2312"/>
                <w:kern w:val="0"/>
                <w:szCs w:val="21"/>
              </w:rPr>
              <w:t>22</w:t>
            </w:r>
          </w:p>
        </w:tc>
        <w:tc>
          <w:tcPr>
            <w:tcW w:w="2987" w:type="dxa"/>
            <w:vMerge w:val="restart"/>
            <w:noWrap w:val="0"/>
            <w:vAlign w:val="center"/>
          </w:tcPr>
          <w:p w14:paraId="0B91771B">
            <w:pPr>
              <w:spacing w:before="100" w:beforeAutospacing="1" w:after="100" w:afterAutospacing="1" w:line="240" w:lineRule="atLeast"/>
              <w:jc w:val="center"/>
              <w:rPr>
                <w:rFonts w:eastAsia="楷体_GB2312"/>
                <w:kern w:val="0"/>
                <w:szCs w:val="21"/>
              </w:rPr>
            </w:pPr>
            <w:r>
              <w:rPr>
                <w:rFonts w:eastAsia="楷体_GB2312"/>
                <w:kern w:val="0"/>
                <w:szCs w:val="21"/>
              </w:rPr>
              <w:t>桃沟乡</w:t>
            </w:r>
          </w:p>
        </w:tc>
        <w:tc>
          <w:tcPr>
            <w:tcW w:w="0" w:type="auto"/>
            <w:noWrap w:val="0"/>
            <w:vAlign w:val="center"/>
          </w:tcPr>
          <w:p w14:paraId="3BA3DF33">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68744821">
            <w:pPr>
              <w:spacing w:before="100" w:beforeAutospacing="1" w:after="100" w:afterAutospacing="1" w:line="240" w:lineRule="atLeast"/>
              <w:jc w:val="center"/>
              <w:rPr>
                <w:rFonts w:eastAsia="楷体_GB2312"/>
                <w:kern w:val="0"/>
                <w:szCs w:val="21"/>
              </w:rPr>
            </w:pPr>
            <w:r>
              <w:rPr>
                <w:rFonts w:eastAsia="楷体_GB2312"/>
                <w:kern w:val="0"/>
                <w:szCs w:val="21"/>
              </w:rPr>
              <w:t>20</w:t>
            </w:r>
          </w:p>
        </w:tc>
      </w:tr>
      <w:tr w14:paraId="1A190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529DCC9F">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7A9ACF79">
            <w:pPr>
              <w:spacing w:before="100" w:beforeAutospacing="1" w:after="100" w:afterAutospacing="1" w:line="240" w:lineRule="atLeast"/>
              <w:jc w:val="center"/>
              <w:rPr>
                <w:rFonts w:eastAsia="楷体_GB2312"/>
                <w:kern w:val="0"/>
                <w:szCs w:val="21"/>
              </w:rPr>
            </w:pPr>
          </w:p>
        </w:tc>
        <w:tc>
          <w:tcPr>
            <w:tcW w:w="0" w:type="auto"/>
            <w:noWrap w:val="0"/>
            <w:vAlign w:val="center"/>
          </w:tcPr>
          <w:p w14:paraId="274177BE">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189ACDC8">
            <w:pPr>
              <w:spacing w:before="100" w:beforeAutospacing="1" w:after="100" w:afterAutospacing="1" w:line="240" w:lineRule="atLeast"/>
              <w:jc w:val="center"/>
              <w:rPr>
                <w:rFonts w:eastAsia="楷体_GB2312"/>
                <w:kern w:val="0"/>
                <w:szCs w:val="21"/>
              </w:rPr>
            </w:pPr>
            <w:r>
              <w:rPr>
                <w:rFonts w:eastAsia="楷体_GB2312"/>
                <w:kern w:val="0"/>
                <w:szCs w:val="21"/>
              </w:rPr>
              <w:t>5</w:t>
            </w:r>
          </w:p>
        </w:tc>
      </w:tr>
      <w:tr w14:paraId="7A30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35" w:type="dxa"/>
            <w:vMerge w:val="continue"/>
            <w:noWrap w:val="0"/>
            <w:vAlign w:val="center"/>
          </w:tcPr>
          <w:p w14:paraId="6BC14DAB">
            <w:pPr>
              <w:spacing w:before="100" w:beforeAutospacing="1" w:after="100" w:afterAutospacing="1" w:line="240" w:lineRule="atLeast"/>
              <w:jc w:val="center"/>
              <w:rPr>
                <w:rFonts w:eastAsia="楷体_GB2312"/>
                <w:kern w:val="0"/>
                <w:szCs w:val="21"/>
              </w:rPr>
            </w:pPr>
          </w:p>
        </w:tc>
        <w:tc>
          <w:tcPr>
            <w:tcW w:w="2987" w:type="dxa"/>
            <w:vMerge w:val="continue"/>
            <w:noWrap w:val="0"/>
            <w:vAlign w:val="center"/>
          </w:tcPr>
          <w:p w14:paraId="48837D4E">
            <w:pPr>
              <w:spacing w:before="100" w:beforeAutospacing="1" w:after="100" w:afterAutospacing="1" w:line="240" w:lineRule="atLeast"/>
              <w:jc w:val="center"/>
              <w:rPr>
                <w:rFonts w:eastAsia="楷体_GB2312"/>
                <w:kern w:val="0"/>
                <w:szCs w:val="21"/>
              </w:rPr>
            </w:pPr>
          </w:p>
        </w:tc>
        <w:tc>
          <w:tcPr>
            <w:tcW w:w="0" w:type="auto"/>
            <w:noWrap w:val="0"/>
            <w:vAlign w:val="center"/>
          </w:tcPr>
          <w:p w14:paraId="7E0F3445">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65EAD5C5">
            <w:pPr>
              <w:spacing w:before="100" w:beforeAutospacing="1" w:after="100" w:afterAutospacing="1" w:line="240" w:lineRule="atLeast"/>
              <w:jc w:val="center"/>
              <w:rPr>
                <w:rFonts w:eastAsia="楷体_GB2312"/>
                <w:kern w:val="0"/>
                <w:szCs w:val="21"/>
              </w:rPr>
            </w:pPr>
            <w:r>
              <w:rPr>
                <w:rFonts w:eastAsia="楷体_GB2312"/>
                <w:kern w:val="0"/>
                <w:szCs w:val="21"/>
              </w:rPr>
              <w:t>5</w:t>
            </w:r>
          </w:p>
        </w:tc>
      </w:tr>
    </w:tbl>
    <w:p w14:paraId="1A4D1766">
      <w:pPr>
        <w:widowControl w:val="0"/>
        <w:spacing w:line="460" w:lineRule="exact"/>
        <w:ind w:firstLine="562" w:firstLineChars="200"/>
        <w:jc w:val="both"/>
        <w:rPr>
          <w:rFonts w:eastAsia="楷体_GB2312"/>
          <w:b/>
          <w:sz w:val="28"/>
          <w:szCs w:val="21"/>
        </w:rPr>
      </w:pPr>
      <w:r>
        <w:rPr>
          <w:rFonts w:eastAsia="楷体_GB2312"/>
          <w:b/>
          <w:sz w:val="28"/>
          <w:szCs w:val="21"/>
        </w:rPr>
        <w:t>2、修正测算公共管理与公共服务用地地价</w:t>
      </w:r>
    </w:p>
    <w:p w14:paraId="7548A5CA">
      <w:pPr>
        <w:widowControl w:val="0"/>
        <w:spacing w:line="480" w:lineRule="exact"/>
        <w:ind w:firstLine="560" w:firstLineChars="200"/>
        <w:jc w:val="both"/>
        <w:rPr>
          <w:rFonts w:eastAsia="楷体_GB2312"/>
          <w:sz w:val="28"/>
          <w:szCs w:val="21"/>
        </w:rPr>
      </w:pPr>
      <w:r>
        <w:rPr>
          <w:rFonts w:eastAsia="楷体_GB2312"/>
          <w:sz w:val="28"/>
          <w:szCs w:val="21"/>
        </w:rPr>
        <w:t>公共管理与公共服务用地中某用途出租租金价格水平=同区域正常商服用地出租租金价格水平×用途修正系数</w:t>
      </w:r>
    </w:p>
    <w:p w14:paraId="1B10767F">
      <w:pPr>
        <w:spacing w:line="480" w:lineRule="exact"/>
        <w:ind w:firstLine="560" w:firstLineChars="200"/>
        <w:rPr>
          <w:rFonts w:eastAsia="楷体_GB2312"/>
          <w:sz w:val="28"/>
          <w:szCs w:val="21"/>
        </w:rPr>
      </w:pPr>
      <w:r>
        <w:rPr>
          <w:rFonts w:hint="eastAsia" w:ascii="楷体" w:hAnsi="楷体" w:eastAsia="楷体" w:cs="宋体"/>
          <w:sz w:val="28"/>
        </w:rPr>
        <w:t>埇桥区</w:t>
      </w:r>
      <w:r>
        <w:rPr>
          <w:rFonts w:eastAsia="楷体_GB2312"/>
          <w:sz w:val="28"/>
          <w:szCs w:val="21"/>
        </w:rPr>
        <w:t>乡镇公共管理与公共服务用地中某用途出租租金价格水平=同区域正常商服用地出租租金价格水平×用途修正系数</w:t>
      </w:r>
    </w:p>
    <w:p w14:paraId="6353C1DA">
      <w:pPr>
        <w:spacing w:line="480" w:lineRule="exact"/>
        <w:ind w:firstLine="560" w:firstLineChars="200"/>
        <w:rPr>
          <w:rFonts w:eastAsia="楷体_GB2312"/>
          <w:sz w:val="28"/>
          <w:szCs w:val="21"/>
        </w:rPr>
      </w:pPr>
      <w:r>
        <w:rPr>
          <w:rFonts w:hint="eastAsia" w:ascii="楷体" w:hAnsi="楷体" w:eastAsia="楷体" w:cs="宋体"/>
          <w:sz w:val="28"/>
        </w:rPr>
        <w:t>埇桥区</w:t>
      </w:r>
      <w:r>
        <w:rPr>
          <w:rFonts w:eastAsia="楷体_GB2312"/>
          <w:sz w:val="28"/>
          <w:szCs w:val="21"/>
        </w:rPr>
        <w:t>公共管理与公共服务用地出租极少，无法满足通过出租案例计算出各类用地与正常市场商服用地出租租金比，故通过调查</w:t>
      </w:r>
      <w:r>
        <w:rPr>
          <w:rFonts w:hint="eastAsia" w:ascii="楷体" w:hAnsi="楷体" w:eastAsia="楷体" w:cs="宋体"/>
          <w:sz w:val="28"/>
        </w:rPr>
        <w:t>埇</w:t>
      </w:r>
      <w:r>
        <w:rPr>
          <w:rFonts w:hint="eastAsia" w:ascii="楷体_GB2312" w:hAnsi="楷体_GB2312" w:eastAsia="楷体_GB2312" w:cs="楷体_GB2312"/>
          <w:sz w:val="28"/>
          <w:szCs w:val="21"/>
        </w:rPr>
        <w:t>桥区</w:t>
      </w:r>
      <w:r>
        <w:rPr>
          <w:rFonts w:eastAsia="楷体_GB2312"/>
          <w:sz w:val="28"/>
          <w:szCs w:val="21"/>
        </w:rPr>
        <w:t>乡镇公共管理与公共服务用地和商服用地的出让情况，用来作为用途修正系数确定的依据。通过</w:t>
      </w:r>
      <w:r>
        <w:rPr>
          <w:rFonts w:hint="eastAsia" w:ascii="楷体" w:hAnsi="楷体" w:eastAsia="楷体" w:cs="宋体"/>
          <w:sz w:val="28"/>
        </w:rPr>
        <w:t>宿州市埇桥区自然资源和规划局</w:t>
      </w:r>
      <w:r>
        <w:rPr>
          <w:rFonts w:eastAsia="楷体_GB2312"/>
          <w:sz w:val="28"/>
          <w:szCs w:val="21"/>
        </w:rPr>
        <w:t>提供的20</w:t>
      </w:r>
      <w:r>
        <w:rPr>
          <w:rFonts w:hint="eastAsia" w:eastAsia="楷体_GB2312"/>
          <w:sz w:val="28"/>
          <w:szCs w:val="21"/>
        </w:rPr>
        <w:t>17</w:t>
      </w:r>
      <w:r>
        <w:rPr>
          <w:rFonts w:eastAsia="楷体_GB2312"/>
          <w:sz w:val="28"/>
          <w:szCs w:val="21"/>
        </w:rPr>
        <w:t>-20</w:t>
      </w:r>
      <w:r>
        <w:rPr>
          <w:rFonts w:hint="eastAsia" w:eastAsia="楷体_GB2312"/>
          <w:sz w:val="28"/>
          <w:szCs w:val="21"/>
        </w:rPr>
        <w:t>20</w:t>
      </w:r>
      <w:r>
        <w:rPr>
          <w:rFonts w:eastAsia="楷体_GB2312"/>
          <w:sz w:val="28"/>
          <w:szCs w:val="21"/>
        </w:rPr>
        <w:t>年供地台账及中国土地市场网最新出让的供地信息，选取了位于</w:t>
      </w:r>
      <w:r>
        <w:rPr>
          <w:rFonts w:hint="eastAsia" w:ascii="楷体" w:hAnsi="楷体" w:eastAsia="楷体" w:cs="宋体"/>
          <w:sz w:val="28"/>
        </w:rPr>
        <w:t>埇</w:t>
      </w:r>
      <w:r>
        <w:rPr>
          <w:rFonts w:hint="eastAsia" w:ascii="楷体_GB2312" w:hAnsi="楷体_GB2312" w:eastAsia="楷体_GB2312" w:cs="楷体_GB2312"/>
          <w:sz w:val="28"/>
          <w:szCs w:val="21"/>
        </w:rPr>
        <w:t>桥区</w:t>
      </w:r>
      <w:r>
        <w:rPr>
          <w:rFonts w:eastAsia="楷体_GB2312"/>
          <w:sz w:val="28"/>
          <w:szCs w:val="21"/>
        </w:rPr>
        <w:t>两宗</w:t>
      </w:r>
      <w:r>
        <w:rPr>
          <w:rFonts w:hint="eastAsia" w:eastAsia="楷体_GB2312"/>
          <w:sz w:val="28"/>
          <w:szCs w:val="21"/>
        </w:rPr>
        <w:t>医疗卫生用地</w:t>
      </w:r>
      <w:r>
        <w:rPr>
          <w:rFonts w:eastAsia="楷体_GB2312"/>
          <w:sz w:val="28"/>
          <w:szCs w:val="21"/>
        </w:rPr>
        <w:t>和</w:t>
      </w:r>
      <w:r>
        <w:rPr>
          <w:rFonts w:hint="eastAsia" w:eastAsia="楷体_GB2312"/>
          <w:sz w:val="28"/>
          <w:szCs w:val="21"/>
        </w:rPr>
        <w:t>批发零售</w:t>
      </w:r>
      <w:r>
        <w:rPr>
          <w:rFonts w:eastAsia="楷体_GB2312"/>
          <w:sz w:val="28"/>
          <w:szCs w:val="21"/>
        </w:rPr>
        <w:t>用地，如下表所示：</w:t>
      </w:r>
    </w:p>
    <w:p w14:paraId="1B7A9BC7">
      <w:pPr>
        <w:spacing w:line="480" w:lineRule="exact"/>
        <w:jc w:val="center"/>
        <w:rPr>
          <w:rFonts w:eastAsia="黑体"/>
          <w:sz w:val="28"/>
          <w:szCs w:val="21"/>
        </w:rPr>
      </w:pPr>
      <w:r>
        <w:rPr>
          <w:rFonts w:eastAsia="黑体"/>
          <w:sz w:val="28"/>
          <w:szCs w:val="21"/>
        </w:rPr>
        <w:br w:type="page"/>
      </w:r>
      <w:r>
        <w:rPr>
          <w:rFonts w:eastAsia="黑体"/>
          <w:sz w:val="28"/>
          <w:szCs w:val="21"/>
        </w:rPr>
        <w:t>表2-6-2</w:t>
      </w:r>
      <w:r>
        <w:rPr>
          <w:rFonts w:hint="eastAsia" w:eastAsia="黑体"/>
          <w:sz w:val="28"/>
          <w:szCs w:val="21"/>
        </w:rPr>
        <w:t xml:space="preserve"> 医疗卫生</w:t>
      </w:r>
      <w:r>
        <w:rPr>
          <w:rFonts w:eastAsia="黑体"/>
          <w:sz w:val="28"/>
          <w:szCs w:val="21"/>
        </w:rPr>
        <w:t>用地和商服用地市场案例</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1270"/>
        <w:gridCol w:w="2026"/>
        <w:gridCol w:w="1660"/>
        <w:gridCol w:w="1275"/>
        <w:gridCol w:w="1706"/>
      </w:tblGrid>
      <w:tr w14:paraId="1D3E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35" w:type="dxa"/>
            <w:noWrap w:val="0"/>
            <w:vAlign w:val="center"/>
          </w:tcPr>
          <w:p w14:paraId="529BB7E4">
            <w:pPr>
              <w:spacing w:line="300" w:lineRule="exact"/>
              <w:jc w:val="center"/>
              <w:rPr>
                <w:rFonts w:eastAsia="楷体_GB2312"/>
                <w:szCs w:val="21"/>
              </w:rPr>
            </w:pPr>
            <w:r>
              <w:rPr>
                <w:rFonts w:eastAsia="楷体_GB2312"/>
                <w:szCs w:val="21"/>
              </w:rPr>
              <w:t>序号</w:t>
            </w:r>
          </w:p>
        </w:tc>
        <w:tc>
          <w:tcPr>
            <w:tcW w:w="1270" w:type="dxa"/>
            <w:noWrap w:val="0"/>
            <w:vAlign w:val="center"/>
          </w:tcPr>
          <w:p w14:paraId="339CE8AA">
            <w:pPr>
              <w:spacing w:line="300" w:lineRule="exact"/>
              <w:jc w:val="center"/>
              <w:rPr>
                <w:rFonts w:eastAsia="楷体_GB2312"/>
                <w:szCs w:val="21"/>
              </w:rPr>
            </w:pPr>
            <w:r>
              <w:rPr>
                <w:rFonts w:eastAsia="楷体_GB2312"/>
                <w:szCs w:val="21"/>
              </w:rPr>
              <w:t>用途</w:t>
            </w:r>
          </w:p>
        </w:tc>
        <w:tc>
          <w:tcPr>
            <w:tcW w:w="2026" w:type="dxa"/>
            <w:noWrap w:val="0"/>
            <w:vAlign w:val="center"/>
          </w:tcPr>
          <w:p w14:paraId="03BEBB99">
            <w:pPr>
              <w:spacing w:line="300" w:lineRule="exact"/>
              <w:jc w:val="center"/>
              <w:rPr>
                <w:rFonts w:eastAsia="楷体_GB2312"/>
                <w:szCs w:val="21"/>
              </w:rPr>
            </w:pPr>
            <w:r>
              <w:rPr>
                <w:rFonts w:eastAsia="楷体_GB2312"/>
                <w:szCs w:val="21"/>
              </w:rPr>
              <w:t>项目名称</w:t>
            </w:r>
          </w:p>
        </w:tc>
        <w:tc>
          <w:tcPr>
            <w:tcW w:w="1660" w:type="dxa"/>
            <w:noWrap w:val="0"/>
            <w:vAlign w:val="center"/>
          </w:tcPr>
          <w:p w14:paraId="62C7D5D3">
            <w:pPr>
              <w:spacing w:line="300" w:lineRule="exact"/>
              <w:jc w:val="center"/>
              <w:rPr>
                <w:rFonts w:eastAsia="楷体_GB2312"/>
                <w:szCs w:val="21"/>
              </w:rPr>
            </w:pPr>
            <w:r>
              <w:rPr>
                <w:rFonts w:eastAsia="楷体_GB2312"/>
                <w:szCs w:val="21"/>
              </w:rPr>
              <w:t>位置</w:t>
            </w:r>
          </w:p>
        </w:tc>
        <w:tc>
          <w:tcPr>
            <w:tcW w:w="1275" w:type="dxa"/>
            <w:noWrap w:val="0"/>
            <w:vAlign w:val="center"/>
          </w:tcPr>
          <w:p w14:paraId="537D9C13">
            <w:pPr>
              <w:spacing w:line="300" w:lineRule="exact"/>
              <w:jc w:val="center"/>
              <w:rPr>
                <w:rFonts w:eastAsia="楷体_GB2312"/>
                <w:szCs w:val="21"/>
              </w:rPr>
            </w:pPr>
            <w:r>
              <w:rPr>
                <w:rFonts w:eastAsia="楷体_GB2312"/>
                <w:szCs w:val="21"/>
              </w:rPr>
              <w:t>土地面积（平方米）</w:t>
            </w:r>
          </w:p>
        </w:tc>
        <w:tc>
          <w:tcPr>
            <w:tcW w:w="1706" w:type="dxa"/>
            <w:noWrap w:val="0"/>
            <w:vAlign w:val="center"/>
          </w:tcPr>
          <w:p w14:paraId="009F21AE">
            <w:pPr>
              <w:spacing w:line="300" w:lineRule="exact"/>
              <w:jc w:val="center"/>
              <w:rPr>
                <w:rFonts w:eastAsia="楷体_GB2312"/>
                <w:szCs w:val="21"/>
              </w:rPr>
            </w:pPr>
            <w:r>
              <w:rPr>
                <w:rFonts w:eastAsia="楷体_GB2312"/>
                <w:szCs w:val="21"/>
              </w:rPr>
              <w:t>土地使用权价格（元/平方米）</w:t>
            </w:r>
          </w:p>
        </w:tc>
      </w:tr>
      <w:tr w14:paraId="4B893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35" w:type="dxa"/>
            <w:noWrap w:val="0"/>
            <w:vAlign w:val="center"/>
          </w:tcPr>
          <w:p w14:paraId="526A01E6">
            <w:pPr>
              <w:spacing w:line="300" w:lineRule="exact"/>
              <w:jc w:val="center"/>
              <w:rPr>
                <w:rFonts w:eastAsia="楷体_GB2312"/>
                <w:szCs w:val="21"/>
              </w:rPr>
            </w:pPr>
            <w:r>
              <w:rPr>
                <w:rFonts w:eastAsia="楷体_GB2312"/>
                <w:szCs w:val="21"/>
              </w:rPr>
              <w:t>1</w:t>
            </w:r>
          </w:p>
        </w:tc>
        <w:tc>
          <w:tcPr>
            <w:tcW w:w="1270" w:type="dxa"/>
            <w:noWrap w:val="0"/>
            <w:vAlign w:val="center"/>
          </w:tcPr>
          <w:p w14:paraId="04A34F57">
            <w:pPr>
              <w:spacing w:line="300" w:lineRule="exact"/>
              <w:jc w:val="center"/>
              <w:rPr>
                <w:rFonts w:eastAsia="楷体_GB2312"/>
                <w:szCs w:val="21"/>
              </w:rPr>
            </w:pPr>
            <w:r>
              <w:rPr>
                <w:rFonts w:hint="eastAsia" w:eastAsia="楷体_GB2312"/>
                <w:szCs w:val="21"/>
              </w:rPr>
              <w:t>医疗卫生用地</w:t>
            </w:r>
          </w:p>
        </w:tc>
        <w:tc>
          <w:tcPr>
            <w:tcW w:w="2026" w:type="dxa"/>
            <w:noWrap w:val="0"/>
            <w:vAlign w:val="center"/>
          </w:tcPr>
          <w:p w14:paraId="51478531">
            <w:pPr>
              <w:spacing w:line="300" w:lineRule="exact"/>
              <w:jc w:val="center"/>
              <w:rPr>
                <w:rFonts w:eastAsia="楷体_GB2312"/>
                <w:szCs w:val="21"/>
              </w:rPr>
            </w:pPr>
            <w:r>
              <w:rPr>
                <w:rFonts w:hint="eastAsia" w:eastAsia="楷体_GB2312"/>
                <w:szCs w:val="21"/>
              </w:rPr>
              <w:t>宿州市祁北医院有限公司用地</w:t>
            </w:r>
          </w:p>
        </w:tc>
        <w:tc>
          <w:tcPr>
            <w:tcW w:w="1660" w:type="dxa"/>
            <w:noWrap w:val="0"/>
            <w:vAlign w:val="center"/>
          </w:tcPr>
          <w:p w14:paraId="667847F0">
            <w:pPr>
              <w:spacing w:line="300" w:lineRule="exact"/>
              <w:jc w:val="center"/>
              <w:rPr>
                <w:rFonts w:eastAsia="楷体_GB2312"/>
                <w:szCs w:val="21"/>
              </w:rPr>
            </w:pPr>
            <w:r>
              <w:rPr>
                <w:rFonts w:hint="eastAsia" w:eastAsia="楷体_GB2312"/>
                <w:szCs w:val="21"/>
              </w:rPr>
              <w:t>祁县镇祁北</w:t>
            </w:r>
          </w:p>
        </w:tc>
        <w:tc>
          <w:tcPr>
            <w:tcW w:w="1275" w:type="dxa"/>
            <w:noWrap w:val="0"/>
            <w:vAlign w:val="center"/>
          </w:tcPr>
          <w:p w14:paraId="669C6A33">
            <w:pPr>
              <w:spacing w:line="300" w:lineRule="exact"/>
              <w:jc w:val="center"/>
              <w:rPr>
                <w:rFonts w:eastAsia="楷体_GB2312"/>
                <w:szCs w:val="21"/>
              </w:rPr>
            </w:pPr>
            <w:r>
              <w:rPr>
                <w:rFonts w:hint="eastAsia" w:eastAsia="楷体_GB2312"/>
                <w:szCs w:val="21"/>
              </w:rPr>
              <w:t>3124</w:t>
            </w:r>
          </w:p>
        </w:tc>
        <w:tc>
          <w:tcPr>
            <w:tcW w:w="1706" w:type="dxa"/>
            <w:noWrap w:val="0"/>
            <w:vAlign w:val="center"/>
          </w:tcPr>
          <w:p w14:paraId="4F51D037">
            <w:pPr>
              <w:spacing w:line="300" w:lineRule="exact"/>
              <w:jc w:val="center"/>
              <w:rPr>
                <w:rFonts w:eastAsia="楷体_GB2312"/>
                <w:szCs w:val="21"/>
              </w:rPr>
            </w:pPr>
            <w:r>
              <w:rPr>
                <w:rFonts w:eastAsia="楷体_GB2312"/>
                <w:szCs w:val="21"/>
              </w:rPr>
              <w:t>750</w:t>
            </w:r>
          </w:p>
        </w:tc>
      </w:tr>
      <w:tr w14:paraId="124E7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1135" w:type="dxa"/>
            <w:noWrap w:val="0"/>
            <w:vAlign w:val="center"/>
          </w:tcPr>
          <w:p w14:paraId="098F6B6E">
            <w:pPr>
              <w:spacing w:line="300" w:lineRule="exact"/>
              <w:jc w:val="center"/>
              <w:rPr>
                <w:rFonts w:eastAsia="楷体_GB2312"/>
                <w:szCs w:val="21"/>
              </w:rPr>
            </w:pPr>
            <w:r>
              <w:rPr>
                <w:rFonts w:eastAsia="楷体_GB2312"/>
                <w:szCs w:val="21"/>
              </w:rPr>
              <w:t>2</w:t>
            </w:r>
          </w:p>
        </w:tc>
        <w:tc>
          <w:tcPr>
            <w:tcW w:w="1270" w:type="dxa"/>
            <w:noWrap w:val="0"/>
            <w:vAlign w:val="center"/>
          </w:tcPr>
          <w:p w14:paraId="36FDA0D7">
            <w:pPr>
              <w:jc w:val="center"/>
              <w:rPr>
                <w:rFonts w:eastAsia="楷体_GB2312"/>
                <w:szCs w:val="21"/>
              </w:rPr>
            </w:pPr>
            <w:r>
              <w:rPr>
                <w:rFonts w:hint="eastAsia" w:eastAsia="楷体_GB2312"/>
                <w:szCs w:val="21"/>
              </w:rPr>
              <w:t>批发零售</w:t>
            </w:r>
          </w:p>
        </w:tc>
        <w:tc>
          <w:tcPr>
            <w:tcW w:w="2026" w:type="dxa"/>
            <w:noWrap w:val="0"/>
            <w:vAlign w:val="center"/>
          </w:tcPr>
          <w:p w14:paraId="08FE7636">
            <w:pPr>
              <w:jc w:val="center"/>
              <w:rPr>
                <w:rFonts w:eastAsia="楷体_GB2312"/>
                <w:szCs w:val="21"/>
              </w:rPr>
            </w:pPr>
            <w:r>
              <w:rPr>
                <w:rFonts w:hint="eastAsia" w:eastAsia="楷体_GB2312"/>
                <w:szCs w:val="21"/>
              </w:rPr>
              <w:t>中国石油天然气股份有限公司安徽销售分公司</w:t>
            </w:r>
          </w:p>
        </w:tc>
        <w:tc>
          <w:tcPr>
            <w:tcW w:w="1660" w:type="dxa"/>
            <w:noWrap w:val="0"/>
            <w:vAlign w:val="center"/>
          </w:tcPr>
          <w:p w14:paraId="14564FF8">
            <w:pPr>
              <w:jc w:val="center"/>
              <w:rPr>
                <w:rFonts w:eastAsia="楷体_GB2312"/>
                <w:szCs w:val="21"/>
              </w:rPr>
            </w:pPr>
            <w:r>
              <w:rPr>
                <w:rFonts w:hint="eastAsia" w:eastAsia="楷体_GB2312"/>
                <w:szCs w:val="21"/>
              </w:rPr>
              <w:t>朱仙庄镇矿南村</w:t>
            </w:r>
          </w:p>
        </w:tc>
        <w:tc>
          <w:tcPr>
            <w:tcW w:w="1275" w:type="dxa"/>
            <w:noWrap w:val="0"/>
            <w:vAlign w:val="center"/>
          </w:tcPr>
          <w:p w14:paraId="0741034A">
            <w:pPr>
              <w:jc w:val="center"/>
              <w:rPr>
                <w:rFonts w:eastAsia="楷体_GB2312"/>
                <w:szCs w:val="21"/>
              </w:rPr>
            </w:pPr>
            <w:r>
              <w:rPr>
                <w:rFonts w:hint="eastAsia" w:eastAsia="楷体_GB2312"/>
                <w:szCs w:val="21"/>
              </w:rPr>
              <w:t>6.7</w:t>
            </w:r>
          </w:p>
        </w:tc>
        <w:tc>
          <w:tcPr>
            <w:tcW w:w="1706" w:type="dxa"/>
            <w:noWrap w:val="0"/>
            <w:vAlign w:val="center"/>
          </w:tcPr>
          <w:p w14:paraId="2E449187">
            <w:pPr>
              <w:jc w:val="center"/>
              <w:rPr>
                <w:rFonts w:eastAsia="楷体_GB2312"/>
                <w:szCs w:val="21"/>
              </w:rPr>
            </w:pPr>
            <w:r>
              <w:rPr>
                <w:rFonts w:hint="eastAsia" w:eastAsia="楷体_GB2312"/>
                <w:szCs w:val="21"/>
              </w:rPr>
              <w:t>1089</w:t>
            </w:r>
          </w:p>
        </w:tc>
      </w:tr>
    </w:tbl>
    <w:p w14:paraId="15E009E8">
      <w:pPr>
        <w:spacing w:line="480" w:lineRule="exact"/>
        <w:ind w:firstLine="560" w:firstLineChars="200"/>
        <w:rPr>
          <w:rFonts w:eastAsia="楷体_GB2312"/>
          <w:sz w:val="28"/>
          <w:szCs w:val="21"/>
        </w:rPr>
      </w:pPr>
      <w:r>
        <w:rPr>
          <w:rFonts w:eastAsia="楷体_GB2312"/>
          <w:sz w:val="28"/>
          <w:szCs w:val="21"/>
        </w:rPr>
        <w:t>通过对比</w:t>
      </w:r>
      <w:r>
        <w:rPr>
          <w:rFonts w:hint="eastAsia" w:eastAsia="楷体_GB2312"/>
          <w:sz w:val="28"/>
          <w:szCs w:val="21"/>
        </w:rPr>
        <w:t>医疗卫生</w:t>
      </w:r>
      <w:r>
        <w:rPr>
          <w:rFonts w:eastAsia="楷体_GB2312"/>
          <w:sz w:val="28"/>
          <w:szCs w:val="21"/>
        </w:rPr>
        <w:t>用地与商服用地正常市场交易价格，经测算，其价格比为0.</w:t>
      </w:r>
      <w:r>
        <w:rPr>
          <w:rFonts w:hint="eastAsia" w:eastAsia="楷体_GB2312"/>
          <w:sz w:val="28"/>
          <w:szCs w:val="21"/>
        </w:rPr>
        <w:t>69</w:t>
      </w:r>
      <w:r>
        <w:rPr>
          <w:rFonts w:eastAsia="楷体_GB2312"/>
          <w:sz w:val="28"/>
          <w:szCs w:val="21"/>
        </w:rPr>
        <w:t>，故确定</w:t>
      </w:r>
      <w:r>
        <w:rPr>
          <w:rFonts w:hint="eastAsia" w:ascii="楷体" w:hAnsi="楷体" w:eastAsia="楷体" w:cs="宋体"/>
          <w:sz w:val="28"/>
        </w:rPr>
        <w:t>埇</w:t>
      </w:r>
      <w:r>
        <w:rPr>
          <w:rFonts w:hint="eastAsia" w:ascii="楷体_GB2312" w:hAnsi="楷体_GB2312" w:eastAsia="楷体_GB2312" w:cs="楷体_GB2312"/>
          <w:sz w:val="28"/>
          <w:szCs w:val="21"/>
        </w:rPr>
        <w:t>桥区</w:t>
      </w:r>
      <w:r>
        <w:rPr>
          <w:rFonts w:eastAsia="楷体_GB2312"/>
          <w:sz w:val="28"/>
          <w:szCs w:val="21"/>
        </w:rPr>
        <w:t>乡镇</w:t>
      </w:r>
      <w:r>
        <w:rPr>
          <w:rFonts w:hint="eastAsia" w:eastAsia="楷体_GB2312"/>
          <w:sz w:val="28"/>
          <w:szCs w:val="21"/>
        </w:rPr>
        <w:t>医疗卫生</w:t>
      </w:r>
      <w:r>
        <w:rPr>
          <w:rFonts w:eastAsia="楷体_GB2312"/>
          <w:sz w:val="28"/>
          <w:szCs w:val="21"/>
        </w:rPr>
        <w:t>用地对比商服用地的用途修正系数为0.</w:t>
      </w:r>
      <w:r>
        <w:rPr>
          <w:rFonts w:hint="eastAsia" w:eastAsia="楷体_GB2312"/>
          <w:sz w:val="28"/>
          <w:szCs w:val="21"/>
        </w:rPr>
        <w:t>69</w:t>
      </w:r>
      <w:r>
        <w:rPr>
          <w:rFonts w:eastAsia="楷体_GB2312"/>
          <w:sz w:val="28"/>
          <w:szCs w:val="21"/>
        </w:rPr>
        <w:t>。</w:t>
      </w:r>
    </w:p>
    <w:p w14:paraId="4F50B159">
      <w:pPr>
        <w:widowControl w:val="0"/>
        <w:spacing w:line="480" w:lineRule="exact"/>
        <w:ind w:firstLine="560" w:firstLineChars="200"/>
        <w:jc w:val="both"/>
        <w:rPr>
          <w:rFonts w:eastAsia="楷体_GB2312"/>
          <w:sz w:val="28"/>
          <w:szCs w:val="21"/>
        </w:rPr>
      </w:pPr>
      <w:r>
        <w:rPr>
          <w:rFonts w:eastAsia="楷体_GB2312"/>
          <w:sz w:val="28"/>
          <w:szCs w:val="21"/>
        </w:rPr>
        <w:t>因此，</w:t>
      </w:r>
      <w:r>
        <w:rPr>
          <w:rFonts w:eastAsia="楷体_GB2312"/>
          <w:sz w:val="28"/>
        </w:rPr>
        <w:t>本次通过商服用地的租金进行用途修正测算出公管公服用地中</w:t>
      </w:r>
      <w:r>
        <w:rPr>
          <w:rFonts w:hint="eastAsia" w:eastAsia="楷体_GB2312"/>
          <w:sz w:val="28"/>
          <w:szCs w:val="21"/>
        </w:rPr>
        <w:t>医疗卫生</w:t>
      </w:r>
      <w:r>
        <w:rPr>
          <w:rFonts w:eastAsia="楷体_GB2312"/>
          <w:sz w:val="28"/>
        </w:rPr>
        <w:t>用地的租金，并求取待估项目经营获得的土地纯利润，以适当的还原利率折算作为估算土地价格。</w:t>
      </w:r>
      <w:r>
        <w:rPr>
          <w:rFonts w:eastAsia="楷体_GB2312"/>
          <w:sz w:val="28"/>
          <w:szCs w:val="21"/>
        </w:rPr>
        <w:t>因此确定</w:t>
      </w:r>
      <w:r>
        <w:rPr>
          <w:rFonts w:hint="eastAsia" w:ascii="楷体" w:hAnsi="楷体" w:eastAsia="楷体" w:cs="宋体"/>
          <w:sz w:val="28"/>
        </w:rPr>
        <w:t>埇</w:t>
      </w:r>
      <w:r>
        <w:rPr>
          <w:rFonts w:hint="eastAsia" w:ascii="楷体_GB2312" w:hAnsi="楷体_GB2312" w:eastAsia="楷体_GB2312" w:cs="楷体_GB2312"/>
          <w:sz w:val="28"/>
        </w:rPr>
        <w:t>桥区</w:t>
      </w:r>
      <w:r>
        <w:rPr>
          <w:rFonts w:eastAsia="楷体_GB2312"/>
          <w:sz w:val="28"/>
        </w:rPr>
        <w:t>乡镇</w:t>
      </w:r>
      <w:r>
        <w:rPr>
          <w:rFonts w:eastAsia="楷体_GB2312"/>
          <w:sz w:val="28"/>
          <w:szCs w:val="21"/>
        </w:rPr>
        <w:t>公共管理与公共服务用地基准地价修正基础为</w:t>
      </w:r>
      <w:r>
        <w:rPr>
          <w:rFonts w:hint="eastAsia" w:eastAsia="楷体_GB2312"/>
          <w:sz w:val="28"/>
          <w:szCs w:val="21"/>
        </w:rPr>
        <w:t>医疗卫生</w:t>
      </w:r>
      <w:r>
        <w:rPr>
          <w:rFonts w:eastAsia="楷体_GB2312"/>
          <w:sz w:val="28"/>
          <w:szCs w:val="21"/>
        </w:rPr>
        <w:t>用地土地价格。</w:t>
      </w:r>
    </w:p>
    <w:p w14:paraId="66459C40">
      <w:pPr>
        <w:widowControl w:val="0"/>
        <w:spacing w:line="460" w:lineRule="exact"/>
        <w:ind w:firstLine="562" w:firstLineChars="200"/>
        <w:jc w:val="both"/>
        <w:rPr>
          <w:rFonts w:eastAsia="楷体_GB2312"/>
          <w:b/>
          <w:sz w:val="28"/>
          <w:szCs w:val="21"/>
        </w:rPr>
      </w:pPr>
      <w:r>
        <w:rPr>
          <w:rFonts w:eastAsia="楷体_GB2312"/>
          <w:b/>
          <w:sz w:val="28"/>
          <w:szCs w:val="21"/>
        </w:rPr>
        <w:t>3、收益还原法测算过程</w:t>
      </w:r>
    </w:p>
    <w:p w14:paraId="40CBFB2F">
      <w:pPr>
        <w:widowControl w:val="0"/>
        <w:spacing w:line="480" w:lineRule="exact"/>
        <w:ind w:firstLine="560" w:firstLineChars="200"/>
        <w:jc w:val="both"/>
        <w:rPr>
          <w:rFonts w:eastAsia="楷体_GB2312"/>
          <w:sz w:val="28"/>
          <w:szCs w:val="21"/>
        </w:rPr>
      </w:pPr>
      <w:r>
        <w:rPr>
          <w:rFonts w:eastAsia="楷体_GB2312"/>
          <w:sz w:val="28"/>
          <w:szCs w:val="21"/>
        </w:rPr>
        <w:t>收益还原法就是将公共管理与公共服务用地未来正常情况下的经营获得的土地年纯收益，用一定的土地还原率折算，来作为估算土地价格的方法。项目经营利润由资金、劳动力和土地等生产要素产生，故求取土地纯收益可以从项目经营的总收益中，扣除经营成本及资本、劳动力所产生的收益中得到。</w:t>
      </w:r>
    </w:p>
    <w:p w14:paraId="622D711A">
      <w:pPr>
        <w:widowControl w:val="0"/>
        <w:spacing w:line="480" w:lineRule="exact"/>
        <w:ind w:firstLine="560" w:firstLineChars="200"/>
        <w:jc w:val="both"/>
        <w:rPr>
          <w:rFonts w:eastAsia="楷体_GB2312"/>
          <w:sz w:val="28"/>
          <w:szCs w:val="21"/>
        </w:rPr>
      </w:pPr>
      <w:r>
        <w:rPr>
          <w:rFonts w:eastAsia="楷体_GB2312"/>
          <w:sz w:val="28"/>
          <w:szCs w:val="21"/>
        </w:rPr>
        <w:t>Z=a-b-c-d-e-f</w:t>
      </w:r>
    </w:p>
    <w:p w14:paraId="1A46C6C4">
      <w:pPr>
        <w:widowControl w:val="0"/>
        <w:spacing w:line="480" w:lineRule="exact"/>
        <w:ind w:firstLine="560" w:firstLineChars="200"/>
        <w:jc w:val="both"/>
        <w:rPr>
          <w:rFonts w:eastAsia="楷体_GB2312"/>
          <w:sz w:val="28"/>
          <w:szCs w:val="21"/>
        </w:rPr>
      </w:pPr>
      <w:r>
        <w:rPr>
          <w:rFonts w:eastAsia="楷体_GB2312"/>
          <w:sz w:val="28"/>
          <w:szCs w:val="21"/>
        </w:rPr>
        <w:t>其中，Z－土地纯收益；</w:t>
      </w:r>
    </w:p>
    <w:p w14:paraId="7464A15A">
      <w:pPr>
        <w:widowControl w:val="0"/>
        <w:spacing w:line="480" w:lineRule="exact"/>
        <w:ind w:firstLine="1400"/>
        <w:jc w:val="both"/>
        <w:rPr>
          <w:rFonts w:eastAsia="楷体_GB2312"/>
          <w:sz w:val="28"/>
          <w:szCs w:val="21"/>
        </w:rPr>
      </w:pPr>
      <w:r>
        <w:rPr>
          <w:rFonts w:eastAsia="楷体_GB2312"/>
          <w:sz w:val="28"/>
          <w:szCs w:val="21"/>
        </w:rPr>
        <w:t>a－经营总收入；</w:t>
      </w:r>
    </w:p>
    <w:p w14:paraId="2500E661">
      <w:pPr>
        <w:widowControl w:val="0"/>
        <w:spacing w:line="480" w:lineRule="exact"/>
        <w:ind w:firstLine="1400"/>
        <w:jc w:val="both"/>
        <w:rPr>
          <w:rFonts w:eastAsia="楷体_GB2312"/>
          <w:sz w:val="28"/>
          <w:szCs w:val="21"/>
        </w:rPr>
      </w:pPr>
      <w:r>
        <w:rPr>
          <w:rFonts w:eastAsia="楷体_GB2312"/>
          <w:sz w:val="28"/>
          <w:szCs w:val="21"/>
        </w:rPr>
        <w:t>b－年经营总费用</w:t>
      </w:r>
    </w:p>
    <w:p w14:paraId="6872C8A8">
      <w:pPr>
        <w:widowControl w:val="0"/>
        <w:spacing w:line="480" w:lineRule="exact"/>
        <w:ind w:firstLine="1400"/>
        <w:jc w:val="both"/>
        <w:rPr>
          <w:rFonts w:eastAsia="楷体_GB2312"/>
          <w:sz w:val="28"/>
          <w:szCs w:val="21"/>
        </w:rPr>
      </w:pPr>
      <w:r>
        <w:rPr>
          <w:rFonts w:eastAsia="楷体_GB2312"/>
          <w:sz w:val="28"/>
          <w:szCs w:val="21"/>
        </w:rPr>
        <w:t>c－折旧费；</w:t>
      </w:r>
    </w:p>
    <w:p w14:paraId="3F549C82">
      <w:pPr>
        <w:widowControl w:val="0"/>
        <w:spacing w:line="480" w:lineRule="exact"/>
        <w:ind w:firstLine="1400"/>
        <w:jc w:val="both"/>
        <w:rPr>
          <w:rFonts w:eastAsia="楷体_GB2312"/>
          <w:sz w:val="28"/>
          <w:szCs w:val="21"/>
        </w:rPr>
      </w:pPr>
      <w:r>
        <w:rPr>
          <w:rFonts w:eastAsia="楷体_GB2312"/>
          <w:sz w:val="28"/>
          <w:szCs w:val="21"/>
        </w:rPr>
        <w:t>d－房屋纯收益</w:t>
      </w:r>
    </w:p>
    <w:p w14:paraId="3864A450">
      <w:pPr>
        <w:widowControl w:val="0"/>
        <w:spacing w:line="480" w:lineRule="exact"/>
        <w:ind w:firstLine="1400"/>
        <w:jc w:val="both"/>
        <w:rPr>
          <w:rFonts w:eastAsia="楷体_GB2312"/>
          <w:sz w:val="28"/>
          <w:szCs w:val="21"/>
        </w:rPr>
      </w:pPr>
      <w:r>
        <w:rPr>
          <w:rFonts w:eastAsia="楷体_GB2312"/>
          <w:sz w:val="28"/>
          <w:szCs w:val="21"/>
        </w:rPr>
        <w:t>e－流动资产投资收益</w:t>
      </w:r>
    </w:p>
    <w:p w14:paraId="728542AA">
      <w:pPr>
        <w:widowControl w:val="0"/>
        <w:spacing w:line="480" w:lineRule="exact"/>
        <w:ind w:firstLine="1400"/>
        <w:jc w:val="both"/>
        <w:rPr>
          <w:rFonts w:eastAsia="楷体_GB2312"/>
          <w:sz w:val="28"/>
          <w:szCs w:val="21"/>
        </w:rPr>
      </w:pPr>
      <w:r>
        <w:rPr>
          <w:rFonts w:eastAsia="楷体_GB2312"/>
          <w:sz w:val="28"/>
          <w:szCs w:val="21"/>
        </w:rPr>
        <w:t>f－土地、房屋之外的固定资产投资收益</w:t>
      </w:r>
    </w:p>
    <w:p w14:paraId="6D1B4BD2">
      <w:pPr>
        <w:widowControl w:val="0"/>
        <w:spacing w:line="480" w:lineRule="exact"/>
        <w:ind w:firstLine="560" w:firstLineChars="200"/>
        <w:jc w:val="both"/>
        <w:rPr>
          <w:rFonts w:eastAsia="楷体_GB2312"/>
          <w:sz w:val="28"/>
          <w:szCs w:val="21"/>
        </w:rPr>
      </w:pPr>
      <w:r>
        <w:rPr>
          <w:rFonts w:eastAsia="楷体_GB2312"/>
          <w:sz w:val="28"/>
          <w:szCs w:val="21"/>
        </w:rPr>
        <w:t>以资金的投资收益率和资金利率为基础，结合风险大小修正确定土地还原率。最终测算出土地价格。</w:t>
      </w:r>
    </w:p>
    <w:p w14:paraId="6A4318F7">
      <w:pPr>
        <w:widowControl w:val="0"/>
        <w:spacing w:line="480" w:lineRule="exact"/>
        <w:ind w:firstLine="560" w:firstLineChars="200"/>
        <w:jc w:val="both"/>
        <w:rPr>
          <w:rFonts w:eastAsia="楷体_GB2312"/>
          <w:sz w:val="28"/>
          <w:szCs w:val="21"/>
        </w:rPr>
      </w:pPr>
    </w:p>
    <w:p w14:paraId="3988CAC5">
      <w:pPr>
        <w:widowControl w:val="0"/>
        <w:spacing w:line="480" w:lineRule="exact"/>
        <w:ind w:firstLine="1960" w:firstLineChars="700"/>
        <w:jc w:val="both"/>
        <w:rPr>
          <w:rFonts w:eastAsia="楷体_GB2312"/>
          <w:sz w:val="28"/>
          <w:szCs w:val="21"/>
        </w:rPr>
      </w:pPr>
      <w:r>
        <w:rPr>
          <w:rFonts w:eastAsia="楷体_GB2312"/>
          <w:sz w:val="28"/>
          <w:szCs w:val="21"/>
        </w:rPr>
        <w:drawing>
          <wp:inline distT="0" distB="0" distL="114300" distR="114300">
            <wp:extent cx="1333500" cy="495300"/>
            <wp:effectExtent l="0" t="0" r="0" b="0"/>
            <wp:docPr id="7" name="图片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34"/>
                    <pic:cNvPicPr>
                      <a:picLocks noChangeAspect="1"/>
                    </pic:cNvPicPr>
                  </pic:nvPicPr>
                  <pic:blipFill>
                    <a:blip r:embed="rId345"/>
                    <a:stretch>
                      <a:fillRect/>
                    </a:stretch>
                  </pic:blipFill>
                  <pic:spPr>
                    <a:xfrm>
                      <a:off x="0" y="0"/>
                      <a:ext cx="1333500" cy="495300"/>
                    </a:xfrm>
                    <a:prstGeom prst="rect">
                      <a:avLst/>
                    </a:prstGeom>
                    <a:noFill/>
                    <a:ln>
                      <a:noFill/>
                    </a:ln>
                  </pic:spPr>
                </pic:pic>
              </a:graphicData>
            </a:graphic>
          </wp:inline>
        </w:drawing>
      </w:r>
    </w:p>
    <w:p w14:paraId="00106CEF">
      <w:pPr>
        <w:widowControl w:val="0"/>
        <w:spacing w:line="480" w:lineRule="exact"/>
        <w:jc w:val="both"/>
        <w:rPr>
          <w:rFonts w:eastAsia="楷体_GB2312"/>
          <w:sz w:val="28"/>
          <w:szCs w:val="21"/>
        </w:rPr>
      </w:pPr>
      <w:r>
        <w:rPr>
          <w:rFonts w:eastAsia="楷体_GB2312"/>
          <w:sz w:val="28"/>
          <w:szCs w:val="21"/>
        </w:rPr>
        <w:t>式中：</w:t>
      </w:r>
      <w:r>
        <w:rPr>
          <w:rFonts w:eastAsia="楷体_GB2312"/>
          <w:sz w:val="28"/>
          <w:szCs w:val="21"/>
        </w:rPr>
        <w:object>
          <v:shape id="_x0000_i1209" o:spt="75" type="#_x0000_t75" style="height:13pt;width:12pt;" o:ole="t" filled="f" o:preferrelative="t" stroked="f" coordsize="21600,21600">
            <v:path/>
            <v:fill on="f" focussize="0,0"/>
            <v:stroke on="f"/>
            <v:imagedata r:id="rId347" o:title=""/>
            <o:lock v:ext="edit" grouping="f" rotation="f" text="f" aspectratio="t"/>
            <w10:wrap type="none"/>
            <w10:anchorlock/>
          </v:shape>
          <o:OLEObject Type="Embed" ProgID="Equation.3" ShapeID="_x0000_i1209" DrawAspect="Content" ObjectID="_1468075909" r:id="rId346">
            <o:LockedField>false</o:LockedField>
          </o:OLEObject>
        </w:object>
      </w:r>
      <w:r>
        <w:rPr>
          <w:rFonts w:eastAsia="楷体_GB2312"/>
          <w:sz w:val="28"/>
          <w:szCs w:val="21"/>
        </w:rPr>
        <w:t>－地价</w:t>
      </w:r>
    </w:p>
    <w:p w14:paraId="02AB3150">
      <w:pPr>
        <w:widowControl w:val="0"/>
        <w:spacing w:line="480" w:lineRule="exact"/>
        <w:ind w:firstLine="840" w:firstLineChars="300"/>
        <w:jc w:val="both"/>
        <w:rPr>
          <w:rFonts w:eastAsia="楷体_GB2312"/>
          <w:sz w:val="28"/>
          <w:szCs w:val="21"/>
        </w:rPr>
      </w:pPr>
      <w:r>
        <w:rPr>
          <w:rFonts w:eastAsia="楷体_GB2312"/>
          <w:sz w:val="28"/>
          <w:szCs w:val="21"/>
        </w:rPr>
        <w:object>
          <v:shape id="_x0000_i1210" o:spt="75" type="#_x0000_t75" style="height:11pt;width:10pt;" o:ole="t" filled="f" o:preferrelative="t" stroked="f" coordsize="21600,21600">
            <v:path/>
            <v:fill on="f" focussize="0,0"/>
            <v:stroke on="f"/>
            <v:imagedata r:id="rId349" o:title=""/>
            <o:lock v:ext="edit" grouping="f" rotation="f" text="f" aspectratio="t"/>
            <w10:wrap type="none"/>
            <w10:anchorlock/>
          </v:shape>
          <o:OLEObject Type="Embed" ProgID="Equation.3" ShapeID="_x0000_i1210" DrawAspect="Content" ObjectID="_1468075910" r:id="rId348">
            <o:LockedField>false</o:LockedField>
          </o:OLEObject>
        </w:object>
      </w:r>
      <w:r>
        <w:rPr>
          <w:rFonts w:eastAsia="楷体_GB2312"/>
          <w:sz w:val="28"/>
          <w:szCs w:val="21"/>
        </w:rPr>
        <w:t>－土地年纯收益</w:t>
      </w:r>
    </w:p>
    <w:p w14:paraId="47E9362E">
      <w:pPr>
        <w:widowControl w:val="0"/>
        <w:spacing w:line="480" w:lineRule="exact"/>
        <w:ind w:firstLine="840" w:firstLineChars="300"/>
        <w:jc w:val="both"/>
        <w:rPr>
          <w:rFonts w:eastAsia="楷体_GB2312"/>
          <w:sz w:val="28"/>
          <w:szCs w:val="21"/>
        </w:rPr>
      </w:pPr>
      <w:r>
        <w:rPr>
          <w:rFonts w:eastAsia="楷体_GB2312"/>
          <w:sz w:val="28"/>
          <w:szCs w:val="21"/>
        </w:rPr>
        <w:object>
          <v:shape id="_x0000_i1211" o:spt="75" type="#_x0000_t75" style="height:10pt;width:9pt;" o:ole="t" filled="f" o:preferrelative="t" stroked="f" coordsize="21600,21600">
            <v:path/>
            <v:fill on="f" focussize="0,0"/>
            <v:stroke on="f"/>
            <v:imagedata r:id="rId351" o:title=""/>
            <o:lock v:ext="edit" grouping="f" rotation="f" text="f" aspectratio="t"/>
            <w10:wrap type="none"/>
            <w10:anchorlock/>
          </v:shape>
          <o:OLEObject Type="Embed" ProgID="Equation.3" ShapeID="_x0000_i1211" DrawAspect="Content" ObjectID="_1468075911" r:id="rId350">
            <o:LockedField>false</o:LockedField>
          </o:OLEObject>
        </w:object>
      </w:r>
      <w:r>
        <w:rPr>
          <w:rFonts w:eastAsia="楷体_GB2312"/>
          <w:sz w:val="28"/>
          <w:szCs w:val="21"/>
        </w:rPr>
        <w:t>－土地还原率[土地还原率按评估期日时中国人民银行公布的一年期（含一年）存款利率1.5%，再加上一定的风险因素调整值，按6％计]</w:t>
      </w:r>
    </w:p>
    <w:p w14:paraId="22A14B91">
      <w:pPr>
        <w:widowControl w:val="0"/>
        <w:spacing w:line="480" w:lineRule="exact"/>
        <w:ind w:firstLine="840" w:firstLineChars="300"/>
        <w:jc w:val="both"/>
        <w:rPr>
          <w:rFonts w:eastAsia="楷体_GB2312"/>
          <w:sz w:val="28"/>
          <w:szCs w:val="21"/>
        </w:rPr>
      </w:pPr>
      <w:r>
        <w:rPr>
          <w:rFonts w:eastAsia="楷体_GB2312"/>
          <w:sz w:val="28"/>
          <w:szCs w:val="21"/>
        </w:rPr>
        <w:object>
          <v:shape id="_x0000_i1212" o:spt="75" type="#_x0000_t75" style="height:11pt;width:10pt;" o:ole="t" filled="f" o:preferrelative="t" stroked="f" coordsize="21600,21600">
            <v:path/>
            <v:fill on="f" focussize="0,0"/>
            <v:stroke on="f"/>
            <v:imagedata r:id="rId353" o:title=""/>
            <o:lock v:ext="edit" grouping="f" rotation="f" text="f" aspectratio="t"/>
            <w10:wrap type="none"/>
            <w10:anchorlock/>
          </v:shape>
          <o:OLEObject Type="Embed" ProgID="Equation.3" ShapeID="_x0000_i1212" DrawAspect="Content" ObjectID="_1468075912" r:id="rId352">
            <o:LockedField>false</o:LockedField>
          </o:OLEObject>
        </w:object>
      </w:r>
      <w:r>
        <w:rPr>
          <w:rFonts w:eastAsia="楷体_GB2312"/>
          <w:sz w:val="28"/>
          <w:szCs w:val="21"/>
        </w:rPr>
        <w:t>－使用土地的年期或有土地收益的年期</w:t>
      </w:r>
    </w:p>
    <w:p w14:paraId="1168FC05">
      <w:pPr>
        <w:widowControl w:val="0"/>
        <w:spacing w:line="480" w:lineRule="exact"/>
        <w:ind w:firstLine="560" w:firstLineChars="200"/>
        <w:jc w:val="center"/>
        <w:rPr>
          <w:rFonts w:eastAsia="黑体"/>
          <w:sz w:val="28"/>
          <w:szCs w:val="21"/>
        </w:rPr>
      </w:pPr>
      <w:r>
        <w:rPr>
          <w:rFonts w:eastAsia="黑体"/>
          <w:sz w:val="28"/>
          <w:szCs w:val="21"/>
        </w:rPr>
        <w:t>表2-6-3 收益还原法测算表（取一个样点举例说明）</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0"/>
        <w:gridCol w:w="1847"/>
        <w:gridCol w:w="3865"/>
      </w:tblGrid>
      <w:tr w14:paraId="11D5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60" w:type="dxa"/>
            <w:noWrap w:val="0"/>
            <w:vAlign w:val="center"/>
          </w:tcPr>
          <w:p w14:paraId="31F1E283">
            <w:pPr>
              <w:widowControl w:val="0"/>
              <w:spacing w:line="300" w:lineRule="exact"/>
              <w:jc w:val="center"/>
              <w:rPr>
                <w:rFonts w:eastAsia="楷体_GB2312"/>
                <w:szCs w:val="21"/>
              </w:rPr>
            </w:pPr>
            <w:r>
              <w:rPr>
                <w:rFonts w:eastAsia="楷体_GB2312"/>
                <w:szCs w:val="21"/>
              </w:rPr>
              <w:t>类    别</w:t>
            </w:r>
          </w:p>
        </w:tc>
        <w:tc>
          <w:tcPr>
            <w:tcW w:w="1847" w:type="dxa"/>
            <w:noWrap w:val="0"/>
            <w:vAlign w:val="center"/>
          </w:tcPr>
          <w:p w14:paraId="72A78B0D">
            <w:pPr>
              <w:widowControl w:val="0"/>
              <w:spacing w:line="300" w:lineRule="exact"/>
              <w:jc w:val="center"/>
              <w:rPr>
                <w:rFonts w:eastAsia="楷体_GB2312"/>
                <w:szCs w:val="21"/>
              </w:rPr>
            </w:pPr>
            <w:r>
              <w:rPr>
                <w:rFonts w:eastAsia="楷体_GB2312"/>
                <w:szCs w:val="21"/>
              </w:rPr>
              <w:t>参数取值</w:t>
            </w:r>
          </w:p>
        </w:tc>
        <w:tc>
          <w:tcPr>
            <w:tcW w:w="3865" w:type="dxa"/>
            <w:noWrap w:val="0"/>
            <w:vAlign w:val="center"/>
          </w:tcPr>
          <w:p w14:paraId="096E4B12">
            <w:pPr>
              <w:widowControl w:val="0"/>
              <w:spacing w:line="300" w:lineRule="exact"/>
              <w:jc w:val="center"/>
              <w:rPr>
                <w:rFonts w:eastAsia="楷体_GB2312"/>
                <w:szCs w:val="21"/>
              </w:rPr>
            </w:pPr>
            <w:r>
              <w:rPr>
                <w:rFonts w:eastAsia="楷体_GB2312"/>
                <w:szCs w:val="21"/>
              </w:rPr>
              <w:t>备    注</w:t>
            </w:r>
          </w:p>
        </w:tc>
      </w:tr>
      <w:tr w14:paraId="6CA4A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60" w:type="dxa"/>
            <w:noWrap w:val="0"/>
            <w:vAlign w:val="center"/>
          </w:tcPr>
          <w:p w14:paraId="6C9850B2">
            <w:pPr>
              <w:widowControl w:val="0"/>
              <w:spacing w:line="300" w:lineRule="exact"/>
              <w:jc w:val="center"/>
              <w:rPr>
                <w:rFonts w:eastAsia="楷体_GB2312"/>
                <w:szCs w:val="21"/>
              </w:rPr>
            </w:pPr>
            <w:r>
              <w:rPr>
                <w:rFonts w:eastAsia="楷体_GB2312"/>
                <w:szCs w:val="21"/>
              </w:rPr>
              <w:t>案例位置</w:t>
            </w:r>
          </w:p>
        </w:tc>
        <w:tc>
          <w:tcPr>
            <w:tcW w:w="1847" w:type="dxa"/>
            <w:noWrap w:val="0"/>
            <w:vAlign w:val="center"/>
          </w:tcPr>
          <w:p w14:paraId="7B64D9BA">
            <w:pPr>
              <w:widowControl w:val="0"/>
              <w:spacing w:line="300" w:lineRule="exact"/>
              <w:jc w:val="center"/>
              <w:rPr>
                <w:rFonts w:eastAsia="楷体_GB2312"/>
                <w:szCs w:val="21"/>
              </w:rPr>
            </w:pPr>
            <w:r>
              <w:rPr>
                <w:rFonts w:hint="eastAsia" w:eastAsia="楷体_GB2312"/>
                <w:szCs w:val="21"/>
              </w:rPr>
              <w:t>符离镇</w:t>
            </w:r>
          </w:p>
        </w:tc>
        <w:tc>
          <w:tcPr>
            <w:tcW w:w="3865" w:type="dxa"/>
            <w:noWrap w:val="0"/>
            <w:vAlign w:val="center"/>
          </w:tcPr>
          <w:p w14:paraId="6BC96EEC">
            <w:pPr>
              <w:widowControl w:val="0"/>
              <w:spacing w:line="300" w:lineRule="exact"/>
              <w:jc w:val="center"/>
              <w:rPr>
                <w:rFonts w:eastAsia="楷体_GB2312"/>
                <w:szCs w:val="21"/>
              </w:rPr>
            </w:pPr>
            <w:r>
              <w:rPr>
                <w:rFonts w:eastAsia="楷体_GB2312"/>
                <w:szCs w:val="21"/>
              </w:rPr>
              <w:t>位于</w:t>
            </w:r>
            <w:r>
              <w:rPr>
                <w:rFonts w:hint="eastAsia" w:eastAsia="楷体_GB2312"/>
                <w:szCs w:val="21"/>
              </w:rPr>
              <w:t>符离镇</w:t>
            </w:r>
            <w:r>
              <w:rPr>
                <w:rFonts w:eastAsia="楷体_GB2312"/>
                <w:szCs w:val="21"/>
              </w:rPr>
              <w:t>基准地价范围一级地内</w:t>
            </w:r>
          </w:p>
        </w:tc>
      </w:tr>
      <w:tr w14:paraId="02B8A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60" w:type="dxa"/>
            <w:noWrap w:val="0"/>
            <w:vAlign w:val="center"/>
          </w:tcPr>
          <w:p w14:paraId="0D830DFD">
            <w:pPr>
              <w:widowControl w:val="0"/>
              <w:spacing w:line="300" w:lineRule="exact"/>
              <w:jc w:val="center"/>
              <w:rPr>
                <w:rFonts w:eastAsia="楷体_GB2312"/>
                <w:szCs w:val="21"/>
              </w:rPr>
            </w:pPr>
            <w:r>
              <w:rPr>
                <w:rFonts w:eastAsia="楷体_GB2312"/>
                <w:szCs w:val="21"/>
              </w:rPr>
              <w:t>商服租金（元/月/平方米）</w:t>
            </w:r>
          </w:p>
        </w:tc>
        <w:tc>
          <w:tcPr>
            <w:tcW w:w="1847" w:type="dxa"/>
            <w:noWrap w:val="0"/>
            <w:vAlign w:val="center"/>
          </w:tcPr>
          <w:p w14:paraId="6A3AC88C">
            <w:pPr>
              <w:widowControl w:val="0"/>
              <w:spacing w:line="300" w:lineRule="exact"/>
              <w:jc w:val="center"/>
              <w:rPr>
                <w:rFonts w:eastAsia="楷体_GB2312"/>
                <w:szCs w:val="21"/>
              </w:rPr>
            </w:pPr>
            <w:r>
              <w:rPr>
                <w:rFonts w:eastAsia="楷体_GB2312"/>
                <w:szCs w:val="21"/>
              </w:rPr>
              <w:t>24</w:t>
            </w:r>
          </w:p>
        </w:tc>
        <w:tc>
          <w:tcPr>
            <w:tcW w:w="3865" w:type="dxa"/>
            <w:noWrap w:val="0"/>
            <w:vAlign w:val="center"/>
          </w:tcPr>
          <w:p w14:paraId="2DF1FEAE">
            <w:pPr>
              <w:widowControl w:val="0"/>
              <w:spacing w:line="300" w:lineRule="exact"/>
              <w:jc w:val="center"/>
              <w:rPr>
                <w:rFonts w:eastAsia="楷体_GB2312"/>
                <w:szCs w:val="21"/>
              </w:rPr>
            </w:pPr>
            <w:r>
              <w:rPr>
                <w:rFonts w:eastAsia="楷体_GB2312"/>
                <w:szCs w:val="21"/>
              </w:rPr>
              <w:t>/</w:t>
            </w:r>
          </w:p>
        </w:tc>
      </w:tr>
      <w:tr w14:paraId="504B1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60" w:type="dxa"/>
            <w:noWrap w:val="0"/>
            <w:vAlign w:val="center"/>
          </w:tcPr>
          <w:p w14:paraId="07D0D540">
            <w:pPr>
              <w:widowControl w:val="0"/>
              <w:spacing w:line="300" w:lineRule="exact"/>
              <w:jc w:val="center"/>
              <w:rPr>
                <w:rFonts w:eastAsia="楷体_GB2312"/>
                <w:szCs w:val="21"/>
              </w:rPr>
            </w:pPr>
            <w:r>
              <w:rPr>
                <w:rFonts w:eastAsia="楷体_GB2312"/>
                <w:szCs w:val="21"/>
              </w:rPr>
              <w:t>用途修正后租金（元/月/平方米）</w:t>
            </w:r>
          </w:p>
        </w:tc>
        <w:tc>
          <w:tcPr>
            <w:tcW w:w="1847" w:type="dxa"/>
            <w:noWrap w:val="0"/>
            <w:vAlign w:val="center"/>
          </w:tcPr>
          <w:p w14:paraId="214905DF">
            <w:pPr>
              <w:widowControl w:val="0"/>
              <w:spacing w:line="300" w:lineRule="exact"/>
              <w:jc w:val="center"/>
              <w:rPr>
                <w:rFonts w:eastAsia="楷体_GB2312"/>
                <w:szCs w:val="21"/>
              </w:rPr>
            </w:pPr>
            <w:r>
              <w:rPr>
                <w:rFonts w:eastAsia="楷体_GB2312"/>
                <w:szCs w:val="21"/>
              </w:rPr>
              <w:t>16.56</w:t>
            </w:r>
          </w:p>
        </w:tc>
        <w:tc>
          <w:tcPr>
            <w:tcW w:w="3865" w:type="dxa"/>
            <w:noWrap w:val="0"/>
            <w:vAlign w:val="center"/>
          </w:tcPr>
          <w:p w14:paraId="10F08C13">
            <w:pPr>
              <w:widowControl w:val="0"/>
              <w:spacing w:line="300" w:lineRule="exact"/>
              <w:jc w:val="center"/>
              <w:rPr>
                <w:rFonts w:eastAsia="楷体_GB2312"/>
                <w:szCs w:val="21"/>
              </w:rPr>
            </w:pPr>
            <w:r>
              <w:rPr>
                <w:rFonts w:eastAsia="楷体_GB2312"/>
                <w:szCs w:val="21"/>
              </w:rPr>
              <w:t>商服租金×用途修正系数（</w:t>
            </w:r>
            <w:r>
              <w:rPr>
                <w:rFonts w:hint="eastAsia" w:eastAsia="楷体_GB2312"/>
                <w:szCs w:val="21"/>
              </w:rPr>
              <w:t>0.69</w:t>
            </w:r>
            <w:r>
              <w:rPr>
                <w:rFonts w:eastAsia="楷体_GB2312"/>
                <w:szCs w:val="21"/>
              </w:rPr>
              <w:t>）</w:t>
            </w:r>
          </w:p>
        </w:tc>
      </w:tr>
      <w:tr w14:paraId="127B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60" w:type="dxa"/>
            <w:noWrap w:val="0"/>
            <w:vAlign w:val="center"/>
          </w:tcPr>
          <w:p w14:paraId="3A2329FA">
            <w:pPr>
              <w:widowControl w:val="0"/>
              <w:spacing w:line="300" w:lineRule="exact"/>
              <w:jc w:val="center"/>
              <w:rPr>
                <w:rFonts w:eastAsia="楷体_GB2312"/>
                <w:szCs w:val="21"/>
              </w:rPr>
            </w:pPr>
            <w:r>
              <w:rPr>
                <w:rFonts w:eastAsia="楷体_GB2312"/>
                <w:szCs w:val="21"/>
              </w:rPr>
              <w:t>房地年总收益（元/平方米）</w:t>
            </w:r>
          </w:p>
        </w:tc>
        <w:tc>
          <w:tcPr>
            <w:tcW w:w="1847" w:type="dxa"/>
            <w:noWrap w:val="0"/>
            <w:vAlign w:val="center"/>
          </w:tcPr>
          <w:p w14:paraId="2629AA02">
            <w:pPr>
              <w:widowControl w:val="0"/>
              <w:spacing w:line="300" w:lineRule="exact"/>
              <w:jc w:val="center"/>
              <w:rPr>
                <w:rFonts w:eastAsia="楷体_GB2312"/>
                <w:szCs w:val="21"/>
              </w:rPr>
            </w:pPr>
            <w:r>
              <w:rPr>
                <w:rFonts w:eastAsia="楷体_GB2312"/>
                <w:szCs w:val="21"/>
              </w:rPr>
              <w:t>155.4</w:t>
            </w:r>
          </w:p>
        </w:tc>
        <w:tc>
          <w:tcPr>
            <w:tcW w:w="3865" w:type="dxa"/>
            <w:noWrap w:val="0"/>
            <w:vAlign w:val="center"/>
          </w:tcPr>
          <w:p w14:paraId="57C608EB">
            <w:pPr>
              <w:widowControl w:val="0"/>
              <w:spacing w:line="300" w:lineRule="exact"/>
              <w:jc w:val="center"/>
              <w:rPr>
                <w:rFonts w:eastAsia="楷体_GB2312"/>
                <w:szCs w:val="21"/>
              </w:rPr>
            </w:pPr>
            <w:r>
              <w:rPr>
                <w:rFonts w:eastAsia="楷体_GB2312"/>
                <w:szCs w:val="21"/>
              </w:rPr>
              <w:t>出租率为</w:t>
            </w:r>
            <w:r>
              <w:rPr>
                <w:rFonts w:hint="eastAsia" w:eastAsia="楷体_GB2312"/>
                <w:szCs w:val="21"/>
              </w:rPr>
              <w:t>92</w:t>
            </w:r>
            <w:r>
              <w:rPr>
                <w:rFonts w:eastAsia="楷体_GB2312"/>
                <w:szCs w:val="21"/>
              </w:rPr>
              <w:t>%，出租比例为</w:t>
            </w:r>
            <w:r>
              <w:rPr>
                <w:rFonts w:hint="eastAsia" w:eastAsia="楷体_GB2312"/>
                <w:szCs w:val="21"/>
              </w:rPr>
              <w:t>85</w:t>
            </w:r>
            <w:r>
              <w:rPr>
                <w:rFonts w:eastAsia="楷体_GB2312"/>
                <w:szCs w:val="21"/>
              </w:rPr>
              <w:t>%</w:t>
            </w:r>
          </w:p>
        </w:tc>
      </w:tr>
      <w:tr w14:paraId="04C74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60" w:type="dxa"/>
            <w:noWrap w:val="0"/>
            <w:vAlign w:val="center"/>
          </w:tcPr>
          <w:p w14:paraId="0C96ED58">
            <w:pPr>
              <w:widowControl w:val="0"/>
              <w:spacing w:line="300" w:lineRule="exact"/>
              <w:jc w:val="center"/>
              <w:rPr>
                <w:rFonts w:eastAsia="楷体_GB2312"/>
                <w:szCs w:val="21"/>
              </w:rPr>
            </w:pPr>
            <w:r>
              <w:rPr>
                <w:rFonts w:eastAsia="楷体_GB2312"/>
                <w:szCs w:val="21"/>
              </w:rPr>
              <w:t>管理费（元/平方米）</w:t>
            </w:r>
          </w:p>
        </w:tc>
        <w:tc>
          <w:tcPr>
            <w:tcW w:w="1847" w:type="dxa"/>
            <w:noWrap w:val="0"/>
            <w:vAlign w:val="center"/>
          </w:tcPr>
          <w:p w14:paraId="03D5C41E">
            <w:pPr>
              <w:widowControl w:val="0"/>
              <w:spacing w:line="300" w:lineRule="exact"/>
              <w:jc w:val="center"/>
              <w:rPr>
                <w:rFonts w:eastAsia="楷体_GB2312"/>
                <w:szCs w:val="21"/>
              </w:rPr>
            </w:pPr>
            <w:r>
              <w:rPr>
                <w:rFonts w:eastAsia="楷体_GB2312"/>
                <w:szCs w:val="21"/>
              </w:rPr>
              <w:t>4.66</w:t>
            </w:r>
          </w:p>
        </w:tc>
        <w:tc>
          <w:tcPr>
            <w:tcW w:w="3865" w:type="dxa"/>
            <w:noWrap w:val="0"/>
            <w:vAlign w:val="center"/>
          </w:tcPr>
          <w:p w14:paraId="08001E60">
            <w:pPr>
              <w:widowControl w:val="0"/>
              <w:spacing w:line="300" w:lineRule="exact"/>
              <w:jc w:val="center"/>
              <w:rPr>
                <w:rFonts w:eastAsia="楷体_GB2312"/>
                <w:szCs w:val="21"/>
              </w:rPr>
            </w:pPr>
            <w:r>
              <w:rPr>
                <w:rFonts w:eastAsia="楷体_GB2312"/>
                <w:szCs w:val="21"/>
              </w:rPr>
              <w:t>按照年总收益的3%计算</w:t>
            </w:r>
          </w:p>
        </w:tc>
      </w:tr>
      <w:tr w14:paraId="1989D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60" w:type="dxa"/>
            <w:noWrap w:val="0"/>
            <w:vAlign w:val="center"/>
          </w:tcPr>
          <w:p w14:paraId="36A82187">
            <w:pPr>
              <w:widowControl w:val="0"/>
              <w:spacing w:line="300" w:lineRule="exact"/>
              <w:jc w:val="center"/>
              <w:rPr>
                <w:rFonts w:eastAsia="楷体_GB2312"/>
                <w:szCs w:val="21"/>
              </w:rPr>
            </w:pPr>
            <w:r>
              <w:rPr>
                <w:rFonts w:eastAsia="楷体_GB2312"/>
                <w:szCs w:val="21"/>
              </w:rPr>
              <w:t>重置价（元/平方米）</w:t>
            </w:r>
          </w:p>
        </w:tc>
        <w:tc>
          <w:tcPr>
            <w:tcW w:w="1847" w:type="dxa"/>
            <w:noWrap w:val="0"/>
            <w:vAlign w:val="center"/>
          </w:tcPr>
          <w:p w14:paraId="23BA3438">
            <w:pPr>
              <w:widowControl w:val="0"/>
              <w:spacing w:line="300" w:lineRule="exact"/>
              <w:jc w:val="center"/>
              <w:rPr>
                <w:rFonts w:eastAsia="楷体_GB2312"/>
                <w:szCs w:val="21"/>
              </w:rPr>
            </w:pPr>
            <w:r>
              <w:rPr>
                <w:rFonts w:hint="eastAsia" w:eastAsia="楷体_GB2312"/>
                <w:szCs w:val="21"/>
              </w:rPr>
              <w:t>1070</w:t>
            </w:r>
          </w:p>
        </w:tc>
        <w:tc>
          <w:tcPr>
            <w:tcW w:w="3865" w:type="dxa"/>
            <w:noWrap w:val="0"/>
            <w:vAlign w:val="center"/>
          </w:tcPr>
          <w:p w14:paraId="5D7148A6">
            <w:pPr>
              <w:widowControl w:val="0"/>
              <w:spacing w:line="300" w:lineRule="exact"/>
              <w:jc w:val="center"/>
              <w:rPr>
                <w:rFonts w:eastAsia="楷体_GB2312"/>
                <w:szCs w:val="21"/>
              </w:rPr>
            </w:pPr>
            <w:r>
              <w:rPr>
                <w:rFonts w:eastAsia="楷体_GB2312"/>
                <w:szCs w:val="21"/>
              </w:rPr>
              <w:t>详见前文“房屋重置价的确定”章节</w:t>
            </w:r>
          </w:p>
        </w:tc>
      </w:tr>
      <w:tr w14:paraId="0640D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60" w:type="dxa"/>
            <w:noWrap w:val="0"/>
            <w:vAlign w:val="center"/>
          </w:tcPr>
          <w:p w14:paraId="053CCDA2">
            <w:pPr>
              <w:widowControl w:val="0"/>
              <w:spacing w:line="300" w:lineRule="exact"/>
              <w:jc w:val="center"/>
              <w:rPr>
                <w:rFonts w:eastAsia="楷体_GB2312"/>
                <w:szCs w:val="21"/>
              </w:rPr>
            </w:pPr>
            <w:r>
              <w:rPr>
                <w:rFonts w:eastAsia="楷体_GB2312"/>
                <w:szCs w:val="21"/>
              </w:rPr>
              <w:t>维修费（元/平方米）</w:t>
            </w:r>
          </w:p>
        </w:tc>
        <w:tc>
          <w:tcPr>
            <w:tcW w:w="1847" w:type="dxa"/>
            <w:noWrap w:val="0"/>
            <w:vAlign w:val="center"/>
          </w:tcPr>
          <w:p w14:paraId="368BD249">
            <w:pPr>
              <w:widowControl w:val="0"/>
              <w:spacing w:line="300" w:lineRule="exact"/>
              <w:jc w:val="center"/>
              <w:rPr>
                <w:rFonts w:eastAsia="楷体_GB2312"/>
                <w:szCs w:val="21"/>
              </w:rPr>
            </w:pPr>
            <w:r>
              <w:rPr>
                <w:rFonts w:eastAsia="楷体_GB2312"/>
                <w:szCs w:val="21"/>
              </w:rPr>
              <w:t>21.4</w:t>
            </w:r>
          </w:p>
        </w:tc>
        <w:tc>
          <w:tcPr>
            <w:tcW w:w="3865" w:type="dxa"/>
            <w:noWrap w:val="0"/>
            <w:vAlign w:val="center"/>
          </w:tcPr>
          <w:p w14:paraId="70710B08">
            <w:pPr>
              <w:widowControl w:val="0"/>
              <w:spacing w:line="300" w:lineRule="exact"/>
              <w:jc w:val="center"/>
              <w:rPr>
                <w:rFonts w:eastAsia="楷体_GB2312"/>
                <w:szCs w:val="21"/>
              </w:rPr>
            </w:pPr>
            <w:r>
              <w:rPr>
                <w:rFonts w:eastAsia="楷体_GB2312"/>
                <w:szCs w:val="21"/>
              </w:rPr>
              <w:t>按照重置价的2%计算</w:t>
            </w:r>
          </w:p>
        </w:tc>
      </w:tr>
      <w:tr w14:paraId="4B921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60" w:type="dxa"/>
            <w:noWrap w:val="0"/>
            <w:vAlign w:val="center"/>
          </w:tcPr>
          <w:p w14:paraId="3E41F0AB">
            <w:pPr>
              <w:widowControl w:val="0"/>
              <w:spacing w:line="300" w:lineRule="exact"/>
              <w:jc w:val="center"/>
              <w:rPr>
                <w:rFonts w:eastAsia="楷体_GB2312"/>
                <w:szCs w:val="21"/>
              </w:rPr>
            </w:pPr>
            <w:r>
              <w:rPr>
                <w:rFonts w:eastAsia="楷体_GB2312"/>
                <w:szCs w:val="21"/>
              </w:rPr>
              <w:t>年折旧费（元/平方米）</w:t>
            </w:r>
          </w:p>
        </w:tc>
        <w:tc>
          <w:tcPr>
            <w:tcW w:w="1847" w:type="dxa"/>
            <w:noWrap w:val="0"/>
            <w:vAlign w:val="center"/>
          </w:tcPr>
          <w:p w14:paraId="36EE9045">
            <w:pPr>
              <w:widowControl w:val="0"/>
              <w:spacing w:line="300" w:lineRule="exact"/>
              <w:jc w:val="center"/>
              <w:rPr>
                <w:rFonts w:eastAsia="楷体_GB2312"/>
                <w:szCs w:val="21"/>
              </w:rPr>
            </w:pPr>
            <w:r>
              <w:rPr>
                <w:rFonts w:eastAsia="楷体_GB2312"/>
                <w:szCs w:val="21"/>
              </w:rPr>
              <w:t>26.75</w:t>
            </w:r>
          </w:p>
        </w:tc>
        <w:tc>
          <w:tcPr>
            <w:tcW w:w="3865" w:type="dxa"/>
            <w:noWrap w:val="0"/>
            <w:vAlign w:val="center"/>
          </w:tcPr>
          <w:p w14:paraId="344572BA">
            <w:pPr>
              <w:widowControl w:val="0"/>
              <w:spacing w:line="300" w:lineRule="exact"/>
              <w:jc w:val="center"/>
              <w:rPr>
                <w:rFonts w:eastAsia="楷体_GB2312"/>
                <w:szCs w:val="21"/>
              </w:rPr>
            </w:pPr>
            <w:r>
              <w:rPr>
                <w:rFonts w:eastAsia="楷体_GB2312"/>
                <w:szCs w:val="21"/>
              </w:rPr>
              <w:t>耐用年限60年，残值率0%</w:t>
            </w:r>
          </w:p>
        </w:tc>
      </w:tr>
      <w:tr w14:paraId="1CD9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60" w:type="dxa"/>
            <w:noWrap w:val="0"/>
            <w:vAlign w:val="center"/>
          </w:tcPr>
          <w:p w14:paraId="6BE41218">
            <w:pPr>
              <w:widowControl w:val="0"/>
              <w:spacing w:line="300" w:lineRule="exact"/>
              <w:jc w:val="center"/>
              <w:rPr>
                <w:rFonts w:eastAsia="楷体_GB2312"/>
                <w:szCs w:val="21"/>
              </w:rPr>
            </w:pPr>
            <w:r>
              <w:rPr>
                <w:rFonts w:eastAsia="楷体_GB2312"/>
                <w:szCs w:val="21"/>
              </w:rPr>
              <w:t>房屋现值（元/平方米）</w:t>
            </w:r>
          </w:p>
        </w:tc>
        <w:tc>
          <w:tcPr>
            <w:tcW w:w="1847" w:type="dxa"/>
            <w:noWrap w:val="0"/>
            <w:vAlign w:val="center"/>
          </w:tcPr>
          <w:p w14:paraId="694A546F">
            <w:pPr>
              <w:widowControl w:val="0"/>
              <w:spacing w:line="300" w:lineRule="exact"/>
              <w:jc w:val="center"/>
              <w:rPr>
                <w:rFonts w:eastAsia="楷体_GB2312"/>
                <w:szCs w:val="21"/>
              </w:rPr>
            </w:pPr>
            <w:r>
              <w:rPr>
                <w:rFonts w:eastAsia="楷体_GB2312"/>
                <w:szCs w:val="21"/>
              </w:rPr>
              <w:t>963</w:t>
            </w:r>
          </w:p>
        </w:tc>
        <w:tc>
          <w:tcPr>
            <w:tcW w:w="3865" w:type="dxa"/>
            <w:noWrap w:val="0"/>
            <w:vAlign w:val="center"/>
          </w:tcPr>
          <w:p w14:paraId="51FB8EB5">
            <w:pPr>
              <w:widowControl w:val="0"/>
              <w:spacing w:line="300" w:lineRule="exact"/>
              <w:jc w:val="center"/>
              <w:rPr>
                <w:rFonts w:eastAsia="楷体_GB2312"/>
                <w:szCs w:val="21"/>
              </w:rPr>
            </w:pPr>
            <w:r>
              <w:rPr>
                <w:rFonts w:eastAsia="楷体_GB2312"/>
                <w:szCs w:val="21"/>
              </w:rPr>
              <w:t>房屋已使用年限4年</w:t>
            </w:r>
          </w:p>
        </w:tc>
      </w:tr>
      <w:tr w14:paraId="2C850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60" w:type="dxa"/>
            <w:noWrap w:val="0"/>
            <w:vAlign w:val="center"/>
          </w:tcPr>
          <w:p w14:paraId="1D71031B">
            <w:pPr>
              <w:widowControl w:val="0"/>
              <w:spacing w:line="300" w:lineRule="exact"/>
              <w:jc w:val="center"/>
              <w:rPr>
                <w:rFonts w:eastAsia="楷体_GB2312"/>
                <w:szCs w:val="21"/>
              </w:rPr>
            </w:pPr>
            <w:r>
              <w:rPr>
                <w:rFonts w:eastAsia="楷体_GB2312"/>
                <w:szCs w:val="21"/>
              </w:rPr>
              <w:t>房屋年纯收益（元/平方米）</w:t>
            </w:r>
          </w:p>
        </w:tc>
        <w:tc>
          <w:tcPr>
            <w:tcW w:w="1847" w:type="dxa"/>
            <w:noWrap w:val="0"/>
            <w:vAlign w:val="center"/>
          </w:tcPr>
          <w:p w14:paraId="23DD7962">
            <w:pPr>
              <w:widowControl w:val="0"/>
              <w:spacing w:line="300" w:lineRule="exact"/>
              <w:jc w:val="center"/>
              <w:rPr>
                <w:rFonts w:eastAsia="楷体_GB2312"/>
                <w:szCs w:val="21"/>
              </w:rPr>
            </w:pPr>
            <w:r>
              <w:rPr>
                <w:rFonts w:eastAsia="楷体_GB2312"/>
                <w:szCs w:val="21"/>
              </w:rPr>
              <w:t>77.04</w:t>
            </w:r>
          </w:p>
        </w:tc>
        <w:tc>
          <w:tcPr>
            <w:tcW w:w="3865" w:type="dxa"/>
            <w:noWrap w:val="0"/>
            <w:vAlign w:val="center"/>
          </w:tcPr>
          <w:p w14:paraId="6B50D8BC">
            <w:pPr>
              <w:widowControl w:val="0"/>
              <w:spacing w:line="300" w:lineRule="exact"/>
              <w:jc w:val="center"/>
              <w:rPr>
                <w:rFonts w:eastAsia="楷体_GB2312"/>
                <w:szCs w:val="21"/>
              </w:rPr>
            </w:pPr>
            <w:r>
              <w:rPr>
                <w:rFonts w:eastAsia="楷体_GB2312"/>
                <w:szCs w:val="21"/>
              </w:rPr>
              <w:t>详见前文“还原率的确定”章节，公共管理与公共服务用地房屋还原率为8%</w:t>
            </w:r>
          </w:p>
        </w:tc>
      </w:tr>
      <w:tr w14:paraId="445FE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60" w:type="dxa"/>
            <w:noWrap w:val="0"/>
            <w:vAlign w:val="center"/>
          </w:tcPr>
          <w:p w14:paraId="3EFF070E">
            <w:pPr>
              <w:widowControl w:val="0"/>
              <w:spacing w:line="300" w:lineRule="exact"/>
              <w:jc w:val="center"/>
              <w:rPr>
                <w:rFonts w:eastAsia="楷体_GB2312"/>
                <w:szCs w:val="21"/>
              </w:rPr>
            </w:pPr>
            <w:r>
              <w:rPr>
                <w:rFonts w:eastAsia="楷体_GB2312"/>
                <w:szCs w:val="21"/>
              </w:rPr>
              <w:t>保险费（元/平方米）</w:t>
            </w:r>
          </w:p>
        </w:tc>
        <w:tc>
          <w:tcPr>
            <w:tcW w:w="1847" w:type="dxa"/>
            <w:noWrap w:val="0"/>
            <w:vAlign w:val="center"/>
          </w:tcPr>
          <w:p w14:paraId="4C4AF4C8">
            <w:pPr>
              <w:widowControl w:val="0"/>
              <w:spacing w:line="300" w:lineRule="exact"/>
              <w:jc w:val="center"/>
              <w:rPr>
                <w:rFonts w:eastAsia="楷体_GB2312"/>
                <w:szCs w:val="21"/>
              </w:rPr>
            </w:pPr>
            <w:r>
              <w:rPr>
                <w:rFonts w:eastAsia="楷体_GB2312"/>
                <w:szCs w:val="21"/>
              </w:rPr>
              <w:t>1.93</w:t>
            </w:r>
          </w:p>
        </w:tc>
        <w:tc>
          <w:tcPr>
            <w:tcW w:w="3865" w:type="dxa"/>
            <w:noWrap w:val="0"/>
            <w:vAlign w:val="center"/>
          </w:tcPr>
          <w:p w14:paraId="64CAA430">
            <w:pPr>
              <w:widowControl w:val="0"/>
              <w:spacing w:line="300" w:lineRule="exact"/>
              <w:jc w:val="center"/>
              <w:rPr>
                <w:rFonts w:eastAsia="楷体_GB2312"/>
                <w:szCs w:val="21"/>
              </w:rPr>
            </w:pPr>
            <w:r>
              <w:rPr>
                <w:rFonts w:eastAsia="楷体_GB2312"/>
                <w:szCs w:val="21"/>
              </w:rPr>
              <w:t>《保险法》规定取房屋现值的2‰</w:t>
            </w:r>
          </w:p>
        </w:tc>
      </w:tr>
      <w:tr w14:paraId="5FD13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60" w:type="dxa"/>
            <w:noWrap w:val="0"/>
            <w:vAlign w:val="center"/>
          </w:tcPr>
          <w:p w14:paraId="12DA970A">
            <w:pPr>
              <w:widowControl w:val="0"/>
              <w:spacing w:line="300" w:lineRule="exact"/>
              <w:jc w:val="center"/>
              <w:rPr>
                <w:rFonts w:eastAsia="楷体_GB2312"/>
                <w:szCs w:val="21"/>
              </w:rPr>
            </w:pPr>
            <w:r>
              <w:rPr>
                <w:rFonts w:eastAsia="楷体_GB2312"/>
                <w:szCs w:val="21"/>
              </w:rPr>
              <w:t>房产税（元/平方米）</w:t>
            </w:r>
          </w:p>
        </w:tc>
        <w:tc>
          <w:tcPr>
            <w:tcW w:w="1847" w:type="dxa"/>
            <w:noWrap w:val="0"/>
            <w:vAlign w:val="center"/>
          </w:tcPr>
          <w:p w14:paraId="4265D45A">
            <w:pPr>
              <w:widowControl w:val="0"/>
              <w:spacing w:line="300" w:lineRule="exact"/>
              <w:jc w:val="center"/>
              <w:rPr>
                <w:rFonts w:eastAsia="楷体_GB2312"/>
                <w:szCs w:val="21"/>
              </w:rPr>
            </w:pPr>
            <w:r>
              <w:rPr>
                <w:rFonts w:eastAsia="楷体_GB2312"/>
                <w:szCs w:val="21"/>
              </w:rPr>
              <w:t>18.65</w:t>
            </w:r>
          </w:p>
        </w:tc>
        <w:tc>
          <w:tcPr>
            <w:tcW w:w="3865" w:type="dxa"/>
            <w:noWrap w:val="0"/>
            <w:vAlign w:val="center"/>
          </w:tcPr>
          <w:p w14:paraId="608248AF">
            <w:pPr>
              <w:widowControl w:val="0"/>
              <w:spacing w:line="300" w:lineRule="exact"/>
              <w:jc w:val="center"/>
              <w:rPr>
                <w:rFonts w:eastAsia="楷体_GB2312"/>
                <w:szCs w:val="21"/>
              </w:rPr>
            </w:pPr>
            <w:r>
              <w:rPr>
                <w:rFonts w:eastAsia="楷体_GB2312"/>
                <w:szCs w:val="21"/>
              </w:rPr>
              <w:t>《中华人民共和国房产税暂行条例》，房产税为12%</w:t>
            </w:r>
          </w:p>
        </w:tc>
      </w:tr>
      <w:tr w14:paraId="0D65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60" w:type="dxa"/>
            <w:noWrap w:val="0"/>
            <w:vAlign w:val="center"/>
          </w:tcPr>
          <w:p w14:paraId="23E6BC9C">
            <w:pPr>
              <w:widowControl w:val="0"/>
              <w:spacing w:line="300" w:lineRule="exact"/>
              <w:jc w:val="center"/>
              <w:rPr>
                <w:rFonts w:eastAsia="楷体_GB2312"/>
                <w:szCs w:val="21"/>
              </w:rPr>
            </w:pPr>
            <w:r>
              <w:rPr>
                <w:rFonts w:eastAsia="楷体_GB2312"/>
                <w:szCs w:val="21"/>
              </w:rPr>
              <w:t>增值税（元/平方米）</w:t>
            </w:r>
          </w:p>
        </w:tc>
        <w:tc>
          <w:tcPr>
            <w:tcW w:w="1847" w:type="dxa"/>
            <w:noWrap w:val="0"/>
            <w:vAlign w:val="center"/>
          </w:tcPr>
          <w:p w14:paraId="34DA04B1">
            <w:pPr>
              <w:widowControl w:val="0"/>
              <w:spacing w:line="300" w:lineRule="exact"/>
              <w:jc w:val="center"/>
              <w:rPr>
                <w:rFonts w:eastAsia="楷体_GB2312"/>
                <w:szCs w:val="21"/>
              </w:rPr>
            </w:pPr>
            <w:r>
              <w:rPr>
                <w:rFonts w:eastAsia="楷体_GB2312"/>
                <w:szCs w:val="21"/>
              </w:rPr>
              <w:t>7.4</w:t>
            </w:r>
          </w:p>
        </w:tc>
        <w:tc>
          <w:tcPr>
            <w:tcW w:w="3865" w:type="dxa"/>
            <w:noWrap w:val="0"/>
            <w:vAlign w:val="center"/>
          </w:tcPr>
          <w:p w14:paraId="7FFD1AE2">
            <w:pPr>
              <w:widowControl w:val="0"/>
              <w:spacing w:line="300" w:lineRule="exact"/>
              <w:jc w:val="center"/>
              <w:rPr>
                <w:rFonts w:eastAsia="楷体_GB2312"/>
                <w:szCs w:val="21"/>
              </w:rPr>
            </w:pPr>
            <w:r>
              <w:rPr>
                <w:rFonts w:eastAsia="楷体_GB2312"/>
                <w:szCs w:val="21"/>
              </w:rPr>
              <w:t>《财政部、国家税务总局关于全面推行营业税改征增值税试点的通知》财税〔2016〕36号，税率为5%</w:t>
            </w:r>
          </w:p>
        </w:tc>
      </w:tr>
      <w:tr w14:paraId="3238E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60" w:type="dxa"/>
            <w:noWrap w:val="0"/>
            <w:vAlign w:val="center"/>
          </w:tcPr>
          <w:p w14:paraId="1D3B7857">
            <w:pPr>
              <w:widowControl w:val="0"/>
              <w:spacing w:line="300" w:lineRule="exact"/>
              <w:jc w:val="center"/>
              <w:rPr>
                <w:rFonts w:eastAsia="楷体_GB2312"/>
                <w:szCs w:val="21"/>
              </w:rPr>
            </w:pPr>
            <w:r>
              <w:rPr>
                <w:rFonts w:eastAsia="楷体_GB2312"/>
                <w:szCs w:val="21"/>
              </w:rPr>
              <w:t>城市维护建设税（元/平方米）</w:t>
            </w:r>
          </w:p>
        </w:tc>
        <w:tc>
          <w:tcPr>
            <w:tcW w:w="1847" w:type="dxa"/>
            <w:noWrap w:val="0"/>
            <w:vAlign w:val="center"/>
          </w:tcPr>
          <w:p w14:paraId="34C943D8">
            <w:pPr>
              <w:widowControl w:val="0"/>
              <w:spacing w:line="300" w:lineRule="exact"/>
              <w:jc w:val="center"/>
              <w:rPr>
                <w:rFonts w:eastAsia="楷体_GB2312"/>
                <w:szCs w:val="21"/>
              </w:rPr>
            </w:pPr>
            <w:r>
              <w:rPr>
                <w:rFonts w:eastAsia="楷体_GB2312"/>
                <w:szCs w:val="21"/>
              </w:rPr>
              <w:t>0.37</w:t>
            </w:r>
          </w:p>
        </w:tc>
        <w:tc>
          <w:tcPr>
            <w:tcW w:w="3865" w:type="dxa"/>
            <w:noWrap w:val="0"/>
            <w:vAlign w:val="center"/>
          </w:tcPr>
          <w:p w14:paraId="7A77600B">
            <w:pPr>
              <w:widowControl w:val="0"/>
              <w:spacing w:line="300" w:lineRule="exact"/>
              <w:jc w:val="center"/>
              <w:rPr>
                <w:rFonts w:eastAsia="楷体_GB2312"/>
                <w:szCs w:val="21"/>
              </w:rPr>
            </w:pPr>
            <w:r>
              <w:rPr>
                <w:rFonts w:eastAsia="楷体_GB2312"/>
                <w:szCs w:val="21"/>
              </w:rPr>
              <w:t>《中华人民共和国城市维护建设税暂行条例》，城市维护建设税为增值税额的5%</w:t>
            </w:r>
          </w:p>
        </w:tc>
      </w:tr>
      <w:tr w14:paraId="61D8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60" w:type="dxa"/>
            <w:noWrap w:val="0"/>
            <w:vAlign w:val="center"/>
          </w:tcPr>
          <w:p w14:paraId="5CCF1684">
            <w:pPr>
              <w:widowControl w:val="0"/>
              <w:spacing w:line="300" w:lineRule="exact"/>
              <w:jc w:val="center"/>
              <w:rPr>
                <w:rFonts w:eastAsia="楷体_GB2312"/>
                <w:szCs w:val="21"/>
              </w:rPr>
            </w:pPr>
            <w:r>
              <w:rPr>
                <w:rFonts w:eastAsia="楷体_GB2312"/>
                <w:szCs w:val="21"/>
              </w:rPr>
              <w:t>教育费附加（元/平方米）</w:t>
            </w:r>
          </w:p>
        </w:tc>
        <w:tc>
          <w:tcPr>
            <w:tcW w:w="1847" w:type="dxa"/>
            <w:noWrap w:val="0"/>
            <w:vAlign w:val="center"/>
          </w:tcPr>
          <w:p w14:paraId="3B6005B8">
            <w:pPr>
              <w:widowControl w:val="0"/>
              <w:spacing w:line="300" w:lineRule="exact"/>
              <w:jc w:val="center"/>
              <w:rPr>
                <w:rFonts w:eastAsia="楷体_GB2312"/>
                <w:szCs w:val="21"/>
              </w:rPr>
            </w:pPr>
            <w:r>
              <w:rPr>
                <w:rFonts w:eastAsia="楷体_GB2312"/>
                <w:szCs w:val="21"/>
              </w:rPr>
              <w:t>0.22</w:t>
            </w:r>
          </w:p>
        </w:tc>
        <w:tc>
          <w:tcPr>
            <w:tcW w:w="3865" w:type="dxa"/>
            <w:noWrap w:val="0"/>
            <w:vAlign w:val="center"/>
          </w:tcPr>
          <w:p w14:paraId="4483F3D0">
            <w:pPr>
              <w:widowControl w:val="0"/>
              <w:spacing w:line="300" w:lineRule="exact"/>
              <w:jc w:val="center"/>
              <w:rPr>
                <w:rFonts w:eastAsia="楷体_GB2312"/>
                <w:szCs w:val="21"/>
              </w:rPr>
            </w:pPr>
            <w:r>
              <w:rPr>
                <w:rFonts w:eastAsia="楷体_GB2312"/>
                <w:szCs w:val="21"/>
              </w:rPr>
              <w:t>《国务院关于修改&lt;征收教育费附加的暂行规定&gt;的决定》，教育费附加为增值税额的3%</w:t>
            </w:r>
          </w:p>
        </w:tc>
      </w:tr>
      <w:tr w14:paraId="69AA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60" w:type="dxa"/>
            <w:noWrap w:val="0"/>
            <w:vAlign w:val="center"/>
          </w:tcPr>
          <w:p w14:paraId="2E716FE9">
            <w:pPr>
              <w:widowControl w:val="0"/>
              <w:spacing w:line="300" w:lineRule="exact"/>
              <w:jc w:val="center"/>
              <w:rPr>
                <w:rFonts w:eastAsia="楷体_GB2312"/>
                <w:szCs w:val="21"/>
              </w:rPr>
            </w:pPr>
            <w:r>
              <w:rPr>
                <w:rFonts w:eastAsia="楷体_GB2312"/>
                <w:szCs w:val="21"/>
              </w:rPr>
              <w:t>地方教育费附加（元/平方米）</w:t>
            </w:r>
          </w:p>
        </w:tc>
        <w:tc>
          <w:tcPr>
            <w:tcW w:w="1847" w:type="dxa"/>
            <w:noWrap w:val="0"/>
            <w:vAlign w:val="center"/>
          </w:tcPr>
          <w:p w14:paraId="54BA0E0A">
            <w:pPr>
              <w:widowControl w:val="0"/>
              <w:spacing w:line="300" w:lineRule="exact"/>
              <w:jc w:val="center"/>
              <w:rPr>
                <w:rFonts w:eastAsia="楷体_GB2312"/>
                <w:szCs w:val="21"/>
              </w:rPr>
            </w:pPr>
            <w:r>
              <w:rPr>
                <w:rFonts w:eastAsia="楷体_GB2312"/>
                <w:szCs w:val="21"/>
              </w:rPr>
              <w:t>0.15</w:t>
            </w:r>
          </w:p>
        </w:tc>
        <w:tc>
          <w:tcPr>
            <w:tcW w:w="3865" w:type="dxa"/>
            <w:noWrap w:val="0"/>
            <w:vAlign w:val="center"/>
          </w:tcPr>
          <w:p w14:paraId="62902BD6">
            <w:pPr>
              <w:widowControl w:val="0"/>
              <w:spacing w:line="300" w:lineRule="exact"/>
              <w:jc w:val="center"/>
              <w:rPr>
                <w:rFonts w:eastAsia="楷体_GB2312"/>
                <w:szCs w:val="21"/>
              </w:rPr>
            </w:pPr>
            <w:r>
              <w:rPr>
                <w:rFonts w:eastAsia="楷体_GB2312"/>
                <w:szCs w:val="21"/>
              </w:rPr>
              <w:t>《安徽省地方教育附加征收和使用管理暂行办法&gt;的决定》，地方教育费附加为增值税额的2%</w:t>
            </w:r>
          </w:p>
        </w:tc>
      </w:tr>
      <w:tr w14:paraId="58740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60" w:type="dxa"/>
            <w:noWrap w:val="0"/>
            <w:vAlign w:val="center"/>
          </w:tcPr>
          <w:p w14:paraId="00A1B1C4">
            <w:pPr>
              <w:jc w:val="center"/>
              <w:rPr>
                <w:rFonts w:eastAsia="楷体_GB2312"/>
              </w:rPr>
            </w:pPr>
            <w:r>
              <w:rPr>
                <w:rFonts w:eastAsia="楷体_GB2312"/>
              </w:rPr>
              <w:t>房地年总费用</w:t>
            </w:r>
            <w:r>
              <w:rPr>
                <w:rFonts w:eastAsia="楷体_GB2312"/>
                <w:szCs w:val="21"/>
              </w:rPr>
              <w:t>（元/平方米）</w:t>
            </w:r>
          </w:p>
        </w:tc>
        <w:tc>
          <w:tcPr>
            <w:tcW w:w="1847" w:type="dxa"/>
            <w:noWrap w:val="0"/>
            <w:vAlign w:val="center"/>
          </w:tcPr>
          <w:p w14:paraId="0722AA5C">
            <w:pPr>
              <w:widowControl w:val="0"/>
              <w:spacing w:line="300" w:lineRule="exact"/>
              <w:jc w:val="center"/>
              <w:rPr>
                <w:rFonts w:eastAsia="楷体_GB2312"/>
                <w:szCs w:val="21"/>
              </w:rPr>
            </w:pPr>
            <w:r>
              <w:rPr>
                <w:rFonts w:eastAsia="楷体_GB2312"/>
                <w:szCs w:val="21"/>
              </w:rPr>
              <w:t>54.78</w:t>
            </w:r>
          </w:p>
        </w:tc>
        <w:tc>
          <w:tcPr>
            <w:tcW w:w="3865" w:type="dxa"/>
            <w:noWrap w:val="0"/>
            <w:vAlign w:val="center"/>
          </w:tcPr>
          <w:p w14:paraId="09836F62">
            <w:pPr>
              <w:spacing w:line="300" w:lineRule="exact"/>
              <w:jc w:val="center"/>
              <w:rPr>
                <w:rFonts w:eastAsia="楷体_GB2312"/>
                <w:szCs w:val="21"/>
              </w:rPr>
            </w:pPr>
            <w:r>
              <w:rPr>
                <w:rFonts w:eastAsia="楷体_GB2312"/>
                <w:szCs w:val="21"/>
              </w:rPr>
              <w:t>管理费+维修费+年折旧费+保险费+房产税+增值税+城市维护建设税+教育费附加+地方教育费附加</w:t>
            </w:r>
          </w:p>
        </w:tc>
      </w:tr>
      <w:tr w14:paraId="573B9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60" w:type="dxa"/>
            <w:noWrap w:val="0"/>
            <w:vAlign w:val="center"/>
          </w:tcPr>
          <w:p w14:paraId="5C0E8740">
            <w:pPr>
              <w:jc w:val="center"/>
              <w:rPr>
                <w:rFonts w:eastAsia="楷体_GB2312"/>
              </w:rPr>
            </w:pPr>
            <w:r>
              <w:rPr>
                <w:rFonts w:eastAsia="楷体_GB2312"/>
              </w:rPr>
              <w:t>房地年纯收益</w:t>
            </w:r>
            <w:r>
              <w:rPr>
                <w:rFonts w:eastAsia="楷体_GB2312"/>
                <w:szCs w:val="21"/>
              </w:rPr>
              <w:t>（元/平方米）</w:t>
            </w:r>
          </w:p>
        </w:tc>
        <w:tc>
          <w:tcPr>
            <w:tcW w:w="1847" w:type="dxa"/>
            <w:noWrap w:val="0"/>
            <w:vAlign w:val="center"/>
          </w:tcPr>
          <w:p w14:paraId="44835A7B">
            <w:pPr>
              <w:widowControl w:val="0"/>
              <w:spacing w:line="300" w:lineRule="exact"/>
              <w:jc w:val="center"/>
              <w:rPr>
                <w:rFonts w:eastAsia="楷体_GB2312"/>
                <w:szCs w:val="21"/>
              </w:rPr>
            </w:pPr>
            <w:r>
              <w:rPr>
                <w:rFonts w:eastAsia="楷体_GB2312"/>
                <w:szCs w:val="21"/>
              </w:rPr>
              <w:t>100.62</w:t>
            </w:r>
          </w:p>
        </w:tc>
        <w:tc>
          <w:tcPr>
            <w:tcW w:w="3865" w:type="dxa"/>
            <w:noWrap w:val="0"/>
            <w:vAlign w:val="center"/>
          </w:tcPr>
          <w:p w14:paraId="1E45D368">
            <w:pPr>
              <w:spacing w:line="300" w:lineRule="exact"/>
              <w:jc w:val="center"/>
              <w:rPr>
                <w:rFonts w:eastAsia="楷体_GB2312"/>
                <w:szCs w:val="21"/>
              </w:rPr>
            </w:pPr>
            <w:r>
              <w:rPr>
                <w:rFonts w:eastAsia="楷体_GB2312"/>
                <w:szCs w:val="21"/>
              </w:rPr>
              <w:t>房地年总收益-房地年总费用</w:t>
            </w:r>
          </w:p>
        </w:tc>
      </w:tr>
      <w:tr w14:paraId="6B86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60" w:type="dxa"/>
            <w:noWrap w:val="0"/>
            <w:vAlign w:val="center"/>
          </w:tcPr>
          <w:p w14:paraId="4551DCDE">
            <w:pPr>
              <w:jc w:val="center"/>
              <w:rPr>
                <w:rFonts w:eastAsia="楷体_GB2312"/>
              </w:rPr>
            </w:pPr>
            <w:r>
              <w:rPr>
                <w:rFonts w:eastAsia="楷体_GB2312"/>
              </w:rPr>
              <w:t>土地年纯收益</w:t>
            </w:r>
            <w:r>
              <w:rPr>
                <w:rFonts w:eastAsia="楷体_GB2312"/>
                <w:szCs w:val="21"/>
              </w:rPr>
              <w:t>（元/平方米）</w:t>
            </w:r>
          </w:p>
        </w:tc>
        <w:tc>
          <w:tcPr>
            <w:tcW w:w="1847" w:type="dxa"/>
            <w:noWrap w:val="0"/>
            <w:vAlign w:val="center"/>
          </w:tcPr>
          <w:p w14:paraId="55DE3D18">
            <w:pPr>
              <w:widowControl w:val="0"/>
              <w:spacing w:line="300" w:lineRule="exact"/>
              <w:jc w:val="center"/>
              <w:rPr>
                <w:rFonts w:eastAsia="楷体_GB2312"/>
                <w:szCs w:val="21"/>
              </w:rPr>
            </w:pPr>
            <w:r>
              <w:rPr>
                <w:rFonts w:eastAsia="楷体_GB2312"/>
                <w:szCs w:val="21"/>
              </w:rPr>
              <w:t>23.58</w:t>
            </w:r>
          </w:p>
        </w:tc>
        <w:tc>
          <w:tcPr>
            <w:tcW w:w="3865" w:type="dxa"/>
            <w:noWrap w:val="0"/>
            <w:vAlign w:val="center"/>
          </w:tcPr>
          <w:p w14:paraId="66F79EDF">
            <w:pPr>
              <w:spacing w:line="300" w:lineRule="exact"/>
              <w:jc w:val="center"/>
              <w:rPr>
                <w:rFonts w:eastAsia="楷体_GB2312"/>
                <w:szCs w:val="21"/>
              </w:rPr>
            </w:pPr>
            <w:r>
              <w:rPr>
                <w:rFonts w:eastAsia="楷体_GB2312"/>
                <w:szCs w:val="21"/>
              </w:rPr>
              <w:t>房地年纯收益-房屋年纯收益</w:t>
            </w:r>
          </w:p>
        </w:tc>
      </w:tr>
      <w:tr w14:paraId="5C1C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60" w:type="dxa"/>
            <w:noWrap w:val="0"/>
            <w:vAlign w:val="center"/>
          </w:tcPr>
          <w:p w14:paraId="09926B13">
            <w:pPr>
              <w:jc w:val="center"/>
              <w:rPr>
                <w:rFonts w:eastAsia="楷体_GB2312"/>
              </w:rPr>
            </w:pPr>
            <w:r>
              <w:rPr>
                <w:rFonts w:eastAsia="楷体_GB2312"/>
              </w:rPr>
              <w:t>楼面地价</w:t>
            </w:r>
            <w:r>
              <w:rPr>
                <w:rFonts w:eastAsia="楷体_GB2312"/>
                <w:szCs w:val="21"/>
              </w:rPr>
              <w:t>（元/平方米）</w:t>
            </w:r>
          </w:p>
        </w:tc>
        <w:tc>
          <w:tcPr>
            <w:tcW w:w="1847" w:type="dxa"/>
            <w:noWrap w:val="0"/>
            <w:vAlign w:val="center"/>
          </w:tcPr>
          <w:p w14:paraId="7686035F">
            <w:pPr>
              <w:widowControl w:val="0"/>
              <w:spacing w:line="300" w:lineRule="exact"/>
              <w:jc w:val="center"/>
              <w:rPr>
                <w:rFonts w:eastAsia="楷体_GB2312"/>
                <w:szCs w:val="21"/>
              </w:rPr>
            </w:pPr>
            <w:r>
              <w:rPr>
                <w:rFonts w:eastAsia="楷体_GB2312"/>
                <w:szCs w:val="21"/>
              </w:rPr>
              <w:t>354.79</w:t>
            </w:r>
          </w:p>
        </w:tc>
        <w:tc>
          <w:tcPr>
            <w:tcW w:w="3865" w:type="dxa"/>
            <w:noWrap w:val="0"/>
            <w:vAlign w:val="center"/>
          </w:tcPr>
          <w:p w14:paraId="65348C84">
            <w:pPr>
              <w:spacing w:line="300" w:lineRule="exact"/>
              <w:jc w:val="center"/>
              <w:rPr>
                <w:rFonts w:eastAsia="楷体_GB2312"/>
                <w:szCs w:val="21"/>
              </w:rPr>
            </w:pPr>
            <w:r>
              <w:rPr>
                <w:rFonts w:eastAsia="楷体_GB2312"/>
                <w:szCs w:val="21"/>
              </w:rPr>
              <w:t>详见前文“还原率的确定”章节，公共管理与公共服务用地土地还原率为6%，土地剩余年限</w:t>
            </w:r>
            <w:r>
              <w:rPr>
                <w:rFonts w:hint="eastAsia" w:eastAsia="楷体_GB2312"/>
                <w:szCs w:val="21"/>
              </w:rPr>
              <w:t>36</w:t>
            </w:r>
            <w:r>
              <w:rPr>
                <w:rFonts w:eastAsia="楷体_GB2312"/>
                <w:szCs w:val="21"/>
              </w:rPr>
              <w:t>年</w:t>
            </w:r>
          </w:p>
        </w:tc>
      </w:tr>
      <w:tr w14:paraId="5AEC9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360" w:type="dxa"/>
            <w:noWrap w:val="0"/>
            <w:vAlign w:val="center"/>
          </w:tcPr>
          <w:p w14:paraId="4AC01D8B">
            <w:pPr>
              <w:jc w:val="center"/>
              <w:rPr>
                <w:rFonts w:eastAsia="楷体_GB2312"/>
              </w:rPr>
            </w:pPr>
            <w:r>
              <w:rPr>
                <w:rFonts w:eastAsia="楷体_GB2312"/>
              </w:rPr>
              <w:t>单位面积土地价格</w:t>
            </w:r>
            <w:r>
              <w:rPr>
                <w:rFonts w:eastAsia="楷体_GB2312"/>
                <w:szCs w:val="21"/>
              </w:rPr>
              <w:t>（元/平方米）</w:t>
            </w:r>
          </w:p>
        </w:tc>
        <w:tc>
          <w:tcPr>
            <w:tcW w:w="1847" w:type="dxa"/>
            <w:noWrap w:val="0"/>
            <w:vAlign w:val="center"/>
          </w:tcPr>
          <w:p w14:paraId="4A20E154">
            <w:pPr>
              <w:widowControl w:val="0"/>
              <w:spacing w:line="300" w:lineRule="exact"/>
              <w:jc w:val="center"/>
              <w:rPr>
                <w:rFonts w:eastAsia="楷体_GB2312"/>
                <w:szCs w:val="21"/>
              </w:rPr>
            </w:pPr>
            <w:r>
              <w:rPr>
                <w:rFonts w:eastAsia="楷体_GB2312"/>
                <w:szCs w:val="21"/>
              </w:rPr>
              <w:t>425.75</w:t>
            </w:r>
          </w:p>
        </w:tc>
        <w:tc>
          <w:tcPr>
            <w:tcW w:w="3865" w:type="dxa"/>
            <w:noWrap w:val="0"/>
            <w:vAlign w:val="center"/>
          </w:tcPr>
          <w:p w14:paraId="0DB9958E">
            <w:pPr>
              <w:widowControl w:val="0"/>
              <w:spacing w:line="300" w:lineRule="exact"/>
              <w:jc w:val="center"/>
              <w:rPr>
                <w:rFonts w:eastAsia="楷体_GB2312"/>
                <w:szCs w:val="21"/>
              </w:rPr>
            </w:pPr>
            <w:r>
              <w:rPr>
                <w:rFonts w:eastAsia="楷体_GB2312"/>
                <w:szCs w:val="21"/>
              </w:rPr>
              <w:t>容积率1.2</w:t>
            </w:r>
          </w:p>
        </w:tc>
      </w:tr>
    </w:tbl>
    <w:p w14:paraId="47891BBA">
      <w:pPr>
        <w:widowControl w:val="0"/>
        <w:spacing w:line="480" w:lineRule="exact"/>
        <w:ind w:firstLine="562" w:firstLineChars="200"/>
        <w:jc w:val="both"/>
        <w:rPr>
          <w:rFonts w:eastAsia="楷体_GB2312"/>
          <w:b/>
          <w:sz w:val="28"/>
          <w:szCs w:val="21"/>
        </w:rPr>
      </w:pPr>
      <w:r>
        <w:rPr>
          <w:rFonts w:eastAsia="楷体_GB2312"/>
          <w:b/>
          <w:sz w:val="28"/>
          <w:szCs w:val="21"/>
        </w:rPr>
        <w:t>4、公共管理与公共服务用地</w:t>
      </w:r>
      <w:r>
        <w:rPr>
          <w:rFonts w:hint="eastAsia" w:eastAsia="楷体_GB2312"/>
          <w:b/>
          <w:sz w:val="28"/>
          <w:szCs w:val="21"/>
        </w:rPr>
        <w:t>医疗卫生</w:t>
      </w:r>
      <w:r>
        <w:rPr>
          <w:rFonts w:eastAsia="楷体_GB2312"/>
          <w:b/>
          <w:sz w:val="28"/>
          <w:szCs w:val="21"/>
        </w:rPr>
        <w:t>用地基准地价的确定</w:t>
      </w:r>
    </w:p>
    <w:p w14:paraId="06CD55BF">
      <w:pPr>
        <w:widowControl w:val="0"/>
        <w:spacing w:line="480" w:lineRule="exact"/>
        <w:ind w:firstLine="560" w:firstLineChars="200"/>
        <w:jc w:val="both"/>
        <w:rPr>
          <w:rFonts w:eastAsia="楷体_GB2312"/>
          <w:sz w:val="28"/>
          <w:szCs w:val="21"/>
        </w:rPr>
      </w:pPr>
      <w:r>
        <w:rPr>
          <w:rFonts w:eastAsia="楷体_GB2312"/>
          <w:sz w:val="28"/>
          <w:szCs w:val="21"/>
        </w:rPr>
        <w:t>根据表2-6-</w:t>
      </w:r>
      <w:r>
        <w:rPr>
          <w:rFonts w:hint="eastAsia" w:eastAsia="楷体_GB2312"/>
          <w:sz w:val="28"/>
          <w:szCs w:val="21"/>
        </w:rPr>
        <w:t>3</w:t>
      </w:r>
      <w:r>
        <w:rPr>
          <w:rFonts w:eastAsia="楷体_GB2312"/>
          <w:sz w:val="28"/>
          <w:szCs w:val="21"/>
        </w:rPr>
        <w:t>的测算方法，利用各级别商服出租样点调查资料，采用收益还原法测算各级别公共管理与公共服务用地各级别</w:t>
      </w:r>
      <w:r>
        <w:rPr>
          <w:rFonts w:hint="eastAsia" w:eastAsia="楷体_GB2312"/>
          <w:sz w:val="28"/>
          <w:szCs w:val="21"/>
        </w:rPr>
        <w:t>医疗卫生</w:t>
      </w:r>
      <w:r>
        <w:rPr>
          <w:rFonts w:eastAsia="楷体_GB2312"/>
          <w:sz w:val="28"/>
          <w:szCs w:val="21"/>
        </w:rPr>
        <w:t>用地样点的平均地价，详见表</w:t>
      </w:r>
      <w:r>
        <w:rPr>
          <w:rFonts w:eastAsia="黑体"/>
          <w:sz w:val="28"/>
          <w:szCs w:val="21"/>
        </w:rPr>
        <w:t>2-6-</w:t>
      </w:r>
      <w:r>
        <w:rPr>
          <w:rFonts w:hint="eastAsia" w:eastAsia="黑体"/>
          <w:sz w:val="28"/>
          <w:szCs w:val="21"/>
        </w:rPr>
        <w:t>4</w:t>
      </w:r>
    </w:p>
    <w:p w14:paraId="32825408">
      <w:pPr>
        <w:widowControl w:val="0"/>
        <w:spacing w:line="480" w:lineRule="exact"/>
        <w:jc w:val="center"/>
        <w:rPr>
          <w:rFonts w:eastAsia="黑体"/>
          <w:sz w:val="28"/>
          <w:szCs w:val="21"/>
        </w:rPr>
      </w:pPr>
      <w:r>
        <w:rPr>
          <w:rFonts w:eastAsia="黑体"/>
          <w:sz w:val="28"/>
          <w:szCs w:val="21"/>
        </w:rPr>
        <w:t>表2-6-4  利用收益还原法测算公共管理与公共服务用地</w:t>
      </w:r>
    </w:p>
    <w:p w14:paraId="27E4B8A1">
      <w:pPr>
        <w:widowControl w:val="0"/>
        <w:spacing w:line="480" w:lineRule="exact"/>
        <w:jc w:val="center"/>
        <w:rPr>
          <w:rFonts w:eastAsia="楷体_GB2312"/>
          <w:sz w:val="28"/>
          <w:szCs w:val="21"/>
        </w:rPr>
      </w:pPr>
      <w:r>
        <w:rPr>
          <w:rFonts w:hint="eastAsia" w:eastAsia="黑体"/>
          <w:sz w:val="28"/>
          <w:szCs w:val="21"/>
        </w:rPr>
        <w:t>医疗卫生</w:t>
      </w:r>
      <w:r>
        <w:rPr>
          <w:rFonts w:eastAsia="黑体"/>
          <w:sz w:val="28"/>
          <w:szCs w:val="21"/>
        </w:rPr>
        <w:t>用地基准地价地价</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7"/>
        <w:gridCol w:w="1288"/>
        <w:gridCol w:w="776"/>
        <w:gridCol w:w="1288"/>
        <w:gridCol w:w="4433"/>
      </w:tblGrid>
      <w:tr w14:paraId="5AE1C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0" w:type="auto"/>
            <w:noWrap w:val="0"/>
            <w:vAlign w:val="center"/>
          </w:tcPr>
          <w:p w14:paraId="7D1FE4A3">
            <w:pPr>
              <w:jc w:val="center"/>
              <w:rPr>
                <w:rFonts w:eastAsia="楷体_GB2312"/>
                <w:kern w:val="0"/>
                <w:szCs w:val="21"/>
              </w:rPr>
            </w:pPr>
            <w:r>
              <w:rPr>
                <w:rFonts w:eastAsia="楷体_GB2312"/>
                <w:kern w:val="0"/>
                <w:szCs w:val="21"/>
              </w:rPr>
              <w:t>乡镇编号</w:t>
            </w:r>
          </w:p>
        </w:tc>
        <w:tc>
          <w:tcPr>
            <w:tcW w:w="0" w:type="auto"/>
            <w:noWrap w:val="0"/>
            <w:vAlign w:val="center"/>
          </w:tcPr>
          <w:p w14:paraId="4B40A2F0">
            <w:pPr>
              <w:jc w:val="center"/>
              <w:rPr>
                <w:rFonts w:eastAsia="楷体_GB2312"/>
                <w:kern w:val="0"/>
                <w:szCs w:val="21"/>
              </w:rPr>
            </w:pPr>
            <w:r>
              <w:rPr>
                <w:rFonts w:eastAsia="楷体_GB2312"/>
                <w:kern w:val="0"/>
                <w:szCs w:val="21"/>
              </w:rPr>
              <w:t>乡镇名称</w:t>
            </w:r>
          </w:p>
        </w:tc>
        <w:tc>
          <w:tcPr>
            <w:tcW w:w="0" w:type="auto"/>
            <w:noWrap w:val="0"/>
            <w:vAlign w:val="center"/>
          </w:tcPr>
          <w:p w14:paraId="65183DA9">
            <w:pPr>
              <w:spacing w:line="240" w:lineRule="exact"/>
              <w:jc w:val="center"/>
              <w:rPr>
                <w:rFonts w:eastAsia="楷体_GB2312"/>
                <w:kern w:val="0"/>
                <w:szCs w:val="21"/>
              </w:rPr>
            </w:pPr>
            <w:r>
              <w:rPr>
                <w:rFonts w:eastAsia="楷体_GB2312"/>
                <w:kern w:val="0"/>
                <w:szCs w:val="21"/>
              </w:rPr>
              <w:t>级别</w:t>
            </w:r>
          </w:p>
        </w:tc>
        <w:tc>
          <w:tcPr>
            <w:tcW w:w="0" w:type="auto"/>
            <w:noWrap w:val="0"/>
            <w:vAlign w:val="center"/>
          </w:tcPr>
          <w:p w14:paraId="492684C9">
            <w:pPr>
              <w:spacing w:before="100" w:beforeAutospacing="1" w:after="100" w:afterAutospacing="1" w:line="240" w:lineRule="atLeast"/>
              <w:jc w:val="center"/>
              <w:rPr>
                <w:rFonts w:eastAsia="楷体_GB2312"/>
                <w:kern w:val="0"/>
                <w:szCs w:val="21"/>
              </w:rPr>
            </w:pPr>
            <w:r>
              <w:rPr>
                <w:rFonts w:eastAsia="楷体_GB2312"/>
                <w:kern w:val="0"/>
                <w:szCs w:val="21"/>
              </w:rPr>
              <w:t>样点个数</w:t>
            </w:r>
          </w:p>
        </w:tc>
        <w:tc>
          <w:tcPr>
            <w:tcW w:w="0" w:type="auto"/>
            <w:noWrap w:val="0"/>
            <w:vAlign w:val="center"/>
          </w:tcPr>
          <w:p w14:paraId="6EAC60EB">
            <w:pPr>
              <w:spacing w:before="100" w:beforeAutospacing="1" w:after="100" w:afterAutospacing="1" w:line="240" w:lineRule="atLeast"/>
              <w:jc w:val="center"/>
              <w:rPr>
                <w:rFonts w:eastAsia="楷体_GB2312"/>
                <w:kern w:val="0"/>
                <w:szCs w:val="21"/>
              </w:rPr>
            </w:pPr>
            <w:r>
              <w:rPr>
                <w:rFonts w:eastAsia="楷体_GB2312"/>
                <w:kern w:val="0"/>
                <w:szCs w:val="21"/>
              </w:rPr>
              <w:t>医疗卫生用地平均地价（元/平方米）</w:t>
            </w:r>
          </w:p>
        </w:tc>
      </w:tr>
      <w:tr w14:paraId="34308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480D1A35">
            <w:pPr>
              <w:jc w:val="center"/>
              <w:rPr>
                <w:rFonts w:eastAsia="楷体_GB2312"/>
                <w:kern w:val="0"/>
                <w:sz w:val="22"/>
                <w:szCs w:val="22"/>
              </w:rPr>
            </w:pPr>
            <w:r>
              <w:rPr>
                <w:rFonts w:eastAsia="楷体_GB2312"/>
                <w:kern w:val="0"/>
                <w:sz w:val="22"/>
                <w:szCs w:val="22"/>
              </w:rPr>
              <w:t>1</w:t>
            </w:r>
          </w:p>
        </w:tc>
        <w:tc>
          <w:tcPr>
            <w:tcW w:w="0" w:type="auto"/>
            <w:vMerge w:val="restart"/>
            <w:noWrap w:val="0"/>
            <w:vAlign w:val="center"/>
          </w:tcPr>
          <w:p w14:paraId="38C68293">
            <w:pPr>
              <w:jc w:val="center"/>
              <w:rPr>
                <w:rFonts w:eastAsia="楷体_GB2312"/>
                <w:kern w:val="0"/>
                <w:sz w:val="22"/>
                <w:szCs w:val="22"/>
              </w:rPr>
            </w:pPr>
            <w:r>
              <w:rPr>
                <w:rFonts w:eastAsia="楷体_GB2312"/>
                <w:kern w:val="0"/>
                <w:sz w:val="22"/>
                <w:szCs w:val="22"/>
              </w:rPr>
              <w:t>符离镇</w:t>
            </w:r>
          </w:p>
        </w:tc>
        <w:tc>
          <w:tcPr>
            <w:tcW w:w="0" w:type="auto"/>
            <w:noWrap w:val="0"/>
            <w:vAlign w:val="center"/>
          </w:tcPr>
          <w:p w14:paraId="42733BC3">
            <w:pPr>
              <w:jc w:val="center"/>
              <w:rPr>
                <w:rFonts w:eastAsia="楷体_GB2312"/>
                <w:kern w:val="0"/>
                <w:sz w:val="22"/>
                <w:szCs w:val="22"/>
              </w:rPr>
            </w:pPr>
            <w:r>
              <w:rPr>
                <w:rFonts w:eastAsia="楷体_GB2312"/>
                <w:kern w:val="0"/>
                <w:sz w:val="22"/>
                <w:szCs w:val="22"/>
              </w:rPr>
              <w:t>1</w:t>
            </w:r>
          </w:p>
        </w:tc>
        <w:tc>
          <w:tcPr>
            <w:tcW w:w="0" w:type="auto"/>
            <w:noWrap w:val="0"/>
            <w:vAlign w:val="center"/>
          </w:tcPr>
          <w:p w14:paraId="115B297B">
            <w:pPr>
              <w:spacing w:before="100" w:beforeAutospacing="1" w:after="100" w:afterAutospacing="1" w:line="240" w:lineRule="atLeast"/>
              <w:jc w:val="center"/>
              <w:rPr>
                <w:rFonts w:eastAsia="楷体_GB2312"/>
                <w:kern w:val="0"/>
                <w:szCs w:val="21"/>
              </w:rPr>
            </w:pPr>
            <w:r>
              <w:rPr>
                <w:rFonts w:eastAsia="楷体_GB2312"/>
                <w:kern w:val="0"/>
                <w:szCs w:val="21"/>
              </w:rPr>
              <w:t>12</w:t>
            </w:r>
          </w:p>
        </w:tc>
        <w:tc>
          <w:tcPr>
            <w:tcW w:w="0" w:type="auto"/>
            <w:noWrap w:val="0"/>
            <w:vAlign w:val="center"/>
          </w:tcPr>
          <w:p w14:paraId="2624395A">
            <w:pPr>
              <w:jc w:val="center"/>
              <w:rPr>
                <w:rFonts w:ascii="宋体" w:hAnsi="宋体" w:cs="宋体"/>
                <w:color w:val="000000"/>
                <w:sz w:val="22"/>
                <w:szCs w:val="22"/>
              </w:rPr>
            </w:pPr>
            <w:r>
              <w:rPr>
                <w:rFonts w:hint="eastAsia"/>
                <w:color w:val="000000"/>
                <w:sz w:val="22"/>
                <w:szCs w:val="22"/>
              </w:rPr>
              <w:t>421</w:t>
            </w:r>
          </w:p>
        </w:tc>
      </w:tr>
      <w:tr w14:paraId="4F628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393CF9A">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594C216">
            <w:pPr>
              <w:spacing w:before="100" w:beforeAutospacing="1" w:after="100" w:afterAutospacing="1" w:line="240" w:lineRule="atLeast"/>
              <w:jc w:val="center"/>
              <w:rPr>
                <w:rFonts w:eastAsia="楷体_GB2312"/>
                <w:kern w:val="0"/>
                <w:szCs w:val="21"/>
              </w:rPr>
            </w:pPr>
          </w:p>
        </w:tc>
        <w:tc>
          <w:tcPr>
            <w:tcW w:w="0" w:type="auto"/>
            <w:noWrap w:val="0"/>
            <w:vAlign w:val="center"/>
          </w:tcPr>
          <w:p w14:paraId="34E4149F">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5CCC8C34">
            <w:pPr>
              <w:spacing w:before="100" w:beforeAutospacing="1" w:after="100" w:afterAutospacing="1" w:line="240" w:lineRule="atLeast"/>
              <w:jc w:val="center"/>
              <w:rPr>
                <w:rFonts w:eastAsia="楷体_GB2312"/>
                <w:kern w:val="0"/>
                <w:szCs w:val="21"/>
              </w:rPr>
            </w:pPr>
            <w:r>
              <w:rPr>
                <w:rFonts w:eastAsia="楷体_GB2312"/>
                <w:kern w:val="0"/>
                <w:szCs w:val="21"/>
              </w:rPr>
              <w:t>10</w:t>
            </w:r>
          </w:p>
        </w:tc>
        <w:tc>
          <w:tcPr>
            <w:tcW w:w="0" w:type="auto"/>
            <w:noWrap w:val="0"/>
            <w:vAlign w:val="center"/>
          </w:tcPr>
          <w:p w14:paraId="485C713D">
            <w:pPr>
              <w:jc w:val="center"/>
              <w:rPr>
                <w:rFonts w:ascii="宋体" w:hAnsi="宋体" w:cs="宋体"/>
                <w:color w:val="000000"/>
                <w:sz w:val="22"/>
                <w:szCs w:val="22"/>
              </w:rPr>
            </w:pPr>
            <w:r>
              <w:rPr>
                <w:rFonts w:hint="eastAsia"/>
                <w:color w:val="000000"/>
                <w:sz w:val="22"/>
                <w:szCs w:val="22"/>
              </w:rPr>
              <w:t>324</w:t>
            </w:r>
          </w:p>
        </w:tc>
      </w:tr>
      <w:tr w14:paraId="7AED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9FC8105">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8934E80">
            <w:pPr>
              <w:spacing w:before="100" w:beforeAutospacing="1" w:after="100" w:afterAutospacing="1" w:line="240" w:lineRule="atLeast"/>
              <w:jc w:val="center"/>
              <w:rPr>
                <w:rFonts w:eastAsia="楷体_GB2312"/>
                <w:kern w:val="0"/>
                <w:szCs w:val="21"/>
              </w:rPr>
            </w:pPr>
          </w:p>
        </w:tc>
        <w:tc>
          <w:tcPr>
            <w:tcW w:w="0" w:type="auto"/>
            <w:noWrap w:val="0"/>
            <w:vAlign w:val="center"/>
          </w:tcPr>
          <w:p w14:paraId="4E149E83">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48E244FA">
            <w:pPr>
              <w:spacing w:before="100" w:beforeAutospacing="1" w:after="100" w:afterAutospacing="1" w:line="240" w:lineRule="atLeast"/>
              <w:jc w:val="center"/>
              <w:rPr>
                <w:rFonts w:eastAsia="楷体_GB2312"/>
                <w:kern w:val="0"/>
                <w:szCs w:val="21"/>
              </w:rPr>
            </w:pPr>
            <w:r>
              <w:rPr>
                <w:rFonts w:eastAsia="楷体_GB2312"/>
                <w:kern w:val="0"/>
                <w:szCs w:val="21"/>
              </w:rPr>
              <w:t>8</w:t>
            </w:r>
          </w:p>
        </w:tc>
        <w:tc>
          <w:tcPr>
            <w:tcW w:w="0" w:type="auto"/>
            <w:noWrap w:val="0"/>
            <w:vAlign w:val="center"/>
          </w:tcPr>
          <w:p w14:paraId="1C016541">
            <w:pPr>
              <w:jc w:val="center"/>
              <w:rPr>
                <w:rFonts w:ascii="宋体" w:hAnsi="宋体" w:cs="宋体"/>
                <w:color w:val="000000"/>
                <w:sz w:val="22"/>
                <w:szCs w:val="22"/>
              </w:rPr>
            </w:pPr>
            <w:r>
              <w:rPr>
                <w:rFonts w:hint="eastAsia"/>
                <w:color w:val="000000"/>
                <w:sz w:val="22"/>
                <w:szCs w:val="22"/>
              </w:rPr>
              <w:t>246</w:t>
            </w:r>
          </w:p>
        </w:tc>
      </w:tr>
      <w:tr w14:paraId="77914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1BB42423">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vMerge w:val="restart"/>
            <w:noWrap w:val="0"/>
            <w:vAlign w:val="center"/>
          </w:tcPr>
          <w:p w14:paraId="59A31940">
            <w:pPr>
              <w:spacing w:before="100" w:beforeAutospacing="1" w:after="100" w:afterAutospacing="1" w:line="240" w:lineRule="atLeast"/>
              <w:jc w:val="center"/>
              <w:rPr>
                <w:rFonts w:eastAsia="楷体_GB2312"/>
                <w:kern w:val="0"/>
                <w:szCs w:val="21"/>
              </w:rPr>
            </w:pPr>
            <w:r>
              <w:rPr>
                <w:rFonts w:eastAsia="楷体_GB2312"/>
                <w:kern w:val="0"/>
                <w:szCs w:val="21"/>
              </w:rPr>
              <w:t>朱仙庄镇</w:t>
            </w:r>
          </w:p>
        </w:tc>
        <w:tc>
          <w:tcPr>
            <w:tcW w:w="0" w:type="auto"/>
            <w:noWrap w:val="0"/>
            <w:vAlign w:val="center"/>
          </w:tcPr>
          <w:p w14:paraId="52C11C4B">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2EDEE66D">
            <w:pPr>
              <w:spacing w:before="100" w:beforeAutospacing="1" w:after="100" w:afterAutospacing="1" w:line="240" w:lineRule="atLeast"/>
              <w:jc w:val="center"/>
              <w:rPr>
                <w:rFonts w:eastAsia="楷体_GB2312"/>
                <w:kern w:val="0"/>
                <w:szCs w:val="21"/>
              </w:rPr>
            </w:pPr>
            <w:r>
              <w:rPr>
                <w:rFonts w:eastAsia="楷体_GB2312"/>
                <w:kern w:val="0"/>
                <w:szCs w:val="21"/>
              </w:rPr>
              <w:t>15</w:t>
            </w:r>
          </w:p>
        </w:tc>
        <w:tc>
          <w:tcPr>
            <w:tcW w:w="0" w:type="auto"/>
            <w:noWrap w:val="0"/>
            <w:vAlign w:val="center"/>
          </w:tcPr>
          <w:p w14:paraId="0CC8F599">
            <w:pPr>
              <w:jc w:val="center"/>
              <w:rPr>
                <w:rFonts w:ascii="宋体" w:hAnsi="宋体" w:cs="宋体"/>
                <w:color w:val="000000"/>
                <w:sz w:val="22"/>
                <w:szCs w:val="22"/>
              </w:rPr>
            </w:pPr>
            <w:r>
              <w:rPr>
                <w:rFonts w:hint="eastAsia"/>
                <w:color w:val="000000"/>
                <w:sz w:val="22"/>
                <w:szCs w:val="22"/>
              </w:rPr>
              <w:t>406</w:t>
            </w:r>
          </w:p>
        </w:tc>
      </w:tr>
      <w:tr w14:paraId="0BFD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340E247B">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AAEF90A">
            <w:pPr>
              <w:spacing w:before="100" w:beforeAutospacing="1" w:after="100" w:afterAutospacing="1" w:line="240" w:lineRule="atLeast"/>
              <w:jc w:val="center"/>
              <w:rPr>
                <w:rFonts w:eastAsia="楷体_GB2312"/>
                <w:kern w:val="0"/>
                <w:szCs w:val="21"/>
              </w:rPr>
            </w:pPr>
          </w:p>
        </w:tc>
        <w:tc>
          <w:tcPr>
            <w:tcW w:w="0" w:type="auto"/>
            <w:noWrap w:val="0"/>
            <w:vAlign w:val="center"/>
          </w:tcPr>
          <w:p w14:paraId="4E64CCF4">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1D3FB683">
            <w:pPr>
              <w:spacing w:before="100" w:beforeAutospacing="1" w:after="100" w:afterAutospacing="1" w:line="240" w:lineRule="atLeast"/>
              <w:jc w:val="center"/>
              <w:rPr>
                <w:rFonts w:eastAsia="楷体_GB2312"/>
                <w:kern w:val="0"/>
                <w:szCs w:val="21"/>
              </w:rPr>
            </w:pPr>
            <w:r>
              <w:rPr>
                <w:rFonts w:eastAsia="楷体_GB2312"/>
                <w:kern w:val="0"/>
                <w:szCs w:val="21"/>
              </w:rPr>
              <w:t>9</w:t>
            </w:r>
          </w:p>
        </w:tc>
        <w:tc>
          <w:tcPr>
            <w:tcW w:w="0" w:type="auto"/>
            <w:noWrap w:val="0"/>
            <w:vAlign w:val="center"/>
          </w:tcPr>
          <w:p w14:paraId="566286A2">
            <w:pPr>
              <w:jc w:val="center"/>
              <w:rPr>
                <w:rFonts w:ascii="宋体" w:hAnsi="宋体" w:cs="宋体"/>
                <w:color w:val="000000"/>
                <w:sz w:val="22"/>
                <w:szCs w:val="22"/>
              </w:rPr>
            </w:pPr>
            <w:r>
              <w:rPr>
                <w:rFonts w:hint="eastAsia"/>
                <w:color w:val="000000"/>
                <w:sz w:val="22"/>
                <w:szCs w:val="22"/>
              </w:rPr>
              <w:t>287</w:t>
            </w:r>
          </w:p>
        </w:tc>
      </w:tr>
      <w:tr w14:paraId="38AF1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32B41EDA">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0C899BB">
            <w:pPr>
              <w:spacing w:before="100" w:beforeAutospacing="1" w:after="100" w:afterAutospacing="1" w:line="240" w:lineRule="atLeast"/>
              <w:jc w:val="center"/>
              <w:rPr>
                <w:rFonts w:eastAsia="楷体_GB2312"/>
                <w:kern w:val="0"/>
                <w:szCs w:val="21"/>
              </w:rPr>
            </w:pPr>
          </w:p>
        </w:tc>
        <w:tc>
          <w:tcPr>
            <w:tcW w:w="0" w:type="auto"/>
            <w:noWrap w:val="0"/>
            <w:vAlign w:val="center"/>
          </w:tcPr>
          <w:p w14:paraId="0F4BCC4D">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270F4538">
            <w:pPr>
              <w:spacing w:before="100" w:beforeAutospacing="1" w:after="100" w:afterAutospacing="1" w:line="240" w:lineRule="atLeast"/>
              <w:jc w:val="center"/>
              <w:rPr>
                <w:rFonts w:eastAsia="楷体_GB2312"/>
                <w:kern w:val="0"/>
                <w:szCs w:val="21"/>
              </w:rPr>
            </w:pPr>
            <w:r>
              <w:rPr>
                <w:rFonts w:eastAsia="楷体_GB2312"/>
                <w:kern w:val="0"/>
                <w:szCs w:val="21"/>
              </w:rPr>
              <w:t>6</w:t>
            </w:r>
          </w:p>
        </w:tc>
        <w:tc>
          <w:tcPr>
            <w:tcW w:w="0" w:type="auto"/>
            <w:noWrap w:val="0"/>
            <w:vAlign w:val="center"/>
          </w:tcPr>
          <w:p w14:paraId="09554385">
            <w:pPr>
              <w:jc w:val="center"/>
              <w:rPr>
                <w:rFonts w:ascii="宋体" w:hAnsi="宋体" w:cs="宋体"/>
                <w:color w:val="000000"/>
                <w:sz w:val="22"/>
                <w:szCs w:val="22"/>
              </w:rPr>
            </w:pPr>
            <w:r>
              <w:rPr>
                <w:rFonts w:hint="eastAsia"/>
                <w:color w:val="000000"/>
                <w:sz w:val="22"/>
                <w:szCs w:val="22"/>
              </w:rPr>
              <w:t>220</w:t>
            </w:r>
          </w:p>
        </w:tc>
      </w:tr>
      <w:tr w14:paraId="748D2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792678AE">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vMerge w:val="restart"/>
            <w:noWrap w:val="0"/>
            <w:vAlign w:val="center"/>
          </w:tcPr>
          <w:p w14:paraId="41DF24B5">
            <w:pPr>
              <w:spacing w:before="100" w:beforeAutospacing="1" w:after="100" w:afterAutospacing="1" w:line="240" w:lineRule="atLeast"/>
              <w:jc w:val="center"/>
              <w:rPr>
                <w:rFonts w:eastAsia="楷体_GB2312"/>
                <w:kern w:val="0"/>
                <w:szCs w:val="21"/>
              </w:rPr>
            </w:pPr>
            <w:r>
              <w:rPr>
                <w:rFonts w:eastAsia="楷体_GB2312"/>
                <w:kern w:val="0"/>
                <w:szCs w:val="21"/>
              </w:rPr>
              <w:t>蕲县镇</w:t>
            </w:r>
          </w:p>
        </w:tc>
        <w:tc>
          <w:tcPr>
            <w:tcW w:w="0" w:type="auto"/>
            <w:noWrap w:val="0"/>
            <w:vAlign w:val="center"/>
          </w:tcPr>
          <w:p w14:paraId="7BAEDE91">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60B56EAA">
            <w:pPr>
              <w:spacing w:before="100" w:beforeAutospacing="1" w:after="100" w:afterAutospacing="1" w:line="240" w:lineRule="atLeast"/>
              <w:jc w:val="center"/>
              <w:rPr>
                <w:rFonts w:eastAsia="楷体_GB2312"/>
                <w:kern w:val="0"/>
                <w:szCs w:val="21"/>
              </w:rPr>
            </w:pPr>
            <w:r>
              <w:rPr>
                <w:rFonts w:eastAsia="楷体_GB2312"/>
                <w:kern w:val="0"/>
                <w:szCs w:val="21"/>
              </w:rPr>
              <w:t>18</w:t>
            </w:r>
          </w:p>
        </w:tc>
        <w:tc>
          <w:tcPr>
            <w:tcW w:w="0" w:type="auto"/>
            <w:noWrap w:val="0"/>
            <w:vAlign w:val="center"/>
          </w:tcPr>
          <w:p w14:paraId="4E0BA548">
            <w:pPr>
              <w:jc w:val="center"/>
              <w:rPr>
                <w:rFonts w:ascii="宋体" w:hAnsi="宋体" w:cs="宋体"/>
                <w:color w:val="000000"/>
                <w:sz w:val="22"/>
                <w:szCs w:val="22"/>
              </w:rPr>
            </w:pPr>
            <w:r>
              <w:rPr>
                <w:rFonts w:hint="eastAsia"/>
                <w:color w:val="000000"/>
                <w:sz w:val="22"/>
                <w:szCs w:val="22"/>
              </w:rPr>
              <w:t>390</w:t>
            </w:r>
          </w:p>
        </w:tc>
      </w:tr>
      <w:tr w14:paraId="771F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93C078B">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7C16E9FE">
            <w:pPr>
              <w:spacing w:before="100" w:beforeAutospacing="1" w:after="100" w:afterAutospacing="1" w:line="240" w:lineRule="atLeast"/>
              <w:jc w:val="center"/>
              <w:rPr>
                <w:rFonts w:eastAsia="楷体_GB2312"/>
                <w:kern w:val="0"/>
                <w:szCs w:val="21"/>
              </w:rPr>
            </w:pPr>
          </w:p>
        </w:tc>
        <w:tc>
          <w:tcPr>
            <w:tcW w:w="0" w:type="auto"/>
            <w:noWrap w:val="0"/>
            <w:vAlign w:val="center"/>
          </w:tcPr>
          <w:p w14:paraId="286C1056">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397C7201">
            <w:pPr>
              <w:spacing w:before="100" w:beforeAutospacing="1" w:after="100" w:afterAutospacing="1" w:line="240" w:lineRule="atLeast"/>
              <w:jc w:val="center"/>
              <w:rPr>
                <w:rFonts w:eastAsia="楷体_GB2312"/>
                <w:kern w:val="0"/>
                <w:szCs w:val="21"/>
              </w:rPr>
            </w:pPr>
            <w:r>
              <w:rPr>
                <w:rFonts w:eastAsia="楷体_GB2312"/>
                <w:kern w:val="0"/>
                <w:szCs w:val="21"/>
              </w:rPr>
              <w:t>8</w:t>
            </w:r>
          </w:p>
        </w:tc>
        <w:tc>
          <w:tcPr>
            <w:tcW w:w="0" w:type="auto"/>
            <w:noWrap w:val="0"/>
            <w:vAlign w:val="center"/>
          </w:tcPr>
          <w:p w14:paraId="6EB96964">
            <w:pPr>
              <w:jc w:val="center"/>
              <w:rPr>
                <w:rFonts w:ascii="宋体" w:hAnsi="宋体" w:cs="宋体"/>
                <w:color w:val="000000"/>
                <w:sz w:val="22"/>
                <w:szCs w:val="22"/>
              </w:rPr>
            </w:pPr>
            <w:r>
              <w:rPr>
                <w:rFonts w:hint="eastAsia"/>
                <w:color w:val="000000"/>
                <w:sz w:val="22"/>
                <w:szCs w:val="22"/>
              </w:rPr>
              <w:t>276</w:t>
            </w:r>
          </w:p>
        </w:tc>
      </w:tr>
      <w:tr w14:paraId="6A0A6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40DD4DAD">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FF745C8">
            <w:pPr>
              <w:spacing w:before="100" w:beforeAutospacing="1" w:after="100" w:afterAutospacing="1" w:line="240" w:lineRule="atLeast"/>
              <w:jc w:val="center"/>
              <w:rPr>
                <w:rFonts w:eastAsia="楷体_GB2312"/>
                <w:kern w:val="0"/>
                <w:szCs w:val="21"/>
              </w:rPr>
            </w:pPr>
          </w:p>
        </w:tc>
        <w:tc>
          <w:tcPr>
            <w:tcW w:w="0" w:type="auto"/>
            <w:noWrap w:val="0"/>
            <w:vAlign w:val="center"/>
          </w:tcPr>
          <w:p w14:paraId="35474733">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1A44A692">
            <w:pPr>
              <w:spacing w:before="100" w:beforeAutospacing="1" w:after="100" w:afterAutospacing="1" w:line="240" w:lineRule="atLeast"/>
              <w:jc w:val="center"/>
              <w:rPr>
                <w:rFonts w:eastAsia="楷体_GB2312"/>
                <w:kern w:val="0"/>
                <w:szCs w:val="21"/>
              </w:rPr>
            </w:pPr>
            <w:r>
              <w:rPr>
                <w:rFonts w:eastAsia="楷体_GB2312"/>
                <w:kern w:val="0"/>
                <w:szCs w:val="21"/>
              </w:rPr>
              <w:t>4</w:t>
            </w:r>
          </w:p>
        </w:tc>
        <w:tc>
          <w:tcPr>
            <w:tcW w:w="0" w:type="auto"/>
            <w:noWrap w:val="0"/>
            <w:vAlign w:val="center"/>
          </w:tcPr>
          <w:p w14:paraId="7114F2FA">
            <w:pPr>
              <w:jc w:val="center"/>
              <w:rPr>
                <w:rFonts w:ascii="宋体" w:hAnsi="宋体" w:cs="宋体"/>
                <w:color w:val="000000"/>
                <w:sz w:val="22"/>
                <w:szCs w:val="22"/>
              </w:rPr>
            </w:pPr>
            <w:r>
              <w:rPr>
                <w:rFonts w:hint="eastAsia"/>
                <w:color w:val="000000"/>
                <w:sz w:val="22"/>
                <w:szCs w:val="22"/>
              </w:rPr>
              <w:t>220</w:t>
            </w:r>
          </w:p>
        </w:tc>
      </w:tr>
      <w:tr w14:paraId="0ECE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47647C11">
            <w:pPr>
              <w:spacing w:before="100" w:beforeAutospacing="1" w:after="100" w:afterAutospacing="1" w:line="240" w:lineRule="atLeast"/>
              <w:jc w:val="center"/>
              <w:rPr>
                <w:rFonts w:eastAsia="楷体_GB2312"/>
                <w:kern w:val="0"/>
                <w:szCs w:val="21"/>
              </w:rPr>
            </w:pPr>
            <w:r>
              <w:rPr>
                <w:rFonts w:eastAsia="楷体_GB2312"/>
                <w:kern w:val="0"/>
                <w:szCs w:val="21"/>
              </w:rPr>
              <w:t>4</w:t>
            </w:r>
          </w:p>
        </w:tc>
        <w:tc>
          <w:tcPr>
            <w:tcW w:w="0" w:type="auto"/>
            <w:vMerge w:val="restart"/>
            <w:noWrap w:val="0"/>
            <w:vAlign w:val="center"/>
          </w:tcPr>
          <w:p w14:paraId="343F5B1A">
            <w:pPr>
              <w:spacing w:before="100" w:beforeAutospacing="1" w:after="100" w:afterAutospacing="1" w:line="240" w:lineRule="atLeast"/>
              <w:jc w:val="center"/>
              <w:rPr>
                <w:rFonts w:eastAsia="楷体_GB2312"/>
                <w:kern w:val="0"/>
                <w:szCs w:val="21"/>
              </w:rPr>
            </w:pPr>
            <w:r>
              <w:rPr>
                <w:rFonts w:eastAsia="楷体_GB2312"/>
                <w:kern w:val="0"/>
                <w:szCs w:val="21"/>
              </w:rPr>
              <w:t>芦岭镇</w:t>
            </w:r>
          </w:p>
        </w:tc>
        <w:tc>
          <w:tcPr>
            <w:tcW w:w="0" w:type="auto"/>
            <w:noWrap w:val="0"/>
            <w:vAlign w:val="center"/>
          </w:tcPr>
          <w:p w14:paraId="4E2F787B">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73F29D7D">
            <w:pPr>
              <w:spacing w:before="100" w:beforeAutospacing="1" w:after="100" w:afterAutospacing="1" w:line="240" w:lineRule="atLeast"/>
              <w:jc w:val="center"/>
              <w:rPr>
                <w:rFonts w:eastAsia="楷体_GB2312"/>
                <w:kern w:val="0"/>
                <w:szCs w:val="21"/>
              </w:rPr>
            </w:pPr>
            <w:r>
              <w:rPr>
                <w:rFonts w:eastAsia="楷体_GB2312"/>
                <w:kern w:val="0"/>
                <w:szCs w:val="21"/>
              </w:rPr>
              <w:t>20</w:t>
            </w:r>
          </w:p>
        </w:tc>
        <w:tc>
          <w:tcPr>
            <w:tcW w:w="0" w:type="auto"/>
            <w:noWrap w:val="0"/>
            <w:vAlign w:val="center"/>
          </w:tcPr>
          <w:p w14:paraId="5210D319">
            <w:pPr>
              <w:jc w:val="center"/>
              <w:rPr>
                <w:rFonts w:ascii="宋体" w:hAnsi="宋体" w:cs="宋体"/>
                <w:color w:val="000000"/>
                <w:sz w:val="22"/>
                <w:szCs w:val="22"/>
              </w:rPr>
            </w:pPr>
            <w:r>
              <w:rPr>
                <w:rFonts w:hint="eastAsia"/>
                <w:color w:val="000000"/>
                <w:sz w:val="22"/>
                <w:szCs w:val="22"/>
              </w:rPr>
              <w:t>368</w:t>
            </w:r>
          </w:p>
        </w:tc>
      </w:tr>
      <w:tr w14:paraId="5C6FD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32B9F5A">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7B2904E">
            <w:pPr>
              <w:spacing w:before="100" w:beforeAutospacing="1" w:after="100" w:afterAutospacing="1" w:line="240" w:lineRule="atLeast"/>
              <w:jc w:val="center"/>
              <w:rPr>
                <w:rFonts w:eastAsia="楷体_GB2312"/>
                <w:kern w:val="0"/>
                <w:szCs w:val="21"/>
              </w:rPr>
            </w:pPr>
          </w:p>
        </w:tc>
        <w:tc>
          <w:tcPr>
            <w:tcW w:w="0" w:type="auto"/>
            <w:noWrap w:val="0"/>
            <w:vAlign w:val="center"/>
          </w:tcPr>
          <w:p w14:paraId="5615CE2F">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041F3B44">
            <w:pPr>
              <w:spacing w:before="100" w:beforeAutospacing="1" w:after="100" w:afterAutospacing="1" w:line="240" w:lineRule="atLeast"/>
              <w:jc w:val="center"/>
              <w:rPr>
                <w:rFonts w:eastAsia="楷体_GB2312"/>
                <w:kern w:val="0"/>
                <w:szCs w:val="21"/>
              </w:rPr>
            </w:pPr>
            <w:r>
              <w:rPr>
                <w:rFonts w:eastAsia="楷体_GB2312"/>
                <w:kern w:val="0"/>
                <w:szCs w:val="21"/>
              </w:rPr>
              <w:t>8</w:t>
            </w:r>
          </w:p>
        </w:tc>
        <w:tc>
          <w:tcPr>
            <w:tcW w:w="0" w:type="auto"/>
            <w:noWrap w:val="0"/>
            <w:vAlign w:val="center"/>
          </w:tcPr>
          <w:p w14:paraId="24AD3214">
            <w:pPr>
              <w:jc w:val="center"/>
              <w:rPr>
                <w:rFonts w:ascii="宋体" w:hAnsi="宋体" w:cs="宋体"/>
                <w:color w:val="000000"/>
                <w:sz w:val="22"/>
                <w:szCs w:val="22"/>
              </w:rPr>
            </w:pPr>
            <w:r>
              <w:rPr>
                <w:rFonts w:hint="eastAsia"/>
                <w:color w:val="000000"/>
                <w:sz w:val="22"/>
                <w:szCs w:val="22"/>
              </w:rPr>
              <w:t>287</w:t>
            </w:r>
          </w:p>
        </w:tc>
      </w:tr>
      <w:tr w14:paraId="0069B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F204BF3">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5F79C2F">
            <w:pPr>
              <w:spacing w:before="100" w:beforeAutospacing="1" w:after="100" w:afterAutospacing="1" w:line="240" w:lineRule="atLeast"/>
              <w:jc w:val="center"/>
              <w:rPr>
                <w:rFonts w:eastAsia="楷体_GB2312"/>
                <w:kern w:val="0"/>
                <w:szCs w:val="21"/>
              </w:rPr>
            </w:pPr>
          </w:p>
        </w:tc>
        <w:tc>
          <w:tcPr>
            <w:tcW w:w="0" w:type="auto"/>
            <w:noWrap w:val="0"/>
            <w:vAlign w:val="center"/>
          </w:tcPr>
          <w:p w14:paraId="5F7CCDEC">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67BC209D">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0330CA00">
            <w:pPr>
              <w:jc w:val="center"/>
              <w:rPr>
                <w:rFonts w:ascii="宋体" w:hAnsi="宋体" w:cs="宋体"/>
                <w:color w:val="000000"/>
                <w:sz w:val="22"/>
                <w:szCs w:val="22"/>
              </w:rPr>
            </w:pPr>
            <w:r>
              <w:rPr>
                <w:rFonts w:hint="eastAsia"/>
                <w:color w:val="000000"/>
                <w:sz w:val="22"/>
                <w:szCs w:val="22"/>
              </w:rPr>
              <w:t>217</w:t>
            </w:r>
          </w:p>
        </w:tc>
      </w:tr>
      <w:tr w14:paraId="406DD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344AD63C">
            <w:pPr>
              <w:spacing w:before="100" w:beforeAutospacing="1" w:after="100" w:afterAutospacing="1" w:line="240" w:lineRule="atLeast"/>
              <w:jc w:val="center"/>
              <w:rPr>
                <w:rFonts w:eastAsia="楷体_GB2312"/>
                <w:kern w:val="0"/>
                <w:szCs w:val="21"/>
              </w:rPr>
            </w:pPr>
            <w:r>
              <w:rPr>
                <w:rFonts w:eastAsia="楷体_GB2312"/>
                <w:kern w:val="0"/>
                <w:szCs w:val="21"/>
              </w:rPr>
              <w:t>5</w:t>
            </w:r>
          </w:p>
        </w:tc>
        <w:tc>
          <w:tcPr>
            <w:tcW w:w="0" w:type="auto"/>
            <w:vMerge w:val="restart"/>
            <w:noWrap w:val="0"/>
            <w:vAlign w:val="center"/>
          </w:tcPr>
          <w:p w14:paraId="5F36DD4A">
            <w:pPr>
              <w:spacing w:before="100" w:beforeAutospacing="1" w:after="100" w:afterAutospacing="1" w:line="240" w:lineRule="atLeast"/>
              <w:jc w:val="center"/>
              <w:rPr>
                <w:rFonts w:eastAsia="楷体_GB2312"/>
                <w:kern w:val="0"/>
                <w:szCs w:val="21"/>
              </w:rPr>
            </w:pPr>
            <w:r>
              <w:rPr>
                <w:rFonts w:eastAsia="楷体_GB2312"/>
                <w:kern w:val="0"/>
                <w:szCs w:val="21"/>
              </w:rPr>
              <w:t>大店镇</w:t>
            </w:r>
          </w:p>
        </w:tc>
        <w:tc>
          <w:tcPr>
            <w:tcW w:w="0" w:type="auto"/>
            <w:noWrap w:val="0"/>
            <w:vAlign w:val="center"/>
          </w:tcPr>
          <w:p w14:paraId="4F867856">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6E5AF592">
            <w:pPr>
              <w:spacing w:before="100" w:beforeAutospacing="1" w:after="100" w:afterAutospacing="1" w:line="240" w:lineRule="atLeast"/>
              <w:jc w:val="center"/>
              <w:rPr>
                <w:rFonts w:eastAsia="楷体_GB2312"/>
                <w:kern w:val="0"/>
                <w:szCs w:val="21"/>
              </w:rPr>
            </w:pPr>
            <w:r>
              <w:rPr>
                <w:rFonts w:eastAsia="楷体_GB2312"/>
                <w:kern w:val="0"/>
                <w:szCs w:val="21"/>
              </w:rPr>
              <w:t>16</w:t>
            </w:r>
          </w:p>
        </w:tc>
        <w:tc>
          <w:tcPr>
            <w:tcW w:w="0" w:type="auto"/>
            <w:noWrap w:val="0"/>
            <w:vAlign w:val="center"/>
          </w:tcPr>
          <w:p w14:paraId="609C3F58">
            <w:pPr>
              <w:jc w:val="center"/>
              <w:rPr>
                <w:rFonts w:ascii="宋体" w:hAnsi="宋体" w:cs="宋体"/>
                <w:color w:val="000000"/>
                <w:sz w:val="22"/>
                <w:szCs w:val="22"/>
              </w:rPr>
            </w:pPr>
            <w:r>
              <w:rPr>
                <w:rFonts w:hint="eastAsia"/>
                <w:color w:val="000000"/>
                <w:sz w:val="22"/>
                <w:szCs w:val="22"/>
              </w:rPr>
              <w:t>357</w:t>
            </w:r>
          </w:p>
        </w:tc>
      </w:tr>
      <w:tr w14:paraId="4CA3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CCC7745">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92EBC09">
            <w:pPr>
              <w:spacing w:before="100" w:beforeAutospacing="1" w:after="100" w:afterAutospacing="1" w:line="240" w:lineRule="atLeast"/>
              <w:jc w:val="center"/>
              <w:rPr>
                <w:rFonts w:eastAsia="楷体_GB2312"/>
                <w:kern w:val="0"/>
                <w:szCs w:val="21"/>
              </w:rPr>
            </w:pPr>
          </w:p>
        </w:tc>
        <w:tc>
          <w:tcPr>
            <w:tcW w:w="0" w:type="auto"/>
            <w:noWrap w:val="0"/>
            <w:vAlign w:val="center"/>
          </w:tcPr>
          <w:p w14:paraId="4FC2B33D">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0BCA13E2">
            <w:pPr>
              <w:spacing w:before="100" w:beforeAutospacing="1" w:after="100" w:afterAutospacing="1" w:line="240" w:lineRule="atLeast"/>
              <w:jc w:val="center"/>
              <w:rPr>
                <w:rFonts w:eastAsia="楷体_GB2312"/>
                <w:kern w:val="0"/>
                <w:szCs w:val="21"/>
              </w:rPr>
            </w:pPr>
            <w:r>
              <w:rPr>
                <w:rFonts w:eastAsia="楷体_GB2312"/>
                <w:kern w:val="0"/>
                <w:szCs w:val="21"/>
              </w:rPr>
              <w:t>8</w:t>
            </w:r>
          </w:p>
        </w:tc>
        <w:tc>
          <w:tcPr>
            <w:tcW w:w="0" w:type="auto"/>
            <w:noWrap w:val="0"/>
            <w:vAlign w:val="center"/>
          </w:tcPr>
          <w:p w14:paraId="3A5FA7DD">
            <w:pPr>
              <w:jc w:val="center"/>
              <w:rPr>
                <w:rFonts w:ascii="宋体" w:hAnsi="宋体" w:cs="宋体"/>
                <w:color w:val="000000"/>
                <w:sz w:val="22"/>
                <w:szCs w:val="22"/>
              </w:rPr>
            </w:pPr>
            <w:r>
              <w:rPr>
                <w:rFonts w:hint="eastAsia"/>
                <w:color w:val="000000"/>
                <w:sz w:val="22"/>
                <w:szCs w:val="22"/>
              </w:rPr>
              <w:t>282</w:t>
            </w:r>
          </w:p>
        </w:tc>
      </w:tr>
      <w:tr w14:paraId="73ED2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097851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9303D80">
            <w:pPr>
              <w:spacing w:before="100" w:beforeAutospacing="1" w:after="100" w:afterAutospacing="1" w:line="240" w:lineRule="atLeast"/>
              <w:jc w:val="center"/>
              <w:rPr>
                <w:rFonts w:eastAsia="楷体_GB2312"/>
                <w:kern w:val="0"/>
                <w:szCs w:val="21"/>
              </w:rPr>
            </w:pPr>
          </w:p>
        </w:tc>
        <w:tc>
          <w:tcPr>
            <w:tcW w:w="0" w:type="auto"/>
            <w:noWrap w:val="0"/>
            <w:vAlign w:val="center"/>
          </w:tcPr>
          <w:p w14:paraId="513AA429">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49931326">
            <w:pPr>
              <w:spacing w:before="100" w:beforeAutospacing="1" w:after="100" w:afterAutospacing="1" w:line="240" w:lineRule="atLeast"/>
              <w:jc w:val="center"/>
              <w:rPr>
                <w:rFonts w:eastAsia="楷体_GB2312"/>
                <w:kern w:val="0"/>
                <w:szCs w:val="21"/>
              </w:rPr>
            </w:pPr>
            <w:r>
              <w:rPr>
                <w:rFonts w:eastAsia="楷体_GB2312"/>
                <w:kern w:val="0"/>
                <w:szCs w:val="21"/>
              </w:rPr>
              <w:t>6</w:t>
            </w:r>
          </w:p>
        </w:tc>
        <w:tc>
          <w:tcPr>
            <w:tcW w:w="0" w:type="auto"/>
            <w:noWrap w:val="0"/>
            <w:vAlign w:val="center"/>
          </w:tcPr>
          <w:p w14:paraId="6CAAD495">
            <w:pPr>
              <w:jc w:val="center"/>
              <w:rPr>
                <w:rFonts w:ascii="宋体" w:hAnsi="宋体" w:cs="宋体"/>
                <w:color w:val="000000"/>
                <w:sz w:val="22"/>
                <w:szCs w:val="22"/>
              </w:rPr>
            </w:pPr>
            <w:r>
              <w:rPr>
                <w:rFonts w:hint="eastAsia"/>
                <w:color w:val="000000"/>
                <w:sz w:val="22"/>
                <w:szCs w:val="22"/>
              </w:rPr>
              <w:t>217</w:t>
            </w:r>
          </w:p>
        </w:tc>
      </w:tr>
      <w:tr w14:paraId="511B8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7128AA99">
            <w:pPr>
              <w:spacing w:before="100" w:beforeAutospacing="1" w:after="100" w:afterAutospacing="1" w:line="240" w:lineRule="atLeast"/>
              <w:jc w:val="center"/>
              <w:rPr>
                <w:rFonts w:eastAsia="楷体_GB2312"/>
                <w:kern w:val="0"/>
                <w:szCs w:val="21"/>
              </w:rPr>
            </w:pPr>
            <w:r>
              <w:rPr>
                <w:rFonts w:eastAsia="楷体_GB2312"/>
                <w:kern w:val="0"/>
                <w:szCs w:val="21"/>
              </w:rPr>
              <w:t>6</w:t>
            </w:r>
          </w:p>
        </w:tc>
        <w:tc>
          <w:tcPr>
            <w:tcW w:w="0" w:type="auto"/>
            <w:vMerge w:val="restart"/>
            <w:noWrap w:val="0"/>
            <w:vAlign w:val="center"/>
          </w:tcPr>
          <w:p w14:paraId="18492D56">
            <w:pPr>
              <w:spacing w:before="100" w:beforeAutospacing="1" w:after="100" w:afterAutospacing="1" w:line="240" w:lineRule="atLeast"/>
              <w:jc w:val="center"/>
              <w:rPr>
                <w:rFonts w:eastAsia="楷体_GB2312"/>
                <w:kern w:val="0"/>
                <w:szCs w:val="21"/>
              </w:rPr>
            </w:pPr>
            <w:r>
              <w:rPr>
                <w:rFonts w:eastAsia="楷体_GB2312"/>
                <w:kern w:val="0"/>
                <w:szCs w:val="21"/>
              </w:rPr>
              <w:t>栏杆镇</w:t>
            </w:r>
          </w:p>
        </w:tc>
        <w:tc>
          <w:tcPr>
            <w:tcW w:w="0" w:type="auto"/>
            <w:noWrap w:val="0"/>
            <w:vAlign w:val="center"/>
          </w:tcPr>
          <w:p w14:paraId="783EF1AE">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2E2F6CB6">
            <w:pPr>
              <w:spacing w:before="100" w:beforeAutospacing="1" w:after="100" w:afterAutospacing="1" w:line="240" w:lineRule="atLeast"/>
              <w:jc w:val="center"/>
              <w:rPr>
                <w:rFonts w:eastAsia="楷体_GB2312"/>
                <w:kern w:val="0"/>
                <w:szCs w:val="21"/>
              </w:rPr>
            </w:pPr>
            <w:r>
              <w:rPr>
                <w:rFonts w:eastAsia="楷体_GB2312"/>
                <w:kern w:val="0"/>
                <w:szCs w:val="21"/>
              </w:rPr>
              <w:t>21</w:t>
            </w:r>
          </w:p>
        </w:tc>
        <w:tc>
          <w:tcPr>
            <w:tcW w:w="0" w:type="auto"/>
            <w:noWrap w:val="0"/>
            <w:vAlign w:val="center"/>
          </w:tcPr>
          <w:p w14:paraId="28CD3227">
            <w:pPr>
              <w:jc w:val="center"/>
              <w:rPr>
                <w:rFonts w:ascii="宋体" w:hAnsi="宋体" w:cs="宋体"/>
                <w:color w:val="000000"/>
                <w:sz w:val="22"/>
                <w:szCs w:val="22"/>
              </w:rPr>
            </w:pPr>
            <w:r>
              <w:rPr>
                <w:rFonts w:hint="eastAsia"/>
                <w:color w:val="000000"/>
                <w:sz w:val="22"/>
                <w:szCs w:val="22"/>
              </w:rPr>
              <w:t>352</w:t>
            </w:r>
          </w:p>
        </w:tc>
      </w:tr>
      <w:tr w14:paraId="5CCF1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A18CE89">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FFFB214">
            <w:pPr>
              <w:spacing w:before="100" w:beforeAutospacing="1" w:after="100" w:afterAutospacing="1" w:line="240" w:lineRule="atLeast"/>
              <w:jc w:val="center"/>
              <w:rPr>
                <w:rFonts w:eastAsia="楷体_GB2312"/>
                <w:kern w:val="0"/>
                <w:szCs w:val="21"/>
              </w:rPr>
            </w:pPr>
          </w:p>
        </w:tc>
        <w:tc>
          <w:tcPr>
            <w:tcW w:w="0" w:type="auto"/>
            <w:noWrap w:val="0"/>
            <w:vAlign w:val="center"/>
          </w:tcPr>
          <w:p w14:paraId="1021AC77">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341FFBF5">
            <w:pPr>
              <w:spacing w:before="100" w:beforeAutospacing="1" w:after="100" w:afterAutospacing="1" w:line="240" w:lineRule="atLeast"/>
              <w:jc w:val="center"/>
              <w:rPr>
                <w:rFonts w:eastAsia="楷体_GB2312"/>
                <w:kern w:val="0"/>
                <w:szCs w:val="21"/>
              </w:rPr>
            </w:pPr>
            <w:r>
              <w:rPr>
                <w:rFonts w:eastAsia="楷体_GB2312"/>
                <w:kern w:val="0"/>
                <w:szCs w:val="21"/>
              </w:rPr>
              <w:t>4</w:t>
            </w:r>
          </w:p>
        </w:tc>
        <w:tc>
          <w:tcPr>
            <w:tcW w:w="0" w:type="auto"/>
            <w:noWrap w:val="0"/>
            <w:vAlign w:val="center"/>
          </w:tcPr>
          <w:p w14:paraId="570DD47E">
            <w:pPr>
              <w:jc w:val="center"/>
              <w:rPr>
                <w:rFonts w:ascii="宋体" w:hAnsi="宋体" w:cs="宋体"/>
                <w:color w:val="000000"/>
                <w:sz w:val="22"/>
                <w:szCs w:val="22"/>
              </w:rPr>
            </w:pPr>
            <w:r>
              <w:rPr>
                <w:rFonts w:hint="eastAsia"/>
                <w:color w:val="000000"/>
                <w:sz w:val="22"/>
                <w:szCs w:val="22"/>
              </w:rPr>
              <w:t>276</w:t>
            </w:r>
          </w:p>
        </w:tc>
      </w:tr>
      <w:tr w14:paraId="45B4B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DF27222">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39A32ACF">
            <w:pPr>
              <w:spacing w:before="100" w:beforeAutospacing="1" w:after="100" w:afterAutospacing="1" w:line="240" w:lineRule="atLeast"/>
              <w:jc w:val="center"/>
              <w:rPr>
                <w:rFonts w:eastAsia="楷体_GB2312"/>
                <w:kern w:val="0"/>
                <w:szCs w:val="21"/>
              </w:rPr>
            </w:pPr>
          </w:p>
        </w:tc>
        <w:tc>
          <w:tcPr>
            <w:tcW w:w="0" w:type="auto"/>
            <w:noWrap w:val="0"/>
            <w:vAlign w:val="center"/>
          </w:tcPr>
          <w:p w14:paraId="007B45B1">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77114A69">
            <w:pPr>
              <w:spacing w:before="100" w:beforeAutospacing="1" w:after="100" w:afterAutospacing="1" w:line="240" w:lineRule="atLeast"/>
              <w:jc w:val="center"/>
              <w:rPr>
                <w:rFonts w:eastAsia="楷体_GB2312"/>
                <w:kern w:val="0"/>
                <w:szCs w:val="21"/>
              </w:rPr>
            </w:pPr>
            <w:r>
              <w:rPr>
                <w:rFonts w:eastAsia="楷体_GB2312"/>
                <w:kern w:val="0"/>
                <w:szCs w:val="21"/>
              </w:rPr>
              <w:t>5</w:t>
            </w:r>
          </w:p>
        </w:tc>
        <w:tc>
          <w:tcPr>
            <w:tcW w:w="0" w:type="auto"/>
            <w:noWrap w:val="0"/>
            <w:vAlign w:val="center"/>
          </w:tcPr>
          <w:p w14:paraId="0F1322E0">
            <w:pPr>
              <w:jc w:val="center"/>
              <w:rPr>
                <w:rFonts w:ascii="宋体" w:hAnsi="宋体" w:cs="宋体"/>
                <w:color w:val="000000"/>
                <w:sz w:val="22"/>
                <w:szCs w:val="22"/>
              </w:rPr>
            </w:pPr>
            <w:r>
              <w:rPr>
                <w:rFonts w:hint="eastAsia"/>
                <w:color w:val="000000"/>
                <w:sz w:val="22"/>
                <w:szCs w:val="22"/>
              </w:rPr>
              <w:t>217</w:t>
            </w:r>
          </w:p>
        </w:tc>
      </w:tr>
      <w:tr w14:paraId="4D0E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61DAAD5A">
            <w:pPr>
              <w:spacing w:before="100" w:beforeAutospacing="1" w:after="100" w:afterAutospacing="1" w:line="240" w:lineRule="atLeast"/>
              <w:jc w:val="center"/>
              <w:rPr>
                <w:rFonts w:eastAsia="楷体_GB2312"/>
                <w:kern w:val="0"/>
                <w:szCs w:val="21"/>
              </w:rPr>
            </w:pPr>
            <w:r>
              <w:rPr>
                <w:rFonts w:eastAsia="楷体_GB2312"/>
                <w:kern w:val="0"/>
                <w:szCs w:val="21"/>
              </w:rPr>
              <w:t>7</w:t>
            </w:r>
          </w:p>
        </w:tc>
        <w:tc>
          <w:tcPr>
            <w:tcW w:w="0" w:type="auto"/>
            <w:vMerge w:val="restart"/>
            <w:noWrap w:val="0"/>
            <w:vAlign w:val="center"/>
          </w:tcPr>
          <w:p w14:paraId="2B2D5E6E">
            <w:pPr>
              <w:spacing w:before="100" w:beforeAutospacing="1" w:after="100" w:afterAutospacing="1" w:line="240" w:lineRule="atLeast"/>
              <w:jc w:val="center"/>
              <w:rPr>
                <w:rFonts w:eastAsia="楷体_GB2312"/>
                <w:kern w:val="0"/>
                <w:szCs w:val="21"/>
              </w:rPr>
            </w:pPr>
            <w:r>
              <w:rPr>
                <w:rFonts w:eastAsia="楷体_GB2312"/>
                <w:kern w:val="0"/>
                <w:szCs w:val="21"/>
              </w:rPr>
              <w:t>时村镇</w:t>
            </w:r>
          </w:p>
        </w:tc>
        <w:tc>
          <w:tcPr>
            <w:tcW w:w="0" w:type="auto"/>
            <w:noWrap w:val="0"/>
            <w:vAlign w:val="center"/>
          </w:tcPr>
          <w:p w14:paraId="032FB5D3">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4601BED8">
            <w:pPr>
              <w:spacing w:before="100" w:beforeAutospacing="1" w:after="100" w:afterAutospacing="1" w:line="240" w:lineRule="atLeast"/>
              <w:jc w:val="center"/>
              <w:rPr>
                <w:rFonts w:eastAsia="楷体_GB2312"/>
                <w:kern w:val="0"/>
                <w:szCs w:val="21"/>
              </w:rPr>
            </w:pPr>
            <w:r>
              <w:rPr>
                <w:rFonts w:eastAsia="楷体_GB2312"/>
                <w:kern w:val="0"/>
                <w:szCs w:val="21"/>
              </w:rPr>
              <w:t>19</w:t>
            </w:r>
          </w:p>
        </w:tc>
        <w:tc>
          <w:tcPr>
            <w:tcW w:w="0" w:type="auto"/>
            <w:noWrap w:val="0"/>
            <w:vAlign w:val="center"/>
          </w:tcPr>
          <w:p w14:paraId="1541E236">
            <w:pPr>
              <w:jc w:val="center"/>
              <w:rPr>
                <w:rFonts w:ascii="宋体" w:hAnsi="宋体" w:cs="宋体"/>
                <w:color w:val="000000"/>
                <w:sz w:val="22"/>
                <w:szCs w:val="22"/>
              </w:rPr>
            </w:pPr>
            <w:r>
              <w:rPr>
                <w:rFonts w:hint="eastAsia"/>
                <w:color w:val="000000"/>
                <w:sz w:val="22"/>
                <w:szCs w:val="22"/>
              </w:rPr>
              <w:t>346</w:t>
            </w:r>
          </w:p>
        </w:tc>
      </w:tr>
      <w:tr w14:paraId="5D864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EC5BF9C">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3DBA4CBD">
            <w:pPr>
              <w:spacing w:before="100" w:beforeAutospacing="1" w:after="100" w:afterAutospacing="1" w:line="240" w:lineRule="atLeast"/>
              <w:jc w:val="center"/>
              <w:rPr>
                <w:rFonts w:eastAsia="楷体_GB2312"/>
                <w:kern w:val="0"/>
                <w:szCs w:val="21"/>
              </w:rPr>
            </w:pPr>
          </w:p>
        </w:tc>
        <w:tc>
          <w:tcPr>
            <w:tcW w:w="0" w:type="auto"/>
            <w:noWrap w:val="0"/>
            <w:vAlign w:val="center"/>
          </w:tcPr>
          <w:p w14:paraId="58AB1E29">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693C7705">
            <w:pPr>
              <w:spacing w:before="100" w:beforeAutospacing="1" w:after="100" w:afterAutospacing="1" w:line="240" w:lineRule="atLeast"/>
              <w:jc w:val="center"/>
              <w:rPr>
                <w:rFonts w:eastAsia="楷体_GB2312"/>
                <w:kern w:val="0"/>
                <w:szCs w:val="21"/>
              </w:rPr>
            </w:pPr>
            <w:r>
              <w:rPr>
                <w:rFonts w:eastAsia="楷体_GB2312"/>
                <w:kern w:val="0"/>
                <w:szCs w:val="21"/>
              </w:rPr>
              <w:t>10</w:t>
            </w:r>
          </w:p>
        </w:tc>
        <w:tc>
          <w:tcPr>
            <w:tcW w:w="0" w:type="auto"/>
            <w:noWrap w:val="0"/>
            <w:vAlign w:val="center"/>
          </w:tcPr>
          <w:p w14:paraId="5F699D95">
            <w:pPr>
              <w:jc w:val="center"/>
              <w:rPr>
                <w:rFonts w:ascii="宋体" w:hAnsi="宋体" w:cs="宋体"/>
                <w:color w:val="000000"/>
                <w:sz w:val="22"/>
                <w:szCs w:val="22"/>
              </w:rPr>
            </w:pPr>
            <w:r>
              <w:rPr>
                <w:rFonts w:hint="eastAsia"/>
                <w:color w:val="000000"/>
                <w:sz w:val="22"/>
                <w:szCs w:val="22"/>
              </w:rPr>
              <w:t>263</w:t>
            </w:r>
          </w:p>
        </w:tc>
      </w:tr>
      <w:tr w14:paraId="7675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C547835">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93B059F">
            <w:pPr>
              <w:spacing w:before="100" w:beforeAutospacing="1" w:after="100" w:afterAutospacing="1" w:line="240" w:lineRule="atLeast"/>
              <w:jc w:val="center"/>
              <w:rPr>
                <w:rFonts w:eastAsia="楷体_GB2312"/>
                <w:kern w:val="0"/>
                <w:szCs w:val="21"/>
              </w:rPr>
            </w:pPr>
          </w:p>
        </w:tc>
        <w:tc>
          <w:tcPr>
            <w:tcW w:w="0" w:type="auto"/>
            <w:noWrap w:val="0"/>
            <w:vAlign w:val="center"/>
          </w:tcPr>
          <w:p w14:paraId="1AE7925F">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3B4F44E4">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633FE016">
            <w:pPr>
              <w:jc w:val="center"/>
              <w:rPr>
                <w:rFonts w:ascii="宋体" w:hAnsi="宋体" w:cs="宋体"/>
                <w:color w:val="000000"/>
                <w:sz w:val="22"/>
                <w:szCs w:val="22"/>
              </w:rPr>
            </w:pPr>
            <w:r>
              <w:rPr>
                <w:rFonts w:hint="eastAsia"/>
                <w:color w:val="000000"/>
                <w:sz w:val="22"/>
                <w:szCs w:val="22"/>
              </w:rPr>
              <w:t>190</w:t>
            </w:r>
          </w:p>
        </w:tc>
      </w:tr>
      <w:tr w14:paraId="5B7A4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777B6219">
            <w:pPr>
              <w:spacing w:before="100" w:beforeAutospacing="1" w:after="100" w:afterAutospacing="1" w:line="240" w:lineRule="atLeast"/>
              <w:jc w:val="center"/>
              <w:rPr>
                <w:rFonts w:eastAsia="楷体_GB2312"/>
                <w:kern w:val="0"/>
                <w:szCs w:val="21"/>
              </w:rPr>
            </w:pPr>
            <w:r>
              <w:rPr>
                <w:rFonts w:eastAsia="楷体_GB2312"/>
                <w:kern w:val="0"/>
                <w:szCs w:val="21"/>
              </w:rPr>
              <w:t>8</w:t>
            </w:r>
          </w:p>
        </w:tc>
        <w:tc>
          <w:tcPr>
            <w:tcW w:w="0" w:type="auto"/>
            <w:vMerge w:val="restart"/>
            <w:noWrap w:val="0"/>
            <w:vAlign w:val="center"/>
          </w:tcPr>
          <w:p w14:paraId="51D1DFBB">
            <w:pPr>
              <w:spacing w:before="100" w:beforeAutospacing="1" w:after="100" w:afterAutospacing="1" w:line="240" w:lineRule="atLeast"/>
              <w:jc w:val="center"/>
              <w:rPr>
                <w:rFonts w:eastAsia="楷体_GB2312"/>
                <w:kern w:val="0"/>
                <w:szCs w:val="21"/>
              </w:rPr>
            </w:pPr>
            <w:r>
              <w:rPr>
                <w:rFonts w:eastAsia="楷体_GB2312"/>
                <w:kern w:val="0"/>
                <w:szCs w:val="21"/>
              </w:rPr>
              <w:t>夹沟镇</w:t>
            </w:r>
          </w:p>
        </w:tc>
        <w:tc>
          <w:tcPr>
            <w:tcW w:w="0" w:type="auto"/>
            <w:noWrap w:val="0"/>
            <w:vAlign w:val="center"/>
          </w:tcPr>
          <w:p w14:paraId="295427AE">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3E5830AF">
            <w:pPr>
              <w:spacing w:before="100" w:beforeAutospacing="1" w:after="100" w:afterAutospacing="1" w:line="240" w:lineRule="atLeast"/>
              <w:jc w:val="center"/>
              <w:rPr>
                <w:rFonts w:eastAsia="楷体_GB2312"/>
                <w:kern w:val="0"/>
                <w:szCs w:val="21"/>
              </w:rPr>
            </w:pPr>
            <w:r>
              <w:rPr>
                <w:rFonts w:eastAsia="楷体_GB2312"/>
                <w:kern w:val="0"/>
                <w:szCs w:val="21"/>
              </w:rPr>
              <w:t>21</w:t>
            </w:r>
          </w:p>
        </w:tc>
        <w:tc>
          <w:tcPr>
            <w:tcW w:w="0" w:type="auto"/>
            <w:noWrap w:val="0"/>
            <w:vAlign w:val="center"/>
          </w:tcPr>
          <w:p w14:paraId="5A29B599">
            <w:pPr>
              <w:jc w:val="center"/>
              <w:rPr>
                <w:rFonts w:ascii="宋体" w:hAnsi="宋体" w:cs="宋体"/>
                <w:color w:val="000000"/>
                <w:sz w:val="22"/>
                <w:szCs w:val="22"/>
              </w:rPr>
            </w:pPr>
            <w:r>
              <w:rPr>
                <w:rFonts w:hint="eastAsia"/>
                <w:color w:val="000000"/>
                <w:sz w:val="22"/>
                <w:szCs w:val="22"/>
              </w:rPr>
              <w:t>335</w:t>
            </w:r>
          </w:p>
        </w:tc>
      </w:tr>
      <w:tr w14:paraId="6E924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BDDDAF7">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2D1912F">
            <w:pPr>
              <w:spacing w:before="100" w:beforeAutospacing="1" w:after="100" w:afterAutospacing="1" w:line="240" w:lineRule="atLeast"/>
              <w:jc w:val="center"/>
              <w:rPr>
                <w:rFonts w:eastAsia="楷体_GB2312"/>
                <w:kern w:val="0"/>
                <w:szCs w:val="21"/>
              </w:rPr>
            </w:pPr>
          </w:p>
        </w:tc>
        <w:tc>
          <w:tcPr>
            <w:tcW w:w="0" w:type="auto"/>
            <w:noWrap w:val="0"/>
            <w:vAlign w:val="center"/>
          </w:tcPr>
          <w:p w14:paraId="32C2079D">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2F9BE7F8">
            <w:pPr>
              <w:spacing w:before="100" w:beforeAutospacing="1" w:after="100" w:afterAutospacing="1" w:line="240" w:lineRule="atLeast"/>
              <w:jc w:val="center"/>
              <w:rPr>
                <w:rFonts w:eastAsia="楷体_GB2312"/>
                <w:kern w:val="0"/>
                <w:szCs w:val="21"/>
              </w:rPr>
            </w:pPr>
            <w:r>
              <w:rPr>
                <w:rFonts w:eastAsia="楷体_GB2312"/>
                <w:kern w:val="0"/>
                <w:szCs w:val="21"/>
              </w:rPr>
              <w:t>8</w:t>
            </w:r>
          </w:p>
        </w:tc>
        <w:tc>
          <w:tcPr>
            <w:tcW w:w="0" w:type="auto"/>
            <w:noWrap w:val="0"/>
            <w:vAlign w:val="center"/>
          </w:tcPr>
          <w:p w14:paraId="12BAD995">
            <w:pPr>
              <w:jc w:val="center"/>
              <w:rPr>
                <w:rFonts w:ascii="宋体" w:hAnsi="宋体" w:cs="宋体"/>
                <w:color w:val="000000"/>
                <w:sz w:val="22"/>
                <w:szCs w:val="22"/>
              </w:rPr>
            </w:pPr>
            <w:r>
              <w:rPr>
                <w:rFonts w:hint="eastAsia"/>
                <w:color w:val="000000"/>
                <w:sz w:val="22"/>
                <w:szCs w:val="22"/>
              </w:rPr>
              <w:t>271</w:t>
            </w:r>
          </w:p>
        </w:tc>
      </w:tr>
      <w:tr w14:paraId="06C10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B941278">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4D7B6929">
            <w:pPr>
              <w:spacing w:before="100" w:beforeAutospacing="1" w:after="100" w:afterAutospacing="1" w:line="240" w:lineRule="atLeast"/>
              <w:jc w:val="center"/>
              <w:rPr>
                <w:rFonts w:eastAsia="楷体_GB2312"/>
                <w:kern w:val="0"/>
                <w:szCs w:val="21"/>
              </w:rPr>
            </w:pPr>
          </w:p>
        </w:tc>
        <w:tc>
          <w:tcPr>
            <w:tcW w:w="0" w:type="auto"/>
            <w:noWrap w:val="0"/>
            <w:vAlign w:val="center"/>
          </w:tcPr>
          <w:p w14:paraId="14E18EB8">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72410FDA">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6C7EF0E8">
            <w:pPr>
              <w:jc w:val="center"/>
              <w:rPr>
                <w:rFonts w:ascii="宋体" w:hAnsi="宋体" w:cs="宋体"/>
                <w:color w:val="000000"/>
                <w:sz w:val="22"/>
                <w:szCs w:val="22"/>
              </w:rPr>
            </w:pPr>
            <w:r>
              <w:rPr>
                <w:rFonts w:hint="eastAsia"/>
                <w:color w:val="000000"/>
                <w:sz w:val="22"/>
                <w:szCs w:val="22"/>
              </w:rPr>
              <w:t>212</w:t>
            </w:r>
          </w:p>
        </w:tc>
      </w:tr>
      <w:tr w14:paraId="0580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2A108F32">
            <w:pPr>
              <w:spacing w:before="100" w:beforeAutospacing="1" w:after="100" w:afterAutospacing="1" w:line="240" w:lineRule="atLeast"/>
              <w:jc w:val="center"/>
              <w:rPr>
                <w:rFonts w:eastAsia="楷体_GB2312"/>
                <w:kern w:val="0"/>
                <w:szCs w:val="21"/>
              </w:rPr>
            </w:pPr>
            <w:r>
              <w:rPr>
                <w:rFonts w:eastAsia="楷体_GB2312"/>
                <w:kern w:val="0"/>
                <w:szCs w:val="21"/>
              </w:rPr>
              <w:t>9</w:t>
            </w:r>
          </w:p>
        </w:tc>
        <w:tc>
          <w:tcPr>
            <w:tcW w:w="0" w:type="auto"/>
            <w:vMerge w:val="restart"/>
            <w:noWrap w:val="0"/>
            <w:vAlign w:val="center"/>
          </w:tcPr>
          <w:p w14:paraId="52C93435">
            <w:pPr>
              <w:spacing w:before="100" w:beforeAutospacing="1" w:after="100" w:afterAutospacing="1" w:line="240" w:lineRule="atLeast"/>
              <w:jc w:val="center"/>
              <w:rPr>
                <w:rFonts w:eastAsia="楷体_GB2312"/>
                <w:kern w:val="0"/>
                <w:szCs w:val="21"/>
              </w:rPr>
            </w:pPr>
            <w:r>
              <w:rPr>
                <w:rFonts w:eastAsia="楷体_GB2312"/>
                <w:kern w:val="0"/>
                <w:szCs w:val="21"/>
              </w:rPr>
              <w:t>西二铺乡</w:t>
            </w:r>
          </w:p>
        </w:tc>
        <w:tc>
          <w:tcPr>
            <w:tcW w:w="0" w:type="auto"/>
            <w:noWrap w:val="0"/>
            <w:vAlign w:val="center"/>
          </w:tcPr>
          <w:p w14:paraId="16CBEC22">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1359B6D1">
            <w:pPr>
              <w:spacing w:before="100" w:beforeAutospacing="1" w:after="100" w:afterAutospacing="1" w:line="240" w:lineRule="atLeast"/>
              <w:jc w:val="center"/>
              <w:rPr>
                <w:rFonts w:eastAsia="楷体_GB2312"/>
                <w:kern w:val="0"/>
                <w:szCs w:val="21"/>
              </w:rPr>
            </w:pPr>
            <w:r>
              <w:rPr>
                <w:rFonts w:eastAsia="楷体_GB2312"/>
                <w:kern w:val="0"/>
                <w:szCs w:val="21"/>
              </w:rPr>
              <w:t>17</w:t>
            </w:r>
          </w:p>
        </w:tc>
        <w:tc>
          <w:tcPr>
            <w:tcW w:w="0" w:type="auto"/>
            <w:noWrap w:val="0"/>
            <w:vAlign w:val="center"/>
          </w:tcPr>
          <w:p w14:paraId="17172CFA">
            <w:pPr>
              <w:jc w:val="center"/>
              <w:rPr>
                <w:rFonts w:ascii="宋体" w:hAnsi="宋体" w:cs="宋体"/>
                <w:color w:val="000000"/>
                <w:sz w:val="22"/>
                <w:szCs w:val="22"/>
              </w:rPr>
            </w:pPr>
            <w:r>
              <w:rPr>
                <w:rFonts w:hint="eastAsia"/>
                <w:color w:val="000000"/>
                <w:sz w:val="22"/>
                <w:szCs w:val="22"/>
              </w:rPr>
              <w:t>330</w:t>
            </w:r>
          </w:p>
        </w:tc>
      </w:tr>
      <w:tr w14:paraId="14009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4BF33CD">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B48BF97">
            <w:pPr>
              <w:spacing w:before="100" w:beforeAutospacing="1" w:after="100" w:afterAutospacing="1" w:line="240" w:lineRule="atLeast"/>
              <w:jc w:val="center"/>
              <w:rPr>
                <w:rFonts w:eastAsia="楷体_GB2312"/>
                <w:kern w:val="0"/>
                <w:szCs w:val="21"/>
              </w:rPr>
            </w:pPr>
          </w:p>
        </w:tc>
        <w:tc>
          <w:tcPr>
            <w:tcW w:w="0" w:type="auto"/>
            <w:noWrap w:val="0"/>
            <w:vAlign w:val="center"/>
          </w:tcPr>
          <w:p w14:paraId="2C496695">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07C233E3">
            <w:pPr>
              <w:spacing w:before="100" w:beforeAutospacing="1" w:after="100" w:afterAutospacing="1" w:line="240" w:lineRule="atLeast"/>
              <w:jc w:val="center"/>
              <w:rPr>
                <w:rFonts w:eastAsia="楷体_GB2312"/>
                <w:kern w:val="0"/>
                <w:szCs w:val="21"/>
              </w:rPr>
            </w:pPr>
            <w:r>
              <w:rPr>
                <w:rFonts w:eastAsia="楷体_GB2312"/>
                <w:kern w:val="0"/>
                <w:szCs w:val="21"/>
              </w:rPr>
              <w:t>10</w:t>
            </w:r>
          </w:p>
        </w:tc>
        <w:tc>
          <w:tcPr>
            <w:tcW w:w="0" w:type="auto"/>
            <w:noWrap w:val="0"/>
            <w:vAlign w:val="center"/>
          </w:tcPr>
          <w:p w14:paraId="22A2317E">
            <w:pPr>
              <w:jc w:val="center"/>
              <w:rPr>
                <w:rFonts w:ascii="宋体" w:hAnsi="宋体" w:cs="宋体"/>
                <w:color w:val="000000"/>
                <w:sz w:val="22"/>
                <w:szCs w:val="22"/>
              </w:rPr>
            </w:pPr>
            <w:r>
              <w:rPr>
                <w:rFonts w:hint="eastAsia"/>
                <w:color w:val="000000"/>
                <w:sz w:val="22"/>
                <w:szCs w:val="22"/>
              </w:rPr>
              <w:t>260</w:t>
            </w:r>
          </w:p>
        </w:tc>
      </w:tr>
      <w:tr w14:paraId="3C02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3F9EC626">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B3A5ADE">
            <w:pPr>
              <w:spacing w:before="100" w:beforeAutospacing="1" w:after="100" w:afterAutospacing="1" w:line="240" w:lineRule="atLeast"/>
              <w:jc w:val="center"/>
              <w:rPr>
                <w:rFonts w:eastAsia="楷体_GB2312"/>
                <w:kern w:val="0"/>
                <w:szCs w:val="21"/>
              </w:rPr>
            </w:pPr>
          </w:p>
        </w:tc>
        <w:tc>
          <w:tcPr>
            <w:tcW w:w="0" w:type="auto"/>
            <w:noWrap w:val="0"/>
            <w:vAlign w:val="center"/>
          </w:tcPr>
          <w:p w14:paraId="2F4B6679">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5B11F884">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118F0976">
            <w:pPr>
              <w:jc w:val="center"/>
              <w:rPr>
                <w:rFonts w:ascii="宋体" w:hAnsi="宋体" w:cs="宋体"/>
                <w:color w:val="000000"/>
                <w:sz w:val="22"/>
                <w:szCs w:val="22"/>
              </w:rPr>
            </w:pPr>
            <w:r>
              <w:rPr>
                <w:rFonts w:hint="eastAsia"/>
                <w:color w:val="000000"/>
                <w:sz w:val="22"/>
                <w:szCs w:val="22"/>
              </w:rPr>
              <w:t>206</w:t>
            </w:r>
          </w:p>
        </w:tc>
      </w:tr>
      <w:tr w14:paraId="58E34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1F3D8315">
            <w:pPr>
              <w:spacing w:before="100" w:beforeAutospacing="1" w:after="100" w:afterAutospacing="1" w:line="240" w:lineRule="atLeast"/>
              <w:jc w:val="center"/>
              <w:rPr>
                <w:rFonts w:eastAsia="楷体_GB2312"/>
                <w:kern w:val="0"/>
                <w:szCs w:val="21"/>
              </w:rPr>
            </w:pPr>
            <w:r>
              <w:rPr>
                <w:rFonts w:eastAsia="楷体_GB2312"/>
                <w:kern w:val="0"/>
                <w:szCs w:val="21"/>
              </w:rPr>
              <w:t>10</w:t>
            </w:r>
          </w:p>
        </w:tc>
        <w:tc>
          <w:tcPr>
            <w:tcW w:w="0" w:type="auto"/>
            <w:vMerge w:val="restart"/>
            <w:noWrap w:val="0"/>
            <w:vAlign w:val="center"/>
          </w:tcPr>
          <w:p w14:paraId="25D3909C">
            <w:pPr>
              <w:spacing w:before="100" w:beforeAutospacing="1" w:after="100" w:afterAutospacing="1" w:line="240" w:lineRule="atLeast"/>
              <w:jc w:val="center"/>
              <w:rPr>
                <w:rFonts w:eastAsia="楷体_GB2312"/>
                <w:kern w:val="0"/>
                <w:szCs w:val="21"/>
              </w:rPr>
            </w:pPr>
            <w:r>
              <w:rPr>
                <w:rFonts w:eastAsia="楷体_GB2312"/>
                <w:kern w:val="0"/>
                <w:szCs w:val="21"/>
              </w:rPr>
              <w:t>桃园镇</w:t>
            </w:r>
          </w:p>
        </w:tc>
        <w:tc>
          <w:tcPr>
            <w:tcW w:w="0" w:type="auto"/>
            <w:noWrap w:val="0"/>
            <w:vAlign w:val="center"/>
          </w:tcPr>
          <w:p w14:paraId="446B85E5">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2DB6D597">
            <w:pPr>
              <w:spacing w:before="100" w:beforeAutospacing="1" w:after="100" w:afterAutospacing="1" w:line="240" w:lineRule="atLeast"/>
              <w:jc w:val="center"/>
              <w:rPr>
                <w:rFonts w:eastAsia="楷体_GB2312"/>
                <w:kern w:val="0"/>
                <w:szCs w:val="21"/>
              </w:rPr>
            </w:pPr>
            <w:r>
              <w:rPr>
                <w:rFonts w:eastAsia="楷体_GB2312"/>
                <w:kern w:val="0"/>
                <w:szCs w:val="21"/>
              </w:rPr>
              <w:t>12</w:t>
            </w:r>
          </w:p>
        </w:tc>
        <w:tc>
          <w:tcPr>
            <w:tcW w:w="0" w:type="auto"/>
            <w:noWrap w:val="0"/>
            <w:vAlign w:val="center"/>
          </w:tcPr>
          <w:p w14:paraId="0E534564">
            <w:pPr>
              <w:jc w:val="center"/>
              <w:rPr>
                <w:rFonts w:ascii="宋体" w:hAnsi="宋体" w:cs="宋体"/>
                <w:color w:val="000000"/>
                <w:sz w:val="22"/>
                <w:szCs w:val="22"/>
              </w:rPr>
            </w:pPr>
            <w:r>
              <w:rPr>
                <w:rFonts w:hint="eastAsia"/>
                <w:color w:val="000000"/>
                <w:sz w:val="22"/>
                <w:szCs w:val="22"/>
              </w:rPr>
              <w:t>319</w:t>
            </w:r>
          </w:p>
        </w:tc>
      </w:tr>
      <w:tr w14:paraId="0390B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3183F086">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C1D04AF">
            <w:pPr>
              <w:spacing w:before="100" w:beforeAutospacing="1" w:after="100" w:afterAutospacing="1" w:line="240" w:lineRule="atLeast"/>
              <w:jc w:val="center"/>
              <w:rPr>
                <w:rFonts w:eastAsia="楷体_GB2312"/>
                <w:kern w:val="0"/>
                <w:szCs w:val="21"/>
              </w:rPr>
            </w:pPr>
          </w:p>
        </w:tc>
        <w:tc>
          <w:tcPr>
            <w:tcW w:w="0" w:type="auto"/>
            <w:noWrap w:val="0"/>
            <w:vAlign w:val="center"/>
          </w:tcPr>
          <w:p w14:paraId="165888B2">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77CAD58B">
            <w:pPr>
              <w:spacing w:before="100" w:beforeAutospacing="1" w:after="100" w:afterAutospacing="1" w:line="240" w:lineRule="atLeast"/>
              <w:jc w:val="center"/>
              <w:rPr>
                <w:rFonts w:eastAsia="楷体_GB2312"/>
                <w:kern w:val="0"/>
                <w:szCs w:val="21"/>
              </w:rPr>
            </w:pPr>
            <w:r>
              <w:rPr>
                <w:rFonts w:eastAsia="楷体_GB2312"/>
                <w:kern w:val="0"/>
                <w:szCs w:val="21"/>
              </w:rPr>
              <w:t>14</w:t>
            </w:r>
          </w:p>
        </w:tc>
        <w:tc>
          <w:tcPr>
            <w:tcW w:w="0" w:type="auto"/>
            <w:noWrap w:val="0"/>
            <w:vAlign w:val="center"/>
          </w:tcPr>
          <w:p w14:paraId="0D43DD82">
            <w:pPr>
              <w:jc w:val="center"/>
              <w:rPr>
                <w:rFonts w:ascii="宋体" w:hAnsi="宋体" w:cs="宋体"/>
                <w:color w:val="000000"/>
                <w:sz w:val="22"/>
                <w:szCs w:val="22"/>
              </w:rPr>
            </w:pPr>
            <w:r>
              <w:rPr>
                <w:rFonts w:hint="eastAsia"/>
                <w:color w:val="000000"/>
                <w:sz w:val="22"/>
                <w:szCs w:val="22"/>
              </w:rPr>
              <w:t>257</w:t>
            </w:r>
          </w:p>
        </w:tc>
      </w:tr>
      <w:tr w14:paraId="030A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23B04BBA">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04101B0">
            <w:pPr>
              <w:spacing w:before="100" w:beforeAutospacing="1" w:after="100" w:afterAutospacing="1" w:line="240" w:lineRule="atLeast"/>
              <w:jc w:val="center"/>
              <w:rPr>
                <w:rFonts w:eastAsia="楷体_GB2312"/>
                <w:kern w:val="0"/>
                <w:szCs w:val="21"/>
              </w:rPr>
            </w:pPr>
          </w:p>
        </w:tc>
        <w:tc>
          <w:tcPr>
            <w:tcW w:w="0" w:type="auto"/>
            <w:noWrap w:val="0"/>
            <w:vAlign w:val="center"/>
          </w:tcPr>
          <w:p w14:paraId="3C527BBD">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2CC05280">
            <w:pPr>
              <w:spacing w:before="100" w:beforeAutospacing="1" w:after="100" w:afterAutospacing="1" w:line="240" w:lineRule="atLeast"/>
              <w:jc w:val="center"/>
              <w:rPr>
                <w:rFonts w:eastAsia="楷体_GB2312"/>
                <w:kern w:val="0"/>
                <w:szCs w:val="21"/>
              </w:rPr>
            </w:pPr>
            <w:r>
              <w:rPr>
                <w:rFonts w:eastAsia="楷体_GB2312"/>
                <w:kern w:val="0"/>
                <w:szCs w:val="21"/>
              </w:rPr>
              <w:t>4</w:t>
            </w:r>
          </w:p>
        </w:tc>
        <w:tc>
          <w:tcPr>
            <w:tcW w:w="0" w:type="auto"/>
            <w:noWrap w:val="0"/>
            <w:vAlign w:val="center"/>
          </w:tcPr>
          <w:p w14:paraId="39C90D0E">
            <w:pPr>
              <w:jc w:val="center"/>
              <w:rPr>
                <w:rFonts w:ascii="宋体" w:hAnsi="宋体" w:cs="宋体"/>
                <w:color w:val="000000"/>
                <w:sz w:val="22"/>
                <w:szCs w:val="22"/>
              </w:rPr>
            </w:pPr>
            <w:r>
              <w:rPr>
                <w:rFonts w:hint="eastAsia"/>
                <w:color w:val="000000"/>
                <w:sz w:val="22"/>
                <w:szCs w:val="22"/>
              </w:rPr>
              <w:t>201</w:t>
            </w:r>
          </w:p>
        </w:tc>
      </w:tr>
      <w:tr w14:paraId="3963C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49461961">
            <w:pPr>
              <w:spacing w:before="100" w:beforeAutospacing="1" w:after="100" w:afterAutospacing="1" w:line="240" w:lineRule="atLeast"/>
              <w:jc w:val="center"/>
              <w:rPr>
                <w:rFonts w:eastAsia="楷体_GB2312"/>
                <w:kern w:val="0"/>
                <w:szCs w:val="21"/>
              </w:rPr>
            </w:pPr>
            <w:r>
              <w:rPr>
                <w:rFonts w:eastAsia="楷体_GB2312"/>
                <w:kern w:val="0"/>
                <w:szCs w:val="21"/>
              </w:rPr>
              <w:t>11</w:t>
            </w:r>
          </w:p>
        </w:tc>
        <w:tc>
          <w:tcPr>
            <w:tcW w:w="0" w:type="auto"/>
            <w:vMerge w:val="restart"/>
            <w:noWrap w:val="0"/>
            <w:vAlign w:val="center"/>
          </w:tcPr>
          <w:p w14:paraId="698689E7">
            <w:pPr>
              <w:spacing w:before="100" w:beforeAutospacing="1" w:after="100" w:afterAutospacing="1" w:line="240" w:lineRule="atLeast"/>
              <w:jc w:val="center"/>
              <w:rPr>
                <w:rFonts w:eastAsia="楷体_GB2312"/>
                <w:kern w:val="0"/>
                <w:szCs w:val="21"/>
              </w:rPr>
            </w:pPr>
            <w:r>
              <w:rPr>
                <w:rFonts w:eastAsia="楷体_GB2312"/>
                <w:kern w:val="0"/>
                <w:szCs w:val="21"/>
              </w:rPr>
              <w:t>曹村镇</w:t>
            </w:r>
          </w:p>
        </w:tc>
        <w:tc>
          <w:tcPr>
            <w:tcW w:w="0" w:type="auto"/>
            <w:noWrap w:val="0"/>
            <w:vAlign w:val="center"/>
          </w:tcPr>
          <w:p w14:paraId="2D4BF084">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372DA5E0">
            <w:pPr>
              <w:spacing w:before="100" w:beforeAutospacing="1" w:after="100" w:afterAutospacing="1" w:line="240" w:lineRule="atLeast"/>
              <w:jc w:val="center"/>
              <w:rPr>
                <w:rFonts w:eastAsia="楷体_GB2312"/>
                <w:kern w:val="0"/>
                <w:szCs w:val="21"/>
              </w:rPr>
            </w:pPr>
            <w:r>
              <w:rPr>
                <w:rFonts w:eastAsia="楷体_GB2312"/>
                <w:kern w:val="0"/>
                <w:szCs w:val="21"/>
              </w:rPr>
              <w:t>10</w:t>
            </w:r>
          </w:p>
        </w:tc>
        <w:tc>
          <w:tcPr>
            <w:tcW w:w="0" w:type="auto"/>
            <w:noWrap w:val="0"/>
            <w:vAlign w:val="center"/>
          </w:tcPr>
          <w:p w14:paraId="7B2099E0">
            <w:pPr>
              <w:jc w:val="center"/>
              <w:rPr>
                <w:rFonts w:ascii="宋体" w:hAnsi="宋体" w:cs="宋体"/>
                <w:color w:val="000000"/>
                <w:sz w:val="22"/>
                <w:szCs w:val="22"/>
              </w:rPr>
            </w:pPr>
            <w:r>
              <w:rPr>
                <w:rFonts w:hint="eastAsia"/>
                <w:color w:val="000000"/>
                <w:sz w:val="22"/>
                <w:szCs w:val="22"/>
              </w:rPr>
              <w:t>313</w:t>
            </w:r>
          </w:p>
        </w:tc>
      </w:tr>
      <w:tr w14:paraId="6FE2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343FEA09">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3EE58700">
            <w:pPr>
              <w:spacing w:before="100" w:beforeAutospacing="1" w:after="100" w:afterAutospacing="1" w:line="240" w:lineRule="atLeast"/>
              <w:jc w:val="center"/>
              <w:rPr>
                <w:rFonts w:eastAsia="楷体_GB2312"/>
                <w:kern w:val="0"/>
                <w:szCs w:val="21"/>
              </w:rPr>
            </w:pPr>
          </w:p>
        </w:tc>
        <w:tc>
          <w:tcPr>
            <w:tcW w:w="0" w:type="auto"/>
            <w:noWrap w:val="0"/>
            <w:vAlign w:val="center"/>
          </w:tcPr>
          <w:p w14:paraId="54D7AEC0">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5186CFCE">
            <w:pPr>
              <w:spacing w:before="100" w:beforeAutospacing="1" w:after="100" w:afterAutospacing="1" w:line="240" w:lineRule="atLeast"/>
              <w:jc w:val="center"/>
              <w:rPr>
                <w:rFonts w:eastAsia="楷体_GB2312"/>
                <w:kern w:val="0"/>
                <w:szCs w:val="21"/>
              </w:rPr>
            </w:pPr>
            <w:r>
              <w:rPr>
                <w:rFonts w:eastAsia="楷体_GB2312"/>
                <w:kern w:val="0"/>
                <w:szCs w:val="21"/>
              </w:rPr>
              <w:t>10</w:t>
            </w:r>
          </w:p>
        </w:tc>
        <w:tc>
          <w:tcPr>
            <w:tcW w:w="0" w:type="auto"/>
            <w:noWrap w:val="0"/>
            <w:vAlign w:val="center"/>
          </w:tcPr>
          <w:p w14:paraId="42776701">
            <w:pPr>
              <w:jc w:val="center"/>
              <w:rPr>
                <w:rFonts w:ascii="宋体" w:hAnsi="宋体" w:cs="宋体"/>
                <w:color w:val="000000"/>
                <w:sz w:val="22"/>
                <w:szCs w:val="22"/>
              </w:rPr>
            </w:pPr>
            <w:r>
              <w:rPr>
                <w:rFonts w:hint="eastAsia"/>
                <w:color w:val="000000"/>
                <w:sz w:val="22"/>
                <w:szCs w:val="22"/>
              </w:rPr>
              <w:t>257</w:t>
            </w:r>
          </w:p>
        </w:tc>
      </w:tr>
      <w:tr w14:paraId="1659C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F7ABC2A">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FF15353">
            <w:pPr>
              <w:spacing w:before="100" w:beforeAutospacing="1" w:after="100" w:afterAutospacing="1" w:line="240" w:lineRule="atLeast"/>
              <w:jc w:val="center"/>
              <w:rPr>
                <w:rFonts w:eastAsia="楷体_GB2312"/>
                <w:kern w:val="0"/>
                <w:szCs w:val="21"/>
              </w:rPr>
            </w:pPr>
          </w:p>
        </w:tc>
        <w:tc>
          <w:tcPr>
            <w:tcW w:w="0" w:type="auto"/>
            <w:noWrap w:val="0"/>
            <w:vAlign w:val="center"/>
          </w:tcPr>
          <w:p w14:paraId="55896838">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70D22CFB">
            <w:pPr>
              <w:spacing w:before="100" w:beforeAutospacing="1" w:after="100" w:afterAutospacing="1" w:line="240" w:lineRule="atLeast"/>
              <w:jc w:val="center"/>
              <w:rPr>
                <w:rFonts w:eastAsia="楷体_GB2312"/>
                <w:kern w:val="0"/>
                <w:szCs w:val="21"/>
              </w:rPr>
            </w:pPr>
            <w:r>
              <w:rPr>
                <w:rFonts w:eastAsia="楷体_GB2312"/>
                <w:kern w:val="0"/>
                <w:szCs w:val="21"/>
              </w:rPr>
              <w:t>10</w:t>
            </w:r>
          </w:p>
        </w:tc>
        <w:tc>
          <w:tcPr>
            <w:tcW w:w="0" w:type="auto"/>
            <w:noWrap w:val="0"/>
            <w:vAlign w:val="center"/>
          </w:tcPr>
          <w:p w14:paraId="56382E7D">
            <w:pPr>
              <w:jc w:val="center"/>
              <w:rPr>
                <w:rFonts w:ascii="宋体" w:hAnsi="宋体" w:cs="宋体"/>
                <w:color w:val="000000"/>
                <w:sz w:val="22"/>
                <w:szCs w:val="22"/>
              </w:rPr>
            </w:pPr>
            <w:r>
              <w:rPr>
                <w:rFonts w:hint="eastAsia"/>
                <w:color w:val="000000"/>
                <w:sz w:val="22"/>
                <w:szCs w:val="22"/>
              </w:rPr>
              <w:t>201</w:t>
            </w:r>
          </w:p>
        </w:tc>
      </w:tr>
      <w:tr w14:paraId="2B52A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72D0A8E4">
            <w:pPr>
              <w:spacing w:before="100" w:beforeAutospacing="1" w:after="100" w:afterAutospacing="1" w:line="240" w:lineRule="atLeast"/>
              <w:jc w:val="center"/>
              <w:rPr>
                <w:rFonts w:eastAsia="楷体_GB2312"/>
                <w:kern w:val="0"/>
                <w:szCs w:val="21"/>
              </w:rPr>
            </w:pPr>
            <w:r>
              <w:rPr>
                <w:rFonts w:eastAsia="楷体_GB2312"/>
                <w:kern w:val="0"/>
                <w:szCs w:val="21"/>
              </w:rPr>
              <w:t>12</w:t>
            </w:r>
          </w:p>
        </w:tc>
        <w:tc>
          <w:tcPr>
            <w:tcW w:w="0" w:type="auto"/>
            <w:vMerge w:val="restart"/>
            <w:noWrap w:val="0"/>
            <w:vAlign w:val="center"/>
          </w:tcPr>
          <w:p w14:paraId="02BA9742">
            <w:pPr>
              <w:spacing w:before="100" w:beforeAutospacing="1" w:after="100" w:afterAutospacing="1" w:line="240" w:lineRule="atLeast"/>
              <w:jc w:val="center"/>
              <w:rPr>
                <w:rFonts w:eastAsia="楷体_GB2312"/>
                <w:kern w:val="0"/>
                <w:szCs w:val="21"/>
              </w:rPr>
            </w:pPr>
            <w:r>
              <w:rPr>
                <w:rFonts w:eastAsia="楷体_GB2312"/>
                <w:kern w:val="0"/>
                <w:szCs w:val="21"/>
              </w:rPr>
              <w:t>大营镇</w:t>
            </w:r>
          </w:p>
        </w:tc>
        <w:tc>
          <w:tcPr>
            <w:tcW w:w="0" w:type="auto"/>
            <w:noWrap w:val="0"/>
            <w:vAlign w:val="center"/>
          </w:tcPr>
          <w:p w14:paraId="32C0D775">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3C0DABE7">
            <w:pPr>
              <w:spacing w:before="100" w:beforeAutospacing="1" w:after="100" w:afterAutospacing="1" w:line="240" w:lineRule="atLeast"/>
              <w:jc w:val="center"/>
              <w:rPr>
                <w:rFonts w:eastAsia="楷体_GB2312"/>
                <w:kern w:val="0"/>
                <w:szCs w:val="21"/>
              </w:rPr>
            </w:pPr>
            <w:r>
              <w:rPr>
                <w:rFonts w:eastAsia="楷体_GB2312"/>
                <w:kern w:val="0"/>
                <w:szCs w:val="21"/>
              </w:rPr>
              <w:t>15</w:t>
            </w:r>
          </w:p>
        </w:tc>
        <w:tc>
          <w:tcPr>
            <w:tcW w:w="0" w:type="auto"/>
            <w:noWrap w:val="0"/>
            <w:vAlign w:val="center"/>
          </w:tcPr>
          <w:p w14:paraId="09553C9D">
            <w:pPr>
              <w:jc w:val="center"/>
              <w:rPr>
                <w:rFonts w:ascii="宋体" w:hAnsi="宋体" w:cs="宋体"/>
                <w:color w:val="000000"/>
                <w:sz w:val="22"/>
                <w:szCs w:val="22"/>
              </w:rPr>
            </w:pPr>
            <w:r>
              <w:rPr>
                <w:rFonts w:hint="eastAsia"/>
                <w:color w:val="000000"/>
                <w:sz w:val="22"/>
                <w:szCs w:val="22"/>
              </w:rPr>
              <w:t>314</w:t>
            </w:r>
          </w:p>
        </w:tc>
      </w:tr>
      <w:tr w14:paraId="2158D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602D38C">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A612283">
            <w:pPr>
              <w:spacing w:before="100" w:beforeAutospacing="1" w:after="100" w:afterAutospacing="1" w:line="240" w:lineRule="atLeast"/>
              <w:jc w:val="center"/>
              <w:rPr>
                <w:rFonts w:eastAsia="楷体_GB2312"/>
                <w:kern w:val="0"/>
                <w:szCs w:val="21"/>
              </w:rPr>
            </w:pPr>
          </w:p>
        </w:tc>
        <w:tc>
          <w:tcPr>
            <w:tcW w:w="0" w:type="auto"/>
            <w:noWrap w:val="0"/>
            <w:vAlign w:val="center"/>
          </w:tcPr>
          <w:p w14:paraId="3D5EEB24">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1CD0A2F9">
            <w:pPr>
              <w:spacing w:before="100" w:beforeAutospacing="1" w:after="100" w:afterAutospacing="1" w:line="240" w:lineRule="atLeast"/>
              <w:jc w:val="center"/>
              <w:rPr>
                <w:rFonts w:eastAsia="楷体_GB2312"/>
                <w:kern w:val="0"/>
                <w:szCs w:val="21"/>
              </w:rPr>
            </w:pPr>
            <w:r>
              <w:rPr>
                <w:rFonts w:eastAsia="楷体_GB2312"/>
                <w:kern w:val="0"/>
                <w:szCs w:val="21"/>
              </w:rPr>
              <w:t>14</w:t>
            </w:r>
          </w:p>
        </w:tc>
        <w:tc>
          <w:tcPr>
            <w:tcW w:w="0" w:type="auto"/>
            <w:noWrap w:val="0"/>
            <w:vAlign w:val="center"/>
          </w:tcPr>
          <w:p w14:paraId="33003FE6">
            <w:pPr>
              <w:jc w:val="center"/>
              <w:rPr>
                <w:rFonts w:ascii="宋体" w:hAnsi="宋体" w:cs="宋体"/>
                <w:color w:val="000000"/>
                <w:sz w:val="22"/>
                <w:szCs w:val="22"/>
              </w:rPr>
            </w:pPr>
            <w:r>
              <w:rPr>
                <w:rFonts w:hint="eastAsia"/>
                <w:color w:val="000000"/>
                <w:sz w:val="22"/>
                <w:szCs w:val="22"/>
              </w:rPr>
              <w:t>252</w:t>
            </w:r>
          </w:p>
        </w:tc>
      </w:tr>
      <w:tr w14:paraId="20881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44971410">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816B4AE">
            <w:pPr>
              <w:spacing w:before="100" w:beforeAutospacing="1" w:after="100" w:afterAutospacing="1" w:line="240" w:lineRule="atLeast"/>
              <w:jc w:val="center"/>
              <w:rPr>
                <w:rFonts w:eastAsia="楷体_GB2312"/>
                <w:kern w:val="0"/>
                <w:szCs w:val="21"/>
              </w:rPr>
            </w:pPr>
          </w:p>
        </w:tc>
        <w:tc>
          <w:tcPr>
            <w:tcW w:w="0" w:type="auto"/>
            <w:noWrap w:val="0"/>
            <w:vAlign w:val="center"/>
          </w:tcPr>
          <w:p w14:paraId="7DFE9110">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1993C108">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4919BB0F">
            <w:pPr>
              <w:jc w:val="center"/>
              <w:rPr>
                <w:rFonts w:ascii="宋体" w:hAnsi="宋体" w:cs="宋体"/>
                <w:color w:val="000000"/>
                <w:sz w:val="22"/>
                <w:szCs w:val="22"/>
              </w:rPr>
            </w:pPr>
            <w:r>
              <w:rPr>
                <w:rFonts w:hint="eastAsia"/>
                <w:color w:val="000000"/>
                <w:sz w:val="22"/>
                <w:szCs w:val="22"/>
              </w:rPr>
              <w:t>201</w:t>
            </w:r>
          </w:p>
        </w:tc>
      </w:tr>
      <w:tr w14:paraId="6E233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75D4D364">
            <w:pPr>
              <w:spacing w:before="100" w:beforeAutospacing="1" w:after="100" w:afterAutospacing="1" w:line="240" w:lineRule="atLeast"/>
              <w:jc w:val="center"/>
              <w:rPr>
                <w:rFonts w:eastAsia="楷体_GB2312"/>
                <w:kern w:val="0"/>
                <w:szCs w:val="21"/>
              </w:rPr>
            </w:pPr>
            <w:r>
              <w:rPr>
                <w:rFonts w:eastAsia="楷体_GB2312"/>
                <w:kern w:val="0"/>
                <w:szCs w:val="21"/>
              </w:rPr>
              <w:t>13</w:t>
            </w:r>
          </w:p>
        </w:tc>
        <w:tc>
          <w:tcPr>
            <w:tcW w:w="0" w:type="auto"/>
            <w:vMerge w:val="restart"/>
            <w:noWrap w:val="0"/>
            <w:vAlign w:val="center"/>
          </w:tcPr>
          <w:p w14:paraId="4C8ACEEC">
            <w:pPr>
              <w:spacing w:before="100" w:beforeAutospacing="1" w:after="100" w:afterAutospacing="1" w:line="240" w:lineRule="atLeast"/>
              <w:jc w:val="center"/>
              <w:rPr>
                <w:rFonts w:eastAsia="楷体_GB2312"/>
                <w:kern w:val="0"/>
                <w:szCs w:val="21"/>
              </w:rPr>
            </w:pPr>
            <w:r>
              <w:rPr>
                <w:rFonts w:eastAsia="楷体_GB2312"/>
                <w:kern w:val="0"/>
                <w:szCs w:val="21"/>
              </w:rPr>
              <w:t>褚兰镇</w:t>
            </w:r>
          </w:p>
        </w:tc>
        <w:tc>
          <w:tcPr>
            <w:tcW w:w="0" w:type="auto"/>
            <w:noWrap w:val="0"/>
            <w:vAlign w:val="center"/>
          </w:tcPr>
          <w:p w14:paraId="5181A5B8">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48DB8F65">
            <w:pPr>
              <w:spacing w:before="100" w:beforeAutospacing="1" w:after="100" w:afterAutospacing="1" w:line="240" w:lineRule="atLeast"/>
              <w:jc w:val="center"/>
              <w:rPr>
                <w:rFonts w:eastAsia="楷体_GB2312"/>
                <w:kern w:val="0"/>
                <w:szCs w:val="21"/>
              </w:rPr>
            </w:pPr>
            <w:r>
              <w:rPr>
                <w:rFonts w:eastAsia="楷体_GB2312"/>
                <w:kern w:val="0"/>
                <w:szCs w:val="21"/>
              </w:rPr>
              <w:t>16</w:t>
            </w:r>
          </w:p>
        </w:tc>
        <w:tc>
          <w:tcPr>
            <w:tcW w:w="0" w:type="auto"/>
            <w:noWrap w:val="0"/>
            <w:vAlign w:val="center"/>
          </w:tcPr>
          <w:p w14:paraId="265F0C26">
            <w:pPr>
              <w:jc w:val="center"/>
              <w:rPr>
                <w:rFonts w:ascii="宋体" w:hAnsi="宋体" w:cs="宋体"/>
                <w:color w:val="000000"/>
                <w:sz w:val="22"/>
                <w:szCs w:val="22"/>
              </w:rPr>
            </w:pPr>
            <w:r>
              <w:rPr>
                <w:rFonts w:hint="eastAsia"/>
                <w:color w:val="000000"/>
                <w:sz w:val="22"/>
                <w:szCs w:val="22"/>
              </w:rPr>
              <w:t>308</w:t>
            </w:r>
          </w:p>
        </w:tc>
      </w:tr>
      <w:tr w14:paraId="7D1D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8EE76D1">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4803118">
            <w:pPr>
              <w:spacing w:before="100" w:beforeAutospacing="1" w:after="100" w:afterAutospacing="1" w:line="240" w:lineRule="atLeast"/>
              <w:jc w:val="center"/>
              <w:rPr>
                <w:rFonts w:eastAsia="楷体_GB2312"/>
                <w:kern w:val="0"/>
                <w:szCs w:val="21"/>
              </w:rPr>
            </w:pPr>
          </w:p>
        </w:tc>
        <w:tc>
          <w:tcPr>
            <w:tcW w:w="0" w:type="auto"/>
            <w:noWrap w:val="0"/>
            <w:vAlign w:val="center"/>
          </w:tcPr>
          <w:p w14:paraId="1B218BA8">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2D88BF0E">
            <w:pPr>
              <w:spacing w:before="100" w:beforeAutospacing="1" w:after="100" w:afterAutospacing="1" w:line="240" w:lineRule="atLeast"/>
              <w:jc w:val="center"/>
              <w:rPr>
                <w:rFonts w:eastAsia="楷体_GB2312"/>
                <w:kern w:val="0"/>
                <w:szCs w:val="21"/>
              </w:rPr>
            </w:pPr>
            <w:r>
              <w:rPr>
                <w:rFonts w:eastAsia="楷体_GB2312"/>
                <w:kern w:val="0"/>
                <w:szCs w:val="21"/>
              </w:rPr>
              <w:t>10</w:t>
            </w:r>
          </w:p>
        </w:tc>
        <w:tc>
          <w:tcPr>
            <w:tcW w:w="0" w:type="auto"/>
            <w:noWrap w:val="0"/>
            <w:vAlign w:val="center"/>
          </w:tcPr>
          <w:p w14:paraId="3DB14861">
            <w:pPr>
              <w:jc w:val="center"/>
              <w:rPr>
                <w:rFonts w:ascii="宋体" w:hAnsi="宋体" w:cs="宋体"/>
                <w:color w:val="000000"/>
                <w:sz w:val="22"/>
                <w:szCs w:val="22"/>
              </w:rPr>
            </w:pPr>
            <w:r>
              <w:rPr>
                <w:rFonts w:hint="eastAsia"/>
                <w:color w:val="000000"/>
                <w:sz w:val="22"/>
                <w:szCs w:val="22"/>
              </w:rPr>
              <w:t>252</w:t>
            </w:r>
          </w:p>
        </w:tc>
      </w:tr>
      <w:tr w14:paraId="0A73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771C41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5B8382B">
            <w:pPr>
              <w:spacing w:before="100" w:beforeAutospacing="1" w:after="100" w:afterAutospacing="1" w:line="240" w:lineRule="atLeast"/>
              <w:jc w:val="center"/>
              <w:rPr>
                <w:rFonts w:eastAsia="楷体_GB2312"/>
                <w:kern w:val="0"/>
                <w:szCs w:val="21"/>
              </w:rPr>
            </w:pPr>
          </w:p>
        </w:tc>
        <w:tc>
          <w:tcPr>
            <w:tcW w:w="0" w:type="auto"/>
            <w:noWrap w:val="0"/>
            <w:vAlign w:val="center"/>
          </w:tcPr>
          <w:p w14:paraId="04D05366">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2F066EBC">
            <w:pPr>
              <w:spacing w:before="100" w:beforeAutospacing="1" w:after="100" w:afterAutospacing="1" w:line="240" w:lineRule="atLeast"/>
              <w:jc w:val="center"/>
              <w:rPr>
                <w:rFonts w:eastAsia="楷体_GB2312"/>
                <w:kern w:val="0"/>
                <w:szCs w:val="21"/>
              </w:rPr>
            </w:pPr>
            <w:r>
              <w:rPr>
                <w:rFonts w:eastAsia="楷体_GB2312"/>
                <w:kern w:val="0"/>
                <w:szCs w:val="21"/>
              </w:rPr>
              <w:t>4</w:t>
            </w:r>
          </w:p>
        </w:tc>
        <w:tc>
          <w:tcPr>
            <w:tcW w:w="0" w:type="auto"/>
            <w:noWrap w:val="0"/>
            <w:vAlign w:val="center"/>
          </w:tcPr>
          <w:p w14:paraId="198D21ED">
            <w:pPr>
              <w:jc w:val="center"/>
              <w:rPr>
                <w:rFonts w:ascii="宋体" w:hAnsi="宋体" w:cs="宋体"/>
                <w:color w:val="000000"/>
                <w:sz w:val="22"/>
                <w:szCs w:val="22"/>
              </w:rPr>
            </w:pPr>
            <w:r>
              <w:rPr>
                <w:rFonts w:hint="eastAsia"/>
                <w:color w:val="000000"/>
                <w:sz w:val="22"/>
                <w:szCs w:val="22"/>
              </w:rPr>
              <w:t>195</w:t>
            </w:r>
          </w:p>
        </w:tc>
      </w:tr>
      <w:tr w14:paraId="516E7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333AB94A">
            <w:pPr>
              <w:spacing w:before="100" w:beforeAutospacing="1" w:after="100" w:afterAutospacing="1" w:line="240" w:lineRule="atLeast"/>
              <w:jc w:val="center"/>
              <w:rPr>
                <w:rFonts w:eastAsia="楷体_GB2312"/>
                <w:kern w:val="0"/>
                <w:szCs w:val="21"/>
              </w:rPr>
            </w:pPr>
            <w:r>
              <w:rPr>
                <w:rFonts w:eastAsia="楷体_GB2312"/>
                <w:kern w:val="0"/>
                <w:szCs w:val="21"/>
              </w:rPr>
              <w:t>14</w:t>
            </w:r>
          </w:p>
        </w:tc>
        <w:tc>
          <w:tcPr>
            <w:tcW w:w="0" w:type="auto"/>
            <w:vMerge w:val="restart"/>
            <w:noWrap w:val="0"/>
            <w:vAlign w:val="center"/>
          </w:tcPr>
          <w:p w14:paraId="23F5D9BB">
            <w:pPr>
              <w:spacing w:before="100" w:beforeAutospacing="1" w:after="100" w:afterAutospacing="1" w:line="240" w:lineRule="atLeast"/>
              <w:jc w:val="center"/>
              <w:rPr>
                <w:rFonts w:eastAsia="楷体_GB2312"/>
                <w:kern w:val="0"/>
                <w:szCs w:val="21"/>
              </w:rPr>
            </w:pPr>
            <w:r>
              <w:rPr>
                <w:rFonts w:eastAsia="楷体_GB2312"/>
                <w:kern w:val="0"/>
                <w:szCs w:val="21"/>
              </w:rPr>
              <w:t>顺河镇</w:t>
            </w:r>
          </w:p>
        </w:tc>
        <w:tc>
          <w:tcPr>
            <w:tcW w:w="0" w:type="auto"/>
            <w:noWrap w:val="0"/>
            <w:vAlign w:val="center"/>
          </w:tcPr>
          <w:p w14:paraId="49F3037A">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0CE7DB4F">
            <w:pPr>
              <w:spacing w:before="100" w:beforeAutospacing="1" w:after="100" w:afterAutospacing="1" w:line="240" w:lineRule="atLeast"/>
              <w:jc w:val="center"/>
              <w:rPr>
                <w:rFonts w:eastAsia="楷体_GB2312"/>
                <w:kern w:val="0"/>
                <w:szCs w:val="21"/>
              </w:rPr>
            </w:pPr>
            <w:r>
              <w:rPr>
                <w:rFonts w:eastAsia="楷体_GB2312"/>
                <w:kern w:val="0"/>
                <w:szCs w:val="21"/>
              </w:rPr>
              <w:t>10</w:t>
            </w:r>
          </w:p>
        </w:tc>
        <w:tc>
          <w:tcPr>
            <w:tcW w:w="0" w:type="auto"/>
            <w:noWrap w:val="0"/>
            <w:vAlign w:val="center"/>
          </w:tcPr>
          <w:p w14:paraId="35649841">
            <w:pPr>
              <w:jc w:val="center"/>
              <w:rPr>
                <w:rFonts w:ascii="宋体" w:hAnsi="宋体" w:cs="宋体"/>
                <w:color w:val="000000"/>
                <w:sz w:val="22"/>
                <w:szCs w:val="22"/>
              </w:rPr>
            </w:pPr>
            <w:r>
              <w:rPr>
                <w:rFonts w:hint="eastAsia"/>
                <w:color w:val="000000"/>
                <w:sz w:val="22"/>
                <w:szCs w:val="22"/>
              </w:rPr>
              <w:t>298</w:t>
            </w:r>
          </w:p>
        </w:tc>
      </w:tr>
      <w:tr w14:paraId="6605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D1349C1">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7AAC1027">
            <w:pPr>
              <w:spacing w:before="100" w:beforeAutospacing="1" w:after="100" w:afterAutospacing="1" w:line="240" w:lineRule="atLeast"/>
              <w:jc w:val="center"/>
              <w:rPr>
                <w:rFonts w:eastAsia="楷体_GB2312"/>
                <w:kern w:val="0"/>
                <w:szCs w:val="21"/>
              </w:rPr>
            </w:pPr>
          </w:p>
        </w:tc>
        <w:tc>
          <w:tcPr>
            <w:tcW w:w="0" w:type="auto"/>
            <w:noWrap w:val="0"/>
            <w:vAlign w:val="center"/>
          </w:tcPr>
          <w:p w14:paraId="7C2FF74F">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45490569">
            <w:pPr>
              <w:spacing w:before="100" w:beforeAutospacing="1" w:after="100" w:afterAutospacing="1" w:line="240" w:lineRule="atLeast"/>
              <w:jc w:val="center"/>
              <w:rPr>
                <w:rFonts w:eastAsia="楷体_GB2312"/>
                <w:kern w:val="0"/>
                <w:szCs w:val="21"/>
              </w:rPr>
            </w:pPr>
            <w:r>
              <w:rPr>
                <w:rFonts w:eastAsia="楷体_GB2312"/>
                <w:kern w:val="0"/>
                <w:szCs w:val="21"/>
              </w:rPr>
              <w:t>15</w:t>
            </w:r>
          </w:p>
        </w:tc>
        <w:tc>
          <w:tcPr>
            <w:tcW w:w="0" w:type="auto"/>
            <w:noWrap w:val="0"/>
            <w:vAlign w:val="center"/>
          </w:tcPr>
          <w:p w14:paraId="06E7CCB6">
            <w:pPr>
              <w:jc w:val="center"/>
              <w:rPr>
                <w:rFonts w:ascii="宋体" w:hAnsi="宋体" w:cs="宋体"/>
                <w:color w:val="000000"/>
                <w:sz w:val="22"/>
                <w:szCs w:val="22"/>
              </w:rPr>
            </w:pPr>
            <w:r>
              <w:rPr>
                <w:rFonts w:hint="eastAsia"/>
                <w:color w:val="000000"/>
                <w:sz w:val="22"/>
                <w:szCs w:val="22"/>
              </w:rPr>
              <w:t>249</w:t>
            </w:r>
          </w:p>
        </w:tc>
      </w:tr>
      <w:tr w14:paraId="3FB47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3345AF91">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2C92B20">
            <w:pPr>
              <w:spacing w:before="100" w:beforeAutospacing="1" w:after="100" w:afterAutospacing="1" w:line="240" w:lineRule="atLeast"/>
              <w:jc w:val="center"/>
              <w:rPr>
                <w:rFonts w:eastAsia="楷体_GB2312"/>
                <w:kern w:val="0"/>
                <w:szCs w:val="21"/>
              </w:rPr>
            </w:pPr>
          </w:p>
        </w:tc>
        <w:tc>
          <w:tcPr>
            <w:tcW w:w="0" w:type="auto"/>
            <w:noWrap w:val="0"/>
            <w:vAlign w:val="center"/>
          </w:tcPr>
          <w:p w14:paraId="063B1D1A">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4BE6184E">
            <w:pPr>
              <w:spacing w:before="100" w:beforeAutospacing="1" w:after="100" w:afterAutospacing="1" w:line="240" w:lineRule="atLeast"/>
              <w:jc w:val="center"/>
              <w:rPr>
                <w:rFonts w:eastAsia="楷体_GB2312"/>
                <w:kern w:val="0"/>
                <w:szCs w:val="21"/>
              </w:rPr>
            </w:pPr>
            <w:r>
              <w:rPr>
                <w:rFonts w:eastAsia="楷体_GB2312"/>
                <w:kern w:val="0"/>
                <w:szCs w:val="21"/>
              </w:rPr>
              <w:t>5</w:t>
            </w:r>
          </w:p>
        </w:tc>
        <w:tc>
          <w:tcPr>
            <w:tcW w:w="0" w:type="auto"/>
            <w:noWrap w:val="0"/>
            <w:vAlign w:val="center"/>
          </w:tcPr>
          <w:p w14:paraId="10642FAC">
            <w:pPr>
              <w:jc w:val="center"/>
              <w:rPr>
                <w:rFonts w:ascii="宋体" w:hAnsi="宋体" w:cs="宋体"/>
                <w:color w:val="000000"/>
                <w:sz w:val="22"/>
                <w:szCs w:val="22"/>
              </w:rPr>
            </w:pPr>
            <w:r>
              <w:rPr>
                <w:rFonts w:hint="eastAsia"/>
                <w:color w:val="000000"/>
                <w:sz w:val="22"/>
                <w:szCs w:val="22"/>
              </w:rPr>
              <w:t>195</w:t>
            </w:r>
          </w:p>
        </w:tc>
      </w:tr>
      <w:tr w14:paraId="786B8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606110BD">
            <w:pPr>
              <w:spacing w:before="100" w:beforeAutospacing="1" w:after="100" w:afterAutospacing="1" w:line="240" w:lineRule="atLeast"/>
              <w:jc w:val="center"/>
              <w:rPr>
                <w:rFonts w:eastAsia="楷体_GB2312"/>
                <w:kern w:val="0"/>
                <w:szCs w:val="21"/>
              </w:rPr>
            </w:pPr>
            <w:r>
              <w:rPr>
                <w:rFonts w:eastAsia="楷体_GB2312"/>
                <w:kern w:val="0"/>
                <w:szCs w:val="21"/>
              </w:rPr>
              <w:t>15</w:t>
            </w:r>
          </w:p>
        </w:tc>
        <w:tc>
          <w:tcPr>
            <w:tcW w:w="0" w:type="auto"/>
            <w:vMerge w:val="restart"/>
            <w:noWrap w:val="0"/>
            <w:vAlign w:val="center"/>
          </w:tcPr>
          <w:p w14:paraId="39DF0CCA">
            <w:pPr>
              <w:spacing w:before="100" w:beforeAutospacing="1" w:after="100" w:afterAutospacing="1" w:line="240" w:lineRule="atLeast"/>
              <w:jc w:val="center"/>
              <w:rPr>
                <w:rFonts w:eastAsia="楷体_GB2312"/>
                <w:kern w:val="0"/>
                <w:szCs w:val="21"/>
              </w:rPr>
            </w:pPr>
            <w:r>
              <w:rPr>
                <w:rFonts w:eastAsia="楷体_GB2312"/>
                <w:kern w:val="0"/>
                <w:szCs w:val="21"/>
              </w:rPr>
              <w:t>杨庄镇</w:t>
            </w:r>
          </w:p>
        </w:tc>
        <w:tc>
          <w:tcPr>
            <w:tcW w:w="0" w:type="auto"/>
            <w:noWrap w:val="0"/>
            <w:vAlign w:val="center"/>
          </w:tcPr>
          <w:p w14:paraId="19234D0F">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2BA12A68">
            <w:pPr>
              <w:spacing w:before="100" w:beforeAutospacing="1" w:after="100" w:afterAutospacing="1" w:line="240" w:lineRule="atLeast"/>
              <w:jc w:val="center"/>
              <w:rPr>
                <w:rFonts w:eastAsia="楷体_GB2312"/>
                <w:kern w:val="0"/>
                <w:szCs w:val="21"/>
              </w:rPr>
            </w:pPr>
            <w:r>
              <w:rPr>
                <w:rFonts w:eastAsia="楷体_GB2312"/>
                <w:kern w:val="0"/>
                <w:szCs w:val="21"/>
              </w:rPr>
              <w:t>20</w:t>
            </w:r>
          </w:p>
        </w:tc>
        <w:tc>
          <w:tcPr>
            <w:tcW w:w="0" w:type="auto"/>
            <w:noWrap w:val="0"/>
            <w:vAlign w:val="center"/>
          </w:tcPr>
          <w:p w14:paraId="431FE166">
            <w:pPr>
              <w:jc w:val="center"/>
              <w:rPr>
                <w:rFonts w:ascii="宋体" w:hAnsi="宋体" w:cs="宋体"/>
                <w:color w:val="000000"/>
                <w:sz w:val="22"/>
                <w:szCs w:val="22"/>
              </w:rPr>
            </w:pPr>
            <w:r>
              <w:rPr>
                <w:rFonts w:hint="eastAsia"/>
                <w:color w:val="000000"/>
                <w:sz w:val="22"/>
                <w:szCs w:val="22"/>
              </w:rPr>
              <w:t>298</w:t>
            </w:r>
          </w:p>
        </w:tc>
      </w:tr>
      <w:tr w14:paraId="6A7AC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54836BD5">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6A303B45">
            <w:pPr>
              <w:spacing w:before="100" w:beforeAutospacing="1" w:after="100" w:afterAutospacing="1" w:line="240" w:lineRule="atLeast"/>
              <w:jc w:val="center"/>
              <w:rPr>
                <w:rFonts w:eastAsia="楷体_GB2312"/>
                <w:kern w:val="0"/>
                <w:szCs w:val="21"/>
              </w:rPr>
            </w:pPr>
          </w:p>
        </w:tc>
        <w:tc>
          <w:tcPr>
            <w:tcW w:w="0" w:type="auto"/>
            <w:noWrap w:val="0"/>
            <w:vAlign w:val="center"/>
          </w:tcPr>
          <w:p w14:paraId="55A23758">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1201CD96">
            <w:pPr>
              <w:spacing w:before="100" w:beforeAutospacing="1" w:after="100" w:afterAutospacing="1" w:line="240" w:lineRule="atLeast"/>
              <w:jc w:val="center"/>
              <w:rPr>
                <w:rFonts w:eastAsia="楷体_GB2312"/>
                <w:kern w:val="0"/>
                <w:szCs w:val="21"/>
              </w:rPr>
            </w:pPr>
            <w:r>
              <w:rPr>
                <w:rFonts w:eastAsia="楷体_GB2312"/>
                <w:kern w:val="0"/>
                <w:szCs w:val="21"/>
              </w:rPr>
              <w:t>9</w:t>
            </w:r>
          </w:p>
        </w:tc>
        <w:tc>
          <w:tcPr>
            <w:tcW w:w="0" w:type="auto"/>
            <w:noWrap w:val="0"/>
            <w:vAlign w:val="center"/>
          </w:tcPr>
          <w:p w14:paraId="43AF7B58">
            <w:pPr>
              <w:jc w:val="center"/>
              <w:rPr>
                <w:rFonts w:ascii="宋体" w:hAnsi="宋体" w:cs="宋体"/>
                <w:color w:val="000000"/>
                <w:sz w:val="22"/>
                <w:szCs w:val="22"/>
              </w:rPr>
            </w:pPr>
            <w:r>
              <w:rPr>
                <w:rFonts w:hint="eastAsia"/>
                <w:color w:val="000000"/>
                <w:sz w:val="22"/>
                <w:szCs w:val="22"/>
              </w:rPr>
              <w:t>238</w:t>
            </w:r>
          </w:p>
        </w:tc>
      </w:tr>
      <w:tr w14:paraId="22D2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EBA690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7CDA0617">
            <w:pPr>
              <w:spacing w:before="100" w:beforeAutospacing="1" w:after="100" w:afterAutospacing="1" w:line="240" w:lineRule="atLeast"/>
              <w:jc w:val="center"/>
              <w:rPr>
                <w:rFonts w:eastAsia="楷体_GB2312"/>
                <w:kern w:val="0"/>
                <w:szCs w:val="21"/>
              </w:rPr>
            </w:pPr>
          </w:p>
        </w:tc>
        <w:tc>
          <w:tcPr>
            <w:tcW w:w="0" w:type="auto"/>
            <w:noWrap w:val="0"/>
            <w:vAlign w:val="center"/>
          </w:tcPr>
          <w:p w14:paraId="3DB9E0F8">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3FDA9D73">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0A9902DB">
            <w:pPr>
              <w:jc w:val="center"/>
              <w:rPr>
                <w:rFonts w:ascii="宋体" w:hAnsi="宋体" w:cs="宋体"/>
                <w:color w:val="000000"/>
                <w:sz w:val="22"/>
                <w:szCs w:val="22"/>
              </w:rPr>
            </w:pPr>
            <w:r>
              <w:rPr>
                <w:rFonts w:hint="eastAsia"/>
                <w:color w:val="000000"/>
                <w:sz w:val="22"/>
                <w:szCs w:val="22"/>
              </w:rPr>
              <w:t>184</w:t>
            </w:r>
          </w:p>
        </w:tc>
      </w:tr>
      <w:tr w14:paraId="00E9B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6BEF0E70">
            <w:pPr>
              <w:spacing w:before="100" w:beforeAutospacing="1" w:after="100" w:afterAutospacing="1" w:line="240" w:lineRule="atLeast"/>
              <w:jc w:val="center"/>
              <w:rPr>
                <w:rFonts w:eastAsia="楷体_GB2312"/>
                <w:kern w:val="0"/>
                <w:szCs w:val="21"/>
              </w:rPr>
            </w:pPr>
            <w:r>
              <w:rPr>
                <w:rFonts w:eastAsia="楷体_GB2312"/>
                <w:kern w:val="0"/>
                <w:szCs w:val="21"/>
              </w:rPr>
              <w:t>16</w:t>
            </w:r>
          </w:p>
        </w:tc>
        <w:tc>
          <w:tcPr>
            <w:tcW w:w="0" w:type="auto"/>
            <w:vMerge w:val="restart"/>
            <w:noWrap w:val="0"/>
            <w:vAlign w:val="center"/>
          </w:tcPr>
          <w:p w14:paraId="6CAF1BC6">
            <w:pPr>
              <w:spacing w:before="100" w:beforeAutospacing="1" w:after="100" w:afterAutospacing="1" w:line="240" w:lineRule="atLeast"/>
              <w:jc w:val="center"/>
              <w:rPr>
                <w:rFonts w:eastAsia="楷体_GB2312"/>
                <w:kern w:val="0"/>
                <w:szCs w:val="21"/>
              </w:rPr>
            </w:pPr>
            <w:r>
              <w:rPr>
                <w:rFonts w:eastAsia="楷体_GB2312"/>
                <w:kern w:val="0"/>
                <w:szCs w:val="21"/>
              </w:rPr>
              <w:t>永镇乡</w:t>
            </w:r>
          </w:p>
        </w:tc>
        <w:tc>
          <w:tcPr>
            <w:tcW w:w="0" w:type="auto"/>
            <w:noWrap w:val="0"/>
            <w:vAlign w:val="center"/>
          </w:tcPr>
          <w:p w14:paraId="5D9482EB">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3446A463">
            <w:pPr>
              <w:spacing w:before="100" w:beforeAutospacing="1" w:after="100" w:afterAutospacing="1" w:line="240" w:lineRule="atLeast"/>
              <w:jc w:val="center"/>
              <w:rPr>
                <w:rFonts w:eastAsia="楷体_GB2312"/>
                <w:kern w:val="0"/>
                <w:szCs w:val="21"/>
              </w:rPr>
            </w:pPr>
            <w:r>
              <w:rPr>
                <w:rFonts w:eastAsia="楷体_GB2312"/>
                <w:kern w:val="0"/>
                <w:szCs w:val="21"/>
              </w:rPr>
              <w:t>13</w:t>
            </w:r>
          </w:p>
        </w:tc>
        <w:tc>
          <w:tcPr>
            <w:tcW w:w="0" w:type="auto"/>
            <w:noWrap w:val="0"/>
            <w:vAlign w:val="center"/>
          </w:tcPr>
          <w:p w14:paraId="78AEE848">
            <w:pPr>
              <w:jc w:val="center"/>
              <w:rPr>
                <w:rFonts w:ascii="宋体" w:hAnsi="宋体" w:cs="宋体"/>
                <w:color w:val="000000"/>
                <w:sz w:val="22"/>
                <w:szCs w:val="22"/>
              </w:rPr>
            </w:pPr>
            <w:r>
              <w:rPr>
                <w:rFonts w:hint="eastAsia"/>
                <w:color w:val="000000"/>
                <w:sz w:val="22"/>
                <w:szCs w:val="22"/>
              </w:rPr>
              <w:t>281</w:t>
            </w:r>
          </w:p>
        </w:tc>
      </w:tr>
      <w:tr w14:paraId="514E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15EB19C">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7A8A05F6">
            <w:pPr>
              <w:spacing w:before="100" w:beforeAutospacing="1" w:after="100" w:afterAutospacing="1" w:line="240" w:lineRule="atLeast"/>
              <w:jc w:val="center"/>
              <w:rPr>
                <w:rFonts w:eastAsia="楷体_GB2312"/>
                <w:kern w:val="0"/>
                <w:szCs w:val="21"/>
              </w:rPr>
            </w:pPr>
          </w:p>
        </w:tc>
        <w:tc>
          <w:tcPr>
            <w:tcW w:w="0" w:type="auto"/>
            <w:noWrap w:val="0"/>
            <w:vAlign w:val="center"/>
          </w:tcPr>
          <w:p w14:paraId="26C91C89">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4115510F">
            <w:pPr>
              <w:spacing w:before="100" w:beforeAutospacing="1" w:after="100" w:afterAutospacing="1" w:line="240" w:lineRule="atLeast"/>
              <w:jc w:val="center"/>
              <w:rPr>
                <w:rFonts w:eastAsia="楷体_GB2312"/>
                <w:kern w:val="0"/>
                <w:szCs w:val="21"/>
              </w:rPr>
            </w:pPr>
            <w:r>
              <w:rPr>
                <w:rFonts w:eastAsia="楷体_GB2312"/>
                <w:kern w:val="0"/>
                <w:szCs w:val="21"/>
              </w:rPr>
              <w:t>15</w:t>
            </w:r>
          </w:p>
        </w:tc>
        <w:tc>
          <w:tcPr>
            <w:tcW w:w="0" w:type="auto"/>
            <w:noWrap w:val="0"/>
            <w:vAlign w:val="center"/>
          </w:tcPr>
          <w:p w14:paraId="3BE85B74">
            <w:pPr>
              <w:jc w:val="center"/>
              <w:rPr>
                <w:rFonts w:ascii="宋体" w:hAnsi="宋体" w:cs="宋体"/>
                <w:color w:val="000000"/>
                <w:sz w:val="22"/>
                <w:szCs w:val="22"/>
              </w:rPr>
            </w:pPr>
            <w:r>
              <w:rPr>
                <w:rFonts w:hint="eastAsia"/>
                <w:color w:val="000000"/>
                <w:sz w:val="22"/>
                <w:szCs w:val="22"/>
              </w:rPr>
              <w:t>238</w:t>
            </w:r>
          </w:p>
        </w:tc>
      </w:tr>
      <w:tr w14:paraId="12768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32A2C54">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49CAD84">
            <w:pPr>
              <w:spacing w:before="100" w:beforeAutospacing="1" w:after="100" w:afterAutospacing="1" w:line="240" w:lineRule="atLeast"/>
              <w:jc w:val="center"/>
              <w:rPr>
                <w:rFonts w:eastAsia="楷体_GB2312"/>
                <w:kern w:val="0"/>
                <w:szCs w:val="21"/>
              </w:rPr>
            </w:pPr>
          </w:p>
        </w:tc>
        <w:tc>
          <w:tcPr>
            <w:tcW w:w="0" w:type="auto"/>
            <w:noWrap w:val="0"/>
            <w:vAlign w:val="center"/>
          </w:tcPr>
          <w:p w14:paraId="44EA2B50">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31D4277D">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3AA4B50D">
            <w:pPr>
              <w:jc w:val="center"/>
              <w:rPr>
                <w:rFonts w:ascii="宋体" w:hAnsi="宋体" w:cs="宋体"/>
                <w:color w:val="000000"/>
                <w:sz w:val="22"/>
                <w:szCs w:val="22"/>
              </w:rPr>
            </w:pPr>
            <w:r>
              <w:rPr>
                <w:rFonts w:hint="eastAsia"/>
                <w:color w:val="000000"/>
                <w:sz w:val="22"/>
                <w:szCs w:val="22"/>
              </w:rPr>
              <w:t>190</w:t>
            </w:r>
          </w:p>
        </w:tc>
      </w:tr>
      <w:tr w14:paraId="6181E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1CDE1CD6">
            <w:pPr>
              <w:spacing w:before="100" w:beforeAutospacing="1" w:after="100" w:afterAutospacing="1" w:line="240" w:lineRule="atLeast"/>
              <w:jc w:val="center"/>
              <w:rPr>
                <w:rFonts w:eastAsia="楷体_GB2312"/>
                <w:kern w:val="0"/>
                <w:szCs w:val="21"/>
              </w:rPr>
            </w:pPr>
            <w:r>
              <w:rPr>
                <w:rFonts w:eastAsia="楷体_GB2312"/>
                <w:kern w:val="0"/>
                <w:szCs w:val="21"/>
              </w:rPr>
              <w:t>17</w:t>
            </w:r>
          </w:p>
        </w:tc>
        <w:tc>
          <w:tcPr>
            <w:tcW w:w="0" w:type="auto"/>
            <w:vMerge w:val="restart"/>
            <w:noWrap w:val="0"/>
            <w:vAlign w:val="center"/>
          </w:tcPr>
          <w:p w14:paraId="21898E33">
            <w:pPr>
              <w:spacing w:before="100" w:beforeAutospacing="1" w:after="100" w:afterAutospacing="1" w:line="240" w:lineRule="atLeast"/>
              <w:jc w:val="center"/>
              <w:rPr>
                <w:rFonts w:eastAsia="楷体_GB2312"/>
                <w:kern w:val="0"/>
                <w:szCs w:val="21"/>
              </w:rPr>
            </w:pPr>
            <w:r>
              <w:rPr>
                <w:rFonts w:eastAsia="楷体_GB2312"/>
                <w:kern w:val="0"/>
                <w:szCs w:val="21"/>
              </w:rPr>
              <w:t>解集镇</w:t>
            </w:r>
          </w:p>
        </w:tc>
        <w:tc>
          <w:tcPr>
            <w:tcW w:w="0" w:type="auto"/>
            <w:noWrap w:val="0"/>
            <w:vAlign w:val="center"/>
          </w:tcPr>
          <w:p w14:paraId="4CBA66A2">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5163A4BE">
            <w:pPr>
              <w:spacing w:before="100" w:beforeAutospacing="1" w:after="100" w:afterAutospacing="1" w:line="240" w:lineRule="atLeast"/>
              <w:jc w:val="center"/>
              <w:rPr>
                <w:rFonts w:eastAsia="楷体_GB2312"/>
                <w:kern w:val="0"/>
                <w:szCs w:val="21"/>
              </w:rPr>
            </w:pPr>
            <w:r>
              <w:rPr>
                <w:rFonts w:eastAsia="楷体_GB2312"/>
                <w:kern w:val="0"/>
                <w:szCs w:val="21"/>
              </w:rPr>
              <w:t>12</w:t>
            </w:r>
          </w:p>
        </w:tc>
        <w:tc>
          <w:tcPr>
            <w:tcW w:w="0" w:type="auto"/>
            <w:noWrap w:val="0"/>
            <w:vAlign w:val="center"/>
          </w:tcPr>
          <w:p w14:paraId="03D13261">
            <w:pPr>
              <w:jc w:val="center"/>
              <w:rPr>
                <w:rFonts w:ascii="宋体" w:hAnsi="宋体" w:cs="宋体"/>
                <w:color w:val="000000"/>
                <w:sz w:val="22"/>
                <w:szCs w:val="22"/>
              </w:rPr>
            </w:pPr>
            <w:r>
              <w:rPr>
                <w:rFonts w:hint="eastAsia"/>
                <w:color w:val="000000"/>
                <w:sz w:val="22"/>
                <w:szCs w:val="22"/>
              </w:rPr>
              <w:t>287</w:t>
            </w:r>
          </w:p>
        </w:tc>
      </w:tr>
      <w:tr w14:paraId="0E6A6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677ED30">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3081F153">
            <w:pPr>
              <w:spacing w:before="100" w:beforeAutospacing="1" w:after="100" w:afterAutospacing="1" w:line="240" w:lineRule="atLeast"/>
              <w:jc w:val="center"/>
              <w:rPr>
                <w:rFonts w:eastAsia="楷体_GB2312"/>
                <w:kern w:val="0"/>
                <w:szCs w:val="21"/>
              </w:rPr>
            </w:pPr>
          </w:p>
        </w:tc>
        <w:tc>
          <w:tcPr>
            <w:tcW w:w="0" w:type="auto"/>
            <w:noWrap w:val="0"/>
            <w:vAlign w:val="center"/>
          </w:tcPr>
          <w:p w14:paraId="664DC155">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534056CE">
            <w:pPr>
              <w:spacing w:before="100" w:beforeAutospacing="1" w:after="100" w:afterAutospacing="1" w:line="240" w:lineRule="atLeast"/>
              <w:jc w:val="center"/>
              <w:rPr>
                <w:rFonts w:eastAsia="楷体_GB2312"/>
                <w:kern w:val="0"/>
                <w:szCs w:val="21"/>
              </w:rPr>
            </w:pPr>
            <w:r>
              <w:rPr>
                <w:rFonts w:eastAsia="楷体_GB2312"/>
                <w:kern w:val="0"/>
                <w:szCs w:val="21"/>
              </w:rPr>
              <w:t>14</w:t>
            </w:r>
          </w:p>
        </w:tc>
        <w:tc>
          <w:tcPr>
            <w:tcW w:w="0" w:type="auto"/>
            <w:noWrap w:val="0"/>
            <w:vAlign w:val="center"/>
          </w:tcPr>
          <w:p w14:paraId="2691B1E5">
            <w:pPr>
              <w:jc w:val="center"/>
              <w:rPr>
                <w:rFonts w:ascii="宋体" w:hAnsi="宋体" w:cs="宋体"/>
                <w:color w:val="000000"/>
                <w:sz w:val="22"/>
                <w:szCs w:val="22"/>
              </w:rPr>
            </w:pPr>
            <w:r>
              <w:rPr>
                <w:rFonts w:hint="eastAsia"/>
                <w:color w:val="000000"/>
                <w:sz w:val="22"/>
                <w:szCs w:val="22"/>
              </w:rPr>
              <w:t>238</w:t>
            </w:r>
          </w:p>
        </w:tc>
      </w:tr>
      <w:tr w14:paraId="11EC6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0FEFDFC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C89D141">
            <w:pPr>
              <w:spacing w:before="100" w:beforeAutospacing="1" w:after="100" w:afterAutospacing="1" w:line="240" w:lineRule="atLeast"/>
              <w:jc w:val="center"/>
              <w:rPr>
                <w:rFonts w:eastAsia="楷体_GB2312"/>
                <w:kern w:val="0"/>
                <w:szCs w:val="21"/>
              </w:rPr>
            </w:pPr>
          </w:p>
        </w:tc>
        <w:tc>
          <w:tcPr>
            <w:tcW w:w="0" w:type="auto"/>
            <w:noWrap w:val="0"/>
            <w:vAlign w:val="center"/>
          </w:tcPr>
          <w:p w14:paraId="27136BC5">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2E799516">
            <w:pPr>
              <w:spacing w:before="100" w:beforeAutospacing="1" w:after="100" w:afterAutospacing="1" w:line="240" w:lineRule="atLeast"/>
              <w:jc w:val="center"/>
              <w:rPr>
                <w:rFonts w:eastAsia="楷体_GB2312"/>
                <w:kern w:val="0"/>
                <w:szCs w:val="21"/>
              </w:rPr>
            </w:pPr>
            <w:r>
              <w:rPr>
                <w:rFonts w:eastAsia="楷体_GB2312"/>
                <w:kern w:val="0"/>
                <w:szCs w:val="21"/>
              </w:rPr>
              <w:t>4</w:t>
            </w:r>
          </w:p>
        </w:tc>
        <w:tc>
          <w:tcPr>
            <w:tcW w:w="0" w:type="auto"/>
            <w:noWrap w:val="0"/>
            <w:vAlign w:val="center"/>
          </w:tcPr>
          <w:p w14:paraId="24347262">
            <w:pPr>
              <w:jc w:val="center"/>
              <w:rPr>
                <w:rFonts w:ascii="宋体" w:hAnsi="宋体" w:cs="宋体"/>
                <w:color w:val="000000"/>
                <w:sz w:val="22"/>
                <w:szCs w:val="22"/>
              </w:rPr>
            </w:pPr>
            <w:r>
              <w:rPr>
                <w:rFonts w:hint="eastAsia"/>
                <w:color w:val="000000"/>
                <w:sz w:val="22"/>
                <w:szCs w:val="22"/>
              </w:rPr>
              <w:t>184</w:t>
            </w:r>
          </w:p>
        </w:tc>
      </w:tr>
      <w:tr w14:paraId="6F9F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127BF666">
            <w:pPr>
              <w:spacing w:before="100" w:beforeAutospacing="1" w:after="100" w:afterAutospacing="1" w:line="240" w:lineRule="atLeast"/>
              <w:jc w:val="center"/>
              <w:rPr>
                <w:rFonts w:eastAsia="楷体_GB2312"/>
                <w:kern w:val="0"/>
                <w:szCs w:val="21"/>
              </w:rPr>
            </w:pPr>
            <w:r>
              <w:rPr>
                <w:rFonts w:eastAsia="楷体_GB2312"/>
                <w:kern w:val="0"/>
                <w:szCs w:val="21"/>
              </w:rPr>
              <w:t>18</w:t>
            </w:r>
          </w:p>
        </w:tc>
        <w:tc>
          <w:tcPr>
            <w:tcW w:w="0" w:type="auto"/>
            <w:vMerge w:val="restart"/>
            <w:noWrap w:val="0"/>
            <w:vAlign w:val="center"/>
          </w:tcPr>
          <w:p w14:paraId="6245FB49">
            <w:pPr>
              <w:spacing w:before="100" w:beforeAutospacing="1" w:after="100" w:afterAutospacing="1" w:line="240" w:lineRule="atLeast"/>
              <w:jc w:val="center"/>
              <w:rPr>
                <w:rFonts w:eastAsia="楷体_GB2312"/>
                <w:kern w:val="0"/>
                <w:szCs w:val="21"/>
              </w:rPr>
            </w:pPr>
            <w:r>
              <w:rPr>
                <w:rFonts w:eastAsia="楷体_GB2312"/>
                <w:kern w:val="0"/>
                <w:szCs w:val="21"/>
              </w:rPr>
              <w:t>大泽乡镇</w:t>
            </w:r>
          </w:p>
        </w:tc>
        <w:tc>
          <w:tcPr>
            <w:tcW w:w="0" w:type="auto"/>
            <w:noWrap w:val="0"/>
            <w:vAlign w:val="center"/>
          </w:tcPr>
          <w:p w14:paraId="4BCA1B0E">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588DD2C1">
            <w:pPr>
              <w:spacing w:before="100" w:beforeAutospacing="1" w:after="100" w:afterAutospacing="1" w:line="240" w:lineRule="atLeast"/>
              <w:jc w:val="center"/>
              <w:rPr>
                <w:rFonts w:eastAsia="楷体_GB2312"/>
                <w:kern w:val="0"/>
                <w:szCs w:val="21"/>
              </w:rPr>
            </w:pPr>
            <w:r>
              <w:rPr>
                <w:rFonts w:eastAsia="楷体_GB2312"/>
                <w:kern w:val="0"/>
                <w:szCs w:val="21"/>
              </w:rPr>
              <w:t>15</w:t>
            </w:r>
          </w:p>
        </w:tc>
        <w:tc>
          <w:tcPr>
            <w:tcW w:w="0" w:type="auto"/>
            <w:noWrap w:val="0"/>
            <w:vAlign w:val="center"/>
          </w:tcPr>
          <w:p w14:paraId="2EE7913E">
            <w:pPr>
              <w:jc w:val="center"/>
              <w:rPr>
                <w:rFonts w:ascii="宋体" w:hAnsi="宋体" w:cs="宋体"/>
                <w:color w:val="000000"/>
                <w:sz w:val="22"/>
                <w:szCs w:val="22"/>
              </w:rPr>
            </w:pPr>
            <w:r>
              <w:rPr>
                <w:rFonts w:hint="eastAsia"/>
                <w:color w:val="000000"/>
                <w:sz w:val="22"/>
                <w:szCs w:val="22"/>
              </w:rPr>
              <w:t>276</w:t>
            </w:r>
          </w:p>
        </w:tc>
      </w:tr>
      <w:tr w14:paraId="2CECA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0F7E722">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F8C711A">
            <w:pPr>
              <w:spacing w:before="100" w:beforeAutospacing="1" w:after="100" w:afterAutospacing="1" w:line="240" w:lineRule="atLeast"/>
              <w:jc w:val="center"/>
              <w:rPr>
                <w:rFonts w:eastAsia="楷体_GB2312"/>
                <w:kern w:val="0"/>
                <w:szCs w:val="21"/>
              </w:rPr>
            </w:pPr>
          </w:p>
        </w:tc>
        <w:tc>
          <w:tcPr>
            <w:tcW w:w="0" w:type="auto"/>
            <w:noWrap w:val="0"/>
            <w:vAlign w:val="center"/>
          </w:tcPr>
          <w:p w14:paraId="519FD955">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1556E47E">
            <w:pPr>
              <w:spacing w:before="100" w:beforeAutospacing="1" w:after="100" w:afterAutospacing="1" w:line="240" w:lineRule="atLeast"/>
              <w:jc w:val="center"/>
              <w:rPr>
                <w:rFonts w:eastAsia="楷体_GB2312"/>
                <w:kern w:val="0"/>
                <w:szCs w:val="21"/>
              </w:rPr>
            </w:pPr>
            <w:r>
              <w:rPr>
                <w:rFonts w:eastAsia="楷体_GB2312"/>
                <w:kern w:val="0"/>
                <w:szCs w:val="21"/>
              </w:rPr>
              <w:t>10</w:t>
            </w:r>
          </w:p>
        </w:tc>
        <w:tc>
          <w:tcPr>
            <w:tcW w:w="0" w:type="auto"/>
            <w:noWrap w:val="0"/>
            <w:vAlign w:val="center"/>
          </w:tcPr>
          <w:p w14:paraId="68803655">
            <w:pPr>
              <w:jc w:val="center"/>
              <w:rPr>
                <w:rFonts w:ascii="宋体" w:hAnsi="宋体" w:cs="宋体"/>
                <w:color w:val="000000"/>
                <w:sz w:val="22"/>
                <w:szCs w:val="22"/>
              </w:rPr>
            </w:pPr>
            <w:r>
              <w:rPr>
                <w:rFonts w:hint="eastAsia"/>
                <w:color w:val="000000"/>
                <w:sz w:val="22"/>
                <w:szCs w:val="22"/>
              </w:rPr>
              <w:t>233</w:t>
            </w:r>
          </w:p>
        </w:tc>
      </w:tr>
      <w:tr w14:paraId="56BF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58912CF">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F735F7F">
            <w:pPr>
              <w:spacing w:before="100" w:beforeAutospacing="1" w:after="100" w:afterAutospacing="1" w:line="240" w:lineRule="atLeast"/>
              <w:jc w:val="center"/>
              <w:rPr>
                <w:rFonts w:eastAsia="楷体_GB2312"/>
                <w:kern w:val="0"/>
                <w:szCs w:val="21"/>
              </w:rPr>
            </w:pPr>
          </w:p>
        </w:tc>
        <w:tc>
          <w:tcPr>
            <w:tcW w:w="0" w:type="auto"/>
            <w:noWrap w:val="0"/>
            <w:vAlign w:val="center"/>
          </w:tcPr>
          <w:p w14:paraId="429DF59B">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74AE8776">
            <w:pPr>
              <w:spacing w:before="100" w:beforeAutospacing="1" w:after="100" w:afterAutospacing="1" w:line="240" w:lineRule="atLeast"/>
              <w:jc w:val="center"/>
              <w:rPr>
                <w:rFonts w:eastAsia="楷体_GB2312"/>
                <w:kern w:val="0"/>
                <w:szCs w:val="21"/>
              </w:rPr>
            </w:pPr>
            <w:r>
              <w:rPr>
                <w:rFonts w:eastAsia="楷体_GB2312"/>
                <w:kern w:val="0"/>
                <w:szCs w:val="21"/>
              </w:rPr>
              <w:t>5</w:t>
            </w:r>
          </w:p>
        </w:tc>
        <w:tc>
          <w:tcPr>
            <w:tcW w:w="0" w:type="auto"/>
            <w:noWrap w:val="0"/>
            <w:vAlign w:val="center"/>
          </w:tcPr>
          <w:p w14:paraId="3D1432F6">
            <w:pPr>
              <w:jc w:val="center"/>
              <w:rPr>
                <w:rFonts w:ascii="宋体" w:hAnsi="宋体" w:cs="宋体"/>
                <w:color w:val="000000"/>
                <w:sz w:val="22"/>
                <w:szCs w:val="22"/>
              </w:rPr>
            </w:pPr>
            <w:r>
              <w:rPr>
                <w:rFonts w:hint="eastAsia"/>
                <w:color w:val="000000"/>
                <w:sz w:val="22"/>
                <w:szCs w:val="22"/>
              </w:rPr>
              <w:t>184</w:t>
            </w:r>
          </w:p>
        </w:tc>
      </w:tr>
      <w:tr w14:paraId="17EC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58AB15E4">
            <w:pPr>
              <w:spacing w:before="100" w:beforeAutospacing="1" w:after="100" w:afterAutospacing="1" w:line="240" w:lineRule="atLeast"/>
              <w:jc w:val="center"/>
              <w:rPr>
                <w:rFonts w:eastAsia="楷体_GB2312"/>
                <w:kern w:val="0"/>
                <w:szCs w:val="21"/>
              </w:rPr>
            </w:pPr>
            <w:r>
              <w:rPr>
                <w:rFonts w:eastAsia="楷体_GB2312"/>
                <w:kern w:val="0"/>
                <w:szCs w:val="21"/>
              </w:rPr>
              <w:t>19</w:t>
            </w:r>
          </w:p>
        </w:tc>
        <w:tc>
          <w:tcPr>
            <w:tcW w:w="0" w:type="auto"/>
            <w:vMerge w:val="restart"/>
            <w:noWrap w:val="0"/>
            <w:vAlign w:val="center"/>
          </w:tcPr>
          <w:p w14:paraId="33333BCB">
            <w:pPr>
              <w:spacing w:before="100" w:beforeAutospacing="1" w:after="100" w:afterAutospacing="1" w:line="240" w:lineRule="atLeast"/>
              <w:jc w:val="center"/>
              <w:rPr>
                <w:rFonts w:eastAsia="楷体_GB2312"/>
                <w:kern w:val="0"/>
                <w:szCs w:val="21"/>
              </w:rPr>
            </w:pPr>
            <w:r>
              <w:rPr>
                <w:rFonts w:eastAsia="楷体_GB2312"/>
                <w:kern w:val="0"/>
                <w:szCs w:val="21"/>
              </w:rPr>
              <w:t>永安镇</w:t>
            </w:r>
          </w:p>
        </w:tc>
        <w:tc>
          <w:tcPr>
            <w:tcW w:w="0" w:type="auto"/>
            <w:noWrap w:val="0"/>
            <w:vAlign w:val="center"/>
          </w:tcPr>
          <w:p w14:paraId="6667F330">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3F23B625">
            <w:pPr>
              <w:spacing w:before="100" w:beforeAutospacing="1" w:after="100" w:afterAutospacing="1" w:line="240" w:lineRule="atLeast"/>
              <w:jc w:val="center"/>
              <w:rPr>
                <w:rFonts w:eastAsia="楷体_GB2312"/>
                <w:kern w:val="0"/>
                <w:szCs w:val="21"/>
              </w:rPr>
            </w:pPr>
            <w:r>
              <w:rPr>
                <w:rFonts w:eastAsia="楷体_GB2312"/>
                <w:kern w:val="0"/>
                <w:szCs w:val="21"/>
              </w:rPr>
              <w:t>16</w:t>
            </w:r>
          </w:p>
        </w:tc>
        <w:tc>
          <w:tcPr>
            <w:tcW w:w="0" w:type="auto"/>
            <w:noWrap w:val="0"/>
            <w:vAlign w:val="center"/>
          </w:tcPr>
          <w:p w14:paraId="7A234DCF">
            <w:pPr>
              <w:jc w:val="center"/>
              <w:rPr>
                <w:rFonts w:ascii="宋体" w:hAnsi="宋体" w:cs="宋体"/>
                <w:color w:val="000000"/>
                <w:sz w:val="22"/>
                <w:szCs w:val="22"/>
              </w:rPr>
            </w:pPr>
            <w:r>
              <w:rPr>
                <w:rFonts w:hint="eastAsia"/>
                <w:color w:val="000000"/>
                <w:sz w:val="22"/>
                <w:szCs w:val="22"/>
              </w:rPr>
              <w:t>287</w:t>
            </w:r>
          </w:p>
        </w:tc>
      </w:tr>
      <w:tr w14:paraId="53F6A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6DBD6A2">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44EA2A6">
            <w:pPr>
              <w:spacing w:before="100" w:beforeAutospacing="1" w:after="100" w:afterAutospacing="1" w:line="240" w:lineRule="atLeast"/>
              <w:jc w:val="center"/>
              <w:rPr>
                <w:rFonts w:eastAsia="楷体_GB2312"/>
                <w:kern w:val="0"/>
                <w:szCs w:val="21"/>
              </w:rPr>
            </w:pPr>
          </w:p>
        </w:tc>
        <w:tc>
          <w:tcPr>
            <w:tcW w:w="0" w:type="auto"/>
            <w:noWrap w:val="0"/>
            <w:vAlign w:val="center"/>
          </w:tcPr>
          <w:p w14:paraId="1EB71A80">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1D56AC61">
            <w:pPr>
              <w:spacing w:before="100" w:beforeAutospacing="1" w:after="100" w:afterAutospacing="1" w:line="240" w:lineRule="atLeast"/>
              <w:jc w:val="center"/>
              <w:rPr>
                <w:rFonts w:eastAsia="楷体_GB2312"/>
                <w:kern w:val="0"/>
                <w:szCs w:val="21"/>
              </w:rPr>
            </w:pPr>
            <w:r>
              <w:rPr>
                <w:rFonts w:eastAsia="楷体_GB2312"/>
                <w:kern w:val="0"/>
                <w:szCs w:val="21"/>
              </w:rPr>
              <w:t>10</w:t>
            </w:r>
          </w:p>
        </w:tc>
        <w:tc>
          <w:tcPr>
            <w:tcW w:w="0" w:type="auto"/>
            <w:noWrap w:val="0"/>
            <w:vAlign w:val="center"/>
          </w:tcPr>
          <w:p w14:paraId="4270D563">
            <w:pPr>
              <w:jc w:val="center"/>
              <w:rPr>
                <w:rFonts w:ascii="宋体" w:hAnsi="宋体" w:cs="宋体"/>
                <w:color w:val="000000"/>
                <w:sz w:val="22"/>
                <w:szCs w:val="22"/>
              </w:rPr>
            </w:pPr>
            <w:r>
              <w:rPr>
                <w:rFonts w:hint="eastAsia"/>
                <w:color w:val="000000"/>
                <w:sz w:val="22"/>
                <w:szCs w:val="22"/>
              </w:rPr>
              <w:t>238</w:t>
            </w:r>
          </w:p>
        </w:tc>
      </w:tr>
      <w:tr w14:paraId="7ED7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59B01EC">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58902FD">
            <w:pPr>
              <w:spacing w:before="100" w:beforeAutospacing="1" w:after="100" w:afterAutospacing="1" w:line="240" w:lineRule="atLeast"/>
              <w:jc w:val="center"/>
              <w:rPr>
                <w:rFonts w:eastAsia="楷体_GB2312"/>
                <w:kern w:val="0"/>
                <w:szCs w:val="21"/>
              </w:rPr>
            </w:pPr>
          </w:p>
        </w:tc>
        <w:tc>
          <w:tcPr>
            <w:tcW w:w="0" w:type="auto"/>
            <w:noWrap w:val="0"/>
            <w:vAlign w:val="center"/>
          </w:tcPr>
          <w:p w14:paraId="1A9BF8C6">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30379C1B">
            <w:pPr>
              <w:spacing w:before="100" w:beforeAutospacing="1" w:after="100" w:afterAutospacing="1" w:line="240" w:lineRule="atLeast"/>
              <w:jc w:val="center"/>
              <w:rPr>
                <w:rFonts w:eastAsia="楷体_GB2312"/>
                <w:kern w:val="0"/>
                <w:szCs w:val="21"/>
              </w:rPr>
            </w:pPr>
            <w:r>
              <w:rPr>
                <w:rFonts w:eastAsia="楷体_GB2312"/>
                <w:kern w:val="0"/>
                <w:szCs w:val="21"/>
              </w:rPr>
              <w:t>4</w:t>
            </w:r>
          </w:p>
        </w:tc>
        <w:tc>
          <w:tcPr>
            <w:tcW w:w="0" w:type="auto"/>
            <w:noWrap w:val="0"/>
            <w:vAlign w:val="center"/>
          </w:tcPr>
          <w:p w14:paraId="44E286BB">
            <w:pPr>
              <w:jc w:val="center"/>
              <w:rPr>
                <w:rFonts w:ascii="宋体" w:hAnsi="宋体" w:cs="宋体"/>
                <w:color w:val="000000"/>
                <w:sz w:val="22"/>
                <w:szCs w:val="22"/>
              </w:rPr>
            </w:pPr>
            <w:r>
              <w:rPr>
                <w:rFonts w:hint="eastAsia"/>
                <w:color w:val="000000"/>
                <w:sz w:val="22"/>
                <w:szCs w:val="22"/>
              </w:rPr>
              <w:t>184</w:t>
            </w:r>
          </w:p>
        </w:tc>
      </w:tr>
      <w:tr w14:paraId="1B093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5BC9B28D">
            <w:pPr>
              <w:spacing w:before="100" w:beforeAutospacing="1" w:after="100" w:afterAutospacing="1" w:line="240" w:lineRule="atLeast"/>
              <w:jc w:val="center"/>
              <w:rPr>
                <w:rFonts w:eastAsia="楷体_GB2312"/>
                <w:kern w:val="0"/>
                <w:szCs w:val="21"/>
              </w:rPr>
            </w:pPr>
            <w:r>
              <w:rPr>
                <w:rFonts w:eastAsia="楷体_GB2312"/>
                <w:kern w:val="0"/>
                <w:szCs w:val="21"/>
              </w:rPr>
              <w:t>20</w:t>
            </w:r>
          </w:p>
        </w:tc>
        <w:tc>
          <w:tcPr>
            <w:tcW w:w="0" w:type="auto"/>
            <w:vMerge w:val="restart"/>
            <w:noWrap w:val="0"/>
            <w:vAlign w:val="center"/>
          </w:tcPr>
          <w:p w14:paraId="63FA7443">
            <w:pPr>
              <w:spacing w:before="100" w:beforeAutospacing="1" w:after="100" w:afterAutospacing="1" w:line="240" w:lineRule="atLeast"/>
              <w:jc w:val="center"/>
              <w:rPr>
                <w:rFonts w:eastAsia="楷体_GB2312"/>
                <w:kern w:val="0"/>
                <w:szCs w:val="21"/>
              </w:rPr>
            </w:pPr>
            <w:r>
              <w:rPr>
                <w:rFonts w:eastAsia="楷体_GB2312"/>
                <w:kern w:val="0"/>
                <w:szCs w:val="21"/>
              </w:rPr>
              <w:t>支河乡</w:t>
            </w:r>
          </w:p>
        </w:tc>
        <w:tc>
          <w:tcPr>
            <w:tcW w:w="0" w:type="auto"/>
            <w:noWrap w:val="0"/>
            <w:vAlign w:val="center"/>
          </w:tcPr>
          <w:p w14:paraId="757CA078">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7A415526">
            <w:pPr>
              <w:spacing w:before="100" w:beforeAutospacing="1" w:after="100" w:afterAutospacing="1" w:line="240" w:lineRule="atLeast"/>
              <w:jc w:val="center"/>
              <w:rPr>
                <w:rFonts w:eastAsia="楷体_GB2312"/>
                <w:kern w:val="0"/>
                <w:szCs w:val="21"/>
              </w:rPr>
            </w:pPr>
            <w:r>
              <w:rPr>
                <w:rFonts w:eastAsia="楷体_GB2312"/>
                <w:kern w:val="0"/>
                <w:szCs w:val="21"/>
              </w:rPr>
              <w:t>20</w:t>
            </w:r>
          </w:p>
        </w:tc>
        <w:tc>
          <w:tcPr>
            <w:tcW w:w="0" w:type="auto"/>
            <w:noWrap w:val="0"/>
            <w:vAlign w:val="center"/>
          </w:tcPr>
          <w:p w14:paraId="6731CEF8">
            <w:pPr>
              <w:jc w:val="center"/>
              <w:rPr>
                <w:rFonts w:ascii="宋体" w:hAnsi="宋体" w:cs="宋体"/>
                <w:color w:val="000000"/>
                <w:sz w:val="22"/>
                <w:szCs w:val="22"/>
              </w:rPr>
            </w:pPr>
            <w:r>
              <w:rPr>
                <w:rFonts w:hint="eastAsia"/>
                <w:color w:val="000000"/>
                <w:sz w:val="22"/>
                <w:szCs w:val="22"/>
              </w:rPr>
              <w:t>270</w:t>
            </w:r>
          </w:p>
        </w:tc>
      </w:tr>
      <w:tr w14:paraId="4F53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6C0A4595">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1D9A2204">
            <w:pPr>
              <w:spacing w:before="100" w:beforeAutospacing="1" w:after="100" w:afterAutospacing="1" w:line="240" w:lineRule="atLeast"/>
              <w:jc w:val="center"/>
              <w:rPr>
                <w:rFonts w:eastAsia="楷体_GB2312"/>
                <w:kern w:val="0"/>
                <w:szCs w:val="21"/>
              </w:rPr>
            </w:pPr>
          </w:p>
        </w:tc>
        <w:tc>
          <w:tcPr>
            <w:tcW w:w="0" w:type="auto"/>
            <w:noWrap w:val="0"/>
            <w:vAlign w:val="center"/>
          </w:tcPr>
          <w:p w14:paraId="654931C8">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146CE154">
            <w:pPr>
              <w:spacing w:before="100" w:beforeAutospacing="1" w:after="100" w:afterAutospacing="1" w:line="240" w:lineRule="atLeast"/>
              <w:jc w:val="center"/>
              <w:rPr>
                <w:rFonts w:eastAsia="楷体_GB2312"/>
                <w:kern w:val="0"/>
                <w:szCs w:val="21"/>
              </w:rPr>
            </w:pPr>
            <w:r>
              <w:rPr>
                <w:rFonts w:eastAsia="楷体_GB2312"/>
                <w:kern w:val="0"/>
                <w:szCs w:val="21"/>
              </w:rPr>
              <w:t>9</w:t>
            </w:r>
          </w:p>
        </w:tc>
        <w:tc>
          <w:tcPr>
            <w:tcW w:w="0" w:type="auto"/>
            <w:noWrap w:val="0"/>
            <w:vAlign w:val="center"/>
          </w:tcPr>
          <w:p w14:paraId="78CCDA2D">
            <w:pPr>
              <w:jc w:val="center"/>
              <w:rPr>
                <w:rFonts w:ascii="宋体" w:hAnsi="宋体" w:cs="宋体"/>
                <w:color w:val="000000"/>
                <w:sz w:val="22"/>
                <w:szCs w:val="22"/>
              </w:rPr>
            </w:pPr>
            <w:r>
              <w:rPr>
                <w:rFonts w:hint="eastAsia"/>
                <w:color w:val="000000"/>
                <w:sz w:val="22"/>
                <w:szCs w:val="22"/>
              </w:rPr>
              <w:t>228</w:t>
            </w:r>
          </w:p>
        </w:tc>
      </w:tr>
      <w:tr w14:paraId="6C9DF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748C59BF">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7C8248F1">
            <w:pPr>
              <w:spacing w:before="100" w:beforeAutospacing="1" w:after="100" w:afterAutospacing="1" w:line="240" w:lineRule="atLeast"/>
              <w:jc w:val="center"/>
              <w:rPr>
                <w:rFonts w:eastAsia="楷体_GB2312"/>
                <w:kern w:val="0"/>
                <w:szCs w:val="21"/>
              </w:rPr>
            </w:pPr>
          </w:p>
        </w:tc>
        <w:tc>
          <w:tcPr>
            <w:tcW w:w="0" w:type="auto"/>
            <w:noWrap w:val="0"/>
            <w:vAlign w:val="center"/>
          </w:tcPr>
          <w:p w14:paraId="68E66503">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472C7994">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03DDCE64">
            <w:pPr>
              <w:jc w:val="center"/>
              <w:rPr>
                <w:rFonts w:ascii="宋体" w:hAnsi="宋体" w:cs="宋体"/>
                <w:color w:val="000000"/>
                <w:sz w:val="22"/>
                <w:szCs w:val="22"/>
              </w:rPr>
            </w:pPr>
            <w:r>
              <w:rPr>
                <w:rFonts w:hint="eastAsia"/>
                <w:color w:val="000000"/>
                <w:sz w:val="22"/>
                <w:szCs w:val="22"/>
              </w:rPr>
              <w:t>179</w:t>
            </w:r>
          </w:p>
        </w:tc>
      </w:tr>
      <w:tr w14:paraId="51DC9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646CA78A">
            <w:pPr>
              <w:spacing w:before="100" w:beforeAutospacing="1" w:after="100" w:afterAutospacing="1" w:line="240" w:lineRule="atLeast"/>
              <w:jc w:val="center"/>
              <w:rPr>
                <w:rFonts w:eastAsia="楷体_GB2312"/>
                <w:kern w:val="0"/>
                <w:szCs w:val="21"/>
              </w:rPr>
            </w:pPr>
            <w:r>
              <w:rPr>
                <w:rFonts w:eastAsia="楷体_GB2312"/>
                <w:kern w:val="0"/>
                <w:szCs w:val="21"/>
              </w:rPr>
              <w:t>21</w:t>
            </w:r>
          </w:p>
        </w:tc>
        <w:tc>
          <w:tcPr>
            <w:tcW w:w="0" w:type="auto"/>
            <w:vMerge w:val="restart"/>
            <w:noWrap w:val="0"/>
            <w:vAlign w:val="center"/>
          </w:tcPr>
          <w:p w14:paraId="0F4EF90C">
            <w:pPr>
              <w:spacing w:before="100" w:beforeAutospacing="1" w:after="100" w:afterAutospacing="1" w:line="240" w:lineRule="atLeast"/>
              <w:jc w:val="center"/>
              <w:rPr>
                <w:rFonts w:eastAsia="楷体_GB2312"/>
                <w:kern w:val="0"/>
                <w:szCs w:val="21"/>
              </w:rPr>
            </w:pPr>
            <w:r>
              <w:rPr>
                <w:rFonts w:eastAsia="楷体_GB2312"/>
                <w:kern w:val="0"/>
                <w:szCs w:val="21"/>
              </w:rPr>
              <w:t>灰古镇</w:t>
            </w:r>
          </w:p>
        </w:tc>
        <w:tc>
          <w:tcPr>
            <w:tcW w:w="0" w:type="auto"/>
            <w:noWrap w:val="0"/>
            <w:vAlign w:val="center"/>
          </w:tcPr>
          <w:p w14:paraId="49437FBB">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1E254AF0">
            <w:pPr>
              <w:spacing w:before="100" w:beforeAutospacing="1" w:after="100" w:afterAutospacing="1" w:line="240" w:lineRule="atLeast"/>
              <w:jc w:val="center"/>
              <w:rPr>
                <w:rFonts w:eastAsia="楷体_GB2312"/>
                <w:kern w:val="0"/>
                <w:szCs w:val="21"/>
              </w:rPr>
            </w:pPr>
            <w:r>
              <w:rPr>
                <w:rFonts w:eastAsia="楷体_GB2312"/>
                <w:kern w:val="0"/>
                <w:szCs w:val="21"/>
              </w:rPr>
              <w:t>18</w:t>
            </w:r>
          </w:p>
        </w:tc>
        <w:tc>
          <w:tcPr>
            <w:tcW w:w="0" w:type="auto"/>
            <w:noWrap w:val="0"/>
            <w:vAlign w:val="center"/>
          </w:tcPr>
          <w:p w14:paraId="7037988D">
            <w:pPr>
              <w:jc w:val="center"/>
              <w:rPr>
                <w:rFonts w:ascii="宋体" w:hAnsi="宋体" w:cs="宋体"/>
                <w:color w:val="000000"/>
                <w:sz w:val="22"/>
                <w:szCs w:val="22"/>
              </w:rPr>
            </w:pPr>
            <w:r>
              <w:rPr>
                <w:rFonts w:hint="eastAsia"/>
                <w:color w:val="000000"/>
                <w:sz w:val="22"/>
                <w:szCs w:val="22"/>
              </w:rPr>
              <w:t>276</w:t>
            </w:r>
          </w:p>
        </w:tc>
      </w:tr>
      <w:tr w14:paraId="4F86A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4412FE34">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28555431">
            <w:pPr>
              <w:spacing w:before="100" w:beforeAutospacing="1" w:after="100" w:afterAutospacing="1" w:line="240" w:lineRule="atLeast"/>
              <w:jc w:val="center"/>
              <w:rPr>
                <w:rFonts w:eastAsia="楷体_GB2312"/>
                <w:kern w:val="0"/>
                <w:szCs w:val="21"/>
              </w:rPr>
            </w:pPr>
          </w:p>
        </w:tc>
        <w:tc>
          <w:tcPr>
            <w:tcW w:w="0" w:type="auto"/>
            <w:noWrap w:val="0"/>
            <w:vAlign w:val="center"/>
          </w:tcPr>
          <w:p w14:paraId="7CBA88F5">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0ACF7B82">
            <w:pPr>
              <w:spacing w:before="100" w:beforeAutospacing="1" w:after="100" w:afterAutospacing="1" w:line="240" w:lineRule="atLeast"/>
              <w:jc w:val="center"/>
              <w:rPr>
                <w:rFonts w:eastAsia="楷体_GB2312"/>
                <w:kern w:val="0"/>
                <w:szCs w:val="21"/>
              </w:rPr>
            </w:pPr>
            <w:r>
              <w:rPr>
                <w:rFonts w:eastAsia="楷体_GB2312"/>
                <w:kern w:val="0"/>
                <w:szCs w:val="21"/>
              </w:rPr>
              <w:t>10</w:t>
            </w:r>
          </w:p>
        </w:tc>
        <w:tc>
          <w:tcPr>
            <w:tcW w:w="0" w:type="auto"/>
            <w:noWrap w:val="0"/>
            <w:vAlign w:val="center"/>
          </w:tcPr>
          <w:p w14:paraId="7766C679">
            <w:pPr>
              <w:jc w:val="center"/>
              <w:rPr>
                <w:rFonts w:ascii="宋体" w:hAnsi="宋体" w:cs="宋体"/>
                <w:color w:val="000000"/>
                <w:sz w:val="22"/>
                <w:szCs w:val="22"/>
              </w:rPr>
            </w:pPr>
            <w:r>
              <w:rPr>
                <w:rFonts w:hint="eastAsia"/>
                <w:color w:val="000000"/>
                <w:sz w:val="22"/>
                <w:szCs w:val="22"/>
              </w:rPr>
              <w:t>238</w:t>
            </w:r>
          </w:p>
        </w:tc>
      </w:tr>
      <w:tr w14:paraId="77C4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7F4342E">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DDB933D">
            <w:pPr>
              <w:spacing w:before="100" w:beforeAutospacing="1" w:after="100" w:afterAutospacing="1" w:line="240" w:lineRule="atLeast"/>
              <w:jc w:val="center"/>
              <w:rPr>
                <w:rFonts w:eastAsia="楷体_GB2312"/>
                <w:kern w:val="0"/>
                <w:szCs w:val="21"/>
              </w:rPr>
            </w:pPr>
          </w:p>
        </w:tc>
        <w:tc>
          <w:tcPr>
            <w:tcW w:w="0" w:type="auto"/>
            <w:noWrap w:val="0"/>
            <w:vAlign w:val="center"/>
          </w:tcPr>
          <w:p w14:paraId="0C7541E3">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1ED878DC">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2D5DD94E">
            <w:pPr>
              <w:jc w:val="center"/>
              <w:rPr>
                <w:rFonts w:ascii="宋体" w:hAnsi="宋体" w:cs="宋体"/>
                <w:color w:val="000000"/>
                <w:sz w:val="22"/>
                <w:szCs w:val="22"/>
              </w:rPr>
            </w:pPr>
            <w:r>
              <w:rPr>
                <w:rFonts w:hint="eastAsia"/>
                <w:color w:val="000000"/>
                <w:sz w:val="22"/>
                <w:szCs w:val="22"/>
              </w:rPr>
              <w:t>190</w:t>
            </w:r>
          </w:p>
        </w:tc>
      </w:tr>
      <w:tr w14:paraId="6A825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restart"/>
            <w:noWrap w:val="0"/>
            <w:vAlign w:val="center"/>
          </w:tcPr>
          <w:p w14:paraId="1EEF52F2">
            <w:pPr>
              <w:spacing w:before="100" w:beforeAutospacing="1" w:after="100" w:afterAutospacing="1" w:line="240" w:lineRule="atLeast"/>
              <w:jc w:val="center"/>
              <w:rPr>
                <w:rFonts w:eastAsia="楷体_GB2312"/>
                <w:kern w:val="0"/>
                <w:szCs w:val="21"/>
              </w:rPr>
            </w:pPr>
            <w:r>
              <w:rPr>
                <w:rFonts w:eastAsia="楷体_GB2312"/>
                <w:kern w:val="0"/>
                <w:szCs w:val="21"/>
              </w:rPr>
              <w:t>22</w:t>
            </w:r>
          </w:p>
        </w:tc>
        <w:tc>
          <w:tcPr>
            <w:tcW w:w="0" w:type="auto"/>
            <w:vMerge w:val="restart"/>
            <w:noWrap w:val="0"/>
            <w:vAlign w:val="center"/>
          </w:tcPr>
          <w:p w14:paraId="522D1AE9">
            <w:pPr>
              <w:spacing w:before="100" w:beforeAutospacing="1" w:after="100" w:afterAutospacing="1" w:line="240" w:lineRule="atLeast"/>
              <w:jc w:val="center"/>
              <w:rPr>
                <w:rFonts w:eastAsia="楷体_GB2312"/>
                <w:kern w:val="0"/>
                <w:szCs w:val="21"/>
              </w:rPr>
            </w:pPr>
            <w:r>
              <w:rPr>
                <w:rFonts w:eastAsia="楷体_GB2312"/>
                <w:kern w:val="0"/>
                <w:szCs w:val="21"/>
              </w:rPr>
              <w:t>桃沟乡</w:t>
            </w:r>
          </w:p>
        </w:tc>
        <w:tc>
          <w:tcPr>
            <w:tcW w:w="0" w:type="auto"/>
            <w:noWrap w:val="0"/>
            <w:vAlign w:val="center"/>
          </w:tcPr>
          <w:p w14:paraId="6E0D8BA8">
            <w:pPr>
              <w:spacing w:before="100" w:beforeAutospacing="1" w:after="100" w:afterAutospacing="1" w:line="240" w:lineRule="atLeast"/>
              <w:jc w:val="center"/>
              <w:rPr>
                <w:rFonts w:eastAsia="楷体_GB2312"/>
                <w:kern w:val="0"/>
                <w:szCs w:val="21"/>
              </w:rPr>
            </w:pPr>
            <w:r>
              <w:rPr>
                <w:rFonts w:eastAsia="楷体_GB2312"/>
                <w:kern w:val="0"/>
                <w:szCs w:val="21"/>
              </w:rPr>
              <w:t>1</w:t>
            </w:r>
          </w:p>
        </w:tc>
        <w:tc>
          <w:tcPr>
            <w:tcW w:w="0" w:type="auto"/>
            <w:noWrap w:val="0"/>
            <w:vAlign w:val="center"/>
          </w:tcPr>
          <w:p w14:paraId="73DD0A1E">
            <w:pPr>
              <w:spacing w:before="100" w:beforeAutospacing="1" w:after="100" w:afterAutospacing="1" w:line="240" w:lineRule="atLeast"/>
              <w:jc w:val="center"/>
              <w:rPr>
                <w:rFonts w:eastAsia="楷体_GB2312"/>
                <w:kern w:val="0"/>
                <w:szCs w:val="21"/>
              </w:rPr>
            </w:pPr>
            <w:r>
              <w:rPr>
                <w:rFonts w:eastAsia="楷体_GB2312"/>
                <w:kern w:val="0"/>
                <w:szCs w:val="21"/>
              </w:rPr>
              <w:t>20</w:t>
            </w:r>
          </w:p>
        </w:tc>
        <w:tc>
          <w:tcPr>
            <w:tcW w:w="0" w:type="auto"/>
            <w:noWrap w:val="0"/>
            <w:vAlign w:val="center"/>
          </w:tcPr>
          <w:p w14:paraId="383703F1">
            <w:pPr>
              <w:jc w:val="center"/>
              <w:rPr>
                <w:rFonts w:ascii="宋体" w:hAnsi="宋体" w:cs="宋体"/>
                <w:color w:val="000000"/>
                <w:sz w:val="22"/>
                <w:szCs w:val="22"/>
              </w:rPr>
            </w:pPr>
            <w:r>
              <w:rPr>
                <w:rFonts w:hint="eastAsia"/>
                <w:color w:val="000000"/>
                <w:sz w:val="22"/>
                <w:szCs w:val="22"/>
              </w:rPr>
              <w:t>265</w:t>
            </w:r>
          </w:p>
        </w:tc>
      </w:tr>
      <w:tr w14:paraId="1B9A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91B5126">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5C05FF26">
            <w:pPr>
              <w:spacing w:before="100" w:beforeAutospacing="1" w:after="100" w:afterAutospacing="1" w:line="240" w:lineRule="atLeast"/>
              <w:jc w:val="center"/>
              <w:rPr>
                <w:rFonts w:eastAsia="楷体_GB2312"/>
                <w:kern w:val="0"/>
                <w:szCs w:val="21"/>
              </w:rPr>
            </w:pPr>
          </w:p>
        </w:tc>
        <w:tc>
          <w:tcPr>
            <w:tcW w:w="0" w:type="auto"/>
            <w:noWrap w:val="0"/>
            <w:vAlign w:val="center"/>
          </w:tcPr>
          <w:p w14:paraId="2671C658">
            <w:pPr>
              <w:spacing w:before="100" w:beforeAutospacing="1" w:after="100" w:afterAutospacing="1" w:line="240" w:lineRule="atLeast"/>
              <w:jc w:val="center"/>
              <w:rPr>
                <w:rFonts w:eastAsia="楷体_GB2312"/>
                <w:kern w:val="0"/>
                <w:szCs w:val="21"/>
              </w:rPr>
            </w:pPr>
            <w:r>
              <w:rPr>
                <w:rFonts w:eastAsia="楷体_GB2312"/>
                <w:kern w:val="0"/>
                <w:szCs w:val="21"/>
              </w:rPr>
              <w:t>2</w:t>
            </w:r>
          </w:p>
        </w:tc>
        <w:tc>
          <w:tcPr>
            <w:tcW w:w="0" w:type="auto"/>
            <w:noWrap w:val="0"/>
            <w:vAlign w:val="center"/>
          </w:tcPr>
          <w:p w14:paraId="3237E521">
            <w:pPr>
              <w:spacing w:before="100" w:beforeAutospacing="1" w:after="100" w:afterAutospacing="1" w:line="240" w:lineRule="atLeast"/>
              <w:jc w:val="center"/>
              <w:rPr>
                <w:rFonts w:eastAsia="楷体_GB2312"/>
                <w:kern w:val="0"/>
                <w:szCs w:val="21"/>
              </w:rPr>
            </w:pPr>
            <w:r>
              <w:rPr>
                <w:rFonts w:eastAsia="楷体_GB2312"/>
                <w:kern w:val="0"/>
                <w:szCs w:val="21"/>
              </w:rPr>
              <w:t>5</w:t>
            </w:r>
          </w:p>
        </w:tc>
        <w:tc>
          <w:tcPr>
            <w:tcW w:w="0" w:type="auto"/>
            <w:noWrap w:val="0"/>
            <w:vAlign w:val="center"/>
          </w:tcPr>
          <w:p w14:paraId="564B5984">
            <w:pPr>
              <w:jc w:val="center"/>
              <w:rPr>
                <w:rFonts w:ascii="宋体" w:hAnsi="宋体" w:cs="宋体"/>
                <w:color w:val="000000"/>
                <w:sz w:val="22"/>
                <w:szCs w:val="22"/>
              </w:rPr>
            </w:pPr>
            <w:r>
              <w:rPr>
                <w:rFonts w:hint="eastAsia"/>
                <w:color w:val="000000"/>
                <w:sz w:val="22"/>
                <w:szCs w:val="22"/>
              </w:rPr>
              <w:t>233</w:t>
            </w:r>
          </w:p>
        </w:tc>
      </w:tr>
      <w:tr w14:paraId="0AE8C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0" w:type="auto"/>
            <w:vMerge w:val="continue"/>
            <w:noWrap w:val="0"/>
            <w:vAlign w:val="center"/>
          </w:tcPr>
          <w:p w14:paraId="1BFC3591">
            <w:pPr>
              <w:spacing w:before="100" w:beforeAutospacing="1" w:after="100" w:afterAutospacing="1" w:line="240" w:lineRule="atLeast"/>
              <w:jc w:val="center"/>
              <w:rPr>
                <w:rFonts w:eastAsia="楷体_GB2312"/>
                <w:kern w:val="0"/>
                <w:szCs w:val="21"/>
              </w:rPr>
            </w:pPr>
          </w:p>
        </w:tc>
        <w:tc>
          <w:tcPr>
            <w:tcW w:w="0" w:type="auto"/>
            <w:vMerge w:val="continue"/>
            <w:noWrap w:val="0"/>
            <w:vAlign w:val="center"/>
          </w:tcPr>
          <w:p w14:paraId="0FA8DC03">
            <w:pPr>
              <w:spacing w:before="100" w:beforeAutospacing="1" w:after="100" w:afterAutospacing="1" w:line="240" w:lineRule="atLeast"/>
              <w:jc w:val="center"/>
              <w:rPr>
                <w:rFonts w:eastAsia="楷体_GB2312"/>
                <w:kern w:val="0"/>
                <w:szCs w:val="21"/>
              </w:rPr>
            </w:pPr>
          </w:p>
        </w:tc>
        <w:tc>
          <w:tcPr>
            <w:tcW w:w="0" w:type="auto"/>
            <w:noWrap w:val="0"/>
            <w:vAlign w:val="center"/>
          </w:tcPr>
          <w:p w14:paraId="4A16422B">
            <w:pPr>
              <w:spacing w:before="100" w:beforeAutospacing="1" w:after="100" w:afterAutospacing="1" w:line="240" w:lineRule="atLeast"/>
              <w:jc w:val="center"/>
              <w:rPr>
                <w:rFonts w:eastAsia="楷体_GB2312"/>
                <w:kern w:val="0"/>
                <w:szCs w:val="21"/>
              </w:rPr>
            </w:pPr>
            <w:r>
              <w:rPr>
                <w:rFonts w:eastAsia="楷体_GB2312"/>
                <w:kern w:val="0"/>
                <w:szCs w:val="21"/>
              </w:rPr>
              <w:t>3</w:t>
            </w:r>
          </w:p>
        </w:tc>
        <w:tc>
          <w:tcPr>
            <w:tcW w:w="0" w:type="auto"/>
            <w:noWrap w:val="0"/>
            <w:vAlign w:val="center"/>
          </w:tcPr>
          <w:p w14:paraId="686BB08C">
            <w:pPr>
              <w:spacing w:before="100" w:beforeAutospacing="1" w:after="100" w:afterAutospacing="1" w:line="240" w:lineRule="atLeast"/>
              <w:jc w:val="center"/>
              <w:rPr>
                <w:rFonts w:eastAsia="楷体_GB2312"/>
                <w:kern w:val="0"/>
                <w:szCs w:val="21"/>
              </w:rPr>
            </w:pPr>
            <w:r>
              <w:rPr>
                <w:rFonts w:eastAsia="楷体_GB2312"/>
                <w:kern w:val="0"/>
                <w:szCs w:val="21"/>
              </w:rPr>
              <w:t>5</w:t>
            </w:r>
          </w:p>
        </w:tc>
        <w:tc>
          <w:tcPr>
            <w:tcW w:w="0" w:type="auto"/>
            <w:noWrap w:val="0"/>
            <w:vAlign w:val="center"/>
          </w:tcPr>
          <w:p w14:paraId="092163A8">
            <w:pPr>
              <w:jc w:val="center"/>
              <w:rPr>
                <w:rFonts w:ascii="宋体" w:hAnsi="宋体" w:cs="宋体"/>
                <w:color w:val="000000"/>
                <w:sz w:val="22"/>
                <w:szCs w:val="22"/>
              </w:rPr>
            </w:pPr>
            <w:r>
              <w:rPr>
                <w:rFonts w:hint="eastAsia"/>
                <w:color w:val="000000"/>
                <w:sz w:val="22"/>
                <w:szCs w:val="22"/>
              </w:rPr>
              <w:t>190</w:t>
            </w:r>
          </w:p>
        </w:tc>
      </w:tr>
    </w:tbl>
    <w:p w14:paraId="2C6C033B">
      <w:pPr>
        <w:widowControl w:val="0"/>
        <w:spacing w:line="480" w:lineRule="exact"/>
        <w:ind w:firstLine="562" w:firstLineChars="200"/>
        <w:jc w:val="both"/>
        <w:rPr>
          <w:rFonts w:eastAsia="楷体_GB2312"/>
          <w:b/>
          <w:sz w:val="28"/>
          <w:szCs w:val="21"/>
        </w:rPr>
      </w:pPr>
      <w:r>
        <w:rPr>
          <w:rFonts w:eastAsia="楷体_GB2312"/>
          <w:b/>
          <w:sz w:val="28"/>
          <w:szCs w:val="21"/>
        </w:rPr>
        <w:t>5、公共管理与公共服务用地各类用地用途修正系数的确定</w:t>
      </w:r>
    </w:p>
    <w:p w14:paraId="4E54336F">
      <w:pPr>
        <w:widowControl w:val="0"/>
        <w:spacing w:line="480" w:lineRule="exact"/>
        <w:ind w:firstLine="560" w:firstLineChars="200"/>
        <w:jc w:val="both"/>
        <w:rPr>
          <w:rFonts w:eastAsia="楷体_GB2312"/>
          <w:sz w:val="28"/>
          <w:szCs w:val="21"/>
        </w:rPr>
      </w:pPr>
      <w:r>
        <w:rPr>
          <w:rFonts w:eastAsia="楷体_GB2312"/>
          <w:sz w:val="28"/>
          <w:szCs w:val="21"/>
        </w:rPr>
        <w:t>本次通过比较法确定公共管理与公共服务用地各类用地用途修正系数，根据比较法中的替代原理，将</w:t>
      </w:r>
      <w:r>
        <w:rPr>
          <w:rFonts w:hint="eastAsia" w:eastAsia="楷体_GB2312"/>
          <w:sz w:val="28"/>
          <w:szCs w:val="21"/>
        </w:rPr>
        <w:t>医疗卫生</w:t>
      </w:r>
      <w:r>
        <w:rPr>
          <w:rFonts w:eastAsia="楷体_GB2312"/>
          <w:sz w:val="28"/>
          <w:szCs w:val="21"/>
        </w:rPr>
        <w:t>用地与其他公共管理与公共服务用地比较，并对影响公共管理与公共服务用地的因素进行修正，以此估算公共管理与公共服务用地各类用地用途修正系数的方法。</w:t>
      </w:r>
    </w:p>
    <w:p w14:paraId="38F798B7">
      <w:pPr>
        <w:spacing w:line="480" w:lineRule="exact"/>
        <w:ind w:firstLine="560" w:firstLineChars="200"/>
        <w:rPr>
          <w:rFonts w:eastAsia="楷体_GB2312"/>
          <w:sz w:val="28"/>
          <w:szCs w:val="21"/>
        </w:rPr>
      </w:pPr>
      <w:r>
        <w:rPr>
          <w:rFonts w:eastAsia="楷体_GB2312"/>
          <w:sz w:val="28"/>
          <w:szCs w:val="21"/>
        </w:rPr>
        <w:t>（1）比较因素的选择</w:t>
      </w:r>
    </w:p>
    <w:p w14:paraId="018B33F3">
      <w:pPr>
        <w:spacing w:line="480" w:lineRule="exact"/>
        <w:ind w:firstLine="560" w:firstLineChars="200"/>
        <w:rPr>
          <w:rFonts w:eastAsia="楷体_GB2312"/>
          <w:sz w:val="28"/>
          <w:szCs w:val="21"/>
        </w:rPr>
      </w:pPr>
      <w:r>
        <w:rPr>
          <w:rFonts w:eastAsia="楷体_GB2312"/>
          <w:sz w:val="28"/>
          <w:szCs w:val="21"/>
        </w:rPr>
        <w:t>根据影响公共管理与公共服务用地的影响条件，确定影响因素有：受商服繁华影响程度、受交通便捷影响程度、受基础设施影响程度、受环境条件影响程度、受自然条件影响程度、受城市规划影响程度、受人口集聚影响程度、受产业集聚影响程度、其他因素影响程度等。</w:t>
      </w:r>
    </w:p>
    <w:p w14:paraId="493CD9BB">
      <w:pPr>
        <w:spacing w:line="480" w:lineRule="exact"/>
        <w:ind w:firstLine="560" w:firstLineChars="200"/>
        <w:rPr>
          <w:rFonts w:eastAsia="楷体_GB2312"/>
          <w:sz w:val="28"/>
          <w:szCs w:val="21"/>
        </w:rPr>
      </w:pPr>
      <w:r>
        <w:rPr>
          <w:rFonts w:eastAsia="楷体_GB2312"/>
          <w:sz w:val="28"/>
          <w:szCs w:val="21"/>
        </w:rPr>
        <w:t>（2）比较因素条件说明</w:t>
      </w:r>
    </w:p>
    <w:p w14:paraId="5269AF97">
      <w:pPr>
        <w:widowControl w:val="0"/>
        <w:spacing w:line="480" w:lineRule="exact"/>
        <w:ind w:firstLine="560" w:firstLineChars="200"/>
        <w:jc w:val="both"/>
        <w:rPr>
          <w:rFonts w:eastAsia="楷体_GB2312"/>
          <w:sz w:val="28"/>
          <w:szCs w:val="21"/>
        </w:rPr>
      </w:pPr>
      <w:r>
        <w:rPr>
          <w:rFonts w:hint="eastAsia" w:eastAsia="楷体_GB2312"/>
          <w:sz w:val="28"/>
          <w:szCs w:val="21"/>
        </w:rPr>
        <w:t>医疗卫生</w:t>
      </w:r>
      <w:r>
        <w:rPr>
          <w:rFonts w:eastAsia="楷体_GB2312"/>
          <w:sz w:val="28"/>
          <w:szCs w:val="21"/>
        </w:rPr>
        <w:t>用地与其他公共管理与公共服务用地的比较因素条件详述见表2-6-5。</w:t>
      </w:r>
    </w:p>
    <w:p w14:paraId="7B9AF9A3">
      <w:pPr>
        <w:spacing w:line="480" w:lineRule="exact"/>
        <w:jc w:val="center"/>
        <w:rPr>
          <w:rFonts w:eastAsia="黑体"/>
          <w:sz w:val="28"/>
          <w:szCs w:val="21"/>
        </w:rPr>
      </w:pPr>
      <w:r>
        <w:rPr>
          <w:rFonts w:eastAsia="黑体"/>
          <w:sz w:val="28"/>
          <w:szCs w:val="21"/>
        </w:rPr>
        <w:t>表2-6-5   比较因素条件说明表</w:t>
      </w:r>
    </w:p>
    <w:tbl>
      <w:tblPr>
        <w:tblStyle w:val="38"/>
        <w:tblW w:w="907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1476"/>
        <w:gridCol w:w="950"/>
        <w:gridCol w:w="949"/>
        <w:gridCol w:w="949"/>
        <w:gridCol w:w="949"/>
        <w:gridCol w:w="951"/>
        <w:gridCol w:w="949"/>
        <w:gridCol w:w="949"/>
        <w:gridCol w:w="949"/>
      </w:tblGrid>
      <w:tr w14:paraId="4CCEE2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710D391F">
            <w:pPr>
              <w:spacing w:line="300" w:lineRule="exact"/>
              <w:jc w:val="center"/>
              <w:rPr>
                <w:rFonts w:eastAsia="楷体_GB2312"/>
                <w:szCs w:val="21"/>
              </w:rPr>
            </w:pPr>
            <w:r>
              <w:rPr>
                <w:rFonts w:eastAsia="楷体_GB2312"/>
                <w:szCs w:val="21"/>
              </w:rPr>
              <w:t xml:space="preserve">   土地用途</w:t>
            </w:r>
          </w:p>
          <w:p w14:paraId="350D52AC">
            <w:pPr>
              <w:spacing w:line="300" w:lineRule="exact"/>
              <w:rPr>
                <w:rFonts w:eastAsia="楷体_GB2312"/>
                <w:szCs w:val="21"/>
              </w:rPr>
            </w:pPr>
            <w:r>
              <w:rPr>
                <w:rFonts w:eastAsia="楷体_GB2312"/>
                <w:szCs w:val="21"/>
              </w:rPr>
              <w:t>比较因素</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7D3A8871">
            <w:pPr>
              <w:spacing w:line="300" w:lineRule="exact"/>
              <w:jc w:val="center"/>
              <w:rPr>
                <w:rFonts w:eastAsia="楷体_GB2312"/>
                <w:szCs w:val="21"/>
              </w:rPr>
            </w:pPr>
            <w:r>
              <w:rPr>
                <w:rFonts w:eastAsia="楷体_GB2312"/>
                <w:szCs w:val="21"/>
              </w:rPr>
              <w:t>新闻出版用地</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409AFEF">
            <w:pPr>
              <w:spacing w:line="300" w:lineRule="exact"/>
              <w:jc w:val="center"/>
              <w:rPr>
                <w:rFonts w:eastAsia="楷体_GB2312"/>
                <w:szCs w:val="21"/>
              </w:rPr>
            </w:pPr>
            <w:r>
              <w:rPr>
                <w:rFonts w:eastAsia="楷体_GB2312"/>
                <w:szCs w:val="21"/>
              </w:rPr>
              <w:t>医疗卫生用地</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469E2FBF">
            <w:pPr>
              <w:spacing w:line="300" w:lineRule="exact"/>
              <w:jc w:val="center"/>
              <w:rPr>
                <w:rFonts w:eastAsia="楷体_GB2312"/>
                <w:szCs w:val="21"/>
              </w:rPr>
            </w:pPr>
            <w:r>
              <w:rPr>
                <w:rFonts w:eastAsia="楷体_GB2312"/>
                <w:szCs w:val="21"/>
              </w:rPr>
              <w:t>文化设施用地</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82862E6">
            <w:pPr>
              <w:spacing w:line="300" w:lineRule="exact"/>
              <w:jc w:val="center"/>
              <w:rPr>
                <w:rFonts w:eastAsia="楷体_GB2312"/>
                <w:szCs w:val="21"/>
              </w:rPr>
            </w:pPr>
            <w:r>
              <w:rPr>
                <w:rFonts w:eastAsia="楷体_GB2312"/>
                <w:szCs w:val="21"/>
              </w:rPr>
              <w:t>体育用</w:t>
            </w:r>
            <w:r>
              <w:rPr>
                <w:rFonts w:hint="eastAsia" w:eastAsia="楷体_GB2312"/>
                <w:szCs w:val="21"/>
              </w:rPr>
              <w:t>地</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6BA1D2F7">
            <w:pPr>
              <w:spacing w:line="300" w:lineRule="exact"/>
              <w:jc w:val="center"/>
              <w:rPr>
                <w:rFonts w:eastAsia="楷体_GB2312"/>
                <w:szCs w:val="21"/>
              </w:rPr>
            </w:pPr>
            <w:r>
              <w:rPr>
                <w:rFonts w:eastAsia="楷体_GB2312"/>
                <w:szCs w:val="21"/>
              </w:rPr>
              <w:t>教育用地</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7FCA68B">
            <w:pPr>
              <w:spacing w:line="300" w:lineRule="exact"/>
              <w:jc w:val="center"/>
              <w:rPr>
                <w:rFonts w:eastAsia="楷体_GB2312"/>
                <w:szCs w:val="21"/>
              </w:rPr>
            </w:pPr>
            <w:r>
              <w:rPr>
                <w:rFonts w:eastAsia="楷体_GB2312"/>
                <w:szCs w:val="21"/>
              </w:rPr>
              <w:t>科研用地</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B5F3E1E">
            <w:pPr>
              <w:spacing w:line="300" w:lineRule="exact"/>
              <w:jc w:val="center"/>
              <w:rPr>
                <w:rFonts w:eastAsia="楷体_GB2312"/>
                <w:szCs w:val="21"/>
              </w:rPr>
            </w:pPr>
            <w:r>
              <w:rPr>
                <w:rFonts w:eastAsia="楷体_GB2312"/>
                <w:szCs w:val="21"/>
              </w:rPr>
              <w:t>社会福利用地</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47447E8">
            <w:pPr>
              <w:spacing w:line="300" w:lineRule="exact"/>
              <w:jc w:val="center"/>
              <w:rPr>
                <w:rFonts w:eastAsia="楷体_GB2312"/>
                <w:szCs w:val="21"/>
              </w:rPr>
            </w:pPr>
            <w:r>
              <w:rPr>
                <w:rFonts w:eastAsia="楷体_GB2312"/>
                <w:szCs w:val="21"/>
              </w:rPr>
              <w:t>公用设施用地</w:t>
            </w:r>
          </w:p>
        </w:tc>
      </w:tr>
      <w:tr w14:paraId="666B69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2B318182">
            <w:pPr>
              <w:spacing w:line="300" w:lineRule="exact"/>
              <w:jc w:val="center"/>
              <w:rPr>
                <w:rFonts w:eastAsia="楷体_GB2312"/>
                <w:szCs w:val="21"/>
              </w:rPr>
            </w:pPr>
            <w:r>
              <w:rPr>
                <w:rFonts w:eastAsia="楷体_GB2312"/>
                <w:szCs w:val="21"/>
              </w:rPr>
              <w:t>受商服繁华影响程度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0C22782E">
            <w:pPr>
              <w:jc w:val="center"/>
              <w:rPr>
                <w:rFonts w:ascii="楷体_GB2312" w:hAnsi="宋体" w:eastAsia="楷体_GB2312" w:cs="宋体"/>
                <w:color w:val="000000"/>
                <w:szCs w:val="21"/>
              </w:rPr>
            </w:pPr>
            <w:r>
              <w:rPr>
                <w:rFonts w:hint="eastAsia" w:ascii="楷体_GB2312" w:eastAsia="楷体_GB2312"/>
                <w:color w:val="000000"/>
                <w:szCs w:val="21"/>
              </w:rPr>
              <w:t>较高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59C5DB2">
            <w:pPr>
              <w:jc w:val="center"/>
              <w:rPr>
                <w:rFonts w:ascii="楷体_GB2312" w:hAnsi="宋体" w:eastAsia="楷体_GB2312" w:cs="宋体"/>
                <w:color w:val="000000"/>
                <w:szCs w:val="21"/>
              </w:rPr>
            </w:pPr>
            <w:r>
              <w:rPr>
                <w:rFonts w:hint="eastAsia" w:ascii="楷体_GB2312" w:eastAsia="楷体_GB2312"/>
                <w:color w:val="000000"/>
                <w:szCs w:val="21"/>
              </w:rPr>
              <w:t>较高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ECD2DF4">
            <w:pPr>
              <w:spacing w:line="300" w:lineRule="exact"/>
              <w:jc w:val="center"/>
              <w:rPr>
                <w:rFonts w:eastAsia="楷体_GB2312"/>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398FC05">
            <w:pPr>
              <w:spacing w:line="300" w:lineRule="exact"/>
              <w:jc w:val="center"/>
              <w:rPr>
                <w:rFonts w:eastAsia="楷体_GB2312"/>
                <w:szCs w:val="21"/>
              </w:rPr>
            </w:pPr>
            <w:r>
              <w:rPr>
                <w:rFonts w:hint="eastAsia" w:ascii="楷体_GB2312" w:eastAsia="楷体_GB2312"/>
                <w:color w:val="000000"/>
                <w:szCs w:val="21"/>
              </w:rPr>
              <w:t>一般</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27517ED3">
            <w:pPr>
              <w:spacing w:line="300" w:lineRule="exact"/>
              <w:jc w:val="center"/>
              <w:rPr>
                <w:rFonts w:eastAsia="楷体_GB2312"/>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68431D8">
            <w:pPr>
              <w:spacing w:line="300" w:lineRule="exact"/>
              <w:jc w:val="center"/>
              <w:rPr>
                <w:rFonts w:eastAsia="楷体_GB2312"/>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47DD0952">
            <w:pPr>
              <w:spacing w:line="300" w:lineRule="exact"/>
              <w:jc w:val="center"/>
              <w:rPr>
                <w:rFonts w:eastAsia="楷体_GB2312"/>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30B88C89">
            <w:pPr>
              <w:spacing w:line="300" w:lineRule="exact"/>
              <w:jc w:val="center"/>
              <w:rPr>
                <w:rFonts w:eastAsia="楷体_GB2312"/>
                <w:szCs w:val="21"/>
              </w:rPr>
            </w:pPr>
            <w:r>
              <w:rPr>
                <w:rFonts w:hint="eastAsia" w:ascii="楷体_GB2312" w:eastAsia="楷体_GB2312"/>
                <w:color w:val="000000"/>
                <w:szCs w:val="21"/>
              </w:rPr>
              <w:t>一般</w:t>
            </w:r>
          </w:p>
        </w:tc>
      </w:tr>
      <w:tr w14:paraId="15E15E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3615A00D">
            <w:pPr>
              <w:spacing w:line="300" w:lineRule="exact"/>
              <w:jc w:val="center"/>
              <w:rPr>
                <w:rFonts w:eastAsia="楷体_GB2312"/>
                <w:szCs w:val="21"/>
              </w:rPr>
            </w:pPr>
            <w:r>
              <w:rPr>
                <w:rFonts w:eastAsia="楷体_GB2312"/>
                <w:szCs w:val="21"/>
              </w:rPr>
              <w:t>受交通便捷影响程度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07DD3FA7">
            <w:pPr>
              <w:jc w:val="center"/>
              <w:rPr>
                <w:rFonts w:ascii="楷体_GB2312" w:hAnsi="宋体" w:eastAsia="楷体_GB2312" w:cs="宋体"/>
                <w:color w:val="000000"/>
                <w:szCs w:val="21"/>
              </w:rPr>
            </w:pPr>
            <w:r>
              <w:rPr>
                <w:rFonts w:hint="eastAsia" w:ascii="楷体_GB2312" w:eastAsia="楷体_GB2312"/>
                <w:color w:val="000000"/>
                <w:szCs w:val="21"/>
              </w:rPr>
              <w:t>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550885C4">
            <w:pPr>
              <w:jc w:val="center"/>
              <w:rPr>
                <w:rFonts w:ascii="楷体_GB2312" w:hAnsi="宋体" w:eastAsia="楷体_GB2312" w:cs="宋体"/>
                <w:color w:val="000000"/>
                <w:szCs w:val="21"/>
              </w:rPr>
            </w:pPr>
            <w:r>
              <w:rPr>
                <w:rFonts w:hint="eastAsia" w:ascii="楷体_GB2312" w:eastAsia="楷体_GB2312"/>
                <w:color w:val="000000"/>
                <w:szCs w:val="21"/>
              </w:rPr>
              <w:t>较高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7214B034">
            <w:pPr>
              <w:jc w:val="center"/>
              <w:rPr>
                <w:rFonts w:ascii="楷体_GB2312" w:hAnsi="宋体" w:eastAsia="楷体_GB2312" w:cs="宋体"/>
                <w:color w:val="000000"/>
                <w:szCs w:val="21"/>
              </w:rPr>
            </w:pPr>
            <w:r>
              <w:rPr>
                <w:rFonts w:hint="eastAsia" w:ascii="楷体_GB2312" w:eastAsia="楷体_GB2312"/>
                <w:color w:val="000000"/>
                <w:szCs w:val="21"/>
              </w:rPr>
              <w:t>较高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7DE3E0A7">
            <w:pPr>
              <w:jc w:val="center"/>
              <w:rPr>
                <w:rFonts w:ascii="楷体_GB2312" w:hAnsi="宋体" w:eastAsia="楷体_GB2312" w:cs="宋体"/>
                <w:color w:val="000000"/>
                <w:szCs w:val="21"/>
              </w:rPr>
            </w:pPr>
            <w:r>
              <w:rPr>
                <w:rFonts w:hint="eastAsia" w:ascii="楷体_GB2312" w:eastAsia="楷体_GB2312"/>
                <w:color w:val="000000"/>
                <w:szCs w:val="21"/>
              </w:rPr>
              <w:t>较高</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52F74D21">
            <w:pPr>
              <w:spacing w:line="300" w:lineRule="exact"/>
              <w:jc w:val="center"/>
              <w:rPr>
                <w:rFonts w:eastAsia="楷体_GB2312"/>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5937BE51">
            <w:pPr>
              <w:spacing w:line="300" w:lineRule="exact"/>
              <w:jc w:val="center"/>
              <w:rPr>
                <w:rFonts w:eastAsia="楷体_GB2312"/>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33BB07D">
            <w:pPr>
              <w:spacing w:line="300" w:lineRule="exact"/>
              <w:jc w:val="center"/>
              <w:rPr>
                <w:rFonts w:eastAsia="楷体_GB2312"/>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FF68498">
            <w:pPr>
              <w:jc w:val="center"/>
              <w:rPr>
                <w:rFonts w:ascii="楷体_GB2312" w:hAnsi="宋体" w:eastAsia="楷体_GB2312" w:cs="宋体"/>
                <w:color w:val="000000"/>
                <w:szCs w:val="21"/>
              </w:rPr>
            </w:pPr>
            <w:r>
              <w:rPr>
                <w:rFonts w:hint="eastAsia" w:ascii="楷体_GB2312" w:eastAsia="楷体_GB2312"/>
                <w:color w:val="000000"/>
                <w:szCs w:val="21"/>
              </w:rPr>
              <w:t>一般</w:t>
            </w:r>
          </w:p>
        </w:tc>
      </w:tr>
      <w:tr w14:paraId="2FCBBB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3B9C2BB8">
            <w:pPr>
              <w:spacing w:line="300" w:lineRule="exact"/>
              <w:jc w:val="center"/>
              <w:rPr>
                <w:rFonts w:eastAsia="楷体_GB2312"/>
                <w:szCs w:val="21"/>
              </w:rPr>
            </w:pPr>
            <w:r>
              <w:rPr>
                <w:rFonts w:eastAsia="楷体_GB2312"/>
                <w:szCs w:val="21"/>
              </w:rPr>
              <w:t>受基础设施影响程度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611023B1">
            <w:pPr>
              <w:jc w:val="center"/>
              <w:rPr>
                <w:rFonts w:ascii="楷体_GB2312" w:hAnsi="宋体" w:eastAsia="楷体_GB2312" w:cs="宋体"/>
                <w:color w:val="000000"/>
                <w:szCs w:val="21"/>
              </w:rPr>
            </w:pPr>
            <w:r>
              <w:rPr>
                <w:rFonts w:hint="eastAsia" w:ascii="楷体_GB2312" w:eastAsia="楷体_GB2312"/>
                <w:color w:val="000000"/>
                <w:szCs w:val="21"/>
              </w:rPr>
              <w:t>较高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5C322098">
            <w:pPr>
              <w:jc w:val="center"/>
              <w:rPr>
                <w:rFonts w:ascii="楷体_GB2312" w:hAnsi="宋体" w:eastAsia="楷体_GB2312" w:cs="宋体"/>
                <w:color w:val="000000"/>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364CB4E6">
            <w:pPr>
              <w:jc w:val="center"/>
              <w:rPr>
                <w:rFonts w:ascii="楷体_GB2312" w:hAnsi="宋体" w:eastAsia="楷体_GB2312" w:cs="宋体"/>
                <w:color w:val="000000"/>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46F4F3D8">
            <w:pPr>
              <w:jc w:val="center"/>
              <w:rPr>
                <w:rFonts w:ascii="楷体_GB2312" w:hAnsi="宋体" w:eastAsia="楷体_GB2312" w:cs="宋体"/>
                <w:color w:val="000000"/>
                <w:szCs w:val="21"/>
              </w:rPr>
            </w:pPr>
            <w:r>
              <w:rPr>
                <w:rFonts w:hint="eastAsia" w:ascii="楷体_GB2312" w:eastAsia="楷体_GB2312"/>
                <w:color w:val="000000"/>
                <w:szCs w:val="21"/>
              </w:rPr>
              <w:t>一般</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02F09137">
            <w:pPr>
              <w:jc w:val="center"/>
              <w:rPr>
                <w:rFonts w:ascii="楷体_GB2312" w:hAnsi="宋体" w:eastAsia="楷体_GB2312" w:cs="宋体"/>
                <w:color w:val="000000"/>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AE6517D">
            <w:pPr>
              <w:jc w:val="center"/>
              <w:rPr>
                <w:rFonts w:ascii="楷体_GB2312" w:hAnsi="宋体" w:eastAsia="楷体_GB2312" w:cs="宋体"/>
                <w:color w:val="000000"/>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4F69E394">
            <w:pPr>
              <w:jc w:val="center"/>
              <w:rPr>
                <w:rFonts w:ascii="楷体_GB2312" w:hAnsi="宋体" w:eastAsia="楷体_GB2312" w:cs="宋体"/>
                <w:color w:val="000000"/>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AAF6D51">
            <w:pPr>
              <w:jc w:val="center"/>
              <w:rPr>
                <w:rFonts w:ascii="楷体_GB2312" w:hAnsi="宋体" w:eastAsia="楷体_GB2312" w:cs="宋体"/>
                <w:color w:val="000000"/>
                <w:szCs w:val="21"/>
              </w:rPr>
            </w:pPr>
            <w:r>
              <w:rPr>
                <w:rFonts w:hint="eastAsia" w:ascii="楷体_GB2312" w:eastAsia="楷体_GB2312"/>
                <w:color w:val="000000"/>
                <w:szCs w:val="21"/>
              </w:rPr>
              <w:t>一般</w:t>
            </w:r>
          </w:p>
        </w:tc>
      </w:tr>
      <w:tr w14:paraId="7502B1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7381C209">
            <w:pPr>
              <w:spacing w:line="300" w:lineRule="exact"/>
              <w:jc w:val="center"/>
              <w:rPr>
                <w:rFonts w:eastAsia="楷体_GB2312"/>
                <w:szCs w:val="21"/>
              </w:rPr>
            </w:pPr>
            <w:r>
              <w:rPr>
                <w:rFonts w:eastAsia="楷体_GB2312"/>
                <w:szCs w:val="21"/>
              </w:rPr>
              <w:t>受环境条件影响程度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504A844F">
            <w:pPr>
              <w:jc w:val="center"/>
              <w:rPr>
                <w:rFonts w:ascii="楷体_GB2312" w:hAnsi="宋体" w:eastAsia="楷体_GB2312" w:cs="宋体"/>
                <w:color w:val="000000"/>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5B4B356B">
            <w:pPr>
              <w:jc w:val="center"/>
              <w:rPr>
                <w:rFonts w:ascii="楷体_GB2312" w:hAnsi="宋体" w:eastAsia="楷体_GB2312" w:cs="宋体"/>
                <w:color w:val="000000"/>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51D2D01">
            <w:pPr>
              <w:jc w:val="center"/>
              <w:rPr>
                <w:rFonts w:ascii="楷体_GB2312" w:hAnsi="宋体" w:eastAsia="楷体_GB2312" w:cs="宋体"/>
                <w:color w:val="000000"/>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4DCCC5ED">
            <w:pPr>
              <w:jc w:val="center"/>
              <w:rPr>
                <w:rFonts w:ascii="楷体_GB2312" w:hAnsi="宋体" w:eastAsia="楷体_GB2312" w:cs="宋体"/>
                <w:color w:val="000000"/>
                <w:szCs w:val="21"/>
              </w:rPr>
            </w:pPr>
            <w:r>
              <w:rPr>
                <w:rFonts w:hint="eastAsia" w:ascii="楷体_GB2312" w:eastAsia="楷体_GB2312"/>
                <w:color w:val="000000"/>
                <w:szCs w:val="21"/>
              </w:rPr>
              <w:t>一般</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426B629F">
            <w:pPr>
              <w:jc w:val="center"/>
              <w:rPr>
                <w:rFonts w:ascii="楷体_GB2312" w:hAnsi="宋体" w:eastAsia="楷体_GB2312" w:cs="宋体"/>
                <w:color w:val="000000"/>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5B267F67">
            <w:pPr>
              <w:jc w:val="center"/>
              <w:rPr>
                <w:rFonts w:ascii="楷体_GB2312" w:hAnsi="宋体" w:eastAsia="楷体_GB2312" w:cs="宋体"/>
                <w:color w:val="000000"/>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78E07C2F">
            <w:pPr>
              <w:jc w:val="center"/>
              <w:rPr>
                <w:rFonts w:ascii="楷体_GB2312" w:hAnsi="宋体" w:eastAsia="楷体_GB2312" w:cs="宋体"/>
                <w:color w:val="000000"/>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1F7F839">
            <w:pPr>
              <w:jc w:val="center"/>
              <w:rPr>
                <w:rFonts w:ascii="楷体_GB2312" w:hAnsi="宋体" w:eastAsia="楷体_GB2312" w:cs="宋体"/>
                <w:color w:val="000000"/>
                <w:szCs w:val="21"/>
              </w:rPr>
            </w:pPr>
            <w:r>
              <w:rPr>
                <w:rFonts w:hint="eastAsia" w:ascii="楷体_GB2312" w:eastAsia="楷体_GB2312"/>
                <w:color w:val="000000"/>
                <w:szCs w:val="21"/>
              </w:rPr>
              <w:t>一般</w:t>
            </w:r>
          </w:p>
        </w:tc>
      </w:tr>
      <w:tr w14:paraId="36EC8C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43BDBBC2">
            <w:pPr>
              <w:spacing w:line="300" w:lineRule="exact"/>
              <w:jc w:val="center"/>
              <w:rPr>
                <w:rFonts w:eastAsia="楷体_GB2312"/>
                <w:szCs w:val="21"/>
              </w:rPr>
            </w:pPr>
            <w:r>
              <w:rPr>
                <w:rFonts w:eastAsia="楷体_GB2312"/>
                <w:szCs w:val="21"/>
              </w:rPr>
              <w:t>受自然条件影响程度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01AABCC8">
            <w:pPr>
              <w:jc w:val="center"/>
              <w:rPr>
                <w:rFonts w:ascii="楷体_GB2312" w:hAnsi="宋体" w:eastAsia="楷体_GB2312" w:cs="宋体"/>
                <w:color w:val="000000"/>
                <w:szCs w:val="21"/>
              </w:rPr>
            </w:pPr>
            <w:r>
              <w:rPr>
                <w:rFonts w:hint="eastAsia" w:ascii="楷体_GB2312" w:eastAsia="楷体_GB2312"/>
                <w:color w:val="000000"/>
                <w:szCs w:val="21"/>
              </w:rPr>
              <w:t>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09C54B5">
            <w:pPr>
              <w:jc w:val="center"/>
              <w:rPr>
                <w:rFonts w:ascii="楷体_GB2312" w:hAnsi="宋体" w:eastAsia="楷体_GB2312" w:cs="宋体"/>
                <w:color w:val="000000"/>
                <w:szCs w:val="21"/>
              </w:rPr>
            </w:pPr>
            <w:r>
              <w:rPr>
                <w:rFonts w:hint="eastAsia" w:ascii="楷体_GB2312" w:eastAsia="楷体_GB2312"/>
                <w:color w:val="000000"/>
                <w:szCs w:val="21"/>
              </w:rPr>
              <w:t>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A95A968">
            <w:pPr>
              <w:jc w:val="center"/>
              <w:rPr>
                <w:rFonts w:ascii="楷体_GB2312" w:hAnsi="宋体" w:eastAsia="楷体_GB2312" w:cs="宋体"/>
                <w:color w:val="000000"/>
                <w:szCs w:val="21"/>
              </w:rPr>
            </w:pPr>
            <w:r>
              <w:rPr>
                <w:rFonts w:hint="eastAsia" w:ascii="楷体_GB2312" w:eastAsia="楷体_GB2312"/>
                <w:color w:val="000000"/>
                <w:szCs w:val="21"/>
              </w:rPr>
              <w:t>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9F38A55">
            <w:pPr>
              <w:jc w:val="center"/>
              <w:rPr>
                <w:rFonts w:ascii="楷体_GB2312" w:hAnsi="宋体" w:eastAsia="楷体_GB2312" w:cs="宋体"/>
                <w:color w:val="000000"/>
                <w:szCs w:val="21"/>
              </w:rPr>
            </w:pPr>
            <w:r>
              <w:rPr>
                <w:rFonts w:hint="eastAsia" w:ascii="楷体_GB2312" w:eastAsia="楷体_GB2312"/>
                <w:color w:val="000000"/>
                <w:szCs w:val="21"/>
              </w:rPr>
              <w:t>高</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1CD66BCF">
            <w:pPr>
              <w:jc w:val="center"/>
              <w:rPr>
                <w:rFonts w:ascii="楷体_GB2312" w:hAnsi="宋体" w:eastAsia="楷体_GB2312" w:cs="宋体"/>
                <w:color w:val="000000"/>
                <w:szCs w:val="21"/>
              </w:rPr>
            </w:pPr>
            <w:r>
              <w:rPr>
                <w:rFonts w:hint="eastAsia" w:ascii="楷体_GB2312" w:eastAsia="楷体_GB2312"/>
                <w:color w:val="000000"/>
                <w:szCs w:val="21"/>
              </w:rPr>
              <w:t>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E65630E">
            <w:pPr>
              <w:jc w:val="center"/>
              <w:rPr>
                <w:rFonts w:ascii="楷体_GB2312" w:hAnsi="宋体" w:eastAsia="楷体_GB2312" w:cs="宋体"/>
                <w:color w:val="000000"/>
                <w:szCs w:val="21"/>
              </w:rPr>
            </w:pPr>
            <w:r>
              <w:rPr>
                <w:rFonts w:hint="eastAsia" w:ascii="楷体_GB2312" w:eastAsia="楷体_GB2312"/>
                <w:color w:val="000000"/>
                <w:szCs w:val="21"/>
              </w:rPr>
              <w:t>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8BD149E">
            <w:pPr>
              <w:jc w:val="center"/>
              <w:rPr>
                <w:rFonts w:ascii="楷体_GB2312" w:hAnsi="宋体" w:eastAsia="楷体_GB2312" w:cs="宋体"/>
                <w:color w:val="000000"/>
                <w:szCs w:val="21"/>
              </w:rPr>
            </w:pPr>
            <w:r>
              <w:rPr>
                <w:rFonts w:hint="eastAsia" w:ascii="楷体_GB2312" w:eastAsia="楷体_GB2312"/>
                <w:color w:val="000000"/>
                <w:szCs w:val="21"/>
              </w:rPr>
              <w:t>较高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FCF2002">
            <w:pPr>
              <w:jc w:val="center"/>
              <w:rPr>
                <w:rFonts w:ascii="楷体_GB2312" w:hAnsi="宋体" w:eastAsia="楷体_GB2312" w:cs="宋体"/>
                <w:color w:val="000000"/>
                <w:szCs w:val="21"/>
              </w:rPr>
            </w:pPr>
            <w:r>
              <w:rPr>
                <w:rFonts w:hint="eastAsia" w:ascii="楷体_GB2312" w:eastAsia="楷体_GB2312"/>
                <w:color w:val="000000"/>
                <w:szCs w:val="21"/>
              </w:rPr>
              <w:t>高</w:t>
            </w:r>
          </w:p>
        </w:tc>
      </w:tr>
      <w:tr w14:paraId="1ABEF0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544EB3E7">
            <w:pPr>
              <w:spacing w:line="300" w:lineRule="exact"/>
              <w:jc w:val="center"/>
              <w:rPr>
                <w:rFonts w:eastAsia="楷体_GB2312"/>
                <w:szCs w:val="21"/>
              </w:rPr>
            </w:pPr>
            <w:r>
              <w:rPr>
                <w:rFonts w:eastAsia="楷体_GB2312"/>
                <w:szCs w:val="21"/>
              </w:rPr>
              <w:t>受城市规划影响程度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3E5527A0">
            <w:pPr>
              <w:jc w:val="center"/>
              <w:rPr>
                <w:rFonts w:ascii="楷体_GB2312" w:hAnsi="宋体" w:eastAsia="楷体_GB2312" w:cs="宋体"/>
                <w:color w:val="000000"/>
                <w:szCs w:val="21"/>
              </w:rPr>
            </w:pPr>
            <w:r>
              <w:rPr>
                <w:rFonts w:hint="eastAsia" w:ascii="楷体_GB2312" w:eastAsia="楷体_GB2312"/>
                <w:color w:val="000000"/>
                <w:szCs w:val="21"/>
              </w:rPr>
              <w:t>较高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96F3274">
            <w:pPr>
              <w:jc w:val="center"/>
              <w:rPr>
                <w:rFonts w:ascii="楷体_GB2312" w:hAnsi="宋体" w:eastAsia="楷体_GB2312" w:cs="宋体"/>
                <w:color w:val="000000"/>
                <w:szCs w:val="21"/>
              </w:rPr>
            </w:pPr>
            <w:r>
              <w:rPr>
                <w:rFonts w:hint="eastAsia" w:ascii="楷体_GB2312" w:eastAsia="楷体_GB2312"/>
                <w:color w:val="000000"/>
                <w:szCs w:val="21"/>
              </w:rPr>
              <w:t>较高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7D58A4D3">
            <w:pPr>
              <w:jc w:val="center"/>
              <w:rPr>
                <w:rFonts w:ascii="楷体_GB2312" w:hAnsi="宋体" w:eastAsia="楷体_GB2312" w:cs="宋体"/>
                <w:color w:val="000000"/>
                <w:szCs w:val="21"/>
              </w:rPr>
            </w:pPr>
            <w:r>
              <w:rPr>
                <w:rFonts w:hint="eastAsia" w:ascii="楷体_GB2312" w:eastAsia="楷体_GB2312"/>
                <w:color w:val="000000"/>
                <w:szCs w:val="21"/>
              </w:rPr>
              <w:t>较高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3472C17B">
            <w:pPr>
              <w:jc w:val="center"/>
              <w:rPr>
                <w:rFonts w:ascii="楷体_GB2312" w:hAnsi="宋体" w:eastAsia="楷体_GB2312" w:cs="宋体"/>
                <w:color w:val="000000"/>
                <w:szCs w:val="21"/>
              </w:rPr>
            </w:pPr>
            <w:r>
              <w:rPr>
                <w:rFonts w:hint="eastAsia" w:ascii="楷体_GB2312" w:eastAsia="楷体_GB2312"/>
                <w:color w:val="000000"/>
                <w:szCs w:val="21"/>
              </w:rPr>
              <w:t>较高</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29530A4D">
            <w:pPr>
              <w:jc w:val="center"/>
              <w:rPr>
                <w:rFonts w:ascii="楷体_GB2312" w:hAnsi="宋体" w:eastAsia="楷体_GB2312" w:cs="宋体"/>
                <w:color w:val="000000"/>
                <w:szCs w:val="21"/>
              </w:rPr>
            </w:pPr>
            <w:r>
              <w:rPr>
                <w:rFonts w:hint="eastAsia" w:ascii="楷体_GB2312" w:eastAsia="楷体_GB2312"/>
                <w:color w:val="000000"/>
                <w:szCs w:val="21"/>
              </w:rPr>
              <w:t>较高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447650BD">
            <w:pPr>
              <w:jc w:val="center"/>
              <w:rPr>
                <w:rFonts w:ascii="楷体_GB2312" w:hAnsi="宋体" w:eastAsia="楷体_GB2312" w:cs="宋体"/>
                <w:color w:val="000000"/>
                <w:szCs w:val="21"/>
              </w:rPr>
            </w:pPr>
            <w:r>
              <w:rPr>
                <w:rFonts w:hint="eastAsia" w:ascii="楷体_GB2312" w:eastAsia="楷体_GB2312"/>
                <w:color w:val="000000"/>
                <w:szCs w:val="21"/>
              </w:rPr>
              <w:t>较高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7D30D54F">
            <w:pPr>
              <w:jc w:val="center"/>
              <w:rPr>
                <w:rFonts w:ascii="楷体_GB2312" w:hAnsi="宋体" w:eastAsia="楷体_GB2312" w:cs="宋体"/>
                <w:color w:val="000000"/>
                <w:szCs w:val="21"/>
              </w:rPr>
            </w:pPr>
            <w:r>
              <w:rPr>
                <w:rFonts w:hint="eastAsia" w:ascii="楷体_GB2312" w:eastAsia="楷体_GB2312"/>
                <w:color w:val="000000"/>
                <w:szCs w:val="21"/>
              </w:rPr>
              <w:t>较高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027E6AA">
            <w:pPr>
              <w:jc w:val="center"/>
              <w:rPr>
                <w:rFonts w:ascii="楷体_GB2312" w:hAnsi="宋体" w:eastAsia="楷体_GB2312" w:cs="宋体"/>
                <w:color w:val="000000"/>
                <w:szCs w:val="21"/>
              </w:rPr>
            </w:pPr>
            <w:r>
              <w:rPr>
                <w:rFonts w:hint="eastAsia" w:ascii="楷体_GB2312" w:eastAsia="楷体_GB2312"/>
                <w:color w:val="000000"/>
                <w:szCs w:val="21"/>
              </w:rPr>
              <w:t>较高</w:t>
            </w:r>
          </w:p>
        </w:tc>
      </w:tr>
      <w:tr w14:paraId="1E3FBA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39DB0596">
            <w:pPr>
              <w:spacing w:line="300" w:lineRule="exact"/>
              <w:jc w:val="center"/>
              <w:rPr>
                <w:rFonts w:eastAsia="楷体_GB2312"/>
                <w:szCs w:val="21"/>
              </w:rPr>
            </w:pPr>
            <w:r>
              <w:rPr>
                <w:rFonts w:eastAsia="楷体_GB2312"/>
                <w:szCs w:val="21"/>
              </w:rPr>
              <w:t>受人口集聚影响程度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402A2537">
            <w:pPr>
              <w:jc w:val="center"/>
              <w:rPr>
                <w:rFonts w:ascii="楷体_GB2312" w:hAnsi="宋体" w:eastAsia="楷体_GB2312" w:cs="宋体"/>
                <w:color w:val="000000"/>
                <w:szCs w:val="21"/>
              </w:rPr>
            </w:pPr>
            <w:r>
              <w:rPr>
                <w:rFonts w:hint="eastAsia" w:ascii="楷体_GB2312" w:eastAsia="楷体_GB2312"/>
                <w:color w:val="000000"/>
                <w:szCs w:val="21"/>
              </w:rPr>
              <w:t>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DD2CAFD">
            <w:pPr>
              <w:jc w:val="center"/>
              <w:rPr>
                <w:rFonts w:ascii="楷体_GB2312" w:hAnsi="宋体" w:eastAsia="楷体_GB2312" w:cs="宋体"/>
                <w:color w:val="000000"/>
                <w:szCs w:val="21"/>
              </w:rPr>
            </w:pPr>
            <w:r>
              <w:rPr>
                <w:rFonts w:hint="eastAsia" w:ascii="楷体_GB2312" w:eastAsia="楷体_GB2312"/>
                <w:color w:val="000000"/>
                <w:szCs w:val="21"/>
              </w:rPr>
              <w:t>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56F916FD">
            <w:pPr>
              <w:jc w:val="center"/>
              <w:rPr>
                <w:rFonts w:ascii="楷体_GB2312" w:hAnsi="宋体" w:eastAsia="楷体_GB2312" w:cs="宋体"/>
                <w:color w:val="000000"/>
                <w:szCs w:val="21"/>
              </w:rPr>
            </w:pPr>
            <w:r>
              <w:rPr>
                <w:rFonts w:hint="eastAsia" w:ascii="楷体_GB2312" w:eastAsia="楷体_GB2312"/>
                <w:color w:val="000000"/>
                <w:szCs w:val="21"/>
              </w:rPr>
              <w:t>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86B65A3">
            <w:pPr>
              <w:jc w:val="center"/>
              <w:rPr>
                <w:rFonts w:ascii="楷体_GB2312" w:hAnsi="宋体" w:eastAsia="楷体_GB2312" w:cs="宋体"/>
                <w:color w:val="000000"/>
                <w:szCs w:val="21"/>
              </w:rPr>
            </w:pPr>
            <w:r>
              <w:rPr>
                <w:rFonts w:hint="eastAsia" w:ascii="楷体_GB2312" w:eastAsia="楷体_GB2312"/>
                <w:color w:val="000000"/>
                <w:szCs w:val="21"/>
              </w:rPr>
              <w:t>高</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32CB5501">
            <w:pPr>
              <w:jc w:val="center"/>
              <w:rPr>
                <w:rFonts w:ascii="楷体_GB2312" w:hAnsi="宋体" w:eastAsia="楷体_GB2312" w:cs="宋体"/>
                <w:color w:val="000000"/>
                <w:szCs w:val="21"/>
              </w:rPr>
            </w:pPr>
            <w:r>
              <w:rPr>
                <w:rFonts w:hint="eastAsia" w:ascii="楷体_GB2312" w:eastAsia="楷体_GB2312"/>
                <w:color w:val="000000"/>
                <w:szCs w:val="21"/>
              </w:rPr>
              <w:t>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1D3A431">
            <w:pPr>
              <w:jc w:val="center"/>
              <w:rPr>
                <w:rFonts w:ascii="楷体_GB2312" w:hAnsi="宋体" w:eastAsia="楷体_GB2312" w:cs="宋体"/>
                <w:color w:val="000000"/>
                <w:szCs w:val="21"/>
              </w:rPr>
            </w:pPr>
            <w:r>
              <w:rPr>
                <w:rFonts w:hint="eastAsia" w:ascii="楷体_GB2312" w:eastAsia="楷体_GB2312"/>
                <w:color w:val="000000"/>
                <w:szCs w:val="21"/>
              </w:rPr>
              <w:t>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69BC2E1">
            <w:pPr>
              <w:jc w:val="center"/>
              <w:rPr>
                <w:rFonts w:ascii="楷体_GB2312" w:hAnsi="宋体" w:eastAsia="楷体_GB2312" w:cs="宋体"/>
                <w:color w:val="000000"/>
                <w:szCs w:val="21"/>
              </w:rPr>
            </w:pPr>
            <w:r>
              <w:rPr>
                <w:rFonts w:hint="eastAsia" w:ascii="楷体_GB2312" w:eastAsia="楷体_GB2312"/>
                <w:color w:val="000000"/>
                <w:szCs w:val="21"/>
              </w:rPr>
              <w:t>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3321EEF0">
            <w:pPr>
              <w:jc w:val="center"/>
              <w:rPr>
                <w:rFonts w:ascii="楷体_GB2312" w:hAnsi="宋体" w:eastAsia="楷体_GB2312" w:cs="宋体"/>
                <w:color w:val="000000"/>
                <w:szCs w:val="21"/>
              </w:rPr>
            </w:pPr>
            <w:r>
              <w:rPr>
                <w:rFonts w:hint="eastAsia" w:ascii="楷体_GB2312" w:eastAsia="楷体_GB2312"/>
                <w:color w:val="000000"/>
                <w:szCs w:val="21"/>
              </w:rPr>
              <w:t>较高</w:t>
            </w:r>
          </w:p>
        </w:tc>
      </w:tr>
      <w:tr w14:paraId="2E2B9B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486673D2">
            <w:pPr>
              <w:spacing w:line="300" w:lineRule="exact"/>
              <w:jc w:val="center"/>
              <w:rPr>
                <w:rFonts w:eastAsia="楷体_GB2312"/>
                <w:szCs w:val="21"/>
              </w:rPr>
            </w:pPr>
            <w:r>
              <w:rPr>
                <w:rFonts w:eastAsia="楷体_GB2312"/>
                <w:szCs w:val="21"/>
              </w:rPr>
              <w:t>受产业集聚影响程度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31A203A0">
            <w:pPr>
              <w:jc w:val="center"/>
              <w:rPr>
                <w:rFonts w:ascii="楷体_GB2312" w:hAnsi="宋体" w:eastAsia="楷体_GB2312" w:cs="宋体"/>
                <w:color w:val="000000"/>
                <w:szCs w:val="21"/>
              </w:rPr>
            </w:pPr>
            <w:r>
              <w:rPr>
                <w:rFonts w:hint="eastAsia" w:ascii="楷体_GB2312" w:eastAsia="楷体_GB2312"/>
                <w:color w:val="000000"/>
                <w:szCs w:val="21"/>
              </w:rPr>
              <w:t>较高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F286BEF">
            <w:pPr>
              <w:jc w:val="center"/>
              <w:rPr>
                <w:rFonts w:ascii="楷体_GB2312" w:hAnsi="宋体" w:eastAsia="楷体_GB2312" w:cs="宋体"/>
                <w:color w:val="000000"/>
                <w:szCs w:val="21"/>
              </w:rPr>
            </w:pPr>
            <w:r>
              <w:rPr>
                <w:rFonts w:hint="eastAsia" w:ascii="楷体_GB2312" w:eastAsia="楷体_GB2312"/>
                <w:color w:val="000000"/>
                <w:szCs w:val="21"/>
              </w:rPr>
              <w:t>较高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33D9335A">
            <w:pPr>
              <w:jc w:val="center"/>
              <w:rPr>
                <w:rFonts w:ascii="楷体_GB2312" w:hAnsi="宋体" w:eastAsia="楷体_GB2312" w:cs="宋体"/>
                <w:color w:val="000000"/>
                <w:szCs w:val="21"/>
              </w:rPr>
            </w:pPr>
            <w:r>
              <w:rPr>
                <w:rFonts w:hint="eastAsia" w:ascii="楷体_GB2312" w:eastAsia="楷体_GB2312"/>
                <w:color w:val="000000"/>
                <w:szCs w:val="21"/>
              </w:rPr>
              <w:t>较高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C000418">
            <w:pPr>
              <w:jc w:val="center"/>
              <w:rPr>
                <w:rFonts w:ascii="楷体_GB2312" w:hAnsi="宋体" w:eastAsia="楷体_GB2312" w:cs="宋体"/>
                <w:color w:val="000000"/>
                <w:szCs w:val="21"/>
              </w:rPr>
            </w:pPr>
            <w:r>
              <w:rPr>
                <w:rFonts w:hint="eastAsia" w:ascii="楷体_GB2312" w:eastAsia="楷体_GB2312"/>
                <w:color w:val="000000"/>
                <w:szCs w:val="21"/>
              </w:rPr>
              <w:t>较高</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5EA56246">
            <w:pPr>
              <w:jc w:val="center"/>
              <w:rPr>
                <w:rFonts w:ascii="楷体_GB2312" w:hAnsi="宋体" w:eastAsia="楷体_GB2312" w:cs="宋体"/>
                <w:color w:val="000000"/>
                <w:szCs w:val="21"/>
              </w:rPr>
            </w:pPr>
            <w:r>
              <w:rPr>
                <w:rFonts w:hint="eastAsia" w:ascii="楷体_GB2312" w:eastAsia="楷体_GB2312"/>
                <w:color w:val="000000"/>
                <w:szCs w:val="21"/>
              </w:rPr>
              <w:t>较高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57F2301">
            <w:pPr>
              <w:jc w:val="center"/>
              <w:rPr>
                <w:rFonts w:ascii="楷体_GB2312" w:hAnsi="宋体" w:eastAsia="楷体_GB2312" w:cs="宋体"/>
                <w:color w:val="000000"/>
                <w:szCs w:val="21"/>
              </w:rPr>
            </w:pPr>
            <w:r>
              <w:rPr>
                <w:rFonts w:hint="eastAsia" w:ascii="楷体_GB2312" w:eastAsia="楷体_GB2312"/>
                <w:color w:val="000000"/>
                <w:szCs w:val="21"/>
              </w:rPr>
              <w:t>较高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2D200C2">
            <w:pPr>
              <w:jc w:val="center"/>
              <w:rPr>
                <w:rFonts w:ascii="楷体_GB2312" w:hAnsi="宋体" w:eastAsia="楷体_GB2312" w:cs="宋体"/>
                <w:color w:val="000000"/>
                <w:szCs w:val="21"/>
              </w:rPr>
            </w:pPr>
            <w:r>
              <w:rPr>
                <w:rFonts w:hint="eastAsia" w:ascii="楷体_GB2312" w:eastAsia="楷体_GB2312"/>
                <w:color w:val="000000"/>
                <w:szCs w:val="21"/>
              </w:rPr>
              <w:t>较高</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41B141B1">
            <w:pPr>
              <w:jc w:val="center"/>
              <w:rPr>
                <w:rFonts w:ascii="楷体_GB2312" w:hAnsi="宋体" w:eastAsia="楷体_GB2312" w:cs="宋体"/>
                <w:color w:val="000000"/>
                <w:szCs w:val="21"/>
              </w:rPr>
            </w:pPr>
            <w:r>
              <w:rPr>
                <w:rFonts w:hint="eastAsia" w:ascii="楷体_GB2312" w:eastAsia="楷体_GB2312"/>
                <w:color w:val="000000"/>
                <w:szCs w:val="21"/>
              </w:rPr>
              <w:t>一般</w:t>
            </w:r>
          </w:p>
        </w:tc>
      </w:tr>
      <w:tr w14:paraId="46401B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5B2D638E">
            <w:pPr>
              <w:spacing w:line="300" w:lineRule="exact"/>
              <w:jc w:val="center"/>
              <w:rPr>
                <w:rFonts w:eastAsia="楷体_GB2312"/>
                <w:szCs w:val="21"/>
              </w:rPr>
            </w:pPr>
            <w:r>
              <w:rPr>
                <w:rFonts w:eastAsia="楷体_GB2312"/>
                <w:szCs w:val="21"/>
              </w:rPr>
              <w:t>其他因素影响程度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113F4C3E">
            <w:pPr>
              <w:jc w:val="center"/>
              <w:rPr>
                <w:rFonts w:ascii="楷体_GB2312" w:hAnsi="宋体" w:eastAsia="楷体_GB2312" w:cs="宋体"/>
                <w:color w:val="000000"/>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C99B3E9">
            <w:pPr>
              <w:jc w:val="center"/>
              <w:rPr>
                <w:rFonts w:ascii="楷体_GB2312" w:hAnsi="宋体" w:eastAsia="楷体_GB2312" w:cs="宋体"/>
                <w:color w:val="000000"/>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49E5A518">
            <w:pPr>
              <w:jc w:val="center"/>
              <w:rPr>
                <w:rFonts w:ascii="楷体_GB2312" w:hAnsi="宋体" w:eastAsia="楷体_GB2312" w:cs="宋体"/>
                <w:color w:val="000000"/>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4765458D">
            <w:pPr>
              <w:jc w:val="center"/>
              <w:rPr>
                <w:rFonts w:ascii="楷体_GB2312" w:hAnsi="宋体" w:eastAsia="楷体_GB2312" w:cs="宋体"/>
                <w:color w:val="000000"/>
                <w:szCs w:val="21"/>
              </w:rPr>
            </w:pPr>
            <w:r>
              <w:rPr>
                <w:rFonts w:hint="eastAsia" w:ascii="楷体_GB2312" w:eastAsia="楷体_GB2312"/>
                <w:color w:val="000000"/>
                <w:szCs w:val="21"/>
              </w:rPr>
              <w:t>一般</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0A17E7C1">
            <w:pPr>
              <w:jc w:val="center"/>
              <w:rPr>
                <w:rFonts w:ascii="楷体_GB2312" w:hAnsi="宋体" w:eastAsia="楷体_GB2312" w:cs="宋体"/>
                <w:color w:val="000000"/>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F269331">
            <w:pPr>
              <w:jc w:val="center"/>
              <w:rPr>
                <w:rFonts w:ascii="楷体_GB2312" w:hAnsi="宋体" w:eastAsia="楷体_GB2312" w:cs="宋体"/>
                <w:color w:val="000000"/>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560D149">
            <w:pPr>
              <w:jc w:val="center"/>
              <w:rPr>
                <w:rFonts w:ascii="楷体_GB2312" w:hAnsi="宋体" w:eastAsia="楷体_GB2312" w:cs="宋体"/>
                <w:color w:val="000000"/>
                <w:szCs w:val="21"/>
              </w:rPr>
            </w:pPr>
            <w:r>
              <w:rPr>
                <w:rFonts w:hint="eastAsia" w:ascii="楷体_GB2312" w:eastAsia="楷体_GB2312"/>
                <w:color w:val="000000"/>
                <w:szCs w:val="21"/>
              </w:rPr>
              <w:t>一般</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4AAF7C8">
            <w:pPr>
              <w:jc w:val="center"/>
              <w:rPr>
                <w:rFonts w:ascii="楷体_GB2312" w:hAnsi="宋体" w:eastAsia="楷体_GB2312" w:cs="宋体"/>
                <w:color w:val="000000"/>
                <w:szCs w:val="21"/>
              </w:rPr>
            </w:pPr>
            <w:r>
              <w:rPr>
                <w:rFonts w:hint="eastAsia" w:ascii="楷体_GB2312" w:eastAsia="楷体_GB2312"/>
                <w:color w:val="000000"/>
                <w:szCs w:val="21"/>
              </w:rPr>
              <w:t>一般</w:t>
            </w:r>
          </w:p>
        </w:tc>
      </w:tr>
    </w:tbl>
    <w:p w14:paraId="4186D1FE">
      <w:pPr>
        <w:spacing w:line="480" w:lineRule="exact"/>
        <w:ind w:firstLine="560" w:firstLineChars="200"/>
        <w:rPr>
          <w:rFonts w:eastAsia="楷体_GB2312"/>
          <w:sz w:val="28"/>
          <w:szCs w:val="21"/>
        </w:rPr>
      </w:pPr>
      <w:r>
        <w:rPr>
          <w:rFonts w:eastAsia="楷体_GB2312"/>
          <w:sz w:val="28"/>
          <w:szCs w:val="21"/>
        </w:rPr>
        <w:t>（3）比较因素条件指数</w:t>
      </w:r>
    </w:p>
    <w:p w14:paraId="541BCC8A">
      <w:pPr>
        <w:spacing w:line="480" w:lineRule="exact"/>
        <w:ind w:firstLine="560" w:firstLineChars="200"/>
        <w:rPr>
          <w:rFonts w:eastAsia="楷体_GB2312"/>
          <w:sz w:val="28"/>
          <w:szCs w:val="21"/>
        </w:rPr>
      </w:pPr>
      <w:r>
        <w:rPr>
          <w:rFonts w:eastAsia="楷体_GB2312"/>
          <w:sz w:val="28"/>
          <w:szCs w:val="21"/>
        </w:rPr>
        <w:fldChar w:fldCharType="begin"/>
      </w:r>
      <w:r>
        <w:rPr>
          <w:rFonts w:eastAsia="楷体_GB2312"/>
          <w:sz w:val="28"/>
          <w:szCs w:val="21"/>
        </w:rPr>
        <w:instrText xml:space="preserve"> = 1 \* GB3 </w:instrText>
      </w:r>
      <w:r>
        <w:rPr>
          <w:rFonts w:eastAsia="楷体_GB2312"/>
          <w:sz w:val="28"/>
          <w:szCs w:val="21"/>
        </w:rPr>
        <w:fldChar w:fldCharType="separate"/>
      </w:r>
      <w:r>
        <w:rPr>
          <w:rFonts w:hint="eastAsia" w:ascii="宋体" w:hAnsi="宋体" w:cs="宋体"/>
          <w:sz w:val="28"/>
          <w:szCs w:val="21"/>
        </w:rPr>
        <w:t>①</w:t>
      </w:r>
      <w:r>
        <w:rPr>
          <w:rFonts w:eastAsia="楷体_GB2312"/>
          <w:sz w:val="28"/>
          <w:szCs w:val="21"/>
        </w:rPr>
        <w:fldChar w:fldCharType="end"/>
      </w:r>
      <w:r>
        <w:rPr>
          <w:rFonts w:eastAsia="楷体_GB2312"/>
          <w:sz w:val="28"/>
          <w:szCs w:val="21"/>
        </w:rPr>
        <w:t>受商服繁华影响程度，分为高；较高；一般；较低；低。以教育用地为100，每上升或降低一个等级，指数相应上升或降低4%;</w:t>
      </w:r>
    </w:p>
    <w:p w14:paraId="39541C5C">
      <w:pPr>
        <w:spacing w:line="480" w:lineRule="exact"/>
        <w:ind w:firstLine="560" w:firstLineChars="200"/>
        <w:rPr>
          <w:rFonts w:eastAsia="楷体_GB2312"/>
          <w:sz w:val="28"/>
          <w:szCs w:val="21"/>
        </w:rPr>
      </w:pPr>
      <w:r>
        <w:rPr>
          <w:rFonts w:eastAsia="楷体_GB2312"/>
          <w:sz w:val="28"/>
          <w:szCs w:val="21"/>
        </w:rPr>
        <w:fldChar w:fldCharType="begin"/>
      </w:r>
      <w:r>
        <w:rPr>
          <w:rFonts w:eastAsia="楷体_GB2312"/>
          <w:sz w:val="28"/>
          <w:szCs w:val="21"/>
        </w:rPr>
        <w:instrText xml:space="preserve"> = 2 \* GB3 </w:instrText>
      </w:r>
      <w:r>
        <w:rPr>
          <w:rFonts w:eastAsia="楷体_GB2312"/>
          <w:sz w:val="28"/>
          <w:szCs w:val="21"/>
        </w:rPr>
        <w:fldChar w:fldCharType="separate"/>
      </w:r>
      <w:r>
        <w:rPr>
          <w:rFonts w:hint="eastAsia" w:ascii="宋体" w:hAnsi="宋体" w:cs="宋体"/>
          <w:sz w:val="28"/>
          <w:szCs w:val="21"/>
        </w:rPr>
        <w:t>②</w:t>
      </w:r>
      <w:r>
        <w:rPr>
          <w:rFonts w:eastAsia="楷体_GB2312"/>
          <w:sz w:val="28"/>
          <w:szCs w:val="21"/>
        </w:rPr>
        <w:fldChar w:fldCharType="end"/>
      </w:r>
      <w:r>
        <w:rPr>
          <w:rFonts w:eastAsia="楷体_GB2312"/>
          <w:sz w:val="28"/>
          <w:szCs w:val="21"/>
        </w:rPr>
        <w:t>受交通便捷影响程度，分为高；较高；一般；较低；低。以教育用地为100，每上升或降低一个等级，指数相应上升或降低</w:t>
      </w:r>
      <w:r>
        <w:rPr>
          <w:rFonts w:hint="eastAsia" w:eastAsia="楷体_GB2312"/>
          <w:sz w:val="28"/>
          <w:szCs w:val="21"/>
        </w:rPr>
        <w:t>3</w:t>
      </w:r>
      <w:r>
        <w:rPr>
          <w:rFonts w:eastAsia="楷体_GB2312"/>
          <w:sz w:val="28"/>
          <w:szCs w:val="21"/>
        </w:rPr>
        <w:t>%;</w:t>
      </w:r>
    </w:p>
    <w:p w14:paraId="337F6AB9">
      <w:pPr>
        <w:spacing w:line="480" w:lineRule="exact"/>
        <w:ind w:firstLine="560" w:firstLineChars="200"/>
        <w:rPr>
          <w:rFonts w:eastAsia="楷体_GB2312"/>
          <w:sz w:val="28"/>
          <w:szCs w:val="21"/>
        </w:rPr>
      </w:pPr>
      <w:r>
        <w:rPr>
          <w:rFonts w:eastAsia="楷体_GB2312"/>
          <w:sz w:val="28"/>
          <w:szCs w:val="21"/>
        </w:rPr>
        <w:fldChar w:fldCharType="begin"/>
      </w:r>
      <w:r>
        <w:rPr>
          <w:rFonts w:eastAsia="楷体_GB2312"/>
          <w:sz w:val="28"/>
          <w:szCs w:val="21"/>
        </w:rPr>
        <w:instrText xml:space="preserve"> = 3 \* GB3 </w:instrText>
      </w:r>
      <w:r>
        <w:rPr>
          <w:rFonts w:eastAsia="楷体_GB2312"/>
          <w:sz w:val="28"/>
          <w:szCs w:val="21"/>
        </w:rPr>
        <w:fldChar w:fldCharType="separate"/>
      </w:r>
      <w:r>
        <w:rPr>
          <w:rFonts w:hint="eastAsia" w:ascii="宋体" w:hAnsi="宋体" w:cs="宋体"/>
          <w:sz w:val="28"/>
          <w:szCs w:val="21"/>
        </w:rPr>
        <w:t>③</w:t>
      </w:r>
      <w:r>
        <w:rPr>
          <w:rFonts w:eastAsia="楷体_GB2312"/>
          <w:sz w:val="28"/>
          <w:szCs w:val="21"/>
        </w:rPr>
        <w:fldChar w:fldCharType="end"/>
      </w:r>
      <w:r>
        <w:rPr>
          <w:rFonts w:eastAsia="楷体_GB2312"/>
          <w:sz w:val="28"/>
          <w:szCs w:val="21"/>
        </w:rPr>
        <w:t>受基础设施影响程度，分为高；较高；一般；较低；低。以教育用地为100，每上升或降低一个等级，指数相应上升或降低2%;</w:t>
      </w:r>
    </w:p>
    <w:p w14:paraId="6B9F0A8F">
      <w:pPr>
        <w:spacing w:line="480" w:lineRule="exact"/>
        <w:ind w:firstLine="560" w:firstLineChars="200"/>
        <w:rPr>
          <w:rFonts w:eastAsia="楷体_GB2312"/>
          <w:sz w:val="28"/>
          <w:szCs w:val="21"/>
        </w:rPr>
      </w:pPr>
      <w:r>
        <w:rPr>
          <w:rFonts w:eastAsia="楷体_GB2312"/>
          <w:sz w:val="28"/>
          <w:szCs w:val="21"/>
        </w:rPr>
        <w:fldChar w:fldCharType="begin"/>
      </w:r>
      <w:r>
        <w:rPr>
          <w:rFonts w:eastAsia="楷体_GB2312"/>
          <w:sz w:val="28"/>
          <w:szCs w:val="21"/>
        </w:rPr>
        <w:instrText xml:space="preserve"> = 4 \* GB3 </w:instrText>
      </w:r>
      <w:r>
        <w:rPr>
          <w:rFonts w:eastAsia="楷体_GB2312"/>
          <w:sz w:val="28"/>
          <w:szCs w:val="21"/>
        </w:rPr>
        <w:fldChar w:fldCharType="separate"/>
      </w:r>
      <w:r>
        <w:rPr>
          <w:rFonts w:hint="eastAsia" w:ascii="宋体" w:hAnsi="宋体" w:cs="宋体"/>
          <w:sz w:val="28"/>
          <w:szCs w:val="21"/>
        </w:rPr>
        <w:t>④</w:t>
      </w:r>
      <w:r>
        <w:rPr>
          <w:rFonts w:eastAsia="楷体_GB2312"/>
          <w:sz w:val="28"/>
          <w:szCs w:val="21"/>
        </w:rPr>
        <w:fldChar w:fldCharType="end"/>
      </w:r>
      <w:r>
        <w:rPr>
          <w:rFonts w:eastAsia="楷体_GB2312"/>
          <w:sz w:val="28"/>
          <w:szCs w:val="21"/>
        </w:rPr>
        <w:t>受环境条件影响程度，分为高；较高；一般；较低；低。以教育用地为100，每上升或降低一个等级，指数相应上升或降低</w:t>
      </w:r>
      <w:r>
        <w:rPr>
          <w:rFonts w:hint="eastAsia" w:eastAsia="楷体_GB2312"/>
          <w:sz w:val="28"/>
          <w:szCs w:val="21"/>
        </w:rPr>
        <w:t>3</w:t>
      </w:r>
      <w:r>
        <w:rPr>
          <w:rFonts w:eastAsia="楷体_GB2312"/>
          <w:sz w:val="28"/>
          <w:szCs w:val="21"/>
        </w:rPr>
        <w:t>%;</w:t>
      </w:r>
    </w:p>
    <w:p w14:paraId="342C4F31">
      <w:pPr>
        <w:spacing w:line="480" w:lineRule="exact"/>
        <w:ind w:firstLine="560" w:firstLineChars="200"/>
        <w:rPr>
          <w:rFonts w:eastAsia="楷体_GB2312"/>
          <w:sz w:val="28"/>
          <w:szCs w:val="21"/>
        </w:rPr>
      </w:pPr>
      <w:r>
        <w:rPr>
          <w:rFonts w:eastAsia="楷体_GB2312"/>
          <w:sz w:val="28"/>
          <w:szCs w:val="21"/>
        </w:rPr>
        <w:fldChar w:fldCharType="begin"/>
      </w:r>
      <w:r>
        <w:rPr>
          <w:rFonts w:eastAsia="楷体_GB2312"/>
          <w:sz w:val="28"/>
          <w:szCs w:val="21"/>
        </w:rPr>
        <w:instrText xml:space="preserve"> = 5 \* GB3 </w:instrText>
      </w:r>
      <w:r>
        <w:rPr>
          <w:rFonts w:eastAsia="楷体_GB2312"/>
          <w:sz w:val="28"/>
          <w:szCs w:val="21"/>
        </w:rPr>
        <w:fldChar w:fldCharType="separate"/>
      </w:r>
      <w:r>
        <w:rPr>
          <w:rFonts w:hint="eastAsia" w:ascii="宋体" w:hAnsi="宋体" w:cs="宋体"/>
          <w:sz w:val="28"/>
          <w:szCs w:val="21"/>
        </w:rPr>
        <w:t>⑤</w:t>
      </w:r>
      <w:r>
        <w:rPr>
          <w:rFonts w:eastAsia="楷体_GB2312"/>
          <w:sz w:val="28"/>
          <w:szCs w:val="21"/>
        </w:rPr>
        <w:fldChar w:fldCharType="end"/>
      </w:r>
      <w:r>
        <w:rPr>
          <w:rFonts w:eastAsia="楷体_GB2312"/>
          <w:sz w:val="28"/>
          <w:szCs w:val="21"/>
        </w:rPr>
        <w:t>受自然条件影响程度，分为高；较高；一般；较低；低。以教育用地为100，每上升或降低一个等级，指数相应上升或降低3%;</w:t>
      </w:r>
    </w:p>
    <w:p w14:paraId="2236D5AA">
      <w:pPr>
        <w:spacing w:line="480" w:lineRule="exact"/>
        <w:ind w:firstLine="560" w:firstLineChars="200"/>
        <w:rPr>
          <w:rFonts w:eastAsia="楷体_GB2312"/>
          <w:sz w:val="28"/>
          <w:szCs w:val="21"/>
        </w:rPr>
      </w:pPr>
      <w:r>
        <w:rPr>
          <w:rFonts w:eastAsia="楷体_GB2312"/>
          <w:sz w:val="28"/>
          <w:szCs w:val="21"/>
        </w:rPr>
        <w:fldChar w:fldCharType="begin"/>
      </w:r>
      <w:r>
        <w:rPr>
          <w:rFonts w:eastAsia="楷体_GB2312"/>
          <w:sz w:val="28"/>
          <w:szCs w:val="21"/>
        </w:rPr>
        <w:instrText xml:space="preserve"> = 6 \* GB3 </w:instrText>
      </w:r>
      <w:r>
        <w:rPr>
          <w:rFonts w:eastAsia="楷体_GB2312"/>
          <w:sz w:val="28"/>
          <w:szCs w:val="21"/>
        </w:rPr>
        <w:fldChar w:fldCharType="separate"/>
      </w:r>
      <w:r>
        <w:rPr>
          <w:rFonts w:hint="eastAsia" w:ascii="宋体" w:hAnsi="宋体" w:cs="宋体"/>
          <w:sz w:val="28"/>
          <w:szCs w:val="21"/>
        </w:rPr>
        <w:t>⑥</w:t>
      </w:r>
      <w:r>
        <w:rPr>
          <w:rFonts w:eastAsia="楷体_GB2312"/>
          <w:sz w:val="28"/>
          <w:szCs w:val="21"/>
        </w:rPr>
        <w:fldChar w:fldCharType="end"/>
      </w:r>
      <w:r>
        <w:rPr>
          <w:rFonts w:eastAsia="楷体_GB2312"/>
          <w:sz w:val="28"/>
          <w:szCs w:val="21"/>
        </w:rPr>
        <w:t>受城市规划影响程度，分为高；较高；一般；较低；低。以教育用地为100，每上升或降低一个等级，指数相应上升或降低3%;</w:t>
      </w:r>
    </w:p>
    <w:p w14:paraId="7399B557">
      <w:pPr>
        <w:spacing w:line="480" w:lineRule="exact"/>
        <w:ind w:firstLine="560" w:firstLineChars="200"/>
        <w:rPr>
          <w:rFonts w:eastAsia="楷体_GB2312"/>
          <w:sz w:val="28"/>
          <w:szCs w:val="21"/>
        </w:rPr>
      </w:pPr>
      <w:r>
        <w:rPr>
          <w:rFonts w:eastAsia="楷体_GB2312"/>
          <w:sz w:val="28"/>
          <w:szCs w:val="21"/>
        </w:rPr>
        <w:fldChar w:fldCharType="begin"/>
      </w:r>
      <w:r>
        <w:rPr>
          <w:rFonts w:eastAsia="楷体_GB2312"/>
          <w:sz w:val="28"/>
          <w:szCs w:val="21"/>
        </w:rPr>
        <w:instrText xml:space="preserve"> = 7 \* GB3 </w:instrText>
      </w:r>
      <w:r>
        <w:rPr>
          <w:rFonts w:eastAsia="楷体_GB2312"/>
          <w:sz w:val="28"/>
          <w:szCs w:val="21"/>
        </w:rPr>
        <w:fldChar w:fldCharType="separate"/>
      </w:r>
      <w:r>
        <w:rPr>
          <w:rFonts w:hint="eastAsia" w:ascii="宋体" w:hAnsi="宋体" w:cs="宋体"/>
          <w:sz w:val="28"/>
          <w:szCs w:val="21"/>
        </w:rPr>
        <w:t>⑦</w:t>
      </w:r>
      <w:r>
        <w:rPr>
          <w:rFonts w:eastAsia="楷体_GB2312"/>
          <w:sz w:val="28"/>
          <w:szCs w:val="21"/>
        </w:rPr>
        <w:fldChar w:fldCharType="end"/>
      </w:r>
      <w:r>
        <w:rPr>
          <w:rFonts w:eastAsia="楷体_GB2312"/>
          <w:sz w:val="28"/>
          <w:szCs w:val="21"/>
        </w:rPr>
        <w:t>受人口集聚影响程度，分为高；较高；一般；较低；低。以教育用地为100，每上升或降低一个等级，指数相应上升或降低</w:t>
      </w:r>
      <w:r>
        <w:rPr>
          <w:rFonts w:hint="eastAsia" w:eastAsia="楷体_GB2312"/>
          <w:sz w:val="28"/>
          <w:szCs w:val="21"/>
        </w:rPr>
        <w:t>4</w:t>
      </w:r>
      <w:r>
        <w:rPr>
          <w:rFonts w:eastAsia="楷体_GB2312"/>
          <w:sz w:val="28"/>
          <w:szCs w:val="21"/>
        </w:rPr>
        <w:t>%;</w:t>
      </w:r>
    </w:p>
    <w:p w14:paraId="20F03E08">
      <w:pPr>
        <w:spacing w:line="480" w:lineRule="exact"/>
        <w:ind w:firstLine="560" w:firstLineChars="200"/>
        <w:rPr>
          <w:rFonts w:eastAsia="楷体_GB2312"/>
          <w:sz w:val="28"/>
          <w:szCs w:val="21"/>
        </w:rPr>
      </w:pPr>
      <w:r>
        <w:rPr>
          <w:rFonts w:eastAsia="楷体_GB2312"/>
          <w:sz w:val="28"/>
          <w:szCs w:val="21"/>
        </w:rPr>
        <w:fldChar w:fldCharType="begin"/>
      </w:r>
      <w:r>
        <w:rPr>
          <w:rFonts w:eastAsia="楷体_GB2312"/>
          <w:sz w:val="28"/>
          <w:szCs w:val="21"/>
        </w:rPr>
        <w:instrText xml:space="preserve"> = 8 \* GB3 </w:instrText>
      </w:r>
      <w:r>
        <w:rPr>
          <w:rFonts w:eastAsia="楷体_GB2312"/>
          <w:sz w:val="28"/>
          <w:szCs w:val="21"/>
        </w:rPr>
        <w:fldChar w:fldCharType="separate"/>
      </w:r>
      <w:r>
        <w:rPr>
          <w:rFonts w:hint="eastAsia" w:ascii="宋体" w:hAnsi="宋体" w:cs="宋体"/>
          <w:sz w:val="28"/>
          <w:szCs w:val="21"/>
        </w:rPr>
        <w:t>⑧</w:t>
      </w:r>
      <w:r>
        <w:rPr>
          <w:rFonts w:eastAsia="楷体_GB2312"/>
          <w:sz w:val="28"/>
          <w:szCs w:val="21"/>
        </w:rPr>
        <w:fldChar w:fldCharType="end"/>
      </w:r>
      <w:r>
        <w:rPr>
          <w:rFonts w:eastAsia="楷体_GB2312"/>
          <w:sz w:val="28"/>
          <w:szCs w:val="21"/>
        </w:rPr>
        <w:t>受产业集聚影响程度，分为高；较高；一般；较低；低。以教育用地为100，每上升或降低一个等级，指数相应上升或降低</w:t>
      </w:r>
      <w:r>
        <w:rPr>
          <w:rFonts w:hint="eastAsia" w:eastAsia="楷体_GB2312"/>
          <w:sz w:val="28"/>
          <w:szCs w:val="21"/>
        </w:rPr>
        <w:t>5</w:t>
      </w:r>
      <w:r>
        <w:rPr>
          <w:rFonts w:eastAsia="楷体_GB2312"/>
          <w:sz w:val="28"/>
          <w:szCs w:val="21"/>
        </w:rPr>
        <w:t>%;</w:t>
      </w:r>
    </w:p>
    <w:p w14:paraId="41CC448D">
      <w:pPr>
        <w:spacing w:line="480" w:lineRule="exact"/>
        <w:ind w:firstLine="560" w:firstLineChars="200"/>
        <w:rPr>
          <w:rFonts w:eastAsia="楷体_GB2312"/>
          <w:sz w:val="28"/>
          <w:szCs w:val="21"/>
        </w:rPr>
      </w:pPr>
      <w:r>
        <w:rPr>
          <w:rFonts w:eastAsia="楷体_GB2312"/>
          <w:sz w:val="28"/>
          <w:szCs w:val="21"/>
        </w:rPr>
        <w:fldChar w:fldCharType="begin"/>
      </w:r>
      <w:r>
        <w:rPr>
          <w:rFonts w:eastAsia="楷体_GB2312"/>
          <w:sz w:val="28"/>
          <w:szCs w:val="21"/>
        </w:rPr>
        <w:instrText xml:space="preserve"> = 9 \* GB3 </w:instrText>
      </w:r>
      <w:r>
        <w:rPr>
          <w:rFonts w:eastAsia="楷体_GB2312"/>
          <w:sz w:val="28"/>
          <w:szCs w:val="21"/>
        </w:rPr>
        <w:fldChar w:fldCharType="separate"/>
      </w:r>
      <w:r>
        <w:rPr>
          <w:rFonts w:hint="eastAsia" w:ascii="宋体" w:hAnsi="宋体" w:cs="宋体"/>
          <w:sz w:val="28"/>
          <w:szCs w:val="21"/>
        </w:rPr>
        <w:t>⑨</w:t>
      </w:r>
      <w:r>
        <w:rPr>
          <w:rFonts w:eastAsia="楷体_GB2312"/>
          <w:sz w:val="28"/>
          <w:szCs w:val="21"/>
        </w:rPr>
        <w:fldChar w:fldCharType="end"/>
      </w:r>
      <w:r>
        <w:rPr>
          <w:rFonts w:eastAsia="楷体_GB2312"/>
          <w:sz w:val="28"/>
          <w:szCs w:val="21"/>
        </w:rPr>
        <w:t>受其他因素影响程度，分为高；较高；一般；较低；低。以教育用地为100，每上升或降低一个等级，指数相应上升或降低2%;</w:t>
      </w:r>
    </w:p>
    <w:p w14:paraId="40CA456C">
      <w:pPr>
        <w:spacing w:line="480" w:lineRule="exact"/>
        <w:ind w:firstLine="560" w:firstLineChars="200"/>
        <w:rPr>
          <w:rFonts w:eastAsia="楷体_GB2312"/>
          <w:sz w:val="28"/>
          <w:szCs w:val="21"/>
        </w:rPr>
      </w:pPr>
      <w:r>
        <w:rPr>
          <w:rFonts w:eastAsia="楷体_GB2312"/>
          <w:sz w:val="28"/>
          <w:szCs w:val="21"/>
        </w:rPr>
        <w:t>（4）确定比较因素条件指数可见表</w:t>
      </w:r>
    </w:p>
    <w:p w14:paraId="566316AD">
      <w:pPr>
        <w:spacing w:line="480" w:lineRule="exact"/>
        <w:jc w:val="center"/>
        <w:rPr>
          <w:rFonts w:eastAsia="黑体"/>
          <w:sz w:val="28"/>
          <w:szCs w:val="21"/>
        </w:rPr>
      </w:pPr>
      <w:r>
        <w:rPr>
          <w:rFonts w:eastAsia="黑体"/>
          <w:sz w:val="28"/>
          <w:szCs w:val="21"/>
        </w:rPr>
        <w:t>表2-6-6  待估宗地比较因素条件指数表</w:t>
      </w:r>
    </w:p>
    <w:tbl>
      <w:tblPr>
        <w:tblStyle w:val="38"/>
        <w:tblW w:w="907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1476"/>
        <w:gridCol w:w="950"/>
        <w:gridCol w:w="949"/>
        <w:gridCol w:w="949"/>
        <w:gridCol w:w="949"/>
        <w:gridCol w:w="951"/>
        <w:gridCol w:w="949"/>
        <w:gridCol w:w="949"/>
        <w:gridCol w:w="949"/>
      </w:tblGrid>
      <w:tr w14:paraId="246636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0EAC6178">
            <w:pPr>
              <w:spacing w:line="300" w:lineRule="exact"/>
              <w:jc w:val="center"/>
              <w:rPr>
                <w:rFonts w:eastAsia="楷体_GB2312"/>
                <w:szCs w:val="21"/>
              </w:rPr>
            </w:pPr>
            <w:r>
              <w:rPr>
                <w:rFonts w:eastAsia="楷体_GB2312"/>
                <w:szCs w:val="21"/>
              </w:rPr>
              <w:t xml:space="preserve">   土地用途</w:t>
            </w:r>
          </w:p>
          <w:p w14:paraId="3B3C2EB7">
            <w:pPr>
              <w:spacing w:line="300" w:lineRule="exact"/>
              <w:rPr>
                <w:rFonts w:eastAsia="楷体_GB2312"/>
                <w:szCs w:val="21"/>
              </w:rPr>
            </w:pPr>
            <w:r>
              <w:rPr>
                <w:rFonts w:eastAsia="楷体_GB2312"/>
                <w:szCs w:val="21"/>
              </w:rPr>
              <w:t>比较因素</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206FD78B">
            <w:pPr>
              <w:spacing w:line="300" w:lineRule="exact"/>
              <w:jc w:val="center"/>
              <w:rPr>
                <w:rFonts w:eastAsia="楷体_GB2312"/>
                <w:szCs w:val="21"/>
              </w:rPr>
            </w:pPr>
            <w:r>
              <w:rPr>
                <w:rFonts w:eastAsia="楷体_GB2312"/>
                <w:szCs w:val="21"/>
              </w:rPr>
              <w:t>新闻出版用地</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4D5BDCB">
            <w:pPr>
              <w:spacing w:line="300" w:lineRule="exact"/>
              <w:jc w:val="center"/>
              <w:rPr>
                <w:rFonts w:eastAsia="楷体_GB2312"/>
                <w:szCs w:val="21"/>
              </w:rPr>
            </w:pPr>
            <w:r>
              <w:rPr>
                <w:rFonts w:eastAsia="楷体_GB2312"/>
                <w:szCs w:val="21"/>
              </w:rPr>
              <w:t>医疗卫生用地</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D0CA1F9">
            <w:pPr>
              <w:spacing w:line="300" w:lineRule="exact"/>
              <w:jc w:val="center"/>
              <w:rPr>
                <w:rFonts w:eastAsia="楷体_GB2312"/>
                <w:szCs w:val="21"/>
              </w:rPr>
            </w:pPr>
            <w:r>
              <w:rPr>
                <w:rFonts w:eastAsia="楷体_GB2312"/>
                <w:szCs w:val="21"/>
              </w:rPr>
              <w:t>文化设施用地</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B2D6B4E">
            <w:pPr>
              <w:spacing w:line="300" w:lineRule="exact"/>
              <w:jc w:val="center"/>
              <w:rPr>
                <w:rFonts w:eastAsia="楷体_GB2312"/>
                <w:szCs w:val="21"/>
              </w:rPr>
            </w:pPr>
            <w:r>
              <w:rPr>
                <w:rFonts w:eastAsia="楷体_GB2312"/>
                <w:szCs w:val="21"/>
              </w:rPr>
              <w:t>体育用</w:t>
            </w:r>
            <w:r>
              <w:rPr>
                <w:rFonts w:hint="eastAsia" w:eastAsia="楷体_GB2312"/>
                <w:szCs w:val="21"/>
              </w:rPr>
              <w:t>地</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43D85921">
            <w:pPr>
              <w:spacing w:line="300" w:lineRule="exact"/>
              <w:jc w:val="center"/>
              <w:rPr>
                <w:rFonts w:eastAsia="楷体_GB2312"/>
                <w:szCs w:val="21"/>
              </w:rPr>
            </w:pPr>
            <w:r>
              <w:rPr>
                <w:rFonts w:eastAsia="楷体_GB2312"/>
                <w:szCs w:val="21"/>
              </w:rPr>
              <w:t>教育用地</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4E7AF4CC">
            <w:pPr>
              <w:spacing w:line="300" w:lineRule="exact"/>
              <w:jc w:val="center"/>
              <w:rPr>
                <w:rFonts w:eastAsia="楷体_GB2312"/>
                <w:szCs w:val="21"/>
              </w:rPr>
            </w:pPr>
            <w:r>
              <w:rPr>
                <w:rFonts w:eastAsia="楷体_GB2312"/>
                <w:szCs w:val="21"/>
              </w:rPr>
              <w:t>科研用地</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0B0AAB8">
            <w:pPr>
              <w:spacing w:line="300" w:lineRule="exact"/>
              <w:jc w:val="center"/>
              <w:rPr>
                <w:rFonts w:eastAsia="楷体_GB2312"/>
                <w:szCs w:val="21"/>
              </w:rPr>
            </w:pPr>
            <w:r>
              <w:rPr>
                <w:rFonts w:eastAsia="楷体_GB2312"/>
                <w:szCs w:val="21"/>
              </w:rPr>
              <w:t>社会福利用地</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68FF491">
            <w:pPr>
              <w:spacing w:line="300" w:lineRule="exact"/>
              <w:jc w:val="center"/>
              <w:rPr>
                <w:rFonts w:eastAsia="楷体_GB2312"/>
                <w:szCs w:val="21"/>
              </w:rPr>
            </w:pPr>
            <w:r>
              <w:rPr>
                <w:rFonts w:eastAsia="楷体_GB2312"/>
                <w:szCs w:val="21"/>
              </w:rPr>
              <w:t>公用设施用地</w:t>
            </w:r>
          </w:p>
        </w:tc>
      </w:tr>
      <w:tr w14:paraId="31E38E4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6B0E0AB0">
            <w:pPr>
              <w:spacing w:line="300" w:lineRule="exact"/>
              <w:jc w:val="center"/>
              <w:rPr>
                <w:rFonts w:eastAsia="楷体_GB2312"/>
                <w:szCs w:val="21"/>
              </w:rPr>
            </w:pPr>
            <w:r>
              <w:rPr>
                <w:rFonts w:eastAsia="楷体_GB2312"/>
                <w:szCs w:val="21"/>
              </w:rPr>
              <w:t>受商服繁华影响程度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08CBC94A">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386B208">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3B0E2F16">
            <w:pPr>
              <w:spacing w:line="300" w:lineRule="exact"/>
              <w:jc w:val="center"/>
              <w:rPr>
                <w:rFonts w:eastAsia="楷体_GB2312"/>
                <w:szCs w:val="21"/>
              </w:rPr>
            </w:pPr>
            <w:r>
              <w:rPr>
                <w:rFonts w:hint="eastAsia" w:eastAsia="楷体_GB2312"/>
                <w:szCs w:val="21"/>
              </w:rPr>
              <w:t>96</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B4A28A4">
            <w:pPr>
              <w:spacing w:line="300" w:lineRule="exact"/>
              <w:jc w:val="center"/>
              <w:rPr>
                <w:rFonts w:eastAsia="楷体_GB2312"/>
                <w:szCs w:val="21"/>
              </w:rPr>
            </w:pPr>
            <w:r>
              <w:rPr>
                <w:rFonts w:hint="eastAsia" w:eastAsia="楷体_GB2312"/>
                <w:szCs w:val="21"/>
              </w:rPr>
              <w:t>96</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031FAD13">
            <w:pPr>
              <w:spacing w:line="300" w:lineRule="exact"/>
              <w:jc w:val="center"/>
              <w:rPr>
                <w:rFonts w:eastAsia="楷体_GB2312"/>
                <w:szCs w:val="21"/>
              </w:rPr>
            </w:pPr>
            <w:r>
              <w:rPr>
                <w:rFonts w:hint="eastAsia" w:eastAsia="楷体_GB2312"/>
                <w:szCs w:val="21"/>
              </w:rPr>
              <w:t>96</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7638555">
            <w:pPr>
              <w:spacing w:line="300" w:lineRule="exact"/>
              <w:jc w:val="center"/>
              <w:rPr>
                <w:rFonts w:eastAsia="楷体_GB2312"/>
                <w:szCs w:val="21"/>
              </w:rPr>
            </w:pPr>
            <w:r>
              <w:rPr>
                <w:rFonts w:hint="eastAsia" w:eastAsia="楷体_GB2312"/>
                <w:szCs w:val="21"/>
              </w:rPr>
              <w:t>96</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C6CFC8F">
            <w:pPr>
              <w:spacing w:line="300" w:lineRule="exact"/>
              <w:jc w:val="center"/>
              <w:rPr>
                <w:rFonts w:eastAsia="楷体_GB2312"/>
                <w:szCs w:val="21"/>
              </w:rPr>
            </w:pPr>
            <w:r>
              <w:rPr>
                <w:rFonts w:hint="eastAsia" w:eastAsia="楷体_GB2312"/>
                <w:szCs w:val="21"/>
              </w:rPr>
              <w:t>96</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4148FC8E">
            <w:pPr>
              <w:spacing w:line="300" w:lineRule="exact"/>
              <w:jc w:val="center"/>
              <w:rPr>
                <w:rFonts w:eastAsia="楷体_GB2312"/>
                <w:szCs w:val="21"/>
              </w:rPr>
            </w:pPr>
            <w:r>
              <w:rPr>
                <w:rFonts w:hint="eastAsia" w:eastAsia="楷体_GB2312"/>
                <w:szCs w:val="21"/>
              </w:rPr>
              <w:t>96</w:t>
            </w:r>
          </w:p>
        </w:tc>
      </w:tr>
      <w:tr w14:paraId="7E7AD9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3EB05978">
            <w:pPr>
              <w:spacing w:line="300" w:lineRule="exact"/>
              <w:jc w:val="center"/>
              <w:rPr>
                <w:rFonts w:eastAsia="楷体_GB2312"/>
                <w:szCs w:val="21"/>
              </w:rPr>
            </w:pPr>
            <w:r>
              <w:rPr>
                <w:rFonts w:eastAsia="楷体_GB2312"/>
                <w:szCs w:val="21"/>
              </w:rPr>
              <w:t>受交通便捷影响程度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1DB41C2D">
            <w:pPr>
              <w:spacing w:line="300" w:lineRule="exact"/>
              <w:jc w:val="center"/>
              <w:rPr>
                <w:rFonts w:eastAsia="楷体_GB2312"/>
                <w:szCs w:val="21"/>
              </w:rPr>
            </w:pPr>
            <w:r>
              <w:rPr>
                <w:rFonts w:hint="eastAsia" w:eastAsia="楷体_GB2312"/>
                <w:szCs w:val="21"/>
              </w:rPr>
              <w:t>103</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5F0A0460">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49682DE">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549C8579">
            <w:pPr>
              <w:spacing w:line="300" w:lineRule="exact"/>
              <w:jc w:val="center"/>
              <w:rPr>
                <w:rFonts w:eastAsia="楷体_GB2312"/>
                <w:szCs w:val="21"/>
              </w:rPr>
            </w:pPr>
            <w:r>
              <w:rPr>
                <w:rFonts w:eastAsia="楷体_GB2312"/>
                <w:szCs w:val="21"/>
              </w:rPr>
              <w:t>100</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02B76D35">
            <w:pPr>
              <w:spacing w:line="300" w:lineRule="exact"/>
              <w:jc w:val="center"/>
              <w:rPr>
                <w:rFonts w:eastAsia="楷体_GB2312"/>
                <w:szCs w:val="21"/>
              </w:rPr>
            </w:pPr>
            <w:r>
              <w:rPr>
                <w:rFonts w:hint="eastAsia" w:eastAsia="楷体_GB2312"/>
                <w:szCs w:val="21"/>
              </w:rPr>
              <w:t>97</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5220708B">
            <w:pPr>
              <w:spacing w:line="300" w:lineRule="exact"/>
              <w:jc w:val="center"/>
              <w:rPr>
                <w:rFonts w:eastAsia="楷体_GB2312"/>
                <w:szCs w:val="21"/>
              </w:rPr>
            </w:pPr>
            <w:r>
              <w:rPr>
                <w:rFonts w:hint="eastAsia" w:eastAsia="楷体_GB2312"/>
                <w:szCs w:val="21"/>
              </w:rPr>
              <w:t>97</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31456C74">
            <w:pPr>
              <w:spacing w:line="300" w:lineRule="exact"/>
              <w:jc w:val="center"/>
              <w:rPr>
                <w:rFonts w:eastAsia="楷体_GB2312"/>
                <w:szCs w:val="21"/>
              </w:rPr>
            </w:pPr>
            <w:r>
              <w:rPr>
                <w:rFonts w:hint="eastAsia" w:eastAsia="楷体_GB2312"/>
                <w:szCs w:val="21"/>
              </w:rPr>
              <w:t>97</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4AFF930">
            <w:pPr>
              <w:spacing w:line="300" w:lineRule="exact"/>
              <w:jc w:val="center"/>
              <w:rPr>
                <w:rFonts w:eastAsia="楷体_GB2312"/>
                <w:szCs w:val="21"/>
              </w:rPr>
            </w:pPr>
            <w:r>
              <w:rPr>
                <w:rFonts w:hint="eastAsia" w:eastAsia="楷体_GB2312"/>
                <w:szCs w:val="21"/>
              </w:rPr>
              <w:t>97</w:t>
            </w:r>
          </w:p>
        </w:tc>
      </w:tr>
      <w:tr w14:paraId="715C96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4A38292E">
            <w:pPr>
              <w:spacing w:line="300" w:lineRule="exact"/>
              <w:jc w:val="center"/>
              <w:rPr>
                <w:rFonts w:eastAsia="楷体_GB2312"/>
                <w:szCs w:val="21"/>
              </w:rPr>
            </w:pPr>
            <w:r>
              <w:rPr>
                <w:rFonts w:eastAsia="楷体_GB2312"/>
                <w:szCs w:val="21"/>
              </w:rPr>
              <w:t>受基础设施影响程度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5F14FBB2">
            <w:pPr>
              <w:spacing w:line="300" w:lineRule="exact"/>
              <w:jc w:val="center"/>
              <w:rPr>
                <w:rFonts w:eastAsia="楷体_GB2312"/>
                <w:szCs w:val="21"/>
              </w:rPr>
            </w:pPr>
            <w:r>
              <w:rPr>
                <w:rFonts w:hint="eastAsia" w:eastAsia="楷体_GB2312"/>
                <w:szCs w:val="21"/>
              </w:rPr>
              <w:t>102</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A4162BA">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3B9B69F4">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31760585">
            <w:pPr>
              <w:spacing w:line="300" w:lineRule="exact"/>
              <w:jc w:val="center"/>
              <w:rPr>
                <w:rFonts w:eastAsia="楷体_GB2312"/>
                <w:szCs w:val="21"/>
              </w:rPr>
            </w:pPr>
            <w:r>
              <w:rPr>
                <w:rFonts w:eastAsia="楷体_GB2312"/>
                <w:szCs w:val="21"/>
              </w:rPr>
              <w:t>100</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73FF4E1D">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53C822C">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5FF6193D">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0A2B87E">
            <w:pPr>
              <w:spacing w:line="300" w:lineRule="exact"/>
              <w:jc w:val="center"/>
              <w:rPr>
                <w:rFonts w:eastAsia="楷体_GB2312"/>
                <w:szCs w:val="21"/>
              </w:rPr>
            </w:pPr>
            <w:r>
              <w:rPr>
                <w:rFonts w:eastAsia="楷体_GB2312"/>
                <w:szCs w:val="21"/>
              </w:rPr>
              <w:t>100</w:t>
            </w:r>
          </w:p>
        </w:tc>
      </w:tr>
      <w:tr w14:paraId="37B8A4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050F21C7">
            <w:pPr>
              <w:spacing w:line="300" w:lineRule="exact"/>
              <w:jc w:val="center"/>
              <w:rPr>
                <w:rFonts w:eastAsia="楷体_GB2312"/>
                <w:szCs w:val="21"/>
              </w:rPr>
            </w:pPr>
            <w:r>
              <w:rPr>
                <w:rFonts w:eastAsia="楷体_GB2312"/>
                <w:szCs w:val="21"/>
              </w:rPr>
              <w:t>受环境条件影响程度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20AF5191">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91B2061">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5F0E090">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5A04013C">
            <w:pPr>
              <w:spacing w:line="300" w:lineRule="exact"/>
              <w:jc w:val="center"/>
              <w:rPr>
                <w:rFonts w:eastAsia="楷体_GB2312"/>
                <w:szCs w:val="21"/>
              </w:rPr>
            </w:pPr>
            <w:r>
              <w:rPr>
                <w:rFonts w:eastAsia="楷体_GB2312"/>
                <w:szCs w:val="21"/>
              </w:rPr>
              <w:t>100</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453C34B0">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C26CA9B">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5A6AB489">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82C0748">
            <w:pPr>
              <w:spacing w:line="300" w:lineRule="exact"/>
              <w:jc w:val="center"/>
              <w:rPr>
                <w:rFonts w:eastAsia="楷体_GB2312"/>
                <w:szCs w:val="21"/>
              </w:rPr>
            </w:pPr>
            <w:r>
              <w:rPr>
                <w:rFonts w:eastAsia="楷体_GB2312"/>
                <w:szCs w:val="21"/>
              </w:rPr>
              <w:t>100</w:t>
            </w:r>
          </w:p>
        </w:tc>
      </w:tr>
      <w:tr w14:paraId="5A8B91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72FE9044">
            <w:pPr>
              <w:spacing w:line="300" w:lineRule="exact"/>
              <w:jc w:val="center"/>
              <w:rPr>
                <w:rFonts w:eastAsia="楷体_GB2312"/>
                <w:szCs w:val="21"/>
              </w:rPr>
            </w:pPr>
            <w:r>
              <w:rPr>
                <w:rFonts w:eastAsia="楷体_GB2312"/>
                <w:szCs w:val="21"/>
              </w:rPr>
              <w:t>受自然条件影响程度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2BC65ED8">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F51D593">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5EAB23CD">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324F83B8">
            <w:pPr>
              <w:spacing w:line="300" w:lineRule="exact"/>
              <w:jc w:val="center"/>
              <w:rPr>
                <w:rFonts w:eastAsia="楷体_GB2312"/>
                <w:szCs w:val="21"/>
              </w:rPr>
            </w:pPr>
            <w:r>
              <w:rPr>
                <w:rFonts w:eastAsia="楷体_GB2312"/>
                <w:szCs w:val="21"/>
              </w:rPr>
              <w:t>100</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1D12485C">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4A6C5599">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507973AE">
            <w:pPr>
              <w:spacing w:line="300" w:lineRule="exact"/>
              <w:jc w:val="center"/>
              <w:rPr>
                <w:rFonts w:eastAsia="楷体_GB2312"/>
                <w:szCs w:val="21"/>
              </w:rPr>
            </w:pPr>
            <w:r>
              <w:rPr>
                <w:rFonts w:hint="eastAsia" w:eastAsia="楷体_GB2312"/>
                <w:szCs w:val="21"/>
              </w:rPr>
              <w:t>97</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0EB3F91">
            <w:pPr>
              <w:spacing w:line="300" w:lineRule="exact"/>
              <w:jc w:val="center"/>
              <w:rPr>
                <w:rFonts w:eastAsia="楷体_GB2312"/>
                <w:szCs w:val="21"/>
              </w:rPr>
            </w:pPr>
            <w:r>
              <w:rPr>
                <w:rFonts w:eastAsia="楷体_GB2312"/>
                <w:szCs w:val="21"/>
              </w:rPr>
              <w:t>100</w:t>
            </w:r>
          </w:p>
        </w:tc>
      </w:tr>
      <w:tr w14:paraId="269519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5E4E13D9">
            <w:pPr>
              <w:spacing w:line="300" w:lineRule="exact"/>
              <w:jc w:val="center"/>
              <w:rPr>
                <w:rFonts w:eastAsia="楷体_GB2312"/>
                <w:szCs w:val="21"/>
              </w:rPr>
            </w:pPr>
            <w:r>
              <w:rPr>
                <w:rFonts w:eastAsia="楷体_GB2312"/>
                <w:szCs w:val="21"/>
              </w:rPr>
              <w:t>受城市规划影响程度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77236BC6">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3E40F65">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38BD1513">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8B989F8">
            <w:pPr>
              <w:spacing w:line="300" w:lineRule="exact"/>
              <w:jc w:val="center"/>
              <w:rPr>
                <w:rFonts w:eastAsia="楷体_GB2312"/>
                <w:szCs w:val="21"/>
              </w:rPr>
            </w:pPr>
            <w:r>
              <w:rPr>
                <w:rFonts w:eastAsia="楷体_GB2312"/>
                <w:szCs w:val="21"/>
              </w:rPr>
              <w:t>100</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2E0748EA">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3B780DF7">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5E723793">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77B0B2CB">
            <w:pPr>
              <w:spacing w:line="300" w:lineRule="exact"/>
              <w:jc w:val="center"/>
              <w:rPr>
                <w:rFonts w:eastAsia="楷体_GB2312"/>
                <w:szCs w:val="21"/>
              </w:rPr>
            </w:pPr>
            <w:r>
              <w:rPr>
                <w:rFonts w:eastAsia="楷体_GB2312"/>
                <w:szCs w:val="21"/>
              </w:rPr>
              <w:t>100</w:t>
            </w:r>
          </w:p>
        </w:tc>
      </w:tr>
      <w:tr w14:paraId="1269DE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3A51563E">
            <w:pPr>
              <w:spacing w:line="300" w:lineRule="exact"/>
              <w:jc w:val="center"/>
              <w:rPr>
                <w:rFonts w:eastAsia="楷体_GB2312"/>
                <w:szCs w:val="21"/>
              </w:rPr>
            </w:pPr>
            <w:r>
              <w:rPr>
                <w:rFonts w:eastAsia="楷体_GB2312"/>
                <w:szCs w:val="21"/>
              </w:rPr>
              <w:t>受人口集聚影响程度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7D1994FE">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446F22C">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14D2568">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3FF1BC9A">
            <w:pPr>
              <w:spacing w:line="300" w:lineRule="exact"/>
              <w:jc w:val="center"/>
              <w:rPr>
                <w:rFonts w:eastAsia="楷体_GB2312"/>
                <w:szCs w:val="21"/>
              </w:rPr>
            </w:pPr>
            <w:r>
              <w:rPr>
                <w:rFonts w:eastAsia="楷体_GB2312"/>
                <w:szCs w:val="21"/>
              </w:rPr>
              <w:t>100</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6FCC4DDA">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5843979F">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4A7696DF">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7693B96">
            <w:pPr>
              <w:spacing w:line="300" w:lineRule="exact"/>
              <w:jc w:val="center"/>
              <w:rPr>
                <w:rFonts w:eastAsia="楷体_GB2312"/>
                <w:szCs w:val="21"/>
              </w:rPr>
            </w:pPr>
            <w:r>
              <w:rPr>
                <w:rFonts w:hint="eastAsia" w:eastAsia="楷体_GB2312"/>
                <w:szCs w:val="21"/>
              </w:rPr>
              <w:t>96</w:t>
            </w:r>
          </w:p>
        </w:tc>
      </w:tr>
      <w:tr w14:paraId="5A3EB1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46342828">
            <w:pPr>
              <w:spacing w:line="300" w:lineRule="exact"/>
              <w:jc w:val="center"/>
              <w:rPr>
                <w:rFonts w:eastAsia="楷体_GB2312"/>
                <w:szCs w:val="21"/>
              </w:rPr>
            </w:pPr>
            <w:r>
              <w:rPr>
                <w:rFonts w:eastAsia="楷体_GB2312"/>
                <w:szCs w:val="21"/>
              </w:rPr>
              <w:t>受产业集聚影响程度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7B6FA16D">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A6A41BD">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76EC7BF">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CAD21E4">
            <w:pPr>
              <w:spacing w:line="300" w:lineRule="exact"/>
              <w:jc w:val="center"/>
              <w:rPr>
                <w:rFonts w:eastAsia="楷体_GB2312"/>
                <w:szCs w:val="21"/>
              </w:rPr>
            </w:pPr>
            <w:r>
              <w:rPr>
                <w:rFonts w:eastAsia="楷体_GB2312"/>
                <w:szCs w:val="21"/>
              </w:rPr>
              <w:t>100</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1277D8C0">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27F147B">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4681CFDB">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E1658EF">
            <w:pPr>
              <w:spacing w:line="300" w:lineRule="exact"/>
              <w:jc w:val="center"/>
              <w:rPr>
                <w:rFonts w:eastAsia="楷体_GB2312"/>
                <w:szCs w:val="21"/>
              </w:rPr>
            </w:pPr>
            <w:r>
              <w:rPr>
                <w:rFonts w:hint="eastAsia" w:eastAsia="楷体_GB2312"/>
                <w:szCs w:val="21"/>
              </w:rPr>
              <w:t>95</w:t>
            </w:r>
          </w:p>
        </w:tc>
      </w:tr>
      <w:tr w14:paraId="6BF523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0F66E919">
            <w:pPr>
              <w:spacing w:line="300" w:lineRule="exact"/>
              <w:jc w:val="center"/>
              <w:rPr>
                <w:rFonts w:eastAsia="楷体_GB2312"/>
                <w:szCs w:val="21"/>
              </w:rPr>
            </w:pPr>
            <w:r>
              <w:rPr>
                <w:rFonts w:eastAsia="楷体_GB2312"/>
                <w:szCs w:val="21"/>
              </w:rPr>
              <w:t>其他因素影响程度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099F2A78">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76318BEF">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7FA9C238">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734B56D">
            <w:pPr>
              <w:spacing w:line="300" w:lineRule="exact"/>
              <w:jc w:val="center"/>
              <w:rPr>
                <w:rFonts w:eastAsia="楷体_GB2312"/>
                <w:szCs w:val="21"/>
              </w:rPr>
            </w:pPr>
            <w:r>
              <w:rPr>
                <w:rFonts w:eastAsia="楷体_GB2312"/>
                <w:szCs w:val="21"/>
              </w:rPr>
              <w:t>100</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7213EBC1">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E9B7B40">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D222C80">
            <w:pPr>
              <w:spacing w:line="300" w:lineRule="exact"/>
              <w:jc w:val="center"/>
              <w:rPr>
                <w:rFonts w:eastAsia="楷体_GB2312"/>
                <w:szCs w:val="21"/>
              </w:rPr>
            </w:pPr>
            <w:r>
              <w:rPr>
                <w:rFonts w:eastAsia="楷体_GB2312"/>
                <w:szCs w:val="21"/>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691D93D">
            <w:pPr>
              <w:spacing w:line="300" w:lineRule="exact"/>
              <w:jc w:val="center"/>
              <w:rPr>
                <w:rFonts w:eastAsia="楷体_GB2312"/>
                <w:szCs w:val="21"/>
              </w:rPr>
            </w:pPr>
            <w:r>
              <w:rPr>
                <w:rFonts w:eastAsia="楷体_GB2312"/>
                <w:szCs w:val="21"/>
              </w:rPr>
              <w:t>100</w:t>
            </w:r>
          </w:p>
        </w:tc>
      </w:tr>
    </w:tbl>
    <w:p w14:paraId="75E1F4FE">
      <w:pPr>
        <w:tabs>
          <w:tab w:val="left" w:pos="3570"/>
        </w:tabs>
        <w:adjustRightInd w:val="0"/>
        <w:snapToGrid w:val="0"/>
        <w:spacing w:line="380" w:lineRule="exact"/>
        <w:ind w:firstLine="560" w:firstLineChars="200"/>
        <w:rPr>
          <w:rFonts w:eastAsia="仿宋_GB2312"/>
          <w:sz w:val="28"/>
        </w:rPr>
      </w:pPr>
    </w:p>
    <w:p w14:paraId="0885AAA4">
      <w:pPr>
        <w:spacing w:line="480" w:lineRule="exact"/>
        <w:ind w:firstLine="560" w:firstLineChars="200"/>
        <w:rPr>
          <w:rFonts w:eastAsia="楷体_GB2312"/>
          <w:sz w:val="28"/>
          <w:szCs w:val="21"/>
        </w:rPr>
      </w:pPr>
      <w:r>
        <w:rPr>
          <w:rFonts w:eastAsia="楷体_GB2312"/>
          <w:sz w:val="28"/>
          <w:szCs w:val="21"/>
        </w:rPr>
        <w:t xml:space="preserve"> （5）确定比较因素修正系数</w:t>
      </w:r>
    </w:p>
    <w:p w14:paraId="1ED9A801">
      <w:pPr>
        <w:spacing w:line="480" w:lineRule="exact"/>
        <w:ind w:firstLine="560" w:firstLineChars="200"/>
        <w:rPr>
          <w:rFonts w:eastAsia="楷体_GB2312"/>
          <w:sz w:val="28"/>
          <w:szCs w:val="21"/>
        </w:rPr>
      </w:pPr>
      <w:r>
        <w:rPr>
          <w:rFonts w:eastAsia="楷体_GB2312"/>
          <w:sz w:val="28"/>
          <w:szCs w:val="21"/>
        </w:rPr>
        <w:t>根据比较因素条件指数，可得到公共管理与公共服务用地比较因素修正系数表。</w:t>
      </w:r>
    </w:p>
    <w:p w14:paraId="46D1421F">
      <w:pPr>
        <w:spacing w:line="480" w:lineRule="exact"/>
        <w:jc w:val="center"/>
        <w:rPr>
          <w:rFonts w:eastAsia="黑体"/>
          <w:sz w:val="28"/>
          <w:szCs w:val="21"/>
        </w:rPr>
      </w:pPr>
      <w:r>
        <w:rPr>
          <w:rFonts w:eastAsia="黑体"/>
          <w:sz w:val="28"/>
          <w:szCs w:val="21"/>
        </w:rPr>
        <w:t>表2-6-7    待估宗地因素修正系数表</w:t>
      </w:r>
    </w:p>
    <w:tbl>
      <w:tblPr>
        <w:tblStyle w:val="38"/>
        <w:tblW w:w="907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1476"/>
        <w:gridCol w:w="950"/>
        <w:gridCol w:w="949"/>
        <w:gridCol w:w="949"/>
        <w:gridCol w:w="949"/>
        <w:gridCol w:w="951"/>
        <w:gridCol w:w="949"/>
        <w:gridCol w:w="949"/>
        <w:gridCol w:w="949"/>
      </w:tblGrid>
      <w:tr w14:paraId="07F92E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l2br w:val="single" w:color="auto" w:sz="4" w:space="0"/>
            </w:tcBorders>
            <w:noWrap w:val="0"/>
            <w:vAlign w:val="center"/>
          </w:tcPr>
          <w:p w14:paraId="74619C5B">
            <w:pPr>
              <w:spacing w:line="300" w:lineRule="exact"/>
              <w:jc w:val="center"/>
              <w:rPr>
                <w:rFonts w:eastAsia="楷体_GB2312"/>
                <w:szCs w:val="22"/>
              </w:rPr>
            </w:pPr>
            <w:r>
              <w:rPr>
                <w:rFonts w:eastAsia="楷体_GB2312"/>
                <w:szCs w:val="22"/>
              </w:rPr>
              <w:t xml:space="preserve">   土地用途</w:t>
            </w:r>
          </w:p>
          <w:p w14:paraId="6F65A5F1">
            <w:pPr>
              <w:spacing w:line="300" w:lineRule="exact"/>
              <w:rPr>
                <w:rFonts w:eastAsia="楷体_GB2312"/>
                <w:szCs w:val="22"/>
              </w:rPr>
            </w:pPr>
            <w:r>
              <w:rPr>
                <w:rFonts w:eastAsia="楷体_GB2312"/>
                <w:szCs w:val="22"/>
              </w:rPr>
              <w:t>比较因素</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45028C6F">
            <w:pPr>
              <w:spacing w:line="300" w:lineRule="exact"/>
              <w:jc w:val="center"/>
              <w:rPr>
                <w:rFonts w:eastAsia="楷体_GB2312"/>
                <w:szCs w:val="21"/>
              </w:rPr>
            </w:pPr>
            <w:r>
              <w:rPr>
                <w:rFonts w:eastAsia="楷体_GB2312"/>
                <w:szCs w:val="21"/>
              </w:rPr>
              <w:t>新闻出版用地</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3CF6D611">
            <w:pPr>
              <w:spacing w:line="300" w:lineRule="exact"/>
              <w:jc w:val="center"/>
              <w:rPr>
                <w:rFonts w:eastAsia="楷体_GB2312"/>
                <w:szCs w:val="21"/>
              </w:rPr>
            </w:pPr>
            <w:r>
              <w:rPr>
                <w:rFonts w:eastAsia="楷体_GB2312"/>
                <w:szCs w:val="21"/>
              </w:rPr>
              <w:t>医疗卫生用地</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06DF003">
            <w:pPr>
              <w:spacing w:line="300" w:lineRule="exact"/>
              <w:jc w:val="center"/>
              <w:rPr>
                <w:rFonts w:eastAsia="楷体_GB2312"/>
                <w:szCs w:val="21"/>
              </w:rPr>
            </w:pPr>
            <w:r>
              <w:rPr>
                <w:rFonts w:eastAsia="楷体_GB2312"/>
                <w:szCs w:val="21"/>
              </w:rPr>
              <w:t>文化设施用地</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9BE0CEA">
            <w:pPr>
              <w:spacing w:line="300" w:lineRule="exact"/>
              <w:jc w:val="center"/>
              <w:rPr>
                <w:rFonts w:eastAsia="楷体_GB2312"/>
                <w:szCs w:val="21"/>
              </w:rPr>
            </w:pPr>
            <w:r>
              <w:rPr>
                <w:rFonts w:eastAsia="楷体_GB2312"/>
                <w:szCs w:val="21"/>
              </w:rPr>
              <w:t>体育用</w:t>
            </w:r>
            <w:r>
              <w:rPr>
                <w:rFonts w:hint="eastAsia" w:eastAsia="楷体_GB2312"/>
                <w:szCs w:val="21"/>
              </w:rPr>
              <w:t>地</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1CAADC06">
            <w:pPr>
              <w:spacing w:line="300" w:lineRule="exact"/>
              <w:jc w:val="center"/>
              <w:rPr>
                <w:rFonts w:eastAsia="楷体_GB2312"/>
                <w:szCs w:val="21"/>
              </w:rPr>
            </w:pPr>
            <w:r>
              <w:rPr>
                <w:rFonts w:eastAsia="楷体_GB2312"/>
                <w:szCs w:val="21"/>
              </w:rPr>
              <w:t>教育用地</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45518E40">
            <w:pPr>
              <w:spacing w:line="300" w:lineRule="exact"/>
              <w:jc w:val="center"/>
              <w:rPr>
                <w:rFonts w:eastAsia="楷体_GB2312"/>
                <w:szCs w:val="21"/>
              </w:rPr>
            </w:pPr>
            <w:r>
              <w:rPr>
                <w:rFonts w:eastAsia="楷体_GB2312"/>
                <w:szCs w:val="21"/>
              </w:rPr>
              <w:t>科研用地</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71E4FCA6">
            <w:pPr>
              <w:spacing w:line="300" w:lineRule="exact"/>
              <w:jc w:val="center"/>
              <w:rPr>
                <w:rFonts w:eastAsia="楷体_GB2312"/>
                <w:szCs w:val="21"/>
              </w:rPr>
            </w:pPr>
            <w:r>
              <w:rPr>
                <w:rFonts w:eastAsia="楷体_GB2312"/>
                <w:szCs w:val="21"/>
              </w:rPr>
              <w:t>社会福利用地</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7CFD6866">
            <w:pPr>
              <w:spacing w:line="300" w:lineRule="exact"/>
              <w:jc w:val="center"/>
              <w:rPr>
                <w:rFonts w:eastAsia="楷体_GB2312"/>
                <w:szCs w:val="21"/>
              </w:rPr>
            </w:pPr>
            <w:r>
              <w:rPr>
                <w:rFonts w:eastAsia="楷体_GB2312"/>
                <w:szCs w:val="21"/>
              </w:rPr>
              <w:t>公用设施用地</w:t>
            </w:r>
          </w:p>
        </w:tc>
      </w:tr>
      <w:tr w14:paraId="29DA5E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15861948">
            <w:pPr>
              <w:spacing w:line="300" w:lineRule="exact"/>
              <w:jc w:val="center"/>
              <w:rPr>
                <w:rFonts w:eastAsia="楷体_GB2312"/>
                <w:szCs w:val="22"/>
              </w:rPr>
            </w:pPr>
            <w:r>
              <w:rPr>
                <w:rFonts w:eastAsia="楷体_GB2312"/>
                <w:szCs w:val="22"/>
              </w:rPr>
              <w:t>受商服繁华影响程度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7CAAFDE6">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3B172E70">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931A875">
            <w:pPr>
              <w:spacing w:line="300" w:lineRule="exact"/>
              <w:jc w:val="center"/>
              <w:rPr>
                <w:rFonts w:eastAsia="楷体_GB2312"/>
                <w:szCs w:val="21"/>
              </w:rPr>
            </w:pPr>
            <w:r>
              <w:rPr>
                <w:rFonts w:hint="eastAsia" w:eastAsia="楷体_GB2312"/>
                <w:szCs w:val="21"/>
              </w:rPr>
              <w:t>96</w:t>
            </w:r>
            <w:r>
              <w:rPr>
                <w:rFonts w:eastAsia="楷体_GB2312"/>
                <w:szCs w:val="22"/>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76D778E">
            <w:pPr>
              <w:spacing w:line="300" w:lineRule="exact"/>
              <w:jc w:val="center"/>
              <w:rPr>
                <w:rFonts w:eastAsia="楷体_GB2312"/>
                <w:szCs w:val="21"/>
              </w:rPr>
            </w:pPr>
            <w:r>
              <w:rPr>
                <w:rFonts w:hint="eastAsia" w:eastAsia="楷体_GB2312"/>
                <w:szCs w:val="21"/>
              </w:rPr>
              <w:t>96</w:t>
            </w:r>
            <w:r>
              <w:rPr>
                <w:rFonts w:eastAsia="楷体_GB2312"/>
                <w:szCs w:val="22"/>
              </w:rPr>
              <w:t>/100</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2D7E37FD">
            <w:pPr>
              <w:spacing w:line="300" w:lineRule="exact"/>
              <w:jc w:val="center"/>
              <w:rPr>
                <w:rFonts w:eastAsia="楷体_GB2312"/>
                <w:szCs w:val="21"/>
              </w:rPr>
            </w:pPr>
            <w:r>
              <w:rPr>
                <w:rFonts w:hint="eastAsia" w:eastAsia="楷体_GB2312"/>
                <w:szCs w:val="21"/>
              </w:rPr>
              <w:t>96</w:t>
            </w:r>
            <w:r>
              <w:rPr>
                <w:rFonts w:eastAsia="楷体_GB2312"/>
                <w:szCs w:val="22"/>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40E5CA91">
            <w:pPr>
              <w:spacing w:line="300" w:lineRule="exact"/>
              <w:jc w:val="center"/>
              <w:rPr>
                <w:rFonts w:eastAsia="楷体_GB2312"/>
                <w:szCs w:val="21"/>
              </w:rPr>
            </w:pPr>
            <w:r>
              <w:rPr>
                <w:rFonts w:hint="eastAsia" w:eastAsia="楷体_GB2312"/>
                <w:szCs w:val="21"/>
              </w:rPr>
              <w:t>96</w:t>
            </w:r>
            <w:r>
              <w:rPr>
                <w:rFonts w:eastAsia="楷体_GB2312"/>
                <w:szCs w:val="22"/>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37E2C824">
            <w:pPr>
              <w:spacing w:line="300" w:lineRule="exact"/>
              <w:jc w:val="center"/>
              <w:rPr>
                <w:rFonts w:eastAsia="楷体_GB2312"/>
                <w:szCs w:val="21"/>
              </w:rPr>
            </w:pPr>
            <w:r>
              <w:rPr>
                <w:rFonts w:hint="eastAsia" w:eastAsia="楷体_GB2312"/>
                <w:szCs w:val="21"/>
              </w:rPr>
              <w:t>96</w:t>
            </w:r>
            <w:r>
              <w:rPr>
                <w:rFonts w:eastAsia="楷体_GB2312"/>
                <w:szCs w:val="22"/>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7C064D0C">
            <w:pPr>
              <w:spacing w:line="300" w:lineRule="exact"/>
              <w:jc w:val="center"/>
              <w:rPr>
                <w:rFonts w:eastAsia="楷体_GB2312"/>
                <w:szCs w:val="21"/>
              </w:rPr>
            </w:pPr>
            <w:r>
              <w:rPr>
                <w:rFonts w:hint="eastAsia" w:eastAsia="楷体_GB2312"/>
                <w:szCs w:val="21"/>
              </w:rPr>
              <w:t>96</w:t>
            </w:r>
            <w:r>
              <w:rPr>
                <w:rFonts w:eastAsia="楷体_GB2312"/>
                <w:szCs w:val="22"/>
              </w:rPr>
              <w:t>/100</w:t>
            </w:r>
          </w:p>
        </w:tc>
      </w:tr>
      <w:tr w14:paraId="3BB98A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6DF62E7E">
            <w:pPr>
              <w:spacing w:line="300" w:lineRule="exact"/>
              <w:jc w:val="center"/>
              <w:rPr>
                <w:rFonts w:eastAsia="楷体_GB2312"/>
                <w:szCs w:val="22"/>
              </w:rPr>
            </w:pPr>
            <w:r>
              <w:rPr>
                <w:rFonts w:eastAsia="楷体_GB2312"/>
                <w:szCs w:val="22"/>
              </w:rPr>
              <w:t>受交通便捷影响程度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5F5F45D9">
            <w:pPr>
              <w:spacing w:line="300" w:lineRule="exact"/>
              <w:jc w:val="center"/>
              <w:rPr>
                <w:rFonts w:eastAsia="楷体_GB2312"/>
                <w:szCs w:val="21"/>
              </w:rPr>
            </w:pPr>
            <w:r>
              <w:rPr>
                <w:rFonts w:hint="eastAsia" w:eastAsia="楷体_GB2312"/>
                <w:szCs w:val="21"/>
              </w:rPr>
              <w:t>103</w:t>
            </w:r>
            <w:r>
              <w:rPr>
                <w:rFonts w:eastAsia="楷体_GB2312"/>
                <w:szCs w:val="22"/>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766ACF7">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97B718B">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4635F360">
            <w:pPr>
              <w:spacing w:line="300" w:lineRule="exact"/>
              <w:jc w:val="center"/>
              <w:rPr>
                <w:rFonts w:eastAsia="楷体_GB2312"/>
                <w:szCs w:val="22"/>
              </w:rPr>
            </w:pPr>
            <w:r>
              <w:rPr>
                <w:rFonts w:eastAsia="楷体_GB2312"/>
                <w:szCs w:val="22"/>
              </w:rPr>
              <w:t>100/100</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521C380C">
            <w:pPr>
              <w:spacing w:line="300" w:lineRule="exact"/>
              <w:jc w:val="center"/>
              <w:rPr>
                <w:rFonts w:eastAsia="楷体_GB2312"/>
                <w:szCs w:val="21"/>
              </w:rPr>
            </w:pPr>
            <w:r>
              <w:rPr>
                <w:rFonts w:hint="eastAsia" w:eastAsia="楷体_GB2312"/>
                <w:szCs w:val="21"/>
              </w:rPr>
              <w:t>97</w:t>
            </w:r>
            <w:r>
              <w:rPr>
                <w:rFonts w:eastAsia="楷体_GB2312"/>
                <w:szCs w:val="22"/>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6AFDC19">
            <w:pPr>
              <w:spacing w:line="300" w:lineRule="exact"/>
              <w:jc w:val="center"/>
              <w:rPr>
                <w:rFonts w:eastAsia="楷体_GB2312"/>
                <w:szCs w:val="21"/>
              </w:rPr>
            </w:pPr>
            <w:r>
              <w:rPr>
                <w:rFonts w:hint="eastAsia" w:eastAsia="楷体_GB2312"/>
                <w:szCs w:val="21"/>
              </w:rPr>
              <w:t>97</w:t>
            </w:r>
            <w:r>
              <w:rPr>
                <w:rFonts w:eastAsia="楷体_GB2312"/>
                <w:szCs w:val="22"/>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5636A178">
            <w:pPr>
              <w:spacing w:line="300" w:lineRule="exact"/>
              <w:jc w:val="center"/>
              <w:rPr>
                <w:rFonts w:eastAsia="楷体_GB2312"/>
                <w:szCs w:val="21"/>
              </w:rPr>
            </w:pPr>
            <w:r>
              <w:rPr>
                <w:rFonts w:hint="eastAsia" w:eastAsia="楷体_GB2312"/>
                <w:szCs w:val="21"/>
              </w:rPr>
              <w:t>97</w:t>
            </w:r>
            <w:r>
              <w:rPr>
                <w:rFonts w:eastAsia="楷体_GB2312"/>
                <w:szCs w:val="22"/>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D6A7C5E">
            <w:pPr>
              <w:spacing w:line="300" w:lineRule="exact"/>
              <w:jc w:val="center"/>
              <w:rPr>
                <w:rFonts w:eastAsia="楷体_GB2312"/>
                <w:szCs w:val="21"/>
              </w:rPr>
            </w:pPr>
            <w:r>
              <w:rPr>
                <w:rFonts w:hint="eastAsia" w:eastAsia="楷体_GB2312"/>
                <w:szCs w:val="21"/>
              </w:rPr>
              <w:t>97</w:t>
            </w:r>
            <w:r>
              <w:rPr>
                <w:rFonts w:eastAsia="楷体_GB2312"/>
                <w:szCs w:val="22"/>
              </w:rPr>
              <w:t>/100</w:t>
            </w:r>
          </w:p>
        </w:tc>
      </w:tr>
      <w:tr w14:paraId="37D23E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4994D8E8">
            <w:pPr>
              <w:spacing w:line="300" w:lineRule="exact"/>
              <w:jc w:val="center"/>
              <w:rPr>
                <w:rFonts w:eastAsia="楷体_GB2312"/>
                <w:szCs w:val="22"/>
              </w:rPr>
            </w:pPr>
            <w:r>
              <w:rPr>
                <w:rFonts w:eastAsia="楷体_GB2312"/>
                <w:szCs w:val="22"/>
              </w:rPr>
              <w:t>受基础设施影响程度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5CC59F4C">
            <w:pPr>
              <w:spacing w:line="300" w:lineRule="exact"/>
              <w:jc w:val="center"/>
              <w:rPr>
                <w:rFonts w:eastAsia="楷体_GB2312"/>
                <w:szCs w:val="21"/>
              </w:rPr>
            </w:pPr>
            <w:r>
              <w:rPr>
                <w:rFonts w:hint="eastAsia" w:eastAsia="楷体_GB2312"/>
                <w:szCs w:val="21"/>
              </w:rPr>
              <w:t>102</w:t>
            </w:r>
            <w:r>
              <w:rPr>
                <w:rFonts w:eastAsia="楷体_GB2312"/>
                <w:szCs w:val="22"/>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B4C3631">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292D960">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7DC415F">
            <w:pPr>
              <w:spacing w:line="300" w:lineRule="exact"/>
              <w:jc w:val="center"/>
              <w:rPr>
                <w:rFonts w:eastAsia="楷体_GB2312"/>
                <w:szCs w:val="22"/>
              </w:rPr>
            </w:pPr>
            <w:r>
              <w:rPr>
                <w:rFonts w:eastAsia="楷体_GB2312"/>
                <w:szCs w:val="22"/>
              </w:rPr>
              <w:t>100/100</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0371BD95">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71B8E894">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9CDBFAF">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7BDE688B">
            <w:pPr>
              <w:spacing w:line="300" w:lineRule="exact"/>
              <w:jc w:val="center"/>
              <w:rPr>
                <w:rFonts w:eastAsia="楷体_GB2312"/>
                <w:szCs w:val="22"/>
              </w:rPr>
            </w:pPr>
            <w:r>
              <w:rPr>
                <w:rFonts w:eastAsia="楷体_GB2312"/>
                <w:szCs w:val="22"/>
              </w:rPr>
              <w:t>100/100</w:t>
            </w:r>
          </w:p>
        </w:tc>
      </w:tr>
      <w:tr w14:paraId="2C98DF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0ADFC96B">
            <w:pPr>
              <w:spacing w:line="300" w:lineRule="exact"/>
              <w:jc w:val="center"/>
              <w:rPr>
                <w:rFonts w:eastAsia="楷体_GB2312"/>
                <w:szCs w:val="22"/>
              </w:rPr>
            </w:pPr>
            <w:r>
              <w:rPr>
                <w:rFonts w:eastAsia="楷体_GB2312"/>
                <w:szCs w:val="22"/>
              </w:rPr>
              <w:t>受环境条件影响程度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1CB04EA6">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332CDFF4">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1C61FE9">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33F0CF35">
            <w:pPr>
              <w:spacing w:line="300" w:lineRule="exact"/>
              <w:jc w:val="center"/>
              <w:rPr>
                <w:rFonts w:eastAsia="楷体_GB2312"/>
                <w:szCs w:val="22"/>
              </w:rPr>
            </w:pPr>
            <w:r>
              <w:rPr>
                <w:rFonts w:eastAsia="楷体_GB2312"/>
                <w:szCs w:val="22"/>
              </w:rPr>
              <w:t>100/100</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1FB08E0B">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59D13172">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511CA5B7">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5ADE961B">
            <w:pPr>
              <w:spacing w:line="300" w:lineRule="exact"/>
              <w:jc w:val="center"/>
              <w:rPr>
                <w:rFonts w:eastAsia="楷体_GB2312"/>
                <w:szCs w:val="22"/>
              </w:rPr>
            </w:pPr>
            <w:r>
              <w:rPr>
                <w:rFonts w:eastAsia="楷体_GB2312"/>
                <w:szCs w:val="22"/>
              </w:rPr>
              <w:t>100/100</w:t>
            </w:r>
          </w:p>
        </w:tc>
      </w:tr>
      <w:tr w14:paraId="539E26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1A421448">
            <w:pPr>
              <w:spacing w:line="300" w:lineRule="exact"/>
              <w:jc w:val="center"/>
              <w:rPr>
                <w:rFonts w:eastAsia="楷体_GB2312"/>
                <w:szCs w:val="22"/>
              </w:rPr>
            </w:pPr>
            <w:r>
              <w:rPr>
                <w:rFonts w:eastAsia="楷体_GB2312"/>
                <w:szCs w:val="22"/>
              </w:rPr>
              <w:t>受自然条件影响程度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56CBD2D1">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021C054">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55A74554">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03A9E19">
            <w:pPr>
              <w:spacing w:line="300" w:lineRule="exact"/>
              <w:jc w:val="center"/>
              <w:rPr>
                <w:rFonts w:eastAsia="楷体_GB2312"/>
                <w:szCs w:val="22"/>
              </w:rPr>
            </w:pPr>
            <w:r>
              <w:rPr>
                <w:rFonts w:eastAsia="楷体_GB2312"/>
                <w:szCs w:val="22"/>
              </w:rPr>
              <w:t>100/100</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3A0346FB">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D10EC17">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F857DD1">
            <w:pPr>
              <w:spacing w:line="300" w:lineRule="exact"/>
              <w:jc w:val="center"/>
              <w:rPr>
                <w:rFonts w:eastAsia="楷体_GB2312"/>
                <w:szCs w:val="21"/>
              </w:rPr>
            </w:pPr>
            <w:r>
              <w:rPr>
                <w:rFonts w:hint="eastAsia" w:eastAsia="楷体_GB2312"/>
                <w:szCs w:val="21"/>
              </w:rPr>
              <w:t>97</w:t>
            </w:r>
            <w:r>
              <w:rPr>
                <w:rFonts w:eastAsia="楷体_GB2312"/>
                <w:szCs w:val="22"/>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0CDAEC7">
            <w:pPr>
              <w:spacing w:line="300" w:lineRule="exact"/>
              <w:jc w:val="center"/>
              <w:rPr>
                <w:rFonts w:eastAsia="楷体_GB2312"/>
                <w:szCs w:val="21"/>
              </w:rPr>
            </w:pPr>
            <w:r>
              <w:rPr>
                <w:rFonts w:eastAsia="楷体_GB2312"/>
                <w:szCs w:val="21"/>
              </w:rPr>
              <w:t>100</w:t>
            </w:r>
            <w:r>
              <w:rPr>
                <w:rFonts w:eastAsia="楷体_GB2312"/>
                <w:szCs w:val="22"/>
              </w:rPr>
              <w:t>/100</w:t>
            </w:r>
          </w:p>
        </w:tc>
      </w:tr>
      <w:tr w14:paraId="7C2A2B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00ADF893">
            <w:pPr>
              <w:spacing w:line="300" w:lineRule="exact"/>
              <w:jc w:val="center"/>
              <w:rPr>
                <w:rFonts w:eastAsia="楷体_GB2312"/>
                <w:szCs w:val="22"/>
              </w:rPr>
            </w:pPr>
            <w:r>
              <w:rPr>
                <w:rFonts w:eastAsia="楷体_GB2312"/>
                <w:szCs w:val="22"/>
              </w:rPr>
              <w:t>受城市规划影响程度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77892B26">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7AAE05A6">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6BE1F4C">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73B933EC">
            <w:pPr>
              <w:spacing w:line="300" w:lineRule="exact"/>
              <w:jc w:val="center"/>
              <w:rPr>
                <w:rFonts w:eastAsia="楷体_GB2312"/>
                <w:szCs w:val="22"/>
              </w:rPr>
            </w:pPr>
            <w:r>
              <w:rPr>
                <w:rFonts w:eastAsia="楷体_GB2312"/>
                <w:szCs w:val="22"/>
              </w:rPr>
              <w:t>100/100</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69D26928">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36292645">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4C97555">
            <w:pPr>
              <w:spacing w:line="300" w:lineRule="exact"/>
              <w:jc w:val="center"/>
              <w:rPr>
                <w:rFonts w:eastAsia="楷体_GB2312"/>
                <w:szCs w:val="21"/>
              </w:rPr>
            </w:pPr>
            <w:r>
              <w:rPr>
                <w:rFonts w:eastAsia="楷体_GB2312"/>
                <w:szCs w:val="21"/>
              </w:rPr>
              <w:t>100</w:t>
            </w:r>
            <w:r>
              <w:rPr>
                <w:rFonts w:eastAsia="楷体_GB2312"/>
                <w:szCs w:val="22"/>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2C0C46C">
            <w:pPr>
              <w:spacing w:line="300" w:lineRule="exact"/>
              <w:jc w:val="center"/>
              <w:rPr>
                <w:rFonts w:eastAsia="楷体_GB2312"/>
                <w:szCs w:val="21"/>
              </w:rPr>
            </w:pPr>
            <w:r>
              <w:rPr>
                <w:rFonts w:eastAsia="楷体_GB2312"/>
                <w:szCs w:val="21"/>
              </w:rPr>
              <w:t>100</w:t>
            </w:r>
            <w:r>
              <w:rPr>
                <w:rFonts w:eastAsia="楷体_GB2312"/>
                <w:szCs w:val="22"/>
              </w:rPr>
              <w:t>/100</w:t>
            </w:r>
          </w:p>
        </w:tc>
      </w:tr>
      <w:tr w14:paraId="1A4C2E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71E5D9AF">
            <w:pPr>
              <w:spacing w:line="300" w:lineRule="exact"/>
              <w:jc w:val="center"/>
              <w:rPr>
                <w:rFonts w:eastAsia="楷体_GB2312"/>
                <w:szCs w:val="22"/>
              </w:rPr>
            </w:pPr>
            <w:r>
              <w:rPr>
                <w:rFonts w:eastAsia="楷体_GB2312"/>
                <w:szCs w:val="22"/>
              </w:rPr>
              <w:t>受人口集聚影响程度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4AA0856C">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23A7EF3">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37D321D">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7A1DD32B">
            <w:pPr>
              <w:spacing w:line="300" w:lineRule="exact"/>
              <w:jc w:val="center"/>
              <w:rPr>
                <w:rFonts w:eastAsia="楷体_GB2312"/>
                <w:szCs w:val="22"/>
              </w:rPr>
            </w:pPr>
            <w:r>
              <w:rPr>
                <w:rFonts w:eastAsia="楷体_GB2312"/>
                <w:szCs w:val="22"/>
              </w:rPr>
              <w:t>100/100</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1327C769">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D64FBC6">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ADD52A7">
            <w:pPr>
              <w:spacing w:line="300" w:lineRule="exact"/>
              <w:jc w:val="center"/>
              <w:rPr>
                <w:rFonts w:eastAsia="楷体_GB2312"/>
                <w:szCs w:val="21"/>
              </w:rPr>
            </w:pPr>
            <w:r>
              <w:rPr>
                <w:rFonts w:eastAsia="楷体_GB2312"/>
                <w:szCs w:val="21"/>
              </w:rPr>
              <w:t>100</w:t>
            </w:r>
            <w:r>
              <w:rPr>
                <w:rFonts w:eastAsia="楷体_GB2312"/>
                <w:szCs w:val="22"/>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65E2C17E">
            <w:pPr>
              <w:spacing w:line="300" w:lineRule="exact"/>
              <w:jc w:val="center"/>
              <w:rPr>
                <w:rFonts w:eastAsia="楷体_GB2312"/>
                <w:szCs w:val="21"/>
              </w:rPr>
            </w:pPr>
            <w:r>
              <w:rPr>
                <w:rFonts w:hint="eastAsia" w:eastAsia="楷体_GB2312"/>
                <w:szCs w:val="21"/>
              </w:rPr>
              <w:t>96</w:t>
            </w:r>
            <w:r>
              <w:rPr>
                <w:rFonts w:eastAsia="楷体_GB2312"/>
                <w:szCs w:val="22"/>
              </w:rPr>
              <w:t>/100</w:t>
            </w:r>
          </w:p>
        </w:tc>
      </w:tr>
      <w:tr w14:paraId="6134D5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1ABD6FD5">
            <w:pPr>
              <w:spacing w:line="300" w:lineRule="exact"/>
              <w:jc w:val="center"/>
              <w:rPr>
                <w:rFonts w:eastAsia="楷体_GB2312"/>
                <w:szCs w:val="22"/>
              </w:rPr>
            </w:pPr>
            <w:r>
              <w:rPr>
                <w:rFonts w:eastAsia="楷体_GB2312"/>
                <w:szCs w:val="22"/>
              </w:rPr>
              <w:t>受产业集聚影响程度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32BDA61A">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D6AB93D">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AA8C462">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BA6769A">
            <w:pPr>
              <w:spacing w:line="300" w:lineRule="exact"/>
              <w:jc w:val="center"/>
              <w:rPr>
                <w:rFonts w:eastAsia="楷体_GB2312"/>
                <w:szCs w:val="22"/>
              </w:rPr>
            </w:pPr>
            <w:r>
              <w:rPr>
                <w:rFonts w:eastAsia="楷体_GB2312"/>
                <w:szCs w:val="22"/>
              </w:rPr>
              <w:t>100/100</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5553A6FE">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78B357C">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487956C2">
            <w:pPr>
              <w:spacing w:line="300" w:lineRule="exact"/>
              <w:jc w:val="center"/>
              <w:rPr>
                <w:rFonts w:eastAsia="楷体_GB2312"/>
                <w:szCs w:val="21"/>
              </w:rPr>
            </w:pPr>
            <w:r>
              <w:rPr>
                <w:rFonts w:eastAsia="楷体_GB2312"/>
                <w:szCs w:val="21"/>
              </w:rPr>
              <w:t>100</w:t>
            </w:r>
            <w:r>
              <w:rPr>
                <w:rFonts w:eastAsia="楷体_GB2312"/>
                <w:szCs w:val="22"/>
              </w:rPr>
              <w:t>/100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F6C5227">
            <w:pPr>
              <w:spacing w:line="300" w:lineRule="exact"/>
              <w:jc w:val="center"/>
              <w:rPr>
                <w:rFonts w:eastAsia="楷体_GB2312"/>
                <w:szCs w:val="21"/>
              </w:rPr>
            </w:pPr>
            <w:r>
              <w:rPr>
                <w:rFonts w:hint="eastAsia" w:eastAsia="楷体_GB2312"/>
                <w:szCs w:val="21"/>
              </w:rPr>
              <w:t>95</w:t>
            </w:r>
            <w:r>
              <w:rPr>
                <w:rFonts w:eastAsia="楷体_GB2312"/>
                <w:szCs w:val="22"/>
              </w:rPr>
              <w:t>/100</w:t>
            </w:r>
          </w:p>
        </w:tc>
      </w:tr>
      <w:tr w14:paraId="5D9BB9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5C7EB9E4">
            <w:pPr>
              <w:spacing w:line="300" w:lineRule="exact"/>
              <w:jc w:val="center"/>
              <w:rPr>
                <w:rFonts w:eastAsia="楷体_GB2312"/>
                <w:szCs w:val="22"/>
              </w:rPr>
            </w:pPr>
            <w:r>
              <w:rPr>
                <w:rFonts w:eastAsia="楷体_GB2312"/>
                <w:szCs w:val="22"/>
              </w:rPr>
              <w:t>其他因素影响程度</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565DCCA3">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1B82BCD2">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1C4FD21">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9903B91">
            <w:pPr>
              <w:spacing w:line="300" w:lineRule="exact"/>
              <w:jc w:val="center"/>
              <w:rPr>
                <w:rFonts w:eastAsia="楷体_GB2312"/>
                <w:szCs w:val="22"/>
              </w:rPr>
            </w:pPr>
            <w:r>
              <w:rPr>
                <w:rFonts w:eastAsia="楷体_GB2312"/>
                <w:szCs w:val="22"/>
              </w:rPr>
              <w:t>100/100</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6AA7DD6D">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42895D8B">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46EB022F">
            <w:pPr>
              <w:spacing w:line="300" w:lineRule="exact"/>
              <w:jc w:val="center"/>
              <w:rPr>
                <w:rFonts w:eastAsia="楷体_GB2312"/>
                <w:szCs w:val="22"/>
              </w:rPr>
            </w:pPr>
            <w:r>
              <w:rPr>
                <w:rFonts w:eastAsia="楷体_GB2312"/>
                <w:szCs w:val="22"/>
              </w:rPr>
              <w:t>100/100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0AD7EB7F">
            <w:pPr>
              <w:spacing w:line="300" w:lineRule="exact"/>
              <w:jc w:val="center"/>
              <w:rPr>
                <w:rFonts w:eastAsia="楷体_GB2312"/>
                <w:szCs w:val="22"/>
              </w:rPr>
            </w:pPr>
            <w:r>
              <w:rPr>
                <w:rFonts w:eastAsia="楷体_GB2312"/>
                <w:szCs w:val="22"/>
              </w:rPr>
              <w:t>100/100</w:t>
            </w:r>
          </w:p>
        </w:tc>
      </w:tr>
      <w:tr w14:paraId="53913D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0" w:hRule="atLeast"/>
          <w:jc w:val="center"/>
        </w:trPr>
        <w:tc>
          <w:tcPr>
            <w:tcW w:w="1476" w:type="dxa"/>
            <w:tcBorders>
              <w:top w:val="single" w:color="auto" w:sz="4" w:space="0"/>
              <w:left w:val="single" w:color="auto" w:sz="4" w:space="0"/>
              <w:bottom w:val="single" w:color="auto" w:sz="4" w:space="0"/>
              <w:right w:val="single" w:color="auto" w:sz="4" w:space="0"/>
            </w:tcBorders>
            <w:noWrap w:val="0"/>
            <w:vAlign w:val="center"/>
          </w:tcPr>
          <w:p w14:paraId="46F4DDB3">
            <w:pPr>
              <w:spacing w:line="300" w:lineRule="exact"/>
              <w:jc w:val="center"/>
              <w:rPr>
                <w:rFonts w:eastAsia="楷体_GB2312"/>
                <w:szCs w:val="22"/>
              </w:rPr>
            </w:pPr>
            <w:r>
              <w:rPr>
                <w:rFonts w:eastAsia="楷体_GB2312"/>
                <w:szCs w:val="22"/>
              </w:rPr>
              <w:t>比准系数</w:t>
            </w:r>
          </w:p>
        </w:tc>
        <w:tc>
          <w:tcPr>
            <w:tcW w:w="950" w:type="dxa"/>
            <w:tcBorders>
              <w:top w:val="single" w:color="auto" w:sz="4" w:space="0"/>
              <w:left w:val="single" w:color="auto" w:sz="4" w:space="0"/>
              <w:bottom w:val="single" w:color="auto" w:sz="4" w:space="0"/>
              <w:right w:val="single" w:color="auto" w:sz="4" w:space="0"/>
            </w:tcBorders>
            <w:noWrap w:val="0"/>
            <w:vAlign w:val="center"/>
          </w:tcPr>
          <w:p w14:paraId="603EF138">
            <w:pPr>
              <w:spacing w:line="300" w:lineRule="exact"/>
              <w:jc w:val="center"/>
              <w:rPr>
                <w:rFonts w:eastAsia="楷体_GB2312"/>
                <w:szCs w:val="22"/>
              </w:rPr>
            </w:pPr>
            <w:r>
              <w:rPr>
                <w:rFonts w:hint="eastAsia" w:eastAsia="楷体_GB2312"/>
                <w:szCs w:val="22"/>
              </w:rPr>
              <w:t>1.05</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3AFDB5A">
            <w:pPr>
              <w:spacing w:line="300" w:lineRule="exact"/>
              <w:jc w:val="center"/>
              <w:rPr>
                <w:rFonts w:eastAsia="楷体_GB2312"/>
                <w:szCs w:val="22"/>
              </w:rPr>
            </w:pPr>
            <w:r>
              <w:rPr>
                <w:rFonts w:hint="eastAsia" w:eastAsia="楷体_GB2312"/>
                <w:szCs w:val="22"/>
              </w:rPr>
              <w:t>1</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29DD10B1">
            <w:pPr>
              <w:spacing w:line="300" w:lineRule="exact"/>
              <w:jc w:val="center"/>
              <w:rPr>
                <w:rFonts w:eastAsia="楷体_GB2312"/>
                <w:szCs w:val="22"/>
              </w:rPr>
            </w:pPr>
            <w:r>
              <w:rPr>
                <w:rFonts w:hint="eastAsia" w:eastAsia="楷体_GB2312"/>
                <w:szCs w:val="22"/>
              </w:rPr>
              <w:t>0.96</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4B8EE2FC">
            <w:pPr>
              <w:spacing w:line="300" w:lineRule="exact"/>
              <w:jc w:val="center"/>
              <w:rPr>
                <w:rFonts w:eastAsia="楷体_GB2312"/>
                <w:szCs w:val="22"/>
              </w:rPr>
            </w:pPr>
            <w:r>
              <w:rPr>
                <w:rFonts w:hint="eastAsia" w:eastAsia="楷体_GB2312"/>
                <w:szCs w:val="22"/>
              </w:rPr>
              <w:t>0.96</w:t>
            </w:r>
          </w:p>
        </w:tc>
        <w:tc>
          <w:tcPr>
            <w:tcW w:w="951" w:type="dxa"/>
            <w:tcBorders>
              <w:top w:val="single" w:color="auto" w:sz="4" w:space="0"/>
              <w:left w:val="single" w:color="auto" w:sz="4" w:space="0"/>
              <w:bottom w:val="single" w:color="auto" w:sz="4" w:space="0"/>
              <w:right w:val="single" w:color="auto" w:sz="4" w:space="0"/>
            </w:tcBorders>
            <w:noWrap w:val="0"/>
            <w:vAlign w:val="center"/>
          </w:tcPr>
          <w:p w14:paraId="739F809A">
            <w:pPr>
              <w:spacing w:line="300" w:lineRule="exact"/>
              <w:jc w:val="center"/>
              <w:rPr>
                <w:rFonts w:eastAsia="楷体_GB2312"/>
                <w:szCs w:val="22"/>
              </w:rPr>
            </w:pPr>
            <w:r>
              <w:rPr>
                <w:rFonts w:hint="eastAsia" w:eastAsia="楷体_GB2312"/>
                <w:szCs w:val="22"/>
              </w:rPr>
              <w:t>0.93</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419806AC">
            <w:pPr>
              <w:spacing w:line="300" w:lineRule="exact"/>
              <w:jc w:val="center"/>
              <w:rPr>
                <w:rFonts w:eastAsia="楷体_GB2312"/>
                <w:szCs w:val="22"/>
              </w:rPr>
            </w:pPr>
            <w:r>
              <w:rPr>
                <w:rFonts w:hint="eastAsia" w:eastAsia="楷体_GB2312"/>
                <w:szCs w:val="22"/>
              </w:rPr>
              <w:t>0.93</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3141E6AD">
            <w:pPr>
              <w:spacing w:line="300" w:lineRule="exact"/>
              <w:jc w:val="center"/>
              <w:rPr>
                <w:rFonts w:eastAsia="楷体_GB2312"/>
                <w:szCs w:val="22"/>
              </w:rPr>
            </w:pPr>
            <w:r>
              <w:rPr>
                <w:rFonts w:hint="eastAsia" w:eastAsia="楷体_GB2312"/>
                <w:szCs w:val="22"/>
              </w:rPr>
              <w:t>0.90</w:t>
            </w:r>
          </w:p>
        </w:tc>
        <w:tc>
          <w:tcPr>
            <w:tcW w:w="949" w:type="dxa"/>
            <w:tcBorders>
              <w:top w:val="single" w:color="auto" w:sz="4" w:space="0"/>
              <w:left w:val="single" w:color="auto" w:sz="4" w:space="0"/>
              <w:bottom w:val="single" w:color="auto" w:sz="4" w:space="0"/>
              <w:right w:val="single" w:color="auto" w:sz="4" w:space="0"/>
            </w:tcBorders>
            <w:noWrap w:val="0"/>
            <w:vAlign w:val="center"/>
          </w:tcPr>
          <w:p w14:paraId="4D9F3511">
            <w:pPr>
              <w:spacing w:line="300" w:lineRule="exact"/>
              <w:jc w:val="center"/>
              <w:rPr>
                <w:rFonts w:eastAsia="楷体_GB2312"/>
                <w:szCs w:val="22"/>
              </w:rPr>
            </w:pPr>
            <w:r>
              <w:rPr>
                <w:rFonts w:hint="eastAsia" w:eastAsia="楷体_GB2312"/>
                <w:szCs w:val="22"/>
              </w:rPr>
              <w:t>0.85</w:t>
            </w:r>
          </w:p>
        </w:tc>
      </w:tr>
    </w:tbl>
    <w:p w14:paraId="1FAEE413">
      <w:pPr>
        <w:spacing w:line="480" w:lineRule="exact"/>
        <w:ind w:firstLine="560" w:firstLineChars="200"/>
        <w:rPr>
          <w:rFonts w:eastAsia="楷体_GB2312"/>
          <w:sz w:val="28"/>
          <w:szCs w:val="21"/>
        </w:rPr>
      </w:pPr>
      <w:r>
        <w:rPr>
          <w:rFonts w:eastAsia="楷体_GB2312"/>
          <w:sz w:val="28"/>
          <w:szCs w:val="21"/>
        </w:rPr>
        <w:t>（6）确定公共管理与公共服务用地各地类用途修正系数</w:t>
      </w:r>
    </w:p>
    <w:p w14:paraId="65DB4E0A">
      <w:pPr>
        <w:spacing w:line="480" w:lineRule="exact"/>
        <w:ind w:firstLine="560" w:firstLineChars="200"/>
        <w:rPr>
          <w:rFonts w:eastAsia="楷体_GB2312"/>
          <w:sz w:val="28"/>
          <w:szCs w:val="21"/>
        </w:rPr>
      </w:pPr>
      <w:r>
        <w:rPr>
          <w:rFonts w:eastAsia="楷体_GB2312"/>
          <w:sz w:val="28"/>
          <w:szCs w:val="21"/>
        </w:rPr>
        <w:t>根据影响公共管理与公共服务用地地价影响因素修正基础用地类型确定用途修正系数。</w:t>
      </w:r>
    </w:p>
    <w:p w14:paraId="5EC58CC5">
      <w:pPr>
        <w:spacing w:line="480" w:lineRule="exact"/>
        <w:jc w:val="center"/>
        <w:rPr>
          <w:rFonts w:eastAsia="楷体_GB2312"/>
          <w:sz w:val="28"/>
          <w:szCs w:val="21"/>
        </w:rPr>
      </w:pPr>
      <w:r>
        <w:rPr>
          <w:rFonts w:eastAsia="黑体"/>
          <w:sz w:val="28"/>
          <w:szCs w:val="21"/>
        </w:rPr>
        <w:t>表2-6-8  公共管理与公共服务用地各地类用途修正系数表</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1009"/>
        <w:gridCol w:w="1008"/>
        <w:gridCol w:w="1008"/>
        <w:gridCol w:w="1007"/>
        <w:gridCol w:w="1008"/>
        <w:gridCol w:w="1008"/>
        <w:gridCol w:w="1008"/>
        <w:gridCol w:w="1008"/>
      </w:tblGrid>
      <w:tr w14:paraId="45D72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noWrap w:val="0"/>
            <w:vAlign w:val="center"/>
          </w:tcPr>
          <w:p w14:paraId="0D74830F">
            <w:pPr>
              <w:jc w:val="center"/>
              <w:rPr>
                <w:rFonts w:eastAsia="楷体_GB2312"/>
                <w:szCs w:val="22"/>
              </w:rPr>
            </w:pPr>
            <w:r>
              <w:rPr>
                <w:rFonts w:eastAsia="楷体_GB2312"/>
                <w:szCs w:val="22"/>
              </w:rPr>
              <w:t>用地类型</w:t>
            </w:r>
          </w:p>
        </w:tc>
        <w:tc>
          <w:tcPr>
            <w:tcW w:w="1009" w:type="dxa"/>
            <w:noWrap w:val="0"/>
            <w:vAlign w:val="center"/>
          </w:tcPr>
          <w:p w14:paraId="48170BAD">
            <w:pPr>
              <w:spacing w:line="300" w:lineRule="exact"/>
              <w:jc w:val="center"/>
              <w:rPr>
                <w:rFonts w:eastAsia="楷体_GB2312"/>
                <w:szCs w:val="21"/>
              </w:rPr>
            </w:pPr>
            <w:r>
              <w:rPr>
                <w:rFonts w:eastAsia="楷体_GB2312"/>
                <w:szCs w:val="21"/>
              </w:rPr>
              <w:t>新闻出版用地</w:t>
            </w:r>
          </w:p>
        </w:tc>
        <w:tc>
          <w:tcPr>
            <w:tcW w:w="1008" w:type="dxa"/>
            <w:noWrap w:val="0"/>
            <w:vAlign w:val="center"/>
          </w:tcPr>
          <w:p w14:paraId="760A8A4A">
            <w:pPr>
              <w:spacing w:line="300" w:lineRule="exact"/>
              <w:jc w:val="center"/>
              <w:rPr>
                <w:rFonts w:eastAsia="楷体_GB2312"/>
                <w:szCs w:val="21"/>
              </w:rPr>
            </w:pPr>
            <w:r>
              <w:rPr>
                <w:rFonts w:eastAsia="楷体_GB2312"/>
                <w:szCs w:val="21"/>
              </w:rPr>
              <w:t>医疗卫生用地</w:t>
            </w:r>
          </w:p>
        </w:tc>
        <w:tc>
          <w:tcPr>
            <w:tcW w:w="1008" w:type="dxa"/>
            <w:noWrap w:val="0"/>
            <w:vAlign w:val="center"/>
          </w:tcPr>
          <w:p w14:paraId="1231364C">
            <w:pPr>
              <w:spacing w:line="300" w:lineRule="exact"/>
              <w:jc w:val="center"/>
              <w:rPr>
                <w:rFonts w:eastAsia="楷体_GB2312"/>
                <w:szCs w:val="21"/>
              </w:rPr>
            </w:pPr>
            <w:r>
              <w:rPr>
                <w:rFonts w:eastAsia="楷体_GB2312"/>
                <w:szCs w:val="21"/>
              </w:rPr>
              <w:t>文化设施用地</w:t>
            </w:r>
          </w:p>
        </w:tc>
        <w:tc>
          <w:tcPr>
            <w:tcW w:w="1007" w:type="dxa"/>
            <w:noWrap w:val="0"/>
            <w:vAlign w:val="center"/>
          </w:tcPr>
          <w:p w14:paraId="0E3369C6">
            <w:pPr>
              <w:spacing w:line="300" w:lineRule="exact"/>
              <w:jc w:val="center"/>
              <w:rPr>
                <w:rFonts w:eastAsia="楷体_GB2312"/>
                <w:szCs w:val="21"/>
              </w:rPr>
            </w:pPr>
            <w:r>
              <w:rPr>
                <w:rFonts w:eastAsia="楷体_GB2312"/>
                <w:szCs w:val="21"/>
              </w:rPr>
              <w:t>体育用</w:t>
            </w:r>
            <w:r>
              <w:rPr>
                <w:rFonts w:hint="eastAsia" w:eastAsia="楷体_GB2312"/>
                <w:szCs w:val="21"/>
              </w:rPr>
              <w:t>地</w:t>
            </w:r>
          </w:p>
        </w:tc>
        <w:tc>
          <w:tcPr>
            <w:tcW w:w="1008" w:type="dxa"/>
            <w:noWrap w:val="0"/>
            <w:vAlign w:val="center"/>
          </w:tcPr>
          <w:p w14:paraId="32DB5A4A">
            <w:pPr>
              <w:spacing w:line="300" w:lineRule="exact"/>
              <w:jc w:val="center"/>
              <w:rPr>
                <w:rFonts w:eastAsia="楷体_GB2312"/>
                <w:szCs w:val="21"/>
              </w:rPr>
            </w:pPr>
            <w:r>
              <w:rPr>
                <w:rFonts w:eastAsia="楷体_GB2312"/>
                <w:szCs w:val="21"/>
              </w:rPr>
              <w:t>教育用地</w:t>
            </w:r>
          </w:p>
        </w:tc>
        <w:tc>
          <w:tcPr>
            <w:tcW w:w="1008" w:type="dxa"/>
            <w:noWrap w:val="0"/>
            <w:vAlign w:val="center"/>
          </w:tcPr>
          <w:p w14:paraId="3EF30451">
            <w:pPr>
              <w:spacing w:line="300" w:lineRule="exact"/>
              <w:jc w:val="center"/>
              <w:rPr>
                <w:rFonts w:eastAsia="楷体_GB2312"/>
                <w:szCs w:val="21"/>
              </w:rPr>
            </w:pPr>
            <w:r>
              <w:rPr>
                <w:rFonts w:eastAsia="楷体_GB2312"/>
                <w:szCs w:val="21"/>
              </w:rPr>
              <w:t>科研用地</w:t>
            </w:r>
          </w:p>
        </w:tc>
        <w:tc>
          <w:tcPr>
            <w:tcW w:w="1008" w:type="dxa"/>
            <w:noWrap w:val="0"/>
            <w:vAlign w:val="center"/>
          </w:tcPr>
          <w:p w14:paraId="7359279A">
            <w:pPr>
              <w:spacing w:line="300" w:lineRule="exact"/>
              <w:jc w:val="center"/>
              <w:rPr>
                <w:rFonts w:eastAsia="楷体_GB2312"/>
                <w:szCs w:val="21"/>
              </w:rPr>
            </w:pPr>
            <w:r>
              <w:rPr>
                <w:rFonts w:eastAsia="楷体_GB2312"/>
                <w:szCs w:val="21"/>
              </w:rPr>
              <w:t>社会福利用地</w:t>
            </w:r>
          </w:p>
        </w:tc>
        <w:tc>
          <w:tcPr>
            <w:tcW w:w="1008" w:type="dxa"/>
            <w:noWrap w:val="0"/>
            <w:vAlign w:val="center"/>
          </w:tcPr>
          <w:p w14:paraId="717F0469">
            <w:pPr>
              <w:spacing w:line="300" w:lineRule="exact"/>
              <w:jc w:val="center"/>
              <w:rPr>
                <w:rFonts w:eastAsia="楷体_GB2312"/>
                <w:szCs w:val="21"/>
              </w:rPr>
            </w:pPr>
            <w:r>
              <w:rPr>
                <w:rFonts w:eastAsia="楷体_GB2312"/>
                <w:szCs w:val="21"/>
              </w:rPr>
              <w:t>公用设施用地</w:t>
            </w:r>
          </w:p>
        </w:tc>
      </w:tr>
      <w:tr w14:paraId="1748D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noWrap w:val="0"/>
            <w:vAlign w:val="center"/>
          </w:tcPr>
          <w:p w14:paraId="7E6BA463">
            <w:pPr>
              <w:jc w:val="center"/>
              <w:rPr>
                <w:rFonts w:eastAsia="楷体_GB2312"/>
                <w:szCs w:val="22"/>
              </w:rPr>
            </w:pPr>
            <w:r>
              <w:rPr>
                <w:rFonts w:eastAsia="楷体_GB2312"/>
                <w:szCs w:val="22"/>
              </w:rPr>
              <w:t>修正系数</w:t>
            </w:r>
          </w:p>
        </w:tc>
        <w:tc>
          <w:tcPr>
            <w:tcW w:w="1009" w:type="dxa"/>
            <w:noWrap w:val="0"/>
            <w:vAlign w:val="center"/>
          </w:tcPr>
          <w:p w14:paraId="39375820">
            <w:pPr>
              <w:spacing w:line="300" w:lineRule="exact"/>
              <w:jc w:val="center"/>
              <w:rPr>
                <w:rFonts w:eastAsia="楷体_GB2312"/>
                <w:szCs w:val="22"/>
              </w:rPr>
            </w:pPr>
            <w:r>
              <w:rPr>
                <w:rFonts w:hint="eastAsia" w:eastAsia="楷体_GB2312"/>
                <w:szCs w:val="22"/>
              </w:rPr>
              <w:t>1.05</w:t>
            </w:r>
          </w:p>
        </w:tc>
        <w:tc>
          <w:tcPr>
            <w:tcW w:w="1008" w:type="dxa"/>
            <w:noWrap w:val="0"/>
            <w:vAlign w:val="center"/>
          </w:tcPr>
          <w:p w14:paraId="5B412956">
            <w:pPr>
              <w:spacing w:line="300" w:lineRule="exact"/>
              <w:jc w:val="center"/>
              <w:rPr>
                <w:rFonts w:eastAsia="楷体_GB2312"/>
                <w:szCs w:val="22"/>
              </w:rPr>
            </w:pPr>
            <w:r>
              <w:rPr>
                <w:rFonts w:hint="eastAsia" w:eastAsia="楷体_GB2312"/>
                <w:szCs w:val="22"/>
              </w:rPr>
              <w:t>1</w:t>
            </w:r>
          </w:p>
        </w:tc>
        <w:tc>
          <w:tcPr>
            <w:tcW w:w="1008" w:type="dxa"/>
            <w:noWrap w:val="0"/>
            <w:vAlign w:val="center"/>
          </w:tcPr>
          <w:p w14:paraId="6EB2CF44">
            <w:pPr>
              <w:spacing w:line="300" w:lineRule="exact"/>
              <w:jc w:val="center"/>
              <w:rPr>
                <w:rFonts w:eastAsia="楷体_GB2312"/>
                <w:szCs w:val="22"/>
              </w:rPr>
            </w:pPr>
            <w:r>
              <w:rPr>
                <w:rFonts w:hint="eastAsia" w:eastAsia="楷体_GB2312"/>
                <w:szCs w:val="22"/>
              </w:rPr>
              <w:t>0.96</w:t>
            </w:r>
          </w:p>
        </w:tc>
        <w:tc>
          <w:tcPr>
            <w:tcW w:w="1007" w:type="dxa"/>
            <w:noWrap w:val="0"/>
            <w:vAlign w:val="center"/>
          </w:tcPr>
          <w:p w14:paraId="415F6CA1">
            <w:pPr>
              <w:spacing w:line="300" w:lineRule="exact"/>
              <w:jc w:val="center"/>
              <w:rPr>
                <w:rFonts w:eastAsia="楷体_GB2312"/>
                <w:szCs w:val="22"/>
              </w:rPr>
            </w:pPr>
            <w:r>
              <w:rPr>
                <w:rFonts w:hint="eastAsia" w:eastAsia="楷体_GB2312"/>
                <w:szCs w:val="22"/>
              </w:rPr>
              <w:t>0.96</w:t>
            </w:r>
          </w:p>
        </w:tc>
        <w:tc>
          <w:tcPr>
            <w:tcW w:w="1008" w:type="dxa"/>
            <w:noWrap w:val="0"/>
            <w:vAlign w:val="center"/>
          </w:tcPr>
          <w:p w14:paraId="7061D7B2">
            <w:pPr>
              <w:spacing w:line="300" w:lineRule="exact"/>
              <w:jc w:val="center"/>
              <w:rPr>
                <w:rFonts w:eastAsia="楷体_GB2312"/>
                <w:szCs w:val="22"/>
              </w:rPr>
            </w:pPr>
            <w:r>
              <w:rPr>
                <w:rFonts w:hint="eastAsia" w:eastAsia="楷体_GB2312"/>
                <w:szCs w:val="22"/>
              </w:rPr>
              <w:t>0.93</w:t>
            </w:r>
          </w:p>
        </w:tc>
        <w:tc>
          <w:tcPr>
            <w:tcW w:w="1008" w:type="dxa"/>
            <w:noWrap w:val="0"/>
            <w:vAlign w:val="center"/>
          </w:tcPr>
          <w:p w14:paraId="576041D4">
            <w:pPr>
              <w:spacing w:line="300" w:lineRule="exact"/>
              <w:jc w:val="center"/>
              <w:rPr>
                <w:rFonts w:eastAsia="楷体_GB2312"/>
                <w:szCs w:val="22"/>
              </w:rPr>
            </w:pPr>
            <w:r>
              <w:rPr>
                <w:rFonts w:hint="eastAsia" w:eastAsia="楷体_GB2312"/>
                <w:szCs w:val="22"/>
              </w:rPr>
              <w:t>0.93</w:t>
            </w:r>
          </w:p>
        </w:tc>
        <w:tc>
          <w:tcPr>
            <w:tcW w:w="1008" w:type="dxa"/>
            <w:noWrap w:val="0"/>
            <w:vAlign w:val="center"/>
          </w:tcPr>
          <w:p w14:paraId="16A7D783">
            <w:pPr>
              <w:spacing w:line="300" w:lineRule="exact"/>
              <w:jc w:val="center"/>
              <w:rPr>
                <w:rFonts w:eastAsia="楷体_GB2312"/>
                <w:szCs w:val="22"/>
              </w:rPr>
            </w:pPr>
            <w:r>
              <w:rPr>
                <w:rFonts w:hint="eastAsia" w:eastAsia="楷体_GB2312"/>
                <w:szCs w:val="22"/>
              </w:rPr>
              <w:t>0.90</w:t>
            </w:r>
          </w:p>
        </w:tc>
        <w:tc>
          <w:tcPr>
            <w:tcW w:w="1008" w:type="dxa"/>
            <w:noWrap w:val="0"/>
            <w:vAlign w:val="center"/>
          </w:tcPr>
          <w:p w14:paraId="282E6B63">
            <w:pPr>
              <w:spacing w:line="300" w:lineRule="exact"/>
              <w:jc w:val="center"/>
              <w:rPr>
                <w:rFonts w:eastAsia="楷体_GB2312"/>
                <w:szCs w:val="22"/>
              </w:rPr>
            </w:pPr>
            <w:r>
              <w:rPr>
                <w:rFonts w:hint="eastAsia" w:eastAsia="楷体_GB2312"/>
                <w:szCs w:val="22"/>
              </w:rPr>
              <w:t>0.85</w:t>
            </w:r>
          </w:p>
        </w:tc>
      </w:tr>
    </w:tbl>
    <w:p w14:paraId="6D63C987">
      <w:pPr>
        <w:widowControl w:val="0"/>
        <w:spacing w:line="480" w:lineRule="exact"/>
        <w:ind w:firstLine="562" w:firstLineChars="200"/>
        <w:jc w:val="both"/>
        <w:rPr>
          <w:rFonts w:eastAsia="楷体_GB2312"/>
          <w:b/>
          <w:sz w:val="28"/>
          <w:szCs w:val="21"/>
        </w:rPr>
      </w:pPr>
      <w:r>
        <w:rPr>
          <w:rFonts w:eastAsia="楷体_GB2312"/>
          <w:b/>
          <w:sz w:val="28"/>
          <w:szCs w:val="21"/>
        </w:rPr>
        <w:t>6、公共管理与公共服务用地各地类级别基准地价的确定</w:t>
      </w:r>
    </w:p>
    <w:p w14:paraId="33D57340">
      <w:pPr>
        <w:widowControl w:val="0"/>
        <w:spacing w:line="480" w:lineRule="exact"/>
        <w:ind w:firstLine="560" w:firstLineChars="200"/>
        <w:jc w:val="both"/>
        <w:rPr>
          <w:rFonts w:eastAsia="黑体"/>
          <w:sz w:val="28"/>
          <w:szCs w:val="21"/>
        </w:rPr>
      </w:pPr>
      <w:r>
        <w:rPr>
          <w:rFonts w:eastAsia="楷体_GB2312"/>
          <w:sz w:val="28"/>
          <w:szCs w:val="21"/>
        </w:rPr>
        <w:t>据此可计算出公共管理与公共服务各地类级别基准地价的平均地价，见表</w:t>
      </w:r>
      <w:r>
        <w:rPr>
          <w:rFonts w:eastAsia="黑体"/>
          <w:sz w:val="28"/>
          <w:szCs w:val="21"/>
        </w:rPr>
        <w:t>2-6-9。</w:t>
      </w:r>
    </w:p>
    <w:p w14:paraId="02307B23">
      <w:pPr>
        <w:widowControl w:val="0"/>
        <w:spacing w:line="480" w:lineRule="exact"/>
        <w:jc w:val="center"/>
        <w:rPr>
          <w:rFonts w:eastAsia="黑体"/>
          <w:sz w:val="28"/>
          <w:szCs w:val="21"/>
        </w:rPr>
      </w:pPr>
      <w:r>
        <w:rPr>
          <w:rFonts w:eastAsia="黑体"/>
          <w:sz w:val="28"/>
          <w:szCs w:val="21"/>
        </w:rPr>
        <w:br w:type="page"/>
      </w:r>
      <w:r>
        <w:rPr>
          <w:rFonts w:eastAsia="黑体"/>
          <w:sz w:val="28"/>
          <w:szCs w:val="21"/>
        </w:rPr>
        <w:t>表2-6-9  利用收益还原法测算公共管理与公共服务用地级别平均地价表</w:t>
      </w:r>
    </w:p>
    <w:p w14:paraId="1A046BAE">
      <w:pPr>
        <w:widowControl w:val="0"/>
        <w:spacing w:line="480" w:lineRule="exact"/>
        <w:jc w:val="right"/>
        <w:rPr>
          <w:rFonts w:eastAsia="楷体_GB2312"/>
          <w:sz w:val="28"/>
          <w:szCs w:val="21"/>
        </w:rPr>
      </w:pPr>
      <w:r>
        <w:rPr>
          <w:rFonts w:eastAsia="楷体_GB2312"/>
        </w:rPr>
        <w:t>单位：元/平方米</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850"/>
        <w:gridCol w:w="851"/>
        <w:gridCol w:w="850"/>
        <w:gridCol w:w="851"/>
        <w:gridCol w:w="708"/>
        <w:gridCol w:w="709"/>
        <w:gridCol w:w="698"/>
        <w:gridCol w:w="937"/>
        <w:gridCol w:w="916"/>
      </w:tblGrid>
      <w:tr w14:paraId="6131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5A1472B1">
            <w:pPr>
              <w:widowControl w:val="0"/>
              <w:spacing w:line="300" w:lineRule="exact"/>
              <w:jc w:val="center"/>
              <w:rPr>
                <w:rFonts w:eastAsia="楷体_GB2312"/>
                <w:szCs w:val="21"/>
              </w:rPr>
            </w:pPr>
            <w:r>
              <w:rPr>
                <w:rFonts w:eastAsia="楷体_GB2312"/>
                <w:szCs w:val="21"/>
              </w:rPr>
              <w:t>乡镇名称</w:t>
            </w:r>
          </w:p>
        </w:tc>
        <w:tc>
          <w:tcPr>
            <w:tcW w:w="850" w:type="dxa"/>
            <w:vMerge w:val="restart"/>
            <w:noWrap w:val="0"/>
            <w:vAlign w:val="center"/>
          </w:tcPr>
          <w:p w14:paraId="5D08F934">
            <w:pPr>
              <w:widowControl w:val="0"/>
              <w:spacing w:line="300" w:lineRule="exact"/>
              <w:jc w:val="center"/>
              <w:rPr>
                <w:rFonts w:eastAsia="楷体_GB2312"/>
                <w:szCs w:val="21"/>
              </w:rPr>
            </w:pPr>
            <w:r>
              <w:rPr>
                <w:rFonts w:eastAsia="楷体_GB2312"/>
                <w:szCs w:val="21"/>
              </w:rPr>
              <w:t>级别</w:t>
            </w:r>
          </w:p>
        </w:tc>
        <w:tc>
          <w:tcPr>
            <w:tcW w:w="6520" w:type="dxa"/>
            <w:gridSpan w:val="8"/>
            <w:noWrap w:val="0"/>
            <w:vAlign w:val="center"/>
          </w:tcPr>
          <w:p w14:paraId="66C07A7D">
            <w:pPr>
              <w:widowControl w:val="0"/>
              <w:spacing w:line="300" w:lineRule="exact"/>
              <w:jc w:val="center"/>
              <w:rPr>
                <w:rFonts w:eastAsia="楷体_GB2312"/>
                <w:szCs w:val="21"/>
              </w:rPr>
            </w:pPr>
            <w:r>
              <w:rPr>
                <w:rFonts w:eastAsia="楷体_GB2312"/>
                <w:szCs w:val="21"/>
              </w:rPr>
              <w:t>用地类型</w:t>
            </w:r>
          </w:p>
        </w:tc>
      </w:tr>
      <w:tr w14:paraId="16B6E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6934AE65">
            <w:pPr>
              <w:widowControl w:val="0"/>
              <w:spacing w:line="300" w:lineRule="exact"/>
              <w:jc w:val="center"/>
              <w:rPr>
                <w:rFonts w:eastAsia="楷体_GB2312"/>
                <w:szCs w:val="21"/>
              </w:rPr>
            </w:pPr>
          </w:p>
        </w:tc>
        <w:tc>
          <w:tcPr>
            <w:tcW w:w="850" w:type="dxa"/>
            <w:vMerge w:val="continue"/>
            <w:noWrap w:val="0"/>
            <w:vAlign w:val="center"/>
          </w:tcPr>
          <w:p w14:paraId="46DFB41D">
            <w:pPr>
              <w:widowControl w:val="0"/>
              <w:spacing w:line="300" w:lineRule="exact"/>
              <w:jc w:val="center"/>
              <w:rPr>
                <w:rFonts w:eastAsia="楷体_GB2312"/>
                <w:szCs w:val="21"/>
              </w:rPr>
            </w:pPr>
          </w:p>
        </w:tc>
        <w:tc>
          <w:tcPr>
            <w:tcW w:w="851" w:type="dxa"/>
            <w:noWrap w:val="0"/>
            <w:vAlign w:val="center"/>
          </w:tcPr>
          <w:p w14:paraId="6C70880E">
            <w:pPr>
              <w:spacing w:line="300" w:lineRule="exact"/>
              <w:jc w:val="center"/>
              <w:rPr>
                <w:rFonts w:eastAsia="楷体_GB2312"/>
                <w:szCs w:val="21"/>
              </w:rPr>
            </w:pPr>
            <w:r>
              <w:rPr>
                <w:rFonts w:eastAsia="楷体_GB2312"/>
                <w:szCs w:val="21"/>
              </w:rPr>
              <w:t>新闻出版用地</w:t>
            </w:r>
          </w:p>
        </w:tc>
        <w:tc>
          <w:tcPr>
            <w:tcW w:w="850" w:type="dxa"/>
            <w:noWrap w:val="0"/>
            <w:vAlign w:val="center"/>
          </w:tcPr>
          <w:p w14:paraId="393863DB">
            <w:pPr>
              <w:spacing w:line="300" w:lineRule="exact"/>
              <w:jc w:val="center"/>
              <w:rPr>
                <w:rFonts w:eastAsia="楷体_GB2312"/>
                <w:szCs w:val="21"/>
              </w:rPr>
            </w:pPr>
            <w:r>
              <w:rPr>
                <w:rFonts w:eastAsia="楷体_GB2312"/>
                <w:szCs w:val="21"/>
              </w:rPr>
              <w:t>医疗卫生用地</w:t>
            </w:r>
          </w:p>
        </w:tc>
        <w:tc>
          <w:tcPr>
            <w:tcW w:w="851" w:type="dxa"/>
            <w:noWrap w:val="0"/>
            <w:vAlign w:val="center"/>
          </w:tcPr>
          <w:p w14:paraId="127B0FD0">
            <w:pPr>
              <w:spacing w:line="300" w:lineRule="exact"/>
              <w:jc w:val="center"/>
              <w:rPr>
                <w:rFonts w:eastAsia="楷体_GB2312"/>
                <w:szCs w:val="21"/>
              </w:rPr>
            </w:pPr>
            <w:r>
              <w:rPr>
                <w:rFonts w:eastAsia="楷体_GB2312"/>
                <w:szCs w:val="21"/>
              </w:rPr>
              <w:t>文化设施用地</w:t>
            </w:r>
          </w:p>
        </w:tc>
        <w:tc>
          <w:tcPr>
            <w:tcW w:w="708" w:type="dxa"/>
            <w:noWrap w:val="0"/>
            <w:vAlign w:val="center"/>
          </w:tcPr>
          <w:p w14:paraId="1BA8A76A">
            <w:pPr>
              <w:spacing w:line="300" w:lineRule="exact"/>
              <w:jc w:val="center"/>
              <w:rPr>
                <w:rFonts w:eastAsia="楷体_GB2312"/>
                <w:szCs w:val="21"/>
              </w:rPr>
            </w:pPr>
            <w:r>
              <w:rPr>
                <w:rFonts w:eastAsia="楷体_GB2312"/>
                <w:szCs w:val="21"/>
              </w:rPr>
              <w:t>体育用</w:t>
            </w:r>
            <w:r>
              <w:rPr>
                <w:rFonts w:hint="eastAsia" w:eastAsia="楷体_GB2312"/>
                <w:szCs w:val="21"/>
              </w:rPr>
              <w:t>地</w:t>
            </w:r>
          </w:p>
        </w:tc>
        <w:tc>
          <w:tcPr>
            <w:tcW w:w="709" w:type="dxa"/>
            <w:noWrap w:val="0"/>
            <w:vAlign w:val="center"/>
          </w:tcPr>
          <w:p w14:paraId="7AA6143F">
            <w:pPr>
              <w:spacing w:line="300" w:lineRule="exact"/>
              <w:jc w:val="center"/>
              <w:rPr>
                <w:rFonts w:eastAsia="楷体_GB2312"/>
                <w:szCs w:val="21"/>
              </w:rPr>
            </w:pPr>
            <w:r>
              <w:rPr>
                <w:rFonts w:eastAsia="楷体_GB2312"/>
                <w:szCs w:val="21"/>
              </w:rPr>
              <w:t>教育用地</w:t>
            </w:r>
          </w:p>
        </w:tc>
        <w:tc>
          <w:tcPr>
            <w:tcW w:w="698" w:type="dxa"/>
            <w:noWrap w:val="0"/>
            <w:vAlign w:val="center"/>
          </w:tcPr>
          <w:p w14:paraId="38301502">
            <w:pPr>
              <w:spacing w:line="300" w:lineRule="exact"/>
              <w:jc w:val="center"/>
              <w:rPr>
                <w:rFonts w:eastAsia="楷体_GB2312"/>
                <w:szCs w:val="21"/>
              </w:rPr>
            </w:pPr>
            <w:r>
              <w:rPr>
                <w:rFonts w:eastAsia="楷体_GB2312"/>
                <w:szCs w:val="21"/>
              </w:rPr>
              <w:t>科研用地</w:t>
            </w:r>
          </w:p>
        </w:tc>
        <w:tc>
          <w:tcPr>
            <w:tcW w:w="937" w:type="dxa"/>
            <w:noWrap w:val="0"/>
            <w:vAlign w:val="center"/>
          </w:tcPr>
          <w:p w14:paraId="37A9FE7C">
            <w:pPr>
              <w:spacing w:line="300" w:lineRule="exact"/>
              <w:jc w:val="center"/>
              <w:rPr>
                <w:rFonts w:eastAsia="楷体_GB2312"/>
                <w:szCs w:val="21"/>
              </w:rPr>
            </w:pPr>
            <w:r>
              <w:rPr>
                <w:rFonts w:eastAsia="楷体_GB2312"/>
                <w:szCs w:val="21"/>
              </w:rPr>
              <w:t>社会福利用地</w:t>
            </w:r>
          </w:p>
        </w:tc>
        <w:tc>
          <w:tcPr>
            <w:tcW w:w="916" w:type="dxa"/>
            <w:noWrap w:val="0"/>
            <w:vAlign w:val="center"/>
          </w:tcPr>
          <w:p w14:paraId="5991571C">
            <w:pPr>
              <w:spacing w:line="300" w:lineRule="exact"/>
              <w:jc w:val="center"/>
              <w:rPr>
                <w:rFonts w:eastAsia="楷体_GB2312"/>
                <w:szCs w:val="21"/>
              </w:rPr>
            </w:pPr>
            <w:r>
              <w:rPr>
                <w:rFonts w:eastAsia="楷体_GB2312"/>
                <w:szCs w:val="21"/>
              </w:rPr>
              <w:t>公用设施用地</w:t>
            </w:r>
          </w:p>
        </w:tc>
      </w:tr>
      <w:tr w14:paraId="0C6A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17B94803">
            <w:pPr>
              <w:widowControl w:val="0"/>
              <w:spacing w:line="300" w:lineRule="exact"/>
              <w:jc w:val="center"/>
              <w:rPr>
                <w:rFonts w:eastAsia="楷体_GB2312"/>
                <w:szCs w:val="21"/>
              </w:rPr>
            </w:pPr>
            <w:r>
              <w:rPr>
                <w:rFonts w:hint="eastAsia" w:eastAsia="楷体_GB2312"/>
                <w:szCs w:val="21"/>
              </w:rPr>
              <w:t>符离镇</w:t>
            </w:r>
          </w:p>
        </w:tc>
        <w:tc>
          <w:tcPr>
            <w:tcW w:w="850" w:type="dxa"/>
            <w:noWrap w:val="0"/>
            <w:vAlign w:val="center"/>
          </w:tcPr>
          <w:p w14:paraId="16934648">
            <w:pPr>
              <w:widowControl w:val="0"/>
              <w:spacing w:line="300" w:lineRule="exact"/>
              <w:jc w:val="center"/>
              <w:rPr>
                <w:rFonts w:eastAsia="楷体_GB2312"/>
                <w:szCs w:val="21"/>
              </w:rPr>
            </w:pPr>
            <w:r>
              <w:rPr>
                <w:rFonts w:eastAsia="楷体_GB2312"/>
                <w:szCs w:val="21"/>
              </w:rPr>
              <w:t>一级地</w:t>
            </w:r>
          </w:p>
        </w:tc>
        <w:tc>
          <w:tcPr>
            <w:tcW w:w="851" w:type="dxa"/>
            <w:noWrap w:val="0"/>
            <w:vAlign w:val="center"/>
          </w:tcPr>
          <w:p w14:paraId="04703F96">
            <w:pPr>
              <w:jc w:val="center"/>
              <w:rPr>
                <w:rFonts w:ascii="宋体" w:hAnsi="宋体" w:cs="宋体"/>
                <w:color w:val="000000"/>
                <w:sz w:val="22"/>
                <w:szCs w:val="22"/>
              </w:rPr>
            </w:pPr>
            <w:r>
              <w:rPr>
                <w:rFonts w:hint="eastAsia"/>
                <w:color w:val="000000"/>
                <w:sz w:val="22"/>
                <w:szCs w:val="22"/>
              </w:rPr>
              <w:t>442</w:t>
            </w:r>
          </w:p>
        </w:tc>
        <w:tc>
          <w:tcPr>
            <w:tcW w:w="850" w:type="dxa"/>
            <w:noWrap w:val="0"/>
            <w:vAlign w:val="center"/>
          </w:tcPr>
          <w:p w14:paraId="6D8F194B">
            <w:pPr>
              <w:jc w:val="center"/>
              <w:rPr>
                <w:rFonts w:ascii="宋体" w:hAnsi="宋体" w:cs="宋体"/>
                <w:color w:val="000000"/>
                <w:sz w:val="22"/>
                <w:szCs w:val="22"/>
              </w:rPr>
            </w:pPr>
            <w:r>
              <w:rPr>
                <w:rFonts w:hint="eastAsia"/>
                <w:color w:val="000000"/>
                <w:sz w:val="22"/>
                <w:szCs w:val="22"/>
              </w:rPr>
              <w:t>421</w:t>
            </w:r>
          </w:p>
        </w:tc>
        <w:tc>
          <w:tcPr>
            <w:tcW w:w="851" w:type="dxa"/>
            <w:noWrap w:val="0"/>
            <w:vAlign w:val="center"/>
          </w:tcPr>
          <w:p w14:paraId="31135F1D">
            <w:pPr>
              <w:jc w:val="center"/>
              <w:rPr>
                <w:rFonts w:ascii="宋体" w:hAnsi="宋体" w:cs="宋体"/>
                <w:color w:val="000000"/>
                <w:sz w:val="22"/>
                <w:szCs w:val="22"/>
              </w:rPr>
            </w:pPr>
            <w:r>
              <w:rPr>
                <w:rFonts w:hint="eastAsia"/>
                <w:color w:val="000000"/>
                <w:sz w:val="22"/>
                <w:szCs w:val="22"/>
              </w:rPr>
              <w:t>404</w:t>
            </w:r>
          </w:p>
        </w:tc>
        <w:tc>
          <w:tcPr>
            <w:tcW w:w="708" w:type="dxa"/>
            <w:noWrap w:val="0"/>
            <w:vAlign w:val="center"/>
          </w:tcPr>
          <w:p w14:paraId="50EF42F6">
            <w:pPr>
              <w:jc w:val="center"/>
              <w:rPr>
                <w:rFonts w:ascii="宋体" w:hAnsi="宋体" w:cs="宋体"/>
                <w:color w:val="000000"/>
                <w:sz w:val="22"/>
                <w:szCs w:val="22"/>
              </w:rPr>
            </w:pPr>
            <w:r>
              <w:rPr>
                <w:rFonts w:hint="eastAsia"/>
                <w:color w:val="000000"/>
                <w:sz w:val="22"/>
                <w:szCs w:val="22"/>
              </w:rPr>
              <w:t>404</w:t>
            </w:r>
          </w:p>
        </w:tc>
        <w:tc>
          <w:tcPr>
            <w:tcW w:w="709" w:type="dxa"/>
            <w:noWrap w:val="0"/>
            <w:vAlign w:val="center"/>
          </w:tcPr>
          <w:p w14:paraId="7F5A3752">
            <w:pPr>
              <w:jc w:val="center"/>
              <w:rPr>
                <w:rFonts w:ascii="宋体" w:hAnsi="宋体" w:cs="宋体"/>
                <w:color w:val="000000"/>
                <w:sz w:val="22"/>
                <w:szCs w:val="22"/>
              </w:rPr>
            </w:pPr>
            <w:r>
              <w:rPr>
                <w:rFonts w:hint="eastAsia"/>
                <w:color w:val="000000"/>
                <w:sz w:val="22"/>
                <w:szCs w:val="22"/>
              </w:rPr>
              <w:t>392</w:t>
            </w:r>
          </w:p>
        </w:tc>
        <w:tc>
          <w:tcPr>
            <w:tcW w:w="698" w:type="dxa"/>
            <w:noWrap w:val="0"/>
            <w:vAlign w:val="center"/>
          </w:tcPr>
          <w:p w14:paraId="6F29FBB5">
            <w:pPr>
              <w:jc w:val="center"/>
              <w:rPr>
                <w:rFonts w:ascii="宋体" w:hAnsi="宋体" w:cs="宋体"/>
                <w:color w:val="000000"/>
                <w:sz w:val="22"/>
                <w:szCs w:val="22"/>
              </w:rPr>
            </w:pPr>
            <w:r>
              <w:rPr>
                <w:rFonts w:hint="eastAsia"/>
                <w:color w:val="000000"/>
                <w:sz w:val="22"/>
                <w:szCs w:val="22"/>
              </w:rPr>
              <w:t>392</w:t>
            </w:r>
          </w:p>
        </w:tc>
        <w:tc>
          <w:tcPr>
            <w:tcW w:w="937" w:type="dxa"/>
            <w:noWrap w:val="0"/>
            <w:vAlign w:val="center"/>
          </w:tcPr>
          <w:p w14:paraId="6C7FCBC1">
            <w:pPr>
              <w:jc w:val="center"/>
              <w:rPr>
                <w:rFonts w:ascii="宋体" w:hAnsi="宋体" w:cs="宋体"/>
                <w:color w:val="000000"/>
                <w:sz w:val="22"/>
                <w:szCs w:val="22"/>
              </w:rPr>
            </w:pPr>
            <w:r>
              <w:rPr>
                <w:rFonts w:hint="eastAsia"/>
                <w:color w:val="000000"/>
                <w:sz w:val="22"/>
                <w:szCs w:val="22"/>
              </w:rPr>
              <w:t>379</w:t>
            </w:r>
          </w:p>
        </w:tc>
        <w:tc>
          <w:tcPr>
            <w:tcW w:w="916" w:type="dxa"/>
            <w:noWrap w:val="0"/>
            <w:vAlign w:val="center"/>
          </w:tcPr>
          <w:p w14:paraId="7BAB9BFC">
            <w:pPr>
              <w:jc w:val="center"/>
              <w:rPr>
                <w:rFonts w:ascii="宋体" w:hAnsi="宋体" w:cs="宋体"/>
                <w:color w:val="000000"/>
                <w:sz w:val="22"/>
                <w:szCs w:val="22"/>
              </w:rPr>
            </w:pPr>
            <w:r>
              <w:rPr>
                <w:rFonts w:hint="eastAsia"/>
                <w:color w:val="000000"/>
                <w:sz w:val="22"/>
                <w:szCs w:val="22"/>
              </w:rPr>
              <w:t>358</w:t>
            </w:r>
          </w:p>
        </w:tc>
      </w:tr>
      <w:tr w14:paraId="7CC7B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7871450E">
            <w:pPr>
              <w:widowControl w:val="0"/>
              <w:spacing w:line="300" w:lineRule="exact"/>
              <w:jc w:val="center"/>
              <w:rPr>
                <w:rFonts w:eastAsia="楷体_GB2312"/>
                <w:szCs w:val="21"/>
              </w:rPr>
            </w:pPr>
          </w:p>
        </w:tc>
        <w:tc>
          <w:tcPr>
            <w:tcW w:w="850" w:type="dxa"/>
            <w:noWrap w:val="0"/>
            <w:vAlign w:val="center"/>
          </w:tcPr>
          <w:p w14:paraId="05DB1EB9">
            <w:pPr>
              <w:widowControl w:val="0"/>
              <w:spacing w:line="300" w:lineRule="exact"/>
              <w:jc w:val="center"/>
              <w:rPr>
                <w:rFonts w:eastAsia="楷体_GB2312"/>
                <w:szCs w:val="21"/>
              </w:rPr>
            </w:pPr>
            <w:r>
              <w:rPr>
                <w:rFonts w:eastAsia="楷体_GB2312"/>
                <w:szCs w:val="21"/>
              </w:rPr>
              <w:t>二级地</w:t>
            </w:r>
          </w:p>
        </w:tc>
        <w:tc>
          <w:tcPr>
            <w:tcW w:w="851" w:type="dxa"/>
            <w:noWrap w:val="0"/>
            <w:vAlign w:val="center"/>
          </w:tcPr>
          <w:p w14:paraId="2E9946E5">
            <w:pPr>
              <w:jc w:val="center"/>
              <w:rPr>
                <w:rFonts w:ascii="宋体" w:hAnsi="宋体" w:cs="宋体"/>
                <w:color w:val="000000"/>
                <w:sz w:val="22"/>
                <w:szCs w:val="22"/>
              </w:rPr>
            </w:pPr>
            <w:r>
              <w:rPr>
                <w:rFonts w:hint="eastAsia"/>
                <w:color w:val="000000"/>
                <w:sz w:val="22"/>
                <w:szCs w:val="22"/>
              </w:rPr>
              <w:t>340</w:t>
            </w:r>
          </w:p>
        </w:tc>
        <w:tc>
          <w:tcPr>
            <w:tcW w:w="850" w:type="dxa"/>
            <w:noWrap w:val="0"/>
            <w:vAlign w:val="center"/>
          </w:tcPr>
          <w:p w14:paraId="1B818E7D">
            <w:pPr>
              <w:jc w:val="center"/>
              <w:rPr>
                <w:rFonts w:ascii="宋体" w:hAnsi="宋体" w:cs="宋体"/>
                <w:color w:val="000000"/>
                <w:sz w:val="22"/>
                <w:szCs w:val="22"/>
              </w:rPr>
            </w:pPr>
            <w:r>
              <w:rPr>
                <w:rFonts w:hint="eastAsia"/>
                <w:color w:val="000000"/>
                <w:sz w:val="22"/>
                <w:szCs w:val="22"/>
              </w:rPr>
              <w:t>324</w:t>
            </w:r>
          </w:p>
        </w:tc>
        <w:tc>
          <w:tcPr>
            <w:tcW w:w="851" w:type="dxa"/>
            <w:noWrap w:val="0"/>
            <w:vAlign w:val="center"/>
          </w:tcPr>
          <w:p w14:paraId="0A8B2CEF">
            <w:pPr>
              <w:jc w:val="center"/>
              <w:rPr>
                <w:rFonts w:ascii="宋体" w:hAnsi="宋体" w:cs="宋体"/>
                <w:color w:val="000000"/>
                <w:sz w:val="22"/>
                <w:szCs w:val="22"/>
              </w:rPr>
            </w:pPr>
            <w:r>
              <w:rPr>
                <w:rFonts w:hint="eastAsia"/>
                <w:color w:val="000000"/>
                <w:sz w:val="22"/>
                <w:szCs w:val="22"/>
              </w:rPr>
              <w:t>311</w:t>
            </w:r>
          </w:p>
        </w:tc>
        <w:tc>
          <w:tcPr>
            <w:tcW w:w="708" w:type="dxa"/>
            <w:noWrap w:val="0"/>
            <w:vAlign w:val="center"/>
          </w:tcPr>
          <w:p w14:paraId="3B92E037">
            <w:pPr>
              <w:jc w:val="center"/>
              <w:rPr>
                <w:rFonts w:ascii="宋体" w:hAnsi="宋体" w:cs="宋体"/>
                <w:color w:val="000000"/>
                <w:sz w:val="22"/>
                <w:szCs w:val="22"/>
              </w:rPr>
            </w:pPr>
            <w:r>
              <w:rPr>
                <w:rFonts w:hint="eastAsia"/>
                <w:color w:val="000000"/>
                <w:sz w:val="22"/>
                <w:szCs w:val="22"/>
              </w:rPr>
              <w:t>311</w:t>
            </w:r>
          </w:p>
        </w:tc>
        <w:tc>
          <w:tcPr>
            <w:tcW w:w="709" w:type="dxa"/>
            <w:noWrap w:val="0"/>
            <w:vAlign w:val="center"/>
          </w:tcPr>
          <w:p w14:paraId="165787DE">
            <w:pPr>
              <w:jc w:val="center"/>
              <w:rPr>
                <w:rFonts w:ascii="宋体" w:hAnsi="宋体" w:cs="宋体"/>
                <w:color w:val="000000"/>
                <w:sz w:val="22"/>
                <w:szCs w:val="22"/>
              </w:rPr>
            </w:pPr>
            <w:r>
              <w:rPr>
                <w:rFonts w:hint="eastAsia"/>
                <w:color w:val="000000"/>
                <w:sz w:val="22"/>
                <w:szCs w:val="22"/>
              </w:rPr>
              <w:t>301</w:t>
            </w:r>
          </w:p>
        </w:tc>
        <w:tc>
          <w:tcPr>
            <w:tcW w:w="698" w:type="dxa"/>
            <w:noWrap w:val="0"/>
            <w:vAlign w:val="center"/>
          </w:tcPr>
          <w:p w14:paraId="4E34E117">
            <w:pPr>
              <w:jc w:val="center"/>
              <w:rPr>
                <w:rFonts w:ascii="宋体" w:hAnsi="宋体" w:cs="宋体"/>
                <w:color w:val="000000"/>
                <w:sz w:val="22"/>
                <w:szCs w:val="22"/>
              </w:rPr>
            </w:pPr>
            <w:r>
              <w:rPr>
                <w:rFonts w:hint="eastAsia"/>
                <w:color w:val="000000"/>
                <w:sz w:val="22"/>
                <w:szCs w:val="22"/>
              </w:rPr>
              <w:t>301</w:t>
            </w:r>
          </w:p>
        </w:tc>
        <w:tc>
          <w:tcPr>
            <w:tcW w:w="937" w:type="dxa"/>
            <w:noWrap w:val="0"/>
            <w:vAlign w:val="center"/>
          </w:tcPr>
          <w:p w14:paraId="0E298530">
            <w:pPr>
              <w:jc w:val="center"/>
              <w:rPr>
                <w:rFonts w:ascii="宋体" w:hAnsi="宋体" w:cs="宋体"/>
                <w:color w:val="000000"/>
                <w:sz w:val="22"/>
                <w:szCs w:val="22"/>
              </w:rPr>
            </w:pPr>
            <w:r>
              <w:rPr>
                <w:rFonts w:hint="eastAsia"/>
                <w:color w:val="000000"/>
                <w:sz w:val="22"/>
                <w:szCs w:val="22"/>
              </w:rPr>
              <w:t>292</w:t>
            </w:r>
          </w:p>
        </w:tc>
        <w:tc>
          <w:tcPr>
            <w:tcW w:w="916" w:type="dxa"/>
            <w:noWrap w:val="0"/>
            <w:vAlign w:val="center"/>
          </w:tcPr>
          <w:p w14:paraId="522B26E6">
            <w:pPr>
              <w:jc w:val="center"/>
              <w:rPr>
                <w:rFonts w:ascii="宋体" w:hAnsi="宋体" w:cs="宋体"/>
                <w:color w:val="000000"/>
                <w:sz w:val="22"/>
                <w:szCs w:val="22"/>
              </w:rPr>
            </w:pPr>
            <w:r>
              <w:rPr>
                <w:rFonts w:hint="eastAsia"/>
                <w:color w:val="000000"/>
                <w:sz w:val="22"/>
                <w:szCs w:val="22"/>
              </w:rPr>
              <w:t>275</w:t>
            </w:r>
          </w:p>
        </w:tc>
      </w:tr>
      <w:tr w14:paraId="0C0EC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5366FE35">
            <w:pPr>
              <w:widowControl w:val="0"/>
              <w:spacing w:line="300" w:lineRule="exact"/>
              <w:jc w:val="center"/>
              <w:rPr>
                <w:rFonts w:eastAsia="楷体_GB2312"/>
                <w:szCs w:val="21"/>
              </w:rPr>
            </w:pPr>
          </w:p>
        </w:tc>
        <w:tc>
          <w:tcPr>
            <w:tcW w:w="850" w:type="dxa"/>
            <w:noWrap w:val="0"/>
            <w:vAlign w:val="center"/>
          </w:tcPr>
          <w:p w14:paraId="56B57ABC">
            <w:pPr>
              <w:widowControl w:val="0"/>
              <w:spacing w:line="300" w:lineRule="exact"/>
              <w:jc w:val="center"/>
              <w:rPr>
                <w:rFonts w:eastAsia="楷体_GB2312"/>
                <w:szCs w:val="21"/>
              </w:rPr>
            </w:pPr>
            <w:r>
              <w:rPr>
                <w:rFonts w:eastAsia="楷体_GB2312"/>
                <w:szCs w:val="21"/>
              </w:rPr>
              <w:t>三级地</w:t>
            </w:r>
          </w:p>
        </w:tc>
        <w:tc>
          <w:tcPr>
            <w:tcW w:w="851" w:type="dxa"/>
            <w:noWrap w:val="0"/>
            <w:vAlign w:val="center"/>
          </w:tcPr>
          <w:p w14:paraId="613BCB49">
            <w:pPr>
              <w:jc w:val="center"/>
              <w:rPr>
                <w:rFonts w:ascii="宋体" w:hAnsi="宋体" w:cs="宋体"/>
                <w:color w:val="000000"/>
                <w:sz w:val="22"/>
                <w:szCs w:val="22"/>
              </w:rPr>
            </w:pPr>
            <w:r>
              <w:rPr>
                <w:rFonts w:hint="eastAsia"/>
                <w:color w:val="000000"/>
                <w:sz w:val="22"/>
                <w:szCs w:val="22"/>
              </w:rPr>
              <w:t>258</w:t>
            </w:r>
          </w:p>
        </w:tc>
        <w:tc>
          <w:tcPr>
            <w:tcW w:w="850" w:type="dxa"/>
            <w:noWrap w:val="0"/>
            <w:vAlign w:val="center"/>
          </w:tcPr>
          <w:p w14:paraId="6E24C74A">
            <w:pPr>
              <w:jc w:val="center"/>
              <w:rPr>
                <w:rFonts w:ascii="宋体" w:hAnsi="宋体" w:cs="宋体"/>
                <w:color w:val="000000"/>
                <w:sz w:val="22"/>
                <w:szCs w:val="22"/>
              </w:rPr>
            </w:pPr>
            <w:r>
              <w:rPr>
                <w:rFonts w:hint="eastAsia"/>
                <w:color w:val="000000"/>
                <w:sz w:val="22"/>
                <w:szCs w:val="22"/>
              </w:rPr>
              <w:t>246</w:t>
            </w:r>
          </w:p>
        </w:tc>
        <w:tc>
          <w:tcPr>
            <w:tcW w:w="851" w:type="dxa"/>
            <w:noWrap w:val="0"/>
            <w:vAlign w:val="center"/>
          </w:tcPr>
          <w:p w14:paraId="68A63E77">
            <w:pPr>
              <w:jc w:val="center"/>
              <w:rPr>
                <w:rFonts w:ascii="宋体" w:hAnsi="宋体" w:cs="宋体"/>
                <w:color w:val="000000"/>
                <w:sz w:val="22"/>
                <w:szCs w:val="22"/>
              </w:rPr>
            </w:pPr>
            <w:r>
              <w:rPr>
                <w:rFonts w:hint="eastAsia"/>
                <w:color w:val="000000"/>
                <w:sz w:val="22"/>
                <w:szCs w:val="22"/>
              </w:rPr>
              <w:t>236</w:t>
            </w:r>
          </w:p>
        </w:tc>
        <w:tc>
          <w:tcPr>
            <w:tcW w:w="708" w:type="dxa"/>
            <w:noWrap w:val="0"/>
            <w:vAlign w:val="center"/>
          </w:tcPr>
          <w:p w14:paraId="18900D1B">
            <w:pPr>
              <w:jc w:val="center"/>
              <w:rPr>
                <w:rFonts w:ascii="宋体" w:hAnsi="宋体" w:cs="宋体"/>
                <w:color w:val="000000"/>
                <w:sz w:val="22"/>
                <w:szCs w:val="22"/>
              </w:rPr>
            </w:pPr>
            <w:r>
              <w:rPr>
                <w:rFonts w:hint="eastAsia"/>
                <w:color w:val="000000"/>
                <w:sz w:val="22"/>
                <w:szCs w:val="22"/>
              </w:rPr>
              <w:t>236</w:t>
            </w:r>
          </w:p>
        </w:tc>
        <w:tc>
          <w:tcPr>
            <w:tcW w:w="709" w:type="dxa"/>
            <w:noWrap w:val="0"/>
            <w:vAlign w:val="center"/>
          </w:tcPr>
          <w:p w14:paraId="1FAFECF3">
            <w:pPr>
              <w:jc w:val="center"/>
              <w:rPr>
                <w:rFonts w:ascii="宋体" w:hAnsi="宋体" w:cs="宋体"/>
                <w:color w:val="000000"/>
                <w:sz w:val="22"/>
                <w:szCs w:val="22"/>
              </w:rPr>
            </w:pPr>
            <w:r>
              <w:rPr>
                <w:rFonts w:hint="eastAsia"/>
                <w:color w:val="000000"/>
                <w:sz w:val="22"/>
                <w:szCs w:val="22"/>
              </w:rPr>
              <w:t>229</w:t>
            </w:r>
          </w:p>
        </w:tc>
        <w:tc>
          <w:tcPr>
            <w:tcW w:w="698" w:type="dxa"/>
            <w:noWrap w:val="0"/>
            <w:vAlign w:val="center"/>
          </w:tcPr>
          <w:p w14:paraId="3241F8F4">
            <w:pPr>
              <w:jc w:val="center"/>
              <w:rPr>
                <w:rFonts w:ascii="宋体" w:hAnsi="宋体" w:cs="宋体"/>
                <w:color w:val="000000"/>
                <w:sz w:val="22"/>
                <w:szCs w:val="22"/>
              </w:rPr>
            </w:pPr>
            <w:r>
              <w:rPr>
                <w:rFonts w:hint="eastAsia"/>
                <w:color w:val="000000"/>
                <w:sz w:val="22"/>
                <w:szCs w:val="22"/>
              </w:rPr>
              <w:t>229</w:t>
            </w:r>
          </w:p>
        </w:tc>
        <w:tc>
          <w:tcPr>
            <w:tcW w:w="937" w:type="dxa"/>
            <w:noWrap w:val="0"/>
            <w:vAlign w:val="center"/>
          </w:tcPr>
          <w:p w14:paraId="70BFFD12">
            <w:pPr>
              <w:jc w:val="center"/>
              <w:rPr>
                <w:rFonts w:ascii="宋体" w:hAnsi="宋体" w:cs="宋体"/>
                <w:color w:val="000000"/>
                <w:sz w:val="22"/>
                <w:szCs w:val="22"/>
              </w:rPr>
            </w:pPr>
            <w:r>
              <w:rPr>
                <w:rFonts w:hint="eastAsia"/>
                <w:color w:val="000000"/>
                <w:sz w:val="22"/>
                <w:szCs w:val="22"/>
              </w:rPr>
              <w:t>221</w:t>
            </w:r>
          </w:p>
        </w:tc>
        <w:tc>
          <w:tcPr>
            <w:tcW w:w="916" w:type="dxa"/>
            <w:noWrap w:val="0"/>
            <w:vAlign w:val="center"/>
          </w:tcPr>
          <w:p w14:paraId="264250D5">
            <w:pPr>
              <w:jc w:val="center"/>
              <w:rPr>
                <w:rFonts w:ascii="宋体" w:hAnsi="宋体" w:cs="宋体"/>
                <w:color w:val="000000"/>
                <w:sz w:val="22"/>
                <w:szCs w:val="22"/>
              </w:rPr>
            </w:pPr>
            <w:r>
              <w:rPr>
                <w:rFonts w:hint="eastAsia"/>
                <w:color w:val="000000"/>
                <w:sz w:val="22"/>
                <w:szCs w:val="22"/>
              </w:rPr>
              <w:t>209</w:t>
            </w:r>
          </w:p>
        </w:tc>
      </w:tr>
      <w:tr w14:paraId="4ED7B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4E85E01F">
            <w:pPr>
              <w:widowControl w:val="0"/>
              <w:spacing w:line="300" w:lineRule="exact"/>
              <w:jc w:val="center"/>
              <w:rPr>
                <w:rFonts w:eastAsia="楷体_GB2312"/>
                <w:szCs w:val="21"/>
              </w:rPr>
            </w:pPr>
            <w:r>
              <w:rPr>
                <w:rFonts w:hint="eastAsia" w:eastAsia="楷体_GB2312"/>
                <w:szCs w:val="21"/>
              </w:rPr>
              <w:t>朱仙庄镇</w:t>
            </w:r>
          </w:p>
        </w:tc>
        <w:tc>
          <w:tcPr>
            <w:tcW w:w="850" w:type="dxa"/>
            <w:noWrap w:val="0"/>
            <w:vAlign w:val="center"/>
          </w:tcPr>
          <w:p w14:paraId="7FF564A2">
            <w:pPr>
              <w:widowControl w:val="0"/>
              <w:spacing w:line="300" w:lineRule="exact"/>
              <w:jc w:val="center"/>
              <w:rPr>
                <w:rFonts w:eastAsia="楷体_GB2312"/>
                <w:szCs w:val="21"/>
              </w:rPr>
            </w:pPr>
            <w:r>
              <w:rPr>
                <w:rFonts w:eastAsia="楷体_GB2312"/>
                <w:szCs w:val="21"/>
              </w:rPr>
              <w:t>一级地</w:t>
            </w:r>
          </w:p>
        </w:tc>
        <w:tc>
          <w:tcPr>
            <w:tcW w:w="851" w:type="dxa"/>
            <w:noWrap w:val="0"/>
            <w:vAlign w:val="center"/>
          </w:tcPr>
          <w:p w14:paraId="44DBB7C0">
            <w:pPr>
              <w:jc w:val="center"/>
              <w:rPr>
                <w:rFonts w:ascii="宋体" w:hAnsi="宋体" w:cs="宋体"/>
                <w:color w:val="000000"/>
                <w:sz w:val="22"/>
                <w:szCs w:val="22"/>
              </w:rPr>
            </w:pPr>
            <w:r>
              <w:rPr>
                <w:rFonts w:hint="eastAsia"/>
                <w:color w:val="000000"/>
                <w:sz w:val="22"/>
                <w:szCs w:val="22"/>
              </w:rPr>
              <w:t>426</w:t>
            </w:r>
          </w:p>
        </w:tc>
        <w:tc>
          <w:tcPr>
            <w:tcW w:w="850" w:type="dxa"/>
            <w:noWrap w:val="0"/>
            <w:vAlign w:val="center"/>
          </w:tcPr>
          <w:p w14:paraId="104DD8DC">
            <w:pPr>
              <w:jc w:val="center"/>
              <w:rPr>
                <w:rFonts w:ascii="宋体" w:hAnsi="宋体" w:cs="宋体"/>
                <w:color w:val="000000"/>
                <w:sz w:val="22"/>
                <w:szCs w:val="22"/>
              </w:rPr>
            </w:pPr>
            <w:r>
              <w:rPr>
                <w:rFonts w:hint="eastAsia"/>
                <w:color w:val="000000"/>
                <w:sz w:val="22"/>
                <w:szCs w:val="22"/>
              </w:rPr>
              <w:t>406</w:t>
            </w:r>
          </w:p>
        </w:tc>
        <w:tc>
          <w:tcPr>
            <w:tcW w:w="851" w:type="dxa"/>
            <w:noWrap w:val="0"/>
            <w:vAlign w:val="center"/>
          </w:tcPr>
          <w:p w14:paraId="333E3E86">
            <w:pPr>
              <w:jc w:val="center"/>
              <w:rPr>
                <w:rFonts w:ascii="宋体" w:hAnsi="宋体" w:cs="宋体"/>
                <w:color w:val="000000"/>
                <w:sz w:val="22"/>
                <w:szCs w:val="22"/>
              </w:rPr>
            </w:pPr>
            <w:r>
              <w:rPr>
                <w:rFonts w:hint="eastAsia"/>
                <w:color w:val="000000"/>
                <w:sz w:val="22"/>
                <w:szCs w:val="22"/>
              </w:rPr>
              <w:t>390</w:t>
            </w:r>
          </w:p>
        </w:tc>
        <w:tc>
          <w:tcPr>
            <w:tcW w:w="708" w:type="dxa"/>
            <w:noWrap w:val="0"/>
            <w:vAlign w:val="center"/>
          </w:tcPr>
          <w:p w14:paraId="3334A9ED">
            <w:pPr>
              <w:jc w:val="center"/>
              <w:rPr>
                <w:rFonts w:ascii="宋体" w:hAnsi="宋体" w:cs="宋体"/>
                <w:color w:val="000000"/>
                <w:sz w:val="22"/>
                <w:szCs w:val="22"/>
              </w:rPr>
            </w:pPr>
            <w:r>
              <w:rPr>
                <w:rFonts w:hint="eastAsia"/>
                <w:color w:val="000000"/>
                <w:sz w:val="22"/>
                <w:szCs w:val="22"/>
              </w:rPr>
              <w:t>390</w:t>
            </w:r>
          </w:p>
        </w:tc>
        <w:tc>
          <w:tcPr>
            <w:tcW w:w="709" w:type="dxa"/>
            <w:noWrap w:val="0"/>
            <w:vAlign w:val="center"/>
          </w:tcPr>
          <w:p w14:paraId="11209B17">
            <w:pPr>
              <w:jc w:val="center"/>
              <w:rPr>
                <w:rFonts w:ascii="宋体" w:hAnsi="宋体" w:cs="宋体"/>
                <w:color w:val="000000"/>
                <w:sz w:val="22"/>
                <w:szCs w:val="22"/>
              </w:rPr>
            </w:pPr>
            <w:r>
              <w:rPr>
                <w:rFonts w:hint="eastAsia"/>
                <w:color w:val="000000"/>
                <w:sz w:val="22"/>
                <w:szCs w:val="22"/>
              </w:rPr>
              <w:t>378</w:t>
            </w:r>
          </w:p>
        </w:tc>
        <w:tc>
          <w:tcPr>
            <w:tcW w:w="698" w:type="dxa"/>
            <w:noWrap w:val="0"/>
            <w:vAlign w:val="center"/>
          </w:tcPr>
          <w:p w14:paraId="5B024228">
            <w:pPr>
              <w:jc w:val="center"/>
              <w:rPr>
                <w:rFonts w:ascii="宋体" w:hAnsi="宋体" w:cs="宋体"/>
                <w:color w:val="000000"/>
                <w:sz w:val="22"/>
                <w:szCs w:val="22"/>
              </w:rPr>
            </w:pPr>
            <w:r>
              <w:rPr>
                <w:rFonts w:hint="eastAsia"/>
                <w:color w:val="000000"/>
                <w:sz w:val="22"/>
                <w:szCs w:val="22"/>
              </w:rPr>
              <w:t>378</w:t>
            </w:r>
          </w:p>
        </w:tc>
        <w:tc>
          <w:tcPr>
            <w:tcW w:w="937" w:type="dxa"/>
            <w:noWrap w:val="0"/>
            <w:vAlign w:val="center"/>
          </w:tcPr>
          <w:p w14:paraId="21FD78B9">
            <w:pPr>
              <w:jc w:val="center"/>
              <w:rPr>
                <w:rFonts w:ascii="宋体" w:hAnsi="宋体" w:cs="宋体"/>
                <w:color w:val="000000"/>
                <w:sz w:val="22"/>
                <w:szCs w:val="22"/>
              </w:rPr>
            </w:pPr>
            <w:r>
              <w:rPr>
                <w:rFonts w:hint="eastAsia"/>
                <w:color w:val="000000"/>
                <w:sz w:val="22"/>
                <w:szCs w:val="22"/>
              </w:rPr>
              <w:t>365</w:t>
            </w:r>
          </w:p>
        </w:tc>
        <w:tc>
          <w:tcPr>
            <w:tcW w:w="916" w:type="dxa"/>
            <w:noWrap w:val="0"/>
            <w:vAlign w:val="center"/>
          </w:tcPr>
          <w:p w14:paraId="4C99EE60">
            <w:pPr>
              <w:jc w:val="center"/>
              <w:rPr>
                <w:rFonts w:ascii="宋体" w:hAnsi="宋体" w:cs="宋体"/>
                <w:color w:val="000000"/>
                <w:sz w:val="22"/>
                <w:szCs w:val="22"/>
              </w:rPr>
            </w:pPr>
            <w:r>
              <w:rPr>
                <w:rFonts w:hint="eastAsia"/>
                <w:color w:val="000000"/>
                <w:sz w:val="22"/>
                <w:szCs w:val="22"/>
              </w:rPr>
              <w:t>345</w:t>
            </w:r>
          </w:p>
        </w:tc>
      </w:tr>
      <w:tr w14:paraId="03FF3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224ACA09">
            <w:pPr>
              <w:widowControl w:val="0"/>
              <w:spacing w:line="300" w:lineRule="exact"/>
              <w:jc w:val="center"/>
              <w:rPr>
                <w:rFonts w:eastAsia="楷体_GB2312"/>
                <w:szCs w:val="21"/>
              </w:rPr>
            </w:pPr>
          </w:p>
        </w:tc>
        <w:tc>
          <w:tcPr>
            <w:tcW w:w="850" w:type="dxa"/>
            <w:noWrap w:val="0"/>
            <w:vAlign w:val="center"/>
          </w:tcPr>
          <w:p w14:paraId="437E88C1">
            <w:pPr>
              <w:widowControl w:val="0"/>
              <w:spacing w:line="300" w:lineRule="exact"/>
              <w:jc w:val="center"/>
              <w:rPr>
                <w:rFonts w:eastAsia="楷体_GB2312"/>
                <w:szCs w:val="21"/>
              </w:rPr>
            </w:pPr>
            <w:r>
              <w:rPr>
                <w:rFonts w:eastAsia="楷体_GB2312"/>
                <w:szCs w:val="21"/>
              </w:rPr>
              <w:t>二级地</w:t>
            </w:r>
          </w:p>
        </w:tc>
        <w:tc>
          <w:tcPr>
            <w:tcW w:w="851" w:type="dxa"/>
            <w:noWrap w:val="0"/>
            <w:vAlign w:val="center"/>
          </w:tcPr>
          <w:p w14:paraId="6809B067">
            <w:pPr>
              <w:jc w:val="center"/>
              <w:rPr>
                <w:rFonts w:ascii="宋体" w:hAnsi="宋体" w:cs="宋体"/>
                <w:color w:val="000000"/>
                <w:sz w:val="22"/>
                <w:szCs w:val="22"/>
              </w:rPr>
            </w:pPr>
            <w:r>
              <w:rPr>
                <w:rFonts w:hint="eastAsia"/>
                <w:color w:val="000000"/>
                <w:sz w:val="22"/>
                <w:szCs w:val="22"/>
              </w:rPr>
              <w:t>301</w:t>
            </w:r>
          </w:p>
        </w:tc>
        <w:tc>
          <w:tcPr>
            <w:tcW w:w="850" w:type="dxa"/>
            <w:noWrap w:val="0"/>
            <w:vAlign w:val="center"/>
          </w:tcPr>
          <w:p w14:paraId="4CB369CB">
            <w:pPr>
              <w:jc w:val="center"/>
              <w:rPr>
                <w:rFonts w:ascii="宋体" w:hAnsi="宋体" w:cs="宋体"/>
                <w:color w:val="000000"/>
                <w:sz w:val="22"/>
                <w:szCs w:val="22"/>
              </w:rPr>
            </w:pPr>
            <w:r>
              <w:rPr>
                <w:rFonts w:hint="eastAsia"/>
                <w:color w:val="000000"/>
                <w:sz w:val="22"/>
                <w:szCs w:val="22"/>
              </w:rPr>
              <w:t>287</w:t>
            </w:r>
          </w:p>
        </w:tc>
        <w:tc>
          <w:tcPr>
            <w:tcW w:w="851" w:type="dxa"/>
            <w:noWrap w:val="0"/>
            <w:vAlign w:val="center"/>
          </w:tcPr>
          <w:p w14:paraId="259860C3">
            <w:pPr>
              <w:jc w:val="center"/>
              <w:rPr>
                <w:rFonts w:ascii="宋体" w:hAnsi="宋体" w:cs="宋体"/>
                <w:color w:val="000000"/>
                <w:sz w:val="22"/>
                <w:szCs w:val="22"/>
              </w:rPr>
            </w:pPr>
            <w:r>
              <w:rPr>
                <w:rFonts w:hint="eastAsia"/>
                <w:color w:val="000000"/>
                <w:sz w:val="22"/>
                <w:szCs w:val="22"/>
              </w:rPr>
              <w:t>276</w:t>
            </w:r>
          </w:p>
        </w:tc>
        <w:tc>
          <w:tcPr>
            <w:tcW w:w="708" w:type="dxa"/>
            <w:noWrap w:val="0"/>
            <w:vAlign w:val="center"/>
          </w:tcPr>
          <w:p w14:paraId="446FD2B3">
            <w:pPr>
              <w:jc w:val="center"/>
              <w:rPr>
                <w:rFonts w:ascii="宋体" w:hAnsi="宋体" w:cs="宋体"/>
                <w:color w:val="000000"/>
                <w:sz w:val="22"/>
                <w:szCs w:val="22"/>
              </w:rPr>
            </w:pPr>
            <w:r>
              <w:rPr>
                <w:rFonts w:hint="eastAsia"/>
                <w:color w:val="000000"/>
                <w:sz w:val="22"/>
                <w:szCs w:val="22"/>
              </w:rPr>
              <w:t>276</w:t>
            </w:r>
          </w:p>
        </w:tc>
        <w:tc>
          <w:tcPr>
            <w:tcW w:w="709" w:type="dxa"/>
            <w:noWrap w:val="0"/>
            <w:vAlign w:val="center"/>
          </w:tcPr>
          <w:p w14:paraId="219F35B4">
            <w:pPr>
              <w:jc w:val="center"/>
              <w:rPr>
                <w:rFonts w:ascii="宋体" w:hAnsi="宋体" w:cs="宋体"/>
                <w:color w:val="000000"/>
                <w:sz w:val="22"/>
                <w:szCs w:val="22"/>
              </w:rPr>
            </w:pPr>
            <w:r>
              <w:rPr>
                <w:rFonts w:hint="eastAsia"/>
                <w:color w:val="000000"/>
                <w:sz w:val="22"/>
                <w:szCs w:val="22"/>
              </w:rPr>
              <w:t>267</w:t>
            </w:r>
          </w:p>
        </w:tc>
        <w:tc>
          <w:tcPr>
            <w:tcW w:w="698" w:type="dxa"/>
            <w:noWrap w:val="0"/>
            <w:vAlign w:val="center"/>
          </w:tcPr>
          <w:p w14:paraId="0396391B">
            <w:pPr>
              <w:jc w:val="center"/>
              <w:rPr>
                <w:rFonts w:ascii="宋体" w:hAnsi="宋体" w:cs="宋体"/>
                <w:color w:val="000000"/>
                <w:sz w:val="22"/>
                <w:szCs w:val="22"/>
              </w:rPr>
            </w:pPr>
            <w:r>
              <w:rPr>
                <w:rFonts w:hint="eastAsia"/>
                <w:color w:val="000000"/>
                <w:sz w:val="22"/>
                <w:szCs w:val="22"/>
              </w:rPr>
              <w:t>267</w:t>
            </w:r>
          </w:p>
        </w:tc>
        <w:tc>
          <w:tcPr>
            <w:tcW w:w="937" w:type="dxa"/>
            <w:noWrap w:val="0"/>
            <w:vAlign w:val="center"/>
          </w:tcPr>
          <w:p w14:paraId="55A1D213">
            <w:pPr>
              <w:jc w:val="center"/>
              <w:rPr>
                <w:rFonts w:ascii="宋体" w:hAnsi="宋体" w:cs="宋体"/>
                <w:color w:val="000000"/>
                <w:sz w:val="22"/>
                <w:szCs w:val="22"/>
              </w:rPr>
            </w:pPr>
            <w:r>
              <w:rPr>
                <w:rFonts w:hint="eastAsia"/>
                <w:color w:val="000000"/>
                <w:sz w:val="22"/>
                <w:szCs w:val="22"/>
              </w:rPr>
              <w:t>258</w:t>
            </w:r>
          </w:p>
        </w:tc>
        <w:tc>
          <w:tcPr>
            <w:tcW w:w="916" w:type="dxa"/>
            <w:noWrap w:val="0"/>
            <w:vAlign w:val="center"/>
          </w:tcPr>
          <w:p w14:paraId="49C1019E">
            <w:pPr>
              <w:jc w:val="center"/>
              <w:rPr>
                <w:rFonts w:ascii="宋体" w:hAnsi="宋体" w:cs="宋体"/>
                <w:color w:val="000000"/>
                <w:sz w:val="22"/>
                <w:szCs w:val="22"/>
              </w:rPr>
            </w:pPr>
            <w:r>
              <w:rPr>
                <w:rFonts w:hint="eastAsia"/>
                <w:color w:val="000000"/>
                <w:sz w:val="22"/>
                <w:szCs w:val="22"/>
              </w:rPr>
              <w:t>244</w:t>
            </w:r>
          </w:p>
        </w:tc>
      </w:tr>
      <w:tr w14:paraId="6F45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539A4E28">
            <w:pPr>
              <w:widowControl w:val="0"/>
              <w:spacing w:line="300" w:lineRule="exact"/>
              <w:jc w:val="center"/>
              <w:rPr>
                <w:rFonts w:eastAsia="楷体_GB2312"/>
                <w:szCs w:val="21"/>
              </w:rPr>
            </w:pPr>
          </w:p>
        </w:tc>
        <w:tc>
          <w:tcPr>
            <w:tcW w:w="850" w:type="dxa"/>
            <w:noWrap w:val="0"/>
            <w:vAlign w:val="center"/>
          </w:tcPr>
          <w:p w14:paraId="71595EA7">
            <w:pPr>
              <w:widowControl w:val="0"/>
              <w:spacing w:line="300" w:lineRule="exact"/>
              <w:jc w:val="center"/>
              <w:rPr>
                <w:rFonts w:eastAsia="楷体_GB2312"/>
                <w:szCs w:val="21"/>
              </w:rPr>
            </w:pPr>
            <w:r>
              <w:rPr>
                <w:rFonts w:eastAsia="楷体_GB2312"/>
                <w:szCs w:val="21"/>
              </w:rPr>
              <w:t>三级地</w:t>
            </w:r>
          </w:p>
        </w:tc>
        <w:tc>
          <w:tcPr>
            <w:tcW w:w="851" w:type="dxa"/>
            <w:noWrap w:val="0"/>
            <w:vAlign w:val="center"/>
          </w:tcPr>
          <w:p w14:paraId="2119C1AE">
            <w:pPr>
              <w:jc w:val="center"/>
              <w:rPr>
                <w:rFonts w:ascii="宋体" w:hAnsi="宋体" w:cs="宋体"/>
                <w:color w:val="000000"/>
                <w:sz w:val="22"/>
                <w:szCs w:val="22"/>
              </w:rPr>
            </w:pPr>
            <w:r>
              <w:rPr>
                <w:rFonts w:hint="eastAsia"/>
                <w:color w:val="000000"/>
                <w:sz w:val="22"/>
                <w:szCs w:val="22"/>
              </w:rPr>
              <w:t>231</w:t>
            </w:r>
          </w:p>
        </w:tc>
        <w:tc>
          <w:tcPr>
            <w:tcW w:w="850" w:type="dxa"/>
            <w:noWrap w:val="0"/>
            <w:vAlign w:val="center"/>
          </w:tcPr>
          <w:p w14:paraId="5BAC0512">
            <w:pPr>
              <w:jc w:val="center"/>
              <w:rPr>
                <w:rFonts w:ascii="宋体" w:hAnsi="宋体" w:cs="宋体"/>
                <w:color w:val="000000"/>
                <w:sz w:val="22"/>
                <w:szCs w:val="22"/>
              </w:rPr>
            </w:pPr>
            <w:r>
              <w:rPr>
                <w:rFonts w:hint="eastAsia"/>
                <w:color w:val="000000"/>
                <w:sz w:val="22"/>
                <w:szCs w:val="22"/>
              </w:rPr>
              <w:t>220</w:t>
            </w:r>
          </w:p>
        </w:tc>
        <w:tc>
          <w:tcPr>
            <w:tcW w:w="851" w:type="dxa"/>
            <w:noWrap w:val="0"/>
            <w:vAlign w:val="center"/>
          </w:tcPr>
          <w:p w14:paraId="459232BC">
            <w:pPr>
              <w:jc w:val="center"/>
              <w:rPr>
                <w:rFonts w:ascii="宋体" w:hAnsi="宋体" w:cs="宋体"/>
                <w:color w:val="000000"/>
                <w:sz w:val="22"/>
                <w:szCs w:val="22"/>
              </w:rPr>
            </w:pPr>
            <w:r>
              <w:rPr>
                <w:rFonts w:hint="eastAsia"/>
                <w:color w:val="000000"/>
                <w:sz w:val="22"/>
                <w:szCs w:val="22"/>
              </w:rPr>
              <w:t>211</w:t>
            </w:r>
          </w:p>
        </w:tc>
        <w:tc>
          <w:tcPr>
            <w:tcW w:w="708" w:type="dxa"/>
            <w:noWrap w:val="0"/>
            <w:vAlign w:val="center"/>
          </w:tcPr>
          <w:p w14:paraId="5F72692F">
            <w:pPr>
              <w:jc w:val="center"/>
              <w:rPr>
                <w:rFonts w:ascii="宋体" w:hAnsi="宋体" w:cs="宋体"/>
                <w:color w:val="000000"/>
                <w:sz w:val="22"/>
                <w:szCs w:val="22"/>
              </w:rPr>
            </w:pPr>
            <w:r>
              <w:rPr>
                <w:rFonts w:hint="eastAsia"/>
                <w:color w:val="000000"/>
                <w:sz w:val="22"/>
                <w:szCs w:val="22"/>
              </w:rPr>
              <w:t>211</w:t>
            </w:r>
          </w:p>
        </w:tc>
        <w:tc>
          <w:tcPr>
            <w:tcW w:w="709" w:type="dxa"/>
            <w:noWrap w:val="0"/>
            <w:vAlign w:val="center"/>
          </w:tcPr>
          <w:p w14:paraId="27F0E510">
            <w:pPr>
              <w:jc w:val="center"/>
              <w:rPr>
                <w:rFonts w:ascii="宋体" w:hAnsi="宋体" w:cs="宋体"/>
                <w:color w:val="000000"/>
                <w:sz w:val="22"/>
                <w:szCs w:val="22"/>
              </w:rPr>
            </w:pPr>
            <w:r>
              <w:rPr>
                <w:rFonts w:hint="eastAsia"/>
                <w:color w:val="000000"/>
                <w:sz w:val="22"/>
                <w:szCs w:val="22"/>
              </w:rPr>
              <w:t>205</w:t>
            </w:r>
          </w:p>
        </w:tc>
        <w:tc>
          <w:tcPr>
            <w:tcW w:w="698" w:type="dxa"/>
            <w:noWrap w:val="0"/>
            <w:vAlign w:val="center"/>
          </w:tcPr>
          <w:p w14:paraId="095C2EE4">
            <w:pPr>
              <w:jc w:val="center"/>
              <w:rPr>
                <w:rFonts w:ascii="宋体" w:hAnsi="宋体" w:cs="宋体"/>
                <w:color w:val="000000"/>
                <w:sz w:val="22"/>
                <w:szCs w:val="22"/>
              </w:rPr>
            </w:pPr>
            <w:r>
              <w:rPr>
                <w:rFonts w:hint="eastAsia"/>
                <w:color w:val="000000"/>
                <w:sz w:val="22"/>
                <w:szCs w:val="22"/>
              </w:rPr>
              <w:t>205</w:t>
            </w:r>
          </w:p>
        </w:tc>
        <w:tc>
          <w:tcPr>
            <w:tcW w:w="937" w:type="dxa"/>
            <w:noWrap w:val="0"/>
            <w:vAlign w:val="center"/>
          </w:tcPr>
          <w:p w14:paraId="11AF1415">
            <w:pPr>
              <w:jc w:val="center"/>
              <w:rPr>
                <w:rFonts w:ascii="宋体" w:hAnsi="宋体" w:cs="宋体"/>
                <w:color w:val="000000"/>
                <w:sz w:val="22"/>
                <w:szCs w:val="22"/>
              </w:rPr>
            </w:pPr>
            <w:r>
              <w:rPr>
                <w:rFonts w:hint="eastAsia"/>
                <w:color w:val="000000"/>
                <w:sz w:val="22"/>
                <w:szCs w:val="22"/>
              </w:rPr>
              <w:t>198</w:t>
            </w:r>
          </w:p>
        </w:tc>
        <w:tc>
          <w:tcPr>
            <w:tcW w:w="916" w:type="dxa"/>
            <w:noWrap w:val="0"/>
            <w:vAlign w:val="center"/>
          </w:tcPr>
          <w:p w14:paraId="2CAB7816">
            <w:pPr>
              <w:jc w:val="center"/>
              <w:rPr>
                <w:rFonts w:ascii="宋体" w:hAnsi="宋体" w:cs="宋体"/>
                <w:color w:val="000000"/>
                <w:sz w:val="22"/>
                <w:szCs w:val="22"/>
              </w:rPr>
            </w:pPr>
            <w:r>
              <w:rPr>
                <w:rFonts w:hint="eastAsia"/>
                <w:color w:val="000000"/>
                <w:sz w:val="22"/>
                <w:szCs w:val="22"/>
              </w:rPr>
              <w:t>187</w:t>
            </w:r>
          </w:p>
        </w:tc>
      </w:tr>
      <w:tr w14:paraId="0015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67F9D08E">
            <w:pPr>
              <w:widowControl w:val="0"/>
              <w:spacing w:line="300" w:lineRule="exact"/>
              <w:jc w:val="center"/>
              <w:rPr>
                <w:rFonts w:eastAsia="楷体_GB2312"/>
                <w:szCs w:val="21"/>
              </w:rPr>
            </w:pPr>
            <w:r>
              <w:rPr>
                <w:rFonts w:hint="eastAsia" w:eastAsia="楷体_GB2312"/>
                <w:szCs w:val="21"/>
              </w:rPr>
              <w:t>蕲县镇</w:t>
            </w:r>
          </w:p>
        </w:tc>
        <w:tc>
          <w:tcPr>
            <w:tcW w:w="850" w:type="dxa"/>
            <w:noWrap w:val="0"/>
            <w:vAlign w:val="center"/>
          </w:tcPr>
          <w:p w14:paraId="4803D5E7">
            <w:pPr>
              <w:widowControl w:val="0"/>
              <w:spacing w:line="300" w:lineRule="exact"/>
              <w:jc w:val="center"/>
              <w:rPr>
                <w:rFonts w:eastAsia="楷体_GB2312"/>
                <w:szCs w:val="21"/>
              </w:rPr>
            </w:pPr>
            <w:r>
              <w:rPr>
                <w:rFonts w:eastAsia="楷体_GB2312"/>
                <w:szCs w:val="21"/>
              </w:rPr>
              <w:t>一级地</w:t>
            </w:r>
          </w:p>
        </w:tc>
        <w:tc>
          <w:tcPr>
            <w:tcW w:w="851" w:type="dxa"/>
            <w:noWrap w:val="0"/>
            <w:vAlign w:val="center"/>
          </w:tcPr>
          <w:p w14:paraId="51AAB7A8">
            <w:pPr>
              <w:jc w:val="center"/>
              <w:rPr>
                <w:rFonts w:ascii="宋体" w:hAnsi="宋体" w:cs="宋体"/>
                <w:color w:val="000000"/>
                <w:sz w:val="22"/>
                <w:szCs w:val="22"/>
              </w:rPr>
            </w:pPr>
            <w:r>
              <w:rPr>
                <w:rFonts w:hint="eastAsia"/>
                <w:color w:val="000000"/>
                <w:sz w:val="22"/>
                <w:szCs w:val="22"/>
              </w:rPr>
              <w:t>410</w:t>
            </w:r>
          </w:p>
        </w:tc>
        <w:tc>
          <w:tcPr>
            <w:tcW w:w="850" w:type="dxa"/>
            <w:noWrap w:val="0"/>
            <w:vAlign w:val="center"/>
          </w:tcPr>
          <w:p w14:paraId="7976EC9E">
            <w:pPr>
              <w:jc w:val="center"/>
              <w:rPr>
                <w:rFonts w:ascii="宋体" w:hAnsi="宋体" w:cs="宋体"/>
                <w:color w:val="000000"/>
                <w:sz w:val="22"/>
                <w:szCs w:val="22"/>
              </w:rPr>
            </w:pPr>
            <w:r>
              <w:rPr>
                <w:rFonts w:hint="eastAsia"/>
                <w:color w:val="000000"/>
                <w:sz w:val="22"/>
                <w:szCs w:val="22"/>
              </w:rPr>
              <w:t>390</w:t>
            </w:r>
          </w:p>
        </w:tc>
        <w:tc>
          <w:tcPr>
            <w:tcW w:w="851" w:type="dxa"/>
            <w:noWrap w:val="0"/>
            <w:vAlign w:val="center"/>
          </w:tcPr>
          <w:p w14:paraId="6BC9752D">
            <w:pPr>
              <w:jc w:val="center"/>
              <w:rPr>
                <w:rFonts w:ascii="宋体" w:hAnsi="宋体" w:cs="宋体"/>
                <w:color w:val="000000"/>
                <w:sz w:val="22"/>
                <w:szCs w:val="22"/>
              </w:rPr>
            </w:pPr>
            <w:r>
              <w:rPr>
                <w:rFonts w:hint="eastAsia"/>
                <w:color w:val="000000"/>
                <w:sz w:val="22"/>
                <w:szCs w:val="22"/>
              </w:rPr>
              <w:t>374</w:t>
            </w:r>
          </w:p>
        </w:tc>
        <w:tc>
          <w:tcPr>
            <w:tcW w:w="708" w:type="dxa"/>
            <w:noWrap w:val="0"/>
            <w:vAlign w:val="center"/>
          </w:tcPr>
          <w:p w14:paraId="056382CD">
            <w:pPr>
              <w:jc w:val="center"/>
              <w:rPr>
                <w:rFonts w:ascii="宋体" w:hAnsi="宋体" w:cs="宋体"/>
                <w:color w:val="000000"/>
                <w:sz w:val="22"/>
                <w:szCs w:val="22"/>
              </w:rPr>
            </w:pPr>
            <w:r>
              <w:rPr>
                <w:rFonts w:hint="eastAsia"/>
                <w:color w:val="000000"/>
                <w:sz w:val="22"/>
                <w:szCs w:val="22"/>
              </w:rPr>
              <w:t>374</w:t>
            </w:r>
          </w:p>
        </w:tc>
        <w:tc>
          <w:tcPr>
            <w:tcW w:w="709" w:type="dxa"/>
            <w:noWrap w:val="0"/>
            <w:vAlign w:val="center"/>
          </w:tcPr>
          <w:p w14:paraId="20ADBF0C">
            <w:pPr>
              <w:jc w:val="center"/>
              <w:rPr>
                <w:rFonts w:ascii="宋体" w:hAnsi="宋体" w:cs="宋体"/>
                <w:color w:val="000000"/>
                <w:sz w:val="22"/>
                <w:szCs w:val="22"/>
              </w:rPr>
            </w:pPr>
            <w:r>
              <w:rPr>
                <w:rFonts w:hint="eastAsia"/>
                <w:color w:val="000000"/>
                <w:sz w:val="22"/>
                <w:szCs w:val="22"/>
              </w:rPr>
              <w:t>363</w:t>
            </w:r>
          </w:p>
        </w:tc>
        <w:tc>
          <w:tcPr>
            <w:tcW w:w="698" w:type="dxa"/>
            <w:noWrap w:val="0"/>
            <w:vAlign w:val="center"/>
          </w:tcPr>
          <w:p w14:paraId="7EE36635">
            <w:pPr>
              <w:jc w:val="center"/>
              <w:rPr>
                <w:rFonts w:ascii="宋体" w:hAnsi="宋体" w:cs="宋体"/>
                <w:color w:val="000000"/>
                <w:sz w:val="22"/>
                <w:szCs w:val="22"/>
              </w:rPr>
            </w:pPr>
            <w:r>
              <w:rPr>
                <w:rFonts w:hint="eastAsia"/>
                <w:color w:val="000000"/>
                <w:sz w:val="22"/>
                <w:szCs w:val="22"/>
              </w:rPr>
              <w:t>363</w:t>
            </w:r>
          </w:p>
        </w:tc>
        <w:tc>
          <w:tcPr>
            <w:tcW w:w="937" w:type="dxa"/>
            <w:noWrap w:val="0"/>
            <w:vAlign w:val="center"/>
          </w:tcPr>
          <w:p w14:paraId="2479184E">
            <w:pPr>
              <w:jc w:val="center"/>
              <w:rPr>
                <w:rFonts w:ascii="宋体" w:hAnsi="宋体" w:cs="宋体"/>
                <w:color w:val="000000"/>
                <w:sz w:val="22"/>
                <w:szCs w:val="22"/>
              </w:rPr>
            </w:pPr>
            <w:r>
              <w:rPr>
                <w:rFonts w:hint="eastAsia"/>
                <w:color w:val="000000"/>
                <w:sz w:val="22"/>
                <w:szCs w:val="22"/>
              </w:rPr>
              <w:t>351</w:t>
            </w:r>
          </w:p>
        </w:tc>
        <w:tc>
          <w:tcPr>
            <w:tcW w:w="916" w:type="dxa"/>
            <w:noWrap w:val="0"/>
            <w:vAlign w:val="center"/>
          </w:tcPr>
          <w:p w14:paraId="5E0DBD7D">
            <w:pPr>
              <w:jc w:val="center"/>
              <w:rPr>
                <w:rFonts w:ascii="宋体" w:hAnsi="宋体" w:cs="宋体"/>
                <w:color w:val="000000"/>
                <w:sz w:val="22"/>
                <w:szCs w:val="22"/>
              </w:rPr>
            </w:pPr>
            <w:r>
              <w:rPr>
                <w:rFonts w:hint="eastAsia"/>
                <w:color w:val="000000"/>
                <w:sz w:val="22"/>
                <w:szCs w:val="22"/>
              </w:rPr>
              <w:t>332</w:t>
            </w:r>
          </w:p>
        </w:tc>
      </w:tr>
      <w:tr w14:paraId="55DC3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27F74150">
            <w:pPr>
              <w:widowControl w:val="0"/>
              <w:spacing w:line="300" w:lineRule="exact"/>
              <w:jc w:val="center"/>
              <w:rPr>
                <w:rFonts w:eastAsia="楷体_GB2312"/>
                <w:szCs w:val="21"/>
              </w:rPr>
            </w:pPr>
          </w:p>
        </w:tc>
        <w:tc>
          <w:tcPr>
            <w:tcW w:w="850" w:type="dxa"/>
            <w:noWrap w:val="0"/>
            <w:vAlign w:val="center"/>
          </w:tcPr>
          <w:p w14:paraId="6079E959">
            <w:pPr>
              <w:widowControl w:val="0"/>
              <w:spacing w:line="300" w:lineRule="exact"/>
              <w:jc w:val="center"/>
              <w:rPr>
                <w:rFonts w:eastAsia="楷体_GB2312"/>
                <w:szCs w:val="21"/>
              </w:rPr>
            </w:pPr>
            <w:r>
              <w:rPr>
                <w:rFonts w:eastAsia="楷体_GB2312"/>
                <w:szCs w:val="21"/>
              </w:rPr>
              <w:t>二级地</w:t>
            </w:r>
          </w:p>
        </w:tc>
        <w:tc>
          <w:tcPr>
            <w:tcW w:w="851" w:type="dxa"/>
            <w:noWrap w:val="0"/>
            <w:vAlign w:val="center"/>
          </w:tcPr>
          <w:p w14:paraId="70DB919C">
            <w:pPr>
              <w:jc w:val="center"/>
              <w:rPr>
                <w:rFonts w:ascii="宋体" w:hAnsi="宋体" w:cs="宋体"/>
                <w:color w:val="000000"/>
                <w:sz w:val="22"/>
                <w:szCs w:val="22"/>
              </w:rPr>
            </w:pPr>
            <w:r>
              <w:rPr>
                <w:rFonts w:hint="eastAsia"/>
                <w:color w:val="000000"/>
                <w:sz w:val="22"/>
                <w:szCs w:val="22"/>
              </w:rPr>
              <w:t>290</w:t>
            </w:r>
          </w:p>
        </w:tc>
        <w:tc>
          <w:tcPr>
            <w:tcW w:w="850" w:type="dxa"/>
            <w:noWrap w:val="0"/>
            <w:vAlign w:val="center"/>
          </w:tcPr>
          <w:p w14:paraId="5799F9A0">
            <w:pPr>
              <w:jc w:val="center"/>
              <w:rPr>
                <w:rFonts w:ascii="宋体" w:hAnsi="宋体" w:cs="宋体"/>
                <w:color w:val="000000"/>
                <w:sz w:val="22"/>
                <w:szCs w:val="22"/>
              </w:rPr>
            </w:pPr>
            <w:r>
              <w:rPr>
                <w:rFonts w:hint="eastAsia"/>
                <w:color w:val="000000"/>
                <w:sz w:val="22"/>
                <w:szCs w:val="22"/>
              </w:rPr>
              <w:t>276</w:t>
            </w:r>
          </w:p>
        </w:tc>
        <w:tc>
          <w:tcPr>
            <w:tcW w:w="851" w:type="dxa"/>
            <w:noWrap w:val="0"/>
            <w:vAlign w:val="center"/>
          </w:tcPr>
          <w:p w14:paraId="48769DD6">
            <w:pPr>
              <w:jc w:val="center"/>
              <w:rPr>
                <w:rFonts w:ascii="宋体" w:hAnsi="宋体" w:cs="宋体"/>
                <w:color w:val="000000"/>
                <w:sz w:val="22"/>
                <w:szCs w:val="22"/>
              </w:rPr>
            </w:pPr>
            <w:r>
              <w:rPr>
                <w:rFonts w:hint="eastAsia"/>
                <w:color w:val="000000"/>
                <w:sz w:val="22"/>
                <w:szCs w:val="22"/>
              </w:rPr>
              <w:t>265</w:t>
            </w:r>
          </w:p>
        </w:tc>
        <w:tc>
          <w:tcPr>
            <w:tcW w:w="708" w:type="dxa"/>
            <w:noWrap w:val="0"/>
            <w:vAlign w:val="center"/>
          </w:tcPr>
          <w:p w14:paraId="30AEA837">
            <w:pPr>
              <w:jc w:val="center"/>
              <w:rPr>
                <w:rFonts w:ascii="宋体" w:hAnsi="宋体" w:cs="宋体"/>
                <w:color w:val="000000"/>
                <w:sz w:val="22"/>
                <w:szCs w:val="22"/>
              </w:rPr>
            </w:pPr>
            <w:r>
              <w:rPr>
                <w:rFonts w:hint="eastAsia"/>
                <w:color w:val="000000"/>
                <w:sz w:val="22"/>
                <w:szCs w:val="22"/>
              </w:rPr>
              <w:t>265</w:t>
            </w:r>
          </w:p>
        </w:tc>
        <w:tc>
          <w:tcPr>
            <w:tcW w:w="709" w:type="dxa"/>
            <w:noWrap w:val="0"/>
            <w:vAlign w:val="center"/>
          </w:tcPr>
          <w:p w14:paraId="64A158BD">
            <w:pPr>
              <w:jc w:val="center"/>
              <w:rPr>
                <w:rFonts w:ascii="宋体" w:hAnsi="宋体" w:cs="宋体"/>
                <w:color w:val="000000"/>
                <w:sz w:val="22"/>
                <w:szCs w:val="22"/>
              </w:rPr>
            </w:pPr>
            <w:r>
              <w:rPr>
                <w:rFonts w:hint="eastAsia"/>
                <w:color w:val="000000"/>
                <w:sz w:val="22"/>
                <w:szCs w:val="22"/>
              </w:rPr>
              <w:t>257</w:t>
            </w:r>
          </w:p>
        </w:tc>
        <w:tc>
          <w:tcPr>
            <w:tcW w:w="698" w:type="dxa"/>
            <w:noWrap w:val="0"/>
            <w:vAlign w:val="center"/>
          </w:tcPr>
          <w:p w14:paraId="01CA4CF1">
            <w:pPr>
              <w:jc w:val="center"/>
              <w:rPr>
                <w:rFonts w:ascii="宋体" w:hAnsi="宋体" w:cs="宋体"/>
                <w:color w:val="000000"/>
                <w:sz w:val="22"/>
                <w:szCs w:val="22"/>
              </w:rPr>
            </w:pPr>
            <w:r>
              <w:rPr>
                <w:rFonts w:hint="eastAsia"/>
                <w:color w:val="000000"/>
                <w:sz w:val="22"/>
                <w:szCs w:val="22"/>
              </w:rPr>
              <w:t>257</w:t>
            </w:r>
          </w:p>
        </w:tc>
        <w:tc>
          <w:tcPr>
            <w:tcW w:w="937" w:type="dxa"/>
            <w:noWrap w:val="0"/>
            <w:vAlign w:val="center"/>
          </w:tcPr>
          <w:p w14:paraId="59906428">
            <w:pPr>
              <w:jc w:val="center"/>
              <w:rPr>
                <w:rFonts w:ascii="宋体" w:hAnsi="宋体" w:cs="宋体"/>
                <w:color w:val="000000"/>
                <w:sz w:val="22"/>
                <w:szCs w:val="22"/>
              </w:rPr>
            </w:pPr>
            <w:r>
              <w:rPr>
                <w:rFonts w:hint="eastAsia"/>
                <w:color w:val="000000"/>
                <w:sz w:val="22"/>
                <w:szCs w:val="22"/>
              </w:rPr>
              <w:t>248</w:t>
            </w:r>
          </w:p>
        </w:tc>
        <w:tc>
          <w:tcPr>
            <w:tcW w:w="916" w:type="dxa"/>
            <w:noWrap w:val="0"/>
            <w:vAlign w:val="center"/>
          </w:tcPr>
          <w:p w14:paraId="31FB1A8B">
            <w:pPr>
              <w:jc w:val="center"/>
              <w:rPr>
                <w:rFonts w:ascii="宋体" w:hAnsi="宋体" w:cs="宋体"/>
                <w:color w:val="000000"/>
                <w:sz w:val="22"/>
                <w:szCs w:val="22"/>
              </w:rPr>
            </w:pPr>
            <w:r>
              <w:rPr>
                <w:rFonts w:hint="eastAsia"/>
                <w:color w:val="000000"/>
                <w:sz w:val="22"/>
                <w:szCs w:val="22"/>
              </w:rPr>
              <w:t>235</w:t>
            </w:r>
          </w:p>
        </w:tc>
      </w:tr>
      <w:tr w14:paraId="5A868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1B7E9EE6">
            <w:pPr>
              <w:widowControl w:val="0"/>
              <w:spacing w:line="300" w:lineRule="exact"/>
              <w:jc w:val="center"/>
              <w:rPr>
                <w:rFonts w:eastAsia="楷体_GB2312"/>
                <w:szCs w:val="21"/>
              </w:rPr>
            </w:pPr>
          </w:p>
        </w:tc>
        <w:tc>
          <w:tcPr>
            <w:tcW w:w="850" w:type="dxa"/>
            <w:noWrap w:val="0"/>
            <w:vAlign w:val="center"/>
          </w:tcPr>
          <w:p w14:paraId="0146E4D8">
            <w:pPr>
              <w:widowControl w:val="0"/>
              <w:spacing w:line="300" w:lineRule="exact"/>
              <w:jc w:val="center"/>
              <w:rPr>
                <w:rFonts w:eastAsia="楷体_GB2312"/>
                <w:szCs w:val="21"/>
              </w:rPr>
            </w:pPr>
            <w:r>
              <w:rPr>
                <w:rFonts w:eastAsia="楷体_GB2312"/>
                <w:szCs w:val="21"/>
              </w:rPr>
              <w:t>三级地</w:t>
            </w:r>
          </w:p>
        </w:tc>
        <w:tc>
          <w:tcPr>
            <w:tcW w:w="851" w:type="dxa"/>
            <w:noWrap w:val="0"/>
            <w:vAlign w:val="center"/>
          </w:tcPr>
          <w:p w14:paraId="76FC9961">
            <w:pPr>
              <w:jc w:val="center"/>
              <w:rPr>
                <w:rFonts w:ascii="宋体" w:hAnsi="宋体" w:cs="宋体"/>
                <w:color w:val="000000"/>
                <w:sz w:val="22"/>
                <w:szCs w:val="22"/>
              </w:rPr>
            </w:pPr>
            <w:r>
              <w:rPr>
                <w:rFonts w:hint="eastAsia"/>
                <w:color w:val="000000"/>
                <w:sz w:val="22"/>
                <w:szCs w:val="22"/>
              </w:rPr>
              <w:t>231</w:t>
            </w:r>
          </w:p>
        </w:tc>
        <w:tc>
          <w:tcPr>
            <w:tcW w:w="850" w:type="dxa"/>
            <w:noWrap w:val="0"/>
            <w:vAlign w:val="center"/>
          </w:tcPr>
          <w:p w14:paraId="2080491A">
            <w:pPr>
              <w:jc w:val="center"/>
              <w:rPr>
                <w:rFonts w:ascii="宋体" w:hAnsi="宋体" w:cs="宋体"/>
                <w:color w:val="000000"/>
                <w:sz w:val="22"/>
                <w:szCs w:val="22"/>
              </w:rPr>
            </w:pPr>
            <w:r>
              <w:rPr>
                <w:rFonts w:hint="eastAsia"/>
                <w:color w:val="000000"/>
                <w:sz w:val="22"/>
                <w:szCs w:val="22"/>
              </w:rPr>
              <w:t>220</w:t>
            </w:r>
          </w:p>
        </w:tc>
        <w:tc>
          <w:tcPr>
            <w:tcW w:w="851" w:type="dxa"/>
            <w:noWrap w:val="0"/>
            <w:vAlign w:val="center"/>
          </w:tcPr>
          <w:p w14:paraId="1D42FD18">
            <w:pPr>
              <w:jc w:val="center"/>
              <w:rPr>
                <w:rFonts w:ascii="宋体" w:hAnsi="宋体" w:cs="宋体"/>
                <w:color w:val="000000"/>
                <w:sz w:val="22"/>
                <w:szCs w:val="22"/>
              </w:rPr>
            </w:pPr>
            <w:r>
              <w:rPr>
                <w:rFonts w:hint="eastAsia"/>
                <w:color w:val="000000"/>
                <w:sz w:val="22"/>
                <w:szCs w:val="22"/>
              </w:rPr>
              <w:t>211</w:t>
            </w:r>
          </w:p>
        </w:tc>
        <w:tc>
          <w:tcPr>
            <w:tcW w:w="708" w:type="dxa"/>
            <w:noWrap w:val="0"/>
            <w:vAlign w:val="center"/>
          </w:tcPr>
          <w:p w14:paraId="05E488E5">
            <w:pPr>
              <w:jc w:val="center"/>
              <w:rPr>
                <w:rFonts w:ascii="宋体" w:hAnsi="宋体" w:cs="宋体"/>
                <w:color w:val="000000"/>
                <w:sz w:val="22"/>
                <w:szCs w:val="22"/>
              </w:rPr>
            </w:pPr>
            <w:r>
              <w:rPr>
                <w:rFonts w:hint="eastAsia"/>
                <w:color w:val="000000"/>
                <w:sz w:val="22"/>
                <w:szCs w:val="22"/>
              </w:rPr>
              <w:t>211</w:t>
            </w:r>
          </w:p>
        </w:tc>
        <w:tc>
          <w:tcPr>
            <w:tcW w:w="709" w:type="dxa"/>
            <w:noWrap w:val="0"/>
            <w:vAlign w:val="center"/>
          </w:tcPr>
          <w:p w14:paraId="72208E57">
            <w:pPr>
              <w:jc w:val="center"/>
              <w:rPr>
                <w:rFonts w:ascii="宋体" w:hAnsi="宋体" w:cs="宋体"/>
                <w:color w:val="000000"/>
                <w:sz w:val="22"/>
                <w:szCs w:val="22"/>
              </w:rPr>
            </w:pPr>
            <w:r>
              <w:rPr>
                <w:rFonts w:hint="eastAsia"/>
                <w:color w:val="000000"/>
                <w:sz w:val="22"/>
                <w:szCs w:val="22"/>
              </w:rPr>
              <w:t>205</w:t>
            </w:r>
          </w:p>
        </w:tc>
        <w:tc>
          <w:tcPr>
            <w:tcW w:w="698" w:type="dxa"/>
            <w:noWrap w:val="0"/>
            <w:vAlign w:val="center"/>
          </w:tcPr>
          <w:p w14:paraId="049D8346">
            <w:pPr>
              <w:jc w:val="center"/>
              <w:rPr>
                <w:rFonts w:ascii="宋体" w:hAnsi="宋体" w:cs="宋体"/>
                <w:color w:val="000000"/>
                <w:sz w:val="22"/>
                <w:szCs w:val="22"/>
              </w:rPr>
            </w:pPr>
            <w:r>
              <w:rPr>
                <w:rFonts w:hint="eastAsia"/>
                <w:color w:val="000000"/>
                <w:sz w:val="22"/>
                <w:szCs w:val="22"/>
              </w:rPr>
              <w:t>205</w:t>
            </w:r>
          </w:p>
        </w:tc>
        <w:tc>
          <w:tcPr>
            <w:tcW w:w="937" w:type="dxa"/>
            <w:noWrap w:val="0"/>
            <w:vAlign w:val="center"/>
          </w:tcPr>
          <w:p w14:paraId="07A412E1">
            <w:pPr>
              <w:jc w:val="center"/>
              <w:rPr>
                <w:rFonts w:ascii="宋体" w:hAnsi="宋体" w:cs="宋体"/>
                <w:color w:val="000000"/>
                <w:sz w:val="22"/>
                <w:szCs w:val="22"/>
              </w:rPr>
            </w:pPr>
            <w:r>
              <w:rPr>
                <w:rFonts w:hint="eastAsia"/>
                <w:color w:val="000000"/>
                <w:sz w:val="22"/>
                <w:szCs w:val="22"/>
              </w:rPr>
              <w:t>198</w:t>
            </w:r>
          </w:p>
        </w:tc>
        <w:tc>
          <w:tcPr>
            <w:tcW w:w="916" w:type="dxa"/>
            <w:noWrap w:val="0"/>
            <w:vAlign w:val="center"/>
          </w:tcPr>
          <w:p w14:paraId="0B847A9D">
            <w:pPr>
              <w:jc w:val="center"/>
              <w:rPr>
                <w:rFonts w:ascii="宋体" w:hAnsi="宋体" w:cs="宋体"/>
                <w:color w:val="000000"/>
                <w:sz w:val="22"/>
                <w:szCs w:val="22"/>
              </w:rPr>
            </w:pPr>
            <w:r>
              <w:rPr>
                <w:rFonts w:hint="eastAsia"/>
                <w:color w:val="000000"/>
                <w:sz w:val="22"/>
                <w:szCs w:val="22"/>
              </w:rPr>
              <w:t>187</w:t>
            </w:r>
          </w:p>
        </w:tc>
      </w:tr>
      <w:tr w14:paraId="7B22A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3320E9E8">
            <w:pPr>
              <w:widowControl w:val="0"/>
              <w:spacing w:line="300" w:lineRule="exact"/>
              <w:jc w:val="center"/>
              <w:rPr>
                <w:rFonts w:eastAsia="楷体_GB2312"/>
                <w:szCs w:val="21"/>
              </w:rPr>
            </w:pPr>
            <w:r>
              <w:rPr>
                <w:rFonts w:hint="eastAsia" w:eastAsia="楷体_GB2312"/>
                <w:szCs w:val="21"/>
              </w:rPr>
              <w:t>芦岭镇</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5D65177">
            <w:pPr>
              <w:widowControl w:val="0"/>
              <w:spacing w:line="300" w:lineRule="exact"/>
              <w:jc w:val="center"/>
              <w:rPr>
                <w:rFonts w:eastAsia="楷体_GB2312"/>
                <w:szCs w:val="21"/>
              </w:rPr>
            </w:pPr>
            <w:r>
              <w:rPr>
                <w:rFonts w:eastAsia="楷体_GB2312"/>
                <w:szCs w:val="21"/>
              </w:rPr>
              <w:t>一级地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F57BA94">
            <w:pPr>
              <w:jc w:val="center"/>
              <w:rPr>
                <w:rFonts w:ascii="宋体" w:hAnsi="宋体" w:cs="宋体"/>
                <w:color w:val="000000"/>
                <w:sz w:val="22"/>
                <w:szCs w:val="22"/>
              </w:rPr>
            </w:pPr>
            <w:r>
              <w:rPr>
                <w:rFonts w:hint="eastAsia"/>
                <w:color w:val="000000"/>
                <w:sz w:val="22"/>
                <w:szCs w:val="22"/>
              </w:rPr>
              <w:t>386</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D5398B3">
            <w:pPr>
              <w:jc w:val="center"/>
              <w:rPr>
                <w:rFonts w:ascii="宋体" w:hAnsi="宋体" w:cs="宋体"/>
                <w:color w:val="000000"/>
                <w:sz w:val="22"/>
                <w:szCs w:val="22"/>
              </w:rPr>
            </w:pPr>
            <w:r>
              <w:rPr>
                <w:rFonts w:hint="eastAsia"/>
                <w:color w:val="000000"/>
                <w:sz w:val="22"/>
                <w:szCs w:val="22"/>
              </w:rPr>
              <w:t>368</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25AF0FC">
            <w:pPr>
              <w:jc w:val="center"/>
              <w:rPr>
                <w:rFonts w:ascii="宋体" w:hAnsi="宋体" w:cs="宋体"/>
                <w:color w:val="000000"/>
                <w:sz w:val="22"/>
                <w:szCs w:val="22"/>
              </w:rPr>
            </w:pPr>
            <w:r>
              <w:rPr>
                <w:rFonts w:hint="eastAsia"/>
                <w:color w:val="000000"/>
                <w:sz w:val="22"/>
                <w:szCs w:val="22"/>
              </w:rPr>
              <w:t>353</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2F2183A0">
            <w:pPr>
              <w:jc w:val="center"/>
              <w:rPr>
                <w:rFonts w:ascii="宋体" w:hAnsi="宋体" w:cs="宋体"/>
                <w:color w:val="000000"/>
                <w:sz w:val="22"/>
                <w:szCs w:val="22"/>
              </w:rPr>
            </w:pPr>
            <w:r>
              <w:rPr>
                <w:rFonts w:hint="eastAsia"/>
                <w:color w:val="000000"/>
                <w:sz w:val="22"/>
                <w:szCs w:val="22"/>
              </w:rPr>
              <w:t>353</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6248F7D">
            <w:pPr>
              <w:jc w:val="center"/>
              <w:rPr>
                <w:rFonts w:ascii="宋体" w:hAnsi="宋体" w:cs="宋体"/>
                <w:color w:val="000000"/>
                <w:sz w:val="22"/>
                <w:szCs w:val="22"/>
              </w:rPr>
            </w:pPr>
            <w:r>
              <w:rPr>
                <w:rFonts w:hint="eastAsia"/>
                <w:color w:val="000000"/>
                <w:sz w:val="22"/>
                <w:szCs w:val="22"/>
              </w:rPr>
              <w:t>342</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4C1BF821">
            <w:pPr>
              <w:jc w:val="center"/>
              <w:rPr>
                <w:rFonts w:ascii="宋体" w:hAnsi="宋体" w:cs="宋体"/>
                <w:color w:val="000000"/>
                <w:sz w:val="22"/>
                <w:szCs w:val="22"/>
              </w:rPr>
            </w:pPr>
            <w:r>
              <w:rPr>
                <w:rFonts w:hint="eastAsia"/>
                <w:color w:val="000000"/>
                <w:sz w:val="22"/>
                <w:szCs w:val="22"/>
              </w:rPr>
              <w:t>342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A9D2AE3">
            <w:pPr>
              <w:jc w:val="center"/>
              <w:rPr>
                <w:rFonts w:ascii="宋体" w:hAnsi="宋体" w:cs="宋体"/>
                <w:color w:val="000000"/>
                <w:sz w:val="22"/>
                <w:szCs w:val="22"/>
              </w:rPr>
            </w:pPr>
            <w:r>
              <w:rPr>
                <w:rFonts w:hint="eastAsia"/>
                <w:color w:val="000000"/>
                <w:sz w:val="22"/>
                <w:szCs w:val="22"/>
              </w:rPr>
              <w:t>331</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7F2B6358">
            <w:pPr>
              <w:jc w:val="center"/>
              <w:rPr>
                <w:rFonts w:ascii="宋体" w:hAnsi="宋体" w:cs="宋体"/>
                <w:color w:val="000000"/>
                <w:sz w:val="22"/>
                <w:szCs w:val="22"/>
              </w:rPr>
            </w:pPr>
            <w:r>
              <w:rPr>
                <w:rFonts w:hint="eastAsia"/>
                <w:color w:val="000000"/>
                <w:sz w:val="22"/>
                <w:szCs w:val="22"/>
              </w:rPr>
              <w:t>313</w:t>
            </w:r>
          </w:p>
        </w:tc>
      </w:tr>
      <w:tr w14:paraId="1198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37EE8EB4">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77642FD">
            <w:pPr>
              <w:widowControl w:val="0"/>
              <w:spacing w:line="300" w:lineRule="exact"/>
              <w:jc w:val="center"/>
              <w:rPr>
                <w:rFonts w:eastAsia="楷体_GB2312"/>
                <w:szCs w:val="21"/>
              </w:rPr>
            </w:pPr>
            <w:r>
              <w:rPr>
                <w:rFonts w:eastAsia="楷体_GB2312"/>
                <w:szCs w:val="21"/>
              </w:rPr>
              <w:t>二级地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A6E04D8">
            <w:pPr>
              <w:jc w:val="center"/>
              <w:rPr>
                <w:rFonts w:ascii="宋体" w:hAnsi="宋体" w:cs="宋体"/>
                <w:color w:val="000000"/>
                <w:sz w:val="22"/>
                <w:szCs w:val="22"/>
              </w:rPr>
            </w:pPr>
            <w:r>
              <w:rPr>
                <w:rFonts w:hint="eastAsia"/>
                <w:color w:val="000000"/>
                <w:sz w:val="22"/>
                <w:szCs w:val="22"/>
              </w:rPr>
              <w:t>301</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D94451D">
            <w:pPr>
              <w:jc w:val="center"/>
              <w:rPr>
                <w:rFonts w:ascii="宋体" w:hAnsi="宋体" w:cs="宋体"/>
                <w:color w:val="000000"/>
                <w:sz w:val="22"/>
                <w:szCs w:val="22"/>
              </w:rPr>
            </w:pPr>
            <w:r>
              <w:rPr>
                <w:rFonts w:hint="eastAsia"/>
                <w:color w:val="000000"/>
                <w:sz w:val="22"/>
                <w:szCs w:val="22"/>
              </w:rPr>
              <w:t>287</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A9F0863">
            <w:pPr>
              <w:jc w:val="center"/>
              <w:rPr>
                <w:rFonts w:ascii="宋体" w:hAnsi="宋体" w:cs="宋体"/>
                <w:color w:val="000000"/>
                <w:sz w:val="22"/>
                <w:szCs w:val="22"/>
              </w:rPr>
            </w:pPr>
            <w:r>
              <w:rPr>
                <w:rFonts w:hint="eastAsia"/>
                <w:color w:val="000000"/>
                <w:sz w:val="22"/>
                <w:szCs w:val="22"/>
              </w:rPr>
              <w:t>276</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4FA476C6">
            <w:pPr>
              <w:jc w:val="center"/>
              <w:rPr>
                <w:rFonts w:ascii="宋体" w:hAnsi="宋体" w:cs="宋体"/>
                <w:color w:val="000000"/>
                <w:sz w:val="22"/>
                <w:szCs w:val="22"/>
              </w:rPr>
            </w:pPr>
            <w:r>
              <w:rPr>
                <w:rFonts w:hint="eastAsia"/>
                <w:color w:val="000000"/>
                <w:sz w:val="22"/>
                <w:szCs w:val="22"/>
              </w:rPr>
              <w:t>276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4E91E2B">
            <w:pPr>
              <w:jc w:val="center"/>
              <w:rPr>
                <w:rFonts w:ascii="宋体" w:hAnsi="宋体" w:cs="宋体"/>
                <w:color w:val="000000"/>
                <w:sz w:val="22"/>
                <w:szCs w:val="22"/>
              </w:rPr>
            </w:pPr>
            <w:r>
              <w:rPr>
                <w:rFonts w:hint="eastAsia"/>
                <w:color w:val="000000"/>
                <w:sz w:val="22"/>
                <w:szCs w:val="22"/>
              </w:rPr>
              <w:t>267</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1EFDDAD2">
            <w:pPr>
              <w:jc w:val="center"/>
              <w:rPr>
                <w:rFonts w:ascii="宋体" w:hAnsi="宋体" w:cs="宋体"/>
                <w:color w:val="000000"/>
                <w:sz w:val="22"/>
                <w:szCs w:val="22"/>
              </w:rPr>
            </w:pPr>
            <w:r>
              <w:rPr>
                <w:rFonts w:hint="eastAsia"/>
                <w:color w:val="000000"/>
                <w:sz w:val="22"/>
                <w:szCs w:val="22"/>
              </w:rPr>
              <w:t>267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5388EC2">
            <w:pPr>
              <w:jc w:val="center"/>
              <w:rPr>
                <w:rFonts w:ascii="宋体" w:hAnsi="宋体" w:cs="宋体"/>
                <w:color w:val="000000"/>
                <w:sz w:val="22"/>
                <w:szCs w:val="22"/>
              </w:rPr>
            </w:pPr>
            <w:r>
              <w:rPr>
                <w:rFonts w:hint="eastAsia"/>
                <w:color w:val="000000"/>
                <w:sz w:val="22"/>
                <w:szCs w:val="22"/>
              </w:rPr>
              <w:t>258</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174255AA">
            <w:pPr>
              <w:jc w:val="center"/>
              <w:rPr>
                <w:rFonts w:ascii="宋体" w:hAnsi="宋体" w:cs="宋体"/>
                <w:color w:val="000000"/>
                <w:sz w:val="22"/>
                <w:szCs w:val="22"/>
              </w:rPr>
            </w:pPr>
            <w:r>
              <w:rPr>
                <w:rFonts w:hint="eastAsia"/>
                <w:color w:val="000000"/>
                <w:sz w:val="22"/>
                <w:szCs w:val="22"/>
              </w:rPr>
              <w:t>244</w:t>
            </w:r>
          </w:p>
        </w:tc>
      </w:tr>
      <w:tr w14:paraId="76508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2C6321C2">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2F5868E">
            <w:pPr>
              <w:widowControl w:val="0"/>
              <w:spacing w:line="300" w:lineRule="exact"/>
              <w:jc w:val="center"/>
              <w:rPr>
                <w:rFonts w:eastAsia="楷体_GB2312"/>
                <w:szCs w:val="21"/>
              </w:rPr>
            </w:pPr>
            <w:r>
              <w:rPr>
                <w:rFonts w:eastAsia="楷体_GB2312"/>
                <w:szCs w:val="21"/>
              </w:rPr>
              <w:t>三级地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4C74C97">
            <w:pPr>
              <w:jc w:val="center"/>
              <w:rPr>
                <w:rFonts w:ascii="宋体" w:hAnsi="宋体" w:cs="宋体"/>
                <w:color w:val="000000"/>
                <w:sz w:val="22"/>
                <w:szCs w:val="22"/>
              </w:rPr>
            </w:pPr>
            <w:r>
              <w:rPr>
                <w:rFonts w:hint="eastAsia"/>
                <w:color w:val="000000"/>
                <w:sz w:val="22"/>
                <w:szCs w:val="22"/>
              </w:rPr>
              <w:t>228</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AC0DE3B">
            <w:pPr>
              <w:jc w:val="center"/>
              <w:rPr>
                <w:rFonts w:ascii="宋体" w:hAnsi="宋体" w:cs="宋体"/>
                <w:color w:val="000000"/>
                <w:sz w:val="22"/>
                <w:szCs w:val="22"/>
              </w:rPr>
            </w:pPr>
            <w:r>
              <w:rPr>
                <w:rFonts w:hint="eastAsia"/>
                <w:color w:val="000000"/>
                <w:sz w:val="22"/>
                <w:szCs w:val="22"/>
              </w:rPr>
              <w:t>217</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F590616">
            <w:pPr>
              <w:jc w:val="center"/>
              <w:rPr>
                <w:rFonts w:ascii="宋体" w:hAnsi="宋体" w:cs="宋体"/>
                <w:color w:val="000000"/>
                <w:sz w:val="22"/>
                <w:szCs w:val="22"/>
              </w:rPr>
            </w:pPr>
            <w:r>
              <w:rPr>
                <w:rFonts w:hint="eastAsia"/>
                <w:color w:val="000000"/>
                <w:sz w:val="22"/>
                <w:szCs w:val="22"/>
              </w:rPr>
              <w:t>208</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6A5A58A3">
            <w:pPr>
              <w:jc w:val="center"/>
              <w:rPr>
                <w:rFonts w:ascii="宋体" w:hAnsi="宋体" w:cs="宋体"/>
                <w:color w:val="000000"/>
                <w:sz w:val="22"/>
                <w:szCs w:val="22"/>
              </w:rPr>
            </w:pPr>
            <w:r>
              <w:rPr>
                <w:rFonts w:hint="eastAsia"/>
                <w:color w:val="000000"/>
                <w:sz w:val="22"/>
                <w:szCs w:val="22"/>
              </w:rPr>
              <w:t>208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44C0316">
            <w:pPr>
              <w:jc w:val="center"/>
              <w:rPr>
                <w:rFonts w:ascii="宋体" w:hAnsi="宋体" w:cs="宋体"/>
                <w:color w:val="000000"/>
                <w:sz w:val="22"/>
                <w:szCs w:val="22"/>
              </w:rPr>
            </w:pPr>
            <w:r>
              <w:rPr>
                <w:rFonts w:hint="eastAsia"/>
                <w:color w:val="000000"/>
                <w:sz w:val="22"/>
                <w:szCs w:val="22"/>
              </w:rPr>
              <w:t>202</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52A57147">
            <w:pPr>
              <w:jc w:val="center"/>
              <w:rPr>
                <w:rFonts w:ascii="宋体" w:hAnsi="宋体" w:cs="宋体"/>
                <w:color w:val="000000"/>
                <w:sz w:val="22"/>
                <w:szCs w:val="22"/>
              </w:rPr>
            </w:pPr>
            <w:r>
              <w:rPr>
                <w:rFonts w:hint="eastAsia"/>
                <w:color w:val="000000"/>
                <w:sz w:val="22"/>
                <w:szCs w:val="22"/>
              </w:rPr>
              <w:t>202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5164B33">
            <w:pPr>
              <w:jc w:val="center"/>
              <w:rPr>
                <w:rFonts w:ascii="宋体" w:hAnsi="宋体" w:cs="宋体"/>
                <w:color w:val="000000"/>
                <w:sz w:val="22"/>
                <w:szCs w:val="22"/>
              </w:rPr>
            </w:pPr>
            <w:r>
              <w:rPr>
                <w:rFonts w:hint="eastAsia"/>
                <w:color w:val="000000"/>
                <w:sz w:val="22"/>
                <w:szCs w:val="22"/>
              </w:rPr>
              <w:t>195</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7F9AFA1E">
            <w:pPr>
              <w:jc w:val="center"/>
              <w:rPr>
                <w:rFonts w:ascii="宋体" w:hAnsi="宋体" w:cs="宋体"/>
                <w:color w:val="000000"/>
                <w:sz w:val="22"/>
                <w:szCs w:val="22"/>
              </w:rPr>
            </w:pPr>
            <w:r>
              <w:rPr>
                <w:rFonts w:hint="eastAsia"/>
                <w:color w:val="000000"/>
                <w:sz w:val="22"/>
                <w:szCs w:val="22"/>
              </w:rPr>
              <w:t>184</w:t>
            </w:r>
          </w:p>
        </w:tc>
      </w:tr>
      <w:tr w14:paraId="25300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471FD48A">
            <w:pPr>
              <w:widowControl w:val="0"/>
              <w:spacing w:line="300" w:lineRule="exact"/>
              <w:jc w:val="center"/>
              <w:rPr>
                <w:rFonts w:eastAsia="楷体_GB2312"/>
                <w:szCs w:val="21"/>
              </w:rPr>
            </w:pPr>
            <w:r>
              <w:rPr>
                <w:rFonts w:hint="eastAsia" w:eastAsia="楷体_GB2312"/>
                <w:szCs w:val="21"/>
              </w:rPr>
              <w:t>大店镇</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54DBE28">
            <w:pPr>
              <w:widowControl w:val="0"/>
              <w:spacing w:line="300" w:lineRule="exact"/>
              <w:jc w:val="center"/>
              <w:rPr>
                <w:rFonts w:eastAsia="楷体_GB2312"/>
                <w:szCs w:val="21"/>
              </w:rPr>
            </w:pPr>
            <w:r>
              <w:rPr>
                <w:rFonts w:eastAsia="楷体_GB2312"/>
                <w:szCs w:val="21"/>
              </w:rPr>
              <w:t>一级地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039CA4D">
            <w:pPr>
              <w:jc w:val="center"/>
              <w:rPr>
                <w:rFonts w:ascii="宋体" w:hAnsi="宋体" w:cs="宋体"/>
                <w:color w:val="000000"/>
                <w:sz w:val="22"/>
                <w:szCs w:val="22"/>
              </w:rPr>
            </w:pPr>
            <w:r>
              <w:rPr>
                <w:rFonts w:hint="eastAsia"/>
                <w:color w:val="000000"/>
                <w:sz w:val="22"/>
                <w:szCs w:val="22"/>
              </w:rPr>
              <w:t>375</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73F65A7">
            <w:pPr>
              <w:jc w:val="center"/>
              <w:rPr>
                <w:rFonts w:ascii="宋体" w:hAnsi="宋体" w:cs="宋体"/>
                <w:color w:val="000000"/>
                <w:sz w:val="22"/>
                <w:szCs w:val="22"/>
              </w:rPr>
            </w:pPr>
            <w:r>
              <w:rPr>
                <w:rFonts w:hint="eastAsia"/>
                <w:color w:val="000000"/>
                <w:sz w:val="22"/>
                <w:szCs w:val="22"/>
              </w:rPr>
              <w:t>357</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7194776">
            <w:pPr>
              <w:jc w:val="center"/>
              <w:rPr>
                <w:rFonts w:ascii="宋体" w:hAnsi="宋体" w:cs="宋体"/>
                <w:color w:val="000000"/>
                <w:sz w:val="22"/>
                <w:szCs w:val="22"/>
              </w:rPr>
            </w:pPr>
            <w:r>
              <w:rPr>
                <w:rFonts w:hint="eastAsia"/>
                <w:color w:val="000000"/>
                <w:sz w:val="22"/>
                <w:szCs w:val="22"/>
              </w:rPr>
              <w:t>343</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1ED00EA5">
            <w:pPr>
              <w:jc w:val="center"/>
              <w:rPr>
                <w:rFonts w:ascii="宋体" w:hAnsi="宋体" w:cs="宋体"/>
                <w:color w:val="000000"/>
                <w:sz w:val="22"/>
                <w:szCs w:val="22"/>
              </w:rPr>
            </w:pPr>
            <w:r>
              <w:rPr>
                <w:rFonts w:hint="eastAsia"/>
                <w:color w:val="000000"/>
                <w:sz w:val="22"/>
                <w:szCs w:val="22"/>
              </w:rPr>
              <w:t>343</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6E77442">
            <w:pPr>
              <w:jc w:val="center"/>
              <w:rPr>
                <w:rFonts w:ascii="宋体" w:hAnsi="宋体" w:cs="宋体"/>
                <w:color w:val="000000"/>
                <w:sz w:val="22"/>
                <w:szCs w:val="22"/>
              </w:rPr>
            </w:pPr>
            <w:r>
              <w:rPr>
                <w:rFonts w:hint="eastAsia"/>
                <w:color w:val="000000"/>
                <w:sz w:val="22"/>
                <w:szCs w:val="22"/>
              </w:rPr>
              <w:t>332</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457D1457">
            <w:pPr>
              <w:jc w:val="center"/>
              <w:rPr>
                <w:rFonts w:ascii="宋体" w:hAnsi="宋体" w:cs="宋体"/>
                <w:color w:val="000000"/>
                <w:sz w:val="22"/>
                <w:szCs w:val="22"/>
              </w:rPr>
            </w:pPr>
            <w:r>
              <w:rPr>
                <w:rFonts w:hint="eastAsia"/>
                <w:color w:val="000000"/>
                <w:sz w:val="22"/>
                <w:szCs w:val="22"/>
              </w:rPr>
              <w:t>332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EB1EDA7">
            <w:pPr>
              <w:jc w:val="center"/>
              <w:rPr>
                <w:rFonts w:ascii="宋体" w:hAnsi="宋体" w:cs="宋体"/>
                <w:color w:val="000000"/>
                <w:sz w:val="22"/>
                <w:szCs w:val="22"/>
              </w:rPr>
            </w:pPr>
            <w:r>
              <w:rPr>
                <w:rFonts w:hint="eastAsia"/>
                <w:color w:val="000000"/>
                <w:sz w:val="22"/>
                <w:szCs w:val="22"/>
              </w:rPr>
              <w:t>321</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289C5B49">
            <w:pPr>
              <w:jc w:val="center"/>
              <w:rPr>
                <w:rFonts w:ascii="宋体" w:hAnsi="宋体" w:cs="宋体"/>
                <w:color w:val="000000"/>
                <w:sz w:val="22"/>
                <w:szCs w:val="22"/>
              </w:rPr>
            </w:pPr>
            <w:r>
              <w:rPr>
                <w:rFonts w:hint="eastAsia"/>
                <w:color w:val="000000"/>
                <w:sz w:val="22"/>
                <w:szCs w:val="22"/>
              </w:rPr>
              <w:t>303</w:t>
            </w:r>
          </w:p>
        </w:tc>
      </w:tr>
      <w:tr w14:paraId="706C8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38126410">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ABEDE9E">
            <w:pPr>
              <w:widowControl w:val="0"/>
              <w:spacing w:line="300" w:lineRule="exact"/>
              <w:jc w:val="center"/>
              <w:rPr>
                <w:rFonts w:eastAsia="楷体_GB2312"/>
                <w:szCs w:val="21"/>
              </w:rPr>
            </w:pPr>
            <w:r>
              <w:rPr>
                <w:rFonts w:eastAsia="楷体_GB2312"/>
                <w:szCs w:val="21"/>
              </w:rPr>
              <w:t>二级地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8018467">
            <w:pPr>
              <w:jc w:val="center"/>
              <w:rPr>
                <w:rFonts w:ascii="宋体" w:hAnsi="宋体" w:cs="宋体"/>
                <w:color w:val="000000"/>
                <w:sz w:val="22"/>
                <w:szCs w:val="22"/>
              </w:rPr>
            </w:pPr>
            <w:r>
              <w:rPr>
                <w:rFonts w:hint="eastAsia"/>
                <w:color w:val="000000"/>
                <w:sz w:val="22"/>
                <w:szCs w:val="22"/>
              </w:rPr>
              <w:t>296</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E739CA9">
            <w:pPr>
              <w:jc w:val="center"/>
              <w:rPr>
                <w:rFonts w:ascii="宋体" w:hAnsi="宋体" w:cs="宋体"/>
                <w:color w:val="000000"/>
                <w:sz w:val="22"/>
                <w:szCs w:val="22"/>
              </w:rPr>
            </w:pPr>
            <w:r>
              <w:rPr>
                <w:rFonts w:hint="eastAsia"/>
                <w:color w:val="000000"/>
                <w:sz w:val="22"/>
                <w:szCs w:val="22"/>
              </w:rPr>
              <w:t>282</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2D5DD86">
            <w:pPr>
              <w:jc w:val="center"/>
              <w:rPr>
                <w:rFonts w:ascii="宋体" w:hAnsi="宋体" w:cs="宋体"/>
                <w:color w:val="000000"/>
                <w:sz w:val="22"/>
                <w:szCs w:val="22"/>
              </w:rPr>
            </w:pPr>
            <w:r>
              <w:rPr>
                <w:rFonts w:hint="eastAsia"/>
                <w:color w:val="000000"/>
                <w:sz w:val="22"/>
                <w:szCs w:val="22"/>
              </w:rPr>
              <w:t>271</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1980DFCA">
            <w:pPr>
              <w:jc w:val="center"/>
              <w:rPr>
                <w:rFonts w:ascii="宋体" w:hAnsi="宋体" w:cs="宋体"/>
                <w:color w:val="000000"/>
                <w:sz w:val="22"/>
                <w:szCs w:val="22"/>
              </w:rPr>
            </w:pPr>
            <w:r>
              <w:rPr>
                <w:rFonts w:hint="eastAsia"/>
                <w:color w:val="000000"/>
                <w:sz w:val="22"/>
                <w:szCs w:val="22"/>
              </w:rPr>
              <w:t>271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A25C948">
            <w:pPr>
              <w:jc w:val="center"/>
              <w:rPr>
                <w:rFonts w:ascii="宋体" w:hAnsi="宋体" w:cs="宋体"/>
                <w:color w:val="000000"/>
                <w:sz w:val="22"/>
                <w:szCs w:val="22"/>
              </w:rPr>
            </w:pPr>
            <w:r>
              <w:rPr>
                <w:rFonts w:hint="eastAsia"/>
                <w:color w:val="000000"/>
                <w:sz w:val="22"/>
                <w:szCs w:val="22"/>
              </w:rPr>
              <w:t>262</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66CF242B">
            <w:pPr>
              <w:jc w:val="center"/>
              <w:rPr>
                <w:rFonts w:ascii="宋体" w:hAnsi="宋体" w:cs="宋体"/>
                <w:color w:val="000000"/>
                <w:sz w:val="22"/>
                <w:szCs w:val="22"/>
              </w:rPr>
            </w:pPr>
            <w:r>
              <w:rPr>
                <w:rFonts w:hint="eastAsia"/>
                <w:color w:val="000000"/>
                <w:sz w:val="22"/>
                <w:szCs w:val="22"/>
              </w:rPr>
              <w:t>262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9083F32">
            <w:pPr>
              <w:jc w:val="center"/>
              <w:rPr>
                <w:rFonts w:ascii="宋体" w:hAnsi="宋体" w:cs="宋体"/>
                <w:color w:val="000000"/>
                <w:sz w:val="22"/>
                <w:szCs w:val="22"/>
              </w:rPr>
            </w:pPr>
            <w:r>
              <w:rPr>
                <w:rFonts w:hint="eastAsia"/>
                <w:color w:val="000000"/>
                <w:sz w:val="22"/>
                <w:szCs w:val="22"/>
              </w:rPr>
              <w:t>254</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559757B2">
            <w:pPr>
              <w:jc w:val="center"/>
              <w:rPr>
                <w:rFonts w:ascii="宋体" w:hAnsi="宋体" w:cs="宋体"/>
                <w:color w:val="000000"/>
                <w:sz w:val="22"/>
                <w:szCs w:val="22"/>
              </w:rPr>
            </w:pPr>
            <w:r>
              <w:rPr>
                <w:rFonts w:hint="eastAsia"/>
                <w:color w:val="000000"/>
                <w:sz w:val="22"/>
                <w:szCs w:val="22"/>
              </w:rPr>
              <w:t>240</w:t>
            </w:r>
          </w:p>
        </w:tc>
      </w:tr>
      <w:tr w14:paraId="3393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29A1931C">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CD776BD">
            <w:pPr>
              <w:widowControl w:val="0"/>
              <w:spacing w:line="300" w:lineRule="exact"/>
              <w:jc w:val="center"/>
              <w:rPr>
                <w:rFonts w:eastAsia="楷体_GB2312"/>
                <w:szCs w:val="21"/>
              </w:rPr>
            </w:pPr>
            <w:r>
              <w:rPr>
                <w:rFonts w:eastAsia="楷体_GB2312"/>
                <w:szCs w:val="21"/>
              </w:rPr>
              <w:t>三级地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4596EF4">
            <w:pPr>
              <w:jc w:val="center"/>
              <w:rPr>
                <w:rFonts w:ascii="宋体" w:hAnsi="宋体" w:cs="宋体"/>
                <w:color w:val="000000"/>
                <w:sz w:val="22"/>
                <w:szCs w:val="22"/>
              </w:rPr>
            </w:pPr>
            <w:r>
              <w:rPr>
                <w:rFonts w:hint="eastAsia"/>
                <w:color w:val="000000"/>
                <w:sz w:val="22"/>
                <w:szCs w:val="22"/>
              </w:rPr>
              <w:t>228</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A9DD223">
            <w:pPr>
              <w:jc w:val="center"/>
              <w:rPr>
                <w:rFonts w:ascii="宋体" w:hAnsi="宋体" w:cs="宋体"/>
                <w:color w:val="000000"/>
                <w:sz w:val="22"/>
                <w:szCs w:val="22"/>
              </w:rPr>
            </w:pPr>
            <w:r>
              <w:rPr>
                <w:rFonts w:hint="eastAsia"/>
                <w:color w:val="000000"/>
                <w:sz w:val="22"/>
                <w:szCs w:val="22"/>
              </w:rPr>
              <w:t>217</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B4FDF0C">
            <w:pPr>
              <w:jc w:val="center"/>
              <w:rPr>
                <w:rFonts w:ascii="宋体" w:hAnsi="宋体" w:cs="宋体"/>
                <w:color w:val="000000"/>
                <w:sz w:val="22"/>
                <w:szCs w:val="22"/>
              </w:rPr>
            </w:pPr>
            <w:r>
              <w:rPr>
                <w:rFonts w:hint="eastAsia"/>
                <w:color w:val="000000"/>
                <w:sz w:val="22"/>
                <w:szCs w:val="22"/>
              </w:rPr>
              <w:t>208</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0C85E8C3">
            <w:pPr>
              <w:jc w:val="center"/>
              <w:rPr>
                <w:rFonts w:ascii="宋体" w:hAnsi="宋体" w:cs="宋体"/>
                <w:color w:val="000000"/>
                <w:sz w:val="22"/>
                <w:szCs w:val="22"/>
              </w:rPr>
            </w:pPr>
            <w:r>
              <w:rPr>
                <w:rFonts w:hint="eastAsia"/>
                <w:color w:val="000000"/>
                <w:sz w:val="22"/>
                <w:szCs w:val="22"/>
              </w:rPr>
              <w:t>208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F53B65B">
            <w:pPr>
              <w:jc w:val="center"/>
              <w:rPr>
                <w:rFonts w:ascii="宋体" w:hAnsi="宋体" w:cs="宋体"/>
                <w:color w:val="000000"/>
                <w:sz w:val="22"/>
                <w:szCs w:val="22"/>
              </w:rPr>
            </w:pPr>
            <w:r>
              <w:rPr>
                <w:rFonts w:hint="eastAsia"/>
                <w:color w:val="000000"/>
                <w:sz w:val="22"/>
                <w:szCs w:val="22"/>
              </w:rPr>
              <w:t>202</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0D308D99">
            <w:pPr>
              <w:jc w:val="center"/>
              <w:rPr>
                <w:rFonts w:ascii="宋体" w:hAnsi="宋体" w:cs="宋体"/>
                <w:color w:val="000000"/>
                <w:sz w:val="22"/>
                <w:szCs w:val="22"/>
              </w:rPr>
            </w:pPr>
            <w:r>
              <w:rPr>
                <w:rFonts w:hint="eastAsia"/>
                <w:color w:val="000000"/>
                <w:sz w:val="22"/>
                <w:szCs w:val="22"/>
              </w:rPr>
              <w:t>202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19CE6AD">
            <w:pPr>
              <w:jc w:val="center"/>
              <w:rPr>
                <w:rFonts w:ascii="宋体" w:hAnsi="宋体" w:cs="宋体"/>
                <w:color w:val="000000"/>
                <w:sz w:val="22"/>
                <w:szCs w:val="22"/>
              </w:rPr>
            </w:pPr>
            <w:r>
              <w:rPr>
                <w:rFonts w:hint="eastAsia"/>
                <w:color w:val="000000"/>
                <w:sz w:val="22"/>
                <w:szCs w:val="22"/>
              </w:rPr>
              <w:t>195</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758E9BE1">
            <w:pPr>
              <w:jc w:val="center"/>
              <w:rPr>
                <w:rFonts w:ascii="宋体" w:hAnsi="宋体" w:cs="宋体"/>
                <w:color w:val="000000"/>
                <w:sz w:val="22"/>
                <w:szCs w:val="22"/>
              </w:rPr>
            </w:pPr>
            <w:r>
              <w:rPr>
                <w:rFonts w:hint="eastAsia"/>
                <w:color w:val="000000"/>
                <w:sz w:val="22"/>
                <w:szCs w:val="22"/>
              </w:rPr>
              <w:t>184</w:t>
            </w:r>
          </w:p>
        </w:tc>
      </w:tr>
      <w:tr w14:paraId="3C0C4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5BAED700">
            <w:pPr>
              <w:widowControl w:val="0"/>
              <w:spacing w:line="300" w:lineRule="exact"/>
              <w:jc w:val="center"/>
              <w:rPr>
                <w:rFonts w:eastAsia="楷体_GB2312"/>
                <w:szCs w:val="21"/>
              </w:rPr>
            </w:pPr>
            <w:r>
              <w:rPr>
                <w:rFonts w:hint="eastAsia" w:eastAsia="楷体_GB2312"/>
                <w:szCs w:val="21"/>
              </w:rPr>
              <w:t>栏杆镇</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DF6EFEB">
            <w:pPr>
              <w:widowControl w:val="0"/>
              <w:spacing w:line="300" w:lineRule="exact"/>
              <w:jc w:val="center"/>
              <w:rPr>
                <w:rFonts w:eastAsia="楷体_GB2312"/>
                <w:szCs w:val="21"/>
              </w:rPr>
            </w:pPr>
            <w:r>
              <w:rPr>
                <w:rFonts w:eastAsia="楷体_GB2312"/>
                <w:szCs w:val="21"/>
              </w:rPr>
              <w:t>一级地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9EDD19F">
            <w:pPr>
              <w:jc w:val="center"/>
              <w:rPr>
                <w:rFonts w:ascii="宋体" w:hAnsi="宋体" w:cs="宋体"/>
                <w:color w:val="000000"/>
                <w:sz w:val="22"/>
                <w:szCs w:val="22"/>
              </w:rPr>
            </w:pPr>
            <w:r>
              <w:rPr>
                <w:rFonts w:hint="eastAsia"/>
                <w:color w:val="000000"/>
                <w:sz w:val="22"/>
                <w:szCs w:val="22"/>
              </w:rPr>
              <w:t>370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05C0150">
            <w:pPr>
              <w:jc w:val="center"/>
              <w:rPr>
                <w:rFonts w:ascii="宋体" w:hAnsi="宋体" w:cs="宋体"/>
                <w:color w:val="000000"/>
                <w:sz w:val="22"/>
                <w:szCs w:val="22"/>
              </w:rPr>
            </w:pPr>
            <w:r>
              <w:rPr>
                <w:rFonts w:hint="eastAsia"/>
                <w:color w:val="000000"/>
                <w:sz w:val="22"/>
                <w:szCs w:val="22"/>
              </w:rPr>
              <w:t>352</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29410B9">
            <w:pPr>
              <w:jc w:val="center"/>
              <w:rPr>
                <w:rFonts w:ascii="宋体" w:hAnsi="宋体" w:cs="宋体"/>
                <w:color w:val="000000"/>
                <w:sz w:val="22"/>
                <w:szCs w:val="22"/>
              </w:rPr>
            </w:pPr>
            <w:r>
              <w:rPr>
                <w:rFonts w:hint="eastAsia"/>
                <w:color w:val="000000"/>
                <w:sz w:val="22"/>
                <w:szCs w:val="22"/>
              </w:rPr>
              <w:t>338</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267FC041">
            <w:pPr>
              <w:jc w:val="center"/>
              <w:rPr>
                <w:rFonts w:ascii="宋体" w:hAnsi="宋体" w:cs="宋体"/>
                <w:color w:val="000000"/>
                <w:sz w:val="22"/>
                <w:szCs w:val="22"/>
              </w:rPr>
            </w:pPr>
            <w:r>
              <w:rPr>
                <w:rFonts w:hint="eastAsia"/>
                <w:color w:val="000000"/>
                <w:sz w:val="22"/>
                <w:szCs w:val="22"/>
              </w:rPr>
              <w:t>338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238822B">
            <w:pPr>
              <w:jc w:val="center"/>
              <w:rPr>
                <w:rFonts w:ascii="宋体" w:hAnsi="宋体" w:cs="宋体"/>
                <w:color w:val="000000"/>
                <w:sz w:val="22"/>
                <w:szCs w:val="22"/>
              </w:rPr>
            </w:pPr>
            <w:r>
              <w:rPr>
                <w:rFonts w:hint="eastAsia"/>
                <w:color w:val="000000"/>
                <w:sz w:val="22"/>
                <w:szCs w:val="22"/>
              </w:rPr>
              <w:t>327</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634FF668">
            <w:pPr>
              <w:jc w:val="center"/>
              <w:rPr>
                <w:rFonts w:ascii="宋体" w:hAnsi="宋体" w:cs="宋体"/>
                <w:color w:val="000000"/>
                <w:sz w:val="22"/>
                <w:szCs w:val="22"/>
              </w:rPr>
            </w:pPr>
            <w:r>
              <w:rPr>
                <w:rFonts w:hint="eastAsia"/>
                <w:color w:val="000000"/>
                <w:sz w:val="22"/>
                <w:szCs w:val="22"/>
              </w:rPr>
              <w:t>327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5EF9AA9">
            <w:pPr>
              <w:jc w:val="center"/>
              <w:rPr>
                <w:rFonts w:ascii="宋体" w:hAnsi="宋体" w:cs="宋体"/>
                <w:color w:val="000000"/>
                <w:sz w:val="22"/>
                <w:szCs w:val="22"/>
              </w:rPr>
            </w:pPr>
            <w:r>
              <w:rPr>
                <w:rFonts w:hint="eastAsia"/>
                <w:color w:val="000000"/>
                <w:sz w:val="22"/>
                <w:szCs w:val="22"/>
              </w:rPr>
              <w:t>317</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2023D780">
            <w:pPr>
              <w:jc w:val="center"/>
              <w:rPr>
                <w:rFonts w:ascii="宋体" w:hAnsi="宋体" w:cs="宋体"/>
                <w:color w:val="000000"/>
                <w:sz w:val="22"/>
                <w:szCs w:val="22"/>
              </w:rPr>
            </w:pPr>
            <w:r>
              <w:rPr>
                <w:rFonts w:hint="eastAsia"/>
                <w:color w:val="000000"/>
                <w:sz w:val="22"/>
                <w:szCs w:val="22"/>
              </w:rPr>
              <w:t>299</w:t>
            </w:r>
          </w:p>
        </w:tc>
      </w:tr>
      <w:tr w14:paraId="53BD9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1DB44E02">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E5EE099">
            <w:pPr>
              <w:widowControl w:val="0"/>
              <w:spacing w:line="300" w:lineRule="exact"/>
              <w:jc w:val="center"/>
              <w:rPr>
                <w:rFonts w:eastAsia="楷体_GB2312"/>
                <w:szCs w:val="21"/>
              </w:rPr>
            </w:pPr>
            <w:r>
              <w:rPr>
                <w:rFonts w:eastAsia="楷体_GB2312"/>
                <w:szCs w:val="21"/>
              </w:rPr>
              <w:t>二级地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E420E61">
            <w:pPr>
              <w:jc w:val="center"/>
              <w:rPr>
                <w:rFonts w:ascii="宋体" w:hAnsi="宋体" w:cs="宋体"/>
                <w:color w:val="000000"/>
                <w:sz w:val="22"/>
                <w:szCs w:val="22"/>
              </w:rPr>
            </w:pPr>
            <w:r>
              <w:rPr>
                <w:rFonts w:hint="eastAsia"/>
                <w:color w:val="000000"/>
                <w:sz w:val="22"/>
                <w:szCs w:val="22"/>
              </w:rPr>
              <w:t>290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D8C6966">
            <w:pPr>
              <w:jc w:val="center"/>
              <w:rPr>
                <w:rFonts w:ascii="宋体" w:hAnsi="宋体" w:cs="宋体"/>
                <w:color w:val="000000"/>
                <w:sz w:val="22"/>
                <w:szCs w:val="22"/>
              </w:rPr>
            </w:pPr>
            <w:r>
              <w:rPr>
                <w:rFonts w:hint="eastAsia"/>
                <w:color w:val="000000"/>
                <w:sz w:val="22"/>
                <w:szCs w:val="22"/>
              </w:rPr>
              <w:t>276</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904E6C3">
            <w:pPr>
              <w:jc w:val="center"/>
              <w:rPr>
                <w:rFonts w:ascii="宋体" w:hAnsi="宋体" w:cs="宋体"/>
                <w:color w:val="000000"/>
                <w:sz w:val="22"/>
                <w:szCs w:val="22"/>
              </w:rPr>
            </w:pPr>
            <w:r>
              <w:rPr>
                <w:rFonts w:hint="eastAsia"/>
                <w:color w:val="000000"/>
                <w:sz w:val="22"/>
                <w:szCs w:val="22"/>
              </w:rPr>
              <w:t>265</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16F6BD66">
            <w:pPr>
              <w:jc w:val="center"/>
              <w:rPr>
                <w:rFonts w:ascii="宋体" w:hAnsi="宋体" w:cs="宋体"/>
                <w:color w:val="000000"/>
                <w:sz w:val="22"/>
                <w:szCs w:val="22"/>
              </w:rPr>
            </w:pPr>
            <w:r>
              <w:rPr>
                <w:rFonts w:hint="eastAsia"/>
                <w:color w:val="000000"/>
                <w:sz w:val="22"/>
                <w:szCs w:val="22"/>
              </w:rPr>
              <w:t>265</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ABD71F3">
            <w:pPr>
              <w:jc w:val="center"/>
              <w:rPr>
                <w:rFonts w:ascii="宋体" w:hAnsi="宋体" w:cs="宋体"/>
                <w:color w:val="000000"/>
                <w:sz w:val="22"/>
                <w:szCs w:val="22"/>
              </w:rPr>
            </w:pPr>
            <w:r>
              <w:rPr>
                <w:rFonts w:hint="eastAsia"/>
                <w:color w:val="000000"/>
                <w:sz w:val="22"/>
                <w:szCs w:val="22"/>
              </w:rPr>
              <w:t>257</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439ED901">
            <w:pPr>
              <w:jc w:val="center"/>
              <w:rPr>
                <w:rFonts w:ascii="宋体" w:hAnsi="宋体" w:cs="宋体"/>
                <w:color w:val="000000"/>
                <w:sz w:val="22"/>
                <w:szCs w:val="22"/>
              </w:rPr>
            </w:pPr>
            <w:r>
              <w:rPr>
                <w:rFonts w:hint="eastAsia"/>
                <w:color w:val="000000"/>
                <w:sz w:val="22"/>
                <w:szCs w:val="22"/>
              </w:rPr>
              <w:t>257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8483C66">
            <w:pPr>
              <w:jc w:val="center"/>
              <w:rPr>
                <w:rFonts w:ascii="宋体" w:hAnsi="宋体" w:cs="宋体"/>
                <w:color w:val="000000"/>
                <w:sz w:val="22"/>
                <w:szCs w:val="22"/>
              </w:rPr>
            </w:pPr>
            <w:r>
              <w:rPr>
                <w:rFonts w:hint="eastAsia"/>
                <w:color w:val="000000"/>
                <w:sz w:val="22"/>
                <w:szCs w:val="22"/>
              </w:rPr>
              <w:t>248</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7A3D170F">
            <w:pPr>
              <w:jc w:val="center"/>
              <w:rPr>
                <w:rFonts w:ascii="宋体" w:hAnsi="宋体" w:cs="宋体"/>
                <w:color w:val="000000"/>
                <w:sz w:val="22"/>
                <w:szCs w:val="22"/>
              </w:rPr>
            </w:pPr>
            <w:r>
              <w:rPr>
                <w:rFonts w:hint="eastAsia"/>
                <w:color w:val="000000"/>
                <w:sz w:val="22"/>
                <w:szCs w:val="22"/>
              </w:rPr>
              <w:t>235</w:t>
            </w:r>
          </w:p>
        </w:tc>
      </w:tr>
      <w:tr w14:paraId="61F3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15F4704F">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E90E7AB">
            <w:pPr>
              <w:widowControl w:val="0"/>
              <w:spacing w:line="300" w:lineRule="exact"/>
              <w:jc w:val="center"/>
              <w:rPr>
                <w:rFonts w:eastAsia="楷体_GB2312"/>
                <w:szCs w:val="21"/>
              </w:rPr>
            </w:pPr>
            <w:r>
              <w:rPr>
                <w:rFonts w:eastAsia="楷体_GB2312"/>
                <w:szCs w:val="21"/>
              </w:rPr>
              <w:t>三级地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A660CC6">
            <w:pPr>
              <w:jc w:val="center"/>
              <w:rPr>
                <w:rFonts w:ascii="宋体" w:hAnsi="宋体" w:cs="宋体"/>
                <w:color w:val="000000"/>
                <w:sz w:val="22"/>
                <w:szCs w:val="22"/>
              </w:rPr>
            </w:pPr>
            <w:r>
              <w:rPr>
                <w:rFonts w:hint="eastAsia"/>
                <w:color w:val="000000"/>
                <w:sz w:val="22"/>
                <w:szCs w:val="22"/>
              </w:rPr>
              <w:t>228</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192E431">
            <w:pPr>
              <w:jc w:val="center"/>
              <w:rPr>
                <w:rFonts w:ascii="宋体" w:hAnsi="宋体" w:cs="宋体"/>
                <w:color w:val="000000"/>
                <w:sz w:val="22"/>
                <w:szCs w:val="22"/>
              </w:rPr>
            </w:pPr>
            <w:r>
              <w:rPr>
                <w:rFonts w:hint="eastAsia"/>
                <w:color w:val="000000"/>
                <w:sz w:val="22"/>
                <w:szCs w:val="22"/>
              </w:rPr>
              <w:t>217</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631E52F">
            <w:pPr>
              <w:jc w:val="center"/>
              <w:rPr>
                <w:rFonts w:ascii="宋体" w:hAnsi="宋体" w:cs="宋体"/>
                <w:color w:val="000000"/>
                <w:sz w:val="22"/>
                <w:szCs w:val="22"/>
              </w:rPr>
            </w:pPr>
            <w:r>
              <w:rPr>
                <w:rFonts w:hint="eastAsia"/>
                <w:color w:val="000000"/>
                <w:sz w:val="22"/>
                <w:szCs w:val="22"/>
              </w:rPr>
              <w:t>208</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0A91CF6E">
            <w:pPr>
              <w:jc w:val="center"/>
              <w:rPr>
                <w:rFonts w:ascii="宋体" w:hAnsi="宋体" w:cs="宋体"/>
                <w:color w:val="000000"/>
                <w:sz w:val="22"/>
                <w:szCs w:val="22"/>
              </w:rPr>
            </w:pPr>
            <w:r>
              <w:rPr>
                <w:rFonts w:hint="eastAsia"/>
                <w:color w:val="000000"/>
                <w:sz w:val="22"/>
                <w:szCs w:val="22"/>
              </w:rPr>
              <w:t>208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4EB40C5">
            <w:pPr>
              <w:jc w:val="center"/>
              <w:rPr>
                <w:rFonts w:ascii="宋体" w:hAnsi="宋体" w:cs="宋体"/>
                <w:color w:val="000000"/>
                <w:sz w:val="22"/>
                <w:szCs w:val="22"/>
              </w:rPr>
            </w:pPr>
            <w:r>
              <w:rPr>
                <w:rFonts w:hint="eastAsia"/>
                <w:color w:val="000000"/>
                <w:sz w:val="22"/>
                <w:szCs w:val="22"/>
              </w:rPr>
              <w:t>202</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1B58B3A8">
            <w:pPr>
              <w:jc w:val="center"/>
              <w:rPr>
                <w:rFonts w:ascii="宋体" w:hAnsi="宋体" w:cs="宋体"/>
                <w:color w:val="000000"/>
                <w:sz w:val="22"/>
                <w:szCs w:val="22"/>
              </w:rPr>
            </w:pPr>
            <w:r>
              <w:rPr>
                <w:rFonts w:hint="eastAsia"/>
                <w:color w:val="000000"/>
                <w:sz w:val="22"/>
                <w:szCs w:val="22"/>
              </w:rPr>
              <w:t>202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64E4BF1">
            <w:pPr>
              <w:jc w:val="center"/>
              <w:rPr>
                <w:rFonts w:ascii="宋体" w:hAnsi="宋体" w:cs="宋体"/>
                <w:color w:val="000000"/>
                <w:sz w:val="22"/>
                <w:szCs w:val="22"/>
              </w:rPr>
            </w:pPr>
            <w:r>
              <w:rPr>
                <w:rFonts w:hint="eastAsia"/>
                <w:color w:val="000000"/>
                <w:sz w:val="22"/>
                <w:szCs w:val="22"/>
              </w:rPr>
              <w:t>195</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307B7210">
            <w:pPr>
              <w:jc w:val="center"/>
              <w:rPr>
                <w:rFonts w:ascii="宋体" w:hAnsi="宋体" w:cs="宋体"/>
                <w:color w:val="000000"/>
                <w:sz w:val="22"/>
                <w:szCs w:val="22"/>
              </w:rPr>
            </w:pPr>
            <w:r>
              <w:rPr>
                <w:rFonts w:hint="eastAsia"/>
                <w:color w:val="000000"/>
                <w:sz w:val="22"/>
                <w:szCs w:val="22"/>
              </w:rPr>
              <w:t>184</w:t>
            </w:r>
          </w:p>
        </w:tc>
      </w:tr>
      <w:tr w14:paraId="7724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4C17809A">
            <w:pPr>
              <w:widowControl w:val="0"/>
              <w:spacing w:line="300" w:lineRule="exact"/>
              <w:jc w:val="center"/>
              <w:rPr>
                <w:rFonts w:eastAsia="楷体_GB2312"/>
                <w:szCs w:val="21"/>
              </w:rPr>
            </w:pPr>
            <w:r>
              <w:rPr>
                <w:rFonts w:hint="eastAsia" w:eastAsia="楷体_GB2312"/>
                <w:szCs w:val="21"/>
              </w:rPr>
              <w:t>时村镇</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7122FD0">
            <w:pPr>
              <w:widowControl w:val="0"/>
              <w:spacing w:line="300" w:lineRule="exact"/>
              <w:jc w:val="center"/>
              <w:rPr>
                <w:rFonts w:eastAsia="楷体_GB2312"/>
                <w:szCs w:val="21"/>
              </w:rPr>
            </w:pPr>
            <w:r>
              <w:rPr>
                <w:rFonts w:eastAsia="楷体_GB2312"/>
                <w:szCs w:val="21"/>
              </w:rPr>
              <w:t>一级地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498B14D">
            <w:pPr>
              <w:jc w:val="center"/>
              <w:rPr>
                <w:rFonts w:ascii="宋体" w:hAnsi="宋体" w:cs="宋体"/>
                <w:color w:val="000000"/>
                <w:sz w:val="22"/>
                <w:szCs w:val="22"/>
              </w:rPr>
            </w:pPr>
            <w:r>
              <w:rPr>
                <w:rFonts w:hint="eastAsia"/>
                <w:color w:val="000000"/>
                <w:sz w:val="22"/>
                <w:szCs w:val="22"/>
              </w:rPr>
              <w:t>363</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9D76FB1">
            <w:pPr>
              <w:jc w:val="center"/>
              <w:rPr>
                <w:rFonts w:ascii="宋体" w:hAnsi="宋体" w:cs="宋体"/>
                <w:color w:val="000000"/>
                <w:sz w:val="22"/>
                <w:szCs w:val="22"/>
              </w:rPr>
            </w:pPr>
            <w:r>
              <w:rPr>
                <w:rFonts w:hint="eastAsia"/>
                <w:color w:val="000000"/>
                <w:sz w:val="22"/>
                <w:szCs w:val="22"/>
              </w:rPr>
              <w:t>346</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00083C4">
            <w:pPr>
              <w:jc w:val="center"/>
              <w:rPr>
                <w:rFonts w:ascii="宋体" w:hAnsi="宋体" w:cs="宋体"/>
                <w:color w:val="000000"/>
                <w:sz w:val="22"/>
                <w:szCs w:val="22"/>
              </w:rPr>
            </w:pPr>
            <w:r>
              <w:rPr>
                <w:rFonts w:hint="eastAsia"/>
                <w:color w:val="000000"/>
                <w:sz w:val="22"/>
                <w:szCs w:val="22"/>
              </w:rPr>
              <w:t>332</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053DEEC0">
            <w:pPr>
              <w:jc w:val="center"/>
              <w:rPr>
                <w:rFonts w:ascii="宋体" w:hAnsi="宋体" w:cs="宋体"/>
                <w:color w:val="000000"/>
                <w:sz w:val="22"/>
                <w:szCs w:val="22"/>
              </w:rPr>
            </w:pPr>
            <w:r>
              <w:rPr>
                <w:rFonts w:hint="eastAsia"/>
                <w:color w:val="000000"/>
                <w:sz w:val="22"/>
                <w:szCs w:val="22"/>
              </w:rPr>
              <w:t>332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D8F451E">
            <w:pPr>
              <w:jc w:val="center"/>
              <w:rPr>
                <w:rFonts w:ascii="宋体" w:hAnsi="宋体" w:cs="宋体"/>
                <w:color w:val="000000"/>
                <w:sz w:val="22"/>
                <w:szCs w:val="22"/>
              </w:rPr>
            </w:pPr>
            <w:r>
              <w:rPr>
                <w:rFonts w:hint="eastAsia"/>
                <w:color w:val="000000"/>
                <w:sz w:val="22"/>
                <w:szCs w:val="22"/>
              </w:rPr>
              <w:t>322</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685610B9">
            <w:pPr>
              <w:jc w:val="center"/>
              <w:rPr>
                <w:rFonts w:ascii="宋体" w:hAnsi="宋体" w:cs="宋体"/>
                <w:color w:val="000000"/>
                <w:sz w:val="22"/>
                <w:szCs w:val="22"/>
              </w:rPr>
            </w:pPr>
            <w:r>
              <w:rPr>
                <w:rFonts w:hint="eastAsia"/>
                <w:color w:val="000000"/>
                <w:sz w:val="22"/>
                <w:szCs w:val="22"/>
              </w:rPr>
              <w:t>322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2416115">
            <w:pPr>
              <w:jc w:val="center"/>
              <w:rPr>
                <w:rFonts w:ascii="宋体" w:hAnsi="宋体" w:cs="宋体"/>
                <w:color w:val="000000"/>
                <w:sz w:val="22"/>
                <w:szCs w:val="22"/>
              </w:rPr>
            </w:pPr>
            <w:r>
              <w:rPr>
                <w:rFonts w:hint="eastAsia"/>
                <w:color w:val="000000"/>
                <w:sz w:val="22"/>
                <w:szCs w:val="22"/>
              </w:rPr>
              <w:t>311</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29A422B4">
            <w:pPr>
              <w:jc w:val="center"/>
              <w:rPr>
                <w:rFonts w:ascii="宋体" w:hAnsi="宋体" w:cs="宋体"/>
                <w:color w:val="000000"/>
                <w:sz w:val="22"/>
                <w:szCs w:val="22"/>
              </w:rPr>
            </w:pPr>
            <w:r>
              <w:rPr>
                <w:rFonts w:hint="eastAsia"/>
                <w:color w:val="000000"/>
                <w:sz w:val="22"/>
                <w:szCs w:val="22"/>
              </w:rPr>
              <w:t>294</w:t>
            </w:r>
          </w:p>
        </w:tc>
      </w:tr>
      <w:tr w14:paraId="787CE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39C3A01B">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F0B7F61">
            <w:pPr>
              <w:widowControl w:val="0"/>
              <w:spacing w:line="300" w:lineRule="exact"/>
              <w:jc w:val="center"/>
              <w:rPr>
                <w:rFonts w:eastAsia="楷体_GB2312"/>
                <w:szCs w:val="21"/>
              </w:rPr>
            </w:pPr>
            <w:r>
              <w:rPr>
                <w:rFonts w:eastAsia="楷体_GB2312"/>
                <w:szCs w:val="21"/>
              </w:rPr>
              <w:t>二级地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021B1C8">
            <w:pPr>
              <w:jc w:val="center"/>
              <w:rPr>
                <w:rFonts w:ascii="宋体" w:hAnsi="宋体" w:cs="宋体"/>
                <w:color w:val="000000"/>
                <w:sz w:val="22"/>
                <w:szCs w:val="22"/>
              </w:rPr>
            </w:pPr>
            <w:r>
              <w:rPr>
                <w:rFonts w:hint="eastAsia"/>
                <w:color w:val="000000"/>
                <w:sz w:val="22"/>
                <w:szCs w:val="22"/>
              </w:rPr>
              <w:t>276</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5088752">
            <w:pPr>
              <w:jc w:val="center"/>
              <w:rPr>
                <w:rFonts w:ascii="宋体" w:hAnsi="宋体" w:cs="宋体"/>
                <w:color w:val="000000"/>
                <w:sz w:val="22"/>
                <w:szCs w:val="22"/>
              </w:rPr>
            </w:pPr>
            <w:r>
              <w:rPr>
                <w:rFonts w:hint="eastAsia"/>
                <w:color w:val="000000"/>
                <w:sz w:val="22"/>
                <w:szCs w:val="22"/>
              </w:rPr>
              <w:t>263</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00AA329">
            <w:pPr>
              <w:jc w:val="center"/>
              <w:rPr>
                <w:rFonts w:ascii="宋体" w:hAnsi="宋体" w:cs="宋体"/>
                <w:color w:val="000000"/>
                <w:sz w:val="22"/>
                <w:szCs w:val="22"/>
              </w:rPr>
            </w:pPr>
            <w:r>
              <w:rPr>
                <w:rFonts w:hint="eastAsia"/>
                <w:color w:val="000000"/>
                <w:sz w:val="22"/>
                <w:szCs w:val="22"/>
              </w:rPr>
              <w:t>252</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18466518">
            <w:pPr>
              <w:jc w:val="center"/>
              <w:rPr>
                <w:rFonts w:ascii="宋体" w:hAnsi="宋体" w:cs="宋体"/>
                <w:color w:val="000000"/>
                <w:sz w:val="22"/>
                <w:szCs w:val="22"/>
              </w:rPr>
            </w:pPr>
            <w:r>
              <w:rPr>
                <w:rFonts w:hint="eastAsia"/>
                <w:color w:val="000000"/>
                <w:sz w:val="22"/>
                <w:szCs w:val="22"/>
              </w:rPr>
              <w:t>252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A2BADE5">
            <w:pPr>
              <w:jc w:val="center"/>
              <w:rPr>
                <w:rFonts w:ascii="宋体" w:hAnsi="宋体" w:cs="宋体"/>
                <w:color w:val="000000"/>
                <w:sz w:val="22"/>
                <w:szCs w:val="22"/>
              </w:rPr>
            </w:pPr>
            <w:r>
              <w:rPr>
                <w:rFonts w:hint="eastAsia"/>
                <w:color w:val="000000"/>
                <w:sz w:val="22"/>
                <w:szCs w:val="22"/>
              </w:rPr>
              <w:t>245</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719577BD">
            <w:pPr>
              <w:jc w:val="center"/>
              <w:rPr>
                <w:rFonts w:ascii="宋体" w:hAnsi="宋体" w:cs="宋体"/>
                <w:color w:val="000000"/>
                <w:sz w:val="22"/>
                <w:szCs w:val="22"/>
              </w:rPr>
            </w:pPr>
            <w:r>
              <w:rPr>
                <w:rFonts w:hint="eastAsia"/>
                <w:color w:val="000000"/>
                <w:sz w:val="22"/>
                <w:szCs w:val="22"/>
              </w:rPr>
              <w:t>245</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101E3CD">
            <w:pPr>
              <w:jc w:val="center"/>
              <w:rPr>
                <w:rFonts w:ascii="宋体" w:hAnsi="宋体" w:cs="宋体"/>
                <w:color w:val="000000"/>
                <w:sz w:val="22"/>
                <w:szCs w:val="22"/>
              </w:rPr>
            </w:pPr>
            <w:r>
              <w:rPr>
                <w:rFonts w:hint="eastAsia"/>
                <w:color w:val="000000"/>
                <w:sz w:val="22"/>
                <w:szCs w:val="22"/>
              </w:rPr>
              <w:t>237</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10402BC2">
            <w:pPr>
              <w:jc w:val="center"/>
              <w:rPr>
                <w:rFonts w:ascii="宋体" w:hAnsi="宋体" w:cs="宋体"/>
                <w:color w:val="000000"/>
                <w:sz w:val="22"/>
                <w:szCs w:val="22"/>
              </w:rPr>
            </w:pPr>
            <w:r>
              <w:rPr>
                <w:rFonts w:hint="eastAsia"/>
                <w:color w:val="000000"/>
                <w:sz w:val="22"/>
                <w:szCs w:val="22"/>
              </w:rPr>
              <w:t>224</w:t>
            </w:r>
          </w:p>
        </w:tc>
      </w:tr>
      <w:tr w14:paraId="23F19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11AE1F0E">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82C9ADD">
            <w:pPr>
              <w:widowControl w:val="0"/>
              <w:spacing w:line="300" w:lineRule="exact"/>
              <w:jc w:val="center"/>
              <w:rPr>
                <w:rFonts w:eastAsia="楷体_GB2312"/>
                <w:szCs w:val="21"/>
              </w:rPr>
            </w:pPr>
            <w:r>
              <w:rPr>
                <w:rFonts w:eastAsia="楷体_GB2312"/>
                <w:szCs w:val="21"/>
              </w:rPr>
              <w:t>三级地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347CBDC">
            <w:pPr>
              <w:jc w:val="center"/>
              <w:rPr>
                <w:rFonts w:ascii="宋体" w:hAnsi="宋体" w:cs="宋体"/>
                <w:color w:val="000000"/>
                <w:sz w:val="22"/>
                <w:szCs w:val="22"/>
              </w:rPr>
            </w:pPr>
            <w:r>
              <w:rPr>
                <w:rFonts w:hint="eastAsia"/>
                <w:color w:val="000000"/>
                <w:sz w:val="22"/>
                <w:szCs w:val="22"/>
              </w:rPr>
              <w:t>200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A93097F">
            <w:pPr>
              <w:jc w:val="center"/>
              <w:rPr>
                <w:rFonts w:ascii="宋体" w:hAnsi="宋体" w:cs="宋体"/>
                <w:color w:val="000000"/>
                <w:sz w:val="22"/>
                <w:szCs w:val="22"/>
              </w:rPr>
            </w:pPr>
            <w:r>
              <w:rPr>
                <w:rFonts w:hint="eastAsia"/>
                <w:color w:val="000000"/>
                <w:sz w:val="22"/>
                <w:szCs w:val="22"/>
              </w:rPr>
              <w:t>190</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BE483B1">
            <w:pPr>
              <w:jc w:val="center"/>
              <w:rPr>
                <w:rFonts w:ascii="宋体" w:hAnsi="宋体" w:cs="宋体"/>
                <w:color w:val="000000"/>
                <w:sz w:val="22"/>
                <w:szCs w:val="22"/>
              </w:rPr>
            </w:pPr>
            <w:r>
              <w:rPr>
                <w:rFonts w:hint="eastAsia"/>
                <w:color w:val="000000"/>
                <w:sz w:val="22"/>
                <w:szCs w:val="22"/>
              </w:rPr>
              <w:t>182</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2B80DF58">
            <w:pPr>
              <w:jc w:val="center"/>
              <w:rPr>
                <w:rFonts w:ascii="宋体" w:hAnsi="宋体" w:cs="宋体"/>
                <w:color w:val="000000"/>
                <w:sz w:val="22"/>
                <w:szCs w:val="22"/>
              </w:rPr>
            </w:pPr>
            <w:r>
              <w:rPr>
                <w:rFonts w:hint="eastAsia"/>
                <w:color w:val="000000"/>
                <w:sz w:val="22"/>
                <w:szCs w:val="22"/>
              </w:rPr>
              <w:t>182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CEF8FDA">
            <w:pPr>
              <w:jc w:val="center"/>
              <w:rPr>
                <w:rFonts w:ascii="宋体" w:hAnsi="宋体" w:cs="宋体"/>
                <w:color w:val="000000"/>
                <w:sz w:val="22"/>
                <w:szCs w:val="22"/>
              </w:rPr>
            </w:pPr>
            <w:r>
              <w:rPr>
                <w:rFonts w:hint="eastAsia"/>
                <w:color w:val="000000"/>
                <w:sz w:val="22"/>
                <w:szCs w:val="22"/>
              </w:rPr>
              <w:t>177</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7ECF219A">
            <w:pPr>
              <w:jc w:val="center"/>
              <w:rPr>
                <w:rFonts w:ascii="宋体" w:hAnsi="宋体" w:cs="宋体"/>
                <w:color w:val="000000"/>
                <w:sz w:val="22"/>
                <w:szCs w:val="22"/>
              </w:rPr>
            </w:pPr>
            <w:r>
              <w:rPr>
                <w:rFonts w:hint="eastAsia"/>
                <w:color w:val="000000"/>
                <w:sz w:val="22"/>
                <w:szCs w:val="22"/>
              </w:rPr>
              <w:t>177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D252890">
            <w:pPr>
              <w:jc w:val="center"/>
              <w:rPr>
                <w:rFonts w:ascii="宋体" w:hAnsi="宋体" w:cs="宋体"/>
                <w:color w:val="000000"/>
                <w:sz w:val="22"/>
                <w:szCs w:val="22"/>
              </w:rPr>
            </w:pPr>
            <w:r>
              <w:rPr>
                <w:rFonts w:hint="eastAsia"/>
                <w:color w:val="000000"/>
                <w:sz w:val="22"/>
                <w:szCs w:val="22"/>
              </w:rPr>
              <w:t>171</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50B4B4E8">
            <w:pPr>
              <w:jc w:val="center"/>
              <w:rPr>
                <w:rFonts w:ascii="宋体" w:hAnsi="宋体" w:cs="宋体"/>
                <w:color w:val="000000"/>
                <w:sz w:val="22"/>
                <w:szCs w:val="22"/>
              </w:rPr>
            </w:pPr>
            <w:r>
              <w:rPr>
                <w:rFonts w:hint="eastAsia"/>
                <w:color w:val="000000"/>
                <w:sz w:val="22"/>
                <w:szCs w:val="22"/>
              </w:rPr>
              <w:t>162</w:t>
            </w:r>
          </w:p>
        </w:tc>
      </w:tr>
      <w:tr w14:paraId="1670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5923244F">
            <w:pPr>
              <w:widowControl w:val="0"/>
              <w:spacing w:line="300" w:lineRule="exact"/>
              <w:jc w:val="center"/>
              <w:rPr>
                <w:rFonts w:eastAsia="楷体_GB2312"/>
                <w:szCs w:val="21"/>
              </w:rPr>
            </w:pPr>
            <w:r>
              <w:rPr>
                <w:rFonts w:hint="eastAsia" w:eastAsia="楷体_GB2312"/>
                <w:szCs w:val="21"/>
              </w:rPr>
              <w:t>夹沟镇</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2AFFCAB">
            <w:pPr>
              <w:widowControl w:val="0"/>
              <w:spacing w:line="300" w:lineRule="exact"/>
              <w:jc w:val="center"/>
              <w:rPr>
                <w:rFonts w:eastAsia="楷体_GB2312"/>
                <w:szCs w:val="21"/>
              </w:rPr>
            </w:pPr>
            <w:r>
              <w:rPr>
                <w:rFonts w:eastAsia="楷体_GB2312"/>
                <w:szCs w:val="21"/>
              </w:rPr>
              <w:t>一级地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70DA81F">
            <w:pPr>
              <w:jc w:val="center"/>
              <w:rPr>
                <w:rFonts w:ascii="宋体" w:hAnsi="宋体" w:cs="宋体"/>
                <w:color w:val="000000"/>
                <w:sz w:val="22"/>
                <w:szCs w:val="22"/>
              </w:rPr>
            </w:pPr>
            <w:r>
              <w:rPr>
                <w:rFonts w:hint="eastAsia"/>
                <w:color w:val="000000"/>
                <w:sz w:val="22"/>
                <w:szCs w:val="22"/>
              </w:rPr>
              <w:t>352</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4451DD7">
            <w:pPr>
              <w:jc w:val="center"/>
              <w:rPr>
                <w:rFonts w:ascii="宋体" w:hAnsi="宋体" w:cs="宋体"/>
                <w:color w:val="000000"/>
                <w:sz w:val="22"/>
                <w:szCs w:val="22"/>
              </w:rPr>
            </w:pPr>
            <w:r>
              <w:rPr>
                <w:rFonts w:hint="eastAsia"/>
                <w:color w:val="000000"/>
                <w:sz w:val="22"/>
                <w:szCs w:val="22"/>
              </w:rPr>
              <w:t>335</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9FD9A9E">
            <w:pPr>
              <w:jc w:val="center"/>
              <w:rPr>
                <w:rFonts w:ascii="宋体" w:hAnsi="宋体" w:cs="宋体"/>
                <w:color w:val="000000"/>
                <w:sz w:val="22"/>
                <w:szCs w:val="22"/>
              </w:rPr>
            </w:pPr>
            <w:r>
              <w:rPr>
                <w:rFonts w:hint="eastAsia"/>
                <w:color w:val="000000"/>
                <w:sz w:val="22"/>
                <w:szCs w:val="22"/>
              </w:rPr>
              <w:t>322</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2BDDD88A">
            <w:pPr>
              <w:jc w:val="center"/>
              <w:rPr>
                <w:rFonts w:ascii="宋体" w:hAnsi="宋体" w:cs="宋体"/>
                <w:color w:val="000000"/>
                <w:sz w:val="22"/>
                <w:szCs w:val="22"/>
              </w:rPr>
            </w:pPr>
            <w:r>
              <w:rPr>
                <w:rFonts w:hint="eastAsia"/>
                <w:color w:val="000000"/>
                <w:sz w:val="22"/>
                <w:szCs w:val="22"/>
              </w:rPr>
              <w:t>322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A813AA0">
            <w:pPr>
              <w:jc w:val="center"/>
              <w:rPr>
                <w:rFonts w:ascii="宋体" w:hAnsi="宋体" w:cs="宋体"/>
                <w:color w:val="000000"/>
                <w:sz w:val="22"/>
                <w:szCs w:val="22"/>
              </w:rPr>
            </w:pPr>
            <w:r>
              <w:rPr>
                <w:rFonts w:hint="eastAsia"/>
                <w:color w:val="000000"/>
                <w:sz w:val="22"/>
                <w:szCs w:val="22"/>
              </w:rPr>
              <w:t>312</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0B620739">
            <w:pPr>
              <w:jc w:val="center"/>
              <w:rPr>
                <w:rFonts w:ascii="宋体" w:hAnsi="宋体" w:cs="宋体"/>
                <w:color w:val="000000"/>
                <w:sz w:val="22"/>
                <w:szCs w:val="22"/>
              </w:rPr>
            </w:pPr>
            <w:r>
              <w:rPr>
                <w:rFonts w:hint="eastAsia"/>
                <w:color w:val="000000"/>
                <w:sz w:val="22"/>
                <w:szCs w:val="22"/>
              </w:rPr>
              <w:t>312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9735EC3">
            <w:pPr>
              <w:jc w:val="center"/>
              <w:rPr>
                <w:rFonts w:ascii="宋体" w:hAnsi="宋体" w:cs="宋体"/>
                <w:color w:val="000000"/>
                <w:sz w:val="22"/>
                <w:szCs w:val="22"/>
              </w:rPr>
            </w:pPr>
            <w:r>
              <w:rPr>
                <w:rFonts w:hint="eastAsia"/>
                <w:color w:val="000000"/>
                <w:sz w:val="22"/>
                <w:szCs w:val="22"/>
              </w:rPr>
              <w:t>302</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0E0141DC">
            <w:pPr>
              <w:jc w:val="center"/>
              <w:rPr>
                <w:rFonts w:ascii="宋体" w:hAnsi="宋体" w:cs="宋体"/>
                <w:color w:val="000000"/>
                <w:sz w:val="22"/>
                <w:szCs w:val="22"/>
              </w:rPr>
            </w:pPr>
            <w:r>
              <w:rPr>
                <w:rFonts w:hint="eastAsia"/>
                <w:color w:val="000000"/>
                <w:sz w:val="22"/>
                <w:szCs w:val="22"/>
              </w:rPr>
              <w:t>285</w:t>
            </w:r>
          </w:p>
        </w:tc>
      </w:tr>
      <w:tr w14:paraId="29FBB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0E94AB73">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85F3F5B">
            <w:pPr>
              <w:widowControl w:val="0"/>
              <w:spacing w:line="300" w:lineRule="exact"/>
              <w:jc w:val="center"/>
              <w:rPr>
                <w:rFonts w:eastAsia="楷体_GB2312"/>
                <w:szCs w:val="21"/>
              </w:rPr>
            </w:pPr>
            <w:r>
              <w:rPr>
                <w:rFonts w:eastAsia="楷体_GB2312"/>
                <w:szCs w:val="21"/>
              </w:rPr>
              <w:t>二级地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B60E825">
            <w:pPr>
              <w:jc w:val="center"/>
              <w:rPr>
                <w:rFonts w:ascii="宋体" w:hAnsi="宋体" w:cs="宋体"/>
                <w:color w:val="000000"/>
                <w:sz w:val="22"/>
                <w:szCs w:val="22"/>
              </w:rPr>
            </w:pPr>
            <w:r>
              <w:rPr>
                <w:rFonts w:hint="eastAsia"/>
                <w:color w:val="000000"/>
                <w:sz w:val="22"/>
                <w:szCs w:val="22"/>
              </w:rPr>
              <w:t>285</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BCD62FF">
            <w:pPr>
              <w:jc w:val="center"/>
              <w:rPr>
                <w:rFonts w:ascii="宋体" w:hAnsi="宋体" w:cs="宋体"/>
                <w:color w:val="000000"/>
                <w:sz w:val="22"/>
                <w:szCs w:val="22"/>
              </w:rPr>
            </w:pPr>
            <w:r>
              <w:rPr>
                <w:rFonts w:hint="eastAsia"/>
                <w:color w:val="000000"/>
                <w:sz w:val="22"/>
                <w:szCs w:val="22"/>
              </w:rPr>
              <w:t>271</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EE0D529">
            <w:pPr>
              <w:jc w:val="center"/>
              <w:rPr>
                <w:rFonts w:ascii="宋体" w:hAnsi="宋体" w:cs="宋体"/>
                <w:color w:val="000000"/>
                <w:sz w:val="22"/>
                <w:szCs w:val="22"/>
              </w:rPr>
            </w:pPr>
            <w:r>
              <w:rPr>
                <w:rFonts w:hint="eastAsia"/>
                <w:color w:val="000000"/>
                <w:sz w:val="22"/>
                <w:szCs w:val="22"/>
              </w:rPr>
              <w:t>260</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21CC7004">
            <w:pPr>
              <w:jc w:val="center"/>
              <w:rPr>
                <w:rFonts w:ascii="宋体" w:hAnsi="宋体" w:cs="宋体"/>
                <w:color w:val="000000"/>
                <w:sz w:val="22"/>
                <w:szCs w:val="22"/>
              </w:rPr>
            </w:pPr>
            <w:r>
              <w:rPr>
                <w:rFonts w:hint="eastAsia"/>
                <w:color w:val="000000"/>
                <w:sz w:val="22"/>
                <w:szCs w:val="22"/>
              </w:rPr>
              <w:t>260</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E4480E5">
            <w:pPr>
              <w:jc w:val="center"/>
              <w:rPr>
                <w:rFonts w:ascii="宋体" w:hAnsi="宋体" w:cs="宋体"/>
                <w:color w:val="000000"/>
                <w:sz w:val="22"/>
                <w:szCs w:val="22"/>
              </w:rPr>
            </w:pPr>
            <w:r>
              <w:rPr>
                <w:rFonts w:hint="eastAsia"/>
                <w:color w:val="000000"/>
                <w:sz w:val="22"/>
                <w:szCs w:val="22"/>
              </w:rPr>
              <w:t>252</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33B7BA85">
            <w:pPr>
              <w:jc w:val="center"/>
              <w:rPr>
                <w:rFonts w:ascii="宋体" w:hAnsi="宋体" w:cs="宋体"/>
                <w:color w:val="000000"/>
                <w:sz w:val="22"/>
                <w:szCs w:val="22"/>
              </w:rPr>
            </w:pPr>
            <w:r>
              <w:rPr>
                <w:rFonts w:hint="eastAsia"/>
                <w:color w:val="000000"/>
                <w:sz w:val="22"/>
                <w:szCs w:val="22"/>
              </w:rPr>
              <w:t>252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A2774F8">
            <w:pPr>
              <w:jc w:val="center"/>
              <w:rPr>
                <w:rFonts w:ascii="宋体" w:hAnsi="宋体" w:cs="宋体"/>
                <w:color w:val="000000"/>
                <w:sz w:val="22"/>
                <w:szCs w:val="22"/>
              </w:rPr>
            </w:pPr>
            <w:r>
              <w:rPr>
                <w:rFonts w:hint="eastAsia"/>
                <w:color w:val="000000"/>
                <w:sz w:val="22"/>
                <w:szCs w:val="22"/>
              </w:rPr>
              <w:t>244</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69BB4EFD">
            <w:pPr>
              <w:jc w:val="center"/>
              <w:rPr>
                <w:rFonts w:ascii="宋体" w:hAnsi="宋体" w:cs="宋体"/>
                <w:color w:val="000000"/>
                <w:sz w:val="22"/>
                <w:szCs w:val="22"/>
              </w:rPr>
            </w:pPr>
            <w:r>
              <w:rPr>
                <w:rFonts w:hint="eastAsia"/>
                <w:color w:val="000000"/>
                <w:sz w:val="22"/>
                <w:szCs w:val="22"/>
              </w:rPr>
              <w:t>230</w:t>
            </w:r>
          </w:p>
        </w:tc>
      </w:tr>
      <w:tr w14:paraId="5110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0068CD44">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AAA52F0">
            <w:pPr>
              <w:widowControl w:val="0"/>
              <w:spacing w:line="300" w:lineRule="exact"/>
              <w:jc w:val="center"/>
              <w:rPr>
                <w:rFonts w:eastAsia="楷体_GB2312"/>
                <w:szCs w:val="21"/>
              </w:rPr>
            </w:pPr>
            <w:r>
              <w:rPr>
                <w:rFonts w:eastAsia="楷体_GB2312"/>
                <w:szCs w:val="21"/>
              </w:rPr>
              <w:t>三级地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7E302A4">
            <w:pPr>
              <w:jc w:val="center"/>
              <w:rPr>
                <w:rFonts w:ascii="宋体" w:hAnsi="宋体" w:cs="宋体"/>
                <w:color w:val="000000"/>
                <w:sz w:val="22"/>
                <w:szCs w:val="22"/>
              </w:rPr>
            </w:pPr>
            <w:r>
              <w:rPr>
                <w:rFonts w:hint="eastAsia"/>
                <w:color w:val="000000"/>
                <w:sz w:val="22"/>
                <w:szCs w:val="22"/>
              </w:rPr>
              <w:t>223</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BB4B375">
            <w:pPr>
              <w:jc w:val="center"/>
              <w:rPr>
                <w:rFonts w:ascii="宋体" w:hAnsi="宋体" w:cs="宋体"/>
                <w:color w:val="000000"/>
                <w:sz w:val="22"/>
                <w:szCs w:val="22"/>
              </w:rPr>
            </w:pPr>
            <w:r>
              <w:rPr>
                <w:rFonts w:hint="eastAsia"/>
                <w:color w:val="000000"/>
                <w:sz w:val="22"/>
                <w:szCs w:val="22"/>
              </w:rPr>
              <w:t>212</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3389405">
            <w:pPr>
              <w:jc w:val="center"/>
              <w:rPr>
                <w:rFonts w:ascii="宋体" w:hAnsi="宋体" w:cs="宋体"/>
                <w:color w:val="000000"/>
                <w:sz w:val="22"/>
                <w:szCs w:val="22"/>
              </w:rPr>
            </w:pPr>
            <w:r>
              <w:rPr>
                <w:rFonts w:hint="eastAsia"/>
                <w:color w:val="000000"/>
                <w:sz w:val="22"/>
                <w:szCs w:val="22"/>
              </w:rPr>
              <w:t>204</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44655BF8">
            <w:pPr>
              <w:jc w:val="center"/>
              <w:rPr>
                <w:rFonts w:ascii="宋体" w:hAnsi="宋体" w:cs="宋体"/>
                <w:color w:val="000000"/>
                <w:sz w:val="22"/>
                <w:szCs w:val="22"/>
              </w:rPr>
            </w:pPr>
            <w:r>
              <w:rPr>
                <w:rFonts w:hint="eastAsia"/>
                <w:color w:val="000000"/>
                <w:sz w:val="22"/>
                <w:szCs w:val="22"/>
              </w:rPr>
              <w:t>204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EDEC24C">
            <w:pPr>
              <w:jc w:val="center"/>
              <w:rPr>
                <w:rFonts w:ascii="宋体" w:hAnsi="宋体" w:cs="宋体"/>
                <w:color w:val="000000"/>
                <w:sz w:val="22"/>
                <w:szCs w:val="22"/>
              </w:rPr>
            </w:pPr>
            <w:r>
              <w:rPr>
                <w:rFonts w:hint="eastAsia"/>
                <w:color w:val="000000"/>
                <w:sz w:val="22"/>
                <w:szCs w:val="22"/>
              </w:rPr>
              <w:t>197</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3C493EC7">
            <w:pPr>
              <w:jc w:val="center"/>
              <w:rPr>
                <w:rFonts w:ascii="宋体" w:hAnsi="宋体" w:cs="宋体"/>
                <w:color w:val="000000"/>
                <w:sz w:val="22"/>
                <w:szCs w:val="22"/>
              </w:rPr>
            </w:pPr>
            <w:r>
              <w:rPr>
                <w:rFonts w:hint="eastAsia"/>
                <w:color w:val="000000"/>
                <w:sz w:val="22"/>
                <w:szCs w:val="22"/>
              </w:rPr>
              <w:t>197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C8F2652">
            <w:pPr>
              <w:jc w:val="center"/>
              <w:rPr>
                <w:rFonts w:ascii="宋体" w:hAnsi="宋体" w:cs="宋体"/>
                <w:color w:val="000000"/>
                <w:sz w:val="22"/>
                <w:szCs w:val="22"/>
              </w:rPr>
            </w:pPr>
            <w:r>
              <w:rPr>
                <w:rFonts w:hint="eastAsia"/>
                <w:color w:val="000000"/>
                <w:sz w:val="22"/>
                <w:szCs w:val="22"/>
              </w:rPr>
              <w:t>191</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35357759">
            <w:pPr>
              <w:jc w:val="center"/>
              <w:rPr>
                <w:rFonts w:ascii="宋体" w:hAnsi="宋体" w:cs="宋体"/>
                <w:color w:val="000000"/>
                <w:sz w:val="22"/>
                <w:szCs w:val="22"/>
              </w:rPr>
            </w:pPr>
            <w:r>
              <w:rPr>
                <w:rFonts w:hint="eastAsia"/>
                <w:color w:val="000000"/>
                <w:sz w:val="22"/>
                <w:szCs w:val="22"/>
              </w:rPr>
              <w:t>180</w:t>
            </w:r>
          </w:p>
        </w:tc>
      </w:tr>
      <w:tr w14:paraId="706D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241C9881">
            <w:pPr>
              <w:widowControl w:val="0"/>
              <w:spacing w:line="300" w:lineRule="exact"/>
              <w:jc w:val="center"/>
              <w:rPr>
                <w:rFonts w:eastAsia="楷体_GB2312"/>
                <w:szCs w:val="21"/>
              </w:rPr>
            </w:pPr>
            <w:r>
              <w:rPr>
                <w:rFonts w:hint="eastAsia" w:eastAsia="楷体_GB2312"/>
                <w:szCs w:val="21"/>
              </w:rPr>
              <w:t>西二铺乡</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EBA6211">
            <w:pPr>
              <w:widowControl w:val="0"/>
              <w:spacing w:line="300" w:lineRule="exact"/>
              <w:jc w:val="center"/>
              <w:rPr>
                <w:rFonts w:eastAsia="楷体_GB2312"/>
                <w:szCs w:val="21"/>
              </w:rPr>
            </w:pPr>
            <w:r>
              <w:rPr>
                <w:rFonts w:eastAsia="楷体_GB2312"/>
                <w:szCs w:val="21"/>
              </w:rPr>
              <w:t>一级地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FF35D98">
            <w:pPr>
              <w:jc w:val="center"/>
              <w:rPr>
                <w:rFonts w:ascii="宋体" w:hAnsi="宋体" w:cs="宋体"/>
                <w:color w:val="000000"/>
                <w:sz w:val="22"/>
                <w:szCs w:val="22"/>
              </w:rPr>
            </w:pPr>
            <w:r>
              <w:rPr>
                <w:rFonts w:hint="eastAsia"/>
                <w:color w:val="000000"/>
                <w:sz w:val="22"/>
                <w:szCs w:val="22"/>
              </w:rPr>
              <w:t>347</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72EE073">
            <w:pPr>
              <w:jc w:val="center"/>
              <w:rPr>
                <w:rFonts w:ascii="宋体" w:hAnsi="宋体" w:cs="宋体"/>
                <w:color w:val="000000"/>
                <w:sz w:val="22"/>
                <w:szCs w:val="22"/>
              </w:rPr>
            </w:pPr>
            <w:r>
              <w:rPr>
                <w:rFonts w:hint="eastAsia"/>
                <w:color w:val="000000"/>
                <w:sz w:val="22"/>
                <w:szCs w:val="22"/>
              </w:rPr>
              <w:t>330</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7C7806A">
            <w:pPr>
              <w:jc w:val="center"/>
              <w:rPr>
                <w:rFonts w:ascii="宋体" w:hAnsi="宋体" w:cs="宋体"/>
                <w:color w:val="000000"/>
                <w:sz w:val="22"/>
                <w:szCs w:val="22"/>
              </w:rPr>
            </w:pPr>
            <w:r>
              <w:rPr>
                <w:rFonts w:hint="eastAsia"/>
                <w:color w:val="000000"/>
                <w:sz w:val="22"/>
                <w:szCs w:val="22"/>
              </w:rPr>
              <w:t>317</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46F63CF9">
            <w:pPr>
              <w:jc w:val="center"/>
              <w:rPr>
                <w:rFonts w:ascii="宋体" w:hAnsi="宋体" w:cs="宋体"/>
                <w:color w:val="000000"/>
                <w:sz w:val="22"/>
                <w:szCs w:val="22"/>
              </w:rPr>
            </w:pPr>
            <w:r>
              <w:rPr>
                <w:rFonts w:hint="eastAsia"/>
                <w:color w:val="000000"/>
                <w:sz w:val="22"/>
                <w:szCs w:val="22"/>
              </w:rPr>
              <w:t>317</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43C0CCB">
            <w:pPr>
              <w:jc w:val="center"/>
              <w:rPr>
                <w:rFonts w:ascii="宋体" w:hAnsi="宋体" w:cs="宋体"/>
                <w:color w:val="000000"/>
                <w:sz w:val="22"/>
                <w:szCs w:val="22"/>
              </w:rPr>
            </w:pPr>
            <w:r>
              <w:rPr>
                <w:rFonts w:hint="eastAsia"/>
                <w:color w:val="000000"/>
                <w:sz w:val="22"/>
                <w:szCs w:val="22"/>
              </w:rPr>
              <w:t>307</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3AC3F2B8">
            <w:pPr>
              <w:jc w:val="center"/>
              <w:rPr>
                <w:rFonts w:ascii="宋体" w:hAnsi="宋体" w:cs="宋体"/>
                <w:color w:val="000000"/>
                <w:sz w:val="22"/>
                <w:szCs w:val="22"/>
              </w:rPr>
            </w:pPr>
            <w:r>
              <w:rPr>
                <w:rFonts w:hint="eastAsia"/>
                <w:color w:val="000000"/>
                <w:sz w:val="22"/>
                <w:szCs w:val="22"/>
              </w:rPr>
              <w:t>307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B6860EE">
            <w:pPr>
              <w:jc w:val="center"/>
              <w:rPr>
                <w:rFonts w:ascii="宋体" w:hAnsi="宋体" w:cs="宋体"/>
                <w:color w:val="000000"/>
                <w:sz w:val="22"/>
                <w:szCs w:val="22"/>
              </w:rPr>
            </w:pPr>
            <w:r>
              <w:rPr>
                <w:rFonts w:hint="eastAsia"/>
                <w:color w:val="000000"/>
                <w:sz w:val="22"/>
                <w:szCs w:val="22"/>
              </w:rPr>
              <w:t>297</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01EF1C43">
            <w:pPr>
              <w:jc w:val="center"/>
              <w:rPr>
                <w:rFonts w:ascii="宋体" w:hAnsi="宋体" w:cs="宋体"/>
                <w:color w:val="000000"/>
                <w:sz w:val="22"/>
                <w:szCs w:val="22"/>
              </w:rPr>
            </w:pPr>
            <w:r>
              <w:rPr>
                <w:rFonts w:hint="eastAsia"/>
                <w:color w:val="000000"/>
                <w:sz w:val="22"/>
                <w:szCs w:val="22"/>
              </w:rPr>
              <w:t>281</w:t>
            </w:r>
          </w:p>
        </w:tc>
      </w:tr>
      <w:tr w14:paraId="6CC8D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573F5A2F">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98D1377">
            <w:pPr>
              <w:widowControl w:val="0"/>
              <w:spacing w:line="300" w:lineRule="exact"/>
              <w:jc w:val="center"/>
              <w:rPr>
                <w:rFonts w:eastAsia="楷体_GB2312"/>
                <w:szCs w:val="21"/>
              </w:rPr>
            </w:pPr>
            <w:r>
              <w:rPr>
                <w:rFonts w:eastAsia="楷体_GB2312"/>
                <w:szCs w:val="21"/>
              </w:rPr>
              <w:t>二级地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B547352">
            <w:pPr>
              <w:jc w:val="center"/>
              <w:rPr>
                <w:rFonts w:ascii="宋体" w:hAnsi="宋体" w:cs="宋体"/>
                <w:color w:val="000000"/>
                <w:sz w:val="22"/>
                <w:szCs w:val="22"/>
              </w:rPr>
            </w:pPr>
            <w:r>
              <w:rPr>
                <w:rFonts w:hint="eastAsia"/>
                <w:color w:val="000000"/>
                <w:sz w:val="22"/>
                <w:szCs w:val="22"/>
              </w:rPr>
              <w:t>273</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8213F85">
            <w:pPr>
              <w:jc w:val="center"/>
              <w:rPr>
                <w:rFonts w:ascii="宋体" w:hAnsi="宋体" w:cs="宋体"/>
                <w:color w:val="000000"/>
                <w:sz w:val="22"/>
                <w:szCs w:val="22"/>
              </w:rPr>
            </w:pPr>
            <w:r>
              <w:rPr>
                <w:rFonts w:hint="eastAsia"/>
                <w:color w:val="000000"/>
                <w:sz w:val="22"/>
                <w:szCs w:val="22"/>
              </w:rPr>
              <w:t>260</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6F351B6">
            <w:pPr>
              <w:jc w:val="center"/>
              <w:rPr>
                <w:rFonts w:ascii="宋体" w:hAnsi="宋体" w:cs="宋体"/>
                <w:color w:val="000000"/>
                <w:sz w:val="22"/>
                <w:szCs w:val="22"/>
              </w:rPr>
            </w:pPr>
            <w:r>
              <w:rPr>
                <w:rFonts w:hint="eastAsia"/>
                <w:color w:val="000000"/>
                <w:sz w:val="22"/>
                <w:szCs w:val="22"/>
              </w:rPr>
              <w:t>250</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7C33A76A">
            <w:pPr>
              <w:jc w:val="center"/>
              <w:rPr>
                <w:rFonts w:ascii="宋体" w:hAnsi="宋体" w:cs="宋体"/>
                <w:color w:val="000000"/>
                <w:sz w:val="22"/>
                <w:szCs w:val="22"/>
              </w:rPr>
            </w:pPr>
            <w:r>
              <w:rPr>
                <w:rFonts w:hint="eastAsia"/>
                <w:color w:val="000000"/>
                <w:sz w:val="22"/>
                <w:szCs w:val="22"/>
              </w:rPr>
              <w:t>250</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41E7D1B">
            <w:pPr>
              <w:jc w:val="center"/>
              <w:rPr>
                <w:rFonts w:ascii="宋体" w:hAnsi="宋体" w:cs="宋体"/>
                <w:color w:val="000000"/>
                <w:sz w:val="22"/>
                <w:szCs w:val="22"/>
              </w:rPr>
            </w:pPr>
            <w:r>
              <w:rPr>
                <w:rFonts w:hint="eastAsia"/>
                <w:color w:val="000000"/>
                <w:sz w:val="22"/>
                <w:szCs w:val="22"/>
              </w:rPr>
              <w:t>242</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02AAD9C7">
            <w:pPr>
              <w:jc w:val="center"/>
              <w:rPr>
                <w:rFonts w:ascii="宋体" w:hAnsi="宋体" w:cs="宋体"/>
                <w:color w:val="000000"/>
                <w:sz w:val="22"/>
                <w:szCs w:val="22"/>
              </w:rPr>
            </w:pPr>
            <w:r>
              <w:rPr>
                <w:rFonts w:hint="eastAsia"/>
                <w:color w:val="000000"/>
                <w:sz w:val="22"/>
                <w:szCs w:val="22"/>
              </w:rPr>
              <w:t>242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C3DC126">
            <w:pPr>
              <w:jc w:val="center"/>
              <w:rPr>
                <w:rFonts w:ascii="宋体" w:hAnsi="宋体" w:cs="宋体"/>
                <w:color w:val="000000"/>
                <w:sz w:val="22"/>
                <w:szCs w:val="22"/>
              </w:rPr>
            </w:pPr>
            <w:r>
              <w:rPr>
                <w:rFonts w:hint="eastAsia"/>
                <w:color w:val="000000"/>
                <w:sz w:val="22"/>
                <w:szCs w:val="22"/>
              </w:rPr>
              <w:t>234</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7ABA8B5F">
            <w:pPr>
              <w:jc w:val="center"/>
              <w:rPr>
                <w:rFonts w:ascii="宋体" w:hAnsi="宋体" w:cs="宋体"/>
                <w:color w:val="000000"/>
                <w:sz w:val="22"/>
                <w:szCs w:val="22"/>
              </w:rPr>
            </w:pPr>
            <w:r>
              <w:rPr>
                <w:rFonts w:hint="eastAsia"/>
                <w:color w:val="000000"/>
                <w:sz w:val="22"/>
                <w:szCs w:val="22"/>
              </w:rPr>
              <w:t>221</w:t>
            </w:r>
          </w:p>
        </w:tc>
      </w:tr>
      <w:tr w14:paraId="2E788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24F2C8A3">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7B64D31">
            <w:pPr>
              <w:widowControl w:val="0"/>
              <w:spacing w:line="300" w:lineRule="exact"/>
              <w:jc w:val="center"/>
              <w:rPr>
                <w:rFonts w:eastAsia="楷体_GB2312"/>
                <w:szCs w:val="21"/>
              </w:rPr>
            </w:pPr>
            <w:r>
              <w:rPr>
                <w:rFonts w:eastAsia="楷体_GB2312"/>
                <w:szCs w:val="21"/>
              </w:rPr>
              <w:t>三级地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69C03E1">
            <w:pPr>
              <w:jc w:val="center"/>
              <w:rPr>
                <w:rFonts w:ascii="宋体" w:hAnsi="宋体" w:cs="宋体"/>
                <w:color w:val="000000"/>
                <w:sz w:val="22"/>
                <w:szCs w:val="22"/>
              </w:rPr>
            </w:pPr>
            <w:r>
              <w:rPr>
                <w:rFonts w:hint="eastAsia"/>
                <w:color w:val="000000"/>
                <w:sz w:val="22"/>
                <w:szCs w:val="22"/>
              </w:rPr>
              <w:t>216</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545E8C2">
            <w:pPr>
              <w:jc w:val="center"/>
              <w:rPr>
                <w:rFonts w:ascii="宋体" w:hAnsi="宋体" w:cs="宋体"/>
                <w:color w:val="000000"/>
                <w:sz w:val="22"/>
                <w:szCs w:val="22"/>
              </w:rPr>
            </w:pPr>
            <w:r>
              <w:rPr>
                <w:rFonts w:hint="eastAsia"/>
                <w:color w:val="000000"/>
                <w:sz w:val="22"/>
                <w:szCs w:val="22"/>
              </w:rPr>
              <w:t>206</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314109D">
            <w:pPr>
              <w:jc w:val="center"/>
              <w:rPr>
                <w:rFonts w:ascii="宋体" w:hAnsi="宋体" w:cs="宋体"/>
                <w:color w:val="000000"/>
                <w:sz w:val="22"/>
                <w:szCs w:val="22"/>
              </w:rPr>
            </w:pPr>
            <w:r>
              <w:rPr>
                <w:rFonts w:hint="eastAsia"/>
                <w:color w:val="000000"/>
                <w:sz w:val="22"/>
                <w:szCs w:val="22"/>
              </w:rPr>
              <w:t>198</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270418A1">
            <w:pPr>
              <w:jc w:val="center"/>
              <w:rPr>
                <w:rFonts w:ascii="宋体" w:hAnsi="宋体" w:cs="宋体"/>
                <w:color w:val="000000"/>
                <w:sz w:val="22"/>
                <w:szCs w:val="22"/>
              </w:rPr>
            </w:pPr>
            <w:r>
              <w:rPr>
                <w:rFonts w:hint="eastAsia"/>
                <w:color w:val="000000"/>
                <w:sz w:val="22"/>
                <w:szCs w:val="22"/>
              </w:rPr>
              <w:t>198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218993F">
            <w:pPr>
              <w:jc w:val="center"/>
              <w:rPr>
                <w:rFonts w:ascii="宋体" w:hAnsi="宋体" w:cs="宋体"/>
                <w:color w:val="000000"/>
                <w:sz w:val="22"/>
                <w:szCs w:val="22"/>
              </w:rPr>
            </w:pPr>
            <w:r>
              <w:rPr>
                <w:rFonts w:hint="eastAsia"/>
                <w:color w:val="000000"/>
                <w:sz w:val="22"/>
                <w:szCs w:val="22"/>
              </w:rPr>
              <w:t>192</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4875F102">
            <w:pPr>
              <w:jc w:val="center"/>
              <w:rPr>
                <w:rFonts w:ascii="宋体" w:hAnsi="宋体" w:cs="宋体"/>
                <w:color w:val="000000"/>
                <w:sz w:val="22"/>
                <w:szCs w:val="22"/>
              </w:rPr>
            </w:pPr>
            <w:r>
              <w:rPr>
                <w:rFonts w:hint="eastAsia"/>
                <w:color w:val="000000"/>
                <w:sz w:val="22"/>
                <w:szCs w:val="22"/>
              </w:rPr>
              <w:t>192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E81FB70">
            <w:pPr>
              <w:jc w:val="center"/>
              <w:rPr>
                <w:rFonts w:ascii="宋体" w:hAnsi="宋体" w:cs="宋体"/>
                <w:color w:val="000000"/>
                <w:sz w:val="22"/>
                <w:szCs w:val="22"/>
              </w:rPr>
            </w:pPr>
            <w:r>
              <w:rPr>
                <w:rFonts w:hint="eastAsia"/>
                <w:color w:val="000000"/>
                <w:sz w:val="22"/>
                <w:szCs w:val="22"/>
              </w:rPr>
              <w:t>185</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1C6090BC">
            <w:pPr>
              <w:jc w:val="center"/>
              <w:rPr>
                <w:rFonts w:ascii="宋体" w:hAnsi="宋体" w:cs="宋体"/>
                <w:color w:val="000000"/>
                <w:sz w:val="22"/>
                <w:szCs w:val="22"/>
              </w:rPr>
            </w:pPr>
            <w:r>
              <w:rPr>
                <w:rFonts w:hint="eastAsia"/>
                <w:color w:val="000000"/>
                <w:sz w:val="22"/>
                <w:szCs w:val="22"/>
              </w:rPr>
              <w:t>175</w:t>
            </w:r>
          </w:p>
        </w:tc>
      </w:tr>
      <w:tr w14:paraId="5ECB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5EC114BA">
            <w:pPr>
              <w:widowControl w:val="0"/>
              <w:spacing w:line="300" w:lineRule="exact"/>
              <w:jc w:val="center"/>
              <w:rPr>
                <w:rFonts w:eastAsia="楷体_GB2312"/>
                <w:szCs w:val="21"/>
              </w:rPr>
            </w:pPr>
            <w:r>
              <w:rPr>
                <w:rFonts w:hint="eastAsia" w:eastAsia="楷体_GB2312"/>
                <w:szCs w:val="21"/>
              </w:rPr>
              <w:t>桃园镇</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7E6220C">
            <w:pPr>
              <w:widowControl w:val="0"/>
              <w:spacing w:line="300" w:lineRule="exact"/>
              <w:jc w:val="center"/>
              <w:rPr>
                <w:rFonts w:eastAsia="楷体_GB2312"/>
                <w:szCs w:val="21"/>
              </w:rPr>
            </w:pPr>
            <w:r>
              <w:rPr>
                <w:rFonts w:eastAsia="楷体_GB2312"/>
                <w:szCs w:val="21"/>
              </w:rPr>
              <w:t>一级地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8E9D3FD">
            <w:pPr>
              <w:jc w:val="center"/>
              <w:rPr>
                <w:rFonts w:ascii="宋体" w:hAnsi="宋体" w:cs="宋体"/>
                <w:color w:val="000000"/>
                <w:sz w:val="22"/>
                <w:szCs w:val="22"/>
              </w:rPr>
            </w:pPr>
            <w:r>
              <w:rPr>
                <w:rFonts w:hint="eastAsia"/>
                <w:color w:val="000000"/>
                <w:sz w:val="22"/>
                <w:szCs w:val="22"/>
              </w:rPr>
              <w:t>335</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B6AEF68">
            <w:pPr>
              <w:jc w:val="center"/>
              <w:rPr>
                <w:rFonts w:ascii="宋体" w:hAnsi="宋体" w:cs="宋体"/>
                <w:color w:val="000000"/>
                <w:sz w:val="22"/>
                <w:szCs w:val="22"/>
              </w:rPr>
            </w:pPr>
            <w:r>
              <w:rPr>
                <w:rFonts w:hint="eastAsia"/>
                <w:color w:val="000000"/>
                <w:sz w:val="22"/>
                <w:szCs w:val="22"/>
              </w:rPr>
              <w:t>319</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A9DE2D0">
            <w:pPr>
              <w:jc w:val="center"/>
              <w:rPr>
                <w:rFonts w:ascii="宋体" w:hAnsi="宋体" w:cs="宋体"/>
                <w:color w:val="000000"/>
                <w:sz w:val="22"/>
                <w:szCs w:val="22"/>
              </w:rPr>
            </w:pPr>
            <w:r>
              <w:rPr>
                <w:rFonts w:hint="eastAsia"/>
                <w:color w:val="000000"/>
                <w:sz w:val="22"/>
                <w:szCs w:val="22"/>
              </w:rPr>
              <w:t>306</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6C905BA0">
            <w:pPr>
              <w:jc w:val="center"/>
              <w:rPr>
                <w:rFonts w:ascii="宋体" w:hAnsi="宋体" w:cs="宋体"/>
                <w:color w:val="000000"/>
                <w:sz w:val="22"/>
                <w:szCs w:val="22"/>
              </w:rPr>
            </w:pPr>
            <w:r>
              <w:rPr>
                <w:rFonts w:hint="eastAsia"/>
                <w:color w:val="000000"/>
                <w:sz w:val="22"/>
                <w:szCs w:val="22"/>
              </w:rPr>
              <w:t>306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9E25FA9">
            <w:pPr>
              <w:jc w:val="center"/>
              <w:rPr>
                <w:rFonts w:ascii="宋体" w:hAnsi="宋体" w:cs="宋体"/>
                <w:color w:val="000000"/>
                <w:sz w:val="22"/>
                <w:szCs w:val="22"/>
              </w:rPr>
            </w:pPr>
            <w:r>
              <w:rPr>
                <w:rFonts w:hint="eastAsia"/>
                <w:color w:val="000000"/>
                <w:sz w:val="22"/>
                <w:szCs w:val="22"/>
              </w:rPr>
              <w:t>297</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00848808">
            <w:pPr>
              <w:jc w:val="center"/>
              <w:rPr>
                <w:rFonts w:ascii="宋体" w:hAnsi="宋体" w:cs="宋体"/>
                <w:color w:val="000000"/>
                <w:sz w:val="22"/>
                <w:szCs w:val="22"/>
              </w:rPr>
            </w:pPr>
            <w:r>
              <w:rPr>
                <w:rFonts w:hint="eastAsia"/>
                <w:color w:val="000000"/>
                <w:sz w:val="22"/>
                <w:szCs w:val="22"/>
              </w:rPr>
              <w:t>297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7F01866">
            <w:pPr>
              <w:jc w:val="center"/>
              <w:rPr>
                <w:rFonts w:ascii="宋体" w:hAnsi="宋体" w:cs="宋体"/>
                <w:color w:val="000000"/>
                <w:sz w:val="22"/>
                <w:szCs w:val="22"/>
              </w:rPr>
            </w:pPr>
            <w:r>
              <w:rPr>
                <w:rFonts w:hint="eastAsia"/>
                <w:color w:val="000000"/>
                <w:sz w:val="22"/>
                <w:szCs w:val="22"/>
              </w:rPr>
              <w:t>287</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7BCDE2D2">
            <w:pPr>
              <w:jc w:val="center"/>
              <w:rPr>
                <w:rFonts w:ascii="宋体" w:hAnsi="宋体" w:cs="宋体"/>
                <w:color w:val="000000"/>
                <w:sz w:val="22"/>
                <w:szCs w:val="22"/>
              </w:rPr>
            </w:pPr>
            <w:r>
              <w:rPr>
                <w:rFonts w:hint="eastAsia"/>
                <w:color w:val="000000"/>
                <w:sz w:val="22"/>
                <w:szCs w:val="22"/>
              </w:rPr>
              <w:t>271</w:t>
            </w:r>
          </w:p>
        </w:tc>
      </w:tr>
      <w:tr w14:paraId="5A061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31534E2D">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0C28EDF">
            <w:pPr>
              <w:widowControl w:val="0"/>
              <w:spacing w:line="300" w:lineRule="exact"/>
              <w:jc w:val="center"/>
              <w:rPr>
                <w:rFonts w:eastAsia="楷体_GB2312"/>
                <w:szCs w:val="21"/>
              </w:rPr>
            </w:pPr>
            <w:r>
              <w:rPr>
                <w:rFonts w:eastAsia="楷体_GB2312"/>
                <w:szCs w:val="21"/>
              </w:rPr>
              <w:t>二级地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D297639">
            <w:pPr>
              <w:jc w:val="center"/>
              <w:rPr>
                <w:rFonts w:ascii="宋体" w:hAnsi="宋体" w:cs="宋体"/>
                <w:color w:val="000000"/>
                <w:sz w:val="22"/>
                <w:szCs w:val="22"/>
              </w:rPr>
            </w:pPr>
            <w:r>
              <w:rPr>
                <w:rFonts w:hint="eastAsia"/>
                <w:color w:val="000000"/>
                <w:sz w:val="22"/>
                <w:szCs w:val="22"/>
              </w:rPr>
              <w:t>270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C37BBF8">
            <w:pPr>
              <w:jc w:val="center"/>
              <w:rPr>
                <w:rFonts w:ascii="宋体" w:hAnsi="宋体" w:cs="宋体"/>
                <w:color w:val="000000"/>
                <w:sz w:val="22"/>
                <w:szCs w:val="22"/>
              </w:rPr>
            </w:pPr>
            <w:r>
              <w:rPr>
                <w:rFonts w:hint="eastAsia"/>
                <w:color w:val="000000"/>
                <w:sz w:val="22"/>
                <w:szCs w:val="22"/>
              </w:rPr>
              <w:t>257</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5AA329C">
            <w:pPr>
              <w:jc w:val="center"/>
              <w:rPr>
                <w:rFonts w:ascii="宋体" w:hAnsi="宋体" w:cs="宋体"/>
                <w:color w:val="000000"/>
                <w:sz w:val="22"/>
                <w:szCs w:val="22"/>
              </w:rPr>
            </w:pPr>
            <w:r>
              <w:rPr>
                <w:rFonts w:hint="eastAsia"/>
                <w:color w:val="000000"/>
                <w:sz w:val="22"/>
                <w:szCs w:val="22"/>
              </w:rPr>
              <w:t>247</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54C53E1F">
            <w:pPr>
              <w:jc w:val="center"/>
              <w:rPr>
                <w:rFonts w:ascii="宋体" w:hAnsi="宋体" w:cs="宋体"/>
                <w:color w:val="000000"/>
                <w:sz w:val="22"/>
                <w:szCs w:val="22"/>
              </w:rPr>
            </w:pPr>
            <w:r>
              <w:rPr>
                <w:rFonts w:hint="eastAsia"/>
                <w:color w:val="000000"/>
                <w:sz w:val="22"/>
                <w:szCs w:val="22"/>
              </w:rPr>
              <w:t>247</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1567DA3">
            <w:pPr>
              <w:jc w:val="center"/>
              <w:rPr>
                <w:rFonts w:ascii="宋体" w:hAnsi="宋体" w:cs="宋体"/>
                <w:color w:val="000000"/>
                <w:sz w:val="22"/>
                <w:szCs w:val="22"/>
              </w:rPr>
            </w:pPr>
            <w:r>
              <w:rPr>
                <w:rFonts w:hint="eastAsia"/>
                <w:color w:val="000000"/>
                <w:sz w:val="22"/>
                <w:szCs w:val="22"/>
              </w:rPr>
              <w:t>239</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04D42F20">
            <w:pPr>
              <w:jc w:val="center"/>
              <w:rPr>
                <w:rFonts w:ascii="宋体" w:hAnsi="宋体" w:cs="宋体"/>
                <w:color w:val="000000"/>
                <w:sz w:val="22"/>
                <w:szCs w:val="22"/>
              </w:rPr>
            </w:pPr>
            <w:r>
              <w:rPr>
                <w:rFonts w:hint="eastAsia"/>
                <w:color w:val="000000"/>
                <w:sz w:val="22"/>
                <w:szCs w:val="22"/>
              </w:rPr>
              <w:t>239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5B3EF6A">
            <w:pPr>
              <w:jc w:val="center"/>
              <w:rPr>
                <w:rFonts w:ascii="宋体" w:hAnsi="宋体" w:cs="宋体"/>
                <w:color w:val="000000"/>
                <w:sz w:val="22"/>
                <w:szCs w:val="22"/>
              </w:rPr>
            </w:pPr>
            <w:r>
              <w:rPr>
                <w:rFonts w:hint="eastAsia"/>
                <w:color w:val="000000"/>
                <w:sz w:val="22"/>
                <w:szCs w:val="22"/>
              </w:rPr>
              <w:t>231</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0EBDBF27">
            <w:pPr>
              <w:jc w:val="center"/>
              <w:rPr>
                <w:rFonts w:ascii="宋体" w:hAnsi="宋体" w:cs="宋体"/>
                <w:color w:val="000000"/>
                <w:sz w:val="22"/>
                <w:szCs w:val="22"/>
              </w:rPr>
            </w:pPr>
            <w:r>
              <w:rPr>
                <w:rFonts w:hint="eastAsia"/>
                <w:color w:val="000000"/>
                <w:sz w:val="22"/>
                <w:szCs w:val="22"/>
              </w:rPr>
              <w:t>218</w:t>
            </w:r>
          </w:p>
        </w:tc>
      </w:tr>
      <w:tr w14:paraId="225E8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6AAA2880">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C67DA39">
            <w:pPr>
              <w:widowControl w:val="0"/>
              <w:spacing w:line="300" w:lineRule="exact"/>
              <w:jc w:val="center"/>
              <w:rPr>
                <w:rFonts w:eastAsia="楷体_GB2312"/>
                <w:szCs w:val="21"/>
              </w:rPr>
            </w:pPr>
            <w:r>
              <w:rPr>
                <w:rFonts w:eastAsia="楷体_GB2312"/>
                <w:szCs w:val="21"/>
              </w:rPr>
              <w:t>三级地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6FC3872">
            <w:pPr>
              <w:jc w:val="center"/>
              <w:rPr>
                <w:rFonts w:ascii="宋体" w:hAnsi="宋体" w:cs="宋体"/>
                <w:color w:val="000000"/>
                <w:sz w:val="22"/>
                <w:szCs w:val="22"/>
              </w:rPr>
            </w:pPr>
            <w:r>
              <w:rPr>
                <w:rFonts w:hint="eastAsia"/>
                <w:color w:val="000000"/>
                <w:sz w:val="22"/>
                <w:szCs w:val="22"/>
              </w:rPr>
              <w:t>211</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CDAEB48">
            <w:pPr>
              <w:jc w:val="center"/>
              <w:rPr>
                <w:rFonts w:ascii="宋体" w:hAnsi="宋体" w:cs="宋体"/>
                <w:color w:val="000000"/>
                <w:sz w:val="22"/>
                <w:szCs w:val="22"/>
              </w:rPr>
            </w:pPr>
            <w:r>
              <w:rPr>
                <w:rFonts w:hint="eastAsia"/>
                <w:color w:val="000000"/>
                <w:sz w:val="22"/>
                <w:szCs w:val="22"/>
              </w:rPr>
              <w:t>201</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2E3374F">
            <w:pPr>
              <w:jc w:val="center"/>
              <w:rPr>
                <w:rFonts w:ascii="宋体" w:hAnsi="宋体" w:cs="宋体"/>
                <w:color w:val="000000"/>
                <w:sz w:val="22"/>
                <w:szCs w:val="22"/>
              </w:rPr>
            </w:pPr>
            <w:r>
              <w:rPr>
                <w:rFonts w:hint="eastAsia"/>
                <w:color w:val="000000"/>
                <w:sz w:val="22"/>
                <w:szCs w:val="22"/>
              </w:rPr>
              <w:t>193</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5298CB8C">
            <w:pPr>
              <w:jc w:val="center"/>
              <w:rPr>
                <w:rFonts w:ascii="宋体" w:hAnsi="宋体" w:cs="宋体"/>
                <w:color w:val="000000"/>
                <w:sz w:val="22"/>
                <w:szCs w:val="22"/>
              </w:rPr>
            </w:pPr>
            <w:r>
              <w:rPr>
                <w:rFonts w:hint="eastAsia"/>
                <w:color w:val="000000"/>
                <w:sz w:val="22"/>
                <w:szCs w:val="22"/>
              </w:rPr>
              <w:t>193</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9C7D10F">
            <w:pPr>
              <w:jc w:val="center"/>
              <w:rPr>
                <w:rFonts w:ascii="宋体" w:hAnsi="宋体" w:cs="宋体"/>
                <w:color w:val="000000"/>
                <w:sz w:val="22"/>
                <w:szCs w:val="22"/>
              </w:rPr>
            </w:pPr>
            <w:r>
              <w:rPr>
                <w:rFonts w:hint="eastAsia"/>
                <w:color w:val="000000"/>
                <w:sz w:val="22"/>
                <w:szCs w:val="22"/>
              </w:rPr>
              <w:t>187</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0884EC86">
            <w:pPr>
              <w:jc w:val="center"/>
              <w:rPr>
                <w:rFonts w:ascii="宋体" w:hAnsi="宋体" w:cs="宋体"/>
                <w:color w:val="000000"/>
                <w:sz w:val="22"/>
                <w:szCs w:val="22"/>
              </w:rPr>
            </w:pPr>
            <w:r>
              <w:rPr>
                <w:rFonts w:hint="eastAsia"/>
                <w:color w:val="000000"/>
                <w:sz w:val="22"/>
                <w:szCs w:val="22"/>
              </w:rPr>
              <w:t>187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8607F9F">
            <w:pPr>
              <w:jc w:val="center"/>
              <w:rPr>
                <w:rFonts w:ascii="宋体" w:hAnsi="宋体" w:cs="宋体"/>
                <w:color w:val="000000"/>
                <w:sz w:val="22"/>
                <w:szCs w:val="22"/>
              </w:rPr>
            </w:pPr>
            <w:r>
              <w:rPr>
                <w:rFonts w:hint="eastAsia"/>
                <w:color w:val="000000"/>
                <w:sz w:val="22"/>
                <w:szCs w:val="22"/>
              </w:rPr>
              <w:t>181</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1A2A0C1E">
            <w:pPr>
              <w:jc w:val="center"/>
              <w:rPr>
                <w:rFonts w:ascii="宋体" w:hAnsi="宋体" w:cs="宋体"/>
                <w:color w:val="000000"/>
                <w:sz w:val="22"/>
                <w:szCs w:val="22"/>
              </w:rPr>
            </w:pPr>
            <w:r>
              <w:rPr>
                <w:rFonts w:hint="eastAsia"/>
                <w:color w:val="000000"/>
                <w:sz w:val="22"/>
                <w:szCs w:val="22"/>
              </w:rPr>
              <w:t>171</w:t>
            </w:r>
          </w:p>
        </w:tc>
      </w:tr>
      <w:tr w14:paraId="2BA5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121E7705">
            <w:pPr>
              <w:widowControl w:val="0"/>
              <w:spacing w:line="300" w:lineRule="exact"/>
              <w:jc w:val="center"/>
              <w:rPr>
                <w:rFonts w:eastAsia="楷体_GB2312"/>
                <w:szCs w:val="21"/>
              </w:rPr>
            </w:pPr>
            <w:r>
              <w:rPr>
                <w:rFonts w:hint="eastAsia" w:eastAsia="楷体_GB2312"/>
                <w:szCs w:val="21"/>
              </w:rPr>
              <w:t>曹村镇</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617BEE0">
            <w:pPr>
              <w:widowControl w:val="0"/>
              <w:spacing w:line="300" w:lineRule="exact"/>
              <w:jc w:val="center"/>
              <w:rPr>
                <w:rFonts w:eastAsia="楷体_GB2312"/>
                <w:szCs w:val="21"/>
              </w:rPr>
            </w:pPr>
            <w:r>
              <w:rPr>
                <w:rFonts w:eastAsia="楷体_GB2312"/>
                <w:szCs w:val="21"/>
              </w:rPr>
              <w:t>一级地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18974A1">
            <w:pPr>
              <w:jc w:val="center"/>
              <w:rPr>
                <w:rFonts w:ascii="宋体" w:hAnsi="宋体" w:cs="宋体"/>
                <w:color w:val="000000"/>
                <w:sz w:val="22"/>
                <w:szCs w:val="22"/>
              </w:rPr>
            </w:pPr>
            <w:r>
              <w:rPr>
                <w:rFonts w:hint="eastAsia"/>
                <w:color w:val="000000"/>
                <w:sz w:val="22"/>
                <w:szCs w:val="22"/>
              </w:rPr>
              <w:t>329</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5742497">
            <w:pPr>
              <w:jc w:val="center"/>
              <w:rPr>
                <w:rFonts w:ascii="宋体" w:hAnsi="宋体" w:cs="宋体"/>
                <w:color w:val="000000"/>
                <w:sz w:val="22"/>
                <w:szCs w:val="22"/>
              </w:rPr>
            </w:pPr>
            <w:r>
              <w:rPr>
                <w:rFonts w:hint="eastAsia"/>
                <w:color w:val="000000"/>
                <w:sz w:val="22"/>
                <w:szCs w:val="22"/>
              </w:rPr>
              <w:t>313</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0679BEA">
            <w:pPr>
              <w:jc w:val="center"/>
              <w:rPr>
                <w:rFonts w:ascii="宋体" w:hAnsi="宋体" w:cs="宋体"/>
                <w:color w:val="000000"/>
                <w:sz w:val="22"/>
                <w:szCs w:val="22"/>
              </w:rPr>
            </w:pPr>
            <w:r>
              <w:rPr>
                <w:rFonts w:hint="eastAsia"/>
                <w:color w:val="000000"/>
                <w:sz w:val="22"/>
                <w:szCs w:val="22"/>
              </w:rPr>
              <w:t>300</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0EB1E0BE">
            <w:pPr>
              <w:jc w:val="center"/>
              <w:rPr>
                <w:rFonts w:ascii="宋体" w:hAnsi="宋体" w:cs="宋体"/>
                <w:color w:val="000000"/>
                <w:sz w:val="22"/>
                <w:szCs w:val="22"/>
              </w:rPr>
            </w:pPr>
            <w:r>
              <w:rPr>
                <w:rFonts w:hint="eastAsia"/>
                <w:color w:val="000000"/>
                <w:sz w:val="22"/>
                <w:szCs w:val="22"/>
              </w:rPr>
              <w:t>300</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6CF6ED1">
            <w:pPr>
              <w:jc w:val="center"/>
              <w:rPr>
                <w:rFonts w:ascii="宋体" w:hAnsi="宋体" w:cs="宋体"/>
                <w:color w:val="000000"/>
                <w:sz w:val="22"/>
                <w:szCs w:val="22"/>
              </w:rPr>
            </w:pPr>
            <w:r>
              <w:rPr>
                <w:rFonts w:hint="eastAsia"/>
                <w:color w:val="000000"/>
                <w:sz w:val="22"/>
                <w:szCs w:val="22"/>
              </w:rPr>
              <w:t>291</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4EAB1AB7">
            <w:pPr>
              <w:jc w:val="center"/>
              <w:rPr>
                <w:rFonts w:ascii="宋体" w:hAnsi="宋体" w:cs="宋体"/>
                <w:color w:val="000000"/>
                <w:sz w:val="22"/>
                <w:szCs w:val="22"/>
              </w:rPr>
            </w:pPr>
            <w:r>
              <w:rPr>
                <w:rFonts w:hint="eastAsia"/>
                <w:color w:val="000000"/>
                <w:sz w:val="22"/>
                <w:szCs w:val="22"/>
              </w:rPr>
              <w:t>291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A106EDB">
            <w:pPr>
              <w:jc w:val="center"/>
              <w:rPr>
                <w:rFonts w:ascii="宋体" w:hAnsi="宋体" w:cs="宋体"/>
                <w:color w:val="000000"/>
                <w:sz w:val="22"/>
                <w:szCs w:val="22"/>
              </w:rPr>
            </w:pPr>
            <w:r>
              <w:rPr>
                <w:rFonts w:hint="eastAsia"/>
                <w:color w:val="000000"/>
                <w:sz w:val="22"/>
                <w:szCs w:val="22"/>
              </w:rPr>
              <w:t>282</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3A8CC75E">
            <w:pPr>
              <w:jc w:val="center"/>
              <w:rPr>
                <w:rFonts w:ascii="宋体" w:hAnsi="宋体" w:cs="宋体"/>
                <w:color w:val="000000"/>
                <w:sz w:val="22"/>
                <w:szCs w:val="22"/>
              </w:rPr>
            </w:pPr>
            <w:r>
              <w:rPr>
                <w:rFonts w:hint="eastAsia"/>
                <w:color w:val="000000"/>
                <w:sz w:val="22"/>
                <w:szCs w:val="22"/>
              </w:rPr>
              <w:t>266</w:t>
            </w:r>
          </w:p>
        </w:tc>
      </w:tr>
      <w:tr w14:paraId="24EC1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418AC11D">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CA4E61D">
            <w:pPr>
              <w:widowControl w:val="0"/>
              <w:spacing w:line="300" w:lineRule="exact"/>
              <w:jc w:val="center"/>
              <w:rPr>
                <w:rFonts w:eastAsia="楷体_GB2312"/>
                <w:szCs w:val="21"/>
              </w:rPr>
            </w:pPr>
            <w:r>
              <w:rPr>
                <w:rFonts w:eastAsia="楷体_GB2312"/>
                <w:szCs w:val="21"/>
              </w:rPr>
              <w:t>二级地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0309386">
            <w:pPr>
              <w:jc w:val="center"/>
              <w:rPr>
                <w:rFonts w:ascii="宋体" w:hAnsi="宋体" w:cs="宋体"/>
                <w:color w:val="000000"/>
                <w:sz w:val="22"/>
                <w:szCs w:val="22"/>
              </w:rPr>
            </w:pPr>
            <w:r>
              <w:rPr>
                <w:rFonts w:hint="eastAsia"/>
                <w:color w:val="000000"/>
                <w:sz w:val="22"/>
                <w:szCs w:val="22"/>
              </w:rPr>
              <w:t>270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7C7A713">
            <w:pPr>
              <w:jc w:val="center"/>
              <w:rPr>
                <w:rFonts w:ascii="宋体" w:hAnsi="宋体" w:cs="宋体"/>
                <w:color w:val="000000"/>
                <w:sz w:val="22"/>
                <w:szCs w:val="22"/>
              </w:rPr>
            </w:pPr>
            <w:r>
              <w:rPr>
                <w:rFonts w:hint="eastAsia"/>
                <w:color w:val="000000"/>
                <w:sz w:val="22"/>
                <w:szCs w:val="22"/>
              </w:rPr>
              <w:t>257</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A3391F8">
            <w:pPr>
              <w:jc w:val="center"/>
              <w:rPr>
                <w:rFonts w:ascii="宋体" w:hAnsi="宋体" w:cs="宋体"/>
                <w:color w:val="000000"/>
                <w:sz w:val="22"/>
                <w:szCs w:val="22"/>
              </w:rPr>
            </w:pPr>
            <w:r>
              <w:rPr>
                <w:rFonts w:hint="eastAsia"/>
                <w:color w:val="000000"/>
                <w:sz w:val="22"/>
                <w:szCs w:val="22"/>
              </w:rPr>
              <w:t>247</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69D0A975">
            <w:pPr>
              <w:jc w:val="center"/>
              <w:rPr>
                <w:rFonts w:ascii="宋体" w:hAnsi="宋体" w:cs="宋体"/>
                <w:color w:val="000000"/>
                <w:sz w:val="22"/>
                <w:szCs w:val="22"/>
              </w:rPr>
            </w:pPr>
            <w:r>
              <w:rPr>
                <w:rFonts w:hint="eastAsia"/>
                <w:color w:val="000000"/>
                <w:sz w:val="22"/>
                <w:szCs w:val="22"/>
              </w:rPr>
              <w:t>247</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4267E31">
            <w:pPr>
              <w:jc w:val="center"/>
              <w:rPr>
                <w:rFonts w:ascii="宋体" w:hAnsi="宋体" w:cs="宋体"/>
                <w:color w:val="000000"/>
                <w:sz w:val="22"/>
                <w:szCs w:val="22"/>
              </w:rPr>
            </w:pPr>
            <w:r>
              <w:rPr>
                <w:rFonts w:hint="eastAsia"/>
                <w:color w:val="000000"/>
                <w:sz w:val="22"/>
                <w:szCs w:val="22"/>
              </w:rPr>
              <w:t>239</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567EFBD6">
            <w:pPr>
              <w:jc w:val="center"/>
              <w:rPr>
                <w:rFonts w:ascii="宋体" w:hAnsi="宋体" w:cs="宋体"/>
                <w:color w:val="000000"/>
                <w:sz w:val="22"/>
                <w:szCs w:val="22"/>
              </w:rPr>
            </w:pPr>
            <w:r>
              <w:rPr>
                <w:rFonts w:hint="eastAsia"/>
                <w:color w:val="000000"/>
                <w:sz w:val="22"/>
                <w:szCs w:val="22"/>
              </w:rPr>
              <w:t>239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BD72FDB">
            <w:pPr>
              <w:jc w:val="center"/>
              <w:rPr>
                <w:rFonts w:ascii="宋体" w:hAnsi="宋体" w:cs="宋体"/>
                <w:color w:val="000000"/>
                <w:sz w:val="22"/>
                <w:szCs w:val="22"/>
              </w:rPr>
            </w:pPr>
            <w:r>
              <w:rPr>
                <w:rFonts w:hint="eastAsia"/>
                <w:color w:val="000000"/>
                <w:sz w:val="22"/>
                <w:szCs w:val="22"/>
              </w:rPr>
              <w:t>231</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3FDA4516">
            <w:pPr>
              <w:jc w:val="center"/>
              <w:rPr>
                <w:rFonts w:ascii="宋体" w:hAnsi="宋体" w:cs="宋体"/>
                <w:color w:val="000000"/>
                <w:sz w:val="22"/>
                <w:szCs w:val="22"/>
              </w:rPr>
            </w:pPr>
            <w:r>
              <w:rPr>
                <w:rFonts w:hint="eastAsia"/>
                <w:color w:val="000000"/>
                <w:sz w:val="22"/>
                <w:szCs w:val="22"/>
              </w:rPr>
              <w:t>218</w:t>
            </w:r>
          </w:p>
        </w:tc>
      </w:tr>
      <w:tr w14:paraId="6E8B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6B32EEAE">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2CA20BEC">
            <w:pPr>
              <w:widowControl w:val="0"/>
              <w:spacing w:line="300" w:lineRule="exact"/>
              <w:jc w:val="center"/>
              <w:rPr>
                <w:rFonts w:eastAsia="楷体_GB2312"/>
                <w:szCs w:val="21"/>
              </w:rPr>
            </w:pPr>
            <w:r>
              <w:rPr>
                <w:rFonts w:eastAsia="楷体_GB2312"/>
                <w:szCs w:val="21"/>
              </w:rPr>
              <w:t>三级地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2B8A69F">
            <w:pPr>
              <w:jc w:val="center"/>
              <w:rPr>
                <w:rFonts w:ascii="宋体" w:hAnsi="宋体" w:cs="宋体"/>
                <w:color w:val="000000"/>
                <w:sz w:val="22"/>
                <w:szCs w:val="22"/>
              </w:rPr>
            </w:pPr>
            <w:r>
              <w:rPr>
                <w:rFonts w:hint="eastAsia"/>
                <w:color w:val="000000"/>
                <w:sz w:val="22"/>
                <w:szCs w:val="22"/>
              </w:rPr>
              <w:t>211</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06EAFCA">
            <w:pPr>
              <w:jc w:val="center"/>
              <w:rPr>
                <w:rFonts w:ascii="宋体" w:hAnsi="宋体" w:cs="宋体"/>
                <w:color w:val="000000"/>
                <w:sz w:val="22"/>
                <w:szCs w:val="22"/>
              </w:rPr>
            </w:pPr>
            <w:r>
              <w:rPr>
                <w:rFonts w:hint="eastAsia"/>
                <w:color w:val="000000"/>
                <w:sz w:val="22"/>
                <w:szCs w:val="22"/>
              </w:rPr>
              <w:t>201</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72D1EA6">
            <w:pPr>
              <w:jc w:val="center"/>
              <w:rPr>
                <w:rFonts w:ascii="宋体" w:hAnsi="宋体" w:cs="宋体"/>
                <w:color w:val="000000"/>
                <w:sz w:val="22"/>
                <w:szCs w:val="22"/>
              </w:rPr>
            </w:pPr>
            <w:r>
              <w:rPr>
                <w:rFonts w:hint="eastAsia"/>
                <w:color w:val="000000"/>
                <w:sz w:val="22"/>
                <w:szCs w:val="22"/>
              </w:rPr>
              <w:t>193</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69C7BAB9">
            <w:pPr>
              <w:jc w:val="center"/>
              <w:rPr>
                <w:rFonts w:ascii="宋体" w:hAnsi="宋体" w:cs="宋体"/>
                <w:color w:val="000000"/>
                <w:sz w:val="22"/>
                <w:szCs w:val="22"/>
              </w:rPr>
            </w:pPr>
            <w:r>
              <w:rPr>
                <w:rFonts w:hint="eastAsia"/>
                <w:color w:val="000000"/>
                <w:sz w:val="22"/>
                <w:szCs w:val="22"/>
              </w:rPr>
              <w:t>193</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1089A438">
            <w:pPr>
              <w:jc w:val="center"/>
              <w:rPr>
                <w:rFonts w:ascii="宋体" w:hAnsi="宋体" w:cs="宋体"/>
                <w:color w:val="000000"/>
                <w:sz w:val="22"/>
                <w:szCs w:val="22"/>
              </w:rPr>
            </w:pPr>
            <w:r>
              <w:rPr>
                <w:rFonts w:hint="eastAsia"/>
                <w:color w:val="000000"/>
                <w:sz w:val="22"/>
                <w:szCs w:val="22"/>
              </w:rPr>
              <w:t>187</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5891DECF">
            <w:pPr>
              <w:jc w:val="center"/>
              <w:rPr>
                <w:rFonts w:ascii="宋体" w:hAnsi="宋体" w:cs="宋体"/>
                <w:color w:val="000000"/>
                <w:sz w:val="22"/>
                <w:szCs w:val="22"/>
              </w:rPr>
            </w:pPr>
            <w:r>
              <w:rPr>
                <w:rFonts w:hint="eastAsia"/>
                <w:color w:val="000000"/>
                <w:sz w:val="22"/>
                <w:szCs w:val="22"/>
              </w:rPr>
              <w:t>187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6E70714">
            <w:pPr>
              <w:jc w:val="center"/>
              <w:rPr>
                <w:rFonts w:ascii="宋体" w:hAnsi="宋体" w:cs="宋体"/>
                <w:color w:val="000000"/>
                <w:sz w:val="22"/>
                <w:szCs w:val="22"/>
              </w:rPr>
            </w:pPr>
            <w:r>
              <w:rPr>
                <w:rFonts w:hint="eastAsia"/>
                <w:color w:val="000000"/>
                <w:sz w:val="22"/>
                <w:szCs w:val="22"/>
              </w:rPr>
              <w:t>181</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4316EA58">
            <w:pPr>
              <w:jc w:val="center"/>
              <w:rPr>
                <w:rFonts w:ascii="宋体" w:hAnsi="宋体" w:cs="宋体"/>
                <w:color w:val="000000"/>
                <w:sz w:val="22"/>
                <w:szCs w:val="22"/>
              </w:rPr>
            </w:pPr>
            <w:r>
              <w:rPr>
                <w:rFonts w:hint="eastAsia"/>
                <w:color w:val="000000"/>
                <w:sz w:val="22"/>
                <w:szCs w:val="22"/>
              </w:rPr>
              <w:t>171</w:t>
            </w:r>
          </w:p>
        </w:tc>
      </w:tr>
      <w:tr w14:paraId="27FB2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2157075B">
            <w:pPr>
              <w:widowControl w:val="0"/>
              <w:spacing w:line="300" w:lineRule="exact"/>
              <w:jc w:val="center"/>
              <w:rPr>
                <w:rFonts w:eastAsia="楷体_GB2312"/>
                <w:szCs w:val="21"/>
              </w:rPr>
            </w:pPr>
            <w:r>
              <w:rPr>
                <w:rFonts w:hint="eastAsia" w:eastAsia="楷体_GB2312"/>
                <w:szCs w:val="21"/>
              </w:rPr>
              <w:t>大营镇</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D3AC729">
            <w:pPr>
              <w:widowControl w:val="0"/>
              <w:spacing w:line="300" w:lineRule="exact"/>
              <w:jc w:val="center"/>
              <w:rPr>
                <w:rFonts w:eastAsia="楷体_GB2312"/>
                <w:szCs w:val="21"/>
              </w:rPr>
            </w:pPr>
            <w:r>
              <w:rPr>
                <w:rFonts w:eastAsia="楷体_GB2312"/>
                <w:szCs w:val="21"/>
              </w:rPr>
              <w:t>一级地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3DAC2AA">
            <w:pPr>
              <w:jc w:val="center"/>
              <w:rPr>
                <w:rFonts w:ascii="宋体" w:hAnsi="宋体" w:cs="宋体"/>
                <w:color w:val="000000"/>
                <w:sz w:val="22"/>
                <w:szCs w:val="22"/>
              </w:rPr>
            </w:pPr>
            <w:r>
              <w:rPr>
                <w:rFonts w:hint="eastAsia"/>
                <w:color w:val="000000"/>
                <w:sz w:val="22"/>
                <w:szCs w:val="22"/>
              </w:rPr>
              <w:t>330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31C89DC">
            <w:pPr>
              <w:jc w:val="center"/>
              <w:rPr>
                <w:rFonts w:ascii="宋体" w:hAnsi="宋体" w:cs="宋体"/>
                <w:color w:val="000000"/>
                <w:sz w:val="22"/>
                <w:szCs w:val="22"/>
              </w:rPr>
            </w:pPr>
            <w:r>
              <w:rPr>
                <w:rFonts w:hint="eastAsia"/>
                <w:color w:val="000000"/>
                <w:sz w:val="22"/>
                <w:szCs w:val="22"/>
              </w:rPr>
              <w:t>314</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5290C51">
            <w:pPr>
              <w:jc w:val="center"/>
              <w:rPr>
                <w:rFonts w:ascii="宋体" w:hAnsi="宋体" w:cs="宋体"/>
                <w:color w:val="000000"/>
                <w:sz w:val="22"/>
                <w:szCs w:val="22"/>
              </w:rPr>
            </w:pPr>
            <w:r>
              <w:rPr>
                <w:rFonts w:hint="eastAsia"/>
                <w:color w:val="000000"/>
                <w:sz w:val="22"/>
                <w:szCs w:val="22"/>
              </w:rPr>
              <w:t>301</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3966D0F8">
            <w:pPr>
              <w:jc w:val="center"/>
              <w:rPr>
                <w:rFonts w:ascii="宋体" w:hAnsi="宋体" w:cs="宋体"/>
                <w:color w:val="000000"/>
                <w:sz w:val="22"/>
                <w:szCs w:val="22"/>
              </w:rPr>
            </w:pPr>
            <w:r>
              <w:rPr>
                <w:rFonts w:hint="eastAsia"/>
                <w:color w:val="000000"/>
                <w:sz w:val="22"/>
                <w:szCs w:val="22"/>
              </w:rPr>
              <w:t>301</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9E6C01B">
            <w:pPr>
              <w:jc w:val="center"/>
              <w:rPr>
                <w:rFonts w:ascii="宋体" w:hAnsi="宋体" w:cs="宋体"/>
                <w:color w:val="000000"/>
                <w:sz w:val="22"/>
                <w:szCs w:val="22"/>
              </w:rPr>
            </w:pPr>
            <w:r>
              <w:rPr>
                <w:rFonts w:hint="eastAsia"/>
                <w:color w:val="000000"/>
                <w:sz w:val="22"/>
                <w:szCs w:val="22"/>
              </w:rPr>
              <w:t>292</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239196F0">
            <w:pPr>
              <w:jc w:val="center"/>
              <w:rPr>
                <w:rFonts w:ascii="宋体" w:hAnsi="宋体" w:cs="宋体"/>
                <w:color w:val="000000"/>
                <w:sz w:val="22"/>
                <w:szCs w:val="22"/>
              </w:rPr>
            </w:pPr>
            <w:r>
              <w:rPr>
                <w:rFonts w:hint="eastAsia"/>
                <w:color w:val="000000"/>
                <w:sz w:val="22"/>
                <w:szCs w:val="22"/>
              </w:rPr>
              <w:t>292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34FF518">
            <w:pPr>
              <w:jc w:val="center"/>
              <w:rPr>
                <w:rFonts w:ascii="宋体" w:hAnsi="宋体" w:cs="宋体"/>
                <w:color w:val="000000"/>
                <w:sz w:val="22"/>
                <w:szCs w:val="22"/>
              </w:rPr>
            </w:pPr>
            <w:r>
              <w:rPr>
                <w:rFonts w:hint="eastAsia"/>
                <w:color w:val="000000"/>
                <w:sz w:val="22"/>
                <w:szCs w:val="22"/>
              </w:rPr>
              <w:t>283</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40F88AC8">
            <w:pPr>
              <w:jc w:val="center"/>
              <w:rPr>
                <w:rFonts w:ascii="宋体" w:hAnsi="宋体" w:cs="宋体"/>
                <w:color w:val="000000"/>
                <w:sz w:val="22"/>
                <w:szCs w:val="22"/>
              </w:rPr>
            </w:pPr>
            <w:r>
              <w:rPr>
                <w:rFonts w:hint="eastAsia"/>
                <w:color w:val="000000"/>
                <w:sz w:val="22"/>
                <w:szCs w:val="22"/>
              </w:rPr>
              <w:t>267</w:t>
            </w:r>
          </w:p>
        </w:tc>
      </w:tr>
      <w:tr w14:paraId="64B13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1622E854">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929913D">
            <w:pPr>
              <w:widowControl w:val="0"/>
              <w:spacing w:line="300" w:lineRule="exact"/>
              <w:jc w:val="center"/>
              <w:rPr>
                <w:rFonts w:eastAsia="楷体_GB2312"/>
                <w:szCs w:val="21"/>
              </w:rPr>
            </w:pPr>
            <w:r>
              <w:rPr>
                <w:rFonts w:eastAsia="楷体_GB2312"/>
                <w:szCs w:val="21"/>
              </w:rPr>
              <w:t>二级地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F94FB5E">
            <w:pPr>
              <w:jc w:val="center"/>
              <w:rPr>
                <w:rFonts w:ascii="宋体" w:hAnsi="宋体" w:cs="宋体"/>
                <w:color w:val="000000"/>
                <w:sz w:val="22"/>
                <w:szCs w:val="22"/>
              </w:rPr>
            </w:pPr>
            <w:r>
              <w:rPr>
                <w:rFonts w:hint="eastAsia"/>
                <w:color w:val="000000"/>
                <w:sz w:val="22"/>
                <w:szCs w:val="22"/>
              </w:rPr>
              <w:t>265</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FF3FA3E">
            <w:pPr>
              <w:jc w:val="center"/>
              <w:rPr>
                <w:rFonts w:ascii="宋体" w:hAnsi="宋体" w:cs="宋体"/>
                <w:color w:val="000000"/>
                <w:sz w:val="22"/>
                <w:szCs w:val="22"/>
              </w:rPr>
            </w:pPr>
            <w:r>
              <w:rPr>
                <w:rFonts w:hint="eastAsia"/>
                <w:color w:val="000000"/>
                <w:sz w:val="22"/>
                <w:szCs w:val="22"/>
              </w:rPr>
              <w:t>252</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A93757F">
            <w:pPr>
              <w:jc w:val="center"/>
              <w:rPr>
                <w:rFonts w:ascii="宋体" w:hAnsi="宋体" w:cs="宋体"/>
                <w:color w:val="000000"/>
                <w:sz w:val="22"/>
                <w:szCs w:val="22"/>
              </w:rPr>
            </w:pPr>
            <w:r>
              <w:rPr>
                <w:rFonts w:hint="eastAsia"/>
                <w:color w:val="000000"/>
                <w:sz w:val="22"/>
                <w:szCs w:val="22"/>
              </w:rPr>
              <w:t>242</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1C131E06">
            <w:pPr>
              <w:jc w:val="center"/>
              <w:rPr>
                <w:rFonts w:ascii="宋体" w:hAnsi="宋体" w:cs="宋体"/>
                <w:color w:val="000000"/>
                <w:sz w:val="22"/>
                <w:szCs w:val="22"/>
              </w:rPr>
            </w:pPr>
            <w:r>
              <w:rPr>
                <w:rFonts w:hint="eastAsia"/>
                <w:color w:val="000000"/>
                <w:sz w:val="22"/>
                <w:szCs w:val="22"/>
              </w:rPr>
              <w:t>242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9E352A5">
            <w:pPr>
              <w:jc w:val="center"/>
              <w:rPr>
                <w:rFonts w:ascii="宋体" w:hAnsi="宋体" w:cs="宋体"/>
                <w:color w:val="000000"/>
                <w:sz w:val="22"/>
                <w:szCs w:val="22"/>
              </w:rPr>
            </w:pPr>
            <w:r>
              <w:rPr>
                <w:rFonts w:hint="eastAsia"/>
                <w:color w:val="000000"/>
                <w:sz w:val="22"/>
                <w:szCs w:val="22"/>
              </w:rPr>
              <w:t>234</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57D69CAD">
            <w:pPr>
              <w:jc w:val="center"/>
              <w:rPr>
                <w:rFonts w:ascii="宋体" w:hAnsi="宋体" w:cs="宋体"/>
                <w:color w:val="000000"/>
                <w:sz w:val="22"/>
                <w:szCs w:val="22"/>
              </w:rPr>
            </w:pPr>
            <w:r>
              <w:rPr>
                <w:rFonts w:hint="eastAsia"/>
                <w:color w:val="000000"/>
                <w:sz w:val="22"/>
                <w:szCs w:val="22"/>
              </w:rPr>
              <w:t>234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6AEB1E7">
            <w:pPr>
              <w:jc w:val="center"/>
              <w:rPr>
                <w:rFonts w:ascii="宋体" w:hAnsi="宋体" w:cs="宋体"/>
                <w:color w:val="000000"/>
                <w:sz w:val="22"/>
                <w:szCs w:val="22"/>
              </w:rPr>
            </w:pPr>
            <w:r>
              <w:rPr>
                <w:rFonts w:hint="eastAsia"/>
                <w:color w:val="000000"/>
                <w:sz w:val="22"/>
                <w:szCs w:val="22"/>
              </w:rPr>
              <w:t>227</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7DE3AE81">
            <w:pPr>
              <w:jc w:val="center"/>
              <w:rPr>
                <w:rFonts w:ascii="宋体" w:hAnsi="宋体" w:cs="宋体"/>
                <w:color w:val="000000"/>
                <w:sz w:val="22"/>
                <w:szCs w:val="22"/>
              </w:rPr>
            </w:pPr>
            <w:r>
              <w:rPr>
                <w:rFonts w:hint="eastAsia"/>
                <w:color w:val="000000"/>
                <w:sz w:val="22"/>
                <w:szCs w:val="22"/>
              </w:rPr>
              <w:t>214</w:t>
            </w:r>
          </w:p>
        </w:tc>
      </w:tr>
      <w:tr w14:paraId="1377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1E575D67">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0670EB3">
            <w:pPr>
              <w:widowControl w:val="0"/>
              <w:spacing w:line="300" w:lineRule="exact"/>
              <w:jc w:val="center"/>
              <w:rPr>
                <w:rFonts w:eastAsia="楷体_GB2312"/>
                <w:szCs w:val="21"/>
              </w:rPr>
            </w:pPr>
            <w:r>
              <w:rPr>
                <w:rFonts w:eastAsia="楷体_GB2312"/>
                <w:szCs w:val="21"/>
              </w:rPr>
              <w:t>三级地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50E13FD">
            <w:pPr>
              <w:jc w:val="center"/>
              <w:rPr>
                <w:rFonts w:ascii="宋体" w:hAnsi="宋体" w:cs="宋体"/>
                <w:color w:val="000000"/>
                <w:sz w:val="22"/>
                <w:szCs w:val="22"/>
              </w:rPr>
            </w:pPr>
            <w:r>
              <w:rPr>
                <w:rFonts w:hint="eastAsia"/>
                <w:color w:val="000000"/>
                <w:sz w:val="22"/>
                <w:szCs w:val="22"/>
              </w:rPr>
              <w:t>211</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6EBD5FA">
            <w:pPr>
              <w:jc w:val="center"/>
              <w:rPr>
                <w:rFonts w:ascii="宋体" w:hAnsi="宋体" w:cs="宋体"/>
                <w:color w:val="000000"/>
                <w:sz w:val="22"/>
                <w:szCs w:val="22"/>
              </w:rPr>
            </w:pPr>
            <w:r>
              <w:rPr>
                <w:rFonts w:hint="eastAsia"/>
                <w:color w:val="000000"/>
                <w:sz w:val="22"/>
                <w:szCs w:val="22"/>
              </w:rPr>
              <w:t>201</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B3ECCB3">
            <w:pPr>
              <w:jc w:val="center"/>
              <w:rPr>
                <w:rFonts w:ascii="宋体" w:hAnsi="宋体" w:cs="宋体"/>
                <w:color w:val="000000"/>
                <w:sz w:val="22"/>
                <w:szCs w:val="22"/>
              </w:rPr>
            </w:pPr>
            <w:r>
              <w:rPr>
                <w:rFonts w:hint="eastAsia"/>
                <w:color w:val="000000"/>
                <w:sz w:val="22"/>
                <w:szCs w:val="22"/>
              </w:rPr>
              <w:t>193</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0CB95BA1">
            <w:pPr>
              <w:jc w:val="center"/>
              <w:rPr>
                <w:rFonts w:ascii="宋体" w:hAnsi="宋体" w:cs="宋体"/>
                <w:color w:val="000000"/>
                <w:sz w:val="22"/>
                <w:szCs w:val="22"/>
              </w:rPr>
            </w:pPr>
            <w:r>
              <w:rPr>
                <w:rFonts w:hint="eastAsia"/>
                <w:color w:val="000000"/>
                <w:sz w:val="22"/>
                <w:szCs w:val="22"/>
              </w:rPr>
              <w:t>193</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640A46F">
            <w:pPr>
              <w:jc w:val="center"/>
              <w:rPr>
                <w:rFonts w:ascii="宋体" w:hAnsi="宋体" w:cs="宋体"/>
                <w:color w:val="000000"/>
                <w:sz w:val="22"/>
                <w:szCs w:val="22"/>
              </w:rPr>
            </w:pPr>
            <w:r>
              <w:rPr>
                <w:rFonts w:hint="eastAsia"/>
                <w:color w:val="000000"/>
                <w:sz w:val="22"/>
                <w:szCs w:val="22"/>
              </w:rPr>
              <w:t>187</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4FA37B93">
            <w:pPr>
              <w:jc w:val="center"/>
              <w:rPr>
                <w:rFonts w:ascii="宋体" w:hAnsi="宋体" w:cs="宋体"/>
                <w:color w:val="000000"/>
                <w:sz w:val="22"/>
                <w:szCs w:val="22"/>
              </w:rPr>
            </w:pPr>
            <w:r>
              <w:rPr>
                <w:rFonts w:hint="eastAsia"/>
                <w:color w:val="000000"/>
                <w:sz w:val="22"/>
                <w:szCs w:val="22"/>
              </w:rPr>
              <w:t>187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7AD9CDA">
            <w:pPr>
              <w:jc w:val="center"/>
              <w:rPr>
                <w:rFonts w:ascii="宋体" w:hAnsi="宋体" w:cs="宋体"/>
                <w:color w:val="000000"/>
                <w:sz w:val="22"/>
                <w:szCs w:val="22"/>
              </w:rPr>
            </w:pPr>
            <w:r>
              <w:rPr>
                <w:rFonts w:hint="eastAsia"/>
                <w:color w:val="000000"/>
                <w:sz w:val="22"/>
                <w:szCs w:val="22"/>
              </w:rPr>
              <w:t>181</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74F9ACB4">
            <w:pPr>
              <w:jc w:val="center"/>
              <w:rPr>
                <w:rFonts w:ascii="宋体" w:hAnsi="宋体" w:cs="宋体"/>
                <w:color w:val="000000"/>
                <w:sz w:val="22"/>
                <w:szCs w:val="22"/>
              </w:rPr>
            </w:pPr>
            <w:r>
              <w:rPr>
                <w:rFonts w:hint="eastAsia"/>
                <w:color w:val="000000"/>
                <w:sz w:val="22"/>
                <w:szCs w:val="22"/>
              </w:rPr>
              <w:t>171</w:t>
            </w:r>
          </w:p>
        </w:tc>
      </w:tr>
      <w:tr w14:paraId="542F7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44B4BFF6">
            <w:pPr>
              <w:widowControl w:val="0"/>
              <w:spacing w:line="300" w:lineRule="exact"/>
              <w:jc w:val="center"/>
              <w:rPr>
                <w:rFonts w:eastAsia="楷体_GB2312"/>
                <w:szCs w:val="21"/>
              </w:rPr>
            </w:pPr>
            <w:r>
              <w:rPr>
                <w:rFonts w:hint="eastAsia" w:eastAsia="楷体_GB2312"/>
                <w:szCs w:val="21"/>
              </w:rPr>
              <w:t>褚兰镇</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F457AD9">
            <w:pPr>
              <w:widowControl w:val="0"/>
              <w:spacing w:line="300" w:lineRule="exact"/>
              <w:jc w:val="center"/>
              <w:rPr>
                <w:rFonts w:eastAsia="楷体_GB2312"/>
                <w:szCs w:val="21"/>
              </w:rPr>
            </w:pPr>
            <w:r>
              <w:rPr>
                <w:rFonts w:eastAsia="楷体_GB2312"/>
                <w:szCs w:val="21"/>
              </w:rPr>
              <w:t>一级地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70E64F7">
            <w:pPr>
              <w:jc w:val="center"/>
              <w:rPr>
                <w:rFonts w:ascii="宋体" w:hAnsi="宋体" w:cs="宋体"/>
                <w:color w:val="000000"/>
                <w:sz w:val="22"/>
                <w:szCs w:val="22"/>
              </w:rPr>
            </w:pPr>
            <w:r>
              <w:rPr>
                <w:rFonts w:hint="eastAsia"/>
                <w:color w:val="000000"/>
                <w:sz w:val="22"/>
                <w:szCs w:val="22"/>
              </w:rPr>
              <w:t>323</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AA09624">
            <w:pPr>
              <w:jc w:val="center"/>
              <w:rPr>
                <w:rFonts w:ascii="宋体" w:hAnsi="宋体" w:cs="宋体"/>
                <w:color w:val="000000"/>
                <w:sz w:val="22"/>
                <w:szCs w:val="22"/>
              </w:rPr>
            </w:pPr>
            <w:r>
              <w:rPr>
                <w:rFonts w:hint="eastAsia"/>
                <w:color w:val="000000"/>
                <w:sz w:val="22"/>
                <w:szCs w:val="22"/>
              </w:rPr>
              <w:t>308</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8FEB88C">
            <w:pPr>
              <w:jc w:val="center"/>
              <w:rPr>
                <w:rFonts w:ascii="宋体" w:hAnsi="宋体" w:cs="宋体"/>
                <w:color w:val="000000"/>
                <w:sz w:val="22"/>
                <w:szCs w:val="22"/>
              </w:rPr>
            </w:pPr>
            <w:r>
              <w:rPr>
                <w:rFonts w:hint="eastAsia"/>
                <w:color w:val="000000"/>
                <w:sz w:val="22"/>
                <w:szCs w:val="22"/>
              </w:rPr>
              <w:t>296</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32154051">
            <w:pPr>
              <w:jc w:val="center"/>
              <w:rPr>
                <w:rFonts w:ascii="宋体" w:hAnsi="宋体" w:cs="宋体"/>
                <w:color w:val="000000"/>
                <w:sz w:val="22"/>
                <w:szCs w:val="22"/>
              </w:rPr>
            </w:pPr>
            <w:r>
              <w:rPr>
                <w:rFonts w:hint="eastAsia"/>
                <w:color w:val="000000"/>
                <w:sz w:val="22"/>
                <w:szCs w:val="22"/>
              </w:rPr>
              <w:t>296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70434BA">
            <w:pPr>
              <w:jc w:val="center"/>
              <w:rPr>
                <w:rFonts w:ascii="宋体" w:hAnsi="宋体" w:cs="宋体"/>
                <w:color w:val="000000"/>
                <w:sz w:val="22"/>
                <w:szCs w:val="22"/>
              </w:rPr>
            </w:pPr>
            <w:r>
              <w:rPr>
                <w:rFonts w:hint="eastAsia"/>
                <w:color w:val="000000"/>
                <w:sz w:val="22"/>
                <w:szCs w:val="22"/>
              </w:rPr>
              <w:t>286</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3CDAAFAD">
            <w:pPr>
              <w:jc w:val="center"/>
              <w:rPr>
                <w:rFonts w:ascii="宋体" w:hAnsi="宋体" w:cs="宋体"/>
                <w:color w:val="000000"/>
                <w:sz w:val="22"/>
                <w:szCs w:val="22"/>
              </w:rPr>
            </w:pPr>
            <w:r>
              <w:rPr>
                <w:rFonts w:hint="eastAsia"/>
                <w:color w:val="000000"/>
                <w:sz w:val="22"/>
                <w:szCs w:val="22"/>
              </w:rPr>
              <w:t>286</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CDD8FB7">
            <w:pPr>
              <w:jc w:val="center"/>
              <w:rPr>
                <w:rFonts w:ascii="宋体" w:hAnsi="宋体" w:cs="宋体"/>
                <w:color w:val="000000"/>
                <w:sz w:val="22"/>
                <w:szCs w:val="22"/>
              </w:rPr>
            </w:pPr>
            <w:r>
              <w:rPr>
                <w:rFonts w:hint="eastAsia"/>
                <w:color w:val="000000"/>
                <w:sz w:val="22"/>
                <w:szCs w:val="22"/>
              </w:rPr>
              <w:t>277</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17E6383C">
            <w:pPr>
              <w:jc w:val="center"/>
              <w:rPr>
                <w:rFonts w:ascii="宋体" w:hAnsi="宋体" w:cs="宋体"/>
                <w:color w:val="000000"/>
                <w:sz w:val="22"/>
                <w:szCs w:val="22"/>
              </w:rPr>
            </w:pPr>
            <w:r>
              <w:rPr>
                <w:rFonts w:hint="eastAsia"/>
                <w:color w:val="000000"/>
                <w:sz w:val="22"/>
                <w:szCs w:val="22"/>
              </w:rPr>
              <w:t>262</w:t>
            </w:r>
          </w:p>
        </w:tc>
      </w:tr>
      <w:tr w14:paraId="64AA3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3986436C">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28E4BE46">
            <w:pPr>
              <w:widowControl w:val="0"/>
              <w:spacing w:line="300" w:lineRule="exact"/>
              <w:jc w:val="center"/>
              <w:rPr>
                <w:rFonts w:eastAsia="楷体_GB2312"/>
                <w:szCs w:val="21"/>
              </w:rPr>
            </w:pPr>
            <w:r>
              <w:rPr>
                <w:rFonts w:eastAsia="楷体_GB2312"/>
                <w:szCs w:val="21"/>
              </w:rPr>
              <w:t>二级地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E6D04D0">
            <w:pPr>
              <w:jc w:val="center"/>
              <w:rPr>
                <w:rFonts w:ascii="宋体" w:hAnsi="宋体" w:cs="宋体"/>
                <w:color w:val="000000"/>
                <w:sz w:val="22"/>
                <w:szCs w:val="22"/>
              </w:rPr>
            </w:pPr>
            <w:r>
              <w:rPr>
                <w:rFonts w:hint="eastAsia"/>
                <w:color w:val="000000"/>
                <w:sz w:val="22"/>
                <w:szCs w:val="22"/>
              </w:rPr>
              <w:t>265</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1F4FF94">
            <w:pPr>
              <w:jc w:val="center"/>
              <w:rPr>
                <w:rFonts w:ascii="宋体" w:hAnsi="宋体" w:cs="宋体"/>
                <w:color w:val="000000"/>
                <w:sz w:val="22"/>
                <w:szCs w:val="22"/>
              </w:rPr>
            </w:pPr>
            <w:r>
              <w:rPr>
                <w:rFonts w:hint="eastAsia"/>
                <w:color w:val="000000"/>
                <w:sz w:val="22"/>
                <w:szCs w:val="22"/>
              </w:rPr>
              <w:t>252</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FC3523C">
            <w:pPr>
              <w:jc w:val="center"/>
              <w:rPr>
                <w:rFonts w:ascii="宋体" w:hAnsi="宋体" w:cs="宋体"/>
                <w:color w:val="000000"/>
                <w:sz w:val="22"/>
                <w:szCs w:val="22"/>
              </w:rPr>
            </w:pPr>
            <w:r>
              <w:rPr>
                <w:rFonts w:hint="eastAsia"/>
                <w:color w:val="000000"/>
                <w:sz w:val="22"/>
                <w:szCs w:val="22"/>
              </w:rPr>
              <w:t>242</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0D5DE7E4">
            <w:pPr>
              <w:jc w:val="center"/>
              <w:rPr>
                <w:rFonts w:ascii="宋体" w:hAnsi="宋体" w:cs="宋体"/>
                <w:color w:val="000000"/>
                <w:sz w:val="22"/>
                <w:szCs w:val="22"/>
              </w:rPr>
            </w:pPr>
            <w:r>
              <w:rPr>
                <w:rFonts w:hint="eastAsia"/>
                <w:color w:val="000000"/>
                <w:sz w:val="22"/>
                <w:szCs w:val="22"/>
              </w:rPr>
              <w:t>242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CD6ACE3">
            <w:pPr>
              <w:jc w:val="center"/>
              <w:rPr>
                <w:rFonts w:ascii="宋体" w:hAnsi="宋体" w:cs="宋体"/>
                <w:color w:val="000000"/>
                <w:sz w:val="22"/>
                <w:szCs w:val="22"/>
              </w:rPr>
            </w:pPr>
            <w:r>
              <w:rPr>
                <w:rFonts w:hint="eastAsia"/>
                <w:color w:val="000000"/>
                <w:sz w:val="22"/>
                <w:szCs w:val="22"/>
              </w:rPr>
              <w:t>234</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6F7C748A">
            <w:pPr>
              <w:jc w:val="center"/>
              <w:rPr>
                <w:rFonts w:ascii="宋体" w:hAnsi="宋体" w:cs="宋体"/>
                <w:color w:val="000000"/>
                <w:sz w:val="22"/>
                <w:szCs w:val="22"/>
              </w:rPr>
            </w:pPr>
            <w:r>
              <w:rPr>
                <w:rFonts w:hint="eastAsia"/>
                <w:color w:val="000000"/>
                <w:sz w:val="22"/>
                <w:szCs w:val="22"/>
              </w:rPr>
              <w:t>234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BA56B7D">
            <w:pPr>
              <w:jc w:val="center"/>
              <w:rPr>
                <w:rFonts w:ascii="宋体" w:hAnsi="宋体" w:cs="宋体"/>
                <w:color w:val="000000"/>
                <w:sz w:val="22"/>
                <w:szCs w:val="22"/>
              </w:rPr>
            </w:pPr>
            <w:r>
              <w:rPr>
                <w:rFonts w:hint="eastAsia"/>
                <w:color w:val="000000"/>
                <w:sz w:val="22"/>
                <w:szCs w:val="22"/>
              </w:rPr>
              <w:t>227</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7903CD78">
            <w:pPr>
              <w:jc w:val="center"/>
              <w:rPr>
                <w:rFonts w:ascii="宋体" w:hAnsi="宋体" w:cs="宋体"/>
                <w:color w:val="000000"/>
                <w:sz w:val="22"/>
                <w:szCs w:val="22"/>
              </w:rPr>
            </w:pPr>
            <w:r>
              <w:rPr>
                <w:rFonts w:hint="eastAsia"/>
                <w:color w:val="000000"/>
                <w:sz w:val="22"/>
                <w:szCs w:val="22"/>
              </w:rPr>
              <w:t>214</w:t>
            </w:r>
          </w:p>
        </w:tc>
      </w:tr>
      <w:tr w14:paraId="3444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29CBAA35">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83657D0">
            <w:pPr>
              <w:widowControl w:val="0"/>
              <w:spacing w:line="300" w:lineRule="exact"/>
              <w:jc w:val="center"/>
              <w:rPr>
                <w:rFonts w:eastAsia="楷体_GB2312"/>
                <w:szCs w:val="21"/>
              </w:rPr>
            </w:pPr>
            <w:r>
              <w:rPr>
                <w:rFonts w:eastAsia="楷体_GB2312"/>
                <w:szCs w:val="21"/>
              </w:rPr>
              <w:t>三级地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B614054">
            <w:pPr>
              <w:jc w:val="center"/>
              <w:rPr>
                <w:rFonts w:ascii="宋体" w:hAnsi="宋体" w:cs="宋体"/>
                <w:color w:val="000000"/>
                <w:sz w:val="22"/>
                <w:szCs w:val="22"/>
              </w:rPr>
            </w:pPr>
            <w:r>
              <w:rPr>
                <w:rFonts w:hint="eastAsia"/>
                <w:color w:val="000000"/>
                <w:sz w:val="22"/>
                <w:szCs w:val="22"/>
              </w:rPr>
              <w:t>205</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684288B">
            <w:pPr>
              <w:jc w:val="center"/>
              <w:rPr>
                <w:rFonts w:ascii="宋体" w:hAnsi="宋体" w:cs="宋体"/>
                <w:color w:val="000000"/>
                <w:sz w:val="22"/>
                <w:szCs w:val="22"/>
              </w:rPr>
            </w:pPr>
            <w:r>
              <w:rPr>
                <w:rFonts w:hint="eastAsia"/>
                <w:color w:val="000000"/>
                <w:sz w:val="22"/>
                <w:szCs w:val="22"/>
              </w:rPr>
              <w:t>195</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AEC38F3">
            <w:pPr>
              <w:jc w:val="center"/>
              <w:rPr>
                <w:rFonts w:ascii="宋体" w:hAnsi="宋体" w:cs="宋体"/>
                <w:color w:val="000000"/>
                <w:sz w:val="22"/>
                <w:szCs w:val="22"/>
              </w:rPr>
            </w:pPr>
            <w:r>
              <w:rPr>
                <w:rFonts w:hint="eastAsia"/>
                <w:color w:val="000000"/>
                <w:sz w:val="22"/>
                <w:szCs w:val="22"/>
              </w:rPr>
              <w:t>187</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5AF1D53B">
            <w:pPr>
              <w:jc w:val="center"/>
              <w:rPr>
                <w:rFonts w:ascii="宋体" w:hAnsi="宋体" w:cs="宋体"/>
                <w:color w:val="000000"/>
                <w:sz w:val="22"/>
                <w:szCs w:val="22"/>
              </w:rPr>
            </w:pPr>
            <w:r>
              <w:rPr>
                <w:rFonts w:hint="eastAsia"/>
                <w:color w:val="000000"/>
                <w:sz w:val="22"/>
                <w:szCs w:val="22"/>
              </w:rPr>
              <w:t>187</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1F2F855">
            <w:pPr>
              <w:jc w:val="center"/>
              <w:rPr>
                <w:rFonts w:ascii="宋体" w:hAnsi="宋体" w:cs="宋体"/>
                <w:color w:val="000000"/>
                <w:sz w:val="22"/>
                <w:szCs w:val="22"/>
              </w:rPr>
            </w:pPr>
            <w:r>
              <w:rPr>
                <w:rFonts w:hint="eastAsia"/>
                <w:color w:val="000000"/>
                <w:sz w:val="22"/>
                <w:szCs w:val="22"/>
              </w:rPr>
              <w:t>181</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64B90DF0">
            <w:pPr>
              <w:jc w:val="center"/>
              <w:rPr>
                <w:rFonts w:ascii="宋体" w:hAnsi="宋体" w:cs="宋体"/>
                <w:color w:val="000000"/>
                <w:sz w:val="22"/>
                <w:szCs w:val="22"/>
              </w:rPr>
            </w:pPr>
            <w:r>
              <w:rPr>
                <w:rFonts w:hint="eastAsia"/>
                <w:color w:val="000000"/>
                <w:sz w:val="22"/>
                <w:szCs w:val="22"/>
              </w:rPr>
              <w:t>181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01D9CA8">
            <w:pPr>
              <w:jc w:val="center"/>
              <w:rPr>
                <w:rFonts w:ascii="宋体" w:hAnsi="宋体" w:cs="宋体"/>
                <w:color w:val="000000"/>
                <w:sz w:val="22"/>
                <w:szCs w:val="22"/>
              </w:rPr>
            </w:pPr>
            <w:r>
              <w:rPr>
                <w:rFonts w:hint="eastAsia"/>
                <w:color w:val="000000"/>
                <w:sz w:val="22"/>
                <w:szCs w:val="22"/>
              </w:rPr>
              <w:t>176</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175CBF92">
            <w:pPr>
              <w:jc w:val="center"/>
              <w:rPr>
                <w:rFonts w:ascii="宋体" w:hAnsi="宋体" w:cs="宋体"/>
                <w:color w:val="000000"/>
                <w:sz w:val="22"/>
                <w:szCs w:val="22"/>
              </w:rPr>
            </w:pPr>
            <w:r>
              <w:rPr>
                <w:rFonts w:hint="eastAsia"/>
                <w:color w:val="000000"/>
                <w:sz w:val="22"/>
                <w:szCs w:val="22"/>
              </w:rPr>
              <w:t>166</w:t>
            </w:r>
          </w:p>
        </w:tc>
      </w:tr>
      <w:tr w14:paraId="049B0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34F0FC3B">
            <w:pPr>
              <w:widowControl w:val="0"/>
              <w:spacing w:line="300" w:lineRule="exact"/>
              <w:jc w:val="center"/>
              <w:rPr>
                <w:rFonts w:eastAsia="楷体_GB2312"/>
                <w:szCs w:val="21"/>
              </w:rPr>
            </w:pPr>
            <w:r>
              <w:rPr>
                <w:rFonts w:hint="eastAsia" w:eastAsia="楷体_GB2312"/>
                <w:szCs w:val="21"/>
              </w:rPr>
              <w:t>顺河镇</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60DD268">
            <w:pPr>
              <w:widowControl w:val="0"/>
              <w:spacing w:line="300" w:lineRule="exact"/>
              <w:jc w:val="center"/>
              <w:rPr>
                <w:rFonts w:eastAsia="楷体_GB2312"/>
                <w:szCs w:val="21"/>
              </w:rPr>
            </w:pPr>
            <w:r>
              <w:rPr>
                <w:rFonts w:eastAsia="楷体_GB2312"/>
                <w:szCs w:val="21"/>
              </w:rPr>
              <w:t>一级地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9303514">
            <w:pPr>
              <w:jc w:val="center"/>
              <w:rPr>
                <w:rFonts w:ascii="宋体" w:hAnsi="宋体" w:cs="宋体"/>
                <w:color w:val="000000"/>
                <w:sz w:val="22"/>
                <w:szCs w:val="22"/>
              </w:rPr>
            </w:pPr>
            <w:r>
              <w:rPr>
                <w:rFonts w:hint="eastAsia"/>
                <w:color w:val="000000"/>
                <w:sz w:val="22"/>
                <w:szCs w:val="22"/>
              </w:rPr>
              <w:t>313</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CDFCAD6">
            <w:pPr>
              <w:jc w:val="center"/>
              <w:rPr>
                <w:rFonts w:ascii="宋体" w:hAnsi="宋体" w:cs="宋体"/>
                <w:color w:val="000000"/>
                <w:sz w:val="22"/>
                <w:szCs w:val="22"/>
              </w:rPr>
            </w:pPr>
            <w:r>
              <w:rPr>
                <w:rFonts w:hint="eastAsia"/>
                <w:color w:val="000000"/>
                <w:sz w:val="22"/>
                <w:szCs w:val="22"/>
              </w:rPr>
              <w:t>298</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6077DB7">
            <w:pPr>
              <w:jc w:val="center"/>
              <w:rPr>
                <w:rFonts w:ascii="宋体" w:hAnsi="宋体" w:cs="宋体"/>
                <w:color w:val="000000"/>
                <w:sz w:val="22"/>
                <w:szCs w:val="22"/>
              </w:rPr>
            </w:pPr>
            <w:r>
              <w:rPr>
                <w:rFonts w:hint="eastAsia"/>
                <w:color w:val="000000"/>
                <w:sz w:val="22"/>
                <w:szCs w:val="22"/>
              </w:rPr>
              <w:t>286</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38EFED9E">
            <w:pPr>
              <w:jc w:val="center"/>
              <w:rPr>
                <w:rFonts w:ascii="宋体" w:hAnsi="宋体" w:cs="宋体"/>
                <w:color w:val="000000"/>
                <w:sz w:val="22"/>
                <w:szCs w:val="22"/>
              </w:rPr>
            </w:pPr>
            <w:r>
              <w:rPr>
                <w:rFonts w:hint="eastAsia"/>
                <w:color w:val="000000"/>
                <w:sz w:val="22"/>
                <w:szCs w:val="22"/>
              </w:rPr>
              <w:t>286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CED4252">
            <w:pPr>
              <w:jc w:val="center"/>
              <w:rPr>
                <w:rFonts w:ascii="宋体" w:hAnsi="宋体" w:cs="宋体"/>
                <w:color w:val="000000"/>
                <w:sz w:val="22"/>
                <w:szCs w:val="22"/>
              </w:rPr>
            </w:pPr>
            <w:r>
              <w:rPr>
                <w:rFonts w:hint="eastAsia"/>
                <w:color w:val="000000"/>
                <w:sz w:val="22"/>
                <w:szCs w:val="22"/>
              </w:rPr>
              <w:t>277</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61586EC2">
            <w:pPr>
              <w:jc w:val="center"/>
              <w:rPr>
                <w:rFonts w:ascii="宋体" w:hAnsi="宋体" w:cs="宋体"/>
                <w:color w:val="000000"/>
                <w:sz w:val="22"/>
                <w:szCs w:val="22"/>
              </w:rPr>
            </w:pPr>
            <w:r>
              <w:rPr>
                <w:rFonts w:hint="eastAsia"/>
                <w:color w:val="000000"/>
                <w:sz w:val="22"/>
                <w:szCs w:val="22"/>
              </w:rPr>
              <w:t>277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8B8ACA8">
            <w:pPr>
              <w:jc w:val="center"/>
              <w:rPr>
                <w:rFonts w:ascii="宋体" w:hAnsi="宋体" w:cs="宋体"/>
                <w:color w:val="000000"/>
                <w:sz w:val="22"/>
                <w:szCs w:val="22"/>
              </w:rPr>
            </w:pPr>
            <w:r>
              <w:rPr>
                <w:rFonts w:hint="eastAsia"/>
                <w:color w:val="000000"/>
                <w:sz w:val="22"/>
                <w:szCs w:val="22"/>
              </w:rPr>
              <w:t>268</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346EA206">
            <w:pPr>
              <w:jc w:val="center"/>
              <w:rPr>
                <w:rFonts w:ascii="宋体" w:hAnsi="宋体" w:cs="宋体"/>
                <w:color w:val="000000"/>
                <w:sz w:val="22"/>
                <w:szCs w:val="22"/>
              </w:rPr>
            </w:pPr>
            <w:r>
              <w:rPr>
                <w:rFonts w:hint="eastAsia"/>
                <w:color w:val="000000"/>
                <w:sz w:val="22"/>
                <w:szCs w:val="22"/>
              </w:rPr>
              <w:t>253</w:t>
            </w:r>
          </w:p>
        </w:tc>
      </w:tr>
      <w:tr w14:paraId="2F606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760DC789">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1B84633">
            <w:pPr>
              <w:widowControl w:val="0"/>
              <w:spacing w:line="300" w:lineRule="exact"/>
              <w:jc w:val="center"/>
              <w:rPr>
                <w:rFonts w:eastAsia="楷体_GB2312"/>
                <w:szCs w:val="21"/>
              </w:rPr>
            </w:pPr>
            <w:r>
              <w:rPr>
                <w:rFonts w:eastAsia="楷体_GB2312"/>
                <w:szCs w:val="21"/>
              </w:rPr>
              <w:t>二级地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D4AADBE">
            <w:pPr>
              <w:jc w:val="center"/>
              <w:rPr>
                <w:rFonts w:ascii="宋体" w:hAnsi="宋体" w:cs="宋体"/>
                <w:color w:val="000000"/>
                <w:sz w:val="22"/>
                <w:szCs w:val="22"/>
              </w:rPr>
            </w:pPr>
            <w:r>
              <w:rPr>
                <w:rFonts w:hint="eastAsia"/>
                <w:color w:val="000000"/>
                <w:sz w:val="22"/>
                <w:szCs w:val="22"/>
              </w:rPr>
              <w:t>261</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61B8C9E">
            <w:pPr>
              <w:jc w:val="center"/>
              <w:rPr>
                <w:rFonts w:ascii="宋体" w:hAnsi="宋体" w:cs="宋体"/>
                <w:color w:val="000000"/>
                <w:sz w:val="22"/>
                <w:szCs w:val="22"/>
              </w:rPr>
            </w:pPr>
            <w:r>
              <w:rPr>
                <w:rFonts w:hint="eastAsia"/>
                <w:color w:val="000000"/>
                <w:sz w:val="22"/>
                <w:szCs w:val="22"/>
              </w:rPr>
              <w:t>249</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667C55A">
            <w:pPr>
              <w:jc w:val="center"/>
              <w:rPr>
                <w:rFonts w:ascii="宋体" w:hAnsi="宋体" w:cs="宋体"/>
                <w:color w:val="000000"/>
                <w:sz w:val="22"/>
                <w:szCs w:val="22"/>
              </w:rPr>
            </w:pPr>
            <w:r>
              <w:rPr>
                <w:rFonts w:hint="eastAsia"/>
                <w:color w:val="000000"/>
                <w:sz w:val="22"/>
                <w:szCs w:val="22"/>
              </w:rPr>
              <w:t>239</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306CB070">
            <w:pPr>
              <w:jc w:val="center"/>
              <w:rPr>
                <w:rFonts w:ascii="宋体" w:hAnsi="宋体" w:cs="宋体"/>
                <w:color w:val="000000"/>
                <w:sz w:val="22"/>
                <w:szCs w:val="22"/>
              </w:rPr>
            </w:pPr>
            <w:r>
              <w:rPr>
                <w:rFonts w:hint="eastAsia"/>
                <w:color w:val="000000"/>
                <w:sz w:val="22"/>
                <w:szCs w:val="22"/>
              </w:rPr>
              <w:t>239</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9E53239">
            <w:pPr>
              <w:jc w:val="center"/>
              <w:rPr>
                <w:rFonts w:ascii="宋体" w:hAnsi="宋体" w:cs="宋体"/>
                <w:color w:val="000000"/>
                <w:sz w:val="22"/>
                <w:szCs w:val="22"/>
              </w:rPr>
            </w:pPr>
            <w:r>
              <w:rPr>
                <w:rFonts w:hint="eastAsia"/>
                <w:color w:val="000000"/>
                <w:sz w:val="22"/>
                <w:szCs w:val="22"/>
              </w:rPr>
              <w:t>232</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4A27FD98">
            <w:pPr>
              <w:jc w:val="center"/>
              <w:rPr>
                <w:rFonts w:ascii="宋体" w:hAnsi="宋体" w:cs="宋体"/>
                <w:color w:val="000000"/>
                <w:sz w:val="22"/>
                <w:szCs w:val="22"/>
              </w:rPr>
            </w:pPr>
            <w:r>
              <w:rPr>
                <w:rFonts w:hint="eastAsia"/>
                <w:color w:val="000000"/>
                <w:sz w:val="22"/>
                <w:szCs w:val="22"/>
              </w:rPr>
              <w:t>232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0BC74D7">
            <w:pPr>
              <w:jc w:val="center"/>
              <w:rPr>
                <w:rFonts w:ascii="宋体" w:hAnsi="宋体" w:cs="宋体"/>
                <w:color w:val="000000"/>
                <w:sz w:val="22"/>
                <w:szCs w:val="22"/>
              </w:rPr>
            </w:pPr>
            <w:r>
              <w:rPr>
                <w:rFonts w:hint="eastAsia"/>
                <w:color w:val="000000"/>
                <w:sz w:val="22"/>
                <w:szCs w:val="22"/>
              </w:rPr>
              <w:t>224</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0B68FF18">
            <w:pPr>
              <w:jc w:val="center"/>
              <w:rPr>
                <w:rFonts w:ascii="宋体" w:hAnsi="宋体" w:cs="宋体"/>
                <w:color w:val="000000"/>
                <w:sz w:val="22"/>
                <w:szCs w:val="22"/>
              </w:rPr>
            </w:pPr>
            <w:r>
              <w:rPr>
                <w:rFonts w:hint="eastAsia"/>
                <w:color w:val="000000"/>
                <w:sz w:val="22"/>
                <w:szCs w:val="22"/>
              </w:rPr>
              <w:t>212</w:t>
            </w:r>
          </w:p>
        </w:tc>
      </w:tr>
      <w:tr w14:paraId="6CE27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4770C450">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20750F7">
            <w:pPr>
              <w:widowControl w:val="0"/>
              <w:spacing w:line="300" w:lineRule="exact"/>
              <w:jc w:val="center"/>
              <w:rPr>
                <w:rFonts w:eastAsia="楷体_GB2312"/>
                <w:szCs w:val="21"/>
              </w:rPr>
            </w:pPr>
            <w:r>
              <w:rPr>
                <w:rFonts w:eastAsia="楷体_GB2312"/>
                <w:szCs w:val="21"/>
              </w:rPr>
              <w:t>三级地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C33A3F8">
            <w:pPr>
              <w:jc w:val="center"/>
              <w:rPr>
                <w:rFonts w:ascii="宋体" w:hAnsi="宋体" w:cs="宋体"/>
                <w:color w:val="000000"/>
                <w:sz w:val="22"/>
                <w:szCs w:val="22"/>
              </w:rPr>
            </w:pPr>
            <w:r>
              <w:rPr>
                <w:rFonts w:hint="eastAsia"/>
                <w:color w:val="000000"/>
                <w:sz w:val="22"/>
                <w:szCs w:val="22"/>
              </w:rPr>
              <w:t>205</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399E745">
            <w:pPr>
              <w:jc w:val="center"/>
              <w:rPr>
                <w:rFonts w:ascii="宋体" w:hAnsi="宋体" w:cs="宋体"/>
                <w:color w:val="000000"/>
                <w:sz w:val="22"/>
                <w:szCs w:val="22"/>
              </w:rPr>
            </w:pPr>
            <w:r>
              <w:rPr>
                <w:rFonts w:hint="eastAsia"/>
                <w:color w:val="000000"/>
                <w:sz w:val="22"/>
                <w:szCs w:val="22"/>
              </w:rPr>
              <w:t>195</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722EC8B">
            <w:pPr>
              <w:jc w:val="center"/>
              <w:rPr>
                <w:rFonts w:ascii="宋体" w:hAnsi="宋体" w:cs="宋体"/>
                <w:color w:val="000000"/>
                <w:sz w:val="22"/>
                <w:szCs w:val="22"/>
              </w:rPr>
            </w:pPr>
            <w:r>
              <w:rPr>
                <w:rFonts w:hint="eastAsia"/>
                <w:color w:val="000000"/>
                <w:sz w:val="22"/>
                <w:szCs w:val="22"/>
              </w:rPr>
              <w:t>187</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1EC26807">
            <w:pPr>
              <w:jc w:val="center"/>
              <w:rPr>
                <w:rFonts w:ascii="宋体" w:hAnsi="宋体" w:cs="宋体"/>
                <w:color w:val="000000"/>
                <w:sz w:val="22"/>
                <w:szCs w:val="22"/>
              </w:rPr>
            </w:pPr>
            <w:r>
              <w:rPr>
                <w:rFonts w:hint="eastAsia"/>
                <w:color w:val="000000"/>
                <w:sz w:val="22"/>
                <w:szCs w:val="22"/>
              </w:rPr>
              <w:t>187</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B64CF15">
            <w:pPr>
              <w:jc w:val="center"/>
              <w:rPr>
                <w:rFonts w:ascii="宋体" w:hAnsi="宋体" w:cs="宋体"/>
                <w:color w:val="000000"/>
                <w:sz w:val="22"/>
                <w:szCs w:val="22"/>
              </w:rPr>
            </w:pPr>
            <w:r>
              <w:rPr>
                <w:rFonts w:hint="eastAsia"/>
                <w:color w:val="000000"/>
                <w:sz w:val="22"/>
                <w:szCs w:val="22"/>
              </w:rPr>
              <w:t>181</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49119DD8">
            <w:pPr>
              <w:jc w:val="center"/>
              <w:rPr>
                <w:rFonts w:ascii="宋体" w:hAnsi="宋体" w:cs="宋体"/>
                <w:color w:val="000000"/>
                <w:sz w:val="22"/>
                <w:szCs w:val="22"/>
              </w:rPr>
            </w:pPr>
            <w:r>
              <w:rPr>
                <w:rFonts w:hint="eastAsia"/>
                <w:color w:val="000000"/>
                <w:sz w:val="22"/>
                <w:szCs w:val="22"/>
              </w:rPr>
              <w:t>181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198183C">
            <w:pPr>
              <w:jc w:val="center"/>
              <w:rPr>
                <w:rFonts w:ascii="宋体" w:hAnsi="宋体" w:cs="宋体"/>
                <w:color w:val="000000"/>
                <w:sz w:val="22"/>
                <w:szCs w:val="22"/>
              </w:rPr>
            </w:pPr>
            <w:r>
              <w:rPr>
                <w:rFonts w:hint="eastAsia"/>
                <w:color w:val="000000"/>
                <w:sz w:val="22"/>
                <w:szCs w:val="22"/>
              </w:rPr>
              <w:t>176</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6781A56C">
            <w:pPr>
              <w:jc w:val="center"/>
              <w:rPr>
                <w:rFonts w:ascii="宋体" w:hAnsi="宋体" w:cs="宋体"/>
                <w:color w:val="000000"/>
                <w:sz w:val="22"/>
                <w:szCs w:val="22"/>
              </w:rPr>
            </w:pPr>
            <w:r>
              <w:rPr>
                <w:rFonts w:hint="eastAsia"/>
                <w:color w:val="000000"/>
                <w:sz w:val="22"/>
                <w:szCs w:val="22"/>
              </w:rPr>
              <w:t>166</w:t>
            </w:r>
          </w:p>
        </w:tc>
      </w:tr>
      <w:tr w14:paraId="35B44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7814A5F3">
            <w:pPr>
              <w:widowControl w:val="0"/>
              <w:spacing w:line="300" w:lineRule="exact"/>
              <w:jc w:val="center"/>
              <w:rPr>
                <w:rFonts w:eastAsia="楷体_GB2312"/>
                <w:szCs w:val="21"/>
              </w:rPr>
            </w:pPr>
            <w:r>
              <w:rPr>
                <w:rFonts w:hint="eastAsia" w:eastAsia="楷体_GB2312"/>
                <w:szCs w:val="21"/>
              </w:rPr>
              <w:t>杨庄镇</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5DB3B3D">
            <w:pPr>
              <w:widowControl w:val="0"/>
              <w:spacing w:line="300" w:lineRule="exact"/>
              <w:jc w:val="center"/>
              <w:rPr>
                <w:rFonts w:eastAsia="楷体_GB2312"/>
                <w:szCs w:val="21"/>
              </w:rPr>
            </w:pPr>
            <w:r>
              <w:rPr>
                <w:rFonts w:eastAsia="楷体_GB2312"/>
                <w:szCs w:val="21"/>
              </w:rPr>
              <w:t>一级地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5784A51">
            <w:pPr>
              <w:jc w:val="center"/>
              <w:rPr>
                <w:rFonts w:ascii="宋体" w:hAnsi="宋体" w:cs="宋体"/>
                <w:color w:val="000000"/>
                <w:sz w:val="22"/>
                <w:szCs w:val="22"/>
              </w:rPr>
            </w:pPr>
            <w:r>
              <w:rPr>
                <w:rFonts w:hint="eastAsia"/>
                <w:color w:val="000000"/>
                <w:sz w:val="22"/>
                <w:szCs w:val="22"/>
              </w:rPr>
              <w:t>313</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C939FAF">
            <w:pPr>
              <w:jc w:val="center"/>
              <w:rPr>
                <w:rFonts w:ascii="宋体" w:hAnsi="宋体" w:cs="宋体"/>
                <w:color w:val="000000"/>
                <w:sz w:val="22"/>
                <w:szCs w:val="22"/>
              </w:rPr>
            </w:pPr>
            <w:r>
              <w:rPr>
                <w:rFonts w:hint="eastAsia"/>
                <w:color w:val="000000"/>
                <w:sz w:val="22"/>
                <w:szCs w:val="22"/>
              </w:rPr>
              <w:t>298</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7904713">
            <w:pPr>
              <w:jc w:val="center"/>
              <w:rPr>
                <w:rFonts w:ascii="宋体" w:hAnsi="宋体" w:cs="宋体"/>
                <w:color w:val="000000"/>
                <w:sz w:val="22"/>
                <w:szCs w:val="22"/>
              </w:rPr>
            </w:pPr>
            <w:r>
              <w:rPr>
                <w:rFonts w:hint="eastAsia"/>
                <w:color w:val="000000"/>
                <w:sz w:val="22"/>
                <w:szCs w:val="22"/>
              </w:rPr>
              <w:t>286</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7F7B4B22">
            <w:pPr>
              <w:jc w:val="center"/>
              <w:rPr>
                <w:rFonts w:ascii="宋体" w:hAnsi="宋体" w:cs="宋体"/>
                <w:color w:val="000000"/>
                <w:sz w:val="22"/>
                <w:szCs w:val="22"/>
              </w:rPr>
            </w:pPr>
            <w:r>
              <w:rPr>
                <w:rFonts w:hint="eastAsia"/>
                <w:color w:val="000000"/>
                <w:sz w:val="22"/>
                <w:szCs w:val="22"/>
              </w:rPr>
              <w:t>286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3F89BEA">
            <w:pPr>
              <w:jc w:val="center"/>
              <w:rPr>
                <w:rFonts w:ascii="宋体" w:hAnsi="宋体" w:cs="宋体"/>
                <w:color w:val="000000"/>
                <w:sz w:val="22"/>
                <w:szCs w:val="22"/>
              </w:rPr>
            </w:pPr>
            <w:r>
              <w:rPr>
                <w:rFonts w:hint="eastAsia"/>
                <w:color w:val="000000"/>
                <w:sz w:val="22"/>
                <w:szCs w:val="22"/>
              </w:rPr>
              <w:t>277</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40A0FC95">
            <w:pPr>
              <w:jc w:val="center"/>
              <w:rPr>
                <w:rFonts w:ascii="宋体" w:hAnsi="宋体" w:cs="宋体"/>
                <w:color w:val="000000"/>
                <w:sz w:val="22"/>
                <w:szCs w:val="22"/>
              </w:rPr>
            </w:pPr>
            <w:r>
              <w:rPr>
                <w:rFonts w:hint="eastAsia"/>
                <w:color w:val="000000"/>
                <w:sz w:val="22"/>
                <w:szCs w:val="22"/>
              </w:rPr>
              <w:t>277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93CFB47">
            <w:pPr>
              <w:jc w:val="center"/>
              <w:rPr>
                <w:rFonts w:ascii="宋体" w:hAnsi="宋体" w:cs="宋体"/>
                <w:color w:val="000000"/>
                <w:sz w:val="22"/>
                <w:szCs w:val="22"/>
              </w:rPr>
            </w:pPr>
            <w:r>
              <w:rPr>
                <w:rFonts w:hint="eastAsia"/>
                <w:color w:val="000000"/>
                <w:sz w:val="22"/>
                <w:szCs w:val="22"/>
              </w:rPr>
              <w:t>268</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1AD860D8">
            <w:pPr>
              <w:jc w:val="center"/>
              <w:rPr>
                <w:rFonts w:ascii="宋体" w:hAnsi="宋体" w:cs="宋体"/>
                <w:color w:val="000000"/>
                <w:sz w:val="22"/>
                <w:szCs w:val="22"/>
              </w:rPr>
            </w:pPr>
            <w:r>
              <w:rPr>
                <w:rFonts w:hint="eastAsia"/>
                <w:color w:val="000000"/>
                <w:sz w:val="22"/>
                <w:szCs w:val="22"/>
              </w:rPr>
              <w:t>253</w:t>
            </w:r>
          </w:p>
        </w:tc>
      </w:tr>
      <w:tr w14:paraId="3003C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2E99F130">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3E781E9">
            <w:pPr>
              <w:widowControl w:val="0"/>
              <w:spacing w:line="300" w:lineRule="exact"/>
              <w:jc w:val="center"/>
              <w:rPr>
                <w:rFonts w:eastAsia="楷体_GB2312"/>
                <w:szCs w:val="21"/>
              </w:rPr>
            </w:pPr>
            <w:r>
              <w:rPr>
                <w:rFonts w:eastAsia="楷体_GB2312"/>
                <w:szCs w:val="21"/>
              </w:rPr>
              <w:t>二级地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92791D5">
            <w:pPr>
              <w:jc w:val="center"/>
              <w:rPr>
                <w:rFonts w:ascii="宋体" w:hAnsi="宋体" w:cs="宋体"/>
                <w:color w:val="000000"/>
                <w:sz w:val="22"/>
                <w:szCs w:val="22"/>
              </w:rPr>
            </w:pPr>
            <w:r>
              <w:rPr>
                <w:rFonts w:hint="eastAsia"/>
                <w:color w:val="000000"/>
                <w:sz w:val="22"/>
                <w:szCs w:val="22"/>
              </w:rPr>
              <w:t>250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12A123B">
            <w:pPr>
              <w:jc w:val="center"/>
              <w:rPr>
                <w:rFonts w:ascii="宋体" w:hAnsi="宋体" w:cs="宋体"/>
                <w:color w:val="000000"/>
                <w:sz w:val="22"/>
                <w:szCs w:val="22"/>
              </w:rPr>
            </w:pPr>
            <w:r>
              <w:rPr>
                <w:rFonts w:hint="eastAsia"/>
                <w:color w:val="000000"/>
                <w:sz w:val="22"/>
                <w:szCs w:val="22"/>
              </w:rPr>
              <w:t>238</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606AD67">
            <w:pPr>
              <w:jc w:val="center"/>
              <w:rPr>
                <w:rFonts w:ascii="宋体" w:hAnsi="宋体" w:cs="宋体"/>
                <w:color w:val="000000"/>
                <w:sz w:val="22"/>
                <w:szCs w:val="22"/>
              </w:rPr>
            </w:pPr>
            <w:r>
              <w:rPr>
                <w:rFonts w:hint="eastAsia"/>
                <w:color w:val="000000"/>
                <w:sz w:val="22"/>
                <w:szCs w:val="22"/>
              </w:rPr>
              <w:t>228</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51CFDEE0">
            <w:pPr>
              <w:jc w:val="center"/>
              <w:rPr>
                <w:rFonts w:ascii="宋体" w:hAnsi="宋体" w:cs="宋体"/>
                <w:color w:val="000000"/>
                <w:sz w:val="22"/>
                <w:szCs w:val="22"/>
              </w:rPr>
            </w:pPr>
            <w:r>
              <w:rPr>
                <w:rFonts w:hint="eastAsia"/>
                <w:color w:val="000000"/>
                <w:sz w:val="22"/>
                <w:szCs w:val="22"/>
              </w:rPr>
              <w:t>228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A2D59C4">
            <w:pPr>
              <w:jc w:val="center"/>
              <w:rPr>
                <w:rFonts w:ascii="宋体" w:hAnsi="宋体" w:cs="宋体"/>
                <w:color w:val="000000"/>
                <w:sz w:val="22"/>
                <w:szCs w:val="22"/>
              </w:rPr>
            </w:pPr>
            <w:r>
              <w:rPr>
                <w:rFonts w:hint="eastAsia"/>
                <w:color w:val="000000"/>
                <w:sz w:val="22"/>
                <w:szCs w:val="22"/>
              </w:rPr>
              <w:t>221</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1C6CC830">
            <w:pPr>
              <w:jc w:val="center"/>
              <w:rPr>
                <w:rFonts w:ascii="宋体" w:hAnsi="宋体" w:cs="宋体"/>
                <w:color w:val="000000"/>
                <w:sz w:val="22"/>
                <w:szCs w:val="22"/>
              </w:rPr>
            </w:pPr>
            <w:r>
              <w:rPr>
                <w:rFonts w:hint="eastAsia"/>
                <w:color w:val="000000"/>
                <w:sz w:val="22"/>
                <w:szCs w:val="22"/>
              </w:rPr>
              <w:t>221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539B2A8">
            <w:pPr>
              <w:jc w:val="center"/>
              <w:rPr>
                <w:rFonts w:ascii="宋体" w:hAnsi="宋体" w:cs="宋体"/>
                <w:color w:val="000000"/>
                <w:sz w:val="22"/>
                <w:szCs w:val="22"/>
              </w:rPr>
            </w:pPr>
            <w:r>
              <w:rPr>
                <w:rFonts w:hint="eastAsia"/>
                <w:color w:val="000000"/>
                <w:sz w:val="22"/>
                <w:szCs w:val="22"/>
              </w:rPr>
              <w:t>214</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1D44BCC9">
            <w:pPr>
              <w:jc w:val="center"/>
              <w:rPr>
                <w:rFonts w:ascii="宋体" w:hAnsi="宋体" w:cs="宋体"/>
                <w:color w:val="000000"/>
                <w:sz w:val="22"/>
                <w:szCs w:val="22"/>
              </w:rPr>
            </w:pPr>
            <w:r>
              <w:rPr>
                <w:rFonts w:hint="eastAsia"/>
                <w:color w:val="000000"/>
                <w:sz w:val="22"/>
                <w:szCs w:val="22"/>
              </w:rPr>
              <w:t>202</w:t>
            </w:r>
          </w:p>
        </w:tc>
      </w:tr>
      <w:tr w14:paraId="15CA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0F734E34">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28F3E63">
            <w:pPr>
              <w:widowControl w:val="0"/>
              <w:spacing w:line="300" w:lineRule="exact"/>
              <w:jc w:val="center"/>
              <w:rPr>
                <w:rFonts w:eastAsia="楷体_GB2312"/>
                <w:szCs w:val="21"/>
              </w:rPr>
            </w:pPr>
            <w:r>
              <w:rPr>
                <w:rFonts w:eastAsia="楷体_GB2312"/>
                <w:szCs w:val="21"/>
              </w:rPr>
              <w:t>三级地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ECFA184">
            <w:pPr>
              <w:jc w:val="center"/>
              <w:rPr>
                <w:rFonts w:ascii="宋体" w:hAnsi="宋体" w:cs="宋体"/>
                <w:color w:val="000000"/>
                <w:sz w:val="22"/>
                <w:szCs w:val="22"/>
              </w:rPr>
            </w:pPr>
            <w:r>
              <w:rPr>
                <w:rFonts w:hint="eastAsia"/>
                <w:color w:val="000000"/>
                <w:sz w:val="22"/>
                <w:szCs w:val="22"/>
              </w:rPr>
              <w:t>193</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3A4C523">
            <w:pPr>
              <w:jc w:val="center"/>
              <w:rPr>
                <w:rFonts w:ascii="宋体" w:hAnsi="宋体" w:cs="宋体"/>
                <w:color w:val="000000"/>
                <w:sz w:val="22"/>
                <w:szCs w:val="22"/>
              </w:rPr>
            </w:pPr>
            <w:r>
              <w:rPr>
                <w:rFonts w:hint="eastAsia"/>
                <w:color w:val="000000"/>
                <w:sz w:val="22"/>
                <w:szCs w:val="22"/>
              </w:rPr>
              <w:t>184</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D94412F">
            <w:pPr>
              <w:jc w:val="center"/>
              <w:rPr>
                <w:rFonts w:ascii="宋体" w:hAnsi="宋体" w:cs="宋体"/>
                <w:color w:val="000000"/>
                <w:sz w:val="22"/>
                <w:szCs w:val="22"/>
              </w:rPr>
            </w:pPr>
            <w:r>
              <w:rPr>
                <w:rFonts w:hint="eastAsia"/>
                <w:color w:val="000000"/>
                <w:sz w:val="22"/>
                <w:szCs w:val="22"/>
              </w:rPr>
              <w:t>177</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49680792">
            <w:pPr>
              <w:jc w:val="center"/>
              <w:rPr>
                <w:rFonts w:ascii="宋体" w:hAnsi="宋体" w:cs="宋体"/>
                <w:color w:val="000000"/>
                <w:sz w:val="22"/>
                <w:szCs w:val="22"/>
              </w:rPr>
            </w:pPr>
            <w:r>
              <w:rPr>
                <w:rFonts w:hint="eastAsia"/>
                <w:color w:val="000000"/>
                <w:sz w:val="22"/>
                <w:szCs w:val="22"/>
              </w:rPr>
              <w:t>177</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EB3998A">
            <w:pPr>
              <w:jc w:val="center"/>
              <w:rPr>
                <w:rFonts w:ascii="宋体" w:hAnsi="宋体" w:cs="宋体"/>
                <w:color w:val="000000"/>
                <w:sz w:val="22"/>
                <w:szCs w:val="22"/>
              </w:rPr>
            </w:pPr>
            <w:r>
              <w:rPr>
                <w:rFonts w:hint="eastAsia"/>
                <w:color w:val="000000"/>
                <w:sz w:val="22"/>
                <w:szCs w:val="22"/>
              </w:rPr>
              <w:t>171</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3133385B">
            <w:pPr>
              <w:jc w:val="center"/>
              <w:rPr>
                <w:rFonts w:ascii="宋体" w:hAnsi="宋体" w:cs="宋体"/>
                <w:color w:val="000000"/>
                <w:sz w:val="22"/>
                <w:szCs w:val="22"/>
              </w:rPr>
            </w:pPr>
            <w:r>
              <w:rPr>
                <w:rFonts w:hint="eastAsia"/>
                <w:color w:val="000000"/>
                <w:sz w:val="22"/>
                <w:szCs w:val="22"/>
              </w:rPr>
              <w:t>171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DC07459">
            <w:pPr>
              <w:jc w:val="center"/>
              <w:rPr>
                <w:rFonts w:ascii="宋体" w:hAnsi="宋体" w:cs="宋体"/>
                <w:color w:val="000000"/>
                <w:sz w:val="22"/>
                <w:szCs w:val="22"/>
              </w:rPr>
            </w:pPr>
            <w:r>
              <w:rPr>
                <w:rFonts w:hint="eastAsia"/>
                <w:color w:val="000000"/>
                <w:sz w:val="22"/>
                <w:szCs w:val="22"/>
              </w:rPr>
              <w:t>166</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5924F3C6">
            <w:pPr>
              <w:jc w:val="center"/>
              <w:rPr>
                <w:rFonts w:ascii="宋体" w:hAnsi="宋体" w:cs="宋体"/>
                <w:color w:val="000000"/>
                <w:sz w:val="22"/>
                <w:szCs w:val="22"/>
              </w:rPr>
            </w:pPr>
            <w:r>
              <w:rPr>
                <w:rFonts w:hint="eastAsia"/>
                <w:color w:val="000000"/>
                <w:sz w:val="22"/>
                <w:szCs w:val="22"/>
              </w:rPr>
              <w:t>156</w:t>
            </w:r>
          </w:p>
        </w:tc>
      </w:tr>
      <w:tr w14:paraId="20277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43F788DF">
            <w:pPr>
              <w:widowControl w:val="0"/>
              <w:spacing w:line="300" w:lineRule="exact"/>
              <w:jc w:val="center"/>
              <w:rPr>
                <w:rFonts w:eastAsia="楷体_GB2312"/>
                <w:szCs w:val="21"/>
              </w:rPr>
            </w:pPr>
            <w:r>
              <w:rPr>
                <w:rFonts w:hint="eastAsia" w:eastAsia="楷体_GB2312"/>
                <w:szCs w:val="21"/>
              </w:rPr>
              <w:t>永镇乡</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50BE716">
            <w:pPr>
              <w:widowControl w:val="0"/>
              <w:spacing w:line="300" w:lineRule="exact"/>
              <w:jc w:val="center"/>
              <w:rPr>
                <w:rFonts w:eastAsia="楷体_GB2312"/>
                <w:szCs w:val="21"/>
              </w:rPr>
            </w:pPr>
            <w:r>
              <w:rPr>
                <w:rFonts w:eastAsia="楷体_GB2312"/>
                <w:szCs w:val="21"/>
              </w:rPr>
              <w:t>一级地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FB16CB4">
            <w:pPr>
              <w:jc w:val="center"/>
              <w:rPr>
                <w:rFonts w:ascii="宋体" w:hAnsi="宋体" w:cs="宋体"/>
                <w:color w:val="000000"/>
                <w:sz w:val="22"/>
                <w:szCs w:val="22"/>
              </w:rPr>
            </w:pPr>
            <w:r>
              <w:rPr>
                <w:rFonts w:hint="eastAsia"/>
                <w:color w:val="000000"/>
                <w:sz w:val="22"/>
                <w:szCs w:val="22"/>
              </w:rPr>
              <w:t>295</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3212C08">
            <w:pPr>
              <w:jc w:val="center"/>
              <w:rPr>
                <w:rFonts w:ascii="宋体" w:hAnsi="宋体" w:cs="宋体"/>
                <w:color w:val="000000"/>
                <w:sz w:val="22"/>
                <w:szCs w:val="22"/>
              </w:rPr>
            </w:pPr>
            <w:r>
              <w:rPr>
                <w:rFonts w:hint="eastAsia"/>
                <w:color w:val="000000"/>
                <w:sz w:val="22"/>
                <w:szCs w:val="22"/>
              </w:rPr>
              <w:t>281</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14C3D7A">
            <w:pPr>
              <w:jc w:val="center"/>
              <w:rPr>
                <w:rFonts w:ascii="宋体" w:hAnsi="宋体" w:cs="宋体"/>
                <w:color w:val="000000"/>
                <w:sz w:val="22"/>
                <w:szCs w:val="22"/>
              </w:rPr>
            </w:pPr>
            <w:r>
              <w:rPr>
                <w:rFonts w:hint="eastAsia"/>
                <w:color w:val="000000"/>
                <w:sz w:val="22"/>
                <w:szCs w:val="22"/>
              </w:rPr>
              <w:t>270</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31B7A7D9">
            <w:pPr>
              <w:jc w:val="center"/>
              <w:rPr>
                <w:rFonts w:ascii="宋体" w:hAnsi="宋体" w:cs="宋体"/>
                <w:color w:val="000000"/>
                <w:sz w:val="22"/>
                <w:szCs w:val="22"/>
              </w:rPr>
            </w:pPr>
            <w:r>
              <w:rPr>
                <w:rFonts w:hint="eastAsia"/>
                <w:color w:val="000000"/>
                <w:sz w:val="22"/>
                <w:szCs w:val="22"/>
              </w:rPr>
              <w:t>270</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043DA08">
            <w:pPr>
              <w:jc w:val="center"/>
              <w:rPr>
                <w:rFonts w:ascii="宋体" w:hAnsi="宋体" w:cs="宋体"/>
                <w:color w:val="000000"/>
                <w:sz w:val="22"/>
                <w:szCs w:val="22"/>
              </w:rPr>
            </w:pPr>
            <w:r>
              <w:rPr>
                <w:rFonts w:hint="eastAsia"/>
                <w:color w:val="000000"/>
                <w:sz w:val="22"/>
                <w:szCs w:val="22"/>
              </w:rPr>
              <w:t>261</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7C22093B">
            <w:pPr>
              <w:jc w:val="center"/>
              <w:rPr>
                <w:rFonts w:ascii="宋体" w:hAnsi="宋体" w:cs="宋体"/>
                <w:color w:val="000000"/>
                <w:sz w:val="22"/>
                <w:szCs w:val="22"/>
              </w:rPr>
            </w:pPr>
            <w:r>
              <w:rPr>
                <w:rFonts w:hint="eastAsia"/>
                <w:color w:val="000000"/>
                <w:sz w:val="22"/>
                <w:szCs w:val="22"/>
              </w:rPr>
              <w:t>261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BB4C70C">
            <w:pPr>
              <w:jc w:val="center"/>
              <w:rPr>
                <w:rFonts w:ascii="宋体" w:hAnsi="宋体" w:cs="宋体"/>
                <w:color w:val="000000"/>
                <w:sz w:val="22"/>
                <w:szCs w:val="22"/>
              </w:rPr>
            </w:pPr>
            <w:r>
              <w:rPr>
                <w:rFonts w:hint="eastAsia"/>
                <w:color w:val="000000"/>
                <w:sz w:val="22"/>
                <w:szCs w:val="22"/>
              </w:rPr>
              <w:t>253</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6065A830">
            <w:pPr>
              <w:jc w:val="center"/>
              <w:rPr>
                <w:rFonts w:ascii="宋体" w:hAnsi="宋体" w:cs="宋体"/>
                <w:color w:val="000000"/>
                <w:sz w:val="22"/>
                <w:szCs w:val="22"/>
              </w:rPr>
            </w:pPr>
            <w:r>
              <w:rPr>
                <w:rFonts w:hint="eastAsia"/>
                <w:color w:val="000000"/>
                <w:sz w:val="22"/>
                <w:szCs w:val="22"/>
              </w:rPr>
              <w:t>239</w:t>
            </w:r>
          </w:p>
        </w:tc>
      </w:tr>
      <w:tr w14:paraId="2DF6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73F4D4E5">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2C3959C7">
            <w:pPr>
              <w:widowControl w:val="0"/>
              <w:spacing w:line="300" w:lineRule="exact"/>
              <w:jc w:val="center"/>
              <w:rPr>
                <w:rFonts w:eastAsia="楷体_GB2312"/>
                <w:szCs w:val="21"/>
              </w:rPr>
            </w:pPr>
            <w:r>
              <w:rPr>
                <w:rFonts w:eastAsia="楷体_GB2312"/>
                <w:szCs w:val="21"/>
              </w:rPr>
              <w:t>二级地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80BC446">
            <w:pPr>
              <w:jc w:val="center"/>
              <w:rPr>
                <w:rFonts w:ascii="宋体" w:hAnsi="宋体" w:cs="宋体"/>
                <w:color w:val="000000"/>
                <w:sz w:val="22"/>
                <w:szCs w:val="22"/>
              </w:rPr>
            </w:pPr>
            <w:r>
              <w:rPr>
                <w:rFonts w:hint="eastAsia"/>
                <w:color w:val="000000"/>
                <w:sz w:val="22"/>
                <w:szCs w:val="22"/>
              </w:rPr>
              <w:t>250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C8E4B2E">
            <w:pPr>
              <w:jc w:val="center"/>
              <w:rPr>
                <w:rFonts w:ascii="宋体" w:hAnsi="宋体" w:cs="宋体"/>
                <w:color w:val="000000"/>
                <w:sz w:val="22"/>
                <w:szCs w:val="22"/>
              </w:rPr>
            </w:pPr>
            <w:r>
              <w:rPr>
                <w:rFonts w:hint="eastAsia"/>
                <w:color w:val="000000"/>
                <w:sz w:val="22"/>
                <w:szCs w:val="22"/>
              </w:rPr>
              <w:t>238</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94285C8">
            <w:pPr>
              <w:jc w:val="center"/>
              <w:rPr>
                <w:rFonts w:ascii="宋体" w:hAnsi="宋体" w:cs="宋体"/>
                <w:color w:val="000000"/>
                <w:sz w:val="22"/>
                <w:szCs w:val="22"/>
              </w:rPr>
            </w:pPr>
            <w:r>
              <w:rPr>
                <w:rFonts w:hint="eastAsia"/>
                <w:color w:val="000000"/>
                <w:sz w:val="22"/>
                <w:szCs w:val="22"/>
              </w:rPr>
              <w:t>228</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16E9ACFD">
            <w:pPr>
              <w:jc w:val="center"/>
              <w:rPr>
                <w:rFonts w:ascii="宋体" w:hAnsi="宋体" w:cs="宋体"/>
                <w:color w:val="000000"/>
                <w:sz w:val="22"/>
                <w:szCs w:val="22"/>
              </w:rPr>
            </w:pPr>
            <w:r>
              <w:rPr>
                <w:rFonts w:hint="eastAsia"/>
                <w:color w:val="000000"/>
                <w:sz w:val="22"/>
                <w:szCs w:val="22"/>
              </w:rPr>
              <w:t>228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215C778">
            <w:pPr>
              <w:jc w:val="center"/>
              <w:rPr>
                <w:rFonts w:ascii="宋体" w:hAnsi="宋体" w:cs="宋体"/>
                <w:color w:val="000000"/>
                <w:sz w:val="22"/>
                <w:szCs w:val="22"/>
              </w:rPr>
            </w:pPr>
            <w:r>
              <w:rPr>
                <w:rFonts w:hint="eastAsia"/>
                <w:color w:val="000000"/>
                <w:sz w:val="22"/>
                <w:szCs w:val="22"/>
              </w:rPr>
              <w:t>221</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54D32D2E">
            <w:pPr>
              <w:jc w:val="center"/>
              <w:rPr>
                <w:rFonts w:ascii="宋体" w:hAnsi="宋体" w:cs="宋体"/>
                <w:color w:val="000000"/>
                <w:sz w:val="22"/>
                <w:szCs w:val="22"/>
              </w:rPr>
            </w:pPr>
            <w:r>
              <w:rPr>
                <w:rFonts w:hint="eastAsia"/>
                <w:color w:val="000000"/>
                <w:sz w:val="22"/>
                <w:szCs w:val="22"/>
              </w:rPr>
              <w:t>221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C876866">
            <w:pPr>
              <w:jc w:val="center"/>
              <w:rPr>
                <w:rFonts w:ascii="宋体" w:hAnsi="宋体" w:cs="宋体"/>
                <w:color w:val="000000"/>
                <w:sz w:val="22"/>
                <w:szCs w:val="22"/>
              </w:rPr>
            </w:pPr>
            <w:r>
              <w:rPr>
                <w:rFonts w:hint="eastAsia"/>
                <w:color w:val="000000"/>
                <w:sz w:val="22"/>
                <w:szCs w:val="22"/>
              </w:rPr>
              <w:t>214</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38F485D2">
            <w:pPr>
              <w:jc w:val="center"/>
              <w:rPr>
                <w:rFonts w:ascii="宋体" w:hAnsi="宋体" w:cs="宋体"/>
                <w:color w:val="000000"/>
                <w:sz w:val="22"/>
                <w:szCs w:val="22"/>
              </w:rPr>
            </w:pPr>
            <w:r>
              <w:rPr>
                <w:rFonts w:hint="eastAsia"/>
                <w:color w:val="000000"/>
                <w:sz w:val="22"/>
                <w:szCs w:val="22"/>
              </w:rPr>
              <w:t>202</w:t>
            </w:r>
          </w:p>
        </w:tc>
      </w:tr>
      <w:tr w14:paraId="714A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011B3137">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6DD8691">
            <w:pPr>
              <w:widowControl w:val="0"/>
              <w:spacing w:line="300" w:lineRule="exact"/>
              <w:jc w:val="center"/>
              <w:rPr>
                <w:rFonts w:eastAsia="楷体_GB2312"/>
                <w:szCs w:val="21"/>
              </w:rPr>
            </w:pPr>
            <w:r>
              <w:rPr>
                <w:rFonts w:eastAsia="楷体_GB2312"/>
                <w:szCs w:val="21"/>
              </w:rPr>
              <w:t>三级地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4683AF5">
            <w:pPr>
              <w:jc w:val="center"/>
              <w:rPr>
                <w:rFonts w:ascii="宋体" w:hAnsi="宋体" w:cs="宋体"/>
                <w:color w:val="000000"/>
                <w:sz w:val="22"/>
                <w:szCs w:val="22"/>
              </w:rPr>
            </w:pPr>
            <w:r>
              <w:rPr>
                <w:rFonts w:hint="eastAsia"/>
                <w:color w:val="000000"/>
                <w:sz w:val="22"/>
                <w:szCs w:val="22"/>
              </w:rPr>
              <w:t>200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24678C6">
            <w:pPr>
              <w:jc w:val="center"/>
              <w:rPr>
                <w:rFonts w:ascii="宋体" w:hAnsi="宋体" w:cs="宋体"/>
                <w:color w:val="000000"/>
                <w:sz w:val="22"/>
                <w:szCs w:val="22"/>
              </w:rPr>
            </w:pPr>
            <w:r>
              <w:rPr>
                <w:rFonts w:hint="eastAsia"/>
                <w:color w:val="000000"/>
                <w:sz w:val="22"/>
                <w:szCs w:val="22"/>
              </w:rPr>
              <w:t>190</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86FD6DF">
            <w:pPr>
              <w:jc w:val="center"/>
              <w:rPr>
                <w:rFonts w:ascii="宋体" w:hAnsi="宋体" w:cs="宋体"/>
                <w:color w:val="000000"/>
                <w:sz w:val="22"/>
                <w:szCs w:val="22"/>
              </w:rPr>
            </w:pPr>
            <w:r>
              <w:rPr>
                <w:rFonts w:hint="eastAsia"/>
                <w:color w:val="000000"/>
                <w:sz w:val="22"/>
                <w:szCs w:val="22"/>
              </w:rPr>
              <w:t>182</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1B67F19D">
            <w:pPr>
              <w:jc w:val="center"/>
              <w:rPr>
                <w:rFonts w:ascii="宋体" w:hAnsi="宋体" w:cs="宋体"/>
                <w:color w:val="000000"/>
                <w:sz w:val="22"/>
                <w:szCs w:val="22"/>
              </w:rPr>
            </w:pPr>
            <w:r>
              <w:rPr>
                <w:rFonts w:hint="eastAsia"/>
                <w:color w:val="000000"/>
                <w:sz w:val="22"/>
                <w:szCs w:val="22"/>
              </w:rPr>
              <w:t>182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325DB85">
            <w:pPr>
              <w:jc w:val="center"/>
              <w:rPr>
                <w:rFonts w:ascii="宋体" w:hAnsi="宋体" w:cs="宋体"/>
                <w:color w:val="000000"/>
                <w:sz w:val="22"/>
                <w:szCs w:val="22"/>
              </w:rPr>
            </w:pPr>
            <w:r>
              <w:rPr>
                <w:rFonts w:hint="eastAsia"/>
                <w:color w:val="000000"/>
                <w:sz w:val="22"/>
                <w:szCs w:val="22"/>
              </w:rPr>
              <w:t>177</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396BBE2E">
            <w:pPr>
              <w:jc w:val="center"/>
              <w:rPr>
                <w:rFonts w:ascii="宋体" w:hAnsi="宋体" w:cs="宋体"/>
                <w:color w:val="000000"/>
                <w:sz w:val="22"/>
                <w:szCs w:val="22"/>
              </w:rPr>
            </w:pPr>
            <w:r>
              <w:rPr>
                <w:rFonts w:hint="eastAsia"/>
                <w:color w:val="000000"/>
                <w:sz w:val="22"/>
                <w:szCs w:val="22"/>
              </w:rPr>
              <w:t>177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57A5138">
            <w:pPr>
              <w:jc w:val="center"/>
              <w:rPr>
                <w:rFonts w:ascii="宋体" w:hAnsi="宋体" w:cs="宋体"/>
                <w:color w:val="000000"/>
                <w:sz w:val="22"/>
                <w:szCs w:val="22"/>
              </w:rPr>
            </w:pPr>
            <w:r>
              <w:rPr>
                <w:rFonts w:hint="eastAsia"/>
                <w:color w:val="000000"/>
                <w:sz w:val="22"/>
                <w:szCs w:val="22"/>
              </w:rPr>
              <w:t>171</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50EFBDF9">
            <w:pPr>
              <w:jc w:val="center"/>
              <w:rPr>
                <w:rFonts w:ascii="宋体" w:hAnsi="宋体" w:cs="宋体"/>
                <w:color w:val="000000"/>
                <w:sz w:val="22"/>
                <w:szCs w:val="22"/>
              </w:rPr>
            </w:pPr>
            <w:r>
              <w:rPr>
                <w:rFonts w:hint="eastAsia"/>
                <w:color w:val="000000"/>
                <w:sz w:val="22"/>
                <w:szCs w:val="22"/>
              </w:rPr>
              <w:t>162</w:t>
            </w:r>
          </w:p>
        </w:tc>
      </w:tr>
      <w:tr w14:paraId="2ECF1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0B5A1881">
            <w:pPr>
              <w:widowControl w:val="0"/>
              <w:spacing w:line="300" w:lineRule="exact"/>
              <w:jc w:val="center"/>
              <w:rPr>
                <w:rFonts w:eastAsia="楷体_GB2312"/>
                <w:szCs w:val="21"/>
              </w:rPr>
            </w:pPr>
            <w:r>
              <w:rPr>
                <w:rFonts w:hint="eastAsia" w:eastAsia="楷体_GB2312"/>
                <w:szCs w:val="21"/>
              </w:rPr>
              <w:t>解集镇</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5C7DF65">
            <w:pPr>
              <w:widowControl w:val="0"/>
              <w:spacing w:line="300" w:lineRule="exact"/>
              <w:jc w:val="center"/>
              <w:rPr>
                <w:rFonts w:eastAsia="楷体_GB2312"/>
                <w:szCs w:val="21"/>
              </w:rPr>
            </w:pPr>
            <w:r>
              <w:rPr>
                <w:rFonts w:eastAsia="楷体_GB2312"/>
                <w:szCs w:val="21"/>
              </w:rPr>
              <w:t>一级地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FEAA058">
            <w:pPr>
              <w:jc w:val="center"/>
              <w:rPr>
                <w:rFonts w:ascii="宋体" w:hAnsi="宋体" w:cs="宋体"/>
                <w:color w:val="000000"/>
                <w:sz w:val="22"/>
                <w:szCs w:val="22"/>
              </w:rPr>
            </w:pPr>
            <w:r>
              <w:rPr>
                <w:rFonts w:hint="eastAsia"/>
                <w:color w:val="000000"/>
                <w:sz w:val="22"/>
                <w:szCs w:val="22"/>
              </w:rPr>
              <w:t>301</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A9C58A7">
            <w:pPr>
              <w:jc w:val="center"/>
              <w:rPr>
                <w:rFonts w:ascii="宋体" w:hAnsi="宋体" w:cs="宋体"/>
                <w:color w:val="000000"/>
                <w:sz w:val="22"/>
                <w:szCs w:val="22"/>
              </w:rPr>
            </w:pPr>
            <w:r>
              <w:rPr>
                <w:rFonts w:hint="eastAsia"/>
                <w:color w:val="000000"/>
                <w:sz w:val="22"/>
                <w:szCs w:val="22"/>
              </w:rPr>
              <w:t>287</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7B98AC2">
            <w:pPr>
              <w:jc w:val="center"/>
              <w:rPr>
                <w:rFonts w:ascii="宋体" w:hAnsi="宋体" w:cs="宋体"/>
                <w:color w:val="000000"/>
                <w:sz w:val="22"/>
                <w:szCs w:val="22"/>
              </w:rPr>
            </w:pPr>
            <w:r>
              <w:rPr>
                <w:rFonts w:hint="eastAsia"/>
                <w:color w:val="000000"/>
                <w:sz w:val="22"/>
                <w:szCs w:val="22"/>
              </w:rPr>
              <w:t>276</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1BA9137D">
            <w:pPr>
              <w:jc w:val="center"/>
              <w:rPr>
                <w:rFonts w:ascii="宋体" w:hAnsi="宋体" w:cs="宋体"/>
                <w:color w:val="000000"/>
                <w:sz w:val="22"/>
                <w:szCs w:val="22"/>
              </w:rPr>
            </w:pPr>
            <w:r>
              <w:rPr>
                <w:rFonts w:hint="eastAsia"/>
                <w:color w:val="000000"/>
                <w:sz w:val="22"/>
                <w:szCs w:val="22"/>
              </w:rPr>
              <w:t>276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D92B0AE">
            <w:pPr>
              <w:jc w:val="center"/>
              <w:rPr>
                <w:rFonts w:ascii="宋体" w:hAnsi="宋体" w:cs="宋体"/>
                <w:color w:val="000000"/>
                <w:sz w:val="22"/>
                <w:szCs w:val="22"/>
              </w:rPr>
            </w:pPr>
            <w:r>
              <w:rPr>
                <w:rFonts w:hint="eastAsia"/>
                <w:color w:val="000000"/>
                <w:sz w:val="22"/>
                <w:szCs w:val="22"/>
              </w:rPr>
              <w:t>267</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75EF73F5">
            <w:pPr>
              <w:jc w:val="center"/>
              <w:rPr>
                <w:rFonts w:ascii="宋体" w:hAnsi="宋体" w:cs="宋体"/>
                <w:color w:val="000000"/>
                <w:sz w:val="22"/>
                <w:szCs w:val="22"/>
              </w:rPr>
            </w:pPr>
            <w:r>
              <w:rPr>
                <w:rFonts w:hint="eastAsia"/>
                <w:color w:val="000000"/>
                <w:sz w:val="22"/>
                <w:szCs w:val="22"/>
              </w:rPr>
              <w:t>267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2DF5D40">
            <w:pPr>
              <w:jc w:val="center"/>
              <w:rPr>
                <w:rFonts w:ascii="宋体" w:hAnsi="宋体" w:cs="宋体"/>
                <w:color w:val="000000"/>
                <w:sz w:val="22"/>
                <w:szCs w:val="22"/>
              </w:rPr>
            </w:pPr>
            <w:r>
              <w:rPr>
                <w:rFonts w:hint="eastAsia"/>
                <w:color w:val="000000"/>
                <w:sz w:val="22"/>
                <w:szCs w:val="22"/>
              </w:rPr>
              <w:t>258</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67227D78">
            <w:pPr>
              <w:jc w:val="center"/>
              <w:rPr>
                <w:rFonts w:ascii="宋体" w:hAnsi="宋体" w:cs="宋体"/>
                <w:color w:val="000000"/>
                <w:sz w:val="22"/>
                <w:szCs w:val="22"/>
              </w:rPr>
            </w:pPr>
            <w:r>
              <w:rPr>
                <w:rFonts w:hint="eastAsia"/>
                <w:color w:val="000000"/>
                <w:sz w:val="22"/>
                <w:szCs w:val="22"/>
              </w:rPr>
              <w:t>244</w:t>
            </w:r>
          </w:p>
        </w:tc>
      </w:tr>
      <w:tr w14:paraId="32C1F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1410077B">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93AC9BB">
            <w:pPr>
              <w:widowControl w:val="0"/>
              <w:spacing w:line="300" w:lineRule="exact"/>
              <w:jc w:val="center"/>
              <w:rPr>
                <w:rFonts w:eastAsia="楷体_GB2312"/>
                <w:szCs w:val="21"/>
              </w:rPr>
            </w:pPr>
            <w:r>
              <w:rPr>
                <w:rFonts w:eastAsia="楷体_GB2312"/>
                <w:szCs w:val="21"/>
              </w:rPr>
              <w:t>二级地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AD7AA5B">
            <w:pPr>
              <w:jc w:val="center"/>
              <w:rPr>
                <w:rFonts w:ascii="宋体" w:hAnsi="宋体" w:cs="宋体"/>
                <w:color w:val="000000"/>
                <w:sz w:val="22"/>
                <w:szCs w:val="22"/>
              </w:rPr>
            </w:pPr>
            <w:r>
              <w:rPr>
                <w:rFonts w:hint="eastAsia"/>
                <w:color w:val="000000"/>
                <w:sz w:val="22"/>
                <w:szCs w:val="22"/>
              </w:rPr>
              <w:t>250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A009884">
            <w:pPr>
              <w:jc w:val="center"/>
              <w:rPr>
                <w:rFonts w:ascii="宋体" w:hAnsi="宋体" w:cs="宋体"/>
                <w:color w:val="000000"/>
                <w:sz w:val="22"/>
                <w:szCs w:val="22"/>
              </w:rPr>
            </w:pPr>
            <w:r>
              <w:rPr>
                <w:rFonts w:hint="eastAsia"/>
                <w:color w:val="000000"/>
                <w:sz w:val="22"/>
                <w:szCs w:val="22"/>
              </w:rPr>
              <w:t>238</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10B7D94">
            <w:pPr>
              <w:jc w:val="center"/>
              <w:rPr>
                <w:rFonts w:ascii="宋体" w:hAnsi="宋体" w:cs="宋体"/>
                <w:color w:val="000000"/>
                <w:sz w:val="22"/>
                <w:szCs w:val="22"/>
              </w:rPr>
            </w:pPr>
            <w:r>
              <w:rPr>
                <w:rFonts w:hint="eastAsia"/>
                <w:color w:val="000000"/>
                <w:sz w:val="22"/>
                <w:szCs w:val="22"/>
              </w:rPr>
              <w:t>228</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6036D51B">
            <w:pPr>
              <w:jc w:val="center"/>
              <w:rPr>
                <w:rFonts w:ascii="宋体" w:hAnsi="宋体" w:cs="宋体"/>
                <w:color w:val="000000"/>
                <w:sz w:val="22"/>
                <w:szCs w:val="22"/>
              </w:rPr>
            </w:pPr>
            <w:r>
              <w:rPr>
                <w:rFonts w:hint="eastAsia"/>
                <w:color w:val="000000"/>
                <w:sz w:val="22"/>
                <w:szCs w:val="22"/>
              </w:rPr>
              <w:t>228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8C21B48">
            <w:pPr>
              <w:jc w:val="center"/>
              <w:rPr>
                <w:rFonts w:ascii="宋体" w:hAnsi="宋体" w:cs="宋体"/>
                <w:color w:val="000000"/>
                <w:sz w:val="22"/>
                <w:szCs w:val="22"/>
              </w:rPr>
            </w:pPr>
            <w:r>
              <w:rPr>
                <w:rFonts w:hint="eastAsia"/>
                <w:color w:val="000000"/>
                <w:sz w:val="22"/>
                <w:szCs w:val="22"/>
              </w:rPr>
              <w:t>221</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2C3015D3">
            <w:pPr>
              <w:jc w:val="center"/>
              <w:rPr>
                <w:rFonts w:ascii="宋体" w:hAnsi="宋体" w:cs="宋体"/>
                <w:color w:val="000000"/>
                <w:sz w:val="22"/>
                <w:szCs w:val="22"/>
              </w:rPr>
            </w:pPr>
            <w:r>
              <w:rPr>
                <w:rFonts w:hint="eastAsia"/>
                <w:color w:val="000000"/>
                <w:sz w:val="22"/>
                <w:szCs w:val="22"/>
              </w:rPr>
              <w:t>221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174C40A">
            <w:pPr>
              <w:jc w:val="center"/>
              <w:rPr>
                <w:rFonts w:ascii="宋体" w:hAnsi="宋体" w:cs="宋体"/>
                <w:color w:val="000000"/>
                <w:sz w:val="22"/>
                <w:szCs w:val="22"/>
              </w:rPr>
            </w:pPr>
            <w:r>
              <w:rPr>
                <w:rFonts w:hint="eastAsia"/>
                <w:color w:val="000000"/>
                <w:sz w:val="22"/>
                <w:szCs w:val="22"/>
              </w:rPr>
              <w:t>214</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3CD8053C">
            <w:pPr>
              <w:jc w:val="center"/>
              <w:rPr>
                <w:rFonts w:ascii="宋体" w:hAnsi="宋体" w:cs="宋体"/>
                <w:color w:val="000000"/>
                <w:sz w:val="22"/>
                <w:szCs w:val="22"/>
              </w:rPr>
            </w:pPr>
            <w:r>
              <w:rPr>
                <w:rFonts w:hint="eastAsia"/>
                <w:color w:val="000000"/>
                <w:sz w:val="22"/>
                <w:szCs w:val="22"/>
              </w:rPr>
              <w:t>202</w:t>
            </w:r>
          </w:p>
        </w:tc>
      </w:tr>
      <w:tr w14:paraId="27D75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2C8A7C16">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4435495">
            <w:pPr>
              <w:widowControl w:val="0"/>
              <w:spacing w:line="300" w:lineRule="exact"/>
              <w:jc w:val="center"/>
              <w:rPr>
                <w:rFonts w:eastAsia="楷体_GB2312"/>
                <w:szCs w:val="21"/>
              </w:rPr>
            </w:pPr>
            <w:r>
              <w:rPr>
                <w:rFonts w:eastAsia="楷体_GB2312"/>
                <w:szCs w:val="21"/>
              </w:rPr>
              <w:t>三级地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97031CE">
            <w:pPr>
              <w:jc w:val="center"/>
              <w:rPr>
                <w:rFonts w:ascii="宋体" w:hAnsi="宋体" w:cs="宋体"/>
                <w:color w:val="000000"/>
                <w:sz w:val="22"/>
                <w:szCs w:val="22"/>
              </w:rPr>
            </w:pPr>
            <w:r>
              <w:rPr>
                <w:rFonts w:hint="eastAsia"/>
                <w:color w:val="000000"/>
                <w:sz w:val="22"/>
                <w:szCs w:val="22"/>
              </w:rPr>
              <w:t>193</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C90A7FB">
            <w:pPr>
              <w:jc w:val="center"/>
              <w:rPr>
                <w:rFonts w:ascii="宋体" w:hAnsi="宋体" w:cs="宋体"/>
                <w:color w:val="000000"/>
                <w:sz w:val="22"/>
                <w:szCs w:val="22"/>
              </w:rPr>
            </w:pPr>
            <w:r>
              <w:rPr>
                <w:rFonts w:hint="eastAsia"/>
                <w:color w:val="000000"/>
                <w:sz w:val="22"/>
                <w:szCs w:val="22"/>
              </w:rPr>
              <w:t>184</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9AFF70C">
            <w:pPr>
              <w:jc w:val="center"/>
              <w:rPr>
                <w:rFonts w:ascii="宋体" w:hAnsi="宋体" w:cs="宋体"/>
                <w:color w:val="000000"/>
                <w:sz w:val="22"/>
                <w:szCs w:val="22"/>
              </w:rPr>
            </w:pPr>
            <w:r>
              <w:rPr>
                <w:rFonts w:hint="eastAsia"/>
                <w:color w:val="000000"/>
                <w:sz w:val="22"/>
                <w:szCs w:val="22"/>
              </w:rPr>
              <w:t>177</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3AB0F64D">
            <w:pPr>
              <w:jc w:val="center"/>
              <w:rPr>
                <w:rFonts w:ascii="宋体" w:hAnsi="宋体" w:cs="宋体"/>
                <w:color w:val="000000"/>
                <w:sz w:val="22"/>
                <w:szCs w:val="22"/>
              </w:rPr>
            </w:pPr>
            <w:r>
              <w:rPr>
                <w:rFonts w:hint="eastAsia"/>
                <w:color w:val="000000"/>
                <w:sz w:val="22"/>
                <w:szCs w:val="22"/>
              </w:rPr>
              <w:t>177</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0A2A410">
            <w:pPr>
              <w:jc w:val="center"/>
              <w:rPr>
                <w:rFonts w:ascii="宋体" w:hAnsi="宋体" w:cs="宋体"/>
                <w:color w:val="000000"/>
                <w:sz w:val="22"/>
                <w:szCs w:val="22"/>
              </w:rPr>
            </w:pPr>
            <w:r>
              <w:rPr>
                <w:rFonts w:hint="eastAsia"/>
                <w:color w:val="000000"/>
                <w:sz w:val="22"/>
                <w:szCs w:val="22"/>
              </w:rPr>
              <w:t>171</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508FFC11">
            <w:pPr>
              <w:jc w:val="center"/>
              <w:rPr>
                <w:rFonts w:ascii="宋体" w:hAnsi="宋体" w:cs="宋体"/>
                <w:color w:val="000000"/>
                <w:sz w:val="22"/>
                <w:szCs w:val="22"/>
              </w:rPr>
            </w:pPr>
            <w:r>
              <w:rPr>
                <w:rFonts w:hint="eastAsia"/>
                <w:color w:val="000000"/>
                <w:sz w:val="22"/>
                <w:szCs w:val="22"/>
              </w:rPr>
              <w:t>171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0D63806">
            <w:pPr>
              <w:jc w:val="center"/>
              <w:rPr>
                <w:rFonts w:ascii="宋体" w:hAnsi="宋体" w:cs="宋体"/>
                <w:color w:val="000000"/>
                <w:sz w:val="22"/>
                <w:szCs w:val="22"/>
              </w:rPr>
            </w:pPr>
            <w:r>
              <w:rPr>
                <w:rFonts w:hint="eastAsia"/>
                <w:color w:val="000000"/>
                <w:sz w:val="22"/>
                <w:szCs w:val="22"/>
              </w:rPr>
              <w:t>166</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05230090">
            <w:pPr>
              <w:jc w:val="center"/>
              <w:rPr>
                <w:rFonts w:ascii="宋体" w:hAnsi="宋体" w:cs="宋体"/>
                <w:color w:val="000000"/>
                <w:sz w:val="22"/>
                <w:szCs w:val="22"/>
              </w:rPr>
            </w:pPr>
            <w:r>
              <w:rPr>
                <w:rFonts w:hint="eastAsia"/>
                <w:color w:val="000000"/>
                <w:sz w:val="22"/>
                <w:szCs w:val="22"/>
              </w:rPr>
              <w:t>156</w:t>
            </w:r>
          </w:p>
        </w:tc>
      </w:tr>
      <w:tr w14:paraId="485F5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7F6E7CFB">
            <w:pPr>
              <w:widowControl w:val="0"/>
              <w:spacing w:line="300" w:lineRule="exact"/>
              <w:jc w:val="center"/>
              <w:rPr>
                <w:rFonts w:eastAsia="楷体_GB2312"/>
                <w:szCs w:val="21"/>
              </w:rPr>
            </w:pPr>
            <w:r>
              <w:rPr>
                <w:rFonts w:hint="eastAsia" w:eastAsia="楷体_GB2312"/>
                <w:szCs w:val="21"/>
              </w:rPr>
              <w:t>大泽乡镇</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5F997C0">
            <w:pPr>
              <w:widowControl w:val="0"/>
              <w:spacing w:line="300" w:lineRule="exact"/>
              <w:jc w:val="center"/>
              <w:rPr>
                <w:rFonts w:eastAsia="楷体_GB2312"/>
                <w:szCs w:val="21"/>
              </w:rPr>
            </w:pPr>
            <w:r>
              <w:rPr>
                <w:rFonts w:eastAsia="楷体_GB2312"/>
                <w:szCs w:val="21"/>
              </w:rPr>
              <w:t>一级地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05355F8">
            <w:pPr>
              <w:jc w:val="center"/>
              <w:rPr>
                <w:rFonts w:ascii="宋体" w:hAnsi="宋体" w:cs="宋体"/>
                <w:color w:val="000000"/>
                <w:sz w:val="22"/>
                <w:szCs w:val="22"/>
              </w:rPr>
            </w:pPr>
            <w:r>
              <w:rPr>
                <w:rFonts w:hint="eastAsia"/>
                <w:color w:val="000000"/>
                <w:sz w:val="22"/>
                <w:szCs w:val="22"/>
              </w:rPr>
              <w:t>290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D4B6990">
            <w:pPr>
              <w:jc w:val="center"/>
              <w:rPr>
                <w:rFonts w:ascii="宋体" w:hAnsi="宋体" w:cs="宋体"/>
                <w:color w:val="000000"/>
                <w:sz w:val="22"/>
                <w:szCs w:val="22"/>
              </w:rPr>
            </w:pPr>
            <w:r>
              <w:rPr>
                <w:rFonts w:hint="eastAsia"/>
                <w:color w:val="000000"/>
                <w:sz w:val="22"/>
                <w:szCs w:val="22"/>
              </w:rPr>
              <w:t>276</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B7596F2">
            <w:pPr>
              <w:jc w:val="center"/>
              <w:rPr>
                <w:rFonts w:ascii="宋体" w:hAnsi="宋体" w:cs="宋体"/>
                <w:color w:val="000000"/>
                <w:sz w:val="22"/>
                <w:szCs w:val="22"/>
              </w:rPr>
            </w:pPr>
            <w:r>
              <w:rPr>
                <w:rFonts w:hint="eastAsia"/>
                <w:color w:val="000000"/>
                <w:sz w:val="22"/>
                <w:szCs w:val="22"/>
              </w:rPr>
              <w:t>265</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47C89C6D">
            <w:pPr>
              <w:jc w:val="center"/>
              <w:rPr>
                <w:rFonts w:ascii="宋体" w:hAnsi="宋体" w:cs="宋体"/>
                <w:color w:val="000000"/>
                <w:sz w:val="22"/>
                <w:szCs w:val="22"/>
              </w:rPr>
            </w:pPr>
            <w:r>
              <w:rPr>
                <w:rFonts w:hint="eastAsia"/>
                <w:color w:val="000000"/>
                <w:sz w:val="22"/>
                <w:szCs w:val="22"/>
              </w:rPr>
              <w:t>265</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2DA1BAE">
            <w:pPr>
              <w:jc w:val="center"/>
              <w:rPr>
                <w:rFonts w:ascii="宋体" w:hAnsi="宋体" w:cs="宋体"/>
                <w:color w:val="000000"/>
                <w:sz w:val="22"/>
                <w:szCs w:val="22"/>
              </w:rPr>
            </w:pPr>
            <w:r>
              <w:rPr>
                <w:rFonts w:hint="eastAsia"/>
                <w:color w:val="000000"/>
                <w:sz w:val="22"/>
                <w:szCs w:val="22"/>
              </w:rPr>
              <w:t>257</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5CA0DA73">
            <w:pPr>
              <w:jc w:val="center"/>
              <w:rPr>
                <w:rFonts w:ascii="宋体" w:hAnsi="宋体" w:cs="宋体"/>
                <w:color w:val="000000"/>
                <w:sz w:val="22"/>
                <w:szCs w:val="22"/>
              </w:rPr>
            </w:pPr>
            <w:r>
              <w:rPr>
                <w:rFonts w:hint="eastAsia"/>
                <w:color w:val="000000"/>
                <w:sz w:val="22"/>
                <w:szCs w:val="22"/>
              </w:rPr>
              <w:t>257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5976A95">
            <w:pPr>
              <w:jc w:val="center"/>
              <w:rPr>
                <w:rFonts w:ascii="宋体" w:hAnsi="宋体" w:cs="宋体"/>
                <w:color w:val="000000"/>
                <w:sz w:val="22"/>
                <w:szCs w:val="22"/>
              </w:rPr>
            </w:pPr>
            <w:r>
              <w:rPr>
                <w:rFonts w:hint="eastAsia"/>
                <w:color w:val="000000"/>
                <w:sz w:val="22"/>
                <w:szCs w:val="22"/>
              </w:rPr>
              <w:t>248</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267965ED">
            <w:pPr>
              <w:jc w:val="center"/>
              <w:rPr>
                <w:rFonts w:ascii="宋体" w:hAnsi="宋体" w:cs="宋体"/>
                <w:color w:val="000000"/>
                <w:sz w:val="22"/>
                <w:szCs w:val="22"/>
              </w:rPr>
            </w:pPr>
            <w:r>
              <w:rPr>
                <w:rFonts w:hint="eastAsia"/>
                <w:color w:val="000000"/>
                <w:sz w:val="22"/>
                <w:szCs w:val="22"/>
              </w:rPr>
              <w:t>235</w:t>
            </w:r>
          </w:p>
        </w:tc>
      </w:tr>
      <w:tr w14:paraId="3E9E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5FDB963B">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5F8DBC6">
            <w:pPr>
              <w:widowControl w:val="0"/>
              <w:spacing w:line="300" w:lineRule="exact"/>
              <w:jc w:val="center"/>
              <w:rPr>
                <w:rFonts w:eastAsia="楷体_GB2312"/>
                <w:szCs w:val="21"/>
              </w:rPr>
            </w:pPr>
            <w:r>
              <w:rPr>
                <w:rFonts w:eastAsia="楷体_GB2312"/>
                <w:szCs w:val="21"/>
              </w:rPr>
              <w:t>二级地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064259F">
            <w:pPr>
              <w:jc w:val="center"/>
              <w:rPr>
                <w:rFonts w:ascii="宋体" w:hAnsi="宋体" w:cs="宋体"/>
                <w:color w:val="000000"/>
                <w:sz w:val="22"/>
                <w:szCs w:val="22"/>
              </w:rPr>
            </w:pPr>
            <w:r>
              <w:rPr>
                <w:rFonts w:hint="eastAsia"/>
                <w:color w:val="000000"/>
                <w:sz w:val="22"/>
                <w:szCs w:val="22"/>
              </w:rPr>
              <w:t>245</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C5C4B9E">
            <w:pPr>
              <w:jc w:val="center"/>
              <w:rPr>
                <w:rFonts w:ascii="宋体" w:hAnsi="宋体" w:cs="宋体"/>
                <w:color w:val="000000"/>
                <w:sz w:val="22"/>
                <w:szCs w:val="22"/>
              </w:rPr>
            </w:pPr>
            <w:r>
              <w:rPr>
                <w:rFonts w:hint="eastAsia"/>
                <w:color w:val="000000"/>
                <w:sz w:val="22"/>
                <w:szCs w:val="22"/>
              </w:rPr>
              <w:t>233</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F4B8473">
            <w:pPr>
              <w:jc w:val="center"/>
              <w:rPr>
                <w:rFonts w:ascii="宋体" w:hAnsi="宋体" w:cs="宋体"/>
                <w:color w:val="000000"/>
                <w:sz w:val="22"/>
                <w:szCs w:val="22"/>
              </w:rPr>
            </w:pPr>
            <w:r>
              <w:rPr>
                <w:rFonts w:hint="eastAsia"/>
                <w:color w:val="000000"/>
                <w:sz w:val="22"/>
                <w:szCs w:val="22"/>
              </w:rPr>
              <w:t>224</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48583D25">
            <w:pPr>
              <w:jc w:val="center"/>
              <w:rPr>
                <w:rFonts w:ascii="宋体" w:hAnsi="宋体" w:cs="宋体"/>
                <w:color w:val="000000"/>
                <w:sz w:val="22"/>
                <w:szCs w:val="22"/>
              </w:rPr>
            </w:pPr>
            <w:r>
              <w:rPr>
                <w:rFonts w:hint="eastAsia"/>
                <w:color w:val="000000"/>
                <w:sz w:val="22"/>
                <w:szCs w:val="22"/>
              </w:rPr>
              <w:t>224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00B9B8ED">
            <w:pPr>
              <w:jc w:val="center"/>
              <w:rPr>
                <w:rFonts w:ascii="宋体" w:hAnsi="宋体" w:cs="宋体"/>
                <w:color w:val="000000"/>
                <w:sz w:val="22"/>
                <w:szCs w:val="22"/>
              </w:rPr>
            </w:pPr>
            <w:r>
              <w:rPr>
                <w:rFonts w:hint="eastAsia"/>
                <w:color w:val="000000"/>
                <w:sz w:val="22"/>
                <w:szCs w:val="22"/>
              </w:rPr>
              <w:t>217</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1F369F28">
            <w:pPr>
              <w:jc w:val="center"/>
              <w:rPr>
                <w:rFonts w:ascii="宋体" w:hAnsi="宋体" w:cs="宋体"/>
                <w:color w:val="000000"/>
                <w:sz w:val="22"/>
                <w:szCs w:val="22"/>
              </w:rPr>
            </w:pPr>
            <w:r>
              <w:rPr>
                <w:rFonts w:hint="eastAsia"/>
                <w:color w:val="000000"/>
                <w:sz w:val="22"/>
                <w:szCs w:val="22"/>
              </w:rPr>
              <w:t>217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AFC4419">
            <w:pPr>
              <w:jc w:val="center"/>
              <w:rPr>
                <w:rFonts w:ascii="宋体" w:hAnsi="宋体" w:cs="宋体"/>
                <w:color w:val="000000"/>
                <w:sz w:val="22"/>
                <w:szCs w:val="22"/>
              </w:rPr>
            </w:pPr>
            <w:r>
              <w:rPr>
                <w:rFonts w:hint="eastAsia"/>
                <w:color w:val="000000"/>
                <w:sz w:val="22"/>
                <w:szCs w:val="22"/>
              </w:rPr>
              <w:t>210</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402FE6FB">
            <w:pPr>
              <w:jc w:val="center"/>
              <w:rPr>
                <w:rFonts w:ascii="宋体" w:hAnsi="宋体" w:cs="宋体"/>
                <w:color w:val="000000"/>
                <w:sz w:val="22"/>
                <w:szCs w:val="22"/>
              </w:rPr>
            </w:pPr>
            <w:r>
              <w:rPr>
                <w:rFonts w:hint="eastAsia"/>
                <w:color w:val="000000"/>
                <w:sz w:val="22"/>
                <w:szCs w:val="22"/>
              </w:rPr>
              <w:t>198</w:t>
            </w:r>
          </w:p>
        </w:tc>
      </w:tr>
      <w:tr w14:paraId="7DCDE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7E742CDC">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C90C92A">
            <w:pPr>
              <w:widowControl w:val="0"/>
              <w:spacing w:line="300" w:lineRule="exact"/>
              <w:jc w:val="center"/>
              <w:rPr>
                <w:rFonts w:eastAsia="楷体_GB2312"/>
                <w:szCs w:val="21"/>
              </w:rPr>
            </w:pPr>
            <w:r>
              <w:rPr>
                <w:rFonts w:eastAsia="楷体_GB2312"/>
                <w:szCs w:val="21"/>
              </w:rPr>
              <w:t>三级地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58CC14B">
            <w:pPr>
              <w:jc w:val="center"/>
              <w:rPr>
                <w:rFonts w:ascii="宋体" w:hAnsi="宋体" w:cs="宋体"/>
                <w:color w:val="000000"/>
                <w:sz w:val="22"/>
                <w:szCs w:val="22"/>
              </w:rPr>
            </w:pPr>
            <w:r>
              <w:rPr>
                <w:rFonts w:hint="eastAsia"/>
                <w:color w:val="000000"/>
                <w:sz w:val="22"/>
                <w:szCs w:val="22"/>
              </w:rPr>
              <w:t>193</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AD3D1D6">
            <w:pPr>
              <w:jc w:val="center"/>
              <w:rPr>
                <w:rFonts w:ascii="宋体" w:hAnsi="宋体" w:cs="宋体"/>
                <w:color w:val="000000"/>
                <w:sz w:val="22"/>
                <w:szCs w:val="22"/>
              </w:rPr>
            </w:pPr>
            <w:r>
              <w:rPr>
                <w:rFonts w:hint="eastAsia"/>
                <w:color w:val="000000"/>
                <w:sz w:val="22"/>
                <w:szCs w:val="22"/>
              </w:rPr>
              <w:t>184</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CEC5441">
            <w:pPr>
              <w:jc w:val="center"/>
              <w:rPr>
                <w:rFonts w:ascii="宋体" w:hAnsi="宋体" w:cs="宋体"/>
                <w:color w:val="000000"/>
                <w:sz w:val="22"/>
                <w:szCs w:val="22"/>
              </w:rPr>
            </w:pPr>
            <w:r>
              <w:rPr>
                <w:rFonts w:hint="eastAsia"/>
                <w:color w:val="000000"/>
                <w:sz w:val="22"/>
                <w:szCs w:val="22"/>
              </w:rPr>
              <w:t>177</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0F46847B">
            <w:pPr>
              <w:jc w:val="center"/>
              <w:rPr>
                <w:rFonts w:ascii="宋体" w:hAnsi="宋体" w:cs="宋体"/>
                <w:color w:val="000000"/>
                <w:sz w:val="22"/>
                <w:szCs w:val="22"/>
              </w:rPr>
            </w:pPr>
            <w:r>
              <w:rPr>
                <w:rFonts w:hint="eastAsia"/>
                <w:color w:val="000000"/>
                <w:sz w:val="22"/>
                <w:szCs w:val="22"/>
              </w:rPr>
              <w:t>177</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FE59250">
            <w:pPr>
              <w:jc w:val="center"/>
              <w:rPr>
                <w:rFonts w:ascii="宋体" w:hAnsi="宋体" w:cs="宋体"/>
                <w:color w:val="000000"/>
                <w:sz w:val="22"/>
                <w:szCs w:val="22"/>
              </w:rPr>
            </w:pPr>
            <w:r>
              <w:rPr>
                <w:rFonts w:hint="eastAsia"/>
                <w:color w:val="000000"/>
                <w:sz w:val="22"/>
                <w:szCs w:val="22"/>
              </w:rPr>
              <w:t>171</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7CF735FB">
            <w:pPr>
              <w:jc w:val="center"/>
              <w:rPr>
                <w:rFonts w:ascii="宋体" w:hAnsi="宋体" w:cs="宋体"/>
                <w:color w:val="000000"/>
                <w:sz w:val="22"/>
                <w:szCs w:val="22"/>
              </w:rPr>
            </w:pPr>
            <w:r>
              <w:rPr>
                <w:rFonts w:hint="eastAsia"/>
                <w:color w:val="000000"/>
                <w:sz w:val="22"/>
                <w:szCs w:val="22"/>
              </w:rPr>
              <w:t>171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919C299">
            <w:pPr>
              <w:jc w:val="center"/>
              <w:rPr>
                <w:rFonts w:ascii="宋体" w:hAnsi="宋体" w:cs="宋体"/>
                <w:color w:val="000000"/>
                <w:sz w:val="22"/>
                <w:szCs w:val="22"/>
              </w:rPr>
            </w:pPr>
            <w:r>
              <w:rPr>
                <w:rFonts w:hint="eastAsia"/>
                <w:color w:val="000000"/>
                <w:sz w:val="22"/>
                <w:szCs w:val="22"/>
              </w:rPr>
              <w:t>166</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557ECADB">
            <w:pPr>
              <w:jc w:val="center"/>
              <w:rPr>
                <w:rFonts w:ascii="宋体" w:hAnsi="宋体" w:cs="宋体"/>
                <w:color w:val="000000"/>
                <w:sz w:val="22"/>
                <w:szCs w:val="22"/>
              </w:rPr>
            </w:pPr>
            <w:r>
              <w:rPr>
                <w:rFonts w:hint="eastAsia"/>
                <w:color w:val="000000"/>
                <w:sz w:val="22"/>
                <w:szCs w:val="22"/>
              </w:rPr>
              <w:t>156</w:t>
            </w:r>
          </w:p>
        </w:tc>
      </w:tr>
      <w:tr w14:paraId="7444D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2C397E24">
            <w:pPr>
              <w:widowControl w:val="0"/>
              <w:spacing w:line="300" w:lineRule="exact"/>
              <w:jc w:val="center"/>
              <w:rPr>
                <w:rFonts w:eastAsia="楷体_GB2312"/>
                <w:szCs w:val="21"/>
              </w:rPr>
            </w:pPr>
            <w:r>
              <w:rPr>
                <w:rFonts w:hint="eastAsia" w:eastAsia="楷体_GB2312"/>
                <w:szCs w:val="21"/>
              </w:rPr>
              <w:t>永安镇</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99AA29B">
            <w:pPr>
              <w:widowControl w:val="0"/>
              <w:spacing w:line="300" w:lineRule="exact"/>
              <w:jc w:val="center"/>
              <w:rPr>
                <w:rFonts w:eastAsia="楷体_GB2312"/>
                <w:szCs w:val="21"/>
              </w:rPr>
            </w:pPr>
            <w:r>
              <w:rPr>
                <w:rFonts w:eastAsia="楷体_GB2312"/>
                <w:szCs w:val="21"/>
              </w:rPr>
              <w:t>一级地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CF16696">
            <w:pPr>
              <w:jc w:val="center"/>
              <w:rPr>
                <w:rFonts w:ascii="宋体" w:hAnsi="宋体" w:cs="宋体"/>
                <w:color w:val="000000"/>
                <w:sz w:val="22"/>
                <w:szCs w:val="22"/>
              </w:rPr>
            </w:pPr>
            <w:r>
              <w:rPr>
                <w:rFonts w:hint="eastAsia"/>
                <w:color w:val="000000"/>
                <w:sz w:val="22"/>
                <w:szCs w:val="22"/>
              </w:rPr>
              <w:t>301</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F789176">
            <w:pPr>
              <w:jc w:val="center"/>
              <w:rPr>
                <w:rFonts w:ascii="宋体" w:hAnsi="宋体" w:cs="宋体"/>
                <w:color w:val="000000"/>
                <w:sz w:val="22"/>
                <w:szCs w:val="22"/>
              </w:rPr>
            </w:pPr>
            <w:r>
              <w:rPr>
                <w:rFonts w:hint="eastAsia"/>
                <w:color w:val="000000"/>
                <w:sz w:val="22"/>
                <w:szCs w:val="22"/>
              </w:rPr>
              <w:t>287</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F253F2F">
            <w:pPr>
              <w:jc w:val="center"/>
              <w:rPr>
                <w:rFonts w:ascii="宋体" w:hAnsi="宋体" w:cs="宋体"/>
                <w:color w:val="000000"/>
                <w:sz w:val="22"/>
                <w:szCs w:val="22"/>
              </w:rPr>
            </w:pPr>
            <w:r>
              <w:rPr>
                <w:rFonts w:hint="eastAsia"/>
                <w:color w:val="000000"/>
                <w:sz w:val="22"/>
                <w:szCs w:val="22"/>
              </w:rPr>
              <w:t>276</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17A28BC9">
            <w:pPr>
              <w:jc w:val="center"/>
              <w:rPr>
                <w:rFonts w:ascii="宋体" w:hAnsi="宋体" w:cs="宋体"/>
                <w:color w:val="000000"/>
                <w:sz w:val="22"/>
                <w:szCs w:val="22"/>
              </w:rPr>
            </w:pPr>
            <w:r>
              <w:rPr>
                <w:rFonts w:hint="eastAsia"/>
                <w:color w:val="000000"/>
                <w:sz w:val="22"/>
                <w:szCs w:val="22"/>
              </w:rPr>
              <w:t>276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33086196">
            <w:pPr>
              <w:jc w:val="center"/>
              <w:rPr>
                <w:rFonts w:ascii="宋体" w:hAnsi="宋体" w:cs="宋体"/>
                <w:color w:val="000000"/>
                <w:sz w:val="22"/>
                <w:szCs w:val="22"/>
              </w:rPr>
            </w:pPr>
            <w:r>
              <w:rPr>
                <w:rFonts w:hint="eastAsia"/>
                <w:color w:val="000000"/>
                <w:sz w:val="22"/>
                <w:szCs w:val="22"/>
              </w:rPr>
              <w:t>267</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24FA5886">
            <w:pPr>
              <w:jc w:val="center"/>
              <w:rPr>
                <w:rFonts w:ascii="宋体" w:hAnsi="宋体" w:cs="宋体"/>
                <w:color w:val="000000"/>
                <w:sz w:val="22"/>
                <w:szCs w:val="22"/>
              </w:rPr>
            </w:pPr>
            <w:r>
              <w:rPr>
                <w:rFonts w:hint="eastAsia"/>
                <w:color w:val="000000"/>
                <w:sz w:val="22"/>
                <w:szCs w:val="22"/>
              </w:rPr>
              <w:t>267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B182704">
            <w:pPr>
              <w:jc w:val="center"/>
              <w:rPr>
                <w:rFonts w:ascii="宋体" w:hAnsi="宋体" w:cs="宋体"/>
                <w:color w:val="000000"/>
                <w:sz w:val="22"/>
                <w:szCs w:val="22"/>
              </w:rPr>
            </w:pPr>
            <w:r>
              <w:rPr>
                <w:rFonts w:hint="eastAsia"/>
                <w:color w:val="000000"/>
                <w:sz w:val="22"/>
                <w:szCs w:val="22"/>
              </w:rPr>
              <w:t>258</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0727B7F1">
            <w:pPr>
              <w:jc w:val="center"/>
              <w:rPr>
                <w:rFonts w:ascii="宋体" w:hAnsi="宋体" w:cs="宋体"/>
                <w:color w:val="000000"/>
                <w:sz w:val="22"/>
                <w:szCs w:val="22"/>
              </w:rPr>
            </w:pPr>
            <w:r>
              <w:rPr>
                <w:rFonts w:hint="eastAsia"/>
                <w:color w:val="000000"/>
                <w:sz w:val="22"/>
                <w:szCs w:val="22"/>
              </w:rPr>
              <w:t>244</w:t>
            </w:r>
          </w:p>
        </w:tc>
      </w:tr>
      <w:tr w14:paraId="76338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2979948D">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CA3C9AB">
            <w:pPr>
              <w:widowControl w:val="0"/>
              <w:spacing w:line="300" w:lineRule="exact"/>
              <w:jc w:val="center"/>
              <w:rPr>
                <w:rFonts w:eastAsia="楷体_GB2312"/>
                <w:szCs w:val="21"/>
              </w:rPr>
            </w:pPr>
            <w:r>
              <w:rPr>
                <w:rFonts w:eastAsia="楷体_GB2312"/>
                <w:szCs w:val="21"/>
              </w:rPr>
              <w:t>二级地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19AB5DC">
            <w:pPr>
              <w:jc w:val="center"/>
              <w:rPr>
                <w:rFonts w:ascii="宋体" w:hAnsi="宋体" w:cs="宋体"/>
                <w:color w:val="000000"/>
                <w:sz w:val="22"/>
                <w:szCs w:val="22"/>
              </w:rPr>
            </w:pPr>
            <w:r>
              <w:rPr>
                <w:rFonts w:hint="eastAsia"/>
                <w:color w:val="000000"/>
                <w:sz w:val="22"/>
                <w:szCs w:val="22"/>
              </w:rPr>
              <w:t>250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9D599F1">
            <w:pPr>
              <w:jc w:val="center"/>
              <w:rPr>
                <w:rFonts w:ascii="宋体" w:hAnsi="宋体" w:cs="宋体"/>
                <w:color w:val="000000"/>
                <w:sz w:val="22"/>
                <w:szCs w:val="22"/>
              </w:rPr>
            </w:pPr>
            <w:r>
              <w:rPr>
                <w:rFonts w:hint="eastAsia"/>
                <w:color w:val="000000"/>
                <w:sz w:val="22"/>
                <w:szCs w:val="22"/>
              </w:rPr>
              <w:t>238</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DCA746C">
            <w:pPr>
              <w:jc w:val="center"/>
              <w:rPr>
                <w:rFonts w:ascii="宋体" w:hAnsi="宋体" w:cs="宋体"/>
                <w:color w:val="000000"/>
                <w:sz w:val="22"/>
                <w:szCs w:val="22"/>
              </w:rPr>
            </w:pPr>
            <w:r>
              <w:rPr>
                <w:rFonts w:hint="eastAsia"/>
                <w:color w:val="000000"/>
                <w:sz w:val="22"/>
                <w:szCs w:val="22"/>
              </w:rPr>
              <w:t>228</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3082041A">
            <w:pPr>
              <w:jc w:val="center"/>
              <w:rPr>
                <w:rFonts w:ascii="宋体" w:hAnsi="宋体" w:cs="宋体"/>
                <w:color w:val="000000"/>
                <w:sz w:val="22"/>
                <w:szCs w:val="22"/>
              </w:rPr>
            </w:pPr>
            <w:r>
              <w:rPr>
                <w:rFonts w:hint="eastAsia"/>
                <w:color w:val="000000"/>
                <w:sz w:val="22"/>
                <w:szCs w:val="22"/>
              </w:rPr>
              <w:t>228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327F43F">
            <w:pPr>
              <w:jc w:val="center"/>
              <w:rPr>
                <w:rFonts w:ascii="宋体" w:hAnsi="宋体" w:cs="宋体"/>
                <w:color w:val="000000"/>
                <w:sz w:val="22"/>
                <w:szCs w:val="22"/>
              </w:rPr>
            </w:pPr>
            <w:r>
              <w:rPr>
                <w:rFonts w:hint="eastAsia"/>
                <w:color w:val="000000"/>
                <w:sz w:val="22"/>
                <w:szCs w:val="22"/>
              </w:rPr>
              <w:t>221</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74B68CED">
            <w:pPr>
              <w:jc w:val="center"/>
              <w:rPr>
                <w:rFonts w:ascii="宋体" w:hAnsi="宋体" w:cs="宋体"/>
                <w:color w:val="000000"/>
                <w:sz w:val="22"/>
                <w:szCs w:val="22"/>
              </w:rPr>
            </w:pPr>
            <w:r>
              <w:rPr>
                <w:rFonts w:hint="eastAsia"/>
                <w:color w:val="000000"/>
                <w:sz w:val="22"/>
                <w:szCs w:val="22"/>
              </w:rPr>
              <w:t>221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4A6F77D">
            <w:pPr>
              <w:jc w:val="center"/>
              <w:rPr>
                <w:rFonts w:ascii="宋体" w:hAnsi="宋体" w:cs="宋体"/>
                <w:color w:val="000000"/>
                <w:sz w:val="22"/>
                <w:szCs w:val="22"/>
              </w:rPr>
            </w:pPr>
            <w:r>
              <w:rPr>
                <w:rFonts w:hint="eastAsia"/>
                <w:color w:val="000000"/>
                <w:sz w:val="22"/>
                <w:szCs w:val="22"/>
              </w:rPr>
              <w:t>214</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569F0F35">
            <w:pPr>
              <w:jc w:val="center"/>
              <w:rPr>
                <w:rFonts w:ascii="宋体" w:hAnsi="宋体" w:cs="宋体"/>
                <w:color w:val="000000"/>
                <w:sz w:val="22"/>
                <w:szCs w:val="22"/>
              </w:rPr>
            </w:pPr>
            <w:r>
              <w:rPr>
                <w:rFonts w:hint="eastAsia"/>
                <w:color w:val="000000"/>
                <w:sz w:val="22"/>
                <w:szCs w:val="22"/>
              </w:rPr>
              <w:t>202</w:t>
            </w:r>
          </w:p>
        </w:tc>
      </w:tr>
      <w:tr w14:paraId="1C482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3AC698D1">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0A103BC">
            <w:pPr>
              <w:widowControl w:val="0"/>
              <w:spacing w:line="300" w:lineRule="exact"/>
              <w:jc w:val="center"/>
              <w:rPr>
                <w:rFonts w:eastAsia="楷体_GB2312"/>
                <w:szCs w:val="21"/>
              </w:rPr>
            </w:pPr>
            <w:r>
              <w:rPr>
                <w:rFonts w:eastAsia="楷体_GB2312"/>
                <w:szCs w:val="21"/>
              </w:rPr>
              <w:t>三级地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316C9AB">
            <w:pPr>
              <w:jc w:val="center"/>
              <w:rPr>
                <w:rFonts w:ascii="宋体" w:hAnsi="宋体" w:cs="宋体"/>
                <w:color w:val="000000"/>
                <w:sz w:val="22"/>
                <w:szCs w:val="22"/>
              </w:rPr>
            </w:pPr>
            <w:r>
              <w:rPr>
                <w:rFonts w:hint="eastAsia"/>
                <w:color w:val="000000"/>
                <w:sz w:val="22"/>
                <w:szCs w:val="22"/>
              </w:rPr>
              <w:t>193</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8934DD9">
            <w:pPr>
              <w:jc w:val="center"/>
              <w:rPr>
                <w:rFonts w:ascii="宋体" w:hAnsi="宋体" w:cs="宋体"/>
                <w:color w:val="000000"/>
                <w:sz w:val="22"/>
                <w:szCs w:val="22"/>
              </w:rPr>
            </w:pPr>
            <w:r>
              <w:rPr>
                <w:rFonts w:hint="eastAsia"/>
                <w:color w:val="000000"/>
                <w:sz w:val="22"/>
                <w:szCs w:val="22"/>
              </w:rPr>
              <w:t>184</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02C1E05">
            <w:pPr>
              <w:jc w:val="center"/>
              <w:rPr>
                <w:rFonts w:ascii="宋体" w:hAnsi="宋体" w:cs="宋体"/>
                <w:color w:val="000000"/>
                <w:sz w:val="22"/>
                <w:szCs w:val="22"/>
              </w:rPr>
            </w:pPr>
            <w:r>
              <w:rPr>
                <w:rFonts w:hint="eastAsia"/>
                <w:color w:val="000000"/>
                <w:sz w:val="22"/>
                <w:szCs w:val="22"/>
              </w:rPr>
              <w:t>177</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4AD1133A">
            <w:pPr>
              <w:jc w:val="center"/>
              <w:rPr>
                <w:rFonts w:ascii="宋体" w:hAnsi="宋体" w:cs="宋体"/>
                <w:color w:val="000000"/>
                <w:sz w:val="22"/>
                <w:szCs w:val="22"/>
              </w:rPr>
            </w:pPr>
            <w:r>
              <w:rPr>
                <w:rFonts w:hint="eastAsia"/>
                <w:color w:val="000000"/>
                <w:sz w:val="22"/>
                <w:szCs w:val="22"/>
              </w:rPr>
              <w:t>177</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6B53B13">
            <w:pPr>
              <w:jc w:val="center"/>
              <w:rPr>
                <w:rFonts w:ascii="宋体" w:hAnsi="宋体" w:cs="宋体"/>
                <w:color w:val="000000"/>
                <w:sz w:val="22"/>
                <w:szCs w:val="22"/>
              </w:rPr>
            </w:pPr>
            <w:r>
              <w:rPr>
                <w:rFonts w:hint="eastAsia"/>
                <w:color w:val="000000"/>
                <w:sz w:val="22"/>
                <w:szCs w:val="22"/>
              </w:rPr>
              <w:t>171</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391209D8">
            <w:pPr>
              <w:jc w:val="center"/>
              <w:rPr>
                <w:rFonts w:ascii="宋体" w:hAnsi="宋体" w:cs="宋体"/>
                <w:color w:val="000000"/>
                <w:sz w:val="22"/>
                <w:szCs w:val="22"/>
              </w:rPr>
            </w:pPr>
            <w:r>
              <w:rPr>
                <w:rFonts w:hint="eastAsia"/>
                <w:color w:val="000000"/>
                <w:sz w:val="22"/>
                <w:szCs w:val="22"/>
              </w:rPr>
              <w:t>171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5146A20">
            <w:pPr>
              <w:jc w:val="center"/>
              <w:rPr>
                <w:rFonts w:ascii="宋体" w:hAnsi="宋体" w:cs="宋体"/>
                <w:color w:val="000000"/>
                <w:sz w:val="22"/>
                <w:szCs w:val="22"/>
              </w:rPr>
            </w:pPr>
            <w:r>
              <w:rPr>
                <w:rFonts w:hint="eastAsia"/>
                <w:color w:val="000000"/>
                <w:sz w:val="22"/>
                <w:szCs w:val="22"/>
              </w:rPr>
              <w:t>166</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11BC788F">
            <w:pPr>
              <w:jc w:val="center"/>
              <w:rPr>
                <w:rFonts w:ascii="宋体" w:hAnsi="宋体" w:cs="宋体"/>
                <w:color w:val="000000"/>
                <w:sz w:val="22"/>
                <w:szCs w:val="22"/>
              </w:rPr>
            </w:pPr>
            <w:r>
              <w:rPr>
                <w:rFonts w:hint="eastAsia"/>
                <w:color w:val="000000"/>
                <w:sz w:val="22"/>
                <w:szCs w:val="22"/>
              </w:rPr>
              <w:t>156</w:t>
            </w:r>
          </w:p>
        </w:tc>
      </w:tr>
      <w:tr w14:paraId="63504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1EB1967C">
            <w:pPr>
              <w:widowControl w:val="0"/>
              <w:spacing w:line="300" w:lineRule="exact"/>
              <w:jc w:val="center"/>
              <w:rPr>
                <w:rFonts w:eastAsia="楷体_GB2312"/>
                <w:szCs w:val="21"/>
              </w:rPr>
            </w:pPr>
            <w:r>
              <w:rPr>
                <w:rFonts w:hint="eastAsia" w:eastAsia="楷体_GB2312"/>
                <w:szCs w:val="21"/>
              </w:rPr>
              <w:t>支河乡</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D9896C1">
            <w:pPr>
              <w:widowControl w:val="0"/>
              <w:spacing w:line="300" w:lineRule="exact"/>
              <w:jc w:val="center"/>
              <w:rPr>
                <w:rFonts w:eastAsia="楷体_GB2312"/>
                <w:szCs w:val="21"/>
              </w:rPr>
            </w:pPr>
            <w:r>
              <w:rPr>
                <w:rFonts w:eastAsia="楷体_GB2312"/>
                <w:szCs w:val="21"/>
              </w:rPr>
              <w:t>一级地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33866FE">
            <w:pPr>
              <w:jc w:val="center"/>
              <w:rPr>
                <w:rFonts w:ascii="宋体" w:hAnsi="宋体" w:cs="宋体"/>
                <w:color w:val="000000"/>
                <w:sz w:val="22"/>
                <w:szCs w:val="22"/>
              </w:rPr>
            </w:pPr>
            <w:r>
              <w:rPr>
                <w:rFonts w:hint="eastAsia"/>
                <w:color w:val="000000"/>
                <w:sz w:val="22"/>
                <w:szCs w:val="22"/>
              </w:rPr>
              <w:t>284</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BBF05C2">
            <w:pPr>
              <w:jc w:val="center"/>
              <w:rPr>
                <w:rFonts w:ascii="宋体" w:hAnsi="宋体" w:cs="宋体"/>
                <w:color w:val="000000"/>
                <w:sz w:val="22"/>
                <w:szCs w:val="22"/>
              </w:rPr>
            </w:pPr>
            <w:r>
              <w:rPr>
                <w:rFonts w:hint="eastAsia"/>
                <w:color w:val="000000"/>
                <w:sz w:val="22"/>
                <w:szCs w:val="22"/>
              </w:rPr>
              <w:t>270</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F467C32">
            <w:pPr>
              <w:jc w:val="center"/>
              <w:rPr>
                <w:rFonts w:ascii="宋体" w:hAnsi="宋体" w:cs="宋体"/>
                <w:color w:val="000000"/>
                <w:sz w:val="22"/>
                <w:szCs w:val="22"/>
              </w:rPr>
            </w:pPr>
            <w:r>
              <w:rPr>
                <w:rFonts w:hint="eastAsia"/>
                <w:color w:val="000000"/>
                <w:sz w:val="22"/>
                <w:szCs w:val="22"/>
              </w:rPr>
              <w:t>259</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24F1E48E">
            <w:pPr>
              <w:jc w:val="center"/>
              <w:rPr>
                <w:rFonts w:ascii="宋体" w:hAnsi="宋体" w:cs="宋体"/>
                <w:color w:val="000000"/>
                <w:sz w:val="22"/>
                <w:szCs w:val="22"/>
              </w:rPr>
            </w:pPr>
            <w:r>
              <w:rPr>
                <w:rFonts w:hint="eastAsia"/>
                <w:color w:val="000000"/>
                <w:sz w:val="22"/>
                <w:szCs w:val="22"/>
              </w:rPr>
              <w:t>259</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2BFE776">
            <w:pPr>
              <w:jc w:val="center"/>
              <w:rPr>
                <w:rFonts w:ascii="宋体" w:hAnsi="宋体" w:cs="宋体"/>
                <w:color w:val="000000"/>
                <w:sz w:val="22"/>
                <w:szCs w:val="22"/>
              </w:rPr>
            </w:pPr>
            <w:r>
              <w:rPr>
                <w:rFonts w:hint="eastAsia"/>
                <w:color w:val="000000"/>
                <w:sz w:val="22"/>
                <w:szCs w:val="22"/>
              </w:rPr>
              <w:t>251</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1CA20EE5">
            <w:pPr>
              <w:jc w:val="center"/>
              <w:rPr>
                <w:rFonts w:ascii="宋体" w:hAnsi="宋体" w:cs="宋体"/>
                <w:color w:val="000000"/>
                <w:sz w:val="22"/>
                <w:szCs w:val="22"/>
              </w:rPr>
            </w:pPr>
            <w:r>
              <w:rPr>
                <w:rFonts w:hint="eastAsia"/>
                <w:color w:val="000000"/>
                <w:sz w:val="22"/>
                <w:szCs w:val="22"/>
              </w:rPr>
              <w:t>251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F29E5F6">
            <w:pPr>
              <w:jc w:val="center"/>
              <w:rPr>
                <w:rFonts w:ascii="宋体" w:hAnsi="宋体" w:cs="宋体"/>
                <w:color w:val="000000"/>
                <w:sz w:val="22"/>
                <w:szCs w:val="22"/>
              </w:rPr>
            </w:pPr>
            <w:r>
              <w:rPr>
                <w:rFonts w:hint="eastAsia"/>
                <w:color w:val="000000"/>
                <w:sz w:val="22"/>
                <w:szCs w:val="22"/>
              </w:rPr>
              <w:t>243</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7224D7C1">
            <w:pPr>
              <w:jc w:val="center"/>
              <w:rPr>
                <w:rFonts w:ascii="宋体" w:hAnsi="宋体" w:cs="宋体"/>
                <w:color w:val="000000"/>
                <w:sz w:val="22"/>
                <w:szCs w:val="22"/>
              </w:rPr>
            </w:pPr>
            <w:r>
              <w:rPr>
                <w:rFonts w:hint="eastAsia"/>
                <w:color w:val="000000"/>
                <w:sz w:val="22"/>
                <w:szCs w:val="22"/>
              </w:rPr>
              <w:t>230</w:t>
            </w:r>
          </w:p>
        </w:tc>
      </w:tr>
      <w:tr w14:paraId="6A60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55C4194E">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3C9DD03">
            <w:pPr>
              <w:widowControl w:val="0"/>
              <w:spacing w:line="300" w:lineRule="exact"/>
              <w:jc w:val="center"/>
              <w:rPr>
                <w:rFonts w:eastAsia="楷体_GB2312"/>
                <w:szCs w:val="21"/>
              </w:rPr>
            </w:pPr>
            <w:r>
              <w:rPr>
                <w:rFonts w:eastAsia="楷体_GB2312"/>
                <w:szCs w:val="21"/>
              </w:rPr>
              <w:t>二级地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5F3FE13">
            <w:pPr>
              <w:jc w:val="center"/>
              <w:rPr>
                <w:rFonts w:ascii="宋体" w:hAnsi="宋体" w:cs="宋体"/>
                <w:color w:val="000000"/>
                <w:sz w:val="22"/>
                <w:szCs w:val="22"/>
              </w:rPr>
            </w:pPr>
            <w:r>
              <w:rPr>
                <w:rFonts w:hint="eastAsia"/>
                <w:color w:val="000000"/>
                <w:sz w:val="22"/>
                <w:szCs w:val="22"/>
              </w:rPr>
              <w:t>239</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2114029">
            <w:pPr>
              <w:jc w:val="center"/>
              <w:rPr>
                <w:rFonts w:ascii="宋体" w:hAnsi="宋体" w:cs="宋体"/>
                <w:color w:val="000000"/>
                <w:sz w:val="22"/>
                <w:szCs w:val="22"/>
              </w:rPr>
            </w:pPr>
            <w:r>
              <w:rPr>
                <w:rFonts w:hint="eastAsia"/>
                <w:color w:val="000000"/>
                <w:sz w:val="22"/>
                <w:szCs w:val="22"/>
              </w:rPr>
              <w:t>228</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855A9F9">
            <w:pPr>
              <w:jc w:val="center"/>
              <w:rPr>
                <w:rFonts w:ascii="宋体" w:hAnsi="宋体" w:cs="宋体"/>
                <w:color w:val="000000"/>
                <w:sz w:val="22"/>
                <w:szCs w:val="22"/>
              </w:rPr>
            </w:pPr>
            <w:r>
              <w:rPr>
                <w:rFonts w:hint="eastAsia"/>
                <w:color w:val="000000"/>
                <w:sz w:val="22"/>
                <w:szCs w:val="22"/>
              </w:rPr>
              <w:t>219</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10368D44">
            <w:pPr>
              <w:jc w:val="center"/>
              <w:rPr>
                <w:rFonts w:ascii="宋体" w:hAnsi="宋体" w:cs="宋体"/>
                <w:color w:val="000000"/>
                <w:sz w:val="22"/>
                <w:szCs w:val="22"/>
              </w:rPr>
            </w:pPr>
            <w:r>
              <w:rPr>
                <w:rFonts w:hint="eastAsia"/>
                <w:color w:val="000000"/>
                <w:sz w:val="22"/>
                <w:szCs w:val="22"/>
              </w:rPr>
              <w:t>219</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C4A2BFA">
            <w:pPr>
              <w:jc w:val="center"/>
              <w:rPr>
                <w:rFonts w:ascii="宋体" w:hAnsi="宋体" w:cs="宋体"/>
                <w:color w:val="000000"/>
                <w:sz w:val="22"/>
                <w:szCs w:val="22"/>
              </w:rPr>
            </w:pPr>
            <w:r>
              <w:rPr>
                <w:rFonts w:hint="eastAsia"/>
                <w:color w:val="000000"/>
                <w:sz w:val="22"/>
                <w:szCs w:val="22"/>
              </w:rPr>
              <w:t>212</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6BEE6F72">
            <w:pPr>
              <w:jc w:val="center"/>
              <w:rPr>
                <w:rFonts w:ascii="宋体" w:hAnsi="宋体" w:cs="宋体"/>
                <w:color w:val="000000"/>
                <w:sz w:val="22"/>
                <w:szCs w:val="22"/>
              </w:rPr>
            </w:pPr>
            <w:r>
              <w:rPr>
                <w:rFonts w:hint="eastAsia"/>
                <w:color w:val="000000"/>
                <w:sz w:val="22"/>
                <w:szCs w:val="22"/>
              </w:rPr>
              <w:t>212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E1AEF80">
            <w:pPr>
              <w:jc w:val="center"/>
              <w:rPr>
                <w:rFonts w:ascii="宋体" w:hAnsi="宋体" w:cs="宋体"/>
                <w:color w:val="000000"/>
                <w:sz w:val="22"/>
                <w:szCs w:val="22"/>
              </w:rPr>
            </w:pPr>
            <w:r>
              <w:rPr>
                <w:rFonts w:hint="eastAsia"/>
                <w:color w:val="000000"/>
                <w:sz w:val="22"/>
                <w:szCs w:val="22"/>
              </w:rPr>
              <w:t>205</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2C3E5AEB">
            <w:pPr>
              <w:jc w:val="center"/>
              <w:rPr>
                <w:rFonts w:ascii="宋体" w:hAnsi="宋体" w:cs="宋体"/>
                <w:color w:val="000000"/>
                <w:sz w:val="22"/>
                <w:szCs w:val="22"/>
              </w:rPr>
            </w:pPr>
            <w:r>
              <w:rPr>
                <w:rFonts w:hint="eastAsia"/>
                <w:color w:val="000000"/>
                <w:sz w:val="22"/>
                <w:szCs w:val="22"/>
              </w:rPr>
              <w:t>194</w:t>
            </w:r>
          </w:p>
        </w:tc>
      </w:tr>
      <w:tr w14:paraId="31589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16F79468">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26403767">
            <w:pPr>
              <w:widowControl w:val="0"/>
              <w:spacing w:line="300" w:lineRule="exact"/>
              <w:jc w:val="center"/>
              <w:rPr>
                <w:rFonts w:eastAsia="楷体_GB2312"/>
                <w:szCs w:val="21"/>
              </w:rPr>
            </w:pPr>
            <w:r>
              <w:rPr>
                <w:rFonts w:eastAsia="楷体_GB2312"/>
                <w:szCs w:val="21"/>
              </w:rPr>
              <w:t>三级地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4C7BCD8">
            <w:pPr>
              <w:jc w:val="center"/>
              <w:rPr>
                <w:rFonts w:ascii="宋体" w:hAnsi="宋体" w:cs="宋体"/>
                <w:color w:val="000000"/>
                <w:sz w:val="22"/>
                <w:szCs w:val="22"/>
              </w:rPr>
            </w:pPr>
            <w:r>
              <w:rPr>
                <w:rFonts w:hint="eastAsia"/>
                <w:color w:val="000000"/>
                <w:sz w:val="22"/>
                <w:szCs w:val="22"/>
              </w:rPr>
              <w:t>188</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412BB02">
            <w:pPr>
              <w:jc w:val="center"/>
              <w:rPr>
                <w:rFonts w:ascii="宋体" w:hAnsi="宋体" w:cs="宋体"/>
                <w:color w:val="000000"/>
                <w:sz w:val="22"/>
                <w:szCs w:val="22"/>
              </w:rPr>
            </w:pPr>
            <w:r>
              <w:rPr>
                <w:rFonts w:hint="eastAsia"/>
                <w:color w:val="000000"/>
                <w:sz w:val="22"/>
                <w:szCs w:val="22"/>
              </w:rPr>
              <w:t>179</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2CD7D3A">
            <w:pPr>
              <w:jc w:val="center"/>
              <w:rPr>
                <w:rFonts w:ascii="宋体" w:hAnsi="宋体" w:cs="宋体"/>
                <w:color w:val="000000"/>
                <w:sz w:val="22"/>
                <w:szCs w:val="22"/>
              </w:rPr>
            </w:pPr>
            <w:r>
              <w:rPr>
                <w:rFonts w:hint="eastAsia"/>
                <w:color w:val="000000"/>
                <w:sz w:val="22"/>
                <w:szCs w:val="22"/>
              </w:rPr>
              <w:t>172</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1AA9345F">
            <w:pPr>
              <w:jc w:val="center"/>
              <w:rPr>
                <w:rFonts w:ascii="宋体" w:hAnsi="宋体" w:cs="宋体"/>
                <w:color w:val="000000"/>
                <w:sz w:val="22"/>
                <w:szCs w:val="22"/>
              </w:rPr>
            </w:pPr>
            <w:r>
              <w:rPr>
                <w:rFonts w:hint="eastAsia"/>
                <w:color w:val="000000"/>
                <w:sz w:val="22"/>
                <w:szCs w:val="22"/>
              </w:rPr>
              <w:t>172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182B4D5">
            <w:pPr>
              <w:jc w:val="center"/>
              <w:rPr>
                <w:rFonts w:ascii="宋体" w:hAnsi="宋体" w:cs="宋体"/>
                <w:color w:val="000000"/>
                <w:sz w:val="22"/>
                <w:szCs w:val="22"/>
              </w:rPr>
            </w:pPr>
            <w:r>
              <w:rPr>
                <w:rFonts w:hint="eastAsia"/>
                <w:color w:val="000000"/>
                <w:sz w:val="22"/>
                <w:szCs w:val="22"/>
              </w:rPr>
              <w:t>166</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05E2C096">
            <w:pPr>
              <w:jc w:val="center"/>
              <w:rPr>
                <w:rFonts w:ascii="宋体" w:hAnsi="宋体" w:cs="宋体"/>
                <w:color w:val="000000"/>
                <w:sz w:val="22"/>
                <w:szCs w:val="22"/>
              </w:rPr>
            </w:pPr>
            <w:r>
              <w:rPr>
                <w:rFonts w:hint="eastAsia"/>
                <w:color w:val="000000"/>
                <w:sz w:val="22"/>
                <w:szCs w:val="22"/>
              </w:rPr>
              <w:t>166</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BE93B46">
            <w:pPr>
              <w:jc w:val="center"/>
              <w:rPr>
                <w:rFonts w:ascii="宋体" w:hAnsi="宋体" w:cs="宋体"/>
                <w:color w:val="000000"/>
                <w:sz w:val="22"/>
                <w:szCs w:val="22"/>
              </w:rPr>
            </w:pPr>
            <w:r>
              <w:rPr>
                <w:rFonts w:hint="eastAsia"/>
                <w:color w:val="000000"/>
                <w:sz w:val="22"/>
                <w:szCs w:val="22"/>
              </w:rPr>
              <w:t>161</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79985FA4">
            <w:pPr>
              <w:jc w:val="center"/>
              <w:rPr>
                <w:rFonts w:ascii="宋体" w:hAnsi="宋体" w:cs="宋体"/>
                <w:color w:val="000000"/>
                <w:sz w:val="22"/>
                <w:szCs w:val="22"/>
              </w:rPr>
            </w:pPr>
            <w:r>
              <w:rPr>
                <w:rFonts w:hint="eastAsia"/>
                <w:color w:val="000000"/>
                <w:sz w:val="22"/>
                <w:szCs w:val="22"/>
              </w:rPr>
              <w:t>152</w:t>
            </w:r>
          </w:p>
        </w:tc>
      </w:tr>
      <w:tr w14:paraId="0AA94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7C7F5407">
            <w:pPr>
              <w:widowControl w:val="0"/>
              <w:spacing w:line="300" w:lineRule="exact"/>
              <w:jc w:val="center"/>
              <w:rPr>
                <w:rFonts w:eastAsia="楷体_GB2312"/>
                <w:szCs w:val="21"/>
              </w:rPr>
            </w:pPr>
            <w:r>
              <w:rPr>
                <w:rFonts w:hint="eastAsia" w:eastAsia="楷体_GB2312"/>
                <w:szCs w:val="21"/>
              </w:rPr>
              <w:t>灰古镇</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330F5DA">
            <w:pPr>
              <w:widowControl w:val="0"/>
              <w:spacing w:line="300" w:lineRule="exact"/>
              <w:jc w:val="center"/>
              <w:rPr>
                <w:rFonts w:eastAsia="楷体_GB2312"/>
                <w:szCs w:val="21"/>
              </w:rPr>
            </w:pPr>
            <w:r>
              <w:rPr>
                <w:rFonts w:eastAsia="楷体_GB2312"/>
                <w:szCs w:val="21"/>
              </w:rPr>
              <w:t>一级地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53DD25E1">
            <w:pPr>
              <w:jc w:val="center"/>
              <w:rPr>
                <w:rFonts w:ascii="宋体" w:hAnsi="宋体" w:cs="宋体"/>
                <w:color w:val="000000"/>
                <w:sz w:val="22"/>
                <w:szCs w:val="22"/>
              </w:rPr>
            </w:pPr>
            <w:r>
              <w:rPr>
                <w:rFonts w:hint="eastAsia"/>
                <w:color w:val="000000"/>
                <w:sz w:val="22"/>
                <w:szCs w:val="22"/>
              </w:rPr>
              <w:t>290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DF66882">
            <w:pPr>
              <w:jc w:val="center"/>
              <w:rPr>
                <w:rFonts w:ascii="宋体" w:hAnsi="宋体" w:cs="宋体"/>
                <w:color w:val="000000"/>
                <w:sz w:val="22"/>
                <w:szCs w:val="22"/>
              </w:rPr>
            </w:pPr>
            <w:r>
              <w:rPr>
                <w:rFonts w:hint="eastAsia"/>
                <w:color w:val="000000"/>
                <w:sz w:val="22"/>
                <w:szCs w:val="22"/>
              </w:rPr>
              <w:t>276</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D7F6E94">
            <w:pPr>
              <w:jc w:val="center"/>
              <w:rPr>
                <w:rFonts w:ascii="宋体" w:hAnsi="宋体" w:cs="宋体"/>
                <w:color w:val="000000"/>
                <w:sz w:val="22"/>
                <w:szCs w:val="22"/>
              </w:rPr>
            </w:pPr>
            <w:r>
              <w:rPr>
                <w:rFonts w:hint="eastAsia"/>
                <w:color w:val="000000"/>
                <w:sz w:val="22"/>
                <w:szCs w:val="22"/>
              </w:rPr>
              <w:t>265</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2FBEB933">
            <w:pPr>
              <w:jc w:val="center"/>
              <w:rPr>
                <w:rFonts w:ascii="宋体" w:hAnsi="宋体" w:cs="宋体"/>
                <w:color w:val="000000"/>
                <w:sz w:val="22"/>
                <w:szCs w:val="22"/>
              </w:rPr>
            </w:pPr>
            <w:r>
              <w:rPr>
                <w:rFonts w:hint="eastAsia"/>
                <w:color w:val="000000"/>
                <w:sz w:val="22"/>
                <w:szCs w:val="22"/>
              </w:rPr>
              <w:t>265</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FCBCF0E">
            <w:pPr>
              <w:jc w:val="center"/>
              <w:rPr>
                <w:rFonts w:ascii="宋体" w:hAnsi="宋体" w:cs="宋体"/>
                <w:color w:val="000000"/>
                <w:sz w:val="22"/>
                <w:szCs w:val="22"/>
              </w:rPr>
            </w:pPr>
            <w:r>
              <w:rPr>
                <w:rFonts w:hint="eastAsia"/>
                <w:color w:val="000000"/>
                <w:sz w:val="22"/>
                <w:szCs w:val="22"/>
              </w:rPr>
              <w:t>257</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2F77A353">
            <w:pPr>
              <w:jc w:val="center"/>
              <w:rPr>
                <w:rFonts w:ascii="宋体" w:hAnsi="宋体" w:cs="宋体"/>
                <w:color w:val="000000"/>
                <w:sz w:val="22"/>
                <w:szCs w:val="22"/>
              </w:rPr>
            </w:pPr>
            <w:r>
              <w:rPr>
                <w:rFonts w:hint="eastAsia"/>
                <w:color w:val="000000"/>
                <w:sz w:val="22"/>
                <w:szCs w:val="22"/>
              </w:rPr>
              <w:t>257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0CB1BB2">
            <w:pPr>
              <w:jc w:val="center"/>
              <w:rPr>
                <w:rFonts w:ascii="宋体" w:hAnsi="宋体" w:cs="宋体"/>
                <w:color w:val="000000"/>
                <w:sz w:val="22"/>
                <w:szCs w:val="22"/>
              </w:rPr>
            </w:pPr>
            <w:r>
              <w:rPr>
                <w:rFonts w:hint="eastAsia"/>
                <w:color w:val="000000"/>
                <w:sz w:val="22"/>
                <w:szCs w:val="22"/>
              </w:rPr>
              <w:t>248</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5394F588">
            <w:pPr>
              <w:jc w:val="center"/>
              <w:rPr>
                <w:rFonts w:ascii="宋体" w:hAnsi="宋体" w:cs="宋体"/>
                <w:color w:val="000000"/>
                <w:sz w:val="22"/>
                <w:szCs w:val="22"/>
              </w:rPr>
            </w:pPr>
            <w:r>
              <w:rPr>
                <w:rFonts w:hint="eastAsia"/>
                <w:color w:val="000000"/>
                <w:sz w:val="22"/>
                <w:szCs w:val="22"/>
              </w:rPr>
              <w:t>235</w:t>
            </w:r>
          </w:p>
        </w:tc>
      </w:tr>
      <w:tr w14:paraId="2F14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0369C7CF">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239C9850">
            <w:pPr>
              <w:widowControl w:val="0"/>
              <w:spacing w:line="300" w:lineRule="exact"/>
              <w:jc w:val="center"/>
              <w:rPr>
                <w:rFonts w:eastAsia="楷体_GB2312"/>
                <w:szCs w:val="21"/>
              </w:rPr>
            </w:pPr>
            <w:r>
              <w:rPr>
                <w:rFonts w:eastAsia="楷体_GB2312"/>
                <w:szCs w:val="21"/>
              </w:rPr>
              <w:t>二级地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EC67EAC">
            <w:pPr>
              <w:jc w:val="center"/>
              <w:rPr>
                <w:rFonts w:ascii="宋体" w:hAnsi="宋体" w:cs="宋体"/>
                <w:color w:val="000000"/>
                <w:sz w:val="22"/>
                <w:szCs w:val="22"/>
              </w:rPr>
            </w:pPr>
            <w:r>
              <w:rPr>
                <w:rFonts w:hint="eastAsia"/>
                <w:color w:val="000000"/>
                <w:sz w:val="22"/>
                <w:szCs w:val="22"/>
              </w:rPr>
              <w:t>250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D8C7857">
            <w:pPr>
              <w:jc w:val="center"/>
              <w:rPr>
                <w:rFonts w:ascii="宋体" w:hAnsi="宋体" w:cs="宋体"/>
                <w:color w:val="000000"/>
                <w:sz w:val="22"/>
                <w:szCs w:val="22"/>
              </w:rPr>
            </w:pPr>
            <w:r>
              <w:rPr>
                <w:rFonts w:hint="eastAsia"/>
                <w:color w:val="000000"/>
                <w:sz w:val="22"/>
                <w:szCs w:val="22"/>
              </w:rPr>
              <w:t>238</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2A84CD3">
            <w:pPr>
              <w:jc w:val="center"/>
              <w:rPr>
                <w:rFonts w:ascii="宋体" w:hAnsi="宋体" w:cs="宋体"/>
                <w:color w:val="000000"/>
                <w:sz w:val="22"/>
                <w:szCs w:val="22"/>
              </w:rPr>
            </w:pPr>
            <w:r>
              <w:rPr>
                <w:rFonts w:hint="eastAsia"/>
                <w:color w:val="000000"/>
                <w:sz w:val="22"/>
                <w:szCs w:val="22"/>
              </w:rPr>
              <w:t>228</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62B0E7A5">
            <w:pPr>
              <w:jc w:val="center"/>
              <w:rPr>
                <w:rFonts w:ascii="宋体" w:hAnsi="宋体" w:cs="宋体"/>
                <w:color w:val="000000"/>
                <w:sz w:val="22"/>
                <w:szCs w:val="22"/>
              </w:rPr>
            </w:pPr>
            <w:r>
              <w:rPr>
                <w:rFonts w:hint="eastAsia"/>
                <w:color w:val="000000"/>
                <w:sz w:val="22"/>
                <w:szCs w:val="22"/>
              </w:rPr>
              <w:t>228</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FDCF4B8">
            <w:pPr>
              <w:jc w:val="center"/>
              <w:rPr>
                <w:rFonts w:ascii="宋体" w:hAnsi="宋体" w:cs="宋体"/>
                <w:color w:val="000000"/>
                <w:sz w:val="22"/>
                <w:szCs w:val="22"/>
              </w:rPr>
            </w:pPr>
            <w:r>
              <w:rPr>
                <w:rFonts w:hint="eastAsia"/>
                <w:color w:val="000000"/>
                <w:sz w:val="22"/>
                <w:szCs w:val="22"/>
              </w:rPr>
              <w:t>221</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7E90CEA5">
            <w:pPr>
              <w:jc w:val="center"/>
              <w:rPr>
                <w:rFonts w:ascii="宋体" w:hAnsi="宋体" w:cs="宋体"/>
                <w:color w:val="000000"/>
                <w:sz w:val="22"/>
                <w:szCs w:val="22"/>
              </w:rPr>
            </w:pPr>
            <w:r>
              <w:rPr>
                <w:rFonts w:hint="eastAsia"/>
                <w:color w:val="000000"/>
                <w:sz w:val="22"/>
                <w:szCs w:val="22"/>
              </w:rPr>
              <w:t>221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EA287EE">
            <w:pPr>
              <w:jc w:val="center"/>
              <w:rPr>
                <w:rFonts w:ascii="宋体" w:hAnsi="宋体" w:cs="宋体"/>
                <w:color w:val="000000"/>
                <w:sz w:val="22"/>
                <w:szCs w:val="22"/>
              </w:rPr>
            </w:pPr>
            <w:r>
              <w:rPr>
                <w:rFonts w:hint="eastAsia"/>
                <w:color w:val="000000"/>
                <w:sz w:val="22"/>
                <w:szCs w:val="22"/>
              </w:rPr>
              <w:t>214</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293CE845">
            <w:pPr>
              <w:jc w:val="center"/>
              <w:rPr>
                <w:rFonts w:ascii="宋体" w:hAnsi="宋体" w:cs="宋体"/>
                <w:color w:val="000000"/>
                <w:sz w:val="22"/>
                <w:szCs w:val="22"/>
              </w:rPr>
            </w:pPr>
            <w:r>
              <w:rPr>
                <w:rFonts w:hint="eastAsia"/>
                <w:color w:val="000000"/>
                <w:sz w:val="22"/>
                <w:szCs w:val="22"/>
              </w:rPr>
              <w:t>202</w:t>
            </w:r>
          </w:p>
        </w:tc>
      </w:tr>
      <w:tr w14:paraId="0510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1B065D36">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33098EA">
            <w:pPr>
              <w:widowControl w:val="0"/>
              <w:spacing w:line="300" w:lineRule="exact"/>
              <w:jc w:val="center"/>
              <w:rPr>
                <w:rFonts w:eastAsia="楷体_GB2312"/>
                <w:szCs w:val="21"/>
              </w:rPr>
            </w:pPr>
            <w:r>
              <w:rPr>
                <w:rFonts w:eastAsia="楷体_GB2312"/>
                <w:szCs w:val="21"/>
              </w:rPr>
              <w:t>三级地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9DB4F38">
            <w:pPr>
              <w:jc w:val="center"/>
              <w:rPr>
                <w:rFonts w:ascii="宋体" w:hAnsi="宋体" w:cs="宋体"/>
                <w:color w:val="000000"/>
                <w:sz w:val="22"/>
                <w:szCs w:val="22"/>
              </w:rPr>
            </w:pPr>
            <w:r>
              <w:rPr>
                <w:rFonts w:hint="eastAsia"/>
                <w:color w:val="000000"/>
                <w:sz w:val="22"/>
                <w:szCs w:val="22"/>
              </w:rPr>
              <w:t>200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58594E2">
            <w:pPr>
              <w:jc w:val="center"/>
              <w:rPr>
                <w:rFonts w:ascii="宋体" w:hAnsi="宋体" w:cs="宋体"/>
                <w:color w:val="000000"/>
                <w:sz w:val="22"/>
                <w:szCs w:val="22"/>
              </w:rPr>
            </w:pPr>
            <w:r>
              <w:rPr>
                <w:rFonts w:hint="eastAsia"/>
                <w:color w:val="000000"/>
                <w:sz w:val="22"/>
                <w:szCs w:val="22"/>
              </w:rPr>
              <w:t>190</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8937D73">
            <w:pPr>
              <w:jc w:val="center"/>
              <w:rPr>
                <w:rFonts w:ascii="宋体" w:hAnsi="宋体" w:cs="宋体"/>
                <w:color w:val="000000"/>
                <w:sz w:val="22"/>
                <w:szCs w:val="22"/>
              </w:rPr>
            </w:pPr>
            <w:r>
              <w:rPr>
                <w:rFonts w:hint="eastAsia"/>
                <w:color w:val="000000"/>
                <w:sz w:val="22"/>
                <w:szCs w:val="22"/>
              </w:rPr>
              <w:t>182</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74862298">
            <w:pPr>
              <w:jc w:val="center"/>
              <w:rPr>
                <w:rFonts w:ascii="宋体" w:hAnsi="宋体" w:cs="宋体"/>
                <w:color w:val="000000"/>
                <w:sz w:val="22"/>
                <w:szCs w:val="22"/>
              </w:rPr>
            </w:pPr>
            <w:r>
              <w:rPr>
                <w:rFonts w:hint="eastAsia"/>
                <w:color w:val="000000"/>
                <w:sz w:val="22"/>
                <w:szCs w:val="22"/>
              </w:rPr>
              <w:t>182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65E52C2C">
            <w:pPr>
              <w:jc w:val="center"/>
              <w:rPr>
                <w:rFonts w:ascii="宋体" w:hAnsi="宋体" w:cs="宋体"/>
                <w:color w:val="000000"/>
                <w:sz w:val="22"/>
                <w:szCs w:val="22"/>
              </w:rPr>
            </w:pPr>
            <w:r>
              <w:rPr>
                <w:rFonts w:hint="eastAsia"/>
                <w:color w:val="000000"/>
                <w:sz w:val="22"/>
                <w:szCs w:val="22"/>
              </w:rPr>
              <w:t>177</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14A16020">
            <w:pPr>
              <w:jc w:val="center"/>
              <w:rPr>
                <w:rFonts w:ascii="宋体" w:hAnsi="宋体" w:cs="宋体"/>
                <w:color w:val="000000"/>
                <w:sz w:val="22"/>
                <w:szCs w:val="22"/>
              </w:rPr>
            </w:pPr>
            <w:r>
              <w:rPr>
                <w:rFonts w:hint="eastAsia"/>
                <w:color w:val="000000"/>
                <w:sz w:val="22"/>
                <w:szCs w:val="22"/>
              </w:rPr>
              <w:t>177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1A2A154">
            <w:pPr>
              <w:jc w:val="center"/>
              <w:rPr>
                <w:rFonts w:ascii="宋体" w:hAnsi="宋体" w:cs="宋体"/>
                <w:color w:val="000000"/>
                <w:sz w:val="22"/>
                <w:szCs w:val="22"/>
              </w:rPr>
            </w:pPr>
            <w:r>
              <w:rPr>
                <w:rFonts w:hint="eastAsia"/>
                <w:color w:val="000000"/>
                <w:sz w:val="22"/>
                <w:szCs w:val="22"/>
              </w:rPr>
              <w:t>171</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4C92B3D7">
            <w:pPr>
              <w:jc w:val="center"/>
              <w:rPr>
                <w:rFonts w:ascii="宋体" w:hAnsi="宋体" w:cs="宋体"/>
                <w:color w:val="000000"/>
                <w:sz w:val="22"/>
                <w:szCs w:val="22"/>
              </w:rPr>
            </w:pPr>
            <w:r>
              <w:rPr>
                <w:rFonts w:hint="eastAsia"/>
                <w:color w:val="000000"/>
                <w:sz w:val="22"/>
                <w:szCs w:val="22"/>
              </w:rPr>
              <w:t>162</w:t>
            </w:r>
          </w:p>
        </w:tc>
      </w:tr>
      <w:tr w14:paraId="52DD9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10BA4227">
            <w:pPr>
              <w:widowControl w:val="0"/>
              <w:spacing w:line="300" w:lineRule="exact"/>
              <w:jc w:val="center"/>
              <w:rPr>
                <w:rFonts w:eastAsia="楷体_GB2312"/>
                <w:szCs w:val="21"/>
              </w:rPr>
            </w:pPr>
            <w:r>
              <w:rPr>
                <w:rFonts w:hint="eastAsia" w:eastAsia="楷体_GB2312"/>
                <w:szCs w:val="21"/>
              </w:rPr>
              <w:t>桃沟乡</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953BF4B">
            <w:pPr>
              <w:widowControl w:val="0"/>
              <w:spacing w:line="300" w:lineRule="exact"/>
              <w:jc w:val="center"/>
              <w:rPr>
                <w:rFonts w:eastAsia="楷体_GB2312"/>
                <w:szCs w:val="21"/>
              </w:rPr>
            </w:pPr>
            <w:r>
              <w:rPr>
                <w:rFonts w:eastAsia="楷体_GB2312"/>
                <w:szCs w:val="21"/>
              </w:rPr>
              <w:t>一级地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DA4F21A">
            <w:pPr>
              <w:jc w:val="center"/>
              <w:rPr>
                <w:rFonts w:ascii="宋体" w:hAnsi="宋体" w:cs="宋体"/>
                <w:color w:val="000000"/>
                <w:sz w:val="22"/>
                <w:szCs w:val="22"/>
              </w:rPr>
            </w:pPr>
            <w:r>
              <w:rPr>
                <w:rFonts w:hint="eastAsia"/>
                <w:color w:val="000000"/>
                <w:sz w:val="22"/>
                <w:szCs w:val="22"/>
              </w:rPr>
              <w:t>278</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CAF921F">
            <w:pPr>
              <w:jc w:val="center"/>
              <w:rPr>
                <w:rFonts w:ascii="宋体" w:hAnsi="宋体" w:cs="宋体"/>
                <w:color w:val="000000"/>
                <w:sz w:val="22"/>
                <w:szCs w:val="22"/>
              </w:rPr>
            </w:pPr>
            <w:r>
              <w:rPr>
                <w:rFonts w:hint="eastAsia"/>
                <w:color w:val="000000"/>
                <w:sz w:val="22"/>
                <w:szCs w:val="22"/>
              </w:rPr>
              <w:t>265</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D34594E">
            <w:pPr>
              <w:jc w:val="center"/>
              <w:rPr>
                <w:rFonts w:ascii="宋体" w:hAnsi="宋体" w:cs="宋体"/>
                <w:color w:val="000000"/>
                <w:sz w:val="22"/>
                <w:szCs w:val="22"/>
              </w:rPr>
            </w:pPr>
            <w:r>
              <w:rPr>
                <w:rFonts w:hint="eastAsia"/>
                <w:color w:val="000000"/>
                <w:sz w:val="22"/>
                <w:szCs w:val="22"/>
              </w:rPr>
              <w:t>254</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4F235CAE">
            <w:pPr>
              <w:jc w:val="center"/>
              <w:rPr>
                <w:rFonts w:ascii="宋体" w:hAnsi="宋体" w:cs="宋体"/>
                <w:color w:val="000000"/>
                <w:sz w:val="22"/>
                <w:szCs w:val="22"/>
              </w:rPr>
            </w:pPr>
            <w:r>
              <w:rPr>
                <w:rFonts w:hint="eastAsia"/>
                <w:color w:val="000000"/>
                <w:sz w:val="22"/>
                <w:szCs w:val="22"/>
              </w:rPr>
              <w:t>254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9CAE4C2">
            <w:pPr>
              <w:jc w:val="center"/>
              <w:rPr>
                <w:rFonts w:ascii="宋体" w:hAnsi="宋体" w:cs="宋体"/>
                <w:color w:val="000000"/>
                <w:sz w:val="22"/>
                <w:szCs w:val="22"/>
              </w:rPr>
            </w:pPr>
            <w:r>
              <w:rPr>
                <w:rFonts w:hint="eastAsia"/>
                <w:color w:val="000000"/>
                <w:sz w:val="22"/>
                <w:szCs w:val="22"/>
              </w:rPr>
              <w:t>246</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4166B032">
            <w:pPr>
              <w:jc w:val="center"/>
              <w:rPr>
                <w:rFonts w:ascii="宋体" w:hAnsi="宋体" w:cs="宋体"/>
                <w:color w:val="000000"/>
                <w:sz w:val="22"/>
                <w:szCs w:val="22"/>
              </w:rPr>
            </w:pPr>
            <w:r>
              <w:rPr>
                <w:rFonts w:hint="eastAsia"/>
                <w:color w:val="000000"/>
                <w:sz w:val="22"/>
                <w:szCs w:val="22"/>
              </w:rPr>
              <w:t>246</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6435869">
            <w:pPr>
              <w:jc w:val="center"/>
              <w:rPr>
                <w:rFonts w:ascii="宋体" w:hAnsi="宋体" w:cs="宋体"/>
                <w:color w:val="000000"/>
                <w:sz w:val="22"/>
                <w:szCs w:val="22"/>
              </w:rPr>
            </w:pPr>
            <w:r>
              <w:rPr>
                <w:rFonts w:hint="eastAsia"/>
                <w:color w:val="000000"/>
                <w:sz w:val="22"/>
                <w:szCs w:val="22"/>
              </w:rPr>
              <w:t>239</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3208EA78">
            <w:pPr>
              <w:jc w:val="center"/>
              <w:rPr>
                <w:rFonts w:ascii="宋体" w:hAnsi="宋体" w:cs="宋体"/>
                <w:color w:val="000000"/>
                <w:sz w:val="22"/>
                <w:szCs w:val="22"/>
              </w:rPr>
            </w:pPr>
            <w:r>
              <w:rPr>
                <w:rFonts w:hint="eastAsia"/>
                <w:color w:val="000000"/>
                <w:sz w:val="22"/>
                <w:szCs w:val="22"/>
              </w:rPr>
              <w:t>225</w:t>
            </w:r>
          </w:p>
        </w:tc>
      </w:tr>
      <w:tr w14:paraId="5E667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0886F814">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B606A7A">
            <w:pPr>
              <w:widowControl w:val="0"/>
              <w:spacing w:line="300" w:lineRule="exact"/>
              <w:jc w:val="center"/>
              <w:rPr>
                <w:rFonts w:eastAsia="楷体_GB2312"/>
                <w:szCs w:val="21"/>
              </w:rPr>
            </w:pPr>
            <w:r>
              <w:rPr>
                <w:rFonts w:eastAsia="楷体_GB2312"/>
                <w:szCs w:val="21"/>
              </w:rPr>
              <w:t>二级地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11241AD">
            <w:pPr>
              <w:jc w:val="center"/>
              <w:rPr>
                <w:rFonts w:ascii="宋体" w:hAnsi="宋体" w:cs="宋体"/>
                <w:color w:val="000000"/>
                <w:sz w:val="22"/>
                <w:szCs w:val="22"/>
              </w:rPr>
            </w:pPr>
            <w:r>
              <w:rPr>
                <w:rFonts w:hint="eastAsia"/>
                <w:color w:val="000000"/>
                <w:sz w:val="22"/>
                <w:szCs w:val="22"/>
              </w:rPr>
              <w:t>245</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7FE9AC92">
            <w:pPr>
              <w:jc w:val="center"/>
              <w:rPr>
                <w:rFonts w:ascii="宋体" w:hAnsi="宋体" w:cs="宋体"/>
                <w:color w:val="000000"/>
                <w:sz w:val="22"/>
                <w:szCs w:val="22"/>
              </w:rPr>
            </w:pPr>
            <w:r>
              <w:rPr>
                <w:rFonts w:hint="eastAsia"/>
                <w:color w:val="000000"/>
                <w:sz w:val="22"/>
                <w:szCs w:val="22"/>
              </w:rPr>
              <w:t>233</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0D7A428">
            <w:pPr>
              <w:jc w:val="center"/>
              <w:rPr>
                <w:rFonts w:ascii="宋体" w:hAnsi="宋体" w:cs="宋体"/>
                <w:color w:val="000000"/>
                <w:sz w:val="22"/>
                <w:szCs w:val="22"/>
              </w:rPr>
            </w:pPr>
            <w:r>
              <w:rPr>
                <w:rFonts w:hint="eastAsia"/>
                <w:color w:val="000000"/>
                <w:sz w:val="22"/>
                <w:szCs w:val="22"/>
              </w:rPr>
              <w:t>224</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550F01BA">
            <w:pPr>
              <w:jc w:val="center"/>
              <w:rPr>
                <w:rFonts w:ascii="宋体" w:hAnsi="宋体" w:cs="宋体"/>
                <w:color w:val="000000"/>
                <w:sz w:val="22"/>
                <w:szCs w:val="22"/>
              </w:rPr>
            </w:pPr>
            <w:r>
              <w:rPr>
                <w:rFonts w:hint="eastAsia"/>
                <w:color w:val="000000"/>
                <w:sz w:val="22"/>
                <w:szCs w:val="22"/>
              </w:rPr>
              <w:t>224</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27F23280">
            <w:pPr>
              <w:jc w:val="center"/>
              <w:rPr>
                <w:rFonts w:ascii="宋体" w:hAnsi="宋体" w:cs="宋体"/>
                <w:color w:val="000000"/>
                <w:sz w:val="22"/>
                <w:szCs w:val="22"/>
              </w:rPr>
            </w:pPr>
            <w:r>
              <w:rPr>
                <w:rFonts w:hint="eastAsia"/>
                <w:color w:val="000000"/>
                <w:sz w:val="22"/>
                <w:szCs w:val="22"/>
              </w:rPr>
              <w:t>217</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64BAA1F7">
            <w:pPr>
              <w:jc w:val="center"/>
              <w:rPr>
                <w:rFonts w:ascii="宋体" w:hAnsi="宋体" w:cs="宋体"/>
                <w:color w:val="000000"/>
                <w:sz w:val="22"/>
                <w:szCs w:val="22"/>
              </w:rPr>
            </w:pPr>
            <w:r>
              <w:rPr>
                <w:rFonts w:hint="eastAsia"/>
                <w:color w:val="000000"/>
                <w:sz w:val="22"/>
                <w:szCs w:val="22"/>
              </w:rPr>
              <w:t>217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E6AD60E">
            <w:pPr>
              <w:jc w:val="center"/>
              <w:rPr>
                <w:rFonts w:ascii="宋体" w:hAnsi="宋体" w:cs="宋体"/>
                <w:color w:val="000000"/>
                <w:sz w:val="22"/>
                <w:szCs w:val="22"/>
              </w:rPr>
            </w:pPr>
            <w:r>
              <w:rPr>
                <w:rFonts w:hint="eastAsia"/>
                <w:color w:val="000000"/>
                <w:sz w:val="22"/>
                <w:szCs w:val="22"/>
              </w:rPr>
              <w:t>210</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2BA1DD1B">
            <w:pPr>
              <w:jc w:val="center"/>
              <w:rPr>
                <w:rFonts w:ascii="宋体" w:hAnsi="宋体" w:cs="宋体"/>
                <w:color w:val="000000"/>
                <w:sz w:val="22"/>
                <w:szCs w:val="22"/>
              </w:rPr>
            </w:pPr>
            <w:r>
              <w:rPr>
                <w:rFonts w:hint="eastAsia"/>
                <w:color w:val="000000"/>
                <w:sz w:val="22"/>
                <w:szCs w:val="22"/>
              </w:rPr>
              <w:t>198</w:t>
            </w:r>
          </w:p>
        </w:tc>
      </w:tr>
      <w:tr w14:paraId="7E2E2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0140CCB8">
            <w:pPr>
              <w:widowControl w:val="0"/>
              <w:spacing w:line="300" w:lineRule="exact"/>
              <w:jc w:val="center"/>
              <w:rPr>
                <w:rFonts w:eastAsia="楷体_GB2312"/>
                <w:szCs w:val="21"/>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5870741">
            <w:pPr>
              <w:widowControl w:val="0"/>
              <w:spacing w:line="300" w:lineRule="exact"/>
              <w:jc w:val="center"/>
              <w:rPr>
                <w:rFonts w:eastAsia="楷体_GB2312"/>
                <w:szCs w:val="21"/>
              </w:rPr>
            </w:pPr>
            <w:r>
              <w:rPr>
                <w:rFonts w:eastAsia="楷体_GB2312"/>
                <w:szCs w:val="21"/>
              </w:rPr>
              <w:t>三级地</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4ED32C9">
            <w:pPr>
              <w:jc w:val="center"/>
              <w:rPr>
                <w:rFonts w:ascii="宋体" w:hAnsi="宋体" w:cs="宋体"/>
                <w:color w:val="000000"/>
                <w:sz w:val="22"/>
                <w:szCs w:val="22"/>
              </w:rPr>
            </w:pPr>
            <w:r>
              <w:rPr>
                <w:rFonts w:hint="eastAsia"/>
                <w:color w:val="000000"/>
                <w:sz w:val="22"/>
                <w:szCs w:val="22"/>
              </w:rPr>
              <w:t>200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EFC5755">
            <w:pPr>
              <w:jc w:val="center"/>
              <w:rPr>
                <w:rFonts w:ascii="宋体" w:hAnsi="宋体" w:cs="宋体"/>
                <w:color w:val="000000"/>
                <w:sz w:val="22"/>
                <w:szCs w:val="22"/>
              </w:rPr>
            </w:pPr>
            <w:r>
              <w:rPr>
                <w:rFonts w:hint="eastAsia"/>
                <w:color w:val="000000"/>
                <w:sz w:val="22"/>
                <w:szCs w:val="22"/>
              </w:rPr>
              <w:t>190</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8CCFE99">
            <w:pPr>
              <w:jc w:val="center"/>
              <w:rPr>
                <w:rFonts w:ascii="宋体" w:hAnsi="宋体" w:cs="宋体"/>
                <w:color w:val="000000"/>
                <w:sz w:val="22"/>
                <w:szCs w:val="22"/>
              </w:rPr>
            </w:pPr>
            <w:r>
              <w:rPr>
                <w:rFonts w:hint="eastAsia"/>
                <w:color w:val="000000"/>
                <w:sz w:val="22"/>
                <w:szCs w:val="22"/>
              </w:rPr>
              <w:t>182</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5760F7FE">
            <w:pPr>
              <w:jc w:val="center"/>
              <w:rPr>
                <w:rFonts w:ascii="宋体" w:hAnsi="宋体" w:cs="宋体"/>
                <w:color w:val="000000"/>
                <w:sz w:val="22"/>
                <w:szCs w:val="22"/>
              </w:rPr>
            </w:pPr>
            <w:r>
              <w:rPr>
                <w:rFonts w:hint="eastAsia"/>
                <w:color w:val="000000"/>
                <w:sz w:val="22"/>
                <w:szCs w:val="22"/>
              </w:rPr>
              <w:t>182</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57CEC661">
            <w:pPr>
              <w:jc w:val="center"/>
              <w:rPr>
                <w:rFonts w:ascii="宋体" w:hAnsi="宋体" w:cs="宋体"/>
                <w:color w:val="000000"/>
                <w:sz w:val="22"/>
                <w:szCs w:val="22"/>
              </w:rPr>
            </w:pPr>
            <w:r>
              <w:rPr>
                <w:rFonts w:hint="eastAsia"/>
                <w:color w:val="000000"/>
                <w:sz w:val="22"/>
                <w:szCs w:val="22"/>
              </w:rPr>
              <w:t>177</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30715E7C">
            <w:pPr>
              <w:jc w:val="center"/>
              <w:rPr>
                <w:rFonts w:ascii="宋体" w:hAnsi="宋体" w:cs="宋体"/>
                <w:color w:val="000000"/>
                <w:sz w:val="22"/>
                <w:szCs w:val="22"/>
              </w:rPr>
            </w:pPr>
            <w:r>
              <w:rPr>
                <w:rFonts w:hint="eastAsia"/>
                <w:color w:val="000000"/>
                <w:sz w:val="22"/>
                <w:szCs w:val="22"/>
              </w:rPr>
              <w:t>177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4CF64FB">
            <w:pPr>
              <w:jc w:val="center"/>
              <w:rPr>
                <w:rFonts w:ascii="宋体" w:hAnsi="宋体" w:cs="宋体"/>
                <w:color w:val="000000"/>
                <w:sz w:val="22"/>
                <w:szCs w:val="22"/>
              </w:rPr>
            </w:pPr>
            <w:r>
              <w:rPr>
                <w:rFonts w:hint="eastAsia"/>
                <w:color w:val="000000"/>
                <w:sz w:val="22"/>
                <w:szCs w:val="22"/>
              </w:rPr>
              <w:t>171</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6CD3D82B">
            <w:pPr>
              <w:jc w:val="center"/>
              <w:rPr>
                <w:rFonts w:ascii="宋体" w:hAnsi="宋体" w:cs="宋体"/>
                <w:color w:val="000000"/>
                <w:sz w:val="22"/>
                <w:szCs w:val="22"/>
              </w:rPr>
            </w:pPr>
            <w:r>
              <w:rPr>
                <w:rFonts w:hint="eastAsia"/>
                <w:color w:val="000000"/>
                <w:sz w:val="22"/>
                <w:szCs w:val="22"/>
              </w:rPr>
              <w:t>162</w:t>
            </w:r>
          </w:p>
        </w:tc>
      </w:tr>
      <w:tr w14:paraId="007D2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noWrap w:val="0"/>
            <w:vAlign w:val="center"/>
          </w:tcPr>
          <w:p w14:paraId="3F24763C">
            <w:pPr>
              <w:widowControl w:val="0"/>
              <w:spacing w:line="300" w:lineRule="exact"/>
              <w:jc w:val="center"/>
              <w:rPr>
                <w:rFonts w:eastAsia="楷体_GB2312"/>
                <w:szCs w:val="21"/>
              </w:rPr>
            </w:pPr>
            <w:r>
              <w:rPr>
                <w:rFonts w:hint="eastAsia" w:eastAsia="楷体_GB2312"/>
                <w:szCs w:val="21"/>
              </w:rPr>
              <w:t>曹村开发区</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8A7EA23">
            <w:pPr>
              <w:widowControl w:val="0"/>
              <w:spacing w:line="300" w:lineRule="exact"/>
              <w:jc w:val="center"/>
              <w:rPr>
                <w:rFonts w:eastAsia="楷体_GB2312"/>
                <w:szCs w:val="21"/>
              </w:rPr>
            </w:pPr>
            <w:r>
              <w:rPr>
                <w:rFonts w:hint="eastAsia" w:eastAsia="楷体_GB2312"/>
                <w:szCs w:val="21"/>
              </w:rPr>
              <w:t>指导价</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2DBB407">
            <w:pPr>
              <w:jc w:val="center"/>
              <w:rPr>
                <w:rFonts w:ascii="宋体" w:hAnsi="宋体" w:cs="宋体"/>
                <w:color w:val="000000"/>
                <w:sz w:val="22"/>
                <w:szCs w:val="22"/>
              </w:rPr>
            </w:pPr>
            <w:r>
              <w:rPr>
                <w:rFonts w:hint="eastAsia"/>
                <w:color w:val="000000"/>
                <w:sz w:val="22"/>
                <w:szCs w:val="22"/>
              </w:rPr>
              <w:t>270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13FD19EB">
            <w:pPr>
              <w:jc w:val="center"/>
              <w:rPr>
                <w:rFonts w:ascii="宋体" w:hAnsi="宋体" w:cs="宋体"/>
                <w:color w:val="000000"/>
                <w:sz w:val="22"/>
                <w:szCs w:val="22"/>
              </w:rPr>
            </w:pPr>
            <w:r>
              <w:rPr>
                <w:rFonts w:hint="eastAsia"/>
                <w:color w:val="000000"/>
                <w:sz w:val="22"/>
                <w:szCs w:val="22"/>
              </w:rPr>
              <w:t>257</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FD49E67">
            <w:pPr>
              <w:jc w:val="center"/>
              <w:rPr>
                <w:rFonts w:ascii="宋体" w:hAnsi="宋体" w:cs="宋体"/>
                <w:color w:val="000000"/>
                <w:sz w:val="22"/>
                <w:szCs w:val="22"/>
              </w:rPr>
            </w:pPr>
            <w:r>
              <w:rPr>
                <w:rFonts w:hint="eastAsia"/>
                <w:color w:val="000000"/>
                <w:sz w:val="22"/>
                <w:szCs w:val="22"/>
              </w:rPr>
              <w:t>247</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3BEE41E3">
            <w:pPr>
              <w:jc w:val="center"/>
              <w:rPr>
                <w:rFonts w:ascii="宋体" w:hAnsi="宋体" w:cs="宋体"/>
                <w:color w:val="000000"/>
                <w:sz w:val="22"/>
                <w:szCs w:val="22"/>
              </w:rPr>
            </w:pPr>
            <w:r>
              <w:rPr>
                <w:rFonts w:hint="eastAsia"/>
                <w:color w:val="000000"/>
                <w:sz w:val="22"/>
                <w:szCs w:val="22"/>
              </w:rPr>
              <w:t>247</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78376970">
            <w:pPr>
              <w:jc w:val="center"/>
              <w:rPr>
                <w:rFonts w:ascii="宋体" w:hAnsi="宋体" w:cs="宋体"/>
                <w:color w:val="000000"/>
                <w:sz w:val="22"/>
                <w:szCs w:val="22"/>
              </w:rPr>
            </w:pPr>
            <w:r>
              <w:rPr>
                <w:rFonts w:hint="eastAsia"/>
                <w:color w:val="000000"/>
                <w:sz w:val="22"/>
                <w:szCs w:val="22"/>
              </w:rPr>
              <w:t>239</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378C3CCA">
            <w:pPr>
              <w:jc w:val="center"/>
              <w:rPr>
                <w:rFonts w:ascii="宋体" w:hAnsi="宋体" w:cs="宋体"/>
                <w:color w:val="000000"/>
                <w:sz w:val="22"/>
                <w:szCs w:val="22"/>
              </w:rPr>
            </w:pPr>
            <w:r>
              <w:rPr>
                <w:rFonts w:hint="eastAsia"/>
                <w:color w:val="000000"/>
                <w:sz w:val="22"/>
                <w:szCs w:val="22"/>
              </w:rPr>
              <w:t>239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D044851">
            <w:pPr>
              <w:jc w:val="center"/>
              <w:rPr>
                <w:rFonts w:ascii="宋体" w:hAnsi="宋体" w:cs="宋体"/>
                <w:color w:val="000000"/>
                <w:sz w:val="22"/>
                <w:szCs w:val="22"/>
              </w:rPr>
            </w:pPr>
            <w:r>
              <w:rPr>
                <w:rFonts w:hint="eastAsia"/>
                <w:color w:val="000000"/>
                <w:sz w:val="22"/>
                <w:szCs w:val="22"/>
              </w:rPr>
              <w:t>231</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21FEF57B">
            <w:pPr>
              <w:jc w:val="center"/>
              <w:rPr>
                <w:rFonts w:ascii="宋体" w:hAnsi="宋体" w:cs="宋体"/>
                <w:color w:val="000000"/>
                <w:sz w:val="22"/>
                <w:szCs w:val="22"/>
              </w:rPr>
            </w:pPr>
            <w:r>
              <w:rPr>
                <w:rFonts w:hint="eastAsia"/>
                <w:color w:val="000000"/>
                <w:sz w:val="22"/>
                <w:szCs w:val="22"/>
              </w:rPr>
              <w:t>218</w:t>
            </w:r>
          </w:p>
        </w:tc>
      </w:tr>
      <w:tr w14:paraId="12AB8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noWrap w:val="0"/>
            <w:vAlign w:val="center"/>
          </w:tcPr>
          <w:p w14:paraId="02B08A17">
            <w:pPr>
              <w:widowControl w:val="0"/>
              <w:spacing w:line="300" w:lineRule="exact"/>
              <w:jc w:val="center"/>
              <w:rPr>
                <w:rFonts w:eastAsia="楷体_GB2312"/>
                <w:szCs w:val="21"/>
              </w:rPr>
            </w:pPr>
            <w:r>
              <w:rPr>
                <w:rFonts w:hint="eastAsia" w:eastAsia="楷体_GB2312"/>
                <w:szCs w:val="21"/>
              </w:rPr>
              <w:t>家具产业园</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83FC879">
            <w:pPr>
              <w:widowControl w:val="0"/>
              <w:spacing w:line="300" w:lineRule="exact"/>
              <w:jc w:val="center"/>
              <w:rPr>
                <w:rFonts w:eastAsia="楷体_GB2312"/>
                <w:szCs w:val="21"/>
              </w:rPr>
            </w:pPr>
            <w:r>
              <w:rPr>
                <w:rFonts w:hint="eastAsia" w:eastAsia="楷体_GB2312"/>
                <w:szCs w:val="21"/>
              </w:rPr>
              <w:t>指导价</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60C200C">
            <w:pPr>
              <w:jc w:val="center"/>
              <w:rPr>
                <w:rFonts w:ascii="宋体" w:hAnsi="宋体" w:cs="宋体"/>
                <w:color w:val="000000"/>
                <w:sz w:val="22"/>
                <w:szCs w:val="22"/>
              </w:rPr>
            </w:pPr>
            <w:r>
              <w:rPr>
                <w:rFonts w:hint="eastAsia"/>
                <w:color w:val="000000"/>
                <w:sz w:val="22"/>
                <w:szCs w:val="22"/>
              </w:rPr>
              <w:t>375</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E1F58A9">
            <w:pPr>
              <w:jc w:val="center"/>
              <w:rPr>
                <w:rFonts w:ascii="宋体" w:hAnsi="宋体" w:cs="宋体"/>
                <w:color w:val="000000"/>
                <w:sz w:val="22"/>
                <w:szCs w:val="22"/>
              </w:rPr>
            </w:pPr>
            <w:r>
              <w:rPr>
                <w:rFonts w:hint="eastAsia"/>
                <w:color w:val="000000"/>
                <w:sz w:val="22"/>
                <w:szCs w:val="22"/>
              </w:rPr>
              <w:t>357</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0202FAC">
            <w:pPr>
              <w:jc w:val="center"/>
              <w:rPr>
                <w:rFonts w:ascii="宋体" w:hAnsi="宋体" w:cs="宋体"/>
                <w:color w:val="000000"/>
                <w:sz w:val="22"/>
                <w:szCs w:val="22"/>
              </w:rPr>
            </w:pPr>
            <w:r>
              <w:rPr>
                <w:rFonts w:hint="eastAsia"/>
                <w:color w:val="000000"/>
                <w:sz w:val="22"/>
                <w:szCs w:val="22"/>
              </w:rPr>
              <w:t>343</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08C98A5C">
            <w:pPr>
              <w:jc w:val="center"/>
              <w:rPr>
                <w:rFonts w:ascii="宋体" w:hAnsi="宋体" w:cs="宋体"/>
                <w:color w:val="000000"/>
                <w:sz w:val="22"/>
                <w:szCs w:val="22"/>
              </w:rPr>
            </w:pPr>
            <w:r>
              <w:rPr>
                <w:rFonts w:hint="eastAsia"/>
                <w:color w:val="000000"/>
                <w:sz w:val="22"/>
                <w:szCs w:val="22"/>
              </w:rPr>
              <w:t>343</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EEA149A">
            <w:pPr>
              <w:jc w:val="center"/>
              <w:rPr>
                <w:rFonts w:ascii="宋体" w:hAnsi="宋体" w:cs="宋体"/>
                <w:color w:val="000000"/>
                <w:sz w:val="22"/>
                <w:szCs w:val="22"/>
              </w:rPr>
            </w:pPr>
            <w:r>
              <w:rPr>
                <w:rFonts w:hint="eastAsia"/>
                <w:color w:val="000000"/>
                <w:sz w:val="22"/>
                <w:szCs w:val="22"/>
              </w:rPr>
              <w:t>332</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2D132B44">
            <w:pPr>
              <w:jc w:val="center"/>
              <w:rPr>
                <w:rFonts w:ascii="宋体" w:hAnsi="宋体" w:cs="宋体"/>
                <w:color w:val="000000"/>
                <w:sz w:val="22"/>
                <w:szCs w:val="22"/>
              </w:rPr>
            </w:pPr>
            <w:r>
              <w:rPr>
                <w:rFonts w:hint="eastAsia"/>
                <w:color w:val="000000"/>
                <w:sz w:val="22"/>
                <w:szCs w:val="22"/>
              </w:rPr>
              <w:t>332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63C89ED">
            <w:pPr>
              <w:jc w:val="center"/>
              <w:rPr>
                <w:rFonts w:ascii="宋体" w:hAnsi="宋体" w:cs="宋体"/>
                <w:color w:val="000000"/>
                <w:sz w:val="22"/>
                <w:szCs w:val="22"/>
              </w:rPr>
            </w:pPr>
            <w:r>
              <w:rPr>
                <w:rFonts w:hint="eastAsia"/>
                <w:color w:val="000000"/>
                <w:sz w:val="22"/>
                <w:szCs w:val="22"/>
              </w:rPr>
              <w:t>321</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780E6925">
            <w:pPr>
              <w:jc w:val="center"/>
              <w:rPr>
                <w:rFonts w:ascii="宋体" w:hAnsi="宋体" w:cs="宋体"/>
                <w:color w:val="000000"/>
                <w:sz w:val="22"/>
                <w:szCs w:val="22"/>
              </w:rPr>
            </w:pPr>
            <w:r>
              <w:rPr>
                <w:rFonts w:hint="eastAsia"/>
                <w:color w:val="000000"/>
                <w:sz w:val="22"/>
                <w:szCs w:val="22"/>
              </w:rPr>
              <w:t>303</w:t>
            </w:r>
          </w:p>
        </w:tc>
      </w:tr>
      <w:tr w14:paraId="24AE5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noWrap w:val="0"/>
            <w:vAlign w:val="center"/>
          </w:tcPr>
          <w:p w14:paraId="0718410F">
            <w:pPr>
              <w:widowControl w:val="0"/>
              <w:spacing w:line="300" w:lineRule="exact"/>
              <w:jc w:val="center"/>
              <w:rPr>
                <w:rFonts w:eastAsia="楷体_GB2312"/>
                <w:szCs w:val="21"/>
              </w:rPr>
            </w:pPr>
            <w:r>
              <w:rPr>
                <w:rFonts w:hint="eastAsia" w:eastAsia="楷体_GB2312"/>
                <w:szCs w:val="21"/>
              </w:rPr>
              <w:t>农业示范园</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316CA044">
            <w:pPr>
              <w:widowControl w:val="0"/>
              <w:spacing w:line="300" w:lineRule="exact"/>
              <w:jc w:val="center"/>
              <w:rPr>
                <w:rFonts w:eastAsia="楷体_GB2312"/>
                <w:szCs w:val="21"/>
              </w:rPr>
            </w:pPr>
            <w:r>
              <w:rPr>
                <w:rFonts w:hint="eastAsia" w:eastAsia="楷体_GB2312"/>
                <w:szCs w:val="21"/>
              </w:rPr>
              <w:t>指导价</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4C6989D">
            <w:pPr>
              <w:jc w:val="center"/>
              <w:rPr>
                <w:rFonts w:ascii="宋体" w:hAnsi="宋体" w:cs="宋体"/>
                <w:color w:val="000000"/>
                <w:sz w:val="22"/>
                <w:szCs w:val="22"/>
              </w:rPr>
            </w:pPr>
            <w:r>
              <w:rPr>
                <w:rFonts w:hint="eastAsia"/>
                <w:color w:val="000000"/>
                <w:sz w:val="22"/>
                <w:szCs w:val="22"/>
              </w:rPr>
              <w:t>323</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2CAFF72F">
            <w:pPr>
              <w:jc w:val="center"/>
              <w:rPr>
                <w:rFonts w:ascii="宋体" w:hAnsi="宋体" w:cs="宋体"/>
                <w:color w:val="000000"/>
                <w:sz w:val="22"/>
                <w:szCs w:val="22"/>
              </w:rPr>
            </w:pPr>
            <w:r>
              <w:rPr>
                <w:rFonts w:hint="eastAsia"/>
                <w:color w:val="000000"/>
                <w:sz w:val="22"/>
                <w:szCs w:val="22"/>
              </w:rPr>
              <w:t>308</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2125AD1">
            <w:pPr>
              <w:jc w:val="center"/>
              <w:rPr>
                <w:rFonts w:ascii="宋体" w:hAnsi="宋体" w:cs="宋体"/>
                <w:color w:val="000000"/>
                <w:sz w:val="22"/>
                <w:szCs w:val="22"/>
              </w:rPr>
            </w:pPr>
            <w:r>
              <w:rPr>
                <w:rFonts w:hint="eastAsia"/>
                <w:color w:val="000000"/>
                <w:sz w:val="22"/>
                <w:szCs w:val="22"/>
              </w:rPr>
              <w:t>296</w:t>
            </w:r>
          </w:p>
        </w:tc>
        <w:tc>
          <w:tcPr>
            <w:tcW w:w="708" w:type="dxa"/>
            <w:tcBorders>
              <w:top w:val="single" w:color="auto" w:sz="4" w:space="0"/>
              <w:left w:val="single" w:color="auto" w:sz="4" w:space="0"/>
              <w:bottom w:val="single" w:color="auto" w:sz="4" w:space="0"/>
              <w:right w:val="single" w:color="auto" w:sz="4" w:space="0"/>
            </w:tcBorders>
            <w:noWrap w:val="0"/>
            <w:vAlign w:val="center"/>
          </w:tcPr>
          <w:p w14:paraId="12E5B4D2">
            <w:pPr>
              <w:jc w:val="center"/>
              <w:rPr>
                <w:rFonts w:ascii="宋体" w:hAnsi="宋体" w:cs="宋体"/>
                <w:color w:val="000000"/>
                <w:sz w:val="22"/>
                <w:szCs w:val="22"/>
              </w:rPr>
            </w:pPr>
            <w:r>
              <w:rPr>
                <w:rFonts w:hint="eastAsia"/>
                <w:color w:val="000000"/>
                <w:sz w:val="22"/>
                <w:szCs w:val="22"/>
              </w:rPr>
              <w:t>296</w:t>
            </w:r>
          </w:p>
        </w:tc>
        <w:tc>
          <w:tcPr>
            <w:tcW w:w="709" w:type="dxa"/>
            <w:tcBorders>
              <w:top w:val="single" w:color="auto" w:sz="4" w:space="0"/>
              <w:left w:val="single" w:color="auto" w:sz="4" w:space="0"/>
              <w:bottom w:val="single" w:color="auto" w:sz="4" w:space="0"/>
              <w:right w:val="single" w:color="auto" w:sz="4" w:space="0"/>
            </w:tcBorders>
            <w:noWrap w:val="0"/>
            <w:vAlign w:val="center"/>
          </w:tcPr>
          <w:p w14:paraId="4DA96039">
            <w:pPr>
              <w:jc w:val="center"/>
              <w:rPr>
                <w:rFonts w:ascii="宋体" w:hAnsi="宋体" w:cs="宋体"/>
                <w:color w:val="000000"/>
                <w:sz w:val="22"/>
                <w:szCs w:val="22"/>
              </w:rPr>
            </w:pPr>
            <w:r>
              <w:rPr>
                <w:rFonts w:hint="eastAsia"/>
                <w:color w:val="000000"/>
                <w:sz w:val="22"/>
                <w:szCs w:val="22"/>
              </w:rPr>
              <w:t>286</w:t>
            </w:r>
          </w:p>
        </w:tc>
        <w:tc>
          <w:tcPr>
            <w:tcW w:w="698" w:type="dxa"/>
            <w:tcBorders>
              <w:top w:val="single" w:color="auto" w:sz="4" w:space="0"/>
              <w:left w:val="single" w:color="auto" w:sz="4" w:space="0"/>
              <w:bottom w:val="single" w:color="auto" w:sz="4" w:space="0"/>
              <w:right w:val="single" w:color="auto" w:sz="4" w:space="0"/>
            </w:tcBorders>
            <w:noWrap w:val="0"/>
            <w:vAlign w:val="center"/>
          </w:tcPr>
          <w:p w14:paraId="143EEF9D">
            <w:pPr>
              <w:jc w:val="center"/>
              <w:rPr>
                <w:rFonts w:ascii="宋体" w:hAnsi="宋体" w:cs="宋体"/>
                <w:color w:val="000000"/>
                <w:sz w:val="22"/>
                <w:szCs w:val="22"/>
              </w:rPr>
            </w:pPr>
            <w:r>
              <w:rPr>
                <w:rFonts w:hint="eastAsia"/>
                <w:color w:val="000000"/>
                <w:sz w:val="22"/>
                <w:szCs w:val="22"/>
              </w:rPr>
              <w:t>286</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4F4CFB7">
            <w:pPr>
              <w:jc w:val="center"/>
              <w:rPr>
                <w:rFonts w:ascii="宋体" w:hAnsi="宋体" w:cs="宋体"/>
                <w:color w:val="000000"/>
                <w:sz w:val="22"/>
                <w:szCs w:val="22"/>
              </w:rPr>
            </w:pPr>
            <w:r>
              <w:rPr>
                <w:rFonts w:hint="eastAsia"/>
                <w:color w:val="000000"/>
                <w:sz w:val="22"/>
                <w:szCs w:val="22"/>
              </w:rPr>
              <w:t>277</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584A018E">
            <w:pPr>
              <w:jc w:val="center"/>
              <w:rPr>
                <w:rFonts w:ascii="宋体" w:hAnsi="宋体" w:cs="宋体"/>
                <w:color w:val="000000"/>
                <w:sz w:val="22"/>
                <w:szCs w:val="22"/>
              </w:rPr>
            </w:pPr>
            <w:r>
              <w:rPr>
                <w:rFonts w:hint="eastAsia"/>
                <w:color w:val="000000"/>
                <w:sz w:val="22"/>
                <w:szCs w:val="22"/>
              </w:rPr>
              <w:t>262</w:t>
            </w:r>
          </w:p>
        </w:tc>
      </w:tr>
    </w:tbl>
    <w:p w14:paraId="045D0107">
      <w:pPr>
        <w:widowControl w:val="0"/>
        <w:spacing w:line="480" w:lineRule="exact"/>
        <w:jc w:val="both"/>
        <w:rPr>
          <w:b/>
          <w:sz w:val="28"/>
          <w:szCs w:val="21"/>
        </w:rPr>
      </w:pPr>
      <w:r>
        <w:rPr>
          <w:b/>
          <w:sz w:val="28"/>
          <w:szCs w:val="21"/>
        </w:rPr>
        <w:t>二、利用成本逼近法测算公用设施用地地价</w:t>
      </w:r>
    </w:p>
    <w:p w14:paraId="4522FC83">
      <w:pPr>
        <w:widowControl w:val="0"/>
        <w:spacing w:line="480" w:lineRule="exact"/>
        <w:ind w:firstLine="560" w:firstLineChars="200"/>
        <w:jc w:val="both"/>
        <w:rPr>
          <w:rFonts w:eastAsia="楷体_GB2312"/>
          <w:sz w:val="28"/>
          <w:szCs w:val="21"/>
        </w:rPr>
      </w:pPr>
      <w:r>
        <w:rPr>
          <w:rFonts w:eastAsia="楷体_GB2312"/>
          <w:sz w:val="28"/>
          <w:szCs w:val="21"/>
        </w:rPr>
        <w:t>首先利用成本逼近法计算公用设施用地的成本地价，其次在成本地价的基础上，加上土地增值收益，并经过年期修正、极差修正得到公用设施用地级别基准地价。</w:t>
      </w:r>
    </w:p>
    <w:p w14:paraId="7251095A">
      <w:pPr>
        <w:widowControl w:val="0"/>
        <w:spacing w:line="480" w:lineRule="exact"/>
        <w:ind w:firstLine="562" w:firstLineChars="200"/>
        <w:jc w:val="both"/>
        <w:rPr>
          <w:rFonts w:eastAsia="楷体_GB2312"/>
          <w:b/>
          <w:sz w:val="28"/>
          <w:szCs w:val="21"/>
        </w:rPr>
      </w:pPr>
      <w:r>
        <w:rPr>
          <w:rFonts w:eastAsia="楷体_GB2312"/>
          <w:b/>
          <w:sz w:val="28"/>
          <w:szCs w:val="21"/>
        </w:rPr>
        <w:t>1、成本地价的确定</w:t>
      </w:r>
    </w:p>
    <w:p w14:paraId="6F839A13">
      <w:pPr>
        <w:widowControl w:val="0"/>
        <w:spacing w:line="480" w:lineRule="exact"/>
        <w:ind w:firstLine="560" w:firstLineChars="200"/>
        <w:jc w:val="both"/>
        <w:rPr>
          <w:rFonts w:eastAsia="楷体_GB2312"/>
          <w:sz w:val="28"/>
          <w:szCs w:val="21"/>
        </w:rPr>
      </w:pPr>
      <w:r>
        <w:rPr>
          <w:rFonts w:eastAsia="楷体_GB2312"/>
          <w:sz w:val="28"/>
          <w:szCs w:val="21"/>
        </w:rPr>
        <w:t>政府征用农业用地，通过开发使之变成城镇建设用地，征地单位需要支付农用地取得费、土地开发费和其它有关税费，还要支付投入资金的利息，开发企业也要获得合理的利润，这些都可看作是开发土地所投入的成本，据此可计算出新增建设用地的成本价格。根据成本逼近法评估地价的方式，计算公式为：</w:t>
      </w:r>
    </w:p>
    <w:p w14:paraId="79FE97CA">
      <w:pPr>
        <w:widowControl w:val="0"/>
        <w:tabs>
          <w:tab w:val="left" w:pos="360"/>
          <w:tab w:val="left" w:pos="900"/>
        </w:tabs>
        <w:spacing w:line="380" w:lineRule="exact"/>
        <w:ind w:firstLine="523" w:firstLineChars="187"/>
        <w:jc w:val="both"/>
        <w:rPr>
          <w:rFonts w:eastAsia="楷体_GB2312"/>
          <w:sz w:val="28"/>
          <w:szCs w:val="28"/>
        </w:rPr>
      </w:pPr>
      <w:r>
        <w:rPr>
          <w:rFonts w:eastAsia="楷体_GB2312"/>
          <w:sz w:val="28"/>
          <w:szCs w:val="28"/>
        </w:rPr>
        <w:t>P=（E</w:t>
      </w:r>
      <w:r>
        <w:rPr>
          <w:rFonts w:eastAsia="楷体_GB2312"/>
          <w:sz w:val="28"/>
          <w:szCs w:val="28"/>
          <w:vertAlign w:val="subscript"/>
        </w:rPr>
        <w:t>a</w:t>
      </w:r>
      <w:r>
        <w:rPr>
          <w:rFonts w:eastAsia="楷体_GB2312"/>
          <w:sz w:val="28"/>
          <w:szCs w:val="28"/>
        </w:rPr>
        <w:t>+E</w:t>
      </w:r>
      <w:r>
        <w:rPr>
          <w:rFonts w:eastAsia="楷体_GB2312"/>
          <w:sz w:val="28"/>
          <w:szCs w:val="28"/>
          <w:vertAlign w:val="subscript"/>
        </w:rPr>
        <w:t>d</w:t>
      </w:r>
      <w:r>
        <w:rPr>
          <w:rFonts w:eastAsia="楷体_GB2312"/>
          <w:sz w:val="28"/>
          <w:szCs w:val="28"/>
        </w:rPr>
        <w:t>+T+R</w:t>
      </w:r>
      <w:r>
        <w:rPr>
          <w:rFonts w:eastAsia="楷体_GB2312"/>
          <w:sz w:val="28"/>
          <w:szCs w:val="28"/>
          <w:vertAlign w:val="subscript"/>
        </w:rPr>
        <w:t>1</w:t>
      </w:r>
      <w:r>
        <w:rPr>
          <w:rFonts w:eastAsia="楷体_GB2312"/>
          <w:sz w:val="28"/>
          <w:szCs w:val="28"/>
        </w:rPr>
        <w:t>+R</w:t>
      </w:r>
      <w:r>
        <w:rPr>
          <w:rFonts w:eastAsia="楷体_GB2312"/>
          <w:sz w:val="28"/>
          <w:szCs w:val="28"/>
          <w:vertAlign w:val="subscript"/>
        </w:rPr>
        <w:t>2</w:t>
      </w:r>
      <w:r>
        <w:rPr>
          <w:rFonts w:eastAsia="楷体_GB2312"/>
          <w:sz w:val="28"/>
          <w:szCs w:val="28"/>
        </w:rPr>
        <w:t>+R</w:t>
      </w:r>
      <w:r>
        <w:rPr>
          <w:rFonts w:eastAsia="楷体_GB2312"/>
          <w:sz w:val="28"/>
          <w:szCs w:val="28"/>
          <w:vertAlign w:val="subscript"/>
        </w:rPr>
        <w:t>3</w:t>
      </w:r>
      <w:r>
        <w:rPr>
          <w:rFonts w:eastAsia="楷体_GB2312"/>
          <w:sz w:val="28"/>
          <w:szCs w:val="28"/>
        </w:rPr>
        <w:t>）=P</w:t>
      </w:r>
      <w:r>
        <w:rPr>
          <w:rFonts w:eastAsia="楷体_GB2312"/>
          <w:sz w:val="28"/>
          <w:szCs w:val="28"/>
          <w:vertAlign w:val="subscript"/>
        </w:rPr>
        <w:t>e</w:t>
      </w:r>
      <w:r>
        <w:rPr>
          <w:rFonts w:eastAsia="楷体_GB2312"/>
          <w:sz w:val="28"/>
          <w:szCs w:val="28"/>
        </w:rPr>
        <w:t>+R</w:t>
      </w:r>
      <w:r>
        <w:rPr>
          <w:rFonts w:eastAsia="楷体_GB2312"/>
          <w:sz w:val="28"/>
          <w:szCs w:val="28"/>
          <w:vertAlign w:val="subscript"/>
        </w:rPr>
        <w:t>3</w:t>
      </w:r>
    </w:p>
    <w:p w14:paraId="42748483">
      <w:pPr>
        <w:widowControl w:val="0"/>
        <w:tabs>
          <w:tab w:val="left" w:pos="360"/>
          <w:tab w:val="left" w:pos="900"/>
        </w:tabs>
        <w:spacing w:line="380" w:lineRule="exact"/>
        <w:ind w:firstLine="523" w:firstLineChars="187"/>
        <w:jc w:val="both"/>
        <w:rPr>
          <w:rFonts w:eastAsia="楷体_GB2312"/>
          <w:sz w:val="28"/>
          <w:szCs w:val="28"/>
        </w:rPr>
      </w:pPr>
      <w:r>
        <w:rPr>
          <w:rFonts w:eastAsia="楷体_GB2312"/>
          <w:sz w:val="28"/>
          <w:szCs w:val="28"/>
        </w:rPr>
        <w:t>式中：   P —土地价格</w:t>
      </w:r>
    </w:p>
    <w:p w14:paraId="513C0D02">
      <w:pPr>
        <w:widowControl w:val="0"/>
        <w:tabs>
          <w:tab w:val="left" w:pos="360"/>
          <w:tab w:val="left" w:pos="900"/>
        </w:tabs>
        <w:spacing w:line="380" w:lineRule="exact"/>
        <w:ind w:firstLine="523" w:firstLineChars="187"/>
        <w:jc w:val="both"/>
        <w:rPr>
          <w:rFonts w:eastAsia="楷体_GB2312"/>
          <w:sz w:val="28"/>
          <w:szCs w:val="28"/>
        </w:rPr>
      </w:pPr>
      <w:r>
        <w:rPr>
          <w:rFonts w:eastAsia="楷体_GB2312"/>
          <w:sz w:val="28"/>
          <w:szCs w:val="28"/>
        </w:rPr>
        <w:t xml:space="preserve">         E</w:t>
      </w:r>
      <w:r>
        <w:rPr>
          <w:rFonts w:eastAsia="楷体_GB2312"/>
          <w:sz w:val="28"/>
          <w:szCs w:val="28"/>
          <w:vertAlign w:val="subscript"/>
        </w:rPr>
        <w:t xml:space="preserve">a </w:t>
      </w:r>
      <w:r>
        <w:rPr>
          <w:rFonts w:eastAsia="楷体_GB2312"/>
          <w:sz w:val="28"/>
          <w:szCs w:val="28"/>
        </w:rPr>
        <w:t>—土地取得费</w:t>
      </w:r>
    </w:p>
    <w:p w14:paraId="53B4E164">
      <w:pPr>
        <w:widowControl w:val="0"/>
        <w:tabs>
          <w:tab w:val="left" w:pos="360"/>
          <w:tab w:val="left" w:pos="900"/>
        </w:tabs>
        <w:spacing w:line="380" w:lineRule="exact"/>
        <w:ind w:firstLine="523" w:firstLineChars="187"/>
        <w:jc w:val="both"/>
        <w:rPr>
          <w:rFonts w:eastAsia="楷体_GB2312"/>
          <w:sz w:val="28"/>
          <w:szCs w:val="28"/>
        </w:rPr>
      </w:pPr>
      <w:r>
        <w:rPr>
          <w:rFonts w:eastAsia="楷体_GB2312"/>
          <w:sz w:val="28"/>
          <w:szCs w:val="28"/>
        </w:rPr>
        <w:t xml:space="preserve">         E</w:t>
      </w:r>
      <w:r>
        <w:rPr>
          <w:rFonts w:eastAsia="楷体_GB2312"/>
          <w:sz w:val="28"/>
          <w:szCs w:val="28"/>
          <w:vertAlign w:val="subscript"/>
        </w:rPr>
        <w:t xml:space="preserve">d </w:t>
      </w:r>
      <w:r>
        <w:rPr>
          <w:rFonts w:eastAsia="楷体_GB2312"/>
          <w:sz w:val="28"/>
          <w:szCs w:val="28"/>
        </w:rPr>
        <w:t>—土地开发费</w:t>
      </w:r>
    </w:p>
    <w:p w14:paraId="6C2C0361">
      <w:pPr>
        <w:widowControl w:val="0"/>
        <w:tabs>
          <w:tab w:val="left" w:pos="360"/>
          <w:tab w:val="left" w:pos="900"/>
        </w:tabs>
        <w:spacing w:line="380" w:lineRule="exact"/>
        <w:ind w:firstLine="523" w:firstLineChars="187"/>
        <w:jc w:val="both"/>
        <w:rPr>
          <w:rFonts w:eastAsia="楷体_GB2312"/>
          <w:sz w:val="28"/>
          <w:szCs w:val="28"/>
        </w:rPr>
      </w:pPr>
      <w:r>
        <w:rPr>
          <w:rFonts w:eastAsia="楷体_GB2312"/>
          <w:sz w:val="28"/>
          <w:szCs w:val="28"/>
        </w:rPr>
        <w:t xml:space="preserve">         T —税费</w:t>
      </w:r>
    </w:p>
    <w:p w14:paraId="40E02BD9">
      <w:pPr>
        <w:widowControl w:val="0"/>
        <w:tabs>
          <w:tab w:val="left" w:pos="360"/>
          <w:tab w:val="left" w:pos="900"/>
        </w:tabs>
        <w:spacing w:line="380" w:lineRule="exact"/>
        <w:ind w:firstLine="523" w:firstLineChars="187"/>
        <w:jc w:val="both"/>
        <w:rPr>
          <w:rFonts w:eastAsia="楷体_GB2312"/>
          <w:sz w:val="28"/>
          <w:szCs w:val="28"/>
        </w:rPr>
      </w:pPr>
      <w:r>
        <w:rPr>
          <w:rFonts w:eastAsia="楷体_GB2312"/>
          <w:sz w:val="28"/>
          <w:szCs w:val="28"/>
        </w:rPr>
        <w:t xml:space="preserve">         R</w:t>
      </w:r>
      <w:r>
        <w:rPr>
          <w:rFonts w:eastAsia="楷体_GB2312"/>
          <w:sz w:val="28"/>
          <w:szCs w:val="28"/>
          <w:vertAlign w:val="subscript"/>
        </w:rPr>
        <w:t xml:space="preserve">1 </w:t>
      </w:r>
      <w:r>
        <w:rPr>
          <w:rFonts w:eastAsia="楷体_GB2312"/>
          <w:sz w:val="28"/>
          <w:szCs w:val="28"/>
        </w:rPr>
        <w:t>—利息</w:t>
      </w:r>
    </w:p>
    <w:p w14:paraId="60ACE749">
      <w:pPr>
        <w:widowControl w:val="0"/>
        <w:tabs>
          <w:tab w:val="left" w:pos="360"/>
          <w:tab w:val="left" w:pos="900"/>
        </w:tabs>
        <w:spacing w:line="380" w:lineRule="exact"/>
        <w:ind w:firstLine="523" w:firstLineChars="187"/>
        <w:jc w:val="both"/>
        <w:rPr>
          <w:rFonts w:eastAsia="楷体_GB2312"/>
          <w:sz w:val="28"/>
          <w:szCs w:val="28"/>
        </w:rPr>
      </w:pPr>
      <w:r>
        <w:rPr>
          <w:rFonts w:eastAsia="楷体_GB2312"/>
          <w:sz w:val="28"/>
          <w:szCs w:val="28"/>
        </w:rPr>
        <w:t xml:space="preserve">         R</w:t>
      </w:r>
      <w:r>
        <w:rPr>
          <w:rFonts w:eastAsia="楷体_GB2312"/>
          <w:sz w:val="28"/>
          <w:szCs w:val="28"/>
          <w:vertAlign w:val="subscript"/>
        </w:rPr>
        <w:t xml:space="preserve">2 </w:t>
      </w:r>
      <w:r>
        <w:rPr>
          <w:rFonts w:eastAsia="楷体_GB2312"/>
          <w:sz w:val="28"/>
          <w:szCs w:val="28"/>
        </w:rPr>
        <w:t>—利润</w:t>
      </w:r>
    </w:p>
    <w:p w14:paraId="31DD45AA">
      <w:pPr>
        <w:widowControl w:val="0"/>
        <w:tabs>
          <w:tab w:val="left" w:pos="360"/>
          <w:tab w:val="left" w:pos="900"/>
        </w:tabs>
        <w:spacing w:line="380" w:lineRule="exact"/>
        <w:ind w:firstLine="523" w:firstLineChars="187"/>
        <w:jc w:val="both"/>
        <w:rPr>
          <w:rFonts w:eastAsia="楷体_GB2312"/>
          <w:sz w:val="28"/>
          <w:szCs w:val="28"/>
        </w:rPr>
      </w:pPr>
      <w:r>
        <w:rPr>
          <w:rFonts w:eastAsia="楷体_GB2312"/>
          <w:sz w:val="28"/>
          <w:szCs w:val="28"/>
        </w:rPr>
        <w:t xml:space="preserve">         R</w:t>
      </w:r>
      <w:r>
        <w:rPr>
          <w:rFonts w:eastAsia="楷体_GB2312"/>
          <w:sz w:val="28"/>
          <w:szCs w:val="28"/>
          <w:vertAlign w:val="subscript"/>
        </w:rPr>
        <w:t xml:space="preserve">3 </w:t>
      </w:r>
      <w:r>
        <w:rPr>
          <w:rFonts w:eastAsia="楷体_GB2312"/>
          <w:sz w:val="28"/>
          <w:szCs w:val="28"/>
        </w:rPr>
        <w:t>—土地增值收益</w:t>
      </w:r>
    </w:p>
    <w:p w14:paraId="41444EF1">
      <w:pPr>
        <w:widowControl w:val="0"/>
        <w:tabs>
          <w:tab w:val="left" w:pos="360"/>
          <w:tab w:val="left" w:pos="900"/>
        </w:tabs>
        <w:spacing w:line="380" w:lineRule="exact"/>
        <w:ind w:firstLine="1783" w:firstLineChars="637"/>
        <w:jc w:val="both"/>
        <w:rPr>
          <w:rFonts w:eastAsia="楷体_GB2312"/>
          <w:sz w:val="28"/>
          <w:szCs w:val="28"/>
        </w:rPr>
      </w:pPr>
      <w:r>
        <w:rPr>
          <w:rFonts w:eastAsia="楷体_GB2312"/>
          <w:sz w:val="28"/>
          <w:szCs w:val="28"/>
        </w:rPr>
        <w:t>P</w:t>
      </w:r>
      <w:r>
        <w:rPr>
          <w:rFonts w:eastAsia="楷体_GB2312"/>
          <w:sz w:val="28"/>
          <w:szCs w:val="28"/>
          <w:vertAlign w:val="subscript"/>
        </w:rPr>
        <w:t xml:space="preserve">e </w:t>
      </w:r>
      <w:r>
        <w:rPr>
          <w:rFonts w:eastAsia="楷体_GB2312"/>
          <w:sz w:val="28"/>
          <w:szCs w:val="28"/>
        </w:rPr>
        <w:t>—土地成本价格</w:t>
      </w:r>
    </w:p>
    <w:p w14:paraId="6B318543">
      <w:pPr>
        <w:widowControl w:val="0"/>
        <w:spacing w:line="480" w:lineRule="exact"/>
        <w:ind w:firstLine="560" w:firstLineChars="200"/>
        <w:jc w:val="both"/>
        <w:rPr>
          <w:rFonts w:eastAsia="楷体_GB2312"/>
          <w:sz w:val="28"/>
          <w:szCs w:val="21"/>
        </w:rPr>
      </w:pPr>
      <w:r>
        <w:rPr>
          <w:rFonts w:eastAsia="楷体_GB2312"/>
          <w:sz w:val="28"/>
          <w:szCs w:val="21"/>
        </w:rPr>
        <w:t>土地取得费根据当地拆迁标准及实际市场调查来确定；投资利息根据评估时点中国人民银行公布的短期贷款利息确定；利润率按照公共管理与公共服务用地对应行业的平均投资利润率确定。具体参数详见表2-6-</w:t>
      </w:r>
      <w:r>
        <w:rPr>
          <w:rFonts w:hint="eastAsia" w:eastAsia="楷体_GB2312"/>
          <w:sz w:val="28"/>
          <w:szCs w:val="21"/>
        </w:rPr>
        <w:t>10</w:t>
      </w:r>
      <w:r>
        <w:rPr>
          <w:rFonts w:eastAsia="楷体_GB2312"/>
          <w:sz w:val="28"/>
          <w:szCs w:val="21"/>
        </w:rPr>
        <w:t>：</w:t>
      </w:r>
    </w:p>
    <w:p w14:paraId="4DFA3346">
      <w:pPr>
        <w:widowControl w:val="0"/>
        <w:spacing w:line="480" w:lineRule="exact"/>
        <w:jc w:val="center"/>
        <w:rPr>
          <w:rFonts w:eastAsia="黑体"/>
          <w:sz w:val="28"/>
          <w:szCs w:val="21"/>
        </w:rPr>
      </w:pPr>
      <w:r>
        <w:rPr>
          <w:rFonts w:eastAsia="黑体"/>
          <w:sz w:val="28"/>
          <w:szCs w:val="21"/>
        </w:rPr>
        <w:t>表2-6-10  土地成本取值参数表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3119"/>
        <w:gridCol w:w="1293"/>
        <w:gridCol w:w="3865"/>
      </w:tblGrid>
      <w:tr w14:paraId="58BAF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914" w:type="dxa"/>
            <w:gridSpan w:val="2"/>
            <w:noWrap w:val="0"/>
            <w:vAlign w:val="center"/>
          </w:tcPr>
          <w:p w14:paraId="6D1D396F">
            <w:pPr>
              <w:widowControl w:val="0"/>
              <w:spacing w:line="300" w:lineRule="exact"/>
              <w:jc w:val="center"/>
              <w:rPr>
                <w:rFonts w:eastAsia="楷体_GB2312"/>
                <w:szCs w:val="21"/>
              </w:rPr>
            </w:pPr>
            <w:r>
              <w:rPr>
                <w:rFonts w:eastAsia="楷体_GB2312"/>
                <w:szCs w:val="21"/>
              </w:rPr>
              <w:t>类    别</w:t>
            </w:r>
          </w:p>
        </w:tc>
        <w:tc>
          <w:tcPr>
            <w:tcW w:w="1293" w:type="dxa"/>
            <w:noWrap w:val="0"/>
            <w:vAlign w:val="center"/>
          </w:tcPr>
          <w:p w14:paraId="51A34E3A">
            <w:pPr>
              <w:widowControl w:val="0"/>
              <w:spacing w:line="300" w:lineRule="exact"/>
              <w:jc w:val="center"/>
              <w:rPr>
                <w:rFonts w:eastAsia="楷体_GB2312"/>
                <w:szCs w:val="21"/>
              </w:rPr>
            </w:pPr>
            <w:r>
              <w:rPr>
                <w:rFonts w:eastAsia="楷体_GB2312"/>
                <w:szCs w:val="21"/>
              </w:rPr>
              <w:t>参数取值</w:t>
            </w:r>
          </w:p>
        </w:tc>
        <w:tc>
          <w:tcPr>
            <w:tcW w:w="3865" w:type="dxa"/>
            <w:noWrap w:val="0"/>
            <w:vAlign w:val="center"/>
          </w:tcPr>
          <w:p w14:paraId="66884036">
            <w:pPr>
              <w:widowControl w:val="0"/>
              <w:spacing w:line="300" w:lineRule="exact"/>
              <w:jc w:val="center"/>
              <w:rPr>
                <w:rFonts w:eastAsia="楷体_GB2312"/>
                <w:szCs w:val="21"/>
              </w:rPr>
            </w:pPr>
            <w:r>
              <w:rPr>
                <w:rFonts w:eastAsia="楷体_GB2312"/>
                <w:szCs w:val="21"/>
              </w:rPr>
              <w:t>备    注</w:t>
            </w:r>
          </w:p>
        </w:tc>
      </w:tr>
      <w:tr w14:paraId="3554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8" w:hRule="atLeast"/>
          <w:jc w:val="center"/>
        </w:trPr>
        <w:tc>
          <w:tcPr>
            <w:tcW w:w="795" w:type="dxa"/>
            <w:vMerge w:val="restart"/>
            <w:noWrap w:val="0"/>
            <w:vAlign w:val="center"/>
          </w:tcPr>
          <w:p w14:paraId="65D4CED7">
            <w:pPr>
              <w:widowControl w:val="0"/>
              <w:spacing w:line="300" w:lineRule="exact"/>
              <w:jc w:val="center"/>
              <w:rPr>
                <w:rFonts w:eastAsia="楷体_GB2312"/>
                <w:szCs w:val="21"/>
              </w:rPr>
            </w:pPr>
            <w:r>
              <w:rPr>
                <w:rFonts w:eastAsia="楷体_GB2312"/>
                <w:szCs w:val="21"/>
              </w:rPr>
              <w:t>土地取得费</w:t>
            </w:r>
          </w:p>
        </w:tc>
        <w:tc>
          <w:tcPr>
            <w:tcW w:w="3119" w:type="dxa"/>
            <w:noWrap w:val="0"/>
            <w:vAlign w:val="center"/>
          </w:tcPr>
          <w:p w14:paraId="7DA87778">
            <w:pPr>
              <w:widowControl w:val="0"/>
              <w:spacing w:line="300" w:lineRule="exact"/>
              <w:jc w:val="center"/>
              <w:rPr>
                <w:rFonts w:eastAsia="楷体_GB2312"/>
                <w:szCs w:val="21"/>
              </w:rPr>
            </w:pPr>
            <w:r>
              <w:rPr>
                <w:rFonts w:eastAsia="楷体_GB2312"/>
                <w:szCs w:val="21"/>
              </w:rPr>
              <w:t>征地区片价（元/平方米）</w:t>
            </w:r>
          </w:p>
        </w:tc>
        <w:tc>
          <w:tcPr>
            <w:tcW w:w="1293" w:type="dxa"/>
            <w:noWrap w:val="0"/>
            <w:vAlign w:val="center"/>
          </w:tcPr>
          <w:p w14:paraId="6D227202">
            <w:pPr>
              <w:widowControl w:val="0"/>
              <w:spacing w:line="300" w:lineRule="exact"/>
              <w:jc w:val="center"/>
              <w:rPr>
                <w:rFonts w:eastAsia="楷体_GB2312"/>
                <w:szCs w:val="21"/>
              </w:rPr>
            </w:pPr>
            <w:r>
              <w:rPr>
                <w:rFonts w:hint="eastAsia" w:eastAsia="楷体_GB2312"/>
                <w:szCs w:val="21"/>
              </w:rPr>
              <w:t>65.08</w:t>
            </w:r>
          </w:p>
        </w:tc>
        <w:tc>
          <w:tcPr>
            <w:tcW w:w="3865" w:type="dxa"/>
            <w:noWrap w:val="0"/>
            <w:vAlign w:val="center"/>
          </w:tcPr>
          <w:p w14:paraId="72117AE7">
            <w:pPr>
              <w:widowControl w:val="0"/>
              <w:spacing w:line="300" w:lineRule="exact"/>
              <w:jc w:val="center"/>
              <w:rPr>
                <w:rFonts w:eastAsia="楷体_GB2312"/>
                <w:szCs w:val="21"/>
              </w:rPr>
            </w:pPr>
            <w:r>
              <w:rPr>
                <w:rFonts w:eastAsia="楷体_GB2312"/>
                <w:szCs w:val="21"/>
              </w:rPr>
              <w:t>根据安徽省人民政府关于公布全省征地区片综合地价标准的通知（皖政〔2020〕32号），乡镇征地区片价最低为</w:t>
            </w:r>
            <w:r>
              <w:rPr>
                <w:rFonts w:hint="eastAsia" w:eastAsia="楷体_GB2312"/>
                <w:szCs w:val="21"/>
              </w:rPr>
              <w:t>43390</w:t>
            </w:r>
            <w:r>
              <w:rPr>
                <w:rFonts w:eastAsia="楷体_GB2312"/>
                <w:szCs w:val="21"/>
              </w:rPr>
              <w:t>元/亩。</w:t>
            </w:r>
          </w:p>
        </w:tc>
      </w:tr>
      <w:tr w14:paraId="79D08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5" w:type="dxa"/>
            <w:vMerge w:val="continue"/>
            <w:noWrap w:val="0"/>
            <w:vAlign w:val="center"/>
          </w:tcPr>
          <w:p w14:paraId="424F3E18">
            <w:pPr>
              <w:widowControl w:val="0"/>
              <w:spacing w:line="300" w:lineRule="exact"/>
              <w:jc w:val="center"/>
              <w:rPr>
                <w:rFonts w:eastAsia="楷体_GB2312"/>
                <w:szCs w:val="21"/>
              </w:rPr>
            </w:pPr>
          </w:p>
        </w:tc>
        <w:tc>
          <w:tcPr>
            <w:tcW w:w="3119" w:type="dxa"/>
            <w:noWrap w:val="0"/>
            <w:vAlign w:val="center"/>
          </w:tcPr>
          <w:p w14:paraId="4A5477CA">
            <w:pPr>
              <w:widowControl w:val="0"/>
              <w:spacing w:line="300" w:lineRule="exact"/>
              <w:jc w:val="center"/>
              <w:rPr>
                <w:rFonts w:eastAsia="楷体_GB2312"/>
                <w:szCs w:val="21"/>
              </w:rPr>
            </w:pPr>
            <w:r>
              <w:rPr>
                <w:rFonts w:eastAsia="楷体_GB2312"/>
                <w:szCs w:val="21"/>
              </w:rPr>
              <w:t>青苗补助费（元/平方米）</w:t>
            </w:r>
          </w:p>
        </w:tc>
        <w:tc>
          <w:tcPr>
            <w:tcW w:w="1293" w:type="dxa"/>
            <w:noWrap w:val="0"/>
            <w:vAlign w:val="center"/>
          </w:tcPr>
          <w:p w14:paraId="2C26A3DE">
            <w:pPr>
              <w:widowControl w:val="0"/>
              <w:spacing w:line="300" w:lineRule="exact"/>
              <w:jc w:val="center"/>
              <w:rPr>
                <w:rFonts w:eastAsia="楷体_GB2312"/>
                <w:szCs w:val="21"/>
              </w:rPr>
            </w:pPr>
            <w:r>
              <w:rPr>
                <w:rFonts w:eastAsia="楷体_GB2312"/>
                <w:szCs w:val="21"/>
              </w:rPr>
              <w:t>1.</w:t>
            </w:r>
            <w:r>
              <w:rPr>
                <w:rFonts w:hint="eastAsia" w:eastAsia="楷体_GB2312"/>
                <w:szCs w:val="21"/>
              </w:rPr>
              <w:t>80</w:t>
            </w:r>
          </w:p>
        </w:tc>
        <w:tc>
          <w:tcPr>
            <w:tcW w:w="3865" w:type="dxa"/>
            <w:noWrap w:val="0"/>
            <w:vAlign w:val="center"/>
          </w:tcPr>
          <w:p w14:paraId="3EDA4DAA">
            <w:pPr>
              <w:spacing w:line="300" w:lineRule="exact"/>
              <w:jc w:val="center"/>
              <w:rPr>
                <w:rFonts w:eastAsia="楷体_GB2312"/>
                <w:szCs w:val="21"/>
              </w:rPr>
            </w:pPr>
            <w:r>
              <w:rPr>
                <w:rFonts w:eastAsia="楷体_GB2312"/>
                <w:szCs w:val="21"/>
              </w:rPr>
              <w:t>《</w:t>
            </w:r>
            <w:r>
              <w:rPr>
                <w:rFonts w:hint="eastAsia" w:eastAsia="楷体_GB2312"/>
                <w:szCs w:val="21"/>
              </w:rPr>
              <w:t>宿州市人民政府关于调整宿州市被征土地青苗及地上附着物补偿标准的通知</w:t>
            </w:r>
            <w:r>
              <w:rPr>
                <w:rFonts w:eastAsia="楷体_GB2312"/>
                <w:szCs w:val="21"/>
              </w:rPr>
              <w:t xml:space="preserve">》( </w:t>
            </w:r>
            <w:r>
              <w:rPr>
                <w:rFonts w:hint="eastAsia" w:eastAsia="楷体_GB2312"/>
                <w:szCs w:val="21"/>
              </w:rPr>
              <w:t>宿</w:t>
            </w:r>
            <w:r>
              <w:rPr>
                <w:rFonts w:eastAsia="楷体_GB2312"/>
                <w:szCs w:val="21"/>
              </w:rPr>
              <w:t>政秘〔20</w:t>
            </w:r>
            <w:r>
              <w:rPr>
                <w:rFonts w:hint="eastAsia" w:eastAsia="楷体_GB2312"/>
                <w:szCs w:val="21"/>
              </w:rPr>
              <w:t>20</w:t>
            </w:r>
            <w:r>
              <w:rPr>
                <w:rFonts w:eastAsia="楷体_GB2312"/>
                <w:szCs w:val="21"/>
              </w:rPr>
              <w:t>〕</w:t>
            </w:r>
            <w:r>
              <w:rPr>
                <w:rFonts w:hint="eastAsia" w:eastAsia="楷体_GB2312"/>
                <w:szCs w:val="21"/>
              </w:rPr>
              <w:t>50</w:t>
            </w:r>
            <w:r>
              <w:rPr>
                <w:rFonts w:eastAsia="楷体_GB2312"/>
                <w:szCs w:val="21"/>
              </w:rPr>
              <w:t>号)，按水稻计，青苗补偿1</w:t>
            </w:r>
            <w:r>
              <w:rPr>
                <w:rFonts w:hint="eastAsia" w:eastAsia="楷体_GB2312"/>
                <w:szCs w:val="21"/>
              </w:rPr>
              <w:t>2</w:t>
            </w:r>
            <w:r>
              <w:rPr>
                <w:rFonts w:eastAsia="楷体_GB2312"/>
                <w:szCs w:val="21"/>
              </w:rPr>
              <w:t>00元/亩</w:t>
            </w:r>
          </w:p>
        </w:tc>
      </w:tr>
      <w:tr w14:paraId="0975D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5" w:type="dxa"/>
            <w:vMerge w:val="restart"/>
            <w:noWrap w:val="0"/>
            <w:vAlign w:val="center"/>
          </w:tcPr>
          <w:p w14:paraId="07E100F7">
            <w:pPr>
              <w:widowControl w:val="0"/>
              <w:spacing w:line="300" w:lineRule="exact"/>
              <w:jc w:val="center"/>
              <w:rPr>
                <w:rFonts w:eastAsia="楷体_GB2312"/>
                <w:szCs w:val="21"/>
              </w:rPr>
            </w:pPr>
            <w:r>
              <w:rPr>
                <w:rFonts w:eastAsia="楷体_GB2312"/>
                <w:szCs w:val="21"/>
              </w:rPr>
              <w:t>税费</w:t>
            </w:r>
          </w:p>
        </w:tc>
        <w:tc>
          <w:tcPr>
            <w:tcW w:w="3119" w:type="dxa"/>
            <w:noWrap w:val="0"/>
            <w:vAlign w:val="center"/>
          </w:tcPr>
          <w:p w14:paraId="64D8BE55">
            <w:pPr>
              <w:widowControl w:val="0"/>
              <w:spacing w:line="300" w:lineRule="exact"/>
              <w:jc w:val="center"/>
              <w:rPr>
                <w:rFonts w:eastAsia="楷体_GB2312"/>
                <w:szCs w:val="21"/>
              </w:rPr>
            </w:pPr>
            <w:r>
              <w:rPr>
                <w:rFonts w:eastAsia="楷体_GB2312"/>
                <w:szCs w:val="21"/>
              </w:rPr>
              <w:t>耕地占用税（元/平方米）</w:t>
            </w:r>
          </w:p>
        </w:tc>
        <w:tc>
          <w:tcPr>
            <w:tcW w:w="1293" w:type="dxa"/>
            <w:noWrap w:val="0"/>
            <w:vAlign w:val="center"/>
          </w:tcPr>
          <w:p w14:paraId="605C44FE">
            <w:pPr>
              <w:widowControl w:val="0"/>
              <w:spacing w:line="300" w:lineRule="exact"/>
              <w:jc w:val="center"/>
              <w:rPr>
                <w:rFonts w:eastAsia="楷体_GB2312"/>
                <w:szCs w:val="21"/>
              </w:rPr>
            </w:pPr>
            <w:r>
              <w:rPr>
                <w:rFonts w:eastAsia="楷体_GB2312"/>
                <w:szCs w:val="21"/>
              </w:rPr>
              <w:t xml:space="preserve">26.25 </w:t>
            </w:r>
          </w:p>
        </w:tc>
        <w:tc>
          <w:tcPr>
            <w:tcW w:w="3865" w:type="dxa"/>
            <w:noWrap w:val="0"/>
            <w:vAlign w:val="center"/>
          </w:tcPr>
          <w:p w14:paraId="5BB59FF5">
            <w:pPr>
              <w:widowControl w:val="0"/>
              <w:spacing w:line="300" w:lineRule="exact"/>
              <w:rPr>
                <w:rFonts w:eastAsia="楷体_GB2312"/>
                <w:szCs w:val="21"/>
              </w:rPr>
            </w:pPr>
            <w:r>
              <w:rPr>
                <w:rFonts w:eastAsia="楷体_GB2312"/>
                <w:szCs w:val="21"/>
              </w:rPr>
              <w:t>安徽省财政厅、国家税务总局安徽省税务局、安徽省自然资源厅、安徽省农业农村厅、安徽省生态环境厅、安徽省水利厅《关于印发《安徽省耕地占用税实施细则》的通知》（皖财税法〔2019〕969号）</w:t>
            </w:r>
          </w:p>
        </w:tc>
      </w:tr>
      <w:tr w14:paraId="4676B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5" w:type="dxa"/>
            <w:vMerge w:val="continue"/>
            <w:noWrap w:val="0"/>
            <w:vAlign w:val="center"/>
          </w:tcPr>
          <w:p w14:paraId="2C510178">
            <w:pPr>
              <w:widowControl w:val="0"/>
              <w:spacing w:line="300" w:lineRule="exact"/>
              <w:jc w:val="center"/>
              <w:rPr>
                <w:rFonts w:eastAsia="楷体_GB2312"/>
                <w:szCs w:val="21"/>
              </w:rPr>
            </w:pPr>
          </w:p>
        </w:tc>
        <w:tc>
          <w:tcPr>
            <w:tcW w:w="3119" w:type="dxa"/>
            <w:noWrap w:val="0"/>
            <w:vAlign w:val="center"/>
          </w:tcPr>
          <w:p w14:paraId="4B88055F">
            <w:pPr>
              <w:widowControl w:val="0"/>
              <w:spacing w:line="300" w:lineRule="exact"/>
              <w:jc w:val="center"/>
              <w:rPr>
                <w:rFonts w:eastAsia="楷体_GB2312"/>
                <w:szCs w:val="21"/>
              </w:rPr>
            </w:pPr>
            <w:r>
              <w:rPr>
                <w:rFonts w:eastAsia="楷体_GB2312"/>
                <w:szCs w:val="21"/>
              </w:rPr>
              <w:t>耕地开垦费（元/平方米）</w:t>
            </w:r>
          </w:p>
        </w:tc>
        <w:tc>
          <w:tcPr>
            <w:tcW w:w="1293" w:type="dxa"/>
            <w:noWrap w:val="0"/>
            <w:vAlign w:val="center"/>
          </w:tcPr>
          <w:p w14:paraId="01925AA9">
            <w:pPr>
              <w:widowControl w:val="0"/>
              <w:spacing w:line="300" w:lineRule="exact"/>
              <w:jc w:val="center"/>
              <w:rPr>
                <w:rFonts w:eastAsia="楷体_GB2312"/>
                <w:szCs w:val="21"/>
              </w:rPr>
            </w:pPr>
            <w:r>
              <w:rPr>
                <w:rFonts w:eastAsia="楷体_GB2312"/>
                <w:szCs w:val="21"/>
              </w:rPr>
              <w:t>24</w:t>
            </w:r>
          </w:p>
        </w:tc>
        <w:tc>
          <w:tcPr>
            <w:tcW w:w="3865" w:type="dxa"/>
            <w:noWrap w:val="0"/>
            <w:vAlign w:val="center"/>
          </w:tcPr>
          <w:p w14:paraId="54678E2B">
            <w:pPr>
              <w:widowControl w:val="0"/>
              <w:spacing w:line="300" w:lineRule="exact"/>
              <w:rPr>
                <w:rFonts w:eastAsia="楷体_GB2312"/>
                <w:szCs w:val="21"/>
              </w:rPr>
            </w:pPr>
            <w:r>
              <w:rPr>
                <w:rFonts w:eastAsia="楷体_GB2312"/>
                <w:szCs w:val="21"/>
              </w:rPr>
              <w:t>安徽省发展改革委、安徽省财政厅、安徽省自然资源厅《关于调整耕地开垦费征收标准等有关问题的通知》（皖发改收费〔2019〕33号）</w:t>
            </w:r>
          </w:p>
        </w:tc>
      </w:tr>
      <w:tr w14:paraId="4FEE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95" w:type="dxa"/>
            <w:vMerge w:val="continue"/>
            <w:noWrap w:val="0"/>
            <w:vAlign w:val="center"/>
          </w:tcPr>
          <w:p w14:paraId="147DA5DE">
            <w:pPr>
              <w:widowControl w:val="0"/>
              <w:spacing w:line="300" w:lineRule="exact"/>
              <w:jc w:val="center"/>
              <w:rPr>
                <w:rFonts w:eastAsia="楷体_GB2312"/>
                <w:szCs w:val="21"/>
              </w:rPr>
            </w:pPr>
          </w:p>
        </w:tc>
        <w:tc>
          <w:tcPr>
            <w:tcW w:w="3119" w:type="dxa"/>
            <w:noWrap w:val="0"/>
            <w:vAlign w:val="center"/>
          </w:tcPr>
          <w:p w14:paraId="6B5DA513">
            <w:pPr>
              <w:widowControl w:val="0"/>
              <w:spacing w:line="300" w:lineRule="exact"/>
              <w:jc w:val="center"/>
              <w:rPr>
                <w:rFonts w:eastAsia="楷体_GB2312"/>
                <w:szCs w:val="21"/>
              </w:rPr>
            </w:pPr>
            <w:r>
              <w:rPr>
                <w:rFonts w:eastAsia="楷体_GB2312"/>
                <w:szCs w:val="21"/>
              </w:rPr>
              <w:t>地方水利建设基金（元/平方米）</w:t>
            </w:r>
          </w:p>
        </w:tc>
        <w:tc>
          <w:tcPr>
            <w:tcW w:w="1293" w:type="dxa"/>
            <w:noWrap w:val="0"/>
            <w:vAlign w:val="center"/>
          </w:tcPr>
          <w:p w14:paraId="000BB564">
            <w:pPr>
              <w:widowControl w:val="0"/>
              <w:spacing w:line="300" w:lineRule="exact"/>
              <w:jc w:val="center"/>
              <w:rPr>
                <w:rFonts w:eastAsia="楷体_GB2312"/>
                <w:szCs w:val="21"/>
              </w:rPr>
            </w:pPr>
            <w:r>
              <w:rPr>
                <w:rFonts w:eastAsia="楷体_GB2312"/>
                <w:szCs w:val="21"/>
              </w:rPr>
              <w:t xml:space="preserve">0.75 </w:t>
            </w:r>
          </w:p>
        </w:tc>
        <w:tc>
          <w:tcPr>
            <w:tcW w:w="3865" w:type="dxa"/>
            <w:noWrap w:val="0"/>
            <w:vAlign w:val="center"/>
          </w:tcPr>
          <w:p w14:paraId="313DF87B">
            <w:pPr>
              <w:widowControl w:val="0"/>
              <w:spacing w:line="300" w:lineRule="exact"/>
              <w:rPr>
                <w:rFonts w:eastAsia="楷体_GB2312"/>
                <w:szCs w:val="21"/>
              </w:rPr>
            </w:pPr>
            <w:r>
              <w:rPr>
                <w:rFonts w:eastAsia="楷体_GB2312"/>
                <w:szCs w:val="21"/>
              </w:rPr>
              <w:t>安徽省人民政府《安徽省人民政府关于印发安徽省地方水利建设基金筹集和使用管理办法的通知》（皖政〔2012〕54号）</w:t>
            </w:r>
          </w:p>
        </w:tc>
      </w:tr>
      <w:tr w14:paraId="1D246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914" w:type="dxa"/>
            <w:gridSpan w:val="2"/>
            <w:noWrap w:val="0"/>
            <w:vAlign w:val="center"/>
          </w:tcPr>
          <w:p w14:paraId="7550CDF9">
            <w:pPr>
              <w:widowControl w:val="0"/>
              <w:spacing w:line="300" w:lineRule="exact"/>
              <w:jc w:val="center"/>
              <w:rPr>
                <w:rFonts w:eastAsia="楷体_GB2312"/>
                <w:szCs w:val="21"/>
              </w:rPr>
            </w:pPr>
            <w:r>
              <w:rPr>
                <w:rFonts w:eastAsia="楷体_GB2312"/>
                <w:szCs w:val="21"/>
              </w:rPr>
              <w:t>土地开发费（元/平方米）</w:t>
            </w:r>
          </w:p>
        </w:tc>
        <w:tc>
          <w:tcPr>
            <w:tcW w:w="1293" w:type="dxa"/>
            <w:noWrap w:val="0"/>
            <w:vAlign w:val="center"/>
          </w:tcPr>
          <w:p w14:paraId="7780EBEF">
            <w:pPr>
              <w:widowControl w:val="0"/>
              <w:spacing w:line="300" w:lineRule="exact"/>
              <w:jc w:val="center"/>
              <w:rPr>
                <w:rFonts w:eastAsia="楷体_GB2312"/>
                <w:szCs w:val="21"/>
              </w:rPr>
            </w:pPr>
            <w:r>
              <w:rPr>
                <w:rFonts w:hint="eastAsia" w:eastAsia="楷体_GB2312"/>
                <w:szCs w:val="21"/>
              </w:rPr>
              <w:t>60</w:t>
            </w:r>
          </w:p>
        </w:tc>
        <w:tc>
          <w:tcPr>
            <w:tcW w:w="3865" w:type="dxa"/>
            <w:noWrap w:val="0"/>
            <w:vAlign w:val="center"/>
          </w:tcPr>
          <w:p w14:paraId="1207F90A">
            <w:pPr>
              <w:widowControl w:val="0"/>
              <w:spacing w:line="300" w:lineRule="exact"/>
              <w:jc w:val="center"/>
              <w:rPr>
                <w:rFonts w:eastAsia="楷体_GB2312"/>
                <w:szCs w:val="21"/>
              </w:rPr>
            </w:pPr>
            <w:r>
              <w:rPr>
                <w:rFonts w:eastAsia="楷体_GB2312"/>
                <w:szCs w:val="21"/>
              </w:rPr>
              <w:t>土地开发费用为通路和通讯</w:t>
            </w:r>
            <w:r>
              <w:rPr>
                <w:rFonts w:hint="eastAsia" w:eastAsia="楷体_GB2312"/>
                <w:szCs w:val="21"/>
              </w:rPr>
              <w:t>、场地平整</w:t>
            </w:r>
          </w:p>
        </w:tc>
      </w:tr>
      <w:tr w14:paraId="723B8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914" w:type="dxa"/>
            <w:gridSpan w:val="2"/>
            <w:noWrap w:val="0"/>
            <w:vAlign w:val="center"/>
          </w:tcPr>
          <w:p w14:paraId="7C9DD179">
            <w:pPr>
              <w:widowControl w:val="0"/>
              <w:spacing w:line="300" w:lineRule="exact"/>
              <w:jc w:val="center"/>
              <w:rPr>
                <w:rFonts w:eastAsia="楷体_GB2312"/>
                <w:szCs w:val="21"/>
              </w:rPr>
            </w:pPr>
            <w:r>
              <w:rPr>
                <w:rFonts w:eastAsia="楷体_GB2312"/>
                <w:szCs w:val="21"/>
              </w:rPr>
              <w:t>利息（元/平方米）</w:t>
            </w:r>
          </w:p>
        </w:tc>
        <w:tc>
          <w:tcPr>
            <w:tcW w:w="1293" w:type="dxa"/>
            <w:noWrap w:val="0"/>
            <w:vAlign w:val="center"/>
          </w:tcPr>
          <w:p w14:paraId="0DCB0950">
            <w:pPr>
              <w:widowControl w:val="0"/>
              <w:spacing w:line="300" w:lineRule="exact"/>
              <w:jc w:val="center"/>
              <w:rPr>
                <w:rFonts w:eastAsia="楷体_GB2312"/>
                <w:szCs w:val="21"/>
              </w:rPr>
            </w:pPr>
            <w:r>
              <w:rPr>
                <w:rFonts w:eastAsia="楷体_GB2312"/>
                <w:szCs w:val="21"/>
              </w:rPr>
              <w:t>6.43</w:t>
            </w:r>
          </w:p>
        </w:tc>
        <w:tc>
          <w:tcPr>
            <w:tcW w:w="3865" w:type="dxa"/>
            <w:noWrap w:val="0"/>
            <w:vAlign w:val="center"/>
          </w:tcPr>
          <w:p w14:paraId="757BD7BD">
            <w:pPr>
              <w:widowControl w:val="0"/>
              <w:spacing w:line="300" w:lineRule="exact"/>
              <w:jc w:val="center"/>
              <w:rPr>
                <w:rFonts w:eastAsia="楷体_GB2312"/>
                <w:szCs w:val="21"/>
              </w:rPr>
            </w:pPr>
            <w:r>
              <w:rPr>
                <w:rFonts w:eastAsia="楷体_GB2312"/>
                <w:szCs w:val="21"/>
              </w:rPr>
              <w:t>按评估期日中国人民银行公布的短期贷款利息4.35%计</w:t>
            </w:r>
          </w:p>
        </w:tc>
      </w:tr>
      <w:tr w14:paraId="7A7A3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914" w:type="dxa"/>
            <w:gridSpan w:val="2"/>
            <w:noWrap w:val="0"/>
            <w:vAlign w:val="center"/>
          </w:tcPr>
          <w:p w14:paraId="3D7530BB">
            <w:pPr>
              <w:widowControl w:val="0"/>
              <w:spacing w:line="300" w:lineRule="exact"/>
              <w:jc w:val="center"/>
              <w:rPr>
                <w:rFonts w:eastAsia="楷体_GB2312"/>
                <w:szCs w:val="21"/>
              </w:rPr>
            </w:pPr>
            <w:r>
              <w:rPr>
                <w:rFonts w:eastAsia="楷体_GB2312"/>
                <w:szCs w:val="21"/>
              </w:rPr>
              <w:t>利润（元/平方米）</w:t>
            </w:r>
          </w:p>
        </w:tc>
        <w:tc>
          <w:tcPr>
            <w:tcW w:w="1293" w:type="dxa"/>
            <w:noWrap w:val="0"/>
            <w:vAlign w:val="center"/>
          </w:tcPr>
          <w:p w14:paraId="3D107F9D">
            <w:pPr>
              <w:widowControl w:val="0"/>
              <w:spacing w:line="300" w:lineRule="exact"/>
              <w:jc w:val="center"/>
              <w:rPr>
                <w:rFonts w:eastAsia="楷体_GB2312"/>
                <w:szCs w:val="21"/>
              </w:rPr>
            </w:pPr>
            <w:r>
              <w:rPr>
                <w:rFonts w:eastAsia="楷体_GB2312"/>
                <w:szCs w:val="21"/>
              </w:rPr>
              <w:t>7.12</w:t>
            </w:r>
          </w:p>
        </w:tc>
        <w:tc>
          <w:tcPr>
            <w:tcW w:w="3865" w:type="dxa"/>
            <w:noWrap w:val="0"/>
            <w:vAlign w:val="center"/>
          </w:tcPr>
          <w:p w14:paraId="20A0DB73">
            <w:pPr>
              <w:widowControl w:val="0"/>
              <w:spacing w:line="300" w:lineRule="exact"/>
              <w:jc w:val="center"/>
              <w:rPr>
                <w:rFonts w:eastAsia="楷体_GB2312"/>
                <w:szCs w:val="21"/>
              </w:rPr>
            </w:pPr>
            <w:r>
              <w:rPr>
                <w:rFonts w:eastAsia="楷体_GB2312"/>
                <w:szCs w:val="21"/>
              </w:rPr>
              <w:t>对全</w:t>
            </w:r>
            <w:r>
              <w:rPr>
                <w:rFonts w:hint="eastAsia" w:eastAsia="楷体_GB2312"/>
                <w:szCs w:val="21"/>
              </w:rPr>
              <w:t>区</w:t>
            </w:r>
            <w:r>
              <w:rPr>
                <w:rFonts w:eastAsia="楷体_GB2312"/>
                <w:szCs w:val="21"/>
              </w:rPr>
              <w:t>各行业的平均利润率进行了测算，公用设施用地利润率在</w:t>
            </w:r>
            <w:r>
              <w:rPr>
                <w:rFonts w:hint="eastAsia" w:eastAsia="楷体_GB2312"/>
                <w:szCs w:val="21"/>
              </w:rPr>
              <w:t>4</w:t>
            </w:r>
            <w:r>
              <w:rPr>
                <w:rFonts w:eastAsia="楷体_GB2312"/>
                <w:szCs w:val="21"/>
              </w:rPr>
              <w:t>%左右</w:t>
            </w:r>
          </w:p>
        </w:tc>
      </w:tr>
      <w:tr w14:paraId="6735B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914" w:type="dxa"/>
            <w:gridSpan w:val="2"/>
            <w:noWrap w:val="0"/>
            <w:vAlign w:val="center"/>
          </w:tcPr>
          <w:p w14:paraId="10D62F79">
            <w:pPr>
              <w:widowControl w:val="0"/>
              <w:spacing w:line="300" w:lineRule="exact"/>
              <w:jc w:val="center"/>
              <w:rPr>
                <w:rFonts w:eastAsia="楷体_GB2312"/>
                <w:szCs w:val="21"/>
              </w:rPr>
            </w:pPr>
            <w:r>
              <w:rPr>
                <w:rFonts w:eastAsia="楷体_GB2312"/>
                <w:szCs w:val="21"/>
              </w:rPr>
              <w:t>土地成本价格（元/平方米）</w:t>
            </w:r>
          </w:p>
        </w:tc>
        <w:tc>
          <w:tcPr>
            <w:tcW w:w="1293" w:type="dxa"/>
            <w:noWrap w:val="0"/>
            <w:vAlign w:val="center"/>
          </w:tcPr>
          <w:p w14:paraId="18889376">
            <w:pPr>
              <w:widowControl w:val="0"/>
              <w:spacing w:line="300" w:lineRule="exact"/>
              <w:jc w:val="center"/>
              <w:rPr>
                <w:rFonts w:eastAsia="楷体_GB2312"/>
                <w:szCs w:val="21"/>
              </w:rPr>
            </w:pPr>
            <w:r>
              <w:rPr>
                <w:rFonts w:eastAsia="楷体_GB2312"/>
                <w:szCs w:val="21"/>
              </w:rPr>
              <w:t>191.44</w:t>
            </w:r>
          </w:p>
        </w:tc>
        <w:tc>
          <w:tcPr>
            <w:tcW w:w="3865" w:type="dxa"/>
            <w:noWrap w:val="0"/>
            <w:vAlign w:val="center"/>
          </w:tcPr>
          <w:p w14:paraId="08EE024B">
            <w:pPr>
              <w:widowControl w:val="0"/>
              <w:spacing w:line="300" w:lineRule="exact"/>
              <w:jc w:val="center"/>
              <w:rPr>
                <w:rFonts w:eastAsia="楷体_GB2312"/>
                <w:szCs w:val="21"/>
              </w:rPr>
            </w:pPr>
            <w:r>
              <w:rPr>
                <w:rFonts w:eastAsia="楷体_GB2312"/>
                <w:szCs w:val="21"/>
              </w:rPr>
              <w:t>/</w:t>
            </w:r>
          </w:p>
        </w:tc>
      </w:tr>
    </w:tbl>
    <w:p w14:paraId="140F82E5">
      <w:pPr>
        <w:widowControl w:val="0"/>
        <w:spacing w:line="480" w:lineRule="exact"/>
        <w:ind w:firstLine="562" w:firstLineChars="200"/>
        <w:jc w:val="both"/>
        <w:rPr>
          <w:rFonts w:eastAsia="楷体_GB2312"/>
          <w:b/>
          <w:sz w:val="28"/>
          <w:szCs w:val="21"/>
        </w:rPr>
      </w:pPr>
      <w:r>
        <w:rPr>
          <w:rFonts w:eastAsia="楷体_GB2312"/>
          <w:b/>
          <w:sz w:val="28"/>
          <w:szCs w:val="21"/>
        </w:rPr>
        <w:t>2、土地增值收益的确定</w:t>
      </w:r>
    </w:p>
    <w:p w14:paraId="1AAC0422">
      <w:pPr>
        <w:widowControl w:val="0"/>
        <w:spacing w:line="480" w:lineRule="exact"/>
        <w:ind w:firstLine="560" w:firstLineChars="200"/>
        <w:jc w:val="both"/>
        <w:rPr>
          <w:rFonts w:eastAsia="楷体_GB2312"/>
          <w:sz w:val="28"/>
          <w:szCs w:val="21"/>
        </w:rPr>
      </w:pPr>
      <w:r>
        <w:rPr>
          <w:rFonts w:eastAsia="楷体_GB2312"/>
          <w:sz w:val="28"/>
          <w:szCs w:val="21"/>
        </w:rPr>
        <w:t>土地增值收益是农业用地转为建设用地并进行相应开发后，达到建设用地的某种利用条件而发生的价值增值。土地增值收益率理论上应等于“增值地租”在总地价中的比例，或出让价格与成本价格的差值占成本价格的比例。土地增值收益率的计算方法一般是按成本地价的百分比确定，或者按当地补交出让金的标准计算，由于当地没有制定公布土地使用权出让金标准，补交出让金标准不分用途、级别，统一按一个比例收取也不科学，具体取成本地价的比例大小也不易确定。结合</w:t>
      </w:r>
      <w:r>
        <w:rPr>
          <w:rFonts w:hint="eastAsia" w:ascii="楷体" w:hAnsi="楷体" w:eastAsia="楷体" w:cs="宋体"/>
          <w:sz w:val="28"/>
          <w:szCs w:val="21"/>
        </w:rPr>
        <w:t>埇</w:t>
      </w:r>
      <w:r>
        <w:rPr>
          <w:rFonts w:hint="eastAsia" w:ascii="楷体_GB2312" w:hAnsi="楷体_GB2312" w:eastAsia="楷体_GB2312" w:cs="楷体_GB2312"/>
          <w:sz w:val="28"/>
          <w:szCs w:val="21"/>
        </w:rPr>
        <w:t>桥区</w:t>
      </w:r>
      <w:r>
        <w:rPr>
          <w:rFonts w:eastAsia="楷体_GB2312"/>
          <w:sz w:val="28"/>
          <w:szCs w:val="21"/>
        </w:rPr>
        <w:t>的实际情况，根据土地储备的公共管理与公共服务用地标准宗地出让样点资料，采用出让后的市场价格与评估的成本价格之间的差额占成本价格的比例确定公共管理与公共服务用地的土地增值收益率，约为1%。计算公式为：</w:t>
      </w:r>
    </w:p>
    <w:p w14:paraId="6A2E2DCA">
      <w:pPr>
        <w:widowControl w:val="0"/>
        <w:tabs>
          <w:tab w:val="left" w:pos="360"/>
          <w:tab w:val="left" w:pos="900"/>
        </w:tabs>
        <w:spacing w:line="380" w:lineRule="exact"/>
        <w:ind w:left="2353" w:leftChars="187" w:hanging="1960" w:hangingChars="700"/>
        <w:jc w:val="both"/>
        <w:rPr>
          <w:rFonts w:eastAsia="楷体_GB2312"/>
          <w:sz w:val="28"/>
        </w:rPr>
      </w:pPr>
      <w:r>
        <w:rPr>
          <w:rFonts w:eastAsia="楷体_GB2312"/>
          <w:sz w:val="28"/>
        </w:rPr>
        <w:t xml:space="preserve">土地增值收益=（土地取得费及相关税费＋土地开发费＋利息＋利润）×1% </w:t>
      </w:r>
    </w:p>
    <w:p w14:paraId="27941954">
      <w:pPr>
        <w:widowControl w:val="0"/>
        <w:spacing w:line="480" w:lineRule="exact"/>
        <w:ind w:firstLine="2100" w:firstLineChars="750"/>
        <w:jc w:val="both"/>
        <w:rPr>
          <w:rFonts w:eastAsia="楷体_GB2312"/>
          <w:sz w:val="28"/>
        </w:rPr>
      </w:pPr>
      <w:r>
        <w:rPr>
          <w:rFonts w:eastAsia="楷体_GB2312"/>
          <w:sz w:val="28"/>
        </w:rPr>
        <w:t>=</w:t>
      </w:r>
      <w:r>
        <w:t xml:space="preserve"> </w:t>
      </w:r>
      <w:r>
        <w:rPr>
          <w:rFonts w:eastAsia="楷体_GB2312"/>
          <w:sz w:val="28"/>
        </w:rPr>
        <w:t>191.44×1%</w:t>
      </w:r>
    </w:p>
    <w:p w14:paraId="605345A7">
      <w:pPr>
        <w:widowControl w:val="0"/>
        <w:spacing w:line="480" w:lineRule="exact"/>
        <w:ind w:firstLine="2100" w:firstLineChars="750"/>
        <w:jc w:val="both"/>
        <w:rPr>
          <w:rFonts w:eastAsia="楷体_GB2312"/>
          <w:sz w:val="28"/>
          <w:szCs w:val="21"/>
        </w:rPr>
      </w:pPr>
      <w:r>
        <w:rPr>
          <w:rFonts w:eastAsia="楷体_GB2312"/>
          <w:sz w:val="28"/>
        </w:rPr>
        <w:t>=</w:t>
      </w:r>
      <w:r>
        <w:rPr>
          <w:rFonts w:hint="eastAsia" w:eastAsia="楷体_GB2312"/>
          <w:sz w:val="28"/>
        </w:rPr>
        <w:t>1.91</w:t>
      </w:r>
      <w:r>
        <w:rPr>
          <w:rFonts w:eastAsia="楷体_GB2312"/>
          <w:sz w:val="28"/>
        </w:rPr>
        <w:t>元/平方米</w:t>
      </w:r>
    </w:p>
    <w:p w14:paraId="7F247178">
      <w:pPr>
        <w:widowControl w:val="0"/>
        <w:spacing w:line="480" w:lineRule="exact"/>
        <w:ind w:firstLine="562" w:firstLineChars="200"/>
        <w:jc w:val="both"/>
        <w:rPr>
          <w:rFonts w:eastAsia="楷体_GB2312"/>
          <w:b/>
          <w:sz w:val="28"/>
          <w:szCs w:val="21"/>
        </w:rPr>
      </w:pPr>
      <w:r>
        <w:rPr>
          <w:rFonts w:eastAsia="楷体_GB2312"/>
          <w:b/>
          <w:sz w:val="28"/>
          <w:szCs w:val="21"/>
        </w:rPr>
        <w:t>3、公用设施用地末级地基准地价的确定</w:t>
      </w:r>
    </w:p>
    <w:p w14:paraId="4342A8CF">
      <w:pPr>
        <w:widowControl w:val="0"/>
        <w:tabs>
          <w:tab w:val="left" w:pos="360"/>
          <w:tab w:val="left" w:pos="900"/>
        </w:tabs>
        <w:spacing w:line="380" w:lineRule="exact"/>
        <w:ind w:firstLine="1783" w:firstLineChars="637"/>
        <w:jc w:val="both"/>
        <w:rPr>
          <w:rFonts w:eastAsia="楷体_GB2312"/>
          <w:sz w:val="28"/>
          <w:szCs w:val="28"/>
        </w:rPr>
      </w:pPr>
      <w:r>
        <w:rPr>
          <w:rFonts w:eastAsia="楷体_GB2312"/>
          <w:sz w:val="28"/>
          <w:szCs w:val="28"/>
        </w:rPr>
        <w:t>P=P</w:t>
      </w:r>
      <w:r>
        <w:rPr>
          <w:rFonts w:eastAsia="楷体_GB2312"/>
          <w:sz w:val="28"/>
          <w:szCs w:val="28"/>
          <w:vertAlign w:val="subscript"/>
        </w:rPr>
        <w:t>e</w:t>
      </w:r>
      <w:r>
        <w:rPr>
          <w:rFonts w:eastAsia="楷体_GB2312"/>
          <w:sz w:val="28"/>
          <w:szCs w:val="28"/>
        </w:rPr>
        <w:t>+R</w:t>
      </w:r>
      <w:r>
        <w:rPr>
          <w:rFonts w:eastAsia="楷体_GB2312"/>
          <w:sz w:val="28"/>
          <w:szCs w:val="28"/>
          <w:vertAlign w:val="subscript"/>
        </w:rPr>
        <w:t>3</w:t>
      </w:r>
    </w:p>
    <w:p w14:paraId="12B6E982">
      <w:pPr>
        <w:widowControl w:val="0"/>
        <w:tabs>
          <w:tab w:val="left" w:pos="360"/>
          <w:tab w:val="left" w:pos="900"/>
        </w:tabs>
        <w:spacing w:line="380" w:lineRule="exact"/>
        <w:ind w:firstLine="523" w:firstLineChars="187"/>
        <w:jc w:val="both"/>
        <w:rPr>
          <w:rFonts w:eastAsia="楷体_GB2312"/>
          <w:sz w:val="28"/>
          <w:szCs w:val="28"/>
        </w:rPr>
      </w:pPr>
      <w:r>
        <w:rPr>
          <w:rFonts w:eastAsia="楷体_GB2312"/>
          <w:sz w:val="28"/>
          <w:szCs w:val="28"/>
        </w:rPr>
        <w:t>式中：   P —土地价格</w:t>
      </w:r>
    </w:p>
    <w:p w14:paraId="7B55E0F1">
      <w:pPr>
        <w:widowControl w:val="0"/>
        <w:tabs>
          <w:tab w:val="left" w:pos="360"/>
          <w:tab w:val="left" w:pos="900"/>
        </w:tabs>
        <w:spacing w:line="380" w:lineRule="exact"/>
        <w:ind w:firstLine="523" w:firstLineChars="187"/>
        <w:jc w:val="both"/>
        <w:rPr>
          <w:rFonts w:eastAsia="楷体_GB2312"/>
          <w:sz w:val="28"/>
          <w:szCs w:val="28"/>
        </w:rPr>
      </w:pPr>
      <w:r>
        <w:rPr>
          <w:rFonts w:eastAsia="楷体_GB2312"/>
          <w:sz w:val="28"/>
          <w:szCs w:val="28"/>
        </w:rPr>
        <w:t xml:space="preserve">         P</w:t>
      </w:r>
      <w:r>
        <w:rPr>
          <w:rFonts w:eastAsia="楷体_GB2312"/>
          <w:sz w:val="28"/>
          <w:szCs w:val="28"/>
          <w:vertAlign w:val="subscript"/>
        </w:rPr>
        <w:t xml:space="preserve">e </w:t>
      </w:r>
      <w:r>
        <w:rPr>
          <w:rFonts w:eastAsia="楷体_GB2312"/>
          <w:sz w:val="28"/>
          <w:szCs w:val="28"/>
        </w:rPr>
        <w:t>—土地成本价格</w:t>
      </w:r>
    </w:p>
    <w:p w14:paraId="6ACECB1E">
      <w:pPr>
        <w:widowControl w:val="0"/>
        <w:tabs>
          <w:tab w:val="left" w:pos="360"/>
          <w:tab w:val="left" w:pos="900"/>
        </w:tabs>
        <w:spacing w:line="380" w:lineRule="exact"/>
        <w:ind w:firstLine="523" w:firstLineChars="187"/>
        <w:jc w:val="both"/>
        <w:rPr>
          <w:rFonts w:eastAsia="楷体_GB2312"/>
          <w:sz w:val="28"/>
          <w:szCs w:val="28"/>
        </w:rPr>
      </w:pPr>
      <w:r>
        <w:rPr>
          <w:rFonts w:eastAsia="楷体_GB2312"/>
          <w:sz w:val="28"/>
          <w:szCs w:val="28"/>
        </w:rPr>
        <w:t xml:space="preserve">         R</w:t>
      </w:r>
      <w:r>
        <w:rPr>
          <w:rFonts w:eastAsia="楷体_GB2312"/>
          <w:sz w:val="28"/>
          <w:szCs w:val="28"/>
          <w:vertAlign w:val="subscript"/>
        </w:rPr>
        <w:t xml:space="preserve">3 </w:t>
      </w:r>
      <w:r>
        <w:rPr>
          <w:rFonts w:eastAsia="楷体_GB2312"/>
          <w:sz w:val="28"/>
          <w:szCs w:val="28"/>
        </w:rPr>
        <w:t>—土地增值收益</w:t>
      </w:r>
    </w:p>
    <w:p w14:paraId="624D0A3F">
      <w:pPr>
        <w:widowControl w:val="0"/>
        <w:spacing w:line="480" w:lineRule="exact"/>
        <w:ind w:firstLine="560" w:firstLineChars="200"/>
        <w:jc w:val="both"/>
        <w:rPr>
          <w:rFonts w:eastAsia="楷体_GB2312"/>
          <w:sz w:val="28"/>
          <w:szCs w:val="21"/>
        </w:rPr>
      </w:pPr>
      <w:r>
        <w:rPr>
          <w:rFonts w:eastAsia="楷体_GB2312"/>
          <w:sz w:val="28"/>
          <w:szCs w:val="21"/>
        </w:rPr>
        <w:t>上述评估的地价P为无限年期地价，根据地价内涵的设定，公用设施用地设定法定最高使用年限为50年。计算公式为：</w:t>
      </w:r>
    </w:p>
    <w:p w14:paraId="67598D5D">
      <w:pPr>
        <w:widowControl w:val="0"/>
        <w:spacing w:line="480" w:lineRule="exact"/>
        <w:ind w:firstLine="560" w:firstLineChars="200"/>
        <w:jc w:val="both"/>
        <w:rPr>
          <w:rFonts w:eastAsia="楷体_GB2312"/>
          <w:sz w:val="28"/>
          <w:szCs w:val="28"/>
        </w:rPr>
      </w:pPr>
      <w:r>
        <w:rPr>
          <w:rFonts w:eastAsia="楷体_GB2312"/>
          <w:sz w:val="28"/>
          <w:szCs w:val="28"/>
        </w:rPr>
        <w:t>P</w:t>
      </w:r>
      <w:r>
        <w:rPr>
          <w:rFonts w:eastAsia="楷体_GB2312"/>
          <w:sz w:val="28"/>
          <w:szCs w:val="28"/>
          <w:vertAlign w:val="subscript"/>
        </w:rPr>
        <w:t>N</w:t>
      </w:r>
      <w:r>
        <w:rPr>
          <w:rFonts w:eastAsia="楷体_GB2312"/>
          <w:sz w:val="28"/>
          <w:szCs w:val="28"/>
        </w:rPr>
        <w:t>=P</w:t>
      </w:r>
      <w:r>
        <w:rPr>
          <w:rFonts w:eastAsia="楷体_GB2312"/>
          <w:sz w:val="28"/>
          <w:szCs w:val="28"/>
          <w:vertAlign w:val="subscript"/>
        </w:rPr>
        <w:t>n</w:t>
      </w:r>
      <w:r>
        <w:rPr>
          <w:rFonts w:eastAsia="楷体_GB2312"/>
          <w:sz w:val="28"/>
          <w:szCs w:val="28"/>
        </w:rPr>
        <w:t>×[1-1/（1+r）</w:t>
      </w:r>
      <w:r>
        <w:rPr>
          <w:rFonts w:eastAsia="楷体_GB2312"/>
          <w:sz w:val="28"/>
          <w:szCs w:val="28"/>
          <w:vertAlign w:val="superscript"/>
        </w:rPr>
        <w:t>n</w:t>
      </w:r>
      <w:r>
        <w:rPr>
          <w:rFonts w:eastAsia="楷体_GB2312"/>
          <w:sz w:val="28"/>
          <w:szCs w:val="28"/>
        </w:rPr>
        <w:t>]</w:t>
      </w:r>
    </w:p>
    <w:p w14:paraId="07170C28">
      <w:pPr>
        <w:widowControl w:val="0"/>
        <w:spacing w:line="480" w:lineRule="exact"/>
        <w:ind w:firstLine="560" w:firstLineChars="200"/>
        <w:jc w:val="both"/>
        <w:rPr>
          <w:rFonts w:eastAsia="楷体_GB2312"/>
          <w:sz w:val="28"/>
          <w:szCs w:val="28"/>
        </w:rPr>
      </w:pPr>
      <w:r>
        <w:rPr>
          <w:rFonts w:eastAsia="楷体_GB2312"/>
          <w:sz w:val="28"/>
          <w:szCs w:val="28"/>
        </w:rPr>
        <w:t>式中：P</w:t>
      </w:r>
      <w:r>
        <w:rPr>
          <w:rFonts w:eastAsia="楷体_GB2312"/>
          <w:sz w:val="28"/>
          <w:szCs w:val="28"/>
          <w:vertAlign w:val="subscript"/>
        </w:rPr>
        <w:t xml:space="preserve">N </w:t>
      </w:r>
      <w:r>
        <w:rPr>
          <w:rFonts w:eastAsia="楷体_GB2312"/>
          <w:sz w:val="28"/>
          <w:szCs w:val="28"/>
        </w:rPr>
        <w:t>—最高出让年限50年的土地使用权价格</w:t>
      </w:r>
    </w:p>
    <w:p w14:paraId="436BE2F7">
      <w:pPr>
        <w:widowControl w:val="0"/>
        <w:spacing w:line="480" w:lineRule="exact"/>
        <w:ind w:firstLine="1400" w:firstLineChars="500"/>
        <w:jc w:val="both"/>
        <w:rPr>
          <w:rFonts w:eastAsia="楷体_GB2312"/>
          <w:sz w:val="28"/>
          <w:szCs w:val="28"/>
        </w:rPr>
      </w:pPr>
      <w:r>
        <w:rPr>
          <w:rFonts w:eastAsia="楷体_GB2312"/>
          <w:sz w:val="28"/>
          <w:szCs w:val="28"/>
        </w:rPr>
        <w:t>P</w:t>
      </w:r>
      <w:r>
        <w:rPr>
          <w:rFonts w:eastAsia="楷体_GB2312"/>
          <w:sz w:val="28"/>
          <w:szCs w:val="28"/>
          <w:vertAlign w:val="subscript"/>
        </w:rPr>
        <w:t xml:space="preserve">n </w:t>
      </w:r>
      <w:r>
        <w:rPr>
          <w:rFonts w:eastAsia="楷体_GB2312"/>
          <w:sz w:val="28"/>
          <w:szCs w:val="28"/>
        </w:rPr>
        <w:t>—无限年期土地使用权价格</w:t>
      </w:r>
    </w:p>
    <w:p w14:paraId="6E6AECE5">
      <w:pPr>
        <w:widowControl w:val="0"/>
        <w:spacing w:line="480" w:lineRule="exact"/>
        <w:ind w:firstLine="1400" w:firstLineChars="500"/>
        <w:jc w:val="both"/>
        <w:rPr>
          <w:rFonts w:eastAsia="楷体_GB2312"/>
          <w:sz w:val="28"/>
          <w:szCs w:val="28"/>
        </w:rPr>
      </w:pPr>
      <w:r>
        <w:rPr>
          <w:rFonts w:eastAsia="楷体_GB2312"/>
          <w:sz w:val="28"/>
          <w:szCs w:val="28"/>
        </w:rPr>
        <w:t>r</w:t>
      </w:r>
      <w:r>
        <w:rPr>
          <w:rFonts w:eastAsia="楷体_GB2312"/>
          <w:sz w:val="28"/>
          <w:szCs w:val="28"/>
          <w:vertAlign w:val="subscript"/>
        </w:rPr>
        <w:t xml:space="preserve">  </w:t>
      </w:r>
      <w:r>
        <w:rPr>
          <w:rFonts w:eastAsia="楷体_GB2312"/>
          <w:sz w:val="28"/>
          <w:szCs w:val="28"/>
        </w:rPr>
        <w:t>—土地还原率</w:t>
      </w:r>
    </w:p>
    <w:p w14:paraId="262CC1CC">
      <w:pPr>
        <w:widowControl w:val="0"/>
        <w:spacing w:line="480" w:lineRule="exact"/>
        <w:ind w:firstLine="560" w:firstLineChars="200"/>
        <w:jc w:val="both"/>
        <w:rPr>
          <w:rFonts w:eastAsia="楷体_GB2312"/>
          <w:sz w:val="28"/>
          <w:szCs w:val="28"/>
        </w:rPr>
      </w:pPr>
      <w:r>
        <w:rPr>
          <w:rFonts w:eastAsia="楷体_GB2312"/>
          <w:sz w:val="28"/>
          <w:szCs w:val="28"/>
        </w:rPr>
        <w:t>P</w:t>
      </w:r>
      <w:r>
        <w:rPr>
          <w:rFonts w:eastAsia="楷体_GB2312"/>
          <w:sz w:val="28"/>
          <w:szCs w:val="28"/>
          <w:vertAlign w:val="subscript"/>
        </w:rPr>
        <w:t>N</w:t>
      </w:r>
      <w:r>
        <w:rPr>
          <w:rFonts w:eastAsia="楷体_GB2312"/>
          <w:sz w:val="28"/>
          <w:szCs w:val="28"/>
        </w:rPr>
        <w:t>=（</w:t>
      </w:r>
      <w:r>
        <w:rPr>
          <w:rFonts w:eastAsia="楷体_GB2312"/>
          <w:sz w:val="28"/>
        </w:rPr>
        <w:t>191.44 +1.</w:t>
      </w:r>
      <w:r>
        <w:rPr>
          <w:rFonts w:hint="eastAsia" w:eastAsia="楷体_GB2312"/>
          <w:sz w:val="28"/>
        </w:rPr>
        <w:t>91</w:t>
      </w:r>
      <w:r>
        <w:rPr>
          <w:rFonts w:eastAsia="楷体_GB2312"/>
          <w:sz w:val="28"/>
          <w:szCs w:val="28"/>
        </w:rPr>
        <w:t>）×[1-1/（1+6%）</w:t>
      </w:r>
      <w:r>
        <w:rPr>
          <w:rFonts w:eastAsia="楷体_GB2312"/>
          <w:sz w:val="28"/>
          <w:szCs w:val="28"/>
          <w:vertAlign w:val="superscript"/>
        </w:rPr>
        <w:t>50</w:t>
      </w:r>
      <w:r>
        <w:rPr>
          <w:rFonts w:eastAsia="楷体_GB2312"/>
          <w:sz w:val="28"/>
          <w:szCs w:val="28"/>
        </w:rPr>
        <w:t>=184.67元/平方米</w:t>
      </w:r>
    </w:p>
    <w:p w14:paraId="4262E70E">
      <w:pPr>
        <w:widowControl w:val="0"/>
        <w:spacing w:line="480" w:lineRule="exact"/>
        <w:ind w:firstLine="560" w:firstLineChars="200"/>
        <w:jc w:val="both"/>
        <w:rPr>
          <w:rFonts w:eastAsia="楷体_GB2312"/>
          <w:sz w:val="28"/>
          <w:szCs w:val="21"/>
        </w:rPr>
      </w:pPr>
      <w:r>
        <w:rPr>
          <w:rFonts w:eastAsia="楷体_GB2312"/>
          <w:sz w:val="28"/>
          <w:szCs w:val="28"/>
        </w:rPr>
        <w:t>经年期修正后的地价</w:t>
      </w:r>
      <w:r>
        <w:rPr>
          <w:rFonts w:hint="eastAsia" w:eastAsia="楷体_GB2312"/>
          <w:sz w:val="28"/>
          <w:szCs w:val="28"/>
        </w:rPr>
        <w:t>18</w:t>
      </w:r>
      <w:r>
        <w:rPr>
          <w:rFonts w:eastAsia="楷体_GB2312"/>
          <w:sz w:val="28"/>
          <w:szCs w:val="28"/>
        </w:rPr>
        <w:t>5元/平方米（取整）作为各乡镇公用设施用地末级地基准地价的平均值。</w:t>
      </w:r>
    </w:p>
    <w:p w14:paraId="146F4BD6">
      <w:pPr>
        <w:widowControl w:val="0"/>
        <w:spacing w:line="480" w:lineRule="exact"/>
        <w:ind w:firstLine="562" w:firstLineChars="200"/>
        <w:jc w:val="both"/>
        <w:rPr>
          <w:rFonts w:eastAsia="楷体_GB2312"/>
          <w:b/>
          <w:sz w:val="28"/>
          <w:szCs w:val="21"/>
        </w:rPr>
      </w:pPr>
      <w:r>
        <w:rPr>
          <w:rFonts w:eastAsia="楷体_GB2312"/>
          <w:b/>
          <w:sz w:val="28"/>
          <w:szCs w:val="21"/>
        </w:rPr>
        <w:t>4、公用设施用地各级别基准地价的确定</w:t>
      </w:r>
    </w:p>
    <w:p w14:paraId="4672786E">
      <w:pPr>
        <w:widowControl w:val="0"/>
        <w:spacing w:line="480" w:lineRule="exact"/>
        <w:ind w:firstLine="560" w:firstLineChars="200"/>
        <w:jc w:val="both"/>
        <w:rPr>
          <w:rFonts w:eastAsia="楷体_GB2312"/>
          <w:sz w:val="28"/>
          <w:szCs w:val="21"/>
        </w:rPr>
      </w:pPr>
      <w:r>
        <w:rPr>
          <w:rFonts w:eastAsia="楷体_GB2312"/>
          <w:sz w:val="28"/>
          <w:szCs w:val="21"/>
        </w:rPr>
        <w:t>根据公用设施用地末级地的基准地价，通过各乡镇的差异，按照相邻级别综合总分值的众数的比值关系进行综合区位修正得到公用设施用地各级别的基准地价。计算公式为：</w:t>
      </w:r>
    </w:p>
    <w:p w14:paraId="3B95FA9C">
      <w:pPr>
        <w:widowControl w:val="0"/>
        <w:spacing w:line="480" w:lineRule="exact"/>
        <w:ind w:firstLine="560" w:firstLineChars="200"/>
        <w:jc w:val="both"/>
        <w:rPr>
          <w:rFonts w:eastAsia="楷体_GB2312"/>
          <w:sz w:val="28"/>
          <w:szCs w:val="21"/>
        </w:rPr>
      </w:pPr>
    </w:p>
    <w:p w14:paraId="1FD1118A">
      <w:pPr>
        <w:widowControl w:val="0"/>
        <w:spacing w:line="480" w:lineRule="exact"/>
        <w:ind w:firstLine="560" w:firstLineChars="200"/>
        <w:jc w:val="both"/>
        <w:rPr>
          <w:rFonts w:eastAsia="楷体_GB2312"/>
          <w:sz w:val="28"/>
          <w:szCs w:val="21"/>
        </w:rPr>
      </w:pPr>
    </w:p>
    <w:p w14:paraId="36DAFA26">
      <w:pPr>
        <w:widowControl w:val="0"/>
        <w:spacing w:line="480" w:lineRule="exact"/>
        <w:ind w:firstLine="3640" w:firstLineChars="1300"/>
        <w:jc w:val="both"/>
        <w:rPr>
          <w:rFonts w:eastAsia="楷体_GB2312"/>
          <w:sz w:val="28"/>
          <w:szCs w:val="21"/>
        </w:rPr>
      </w:pPr>
      <w:r>
        <w:rPr>
          <w:rFonts w:eastAsia="楷体_GB2312"/>
          <w:sz w:val="28"/>
          <w:szCs w:val="21"/>
        </w:rPr>
        <w:drawing>
          <wp:anchor distT="0" distB="0" distL="114300" distR="114300" simplePos="0" relativeHeight="251659264" behindDoc="0" locked="0" layoutInCell="1" allowOverlap="1">
            <wp:simplePos x="0" y="0"/>
            <wp:positionH relativeFrom="character">
              <wp:posOffset>0</wp:posOffset>
            </wp:positionH>
            <wp:positionV relativeFrom="line">
              <wp:posOffset>0</wp:posOffset>
            </wp:positionV>
            <wp:extent cx="1701165" cy="646430"/>
            <wp:effectExtent l="0" t="0" r="13335" b="1270"/>
            <wp:wrapNone/>
            <wp:docPr id="8" name="图片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33"/>
                    <pic:cNvPicPr>
                      <a:picLocks noChangeAspect="1"/>
                    </pic:cNvPicPr>
                  </pic:nvPicPr>
                  <pic:blipFill>
                    <a:blip r:embed="rId354"/>
                    <a:stretch>
                      <a:fillRect/>
                    </a:stretch>
                  </pic:blipFill>
                  <pic:spPr>
                    <a:xfrm>
                      <a:off x="0" y="0"/>
                      <a:ext cx="1701165" cy="646430"/>
                    </a:xfrm>
                    <a:prstGeom prst="rect">
                      <a:avLst/>
                    </a:prstGeom>
                    <a:noFill/>
                    <a:ln>
                      <a:noFill/>
                    </a:ln>
                  </pic:spPr>
                </pic:pic>
              </a:graphicData>
            </a:graphic>
          </wp:anchor>
        </w:drawing>
      </w:r>
    </w:p>
    <w:p w14:paraId="5C19D2E7">
      <w:pPr>
        <w:widowControl w:val="0"/>
        <w:spacing w:line="480" w:lineRule="exact"/>
        <w:ind w:firstLine="560" w:firstLineChars="200"/>
        <w:jc w:val="both"/>
        <w:rPr>
          <w:rFonts w:eastAsia="楷体_GB2312"/>
          <w:sz w:val="28"/>
          <w:szCs w:val="21"/>
        </w:rPr>
      </w:pPr>
      <w:r>
        <w:rPr>
          <w:rFonts w:eastAsia="楷体_GB2312"/>
          <w:sz w:val="28"/>
          <w:szCs w:val="21"/>
        </w:rPr>
        <w:t>其中：</w:t>
      </w:r>
    </w:p>
    <w:p w14:paraId="767F3450">
      <w:pPr>
        <w:widowControl w:val="0"/>
        <w:spacing w:line="480" w:lineRule="exact"/>
        <w:ind w:firstLine="560" w:firstLineChars="200"/>
        <w:jc w:val="both"/>
        <w:rPr>
          <w:rFonts w:eastAsia="楷体_GB2312"/>
          <w:sz w:val="28"/>
          <w:szCs w:val="21"/>
        </w:rPr>
      </w:pPr>
      <w:r>
        <w:rPr>
          <w:rFonts w:eastAsia="楷体_GB2312"/>
          <w:sz w:val="28"/>
          <w:szCs w:val="21"/>
        </w:rPr>
        <w:t>V</w:t>
      </w:r>
      <w:r>
        <w:rPr>
          <w:rFonts w:eastAsia="楷体_GB2312"/>
          <w:sz w:val="28"/>
          <w:szCs w:val="21"/>
          <w:vertAlign w:val="subscript"/>
        </w:rPr>
        <w:t>n-1</w:t>
      </w:r>
      <w:r>
        <w:rPr>
          <w:rFonts w:eastAsia="楷体_GB2312"/>
          <w:sz w:val="28"/>
          <w:szCs w:val="21"/>
        </w:rPr>
        <w:t>－某一用途相邻高一级别的基准地价；</w:t>
      </w:r>
    </w:p>
    <w:p w14:paraId="236B98CB">
      <w:pPr>
        <w:widowControl w:val="0"/>
        <w:spacing w:line="480" w:lineRule="exact"/>
        <w:ind w:firstLine="560" w:firstLineChars="200"/>
        <w:jc w:val="both"/>
        <w:rPr>
          <w:rFonts w:eastAsia="楷体_GB2312"/>
          <w:sz w:val="28"/>
          <w:szCs w:val="21"/>
        </w:rPr>
      </w:pPr>
      <w:r>
        <w:rPr>
          <w:rFonts w:eastAsia="楷体_GB2312"/>
          <w:sz w:val="28"/>
          <w:szCs w:val="21"/>
        </w:rPr>
        <w:t>V</w:t>
      </w:r>
      <w:r>
        <w:rPr>
          <w:rFonts w:eastAsia="楷体_GB2312"/>
          <w:sz w:val="28"/>
          <w:szCs w:val="21"/>
          <w:vertAlign w:val="subscript"/>
        </w:rPr>
        <w:t xml:space="preserve">n  </w:t>
      </w:r>
      <w:r>
        <w:rPr>
          <w:rFonts w:eastAsia="楷体_GB2312"/>
          <w:sz w:val="28"/>
          <w:szCs w:val="21"/>
        </w:rPr>
        <w:t>－某一用途末级地的基准地价；</w:t>
      </w:r>
    </w:p>
    <w:p w14:paraId="23B85F35">
      <w:pPr>
        <w:widowControl w:val="0"/>
        <w:spacing w:line="480" w:lineRule="exact"/>
        <w:ind w:firstLine="560" w:firstLineChars="200"/>
        <w:jc w:val="both"/>
        <w:rPr>
          <w:rFonts w:eastAsia="楷体_GB2312"/>
          <w:sz w:val="28"/>
          <w:szCs w:val="21"/>
        </w:rPr>
      </w:pPr>
      <w:r>
        <w:rPr>
          <w:rFonts w:eastAsia="楷体_GB2312"/>
          <w:sz w:val="28"/>
          <w:szCs w:val="21"/>
        </w:rPr>
        <w:t>F</w:t>
      </w:r>
      <w:r>
        <w:rPr>
          <w:rFonts w:eastAsia="楷体_GB2312"/>
          <w:sz w:val="28"/>
          <w:szCs w:val="21"/>
          <w:vertAlign w:val="subscript"/>
        </w:rPr>
        <w:t>n-1</w:t>
      </w:r>
      <w:r>
        <w:rPr>
          <w:rFonts w:eastAsia="楷体_GB2312"/>
          <w:sz w:val="28"/>
          <w:szCs w:val="21"/>
        </w:rPr>
        <w:t>－某一用途相邻高一级别综合总分值的众数；</w:t>
      </w:r>
    </w:p>
    <w:p w14:paraId="69EA08F2">
      <w:pPr>
        <w:widowControl w:val="0"/>
        <w:spacing w:line="480" w:lineRule="exact"/>
        <w:ind w:firstLine="560" w:firstLineChars="200"/>
        <w:jc w:val="both"/>
        <w:rPr>
          <w:rFonts w:eastAsia="楷体_GB2312"/>
          <w:sz w:val="28"/>
          <w:szCs w:val="21"/>
        </w:rPr>
      </w:pPr>
      <w:r>
        <w:rPr>
          <w:rFonts w:eastAsia="楷体_GB2312"/>
          <w:sz w:val="28"/>
          <w:szCs w:val="21"/>
        </w:rPr>
        <w:t>F</w:t>
      </w:r>
      <w:r>
        <w:rPr>
          <w:rFonts w:eastAsia="楷体_GB2312"/>
          <w:sz w:val="28"/>
          <w:szCs w:val="21"/>
          <w:vertAlign w:val="subscript"/>
        </w:rPr>
        <w:t xml:space="preserve">n  </w:t>
      </w:r>
      <w:r>
        <w:rPr>
          <w:rFonts w:eastAsia="楷体_GB2312"/>
          <w:sz w:val="28"/>
          <w:szCs w:val="21"/>
        </w:rPr>
        <w:t>－某一用途末级地综合总分值的众数</w:t>
      </w:r>
    </w:p>
    <w:p w14:paraId="084EB0A0">
      <w:pPr>
        <w:widowControl w:val="0"/>
        <w:spacing w:line="480" w:lineRule="exact"/>
        <w:ind w:firstLine="560" w:firstLineChars="200"/>
        <w:jc w:val="both"/>
        <w:rPr>
          <w:rFonts w:eastAsia="黑体"/>
          <w:sz w:val="28"/>
          <w:szCs w:val="21"/>
        </w:rPr>
      </w:pPr>
      <w:r>
        <w:rPr>
          <w:rFonts w:eastAsia="楷体_GB2312"/>
          <w:sz w:val="28"/>
          <w:szCs w:val="21"/>
        </w:rPr>
        <w:t>据此可计算出公用设施用地基准地价的初步结果，见表</w:t>
      </w:r>
      <w:r>
        <w:rPr>
          <w:rFonts w:eastAsia="黑体"/>
          <w:sz w:val="28"/>
          <w:szCs w:val="21"/>
        </w:rPr>
        <w:t>2-6-11。</w:t>
      </w:r>
    </w:p>
    <w:p w14:paraId="641F3BEF">
      <w:pPr>
        <w:widowControl w:val="0"/>
        <w:spacing w:line="480" w:lineRule="exact"/>
        <w:jc w:val="center"/>
        <w:rPr>
          <w:rFonts w:eastAsia="楷体_GB2312"/>
          <w:sz w:val="28"/>
          <w:szCs w:val="21"/>
        </w:rPr>
      </w:pPr>
      <w:r>
        <w:rPr>
          <w:rFonts w:eastAsia="黑体"/>
          <w:sz w:val="28"/>
          <w:szCs w:val="21"/>
        </w:rPr>
        <w:t>表2-6-11  利用成本逼近法测算公用设施用地级别平均地价表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417"/>
        <w:gridCol w:w="5953"/>
      </w:tblGrid>
      <w:tr w14:paraId="1F3A0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697DB6BC">
            <w:pPr>
              <w:widowControl w:val="0"/>
              <w:spacing w:line="300" w:lineRule="exact"/>
              <w:jc w:val="center"/>
              <w:rPr>
                <w:rFonts w:eastAsia="楷体_GB2312"/>
                <w:szCs w:val="21"/>
              </w:rPr>
            </w:pPr>
            <w:r>
              <w:rPr>
                <w:rFonts w:eastAsia="楷体_GB2312"/>
                <w:szCs w:val="21"/>
              </w:rPr>
              <w:t>乡镇名称</w:t>
            </w:r>
          </w:p>
        </w:tc>
        <w:tc>
          <w:tcPr>
            <w:tcW w:w="1417" w:type="dxa"/>
            <w:vMerge w:val="restart"/>
            <w:noWrap w:val="0"/>
            <w:vAlign w:val="center"/>
          </w:tcPr>
          <w:p w14:paraId="17844F59">
            <w:pPr>
              <w:widowControl w:val="0"/>
              <w:spacing w:line="300" w:lineRule="exact"/>
              <w:jc w:val="center"/>
              <w:rPr>
                <w:rFonts w:eastAsia="楷体_GB2312"/>
                <w:szCs w:val="21"/>
              </w:rPr>
            </w:pPr>
            <w:r>
              <w:rPr>
                <w:rFonts w:eastAsia="楷体_GB2312"/>
                <w:szCs w:val="21"/>
              </w:rPr>
              <w:t>级别</w:t>
            </w:r>
          </w:p>
        </w:tc>
        <w:tc>
          <w:tcPr>
            <w:tcW w:w="5953" w:type="dxa"/>
            <w:noWrap w:val="0"/>
            <w:vAlign w:val="center"/>
          </w:tcPr>
          <w:p w14:paraId="3CC62EC8">
            <w:pPr>
              <w:widowControl w:val="0"/>
              <w:spacing w:line="300" w:lineRule="exact"/>
              <w:jc w:val="center"/>
              <w:rPr>
                <w:rFonts w:eastAsia="楷体_GB2312"/>
                <w:szCs w:val="21"/>
              </w:rPr>
            </w:pPr>
            <w:r>
              <w:rPr>
                <w:rFonts w:eastAsia="楷体_GB2312"/>
                <w:szCs w:val="21"/>
              </w:rPr>
              <w:t>用地类型</w:t>
            </w:r>
          </w:p>
        </w:tc>
      </w:tr>
      <w:tr w14:paraId="57C3E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6E253CF5">
            <w:pPr>
              <w:widowControl w:val="0"/>
              <w:spacing w:line="480" w:lineRule="exact"/>
              <w:jc w:val="center"/>
              <w:rPr>
                <w:rFonts w:eastAsia="楷体_GB2312"/>
                <w:szCs w:val="21"/>
              </w:rPr>
            </w:pPr>
          </w:p>
        </w:tc>
        <w:tc>
          <w:tcPr>
            <w:tcW w:w="1417" w:type="dxa"/>
            <w:vMerge w:val="continue"/>
            <w:noWrap w:val="0"/>
            <w:vAlign w:val="center"/>
          </w:tcPr>
          <w:p w14:paraId="5028B566">
            <w:pPr>
              <w:widowControl w:val="0"/>
              <w:spacing w:line="480" w:lineRule="exact"/>
              <w:jc w:val="center"/>
              <w:rPr>
                <w:rFonts w:eastAsia="楷体_GB2312"/>
                <w:szCs w:val="21"/>
              </w:rPr>
            </w:pPr>
          </w:p>
        </w:tc>
        <w:tc>
          <w:tcPr>
            <w:tcW w:w="5953" w:type="dxa"/>
            <w:noWrap w:val="0"/>
            <w:vAlign w:val="center"/>
          </w:tcPr>
          <w:p w14:paraId="5EB0AEDD">
            <w:pPr>
              <w:widowControl w:val="0"/>
              <w:spacing w:line="300" w:lineRule="exact"/>
              <w:jc w:val="center"/>
              <w:rPr>
                <w:rFonts w:eastAsia="楷体_GB2312"/>
                <w:szCs w:val="21"/>
              </w:rPr>
            </w:pPr>
            <w:r>
              <w:rPr>
                <w:rFonts w:eastAsia="楷体_GB2312"/>
              </w:rPr>
              <w:t>公用设施用地</w:t>
            </w:r>
            <w:r>
              <w:rPr>
                <w:rFonts w:eastAsia="楷体_GB2312"/>
                <w:szCs w:val="21"/>
              </w:rPr>
              <w:t>平均地价（元/m</w:t>
            </w:r>
            <w:r>
              <w:rPr>
                <w:rFonts w:eastAsia="楷体_GB2312"/>
                <w:szCs w:val="21"/>
                <w:vertAlign w:val="superscript"/>
              </w:rPr>
              <w:t>2</w:t>
            </w:r>
            <w:r>
              <w:rPr>
                <w:rFonts w:eastAsia="楷体_GB2312"/>
                <w:szCs w:val="21"/>
              </w:rPr>
              <w:t>）</w:t>
            </w:r>
          </w:p>
        </w:tc>
      </w:tr>
      <w:tr w14:paraId="27819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53C1859C">
            <w:pPr>
              <w:widowControl w:val="0"/>
              <w:spacing w:line="300" w:lineRule="exact"/>
              <w:jc w:val="center"/>
              <w:rPr>
                <w:rFonts w:eastAsia="楷体_GB2312"/>
                <w:szCs w:val="21"/>
              </w:rPr>
            </w:pPr>
            <w:r>
              <w:rPr>
                <w:rFonts w:hint="eastAsia" w:eastAsia="楷体_GB2312"/>
                <w:szCs w:val="21"/>
              </w:rPr>
              <w:t>符离镇</w:t>
            </w:r>
          </w:p>
        </w:tc>
        <w:tc>
          <w:tcPr>
            <w:tcW w:w="1417" w:type="dxa"/>
            <w:noWrap w:val="0"/>
            <w:vAlign w:val="center"/>
          </w:tcPr>
          <w:p w14:paraId="626363F3">
            <w:pPr>
              <w:widowControl w:val="0"/>
              <w:spacing w:line="300" w:lineRule="exact"/>
              <w:jc w:val="center"/>
              <w:rPr>
                <w:rFonts w:eastAsia="楷体_GB2312"/>
                <w:szCs w:val="21"/>
              </w:rPr>
            </w:pPr>
            <w:r>
              <w:rPr>
                <w:rFonts w:eastAsia="楷体_GB2312"/>
                <w:szCs w:val="21"/>
              </w:rPr>
              <w:t>一级地</w:t>
            </w:r>
          </w:p>
        </w:tc>
        <w:tc>
          <w:tcPr>
            <w:tcW w:w="5953" w:type="dxa"/>
            <w:noWrap w:val="0"/>
            <w:vAlign w:val="center"/>
          </w:tcPr>
          <w:p w14:paraId="38E4B666">
            <w:pPr>
              <w:jc w:val="center"/>
              <w:rPr>
                <w:rFonts w:ascii="宋体" w:hAnsi="宋体" w:cs="宋体"/>
                <w:sz w:val="22"/>
                <w:szCs w:val="22"/>
              </w:rPr>
            </w:pPr>
            <w:r>
              <w:rPr>
                <w:rFonts w:hint="eastAsia"/>
                <w:sz w:val="22"/>
                <w:szCs w:val="22"/>
              </w:rPr>
              <w:t>356</w:t>
            </w:r>
          </w:p>
        </w:tc>
      </w:tr>
      <w:tr w14:paraId="500E3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27F65789">
            <w:pPr>
              <w:widowControl w:val="0"/>
              <w:jc w:val="center"/>
              <w:rPr>
                <w:rFonts w:eastAsia="楷体_GB2312"/>
                <w:szCs w:val="21"/>
              </w:rPr>
            </w:pPr>
          </w:p>
        </w:tc>
        <w:tc>
          <w:tcPr>
            <w:tcW w:w="1417" w:type="dxa"/>
            <w:noWrap w:val="0"/>
            <w:vAlign w:val="center"/>
          </w:tcPr>
          <w:p w14:paraId="0BBC93E2">
            <w:pPr>
              <w:widowControl w:val="0"/>
              <w:jc w:val="center"/>
              <w:rPr>
                <w:rFonts w:eastAsia="楷体_GB2312"/>
                <w:szCs w:val="21"/>
              </w:rPr>
            </w:pPr>
            <w:r>
              <w:rPr>
                <w:rFonts w:eastAsia="楷体_GB2312"/>
                <w:szCs w:val="21"/>
              </w:rPr>
              <w:t>二级地</w:t>
            </w:r>
          </w:p>
        </w:tc>
        <w:tc>
          <w:tcPr>
            <w:tcW w:w="5953" w:type="dxa"/>
            <w:noWrap w:val="0"/>
            <w:vAlign w:val="center"/>
          </w:tcPr>
          <w:p w14:paraId="26507411">
            <w:pPr>
              <w:jc w:val="center"/>
              <w:rPr>
                <w:rFonts w:ascii="宋体" w:hAnsi="宋体" w:cs="宋体"/>
                <w:sz w:val="22"/>
                <w:szCs w:val="22"/>
              </w:rPr>
            </w:pPr>
            <w:r>
              <w:rPr>
                <w:rFonts w:hint="eastAsia"/>
                <w:sz w:val="22"/>
                <w:szCs w:val="22"/>
              </w:rPr>
              <w:t>280</w:t>
            </w:r>
          </w:p>
        </w:tc>
      </w:tr>
      <w:tr w14:paraId="3A863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50FF6D58">
            <w:pPr>
              <w:widowControl w:val="0"/>
              <w:jc w:val="center"/>
              <w:rPr>
                <w:rFonts w:eastAsia="楷体_GB2312"/>
                <w:szCs w:val="21"/>
              </w:rPr>
            </w:pPr>
          </w:p>
        </w:tc>
        <w:tc>
          <w:tcPr>
            <w:tcW w:w="1417" w:type="dxa"/>
            <w:noWrap w:val="0"/>
            <w:vAlign w:val="center"/>
          </w:tcPr>
          <w:p w14:paraId="5A8F2CF4">
            <w:pPr>
              <w:widowControl w:val="0"/>
              <w:jc w:val="center"/>
              <w:rPr>
                <w:rFonts w:eastAsia="楷体_GB2312"/>
                <w:kern w:val="0"/>
                <w:szCs w:val="21"/>
              </w:rPr>
            </w:pPr>
            <w:r>
              <w:rPr>
                <w:rFonts w:eastAsia="楷体_GB2312"/>
                <w:szCs w:val="21"/>
              </w:rPr>
              <w:t>三级地</w:t>
            </w:r>
          </w:p>
        </w:tc>
        <w:tc>
          <w:tcPr>
            <w:tcW w:w="5953" w:type="dxa"/>
            <w:noWrap w:val="0"/>
            <w:vAlign w:val="center"/>
          </w:tcPr>
          <w:p w14:paraId="28C534E3">
            <w:pPr>
              <w:jc w:val="center"/>
              <w:rPr>
                <w:rFonts w:ascii="宋体" w:hAnsi="宋体" w:cs="宋体"/>
                <w:sz w:val="22"/>
                <w:szCs w:val="22"/>
              </w:rPr>
            </w:pPr>
            <w:r>
              <w:rPr>
                <w:rFonts w:hint="eastAsia"/>
                <w:sz w:val="22"/>
                <w:szCs w:val="22"/>
              </w:rPr>
              <w:t>218</w:t>
            </w:r>
          </w:p>
        </w:tc>
      </w:tr>
      <w:tr w14:paraId="17EC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092722F3">
            <w:pPr>
              <w:widowControl w:val="0"/>
              <w:spacing w:line="300" w:lineRule="exact"/>
              <w:jc w:val="center"/>
              <w:rPr>
                <w:rFonts w:eastAsia="楷体_GB2312"/>
                <w:szCs w:val="21"/>
              </w:rPr>
            </w:pPr>
            <w:r>
              <w:rPr>
                <w:rFonts w:hint="eastAsia" w:eastAsia="楷体_GB2312"/>
                <w:szCs w:val="21"/>
              </w:rPr>
              <w:t>朱仙庄镇</w:t>
            </w:r>
          </w:p>
        </w:tc>
        <w:tc>
          <w:tcPr>
            <w:tcW w:w="1417" w:type="dxa"/>
            <w:noWrap w:val="0"/>
            <w:vAlign w:val="center"/>
          </w:tcPr>
          <w:p w14:paraId="3FC68D02">
            <w:pPr>
              <w:widowControl w:val="0"/>
              <w:spacing w:line="300" w:lineRule="exact"/>
              <w:jc w:val="center"/>
              <w:rPr>
                <w:rFonts w:eastAsia="楷体_GB2312"/>
                <w:szCs w:val="21"/>
              </w:rPr>
            </w:pPr>
            <w:r>
              <w:rPr>
                <w:rFonts w:eastAsia="楷体_GB2312"/>
                <w:szCs w:val="21"/>
              </w:rPr>
              <w:t>一级地</w:t>
            </w:r>
          </w:p>
        </w:tc>
        <w:tc>
          <w:tcPr>
            <w:tcW w:w="5953" w:type="dxa"/>
            <w:noWrap w:val="0"/>
            <w:vAlign w:val="center"/>
          </w:tcPr>
          <w:p w14:paraId="75071EBB">
            <w:pPr>
              <w:jc w:val="center"/>
              <w:rPr>
                <w:rFonts w:ascii="宋体" w:hAnsi="宋体" w:cs="宋体"/>
                <w:sz w:val="22"/>
                <w:szCs w:val="22"/>
              </w:rPr>
            </w:pPr>
            <w:r>
              <w:rPr>
                <w:rFonts w:hint="eastAsia"/>
                <w:sz w:val="22"/>
                <w:szCs w:val="22"/>
              </w:rPr>
              <w:t>345</w:t>
            </w:r>
          </w:p>
        </w:tc>
      </w:tr>
      <w:tr w14:paraId="4D74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7FB298DD">
            <w:pPr>
              <w:widowControl w:val="0"/>
              <w:jc w:val="center"/>
              <w:rPr>
                <w:rFonts w:eastAsia="楷体_GB2312"/>
                <w:szCs w:val="21"/>
              </w:rPr>
            </w:pPr>
          </w:p>
        </w:tc>
        <w:tc>
          <w:tcPr>
            <w:tcW w:w="1417" w:type="dxa"/>
            <w:noWrap w:val="0"/>
            <w:vAlign w:val="center"/>
          </w:tcPr>
          <w:p w14:paraId="2077B674">
            <w:pPr>
              <w:widowControl w:val="0"/>
              <w:jc w:val="center"/>
              <w:rPr>
                <w:rFonts w:eastAsia="楷体_GB2312"/>
                <w:szCs w:val="21"/>
              </w:rPr>
            </w:pPr>
            <w:r>
              <w:rPr>
                <w:rFonts w:eastAsia="楷体_GB2312"/>
                <w:szCs w:val="21"/>
              </w:rPr>
              <w:t>二级地</w:t>
            </w:r>
          </w:p>
        </w:tc>
        <w:tc>
          <w:tcPr>
            <w:tcW w:w="5953" w:type="dxa"/>
            <w:noWrap w:val="0"/>
            <w:vAlign w:val="center"/>
          </w:tcPr>
          <w:p w14:paraId="18F84A54">
            <w:pPr>
              <w:jc w:val="center"/>
              <w:rPr>
                <w:rFonts w:ascii="宋体" w:hAnsi="宋体" w:cs="宋体"/>
                <w:sz w:val="22"/>
                <w:szCs w:val="22"/>
              </w:rPr>
            </w:pPr>
            <w:r>
              <w:rPr>
                <w:rFonts w:hint="eastAsia"/>
                <w:sz w:val="22"/>
                <w:szCs w:val="22"/>
              </w:rPr>
              <w:t>248</w:t>
            </w:r>
          </w:p>
        </w:tc>
      </w:tr>
      <w:tr w14:paraId="290D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54A6A93D">
            <w:pPr>
              <w:widowControl w:val="0"/>
              <w:jc w:val="center"/>
              <w:rPr>
                <w:rFonts w:eastAsia="楷体_GB2312"/>
                <w:szCs w:val="21"/>
              </w:rPr>
            </w:pPr>
          </w:p>
        </w:tc>
        <w:tc>
          <w:tcPr>
            <w:tcW w:w="1417" w:type="dxa"/>
            <w:noWrap w:val="0"/>
            <w:vAlign w:val="center"/>
          </w:tcPr>
          <w:p w14:paraId="2B66AB63">
            <w:pPr>
              <w:widowControl w:val="0"/>
              <w:jc w:val="center"/>
              <w:rPr>
                <w:rFonts w:eastAsia="楷体_GB2312"/>
                <w:kern w:val="0"/>
                <w:szCs w:val="21"/>
              </w:rPr>
            </w:pPr>
            <w:r>
              <w:rPr>
                <w:rFonts w:eastAsia="楷体_GB2312"/>
                <w:szCs w:val="21"/>
              </w:rPr>
              <w:t>三级地</w:t>
            </w:r>
          </w:p>
        </w:tc>
        <w:tc>
          <w:tcPr>
            <w:tcW w:w="5953" w:type="dxa"/>
            <w:noWrap w:val="0"/>
            <w:vAlign w:val="center"/>
          </w:tcPr>
          <w:p w14:paraId="49A4D7EF">
            <w:pPr>
              <w:jc w:val="center"/>
              <w:rPr>
                <w:rFonts w:ascii="宋体" w:hAnsi="宋体" w:cs="宋体"/>
                <w:sz w:val="22"/>
                <w:szCs w:val="22"/>
              </w:rPr>
            </w:pPr>
            <w:r>
              <w:rPr>
                <w:rFonts w:hint="eastAsia"/>
                <w:sz w:val="22"/>
                <w:szCs w:val="22"/>
              </w:rPr>
              <w:t>184</w:t>
            </w:r>
          </w:p>
        </w:tc>
      </w:tr>
      <w:tr w14:paraId="14AF4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26100AF4">
            <w:pPr>
              <w:widowControl w:val="0"/>
              <w:spacing w:line="300" w:lineRule="exact"/>
              <w:jc w:val="center"/>
              <w:rPr>
                <w:rFonts w:eastAsia="楷体_GB2312"/>
                <w:szCs w:val="21"/>
              </w:rPr>
            </w:pPr>
            <w:r>
              <w:rPr>
                <w:rFonts w:hint="eastAsia" w:eastAsia="楷体_GB2312"/>
                <w:szCs w:val="21"/>
              </w:rPr>
              <w:t>蕲县镇</w:t>
            </w:r>
          </w:p>
        </w:tc>
        <w:tc>
          <w:tcPr>
            <w:tcW w:w="1417" w:type="dxa"/>
            <w:noWrap w:val="0"/>
            <w:vAlign w:val="center"/>
          </w:tcPr>
          <w:p w14:paraId="3D57CBBE">
            <w:pPr>
              <w:widowControl w:val="0"/>
              <w:spacing w:line="300" w:lineRule="exact"/>
              <w:jc w:val="center"/>
              <w:rPr>
                <w:rFonts w:eastAsia="楷体_GB2312"/>
                <w:szCs w:val="21"/>
              </w:rPr>
            </w:pPr>
            <w:r>
              <w:rPr>
                <w:rFonts w:eastAsia="楷体_GB2312"/>
                <w:szCs w:val="21"/>
              </w:rPr>
              <w:t>一级地</w:t>
            </w:r>
          </w:p>
        </w:tc>
        <w:tc>
          <w:tcPr>
            <w:tcW w:w="5953" w:type="dxa"/>
            <w:noWrap w:val="0"/>
            <w:vAlign w:val="center"/>
          </w:tcPr>
          <w:p w14:paraId="535D7208">
            <w:pPr>
              <w:jc w:val="center"/>
              <w:rPr>
                <w:rFonts w:ascii="宋体" w:hAnsi="宋体" w:cs="宋体"/>
                <w:sz w:val="22"/>
                <w:szCs w:val="22"/>
              </w:rPr>
            </w:pPr>
            <w:r>
              <w:rPr>
                <w:rFonts w:hint="eastAsia"/>
                <w:sz w:val="22"/>
                <w:szCs w:val="22"/>
              </w:rPr>
              <w:t>334</w:t>
            </w:r>
          </w:p>
        </w:tc>
      </w:tr>
      <w:tr w14:paraId="0DD1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2759D506">
            <w:pPr>
              <w:widowControl w:val="0"/>
              <w:jc w:val="center"/>
              <w:rPr>
                <w:rFonts w:eastAsia="楷体_GB2312"/>
                <w:szCs w:val="21"/>
              </w:rPr>
            </w:pPr>
          </w:p>
        </w:tc>
        <w:tc>
          <w:tcPr>
            <w:tcW w:w="1417" w:type="dxa"/>
            <w:noWrap w:val="0"/>
            <w:vAlign w:val="center"/>
          </w:tcPr>
          <w:p w14:paraId="68646099">
            <w:pPr>
              <w:widowControl w:val="0"/>
              <w:jc w:val="center"/>
              <w:rPr>
                <w:rFonts w:eastAsia="楷体_GB2312"/>
                <w:szCs w:val="21"/>
              </w:rPr>
            </w:pPr>
            <w:r>
              <w:rPr>
                <w:rFonts w:eastAsia="楷体_GB2312"/>
                <w:szCs w:val="21"/>
              </w:rPr>
              <w:t>二级地</w:t>
            </w:r>
          </w:p>
        </w:tc>
        <w:tc>
          <w:tcPr>
            <w:tcW w:w="5953" w:type="dxa"/>
            <w:noWrap w:val="0"/>
            <w:vAlign w:val="center"/>
          </w:tcPr>
          <w:p w14:paraId="22D4C914">
            <w:pPr>
              <w:jc w:val="center"/>
              <w:rPr>
                <w:rFonts w:ascii="宋体" w:hAnsi="宋体" w:cs="宋体"/>
                <w:sz w:val="22"/>
                <w:szCs w:val="22"/>
              </w:rPr>
            </w:pPr>
            <w:r>
              <w:rPr>
                <w:rFonts w:hint="eastAsia"/>
                <w:sz w:val="22"/>
                <w:szCs w:val="22"/>
              </w:rPr>
              <w:t>240</w:t>
            </w:r>
          </w:p>
        </w:tc>
      </w:tr>
      <w:tr w14:paraId="61A69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62B9E926">
            <w:pPr>
              <w:widowControl w:val="0"/>
              <w:jc w:val="center"/>
              <w:rPr>
                <w:rFonts w:eastAsia="楷体_GB2312"/>
                <w:szCs w:val="21"/>
              </w:rPr>
            </w:pPr>
          </w:p>
        </w:tc>
        <w:tc>
          <w:tcPr>
            <w:tcW w:w="1417" w:type="dxa"/>
            <w:noWrap w:val="0"/>
            <w:vAlign w:val="center"/>
          </w:tcPr>
          <w:p w14:paraId="22EBBD85">
            <w:pPr>
              <w:widowControl w:val="0"/>
              <w:jc w:val="center"/>
              <w:rPr>
                <w:rFonts w:eastAsia="楷体_GB2312"/>
                <w:kern w:val="0"/>
                <w:szCs w:val="21"/>
              </w:rPr>
            </w:pPr>
            <w:r>
              <w:rPr>
                <w:rFonts w:eastAsia="楷体_GB2312"/>
                <w:szCs w:val="21"/>
              </w:rPr>
              <w:t>三级地</w:t>
            </w:r>
          </w:p>
        </w:tc>
        <w:tc>
          <w:tcPr>
            <w:tcW w:w="5953" w:type="dxa"/>
            <w:noWrap w:val="0"/>
            <w:vAlign w:val="center"/>
          </w:tcPr>
          <w:p w14:paraId="64EC9ECD">
            <w:pPr>
              <w:jc w:val="center"/>
              <w:rPr>
                <w:rFonts w:ascii="宋体" w:hAnsi="宋体" w:cs="宋体"/>
                <w:sz w:val="22"/>
                <w:szCs w:val="22"/>
              </w:rPr>
            </w:pPr>
            <w:r>
              <w:rPr>
                <w:rFonts w:hint="eastAsia"/>
                <w:sz w:val="22"/>
                <w:szCs w:val="22"/>
              </w:rPr>
              <w:t>184</w:t>
            </w:r>
          </w:p>
        </w:tc>
      </w:tr>
      <w:tr w14:paraId="4F3A8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65BBAAE7">
            <w:pPr>
              <w:widowControl w:val="0"/>
              <w:spacing w:line="300" w:lineRule="exact"/>
              <w:jc w:val="center"/>
              <w:rPr>
                <w:rFonts w:eastAsia="楷体_GB2312"/>
                <w:szCs w:val="21"/>
              </w:rPr>
            </w:pPr>
            <w:r>
              <w:rPr>
                <w:rFonts w:hint="eastAsia" w:eastAsia="楷体_GB2312"/>
                <w:szCs w:val="21"/>
              </w:rPr>
              <w:t>芦岭镇</w:t>
            </w:r>
          </w:p>
        </w:tc>
        <w:tc>
          <w:tcPr>
            <w:tcW w:w="1417" w:type="dxa"/>
            <w:noWrap w:val="0"/>
            <w:vAlign w:val="center"/>
          </w:tcPr>
          <w:p w14:paraId="178D1961">
            <w:pPr>
              <w:widowControl w:val="0"/>
              <w:spacing w:line="300" w:lineRule="exact"/>
              <w:jc w:val="center"/>
              <w:rPr>
                <w:rFonts w:eastAsia="楷体_GB2312"/>
                <w:szCs w:val="21"/>
              </w:rPr>
            </w:pPr>
            <w:r>
              <w:rPr>
                <w:rFonts w:eastAsia="楷体_GB2312"/>
                <w:szCs w:val="21"/>
              </w:rPr>
              <w:t>一级地</w:t>
            </w:r>
          </w:p>
        </w:tc>
        <w:tc>
          <w:tcPr>
            <w:tcW w:w="5953" w:type="dxa"/>
            <w:noWrap w:val="0"/>
            <w:vAlign w:val="center"/>
          </w:tcPr>
          <w:p w14:paraId="48BE89B6">
            <w:pPr>
              <w:jc w:val="center"/>
              <w:rPr>
                <w:rFonts w:ascii="宋体" w:hAnsi="宋体" w:cs="宋体"/>
                <w:sz w:val="22"/>
                <w:szCs w:val="22"/>
              </w:rPr>
            </w:pPr>
            <w:r>
              <w:rPr>
                <w:rFonts w:hint="eastAsia"/>
                <w:sz w:val="22"/>
                <w:szCs w:val="22"/>
              </w:rPr>
              <w:t>316</w:t>
            </w:r>
          </w:p>
        </w:tc>
      </w:tr>
      <w:tr w14:paraId="276D4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4D9B0950">
            <w:pPr>
              <w:widowControl w:val="0"/>
              <w:spacing w:line="300" w:lineRule="exact"/>
              <w:jc w:val="center"/>
              <w:rPr>
                <w:rFonts w:eastAsia="楷体_GB2312"/>
                <w:szCs w:val="21"/>
              </w:rPr>
            </w:pPr>
          </w:p>
        </w:tc>
        <w:tc>
          <w:tcPr>
            <w:tcW w:w="1417" w:type="dxa"/>
            <w:noWrap w:val="0"/>
            <w:vAlign w:val="center"/>
          </w:tcPr>
          <w:p w14:paraId="3DB48712">
            <w:pPr>
              <w:widowControl w:val="0"/>
              <w:spacing w:line="300" w:lineRule="exact"/>
              <w:jc w:val="center"/>
              <w:rPr>
                <w:rFonts w:eastAsia="楷体_GB2312"/>
                <w:szCs w:val="21"/>
              </w:rPr>
            </w:pPr>
            <w:r>
              <w:rPr>
                <w:rFonts w:eastAsia="楷体_GB2312"/>
                <w:szCs w:val="21"/>
              </w:rPr>
              <w:t>二级地</w:t>
            </w:r>
          </w:p>
        </w:tc>
        <w:tc>
          <w:tcPr>
            <w:tcW w:w="5953" w:type="dxa"/>
            <w:noWrap w:val="0"/>
            <w:vAlign w:val="center"/>
          </w:tcPr>
          <w:p w14:paraId="3B357A07">
            <w:pPr>
              <w:jc w:val="center"/>
              <w:rPr>
                <w:rFonts w:ascii="宋体" w:hAnsi="宋体" w:cs="宋体"/>
                <w:sz w:val="22"/>
                <w:szCs w:val="22"/>
              </w:rPr>
            </w:pPr>
            <w:r>
              <w:rPr>
                <w:rFonts w:hint="eastAsia"/>
                <w:sz w:val="22"/>
                <w:szCs w:val="22"/>
              </w:rPr>
              <w:t>243</w:t>
            </w:r>
          </w:p>
        </w:tc>
      </w:tr>
      <w:tr w14:paraId="7DE6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7DA3477A">
            <w:pPr>
              <w:widowControl w:val="0"/>
              <w:spacing w:line="300" w:lineRule="exact"/>
              <w:jc w:val="center"/>
              <w:rPr>
                <w:rFonts w:eastAsia="楷体_GB2312"/>
                <w:szCs w:val="21"/>
              </w:rPr>
            </w:pPr>
          </w:p>
        </w:tc>
        <w:tc>
          <w:tcPr>
            <w:tcW w:w="1417" w:type="dxa"/>
            <w:noWrap w:val="0"/>
            <w:vAlign w:val="center"/>
          </w:tcPr>
          <w:p w14:paraId="3728827F">
            <w:pPr>
              <w:widowControl w:val="0"/>
              <w:spacing w:line="300" w:lineRule="exact"/>
              <w:jc w:val="center"/>
              <w:rPr>
                <w:rFonts w:eastAsia="楷体_GB2312"/>
                <w:szCs w:val="21"/>
              </w:rPr>
            </w:pPr>
            <w:r>
              <w:rPr>
                <w:rFonts w:eastAsia="楷体_GB2312"/>
                <w:szCs w:val="21"/>
              </w:rPr>
              <w:t>三级地</w:t>
            </w:r>
          </w:p>
        </w:tc>
        <w:tc>
          <w:tcPr>
            <w:tcW w:w="5953" w:type="dxa"/>
            <w:noWrap w:val="0"/>
            <w:vAlign w:val="center"/>
          </w:tcPr>
          <w:p w14:paraId="218CE8B5">
            <w:pPr>
              <w:jc w:val="center"/>
              <w:rPr>
                <w:rFonts w:ascii="宋体" w:hAnsi="宋体" w:cs="宋体"/>
                <w:sz w:val="22"/>
                <w:szCs w:val="22"/>
              </w:rPr>
            </w:pPr>
            <w:r>
              <w:rPr>
                <w:rFonts w:hint="eastAsia"/>
                <w:sz w:val="22"/>
                <w:szCs w:val="22"/>
              </w:rPr>
              <w:t>178</w:t>
            </w:r>
          </w:p>
        </w:tc>
      </w:tr>
      <w:tr w14:paraId="3735D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260D0393">
            <w:pPr>
              <w:widowControl w:val="0"/>
              <w:spacing w:line="300" w:lineRule="exact"/>
              <w:jc w:val="center"/>
              <w:rPr>
                <w:rFonts w:eastAsia="楷体_GB2312"/>
                <w:szCs w:val="21"/>
              </w:rPr>
            </w:pPr>
            <w:r>
              <w:rPr>
                <w:rFonts w:hint="eastAsia" w:eastAsia="楷体_GB2312"/>
                <w:szCs w:val="21"/>
              </w:rPr>
              <w:t>大店镇</w:t>
            </w:r>
          </w:p>
        </w:tc>
        <w:tc>
          <w:tcPr>
            <w:tcW w:w="1417" w:type="dxa"/>
            <w:noWrap w:val="0"/>
            <w:vAlign w:val="center"/>
          </w:tcPr>
          <w:p w14:paraId="10680F74">
            <w:pPr>
              <w:widowControl w:val="0"/>
              <w:spacing w:line="300" w:lineRule="exact"/>
              <w:jc w:val="center"/>
              <w:rPr>
                <w:rFonts w:eastAsia="楷体_GB2312"/>
                <w:szCs w:val="21"/>
              </w:rPr>
            </w:pPr>
            <w:r>
              <w:rPr>
                <w:rFonts w:eastAsia="楷体_GB2312"/>
                <w:szCs w:val="21"/>
              </w:rPr>
              <w:t>一级地</w:t>
            </w:r>
          </w:p>
        </w:tc>
        <w:tc>
          <w:tcPr>
            <w:tcW w:w="5953" w:type="dxa"/>
            <w:noWrap w:val="0"/>
            <w:vAlign w:val="center"/>
          </w:tcPr>
          <w:p w14:paraId="14D411DD">
            <w:pPr>
              <w:jc w:val="center"/>
              <w:rPr>
                <w:rFonts w:ascii="宋体" w:hAnsi="宋体" w:cs="宋体"/>
                <w:sz w:val="22"/>
                <w:szCs w:val="22"/>
              </w:rPr>
            </w:pPr>
            <w:r>
              <w:rPr>
                <w:rFonts w:hint="eastAsia"/>
                <w:sz w:val="22"/>
                <w:szCs w:val="22"/>
              </w:rPr>
              <w:t>306</w:t>
            </w:r>
          </w:p>
        </w:tc>
      </w:tr>
      <w:tr w14:paraId="0B6BA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5C9B4452">
            <w:pPr>
              <w:widowControl w:val="0"/>
              <w:spacing w:line="300" w:lineRule="exact"/>
              <w:jc w:val="center"/>
              <w:rPr>
                <w:rFonts w:eastAsia="楷体_GB2312"/>
                <w:szCs w:val="21"/>
              </w:rPr>
            </w:pPr>
          </w:p>
        </w:tc>
        <w:tc>
          <w:tcPr>
            <w:tcW w:w="1417" w:type="dxa"/>
            <w:noWrap w:val="0"/>
            <w:vAlign w:val="center"/>
          </w:tcPr>
          <w:p w14:paraId="479F8E2C">
            <w:pPr>
              <w:widowControl w:val="0"/>
              <w:spacing w:line="300" w:lineRule="exact"/>
              <w:jc w:val="center"/>
              <w:rPr>
                <w:rFonts w:eastAsia="楷体_GB2312"/>
                <w:szCs w:val="21"/>
              </w:rPr>
            </w:pPr>
            <w:r>
              <w:rPr>
                <w:rFonts w:eastAsia="楷体_GB2312"/>
                <w:szCs w:val="21"/>
              </w:rPr>
              <w:t>二级地</w:t>
            </w:r>
          </w:p>
        </w:tc>
        <w:tc>
          <w:tcPr>
            <w:tcW w:w="5953" w:type="dxa"/>
            <w:noWrap w:val="0"/>
            <w:vAlign w:val="center"/>
          </w:tcPr>
          <w:p w14:paraId="6E36698F">
            <w:pPr>
              <w:jc w:val="center"/>
              <w:rPr>
                <w:rFonts w:ascii="宋体" w:hAnsi="宋体" w:cs="宋体"/>
                <w:sz w:val="22"/>
                <w:szCs w:val="22"/>
              </w:rPr>
            </w:pPr>
            <w:r>
              <w:rPr>
                <w:rFonts w:hint="eastAsia"/>
                <w:sz w:val="22"/>
                <w:szCs w:val="22"/>
              </w:rPr>
              <w:t>240</w:t>
            </w:r>
          </w:p>
        </w:tc>
      </w:tr>
      <w:tr w14:paraId="56FC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4E1B8928">
            <w:pPr>
              <w:widowControl w:val="0"/>
              <w:spacing w:line="300" w:lineRule="exact"/>
              <w:jc w:val="center"/>
              <w:rPr>
                <w:rFonts w:eastAsia="楷体_GB2312"/>
                <w:szCs w:val="21"/>
              </w:rPr>
            </w:pPr>
          </w:p>
        </w:tc>
        <w:tc>
          <w:tcPr>
            <w:tcW w:w="1417" w:type="dxa"/>
            <w:noWrap w:val="0"/>
            <w:vAlign w:val="center"/>
          </w:tcPr>
          <w:p w14:paraId="2D444F6F">
            <w:pPr>
              <w:widowControl w:val="0"/>
              <w:spacing w:line="300" w:lineRule="exact"/>
              <w:jc w:val="center"/>
              <w:rPr>
                <w:rFonts w:eastAsia="楷体_GB2312"/>
                <w:szCs w:val="21"/>
              </w:rPr>
            </w:pPr>
            <w:r>
              <w:rPr>
                <w:rFonts w:eastAsia="楷体_GB2312"/>
                <w:szCs w:val="21"/>
              </w:rPr>
              <w:t>三级地</w:t>
            </w:r>
          </w:p>
        </w:tc>
        <w:tc>
          <w:tcPr>
            <w:tcW w:w="5953" w:type="dxa"/>
            <w:noWrap w:val="0"/>
            <w:vAlign w:val="center"/>
          </w:tcPr>
          <w:p w14:paraId="542EC0EA">
            <w:pPr>
              <w:jc w:val="center"/>
              <w:rPr>
                <w:rFonts w:ascii="宋体" w:hAnsi="宋体" w:cs="宋体"/>
                <w:sz w:val="22"/>
                <w:szCs w:val="22"/>
              </w:rPr>
            </w:pPr>
            <w:r>
              <w:rPr>
                <w:rFonts w:hint="eastAsia"/>
                <w:sz w:val="22"/>
                <w:szCs w:val="22"/>
              </w:rPr>
              <w:t>178</w:t>
            </w:r>
          </w:p>
        </w:tc>
      </w:tr>
      <w:tr w14:paraId="74368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6DE99F76">
            <w:pPr>
              <w:widowControl w:val="0"/>
              <w:spacing w:line="300" w:lineRule="exact"/>
              <w:jc w:val="center"/>
              <w:rPr>
                <w:rFonts w:eastAsia="楷体_GB2312"/>
                <w:szCs w:val="21"/>
              </w:rPr>
            </w:pPr>
            <w:r>
              <w:rPr>
                <w:rFonts w:hint="eastAsia" w:eastAsia="楷体_GB2312"/>
                <w:szCs w:val="21"/>
              </w:rPr>
              <w:t>栏杆镇</w:t>
            </w:r>
          </w:p>
        </w:tc>
        <w:tc>
          <w:tcPr>
            <w:tcW w:w="1417" w:type="dxa"/>
            <w:noWrap w:val="0"/>
            <w:vAlign w:val="center"/>
          </w:tcPr>
          <w:p w14:paraId="62508CC2">
            <w:pPr>
              <w:widowControl w:val="0"/>
              <w:spacing w:line="300" w:lineRule="exact"/>
              <w:jc w:val="center"/>
              <w:rPr>
                <w:rFonts w:eastAsia="楷体_GB2312"/>
                <w:szCs w:val="21"/>
              </w:rPr>
            </w:pPr>
            <w:r>
              <w:rPr>
                <w:rFonts w:eastAsia="楷体_GB2312"/>
                <w:szCs w:val="21"/>
              </w:rPr>
              <w:t>一级地</w:t>
            </w:r>
          </w:p>
        </w:tc>
        <w:tc>
          <w:tcPr>
            <w:tcW w:w="5953" w:type="dxa"/>
            <w:noWrap w:val="0"/>
            <w:vAlign w:val="center"/>
          </w:tcPr>
          <w:p w14:paraId="2B71D75F">
            <w:pPr>
              <w:jc w:val="center"/>
              <w:rPr>
                <w:rFonts w:ascii="宋体" w:hAnsi="宋体" w:cs="宋体"/>
                <w:sz w:val="22"/>
                <w:szCs w:val="22"/>
              </w:rPr>
            </w:pPr>
            <w:r>
              <w:rPr>
                <w:rFonts w:hint="eastAsia"/>
                <w:sz w:val="22"/>
                <w:szCs w:val="22"/>
              </w:rPr>
              <w:t>303</w:t>
            </w:r>
          </w:p>
        </w:tc>
      </w:tr>
      <w:tr w14:paraId="33965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65F93890">
            <w:pPr>
              <w:widowControl w:val="0"/>
              <w:spacing w:line="300" w:lineRule="exact"/>
              <w:jc w:val="center"/>
              <w:rPr>
                <w:rFonts w:eastAsia="楷体_GB2312"/>
                <w:szCs w:val="21"/>
              </w:rPr>
            </w:pPr>
          </w:p>
        </w:tc>
        <w:tc>
          <w:tcPr>
            <w:tcW w:w="1417" w:type="dxa"/>
            <w:noWrap w:val="0"/>
            <w:vAlign w:val="center"/>
          </w:tcPr>
          <w:p w14:paraId="60157CB2">
            <w:pPr>
              <w:widowControl w:val="0"/>
              <w:spacing w:line="300" w:lineRule="exact"/>
              <w:jc w:val="center"/>
              <w:rPr>
                <w:rFonts w:eastAsia="楷体_GB2312"/>
                <w:szCs w:val="21"/>
              </w:rPr>
            </w:pPr>
            <w:r>
              <w:rPr>
                <w:rFonts w:eastAsia="楷体_GB2312"/>
                <w:szCs w:val="21"/>
              </w:rPr>
              <w:t>二级地</w:t>
            </w:r>
          </w:p>
        </w:tc>
        <w:tc>
          <w:tcPr>
            <w:tcW w:w="5953" w:type="dxa"/>
            <w:noWrap w:val="0"/>
            <w:vAlign w:val="center"/>
          </w:tcPr>
          <w:p w14:paraId="354F1E3C">
            <w:pPr>
              <w:jc w:val="center"/>
              <w:rPr>
                <w:rFonts w:ascii="宋体" w:hAnsi="宋体" w:cs="宋体"/>
                <w:sz w:val="22"/>
                <w:szCs w:val="22"/>
              </w:rPr>
            </w:pPr>
            <w:r>
              <w:rPr>
                <w:rFonts w:hint="eastAsia"/>
                <w:sz w:val="22"/>
                <w:szCs w:val="22"/>
              </w:rPr>
              <w:t>235</w:t>
            </w:r>
          </w:p>
        </w:tc>
      </w:tr>
      <w:tr w14:paraId="7EC80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28CB147D">
            <w:pPr>
              <w:widowControl w:val="0"/>
              <w:spacing w:line="300" w:lineRule="exact"/>
              <w:jc w:val="center"/>
              <w:rPr>
                <w:rFonts w:eastAsia="楷体_GB2312"/>
                <w:szCs w:val="21"/>
              </w:rPr>
            </w:pPr>
          </w:p>
        </w:tc>
        <w:tc>
          <w:tcPr>
            <w:tcW w:w="1417" w:type="dxa"/>
            <w:noWrap w:val="0"/>
            <w:vAlign w:val="center"/>
          </w:tcPr>
          <w:p w14:paraId="5C9DFC21">
            <w:pPr>
              <w:widowControl w:val="0"/>
              <w:spacing w:line="300" w:lineRule="exact"/>
              <w:jc w:val="center"/>
              <w:rPr>
                <w:rFonts w:eastAsia="楷体_GB2312"/>
                <w:szCs w:val="21"/>
              </w:rPr>
            </w:pPr>
            <w:r>
              <w:rPr>
                <w:rFonts w:eastAsia="楷体_GB2312"/>
                <w:szCs w:val="21"/>
              </w:rPr>
              <w:t>三级地</w:t>
            </w:r>
          </w:p>
        </w:tc>
        <w:tc>
          <w:tcPr>
            <w:tcW w:w="5953" w:type="dxa"/>
            <w:noWrap w:val="0"/>
            <w:vAlign w:val="center"/>
          </w:tcPr>
          <w:p w14:paraId="3D1374F2">
            <w:pPr>
              <w:jc w:val="center"/>
              <w:rPr>
                <w:rFonts w:ascii="宋体" w:hAnsi="宋体" w:cs="宋体"/>
                <w:sz w:val="22"/>
                <w:szCs w:val="22"/>
              </w:rPr>
            </w:pPr>
            <w:r>
              <w:rPr>
                <w:rFonts w:hint="eastAsia"/>
                <w:sz w:val="22"/>
                <w:szCs w:val="22"/>
              </w:rPr>
              <w:t>178</w:t>
            </w:r>
          </w:p>
        </w:tc>
      </w:tr>
      <w:tr w14:paraId="5DD52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10CCC112">
            <w:pPr>
              <w:widowControl w:val="0"/>
              <w:spacing w:line="300" w:lineRule="exact"/>
              <w:jc w:val="center"/>
              <w:rPr>
                <w:rFonts w:eastAsia="楷体_GB2312"/>
                <w:szCs w:val="21"/>
              </w:rPr>
            </w:pPr>
            <w:r>
              <w:rPr>
                <w:rFonts w:hint="eastAsia" w:eastAsia="楷体_GB2312"/>
                <w:szCs w:val="21"/>
              </w:rPr>
              <w:t>时村镇</w:t>
            </w:r>
          </w:p>
        </w:tc>
        <w:tc>
          <w:tcPr>
            <w:tcW w:w="1417" w:type="dxa"/>
            <w:noWrap w:val="0"/>
            <w:vAlign w:val="center"/>
          </w:tcPr>
          <w:p w14:paraId="5BFB7D37">
            <w:pPr>
              <w:widowControl w:val="0"/>
              <w:spacing w:line="300" w:lineRule="exact"/>
              <w:jc w:val="center"/>
              <w:rPr>
                <w:rFonts w:eastAsia="楷体_GB2312"/>
                <w:szCs w:val="21"/>
              </w:rPr>
            </w:pPr>
            <w:r>
              <w:rPr>
                <w:rFonts w:eastAsia="楷体_GB2312"/>
                <w:szCs w:val="21"/>
              </w:rPr>
              <w:t>一级地</w:t>
            </w:r>
          </w:p>
        </w:tc>
        <w:tc>
          <w:tcPr>
            <w:tcW w:w="5953" w:type="dxa"/>
            <w:noWrap w:val="0"/>
            <w:vAlign w:val="center"/>
          </w:tcPr>
          <w:p w14:paraId="6A7B9E7D">
            <w:pPr>
              <w:jc w:val="center"/>
              <w:rPr>
                <w:rFonts w:ascii="宋体" w:hAnsi="宋体" w:cs="宋体"/>
                <w:sz w:val="22"/>
                <w:szCs w:val="22"/>
              </w:rPr>
            </w:pPr>
            <w:r>
              <w:rPr>
                <w:rFonts w:hint="eastAsia"/>
                <w:sz w:val="22"/>
                <w:szCs w:val="22"/>
              </w:rPr>
              <w:t>298</w:t>
            </w:r>
          </w:p>
        </w:tc>
      </w:tr>
      <w:tr w14:paraId="313C5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455D2004">
            <w:pPr>
              <w:widowControl w:val="0"/>
              <w:spacing w:line="300" w:lineRule="exact"/>
              <w:jc w:val="center"/>
              <w:rPr>
                <w:rFonts w:eastAsia="楷体_GB2312"/>
                <w:szCs w:val="21"/>
              </w:rPr>
            </w:pPr>
          </w:p>
        </w:tc>
        <w:tc>
          <w:tcPr>
            <w:tcW w:w="1417" w:type="dxa"/>
            <w:noWrap w:val="0"/>
            <w:vAlign w:val="center"/>
          </w:tcPr>
          <w:p w14:paraId="194A654F">
            <w:pPr>
              <w:widowControl w:val="0"/>
              <w:spacing w:line="300" w:lineRule="exact"/>
              <w:jc w:val="center"/>
              <w:rPr>
                <w:rFonts w:eastAsia="楷体_GB2312"/>
                <w:szCs w:val="21"/>
              </w:rPr>
            </w:pPr>
            <w:r>
              <w:rPr>
                <w:rFonts w:eastAsia="楷体_GB2312"/>
                <w:szCs w:val="21"/>
              </w:rPr>
              <w:t>二级地</w:t>
            </w:r>
          </w:p>
        </w:tc>
        <w:tc>
          <w:tcPr>
            <w:tcW w:w="5953" w:type="dxa"/>
            <w:noWrap w:val="0"/>
            <w:vAlign w:val="center"/>
          </w:tcPr>
          <w:p w14:paraId="4276E1F2">
            <w:pPr>
              <w:jc w:val="center"/>
              <w:rPr>
                <w:rFonts w:ascii="宋体" w:hAnsi="宋体" w:cs="宋体"/>
                <w:sz w:val="22"/>
                <w:szCs w:val="22"/>
              </w:rPr>
            </w:pPr>
            <w:r>
              <w:rPr>
                <w:rFonts w:hint="eastAsia"/>
                <w:sz w:val="22"/>
                <w:szCs w:val="22"/>
              </w:rPr>
              <w:t>223</w:t>
            </w:r>
          </w:p>
        </w:tc>
      </w:tr>
      <w:tr w14:paraId="513EA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4C428672">
            <w:pPr>
              <w:widowControl w:val="0"/>
              <w:spacing w:line="300" w:lineRule="exact"/>
              <w:jc w:val="center"/>
              <w:rPr>
                <w:rFonts w:eastAsia="楷体_GB2312"/>
                <w:szCs w:val="21"/>
              </w:rPr>
            </w:pPr>
          </w:p>
        </w:tc>
        <w:tc>
          <w:tcPr>
            <w:tcW w:w="1417" w:type="dxa"/>
            <w:noWrap w:val="0"/>
            <w:vAlign w:val="center"/>
          </w:tcPr>
          <w:p w14:paraId="3413BE59">
            <w:pPr>
              <w:widowControl w:val="0"/>
              <w:spacing w:line="300" w:lineRule="exact"/>
              <w:jc w:val="center"/>
              <w:rPr>
                <w:rFonts w:eastAsia="楷体_GB2312"/>
                <w:szCs w:val="21"/>
              </w:rPr>
            </w:pPr>
            <w:r>
              <w:rPr>
                <w:rFonts w:eastAsia="楷体_GB2312"/>
                <w:szCs w:val="21"/>
              </w:rPr>
              <w:t>三级地</w:t>
            </w:r>
          </w:p>
        </w:tc>
        <w:tc>
          <w:tcPr>
            <w:tcW w:w="5953" w:type="dxa"/>
            <w:noWrap w:val="0"/>
            <w:vAlign w:val="center"/>
          </w:tcPr>
          <w:p w14:paraId="03B76AB9">
            <w:pPr>
              <w:jc w:val="center"/>
              <w:rPr>
                <w:rFonts w:ascii="宋体" w:hAnsi="宋体" w:cs="宋体"/>
                <w:sz w:val="22"/>
                <w:szCs w:val="22"/>
              </w:rPr>
            </w:pPr>
            <w:r>
              <w:rPr>
                <w:rFonts w:hint="eastAsia"/>
                <w:sz w:val="22"/>
                <w:szCs w:val="22"/>
              </w:rPr>
              <w:t>159</w:t>
            </w:r>
          </w:p>
        </w:tc>
      </w:tr>
      <w:tr w14:paraId="6270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01D98532">
            <w:pPr>
              <w:widowControl w:val="0"/>
              <w:spacing w:line="300" w:lineRule="exact"/>
              <w:jc w:val="center"/>
              <w:rPr>
                <w:rFonts w:eastAsia="楷体_GB2312"/>
                <w:szCs w:val="21"/>
              </w:rPr>
            </w:pPr>
            <w:r>
              <w:rPr>
                <w:rFonts w:hint="eastAsia" w:eastAsia="楷体_GB2312"/>
                <w:szCs w:val="21"/>
              </w:rPr>
              <w:t>夹沟镇</w:t>
            </w:r>
          </w:p>
        </w:tc>
        <w:tc>
          <w:tcPr>
            <w:tcW w:w="1417" w:type="dxa"/>
            <w:noWrap w:val="0"/>
            <w:vAlign w:val="center"/>
          </w:tcPr>
          <w:p w14:paraId="24532CD1">
            <w:pPr>
              <w:widowControl w:val="0"/>
              <w:spacing w:line="300" w:lineRule="exact"/>
              <w:jc w:val="center"/>
              <w:rPr>
                <w:rFonts w:eastAsia="楷体_GB2312"/>
                <w:szCs w:val="21"/>
              </w:rPr>
            </w:pPr>
            <w:r>
              <w:rPr>
                <w:rFonts w:eastAsia="楷体_GB2312"/>
                <w:szCs w:val="21"/>
              </w:rPr>
              <w:t>一级地</w:t>
            </w:r>
          </w:p>
        </w:tc>
        <w:tc>
          <w:tcPr>
            <w:tcW w:w="5953" w:type="dxa"/>
            <w:noWrap w:val="0"/>
            <w:vAlign w:val="center"/>
          </w:tcPr>
          <w:p w14:paraId="479FE1D2">
            <w:pPr>
              <w:jc w:val="center"/>
              <w:rPr>
                <w:rFonts w:ascii="宋体" w:hAnsi="宋体" w:cs="宋体"/>
                <w:sz w:val="22"/>
                <w:szCs w:val="22"/>
              </w:rPr>
            </w:pPr>
            <w:r>
              <w:rPr>
                <w:rFonts w:hint="eastAsia"/>
                <w:sz w:val="22"/>
                <w:szCs w:val="22"/>
              </w:rPr>
              <w:t>290</w:t>
            </w:r>
          </w:p>
        </w:tc>
      </w:tr>
      <w:tr w14:paraId="45843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33CC85F7">
            <w:pPr>
              <w:widowControl w:val="0"/>
              <w:spacing w:line="300" w:lineRule="exact"/>
              <w:jc w:val="center"/>
              <w:rPr>
                <w:rFonts w:eastAsia="楷体_GB2312"/>
                <w:szCs w:val="21"/>
              </w:rPr>
            </w:pPr>
          </w:p>
        </w:tc>
        <w:tc>
          <w:tcPr>
            <w:tcW w:w="1417" w:type="dxa"/>
            <w:noWrap w:val="0"/>
            <w:vAlign w:val="center"/>
          </w:tcPr>
          <w:p w14:paraId="1A67FEE8">
            <w:pPr>
              <w:widowControl w:val="0"/>
              <w:spacing w:line="300" w:lineRule="exact"/>
              <w:jc w:val="center"/>
              <w:rPr>
                <w:rFonts w:eastAsia="楷体_GB2312"/>
                <w:szCs w:val="21"/>
              </w:rPr>
            </w:pPr>
            <w:r>
              <w:rPr>
                <w:rFonts w:eastAsia="楷体_GB2312"/>
                <w:szCs w:val="21"/>
              </w:rPr>
              <w:t>二级地</w:t>
            </w:r>
          </w:p>
        </w:tc>
        <w:tc>
          <w:tcPr>
            <w:tcW w:w="5953" w:type="dxa"/>
            <w:noWrap w:val="0"/>
            <w:vAlign w:val="center"/>
          </w:tcPr>
          <w:p w14:paraId="71EF18C4">
            <w:pPr>
              <w:jc w:val="center"/>
              <w:rPr>
                <w:rFonts w:ascii="宋体" w:hAnsi="宋体" w:cs="宋体"/>
                <w:sz w:val="22"/>
                <w:szCs w:val="22"/>
              </w:rPr>
            </w:pPr>
            <w:r>
              <w:rPr>
                <w:rFonts w:hint="eastAsia"/>
                <w:sz w:val="22"/>
                <w:szCs w:val="22"/>
              </w:rPr>
              <w:t>230</w:t>
            </w:r>
          </w:p>
        </w:tc>
      </w:tr>
      <w:tr w14:paraId="422E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273EEDC4">
            <w:pPr>
              <w:widowControl w:val="0"/>
              <w:spacing w:line="300" w:lineRule="exact"/>
              <w:jc w:val="center"/>
              <w:rPr>
                <w:rFonts w:eastAsia="楷体_GB2312"/>
                <w:szCs w:val="21"/>
              </w:rPr>
            </w:pPr>
          </w:p>
        </w:tc>
        <w:tc>
          <w:tcPr>
            <w:tcW w:w="1417" w:type="dxa"/>
            <w:noWrap w:val="0"/>
            <w:vAlign w:val="center"/>
          </w:tcPr>
          <w:p w14:paraId="0F61515E">
            <w:pPr>
              <w:widowControl w:val="0"/>
              <w:spacing w:line="300" w:lineRule="exact"/>
              <w:jc w:val="center"/>
              <w:rPr>
                <w:rFonts w:eastAsia="楷体_GB2312"/>
                <w:szCs w:val="21"/>
              </w:rPr>
            </w:pPr>
            <w:r>
              <w:rPr>
                <w:rFonts w:eastAsia="楷体_GB2312"/>
                <w:szCs w:val="21"/>
              </w:rPr>
              <w:t>三级地</w:t>
            </w:r>
          </w:p>
        </w:tc>
        <w:tc>
          <w:tcPr>
            <w:tcW w:w="5953" w:type="dxa"/>
            <w:noWrap w:val="0"/>
            <w:vAlign w:val="center"/>
          </w:tcPr>
          <w:p w14:paraId="6C3666FE">
            <w:pPr>
              <w:jc w:val="center"/>
              <w:rPr>
                <w:rFonts w:ascii="宋体" w:hAnsi="宋体" w:cs="宋体"/>
                <w:sz w:val="22"/>
                <w:szCs w:val="22"/>
              </w:rPr>
            </w:pPr>
            <w:r>
              <w:rPr>
                <w:rFonts w:hint="eastAsia"/>
                <w:sz w:val="22"/>
                <w:szCs w:val="22"/>
              </w:rPr>
              <w:t>175</w:t>
            </w:r>
          </w:p>
        </w:tc>
      </w:tr>
      <w:tr w14:paraId="28223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6A87B49B">
            <w:pPr>
              <w:widowControl w:val="0"/>
              <w:spacing w:line="300" w:lineRule="exact"/>
              <w:jc w:val="center"/>
              <w:rPr>
                <w:rFonts w:eastAsia="楷体_GB2312"/>
                <w:szCs w:val="21"/>
              </w:rPr>
            </w:pPr>
            <w:r>
              <w:rPr>
                <w:rFonts w:hint="eastAsia" w:eastAsia="楷体_GB2312"/>
                <w:szCs w:val="21"/>
              </w:rPr>
              <w:t>西二铺乡</w:t>
            </w:r>
          </w:p>
        </w:tc>
        <w:tc>
          <w:tcPr>
            <w:tcW w:w="1417" w:type="dxa"/>
            <w:noWrap w:val="0"/>
            <w:vAlign w:val="center"/>
          </w:tcPr>
          <w:p w14:paraId="75A30607">
            <w:pPr>
              <w:widowControl w:val="0"/>
              <w:spacing w:line="300" w:lineRule="exact"/>
              <w:jc w:val="center"/>
              <w:rPr>
                <w:rFonts w:eastAsia="楷体_GB2312"/>
                <w:szCs w:val="21"/>
              </w:rPr>
            </w:pPr>
            <w:r>
              <w:rPr>
                <w:rFonts w:eastAsia="楷体_GB2312"/>
                <w:szCs w:val="21"/>
              </w:rPr>
              <w:t>一级地</w:t>
            </w:r>
          </w:p>
        </w:tc>
        <w:tc>
          <w:tcPr>
            <w:tcW w:w="5953" w:type="dxa"/>
            <w:noWrap w:val="0"/>
            <w:vAlign w:val="center"/>
          </w:tcPr>
          <w:p w14:paraId="0E106910">
            <w:pPr>
              <w:jc w:val="center"/>
              <w:rPr>
                <w:rFonts w:ascii="宋体" w:hAnsi="宋体" w:cs="宋体"/>
                <w:sz w:val="22"/>
                <w:szCs w:val="22"/>
              </w:rPr>
            </w:pPr>
            <w:r>
              <w:rPr>
                <w:rFonts w:hint="eastAsia"/>
                <w:sz w:val="22"/>
                <w:szCs w:val="22"/>
              </w:rPr>
              <w:t>287</w:t>
            </w:r>
          </w:p>
        </w:tc>
      </w:tr>
      <w:tr w14:paraId="20D4C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328C8F39">
            <w:pPr>
              <w:widowControl w:val="0"/>
              <w:spacing w:line="300" w:lineRule="exact"/>
              <w:jc w:val="center"/>
              <w:rPr>
                <w:rFonts w:eastAsia="楷体_GB2312"/>
                <w:szCs w:val="21"/>
              </w:rPr>
            </w:pPr>
          </w:p>
        </w:tc>
        <w:tc>
          <w:tcPr>
            <w:tcW w:w="1417" w:type="dxa"/>
            <w:noWrap w:val="0"/>
            <w:vAlign w:val="center"/>
          </w:tcPr>
          <w:p w14:paraId="5BAACE4E">
            <w:pPr>
              <w:widowControl w:val="0"/>
              <w:spacing w:line="300" w:lineRule="exact"/>
              <w:jc w:val="center"/>
              <w:rPr>
                <w:rFonts w:eastAsia="楷体_GB2312"/>
                <w:szCs w:val="21"/>
              </w:rPr>
            </w:pPr>
            <w:r>
              <w:rPr>
                <w:rFonts w:eastAsia="楷体_GB2312"/>
                <w:szCs w:val="21"/>
              </w:rPr>
              <w:t>二级地</w:t>
            </w:r>
          </w:p>
        </w:tc>
        <w:tc>
          <w:tcPr>
            <w:tcW w:w="5953" w:type="dxa"/>
            <w:noWrap w:val="0"/>
            <w:vAlign w:val="center"/>
          </w:tcPr>
          <w:p w14:paraId="64359F12">
            <w:pPr>
              <w:jc w:val="center"/>
              <w:rPr>
                <w:rFonts w:ascii="宋体" w:hAnsi="宋体" w:cs="宋体"/>
                <w:sz w:val="22"/>
                <w:szCs w:val="22"/>
              </w:rPr>
            </w:pPr>
            <w:r>
              <w:rPr>
                <w:rFonts w:hint="eastAsia"/>
                <w:sz w:val="22"/>
                <w:szCs w:val="22"/>
              </w:rPr>
              <w:t>222</w:t>
            </w:r>
          </w:p>
        </w:tc>
      </w:tr>
      <w:tr w14:paraId="23DD8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6440EF40">
            <w:pPr>
              <w:widowControl w:val="0"/>
              <w:spacing w:line="300" w:lineRule="exact"/>
              <w:jc w:val="center"/>
              <w:rPr>
                <w:rFonts w:eastAsia="楷体_GB2312"/>
                <w:szCs w:val="21"/>
              </w:rPr>
            </w:pPr>
          </w:p>
        </w:tc>
        <w:tc>
          <w:tcPr>
            <w:tcW w:w="1417" w:type="dxa"/>
            <w:noWrap w:val="0"/>
            <w:vAlign w:val="center"/>
          </w:tcPr>
          <w:p w14:paraId="65E99289">
            <w:pPr>
              <w:widowControl w:val="0"/>
              <w:spacing w:line="300" w:lineRule="exact"/>
              <w:jc w:val="center"/>
              <w:rPr>
                <w:rFonts w:eastAsia="楷体_GB2312"/>
                <w:szCs w:val="21"/>
              </w:rPr>
            </w:pPr>
            <w:r>
              <w:rPr>
                <w:rFonts w:eastAsia="楷体_GB2312"/>
                <w:szCs w:val="21"/>
              </w:rPr>
              <w:t>三级地</w:t>
            </w:r>
          </w:p>
        </w:tc>
        <w:tc>
          <w:tcPr>
            <w:tcW w:w="5953" w:type="dxa"/>
            <w:noWrap w:val="0"/>
            <w:vAlign w:val="center"/>
          </w:tcPr>
          <w:p w14:paraId="07314274">
            <w:pPr>
              <w:jc w:val="center"/>
              <w:rPr>
                <w:rFonts w:ascii="宋体" w:hAnsi="宋体" w:cs="宋体"/>
                <w:sz w:val="22"/>
                <w:szCs w:val="22"/>
              </w:rPr>
            </w:pPr>
            <w:r>
              <w:rPr>
                <w:rFonts w:hint="eastAsia"/>
                <w:sz w:val="22"/>
                <w:szCs w:val="22"/>
              </w:rPr>
              <w:t>170</w:t>
            </w:r>
          </w:p>
        </w:tc>
      </w:tr>
      <w:tr w14:paraId="4A7A6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4A33E9B2">
            <w:pPr>
              <w:widowControl w:val="0"/>
              <w:spacing w:line="300" w:lineRule="exact"/>
              <w:jc w:val="center"/>
              <w:rPr>
                <w:rFonts w:eastAsia="楷体_GB2312"/>
                <w:szCs w:val="21"/>
              </w:rPr>
            </w:pPr>
            <w:r>
              <w:rPr>
                <w:rFonts w:hint="eastAsia" w:eastAsia="楷体_GB2312"/>
                <w:szCs w:val="21"/>
              </w:rPr>
              <w:t>桃园镇</w:t>
            </w:r>
          </w:p>
        </w:tc>
        <w:tc>
          <w:tcPr>
            <w:tcW w:w="1417" w:type="dxa"/>
            <w:noWrap w:val="0"/>
            <w:vAlign w:val="center"/>
          </w:tcPr>
          <w:p w14:paraId="05D5362F">
            <w:pPr>
              <w:widowControl w:val="0"/>
              <w:spacing w:line="300" w:lineRule="exact"/>
              <w:jc w:val="center"/>
              <w:rPr>
                <w:rFonts w:eastAsia="楷体_GB2312"/>
                <w:szCs w:val="21"/>
              </w:rPr>
            </w:pPr>
            <w:r>
              <w:rPr>
                <w:rFonts w:eastAsia="楷体_GB2312"/>
                <w:szCs w:val="21"/>
              </w:rPr>
              <w:t>一级地</w:t>
            </w:r>
          </w:p>
        </w:tc>
        <w:tc>
          <w:tcPr>
            <w:tcW w:w="5953" w:type="dxa"/>
            <w:noWrap w:val="0"/>
            <w:vAlign w:val="center"/>
          </w:tcPr>
          <w:p w14:paraId="3BDE881F">
            <w:pPr>
              <w:jc w:val="center"/>
              <w:rPr>
                <w:rFonts w:ascii="宋体" w:hAnsi="宋体" w:cs="宋体"/>
                <w:sz w:val="22"/>
                <w:szCs w:val="22"/>
              </w:rPr>
            </w:pPr>
            <w:r>
              <w:rPr>
                <w:rFonts w:hint="eastAsia"/>
                <w:sz w:val="22"/>
                <w:szCs w:val="22"/>
              </w:rPr>
              <w:t>277</w:t>
            </w:r>
          </w:p>
        </w:tc>
      </w:tr>
      <w:tr w14:paraId="45885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1AC9FC8C">
            <w:pPr>
              <w:widowControl w:val="0"/>
              <w:spacing w:line="300" w:lineRule="exact"/>
              <w:jc w:val="center"/>
              <w:rPr>
                <w:rFonts w:eastAsia="楷体_GB2312"/>
                <w:szCs w:val="21"/>
              </w:rPr>
            </w:pPr>
          </w:p>
        </w:tc>
        <w:tc>
          <w:tcPr>
            <w:tcW w:w="1417" w:type="dxa"/>
            <w:noWrap w:val="0"/>
            <w:vAlign w:val="center"/>
          </w:tcPr>
          <w:p w14:paraId="60EBF6F4">
            <w:pPr>
              <w:widowControl w:val="0"/>
              <w:spacing w:line="300" w:lineRule="exact"/>
              <w:jc w:val="center"/>
              <w:rPr>
                <w:rFonts w:eastAsia="楷体_GB2312"/>
                <w:szCs w:val="21"/>
              </w:rPr>
            </w:pPr>
            <w:r>
              <w:rPr>
                <w:rFonts w:eastAsia="楷体_GB2312"/>
                <w:szCs w:val="21"/>
              </w:rPr>
              <w:t>二级地</w:t>
            </w:r>
          </w:p>
        </w:tc>
        <w:tc>
          <w:tcPr>
            <w:tcW w:w="5953" w:type="dxa"/>
            <w:noWrap w:val="0"/>
            <w:vAlign w:val="center"/>
          </w:tcPr>
          <w:p w14:paraId="28C6D6FE">
            <w:pPr>
              <w:jc w:val="center"/>
              <w:rPr>
                <w:rFonts w:ascii="宋体" w:hAnsi="宋体" w:cs="宋体"/>
                <w:sz w:val="22"/>
                <w:szCs w:val="22"/>
              </w:rPr>
            </w:pPr>
            <w:r>
              <w:rPr>
                <w:rFonts w:hint="eastAsia"/>
                <w:sz w:val="22"/>
                <w:szCs w:val="22"/>
              </w:rPr>
              <w:t>216</w:t>
            </w:r>
          </w:p>
        </w:tc>
      </w:tr>
      <w:tr w14:paraId="22567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5FAA1752">
            <w:pPr>
              <w:widowControl w:val="0"/>
              <w:spacing w:line="300" w:lineRule="exact"/>
              <w:jc w:val="center"/>
              <w:rPr>
                <w:rFonts w:eastAsia="楷体_GB2312"/>
                <w:szCs w:val="21"/>
              </w:rPr>
            </w:pPr>
          </w:p>
        </w:tc>
        <w:tc>
          <w:tcPr>
            <w:tcW w:w="1417" w:type="dxa"/>
            <w:noWrap w:val="0"/>
            <w:vAlign w:val="center"/>
          </w:tcPr>
          <w:p w14:paraId="654DE593">
            <w:pPr>
              <w:widowControl w:val="0"/>
              <w:spacing w:line="300" w:lineRule="exact"/>
              <w:jc w:val="center"/>
              <w:rPr>
                <w:rFonts w:eastAsia="楷体_GB2312"/>
                <w:szCs w:val="21"/>
              </w:rPr>
            </w:pPr>
            <w:r>
              <w:rPr>
                <w:rFonts w:eastAsia="楷体_GB2312"/>
                <w:szCs w:val="21"/>
              </w:rPr>
              <w:t>三级地</w:t>
            </w:r>
          </w:p>
        </w:tc>
        <w:tc>
          <w:tcPr>
            <w:tcW w:w="5953" w:type="dxa"/>
            <w:noWrap w:val="0"/>
            <w:vAlign w:val="center"/>
          </w:tcPr>
          <w:p w14:paraId="764AF980">
            <w:pPr>
              <w:jc w:val="center"/>
              <w:rPr>
                <w:rFonts w:ascii="宋体" w:hAnsi="宋体" w:cs="宋体"/>
                <w:sz w:val="22"/>
                <w:szCs w:val="22"/>
              </w:rPr>
            </w:pPr>
            <w:r>
              <w:rPr>
                <w:rFonts w:hint="eastAsia"/>
                <w:sz w:val="22"/>
                <w:szCs w:val="22"/>
              </w:rPr>
              <w:t>167</w:t>
            </w:r>
          </w:p>
        </w:tc>
      </w:tr>
      <w:tr w14:paraId="11802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0B5ED609">
            <w:pPr>
              <w:widowControl w:val="0"/>
              <w:spacing w:line="300" w:lineRule="exact"/>
              <w:jc w:val="center"/>
              <w:rPr>
                <w:rFonts w:eastAsia="楷体_GB2312"/>
                <w:szCs w:val="21"/>
              </w:rPr>
            </w:pPr>
            <w:r>
              <w:rPr>
                <w:rFonts w:hint="eastAsia" w:eastAsia="楷体_GB2312"/>
                <w:szCs w:val="21"/>
              </w:rPr>
              <w:t>曹村镇</w:t>
            </w:r>
          </w:p>
        </w:tc>
        <w:tc>
          <w:tcPr>
            <w:tcW w:w="1417" w:type="dxa"/>
            <w:noWrap w:val="0"/>
            <w:vAlign w:val="center"/>
          </w:tcPr>
          <w:p w14:paraId="7BA326A4">
            <w:pPr>
              <w:widowControl w:val="0"/>
              <w:spacing w:line="300" w:lineRule="exact"/>
              <w:jc w:val="center"/>
              <w:rPr>
                <w:rFonts w:eastAsia="楷体_GB2312"/>
                <w:szCs w:val="21"/>
              </w:rPr>
            </w:pPr>
            <w:r>
              <w:rPr>
                <w:rFonts w:eastAsia="楷体_GB2312"/>
                <w:szCs w:val="21"/>
              </w:rPr>
              <w:t>一级地</w:t>
            </w:r>
          </w:p>
        </w:tc>
        <w:tc>
          <w:tcPr>
            <w:tcW w:w="5953" w:type="dxa"/>
            <w:noWrap w:val="0"/>
            <w:vAlign w:val="center"/>
          </w:tcPr>
          <w:p w14:paraId="71F43103">
            <w:pPr>
              <w:jc w:val="center"/>
              <w:rPr>
                <w:rFonts w:ascii="宋体" w:hAnsi="宋体" w:cs="宋体"/>
                <w:sz w:val="22"/>
                <w:szCs w:val="22"/>
              </w:rPr>
            </w:pPr>
            <w:r>
              <w:rPr>
                <w:rFonts w:hint="eastAsia"/>
                <w:sz w:val="22"/>
                <w:szCs w:val="22"/>
              </w:rPr>
              <w:t>272</w:t>
            </w:r>
          </w:p>
        </w:tc>
      </w:tr>
      <w:tr w14:paraId="5244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16AFE718">
            <w:pPr>
              <w:widowControl w:val="0"/>
              <w:spacing w:line="300" w:lineRule="exact"/>
              <w:jc w:val="center"/>
              <w:rPr>
                <w:rFonts w:eastAsia="楷体_GB2312"/>
                <w:szCs w:val="21"/>
              </w:rPr>
            </w:pPr>
          </w:p>
        </w:tc>
        <w:tc>
          <w:tcPr>
            <w:tcW w:w="1417" w:type="dxa"/>
            <w:noWrap w:val="0"/>
            <w:vAlign w:val="center"/>
          </w:tcPr>
          <w:p w14:paraId="68F1B63E">
            <w:pPr>
              <w:widowControl w:val="0"/>
              <w:spacing w:line="300" w:lineRule="exact"/>
              <w:jc w:val="center"/>
              <w:rPr>
                <w:rFonts w:eastAsia="楷体_GB2312"/>
                <w:szCs w:val="21"/>
              </w:rPr>
            </w:pPr>
            <w:r>
              <w:rPr>
                <w:rFonts w:eastAsia="楷体_GB2312"/>
                <w:szCs w:val="21"/>
              </w:rPr>
              <w:t>二级地</w:t>
            </w:r>
          </w:p>
        </w:tc>
        <w:tc>
          <w:tcPr>
            <w:tcW w:w="5953" w:type="dxa"/>
            <w:noWrap w:val="0"/>
            <w:vAlign w:val="center"/>
          </w:tcPr>
          <w:p w14:paraId="1E1F2D5D">
            <w:pPr>
              <w:jc w:val="center"/>
              <w:rPr>
                <w:rFonts w:ascii="宋体" w:hAnsi="宋体" w:cs="宋体"/>
                <w:sz w:val="22"/>
                <w:szCs w:val="22"/>
              </w:rPr>
            </w:pPr>
            <w:r>
              <w:rPr>
                <w:rFonts w:hint="eastAsia"/>
                <w:sz w:val="22"/>
                <w:szCs w:val="22"/>
              </w:rPr>
              <w:t>216</w:t>
            </w:r>
          </w:p>
        </w:tc>
      </w:tr>
      <w:tr w14:paraId="5092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4E2CC358">
            <w:pPr>
              <w:widowControl w:val="0"/>
              <w:spacing w:line="300" w:lineRule="exact"/>
              <w:jc w:val="center"/>
              <w:rPr>
                <w:rFonts w:eastAsia="楷体_GB2312"/>
                <w:szCs w:val="21"/>
              </w:rPr>
            </w:pPr>
          </w:p>
        </w:tc>
        <w:tc>
          <w:tcPr>
            <w:tcW w:w="1417" w:type="dxa"/>
            <w:noWrap w:val="0"/>
            <w:vAlign w:val="center"/>
          </w:tcPr>
          <w:p w14:paraId="402EB0CD">
            <w:pPr>
              <w:widowControl w:val="0"/>
              <w:spacing w:line="300" w:lineRule="exact"/>
              <w:jc w:val="center"/>
              <w:rPr>
                <w:rFonts w:eastAsia="楷体_GB2312"/>
                <w:szCs w:val="21"/>
              </w:rPr>
            </w:pPr>
            <w:r>
              <w:rPr>
                <w:rFonts w:eastAsia="楷体_GB2312"/>
                <w:szCs w:val="21"/>
              </w:rPr>
              <w:t>三级地</w:t>
            </w:r>
          </w:p>
        </w:tc>
        <w:tc>
          <w:tcPr>
            <w:tcW w:w="5953" w:type="dxa"/>
            <w:noWrap w:val="0"/>
            <w:vAlign w:val="center"/>
          </w:tcPr>
          <w:p w14:paraId="1E194C3D">
            <w:pPr>
              <w:jc w:val="center"/>
              <w:rPr>
                <w:rFonts w:ascii="宋体" w:hAnsi="宋体" w:cs="宋体"/>
                <w:sz w:val="22"/>
                <w:szCs w:val="22"/>
              </w:rPr>
            </w:pPr>
            <w:r>
              <w:rPr>
                <w:rFonts w:hint="eastAsia"/>
                <w:sz w:val="22"/>
                <w:szCs w:val="22"/>
              </w:rPr>
              <w:t>167</w:t>
            </w:r>
          </w:p>
        </w:tc>
      </w:tr>
      <w:tr w14:paraId="6499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17F44747">
            <w:pPr>
              <w:widowControl w:val="0"/>
              <w:spacing w:line="300" w:lineRule="exact"/>
              <w:jc w:val="center"/>
              <w:rPr>
                <w:rFonts w:eastAsia="楷体_GB2312"/>
                <w:szCs w:val="21"/>
              </w:rPr>
            </w:pPr>
            <w:r>
              <w:rPr>
                <w:rFonts w:hint="eastAsia" w:eastAsia="楷体_GB2312"/>
                <w:szCs w:val="21"/>
              </w:rPr>
              <w:t>大营镇</w:t>
            </w:r>
          </w:p>
        </w:tc>
        <w:tc>
          <w:tcPr>
            <w:tcW w:w="1417" w:type="dxa"/>
            <w:noWrap w:val="0"/>
            <w:vAlign w:val="center"/>
          </w:tcPr>
          <w:p w14:paraId="0500D9D2">
            <w:pPr>
              <w:widowControl w:val="0"/>
              <w:spacing w:line="300" w:lineRule="exact"/>
              <w:jc w:val="center"/>
              <w:rPr>
                <w:rFonts w:eastAsia="楷体_GB2312"/>
                <w:szCs w:val="21"/>
              </w:rPr>
            </w:pPr>
            <w:r>
              <w:rPr>
                <w:rFonts w:eastAsia="楷体_GB2312"/>
                <w:szCs w:val="21"/>
              </w:rPr>
              <w:t>一级地</w:t>
            </w:r>
          </w:p>
        </w:tc>
        <w:tc>
          <w:tcPr>
            <w:tcW w:w="5953" w:type="dxa"/>
            <w:noWrap w:val="0"/>
            <w:vAlign w:val="center"/>
          </w:tcPr>
          <w:p w14:paraId="34C9BE73">
            <w:pPr>
              <w:jc w:val="center"/>
              <w:rPr>
                <w:rFonts w:ascii="宋体" w:hAnsi="宋体" w:cs="宋体"/>
                <w:sz w:val="22"/>
                <w:szCs w:val="22"/>
              </w:rPr>
            </w:pPr>
            <w:r>
              <w:rPr>
                <w:rFonts w:hint="eastAsia"/>
                <w:sz w:val="22"/>
                <w:szCs w:val="22"/>
              </w:rPr>
              <w:t>269</w:t>
            </w:r>
          </w:p>
        </w:tc>
      </w:tr>
      <w:tr w14:paraId="1F47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0E376DD1">
            <w:pPr>
              <w:widowControl w:val="0"/>
              <w:spacing w:line="300" w:lineRule="exact"/>
              <w:jc w:val="center"/>
              <w:rPr>
                <w:rFonts w:eastAsia="楷体_GB2312"/>
                <w:szCs w:val="21"/>
              </w:rPr>
            </w:pPr>
          </w:p>
        </w:tc>
        <w:tc>
          <w:tcPr>
            <w:tcW w:w="1417" w:type="dxa"/>
            <w:noWrap w:val="0"/>
            <w:vAlign w:val="center"/>
          </w:tcPr>
          <w:p w14:paraId="1859F97C">
            <w:pPr>
              <w:widowControl w:val="0"/>
              <w:spacing w:line="300" w:lineRule="exact"/>
              <w:jc w:val="center"/>
              <w:rPr>
                <w:rFonts w:eastAsia="楷体_GB2312"/>
                <w:szCs w:val="21"/>
              </w:rPr>
            </w:pPr>
            <w:r>
              <w:rPr>
                <w:rFonts w:eastAsia="楷体_GB2312"/>
                <w:szCs w:val="21"/>
              </w:rPr>
              <w:t>二级地</w:t>
            </w:r>
          </w:p>
        </w:tc>
        <w:tc>
          <w:tcPr>
            <w:tcW w:w="5953" w:type="dxa"/>
            <w:noWrap w:val="0"/>
            <w:vAlign w:val="center"/>
          </w:tcPr>
          <w:p w14:paraId="679E60DC">
            <w:pPr>
              <w:jc w:val="center"/>
              <w:rPr>
                <w:rFonts w:ascii="宋体" w:hAnsi="宋体" w:cs="宋体"/>
                <w:sz w:val="22"/>
                <w:szCs w:val="22"/>
              </w:rPr>
            </w:pPr>
            <w:r>
              <w:rPr>
                <w:rFonts w:hint="eastAsia"/>
                <w:sz w:val="22"/>
                <w:szCs w:val="22"/>
              </w:rPr>
              <w:t>213</w:t>
            </w:r>
          </w:p>
        </w:tc>
      </w:tr>
      <w:tr w14:paraId="56A48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51C7F8F5">
            <w:pPr>
              <w:widowControl w:val="0"/>
              <w:spacing w:line="300" w:lineRule="exact"/>
              <w:jc w:val="center"/>
              <w:rPr>
                <w:rFonts w:eastAsia="楷体_GB2312"/>
                <w:szCs w:val="21"/>
              </w:rPr>
            </w:pPr>
          </w:p>
        </w:tc>
        <w:tc>
          <w:tcPr>
            <w:tcW w:w="1417" w:type="dxa"/>
            <w:noWrap w:val="0"/>
            <w:vAlign w:val="center"/>
          </w:tcPr>
          <w:p w14:paraId="385A34EE">
            <w:pPr>
              <w:widowControl w:val="0"/>
              <w:spacing w:line="300" w:lineRule="exact"/>
              <w:jc w:val="center"/>
              <w:rPr>
                <w:rFonts w:eastAsia="楷体_GB2312"/>
                <w:szCs w:val="21"/>
              </w:rPr>
            </w:pPr>
            <w:r>
              <w:rPr>
                <w:rFonts w:eastAsia="楷体_GB2312"/>
                <w:szCs w:val="21"/>
              </w:rPr>
              <w:t>三级地</w:t>
            </w:r>
          </w:p>
        </w:tc>
        <w:tc>
          <w:tcPr>
            <w:tcW w:w="5953" w:type="dxa"/>
            <w:noWrap w:val="0"/>
            <w:vAlign w:val="center"/>
          </w:tcPr>
          <w:p w14:paraId="1A2BD5A2">
            <w:pPr>
              <w:jc w:val="center"/>
              <w:rPr>
                <w:rFonts w:ascii="宋体" w:hAnsi="宋体" w:cs="宋体"/>
                <w:sz w:val="22"/>
                <w:szCs w:val="22"/>
              </w:rPr>
            </w:pPr>
            <w:r>
              <w:rPr>
                <w:rFonts w:hint="eastAsia"/>
                <w:sz w:val="22"/>
                <w:szCs w:val="22"/>
              </w:rPr>
              <w:t>167</w:t>
            </w:r>
          </w:p>
        </w:tc>
      </w:tr>
      <w:tr w14:paraId="3494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4D21BC4F">
            <w:pPr>
              <w:widowControl w:val="0"/>
              <w:spacing w:line="300" w:lineRule="exact"/>
              <w:jc w:val="center"/>
              <w:rPr>
                <w:rFonts w:eastAsia="楷体_GB2312"/>
                <w:szCs w:val="21"/>
              </w:rPr>
            </w:pPr>
            <w:r>
              <w:rPr>
                <w:rFonts w:hint="eastAsia" w:eastAsia="楷体_GB2312"/>
                <w:szCs w:val="21"/>
              </w:rPr>
              <w:t>褚兰镇</w:t>
            </w:r>
          </w:p>
        </w:tc>
        <w:tc>
          <w:tcPr>
            <w:tcW w:w="1417" w:type="dxa"/>
            <w:noWrap w:val="0"/>
            <w:vAlign w:val="center"/>
          </w:tcPr>
          <w:p w14:paraId="5E8C7717">
            <w:pPr>
              <w:widowControl w:val="0"/>
              <w:spacing w:line="300" w:lineRule="exact"/>
              <w:jc w:val="center"/>
              <w:rPr>
                <w:rFonts w:eastAsia="楷体_GB2312"/>
                <w:szCs w:val="21"/>
              </w:rPr>
            </w:pPr>
            <w:r>
              <w:rPr>
                <w:rFonts w:eastAsia="楷体_GB2312"/>
                <w:szCs w:val="21"/>
              </w:rPr>
              <w:t>一级地</w:t>
            </w:r>
          </w:p>
        </w:tc>
        <w:tc>
          <w:tcPr>
            <w:tcW w:w="5953" w:type="dxa"/>
            <w:noWrap w:val="0"/>
            <w:vAlign w:val="center"/>
          </w:tcPr>
          <w:p w14:paraId="58613DDC">
            <w:pPr>
              <w:jc w:val="center"/>
              <w:rPr>
                <w:rFonts w:ascii="宋体" w:hAnsi="宋体" w:cs="宋体"/>
                <w:sz w:val="22"/>
                <w:szCs w:val="22"/>
              </w:rPr>
            </w:pPr>
            <w:r>
              <w:rPr>
                <w:rFonts w:hint="eastAsia"/>
                <w:sz w:val="22"/>
                <w:szCs w:val="22"/>
              </w:rPr>
              <w:t>264</w:t>
            </w:r>
          </w:p>
        </w:tc>
      </w:tr>
      <w:tr w14:paraId="27AB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0692E545">
            <w:pPr>
              <w:widowControl w:val="0"/>
              <w:spacing w:line="300" w:lineRule="exact"/>
              <w:jc w:val="center"/>
              <w:rPr>
                <w:rFonts w:eastAsia="楷体_GB2312"/>
                <w:szCs w:val="21"/>
              </w:rPr>
            </w:pPr>
          </w:p>
        </w:tc>
        <w:tc>
          <w:tcPr>
            <w:tcW w:w="1417" w:type="dxa"/>
            <w:noWrap w:val="0"/>
            <w:vAlign w:val="center"/>
          </w:tcPr>
          <w:p w14:paraId="345097D3">
            <w:pPr>
              <w:widowControl w:val="0"/>
              <w:spacing w:line="300" w:lineRule="exact"/>
              <w:jc w:val="center"/>
              <w:rPr>
                <w:rFonts w:eastAsia="楷体_GB2312"/>
                <w:szCs w:val="21"/>
              </w:rPr>
            </w:pPr>
            <w:r>
              <w:rPr>
                <w:rFonts w:eastAsia="楷体_GB2312"/>
                <w:szCs w:val="21"/>
              </w:rPr>
              <w:t>二级地</w:t>
            </w:r>
          </w:p>
        </w:tc>
        <w:tc>
          <w:tcPr>
            <w:tcW w:w="5953" w:type="dxa"/>
            <w:noWrap w:val="0"/>
            <w:vAlign w:val="center"/>
          </w:tcPr>
          <w:p w14:paraId="7EA483D2">
            <w:pPr>
              <w:jc w:val="center"/>
              <w:rPr>
                <w:rFonts w:ascii="宋体" w:hAnsi="宋体" w:cs="宋体"/>
                <w:sz w:val="22"/>
                <w:szCs w:val="22"/>
              </w:rPr>
            </w:pPr>
            <w:r>
              <w:rPr>
                <w:rFonts w:hint="eastAsia"/>
                <w:sz w:val="22"/>
                <w:szCs w:val="22"/>
              </w:rPr>
              <w:t>213</w:t>
            </w:r>
          </w:p>
        </w:tc>
      </w:tr>
      <w:tr w14:paraId="08FF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159D84D9">
            <w:pPr>
              <w:widowControl w:val="0"/>
              <w:spacing w:line="300" w:lineRule="exact"/>
              <w:jc w:val="center"/>
              <w:rPr>
                <w:rFonts w:eastAsia="楷体_GB2312"/>
                <w:szCs w:val="21"/>
              </w:rPr>
            </w:pPr>
          </w:p>
        </w:tc>
        <w:tc>
          <w:tcPr>
            <w:tcW w:w="1417" w:type="dxa"/>
            <w:noWrap w:val="0"/>
            <w:vAlign w:val="center"/>
          </w:tcPr>
          <w:p w14:paraId="58FE4F4B">
            <w:pPr>
              <w:widowControl w:val="0"/>
              <w:spacing w:line="300" w:lineRule="exact"/>
              <w:jc w:val="center"/>
              <w:rPr>
                <w:rFonts w:eastAsia="楷体_GB2312"/>
                <w:szCs w:val="21"/>
              </w:rPr>
            </w:pPr>
            <w:r>
              <w:rPr>
                <w:rFonts w:eastAsia="楷体_GB2312"/>
                <w:szCs w:val="21"/>
              </w:rPr>
              <w:t>三级地</w:t>
            </w:r>
          </w:p>
        </w:tc>
        <w:tc>
          <w:tcPr>
            <w:tcW w:w="5953" w:type="dxa"/>
            <w:noWrap w:val="0"/>
            <w:vAlign w:val="center"/>
          </w:tcPr>
          <w:p w14:paraId="2F1713E6">
            <w:pPr>
              <w:jc w:val="center"/>
              <w:rPr>
                <w:rFonts w:ascii="宋体" w:hAnsi="宋体" w:cs="宋体"/>
                <w:sz w:val="22"/>
                <w:szCs w:val="22"/>
              </w:rPr>
            </w:pPr>
            <w:r>
              <w:rPr>
                <w:rFonts w:hint="eastAsia"/>
                <w:sz w:val="22"/>
                <w:szCs w:val="22"/>
              </w:rPr>
              <w:t>162</w:t>
            </w:r>
          </w:p>
        </w:tc>
      </w:tr>
      <w:tr w14:paraId="09B9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0CD373BD">
            <w:pPr>
              <w:widowControl w:val="0"/>
              <w:spacing w:line="300" w:lineRule="exact"/>
              <w:jc w:val="center"/>
              <w:rPr>
                <w:rFonts w:eastAsia="楷体_GB2312"/>
                <w:szCs w:val="21"/>
              </w:rPr>
            </w:pPr>
            <w:r>
              <w:rPr>
                <w:rFonts w:hint="eastAsia" w:eastAsia="楷体_GB2312"/>
                <w:szCs w:val="21"/>
              </w:rPr>
              <w:t>顺河镇</w:t>
            </w:r>
          </w:p>
        </w:tc>
        <w:tc>
          <w:tcPr>
            <w:tcW w:w="1417" w:type="dxa"/>
            <w:noWrap w:val="0"/>
            <w:vAlign w:val="center"/>
          </w:tcPr>
          <w:p w14:paraId="4982886A">
            <w:pPr>
              <w:widowControl w:val="0"/>
              <w:spacing w:line="300" w:lineRule="exact"/>
              <w:jc w:val="center"/>
              <w:rPr>
                <w:rFonts w:eastAsia="楷体_GB2312"/>
                <w:szCs w:val="21"/>
              </w:rPr>
            </w:pPr>
            <w:r>
              <w:rPr>
                <w:rFonts w:eastAsia="楷体_GB2312"/>
                <w:szCs w:val="21"/>
              </w:rPr>
              <w:t>一级地</w:t>
            </w:r>
          </w:p>
        </w:tc>
        <w:tc>
          <w:tcPr>
            <w:tcW w:w="5953" w:type="dxa"/>
            <w:noWrap w:val="0"/>
            <w:vAlign w:val="center"/>
          </w:tcPr>
          <w:p w14:paraId="6B4A067E">
            <w:pPr>
              <w:jc w:val="center"/>
              <w:rPr>
                <w:rFonts w:ascii="宋体" w:hAnsi="宋体" w:cs="宋体"/>
                <w:sz w:val="22"/>
                <w:szCs w:val="22"/>
              </w:rPr>
            </w:pPr>
            <w:r>
              <w:rPr>
                <w:rFonts w:hint="eastAsia"/>
                <w:sz w:val="22"/>
                <w:szCs w:val="22"/>
              </w:rPr>
              <w:t>256</w:t>
            </w:r>
          </w:p>
        </w:tc>
      </w:tr>
      <w:tr w14:paraId="1AD5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4E531E43">
            <w:pPr>
              <w:widowControl w:val="0"/>
              <w:spacing w:line="300" w:lineRule="exact"/>
              <w:jc w:val="center"/>
              <w:rPr>
                <w:rFonts w:eastAsia="楷体_GB2312"/>
                <w:szCs w:val="21"/>
              </w:rPr>
            </w:pPr>
          </w:p>
        </w:tc>
        <w:tc>
          <w:tcPr>
            <w:tcW w:w="1417" w:type="dxa"/>
            <w:noWrap w:val="0"/>
            <w:vAlign w:val="center"/>
          </w:tcPr>
          <w:p w14:paraId="442E4D14">
            <w:pPr>
              <w:widowControl w:val="0"/>
              <w:spacing w:line="300" w:lineRule="exact"/>
              <w:jc w:val="center"/>
              <w:rPr>
                <w:rFonts w:eastAsia="楷体_GB2312"/>
                <w:szCs w:val="21"/>
              </w:rPr>
            </w:pPr>
            <w:r>
              <w:rPr>
                <w:rFonts w:eastAsia="楷体_GB2312"/>
                <w:szCs w:val="21"/>
              </w:rPr>
              <w:t>二级地</w:t>
            </w:r>
          </w:p>
        </w:tc>
        <w:tc>
          <w:tcPr>
            <w:tcW w:w="5953" w:type="dxa"/>
            <w:noWrap w:val="0"/>
            <w:vAlign w:val="center"/>
          </w:tcPr>
          <w:p w14:paraId="22E798BD">
            <w:pPr>
              <w:jc w:val="center"/>
              <w:rPr>
                <w:rFonts w:ascii="宋体" w:hAnsi="宋体" w:cs="宋体"/>
                <w:sz w:val="22"/>
                <w:szCs w:val="22"/>
              </w:rPr>
            </w:pPr>
            <w:r>
              <w:rPr>
                <w:rFonts w:hint="eastAsia"/>
                <w:sz w:val="22"/>
                <w:szCs w:val="22"/>
              </w:rPr>
              <w:t>209</w:t>
            </w:r>
          </w:p>
        </w:tc>
      </w:tr>
      <w:tr w14:paraId="62D31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5C5D377F">
            <w:pPr>
              <w:widowControl w:val="0"/>
              <w:spacing w:line="300" w:lineRule="exact"/>
              <w:jc w:val="center"/>
              <w:rPr>
                <w:rFonts w:eastAsia="楷体_GB2312"/>
                <w:szCs w:val="21"/>
              </w:rPr>
            </w:pPr>
          </w:p>
        </w:tc>
        <w:tc>
          <w:tcPr>
            <w:tcW w:w="1417" w:type="dxa"/>
            <w:noWrap w:val="0"/>
            <w:vAlign w:val="center"/>
          </w:tcPr>
          <w:p w14:paraId="7607DF46">
            <w:pPr>
              <w:widowControl w:val="0"/>
              <w:spacing w:line="300" w:lineRule="exact"/>
              <w:jc w:val="center"/>
              <w:rPr>
                <w:rFonts w:eastAsia="楷体_GB2312"/>
                <w:szCs w:val="21"/>
              </w:rPr>
            </w:pPr>
            <w:r>
              <w:rPr>
                <w:rFonts w:eastAsia="楷体_GB2312"/>
                <w:szCs w:val="21"/>
              </w:rPr>
              <w:t>三级地</w:t>
            </w:r>
          </w:p>
        </w:tc>
        <w:tc>
          <w:tcPr>
            <w:tcW w:w="5953" w:type="dxa"/>
            <w:noWrap w:val="0"/>
            <w:vAlign w:val="center"/>
          </w:tcPr>
          <w:p w14:paraId="51B9ABAD">
            <w:pPr>
              <w:jc w:val="center"/>
              <w:rPr>
                <w:rFonts w:ascii="宋体" w:hAnsi="宋体" w:cs="宋体"/>
                <w:sz w:val="22"/>
                <w:szCs w:val="22"/>
              </w:rPr>
            </w:pPr>
            <w:r>
              <w:rPr>
                <w:rFonts w:hint="eastAsia"/>
                <w:sz w:val="22"/>
                <w:szCs w:val="22"/>
              </w:rPr>
              <w:t>162</w:t>
            </w:r>
          </w:p>
        </w:tc>
      </w:tr>
      <w:tr w14:paraId="63E7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0A26DE0E">
            <w:pPr>
              <w:widowControl w:val="0"/>
              <w:spacing w:line="300" w:lineRule="exact"/>
              <w:jc w:val="center"/>
              <w:rPr>
                <w:rFonts w:eastAsia="楷体_GB2312"/>
                <w:szCs w:val="21"/>
              </w:rPr>
            </w:pPr>
            <w:r>
              <w:rPr>
                <w:rFonts w:hint="eastAsia" w:eastAsia="楷体_GB2312"/>
                <w:szCs w:val="21"/>
              </w:rPr>
              <w:t>杨庄镇</w:t>
            </w:r>
          </w:p>
        </w:tc>
        <w:tc>
          <w:tcPr>
            <w:tcW w:w="1417" w:type="dxa"/>
            <w:noWrap w:val="0"/>
            <w:vAlign w:val="center"/>
          </w:tcPr>
          <w:p w14:paraId="0040234A">
            <w:pPr>
              <w:widowControl w:val="0"/>
              <w:spacing w:line="300" w:lineRule="exact"/>
              <w:jc w:val="center"/>
              <w:rPr>
                <w:rFonts w:eastAsia="楷体_GB2312"/>
                <w:szCs w:val="21"/>
              </w:rPr>
            </w:pPr>
            <w:r>
              <w:rPr>
                <w:rFonts w:eastAsia="楷体_GB2312"/>
                <w:szCs w:val="21"/>
              </w:rPr>
              <w:t>一级地</w:t>
            </w:r>
          </w:p>
        </w:tc>
        <w:tc>
          <w:tcPr>
            <w:tcW w:w="5953" w:type="dxa"/>
            <w:noWrap w:val="0"/>
            <w:vAlign w:val="center"/>
          </w:tcPr>
          <w:p w14:paraId="5CF1C7B1">
            <w:pPr>
              <w:jc w:val="center"/>
              <w:rPr>
                <w:rFonts w:ascii="宋体" w:hAnsi="宋体" w:cs="宋体"/>
                <w:sz w:val="22"/>
                <w:szCs w:val="22"/>
              </w:rPr>
            </w:pPr>
            <w:r>
              <w:rPr>
                <w:rFonts w:hint="eastAsia"/>
                <w:sz w:val="22"/>
                <w:szCs w:val="22"/>
              </w:rPr>
              <w:t>256</w:t>
            </w:r>
          </w:p>
        </w:tc>
      </w:tr>
      <w:tr w14:paraId="5568D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22F975E9">
            <w:pPr>
              <w:widowControl w:val="0"/>
              <w:spacing w:line="300" w:lineRule="exact"/>
              <w:jc w:val="center"/>
              <w:rPr>
                <w:rFonts w:eastAsia="楷体_GB2312"/>
                <w:szCs w:val="21"/>
              </w:rPr>
            </w:pPr>
          </w:p>
        </w:tc>
        <w:tc>
          <w:tcPr>
            <w:tcW w:w="1417" w:type="dxa"/>
            <w:noWrap w:val="0"/>
            <w:vAlign w:val="center"/>
          </w:tcPr>
          <w:p w14:paraId="10ABAF3D">
            <w:pPr>
              <w:widowControl w:val="0"/>
              <w:spacing w:line="300" w:lineRule="exact"/>
              <w:jc w:val="center"/>
              <w:rPr>
                <w:rFonts w:eastAsia="楷体_GB2312"/>
                <w:szCs w:val="21"/>
              </w:rPr>
            </w:pPr>
            <w:r>
              <w:rPr>
                <w:rFonts w:eastAsia="楷体_GB2312"/>
                <w:szCs w:val="21"/>
              </w:rPr>
              <w:t>二级地</w:t>
            </w:r>
          </w:p>
        </w:tc>
        <w:tc>
          <w:tcPr>
            <w:tcW w:w="5953" w:type="dxa"/>
            <w:noWrap w:val="0"/>
            <w:vAlign w:val="center"/>
          </w:tcPr>
          <w:p w14:paraId="68310573">
            <w:pPr>
              <w:jc w:val="center"/>
              <w:rPr>
                <w:rFonts w:ascii="宋体" w:hAnsi="宋体" w:cs="宋体"/>
                <w:sz w:val="22"/>
                <w:szCs w:val="22"/>
              </w:rPr>
            </w:pPr>
            <w:r>
              <w:rPr>
                <w:rFonts w:hint="eastAsia"/>
                <w:sz w:val="22"/>
                <w:szCs w:val="22"/>
              </w:rPr>
              <w:t>199</w:t>
            </w:r>
          </w:p>
        </w:tc>
      </w:tr>
      <w:tr w14:paraId="0FDA4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0488B9D0">
            <w:pPr>
              <w:widowControl w:val="0"/>
              <w:spacing w:line="300" w:lineRule="exact"/>
              <w:jc w:val="center"/>
              <w:rPr>
                <w:rFonts w:eastAsia="楷体_GB2312"/>
                <w:szCs w:val="21"/>
              </w:rPr>
            </w:pPr>
          </w:p>
        </w:tc>
        <w:tc>
          <w:tcPr>
            <w:tcW w:w="1417" w:type="dxa"/>
            <w:noWrap w:val="0"/>
            <w:vAlign w:val="center"/>
          </w:tcPr>
          <w:p w14:paraId="21E7F6B6">
            <w:pPr>
              <w:widowControl w:val="0"/>
              <w:spacing w:line="300" w:lineRule="exact"/>
              <w:jc w:val="center"/>
              <w:rPr>
                <w:rFonts w:eastAsia="楷体_GB2312"/>
                <w:szCs w:val="21"/>
              </w:rPr>
            </w:pPr>
            <w:r>
              <w:rPr>
                <w:rFonts w:eastAsia="楷体_GB2312"/>
                <w:szCs w:val="21"/>
              </w:rPr>
              <w:t>三级地</w:t>
            </w:r>
          </w:p>
        </w:tc>
        <w:tc>
          <w:tcPr>
            <w:tcW w:w="5953" w:type="dxa"/>
            <w:noWrap w:val="0"/>
            <w:vAlign w:val="center"/>
          </w:tcPr>
          <w:p w14:paraId="52D6FF08">
            <w:pPr>
              <w:jc w:val="center"/>
              <w:rPr>
                <w:rFonts w:ascii="宋体" w:hAnsi="宋体" w:cs="宋体"/>
                <w:sz w:val="22"/>
                <w:szCs w:val="22"/>
              </w:rPr>
            </w:pPr>
            <w:r>
              <w:rPr>
                <w:rFonts w:hint="eastAsia"/>
                <w:sz w:val="22"/>
                <w:szCs w:val="22"/>
              </w:rPr>
              <w:t>152</w:t>
            </w:r>
          </w:p>
        </w:tc>
      </w:tr>
      <w:tr w14:paraId="4A869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657A2990">
            <w:pPr>
              <w:widowControl w:val="0"/>
              <w:spacing w:line="300" w:lineRule="exact"/>
              <w:jc w:val="center"/>
              <w:rPr>
                <w:rFonts w:eastAsia="楷体_GB2312"/>
                <w:szCs w:val="21"/>
              </w:rPr>
            </w:pPr>
            <w:r>
              <w:rPr>
                <w:rFonts w:hint="eastAsia" w:eastAsia="楷体_GB2312"/>
                <w:szCs w:val="21"/>
              </w:rPr>
              <w:t>永镇乡</w:t>
            </w:r>
          </w:p>
        </w:tc>
        <w:tc>
          <w:tcPr>
            <w:tcW w:w="1417" w:type="dxa"/>
            <w:noWrap w:val="0"/>
            <w:vAlign w:val="center"/>
          </w:tcPr>
          <w:p w14:paraId="73DD9F82">
            <w:pPr>
              <w:widowControl w:val="0"/>
              <w:spacing w:line="300" w:lineRule="exact"/>
              <w:jc w:val="center"/>
              <w:rPr>
                <w:rFonts w:eastAsia="楷体_GB2312"/>
                <w:szCs w:val="21"/>
              </w:rPr>
            </w:pPr>
            <w:r>
              <w:rPr>
                <w:rFonts w:eastAsia="楷体_GB2312"/>
                <w:szCs w:val="21"/>
              </w:rPr>
              <w:t>一级地</w:t>
            </w:r>
          </w:p>
        </w:tc>
        <w:tc>
          <w:tcPr>
            <w:tcW w:w="5953" w:type="dxa"/>
            <w:noWrap w:val="0"/>
            <w:vAlign w:val="center"/>
          </w:tcPr>
          <w:p w14:paraId="0B2AB0BC">
            <w:pPr>
              <w:jc w:val="center"/>
              <w:rPr>
                <w:rFonts w:ascii="宋体" w:hAnsi="宋体" w:cs="宋体"/>
                <w:sz w:val="22"/>
                <w:szCs w:val="22"/>
              </w:rPr>
            </w:pPr>
            <w:r>
              <w:rPr>
                <w:rFonts w:hint="eastAsia"/>
                <w:sz w:val="22"/>
                <w:szCs w:val="22"/>
              </w:rPr>
              <w:t>243</w:t>
            </w:r>
          </w:p>
        </w:tc>
      </w:tr>
      <w:tr w14:paraId="77EB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2DD1AC7C">
            <w:pPr>
              <w:widowControl w:val="0"/>
              <w:spacing w:line="300" w:lineRule="exact"/>
              <w:jc w:val="center"/>
              <w:rPr>
                <w:rFonts w:eastAsia="楷体_GB2312"/>
                <w:szCs w:val="21"/>
              </w:rPr>
            </w:pPr>
          </w:p>
        </w:tc>
        <w:tc>
          <w:tcPr>
            <w:tcW w:w="1417" w:type="dxa"/>
            <w:noWrap w:val="0"/>
            <w:vAlign w:val="center"/>
          </w:tcPr>
          <w:p w14:paraId="69D3A767">
            <w:pPr>
              <w:widowControl w:val="0"/>
              <w:spacing w:line="300" w:lineRule="exact"/>
              <w:jc w:val="center"/>
              <w:rPr>
                <w:rFonts w:eastAsia="楷体_GB2312"/>
                <w:szCs w:val="21"/>
              </w:rPr>
            </w:pPr>
            <w:r>
              <w:rPr>
                <w:rFonts w:eastAsia="楷体_GB2312"/>
                <w:szCs w:val="21"/>
              </w:rPr>
              <w:t>二级地</w:t>
            </w:r>
          </w:p>
        </w:tc>
        <w:tc>
          <w:tcPr>
            <w:tcW w:w="5953" w:type="dxa"/>
            <w:noWrap w:val="0"/>
            <w:vAlign w:val="center"/>
          </w:tcPr>
          <w:p w14:paraId="34864D58">
            <w:pPr>
              <w:jc w:val="center"/>
              <w:rPr>
                <w:rFonts w:ascii="宋体" w:hAnsi="宋体" w:cs="宋体"/>
                <w:sz w:val="22"/>
                <w:szCs w:val="22"/>
              </w:rPr>
            </w:pPr>
            <w:r>
              <w:rPr>
                <w:rFonts w:hint="eastAsia"/>
                <w:sz w:val="22"/>
                <w:szCs w:val="22"/>
              </w:rPr>
              <w:t>199</w:t>
            </w:r>
          </w:p>
        </w:tc>
      </w:tr>
      <w:tr w14:paraId="0721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7E857D84">
            <w:pPr>
              <w:widowControl w:val="0"/>
              <w:spacing w:line="300" w:lineRule="exact"/>
              <w:jc w:val="center"/>
              <w:rPr>
                <w:rFonts w:eastAsia="楷体_GB2312"/>
                <w:szCs w:val="21"/>
              </w:rPr>
            </w:pPr>
          </w:p>
        </w:tc>
        <w:tc>
          <w:tcPr>
            <w:tcW w:w="1417" w:type="dxa"/>
            <w:noWrap w:val="0"/>
            <w:vAlign w:val="center"/>
          </w:tcPr>
          <w:p w14:paraId="7948C44E">
            <w:pPr>
              <w:widowControl w:val="0"/>
              <w:spacing w:line="300" w:lineRule="exact"/>
              <w:jc w:val="center"/>
              <w:rPr>
                <w:rFonts w:eastAsia="楷体_GB2312"/>
                <w:szCs w:val="21"/>
              </w:rPr>
            </w:pPr>
            <w:r>
              <w:rPr>
                <w:rFonts w:eastAsia="楷体_GB2312"/>
                <w:szCs w:val="21"/>
              </w:rPr>
              <w:t>三级地</w:t>
            </w:r>
          </w:p>
        </w:tc>
        <w:tc>
          <w:tcPr>
            <w:tcW w:w="5953" w:type="dxa"/>
            <w:noWrap w:val="0"/>
            <w:vAlign w:val="center"/>
          </w:tcPr>
          <w:p w14:paraId="22131E7F">
            <w:pPr>
              <w:jc w:val="center"/>
              <w:rPr>
                <w:rFonts w:ascii="宋体" w:hAnsi="宋体" w:cs="宋体"/>
                <w:sz w:val="22"/>
                <w:szCs w:val="22"/>
              </w:rPr>
            </w:pPr>
            <w:r>
              <w:rPr>
                <w:rFonts w:hint="eastAsia"/>
                <w:sz w:val="22"/>
                <w:szCs w:val="22"/>
              </w:rPr>
              <w:t>159</w:t>
            </w:r>
          </w:p>
        </w:tc>
      </w:tr>
      <w:tr w14:paraId="5D22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3304BD78">
            <w:pPr>
              <w:widowControl w:val="0"/>
              <w:spacing w:line="300" w:lineRule="exact"/>
              <w:jc w:val="center"/>
              <w:rPr>
                <w:rFonts w:eastAsia="楷体_GB2312"/>
                <w:szCs w:val="21"/>
              </w:rPr>
            </w:pPr>
            <w:r>
              <w:rPr>
                <w:rFonts w:hint="eastAsia" w:eastAsia="楷体_GB2312"/>
                <w:szCs w:val="21"/>
              </w:rPr>
              <w:t>解集镇</w:t>
            </w:r>
          </w:p>
        </w:tc>
        <w:tc>
          <w:tcPr>
            <w:tcW w:w="1417" w:type="dxa"/>
            <w:noWrap w:val="0"/>
            <w:vAlign w:val="center"/>
          </w:tcPr>
          <w:p w14:paraId="3A291DF1">
            <w:pPr>
              <w:widowControl w:val="0"/>
              <w:spacing w:line="300" w:lineRule="exact"/>
              <w:jc w:val="center"/>
              <w:rPr>
                <w:rFonts w:eastAsia="楷体_GB2312"/>
                <w:szCs w:val="21"/>
              </w:rPr>
            </w:pPr>
            <w:r>
              <w:rPr>
                <w:rFonts w:eastAsia="楷体_GB2312"/>
                <w:szCs w:val="21"/>
              </w:rPr>
              <w:t>一级地</w:t>
            </w:r>
          </w:p>
        </w:tc>
        <w:tc>
          <w:tcPr>
            <w:tcW w:w="5953" w:type="dxa"/>
            <w:noWrap w:val="0"/>
            <w:vAlign w:val="center"/>
          </w:tcPr>
          <w:p w14:paraId="2C882DA7">
            <w:pPr>
              <w:jc w:val="center"/>
              <w:rPr>
                <w:rFonts w:ascii="宋体" w:hAnsi="宋体" w:cs="宋体"/>
                <w:sz w:val="22"/>
                <w:szCs w:val="22"/>
              </w:rPr>
            </w:pPr>
            <w:r>
              <w:rPr>
                <w:rFonts w:hint="eastAsia"/>
                <w:sz w:val="22"/>
                <w:szCs w:val="22"/>
              </w:rPr>
              <w:t>248</w:t>
            </w:r>
          </w:p>
        </w:tc>
      </w:tr>
      <w:tr w14:paraId="280EE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564D6298">
            <w:pPr>
              <w:widowControl w:val="0"/>
              <w:spacing w:line="300" w:lineRule="exact"/>
              <w:jc w:val="center"/>
              <w:rPr>
                <w:rFonts w:eastAsia="楷体_GB2312"/>
                <w:szCs w:val="21"/>
              </w:rPr>
            </w:pPr>
          </w:p>
        </w:tc>
        <w:tc>
          <w:tcPr>
            <w:tcW w:w="1417" w:type="dxa"/>
            <w:noWrap w:val="0"/>
            <w:vAlign w:val="center"/>
          </w:tcPr>
          <w:p w14:paraId="4911F95A">
            <w:pPr>
              <w:widowControl w:val="0"/>
              <w:spacing w:line="300" w:lineRule="exact"/>
              <w:jc w:val="center"/>
              <w:rPr>
                <w:rFonts w:eastAsia="楷体_GB2312"/>
                <w:szCs w:val="21"/>
              </w:rPr>
            </w:pPr>
            <w:r>
              <w:rPr>
                <w:rFonts w:eastAsia="楷体_GB2312"/>
                <w:szCs w:val="21"/>
              </w:rPr>
              <w:t>二级地</w:t>
            </w:r>
          </w:p>
        </w:tc>
        <w:tc>
          <w:tcPr>
            <w:tcW w:w="5953" w:type="dxa"/>
            <w:noWrap w:val="0"/>
            <w:vAlign w:val="center"/>
          </w:tcPr>
          <w:p w14:paraId="253153F3">
            <w:pPr>
              <w:jc w:val="center"/>
              <w:rPr>
                <w:rFonts w:ascii="宋体" w:hAnsi="宋体" w:cs="宋体"/>
                <w:sz w:val="22"/>
                <w:szCs w:val="22"/>
              </w:rPr>
            </w:pPr>
            <w:r>
              <w:rPr>
                <w:rFonts w:hint="eastAsia"/>
                <w:sz w:val="22"/>
                <w:szCs w:val="22"/>
              </w:rPr>
              <w:t>199</w:t>
            </w:r>
          </w:p>
        </w:tc>
      </w:tr>
      <w:tr w14:paraId="3DA21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43DF13F0">
            <w:pPr>
              <w:widowControl w:val="0"/>
              <w:spacing w:line="300" w:lineRule="exact"/>
              <w:jc w:val="center"/>
              <w:rPr>
                <w:rFonts w:eastAsia="楷体_GB2312"/>
                <w:szCs w:val="21"/>
              </w:rPr>
            </w:pPr>
          </w:p>
        </w:tc>
        <w:tc>
          <w:tcPr>
            <w:tcW w:w="1417" w:type="dxa"/>
            <w:noWrap w:val="0"/>
            <w:vAlign w:val="center"/>
          </w:tcPr>
          <w:p w14:paraId="16015C5F">
            <w:pPr>
              <w:widowControl w:val="0"/>
              <w:spacing w:line="300" w:lineRule="exact"/>
              <w:jc w:val="center"/>
              <w:rPr>
                <w:rFonts w:eastAsia="楷体_GB2312"/>
                <w:szCs w:val="21"/>
              </w:rPr>
            </w:pPr>
            <w:r>
              <w:rPr>
                <w:rFonts w:eastAsia="楷体_GB2312"/>
                <w:szCs w:val="21"/>
              </w:rPr>
              <w:t>三级地</w:t>
            </w:r>
          </w:p>
        </w:tc>
        <w:tc>
          <w:tcPr>
            <w:tcW w:w="5953" w:type="dxa"/>
            <w:noWrap w:val="0"/>
            <w:vAlign w:val="center"/>
          </w:tcPr>
          <w:p w14:paraId="4CB64B7D">
            <w:pPr>
              <w:jc w:val="center"/>
              <w:rPr>
                <w:rFonts w:ascii="宋体" w:hAnsi="宋体" w:cs="宋体"/>
                <w:sz w:val="22"/>
                <w:szCs w:val="22"/>
              </w:rPr>
            </w:pPr>
            <w:r>
              <w:rPr>
                <w:rFonts w:hint="eastAsia"/>
                <w:sz w:val="22"/>
                <w:szCs w:val="22"/>
              </w:rPr>
              <w:t>152</w:t>
            </w:r>
          </w:p>
        </w:tc>
      </w:tr>
      <w:tr w14:paraId="5D8C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38D57B54">
            <w:pPr>
              <w:widowControl w:val="0"/>
              <w:spacing w:line="300" w:lineRule="exact"/>
              <w:jc w:val="center"/>
              <w:rPr>
                <w:rFonts w:eastAsia="楷体_GB2312"/>
                <w:szCs w:val="21"/>
              </w:rPr>
            </w:pPr>
            <w:r>
              <w:rPr>
                <w:rFonts w:hint="eastAsia" w:eastAsia="楷体_GB2312"/>
                <w:szCs w:val="21"/>
              </w:rPr>
              <w:t>大泽乡镇</w:t>
            </w:r>
          </w:p>
        </w:tc>
        <w:tc>
          <w:tcPr>
            <w:tcW w:w="1417" w:type="dxa"/>
            <w:noWrap w:val="0"/>
            <w:vAlign w:val="center"/>
          </w:tcPr>
          <w:p w14:paraId="7DF652A5">
            <w:pPr>
              <w:widowControl w:val="0"/>
              <w:spacing w:line="300" w:lineRule="exact"/>
              <w:jc w:val="center"/>
              <w:rPr>
                <w:rFonts w:eastAsia="楷体_GB2312"/>
                <w:szCs w:val="21"/>
              </w:rPr>
            </w:pPr>
            <w:r>
              <w:rPr>
                <w:rFonts w:eastAsia="楷体_GB2312"/>
                <w:szCs w:val="21"/>
              </w:rPr>
              <w:t>一级地</w:t>
            </w:r>
          </w:p>
        </w:tc>
        <w:tc>
          <w:tcPr>
            <w:tcW w:w="5953" w:type="dxa"/>
            <w:noWrap w:val="0"/>
            <w:vAlign w:val="center"/>
          </w:tcPr>
          <w:p w14:paraId="6708BCFF">
            <w:pPr>
              <w:jc w:val="center"/>
              <w:rPr>
                <w:rFonts w:ascii="宋体" w:hAnsi="宋体" w:cs="宋体"/>
                <w:sz w:val="22"/>
                <w:szCs w:val="22"/>
              </w:rPr>
            </w:pPr>
            <w:r>
              <w:rPr>
                <w:rFonts w:hint="eastAsia"/>
                <w:sz w:val="22"/>
                <w:szCs w:val="22"/>
              </w:rPr>
              <w:t>240</w:t>
            </w:r>
          </w:p>
        </w:tc>
      </w:tr>
      <w:tr w14:paraId="6B28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06B7C159">
            <w:pPr>
              <w:widowControl w:val="0"/>
              <w:spacing w:line="300" w:lineRule="exact"/>
              <w:jc w:val="center"/>
              <w:rPr>
                <w:rFonts w:eastAsia="楷体_GB2312"/>
                <w:szCs w:val="21"/>
              </w:rPr>
            </w:pPr>
          </w:p>
        </w:tc>
        <w:tc>
          <w:tcPr>
            <w:tcW w:w="1417" w:type="dxa"/>
            <w:noWrap w:val="0"/>
            <w:vAlign w:val="center"/>
          </w:tcPr>
          <w:p w14:paraId="3883BEBC">
            <w:pPr>
              <w:widowControl w:val="0"/>
              <w:spacing w:line="300" w:lineRule="exact"/>
              <w:jc w:val="center"/>
              <w:rPr>
                <w:rFonts w:eastAsia="楷体_GB2312"/>
                <w:szCs w:val="21"/>
              </w:rPr>
            </w:pPr>
            <w:r>
              <w:rPr>
                <w:rFonts w:eastAsia="楷体_GB2312"/>
                <w:szCs w:val="21"/>
              </w:rPr>
              <w:t>二级地</w:t>
            </w:r>
          </w:p>
        </w:tc>
        <w:tc>
          <w:tcPr>
            <w:tcW w:w="5953" w:type="dxa"/>
            <w:noWrap w:val="0"/>
            <w:vAlign w:val="center"/>
          </w:tcPr>
          <w:p w14:paraId="456370AF">
            <w:pPr>
              <w:jc w:val="center"/>
              <w:rPr>
                <w:rFonts w:ascii="宋体" w:hAnsi="宋体" w:cs="宋体"/>
                <w:sz w:val="22"/>
                <w:szCs w:val="22"/>
              </w:rPr>
            </w:pPr>
            <w:r>
              <w:rPr>
                <w:rFonts w:hint="eastAsia"/>
                <w:sz w:val="22"/>
                <w:szCs w:val="22"/>
              </w:rPr>
              <w:t>196</w:t>
            </w:r>
          </w:p>
        </w:tc>
      </w:tr>
      <w:tr w14:paraId="55254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1BFA6AE4">
            <w:pPr>
              <w:widowControl w:val="0"/>
              <w:spacing w:line="300" w:lineRule="exact"/>
              <w:jc w:val="center"/>
              <w:rPr>
                <w:rFonts w:eastAsia="楷体_GB2312"/>
                <w:szCs w:val="21"/>
              </w:rPr>
            </w:pPr>
          </w:p>
        </w:tc>
        <w:tc>
          <w:tcPr>
            <w:tcW w:w="1417" w:type="dxa"/>
            <w:noWrap w:val="0"/>
            <w:vAlign w:val="center"/>
          </w:tcPr>
          <w:p w14:paraId="50156332">
            <w:pPr>
              <w:widowControl w:val="0"/>
              <w:spacing w:line="300" w:lineRule="exact"/>
              <w:jc w:val="center"/>
              <w:rPr>
                <w:rFonts w:eastAsia="楷体_GB2312"/>
                <w:szCs w:val="21"/>
              </w:rPr>
            </w:pPr>
            <w:r>
              <w:rPr>
                <w:rFonts w:eastAsia="楷体_GB2312"/>
                <w:szCs w:val="21"/>
              </w:rPr>
              <w:t>三级地</w:t>
            </w:r>
          </w:p>
        </w:tc>
        <w:tc>
          <w:tcPr>
            <w:tcW w:w="5953" w:type="dxa"/>
            <w:noWrap w:val="0"/>
            <w:vAlign w:val="center"/>
          </w:tcPr>
          <w:p w14:paraId="06D311B4">
            <w:pPr>
              <w:jc w:val="center"/>
              <w:rPr>
                <w:rFonts w:ascii="宋体" w:hAnsi="宋体" w:cs="宋体"/>
                <w:sz w:val="22"/>
                <w:szCs w:val="22"/>
              </w:rPr>
            </w:pPr>
            <w:r>
              <w:rPr>
                <w:rFonts w:hint="eastAsia"/>
                <w:sz w:val="22"/>
                <w:szCs w:val="22"/>
              </w:rPr>
              <w:t>152</w:t>
            </w:r>
          </w:p>
        </w:tc>
      </w:tr>
      <w:tr w14:paraId="25ACF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690D6754">
            <w:pPr>
              <w:widowControl w:val="0"/>
              <w:spacing w:line="300" w:lineRule="exact"/>
              <w:jc w:val="center"/>
              <w:rPr>
                <w:rFonts w:eastAsia="楷体_GB2312"/>
                <w:szCs w:val="21"/>
              </w:rPr>
            </w:pPr>
            <w:r>
              <w:rPr>
                <w:rFonts w:hint="eastAsia" w:eastAsia="楷体_GB2312"/>
                <w:szCs w:val="21"/>
              </w:rPr>
              <w:t>永安镇</w:t>
            </w:r>
          </w:p>
        </w:tc>
        <w:tc>
          <w:tcPr>
            <w:tcW w:w="1417" w:type="dxa"/>
            <w:noWrap w:val="0"/>
            <w:vAlign w:val="center"/>
          </w:tcPr>
          <w:p w14:paraId="1010EA06">
            <w:pPr>
              <w:widowControl w:val="0"/>
              <w:spacing w:line="300" w:lineRule="exact"/>
              <w:jc w:val="center"/>
              <w:rPr>
                <w:rFonts w:eastAsia="楷体_GB2312"/>
                <w:szCs w:val="21"/>
              </w:rPr>
            </w:pPr>
            <w:r>
              <w:rPr>
                <w:rFonts w:eastAsia="楷体_GB2312"/>
                <w:szCs w:val="21"/>
              </w:rPr>
              <w:t>一级地</w:t>
            </w:r>
          </w:p>
        </w:tc>
        <w:tc>
          <w:tcPr>
            <w:tcW w:w="5953" w:type="dxa"/>
            <w:noWrap w:val="0"/>
            <w:vAlign w:val="center"/>
          </w:tcPr>
          <w:p w14:paraId="5539BABA">
            <w:pPr>
              <w:jc w:val="center"/>
              <w:rPr>
                <w:rFonts w:ascii="宋体" w:hAnsi="宋体" w:cs="宋体"/>
                <w:sz w:val="22"/>
                <w:szCs w:val="22"/>
              </w:rPr>
            </w:pPr>
            <w:r>
              <w:rPr>
                <w:rFonts w:hint="eastAsia"/>
                <w:sz w:val="22"/>
                <w:szCs w:val="22"/>
              </w:rPr>
              <w:t>248</w:t>
            </w:r>
          </w:p>
        </w:tc>
      </w:tr>
      <w:tr w14:paraId="71CBD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509F2460">
            <w:pPr>
              <w:widowControl w:val="0"/>
              <w:spacing w:line="300" w:lineRule="exact"/>
              <w:jc w:val="center"/>
              <w:rPr>
                <w:rFonts w:eastAsia="楷体_GB2312"/>
                <w:szCs w:val="21"/>
              </w:rPr>
            </w:pPr>
          </w:p>
        </w:tc>
        <w:tc>
          <w:tcPr>
            <w:tcW w:w="1417" w:type="dxa"/>
            <w:noWrap w:val="0"/>
            <w:vAlign w:val="center"/>
          </w:tcPr>
          <w:p w14:paraId="0B05085F">
            <w:pPr>
              <w:widowControl w:val="0"/>
              <w:spacing w:line="300" w:lineRule="exact"/>
              <w:jc w:val="center"/>
              <w:rPr>
                <w:rFonts w:eastAsia="楷体_GB2312"/>
                <w:szCs w:val="21"/>
              </w:rPr>
            </w:pPr>
            <w:r>
              <w:rPr>
                <w:rFonts w:eastAsia="楷体_GB2312"/>
                <w:szCs w:val="21"/>
              </w:rPr>
              <w:t>二级地</w:t>
            </w:r>
          </w:p>
        </w:tc>
        <w:tc>
          <w:tcPr>
            <w:tcW w:w="5953" w:type="dxa"/>
            <w:noWrap w:val="0"/>
            <w:vAlign w:val="center"/>
          </w:tcPr>
          <w:p w14:paraId="23EB2317">
            <w:pPr>
              <w:jc w:val="center"/>
              <w:rPr>
                <w:rFonts w:ascii="宋体" w:hAnsi="宋体" w:cs="宋体"/>
                <w:sz w:val="22"/>
                <w:szCs w:val="22"/>
              </w:rPr>
            </w:pPr>
            <w:r>
              <w:rPr>
                <w:rFonts w:hint="eastAsia"/>
                <w:sz w:val="22"/>
                <w:szCs w:val="22"/>
              </w:rPr>
              <w:t>199</w:t>
            </w:r>
          </w:p>
        </w:tc>
      </w:tr>
      <w:tr w14:paraId="7F453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449D3F5C">
            <w:pPr>
              <w:widowControl w:val="0"/>
              <w:spacing w:line="300" w:lineRule="exact"/>
              <w:jc w:val="center"/>
              <w:rPr>
                <w:rFonts w:eastAsia="楷体_GB2312"/>
                <w:szCs w:val="21"/>
              </w:rPr>
            </w:pPr>
          </w:p>
        </w:tc>
        <w:tc>
          <w:tcPr>
            <w:tcW w:w="1417" w:type="dxa"/>
            <w:noWrap w:val="0"/>
            <w:vAlign w:val="center"/>
          </w:tcPr>
          <w:p w14:paraId="3C577A26">
            <w:pPr>
              <w:widowControl w:val="0"/>
              <w:spacing w:line="300" w:lineRule="exact"/>
              <w:jc w:val="center"/>
              <w:rPr>
                <w:rFonts w:eastAsia="楷体_GB2312"/>
                <w:szCs w:val="21"/>
              </w:rPr>
            </w:pPr>
            <w:r>
              <w:rPr>
                <w:rFonts w:eastAsia="楷体_GB2312"/>
                <w:szCs w:val="21"/>
              </w:rPr>
              <w:t>三级地</w:t>
            </w:r>
          </w:p>
        </w:tc>
        <w:tc>
          <w:tcPr>
            <w:tcW w:w="5953" w:type="dxa"/>
            <w:noWrap w:val="0"/>
            <w:vAlign w:val="center"/>
          </w:tcPr>
          <w:p w14:paraId="449E6AB3">
            <w:pPr>
              <w:jc w:val="center"/>
              <w:rPr>
                <w:rFonts w:ascii="宋体" w:hAnsi="宋体" w:cs="宋体"/>
                <w:sz w:val="22"/>
                <w:szCs w:val="22"/>
              </w:rPr>
            </w:pPr>
            <w:r>
              <w:rPr>
                <w:rFonts w:hint="eastAsia"/>
                <w:sz w:val="22"/>
                <w:szCs w:val="22"/>
              </w:rPr>
              <w:t>152</w:t>
            </w:r>
          </w:p>
        </w:tc>
      </w:tr>
      <w:tr w14:paraId="47EF0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4DFF209C">
            <w:pPr>
              <w:widowControl w:val="0"/>
              <w:spacing w:line="300" w:lineRule="exact"/>
              <w:jc w:val="center"/>
              <w:rPr>
                <w:rFonts w:eastAsia="楷体_GB2312"/>
                <w:szCs w:val="21"/>
              </w:rPr>
            </w:pPr>
            <w:r>
              <w:rPr>
                <w:rFonts w:hint="eastAsia" w:eastAsia="楷体_GB2312"/>
                <w:szCs w:val="21"/>
              </w:rPr>
              <w:t>支河乡</w:t>
            </w:r>
          </w:p>
        </w:tc>
        <w:tc>
          <w:tcPr>
            <w:tcW w:w="1417" w:type="dxa"/>
            <w:noWrap w:val="0"/>
            <w:vAlign w:val="center"/>
          </w:tcPr>
          <w:p w14:paraId="3D37E2B3">
            <w:pPr>
              <w:widowControl w:val="0"/>
              <w:spacing w:line="300" w:lineRule="exact"/>
              <w:jc w:val="center"/>
              <w:rPr>
                <w:rFonts w:eastAsia="楷体_GB2312"/>
                <w:szCs w:val="21"/>
              </w:rPr>
            </w:pPr>
            <w:r>
              <w:rPr>
                <w:rFonts w:eastAsia="楷体_GB2312"/>
                <w:szCs w:val="21"/>
              </w:rPr>
              <w:t>一级地</w:t>
            </w:r>
          </w:p>
        </w:tc>
        <w:tc>
          <w:tcPr>
            <w:tcW w:w="5953" w:type="dxa"/>
            <w:noWrap w:val="0"/>
            <w:vAlign w:val="center"/>
          </w:tcPr>
          <w:p w14:paraId="419EB2B7">
            <w:pPr>
              <w:jc w:val="center"/>
              <w:rPr>
                <w:rFonts w:ascii="宋体" w:hAnsi="宋体" w:cs="宋体"/>
                <w:sz w:val="22"/>
                <w:szCs w:val="22"/>
              </w:rPr>
            </w:pPr>
            <w:r>
              <w:rPr>
                <w:rFonts w:hint="eastAsia"/>
                <w:sz w:val="22"/>
                <w:szCs w:val="22"/>
              </w:rPr>
              <w:t>235</w:t>
            </w:r>
          </w:p>
        </w:tc>
      </w:tr>
      <w:tr w14:paraId="3944A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5BE320F0">
            <w:pPr>
              <w:widowControl w:val="0"/>
              <w:spacing w:line="300" w:lineRule="exact"/>
              <w:jc w:val="center"/>
              <w:rPr>
                <w:rFonts w:eastAsia="楷体_GB2312"/>
                <w:szCs w:val="21"/>
              </w:rPr>
            </w:pPr>
          </w:p>
        </w:tc>
        <w:tc>
          <w:tcPr>
            <w:tcW w:w="1417" w:type="dxa"/>
            <w:noWrap w:val="0"/>
            <w:vAlign w:val="center"/>
          </w:tcPr>
          <w:p w14:paraId="0DE0E24F">
            <w:pPr>
              <w:widowControl w:val="0"/>
              <w:spacing w:line="300" w:lineRule="exact"/>
              <w:jc w:val="center"/>
              <w:rPr>
                <w:rFonts w:eastAsia="楷体_GB2312"/>
                <w:szCs w:val="21"/>
              </w:rPr>
            </w:pPr>
            <w:r>
              <w:rPr>
                <w:rFonts w:eastAsia="楷体_GB2312"/>
                <w:szCs w:val="21"/>
              </w:rPr>
              <w:t>二级地</w:t>
            </w:r>
          </w:p>
        </w:tc>
        <w:tc>
          <w:tcPr>
            <w:tcW w:w="5953" w:type="dxa"/>
            <w:noWrap w:val="0"/>
            <w:vAlign w:val="center"/>
          </w:tcPr>
          <w:p w14:paraId="7AF0A73C">
            <w:pPr>
              <w:jc w:val="center"/>
              <w:rPr>
                <w:rFonts w:ascii="宋体" w:hAnsi="宋体" w:cs="宋体"/>
                <w:sz w:val="22"/>
                <w:szCs w:val="22"/>
              </w:rPr>
            </w:pPr>
            <w:r>
              <w:rPr>
                <w:rFonts w:hint="eastAsia"/>
                <w:sz w:val="22"/>
                <w:szCs w:val="22"/>
              </w:rPr>
              <w:t>193</w:t>
            </w:r>
          </w:p>
        </w:tc>
      </w:tr>
      <w:tr w14:paraId="59B1A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3DC85A34">
            <w:pPr>
              <w:widowControl w:val="0"/>
              <w:spacing w:line="300" w:lineRule="exact"/>
              <w:jc w:val="center"/>
              <w:rPr>
                <w:rFonts w:eastAsia="楷体_GB2312"/>
                <w:szCs w:val="21"/>
              </w:rPr>
            </w:pPr>
          </w:p>
        </w:tc>
        <w:tc>
          <w:tcPr>
            <w:tcW w:w="1417" w:type="dxa"/>
            <w:noWrap w:val="0"/>
            <w:vAlign w:val="center"/>
          </w:tcPr>
          <w:p w14:paraId="7C69EF75">
            <w:pPr>
              <w:widowControl w:val="0"/>
              <w:spacing w:line="300" w:lineRule="exact"/>
              <w:jc w:val="center"/>
              <w:rPr>
                <w:rFonts w:eastAsia="楷体_GB2312"/>
                <w:szCs w:val="21"/>
              </w:rPr>
            </w:pPr>
            <w:r>
              <w:rPr>
                <w:rFonts w:eastAsia="楷体_GB2312"/>
                <w:szCs w:val="21"/>
              </w:rPr>
              <w:t>三级地</w:t>
            </w:r>
          </w:p>
        </w:tc>
        <w:tc>
          <w:tcPr>
            <w:tcW w:w="5953" w:type="dxa"/>
            <w:noWrap w:val="0"/>
            <w:vAlign w:val="center"/>
          </w:tcPr>
          <w:p w14:paraId="00629182">
            <w:pPr>
              <w:jc w:val="center"/>
              <w:rPr>
                <w:rFonts w:ascii="宋体" w:hAnsi="宋体" w:cs="宋体"/>
                <w:sz w:val="22"/>
                <w:szCs w:val="22"/>
              </w:rPr>
            </w:pPr>
            <w:r>
              <w:rPr>
                <w:rFonts w:hint="eastAsia"/>
                <w:sz w:val="22"/>
                <w:szCs w:val="22"/>
              </w:rPr>
              <w:t>149</w:t>
            </w:r>
          </w:p>
        </w:tc>
      </w:tr>
      <w:tr w14:paraId="4823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6B1B75A2">
            <w:pPr>
              <w:widowControl w:val="0"/>
              <w:spacing w:line="300" w:lineRule="exact"/>
              <w:jc w:val="center"/>
              <w:rPr>
                <w:rFonts w:eastAsia="楷体_GB2312"/>
                <w:szCs w:val="21"/>
              </w:rPr>
            </w:pPr>
            <w:r>
              <w:rPr>
                <w:rFonts w:hint="eastAsia" w:eastAsia="楷体_GB2312"/>
                <w:szCs w:val="21"/>
              </w:rPr>
              <w:t>灰古镇</w:t>
            </w:r>
          </w:p>
        </w:tc>
        <w:tc>
          <w:tcPr>
            <w:tcW w:w="1417" w:type="dxa"/>
            <w:noWrap w:val="0"/>
            <w:vAlign w:val="center"/>
          </w:tcPr>
          <w:p w14:paraId="3B50092E">
            <w:pPr>
              <w:widowControl w:val="0"/>
              <w:spacing w:line="300" w:lineRule="exact"/>
              <w:jc w:val="center"/>
              <w:rPr>
                <w:rFonts w:eastAsia="楷体_GB2312"/>
                <w:szCs w:val="21"/>
              </w:rPr>
            </w:pPr>
            <w:r>
              <w:rPr>
                <w:rFonts w:eastAsia="楷体_GB2312"/>
                <w:szCs w:val="21"/>
              </w:rPr>
              <w:t>一级地</w:t>
            </w:r>
          </w:p>
        </w:tc>
        <w:tc>
          <w:tcPr>
            <w:tcW w:w="5953" w:type="dxa"/>
            <w:noWrap w:val="0"/>
            <w:vAlign w:val="center"/>
          </w:tcPr>
          <w:p w14:paraId="552339C7">
            <w:pPr>
              <w:jc w:val="center"/>
              <w:rPr>
                <w:rFonts w:ascii="宋体" w:hAnsi="宋体" w:cs="宋体"/>
                <w:sz w:val="22"/>
                <w:szCs w:val="22"/>
              </w:rPr>
            </w:pPr>
            <w:r>
              <w:rPr>
                <w:rFonts w:hint="eastAsia"/>
                <w:sz w:val="22"/>
                <w:szCs w:val="22"/>
              </w:rPr>
              <w:t>240</w:t>
            </w:r>
          </w:p>
        </w:tc>
      </w:tr>
      <w:tr w14:paraId="77EBB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41CB5065">
            <w:pPr>
              <w:widowControl w:val="0"/>
              <w:spacing w:line="300" w:lineRule="exact"/>
              <w:jc w:val="center"/>
              <w:rPr>
                <w:rFonts w:eastAsia="楷体_GB2312"/>
                <w:szCs w:val="21"/>
              </w:rPr>
            </w:pPr>
          </w:p>
        </w:tc>
        <w:tc>
          <w:tcPr>
            <w:tcW w:w="1417" w:type="dxa"/>
            <w:noWrap w:val="0"/>
            <w:vAlign w:val="center"/>
          </w:tcPr>
          <w:p w14:paraId="24D972B0">
            <w:pPr>
              <w:widowControl w:val="0"/>
              <w:spacing w:line="300" w:lineRule="exact"/>
              <w:jc w:val="center"/>
              <w:rPr>
                <w:rFonts w:eastAsia="楷体_GB2312"/>
                <w:szCs w:val="21"/>
              </w:rPr>
            </w:pPr>
            <w:r>
              <w:rPr>
                <w:rFonts w:eastAsia="楷体_GB2312"/>
                <w:szCs w:val="21"/>
              </w:rPr>
              <w:t>二级地</w:t>
            </w:r>
          </w:p>
        </w:tc>
        <w:tc>
          <w:tcPr>
            <w:tcW w:w="5953" w:type="dxa"/>
            <w:noWrap w:val="0"/>
            <w:vAlign w:val="center"/>
          </w:tcPr>
          <w:p w14:paraId="3DFB2917">
            <w:pPr>
              <w:jc w:val="center"/>
              <w:rPr>
                <w:rFonts w:ascii="宋体" w:hAnsi="宋体" w:cs="宋体"/>
                <w:sz w:val="22"/>
                <w:szCs w:val="22"/>
              </w:rPr>
            </w:pPr>
            <w:r>
              <w:rPr>
                <w:rFonts w:hint="eastAsia"/>
                <w:sz w:val="22"/>
                <w:szCs w:val="22"/>
              </w:rPr>
              <w:t>199</w:t>
            </w:r>
          </w:p>
        </w:tc>
      </w:tr>
      <w:tr w14:paraId="16FBD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2B9CCB77">
            <w:pPr>
              <w:widowControl w:val="0"/>
              <w:spacing w:line="300" w:lineRule="exact"/>
              <w:jc w:val="center"/>
              <w:rPr>
                <w:rFonts w:eastAsia="楷体_GB2312"/>
                <w:szCs w:val="21"/>
              </w:rPr>
            </w:pPr>
          </w:p>
        </w:tc>
        <w:tc>
          <w:tcPr>
            <w:tcW w:w="1417" w:type="dxa"/>
            <w:noWrap w:val="0"/>
            <w:vAlign w:val="center"/>
          </w:tcPr>
          <w:p w14:paraId="71D3A00F">
            <w:pPr>
              <w:widowControl w:val="0"/>
              <w:spacing w:line="300" w:lineRule="exact"/>
              <w:jc w:val="center"/>
              <w:rPr>
                <w:rFonts w:eastAsia="楷体_GB2312"/>
                <w:szCs w:val="21"/>
              </w:rPr>
            </w:pPr>
            <w:r>
              <w:rPr>
                <w:rFonts w:eastAsia="楷体_GB2312"/>
                <w:szCs w:val="21"/>
              </w:rPr>
              <w:t>三级地</w:t>
            </w:r>
          </w:p>
        </w:tc>
        <w:tc>
          <w:tcPr>
            <w:tcW w:w="5953" w:type="dxa"/>
            <w:noWrap w:val="0"/>
            <w:vAlign w:val="center"/>
          </w:tcPr>
          <w:p w14:paraId="3136CDA1">
            <w:pPr>
              <w:jc w:val="center"/>
              <w:rPr>
                <w:rFonts w:ascii="宋体" w:hAnsi="宋体" w:cs="宋体"/>
                <w:sz w:val="22"/>
                <w:szCs w:val="22"/>
              </w:rPr>
            </w:pPr>
            <w:r>
              <w:rPr>
                <w:rFonts w:hint="eastAsia"/>
                <w:sz w:val="22"/>
                <w:szCs w:val="22"/>
              </w:rPr>
              <w:t>159</w:t>
            </w:r>
          </w:p>
        </w:tc>
      </w:tr>
      <w:tr w14:paraId="15F3F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restart"/>
            <w:noWrap w:val="0"/>
            <w:vAlign w:val="center"/>
          </w:tcPr>
          <w:p w14:paraId="7C8EAC20">
            <w:pPr>
              <w:widowControl w:val="0"/>
              <w:spacing w:line="300" w:lineRule="exact"/>
              <w:jc w:val="center"/>
              <w:rPr>
                <w:rFonts w:eastAsia="楷体_GB2312"/>
                <w:szCs w:val="21"/>
              </w:rPr>
            </w:pPr>
            <w:r>
              <w:rPr>
                <w:rFonts w:hint="eastAsia" w:eastAsia="楷体_GB2312"/>
                <w:szCs w:val="21"/>
              </w:rPr>
              <w:t>桃沟乡</w:t>
            </w:r>
          </w:p>
        </w:tc>
        <w:tc>
          <w:tcPr>
            <w:tcW w:w="1417" w:type="dxa"/>
            <w:noWrap w:val="0"/>
            <w:vAlign w:val="center"/>
          </w:tcPr>
          <w:p w14:paraId="3DFE35A8">
            <w:pPr>
              <w:widowControl w:val="0"/>
              <w:spacing w:line="300" w:lineRule="exact"/>
              <w:jc w:val="center"/>
              <w:rPr>
                <w:rFonts w:eastAsia="楷体_GB2312"/>
                <w:szCs w:val="21"/>
              </w:rPr>
            </w:pPr>
            <w:r>
              <w:rPr>
                <w:rFonts w:eastAsia="楷体_GB2312"/>
                <w:szCs w:val="21"/>
              </w:rPr>
              <w:t>一级地</w:t>
            </w:r>
          </w:p>
        </w:tc>
        <w:tc>
          <w:tcPr>
            <w:tcW w:w="5953" w:type="dxa"/>
            <w:noWrap w:val="0"/>
            <w:vAlign w:val="center"/>
          </w:tcPr>
          <w:p w14:paraId="3547A771">
            <w:pPr>
              <w:jc w:val="center"/>
              <w:rPr>
                <w:rFonts w:ascii="宋体" w:hAnsi="宋体" w:cs="宋体"/>
                <w:sz w:val="22"/>
                <w:szCs w:val="22"/>
              </w:rPr>
            </w:pPr>
            <w:r>
              <w:rPr>
                <w:rFonts w:hint="eastAsia"/>
                <w:sz w:val="22"/>
                <w:szCs w:val="22"/>
              </w:rPr>
              <w:t>230</w:t>
            </w:r>
          </w:p>
        </w:tc>
      </w:tr>
      <w:tr w14:paraId="32885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7E483A35">
            <w:pPr>
              <w:widowControl w:val="0"/>
              <w:spacing w:line="300" w:lineRule="exact"/>
              <w:jc w:val="center"/>
              <w:rPr>
                <w:rFonts w:eastAsia="楷体_GB2312"/>
                <w:szCs w:val="21"/>
              </w:rPr>
            </w:pPr>
          </w:p>
        </w:tc>
        <w:tc>
          <w:tcPr>
            <w:tcW w:w="1417" w:type="dxa"/>
            <w:noWrap w:val="0"/>
            <w:vAlign w:val="center"/>
          </w:tcPr>
          <w:p w14:paraId="4982344E">
            <w:pPr>
              <w:widowControl w:val="0"/>
              <w:spacing w:line="300" w:lineRule="exact"/>
              <w:jc w:val="center"/>
              <w:rPr>
                <w:rFonts w:eastAsia="楷体_GB2312"/>
                <w:szCs w:val="21"/>
              </w:rPr>
            </w:pPr>
            <w:r>
              <w:rPr>
                <w:rFonts w:eastAsia="楷体_GB2312"/>
                <w:szCs w:val="21"/>
              </w:rPr>
              <w:t>二级地</w:t>
            </w:r>
          </w:p>
        </w:tc>
        <w:tc>
          <w:tcPr>
            <w:tcW w:w="5953" w:type="dxa"/>
            <w:noWrap w:val="0"/>
            <w:vAlign w:val="center"/>
          </w:tcPr>
          <w:p w14:paraId="6A338257">
            <w:pPr>
              <w:jc w:val="center"/>
              <w:rPr>
                <w:rFonts w:ascii="宋体" w:hAnsi="宋体" w:cs="宋体"/>
                <w:sz w:val="22"/>
                <w:szCs w:val="22"/>
              </w:rPr>
            </w:pPr>
            <w:r>
              <w:rPr>
                <w:rFonts w:hint="eastAsia"/>
                <w:sz w:val="22"/>
                <w:szCs w:val="22"/>
              </w:rPr>
              <w:t>196</w:t>
            </w:r>
          </w:p>
        </w:tc>
      </w:tr>
      <w:tr w14:paraId="0FDA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vMerge w:val="continue"/>
            <w:noWrap w:val="0"/>
            <w:vAlign w:val="center"/>
          </w:tcPr>
          <w:p w14:paraId="40F742C9">
            <w:pPr>
              <w:widowControl w:val="0"/>
              <w:spacing w:line="300" w:lineRule="exact"/>
              <w:jc w:val="center"/>
              <w:rPr>
                <w:rFonts w:eastAsia="楷体_GB2312"/>
                <w:szCs w:val="21"/>
              </w:rPr>
            </w:pPr>
          </w:p>
        </w:tc>
        <w:tc>
          <w:tcPr>
            <w:tcW w:w="1417" w:type="dxa"/>
            <w:noWrap w:val="0"/>
            <w:vAlign w:val="center"/>
          </w:tcPr>
          <w:p w14:paraId="1EB95991">
            <w:pPr>
              <w:widowControl w:val="0"/>
              <w:spacing w:line="300" w:lineRule="exact"/>
              <w:jc w:val="center"/>
              <w:rPr>
                <w:rFonts w:eastAsia="楷体_GB2312"/>
                <w:szCs w:val="21"/>
              </w:rPr>
            </w:pPr>
            <w:r>
              <w:rPr>
                <w:rFonts w:eastAsia="楷体_GB2312"/>
                <w:szCs w:val="21"/>
              </w:rPr>
              <w:t>三级地</w:t>
            </w:r>
          </w:p>
        </w:tc>
        <w:tc>
          <w:tcPr>
            <w:tcW w:w="5953" w:type="dxa"/>
            <w:noWrap w:val="0"/>
            <w:vAlign w:val="center"/>
          </w:tcPr>
          <w:p w14:paraId="2A18A609">
            <w:pPr>
              <w:jc w:val="center"/>
              <w:rPr>
                <w:rFonts w:ascii="宋体" w:hAnsi="宋体" w:cs="宋体"/>
                <w:sz w:val="22"/>
                <w:szCs w:val="22"/>
              </w:rPr>
            </w:pPr>
            <w:r>
              <w:rPr>
                <w:rFonts w:hint="eastAsia"/>
                <w:sz w:val="22"/>
                <w:szCs w:val="22"/>
              </w:rPr>
              <w:t>159</w:t>
            </w:r>
          </w:p>
        </w:tc>
      </w:tr>
      <w:tr w14:paraId="3FB8D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noWrap w:val="0"/>
            <w:vAlign w:val="center"/>
          </w:tcPr>
          <w:p w14:paraId="0A9568F7">
            <w:pPr>
              <w:widowControl w:val="0"/>
              <w:spacing w:line="300" w:lineRule="exact"/>
              <w:jc w:val="center"/>
              <w:rPr>
                <w:rFonts w:eastAsia="楷体_GB2312"/>
                <w:szCs w:val="21"/>
              </w:rPr>
            </w:pPr>
            <w:r>
              <w:rPr>
                <w:rFonts w:hint="eastAsia" w:eastAsia="楷体_GB2312"/>
                <w:szCs w:val="21"/>
              </w:rPr>
              <w:t>曹村开发区</w:t>
            </w:r>
          </w:p>
        </w:tc>
        <w:tc>
          <w:tcPr>
            <w:tcW w:w="1417" w:type="dxa"/>
            <w:noWrap w:val="0"/>
            <w:vAlign w:val="center"/>
          </w:tcPr>
          <w:p w14:paraId="60247BB6">
            <w:pPr>
              <w:widowControl w:val="0"/>
              <w:spacing w:line="300" w:lineRule="exact"/>
              <w:jc w:val="center"/>
              <w:rPr>
                <w:rFonts w:eastAsia="楷体_GB2312"/>
                <w:szCs w:val="21"/>
              </w:rPr>
            </w:pPr>
            <w:r>
              <w:rPr>
                <w:rFonts w:hint="eastAsia" w:eastAsia="楷体_GB2312"/>
                <w:szCs w:val="21"/>
              </w:rPr>
              <w:t>指导价</w:t>
            </w:r>
          </w:p>
        </w:tc>
        <w:tc>
          <w:tcPr>
            <w:tcW w:w="5953" w:type="dxa"/>
            <w:noWrap w:val="0"/>
            <w:vAlign w:val="center"/>
          </w:tcPr>
          <w:p w14:paraId="3CD8B34B">
            <w:pPr>
              <w:jc w:val="center"/>
              <w:rPr>
                <w:rFonts w:ascii="宋体" w:hAnsi="宋体" w:cs="宋体"/>
                <w:sz w:val="22"/>
                <w:szCs w:val="22"/>
              </w:rPr>
            </w:pPr>
            <w:r>
              <w:rPr>
                <w:rFonts w:hint="eastAsia"/>
                <w:sz w:val="22"/>
                <w:szCs w:val="22"/>
              </w:rPr>
              <w:t>216</w:t>
            </w:r>
          </w:p>
        </w:tc>
      </w:tr>
      <w:tr w14:paraId="4087F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noWrap w:val="0"/>
            <w:vAlign w:val="center"/>
          </w:tcPr>
          <w:p w14:paraId="41C1A8EA">
            <w:pPr>
              <w:widowControl w:val="0"/>
              <w:spacing w:line="300" w:lineRule="exact"/>
              <w:jc w:val="center"/>
              <w:rPr>
                <w:rFonts w:eastAsia="楷体_GB2312"/>
                <w:szCs w:val="21"/>
              </w:rPr>
            </w:pPr>
            <w:r>
              <w:rPr>
                <w:rFonts w:hint="eastAsia" w:eastAsia="楷体_GB2312"/>
                <w:szCs w:val="21"/>
              </w:rPr>
              <w:t>家具产业园</w:t>
            </w:r>
          </w:p>
        </w:tc>
        <w:tc>
          <w:tcPr>
            <w:tcW w:w="1417" w:type="dxa"/>
            <w:noWrap w:val="0"/>
            <w:vAlign w:val="center"/>
          </w:tcPr>
          <w:p w14:paraId="070DCDBD">
            <w:pPr>
              <w:widowControl w:val="0"/>
              <w:spacing w:line="300" w:lineRule="exact"/>
              <w:jc w:val="center"/>
              <w:rPr>
                <w:rFonts w:eastAsia="楷体_GB2312"/>
                <w:szCs w:val="21"/>
              </w:rPr>
            </w:pPr>
            <w:r>
              <w:rPr>
                <w:rFonts w:hint="eastAsia" w:eastAsia="楷体_GB2312"/>
                <w:szCs w:val="21"/>
              </w:rPr>
              <w:t>指导价</w:t>
            </w:r>
          </w:p>
        </w:tc>
        <w:tc>
          <w:tcPr>
            <w:tcW w:w="5953" w:type="dxa"/>
            <w:noWrap w:val="0"/>
            <w:vAlign w:val="center"/>
          </w:tcPr>
          <w:p w14:paraId="5052A277">
            <w:pPr>
              <w:jc w:val="center"/>
              <w:rPr>
                <w:rFonts w:ascii="宋体" w:hAnsi="宋体" w:cs="宋体"/>
                <w:sz w:val="22"/>
                <w:szCs w:val="22"/>
              </w:rPr>
            </w:pPr>
            <w:r>
              <w:rPr>
                <w:rFonts w:hint="eastAsia"/>
                <w:sz w:val="22"/>
                <w:szCs w:val="22"/>
              </w:rPr>
              <w:t>306</w:t>
            </w:r>
          </w:p>
        </w:tc>
      </w:tr>
      <w:tr w14:paraId="2F884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2" w:type="dxa"/>
            <w:noWrap w:val="0"/>
            <w:vAlign w:val="center"/>
          </w:tcPr>
          <w:p w14:paraId="4C03E41D">
            <w:pPr>
              <w:widowControl w:val="0"/>
              <w:spacing w:line="300" w:lineRule="exact"/>
              <w:jc w:val="center"/>
              <w:rPr>
                <w:rFonts w:eastAsia="楷体_GB2312"/>
                <w:szCs w:val="21"/>
              </w:rPr>
            </w:pPr>
            <w:r>
              <w:rPr>
                <w:rFonts w:hint="eastAsia" w:eastAsia="楷体_GB2312"/>
                <w:szCs w:val="21"/>
              </w:rPr>
              <w:t>农业示范园</w:t>
            </w:r>
          </w:p>
        </w:tc>
        <w:tc>
          <w:tcPr>
            <w:tcW w:w="1417" w:type="dxa"/>
            <w:noWrap w:val="0"/>
            <w:vAlign w:val="center"/>
          </w:tcPr>
          <w:p w14:paraId="0E58C8BB">
            <w:pPr>
              <w:widowControl w:val="0"/>
              <w:spacing w:line="300" w:lineRule="exact"/>
              <w:jc w:val="center"/>
              <w:rPr>
                <w:rFonts w:eastAsia="楷体_GB2312"/>
                <w:szCs w:val="21"/>
              </w:rPr>
            </w:pPr>
            <w:r>
              <w:rPr>
                <w:rFonts w:hint="eastAsia" w:eastAsia="楷体_GB2312"/>
                <w:szCs w:val="21"/>
              </w:rPr>
              <w:t>指导价</w:t>
            </w:r>
          </w:p>
        </w:tc>
        <w:tc>
          <w:tcPr>
            <w:tcW w:w="5953" w:type="dxa"/>
            <w:noWrap w:val="0"/>
            <w:vAlign w:val="center"/>
          </w:tcPr>
          <w:p w14:paraId="43C65BF7">
            <w:pPr>
              <w:jc w:val="center"/>
              <w:rPr>
                <w:rFonts w:ascii="宋体" w:hAnsi="宋体" w:cs="宋体"/>
                <w:sz w:val="22"/>
                <w:szCs w:val="22"/>
              </w:rPr>
            </w:pPr>
            <w:r>
              <w:rPr>
                <w:rFonts w:hint="eastAsia"/>
                <w:sz w:val="22"/>
                <w:szCs w:val="22"/>
              </w:rPr>
              <w:t>264</w:t>
            </w:r>
          </w:p>
        </w:tc>
      </w:tr>
    </w:tbl>
    <w:p w14:paraId="33939B68">
      <w:pPr>
        <w:spacing w:line="480" w:lineRule="exact"/>
        <w:ind w:firstLine="562" w:firstLineChars="200"/>
        <w:rPr>
          <w:rFonts w:eastAsia="楷体_GB2312"/>
          <w:b/>
          <w:sz w:val="28"/>
          <w:szCs w:val="21"/>
        </w:rPr>
      </w:pPr>
      <w:r>
        <w:rPr>
          <w:rFonts w:eastAsia="楷体_GB2312"/>
          <w:b/>
          <w:sz w:val="28"/>
          <w:szCs w:val="21"/>
        </w:rPr>
        <w:t>5、用途修正系数的确定</w:t>
      </w:r>
    </w:p>
    <w:p w14:paraId="38F83E0E">
      <w:pPr>
        <w:spacing w:line="480" w:lineRule="exact"/>
        <w:ind w:firstLine="560" w:firstLineChars="200"/>
        <w:rPr>
          <w:rFonts w:eastAsia="楷体_GB2312"/>
          <w:sz w:val="28"/>
          <w:szCs w:val="21"/>
        </w:rPr>
      </w:pPr>
      <w:r>
        <w:rPr>
          <w:rFonts w:eastAsia="楷体_GB2312"/>
          <w:sz w:val="28"/>
          <w:szCs w:val="21"/>
        </w:rPr>
        <w:t>根据前文中收益还原法的用途修正系数表（表</w:t>
      </w:r>
      <w:r>
        <w:rPr>
          <w:rFonts w:eastAsia="黑体"/>
          <w:sz w:val="28"/>
          <w:szCs w:val="21"/>
        </w:rPr>
        <w:t>2-6-</w:t>
      </w:r>
      <w:r>
        <w:rPr>
          <w:rFonts w:hint="eastAsia" w:eastAsia="黑体"/>
          <w:sz w:val="28"/>
          <w:szCs w:val="21"/>
        </w:rPr>
        <w:t>8</w:t>
      </w:r>
      <w:r>
        <w:rPr>
          <w:rFonts w:eastAsia="楷体_GB2312"/>
          <w:sz w:val="28"/>
          <w:szCs w:val="21"/>
        </w:rPr>
        <w:t>），以公用设施用地为1.00，其他用途修正系数如下表2-6-12所示。</w:t>
      </w:r>
    </w:p>
    <w:p w14:paraId="117AE1BC">
      <w:pPr>
        <w:spacing w:line="480" w:lineRule="exact"/>
        <w:jc w:val="center"/>
        <w:rPr>
          <w:rFonts w:eastAsia="楷体_GB2312"/>
          <w:sz w:val="28"/>
          <w:szCs w:val="21"/>
        </w:rPr>
      </w:pPr>
      <w:r>
        <w:rPr>
          <w:rFonts w:eastAsia="黑体"/>
          <w:sz w:val="28"/>
          <w:szCs w:val="21"/>
        </w:rPr>
        <w:t>表2-6-12  公共管理与公共服务用地各地类用途修正系数表</w:t>
      </w:r>
    </w:p>
    <w:tbl>
      <w:tblPr>
        <w:tblStyle w:val="38"/>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1009"/>
        <w:gridCol w:w="1008"/>
        <w:gridCol w:w="1008"/>
        <w:gridCol w:w="1007"/>
        <w:gridCol w:w="1008"/>
        <w:gridCol w:w="1008"/>
        <w:gridCol w:w="1008"/>
        <w:gridCol w:w="1008"/>
      </w:tblGrid>
      <w:tr w14:paraId="2C9F2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noWrap w:val="0"/>
            <w:vAlign w:val="center"/>
          </w:tcPr>
          <w:p w14:paraId="6C05E2C9">
            <w:pPr>
              <w:jc w:val="center"/>
              <w:rPr>
                <w:rFonts w:eastAsia="楷体_GB2312"/>
                <w:szCs w:val="22"/>
              </w:rPr>
            </w:pPr>
            <w:r>
              <w:rPr>
                <w:rFonts w:eastAsia="楷体_GB2312"/>
                <w:szCs w:val="22"/>
              </w:rPr>
              <w:t>用地类型</w:t>
            </w:r>
          </w:p>
        </w:tc>
        <w:tc>
          <w:tcPr>
            <w:tcW w:w="1009" w:type="dxa"/>
            <w:noWrap w:val="0"/>
            <w:vAlign w:val="center"/>
          </w:tcPr>
          <w:p w14:paraId="6566CA36">
            <w:pPr>
              <w:spacing w:line="300" w:lineRule="exact"/>
              <w:jc w:val="center"/>
              <w:rPr>
                <w:rFonts w:eastAsia="楷体_GB2312"/>
                <w:szCs w:val="21"/>
              </w:rPr>
            </w:pPr>
            <w:r>
              <w:rPr>
                <w:rFonts w:eastAsia="楷体_GB2312"/>
                <w:szCs w:val="21"/>
              </w:rPr>
              <w:t>文化设施用地</w:t>
            </w:r>
          </w:p>
        </w:tc>
        <w:tc>
          <w:tcPr>
            <w:tcW w:w="1008" w:type="dxa"/>
            <w:noWrap w:val="0"/>
            <w:vAlign w:val="center"/>
          </w:tcPr>
          <w:p w14:paraId="7A99A685">
            <w:pPr>
              <w:spacing w:line="300" w:lineRule="exact"/>
              <w:jc w:val="center"/>
              <w:rPr>
                <w:rFonts w:eastAsia="楷体_GB2312"/>
                <w:szCs w:val="21"/>
              </w:rPr>
            </w:pPr>
            <w:r>
              <w:rPr>
                <w:rFonts w:eastAsia="楷体_GB2312"/>
                <w:szCs w:val="21"/>
              </w:rPr>
              <w:t>体育用地</w:t>
            </w:r>
          </w:p>
        </w:tc>
        <w:tc>
          <w:tcPr>
            <w:tcW w:w="1008" w:type="dxa"/>
            <w:noWrap w:val="0"/>
            <w:vAlign w:val="center"/>
          </w:tcPr>
          <w:p w14:paraId="5CC29123">
            <w:pPr>
              <w:spacing w:line="300" w:lineRule="exact"/>
              <w:jc w:val="center"/>
              <w:rPr>
                <w:rFonts w:eastAsia="楷体_GB2312"/>
                <w:szCs w:val="21"/>
              </w:rPr>
            </w:pPr>
            <w:r>
              <w:rPr>
                <w:rFonts w:eastAsia="楷体_GB2312"/>
                <w:szCs w:val="21"/>
              </w:rPr>
              <w:t>教育用地</w:t>
            </w:r>
          </w:p>
        </w:tc>
        <w:tc>
          <w:tcPr>
            <w:tcW w:w="1007" w:type="dxa"/>
            <w:noWrap w:val="0"/>
            <w:vAlign w:val="center"/>
          </w:tcPr>
          <w:p w14:paraId="12D0E555">
            <w:pPr>
              <w:spacing w:line="300" w:lineRule="exact"/>
              <w:jc w:val="center"/>
              <w:rPr>
                <w:rFonts w:eastAsia="楷体_GB2312"/>
                <w:szCs w:val="21"/>
              </w:rPr>
            </w:pPr>
            <w:r>
              <w:rPr>
                <w:rFonts w:eastAsia="楷体_GB2312"/>
                <w:szCs w:val="21"/>
              </w:rPr>
              <w:t>医疗卫生用地</w:t>
            </w:r>
          </w:p>
        </w:tc>
        <w:tc>
          <w:tcPr>
            <w:tcW w:w="1008" w:type="dxa"/>
            <w:noWrap w:val="0"/>
            <w:vAlign w:val="center"/>
          </w:tcPr>
          <w:p w14:paraId="2BA639F7">
            <w:pPr>
              <w:spacing w:line="300" w:lineRule="exact"/>
              <w:jc w:val="center"/>
              <w:rPr>
                <w:rFonts w:eastAsia="楷体_GB2312"/>
                <w:szCs w:val="21"/>
              </w:rPr>
            </w:pPr>
            <w:r>
              <w:rPr>
                <w:rFonts w:eastAsia="楷体_GB2312"/>
                <w:szCs w:val="21"/>
              </w:rPr>
              <w:t>新闻出版用地</w:t>
            </w:r>
          </w:p>
        </w:tc>
        <w:tc>
          <w:tcPr>
            <w:tcW w:w="1008" w:type="dxa"/>
            <w:noWrap w:val="0"/>
            <w:vAlign w:val="center"/>
          </w:tcPr>
          <w:p w14:paraId="3B22DC46">
            <w:pPr>
              <w:spacing w:line="300" w:lineRule="exact"/>
              <w:jc w:val="center"/>
              <w:rPr>
                <w:rFonts w:eastAsia="楷体_GB2312"/>
                <w:szCs w:val="21"/>
              </w:rPr>
            </w:pPr>
            <w:r>
              <w:rPr>
                <w:rFonts w:eastAsia="楷体_GB2312"/>
                <w:szCs w:val="21"/>
              </w:rPr>
              <w:t>科研用地</w:t>
            </w:r>
          </w:p>
        </w:tc>
        <w:tc>
          <w:tcPr>
            <w:tcW w:w="1008" w:type="dxa"/>
            <w:noWrap w:val="0"/>
            <w:vAlign w:val="center"/>
          </w:tcPr>
          <w:p w14:paraId="4E1D52DC">
            <w:pPr>
              <w:spacing w:line="300" w:lineRule="exact"/>
              <w:jc w:val="center"/>
              <w:rPr>
                <w:rFonts w:eastAsia="楷体_GB2312"/>
                <w:szCs w:val="21"/>
              </w:rPr>
            </w:pPr>
            <w:r>
              <w:rPr>
                <w:rFonts w:eastAsia="楷体_GB2312"/>
                <w:szCs w:val="21"/>
              </w:rPr>
              <w:t>社会福利用地</w:t>
            </w:r>
          </w:p>
        </w:tc>
        <w:tc>
          <w:tcPr>
            <w:tcW w:w="1008" w:type="dxa"/>
            <w:noWrap w:val="0"/>
            <w:vAlign w:val="center"/>
          </w:tcPr>
          <w:p w14:paraId="166FB1B4">
            <w:pPr>
              <w:spacing w:line="300" w:lineRule="exact"/>
              <w:jc w:val="center"/>
              <w:rPr>
                <w:rFonts w:eastAsia="楷体_GB2312"/>
                <w:szCs w:val="21"/>
              </w:rPr>
            </w:pPr>
            <w:r>
              <w:rPr>
                <w:rFonts w:eastAsia="楷体_GB2312"/>
                <w:szCs w:val="21"/>
              </w:rPr>
              <w:t>公用设施用地</w:t>
            </w:r>
          </w:p>
        </w:tc>
      </w:tr>
      <w:tr w14:paraId="376E2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7" w:type="dxa"/>
            <w:noWrap w:val="0"/>
            <w:vAlign w:val="center"/>
          </w:tcPr>
          <w:p w14:paraId="243758C9">
            <w:pPr>
              <w:jc w:val="center"/>
              <w:rPr>
                <w:rFonts w:eastAsia="楷体_GB2312"/>
                <w:szCs w:val="22"/>
              </w:rPr>
            </w:pPr>
            <w:r>
              <w:rPr>
                <w:rFonts w:eastAsia="楷体_GB2312"/>
                <w:szCs w:val="22"/>
              </w:rPr>
              <w:t>修正系数</w:t>
            </w:r>
          </w:p>
        </w:tc>
        <w:tc>
          <w:tcPr>
            <w:tcW w:w="1009" w:type="dxa"/>
            <w:noWrap w:val="0"/>
            <w:vAlign w:val="center"/>
          </w:tcPr>
          <w:p w14:paraId="61D35EDF">
            <w:pPr>
              <w:jc w:val="center"/>
              <w:rPr>
                <w:rFonts w:ascii="宋体" w:hAnsi="宋体" w:cs="宋体"/>
                <w:color w:val="000000"/>
                <w:sz w:val="22"/>
                <w:szCs w:val="22"/>
              </w:rPr>
            </w:pPr>
            <w:r>
              <w:rPr>
                <w:rFonts w:hint="eastAsia"/>
                <w:color w:val="000000"/>
                <w:sz w:val="22"/>
                <w:szCs w:val="22"/>
              </w:rPr>
              <w:t>1.24</w:t>
            </w:r>
          </w:p>
        </w:tc>
        <w:tc>
          <w:tcPr>
            <w:tcW w:w="1008" w:type="dxa"/>
            <w:noWrap w:val="0"/>
            <w:vAlign w:val="center"/>
          </w:tcPr>
          <w:p w14:paraId="7B225B44">
            <w:pPr>
              <w:jc w:val="center"/>
              <w:rPr>
                <w:rFonts w:ascii="宋体" w:hAnsi="宋体" w:cs="宋体"/>
                <w:color w:val="000000"/>
                <w:sz w:val="22"/>
                <w:szCs w:val="22"/>
              </w:rPr>
            </w:pPr>
            <w:r>
              <w:rPr>
                <w:rFonts w:hint="eastAsia"/>
                <w:color w:val="000000"/>
                <w:sz w:val="22"/>
                <w:szCs w:val="22"/>
              </w:rPr>
              <w:t>1.18</w:t>
            </w:r>
          </w:p>
        </w:tc>
        <w:tc>
          <w:tcPr>
            <w:tcW w:w="1008" w:type="dxa"/>
            <w:noWrap w:val="0"/>
            <w:vAlign w:val="center"/>
          </w:tcPr>
          <w:p w14:paraId="0F0EAC04">
            <w:pPr>
              <w:jc w:val="center"/>
              <w:rPr>
                <w:rFonts w:ascii="宋体" w:hAnsi="宋体" w:cs="宋体"/>
                <w:color w:val="000000"/>
                <w:sz w:val="22"/>
                <w:szCs w:val="22"/>
              </w:rPr>
            </w:pPr>
            <w:r>
              <w:rPr>
                <w:rFonts w:hint="eastAsia"/>
                <w:color w:val="000000"/>
                <w:sz w:val="22"/>
                <w:szCs w:val="22"/>
              </w:rPr>
              <w:t>1.13</w:t>
            </w:r>
          </w:p>
        </w:tc>
        <w:tc>
          <w:tcPr>
            <w:tcW w:w="1007" w:type="dxa"/>
            <w:noWrap w:val="0"/>
            <w:vAlign w:val="center"/>
          </w:tcPr>
          <w:p w14:paraId="7408655C">
            <w:pPr>
              <w:jc w:val="center"/>
              <w:rPr>
                <w:rFonts w:ascii="宋体" w:hAnsi="宋体" w:cs="宋体"/>
                <w:color w:val="000000"/>
                <w:sz w:val="22"/>
                <w:szCs w:val="22"/>
              </w:rPr>
            </w:pPr>
            <w:r>
              <w:rPr>
                <w:rFonts w:hint="eastAsia"/>
                <w:color w:val="000000"/>
                <w:sz w:val="22"/>
                <w:szCs w:val="22"/>
              </w:rPr>
              <w:t>1.13</w:t>
            </w:r>
          </w:p>
        </w:tc>
        <w:tc>
          <w:tcPr>
            <w:tcW w:w="1008" w:type="dxa"/>
            <w:noWrap w:val="0"/>
            <w:vAlign w:val="center"/>
          </w:tcPr>
          <w:p w14:paraId="3B512DBD">
            <w:pPr>
              <w:jc w:val="center"/>
              <w:rPr>
                <w:rFonts w:ascii="宋体" w:hAnsi="宋体" w:cs="宋体"/>
                <w:color w:val="000000"/>
                <w:sz w:val="22"/>
                <w:szCs w:val="22"/>
              </w:rPr>
            </w:pPr>
            <w:r>
              <w:rPr>
                <w:rFonts w:hint="eastAsia"/>
                <w:color w:val="000000"/>
                <w:sz w:val="22"/>
                <w:szCs w:val="22"/>
              </w:rPr>
              <w:t>1.09</w:t>
            </w:r>
          </w:p>
        </w:tc>
        <w:tc>
          <w:tcPr>
            <w:tcW w:w="1008" w:type="dxa"/>
            <w:noWrap w:val="0"/>
            <w:vAlign w:val="center"/>
          </w:tcPr>
          <w:p w14:paraId="6A38CAC7">
            <w:pPr>
              <w:jc w:val="center"/>
              <w:rPr>
                <w:rFonts w:ascii="宋体" w:hAnsi="宋体" w:cs="宋体"/>
                <w:color w:val="000000"/>
                <w:sz w:val="22"/>
                <w:szCs w:val="22"/>
              </w:rPr>
            </w:pPr>
            <w:r>
              <w:rPr>
                <w:rFonts w:hint="eastAsia"/>
                <w:color w:val="000000"/>
                <w:sz w:val="22"/>
                <w:szCs w:val="22"/>
              </w:rPr>
              <w:t>1.09</w:t>
            </w:r>
          </w:p>
        </w:tc>
        <w:tc>
          <w:tcPr>
            <w:tcW w:w="1008" w:type="dxa"/>
            <w:noWrap w:val="0"/>
            <w:vAlign w:val="center"/>
          </w:tcPr>
          <w:p w14:paraId="1EC90CEF">
            <w:pPr>
              <w:jc w:val="center"/>
              <w:rPr>
                <w:rFonts w:ascii="宋体" w:hAnsi="宋体" w:cs="宋体"/>
                <w:color w:val="000000"/>
                <w:sz w:val="22"/>
                <w:szCs w:val="22"/>
              </w:rPr>
            </w:pPr>
            <w:r>
              <w:rPr>
                <w:rFonts w:hint="eastAsia"/>
                <w:color w:val="000000"/>
                <w:sz w:val="22"/>
                <w:szCs w:val="22"/>
              </w:rPr>
              <w:t>1.06</w:t>
            </w:r>
          </w:p>
        </w:tc>
        <w:tc>
          <w:tcPr>
            <w:tcW w:w="1008" w:type="dxa"/>
            <w:noWrap w:val="0"/>
            <w:vAlign w:val="center"/>
          </w:tcPr>
          <w:p w14:paraId="2068903B">
            <w:pPr>
              <w:jc w:val="center"/>
              <w:rPr>
                <w:rFonts w:ascii="宋体" w:hAnsi="宋体" w:cs="宋体"/>
                <w:color w:val="000000"/>
                <w:sz w:val="22"/>
                <w:szCs w:val="22"/>
              </w:rPr>
            </w:pPr>
            <w:r>
              <w:rPr>
                <w:rFonts w:hint="eastAsia"/>
                <w:color w:val="000000"/>
                <w:sz w:val="22"/>
                <w:szCs w:val="22"/>
              </w:rPr>
              <w:t>1</w:t>
            </w:r>
          </w:p>
        </w:tc>
      </w:tr>
    </w:tbl>
    <w:p w14:paraId="71E6DA30">
      <w:pPr>
        <w:spacing w:line="480" w:lineRule="exact"/>
        <w:ind w:firstLine="562" w:firstLineChars="200"/>
        <w:rPr>
          <w:rFonts w:eastAsia="楷体_GB2312"/>
          <w:b/>
          <w:sz w:val="28"/>
          <w:szCs w:val="21"/>
        </w:rPr>
      </w:pPr>
      <w:r>
        <w:rPr>
          <w:rFonts w:eastAsia="楷体_GB2312"/>
          <w:b/>
          <w:sz w:val="28"/>
          <w:szCs w:val="21"/>
        </w:rPr>
        <w:t>6、公共管理与公共服务用地各类型各级别基准地价的确定</w:t>
      </w:r>
    </w:p>
    <w:p w14:paraId="4AEF64EA">
      <w:pPr>
        <w:spacing w:line="480" w:lineRule="exact"/>
        <w:ind w:firstLine="560" w:firstLineChars="200"/>
        <w:rPr>
          <w:rFonts w:eastAsia="黑体"/>
          <w:sz w:val="28"/>
          <w:szCs w:val="21"/>
        </w:rPr>
      </w:pPr>
      <w:r>
        <w:rPr>
          <w:rFonts w:eastAsia="楷体_GB2312"/>
          <w:sz w:val="28"/>
          <w:szCs w:val="21"/>
        </w:rPr>
        <w:t>利用成本逼近法测算</w:t>
      </w:r>
      <w:r>
        <w:rPr>
          <w:rFonts w:hint="eastAsia" w:ascii="楷体" w:hAnsi="楷体" w:eastAsia="楷体" w:cs="宋体"/>
          <w:sz w:val="28"/>
          <w:szCs w:val="21"/>
        </w:rPr>
        <w:t>埇</w:t>
      </w:r>
      <w:r>
        <w:rPr>
          <w:rFonts w:hint="eastAsia" w:ascii="楷体_GB2312" w:hAnsi="楷体_GB2312" w:eastAsia="楷体_GB2312" w:cs="楷体_GB2312"/>
          <w:sz w:val="28"/>
          <w:szCs w:val="21"/>
        </w:rPr>
        <w:t>桥区</w:t>
      </w:r>
      <w:r>
        <w:rPr>
          <w:rFonts w:eastAsia="楷体_GB2312"/>
          <w:sz w:val="28"/>
          <w:szCs w:val="21"/>
        </w:rPr>
        <w:t>乡镇公用设施用地基准地价，并通过用途修正测算公共管理与公共服务用地各类型的基准地价水平。据此可计算出公共管理与公共服务各地类级别基准地价的平均地价，见表</w:t>
      </w:r>
      <w:r>
        <w:rPr>
          <w:rFonts w:eastAsia="黑体"/>
          <w:sz w:val="28"/>
          <w:szCs w:val="21"/>
        </w:rPr>
        <w:t>2-6-13。</w:t>
      </w:r>
    </w:p>
    <w:p w14:paraId="52EBDBF3">
      <w:pPr>
        <w:spacing w:line="480" w:lineRule="exact"/>
        <w:jc w:val="center"/>
        <w:rPr>
          <w:rFonts w:eastAsia="黑体"/>
          <w:sz w:val="28"/>
          <w:szCs w:val="21"/>
        </w:rPr>
      </w:pPr>
      <w:r>
        <w:rPr>
          <w:rFonts w:eastAsia="黑体"/>
          <w:sz w:val="28"/>
          <w:szCs w:val="21"/>
        </w:rPr>
        <w:t>表2-6-13 利用成本逼近法测算公共管理与公共服务用地级别平均地价表</w:t>
      </w:r>
    </w:p>
    <w:p w14:paraId="4C8C3CA9">
      <w:pPr>
        <w:jc w:val="right"/>
        <w:rPr>
          <w:rFonts w:eastAsia="黑体"/>
          <w:sz w:val="28"/>
          <w:szCs w:val="21"/>
        </w:rPr>
      </w:pPr>
      <w:r>
        <w:rPr>
          <w:rFonts w:eastAsia="楷体_GB2312"/>
          <w:szCs w:val="21"/>
        </w:rPr>
        <w:t>单位：元/平方米</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891"/>
        <w:gridCol w:w="936"/>
        <w:gridCol w:w="937"/>
        <w:gridCol w:w="936"/>
        <w:gridCol w:w="937"/>
        <w:gridCol w:w="936"/>
        <w:gridCol w:w="937"/>
        <w:gridCol w:w="937"/>
        <w:gridCol w:w="916"/>
      </w:tblGrid>
      <w:tr w14:paraId="6D71A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9" w:type="dxa"/>
            <w:vMerge w:val="restart"/>
            <w:noWrap w:val="0"/>
            <w:vAlign w:val="center"/>
          </w:tcPr>
          <w:p w14:paraId="13FA7907">
            <w:pPr>
              <w:widowControl w:val="0"/>
              <w:spacing w:line="300" w:lineRule="exact"/>
              <w:jc w:val="center"/>
              <w:rPr>
                <w:rFonts w:eastAsia="楷体_GB2312"/>
                <w:szCs w:val="21"/>
              </w:rPr>
            </w:pPr>
            <w:r>
              <w:rPr>
                <w:rFonts w:eastAsia="楷体_GB2312"/>
                <w:szCs w:val="21"/>
              </w:rPr>
              <w:t>乡镇名称</w:t>
            </w:r>
          </w:p>
        </w:tc>
        <w:tc>
          <w:tcPr>
            <w:tcW w:w="891" w:type="dxa"/>
            <w:vMerge w:val="restart"/>
            <w:noWrap w:val="0"/>
            <w:vAlign w:val="center"/>
          </w:tcPr>
          <w:p w14:paraId="3C3B3291">
            <w:pPr>
              <w:widowControl w:val="0"/>
              <w:spacing w:line="300" w:lineRule="exact"/>
              <w:jc w:val="center"/>
              <w:rPr>
                <w:rFonts w:eastAsia="楷体_GB2312"/>
                <w:szCs w:val="21"/>
              </w:rPr>
            </w:pPr>
            <w:r>
              <w:rPr>
                <w:rFonts w:eastAsia="楷体_GB2312"/>
                <w:szCs w:val="21"/>
              </w:rPr>
              <w:t>级别</w:t>
            </w:r>
          </w:p>
        </w:tc>
        <w:tc>
          <w:tcPr>
            <w:tcW w:w="7472" w:type="dxa"/>
            <w:gridSpan w:val="8"/>
            <w:noWrap w:val="0"/>
            <w:vAlign w:val="center"/>
          </w:tcPr>
          <w:p w14:paraId="31D33333">
            <w:pPr>
              <w:widowControl w:val="0"/>
              <w:spacing w:line="300" w:lineRule="exact"/>
              <w:jc w:val="center"/>
              <w:rPr>
                <w:rFonts w:eastAsia="楷体_GB2312"/>
                <w:szCs w:val="21"/>
              </w:rPr>
            </w:pPr>
            <w:r>
              <w:rPr>
                <w:rFonts w:eastAsia="楷体_GB2312"/>
                <w:szCs w:val="21"/>
              </w:rPr>
              <w:t>用地类型</w:t>
            </w:r>
          </w:p>
        </w:tc>
      </w:tr>
      <w:tr w14:paraId="12FEB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9" w:type="dxa"/>
            <w:vMerge w:val="continue"/>
            <w:noWrap w:val="0"/>
            <w:vAlign w:val="center"/>
          </w:tcPr>
          <w:p w14:paraId="56896897">
            <w:pPr>
              <w:widowControl w:val="0"/>
              <w:spacing w:line="300" w:lineRule="exact"/>
              <w:jc w:val="center"/>
              <w:rPr>
                <w:rFonts w:eastAsia="楷体_GB2312"/>
                <w:szCs w:val="21"/>
              </w:rPr>
            </w:pPr>
          </w:p>
        </w:tc>
        <w:tc>
          <w:tcPr>
            <w:tcW w:w="891" w:type="dxa"/>
            <w:vMerge w:val="continue"/>
            <w:noWrap w:val="0"/>
            <w:vAlign w:val="center"/>
          </w:tcPr>
          <w:p w14:paraId="3E980973">
            <w:pPr>
              <w:widowControl w:val="0"/>
              <w:spacing w:line="300" w:lineRule="exact"/>
              <w:jc w:val="center"/>
              <w:rPr>
                <w:rFonts w:eastAsia="楷体_GB2312"/>
                <w:szCs w:val="21"/>
              </w:rPr>
            </w:pPr>
          </w:p>
        </w:tc>
        <w:tc>
          <w:tcPr>
            <w:tcW w:w="936" w:type="dxa"/>
            <w:noWrap w:val="0"/>
            <w:vAlign w:val="center"/>
          </w:tcPr>
          <w:p w14:paraId="2BD7E323">
            <w:pPr>
              <w:spacing w:line="300" w:lineRule="exact"/>
              <w:jc w:val="center"/>
              <w:rPr>
                <w:rFonts w:eastAsia="楷体_GB2312"/>
                <w:szCs w:val="21"/>
              </w:rPr>
            </w:pPr>
            <w:r>
              <w:rPr>
                <w:rFonts w:eastAsia="楷体_GB2312"/>
                <w:szCs w:val="21"/>
              </w:rPr>
              <w:t>新闻出版用地</w:t>
            </w:r>
          </w:p>
        </w:tc>
        <w:tc>
          <w:tcPr>
            <w:tcW w:w="937" w:type="dxa"/>
            <w:noWrap w:val="0"/>
            <w:vAlign w:val="center"/>
          </w:tcPr>
          <w:p w14:paraId="4FC77F48">
            <w:pPr>
              <w:spacing w:line="300" w:lineRule="exact"/>
              <w:jc w:val="center"/>
              <w:rPr>
                <w:rFonts w:eastAsia="楷体_GB2312"/>
                <w:szCs w:val="21"/>
              </w:rPr>
            </w:pPr>
            <w:r>
              <w:rPr>
                <w:rFonts w:eastAsia="楷体_GB2312"/>
                <w:szCs w:val="21"/>
              </w:rPr>
              <w:t>医疗卫生用地</w:t>
            </w:r>
          </w:p>
        </w:tc>
        <w:tc>
          <w:tcPr>
            <w:tcW w:w="936" w:type="dxa"/>
            <w:noWrap w:val="0"/>
            <w:vAlign w:val="center"/>
          </w:tcPr>
          <w:p w14:paraId="037E4D50">
            <w:pPr>
              <w:spacing w:line="300" w:lineRule="exact"/>
              <w:jc w:val="center"/>
              <w:rPr>
                <w:rFonts w:eastAsia="楷体_GB2312"/>
                <w:szCs w:val="21"/>
              </w:rPr>
            </w:pPr>
            <w:r>
              <w:rPr>
                <w:rFonts w:eastAsia="楷体_GB2312"/>
                <w:szCs w:val="21"/>
              </w:rPr>
              <w:t>文化设施用地</w:t>
            </w:r>
          </w:p>
        </w:tc>
        <w:tc>
          <w:tcPr>
            <w:tcW w:w="937" w:type="dxa"/>
            <w:noWrap w:val="0"/>
            <w:vAlign w:val="center"/>
          </w:tcPr>
          <w:p w14:paraId="0917D161">
            <w:pPr>
              <w:spacing w:line="300" w:lineRule="exact"/>
              <w:jc w:val="center"/>
              <w:rPr>
                <w:rFonts w:eastAsia="楷体_GB2312"/>
                <w:szCs w:val="21"/>
              </w:rPr>
            </w:pPr>
            <w:r>
              <w:rPr>
                <w:rFonts w:eastAsia="楷体_GB2312"/>
                <w:szCs w:val="21"/>
              </w:rPr>
              <w:t>体育用</w:t>
            </w:r>
            <w:r>
              <w:rPr>
                <w:rFonts w:hint="eastAsia" w:eastAsia="楷体_GB2312"/>
                <w:szCs w:val="21"/>
              </w:rPr>
              <w:t>地</w:t>
            </w:r>
          </w:p>
        </w:tc>
        <w:tc>
          <w:tcPr>
            <w:tcW w:w="936" w:type="dxa"/>
            <w:noWrap w:val="0"/>
            <w:vAlign w:val="center"/>
          </w:tcPr>
          <w:p w14:paraId="15EE54DF">
            <w:pPr>
              <w:spacing w:line="300" w:lineRule="exact"/>
              <w:jc w:val="center"/>
              <w:rPr>
                <w:rFonts w:eastAsia="楷体_GB2312"/>
                <w:szCs w:val="21"/>
              </w:rPr>
            </w:pPr>
            <w:r>
              <w:rPr>
                <w:rFonts w:eastAsia="楷体_GB2312"/>
                <w:szCs w:val="21"/>
              </w:rPr>
              <w:t>教育用地</w:t>
            </w:r>
          </w:p>
        </w:tc>
        <w:tc>
          <w:tcPr>
            <w:tcW w:w="937" w:type="dxa"/>
            <w:noWrap w:val="0"/>
            <w:vAlign w:val="center"/>
          </w:tcPr>
          <w:p w14:paraId="564964F6">
            <w:pPr>
              <w:spacing w:line="300" w:lineRule="exact"/>
              <w:jc w:val="center"/>
              <w:rPr>
                <w:rFonts w:eastAsia="楷体_GB2312"/>
                <w:szCs w:val="21"/>
              </w:rPr>
            </w:pPr>
            <w:r>
              <w:rPr>
                <w:rFonts w:eastAsia="楷体_GB2312"/>
                <w:szCs w:val="21"/>
              </w:rPr>
              <w:t>科研用地</w:t>
            </w:r>
          </w:p>
        </w:tc>
        <w:tc>
          <w:tcPr>
            <w:tcW w:w="937" w:type="dxa"/>
            <w:noWrap w:val="0"/>
            <w:vAlign w:val="center"/>
          </w:tcPr>
          <w:p w14:paraId="30C6D320">
            <w:pPr>
              <w:spacing w:line="300" w:lineRule="exact"/>
              <w:jc w:val="center"/>
              <w:rPr>
                <w:rFonts w:eastAsia="楷体_GB2312"/>
                <w:szCs w:val="21"/>
              </w:rPr>
            </w:pPr>
            <w:r>
              <w:rPr>
                <w:rFonts w:eastAsia="楷体_GB2312"/>
                <w:szCs w:val="21"/>
              </w:rPr>
              <w:t>社会福利用地</w:t>
            </w:r>
          </w:p>
        </w:tc>
        <w:tc>
          <w:tcPr>
            <w:tcW w:w="916" w:type="dxa"/>
            <w:noWrap w:val="0"/>
            <w:vAlign w:val="center"/>
          </w:tcPr>
          <w:p w14:paraId="0F32DBB5">
            <w:pPr>
              <w:spacing w:line="300" w:lineRule="exact"/>
              <w:jc w:val="center"/>
              <w:rPr>
                <w:rFonts w:eastAsia="楷体_GB2312"/>
                <w:szCs w:val="21"/>
              </w:rPr>
            </w:pPr>
            <w:r>
              <w:rPr>
                <w:rFonts w:eastAsia="楷体_GB2312"/>
                <w:szCs w:val="21"/>
              </w:rPr>
              <w:t>公用设施用地</w:t>
            </w:r>
          </w:p>
        </w:tc>
      </w:tr>
      <w:tr w14:paraId="7F9E9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14:paraId="703ECF60">
            <w:pPr>
              <w:widowControl w:val="0"/>
              <w:spacing w:line="300" w:lineRule="exact"/>
              <w:jc w:val="center"/>
              <w:rPr>
                <w:rFonts w:eastAsia="楷体_GB2312"/>
                <w:szCs w:val="21"/>
              </w:rPr>
            </w:pPr>
            <w:r>
              <w:rPr>
                <w:rFonts w:hint="eastAsia" w:eastAsia="楷体_GB2312"/>
                <w:szCs w:val="21"/>
              </w:rPr>
              <w:t>符离镇</w:t>
            </w:r>
          </w:p>
        </w:tc>
        <w:tc>
          <w:tcPr>
            <w:tcW w:w="891" w:type="dxa"/>
            <w:noWrap w:val="0"/>
            <w:vAlign w:val="center"/>
          </w:tcPr>
          <w:p w14:paraId="74D3D23B">
            <w:pPr>
              <w:widowControl w:val="0"/>
              <w:spacing w:line="300" w:lineRule="exact"/>
              <w:jc w:val="center"/>
              <w:rPr>
                <w:rFonts w:eastAsia="楷体_GB2312"/>
                <w:szCs w:val="21"/>
              </w:rPr>
            </w:pPr>
            <w:r>
              <w:rPr>
                <w:rFonts w:eastAsia="楷体_GB2312"/>
                <w:szCs w:val="21"/>
              </w:rPr>
              <w:t>一级地</w:t>
            </w:r>
          </w:p>
        </w:tc>
        <w:tc>
          <w:tcPr>
            <w:tcW w:w="936" w:type="dxa"/>
            <w:noWrap w:val="0"/>
            <w:vAlign w:val="center"/>
          </w:tcPr>
          <w:p w14:paraId="4D6C4FA3">
            <w:pPr>
              <w:jc w:val="center"/>
              <w:rPr>
                <w:rFonts w:ascii="宋体" w:hAnsi="宋体" w:cs="宋体"/>
                <w:sz w:val="22"/>
                <w:szCs w:val="22"/>
              </w:rPr>
            </w:pPr>
            <w:r>
              <w:rPr>
                <w:rFonts w:hint="eastAsia"/>
                <w:sz w:val="22"/>
                <w:szCs w:val="22"/>
              </w:rPr>
              <w:t>444</w:t>
            </w:r>
          </w:p>
        </w:tc>
        <w:tc>
          <w:tcPr>
            <w:tcW w:w="937" w:type="dxa"/>
            <w:noWrap w:val="0"/>
            <w:vAlign w:val="center"/>
          </w:tcPr>
          <w:p w14:paraId="55A253EE">
            <w:pPr>
              <w:jc w:val="center"/>
              <w:rPr>
                <w:rFonts w:ascii="宋体" w:hAnsi="宋体" w:cs="宋体"/>
                <w:sz w:val="22"/>
                <w:szCs w:val="22"/>
              </w:rPr>
            </w:pPr>
            <w:r>
              <w:rPr>
                <w:rFonts w:hint="eastAsia"/>
                <w:sz w:val="22"/>
                <w:szCs w:val="22"/>
              </w:rPr>
              <w:t>422</w:t>
            </w:r>
          </w:p>
        </w:tc>
        <w:tc>
          <w:tcPr>
            <w:tcW w:w="936" w:type="dxa"/>
            <w:noWrap w:val="0"/>
            <w:vAlign w:val="center"/>
          </w:tcPr>
          <w:p w14:paraId="76B9ADCA">
            <w:pPr>
              <w:jc w:val="center"/>
              <w:rPr>
                <w:rFonts w:ascii="宋体" w:hAnsi="宋体" w:cs="宋体"/>
                <w:sz w:val="22"/>
                <w:szCs w:val="22"/>
              </w:rPr>
            </w:pPr>
            <w:r>
              <w:rPr>
                <w:rFonts w:hint="eastAsia"/>
                <w:sz w:val="22"/>
                <w:szCs w:val="22"/>
              </w:rPr>
              <w:t>408</w:t>
            </w:r>
          </w:p>
        </w:tc>
        <w:tc>
          <w:tcPr>
            <w:tcW w:w="937" w:type="dxa"/>
            <w:noWrap w:val="0"/>
            <w:vAlign w:val="center"/>
          </w:tcPr>
          <w:p w14:paraId="77ECABF3">
            <w:pPr>
              <w:jc w:val="center"/>
              <w:rPr>
                <w:rFonts w:ascii="宋体" w:hAnsi="宋体" w:cs="宋体"/>
                <w:sz w:val="22"/>
                <w:szCs w:val="22"/>
              </w:rPr>
            </w:pPr>
            <w:r>
              <w:rPr>
                <w:rFonts w:hint="eastAsia"/>
                <w:sz w:val="22"/>
                <w:szCs w:val="22"/>
              </w:rPr>
              <w:t>408</w:t>
            </w:r>
          </w:p>
        </w:tc>
        <w:tc>
          <w:tcPr>
            <w:tcW w:w="936" w:type="dxa"/>
            <w:noWrap w:val="0"/>
            <w:vAlign w:val="center"/>
          </w:tcPr>
          <w:p w14:paraId="33E22F2E">
            <w:pPr>
              <w:jc w:val="center"/>
              <w:rPr>
                <w:rFonts w:ascii="宋体" w:hAnsi="宋体" w:cs="宋体"/>
                <w:sz w:val="22"/>
                <w:szCs w:val="22"/>
              </w:rPr>
            </w:pPr>
            <w:r>
              <w:rPr>
                <w:rFonts w:hint="eastAsia"/>
                <w:sz w:val="22"/>
                <w:szCs w:val="22"/>
              </w:rPr>
              <w:t>394</w:t>
            </w:r>
          </w:p>
        </w:tc>
        <w:tc>
          <w:tcPr>
            <w:tcW w:w="937" w:type="dxa"/>
            <w:noWrap w:val="0"/>
            <w:vAlign w:val="center"/>
          </w:tcPr>
          <w:p w14:paraId="4D179FE3">
            <w:pPr>
              <w:jc w:val="center"/>
              <w:rPr>
                <w:rFonts w:ascii="宋体" w:hAnsi="宋体" w:cs="宋体"/>
                <w:sz w:val="22"/>
                <w:szCs w:val="22"/>
              </w:rPr>
            </w:pPr>
            <w:r>
              <w:rPr>
                <w:rFonts w:hint="eastAsia"/>
                <w:sz w:val="22"/>
                <w:szCs w:val="22"/>
              </w:rPr>
              <w:t>394</w:t>
            </w:r>
          </w:p>
        </w:tc>
        <w:tc>
          <w:tcPr>
            <w:tcW w:w="937" w:type="dxa"/>
            <w:noWrap w:val="0"/>
            <w:vAlign w:val="center"/>
          </w:tcPr>
          <w:p w14:paraId="4A0BEBFD">
            <w:pPr>
              <w:jc w:val="center"/>
              <w:rPr>
                <w:rFonts w:ascii="宋体" w:hAnsi="宋体" w:cs="宋体"/>
                <w:sz w:val="22"/>
                <w:szCs w:val="22"/>
              </w:rPr>
            </w:pPr>
            <w:r>
              <w:rPr>
                <w:rFonts w:hint="eastAsia"/>
                <w:sz w:val="22"/>
                <w:szCs w:val="22"/>
              </w:rPr>
              <w:t>378</w:t>
            </w:r>
          </w:p>
        </w:tc>
        <w:tc>
          <w:tcPr>
            <w:tcW w:w="916" w:type="dxa"/>
            <w:noWrap w:val="0"/>
            <w:vAlign w:val="center"/>
          </w:tcPr>
          <w:p w14:paraId="5AA4364A">
            <w:pPr>
              <w:jc w:val="center"/>
              <w:rPr>
                <w:rFonts w:ascii="宋体" w:hAnsi="宋体" w:cs="宋体"/>
                <w:sz w:val="22"/>
                <w:szCs w:val="22"/>
              </w:rPr>
            </w:pPr>
            <w:r>
              <w:rPr>
                <w:rFonts w:hint="eastAsia"/>
                <w:sz w:val="22"/>
                <w:szCs w:val="22"/>
              </w:rPr>
              <w:t>356</w:t>
            </w:r>
          </w:p>
        </w:tc>
      </w:tr>
      <w:tr w14:paraId="660F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4E07DFF2">
            <w:pPr>
              <w:widowControl w:val="0"/>
              <w:spacing w:line="300" w:lineRule="exact"/>
              <w:jc w:val="center"/>
              <w:rPr>
                <w:rFonts w:eastAsia="楷体_GB2312"/>
                <w:szCs w:val="21"/>
              </w:rPr>
            </w:pPr>
          </w:p>
        </w:tc>
        <w:tc>
          <w:tcPr>
            <w:tcW w:w="891" w:type="dxa"/>
            <w:noWrap w:val="0"/>
            <w:vAlign w:val="center"/>
          </w:tcPr>
          <w:p w14:paraId="74562807">
            <w:pPr>
              <w:widowControl w:val="0"/>
              <w:spacing w:line="300" w:lineRule="exact"/>
              <w:jc w:val="center"/>
              <w:rPr>
                <w:rFonts w:eastAsia="楷体_GB2312"/>
                <w:szCs w:val="21"/>
              </w:rPr>
            </w:pPr>
            <w:r>
              <w:rPr>
                <w:rFonts w:eastAsia="楷体_GB2312"/>
                <w:szCs w:val="21"/>
              </w:rPr>
              <w:t>二级地</w:t>
            </w:r>
          </w:p>
        </w:tc>
        <w:tc>
          <w:tcPr>
            <w:tcW w:w="936" w:type="dxa"/>
            <w:noWrap w:val="0"/>
            <w:vAlign w:val="center"/>
          </w:tcPr>
          <w:p w14:paraId="2C256370">
            <w:pPr>
              <w:jc w:val="center"/>
              <w:rPr>
                <w:rFonts w:ascii="宋体" w:hAnsi="宋体" w:cs="宋体"/>
                <w:sz w:val="22"/>
                <w:szCs w:val="22"/>
              </w:rPr>
            </w:pPr>
            <w:r>
              <w:rPr>
                <w:rFonts w:hint="eastAsia"/>
                <w:sz w:val="22"/>
                <w:szCs w:val="22"/>
              </w:rPr>
              <w:t>330</w:t>
            </w:r>
          </w:p>
        </w:tc>
        <w:tc>
          <w:tcPr>
            <w:tcW w:w="937" w:type="dxa"/>
            <w:noWrap w:val="0"/>
            <w:vAlign w:val="center"/>
          </w:tcPr>
          <w:p w14:paraId="3251B18D">
            <w:pPr>
              <w:jc w:val="center"/>
              <w:rPr>
                <w:rFonts w:ascii="宋体" w:hAnsi="宋体" w:cs="宋体"/>
                <w:sz w:val="22"/>
                <w:szCs w:val="22"/>
              </w:rPr>
            </w:pPr>
            <w:r>
              <w:rPr>
                <w:rFonts w:hint="eastAsia"/>
                <w:sz w:val="22"/>
                <w:szCs w:val="22"/>
              </w:rPr>
              <w:t>318</w:t>
            </w:r>
          </w:p>
        </w:tc>
        <w:tc>
          <w:tcPr>
            <w:tcW w:w="936" w:type="dxa"/>
            <w:noWrap w:val="0"/>
            <w:vAlign w:val="center"/>
          </w:tcPr>
          <w:p w14:paraId="76BAA80C">
            <w:pPr>
              <w:jc w:val="center"/>
              <w:rPr>
                <w:rFonts w:ascii="宋体" w:hAnsi="宋体" w:cs="宋体"/>
                <w:sz w:val="22"/>
                <w:szCs w:val="22"/>
              </w:rPr>
            </w:pPr>
            <w:r>
              <w:rPr>
                <w:rFonts w:hint="eastAsia"/>
                <w:sz w:val="22"/>
                <w:szCs w:val="22"/>
              </w:rPr>
              <w:t>312</w:t>
            </w:r>
          </w:p>
        </w:tc>
        <w:tc>
          <w:tcPr>
            <w:tcW w:w="937" w:type="dxa"/>
            <w:noWrap w:val="0"/>
            <w:vAlign w:val="center"/>
          </w:tcPr>
          <w:p w14:paraId="24398529">
            <w:pPr>
              <w:jc w:val="center"/>
              <w:rPr>
                <w:rFonts w:ascii="宋体" w:hAnsi="宋体" w:cs="宋体"/>
                <w:sz w:val="22"/>
                <w:szCs w:val="22"/>
              </w:rPr>
            </w:pPr>
            <w:r>
              <w:rPr>
                <w:rFonts w:hint="eastAsia"/>
                <w:sz w:val="22"/>
                <w:szCs w:val="22"/>
              </w:rPr>
              <w:t>312</w:t>
            </w:r>
          </w:p>
        </w:tc>
        <w:tc>
          <w:tcPr>
            <w:tcW w:w="936" w:type="dxa"/>
            <w:noWrap w:val="0"/>
            <w:vAlign w:val="center"/>
          </w:tcPr>
          <w:p w14:paraId="1CF19954">
            <w:pPr>
              <w:jc w:val="center"/>
              <w:rPr>
                <w:rFonts w:ascii="宋体" w:hAnsi="宋体" w:cs="宋体"/>
                <w:sz w:val="22"/>
                <w:szCs w:val="22"/>
              </w:rPr>
            </w:pPr>
            <w:r>
              <w:rPr>
                <w:rFonts w:hint="eastAsia"/>
                <w:sz w:val="22"/>
                <w:szCs w:val="22"/>
              </w:rPr>
              <w:t>302</w:t>
            </w:r>
          </w:p>
        </w:tc>
        <w:tc>
          <w:tcPr>
            <w:tcW w:w="937" w:type="dxa"/>
            <w:noWrap w:val="0"/>
            <w:vAlign w:val="center"/>
          </w:tcPr>
          <w:p w14:paraId="256909B6">
            <w:pPr>
              <w:jc w:val="center"/>
              <w:rPr>
                <w:rFonts w:ascii="宋体" w:hAnsi="宋体" w:cs="宋体"/>
                <w:sz w:val="22"/>
                <w:szCs w:val="22"/>
              </w:rPr>
            </w:pPr>
            <w:r>
              <w:rPr>
                <w:rFonts w:hint="eastAsia"/>
                <w:sz w:val="22"/>
                <w:szCs w:val="22"/>
              </w:rPr>
              <w:t>302</w:t>
            </w:r>
          </w:p>
        </w:tc>
        <w:tc>
          <w:tcPr>
            <w:tcW w:w="937" w:type="dxa"/>
            <w:noWrap w:val="0"/>
            <w:vAlign w:val="center"/>
          </w:tcPr>
          <w:p w14:paraId="06E6CDBB">
            <w:pPr>
              <w:jc w:val="center"/>
              <w:rPr>
                <w:rFonts w:ascii="宋体" w:hAnsi="宋体" w:cs="宋体"/>
                <w:sz w:val="22"/>
                <w:szCs w:val="22"/>
              </w:rPr>
            </w:pPr>
            <w:r>
              <w:rPr>
                <w:rFonts w:hint="eastAsia"/>
                <w:sz w:val="22"/>
                <w:szCs w:val="22"/>
              </w:rPr>
              <w:t>294</w:t>
            </w:r>
          </w:p>
        </w:tc>
        <w:tc>
          <w:tcPr>
            <w:tcW w:w="916" w:type="dxa"/>
            <w:noWrap w:val="0"/>
            <w:vAlign w:val="center"/>
          </w:tcPr>
          <w:p w14:paraId="0EF285AB">
            <w:pPr>
              <w:jc w:val="center"/>
              <w:rPr>
                <w:rFonts w:ascii="宋体" w:hAnsi="宋体" w:cs="宋体"/>
                <w:sz w:val="22"/>
                <w:szCs w:val="22"/>
              </w:rPr>
            </w:pPr>
            <w:r>
              <w:rPr>
                <w:rFonts w:hint="eastAsia"/>
                <w:sz w:val="22"/>
                <w:szCs w:val="22"/>
              </w:rPr>
              <w:t>280</w:t>
            </w:r>
          </w:p>
        </w:tc>
      </w:tr>
      <w:tr w14:paraId="08A7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779B9DC4">
            <w:pPr>
              <w:widowControl w:val="0"/>
              <w:spacing w:line="300" w:lineRule="exact"/>
              <w:jc w:val="center"/>
              <w:rPr>
                <w:rFonts w:eastAsia="楷体_GB2312"/>
                <w:szCs w:val="21"/>
              </w:rPr>
            </w:pPr>
          </w:p>
        </w:tc>
        <w:tc>
          <w:tcPr>
            <w:tcW w:w="891" w:type="dxa"/>
            <w:noWrap w:val="0"/>
            <w:vAlign w:val="center"/>
          </w:tcPr>
          <w:p w14:paraId="7EA8528F">
            <w:pPr>
              <w:widowControl w:val="0"/>
              <w:spacing w:line="300" w:lineRule="exact"/>
              <w:jc w:val="center"/>
              <w:rPr>
                <w:rFonts w:eastAsia="楷体_GB2312"/>
                <w:szCs w:val="21"/>
              </w:rPr>
            </w:pPr>
            <w:r>
              <w:rPr>
                <w:rFonts w:eastAsia="楷体_GB2312"/>
                <w:szCs w:val="21"/>
              </w:rPr>
              <w:t>三级地</w:t>
            </w:r>
          </w:p>
        </w:tc>
        <w:tc>
          <w:tcPr>
            <w:tcW w:w="936" w:type="dxa"/>
            <w:noWrap w:val="0"/>
            <w:vAlign w:val="center"/>
          </w:tcPr>
          <w:p w14:paraId="05386618">
            <w:pPr>
              <w:jc w:val="center"/>
              <w:rPr>
                <w:rFonts w:ascii="宋体" w:hAnsi="宋体" w:cs="宋体"/>
                <w:sz w:val="22"/>
                <w:szCs w:val="22"/>
              </w:rPr>
            </w:pPr>
            <w:r>
              <w:rPr>
                <w:rFonts w:hint="eastAsia"/>
                <w:sz w:val="22"/>
                <w:szCs w:val="22"/>
              </w:rPr>
              <w:t>246</w:t>
            </w:r>
          </w:p>
        </w:tc>
        <w:tc>
          <w:tcPr>
            <w:tcW w:w="937" w:type="dxa"/>
            <w:noWrap w:val="0"/>
            <w:vAlign w:val="center"/>
          </w:tcPr>
          <w:p w14:paraId="536CD881">
            <w:pPr>
              <w:jc w:val="center"/>
              <w:rPr>
                <w:rFonts w:ascii="宋体" w:hAnsi="宋体" w:cs="宋体"/>
                <w:sz w:val="22"/>
                <w:szCs w:val="22"/>
              </w:rPr>
            </w:pPr>
            <w:r>
              <w:rPr>
                <w:rFonts w:hint="eastAsia"/>
                <w:sz w:val="22"/>
                <w:szCs w:val="22"/>
              </w:rPr>
              <w:t>237</w:t>
            </w:r>
          </w:p>
        </w:tc>
        <w:tc>
          <w:tcPr>
            <w:tcW w:w="936" w:type="dxa"/>
            <w:noWrap w:val="0"/>
            <w:vAlign w:val="center"/>
          </w:tcPr>
          <w:p w14:paraId="4ECA74CF">
            <w:pPr>
              <w:jc w:val="center"/>
              <w:rPr>
                <w:rFonts w:ascii="宋体" w:hAnsi="宋体" w:cs="宋体"/>
                <w:sz w:val="22"/>
                <w:szCs w:val="22"/>
              </w:rPr>
            </w:pPr>
            <w:r>
              <w:rPr>
                <w:rFonts w:hint="eastAsia"/>
                <w:sz w:val="22"/>
                <w:szCs w:val="22"/>
              </w:rPr>
              <w:t>232</w:t>
            </w:r>
          </w:p>
        </w:tc>
        <w:tc>
          <w:tcPr>
            <w:tcW w:w="937" w:type="dxa"/>
            <w:noWrap w:val="0"/>
            <w:vAlign w:val="center"/>
          </w:tcPr>
          <w:p w14:paraId="0E3C9E18">
            <w:pPr>
              <w:jc w:val="center"/>
              <w:rPr>
                <w:rFonts w:ascii="宋体" w:hAnsi="宋体" w:cs="宋体"/>
                <w:sz w:val="22"/>
                <w:szCs w:val="22"/>
              </w:rPr>
            </w:pPr>
            <w:r>
              <w:rPr>
                <w:rFonts w:hint="eastAsia"/>
                <w:sz w:val="22"/>
                <w:szCs w:val="22"/>
              </w:rPr>
              <w:t>232</w:t>
            </w:r>
          </w:p>
        </w:tc>
        <w:tc>
          <w:tcPr>
            <w:tcW w:w="936" w:type="dxa"/>
            <w:noWrap w:val="0"/>
            <w:vAlign w:val="center"/>
          </w:tcPr>
          <w:p w14:paraId="688D4CE5">
            <w:pPr>
              <w:jc w:val="center"/>
              <w:rPr>
                <w:rFonts w:ascii="宋体" w:hAnsi="宋体" w:cs="宋体"/>
                <w:sz w:val="22"/>
                <w:szCs w:val="22"/>
              </w:rPr>
            </w:pPr>
            <w:r>
              <w:rPr>
                <w:rFonts w:hint="eastAsia"/>
                <w:sz w:val="22"/>
                <w:szCs w:val="22"/>
              </w:rPr>
              <w:t>228</w:t>
            </w:r>
          </w:p>
        </w:tc>
        <w:tc>
          <w:tcPr>
            <w:tcW w:w="937" w:type="dxa"/>
            <w:noWrap w:val="0"/>
            <w:vAlign w:val="center"/>
          </w:tcPr>
          <w:p w14:paraId="0BFD537E">
            <w:pPr>
              <w:jc w:val="center"/>
              <w:rPr>
                <w:rFonts w:ascii="宋体" w:hAnsi="宋体" w:cs="宋体"/>
                <w:sz w:val="22"/>
                <w:szCs w:val="22"/>
              </w:rPr>
            </w:pPr>
            <w:r>
              <w:rPr>
                <w:rFonts w:hint="eastAsia"/>
                <w:sz w:val="22"/>
                <w:szCs w:val="22"/>
              </w:rPr>
              <w:t>228</w:t>
            </w:r>
          </w:p>
        </w:tc>
        <w:tc>
          <w:tcPr>
            <w:tcW w:w="937" w:type="dxa"/>
            <w:noWrap w:val="0"/>
            <w:vAlign w:val="center"/>
          </w:tcPr>
          <w:p w14:paraId="70C9D48C">
            <w:pPr>
              <w:jc w:val="center"/>
              <w:rPr>
                <w:rFonts w:ascii="宋体" w:hAnsi="宋体" w:cs="宋体"/>
                <w:sz w:val="22"/>
                <w:szCs w:val="22"/>
              </w:rPr>
            </w:pPr>
            <w:r>
              <w:rPr>
                <w:rFonts w:hint="eastAsia"/>
                <w:sz w:val="22"/>
                <w:szCs w:val="22"/>
              </w:rPr>
              <w:t>222</w:t>
            </w:r>
          </w:p>
        </w:tc>
        <w:tc>
          <w:tcPr>
            <w:tcW w:w="916" w:type="dxa"/>
            <w:noWrap w:val="0"/>
            <w:vAlign w:val="center"/>
          </w:tcPr>
          <w:p w14:paraId="70A53352">
            <w:pPr>
              <w:jc w:val="center"/>
              <w:rPr>
                <w:rFonts w:ascii="宋体" w:hAnsi="宋体" w:cs="宋体"/>
                <w:sz w:val="22"/>
                <w:szCs w:val="22"/>
              </w:rPr>
            </w:pPr>
            <w:r>
              <w:rPr>
                <w:rFonts w:hint="eastAsia"/>
                <w:sz w:val="22"/>
                <w:szCs w:val="22"/>
              </w:rPr>
              <w:t>218</w:t>
            </w:r>
          </w:p>
        </w:tc>
      </w:tr>
      <w:tr w14:paraId="6D93E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14:paraId="0A735B41">
            <w:pPr>
              <w:widowControl w:val="0"/>
              <w:spacing w:line="300" w:lineRule="exact"/>
              <w:jc w:val="center"/>
              <w:rPr>
                <w:rFonts w:eastAsia="楷体_GB2312"/>
                <w:szCs w:val="21"/>
              </w:rPr>
            </w:pPr>
            <w:r>
              <w:rPr>
                <w:rFonts w:hint="eastAsia" w:eastAsia="楷体_GB2312"/>
                <w:szCs w:val="21"/>
              </w:rPr>
              <w:t>朱仙庄镇</w:t>
            </w:r>
          </w:p>
        </w:tc>
        <w:tc>
          <w:tcPr>
            <w:tcW w:w="891" w:type="dxa"/>
            <w:noWrap w:val="0"/>
            <w:vAlign w:val="center"/>
          </w:tcPr>
          <w:p w14:paraId="1076C8A5">
            <w:pPr>
              <w:widowControl w:val="0"/>
              <w:spacing w:line="300" w:lineRule="exact"/>
              <w:jc w:val="center"/>
              <w:rPr>
                <w:rFonts w:eastAsia="楷体_GB2312"/>
                <w:szCs w:val="21"/>
              </w:rPr>
            </w:pPr>
            <w:r>
              <w:rPr>
                <w:rFonts w:eastAsia="楷体_GB2312"/>
                <w:szCs w:val="21"/>
              </w:rPr>
              <w:t>一级地</w:t>
            </w:r>
          </w:p>
        </w:tc>
        <w:tc>
          <w:tcPr>
            <w:tcW w:w="936" w:type="dxa"/>
            <w:noWrap w:val="0"/>
            <w:vAlign w:val="center"/>
          </w:tcPr>
          <w:p w14:paraId="14A27566">
            <w:pPr>
              <w:jc w:val="center"/>
              <w:rPr>
                <w:rFonts w:ascii="宋体" w:hAnsi="宋体" w:cs="宋体"/>
                <w:sz w:val="22"/>
                <w:szCs w:val="22"/>
              </w:rPr>
            </w:pPr>
            <w:r>
              <w:rPr>
                <w:rFonts w:hint="eastAsia"/>
                <w:sz w:val="22"/>
                <w:szCs w:val="22"/>
              </w:rPr>
              <w:t>427</w:t>
            </w:r>
          </w:p>
        </w:tc>
        <w:tc>
          <w:tcPr>
            <w:tcW w:w="937" w:type="dxa"/>
            <w:noWrap w:val="0"/>
            <w:vAlign w:val="center"/>
          </w:tcPr>
          <w:p w14:paraId="62AE0C7B">
            <w:pPr>
              <w:jc w:val="center"/>
              <w:rPr>
                <w:rFonts w:ascii="宋体" w:hAnsi="宋体" w:cs="宋体"/>
                <w:sz w:val="22"/>
                <w:szCs w:val="22"/>
              </w:rPr>
            </w:pPr>
            <w:r>
              <w:rPr>
                <w:rFonts w:hint="eastAsia"/>
                <w:sz w:val="22"/>
                <w:szCs w:val="22"/>
              </w:rPr>
              <w:t>407</w:t>
            </w:r>
          </w:p>
        </w:tc>
        <w:tc>
          <w:tcPr>
            <w:tcW w:w="936" w:type="dxa"/>
            <w:noWrap w:val="0"/>
            <w:vAlign w:val="center"/>
          </w:tcPr>
          <w:p w14:paraId="6AA37DAC">
            <w:pPr>
              <w:jc w:val="center"/>
              <w:rPr>
                <w:rFonts w:ascii="宋体" w:hAnsi="宋体" w:cs="宋体"/>
                <w:sz w:val="22"/>
                <w:szCs w:val="22"/>
              </w:rPr>
            </w:pPr>
            <w:r>
              <w:rPr>
                <w:rFonts w:hint="eastAsia"/>
                <w:sz w:val="22"/>
                <w:szCs w:val="22"/>
              </w:rPr>
              <w:t>395</w:t>
            </w:r>
          </w:p>
        </w:tc>
        <w:tc>
          <w:tcPr>
            <w:tcW w:w="937" w:type="dxa"/>
            <w:noWrap w:val="0"/>
            <w:vAlign w:val="center"/>
          </w:tcPr>
          <w:p w14:paraId="508C65C6">
            <w:pPr>
              <w:jc w:val="center"/>
              <w:rPr>
                <w:rFonts w:ascii="宋体" w:hAnsi="宋体" w:cs="宋体"/>
                <w:sz w:val="22"/>
                <w:szCs w:val="22"/>
              </w:rPr>
            </w:pPr>
            <w:r>
              <w:rPr>
                <w:rFonts w:hint="eastAsia"/>
                <w:sz w:val="22"/>
                <w:szCs w:val="22"/>
              </w:rPr>
              <w:t>395</w:t>
            </w:r>
          </w:p>
        </w:tc>
        <w:tc>
          <w:tcPr>
            <w:tcW w:w="936" w:type="dxa"/>
            <w:noWrap w:val="0"/>
            <w:vAlign w:val="center"/>
          </w:tcPr>
          <w:p w14:paraId="72722522">
            <w:pPr>
              <w:jc w:val="center"/>
              <w:rPr>
                <w:rFonts w:ascii="宋体" w:hAnsi="宋体" w:cs="宋体"/>
                <w:sz w:val="22"/>
                <w:szCs w:val="22"/>
              </w:rPr>
            </w:pPr>
            <w:r>
              <w:rPr>
                <w:rFonts w:hint="eastAsia"/>
                <w:sz w:val="22"/>
                <w:szCs w:val="22"/>
              </w:rPr>
              <w:t>381</w:t>
            </w:r>
          </w:p>
        </w:tc>
        <w:tc>
          <w:tcPr>
            <w:tcW w:w="937" w:type="dxa"/>
            <w:noWrap w:val="0"/>
            <w:vAlign w:val="center"/>
          </w:tcPr>
          <w:p w14:paraId="3994B8F7">
            <w:pPr>
              <w:jc w:val="center"/>
              <w:rPr>
                <w:rFonts w:ascii="宋体" w:hAnsi="宋体" w:cs="宋体"/>
                <w:sz w:val="22"/>
                <w:szCs w:val="22"/>
              </w:rPr>
            </w:pPr>
            <w:r>
              <w:rPr>
                <w:rFonts w:hint="eastAsia"/>
                <w:sz w:val="22"/>
                <w:szCs w:val="22"/>
              </w:rPr>
              <w:t>381</w:t>
            </w:r>
          </w:p>
        </w:tc>
        <w:tc>
          <w:tcPr>
            <w:tcW w:w="937" w:type="dxa"/>
            <w:noWrap w:val="0"/>
            <w:vAlign w:val="center"/>
          </w:tcPr>
          <w:p w14:paraId="2B7F872F">
            <w:pPr>
              <w:jc w:val="center"/>
              <w:rPr>
                <w:rFonts w:ascii="宋体" w:hAnsi="宋体" w:cs="宋体"/>
                <w:sz w:val="22"/>
                <w:szCs w:val="22"/>
              </w:rPr>
            </w:pPr>
            <w:r>
              <w:rPr>
                <w:rFonts w:hint="eastAsia"/>
                <w:sz w:val="22"/>
                <w:szCs w:val="22"/>
              </w:rPr>
              <w:t>365</w:t>
            </w:r>
          </w:p>
        </w:tc>
        <w:tc>
          <w:tcPr>
            <w:tcW w:w="916" w:type="dxa"/>
            <w:noWrap w:val="0"/>
            <w:vAlign w:val="center"/>
          </w:tcPr>
          <w:p w14:paraId="01EE72F9">
            <w:pPr>
              <w:jc w:val="center"/>
              <w:rPr>
                <w:rFonts w:ascii="宋体" w:hAnsi="宋体" w:cs="宋体"/>
                <w:sz w:val="22"/>
                <w:szCs w:val="22"/>
              </w:rPr>
            </w:pPr>
            <w:r>
              <w:rPr>
                <w:rFonts w:hint="eastAsia"/>
                <w:sz w:val="22"/>
                <w:szCs w:val="22"/>
              </w:rPr>
              <w:t>345</w:t>
            </w:r>
          </w:p>
        </w:tc>
      </w:tr>
      <w:tr w14:paraId="1D6A9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6D392E5D">
            <w:pPr>
              <w:widowControl w:val="0"/>
              <w:spacing w:line="300" w:lineRule="exact"/>
              <w:jc w:val="center"/>
              <w:rPr>
                <w:rFonts w:eastAsia="楷体_GB2312"/>
                <w:szCs w:val="21"/>
              </w:rPr>
            </w:pPr>
          </w:p>
        </w:tc>
        <w:tc>
          <w:tcPr>
            <w:tcW w:w="891" w:type="dxa"/>
            <w:noWrap w:val="0"/>
            <w:vAlign w:val="center"/>
          </w:tcPr>
          <w:p w14:paraId="7C1D666D">
            <w:pPr>
              <w:widowControl w:val="0"/>
              <w:spacing w:line="300" w:lineRule="exact"/>
              <w:jc w:val="center"/>
              <w:rPr>
                <w:rFonts w:eastAsia="楷体_GB2312"/>
                <w:szCs w:val="21"/>
              </w:rPr>
            </w:pPr>
            <w:r>
              <w:rPr>
                <w:rFonts w:eastAsia="楷体_GB2312"/>
                <w:szCs w:val="21"/>
              </w:rPr>
              <w:t>二级地</w:t>
            </w:r>
          </w:p>
        </w:tc>
        <w:tc>
          <w:tcPr>
            <w:tcW w:w="936" w:type="dxa"/>
            <w:noWrap w:val="0"/>
            <w:vAlign w:val="center"/>
          </w:tcPr>
          <w:p w14:paraId="11D6F7CB">
            <w:pPr>
              <w:jc w:val="center"/>
              <w:rPr>
                <w:rFonts w:ascii="宋体" w:hAnsi="宋体" w:cs="宋体"/>
                <w:sz w:val="22"/>
                <w:szCs w:val="22"/>
              </w:rPr>
            </w:pPr>
            <w:r>
              <w:rPr>
                <w:rFonts w:hint="eastAsia"/>
                <w:sz w:val="22"/>
                <w:szCs w:val="22"/>
              </w:rPr>
              <w:t>292</w:t>
            </w:r>
          </w:p>
        </w:tc>
        <w:tc>
          <w:tcPr>
            <w:tcW w:w="937" w:type="dxa"/>
            <w:noWrap w:val="0"/>
            <w:vAlign w:val="center"/>
          </w:tcPr>
          <w:p w14:paraId="22FA7DFB">
            <w:pPr>
              <w:jc w:val="center"/>
              <w:rPr>
                <w:rFonts w:ascii="宋体" w:hAnsi="宋体" w:cs="宋体"/>
                <w:sz w:val="22"/>
                <w:szCs w:val="22"/>
              </w:rPr>
            </w:pPr>
            <w:r>
              <w:rPr>
                <w:rFonts w:hint="eastAsia"/>
                <w:sz w:val="22"/>
                <w:szCs w:val="22"/>
              </w:rPr>
              <w:t>284</w:t>
            </w:r>
          </w:p>
        </w:tc>
        <w:tc>
          <w:tcPr>
            <w:tcW w:w="936" w:type="dxa"/>
            <w:noWrap w:val="0"/>
            <w:vAlign w:val="center"/>
          </w:tcPr>
          <w:p w14:paraId="08314686">
            <w:pPr>
              <w:jc w:val="center"/>
              <w:rPr>
                <w:rFonts w:ascii="宋体" w:hAnsi="宋体" w:cs="宋体"/>
                <w:sz w:val="22"/>
                <w:szCs w:val="22"/>
              </w:rPr>
            </w:pPr>
            <w:r>
              <w:rPr>
                <w:rFonts w:hint="eastAsia"/>
                <w:sz w:val="22"/>
                <w:szCs w:val="22"/>
              </w:rPr>
              <w:t>272</w:t>
            </w:r>
          </w:p>
        </w:tc>
        <w:tc>
          <w:tcPr>
            <w:tcW w:w="937" w:type="dxa"/>
            <w:noWrap w:val="0"/>
            <w:vAlign w:val="center"/>
          </w:tcPr>
          <w:p w14:paraId="103ED231">
            <w:pPr>
              <w:jc w:val="center"/>
              <w:rPr>
                <w:rFonts w:ascii="宋体" w:hAnsi="宋体" w:cs="宋体"/>
                <w:sz w:val="22"/>
                <w:szCs w:val="22"/>
              </w:rPr>
            </w:pPr>
            <w:r>
              <w:rPr>
                <w:rFonts w:hint="eastAsia"/>
                <w:sz w:val="22"/>
                <w:szCs w:val="22"/>
              </w:rPr>
              <w:t>272</w:t>
            </w:r>
          </w:p>
        </w:tc>
        <w:tc>
          <w:tcPr>
            <w:tcW w:w="936" w:type="dxa"/>
            <w:noWrap w:val="0"/>
            <w:vAlign w:val="center"/>
          </w:tcPr>
          <w:p w14:paraId="20D5126B">
            <w:pPr>
              <w:jc w:val="center"/>
              <w:rPr>
                <w:rFonts w:ascii="宋体" w:hAnsi="宋体" w:cs="宋体"/>
                <w:sz w:val="22"/>
                <w:szCs w:val="22"/>
              </w:rPr>
            </w:pPr>
            <w:r>
              <w:rPr>
                <w:rFonts w:hint="eastAsia"/>
                <w:sz w:val="22"/>
                <w:szCs w:val="22"/>
              </w:rPr>
              <w:t>264</w:t>
            </w:r>
          </w:p>
        </w:tc>
        <w:tc>
          <w:tcPr>
            <w:tcW w:w="937" w:type="dxa"/>
            <w:noWrap w:val="0"/>
            <w:vAlign w:val="center"/>
          </w:tcPr>
          <w:p w14:paraId="42984035">
            <w:pPr>
              <w:jc w:val="center"/>
              <w:rPr>
                <w:rFonts w:ascii="宋体" w:hAnsi="宋体" w:cs="宋体"/>
                <w:sz w:val="22"/>
                <w:szCs w:val="22"/>
              </w:rPr>
            </w:pPr>
            <w:r>
              <w:rPr>
                <w:rFonts w:hint="eastAsia"/>
                <w:sz w:val="22"/>
                <w:szCs w:val="22"/>
              </w:rPr>
              <w:t>264</w:t>
            </w:r>
          </w:p>
        </w:tc>
        <w:tc>
          <w:tcPr>
            <w:tcW w:w="937" w:type="dxa"/>
            <w:noWrap w:val="0"/>
            <w:vAlign w:val="center"/>
          </w:tcPr>
          <w:p w14:paraId="3D1B72B0">
            <w:pPr>
              <w:jc w:val="center"/>
              <w:rPr>
                <w:rFonts w:ascii="宋体" w:hAnsi="宋体" w:cs="宋体"/>
                <w:sz w:val="22"/>
                <w:szCs w:val="22"/>
              </w:rPr>
            </w:pPr>
            <w:r>
              <w:rPr>
                <w:rFonts w:hint="eastAsia"/>
                <w:sz w:val="22"/>
                <w:szCs w:val="22"/>
              </w:rPr>
              <w:t>256</w:t>
            </w:r>
          </w:p>
        </w:tc>
        <w:tc>
          <w:tcPr>
            <w:tcW w:w="916" w:type="dxa"/>
            <w:noWrap w:val="0"/>
            <w:vAlign w:val="center"/>
          </w:tcPr>
          <w:p w14:paraId="5661B008">
            <w:pPr>
              <w:jc w:val="center"/>
              <w:rPr>
                <w:rFonts w:ascii="宋体" w:hAnsi="宋体" w:cs="宋体"/>
                <w:sz w:val="22"/>
                <w:szCs w:val="22"/>
              </w:rPr>
            </w:pPr>
            <w:r>
              <w:rPr>
                <w:rFonts w:hint="eastAsia"/>
                <w:sz w:val="22"/>
                <w:szCs w:val="22"/>
              </w:rPr>
              <w:t>248</w:t>
            </w:r>
          </w:p>
        </w:tc>
      </w:tr>
      <w:tr w14:paraId="480C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01F61336">
            <w:pPr>
              <w:widowControl w:val="0"/>
              <w:spacing w:line="300" w:lineRule="exact"/>
              <w:jc w:val="center"/>
              <w:rPr>
                <w:rFonts w:eastAsia="楷体_GB2312"/>
                <w:szCs w:val="21"/>
              </w:rPr>
            </w:pPr>
          </w:p>
        </w:tc>
        <w:tc>
          <w:tcPr>
            <w:tcW w:w="891" w:type="dxa"/>
            <w:noWrap w:val="0"/>
            <w:vAlign w:val="center"/>
          </w:tcPr>
          <w:p w14:paraId="6066D285">
            <w:pPr>
              <w:widowControl w:val="0"/>
              <w:spacing w:line="300" w:lineRule="exact"/>
              <w:jc w:val="center"/>
              <w:rPr>
                <w:rFonts w:eastAsia="楷体_GB2312"/>
                <w:szCs w:val="21"/>
              </w:rPr>
            </w:pPr>
            <w:r>
              <w:rPr>
                <w:rFonts w:eastAsia="楷体_GB2312"/>
                <w:szCs w:val="21"/>
              </w:rPr>
              <w:t>三级地</w:t>
            </w:r>
          </w:p>
        </w:tc>
        <w:tc>
          <w:tcPr>
            <w:tcW w:w="936" w:type="dxa"/>
            <w:noWrap w:val="0"/>
            <w:vAlign w:val="center"/>
          </w:tcPr>
          <w:p w14:paraId="0254A1C5">
            <w:pPr>
              <w:jc w:val="center"/>
              <w:rPr>
                <w:rFonts w:ascii="宋体" w:hAnsi="宋体" w:cs="宋体"/>
                <w:sz w:val="22"/>
                <w:szCs w:val="22"/>
              </w:rPr>
            </w:pPr>
            <w:r>
              <w:rPr>
                <w:rFonts w:hint="eastAsia"/>
                <w:sz w:val="22"/>
                <w:szCs w:val="22"/>
              </w:rPr>
              <w:t>237</w:t>
            </w:r>
          </w:p>
        </w:tc>
        <w:tc>
          <w:tcPr>
            <w:tcW w:w="937" w:type="dxa"/>
            <w:noWrap w:val="0"/>
            <w:vAlign w:val="center"/>
          </w:tcPr>
          <w:p w14:paraId="16860421">
            <w:pPr>
              <w:jc w:val="center"/>
              <w:rPr>
                <w:rFonts w:ascii="宋体" w:hAnsi="宋体" w:cs="宋体"/>
                <w:sz w:val="22"/>
                <w:szCs w:val="22"/>
              </w:rPr>
            </w:pPr>
            <w:r>
              <w:rPr>
                <w:rFonts w:hint="eastAsia"/>
                <w:sz w:val="22"/>
                <w:szCs w:val="22"/>
              </w:rPr>
              <w:t>225</w:t>
            </w:r>
          </w:p>
        </w:tc>
        <w:tc>
          <w:tcPr>
            <w:tcW w:w="936" w:type="dxa"/>
            <w:noWrap w:val="0"/>
            <w:vAlign w:val="center"/>
          </w:tcPr>
          <w:p w14:paraId="2C5485DA">
            <w:pPr>
              <w:jc w:val="center"/>
              <w:rPr>
                <w:rFonts w:ascii="宋体" w:hAnsi="宋体" w:cs="宋体"/>
                <w:sz w:val="22"/>
                <w:szCs w:val="22"/>
              </w:rPr>
            </w:pPr>
            <w:r>
              <w:rPr>
                <w:rFonts w:hint="eastAsia"/>
                <w:sz w:val="22"/>
                <w:szCs w:val="22"/>
              </w:rPr>
              <w:t>217</w:t>
            </w:r>
          </w:p>
        </w:tc>
        <w:tc>
          <w:tcPr>
            <w:tcW w:w="937" w:type="dxa"/>
            <w:noWrap w:val="0"/>
            <w:vAlign w:val="center"/>
          </w:tcPr>
          <w:p w14:paraId="2D0C3508">
            <w:pPr>
              <w:jc w:val="center"/>
              <w:rPr>
                <w:rFonts w:ascii="宋体" w:hAnsi="宋体" w:cs="宋体"/>
                <w:sz w:val="22"/>
                <w:szCs w:val="22"/>
              </w:rPr>
            </w:pPr>
            <w:r>
              <w:rPr>
                <w:rFonts w:hint="eastAsia"/>
                <w:sz w:val="22"/>
                <w:szCs w:val="22"/>
              </w:rPr>
              <w:t>217</w:t>
            </w:r>
          </w:p>
        </w:tc>
        <w:tc>
          <w:tcPr>
            <w:tcW w:w="936" w:type="dxa"/>
            <w:noWrap w:val="0"/>
            <w:vAlign w:val="center"/>
          </w:tcPr>
          <w:p w14:paraId="33BA5E00">
            <w:pPr>
              <w:jc w:val="center"/>
              <w:rPr>
                <w:rFonts w:ascii="宋体" w:hAnsi="宋体" w:cs="宋体"/>
                <w:sz w:val="22"/>
                <w:szCs w:val="22"/>
              </w:rPr>
            </w:pPr>
            <w:r>
              <w:rPr>
                <w:rFonts w:hint="eastAsia"/>
                <w:sz w:val="22"/>
                <w:szCs w:val="22"/>
              </w:rPr>
              <w:t>210</w:t>
            </w:r>
          </w:p>
        </w:tc>
        <w:tc>
          <w:tcPr>
            <w:tcW w:w="937" w:type="dxa"/>
            <w:noWrap w:val="0"/>
            <w:vAlign w:val="center"/>
          </w:tcPr>
          <w:p w14:paraId="4AFC836A">
            <w:pPr>
              <w:jc w:val="center"/>
              <w:rPr>
                <w:rFonts w:ascii="宋体" w:hAnsi="宋体" w:cs="宋体"/>
                <w:sz w:val="22"/>
                <w:szCs w:val="22"/>
              </w:rPr>
            </w:pPr>
            <w:r>
              <w:rPr>
                <w:rFonts w:hint="eastAsia"/>
                <w:sz w:val="22"/>
                <w:szCs w:val="22"/>
              </w:rPr>
              <w:t>210</w:t>
            </w:r>
          </w:p>
        </w:tc>
        <w:tc>
          <w:tcPr>
            <w:tcW w:w="937" w:type="dxa"/>
            <w:noWrap w:val="0"/>
            <w:vAlign w:val="center"/>
          </w:tcPr>
          <w:p w14:paraId="55E4B432">
            <w:pPr>
              <w:jc w:val="center"/>
              <w:rPr>
                <w:rFonts w:ascii="宋体" w:hAnsi="宋体" w:cs="宋体"/>
                <w:sz w:val="22"/>
                <w:szCs w:val="22"/>
              </w:rPr>
            </w:pPr>
            <w:r>
              <w:rPr>
                <w:rFonts w:hint="eastAsia"/>
                <w:sz w:val="22"/>
                <w:szCs w:val="22"/>
              </w:rPr>
              <w:t>201</w:t>
            </w:r>
          </w:p>
        </w:tc>
        <w:tc>
          <w:tcPr>
            <w:tcW w:w="916" w:type="dxa"/>
            <w:noWrap w:val="0"/>
            <w:vAlign w:val="center"/>
          </w:tcPr>
          <w:p w14:paraId="1F092C32">
            <w:pPr>
              <w:jc w:val="center"/>
              <w:rPr>
                <w:rFonts w:ascii="宋体" w:hAnsi="宋体" w:cs="宋体"/>
                <w:sz w:val="22"/>
                <w:szCs w:val="22"/>
              </w:rPr>
            </w:pPr>
            <w:r>
              <w:rPr>
                <w:rFonts w:hint="eastAsia"/>
                <w:sz w:val="22"/>
                <w:szCs w:val="22"/>
              </w:rPr>
              <w:t>184</w:t>
            </w:r>
          </w:p>
        </w:tc>
      </w:tr>
      <w:tr w14:paraId="600D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14:paraId="68288153">
            <w:pPr>
              <w:widowControl w:val="0"/>
              <w:spacing w:line="300" w:lineRule="exact"/>
              <w:jc w:val="center"/>
              <w:rPr>
                <w:rFonts w:eastAsia="楷体_GB2312"/>
                <w:szCs w:val="21"/>
              </w:rPr>
            </w:pPr>
            <w:r>
              <w:rPr>
                <w:rFonts w:hint="eastAsia" w:eastAsia="楷体_GB2312"/>
                <w:szCs w:val="21"/>
              </w:rPr>
              <w:t>蕲县镇</w:t>
            </w:r>
          </w:p>
        </w:tc>
        <w:tc>
          <w:tcPr>
            <w:tcW w:w="891" w:type="dxa"/>
            <w:noWrap w:val="0"/>
            <w:vAlign w:val="center"/>
          </w:tcPr>
          <w:p w14:paraId="7EC04DE9">
            <w:pPr>
              <w:widowControl w:val="0"/>
              <w:spacing w:line="300" w:lineRule="exact"/>
              <w:jc w:val="center"/>
              <w:rPr>
                <w:rFonts w:eastAsia="楷体_GB2312"/>
                <w:szCs w:val="21"/>
              </w:rPr>
            </w:pPr>
            <w:r>
              <w:rPr>
                <w:rFonts w:eastAsia="楷体_GB2312"/>
                <w:szCs w:val="21"/>
              </w:rPr>
              <w:t>一级地</w:t>
            </w:r>
          </w:p>
        </w:tc>
        <w:tc>
          <w:tcPr>
            <w:tcW w:w="936" w:type="dxa"/>
            <w:noWrap w:val="0"/>
            <w:vAlign w:val="center"/>
          </w:tcPr>
          <w:p w14:paraId="1E48B8BB">
            <w:pPr>
              <w:jc w:val="center"/>
              <w:rPr>
                <w:rFonts w:ascii="宋体" w:hAnsi="宋体" w:cs="宋体"/>
                <w:sz w:val="22"/>
                <w:szCs w:val="22"/>
              </w:rPr>
            </w:pPr>
            <w:r>
              <w:rPr>
                <w:rFonts w:hint="eastAsia"/>
                <w:sz w:val="22"/>
                <w:szCs w:val="22"/>
              </w:rPr>
              <w:t>410</w:t>
            </w:r>
          </w:p>
        </w:tc>
        <w:tc>
          <w:tcPr>
            <w:tcW w:w="937" w:type="dxa"/>
            <w:noWrap w:val="0"/>
            <w:vAlign w:val="center"/>
          </w:tcPr>
          <w:p w14:paraId="0ED60DAF">
            <w:pPr>
              <w:jc w:val="center"/>
              <w:rPr>
                <w:rFonts w:ascii="宋体" w:hAnsi="宋体" w:cs="宋体"/>
                <w:sz w:val="22"/>
                <w:szCs w:val="22"/>
              </w:rPr>
            </w:pPr>
            <w:r>
              <w:rPr>
                <w:rFonts w:hint="eastAsia"/>
                <w:sz w:val="22"/>
                <w:szCs w:val="22"/>
              </w:rPr>
              <w:t>390</w:t>
            </w:r>
          </w:p>
        </w:tc>
        <w:tc>
          <w:tcPr>
            <w:tcW w:w="936" w:type="dxa"/>
            <w:noWrap w:val="0"/>
            <w:vAlign w:val="center"/>
          </w:tcPr>
          <w:p w14:paraId="7045623C">
            <w:pPr>
              <w:jc w:val="center"/>
              <w:rPr>
                <w:rFonts w:ascii="宋体" w:hAnsi="宋体" w:cs="宋体"/>
                <w:sz w:val="22"/>
                <w:szCs w:val="22"/>
              </w:rPr>
            </w:pPr>
            <w:r>
              <w:rPr>
                <w:rFonts w:hint="eastAsia"/>
                <w:sz w:val="22"/>
                <w:szCs w:val="22"/>
              </w:rPr>
              <w:t>378</w:t>
            </w:r>
          </w:p>
        </w:tc>
        <w:tc>
          <w:tcPr>
            <w:tcW w:w="937" w:type="dxa"/>
            <w:noWrap w:val="0"/>
            <w:vAlign w:val="center"/>
          </w:tcPr>
          <w:p w14:paraId="380FFACF">
            <w:pPr>
              <w:jc w:val="center"/>
              <w:rPr>
                <w:rFonts w:ascii="宋体" w:hAnsi="宋体" w:cs="宋体"/>
                <w:sz w:val="22"/>
                <w:szCs w:val="22"/>
              </w:rPr>
            </w:pPr>
            <w:r>
              <w:rPr>
                <w:rFonts w:hint="eastAsia"/>
                <w:sz w:val="22"/>
                <w:szCs w:val="22"/>
              </w:rPr>
              <w:t>378</w:t>
            </w:r>
          </w:p>
        </w:tc>
        <w:tc>
          <w:tcPr>
            <w:tcW w:w="936" w:type="dxa"/>
            <w:noWrap w:val="0"/>
            <w:vAlign w:val="center"/>
          </w:tcPr>
          <w:p w14:paraId="0472F35C">
            <w:pPr>
              <w:jc w:val="center"/>
              <w:rPr>
                <w:rFonts w:ascii="宋体" w:hAnsi="宋体" w:cs="宋体"/>
                <w:sz w:val="22"/>
                <w:szCs w:val="22"/>
              </w:rPr>
            </w:pPr>
            <w:r>
              <w:rPr>
                <w:rFonts w:hint="eastAsia"/>
                <w:sz w:val="22"/>
                <w:szCs w:val="22"/>
              </w:rPr>
              <w:t>366</w:t>
            </w:r>
          </w:p>
        </w:tc>
        <w:tc>
          <w:tcPr>
            <w:tcW w:w="937" w:type="dxa"/>
            <w:noWrap w:val="0"/>
            <w:vAlign w:val="center"/>
          </w:tcPr>
          <w:p w14:paraId="5B5D7A8C">
            <w:pPr>
              <w:jc w:val="center"/>
              <w:rPr>
                <w:rFonts w:ascii="宋体" w:hAnsi="宋体" w:cs="宋体"/>
                <w:sz w:val="22"/>
                <w:szCs w:val="22"/>
              </w:rPr>
            </w:pPr>
            <w:r>
              <w:rPr>
                <w:rFonts w:hint="eastAsia"/>
                <w:sz w:val="22"/>
                <w:szCs w:val="22"/>
              </w:rPr>
              <w:t>366</w:t>
            </w:r>
          </w:p>
        </w:tc>
        <w:tc>
          <w:tcPr>
            <w:tcW w:w="937" w:type="dxa"/>
            <w:noWrap w:val="0"/>
            <w:vAlign w:val="center"/>
          </w:tcPr>
          <w:p w14:paraId="434E6DB5">
            <w:pPr>
              <w:jc w:val="center"/>
              <w:rPr>
                <w:rFonts w:ascii="宋体" w:hAnsi="宋体" w:cs="宋体"/>
                <w:sz w:val="22"/>
                <w:szCs w:val="22"/>
              </w:rPr>
            </w:pPr>
            <w:r>
              <w:rPr>
                <w:rFonts w:hint="eastAsia"/>
                <w:sz w:val="22"/>
                <w:szCs w:val="22"/>
              </w:rPr>
              <w:t>352</w:t>
            </w:r>
          </w:p>
        </w:tc>
        <w:tc>
          <w:tcPr>
            <w:tcW w:w="916" w:type="dxa"/>
            <w:noWrap w:val="0"/>
            <w:vAlign w:val="center"/>
          </w:tcPr>
          <w:p w14:paraId="5CE1C64E">
            <w:pPr>
              <w:jc w:val="center"/>
              <w:rPr>
                <w:rFonts w:ascii="宋体" w:hAnsi="宋体" w:cs="宋体"/>
                <w:sz w:val="22"/>
                <w:szCs w:val="22"/>
              </w:rPr>
            </w:pPr>
            <w:r>
              <w:rPr>
                <w:rFonts w:hint="eastAsia"/>
                <w:sz w:val="22"/>
                <w:szCs w:val="22"/>
              </w:rPr>
              <w:t>334</w:t>
            </w:r>
          </w:p>
        </w:tc>
      </w:tr>
      <w:tr w14:paraId="5D075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29D6AD8B">
            <w:pPr>
              <w:widowControl w:val="0"/>
              <w:spacing w:line="300" w:lineRule="exact"/>
              <w:jc w:val="center"/>
              <w:rPr>
                <w:rFonts w:eastAsia="楷体_GB2312"/>
                <w:szCs w:val="21"/>
              </w:rPr>
            </w:pPr>
          </w:p>
        </w:tc>
        <w:tc>
          <w:tcPr>
            <w:tcW w:w="891" w:type="dxa"/>
            <w:noWrap w:val="0"/>
            <w:vAlign w:val="center"/>
          </w:tcPr>
          <w:p w14:paraId="6A64789D">
            <w:pPr>
              <w:widowControl w:val="0"/>
              <w:spacing w:line="300" w:lineRule="exact"/>
              <w:jc w:val="center"/>
              <w:rPr>
                <w:rFonts w:eastAsia="楷体_GB2312"/>
                <w:szCs w:val="21"/>
              </w:rPr>
            </w:pPr>
            <w:r>
              <w:rPr>
                <w:rFonts w:eastAsia="楷体_GB2312"/>
                <w:szCs w:val="21"/>
              </w:rPr>
              <w:t>二级地</w:t>
            </w:r>
          </w:p>
        </w:tc>
        <w:tc>
          <w:tcPr>
            <w:tcW w:w="936" w:type="dxa"/>
            <w:noWrap w:val="0"/>
            <w:vAlign w:val="center"/>
          </w:tcPr>
          <w:p w14:paraId="7E4074C6">
            <w:pPr>
              <w:jc w:val="center"/>
              <w:rPr>
                <w:rFonts w:ascii="宋体" w:hAnsi="宋体" w:cs="宋体"/>
                <w:sz w:val="22"/>
                <w:szCs w:val="22"/>
              </w:rPr>
            </w:pPr>
            <w:r>
              <w:rPr>
                <w:rFonts w:hint="eastAsia"/>
                <w:sz w:val="22"/>
                <w:szCs w:val="22"/>
              </w:rPr>
              <w:t>280</w:t>
            </w:r>
          </w:p>
        </w:tc>
        <w:tc>
          <w:tcPr>
            <w:tcW w:w="937" w:type="dxa"/>
            <w:noWrap w:val="0"/>
            <w:vAlign w:val="center"/>
          </w:tcPr>
          <w:p w14:paraId="6A47B265">
            <w:pPr>
              <w:jc w:val="center"/>
              <w:rPr>
                <w:rFonts w:ascii="宋体" w:hAnsi="宋体" w:cs="宋体"/>
                <w:sz w:val="22"/>
                <w:szCs w:val="22"/>
              </w:rPr>
            </w:pPr>
            <w:r>
              <w:rPr>
                <w:rFonts w:hint="eastAsia"/>
                <w:sz w:val="22"/>
                <w:szCs w:val="22"/>
              </w:rPr>
              <w:t>272</w:t>
            </w:r>
          </w:p>
        </w:tc>
        <w:tc>
          <w:tcPr>
            <w:tcW w:w="936" w:type="dxa"/>
            <w:noWrap w:val="0"/>
            <w:vAlign w:val="center"/>
          </w:tcPr>
          <w:p w14:paraId="7AD5DFC5">
            <w:pPr>
              <w:jc w:val="center"/>
              <w:rPr>
                <w:rFonts w:ascii="宋体" w:hAnsi="宋体" w:cs="宋体"/>
                <w:sz w:val="22"/>
                <w:szCs w:val="22"/>
              </w:rPr>
            </w:pPr>
            <w:r>
              <w:rPr>
                <w:rFonts w:hint="eastAsia"/>
                <w:sz w:val="22"/>
                <w:szCs w:val="22"/>
              </w:rPr>
              <w:t>260</w:t>
            </w:r>
          </w:p>
        </w:tc>
        <w:tc>
          <w:tcPr>
            <w:tcW w:w="937" w:type="dxa"/>
            <w:noWrap w:val="0"/>
            <w:vAlign w:val="center"/>
          </w:tcPr>
          <w:p w14:paraId="31E9D71C">
            <w:pPr>
              <w:jc w:val="center"/>
              <w:rPr>
                <w:rFonts w:ascii="宋体" w:hAnsi="宋体" w:cs="宋体"/>
                <w:sz w:val="22"/>
                <w:szCs w:val="22"/>
              </w:rPr>
            </w:pPr>
            <w:r>
              <w:rPr>
                <w:rFonts w:hint="eastAsia"/>
                <w:sz w:val="22"/>
                <w:szCs w:val="22"/>
              </w:rPr>
              <w:t>260</w:t>
            </w:r>
          </w:p>
        </w:tc>
        <w:tc>
          <w:tcPr>
            <w:tcW w:w="936" w:type="dxa"/>
            <w:noWrap w:val="0"/>
            <w:vAlign w:val="center"/>
          </w:tcPr>
          <w:p w14:paraId="11FEF064">
            <w:pPr>
              <w:jc w:val="center"/>
              <w:rPr>
                <w:rFonts w:ascii="宋体" w:hAnsi="宋体" w:cs="宋体"/>
                <w:sz w:val="22"/>
                <w:szCs w:val="22"/>
              </w:rPr>
            </w:pPr>
            <w:r>
              <w:rPr>
                <w:rFonts w:hint="eastAsia"/>
                <w:sz w:val="22"/>
                <w:szCs w:val="22"/>
              </w:rPr>
              <w:t>254</w:t>
            </w:r>
          </w:p>
        </w:tc>
        <w:tc>
          <w:tcPr>
            <w:tcW w:w="937" w:type="dxa"/>
            <w:noWrap w:val="0"/>
            <w:vAlign w:val="center"/>
          </w:tcPr>
          <w:p w14:paraId="783C254F">
            <w:pPr>
              <w:jc w:val="center"/>
              <w:rPr>
                <w:rFonts w:ascii="宋体" w:hAnsi="宋体" w:cs="宋体"/>
                <w:sz w:val="22"/>
                <w:szCs w:val="22"/>
              </w:rPr>
            </w:pPr>
            <w:r>
              <w:rPr>
                <w:rFonts w:hint="eastAsia"/>
                <w:sz w:val="22"/>
                <w:szCs w:val="22"/>
              </w:rPr>
              <w:t>254</w:t>
            </w:r>
          </w:p>
        </w:tc>
        <w:tc>
          <w:tcPr>
            <w:tcW w:w="937" w:type="dxa"/>
            <w:noWrap w:val="0"/>
            <w:vAlign w:val="center"/>
          </w:tcPr>
          <w:p w14:paraId="072FFAA5">
            <w:pPr>
              <w:jc w:val="center"/>
              <w:rPr>
                <w:rFonts w:ascii="宋体" w:hAnsi="宋体" w:cs="宋体"/>
                <w:sz w:val="22"/>
                <w:szCs w:val="22"/>
              </w:rPr>
            </w:pPr>
            <w:r>
              <w:rPr>
                <w:rFonts w:hint="eastAsia"/>
                <w:sz w:val="22"/>
                <w:szCs w:val="22"/>
              </w:rPr>
              <w:t>246</w:t>
            </w:r>
          </w:p>
        </w:tc>
        <w:tc>
          <w:tcPr>
            <w:tcW w:w="916" w:type="dxa"/>
            <w:noWrap w:val="0"/>
            <w:vAlign w:val="center"/>
          </w:tcPr>
          <w:p w14:paraId="60EC48D6">
            <w:pPr>
              <w:jc w:val="center"/>
              <w:rPr>
                <w:rFonts w:ascii="宋体" w:hAnsi="宋体" w:cs="宋体"/>
                <w:sz w:val="22"/>
                <w:szCs w:val="22"/>
              </w:rPr>
            </w:pPr>
            <w:r>
              <w:rPr>
                <w:rFonts w:hint="eastAsia"/>
                <w:sz w:val="22"/>
                <w:szCs w:val="22"/>
              </w:rPr>
              <w:t>240</w:t>
            </w:r>
          </w:p>
        </w:tc>
      </w:tr>
      <w:tr w14:paraId="2D63F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039CBC13">
            <w:pPr>
              <w:widowControl w:val="0"/>
              <w:spacing w:line="300" w:lineRule="exact"/>
              <w:jc w:val="center"/>
              <w:rPr>
                <w:rFonts w:eastAsia="楷体_GB2312"/>
                <w:szCs w:val="21"/>
              </w:rPr>
            </w:pPr>
          </w:p>
        </w:tc>
        <w:tc>
          <w:tcPr>
            <w:tcW w:w="891" w:type="dxa"/>
            <w:noWrap w:val="0"/>
            <w:vAlign w:val="center"/>
          </w:tcPr>
          <w:p w14:paraId="6257971A">
            <w:pPr>
              <w:widowControl w:val="0"/>
              <w:spacing w:line="300" w:lineRule="exact"/>
              <w:jc w:val="center"/>
              <w:rPr>
                <w:rFonts w:eastAsia="楷体_GB2312"/>
                <w:szCs w:val="21"/>
              </w:rPr>
            </w:pPr>
            <w:r>
              <w:rPr>
                <w:rFonts w:eastAsia="楷体_GB2312"/>
                <w:szCs w:val="21"/>
              </w:rPr>
              <w:t>三级地</w:t>
            </w:r>
          </w:p>
        </w:tc>
        <w:tc>
          <w:tcPr>
            <w:tcW w:w="936" w:type="dxa"/>
            <w:noWrap w:val="0"/>
            <w:vAlign w:val="center"/>
          </w:tcPr>
          <w:p w14:paraId="599DEF4B">
            <w:pPr>
              <w:jc w:val="center"/>
              <w:rPr>
                <w:rFonts w:ascii="宋体" w:hAnsi="宋体" w:cs="宋体"/>
                <w:sz w:val="22"/>
                <w:szCs w:val="22"/>
              </w:rPr>
            </w:pPr>
            <w:r>
              <w:rPr>
                <w:rFonts w:hint="eastAsia"/>
                <w:sz w:val="22"/>
                <w:szCs w:val="22"/>
              </w:rPr>
              <w:t>237</w:t>
            </w:r>
          </w:p>
        </w:tc>
        <w:tc>
          <w:tcPr>
            <w:tcW w:w="937" w:type="dxa"/>
            <w:noWrap w:val="0"/>
            <w:vAlign w:val="center"/>
          </w:tcPr>
          <w:p w14:paraId="345A8CE9">
            <w:pPr>
              <w:jc w:val="center"/>
              <w:rPr>
                <w:rFonts w:ascii="宋体" w:hAnsi="宋体" w:cs="宋体"/>
                <w:sz w:val="22"/>
                <w:szCs w:val="22"/>
              </w:rPr>
            </w:pPr>
            <w:r>
              <w:rPr>
                <w:rFonts w:hint="eastAsia"/>
                <w:sz w:val="22"/>
                <w:szCs w:val="22"/>
              </w:rPr>
              <w:t>225</w:t>
            </w:r>
          </w:p>
        </w:tc>
        <w:tc>
          <w:tcPr>
            <w:tcW w:w="936" w:type="dxa"/>
            <w:noWrap w:val="0"/>
            <w:vAlign w:val="center"/>
          </w:tcPr>
          <w:p w14:paraId="33DA7293">
            <w:pPr>
              <w:jc w:val="center"/>
              <w:rPr>
                <w:rFonts w:ascii="宋体" w:hAnsi="宋体" w:cs="宋体"/>
                <w:sz w:val="22"/>
                <w:szCs w:val="22"/>
              </w:rPr>
            </w:pPr>
            <w:r>
              <w:rPr>
                <w:rFonts w:hint="eastAsia"/>
                <w:sz w:val="22"/>
                <w:szCs w:val="22"/>
              </w:rPr>
              <w:t>217</w:t>
            </w:r>
          </w:p>
        </w:tc>
        <w:tc>
          <w:tcPr>
            <w:tcW w:w="937" w:type="dxa"/>
            <w:noWrap w:val="0"/>
            <w:vAlign w:val="center"/>
          </w:tcPr>
          <w:p w14:paraId="1429D137">
            <w:pPr>
              <w:jc w:val="center"/>
              <w:rPr>
                <w:rFonts w:ascii="宋体" w:hAnsi="宋体" w:cs="宋体"/>
                <w:sz w:val="22"/>
                <w:szCs w:val="22"/>
              </w:rPr>
            </w:pPr>
            <w:r>
              <w:rPr>
                <w:rFonts w:hint="eastAsia"/>
                <w:sz w:val="22"/>
                <w:szCs w:val="22"/>
              </w:rPr>
              <w:t>217</w:t>
            </w:r>
          </w:p>
        </w:tc>
        <w:tc>
          <w:tcPr>
            <w:tcW w:w="936" w:type="dxa"/>
            <w:noWrap w:val="0"/>
            <w:vAlign w:val="center"/>
          </w:tcPr>
          <w:p w14:paraId="23CD6034">
            <w:pPr>
              <w:jc w:val="center"/>
              <w:rPr>
                <w:rFonts w:ascii="宋体" w:hAnsi="宋体" w:cs="宋体"/>
                <w:sz w:val="22"/>
                <w:szCs w:val="22"/>
              </w:rPr>
            </w:pPr>
            <w:r>
              <w:rPr>
                <w:rFonts w:hint="eastAsia"/>
                <w:sz w:val="22"/>
                <w:szCs w:val="22"/>
              </w:rPr>
              <w:t>210</w:t>
            </w:r>
          </w:p>
        </w:tc>
        <w:tc>
          <w:tcPr>
            <w:tcW w:w="937" w:type="dxa"/>
            <w:noWrap w:val="0"/>
            <w:vAlign w:val="center"/>
          </w:tcPr>
          <w:p w14:paraId="27FBBDE2">
            <w:pPr>
              <w:jc w:val="center"/>
              <w:rPr>
                <w:rFonts w:ascii="宋体" w:hAnsi="宋体" w:cs="宋体"/>
                <w:sz w:val="22"/>
                <w:szCs w:val="22"/>
              </w:rPr>
            </w:pPr>
            <w:r>
              <w:rPr>
                <w:rFonts w:hint="eastAsia"/>
                <w:sz w:val="22"/>
                <w:szCs w:val="22"/>
              </w:rPr>
              <w:t>210</w:t>
            </w:r>
          </w:p>
        </w:tc>
        <w:tc>
          <w:tcPr>
            <w:tcW w:w="937" w:type="dxa"/>
            <w:noWrap w:val="0"/>
            <w:vAlign w:val="center"/>
          </w:tcPr>
          <w:p w14:paraId="62D5F578">
            <w:pPr>
              <w:jc w:val="center"/>
              <w:rPr>
                <w:rFonts w:ascii="宋体" w:hAnsi="宋体" w:cs="宋体"/>
                <w:sz w:val="22"/>
                <w:szCs w:val="22"/>
              </w:rPr>
            </w:pPr>
            <w:r>
              <w:rPr>
                <w:rFonts w:hint="eastAsia"/>
                <w:sz w:val="22"/>
                <w:szCs w:val="22"/>
              </w:rPr>
              <w:t>201</w:t>
            </w:r>
          </w:p>
        </w:tc>
        <w:tc>
          <w:tcPr>
            <w:tcW w:w="916" w:type="dxa"/>
            <w:noWrap w:val="0"/>
            <w:vAlign w:val="center"/>
          </w:tcPr>
          <w:p w14:paraId="00BF4414">
            <w:pPr>
              <w:jc w:val="center"/>
              <w:rPr>
                <w:rFonts w:ascii="宋体" w:hAnsi="宋体" w:cs="宋体"/>
                <w:sz w:val="22"/>
                <w:szCs w:val="22"/>
              </w:rPr>
            </w:pPr>
            <w:r>
              <w:rPr>
                <w:rFonts w:hint="eastAsia"/>
                <w:sz w:val="22"/>
                <w:szCs w:val="22"/>
              </w:rPr>
              <w:t>184</w:t>
            </w:r>
          </w:p>
        </w:tc>
      </w:tr>
      <w:tr w14:paraId="198E6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14:paraId="42CB7FE7">
            <w:pPr>
              <w:widowControl w:val="0"/>
              <w:spacing w:line="300" w:lineRule="exact"/>
              <w:jc w:val="center"/>
              <w:rPr>
                <w:rFonts w:eastAsia="楷体_GB2312"/>
                <w:szCs w:val="21"/>
              </w:rPr>
            </w:pPr>
            <w:r>
              <w:rPr>
                <w:rFonts w:hint="eastAsia" w:eastAsia="楷体_GB2312"/>
                <w:szCs w:val="21"/>
              </w:rPr>
              <w:t>芦岭镇</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6C132BDE">
            <w:pPr>
              <w:widowControl w:val="0"/>
              <w:spacing w:line="300" w:lineRule="exact"/>
              <w:jc w:val="center"/>
              <w:rPr>
                <w:rFonts w:eastAsia="楷体_GB2312"/>
                <w:szCs w:val="21"/>
              </w:rPr>
            </w:pPr>
            <w:r>
              <w:rPr>
                <w:rFonts w:eastAsia="楷体_GB2312"/>
                <w:szCs w:val="21"/>
              </w:rPr>
              <w:t>一级地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62CAF82A">
            <w:pPr>
              <w:jc w:val="center"/>
              <w:rPr>
                <w:rFonts w:ascii="宋体" w:hAnsi="宋体" w:cs="宋体"/>
                <w:sz w:val="22"/>
                <w:szCs w:val="22"/>
              </w:rPr>
            </w:pPr>
            <w:r>
              <w:rPr>
                <w:rFonts w:hint="eastAsia"/>
                <w:sz w:val="22"/>
                <w:szCs w:val="22"/>
              </w:rPr>
              <w:t>382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117275B">
            <w:pPr>
              <w:jc w:val="center"/>
              <w:rPr>
                <w:rFonts w:ascii="宋体" w:hAnsi="宋体" w:cs="宋体"/>
                <w:sz w:val="22"/>
                <w:szCs w:val="22"/>
              </w:rPr>
            </w:pPr>
            <w:r>
              <w:rPr>
                <w:rFonts w:hint="eastAsia"/>
                <w:sz w:val="22"/>
                <w:szCs w:val="22"/>
              </w:rPr>
              <w:t>366</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5666B43B">
            <w:pPr>
              <w:jc w:val="center"/>
              <w:rPr>
                <w:rFonts w:ascii="宋体" w:hAnsi="宋体" w:cs="宋体"/>
                <w:sz w:val="22"/>
                <w:szCs w:val="22"/>
              </w:rPr>
            </w:pPr>
            <w:r>
              <w:rPr>
                <w:rFonts w:hint="eastAsia"/>
                <w:sz w:val="22"/>
                <w:szCs w:val="22"/>
              </w:rPr>
              <w:t>356</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2B67156">
            <w:pPr>
              <w:jc w:val="center"/>
              <w:rPr>
                <w:rFonts w:ascii="宋体" w:hAnsi="宋体" w:cs="宋体"/>
                <w:sz w:val="22"/>
                <w:szCs w:val="22"/>
              </w:rPr>
            </w:pPr>
            <w:r>
              <w:rPr>
                <w:rFonts w:hint="eastAsia"/>
                <w:sz w:val="22"/>
                <w:szCs w:val="22"/>
              </w:rPr>
              <w:t>356</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1C81F9C">
            <w:pPr>
              <w:jc w:val="center"/>
              <w:rPr>
                <w:rFonts w:ascii="宋体" w:hAnsi="宋体" w:cs="宋体"/>
                <w:sz w:val="22"/>
                <w:szCs w:val="22"/>
              </w:rPr>
            </w:pPr>
            <w:r>
              <w:rPr>
                <w:rFonts w:hint="eastAsia"/>
                <w:sz w:val="22"/>
                <w:szCs w:val="22"/>
              </w:rPr>
              <w:t>344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09F6B61">
            <w:pPr>
              <w:jc w:val="center"/>
              <w:rPr>
                <w:rFonts w:ascii="宋体" w:hAnsi="宋体" w:cs="宋体"/>
                <w:sz w:val="22"/>
                <w:szCs w:val="22"/>
              </w:rPr>
            </w:pPr>
            <w:r>
              <w:rPr>
                <w:rFonts w:hint="eastAsia"/>
                <w:sz w:val="22"/>
                <w:szCs w:val="22"/>
              </w:rPr>
              <w:t>344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9BDFF3B">
            <w:pPr>
              <w:jc w:val="center"/>
              <w:rPr>
                <w:rFonts w:ascii="宋体" w:hAnsi="宋体" w:cs="宋体"/>
                <w:sz w:val="22"/>
                <w:szCs w:val="22"/>
              </w:rPr>
            </w:pPr>
            <w:r>
              <w:rPr>
                <w:rFonts w:hint="eastAsia"/>
                <w:sz w:val="22"/>
                <w:szCs w:val="22"/>
              </w:rPr>
              <w:t>332</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005CAD05">
            <w:pPr>
              <w:jc w:val="center"/>
              <w:rPr>
                <w:rFonts w:ascii="宋体" w:hAnsi="宋体" w:cs="宋体"/>
                <w:sz w:val="22"/>
                <w:szCs w:val="22"/>
              </w:rPr>
            </w:pPr>
            <w:r>
              <w:rPr>
                <w:rFonts w:hint="eastAsia"/>
                <w:sz w:val="22"/>
                <w:szCs w:val="22"/>
              </w:rPr>
              <w:t>316</w:t>
            </w:r>
          </w:p>
        </w:tc>
      </w:tr>
      <w:tr w14:paraId="1550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16411BCC">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5FA778CF">
            <w:pPr>
              <w:widowControl w:val="0"/>
              <w:spacing w:line="300" w:lineRule="exact"/>
              <w:jc w:val="center"/>
              <w:rPr>
                <w:rFonts w:eastAsia="楷体_GB2312"/>
                <w:szCs w:val="21"/>
              </w:rPr>
            </w:pPr>
            <w:r>
              <w:rPr>
                <w:rFonts w:eastAsia="楷体_GB2312"/>
                <w:szCs w:val="21"/>
              </w:rPr>
              <w:t>二级地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29A1733">
            <w:pPr>
              <w:jc w:val="center"/>
              <w:rPr>
                <w:rFonts w:ascii="宋体" w:hAnsi="宋体" w:cs="宋体"/>
                <w:sz w:val="22"/>
                <w:szCs w:val="22"/>
              </w:rPr>
            </w:pPr>
            <w:r>
              <w:rPr>
                <w:rFonts w:hint="eastAsia"/>
                <w:sz w:val="22"/>
                <w:szCs w:val="22"/>
              </w:rPr>
              <w:t>307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A1EB0EB">
            <w:pPr>
              <w:jc w:val="center"/>
              <w:rPr>
                <w:rFonts w:ascii="宋体" w:hAnsi="宋体" w:cs="宋体"/>
                <w:sz w:val="22"/>
                <w:szCs w:val="22"/>
              </w:rPr>
            </w:pPr>
            <w:r>
              <w:rPr>
                <w:rFonts w:hint="eastAsia"/>
                <w:sz w:val="22"/>
                <w:szCs w:val="22"/>
              </w:rPr>
              <w:t>289</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E28BFFD">
            <w:pPr>
              <w:jc w:val="center"/>
              <w:rPr>
                <w:rFonts w:ascii="宋体" w:hAnsi="宋体" w:cs="宋体"/>
                <w:sz w:val="22"/>
                <w:szCs w:val="22"/>
              </w:rPr>
            </w:pPr>
            <w:r>
              <w:rPr>
                <w:rFonts w:hint="eastAsia"/>
                <w:sz w:val="22"/>
                <w:szCs w:val="22"/>
              </w:rPr>
              <w:t>277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85F6E1B">
            <w:pPr>
              <w:jc w:val="center"/>
              <w:rPr>
                <w:rFonts w:ascii="宋体" w:hAnsi="宋体" w:cs="宋体"/>
                <w:sz w:val="22"/>
                <w:szCs w:val="22"/>
              </w:rPr>
            </w:pPr>
            <w:r>
              <w:rPr>
                <w:rFonts w:hint="eastAsia"/>
                <w:sz w:val="22"/>
                <w:szCs w:val="22"/>
              </w:rPr>
              <w:t>277</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70A9F3AF">
            <w:pPr>
              <w:jc w:val="center"/>
              <w:rPr>
                <w:rFonts w:ascii="宋体" w:hAnsi="宋体" w:cs="宋体"/>
                <w:sz w:val="22"/>
                <w:szCs w:val="22"/>
              </w:rPr>
            </w:pPr>
            <w:r>
              <w:rPr>
                <w:rFonts w:hint="eastAsia"/>
                <w:sz w:val="22"/>
                <w:szCs w:val="22"/>
              </w:rPr>
              <w:t>269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7CFB5AA">
            <w:pPr>
              <w:jc w:val="center"/>
              <w:rPr>
                <w:rFonts w:ascii="宋体" w:hAnsi="宋体" w:cs="宋体"/>
                <w:sz w:val="22"/>
                <w:szCs w:val="22"/>
              </w:rPr>
            </w:pPr>
            <w:r>
              <w:rPr>
                <w:rFonts w:hint="eastAsia"/>
                <w:sz w:val="22"/>
                <w:szCs w:val="22"/>
              </w:rPr>
              <w:t>269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79E93C3">
            <w:pPr>
              <w:jc w:val="center"/>
              <w:rPr>
                <w:rFonts w:ascii="宋体" w:hAnsi="宋体" w:cs="宋体"/>
                <w:sz w:val="22"/>
                <w:szCs w:val="22"/>
              </w:rPr>
            </w:pPr>
            <w:r>
              <w:rPr>
                <w:rFonts w:hint="eastAsia"/>
                <w:sz w:val="22"/>
                <w:szCs w:val="22"/>
              </w:rPr>
              <w:t>261</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6642E2FD">
            <w:pPr>
              <w:jc w:val="center"/>
              <w:rPr>
                <w:rFonts w:ascii="宋体" w:hAnsi="宋体" w:cs="宋体"/>
                <w:sz w:val="22"/>
                <w:szCs w:val="22"/>
              </w:rPr>
            </w:pPr>
            <w:r>
              <w:rPr>
                <w:rFonts w:hint="eastAsia"/>
                <w:sz w:val="22"/>
                <w:szCs w:val="22"/>
              </w:rPr>
              <w:t>243</w:t>
            </w:r>
          </w:p>
        </w:tc>
      </w:tr>
      <w:tr w14:paraId="17805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0EC8B9F7">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04E875D4">
            <w:pPr>
              <w:widowControl w:val="0"/>
              <w:spacing w:line="300" w:lineRule="exact"/>
              <w:jc w:val="center"/>
              <w:rPr>
                <w:rFonts w:eastAsia="楷体_GB2312"/>
                <w:szCs w:val="21"/>
              </w:rPr>
            </w:pPr>
            <w:r>
              <w:rPr>
                <w:rFonts w:eastAsia="楷体_GB2312"/>
                <w:szCs w:val="21"/>
              </w:rPr>
              <w:t>三级地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5C7A864B">
            <w:pPr>
              <w:jc w:val="center"/>
              <w:rPr>
                <w:rFonts w:ascii="宋体" w:hAnsi="宋体" w:cs="宋体"/>
                <w:sz w:val="22"/>
                <w:szCs w:val="22"/>
              </w:rPr>
            </w:pPr>
            <w:r>
              <w:rPr>
                <w:rFonts w:hint="eastAsia"/>
                <w:sz w:val="22"/>
                <w:szCs w:val="22"/>
              </w:rPr>
              <w:t>241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F7DC059">
            <w:pPr>
              <w:jc w:val="center"/>
              <w:rPr>
                <w:rFonts w:ascii="宋体" w:hAnsi="宋体" w:cs="宋体"/>
                <w:sz w:val="22"/>
                <w:szCs w:val="22"/>
              </w:rPr>
            </w:pPr>
            <w:r>
              <w:rPr>
                <w:rFonts w:hint="eastAsia"/>
                <w:sz w:val="22"/>
                <w:szCs w:val="22"/>
              </w:rPr>
              <w:t>224</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5599E6F">
            <w:pPr>
              <w:jc w:val="center"/>
              <w:rPr>
                <w:rFonts w:ascii="宋体" w:hAnsi="宋体" w:cs="宋体"/>
                <w:sz w:val="22"/>
                <w:szCs w:val="22"/>
              </w:rPr>
            </w:pPr>
            <w:r>
              <w:rPr>
                <w:rFonts w:hint="eastAsia"/>
                <w:sz w:val="22"/>
                <w:szCs w:val="22"/>
              </w:rPr>
              <w:t>211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933C0A7">
            <w:pPr>
              <w:jc w:val="center"/>
              <w:rPr>
                <w:rFonts w:ascii="宋体" w:hAnsi="宋体" w:cs="宋体"/>
                <w:sz w:val="22"/>
                <w:szCs w:val="22"/>
              </w:rPr>
            </w:pPr>
            <w:r>
              <w:rPr>
                <w:rFonts w:hint="eastAsia"/>
                <w:sz w:val="22"/>
                <w:szCs w:val="22"/>
              </w:rPr>
              <w:t>211</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AB8EE1E">
            <w:pPr>
              <w:jc w:val="center"/>
              <w:rPr>
                <w:rFonts w:ascii="宋体" w:hAnsi="宋体" w:cs="宋体"/>
                <w:sz w:val="22"/>
                <w:szCs w:val="22"/>
              </w:rPr>
            </w:pPr>
            <w:r>
              <w:rPr>
                <w:rFonts w:hint="eastAsia"/>
                <w:sz w:val="22"/>
                <w:szCs w:val="22"/>
              </w:rPr>
              <w:t>204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539CBCB">
            <w:pPr>
              <w:jc w:val="center"/>
              <w:rPr>
                <w:rFonts w:ascii="宋体" w:hAnsi="宋体" w:cs="宋体"/>
                <w:sz w:val="22"/>
                <w:szCs w:val="22"/>
              </w:rPr>
            </w:pPr>
            <w:r>
              <w:rPr>
                <w:rFonts w:hint="eastAsia"/>
                <w:sz w:val="22"/>
                <w:szCs w:val="22"/>
              </w:rPr>
              <w:t>204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59FDB0F">
            <w:pPr>
              <w:jc w:val="center"/>
              <w:rPr>
                <w:rFonts w:ascii="宋体" w:hAnsi="宋体" w:cs="宋体"/>
                <w:sz w:val="22"/>
                <w:szCs w:val="22"/>
              </w:rPr>
            </w:pPr>
            <w:r>
              <w:rPr>
                <w:rFonts w:hint="eastAsia"/>
                <w:sz w:val="22"/>
                <w:szCs w:val="22"/>
              </w:rPr>
              <w:t>195</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5EC3D247">
            <w:pPr>
              <w:jc w:val="center"/>
              <w:rPr>
                <w:rFonts w:ascii="宋体" w:hAnsi="宋体" w:cs="宋体"/>
                <w:sz w:val="22"/>
                <w:szCs w:val="22"/>
              </w:rPr>
            </w:pPr>
            <w:r>
              <w:rPr>
                <w:rFonts w:hint="eastAsia"/>
                <w:sz w:val="22"/>
                <w:szCs w:val="22"/>
              </w:rPr>
              <w:t>178</w:t>
            </w:r>
          </w:p>
        </w:tc>
      </w:tr>
      <w:tr w14:paraId="1EAD7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14:paraId="706229A8">
            <w:pPr>
              <w:widowControl w:val="0"/>
              <w:spacing w:line="300" w:lineRule="exact"/>
              <w:jc w:val="center"/>
              <w:rPr>
                <w:rFonts w:eastAsia="楷体_GB2312"/>
                <w:szCs w:val="21"/>
              </w:rPr>
            </w:pPr>
            <w:r>
              <w:rPr>
                <w:rFonts w:hint="eastAsia" w:eastAsia="楷体_GB2312"/>
                <w:szCs w:val="21"/>
              </w:rPr>
              <w:t>大店镇</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63A5011B">
            <w:pPr>
              <w:widowControl w:val="0"/>
              <w:spacing w:line="300" w:lineRule="exact"/>
              <w:jc w:val="center"/>
              <w:rPr>
                <w:rFonts w:eastAsia="楷体_GB2312"/>
                <w:szCs w:val="21"/>
              </w:rPr>
            </w:pPr>
            <w:r>
              <w:rPr>
                <w:rFonts w:eastAsia="楷体_GB2312"/>
                <w:szCs w:val="21"/>
              </w:rPr>
              <w:t>一级地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429D310">
            <w:pPr>
              <w:jc w:val="center"/>
              <w:rPr>
                <w:rFonts w:ascii="宋体" w:hAnsi="宋体" w:cs="宋体"/>
                <w:sz w:val="22"/>
                <w:szCs w:val="22"/>
              </w:rPr>
            </w:pPr>
            <w:r>
              <w:rPr>
                <w:rFonts w:hint="eastAsia"/>
                <w:sz w:val="22"/>
                <w:szCs w:val="22"/>
              </w:rPr>
              <w:t>370</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09A7B6B">
            <w:pPr>
              <w:jc w:val="center"/>
              <w:rPr>
                <w:rFonts w:ascii="宋体" w:hAnsi="宋体" w:cs="宋体"/>
                <w:sz w:val="22"/>
                <w:szCs w:val="22"/>
              </w:rPr>
            </w:pPr>
            <w:r>
              <w:rPr>
                <w:rFonts w:hint="eastAsia"/>
                <w:sz w:val="22"/>
                <w:szCs w:val="22"/>
              </w:rPr>
              <w:t>354</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7BF9E81">
            <w:pPr>
              <w:jc w:val="center"/>
              <w:rPr>
                <w:rFonts w:ascii="宋体" w:hAnsi="宋体" w:cs="宋体"/>
                <w:sz w:val="22"/>
                <w:szCs w:val="22"/>
              </w:rPr>
            </w:pPr>
            <w:r>
              <w:rPr>
                <w:rFonts w:hint="eastAsia"/>
                <w:sz w:val="22"/>
                <w:szCs w:val="22"/>
              </w:rPr>
              <w:t>346</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FC9C65F">
            <w:pPr>
              <w:jc w:val="center"/>
              <w:rPr>
                <w:rFonts w:ascii="宋体" w:hAnsi="宋体" w:cs="宋体"/>
                <w:sz w:val="22"/>
                <w:szCs w:val="22"/>
              </w:rPr>
            </w:pPr>
            <w:r>
              <w:rPr>
                <w:rFonts w:hint="eastAsia"/>
                <w:sz w:val="22"/>
                <w:szCs w:val="22"/>
              </w:rPr>
              <w:t>346</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67932C27">
            <w:pPr>
              <w:jc w:val="center"/>
              <w:rPr>
                <w:rFonts w:ascii="宋体" w:hAnsi="宋体" w:cs="宋体"/>
                <w:sz w:val="22"/>
                <w:szCs w:val="22"/>
              </w:rPr>
            </w:pPr>
            <w:r>
              <w:rPr>
                <w:rFonts w:hint="eastAsia"/>
                <w:sz w:val="22"/>
                <w:szCs w:val="22"/>
              </w:rPr>
              <w:t>334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344B47D">
            <w:pPr>
              <w:jc w:val="center"/>
              <w:rPr>
                <w:rFonts w:ascii="宋体" w:hAnsi="宋体" w:cs="宋体"/>
                <w:sz w:val="22"/>
                <w:szCs w:val="22"/>
              </w:rPr>
            </w:pPr>
            <w:r>
              <w:rPr>
                <w:rFonts w:hint="eastAsia"/>
                <w:sz w:val="22"/>
                <w:szCs w:val="22"/>
              </w:rPr>
              <w:t>334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3236C89">
            <w:pPr>
              <w:jc w:val="center"/>
              <w:rPr>
                <w:rFonts w:ascii="宋体" w:hAnsi="宋体" w:cs="宋体"/>
                <w:sz w:val="22"/>
                <w:szCs w:val="22"/>
              </w:rPr>
            </w:pPr>
            <w:r>
              <w:rPr>
                <w:rFonts w:hint="eastAsia"/>
                <w:sz w:val="22"/>
                <w:szCs w:val="22"/>
              </w:rPr>
              <w:t>322</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7D49F09D">
            <w:pPr>
              <w:jc w:val="center"/>
              <w:rPr>
                <w:rFonts w:ascii="宋体" w:hAnsi="宋体" w:cs="宋体"/>
                <w:sz w:val="22"/>
                <w:szCs w:val="22"/>
              </w:rPr>
            </w:pPr>
            <w:r>
              <w:rPr>
                <w:rFonts w:hint="eastAsia"/>
                <w:sz w:val="22"/>
                <w:szCs w:val="22"/>
              </w:rPr>
              <w:t>306</w:t>
            </w:r>
          </w:p>
        </w:tc>
      </w:tr>
      <w:tr w14:paraId="521D2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3D69C935">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31C39735">
            <w:pPr>
              <w:widowControl w:val="0"/>
              <w:spacing w:line="300" w:lineRule="exact"/>
              <w:jc w:val="center"/>
              <w:rPr>
                <w:rFonts w:eastAsia="楷体_GB2312"/>
                <w:szCs w:val="21"/>
              </w:rPr>
            </w:pPr>
            <w:r>
              <w:rPr>
                <w:rFonts w:eastAsia="楷体_GB2312"/>
                <w:szCs w:val="21"/>
              </w:rPr>
              <w:t>二级地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4A51D67">
            <w:pPr>
              <w:jc w:val="center"/>
              <w:rPr>
                <w:rFonts w:ascii="宋体" w:hAnsi="宋体" w:cs="宋体"/>
                <w:sz w:val="22"/>
                <w:szCs w:val="22"/>
              </w:rPr>
            </w:pPr>
            <w:r>
              <w:rPr>
                <w:rFonts w:hint="eastAsia"/>
                <w:sz w:val="22"/>
                <w:szCs w:val="22"/>
              </w:rPr>
              <w:t>302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D26964B">
            <w:pPr>
              <w:jc w:val="center"/>
              <w:rPr>
                <w:rFonts w:ascii="宋体" w:hAnsi="宋体" w:cs="宋体"/>
                <w:sz w:val="22"/>
                <w:szCs w:val="22"/>
              </w:rPr>
            </w:pPr>
            <w:r>
              <w:rPr>
                <w:rFonts w:hint="eastAsia"/>
                <w:sz w:val="22"/>
                <w:szCs w:val="22"/>
              </w:rPr>
              <w:t>284</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906E1DF">
            <w:pPr>
              <w:jc w:val="center"/>
              <w:rPr>
                <w:rFonts w:ascii="宋体" w:hAnsi="宋体" w:cs="宋体"/>
                <w:sz w:val="22"/>
                <w:szCs w:val="22"/>
              </w:rPr>
            </w:pPr>
            <w:r>
              <w:rPr>
                <w:rFonts w:hint="eastAsia"/>
                <w:sz w:val="22"/>
                <w:szCs w:val="22"/>
              </w:rPr>
              <w:t>272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8194607">
            <w:pPr>
              <w:jc w:val="center"/>
              <w:rPr>
                <w:rFonts w:ascii="宋体" w:hAnsi="宋体" w:cs="宋体"/>
                <w:sz w:val="22"/>
                <w:szCs w:val="22"/>
              </w:rPr>
            </w:pPr>
            <w:r>
              <w:rPr>
                <w:rFonts w:hint="eastAsia"/>
                <w:sz w:val="22"/>
                <w:szCs w:val="22"/>
              </w:rPr>
              <w:t>272</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6726031">
            <w:pPr>
              <w:jc w:val="center"/>
              <w:rPr>
                <w:rFonts w:ascii="宋体" w:hAnsi="宋体" w:cs="宋体"/>
                <w:sz w:val="22"/>
                <w:szCs w:val="22"/>
              </w:rPr>
            </w:pPr>
            <w:r>
              <w:rPr>
                <w:rFonts w:hint="eastAsia"/>
                <w:sz w:val="22"/>
                <w:szCs w:val="22"/>
              </w:rPr>
              <w:t>264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46DC9CD">
            <w:pPr>
              <w:jc w:val="center"/>
              <w:rPr>
                <w:rFonts w:ascii="宋体" w:hAnsi="宋体" w:cs="宋体"/>
                <w:sz w:val="22"/>
                <w:szCs w:val="22"/>
              </w:rPr>
            </w:pPr>
            <w:r>
              <w:rPr>
                <w:rFonts w:hint="eastAsia"/>
                <w:sz w:val="22"/>
                <w:szCs w:val="22"/>
              </w:rPr>
              <w:t>264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E00C60F">
            <w:pPr>
              <w:jc w:val="center"/>
              <w:rPr>
                <w:rFonts w:ascii="宋体" w:hAnsi="宋体" w:cs="宋体"/>
                <w:sz w:val="22"/>
                <w:szCs w:val="22"/>
              </w:rPr>
            </w:pPr>
            <w:r>
              <w:rPr>
                <w:rFonts w:hint="eastAsia"/>
                <w:sz w:val="22"/>
                <w:szCs w:val="22"/>
              </w:rPr>
              <w:t>258</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453FBC63">
            <w:pPr>
              <w:jc w:val="center"/>
              <w:rPr>
                <w:rFonts w:ascii="宋体" w:hAnsi="宋体" w:cs="宋体"/>
                <w:sz w:val="22"/>
                <w:szCs w:val="22"/>
              </w:rPr>
            </w:pPr>
            <w:r>
              <w:rPr>
                <w:rFonts w:hint="eastAsia"/>
                <w:sz w:val="22"/>
                <w:szCs w:val="22"/>
              </w:rPr>
              <w:t>240</w:t>
            </w:r>
          </w:p>
        </w:tc>
      </w:tr>
      <w:tr w14:paraId="50BB3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732AE86A">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2C5E6411">
            <w:pPr>
              <w:widowControl w:val="0"/>
              <w:spacing w:line="300" w:lineRule="exact"/>
              <w:jc w:val="center"/>
              <w:rPr>
                <w:rFonts w:eastAsia="楷体_GB2312"/>
                <w:szCs w:val="21"/>
              </w:rPr>
            </w:pPr>
            <w:r>
              <w:rPr>
                <w:rFonts w:eastAsia="楷体_GB2312"/>
                <w:szCs w:val="21"/>
              </w:rPr>
              <w:t>三级地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B7A1165">
            <w:pPr>
              <w:jc w:val="center"/>
              <w:rPr>
                <w:rFonts w:ascii="宋体" w:hAnsi="宋体" w:cs="宋体"/>
                <w:sz w:val="22"/>
                <w:szCs w:val="22"/>
              </w:rPr>
            </w:pPr>
            <w:r>
              <w:rPr>
                <w:rFonts w:hint="eastAsia"/>
                <w:sz w:val="22"/>
                <w:szCs w:val="22"/>
              </w:rPr>
              <w:t>241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FCF2BEE">
            <w:pPr>
              <w:jc w:val="center"/>
              <w:rPr>
                <w:rFonts w:ascii="宋体" w:hAnsi="宋体" w:cs="宋体"/>
                <w:sz w:val="22"/>
                <w:szCs w:val="22"/>
              </w:rPr>
            </w:pPr>
            <w:r>
              <w:rPr>
                <w:rFonts w:hint="eastAsia"/>
                <w:sz w:val="22"/>
                <w:szCs w:val="22"/>
              </w:rPr>
              <w:t>224</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E5BDB91">
            <w:pPr>
              <w:jc w:val="center"/>
              <w:rPr>
                <w:rFonts w:ascii="宋体" w:hAnsi="宋体" w:cs="宋体"/>
                <w:sz w:val="22"/>
                <w:szCs w:val="22"/>
              </w:rPr>
            </w:pPr>
            <w:r>
              <w:rPr>
                <w:rFonts w:hint="eastAsia"/>
                <w:sz w:val="22"/>
                <w:szCs w:val="22"/>
              </w:rPr>
              <w:t>211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0C9D6D4">
            <w:pPr>
              <w:jc w:val="center"/>
              <w:rPr>
                <w:rFonts w:ascii="宋体" w:hAnsi="宋体" w:cs="宋体"/>
                <w:sz w:val="22"/>
                <w:szCs w:val="22"/>
              </w:rPr>
            </w:pPr>
            <w:r>
              <w:rPr>
                <w:rFonts w:hint="eastAsia"/>
                <w:sz w:val="22"/>
                <w:szCs w:val="22"/>
              </w:rPr>
              <w:t>211</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1926CB3">
            <w:pPr>
              <w:jc w:val="center"/>
              <w:rPr>
                <w:rFonts w:ascii="宋体" w:hAnsi="宋体" w:cs="宋体"/>
                <w:sz w:val="22"/>
                <w:szCs w:val="22"/>
              </w:rPr>
            </w:pPr>
            <w:r>
              <w:rPr>
                <w:rFonts w:hint="eastAsia"/>
                <w:sz w:val="22"/>
                <w:szCs w:val="22"/>
              </w:rPr>
              <w:t>204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6BD5112">
            <w:pPr>
              <w:jc w:val="center"/>
              <w:rPr>
                <w:rFonts w:ascii="宋体" w:hAnsi="宋体" w:cs="宋体"/>
                <w:sz w:val="22"/>
                <w:szCs w:val="22"/>
              </w:rPr>
            </w:pPr>
            <w:r>
              <w:rPr>
                <w:rFonts w:hint="eastAsia"/>
                <w:sz w:val="22"/>
                <w:szCs w:val="22"/>
              </w:rPr>
              <w:t>204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FDF88C7">
            <w:pPr>
              <w:jc w:val="center"/>
              <w:rPr>
                <w:rFonts w:ascii="宋体" w:hAnsi="宋体" w:cs="宋体"/>
                <w:sz w:val="22"/>
                <w:szCs w:val="22"/>
              </w:rPr>
            </w:pPr>
            <w:r>
              <w:rPr>
                <w:rFonts w:hint="eastAsia"/>
                <w:sz w:val="22"/>
                <w:szCs w:val="22"/>
              </w:rPr>
              <w:t>195</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49A77EF2">
            <w:pPr>
              <w:jc w:val="center"/>
              <w:rPr>
                <w:rFonts w:ascii="宋体" w:hAnsi="宋体" w:cs="宋体"/>
                <w:sz w:val="22"/>
                <w:szCs w:val="22"/>
              </w:rPr>
            </w:pPr>
            <w:r>
              <w:rPr>
                <w:rFonts w:hint="eastAsia"/>
                <w:sz w:val="22"/>
                <w:szCs w:val="22"/>
              </w:rPr>
              <w:t>178</w:t>
            </w:r>
          </w:p>
        </w:tc>
      </w:tr>
      <w:tr w14:paraId="69BC6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14:paraId="45D3C88E">
            <w:pPr>
              <w:widowControl w:val="0"/>
              <w:spacing w:line="300" w:lineRule="exact"/>
              <w:jc w:val="center"/>
              <w:rPr>
                <w:rFonts w:eastAsia="楷体_GB2312"/>
                <w:szCs w:val="21"/>
              </w:rPr>
            </w:pPr>
            <w:r>
              <w:rPr>
                <w:rFonts w:hint="eastAsia" w:eastAsia="楷体_GB2312"/>
                <w:szCs w:val="21"/>
              </w:rPr>
              <w:t>栏杆镇</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5EA59767">
            <w:pPr>
              <w:widowControl w:val="0"/>
              <w:spacing w:line="300" w:lineRule="exact"/>
              <w:jc w:val="center"/>
              <w:rPr>
                <w:rFonts w:eastAsia="楷体_GB2312"/>
                <w:szCs w:val="21"/>
              </w:rPr>
            </w:pPr>
            <w:r>
              <w:rPr>
                <w:rFonts w:eastAsia="楷体_GB2312"/>
                <w:szCs w:val="21"/>
              </w:rPr>
              <w:t>一级地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3C1A318">
            <w:pPr>
              <w:jc w:val="center"/>
              <w:rPr>
                <w:rFonts w:ascii="宋体" w:hAnsi="宋体" w:cs="宋体"/>
                <w:sz w:val="22"/>
                <w:szCs w:val="22"/>
              </w:rPr>
            </w:pPr>
            <w:r>
              <w:rPr>
                <w:rFonts w:hint="eastAsia"/>
                <w:sz w:val="22"/>
                <w:szCs w:val="22"/>
              </w:rPr>
              <w:t>365</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F0B6CC7">
            <w:pPr>
              <w:jc w:val="center"/>
              <w:rPr>
                <w:rFonts w:ascii="宋体" w:hAnsi="宋体" w:cs="宋体"/>
                <w:sz w:val="22"/>
                <w:szCs w:val="22"/>
              </w:rPr>
            </w:pPr>
            <w:r>
              <w:rPr>
                <w:rFonts w:hint="eastAsia"/>
                <w:sz w:val="22"/>
                <w:szCs w:val="22"/>
              </w:rPr>
              <w:t>349</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5318B08A">
            <w:pPr>
              <w:jc w:val="center"/>
              <w:rPr>
                <w:rFonts w:ascii="宋体" w:hAnsi="宋体" w:cs="宋体"/>
                <w:sz w:val="22"/>
                <w:szCs w:val="22"/>
              </w:rPr>
            </w:pPr>
            <w:r>
              <w:rPr>
                <w:rFonts w:hint="eastAsia"/>
                <w:sz w:val="22"/>
                <w:szCs w:val="22"/>
              </w:rPr>
              <w:t>341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44CCD60">
            <w:pPr>
              <w:jc w:val="center"/>
              <w:rPr>
                <w:rFonts w:ascii="宋体" w:hAnsi="宋体" w:cs="宋体"/>
                <w:sz w:val="22"/>
                <w:szCs w:val="22"/>
              </w:rPr>
            </w:pPr>
            <w:r>
              <w:rPr>
                <w:rFonts w:hint="eastAsia"/>
                <w:sz w:val="22"/>
                <w:szCs w:val="22"/>
              </w:rPr>
              <w:t>341</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4E33A433">
            <w:pPr>
              <w:jc w:val="center"/>
              <w:rPr>
                <w:rFonts w:ascii="宋体" w:hAnsi="宋体" w:cs="宋体"/>
                <w:sz w:val="22"/>
                <w:szCs w:val="22"/>
              </w:rPr>
            </w:pPr>
            <w:r>
              <w:rPr>
                <w:rFonts w:hint="eastAsia"/>
                <w:sz w:val="22"/>
                <w:szCs w:val="22"/>
              </w:rPr>
              <w:t>329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4B08AD6">
            <w:pPr>
              <w:jc w:val="center"/>
              <w:rPr>
                <w:rFonts w:ascii="宋体" w:hAnsi="宋体" w:cs="宋体"/>
                <w:sz w:val="22"/>
                <w:szCs w:val="22"/>
              </w:rPr>
            </w:pPr>
            <w:r>
              <w:rPr>
                <w:rFonts w:hint="eastAsia"/>
                <w:sz w:val="22"/>
                <w:szCs w:val="22"/>
              </w:rPr>
              <w:t>329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505819D">
            <w:pPr>
              <w:jc w:val="center"/>
              <w:rPr>
                <w:rFonts w:ascii="宋体" w:hAnsi="宋体" w:cs="宋体"/>
                <w:sz w:val="22"/>
                <w:szCs w:val="22"/>
              </w:rPr>
            </w:pPr>
            <w:r>
              <w:rPr>
                <w:rFonts w:hint="eastAsia"/>
                <w:sz w:val="22"/>
                <w:szCs w:val="22"/>
              </w:rPr>
              <w:t>319</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37669190">
            <w:pPr>
              <w:jc w:val="center"/>
              <w:rPr>
                <w:rFonts w:ascii="宋体" w:hAnsi="宋体" w:cs="宋体"/>
                <w:sz w:val="22"/>
                <w:szCs w:val="22"/>
              </w:rPr>
            </w:pPr>
            <w:r>
              <w:rPr>
                <w:rFonts w:hint="eastAsia"/>
                <w:sz w:val="22"/>
                <w:szCs w:val="22"/>
              </w:rPr>
              <w:t>303</w:t>
            </w:r>
          </w:p>
        </w:tc>
      </w:tr>
      <w:tr w14:paraId="28A8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15AB1234">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2114764F">
            <w:pPr>
              <w:widowControl w:val="0"/>
              <w:spacing w:line="300" w:lineRule="exact"/>
              <w:jc w:val="center"/>
              <w:rPr>
                <w:rFonts w:eastAsia="楷体_GB2312"/>
                <w:szCs w:val="21"/>
              </w:rPr>
            </w:pPr>
            <w:r>
              <w:rPr>
                <w:rFonts w:eastAsia="楷体_GB2312"/>
                <w:szCs w:val="21"/>
              </w:rPr>
              <w:t>二级地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4B13369C">
            <w:pPr>
              <w:jc w:val="center"/>
              <w:rPr>
                <w:rFonts w:ascii="宋体" w:hAnsi="宋体" w:cs="宋体"/>
                <w:sz w:val="22"/>
                <w:szCs w:val="22"/>
              </w:rPr>
            </w:pPr>
            <w:r>
              <w:rPr>
                <w:rFonts w:hint="eastAsia"/>
                <w:sz w:val="22"/>
                <w:szCs w:val="22"/>
              </w:rPr>
              <w:t>295</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F32BC31">
            <w:pPr>
              <w:jc w:val="center"/>
              <w:rPr>
                <w:rFonts w:ascii="宋体" w:hAnsi="宋体" w:cs="宋体"/>
                <w:sz w:val="22"/>
                <w:szCs w:val="22"/>
              </w:rPr>
            </w:pPr>
            <w:r>
              <w:rPr>
                <w:rFonts w:hint="eastAsia"/>
                <w:sz w:val="22"/>
                <w:szCs w:val="22"/>
              </w:rPr>
              <w:t>277</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801F2EC">
            <w:pPr>
              <w:jc w:val="center"/>
              <w:rPr>
                <w:rFonts w:ascii="宋体" w:hAnsi="宋体" w:cs="宋体"/>
                <w:sz w:val="22"/>
                <w:szCs w:val="22"/>
              </w:rPr>
            </w:pPr>
            <w:r>
              <w:rPr>
                <w:rFonts w:hint="eastAsia"/>
                <w:sz w:val="22"/>
                <w:szCs w:val="22"/>
              </w:rPr>
              <w:t>265</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F2564B0">
            <w:pPr>
              <w:jc w:val="center"/>
              <w:rPr>
                <w:rFonts w:ascii="宋体" w:hAnsi="宋体" w:cs="宋体"/>
                <w:sz w:val="22"/>
                <w:szCs w:val="22"/>
              </w:rPr>
            </w:pPr>
            <w:r>
              <w:rPr>
                <w:rFonts w:hint="eastAsia"/>
                <w:sz w:val="22"/>
                <w:szCs w:val="22"/>
              </w:rPr>
              <w:t>265</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6ED8B973">
            <w:pPr>
              <w:jc w:val="center"/>
              <w:rPr>
                <w:rFonts w:ascii="宋体" w:hAnsi="宋体" w:cs="宋体"/>
                <w:sz w:val="22"/>
                <w:szCs w:val="22"/>
              </w:rPr>
            </w:pPr>
            <w:r>
              <w:rPr>
                <w:rFonts w:hint="eastAsia"/>
                <w:sz w:val="22"/>
                <w:szCs w:val="22"/>
              </w:rPr>
              <w:t>259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B38F366">
            <w:pPr>
              <w:jc w:val="center"/>
              <w:rPr>
                <w:rFonts w:ascii="宋体" w:hAnsi="宋体" w:cs="宋体"/>
                <w:sz w:val="22"/>
                <w:szCs w:val="22"/>
              </w:rPr>
            </w:pPr>
            <w:r>
              <w:rPr>
                <w:rFonts w:hint="eastAsia"/>
                <w:sz w:val="22"/>
                <w:szCs w:val="22"/>
              </w:rPr>
              <w:t>259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79CDDAF">
            <w:pPr>
              <w:jc w:val="center"/>
              <w:rPr>
                <w:rFonts w:ascii="宋体" w:hAnsi="宋体" w:cs="宋体"/>
                <w:sz w:val="22"/>
                <w:szCs w:val="22"/>
              </w:rPr>
            </w:pPr>
            <w:r>
              <w:rPr>
                <w:rFonts w:hint="eastAsia"/>
                <w:sz w:val="22"/>
                <w:szCs w:val="22"/>
              </w:rPr>
              <w:t>251</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0B57A439">
            <w:pPr>
              <w:jc w:val="center"/>
              <w:rPr>
                <w:rFonts w:ascii="宋体" w:hAnsi="宋体" w:cs="宋体"/>
                <w:sz w:val="22"/>
                <w:szCs w:val="22"/>
              </w:rPr>
            </w:pPr>
            <w:r>
              <w:rPr>
                <w:rFonts w:hint="eastAsia"/>
                <w:sz w:val="22"/>
                <w:szCs w:val="22"/>
              </w:rPr>
              <w:t>235</w:t>
            </w:r>
          </w:p>
        </w:tc>
      </w:tr>
      <w:tr w14:paraId="0AEC0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6E796115">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4F11D67D">
            <w:pPr>
              <w:widowControl w:val="0"/>
              <w:spacing w:line="300" w:lineRule="exact"/>
              <w:jc w:val="center"/>
              <w:rPr>
                <w:rFonts w:eastAsia="楷体_GB2312"/>
                <w:szCs w:val="21"/>
              </w:rPr>
            </w:pPr>
            <w:r>
              <w:rPr>
                <w:rFonts w:eastAsia="楷体_GB2312"/>
                <w:szCs w:val="21"/>
              </w:rPr>
              <w:t>三级地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47A2F91E">
            <w:pPr>
              <w:jc w:val="center"/>
              <w:rPr>
                <w:rFonts w:ascii="宋体" w:hAnsi="宋体" w:cs="宋体"/>
                <w:sz w:val="22"/>
                <w:szCs w:val="22"/>
              </w:rPr>
            </w:pPr>
            <w:r>
              <w:rPr>
                <w:rFonts w:hint="eastAsia"/>
                <w:sz w:val="22"/>
                <w:szCs w:val="22"/>
              </w:rPr>
              <w:t>241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EB9255B">
            <w:pPr>
              <w:jc w:val="center"/>
              <w:rPr>
                <w:rFonts w:ascii="宋体" w:hAnsi="宋体" w:cs="宋体"/>
                <w:sz w:val="22"/>
                <w:szCs w:val="22"/>
              </w:rPr>
            </w:pPr>
            <w:r>
              <w:rPr>
                <w:rFonts w:hint="eastAsia"/>
                <w:sz w:val="22"/>
                <w:szCs w:val="22"/>
              </w:rPr>
              <w:t>224</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61B4FF35">
            <w:pPr>
              <w:jc w:val="center"/>
              <w:rPr>
                <w:rFonts w:ascii="宋体" w:hAnsi="宋体" w:cs="宋体"/>
                <w:sz w:val="22"/>
                <w:szCs w:val="22"/>
              </w:rPr>
            </w:pPr>
            <w:r>
              <w:rPr>
                <w:rFonts w:hint="eastAsia"/>
                <w:sz w:val="22"/>
                <w:szCs w:val="22"/>
              </w:rPr>
              <w:t>211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F7DD331">
            <w:pPr>
              <w:jc w:val="center"/>
              <w:rPr>
                <w:rFonts w:ascii="宋体" w:hAnsi="宋体" w:cs="宋体"/>
                <w:sz w:val="22"/>
                <w:szCs w:val="22"/>
              </w:rPr>
            </w:pPr>
            <w:r>
              <w:rPr>
                <w:rFonts w:hint="eastAsia"/>
                <w:sz w:val="22"/>
                <w:szCs w:val="22"/>
              </w:rPr>
              <w:t>211</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B14EA20">
            <w:pPr>
              <w:jc w:val="center"/>
              <w:rPr>
                <w:rFonts w:ascii="宋体" w:hAnsi="宋体" w:cs="宋体"/>
                <w:sz w:val="22"/>
                <w:szCs w:val="22"/>
              </w:rPr>
            </w:pPr>
            <w:r>
              <w:rPr>
                <w:rFonts w:hint="eastAsia"/>
                <w:sz w:val="22"/>
                <w:szCs w:val="22"/>
              </w:rPr>
              <w:t>204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5B8D076">
            <w:pPr>
              <w:jc w:val="center"/>
              <w:rPr>
                <w:rFonts w:ascii="宋体" w:hAnsi="宋体" w:cs="宋体"/>
                <w:sz w:val="22"/>
                <w:szCs w:val="22"/>
              </w:rPr>
            </w:pPr>
            <w:r>
              <w:rPr>
                <w:rFonts w:hint="eastAsia"/>
                <w:sz w:val="22"/>
                <w:szCs w:val="22"/>
              </w:rPr>
              <w:t>204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BBE0963">
            <w:pPr>
              <w:jc w:val="center"/>
              <w:rPr>
                <w:rFonts w:ascii="宋体" w:hAnsi="宋体" w:cs="宋体"/>
                <w:sz w:val="22"/>
                <w:szCs w:val="22"/>
              </w:rPr>
            </w:pPr>
            <w:r>
              <w:rPr>
                <w:rFonts w:hint="eastAsia"/>
                <w:sz w:val="22"/>
                <w:szCs w:val="22"/>
              </w:rPr>
              <w:t>195</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47DF29DF">
            <w:pPr>
              <w:jc w:val="center"/>
              <w:rPr>
                <w:rFonts w:ascii="宋体" w:hAnsi="宋体" w:cs="宋体"/>
                <w:sz w:val="22"/>
                <w:szCs w:val="22"/>
              </w:rPr>
            </w:pPr>
            <w:r>
              <w:rPr>
                <w:rFonts w:hint="eastAsia"/>
                <w:sz w:val="22"/>
                <w:szCs w:val="22"/>
              </w:rPr>
              <w:t>178</w:t>
            </w:r>
          </w:p>
        </w:tc>
      </w:tr>
      <w:tr w14:paraId="0597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14:paraId="1C0433B3">
            <w:pPr>
              <w:widowControl w:val="0"/>
              <w:spacing w:line="300" w:lineRule="exact"/>
              <w:jc w:val="center"/>
              <w:rPr>
                <w:rFonts w:eastAsia="楷体_GB2312"/>
                <w:szCs w:val="21"/>
              </w:rPr>
            </w:pPr>
            <w:r>
              <w:rPr>
                <w:rFonts w:hint="eastAsia" w:eastAsia="楷体_GB2312"/>
                <w:szCs w:val="21"/>
              </w:rPr>
              <w:t>时村镇</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64D64E50">
            <w:pPr>
              <w:widowControl w:val="0"/>
              <w:spacing w:line="300" w:lineRule="exact"/>
              <w:jc w:val="center"/>
              <w:rPr>
                <w:rFonts w:eastAsia="楷体_GB2312"/>
                <w:szCs w:val="21"/>
              </w:rPr>
            </w:pPr>
            <w:r>
              <w:rPr>
                <w:rFonts w:eastAsia="楷体_GB2312"/>
                <w:szCs w:val="21"/>
              </w:rPr>
              <w:t>一级地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6661BF4">
            <w:pPr>
              <w:jc w:val="center"/>
              <w:rPr>
                <w:rFonts w:ascii="宋体" w:hAnsi="宋体" w:cs="宋体"/>
                <w:sz w:val="22"/>
                <w:szCs w:val="22"/>
              </w:rPr>
            </w:pPr>
            <w:r>
              <w:rPr>
                <w:rFonts w:hint="eastAsia"/>
                <w:sz w:val="22"/>
                <w:szCs w:val="22"/>
              </w:rPr>
              <w:t>356</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552B10F">
            <w:pPr>
              <w:jc w:val="center"/>
              <w:rPr>
                <w:rFonts w:ascii="宋体" w:hAnsi="宋体" w:cs="宋体"/>
                <w:sz w:val="22"/>
                <w:szCs w:val="22"/>
              </w:rPr>
            </w:pPr>
            <w:r>
              <w:rPr>
                <w:rFonts w:hint="eastAsia"/>
                <w:sz w:val="22"/>
                <w:szCs w:val="22"/>
              </w:rPr>
              <w:t>342</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58053115">
            <w:pPr>
              <w:jc w:val="center"/>
              <w:rPr>
                <w:rFonts w:ascii="宋体" w:hAnsi="宋体" w:cs="宋体"/>
                <w:sz w:val="22"/>
                <w:szCs w:val="22"/>
              </w:rPr>
            </w:pPr>
            <w:r>
              <w:rPr>
                <w:rFonts w:hint="eastAsia"/>
                <w:sz w:val="22"/>
                <w:szCs w:val="22"/>
              </w:rPr>
              <w:t>334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3D03A0F">
            <w:pPr>
              <w:jc w:val="center"/>
              <w:rPr>
                <w:rFonts w:ascii="宋体" w:hAnsi="宋体" w:cs="宋体"/>
                <w:sz w:val="22"/>
                <w:szCs w:val="22"/>
              </w:rPr>
            </w:pPr>
            <w:r>
              <w:rPr>
                <w:rFonts w:hint="eastAsia"/>
                <w:sz w:val="22"/>
                <w:szCs w:val="22"/>
              </w:rPr>
              <w:t>334</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DE3251D">
            <w:pPr>
              <w:jc w:val="center"/>
              <w:rPr>
                <w:rFonts w:ascii="宋体" w:hAnsi="宋体" w:cs="宋体"/>
                <w:sz w:val="22"/>
                <w:szCs w:val="22"/>
              </w:rPr>
            </w:pPr>
            <w:r>
              <w:rPr>
                <w:rFonts w:hint="eastAsia"/>
                <w:sz w:val="22"/>
                <w:szCs w:val="22"/>
              </w:rPr>
              <w:t>324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E7EA07D">
            <w:pPr>
              <w:jc w:val="center"/>
              <w:rPr>
                <w:rFonts w:ascii="宋体" w:hAnsi="宋体" w:cs="宋体"/>
                <w:sz w:val="22"/>
                <w:szCs w:val="22"/>
              </w:rPr>
            </w:pPr>
            <w:r>
              <w:rPr>
                <w:rFonts w:hint="eastAsia"/>
                <w:sz w:val="22"/>
                <w:szCs w:val="22"/>
              </w:rPr>
              <w:t>324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431C731">
            <w:pPr>
              <w:jc w:val="center"/>
              <w:rPr>
                <w:rFonts w:ascii="宋体" w:hAnsi="宋体" w:cs="宋体"/>
                <w:sz w:val="22"/>
                <w:szCs w:val="22"/>
              </w:rPr>
            </w:pPr>
            <w:r>
              <w:rPr>
                <w:rFonts w:hint="eastAsia"/>
                <w:sz w:val="22"/>
                <w:szCs w:val="22"/>
              </w:rPr>
              <w:t>312</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5C44DD23">
            <w:pPr>
              <w:jc w:val="center"/>
              <w:rPr>
                <w:rFonts w:ascii="宋体" w:hAnsi="宋体" w:cs="宋体"/>
                <w:sz w:val="22"/>
                <w:szCs w:val="22"/>
              </w:rPr>
            </w:pPr>
            <w:r>
              <w:rPr>
                <w:rFonts w:hint="eastAsia"/>
                <w:sz w:val="22"/>
                <w:szCs w:val="22"/>
              </w:rPr>
              <w:t>298</w:t>
            </w:r>
          </w:p>
        </w:tc>
      </w:tr>
      <w:tr w14:paraId="330E9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7705056C">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1E66176E">
            <w:pPr>
              <w:widowControl w:val="0"/>
              <w:spacing w:line="300" w:lineRule="exact"/>
              <w:jc w:val="center"/>
              <w:rPr>
                <w:rFonts w:eastAsia="楷体_GB2312"/>
                <w:szCs w:val="21"/>
              </w:rPr>
            </w:pPr>
            <w:r>
              <w:rPr>
                <w:rFonts w:eastAsia="楷体_GB2312"/>
                <w:szCs w:val="21"/>
              </w:rPr>
              <w:t>二级地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7386EC97">
            <w:pPr>
              <w:jc w:val="center"/>
              <w:rPr>
                <w:rFonts w:ascii="宋体" w:hAnsi="宋体" w:cs="宋体"/>
                <w:sz w:val="22"/>
                <w:szCs w:val="22"/>
              </w:rPr>
            </w:pPr>
            <w:r>
              <w:rPr>
                <w:rFonts w:hint="eastAsia"/>
                <w:sz w:val="22"/>
                <w:szCs w:val="22"/>
              </w:rPr>
              <w:t>282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16CF95C">
            <w:pPr>
              <w:jc w:val="center"/>
              <w:rPr>
                <w:rFonts w:ascii="宋体" w:hAnsi="宋体" w:cs="宋体"/>
                <w:sz w:val="22"/>
                <w:szCs w:val="22"/>
              </w:rPr>
            </w:pPr>
            <w:r>
              <w:rPr>
                <w:rFonts w:hint="eastAsia"/>
                <w:sz w:val="22"/>
                <w:szCs w:val="22"/>
              </w:rPr>
              <w:t>266</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990F7B7">
            <w:pPr>
              <w:jc w:val="center"/>
              <w:rPr>
                <w:rFonts w:ascii="宋体" w:hAnsi="宋体" w:cs="宋体"/>
                <w:sz w:val="22"/>
                <w:szCs w:val="22"/>
              </w:rPr>
            </w:pPr>
            <w:r>
              <w:rPr>
                <w:rFonts w:hint="eastAsia"/>
                <w:sz w:val="22"/>
                <w:szCs w:val="22"/>
              </w:rPr>
              <w:t>254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ADB3317">
            <w:pPr>
              <w:jc w:val="center"/>
              <w:rPr>
                <w:rFonts w:ascii="宋体" w:hAnsi="宋体" w:cs="宋体"/>
                <w:sz w:val="22"/>
                <w:szCs w:val="22"/>
              </w:rPr>
            </w:pPr>
            <w:r>
              <w:rPr>
                <w:rFonts w:hint="eastAsia"/>
                <w:sz w:val="22"/>
                <w:szCs w:val="22"/>
              </w:rPr>
              <w:t>254</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70A70D03">
            <w:pPr>
              <w:jc w:val="center"/>
              <w:rPr>
                <w:rFonts w:ascii="宋体" w:hAnsi="宋体" w:cs="宋体"/>
                <w:sz w:val="22"/>
                <w:szCs w:val="22"/>
              </w:rPr>
            </w:pPr>
            <w:r>
              <w:rPr>
                <w:rFonts w:hint="eastAsia"/>
                <w:sz w:val="22"/>
                <w:szCs w:val="22"/>
              </w:rPr>
              <w:t>250</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57663A6">
            <w:pPr>
              <w:jc w:val="center"/>
              <w:rPr>
                <w:rFonts w:ascii="宋体" w:hAnsi="宋体" w:cs="宋体"/>
                <w:sz w:val="22"/>
                <w:szCs w:val="22"/>
              </w:rPr>
            </w:pPr>
            <w:r>
              <w:rPr>
                <w:rFonts w:hint="eastAsia"/>
                <w:sz w:val="22"/>
                <w:szCs w:val="22"/>
              </w:rPr>
              <w:t>250</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B7D8C31">
            <w:pPr>
              <w:jc w:val="center"/>
              <w:rPr>
                <w:rFonts w:ascii="宋体" w:hAnsi="宋体" w:cs="宋体"/>
                <w:sz w:val="22"/>
                <w:szCs w:val="22"/>
              </w:rPr>
            </w:pPr>
            <w:r>
              <w:rPr>
                <w:rFonts w:hint="eastAsia"/>
                <w:sz w:val="22"/>
                <w:szCs w:val="22"/>
              </w:rPr>
              <w:t>239</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479FC789">
            <w:pPr>
              <w:jc w:val="center"/>
              <w:rPr>
                <w:rFonts w:ascii="宋体" w:hAnsi="宋体" w:cs="宋体"/>
                <w:sz w:val="22"/>
                <w:szCs w:val="22"/>
              </w:rPr>
            </w:pPr>
            <w:r>
              <w:rPr>
                <w:rFonts w:hint="eastAsia"/>
                <w:sz w:val="22"/>
                <w:szCs w:val="22"/>
              </w:rPr>
              <w:t>223</w:t>
            </w:r>
          </w:p>
        </w:tc>
      </w:tr>
      <w:tr w14:paraId="58967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039DE920">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069A1816">
            <w:pPr>
              <w:widowControl w:val="0"/>
              <w:spacing w:line="300" w:lineRule="exact"/>
              <w:jc w:val="center"/>
              <w:rPr>
                <w:rFonts w:eastAsia="楷体_GB2312"/>
                <w:szCs w:val="21"/>
              </w:rPr>
            </w:pPr>
            <w:r>
              <w:rPr>
                <w:rFonts w:eastAsia="楷体_GB2312"/>
                <w:szCs w:val="21"/>
              </w:rPr>
              <w:t>三级地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4A8BBB3C">
            <w:pPr>
              <w:jc w:val="center"/>
              <w:rPr>
                <w:rFonts w:ascii="宋体" w:hAnsi="宋体" w:cs="宋体"/>
                <w:sz w:val="22"/>
                <w:szCs w:val="22"/>
              </w:rPr>
            </w:pPr>
            <w:r>
              <w:rPr>
                <w:rFonts w:hint="eastAsia"/>
                <w:sz w:val="22"/>
                <w:szCs w:val="22"/>
              </w:rPr>
              <w:t>210</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9CADBE4">
            <w:pPr>
              <w:jc w:val="center"/>
              <w:rPr>
                <w:rFonts w:ascii="宋体" w:hAnsi="宋体" w:cs="宋体"/>
                <w:sz w:val="22"/>
                <w:szCs w:val="22"/>
              </w:rPr>
            </w:pPr>
            <w:r>
              <w:rPr>
                <w:rFonts w:hint="eastAsia"/>
                <w:sz w:val="22"/>
                <w:szCs w:val="22"/>
              </w:rPr>
              <w:t>195</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7999222">
            <w:pPr>
              <w:jc w:val="center"/>
              <w:rPr>
                <w:rFonts w:ascii="宋体" w:hAnsi="宋体" w:cs="宋体"/>
                <w:sz w:val="22"/>
                <w:szCs w:val="22"/>
              </w:rPr>
            </w:pPr>
            <w:r>
              <w:rPr>
                <w:rFonts w:hint="eastAsia"/>
                <w:sz w:val="22"/>
                <w:szCs w:val="22"/>
              </w:rPr>
              <w:t>184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C2DFEFB">
            <w:pPr>
              <w:jc w:val="center"/>
              <w:rPr>
                <w:rFonts w:ascii="宋体" w:hAnsi="宋体" w:cs="宋体"/>
                <w:sz w:val="22"/>
                <w:szCs w:val="22"/>
              </w:rPr>
            </w:pPr>
            <w:r>
              <w:rPr>
                <w:rFonts w:hint="eastAsia"/>
                <w:sz w:val="22"/>
                <w:szCs w:val="22"/>
              </w:rPr>
              <w:t>184</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5883BCB8">
            <w:pPr>
              <w:jc w:val="center"/>
              <w:rPr>
                <w:rFonts w:ascii="宋体" w:hAnsi="宋体" w:cs="宋体"/>
                <w:sz w:val="22"/>
                <w:szCs w:val="22"/>
              </w:rPr>
            </w:pPr>
            <w:r>
              <w:rPr>
                <w:rFonts w:hint="eastAsia"/>
                <w:sz w:val="22"/>
                <w:szCs w:val="22"/>
              </w:rPr>
              <w:t>179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EB03578">
            <w:pPr>
              <w:jc w:val="center"/>
              <w:rPr>
                <w:rFonts w:ascii="宋体" w:hAnsi="宋体" w:cs="宋体"/>
                <w:sz w:val="22"/>
                <w:szCs w:val="22"/>
              </w:rPr>
            </w:pPr>
            <w:r>
              <w:rPr>
                <w:rFonts w:hint="eastAsia"/>
                <w:sz w:val="22"/>
                <w:szCs w:val="22"/>
              </w:rPr>
              <w:t>179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8346571">
            <w:pPr>
              <w:jc w:val="center"/>
              <w:rPr>
                <w:rFonts w:ascii="宋体" w:hAnsi="宋体" w:cs="宋体"/>
                <w:sz w:val="22"/>
                <w:szCs w:val="22"/>
              </w:rPr>
            </w:pPr>
            <w:r>
              <w:rPr>
                <w:rFonts w:hint="eastAsia"/>
                <w:sz w:val="22"/>
                <w:szCs w:val="22"/>
              </w:rPr>
              <w:t>172</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7DA63578">
            <w:pPr>
              <w:jc w:val="center"/>
              <w:rPr>
                <w:rFonts w:ascii="宋体" w:hAnsi="宋体" w:cs="宋体"/>
                <w:sz w:val="22"/>
                <w:szCs w:val="22"/>
              </w:rPr>
            </w:pPr>
            <w:r>
              <w:rPr>
                <w:rFonts w:hint="eastAsia"/>
                <w:sz w:val="22"/>
                <w:szCs w:val="22"/>
              </w:rPr>
              <w:t>159</w:t>
            </w:r>
          </w:p>
        </w:tc>
      </w:tr>
      <w:tr w14:paraId="269C4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14:paraId="62AC2569">
            <w:pPr>
              <w:widowControl w:val="0"/>
              <w:spacing w:line="300" w:lineRule="exact"/>
              <w:jc w:val="center"/>
              <w:rPr>
                <w:rFonts w:eastAsia="楷体_GB2312"/>
                <w:szCs w:val="21"/>
              </w:rPr>
            </w:pPr>
            <w:r>
              <w:rPr>
                <w:rFonts w:hint="eastAsia" w:eastAsia="楷体_GB2312"/>
                <w:szCs w:val="21"/>
              </w:rPr>
              <w:t>夹沟镇</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7ED771D5">
            <w:pPr>
              <w:widowControl w:val="0"/>
              <w:spacing w:line="300" w:lineRule="exact"/>
              <w:jc w:val="center"/>
              <w:rPr>
                <w:rFonts w:eastAsia="楷体_GB2312"/>
                <w:szCs w:val="21"/>
              </w:rPr>
            </w:pPr>
            <w:r>
              <w:rPr>
                <w:rFonts w:eastAsia="楷体_GB2312"/>
                <w:szCs w:val="21"/>
              </w:rPr>
              <w:t>一级地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6CEE6B88">
            <w:pPr>
              <w:jc w:val="center"/>
              <w:rPr>
                <w:rFonts w:ascii="宋体" w:hAnsi="宋体" w:cs="宋体"/>
                <w:sz w:val="22"/>
                <w:szCs w:val="22"/>
              </w:rPr>
            </w:pPr>
            <w:r>
              <w:rPr>
                <w:rFonts w:hint="eastAsia"/>
                <w:sz w:val="22"/>
                <w:szCs w:val="22"/>
              </w:rPr>
              <w:t>344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09CF18F">
            <w:pPr>
              <w:jc w:val="center"/>
              <w:rPr>
                <w:rFonts w:ascii="宋体" w:hAnsi="宋体" w:cs="宋体"/>
                <w:sz w:val="22"/>
                <w:szCs w:val="22"/>
              </w:rPr>
            </w:pPr>
            <w:r>
              <w:rPr>
                <w:rFonts w:hint="eastAsia"/>
                <w:sz w:val="22"/>
                <w:szCs w:val="22"/>
              </w:rPr>
              <w:t>330</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3466C67">
            <w:pPr>
              <w:jc w:val="center"/>
              <w:rPr>
                <w:rFonts w:ascii="宋体" w:hAnsi="宋体" w:cs="宋体"/>
                <w:sz w:val="22"/>
                <w:szCs w:val="22"/>
              </w:rPr>
            </w:pPr>
            <w:r>
              <w:rPr>
                <w:rFonts w:hint="eastAsia"/>
                <w:sz w:val="22"/>
                <w:szCs w:val="22"/>
              </w:rPr>
              <w:t>324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8CD4097">
            <w:pPr>
              <w:jc w:val="center"/>
              <w:rPr>
                <w:rFonts w:ascii="宋体" w:hAnsi="宋体" w:cs="宋体"/>
                <w:sz w:val="22"/>
                <w:szCs w:val="22"/>
              </w:rPr>
            </w:pPr>
            <w:r>
              <w:rPr>
                <w:rFonts w:hint="eastAsia"/>
                <w:sz w:val="22"/>
                <w:szCs w:val="22"/>
              </w:rPr>
              <w:t>324</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58258A7D">
            <w:pPr>
              <w:jc w:val="center"/>
              <w:rPr>
                <w:rFonts w:ascii="宋体" w:hAnsi="宋体" w:cs="宋体"/>
                <w:sz w:val="22"/>
                <w:szCs w:val="22"/>
              </w:rPr>
            </w:pPr>
            <w:r>
              <w:rPr>
                <w:rFonts w:hint="eastAsia"/>
                <w:sz w:val="22"/>
                <w:szCs w:val="22"/>
              </w:rPr>
              <w:t>314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5CAF3F0">
            <w:pPr>
              <w:jc w:val="center"/>
              <w:rPr>
                <w:rFonts w:ascii="宋体" w:hAnsi="宋体" w:cs="宋体"/>
                <w:sz w:val="22"/>
                <w:szCs w:val="22"/>
              </w:rPr>
            </w:pPr>
            <w:r>
              <w:rPr>
                <w:rFonts w:hint="eastAsia"/>
                <w:sz w:val="22"/>
                <w:szCs w:val="22"/>
              </w:rPr>
              <w:t>314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8DA06C0">
            <w:pPr>
              <w:jc w:val="center"/>
              <w:rPr>
                <w:rFonts w:ascii="宋体" w:hAnsi="宋体" w:cs="宋体"/>
                <w:sz w:val="22"/>
                <w:szCs w:val="22"/>
              </w:rPr>
            </w:pPr>
            <w:r>
              <w:rPr>
                <w:rFonts w:hint="eastAsia"/>
                <w:sz w:val="22"/>
                <w:szCs w:val="22"/>
              </w:rPr>
              <w:t>304</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5B80F8A5">
            <w:pPr>
              <w:jc w:val="center"/>
              <w:rPr>
                <w:rFonts w:ascii="宋体" w:hAnsi="宋体" w:cs="宋体"/>
                <w:sz w:val="22"/>
                <w:szCs w:val="22"/>
              </w:rPr>
            </w:pPr>
            <w:r>
              <w:rPr>
                <w:rFonts w:hint="eastAsia"/>
                <w:sz w:val="22"/>
                <w:szCs w:val="22"/>
              </w:rPr>
              <w:t>290</w:t>
            </w:r>
          </w:p>
        </w:tc>
      </w:tr>
      <w:tr w14:paraId="046B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3779D343">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7FC094EB">
            <w:pPr>
              <w:widowControl w:val="0"/>
              <w:spacing w:line="300" w:lineRule="exact"/>
              <w:jc w:val="center"/>
              <w:rPr>
                <w:rFonts w:eastAsia="楷体_GB2312"/>
                <w:szCs w:val="21"/>
              </w:rPr>
            </w:pPr>
            <w:r>
              <w:rPr>
                <w:rFonts w:eastAsia="楷体_GB2312"/>
                <w:szCs w:val="21"/>
              </w:rPr>
              <w:t>二级地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70969EEE">
            <w:pPr>
              <w:jc w:val="center"/>
              <w:rPr>
                <w:rFonts w:ascii="宋体" w:hAnsi="宋体" w:cs="宋体"/>
                <w:sz w:val="22"/>
                <w:szCs w:val="22"/>
              </w:rPr>
            </w:pPr>
            <w:r>
              <w:rPr>
                <w:rFonts w:hint="eastAsia"/>
                <w:sz w:val="22"/>
                <w:szCs w:val="22"/>
              </w:rPr>
              <w:t>290</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0A1A90E">
            <w:pPr>
              <w:jc w:val="center"/>
              <w:rPr>
                <w:rFonts w:ascii="宋体" w:hAnsi="宋体" w:cs="宋体"/>
                <w:sz w:val="22"/>
                <w:szCs w:val="22"/>
              </w:rPr>
            </w:pPr>
            <w:r>
              <w:rPr>
                <w:rFonts w:hint="eastAsia"/>
                <w:sz w:val="22"/>
                <w:szCs w:val="22"/>
              </w:rPr>
              <w:t>272</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62E9C934">
            <w:pPr>
              <w:jc w:val="center"/>
              <w:rPr>
                <w:rFonts w:ascii="宋体" w:hAnsi="宋体" w:cs="宋体"/>
                <w:sz w:val="22"/>
                <w:szCs w:val="22"/>
              </w:rPr>
            </w:pPr>
            <w:r>
              <w:rPr>
                <w:rFonts w:hint="eastAsia"/>
                <w:sz w:val="22"/>
                <w:szCs w:val="22"/>
              </w:rPr>
              <w:t>260</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7AB2FD6">
            <w:pPr>
              <w:jc w:val="center"/>
              <w:rPr>
                <w:rFonts w:ascii="宋体" w:hAnsi="宋体" w:cs="宋体"/>
                <w:sz w:val="22"/>
                <w:szCs w:val="22"/>
              </w:rPr>
            </w:pPr>
            <w:r>
              <w:rPr>
                <w:rFonts w:hint="eastAsia"/>
                <w:sz w:val="22"/>
                <w:szCs w:val="22"/>
              </w:rPr>
              <w:t>260</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53DDCD7">
            <w:pPr>
              <w:jc w:val="center"/>
              <w:rPr>
                <w:rFonts w:ascii="宋体" w:hAnsi="宋体" w:cs="宋体"/>
                <w:sz w:val="22"/>
                <w:szCs w:val="22"/>
              </w:rPr>
            </w:pPr>
            <w:r>
              <w:rPr>
                <w:rFonts w:hint="eastAsia"/>
                <w:sz w:val="22"/>
                <w:szCs w:val="22"/>
              </w:rPr>
              <w:t>254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809B306">
            <w:pPr>
              <w:jc w:val="center"/>
              <w:rPr>
                <w:rFonts w:ascii="宋体" w:hAnsi="宋体" w:cs="宋体"/>
                <w:sz w:val="22"/>
                <w:szCs w:val="22"/>
              </w:rPr>
            </w:pPr>
            <w:r>
              <w:rPr>
                <w:rFonts w:hint="eastAsia"/>
                <w:sz w:val="22"/>
                <w:szCs w:val="22"/>
              </w:rPr>
              <w:t>254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B164836">
            <w:pPr>
              <w:jc w:val="center"/>
              <w:rPr>
                <w:rFonts w:ascii="宋体" w:hAnsi="宋体" w:cs="宋体"/>
                <w:sz w:val="22"/>
                <w:szCs w:val="22"/>
              </w:rPr>
            </w:pPr>
            <w:r>
              <w:rPr>
                <w:rFonts w:hint="eastAsia"/>
                <w:sz w:val="22"/>
                <w:szCs w:val="22"/>
              </w:rPr>
              <w:t>248</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238D01E8">
            <w:pPr>
              <w:jc w:val="center"/>
              <w:rPr>
                <w:rFonts w:ascii="宋体" w:hAnsi="宋体" w:cs="宋体"/>
                <w:sz w:val="22"/>
                <w:szCs w:val="22"/>
              </w:rPr>
            </w:pPr>
            <w:r>
              <w:rPr>
                <w:rFonts w:hint="eastAsia"/>
                <w:sz w:val="22"/>
                <w:szCs w:val="22"/>
              </w:rPr>
              <w:t>230</w:t>
            </w:r>
          </w:p>
        </w:tc>
      </w:tr>
      <w:tr w14:paraId="353B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59C0A5C2">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54C4DBE9">
            <w:pPr>
              <w:widowControl w:val="0"/>
              <w:spacing w:line="300" w:lineRule="exact"/>
              <w:jc w:val="center"/>
              <w:rPr>
                <w:rFonts w:eastAsia="楷体_GB2312"/>
                <w:szCs w:val="21"/>
              </w:rPr>
            </w:pPr>
            <w:r>
              <w:rPr>
                <w:rFonts w:eastAsia="楷体_GB2312"/>
                <w:szCs w:val="21"/>
              </w:rPr>
              <w:t>三级地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40E43A42">
            <w:pPr>
              <w:jc w:val="center"/>
              <w:rPr>
                <w:rFonts w:ascii="宋体" w:hAnsi="宋体" w:cs="宋体"/>
                <w:sz w:val="22"/>
                <w:szCs w:val="22"/>
              </w:rPr>
            </w:pPr>
            <w:r>
              <w:rPr>
                <w:rFonts w:hint="eastAsia"/>
                <w:sz w:val="22"/>
                <w:szCs w:val="22"/>
              </w:rPr>
              <w:t>236</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C3170D9">
            <w:pPr>
              <w:jc w:val="center"/>
              <w:rPr>
                <w:rFonts w:ascii="宋体" w:hAnsi="宋体" w:cs="宋体"/>
                <w:sz w:val="22"/>
                <w:szCs w:val="22"/>
              </w:rPr>
            </w:pPr>
            <w:r>
              <w:rPr>
                <w:rFonts w:hint="eastAsia"/>
                <w:sz w:val="22"/>
                <w:szCs w:val="22"/>
              </w:rPr>
              <w:t>219</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479B141B">
            <w:pPr>
              <w:jc w:val="center"/>
              <w:rPr>
                <w:rFonts w:ascii="宋体" w:hAnsi="宋体" w:cs="宋体"/>
                <w:sz w:val="22"/>
                <w:szCs w:val="22"/>
              </w:rPr>
            </w:pPr>
            <w:r>
              <w:rPr>
                <w:rFonts w:hint="eastAsia"/>
                <w:sz w:val="22"/>
                <w:szCs w:val="22"/>
              </w:rPr>
              <w:t>208</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E354181">
            <w:pPr>
              <w:jc w:val="center"/>
              <w:rPr>
                <w:rFonts w:ascii="宋体" w:hAnsi="宋体" w:cs="宋体"/>
                <w:sz w:val="22"/>
                <w:szCs w:val="22"/>
              </w:rPr>
            </w:pPr>
            <w:r>
              <w:rPr>
                <w:rFonts w:hint="eastAsia"/>
                <w:sz w:val="22"/>
                <w:szCs w:val="22"/>
              </w:rPr>
              <w:t>208</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3201884">
            <w:pPr>
              <w:jc w:val="center"/>
              <w:rPr>
                <w:rFonts w:ascii="宋体" w:hAnsi="宋体" w:cs="宋体"/>
                <w:sz w:val="22"/>
                <w:szCs w:val="22"/>
              </w:rPr>
            </w:pPr>
            <w:r>
              <w:rPr>
                <w:rFonts w:hint="eastAsia"/>
                <w:sz w:val="22"/>
                <w:szCs w:val="22"/>
              </w:rPr>
              <w:t>199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DE2B3A1">
            <w:pPr>
              <w:jc w:val="center"/>
              <w:rPr>
                <w:rFonts w:ascii="宋体" w:hAnsi="宋体" w:cs="宋体"/>
                <w:sz w:val="22"/>
                <w:szCs w:val="22"/>
              </w:rPr>
            </w:pPr>
            <w:r>
              <w:rPr>
                <w:rFonts w:hint="eastAsia"/>
                <w:sz w:val="22"/>
                <w:szCs w:val="22"/>
              </w:rPr>
              <w:t>199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B5D3FB3">
            <w:pPr>
              <w:jc w:val="center"/>
              <w:rPr>
                <w:rFonts w:ascii="宋体" w:hAnsi="宋体" w:cs="宋体"/>
                <w:sz w:val="22"/>
                <w:szCs w:val="22"/>
              </w:rPr>
            </w:pPr>
            <w:r>
              <w:rPr>
                <w:rFonts w:hint="eastAsia"/>
                <w:sz w:val="22"/>
                <w:szCs w:val="22"/>
              </w:rPr>
              <w:t>192</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3CBB6DB0">
            <w:pPr>
              <w:jc w:val="center"/>
              <w:rPr>
                <w:rFonts w:ascii="宋体" w:hAnsi="宋体" w:cs="宋体"/>
                <w:sz w:val="22"/>
                <w:szCs w:val="22"/>
              </w:rPr>
            </w:pPr>
            <w:r>
              <w:rPr>
                <w:rFonts w:hint="eastAsia"/>
                <w:sz w:val="22"/>
                <w:szCs w:val="22"/>
              </w:rPr>
              <w:t>175</w:t>
            </w:r>
          </w:p>
        </w:tc>
      </w:tr>
      <w:tr w14:paraId="1A1A7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14:paraId="097E8D83">
            <w:pPr>
              <w:widowControl w:val="0"/>
              <w:spacing w:line="300" w:lineRule="exact"/>
              <w:jc w:val="center"/>
              <w:rPr>
                <w:rFonts w:eastAsia="楷体_GB2312"/>
                <w:szCs w:val="21"/>
              </w:rPr>
            </w:pPr>
            <w:r>
              <w:rPr>
                <w:rFonts w:hint="eastAsia" w:eastAsia="楷体_GB2312"/>
                <w:szCs w:val="21"/>
              </w:rPr>
              <w:t>西二铺乡</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3E1F28F8">
            <w:pPr>
              <w:widowControl w:val="0"/>
              <w:spacing w:line="300" w:lineRule="exact"/>
              <w:jc w:val="center"/>
              <w:rPr>
                <w:rFonts w:eastAsia="楷体_GB2312"/>
                <w:szCs w:val="21"/>
              </w:rPr>
            </w:pPr>
            <w:r>
              <w:rPr>
                <w:rFonts w:eastAsia="楷体_GB2312"/>
                <w:szCs w:val="21"/>
              </w:rPr>
              <w:t>一级地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79196675">
            <w:pPr>
              <w:jc w:val="center"/>
              <w:rPr>
                <w:rFonts w:ascii="宋体" w:hAnsi="宋体" w:cs="宋体"/>
                <w:sz w:val="22"/>
                <w:szCs w:val="22"/>
              </w:rPr>
            </w:pPr>
            <w:r>
              <w:rPr>
                <w:rFonts w:hint="eastAsia"/>
                <w:sz w:val="22"/>
                <w:szCs w:val="22"/>
              </w:rPr>
              <w:t>339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65B1616">
            <w:pPr>
              <w:jc w:val="center"/>
              <w:rPr>
                <w:rFonts w:ascii="宋体" w:hAnsi="宋体" w:cs="宋体"/>
                <w:sz w:val="22"/>
                <w:szCs w:val="22"/>
              </w:rPr>
            </w:pPr>
            <w:r>
              <w:rPr>
                <w:rFonts w:hint="eastAsia"/>
                <w:sz w:val="22"/>
                <w:szCs w:val="22"/>
              </w:rPr>
              <w:t>325</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785527A1">
            <w:pPr>
              <w:jc w:val="center"/>
              <w:rPr>
                <w:rFonts w:ascii="宋体" w:hAnsi="宋体" w:cs="宋体"/>
                <w:sz w:val="22"/>
                <w:szCs w:val="22"/>
              </w:rPr>
            </w:pPr>
            <w:r>
              <w:rPr>
                <w:rFonts w:hint="eastAsia"/>
                <w:sz w:val="22"/>
                <w:szCs w:val="22"/>
              </w:rPr>
              <w:t>319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ECC8437">
            <w:pPr>
              <w:jc w:val="center"/>
              <w:rPr>
                <w:rFonts w:ascii="宋体" w:hAnsi="宋体" w:cs="宋体"/>
                <w:sz w:val="22"/>
                <w:szCs w:val="22"/>
              </w:rPr>
            </w:pPr>
            <w:r>
              <w:rPr>
                <w:rFonts w:hint="eastAsia"/>
                <w:sz w:val="22"/>
                <w:szCs w:val="22"/>
              </w:rPr>
              <w:t>319</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F84026C">
            <w:pPr>
              <w:jc w:val="center"/>
              <w:rPr>
                <w:rFonts w:ascii="宋体" w:hAnsi="宋体" w:cs="宋体"/>
                <w:sz w:val="22"/>
                <w:szCs w:val="22"/>
              </w:rPr>
            </w:pPr>
            <w:r>
              <w:rPr>
                <w:rFonts w:hint="eastAsia"/>
                <w:sz w:val="22"/>
                <w:szCs w:val="22"/>
              </w:rPr>
              <w:t>309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9D2E1F6">
            <w:pPr>
              <w:jc w:val="center"/>
              <w:rPr>
                <w:rFonts w:ascii="宋体" w:hAnsi="宋体" w:cs="宋体"/>
                <w:sz w:val="22"/>
                <w:szCs w:val="22"/>
              </w:rPr>
            </w:pPr>
            <w:r>
              <w:rPr>
                <w:rFonts w:hint="eastAsia"/>
                <w:sz w:val="22"/>
                <w:szCs w:val="22"/>
              </w:rPr>
              <w:t>309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3613A39">
            <w:pPr>
              <w:jc w:val="center"/>
              <w:rPr>
                <w:rFonts w:ascii="宋体" w:hAnsi="宋体" w:cs="宋体"/>
                <w:sz w:val="22"/>
                <w:szCs w:val="22"/>
              </w:rPr>
            </w:pPr>
            <w:r>
              <w:rPr>
                <w:rFonts w:hint="eastAsia"/>
                <w:sz w:val="22"/>
                <w:szCs w:val="22"/>
              </w:rPr>
              <w:t>299</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116F4C19">
            <w:pPr>
              <w:jc w:val="center"/>
              <w:rPr>
                <w:rFonts w:ascii="宋体" w:hAnsi="宋体" w:cs="宋体"/>
                <w:sz w:val="22"/>
                <w:szCs w:val="22"/>
              </w:rPr>
            </w:pPr>
            <w:r>
              <w:rPr>
                <w:rFonts w:hint="eastAsia"/>
                <w:sz w:val="22"/>
                <w:szCs w:val="22"/>
              </w:rPr>
              <w:t>287</w:t>
            </w:r>
          </w:p>
        </w:tc>
      </w:tr>
      <w:tr w14:paraId="259E9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79A96484">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6664EA04">
            <w:pPr>
              <w:widowControl w:val="0"/>
              <w:spacing w:line="300" w:lineRule="exact"/>
              <w:jc w:val="center"/>
              <w:rPr>
                <w:rFonts w:eastAsia="楷体_GB2312"/>
                <w:szCs w:val="21"/>
              </w:rPr>
            </w:pPr>
            <w:r>
              <w:rPr>
                <w:rFonts w:eastAsia="楷体_GB2312"/>
                <w:szCs w:val="21"/>
              </w:rPr>
              <w:t>二级地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C010DB1">
            <w:pPr>
              <w:jc w:val="center"/>
              <w:rPr>
                <w:rFonts w:ascii="宋体" w:hAnsi="宋体" w:cs="宋体"/>
                <w:sz w:val="22"/>
                <w:szCs w:val="22"/>
              </w:rPr>
            </w:pPr>
            <w:r>
              <w:rPr>
                <w:rFonts w:hint="eastAsia"/>
                <w:sz w:val="22"/>
                <w:szCs w:val="22"/>
              </w:rPr>
              <w:t>276</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592F220">
            <w:pPr>
              <w:jc w:val="center"/>
              <w:rPr>
                <w:rFonts w:ascii="宋体" w:hAnsi="宋体" w:cs="宋体"/>
                <w:sz w:val="22"/>
                <w:szCs w:val="22"/>
              </w:rPr>
            </w:pPr>
            <w:r>
              <w:rPr>
                <w:rFonts w:hint="eastAsia"/>
                <w:sz w:val="22"/>
                <w:szCs w:val="22"/>
              </w:rPr>
              <w:t>260</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C929581">
            <w:pPr>
              <w:jc w:val="center"/>
              <w:rPr>
                <w:rFonts w:ascii="宋体" w:hAnsi="宋体" w:cs="宋体"/>
                <w:sz w:val="22"/>
                <w:szCs w:val="22"/>
              </w:rPr>
            </w:pPr>
            <w:r>
              <w:rPr>
                <w:rFonts w:hint="eastAsia"/>
                <w:sz w:val="22"/>
                <w:szCs w:val="22"/>
              </w:rPr>
              <w:t>250</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118F8C5">
            <w:pPr>
              <w:jc w:val="center"/>
              <w:rPr>
                <w:rFonts w:ascii="宋体" w:hAnsi="宋体" w:cs="宋体"/>
                <w:sz w:val="22"/>
                <w:szCs w:val="22"/>
              </w:rPr>
            </w:pPr>
            <w:r>
              <w:rPr>
                <w:rFonts w:hint="eastAsia"/>
                <w:sz w:val="22"/>
                <w:szCs w:val="22"/>
              </w:rPr>
              <w:t>250</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605000B">
            <w:pPr>
              <w:jc w:val="center"/>
              <w:rPr>
                <w:rFonts w:ascii="宋体" w:hAnsi="宋体" w:cs="宋体"/>
                <w:sz w:val="22"/>
                <w:szCs w:val="22"/>
              </w:rPr>
            </w:pPr>
            <w:r>
              <w:rPr>
                <w:rFonts w:hint="eastAsia"/>
                <w:sz w:val="22"/>
                <w:szCs w:val="22"/>
              </w:rPr>
              <w:t>244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4BBC3A8">
            <w:pPr>
              <w:jc w:val="center"/>
              <w:rPr>
                <w:rFonts w:ascii="宋体" w:hAnsi="宋体" w:cs="宋体"/>
                <w:sz w:val="22"/>
                <w:szCs w:val="22"/>
              </w:rPr>
            </w:pPr>
            <w:r>
              <w:rPr>
                <w:rFonts w:hint="eastAsia"/>
                <w:sz w:val="22"/>
                <w:szCs w:val="22"/>
              </w:rPr>
              <w:t>244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EBD343B">
            <w:pPr>
              <w:jc w:val="center"/>
              <w:rPr>
                <w:rFonts w:ascii="宋体" w:hAnsi="宋体" w:cs="宋体"/>
                <w:sz w:val="22"/>
                <w:szCs w:val="22"/>
              </w:rPr>
            </w:pPr>
            <w:r>
              <w:rPr>
                <w:rFonts w:hint="eastAsia"/>
                <w:sz w:val="22"/>
                <w:szCs w:val="22"/>
              </w:rPr>
              <w:t>238</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50CFF131">
            <w:pPr>
              <w:jc w:val="center"/>
              <w:rPr>
                <w:rFonts w:ascii="宋体" w:hAnsi="宋体" w:cs="宋体"/>
                <w:sz w:val="22"/>
                <w:szCs w:val="22"/>
              </w:rPr>
            </w:pPr>
            <w:r>
              <w:rPr>
                <w:rFonts w:hint="eastAsia"/>
                <w:sz w:val="22"/>
                <w:szCs w:val="22"/>
              </w:rPr>
              <w:t>222</w:t>
            </w:r>
          </w:p>
        </w:tc>
      </w:tr>
      <w:tr w14:paraId="64C7B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7C176E3E">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365D2273">
            <w:pPr>
              <w:widowControl w:val="0"/>
              <w:spacing w:line="300" w:lineRule="exact"/>
              <w:jc w:val="center"/>
              <w:rPr>
                <w:rFonts w:eastAsia="楷体_GB2312"/>
                <w:szCs w:val="21"/>
              </w:rPr>
            </w:pPr>
            <w:r>
              <w:rPr>
                <w:rFonts w:eastAsia="楷体_GB2312"/>
                <w:szCs w:val="21"/>
              </w:rPr>
              <w:t>三级地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7D823F2A">
            <w:pPr>
              <w:jc w:val="center"/>
              <w:rPr>
                <w:rFonts w:ascii="宋体" w:hAnsi="宋体" w:cs="宋体"/>
                <w:sz w:val="22"/>
                <w:szCs w:val="22"/>
              </w:rPr>
            </w:pPr>
            <w:r>
              <w:rPr>
                <w:rFonts w:hint="eastAsia"/>
                <w:sz w:val="22"/>
                <w:szCs w:val="22"/>
              </w:rPr>
              <w:t>227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ABE33A5">
            <w:pPr>
              <w:jc w:val="center"/>
              <w:rPr>
                <w:rFonts w:ascii="宋体" w:hAnsi="宋体" w:cs="宋体"/>
                <w:sz w:val="22"/>
                <w:szCs w:val="22"/>
              </w:rPr>
            </w:pPr>
            <w:r>
              <w:rPr>
                <w:rFonts w:hint="eastAsia"/>
                <w:sz w:val="22"/>
                <w:szCs w:val="22"/>
              </w:rPr>
              <w:t>212</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22BC2D5">
            <w:pPr>
              <w:jc w:val="center"/>
              <w:rPr>
                <w:rFonts w:ascii="宋体" w:hAnsi="宋体" w:cs="宋体"/>
                <w:sz w:val="22"/>
                <w:szCs w:val="22"/>
              </w:rPr>
            </w:pPr>
            <w:r>
              <w:rPr>
                <w:rFonts w:hint="eastAsia"/>
                <w:sz w:val="22"/>
                <w:szCs w:val="22"/>
              </w:rPr>
              <w:t>201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E5BB45A">
            <w:pPr>
              <w:jc w:val="center"/>
              <w:rPr>
                <w:rFonts w:ascii="宋体" w:hAnsi="宋体" w:cs="宋体"/>
                <w:sz w:val="22"/>
                <w:szCs w:val="22"/>
              </w:rPr>
            </w:pPr>
            <w:r>
              <w:rPr>
                <w:rFonts w:hint="eastAsia"/>
                <w:sz w:val="22"/>
                <w:szCs w:val="22"/>
              </w:rPr>
              <w:t>201</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130C0A8">
            <w:pPr>
              <w:jc w:val="center"/>
              <w:rPr>
                <w:rFonts w:ascii="宋体" w:hAnsi="宋体" w:cs="宋体"/>
                <w:sz w:val="22"/>
                <w:szCs w:val="22"/>
              </w:rPr>
            </w:pPr>
            <w:r>
              <w:rPr>
                <w:rFonts w:hint="eastAsia"/>
                <w:sz w:val="22"/>
                <w:szCs w:val="22"/>
              </w:rPr>
              <w:t>194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09E1363">
            <w:pPr>
              <w:jc w:val="center"/>
              <w:rPr>
                <w:rFonts w:ascii="宋体" w:hAnsi="宋体" w:cs="宋体"/>
                <w:sz w:val="22"/>
                <w:szCs w:val="22"/>
              </w:rPr>
            </w:pPr>
            <w:r>
              <w:rPr>
                <w:rFonts w:hint="eastAsia"/>
                <w:sz w:val="22"/>
                <w:szCs w:val="22"/>
              </w:rPr>
              <w:t>194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FBC4190">
            <w:pPr>
              <w:jc w:val="center"/>
              <w:rPr>
                <w:rFonts w:ascii="宋体" w:hAnsi="宋体" w:cs="宋体"/>
                <w:sz w:val="22"/>
                <w:szCs w:val="22"/>
              </w:rPr>
            </w:pPr>
            <w:r>
              <w:rPr>
                <w:rFonts w:hint="eastAsia"/>
                <w:sz w:val="22"/>
                <w:szCs w:val="22"/>
              </w:rPr>
              <w:t>185</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6DCEE402">
            <w:pPr>
              <w:jc w:val="center"/>
              <w:rPr>
                <w:rFonts w:ascii="宋体" w:hAnsi="宋体" w:cs="宋体"/>
                <w:sz w:val="22"/>
                <w:szCs w:val="22"/>
              </w:rPr>
            </w:pPr>
            <w:r>
              <w:rPr>
                <w:rFonts w:hint="eastAsia"/>
                <w:sz w:val="22"/>
                <w:szCs w:val="22"/>
              </w:rPr>
              <w:t>170</w:t>
            </w:r>
          </w:p>
        </w:tc>
      </w:tr>
      <w:tr w14:paraId="2BC03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14:paraId="30E3E433">
            <w:pPr>
              <w:widowControl w:val="0"/>
              <w:spacing w:line="300" w:lineRule="exact"/>
              <w:jc w:val="center"/>
              <w:rPr>
                <w:rFonts w:eastAsia="楷体_GB2312"/>
                <w:szCs w:val="21"/>
              </w:rPr>
            </w:pPr>
            <w:r>
              <w:rPr>
                <w:rFonts w:hint="eastAsia" w:eastAsia="楷体_GB2312"/>
                <w:szCs w:val="21"/>
              </w:rPr>
              <w:t>桃园镇</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5D8D1019">
            <w:pPr>
              <w:widowControl w:val="0"/>
              <w:spacing w:line="300" w:lineRule="exact"/>
              <w:jc w:val="center"/>
              <w:rPr>
                <w:rFonts w:eastAsia="楷体_GB2312"/>
                <w:szCs w:val="21"/>
              </w:rPr>
            </w:pPr>
            <w:r>
              <w:rPr>
                <w:rFonts w:eastAsia="楷体_GB2312"/>
                <w:szCs w:val="21"/>
              </w:rPr>
              <w:t>一级地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43760BE8">
            <w:pPr>
              <w:jc w:val="center"/>
              <w:rPr>
                <w:rFonts w:ascii="宋体" w:hAnsi="宋体" w:cs="宋体"/>
                <w:sz w:val="22"/>
                <w:szCs w:val="22"/>
              </w:rPr>
            </w:pPr>
            <w:r>
              <w:rPr>
                <w:rFonts w:hint="eastAsia"/>
                <w:sz w:val="22"/>
                <w:szCs w:val="22"/>
              </w:rPr>
              <w:t>325</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D675B6A">
            <w:pPr>
              <w:jc w:val="center"/>
              <w:rPr>
                <w:rFonts w:ascii="宋体" w:hAnsi="宋体" w:cs="宋体"/>
                <w:sz w:val="22"/>
                <w:szCs w:val="22"/>
              </w:rPr>
            </w:pPr>
            <w:r>
              <w:rPr>
                <w:rFonts w:hint="eastAsia"/>
                <w:sz w:val="22"/>
                <w:szCs w:val="22"/>
              </w:rPr>
              <w:t>313</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C3C9E64">
            <w:pPr>
              <w:jc w:val="center"/>
              <w:rPr>
                <w:rFonts w:ascii="宋体" w:hAnsi="宋体" w:cs="宋体"/>
                <w:sz w:val="22"/>
                <w:szCs w:val="22"/>
              </w:rPr>
            </w:pPr>
            <w:r>
              <w:rPr>
                <w:rFonts w:hint="eastAsia"/>
                <w:sz w:val="22"/>
                <w:szCs w:val="22"/>
              </w:rPr>
              <w:t>307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770602D">
            <w:pPr>
              <w:jc w:val="center"/>
              <w:rPr>
                <w:rFonts w:ascii="宋体" w:hAnsi="宋体" w:cs="宋体"/>
                <w:sz w:val="22"/>
                <w:szCs w:val="22"/>
              </w:rPr>
            </w:pPr>
            <w:r>
              <w:rPr>
                <w:rFonts w:hint="eastAsia"/>
                <w:sz w:val="22"/>
                <w:szCs w:val="22"/>
              </w:rPr>
              <w:t>307</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2B2E228">
            <w:pPr>
              <w:jc w:val="center"/>
              <w:rPr>
                <w:rFonts w:ascii="宋体" w:hAnsi="宋体" w:cs="宋体"/>
                <w:sz w:val="22"/>
                <w:szCs w:val="22"/>
              </w:rPr>
            </w:pPr>
            <w:r>
              <w:rPr>
                <w:rFonts w:hint="eastAsia"/>
                <w:sz w:val="22"/>
                <w:szCs w:val="22"/>
              </w:rPr>
              <w:t>299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AFAE276">
            <w:pPr>
              <w:jc w:val="center"/>
              <w:rPr>
                <w:rFonts w:ascii="宋体" w:hAnsi="宋体" w:cs="宋体"/>
                <w:sz w:val="22"/>
                <w:szCs w:val="22"/>
              </w:rPr>
            </w:pPr>
            <w:r>
              <w:rPr>
                <w:rFonts w:hint="eastAsia"/>
                <w:sz w:val="22"/>
                <w:szCs w:val="22"/>
              </w:rPr>
              <w:t>299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27F4107">
            <w:pPr>
              <w:jc w:val="center"/>
              <w:rPr>
                <w:rFonts w:ascii="宋体" w:hAnsi="宋体" w:cs="宋体"/>
                <w:sz w:val="22"/>
                <w:szCs w:val="22"/>
              </w:rPr>
            </w:pPr>
            <w:r>
              <w:rPr>
                <w:rFonts w:hint="eastAsia"/>
                <w:sz w:val="22"/>
                <w:szCs w:val="22"/>
              </w:rPr>
              <w:t>289</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4043CDC5">
            <w:pPr>
              <w:jc w:val="center"/>
              <w:rPr>
                <w:rFonts w:ascii="宋体" w:hAnsi="宋体" w:cs="宋体"/>
                <w:sz w:val="22"/>
                <w:szCs w:val="22"/>
              </w:rPr>
            </w:pPr>
            <w:r>
              <w:rPr>
                <w:rFonts w:hint="eastAsia"/>
                <w:sz w:val="22"/>
                <w:szCs w:val="22"/>
              </w:rPr>
              <w:t>277</w:t>
            </w:r>
          </w:p>
        </w:tc>
      </w:tr>
      <w:tr w14:paraId="7509B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00F4A5F3">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6C21EE8F">
            <w:pPr>
              <w:widowControl w:val="0"/>
              <w:spacing w:line="300" w:lineRule="exact"/>
              <w:jc w:val="center"/>
              <w:rPr>
                <w:rFonts w:eastAsia="楷体_GB2312"/>
                <w:szCs w:val="21"/>
              </w:rPr>
            </w:pPr>
            <w:r>
              <w:rPr>
                <w:rFonts w:eastAsia="楷体_GB2312"/>
                <w:szCs w:val="21"/>
              </w:rPr>
              <w:t>二级地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5F3DC58F">
            <w:pPr>
              <w:jc w:val="center"/>
              <w:rPr>
                <w:rFonts w:ascii="宋体" w:hAnsi="宋体" w:cs="宋体"/>
                <w:sz w:val="22"/>
                <w:szCs w:val="22"/>
              </w:rPr>
            </w:pPr>
            <w:r>
              <w:rPr>
                <w:rFonts w:hint="eastAsia"/>
                <w:sz w:val="22"/>
                <w:szCs w:val="22"/>
              </w:rPr>
              <w:t>275</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B863ED1">
            <w:pPr>
              <w:jc w:val="center"/>
              <w:rPr>
                <w:rFonts w:ascii="宋体" w:hAnsi="宋体" w:cs="宋体"/>
                <w:sz w:val="22"/>
                <w:szCs w:val="22"/>
              </w:rPr>
            </w:pPr>
            <w:r>
              <w:rPr>
                <w:rFonts w:hint="eastAsia"/>
                <w:sz w:val="22"/>
                <w:szCs w:val="22"/>
              </w:rPr>
              <w:t>259</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76950811">
            <w:pPr>
              <w:jc w:val="center"/>
              <w:rPr>
                <w:rFonts w:ascii="宋体" w:hAnsi="宋体" w:cs="宋体"/>
                <w:sz w:val="22"/>
                <w:szCs w:val="22"/>
              </w:rPr>
            </w:pPr>
            <w:r>
              <w:rPr>
                <w:rFonts w:hint="eastAsia"/>
                <w:sz w:val="22"/>
                <w:szCs w:val="22"/>
              </w:rPr>
              <w:t>249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11A2027">
            <w:pPr>
              <w:jc w:val="center"/>
              <w:rPr>
                <w:rFonts w:ascii="宋体" w:hAnsi="宋体" w:cs="宋体"/>
                <w:sz w:val="22"/>
                <w:szCs w:val="22"/>
              </w:rPr>
            </w:pPr>
            <w:r>
              <w:rPr>
                <w:rFonts w:hint="eastAsia"/>
                <w:sz w:val="22"/>
                <w:szCs w:val="22"/>
              </w:rPr>
              <w:t>249</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6A51796">
            <w:pPr>
              <w:jc w:val="center"/>
              <w:rPr>
                <w:rFonts w:ascii="宋体" w:hAnsi="宋体" w:cs="宋体"/>
                <w:sz w:val="22"/>
                <w:szCs w:val="22"/>
              </w:rPr>
            </w:pPr>
            <w:r>
              <w:rPr>
                <w:rFonts w:hint="eastAsia"/>
                <w:sz w:val="22"/>
                <w:szCs w:val="22"/>
              </w:rPr>
              <w:t>243</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2276B6A">
            <w:pPr>
              <w:jc w:val="center"/>
              <w:rPr>
                <w:rFonts w:ascii="宋体" w:hAnsi="宋体" w:cs="宋体"/>
                <w:sz w:val="22"/>
                <w:szCs w:val="22"/>
              </w:rPr>
            </w:pPr>
            <w:r>
              <w:rPr>
                <w:rFonts w:hint="eastAsia"/>
                <w:sz w:val="22"/>
                <w:szCs w:val="22"/>
              </w:rPr>
              <w:t>243</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4C14F93">
            <w:pPr>
              <w:jc w:val="center"/>
              <w:rPr>
                <w:rFonts w:ascii="宋体" w:hAnsi="宋体" w:cs="宋体"/>
                <w:sz w:val="22"/>
                <w:szCs w:val="22"/>
              </w:rPr>
            </w:pPr>
            <w:r>
              <w:rPr>
                <w:rFonts w:hint="eastAsia"/>
                <w:sz w:val="22"/>
                <w:szCs w:val="22"/>
              </w:rPr>
              <w:t>232</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06CBDE3E">
            <w:pPr>
              <w:jc w:val="center"/>
              <w:rPr>
                <w:rFonts w:ascii="宋体" w:hAnsi="宋体" w:cs="宋体"/>
                <w:sz w:val="22"/>
                <w:szCs w:val="22"/>
              </w:rPr>
            </w:pPr>
            <w:r>
              <w:rPr>
                <w:rFonts w:hint="eastAsia"/>
                <w:sz w:val="22"/>
                <w:szCs w:val="22"/>
              </w:rPr>
              <w:t>216</w:t>
            </w:r>
          </w:p>
        </w:tc>
      </w:tr>
      <w:tr w14:paraId="285C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4388B642">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4AD343CA">
            <w:pPr>
              <w:widowControl w:val="0"/>
              <w:spacing w:line="300" w:lineRule="exact"/>
              <w:jc w:val="center"/>
              <w:rPr>
                <w:rFonts w:eastAsia="楷体_GB2312"/>
                <w:szCs w:val="21"/>
              </w:rPr>
            </w:pPr>
            <w:r>
              <w:rPr>
                <w:rFonts w:eastAsia="楷体_GB2312"/>
                <w:szCs w:val="21"/>
              </w:rPr>
              <w:t>三级地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6661963A">
            <w:pPr>
              <w:jc w:val="center"/>
              <w:rPr>
                <w:rFonts w:ascii="宋体" w:hAnsi="宋体" w:cs="宋体"/>
                <w:sz w:val="22"/>
                <w:szCs w:val="22"/>
              </w:rPr>
            </w:pPr>
            <w:r>
              <w:rPr>
                <w:rFonts w:hint="eastAsia"/>
                <w:sz w:val="22"/>
                <w:szCs w:val="22"/>
              </w:rPr>
              <w:t>222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07A97AA">
            <w:pPr>
              <w:jc w:val="center"/>
              <w:rPr>
                <w:rFonts w:ascii="宋体" w:hAnsi="宋体" w:cs="宋体"/>
                <w:sz w:val="22"/>
                <w:szCs w:val="22"/>
              </w:rPr>
            </w:pPr>
            <w:r>
              <w:rPr>
                <w:rFonts w:hint="eastAsia"/>
                <w:sz w:val="22"/>
                <w:szCs w:val="22"/>
              </w:rPr>
              <w:t>207</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4751A21C">
            <w:pPr>
              <w:jc w:val="center"/>
              <w:rPr>
                <w:rFonts w:ascii="宋体" w:hAnsi="宋体" w:cs="宋体"/>
                <w:sz w:val="22"/>
                <w:szCs w:val="22"/>
              </w:rPr>
            </w:pPr>
            <w:r>
              <w:rPr>
                <w:rFonts w:hint="eastAsia"/>
                <w:sz w:val="22"/>
                <w:szCs w:val="22"/>
              </w:rPr>
              <w:t>196</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A3FED6A">
            <w:pPr>
              <w:jc w:val="center"/>
              <w:rPr>
                <w:rFonts w:ascii="宋体" w:hAnsi="宋体" w:cs="宋体"/>
                <w:sz w:val="22"/>
                <w:szCs w:val="22"/>
              </w:rPr>
            </w:pPr>
            <w:r>
              <w:rPr>
                <w:rFonts w:hint="eastAsia"/>
                <w:sz w:val="22"/>
                <w:szCs w:val="22"/>
              </w:rPr>
              <w:t>196</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44B951DB">
            <w:pPr>
              <w:jc w:val="center"/>
              <w:rPr>
                <w:rFonts w:ascii="宋体" w:hAnsi="宋体" w:cs="宋体"/>
                <w:sz w:val="22"/>
                <w:szCs w:val="22"/>
              </w:rPr>
            </w:pPr>
            <w:r>
              <w:rPr>
                <w:rFonts w:hint="eastAsia"/>
                <w:sz w:val="22"/>
                <w:szCs w:val="22"/>
              </w:rPr>
              <w:t>189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545268F">
            <w:pPr>
              <w:jc w:val="center"/>
              <w:rPr>
                <w:rFonts w:ascii="宋体" w:hAnsi="宋体" w:cs="宋体"/>
                <w:sz w:val="22"/>
                <w:szCs w:val="22"/>
              </w:rPr>
            </w:pPr>
            <w:r>
              <w:rPr>
                <w:rFonts w:hint="eastAsia"/>
                <w:sz w:val="22"/>
                <w:szCs w:val="22"/>
              </w:rPr>
              <w:t>189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F92C6B1">
            <w:pPr>
              <w:jc w:val="center"/>
              <w:rPr>
                <w:rFonts w:ascii="宋体" w:hAnsi="宋体" w:cs="宋体"/>
                <w:sz w:val="22"/>
                <w:szCs w:val="22"/>
              </w:rPr>
            </w:pPr>
            <w:r>
              <w:rPr>
                <w:rFonts w:hint="eastAsia"/>
                <w:sz w:val="22"/>
                <w:szCs w:val="22"/>
              </w:rPr>
              <w:t>182</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7EE06ECC">
            <w:pPr>
              <w:jc w:val="center"/>
              <w:rPr>
                <w:rFonts w:ascii="宋体" w:hAnsi="宋体" w:cs="宋体"/>
                <w:sz w:val="22"/>
                <w:szCs w:val="22"/>
              </w:rPr>
            </w:pPr>
            <w:r>
              <w:rPr>
                <w:rFonts w:hint="eastAsia"/>
                <w:sz w:val="22"/>
                <w:szCs w:val="22"/>
              </w:rPr>
              <w:t>167</w:t>
            </w:r>
          </w:p>
        </w:tc>
      </w:tr>
      <w:tr w14:paraId="3D15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14:paraId="6F61D9A2">
            <w:pPr>
              <w:widowControl w:val="0"/>
              <w:spacing w:line="300" w:lineRule="exact"/>
              <w:jc w:val="center"/>
              <w:rPr>
                <w:rFonts w:eastAsia="楷体_GB2312"/>
                <w:szCs w:val="21"/>
              </w:rPr>
            </w:pPr>
            <w:r>
              <w:rPr>
                <w:rFonts w:hint="eastAsia" w:eastAsia="楷体_GB2312"/>
                <w:szCs w:val="21"/>
              </w:rPr>
              <w:t>曹村镇</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17B9F9DB">
            <w:pPr>
              <w:widowControl w:val="0"/>
              <w:spacing w:line="300" w:lineRule="exact"/>
              <w:jc w:val="center"/>
              <w:rPr>
                <w:rFonts w:eastAsia="楷体_GB2312"/>
                <w:szCs w:val="21"/>
              </w:rPr>
            </w:pPr>
            <w:r>
              <w:rPr>
                <w:rFonts w:eastAsia="楷体_GB2312"/>
                <w:szCs w:val="21"/>
              </w:rPr>
              <w:t>一级地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92FA405">
            <w:pPr>
              <w:jc w:val="center"/>
              <w:rPr>
                <w:rFonts w:ascii="宋体" w:hAnsi="宋体" w:cs="宋体"/>
                <w:sz w:val="22"/>
                <w:szCs w:val="22"/>
              </w:rPr>
            </w:pPr>
            <w:r>
              <w:rPr>
                <w:rFonts w:hint="eastAsia"/>
                <w:sz w:val="22"/>
                <w:szCs w:val="22"/>
              </w:rPr>
              <w:t>318</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4439735">
            <w:pPr>
              <w:jc w:val="center"/>
              <w:rPr>
                <w:rFonts w:ascii="宋体" w:hAnsi="宋体" w:cs="宋体"/>
                <w:sz w:val="22"/>
                <w:szCs w:val="22"/>
              </w:rPr>
            </w:pPr>
            <w:r>
              <w:rPr>
                <w:rFonts w:hint="eastAsia"/>
                <w:sz w:val="22"/>
                <w:szCs w:val="22"/>
              </w:rPr>
              <w:t>306</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2E37E53">
            <w:pPr>
              <w:jc w:val="center"/>
              <w:rPr>
                <w:rFonts w:ascii="宋体" w:hAnsi="宋体" w:cs="宋体"/>
                <w:sz w:val="22"/>
                <w:szCs w:val="22"/>
              </w:rPr>
            </w:pPr>
            <w:r>
              <w:rPr>
                <w:rFonts w:hint="eastAsia"/>
                <w:sz w:val="22"/>
                <w:szCs w:val="22"/>
              </w:rPr>
              <w:t>300</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EFA0EDD">
            <w:pPr>
              <w:jc w:val="center"/>
              <w:rPr>
                <w:rFonts w:ascii="宋体" w:hAnsi="宋体" w:cs="宋体"/>
                <w:sz w:val="22"/>
                <w:szCs w:val="22"/>
              </w:rPr>
            </w:pPr>
            <w:r>
              <w:rPr>
                <w:rFonts w:hint="eastAsia"/>
                <w:sz w:val="22"/>
                <w:szCs w:val="22"/>
              </w:rPr>
              <w:t>300</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E8FE573">
            <w:pPr>
              <w:jc w:val="center"/>
              <w:rPr>
                <w:rFonts w:ascii="宋体" w:hAnsi="宋体" w:cs="宋体"/>
                <w:sz w:val="22"/>
                <w:szCs w:val="22"/>
              </w:rPr>
            </w:pPr>
            <w:r>
              <w:rPr>
                <w:rFonts w:hint="eastAsia"/>
                <w:sz w:val="22"/>
                <w:szCs w:val="22"/>
              </w:rPr>
              <w:t>292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180092E">
            <w:pPr>
              <w:jc w:val="center"/>
              <w:rPr>
                <w:rFonts w:ascii="宋体" w:hAnsi="宋体" w:cs="宋体"/>
                <w:sz w:val="22"/>
                <w:szCs w:val="22"/>
              </w:rPr>
            </w:pPr>
            <w:r>
              <w:rPr>
                <w:rFonts w:hint="eastAsia"/>
                <w:sz w:val="22"/>
                <w:szCs w:val="22"/>
              </w:rPr>
              <w:t>292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27D2C76">
            <w:pPr>
              <w:jc w:val="center"/>
              <w:rPr>
                <w:rFonts w:ascii="宋体" w:hAnsi="宋体" w:cs="宋体"/>
                <w:sz w:val="22"/>
                <w:szCs w:val="22"/>
              </w:rPr>
            </w:pPr>
            <w:r>
              <w:rPr>
                <w:rFonts w:hint="eastAsia"/>
                <w:sz w:val="22"/>
                <w:szCs w:val="22"/>
              </w:rPr>
              <w:t>284</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07879CF3">
            <w:pPr>
              <w:jc w:val="center"/>
              <w:rPr>
                <w:rFonts w:ascii="宋体" w:hAnsi="宋体" w:cs="宋体"/>
                <w:sz w:val="22"/>
                <w:szCs w:val="22"/>
              </w:rPr>
            </w:pPr>
            <w:r>
              <w:rPr>
                <w:rFonts w:hint="eastAsia"/>
                <w:sz w:val="22"/>
                <w:szCs w:val="22"/>
              </w:rPr>
              <w:t>272</w:t>
            </w:r>
          </w:p>
        </w:tc>
      </w:tr>
      <w:tr w14:paraId="4AD7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3AC15019">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78C8132D">
            <w:pPr>
              <w:widowControl w:val="0"/>
              <w:spacing w:line="300" w:lineRule="exact"/>
              <w:jc w:val="center"/>
              <w:rPr>
                <w:rFonts w:eastAsia="楷体_GB2312"/>
                <w:szCs w:val="21"/>
              </w:rPr>
            </w:pPr>
            <w:r>
              <w:rPr>
                <w:rFonts w:eastAsia="楷体_GB2312"/>
                <w:szCs w:val="21"/>
              </w:rPr>
              <w:t>二级地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D7F5576">
            <w:pPr>
              <w:jc w:val="center"/>
              <w:rPr>
                <w:rFonts w:ascii="宋体" w:hAnsi="宋体" w:cs="宋体"/>
                <w:sz w:val="22"/>
                <w:szCs w:val="22"/>
              </w:rPr>
            </w:pPr>
            <w:r>
              <w:rPr>
                <w:rFonts w:hint="eastAsia"/>
                <w:sz w:val="22"/>
                <w:szCs w:val="22"/>
              </w:rPr>
              <w:t>275</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EF33D71">
            <w:pPr>
              <w:jc w:val="center"/>
              <w:rPr>
                <w:rFonts w:ascii="宋体" w:hAnsi="宋体" w:cs="宋体"/>
                <w:sz w:val="22"/>
                <w:szCs w:val="22"/>
              </w:rPr>
            </w:pPr>
            <w:r>
              <w:rPr>
                <w:rFonts w:hint="eastAsia"/>
                <w:sz w:val="22"/>
                <w:szCs w:val="22"/>
              </w:rPr>
              <w:t>259</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497E59E">
            <w:pPr>
              <w:jc w:val="center"/>
              <w:rPr>
                <w:rFonts w:ascii="宋体" w:hAnsi="宋体" w:cs="宋体"/>
                <w:sz w:val="22"/>
                <w:szCs w:val="22"/>
              </w:rPr>
            </w:pPr>
            <w:r>
              <w:rPr>
                <w:rFonts w:hint="eastAsia"/>
                <w:sz w:val="22"/>
                <w:szCs w:val="22"/>
              </w:rPr>
              <w:t>249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E03364A">
            <w:pPr>
              <w:jc w:val="center"/>
              <w:rPr>
                <w:rFonts w:ascii="宋体" w:hAnsi="宋体" w:cs="宋体"/>
                <w:sz w:val="22"/>
                <w:szCs w:val="22"/>
              </w:rPr>
            </w:pPr>
            <w:r>
              <w:rPr>
                <w:rFonts w:hint="eastAsia"/>
                <w:sz w:val="22"/>
                <w:szCs w:val="22"/>
              </w:rPr>
              <w:t>249</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CF6D502">
            <w:pPr>
              <w:jc w:val="center"/>
              <w:rPr>
                <w:rFonts w:ascii="宋体" w:hAnsi="宋体" w:cs="宋体"/>
                <w:sz w:val="22"/>
                <w:szCs w:val="22"/>
              </w:rPr>
            </w:pPr>
            <w:r>
              <w:rPr>
                <w:rFonts w:hint="eastAsia"/>
                <w:sz w:val="22"/>
                <w:szCs w:val="22"/>
              </w:rPr>
              <w:t>243</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3B094E2">
            <w:pPr>
              <w:jc w:val="center"/>
              <w:rPr>
                <w:rFonts w:ascii="宋体" w:hAnsi="宋体" w:cs="宋体"/>
                <w:sz w:val="22"/>
                <w:szCs w:val="22"/>
              </w:rPr>
            </w:pPr>
            <w:r>
              <w:rPr>
                <w:rFonts w:hint="eastAsia"/>
                <w:sz w:val="22"/>
                <w:szCs w:val="22"/>
              </w:rPr>
              <w:t>243</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2319621">
            <w:pPr>
              <w:jc w:val="center"/>
              <w:rPr>
                <w:rFonts w:ascii="宋体" w:hAnsi="宋体" w:cs="宋体"/>
                <w:sz w:val="22"/>
                <w:szCs w:val="22"/>
              </w:rPr>
            </w:pPr>
            <w:r>
              <w:rPr>
                <w:rFonts w:hint="eastAsia"/>
                <w:sz w:val="22"/>
                <w:szCs w:val="22"/>
              </w:rPr>
              <w:t>232</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78521D9F">
            <w:pPr>
              <w:jc w:val="center"/>
              <w:rPr>
                <w:rFonts w:ascii="宋体" w:hAnsi="宋体" w:cs="宋体"/>
                <w:sz w:val="22"/>
                <w:szCs w:val="22"/>
              </w:rPr>
            </w:pPr>
            <w:r>
              <w:rPr>
                <w:rFonts w:hint="eastAsia"/>
                <w:sz w:val="22"/>
                <w:szCs w:val="22"/>
              </w:rPr>
              <w:t>216</w:t>
            </w:r>
          </w:p>
        </w:tc>
      </w:tr>
      <w:tr w14:paraId="1B610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291514CD">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38FCB8CC">
            <w:pPr>
              <w:widowControl w:val="0"/>
              <w:spacing w:line="300" w:lineRule="exact"/>
              <w:jc w:val="center"/>
              <w:rPr>
                <w:rFonts w:eastAsia="楷体_GB2312"/>
                <w:szCs w:val="21"/>
              </w:rPr>
            </w:pPr>
            <w:r>
              <w:rPr>
                <w:rFonts w:eastAsia="楷体_GB2312"/>
                <w:szCs w:val="21"/>
              </w:rPr>
              <w:t>三级地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3D5EDF1">
            <w:pPr>
              <w:jc w:val="center"/>
              <w:rPr>
                <w:rFonts w:ascii="宋体" w:hAnsi="宋体" w:cs="宋体"/>
                <w:sz w:val="22"/>
                <w:szCs w:val="22"/>
              </w:rPr>
            </w:pPr>
            <w:r>
              <w:rPr>
                <w:rFonts w:hint="eastAsia"/>
                <w:sz w:val="22"/>
                <w:szCs w:val="22"/>
              </w:rPr>
              <w:t>222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0488887">
            <w:pPr>
              <w:jc w:val="center"/>
              <w:rPr>
                <w:rFonts w:ascii="宋体" w:hAnsi="宋体" w:cs="宋体"/>
                <w:sz w:val="22"/>
                <w:szCs w:val="22"/>
              </w:rPr>
            </w:pPr>
            <w:r>
              <w:rPr>
                <w:rFonts w:hint="eastAsia"/>
                <w:sz w:val="22"/>
                <w:szCs w:val="22"/>
              </w:rPr>
              <w:t>207</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C3440BC">
            <w:pPr>
              <w:jc w:val="center"/>
              <w:rPr>
                <w:rFonts w:ascii="宋体" w:hAnsi="宋体" w:cs="宋体"/>
                <w:sz w:val="22"/>
                <w:szCs w:val="22"/>
              </w:rPr>
            </w:pPr>
            <w:r>
              <w:rPr>
                <w:rFonts w:hint="eastAsia"/>
                <w:sz w:val="22"/>
                <w:szCs w:val="22"/>
              </w:rPr>
              <w:t>196</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A7E1237">
            <w:pPr>
              <w:jc w:val="center"/>
              <w:rPr>
                <w:rFonts w:ascii="宋体" w:hAnsi="宋体" w:cs="宋体"/>
                <w:sz w:val="22"/>
                <w:szCs w:val="22"/>
              </w:rPr>
            </w:pPr>
            <w:r>
              <w:rPr>
                <w:rFonts w:hint="eastAsia"/>
                <w:sz w:val="22"/>
                <w:szCs w:val="22"/>
              </w:rPr>
              <w:t>196</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47C2F288">
            <w:pPr>
              <w:jc w:val="center"/>
              <w:rPr>
                <w:rFonts w:ascii="宋体" w:hAnsi="宋体" w:cs="宋体"/>
                <w:sz w:val="22"/>
                <w:szCs w:val="22"/>
              </w:rPr>
            </w:pPr>
            <w:r>
              <w:rPr>
                <w:rFonts w:hint="eastAsia"/>
                <w:sz w:val="22"/>
                <w:szCs w:val="22"/>
              </w:rPr>
              <w:t>189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34A0D90">
            <w:pPr>
              <w:jc w:val="center"/>
              <w:rPr>
                <w:rFonts w:ascii="宋体" w:hAnsi="宋体" w:cs="宋体"/>
                <w:sz w:val="22"/>
                <w:szCs w:val="22"/>
              </w:rPr>
            </w:pPr>
            <w:r>
              <w:rPr>
                <w:rFonts w:hint="eastAsia"/>
                <w:sz w:val="22"/>
                <w:szCs w:val="22"/>
              </w:rPr>
              <w:t>189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C7E2A89">
            <w:pPr>
              <w:jc w:val="center"/>
              <w:rPr>
                <w:rFonts w:ascii="宋体" w:hAnsi="宋体" w:cs="宋体"/>
                <w:sz w:val="22"/>
                <w:szCs w:val="22"/>
              </w:rPr>
            </w:pPr>
            <w:r>
              <w:rPr>
                <w:rFonts w:hint="eastAsia"/>
                <w:sz w:val="22"/>
                <w:szCs w:val="22"/>
              </w:rPr>
              <w:t>182</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39895525">
            <w:pPr>
              <w:jc w:val="center"/>
              <w:rPr>
                <w:rFonts w:ascii="宋体" w:hAnsi="宋体" w:cs="宋体"/>
                <w:sz w:val="22"/>
                <w:szCs w:val="22"/>
              </w:rPr>
            </w:pPr>
            <w:r>
              <w:rPr>
                <w:rFonts w:hint="eastAsia"/>
                <w:sz w:val="22"/>
                <w:szCs w:val="22"/>
              </w:rPr>
              <w:t>167</w:t>
            </w:r>
          </w:p>
        </w:tc>
      </w:tr>
      <w:tr w14:paraId="45C9D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14:paraId="1D8F5A39">
            <w:pPr>
              <w:widowControl w:val="0"/>
              <w:spacing w:line="300" w:lineRule="exact"/>
              <w:jc w:val="center"/>
              <w:rPr>
                <w:rFonts w:eastAsia="楷体_GB2312"/>
                <w:szCs w:val="21"/>
              </w:rPr>
            </w:pPr>
            <w:r>
              <w:rPr>
                <w:rFonts w:hint="eastAsia" w:eastAsia="楷体_GB2312"/>
                <w:szCs w:val="21"/>
              </w:rPr>
              <w:t>大营镇</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4108C1D5">
            <w:pPr>
              <w:widowControl w:val="0"/>
              <w:spacing w:line="300" w:lineRule="exact"/>
              <w:jc w:val="center"/>
              <w:rPr>
                <w:rFonts w:eastAsia="楷体_GB2312"/>
                <w:szCs w:val="21"/>
              </w:rPr>
            </w:pPr>
            <w:r>
              <w:rPr>
                <w:rFonts w:eastAsia="楷体_GB2312"/>
                <w:szCs w:val="21"/>
              </w:rPr>
              <w:t>一级地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D115FB1">
            <w:pPr>
              <w:jc w:val="center"/>
              <w:rPr>
                <w:rFonts w:ascii="宋体" w:hAnsi="宋体" w:cs="宋体"/>
                <w:sz w:val="22"/>
                <w:szCs w:val="22"/>
              </w:rPr>
            </w:pPr>
            <w:r>
              <w:rPr>
                <w:rFonts w:hint="eastAsia"/>
                <w:sz w:val="22"/>
                <w:szCs w:val="22"/>
              </w:rPr>
              <w:t>325</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03103ED">
            <w:pPr>
              <w:jc w:val="center"/>
              <w:rPr>
                <w:rFonts w:ascii="宋体" w:hAnsi="宋体" w:cs="宋体"/>
                <w:sz w:val="22"/>
                <w:szCs w:val="22"/>
              </w:rPr>
            </w:pPr>
            <w:r>
              <w:rPr>
                <w:rFonts w:hint="eastAsia"/>
                <w:sz w:val="22"/>
                <w:szCs w:val="22"/>
              </w:rPr>
              <w:t>313</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A8B7C30">
            <w:pPr>
              <w:jc w:val="center"/>
              <w:rPr>
                <w:rFonts w:ascii="宋体" w:hAnsi="宋体" w:cs="宋体"/>
                <w:sz w:val="22"/>
                <w:szCs w:val="22"/>
              </w:rPr>
            </w:pPr>
            <w:r>
              <w:rPr>
                <w:rFonts w:hint="eastAsia"/>
                <w:sz w:val="22"/>
                <w:szCs w:val="22"/>
              </w:rPr>
              <w:t>302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392FBC4">
            <w:pPr>
              <w:jc w:val="center"/>
              <w:rPr>
                <w:rFonts w:ascii="宋体" w:hAnsi="宋体" w:cs="宋体"/>
                <w:sz w:val="22"/>
                <w:szCs w:val="22"/>
              </w:rPr>
            </w:pPr>
            <w:r>
              <w:rPr>
                <w:rFonts w:hint="eastAsia"/>
                <w:sz w:val="22"/>
                <w:szCs w:val="22"/>
              </w:rPr>
              <w:t>302</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7EB870C6">
            <w:pPr>
              <w:jc w:val="center"/>
              <w:rPr>
                <w:rFonts w:ascii="宋体" w:hAnsi="宋体" w:cs="宋体"/>
                <w:sz w:val="22"/>
                <w:szCs w:val="22"/>
              </w:rPr>
            </w:pPr>
            <w:r>
              <w:rPr>
                <w:rFonts w:hint="eastAsia"/>
                <w:sz w:val="22"/>
                <w:szCs w:val="22"/>
              </w:rPr>
              <w:t>294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6EAAD92">
            <w:pPr>
              <w:jc w:val="center"/>
              <w:rPr>
                <w:rFonts w:ascii="宋体" w:hAnsi="宋体" w:cs="宋体"/>
                <w:sz w:val="22"/>
                <w:szCs w:val="22"/>
              </w:rPr>
            </w:pPr>
            <w:r>
              <w:rPr>
                <w:rFonts w:hint="eastAsia"/>
                <w:sz w:val="22"/>
                <w:szCs w:val="22"/>
              </w:rPr>
              <w:t>294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9D503E6">
            <w:pPr>
              <w:jc w:val="center"/>
              <w:rPr>
                <w:rFonts w:ascii="宋体" w:hAnsi="宋体" w:cs="宋体"/>
                <w:sz w:val="22"/>
                <w:szCs w:val="22"/>
              </w:rPr>
            </w:pPr>
            <w:r>
              <w:rPr>
                <w:rFonts w:hint="eastAsia"/>
                <w:sz w:val="22"/>
                <w:szCs w:val="22"/>
              </w:rPr>
              <w:t>286</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75DB09DD">
            <w:pPr>
              <w:jc w:val="center"/>
              <w:rPr>
                <w:rFonts w:ascii="宋体" w:hAnsi="宋体" w:cs="宋体"/>
                <w:sz w:val="22"/>
                <w:szCs w:val="22"/>
              </w:rPr>
            </w:pPr>
            <w:r>
              <w:rPr>
                <w:rFonts w:hint="eastAsia"/>
                <w:sz w:val="22"/>
                <w:szCs w:val="22"/>
              </w:rPr>
              <w:t>269</w:t>
            </w:r>
          </w:p>
        </w:tc>
      </w:tr>
      <w:tr w14:paraId="5D9EA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521EAD09">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67F164A4">
            <w:pPr>
              <w:widowControl w:val="0"/>
              <w:spacing w:line="300" w:lineRule="exact"/>
              <w:jc w:val="center"/>
              <w:rPr>
                <w:rFonts w:eastAsia="楷体_GB2312"/>
                <w:szCs w:val="21"/>
              </w:rPr>
            </w:pPr>
            <w:r>
              <w:rPr>
                <w:rFonts w:eastAsia="楷体_GB2312"/>
                <w:szCs w:val="21"/>
              </w:rPr>
              <w:t>二级地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CF9D46F">
            <w:pPr>
              <w:jc w:val="center"/>
              <w:rPr>
                <w:rFonts w:ascii="宋体" w:hAnsi="宋体" w:cs="宋体"/>
                <w:sz w:val="22"/>
                <w:szCs w:val="22"/>
              </w:rPr>
            </w:pPr>
            <w:r>
              <w:rPr>
                <w:rFonts w:hint="eastAsia"/>
                <w:sz w:val="22"/>
                <w:szCs w:val="22"/>
              </w:rPr>
              <w:t>270</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471BFAD">
            <w:pPr>
              <w:jc w:val="center"/>
              <w:rPr>
                <w:rFonts w:ascii="宋体" w:hAnsi="宋体" w:cs="宋体"/>
                <w:sz w:val="22"/>
                <w:szCs w:val="22"/>
              </w:rPr>
            </w:pPr>
            <w:r>
              <w:rPr>
                <w:rFonts w:hint="eastAsia"/>
                <w:sz w:val="22"/>
                <w:szCs w:val="22"/>
              </w:rPr>
              <w:t>254</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EE17365">
            <w:pPr>
              <w:jc w:val="center"/>
              <w:rPr>
                <w:rFonts w:ascii="宋体" w:hAnsi="宋体" w:cs="宋体"/>
                <w:sz w:val="22"/>
                <w:szCs w:val="22"/>
              </w:rPr>
            </w:pPr>
            <w:r>
              <w:rPr>
                <w:rFonts w:hint="eastAsia"/>
                <w:sz w:val="22"/>
                <w:szCs w:val="22"/>
              </w:rPr>
              <w:t>244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B581FAA">
            <w:pPr>
              <w:jc w:val="center"/>
              <w:rPr>
                <w:rFonts w:ascii="宋体" w:hAnsi="宋体" w:cs="宋体"/>
                <w:sz w:val="22"/>
                <w:szCs w:val="22"/>
              </w:rPr>
            </w:pPr>
            <w:r>
              <w:rPr>
                <w:rFonts w:hint="eastAsia"/>
                <w:sz w:val="22"/>
                <w:szCs w:val="22"/>
              </w:rPr>
              <w:t>244</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6A3E8EAB">
            <w:pPr>
              <w:jc w:val="center"/>
              <w:rPr>
                <w:rFonts w:ascii="宋体" w:hAnsi="宋体" w:cs="宋体"/>
                <w:sz w:val="22"/>
                <w:szCs w:val="22"/>
              </w:rPr>
            </w:pPr>
            <w:r>
              <w:rPr>
                <w:rFonts w:hint="eastAsia"/>
                <w:sz w:val="22"/>
                <w:szCs w:val="22"/>
              </w:rPr>
              <w:t>238</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811EC62">
            <w:pPr>
              <w:jc w:val="center"/>
              <w:rPr>
                <w:rFonts w:ascii="宋体" w:hAnsi="宋体" w:cs="宋体"/>
                <w:sz w:val="22"/>
                <w:szCs w:val="22"/>
              </w:rPr>
            </w:pPr>
            <w:r>
              <w:rPr>
                <w:rFonts w:hint="eastAsia"/>
                <w:sz w:val="22"/>
                <w:szCs w:val="22"/>
              </w:rPr>
              <w:t>238</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B26E590">
            <w:pPr>
              <w:jc w:val="center"/>
              <w:rPr>
                <w:rFonts w:ascii="宋体" w:hAnsi="宋体" w:cs="宋体"/>
                <w:sz w:val="22"/>
                <w:szCs w:val="22"/>
              </w:rPr>
            </w:pPr>
            <w:r>
              <w:rPr>
                <w:rFonts w:hint="eastAsia"/>
                <w:sz w:val="22"/>
                <w:szCs w:val="22"/>
              </w:rPr>
              <w:t>229</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2F470BDB">
            <w:pPr>
              <w:jc w:val="center"/>
              <w:rPr>
                <w:rFonts w:ascii="宋体" w:hAnsi="宋体" w:cs="宋体"/>
                <w:sz w:val="22"/>
                <w:szCs w:val="22"/>
              </w:rPr>
            </w:pPr>
            <w:r>
              <w:rPr>
                <w:rFonts w:hint="eastAsia"/>
                <w:sz w:val="22"/>
                <w:szCs w:val="22"/>
              </w:rPr>
              <w:t>213</w:t>
            </w:r>
          </w:p>
        </w:tc>
      </w:tr>
      <w:tr w14:paraId="72E55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788B2C0A">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44A81EED">
            <w:pPr>
              <w:widowControl w:val="0"/>
              <w:spacing w:line="300" w:lineRule="exact"/>
              <w:jc w:val="center"/>
              <w:rPr>
                <w:rFonts w:eastAsia="楷体_GB2312"/>
                <w:szCs w:val="21"/>
              </w:rPr>
            </w:pPr>
            <w:r>
              <w:rPr>
                <w:rFonts w:eastAsia="楷体_GB2312"/>
                <w:szCs w:val="21"/>
              </w:rPr>
              <w:t>三级地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97BF6B7">
            <w:pPr>
              <w:jc w:val="center"/>
              <w:rPr>
                <w:rFonts w:ascii="宋体" w:hAnsi="宋体" w:cs="宋体"/>
                <w:sz w:val="22"/>
                <w:szCs w:val="22"/>
              </w:rPr>
            </w:pPr>
            <w:r>
              <w:rPr>
                <w:rFonts w:hint="eastAsia"/>
                <w:sz w:val="22"/>
                <w:szCs w:val="22"/>
              </w:rPr>
              <w:t>222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8DFB4E7">
            <w:pPr>
              <w:jc w:val="center"/>
              <w:rPr>
                <w:rFonts w:ascii="宋体" w:hAnsi="宋体" w:cs="宋体"/>
                <w:sz w:val="22"/>
                <w:szCs w:val="22"/>
              </w:rPr>
            </w:pPr>
            <w:r>
              <w:rPr>
                <w:rFonts w:hint="eastAsia"/>
                <w:sz w:val="22"/>
                <w:szCs w:val="22"/>
              </w:rPr>
              <w:t>207</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F6AA16B">
            <w:pPr>
              <w:jc w:val="center"/>
              <w:rPr>
                <w:rFonts w:ascii="宋体" w:hAnsi="宋体" w:cs="宋体"/>
                <w:sz w:val="22"/>
                <w:szCs w:val="22"/>
              </w:rPr>
            </w:pPr>
            <w:r>
              <w:rPr>
                <w:rFonts w:hint="eastAsia"/>
                <w:sz w:val="22"/>
                <w:szCs w:val="22"/>
              </w:rPr>
              <w:t>196</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6979E2A">
            <w:pPr>
              <w:jc w:val="center"/>
              <w:rPr>
                <w:rFonts w:ascii="宋体" w:hAnsi="宋体" w:cs="宋体"/>
                <w:sz w:val="22"/>
                <w:szCs w:val="22"/>
              </w:rPr>
            </w:pPr>
            <w:r>
              <w:rPr>
                <w:rFonts w:hint="eastAsia"/>
                <w:sz w:val="22"/>
                <w:szCs w:val="22"/>
              </w:rPr>
              <w:t>196</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5CF951E0">
            <w:pPr>
              <w:jc w:val="center"/>
              <w:rPr>
                <w:rFonts w:ascii="宋体" w:hAnsi="宋体" w:cs="宋体"/>
                <w:sz w:val="22"/>
                <w:szCs w:val="22"/>
              </w:rPr>
            </w:pPr>
            <w:r>
              <w:rPr>
                <w:rFonts w:hint="eastAsia"/>
                <w:sz w:val="22"/>
                <w:szCs w:val="22"/>
              </w:rPr>
              <w:t>189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295D241">
            <w:pPr>
              <w:jc w:val="center"/>
              <w:rPr>
                <w:rFonts w:ascii="宋体" w:hAnsi="宋体" w:cs="宋体"/>
                <w:sz w:val="22"/>
                <w:szCs w:val="22"/>
              </w:rPr>
            </w:pPr>
            <w:r>
              <w:rPr>
                <w:rFonts w:hint="eastAsia"/>
                <w:sz w:val="22"/>
                <w:szCs w:val="22"/>
              </w:rPr>
              <w:t>189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31CA602">
            <w:pPr>
              <w:jc w:val="center"/>
              <w:rPr>
                <w:rFonts w:ascii="宋体" w:hAnsi="宋体" w:cs="宋体"/>
                <w:sz w:val="22"/>
                <w:szCs w:val="22"/>
              </w:rPr>
            </w:pPr>
            <w:r>
              <w:rPr>
                <w:rFonts w:hint="eastAsia"/>
                <w:sz w:val="22"/>
                <w:szCs w:val="22"/>
              </w:rPr>
              <w:t>182</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28ADB6AA">
            <w:pPr>
              <w:jc w:val="center"/>
              <w:rPr>
                <w:rFonts w:ascii="宋体" w:hAnsi="宋体" w:cs="宋体"/>
                <w:sz w:val="22"/>
                <w:szCs w:val="22"/>
              </w:rPr>
            </w:pPr>
            <w:r>
              <w:rPr>
                <w:rFonts w:hint="eastAsia"/>
                <w:sz w:val="22"/>
                <w:szCs w:val="22"/>
              </w:rPr>
              <w:t>167</w:t>
            </w:r>
          </w:p>
        </w:tc>
      </w:tr>
      <w:tr w14:paraId="07C15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14:paraId="3150C500">
            <w:pPr>
              <w:widowControl w:val="0"/>
              <w:spacing w:line="300" w:lineRule="exact"/>
              <w:jc w:val="center"/>
              <w:rPr>
                <w:rFonts w:eastAsia="楷体_GB2312"/>
                <w:szCs w:val="21"/>
              </w:rPr>
            </w:pPr>
            <w:r>
              <w:rPr>
                <w:rFonts w:hint="eastAsia" w:eastAsia="楷体_GB2312"/>
                <w:szCs w:val="21"/>
              </w:rPr>
              <w:t>褚兰镇</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782F3630">
            <w:pPr>
              <w:widowControl w:val="0"/>
              <w:spacing w:line="300" w:lineRule="exact"/>
              <w:jc w:val="center"/>
              <w:rPr>
                <w:rFonts w:eastAsia="楷体_GB2312"/>
                <w:szCs w:val="21"/>
              </w:rPr>
            </w:pPr>
            <w:r>
              <w:rPr>
                <w:rFonts w:eastAsia="楷体_GB2312"/>
                <w:szCs w:val="21"/>
              </w:rPr>
              <w:t>一级地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51D189E5">
            <w:pPr>
              <w:jc w:val="center"/>
              <w:rPr>
                <w:rFonts w:ascii="宋体" w:hAnsi="宋体" w:cs="宋体"/>
                <w:sz w:val="22"/>
                <w:szCs w:val="22"/>
              </w:rPr>
            </w:pPr>
            <w:r>
              <w:rPr>
                <w:rFonts w:hint="eastAsia"/>
                <w:sz w:val="22"/>
                <w:szCs w:val="22"/>
              </w:rPr>
              <w:t>316</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AFC187C">
            <w:pPr>
              <w:jc w:val="center"/>
              <w:rPr>
                <w:rFonts w:ascii="宋体" w:hAnsi="宋体" w:cs="宋体"/>
                <w:sz w:val="22"/>
                <w:szCs w:val="22"/>
              </w:rPr>
            </w:pPr>
            <w:r>
              <w:rPr>
                <w:rFonts w:hint="eastAsia"/>
                <w:sz w:val="22"/>
                <w:szCs w:val="22"/>
              </w:rPr>
              <w:t>306</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AEC5454">
            <w:pPr>
              <w:jc w:val="center"/>
              <w:rPr>
                <w:rFonts w:ascii="宋体" w:hAnsi="宋体" w:cs="宋体"/>
                <w:sz w:val="22"/>
                <w:szCs w:val="22"/>
              </w:rPr>
            </w:pPr>
            <w:r>
              <w:rPr>
                <w:rFonts w:hint="eastAsia"/>
                <w:sz w:val="22"/>
                <w:szCs w:val="22"/>
              </w:rPr>
              <w:t>297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24A4303">
            <w:pPr>
              <w:jc w:val="center"/>
              <w:rPr>
                <w:rFonts w:ascii="宋体" w:hAnsi="宋体" w:cs="宋体"/>
                <w:sz w:val="22"/>
                <w:szCs w:val="22"/>
              </w:rPr>
            </w:pPr>
            <w:r>
              <w:rPr>
                <w:rFonts w:hint="eastAsia"/>
                <w:sz w:val="22"/>
                <w:szCs w:val="22"/>
              </w:rPr>
              <w:t>297</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1AB3F55">
            <w:pPr>
              <w:jc w:val="center"/>
              <w:rPr>
                <w:rFonts w:ascii="宋体" w:hAnsi="宋体" w:cs="宋体"/>
                <w:sz w:val="22"/>
                <w:szCs w:val="22"/>
              </w:rPr>
            </w:pPr>
            <w:r>
              <w:rPr>
                <w:rFonts w:hint="eastAsia"/>
                <w:sz w:val="22"/>
                <w:szCs w:val="22"/>
              </w:rPr>
              <w:t>287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63103BC">
            <w:pPr>
              <w:jc w:val="center"/>
              <w:rPr>
                <w:rFonts w:ascii="宋体" w:hAnsi="宋体" w:cs="宋体"/>
                <w:sz w:val="22"/>
                <w:szCs w:val="22"/>
              </w:rPr>
            </w:pPr>
            <w:r>
              <w:rPr>
                <w:rFonts w:hint="eastAsia"/>
                <w:sz w:val="22"/>
                <w:szCs w:val="22"/>
              </w:rPr>
              <w:t>287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B099B86">
            <w:pPr>
              <w:jc w:val="center"/>
              <w:rPr>
                <w:rFonts w:ascii="宋体" w:hAnsi="宋体" w:cs="宋体"/>
                <w:sz w:val="22"/>
                <w:szCs w:val="22"/>
              </w:rPr>
            </w:pPr>
            <w:r>
              <w:rPr>
                <w:rFonts w:hint="eastAsia"/>
                <w:sz w:val="22"/>
                <w:szCs w:val="22"/>
              </w:rPr>
              <w:t>279</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0F937D78">
            <w:pPr>
              <w:jc w:val="center"/>
              <w:rPr>
                <w:rFonts w:ascii="宋体" w:hAnsi="宋体" w:cs="宋体"/>
                <w:sz w:val="22"/>
                <w:szCs w:val="22"/>
              </w:rPr>
            </w:pPr>
            <w:r>
              <w:rPr>
                <w:rFonts w:hint="eastAsia"/>
                <w:sz w:val="22"/>
                <w:szCs w:val="22"/>
              </w:rPr>
              <w:t>264</w:t>
            </w:r>
          </w:p>
        </w:tc>
      </w:tr>
      <w:tr w14:paraId="0E9A1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6FF925F0">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2BBDFE64">
            <w:pPr>
              <w:widowControl w:val="0"/>
              <w:spacing w:line="300" w:lineRule="exact"/>
              <w:jc w:val="center"/>
              <w:rPr>
                <w:rFonts w:eastAsia="楷体_GB2312"/>
                <w:szCs w:val="21"/>
              </w:rPr>
            </w:pPr>
            <w:r>
              <w:rPr>
                <w:rFonts w:eastAsia="楷体_GB2312"/>
                <w:szCs w:val="21"/>
              </w:rPr>
              <w:t>二级地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6DCB50C3">
            <w:pPr>
              <w:jc w:val="center"/>
              <w:rPr>
                <w:rFonts w:ascii="宋体" w:hAnsi="宋体" w:cs="宋体"/>
                <w:sz w:val="22"/>
                <w:szCs w:val="22"/>
              </w:rPr>
            </w:pPr>
            <w:r>
              <w:rPr>
                <w:rFonts w:hint="eastAsia"/>
                <w:sz w:val="22"/>
                <w:szCs w:val="22"/>
              </w:rPr>
              <w:t>270</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EE4758B">
            <w:pPr>
              <w:jc w:val="center"/>
              <w:rPr>
                <w:rFonts w:ascii="宋体" w:hAnsi="宋体" w:cs="宋体"/>
                <w:sz w:val="22"/>
                <w:szCs w:val="22"/>
              </w:rPr>
            </w:pPr>
            <w:r>
              <w:rPr>
                <w:rFonts w:hint="eastAsia"/>
                <w:sz w:val="22"/>
                <w:szCs w:val="22"/>
              </w:rPr>
              <w:t>254</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997D28C">
            <w:pPr>
              <w:jc w:val="center"/>
              <w:rPr>
                <w:rFonts w:ascii="宋体" w:hAnsi="宋体" w:cs="宋体"/>
                <w:sz w:val="22"/>
                <w:szCs w:val="22"/>
              </w:rPr>
            </w:pPr>
            <w:r>
              <w:rPr>
                <w:rFonts w:hint="eastAsia"/>
                <w:sz w:val="22"/>
                <w:szCs w:val="22"/>
              </w:rPr>
              <w:t>244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CEBB47C">
            <w:pPr>
              <w:jc w:val="center"/>
              <w:rPr>
                <w:rFonts w:ascii="宋体" w:hAnsi="宋体" w:cs="宋体"/>
                <w:sz w:val="22"/>
                <w:szCs w:val="22"/>
              </w:rPr>
            </w:pPr>
            <w:r>
              <w:rPr>
                <w:rFonts w:hint="eastAsia"/>
                <w:sz w:val="22"/>
                <w:szCs w:val="22"/>
              </w:rPr>
              <w:t>244</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6F1D5542">
            <w:pPr>
              <w:jc w:val="center"/>
              <w:rPr>
                <w:rFonts w:ascii="宋体" w:hAnsi="宋体" w:cs="宋体"/>
                <w:sz w:val="22"/>
                <w:szCs w:val="22"/>
              </w:rPr>
            </w:pPr>
            <w:r>
              <w:rPr>
                <w:rFonts w:hint="eastAsia"/>
                <w:sz w:val="22"/>
                <w:szCs w:val="22"/>
              </w:rPr>
              <w:t>238</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8CCF593">
            <w:pPr>
              <w:jc w:val="center"/>
              <w:rPr>
                <w:rFonts w:ascii="宋体" w:hAnsi="宋体" w:cs="宋体"/>
                <w:sz w:val="22"/>
                <w:szCs w:val="22"/>
              </w:rPr>
            </w:pPr>
            <w:r>
              <w:rPr>
                <w:rFonts w:hint="eastAsia"/>
                <w:sz w:val="22"/>
                <w:szCs w:val="22"/>
              </w:rPr>
              <w:t>238</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B6A1102">
            <w:pPr>
              <w:jc w:val="center"/>
              <w:rPr>
                <w:rFonts w:ascii="宋体" w:hAnsi="宋体" w:cs="宋体"/>
                <w:sz w:val="22"/>
                <w:szCs w:val="22"/>
              </w:rPr>
            </w:pPr>
            <w:r>
              <w:rPr>
                <w:rFonts w:hint="eastAsia"/>
                <w:sz w:val="22"/>
                <w:szCs w:val="22"/>
              </w:rPr>
              <w:t>229</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631416AA">
            <w:pPr>
              <w:jc w:val="center"/>
              <w:rPr>
                <w:rFonts w:ascii="宋体" w:hAnsi="宋体" w:cs="宋体"/>
                <w:sz w:val="22"/>
                <w:szCs w:val="22"/>
              </w:rPr>
            </w:pPr>
            <w:r>
              <w:rPr>
                <w:rFonts w:hint="eastAsia"/>
                <w:sz w:val="22"/>
                <w:szCs w:val="22"/>
              </w:rPr>
              <w:t>213</w:t>
            </w:r>
          </w:p>
        </w:tc>
      </w:tr>
      <w:tr w14:paraId="6DE6E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0314B716">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7051317A">
            <w:pPr>
              <w:widowControl w:val="0"/>
              <w:spacing w:line="300" w:lineRule="exact"/>
              <w:jc w:val="center"/>
              <w:rPr>
                <w:rFonts w:eastAsia="楷体_GB2312"/>
                <w:szCs w:val="21"/>
              </w:rPr>
            </w:pPr>
            <w:r>
              <w:rPr>
                <w:rFonts w:eastAsia="楷体_GB2312"/>
                <w:szCs w:val="21"/>
              </w:rPr>
              <w:t>三级地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43670CE7">
            <w:pPr>
              <w:jc w:val="center"/>
              <w:rPr>
                <w:rFonts w:ascii="宋体" w:hAnsi="宋体" w:cs="宋体"/>
                <w:sz w:val="22"/>
                <w:szCs w:val="22"/>
              </w:rPr>
            </w:pPr>
            <w:r>
              <w:rPr>
                <w:rFonts w:hint="eastAsia"/>
                <w:sz w:val="22"/>
                <w:szCs w:val="22"/>
              </w:rPr>
              <w:t>215</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4F6C2AA">
            <w:pPr>
              <w:jc w:val="center"/>
              <w:rPr>
                <w:rFonts w:ascii="宋体" w:hAnsi="宋体" w:cs="宋体"/>
                <w:sz w:val="22"/>
                <w:szCs w:val="22"/>
              </w:rPr>
            </w:pPr>
            <w:r>
              <w:rPr>
                <w:rFonts w:hint="eastAsia"/>
                <w:sz w:val="22"/>
                <w:szCs w:val="22"/>
              </w:rPr>
              <w:t>200</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0AA8795">
            <w:pPr>
              <w:jc w:val="center"/>
              <w:rPr>
                <w:rFonts w:ascii="宋体" w:hAnsi="宋体" w:cs="宋体"/>
                <w:sz w:val="22"/>
                <w:szCs w:val="22"/>
              </w:rPr>
            </w:pPr>
            <w:r>
              <w:rPr>
                <w:rFonts w:hint="eastAsia"/>
                <w:sz w:val="22"/>
                <w:szCs w:val="22"/>
              </w:rPr>
              <w:t>189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786D257">
            <w:pPr>
              <w:jc w:val="center"/>
              <w:rPr>
                <w:rFonts w:ascii="宋体" w:hAnsi="宋体" w:cs="宋体"/>
                <w:sz w:val="22"/>
                <w:szCs w:val="22"/>
              </w:rPr>
            </w:pPr>
            <w:r>
              <w:rPr>
                <w:rFonts w:hint="eastAsia"/>
                <w:sz w:val="22"/>
                <w:szCs w:val="22"/>
              </w:rPr>
              <w:t>189</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1A2C8C3">
            <w:pPr>
              <w:jc w:val="center"/>
              <w:rPr>
                <w:rFonts w:ascii="宋体" w:hAnsi="宋体" w:cs="宋体"/>
                <w:sz w:val="22"/>
                <w:szCs w:val="22"/>
              </w:rPr>
            </w:pPr>
            <w:r>
              <w:rPr>
                <w:rFonts w:hint="eastAsia"/>
                <w:sz w:val="22"/>
                <w:szCs w:val="22"/>
              </w:rPr>
              <w:t>182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3C21D13">
            <w:pPr>
              <w:jc w:val="center"/>
              <w:rPr>
                <w:rFonts w:ascii="宋体" w:hAnsi="宋体" w:cs="宋体"/>
                <w:sz w:val="22"/>
                <w:szCs w:val="22"/>
              </w:rPr>
            </w:pPr>
            <w:r>
              <w:rPr>
                <w:rFonts w:hint="eastAsia"/>
                <w:sz w:val="22"/>
                <w:szCs w:val="22"/>
              </w:rPr>
              <w:t>182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C290C41">
            <w:pPr>
              <w:jc w:val="center"/>
              <w:rPr>
                <w:rFonts w:ascii="宋体" w:hAnsi="宋体" w:cs="宋体"/>
                <w:sz w:val="22"/>
                <w:szCs w:val="22"/>
              </w:rPr>
            </w:pPr>
            <w:r>
              <w:rPr>
                <w:rFonts w:hint="eastAsia"/>
                <w:sz w:val="22"/>
                <w:szCs w:val="22"/>
              </w:rPr>
              <w:t>177</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40EC8B1E">
            <w:pPr>
              <w:jc w:val="center"/>
              <w:rPr>
                <w:rFonts w:ascii="宋体" w:hAnsi="宋体" w:cs="宋体"/>
                <w:sz w:val="22"/>
                <w:szCs w:val="22"/>
              </w:rPr>
            </w:pPr>
            <w:r>
              <w:rPr>
                <w:rFonts w:hint="eastAsia"/>
                <w:sz w:val="22"/>
                <w:szCs w:val="22"/>
              </w:rPr>
              <w:t>162</w:t>
            </w:r>
          </w:p>
        </w:tc>
      </w:tr>
      <w:tr w14:paraId="5BBB5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14:paraId="64A1EC8A">
            <w:pPr>
              <w:widowControl w:val="0"/>
              <w:spacing w:line="300" w:lineRule="exact"/>
              <w:jc w:val="center"/>
              <w:rPr>
                <w:rFonts w:eastAsia="楷体_GB2312"/>
                <w:szCs w:val="21"/>
              </w:rPr>
            </w:pPr>
            <w:r>
              <w:rPr>
                <w:rFonts w:hint="eastAsia" w:eastAsia="楷体_GB2312"/>
                <w:szCs w:val="21"/>
              </w:rPr>
              <w:t>顺河镇</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3A8B1A09">
            <w:pPr>
              <w:widowControl w:val="0"/>
              <w:spacing w:line="300" w:lineRule="exact"/>
              <w:jc w:val="center"/>
              <w:rPr>
                <w:rFonts w:eastAsia="楷体_GB2312"/>
                <w:szCs w:val="21"/>
              </w:rPr>
            </w:pPr>
            <w:r>
              <w:rPr>
                <w:rFonts w:eastAsia="楷体_GB2312"/>
                <w:szCs w:val="21"/>
              </w:rPr>
              <w:t>一级地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48630B44">
            <w:pPr>
              <w:jc w:val="center"/>
              <w:rPr>
                <w:rFonts w:ascii="宋体" w:hAnsi="宋体" w:cs="宋体"/>
                <w:sz w:val="22"/>
                <w:szCs w:val="22"/>
              </w:rPr>
            </w:pPr>
            <w:r>
              <w:rPr>
                <w:rFonts w:hint="eastAsia"/>
                <w:sz w:val="22"/>
                <w:szCs w:val="22"/>
              </w:rPr>
              <w:t>306</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433C068">
            <w:pPr>
              <w:jc w:val="center"/>
              <w:rPr>
                <w:rFonts w:ascii="宋体" w:hAnsi="宋体" w:cs="宋体"/>
                <w:sz w:val="22"/>
                <w:szCs w:val="22"/>
              </w:rPr>
            </w:pPr>
            <w:r>
              <w:rPr>
                <w:rFonts w:hint="eastAsia"/>
                <w:sz w:val="22"/>
                <w:szCs w:val="22"/>
              </w:rPr>
              <w:t>296</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5F56199">
            <w:pPr>
              <w:jc w:val="center"/>
              <w:rPr>
                <w:rFonts w:ascii="宋体" w:hAnsi="宋体" w:cs="宋体"/>
                <w:sz w:val="22"/>
                <w:szCs w:val="22"/>
              </w:rPr>
            </w:pPr>
            <w:r>
              <w:rPr>
                <w:rFonts w:hint="eastAsia"/>
                <w:sz w:val="22"/>
                <w:szCs w:val="22"/>
              </w:rPr>
              <w:t>287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FC2FA9B">
            <w:pPr>
              <w:jc w:val="center"/>
              <w:rPr>
                <w:rFonts w:ascii="宋体" w:hAnsi="宋体" w:cs="宋体"/>
                <w:sz w:val="22"/>
                <w:szCs w:val="22"/>
              </w:rPr>
            </w:pPr>
            <w:r>
              <w:rPr>
                <w:rFonts w:hint="eastAsia"/>
                <w:sz w:val="22"/>
                <w:szCs w:val="22"/>
              </w:rPr>
              <w:t>287</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60DCB17B">
            <w:pPr>
              <w:jc w:val="center"/>
              <w:rPr>
                <w:rFonts w:ascii="宋体" w:hAnsi="宋体" w:cs="宋体"/>
                <w:sz w:val="22"/>
                <w:szCs w:val="22"/>
              </w:rPr>
            </w:pPr>
            <w:r>
              <w:rPr>
                <w:rFonts w:hint="eastAsia"/>
                <w:sz w:val="22"/>
                <w:szCs w:val="22"/>
              </w:rPr>
              <w:t>279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F0B0AF6">
            <w:pPr>
              <w:jc w:val="center"/>
              <w:rPr>
                <w:rFonts w:ascii="宋体" w:hAnsi="宋体" w:cs="宋体"/>
                <w:sz w:val="22"/>
                <w:szCs w:val="22"/>
              </w:rPr>
            </w:pPr>
            <w:r>
              <w:rPr>
                <w:rFonts w:hint="eastAsia"/>
                <w:sz w:val="22"/>
                <w:szCs w:val="22"/>
              </w:rPr>
              <w:t>279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8DB02AC">
            <w:pPr>
              <w:jc w:val="center"/>
              <w:rPr>
                <w:rFonts w:ascii="宋体" w:hAnsi="宋体" w:cs="宋体"/>
                <w:sz w:val="22"/>
                <w:szCs w:val="22"/>
              </w:rPr>
            </w:pPr>
            <w:r>
              <w:rPr>
                <w:rFonts w:hint="eastAsia"/>
                <w:sz w:val="22"/>
                <w:szCs w:val="22"/>
              </w:rPr>
              <w:t>271</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40214002">
            <w:pPr>
              <w:jc w:val="center"/>
              <w:rPr>
                <w:rFonts w:ascii="宋体" w:hAnsi="宋体" w:cs="宋体"/>
                <w:sz w:val="22"/>
                <w:szCs w:val="22"/>
              </w:rPr>
            </w:pPr>
            <w:r>
              <w:rPr>
                <w:rFonts w:hint="eastAsia"/>
                <w:sz w:val="22"/>
                <w:szCs w:val="22"/>
              </w:rPr>
              <w:t>256</w:t>
            </w:r>
          </w:p>
        </w:tc>
      </w:tr>
      <w:tr w14:paraId="3DB9F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23F9154F">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5C3CEF1D">
            <w:pPr>
              <w:widowControl w:val="0"/>
              <w:spacing w:line="300" w:lineRule="exact"/>
              <w:jc w:val="center"/>
              <w:rPr>
                <w:rFonts w:eastAsia="楷体_GB2312"/>
                <w:szCs w:val="21"/>
              </w:rPr>
            </w:pPr>
            <w:r>
              <w:rPr>
                <w:rFonts w:eastAsia="楷体_GB2312"/>
                <w:szCs w:val="21"/>
              </w:rPr>
              <w:t>二级地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C56F31C">
            <w:pPr>
              <w:jc w:val="center"/>
              <w:rPr>
                <w:rFonts w:ascii="宋体" w:hAnsi="宋体" w:cs="宋体"/>
                <w:sz w:val="22"/>
                <w:szCs w:val="22"/>
              </w:rPr>
            </w:pPr>
            <w:r>
              <w:rPr>
                <w:rFonts w:hint="eastAsia"/>
                <w:sz w:val="22"/>
                <w:szCs w:val="22"/>
              </w:rPr>
              <w:t>267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86A0E94">
            <w:pPr>
              <w:jc w:val="center"/>
              <w:rPr>
                <w:rFonts w:ascii="宋体" w:hAnsi="宋体" w:cs="宋体"/>
                <w:sz w:val="22"/>
                <w:szCs w:val="22"/>
              </w:rPr>
            </w:pPr>
            <w:r>
              <w:rPr>
                <w:rFonts w:hint="eastAsia"/>
                <w:sz w:val="22"/>
                <w:szCs w:val="22"/>
              </w:rPr>
              <w:t>253</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6BF3A2B8">
            <w:pPr>
              <w:jc w:val="center"/>
              <w:rPr>
                <w:rFonts w:ascii="宋体" w:hAnsi="宋体" w:cs="宋体"/>
                <w:sz w:val="22"/>
                <w:szCs w:val="22"/>
              </w:rPr>
            </w:pPr>
            <w:r>
              <w:rPr>
                <w:rFonts w:hint="eastAsia"/>
                <w:sz w:val="22"/>
                <w:szCs w:val="22"/>
              </w:rPr>
              <w:t>243</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CE9D200">
            <w:pPr>
              <w:jc w:val="center"/>
              <w:rPr>
                <w:rFonts w:ascii="宋体" w:hAnsi="宋体" w:cs="宋体"/>
                <w:sz w:val="22"/>
                <w:szCs w:val="22"/>
              </w:rPr>
            </w:pPr>
            <w:r>
              <w:rPr>
                <w:rFonts w:hint="eastAsia"/>
                <w:sz w:val="22"/>
                <w:szCs w:val="22"/>
              </w:rPr>
              <w:t>243</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375096B">
            <w:pPr>
              <w:jc w:val="center"/>
              <w:rPr>
                <w:rFonts w:ascii="宋体" w:hAnsi="宋体" w:cs="宋体"/>
                <w:sz w:val="22"/>
                <w:szCs w:val="22"/>
              </w:rPr>
            </w:pPr>
            <w:r>
              <w:rPr>
                <w:rFonts w:hint="eastAsia"/>
                <w:sz w:val="22"/>
                <w:szCs w:val="22"/>
              </w:rPr>
              <w:t>234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22D8480">
            <w:pPr>
              <w:jc w:val="center"/>
              <w:rPr>
                <w:rFonts w:ascii="宋体" w:hAnsi="宋体" w:cs="宋体"/>
                <w:sz w:val="22"/>
                <w:szCs w:val="22"/>
              </w:rPr>
            </w:pPr>
            <w:r>
              <w:rPr>
                <w:rFonts w:hint="eastAsia"/>
                <w:sz w:val="22"/>
                <w:szCs w:val="22"/>
              </w:rPr>
              <w:t>234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B91BFD5">
            <w:pPr>
              <w:jc w:val="center"/>
              <w:rPr>
                <w:rFonts w:ascii="宋体" w:hAnsi="宋体" w:cs="宋体"/>
                <w:sz w:val="22"/>
                <w:szCs w:val="22"/>
              </w:rPr>
            </w:pPr>
            <w:r>
              <w:rPr>
                <w:rFonts w:hint="eastAsia"/>
                <w:sz w:val="22"/>
                <w:szCs w:val="22"/>
              </w:rPr>
              <w:t>223</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7CFE7F48">
            <w:pPr>
              <w:jc w:val="center"/>
              <w:rPr>
                <w:rFonts w:ascii="宋体" w:hAnsi="宋体" w:cs="宋体"/>
                <w:sz w:val="22"/>
                <w:szCs w:val="22"/>
              </w:rPr>
            </w:pPr>
            <w:r>
              <w:rPr>
                <w:rFonts w:hint="eastAsia"/>
                <w:sz w:val="22"/>
                <w:szCs w:val="22"/>
              </w:rPr>
              <w:t>209</w:t>
            </w:r>
          </w:p>
        </w:tc>
      </w:tr>
      <w:tr w14:paraId="3C01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44BF651F">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1DE4B0A5">
            <w:pPr>
              <w:widowControl w:val="0"/>
              <w:spacing w:line="300" w:lineRule="exact"/>
              <w:jc w:val="center"/>
              <w:rPr>
                <w:rFonts w:eastAsia="楷体_GB2312"/>
                <w:szCs w:val="21"/>
              </w:rPr>
            </w:pPr>
            <w:r>
              <w:rPr>
                <w:rFonts w:eastAsia="楷体_GB2312"/>
                <w:szCs w:val="21"/>
              </w:rPr>
              <w:t>三级地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DD5AF18">
            <w:pPr>
              <w:jc w:val="center"/>
              <w:rPr>
                <w:rFonts w:ascii="宋体" w:hAnsi="宋体" w:cs="宋体"/>
                <w:sz w:val="22"/>
                <w:szCs w:val="22"/>
              </w:rPr>
            </w:pPr>
            <w:r>
              <w:rPr>
                <w:rFonts w:hint="eastAsia"/>
                <w:sz w:val="22"/>
                <w:szCs w:val="22"/>
              </w:rPr>
              <w:t>215</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9DA1DCD">
            <w:pPr>
              <w:jc w:val="center"/>
              <w:rPr>
                <w:rFonts w:ascii="宋体" w:hAnsi="宋体" w:cs="宋体"/>
                <w:sz w:val="22"/>
                <w:szCs w:val="22"/>
              </w:rPr>
            </w:pPr>
            <w:r>
              <w:rPr>
                <w:rFonts w:hint="eastAsia"/>
                <w:sz w:val="22"/>
                <w:szCs w:val="22"/>
              </w:rPr>
              <w:t>200</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EBB4A55">
            <w:pPr>
              <w:jc w:val="center"/>
              <w:rPr>
                <w:rFonts w:ascii="宋体" w:hAnsi="宋体" w:cs="宋体"/>
                <w:sz w:val="22"/>
                <w:szCs w:val="22"/>
              </w:rPr>
            </w:pPr>
            <w:r>
              <w:rPr>
                <w:rFonts w:hint="eastAsia"/>
                <w:sz w:val="22"/>
                <w:szCs w:val="22"/>
              </w:rPr>
              <w:t>189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68B82A4">
            <w:pPr>
              <w:jc w:val="center"/>
              <w:rPr>
                <w:rFonts w:ascii="宋体" w:hAnsi="宋体" w:cs="宋体"/>
                <w:sz w:val="22"/>
                <w:szCs w:val="22"/>
              </w:rPr>
            </w:pPr>
            <w:r>
              <w:rPr>
                <w:rFonts w:hint="eastAsia"/>
                <w:sz w:val="22"/>
                <w:szCs w:val="22"/>
              </w:rPr>
              <w:t>189</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5702930A">
            <w:pPr>
              <w:jc w:val="center"/>
              <w:rPr>
                <w:rFonts w:ascii="宋体" w:hAnsi="宋体" w:cs="宋体"/>
                <w:sz w:val="22"/>
                <w:szCs w:val="22"/>
              </w:rPr>
            </w:pPr>
            <w:r>
              <w:rPr>
                <w:rFonts w:hint="eastAsia"/>
                <w:sz w:val="22"/>
                <w:szCs w:val="22"/>
              </w:rPr>
              <w:t>182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3A34B08">
            <w:pPr>
              <w:jc w:val="center"/>
              <w:rPr>
                <w:rFonts w:ascii="宋体" w:hAnsi="宋体" w:cs="宋体"/>
                <w:sz w:val="22"/>
                <w:szCs w:val="22"/>
              </w:rPr>
            </w:pPr>
            <w:r>
              <w:rPr>
                <w:rFonts w:hint="eastAsia"/>
                <w:sz w:val="22"/>
                <w:szCs w:val="22"/>
              </w:rPr>
              <w:t>182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AD8D408">
            <w:pPr>
              <w:jc w:val="center"/>
              <w:rPr>
                <w:rFonts w:ascii="宋体" w:hAnsi="宋体" w:cs="宋体"/>
                <w:sz w:val="22"/>
                <w:szCs w:val="22"/>
              </w:rPr>
            </w:pPr>
            <w:r>
              <w:rPr>
                <w:rFonts w:hint="eastAsia"/>
                <w:sz w:val="22"/>
                <w:szCs w:val="22"/>
              </w:rPr>
              <w:t>177</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5F6EB7EA">
            <w:pPr>
              <w:jc w:val="center"/>
              <w:rPr>
                <w:rFonts w:ascii="宋体" w:hAnsi="宋体" w:cs="宋体"/>
                <w:sz w:val="22"/>
                <w:szCs w:val="22"/>
              </w:rPr>
            </w:pPr>
            <w:r>
              <w:rPr>
                <w:rFonts w:hint="eastAsia"/>
                <w:sz w:val="22"/>
                <w:szCs w:val="22"/>
              </w:rPr>
              <w:t>162</w:t>
            </w:r>
          </w:p>
        </w:tc>
      </w:tr>
      <w:tr w14:paraId="4B3D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14:paraId="65ADB14A">
            <w:pPr>
              <w:widowControl w:val="0"/>
              <w:spacing w:line="300" w:lineRule="exact"/>
              <w:jc w:val="center"/>
              <w:rPr>
                <w:rFonts w:eastAsia="楷体_GB2312"/>
                <w:szCs w:val="21"/>
              </w:rPr>
            </w:pPr>
            <w:r>
              <w:rPr>
                <w:rFonts w:hint="eastAsia" w:eastAsia="楷体_GB2312"/>
                <w:szCs w:val="21"/>
              </w:rPr>
              <w:t>杨庄镇</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05EE310E">
            <w:pPr>
              <w:widowControl w:val="0"/>
              <w:spacing w:line="300" w:lineRule="exact"/>
              <w:jc w:val="center"/>
              <w:rPr>
                <w:rFonts w:eastAsia="楷体_GB2312"/>
                <w:szCs w:val="21"/>
              </w:rPr>
            </w:pPr>
            <w:r>
              <w:rPr>
                <w:rFonts w:eastAsia="楷体_GB2312"/>
                <w:szCs w:val="21"/>
              </w:rPr>
              <w:t>一级地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53CED4E">
            <w:pPr>
              <w:jc w:val="center"/>
              <w:rPr>
                <w:rFonts w:ascii="宋体" w:hAnsi="宋体" w:cs="宋体"/>
                <w:sz w:val="22"/>
                <w:szCs w:val="22"/>
              </w:rPr>
            </w:pPr>
            <w:r>
              <w:rPr>
                <w:rFonts w:hint="eastAsia"/>
                <w:sz w:val="22"/>
                <w:szCs w:val="22"/>
              </w:rPr>
              <w:t>306</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52B535D">
            <w:pPr>
              <w:jc w:val="center"/>
              <w:rPr>
                <w:rFonts w:ascii="宋体" w:hAnsi="宋体" w:cs="宋体"/>
                <w:sz w:val="22"/>
                <w:szCs w:val="22"/>
              </w:rPr>
            </w:pPr>
            <w:r>
              <w:rPr>
                <w:rFonts w:hint="eastAsia"/>
                <w:sz w:val="22"/>
                <w:szCs w:val="22"/>
              </w:rPr>
              <w:t>296</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82FC4C8">
            <w:pPr>
              <w:jc w:val="center"/>
              <w:rPr>
                <w:rFonts w:ascii="宋体" w:hAnsi="宋体" w:cs="宋体"/>
                <w:sz w:val="22"/>
                <w:szCs w:val="22"/>
              </w:rPr>
            </w:pPr>
            <w:r>
              <w:rPr>
                <w:rFonts w:hint="eastAsia"/>
                <w:sz w:val="22"/>
                <w:szCs w:val="22"/>
              </w:rPr>
              <w:t>287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5331E23">
            <w:pPr>
              <w:jc w:val="center"/>
              <w:rPr>
                <w:rFonts w:ascii="宋体" w:hAnsi="宋体" w:cs="宋体"/>
                <w:sz w:val="22"/>
                <w:szCs w:val="22"/>
              </w:rPr>
            </w:pPr>
            <w:r>
              <w:rPr>
                <w:rFonts w:hint="eastAsia"/>
                <w:sz w:val="22"/>
                <w:szCs w:val="22"/>
              </w:rPr>
              <w:t>287</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47CE86D">
            <w:pPr>
              <w:jc w:val="center"/>
              <w:rPr>
                <w:rFonts w:ascii="宋体" w:hAnsi="宋体" w:cs="宋体"/>
                <w:sz w:val="22"/>
                <w:szCs w:val="22"/>
              </w:rPr>
            </w:pPr>
            <w:r>
              <w:rPr>
                <w:rFonts w:hint="eastAsia"/>
                <w:sz w:val="22"/>
                <w:szCs w:val="22"/>
              </w:rPr>
              <w:t>279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0C753F2">
            <w:pPr>
              <w:jc w:val="center"/>
              <w:rPr>
                <w:rFonts w:ascii="宋体" w:hAnsi="宋体" w:cs="宋体"/>
                <w:sz w:val="22"/>
                <w:szCs w:val="22"/>
              </w:rPr>
            </w:pPr>
            <w:r>
              <w:rPr>
                <w:rFonts w:hint="eastAsia"/>
                <w:sz w:val="22"/>
                <w:szCs w:val="22"/>
              </w:rPr>
              <w:t>279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8BD9F79">
            <w:pPr>
              <w:jc w:val="center"/>
              <w:rPr>
                <w:rFonts w:ascii="宋体" w:hAnsi="宋体" w:cs="宋体"/>
                <w:sz w:val="22"/>
                <w:szCs w:val="22"/>
              </w:rPr>
            </w:pPr>
            <w:r>
              <w:rPr>
                <w:rFonts w:hint="eastAsia"/>
                <w:sz w:val="22"/>
                <w:szCs w:val="22"/>
              </w:rPr>
              <w:t>271</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4F9C0489">
            <w:pPr>
              <w:jc w:val="center"/>
              <w:rPr>
                <w:rFonts w:ascii="宋体" w:hAnsi="宋体" w:cs="宋体"/>
                <w:sz w:val="22"/>
                <w:szCs w:val="22"/>
              </w:rPr>
            </w:pPr>
            <w:r>
              <w:rPr>
                <w:rFonts w:hint="eastAsia"/>
                <w:sz w:val="22"/>
                <w:szCs w:val="22"/>
              </w:rPr>
              <w:t>256</w:t>
            </w:r>
          </w:p>
        </w:tc>
      </w:tr>
      <w:tr w14:paraId="22F56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487A9F5C">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5F2950C9">
            <w:pPr>
              <w:widowControl w:val="0"/>
              <w:spacing w:line="300" w:lineRule="exact"/>
              <w:jc w:val="center"/>
              <w:rPr>
                <w:rFonts w:eastAsia="楷体_GB2312"/>
                <w:szCs w:val="21"/>
              </w:rPr>
            </w:pPr>
            <w:r>
              <w:rPr>
                <w:rFonts w:eastAsia="楷体_GB2312"/>
                <w:szCs w:val="21"/>
              </w:rPr>
              <w:t>二级地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E35CB91">
            <w:pPr>
              <w:jc w:val="center"/>
              <w:rPr>
                <w:rFonts w:ascii="宋体" w:hAnsi="宋体" w:cs="宋体"/>
                <w:sz w:val="22"/>
                <w:szCs w:val="22"/>
              </w:rPr>
            </w:pPr>
            <w:r>
              <w:rPr>
                <w:rFonts w:hint="eastAsia"/>
                <w:sz w:val="22"/>
                <w:szCs w:val="22"/>
              </w:rPr>
              <w:t>255</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81879A0">
            <w:pPr>
              <w:jc w:val="center"/>
              <w:rPr>
                <w:rFonts w:ascii="宋体" w:hAnsi="宋体" w:cs="宋体"/>
                <w:sz w:val="22"/>
                <w:szCs w:val="22"/>
              </w:rPr>
            </w:pPr>
            <w:r>
              <w:rPr>
                <w:rFonts w:hint="eastAsia"/>
                <w:sz w:val="22"/>
                <w:szCs w:val="22"/>
              </w:rPr>
              <w:t>241</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4CED9716">
            <w:pPr>
              <w:jc w:val="center"/>
              <w:rPr>
                <w:rFonts w:ascii="宋体" w:hAnsi="宋体" w:cs="宋体"/>
                <w:sz w:val="22"/>
                <w:szCs w:val="22"/>
              </w:rPr>
            </w:pPr>
            <w:r>
              <w:rPr>
                <w:rFonts w:hint="eastAsia"/>
                <w:sz w:val="22"/>
                <w:szCs w:val="22"/>
              </w:rPr>
              <w:t>231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BB5DC52">
            <w:pPr>
              <w:jc w:val="center"/>
              <w:rPr>
                <w:rFonts w:ascii="宋体" w:hAnsi="宋体" w:cs="宋体"/>
                <w:sz w:val="22"/>
                <w:szCs w:val="22"/>
              </w:rPr>
            </w:pPr>
            <w:r>
              <w:rPr>
                <w:rFonts w:hint="eastAsia"/>
                <w:sz w:val="22"/>
                <w:szCs w:val="22"/>
              </w:rPr>
              <w:t>231</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19A1D56">
            <w:pPr>
              <w:jc w:val="center"/>
              <w:rPr>
                <w:rFonts w:ascii="宋体" w:hAnsi="宋体" w:cs="宋体"/>
                <w:sz w:val="22"/>
                <w:szCs w:val="22"/>
              </w:rPr>
            </w:pPr>
            <w:r>
              <w:rPr>
                <w:rFonts w:hint="eastAsia"/>
                <w:sz w:val="22"/>
                <w:szCs w:val="22"/>
              </w:rPr>
              <w:t>222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AC04E78">
            <w:pPr>
              <w:jc w:val="center"/>
              <w:rPr>
                <w:rFonts w:ascii="宋体" w:hAnsi="宋体" w:cs="宋体"/>
                <w:sz w:val="22"/>
                <w:szCs w:val="22"/>
              </w:rPr>
            </w:pPr>
            <w:r>
              <w:rPr>
                <w:rFonts w:hint="eastAsia"/>
                <w:sz w:val="22"/>
                <w:szCs w:val="22"/>
              </w:rPr>
              <w:t>222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1E03071">
            <w:pPr>
              <w:jc w:val="center"/>
              <w:rPr>
                <w:rFonts w:ascii="宋体" w:hAnsi="宋体" w:cs="宋体"/>
                <w:sz w:val="22"/>
                <w:szCs w:val="22"/>
              </w:rPr>
            </w:pPr>
            <w:r>
              <w:rPr>
                <w:rFonts w:hint="eastAsia"/>
                <w:sz w:val="22"/>
                <w:szCs w:val="22"/>
              </w:rPr>
              <w:t>213</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3877A5D6">
            <w:pPr>
              <w:jc w:val="center"/>
              <w:rPr>
                <w:rFonts w:ascii="宋体" w:hAnsi="宋体" w:cs="宋体"/>
                <w:sz w:val="22"/>
                <w:szCs w:val="22"/>
              </w:rPr>
            </w:pPr>
            <w:r>
              <w:rPr>
                <w:rFonts w:hint="eastAsia"/>
                <w:sz w:val="22"/>
                <w:szCs w:val="22"/>
              </w:rPr>
              <w:t>199</w:t>
            </w:r>
          </w:p>
        </w:tc>
      </w:tr>
      <w:tr w14:paraId="0F9A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1E2F40C0">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151BDD1D">
            <w:pPr>
              <w:widowControl w:val="0"/>
              <w:spacing w:line="300" w:lineRule="exact"/>
              <w:jc w:val="center"/>
              <w:rPr>
                <w:rFonts w:eastAsia="楷体_GB2312"/>
                <w:szCs w:val="21"/>
              </w:rPr>
            </w:pPr>
            <w:r>
              <w:rPr>
                <w:rFonts w:eastAsia="楷体_GB2312"/>
                <w:szCs w:val="21"/>
              </w:rPr>
              <w:t>三级地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D5D6427">
            <w:pPr>
              <w:jc w:val="center"/>
              <w:rPr>
                <w:rFonts w:ascii="宋体" w:hAnsi="宋体" w:cs="宋体"/>
                <w:sz w:val="22"/>
                <w:szCs w:val="22"/>
              </w:rPr>
            </w:pPr>
            <w:r>
              <w:rPr>
                <w:rFonts w:hint="eastAsia"/>
                <w:sz w:val="22"/>
                <w:szCs w:val="22"/>
              </w:rPr>
              <w:t>201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55857F2">
            <w:pPr>
              <w:jc w:val="center"/>
              <w:rPr>
                <w:rFonts w:ascii="宋体" w:hAnsi="宋体" w:cs="宋体"/>
                <w:sz w:val="22"/>
                <w:szCs w:val="22"/>
              </w:rPr>
            </w:pPr>
            <w:r>
              <w:rPr>
                <w:rFonts w:hint="eastAsia"/>
                <w:sz w:val="22"/>
                <w:szCs w:val="22"/>
              </w:rPr>
              <w:t>188</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4F20EE7C">
            <w:pPr>
              <w:jc w:val="center"/>
              <w:rPr>
                <w:rFonts w:ascii="宋体" w:hAnsi="宋体" w:cs="宋体"/>
                <w:sz w:val="22"/>
                <w:szCs w:val="22"/>
              </w:rPr>
            </w:pPr>
            <w:r>
              <w:rPr>
                <w:rFonts w:hint="eastAsia"/>
                <w:sz w:val="22"/>
                <w:szCs w:val="22"/>
              </w:rPr>
              <w:t>179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7D40491">
            <w:pPr>
              <w:jc w:val="center"/>
              <w:rPr>
                <w:rFonts w:ascii="宋体" w:hAnsi="宋体" w:cs="宋体"/>
                <w:sz w:val="22"/>
                <w:szCs w:val="22"/>
              </w:rPr>
            </w:pPr>
            <w:r>
              <w:rPr>
                <w:rFonts w:hint="eastAsia"/>
                <w:sz w:val="22"/>
                <w:szCs w:val="22"/>
              </w:rPr>
              <w:t>179</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EC4EDDD">
            <w:pPr>
              <w:jc w:val="center"/>
              <w:rPr>
                <w:rFonts w:ascii="宋体" w:hAnsi="宋体" w:cs="宋体"/>
                <w:sz w:val="22"/>
                <w:szCs w:val="22"/>
              </w:rPr>
            </w:pPr>
            <w:r>
              <w:rPr>
                <w:rFonts w:hint="eastAsia"/>
                <w:sz w:val="22"/>
                <w:szCs w:val="22"/>
              </w:rPr>
              <w:t>172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23999CE">
            <w:pPr>
              <w:jc w:val="center"/>
              <w:rPr>
                <w:rFonts w:ascii="宋体" w:hAnsi="宋体" w:cs="宋体"/>
                <w:sz w:val="22"/>
                <w:szCs w:val="22"/>
              </w:rPr>
            </w:pPr>
            <w:r>
              <w:rPr>
                <w:rFonts w:hint="eastAsia"/>
                <w:sz w:val="22"/>
                <w:szCs w:val="22"/>
              </w:rPr>
              <w:t>172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D841A8D">
            <w:pPr>
              <w:jc w:val="center"/>
              <w:rPr>
                <w:rFonts w:ascii="宋体" w:hAnsi="宋体" w:cs="宋体"/>
                <w:sz w:val="22"/>
                <w:szCs w:val="22"/>
              </w:rPr>
            </w:pPr>
            <w:r>
              <w:rPr>
                <w:rFonts w:hint="eastAsia"/>
                <w:sz w:val="22"/>
                <w:szCs w:val="22"/>
              </w:rPr>
              <w:t>167</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49926E37">
            <w:pPr>
              <w:jc w:val="center"/>
              <w:rPr>
                <w:rFonts w:ascii="宋体" w:hAnsi="宋体" w:cs="宋体"/>
                <w:sz w:val="22"/>
                <w:szCs w:val="22"/>
              </w:rPr>
            </w:pPr>
            <w:r>
              <w:rPr>
                <w:rFonts w:hint="eastAsia"/>
                <w:sz w:val="22"/>
                <w:szCs w:val="22"/>
              </w:rPr>
              <w:t>152</w:t>
            </w:r>
          </w:p>
        </w:tc>
      </w:tr>
      <w:tr w14:paraId="101E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14:paraId="3194C902">
            <w:pPr>
              <w:widowControl w:val="0"/>
              <w:spacing w:line="300" w:lineRule="exact"/>
              <w:jc w:val="center"/>
              <w:rPr>
                <w:rFonts w:eastAsia="楷体_GB2312"/>
                <w:szCs w:val="21"/>
              </w:rPr>
            </w:pPr>
            <w:r>
              <w:rPr>
                <w:rFonts w:hint="eastAsia" w:eastAsia="楷体_GB2312"/>
                <w:szCs w:val="21"/>
              </w:rPr>
              <w:t>永镇乡</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5D4FF067">
            <w:pPr>
              <w:widowControl w:val="0"/>
              <w:spacing w:line="300" w:lineRule="exact"/>
              <w:jc w:val="center"/>
              <w:rPr>
                <w:rFonts w:eastAsia="楷体_GB2312"/>
                <w:szCs w:val="21"/>
              </w:rPr>
            </w:pPr>
            <w:r>
              <w:rPr>
                <w:rFonts w:eastAsia="楷体_GB2312"/>
                <w:szCs w:val="21"/>
              </w:rPr>
              <w:t>一级地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48042F97">
            <w:pPr>
              <w:jc w:val="center"/>
              <w:rPr>
                <w:rFonts w:ascii="宋体" w:hAnsi="宋体" w:cs="宋体"/>
                <w:sz w:val="22"/>
                <w:szCs w:val="22"/>
              </w:rPr>
            </w:pPr>
            <w:r>
              <w:rPr>
                <w:rFonts w:hint="eastAsia"/>
                <w:sz w:val="22"/>
                <w:szCs w:val="22"/>
              </w:rPr>
              <w:t>285</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B56A04B">
            <w:pPr>
              <w:jc w:val="center"/>
              <w:rPr>
                <w:rFonts w:ascii="宋体" w:hAnsi="宋体" w:cs="宋体"/>
                <w:sz w:val="22"/>
                <w:szCs w:val="22"/>
              </w:rPr>
            </w:pPr>
            <w:r>
              <w:rPr>
                <w:rFonts w:hint="eastAsia"/>
                <w:sz w:val="22"/>
                <w:szCs w:val="22"/>
              </w:rPr>
              <w:t>277</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A6E5609">
            <w:pPr>
              <w:jc w:val="center"/>
              <w:rPr>
                <w:rFonts w:ascii="宋体" w:hAnsi="宋体" w:cs="宋体"/>
                <w:sz w:val="22"/>
                <w:szCs w:val="22"/>
              </w:rPr>
            </w:pPr>
            <w:r>
              <w:rPr>
                <w:rFonts w:hint="eastAsia"/>
                <w:sz w:val="22"/>
                <w:szCs w:val="22"/>
              </w:rPr>
              <w:t>265</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2365462">
            <w:pPr>
              <w:jc w:val="center"/>
              <w:rPr>
                <w:rFonts w:ascii="宋体" w:hAnsi="宋体" w:cs="宋体"/>
                <w:sz w:val="22"/>
                <w:szCs w:val="22"/>
              </w:rPr>
            </w:pPr>
            <w:r>
              <w:rPr>
                <w:rFonts w:hint="eastAsia"/>
                <w:sz w:val="22"/>
                <w:szCs w:val="22"/>
              </w:rPr>
              <w:t>265</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63FF8356">
            <w:pPr>
              <w:jc w:val="center"/>
              <w:rPr>
                <w:rFonts w:ascii="宋体" w:hAnsi="宋体" w:cs="宋体"/>
                <w:sz w:val="22"/>
                <w:szCs w:val="22"/>
              </w:rPr>
            </w:pPr>
            <w:r>
              <w:rPr>
                <w:rFonts w:hint="eastAsia"/>
                <w:sz w:val="22"/>
                <w:szCs w:val="22"/>
              </w:rPr>
              <w:t>257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C599CED">
            <w:pPr>
              <w:jc w:val="center"/>
              <w:rPr>
                <w:rFonts w:ascii="宋体" w:hAnsi="宋体" w:cs="宋体"/>
                <w:sz w:val="22"/>
                <w:szCs w:val="22"/>
              </w:rPr>
            </w:pPr>
            <w:r>
              <w:rPr>
                <w:rFonts w:hint="eastAsia"/>
                <w:sz w:val="22"/>
                <w:szCs w:val="22"/>
              </w:rPr>
              <w:t>257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9CDDD9C">
            <w:pPr>
              <w:jc w:val="center"/>
              <w:rPr>
                <w:rFonts w:ascii="宋体" w:hAnsi="宋体" w:cs="宋体"/>
                <w:sz w:val="22"/>
                <w:szCs w:val="22"/>
              </w:rPr>
            </w:pPr>
            <w:r>
              <w:rPr>
                <w:rFonts w:hint="eastAsia"/>
                <w:sz w:val="22"/>
                <w:szCs w:val="22"/>
              </w:rPr>
              <w:t>251</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471CF65C">
            <w:pPr>
              <w:jc w:val="center"/>
              <w:rPr>
                <w:rFonts w:ascii="宋体" w:hAnsi="宋体" w:cs="宋体"/>
                <w:sz w:val="22"/>
                <w:szCs w:val="22"/>
              </w:rPr>
            </w:pPr>
            <w:r>
              <w:rPr>
                <w:rFonts w:hint="eastAsia"/>
                <w:sz w:val="22"/>
                <w:szCs w:val="22"/>
              </w:rPr>
              <w:t>243</w:t>
            </w:r>
          </w:p>
        </w:tc>
      </w:tr>
      <w:tr w14:paraId="1DD5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47B95DF9">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5F6EE701">
            <w:pPr>
              <w:widowControl w:val="0"/>
              <w:spacing w:line="300" w:lineRule="exact"/>
              <w:jc w:val="center"/>
              <w:rPr>
                <w:rFonts w:eastAsia="楷体_GB2312"/>
                <w:szCs w:val="21"/>
              </w:rPr>
            </w:pPr>
            <w:r>
              <w:rPr>
                <w:rFonts w:eastAsia="楷体_GB2312"/>
                <w:szCs w:val="21"/>
              </w:rPr>
              <w:t>二级地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7FD72EFA">
            <w:pPr>
              <w:jc w:val="center"/>
              <w:rPr>
                <w:rFonts w:ascii="宋体" w:hAnsi="宋体" w:cs="宋体"/>
                <w:sz w:val="22"/>
                <w:szCs w:val="22"/>
              </w:rPr>
            </w:pPr>
            <w:r>
              <w:rPr>
                <w:rFonts w:hint="eastAsia"/>
                <w:sz w:val="22"/>
                <w:szCs w:val="22"/>
              </w:rPr>
              <w:t>255</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F7DC3CC">
            <w:pPr>
              <w:jc w:val="center"/>
              <w:rPr>
                <w:rFonts w:ascii="宋体" w:hAnsi="宋体" w:cs="宋体"/>
                <w:sz w:val="22"/>
                <w:szCs w:val="22"/>
              </w:rPr>
            </w:pPr>
            <w:r>
              <w:rPr>
                <w:rFonts w:hint="eastAsia"/>
                <w:sz w:val="22"/>
                <w:szCs w:val="22"/>
              </w:rPr>
              <w:t>241</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BA78411">
            <w:pPr>
              <w:jc w:val="center"/>
              <w:rPr>
                <w:rFonts w:ascii="宋体" w:hAnsi="宋体" w:cs="宋体"/>
                <w:sz w:val="22"/>
                <w:szCs w:val="22"/>
              </w:rPr>
            </w:pPr>
            <w:r>
              <w:rPr>
                <w:rFonts w:hint="eastAsia"/>
                <w:sz w:val="22"/>
                <w:szCs w:val="22"/>
              </w:rPr>
              <w:t>231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D64D097">
            <w:pPr>
              <w:jc w:val="center"/>
              <w:rPr>
                <w:rFonts w:ascii="宋体" w:hAnsi="宋体" w:cs="宋体"/>
                <w:sz w:val="22"/>
                <w:szCs w:val="22"/>
              </w:rPr>
            </w:pPr>
            <w:r>
              <w:rPr>
                <w:rFonts w:hint="eastAsia"/>
                <w:sz w:val="22"/>
                <w:szCs w:val="22"/>
              </w:rPr>
              <w:t>231</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4D7EBD08">
            <w:pPr>
              <w:jc w:val="center"/>
              <w:rPr>
                <w:rFonts w:ascii="宋体" w:hAnsi="宋体" w:cs="宋体"/>
                <w:sz w:val="22"/>
                <w:szCs w:val="22"/>
              </w:rPr>
            </w:pPr>
            <w:r>
              <w:rPr>
                <w:rFonts w:hint="eastAsia"/>
                <w:sz w:val="22"/>
                <w:szCs w:val="22"/>
              </w:rPr>
              <w:t>222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FEE99F8">
            <w:pPr>
              <w:jc w:val="center"/>
              <w:rPr>
                <w:rFonts w:ascii="宋体" w:hAnsi="宋体" w:cs="宋体"/>
                <w:sz w:val="22"/>
                <w:szCs w:val="22"/>
              </w:rPr>
            </w:pPr>
            <w:r>
              <w:rPr>
                <w:rFonts w:hint="eastAsia"/>
                <w:sz w:val="22"/>
                <w:szCs w:val="22"/>
              </w:rPr>
              <w:t>222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989A84E">
            <w:pPr>
              <w:jc w:val="center"/>
              <w:rPr>
                <w:rFonts w:ascii="宋体" w:hAnsi="宋体" w:cs="宋体"/>
                <w:sz w:val="22"/>
                <w:szCs w:val="22"/>
              </w:rPr>
            </w:pPr>
            <w:r>
              <w:rPr>
                <w:rFonts w:hint="eastAsia"/>
                <w:sz w:val="22"/>
                <w:szCs w:val="22"/>
              </w:rPr>
              <w:t>213</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2E40E166">
            <w:pPr>
              <w:jc w:val="center"/>
              <w:rPr>
                <w:rFonts w:ascii="宋体" w:hAnsi="宋体" w:cs="宋体"/>
                <w:sz w:val="22"/>
                <w:szCs w:val="22"/>
              </w:rPr>
            </w:pPr>
            <w:r>
              <w:rPr>
                <w:rFonts w:hint="eastAsia"/>
                <w:sz w:val="22"/>
                <w:szCs w:val="22"/>
              </w:rPr>
              <w:t>199</w:t>
            </w:r>
          </w:p>
        </w:tc>
      </w:tr>
      <w:tr w14:paraId="7D7F3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77E0A14C">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4F09F97F">
            <w:pPr>
              <w:widowControl w:val="0"/>
              <w:spacing w:line="300" w:lineRule="exact"/>
              <w:jc w:val="center"/>
              <w:rPr>
                <w:rFonts w:eastAsia="楷体_GB2312"/>
                <w:szCs w:val="21"/>
              </w:rPr>
            </w:pPr>
            <w:r>
              <w:rPr>
                <w:rFonts w:eastAsia="楷体_GB2312"/>
                <w:szCs w:val="21"/>
              </w:rPr>
              <w:t>三级地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089285F">
            <w:pPr>
              <w:jc w:val="center"/>
              <w:rPr>
                <w:rFonts w:ascii="宋体" w:hAnsi="宋体" w:cs="宋体"/>
                <w:sz w:val="22"/>
                <w:szCs w:val="22"/>
              </w:rPr>
            </w:pPr>
            <w:r>
              <w:rPr>
                <w:rFonts w:hint="eastAsia"/>
                <w:sz w:val="22"/>
                <w:szCs w:val="22"/>
              </w:rPr>
              <w:t>210</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5764FBD">
            <w:pPr>
              <w:jc w:val="center"/>
              <w:rPr>
                <w:rFonts w:ascii="宋体" w:hAnsi="宋体" w:cs="宋体"/>
                <w:sz w:val="22"/>
                <w:szCs w:val="22"/>
              </w:rPr>
            </w:pPr>
            <w:r>
              <w:rPr>
                <w:rFonts w:hint="eastAsia"/>
                <w:sz w:val="22"/>
                <w:szCs w:val="22"/>
              </w:rPr>
              <w:t>195</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168C091">
            <w:pPr>
              <w:jc w:val="center"/>
              <w:rPr>
                <w:rFonts w:ascii="宋体" w:hAnsi="宋体" w:cs="宋体"/>
                <w:sz w:val="22"/>
                <w:szCs w:val="22"/>
              </w:rPr>
            </w:pPr>
            <w:r>
              <w:rPr>
                <w:rFonts w:hint="eastAsia"/>
                <w:sz w:val="22"/>
                <w:szCs w:val="22"/>
              </w:rPr>
              <w:t>184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BCE3A74">
            <w:pPr>
              <w:jc w:val="center"/>
              <w:rPr>
                <w:rFonts w:ascii="宋体" w:hAnsi="宋体" w:cs="宋体"/>
                <w:sz w:val="22"/>
                <w:szCs w:val="22"/>
              </w:rPr>
            </w:pPr>
            <w:r>
              <w:rPr>
                <w:rFonts w:hint="eastAsia"/>
                <w:sz w:val="22"/>
                <w:szCs w:val="22"/>
              </w:rPr>
              <w:t>184</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82507C8">
            <w:pPr>
              <w:jc w:val="center"/>
              <w:rPr>
                <w:rFonts w:ascii="宋体" w:hAnsi="宋体" w:cs="宋体"/>
                <w:sz w:val="22"/>
                <w:szCs w:val="22"/>
              </w:rPr>
            </w:pPr>
            <w:r>
              <w:rPr>
                <w:rFonts w:hint="eastAsia"/>
                <w:sz w:val="22"/>
                <w:szCs w:val="22"/>
              </w:rPr>
              <w:t>179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FBF203D">
            <w:pPr>
              <w:jc w:val="center"/>
              <w:rPr>
                <w:rFonts w:ascii="宋体" w:hAnsi="宋体" w:cs="宋体"/>
                <w:sz w:val="22"/>
                <w:szCs w:val="22"/>
              </w:rPr>
            </w:pPr>
            <w:r>
              <w:rPr>
                <w:rFonts w:hint="eastAsia"/>
                <w:sz w:val="22"/>
                <w:szCs w:val="22"/>
              </w:rPr>
              <w:t>179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1859B02">
            <w:pPr>
              <w:jc w:val="center"/>
              <w:rPr>
                <w:rFonts w:ascii="宋体" w:hAnsi="宋体" w:cs="宋体"/>
                <w:sz w:val="22"/>
                <w:szCs w:val="22"/>
              </w:rPr>
            </w:pPr>
            <w:r>
              <w:rPr>
                <w:rFonts w:hint="eastAsia"/>
                <w:sz w:val="22"/>
                <w:szCs w:val="22"/>
              </w:rPr>
              <w:t>172</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04B0D99B">
            <w:pPr>
              <w:jc w:val="center"/>
              <w:rPr>
                <w:rFonts w:ascii="宋体" w:hAnsi="宋体" w:cs="宋体"/>
                <w:sz w:val="22"/>
                <w:szCs w:val="22"/>
              </w:rPr>
            </w:pPr>
            <w:r>
              <w:rPr>
                <w:rFonts w:hint="eastAsia"/>
                <w:sz w:val="22"/>
                <w:szCs w:val="22"/>
              </w:rPr>
              <w:t>159</w:t>
            </w:r>
          </w:p>
        </w:tc>
      </w:tr>
      <w:tr w14:paraId="5C54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14:paraId="07AE8CFB">
            <w:pPr>
              <w:widowControl w:val="0"/>
              <w:spacing w:line="300" w:lineRule="exact"/>
              <w:jc w:val="center"/>
              <w:rPr>
                <w:rFonts w:eastAsia="楷体_GB2312"/>
                <w:szCs w:val="21"/>
              </w:rPr>
            </w:pPr>
            <w:r>
              <w:rPr>
                <w:rFonts w:hint="eastAsia" w:eastAsia="楷体_GB2312"/>
                <w:szCs w:val="21"/>
              </w:rPr>
              <w:t>解集镇</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72D92582">
            <w:pPr>
              <w:widowControl w:val="0"/>
              <w:spacing w:line="300" w:lineRule="exact"/>
              <w:jc w:val="center"/>
              <w:rPr>
                <w:rFonts w:eastAsia="楷体_GB2312"/>
                <w:szCs w:val="21"/>
              </w:rPr>
            </w:pPr>
            <w:r>
              <w:rPr>
                <w:rFonts w:eastAsia="楷体_GB2312"/>
                <w:szCs w:val="21"/>
              </w:rPr>
              <w:t>一级地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5CFB95AF">
            <w:pPr>
              <w:jc w:val="center"/>
              <w:rPr>
                <w:rFonts w:ascii="宋体" w:hAnsi="宋体" w:cs="宋体"/>
                <w:sz w:val="22"/>
                <w:szCs w:val="22"/>
              </w:rPr>
            </w:pPr>
            <w:r>
              <w:rPr>
                <w:rFonts w:hint="eastAsia"/>
                <w:sz w:val="22"/>
                <w:szCs w:val="22"/>
              </w:rPr>
              <w:t>292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346D146">
            <w:pPr>
              <w:jc w:val="center"/>
              <w:rPr>
                <w:rFonts w:ascii="宋体" w:hAnsi="宋体" w:cs="宋体"/>
                <w:sz w:val="22"/>
                <w:szCs w:val="22"/>
              </w:rPr>
            </w:pPr>
            <w:r>
              <w:rPr>
                <w:rFonts w:hint="eastAsia"/>
                <w:sz w:val="22"/>
                <w:szCs w:val="22"/>
              </w:rPr>
              <w:t>284</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68AD822F">
            <w:pPr>
              <w:jc w:val="center"/>
              <w:rPr>
                <w:rFonts w:ascii="宋体" w:hAnsi="宋体" w:cs="宋体"/>
                <w:sz w:val="22"/>
                <w:szCs w:val="22"/>
              </w:rPr>
            </w:pPr>
            <w:r>
              <w:rPr>
                <w:rFonts w:hint="eastAsia"/>
                <w:sz w:val="22"/>
                <w:szCs w:val="22"/>
              </w:rPr>
              <w:t>272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1DFE6E1">
            <w:pPr>
              <w:jc w:val="center"/>
              <w:rPr>
                <w:rFonts w:ascii="宋体" w:hAnsi="宋体" w:cs="宋体"/>
                <w:sz w:val="22"/>
                <w:szCs w:val="22"/>
              </w:rPr>
            </w:pPr>
            <w:r>
              <w:rPr>
                <w:rFonts w:hint="eastAsia"/>
                <w:sz w:val="22"/>
                <w:szCs w:val="22"/>
              </w:rPr>
              <w:t>272</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60BAE507">
            <w:pPr>
              <w:jc w:val="center"/>
              <w:rPr>
                <w:rFonts w:ascii="宋体" w:hAnsi="宋体" w:cs="宋体"/>
                <w:sz w:val="22"/>
                <w:szCs w:val="22"/>
              </w:rPr>
            </w:pPr>
            <w:r>
              <w:rPr>
                <w:rFonts w:hint="eastAsia"/>
                <w:sz w:val="22"/>
                <w:szCs w:val="22"/>
              </w:rPr>
              <w:t>264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DDBD0C0">
            <w:pPr>
              <w:jc w:val="center"/>
              <w:rPr>
                <w:rFonts w:ascii="宋体" w:hAnsi="宋体" w:cs="宋体"/>
                <w:sz w:val="22"/>
                <w:szCs w:val="22"/>
              </w:rPr>
            </w:pPr>
            <w:r>
              <w:rPr>
                <w:rFonts w:hint="eastAsia"/>
                <w:sz w:val="22"/>
                <w:szCs w:val="22"/>
              </w:rPr>
              <w:t>264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5A8E254">
            <w:pPr>
              <w:jc w:val="center"/>
              <w:rPr>
                <w:rFonts w:ascii="宋体" w:hAnsi="宋体" w:cs="宋体"/>
                <w:sz w:val="22"/>
                <w:szCs w:val="22"/>
              </w:rPr>
            </w:pPr>
            <w:r>
              <w:rPr>
                <w:rFonts w:hint="eastAsia"/>
                <w:sz w:val="22"/>
                <w:szCs w:val="22"/>
              </w:rPr>
              <w:t>256</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115408EF">
            <w:pPr>
              <w:jc w:val="center"/>
              <w:rPr>
                <w:rFonts w:ascii="宋体" w:hAnsi="宋体" w:cs="宋体"/>
                <w:sz w:val="22"/>
                <w:szCs w:val="22"/>
              </w:rPr>
            </w:pPr>
            <w:r>
              <w:rPr>
                <w:rFonts w:hint="eastAsia"/>
                <w:sz w:val="22"/>
                <w:szCs w:val="22"/>
              </w:rPr>
              <w:t>248</w:t>
            </w:r>
          </w:p>
        </w:tc>
      </w:tr>
      <w:tr w14:paraId="3695C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37703D68">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588157AA">
            <w:pPr>
              <w:widowControl w:val="0"/>
              <w:spacing w:line="300" w:lineRule="exact"/>
              <w:jc w:val="center"/>
              <w:rPr>
                <w:rFonts w:eastAsia="楷体_GB2312"/>
                <w:szCs w:val="21"/>
              </w:rPr>
            </w:pPr>
            <w:r>
              <w:rPr>
                <w:rFonts w:eastAsia="楷体_GB2312"/>
                <w:szCs w:val="21"/>
              </w:rPr>
              <w:t>二级地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3948F66">
            <w:pPr>
              <w:jc w:val="center"/>
              <w:rPr>
                <w:rFonts w:ascii="宋体" w:hAnsi="宋体" w:cs="宋体"/>
                <w:sz w:val="22"/>
                <w:szCs w:val="22"/>
              </w:rPr>
            </w:pPr>
            <w:r>
              <w:rPr>
                <w:rFonts w:hint="eastAsia"/>
                <w:sz w:val="22"/>
                <w:szCs w:val="22"/>
              </w:rPr>
              <w:t>255</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1C0972C">
            <w:pPr>
              <w:jc w:val="center"/>
              <w:rPr>
                <w:rFonts w:ascii="宋体" w:hAnsi="宋体" w:cs="宋体"/>
                <w:sz w:val="22"/>
                <w:szCs w:val="22"/>
              </w:rPr>
            </w:pPr>
            <w:r>
              <w:rPr>
                <w:rFonts w:hint="eastAsia"/>
                <w:sz w:val="22"/>
                <w:szCs w:val="22"/>
              </w:rPr>
              <w:t>241</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92A974B">
            <w:pPr>
              <w:jc w:val="center"/>
              <w:rPr>
                <w:rFonts w:ascii="宋体" w:hAnsi="宋体" w:cs="宋体"/>
                <w:sz w:val="22"/>
                <w:szCs w:val="22"/>
              </w:rPr>
            </w:pPr>
            <w:r>
              <w:rPr>
                <w:rFonts w:hint="eastAsia"/>
                <w:sz w:val="22"/>
                <w:szCs w:val="22"/>
              </w:rPr>
              <w:t>231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6B11DAC">
            <w:pPr>
              <w:jc w:val="center"/>
              <w:rPr>
                <w:rFonts w:ascii="宋体" w:hAnsi="宋体" w:cs="宋体"/>
                <w:sz w:val="22"/>
                <w:szCs w:val="22"/>
              </w:rPr>
            </w:pPr>
            <w:r>
              <w:rPr>
                <w:rFonts w:hint="eastAsia"/>
                <w:sz w:val="22"/>
                <w:szCs w:val="22"/>
              </w:rPr>
              <w:t>231</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A688D7E">
            <w:pPr>
              <w:jc w:val="center"/>
              <w:rPr>
                <w:rFonts w:ascii="宋体" w:hAnsi="宋体" w:cs="宋体"/>
                <w:sz w:val="22"/>
                <w:szCs w:val="22"/>
              </w:rPr>
            </w:pPr>
            <w:r>
              <w:rPr>
                <w:rFonts w:hint="eastAsia"/>
                <w:sz w:val="22"/>
                <w:szCs w:val="22"/>
              </w:rPr>
              <w:t>222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62935F8">
            <w:pPr>
              <w:jc w:val="center"/>
              <w:rPr>
                <w:rFonts w:ascii="宋体" w:hAnsi="宋体" w:cs="宋体"/>
                <w:sz w:val="22"/>
                <w:szCs w:val="22"/>
              </w:rPr>
            </w:pPr>
            <w:r>
              <w:rPr>
                <w:rFonts w:hint="eastAsia"/>
                <w:sz w:val="22"/>
                <w:szCs w:val="22"/>
              </w:rPr>
              <w:t>222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E363F81">
            <w:pPr>
              <w:jc w:val="center"/>
              <w:rPr>
                <w:rFonts w:ascii="宋体" w:hAnsi="宋体" w:cs="宋体"/>
                <w:sz w:val="22"/>
                <w:szCs w:val="22"/>
              </w:rPr>
            </w:pPr>
            <w:r>
              <w:rPr>
                <w:rFonts w:hint="eastAsia"/>
                <w:sz w:val="22"/>
                <w:szCs w:val="22"/>
              </w:rPr>
              <w:t>213</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13566D7D">
            <w:pPr>
              <w:jc w:val="center"/>
              <w:rPr>
                <w:rFonts w:ascii="宋体" w:hAnsi="宋体" w:cs="宋体"/>
                <w:sz w:val="22"/>
                <w:szCs w:val="22"/>
              </w:rPr>
            </w:pPr>
            <w:r>
              <w:rPr>
                <w:rFonts w:hint="eastAsia"/>
                <w:sz w:val="22"/>
                <w:szCs w:val="22"/>
              </w:rPr>
              <w:t>199</w:t>
            </w:r>
          </w:p>
        </w:tc>
      </w:tr>
      <w:tr w14:paraId="7105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15598DD0">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7A6A6AD4">
            <w:pPr>
              <w:widowControl w:val="0"/>
              <w:spacing w:line="300" w:lineRule="exact"/>
              <w:jc w:val="center"/>
              <w:rPr>
                <w:rFonts w:eastAsia="楷体_GB2312"/>
                <w:szCs w:val="21"/>
              </w:rPr>
            </w:pPr>
            <w:r>
              <w:rPr>
                <w:rFonts w:eastAsia="楷体_GB2312"/>
                <w:szCs w:val="21"/>
              </w:rPr>
              <w:t>三级地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AAF610C">
            <w:pPr>
              <w:jc w:val="center"/>
              <w:rPr>
                <w:rFonts w:ascii="宋体" w:hAnsi="宋体" w:cs="宋体"/>
                <w:sz w:val="22"/>
                <w:szCs w:val="22"/>
              </w:rPr>
            </w:pPr>
            <w:r>
              <w:rPr>
                <w:rFonts w:hint="eastAsia"/>
                <w:sz w:val="22"/>
                <w:szCs w:val="22"/>
              </w:rPr>
              <w:t>201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BF0C16A">
            <w:pPr>
              <w:jc w:val="center"/>
              <w:rPr>
                <w:rFonts w:ascii="宋体" w:hAnsi="宋体" w:cs="宋体"/>
                <w:sz w:val="22"/>
                <w:szCs w:val="22"/>
              </w:rPr>
            </w:pPr>
            <w:r>
              <w:rPr>
                <w:rFonts w:hint="eastAsia"/>
                <w:sz w:val="22"/>
                <w:szCs w:val="22"/>
              </w:rPr>
              <w:t>188</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82F6078">
            <w:pPr>
              <w:jc w:val="center"/>
              <w:rPr>
                <w:rFonts w:ascii="宋体" w:hAnsi="宋体" w:cs="宋体"/>
                <w:sz w:val="22"/>
                <w:szCs w:val="22"/>
              </w:rPr>
            </w:pPr>
            <w:r>
              <w:rPr>
                <w:rFonts w:hint="eastAsia"/>
                <w:sz w:val="22"/>
                <w:szCs w:val="22"/>
              </w:rPr>
              <w:t>179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96C5368">
            <w:pPr>
              <w:jc w:val="center"/>
              <w:rPr>
                <w:rFonts w:ascii="宋体" w:hAnsi="宋体" w:cs="宋体"/>
                <w:sz w:val="22"/>
                <w:szCs w:val="22"/>
              </w:rPr>
            </w:pPr>
            <w:r>
              <w:rPr>
                <w:rFonts w:hint="eastAsia"/>
                <w:sz w:val="22"/>
                <w:szCs w:val="22"/>
              </w:rPr>
              <w:t>179</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0EEED16">
            <w:pPr>
              <w:jc w:val="center"/>
              <w:rPr>
                <w:rFonts w:ascii="宋体" w:hAnsi="宋体" w:cs="宋体"/>
                <w:sz w:val="22"/>
                <w:szCs w:val="22"/>
              </w:rPr>
            </w:pPr>
            <w:r>
              <w:rPr>
                <w:rFonts w:hint="eastAsia"/>
                <w:sz w:val="22"/>
                <w:szCs w:val="22"/>
              </w:rPr>
              <w:t>172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2D6728F">
            <w:pPr>
              <w:jc w:val="center"/>
              <w:rPr>
                <w:rFonts w:ascii="宋体" w:hAnsi="宋体" w:cs="宋体"/>
                <w:sz w:val="22"/>
                <w:szCs w:val="22"/>
              </w:rPr>
            </w:pPr>
            <w:r>
              <w:rPr>
                <w:rFonts w:hint="eastAsia"/>
                <w:sz w:val="22"/>
                <w:szCs w:val="22"/>
              </w:rPr>
              <w:t>172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8F96B5A">
            <w:pPr>
              <w:jc w:val="center"/>
              <w:rPr>
                <w:rFonts w:ascii="宋体" w:hAnsi="宋体" w:cs="宋体"/>
                <w:sz w:val="22"/>
                <w:szCs w:val="22"/>
              </w:rPr>
            </w:pPr>
            <w:r>
              <w:rPr>
                <w:rFonts w:hint="eastAsia"/>
                <w:sz w:val="22"/>
                <w:szCs w:val="22"/>
              </w:rPr>
              <w:t>167</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724556CF">
            <w:pPr>
              <w:jc w:val="center"/>
              <w:rPr>
                <w:rFonts w:ascii="宋体" w:hAnsi="宋体" w:cs="宋体"/>
                <w:sz w:val="22"/>
                <w:szCs w:val="22"/>
              </w:rPr>
            </w:pPr>
            <w:r>
              <w:rPr>
                <w:rFonts w:hint="eastAsia"/>
                <w:sz w:val="22"/>
                <w:szCs w:val="22"/>
              </w:rPr>
              <w:t>152</w:t>
            </w:r>
          </w:p>
        </w:tc>
      </w:tr>
      <w:tr w14:paraId="483F2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14:paraId="317D4A3D">
            <w:pPr>
              <w:widowControl w:val="0"/>
              <w:spacing w:line="300" w:lineRule="exact"/>
              <w:jc w:val="center"/>
              <w:rPr>
                <w:rFonts w:eastAsia="楷体_GB2312"/>
                <w:szCs w:val="21"/>
              </w:rPr>
            </w:pPr>
            <w:r>
              <w:rPr>
                <w:rFonts w:hint="eastAsia" w:eastAsia="楷体_GB2312"/>
                <w:szCs w:val="21"/>
              </w:rPr>
              <w:t>大泽乡镇</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51675F6F">
            <w:pPr>
              <w:widowControl w:val="0"/>
              <w:spacing w:line="300" w:lineRule="exact"/>
              <w:jc w:val="center"/>
              <w:rPr>
                <w:rFonts w:eastAsia="楷体_GB2312"/>
                <w:szCs w:val="21"/>
              </w:rPr>
            </w:pPr>
            <w:r>
              <w:rPr>
                <w:rFonts w:eastAsia="楷体_GB2312"/>
                <w:szCs w:val="21"/>
              </w:rPr>
              <w:t>一级地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5AE31D89">
            <w:pPr>
              <w:jc w:val="center"/>
              <w:rPr>
                <w:rFonts w:ascii="宋体" w:hAnsi="宋体" w:cs="宋体"/>
                <w:sz w:val="22"/>
                <w:szCs w:val="22"/>
              </w:rPr>
            </w:pPr>
            <w:r>
              <w:rPr>
                <w:rFonts w:hint="eastAsia"/>
                <w:sz w:val="22"/>
                <w:szCs w:val="22"/>
              </w:rPr>
              <w:t>280</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C604DEC">
            <w:pPr>
              <w:jc w:val="center"/>
              <w:rPr>
                <w:rFonts w:ascii="宋体" w:hAnsi="宋体" w:cs="宋体"/>
                <w:sz w:val="22"/>
                <w:szCs w:val="22"/>
              </w:rPr>
            </w:pPr>
            <w:r>
              <w:rPr>
                <w:rFonts w:hint="eastAsia"/>
                <w:sz w:val="22"/>
                <w:szCs w:val="22"/>
              </w:rPr>
              <w:t>272</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FE5A059">
            <w:pPr>
              <w:jc w:val="center"/>
              <w:rPr>
                <w:rFonts w:ascii="宋体" w:hAnsi="宋体" w:cs="宋体"/>
                <w:sz w:val="22"/>
                <w:szCs w:val="22"/>
              </w:rPr>
            </w:pPr>
            <w:r>
              <w:rPr>
                <w:rFonts w:hint="eastAsia"/>
                <w:sz w:val="22"/>
                <w:szCs w:val="22"/>
              </w:rPr>
              <w:t>260</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627FACC">
            <w:pPr>
              <w:jc w:val="center"/>
              <w:rPr>
                <w:rFonts w:ascii="宋体" w:hAnsi="宋体" w:cs="宋体"/>
                <w:sz w:val="22"/>
                <w:szCs w:val="22"/>
              </w:rPr>
            </w:pPr>
            <w:r>
              <w:rPr>
                <w:rFonts w:hint="eastAsia"/>
                <w:sz w:val="22"/>
                <w:szCs w:val="22"/>
              </w:rPr>
              <w:t>260</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944EDC6">
            <w:pPr>
              <w:jc w:val="center"/>
              <w:rPr>
                <w:rFonts w:ascii="宋体" w:hAnsi="宋体" w:cs="宋体"/>
                <w:sz w:val="22"/>
                <w:szCs w:val="22"/>
              </w:rPr>
            </w:pPr>
            <w:r>
              <w:rPr>
                <w:rFonts w:hint="eastAsia"/>
                <w:sz w:val="22"/>
                <w:szCs w:val="22"/>
              </w:rPr>
              <w:t>254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D251605">
            <w:pPr>
              <w:jc w:val="center"/>
              <w:rPr>
                <w:rFonts w:ascii="宋体" w:hAnsi="宋体" w:cs="宋体"/>
                <w:sz w:val="22"/>
                <w:szCs w:val="22"/>
              </w:rPr>
            </w:pPr>
            <w:r>
              <w:rPr>
                <w:rFonts w:hint="eastAsia"/>
                <w:sz w:val="22"/>
                <w:szCs w:val="22"/>
              </w:rPr>
              <w:t>254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71289B2">
            <w:pPr>
              <w:jc w:val="center"/>
              <w:rPr>
                <w:rFonts w:ascii="宋体" w:hAnsi="宋体" w:cs="宋体"/>
                <w:sz w:val="22"/>
                <w:szCs w:val="22"/>
              </w:rPr>
            </w:pPr>
            <w:r>
              <w:rPr>
                <w:rFonts w:hint="eastAsia"/>
                <w:sz w:val="22"/>
                <w:szCs w:val="22"/>
              </w:rPr>
              <w:t>246</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69A17E85">
            <w:pPr>
              <w:jc w:val="center"/>
              <w:rPr>
                <w:rFonts w:ascii="宋体" w:hAnsi="宋体" w:cs="宋体"/>
                <w:sz w:val="22"/>
                <w:szCs w:val="22"/>
              </w:rPr>
            </w:pPr>
            <w:r>
              <w:rPr>
                <w:rFonts w:hint="eastAsia"/>
                <w:sz w:val="22"/>
                <w:szCs w:val="22"/>
              </w:rPr>
              <w:t>240</w:t>
            </w:r>
          </w:p>
        </w:tc>
      </w:tr>
      <w:tr w14:paraId="3D84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1B37FCE3">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22F64A38">
            <w:pPr>
              <w:widowControl w:val="0"/>
              <w:spacing w:line="300" w:lineRule="exact"/>
              <w:jc w:val="center"/>
              <w:rPr>
                <w:rFonts w:eastAsia="楷体_GB2312"/>
                <w:szCs w:val="21"/>
              </w:rPr>
            </w:pPr>
            <w:r>
              <w:rPr>
                <w:rFonts w:eastAsia="楷体_GB2312"/>
                <w:szCs w:val="21"/>
              </w:rPr>
              <w:t>二级地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54B77603">
            <w:pPr>
              <w:jc w:val="center"/>
              <w:rPr>
                <w:rFonts w:ascii="宋体" w:hAnsi="宋体" w:cs="宋体"/>
                <w:sz w:val="22"/>
                <w:szCs w:val="22"/>
              </w:rPr>
            </w:pPr>
            <w:r>
              <w:rPr>
                <w:rFonts w:hint="eastAsia"/>
                <w:sz w:val="22"/>
                <w:szCs w:val="22"/>
              </w:rPr>
              <w:t>250</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CC8F9F2">
            <w:pPr>
              <w:jc w:val="center"/>
              <w:rPr>
                <w:rFonts w:ascii="宋体" w:hAnsi="宋体" w:cs="宋体"/>
                <w:sz w:val="22"/>
                <w:szCs w:val="22"/>
              </w:rPr>
            </w:pPr>
            <w:r>
              <w:rPr>
                <w:rFonts w:hint="eastAsia"/>
                <w:sz w:val="22"/>
                <w:szCs w:val="22"/>
              </w:rPr>
              <w:t>236</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5C019D6">
            <w:pPr>
              <w:jc w:val="center"/>
              <w:rPr>
                <w:rFonts w:ascii="宋体" w:hAnsi="宋体" w:cs="宋体"/>
                <w:sz w:val="22"/>
                <w:szCs w:val="22"/>
              </w:rPr>
            </w:pPr>
            <w:r>
              <w:rPr>
                <w:rFonts w:hint="eastAsia"/>
                <w:sz w:val="22"/>
                <w:szCs w:val="22"/>
              </w:rPr>
              <w:t>228</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8C183FB">
            <w:pPr>
              <w:jc w:val="center"/>
              <w:rPr>
                <w:rFonts w:ascii="宋体" w:hAnsi="宋体" w:cs="宋体"/>
                <w:sz w:val="22"/>
                <w:szCs w:val="22"/>
              </w:rPr>
            </w:pPr>
            <w:r>
              <w:rPr>
                <w:rFonts w:hint="eastAsia"/>
                <w:sz w:val="22"/>
                <w:szCs w:val="22"/>
              </w:rPr>
              <w:t>228</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F785320">
            <w:pPr>
              <w:jc w:val="center"/>
              <w:rPr>
                <w:rFonts w:ascii="宋体" w:hAnsi="宋体" w:cs="宋体"/>
                <w:sz w:val="22"/>
                <w:szCs w:val="22"/>
              </w:rPr>
            </w:pPr>
            <w:r>
              <w:rPr>
                <w:rFonts w:hint="eastAsia"/>
                <w:sz w:val="22"/>
                <w:szCs w:val="22"/>
              </w:rPr>
              <w:t>219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31933D8">
            <w:pPr>
              <w:jc w:val="center"/>
              <w:rPr>
                <w:rFonts w:ascii="宋体" w:hAnsi="宋体" w:cs="宋体"/>
                <w:sz w:val="22"/>
                <w:szCs w:val="22"/>
              </w:rPr>
            </w:pPr>
            <w:r>
              <w:rPr>
                <w:rFonts w:hint="eastAsia"/>
                <w:sz w:val="22"/>
                <w:szCs w:val="22"/>
              </w:rPr>
              <w:t>219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02AD747">
            <w:pPr>
              <w:jc w:val="center"/>
              <w:rPr>
                <w:rFonts w:ascii="宋体" w:hAnsi="宋体" w:cs="宋体"/>
                <w:sz w:val="22"/>
                <w:szCs w:val="22"/>
              </w:rPr>
            </w:pPr>
            <w:r>
              <w:rPr>
                <w:rFonts w:hint="eastAsia"/>
                <w:sz w:val="22"/>
                <w:szCs w:val="22"/>
              </w:rPr>
              <w:t>210</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2A0EC737">
            <w:pPr>
              <w:jc w:val="center"/>
              <w:rPr>
                <w:rFonts w:ascii="宋体" w:hAnsi="宋体" w:cs="宋体"/>
                <w:sz w:val="22"/>
                <w:szCs w:val="22"/>
              </w:rPr>
            </w:pPr>
            <w:r>
              <w:rPr>
                <w:rFonts w:hint="eastAsia"/>
                <w:sz w:val="22"/>
                <w:szCs w:val="22"/>
              </w:rPr>
              <w:t>196</w:t>
            </w:r>
          </w:p>
        </w:tc>
      </w:tr>
      <w:tr w14:paraId="1D121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0D23E586">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3C7D70B3">
            <w:pPr>
              <w:widowControl w:val="0"/>
              <w:spacing w:line="300" w:lineRule="exact"/>
              <w:jc w:val="center"/>
              <w:rPr>
                <w:rFonts w:eastAsia="楷体_GB2312"/>
                <w:szCs w:val="21"/>
              </w:rPr>
            </w:pPr>
            <w:r>
              <w:rPr>
                <w:rFonts w:eastAsia="楷体_GB2312"/>
                <w:szCs w:val="21"/>
              </w:rPr>
              <w:t>三级地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BC43A6B">
            <w:pPr>
              <w:jc w:val="center"/>
              <w:rPr>
                <w:rFonts w:ascii="宋体" w:hAnsi="宋体" w:cs="宋体"/>
                <w:sz w:val="22"/>
                <w:szCs w:val="22"/>
              </w:rPr>
            </w:pPr>
            <w:r>
              <w:rPr>
                <w:rFonts w:hint="eastAsia"/>
                <w:sz w:val="22"/>
                <w:szCs w:val="22"/>
              </w:rPr>
              <w:t>201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60420FE">
            <w:pPr>
              <w:jc w:val="center"/>
              <w:rPr>
                <w:rFonts w:ascii="宋体" w:hAnsi="宋体" w:cs="宋体"/>
                <w:sz w:val="22"/>
                <w:szCs w:val="22"/>
              </w:rPr>
            </w:pPr>
            <w:r>
              <w:rPr>
                <w:rFonts w:hint="eastAsia"/>
                <w:sz w:val="22"/>
                <w:szCs w:val="22"/>
              </w:rPr>
              <w:t>188</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4A485DC">
            <w:pPr>
              <w:jc w:val="center"/>
              <w:rPr>
                <w:rFonts w:ascii="宋体" w:hAnsi="宋体" w:cs="宋体"/>
                <w:sz w:val="22"/>
                <w:szCs w:val="22"/>
              </w:rPr>
            </w:pPr>
            <w:r>
              <w:rPr>
                <w:rFonts w:hint="eastAsia"/>
                <w:sz w:val="22"/>
                <w:szCs w:val="22"/>
              </w:rPr>
              <w:t>179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344A054">
            <w:pPr>
              <w:jc w:val="center"/>
              <w:rPr>
                <w:rFonts w:ascii="宋体" w:hAnsi="宋体" w:cs="宋体"/>
                <w:sz w:val="22"/>
                <w:szCs w:val="22"/>
              </w:rPr>
            </w:pPr>
            <w:r>
              <w:rPr>
                <w:rFonts w:hint="eastAsia"/>
                <w:sz w:val="22"/>
                <w:szCs w:val="22"/>
              </w:rPr>
              <w:t>179</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70CA87BE">
            <w:pPr>
              <w:jc w:val="center"/>
              <w:rPr>
                <w:rFonts w:ascii="宋体" w:hAnsi="宋体" w:cs="宋体"/>
                <w:sz w:val="22"/>
                <w:szCs w:val="22"/>
              </w:rPr>
            </w:pPr>
            <w:r>
              <w:rPr>
                <w:rFonts w:hint="eastAsia"/>
                <w:sz w:val="22"/>
                <w:szCs w:val="22"/>
              </w:rPr>
              <w:t>172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C742899">
            <w:pPr>
              <w:jc w:val="center"/>
              <w:rPr>
                <w:rFonts w:ascii="宋体" w:hAnsi="宋体" w:cs="宋体"/>
                <w:sz w:val="22"/>
                <w:szCs w:val="22"/>
              </w:rPr>
            </w:pPr>
            <w:r>
              <w:rPr>
                <w:rFonts w:hint="eastAsia"/>
                <w:sz w:val="22"/>
                <w:szCs w:val="22"/>
              </w:rPr>
              <w:t>172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4B37624">
            <w:pPr>
              <w:jc w:val="center"/>
              <w:rPr>
                <w:rFonts w:ascii="宋体" w:hAnsi="宋体" w:cs="宋体"/>
                <w:sz w:val="22"/>
                <w:szCs w:val="22"/>
              </w:rPr>
            </w:pPr>
            <w:r>
              <w:rPr>
                <w:rFonts w:hint="eastAsia"/>
                <w:sz w:val="22"/>
                <w:szCs w:val="22"/>
              </w:rPr>
              <w:t>167</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093982EB">
            <w:pPr>
              <w:jc w:val="center"/>
              <w:rPr>
                <w:rFonts w:ascii="宋体" w:hAnsi="宋体" w:cs="宋体"/>
                <w:sz w:val="22"/>
                <w:szCs w:val="22"/>
              </w:rPr>
            </w:pPr>
            <w:r>
              <w:rPr>
                <w:rFonts w:hint="eastAsia"/>
                <w:sz w:val="22"/>
                <w:szCs w:val="22"/>
              </w:rPr>
              <w:t>152</w:t>
            </w:r>
          </w:p>
        </w:tc>
      </w:tr>
      <w:tr w14:paraId="3ABA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14:paraId="3E5369D0">
            <w:pPr>
              <w:widowControl w:val="0"/>
              <w:spacing w:line="300" w:lineRule="exact"/>
              <w:jc w:val="center"/>
              <w:rPr>
                <w:rFonts w:eastAsia="楷体_GB2312"/>
                <w:szCs w:val="21"/>
              </w:rPr>
            </w:pPr>
            <w:r>
              <w:rPr>
                <w:rFonts w:hint="eastAsia" w:eastAsia="楷体_GB2312"/>
                <w:szCs w:val="21"/>
              </w:rPr>
              <w:t>永安镇</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1978AA9A">
            <w:pPr>
              <w:widowControl w:val="0"/>
              <w:spacing w:line="300" w:lineRule="exact"/>
              <w:jc w:val="center"/>
              <w:rPr>
                <w:rFonts w:eastAsia="楷体_GB2312"/>
                <w:szCs w:val="21"/>
              </w:rPr>
            </w:pPr>
            <w:r>
              <w:rPr>
                <w:rFonts w:eastAsia="楷体_GB2312"/>
                <w:szCs w:val="21"/>
              </w:rPr>
              <w:t>一级地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1609346">
            <w:pPr>
              <w:jc w:val="center"/>
              <w:rPr>
                <w:rFonts w:ascii="宋体" w:hAnsi="宋体" w:cs="宋体"/>
                <w:sz w:val="22"/>
                <w:szCs w:val="22"/>
              </w:rPr>
            </w:pPr>
            <w:r>
              <w:rPr>
                <w:rFonts w:hint="eastAsia"/>
                <w:sz w:val="22"/>
                <w:szCs w:val="22"/>
              </w:rPr>
              <w:t>292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B232E3F">
            <w:pPr>
              <w:jc w:val="center"/>
              <w:rPr>
                <w:rFonts w:ascii="宋体" w:hAnsi="宋体" w:cs="宋体"/>
                <w:sz w:val="22"/>
                <w:szCs w:val="22"/>
              </w:rPr>
            </w:pPr>
            <w:r>
              <w:rPr>
                <w:rFonts w:hint="eastAsia"/>
                <w:sz w:val="22"/>
                <w:szCs w:val="22"/>
              </w:rPr>
              <w:t>284</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D537CA1">
            <w:pPr>
              <w:jc w:val="center"/>
              <w:rPr>
                <w:rFonts w:ascii="宋体" w:hAnsi="宋体" w:cs="宋体"/>
                <w:sz w:val="22"/>
                <w:szCs w:val="22"/>
              </w:rPr>
            </w:pPr>
            <w:r>
              <w:rPr>
                <w:rFonts w:hint="eastAsia"/>
                <w:sz w:val="22"/>
                <w:szCs w:val="22"/>
              </w:rPr>
              <w:t>272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7A87339">
            <w:pPr>
              <w:jc w:val="center"/>
              <w:rPr>
                <w:rFonts w:ascii="宋体" w:hAnsi="宋体" w:cs="宋体"/>
                <w:sz w:val="22"/>
                <w:szCs w:val="22"/>
              </w:rPr>
            </w:pPr>
            <w:r>
              <w:rPr>
                <w:rFonts w:hint="eastAsia"/>
                <w:sz w:val="22"/>
                <w:szCs w:val="22"/>
              </w:rPr>
              <w:t>272</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FB4D682">
            <w:pPr>
              <w:jc w:val="center"/>
              <w:rPr>
                <w:rFonts w:ascii="宋体" w:hAnsi="宋体" w:cs="宋体"/>
                <w:sz w:val="22"/>
                <w:szCs w:val="22"/>
              </w:rPr>
            </w:pPr>
            <w:r>
              <w:rPr>
                <w:rFonts w:hint="eastAsia"/>
                <w:sz w:val="22"/>
                <w:szCs w:val="22"/>
              </w:rPr>
              <w:t>264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7924F6A">
            <w:pPr>
              <w:jc w:val="center"/>
              <w:rPr>
                <w:rFonts w:ascii="宋体" w:hAnsi="宋体" w:cs="宋体"/>
                <w:sz w:val="22"/>
                <w:szCs w:val="22"/>
              </w:rPr>
            </w:pPr>
            <w:r>
              <w:rPr>
                <w:rFonts w:hint="eastAsia"/>
                <w:sz w:val="22"/>
                <w:szCs w:val="22"/>
              </w:rPr>
              <w:t>264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21BD441">
            <w:pPr>
              <w:jc w:val="center"/>
              <w:rPr>
                <w:rFonts w:ascii="宋体" w:hAnsi="宋体" w:cs="宋体"/>
                <w:sz w:val="22"/>
                <w:szCs w:val="22"/>
              </w:rPr>
            </w:pPr>
            <w:r>
              <w:rPr>
                <w:rFonts w:hint="eastAsia"/>
                <w:sz w:val="22"/>
                <w:szCs w:val="22"/>
              </w:rPr>
              <w:t>256</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0D01510C">
            <w:pPr>
              <w:jc w:val="center"/>
              <w:rPr>
                <w:rFonts w:ascii="宋体" w:hAnsi="宋体" w:cs="宋体"/>
                <w:sz w:val="22"/>
                <w:szCs w:val="22"/>
              </w:rPr>
            </w:pPr>
            <w:r>
              <w:rPr>
                <w:rFonts w:hint="eastAsia"/>
                <w:sz w:val="22"/>
                <w:szCs w:val="22"/>
              </w:rPr>
              <w:t>248</w:t>
            </w:r>
          </w:p>
        </w:tc>
      </w:tr>
      <w:tr w14:paraId="64EA7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079501BA">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654DFE83">
            <w:pPr>
              <w:widowControl w:val="0"/>
              <w:spacing w:line="300" w:lineRule="exact"/>
              <w:jc w:val="center"/>
              <w:rPr>
                <w:rFonts w:eastAsia="楷体_GB2312"/>
                <w:szCs w:val="21"/>
              </w:rPr>
            </w:pPr>
            <w:r>
              <w:rPr>
                <w:rFonts w:eastAsia="楷体_GB2312"/>
                <w:szCs w:val="21"/>
              </w:rPr>
              <w:t>二级地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ED05664">
            <w:pPr>
              <w:jc w:val="center"/>
              <w:rPr>
                <w:rFonts w:ascii="宋体" w:hAnsi="宋体" w:cs="宋体"/>
                <w:sz w:val="22"/>
                <w:szCs w:val="22"/>
              </w:rPr>
            </w:pPr>
            <w:r>
              <w:rPr>
                <w:rFonts w:hint="eastAsia"/>
                <w:sz w:val="22"/>
                <w:szCs w:val="22"/>
              </w:rPr>
              <w:t>255</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BB70BC1">
            <w:pPr>
              <w:jc w:val="center"/>
              <w:rPr>
                <w:rFonts w:ascii="宋体" w:hAnsi="宋体" w:cs="宋体"/>
                <w:sz w:val="22"/>
                <w:szCs w:val="22"/>
              </w:rPr>
            </w:pPr>
            <w:r>
              <w:rPr>
                <w:rFonts w:hint="eastAsia"/>
                <w:sz w:val="22"/>
                <w:szCs w:val="22"/>
              </w:rPr>
              <w:t>241</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6F97D59">
            <w:pPr>
              <w:jc w:val="center"/>
              <w:rPr>
                <w:rFonts w:ascii="宋体" w:hAnsi="宋体" w:cs="宋体"/>
                <w:sz w:val="22"/>
                <w:szCs w:val="22"/>
              </w:rPr>
            </w:pPr>
            <w:r>
              <w:rPr>
                <w:rFonts w:hint="eastAsia"/>
                <w:sz w:val="22"/>
                <w:szCs w:val="22"/>
              </w:rPr>
              <w:t>231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4E120E7">
            <w:pPr>
              <w:jc w:val="center"/>
              <w:rPr>
                <w:rFonts w:ascii="宋体" w:hAnsi="宋体" w:cs="宋体"/>
                <w:sz w:val="22"/>
                <w:szCs w:val="22"/>
              </w:rPr>
            </w:pPr>
            <w:r>
              <w:rPr>
                <w:rFonts w:hint="eastAsia"/>
                <w:sz w:val="22"/>
                <w:szCs w:val="22"/>
              </w:rPr>
              <w:t>231</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4A47330B">
            <w:pPr>
              <w:jc w:val="center"/>
              <w:rPr>
                <w:rFonts w:ascii="宋体" w:hAnsi="宋体" w:cs="宋体"/>
                <w:sz w:val="22"/>
                <w:szCs w:val="22"/>
              </w:rPr>
            </w:pPr>
            <w:r>
              <w:rPr>
                <w:rFonts w:hint="eastAsia"/>
                <w:sz w:val="22"/>
                <w:szCs w:val="22"/>
              </w:rPr>
              <w:t>222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64A0A2A">
            <w:pPr>
              <w:jc w:val="center"/>
              <w:rPr>
                <w:rFonts w:ascii="宋体" w:hAnsi="宋体" w:cs="宋体"/>
                <w:sz w:val="22"/>
                <w:szCs w:val="22"/>
              </w:rPr>
            </w:pPr>
            <w:r>
              <w:rPr>
                <w:rFonts w:hint="eastAsia"/>
                <w:sz w:val="22"/>
                <w:szCs w:val="22"/>
              </w:rPr>
              <w:t>222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CD69638">
            <w:pPr>
              <w:jc w:val="center"/>
              <w:rPr>
                <w:rFonts w:ascii="宋体" w:hAnsi="宋体" w:cs="宋体"/>
                <w:sz w:val="22"/>
                <w:szCs w:val="22"/>
              </w:rPr>
            </w:pPr>
            <w:r>
              <w:rPr>
                <w:rFonts w:hint="eastAsia"/>
                <w:sz w:val="22"/>
                <w:szCs w:val="22"/>
              </w:rPr>
              <w:t>213</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2797285D">
            <w:pPr>
              <w:jc w:val="center"/>
              <w:rPr>
                <w:rFonts w:ascii="宋体" w:hAnsi="宋体" w:cs="宋体"/>
                <w:sz w:val="22"/>
                <w:szCs w:val="22"/>
              </w:rPr>
            </w:pPr>
            <w:r>
              <w:rPr>
                <w:rFonts w:hint="eastAsia"/>
                <w:sz w:val="22"/>
                <w:szCs w:val="22"/>
              </w:rPr>
              <w:t>199</w:t>
            </w:r>
          </w:p>
        </w:tc>
      </w:tr>
      <w:tr w14:paraId="69CC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5FE17380">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06E78A9D">
            <w:pPr>
              <w:widowControl w:val="0"/>
              <w:spacing w:line="300" w:lineRule="exact"/>
              <w:jc w:val="center"/>
              <w:rPr>
                <w:rFonts w:eastAsia="楷体_GB2312"/>
                <w:szCs w:val="21"/>
              </w:rPr>
            </w:pPr>
            <w:r>
              <w:rPr>
                <w:rFonts w:eastAsia="楷体_GB2312"/>
                <w:szCs w:val="21"/>
              </w:rPr>
              <w:t>三级地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A5573FD">
            <w:pPr>
              <w:jc w:val="center"/>
              <w:rPr>
                <w:rFonts w:ascii="宋体" w:hAnsi="宋体" w:cs="宋体"/>
                <w:sz w:val="22"/>
                <w:szCs w:val="22"/>
              </w:rPr>
            </w:pPr>
            <w:r>
              <w:rPr>
                <w:rFonts w:hint="eastAsia"/>
                <w:sz w:val="22"/>
                <w:szCs w:val="22"/>
              </w:rPr>
              <w:t>201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B77AD26">
            <w:pPr>
              <w:jc w:val="center"/>
              <w:rPr>
                <w:rFonts w:ascii="宋体" w:hAnsi="宋体" w:cs="宋体"/>
                <w:sz w:val="22"/>
                <w:szCs w:val="22"/>
              </w:rPr>
            </w:pPr>
            <w:r>
              <w:rPr>
                <w:rFonts w:hint="eastAsia"/>
                <w:sz w:val="22"/>
                <w:szCs w:val="22"/>
              </w:rPr>
              <w:t>188</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75C9E101">
            <w:pPr>
              <w:jc w:val="center"/>
              <w:rPr>
                <w:rFonts w:ascii="宋体" w:hAnsi="宋体" w:cs="宋体"/>
                <w:sz w:val="22"/>
                <w:szCs w:val="22"/>
              </w:rPr>
            </w:pPr>
            <w:r>
              <w:rPr>
                <w:rFonts w:hint="eastAsia"/>
                <w:sz w:val="22"/>
                <w:szCs w:val="22"/>
              </w:rPr>
              <w:t>179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F79B057">
            <w:pPr>
              <w:jc w:val="center"/>
              <w:rPr>
                <w:rFonts w:ascii="宋体" w:hAnsi="宋体" w:cs="宋体"/>
                <w:sz w:val="22"/>
                <w:szCs w:val="22"/>
              </w:rPr>
            </w:pPr>
            <w:r>
              <w:rPr>
                <w:rFonts w:hint="eastAsia"/>
                <w:sz w:val="22"/>
                <w:szCs w:val="22"/>
              </w:rPr>
              <w:t>179</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E1E2E10">
            <w:pPr>
              <w:jc w:val="center"/>
              <w:rPr>
                <w:rFonts w:ascii="宋体" w:hAnsi="宋体" w:cs="宋体"/>
                <w:sz w:val="22"/>
                <w:szCs w:val="22"/>
              </w:rPr>
            </w:pPr>
            <w:r>
              <w:rPr>
                <w:rFonts w:hint="eastAsia"/>
                <w:sz w:val="22"/>
                <w:szCs w:val="22"/>
              </w:rPr>
              <w:t>172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87FF9E5">
            <w:pPr>
              <w:jc w:val="center"/>
              <w:rPr>
                <w:rFonts w:ascii="宋体" w:hAnsi="宋体" w:cs="宋体"/>
                <w:sz w:val="22"/>
                <w:szCs w:val="22"/>
              </w:rPr>
            </w:pPr>
            <w:r>
              <w:rPr>
                <w:rFonts w:hint="eastAsia"/>
                <w:sz w:val="22"/>
                <w:szCs w:val="22"/>
              </w:rPr>
              <w:t>172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00D8A1E">
            <w:pPr>
              <w:jc w:val="center"/>
              <w:rPr>
                <w:rFonts w:ascii="宋体" w:hAnsi="宋体" w:cs="宋体"/>
                <w:sz w:val="22"/>
                <w:szCs w:val="22"/>
              </w:rPr>
            </w:pPr>
            <w:r>
              <w:rPr>
                <w:rFonts w:hint="eastAsia"/>
                <w:sz w:val="22"/>
                <w:szCs w:val="22"/>
              </w:rPr>
              <w:t>167</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3B6101E0">
            <w:pPr>
              <w:jc w:val="center"/>
              <w:rPr>
                <w:rFonts w:ascii="宋体" w:hAnsi="宋体" w:cs="宋体"/>
                <w:sz w:val="22"/>
                <w:szCs w:val="22"/>
              </w:rPr>
            </w:pPr>
            <w:r>
              <w:rPr>
                <w:rFonts w:hint="eastAsia"/>
                <w:sz w:val="22"/>
                <w:szCs w:val="22"/>
              </w:rPr>
              <w:t>152</w:t>
            </w:r>
          </w:p>
        </w:tc>
      </w:tr>
      <w:tr w14:paraId="36928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14:paraId="2AA44574">
            <w:pPr>
              <w:widowControl w:val="0"/>
              <w:spacing w:line="300" w:lineRule="exact"/>
              <w:jc w:val="center"/>
              <w:rPr>
                <w:rFonts w:eastAsia="楷体_GB2312"/>
                <w:szCs w:val="21"/>
              </w:rPr>
            </w:pPr>
            <w:r>
              <w:rPr>
                <w:rFonts w:hint="eastAsia" w:eastAsia="楷体_GB2312"/>
                <w:szCs w:val="21"/>
              </w:rPr>
              <w:t>支河乡</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1A002B79">
            <w:pPr>
              <w:widowControl w:val="0"/>
              <w:spacing w:line="300" w:lineRule="exact"/>
              <w:jc w:val="center"/>
              <w:rPr>
                <w:rFonts w:eastAsia="楷体_GB2312"/>
                <w:szCs w:val="21"/>
              </w:rPr>
            </w:pPr>
            <w:r>
              <w:rPr>
                <w:rFonts w:eastAsia="楷体_GB2312"/>
                <w:szCs w:val="21"/>
              </w:rPr>
              <w:t>一级地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A49C605">
            <w:pPr>
              <w:jc w:val="center"/>
              <w:rPr>
                <w:rFonts w:ascii="宋体" w:hAnsi="宋体" w:cs="宋体"/>
                <w:sz w:val="22"/>
                <w:szCs w:val="22"/>
              </w:rPr>
            </w:pPr>
            <w:r>
              <w:rPr>
                <w:rFonts w:hint="eastAsia"/>
                <w:sz w:val="22"/>
                <w:szCs w:val="22"/>
              </w:rPr>
              <w:t>273</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C76095A">
            <w:pPr>
              <w:jc w:val="center"/>
              <w:rPr>
                <w:rFonts w:ascii="宋体" w:hAnsi="宋体" w:cs="宋体"/>
                <w:sz w:val="22"/>
                <w:szCs w:val="22"/>
              </w:rPr>
            </w:pPr>
            <w:r>
              <w:rPr>
                <w:rFonts w:hint="eastAsia"/>
                <w:sz w:val="22"/>
                <w:szCs w:val="22"/>
              </w:rPr>
              <w:t>265</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5473C863">
            <w:pPr>
              <w:jc w:val="center"/>
              <w:rPr>
                <w:rFonts w:ascii="宋体" w:hAnsi="宋体" w:cs="宋体"/>
                <w:sz w:val="22"/>
                <w:szCs w:val="22"/>
              </w:rPr>
            </w:pPr>
            <w:r>
              <w:rPr>
                <w:rFonts w:hint="eastAsia"/>
                <w:sz w:val="22"/>
                <w:szCs w:val="22"/>
              </w:rPr>
              <w:t>253</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8B6F7A9">
            <w:pPr>
              <w:jc w:val="center"/>
              <w:rPr>
                <w:rFonts w:ascii="宋体" w:hAnsi="宋体" w:cs="宋体"/>
                <w:sz w:val="22"/>
                <w:szCs w:val="22"/>
              </w:rPr>
            </w:pPr>
            <w:r>
              <w:rPr>
                <w:rFonts w:hint="eastAsia"/>
                <w:sz w:val="22"/>
                <w:szCs w:val="22"/>
              </w:rPr>
              <w:t>253</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EC7C90D">
            <w:pPr>
              <w:jc w:val="center"/>
              <w:rPr>
                <w:rFonts w:ascii="宋体" w:hAnsi="宋体" w:cs="宋体"/>
                <w:sz w:val="22"/>
                <w:szCs w:val="22"/>
              </w:rPr>
            </w:pPr>
            <w:r>
              <w:rPr>
                <w:rFonts w:hint="eastAsia"/>
                <w:sz w:val="22"/>
                <w:szCs w:val="22"/>
              </w:rPr>
              <w:t>247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87C5DA9">
            <w:pPr>
              <w:jc w:val="center"/>
              <w:rPr>
                <w:rFonts w:ascii="宋体" w:hAnsi="宋体" w:cs="宋体"/>
                <w:sz w:val="22"/>
                <w:szCs w:val="22"/>
              </w:rPr>
            </w:pPr>
            <w:r>
              <w:rPr>
                <w:rFonts w:hint="eastAsia"/>
                <w:sz w:val="22"/>
                <w:szCs w:val="22"/>
              </w:rPr>
              <w:t>247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AD75AC9">
            <w:pPr>
              <w:jc w:val="center"/>
              <w:rPr>
                <w:rFonts w:ascii="宋体" w:hAnsi="宋体" w:cs="宋体"/>
                <w:sz w:val="22"/>
                <w:szCs w:val="22"/>
              </w:rPr>
            </w:pPr>
            <w:r>
              <w:rPr>
                <w:rFonts w:hint="eastAsia"/>
                <w:sz w:val="22"/>
                <w:szCs w:val="22"/>
              </w:rPr>
              <w:t>241</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08A65877">
            <w:pPr>
              <w:jc w:val="center"/>
              <w:rPr>
                <w:rFonts w:ascii="宋体" w:hAnsi="宋体" w:cs="宋体"/>
                <w:sz w:val="22"/>
                <w:szCs w:val="22"/>
              </w:rPr>
            </w:pPr>
            <w:r>
              <w:rPr>
                <w:rFonts w:hint="eastAsia"/>
                <w:sz w:val="22"/>
                <w:szCs w:val="22"/>
              </w:rPr>
              <w:t>235</w:t>
            </w:r>
          </w:p>
        </w:tc>
      </w:tr>
      <w:tr w14:paraId="1A66F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465A2F05">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5364CB24">
            <w:pPr>
              <w:widowControl w:val="0"/>
              <w:spacing w:line="300" w:lineRule="exact"/>
              <w:jc w:val="center"/>
              <w:rPr>
                <w:rFonts w:eastAsia="楷体_GB2312"/>
                <w:szCs w:val="21"/>
              </w:rPr>
            </w:pPr>
            <w:r>
              <w:rPr>
                <w:rFonts w:eastAsia="楷体_GB2312"/>
                <w:szCs w:val="21"/>
              </w:rPr>
              <w:t>二级地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050A2C8">
            <w:pPr>
              <w:jc w:val="center"/>
              <w:rPr>
                <w:rFonts w:ascii="宋体" w:hAnsi="宋体" w:cs="宋体"/>
                <w:sz w:val="22"/>
                <w:szCs w:val="22"/>
              </w:rPr>
            </w:pPr>
            <w:r>
              <w:rPr>
                <w:rFonts w:hint="eastAsia"/>
                <w:sz w:val="22"/>
                <w:szCs w:val="22"/>
              </w:rPr>
              <w:t>243</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2FE93EE">
            <w:pPr>
              <w:jc w:val="center"/>
              <w:rPr>
                <w:rFonts w:ascii="宋体" w:hAnsi="宋体" w:cs="宋体"/>
                <w:sz w:val="22"/>
                <w:szCs w:val="22"/>
              </w:rPr>
            </w:pPr>
            <w:r>
              <w:rPr>
                <w:rFonts w:hint="eastAsia"/>
                <w:sz w:val="22"/>
                <w:szCs w:val="22"/>
              </w:rPr>
              <w:t>231</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53FA014A">
            <w:pPr>
              <w:jc w:val="center"/>
              <w:rPr>
                <w:rFonts w:ascii="宋体" w:hAnsi="宋体" w:cs="宋体"/>
                <w:sz w:val="22"/>
                <w:szCs w:val="22"/>
              </w:rPr>
            </w:pPr>
            <w:r>
              <w:rPr>
                <w:rFonts w:hint="eastAsia"/>
                <w:sz w:val="22"/>
                <w:szCs w:val="22"/>
              </w:rPr>
              <w:t>223</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5770A2E">
            <w:pPr>
              <w:jc w:val="center"/>
              <w:rPr>
                <w:rFonts w:ascii="宋体" w:hAnsi="宋体" w:cs="宋体"/>
                <w:sz w:val="22"/>
                <w:szCs w:val="22"/>
              </w:rPr>
            </w:pPr>
            <w:r>
              <w:rPr>
                <w:rFonts w:hint="eastAsia"/>
                <w:sz w:val="22"/>
                <w:szCs w:val="22"/>
              </w:rPr>
              <w:t>223</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757761BD">
            <w:pPr>
              <w:jc w:val="center"/>
              <w:rPr>
                <w:rFonts w:ascii="宋体" w:hAnsi="宋体" w:cs="宋体"/>
                <w:sz w:val="22"/>
                <w:szCs w:val="22"/>
              </w:rPr>
            </w:pPr>
            <w:r>
              <w:rPr>
                <w:rFonts w:hint="eastAsia"/>
                <w:sz w:val="22"/>
                <w:szCs w:val="22"/>
              </w:rPr>
              <w:t>214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456DC0E">
            <w:pPr>
              <w:jc w:val="center"/>
              <w:rPr>
                <w:rFonts w:ascii="宋体" w:hAnsi="宋体" w:cs="宋体"/>
                <w:sz w:val="22"/>
                <w:szCs w:val="22"/>
              </w:rPr>
            </w:pPr>
            <w:r>
              <w:rPr>
                <w:rFonts w:hint="eastAsia"/>
                <w:sz w:val="22"/>
                <w:szCs w:val="22"/>
              </w:rPr>
              <w:t>214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5CE5BF0">
            <w:pPr>
              <w:jc w:val="center"/>
              <w:rPr>
                <w:rFonts w:ascii="宋体" w:hAnsi="宋体" w:cs="宋体"/>
                <w:sz w:val="22"/>
                <w:szCs w:val="22"/>
              </w:rPr>
            </w:pPr>
            <w:r>
              <w:rPr>
                <w:rFonts w:hint="eastAsia"/>
                <w:sz w:val="22"/>
                <w:szCs w:val="22"/>
              </w:rPr>
              <w:t>205</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65064272">
            <w:pPr>
              <w:jc w:val="center"/>
              <w:rPr>
                <w:rFonts w:ascii="宋体" w:hAnsi="宋体" w:cs="宋体"/>
                <w:sz w:val="22"/>
                <w:szCs w:val="22"/>
              </w:rPr>
            </w:pPr>
            <w:r>
              <w:rPr>
                <w:rFonts w:hint="eastAsia"/>
                <w:sz w:val="22"/>
                <w:szCs w:val="22"/>
              </w:rPr>
              <w:t>193</w:t>
            </w:r>
          </w:p>
        </w:tc>
      </w:tr>
      <w:tr w14:paraId="22265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21803F79">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5F660E6A">
            <w:pPr>
              <w:widowControl w:val="0"/>
              <w:spacing w:line="300" w:lineRule="exact"/>
              <w:jc w:val="center"/>
              <w:rPr>
                <w:rFonts w:eastAsia="楷体_GB2312"/>
                <w:szCs w:val="21"/>
              </w:rPr>
            </w:pPr>
            <w:r>
              <w:rPr>
                <w:rFonts w:eastAsia="楷体_GB2312"/>
                <w:szCs w:val="21"/>
              </w:rPr>
              <w:t>三级地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7CD2FB22">
            <w:pPr>
              <w:jc w:val="center"/>
              <w:rPr>
                <w:rFonts w:ascii="宋体" w:hAnsi="宋体" w:cs="宋体"/>
                <w:sz w:val="22"/>
                <w:szCs w:val="22"/>
              </w:rPr>
            </w:pPr>
            <w:r>
              <w:rPr>
                <w:rFonts w:hint="eastAsia"/>
                <w:sz w:val="22"/>
                <w:szCs w:val="22"/>
              </w:rPr>
              <w:t>196</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295E1BD">
            <w:pPr>
              <w:jc w:val="center"/>
              <w:rPr>
                <w:rFonts w:ascii="宋体" w:hAnsi="宋体" w:cs="宋体"/>
                <w:sz w:val="22"/>
                <w:szCs w:val="22"/>
              </w:rPr>
            </w:pPr>
            <w:r>
              <w:rPr>
                <w:rFonts w:hint="eastAsia"/>
                <w:sz w:val="22"/>
                <w:szCs w:val="22"/>
              </w:rPr>
              <w:t>183</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D95E735">
            <w:pPr>
              <w:jc w:val="center"/>
              <w:rPr>
                <w:rFonts w:ascii="宋体" w:hAnsi="宋体" w:cs="宋体"/>
                <w:sz w:val="22"/>
                <w:szCs w:val="22"/>
              </w:rPr>
            </w:pPr>
            <w:r>
              <w:rPr>
                <w:rFonts w:hint="eastAsia"/>
                <w:sz w:val="22"/>
                <w:szCs w:val="22"/>
              </w:rPr>
              <w:t>174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E6A5385">
            <w:pPr>
              <w:jc w:val="center"/>
              <w:rPr>
                <w:rFonts w:ascii="宋体" w:hAnsi="宋体" w:cs="宋体"/>
                <w:sz w:val="22"/>
                <w:szCs w:val="22"/>
              </w:rPr>
            </w:pPr>
            <w:r>
              <w:rPr>
                <w:rFonts w:hint="eastAsia"/>
                <w:sz w:val="22"/>
                <w:szCs w:val="22"/>
              </w:rPr>
              <w:t>174</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07ECF23">
            <w:pPr>
              <w:jc w:val="center"/>
              <w:rPr>
                <w:rFonts w:ascii="宋体" w:hAnsi="宋体" w:cs="宋体"/>
                <w:sz w:val="22"/>
                <w:szCs w:val="22"/>
              </w:rPr>
            </w:pPr>
            <w:r>
              <w:rPr>
                <w:rFonts w:hint="eastAsia"/>
                <w:sz w:val="22"/>
                <w:szCs w:val="22"/>
              </w:rPr>
              <w:t>167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18BF93D">
            <w:pPr>
              <w:jc w:val="center"/>
              <w:rPr>
                <w:rFonts w:ascii="宋体" w:hAnsi="宋体" w:cs="宋体"/>
                <w:sz w:val="22"/>
                <w:szCs w:val="22"/>
              </w:rPr>
            </w:pPr>
            <w:r>
              <w:rPr>
                <w:rFonts w:hint="eastAsia"/>
                <w:sz w:val="22"/>
                <w:szCs w:val="22"/>
              </w:rPr>
              <w:t>167</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55C88A7">
            <w:pPr>
              <w:jc w:val="center"/>
              <w:rPr>
                <w:rFonts w:ascii="宋体" w:hAnsi="宋体" w:cs="宋体"/>
                <w:sz w:val="22"/>
                <w:szCs w:val="22"/>
              </w:rPr>
            </w:pPr>
            <w:r>
              <w:rPr>
                <w:rFonts w:hint="eastAsia"/>
                <w:sz w:val="22"/>
                <w:szCs w:val="22"/>
              </w:rPr>
              <w:t>162</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474072A1">
            <w:pPr>
              <w:jc w:val="center"/>
              <w:rPr>
                <w:rFonts w:ascii="宋体" w:hAnsi="宋体" w:cs="宋体"/>
                <w:sz w:val="22"/>
                <w:szCs w:val="22"/>
              </w:rPr>
            </w:pPr>
            <w:r>
              <w:rPr>
                <w:rFonts w:hint="eastAsia"/>
                <w:sz w:val="22"/>
                <w:szCs w:val="22"/>
              </w:rPr>
              <w:t>149</w:t>
            </w:r>
          </w:p>
        </w:tc>
      </w:tr>
      <w:tr w14:paraId="78605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14:paraId="33AE9B9A">
            <w:pPr>
              <w:widowControl w:val="0"/>
              <w:spacing w:line="300" w:lineRule="exact"/>
              <w:jc w:val="center"/>
              <w:rPr>
                <w:rFonts w:eastAsia="楷体_GB2312"/>
                <w:szCs w:val="21"/>
              </w:rPr>
            </w:pPr>
            <w:r>
              <w:rPr>
                <w:rFonts w:hint="eastAsia" w:eastAsia="楷体_GB2312"/>
                <w:szCs w:val="21"/>
              </w:rPr>
              <w:t>灰古镇</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33005775">
            <w:pPr>
              <w:widowControl w:val="0"/>
              <w:spacing w:line="300" w:lineRule="exact"/>
              <w:jc w:val="center"/>
              <w:rPr>
                <w:rFonts w:eastAsia="楷体_GB2312"/>
                <w:szCs w:val="21"/>
              </w:rPr>
            </w:pPr>
            <w:r>
              <w:rPr>
                <w:rFonts w:eastAsia="楷体_GB2312"/>
                <w:szCs w:val="21"/>
              </w:rPr>
              <w:t>一级地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D9BAFE7">
            <w:pPr>
              <w:jc w:val="center"/>
              <w:rPr>
                <w:rFonts w:ascii="宋体" w:hAnsi="宋体" w:cs="宋体"/>
                <w:sz w:val="22"/>
                <w:szCs w:val="22"/>
              </w:rPr>
            </w:pPr>
            <w:r>
              <w:rPr>
                <w:rFonts w:hint="eastAsia"/>
                <w:sz w:val="22"/>
                <w:szCs w:val="22"/>
              </w:rPr>
              <w:t>280</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2B71697">
            <w:pPr>
              <w:jc w:val="center"/>
              <w:rPr>
                <w:rFonts w:ascii="宋体" w:hAnsi="宋体" w:cs="宋体"/>
                <w:sz w:val="22"/>
                <w:szCs w:val="22"/>
              </w:rPr>
            </w:pPr>
            <w:r>
              <w:rPr>
                <w:rFonts w:hint="eastAsia"/>
                <w:sz w:val="22"/>
                <w:szCs w:val="22"/>
              </w:rPr>
              <w:t>272</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13EF6AF">
            <w:pPr>
              <w:jc w:val="center"/>
              <w:rPr>
                <w:rFonts w:ascii="宋体" w:hAnsi="宋体" w:cs="宋体"/>
                <w:sz w:val="22"/>
                <w:szCs w:val="22"/>
              </w:rPr>
            </w:pPr>
            <w:r>
              <w:rPr>
                <w:rFonts w:hint="eastAsia"/>
                <w:sz w:val="22"/>
                <w:szCs w:val="22"/>
              </w:rPr>
              <w:t>260</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CFC3312">
            <w:pPr>
              <w:jc w:val="center"/>
              <w:rPr>
                <w:rFonts w:ascii="宋体" w:hAnsi="宋体" w:cs="宋体"/>
                <w:sz w:val="22"/>
                <w:szCs w:val="22"/>
              </w:rPr>
            </w:pPr>
            <w:r>
              <w:rPr>
                <w:rFonts w:hint="eastAsia"/>
                <w:sz w:val="22"/>
                <w:szCs w:val="22"/>
              </w:rPr>
              <w:t>260</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533A4DAC">
            <w:pPr>
              <w:jc w:val="center"/>
              <w:rPr>
                <w:rFonts w:ascii="宋体" w:hAnsi="宋体" w:cs="宋体"/>
                <w:sz w:val="22"/>
                <w:szCs w:val="22"/>
              </w:rPr>
            </w:pPr>
            <w:r>
              <w:rPr>
                <w:rFonts w:hint="eastAsia"/>
                <w:sz w:val="22"/>
                <w:szCs w:val="22"/>
              </w:rPr>
              <w:t>254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B993F4B">
            <w:pPr>
              <w:jc w:val="center"/>
              <w:rPr>
                <w:rFonts w:ascii="宋体" w:hAnsi="宋体" w:cs="宋体"/>
                <w:sz w:val="22"/>
                <w:szCs w:val="22"/>
              </w:rPr>
            </w:pPr>
            <w:r>
              <w:rPr>
                <w:rFonts w:hint="eastAsia"/>
                <w:sz w:val="22"/>
                <w:szCs w:val="22"/>
              </w:rPr>
              <w:t>254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0929633">
            <w:pPr>
              <w:jc w:val="center"/>
              <w:rPr>
                <w:rFonts w:ascii="宋体" w:hAnsi="宋体" w:cs="宋体"/>
                <w:sz w:val="22"/>
                <w:szCs w:val="22"/>
              </w:rPr>
            </w:pPr>
            <w:r>
              <w:rPr>
                <w:rFonts w:hint="eastAsia"/>
                <w:sz w:val="22"/>
                <w:szCs w:val="22"/>
              </w:rPr>
              <w:t>246</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28BFDB8F">
            <w:pPr>
              <w:jc w:val="center"/>
              <w:rPr>
                <w:rFonts w:ascii="宋体" w:hAnsi="宋体" w:cs="宋体"/>
                <w:sz w:val="22"/>
                <w:szCs w:val="22"/>
              </w:rPr>
            </w:pPr>
            <w:r>
              <w:rPr>
                <w:rFonts w:hint="eastAsia"/>
                <w:sz w:val="22"/>
                <w:szCs w:val="22"/>
              </w:rPr>
              <w:t>240</w:t>
            </w:r>
          </w:p>
        </w:tc>
      </w:tr>
      <w:tr w14:paraId="30BCB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0082E544">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76B270AA">
            <w:pPr>
              <w:widowControl w:val="0"/>
              <w:spacing w:line="300" w:lineRule="exact"/>
              <w:jc w:val="center"/>
              <w:rPr>
                <w:rFonts w:eastAsia="楷体_GB2312"/>
                <w:szCs w:val="21"/>
              </w:rPr>
            </w:pPr>
            <w:r>
              <w:rPr>
                <w:rFonts w:eastAsia="楷体_GB2312"/>
                <w:szCs w:val="21"/>
              </w:rPr>
              <w:t>二级地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4A3E84FA">
            <w:pPr>
              <w:jc w:val="center"/>
              <w:rPr>
                <w:rFonts w:ascii="宋体" w:hAnsi="宋体" w:cs="宋体"/>
                <w:sz w:val="22"/>
                <w:szCs w:val="22"/>
              </w:rPr>
            </w:pPr>
            <w:r>
              <w:rPr>
                <w:rFonts w:hint="eastAsia"/>
                <w:sz w:val="22"/>
                <w:szCs w:val="22"/>
              </w:rPr>
              <w:t>255</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BAF5C3E">
            <w:pPr>
              <w:jc w:val="center"/>
              <w:rPr>
                <w:rFonts w:ascii="宋体" w:hAnsi="宋体" w:cs="宋体"/>
                <w:sz w:val="22"/>
                <w:szCs w:val="22"/>
              </w:rPr>
            </w:pPr>
            <w:r>
              <w:rPr>
                <w:rFonts w:hint="eastAsia"/>
                <w:sz w:val="22"/>
                <w:szCs w:val="22"/>
              </w:rPr>
              <w:t>241</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78C6EABF">
            <w:pPr>
              <w:jc w:val="center"/>
              <w:rPr>
                <w:rFonts w:ascii="宋体" w:hAnsi="宋体" w:cs="宋体"/>
                <w:sz w:val="22"/>
                <w:szCs w:val="22"/>
              </w:rPr>
            </w:pPr>
            <w:r>
              <w:rPr>
                <w:rFonts w:hint="eastAsia"/>
                <w:sz w:val="22"/>
                <w:szCs w:val="22"/>
              </w:rPr>
              <w:t>231</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12D6F0C">
            <w:pPr>
              <w:jc w:val="center"/>
              <w:rPr>
                <w:rFonts w:ascii="宋体" w:hAnsi="宋体" w:cs="宋体"/>
                <w:sz w:val="22"/>
                <w:szCs w:val="22"/>
              </w:rPr>
            </w:pPr>
            <w:r>
              <w:rPr>
                <w:rFonts w:hint="eastAsia"/>
                <w:sz w:val="22"/>
                <w:szCs w:val="22"/>
              </w:rPr>
              <w:t>231</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7E52F7A3">
            <w:pPr>
              <w:jc w:val="center"/>
              <w:rPr>
                <w:rFonts w:ascii="宋体" w:hAnsi="宋体" w:cs="宋体"/>
                <w:sz w:val="22"/>
                <w:szCs w:val="22"/>
              </w:rPr>
            </w:pPr>
            <w:r>
              <w:rPr>
                <w:rFonts w:hint="eastAsia"/>
                <w:sz w:val="22"/>
                <w:szCs w:val="22"/>
              </w:rPr>
              <w:t>222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23DC31E">
            <w:pPr>
              <w:jc w:val="center"/>
              <w:rPr>
                <w:rFonts w:ascii="宋体" w:hAnsi="宋体" w:cs="宋体"/>
                <w:sz w:val="22"/>
                <w:szCs w:val="22"/>
              </w:rPr>
            </w:pPr>
            <w:r>
              <w:rPr>
                <w:rFonts w:hint="eastAsia"/>
                <w:sz w:val="22"/>
                <w:szCs w:val="22"/>
              </w:rPr>
              <w:t>222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A145079">
            <w:pPr>
              <w:jc w:val="center"/>
              <w:rPr>
                <w:rFonts w:ascii="宋体" w:hAnsi="宋体" w:cs="宋体"/>
                <w:sz w:val="22"/>
                <w:szCs w:val="22"/>
              </w:rPr>
            </w:pPr>
            <w:r>
              <w:rPr>
                <w:rFonts w:hint="eastAsia"/>
                <w:sz w:val="22"/>
                <w:szCs w:val="22"/>
              </w:rPr>
              <w:t>213</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4ACBA4B9">
            <w:pPr>
              <w:jc w:val="center"/>
              <w:rPr>
                <w:rFonts w:ascii="宋体" w:hAnsi="宋体" w:cs="宋体"/>
                <w:sz w:val="22"/>
                <w:szCs w:val="22"/>
              </w:rPr>
            </w:pPr>
            <w:r>
              <w:rPr>
                <w:rFonts w:hint="eastAsia"/>
                <w:sz w:val="22"/>
                <w:szCs w:val="22"/>
              </w:rPr>
              <w:t>199</w:t>
            </w:r>
          </w:p>
        </w:tc>
      </w:tr>
      <w:tr w14:paraId="3553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1A0B9DDC">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66467748">
            <w:pPr>
              <w:widowControl w:val="0"/>
              <w:spacing w:line="300" w:lineRule="exact"/>
              <w:jc w:val="center"/>
              <w:rPr>
                <w:rFonts w:eastAsia="楷体_GB2312"/>
                <w:szCs w:val="21"/>
              </w:rPr>
            </w:pPr>
            <w:r>
              <w:rPr>
                <w:rFonts w:eastAsia="楷体_GB2312"/>
                <w:szCs w:val="21"/>
              </w:rPr>
              <w:t>三级地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7CA420C">
            <w:pPr>
              <w:jc w:val="center"/>
              <w:rPr>
                <w:rFonts w:ascii="宋体" w:hAnsi="宋体" w:cs="宋体"/>
                <w:sz w:val="22"/>
                <w:szCs w:val="22"/>
              </w:rPr>
            </w:pPr>
            <w:r>
              <w:rPr>
                <w:rFonts w:hint="eastAsia"/>
                <w:sz w:val="22"/>
                <w:szCs w:val="22"/>
              </w:rPr>
              <w:t>210</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4206520">
            <w:pPr>
              <w:jc w:val="center"/>
              <w:rPr>
                <w:rFonts w:ascii="宋体" w:hAnsi="宋体" w:cs="宋体"/>
                <w:sz w:val="22"/>
                <w:szCs w:val="22"/>
              </w:rPr>
            </w:pPr>
            <w:r>
              <w:rPr>
                <w:rFonts w:hint="eastAsia"/>
                <w:sz w:val="22"/>
                <w:szCs w:val="22"/>
              </w:rPr>
              <w:t>195</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95E13ED">
            <w:pPr>
              <w:jc w:val="center"/>
              <w:rPr>
                <w:rFonts w:ascii="宋体" w:hAnsi="宋体" w:cs="宋体"/>
                <w:sz w:val="22"/>
                <w:szCs w:val="22"/>
              </w:rPr>
            </w:pPr>
            <w:r>
              <w:rPr>
                <w:rFonts w:hint="eastAsia"/>
                <w:sz w:val="22"/>
                <w:szCs w:val="22"/>
              </w:rPr>
              <w:t>184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280DA33">
            <w:pPr>
              <w:jc w:val="center"/>
              <w:rPr>
                <w:rFonts w:ascii="宋体" w:hAnsi="宋体" w:cs="宋体"/>
                <w:sz w:val="22"/>
                <w:szCs w:val="22"/>
              </w:rPr>
            </w:pPr>
            <w:r>
              <w:rPr>
                <w:rFonts w:hint="eastAsia"/>
                <w:sz w:val="22"/>
                <w:szCs w:val="22"/>
              </w:rPr>
              <w:t>184</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699845EE">
            <w:pPr>
              <w:jc w:val="center"/>
              <w:rPr>
                <w:rFonts w:ascii="宋体" w:hAnsi="宋体" w:cs="宋体"/>
                <w:sz w:val="22"/>
                <w:szCs w:val="22"/>
              </w:rPr>
            </w:pPr>
            <w:r>
              <w:rPr>
                <w:rFonts w:hint="eastAsia"/>
                <w:sz w:val="22"/>
                <w:szCs w:val="22"/>
              </w:rPr>
              <w:t>179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03AF23D">
            <w:pPr>
              <w:jc w:val="center"/>
              <w:rPr>
                <w:rFonts w:ascii="宋体" w:hAnsi="宋体" w:cs="宋体"/>
                <w:sz w:val="22"/>
                <w:szCs w:val="22"/>
              </w:rPr>
            </w:pPr>
            <w:r>
              <w:rPr>
                <w:rFonts w:hint="eastAsia"/>
                <w:sz w:val="22"/>
                <w:szCs w:val="22"/>
              </w:rPr>
              <w:t>179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A81646E">
            <w:pPr>
              <w:jc w:val="center"/>
              <w:rPr>
                <w:rFonts w:ascii="宋体" w:hAnsi="宋体" w:cs="宋体"/>
                <w:sz w:val="22"/>
                <w:szCs w:val="22"/>
              </w:rPr>
            </w:pPr>
            <w:r>
              <w:rPr>
                <w:rFonts w:hint="eastAsia"/>
                <w:sz w:val="22"/>
                <w:szCs w:val="22"/>
              </w:rPr>
              <w:t>172</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2D9BECE9">
            <w:pPr>
              <w:jc w:val="center"/>
              <w:rPr>
                <w:rFonts w:ascii="宋体" w:hAnsi="宋体" w:cs="宋体"/>
                <w:sz w:val="22"/>
                <w:szCs w:val="22"/>
              </w:rPr>
            </w:pPr>
            <w:r>
              <w:rPr>
                <w:rFonts w:hint="eastAsia"/>
                <w:sz w:val="22"/>
                <w:szCs w:val="22"/>
              </w:rPr>
              <w:t>159</w:t>
            </w:r>
          </w:p>
        </w:tc>
      </w:tr>
      <w:tr w14:paraId="4161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restart"/>
            <w:noWrap w:val="0"/>
            <w:vAlign w:val="center"/>
          </w:tcPr>
          <w:p w14:paraId="61467DC0">
            <w:pPr>
              <w:widowControl w:val="0"/>
              <w:spacing w:line="300" w:lineRule="exact"/>
              <w:jc w:val="center"/>
              <w:rPr>
                <w:rFonts w:eastAsia="楷体_GB2312"/>
                <w:szCs w:val="21"/>
              </w:rPr>
            </w:pPr>
            <w:r>
              <w:rPr>
                <w:rFonts w:hint="eastAsia" w:eastAsia="楷体_GB2312"/>
                <w:szCs w:val="21"/>
              </w:rPr>
              <w:t>桃沟乡</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16642613">
            <w:pPr>
              <w:widowControl w:val="0"/>
              <w:spacing w:line="300" w:lineRule="exact"/>
              <w:jc w:val="center"/>
              <w:rPr>
                <w:rFonts w:eastAsia="楷体_GB2312"/>
                <w:szCs w:val="21"/>
              </w:rPr>
            </w:pPr>
            <w:r>
              <w:rPr>
                <w:rFonts w:eastAsia="楷体_GB2312"/>
                <w:szCs w:val="21"/>
              </w:rPr>
              <w:t>一级地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5649ADF5">
            <w:pPr>
              <w:jc w:val="center"/>
              <w:rPr>
                <w:rFonts w:ascii="宋体" w:hAnsi="宋体" w:cs="宋体"/>
                <w:sz w:val="22"/>
                <w:szCs w:val="22"/>
              </w:rPr>
            </w:pPr>
            <w:r>
              <w:rPr>
                <w:rFonts w:hint="eastAsia"/>
                <w:sz w:val="22"/>
                <w:szCs w:val="22"/>
              </w:rPr>
              <w:t>266</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77F988E">
            <w:pPr>
              <w:jc w:val="center"/>
              <w:rPr>
                <w:rFonts w:ascii="宋体" w:hAnsi="宋体" w:cs="宋体"/>
                <w:sz w:val="22"/>
                <w:szCs w:val="22"/>
              </w:rPr>
            </w:pPr>
            <w:r>
              <w:rPr>
                <w:rFonts w:hint="eastAsia"/>
                <w:sz w:val="22"/>
                <w:szCs w:val="22"/>
              </w:rPr>
              <w:t>260</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70D3941">
            <w:pPr>
              <w:jc w:val="center"/>
              <w:rPr>
                <w:rFonts w:ascii="宋体" w:hAnsi="宋体" w:cs="宋体"/>
                <w:sz w:val="22"/>
                <w:szCs w:val="22"/>
              </w:rPr>
            </w:pPr>
            <w:r>
              <w:rPr>
                <w:rFonts w:hint="eastAsia"/>
                <w:sz w:val="22"/>
                <w:szCs w:val="22"/>
              </w:rPr>
              <w:t>248</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101D230">
            <w:pPr>
              <w:jc w:val="center"/>
              <w:rPr>
                <w:rFonts w:ascii="宋体" w:hAnsi="宋体" w:cs="宋体"/>
                <w:sz w:val="22"/>
                <w:szCs w:val="22"/>
              </w:rPr>
            </w:pPr>
            <w:r>
              <w:rPr>
                <w:rFonts w:hint="eastAsia"/>
                <w:sz w:val="22"/>
                <w:szCs w:val="22"/>
              </w:rPr>
              <w:t>248</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7448C4C9">
            <w:pPr>
              <w:jc w:val="center"/>
              <w:rPr>
                <w:rFonts w:ascii="宋体" w:hAnsi="宋体" w:cs="宋体"/>
                <w:sz w:val="22"/>
                <w:szCs w:val="22"/>
              </w:rPr>
            </w:pPr>
            <w:r>
              <w:rPr>
                <w:rFonts w:hint="eastAsia"/>
                <w:sz w:val="22"/>
                <w:szCs w:val="22"/>
              </w:rPr>
              <w:t>242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E5708E1">
            <w:pPr>
              <w:jc w:val="center"/>
              <w:rPr>
                <w:rFonts w:ascii="宋体" w:hAnsi="宋体" w:cs="宋体"/>
                <w:sz w:val="22"/>
                <w:szCs w:val="22"/>
              </w:rPr>
            </w:pPr>
            <w:r>
              <w:rPr>
                <w:rFonts w:hint="eastAsia"/>
                <w:sz w:val="22"/>
                <w:szCs w:val="22"/>
              </w:rPr>
              <w:t>242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590C2F6">
            <w:pPr>
              <w:jc w:val="center"/>
              <w:rPr>
                <w:rFonts w:ascii="宋体" w:hAnsi="宋体" w:cs="宋体"/>
                <w:sz w:val="22"/>
                <w:szCs w:val="22"/>
              </w:rPr>
            </w:pPr>
            <w:r>
              <w:rPr>
                <w:rFonts w:hint="eastAsia"/>
                <w:sz w:val="22"/>
                <w:szCs w:val="22"/>
              </w:rPr>
              <w:t>238</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77B2046E">
            <w:pPr>
              <w:jc w:val="center"/>
              <w:rPr>
                <w:rFonts w:ascii="宋体" w:hAnsi="宋体" w:cs="宋体"/>
                <w:sz w:val="22"/>
                <w:szCs w:val="22"/>
              </w:rPr>
            </w:pPr>
            <w:r>
              <w:rPr>
                <w:rFonts w:hint="eastAsia"/>
                <w:sz w:val="22"/>
                <w:szCs w:val="22"/>
              </w:rPr>
              <w:t>230</w:t>
            </w:r>
          </w:p>
        </w:tc>
      </w:tr>
      <w:tr w14:paraId="27F23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3E0B921E">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1FEA56B7">
            <w:pPr>
              <w:widowControl w:val="0"/>
              <w:spacing w:line="300" w:lineRule="exact"/>
              <w:jc w:val="center"/>
              <w:rPr>
                <w:rFonts w:eastAsia="楷体_GB2312"/>
                <w:szCs w:val="21"/>
              </w:rPr>
            </w:pPr>
            <w:r>
              <w:rPr>
                <w:rFonts w:eastAsia="楷体_GB2312"/>
                <w:szCs w:val="21"/>
              </w:rPr>
              <w:t>二级地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66DBECCC">
            <w:pPr>
              <w:jc w:val="center"/>
              <w:rPr>
                <w:rFonts w:ascii="宋体" w:hAnsi="宋体" w:cs="宋体"/>
                <w:sz w:val="22"/>
                <w:szCs w:val="22"/>
              </w:rPr>
            </w:pPr>
            <w:r>
              <w:rPr>
                <w:rFonts w:hint="eastAsia"/>
                <w:sz w:val="22"/>
                <w:szCs w:val="22"/>
              </w:rPr>
              <w:t>250</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2A2B9B0">
            <w:pPr>
              <w:jc w:val="center"/>
              <w:rPr>
                <w:rFonts w:ascii="宋体" w:hAnsi="宋体" w:cs="宋体"/>
                <w:sz w:val="22"/>
                <w:szCs w:val="22"/>
              </w:rPr>
            </w:pPr>
            <w:r>
              <w:rPr>
                <w:rFonts w:hint="eastAsia"/>
                <w:sz w:val="22"/>
                <w:szCs w:val="22"/>
              </w:rPr>
              <w:t>236</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622EA5CA">
            <w:pPr>
              <w:jc w:val="center"/>
              <w:rPr>
                <w:rFonts w:ascii="宋体" w:hAnsi="宋体" w:cs="宋体"/>
                <w:sz w:val="22"/>
                <w:szCs w:val="22"/>
              </w:rPr>
            </w:pPr>
            <w:r>
              <w:rPr>
                <w:rFonts w:hint="eastAsia"/>
                <w:sz w:val="22"/>
                <w:szCs w:val="22"/>
              </w:rPr>
              <w:t>228</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E221A5F">
            <w:pPr>
              <w:jc w:val="center"/>
              <w:rPr>
                <w:rFonts w:ascii="宋体" w:hAnsi="宋体" w:cs="宋体"/>
                <w:sz w:val="22"/>
                <w:szCs w:val="22"/>
              </w:rPr>
            </w:pPr>
            <w:r>
              <w:rPr>
                <w:rFonts w:hint="eastAsia"/>
                <w:sz w:val="22"/>
                <w:szCs w:val="22"/>
              </w:rPr>
              <w:t>228</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1299D0F">
            <w:pPr>
              <w:jc w:val="center"/>
              <w:rPr>
                <w:rFonts w:ascii="宋体" w:hAnsi="宋体" w:cs="宋体"/>
                <w:sz w:val="22"/>
                <w:szCs w:val="22"/>
              </w:rPr>
            </w:pPr>
            <w:r>
              <w:rPr>
                <w:rFonts w:hint="eastAsia"/>
                <w:sz w:val="22"/>
                <w:szCs w:val="22"/>
              </w:rPr>
              <w:t>219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04D63A0">
            <w:pPr>
              <w:jc w:val="center"/>
              <w:rPr>
                <w:rFonts w:ascii="宋体" w:hAnsi="宋体" w:cs="宋体"/>
                <w:sz w:val="22"/>
                <w:szCs w:val="22"/>
              </w:rPr>
            </w:pPr>
            <w:r>
              <w:rPr>
                <w:rFonts w:hint="eastAsia"/>
                <w:sz w:val="22"/>
                <w:szCs w:val="22"/>
              </w:rPr>
              <w:t>219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4346A023">
            <w:pPr>
              <w:jc w:val="center"/>
              <w:rPr>
                <w:rFonts w:ascii="宋体" w:hAnsi="宋体" w:cs="宋体"/>
                <w:sz w:val="22"/>
                <w:szCs w:val="22"/>
              </w:rPr>
            </w:pPr>
            <w:r>
              <w:rPr>
                <w:rFonts w:hint="eastAsia"/>
                <w:sz w:val="22"/>
                <w:szCs w:val="22"/>
              </w:rPr>
              <w:t>210</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5833709C">
            <w:pPr>
              <w:jc w:val="center"/>
              <w:rPr>
                <w:rFonts w:ascii="宋体" w:hAnsi="宋体" w:cs="宋体"/>
                <w:sz w:val="22"/>
                <w:szCs w:val="22"/>
              </w:rPr>
            </w:pPr>
            <w:r>
              <w:rPr>
                <w:rFonts w:hint="eastAsia"/>
                <w:sz w:val="22"/>
                <w:szCs w:val="22"/>
              </w:rPr>
              <w:t>196</w:t>
            </w:r>
          </w:p>
        </w:tc>
      </w:tr>
      <w:tr w14:paraId="43D0A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vMerge w:val="continue"/>
            <w:noWrap w:val="0"/>
            <w:vAlign w:val="center"/>
          </w:tcPr>
          <w:p w14:paraId="0CD7517C">
            <w:pPr>
              <w:widowControl w:val="0"/>
              <w:spacing w:line="300" w:lineRule="exact"/>
              <w:jc w:val="center"/>
              <w:rPr>
                <w:rFonts w:eastAsia="楷体_GB2312"/>
                <w:szCs w:val="21"/>
              </w:rPr>
            </w:pPr>
          </w:p>
        </w:tc>
        <w:tc>
          <w:tcPr>
            <w:tcW w:w="891" w:type="dxa"/>
            <w:tcBorders>
              <w:top w:val="single" w:color="auto" w:sz="4" w:space="0"/>
              <w:left w:val="single" w:color="auto" w:sz="4" w:space="0"/>
              <w:bottom w:val="single" w:color="auto" w:sz="4" w:space="0"/>
              <w:right w:val="single" w:color="auto" w:sz="4" w:space="0"/>
            </w:tcBorders>
            <w:noWrap w:val="0"/>
            <w:vAlign w:val="center"/>
          </w:tcPr>
          <w:p w14:paraId="1326051B">
            <w:pPr>
              <w:widowControl w:val="0"/>
              <w:spacing w:line="300" w:lineRule="exact"/>
              <w:jc w:val="center"/>
              <w:rPr>
                <w:rFonts w:eastAsia="楷体_GB2312"/>
                <w:szCs w:val="21"/>
              </w:rPr>
            </w:pPr>
            <w:r>
              <w:rPr>
                <w:rFonts w:eastAsia="楷体_GB2312"/>
                <w:szCs w:val="21"/>
              </w:rPr>
              <w:t>三级地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E47A783">
            <w:pPr>
              <w:jc w:val="center"/>
              <w:rPr>
                <w:rFonts w:ascii="宋体" w:hAnsi="宋体" w:cs="宋体"/>
                <w:sz w:val="22"/>
                <w:szCs w:val="22"/>
              </w:rPr>
            </w:pPr>
            <w:r>
              <w:rPr>
                <w:rFonts w:hint="eastAsia"/>
                <w:sz w:val="22"/>
                <w:szCs w:val="22"/>
              </w:rPr>
              <w:t>210</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3510C1D5">
            <w:pPr>
              <w:jc w:val="center"/>
              <w:rPr>
                <w:rFonts w:ascii="宋体" w:hAnsi="宋体" w:cs="宋体"/>
                <w:sz w:val="22"/>
                <w:szCs w:val="22"/>
              </w:rPr>
            </w:pPr>
            <w:r>
              <w:rPr>
                <w:rFonts w:hint="eastAsia"/>
                <w:sz w:val="22"/>
                <w:szCs w:val="22"/>
              </w:rPr>
              <w:t>195</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07C9B8F0">
            <w:pPr>
              <w:jc w:val="center"/>
              <w:rPr>
                <w:rFonts w:ascii="宋体" w:hAnsi="宋体" w:cs="宋体"/>
                <w:sz w:val="22"/>
                <w:szCs w:val="22"/>
              </w:rPr>
            </w:pPr>
            <w:r>
              <w:rPr>
                <w:rFonts w:hint="eastAsia"/>
                <w:sz w:val="22"/>
                <w:szCs w:val="22"/>
              </w:rPr>
              <w:t>184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C99DFC3">
            <w:pPr>
              <w:jc w:val="center"/>
              <w:rPr>
                <w:rFonts w:ascii="宋体" w:hAnsi="宋体" w:cs="宋体"/>
                <w:sz w:val="22"/>
                <w:szCs w:val="22"/>
              </w:rPr>
            </w:pPr>
            <w:r>
              <w:rPr>
                <w:rFonts w:hint="eastAsia"/>
                <w:sz w:val="22"/>
                <w:szCs w:val="22"/>
              </w:rPr>
              <w:t>184</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715156F2">
            <w:pPr>
              <w:jc w:val="center"/>
              <w:rPr>
                <w:rFonts w:ascii="宋体" w:hAnsi="宋体" w:cs="宋体"/>
                <w:sz w:val="22"/>
                <w:szCs w:val="22"/>
              </w:rPr>
            </w:pPr>
            <w:r>
              <w:rPr>
                <w:rFonts w:hint="eastAsia"/>
                <w:sz w:val="22"/>
                <w:szCs w:val="22"/>
              </w:rPr>
              <w:t>179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561FA78">
            <w:pPr>
              <w:jc w:val="center"/>
              <w:rPr>
                <w:rFonts w:ascii="宋体" w:hAnsi="宋体" w:cs="宋体"/>
                <w:sz w:val="22"/>
                <w:szCs w:val="22"/>
              </w:rPr>
            </w:pPr>
            <w:r>
              <w:rPr>
                <w:rFonts w:hint="eastAsia"/>
                <w:sz w:val="22"/>
                <w:szCs w:val="22"/>
              </w:rPr>
              <w:t>179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DD379B0">
            <w:pPr>
              <w:jc w:val="center"/>
              <w:rPr>
                <w:rFonts w:ascii="宋体" w:hAnsi="宋体" w:cs="宋体"/>
                <w:sz w:val="22"/>
                <w:szCs w:val="22"/>
              </w:rPr>
            </w:pPr>
            <w:r>
              <w:rPr>
                <w:rFonts w:hint="eastAsia"/>
                <w:sz w:val="22"/>
                <w:szCs w:val="22"/>
              </w:rPr>
              <w:t>172</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6878D513">
            <w:pPr>
              <w:jc w:val="center"/>
              <w:rPr>
                <w:rFonts w:ascii="宋体" w:hAnsi="宋体" w:cs="宋体"/>
                <w:sz w:val="22"/>
                <w:szCs w:val="22"/>
              </w:rPr>
            </w:pPr>
            <w:r>
              <w:rPr>
                <w:rFonts w:hint="eastAsia"/>
                <w:sz w:val="22"/>
                <w:szCs w:val="22"/>
              </w:rPr>
              <w:t>159</w:t>
            </w:r>
          </w:p>
        </w:tc>
      </w:tr>
      <w:tr w14:paraId="34C21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14:paraId="7E6A7C09">
            <w:pPr>
              <w:widowControl w:val="0"/>
              <w:spacing w:line="300" w:lineRule="exact"/>
              <w:jc w:val="center"/>
              <w:rPr>
                <w:rFonts w:eastAsia="楷体_GB2312"/>
                <w:szCs w:val="21"/>
              </w:rPr>
            </w:pPr>
            <w:r>
              <w:rPr>
                <w:rFonts w:hint="eastAsia" w:eastAsia="楷体_GB2312"/>
                <w:szCs w:val="21"/>
              </w:rPr>
              <w:t>曹村开发区</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269E2146">
            <w:pPr>
              <w:widowControl w:val="0"/>
              <w:spacing w:line="300" w:lineRule="exact"/>
              <w:jc w:val="center"/>
              <w:rPr>
                <w:rFonts w:eastAsia="楷体_GB2312"/>
                <w:szCs w:val="21"/>
              </w:rPr>
            </w:pPr>
            <w:r>
              <w:rPr>
                <w:rFonts w:hint="eastAsia" w:eastAsia="楷体_GB2312"/>
                <w:szCs w:val="21"/>
              </w:rPr>
              <w:t>指导价</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7829DDA8">
            <w:pPr>
              <w:jc w:val="center"/>
              <w:rPr>
                <w:rFonts w:ascii="宋体" w:hAnsi="宋体" w:cs="宋体"/>
                <w:sz w:val="22"/>
                <w:szCs w:val="22"/>
              </w:rPr>
            </w:pPr>
            <w:r>
              <w:rPr>
                <w:rFonts w:hint="eastAsia"/>
                <w:sz w:val="22"/>
                <w:szCs w:val="22"/>
              </w:rPr>
              <w:t>275</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7E39558">
            <w:pPr>
              <w:jc w:val="center"/>
              <w:rPr>
                <w:rFonts w:ascii="宋体" w:hAnsi="宋体" w:cs="宋体"/>
                <w:sz w:val="22"/>
                <w:szCs w:val="22"/>
              </w:rPr>
            </w:pPr>
            <w:r>
              <w:rPr>
                <w:rFonts w:hint="eastAsia"/>
                <w:sz w:val="22"/>
                <w:szCs w:val="22"/>
              </w:rPr>
              <w:t>259</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62660A52">
            <w:pPr>
              <w:jc w:val="center"/>
              <w:rPr>
                <w:rFonts w:ascii="宋体" w:hAnsi="宋体" w:cs="宋体"/>
                <w:sz w:val="22"/>
                <w:szCs w:val="22"/>
              </w:rPr>
            </w:pPr>
            <w:r>
              <w:rPr>
                <w:rFonts w:hint="eastAsia"/>
                <w:sz w:val="22"/>
                <w:szCs w:val="22"/>
              </w:rPr>
              <w:t>249</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4FFA5A7">
            <w:pPr>
              <w:jc w:val="center"/>
              <w:rPr>
                <w:rFonts w:ascii="宋体" w:hAnsi="宋体" w:cs="宋体"/>
                <w:sz w:val="22"/>
                <w:szCs w:val="22"/>
              </w:rPr>
            </w:pPr>
            <w:r>
              <w:rPr>
                <w:rFonts w:hint="eastAsia"/>
                <w:sz w:val="22"/>
                <w:szCs w:val="22"/>
              </w:rPr>
              <w:t>249</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E450825">
            <w:pPr>
              <w:jc w:val="center"/>
              <w:rPr>
                <w:rFonts w:ascii="宋体" w:hAnsi="宋体" w:cs="宋体"/>
                <w:sz w:val="22"/>
                <w:szCs w:val="22"/>
              </w:rPr>
            </w:pPr>
            <w:r>
              <w:rPr>
                <w:rFonts w:hint="eastAsia"/>
                <w:sz w:val="22"/>
                <w:szCs w:val="22"/>
              </w:rPr>
              <w:t>243</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FDD0135">
            <w:pPr>
              <w:jc w:val="center"/>
              <w:rPr>
                <w:rFonts w:ascii="宋体" w:hAnsi="宋体" w:cs="宋体"/>
                <w:sz w:val="22"/>
                <w:szCs w:val="22"/>
              </w:rPr>
            </w:pPr>
            <w:r>
              <w:rPr>
                <w:rFonts w:hint="eastAsia"/>
                <w:sz w:val="22"/>
                <w:szCs w:val="22"/>
              </w:rPr>
              <w:t>243</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1F6F788">
            <w:pPr>
              <w:jc w:val="center"/>
              <w:rPr>
                <w:rFonts w:ascii="宋体" w:hAnsi="宋体" w:cs="宋体"/>
                <w:sz w:val="22"/>
                <w:szCs w:val="22"/>
              </w:rPr>
            </w:pPr>
            <w:r>
              <w:rPr>
                <w:rFonts w:hint="eastAsia"/>
                <w:sz w:val="22"/>
                <w:szCs w:val="22"/>
              </w:rPr>
              <w:t>232</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51D677C9">
            <w:pPr>
              <w:jc w:val="center"/>
              <w:rPr>
                <w:rFonts w:ascii="宋体" w:hAnsi="宋体" w:cs="宋体"/>
                <w:sz w:val="22"/>
                <w:szCs w:val="22"/>
              </w:rPr>
            </w:pPr>
            <w:r>
              <w:rPr>
                <w:rFonts w:hint="eastAsia"/>
                <w:sz w:val="22"/>
                <w:szCs w:val="22"/>
              </w:rPr>
              <w:t>216</w:t>
            </w:r>
          </w:p>
        </w:tc>
      </w:tr>
      <w:tr w14:paraId="6993E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14:paraId="30118CA8">
            <w:pPr>
              <w:widowControl w:val="0"/>
              <w:spacing w:line="300" w:lineRule="exact"/>
              <w:jc w:val="center"/>
              <w:rPr>
                <w:rFonts w:eastAsia="楷体_GB2312"/>
                <w:szCs w:val="21"/>
              </w:rPr>
            </w:pPr>
            <w:r>
              <w:rPr>
                <w:rFonts w:hint="eastAsia" w:eastAsia="楷体_GB2312"/>
                <w:szCs w:val="21"/>
              </w:rPr>
              <w:t>家具产业园</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00DF5E78">
            <w:pPr>
              <w:widowControl w:val="0"/>
              <w:spacing w:line="300" w:lineRule="exact"/>
              <w:jc w:val="center"/>
              <w:rPr>
                <w:rFonts w:eastAsia="楷体_GB2312"/>
                <w:szCs w:val="21"/>
              </w:rPr>
            </w:pPr>
            <w:r>
              <w:rPr>
                <w:rFonts w:hint="eastAsia" w:eastAsia="楷体_GB2312"/>
                <w:szCs w:val="21"/>
              </w:rPr>
              <w:t>指导价</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4A73B71E">
            <w:pPr>
              <w:jc w:val="center"/>
              <w:rPr>
                <w:rFonts w:ascii="宋体" w:hAnsi="宋体" w:cs="宋体"/>
                <w:sz w:val="22"/>
                <w:szCs w:val="22"/>
              </w:rPr>
            </w:pPr>
            <w:r>
              <w:rPr>
                <w:rFonts w:hint="eastAsia"/>
                <w:sz w:val="22"/>
                <w:szCs w:val="22"/>
              </w:rPr>
              <w:t>370</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DE57442">
            <w:pPr>
              <w:jc w:val="center"/>
              <w:rPr>
                <w:rFonts w:ascii="宋体" w:hAnsi="宋体" w:cs="宋体"/>
                <w:sz w:val="22"/>
                <w:szCs w:val="22"/>
              </w:rPr>
            </w:pPr>
            <w:r>
              <w:rPr>
                <w:rFonts w:hint="eastAsia"/>
                <w:sz w:val="22"/>
                <w:szCs w:val="22"/>
              </w:rPr>
              <w:t>354</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61BFA637">
            <w:pPr>
              <w:jc w:val="center"/>
              <w:rPr>
                <w:rFonts w:ascii="宋体" w:hAnsi="宋体" w:cs="宋体"/>
                <w:sz w:val="22"/>
                <w:szCs w:val="22"/>
              </w:rPr>
            </w:pPr>
            <w:r>
              <w:rPr>
                <w:rFonts w:hint="eastAsia"/>
                <w:sz w:val="22"/>
                <w:szCs w:val="22"/>
              </w:rPr>
              <w:t>346</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6F689511">
            <w:pPr>
              <w:jc w:val="center"/>
              <w:rPr>
                <w:rFonts w:ascii="宋体" w:hAnsi="宋体" w:cs="宋体"/>
                <w:sz w:val="22"/>
                <w:szCs w:val="22"/>
              </w:rPr>
            </w:pPr>
            <w:r>
              <w:rPr>
                <w:rFonts w:hint="eastAsia"/>
                <w:sz w:val="22"/>
                <w:szCs w:val="22"/>
              </w:rPr>
              <w:t>346</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741BA0AF">
            <w:pPr>
              <w:jc w:val="center"/>
              <w:rPr>
                <w:rFonts w:ascii="宋体" w:hAnsi="宋体" w:cs="宋体"/>
                <w:sz w:val="22"/>
                <w:szCs w:val="22"/>
              </w:rPr>
            </w:pPr>
            <w:r>
              <w:rPr>
                <w:rFonts w:hint="eastAsia"/>
                <w:sz w:val="22"/>
                <w:szCs w:val="22"/>
              </w:rPr>
              <w:t>334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034F036">
            <w:pPr>
              <w:jc w:val="center"/>
              <w:rPr>
                <w:rFonts w:ascii="宋体" w:hAnsi="宋体" w:cs="宋体"/>
                <w:sz w:val="22"/>
                <w:szCs w:val="22"/>
              </w:rPr>
            </w:pPr>
            <w:r>
              <w:rPr>
                <w:rFonts w:hint="eastAsia"/>
                <w:sz w:val="22"/>
                <w:szCs w:val="22"/>
              </w:rPr>
              <w:t>334</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10EEEF78">
            <w:pPr>
              <w:jc w:val="center"/>
              <w:rPr>
                <w:rFonts w:ascii="宋体" w:hAnsi="宋体" w:cs="宋体"/>
                <w:sz w:val="22"/>
                <w:szCs w:val="22"/>
              </w:rPr>
            </w:pPr>
            <w:r>
              <w:rPr>
                <w:rFonts w:hint="eastAsia"/>
                <w:sz w:val="22"/>
                <w:szCs w:val="22"/>
              </w:rPr>
              <w:t>322</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7348D6CF">
            <w:pPr>
              <w:jc w:val="center"/>
              <w:rPr>
                <w:rFonts w:ascii="宋体" w:hAnsi="宋体" w:cs="宋体"/>
                <w:sz w:val="22"/>
                <w:szCs w:val="22"/>
              </w:rPr>
            </w:pPr>
            <w:r>
              <w:rPr>
                <w:rFonts w:hint="eastAsia"/>
                <w:sz w:val="22"/>
                <w:szCs w:val="22"/>
              </w:rPr>
              <w:t>306</w:t>
            </w:r>
          </w:p>
        </w:tc>
      </w:tr>
      <w:tr w14:paraId="1D0F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9" w:type="dxa"/>
            <w:noWrap w:val="0"/>
            <w:vAlign w:val="center"/>
          </w:tcPr>
          <w:p w14:paraId="0099C64A">
            <w:pPr>
              <w:widowControl w:val="0"/>
              <w:spacing w:line="300" w:lineRule="exact"/>
              <w:jc w:val="center"/>
              <w:rPr>
                <w:rFonts w:eastAsia="楷体_GB2312"/>
                <w:szCs w:val="21"/>
              </w:rPr>
            </w:pPr>
            <w:r>
              <w:rPr>
                <w:rFonts w:hint="eastAsia" w:eastAsia="楷体_GB2312"/>
                <w:szCs w:val="21"/>
              </w:rPr>
              <w:t>农业示范园</w:t>
            </w:r>
          </w:p>
        </w:tc>
        <w:tc>
          <w:tcPr>
            <w:tcW w:w="891" w:type="dxa"/>
            <w:tcBorders>
              <w:top w:val="single" w:color="auto" w:sz="4" w:space="0"/>
              <w:left w:val="single" w:color="auto" w:sz="4" w:space="0"/>
              <w:bottom w:val="single" w:color="auto" w:sz="4" w:space="0"/>
              <w:right w:val="single" w:color="auto" w:sz="4" w:space="0"/>
            </w:tcBorders>
            <w:noWrap w:val="0"/>
            <w:vAlign w:val="center"/>
          </w:tcPr>
          <w:p w14:paraId="3D44580A">
            <w:pPr>
              <w:widowControl w:val="0"/>
              <w:spacing w:line="300" w:lineRule="exact"/>
              <w:jc w:val="center"/>
              <w:rPr>
                <w:rFonts w:eastAsia="楷体_GB2312"/>
                <w:szCs w:val="21"/>
              </w:rPr>
            </w:pPr>
            <w:r>
              <w:rPr>
                <w:rFonts w:hint="eastAsia" w:eastAsia="楷体_GB2312"/>
                <w:szCs w:val="21"/>
              </w:rPr>
              <w:t>指导价</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1FD13814">
            <w:pPr>
              <w:jc w:val="center"/>
              <w:rPr>
                <w:rFonts w:ascii="宋体" w:hAnsi="宋体" w:cs="宋体"/>
                <w:sz w:val="22"/>
                <w:szCs w:val="22"/>
              </w:rPr>
            </w:pPr>
            <w:r>
              <w:rPr>
                <w:rFonts w:hint="eastAsia"/>
                <w:sz w:val="22"/>
                <w:szCs w:val="22"/>
              </w:rPr>
              <w:t>316</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230CEC59">
            <w:pPr>
              <w:jc w:val="center"/>
              <w:rPr>
                <w:rFonts w:ascii="宋体" w:hAnsi="宋体" w:cs="宋体"/>
                <w:sz w:val="22"/>
                <w:szCs w:val="22"/>
              </w:rPr>
            </w:pPr>
            <w:r>
              <w:rPr>
                <w:rFonts w:hint="eastAsia"/>
                <w:sz w:val="22"/>
                <w:szCs w:val="22"/>
              </w:rPr>
              <w:t>306</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49DBF710">
            <w:pPr>
              <w:jc w:val="center"/>
              <w:rPr>
                <w:rFonts w:ascii="宋体" w:hAnsi="宋体" w:cs="宋体"/>
                <w:sz w:val="22"/>
                <w:szCs w:val="22"/>
              </w:rPr>
            </w:pPr>
            <w:r>
              <w:rPr>
                <w:rFonts w:hint="eastAsia"/>
                <w:sz w:val="22"/>
                <w:szCs w:val="22"/>
              </w:rPr>
              <w:t>292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75A49C66">
            <w:pPr>
              <w:jc w:val="center"/>
              <w:rPr>
                <w:rFonts w:ascii="宋体" w:hAnsi="宋体" w:cs="宋体"/>
                <w:sz w:val="22"/>
                <w:szCs w:val="22"/>
              </w:rPr>
            </w:pPr>
            <w:r>
              <w:rPr>
                <w:rFonts w:hint="eastAsia"/>
                <w:sz w:val="22"/>
                <w:szCs w:val="22"/>
              </w:rPr>
              <w:t>292</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639B136">
            <w:pPr>
              <w:jc w:val="center"/>
              <w:rPr>
                <w:rFonts w:ascii="宋体" w:hAnsi="宋体" w:cs="宋体"/>
                <w:sz w:val="22"/>
                <w:szCs w:val="22"/>
              </w:rPr>
            </w:pPr>
            <w:r>
              <w:rPr>
                <w:rFonts w:hint="eastAsia"/>
                <w:sz w:val="22"/>
                <w:szCs w:val="22"/>
              </w:rPr>
              <w:t>282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5BC700CE">
            <w:pPr>
              <w:jc w:val="center"/>
              <w:rPr>
                <w:rFonts w:ascii="宋体" w:hAnsi="宋体" w:cs="宋体"/>
                <w:sz w:val="22"/>
                <w:szCs w:val="22"/>
              </w:rPr>
            </w:pPr>
            <w:r>
              <w:rPr>
                <w:rFonts w:hint="eastAsia"/>
                <w:sz w:val="22"/>
                <w:szCs w:val="22"/>
              </w:rPr>
              <w:t>282</w:t>
            </w:r>
          </w:p>
        </w:tc>
        <w:tc>
          <w:tcPr>
            <w:tcW w:w="937" w:type="dxa"/>
            <w:tcBorders>
              <w:top w:val="single" w:color="auto" w:sz="4" w:space="0"/>
              <w:left w:val="single" w:color="auto" w:sz="4" w:space="0"/>
              <w:bottom w:val="single" w:color="auto" w:sz="4" w:space="0"/>
              <w:right w:val="single" w:color="auto" w:sz="4" w:space="0"/>
            </w:tcBorders>
            <w:noWrap w:val="0"/>
            <w:vAlign w:val="center"/>
          </w:tcPr>
          <w:p w14:paraId="0EFAB46D">
            <w:pPr>
              <w:jc w:val="center"/>
              <w:rPr>
                <w:rFonts w:ascii="宋体" w:hAnsi="宋体" w:cs="宋体"/>
                <w:sz w:val="22"/>
                <w:szCs w:val="22"/>
              </w:rPr>
            </w:pPr>
            <w:r>
              <w:rPr>
                <w:rFonts w:hint="eastAsia"/>
                <w:sz w:val="22"/>
                <w:szCs w:val="22"/>
              </w:rPr>
              <w:t>274</w:t>
            </w:r>
          </w:p>
        </w:tc>
        <w:tc>
          <w:tcPr>
            <w:tcW w:w="916" w:type="dxa"/>
            <w:tcBorders>
              <w:top w:val="single" w:color="auto" w:sz="4" w:space="0"/>
              <w:left w:val="single" w:color="auto" w:sz="4" w:space="0"/>
              <w:bottom w:val="single" w:color="auto" w:sz="4" w:space="0"/>
              <w:right w:val="single" w:color="auto" w:sz="4" w:space="0"/>
            </w:tcBorders>
            <w:noWrap w:val="0"/>
            <w:vAlign w:val="center"/>
          </w:tcPr>
          <w:p w14:paraId="096A176A">
            <w:pPr>
              <w:jc w:val="center"/>
              <w:rPr>
                <w:rFonts w:ascii="宋体" w:hAnsi="宋体" w:cs="宋体"/>
                <w:sz w:val="22"/>
                <w:szCs w:val="22"/>
              </w:rPr>
            </w:pPr>
            <w:r>
              <w:rPr>
                <w:rFonts w:hint="eastAsia"/>
                <w:sz w:val="22"/>
                <w:szCs w:val="22"/>
              </w:rPr>
              <w:t>264</w:t>
            </w:r>
          </w:p>
        </w:tc>
      </w:tr>
    </w:tbl>
    <w:p w14:paraId="40C999D9">
      <w:pPr>
        <w:pStyle w:val="20"/>
        <w:spacing w:line="480" w:lineRule="exact"/>
        <w:ind w:firstLine="560" w:firstLineChars="200"/>
        <w:rPr>
          <w:rFonts w:ascii="Times New Roman" w:hAnsi="Times New Roman" w:eastAsia="楷体_GB2312" w:cs="Times New Roman"/>
          <w:sz w:val="28"/>
        </w:rPr>
      </w:pPr>
    </w:p>
    <w:p w14:paraId="43BA346E">
      <w:pPr>
        <w:pStyle w:val="3"/>
        <w:spacing w:line="240" w:lineRule="auto"/>
        <w:jc w:val="center"/>
        <w:rPr>
          <w:rFonts w:ascii="Times New Roman" w:hAnsi="Times New Roman" w:eastAsia="宋体"/>
          <w:sz w:val="36"/>
        </w:rPr>
      </w:pPr>
      <w:r>
        <w:rPr>
          <w:rFonts w:ascii="Times New Roman" w:hAnsi="Times New Roman" w:eastAsia="宋体"/>
          <w:sz w:val="36"/>
        </w:rPr>
        <w:br w:type="page"/>
      </w:r>
      <w:bookmarkStart w:id="92" w:name="_Toc62563698"/>
      <w:r>
        <w:rPr>
          <w:rFonts w:ascii="Times New Roman" w:hAnsi="Times New Roman" w:eastAsia="宋体"/>
          <w:sz w:val="36"/>
        </w:rPr>
        <w:t>第七章  基准地价的确定</w:t>
      </w:r>
      <w:bookmarkEnd w:id="92"/>
    </w:p>
    <w:p w14:paraId="3F3319C7">
      <w:pPr>
        <w:pStyle w:val="4"/>
        <w:numPr>
          <w:ilvl w:val="0"/>
          <w:numId w:val="0"/>
        </w:numPr>
        <w:spacing w:line="240" w:lineRule="auto"/>
        <w:jc w:val="center"/>
        <w:rPr>
          <w:rFonts w:eastAsia="仿宋_GB2312"/>
          <w:bCs w:val="0"/>
        </w:rPr>
      </w:pPr>
      <w:bookmarkStart w:id="93" w:name="_Toc62563699"/>
      <w:r>
        <w:rPr>
          <w:rFonts w:eastAsia="仿宋_GB2312"/>
          <w:bCs w:val="0"/>
        </w:rPr>
        <w:t>第一节  基准地价确定的原则和方法</w:t>
      </w:r>
      <w:bookmarkEnd w:id="93"/>
    </w:p>
    <w:p w14:paraId="1C6CF124">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一、基准地价确定的原则</w:t>
      </w:r>
    </w:p>
    <w:p w14:paraId="7D7475EE">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基准地价确定的原则为：</w:t>
      </w:r>
    </w:p>
    <w:p w14:paraId="26CF583C">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1、以实际数据测算的结果为准，以比较、修正的结果为辅。</w:t>
      </w:r>
    </w:p>
    <w:p w14:paraId="45CA563F">
      <w:pPr>
        <w:pStyle w:val="20"/>
        <w:spacing w:line="480" w:lineRule="exact"/>
        <w:ind w:firstLine="552" w:firstLineChars="200"/>
        <w:rPr>
          <w:rFonts w:ascii="Times New Roman" w:hAnsi="Times New Roman" w:eastAsia="楷体_GB2312" w:cs="Times New Roman"/>
          <w:spacing w:val="-2"/>
          <w:sz w:val="28"/>
        </w:rPr>
      </w:pPr>
      <w:r>
        <w:rPr>
          <w:rFonts w:ascii="Times New Roman" w:hAnsi="Times New Roman" w:eastAsia="楷体_GB2312" w:cs="Times New Roman"/>
          <w:spacing w:val="-2"/>
          <w:sz w:val="28"/>
        </w:rPr>
        <w:t>对有实际数据测算结果的级别，则以实际测算的结果为准，确定级别基准地价；对无实际数据测算结果的级别，采用比较、修正的结果为依据确定级别基准地价。</w:t>
      </w:r>
    </w:p>
    <w:p w14:paraId="29CE978E">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2、土地市场发达的以市场交易资料测算结果为准，级差收益测算结果验证；土地市场不发达的以级差收益测算结果为准，市场交易资料测算结果验证。</w:t>
      </w:r>
    </w:p>
    <w:p w14:paraId="7039890C">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3、以评估结果为基础，并充分体现政府的地价管理政策</w:t>
      </w:r>
    </w:p>
    <w:p w14:paraId="0B61D9E1">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在评估结果的基础上，充分考虑</w:t>
      </w:r>
      <w:r>
        <w:rPr>
          <w:rFonts w:hint="eastAsia" w:ascii="楷体" w:hAnsi="楷体" w:eastAsia="楷体" w:cs="宋体"/>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各乡镇今后一段时间内的地价管理政策，综合确定基准地价。</w:t>
      </w:r>
    </w:p>
    <w:p w14:paraId="40C9FA49">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二、基准地价确定的方法</w:t>
      </w:r>
    </w:p>
    <w:p w14:paraId="41E5D6EA">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按照基准地价的确定原则和不同方法的估价结果，采用以下方法确定基准地价。</w:t>
      </w:r>
    </w:p>
    <w:p w14:paraId="54B4F4A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对一个级别只用一种方法评估级别平均地价的，以该种方法确定级别的平均地价为依据，再适当考虑土地利用和管理政策的基础上，对局部区域进行适当调整后，确定出该级别的基准地价。对一个级别以两种以上方法评估出级别基准地价的，以级别为单位，利用不同方法的评估结果，根据不同级别内评估的平均价同当地土地市场状况地价水平的一致性，确定用某一方法评估的平均价或多种方法评估结果的均值，作为确定该级别的商服、住宅用地基准地价的主要依据，在此基础上，根据政府优化、调节土地利用的需要，确定该级别的基准地价。</w:t>
      </w:r>
    </w:p>
    <w:p w14:paraId="36E4A02A">
      <w:pPr>
        <w:pStyle w:val="20"/>
        <w:spacing w:line="480" w:lineRule="exact"/>
        <w:ind w:firstLine="536" w:firstLineChars="200"/>
        <w:rPr>
          <w:rFonts w:ascii="Times New Roman" w:hAnsi="Times New Roman" w:eastAsia="仿宋_GB2312" w:cs="Times New Roman"/>
          <w:spacing w:val="-6"/>
          <w:sz w:val="28"/>
        </w:rPr>
      </w:pPr>
    </w:p>
    <w:p w14:paraId="4E80F942">
      <w:pPr>
        <w:pStyle w:val="4"/>
        <w:numPr>
          <w:ilvl w:val="0"/>
          <w:numId w:val="0"/>
        </w:numPr>
        <w:spacing w:line="240" w:lineRule="auto"/>
        <w:jc w:val="center"/>
        <w:rPr>
          <w:rFonts w:eastAsia="仿宋_GB2312"/>
          <w:bCs w:val="0"/>
        </w:rPr>
      </w:pPr>
      <w:bookmarkStart w:id="94" w:name="_Toc62563700"/>
      <w:r>
        <w:rPr>
          <w:rFonts w:eastAsia="仿宋_GB2312"/>
          <w:bCs w:val="0"/>
        </w:rPr>
        <w:t>第二节  各乡镇区级别基准地价的确定</w:t>
      </w:r>
      <w:bookmarkEnd w:id="94"/>
    </w:p>
    <w:p w14:paraId="14BDD72C">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一、商服用地级别基准地价的确定</w:t>
      </w:r>
    </w:p>
    <w:p w14:paraId="6199E12B">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利用土地市场交易资料（主要为房地出租资料）测算的样点地价，采用算术平均法、样点地价和土地级别指数数学模型法、样点地价和土地定级单元总分值数学模型法分别评估出各乡镇区商服用地各土地级别的平均地价，汇总三类方法的测算结果，具体见表2-7-1。</w:t>
      </w:r>
    </w:p>
    <w:p w14:paraId="40560FB6">
      <w:pPr>
        <w:pStyle w:val="20"/>
        <w:spacing w:before="120" w:beforeLines="50" w:line="480" w:lineRule="exact"/>
        <w:jc w:val="center"/>
        <w:rPr>
          <w:rFonts w:ascii="Times New Roman" w:hAnsi="Times New Roman" w:eastAsia="黑体" w:cs="Times New Roman"/>
          <w:sz w:val="28"/>
        </w:rPr>
      </w:pPr>
      <w:r>
        <w:rPr>
          <w:rFonts w:ascii="Times New Roman" w:hAnsi="Times New Roman" w:eastAsia="黑体" w:cs="Times New Roman"/>
          <w:sz w:val="28"/>
        </w:rPr>
        <w:t>表2-7-1 埇桥区各乡镇</w:t>
      </w:r>
      <w:r>
        <w:rPr>
          <w:rFonts w:hint="eastAsia" w:ascii="Times New Roman" w:hAnsi="Times New Roman" w:eastAsia="黑体" w:cs="Times New Roman"/>
          <w:sz w:val="28"/>
        </w:rPr>
        <w:t>及园区</w:t>
      </w:r>
      <w:r>
        <w:rPr>
          <w:rFonts w:ascii="Times New Roman" w:hAnsi="Times New Roman" w:eastAsia="黑体" w:cs="Times New Roman"/>
          <w:sz w:val="28"/>
        </w:rPr>
        <w:t>商服用地级别价测算结果汇总表</w:t>
      </w:r>
    </w:p>
    <w:p w14:paraId="5A77E579">
      <w:pPr>
        <w:pStyle w:val="20"/>
        <w:tabs>
          <w:tab w:val="left" w:pos="4320"/>
          <w:tab w:val="left" w:pos="5040"/>
        </w:tabs>
        <w:spacing w:line="240" w:lineRule="exact"/>
        <w:ind w:right="315"/>
        <w:jc w:val="right"/>
        <w:rPr>
          <w:rFonts w:ascii="Times New Roman" w:hAnsi="Times New Roman" w:eastAsia="仿宋_GB2312" w:cs="Times New Roman"/>
          <w:sz w:val="28"/>
        </w:rPr>
      </w:pPr>
      <w:r>
        <w:rPr>
          <w:rFonts w:ascii="Times New Roman" w:hAnsi="Times New Roman" w:eastAsia="仿宋_GB2312" w:cs="Times New Roman"/>
        </w:rPr>
        <w:t>单位：个，元/m</w:t>
      </w:r>
      <w:r>
        <w:rPr>
          <w:rFonts w:ascii="Times New Roman" w:hAnsi="Times New Roman" w:eastAsia="仿宋_GB2312" w:cs="Times New Roman"/>
          <w:vertAlign w:val="superscript"/>
        </w:rPr>
        <w:t>2</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3"/>
        <w:gridCol w:w="1034"/>
        <w:gridCol w:w="1034"/>
        <w:gridCol w:w="1289"/>
        <w:gridCol w:w="1034"/>
        <w:gridCol w:w="1325"/>
        <w:gridCol w:w="1034"/>
        <w:gridCol w:w="1289"/>
      </w:tblGrid>
      <w:tr w14:paraId="46A0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restart"/>
            <w:noWrap w:val="0"/>
            <w:vAlign w:val="center"/>
          </w:tcPr>
          <w:p w14:paraId="5B5023CD">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乡镇名称</w:t>
            </w:r>
          </w:p>
        </w:tc>
        <w:tc>
          <w:tcPr>
            <w:tcW w:w="0" w:type="dxa"/>
            <w:vMerge w:val="restart"/>
            <w:noWrap w:val="0"/>
            <w:vAlign w:val="center"/>
          </w:tcPr>
          <w:p w14:paraId="79B40744">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级别</w:t>
            </w:r>
          </w:p>
        </w:tc>
        <w:tc>
          <w:tcPr>
            <w:tcW w:w="0" w:type="dxa"/>
            <w:gridSpan w:val="2"/>
            <w:noWrap w:val="0"/>
            <w:vAlign w:val="center"/>
          </w:tcPr>
          <w:p w14:paraId="4BE55C96">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算术平均法</w:t>
            </w:r>
          </w:p>
          <w:p w14:paraId="26139119">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（房地出租）</w:t>
            </w:r>
          </w:p>
        </w:tc>
        <w:tc>
          <w:tcPr>
            <w:tcW w:w="0" w:type="dxa"/>
            <w:gridSpan w:val="2"/>
            <w:noWrap w:val="0"/>
            <w:vAlign w:val="center"/>
          </w:tcPr>
          <w:p w14:paraId="0F281B79">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样点地价和土地级别指数数学模型法</w:t>
            </w:r>
          </w:p>
        </w:tc>
        <w:tc>
          <w:tcPr>
            <w:tcW w:w="0" w:type="dxa"/>
            <w:gridSpan w:val="2"/>
            <w:noWrap w:val="0"/>
            <w:vAlign w:val="center"/>
          </w:tcPr>
          <w:p w14:paraId="30B25D6C">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样点地价和土地定级单元总分值数学模型法</w:t>
            </w:r>
          </w:p>
        </w:tc>
      </w:tr>
      <w:tr w14:paraId="7DA6E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52085A4B">
            <w:pPr>
              <w:rPr>
                <w:rFonts w:ascii="楷体_GB2312" w:hAnsi="宋体" w:eastAsia="楷体_GB2312" w:cs="宋体"/>
                <w:color w:val="000000"/>
                <w:kern w:val="0"/>
                <w:szCs w:val="21"/>
              </w:rPr>
            </w:pPr>
          </w:p>
        </w:tc>
        <w:tc>
          <w:tcPr>
            <w:tcW w:w="0" w:type="dxa"/>
            <w:vMerge w:val="continue"/>
            <w:noWrap w:val="0"/>
            <w:vAlign w:val="center"/>
          </w:tcPr>
          <w:p w14:paraId="0A906A09">
            <w:pPr>
              <w:rPr>
                <w:rFonts w:ascii="楷体_GB2312" w:hAnsi="宋体" w:eastAsia="楷体_GB2312" w:cs="宋体"/>
                <w:color w:val="000000"/>
                <w:kern w:val="0"/>
                <w:szCs w:val="21"/>
              </w:rPr>
            </w:pPr>
          </w:p>
        </w:tc>
        <w:tc>
          <w:tcPr>
            <w:tcW w:w="0" w:type="dxa"/>
            <w:noWrap w:val="0"/>
            <w:vAlign w:val="center"/>
          </w:tcPr>
          <w:p w14:paraId="780F05ED">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参算样点数</w:t>
            </w:r>
          </w:p>
        </w:tc>
        <w:tc>
          <w:tcPr>
            <w:tcW w:w="0" w:type="dxa"/>
            <w:noWrap w:val="0"/>
            <w:vAlign w:val="center"/>
          </w:tcPr>
          <w:p w14:paraId="47341342">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平均地价</w:t>
            </w:r>
          </w:p>
        </w:tc>
        <w:tc>
          <w:tcPr>
            <w:tcW w:w="0" w:type="dxa"/>
            <w:noWrap w:val="0"/>
            <w:vAlign w:val="center"/>
          </w:tcPr>
          <w:p w14:paraId="6ECF4CE0">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参算样点数</w:t>
            </w:r>
          </w:p>
        </w:tc>
        <w:tc>
          <w:tcPr>
            <w:tcW w:w="0" w:type="dxa"/>
            <w:noWrap w:val="0"/>
            <w:vAlign w:val="center"/>
          </w:tcPr>
          <w:p w14:paraId="38E2E178">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平均地价</w:t>
            </w:r>
          </w:p>
        </w:tc>
        <w:tc>
          <w:tcPr>
            <w:tcW w:w="0" w:type="dxa"/>
            <w:noWrap w:val="0"/>
            <w:vAlign w:val="center"/>
          </w:tcPr>
          <w:p w14:paraId="04960F09">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参算样点数</w:t>
            </w:r>
          </w:p>
        </w:tc>
        <w:tc>
          <w:tcPr>
            <w:tcW w:w="0" w:type="dxa"/>
            <w:noWrap w:val="0"/>
            <w:vAlign w:val="center"/>
          </w:tcPr>
          <w:p w14:paraId="43FDE87D">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平均地价</w:t>
            </w:r>
          </w:p>
        </w:tc>
      </w:tr>
      <w:tr w14:paraId="02887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restart"/>
            <w:noWrap w:val="0"/>
            <w:vAlign w:val="center"/>
          </w:tcPr>
          <w:p w14:paraId="68F336CD">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符离镇</w:t>
            </w:r>
          </w:p>
        </w:tc>
        <w:tc>
          <w:tcPr>
            <w:tcW w:w="0" w:type="dxa"/>
            <w:noWrap w:val="0"/>
            <w:vAlign w:val="center"/>
          </w:tcPr>
          <w:p w14:paraId="543AD1E8">
            <w:pPr>
              <w:jc w:val="center"/>
              <w:rPr>
                <w:color w:val="000000"/>
                <w:kern w:val="0"/>
                <w:szCs w:val="21"/>
              </w:rPr>
            </w:pPr>
            <w:r>
              <w:rPr>
                <w:color w:val="000000"/>
                <w:kern w:val="0"/>
                <w:szCs w:val="21"/>
              </w:rPr>
              <w:t>1</w:t>
            </w:r>
          </w:p>
        </w:tc>
        <w:tc>
          <w:tcPr>
            <w:tcW w:w="0" w:type="dxa"/>
            <w:noWrap w:val="0"/>
            <w:vAlign w:val="center"/>
          </w:tcPr>
          <w:p w14:paraId="5778F93B">
            <w:pPr>
              <w:jc w:val="center"/>
              <w:rPr>
                <w:color w:val="000000"/>
                <w:kern w:val="0"/>
                <w:szCs w:val="21"/>
              </w:rPr>
            </w:pPr>
            <w:r>
              <w:rPr>
                <w:color w:val="000000"/>
                <w:kern w:val="0"/>
                <w:szCs w:val="21"/>
              </w:rPr>
              <w:t>12</w:t>
            </w:r>
          </w:p>
        </w:tc>
        <w:tc>
          <w:tcPr>
            <w:tcW w:w="0" w:type="dxa"/>
            <w:noWrap w:val="0"/>
            <w:vAlign w:val="center"/>
          </w:tcPr>
          <w:p w14:paraId="1ECA3301">
            <w:pPr>
              <w:jc w:val="center"/>
              <w:rPr>
                <w:color w:val="000000"/>
                <w:kern w:val="0"/>
                <w:szCs w:val="21"/>
              </w:rPr>
            </w:pPr>
            <w:r>
              <w:rPr>
                <w:color w:val="000000"/>
                <w:kern w:val="0"/>
                <w:szCs w:val="21"/>
              </w:rPr>
              <w:t>632</w:t>
            </w:r>
          </w:p>
        </w:tc>
        <w:tc>
          <w:tcPr>
            <w:tcW w:w="0" w:type="dxa"/>
            <w:noWrap w:val="0"/>
            <w:vAlign w:val="center"/>
          </w:tcPr>
          <w:p w14:paraId="464ED9CA">
            <w:pPr>
              <w:jc w:val="center"/>
              <w:rPr>
                <w:color w:val="000000"/>
                <w:kern w:val="0"/>
                <w:szCs w:val="21"/>
              </w:rPr>
            </w:pPr>
            <w:r>
              <w:rPr>
                <w:color w:val="000000"/>
                <w:kern w:val="0"/>
                <w:szCs w:val="21"/>
              </w:rPr>
              <w:t>12</w:t>
            </w:r>
          </w:p>
        </w:tc>
        <w:tc>
          <w:tcPr>
            <w:tcW w:w="0" w:type="dxa"/>
            <w:noWrap w:val="0"/>
            <w:vAlign w:val="center"/>
          </w:tcPr>
          <w:p w14:paraId="7903D1C9">
            <w:pPr>
              <w:jc w:val="center"/>
              <w:rPr>
                <w:color w:val="000000"/>
                <w:kern w:val="0"/>
                <w:sz w:val="22"/>
                <w:szCs w:val="22"/>
              </w:rPr>
            </w:pPr>
            <w:r>
              <w:rPr>
                <w:color w:val="000000"/>
                <w:kern w:val="0"/>
                <w:sz w:val="22"/>
                <w:szCs w:val="22"/>
              </w:rPr>
              <w:t>608</w:t>
            </w:r>
          </w:p>
        </w:tc>
        <w:tc>
          <w:tcPr>
            <w:tcW w:w="0" w:type="dxa"/>
            <w:noWrap w:val="0"/>
            <w:vAlign w:val="center"/>
          </w:tcPr>
          <w:p w14:paraId="081382C0">
            <w:pPr>
              <w:jc w:val="center"/>
              <w:rPr>
                <w:color w:val="000000"/>
                <w:kern w:val="0"/>
                <w:szCs w:val="21"/>
              </w:rPr>
            </w:pPr>
            <w:r>
              <w:rPr>
                <w:color w:val="000000"/>
                <w:kern w:val="0"/>
                <w:szCs w:val="21"/>
              </w:rPr>
              <w:t>12</w:t>
            </w:r>
          </w:p>
        </w:tc>
        <w:tc>
          <w:tcPr>
            <w:tcW w:w="0" w:type="dxa"/>
            <w:noWrap w:val="0"/>
            <w:vAlign w:val="center"/>
          </w:tcPr>
          <w:p w14:paraId="7E533F30">
            <w:pPr>
              <w:jc w:val="center"/>
              <w:rPr>
                <w:color w:val="000000"/>
                <w:kern w:val="0"/>
                <w:szCs w:val="21"/>
              </w:rPr>
            </w:pPr>
            <w:r>
              <w:rPr>
                <w:color w:val="000000"/>
                <w:kern w:val="0"/>
                <w:szCs w:val="21"/>
              </w:rPr>
              <w:t>620</w:t>
            </w:r>
          </w:p>
        </w:tc>
      </w:tr>
      <w:tr w14:paraId="05E3F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36C25D8E">
            <w:pPr>
              <w:rPr>
                <w:rFonts w:ascii="楷体_GB2312" w:hAnsi="宋体" w:eastAsia="楷体_GB2312" w:cs="宋体"/>
                <w:color w:val="000000"/>
                <w:kern w:val="0"/>
                <w:szCs w:val="21"/>
              </w:rPr>
            </w:pPr>
          </w:p>
        </w:tc>
        <w:tc>
          <w:tcPr>
            <w:tcW w:w="0" w:type="dxa"/>
            <w:noWrap w:val="0"/>
            <w:vAlign w:val="center"/>
          </w:tcPr>
          <w:p w14:paraId="76BA09BD">
            <w:pPr>
              <w:jc w:val="center"/>
              <w:rPr>
                <w:color w:val="000000"/>
                <w:kern w:val="0"/>
                <w:szCs w:val="21"/>
              </w:rPr>
            </w:pPr>
            <w:r>
              <w:rPr>
                <w:color w:val="000000"/>
                <w:kern w:val="0"/>
                <w:szCs w:val="21"/>
              </w:rPr>
              <w:t>2</w:t>
            </w:r>
          </w:p>
        </w:tc>
        <w:tc>
          <w:tcPr>
            <w:tcW w:w="0" w:type="dxa"/>
            <w:noWrap w:val="0"/>
            <w:vAlign w:val="center"/>
          </w:tcPr>
          <w:p w14:paraId="79F68131">
            <w:pPr>
              <w:jc w:val="center"/>
              <w:rPr>
                <w:color w:val="000000"/>
                <w:kern w:val="0"/>
                <w:szCs w:val="21"/>
              </w:rPr>
            </w:pPr>
            <w:r>
              <w:rPr>
                <w:color w:val="000000"/>
                <w:kern w:val="0"/>
                <w:szCs w:val="21"/>
              </w:rPr>
              <w:t>10</w:t>
            </w:r>
          </w:p>
        </w:tc>
        <w:tc>
          <w:tcPr>
            <w:tcW w:w="0" w:type="dxa"/>
            <w:noWrap w:val="0"/>
            <w:vAlign w:val="center"/>
          </w:tcPr>
          <w:p w14:paraId="63678FFA">
            <w:pPr>
              <w:jc w:val="center"/>
              <w:rPr>
                <w:color w:val="000000"/>
                <w:kern w:val="0"/>
                <w:szCs w:val="21"/>
              </w:rPr>
            </w:pPr>
            <w:r>
              <w:rPr>
                <w:color w:val="000000"/>
                <w:kern w:val="0"/>
                <w:szCs w:val="21"/>
              </w:rPr>
              <w:t>505</w:t>
            </w:r>
          </w:p>
        </w:tc>
        <w:tc>
          <w:tcPr>
            <w:tcW w:w="0" w:type="dxa"/>
            <w:noWrap w:val="0"/>
            <w:vAlign w:val="center"/>
          </w:tcPr>
          <w:p w14:paraId="191FB614">
            <w:pPr>
              <w:jc w:val="center"/>
              <w:rPr>
                <w:color w:val="000000"/>
                <w:kern w:val="0"/>
                <w:szCs w:val="21"/>
              </w:rPr>
            </w:pPr>
            <w:r>
              <w:rPr>
                <w:color w:val="000000"/>
                <w:kern w:val="0"/>
                <w:szCs w:val="21"/>
              </w:rPr>
              <w:t>10</w:t>
            </w:r>
          </w:p>
        </w:tc>
        <w:tc>
          <w:tcPr>
            <w:tcW w:w="0" w:type="dxa"/>
            <w:noWrap w:val="0"/>
            <w:vAlign w:val="center"/>
          </w:tcPr>
          <w:p w14:paraId="5E9AFC9D">
            <w:pPr>
              <w:jc w:val="center"/>
              <w:rPr>
                <w:color w:val="000000"/>
                <w:kern w:val="0"/>
                <w:sz w:val="22"/>
                <w:szCs w:val="22"/>
              </w:rPr>
            </w:pPr>
            <w:r>
              <w:rPr>
                <w:color w:val="000000"/>
                <w:kern w:val="0"/>
                <w:sz w:val="22"/>
                <w:szCs w:val="22"/>
              </w:rPr>
              <w:t>520</w:t>
            </w:r>
          </w:p>
        </w:tc>
        <w:tc>
          <w:tcPr>
            <w:tcW w:w="0" w:type="dxa"/>
            <w:noWrap w:val="0"/>
            <w:vAlign w:val="center"/>
          </w:tcPr>
          <w:p w14:paraId="362FA89C">
            <w:pPr>
              <w:jc w:val="center"/>
              <w:rPr>
                <w:color w:val="000000"/>
                <w:kern w:val="0"/>
                <w:szCs w:val="21"/>
              </w:rPr>
            </w:pPr>
            <w:r>
              <w:rPr>
                <w:color w:val="000000"/>
                <w:kern w:val="0"/>
                <w:szCs w:val="21"/>
              </w:rPr>
              <w:t>10</w:t>
            </w:r>
          </w:p>
        </w:tc>
        <w:tc>
          <w:tcPr>
            <w:tcW w:w="0" w:type="dxa"/>
            <w:noWrap w:val="0"/>
            <w:vAlign w:val="center"/>
          </w:tcPr>
          <w:p w14:paraId="5A1EF73B">
            <w:pPr>
              <w:jc w:val="center"/>
              <w:rPr>
                <w:color w:val="000000"/>
                <w:kern w:val="0"/>
                <w:szCs w:val="21"/>
              </w:rPr>
            </w:pPr>
            <w:r>
              <w:rPr>
                <w:color w:val="000000"/>
                <w:kern w:val="0"/>
                <w:szCs w:val="21"/>
              </w:rPr>
              <w:t>505</w:t>
            </w:r>
          </w:p>
        </w:tc>
      </w:tr>
      <w:tr w14:paraId="1F1E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4AC5E1D5">
            <w:pPr>
              <w:rPr>
                <w:rFonts w:ascii="楷体_GB2312" w:hAnsi="宋体" w:eastAsia="楷体_GB2312" w:cs="宋体"/>
                <w:color w:val="000000"/>
                <w:kern w:val="0"/>
                <w:szCs w:val="21"/>
              </w:rPr>
            </w:pPr>
          </w:p>
        </w:tc>
        <w:tc>
          <w:tcPr>
            <w:tcW w:w="0" w:type="dxa"/>
            <w:noWrap w:val="0"/>
            <w:vAlign w:val="center"/>
          </w:tcPr>
          <w:p w14:paraId="72A99A4F">
            <w:pPr>
              <w:jc w:val="center"/>
              <w:rPr>
                <w:color w:val="000000"/>
                <w:kern w:val="0"/>
                <w:szCs w:val="21"/>
              </w:rPr>
            </w:pPr>
            <w:r>
              <w:rPr>
                <w:color w:val="000000"/>
                <w:kern w:val="0"/>
                <w:szCs w:val="21"/>
              </w:rPr>
              <w:t>3</w:t>
            </w:r>
          </w:p>
        </w:tc>
        <w:tc>
          <w:tcPr>
            <w:tcW w:w="0" w:type="dxa"/>
            <w:noWrap w:val="0"/>
            <w:vAlign w:val="center"/>
          </w:tcPr>
          <w:p w14:paraId="352986D7">
            <w:pPr>
              <w:jc w:val="center"/>
              <w:rPr>
                <w:color w:val="000000"/>
                <w:kern w:val="0"/>
                <w:szCs w:val="21"/>
              </w:rPr>
            </w:pPr>
            <w:r>
              <w:rPr>
                <w:color w:val="000000"/>
                <w:kern w:val="0"/>
                <w:szCs w:val="21"/>
              </w:rPr>
              <w:t>8</w:t>
            </w:r>
          </w:p>
        </w:tc>
        <w:tc>
          <w:tcPr>
            <w:tcW w:w="0" w:type="dxa"/>
            <w:noWrap w:val="0"/>
            <w:vAlign w:val="center"/>
          </w:tcPr>
          <w:p w14:paraId="3A773515">
            <w:pPr>
              <w:jc w:val="center"/>
              <w:rPr>
                <w:color w:val="000000"/>
                <w:kern w:val="0"/>
                <w:szCs w:val="21"/>
              </w:rPr>
            </w:pPr>
            <w:r>
              <w:rPr>
                <w:color w:val="000000"/>
                <w:kern w:val="0"/>
                <w:szCs w:val="21"/>
              </w:rPr>
              <w:t>442</w:t>
            </w:r>
          </w:p>
        </w:tc>
        <w:tc>
          <w:tcPr>
            <w:tcW w:w="0" w:type="dxa"/>
            <w:noWrap w:val="0"/>
            <w:vAlign w:val="center"/>
          </w:tcPr>
          <w:p w14:paraId="40F37608">
            <w:pPr>
              <w:jc w:val="center"/>
              <w:rPr>
                <w:color w:val="000000"/>
                <w:kern w:val="0"/>
                <w:szCs w:val="21"/>
              </w:rPr>
            </w:pPr>
            <w:r>
              <w:rPr>
                <w:color w:val="000000"/>
                <w:kern w:val="0"/>
                <w:szCs w:val="21"/>
              </w:rPr>
              <w:t>8</w:t>
            </w:r>
          </w:p>
        </w:tc>
        <w:tc>
          <w:tcPr>
            <w:tcW w:w="0" w:type="dxa"/>
            <w:noWrap w:val="0"/>
            <w:vAlign w:val="center"/>
          </w:tcPr>
          <w:p w14:paraId="51639892">
            <w:pPr>
              <w:jc w:val="center"/>
              <w:rPr>
                <w:color w:val="000000"/>
                <w:kern w:val="0"/>
                <w:sz w:val="22"/>
                <w:szCs w:val="22"/>
              </w:rPr>
            </w:pPr>
            <w:r>
              <w:rPr>
                <w:color w:val="000000"/>
                <w:kern w:val="0"/>
                <w:sz w:val="22"/>
                <w:szCs w:val="22"/>
              </w:rPr>
              <w:t>412</w:t>
            </w:r>
          </w:p>
        </w:tc>
        <w:tc>
          <w:tcPr>
            <w:tcW w:w="0" w:type="dxa"/>
            <w:noWrap w:val="0"/>
            <w:vAlign w:val="center"/>
          </w:tcPr>
          <w:p w14:paraId="2BDB16BD">
            <w:pPr>
              <w:jc w:val="center"/>
              <w:rPr>
                <w:color w:val="000000"/>
                <w:kern w:val="0"/>
                <w:szCs w:val="21"/>
              </w:rPr>
            </w:pPr>
            <w:r>
              <w:rPr>
                <w:color w:val="000000"/>
                <w:kern w:val="0"/>
                <w:szCs w:val="21"/>
              </w:rPr>
              <w:t>8</w:t>
            </w:r>
          </w:p>
        </w:tc>
        <w:tc>
          <w:tcPr>
            <w:tcW w:w="0" w:type="dxa"/>
            <w:noWrap w:val="0"/>
            <w:vAlign w:val="center"/>
          </w:tcPr>
          <w:p w14:paraId="1B9345B5">
            <w:pPr>
              <w:jc w:val="center"/>
              <w:rPr>
                <w:color w:val="000000"/>
                <w:kern w:val="0"/>
                <w:szCs w:val="21"/>
              </w:rPr>
            </w:pPr>
            <w:r>
              <w:rPr>
                <w:color w:val="000000"/>
                <w:kern w:val="0"/>
                <w:szCs w:val="21"/>
              </w:rPr>
              <w:t>421</w:t>
            </w:r>
          </w:p>
        </w:tc>
      </w:tr>
      <w:tr w14:paraId="282C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restart"/>
            <w:noWrap w:val="0"/>
            <w:vAlign w:val="center"/>
          </w:tcPr>
          <w:p w14:paraId="43941E8E">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朱仙庄镇</w:t>
            </w:r>
          </w:p>
        </w:tc>
        <w:tc>
          <w:tcPr>
            <w:tcW w:w="0" w:type="dxa"/>
            <w:noWrap w:val="0"/>
            <w:vAlign w:val="center"/>
          </w:tcPr>
          <w:p w14:paraId="1C3E5EE8">
            <w:pPr>
              <w:jc w:val="center"/>
              <w:rPr>
                <w:color w:val="000000"/>
                <w:kern w:val="0"/>
                <w:szCs w:val="21"/>
              </w:rPr>
            </w:pPr>
            <w:r>
              <w:rPr>
                <w:color w:val="000000"/>
                <w:kern w:val="0"/>
                <w:szCs w:val="21"/>
              </w:rPr>
              <w:t>1</w:t>
            </w:r>
          </w:p>
        </w:tc>
        <w:tc>
          <w:tcPr>
            <w:tcW w:w="0" w:type="dxa"/>
            <w:noWrap w:val="0"/>
            <w:vAlign w:val="center"/>
          </w:tcPr>
          <w:p w14:paraId="5509997C">
            <w:pPr>
              <w:jc w:val="center"/>
              <w:rPr>
                <w:color w:val="000000"/>
                <w:kern w:val="0"/>
                <w:szCs w:val="21"/>
              </w:rPr>
            </w:pPr>
            <w:r>
              <w:rPr>
                <w:color w:val="000000"/>
                <w:kern w:val="0"/>
                <w:szCs w:val="21"/>
              </w:rPr>
              <w:t>15</w:t>
            </w:r>
          </w:p>
        </w:tc>
        <w:tc>
          <w:tcPr>
            <w:tcW w:w="0" w:type="dxa"/>
            <w:noWrap w:val="0"/>
            <w:vAlign w:val="center"/>
          </w:tcPr>
          <w:p w14:paraId="4E561FA5">
            <w:pPr>
              <w:jc w:val="center"/>
              <w:rPr>
                <w:color w:val="000000"/>
                <w:kern w:val="0"/>
                <w:szCs w:val="21"/>
              </w:rPr>
            </w:pPr>
            <w:r>
              <w:rPr>
                <w:color w:val="000000"/>
                <w:kern w:val="0"/>
                <w:szCs w:val="21"/>
              </w:rPr>
              <w:t>571</w:t>
            </w:r>
          </w:p>
        </w:tc>
        <w:tc>
          <w:tcPr>
            <w:tcW w:w="0" w:type="dxa"/>
            <w:noWrap w:val="0"/>
            <w:vAlign w:val="center"/>
          </w:tcPr>
          <w:p w14:paraId="10B37D73">
            <w:pPr>
              <w:jc w:val="center"/>
              <w:rPr>
                <w:color w:val="000000"/>
                <w:kern w:val="0"/>
                <w:szCs w:val="21"/>
              </w:rPr>
            </w:pPr>
            <w:r>
              <w:rPr>
                <w:color w:val="000000"/>
                <w:kern w:val="0"/>
                <w:szCs w:val="21"/>
              </w:rPr>
              <w:t>15</w:t>
            </w:r>
          </w:p>
        </w:tc>
        <w:tc>
          <w:tcPr>
            <w:tcW w:w="0" w:type="dxa"/>
            <w:noWrap w:val="0"/>
            <w:vAlign w:val="center"/>
          </w:tcPr>
          <w:p w14:paraId="302DDE01">
            <w:pPr>
              <w:jc w:val="center"/>
              <w:rPr>
                <w:color w:val="000000"/>
                <w:kern w:val="0"/>
                <w:sz w:val="22"/>
                <w:szCs w:val="22"/>
              </w:rPr>
            </w:pPr>
            <w:r>
              <w:rPr>
                <w:color w:val="000000"/>
                <w:kern w:val="0"/>
                <w:sz w:val="22"/>
                <w:szCs w:val="22"/>
              </w:rPr>
              <w:t>595</w:t>
            </w:r>
          </w:p>
        </w:tc>
        <w:tc>
          <w:tcPr>
            <w:tcW w:w="0" w:type="dxa"/>
            <w:noWrap w:val="0"/>
            <w:vAlign w:val="center"/>
          </w:tcPr>
          <w:p w14:paraId="4AC69A09">
            <w:pPr>
              <w:jc w:val="center"/>
              <w:rPr>
                <w:color w:val="000000"/>
                <w:kern w:val="0"/>
                <w:szCs w:val="21"/>
              </w:rPr>
            </w:pPr>
            <w:r>
              <w:rPr>
                <w:color w:val="000000"/>
                <w:kern w:val="0"/>
                <w:szCs w:val="21"/>
              </w:rPr>
              <w:t>15</w:t>
            </w:r>
          </w:p>
        </w:tc>
        <w:tc>
          <w:tcPr>
            <w:tcW w:w="0" w:type="dxa"/>
            <w:noWrap w:val="0"/>
            <w:vAlign w:val="center"/>
          </w:tcPr>
          <w:p w14:paraId="7E8ABDB9">
            <w:pPr>
              <w:jc w:val="center"/>
              <w:rPr>
                <w:color w:val="000000"/>
                <w:kern w:val="0"/>
                <w:szCs w:val="21"/>
              </w:rPr>
            </w:pPr>
            <w:r>
              <w:rPr>
                <w:color w:val="000000"/>
                <w:kern w:val="0"/>
                <w:szCs w:val="21"/>
              </w:rPr>
              <w:t>619</w:t>
            </w:r>
          </w:p>
        </w:tc>
      </w:tr>
      <w:tr w14:paraId="373A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33E84F31">
            <w:pPr>
              <w:rPr>
                <w:rFonts w:ascii="楷体_GB2312" w:hAnsi="宋体" w:eastAsia="楷体_GB2312" w:cs="宋体"/>
                <w:color w:val="000000"/>
                <w:kern w:val="0"/>
                <w:szCs w:val="21"/>
              </w:rPr>
            </w:pPr>
          </w:p>
        </w:tc>
        <w:tc>
          <w:tcPr>
            <w:tcW w:w="0" w:type="dxa"/>
            <w:noWrap w:val="0"/>
            <w:vAlign w:val="center"/>
          </w:tcPr>
          <w:p w14:paraId="02978ADA">
            <w:pPr>
              <w:jc w:val="center"/>
              <w:rPr>
                <w:color w:val="000000"/>
                <w:kern w:val="0"/>
                <w:szCs w:val="21"/>
              </w:rPr>
            </w:pPr>
            <w:r>
              <w:rPr>
                <w:color w:val="000000"/>
                <w:kern w:val="0"/>
                <w:szCs w:val="21"/>
              </w:rPr>
              <w:t>2</w:t>
            </w:r>
          </w:p>
        </w:tc>
        <w:tc>
          <w:tcPr>
            <w:tcW w:w="0" w:type="dxa"/>
            <w:noWrap w:val="0"/>
            <w:vAlign w:val="center"/>
          </w:tcPr>
          <w:p w14:paraId="4D5A33D0">
            <w:pPr>
              <w:jc w:val="center"/>
              <w:rPr>
                <w:color w:val="000000"/>
                <w:kern w:val="0"/>
                <w:szCs w:val="21"/>
              </w:rPr>
            </w:pPr>
            <w:r>
              <w:rPr>
                <w:color w:val="000000"/>
                <w:kern w:val="0"/>
                <w:szCs w:val="21"/>
              </w:rPr>
              <w:t>9</w:t>
            </w:r>
          </w:p>
        </w:tc>
        <w:tc>
          <w:tcPr>
            <w:tcW w:w="0" w:type="dxa"/>
            <w:noWrap w:val="0"/>
            <w:vAlign w:val="center"/>
          </w:tcPr>
          <w:p w14:paraId="7565B94C">
            <w:pPr>
              <w:jc w:val="center"/>
              <w:rPr>
                <w:color w:val="000000"/>
                <w:kern w:val="0"/>
                <w:szCs w:val="21"/>
              </w:rPr>
            </w:pPr>
            <w:r>
              <w:rPr>
                <w:color w:val="000000"/>
                <w:kern w:val="0"/>
                <w:szCs w:val="21"/>
              </w:rPr>
              <w:t>474</w:t>
            </w:r>
          </w:p>
        </w:tc>
        <w:tc>
          <w:tcPr>
            <w:tcW w:w="0" w:type="dxa"/>
            <w:noWrap w:val="0"/>
            <w:vAlign w:val="center"/>
          </w:tcPr>
          <w:p w14:paraId="01484913">
            <w:pPr>
              <w:jc w:val="center"/>
              <w:rPr>
                <w:color w:val="000000"/>
                <w:kern w:val="0"/>
                <w:szCs w:val="21"/>
              </w:rPr>
            </w:pPr>
            <w:r>
              <w:rPr>
                <w:color w:val="000000"/>
                <w:kern w:val="0"/>
                <w:szCs w:val="21"/>
              </w:rPr>
              <w:t>9</w:t>
            </w:r>
          </w:p>
        </w:tc>
        <w:tc>
          <w:tcPr>
            <w:tcW w:w="0" w:type="dxa"/>
            <w:noWrap w:val="0"/>
            <w:vAlign w:val="center"/>
          </w:tcPr>
          <w:p w14:paraId="4BFDFC23">
            <w:pPr>
              <w:jc w:val="center"/>
              <w:rPr>
                <w:color w:val="000000"/>
                <w:kern w:val="0"/>
                <w:sz w:val="22"/>
                <w:szCs w:val="22"/>
              </w:rPr>
            </w:pPr>
            <w:r>
              <w:rPr>
                <w:color w:val="000000"/>
                <w:kern w:val="0"/>
                <w:sz w:val="22"/>
                <w:szCs w:val="22"/>
              </w:rPr>
              <w:t>478</w:t>
            </w:r>
          </w:p>
        </w:tc>
        <w:tc>
          <w:tcPr>
            <w:tcW w:w="0" w:type="dxa"/>
            <w:noWrap w:val="0"/>
            <w:vAlign w:val="center"/>
          </w:tcPr>
          <w:p w14:paraId="5E06BB4D">
            <w:pPr>
              <w:jc w:val="center"/>
              <w:rPr>
                <w:color w:val="000000"/>
                <w:kern w:val="0"/>
                <w:szCs w:val="21"/>
              </w:rPr>
            </w:pPr>
            <w:r>
              <w:rPr>
                <w:color w:val="000000"/>
                <w:kern w:val="0"/>
                <w:szCs w:val="21"/>
              </w:rPr>
              <w:t>9</w:t>
            </w:r>
          </w:p>
        </w:tc>
        <w:tc>
          <w:tcPr>
            <w:tcW w:w="0" w:type="dxa"/>
            <w:noWrap w:val="0"/>
            <w:vAlign w:val="center"/>
          </w:tcPr>
          <w:p w14:paraId="7CF9CBCA">
            <w:pPr>
              <w:jc w:val="center"/>
              <w:rPr>
                <w:color w:val="000000"/>
                <w:kern w:val="0"/>
                <w:szCs w:val="21"/>
              </w:rPr>
            </w:pPr>
            <w:r>
              <w:rPr>
                <w:color w:val="000000"/>
                <w:kern w:val="0"/>
                <w:szCs w:val="21"/>
              </w:rPr>
              <w:t>428</w:t>
            </w:r>
          </w:p>
        </w:tc>
      </w:tr>
      <w:tr w14:paraId="0AECC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12D9E1B5">
            <w:pPr>
              <w:rPr>
                <w:rFonts w:ascii="楷体_GB2312" w:hAnsi="宋体" w:eastAsia="楷体_GB2312" w:cs="宋体"/>
                <w:color w:val="000000"/>
                <w:kern w:val="0"/>
                <w:szCs w:val="21"/>
              </w:rPr>
            </w:pPr>
          </w:p>
        </w:tc>
        <w:tc>
          <w:tcPr>
            <w:tcW w:w="0" w:type="dxa"/>
            <w:noWrap w:val="0"/>
            <w:vAlign w:val="center"/>
          </w:tcPr>
          <w:p w14:paraId="131522A5">
            <w:pPr>
              <w:jc w:val="center"/>
              <w:rPr>
                <w:color w:val="000000"/>
                <w:kern w:val="0"/>
                <w:szCs w:val="21"/>
              </w:rPr>
            </w:pPr>
            <w:r>
              <w:rPr>
                <w:color w:val="000000"/>
                <w:kern w:val="0"/>
                <w:szCs w:val="21"/>
              </w:rPr>
              <w:t>3</w:t>
            </w:r>
          </w:p>
        </w:tc>
        <w:tc>
          <w:tcPr>
            <w:tcW w:w="0" w:type="dxa"/>
            <w:noWrap w:val="0"/>
            <w:vAlign w:val="center"/>
          </w:tcPr>
          <w:p w14:paraId="4A1C0970">
            <w:pPr>
              <w:jc w:val="center"/>
              <w:rPr>
                <w:color w:val="000000"/>
                <w:kern w:val="0"/>
                <w:szCs w:val="21"/>
              </w:rPr>
            </w:pPr>
            <w:r>
              <w:rPr>
                <w:color w:val="000000"/>
                <w:kern w:val="0"/>
                <w:szCs w:val="21"/>
              </w:rPr>
              <w:t>6</w:t>
            </w:r>
          </w:p>
        </w:tc>
        <w:tc>
          <w:tcPr>
            <w:tcW w:w="0" w:type="dxa"/>
            <w:noWrap w:val="0"/>
            <w:vAlign w:val="center"/>
          </w:tcPr>
          <w:p w14:paraId="4B8A30BB">
            <w:pPr>
              <w:jc w:val="center"/>
              <w:rPr>
                <w:color w:val="000000"/>
                <w:kern w:val="0"/>
                <w:szCs w:val="21"/>
              </w:rPr>
            </w:pPr>
            <w:r>
              <w:rPr>
                <w:color w:val="000000"/>
                <w:kern w:val="0"/>
                <w:szCs w:val="21"/>
              </w:rPr>
              <w:t>342</w:t>
            </w:r>
          </w:p>
        </w:tc>
        <w:tc>
          <w:tcPr>
            <w:tcW w:w="0" w:type="dxa"/>
            <w:noWrap w:val="0"/>
            <w:vAlign w:val="center"/>
          </w:tcPr>
          <w:p w14:paraId="1C105A71">
            <w:pPr>
              <w:jc w:val="center"/>
              <w:rPr>
                <w:color w:val="000000"/>
                <w:kern w:val="0"/>
                <w:szCs w:val="21"/>
              </w:rPr>
            </w:pPr>
            <w:r>
              <w:rPr>
                <w:color w:val="000000"/>
                <w:kern w:val="0"/>
                <w:szCs w:val="21"/>
              </w:rPr>
              <w:t>6</w:t>
            </w:r>
          </w:p>
        </w:tc>
        <w:tc>
          <w:tcPr>
            <w:tcW w:w="0" w:type="dxa"/>
            <w:noWrap w:val="0"/>
            <w:vAlign w:val="center"/>
          </w:tcPr>
          <w:p w14:paraId="59BF90AF">
            <w:pPr>
              <w:jc w:val="center"/>
              <w:rPr>
                <w:color w:val="000000"/>
                <w:kern w:val="0"/>
                <w:sz w:val="22"/>
                <w:szCs w:val="22"/>
              </w:rPr>
            </w:pPr>
            <w:r>
              <w:rPr>
                <w:color w:val="000000"/>
                <w:kern w:val="0"/>
                <w:sz w:val="22"/>
                <w:szCs w:val="22"/>
              </w:rPr>
              <w:t>374</w:t>
            </w:r>
          </w:p>
        </w:tc>
        <w:tc>
          <w:tcPr>
            <w:tcW w:w="0" w:type="dxa"/>
            <w:noWrap w:val="0"/>
            <w:vAlign w:val="center"/>
          </w:tcPr>
          <w:p w14:paraId="515E724C">
            <w:pPr>
              <w:jc w:val="center"/>
              <w:rPr>
                <w:color w:val="000000"/>
                <w:kern w:val="0"/>
                <w:szCs w:val="21"/>
              </w:rPr>
            </w:pPr>
            <w:r>
              <w:rPr>
                <w:color w:val="000000"/>
                <w:kern w:val="0"/>
                <w:szCs w:val="21"/>
              </w:rPr>
              <w:t>6</w:t>
            </w:r>
          </w:p>
        </w:tc>
        <w:tc>
          <w:tcPr>
            <w:tcW w:w="0" w:type="dxa"/>
            <w:noWrap w:val="0"/>
            <w:vAlign w:val="center"/>
          </w:tcPr>
          <w:p w14:paraId="0D72B582">
            <w:pPr>
              <w:jc w:val="center"/>
              <w:rPr>
                <w:color w:val="000000"/>
                <w:kern w:val="0"/>
                <w:szCs w:val="21"/>
              </w:rPr>
            </w:pPr>
            <w:r>
              <w:rPr>
                <w:color w:val="000000"/>
                <w:kern w:val="0"/>
                <w:szCs w:val="21"/>
              </w:rPr>
              <w:t>364</w:t>
            </w:r>
          </w:p>
        </w:tc>
      </w:tr>
      <w:tr w14:paraId="5A348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restart"/>
            <w:noWrap w:val="0"/>
            <w:vAlign w:val="center"/>
          </w:tcPr>
          <w:p w14:paraId="655B65F1">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蕲县镇</w:t>
            </w:r>
          </w:p>
        </w:tc>
        <w:tc>
          <w:tcPr>
            <w:tcW w:w="0" w:type="dxa"/>
            <w:noWrap w:val="0"/>
            <w:vAlign w:val="center"/>
          </w:tcPr>
          <w:p w14:paraId="302B2B64">
            <w:pPr>
              <w:jc w:val="center"/>
              <w:rPr>
                <w:color w:val="000000"/>
                <w:kern w:val="0"/>
                <w:szCs w:val="21"/>
              </w:rPr>
            </w:pPr>
            <w:r>
              <w:rPr>
                <w:color w:val="000000"/>
                <w:kern w:val="0"/>
                <w:szCs w:val="21"/>
              </w:rPr>
              <w:t>1</w:t>
            </w:r>
          </w:p>
        </w:tc>
        <w:tc>
          <w:tcPr>
            <w:tcW w:w="0" w:type="dxa"/>
            <w:noWrap w:val="0"/>
            <w:vAlign w:val="center"/>
          </w:tcPr>
          <w:p w14:paraId="2BFFBE72">
            <w:pPr>
              <w:jc w:val="center"/>
              <w:rPr>
                <w:color w:val="000000"/>
                <w:kern w:val="0"/>
                <w:szCs w:val="21"/>
              </w:rPr>
            </w:pPr>
            <w:r>
              <w:rPr>
                <w:color w:val="000000"/>
                <w:kern w:val="0"/>
                <w:szCs w:val="21"/>
              </w:rPr>
              <w:t>18</w:t>
            </w:r>
          </w:p>
        </w:tc>
        <w:tc>
          <w:tcPr>
            <w:tcW w:w="0" w:type="dxa"/>
            <w:noWrap w:val="0"/>
            <w:vAlign w:val="center"/>
          </w:tcPr>
          <w:p w14:paraId="699054B1">
            <w:pPr>
              <w:jc w:val="center"/>
              <w:rPr>
                <w:color w:val="000000"/>
                <w:kern w:val="0"/>
                <w:szCs w:val="21"/>
              </w:rPr>
            </w:pPr>
            <w:r>
              <w:rPr>
                <w:color w:val="000000"/>
                <w:kern w:val="0"/>
                <w:szCs w:val="21"/>
              </w:rPr>
              <w:t>597</w:t>
            </w:r>
          </w:p>
        </w:tc>
        <w:tc>
          <w:tcPr>
            <w:tcW w:w="0" w:type="dxa"/>
            <w:noWrap w:val="0"/>
            <w:vAlign w:val="center"/>
          </w:tcPr>
          <w:p w14:paraId="4346A0B8">
            <w:pPr>
              <w:jc w:val="center"/>
              <w:rPr>
                <w:color w:val="000000"/>
                <w:kern w:val="0"/>
                <w:szCs w:val="21"/>
              </w:rPr>
            </w:pPr>
            <w:r>
              <w:rPr>
                <w:color w:val="000000"/>
                <w:kern w:val="0"/>
                <w:szCs w:val="21"/>
              </w:rPr>
              <w:t>18</w:t>
            </w:r>
          </w:p>
        </w:tc>
        <w:tc>
          <w:tcPr>
            <w:tcW w:w="0" w:type="dxa"/>
            <w:noWrap w:val="0"/>
            <w:vAlign w:val="center"/>
          </w:tcPr>
          <w:p w14:paraId="750D5572">
            <w:pPr>
              <w:jc w:val="center"/>
              <w:rPr>
                <w:color w:val="000000"/>
                <w:kern w:val="0"/>
                <w:sz w:val="22"/>
                <w:szCs w:val="22"/>
              </w:rPr>
            </w:pPr>
            <w:r>
              <w:rPr>
                <w:color w:val="000000"/>
                <w:kern w:val="0"/>
                <w:sz w:val="22"/>
                <w:szCs w:val="22"/>
              </w:rPr>
              <w:t>563</w:t>
            </w:r>
          </w:p>
        </w:tc>
        <w:tc>
          <w:tcPr>
            <w:tcW w:w="0" w:type="dxa"/>
            <w:noWrap w:val="0"/>
            <w:vAlign w:val="center"/>
          </w:tcPr>
          <w:p w14:paraId="44CF1ADE">
            <w:pPr>
              <w:jc w:val="center"/>
              <w:rPr>
                <w:color w:val="000000"/>
                <w:kern w:val="0"/>
                <w:szCs w:val="21"/>
              </w:rPr>
            </w:pPr>
            <w:r>
              <w:rPr>
                <w:color w:val="000000"/>
                <w:kern w:val="0"/>
                <w:szCs w:val="21"/>
              </w:rPr>
              <w:t>18</w:t>
            </w:r>
          </w:p>
        </w:tc>
        <w:tc>
          <w:tcPr>
            <w:tcW w:w="0" w:type="dxa"/>
            <w:noWrap w:val="0"/>
            <w:vAlign w:val="center"/>
          </w:tcPr>
          <w:p w14:paraId="4CBB97A6">
            <w:pPr>
              <w:jc w:val="center"/>
              <w:rPr>
                <w:color w:val="000000"/>
                <w:kern w:val="0"/>
                <w:szCs w:val="21"/>
              </w:rPr>
            </w:pPr>
            <w:r>
              <w:rPr>
                <w:color w:val="000000"/>
                <w:kern w:val="0"/>
                <w:szCs w:val="21"/>
              </w:rPr>
              <w:t>580</w:t>
            </w:r>
          </w:p>
        </w:tc>
      </w:tr>
      <w:tr w14:paraId="5FE4F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391E5E65">
            <w:pPr>
              <w:rPr>
                <w:rFonts w:ascii="楷体_GB2312" w:hAnsi="宋体" w:eastAsia="楷体_GB2312" w:cs="宋体"/>
                <w:color w:val="000000"/>
                <w:kern w:val="0"/>
                <w:szCs w:val="21"/>
              </w:rPr>
            </w:pPr>
          </w:p>
        </w:tc>
        <w:tc>
          <w:tcPr>
            <w:tcW w:w="0" w:type="dxa"/>
            <w:noWrap w:val="0"/>
            <w:vAlign w:val="center"/>
          </w:tcPr>
          <w:p w14:paraId="6DED6A8D">
            <w:pPr>
              <w:jc w:val="center"/>
              <w:rPr>
                <w:color w:val="000000"/>
                <w:kern w:val="0"/>
                <w:szCs w:val="21"/>
              </w:rPr>
            </w:pPr>
            <w:r>
              <w:rPr>
                <w:color w:val="000000"/>
                <w:kern w:val="0"/>
                <w:szCs w:val="21"/>
              </w:rPr>
              <w:t>2</w:t>
            </w:r>
          </w:p>
        </w:tc>
        <w:tc>
          <w:tcPr>
            <w:tcW w:w="0" w:type="dxa"/>
            <w:noWrap w:val="0"/>
            <w:vAlign w:val="center"/>
          </w:tcPr>
          <w:p w14:paraId="45683080">
            <w:pPr>
              <w:jc w:val="center"/>
              <w:rPr>
                <w:color w:val="000000"/>
                <w:kern w:val="0"/>
                <w:szCs w:val="21"/>
              </w:rPr>
            </w:pPr>
            <w:r>
              <w:rPr>
                <w:color w:val="000000"/>
                <w:kern w:val="0"/>
                <w:szCs w:val="21"/>
              </w:rPr>
              <w:t>8</w:t>
            </w:r>
          </w:p>
        </w:tc>
        <w:tc>
          <w:tcPr>
            <w:tcW w:w="0" w:type="dxa"/>
            <w:noWrap w:val="0"/>
            <w:vAlign w:val="center"/>
          </w:tcPr>
          <w:p w14:paraId="4665D76C">
            <w:pPr>
              <w:jc w:val="center"/>
              <w:rPr>
                <w:color w:val="000000"/>
                <w:kern w:val="0"/>
                <w:szCs w:val="21"/>
              </w:rPr>
            </w:pPr>
            <w:r>
              <w:rPr>
                <w:color w:val="000000"/>
                <w:kern w:val="0"/>
                <w:szCs w:val="21"/>
              </w:rPr>
              <w:t>489</w:t>
            </w:r>
          </w:p>
        </w:tc>
        <w:tc>
          <w:tcPr>
            <w:tcW w:w="0" w:type="dxa"/>
            <w:noWrap w:val="0"/>
            <w:vAlign w:val="center"/>
          </w:tcPr>
          <w:p w14:paraId="59C4C4D8">
            <w:pPr>
              <w:jc w:val="center"/>
              <w:rPr>
                <w:color w:val="000000"/>
                <w:kern w:val="0"/>
                <w:szCs w:val="21"/>
              </w:rPr>
            </w:pPr>
            <w:r>
              <w:rPr>
                <w:color w:val="000000"/>
                <w:kern w:val="0"/>
                <w:szCs w:val="21"/>
              </w:rPr>
              <w:t>8</w:t>
            </w:r>
          </w:p>
        </w:tc>
        <w:tc>
          <w:tcPr>
            <w:tcW w:w="0" w:type="dxa"/>
            <w:noWrap w:val="0"/>
            <w:vAlign w:val="center"/>
          </w:tcPr>
          <w:p w14:paraId="6E64744B">
            <w:pPr>
              <w:jc w:val="center"/>
              <w:rPr>
                <w:color w:val="000000"/>
                <w:kern w:val="0"/>
                <w:sz w:val="22"/>
                <w:szCs w:val="22"/>
              </w:rPr>
            </w:pPr>
            <w:r>
              <w:rPr>
                <w:color w:val="000000"/>
                <w:kern w:val="0"/>
                <w:sz w:val="22"/>
                <w:szCs w:val="22"/>
              </w:rPr>
              <w:t>475</w:t>
            </w:r>
          </w:p>
        </w:tc>
        <w:tc>
          <w:tcPr>
            <w:tcW w:w="0" w:type="dxa"/>
            <w:noWrap w:val="0"/>
            <w:vAlign w:val="center"/>
          </w:tcPr>
          <w:p w14:paraId="7A39044E">
            <w:pPr>
              <w:jc w:val="center"/>
              <w:rPr>
                <w:color w:val="000000"/>
                <w:kern w:val="0"/>
                <w:szCs w:val="21"/>
              </w:rPr>
            </w:pPr>
            <w:r>
              <w:rPr>
                <w:color w:val="000000"/>
                <w:kern w:val="0"/>
                <w:szCs w:val="21"/>
              </w:rPr>
              <w:t>8</w:t>
            </w:r>
          </w:p>
        </w:tc>
        <w:tc>
          <w:tcPr>
            <w:tcW w:w="0" w:type="dxa"/>
            <w:noWrap w:val="0"/>
            <w:vAlign w:val="center"/>
          </w:tcPr>
          <w:p w14:paraId="20F95B70">
            <w:pPr>
              <w:jc w:val="center"/>
              <w:rPr>
                <w:color w:val="000000"/>
                <w:kern w:val="0"/>
                <w:szCs w:val="21"/>
              </w:rPr>
            </w:pPr>
            <w:r>
              <w:rPr>
                <w:color w:val="000000"/>
                <w:kern w:val="0"/>
                <w:szCs w:val="21"/>
              </w:rPr>
              <w:t>461</w:t>
            </w:r>
          </w:p>
        </w:tc>
      </w:tr>
      <w:tr w14:paraId="779CD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772B15FF">
            <w:pPr>
              <w:rPr>
                <w:rFonts w:ascii="楷体_GB2312" w:hAnsi="宋体" w:eastAsia="楷体_GB2312" w:cs="宋体"/>
                <w:color w:val="000000"/>
                <w:kern w:val="0"/>
                <w:szCs w:val="21"/>
              </w:rPr>
            </w:pPr>
          </w:p>
        </w:tc>
        <w:tc>
          <w:tcPr>
            <w:tcW w:w="0" w:type="dxa"/>
            <w:noWrap w:val="0"/>
            <w:vAlign w:val="center"/>
          </w:tcPr>
          <w:p w14:paraId="14604294">
            <w:pPr>
              <w:jc w:val="center"/>
              <w:rPr>
                <w:color w:val="000000"/>
                <w:kern w:val="0"/>
                <w:szCs w:val="21"/>
              </w:rPr>
            </w:pPr>
            <w:r>
              <w:rPr>
                <w:color w:val="000000"/>
                <w:kern w:val="0"/>
                <w:szCs w:val="21"/>
              </w:rPr>
              <w:t>3</w:t>
            </w:r>
          </w:p>
        </w:tc>
        <w:tc>
          <w:tcPr>
            <w:tcW w:w="0" w:type="dxa"/>
            <w:noWrap w:val="0"/>
            <w:vAlign w:val="center"/>
          </w:tcPr>
          <w:p w14:paraId="31553034">
            <w:pPr>
              <w:jc w:val="center"/>
              <w:rPr>
                <w:color w:val="000000"/>
                <w:kern w:val="0"/>
                <w:szCs w:val="21"/>
              </w:rPr>
            </w:pPr>
            <w:r>
              <w:rPr>
                <w:color w:val="000000"/>
                <w:kern w:val="0"/>
                <w:szCs w:val="21"/>
              </w:rPr>
              <w:t>4</w:t>
            </w:r>
          </w:p>
        </w:tc>
        <w:tc>
          <w:tcPr>
            <w:tcW w:w="0" w:type="dxa"/>
            <w:noWrap w:val="0"/>
            <w:vAlign w:val="center"/>
          </w:tcPr>
          <w:p w14:paraId="7FC46BD7">
            <w:pPr>
              <w:jc w:val="center"/>
              <w:rPr>
                <w:color w:val="000000"/>
                <w:kern w:val="0"/>
                <w:szCs w:val="21"/>
              </w:rPr>
            </w:pPr>
            <w:r>
              <w:rPr>
                <w:color w:val="000000"/>
                <w:kern w:val="0"/>
                <w:szCs w:val="21"/>
              </w:rPr>
              <w:t>406</w:t>
            </w:r>
          </w:p>
        </w:tc>
        <w:tc>
          <w:tcPr>
            <w:tcW w:w="0" w:type="dxa"/>
            <w:noWrap w:val="0"/>
            <w:vAlign w:val="center"/>
          </w:tcPr>
          <w:p w14:paraId="6D73843E">
            <w:pPr>
              <w:jc w:val="center"/>
              <w:rPr>
                <w:color w:val="000000"/>
                <w:kern w:val="0"/>
                <w:szCs w:val="21"/>
              </w:rPr>
            </w:pPr>
            <w:r>
              <w:rPr>
                <w:color w:val="000000"/>
                <w:kern w:val="0"/>
                <w:szCs w:val="21"/>
              </w:rPr>
              <w:t>4</w:t>
            </w:r>
          </w:p>
        </w:tc>
        <w:tc>
          <w:tcPr>
            <w:tcW w:w="0" w:type="dxa"/>
            <w:noWrap w:val="0"/>
            <w:vAlign w:val="center"/>
          </w:tcPr>
          <w:p w14:paraId="7B0734CB">
            <w:pPr>
              <w:jc w:val="center"/>
              <w:rPr>
                <w:color w:val="000000"/>
                <w:kern w:val="0"/>
                <w:sz w:val="22"/>
                <w:szCs w:val="22"/>
              </w:rPr>
            </w:pPr>
            <w:r>
              <w:rPr>
                <w:color w:val="000000"/>
                <w:kern w:val="0"/>
                <w:sz w:val="22"/>
                <w:szCs w:val="22"/>
              </w:rPr>
              <w:t>374</w:t>
            </w:r>
          </w:p>
        </w:tc>
        <w:tc>
          <w:tcPr>
            <w:tcW w:w="0" w:type="dxa"/>
            <w:noWrap w:val="0"/>
            <w:vAlign w:val="center"/>
          </w:tcPr>
          <w:p w14:paraId="52AC5FD2">
            <w:pPr>
              <w:jc w:val="center"/>
              <w:rPr>
                <w:color w:val="000000"/>
                <w:kern w:val="0"/>
                <w:szCs w:val="21"/>
              </w:rPr>
            </w:pPr>
            <w:r>
              <w:rPr>
                <w:color w:val="000000"/>
                <w:kern w:val="0"/>
                <w:szCs w:val="21"/>
              </w:rPr>
              <w:t>4</w:t>
            </w:r>
          </w:p>
        </w:tc>
        <w:tc>
          <w:tcPr>
            <w:tcW w:w="0" w:type="dxa"/>
            <w:noWrap w:val="0"/>
            <w:vAlign w:val="center"/>
          </w:tcPr>
          <w:p w14:paraId="07912E69">
            <w:pPr>
              <w:jc w:val="center"/>
              <w:rPr>
                <w:color w:val="000000"/>
                <w:kern w:val="0"/>
                <w:szCs w:val="21"/>
              </w:rPr>
            </w:pPr>
            <w:r>
              <w:rPr>
                <w:color w:val="000000"/>
                <w:kern w:val="0"/>
                <w:szCs w:val="21"/>
              </w:rPr>
              <w:t>390</w:t>
            </w:r>
          </w:p>
        </w:tc>
      </w:tr>
      <w:tr w14:paraId="375DC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restart"/>
            <w:noWrap w:val="0"/>
            <w:vAlign w:val="center"/>
          </w:tcPr>
          <w:p w14:paraId="4405E1E4">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芦岭镇</w:t>
            </w:r>
          </w:p>
        </w:tc>
        <w:tc>
          <w:tcPr>
            <w:tcW w:w="0" w:type="dxa"/>
            <w:noWrap w:val="0"/>
            <w:vAlign w:val="center"/>
          </w:tcPr>
          <w:p w14:paraId="1D37690F">
            <w:pPr>
              <w:jc w:val="center"/>
              <w:rPr>
                <w:color w:val="000000"/>
                <w:kern w:val="0"/>
                <w:szCs w:val="21"/>
              </w:rPr>
            </w:pPr>
            <w:r>
              <w:rPr>
                <w:color w:val="000000"/>
                <w:kern w:val="0"/>
                <w:szCs w:val="21"/>
              </w:rPr>
              <w:t>1</w:t>
            </w:r>
          </w:p>
        </w:tc>
        <w:tc>
          <w:tcPr>
            <w:tcW w:w="0" w:type="dxa"/>
            <w:noWrap w:val="0"/>
            <w:vAlign w:val="center"/>
          </w:tcPr>
          <w:p w14:paraId="64B4209A">
            <w:pPr>
              <w:jc w:val="center"/>
              <w:rPr>
                <w:color w:val="000000"/>
                <w:kern w:val="0"/>
                <w:szCs w:val="21"/>
              </w:rPr>
            </w:pPr>
            <w:r>
              <w:rPr>
                <w:color w:val="000000"/>
                <w:kern w:val="0"/>
                <w:szCs w:val="21"/>
              </w:rPr>
              <w:t>20</w:t>
            </w:r>
          </w:p>
        </w:tc>
        <w:tc>
          <w:tcPr>
            <w:tcW w:w="0" w:type="dxa"/>
            <w:noWrap w:val="0"/>
            <w:vAlign w:val="center"/>
          </w:tcPr>
          <w:p w14:paraId="3E997B2E">
            <w:pPr>
              <w:jc w:val="center"/>
              <w:rPr>
                <w:color w:val="000000"/>
                <w:kern w:val="0"/>
                <w:szCs w:val="21"/>
              </w:rPr>
            </w:pPr>
            <w:r>
              <w:rPr>
                <w:color w:val="000000"/>
                <w:kern w:val="0"/>
                <w:szCs w:val="21"/>
              </w:rPr>
              <w:t>577</w:t>
            </w:r>
          </w:p>
        </w:tc>
        <w:tc>
          <w:tcPr>
            <w:tcW w:w="0" w:type="dxa"/>
            <w:noWrap w:val="0"/>
            <w:vAlign w:val="center"/>
          </w:tcPr>
          <w:p w14:paraId="785821CF">
            <w:pPr>
              <w:jc w:val="center"/>
              <w:rPr>
                <w:color w:val="000000"/>
                <w:kern w:val="0"/>
                <w:szCs w:val="21"/>
              </w:rPr>
            </w:pPr>
            <w:r>
              <w:rPr>
                <w:color w:val="000000"/>
                <w:kern w:val="0"/>
                <w:szCs w:val="21"/>
              </w:rPr>
              <w:t>20</w:t>
            </w:r>
          </w:p>
        </w:tc>
        <w:tc>
          <w:tcPr>
            <w:tcW w:w="0" w:type="dxa"/>
            <w:noWrap w:val="0"/>
            <w:vAlign w:val="center"/>
          </w:tcPr>
          <w:p w14:paraId="0EA1BDE9">
            <w:pPr>
              <w:jc w:val="center"/>
              <w:rPr>
                <w:color w:val="000000"/>
                <w:kern w:val="0"/>
                <w:sz w:val="22"/>
                <w:szCs w:val="22"/>
              </w:rPr>
            </w:pPr>
            <w:r>
              <w:rPr>
                <w:color w:val="000000"/>
                <w:kern w:val="0"/>
                <w:sz w:val="22"/>
                <w:szCs w:val="22"/>
              </w:rPr>
              <w:t>527</w:t>
            </w:r>
          </w:p>
        </w:tc>
        <w:tc>
          <w:tcPr>
            <w:tcW w:w="0" w:type="dxa"/>
            <w:noWrap w:val="0"/>
            <w:vAlign w:val="center"/>
          </w:tcPr>
          <w:p w14:paraId="287B2AF7">
            <w:pPr>
              <w:jc w:val="center"/>
              <w:rPr>
                <w:color w:val="000000"/>
                <w:kern w:val="0"/>
                <w:szCs w:val="21"/>
              </w:rPr>
            </w:pPr>
            <w:r>
              <w:rPr>
                <w:color w:val="000000"/>
                <w:kern w:val="0"/>
                <w:szCs w:val="21"/>
              </w:rPr>
              <w:t>20</w:t>
            </w:r>
          </w:p>
        </w:tc>
        <w:tc>
          <w:tcPr>
            <w:tcW w:w="0" w:type="dxa"/>
            <w:noWrap w:val="0"/>
            <w:vAlign w:val="center"/>
          </w:tcPr>
          <w:p w14:paraId="5BE41BBF">
            <w:pPr>
              <w:jc w:val="center"/>
              <w:rPr>
                <w:color w:val="000000"/>
                <w:kern w:val="0"/>
                <w:szCs w:val="21"/>
              </w:rPr>
            </w:pPr>
            <w:r>
              <w:rPr>
                <w:color w:val="000000"/>
                <w:kern w:val="0"/>
                <w:szCs w:val="21"/>
              </w:rPr>
              <w:t>561</w:t>
            </w:r>
          </w:p>
        </w:tc>
      </w:tr>
      <w:tr w14:paraId="2550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6394BAEB">
            <w:pPr>
              <w:rPr>
                <w:rFonts w:ascii="楷体_GB2312" w:hAnsi="宋体" w:eastAsia="楷体_GB2312" w:cs="宋体"/>
                <w:color w:val="000000"/>
                <w:kern w:val="0"/>
                <w:szCs w:val="21"/>
              </w:rPr>
            </w:pPr>
          </w:p>
        </w:tc>
        <w:tc>
          <w:tcPr>
            <w:tcW w:w="0" w:type="dxa"/>
            <w:noWrap w:val="0"/>
            <w:vAlign w:val="center"/>
          </w:tcPr>
          <w:p w14:paraId="7955A58E">
            <w:pPr>
              <w:jc w:val="center"/>
              <w:rPr>
                <w:color w:val="000000"/>
                <w:kern w:val="0"/>
                <w:szCs w:val="21"/>
              </w:rPr>
            </w:pPr>
            <w:r>
              <w:rPr>
                <w:color w:val="000000"/>
                <w:kern w:val="0"/>
                <w:szCs w:val="21"/>
              </w:rPr>
              <w:t>2</w:t>
            </w:r>
          </w:p>
        </w:tc>
        <w:tc>
          <w:tcPr>
            <w:tcW w:w="0" w:type="dxa"/>
            <w:noWrap w:val="0"/>
            <w:vAlign w:val="center"/>
          </w:tcPr>
          <w:p w14:paraId="5384F0CB">
            <w:pPr>
              <w:jc w:val="center"/>
              <w:rPr>
                <w:color w:val="000000"/>
                <w:kern w:val="0"/>
                <w:szCs w:val="21"/>
              </w:rPr>
            </w:pPr>
            <w:r>
              <w:rPr>
                <w:color w:val="000000"/>
                <w:kern w:val="0"/>
                <w:szCs w:val="21"/>
              </w:rPr>
              <w:t>8</w:t>
            </w:r>
          </w:p>
        </w:tc>
        <w:tc>
          <w:tcPr>
            <w:tcW w:w="0" w:type="dxa"/>
            <w:noWrap w:val="0"/>
            <w:vAlign w:val="center"/>
          </w:tcPr>
          <w:p w14:paraId="38B6D519">
            <w:pPr>
              <w:jc w:val="center"/>
              <w:rPr>
                <w:color w:val="000000"/>
                <w:kern w:val="0"/>
                <w:szCs w:val="21"/>
              </w:rPr>
            </w:pPr>
            <w:r>
              <w:rPr>
                <w:color w:val="000000"/>
                <w:kern w:val="0"/>
                <w:szCs w:val="21"/>
              </w:rPr>
              <w:t>468</w:t>
            </w:r>
          </w:p>
        </w:tc>
        <w:tc>
          <w:tcPr>
            <w:tcW w:w="0" w:type="dxa"/>
            <w:noWrap w:val="0"/>
            <w:vAlign w:val="center"/>
          </w:tcPr>
          <w:p w14:paraId="38DB2876">
            <w:pPr>
              <w:jc w:val="center"/>
              <w:rPr>
                <w:color w:val="000000"/>
                <w:kern w:val="0"/>
                <w:szCs w:val="21"/>
              </w:rPr>
            </w:pPr>
            <w:r>
              <w:rPr>
                <w:color w:val="000000"/>
                <w:kern w:val="0"/>
                <w:szCs w:val="21"/>
              </w:rPr>
              <w:t>8</w:t>
            </w:r>
          </w:p>
        </w:tc>
        <w:tc>
          <w:tcPr>
            <w:tcW w:w="0" w:type="dxa"/>
            <w:noWrap w:val="0"/>
            <w:vAlign w:val="center"/>
          </w:tcPr>
          <w:p w14:paraId="3391DF80">
            <w:pPr>
              <w:jc w:val="center"/>
              <w:rPr>
                <w:color w:val="000000"/>
                <w:kern w:val="0"/>
                <w:sz w:val="22"/>
                <w:szCs w:val="22"/>
              </w:rPr>
            </w:pPr>
            <w:r>
              <w:rPr>
                <w:color w:val="000000"/>
                <w:kern w:val="0"/>
                <w:sz w:val="22"/>
                <w:szCs w:val="22"/>
              </w:rPr>
              <w:t>437</w:t>
            </w:r>
          </w:p>
        </w:tc>
        <w:tc>
          <w:tcPr>
            <w:tcW w:w="0" w:type="dxa"/>
            <w:noWrap w:val="0"/>
            <w:vAlign w:val="center"/>
          </w:tcPr>
          <w:p w14:paraId="123362EA">
            <w:pPr>
              <w:jc w:val="center"/>
              <w:rPr>
                <w:color w:val="000000"/>
                <w:kern w:val="0"/>
                <w:szCs w:val="21"/>
              </w:rPr>
            </w:pPr>
            <w:r>
              <w:rPr>
                <w:color w:val="000000"/>
                <w:kern w:val="0"/>
                <w:szCs w:val="21"/>
              </w:rPr>
              <w:t>8</w:t>
            </w:r>
          </w:p>
        </w:tc>
        <w:tc>
          <w:tcPr>
            <w:tcW w:w="0" w:type="dxa"/>
            <w:noWrap w:val="0"/>
            <w:vAlign w:val="center"/>
          </w:tcPr>
          <w:p w14:paraId="672F4C91">
            <w:pPr>
              <w:jc w:val="center"/>
              <w:rPr>
                <w:color w:val="000000"/>
                <w:kern w:val="0"/>
                <w:szCs w:val="21"/>
              </w:rPr>
            </w:pPr>
            <w:r>
              <w:rPr>
                <w:color w:val="000000"/>
                <w:kern w:val="0"/>
                <w:szCs w:val="21"/>
              </w:rPr>
              <w:t>445</w:t>
            </w:r>
          </w:p>
        </w:tc>
      </w:tr>
      <w:tr w14:paraId="742D0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478D95F7">
            <w:pPr>
              <w:rPr>
                <w:rFonts w:ascii="楷体_GB2312" w:hAnsi="宋体" w:eastAsia="楷体_GB2312" w:cs="宋体"/>
                <w:color w:val="000000"/>
                <w:kern w:val="0"/>
                <w:szCs w:val="21"/>
              </w:rPr>
            </w:pPr>
          </w:p>
        </w:tc>
        <w:tc>
          <w:tcPr>
            <w:tcW w:w="0" w:type="dxa"/>
            <w:noWrap w:val="0"/>
            <w:vAlign w:val="center"/>
          </w:tcPr>
          <w:p w14:paraId="516BA923">
            <w:pPr>
              <w:jc w:val="center"/>
              <w:rPr>
                <w:color w:val="000000"/>
                <w:kern w:val="0"/>
                <w:szCs w:val="21"/>
              </w:rPr>
            </w:pPr>
            <w:r>
              <w:rPr>
                <w:color w:val="000000"/>
                <w:kern w:val="0"/>
                <w:szCs w:val="21"/>
              </w:rPr>
              <w:t>3</w:t>
            </w:r>
          </w:p>
        </w:tc>
        <w:tc>
          <w:tcPr>
            <w:tcW w:w="0" w:type="dxa"/>
            <w:noWrap w:val="0"/>
            <w:vAlign w:val="center"/>
          </w:tcPr>
          <w:p w14:paraId="0A900692">
            <w:pPr>
              <w:jc w:val="center"/>
              <w:rPr>
                <w:color w:val="000000"/>
                <w:kern w:val="0"/>
                <w:szCs w:val="21"/>
              </w:rPr>
            </w:pPr>
            <w:r>
              <w:rPr>
                <w:color w:val="000000"/>
                <w:kern w:val="0"/>
                <w:szCs w:val="21"/>
              </w:rPr>
              <w:t>2</w:t>
            </w:r>
          </w:p>
        </w:tc>
        <w:tc>
          <w:tcPr>
            <w:tcW w:w="0" w:type="dxa"/>
            <w:noWrap w:val="0"/>
            <w:vAlign w:val="center"/>
          </w:tcPr>
          <w:p w14:paraId="0CE10707">
            <w:pPr>
              <w:jc w:val="center"/>
              <w:rPr>
                <w:color w:val="000000"/>
                <w:kern w:val="0"/>
                <w:szCs w:val="21"/>
              </w:rPr>
            </w:pPr>
            <w:r>
              <w:rPr>
                <w:color w:val="000000"/>
                <w:kern w:val="0"/>
                <w:szCs w:val="21"/>
              </w:rPr>
              <w:t>385</w:t>
            </w:r>
          </w:p>
        </w:tc>
        <w:tc>
          <w:tcPr>
            <w:tcW w:w="0" w:type="dxa"/>
            <w:noWrap w:val="0"/>
            <w:vAlign w:val="center"/>
          </w:tcPr>
          <w:p w14:paraId="36B38166">
            <w:pPr>
              <w:jc w:val="center"/>
              <w:rPr>
                <w:color w:val="000000"/>
                <w:kern w:val="0"/>
                <w:szCs w:val="21"/>
              </w:rPr>
            </w:pPr>
            <w:r>
              <w:rPr>
                <w:color w:val="000000"/>
                <w:kern w:val="0"/>
                <w:szCs w:val="21"/>
              </w:rPr>
              <w:t>2</w:t>
            </w:r>
          </w:p>
        </w:tc>
        <w:tc>
          <w:tcPr>
            <w:tcW w:w="0" w:type="dxa"/>
            <w:noWrap w:val="0"/>
            <w:vAlign w:val="center"/>
          </w:tcPr>
          <w:p w14:paraId="705D1DC4">
            <w:pPr>
              <w:jc w:val="center"/>
              <w:rPr>
                <w:color w:val="000000"/>
                <w:kern w:val="0"/>
                <w:sz w:val="22"/>
                <w:szCs w:val="22"/>
              </w:rPr>
            </w:pPr>
            <w:r>
              <w:rPr>
                <w:color w:val="000000"/>
                <w:kern w:val="0"/>
                <w:sz w:val="22"/>
                <w:szCs w:val="22"/>
              </w:rPr>
              <w:t>385</w:t>
            </w:r>
          </w:p>
        </w:tc>
        <w:tc>
          <w:tcPr>
            <w:tcW w:w="0" w:type="dxa"/>
            <w:noWrap w:val="0"/>
            <w:vAlign w:val="center"/>
          </w:tcPr>
          <w:p w14:paraId="7858D4B7">
            <w:pPr>
              <w:jc w:val="center"/>
              <w:rPr>
                <w:color w:val="000000"/>
                <w:kern w:val="0"/>
                <w:szCs w:val="21"/>
              </w:rPr>
            </w:pPr>
            <w:r>
              <w:rPr>
                <w:color w:val="000000"/>
                <w:kern w:val="0"/>
                <w:szCs w:val="21"/>
              </w:rPr>
              <w:t>2</w:t>
            </w:r>
          </w:p>
        </w:tc>
        <w:tc>
          <w:tcPr>
            <w:tcW w:w="0" w:type="dxa"/>
            <w:noWrap w:val="0"/>
            <w:vAlign w:val="center"/>
          </w:tcPr>
          <w:p w14:paraId="40EA3FE7">
            <w:pPr>
              <w:jc w:val="center"/>
              <w:rPr>
                <w:color w:val="000000"/>
                <w:kern w:val="0"/>
                <w:szCs w:val="21"/>
              </w:rPr>
            </w:pPr>
            <w:r>
              <w:rPr>
                <w:color w:val="000000"/>
                <w:kern w:val="0"/>
                <w:szCs w:val="21"/>
              </w:rPr>
              <w:t>340</w:t>
            </w:r>
          </w:p>
        </w:tc>
      </w:tr>
      <w:tr w14:paraId="642B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restart"/>
            <w:noWrap w:val="0"/>
            <w:vAlign w:val="center"/>
          </w:tcPr>
          <w:p w14:paraId="45E45641">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大店镇</w:t>
            </w:r>
          </w:p>
        </w:tc>
        <w:tc>
          <w:tcPr>
            <w:tcW w:w="0" w:type="dxa"/>
            <w:noWrap w:val="0"/>
            <w:vAlign w:val="center"/>
          </w:tcPr>
          <w:p w14:paraId="391EC160">
            <w:pPr>
              <w:jc w:val="center"/>
              <w:rPr>
                <w:color w:val="000000"/>
                <w:kern w:val="0"/>
                <w:szCs w:val="21"/>
              </w:rPr>
            </w:pPr>
            <w:r>
              <w:rPr>
                <w:color w:val="000000"/>
                <w:kern w:val="0"/>
                <w:szCs w:val="21"/>
              </w:rPr>
              <w:t>1</w:t>
            </w:r>
          </w:p>
        </w:tc>
        <w:tc>
          <w:tcPr>
            <w:tcW w:w="0" w:type="dxa"/>
            <w:noWrap w:val="0"/>
            <w:vAlign w:val="center"/>
          </w:tcPr>
          <w:p w14:paraId="3773C0EC">
            <w:pPr>
              <w:jc w:val="center"/>
              <w:rPr>
                <w:color w:val="000000"/>
                <w:kern w:val="0"/>
                <w:szCs w:val="21"/>
              </w:rPr>
            </w:pPr>
            <w:r>
              <w:rPr>
                <w:color w:val="000000"/>
                <w:kern w:val="0"/>
                <w:szCs w:val="21"/>
              </w:rPr>
              <w:t>16</w:t>
            </w:r>
          </w:p>
        </w:tc>
        <w:tc>
          <w:tcPr>
            <w:tcW w:w="0" w:type="dxa"/>
            <w:noWrap w:val="0"/>
            <w:vAlign w:val="center"/>
          </w:tcPr>
          <w:p w14:paraId="053E1652">
            <w:pPr>
              <w:jc w:val="center"/>
              <w:rPr>
                <w:color w:val="000000"/>
                <w:kern w:val="0"/>
                <w:szCs w:val="21"/>
              </w:rPr>
            </w:pPr>
            <w:r>
              <w:rPr>
                <w:color w:val="000000"/>
                <w:kern w:val="0"/>
                <w:szCs w:val="21"/>
              </w:rPr>
              <w:t>524</w:t>
            </w:r>
          </w:p>
        </w:tc>
        <w:tc>
          <w:tcPr>
            <w:tcW w:w="0" w:type="dxa"/>
            <w:noWrap w:val="0"/>
            <w:vAlign w:val="center"/>
          </w:tcPr>
          <w:p w14:paraId="152D2549">
            <w:pPr>
              <w:jc w:val="center"/>
              <w:rPr>
                <w:color w:val="000000"/>
                <w:kern w:val="0"/>
                <w:szCs w:val="21"/>
              </w:rPr>
            </w:pPr>
            <w:r>
              <w:rPr>
                <w:color w:val="000000"/>
                <w:kern w:val="0"/>
                <w:szCs w:val="21"/>
              </w:rPr>
              <w:t>16</w:t>
            </w:r>
          </w:p>
        </w:tc>
        <w:tc>
          <w:tcPr>
            <w:tcW w:w="0" w:type="dxa"/>
            <w:noWrap w:val="0"/>
            <w:vAlign w:val="center"/>
          </w:tcPr>
          <w:p w14:paraId="29019864">
            <w:pPr>
              <w:jc w:val="center"/>
              <w:rPr>
                <w:color w:val="000000"/>
                <w:kern w:val="0"/>
                <w:sz w:val="22"/>
                <w:szCs w:val="22"/>
              </w:rPr>
            </w:pPr>
            <w:r>
              <w:rPr>
                <w:color w:val="000000"/>
                <w:kern w:val="0"/>
                <w:sz w:val="22"/>
                <w:szCs w:val="22"/>
              </w:rPr>
              <w:t>556</w:t>
            </w:r>
          </w:p>
        </w:tc>
        <w:tc>
          <w:tcPr>
            <w:tcW w:w="0" w:type="dxa"/>
            <w:noWrap w:val="0"/>
            <w:vAlign w:val="center"/>
          </w:tcPr>
          <w:p w14:paraId="6F60923E">
            <w:pPr>
              <w:jc w:val="center"/>
              <w:rPr>
                <w:color w:val="000000"/>
                <w:kern w:val="0"/>
                <w:szCs w:val="21"/>
              </w:rPr>
            </w:pPr>
            <w:r>
              <w:rPr>
                <w:color w:val="000000"/>
                <w:kern w:val="0"/>
                <w:szCs w:val="21"/>
              </w:rPr>
              <w:t>16</w:t>
            </w:r>
          </w:p>
        </w:tc>
        <w:tc>
          <w:tcPr>
            <w:tcW w:w="0" w:type="dxa"/>
            <w:noWrap w:val="0"/>
            <w:vAlign w:val="center"/>
          </w:tcPr>
          <w:p w14:paraId="69F44D1F">
            <w:pPr>
              <w:jc w:val="center"/>
              <w:rPr>
                <w:color w:val="000000"/>
                <w:kern w:val="0"/>
                <w:szCs w:val="21"/>
              </w:rPr>
            </w:pPr>
            <w:r>
              <w:rPr>
                <w:color w:val="000000"/>
                <w:kern w:val="0"/>
                <w:szCs w:val="21"/>
              </w:rPr>
              <w:t>525</w:t>
            </w:r>
          </w:p>
        </w:tc>
      </w:tr>
      <w:tr w14:paraId="2366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377A0FA3">
            <w:pPr>
              <w:rPr>
                <w:rFonts w:ascii="楷体_GB2312" w:hAnsi="宋体" w:eastAsia="楷体_GB2312" w:cs="宋体"/>
                <w:color w:val="000000"/>
                <w:kern w:val="0"/>
                <w:szCs w:val="21"/>
              </w:rPr>
            </w:pPr>
          </w:p>
        </w:tc>
        <w:tc>
          <w:tcPr>
            <w:tcW w:w="0" w:type="dxa"/>
            <w:noWrap w:val="0"/>
            <w:vAlign w:val="center"/>
          </w:tcPr>
          <w:p w14:paraId="078B186A">
            <w:pPr>
              <w:jc w:val="center"/>
              <w:rPr>
                <w:color w:val="000000"/>
                <w:kern w:val="0"/>
                <w:szCs w:val="21"/>
              </w:rPr>
            </w:pPr>
            <w:r>
              <w:rPr>
                <w:color w:val="000000"/>
                <w:kern w:val="0"/>
                <w:szCs w:val="21"/>
              </w:rPr>
              <w:t>2</w:t>
            </w:r>
          </w:p>
        </w:tc>
        <w:tc>
          <w:tcPr>
            <w:tcW w:w="0" w:type="dxa"/>
            <w:noWrap w:val="0"/>
            <w:vAlign w:val="center"/>
          </w:tcPr>
          <w:p w14:paraId="03F8CE79">
            <w:pPr>
              <w:jc w:val="center"/>
              <w:rPr>
                <w:color w:val="000000"/>
                <w:kern w:val="0"/>
                <w:szCs w:val="21"/>
              </w:rPr>
            </w:pPr>
            <w:r>
              <w:rPr>
                <w:color w:val="000000"/>
                <w:kern w:val="0"/>
                <w:szCs w:val="21"/>
              </w:rPr>
              <w:t>8</w:t>
            </w:r>
          </w:p>
        </w:tc>
        <w:tc>
          <w:tcPr>
            <w:tcW w:w="0" w:type="dxa"/>
            <w:noWrap w:val="0"/>
            <w:vAlign w:val="center"/>
          </w:tcPr>
          <w:p w14:paraId="62B5931F">
            <w:pPr>
              <w:jc w:val="center"/>
              <w:rPr>
                <w:color w:val="000000"/>
                <w:kern w:val="0"/>
                <w:szCs w:val="21"/>
              </w:rPr>
            </w:pPr>
            <w:r>
              <w:rPr>
                <w:color w:val="000000"/>
                <w:kern w:val="0"/>
                <w:szCs w:val="21"/>
              </w:rPr>
              <w:t>439</w:t>
            </w:r>
          </w:p>
        </w:tc>
        <w:tc>
          <w:tcPr>
            <w:tcW w:w="0" w:type="dxa"/>
            <w:noWrap w:val="0"/>
            <w:vAlign w:val="center"/>
          </w:tcPr>
          <w:p w14:paraId="38025B72">
            <w:pPr>
              <w:jc w:val="center"/>
              <w:rPr>
                <w:color w:val="000000"/>
                <w:kern w:val="0"/>
                <w:szCs w:val="21"/>
              </w:rPr>
            </w:pPr>
            <w:r>
              <w:rPr>
                <w:color w:val="000000"/>
                <w:kern w:val="0"/>
                <w:szCs w:val="21"/>
              </w:rPr>
              <w:t>8</w:t>
            </w:r>
          </w:p>
        </w:tc>
        <w:tc>
          <w:tcPr>
            <w:tcW w:w="0" w:type="dxa"/>
            <w:noWrap w:val="0"/>
            <w:vAlign w:val="center"/>
          </w:tcPr>
          <w:p w14:paraId="143BAB58">
            <w:pPr>
              <w:jc w:val="center"/>
              <w:rPr>
                <w:color w:val="000000"/>
                <w:kern w:val="0"/>
                <w:sz w:val="22"/>
                <w:szCs w:val="22"/>
              </w:rPr>
            </w:pPr>
            <w:r>
              <w:rPr>
                <w:color w:val="000000"/>
                <w:kern w:val="0"/>
                <w:sz w:val="22"/>
                <w:szCs w:val="22"/>
              </w:rPr>
              <w:t>443</w:t>
            </w:r>
          </w:p>
        </w:tc>
        <w:tc>
          <w:tcPr>
            <w:tcW w:w="0" w:type="dxa"/>
            <w:noWrap w:val="0"/>
            <w:vAlign w:val="center"/>
          </w:tcPr>
          <w:p w14:paraId="3D5F96B4">
            <w:pPr>
              <w:jc w:val="center"/>
              <w:rPr>
                <w:color w:val="000000"/>
                <w:kern w:val="0"/>
                <w:szCs w:val="21"/>
              </w:rPr>
            </w:pPr>
            <w:r>
              <w:rPr>
                <w:color w:val="000000"/>
                <w:kern w:val="0"/>
                <w:szCs w:val="21"/>
              </w:rPr>
              <w:t>8</w:t>
            </w:r>
          </w:p>
        </w:tc>
        <w:tc>
          <w:tcPr>
            <w:tcW w:w="0" w:type="dxa"/>
            <w:noWrap w:val="0"/>
            <w:vAlign w:val="center"/>
          </w:tcPr>
          <w:p w14:paraId="70B01C2D">
            <w:pPr>
              <w:jc w:val="center"/>
              <w:rPr>
                <w:color w:val="000000"/>
                <w:kern w:val="0"/>
                <w:szCs w:val="21"/>
              </w:rPr>
            </w:pPr>
            <w:r>
              <w:rPr>
                <w:color w:val="000000"/>
                <w:kern w:val="0"/>
                <w:szCs w:val="21"/>
              </w:rPr>
              <w:t>408</w:t>
            </w:r>
          </w:p>
        </w:tc>
      </w:tr>
      <w:tr w14:paraId="135FC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224FFD61">
            <w:pPr>
              <w:rPr>
                <w:rFonts w:ascii="楷体_GB2312" w:hAnsi="宋体" w:eastAsia="楷体_GB2312" w:cs="宋体"/>
                <w:color w:val="000000"/>
                <w:kern w:val="0"/>
                <w:szCs w:val="21"/>
              </w:rPr>
            </w:pPr>
          </w:p>
        </w:tc>
        <w:tc>
          <w:tcPr>
            <w:tcW w:w="0" w:type="dxa"/>
            <w:noWrap w:val="0"/>
            <w:vAlign w:val="center"/>
          </w:tcPr>
          <w:p w14:paraId="04D27638">
            <w:pPr>
              <w:jc w:val="center"/>
              <w:rPr>
                <w:color w:val="000000"/>
                <w:kern w:val="0"/>
                <w:szCs w:val="21"/>
              </w:rPr>
            </w:pPr>
            <w:r>
              <w:rPr>
                <w:color w:val="000000"/>
                <w:kern w:val="0"/>
                <w:szCs w:val="21"/>
              </w:rPr>
              <w:t>3</w:t>
            </w:r>
          </w:p>
        </w:tc>
        <w:tc>
          <w:tcPr>
            <w:tcW w:w="0" w:type="dxa"/>
            <w:noWrap w:val="0"/>
            <w:vAlign w:val="center"/>
          </w:tcPr>
          <w:p w14:paraId="38A2ECF6">
            <w:pPr>
              <w:jc w:val="center"/>
              <w:rPr>
                <w:color w:val="000000"/>
                <w:kern w:val="0"/>
                <w:szCs w:val="21"/>
              </w:rPr>
            </w:pPr>
            <w:r>
              <w:rPr>
                <w:color w:val="000000"/>
                <w:kern w:val="0"/>
                <w:szCs w:val="21"/>
              </w:rPr>
              <w:t>6</w:t>
            </w:r>
          </w:p>
        </w:tc>
        <w:tc>
          <w:tcPr>
            <w:tcW w:w="0" w:type="dxa"/>
            <w:noWrap w:val="0"/>
            <w:vAlign w:val="center"/>
          </w:tcPr>
          <w:p w14:paraId="24EBB331">
            <w:pPr>
              <w:jc w:val="center"/>
              <w:rPr>
                <w:color w:val="000000"/>
                <w:kern w:val="0"/>
                <w:szCs w:val="21"/>
              </w:rPr>
            </w:pPr>
            <w:r>
              <w:rPr>
                <w:color w:val="000000"/>
                <w:kern w:val="0"/>
                <w:szCs w:val="21"/>
              </w:rPr>
              <w:t>340</w:t>
            </w:r>
          </w:p>
        </w:tc>
        <w:tc>
          <w:tcPr>
            <w:tcW w:w="0" w:type="dxa"/>
            <w:noWrap w:val="0"/>
            <w:vAlign w:val="center"/>
          </w:tcPr>
          <w:p w14:paraId="0FE954C0">
            <w:pPr>
              <w:jc w:val="center"/>
              <w:rPr>
                <w:color w:val="000000"/>
                <w:kern w:val="0"/>
                <w:szCs w:val="21"/>
              </w:rPr>
            </w:pPr>
            <w:r>
              <w:rPr>
                <w:color w:val="000000"/>
                <w:kern w:val="0"/>
                <w:szCs w:val="21"/>
              </w:rPr>
              <w:t>6</w:t>
            </w:r>
          </w:p>
        </w:tc>
        <w:tc>
          <w:tcPr>
            <w:tcW w:w="0" w:type="dxa"/>
            <w:noWrap w:val="0"/>
            <w:vAlign w:val="center"/>
          </w:tcPr>
          <w:p w14:paraId="41C84070">
            <w:pPr>
              <w:jc w:val="center"/>
              <w:rPr>
                <w:color w:val="000000"/>
                <w:kern w:val="0"/>
                <w:sz w:val="22"/>
                <w:szCs w:val="22"/>
              </w:rPr>
            </w:pPr>
            <w:r>
              <w:rPr>
                <w:color w:val="000000"/>
                <w:kern w:val="0"/>
                <w:sz w:val="22"/>
                <w:szCs w:val="22"/>
              </w:rPr>
              <w:t>361</w:t>
            </w:r>
          </w:p>
        </w:tc>
        <w:tc>
          <w:tcPr>
            <w:tcW w:w="0" w:type="dxa"/>
            <w:noWrap w:val="0"/>
            <w:vAlign w:val="center"/>
          </w:tcPr>
          <w:p w14:paraId="61DACB16">
            <w:pPr>
              <w:jc w:val="center"/>
              <w:rPr>
                <w:color w:val="000000"/>
                <w:kern w:val="0"/>
                <w:szCs w:val="21"/>
              </w:rPr>
            </w:pPr>
            <w:r>
              <w:rPr>
                <w:color w:val="000000"/>
                <w:kern w:val="0"/>
                <w:szCs w:val="21"/>
              </w:rPr>
              <w:t>6</w:t>
            </w:r>
          </w:p>
        </w:tc>
        <w:tc>
          <w:tcPr>
            <w:tcW w:w="0" w:type="dxa"/>
            <w:noWrap w:val="0"/>
            <w:vAlign w:val="center"/>
          </w:tcPr>
          <w:p w14:paraId="60DF2F6E">
            <w:pPr>
              <w:jc w:val="center"/>
              <w:rPr>
                <w:color w:val="000000"/>
                <w:kern w:val="0"/>
                <w:szCs w:val="21"/>
              </w:rPr>
            </w:pPr>
            <w:r>
              <w:rPr>
                <w:color w:val="000000"/>
                <w:kern w:val="0"/>
                <w:szCs w:val="21"/>
              </w:rPr>
              <w:t>349</w:t>
            </w:r>
          </w:p>
        </w:tc>
      </w:tr>
      <w:tr w14:paraId="431A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restart"/>
            <w:noWrap w:val="0"/>
            <w:vAlign w:val="center"/>
          </w:tcPr>
          <w:p w14:paraId="634E4F7A">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栏杆镇</w:t>
            </w:r>
          </w:p>
        </w:tc>
        <w:tc>
          <w:tcPr>
            <w:tcW w:w="0" w:type="dxa"/>
            <w:noWrap w:val="0"/>
            <w:vAlign w:val="center"/>
          </w:tcPr>
          <w:p w14:paraId="71B163D9">
            <w:pPr>
              <w:jc w:val="center"/>
              <w:rPr>
                <w:color w:val="000000"/>
                <w:kern w:val="0"/>
                <w:szCs w:val="21"/>
              </w:rPr>
            </w:pPr>
            <w:r>
              <w:rPr>
                <w:color w:val="000000"/>
                <w:kern w:val="0"/>
                <w:szCs w:val="21"/>
              </w:rPr>
              <w:t>1</w:t>
            </w:r>
          </w:p>
        </w:tc>
        <w:tc>
          <w:tcPr>
            <w:tcW w:w="0" w:type="dxa"/>
            <w:noWrap w:val="0"/>
            <w:vAlign w:val="center"/>
          </w:tcPr>
          <w:p w14:paraId="5A235DC4">
            <w:pPr>
              <w:jc w:val="center"/>
              <w:rPr>
                <w:color w:val="000000"/>
                <w:kern w:val="0"/>
                <w:szCs w:val="21"/>
              </w:rPr>
            </w:pPr>
            <w:r>
              <w:rPr>
                <w:color w:val="000000"/>
                <w:kern w:val="0"/>
                <w:szCs w:val="21"/>
              </w:rPr>
              <w:t>21</w:t>
            </w:r>
          </w:p>
        </w:tc>
        <w:tc>
          <w:tcPr>
            <w:tcW w:w="0" w:type="dxa"/>
            <w:noWrap w:val="0"/>
            <w:vAlign w:val="center"/>
          </w:tcPr>
          <w:p w14:paraId="43C217BA">
            <w:pPr>
              <w:jc w:val="center"/>
              <w:rPr>
                <w:color w:val="000000"/>
                <w:kern w:val="0"/>
                <w:szCs w:val="21"/>
              </w:rPr>
            </w:pPr>
            <w:r>
              <w:rPr>
                <w:color w:val="000000"/>
                <w:kern w:val="0"/>
                <w:szCs w:val="21"/>
              </w:rPr>
              <w:t>494</w:t>
            </w:r>
          </w:p>
        </w:tc>
        <w:tc>
          <w:tcPr>
            <w:tcW w:w="0" w:type="dxa"/>
            <w:noWrap w:val="0"/>
            <w:vAlign w:val="center"/>
          </w:tcPr>
          <w:p w14:paraId="619A1A33">
            <w:pPr>
              <w:jc w:val="center"/>
              <w:rPr>
                <w:color w:val="000000"/>
                <w:kern w:val="0"/>
                <w:szCs w:val="21"/>
              </w:rPr>
            </w:pPr>
            <w:r>
              <w:rPr>
                <w:color w:val="000000"/>
                <w:kern w:val="0"/>
                <w:szCs w:val="21"/>
              </w:rPr>
              <w:t>21</w:t>
            </w:r>
          </w:p>
        </w:tc>
        <w:tc>
          <w:tcPr>
            <w:tcW w:w="0" w:type="dxa"/>
            <w:noWrap w:val="0"/>
            <w:vAlign w:val="center"/>
          </w:tcPr>
          <w:p w14:paraId="3760CFCC">
            <w:pPr>
              <w:jc w:val="center"/>
              <w:rPr>
                <w:color w:val="000000"/>
                <w:kern w:val="0"/>
                <w:sz w:val="22"/>
                <w:szCs w:val="22"/>
              </w:rPr>
            </w:pPr>
            <w:r>
              <w:rPr>
                <w:color w:val="000000"/>
                <w:kern w:val="0"/>
                <w:sz w:val="22"/>
                <w:szCs w:val="22"/>
              </w:rPr>
              <w:t>530</w:t>
            </w:r>
          </w:p>
        </w:tc>
        <w:tc>
          <w:tcPr>
            <w:tcW w:w="0" w:type="dxa"/>
            <w:noWrap w:val="0"/>
            <w:vAlign w:val="center"/>
          </w:tcPr>
          <w:p w14:paraId="0AA1CCB0">
            <w:pPr>
              <w:jc w:val="center"/>
              <w:rPr>
                <w:color w:val="000000"/>
                <w:kern w:val="0"/>
                <w:szCs w:val="21"/>
              </w:rPr>
            </w:pPr>
            <w:r>
              <w:rPr>
                <w:color w:val="000000"/>
                <w:kern w:val="0"/>
                <w:szCs w:val="21"/>
              </w:rPr>
              <w:t>21</w:t>
            </w:r>
          </w:p>
        </w:tc>
        <w:tc>
          <w:tcPr>
            <w:tcW w:w="0" w:type="dxa"/>
            <w:noWrap w:val="0"/>
            <w:vAlign w:val="center"/>
          </w:tcPr>
          <w:p w14:paraId="48C3A739">
            <w:pPr>
              <w:jc w:val="center"/>
              <w:rPr>
                <w:color w:val="000000"/>
                <w:kern w:val="0"/>
                <w:szCs w:val="21"/>
              </w:rPr>
            </w:pPr>
            <w:r>
              <w:rPr>
                <w:color w:val="000000"/>
                <w:kern w:val="0"/>
                <w:szCs w:val="21"/>
              </w:rPr>
              <w:t>536</w:t>
            </w:r>
          </w:p>
        </w:tc>
      </w:tr>
      <w:tr w14:paraId="54E0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43B1E6DE">
            <w:pPr>
              <w:rPr>
                <w:rFonts w:ascii="楷体_GB2312" w:hAnsi="宋体" w:eastAsia="楷体_GB2312" w:cs="宋体"/>
                <w:color w:val="000000"/>
                <w:kern w:val="0"/>
                <w:szCs w:val="21"/>
              </w:rPr>
            </w:pPr>
          </w:p>
        </w:tc>
        <w:tc>
          <w:tcPr>
            <w:tcW w:w="0" w:type="dxa"/>
            <w:noWrap w:val="0"/>
            <w:vAlign w:val="center"/>
          </w:tcPr>
          <w:p w14:paraId="444AFE4E">
            <w:pPr>
              <w:jc w:val="center"/>
              <w:rPr>
                <w:color w:val="000000"/>
                <w:kern w:val="0"/>
                <w:szCs w:val="21"/>
              </w:rPr>
            </w:pPr>
            <w:r>
              <w:rPr>
                <w:color w:val="000000"/>
                <w:kern w:val="0"/>
                <w:szCs w:val="21"/>
              </w:rPr>
              <w:t>2</w:t>
            </w:r>
          </w:p>
        </w:tc>
        <w:tc>
          <w:tcPr>
            <w:tcW w:w="0" w:type="dxa"/>
            <w:noWrap w:val="0"/>
            <w:vAlign w:val="center"/>
          </w:tcPr>
          <w:p w14:paraId="7714A43D">
            <w:pPr>
              <w:jc w:val="center"/>
              <w:rPr>
                <w:color w:val="000000"/>
                <w:kern w:val="0"/>
                <w:szCs w:val="21"/>
              </w:rPr>
            </w:pPr>
            <w:r>
              <w:rPr>
                <w:color w:val="000000"/>
                <w:kern w:val="0"/>
                <w:szCs w:val="21"/>
              </w:rPr>
              <w:t>4</w:t>
            </w:r>
          </w:p>
        </w:tc>
        <w:tc>
          <w:tcPr>
            <w:tcW w:w="0" w:type="dxa"/>
            <w:noWrap w:val="0"/>
            <w:vAlign w:val="center"/>
          </w:tcPr>
          <w:p w14:paraId="1D7F75A7">
            <w:pPr>
              <w:jc w:val="center"/>
              <w:rPr>
                <w:color w:val="000000"/>
                <w:kern w:val="0"/>
                <w:szCs w:val="21"/>
              </w:rPr>
            </w:pPr>
            <w:r>
              <w:rPr>
                <w:color w:val="000000"/>
                <w:kern w:val="0"/>
                <w:szCs w:val="21"/>
              </w:rPr>
              <w:t>402</w:t>
            </w:r>
          </w:p>
        </w:tc>
        <w:tc>
          <w:tcPr>
            <w:tcW w:w="0" w:type="dxa"/>
            <w:noWrap w:val="0"/>
            <w:vAlign w:val="center"/>
          </w:tcPr>
          <w:p w14:paraId="3AEE1E88">
            <w:pPr>
              <w:jc w:val="center"/>
              <w:rPr>
                <w:color w:val="000000"/>
                <w:kern w:val="0"/>
                <w:szCs w:val="21"/>
              </w:rPr>
            </w:pPr>
            <w:r>
              <w:rPr>
                <w:color w:val="000000"/>
                <w:kern w:val="0"/>
                <w:szCs w:val="21"/>
              </w:rPr>
              <w:t>4</w:t>
            </w:r>
          </w:p>
        </w:tc>
        <w:tc>
          <w:tcPr>
            <w:tcW w:w="0" w:type="dxa"/>
            <w:noWrap w:val="0"/>
            <w:vAlign w:val="center"/>
          </w:tcPr>
          <w:p w14:paraId="7A42C2A7">
            <w:pPr>
              <w:jc w:val="center"/>
              <w:rPr>
                <w:color w:val="000000"/>
                <w:kern w:val="0"/>
                <w:sz w:val="22"/>
                <w:szCs w:val="22"/>
              </w:rPr>
            </w:pPr>
            <w:r>
              <w:rPr>
                <w:color w:val="000000"/>
                <w:kern w:val="0"/>
                <w:sz w:val="22"/>
                <w:szCs w:val="22"/>
              </w:rPr>
              <w:t>406</w:t>
            </w:r>
          </w:p>
        </w:tc>
        <w:tc>
          <w:tcPr>
            <w:tcW w:w="0" w:type="dxa"/>
            <w:noWrap w:val="0"/>
            <w:vAlign w:val="center"/>
          </w:tcPr>
          <w:p w14:paraId="5A32DB04">
            <w:pPr>
              <w:jc w:val="center"/>
              <w:rPr>
                <w:color w:val="000000"/>
                <w:kern w:val="0"/>
                <w:szCs w:val="21"/>
              </w:rPr>
            </w:pPr>
            <w:r>
              <w:rPr>
                <w:color w:val="000000"/>
                <w:kern w:val="0"/>
                <w:szCs w:val="21"/>
              </w:rPr>
              <w:t>4</w:t>
            </w:r>
          </w:p>
        </w:tc>
        <w:tc>
          <w:tcPr>
            <w:tcW w:w="0" w:type="dxa"/>
            <w:noWrap w:val="0"/>
            <w:vAlign w:val="center"/>
          </w:tcPr>
          <w:p w14:paraId="47E585EB">
            <w:pPr>
              <w:jc w:val="center"/>
              <w:rPr>
                <w:color w:val="000000"/>
                <w:kern w:val="0"/>
                <w:szCs w:val="21"/>
              </w:rPr>
            </w:pPr>
            <w:r>
              <w:rPr>
                <w:color w:val="000000"/>
                <w:kern w:val="0"/>
                <w:szCs w:val="21"/>
              </w:rPr>
              <w:t>422</w:t>
            </w:r>
          </w:p>
        </w:tc>
      </w:tr>
      <w:tr w14:paraId="17638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2F69470B">
            <w:pPr>
              <w:rPr>
                <w:rFonts w:ascii="楷体_GB2312" w:hAnsi="宋体" w:eastAsia="楷体_GB2312" w:cs="宋体"/>
                <w:color w:val="000000"/>
                <w:kern w:val="0"/>
                <w:szCs w:val="21"/>
              </w:rPr>
            </w:pPr>
          </w:p>
        </w:tc>
        <w:tc>
          <w:tcPr>
            <w:tcW w:w="0" w:type="dxa"/>
            <w:noWrap w:val="0"/>
            <w:vAlign w:val="center"/>
          </w:tcPr>
          <w:p w14:paraId="4E2C0C71">
            <w:pPr>
              <w:jc w:val="center"/>
              <w:rPr>
                <w:color w:val="000000"/>
                <w:kern w:val="0"/>
                <w:szCs w:val="21"/>
              </w:rPr>
            </w:pPr>
            <w:r>
              <w:rPr>
                <w:color w:val="000000"/>
                <w:kern w:val="0"/>
                <w:szCs w:val="21"/>
              </w:rPr>
              <w:t>3</w:t>
            </w:r>
          </w:p>
        </w:tc>
        <w:tc>
          <w:tcPr>
            <w:tcW w:w="0" w:type="dxa"/>
            <w:noWrap w:val="0"/>
            <w:vAlign w:val="center"/>
          </w:tcPr>
          <w:p w14:paraId="3CC92F33">
            <w:pPr>
              <w:jc w:val="center"/>
              <w:rPr>
                <w:color w:val="000000"/>
                <w:kern w:val="0"/>
                <w:szCs w:val="21"/>
              </w:rPr>
            </w:pPr>
            <w:r>
              <w:rPr>
                <w:color w:val="000000"/>
                <w:kern w:val="0"/>
                <w:szCs w:val="21"/>
              </w:rPr>
              <w:t>5</w:t>
            </w:r>
          </w:p>
        </w:tc>
        <w:tc>
          <w:tcPr>
            <w:tcW w:w="0" w:type="dxa"/>
            <w:noWrap w:val="0"/>
            <w:vAlign w:val="center"/>
          </w:tcPr>
          <w:p w14:paraId="68BDB5F0">
            <w:pPr>
              <w:jc w:val="center"/>
              <w:rPr>
                <w:color w:val="000000"/>
                <w:kern w:val="0"/>
                <w:szCs w:val="21"/>
              </w:rPr>
            </w:pPr>
            <w:r>
              <w:rPr>
                <w:color w:val="000000"/>
                <w:kern w:val="0"/>
                <w:szCs w:val="21"/>
              </w:rPr>
              <w:t>312</w:t>
            </w:r>
          </w:p>
        </w:tc>
        <w:tc>
          <w:tcPr>
            <w:tcW w:w="0" w:type="dxa"/>
            <w:noWrap w:val="0"/>
            <w:vAlign w:val="center"/>
          </w:tcPr>
          <w:p w14:paraId="08BA6CD9">
            <w:pPr>
              <w:jc w:val="center"/>
              <w:rPr>
                <w:color w:val="000000"/>
                <w:kern w:val="0"/>
                <w:szCs w:val="21"/>
              </w:rPr>
            </w:pPr>
            <w:r>
              <w:rPr>
                <w:color w:val="000000"/>
                <w:kern w:val="0"/>
                <w:szCs w:val="21"/>
              </w:rPr>
              <w:t>5</w:t>
            </w:r>
          </w:p>
        </w:tc>
        <w:tc>
          <w:tcPr>
            <w:tcW w:w="0" w:type="dxa"/>
            <w:noWrap w:val="0"/>
            <w:vAlign w:val="center"/>
          </w:tcPr>
          <w:p w14:paraId="68A702FF">
            <w:pPr>
              <w:jc w:val="center"/>
              <w:rPr>
                <w:color w:val="000000"/>
                <w:kern w:val="0"/>
                <w:sz w:val="22"/>
                <w:szCs w:val="22"/>
              </w:rPr>
            </w:pPr>
            <w:r>
              <w:rPr>
                <w:color w:val="000000"/>
                <w:kern w:val="0"/>
                <w:sz w:val="22"/>
                <w:szCs w:val="22"/>
              </w:rPr>
              <w:t>315</w:t>
            </w:r>
          </w:p>
        </w:tc>
        <w:tc>
          <w:tcPr>
            <w:tcW w:w="0" w:type="dxa"/>
            <w:noWrap w:val="0"/>
            <w:vAlign w:val="center"/>
          </w:tcPr>
          <w:p w14:paraId="1226D0A9">
            <w:pPr>
              <w:jc w:val="center"/>
              <w:rPr>
                <w:color w:val="000000"/>
                <w:kern w:val="0"/>
                <w:szCs w:val="21"/>
              </w:rPr>
            </w:pPr>
            <w:r>
              <w:rPr>
                <w:color w:val="000000"/>
                <w:kern w:val="0"/>
                <w:szCs w:val="21"/>
              </w:rPr>
              <w:t>5</w:t>
            </w:r>
          </w:p>
        </w:tc>
        <w:tc>
          <w:tcPr>
            <w:tcW w:w="0" w:type="dxa"/>
            <w:noWrap w:val="0"/>
            <w:vAlign w:val="center"/>
          </w:tcPr>
          <w:p w14:paraId="60871769">
            <w:pPr>
              <w:jc w:val="center"/>
              <w:rPr>
                <w:color w:val="000000"/>
                <w:kern w:val="0"/>
                <w:szCs w:val="21"/>
              </w:rPr>
            </w:pPr>
            <w:r>
              <w:rPr>
                <w:color w:val="000000"/>
                <w:kern w:val="0"/>
                <w:szCs w:val="21"/>
              </w:rPr>
              <w:t>348</w:t>
            </w:r>
          </w:p>
        </w:tc>
      </w:tr>
      <w:tr w14:paraId="434C2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restart"/>
            <w:noWrap w:val="0"/>
            <w:vAlign w:val="center"/>
          </w:tcPr>
          <w:p w14:paraId="4500B65D">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时村镇</w:t>
            </w:r>
          </w:p>
        </w:tc>
        <w:tc>
          <w:tcPr>
            <w:tcW w:w="0" w:type="dxa"/>
            <w:noWrap w:val="0"/>
            <w:vAlign w:val="center"/>
          </w:tcPr>
          <w:p w14:paraId="2864144C">
            <w:pPr>
              <w:jc w:val="center"/>
              <w:rPr>
                <w:color w:val="000000"/>
                <w:kern w:val="0"/>
                <w:szCs w:val="21"/>
              </w:rPr>
            </w:pPr>
            <w:r>
              <w:rPr>
                <w:color w:val="000000"/>
                <w:kern w:val="0"/>
                <w:szCs w:val="21"/>
              </w:rPr>
              <w:t>1</w:t>
            </w:r>
          </w:p>
        </w:tc>
        <w:tc>
          <w:tcPr>
            <w:tcW w:w="0" w:type="dxa"/>
            <w:noWrap w:val="0"/>
            <w:vAlign w:val="center"/>
          </w:tcPr>
          <w:p w14:paraId="34D983FF">
            <w:pPr>
              <w:jc w:val="center"/>
              <w:rPr>
                <w:color w:val="000000"/>
                <w:kern w:val="0"/>
                <w:szCs w:val="21"/>
              </w:rPr>
            </w:pPr>
            <w:r>
              <w:rPr>
                <w:color w:val="000000"/>
                <w:kern w:val="0"/>
                <w:szCs w:val="21"/>
              </w:rPr>
              <w:t>19</w:t>
            </w:r>
          </w:p>
        </w:tc>
        <w:tc>
          <w:tcPr>
            <w:tcW w:w="0" w:type="dxa"/>
            <w:noWrap w:val="0"/>
            <w:vAlign w:val="center"/>
          </w:tcPr>
          <w:p w14:paraId="021CAEF9">
            <w:pPr>
              <w:jc w:val="center"/>
              <w:rPr>
                <w:color w:val="000000"/>
                <w:kern w:val="0"/>
                <w:szCs w:val="21"/>
              </w:rPr>
            </w:pPr>
            <w:r>
              <w:rPr>
                <w:color w:val="000000"/>
                <w:kern w:val="0"/>
                <w:szCs w:val="21"/>
              </w:rPr>
              <w:t>536</w:t>
            </w:r>
          </w:p>
        </w:tc>
        <w:tc>
          <w:tcPr>
            <w:tcW w:w="0" w:type="dxa"/>
            <w:noWrap w:val="0"/>
            <w:vAlign w:val="center"/>
          </w:tcPr>
          <w:p w14:paraId="790CEEA8">
            <w:pPr>
              <w:jc w:val="center"/>
              <w:rPr>
                <w:color w:val="000000"/>
                <w:kern w:val="0"/>
                <w:szCs w:val="21"/>
              </w:rPr>
            </w:pPr>
            <w:r>
              <w:rPr>
                <w:color w:val="000000"/>
                <w:kern w:val="0"/>
                <w:szCs w:val="21"/>
              </w:rPr>
              <w:t>19</w:t>
            </w:r>
          </w:p>
        </w:tc>
        <w:tc>
          <w:tcPr>
            <w:tcW w:w="0" w:type="dxa"/>
            <w:noWrap w:val="0"/>
            <w:vAlign w:val="center"/>
          </w:tcPr>
          <w:p w14:paraId="08195B1B">
            <w:pPr>
              <w:jc w:val="center"/>
              <w:rPr>
                <w:color w:val="000000"/>
                <w:kern w:val="0"/>
                <w:sz w:val="22"/>
                <w:szCs w:val="22"/>
              </w:rPr>
            </w:pPr>
            <w:r>
              <w:rPr>
                <w:color w:val="000000"/>
                <w:kern w:val="0"/>
                <w:sz w:val="22"/>
                <w:szCs w:val="22"/>
              </w:rPr>
              <w:t>510</w:t>
            </w:r>
          </w:p>
        </w:tc>
        <w:tc>
          <w:tcPr>
            <w:tcW w:w="0" w:type="dxa"/>
            <w:noWrap w:val="0"/>
            <w:vAlign w:val="center"/>
          </w:tcPr>
          <w:p w14:paraId="22112BF4">
            <w:pPr>
              <w:jc w:val="center"/>
              <w:rPr>
                <w:color w:val="000000"/>
                <w:kern w:val="0"/>
                <w:szCs w:val="21"/>
              </w:rPr>
            </w:pPr>
            <w:r>
              <w:rPr>
                <w:color w:val="000000"/>
                <w:kern w:val="0"/>
                <w:szCs w:val="21"/>
              </w:rPr>
              <w:t>19</w:t>
            </w:r>
          </w:p>
        </w:tc>
        <w:tc>
          <w:tcPr>
            <w:tcW w:w="0" w:type="dxa"/>
            <w:noWrap w:val="0"/>
            <w:vAlign w:val="center"/>
          </w:tcPr>
          <w:p w14:paraId="7206A730">
            <w:pPr>
              <w:jc w:val="center"/>
              <w:rPr>
                <w:color w:val="000000"/>
                <w:kern w:val="0"/>
                <w:szCs w:val="21"/>
              </w:rPr>
            </w:pPr>
            <w:r>
              <w:rPr>
                <w:color w:val="000000"/>
                <w:kern w:val="0"/>
                <w:szCs w:val="21"/>
              </w:rPr>
              <w:t>499</w:t>
            </w:r>
          </w:p>
        </w:tc>
      </w:tr>
      <w:tr w14:paraId="3CAB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652B6270">
            <w:pPr>
              <w:rPr>
                <w:rFonts w:ascii="楷体_GB2312" w:hAnsi="宋体" w:eastAsia="楷体_GB2312" w:cs="宋体"/>
                <w:color w:val="000000"/>
                <w:kern w:val="0"/>
                <w:szCs w:val="21"/>
              </w:rPr>
            </w:pPr>
          </w:p>
        </w:tc>
        <w:tc>
          <w:tcPr>
            <w:tcW w:w="0" w:type="dxa"/>
            <w:noWrap w:val="0"/>
            <w:vAlign w:val="center"/>
          </w:tcPr>
          <w:p w14:paraId="4B78AAFF">
            <w:pPr>
              <w:jc w:val="center"/>
              <w:rPr>
                <w:color w:val="000000"/>
                <w:kern w:val="0"/>
                <w:szCs w:val="21"/>
              </w:rPr>
            </w:pPr>
            <w:r>
              <w:rPr>
                <w:color w:val="000000"/>
                <w:kern w:val="0"/>
                <w:szCs w:val="21"/>
              </w:rPr>
              <w:t>2</w:t>
            </w:r>
          </w:p>
        </w:tc>
        <w:tc>
          <w:tcPr>
            <w:tcW w:w="0" w:type="dxa"/>
            <w:noWrap w:val="0"/>
            <w:vAlign w:val="center"/>
          </w:tcPr>
          <w:p w14:paraId="1D7EF67F">
            <w:pPr>
              <w:jc w:val="center"/>
              <w:rPr>
                <w:color w:val="000000"/>
                <w:kern w:val="0"/>
                <w:szCs w:val="21"/>
              </w:rPr>
            </w:pPr>
            <w:r>
              <w:rPr>
                <w:color w:val="000000"/>
                <w:kern w:val="0"/>
                <w:szCs w:val="21"/>
              </w:rPr>
              <w:t>10</w:t>
            </w:r>
          </w:p>
        </w:tc>
        <w:tc>
          <w:tcPr>
            <w:tcW w:w="0" w:type="dxa"/>
            <w:noWrap w:val="0"/>
            <w:vAlign w:val="center"/>
          </w:tcPr>
          <w:p w14:paraId="1908BF94">
            <w:pPr>
              <w:jc w:val="center"/>
              <w:rPr>
                <w:color w:val="000000"/>
                <w:kern w:val="0"/>
                <w:szCs w:val="21"/>
              </w:rPr>
            </w:pPr>
            <w:r>
              <w:rPr>
                <w:color w:val="000000"/>
                <w:kern w:val="0"/>
                <w:szCs w:val="21"/>
              </w:rPr>
              <w:t>397</w:t>
            </w:r>
          </w:p>
        </w:tc>
        <w:tc>
          <w:tcPr>
            <w:tcW w:w="0" w:type="dxa"/>
            <w:noWrap w:val="0"/>
            <w:vAlign w:val="center"/>
          </w:tcPr>
          <w:p w14:paraId="2ED14BB7">
            <w:pPr>
              <w:jc w:val="center"/>
              <w:rPr>
                <w:color w:val="000000"/>
                <w:kern w:val="0"/>
                <w:szCs w:val="21"/>
              </w:rPr>
            </w:pPr>
            <w:r>
              <w:rPr>
                <w:color w:val="000000"/>
                <w:kern w:val="0"/>
                <w:szCs w:val="21"/>
              </w:rPr>
              <w:t>10</w:t>
            </w:r>
          </w:p>
        </w:tc>
        <w:tc>
          <w:tcPr>
            <w:tcW w:w="0" w:type="dxa"/>
            <w:noWrap w:val="0"/>
            <w:vAlign w:val="center"/>
          </w:tcPr>
          <w:p w14:paraId="3207F1DC">
            <w:pPr>
              <w:jc w:val="center"/>
              <w:rPr>
                <w:color w:val="000000"/>
                <w:kern w:val="0"/>
                <w:sz w:val="22"/>
                <w:szCs w:val="22"/>
              </w:rPr>
            </w:pPr>
            <w:r>
              <w:rPr>
                <w:color w:val="000000"/>
                <w:kern w:val="0"/>
                <w:sz w:val="22"/>
                <w:szCs w:val="22"/>
              </w:rPr>
              <w:t>389</w:t>
            </w:r>
          </w:p>
        </w:tc>
        <w:tc>
          <w:tcPr>
            <w:tcW w:w="0" w:type="dxa"/>
            <w:noWrap w:val="0"/>
            <w:vAlign w:val="center"/>
          </w:tcPr>
          <w:p w14:paraId="138700DE">
            <w:pPr>
              <w:jc w:val="center"/>
              <w:rPr>
                <w:color w:val="000000"/>
                <w:kern w:val="0"/>
                <w:szCs w:val="21"/>
              </w:rPr>
            </w:pPr>
            <w:r>
              <w:rPr>
                <w:color w:val="000000"/>
                <w:kern w:val="0"/>
                <w:szCs w:val="21"/>
              </w:rPr>
              <w:t>10</w:t>
            </w:r>
          </w:p>
        </w:tc>
        <w:tc>
          <w:tcPr>
            <w:tcW w:w="0" w:type="dxa"/>
            <w:noWrap w:val="0"/>
            <w:vAlign w:val="center"/>
          </w:tcPr>
          <w:p w14:paraId="7285B863">
            <w:pPr>
              <w:jc w:val="center"/>
              <w:rPr>
                <w:color w:val="000000"/>
                <w:kern w:val="0"/>
                <w:szCs w:val="21"/>
              </w:rPr>
            </w:pPr>
            <w:r>
              <w:rPr>
                <w:color w:val="000000"/>
                <w:kern w:val="0"/>
                <w:szCs w:val="21"/>
              </w:rPr>
              <w:t>429</w:t>
            </w:r>
          </w:p>
        </w:tc>
      </w:tr>
      <w:tr w14:paraId="3741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1BC3DA95">
            <w:pPr>
              <w:rPr>
                <w:rFonts w:ascii="楷体_GB2312" w:hAnsi="宋体" w:eastAsia="楷体_GB2312" w:cs="宋体"/>
                <w:color w:val="000000"/>
                <w:kern w:val="0"/>
                <w:szCs w:val="21"/>
              </w:rPr>
            </w:pPr>
          </w:p>
        </w:tc>
        <w:tc>
          <w:tcPr>
            <w:tcW w:w="0" w:type="dxa"/>
            <w:noWrap w:val="0"/>
            <w:vAlign w:val="center"/>
          </w:tcPr>
          <w:p w14:paraId="00FF8D9E">
            <w:pPr>
              <w:jc w:val="center"/>
              <w:rPr>
                <w:color w:val="000000"/>
                <w:kern w:val="0"/>
                <w:szCs w:val="21"/>
              </w:rPr>
            </w:pPr>
            <w:r>
              <w:rPr>
                <w:color w:val="000000"/>
                <w:kern w:val="0"/>
                <w:szCs w:val="21"/>
              </w:rPr>
              <w:t>3</w:t>
            </w:r>
          </w:p>
        </w:tc>
        <w:tc>
          <w:tcPr>
            <w:tcW w:w="0" w:type="dxa"/>
            <w:noWrap w:val="0"/>
            <w:vAlign w:val="center"/>
          </w:tcPr>
          <w:p w14:paraId="45FD77D3">
            <w:pPr>
              <w:jc w:val="center"/>
              <w:rPr>
                <w:color w:val="000000"/>
                <w:kern w:val="0"/>
                <w:szCs w:val="21"/>
              </w:rPr>
            </w:pPr>
            <w:r>
              <w:rPr>
                <w:color w:val="000000"/>
                <w:kern w:val="0"/>
                <w:szCs w:val="21"/>
              </w:rPr>
              <w:t>1</w:t>
            </w:r>
          </w:p>
        </w:tc>
        <w:tc>
          <w:tcPr>
            <w:tcW w:w="0" w:type="dxa"/>
            <w:noWrap w:val="0"/>
            <w:vAlign w:val="center"/>
          </w:tcPr>
          <w:p w14:paraId="3B79CDA5">
            <w:pPr>
              <w:jc w:val="center"/>
              <w:rPr>
                <w:color w:val="000000"/>
                <w:kern w:val="0"/>
                <w:szCs w:val="21"/>
              </w:rPr>
            </w:pPr>
            <w:r>
              <w:rPr>
                <w:color w:val="000000"/>
                <w:kern w:val="0"/>
                <w:szCs w:val="21"/>
              </w:rPr>
              <w:t>309</w:t>
            </w:r>
          </w:p>
        </w:tc>
        <w:tc>
          <w:tcPr>
            <w:tcW w:w="0" w:type="dxa"/>
            <w:noWrap w:val="0"/>
            <w:vAlign w:val="center"/>
          </w:tcPr>
          <w:p w14:paraId="55323D5C">
            <w:pPr>
              <w:jc w:val="center"/>
              <w:rPr>
                <w:color w:val="000000"/>
                <w:kern w:val="0"/>
                <w:szCs w:val="21"/>
              </w:rPr>
            </w:pPr>
            <w:r>
              <w:rPr>
                <w:color w:val="000000"/>
                <w:kern w:val="0"/>
                <w:szCs w:val="21"/>
              </w:rPr>
              <w:t>1</w:t>
            </w:r>
          </w:p>
        </w:tc>
        <w:tc>
          <w:tcPr>
            <w:tcW w:w="0" w:type="dxa"/>
            <w:noWrap w:val="0"/>
            <w:vAlign w:val="center"/>
          </w:tcPr>
          <w:p w14:paraId="0337D922">
            <w:pPr>
              <w:jc w:val="center"/>
              <w:rPr>
                <w:color w:val="000000"/>
                <w:kern w:val="0"/>
                <w:sz w:val="22"/>
                <w:szCs w:val="22"/>
              </w:rPr>
            </w:pPr>
            <w:r>
              <w:rPr>
                <w:color w:val="000000"/>
                <w:kern w:val="0"/>
                <w:sz w:val="22"/>
                <w:szCs w:val="22"/>
              </w:rPr>
              <w:t>309</w:t>
            </w:r>
          </w:p>
        </w:tc>
        <w:tc>
          <w:tcPr>
            <w:tcW w:w="0" w:type="dxa"/>
            <w:noWrap w:val="0"/>
            <w:vAlign w:val="center"/>
          </w:tcPr>
          <w:p w14:paraId="084442D5">
            <w:pPr>
              <w:jc w:val="center"/>
              <w:rPr>
                <w:color w:val="000000"/>
                <w:kern w:val="0"/>
                <w:szCs w:val="21"/>
              </w:rPr>
            </w:pPr>
            <w:r>
              <w:rPr>
                <w:color w:val="000000"/>
                <w:kern w:val="0"/>
                <w:szCs w:val="21"/>
              </w:rPr>
              <w:t>1</w:t>
            </w:r>
          </w:p>
        </w:tc>
        <w:tc>
          <w:tcPr>
            <w:tcW w:w="0" w:type="dxa"/>
            <w:noWrap w:val="0"/>
            <w:vAlign w:val="center"/>
          </w:tcPr>
          <w:p w14:paraId="2875D114">
            <w:pPr>
              <w:jc w:val="center"/>
              <w:rPr>
                <w:color w:val="000000"/>
                <w:kern w:val="0"/>
                <w:szCs w:val="21"/>
              </w:rPr>
            </w:pPr>
            <w:r>
              <w:rPr>
                <w:color w:val="000000"/>
                <w:kern w:val="0"/>
                <w:szCs w:val="21"/>
              </w:rPr>
              <w:t>327</w:t>
            </w:r>
          </w:p>
        </w:tc>
      </w:tr>
      <w:tr w14:paraId="5E6DA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restart"/>
            <w:noWrap w:val="0"/>
            <w:vAlign w:val="center"/>
          </w:tcPr>
          <w:p w14:paraId="03762B58">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夹沟镇</w:t>
            </w:r>
          </w:p>
        </w:tc>
        <w:tc>
          <w:tcPr>
            <w:tcW w:w="0" w:type="dxa"/>
            <w:noWrap w:val="0"/>
            <w:vAlign w:val="center"/>
          </w:tcPr>
          <w:p w14:paraId="6A2F479A">
            <w:pPr>
              <w:jc w:val="center"/>
              <w:rPr>
                <w:color w:val="000000"/>
                <w:kern w:val="0"/>
                <w:szCs w:val="21"/>
              </w:rPr>
            </w:pPr>
            <w:r>
              <w:rPr>
                <w:color w:val="000000"/>
                <w:kern w:val="0"/>
                <w:szCs w:val="21"/>
              </w:rPr>
              <w:t>1</w:t>
            </w:r>
          </w:p>
        </w:tc>
        <w:tc>
          <w:tcPr>
            <w:tcW w:w="0" w:type="dxa"/>
            <w:noWrap w:val="0"/>
            <w:vAlign w:val="center"/>
          </w:tcPr>
          <w:p w14:paraId="7776D16A">
            <w:pPr>
              <w:jc w:val="center"/>
              <w:rPr>
                <w:color w:val="000000"/>
                <w:kern w:val="0"/>
                <w:szCs w:val="21"/>
              </w:rPr>
            </w:pPr>
            <w:r>
              <w:rPr>
                <w:color w:val="000000"/>
                <w:kern w:val="0"/>
                <w:szCs w:val="21"/>
              </w:rPr>
              <w:t>21</w:t>
            </w:r>
          </w:p>
        </w:tc>
        <w:tc>
          <w:tcPr>
            <w:tcW w:w="0" w:type="dxa"/>
            <w:noWrap w:val="0"/>
            <w:vAlign w:val="center"/>
          </w:tcPr>
          <w:p w14:paraId="10489884">
            <w:pPr>
              <w:jc w:val="center"/>
              <w:rPr>
                <w:color w:val="000000"/>
                <w:kern w:val="0"/>
                <w:szCs w:val="21"/>
              </w:rPr>
            </w:pPr>
            <w:r>
              <w:rPr>
                <w:color w:val="000000"/>
                <w:kern w:val="0"/>
                <w:szCs w:val="21"/>
              </w:rPr>
              <w:t>515</w:t>
            </w:r>
          </w:p>
        </w:tc>
        <w:tc>
          <w:tcPr>
            <w:tcW w:w="0" w:type="dxa"/>
            <w:noWrap w:val="0"/>
            <w:vAlign w:val="center"/>
          </w:tcPr>
          <w:p w14:paraId="58E82951">
            <w:pPr>
              <w:jc w:val="center"/>
              <w:rPr>
                <w:color w:val="000000"/>
                <w:kern w:val="0"/>
                <w:szCs w:val="21"/>
              </w:rPr>
            </w:pPr>
            <w:r>
              <w:rPr>
                <w:color w:val="000000"/>
                <w:kern w:val="0"/>
                <w:szCs w:val="21"/>
              </w:rPr>
              <w:t>21</w:t>
            </w:r>
          </w:p>
        </w:tc>
        <w:tc>
          <w:tcPr>
            <w:tcW w:w="0" w:type="dxa"/>
            <w:noWrap w:val="0"/>
            <w:vAlign w:val="center"/>
          </w:tcPr>
          <w:p w14:paraId="2A167CA9">
            <w:pPr>
              <w:jc w:val="center"/>
              <w:rPr>
                <w:color w:val="000000"/>
                <w:kern w:val="0"/>
                <w:sz w:val="22"/>
                <w:szCs w:val="22"/>
              </w:rPr>
            </w:pPr>
            <w:r>
              <w:rPr>
                <w:color w:val="000000"/>
                <w:kern w:val="0"/>
                <w:sz w:val="22"/>
                <w:szCs w:val="22"/>
              </w:rPr>
              <w:t>510</w:t>
            </w:r>
          </w:p>
        </w:tc>
        <w:tc>
          <w:tcPr>
            <w:tcW w:w="0" w:type="dxa"/>
            <w:noWrap w:val="0"/>
            <w:vAlign w:val="center"/>
          </w:tcPr>
          <w:p w14:paraId="18D6D526">
            <w:pPr>
              <w:jc w:val="center"/>
              <w:rPr>
                <w:color w:val="000000"/>
                <w:kern w:val="0"/>
                <w:szCs w:val="21"/>
              </w:rPr>
            </w:pPr>
            <w:r>
              <w:rPr>
                <w:color w:val="000000"/>
                <w:kern w:val="0"/>
                <w:szCs w:val="21"/>
              </w:rPr>
              <w:t>21</w:t>
            </w:r>
          </w:p>
        </w:tc>
        <w:tc>
          <w:tcPr>
            <w:tcW w:w="0" w:type="dxa"/>
            <w:noWrap w:val="0"/>
            <w:vAlign w:val="center"/>
          </w:tcPr>
          <w:p w14:paraId="0E50FECE">
            <w:pPr>
              <w:jc w:val="center"/>
              <w:rPr>
                <w:color w:val="000000"/>
                <w:kern w:val="0"/>
                <w:szCs w:val="21"/>
              </w:rPr>
            </w:pPr>
            <w:r>
              <w:rPr>
                <w:color w:val="000000"/>
                <w:kern w:val="0"/>
                <w:szCs w:val="21"/>
              </w:rPr>
              <w:t>490</w:t>
            </w:r>
          </w:p>
        </w:tc>
      </w:tr>
      <w:tr w14:paraId="7AC2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03AB1219">
            <w:pPr>
              <w:rPr>
                <w:rFonts w:ascii="楷体_GB2312" w:hAnsi="宋体" w:eastAsia="楷体_GB2312" w:cs="宋体"/>
                <w:color w:val="000000"/>
                <w:kern w:val="0"/>
                <w:szCs w:val="21"/>
              </w:rPr>
            </w:pPr>
          </w:p>
        </w:tc>
        <w:tc>
          <w:tcPr>
            <w:tcW w:w="0" w:type="dxa"/>
            <w:noWrap w:val="0"/>
            <w:vAlign w:val="center"/>
          </w:tcPr>
          <w:p w14:paraId="683B6B7A">
            <w:pPr>
              <w:jc w:val="center"/>
              <w:rPr>
                <w:color w:val="000000"/>
                <w:kern w:val="0"/>
                <w:szCs w:val="21"/>
              </w:rPr>
            </w:pPr>
            <w:r>
              <w:rPr>
                <w:color w:val="000000"/>
                <w:kern w:val="0"/>
                <w:szCs w:val="21"/>
              </w:rPr>
              <w:t>2</w:t>
            </w:r>
          </w:p>
        </w:tc>
        <w:tc>
          <w:tcPr>
            <w:tcW w:w="0" w:type="dxa"/>
            <w:noWrap w:val="0"/>
            <w:vAlign w:val="center"/>
          </w:tcPr>
          <w:p w14:paraId="62372A3B">
            <w:pPr>
              <w:jc w:val="center"/>
              <w:rPr>
                <w:color w:val="000000"/>
                <w:kern w:val="0"/>
                <w:szCs w:val="21"/>
              </w:rPr>
            </w:pPr>
            <w:r>
              <w:rPr>
                <w:color w:val="000000"/>
                <w:kern w:val="0"/>
                <w:szCs w:val="21"/>
              </w:rPr>
              <w:t>8</w:t>
            </w:r>
          </w:p>
        </w:tc>
        <w:tc>
          <w:tcPr>
            <w:tcW w:w="0" w:type="dxa"/>
            <w:noWrap w:val="0"/>
            <w:vAlign w:val="center"/>
          </w:tcPr>
          <w:p w14:paraId="0808831D">
            <w:pPr>
              <w:jc w:val="center"/>
              <w:rPr>
                <w:color w:val="000000"/>
                <w:kern w:val="0"/>
                <w:szCs w:val="21"/>
              </w:rPr>
            </w:pPr>
            <w:r>
              <w:rPr>
                <w:color w:val="000000"/>
                <w:kern w:val="0"/>
                <w:szCs w:val="21"/>
              </w:rPr>
              <w:t>399</w:t>
            </w:r>
          </w:p>
        </w:tc>
        <w:tc>
          <w:tcPr>
            <w:tcW w:w="0" w:type="dxa"/>
            <w:noWrap w:val="0"/>
            <w:vAlign w:val="center"/>
          </w:tcPr>
          <w:p w14:paraId="5938D28B">
            <w:pPr>
              <w:jc w:val="center"/>
              <w:rPr>
                <w:color w:val="000000"/>
                <w:kern w:val="0"/>
                <w:szCs w:val="21"/>
              </w:rPr>
            </w:pPr>
            <w:r>
              <w:rPr>
                <w:color w:val="000000"/>
                <w:kern w:val="0"/>
                <w:szCs w:val="21"/>
              </w:rPr>
              <w:t>8</w:t>
            </w:r>
          </w:p>
        </w:tc>
        <w:tc>
          <w:tcPr>
            <w:tcW w:w="0" w:type="dxa"/>
            <w:noWrap w:val="0"/>
            <w:vAlign w:val="center"/>
          </w:tcPr>
          <w:p w14:paraId="228D9DEB">
            <w:pPr>
              <w:jc w:val="center"/>
              <w:rPr>
                <w:color w:val="000000"/>
                <w:kern w:val="0"/>
                <w:sz w:val="22"/>
                <w:szCs w:val="22"/>
              </w:rPr>
            </w:pPr>
            <w:r>
              <w:rPr>
                <w:color w:val="000000"/>
                <w:kern w:val="0"/>
                <w:sz w:val="22"/>
                <w:szCs w:val="22"/>
              </w:rPr>
              <w:t>407</w:t>
            </w:r>
          </w:p>
        </w:tc>
        <w:tc>
          <w:tcPr>
            <w:tcW w:w="0" w:type="dxa"/>
            <w:noWrap w:val="0"/>
            <w:vAlign w:val="center"/>
          </w:tcPr>
          <w:p w14:paraId="05F67C8C">
            <w:pPr>
              <w:jc w:val="center"/>
              <w:rPr>
                <w:color w:val="000000"/>
                <w:kern w:val="0"/>
                <w:szCs w:val="21"/>
              </w:rPr>
            </w:pPr>
            <w:r>
              <w:rPr>
                <w:color w:val="000000"/>
                <w:kern w:val="0"/>
                <w:szCs w:val="21"/>
              </w:rPr>
              <w:t>8</w:t>
            </w:r>
          </w:p>
        </w:tc>
        <w:tc>
          <w:tcPr>
            <w:tcW w:w="0" w:type="dxa"/>
            <w:noWrap w:val="0"/>
            <w:vAlign w:val="center"/>
          </w:tcPr>
          <w:p w14:paraId="0EAE2A43">
            <w:pPr>
              <w:jc w:val="center"/>
              <w:rPr>
                <w:color w:val="000000"/>
                <w:kern w:val="0"/>
                <w:szCs w:val="21"/>
              </w:rPr>
            </w:pPr>
            <w:r>
              <w:rPr>
                <w:color w:val="000000"/>
                <w:kern w:val="0"/>
                <w:szCs w:val="21"/>
              </w:rPr>
              <w:t>379</w:t>
            </w:r>
          </w:p>
        </w:tc>
      </w:tr>
      <w:tr w14:paraId="64B5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76422A10">
            <w:pPr>
              <w:rPr>
                <w:rFonts w:ascii="楷体_GB2312" w:hAnsi="宋体" w:eastAsia="楷体_GB2312" w:cs="宋体"/>
                <w:color w:val="000000"/>
                <w:kern w:val="0"/>
                <w:szCs w:val="21"/>
              </w:rPr>
            </w:pPr>
          </w:p>
        </w:tc>
        <w:tc>
          <w:tcPr>
            <w:tcW w:w="0" w:type="dxa"/>
            <w:noWrap w:val="0"/>
            <w:vAlign w:val="center"/>
          </w:tcPr>
          <w:p w14:paraId="1A254E0B">
            <w:pPr>
              <w:jc w:val="center"/>
              <w:rPr>
                <w:color w:val="000000"/>
                <w:kern w:val="0"/>
                <w:szCs w:val="21"/>
              </w:rPr>
            </w:pPr>
            <w:r>
              <w:rPr>
                <w:color w:val="000000"/>
                <w:kern w:val="0"/>
                <w:szCs w:val="21"/>
              </w:rPr>
              <w:t>3</w:t>
            </w:r>
          </w:p>
        </w:tc>
        <w:tc>
          <w:tcPr>
            <w:tcW w:w="0" w:type="dxa"/>
            <w:noWrap w:val="0"/>
            <w:vAlign w:val="center"/>
          </w:tcPr>
          <w:p w14:paraId="05F37F4C">
            <w:pPr>
              <w:jc w:val="center"/>
              <w:rPr>
                <w:color w:val="000000"/>
                <w:kern w:val="0"/>
                <w:szCs w:val="21"/>
              </w:rPr>
            </w:pPr>
            <w:r>
              <w:rPr>
                <w:color w:val="000000"/>
                <w:kern w:val="0"/>
                <w:szCs w:val="21"/>
              </w:rPr>
              <w:t>1</w:t>
            </w:r>
          </w:p>
        </w:tc>
        <w:tc>
          <w:tcPr>
            <w:tcW w:w="0" w:type="dxa"/>
            <w:noWrap w:val="0"/>
            <w:vAlign w:val="center"/>
          </w:tcPr>
          <w:p w14:paraId="7526552D">
            <w:pPr>
              <w:jc w:val="center"/>
              <w:rPr>
                <w:color w:val="000000"/>
                <w:kern w:val="0"/>
                <w:szCs w:val="21"/>
              </w:rPr>
            </w:pPr>
            <w:r>
              <w:rPr>
                <w:color w:val="000000"/>
                <w:kern w:val="0"/>
                <w:szCs w:val="21"/>
              </w:rPr>
              <w:t>315</w:t>
            </w:r>
          </w:p>
        </w:tc>
        <w:tc>
          <w:tcPr>
            <w:tcW w:w="0" w:type="dxa"/>
            <w:noWrap w:val="0"/>
            <w:vAlign w:val="center"/>
          </w:tcPr>
          <w:p w14:paraId="0E8493EF">
            <w:pPr>
              <w:jc w:val="center"/>
              <w:rPr>
                <w:color w:val="000000"/>
                <w:kern w:val="0"/>
                <w:szCs w:val="21"/>
              </w:rPr>
            </w:pPr>
            <w:r>
              <w:rPr>
                <w:color w:val="000000"/>
                <w:kern w:val="0"/>
                <w:szCs w:val="21"/>
              </w:rPr>
              <w:t>1</w:t>
            </w:r>
          </w:p>
        </w:tc>
        <w:tc>
          <w:tcPr>
            <w:tcW w:w="0" w:type="dxa"/>
            <w:noWrap w:val="0"/>
            <w:vAlign w:val="center"/>
          </w:tcPr>
          <w:p w14:paraId="4A14378E">
            <w:pPr>
              <w:jc w:val="center"/>
              <w:rPr>
                <w:color w:val="000000"/>
                <w:kern w:val="0"/>
                <w:sz w:val="22"/>
                <w:szCs w:val="22"/>
              </w:rPr>
            </w:pPr>
            <w:r>
              <w:rPr>
                <w:color w:val="000000"/>
                <w:kern w:val="0"/>
                <w:sz w:val="22"/>
                <w:szCs w:val="22"/>
              </w:rPr>
              <w:t>318</w:t>
            </w:r>
          </w:p>
        </w:tc>
        <w:tc>
          <w:tcPr>
            <w:tcW w:w="0" w:type="dxa"/>
            <w:noWrap w:val="0"/>
            <w:vAlign w:val="center"/>
          </w:tcPr>
          <w:p w14:paraId="01CD630F">
            <w:pPr>
              <w:jc w:val="center"/>
              <w:rPr>
                <w:color w:val="000000"/>
                <w:kern w:val="0"/>
                <w:szCs w:val="21"/>
              </w:rPr>
            </w:pPr>
            <w:r>
              <w:rPr>
                <w:color w:val="000000"/>
                <w:kern w:val="0"/>
                <w:szCs w:val="21"/>
              </w:rPr>
              <w:t>1</w:t>
            </w:r>
          </w:p>
        </w:tc>
        <w:tc>
          <w:tcPr>
            <w:tcW w:w="0" w:type="dxa"/>
            <w:noWrap w:val="0"/>
            <w:vAlign w:val="center"/>
          </w:tcPr>
          <w:p w14:paraId="65C46675">
            <w:pPr>
              <w:jc w:val="center"/>
              <w:rPr>
                <w:color w:val="000000"/>
                <w:kern w:val="0"/>
                <w:szCs w:val="21"/>
              </w:rPr>
            </w:pPr>
            <w:r>
              <w:rPr>
                <w:color w:val="000000"/>
                <w:kern w:val="0"/>
                <w:szCs w:val="21"/>
              </w:rPr>
              <w:t>312</w:t>
            </w:r>
          </w:p>
        </w:tc>
      </w:tr>
      <w:tr w14:paraId="4B437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restart"/>
            <w:noWrap w:val="0"/>
            <w:vAlign w:val="center"/>
          </w:tcPr>
          <w:p w14:paraId="74C9A19D">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西二铺乡</w:t>
            </w:r>
          </w:p>
        </w:tc>
        <w:tc>
          <w:tcPr>
            <w:tcW w:w="0" w:type="dxa"/>
            <w:noWrap w:val="0"/>
            <w:vAlign w:val="center"/>
          </w:tcPr>
          <w:p w14:paraId="3C90BC7D">
            <w:pPr>
              <w:jc w:val="center"/>
              <w:rPr>
                <w:color w:val="000000"/>
                <w:kern w:val="0"/>
                <w:szCs w:val="21"/>
              </w:rPr>
            </w:pPr>
            <w:r>
              <w:rPr>
                <w:color w:val="000000"/>
                <w:kern w:val="0"/>
                <w:szCs w:val="21"/>
              </w:rPr>
              <w:t>1</w:t>
            </w:r>
          </w:p>
        </w:tc>
        <w:tc>
          <w:tcPr>
            <w:tcW w:w="0" w:type="dxa"/>
            <w:noWrap w:val="0"/>
            <w:vAlign w:val="center"/>
          </w:tcPr>
          <w:p w14:paraId="32CEBB52">
            <w:pPr>
              <w:jc w:val="center"/>
              <w:rPr>
                <w:color w:val="000000"/>
                <w:kern w:val="0"/>
                <w:szCs w:val="21"/>
              </w:rPr>
            </w:pPr>
            <w:r>
              <w:rPr>
                <w:color w:val="000000"/>
                <w:kern w:val="0"/>
                <w:szCs w:val="21"/>
              </w:rPr>
              <w:t>17</w:t>
            </w:r>
          </w:p>
        </w:tc>
        <w:tc>
          <w:tcPr>
            <w:tcW w:w="0" w:type="dxa"/>
            <w:noWrap w:val="0"/>
            <w:vAlign w:val="center"/>
          </w:tcPr>
          <w:p w14:paraId="23C28C41">
            <w:pPr>
              <w:jc w:val="center"/>
              <w:rPr>
                <w:color w:val="000000"/>
                <w:kern w:val="0"/>
                <w:szCs w:val="21"/>
              </w:rPr>
            </w:pPr>
            <w:r>
              <w:rPr>
                <w:color w:val="000000"/>
                <w:kern w:val="0"/>
                <w:szCs w:val="21"/>
              </w:rPr>
              <w:t>525</w:t>
            </w:r>
          </w:p>
        </w:tc>
        <w:tc>
          <w:tcPr>
            <w:tcW w:w="0" w:type="dxa"/>
            <w:noWrap w:val="0"/>
            <w:vAlign w:val="center"/>
          </w:tcPr>
          <w:p w14:paraId="74EC98F3">
            <w:pPr>
              <w:jc w:val="center"/>
              <w:rPr>
                <w:color w:val="000000"/>
                <w:kern w:val="0"/>
                <w:szCs w:val="21"/>
              </w:rPr>
            </w:pPr>
            <w:r>
              <w:rPr>
                <w:color w:val="000000"/>
                <w:kern w:val="0"/>
                <w:szCs w:val="21"/>
              </w:rPr>
              <w:t>17</w:t>
            </w:r>
          </w:p>
        </w:tc>
        <w:tc>
          <w:tcPr>
            <w:tcW w:w="0" w:type="dxa"/>
            <w:noWrap w:val="0"/>
            <w:vAlign w:val="center"/>
          </w:tcPr>
          <w:p w14:paraId="3D787113">
            <w:pPr>
              <w:jc w:val="center"/>
              <w:rPr>
                <w:color w:val="000000"/>
                <w:kern w:val="0"/>
                <w:sz w:val="22"/>
                <w:szCs w:val="22"/>
              </w:rPr>
            </w:pPr>
            <w:r>
              <w:rPr>
                <w:color w:val="000000"/>
                <w:kern w:val="0"/>
                <w:sz w:val="22"/>
                <w:szCs w:val="22"/>
              </w:rPr>
              <w:t>515</w:t>
            </w:r>
          </w:p>
        </w:tc>
        <w:tc>
          <w:tcPr>
            <w:tcW w:w="0" w:type="dxa"/>
            <w:noWrap w:val="0"/>
            <w:vAlign w:val="center"/>
          </w:tcPr>
          <w:p w14:paraId="6D0BA5D7">
            <w:pPr>
              <w:jc w:val="center"/>
              <w:rPr>
                <w:color w:val="000000"/>
                <w:kern w:val="0"/>
                <w:szCs w:val="21"/>
              </w:rPr>
            </w:pPr>
            <w:r>
              <w:rPr>
                <w:color w:val="000000"/>
                <w:kern w:val="0"/>
                <w:szCs w:val="21"/>
              </w:rPr>
              <w:t>17</w:t>
            </w:r>
          </w:p>
        </w:tc>
        <w:tc>
          <w:tcPr>
            <w:tcW w:w="0" w:type="dxa"/>
            <w:noWrap w:val="0"/>
            <w:vAlign w:val="center"/>
          </w:tcPr>
          <w:p w14:paraId="5FCB32EB">
            <w:pPr>
              <w:jc w:val="center"/>
              <w:rPr>
                <w:color w:val="000000"/>
                <w:kern w:val="0"/>
                <w:szCs w:val="21"/>
              </w:rPr>
            </w:pPr>
            <w:r>
              <w:rPr>
                <w:color w:val="000000"/>
                <w:kern w:val="0"/>
                <w:szCs w:val="21"/>
              </w:rPr>
              <w:t>460</w:t>
            </w:r>
          </w:p>
        </w:tc>
      </w:tr>
      <w:tr w14:paraId="32019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109A5635">
            <w:pPr>
              <w:rPr>
                <w:rFonts w:ascii="楷体_GB2312" w:hAnsi="宋体" w:eastAsia="楷体_GB2312" w:cs="宋体"/>
                <w:color w:val="000000"/>
                <w:kern w:val="0"/>
                <w:szCs w:val="21"/>
              </w:rPr>
            </w:pPr>
          </w:p>
        </w:tc>
        <w:tc>
          <w:tcPr>
            <w:tcW w:w="0" w:type="dxa"/>
            <w:noWrap w:val="0"/>
            <w:vAlign w:val="center"/>
          </w:tcPr>
          <w:p w14:paraId="75F255F1">
            <w:pPr>
              <w:jc w:val="center"/>
              <w:rPr>
                <w:color w:val="000000"/>
                <w:kern w:val="0"/>
                <w:szCs w:val="21"/>
              </w:rPr>
            </w:pPr>
            <w:r>
              <w:rPr>
                <w:color w:val="000000"/>
                <w:kern w:val="0"/>
                <w:szCs w:val="21"/>
              </w:rPr>
              <w:t>2</w:t>
            </w:r>
          </w:p>
        </w:tc>
        <w:tc>
          <w:tcPr>
            <w:tcW w:w="0" w:type="dxa"/>
            <w:noWrap w:val="0"/>
            <w:vAlign w:val="center"/>
          </w:tcPr>
          <w:p w14:paraId="7D458E20">
            <w:pPr>
              <w:jc w:val="center"/>
              <w:rPr>
                <w:color w:val="000000"/>
                <w:kern w:val="0"/>
                <w:szCs w:val="21"/>
              </w:rPr>
            </w:pPr>
            <w:r>
              <w:rPr>
                <w:color w:val="000000"/>
                <w:kern w:val="0"/>
                <w:szCs w:val="21"/>
              </w:rPr>
              <w:t>10</w:t>
            </w:r>
          </w:p>
        </w:tc>
        <w:tc>
          <w:tcPr>
            <w:tcW w:w="0" w:type="dxa"/>
            <w:noWrap w:val="0"/>
            <w:vAlign w:val="center"/>
          </w:tcPr>
          <w:p w14:paraId="0F992B64">
            <w:pPr>
              <w:jc w:val="center"/>
              <w:rPr>
                <w:color w:val="000000"/>
                <w:kern w:val="0"/>
                <w:szCs w:val="21"/>
              </w:rPr>
            </w:pPr>
            <w:r>
              <w:rPr>
                <w:color w:val="000000"/>
                <w:kern w:val="0"/>
                <w:szCs w:val="21"/>
              </w:rPr>
              <w:t>411</w:t>
            </w:r>
          </w:p>
        </w:tc>
        <w:tc>
          <w:tcPr>
            <w:tcW w:w="0" w:type="dxa"/>
            <w:noWrap w:val="0"/>
            <w:vAlign w:val="center"/>
          </w:tcPr>
          <w:p w14:paraId="4C830B13">
            <w:pPr>
              <w:jc w:val="center"/>
              <w:rPr>
                <w:color w:val="000000"/>
                <w:kern w:val="0"/>
                <w:szCs w:val="21"/>
              </w:rPr>
            </w:pPr>
            <w:r>
              <w:rPr>
                <w:color w:val="000000"/>
                <w:kern w:val="0"/>
                <w:szCs w:val="21"/>
              </w:rPr>
              <w:t>10</w:t>
            </w:r>
          </w:p>
        </w:tc>
        <w:tc>
          <w:tcPr>
            <w:tcW w:w="0" w:type="dxa"/>
            <w:noWrap w:val="0"/>
            <w:vAlign w:val="center"/>
          </w:tcPr>
          <w:p w14:paraId="2451CC6A">
            <w:pPr>
              <w:jc w:val="center"/>
              <w:rPr>
                <w:color w:val="000000"/>
                <w:kern w:val="0"/>
                <w:sz w:val="22"/>
                <w:szCs w:val="22"/>
              </w:rPr>
            </w:pPr>
            <w:r>
              <w:rPr>
                <w:color w:val="000000"/>
                <w:kern w:val="0"/>
                <w:sz w:val="22"/>
                <w:szCs w:val="22"/>
              </w:rPr>
              <w:t>387</w:t>
            </w:r>
          </w:p>
        </w:tc>
        <w:tc>
          <w:tcPr>
            <w:tcW w:w="0" w:type="dxa"/>
            <w:noWrap w:val="0"/>
            <w:vAlign w:val="center"/>
          </w:tcPr>
          <w:p w14:paraId="56F37E74">
            <w:pPr>
              <w:jc w:val="center"/>
              <w:rPr>
                <w:color w:val="000000"/>
                <w:kern w:val="0"/>
                <w:szCs w:val="21"/>
              </w:rPr>
            </w:pPr>
            <w:r>
              <w:rPr>
                <w:color w:val="000000"/>
                <w:kern w:val="0"/>
                <w:szCs w:val="21"/>
              </w:rPr>
              <w:t>10</w:t>
            </w:r>
          </w:p>
        </w:tc>
        <w:tc>
          <w:tcPr>
            <w:tcW w:w="0" w:type="dxa"/>
            <w:noWrap w:val="0"/>
            <w:vAlign w:val="center"/>
          </w:tcPr>
          <w:p w14:paraId="6C264344">
            <w:pPr>
              <w:jc w:val="center"/>
              <w:rPr>
                <w:color w:val="000000"/>
                <w:kern w:val="0"/>
                <w:szCs w:val="21"/>
              </w:rPr>
            </w:pPr>
            <w:r>
              <w:rPr>
                <w:color w:val="000000"/>
                <w:kern w:val="0"/>
                <w:szCs w:val="21"/>
              </w:rPr>
              <w:t>387</w:t>
            </w:r>
          </w:p>
        </w:tc>
      </w:tr>
      <w:tr w14:paraId="7C9F5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15F5D615">
            <w:pPr>
              <w:rPr>
                <w:rFonts w:ascii="楷体_GB2312" w:hAnsi="宋体" w:eastAsia="楷体_GB2312" w:cs="宋体"/>
                <w:color w:val="000000"/>
                <w:kern w:val="0"/>
                <w:szCs w:val="21"/>
              </w:rPr>
            </w:pPr>
          </w:p>
        </w:tc>
        <w:tc>
          <w:tcPr>
            <w:tcW w:w="0" w:type="dxa"/>
            <w:noWrap w:val="0"/>
            <w:vAlign w:val="center"/>
          </w:tcPr>
          <w:p w14:paraId="5FD51ABE">
            <w:pPr>
              <w:jc w:val="center"/>
              <w:rPr>
                <w:color w:val="000000"/>
                <w:kern w:val="0"/>
                <w:szCs w:val="21"/>
              </w:rPr>
            </w:pPr>
            <w:r>
              <w:rPr>
                <w:color w:val="000000"/>
                <w:kern w:val="0"/>
                <w:szCs w:val="21"/>
              </w:rPr>
              <w:t>3</w:t>
            </w:r>
          </w:p>
        </w:tc>
        <w:tc>
          <w:tcPr>
            <w:tcW w:w="0" w:type="dxa"/>
            <w:noWrap w:val="0"/>
            <w:vAlign w:val="center"/>
          </w:tcPr>
          <w:p w14:paraId="7E4C35BB">
            <w:pPr>
              <w:jc w:val="center"/>
              <w:rPr>
                <w:color w:val="000000"/>
                <w:kern w:val="0"/>
                <w:szCs w:val="21"/>
              </w:rPr>
            </w:pPr>
            <w:r>
              <w:rPr>
                <w:color w:val="000000"/>
                <w:kern w:val="0"/>
                <w:szCs w:val="21"/>
              </w:rPr>
              <w:t>3</w:t>
            </w:r>
          </w:p>
        </w:tc>
        <w:tc>
          <w:tcPr>
            <w:tcW w:w="0" w:type="dxa"/>
            <w:noWrap w:val="0"/>
            <w:vAlign w:val="center"/>
          </w:tcPr>
          <w:p w14:paraId="5F5FE62F">
            <w:pPr>
              <w:jc w:val="center"/>
              <w:rPr>
                <w:color w:val="000000"/>
                <w:kern w:val="0"/>
                <w:szCs w:val="21"/>
              </w:rPr>
            </w:pPr>
            <w:r>
              <w:rPr>
                <w:color w:val="000000"/>
                <w:kern w:val="0"/>
                <w:szCs w:val="21"/>
              </w:rPr>
              <w:t>301</w:t>
            </w:r>
          </w:p>
        </w:tc>
        <w:tc>
          <w:tcPr>
            <w:tcW w:w="0" w:type="dxa"/>
            <w:noWrap w:val="0"/>
            <w:vAlign w:val="center"/>
          </w:tcPr>
          <w:p w14:paraId="09ECE961">
            <w:pPr>
              <w:jc w:val="center"/>
              <w:rPr>
                <w:color w:val="000000"/>
                <w:kern w:val="0"/>
                <w:szCs w:val="21"/>
              </w:rPr>
            </w:pPr>
            <w:r>
              <w:rPr>
                <w:color w:val="000000"/>
                <w:kern w:val="0"/>
                <w:szCs w:val="21"/>
              </w:rPr>
              <w:t>3</w:t>
            </w:r>
          </w:p>
        </w:tc>
        <w:tc>
          <w:tcPr>
            <w:tcW w:w="0" w:type="dxa"/>
            <w:noWrap w:val="0"/>
            <w:vAlign w:val="center"/>
          </w:tcPr>
          <w:p w14:paraId="757F26C3">
            <w:pPr>
              <w:jc w:val="center"/>
              <w:rPr>
                <w:color w:val="000000"/>
                <w:kern w:val="0"/>
                <w:sz w:val="22"/>
                <w:szCs w:val="22"/>
              </w:rPr>
            </w:pPr>
            <w:r>
              <w:rPr>
                <w:color w:val="000000"/>
                <w:kern w:val="0"/>
                <w:sz w:val="22"/>
                <w:szCs w:val="22"/>
              </w:rPr>
              <w:t>316</w:t>
            </w:r>
          </w:p>
        </w:tc>
        <w:tc>
          <w:tcPr>
            <w:tcW w:w="0" w:type="dxa"/>
            <w:noWrap w:val="0"/>
            <w:vAlign w:val="center"/>
          </w:tcPr>
          <w:p w14:paraId="3ED6242D">
            <w:pPr>
              <w:jc w:val="center"/>
              <w:rPr>
                <w:color w:val="000000"/>
                <w:kern w:val="0"/>
                <w:szCs w:val="21"/>
              </w:rPr>
            </w:pPr>
            <w:r>
              <w:rPr>
                <w:color w:val="000000"/>
                <w:kern w:val="0"/>
                <w:szCs w:val="21"/>
              </w:rPr>
              <w:t>3</w:t>
            </w:r>
          </w:p>
        </w:tc>
        <w:tc>
          <w:tcPr>
            <w:tcW w:w="0" w:type="dxa"/>
            <w:noWrap w:val="0"/>
            <w:vAlign w:val="center"/>
          </w:tcPr>
          <w:p w14:paraId="6186F58B">
            <w:pPr>
              <w:jc w:val="center"/>
              <w:rPr>
                <w:color w:val="000000"/>
                <w:kern w:val="0"/>
                <w:szCs w:val="21"/>
              </w:rPr>
            </w:pPr>
            <w:r>
              <w:rPr>
                <w:color w:val="000000"/>
                <w:kern w:val="0"/>
                <w:szCs w:val="21"/>
              </w:rPr>
              <w:t>313</w:t>
            </w:r>
          </w:p>
        </w:tc>
      </w:tr>
      <w:tr w14:paraId="05FA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restart"/>
            <w:noWrap w:val="0"/>
            <w:vAlign w:val="center"/>
          </w:tcPr>
          <w:p w14:paraId="2559D73F">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桃园镇</w:t>
            </w:r>
          </w:p>
        </w:tc>
        <w:tc>
          <w:tcPr>
            <w:tcW w:w="0" w:type="dxa"/>
            <w:noWrap w:val="0"/>
            <w:vAlign w:val="center"/>
          </w:tcPr>
          <w:p w14:paraId="35339645">
            <w:pPr>
              <w:jc w:val="center"/>
              <w:rPr>
                <w:color w:val="000000"/>
                <w:kern w:val="0"/>
                <w:szCs w:val="21"/>
              </w:rPr>
            </w:pPr>
            <w:r>
              <w:rPr>
                <w:color w:val="000000"/>
                <w:kern w:val="0"/>
                <w:szCs w:val="21"/>
              </w:rPr>
              <w:t>1</w:t>
            </w:r>
          </w:p>
        </w:tc>
        <w:tc>
          <w:tcPr>
            <w:tcW w:w="0" w:type="dxa"/>
            <w:noWrap w:val="0"/>
            <w:vAlign w:val="center"/>
          </w:tcPr>
          <w:p w14:paraId="49D1E6F7">
            <w:pPr>
              <w:jc w:val="center"/>
              <w:rPr>
                <w:color w:val="000000"/>
                <w:kern w:val="0"/>
                <w:szCs w:val="21"/>
              </w:rPr>
            </w:pPr>
            <w:r>
              <w:rPr>
                <w:color w:val="000000"/>
                <w:kern w:val="0"/>
                <w:szCs w:val="21"/>
              </w:rPr>
              <w:t>12</w:t>
            </w:r>
          </w:p>
        </w:tc>
        <w:tc>
          <w:tcPr>
            <w:tcW w:w="0" w:type="dxa"/>
            <w:noWrap w:val="0"/>
            <w:vAlign w:val="center"/>
          </w:tcPr>
          <w:p w14:paraId="5B335A09">
            <w:pPr>
              <w:jc w:val="center"/>
              <w:rPr>
                <w:color w:val="000000"/>
                <w:kern w:val="0"/>
                <w:szCs w:val="21"/>
              </w:rPr>
            </w:pPr>
            <w:r>
              <w:rPr>
                <w:color w:val="000000"/>
                <w:kern w:val="0"/>
                <w:szCs w:val="21"/>
              </w:rPr>
              <w:t>480</w:t>
            </w:r>
          </w:p>
        </w:tc>
        <w:tc>
          <w:tcPr>
            <w:tcW w:w="0" w:type="dxa"/>
            <w:noWrap w:val="0"/>
            <w:vAlign w:val="center"/>
          </w:tcPr>
          <w:p w14:paraId="3211EE19">
            <w:pPr>
              <w:jc w:val="center"/>
              <w:rPr>
                <w:color w:val="000000"/>
                <w:kern w:val="0"/>
                <w:szCs w:val="21"/>
              </w:rPr>
            </w:pPr>
            <w:r>
              <w:rPr>
                <w:color w:val="000000"/>
                <w:kern w:val="0"/>
                <w:szCs w:val="21"/>
              </w:rPr>
              <w:t>12</w:t>
            </w:r>
          </w:p>
        </w:tc>
        <w:tc>
          <w:tcPr>
            <w:tcW w:w="0" w:type="dxa"/>
            <w:noWrap w:val="0"/>
            <w:vAlign w:val="center"/>
          </w:tcPr>
          <w:p w14:paraId="357794D8">
            <w:pPr>
              <w:jc w:val="center"/>
              <w:rPr>
                <w:color w:val="000000"/>
                <w:kern w:val="0"/>
                <w:sz w:val="22"/>
                <w:szCs w:val="22"/>
              </w:rPr>
            </w:pPr>
            <w:r>
              <w:rPr>
                <w:color w:val="000000"/>
                <w:kern w:val="0"/>
                <w:sz w:val="22"/>
                <w:szCs w:val="22"/>
              </w:rPr>
              <w:t>515</w:t>
            </w:r>
          </w:p>
        </w:tc>
        <w:tc>
          <w:tcPr>
            <w:tcW w:w="0" w:type="dxa"/>
            <w:noWrap w:val="0"/>
            <w:vAlign w:val="center"/>
          </w:tcPr>
          <w:p w14:paraId="489C9673">
            <w:pPr>
              <w:jc w:val="center"/>
              <w:rPr>
                <w:color w:val="000000"/>
                <w:kern w:val="0"/>
                <w:szCs w:val="21"/>
              </w:rPr>
            </w:pPr>
            <w:r>
              <w:rPr>
                <w:color w:val="000000"/>
                <w:kern w:val="0"/>
                <w:szCs w:val="21"/>
              </w:rPr>
              <w:t>12</w:t>
            </w:r>
          </w:p>
        </w:tc>
        <w:tc>
          <w:tcPr>
            <w:tcW w:w="0" w:type="dxa"/>
            <w:noWrap w:val="0"/>
            <w:vAlign w:val="center"/>
          </w:tcPr>
          <w:p w14:paraId="6614B3A6">
            <w:pPr>
              <w:jc w:val="center"/>
              <w:rPr>
                <w:color w:val="000000"/>
                <w:kern w:val="0"/>
                <w:szCs w:val="21"/>
              </w:rPr>
            </w:pPr>
            <w:r>
              <w:rPr>
                <w:color w:val="000000"/>
                <w:kern w:val="0"/>
                <w:szCs w:val="21"/>
              </w:rPr>
              <w:t>475</w:t>
            </w:r>
          </w:p>
        </w:tc>
      </w:tr>
      <w:tr w14:paraId="561F6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56E11E8F">
            <w:pPr>
              <w:rPr>
                <w:rFonts w:ascii="楷体_GB2312" w:hAnsi="宋体" w:eastAsia="楷体_GB2312" w:cs="宋体"/>
                <w:color w:val="000000"/>
                <w:kern w:val="0"/>
                <w:szCs w:val="21"/>
              </w:rPr>
            </w:pPr>
          </w:p>
        </w:tc>
        <w:tc>
          <w:tcPr>
            <w:tcW w:w="0" w:type="dxa"/>
            <w:noWrap w:val="0"/>
            <w:vAlign w:val="center"/>
          </w:tcPr>
          <w:p w14:paraId="26894489">
            <w:pPr>
              <w:jc w:val="center"/>
              <w:rPr>
                <w:color w:val="000000"/>
                <w:kern w:val="0"/>
                <w:szCs w:val="21"/>
              </w:rPr>
            </w:pPr>
            <w:r>
              <w:rPr>
                <w:color w:val="000000"/>
                <w:kern w:val="0"/>
                <w:szCs w:val="21"/>
              </w:rPr>
              <w:t>2</w:t>
            </w:r>
          </w:p>
        </w:tc>
        <w:tc>
          <w:tcPr>
            <w:tcW w:w="0" w:type="dxa"/>
            <w:noWrap w:val="0"/>
            <w:vAlign w:val="center"/>
          </w:tcPr>
          <w:p w14:paraId="62BDFEDF">
            <w:pPr>
              <w:jc w:val="center"/>
              <w:rPr>
                <w:color w:val="000000"/>
                <w:kern w:val="0"/>
                <w:szCs w:val="21"/>
              </w:rPr>
            </w:pPr>
            <w:r>
              <w:rPr>
                <w:color w:val="000000"/>
                <w:kern w:val="0"/>
                <w:szCs w:val="21"/>
              </w:rPr>
              <w:t>14</w:t>
            </w:r>
          </w:p>
        </w:tc>
        <w:tc>
          <w:tcPr>
            <w:tcW w:w="0" w:type="dxa"/>
            <w:noWrap w:val="0"/>
            <w:vAlign w:val="center"/>
          </w:tcPr>
          <w:p w14:paraId="10C89C64">
            <w:pPr>
              <w:jc w:val="center"/>
              <w:rPr>
                <w:color w:val="000000"/>
                <w:kern w:val="0"/>
                <w:szCs w:val="21"/>
              </w:rPr>
            </w:pPr>
            <w:r>
              <w:rPr>
                <w:color w:val="000000"/>
                <w:kern w:val="0"/>
                <w:szCs w:val="21"/>
              </w:rPr>
              <w:t>366</w:t>
            </w:r>
          </w:p>
        </w:tc>
        <w:tc>
          <w:tcPr>
            <w:tcW w:w="0" w:type="dxa"/>
            <w:noWrap w:val="0"/>
            <w:vAlign w:val="center"/>
          </w:tcPr>
          <w:p w14:paraId="2F3C0FE9">
            <w:pPr>
              <w:jc w:val="center"/>
              <w:rPr>
                <w:color w:val="000000"/>
                <w:kern w:val="0"/>
                <w:szCs w:val="21"/>
              </w:rPr>
            </w:pPr>
            <w:r>
              <w:rPr>
                <w:color w:val="000000"/>
                <w:kern w:val="0"/>
                <w:szCs w:val="21"/>
              </w:rPr>
              <w:t>14</w:t>
            </w:r>
          </w:p>
        </w:tc>
        <w:tc>
          <w:tcPr>
            <w:tcW w:w="0" w:type="dxa"/>
            <w:noWrap w:val="0"/>
            <w:vAlign w:val="center"/>
          </w:tcPr>
          <w:p w14:paraId="65697E1C">
            <w:pPr>
              <w:jc w:val="center"/>
              <w:rPr>
                <w:color w:val="000000"/>
                <w:kern w:val="0"/>
                <w:sz w:val="22"/>
                <w:szCs w:val="22"/>
              </w:rPr>
            </w:pPr>
            <w:r>
              <w:rPr>
                <w:color w:val="000000"/>
                <w:kern w:val="0"/>
                <w:sz w:val="22"/>
                <w:szCs w:val="22"/>
              </w:rPr>
              <w:t>385</w:t>
            </w:r>
          </w:p>
        </w:tc>
        <w:tc>
          <w:tcPr>
            <w:tcW w:w="0" w:type="dxa"/>
            <w:noWrap w:val="0"/>
            <w:vAlign w:val="center"/>
          </w:tcPr>
          <w:p w14:paraId="4CE6B98F">
            <w:pPr>
              <w:jc w:val="center"/>
              <w:rPr>
                <w:color w:val="000000"/>
                <w:kern w:val="0"/>
                <w:szCs w:val="21"/>
              </w:rPr>
            </w:pPr>
            <w:r>
              <w:rPr>
                <w:color w:val="000000"/>
                <w:kern w:val="0"/>
                <w:szCs w:val="21"/>
              </w:rPr>
              <w:t>14</w:t>
            </w:r>
          </w:p>
        </w:tc>
        <w:tc>
          <w:tcPr>
            <w:tcW w:w="0" w:type="dxa"/>
            <w:noWrap w:val="0"/>
            <w:vAlign w:val="center"/>
          </w:tcPr>
          <w:p w14:paraId="79FC257D">
            <w:pPr>
              <w:jc w:val="center"/>
              <w:rPr>
                <w:color w:val="000000"/>
                <w:kern w:val="0"/>
                <w:szCs w:val="21"/>
              </w:rPr>
            </w:pPr>
            <w:r>
              <w:rPr>
                <w:color w:val="000000"/>
                <w:kern w:val="0"/>
                <w:szCs w:val="21"/>
              </w:rPr>
              <w:t>404</w:t>
            </w:r>
          </w:p>
        </w:tc>
      </w:tr>
      <w:tr w14:paraId="10118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18FBD75D">
            <w:pPr>
              <w:rPr>
                <w:rFonts w:ascii="楷体_GB2312" w:hAnsi="宋体" w:eastAsia="楷体_GB2312" w:cs="宋体"/>
                <w:color w:val="000000"/>
                <w:kern w:val="0"/>
                <w:szCs w:val="21"/>
              </w:rPr>
            </w:pPr>
          </w:p>
        </w:tc>
        <w:tc>
          <w:tcPr>
            <w:tcW w:w="0" w:type="dxa"/>
            <w:noWrap w:val="0"/>
            <w:vAlign w:val="center"/>
          </w:tcPr>
          <w:p w14:paraId="5E056015">
            <w:pPr>
              <w:jc w:val="center"/>
              <w:rPr>
                <w:color w:val="000000"/>
                <w:kern w:val="0"/>
                <w:szCs w:val="21"/>
              </w:rPr>
            </w:pPr>
            <w:r>
              <w:rPr>
                <w:color w:val="000000"/>
                <w:kern w:val="0"/>
                <w:szCs w:val="21"/>
              </w:rPr>
              <w:t>3</w:t>
            </w:r>
          </w:p>
        </w:tc>
        <w:tc>
          <w:tcPr>
            <w:tcW w:w="0" w:type="dxa"/>
            <w:noWrap w:val="0"/>
            <w:vAlign w:val="center"/>
          </w:tcPr>
          <w:p w14:paraId="5F2A70F6">
            <w:pPr>
              <w:jc w:val="center"/>
              <w:rPr>
                <w:color w:val="000000"/>
                <w:kern w:val="0"/>
                <w:szCs w:val="21"/>
              </w:rPr>
            </w:pPr>
            <w:r>
              <w:rPr>
                <w:color w:val="000000"/>
                <w:kern w:val="0"/>
                <w:szCs w:val="21"/>
              </w:rPr>
              <w:t>4</w:t>
            </w:r>
          </w:p>
        </w:tc>
        <w:tc>
          <w:tcPr>
            <w:tcW w:w="0" w:type="dxa"/>
            <w:noWrap w:val="0"/>
            <w:vAlign w:val="center"/>
          </w:tcPr>
          <w:p w14:paraId="0FA56214">
            <w:pPr>
              <w:jc w:val="center"/>
              <w:rPr>
                <w:color w:val="000000"/>
                <w:kern w:val="0"/>
                <w:szCs w:val="21"/>
              </w:rPr>
            </w:pPr>
            <w:r>
              <w:rPr>
                <w:color w:val="000000"/>
                <w:kern w:val="0"/>
                <w:szCs w:val="21"/>
              </w:rPr>
              <w:t>294</w:t>
            </w:r>
          </w:p>
        </w:tc>
        <w:tc>
          <w:tcPr>
            <w:tcW w:w="0" w:type="dxa"/>
            <w:noWrap w:val="0"/>
            <w:vAlign w:val="center"/>
          </w:tcPr>
          <w:p w14:paraId="7F800608">
            <w:pPr>
              <w:jc w:val="center"/>
              <w:rPr>
                <w:color w:val="000000"/>
                <w:kern w:val="0"/>
                <w:szCs w:val="21"/>
              </w:rPr>
            </w:pPr>
            <w:r>
              <w:rPr>
                <w:color w:val="000000"/>
                <w:kern w:val="0"/>
                <w:szCs w:val="21"/>
              </w:rPr>
              <w:t>4</w:t>
            </w:r>
          </w:p>
        </w:tc>
        <w:tc>
          <w:tcPr>
            <w:tcW w:w="0" w:type="dxa"/>
            <w:noWrap w:val="0"/>
            <w:vAlign w:val="center"/>
          </w:tcPr>
          <w:p w14:paraId="45FC73C0">
            <w:pPr>
              <w:jc w:val="center"/>
              <w:rPr>
                <w:color w:val="000000"/>
                <w:kern w:val="0"/>
                <w:sz w:val="22"/>
                <w:szCs w:val="22"/>
              </w:rPr>
            </w:pPr>
            <w:r>
              <w:rPr>
                <w:color w:val="000000"/>
                <w:kern w:val="0"/>
                <w:sz w:val="22"/>
                <w:szCs w:val="22"/>
              </w:rPr>
              <w:t>315</w:t>
            </w:r>
          </w:p>
        </w:tc>
        <w:tc>
          <w:tcPr>
            <w:tcW w:w="0" w:type="dxa"/>
            <w:noWrap w:val="0"/>
            <w:vAlign w:val="center"/>
          </w:tcPr>
          <w:p w14:paraId="68450F60">
            <w:pPr>
              <w:jc w:val="center"/>
              <w:rPr>
                <w:color w:val="000000"/>
                <w:kern w:val="0"/>
                <w:szCs w:val="21"/>
              </w:rPr>
            </w:pPr>
            <w:r>
              <w:rPr>
                <w:color w:val="000000"/>
                <w:kern w:val="0"/>
                <w:szCs w:val="21"/>
              </w:rPr>
              <w:t>4</w:t>
            </w:r>
          </w:p>
        </w:tc>
        <w:tc>
          <w:tcPr>
            <w:tcW w:w="0" w:type="dxa"/>
            <w:noWrap w:val="0"/>
            <w:vAlign w:val="center"/>
          </w:tcPr>
          <w:p w14:paraId="00EC2161">
            <w:pPr>
              <w:jc w:val="center"/>
              <w:rPr>
                <w:color w:val="000000"/>
                <w:kern w:val="0"/>
                <w:szCs w:val="21"/>
              </w:rPr>
            </w:pPr>
            <w:r>
              <w:rPr>
                <w:color w:val="000000"/>
                <w:kern w:val="0"/>
                <w:szCs w:val="21"/>
              </w:rPr>
              <w:t>291</w:t>
            </w:r>
          </w:p>
        </w:tc>
      </w:tr>
      <w:tr w14:paraId="7935A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restart"/>
            <w:noWrap w:val="0"/>
            <w:vAlign w:val="center"/>
          </w:tcPr>
          <w:p w14:paraId="135A74FB">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曹村镇</w:t>
            </w:r>
          </w:p>
        </w:tc>
        <w:tc>
          <w:tcPr>
            <w:tcW w:w="0" w:type="dxa"/>
            <w:noWrap w:val="0"/>
            <w:vAlign w:val="center"/>
          </w:tcPr>
          <w:p w14:paraId="3C90477E">
            <w:pPr>
              <w:jc w:val="center"/>
              <w:rPr>
                <w:color w:val="000000"/>
                <w:kern w:val="0"/>
                <w:szCs w:val="21"/>
              </w:rPr>
            </w:pPr>
            <w:r>
              <w:rPr>
                <w:color w:val="000000"/>
                <w:kern w:val="0"/>
                <w:szCs w:val="21"/>
              </w:rPr>
              <w:t>1</w:t>
            </w:r>
          </w:p>
        </w:tc>
        <w:tc>
          <w:tcPr>
            <w:tcW w:w="0" w:type="dxa"/>
            <w:noWrap w:val="0"/>
            <w:vAlign w:val="center"/>
          </w:tcPr>
          <w:p w14:paraId="24C703E8">
            <w:pPr>
              <w:jc w:val="center"/>
              <w:rPr>
                <w:color w:val="000000"/>
                <w:kern w:val="0"/>
                <w:szCs w:val="21"/>
              </w:rPr>
            </w:pPr>
            <w:r>
              <w:rPr>
                <w:color w:val="000000"/>
                <w:kern w:val="0"/>
                <w:szCs w:val="21"/>
              </w:rPr>
              <w:t>10</w:t>
            </w:r>
          </w:p>
        </w:tc>
        <w:tc>
          <w:tcPr>
            <w:tcW w:w="0" w:type="dxa"/>
            <w:noWrap w:val="0"/>
            <w:vAlign w:val="center"/>
          </w:tcPr>
          <w:p w14:paraId="01A92E73">
            <w:pPr>
              <w:jc w:val="center"/>
              <w:rPr>
                <w:color w:val="000000"/>
                <w:kern w:val="0"/>
                <w:szCs w:val="21"/>
              </w:rPr>
            </w:pPr>
            <w:r>
              <w:rPr>
                <w:color w:val="000000"/>
                <w:kern w:val="0"/>
                <w:szCs w:val="21"/>
              </w:rPr>
              <w:t>470</w:t>
            </w:r>
          </w:p>
        </w:tc>
        <w:tc>
          <w:tcPr>
            <w:tcW w:w="0" w:type="dxa"/>
            <w:noWrap w:val="0"/>
            <w:vAlign w:val="center"/>
          </w:tcPr>
          <w:p w14:paraId="5893C952">
            <w:pPr>
              <w:jc w:val="center"/>
              <w:rPr>
                <w:color w:val="000000"/>
                <w:kern w:val="0"/>
                <w:szCs w:val="21"/>
              </w:rPr>
            </w:pPr>
            <w:r>
              <w:rPr>
                <w:color w:val="000000"/>
                <w:kern w:val="0"/>
                <w:szCs w:val="21"/>
              </w:rPr>
              <w:t>10</w:t>
            </w:r>
          </w:p>
        </w:tc>
        <w:tc>
          <w:tcPr>
            <w:tcW w:w="0" w:type="dxa"/>
            <w:noWrap w:val="0"/>
            <w:vAlign w:val="center"/>
          </w:tcPr>
          <w:p w14:paraId="28FFE6F4">
            <w:pPr>
              <w:jc w:val="center"/>
              <w:rPr>
                <w:color w:val="000000"/>
                <w:kern w:val="0"/>
                <w:sz w:val="22"/>
                <w:szCs w:val="22"/>
              </w:rPr>
            </w:pPr>
            <w:r>
              <w:rPr>
                <w:color w:val="000000"/>
                <w:kern w:val="0"/>
                <w:sz w:val="22"/>
                <w:szCs w:val="22"/>
              </w:rPr>
              <w:t>475</w:t>
            </w:r>
          </w:p>
        </w:tc>
        <w:tc>
          <w:tcPr>
            <w:tcW w:w="0" w:type="dxa"/>
            <w:noWrap w:val="0"/>
            <w:vAlign w:val="center"/>
          </w:tcPr>
          <w:p w14:paraId="4797D9D4">
            <w:pPr>
              <w:jc w:val="center"/>
              <w:rPr>
                <w:color w:val="000000"/>
                <w:kern w:val="0"/>
                <w:szCs w:val="21"/>
              </w:rPr>
            </w:pPr>
            <w:r>
              <w:rPr>
                <w:color w:val="000000"/>
                <w:kern w:val="0"/>
                <w:szCs w:val="21"/>
              </w:rPr>
              <w:t>10</w:t>
            </w:r>
          </w:p>
        </w:tc>
        <w:tc>
          <w:tcPr>
            <w:tcW w:w="0" w:type="dxa"/>
            <w:noWrap w:val="0"/>
            <w:vAlign w:val="center"/>
          </w:tcPr>
          <w:p w14:paraId="6F375022">
            <w:pPr>
              <w:jc w:val="center"/>
              <w:rPr>
                <w:color w:val="000000"/>
                <w:kern w:val="0"/>
                <w:szCs w:val="21"/>
              </w:rPr>
            </w:pPr>
            <w:r>
              <w:rPr>
                <w:color w:val="000000"/>
                <w:kern w:val="0"/>
                <w:szCs w:val="21"/>
              </w:rPr>
              <w:t>510</w:t>
            </w:r>
          </w:p>
        </w:tc>
      </w:tr>
      <w:tr w14:paraId="1768A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5F663A70">
            <w:pPr>
              <w:rPr>
                <w:rFonts w:ascii="楷体_GB2312" w:hAnsi="宋体" w:eastAsia="楷体_GB2312" w:cs="宋体"/>
                <w:color w:val="000000"/>
                <w:kern w:val="0"/>
                <w:szCs w:val="21"/>
              </w:rPr>
            </w:pPr>
          </w:p>
        </w:tc>
        <w:tc>
          <w:tcPr>
            <w:tcW w:w="0" w:type="dxa"/>
            <w:noWrap w:val="0"/>
            <w:vAlign w:val="center"/>
          </w:tcPr>
          <w:p w14:paraId="10E56674">
            <w:pPr>
              <w:jc w:val="center"/>
              <w:rPr>
                <w:color w:val="000000"/>
                <w:kern w:val="0"/>
                <w:szCs w:val="21"/>
              </w:rPr>
            </w:pPr>
            <w:r>
              <w:rPr>
                <w:color w:val="000000"/>
                <w:kern w:val="0"/>
                <w:szCs w:val="21"/>
              </w:rPr>
              <w:t>2</w:t>
            </w:r>
          </w:p>
        </w:tc>
        <w:tc>
          <w:tcPr>
            <w:tcW w:w="0" w:type="dxa"/>
            <w:noWrap w:val="0"/>
            <w:vAlign w:val="center"/>
          </w:tcPr>
          <w:p w14:paraId="282596BA">
            <w:pPr>
              <w:jc w:val="center"/>
              <w:rPr>
                <w:color w:val="000000"/>
                <w:kern w:val="0"/>
                <w:szCs w:val="21"/>
              </w:rPr>
            </w:pPr>
            <w:r>
              <w:rPr>
                <w:color w:val="000000"/>
                <w:kern w:val="0"/>
                <w:szCs w:val="21"/>
              </w:rPr>
              <w:t>10</w:t>
            </w:r>
          </w:p>
        </w:tc>
        <w:tc>
          <w:tcPr>
            <w:tcW w:w="0" w:type="dxa"/>
            <w:noWrap w:val="0"/>
            <w:vAlign w:val="center"/>
          </w:tcPr>
          <w:p w14:paraId="18F9631E">
            <w:pPr>
              <w:jc w:val="center"/>
              <w:rPr>
                <w:color w:val="000000"/>
                <w:kern w:val="0"/>
                <w:szCs w:val="21"/>
              </w:rPr>
            </w:pPr>
            <w:r>
              <w:rPr>
                <w:color w:val="000000"/>
                <w:kern w:val="0"/>
                <w:szCs w:val="21"/>
              </w:rPr>
              <w:t>399</w:t>
            </w:r>
          </w:p>
        </w:tc>
        <w:tc>
          <w:tcPr>
            <w:tcW w:w="0" w:type="dxa"/>
            <w:noWrap w:val="0"/>
            <w:vAlign w:val="center"/>
          </w:tcPr>
          <w:p w14:paraId="31CE8C3F">
            <w:pPr>
              <w:jc w:val="center"/>
              <w:rPr>
                <w:color w:val="000000"/>
                <w:kern w:val="0"/>
                <w:szCs w:val="21"/>
              </w:rPr>
            </w:pPr>
            <w:r>
              <w:rPr>
                <w:color w:val="000000"/>
                <w:kern w:val="0"/>
                <w:szCs w:val="21"/>
              </w:rPr>
              <w:t>10</w:t>
            </w:r>
          </w:p>
        </w:tc>
        <w:tc>
          <w:tcPr>
            <w:tcW w:w="0" w:type="dxa"/>
            <w:noWrap w:val="0"/>
            <w:vAlign w:val="center"/>
          </w:tcPr>
          <w:p w14:paraId="5AB935D3">
            <w:pPr>
              <w:jc w:val="center"/>
              <w:rPr>
                <w:color w:val="000000"/>
                <w:kern w:val="0"/>
                <w:sz w:val="22"/>
                <w:szCs w:val="22"/>
              </w:rPr>
            </w:pPr>
            <w:r>
              <w:rPr>
                <w:color w:val="000000"/>
                <w:kern w:val="0"/>
                <w:sz w:val="22"/>
                <w:szCs w:val="22"/>
              </w:rPr>
              <w:t>380</w:t>
            </w:r>
          </w:p>
        </w:tc>
        <w:tc>
          <w:tcPr>
            <w:tcW w:w="0" w:type="dxa"/>
            <w:noWrap w:val="0"/>
            <w:vAlign w:val="center"/>
          </w:tcPr>
          <w:p w14:paraId="330CE7A0">
            <w:pPr>
              <w:jc w:val="center"/>
              <w:rPr>
                <w:color w:val="000000"/>
                <w:kern w:val="0"/>
                <w:szCs w:val="21"/>
              </w:rPr>
            </w:pPr>
            <w:r>
              <w:rPr>
                <w:color w:val="000000"/>
                <w:kern w:val="0"/>
                <w:szCs w:val="21"/>
              </w:rPr>
              <w:t>10</w:t>
            </w:r>
          </w:p>
        </w:tc>
        <w:tc>
          <w:tcPr>
            <w:tcW w:w="0" w:type="dxa"/>
            <w:noWrap w:val="0"/>
            <w:vAlign w:val="center"/>
          </w:tcPr>
          <w:p w14:paraId="44C11572">
            <w:pPr>
              <w:jc w:val="center"/>
              <w:rPr>
                <w:color w:val="000000"/>
                <w:kern w:val="0"/>
                <w:szCs w:val="21"/>
              </w:rPr>
            </w:pPr>
            <w:r>
              <w:rPr>
                <w:color w:val="000000"/>
                <w:kern w:val="0"/>
                <w:szCs w:val="21"/>
              </w:rPr>
              <w:t>361</w:t>
            </w:r>
          </w:p>
        </w:tc>
      </w:tr>
      <w:tr w14:paraId="6E80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69A0AFC5">
            <w:pPr>
              <w:rPr>
                <w:rFonts w:ascii="楷体_GB2312" w:hAnsi="宋体" w:eastAsia="楷体_GB2312" w:cs="宋体"/>
                <w:color w:val="000000"/>
                <w:kern w:val="0"/>
                <w:szCs w:val="21"/>
              </w:rPr>
            </w:pPr>
          </w:p>
        </w:tc>
        <w:tc>
          <w:tcPr>
            <w:tcW w:w="0" w:type="dxa"/>
            <w:noWrap w:val="0"/>
            <w:vAlign w:val="center"/>
          </w:tcPr>
          <w:p w14:paraId="300EAEF0">
            <w:pPr>
              <w:jc w:val="center"/>
              <w:rPr>
                <w:color w:val="000000"/>
                <w:kern w:val="0"/>
                <w:szCs w:val="21"/>
              </w:rPr>
            </w:pPr>
            <w:r>
              <w:rPr>
                <w:color w:val="000000"/>
                <w:kern w:val="0"/>
                <w:szCs w:val="21"/>
              </w:rPr>
              <w:t>3</w:t>
            </w:r>
          </w:p>
        </w:tc>
        <w:tc>
          <w:tcPr>
            <w:tcW w:w="0" w:type="dxa"/>
            <w:noWrap w:val="0"/>
            <w:vAlign w:val="center"/>
          </w:tcPr>
          <w:p w14:paraId="71928C45">
            <w:pPr>
              <w:jc w:val="center"/>
              <w:rPr>
                <w:color w:val="000000"/>
                <w:kern w:val="0"/>
                <w:szCs w:val="21"/>
              </w:rPr>
            </w:pPr>
            <w:r>
              <w:rPr>
                <w:color w:val="000000"/>
                <w:kern w:val="0"/>
                <w:szCs w:val="21"/>
              </w:rPr>
              <w:t>10</w:t>
            </w:r>
          </w:p>
        </w:tc>
        <w:tc>
          <w:tcPr>
            <w:tcW w:w="0" w:type="dxa"/>
            <w:noWrap w:val="0"/>
            <w:vAlign w:val="center"/>
          </w:tcPr>
          <w:p w14:paraId="7A2365C9">
            <w:pPr>
              <w:jc w:val="center"/>
              <w:rPr>
                <w:color w:val="000000"/>
                <w:kern w:val="0"/>
                <w:szCs w:val="21"/>
              </w:rPr>
            </w:pPr>
            <w:r>
              <w:rPr>
                <w:color w:val="000000"/>
                <w:kern w:val="0"/>
                <w:szCs w:val="21"/>
              </w:rPr>
              <w:t>285</w:t>
            </w:r>
          </w:p>
        </w:tc>
        <w:tc>
          <w:tcPr>
            <w:tcW w:w="0" w:type="dxa"/>
            <w:noWrap w:val="0"/>
            <w:vAlign w:val="center"/>
          </w:tcPr>
          <w:p w14:paraId="6B4F25E6">
            <w:pPr>
              <w:jc w:val="center"/>
              <w:rPr>
                <w:color w:val="000000"/>
                <w:kern w:val="0"/>
                <w:szCs w:val="21"/>
              </w:rPr>
            </w:pPr>
            <w:r>
              <w:rPr>
                <w:color w:val="000000"/>
                <w:kern w:val="0"/>
                <w:szCs w:val="21"/>
              </w:rPr>
              <w:t>10</w:t>
            </w:r>
          </w:p>
        </w:tc>
        <w:tc>
          <w:tcPr>
            <w:tcW w:w="0" w:type="dxa"/>
            <w:noWrap w:val="0"/>
            <w:vAlign w:val="center"/>
          </w:tcPr>
          <w:p w14:paraId="5A1DF1AB">
            <w:pPr>
              <w:jc w:val="center"/>
              <w:rPr>
                <w:color w:val="000000"/>
                <w:kern w:val="0"/>
                <w:sz w:val="22"/>
                <w:szCs w:val="22"/>
              </w:rPr>
            </w:pPr>
            <w:r>
              <w:rPr>
                <w:color w:val="000000"/>
                <w:kern w:val="0"/>
                <w:sz w:val="22"/>
                <w:szCs w:val="22"/>
              </w:rPr>
              <w:t>303</w:t>
            </w:r>
          </w:p>
        </w:tc>
        <w:tc>
          <w:tcPr>
            <w:tcW w:w="0" w:type="dxa"/>
            <w:noWrap w:val="0"/>
            <w:vAlign w:val="center"/>
          </w:tcPr>
          <w:p w14:paraId="4CA6E3A1">
            <w:pPr>
              <w:jc w:val="center"/>
              <w:rPr>
                <w:color w:val="000000"/>
                <w:kern w:val="0"/>
                <w:szCs w:val="21"/>
              </w:rPr>
            </w:pPr>
            <w:r>
              <w:rPr>
                <w:color w:val="000000"/>
                <w:kern w:val="0"/>
                <w:szCs w:val="21"/>
              </w:rPr>
              <w:t>10</w:t>
            </w:r>
          </w:p>
        </w:tc>
        <w:tc>
          <w:tcPr>
            <w:tcW w:w="0" w:type="dxa"/>
            <w:noWrap w:val="0"/>
            <w:vAlign w:val="center"/>
          </w:tcPr>
          <w:p w14:paraId="1BE45C7D">
            <w:pPr>
              <w:jc w:val="center"/>
              <w:rPr>
                <w:color w:val="000000"/>
                <w:kern w:val="0"/>
                <w:szCs w:val="21"/>
              </w:rPr>
            </w:pPr>
            <w:r>
              <w:rPr>
                <w:color w:val="000000"/>
                <w:kern w:val="0"/>
                <w:szCs w:val="21"/>
              </w:rPr>
              <w:t>312</w:t>
            </w:r>
          </w:p>
        </w:tc>
      </w:tr>
      <w:tr w14:paraId="32D46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restart"/>
            <w:noWrap w:val="0"/>
            <w:vAlign w:val="center"/>
          </w:tcPr>
          <w:p w14:paraId="4491667B">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大营镇</w:t>
            </w:r>
          </w:p>
        </w:tc>
        <w:tc>
          <w:tcPr>
            <w:tcW w:w="0" w:type="dxa"/>
            <w:noWrap w:val="0"/>
            <w:vAlign w:val="center"/>
          </w:tcPr>
          <w:p w14:paraId="003F016C">
            <w:pPr>
              <w:jc w:val="center"/>
              <w:rPr>
                <w:color w:val="000000"/>
                <w:kern w:val="0"/>
                <w:szCs w:val="21"/>
              </w:rPr>
            </w:pPr>
            <w:r>
              <w:rPr>
                <w:color w:val="000000"/>
                <w:kern w:val="0"/>
                <w:szCs w:val="21"/>
              </w:rPr>
              <w:t>1</w:t>
            </w:r>
          </w:p>
        </w:tc>
        <w:tc>
          <w:tcPr>
            <w:tcW w:w="0" w:type="dxa"/>
            <w:noWrap w:val="0"/>
            <w:vAlign w:val="center"/>
          </w:tcPr>
          <w:p w14:paraId="36697529">
            <w:pPr>
              <w:jc w:val="center"/>
              <w:rPr>
                <w:color w:val="000000"/>
                <w:kern w:val="0"/>
                <w:szCs w:val="21"/>
              </w:rPr>
            </w:pPr>
            <w:r>
              <w:rPr>
                <w:color w:val="000000"/>
                <w:kern w:val="0"/>
                <w:szCs w:val="21"/>
              </w:rPr>
              <w:t>15</w:t>
            </w:r>
          </w:p>
        </w:tc>
        <w:tc>
          <w:tcPr>
            <w:tcW w:w="0" w:type="dxa"/>
            <w:noWrap w:val="0"/>
            <w:vAlign w:val="center"/>
          </w:tcPr>
          <w:p w14:paraId="3A287309">
            <w:pPr>
              <w:jc w:val="center"/>
              <w:rPr>
                <w:color w:val="000000"/>
                <w:kern w:val="0"/>
                <w:szCs w:val="21"/>
              </w:rPr>
            </w:pPr>
            <w:r>
              <w:rPr>
                <w:color w:val="000000"/>
                <w:kern w:val="0"/>
                <w:szCs w:val="21"/>
              </w:rPr>
              <w:t>475</w:t>
            </w:r>
          </w:p>
        </w:tc>
        <w:tc>
          <w:tcPr>
            <w:tcW w:w="0" w:type="dxa"/>
            <w:noWrap w:val="0"/>
            <w:vAlign w:val="center"/>
          </w:tcPr>
          <w:p w14:paraId="55A3668C">
            <w:pPr>
              <w:jc w:val="center"/>
              <w:rPr>
                <w:color w:val="000000"/>
                <w:kern w:val="0"/>
                <w:szCs w:val="21"/>
              </w:rPr>
            </w:pPr>
            <w:r>
              <w:rPr>
                <w:color w:val="000000"/>
                <w:kern w:val="0"/>
                <w:szCs w:val="21"/>
              </w:rPr>
              <w:t>15</w:t>
            </w:r>
          </w:p>
        </w:tc>
        <w:tc>
          <w:tcPr>
            <w:tcW w:w="0" w:type="dxa"/>
            <w:noWrap w:val="0"/>
            <w:vAlign w:val="center"/>
          </w:tcPr>
          <w:p w14:paraId="41065C51">
            <w:pPr>
              <w:jc w:val="center"/>
              <w:rPr>
                <w:color w:val="000000"/>
                <w:kern w:val="0"/>
                <w:sz w:val="22"/>
                <w:szCs w:val="22"/>
              </w:rPr>
            </w:pPr>
            <w:r>
              <w:rPr>
                <w:color w:val="000000"/>
                <w:kern w:val="0"/>
                <w:sz w:val="22"/>
                <w:szCs w:val="22"/>
              </w:rPr>
              <w:t>461</w:t>
            </w:r>
          </w:p>
        </w:tc>
        <w:tc>
          <w:tcPr>
            <w:tcW w:w="0" w:type="dxa"/>
            <w:noWrap w:val="0"/>
            <w:vAlign w:val="center"/>
          </w:tcPr>
          <w:p w14:paraId="20DE5457">
            <w:pPr>
              <w:jc w:val="center"/>
              <w:rPr>
                <w:color w:val="000000"/>
                <w:kern w:val="0"/>
                <w:szCs w:val="21"/>
              </w:rPr>
            </w:pPr>
            <w:r>
              <w:rPr>
                <w:color w:val="000000"/>
                <w:kern w:val="0"/>
                <w:szCs w:val="21"/>
              </w:rPr>
              <w:t>15</w:t>
            </w:r>
          </w:p>
        </w:tc>
        <w:tc>
          <w:tcPr>
            <w:tcW w:w="0" w:type="dxa"/>
            <w:noWrap w:val="0"/>
            <w:vAlign w:val="center"/>
          </w:tcPr>
          <w:p w14:paraId="56107A7E">
            <w:pPr>
              <w:jc w:val="center"/>
              <w:rPr>
                <w:color w:val="000000"/>
                <w:kern w:val="0"/>
                <w:szCs w:val="21"/>
              </w:rPr>
            </w:pPr>
            <w:r>
              <w:rPr>
                <w:color w:val="000000"/>
                <w:kern w:val="0"/>
                <w:szCs w:val="21"/>
              </w:rPr>
              <w:t>504</w:t>
            </w:r>
          </w:p>
        </w:tc>
      </w:tr>
      <w:tr w14:paraId="3831A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206CAC3F">
            <w:pPr>
              <w:rPr>
                <w:rFonts w:ascii="楷体_GB2312" w:hAnsi="宋体" w:eastAsia="楷体_GB2312" w:cs="宋体"/>
                <w:color w:val="000000"/>
                <w:kern w:val="0"/>
                <w:szCs w:val="21"/>
              </w:rPr>
            </w:pPr>
          </w:p>
        </w:tc>
        <w:tc>
          <w:tcPr>
            <w:tcW w:w="0" w:type="dxa"/>
            <w:noWrap w:val="0"/>
            <w:vAlign w:val="center"/>
          </w:tcPr>
          <w:p w14:paraId="70258101">
            <w:pPr>
              <w:jc w:val="center"/>
              <w:rPr>
                <w:color w:val="000000"/>
                <w:kern w:val="0"/>
                <w:szCs w:val="21"/>
              </w:rPr>
            </w:pPr>
            <w:r>
              <w:rPr>
                <w:color w:val="000000"/>
                <w:kern w:val="0"/>
                <w:szCs w:val="21"/>
              </w:rPr>
              <w:t>2</w:t>
            </w:r>
          </w:p>
        </w:tc>
        <w:tc>
          <w:tcPr>
            <w:tcW w:w="0" w:type="dxa"/>
            <w:noWrap w:val="0"/>
            <w:vAlign w:val="center"/>
          </w:tcPr>
          <w:p w14:paraId="6B83A8A3">
            <w:pPr>
              <w:jc w:val="center"/>
              <w:rPr>
                <w:color w:val="000000"/>
                <w:kern w:val="0"/>
                <w:szCs w:val="21"/>
              </w:rPr>
            </w:pPr>
            <w:r>
              <w:rPr>
                <w:color w:val="000000"/>
                <w:kern w:val="0"/>
                <w:szCs w:val="21"/>
              </w:rPr>
              <w:t>14</w:t>
            </w:r>
          </w:p>
        </w:tc>
        <w:tc>
          <w:tcPr>
            <w:tcW w:w="0" w:type="dxa"/>
            <w:noWrap w:val="0"/>
            <w:vAlign w:val="center"/>
          </w:tcPr>
          <w:p w14:paraId="0ADFA076">
            <w:pPr>
              <w:jc w:val="center"/>
              <w:rPr>
                <w:color w:val="000000"/>
                <w:kern w:val="0"/>
                <w:szCs w:val="21"/>
              </w:rPr>
            </w:pPr>
            <w:r>
              <w:rPr>
                <w:color w:val="000000"/>
                <w:kern w:val="0"/>
                <w:szCs w:val="21"/>
              </w:rPr>
              <w:t>386</w:t>
            </w:r>
          </w:p>
        </w:tc>
        <w:tc>
          <w:tcPr>
            <w:tcW w:w="0" w:type="dxa"/>
            <w:noWrap w:val="0"/>
            <w:vAlign w:val="center"/>
          </w:tcPr>
          <w:p w14:paraId="3DBD657F">
            <w:pPr>
              <w:jc w:val="center"/>
              <w:rPr>
                <w:color w:val="000000"/>
                <w:kern w:val="0"/>
                <w:szCs w:val="21"/>
              </w:rPr>
            </w:pPr>
            <w:r>
              <w:rPr>
                <w:color w:val="000000"/>
                <w:kern w:val="0"/>
                <w:szCs w:val="21"/>
              </w:rPr>
              <w:t>14</w:t>
            </w:r>
          </w:p>
        </w:tc>
        <w:tc>
          <w:tcPr>
            <w:tcW w:w="0" w:type="dxa"/>
            <w:noWrap w:val="0"/>
            <w:vAlign w:val="center"/>
          </w:tcPr>
          <w:p w14:paraId="69178810">
            <w:pPr>
              <w:jc w:val="center"/>
              <w:rPr>
                <w:color w:val="000000"/>
                <w:kern w:val="0"/>
                <w:sz w:val="22"/>
                <w:szCs w:val="22"/>
              </w:rPr>
            </w:pPr>
            <w:r>
              <w:rPr>
                <w:color w:val="000000"/>
                <w:kern w:val="0"/>
                <w:sz w:val="22"/>
                <w:szCs w:val="22"/>
              </w:rPr>
              <w:t>390</w:t>
            </w:r>
          </w:p>
        </w:tc>
        <w:tc>
          <w:tcPr>
            <w:tcW w:w="0" w:type="dxa"/>
            <w:noWrap w:val="0"/>
            <w:vAlign w:val="center"/>
          </w:tcPr>
          <w:p w14:paraId="60071CC2">
            <w:pPr>
              <w:jc w:val="center"/>
              <w:rPr>
                <w:color w:val="000000"/>
                <w:kern w:val="0"/>
                <w:szCs w:val="21"/>
              </w:rPr>
            </w:pPr>
            <w:r>
              <w:rPr>
                <w:color w:val="000000"/>
                <w:kern w:val="0"/>
                <w:szCs w:val="21"/>
              </w:rPr>
              <w:t>14</w:t>
            </w:r>
          </w:p>
        </w:tc>
        <w:tc>
          <w:tcPr>
            <w:tcW w:w="0" w:type="dxa"/>
            <w:noWrap w:val="0"/>
            <w:vAlign w:val="center"/>
          </w:tcPr>
          <w:p w14:paraId="5D326A57">
            <w:pPr>
              <w:jc w:val="center"/>
              <w:rPr>
                <w:color w:val="000000"/>
                <w:kern w:val="0"/>
                <w:szCs w:val="21"/>
              </w:rPr>
            </w:pPr>
            <w:r>
              <w:rPr>
                <w:color w:val="000000"/>
                <w:kern w:val="0"/>
                <w:szCs w:val="21"/>
              </w:rPr>
              <w:t>349</w:t>
            </w:r>
          </w:p>
        </w:tc>
      </w:tr>
      <w:tr w14:paraId="258A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0DEABE20">
            <w:pPr>
              <w:rPr>
                <w:rFonts w:ascii="楷体_GB2312" w:hAnsi="宋体" w:eastAsia="楷体_GB2312" w:cs="宋体"/>
                <w:color w:val="000000"/>
                <w:kern w:val="0"/>
                <w:szCs w:val="21"/>
              </w:rPr>
            </w:pPr>
          </w:p>
        </w:tc>
        <w:tc>
          <w:tcPr>
            <w:tcW w:w="0" w:type="dxa"/>
            <w:noWrap w:val="0"/>
            <w:vAlign w:val="center"/>
          </w:tcPr>
          <w:p w14:paraId="222F8A81">
            <w:pPr>
              <w:jc w:val="center"/>
              <w:rPr>
                <w:color w:val="000000"/>
                <w:kern w:val="0"/>
                <w:szCs w:val="21"/>
              </w:rPr>
            </w:pPr>
            <w:r>
              <w:rPr>
                <w:color w:val="000000"/>
                <w:kern w:val="0"/>
                <w:szCs w:val="21"/>
              </w:rPr>
              <w:t>3</w:t>
            </w:r>
          </w:p>
        </w:tc>
        <w:tc>
          <w:tcPr>
            <w:tcW w:w="0" w:type="dxa"/>
            <w:noWrap w:val="0"/>
            <w:vAlign w:val="center"/>
          </w:tcPr>
          <w:p w14:paraId="4646A782">
            <w:pPr>
              <w:jc w:val="center"/>
              <w:rPr>
                <w:color w:val="000000"/>
                <w:kern w:val="0"/>
                <w:szCs w:val="21"/>
              </w:rPr>
            </w:pPr>
            <w:r>
              <w:rPr>
                <w:color w:val="000000"/>
                <w:kern w:val="0"/>
                <w:szCs w:val="21"/>
              </w:rPr>
              <w:t>1</w:t>
            </w:r>
          </w:p>
        </w:tc>
        <w:tc>
          <w:tcPr>
            <w:tcW w:w="0" w:type="dxa"/>
            <w:noWrap w:val="0"/>
            <w:vAlign w:val="center"/>
          </w:tcPr>
          <w:p w14:paraId="72341D2E">
            <w:pPr>
              <w:jc w:val="center"/>
              <w:rPr>
                <w:color w:val="000000"/>
                <w:kern w:val="0"/>
                <w:szCs w:val="21"/>
              </w:rPr>
            </w:pPr>
            <w:r>
              <w:rPr>
                <w:color w:val="000000"/>
                <w:kern w:val="0"/>
                <w:szCs w:val="21"/>
              </w:rPr>
              <w:t>304</w:t>
            </w:r>
          </w:p>
        </w:tc>
        <w:tc>
          <w:tcPr>
            <w:tcW w:w="0" w:type="dxa"/>
            <w:noWrap w:val="0"/>
            <w:vAlign w:val="center"/>
          </w:tcPr>
          <w:p w14:paraId="64D0946F">
            <w:pPr>
              <w:jc w:val="center"/>
              <w:rPr>
                <w:color w:val="000000"/>
                <w:kern w:val="0"/>
                <w:szCs w:val="21"/>
              </w:rPr>
            </w:pPr>
            <w:r>
              <w:rPr>
                <w:color w:val="000000"/>
                <w:kern w:val="0"/>
                <w:szCs w:val="21"/>
              </w:rPr>
              <w:t>1</w:t>
            </w:r>
          </w:p>
        </w:tc>
        <w:tc>
          <w:tcPr>
            <w:tcW w:w="0" w:type="dxa"/>
            <w:noWrap w:val="0"/>
            <w:vAlign w:val="center"/>
          </w:tcPr>
          <w:p w14:paraId="1DDFCA11">
            <w:pPr>
              <w:jc w:val="center"/>
              <w:rPr>
                <w:color w:val="000000"/>
                <w:kern w:val="0"/>
                <w:sz w:val="22"/>
                <w:szCs w:val="22"/>
              </w:rPr>
            </w:pPr>
            <w:r>
              <w:rPr>
                <w:color w:val="000000"/>
                <w:kern w:val="0"/>
                <w:sz w:val="22"/>
                <w:szCs w:val="22"/>
              </w:rPr>
              <w:t>301</w:t>
            </w:r>
          </w:p>
        </w:tc>
        <w:tc>
          <w:tcPr>
            <w:tcW w:w="0" w:type="dxa"/>
            <w:noWrap w:val="0"/>
            <w:vAlign w:val="center"/>
          </w:tcPr>
          <w:p w14:paraId="5CA71D4A">
            <w:pPr>
              <w:jc w:val="center"/>
              <w:rPr>
                <w:color w:val="000000"/>
                <w:kern w:val="0"/>
                <w:szCs w:val="21"/>
              </w:rPr>
            </w:pPr>
            <w:r>
              <w:rPr>
                <w:color w:val="000000"/>
                <w:kern w:val="0"/>
                <w:szCs w:val="21"/>
              </w:rPr>
              <w:t>1</w:t>
            </w:r>
          </w:p>
        </w:tc>
        <w:tc>
          <w:tcPr>
            <w:tcW w:w="0" w:type="dxa"/>
            <w:noWrap w:val="0"/>
            <w:vAlign w:val="center"/>
          </w:tcPr>
          <w:p w14:paraId="00AE0E44">
            <w:pPr>
              <w:jc w:val="center"/>
              <w:rPr>
                <w:color w:val="000000"/>
                <w:kern w:val="0"/>
                <w:szCs w:val="21"/>
              </w:rPr>
            </w:pPr>
            <w:r>
              <w:rPr>
                <w:color w:val="000000"/>
                <w:kern w:val="0"/>
                <w:szCs w:val="21"/>
              </w:rPr>
              <w:t>280</w:t>
            </w:r>
          </w:p>
        </w:tc>
      </w:tr>
      <w:tr w14:paraId="3301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restart"/>
            <w:noWrap w:val="0"/>
            <w:vAlign w:val="center"/>
          </w:tcPr>
          <w:p w14:paraId="0D7D6BD2">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褚兰镇</w:t>
            </w:r>
          </w:p>
        </w:tc>
        <w:tc>
          <w:tcPr>
            <w:tcW w:w="0" w:type="dxa"/>
            <w:noWrap w:val="0"/>
            <w:vAlign w:val="center"/>
          </w:tcPr>
          <w:p w14:paraId="003C23DA">
            <w:pPr>
              <w:jc w:val="center"/>
              <w:rPr>
                <w:color w:val="000000"/>
                <w:kern w:val="0"/>
                <w:szCs w:val="21"/>
              </w:rPr>
            </w:pPr>
            <w:r>
              <w:rPr>
                <w:color w:val="000000"/>
                <w:kern w:val="0"/>
                <w:szCs w:val="21"/>
              </w:rPr>
              <w:t>1</w:t>
            </w:r>
          </w:p>
        </w:tc>
        <w:tc>
          <w:tcPr>
            <w:tcW w:w="0" w:type="dxa"/>
            <w:noWrap w:val="0"/>
            <w:vAlign w:val="center"/>
          </w:tcPr>
          <w:p w14:paraId="4F44BD35">
            <w:pPr>
              <w:jc w:val="center"/>
              <w:rPr>
                <w:color w:val="000000"/>
                <w:kern w:val="0"/>
                <w:szCs w:val="21"/>
              </w:rPr>
            </w:pPr>
            <w:r>
              <w:rPr>
                <w:color w:val="000000"/>
                <w:kern w:val="0"/>
                <w:szCs w:val="21"/>
              </w:rPr>
              <w:t>16</w:t>
            </w:r>
          </w:p>
        </w:tc>
        <w:tc>
          <w:tcPr>
            <w:tcW w:w="0" w:type="dxa"/>
            <w:noWrap w:val="0"/>
            <w:vAlign w:val="center"/>
          </w:tcPr>
          <w:p w14:paraId="4C4E3D14">
            <w:pPr>
              <w:jc w:val="center"/>
              <w:rPr>
                <w:color w:val="000000"/>
                <w:kern w:val="0"/>
                <w:szCs w:val="21"/>
              </w:rPr>
            </w:pPr>
            <w:r>
              <w:rPr>
                <w:color w:val="000000"/>
                <w:kern w:val="0"/>
                <w:szCs w:val="21"/>
              </w:rPr>
              <w:t>489</w:t>
            </w:r>
          </w:p>
        </w:tc>
        <w:tc>
          <w:tcPr>
            <w:tcW w:w="0" w:type="dxa"/>
            <w:noWrap w:val="0"/>
            <w:vAlign w:val="center"/>
          </w:tcPr>
          <w:p w14:paraId="2BC02749">
            <w:pPr>
              <w:jc w:val="center"/>
              <w:rPr>
                <w:color w:val="000000"/>
                <w:kern w:val="0"/>
                <w:szCs w:val="21"/>
              </w:rPr>
            </w:pPr>
            <w:r>
              <w:rPr>
                <w:color w:val="000000"/>
                <w:kern w:val="0"/>
                <w:szCs w:val="21"/>
              </w:rPr>
              <w:t>16</w:t>
            </w:r>
          </w:p>
        </w:tc>
        <w:tc>
          <w:tcPr>
            <w:tcW w:w="0" w:type="dxa"/>
            <w:noWrap w:val="0"/>
            <w:vAlign w:val="center"/>
          </w:tcPr>
          <w:p w14:paraId="7799F456">
            <w:pPr>
              <w:jc w:val="center"/>
              <w:rPr>
                <w:color w:val="000000"/>
                <w:kern w:val="0"/>
                <w:sz w:val="22"/>
                <w:szCs w:val="22"/>
              </w:rPr>
            </w:pPr>
            <w:r>
              <w:rPr>
                <w:color w:val="000000"/>
                <w:kern w:val="0"/>
                <w:sz w:val="22"/>
                <w:szCs w:val="22"/>
              </w:rPr>
              <w:t>485</w:t>
            </w:r>
          </w:p>
        </w:tc>
        <w:tc>
          <w:tcPr>
            <w:tcW w:w="0" w:type="dxa"/>
            <w:noWrap w:val="0"/>
            <w:vAlign w:val="center"/>
          </w:tcPr>
          <w:p w14:paraId="09A746DE">
            <w:pPr>
              <w:jc w:val="center"/>
              <w:rPr>
                <w:color w:val="000000"/>
                <w:kern w:val="0"/>
                <w:szCs w:val="21"/>
              </w:rPr>
            </w:pPr>
            <w:r>
              <w:rPr>
                <w:color w:val="000000"/>
                <w:kern w:val="0"/>
                <w:szCs w:val="21"/>
              </w:rPr>
              <w:t>16</w:t>
            </w:r>
          </w:p>
        </w:tc>
        <w:tc>
          <w:tcPr>
            <w:tcW w:w="0" w:type="dxa"/>
            <w:noWrap w:val="0"/>
            <w:vAlign w:val="center"/>
          </w:tcPr>
          <w:p w14:paraId="517B6998">
            <w:pPr>
              <w:jc w:val="center"/>
              <w:rPr>
                <w:color w:val="000000"/>
                <w:kern w:val="0"/>
                <w:szCs w:val="21"/>
              </w:rPr>
            </w:pPr>
            <w:r>
              <w:rPr>
                <w:color w:val="000000"/>
                <w:kern w:val="0"/>
                <w:szCs w:val="21"/>
              </w:rPr>
              <w:t>451</w:t>
            </w:r>
          </w:p>
        </w:tc>
      </w:tr>
      <w:tr w14:paraId="4D446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5DDC9E75">
            <w:pPr>
              <w:rPr>
                <w:rFonts w:ascii="楷体_GB2312" w:hAnsi="宋体" w:eastAsia="楷体_GB2312" w:cs="宋体"/>
                <w:color w:val="000000"/>
                <w:kern w:val="0"/>
                <w:szCs w:val="21"/>
              </w:rPr>
            </w:pPr>
          </w:p>
        </w:tc>
        <w:tc>
          <w:tcPr>
            <w:tcW w:w="0" w:type="dxa"/>
            <w:noWrap w:val="0"/>
            <w:vAlign w:val="center"/>
          </w:tcPr>
          <w:p w14:paraId="563944BD">
            <w:pPr>
              <w:jc w:val="center"/>
              <w:rPr>
                <w:color w:val="000000"/>
                <w:kern w:val="0"/>
                <w:szCs w:val="21"/>
              </w:rPr>
            </w:pPr>
            <w:r>
              <w:rPr>
                <w:color w:val="000000"/>
                <w:kern w:val="0"/>
                <w:szCs w:val="21"/>
              </w:rPr>
              <w:t>2</w:t>
            </w:r>
          </w:p>
        </w:tc>
        <w:tc>
          <w:tcPr>
            <w:tcW w:w="0" w:type="dxa"/>
            <w:noWrap w:val="0"/>
            <w:vAlign w:val="center"/>
          </w:tcPr>
          <w:p w14:paraId="0143E7C1">
            <w:pPr>
              <w:jc w:val="center"/>
              <w:rPr>
                <w:color w:val="000000"/>
                <w:kern w:val="0"/>
                <w:szCs w:val="21"/>
              </w:rPr>
            </w:pPr>
            <w:r>
              <w:rPr>
                <w:color w:val="000000"/>
                <w:kern w:val="0"/>
                <w:szCs w:val="21"/>
              </w:rPr>
              <w:t>10</w:t>
            </w:r>
          </w:p>
        </w:tc>
        <w:tc>
          <w:tcPr>
            <w:tcW w:w="0" w:type="dxa"/>
            <w:noWrap w:val="0"/>
            <w:vAlign w:val="center"/>
          </w:tcPr>
          <w:p w14:paraId="247DE047">
            <w:pPr>
              <w:jc w:val="center"/>
              <w:rPr>
                <w:color w:val="000000"/>
                <w:kern w:val="0"/>
                <w:szCs w:val="21"/>
              </w:rPr>
            </w:pPr>
            <w:r>
              <w:rPr>
                <w:color w:val="000000"/>
                <w:kern w:val="0"/>
                <w:szCs w:val="21"/>
              </w:rPr>
              <w:t>386</w:t>
            </w:r>
          </w:p>
        </w:tc>
        <w:tc>
          <w:tcPr>
            <w:tcW w:w="0" w:type="dxa"/>
            <w:noWrap w:val="0"/>
            <w:vAlign w:val="center"/>
          </w:tcPr>
          <w:p w14:paraId="3A7A13AA">
            <w:pPr>
              <w:jc w:val="center"/>
              <w:rPr>
                <w:color w:val="000000"/>
                <w:kern w:val="0"/>
                <w:szCs w:val="21"/>
              </w:rPr>
            </w:pPr>
            <w:r>
              <w:rPr>
                <w:color w:val="000000"/>
                <w:kern w:val="0"/>
                <w:szCs w:val="21"/>
              </w:rPr>
              <w:t>10</w:t>
            </w:r>
          </w:p>
        </w:tc>
        <w:tc>
          <w:tcPr>
            <w:tcW w:w="0" w:type="dxa"/>
            <w:noWrap w:val="0"/>
            <w:vAlign w:val="center"/>
          </w:tcPr>
          <w:p w14:paraId="32803CC0">
            <w:pPr>
              <w:jc w:val="center"/>
              <w:rPr>
                <w:color w:val="000000"/>
                <w:kern w:val="0"/>
                <w:sz w:val="22"/>
                <w:szCs w:val="22"/>
              </w:rPr>
            </w:pPr>
            <w:r>
              <w:rPr>
                <w:color w:val="000000"/>
                <w:kern w:val="0"/>
                <w:sz w:val="22"/>
                <w:szCs w:val="22"/>
              </w:rPr>
              <w:t>356</w:t>
            </w:r>
          </w:p>
        </w:tc>
        <w:tc>
          <w:tcPr>
            <w:tcW w:w="0" w:type="dxa"/>
            <w:noWrap w:val="0"/>
            <w:vAlign w:val="center"/>
          </w:tcPr>
          <w:p w14:paraId="3EDC474B">
            <w:pPr>
              <w:jc w:val="center"/>
              <w:rPr>
                <w:color w:val="000000"/>
                <w:kern w:val="0"/>
                <w:szCs w:val="21"/>
              </w:rPr>
            </w:pPr>
            <w:r>
              <w:rPr>
                <w:color w:val="000000"/>
                <w:kern w:val="0"/>
                <w:szCs w:val="21"/>
              </w:rPr>
              <w:t>10</w:t>
            </w:r>
          </w:p>
        </w:tc>
        <w:tc>
          <w:tcPr>
            <w:tcW w:w="0" w:type="dxa"/>
            <w:noWrap w:val="0"/>
            <w:vAlign w:val="center"/>
          </w:tcPr>
          <w:p w14:paraId="4719055B">
            <w:pPr>
              <w:jc w:val="center"/>
              <w:rPr>
                <w:color w:val="000000"/>
                <w:kern w:val="0"/>
                <w:szCs w:val="21"/>
              </w:rPr>
            </w:pPr>
            <w:r>
              <w:rPr>
                <w:color w:val="000000"/>
                <w:kern w:val="0"/>
                <w:szCs w:val="21"/>
              </w:rPr>
              <w:t>383</w:t>
            </w:r>
          </w:p>
        </w:tc>
      </w:tr>
      <w:tr w14:paraId="3077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6EDFB5F3">
            <w:pPr>
              <w:rPr>
                <w:rFonts w:ascii="楷体_GB2312" w:hAnsi="宋体" w:eastAsia="楷体_GB2312" w:cs="宋体"/>
                <w:color w:val="000000"/>
                <w:kern w:val="0"/>
                <w:szCs w:val="21"/>
              </w:rPr>
            </w:pPr>
          </w:p>
        </w:tc>
        <w:tc>
          <w:tcPr>
            <w:tcW w:w="0" w:type="dxa"/>
            <w:noWrap w:val="0"/>
            <w:vAlign w:val="center"/>
          </w:tcPr>
          <w:p w14:paraId="45848358">
            <w:pPr>
              <w:jc w:val="center"/>
              <w:rPr>
                <w:color w:val="000000"/>
                <w:kern w:val="0"/>
                <w:szCs w:val="21"/>
              </w:rPr>
            </w:pPr>
            <w:r>
              <w:rPr>
                <w:color w:val="000000"/>
                <w:kern w:val="0"/>
                <w:szCs w:val="21"/>
              </w:rPr>
              <w:t>3</w:t>
            </w:r>
          </w:p>
        </w:tc>
        <w:tc>
          <w:tcPr>
            <w:tcW w:w="0" w:type="dxa"/>
            <w:noWrap w:val="0"/>
            <w:vAlign w:val="center"/>
          </w:tcPr>
          <w:p w14:paraId="2DD43F04">
            <w:pPr>
              <w:jc w:val="center"/>
              <w:rPr>
                <w:color w:val="000000"/>
                <w:kern w:val="0"/>
                <w:szCs w:val="21"/>
              </w:rPr>
            </w:pPr>
            <w:r>
              <w:rPr>
                <w:color w:val="000000"/>
                <w:kern w:val="0"/>
                <w:szCs w:val="21"/>
              </w:rPr>
              <w:t>4</w:t>
            </w:r>
          </w:p>
        </w:tc>
        <w:tc>
          <w:tcPr>
            <w:tcW w:w="0" w:type="dxa"/>
            <w:noWrap w:val="0"/>
            <w:vAlign w:val="center"/>
          </w:tcPr>
          <w:p w14:paraId="6E6C1AE3">
            <w:pPr>
              <w:jc w:val="center"/>
              <w:rPr>
                <w:color w:val="000000"/>
                <w:kern w:val="0"/>
                <w:szCs w:val="21"/>
              </w:rPr>
            </w:pPr>
            <w:r>
              <w:rPr>
                <w:color w:val="000000"/>
                <w:kern w:val="0"/>
                <w:szCs w:val="21"/>
              </w:rPr>
              <w:t>310</w:t>
            </w:r>
          </w:p>
        </w:tc>
        <w:tc>
          <w:tcPr>
            <w:tcW w:w="0" w:type="dxa"/>
            <w:noWrap w:val="0"/>
            <w:vAlign w:val="center"/>
          </w:tcPr>
          <w:p w14:paraId="74F72221">
            <w:pPr>
              <w:jc w:val="center"/>
              <w:rPr>
                <w:color w:val="000000"/>
                <w:kern w:val="0"/>
                <w:szCs w:val="21"/>
              </w:rPr>
            </w:pPr>
            <w:r>
              <w:rPr>
                <w:color w:val="000000"/>
                <w:kern w:val="0"/>
                <w:szCs w:val="21"/>
              </w:rPr>
              <w:t>4</w:t>
            </w:r>
          </w:p>
        </w:tc>
        <w:tc>
          <w:tcPr>
            <w:tcW w:w="0" w:type="dxa"/>
            <w:noWrap w:val="0"/>
            <w:vAlign w:val="center"/>
          </w:tcPr>
          <w:p w14:paraId="33D19504">
            <w:pPr>
              <w:jc w:val="center"/>
              <w:rPr>
                <w:color w:val="000000"/>
                <w:kern w:val="0"/>
                <w:sz w:val="22"/>
                <w:szCs w:val="22"/>
              </w:rPr>
            </w:pPr>
            <w:r>
              <w:rPr>
                <w:color w:val="000000"/>
                <w:kern w:val="0"/>
                <w:sz w:val="22"/>
                <w:szCs w:val="22"/>
              </w:rPr>
              <w:t>298</w:t>
            </w:r>
          </w:p>
        </w:tc>
        <w:tc>
          <w:tcPr>
            <w:tcW w:w="0" w:type="dxa"/>
            <w:noWrap w:val="0"/>
            <w:vAlign w:val="center"/>
          </w:tcPr>
          <w:p w14:paraId="7E01C830">
            <w:pPr>
              <w:jc w:val="center"/>
              <w:rPr>
                <w:color w:val="000000"/>
                <w:kern w:val="0"/>
                <w:szCs w:val="21"/>
              </w:rPr>
            </w:pPr>
            <w:r>
              <w:rPr>
                <w:color w:val="000000"/>
                <w:kern w:val="0"/>
                <w:szCs w:val="21"/>
              </w:rPr>
              <w:t>4</w:t>
            </w:r>
          </w:p>
        </w:tc>
        <w:tc>
          <w:tcPr>
            <w:tcW w:w="0" w:type="dxa"/>
            <w:noWrap w:val="0"/>
            <w:vAlign w:val="center"/>
          </w:tcPr>
          <w:p w14:paraId="5C82E7FF">
            <w:pPr>
              <w:jc w:val="center"/>
              <w:rPr>
                <w:color w:val="000000"/>
                <w:kern w:val="0"/>
                <w:szCs w:val="21"/>
              </w:rPr>
            </w:pPr>
            <w:r>
              <w:rPr>
                <w:color w:val="000000"/>
                <w:kern w:val="0"/>
                <w:szCs w:val="21"/>
              </w:rPr>
              <w:t>277</w:t>
            </w:r>
          </w:p>
        </w:tc>
      </w:tr>
      <w:tr w14:paraId="58778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restart"/>
            <w:noWrap w:val="0"/>
            <w:vAlign w:val="center"/>
          </w:tcPr>
          <w:p w14:paraId="411CF8E0">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顺河镇</w:t>
            </w:r>
          </w:p>
        </w:tc>
        <w:tc>
          <w:tcPr>
            <w:tcW w:w="0" w:type="dxa"/>
            <w:noWrap w:val="0"/>
            <w:vAlign w:val="center"/>
          </w:tcPr>
          <w:p w14:paraId="352AEB65">
            <w:pPr>
              <w:jc w:val="center"/>
              <w:rPr>
                <w:color w:val="000000"/>
                <w:kern w:val="0"/>
                <w:szCs w:val="21"/>
              </w:rPr>
            </w:pPr>
            <w:r>
              <w:rPr>
                <w:color w:val="000000"/>
                <w:kern w:val="0"/>
                <w:szCs w:val="21"/>
              </w:rPr>
              <w:t>1</w:t>
            </w:r>
          </w:p>
        </w:tc>
        <w:tc>
          <w:tcPr>
            <w:tcW w:w="0" w:type="dxa"/>
            <w:noWrap w:val="0"/>
            <w:vAlign w:val="center"/>
          </w:tcPr>
          <w:p w14:paraId="2A646E07">
            <w:pPr>
              <w:jc w:val="center"/>
              <w:rPr>
                <w:color w:val="000000"/>
                <w:kern w:val="0"/>
                <w:szCs w:val="21"/>
              </w:rPr>
            </w:pPr>
            <w:r>
              <w:rPr>
                <w:color w:val="000000"/>
                <w:kern w:val="0"/>
                <w:szCs w:val="21"/>
              </w:rPr>
              <w:t>10</w:t>
            </w:r>
          </w:p>
        </w:tc>
        <w:tc>
          <w:tcPr>
            <w:tcW w:w="0" w:type="dxa"/>
            <w:noWrap w:val="0"/>
            <w:vAlign w:val="center"/>
          </w:tcPr>
          <w:p w14:paraId="48D8F58C">
            <w:pPr>
              <w:jc w:val="center"/>
              <w:rPr>
                <w:color w:val="000000"/>
                <w:kern w:val="0"/>
                <w:szCs w:val="21"/>
              </w:rPr>
            </w:pPr>
            <w:r>
              <w:rPr>
                <w:color w:val="000000"/>
                <w:kern w:val="0"/>
                <w:szCs w:val="21"/>
              </w:rPr>
              <w:t>456</w:t>
            </w:r>
          </w:p>
        </w:tc>
        <w:tc>
          <w:tcPr>
            <w:tcW w:w="0" w:type="dxa"/>
            <w:noWrap w:val="0"/>
            <w:vAlign w:val="center"/>
          </w:tcPr>
          <w:p w14:paraId="013E79A4">
            <w:pPr>
              <w:jc w:val="center"/>
              <w:rPr>
                <w:color w:val="000000"/>
                <w:kern w:val="0"/>
                <w:szCs w:val="21"/>
              </w:rPr>
            </w:pPr>
            <w:r>
              <w:rPr>
                <w:color w:val="000000"/>
                <w:kern w:val="0"/>
                <w:szCs w:val="21"/>
              </w:rPr>
              <w:t>10</w:t>
            </w:r>
          </w:p>
        </w:tc>
        <w:tc>
          <w:tcPr>
            <w:tcW w:w="0" w:type="dxa"/>
            <w:noWrap w:val="0"/>
            <w:vAlign w:val="center"/>
          </w:tcPr>
          <w:p w14:paraId="1DB1A6B0">
            <w:pPr>
              <w:jc w:val="center"/>
              <w:rPr>
                <w:color w:val="000000"/>
                <w:kern w:val="0"/>
                <w:sz w:val="22"/>
                <w:szCs w:val="22"/>
              </w:rPr>
            </w:pPr>
            <w:r>
              <w:rPr>
                <w:color w:val="000000"/>
                <w:kern w:val="0"/>
                <w:sz w:val="22"/>
                <w:szCs w:val="22"/>
              </w:rPr>
              <w:t>451</w:t>
            </w:r>
          </w:p>
        </w:tc>
        <w:tc>
          <w:tcPr>
            <w:tcW w:w="0" w:type="dxa"/>
            <w:noWrap w:val="0"/>
            <w:vAlign w:val="center"/>
          </w:tcPr>
          <w:p w14:paraId="661EAD87">
            <w:pPr>
              <w:jc w:val="center"/>
              <w:rPr>
                <w:color w:val="000000"/>
                <w:kern w:val="0"/>
                <w:szCs w:val="21"/>
              </w:rPr>
            </w:pPr>
            <w:r>
              <w:rPr>
                <w:color w:val="000000"/>
                <w:kern w:val="0"/>
                <w:szCs w:val="21"/>
              </w:rPr>
              <w:t>10</w:t>
            </w:r>
          </w:p>
        </w:tc>
        <w:tc>
          <w:tcPr>
            <w:tcW w:w="0" w:type="dxa"/>
            <w:noWrap w:val="0"/>
            <w:vAlign w:val="center"/>
          </w:tcPr>
          <w:p w14:paraId="59A9FCB5">
            <w:pPr>
              <w:jc w:val="center"/>
              <w:rPr>
                <w:color w:val="000000"/>
                <w:kern w:val="0"/>
                <w:szCs w:val="21"/>
              </w:rPr>
            </w:pPr>
            <w:r>
              <w:rPr>
                <w:color w:val="000000"/>
                <w:kern w:val="0"/>
                <w:szCs w:val="21"/>
              </w:rPr>
              <w:t>503</w:t>
            </w:r>
          </w:p>
        </w:tc>
      </w:tr>
      <w:tr w14:paraId="39B05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6E034F95">
            <w:pPr>
              <w:rPr>
                <w:rFonts w:ascii="楷体_GB2312" w:hAnsi="宋体" w:eastAsia="楷体_GB2312" w:cs="宋体"/>
                <w:color w:val="000000"/>
                <w:kern w:val="0"/>
                <w:szCs w:val="21"/>
              </w:rPr>
            </w:pPr>
          </w:p>
        </w:tc>
        <w:tc>
          <w:tcPr>
            <w:tcW w:w="0" w:type="dxa"/>
            <w:noWrap w:val="0"/>
            <w:vAlign w:val="center"/>
          </w:tcPr>
          <w:p w14:paraId="71579E85">
            <w:pPr>
              <w:jc w:val="center"/>
              <w:rPr>
                <w:color w:val="000000"/>
                <w:kern w:val="0"/>
                <w:szCs w:val="21"/>
              </w:rPr>
            </w:pPr>
            <w:r>
              <w:rPr>
                <w:color w:val="000000"/>
                <w:kern w:val="0"/>
                <w:szCs w:val="21"/>
              </w:rPr>
              <w:t>2</w:t>
            </w:r>
          </w:p>
        </w:tc>
        <w:tc>
          <w:tcPr>
            <w:tcW w:w="0" w:type="dxa"/>
            <w:noWrap w:val="0"/>
            <w:vAlign w:val="center"/>
          </w:tcPr>
          <w:p w14:paraId="14EB49C8">
            <w:pPr>
              <w:jc w:val="center"/>
              <w:rPr>
                <w:color w:val="000000"/>
                <w:kern w:val="0"/>
                <w:szCs w:val="21"/>
              </w:rPr>
            </w:pPr>
            <w:r>
              <w:rPr>
                <w:color w:val="000000"/>
                <w:kern w:val="0"/>
                <w:szCs w:val="21"/>
              </w:rPr>
              <w:t>15</w:t>
            </w:r>
          </w:p>
        </w:tc>
        <w:tc>
          <w:tcPr>
            <w:tcW w:w="0" w:type="dxa"/>
            <w:noWrap w:val="0"/>
            <w:vAlign w:val="center"/>
          </w:tcPr>
          <w:p w14:paraId="5A420A55">
            <w:pPr>
              <w:jc w:val="center"/>
              <w:rPr>
                <w:color w:val="000000"/>
                <w:kern w:val="0"/>
                <w:szCs w:val="21"/>
              </w:rPr>
            </w:pPr>
            <w:r>
              <w:rPr>
                <w:color w:val="000000"/>
                <w:kern w:val="0"/>
                <w:szCs w:val="21"/>
              </w:rPr>
              <w:t>385</w:t>
            </w:r>
          </w:p>
        </w:tc>
        <w:tc>
          <w:tcPr>
            <w:tcW w:w="0" w:type="dxa"/>
            <w:noWrap w:val="0"/>
            <w:vAlign w:val="center"/>
          </w:tcPr>
          <w:p w14:paraId="416D1172">
            <w:pPr>
              <w:jc w:val="center"/>
              <w:rPr>
                <w:color w:val="000000"/>
                <w:kern w:val="0"/>
                <w:szCs w:val="21"/>
              </w:rPr>
            </w:pPr>
            <w:r>
              <w:rPr>
                <w:color w:val="000000"/>
                <w:kern w:val="0"/>
                <w:szCs w:val="21"/>
              </w:rPr>
              <w:t>15</w:t>
            </w:r>
          </w:p>
        </w:tc>
        <w:tc>
          <w:tcPr>
            <w:tcW w:w="0" w:type="dxa"/>
            <w:noWrap w:val="0"/>
            <w:vAlign w:val="center"/>
          </w:tcPr>
          <w:p w14:paraId="7D374D21">
            <w:pPr>
              <w:jc w:val="center"/>
              <w:rPr>
                <w:color w:val="000000"/>
                <w:kern w:val="0"/>
                <w:sz w:val="22"/>
                <w:szCs w:val="22"/>
              </w:rPr>
            </w:pPr>
            <w:r>
              <w:rPr>
                <w:color w:val="000000"/>
                <w:kern w:val="0"/>
                <w:sz w:val="22"/>
                <w:szCs w:val="22"/>
              </w:rPr>
              <w:t>355</w:t>
            </w:r>
          </w:p>
        </w:tc>
        <w:tc>
          <w:tcPr>
            <w:tcW w:w="0" w:type="dxa"/>
            <w:noWrap w:val="0"/>
            <w:vAlign w:val="center"/>
          </w:tcPr>
          <w:p w14:paraId="5383BD10">
            <w:pPr>
              <w:jc w:val="center"/>
              <w:rPr>
                <w:color w:val="000000"/>
                <w:kern w:val="0"/>
                <w:szCs w:val="21"/>
              </w:rPr>
            </w:pPr>
            <w:r>
              <w:rPr>
                <w:color w:val="000000"/>
                <w:kern w:val="0"/>
                <w:szCs w:val="21"/>
              </w:rPr>
              <w:t>15</w:t>
            </w:r>
          </w:p>
        </w:tc>
        <w:tc>
          <w:tcPr>
            <w:tcW w:w="0" w:type="dxa"/>
            <w:noWrap w:val="0"/>
            <w:vAlign w:val="center"/>
          </w:tcPr>
          <w:p w14:paraId="4CCE66FF">
            <w:pPr>
              <w:jc w:val="center"/>
              <w:rPr>
                <w:color w:val="000000"/>
                <w:kern w:val="0"/>
                <w:szCs w:val="21"/>
              </w:rPr>
            </w:pPr>
            <w:r>
              <w:rPr>
                <w:color w:val="000000"/>
                <w:kern w:val="0"/>
                <w:szCs w:val="21"/>
              </w:rPr>
              <w:t>370</w:t>
            </w:r>
          </w:p>
        </w:tc>
      </w:tr>
      <w:tr w14:paraId="21D2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396C0D93">
            <w:pPr>
              <w:rPr>
                <w:rFonts w:ascii="楷体_GB2312" w:hAnsi="宋体" w:eastAsia="楷体_GB2312" w:cs="宋体"/>
                <w:color w:val="000000"/>
                <w:kern w:val="0"/>
                <w:szCs w:val="21"/>
              </w:rPr>
            </w:pPr>
          </w:p>
        </w:tc>
        <w:tc>
          <w:tcPr>
            <w:tcW w:w="0" w:type="dxa"/>
            <w:noWrap w:val="0"/>
            <w:vAlign w:val="center"/>
          </w:tcPr>
          <w:p w14:paraId="64965653">
            <w:pPr>
              <w:jc w:val="center"/>
              <w:rPr>
                <w:color w:val="000000"/>
                <w:kern w:val="0"/>
                <w:szCs w:val="21"/>
              </w:rPr>
            </w:pPr>
            <w:r>
              <w:rPr>
                <w:color w:val="000000"/>
                <w:kern w:val="0"/>
                <w:szCs w:val="21"/>
              </w:rPr>
              <w:t>3</w:t>
            </w:r>
          </w:p>
        </w:tc>
        <w:tc>
          <w:tcPr>
            <w:tcW w:w="0" w:type="dxa"/>
            <w:noWrap w:val="0"/>
            <w:vAlign w:val="center"/>
          </w:tcPr>
          <w:p w14:paraId="7373064A">
            <w:pPr>
              <w:jc w:val="center"/>
              <w:rPr>
                <w:color w:val="000000"/>
                <w:kern w:val="0"/>
                <w:szCs w:val="21"/>
              </w:rPr>
            </w:pPr>
            <w:r>
              <w:rPr>
                <w:color w:val="000000"/>
                <w:kern w:val="0"/>
                <w:szCs w:val="21"/>
              </w:rPr>
              <w:t>5</w:t>
            </w:r>
          </w:p>
        </w:tc>
        <w:tc>
          <w:tcPr>
            <w:tcW w:w="0" w:type="dxa"/>
            <w:noWrap w:val="0"/>
            <w:vAlign w:val="center"/>
          </w:tcPr>
          <w:p w14:paraId="621F157D">
            <w:pPr>
              <w:jc w:val="center"/>
              <w:rPr>
                <w:color w:val="000000"/>
                <w:kern w:val="0"/>
                <w:szCs w:val="21"/>
              </w:rPr>
            </w:pPr>
            <w:r>
              <w:rPr>
                <w:color w:val="000000"/>
                <w:kern w:val="0"/>
                <w:szCs w:val="21"/>
              </w:rPr>
              <w:t>310</w:t>
            </w:r>
          </w:p>
        </w:tc>
        <w:tc>
          <w:tcPr>
            <w:tcW w:w="0" w:type="dxa"/>
            <w:noWrap w:val="0"/>
            <w:vAlign w:val="center"/>
          </w:tcPr>
          <w:p w14:paraId="754F60B5">
            <w:pPr>
              <w:jc w:val="center"/>
              <w:rPr>
                <w:color w:val="000000"/>
                <w:kern w:val="0"/>
                <w:szCs w:val="21"/>
              </w:rPr>
            </w:pPr>
            <w:r>
              <w:rPr>
                <w:color w:val="000000"/>
                <w:kern w:val="0"/>
                <w:szCs w:val="21"/>
              </w:rPr>
              <w:t>5</w:t>
            </w:r>
          </w:p>
        </w:tc>
        <w:tc>
          <w:tcPr>
            <w:tcW w:w="0" w:type="dxa"/>
            <w:noWrap w:val="0"/>
            <w:vAlign w:val="center"/>
          </w:tcPr>
          <w:p w14:paraId="4583A54B">
            <w:pPr>
              <w:jc w:val="center"/>
              <w:rPr>
                <w:color w:val="000000"/>
                <w:kern w:val="0"/>
                <w:sz w:val="22"/>
                <w:szCs w:val="22"/>
              </w:rPr>
            </w:pPr>
            <w:r>
              <w:rPr>
                <w:color w:val="000000"/>
                <w:kern w:val="0"/>
                <w:sz w:val="22"/>
                <w:szCs w:val="22"/>
              </w:rPr>
              <w:t>310</w:t>
            </w:r>
          </w:p>
        </w:tc>
        <w:tc>
          <w:tcPr>
            <w:tcW w:w="0" w:type="dxa"/>
            <w:noWrap w:val="0"/>
            <w:vAlign w:val="center"/>
          </w:tcPr>
          <w:p w14:paraId="59879FDD">
            <w:pPr>
              <w:jc w:val="center"/>
              <w:rPr>
                <w:color w:val="000000"/>
                <w:kern w:val="0"/>
                <w:szCs w:val="21"/>
              </w:rPr>
            </w:pPr>
            <w:r>
              <w:rPr>
                <w:color w:val="000000"/>
                <w:kern w:val="0"/>
                <w:szCs w:val="21"/>
              </w:rPr>
              <w:t>5</w:t>
            </w:r>
          </w:p>
        </w:tc>
        <w:tc>
          <w:tcPr>
            <w:tcW w:w="0" w:type="dxa"/>
            <w:noWrap w:val="0"/>
            <w:vAlign w:val="center"/>
          </w:tcPr>
          <w:p w14:paraId="064A0F3A">
            <w:pPr>
              <w:jc w:val="center"/>
              <w:rPr>
                <w:color w:val="000000"/>
                <w:kern w:val="0"/>
                <w:szCs w:val="21"/>
              </w:rPr>
            </w:pPr>
            <w:r>
              <w:rPr>
                <w:color w:val="000000"/>
                <w:kern w:val="0"/>
                <w:szCs w:val="21"/>
              </w:rPr>
              <w:t>265</w:t>
            </w:r>
          </w:p>
        </w:tc>
      </w:tr>
      <w:tr w14:paraId="30F5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restart"/>
            <w:noWrap w:val="0"/>
            <w:vAlign w:val="center"/>
          </w:tcPr>
          <w:p w14:paraId="607E7CE7">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杨庄镇</w:t>
            </w:r>
          </w:p>
        </w:tc>
        <w:tc>
          <w:tcPr>
            <w:tcW w:w="0" w:type="dxa"/>
            <w:noWrap w:val="0"/>
            <w:vAlign w:val="center"/>
          </w:tcPr>
          <w:p w14:paraId="2177D044">
            <w:pPr>
              <w:jc w:val="center"/>
              <w:rPr>
                <w:color w:val="000000"/>
                <w:kern w:val="0"/>
                <w:szCs w:val="21"/>
              </w:rPr>
            </w:pPr>
            <w:r>
              <w:rPr>
                <w:color w:val="000000"/>
                <w:kern w:val="0"/>
                <w:szCs w:val="21"/>
              </w:rPr>
              <w:t>1</w:t>
            </w:r>
          </w:p>
        </w:tc>
        <w:tc>
          <w:tcPr>
            <w:tcW w:w="0" w:type="dxa"/>
            <w:noWrap w:val="0"/>
            <w:vAlign w:val="center"/>
          </w:tcPr>
          <w:p w14:paraId="1099F74F">
            <w:pPr>
              <w:jc w:val="center"/>
              <w:rPr>
                <w:color w:val="000000"/>
                <w:kern w:val="0"/>
                <w:szCs w:val="21"/>
              </w:rPr>
            </w:pPr>
            <w:r>
              <w:rPr>
                <w:color w:val="000000"/>
                <w:kern w:val="0"/>
                <w:szCs w:val="21"/>
              </w:rPr>
              <w:t>20</w:t>
            </w:r>
          </w:p>
        </w:tc>
        <w:tc>
          <w:tcPr>
            <w:tcW w:w="0" w:type="dxa"/>
            <w:noWrap w:val="0"/>
            <w:vAlign w:val="center"/>
          </w:tcPr>
          <w:p w14:paraId="70699FC8">
            <w:pPr>
              <w:jc w:val="center"/>
              <w:rPr>
                <w:color w:val="000000"/>
                <w:kern w:val="0"/>
                <w:szCs w:val="21"/>
              </w:rPr>
            </w:pPr>
            <w:r>
              <w:rPr>
                <w:color w:val="000000"/>
                <w:kern w:val="0"/>
                <w:szCs w:val="21"/>
              </w:rPr>
              <w:t>446</w:t>
            </w:r>
          </w:p>
        </w:tc>
        <w:tc>
          <w:tcPr>
            <w:tcW w:w="0" w:type="dxa"/>
            <w:noWrap w:val="0"/>
            <w:vAlign w:val="center"/>
          </w:tcPr>
          <w:p w14:paraId="49AC518E">
            <w:pPr>
              <w:jc w:val="center"/>
              <w:rPr>
                <w:color w:val="000000"/>
                <w:kern w:val="0"/>
                <w:szCs w:val="21"/>
              </w:rPr>
            </w:pPr>
            <w:r>
              <w:rPr>
                <w:color w:val="000000"/>
                <w:kern w:val="0"/>
                <w:szCs w:val="21"/>
              </w:rPr>
              <w:t>20</w:t>
            </w:r>
          </w:p>
        </w:tc>
        <w:tc>
          <w:tcPr>
            <w:tcW w:w="0" w:type="dxa"/>
            <w:noWrap w:val="0"/>
            <w:vAlign w:val="center"/>
          </w:tcPr>
          <w:p w14:paraId="2C42EFE2">
            <w:pPr>
              <w:jc w:val="center"/>
              <w:rPr>
                <w:color w:val="000000"/>
                <w:kern w:val="0"/>
                <w:sz w:val="22"/>
                <w:szCs w:val="22"/>
              </w:rPr>
            </w:pPr>
            <w:r>
              <w:rPr>
                <w:color w:val="000000"/>
                <w:kern w:val="0"/>
                <w:sz w:val="22"/>
                <w:szCs w:val="22"/>
              </w:rPr>
              <w:t>455</w:t>
            </w:r>
          </w:p>
        </w:tc>
        <w:tc>
          <w:tcPr>
            <w:tcW w:w="0" w:type="dxa"/>
            <w:noWrap w:val="0"/>
            <w:vAlign w:val="center"/>
          </w:tcPr>
          <w:p w14:paraId="5A90824A">
            <w:pPr>
              <w:jc w:val="center"/>
              <w:rPr>
                <w:color w:val="000000"/>
                <w:kern w:val="0"/>
                <w:szCs w:val="21"/>
              </w:rPr>
            </w:pPr>
            <w:r>
              <w:rPr>
                <w:color w:val="000000"/>
                <w:kern w:val="0"/>
                <w:szCs w:val="21"/>
              </w:rPr>
              <w:t>20</w:t>
            </w:r>
          </w:p>
        </w:tc>
        <w:tc>
          <w:tcPr>
            <w:tcW w:w="0" w:type="dxa"/>
            <w:noWrap w:val="0"/>
            <w:vAlign w:val="center"/>
          </w:tcPr>
          <w:p w14:paraId="6B8B96CA">
            <w:pPr>
              <w:jc w:val="center"/>
              <w:rPr>
                <w:color w:val="000000"/>
                <w:kern w:val="0"/>
                <w:szCs w:val="21"/>
              </w:rPr>
            </w:pPr>
            <w:r>
              <w:rPr>
                <w:color w:val="000000"/>
                <w:kern w:val="0"/>
                <w:szCs w:val="21"/>
              </w:rPr>
              <w:t>464</w:t>
            </w:r>
          </w:p>
        </w:tc>
      </w:tr>
      <w:tr w14:paraId="28C0E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466CDAEF">
            <w:pPr>
              <w:rPr>
                <w:rFonts w:ascii="楷体_GB2312" w:hAnsi="宋体" w:eastAsia="楷体_GB2312" w:cs="宋体"/>
                <w:color w:val="000000"/>
                <w:kern w:val="0"/>
                <w:szCs w:val="21"/>
              </w:rPr>
            </w:pPr>
          </w:p>
        </w:tc>
        <w:tc>
          <w:tcPr>
            <w:tcW w:w="0" w:type="dxa"/>
            <w:noWrap w:val="0"/>
            <w:vAlign w:val="center"/>
          </w:tcPr>
          <w:p w14:paraId="37AECFAD">
            <w:pPr>
              <w:jc w:val="center"/>
              <w:rPr>
                <w:color w:val="000000"/>
                <w:kern w:val="0"/>
                <w:szCs w:val="21"/>
              </w:rPr>
            </w:pPr>
            <w:r>
              <w:rPr>
                <w:color w:val="000000"/>
                <w:kern w:val="0"/>
                <w:szCs w:val="21"/>
              </w:rPr>
              <w:t>2</w:t>
            </w:r>
          </w:p>
        </w:tc>
        <w:tc>
          <w:tcPr>
            <w:tcW w:w="0" w:type="dxa"/>
            <w:noWrap w:val="0"/>
            <w:vAlign w:val="center"/>
          </w:tcPr>
          <w:p w14:paraId="6E5B4BB0">
            <w:pPr>
              <w:jc w:val="center"/>
              <w:rPr>
                <w:color w:val="000000"/>
                <w:kern w:val="0"/>
                <w:szCs w:val="21"/>
              </w:rPr>
            </w:pPr>
            <w:r>
              <w:rPr>
                <w:color w:val="000000"/>
                <w:kern w:val="0"/>
                <w:szCs w:val="21"/>
              </w:rPr>
              <w:t>9</w:t>
            </w:r>
          </w:p>
        </w:tc>
        <w:tc>
          <w:tcPr>
            <w:tcW w:w="0" w:type="dxa"/>
            <w:noWrap w:val="0"/>
            <w:vAlign w:val="center"/>
          </w:tcPr>
          <w:p w14:paraId="0693C4EA">
            <w:pPr>
              <w:jc w:val="center"/>
              <w:rPr>
                <w:color w:val="000000"/>
                <w:kern w:val="0"/>
                <w:szCs w:val="21"/>
              </w:rPr>
            </w:pPr>
            <w:r>
              <w:rPr>
                <w:color w:val="000000"/>
                <w:kern w:val="0"/>
                <w:szCs w:val="21"/>
              </w:rPr>
              <w:t>355</w:t>
            </w:r>
          </w:p>
        </w:tc>
        <w:tc>
          <w:tcPr>
            <w:tcW w:w="0" w:type="dxa"/>
            <w:noWrap w:val="0"/>
            <w:vAlign w:val="center"/>
          </w:tcPr>
          <w:p w14:paraId="66D2D1D8">
            <w:pPr>
              <w:jc w:val="center"/>
              <w:rPr>
                <w:color w:val="000000"/>
                <w:kern w:val="0"/>
                <w:szCs w:val="21"/>
              </w:rPr>
            </w:pPr>
            <w:r>
              <w:rPr>
                <w:color w:val="000000"/>
                <w:kern w:val="0"/>
                <w:szCs w:val="21"/>
              </w:rPr>
              <w:t>9</w:t>
            </w:r>
          </w:p>
        </w:tc>
        <w:tc>
          <w:tcPr>
            <w:tcW w:w="0" w:type="dxa"/>
            <w:noWrap w:val="0"/>
            <w:vAlign w:val="center"/>
          </w:tcPr>
          <w:p w14:paraId="794BD366">
            <w:pPr>
              <w:jc w:val="center"/>
              <w:rPr>
                <w:color w:val="000000"/>
                <w:kern w:val="0"/>
                <w:sz w:val="22"/>
                <w:szCs w:val="22"/>
              </w:rPr>
            </w:pPr>
            <w:r>
              <w:rPr>
                <w:color w:val="000000"/>
                <w:kern w:val="0"/>
                <w:sz w:val="22"/>
                <w:szCs w:val="22"/>
              </w:rPr>
              <w:t>369</w:t>
            </w:r>
          </w:p>
        </w:tc>
        <w:tc>
          <w:tcPr>
            <w:tcW w:w="0" w:type="dxa"/>
            <w:noWrap w:val="0"/>
            <w:vAlign w:val="center"/>
          </w:tcPr>
          <w:p w14:paraId="7CFAA84F">
            <w:pPr>
              <w:jc w:val="center"/>
              <w:rPr>
                <w:color w:val="000000"/>
                <w:kern w:val="0"/>
                <w:szCs w:val="21"/>
              </w:rPr>
            </w:pPr>
            <w:r>
              <w:rPr>
                <w:color w:val="000000"/>
                <w:kern w:val="0"/>
                <w:szCs w:val="21"/>
              </w:rPr>
              <w:t>9</w:t>
            </w:r>
          </w:p>
        </w:tc>
        <w:tc>
          <w:tcPr>
            <w:tcW w:w="0" w:type="dxa"/>
            <w:noWrap w:val="0"/>
            <w:vAlign w:val="center"/>
          </w:tcPr>
          <w:p w14:paraId="6992BFA7">
            <w:pPr>
              <w:jc w:val="center"/>
              <w:rPr>
                <w:color w:val="000000"/>
                <w:kern w:val="0"/>
                <w:szCs w:val="21"/>
              </w:rPr>
            </w:pPr>
            <w:r>
              <w:rPr>
                <w:color w:val="000000"/>
                <w:kern w:val="0"/>
                <w:szCs w:val="21"/>
              </w:rPr>
              <w:t>341</w:t>
            </w:r>
          </w:p>
        </w:tc>
      </w:tr>
      <w:tr w14:paraId="06E2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78370D3B">
            <w:pPr>
              <w:rPr>
                <w:rFonts w:ascii="楷体_GB2312" w:hAnsi="宋体" w:eastAsia="楷体_GB2312" w:cs="宋体"/>
                <w:color w:val="000000"/>
                <w:kern w:val="0"/>
                <w:szCs w:val="21"/>
              </w:rPr>
            </w:pPr>
          </w:p>
        </w:tc>
        <w:tc>
          <w:tcPr>
            <w:tcW w:w="0" w:type="dxa"/>
            <w:noWrap w:val="0"/>
            <w:vAlign w:val="center"/>
          </w:tcPr>
          <w:p w14:paraId="118ECF4B">
            <w:pPr>
              <w:jc w:val="center"/>
              <w:rPr>
                <w:color w:val="000000"/>
                <w:kern w:val="0"/>
                <w:szCs w:val="21"/>
              </w:rPr>
            </w:pPr>
            <w:r>
              <w:rPr>
                <w:color w:val="000000"/>
                <w:kern w:val="0"/>
                <w:szCs w:val="21"/>
              </w:rPr>
              <w:t>3</w:t>
            </w:r>
          </w:p>
        </w:tc>
        <w:tc>
          <w:tcPr>
            <w:tcW w:w="0" w:type="dxa"/>
            <w:noWrap w:val="0"/>
            <w:vAlign w:val="center"/>
          </w:tcPr>
          <w:p w14:paraId="01A7BFB1">
            <w:pPr>
              <w:jc w:val="center"/>
              <w:rPr>
                <w:color w:val="000000"/>
                <w:kern w:val="0"/>
                <w:szCs w:val="21"/>
              </w:rPr>
            </w:pPr>
            <w:r>
              <w:rPr>
                <w:color w:val="000000"/>
                <w:kern w:val="0"/>
                <w:szCs w:val="21"/>
              </w:rPr>
              <w:t>1</w:t>
            </w:r>
          </w:p>
        </w:tc>
        <w:tc>
          <w:tcPr>
            <w:tcW w:w="0" w:type="dxa"/>
            <w:noWrap w:val="0"/>
            <w:vAlign w:val="center"/>
          </w:tcPr>
          <w:p w14:paraId="568E192B">
            <w:pPr>
              <w:jc w:val="center"/>
              <w:rPr>
                <w:color w:val="000000"/>
                <w:kern w:val="0"/>
                <w:szCs w:val="21"/>
              </w:rPr>
            </w:pPr>
            <w:r>
              <w:rPr>
                <w:color w:val="000000"/>
                <w:kern w:val="0"/>
                <w:szCs w:val="21"/>
              </w:rPr>
              <w:t>275</w:t>
            </w:r>
          </w:p>
        </w:tc>
        <w:tc>
          <w:tcPr>
            <w:tcW w:w="0" w:type="dxa"/>
            <w:noWrap w:val="0"/>
            <w:vAlign w:val="center"/>
          </w:tcPr>
          <w:p w14:paraId="573FFFAD">
            <w:pPr>
              <w:jc w:val="center"/>
              <w:rPr>
                <w:color w:val="000000"/>
                <w:kern w:val="0"/>
                <w:szCs w:val="21"/>
              </w:rPr>
            </w:pPr>
            <w:r>
              <w:rPr>
                <w:color w:val="000000"/>
                <w:kern w:val="0"/>
                <w:szCs w:val="21"/>
              </w:rPr>
              <w:t>1</w:t>
            </w:r>
          </w:p>
        </w:tc>
        <w:tc>
          <w:tcPr>
            <w:tcW w:w="0" w:type="dxa"/>
            <w:noWrap w:val="0"/>
            <w:vAlign w:val="center"/>
          </w:tcPr>
          <w:p w14:paraId="2D03AD7F">
            <w:pPr>
              <w:jc w:val="center"/>
              <w:rPr>
                <w:color w:val="000000"/>
                <w:kern w:val="0"/>
                <w:sz w:val="22"/>
                <w:szCs w:val="22"/>
              </w:rPr>
            </w:pPr>
            <w:r>
              <w:rPr>
                <w:color w:val="000000"/>
                <w:kern w:val="0"/>
                <w:sz w:val="22"/>
                <w:szCs w:val="22"/>
              </w:rPr>
              <w:t>272</w:t>
            </w:r>
          </w:p>
        </w:tc>
        <w:tc>
          <w:tcPr>
            <w:tcW w:w="0" w:type="dxa"/>
            <w:noWrap w:val="0"/>
            <w:vAlign w:val="center"/>
          </w:tcPr>
          <w:p w14:paraId="7441D6CB">
            <w:pPr>
              <w:jc w:val="center"/>
              <w:rPr>
                <w:color w:val="000000"/>
                <w:kern w:val="0"/>
                <w:szCs w:val="21"/>
              </w:rPr>
            </w:pPr>
            <w:r>
              <w:rPr>
                <w:color w:val="000000"/>
                <w:kern w:val="0"/>
                <w:szCs w:val="21"/>
              </w:rPr>
              <w:t>1</w:t>
            </w:r>
          </w:p>
        </w:tc>
        <w:tc>
          <w:tcPr>
            <w:tcW w:w="0" w:type="dxa"/>
            <w:noWrap w:val="0"/>
            <w:vAlign w:val="center"/>
          </w:tcPr>
          <w:p w14:paraId="61378A37">
            <w:pPr>
              <w:jc w:val="center"/>
              <w:rPr>
                <w:color w:val="000000"/>
                <w:kern w:val="0"/>
                <w:szCs w:val="21"/>
              </w:rPr>
            </w:pPr>
            <w:r>
              <w:rPr>
                <w:color w:val="000000"/>
                <w:kern w:val="0"/>
                <w:szCs w:val="21"/>
              </w:rPr>
              <w:t>278</w:t>
            </w:r>
          </w:p>
        </w:tc>
      </w:tr>
      <w:tr w14:paraId="6736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restart"/>
            <w:noWrap w:val="0"/>
            <w:vAlign w:val="center"/>
          </w:tcPr>
          <w:p w14:paraId="7F12D0E1">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永镇乡</w:t>
            </w:r>
          </w:p>
        </w:tc>
        <w:tc>
          <w:tcPr>
            <w:tcW w:w="0" w:type="dxa"/>
            <w:noWrap w:val="0"/>
            <w:vAlign w:val="center"/>
          </w:tcPr>
          <w:p w14:paraId="7FAB8FE4">
            <w:pPr>
              <w:jc w:val="center"/>
              <w:rPr>
                <w:color w:val="000000"/>
                <w:kern w:val="0"/>
                <w:szCs w:val="21"/>
              </w:rPr>
            </w:pPr>
            <w:r>
              <w:rPr>
                <w:color w:val="000000"/>
                <w:kern w:val="0"/>
                <w:szCs w:val="21"/>
              </w:rPr>
              <w:t>1</w:t>
            </w:r>
          </w:p>
        </w:tc>
        <w:tc>
          <w:tcPr>
            <w:tcW w:w="0" w:type="dxa"/>
            <w:noWrap w:val="0"/>
            <w:vAlign w:val="center"/>
          </w:tcPr>
          <w:p w14:paraId="1086230C">
            <w:pPr>
              <w:jc w:val="center"/>
              <w:rPr>
                <w:color w:val="000000"/>
                <w:kern w:val="0"/>
                <w:szCs w:val="21"/>
              </w:rPr>
            </w:pPr>
            <w:r>
              <w:rPr>
                <w:color w:val="000000"/>
                <w:kern w:val="0"/>
                <w:szCs w:val="21"/>
              </w:rPr>
              <w:t>13</w:t>
            </w:r>
          </w:p>
        </w:tc>
        <w:tc>
          <w:tcPr>
            <w:tcW w:w="0" w:type="dxa"/>
            <w:noWrap w:val="0"/>
            <w:vAlign w:val="center"/>
          </w:tcPr>
          <w:p w14:paraId="3E39408D">
            <w:pPr>
              <w:jc w:val="center"/>
              <w:rPr>
                <w:color w:val="000000"/>
                <w:kern w:val="0"/>
                <w:szCs w:val="21"/>
              </w:rPr>
            </w:pPr>
            <w:r>
              <w:rPr>
                <w:color w:val="000000"/>
                <w:kern w:val="0"/>
                <w:szCs w:val="21"/>
              </w:rPr>
              <w:t>464</w:t>
            </w:r>
          </w:p>
        </w:tc>
        <w:tc>
          <w:tcPr>
            <w:tcW w:w="0" w:type="dxa"/>
            <w:noWrap w:val="0"/>
            <w:vAlign w:val="center"/>
          </w:tcPr>
          <w:p w14:paraId="3F3EF0AE">
            <w:pPr>
              <w:jc w:val="center"/>
              <w:rPr>
                <w:color w:val="000000"/>
                <w:kern w:val="0"/>
                <w:szCs w:val="21"/>
              </w:rPr>
            </w:pPr>
            <w:r>
              <w:rPr>
                <w:color w:val="000000"/>
                <w:kern w:val="0"/>
                <w:szCs w:val="21"/>
              </w:rPr>
              <w:t>13</w:t>
            </w:r>
          </w:p>
        </w:tc>
        <w:tc>
          <w:tcPr>
            <w:tcW w:w="0" w:type="dxa"/>
            <w:noWrap w:val="0"/>
            <w:vAlign w:val="center"/>
          </w:tcPr>
          <w:p w14:paraId="264740B1">
            <w:pPr>
              <w:jc w:val="center"/>
              <w:rPr>
                <w:color w:val="000000"/>
                <w:kern w:val="0"/>
                <w:sz w:val="22"/>
                <w:szCs w:val="22"/>
              </w:rPr>
            </w:pPr>
            <w:r>
              <w:rPr>
                <w:color w:val="000000"/>
                <w:kern w:val="0"/>
                <w:sz w:val="22"/>
                <w:szCs w:val="22"/>
              </w:rPr>
              <w:t>450</w:t>
            </w:r>
          </w:p>
        </w:tc>
        <w:tc>
          <w:tcPr>
            <w:tcW w:w="0" w:type="dxa"/>
            <w:noWrap w:val="0"/>
            <w:vAlign w:val="center"/>
          </w:tcPr>
          <w:p w14:paraId="1E219CB7">
            <w:pPr>
              <w:jc w:val="center"/>
              <w:rPr>
                <w:color w:val="000000"/>
                <w:kern w:val="0"/>
                <w:szCs w:val="21"/>
              </w:rPr>
            </w:pPr>
            <w:r>
              <w:rPr>
                <w:color w:val="000000"/>
                <w:kern w:val="0"/>
                <w:szCs w:val="21"/>
              </w:rPr>
              <w:t>13</w:t>
            </w:r>
          </w:p>
        </w:tc>
        <w:tc>
          <w:tcPr>
            <w:tcW w:w="0" w:type="dxa"/>
            <w:noWrap w:val="0"/>
            <w:vAlign w:val="center"/>
          </w:tcPr>
          <w:p w14:paraId="48BCF784">
            <w:pPr>
              <w:jc w:val="center"/>
              <w:rPr>
                <w:color w:val="000000"/>
                <w:kern w:val="0"/>
                <w:szCs w:val="21"/>
              </w:rPr>
            </w:pPr>
            <w:r>
              <w:rPr>
                <w:color w:val="000000"/>
                <w:kern w:val="0"/>
                <w:szCs w:val="21"/>
              </w:rPr>
              <w:t>436</w:t>
            </w:r>
          </w:p>
        </w:tc>
      </w:tr>
      <w:tr w14:paraId="7CA26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4E29C2E1">
            <w:pPr>
              <w:rPr>
                <w:rFonts w:ascii="楷体_GB2312" w:hAnsi="宋体" w:eastAsia="楷体_GB2312" w:cs="宋体"/>
                <w:color w:val="000000"/>
                <w:kern w:val="0"/>
                <w:szCs w:val="21"/>
              </w:rPr>
            </w:pPr>
          </w:p>
        </w:tc>
        <w:tc>
          <w:tcPr>
            <w:tcW w:w="0" w:type="dxa"/>
            <w:noWrap w:val="0"/>
            <w:vAlign w:val="center"/>
          </w:tcPr>
          <w:p w14:paraId="5C80F62F">
            <w:pPr>
              <w:jc w:val="center"/>
              <w:rPr>
                <w:color w:val="000000"/>
                <w:kern w:val="0"/>
                <w:szCs w:val="21"/>
              </w:rPr>
            </w:pPr>
            <w:r>
              <w:rPr>
                <w:color w:val="000000"/>
                <w:kern w:val="0"/>
                <w:szCs w:val="21"/>
              </w:rPr>
              <w:t>2</w:t>
            </w:r>
          </w:p>
        </w:tc>
        <w:tc>
          <w:tcPr>
            <w:tcW w:w="0" w:type="dxa"/>
            <w:noWrap w:val="0"/>
            <w:vAlign w:val="center"/>
          </w:tcPr>
          <w:p w14:paraId="6C876CF9">
            <w:pPr>
              <w:jc w:val="center"/>
              <w:rPr>
                <w:color w:val="000000"/>
                <w:kern w:val="0"/>
                <w:szCs w:val="21"/>
              </w:rPr>
            </w:pPr>
            <w:r>
              <w:rPr>
                <w:color w:val="000000"/>
                <w:kern w:val="0"/>
                <w:szCs w:val="21"/>
              </w:rPr>
              <w:t>15</w:t>
            </w:r>
          </w:p>
        </w:tc>
        <w:tc>
          <w:tcPr>
            <w:tcW w:w="0" w:type="dxa"/>
            <w:noWrap w:val="0"/>
            <w:vAlign w:val="center"/>
          </w:tcPr>
          <w:p w14:paraId="486E7361">
            <w:pPr>
              <w:jc w:val="center"/>
              <w:rPr>
                <w:color w:val="000000"/>
                <w:kern w:val="0"/>
                <w:szCs w:val="21"/>
              </w:rPr>
            </w:pPr>
            <w:r>
              <w:rPr>
                <w:color w:val="000000"/>
                <w:kern w:val="0"/>
                <w:szCs w:val="21"/>
              </w:rPr>
              <w:t>337</w:t>
            </w:r>
          </w:p>
        </w:tc>
        <w:tc>
          <w:tcPr>
            <w:tcW w:w="0" w:type="dxa"/>
            <w:noWrap w:val="0"/>
            <w:vAlign w:val="center"/>
          </w:tcPr>
          <w:p w14:paraId="459656E2">
            <w:pPr>
              <w:jc w:val="center"/>
              <w:rPr>
                <w:color w:val="000000"/>
                <w:kern w:val="0"/>
                <w:szCs w:val="21"/>
              </w:rPr>
            </w:pPr>
            <w:r>
              <w:rPr>
                <w:color w:val="000000"/>
                <w:kern w:val="0"/>
                <w:szCs w:val="21"/>
              </w:rPr>
              <w:t>15</w:t>
            </w:r>
          </w:p>
        </w:tc>
        <w:tc>
          <w:tcPr>
            <w:tcW w:w="0" w:type="dxa"/>
            <w:noWrap w:val="0"/>
            <w:vAlign w:val="center"/>
          </w:tcPr>
          <w:p w14:paraId="7E5BF054">
            <w:pPr>
              <w:jc w:val="center"/>
              <w:rPr>
                <w:color w:val="000000"/>
                <w:kern w:val="0"/>
                <w:sz w:val="22"/>
                <w:szCs w:val="22"/>
              </w:rPr>
            </w:pPr>
            <w:r>
              <w:rPr>
                <w:color w:val="000000"/>
                <w:kern w:val="0"/>
                <w:sz w:val="22"/>
                <w:szCs w:val="22"/>
              </w:rPr>
              <w:t>351</w:t>
            </w:r>
          </w:p>
        </w:tc>
        <w:tc>
          <w:tcPr>
            <w:tcW w:w="0" w:type="dxa"/>
            <w:noWrap w:val="0"/>
            <w:vAlign w:val="center"/>
          </w:tcPr>
          <w:p w14:paraId="4D53B550">
            <w:pPr>
              <w:jc w:val="center"/>
              <w:rPr>
                <w:color w:val="000000"/>
                <w:kern w:val="0"/>
                <w:szCs w:val="21"/>
              </w:rPr>
            </w:pPr>
            <w:r>
              <w:rPr>
                <w:color w:val="000000"/>
                <w:kern w:val="0"/>
                <w:szCs w:val="21"/>
              </w:rPr>
              <w:t>15</w:t>
            </w:r>
          </w:p>
        </w:tc>
        <w:tc>
          <w:tcPr>
            <w:tcW w:w="0" w:type="dxa"/>
            <w:noWrap w:val="0"/>
            <w:vAlign w:val="center"/>
          </w:tcPr>
          <w:p w14:paraId="65F8B04F">
            <w:pPr>
              <w:jc w:val="center"/>
              <w:rPr>
                <w:color w:val="000000"/>
                <w:kern w:val="0"/>
                <w:szCs w:val="21"/>
              </w:rPr>
            </w:pPr>
            <w:r>
              <w:rPr>
                <w:color w:val="000000"/>
                <w:kern w:val="0"/>
                <w:szCs w:val="21"/>
              </w:rPr>
              <w:t>377</w:t>
            </w:r>
          </w:p>
        </w:tc>
      </w:tr>
      <w:tr w14:paraId="2BE0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059A8C16">
            <w:pPr>
              <w:rPr>
                <w:rFonts w:ascii="楷体_GB2312" w:hAnsi="宋体" w:eastAsia="楷体_GB2312" w:cs="宋体"/>
                <w:color w:val="000000"/>
                <w:kern w:val="0"/>
                <w:szCs w:val="21"/>
              </w:rPr>
            </w:pPr>
          </w:p>
        </w:tc>
        <w:tc>
          <w:tcPr>
            <w:tcW w:w="0" w:type="dxa"/>
            <w:noWrap w:val="0"/>
            <w:vAlign w:val="center"/>
          </w:tcPr>
          <w:p w14:paraId="74AD10CA">
            <w:pPr>
              <w:jc w:val="center"/>
              <w:rPr>
                <w:color w:val="000000"/>
                <w:kern w:val="0"/>
                <w:szCs w:val="21"/>
              </w:rPr>
            </w:pPr>
            <w:r>
              <w:rPr>
                <w:color w:val="000000"/>
                <w:kern w:val="0"/>
                <w:szCs w:val="21"/>
              </w:rPr>
              <w:t>3</w:t>
            </w:r>
          </w:p>
        </w:tc>
        <w:tc>
          <w:tcPr>
            <w:tcW w:w="0" w:type="dxa"/>
            <w:noWrap w:val="0"/>
            <w:vAlign w:val="center"/>
          </w:tcPr>
          <w:p w14:paraId="370DCF1B">
            <w:pPr>
              <w:jc w:val="center"/>
              <w:rPr>
                <w:color w:val="000000"/>
                <w:kern w:val="0"/>
                <w:szCs w:val="21"/>
              </w:rPr>
            </w:pPr>
            <w:r>
              <w:rPr>
                <w:color w:val="000000"/>
                <w:kern w:val="0"/>
                <w:szCs w:val="21"/>
              </w:rPr>
              <w:t>2</w:t>
            </w:r>
          </w:p>
        </w:tc>
        <w:tc>
          <w:tcPr>
            <w:tcW w:w="0" w:type="dxa"/>
            <w:noWrap w:val="0"/>
            <w:vAlign w:val="center"/>
          </w:tcPr>
          <w:p w14:paraId="43F6AC92">
            <w:pPr>
              <w:jc w:val="center"/>
              <w:rPr>
                <w:color w:val="000000"/>
                <w:kern w:val="0"/>
                <w:szCs w:val="21"/>
              </w:rPr>
            </w:pPr>
            <w:r>
              <w:rPr>
                <w:color w:val="000000"/>
                <w:kern w:val="0"/>
                <w:szCs w:val="21"/>
              </w:rPr>
              <w:t>266</w:t>
            </w:r>
          </w:p>
        </w:tc>
        <w:tc>
          <w:tcPr>
            <w:tcW w:w="0" w:type="dxa"/>
            <w:noWrap w:val="0"/>
            <w:vAlign w:val="center"/>
          </w:tcPr>
          <w:p w14:paraId="29599E0E">
            <w:pPr>
              <w:jc w:val="center"/>
              <w:rPr>
                <w:color w:val="000000"/>
                <w:kern w:val="0"/>
                <w:szCs w:val="21"/>
              </w:rPr>
            </w:pPr>
            <w:r>
              <w:rPr>
                <w:color w:val="000000"/>
                <w:kern w:val="0"/>
                <w:szCs w:val="21"/>
              </w:rPr>
              <w:t>2</w:t>
            </w:r>
          </w:p>
        </w:tc>
        <w:tc>
          <w:tcPr>
            <w:tcW w:w="0" w:type="dxa"/>
            <w:noWrap w:val="0"/>
            <w:vAlign w:val="center"/>
          </w:tcPr>
          <w:p w14:paraId="4C5DCA65">
            <w:pPr>
              <w:jc w:val="center"/>
              <w:rPr>
                <w:color w:val="000000"/>
                <w:kern w:val="0"/>
                <w:sz w:val="22"/>
                <w:szCs w:val="22"/>
              </w:rPr>
            </w:pPr>
            <w:r>
              <w:rPr>
                <w:color w:val="000000"/>
                <w:kern w:val="0"/>
                <w:sz w:val="22"/>
                <w:szCs w:val="22"/>
              </w:rPr>
              <w:t>269</w:t>
            </w:r>
          </w:p>
        </w:tc>
        <w:tc>
          <w:tcPr>
            <w:tcW w:w="0" w:type="dxa"/>
            <w:noWrap w:val="0"/>
            <w:vAlign w:val="center"/>
          </w:tcPr>
          <w:p w14:paraId="02C45572">
            <w:pPr>
              <w:jc w:val="center"/>
              <w:rPr>
                <w:color w:val="000000"/>
                <w:kern w:val="0"/>
                <w:szCs w:val="21"/>
              </w:rPr>
            </w:pPr>
            <w:r>
              <w:rPr>
                <w:color w:val="000000"/>
                <w:kern w:val="0"/>
                <w:szCs w:val="21"/>
              </w:rPr>
              <w:t>2</w:t>
            </w:r>
          </w:p>
        </w:tc>
        <w:tc>
          <w:tcPr>
            <w:tcW w:w="0" w:type="dxa"/>
            <w:noWrap w:val="0"/>
            <w:vAlign w:val="center"/>
          </w:tcPr>
          <w:p w14:paraId="495C8A1F">
            <w:pPr>
              <w:jc w:val="center"/>
              <w:rPr>
                <w:color w:val="000000"/>
                <w:kern w:val="0"/>
                <w:szCs w:val="21"/>
              </w:rPr>
            </w:pPr>
            <w:r>
              <w:rPr>
                <w:color w:val="000000"/>
                <w:kern w:val="0"/>
                <w:szCs w:val="21"/>
              </w:rPr>
              <w:t>305</w:t>
            </w:r>
          </w:p>
        </w:tc>
      </w:tr>
      <w:tr w14:paraId="664B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restart"/>
            <w:noWrap w:val="0"/>
            <w:vAlign w:val="center"/>
          </w:tcPr>
          <w:p w14:paraId="08701198">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解集镇</w:t>
            </w:r>
          </w:p>
        </w:tc>
        <w:tc>
          <w:tcPr>
            <w:tcW w:w="0" w:type="dxa"/>
            <w:noWrap w:val="0"/>
            <w:vAlign w:val="center"/>
          </w:tcPr>
          <w:p w14:paraId="40170C01">
            <w:pPr>
              <w:jc w:val="center"/>
              <w:rPr>
                <w:color w:val="000000"/>
                <w:kern w:val="0"/>
                <w:szCs w:val="21"/>
              </w:rPr>
            </w:pPr>
            <w:r>
              <w:rPr>
                <w:color w:val="000000"/>
                <w:kern w:val="0"/>
                <w:szCs w:val="21"/>
              </w:rPr>
              <w:t>1</w:t>
            </w:r>
          </w:p>
        </w:tc>
        <w:tc>
          <w:tcPr>
            <w:tcW w:w="0" w:type="dxa"/>
            <w:noWrap w:val="0"/>
            <w:vAlign w:val="center"/>
          </w:tcPr>
          <w:p w14:paraId="3E0EAA5C">
            <w:pPr>
              <w:jc w:val="center"/>
              <w:rPr>
                <w:color w:val="000000"/>
                <w:kern w:val="0"/>
                <w:szCs w:val="21"/>
              </w:rPr>
            </w:pPr>
            <w:r>
              <w:rPr>
                <w:color w:val="000000"/>
                <w:kern w:val="0"/>
                <w:szCs w:val="21"/>
              </w:rPr>
              <w:t>12</w:t>
            </w:r>
          </w:p>
        </w:tc>
        <w:tc>
          <w:tcPr>
            <w:tcW w:w="0" w:type="dxa"/>
            <w:noWrap w:val="0"/>
            <w:vAlign w:val="center"/>
          </w:tcPr>
          <w:p w14:paraId="112C9052">
            <w:pPr>
              <w:jc w:val="center"/>
              <w:rPr>
                <w:color w:val="000000"/>
                <w:kern w:val="0"/>
                <w:szCs w:val="21"/>
              </w:rPr>
            </w:pPr>
            <w:r>
              <w:rPr>
                <w:color w:val="000000"/>
                <w:kern w:val="0"/>
                <w:szCs w:val="21"/>
              </w:rPr>
              <w:t>413</w:t>
            </w:r>
          </w:p>
        </w:tc>
        <w:tc>
          <w:tcPr>
            <w:tcW w:w="0" w:type="dxa"/>
            <w:noWrap w:val="0"/>
            <w:vAlign w:val="center"/>
          </w:tcPr>
          <w:p w14:paraId="27D2EB0A">
            <w:pPr>
              <w:jc w:val="center"/>
              <w:rPr>
                <w:color w:val="000000"/>
                <w:kern w:val="0"/>
                <w:szCs w:val="21"/>
              </w:rPr>
            </w:pPr>
            <w:r>
              <w:rPr>
                <w:color w:val="000000"/>
                <w:kern w:val="0"/>
                <w:szCs w:val="21"/>
              </w:rPr>
              <w:t>12</w:t>
            </w:r>
          </w:p>
        </w:tc>
        <w:tc>
          <w:tcPr>
            <w:tcW w:w="0" w:type="dxa"/>
            <w:noWrap w:val="0"/>
            <w:vAlign w:val="center"/>
          </w:tcPr>
          <w:p w14:paraId="49D93620">
            <w:pPr>
              <w:jc w:val="center"/>
              <w:rPr>
                <w:color w:val="000000"/>
                <w:kern w:val="0"/>
                <w:sz w:val="22"/>
                <w:szCs w:val="22"/>
              </w:rPr>
            </w:pPr>
            <w:r>
              <w:rPr>
                <w:color w:val="000000"/>
                <w:kern w:val="0"/>
                <w:sz w:val="22"/>
                <w:szCs w:val="22"/>
              </w:rPr>
              <w:t>418</w:t>
            </w:r>
          </w:p>
        </w:tc>
        <w:tc>
          <w:tcPr>
            <w:tcW w:w="0" w:type="dxa"/>
            <w:noWrap w:val="0"/>
            <w:vAlign w:val="center"/>
          </w:tcPr>
          <w:p w14:paraId="55F77E67">
            <w:pPr>
              <w:jc w:val="center"/>
              <w:rPr>
                <w:color w:val="000000"/>
                <w:kern w:val="0"/>
                <w:szCs w:val="21"/>
              </w:rPr>
            </w:pPr>
            <w:r>
              <w:rPr>
                <w:color w:val="000000"/>
                <w:kern w:val="0"/>
                <w:szCs w:val="21"/>
              </w:rPr>
              <w:t>12</w:t>
            </w:r>
          </w:p>
        </w:tc>
        <w:tc>
          <w:tcPr>
            <w:tcW w:w="0" w:type="dxa"/>
            <w:noWrap w:val="0"/>
            <w:vAlign w:val="center"/>
          </w:tcPr>
          <w:p w14:paraId="14D811EF">
            <w:pPr>
              <w:jc w:val="center"/>
              <w:rPr>
                <w:color w:val="000000"/>
                <w:kern w:val="0"/>
                <w:szCs w:val="21"/>
              </w:rPr>
            </w:pPr>
            <w:r>
              <w:rPr>
                <w:color w:val="000000"/>
                <w:kern w:val="0"/>
                <w:szCs w:val="21"/>
              </w:rPr>
              <w:t>474</w:t>
            </w:r>
          </w:p>
        </w:tc>
      </w:tr>
      <w:tr w14:paraId="25302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4C0E3284">
            <w:pPr>
              <w:rPr>
                <w:rFonts w:ascii="楷体_GB2312" w:hAnsi="宋体" w:eastAsia="楷体_GB2312" w:cs="宋体"/>
                <w:color w:val="000000"/>
                <w:kern w:val="0"/>
                <w:szCs w:val="21"/>
              </w:rPr>
            </w:pPr>
          </w:p>
        </w:tc>
        <w:tc>
          <w:tcPr>
            <w:tcW w:w="0" w:type="dxa"/>
            <w:noWrap w:val="0"/>
            <w:vAlign w:val="center"/>
          </w:tcPr>
          <w:p w14:paraId="5209CD2E">
            <w:pPr>
              <w:jc w:val="center"/>
              <w:rPr>
                <w:color w:val="000000"/>
                <w:kern w:val="0"/>
                <w:szCs w:val="21"/>
              </w:rPr>
            </w:pPr>
            <w:r>
              <w:rPr>
                <w:color w:val="000000"/>
                <w:kern w:val="0"/>
                <w:szCs w:val="21"/>
              </w:rPr>
              <w:t>2</w:t>
            </w:r>
          </w:p>
        </w:tc>
        <w:tc>
          <w:tcPr>
            <w:tcW w:w="0" w:type="dxa"/>
            <w:noWrap w:val="0"/>
            <w:vAlign w:val="center"/>
          </w:tcPr>
          <w:p w14:paraId="73B49325">
            <w:pPr>
              <w:jc w:val="center"/>
              <w:rPr>
                <w:color w:val="000000"/>
                <w:kern w:val="0"/>
                <w:szCs w:val="21"/>
              </w:rPr>
            </w:pPr>
            <w:r>
              <w:rPr>
                <w:color w:val="000000"/>
                <w:kern w:val="0"/>
                <w:szCs w:val="21"/>
              </w:rPr>
              <w:t>14</w:t>
            </w:r>
          </w:p>
        </w:tc>
        <w:tc>
          <w:tcPr>
            <w:tcW w:w="0" w:type="dxa"/>
            <w:noWrap w:val="0"/>
            <w:vAlign w:val="center"/>
          </w:tcPr>
          <w:p w14:paraId="0B39D4F3">
            <w:pPr>
              <w:jc w:val="center"/>
              <w:rPr>
                <w:color w:val="000000"/>
                <w:kern w:val="0"/>
                <w:szCs w:val="21"/>
              </w:rPr>
            </w:pPr>
            <w:r>
              <w:rPr>
                <w:color w:val="000000"/>
                <w:kern w:val="0"/>
                <w:szCs w:val="21"/>
              </w:rPr>
              <w:t>342</w:t>
            </w:r>
          </w:p>
        </w:tc>
        <w:tc>
          <w:tcPr>
            <w:tcW w:w="0" w:type="dxa"/>
            <w:noWrap w:val="0"/>
            <w:vAlign w:val="center"/>
          </w:tcPr>
          <w:p w14:paraId="73DFE36C">
            <w:pPr>
              <w:jc w:val="center"/>
              <w:rPr>
                <w:color w:val="000000"/>
                <w:kern w:val="0"/>
                <w:szCs w:val="21"/>
              </w:rPr>
            </w:pPr>
            <w:r>
              <w:rPr>
                <w:color w:val="000000"/>
                <w:kern w:val="0"/>
                <w:szCs w:val="21"/>
              </w:rPr>
              <w:t>14</w:t>
            </w:r>
          </w:p>
        </w:tc>
        <w:tc>
          <w:tcPr>
            <w:tcW w:w="0" w:type="dxa"/>
            <w:noWrap w:val="0"/>
            <w:vAlign w:val="center"/>
          </w:tcPr>
          <w:p w14:paraId="735CD254">
            <w:pPr>
              <w:jc w:val="center"/>
              <w:rPr>
                <w:color w:val="000000"/>
                <w:kern w:val="0"/>
                <w:sz w:val="22"/>
                <w:szCs w:val="22"/>
              </w:rPr>
            </w:pPr>
            <w:r>
              <w:rPr>
                <w:color w:val="000000"/>
                <w:kern w:val="0"/>
                <w:sz w:val="22"/>
                <w:szCs w:val="22"/>
              </w:rPr>
              <w:t>342</w:t>
            </w:r>
          </w:p>
        </w:tc>
        <w:tc>
          <w:tcPr>
            <w:tcW w:w="0" w:type="dxa"/>
            <w:noWrap w:val="0"/>
            <w:vAlign w:val="center"/>
          </w:tcPr>
          <w:p w14:paraId="04457815">
            <w:pPr>
              <w:jc w:val="center"/>
              <w:rPr>
                <w:color w:val="000000"/>
                <w:kern w:val="0"/>
                <w:szCs w:val="21"/>
              </w:rPr>
            </w:pPr>
            <w:r>
              <w:rPr>
                <w:color w:val="000000"/>
                <w:kern w:val="0"/>
                <w:szCs w:val="21"/>
              </w:rPr>
              <w:t>14</w:t>
            </w:r>
          </w:p>
        </w:tc>
        <w:tc>
          <w:tcPr>
            <w:tcW w:w="0" w:type="dxa"/>
            <w:noWrap w:val="0"/>
            <w:vAlign w:val="center"/>
          </w:tcPr>
          <w:p w14:paraId="3BADA6CE">
            <w:pPr>
              <w:jc w:val="center"/>
              <w:rPr>
                <w:color w:val="000000"/>
                <w:kern w:val="0"/>
                <w:szCs w:val="21"/>
              </w:rPr>
            </w:pPr>
            <w:r>
              <w:rPr>
                <w:color w:val="000000"/>
                <w:kern w:val="0"/>
                <w:szCs w:val="21"/>
              </w:rPr>
              <w:t>351</w:t>
            </w:r>
          </w:p>
        </w:tc>
      </w:tr>
      <w:tr w14:paraId="1802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7D60A303">
            <w:pPr>
              <w:rPr>
                <w:rFonts w:ascii="楷体_GB2312" w:hAnsi="宋体" w:eastAsia="楷体_GB2312" w:cs="宋体"/>
                <w:color w:val="000000"/>
                <w:kern w:val="0"/>
                <w:szCs w:val="21"/>
              </w:rPr>
            </w:pPr>
          </w:p>
        </w:tc>
        <w:tc>
          <w:tcPr>
            <w:tcW w:w="0" w:type="dxa"/>
            <w:noWrap w:val="0"/>
            <w:vAlign w:val="center"/>
          </w:tcPr>
          <w:p w14:paraId="33A8EB5B">
            <w:pPr>
              <w:jc w:val="center"/>
              <w:rPr>
                <w:color w:val="000000"/>
                <w:kern w:val="0"/>
                <w:szCs w:val="21"/>
              </w:rPr>
            </w:pPr>
            <w:r>
              <w:rPr>
                <w:color w:val="000000"/>
                <w:kern w:val="0"/>
                <w:szCs w:val="21"/>
              </w:rPr>
              <w:t>3</w:t>
            </w:r>
          </w:p>
        </w:tc>
        <w:tc>
          <w:tcPr>
            <w:tcW w:w="0" w:type="dxa"/>
            <w:noWrap w:val="0"/>
            <w:vAlign w:val="center"/>
          </w:tcPr>
          <w:p w14:paraId="45F2548D">
            <w:pPr>
              <w:jc w:val="center"/>
              <w:rPr>
                <w:color w:val="000000"/>
                <w:kern w:val="0"/>
                <w:szCs w:val="21"/>
              </w:rPr>
            </w:pPr>
            <w:r>
              <w:rPr>
                <w:color w:val="000000"/>
                <w:kern w:val="0"/>
                <w:szCs w:val="21"/>
              </w:rPr>
              <w:t>4</w:t>
            </w:r>
          </w:p>
        </w:tc>
        <w:tc>
          <w:tcPr>
            <w:tcW w:w="0" w:type="dxa"/>
            <w:noWrap w:val="0"/>
            <w:vAlign w:val="center"/>
          </w:tcPr>
          <w:p w14:paraId="26346A4A">
            <w:pPr>
              <w:jc w:val="center"/>
              <w:rPr>
                <w:color w:val="000000"/>
                <w:kern w:val="0"/>
                <w:szCs w:val="21"/>
              </w:rPr>
            </w:pPr>
            <w:r>
              <w:rPr>
                <w:color w:val="000000"/>
                <w:kern w:val="0"/>
                <w:szCs w:val="21"/>
              </w:rPr>
              <w:t>257</w:t>
            </w:r>
          </w:p>
        </w:tc>
        <w:tc>
          <w:tcPr>
            <w:tcW w:w="0" w:type="dxa"/>
            <w:noWrap w:val="0"/>
            <w:vAlign w:val="center"/>
          </w:tcPr>
          <w:p w14:paraId="16C9CFA2">
            <w:pPr>
              <w:jc w:val="center"/>
              <w:rPr>
                <w:color w:val="000000"/>
                <w:kern w:val="0"/>
                <w:szCs w:val="21"/>
              </w:rPr>
            </w:pPr>
            <w:r>
              <w:rPr>
                <w:color w:val="000000"/>
                <w:kern w:val="0"/>
                <w:szCs w:val="21"/>
              </w:rPr>
              <w:t>4</w:t>
            </w:r>
          </w:p>
        </w:tc>
        <w:tc>
          <w:tcPr>
            <w:tcW w:w="0" w:type="dxa"/>
            <w:noWrap w:val="0"/>
            <w:vAlign w:val="center"/>
          </w:tcPr>
          <w:p w14:paraId="507306D8">
            <w:pPr>
              <w:jc w:val="center"/>
              <w:rPr>
                <w:color w:val="000000"/>
                <w:kern w:val="0"/>
                <w:sz w:val="22"/>
                <w:szCs w:val="22"/>
              </w:rPr>
            </w:pPr>
            <w:r>
              <w:rPr>
                <w:color w:val="000000"/>
                <w:kern w:val="0"/>
                <w:sz w:val="22"/>
                <w:szCs w:val="22"/>
              </w:rPr>
              <w:t>276</w:t>
            </w:r>
          </w:p>
        </w:tc>
        <w:tc>
          <w:tcPr>
            <w:tcW w:w="0" w:type="dxa"/>
            <w:noWrap w:val="0"/>
            <w:vAlign w:val="center"/>
          </w:tcPr>
          <w:p w14:paraId="08A1D04D">
            <w:pPr>
              <w:jc w:val="center"/>
              <w:rPr>
                <w:color w:val="000000"/>
                <w:kern w:val="0"/>
                <w:szCs w:val="21"/>
              </w:rPr>
            </w:pPr>
            <w:r>
              <w:rPr>
                <w:color w:val="000000"/>
                <w:kern w:val="0"/>
                <w:szCs w:val="21"/>
              </w:rPr>
              <w:t>4</w:t>
            </w:r>
          </w:p>
        </w:tc>
        <w:tc>
          <w:tcPr>
            <w:tcW w:w="0" w:type="dxa"/>
            <w:noWrap w:val="0"/>
            <w:vAlign w:val="center"/>
          </w:tcPr>
          <w:p w14:paraId="2B27B55E">
            <w:pPr>
              <w:jc w:val="center"/>
              <w:rPr>
                <w:color w:val="000000"/>
                <w:kern w:val="0"/>
                <w:szCs w:val="21"/>
              </w:rPr>
            </w:pPr>
            <w:r>
              <w:rPr>
                <w:color w:val="000000"/>
                <w:kern w:val="0"/>
                <w:szCs w:val="21"/>
              </w:rPr>
              <w:t>262</w:t>
            </w:r>
          </w:p>
        </w:tc>
      </w:tr>
      <w:tr w14:paraId="046DD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restart"/>
            <w:noWrap w:val="0"/>
            <w:vAlign w:val="center"/>
          </w:tcPr>
          <w:p w14:paraId="458D25AF">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大泽乡镇</w:t>
            </w:r>
          </w:p>
        </w:tc>
        <w:tc>
          <w:tcPr>
            <w:tcW w:w="0" w:type="dxa"/>
            <w:noWrap w:val="0"/>
            <w:vAlign w:val="center"/>
          </w:tcPr>
          <w:p w14:paraId="5CFA6152">
            <w:pPr>
              <w:jc w:val="center"/>
              <w:rPr>
                <w:color w:val="000000"/>
                <w:kern w:val="0"/>
                <w:szCs w:val="21"/>
              </w:rPr>
            </w:pPr>
            <w:r>
              <w:rPr>
                <w:color w:val="000000"/>
                <w:kern w:val="0"/>
                <w:szCs w:val="21"/>
              </w:rPr>
              <w:t>1</w:t>
            </w:r>
          </w:p>
        </w:tc>
        <w:tc>
          <w:tcPr>
            <w:tcW w:w="0" w:type="dxa"/>
            <w:noWrap w:val="0"/>
            <w:vAlign w:val="center"/>
          </w:tcPr>
          <w:p w14:paraId="29E544DB">
            <w:pPr>
              <w:jc w:val="center"/>
              <w:rPr>
                <w:color w:val="000000"/>
                <w:kern w:val="0"/>
                <w:szCs w:val="21"/>
              </w:rPr>
            </w:pPr>
            <w:r>
              <w:rPr>
                <w:color w:val="000000"/>
                <w:kern w:val="0"/>
                <w:szCs w:val="21"/>
              </w:rPr>
              <w:t>15</w:t>
            </w:r>
          </w:p>
        </w:tc>
        <w:tc>
          <w:tcPr>
            <w:tcW w:w="0" w:type="dxa"/>
            <w:noWrap w:val="0"/>
            <w:vAlign w:val="center"/>
          </w:tcPr>
          <w:p w14:paraId="1C0FA817">
            <w:pPr>
              <w:jc w:val="center"/>
              <w:rPr>
                <w:color w:val="000000"/>
                <w:kern w:val="0"/>
                <w:szCs w:val="21"/>
              </w:rPr>
            </w:pPr>
            <w:r>
              <w:rPr>
                <w:color w:val="000000"/>
                <w:kern w:val="0"/>
                <w:szCs w:val="21"/>
              </w:rPr>
              <w:t>431</w:t>
            </w:r>
          </w:p>
        </w:tc>
        <w:tc>
          <w:tcPr>
            <w:tcW w:w="0" w:type="dxa"/>
            <w:noWrap w:val="0"/>
            <w:vAlign w:val="center"/>
          </w:tcPr>
          <w:p w14:paraId="1E6A02D1">
            <w:pPr>
              <w:jc w:val="center"/>
              <w:rPr>
                <w:color w:val="000000"/>
                <w:kern w:val="0"/>
                <w:szCs w:val="21"/>
              </w:rPr>
            </w:pPr>
            <w:r>
              <w:rPr>
                <w:color w:val="000000"/>
                <w:kern w:val="0"/>
                <w:szCs w:val="21"/>
              </w:rPr>
              <w:t>15</w:t>
            </w:r>
          </w:p>
        </w:tc>
        <w:tc>
          <w:tcPr>
            <w:tcW w:w="0" w:type="dxa"/>
            <w:noWrap w:val="0"/>
            <w:vAlign w:val="center"/>
          </w:tcPr>
          <w:p w14:paraId="1A79EEB2">
            <w:pPr>
              <w:jc w:val="center"/>
              <w:rPr>
                <w:color w:val="000000"/>
                <w:kern w:val="0"/>
                <w:sz w:val="22"/>
                <w:szCs w:val="22"/>
              </w:rPr>
            </w:pPr>
            <w:r>
              <w:rPr>
                <w:color w:val="000000"/>
                <w:kern w:val="0"/>
                <w:sz w:val="22"/>
                <w:szCs w:val="22"/>
              </w:rPr>
              <w:t>418</w:t>
            </w:r>
          </w:p>
        </w:tc>
        <w:tc>
          <w:tcPr>
            <w:tcW w:w="0" w:type="dxa"/>
            <w:noWrap w:val="0"/>
            <w:vAlign w:val="center"/>
          </w:tcPr>
          <w:p w14:paraId="70D12D24">
            <w:pPr>
              <w:jc w:val="center"/>
              <w:rPr>
                <w:color w:val="000000"/>
                <w:kern w:val="0"/>
                <w:szCs w:val="21"/>
              </w:rPr>
            </w:pPr>
            <w:r>
              <w:rPr>
                <w:color w:val="000000"/>
                <w:kern w:val="0"/>
                <w:szCs w:val="21"/>
              </w:rPr>
              <w:t>15</w:t>
            </w:r>
          </w:p>
        </w:tc>
        <w:tc>
          <w:tcPr>
            <w:tcW w:w="0" w:type="dxa"/>
            <w:noWrap w:val="0"/>
            <w:vAlign w:val="center"/>
          </w:tcPr>
          <w:p w14:paraId="54C4AF59">
            <w:pPr>
              <w:jc w:val="center"/>
              <w:rPr>
                <w:color w:val="000000"/>
                <w:kern w:val="0"/>
                <w:szCs w:val="21"/>
              </w:rPr>
            </w:pPr>
            <w:r>
              <w:rPr>
                <w:color w:val="000000"/>
                <w:kern w:val="0"/>
                <w:szCs w:val="21"/>
              </w:rPr>
              <w:t>456</w:t>
            </w:r>
          </w:p>
        </w:tc>
      </w:tr>
      <w:tr w14:paraId="37B3A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1CDBB9D5">
            <w:pPr>
              <w:rPr>
                <w:rFonts w:ascii="楷体_GB2312" w:hAnsi="宋体" w:eastAsia="楷体_GB2312" w:cs="宋体"/>
                <w:color w:val="000000"/>
                <w:kern w:val="0"/>
                <w:szCs w:val="21"/>
              </w:rPr>
            </w:pPr>
          </w:p>
        </w:tc>
        <w:tc>
          <w:tcPr>
            <w:tcW w:w="0" w:type="dxa"/>
            <w:noWrap w:val="0"/>
            <w:vAlign w:val="center"/>
          </w:tcPr>
          <w:p w14:paraId="1A73140A">
            <w:pPr>
              <w:jc w:val="center"/>
              <w:rPr>
                <w:color w:val="000000"/>
                <w:kern w:val="0"/>
                <w:szCs w:val="21"/>
              </w:rPr>
            </w:pPr>
            <w:r>
              <w:rPr>
                <w:color w:val="000000"/>
                <w:kern w:val="0"/>
                <w:szCs w:val="21"/>
              </w:rPr>
              <w:t>2</w:t>
            </w:r>
          </w:p>
        </w:tc>
        <w:tc>
          <w:tcPr>
            <w:tcW w:w="0" w:type="dxa"/>
            <w:noWrap w:val="0"/>
            <w:vAlign w:val="center"/>
          </w:tcPr>
          <w:p w14:paraId="7DCA594A">
            <w:pPr>
              <w:jc w:val="center"/>
              <w:rPr>
                <w:color w:val="000000"/>
                <w:kern w:val="0"/>
                <w:szCs w:val="21"/>
              </w:rPr>
            </w:pPr>
            <w:r>
              <w:rPr>
                <w:color w:val="000000"/>
                <w:kern w:val="0"/>
                <w:szCs w:val="21"/>
              </w:rPr>
              <w:t>10</w:t>
            </w:r>
          </w:p>
        </w:tc>
        <w:tc>
          <w:tcPr>
            <w:tcW w:w="0" w:type="dxa"/>
            <w:noWrap w:val="0"/>
            <w:vAlign w:val="center"/>
          </w:tcPr>
          <w:p w14:paraId="3F399355">
            <w:pPr>
              <w:jc w:val="center"/>
              <w:rPr>
                <w:color w:val="000000"/>
                <w:kern w:val="0"/>
                <w:szCs w:val="21"/>
              </w:rPr>
            </w:pPr>
            <w:r>
              <w:rPr>
                <w:color w:val="000000"/>
                <w:kern w:val="0"/>
                <w:szCs w:val="21"/>
              </w:rPr>
              <w:t>362</w:t>
            </w:r>
          </w:p>
        </w:tc>
        <w:tc>
          <w:tcPr>
            <w:tcW w:w="0" w:type="dxa"/>
            <w:noWrap w:val="0"/>
            <w:vAlign w:val="center"/>
          </w:tcPr>
          <w:p w14:paraId="37848DFF">
            <w:pPr>
              <w:jc w:val="center"/>
              <w:rPr>
                <w:color w:val="000000"/>
                <w:kern w:val="0"/>
                <w:szCs w:val="21"/>
              </w:rPr>
            </w:pPr>
            <w:r>
              <w:rPr>
                <w:color w:val="000000"/>
                <w:kern w:val="0"/>
                <w:szCs w:val="21"/>
              </w:rPr>
              <w:t>10</w:t>
            </w:r>
          </w:p>
        </w:tc>
        <w:tc>
          <w:tcPr>
            <w:tcW w:w="0" w:type="dxa"/>
            <w:noWrap w:val="0"/>
            <w:vAlign w:val="center"/>
          </w:tcPr>
          <w:p w14:paraId="635C24F1">
            <w:pPr>
              <w:jc w:val="center"/>
              <w:rPr>
                <w:color w:val="000000"/>
                <w:kern w:val="0"/>
                <w:sz w:val="22"/>
                <w:szCs w:val="22"/>
              </w:rPr>
            </w:pPr>
            <w:r>
              <w:rPr>
                <w:color w:val="000000"/>
                <w:kern w:val="0"/>
                <w:sz w:val="22"/>
                <w:szCs w:val="22"/>
              </w:rPr>
              <w:t>359</w:t>
            </w:r>
          </w:p>
        </w:tc>
        <w:tc>
          <w:tcPr>
            <w:tcW w:w="0" w:type="dxa"/>
            <w:noWrap w:val="0"/>
            <w:vAlign w:val="center"/>
          </w:tcPr>
          <w:p w14:paraId="2A7E6CF0">
            <w:pPr>
              <w:jc w:val="center"/>
              <w:rPr>
                <w:color w:val="000000"/>
                <w:kern w:val="0"/>
                <w:szCs w:val="21"/>
              </w:rPr>
            </w:pPr>
            <w:r>
              <w:rPr>
                <w:color w:val="000000"/>
                <w:kern w:val="0"/>
                <w:szCs w:val="21"/>
              </w:rPr>
              <w:t>10</w:t>
            </w:r>
          </w:p>
        </w:tc>
        <w:tc>
          <w:tcPr>
            <w:tcW w:w="0" w:type="dxa"/>
            <w:noWrap w:val="0"/>
            <w:vAlign w:val="center"/>
          </w:tcPr>
          <w:p w14:paraId="4A903F3F">
            <w:pPr>
              <w:jc w:val="center"/>
              <w:rPr>
                <w:color w:val="000000"/>
                <w:kern w:val="0"/>
                <w:szCs w:val="21"/>
              </w:rPr>
            </w:pPr>
            <w:r>
              <w:rPr>
                <w:color w:val="000000"/>
                <w:kern w:val="0"/>
                <w:szCs w:val="21"/>
              </w:rPr>
              <w:t>314</w:t>
            </w:r>
          </w:p>
        </w:tc>
      </w:tr>
      <w:tr w14:paraId="54FA1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259CE4AE">
            <w:pPr>
              <w:rPr>
                <w:rFonts w:ascii="楷体_GB2312" w:hAnsi="宋体" w:eastAsia="楷体_GB2312" w:cs="宋体"/>
                <w:color w:val="000000"/>
                <w:kern w:val="0"/>
                <w:szCs w:val="21"/>
              </w:rPr>
            </w:pPr>
          </w:p>
        </w:tc>
        <w:tc>
          <w:tcPr>
            <w:tcW w:w="0" w:type="dxa"/>
            <w:noWrap w:val="0"/>
            <w:vAlign w:val="center"/>
          </w:tcPr>
          <w:p w14:paraId="744A2F66">
            <w:pPr>
              <w:jc w:val="center"/>
              <w:rPr>
                <w:color w:val="000000"/>
                <w:kern w:val="0"/>
                <w:szCs w:val="21"/>
              </w:rPr>
            </w:pPr>
            <w:r>
              <w:rPr>
                <w:color w:val="000000"/>
                <w:kern w:val="0"/>
                <w:szCs w:val="21"/>
              </w:rPr>
              <w:t>3</w:t>
            </w:r>
          </w:p>
        </w:tc>
        <w:tc>
          <w:tcPr>
            <w:tcW w:w="0" w:type="dxa"/>
            <w:noWrap w:val="0"/>
            <w:vAlign w:val="center"/>
          </w:tcPr>
          <w:p w14:paraId="36B6B20B">
            <w:pPr>
              <w:jc w:val="center"/>
              <w:rPr>
                <w:color w:val="000000"/>
                <w:kern w:val="0"/>
                <w:szCs w:val="21"/>
              </w:rPr>
            </w:pPr>
            <w:r>
              <w:rPr>
                <w:color w:val="000000"/>
                <w:kern w:val="0"/>
                <w:szCs w:val="21"/>
              </w:rPr>
              <w:t>5</w:t>
            </w:r>
          </w:p>
        </w:tc>
        <w:tc>
          <w:tcPr>
            <w:tcW w:w="0" w:type="dxa"/>
            <w:noWrap w:val="0"/>
            <w:vAlign w:val="center"/>
          </w:tcPr>
          <w:p w14:paraId="2AA28FC8">
            <w:pPr>
              <w:jc w:val="center"/>
              <w:rPr>
                <w:color w:val="000000"/>
                <w:kern w:val="0"/>
                <w:szCs w:val="21"/>
              </w:rPr>
            </w:pPr>
            <w:r>
              <w:rPr>
                <w:color w:val="000000"/>
                <w:kern w:val="0"/>
                <w:szCs w:val="21"/>
              </w:rPr>
              <w:t>275</w:t>
            </w:r>
          </w:p>
        </w:tc>
        <w:tc>
          <w:tcPr>
            <w:tcW w:w="0" w:type="dxa"/>
            <w:noWrap w:val="0"/>
            <w:vAlign w:val="center"/>
          </w:tcPr>
          <w:p w14:paraId="0B2DD1CE">
            <w:pPr>
              <w:jc w:val="center"/>
              <w:rPr>
                <w:color w:val="000000"/>
                <w:kern w:val="0"/>
                <w:szCs w:val="21"/>
              </w:rPr>
            </w:pPr>
            <w:r>
              <w:rPr>
                <w:color w:val="000000"/>
                <w:kern w:val="0"/>
                <w:szCs w:val="21"/>
              </w:rPr>
              <w:t>5</w:t>
            </w:r>
          </w:p>
        </w:tc>
        <w:tc>
          <w:tcPr>
            <w:tcW w:w="0" w:type="dxa"/>
            <w:noWrap w:val="0"/>
            <w:vAlign w:val="center"/>
          </w:tcPr>
          <w:p w14:paraId="1B0017D5">
            <w:pPr>
              <w:jc w:val="center"/>
              <w:rPr>
                <w:color w:val="000000"/>
                <w:kern w:val="0"/>
                <w:sz w:val="22"/>
                <w:szCs w:val="22"/>
              </w:rPr>
            </w:pPr>
            <w:r>
              <w:rPr>
                <w:color w:val="000000"/>
                <w:kern w:val="0"/>
                <w:sz w:val="22"/>
                <w:szCs w:val="22"/>
              </w:rPr>
              <w:t>257</w:t>
            </w:r>
          </w:p>
        </w:tc>
        <w:tc>
          <w:tcPr>
            <w:tcW w:w="0" w:type="dxa"/>
            <w:noWrap w:val="0"/>
            <w:vAlign w:val="center"/>
          </w:tcPr>
          <w:p w14:paraId="07F1DBF8">
            <w:pPr>
              <w:jc w:val="center"/>
              <w:rPr>
                <w:color w:val="000000"/>
                <w:kern w:val="0"/>
                <w:szCs w:val="21"/>
              </w:rPr>
            </w:pPr>
            <w:r>
              <w:rPr>
                <w:color w:val="000000"/>
                <w:kern w:val="0"/>
                <w:szCs w:val="21"/>
              </w:rPr>
              <w:t>5</w:t>
            </w:r>
          </w:p>
        </w:tc>
        <w:tc>
          <w:tcPr>
            <w:tcW w:w="0" w:type="dxa"/>
            <w:noWrap w:val="0"/>
            <w:vAlign w:val="center"/>
          </w:tcPr>
          <w:p w14:paraId="7C5103FF">
            <w:pPr>
              <w:jc w:val="center"/>
              <w:rPr>
                <w:color w:val="000000"/>
                <w:kern w:val="0"/>
                <w:szCs w:val="21"/>
              </w:rPr>
            </w:pPr>
            <w:r>
              <w:rPr>
                <w:color w:val="000000"/>
                <w:kern w:val="0"/>
                <w:szCs w:val="21"/>
              </w:rPr>
              <w:t>278</w:t>
            </w:r>
          </w:p>
        </w:tc>
      </w:tr>
      <w:tr w14:paraId="3C76A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restart"/>
            <w:noWrap w:val="0"/>
            <w:vAlign w:val="center"/>
          </w:tcPr>
          <w:p w14:paraId="5763791C">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永安镇</w:t>
            </w:r>
          </w:p>
        </w:tc>
        <w:tc>
          <w:tcPr>
            <w:tcW w:w="0" w:type="dxa"/>
            <w:noWrap w:val="0"/>
            <w:vAlign w:val="center"/>
          </w:tcPr>
          <w:p w14:paraId="786B0527">
            <w:pPr>
              <w:jc w:val="center"/>
              <w:rPr>
                <w:color w:val="000000"/>
                <w:kern w:val="0"/>
                <w:szCs w:val="21"/>
              </w:rPr>
            </w:pPr>
            <w:r>
              <w:rPr>
                <w:color w:val="000000"/>
                <w:kern w:val="0"/>
                <w:szCs w:val="21"/>
              </w:rPr>
              <w:t>1</w:t>
            </w:r>
          </w:p>
        </w:tc>
        <w:tc>
          <w:tcPr>
            <w:tcW w:w="0" w:type="dxa"/>
            <w:noWrap w:val="0"/>
            <w:vAlign w:val="center"/>
          </w:tcPr>
          <w:p w14:paraId="4608CCCA">
            <w:pPr>
              <w:jc w:val="center"/>
              <w:rPr>
                <w:color w:val="000000"/>
                <w:kern w:val="0"/>
                <w:szCs w:val="21"/>
              </w:rPr>
            </w:pPr>
            <w:r>
              <w:rPr>
                <w:color w:val="000000"/>
                <w:kern w:val="0"/>
                <w:szCs w:val="21"/>
              </w:rPr>
              <w:t>16</w:t>
            </w:r>
          </w:p>
        </w:tc>
        <w:tc>
          <w:tcPr>
            <w:tcW w:w="0" w:type="dxa"/>
            <w:noWrap w:val="0"/>
            <w:vAlign w:val="center"/>
          </w:tcPr>
          <w:p w14:paraId="0393D02F">
            <w:pPr>
              <w:jc w:val="center"/>
              <w:rPr>
                <w:color w:val="000000"/>
                <w:kern w:val="0"/>
                <w:szCs w:val="21"/>
              </w:rPr>
            </w:pPr>
            <w:r>
              <w:rPr>
                <w:color w:val="000000"/>
                <w:kern w:val="0"/>
                <w:szCs w:val="21"/>
              </w:rPr>
              <w:t>444</w:t>
            </w:r>
          </w:p>
        </w:tc>
        <w:tc>
          <w:tcPr>
            <w:tcW w:w="0" w:type="dxa"/>
            <w:noWrap w:val="0"/>
            <w:vAlign w:val="center"/>
          </w:tcPr>
          <w:p w14:paraId="40E9E9B3">
            <w:pPr>
              <w:jc w:val="center"/>
              <w:rPr>
                <w:color w:val="000000"/>
                <w:kern w:val="0"/>
                <w:szCs w:val="21"/>
              </w:rPr>
            </w:pPr>
            <w:r>
              <w:rPr>
                <w:color w:val="000000"/>
                <w:kern w:val="0"/>
                <w:szCs w:val="21"/>
              </w:rPr>
              <w:t>16</w:t>
            </w:r>
          </w:p>
        </w:tc>
        <w:tc>
          <w:tcPr>
            <w:tcW w:w="0" w:type="dxa"/>
            <w:noWrap w:val="0"/>
            <w:vAlign w:val="center"/>
          </w:tcPr>
          <w:p w14:paraId="51FC456C">
            <w:pPr>
              <w:jc w:val="center"/>
              <w:rPr>
                <w:color w:val="000000"/>
                <w:kern w:val="0"/>
                <w:sz w:val="22"/>
                <w:szCs w:val="22"/>
              </w:rPr>
            </w:pPr>
            <w:r>
              <w:rPr>
                <w:color w:val="000000"/>
                <w:kern w:val="0"/>
                <w:sz w:val="22"/>
                <w:szCs w:val="22"/>
              </w:rPr>
              <w:t>444</w:t>
            </w:r>
          </w:p>
        </w:tc>
        <w:tc>
          <w:tcPr>
            <w:tcW w:w="0" w:type="dxa"/>
            <w:noWrap w:val="0"/>
            <w:vAlign w:val="center"/>
          </w:tcPr>
          <w:p w14:paraId="252E5645">
            <w:pPr>
              <w:jc w:val="center"/>
              <w:rPr>
                <w:color w:val="000000"/>
                <w:kern w:val="0"/>
                <w:szCs w:val="21"/>
              </w:rPr>
            </w:pPr>
            <w:r>
              <w:rPr>
                <w:color w:val="000000"/>
                <w:kern w:val="0"/>
                <w:szCs w:val="21"/>
              </w:rPr>
              <w:t>16</w:t>
            </w:r>
          </w:p>
        </w:tc>
        <w:tc>
          <w:tcPr>
            <w:tcW w:w="0" w:type="dxa"/>
            <w:noWrap w:val="0"/>
            <w:vAlign w:val="center"/>
          </w:tcPr>
          <w:p w14:paraId="70D9FBDA">
            <w:pPr>
              <w:jc w:val="center"/>
              <w:rPr>
                <w:color w:val="000000"/>
                <w:kern w:val="0"/>
                <w:szCs w:val="21"/>
              </w:rPr>
            </w:pPr>
            <w:r>
              <w:rPr>
                <w:color w:val="000000"/>
                <w:kern w:val="0"/>
                <w:szCs w:val="21"/>
              </w:rPr>
              <w:t>417</w:t>
            </w:r>
          </w:p>
        </w:tc>
      </w:tr>
      <w:tr w14:paraId="32228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0DFE1719">
            <w:pPr>
              <w:rPr>
                <w:rFonts w:ascii="楷体_GB2312" w:hAnsi="宋体" w:eastAsia="楷体_GB2312" w:cs="宋体"/>
                <w:color w:val="000000"/>
                <w:kern w:val="0"/>
                <w:szCs w:val="21"/>
              </w:rPr>
            </w:pPr>
          </w:p>
        </w:tc>
        <w:tc>
          <w:tcPr>
            <w:tcW w:w="0" w:type="dxa"/>
            <w:noWrap w:val="0"/>
            <w:vAlign w:val="center"/>
          </w:tcPr>
          <w:p w14:paraId="3BBD7DCE">
            <w:pPr>
              <w:jc w:val="center"/>
              <w:rPr>
                <w:color w:val="000000"/>
                <w:kern w:val="0"/>
                <w:szCs w:val="21"/>
              </w:rPr>
            </w:pPr>
            <w:r>
              <w:rPr>
                <w:color w:val="000000"/>
                <w:kern w:val="0"/>
                <w:szCs w:val="21"/>
              </w:rPr>
              <w:t>2</w:t>
            </w:r>
          </w:p>
        </w:tc>
        <w:tc>
          <w:tcPr>
            <w:tcW w:w="0" w:type="dxa"/>
            <w:noWrap w:val="0"/>
            <w:vAlign w:val="center"/>
          </w:tcPr>
          <w:p w14:paraId="10767214">
            <w:pPr>
              <w:jc w:val="center"/>
              <w:rPr>
                <w:color w:val="000000"/>
                <w:kern w:val="0"/>
                <w:szCs w:val="21"/>
              </w:rPr>
            </w:pPr>
            <w:r>
              <w:rPr>
                <w:color w:val="000000"/>
                <w:kern w:val="0"/>
                <w:szCs w:val="21"/>
              </w:rPr>
              <w:t>10</w:t>
            </w:r>
          </w:p>
        </w:tc>
        <w:tc>
          <w:tcPr>
            <w:tcW w:w="0" w:type="dxa"/>
            <w:noWrap w:val="0"/>
            <w:vAlign w:val="center"/>
          </w:tcPr>
          <w:p w14:paraId="5A03E29E">
            <w:pPr>
              <w:jc w:val="center"/>
              <w:rPr>
                <w:color w:val="000000"/>
                <w:kern w:val="0"/>
                <w:szCs w:val="21"/>
              </w:rPr>
            </w:pPr>
            <w:r>
              <w:rPr>
                <w:color w:val="000000"/>
                <w:kern w:val="0"/>
                <w:szCs w:val="21"/>
              </w:rPr>
              <w:t>336</w:t>
            </w:r>
          </w:p>
        </w:tc>
        <w:tc>
          <w:tcPr>
            <w:tcW w:w="0" w:type="dxa"/>
            <w:noWrap w:val="0"/>
            <w:vAlign w:val="center"/>
          </w:tcPr>
          <w:p w14:paraId="6D9FBB20">
            <w:pPr>
              <w:jc w:val="center"/>
              <w:rPr>
                <w:color w:val="000000"/>
                <w:kern w:val="0"/>
                <w:szCs w:val="21"/>
              </w:rPr>
            </w:pPr>
            <w:r>
              <w:rPr>
                <w:color w:val="000000"/>
                <w:kern w:val="0"/>
                <w:szCs w:val="21"/>
              </w:rPr>
              <w:t>10</w:t>
            </w:r>
          </w:p>
        </w:tc>
        <w:tc>
          <w:tcPr>
            <w:tcW w:w="0" w:type="dxa"/>
            <w:noWrap w:val="0"/>
            <w:vAlign w:val="center"/>
          </w:tcPr>
          <w:p w14:paraId="146CDB90">
            <w:pPr>
              <w:jc w:val="center"/>
              <w:rPr>
                <w:color w:val="000000"/>
                <w:kern w:val="0"/>
                <w:sz w:val="22"/>
                <w:szCs w:val="22"/>
              </w:rPr>
            </w:pPr>
            <w:r>
              <w:rPr>
                <w:color w:val="000000"/>
                <w:kern w:val="0"/>
                <w:sz w:val="22"/>
                <w:szCs w:val="22"/>
              </w:rPr>
              <w:t>357</w:t>
            </w:r>
          </w:p>
        </w:tc>
        <w:tc>
          <w:tcPr>
            <w:tcW w:w="0" w:type="dxa"/>
            <w:noWrap w:val="0"/>
            <w:vAlign w:val="center"/>
          </w:tcPr>
          <w:p w14:paraId="48FD88D9">
            <w:pPr>
              <w:jc w:val="center"/>
              <w:rPr>
                <w:color w:val="000000"/>
                <w:kern w:val="0"/>
                <w:szCs w:val="21"/>
              </w:rPr>
            </w:pPr>
            <w:r>
              <w:rPr>
                <w:color w:val="000000"/>
                <w:kern w:val="0"/>
                <w:szCs w:val="21"/>
              </w:rPr>
              <w:t>10</w:t>
            </w:r>
          </w:p>
        </w:tc>
        <w:tc>
          <w:tcPr>
            <w:tcW w:w="0" w:type="dxa"/>
            <w:noWrap w:val="0"/>
            <w:vAlign w:val="center"/>
          </w:tcPr>
          <w:p w14:paraId="4A4D0B23">
            <w:pPr>
              <w:jc w:val="center"/>
              <w:rPr>
                <w:color w:val="000000"/>
                <w:kern w:val="0"/>
                <w:szCs w:val="21"/>
              </w:rPr>
            </w:pPr>
            <w:r>
              <w:rPr>
                <w:color w:val="000000"/>
                <w:kern w:val="0"/>
                <w:szCs w:val="21"/>
              </w:rPr>
              <w:t>357</w:t>
            </w:r>
          </w:p>
        </w:tc>
      </w:tr>
      <w:tr w14:paraId="556D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3380D0DB">
            <w:pPr>
              <w:rPr>
                <w:rFonts w:ascii="楷体_GB2312" w:hAnsi="宋体" w:eastAsia="楷体_GB2312" w:cs="宋体"/>
                <w:color w:val="000000"/>
                <w:kern w:val="0"/>
                <w:szCs w:val="21"/>
              </w:rPr>
            </w:pPr>
          </w:p>
        </w:tc>
        <w:tc>
          <w:tcPr>
            <w:tcW w:w="0" w:type="dxa"/>
            <w:noWrap w:val="0"/>
            <w:vAlign w:val="center"/>
          </w:tcPr>
          <w:p w14:paraId="4E4BEE22">
            <w:pPr>
              <w:jc w:val="center"/>
              <w:rPr>
                <w:color w:val="000000"/>
                <w:kern w:val="0"/>
                <w:szCs w:val="21"/>
              </w:rPr>
            </w:pPr>
            <w:r>
              <w:rPr>
                <w:color w:val="000000"/>
                <w:kern w:val="0"/>
                <w:szCs w:val="21"/>
              </w:rPr>
              <w:t>3</w:t>
            </w:r>
          </w:p>
        </w:tc>
        <w:tc>
          <w:tcPr>
            <w:tcW w:w="0" w:type="dxa"/>
            <w:noWrap w:val="0"/>
            <w:vAlign w:val="center"/>
          </w:tcPr>
          <w:p w14:paraId="7B617B93">
            <w:pPr>
              <w:jc w:val="center"/>
              <w:rPr>
                <w:color w:val="000000"/>
                <w:kern w:val="0"/>
                <w:szCs w:val="21"/>
              </w:rPr>
            </w:pPr>
            <w:r>
              <w:rPr>
                <w:color w:val="000000"/>
                <w:kern w:val="0"/>
                <w:szCs w:val="21"/>
              </w:rPr>
              <w:t>4</w:t>
            </w:r>
          </w:p>
        </w:tc>
        <w:tc>
          <w:tcPr>
            <w:tcW w:w="0" w:type="dxa"/>
            <w:noWrap w:val="0"/>
            <w:vAlign w:val="center"/>
          </w:tcPr>
          <w:p w14:paraId="5D3E87CE">
            <w:pPr>
              <w:jc w:val="center"/>
              <w:rPr>
                <w:color w:val="000000"/>
                <w:kern w:val="0"/>
                <w:szCs w:val="21"/>
              </w:rPr>
            </w:pPr>
            <w:r>
              <w:rPr>
                <w:color w:val="000000"/>
                <w:kern w:val="0"/>
                <w:szCs w:val="21"/>
              </w:rPr>
              <w:t>284</w:t>
            </w:r>
          </w:p>
        </w:tc>
        <w:tc>
          <w:tcPr>
            <w:tcW w:w="0" w:type="dxa"/>
            <w:noWrap w:val="0"/>
            <w:vAlign w:val="center"/>
          </w:tcPr>
          <w:p w14:paraId="37AE19F6">
            <w:pPr>
              <w:jc w:val="center"/>
              <w:rPr>
                <w:color w:val="000000"/>
                <w:kern w:val="0"/>
                <w:szCs w:val="21"/>
              </w:rPr>
            </w:pPr>
            <w:r>
              <w:rPr>
                <w:color w:val="000000"/>
                <w:kern w:val="0"/>
                <w:szCs w:val="21"/>
              </w:rPr>
              <w:t>4</w:t>
            </w:r>
          </w:p>
        </w:tc>
        <w:tc>
          <w:tcPr>
            <w:tcW w:w="0" w:type="dxa"/>
            <w:noWrap w:val="0"/>
            <w:vAlign w:val="center"/>
          </w:tcPr>
          <w:p w14:paraId="669CE704">
            <w:pPr>
              <w:jc w:val="center"/>
              <w:rPr>
                <w:color w:val="000000"/>
                <w:kern w:val="0"/>
                <w:sz w:val="22"/>
                <w:szCs w:val="22"/>
              </w:rPr>
            </w:pPr>
            <w:r>
              <w:rPr>
                <w:color w:val="000000"/>
                <w:kern w:val="0"/>
                <w:sz w:val="22"/>
                <w:szCs w:val="22"/>
              </w:rPr>
              <w:t>273</w:t>
            </w:r>
          </w:p>
        </w:tc>
        <w:tc>
          <w:tcPr>
            <w:tcW w:w="0" w:type="dxa"/>
            <w:noWrap w:val="0"/>
            <w:vAlign w:val="center"/>
          </w:tcPr>
          <w:p w14:paraId="4B0CAA29">
            <w:pPr>
              <w:jc w:val="center"/>
              <w:rPr>
                <w:color w:val="000000"/>
                <w:kern w:val="0"/>
                <w:szCs w:val="21"/>
              </w:rPr>
            </w:pPr>
            <w:r>
              <w:rPr>
                <w:color w:val="000000"/>
                <w:kern w:val="0"/>
                <w:szCs w:val="21"/>
              </w:rPr>
              <w:t>4</w:t>
            </w:r>
          </w:p>
        </w:tc>
        <w:tc>
          <w:tcPr>
            <w:tcW w:w="0" w:type="dxa"/>
            <w:noWrap w:val="0"/>
            <w:vAlign w:val="center"/>
          </w:tcPr>
          <w:p w14:paraId="7AFA7CF7">
            <w:pPr>
              <w:jc w:val="center"/>
              <w:rPr>
                <w:color w:val="000000"/>
                <w:kern w:val="0"/>
                <w:szCs w:val="21"/>
              </w:rPr>
            </w:pPr>
            <w:r>
              <w:rPr>
                <w:color w:val="000000"/>
                <w:kern w:val="0"/>
                <w:szCs w:val="21"/>
              </w:rPr>
              <w:t>253</w:t>
            </w:r>
          </w:p>
        </w:tc>
      </w:tr>
      <w:tr w14:paraId="6FBB9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restart"/>
            <w:noWrap w:val="0"/>
            <w:vAlign w:val="center"/>
          </w:tcPr>
          <w:p w14:paraId="1C520249">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支河乡</w:t>
            </w:r>
          </w:p>
        </w:tc>
        <w:tc>
          <w:tcPr>
            <w:tcW w:w="0" w:type="dxa"/>
            <w:noWrap w:val="0"/>
            <w:vAlign w:val="center"/>
          </w:tcPr>
          <w:p w14:paraId="5A45D87F">
            <w:pPr>
              <w:jc w:val="center"/>
              <w:rPr>
                <w:color w:val="000000"/>
                <w:kern w:val="0"/>
                <w:szCs w:val="21"/>
              </w:rPr>
            </w:pPr>
            <w:r>
              <w:rPr>
                <w:color w:val="000000"/>
                <w:kern w:val="0"/>
                <w:szCs w:val="21"/>
              </w:rPr>
              <w:t>1</w:t>
            </w:r>
          </w:p>
        </w:tc>
        <w:tc>
          <w:tcPr>
            <w:tcW w:w="0" w:type="dxa"/>
            <w:noWrap w:val="0"/>
            <w:vAlign w:val="center"/>
          </w:tcPr>
          <w:p w14:paraId="1FB16A34">
            <w:pPr>
              <w:jc w:val="center"/>
              <w:rPr>
                <w:color w:val="000000"/>
                <w:kern w:val="0"/>
                <w:szCs w:val="21"/>
              </w:rPr>
            </w:pPr>
            <w:r>
              <w:rPr>
                <w:color w:val="000000"/>
                <w:kern w:val="0"/>
                <w:szCs w:val="21"/>
              </w:rPr>
              <w:t>20</w:t>
            </w:r>
          </w:p>
        </w:tc>
        <w:tc>
          <w:tcPr>
            <w:tcW w:w="0" w:type="dxa"/>
            <w:noWrap w:val="0"/>
            <w:vAlign w:val="center"/>
          </w:tcPr>
          <w:p w14:paraId="067016B5">
            <w:pPr>
              <w:jc w:val="center"/>
              <w:rPr>
                <w:color w:val="000000"/>
                <w:kern w:val="0"/>
                <w:szCs w:val="21"/>
              </w:rPr>
            </w:pPr>
            <w:r>
              <w:rPr>
                <w:color w:val="000000"/>
                <w:kern w:val="0"/>
                <w:szCs w:val="21"/>
              </w:rPr>
              <w:t>446</w:t>
            </w:r>
          </w:p>
        </w:tc>
        <w:tc>
          <w:tcPr>
            <w:tcW w:w="0" w:type="dxa"/>
            <w:noWrap w:val="0"/>
            <w:vAlign w:val="center"/>
          </w:tcPr>
          <w:p w14:paraId="73B96B16">
            <w:pPr>
              <w:jc w:val="center"/>
              <w:rPr>
                <w:color w:val="000000"/>
                <w:kern w:val="0"/>
                <w:szCs w:val="21"/>
              </w:rPr>
            </w:pPr>
            <w:r>
              <w:rPr>
                <w:color w:val="000000"/>
                <w:kern w:val="0"/>
                <w:szCs w:val="21"/>
              </w:rPr>
              <w:t>20</w:t>
            </w:r>
          </w:p>
        </w:tc>
        <w:tc>
          <w:tcPr>
            <w:tcW w:w="0" w:type="dxa"/>
            <w:noWrap w:val="0"/>
            <w:vAlign w:val="center"/>
          </w:tcPr>
          <w:p w14:paraId="50B73BD9">
            <w:pPr>
              <w:jc w:val="center"/>
              <w:rPr>
                <w:color w:val="000000"/>
                <w:kern w:val="0"/>
                <w:sz w:val="22"/>
                <w:szCs w:val="22"/>
              </w:rPr>
            </w:pPr>
            <w:r>
              <w:rPr>
                <w:color w:val="000000"/>
                <w:kern w:val="0"/>
                <w:sz w:val="22"/>
                <w:szCs w:val="22"/>
              </w:rPr>
              <w:t>404</w:t>
            </w:r>
          </w:p>
        </w:tc>
        <w:tc>
          <w:tcPr>
            <w:tcW w:w="0" w:type="dxa"/>
            <w:noWrap w:val="0"/>
            <w:vAlign w:val="center"/>
          </w:tcPr>
          <w:p w14:paraId="551C7881">
            <w:pPr>
              <w:jc w:val="center"/>
              <w:rPr>
                <w:color w:val="000000"/>
                <w:kern w:val="0"/>
                <w:szCs w:val="21"/>
              </w:rPr>
            </w:pPr>
            <w:r>
              <w:rPr>
                <w:color w:val="000000"/>
                <w:kern w:val="0"/>
                <w:szCs w:val="21"/>
              </w:rPr>
              <w:t>20</w:t>
            </w:r>
          </w:p>
        </w:tc>
        <w:tc>
          <w:tcPr>
            <w:tcW w:w="0" w:type="dxa"/>
            <w:noWrap w:val="0"/>
            <w:vAlign w:val="center"/>
          </w:tcPr>
          <w:p w14:paraId="6C1790A4">
            <w:pPr>
              <w:jc w:val="center"/>
              <w:rPr>
                <w:color w:val="000000"/>
                <w:kern w:val="0"/>
                <w:szCs w:val="21"/>
              </w:rPr>
            </w:pPr>
            <w:r>
              <w:rPr>
                <w:color w:val="000000"/>
                <w:kern w:val="0"/>
                <w:szCs w:val="21"/>
              </w:rPr>
              <w:t>425</w:t>
            </w:r>
          </w:p>
        </w:tc>
      </w:tr>
      <w:tr w14:paraId="0959E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6B60CC0E">
            <w:pPr>
              <w:rPr>
                <w:rFonts w:ascii="楷体_GB2312" w:hAnsi="宋体" w:eastAsia="楷体_GB2312" w:cs="宋体"/>
                <w:color w:val="000000"/>
                <w:kern w:val="0"/>
                <w:szCs w:val="21"/>
              </w:rPr>
            </w:pPr>
          </w:p>
        </w:tc>
        <w:tc>
          <w:tcPr>
            <w:tcW w:w="0" w:type="dxa"/>
            <w:noWrap w:val="0"/>
            <w:vAlign w:val="center"/>
          </w:tcPr>
          <w:p w14:paraId="7A65DE47">
            <w:pPr>
              <w:jc w:val="center"/>
              <w:rPr>
                <w:color w:val="000000"/>
                <w:kern w:val="0"/>
                <w:szCs w:val="21"/>
              </w:rPr>
            </w:pPr>
            <w:r>
              <w:rPr>
                <w:color w:val="000000"/>
                <w:kern w:val="0"/>
                <w:szCs w:val="21"/>
              </w:rPr>
              <w:t>2</w:t>
            </w:r>
          </w:p>
        </w:tc>
        <w:tc>
          <w:tcPr>
            <w:tcW w:w="0" w:type="dxa"/>
            <w:noWrap w:val="0"/>
            <w:vAlign w:val="center"/>
          </w:tcPr>
          <w:p w14:paraId="03E202F7">
            <w:pPr>
              <w:jc w:val="center"/>
              <w:rPr>
                <w:color w:val="000000"/>
                <w:kern w:val="0"/>
                <w:szCs w:val="21"/>
              </w:rPr>
            </w:pPr>
            <w:r>
              <w:rPr>
                <w:color w:val="000000"/>
                <w:kern w:val="0"/>
                <w:szCs w:val="21"/>
              </w:rPr>
              <w:t>9</w:t>
            </w:r>
          </w:p>
        </w:tc>
        <w:tc>
          <w:tcPr>
            <w:tcW w:w="0" w:type="dxa"/>
            <w:noWrap w:val="0"/>
            <w:vAlign w:val="center"/>
          </w:tcPr>
          <w:p w14:paraId="0C076F14">
            <w:pPr>
              <w:jc w:val="center"/>
              <w:rPr>
                <w:color w:val="000000"/>
                <w:kern w:val="0"/>
                <w:szCs w:val="21"/>
              </w:rPr>
            </w:pPr>
            <w:r>
              <w:rPr>
                <w:color w:val="000000"/>
                <w:kern w:val="0"/>
                <w:szCs w:val="21"/>
              </w:rPr>
              <w:t>317</w:t>
            </w:r>
          </w:p>
        </w:tc>
        <w:tc>
          <w:tcPr>
            <w:tcW w:w="0" w:type="dxa"/>
            <w:noWrap w:val="0"/>
            <w:vAlign w:val="center"/>
          </w:tcPr>
          <w:p w14:paraId="4B23B343">
            <w:pPr>
              <w:jc w:val="center"/>
              <w:rPr>
                <w:color w:val="000000"/>
                <w:kern w:val="0"/>
                <w:szCs w:val="21"/>
              </w:rPr>
            </w:pPr>
            <w:r>
              <w:rPr>
                <w:color w:val="000000"/>
                <w:kern w:val="0"/>
                <w:szCs w:val="21"/>
              </w:rPr>
              <w:t>9</w:t>
            </w:r>
          </w:p>
        </w:tc>
        <w:tc>
          <w:tcPr>
            <w:tcW w:w="0" w:type="dxa"/>
            <w:noWrap w:val="0"/>
            <w:vAlign w:val="center"/>
          </w:tcPr>
          <w:p w14:paraId="73FA2273">
            <w:pPr>
              <w:jc w:val="center"/>
              <w:rPr>
                <w:color w:val="000000"/>
                <w:kern w:val="0"/>
                <w:sz w:val="22"/>
                <w:szCs w:val="22"/>
              </w:rPr>
            </w:pPr>
            <w:r>
              <w:rPr>
                <w:color w:val="000000"/>
                <w:kern w:val="0"/>
                <w:sz w:val="22"/>
                <w:szCs w:val="22"/>
              </w:rPr>
              <w:t>330</w:t>
            </w:r>
          </w:p>
        </w:tc>
        <w:tc>
          <w:tcPr>
            <w:tcW w:w="0" w:type="dxa"/>
            <w:noWrap w:val="0"/>
            <w:vAlign w:val="center"/>
          </w:tcPr>
          <w:p w14:paraId="4EEC725B">
            <w:pPr>
              <w:jc w:val="center"/>
              <w:rPr>
                <w:color w:val="000000"/>
                <w:kern w:val="0"/>
                <w:szCs w:val="21"/>
              </w:rPr>
            </w:pPr>
            <w:r>
              <w:rPr>
                <w:color w:val="000000"/>
                <w:kern w:val="0"/>
                <w:szCs w:val="21"/>
              </w:rPr>
              <w:t>9</w:t>
            </w:r>
          </w:p>
        </w:tc>
        <w:tc>
          <w:tcPr>
            <w:tcW w:w="0" w:type="dxa"/>
            <w:noWrap w:val="0"/>
            <w:vAlign w:val="center"/>
          </w:tcPr>
          <w:p w14:paraId="6DC3BCD7">
            <w:pPr>
              <w:jc w:val="center"/>
              <w:rPr>
                <w:color w:val="000000"/>
                <w:kern w:val="0"/>
                <w:szCs w:val="21"/>
              </w:rPr>
            </w:pPr>
            <w:r>
              <w:rPr>
                <w:color w:val="000000"/>
                <w:kern w:val="0"/>
                <w:szCs w:val="21"/>
              </w:rPr>
              <w:t>343</w:t>
            </w:r>
          </w:p>
        </w:tc>
      </w:tr>
      <w:tr w14:paraId="63777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54A6EE47">
            <w:pPr>
              <w:rPr>
                <w:rFonts w:ascii="楷体_GB2312" w:hAnsi="宋体" w:eastAsia="楷体_GB2312" w:cs="宋体"/>
                <w:color w:val="000000"/>
                <w:kern w:val="0"/>
                <w:szCs w:val="21"/>
              </w:rPr>
            </w:pPr>
          </w:p>
        </w:tc>
        <w:tc>
          <w:tcPr>
            <w:tcW w:w="0" w:type="dxa"/>
            <w:noWrap w:val="0"/>
            <w:vAlign w:val="center"/>
          </w:tcPr>
          <w:p w14:paraId="7188B47D">
            <w:pPr>
              <w:jc w:val="center"/>
              <w:rPr>
                <w:color w:val="000000"/>
                <w:kern w:val="0"/>
                <w:szCs w:val="21"/>
              </w:rPr>
            </w:pPr>
            <w:r>
              <w:rPr>
                <w:color w:val="000000"/>
                <w:kern w:val="0"/>
                <w:szCs w:val="21"/>
              </w:rPr>
              <w:t>3</w:t>
            </w:r>
          </w:p>
        </w:tc>
        <w:tc>
          <w:tcPr>
            <w:tcW w:w="0" w:type="dxa"/>
            <w:noWrap w:val="0"/>
            <w:vAlign w:val="center"/>
          </w:tcPr>
          <w:p w14:paraId="28D424C0">
            <w:pPr>
              <w:jc w:val="center"/>
              <w:rPr>
                <w:color w:val="000000"/>
                <w:kern w:val="0"/>
                <w:szCs w:val="21"/>
              </w:rPr>
            </w:pPr>
            <w:r>
              <w:rPr>
                <w:color w:val="000000"/>
                <w:kern w:val="0"/>
                <w:szCs w:val="21"/>
              </w:rPr>
              <w:t>1</w:t>
            </w:r>
          </w:p>
        </w:tc>
        <w:tc>
          <w:tcPr>
            <w:tcW w:w="0" w:type="dxa"/>
            <w:noWrap w:val="0"/>
            <w:vAlign w:val="center"/>
          </w:tcPr>
          <w:p w14:paraId="656CAF49">
            <w:pPr>
              <w:jc w:val="center"/>
              <w:rPr>
                <w:color w:val="000000"/>
                <w:kern w:val="0"/>
                <w:szCs w:val="21"/>
              </w:rPr>
            </w:pPr>
            <w:r>
              <w:rPr>
                <w:color w:val="000000"/>
                <w:kern w:val="0"/>
                <w:szCs w:val="21"/>
              </w:rPr>
              <w:t>252</w:t>
            </w:r>
          </w:p>
        </w:tc>
        <w:tc>
          <w:tcPr>
            <w:tcW w:w="0" w:type="dxa"/>
            <w:noWrap w:val="0"/>
            <w:vAlign w:val="center"/>
          </w:tcPr>
          <w:p w14:paraId="48C9A168">
            <w:pPr>
              <w:jc w:val="center"/>
              <w:rPr>
                <w:color w:val="000000"/>
                <w:kern w:val="0"/>
                <w:szCs w:val="21"/>
              </w:rPr>
            </w:pPr>
            <w:r>
              <w:rPr>
                <w:color w:val="000000"/>
                <w:kern w:val="0"/>
                <w:szCs w:val="21"/>
              </w:rPr>
              <w:t>1</w:t>
            </w:r>
          </w:p>
        </w:tc>
        <w:tc>
          <w:tcPr>
            <w:tcW w:w="0" w:type="dxa"/>
            <w:noWrap w:val="0"/>
            <w:vAlign w:val="center"/>
          </w:tcPr>
          <w:p w14:paraId="3CA82344">
            <w:pPr>
              <w:jc w:val="center"/>
              <w:rPr>
                <w:color w:val="000000"/>
                <w:kern w:val="0"/>
                <w:sz w:val="22"/>
                <w:szCs w:val="22"/>
              </w:rPr>
            </w:pPr>
            <w:r>
              <w:rPr>
                <w:color w:val="000000"/>
                <w:kern w:val="0"/>
                <w:sz w:val="22"/>
                <w:szCs w:val="22"/>
              </w:rPr>
              <w:t>263</w:t>
            </w:r>
          </w:p>
        </w:tc>
        <w:tc>
          <w:tcPr>
            <w:tcW w:w="0" w:type="dxa"/>
            <w:noWrap w:val="0"/>
            <w:vAlign w:val="center"/>
          </w:tcPr>
          <w:p w14:paraId="505EC8E3">
            <w:pPr>
              <w:jc w:val="center"/>
              <w:rPr>
                <w:color w:val="000000"/>
                <w:kern w:val="0"/>
                <w:szCs w:val="21"/>
              </w:rPr>
            </w:pPr>
            <w:r>
              <w:rPr>
                <w:color w:val="000000"/>
                <w:kern w:val="0"/>
                <w:szCs w:val="21"/>
              </w:rPr>
              <w:t>1</w:t>
            </w:r>
          </w:p>
        </w:tc>
        <w:tc>
          <w:tcPr>
            <w:tcW w:w="0" w:type="dxa"/>
            <w:noWrap w:val="0"/>
            <w:vAlign w:val="center"/>
          </w:tcPr>
          <w:p w14:paraId="465522AD">
            <w:pPr>
              <w:jc w:val="center"/>
              <w:rPr>
                <w:color w:val="000000"/>
                <w:kern w:val="0"/>
                <w:szCs w:val="21"/>
              </w:rPr>
            </w:pPr>
            <w:r>
              <w:rPr>
                <w:color w:val="000000"/>
                <w:kern w:val="0"/>
                <w:szCs w:val="21"/>
              </w:rPr>
              <w:t>250</w:t>
            </w:r>
          </w:p>
        </w:tc>
      </w:tr>
      <w:tr w14:paraId="360FB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restart"/>
            <w:noWrap w:val="0"/>
            <w:vAlign w:val="center"/>
          </w:tcPr>
          <w:p w14:paraId="430911D4">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灰古镇</w:t>
            </w:r>
          </w:p>
        </w:tc>
        <w:tc>
          <w:tcPr>
            <w:tcW w:w="0" w:type="dxa"/>
            <w:noWrap w:val="0"/>
            <w:vAlign w:val="center"/>
          </w:tcPr>
          <w:p w14:paraId="2EB55776">
            <w:pPr>
              <w:jc w:val="center"/>
              <w:rPr>
                <w:color w:val="000000"/>
                <w:kern w:val="0"/>
                <w:szCs w:val="21"/>
              </w:rPr>
            </w:pPr>
            <w:r>
              <w:rPr>
                <w:color w:val="000000"/>
                <w:kern w:val="0"/>
                <w:szCs w:val="21"/>
              </w:rPr>
              <w:t>1</w:t>
            </w:r>
          </w:p>
        </w:tc>
        <w:tc>
          <w:tcPr>
            <w:tcW w:w="0" w:type="dxa"/>
            <w:noWrap w:val="0"/>
            <w:vAlign w:val="center"/>
          </w:tcPr>
          <w:p w14:paraId="0F059757">
            <w:pPr>
              <w:jc w:val="center"/>
              <w:rPr>
                <w:color w:val="000000"/>
                <w:kern w:val="0"/>
                <w:szCs w:val="21"/>
              </w:rPr>
            </w:pPr>
            <w:r>
              <w:rPr>
                <w:color w:val="000000"/>
                <w:kern w:val="0"/>
                <w:szCs w:val="21"/>
              </w:rPr>
              <w:t>18</w:t>
            </w:r>
          </w:p>
        </w:tc>
        <w:tc>
          <w:tcPr>
            <w:tcW w:w="0" w:type="dxa"/>
            <w:noWrap w:val="0"/>
            <w:vAlign w:val="center"/>
          </w:tcPr>
          <w:p w14:paraId="7E1F3E17">
            <w:pPr>
              <w:jc w:val="center"/>
              <w:rPr>
                <w:color w:val="000000"/>
                <w:kern w:val="0"/>
                <w:szCs w:val="21"/>
              </w:rPr>
            </w:pPr>
            <w:r>
              <w:rPr>
                <w:color w:val="000000"/>
                <w:kern w:val="0"/>
                <w:szCs w:val="21"/>
              </w:rPr>
              <w:t>426</w:t>
            </w:r>
          </w:p>
        </w:tc>
        <w:tc>
          <w:tcPr>
            <w:tcW w:w="0" w:type="dxa"/>
            <w:noWrap w:val="0"/>
            <w:vAlign w:val="center"/>
          </w:tcPr>
          <w:p w14:paraId="53445E09">
            <w:pPr>
              <w:jc w:val="center"/>
              <w:rPr>
                <w:color w:val="000000"/>
                <w:kern w:val="0"/>
                <w:szCs w:val="21"/>
              </w:rPr>
            </w:pPr>
            <w:r>
              <w:rPr>
                <w:color w:val="000000"/>
                <w:kern w:val="0"/>
                <w:szCs w:val="21"/>
              </w:rPr>
              <w:t>18</w:t>
            </w:r>
          </w:p>
        </w:tc>
        <w:tc>
          <w:tcPr>
            <w:tcW w:w="0" w:type="dxa"/>
            <w:noWrap w:val="0"/>
            <w:vAlign w:val="center"/>
          </w:tcPr>
          <w:p w14:paraId="2F853CC1">
            <w:pPr>
              <w:jc w:val="center"/>
              <w:rPr>
                <w:color w:val="000000"/>
                <w:kern w:val="0"/>
                <w:sz w:val="22"/>
                <w:szCs w:val="22"/>
              </w:rPr>
            </w:pPr>
            <w:r>
              <w:rPr>
                <w:color w:val="000000"/>
                <w:kern w:val="0"/>
                <w:sz w:val="22"/>
                <w:szCs w:val="22"/>
              </w:rPr>
              <w:t>417</w:t>
            </w:r>
          </w:p>
        </w:tc>
        <w:tc>
          <w:tcPr>
            <w:tcW w:w="0" w:type="dxa"/>
            <w:noWrap w:val="0"/>
            <w:vAlign w:val="center"/>
          </w:tcPr>
          <w:p w14:paraId="35010F22">
            <w:pPr>
              <w:jc w:val="center"/>
              <w:rPr>
                <w:color w:val="000000"/>
                <w:kern w:val="0"/>
                <w:szCs w:val="21"/>
              </w:rPr>
            </w:pPr>
            <w:r>
              <w:rPr>
                <w:color w:val="000000"/>
                <w:kern w:val="0"/>
                <w:szCs w:val="21"/>
              </w:rPr>
              <w:t>18</w:t>
            </w:r>
          </w:p>
        </w:tc>
        <w:tc>
          <w:tcPr>
            <w:tcW w:w="0" w:type="dxa"/>
            <w:noWrap w:val="0"/>
            <w:vAlign w:val="center"/>
          </w:tcPr>
          <w:p w14:paraId="0BE9598F">
            <w:pPr>
              <w:jc w:val="center"/>
              <w:rPr>
                <w:color w:val="000000"/>
                <w:kern w:val="0"/>
                <w:szCs w:val="21"/>
              </w:rPr>
            </w:pPr>
            <w:r>
              <w:rPr>
                <w:color w:val="000000"/>
                <w:kern w:val="0"/>
                <w:szCs w:val="21"/>
              </w:rPr>
              <w:t>447</w:t>
            </w:r>
          </w:p>
        </w:tc>
      </w:tr>
      <w:tr w14:paraId="23CBF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3C1DFA69">
            <w:pPr>
              <w:rPr>
                <w:rFonts w:ascii="楷体_GB2312" w:hAnsi="宋体" w:eastAsia="楷体_GB2312" w:cs="宋体"/>
                <w:color w:val="000000"/>
                <w:kern w:val="0"/>
                <w:szCs w:val="21"/>
              </w:rPr>
            </w:pPr>
          </w:p>
        </w:tc>
        <w:tc>
          <w:tcPr>
            <w:tcW w:w="0" w:type="dxa"/>
            <w:noWrap w:val="0"/>
            <w:vAlign w:val="center"/>
          </w:tcPr>
          <w:p w14:paraId="1020F682">
            <w:pPr>
              <w:jc w:val="center"/>
              <w:rPr>
                <w:color w:val="000000"/>
                <w:kern w:val="0"/>
                <w:szCs w:val="21"/>
              </w:rPr>
            </w:pPr>
            <w:r>
              <w:rPr>
                <w:color w:val="000000"/>
                <w:kern w:val="0"/>
                <w:szCs w:val="21"/>
              </w:rPr>
              <w:t>2</w:t>
            </w:r>
          </w:p>
        </w:tc>
        <w:tc>
          <w:tcPr>
            <w:tcW w:w="0" w:type="dxa"/>
            <w:noWrap w:val="0"/>
            <w:vAlign w:val="center"/>
          </w:tcPr>
          <w:p w14:paraId="65BCA79B">
            <w:pPr>
              <w:jc w:val="center"/>
              <w:rPr>
                <w:color w:val="000000"/>
                <w:kern w:val="0"/>
                <w:szCs w:val="21"/>
              </w:rPr>
            </w:pPr>
            <w:r>
              <w:rPr>
                <w:color w:val="000000"/>
                <w:kern w:val="0"/>
                <w:szCs w:val="21"/>
              </w:rPr>
              <w:t>10</w:t>
            </w:r>
          </w:p>
        </w:tc>
        <w:tc>
          <w:tcPr>
            <w:tcW w:w="0" w:type="dxa"/>
            <w:noWrap w:val="0"/>
            <w:vAlign w:val="center"/>
          </w:tcPr>
          <w:p w14:paraId="5B140D1A">
            <w:pPr>
              <w:jc w:val="center"/>
              <w:rPr>
                <w:color w:val="000000"/>
                <w:kern w:val="0"/>
                <w:szCs w:val="21"/>
              </w:rPr>
            </w:pPr>
            <w:r>
              <w:rPr>
                <w:color w:val="000000"/>
                <w:kern w:val="0"/>
                <w:szCs w:val="21"/>
              </w:rPr>
              <w:t>357</w:t>
            </w:r>
          </w:p>
        </w:tc>
        <w:tc>
          <w:tcPr>
            <w:tcW w:w="0" w:type="dxa"/>
            <w:noWrap w:val="0"/>
            <w:vAlign w:val="center"/>
          </w:tcPr>
          <w:p w14:paraId="29DF54E3">
            <w:pPr>
              <w:jc w:val="center"/>
              <w:rPr>
                <w:color w:val="000000"/>
                <w:kern w:val="0"/>
                <w:szCs w:val="21"/>
              </w:rPr>
            </w:pPr>
            <w:r>
              <w:rPr>
                <w:color w:val="000000"/>
                <w:kern w:val="0"/>
                <w:szCs w:val="21"/>
              </w:rPr>
              <w:t>10</w:t>
            </w:r>
          </w:p>
        </w:tc>
        <w:tc>
          <w:tcPr>
            <w:tcW w:w="0" w:type="dxa"/>
            <w:noWrap w:val="0"/>
            <w:vAlign w:val="center"/>
          </w:tcPr>
          <w:p w14:paraId="233F8E92">
            <w:pPr>
              <w:jc w:val="center"/>
              <w:rPr>
                <w:color w:val="000000"/>
                <w:kern w:val="0"/>
                <w:sz w:val="22"/>
                <w:szCs w:val="22"/>
              </w:rPr>
            </w:pPr>
            <w:r>
              <w:rPr>
                <w:color w:val="000000"/>
                <w:kern w:val="0"/>
                <w:sz w:val="22"/>
                <w:szCs w:val="22"/>
              </w:rPr>
              <w:t>357</w:t>
            </w:r>
          </w:p>
        </w:tc>
        <w:tc>
          <w:tcPr>
            <w:tcW w:w="0" w:type="dxa"/>
            <w:noWrap w:val="0"/>
            <w:vAlign w:val="center"/>
          </w:tcPr>
          <w:p w14:paraId="7BAF03EB">
            <w:pPr>
              <w:jc w:val="center"/>
              <w:rPr>
                <w:color w:val="000000"/>
                <w:kern w:val="0"/>
                <w:szCs w:val="21"/>
              </w:rPr>
            </w:pPr>
            <w:r>
              <w:rPr>
                <w:color w:val="000000"/>
                <w:kern w:val="0"/>
                <w:szCs w:val="21"/>
              </w:rPr>
              <w:t>10</w:t>
            </w:r>
          </w:p>
        </w:tc>
        <w:tc>
          <w:tcPr>
            <w:tcW w:w="0" w:type="dxa"/>
            <w:noWrap w:val="0"/>
            <w:vAlign w:val="center"/>
          </w:tcPr>
          <w:p w14:paraId="2E4F1EA3">
            <w:pPr>
              <w:jc w:val="center"/>
              <w:rPr>
                <w:color w:val="000000"/>
                <w:kern w:val="0"/>
                <w:szCs w:val="21"/>
              </w:rPr>
            </w:pPr>
            <w:r>
              <w:rPr>
                <w:color w:val="000000"/>
                <w:kern w:val="0"/>
                <w:szCs w:val="21"/>
              </w:rPr>
              <w:t>336</w:t>
            </w:r>
          </w:p>
        </w:tc>
      </w:tr>
      <w:tr w14:paraId="483E9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7973FC79">
            <w:pPr>
              <w:rPr>
                <w:rFonts w:ascii="楷体_GB2312" w:hAnsi="宋体" w:eastAsia="楷体_GB2312" w:cs="宋体"/>
                <w:color w:val="000000"/>
                <w:kern w:val="0"/>
                <w:szCs w:val="21"/>
              </w:rPr>
            </w:pPr>
          </w:p>
        </w:tc>
        <w:tc>
          <w:tcPr>
            <w:tcW w:w="0" w:type="dxa"/>
            <w:noWrap w:val="0"/>
            <w:vAlign w:val="center"/>
          </w:tcPr>
          <w:p w14:paraId="1CCB1CF3">
            <w:pPr>
              <w:jc w:val="center"/>
              <w:rPr>
                <w:color w:val="000000"/>
                <w:kern w:val="0"/>
                <w:szCs w:val="21"/>
              </w:rPr>
            </w:pPr>
            <w:r>
              <w:rPr>
                <w:color w:val="000000"/>
                <w:kern w:val="0"/>
                <w:szCs w:val="21"/>
              </w:rPr>
              <w:t>3</w:t>
            </w:r>
          </w:p>
        </w:tc>
        <w:tc>
          <w:tcPr>
            <w:tcW w:w="0" w:type="dxa"/>
            <w:noWrap w:val="0"/>
            <w:vAlign w:val="center"/>
          </w:tcPr>
          <w:p w14:paraId="6FF9A447">
            <w:pPr>
              <w:jc w:val="center"/>
              <w:rPr>
                <w:color w:val="000000"/>
                <w:kern w:val="0"/>
                <w:szCs w:val="21"/>
              </w:rPr>
            </w:pPr>
            <w:r>
              <w:rPr>
                <w:color w:val="000000"/>
                <w:kern w:val="0"/>
                <w:szCs w:val="21"/>
              </w:rPr>
              <w:t>2</w:t>
            </w:r>
          </w:p>
        </w:tc>
        <w:tc>
          <w:tcPr>
            <w:tcW w:w="0" w:type="dxa"/>
            <w:noWrap w:val="0"/>
            <w:vAlign w:val="center"/>
          </w:tcPr>
          <w:p w14:paraId="44C5B05F">
            <w:pPr>
              <w:jc w:val="center"/>
              <w:rPr>
                <w:color w:val="000000"/>
                <w:kern w:val="0"/>
                <w:szCs w:val="21"/>
              </w:rPr>
            </w:pPr>
            <w:r>
              <w:rPr>
                <w:color w:val="000000"/>
                <w:kern w:val="0"/>
                <w:szCs w:val="21"/>
              </w:rPr>
              <w:t>271</w:t>
            </w:r>
          </w:p>
        </w:tc>
        <w:tc>
          <w:tcPr>
            <w:tcW w:w="0" w:type="dxa"/>
            <w:noWrap w:val="0"/>
            <w:vAlign w:val="center"/>
          </w:tcPr>
          <w:p w14:paraId="57689F18">
            <w:pPr>
              <w:jc w:val="center"/>
              <w:rPr>
                <w:color w:val="000000"/>
                <w:kern w:val="0"/>
                <w:szCs w:val="21"/>
              </w:rPr>
            </w:pPr>
            <w:r>
              <w:rPr>
                <w:color w:val="000000"/>
                <w:kern w:val="0"/>
                <w:szCs w:val="21"/>
              </w:rPr>
              <w:t>2</w:t>
            </w:r>
          </w:p>
        </w:tc>
        <w:tc>
          <w:tcPr>
            <w:tcW w:w="0" w:type="dxa"/>
            <w:noWrap w:val="0"/>
            <w:vAlign w:val="center"/>
          </w:tcPr>
          <w:p w14:paraId="2136739B">
            <w:pPr>
              <w:jc w:val="center"/>
              <w:rPr>
                <w:color w:val="000000"/>
                <w:kern w:val="0"/>
                <w:sz w:val="22"/>
                <w:szCs w:val="22"/>
              </w:rPr>
            </w:pPr>
            <w:r>
              <w:rPr>
                <w:color w:val="000000"/>
                <w:kern w:val="0"/>
                <w:sz w:val="22"/>
                <w:szCs w:val="22"/>
              </w:rPr>
              <w:t>276</w:t>
            </w:r>
          </w:p>
        </w:tc>
        <w:tc>
          <w:tcPr>
            <w:tcW w:w="0" w:type="dxa"/>
            <w:noWrap w:val="0"/>
            <w:vAlign w:val="center"/>
          </w:tcPr>
          <w:p w14:paraId="070DFC06">
            <w:pPr>
              <w:jc w:val="center"/>
              <w:rPr>
                <w:color w:val="000000"/>
                <w:kern w:val="0"/>
                <w:szCs w:val="21"/>
              </w:rPr>
            </w:pPr>
            <w:r>
              <w:rPr>
                <w:color w:val="000000"/>
                <w:kern w:val="0"/>
                <w:szCs w:val="21"/>
              </w:rPr>
              <w:t>2</w:t>
            </w:r>
          </w:p>
        </w:tc>
        <w:tc>
          <w:tcPr>
            <w:tcW w:w="0" w:type="dxa"/>
            <w:noWrap w:val="0"/>
            <w:vAlign w:val="center"/>
          </w:tcPr>
          <w:p w14:paraId="4E9C359F">
            <w:pPr>
              <w:jc w:val="center"/>
              <w:rPr>
                <w:color w:val="000000"/>
                <w:kern w:val="0"/>
                <w:szCs w:val="21"/>
              </w:rPr>
            </w:pPr>
            <w:r>
              <w:rPr>
                <w:color w:val="000000"/>
                <w:kern w:val="0"/>
                <w:szCs w:val="21"/>
              </w:rPr>
              <w:t>308</w:t>
            </w:r>
          </w:p>
        </w:tc>
      </w:tr>
      <w:tr w14:paraId="61C7A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restart"/>
            <w:noWrap w:val="0"/>
            <w:vAlign w:val="center"/>
          </w:tcPr>
          <w:p w14:paraId="02B1D2BB">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桃沟乡</w:t>
            </w:r>
          </w:p>
        </w:tc>
        <w:tc>
          <w:tcPr>
            <w:tcW w:w="0" w:type="dxa"/>
            <w:noWrap w:val="0"/>
            <w:vAlign w:val="center"/>
          </w:tcPr>
          <w:p w14:paraId="2A6F41EB">
            <w:pPr>
              <w:jc w:val="center"/>
              <w:rPr>
                <w:color w:val="000000"/>
                <w:kern w:val="0"/>
                <w:szCs w:val="21"/>
              </w:rPr>
            </w:pPr>
            <w:r>
              <w:rPr>
                <w:color w:val="000000"/>
                <w:kern w:val="0"/>
                <w:szCs w:val="21"/>
              </w:rPr>
              <w:t>1</w:t>
            </w:r>
          </w:p>
        </w:tc>
        <w:tc>
          <w:tcPr>
            <w:tcW w:w="0" w:type="dxa"/>
            <w:noWrap w:val="0"/>
            <w:vAlign w:val="center"/>
          </w:tcPr>
          <w:p w14:paraId="1398E59C">
            <w:pPr>
              <w:jc w:val="center"/>
              <w:rPr>
                <w:color w:val="000000"/>
                <w:kern w:val="0"/>
                <w:szCs w:val="21"/>
              </w:rPr>
            </w:pPr>
            <w:r>
              <w:rPr>
                <w:color w:val="000000"/>
                <w:kern w:val="0"/>
                <w:szCs w:val="21"/>
              </w:rPr>
              <w:t>20</w:t>
            </w:r>
          </w:p>
        </w:tc>
        <w:tc>
          <w:tcPr>
            <w:tcW w:w="0" w:type="dxa"/>
            <w:noWrap w:val="0"/>
            <w:vAlign w:val="center"/>
          </w:tcPr>
          <w:p w14:paraId="40FD7137">
            <w:pPr>
              <w:jc w:val="center"/>
              <w:rPr>
                <w:color w:val="000000"/>
                <w:kern w:val="0"/>
                <w:szCs w:val="21"/>
              </w:rPr>
            </w:pPr>
            <w:r>
              <w:rPr>
                <w:color w:val="000000"/>
                <w:kern w:val="0"/>
                <w:szCs w:val="21"/>
              </w:rPr>
              <w:t>404</w:t>
            </w:r>
          </w:p>
        </w:tc>
        <w:tc>
          <w:tcPr>
            <w:tcW w:w="0" w:type="dxa"/>
            <w:noWrap w:val="0"/>
            <w:vAlign w:val="center"/>
          </w:tcPr>
          <w:p w14:paraId="6C8735FA">
            <w:pPr>
              <w:jc w:val="center"/>
              <w:rPr>
                <w:color w:val="000000"/>
                <w:kern w:val="0"/>
                <w:szCs w:val="21"/>
              </w:rPr>
            </w:pPr>
            <w:r>
              <w:rPr>
                <w:color w:val="000000"/>
                <w:kern w:val="0"/>
                <w:szCs w:val="21"/>
              </w:rPr>
              <w:t>20</w:t>
            </w:r>
          </w:p>
        </w:tc>
        <w:tc>
          <w:tcPr>
            <w:tcW w:w="0" w:type="dxa"/>
            <w:noWrap w:val="0"/>
            <w:vAlign w:val="center"/>
          </w:tcPr>
          <w:p w14:paraId="5812B0E8">
            <w:pPr>
              <w:jc w:val="center"/>
              <w:rPr>
                <w:color w:val="000000"/>
                <w:kern w:val="0"/>
                <w:sz w:val="22"/>
                <w:szCs w:val="22"/>
              </w:rPr>
            </w:pPr>
            <w:r>
              <w:rPr>
                <w:color w:val="000000"/>
                <w:kern w:val="0"/>
                <w:sz w:val="22"/>
                <w:szCs w:val="22"/>
              </w:rPr>
              <w:t>417</w:t>
            </w:r>
          </w:p>
        </w:tc>
        <w:tc>
          <w:tcPr>
            <w:tcW w:w="0" w:type="dxa"/>
            <w:noWrap w:val="0"/>
            <w:vAlign w:val="center"/>
          </w:tcPr>
          <w:p w14:paraId="36D61794">
            <w:pPr>
              <w:jc w:val="center"/>
              <w:rPr>
                <w:color w:val="000000"/>
                <w:kern w:val="0"/>
                <w:szCs w:val="21"/>
              </w:rPr>
            </w:pPr>
            <w:r>
              <w:rPr>
                <w:color w:val="000000"/>
                <w:kern w:val="0"/>
                <w:szCs w:val="21"/>
              </w:rPr>
              <w:t>20</w:t>
            </w:r>
          </w:p>
        </w:tc>
        <w:tc>
          <w:tcPr>
            <w:tcW w:w="0" w:type="dxa"/>
            <w:noWrap w:val="0"/>
            <w:vAlign w:val="center"/>
          </w:tcPr>
          <w:p w14:paraId="637DD1AC">
            <w:pPr>
              <w:jc w:val="center"/>
              <w:rPr>
                <w:color w:val="000000"/>
                <w:kern w:val="0"/>
                <w:szCs w:val="21"/>
              </w:rPr>
            </w:pPr>
            <w:r>
              <w:rPr>
                <w:color w:val="000000"/>
                <w:kern w:val="0"/>
                <w:szCs w:val="21"/>
              </w:rPr>
              <w:t>454</w:t>
            </w:r>
          </w:p>
        </w:tc>
      </w:tr>
      <w:tr w14:paraId="4D026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7EBA03EA">
            <w:pPr>
              <w:rPr>
                <w:rFonts w:ascii="楷体_GB2312" w:hAnsi="宋体" w:eastAsia="楷体_GB2312" w:cs="宋体"/>
                <w:color w:val="000000"/>
                <w:kern w:val="0"/>
                <w:szCs w:val="21"/>
              </w:rPr>
            </w:pPr>
          </w:p>
        </w:tc>
        <w:tc>
          <w:tcPr>
            <w:tcW w:w="0" w:type="dxa"/>
            <w:noWrap w:val="0"/>
            <w:vAlign w:val="center"/>
          </w:tcPr>
          <w:p w14:paraId="70FBCE42">
            <w:pPr>
              <w:jc w:val="center"/>
              <w:rPr>
                <w:color w:val="000000"/>
                <w:kern w:val="0"/>
                <w:szCs w:val="21"/>
              </w:rPr>
            </w:pPr>
            <w:r>
              <w:rPr>
                <w:color w:val="000000"/>
                <w:kern w:val="0"/>
                <w:szCs w:val="21"/>
              </w:rPr>
              <w:t>2</w:t>
            </w:r>
          </w:p>
        </w:tc>
        <w:tc>
          <w:tcPr>
            <w:tcW w:w="0" w:type="dxa"/>
            <w:noWrap w:val="0"/>
            <w:vAlign w:val="center"/>
          </w:tcPr>
          <w:p w14:paraId="644D3778">
            <w:pPr>
              <w:jc w:val="center"/>
              <w:rPr>
                <w:color w:val="000000"/>
                <w:kern w:val="0"/>
                <w:szCs w:val="21"/>
              </w:rPr>
            </w:pPr>
            <w:r>
              <w:rPr>
                <w:color w:val="000000"/>
                <w:kern w:val="0"/>
                <w:szCs w:val="21"/>
              </w:rPr>
              <w:t>5</w:t>
            </w:r>
          </w:p>
        </w:tc>
        <w:tc>
          <w:tcPr>
            <w:tcW w:w="0" w:type="dxa"/>
            <w:noWrap w:val="0"/>
            <w:vAlign w:val="center"/>
          </w:tcPr>
          <w:p w14:paraId="6942D68E">
            <w:pPr>
              <w:jc w:val="center"/>
              <w:rPr>
                <w:color w:val="000000"/>
                <w:kern w:val="0"/>
                <w:szCs w:val="21"/>
              </w:rPr>
            </w:pPr>
            <w:r>
              <w:rPr>
                <w:color w:val="000000"/>
                <w:kern w:val="0"/>
                <w:szCs w:val="21"/>
              </w:rPr>
              <w:t>325</w:t>
            </w:r>
          </w:p>
        </w:tc>
        <w:tc>
          <w:tcPr>
            <w:tcW w:w="0" w:type="dxa"/>
            <w:noWrap w:val="0"/>
            <w:vAlign w:val="center"/>
          </w:tcPr>
          <w:p w14:paraId="4BEF51EA">
            <w:pPr>
              <w:jc w:val="center"/>
              <w:rPr>
                <w:color w:val="000000"/>
                <w:kern w:val="0"/>
                <w:szCs w:val="21"/>
              </w:rPr>
            </w:pPr>
            <w:r>
              <w:rPr>
                <w:color w:val="000000"/>
                <w:kern w:val="0"/>
                <w:szCs w:val="21"/>
              </w:rPr>
              <w:t>5</w:t>
            </w:r>
          </w:p>
        </w:tc>
        <w:tc>
          <w:tcPr>
            <w:tcW w:w="0" w:type="dxa"/>
            <w:noWrap w:val="0"/>
            <w:vAlign w:val="center"/>
          </w:tcPr>
          <w:p w14:paraId="765B9F33">
            <w:pPr>
              <w:jc w:val="center"/>
              <w:rPr>
                <w:color w:val="000000"/>
                <w:kern w:val="0"/>
                <w:sz w:val="22"/>
                <w:szCs w:val="22"/>
              </w:rPr>
            </w:pPr>
            <w:r>
              <w:rPr>
                <w:color w:val="000000"/>
                <w:kern w:val="0"/>
                <w:sz w:val="22"/>
                <w:szCs w:val="22"/>
              </w:rPr>
              <w:t>328</w:t>
            </w:r>
          </w:p>
        </w:tc>
        <w:tc>
          <w:tcPr>
            <w:tcW w:w="0" w:type="dxa"/>
            <w:noWrap w:val="0"/>
            <w:vAlign w:val="center"/>
          </w:tcPr>
          <w:p w14:paraId="1659E849">
            <w:pPr>
              <w:jc w:val="center"/>
              <w:rPr>
                <w:color w:val="000000"/>
                <w:kern w:val="0"/>
                <w:szCs w:val="21"/>
              </w:rPr>
            </w:pPr>
            <w:r>
              <w:rPr>
                <w:color w:val="000000"/>
                <w:kern w:val="0"/>
                <w:szCs w:val="21"/>
              </w:rPr>
              <w:t>5</w:t>
            </w:r>
          </w:p>
        </w:tc>
        <w:tc>
          <w:tcPr>
            <w:tcW w:w="0" w:type="dxa"/>
            <w:noWrap w:val="0"/>
            <w:vAlign w:val="center"/>
          </w:tcPr>
          <w:p w14:paraId="19B3F94F">
            <w:pPr>
              <w:jc w:val="center"/>
              <w:rPr>
                <w:color w:val="000000"/>
                <w:kern w:val="0"/>
                <w:szCs w:val="21"/>
              </w:rPr>
            </w:pPr>
            <w:r>
              <w:rPr>
                <w:color w:val="000000"/>
                <w:kern w:val="0"/>
                <w:szCs w:val="21"/>
              </w:rPr>
              <w:t>352</w:t>
            </w:r>
          </w:p>
        </w:tc>
      </w:tr>
      <w:tr w14:paraId="4B176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vMerge w:val="continue"/>
            <w:noWrap w:val="0"/>
            <w:vAlign w:val="center"/>
          </w:tcPr>
          <w:p w14:paraId="5F20592E">
            <w:pPr>
              <w:rPr>
                <w:rFonts w:ascii="楷体_GB2312" w:hAnsi="宋体" w:eastAsia="楷体_GB2312" w:cs="宋体"/>
                <w:color w:val="000000"/>
                <w:kern w:val="0"/>
                <w:szCs w:val="21"/>
              </w:rPr>
            </w:pPr>
          </w:p>
        </w:tc>
        <w:tc>
          <w:tcPr>
            <w:tcW w:w="0" w:type="dxa"/>
            <w:noWrap w:val="0"/>
            <w:vAlign w:val="center"/>
          </w:tcPr>
          <w:p w14:paraId="621F8669">
            <w:pPr>
              <w:jc w:val="center"/>
              <w:rPr>
                <w:color w:val="000000"/>
                <w:kern w:val="0"/>
                <w:szCs w:val="21"/>
              </w:rPr>
            </w:pPr>
            <w:r>
              <w:rPr>
                <w:color w:val="000000"/>
                <w:kern w:val="0"/>
                <w:szCs w:val="21"/>
              </w:rPr>
              <w:t>3</w:t>
            </w:r>
          </w:p>
        </w:tc>
        <w:tc>
          <w:tcPr>
            <w:tcW w:w="0" w:type="dxa"/>
            <w:noWrap w:val="0"/>
            <w:vAlign w:val="center"/>
          </w:tcPr>
          <w:p w14:paraId="543C9388">
            <w:pPr>
              <w:jc w:val="center"/>
              <w:rPr>
                <w:color w:val="000000"/>
                <w:kern w:val="0"/>
                <w:szCs w:val="21"/>
              </w:rPr>
            </w:pPr>
            <w:r>
              <w:rPr>
                <w:color w:val="000000"/>
                <w:kern w:val="0"/>
                <w:szCs w:val="21"/>
              </w:rPr>
              <w:t>5</w:t>
            </w:r>
          </w:p>
        </w:tc>
        <w:tc>
          <w:tcPr>
            <w:tcW w:w="0" w:type="dxa"/>
            <w:noWrap w:val="0"/>
            <w:vAlign w:val="center"/>
          </w:tcPr>
          <w:p w14:paraId="5E106765">
            <w:pPr>
              <w:jc w:val="center"/>
              <w:rPr>
                <w:color w:val="000000"/>
                <w:kern w:val="0"/>
                <w:szCs w:val="21"/>
              </w:rPr>
            </w:pPr>
            <w:r>
              <w:rPr>
                <w:color w:val="000000"/>
                <w:kern w:val="0"/>
                <w:szCs w:val="21"/>
              </w:rPr>
              <w:t>254</w:t>
            </w:r>
          </w:p>
        </w:tc>
        <w:tc>
          <w:tcPr>
            <w:tcW w:w="0" w:type="dxa"/>
            <w:noWrap w:val="0"/>
            <w:vAlign w:val="center"/>
          </w:tcPr>
          <w:p w14:paraId="3AF0CFC5">
            <w:pPr>
              <w:jc w:val="center"/>
              <w:rPr>
                <w:color w:val="000000"/>
                <w:kern w:val="0"/>
                <w:szCs w:val="21"/>
              </w:rPr>
            </w:pPr>
            <w:r>
              <w:rPr>
                <w:color w:val="000000"/>
                <w:kern w:val="0"/>
                <w:szCs w:val="21"/>
              </w:rPr>
              <w:t>5</w:t>
            </w:r>
          </w:p>
        </w:tc>
        <w:tc>
          <w:tcPr>
            <w:tcW w:w="0" w:type="dxa"/>
            <w:noWrap w:val="0"/>
            <w:vAlign w:val="center"/>
          </w:tcPr>
          <w:p w14:paraId="6A933EDE">
            <w:pPr>
              <w:jc w:val="center"/>
              <w:rPr>
                <w:color w:val="000000"/>
                <w:kern w:val="0"/>
                <w:sz w:val="22"/>
                <w:szCs w:val="22"/>
              </w:rPr>
            </w:pPr>
            <w:r>
              <w:rPr>
                <w:color w:val="000000"/>
                <w:kern w:val="0"/>
                <w:sz w:val="22"/>
                <w:szCs w:val="22"/>
              </w:rPr>
              <w:t>257</w:t>
            </w:r>
          </w:p>
        </w:tc>
        <w:tc>
          <w:tcPr>
            <w:tcW w:w="0" w:type="dxa"/>
            <w:noWrap w:val="0"/>
            <w:vAlign w:val="center"/>
          </w:tcPr>
          <w:p w14:paraId="6805D5AE">
            <w:pPr>
              <w:jc w:val="center"/>
              <w:rPr>
                <w:color w:val="000000"/>
                <w:kern w:val="0"/>
                <w:szCs w:val="21"/>
              </w:rPr>
            </w:pPr>
            <w:r>
              <w:rPr>
                <w:color w:val="000000"/>
                <w:kern w:val="0"/>
                <w:szCs w:val="21"/>
              </w:rPr>
              <w:t>5</w:t>
            </w:r>
          </w:p>
        </w:tc>
        <w:tc>
          <w:tcPr>
            <w:tcW w:w="0" w:type="dxa"/>
            <w:noWrap w:val="0"/>
            <w:vAlign w:val="center"/>
          </w:tcPr>
          <w:p w14:paraId="39E23C6A">
            <w:pPr>
              <w:jc w:val="center"/>
              <w:rPr>
                <w:color w:val="000000"/>
                <w:kern w:val="0"/>
                <w:szCs w:val="21"/>
              </w:rPr>
            </w:pPr>
            <w:r>
              <w:rPr>
                <w:color w:val="000000"/>
                <w:kern w:val="0"/>
                <w:szCs w:val="21"/>
              </w:rPr>
              <w:t>284</w:t>
            </w:r>
          </w:p>
        </w:tc>
      </w:tr>
      <w:tr w14:paraId="72AA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noWrap w:val="0"/>
            <w:vAlign w:val="center"/>
          </w:tcPr>
          <w:p w14:paraId="20DFBE81">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曹村开发区</w:t>
            </w:r>
          </w:p>
        </w:tc>
        <w:tc>
          <w:tcPr>
            <w:tcW w:w="0" w:type="dxa"/>
            <w:noWrap w:val="0"/>
            <w:vAlign w:val="center"/>
          </w:tcPr>
          <w:p w14:paraId="2139AE12">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指导价区域</w:t>
            </w:r>
          </w:p>
        </w:tc>
        <w:tc>
          <w:tcPr>
            <w:tcW w:w="0" w:type="dxa"/>
            <w:noWrap w:val="0"/>
            <w:vAlign w:val="center"/>
          </w:tcPr>
          <w:p w14:paraId="423F78A6">
            <w:pPr>
              <w:jc w:val="center"/>
              <w:rPr>
                <w:color w:val="000000"/>
                <w:kern w:val="0"/>
                <w:szCs w:val="21"/>
              </w:rPr>
            </w:pPr>
            <w:r>
              <w:rPr>
                <w:color w:val="000000"/>
                <w:kern w:val="0"/>
                <w:szCs w:val="21"/>
              </w:rPr>
              <w:t>30</w:t>
            </w:r>
          </w:p>
        </w:tc>
        <w:tc>
          <w:tcPr>
            <w:tcW w:w="0" w:type="dxa"/>
            <w:noWrap w:val="0"/>
            <w:vAlign w:val="center"/>
          </w:tcPr>
          <w:p w14:paraId="56D20CC8">
            <w:pPr>
              <w:jc w:val="center"/>
              <w:rPr>
                <w:color w:val="000000"/>
                <w:kern w:val="0"/>
                <w:szCs w:val="21"/>
              </w:rPr>
            </w:pPr>
            <w:r>
              <w:rPr>
                <w:color w:val="000000"/>
                <w:kern w:val="0"/>
                <w:szCs w:val="21"/>
              </w:rPr>
              <w:t>460</w:t>
            </w:r>
          </w:p>
        </w:tc>
        <w:tc>
          <w:tcPr>
            <w:tcW w:w="0" w:type="dxa"/>
            <w:noWrap/>
            <w:vAlign w:val="center"/>
          </w:tcPr>
          <w:p w14:paraId="5938A7CC">
            <w:pPr>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0" w:type="dxa"/>
            <w:noWrap/>
            <w:vAlign w:val="center"/>
          </w:tcPr>
          <w:p w14:paraId="7F54BEB3">
            <w:pPr>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0" w:type="dxa"/>
            <w:noWrap/>
            <w:vAlign w:val="center"/>
          </w:tcPr>
          <w:p w14:paraId="4F6EE642">
            <w:pPr>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0" w:type="dxa"/>
            <w:noWrap/>
            <w:vAlign w:val="center"/>
          </w:tcPr>
          <w:p w14:paraId="7470FFD2">
            <w:pPr>
              <w:jc w:val="center"/>
              <w:rPr>
                <w:rFonts w:ascii="宋体" w:hAnsi="宋体" w:cs="宋体"/>
                <w:color w:val="000000"/>
                <w:kern w:val="0"/>
                <w:sz w:val="22"/>
                <w:szCs w:val="22"/>
              </w:rPr>
            </w:pPr>
            <w:r>
              <w:rPr>
                <w:rFonts w:hint="eastAsia" w:ascii="宋体" w:hAnsi="宋体" w:cs="宋体"/>
                <w:color w:val="000000"/>
                <w:kern w:val="0"/>
                <w:sz w:val="22"/>
                <w:szCs w:val="22"/>
              </w:rPr>
              <w:t>/</w:t>
            </w:r>
          </w:p>
        </w:tc>
      </w:tr>
      <w:tr w14:paraId="0F125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noWrap w:val="0"/>
            <w:vAlign w:val="center"/>
          </w:tcPr>
          <w:p w14:paraId="3DB2490F">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家具产业园</w:t>
            </w:r>
          </w:p>
        </w:tc>
        <w:tc>
          <w:tcPr>
            <w:tcW w:w="0" w:type="dxa"/>
            <w:noWrap w:val="0"/>
            <w:vAlign w:val="center"/>
          </w:tcPr>
          <w:p w14:paraId="430EF643">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指导价区域</w:t>
            </w:r>
          </w:p>
        </w:tc>
        <w:tc>
          <w:tcPr>
            <w:tcW w:w="0" w:type="dxa"/>
            <w:noWrap w:val="0"/>
            <w:vAlign w:val="center"/>
          </w:tcPr>
          <w:p w14:paraId="36D2257E">
            <w:pPr>
              <w:jc w:val="center"/>
              <w:rPr>
                <w:color w:val="000000"/>
                <w:kern w:val="0"/>
                <w:szCs w:val="21"/>
              </w:rPr>
            </w:pPr>
            <w:r>
              <w:rPr>
                <w:color w:val="000000"/>
                <w:kern w:val="0"/>
                <w:szCs w:val="21"/>
              </w:rPr>
              <w:t>5</w:t>
            </w:r>
          </w:p>
        </w:tc>
        <w:tc>
          <w:tcPr>
            <w:tcW w:w="0" w:type="dxa"/>
            <w:noWrap w:val="0"/>
            <w:vAlign w:val="center"/>
          </w:tcPr>
          <w:p w14:paraId="2E83801B">
            <w:pPr>
              <w:jc w:val="center"/>
              <w:rPr>
                <w:color w:val="000000"/>
                <w:kern w:val="0"/>
                <w:szCs w:val="21"/>
              </w:rPr>
            </w:pPr>
            <w:r>
              <w:rPr>
                <w:color w:val="000000"/>
                <w:kern w:val="0"/>
                <w:szCs w:val="21"/>
              </w:rPr>
              <w:t>550</w:t>
            </w:r>
          </w:p>
        </w:tc>
        <w:tc>
          <w:tcPr>
            <w:tcW w:w="0" w:type="dxa"/>
            <w:noWrap/>
            <w:vAlign w:val="center"/>
          </w:tcPr>
          <w:p w14:paraId="4C667F62">
            <w:pPr>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0" w:type="dxa"/>
            <w:noWrap/>
            <w:vAlign w:val="center"/>
          </w:tcPr>
          <w:p w14:paraId="4C8FA128">
            <w:pPr>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0" w:type="dxa"/>
            <w:noWrap/>
            <w:vAlign w:val="center"/>
          </w:tcPr>
          <w:p w14:paraId="270A5F28">
            <w:pPr>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0" w:type="dxa"/>
            <w:noWrap/>
            <w:vAlign w:val="center"/>
          </w:tcPr>
          <w:p w14:paraId="7B603DD6">
            <w:pPr>
              <w:jc w:val="center"/>
              <w:rPr>
                <w:rFonts w:ascii="宋体" w:hAnsi="宋体" w:cs="宋体"/>
                <w:color w:val="000000"/>
                <w:kern w:val="0"/>
                <w:sz w:val="22"/>
                <w:szCs w:val="22"/>
              </w:rPr>
            </w:pPr>
            <w:r>
              <w:rPr>
                <w:rFonts w:hint="eastAsia" w:ascii="宋体" w:hAnsi="宋体" w:cs="宋体"/>
                <w:color w:val="000000"/>
                <w:kern w:val="0"/>
                <w:sz w:val="22"/>
                <w:szCs w:val="22"/>
              </w:rPr>
              <w:t>/</w:t>
            </w:r>
          </w:p>
        </w:tc>
      </w:tr>
      <w:tr w14:paraId="0A38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dxa"/>
            <w:noWrap w:val="0"/>
            <w:vAlign w:val="center"/>
          </w:tcPr>
          <w:p w14:paraId="54E4C528">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农业示范园</w:t>
            </w:r>
          </w:p>
        </w:tc>
        <w:tc>
          <w:tcPr>
            <w:tcW w:w="0" w:type="dxa"/>
            <w:noWrap w:val="0"/>
            <w:vAlign w:val="center"/>
          </w:tcPr>
          <w:p w14:paraId="7CF3EE68">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指导价区域</w:t>
            </w:r>
          </w:p>
        </w:tc>
        <w:tc>
          <w:tcPr>
            <w:tcW w:w="0" w:type="dxa"/>
            <w:noWrap w:val="0"/>
            <w:vAlign w:val="center"/>
          </w:tcPr>
          <w:p w14:paraId="667DE833">
            <w:pPr>
              <w:jc w:val="center"/>
              <w:rPr>
                <w:color w:val="000000"/>
                <w:kern w:val="0"/>
                <w:szCs w:val="21"/>
              </w:rPr>
            </w:pPr>
            <w:r>
              <w:rPr>
                <w:color w:val="000000"/>
                <w:kern w:val="0"/>
                <w:szCs w:val="21"/>
              </w:rPr>
              <w:t>30</w:t>
            </w:r>
          </w:p>
        </w:tc>
        <w:tc>
          <w:tcPr>
            <w:tcW w:w="0" w:type="dxa"/>
            <w:noWrap w:val="0"/>
            <w:vAlign w:val="center"/>
          </w:tcPr>
          <w:p w14:paraId="55742C50">
            <w:pPr>
              <w:jc w:val="center"/>
              <w:rPr>
                <w:color w:val="000000"/>
                <w:kern w:val="0"/>
                <w:szCs w:val="21"/>
              </w:rPr>
            </w:pPr>
            <w:r>
              <w:rPr>
                <w:color w:val="000000"/>
                <w:kern w:val="0"/>
                <w:szCs w:val="21"/>
              </w:rPr>
              <w:t>480</w:t>
            </w:r>
          </w:p>
        </w:tc>
        <w:tc>
          <w:tcPr>
            <w:tcW w:w="0" w:type="dxa"/>
            <w:noWrap/>
            <w:vAlign w:val="center"/>
          </w:tcPr>
          <w:p w14:paraId="312A2E0A">
            <w:pPr>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0" w:type="dxa"/>
            <w:noWrap/>
            <w:vAlign w:val="center"/>
          </w:tcPr>
          <w:p w14:paraId="2A56AEE6">
            <w:pPr>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0" w:type="dxa"/>
            <w:noWrap/>
            <w:vAlign w:val="center"/>
          </w:tcPr>
          <w:p w14:paraId="3D874C35">
            <w:pPr>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0" w:type="dxa"/>
            <w:noWrap/>
            <w:vAlign w:val="center"/>
          </w:tcPr>
          <w:p w14:paraId="38EB641E">
            <w:pPr>
              <w:jc w:val="center"/>
              <w:rPr>
                <w:rFonts w:ascii="宋体" w:hAnsi="宋体" w:cs="宋体"/>
                <w:color w:val="000000"/>
                <w:kern w:val="0"/>
                <w:sz w:val="22"/>
                <w:szCs w:val="22"/>
              </w:rPr>
            </w:pPr>
            <w:r>
              <w:rPr>
                <w:rFonts w:hint="eastAsia" w:ascii="宋体" w:hAnsi="宋体" w:cs="宋体"/>
                <w:color w:val="000000"/>
                <w:kern w:val="0"/>
                <w:sz w:val="22"/>
                <w:szCs w:val="22"/>
              </w:rPr>
              <w:t>/</w:t>
            </w:r>
          </w:p>
        </w:tc>
      </w:tr>
    </w:tbl>
    <w:p w14:paraId="55F05D8B">
      <w:pPr>
        <w:pStyle w:val="20"/>
        <w:spacing w:before="120" w:beforeLines="50"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从表2-7-1可以看出，利用算术平均法、样点地价和土地级别指数数学模型法、样点地价和土地定级单元总分值数学模型法均测算出了各乡镇商服用地级别平均价。经过各乡镇土地市场和地价水平调查分析，测算结果各级地中均比较吻合，故以三种方法测算结果的算术平均值并保留到整数作为商服用地相应级别的基准地价。结果见表2-7-3。</w:t>
      </w:r>
    </w:p>
    <w:p w14:paraId="1BD131D7">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二、住宅用地级别基准地价的确定</w:t>
      </w:r>
    </w:p>
    <w:p w14:paraId="7D557EF1">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利用土地市场交易资料（主要为房地买卖资料）测算的样点地价，采用算术平均法、样点地价和土地级别指数数学模型法、样点地价和土地定级单元总分值数学模型法分别评估出各乡镇区住宅用地各土地级别的平均地价，汇总三类方法的测算结果，具体见表2-7-2。</w:t>
      </w:r>
    </w:p>
    <w:p w14:paraId="2FDD75B9">
      <w:pPr>
        <w:pStyle w:val="20"/>
        <w:spacing w:line="480" w:lineRule="exact"/>
        <w:jc w:val="center"/>
        <w:rPr>
          <w:rFonts w:ascii="Times New Roman" w:hAnsi="Times New Roman" w:eastAsia="黑体" w:cs="Times New Roman"/>
          <w:sz w:val="28"/>
        </w:rPr>
      </w:pPr>
      <w:r>
        <w:rPr>
          <w:rFonts w:ascii="Times New Roman" w:hAnsi="Times New Roman" w:eastAsia="黑体" w:cs="Times New Roman"/>
          <w:sz w:val="28"/>
        </w:rPr>
        <w:t>表</w:t>
      </w:r>
      <w:r>
        <w:rPr>
          <w:rFonts w:ascii="Times New Roman" w:hAnsi="Times New Roman" w:eastAsia="仿宋_GB2312" w:cs="Times New Roman"/>
          <w:sz w:val="28"/>
        </w:rPr>
        <w:t>2-7-2</w:t>
      </w:r>
      <w:r>
        <w:rPr>
          <w:rFonts w:ascii="Times New Roman" w:hAnsi="Times New Roman" w:eastAsia="黑体" w:cs="Times New Roman"/>
          <w:sz w:val="28"/>
        </w:rPr>
        <w:t xml:space="preserve">  埇桥区各乡镇</w:t>
      </w:r>
      <w:r>
        <w:rPr>
          <w:rFonts w:hint="eastAsia" w:ascii="Times New Roman" w:hAnsi="Times New Roman" w:eastAsia="黑体" w:cs="Times New Roman"/>
          <w:sz w:val="28"/>
        </w:rPr>
        <w:t>及园区</w:t>
      </w:r>
      <w:r>
        <w:rPr>
          <w:rFonts w:ascii="Times New Roman" w:hAnsi="Times New Roman" w:eastAsia="黑体" w:cs="Times New Roman"/>
          <w:sz w:val="28"/>
        </w:rPr>
        <w:t>住宅用地级别价测算结果汇总表</w:t>
      </w:r>
    </w:p>
    <w:p w14:paraId="631A2FE0">
      <w:pPr>
        <w:pStyle w:val="20"/>
        <w:spacing w:line="480" w:lineRule="exact"/>
        <w:jc w:val="right"/>
        <w:rPr>
          <w:rFonts w:ascii="Times New Roman" w:hAnsi="Times New Roman" w:eastAsia="楷体_GB2312" w:cs="Times New Roman"/>
          <w:vertAlign w:val="superscript"/>
        </w:rPr>
      </w:pPr>
      <w:r>
        <w:rPr>
          <w:rFonts w:ascii="Times New Roman" w:hAnsi="Times New Roman" w:eastAsia="楷体_GB2312" w:cs="Times New Roman"/>
        </w:rPr>
        <w:t>单位：个，元/m</w:t>
      </w:r>
      <w:r>
        <w:rPr>
          <w:rFonts w:ascii="Times New Roman" w:hAnsi="Times New Roman" w:eastAsia="楷体_GB2312" w:cs="Times New Roman"/>
          <w:vertAlign w:val="superscript"/>
        </w:rPr>
        <w:t>2</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3"/>
        <w:gridCol w:w="1034"/>
        <w:gridCol w:w="1034"/>
        <w:gridCol w:w="1289"/>
        <w:gridCol w:w="1034"/>
        <w:gridCol w:w="1325"/>
        <w:gridCol w:w="1034"/>
        <w:gridCol w:w="1289"/>
      </w:tblGrid>
      <w:tr w14:paraId="623C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restart"/>
            <w:noWrap w:val="0"/>
            <w:vAlign w:val="center"/>
          </w:tcPr>
          <w:p w14:paraId="675E6D29">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乡镇名称</w:t>
            </w:r>
          </w:p>
        </w:tc>
        <w:tc>
          <w:tcPr>
            <w:tcW w:w="1034" w:type="dxa"/>
            <w:vMerge w:val="restart"/>
            <w:noWrap w:val="0"/>
            <w:vAlign w:val="center"/>
          </w:tcPr>
          <w:p w14:paraId="380B9BDB">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级别</w:t>
            </w:r>
          </w:p>
        </w:tc>
        <w:tc>
          <w:tcPr>
            <w:tcW w:w="2323" w:type="dxa"/>
            <w:gridSpan w:val="2"/>
            <w:noWrap w:val="0"/>
            <w:vAlign w:val="center"/>
          </w:tcPr>
          <w:p w14:paraId="57095FED">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算术平均法</w:t>
            </w:r>
          </w:p>
          <w:p w14:paraId="7028658C">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（房地出售）</w:t>
            </w:r>
          </w:p>
        </w:tc>
        <w:tc>
          <w:tcPr>
            <w:tcW w:w="2359" w:type="dxa"/>
            <w:gridSpan w:val="2"/>
            <w:noWrap w:val="0"/>
            <w:vAlign w:val="center"/>
          </w:tcPr>
          <w:p w14:paraId="1A968705">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样点地价和土地级别指数数学模型法</w:t>
            </w:r>
          </w:p>
        </w:tc>
        <w:tc>
          <w:tcPr>
            <w:tcW w:w="2323" w:type="dxa"/>
            <w:gridSpan w:val="2"/>
            <w:noWrap w:val="0"/>
            <w:vAlign w:val="center"/>
          </w:tcPr>
          <w:p w14:paraId="04FD8D08">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样点地价和土地定级单元总分值数学模型法</w:t>
            </w:r>
          </w:p>
        </w:tc>
      </w:tr>
      <w:tr w14:paraId="05F4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71A9D80F">
            <w:pPr>
              <w:rPr>
                <w:rFonts w:ascii="楷体_GB2312" w:hAnsi="宋体" w:eastAsia="楷体_GB2312" w:cs="宋体"/>
                <w:color w:val="000000"/>
                <w:kern w:val="0"/>
                <w:szCs w:val="21"/>
              </w:rPr>
            </w:pPr>
          </w:p>
        </w:tc>
        <w:tc>
          <w:tcPr>
            <w:tcW w:w="1034" w:type="dxa"/>
            <w:vMerge w:val="continue"/>
            <w:noWrap w:val="0"/>
            <w:vAlign w:val="center"/>
          </w:tcPr>
          <w:p w14:paraId="344ECEF1">
            <w:pPr>
              <w:rPr>
                <w:rFonts w:ascii="楷体_GB2312" w:hAnsi="宋体" w:eastAsia="楷体_GB2312" w:cs="宋体"/>
                <w:color w:val="000000"/>
                <w:kern w:val="0"/>
                <w:szCs w:val="21"/>
              </w:rPr>
            </w:pPr>
          </w:p>
        </w:tc>
        <w:tc>
          <w:tcPr>
            <w:tcW w:w="1034" w:type="dxa"/>
            <w:noWrap w:val="0"/>
            <w:vAlign w:val="center"/>
          </w:tcPr>
          <w:p w14:paraId="578D1564">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参算样点数</w:t>
            </w:r>
          </w:p>
        </w:tc>
        <w:tc>
          <w:tcPr>
            <w:tcW w:w="1289" w:type="dxa"/>
            <w:noWrap w:val="0"/>
            <w:vAlign w:val="center"/>
          </w:tcPr>
          <w:p w14:paraId="689DCFFB">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平均地价</w:t>
            </w:r>
          </w:p>
        </w:tc>
        <w:tc>
          <w:tcPr>
            <w:tcW w:w="1034" w:type="dxa"/>
            <w:noWrap w:val="0"/>
            <w:vAlign w:val="center"/>
          </w:tcPr>
          <w:p w14:paraId="2C791157">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参算样点数</w:t>
            </w:r>
          </w:p>
        </w:tc>
        <w:tc>
          <w:tcPr>
            <w:tcW w:w="1325" w:type="dxa"/>
            <w:noWrap w:val="0"/>
            <w:vAlign w:val="center"/>
          </w:tcPr>
          <w:p w14:paraId="66010120">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平均地价</w:t>
            </w:r>
          </w:p>
        </w:tc>
        <w:tc>
          <w:tcPr>
            <w:tcW w:w="1034" w:type="dxa"/>
            <w:noWrap w:val="0"/>
            <w:vAlign w:val="center"/>
          </w:tcPr>
          <w:p w14:paraId="1CF1E61C">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参算样点数</w:t>
            </w:r>
          </w:p>
        </w:tc>
        <w:tc>
          <w:tcPr>
            <w:tcW w:w="1289" w:type="dxa"/>
            <w:noWrap w:val="0"/>
            <w:vAlign w:val="center"/>
          </w:tcPr>
          <w:p w14:paraId="65821A06">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平均地价</w:t>
            </w:r>
          </w:p>
        </w:tc>
      </w:tr>
      <w:tr w14:paraId="5CDF0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restart"/>
            <w:noWrap w:val="0"/>
            <w:vAlign w:val="center"/>
          </w:tcPr>
          <w:p w14:paraId="36CA3678">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符离镇</w:t>
            </w:r>
          </w:p>
        </w:tc>
        <w:tc>
          <w:tcPr>
            <w:tcW w:w="1034" w:type="dxa"/>
            <w:noWrap w:val="0"/>
            <w:vAlign w:val="center"/>
          </w:tcPr>
          <w:p w14:paraId="7E1ACA51">
            <w:pPr>
              <w:jc w:val="center"/>
              <w:rPr>
                <w:color w:val="000000"/>
                <w:kern w:val="0"/>
                <w:szCs w:val="21"/>
              </w:rPr>
            </w:pPr>
            <w:r>
              <w:rPr>
                <w:color w:val="000000"/>
                <w:kern w:val="0"/>
                <w:szCs w:val="21"/>
              </w:rPr>
              <w:t>1</w:t>
            </w:r>
          </w:p>
        </w:tc>
        <w:tc>
          <w:tcPr>
            <w:tcW w:w="1034" w:type="dxa"/>
            <w:noWrap w:val="0"/>
            <w:vAlign w:val="center"/>
          </w:tcPr>
          <w:p w14:paraId="7C7E5BBE">
            <w:pPr>
              <w:jc w:val="center"/>
              <w:rPr>
                <w:color w:val="000000"/>
                <w:kern w:val="0"/>
                <w:szCs w:val="21"/>
              </w:rPr>
            </w:pPr>
            <w:r>
              <w:rPr>
                <w:color w:val="000000"/>
                <w:kern w:val="0"/>
                <w:szCs w:val="21"/>
              </w:rPr>
              <w:t>14</w:t>
            </w:r>
          </w:p>
        </w:tc>
        <w:tc>
          <w:tcPr>
            <w:tcW w:w="1289" w:type="dxa"/>
            <w:noWrap w:val="0"/>
            <w:vAlign w:val="center"/>
          </w:tcPr>
          <w:p w14:paraId="4FE1B864">
            <w:pPr>
              <w:jc w:val="center"/>
              <w:rPr>
                <w:color w:val="000000"/>
                <w:kern w:val="0"/>
                <w:szCs w:val="21"/>
              </w:rPr>
            </w:pPr>
            <w:r>
              <w:rPr>
                <w:color w:val="000000"/>
                <w:kern w:val="0"/>
                <w:szCs w:val="21"/>
              </w:rPr>
              <w:t>461</w:t>
            </w:r>
          </w:p>
        </w:tc>
        <w:tc>
          <w:tcPr>
            <w:tcW w:w="1034" w:type="dxa"/>
            <w:noWrap w:val="0"/>
            <w:vAlign w:val="center"/>
          </w:tcPr>
          <w:p w14:paraId="210EFB53">
            <w:pPr>
              <w:jc w:val="center"/>
              <w:rPr>
                <w:color w:val="000000"/>
                <w:kern w:val="0"/>
                <w:szCs w:val="21"/>
              </w:rPr>
            </w:pPr>
            <w:r>
              <w:rPr>
                <w:color w:val="000000"/>
                <w:kern w:val="0"/>
                <w:szCs w:val="21"/>
              </w:rPr>
              <w:t>14</w:t>
            </w:r>
          </w:p>
        </w:tc>
        <w:tc>
          <w:tcPr>
            <w:tcW w:w="1325" w:type="dxa"/>
            <w:noWrap w:val="0"/>
            <w:vAlign w:val="center"/>
          </w:tcPr>
          <w:p w14:paraId="5098B067">
            <w:pPr>
              <w:jc w:val="center"/>
              <w:rPr>
                <w:color w:val="000000"/>
                <w:kern w:val="0"/>
                <w:sz w:val="22"/>
                <w:szCs w:val="22"/>
              </w:rPr>
            </w:pPr>
            <w:r>
              <w:rPr>
                <w:color w:val="000000"/>
                <w:kern w:val="0"/>
                <w:sz w:val="22"/>
                <w:szCs w:val="22"/>
              </w:rPr>
              <w:t>456</w:t>
            </w:r>
          </w:p>
        </w:tc>
        <w:tc>
          <w:tcPr>
            <w:tcW w:w="1034" w:type="dxa"/>
            <w:noWrap w:val="0"/>
            <w:vAlign w:val="center"/>
          </w:tcPr>
          <w:p w14:paraId="3252B822">
            <w:pPr>
              <w:jc w:val="center"/>
              <w:rPr>
                <w:color w:val="000000"/>
                <w:kern w:val="0"/>
                <w:szCs w:val="21"/>
              </w:rPr>
            </w:pPr>
            <w:r>
              <w:rPr>
                <w:color w:val="000000"/>
                <w:kern w:val="0"/>
                <w:szCs w:val="21"/>
              </w:rPr>
              <w:t>14</w:t>
            </w:r>
          </w:p>
        </w:tc>
        <w:tc>
          <w:tcPr>
            <w:tcW w:w="1289" w:type="dxa"/>
            <w:noWrap w:val="0"/>
            <w:vAlign w:val="center"/>
          </w:tcPr>
          <w:p w14:paraId="091A86FE">
            <w:pPr>
              <w:jc w:val="center"/>
              <w:rPr>
                <w:color w:val="000000"/>
                <w:kern w:val="0"/>
                <w:szCs w:val="21"/>
              </w:rPr>
            </w:pPr>
            <w:r>
              <w:rPr>
                <w:color w:val="000000"/>
                <w:kern w:val="0"/>
                <w:szCs w:val="21"/>
              </w:rPr>
              <w:t>493</w:t>
            </w:r>
          </w:p>
        </w:tc>
      </w:tr>
      <w:tr w14:paraId="20731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27F191F6">
            <w:pPr>
              <w:rPr>
                <w:rFonts w:ascii="楷体_GB2312" w:hAnsi="宋体" w:eastAsia="楷体_GB2312" w:cs="宋体"/>
                <w:color w:val="000000"/>
                <w:kern w:val="0"/>
                <w:szCs w:val="21"/>
              </w:rPr>
            </w:pPr>
          </w:p>
        </w:tc>
        <w:tc>
          <w:tcPr>
            <w:tcW w:w="1034" w:type="dxa"/>
            <w:noWrap w:val="0"/>
            <w:vAlign w:val="center"/>
          </w:tcPr>
          <w:p w14:paraId="2D5C4B06">
            <w:pPr>
              <w:jc w:val="center"/>
              <w:rPr>
                <w:color w:val="000000"/>
                <w:kern w:val="0"/>
                <w:szCs w:val="21"/>
              </w:rPr>
            </w:pPr>
            <w:r>
              <w:rPr>
                <w:color w:val="000000"/>
                <w:kern w:val="0"/>
                <w:szCs w:val="21"/>
              </w:rPr>
              <w:t>2</w:t>
            </w:r>
          </w:p>
        </w:tc>
        <w:tc>
          <w:tcPr>
            <w:tcW w:w="1034" w:type="dxa"/>
            <w:noWrap w:val="0"/>
            <w:vAlign w:val="center"/>
          </w:tcPr>
          <w:p w14:paraId="598E25BF">
            <w:pPr>
              <w:jc w:val="center"/>
              <w:rPr>
                <w:color w:val="000000"/>
                <w:kern w:val="0"/>
                <w:szCs w:val="21"/>
              </w:rPr>
            </w:pPr>
            <w:r>
              <w:rPr>
                <w:color w:val="000000"/>
                <w:kern w:val="0"/>
                <w:szCs w:val="21"/>
              </w:rPr>
              <w:t>10</w:t>
            </w:r>
          </w:p>
        </w:tc>
        <w:tc>
          <w:tcPr>
            <w:tcW w:w="1289" w:type="dxa"/>
            <w:noWrap w:val="0"/>
            <w:vAlign w:val="center"/>
          </w:tcPr>
          <w:p w14:paraId="0DB6229A">
            <w:pPr>
              <w:jc w:val="center"/>
              <w:rPr>
                <w:color w:val="000000"/>
                <w:kern w:val="0"/>
                <w:szCs w:val="21"/>
              </w:rPr>
            </w:pPr>
            <w:r>
              <w:rPr>
                <w:color w:val="000000"/>
                <w:kern w:val="0"/>
                <w:szCs w:val="21"/>
              </w:rPr>
              <w:t>389</w:t>
            </w:r>
          </w:p>
        </w:tc>
        <w:tc>
          <w:tcPr>
            <w:tcW w:w="1034" w:type="dxa"/>
            <w:noWrap w:val="0"/>
            <w:vAlign w:val="center"/>
          </w:tcPr>
          <w:p w14:paraId="2CE7D89B">
            <w:pPr>
              <w:jc w:val="center"/>
              <w:rPr>
                <w:color w:val="000000"/>
                <w:kern w:val="0"/>
                <w:szCs w:val="21"/>
              </w:rPr>
            </w:pPr>
            <w:r>
              <w:rPr>
                <w:color w:val="000000"/>
                <w:kern w:val="0"/>
                <w:szCs w:val="21"/>
              </w:rPr>
              <w:t>10</w:t>
            </w:r>
          </w:p>
        </w:tc>
        <w:tc>
          <w:tcPr>
            <w:tcW w:w="1325" w:type="dxa"/>
            <w:noWrap w:val="0"/>
            <w:vAlign w:val="center"/>
          </w:tcPr>
          <w:p w14:paraId="6A8FE17B">
            <w:pPr>
              <w:jc w:val="center"/>
              <w:rPr>
                <w:color w:val="000000"/>
                <w:kern w:val="0"/>
                <w:sz w:val="22"/>
                <w:szCs w:val="22"/>
              </w:rPr>
            </w:pPr>
            <w:r>
              <w:rPr>
                <w:color w:val="000000"/>
                <w:kern w:val="0"/>
                <w:sz w:val="22"/>
                <w:szCs w:val="22"/>
              </w:rPr>
              <w:t>359</w:t>
            </w:r>
          </w:p>
        </w:tc>
        <w:tc>
          <w:tcPr>
            <w:tcW w:w="1034" w:type="dxa"/>
            <w:noWrap w:val="0"/>
            <w:vAlign w:val="center"/>
          </w:tcPr>
          <w:p w14:paraId="3D965E30">
            <w:pPr>
              <w:jc w:val="center"/>
              <w:rPr>
                <w:color w:val="000000"/>
                <w:kern w:val="0"/>
                <w:szCs w:val="21"/>
              </w:rPr>
            </w:pPr>
            <w:r>
              <w:rPr>
                <w:color w:val="000000"/>
                <w:kern w:val="0"/>
                <w:szCs w:val="21"/>
              </w:rPr>
              <w:t>10</w:t>
            </w:r>
          </w:p>
        </w:tc>
        <w:tc>
          <w:tcPr>
            <w:tcW w:w="1289" w:type="dxa"/>
            <w:noWrap w:val="0"/>
            <w:vAlign w:val="center"/>
          </w:tcPr>
          <w:p w14:paraId="725A507F">
            <w:pPr>
              <w:jc w:val="center"/>
              <w:rPr>
                <w:color w:val="000000"/>
                <w:kern w:val="0"/>
                <w:szCs w:val="21"/>
              </w:rPr>
            </w:pPr>
            <w:r>
              <w:rPr>
                <w:color w:val="000000"/>
                <w:kern w:val="0"/>
                <w:szCs w:val="21"/>
              </w:rPr>
              <w:t>362</w:t>
            </w:r>
          </w:p>
        </w:tc>
      </w:tr>
      <w:tr w14:paraId="3B505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30AE716C">
            <w:pPr>
              <w:rPr>
                <w:rFonts w:ascii="楷体_GB2312" w:hAnsi="宋体" w:eastAsia="楷体_GB2312" w:cs="宋体"/>
                <w:color w:val="000000"/>
                <w:kern w:val="0"/>
                <w:szCs w:val="21"/>
              </w:rPr>
            </w:pPr>
          </w:p>
        </w:tc>
        <w:tc>
          <w:tcPr>
            <w:tcW w:w="1034" w:type="dxa"/>
            <w:noWrap w:val="0"/>
            <w:vAlign w:val="center"/>
          </w:tcPr>
          <w:p w14:paraId="55797C38">
            <w:pPr>
              <w:jc w:val="center"/>
              <w:rPr>
                <w:color w:val="000000"/>
                <w:kern w:val="0"/>
                <w:szCs w:val="21"/>
              </w:rPr>
            </w:pPr>
            <w:r>
              <w:rPr>
                <w:color w:val="000000"/>
                <w:kern w:val="0"/>
                <w:szCs w:val="21"/>
              </w:rPr>
              <w:t>3</w:t>
            </w:r>
          </w:p>
        </w:tc>
        <w:tc>
          <w:tcPr>
            <w:tcW w:w="1034" w:type="dxa"/>
            <w:noWrap w:val="0"/>
            <w:vAlign w:val="center"/>
          </w:tcPr>
          <w:p w14:paraId="06AF8A41">
            <w:pPr>
              <w:jc w:val="center"/>
              <w:rPr>
                <w:color w:val="000000"/>
                <w:kern w:val="0"/>
                <w:szCs w:val="21"/>
              </w:rPr>
            </w:pPr>
            <w:r>
              <w:rPr>
                <w:color w:val="000000"/>
                <w:kern w:val="0"/>
                <w:szCs w:val="21"/>
              </w:rPr>
              <w:t>6</w:t>
            </w:r>
          </w:p>
        </w:tc>
        <w:tc>
          <w:tcPr>
            <w:tcW w:w="1289" w:type="dxa"/>
            <w:noWrap w:val="0"/>
            <w:vAlign w:val="center"/>
          </w:tcPr>
          <w:p w14:paraId="1C6AC886">
            <w:pPr>
              <w:jc w:val="center"/>
              <w:rPr>
                <w:color w:val="000000"/>
                <w:kern w:val="0"/>
                <w:szCs w:val="21"/>
              </w:rPr>
            </w:pPr>
            <w:r>
              <w:rPr>
                <w:color w:val="000000"/>
                <w:kern w:val="0"/>
                <w:szCs w:val="21"/>
              </w:rPr>
              <w:t>281</w:t>
            </w:r>
          </w:p>
        </w:tc>
        <w:tc>
          <w:tcPr>
            <w:tcW w:w="1034" w:type="dxa"/>
            <w:noWrap w:val="0"/>
            <w:vAlign w:val="center"/>
          </w:tcPr>
          <w:p w14:paraId="70AE6A7D">
            <w:pPr>
              <w:jc w:val="center"/>
              <w:rPr>
                <w:color w:val="000000"/>
                <w:kern w:val="0"/>
                <w:szCs w:val="21"/>
              </w:rPr>
            </w:pPr>
            <w:r>
              <w:rPr>
                <w:color w:val="000000"/>
                <w:kern w:val="0"/>
                <w:szCs w:val="21"/>
              </w:rPr>
              <w:t>6</w:t>
            </w:r>
          </w:p>
        </w:tc>
        <w:tc>
          <w:tcPr>
            <w:tcW w:w="1325" w:type="dxa"/>
            <w:noWrap w:val="0"/>
            <w:vAlign w:val="center"/>
          </w:tcPr>
          <w:p w14:paraId="7A8FEEA0">
            <w:pPr>
              <w:jc w:val="center"/>
              <w:rPr>
                <w:color w:val="000000"/>
                <w:kern w:val="0"/>
                <w:sz w:val="22"/>
                <w:szCs w:val="22"/>
              </w:rPr>
            </w:pPr>
            <w:r>
              <w:rPr>
                <w:color w:val="000000"/>
                <w:kern w:val="0"/>
                <w:sz w:val="22"/>
                <w:szCs w:val="22"/>
              </w:rPr>
              <w:t>302</w:t>
            </w:r>
          </w:p>
        </w:tc>
        <w:tc>
          <w:tcPr>
            <w:tcW w:w="1034" w:type="dxa"/>
            <w:noWrap w:val="0"/>
            <w:vAlign w:val="center"/>
          </w:tcPr>
          <w:p w14:paraId="7E1010D2">
            <w:pPr>
              <w:jc w:val="center"/>
              <w:rPr>
                <w:color w:val="000000"/>
                <w:kern w:val="0"/>
                <w:szCs w:val="21"/>
              </w:rPr>
            </w:pPr>
            <w:r>
              <w:rPr>
                <w:color w:val="000000"/>
                <w:kern w:val="0"/>
                <w:szCs w:val="21"/>
              </w:rPr>
              <w:t>6</w:t>
            </w:r>
          </w:p>
        </w:tc>
        <w:tc>
          <w:tcPr>
            <w:tcW w:w="1289" w:type="dxa"/>
            <w:noWrap w:val="0"/>
            <w:vAlign w:val="center"/>
          </w:tcPr>
          <w:p w14:paraId="1225E73C">
            <w:pPr>
              <w:jc w:val="center"/>
              <w:rPr>
                <w:color w:val="000000"/>
                <w:kern w:val="0"/>
                <w:szCs w:val="21"/>
              </w:rPr>
            </w:pPr>
            <w:r>
              <w:rPr>
                <w:color w:val="000000"/>
                <w:kern w:val="0"/>
                <w:szCs w:val="21"/>
              </w:rPr>
              <w:t>287</w:t>
            </w:r>
          </w:p>
        </w:tc>
      </w:tr>
      <w:tr w14:paraId="1456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restart"/>
            <w:noWrap w:val="0"/>
            <w:vAlign w:val="center"/>
          </w:tcPr>
          <w:p w14:paraId="418D63D1">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朱仙庄镇</w:t>
            </w:r>
          </w:p>
        </w:tc>
        <w:tc>
          <w:tcPr>
            <w:tcW w:w="1034" w:type="dxa"/>
            <w:noWrap w:val="0"/>
            <w:vAlign w:val="center"/>
          </w:tcPr>
          <w:p w14:paraId="0C212F4A">
            <w:pPr>
              <w:jc w:val="center"/>
              <w:rPr>
                <w:color w:val="000000"/>
                <w:kern w:val="0"/>
                <w:szCs w:val="21"/>
              </w:rPr>
            </w:pPr>
            <w:r>
              <w:rPr>
                <w:color w:val="000000"/>
                <w:kern w:val="0"/>
                <w:szCs w:val="21"/>
              </w:rPr>
              <w:t>1</w:t>
            </w:r>
          </w:p>
        </w:tc>
        <w:tc>
          <w:tcPr>
            <w:tcW w:w="1034" w:type="dxa"/>
            <w:noWrap w:val="0"/>
            <w:vAlign w:val="center"/>
          </w:tcPr>
          <w:p w14:paraId="64BB858E">
            <w:pPr>
              <w:jc w:val="center"/>
              <w:rPr>
                <w:color w:val="000000"/>
                <w:kern w:val="0"/>
                <w:szCs w:val="21"/>
              </w:rPr>
            </w:pPr>
            <w:r>
              <w:rPr>
                <w:color w:val="000000"/>
                <w:kern w:val="0"/>
                <w:szCs w:val="21"/>
              </w:rPr>
              <w:t>13</w:t>
            </w:r>
          </w:p>
        </w:tc>
        <w:tc>
          <w:tcPr>
            <w:tcW w:w="1289" w:type="dxa"/>
            <w:noWrap w:val="0"/>
            <w:vAlign w:val="center"/>
          </w:tcPr>
          <w:p w14:paraId="53150408">
            <w:pPr>
              <w:jc w:val="center"/>
              <w:rPr>
                <w:color w:val="000000"/>
                <w:kern w:val="0"/>
                <w:szCs w:val="21"/>
              </w:rPr>
            </w:pPr>
            <w:r>
              <w:rPr>
                <w:color w:val="000000"/>
                <w:kern w:val="0"/>
                <w:szCs w:val="21"/>
              </w:rPr>
              <w:t>432</w:t>
            </w:r>
          </w:p>
        </w:tc>
        <w:tc>
          <w:tcPr>
            <w:tcW w:w="1034" w:type="dxa"/>
            <w:noWrap w:val="0"/>
            <w:vAlign w:val="center"/>
          </w:tcPr>
          <w:p w14:paraId="4FB7C0C6">
            <w:pPr>
              <w:jc w:val="center"/>
              <w:rPr>
                <w:color w:val="000000"/>
                <w:kern w:val="0"/>
                <w:szCs w:val="21"/>
              </w:rPr>
            </w:pPr>
            <w:r>
              <w:rPr>
                <w:color w:val="000000"/>
                <w:kern w:val="0"/>
                <w:szCs w:val="21"/>
              </w:rPr>
              <w:t>13</w:t>
            </w:r>
          </w:p>
        </w:tc>
        <w:tc>
          <w:tcPr>
            <w:tcW w:w="1325" w:type="dxa"/>
            <w:noWrap w:val="0"/>
            <w:vAlign w:val="center"/>
          </w:tcPr>
          <w:p w14:paraId="7859E4DC">
            <w:pPr>
              <w:jc w:val="center"/>
              <w:rPr>
                <w:color w:val="000000"/>
                <w:kern w:val="0"/>
                <w:sz w:val="22"/>
                <w:szCs w:val="22"/>
              </w:rPr>
            </w:pPr>
            <w:r>
              <w:rPr>
                <w:color w:val="000000"/>
                <w:kern w:val="0"/>
                <w:sz w:val="22"/>
                <w:szCs w:val="22"/>
              </w:rPr>
              <w:t>432</w:t>
            </w:r>
          </w:p>
        </w:tc>
        <w:tc>
          <w:tcPr>
            <w:tcW w:w="1034" w:type="dxa"/>
            <w:noWrap w:val="0"/>
            <w:vAlign w:val="center"/>
          </w:tcPr>
          <w:p w14:paraId="2C66809A">
            <w:pPr>
              <w:jc w:val="center"/>
              <w:rPr>
                <w:color w:val="000000"/>
                <w:kern w:val="0"/>
                <w:szCs w:val="21"/>
              </w:rPr>
            </w:pPr>
            <w:r>
              <w:rPr>
                <w:color w:val="000000"/>
                <w:kern w:val="0"/>
                <w:szCs w:val="21"/>
              </w:rPr>
              <w:t>13</w:t>
            </w:r>
          </w:p>
        </w:tc>
        <w:tc>
          <w:tcPr>
            <w:tcW w:w="1289" w:type="dxa"/>
            <w:noWrap w:val="0"/>
            <w:vAlign w:val="center"/>
          </w:tcPr>
          <w:p w14:paraId="419553BC">
            <w:pPr>
              <w:jc w:val="center"/>
              <w:rPr>
                <w:color w:val="000000"/>
                <w:kern w:val="0"/>
                <w:szCs w:val="21"/>
              </w:rPr>
            </w:pPr>
            <w:r>
              <w:rPr>
                <w:color w:val="000000"/>
                <w:kern w:val="0"/>
                <w:szCs w:val="21"/>
              </w:rPr>
              <w:t>486</w:t>
            </w:r>
          </w:p>
        </w:tc>
      </w:tr>
      <w:tr w14:paraId="45427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283F8A35">
            <w:pPr>
              <w:rPr>
                <w:rFonts w:ascii="楷体_GB2312" w:hAnsi="宋体" w:eastAsia="楷体_GB2312" w:cs="宋体"/>
                <w:color w:val="000000"/>
                <w:kern w:val="0"/>
                <w:szCs w:val="21"/>
              </w:rPr>
            </w:pPr>
          </w:p>
        </w:tc>
        <w:tc>
          <w:tcPr>
            <w:tcW w:w="1034" w:type="dxa"/>
            <w:noWrap w:val="0"/>
            <w:vAlign w:val="center"/>
          </w:tcPr>
          <w:p w14:paraId="7C375423">
            <w:pPr>
              <w:jc w:val="center"/>
              <w:rPr>
                <w:color w:val="000000"/>
                <w:kern w:val="0"/>
                <w:szCs w:val="21"/>
              </w:rPr>
            </w:pPr>
            <w:r>
              <w:rPr>
                <w:color w:val="000000"/>
                <w:kern w:val="0"/>
                <w:szCs w:val="21"/>
              </w:rPr>
              <w:t>2</w:t>
            </w:r>
          </w:p>
        </w:tc>
        <w:tc>
          <w:tcPr>
            <w:tcW w:w="1034" w:type="dxa"/>
            <w:noWrap w:val="0"/>
            <w:vAlign w:val="center"/>
          </w:tcPr>
          <w:p w14:paraId="42D843FA">
            <w:pPr>
              <w:jc w:val="center"/>
              <w:rPr>
                <w:color w:val="000000"/>
                <w:kern w:val="0"/>
                <w:szCs w:val="21"/>
              </w:rPr>
            </w:pPr>
            <w:r>
              <w:rPr>
                <w:color w:val="000000"/>
                <w:kern w:val="0"/>
                <w:szCs w:val="21"/>
              </w:rPr>
              <w:t>11</w:t>
            </w:r>
          </w:p>
        </w:tc>
        <w:tc>
          <w:tcPr>
            <w:tcW w:w="1289" w:type="dxa"/>
            <w:noWrap w:val="0"/>
            <w:vAlign w:val="center"/>
          </w:tcPr>
          <w:p w14:paraId="22EF232D">
            <w:pPr>
              <w:jc w:val="center"/>
              <w:rPr>
                <w:color w:val="000000"/>
                <w:kern w:val="0"/>
                <w:szCs w:val="21"/>
              </w:rPr>
            </w:pPr>
            <w:r>
              <w:rPr>
                <w:color w:val="000000"/>
                <w:kern w:val="0"/>
                <w:szCs w:val="21"/>
              </w:rPr>
              <w:t>319</w:t>
            </w:r>
          </w:p>
        </w:tc>
        <w:tc>
          <w:tcPr>
            <w:tcW w:w="1034" w:type="dxa"/>
            <w:noWrap w:val="0"/>
            <w:vAlign w:val="center"/>
          </w:tcPr>
          <w:p w14:paraId="6F900055">
            <w:pPr>
              <w:jc w:val="center"/>
              <w:rPr>
                <w:color w:val="000000"/>
                <w:kern w:val="0"/>
                <w:szCs w:val="21"/>
              </w:rPr>
            </w:pPr>
            <w:r>
              <w:rPr>
                <w:color w:val="000000"/>
                <w:kern w:val="0"/>
                <w:szCs w:val="21"/>
              </w:rPr>
              <w:t>11</w:t>
            </w:r>
          </w:p>
        </w:tc>
        <w:tc>
          <w:tcPr>
            <w:tcW w:w="1325" w:type="dxa"/>
            <w:noWrap w:val="0"/>
            <w:vAlign w:val="center"/>
          </w:tcPr>
          <w:p w14:paraId="6988CA54">
            <w:pPr>
              <w:jc w:val="center"/>
              <w:rPr>
                <w:color w:val="000000"/>
                <w:kern w:val="0"/>
                <w:sz w:val="22"/>
                <w:szCs w:val="22"/>
              </w:rPr>
            </w:pPr>
            <w:r>
              <w:rPr>
                <w:color w:val="000000"/>
                <w:kern w:val="0"/>
                <w:sz w:val="22"/>
                <w:szCs w:val="22"/>
              </w:rPr>
              <w:t>319</w:t>
            </w:r>
          </w:p>
        </w:tc>
        <w:tc>
          <w:tcPr>
            <w:tcW w:w="1034" w:type="dxa"/>
            <w:noWrap w:val="0"/>
            <w:vAlign w:val="center"/>
          </w:tcPr>
          <w:p w14:paraId="7B222AD5">
            <w:pPr>
              <w:jc w:val="center"/>
              <w:rPr>
                <w:color w:val="000000"/>
                <w:kern w:val="0"/>
                <w:szCs w:val="21"/>
              </w:rPr>
            </w:pPr>
            <w:r>
              <w:rPr>
                <w:color w:val="000000"/>
                <w:kern w:val="0"/>
                <w:szCs w:val="21"/>
              </w:rPr>
              <w:t>11</w:t>
            </w:r>
          </w:p>
        </w:tc>
        <w:tc>
          <w:tcPr>
            <w:tcW w:w="1289" w:type="dxa"/>
            <w:noWrap w:val="0"/>
            <w:vAlign w:val="center"/>
          </w:tcPr>
          <w:p w14:paraId="2988C4DE">
            <w:pPr>
              <w:jc w:val="center"/>
              <w:rPr>
                <w:color w:val="000000"/>
                <w:kern w:val="0"/>
                <w:szCs w:val="21"/>
              </w:rPr>
            </w:pPr>
            <w:r>
              <w:rPr>
                <w:color w:val="000000"/>
                <w:kern w:val="0"/>
                <w:szCs w:val="21"/>
              </w:rPr>
              <w:t>337</w:t>
            </w:r>
          </w:p>
        </w:tc>
      </w:tr>
      <w:tr w14:paraId="1946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364DF6E7">
            <w:pPr>
              <w:rPr>
                <w:rFonts w:ascii="楷体_GB2312" w:hAnsi="宋体" w:eastAsia="楷体_GB2312" w:cs="宋体"/>
                <w:color w:val="000000"/>
                <w:kern w:val="0"/>
                <w:szCs w:val="21"/>
              </w:rPr>
            </w:pPr>
          </w:p>
        </w:tc>
        <w:tc>
          <w:tcPr>
            <w:tcW w:w="1034" w:type="dxa"/>
            <w:noWrap w:val="0"/>
            <w:vAlign w:val="center"/>
          </w:tcPr>
          <w:p w14:paraId="444167BB">
            <w:pPr>
              <w:jc w:val="center"/>
              <w:rPr>
                <w:color w:val="000000"/>
                <w:kern w:val="0"/>
                <w:szCs w:val="21"/>
              </w:rPr>
            </w:pPr>
            <w:r>
              <w:rPr>
                <w:color w:val="000000"/>
                <w:kern w:val="0"/>
                <w:szCs w:val="21"/>
              </w:rPr>
              <w:t>3</w:t>
            </w:r>
          </w:p>
        </w:tc>
        <w:tc>
          <w:tcPr>
            <w:tcW w:w="1034" w:type="dxa"/>
            <w:noWrap w:val="0"/>
            <w:vAlign w:val="center"/>
          </w:tcPr>
          <w:p w14:paraId="19890E94">
            <w:pPr>
              <w:jc w:val="center"/>
              <w:rPr>
                <w:color w:val="000000"/>
                <w:kern w:val="0"/>
                <w:szCs w:val="21"/>
              </w:rPr>
            </w:pPr>
            <w:r>
              <w:rPr>
                <w:color w:val="000000"/>
                <w:kern w:val="0"/>
                <w:szCs w:val="21"/>
              </w:rPr>
              <w:t>6</w:t>
            </w:r>
          </w:p>
        </w:tc>
        <w:tc>
          <w:tcPr>
            <w:tcW w:w="1289" w:type="dxa"/>
            <w:noWrap w:val="0"/>
            <w:vAlign w:val="center"/>
          </w:tcPr>
          <w:p w14:paraId="09CE9F26">
            <w:pPr>
              <w:jc w:val="center"/>
              <w:rPr>
                <w:color w:val="000000"/>
                <w:kern w:val="0"/>
                <w:szCs w:val="21"/>
              </w:rPr>
            </w:pPr>
            <w:r>
              <w:rPr>
                <w:color w:val="000000"/>
                <w:kern w:val="0"/>
                <w:szCs w:val="21"/>
              </w:rPr>
              <w:t>226</w:t>
            </w:r>
          </w:p>
        </w:tc>
        <w:tc>
          <w:tcPr>
            <w:tcW w:w="1034" w:type="dxa"/>
            <w:noWrap w:val="0"/>
            <w:vAlign w:val="center"/>
          </w:tcPr>
          <w:p w14:paraId="73D770D1">
            <w:pPr>
              <w:jc w:val="center"/>
              <w:rPr>
                <w:color w:val="000000"/>
                <w:kern w:val="0"/>
                <w:szCs w:val="21"/>
              </w:rPr>
            </w:pPr>
            <w:r>
              <w:rPr>
                <w:color w:val="000000"/>
                <w:kern w:val="0"/>
                <w:szCs w:val="21"/>
              </w:rPr>
              <w:t>6</w:t>
            </w:r>
          </w:p>
        </w:tc>
        <w:tc>
          <w:tcPr>
            <w:tcW w:w="1325" w:type="dxa"/>
            <w:noWrap w:val="0"/>
            <w:vAlign w:val="center"/>
          </w:tcPr>
          <w:p w14:paraId="3FD89332">
            <w:pPr>
              <w:jc w:val="center"/>
              <w:rPr>
                <w:color w:val="000000"/>
                <w:kern w:val="0"/>
                <w:sz w:val="22"/>
                <w:szCs w:val="22"/>
              </w:rPr>
            </w:pPr>
            <w:r>
              <w:rPr>
                <w:color w:val="000000"/>
                <w:kern w:val="0"/>
                <w:sz w:val="22"/>
                <w:szCs w:val="22"/>
              </w:rPr>
              <w:t>230</w:t>
            </w:r>
          </w:p>
        </w:tc>
        <w:tc>
          <w:tcPr>
            <w:tcW w:w="1034" w:type="dxa"/>
            <w:noWrap w:val="0"/>
            <w:vAlign w:val="center"/>
          </w:tcPr>
          <w:p w14:paraId="2B233C1D">
            <w:pPr>
              <w:jc w:val="center"/>
              <w:rPr>
                <w:color w:val="000000"/>
                <w:kern w:val="0"/>
                <w:szCs w:val="21"/>
              </w:rPr>
            </w:pPr>
            <w:r>
              <w:rPr>
                <w:color w:val="000000"/>
                <w:kern w:val="0"/>
                <w:szCs w:val="21"/>
              </w:rPr>
              <w:t>6</w:t>
            </w:r>
          </w:p>
        </w:tc>
        <w:tc>
          <w:tcPr>
            <w:tcW w:w="1289" w:type="dxa"/>
            <w:noWrap w:val="0"/>
            <w:vAlign w:val="center"/>
          </w:tcPr>
          <w:p w14:paraId="5A25323B">
            <w:pPr>
              <w:jc w:val="center"/>
              <w:rPr>
                <w:color w:val="000000"/>
                <w:kern w:val="0"/>
                <w:szCs w:val="21"/>
              </w:rPr>
            </w:pPr>
            <w:r>
              <w:rPr>
                <w:color w:val="000000"/>
                <w:kern w:val="0"/>
                <w:szCs w:val="21"/>
              </w:rPr>
              <w:t>249</w:t>
            </w:r>
          </w:p>
        </w:tc>
      </w:tr>
      <w:tr w14:paraId="38C8D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restart"/>
            <w:noWrap w:val="0"/>
            <w:vAlign w:val="center"/>
          </w:tcPr>
          <w:p w14:paraId="4A2B5507">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蕲县镇</w:t>
            </w:r>
          </w:p>
        </w:tc>
        <w:tc>
          <w:tcPr>
            <w:tcW w:w="1034" w:type="dxa"/>
            <w:noWrap w:val="0"/>
            <w:vAlign w:val="center"/>
          </w:tcPr>
          <w:p w14:paraId="02E092F7">
            <w:pPr>
              <w:jc w:val="center"/>
              <w:rPr>
                <w:color w:val="000000"/>
                <w:kern w:val="0"/>
                <w:szCs w:val="21"/>
              </w:rPr>
            </w:pPr>
            <w:r>
              <w:rPr>
                <w:color w:val="000000"/>
                <w:kern w:val="0"/>
                <w:szCs w:val="21"/>
              </w:rPr>
              <w:t>1</w:t>
            </w:r>
          </w:p>
        </w:tc>
        <w:tc>
          <w:tcPr>
            <w:tcW w:w="1034" w:type="dxa"/>
            <w:noWrap w:val="0"/>
            <w:vAlign w:val="center"/>
          </w:tcPr>
          <w:p w14:paraId="388487BF">
            <w:pPr>
              <w:jc w:val="center"/>
              <w:rPr>
                <w:color w:val="000000"/>
                <w:kern w:val="0"/>
                <w:szCs w:val="21"/>
              </w:rPr>
            </w:pPr>
            <w:r>
              <w:rPr>
                <w:color w:val="000000"/>
                <w:kern w:val="0"/>
                <w:szCs w:val="21"/>
              </w:rPr>
              <w:t>20</w:t>
            </w:r>
          </w:p>
        </w:tc>
        <w:tc>
          <w:tcPr>
            <w:tcW w:w="1289" w:type="dxa"/>
            <w:noWrap w:val="0"/>
            <w:vAlign w:val="center"/>
          </w:tcPr>
          <w:p w14:paraId="14A3DA16">
            <w:pPr>
              <w:jc w:val="center"/>
              <w:rPr>
                <w:color w:val="000000"/>
                <w:kern w:val="0"/>
                <w:szCs w:val="21"/>
              </w:rPr>
            </w:pPr>
            <w:r>
              <w:rPr>
                <w:color w:val="000000"/>
                <w:kern w:val="0"/>
                <w:szCs w:val="21"/>
              </w:rPr>
              <w:t>413</w:t>
            </w:r>
          </w:p>
        </w:tc>
        <w:tc>
          <w:tcPr>
            <w:tcW w:w="1034" w:type="dxa"/>
            <w:noWrap w:val="0"/>
            <w:vAlign w:val="center"/>
          </w:tcPr>
          <w:p w14:paraId="49864A1A">
            <w:pPr>
              <w:jc w:val="center"/>
              <w:rPr>
                <w:color w:val="000000"/>
                <w:kern w:val="0"/>
                <w:szCs w:val="21"/>
              </w:rPr>
            </w:pPr>
            <w:r>
              <w:rPr>
                <w:color w:val="000000"/>
                <w:kern w:val="0"/>
                <w:szCs w:val="21"/>
              </w:rPr>
              <w:t>20</w:t>
            </w:r>
          </w:p>
        </w:tc>
        <w:tc>
          <w:tcPr>
            <w:tcW w:w="1325" w:type="dxa"/>
            <w:noWrap w:val="0"/>
            <w:vAlign w:val="center"/>
          </w:tcPr>
          <w:p w14:paraId="0F6C98B7">
            <w:pPr>
              <w:jc w:val="center"/>
              <w:rPr>
                <w:color w:val="000000"/>
                <w:kern w:val="0"/>
                <w:sz w:val="22"/>
                <w:szCs w:val="22"/>
              </w:rPr>
            </w:pPr>
            <w:r>
              <w:rPr>
                <w:color w:val="000000"/>
                <w:kern w:val="0"/>
                <w:sz w:val="22"/>
                <w:szCs w:val="22"/>
              </w:rPr>
              <w:t>413</w:t>
            </w:r>
          </w:p>
        </w:tc>
        <w:tc>
          <w:tcPr>
            <w:tcW w:w="1034" w:type="dxa"/>
            <w:noWrap w:val="0"/>
            <w:vAlign w:val="center"/>
          </w:tcPr>
          <w:p w14:paraId="2A2F5EE4">
            <w:pPr>
              <w:jc w:val="center"/>
              <w:rPr>
                <w:color w:val="000000"/>
                <w:kern w:val="0"/>
                <w:szCs w:val="21"/>
              </w:rPr>
            </w:pPr>
            <w:r>
              <w:rPr>
                <w:color w:val="000000"/>
                <w:kern w:val="0"/>
                <w:szCs w:val="21"/>
              </w:rPr>
              <w:t>20</w:t>
            </w:r>
          </w:p>
        </w:tc>
        <w:tc>
          <w:tcPr>
            <w:tcW w:w="1289" w:type="dxa"/>
            <w:noWrap w:val="0"/>
            <w:vAlign w:val="center"/>
          </w:tcPr>
          <w:p w14:paraId="5BF8A3C2">
            <w:pPr>
              <w:jc w:val="center"/>
              <w:rPr>
                <w:color w:val="000000"/>
                <w:kern w:val="0"/>
                <w:szCs w:val="21"/>
              </w:rPr>
            </w:pPr>
            <w:r>
              <w:rPr>
                <w:color w:val="000000"/>
                <w:kern w:val="0"/>
                <w:szCs w:val="21"/>
              </w:rPr>
              <w:t>464</w:t>
            </w:r>
          </w:p>
        </w:tc>
      </w:tr>
      <w:tr w14:paraId="2F9E9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412F1CCD">
            <w:pPr>
              <w:rPr>
                <w:rFonts w:ascii="楷体_GB2312" w:hAnsi="宋体" w:eastAsia="楷体_GB2312" w:cs="宋体"/>
                <w:color w:val="000000"/>
                <w:kern w:val="0"/>
                <w:szCs w:val="21"/>
              </w:rPr>
            </w:pPr>
          </w:p>
        </w:tc>
        <w:tc>
          <w:tcPr>
            <w:tcW w:w="1034" w:type="dxa"/>
            <w:noWrap w:val="0"/>
            <w:vAlign w:val="center"/>
          </w:tcPr>
          <w:p w14:paraId="08E4E719">
            <w:pPr>
              <w:jc w:val="center"/>
              <w:rPr>
                <w:color w:val="000000"/>
                <w:kern w:val="0"/>
                <w:szCs w:val="21"/>
              </w:rPr>
            </w:pPr>
            <w:r>
              <w:rPr>
                <w:color w:val="000000"/>
                <w:kern w:val="0"/>
                <w:szCs w:val="21"/>
              </w:rPr>
              <w:t>2</w:t>
            </w:r>
          </w:p>
        </w:tc>
        <w:tc>
          <w:tcPr>
            <w:tcW w:w="1034" w:type="dxa"/>
            <w:noWrap w:val="0"/>
            <w:vAlign w:val="center"/>
          </w:tcPr>
          <w:p w14:paraId="3AC3D5AD">
            <w:pPr>
              <w:jc w:val="center"/>
              <w:rPr>
                <w:color w:val="000000"/>
                <w:kern w:val="0"/>
                <w:szCs w:val="21"/>
              </w:rPr>
            </w:pPr>
            <w:r>
              <w:rPr>
                <w:color w:val="000000"/>
                <w:kern w:val="0"/>
                <w:szCs w:val="21"/>
              </w:rPr>
              <w:t>9</w:t>
            </w:r>
          </w:p>
        </w:tc>
        <w:tc>
          <w:tcPr>
            <w:tcW w:w="1289" w:type="dxa"/>
            <w:noWrap w:val="0"/>
            <w:vAlign w:val="center"/>
          </w:tcPr>
          <w:p w14:paraId="5AB68BE0">
            <w:pPr>
              <w:jc w:val="center"/>
              <w:rPr>
                <w:color w:val="000000"/>
                <w:kern w:val="0"/>
                <w:szCs w:val="21"/>
              </w:rPr>
            </w:pPr>
            <w:r>
              <w:rPr>
                <w:color w:val="000000"/>
                <w:kern w:val="0"/>
                <w:szCs w:val="21"/>
              </w:rPr>
              <w:t>333</w:t>
            </w:r>
          </w:p>
        </w:tc>
        <w:tc>
          <w:tcPr>
            <w:tcW w:w="1034" w:type="dxa"/>
            <w:noWrap w:val="0"/>
            <w:vAlign w:val="center"/>
          </w:tcPr>
          <w:p w14:paraId="48F6AF7D">
            <w:pPr>
              <w:jc w:val="center"/>
              <w:rPr>
                <w:color w:val="000000"/>
                <w:kern w:val="0"/>
                <w:szCs w:val="21"/>
              </w:rPr>
            </w:pPr>
            <w:r>
              <w:rPr>
                <w:color w:val="000000"/>
                <w:kern w:val="0"/>
                <w:szCs w:val="21"/>
              </w:rPr>
              <w:t>9</w:t>
            </w:r>
          </w:p>
        </w:tc>
        <w:tc>
          <w:tcPr>
            <w:tcW w:w="1325" w:type="dxa"/>
            <w:noWrap w:val="0"/>
            <w:vAlign w:val="center"/>
          </w:tcPr>
          <w:p w14:paraId="4F9834B5">
            <w:pPr>
              <w:jc w:val="center"/>
              <w:rPr>
                <w:color w:val="000000"/>
                <w:kern w:val="0"/>
                <w:sz w:val="22"/>
                <w:szCs w:val="22"/>
              </w:rPr>
            </w:pPr>
            <w:r>
              <w:rPr>
                <w:color w:val="000000"/>
                <w:kern w:val="0"/>
                <w:sz w:val="22"/>
                <w:szCs w:val="22"/>
              </w:rPr>
              <w:t>326</w:t>
            </w:r>
          </w:p>
        </w:tc>
        <w:tc>
          <w:tcPr>
            <w:tcW w:w="1034" w:type="dxa"/>
            <w:noWrap w:val="0"/>
            <w:vAlign w:val="center"/>
          </w:tcPr>
          <w:p w14:paraId="2FEE12FC">
            <w:pPr>
              <w:jc w:val="center"/>
              <w:rPr>
                <w:color w:val="000000"/>
                <w:kern w:val="0"/>
                <w:szCs w:val="21"/>
              </w:rPr>
            </w:pPr>
            <w:r>
              <w:rPr>
                <w:color w:val="000000"/>
                <w:kern w:val="0"/>
                <w:szCs w:val="21"/>
              </w:rPr>
              <w:t>9</w:t>
            </w:r>
          </w:p>
        </w:tc>
        <w:tc>
          <w:tcPr>
            <w:tcW w:w="1289" w:type="dxa"/>
            <w:noWrap w:val="0"/>
            <w:vAlign w:val="center"/>
          </w:tcPr>
          <w:p w14:paraId="5B8EB6C2">
            <w:pPr>
              <w:jc w:val="center"/>
              <w:rPr>
                <w:color w:val="000000"/>
                <w:kern w:val="0"/>
                <w:szCs w:val="21"/>
              </w:rPr>
            </w:pPr>
            <w:r>
              <w:rPr>
                <w:color w:val="000000"/>
                <w:kern w:val="0"/>
                <w:szCs w:val="21"/>
              </w:rPr>
              <w:t>301</w:t>
            </w:r>
          </w:p>
        </w:tc>
      </w:tr>
      <w:tr w14:paraId="022C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4470174F">
            <w:pPr>
              <w:rPr>
                <w:rFonts w:ascii="楷体_GB2312" w:hAnsi="宋体" w:eastAsia="楷体_GB2312" w:cs="宋体"/>
                <w:color w:val="000000"/>
                <w:kern w:val="0"/>
                <w:szCs w:val="21"/>
              </w:rPr>
            </w:pPr>
          </w:p>
        </w:tc>
        <w:tc>
          <w:tcPr>
            <w:tcW w:w="1034" w:type="dxa"/>
            <w:noWrap w:val="0"/>
            <w:vAlign w:val="center"/>
          </w:tcPr>
          <w:p w14:paraId="77E5D536">
            <w:pPr>
              <w:jc w:val="center"/>
              <w:rPr>
                <w:color w:val="000000"/>
                <w:kern w:val="0"/>
                <w:szCs w:val="21"/>
              </w:rPr>
            </w:pPr>
            <w:r>
              <w:rPr>
                <w:color w:val="000000"/>
                <w:kern w:val="0"/>
                <w:szCs w:val="21"/>
              </w:rPr>
              <w:t>3</w:t>
            </w:r>
          </w:p>
        </w:tc>
        <w:tc>
          <w:tcPr>
            <w:tcW w:w="1034" w:type="dxa"/>
            <w:noWrap w:val="0"/>
            <w:vAlign w:val="center"/>
          </w:tcPr>
          <w:p w14:paraId="20DC2F91">
            <w:pPr>
              <w:jc w:val="center"/>
              <w:rPr>
                <w:color w:val="000000"/>
                <w:kern w:val="0"/>
                <w:szCs w:val="21"/>
              </w:rPr>
            </w:pPr>
            <w:r>
              <w:rPr>
                <w:color w:val="000000"/>
                <w:kern w:val="0"/>
                <w:szCs w:val="21"/>
              </w:rPr>
              <w:t>1</w:t>
            </w:r>
          </w:p>
        </w:tc>
        <w:tc>
          <w:tcPr>
            <w:tcW w:w="1289" w:type="dxa"/>
            <w:noWrap w:val="0"/>
            <w:vAlign w:val="center"/>
          </w:tcPr>
          <w:p w14:paraId="54E0DF0D">
            <w:pPr>
              <w:jc w:val="center"/>
              <w:rPr>
                <w:color w:val="000000"/>
                <w:kern w:val="0"/>
                <w:szCs w:val="21"/>
              </w:rPr>
            </w:pPr>
            <w:r>
              <w:rPr>
                <w:color w:val="000000"/>
                <w:kern w:val="0"/>
                <w:szCs w:val="21"/>
              </w:rPr>
              <w:t>235</w:t>
            </w:r>
          </w:p>
        </w:tc>
        <w:tc>
          <w:tcPr>
            <w:tcW w:w="1034" w:type="dxa"/>
            <w:noWrap w:val="0"/>
            <w:vAlign w:val="center"/>
          </w:tcPr>
          <w:p w14:paraId="2E0336CC">
            <w:pPr>
              <w:jc w:val="center"/>
              <w:rPr>
                <w:color w:val="000000"/>
                <w:kern w:val="0"/>
                <w:szCs w:val="21"/>
              </w:rPr>
            </w:pPr>
            <w:r>
              <w:rPr>
                <w:color w:val="000000"/>
                <w:kern w:val="0"/>
                <w:szCs w:val="21"/>
              </w:rPr>
              <w:t>1</w:t>
            </w:r>
          </w:p>
        </w:tc>
        <w:tc>
          <w:tcPr>
            <w:tcW w:w="1325" w:type="dxa"/>
            <w:noWrap w:val="0"/>
            <w:vAlign w:val="center"/>
          </w:tcPr>
          <w:p w14:paraId="120EAF60">
            <w:pPr>
              <w:jc w:val="center"/>
              <w:rPr>
                <w:color w:val="000000"/>
                <w:kern w:val="0"/>
                <w:sz w:val="22"/>
                <w:szCs w:val="22"/>
              </w:rPr>
            </w:pPr>
            <w:r>
              <w:rPr>
                <w:color w:val="000000"/>
                <w:kern w:val="0"/>
                <w:sz w:val="22"/>
                <w:szCs w:val="22"/>
              </w:rPr>
              <w:t>244</w:t>
            </w:r>
          </w:p>
        </w:tc>
        <w:tc>
          <w:tcPr>
            <w:tcW w:w="1034" w:type="dxa"/>
            <w:noWrap w:val="0"/>
            <w:vAlign w:val="center"/>
          </w:tcPr>
          <w:p w14:paraId="591DCF90">
            <w:pPr>
              <w:jc w:val="center"/>
              <w:rPr>
                <w:color w:val="000000"/>
                <w:kern w:val="0"/>
                <w:szCs w:val="21"/>
              </w:rPr>
            </w:pPr>
            <w:r>
              <w:rPr>
                <w:color w:val="000000"/>
                <w:kern w:val="0"/>
                <w:szCs w:val="21"/>
              </w:rPr>
              <w:t>1</w:t>
            </w:r>
          </w:p>
        </w:tc>
        <w:tc>
          <w:tcPr>
            <w:tcW w:w="1289" w:type="dxa"/>
            <w:noWrap w:val="0"/>
            <w:vAlign w:val="center"/>
          </w:tcPr>
          <w:p w14:paraId="6D983D66">
            <w:pPr>
              <w:jc w:val="center"/>
              <w:rPr>
                <w:color w:val="000000"/>
                <w:kern w:val="0"/>
                <w:szCs w:val="21"/>
              </w:rPr>
            </w:pPr>
            <w:r>
              <w:rPr>
                <w:color w:val="000000"/>
                <w:kern w:val="0"/>
                <w:szCs w:val="21"/>
              </w:rPr>
              <w:t>226</w:t>
            </w:r>
          </w:p>
        </w:tc>
      </w:tr>
      <w:tr w14:paraId="7614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restart"/>
            <w:noWrap w:val="0"/>
            <w:vAlign w:val="center"/>
          </w:tcPr>
          <w:p w14:paraId="39614C0C">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芦岭镇</w:t>
            </w:r>
          </w:p>
        </w:tc>
        <w:tc>
          <w:tcPr>
            <w:tcW w:w="1034" w:type="dxa"/>
            <w:noWrap w:val="0"/>
            <w:vAlign w:val="center"/>
          </w:tcPr>
          <w:p w14:paraId="4A631DB5">
            <w:pPr>
              <w:jc w:val="center"/>
              <w:rPr>
                <w:color w:val="000000"/>
                <w:kern w:val="0"/>
                <w:szCs w:val="21"/>
              </w:rPr>
            </w:pPr>
            <w:r>
              <w:rPr>
                <w:color w:val="000000"/>
                <w:kern w:val="0"/>
                <w:szCs w:val="21"/>
              </w:rPr>
              <w:t>1</w:t>
            </w:r>
          </w:p>
        </w:tc>
        <w:tc>
          <w:tcPr>
            <w:tcW w:w="1034" w:type="dxa"/>
            <w:noWrap w:val="0"/>
            <w:vAlign w:val="center"/>
          </w:tcPr>
          <w:p w14:paraId="6CD28F5B">
            <w:pPr>
              <w:jc w:val="center"/>
              <w:rPr>
                <w:color w:val="000000"/>
                <w:kern w:val="0"/>
                <w:szCs w:val="21"/>
              </w:rPr>
            </w:pPr>
            <w:r>
              <w:rPr>
                <w:color w:val="000000"/>
                <w:kern w:val="0"/>
                <w:szCs w:val="21"/>
              </w:rPr>
              <w:t>15</w:t>
            </w:r>
          </w:p>
        </w:tc>
        <w:tc>
          <w:tcPr>
            <w:tcW w:w="1289" w:type="dxa"/>
            <w:noWrap w:val="0"/>
            <w:vAlign w:val="center"/>
          </w:tcPr>
          <w:p w14:paraId="696251CC">
            <w:pPr>
              <w:jc w:val="center"/>
              <w:rPr>
                <w:color w:val="000000"/>
                <w:kern w:val="0"/>
                <w:szCs w:val="21"/>
              </w:rPr>
            </w:pPr>
            <w:r>
              <w:rPr>
                <w:color w:val="000000"/>
                <w:kern w:val="0"/>
                <w:szCs w:val="21"/>
              </w:rPr>
              <w:t>414</w:t>
            </w:r>
          </w:p>
        </w:tc>
        <w:tc>
          <w:tcPr>
            <w:tcW w:w="1034" w:type="dxa"/>
            <w:noWrap w:val="0"/>
            <w:vAlign w:val="center"/>
          </w:tcPr>
          <w:p w14:paraId="10717D17">
            <w:pPr>
              <w:jc w:val="center"/>
              <w:rPr>
                <w:color w:val="000000"/>
                <w:kern w:val="0"/>
                <w:szCs w:val="21"/>
              </w:rPr>
            </w:pPr>
            <w:r>
              <w:rPr>
                <w:color w:val="000000"/>
                <w:kern w:val="0"/>
                <w:szCs w:val="21"/>
              </w:rPr>
              <w:t>15</w:t>
            </w:r>
          </w:p>
        </w:tc>
        <w:tc>
          <w:tcPr>
            <w:tcW w:w="1325" w:type="dxa"/>
            <w:noWrap w:val="0"/>
            <w:vAlign w:val="center"/>
          </w:tcPr>
          <w:p w14:paraId="4936F86D">
            <w:pPr>
              <w:jc w:val="center"/>
              <w:rPr>
                <w:color w:val="000000"/>
                <w:kern w:val="0"/>
                <w:sz w:val="22"/>
                <w:szCs w:val="22"/>
              </w:rPr>
            </w:pPr>
            <w:r>
              <w:rPr>
                <w:color w:val="000000"/>
                <w:kern w:val="0"/>
                <w:sz w:val="22"/>
                <w:szCs w:val="22"/>
              </w:rPr>
              <w:t>398</w:t>
            </w:r>
          </w:p>
        </w:tc>
        <w:tc>
          <w:tcPr>
            <w:tcW w:w="1034" w:type="dxa"/>
            <w:noWrap w:val="0"/>
            <w:vAlign w:val="center"/>
          </w:tcPr>
          <w:p w14:paraId="4ED5D79A">
            <w:pPr>
              <w:jc w:val="center"/>
              <w:rPr>
                <w:color w:val="000000"/>
                <w:kern w:val="0"/>
                <w:szCs w:val="21"/>
              </w:rPr>
            </w:pPr>
            <w:r>
              <w:rPr>
                <w:color w:val="000000"/>
                <w:kern w:val="0"/>
                <w:szCs w:val="21"/>
              </w:rPr>
              <w:t>15</w:t>
            </w:r>
          </w:p>
        </w:tc>
        <w:tc>
          <w:tcPr>
            <w:tcW w:w="1289" w:type="dxa"/>
            <w:noWrap w:val="0"/>
            <w:vAlign w:val="center"/>
          </w:tcPr>
          <w:p w14:paraId="3BE33B4A">
            <w:pPr>
              <w:jc w:val="center"/>
              <w:rPr>
                <w:color w:val="000000"/>
                <w:kern w:val="0"/>
                <w:szCs w:val="21"/>
              </w:rPr>
            </w:pPr>
            <w:r>
              <w:rPr>
                <w:color w:val="000000"/>
                <w:kern w:val="0"/>
                <w:szCs w:val="21"/>
              </w:rPr>
              <w:t>418</w:t>
            </w:r>
          </w:p>
        </w:tc>
      </w:tr>
      <w:tr w14:paraId="423A1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6E07E6CA">
            <w:pPr>
              <w:rPr>
                <w:rFonts w:ascii="楷体_GB2312" w:hAnsi="宋体" w:eastAsia="楷体_GB2312" w:cs="宋体"/>
                <w:color w:val="000000"/>
                <w:kern w:val="0"/>
                <w:szCs w:val="21"/>
              </w:rPr>
            </w:pPr>
          </w:p>
        </w:tc>
        <w:tc>
          <w:tcPr>
            <w:tcW w:w="1034" w:type="dxa"/>
            <w:noWrap w:val="0"/>
            <w:vAlign w:val="center"/>
          </w:tcPr>
          <w:p w14:paraId="3AD420BA">
            <w:pPr>
              <w:jc w:val="center"/>
              <w:rPr>
                <w:color w:val="000000"/>
                <w:kern w:val="0"/>
                <w:szCs w:val="21"/>
              </w:rPr>
            </w:pPr>
            <w:r>
              <w:rPr>
                <w:color w:val="000000"/>
                <w:kern w:val="0"/>
                <w:szCs w:val="21"/>
              </w:rPr>
              <w:t>2</w:t>
            </w:r>
          </w:p>
        </w:tc>
        <w:tc>
          <w:tcPr>
            <w:tcW w:w="1034" w:type="dxa"/>
            <w:noWrap w:val="0"/>
            <w:vAlign w:val="center"/>
          </w:tcPr>
          <w:p w14:paraId="066B73FF">
            <w:pPr>
              <w:jc w:val="center"/>
              <w:rPr>
                <w:color w:val="000000"/>
                <w:kern w:val="0"/>
                <w:szCs w:val="21"/>
              </w:rPr>
            </w:pPr>
            <w:r>
              <w:rPr>
                <w:color w:val="000000"/>
                <w:kern w:val="0"/>
                <w:szCs w:val="21"/>
              </w:rPr>
              <w:t>10</w:t>
            </w:r>
          </w:p>
        </w:tc>
        <w:tc>
          <w:tcPr>
            <w:tcW w:w="1289" w:type="dxa"/>
            <w:noWrap w:val="0"/>
            <w:vAlign w:val="center"/>
          </w:tcPr>
          <w:p w14:paraId="78B16A0E">
            <w:pPr>
              <w:jc w:val="center"/>
              <w:rPr>
                <w:color w:val="000000"/>
                <w:kern w:val="0"/>
                <w:szCs w:val="21"/>
              </w:rPr>
            </w:pPr>
            <w:r>
              <w:rPr>
                <w:color w:val="000000"/>
                <w:kern w:val="0"/>
                <w:szCs w:val="21"/>
              </w:rPr>
              <w:t>296</w:t>
            </w:r>
          </w:p>
        </w:tc>
        <w:tc>
          <w:tcPr>
            <w:tcW w:w="1034" w:type="dxa"/>
            <w:noWrap w:val="0"/>
            <w:vAlign w:val="center"/>
          </w:tcPr>
          <w:p w14:paraId="72D974C9">
            <w:pPr>
              <w:jc w:val="center"/>
              <w:rPr>
                <w:color w:val="000000"/>
                <w:kern w:val="0"/>
                <w:szCs w:val="21"/>
              </w:rPr>
            </w:pPr>
            <w:r>
              <w:rPr>
                <w:color w:val="000000"/>
                <w:kern w:val="0"/>
                <w:szCs w:val="21"/>
              </w:rPr>
              <w:t>10</w:t>
            </w:r>
          </w:p>
        </w:tc>
        <w:tc>
          <w:tcPr>
            <w:tcW w:w="1325" w:type="dxa"/>
            <w:noWrap w:val="0"/>
            <w:vAlign w:val="center"/>
          </w:tcPr>
          <w:p w14:paraId="1ECDCDC0">
            <w:pPr>
              <w:jc w:val="center"/>
              <w:rPr>
                <w:color w:val="000000"/>
                <w:kern w:val="0"/>
                <w:sz w:val="22"/>
                <w:szCs w:val="22"/>
              </w:rPr>
            </w:pPr>
            <w:r>
              <w:rPr>
                <w:color w:val="000000"/>
                <w:kern w:val="0"/>
                <w:sz w:val="22"/>
                <w:szCs w:val="22"/>
              </w:rPr>
              <w:t>290</w:t>
            </w:r>
          </w:p>
        </w:tc>
        <w:tc>
          <w:tcPr>
            <w:tcW w:w="1034" w:type="dxa"/>
            <w:noWrap w:val="0"/>
            <w:vAlign w:val="center"/>
          </w:tcPr>
          <w:p w14:paraId="76480938">
            <w:pPr>
              <w:jc w:val="center"/>
              <w:rPr>
                <w:color w:val="000000"/>
                <w:kern w:val="0"/>
                <w:szCs w:val="21"/>
              </w:rPr>
            </w:pPr>
            <w:r>
              <w:rPr>
                <w:color w:val="000000"/>
                <w:kern w:val="0"/>
                <w:szCs w:val="21"/>
              </w:rPr>
              <w:t>10</w:t>
            </w:r>
          </w:p>
        </w:tc>
        <w:tc>
          <w:tcPr>
            <w:tcW w:w="1289" w:type="dxa"/>
            <w:noWrap w:val="0"/>
            <w:vAlign w:val="center"/>
          </w:tcPr>
          <w:p w14:paraId="3E61AD07">
            <w:pPr>
              <w:jc w:val="center"/>
              <w:rPr>
                <w:color w:val="000000"/>
                <w:kern w:val="0"/>
                <w:szCs w:val="21"/>
              </w:rPr>
            </w:pPr>
            <w:r>
              <w:rPr>
                <w:color w:val="000000"/>
                <w:kern w:val="0"/>
                <w:szCs w:val="21"/>
              </w:rPr>
              <w:t>329</w:t>
            </w:r>
          </w:p>
        </w:tc>
      </w:tr>
      <w:tr w14:paraId="1B933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0CEBB147">
            <w:pPr>
              <w:rPr>
                <w:rFonts w:ascii="楷体_GB2312" w:hAnsi="宋体" w:eastAsia="楷体_GB2312" w:cs="宋体"/>
                <w:color w:val="000000"/>
                <w:kern w:val="0"/>
                <w:szCs w:val="21"/>
              </w:rPr>
            </w:pPr>
          </w:p>
        </w:tc>
        <w:tc>
          <w:tcPr>
            <w:tcW w:w="1034" w:type="dxa"/>
            <w:noWrap w:val="0"/>
            <w:vAlign w:val="center"/>
          </w:tcPr>
          <w:p w14:paraId="6C0354DA">
            <w:pPr>
              <w:jc w:val="center"/>
              <w:rPr>
                <w:color w:val="000000"/>
                <w:kern w:val="0"/>
                <w:szCs w:val="21"/>
              </w:rPr>
            </w:pPr>
            <w:r>
              <w:rPr>
                <w:color w:val="000000"/>
                <w:kern w:val="0"/>
                <w:szCs w:val="21"/>
              </w:rPr>
              <w:t>3</w:t>
            </w:r>
          </w:p>
        </w:tc>
        <w:tc>
          <w:tcPr>
            <w:tcW w:w="1034" w:type="dxa"/>
            <w:noWrap w:val="0"/>
            <w:vAlign w:val="center"/>
          </w:tcPr>
          <w:p w14:paraId="036722B1">
            <w:pPr>
              <w:jc w:val="center"/>
              <w:rPr>
                <w:color w:val="000000"/>
                <w:kern w:val="0"/>
                <w:szCs w:val="21"/>
              </w:rPr>
            </w:pPr>
            <w:r>
              <w:rPr>
                <w:color w:val="000000"/>
                <w:kern w:val="0"/>
                <w:szCs w:val="21"/>
              </w:rPr>
              <w:t>5</w:t>
            </w:r>
          </w:p>
        </w:tc>
        <w:tc>
          <w:tcPr>
            <w:tcW w:w="1289" w:type="dxa"/>
            <w:noWrap w:val="0"/>
            <w:vAlign w:val="center"/>
          </w:tcPr>
          <w:p w14:paraId="34535919">
            <w:pPr>
              <w:jc w:val="center"/>
              <w:rPr>
                <w:color w:val="000000"/>
                <w:kern w:val="0"/>
                <w:szCs w:val="21"/>
              </w:rPr>
            </w:pPr>
            <w:r>
              <w:rPr>
                <w:color w:val="000000"/>
                <w:kern w:val="0"/>
                <w:szCs w:val="21"/>
              </w:rPr>
              <w:t>227</w:t>
            </w:r>
          </w:p>
        </w:tc>
        <w:tc>
          <w:tcPr>
            <w:tcW w:w="1034" w:type="dxa"/>
            <w:noWrap w:val="0"/>
            <w:vAlign w:val="center"/>
          </w:tcPr>
          <w:p w14:paraId="01E7A2B2">
            <w:pPr>
              <w:jc w:val="center"/>
              <w:rPr>
                <w:color w:val="000000"/>
                <w:kern w:val="0"/>
                <w:szCs w:val="21"/>
              </w:rPr>
            </w:pPr>
            <w:r>
              <w:rPr>
                <w:color w:val="000000"/>
                <w:kern w:val="0"/>
                <w:szCs w:val="21"/>
              </w:rPr>
              <w:t>5</w:t>
            </w:r>
          </w:p>
        </w:tc>
        <w:tc>
          <w:tcPr>
            <w:tcW w:w="1325" w:type="dxa"/>
            <w:noWrap w:val="0"/>
            <w:vAlign w:val="center"/>
          </w:tcPr>
          <w:p w14:paraId="4D7094CA">
            <w:pPr>
              <w:jc w:val="center"/>
              <w:rPr>
                <w:color w:val="000000"/>
                <w:kern w:val="0"/>
                <w:sz w:val="22"/>
                <w:szCs w:val="22"/>
              </w:rPr>
            </w:pPr>
            <w:r>
              <w:rPr>
                <w:color w:val="000000"/>
                <w:kern w:val="0"/>
                <w:sz w:val="22"/>
                <w:szCs w:val="22"/>
              </w:rPr>
              <w:t>223</w:t>
            </w:r>
          </w:p>
        </w:tc>
        <w:tc>
          <w:tcPr>
            <w:tcW w:w="1034" w:type="dxa"/>
            <w:noWrap w:val="0"/>
            <w:vAlign w:val="center"/>
          </w:tcPr>
          <w:p w14:paraId="37F9ABFD">
            <w:pPr>
              <w:jc w:val="center"/>
              <w:rPr>
                <w:color w:val="000000"/>
                <w:kern w:val="0"/>
                <w:szCs w:val="21"/>
              </w:rPr>
            </w:pPr>
            <w:r>
              <w:rPr>
                <w:color w:val="000000"/>
                <w:kern w:val="0"/>
                <w:szCs w:val="21"/>
              </w:rPr>
              <w:t>5</w:t>
            </w:r>
          </w:p>
        </w:tc>
        <w:tc>
          <w:tcPr>
            <w:tcW w:w="1289" w:type="dxa"/>
            <w:noWrap w:val="0"/>
            <w:vAlign w:val="center"/>
          </w:tcPr>
          <w:p w14:paraId="6F277DFE">
            <w:pPr>
              <w:jc w:val="center"/>
              <w:rPr>
                <w:color w:val="000000"/>
                <w:kern w:val="0"/>
                <w:szCs w:val="21"/>
              </w:rPr>
            </w:pPr>
            <w:r>
              <w:rPr>
                <w:color w:val="000000"/>
                <w:kern w:val="0"/>
                <w:szCs w:val="21"/>
              </w:rPr>
              <w:t>225</w:t>
            </w:r>
          </w:p>
        </w:tc>
      </w:tr>
      <w:tr w14:paraId="2588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restart"/>
            <w:noWrap w:val="0"/>
            <w:vAlign w:val="center"/>
          </w:tcPr>
          <w:p w14:paraId="15EBEF8A">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大店镇</w:t>
            </w:r>
          </w:p>
        </w:tc>
        <w:tc>
          <w:tcPr>
            <w:tcW w:w="1034" w:type="dxa"/>
            <w:noWrap w:val="0"/>
            <w:vAlign w:val="center"/>
          </w:tcPr>
          <w:p w14:paraId="1A494F96">
            <w:pPr>
              <w:jc w:val="center"/>
              <w:rPr>
                <w:color w:val="000000"/>
                <w:kern w:val="0"/>
                <w:szCs w:val="21"/>
              </w:rPr>
            </w:pPr>
            <w:r>
              <w:rPr>
                <w:color w:val="000000"/>
                <w:kern w:val="0"/>
                <w:szCs w:val="21"/>
              </w:rPr>
              <w:t>1</w:t>
            </w:r>
          </w:p>
        </w:tc>
        <w:tc>
          <w:tcPr>
            <w:tcW w:w="1034" w:type="dxa"/>
            <w:noWrap w:val="0"/>
            <w:vAlign w:val="center"/>
          </w:tcPr>
          <w:p w14:paraId="75BFDED7">
            <w:pPr>
              <w:jc w:val="center"/>
              <w:rPr>
                <w:color w:val="000000"/>
                <w:kern w:val="0"/>
                <w:szCs w:val="21"/>
              </w:rPr>
            </w:pPr>
            <w:r>
              <w:rPr>
                <w:color w:val="000000"/>
                <w:kern w:val="0"/>
                <w:szCs w:val="21"/>
              </w:rPr>
              <w:t>16</w:t>
            </w:r>
          </w:p>
        </w:tc>
        <w:tc>
          <w:tcPr>
            <w:tcW w:w="1289" w:type="dxa"/>
            <w:noWrap w:val="0"/>
            <w:vAlign w:val="center"/>
          </w:tcPr>
          <w:p w14:paraId="17A523CB">
            <w:pPr>
              <w:jc w:val="center"/>
              <w:rPr>
                <w:color w:val="000000"/>
                <w:kern w:val="0"/>
                <w:szCs w:val="21"/>
              </w:rPr>
            </w:pPr>
            <w:r>
              <w:rPr>
                <w:color w:val="000000"/>
                <w:kern w:val="0"/>
                <w:szCs w:val="21"/>
              </w:rPr>
              <w:t>392</w:t>
            </w:r>
          </w:p>
        </w:tc>
        <w:tc>
          <w:tcPr>
            <w:tcW w:w="1034" w:type="dxa"/>
            <w:noWrap w:val="0"/>
            <w:vAlign w:val="center"/>
          </w:tcPr>
          <w:p w14:paraId="5213A405">
            <w:pPr>
              <w:jc w:val="center"/>
              <w:rPr>
                <w:color w:val="000000"/>
                <w:kern w:val="0"/>
                <w:szCs w:val="21"/>
              </w:rPr>
            </w:pPr>
            <w:r>
              <w:rPr>
                <w:color w:val="000000"/>
                <w:kern w:val="0"/>
                <w:szCs w:val="21"/>
              </w:rPr>
              <w:t>16</w:t>
            </w:r>
          </w:p>
        </w:tc>
        <w:tc>
          <w:tcPr>
            <w:tcW w:w="1325" w:type="dxa"/>
            <w:noWrap w:val="0"/>
            <w:vAlign w:val="center"/>
          </w:tcPr>
          <w:p w14:paraId="3843A717">
            <w:pPr>
              <w:jc w:val="center"/>
              <w:rPr>
                <w:color w:val="000000"/>
                <w:kern w:val="0"/>
                <w:sz w:val="22"/>
                <w:szCs w:val="22"/>
              </w:rPr>
            </w:pPr>
            <w:r>
              <w:rPr>
                <w:color w:val="000000"/>
                <w:kern w:val="0"/>
                <w:sz w:val="22"/>
                <w:szCs w:val="22"/>
              </w:rPr>
              <w:t>412</w:t>
            </w:r>
          </w:p>
        </w:tc>
        <w:tc>
          <w:tcPr>
            <w:tcW w:w="1034" w:type="dxa"/>
            <w:noWrap w:val="0"/>
            <w:vAlign w:val="center"/>
          </w:tcPr>
          <w:p w14:paraId="73F152C7">
            <w:pPr>
              <w:jc w:val="center"/>
              <w:rPr>
                <w:color w:val="000000"/>
                <w:kern w:val="0"/>
                <w:szCs w:val="21"/>
              </w:rPr>
            </w:pPr>
            <w:r>
              <w:rPr>
                <w:color w:val="000000"/>
                <w:kern w:val="0"/>
                <w:szCs w:val="21"/>
              </w:rPr>
              <w:t>16</w:t>
            </w:r>
          </w:p>
        </w:tc>
        <w:tc>
          <w:tcPr>
            <w:tcW w:w="1289" w:type="dxa"/>
            <w:noWrap w:val="0"/>
            <w:vAlign w:val="center"/>
          </w:tcPr>
          <w:p w14:paraId="49A9EDA7">
            <w:pPr>
              <w:jc w:val="center"/>
              <w:rPr>
                <w:color w:val="000000"/>
                <w:kern w:val="0"/>
                <w:szCs w:val="21"/>
              </w:rPr>
            </w:pPr>
            <w:r>
              <w:rPr>
                <w:color w:val="000000"/>
                <w:kern w:val="0"/>
                <w:szCs w:val="21"/>
              </w:rPr>
              <w:t>396</w:t>
            </w:r>
          </w:p>
        </w:tc>
      </w:tr>
      <w:tr w14:paraId="37DB7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6DE83042">
            <w:pPr>
              <w:rPr>
                <w:rFonts w:ascii="楷体_GB2312" w:hAnsi="宋体" w:eastAsia="楷体_GB2312" w:cs="宋体"/>
                <w:color w:val="000000"/>
                <w:kern w:val="0"/>
                <w:szCs w:val="21"/>
              </w:rPr>
            </w:pPr>
          </w:p>
        </w:tc>
        <w:tc>
          <w:tcPr>
            <w:tcW w:w="1034" w:type="dxa"/>
            <w:noWrap w:val="0"/>
            <w:vAlign w:val="center"/>
          </w:tcPr>
          <w:p w14:paraId="44B282FD">
            <w:pPr>
              <w:jc w:val="center"/>
              <w:rPr>
                <w:color w:val="000000"/>
                <w:kern w:val="0"/>
                <w:szCs w:val="21"/>
              </w:rPr>
            </w:pPr>
            <w:r>
              <w:rPr>
                <w:color w:val="000000"/>
                <w:kern w:val="0"/>
                <w:szCs w:val="21"/>
              </w:rPr>
              <w:t>2</w:t>
            </w:r>
          </w:p>
        </w:tc>
        <w:tc>
          <w:tcPr>
            <w:tcW w:w="1034" w:type="dxa"/>
            <w:noWrap w:val="0"/>
            <w:vAlign w:val="center"/>
          </w:tcPr>
          <w:p w14:paraId="38E8560D">
            <w:pPr>
              <w:jc w:val="center"/>
              <w:rPr>
                <w:color w:val="000000"/>
                <w:kern w:val="0"/>
                <w:szCs w:val="21"/>
              </w:rPr>
            </w:pPr>
            <w:r>
              <w:rPr>
                <w:color w:val="000000"/>
                <w:kern w:val="0"/>
                <w:szCs w:val="21"/>
              </w:rPr>
              <w:t>12</w:t>
            </w:r>
          </w:p>
        </w:tc>
        <w:tc>
          <w:tcPr>
            <w:tcW w:w="1289" w:type="dxa"/>
            <w:noWrap w:val="0"/>
            <w:vAlign w:val="center"/>
          </w:tcPr>
          <w:p w14:paraId="19E62254">
            <w:pPr>
              <w:jc w:val="center"/>
              <w:rPr>
                <w:color w:val="000000"/>
                <w:kern w:val="0"/>
                <w:szCs w:val="21"/>
              </w:rPr>
            </w:pPr>
            <w:r>
              <w:rPr>
                <w:color w:val="000000"/>
                <w:kern w:val="0"/>
                <w:szCs w:val="21"/>
              </w:rPr>
              <w:t>288</w:t>
            </w:r>
          </w:p>
        </w:tc>
        <w:tc>
          <w:tcPr>
            <w:tcW w:w="1034" w:type="dxa"/>
            <w:noWrap w:val="0"/>
            <w:vAlign w:val="center"/>
          </w:tcPr>
          <w:p w14:paraId="285D5F10">
            <w:pPr>
              <w:jc w:val="center"/>
              <w:rPr>
                <w:color w:val="000000"/>
                <w:kern w:val="0"/>
                <w:szCs w:val="21"/>
              </w:rPr>
            </w:pPr>
            <w:r>
              <w:rPr>
                <w:color w:val="000000"/>
                <w:kern w:val="0"/>
                <w:szCs w:val="21"/>
              </w:rPr>
              <w:t>12</w:t>
            </w:r>
          </w:p>
        </w:tc>
        <w:tc>
          <w:tcPr>
            <w:tcW w:w="1325" w:type="dxa"/>
            <w:noWrap w:val="0"/>
            <w:vAlign w:val="center"/>
          </w:tcPr>
          <w:p w14:paraId="13E2D69F">
            <w:pPr>
              <w:jc w:val="center"/>
              <w:rPr>
                <w:color w:val="000000"/>
                <w:kern w:val="0"/>
                <w:sz w:val="22"/>
                <w:szCs w:val="22"/>
              </w:rPr>
            </w:pPr>
            <w:r>
              <w:rPr>
                <w:color w:val="000000"/>
                <w:kern w:val="0"/>
                <w:sz w:val="22"/>
                <w:szCs w:val="22"/>
              </w:rPr>
              <w:t>294</w:t>
            </w:r>
          </w:p>
        </w:tc>
        <w:tc>
          <w:tcPr>
            <w:tcW w:w="1034" w:type="dxa"/>
            <w:noWrap w:val="0"/>
            <w:vAlign w:val="center"/>
          </w:tcPr>
          <w:p w14:paraId="314916EF">
            <w:pPr>
              <w:jc w:val="center"/>
              <w:rPr>
                <w:color w:val="000000"/>
                <w:kern w:val="0"/>
                <w:szCs w:val="21"/>
              </w:rPr>
            </w:pPr>
            <w:r>
              <w:rPr>
                <w:color w:val="000000"/>
                <w:kern w:val="0"/>
                <w:szCs w:val="21"/>
              </w:rPr>
              <w:t>12</w:t>
            </w:r>
          </w:p>
        </w:tc>
        <w:tc>
          <w:tcPr>
            <w:tcW w:w="1289" w:type="dxa"/>
            <w:noWrap w:val="0"/>
            <w:vAlign w:val="center"/>
          </w:tcPr>
          <w:p w14:paraId="2FB6AC4F">
            <w:pPr>
              <w:jc w:val="center"/>
              <w:rPr>
                <w:color w:val="000000"/>
                <w:kern w:val="0"/>
                <w:szCs w:val="21"/>
              </w:rPr>
            </w:pPr>
            <w:r>
              <w:rPr>
                <w:color w:val="000000"/>
                <w:kern w:val="0"/>
                <w:szCs w:val="21"/>
              </w:rPr>
              <w:t>318</w:t>
            </w:r>
          </w:p>
        </w:tc>
      </w:tr>
      <w:tr w14:paraId="690F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131D7066">
            <w:pPr>
              <w:rPr>
                <w:rFonts w:ascii="楷体_GB2312" w:hAnsi="宋体" w:eastAsia="楷体_GB2312" w:cs="宋体"/>
                <w:color w:val="000000"/>
                <w:kern w:val="0"/>
                <w:szCs w:val="21"/>
              </w:rPr>
            </w:pPr>
          </w:p>
        </w:tc>
        <w:tc>
          <w:tcPr>
            <w:tcW w:w="1034" w:type="dxa"/>
            <w:noWrap w:val="0"/>
            <w:vAlign w:val="center"/>
          </w:tcPr>
          <w:p w14:paraId="4EAD8032">
            <w:pPr>
              <w:jc w:val="center"/>
              <w:rPr>
                <w:color w:val="000000"/>
                <w:kern w:val="0"/>
                <w:szCs w:val="21"/>
              </w:rPr>
            </w:pPr>
            <w:r>
              <w:rPr>
                <w:color w:val="000000"/>
                <w:kern w:val="0"/>
                <w:szCs w:val="21"/>
              </w:rPr>
              <w:t>3</w:t>
            </w:r>
          </w:p>
        </w:tc>
        <w:tc>
          <w:tcPr>
            <w:tcW w:w="1034" w:type="dxa"/>
            <w:noWrap w:val="0"/>
            <w:vAlign w:val="center"/>
          </w:tcPr>
          <w:p w14:paraId="08780558">
            <w:pPr>
              <w:jc w:val="center"/>
              <w:rPr>
                <w:color w:val="000000"/>
                <w:kern w:val="0"/>
                <w:szCs w:val="21"/>
              </w:rPr>
            </w:pPr>
            <w:r>
              <w:rPr>
                <w:color w:val="000000"/>
                <w:kern w:val="0"/>
                <w:szCs w:val="21"/>
              </w:rPr>
              <w:t>2</w:t>
            </w:r>
          </w:p>
        </w:tc>
        <w:tc>
          <w:tcPr>
            <w:tcW w:w="1289" w:type="dxa"/>
            <w:noWrap w:val="0"/>
            <w:vAlign w:val="center"/>
          </w:tcPr>
          <w:p w14:paraId="7FD02342">
            <w:pPr>
              <w:jc w:val="center"/>
              <w:rPr>
                <w:color w:val="000000"/>
                <w:kern w:val="0"/>
                <w:szCs w:val="21"/>
              </w:rPr>
            </w:pPr>
            <w:r>
              <w:rPr>
                <w:color w:val="000000"/>
                <w:kern w:val="0"/>
                <w:szCs w:val="21"/>
              </w:rPr>
              <w:t>218</w:t>
            </w:r>
          </w:p>
        </w:tc>
        <w:tc>
          <w:tcPr>
            <w:tcW w:w="1034" w:type="dxa"/>
            <w:noWrap w:val="0"/>
            <w:vAlign w:val="center"/>
          </w:tcPr>
          <w:p w14:paraId="496AA193">
            <w:pPr>
              <w:jc w:val="center"/>
              <w:rPr>
                <w:color w:val="000000"/>
                <w:kern w:val="0"/>
                <w:szCs w:val="21"/>
              </w:rPr>
            </w:pPr>
            <w:r>
              <w:rPr>
                <w:color w:val="000000"/>
                <w:kern w:val="0"/>
                <w:szCs w:val="21"/>
              </w:rPr>
              <w:t>2</w:t>
            </w:r>
          </w:p>
        </w:tc>
        <w:tc>
          <w:tcPr>
            <w:tcW w:w="1325" w:type="dxa"/>
            <w:noWrap w:val="0"/>
            <w:vAlign w:val="center"/>
          </w:tcPr>
          <w:p w14:paraId="2EAA6E9D">
            <w:pPr>
              <w:jc w:val="center"/>
              <w:rPr>
                <w:color w:val="000000"/>
                <w:kern w:val="0"/>
                <w:sz w:val="22"/>
                <w:szCs w:val="22"/>
              </w:rPr>
            </w:pPr>
            <w:r>
              <w:rPr>
                <w:color w:val="000000"/>
                <w:kern w:val="0"/>
                <w:sz w:val="22"/>
                <w:szCs w:val="22"/>
              </w:rPr>
              <w:t>218</w:t>
            </w:r>
          </w:p>
        </w:tc>
        <w:tc>
          <w:tcPr>
            <w:tcW w:w="1034" w:type="dxa"/>
            <w:noWrap w:val="0"/>
            <w:vAlign w:val="center"/>
          </w:tcPr>
          <w:p w14:paraId="74CED904">
            <w:pPr>
              <w:jc w:val="center"/>
              <w:rPr>
                <w:color w:val="000000"/>
                <w:kern w:val="0"/>
                <w:szCs w:val="21"/>
              </w:rPr>
            </w:pPr>
            <w:r>
              <w:rPr>
                <w:color w:val="000000"/>
                <w:kern w:val="0"/>
                <w:szCs w:val="21"/>
              </w:rPr>
              <w:t>2</w:t>
            </w:r>
          </w:p>
        </w:tc>
        <w:tc>
          <w:tcPr>
            <w:tcW w:w="1289" w:type="dxa"/>
            <w:noWrap w:val="0"/>
            <w:vAlign w:val="center"/>
          </w:tcPr>
          <w:p w14:paraId="118408C4">
            <w:pPr>
              <w:jc w:val="center"/>
              <w:rPr>
                <w:color w:val="000000"/>
                <w:kern w:val="0"/>
                <w:szCs w:val="21"/>
              </w:rPr>
            </w:pPr>
            <w:r>
              <w:rPr>
                <w:color w:val="000000"/>
                <w:kern w:val="0"/>
                <w:szCs w:val="21"/>
              </w:rPr>
              <w:t>239</w:t>
            </w:r>
          </w:p>
        </w:tc>
      </w:tr>
      <w:tr w14:paraId="30A9A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restart"/>
            <w:noWrap w:val="0"/>
            <w:vAlign w:val="center"/>
          </w:tcPr>
          <w:p w14:paraId="082362B1">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栏杆镇</w:t>
            </w:r>
          </w:p>
        </w:tc>
        <w:tc>
          <w:tcPr>
            <w:tcW w:w="1034" w:type="dxa"/>
            <w:noWrap w:val="0"/>
            <w:vAlign w:val="center"/>
          </w:tcPr>
          <w:p w14:paraId="31F6FE56">
            <w:pPr>
              <w:jc w:val="center"/>
              <w:rPr>
                <w:color w:val="000000"/>
                <w:kern w:val="0"/>
                <w:szCs w:val="21"/>
              </w:rPr>
            </w:pPr>
            <w:r>
              <w:rPr>
                <w:color w:val="000000"/>
                <w:kern w:val="0"/>
                <w:szCs w:val="21"/>
              </w:rPr>
              <w:t>1</w:t>
            </w:r>
          </w:p>
        </w:tc>
        <w:tc>
          <w:tcPr>
            <w:tcW w:w="1034" w:type="dxa"/>
            <w:noWrap w:val="0"/>
            <w:vAlign w:val="center"/>
          </w:tcPr>
          <w:p w14:paraId="3C27F81C">
            <w:pPr>
              <w:jc w:val="center"/>
              <w:rPr>
                <w:color w:val="000000"/>
                <w:kern w:val="0"/>
                <w:szCs w:val="21"/>
              </w:rPr>
            </w:pPr>
            <w:r>
              <w:rPr>
                <w:color w:val="000000"/>
                <w:kern w:val="0"/>
                <w:szCs w:val="21"/>
              </w:rPr>
              <w:t>20</w:t>
            </w:r>
          </w:p>
        </w:tc>
        <w:tc>
          <w:tcPr>
            <w:tcW w:w="1289" w:type="dxa"/>
            <w:noWrap w:val="0"/>
            <w:vAlign w:val="center"/>
          </w:tcPr>
          <w:p w14:paraId="44CCD2DE">
            <w:pPr>
              <w:jc w:val="center"/>
              <w:rPr>
                <w:color w:val="000000"/>
                <w:kern w:val="0"/>
                <w:szCs w:val="21"/>
              </w:rPr>
            </w:pPr>
            <w:r>
              <w:rPr>
                <w:color w:val="000000"/>
                <w:kern w:val="0"/>
                <w:szCs w:val="21"/>
              </w:rPr>
              <w:t>379</w:t>
            </w:r>
          </w:p>
        </w:tc>
        <w:tc>
          <w:tcPr>
            <w:tcW w:w="1034" w:type="dxa"/>
            <w:noWrap w:val="0"/>
            <w:vAlign w:val="center"/>
          </w:tcPr>
          <w:p w14:paraId="00ADF711">
            <w:pPr>
              <w:jc w:val="center"/>
              <w:rPr>
                <w:color w:val="000000"/>
                <w:kern w:val="0"/>
                <w:szCs w:val="21"/>
              </w:rPr>
            </w:pPr>
            <w:r>
              <w:rPr>
                <w:color w:val="000000"/>
                <w:kern w:val="0"/>
                <w:szCs w:val="21"/>
              </w:rPr>
              <w:t>20</w:t>
            </w:r>
          </w:p>
        </w:tc>
        <w:tc>
          <w:tcPr>
            <w:tcW w:w="1325" w:type="dxa"/>
            <w:noWrap w:val="0"/>
            <w:vAlign w:val="center"/>
          </w:tcPr>
          <w:p w14:paraId="4FCA4CF1">
            <w:pPr>
              <w:jc w:val="center"/>
              <w:rPr>
                <w:color w:val="000000"/>
                <w:kern w:val="0"/>
                <w:sz w:val="22"/>
                <w:szCs w:val="22"/>
              </w:rPr>
            </w:pPr>
            <w:r>
              <w:rPr>
                <w:color w:val="000000"/>
                <w:kern w:val="0"/>
                <w:sz w:val="22"/>
                <w:szCs w:val="22"/>
              </w:rPr>
              <w:t>375</w:t>
            </w:r>
          </w:p>
        </w:tc>
        <w:tc>
          <w:tcPr>
            <w:tcW w:w="1034" w:type="dxa"/>
            <w:noWrap w:val="0"/>
            <w:vAlign w:val="center"/>
          </w:tcPr>
          <w:p w14:paraId="61450B44">
            <w:pPr>
              <w:jc w:val="center"/>
              <w:rPr>
                <w:color w:val="000000"/>
                <w:kern w:val="0"/>
                <w:szCs w:val="21"/>
              </w:rPr>
            </w:pPr>
            <w:r>
              <w:rPr>
                <w:color w:val="000000"/>
                <w:kern w:val="0"/>
                <w:szCs w:val="21"/>
              </w:rPr>
              <w:t>20</w:t>
            </w:r>
          </w:p>
        </w:tc>
        <w:tc>
          <w:tcPr>
            <w:tcW w:w="1289" w:type="dxa"/>
            <w:noWrap w:val="0"/>
            <w:vAlign w:val="center"/>
          </w:tcPr>
          <w:p w14:paraId="08E09529">
            <w:pPr>
              <w:jc w:val="center"/>
              <w:rPr>
                <w:color w:val="000000"/>
                <w:kern w:val="0"/>
                <w:szCs w:val="21"/>
              </w:rPr>
            </w:pPr>
            <w:r>
              <w:rPr>
                <w:color w:val="000000"/>
                <w:kern w:val="0"/>
                <w:szCs w:val="21"/>
              </w:rPr>
              <w:t>431</w:t>
            </w:r>
          </w:p>
        </w:tc>
      </w:tr>
      <w:tr w14:paraId="47BF1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2B6CA973">
            <w:pPr>
              <w:rPr>
                <w:rFonts w:ascii="楷体_GB2312" w:hAnsi="宋体" w:eastAsia="楷体_GB2312" w:cs="宋体"/>
                <w:color w:val="000000"/>
                <w:kern w:val="0"/>
                <w:szCs w:val="21"/>
              </w:rPr>
            </w:pPr>
          </w:p>
        </w:tc>
        <w:tc>
          <w:tcPr>
            <w:tcW w:w="1034" w:type="dxa"/>
            <w:noWrap w:val="0"/>
            <w:vAlign w:val="center"/>
          </w:tcPr>
          <w:p w14:paraId="245A5CF3">
            <w:pPr>
              <w:jc w:val="center"/>
              <w:rPr>
                <w:color w:val="000000"/>
                <w:kern w:val="0"/>
                <w:szCs w:val="21"/>
              </w:rPr>
            </w:pPr>
            <w:r>
              <w:rPr>
                <w:color w:val="000000"/>
                <w:kern w:val="0"/>
                <w:szCs w:val="21"/>
              </w:rPr>
              <w:t>2</w:t>
            </w:r>
          </w:p>
        </w:tc>
        <w:tc>
          <w:tcPr>
            <w:tcW w:w="1034" w:type="dxa"/>
            <w:noWrap w:val="0"/>
            <w:vAlign w:val="center"/>
          </w:tcPr>
          <w:p w14:paraId="7731B85C">
            <w:pPr>
              <w:jc w:val="center"/>
              <w:rPr>
                <w:color w:val="000000"/>
                <w:kern w:val="0"/>
                <w:szCs w:val="21"/>
              </w:rPr>
            </w:pPr>
            <w:r>
              <w:rPr>
                <w:color w:val="000000"/>
                <w:kern w:val="0"/>
                <w:szCs w:val="21"/>
              </w:rPr>
              <w:t>6</w:t>
            </w:r>
          </w:p>
        </w:tc>
        <w:tc>
          <w:tcPr>
            <w:tcW w:w="1289" w:type="dxa"/>
            <w:noWrap w:val="0"/>
            <w:vAlign w:val="center"/>
          </w:tcPr>
          <w:p w14:paraId="282862E7">
            <w:pPr>
              <w:jc w:val="center"/>
              <w:rPr>
                <w:color w:val="000000"/>
                <w:kern w:val="0"/>
                <w:szCs w:val="21"/>
              </w:rPr>
            </w:pPr>
            <w:r>
              <w:rPr>
                <w:color w:val="000000"/>
                <w:kern w:val="0"/>
                <w:szCs w:val="21"/>
              </w:rPr>
              <w:t>304</w:t>
            </w:r>
          </w:p>
        </w:tc>
        <w:tc>
          <w:tcPr>
            <w:tcW w:w="1034" w:type="dxa"/>
            <w:noWrap w:val="0"/>
            <w:vAlign w:val="center"/>
          </w:tcPr>
          <w:p w14:paraId="7979E47C">
            <w:pPr>
              <w:jc w:val="center"/>
              <w:rPr>
                <w:color w:val="000000"/>
                <w:kern w:val="0"/>
                <w:szCs w:val="21"/>
              </w:rPr>
            </w:pPr>
            <w:r>
              <w:rPr>
                <w:color w:val="000000"/>
                <w:kern w:val="0"/>
                <w:szCs w:val="21"/>
              </w:rPr>
              <w:t>6</w:t>
            </w:r>
          </w:p>
        </w:tc>
        <w:tc>
          <w:tcPr>
            <w:tcW w:w="1325" w:type="dxa"/>
            <w:noWrap w:val="0"/>
            <w:vAlign w:val="center"/>
          </w:tcPr>
          <w:p w14:paraId="31EF0AFE">
            <w:pPr>
              <w:jc w:val="center"/>
              <w:rPr>
                <w:color w:val="000000"/>
                <w:kern w:val="0"/>
                <w:sz w:val="22"/>
                <w:szCs w:val="22"/>
              </w:rPr>
            </w:pPr>
            <w:r>
              <w:rPr>
                <w:color w:val="000000"/>
                <w:kern w:val="0"/>
                <w:sz w:val="22"/>
                <w:szCs w:val="22"/>
              </w:rPr>
              <w:t>310</w:t>
            </w:r>
          </w:p>
        </w:tc>
        <w:tc>
          <w:tcPr>
            <w:tcW w:w="1034" w:type="dxa"/>
            <w:noWrap w:val="0"/>
            <w:vAlign w:val="center"/>
          </w:tcPr>
          <w:p w14:paraId="56E04D1F">
            <w:pPr>
              <w:jc w:val="center"/>
              <w:rPr>
                <w:color w:val="000000"/>
                <w:kern w:val="0"/>
                <w:szCs w:val="21"/>
              </w:rPr>
            </w:pPr>
            <w:r>
              <w:rPr>
                <w:color w:val="000000"/>
                <w:kern w:val="0"/>
                <w:szCs w:val="21"/>
              </w:rPr>
              <w:t>6</w:t>
            </w:r>
          </w:p>
        </w:tc>
        <w:tc>
          <w:tcPr>
            <w:tcW w:w="1289" w:type="dxa"/>
            <w:noWrap w:val="0"/>
            <w:vAlign w:val="center"/>
          </w:tcPr>
          <w:p w14:paraId="4ABECBA2">
            <w:pPr>
              <w:jc w:val="center"/>
              <w:rPr>
                <w:color w:val="000000"/>
                <w:kern w:val="0"/>
                <w:szCs w:val="21"/>
              </w:rPr>
            </w:pPr>
            <w:r>
              <w:rPr>
                <w:color w:val="000000"/>
                <w:kern w:val="0"/>
                <w:szCs w:val="21"/>
              </w:rPr>
              <w:t>271</w:t>
            </w:r>
          </w:p>
        </w:tc>
      </w:tr>
      <w:tr w14:paraId="59950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5CAD9581">
            <w:pPr>
              <w:rPr>
                <w:rFonts w:ascii="楷体_GB2312" w:hAnsi="宋体" w:eastAsia="楷体_GB2312" w:cs="宋体"/>
                <w:color w:val="000000"/>
                <w:kern w:val="0"/>
                <w:szCs w:val="21"/>
              </w:rPr>
            </w:pPr>
          </w:p>
        </w:tc>
        <w:tc>
          <w:tcPr>
            <w:tcW w:w="1034" w:type="dxa"/>
            <w:noWrap w:val="0"/>
            <w:vAlign w:val="center"/>
          </w:tcPr>
          <w:p w14:paraId="705CECED">
            <w:pPr>
              <w:jc w:val="center"/>
              <w:rPr>
                <w:color w:val="000000"/>
                <w:kern w:val="0"/>
                <w:szCs w:val="21"/>
              </w:rPr>
            </w:pPr>
            <w:r>
              <w:rPr>
                <w:color w:val="000000"/>
                <w:kern w:val="0"/>
                <w:szCs w:val="21"/>
              </w:rPr>
              <w:t>3</w:t>
            </w:r>
          </w:p>
        </w:tc>
        <w:tc>
          <w:tcPr>
            <w:tcW w:w="1034" w:type="dxa"/>
            <w:noWrap w:val="0"/>
            <w:vAlign w:val="center"/>
          </w:tcPr>
          <w:p w14:paraId="49F2D935">
            <w:pPr>
              <w:jc w:val="center"/>
              <w:rPr>
                <w:color w:val="000000"/>
                <w:kern w:val="0"/>
                <w:szCs w:val="21"/>
              </w:rPr>
            </w:pPr>
            <w:r>
              <w:rPr>
                <w:color w:val="000000"/>
                <w:kern w:val="0"/>
                <w:szCs w:val="21"/>
              </w:rPr>
              <w:t>4</w:t>
            </w:r>
          </w:p>
        </w:tc>
        <w:tc>
          <w:tcPr>
            <w:tcW w:w="1289" w:type="dxa"/>
            <w:noWrap w:val="0"/>
            <w:vAlign w:val="center"/>
          </w:tcPr>
          <w:p w14:paraId="5C38CC83">
            <w:pPr>
              <w:jc w:val="center"/>
              <w:rPr>
                <w:color w:val="000000"/>
                <w:kern w:val="0"/>
                <w:szCs w:val="21"/>
              </w:rPr>
            </w:pPr>
            <w:r>
              <w:rPr>
                <w:color w:val="000000"/>
                <w:kern w:val="0"/>
                <w:szCs w:val="21"/>
              </w:rPr>
              <w:t>234</w:t>
            </w:r>
          </w:p>
        </w:tc>
        <w:tc>
          <w:tcPr>
            <w:tcW w:w="1034" w:type="dxa"/>
            <w:noWrap w:val="0"/>
            <w:vAlign w:val="center"/>
          </w:tcPr>
          <w:p w14:paraId="31EBC1E6">
            <w:pPr>
              <w:jc w:val="center"/>
              <w:rPr>
                <w:color w:val="000000"/>
                <w:kern w:val="0"/>
                <w:szCs w:val="21"/>
              </w:rPr>
            </w:pPr>
            <w:r>
              <w:rPr>
                <w:color w:val="000000"/>
                <w:kern w:val="0"/>
                <w:szCs w:val="21"/>
              </w:rPr>
              <w:t>4</w:t>
            </w:r>
          </w:p>
        </w:tc>
        <w:tc>
          <w:tcPr>
            <w:tcW w:w="1325" w:type="dxa"/>
            <w:noWrap w:val="0"/>
            <w:vAlign w:val="center"/>
          </w:tcPr>
          <w:p w14:paraId="1C9102B6">
            <w:pPr>
              <w:jc w:val="center"/>
              <w:rPr>
                <w:color w:val="000000"/>
                <w:kern w:val="0"/>
                <w:sz w:val="22"/>
                <w:szCs w:val="22"/>
              </w:rPr>
            </w:pPr>
            <w:r>
              <w:rPr>
                <w:color w:val="000000"/>
                <w:kern w:val="0"/>
                <w:sz w:val="22"/>
                <w:szCs w:val="22"/>
              </w:rPr>
              <w:t>218</w:t>
            </w:r>
          </w:p>
        </w:tc>
        <w:tc>
          <w:tcPr>
            <w:tcW w:w="1034" w:type="dxa"/>
            <w:noWrap w:val="0"/>
            <w:vAlign w:val="center"/>
          </w:tcPr>
          <w:p w14:paraId="64EC1DA4">
            <w:pPr>
              <w:jc w:val="center"/>
              <w:rPr>
                <w:color w:val="000000"/>
                <w:kern w:val="0"/>
                <w:szCs w:val="21"/>
              </w:rPr>
            </w:pPr>
            <w:r>
              <w:rPr>
                <w:color w:val="000000"/>
                <w:kern w:val="0"/>
                <w:szCs w:val="21"/>
              </w:rPr>
              <w:t>4</w:t>
            </w:r>
          </w:p>
        </w:tc>
        <w:tc>
          <w:tcPr>
            <w:tcW w:w="1289" w:type="dxa"/>
            <w:noWrap w:val="0"/>
            <w:vAlign w:val="center"/>
          </w:tcPr>
          <w:p w14:paraId="0B2A2556">
            <w:pPr>
              <w:jc w:val="center"/>
              <w:rPr>
                <w:color w:val="000000"/>
                <w:kern w:val="0"/>
                <w:szCs w:val="21"/>
              </w:rPr>
            </w:pPr>
            <w:r>
              <w:rPr>
                <w:color w:val="000000"/>
                <w:kern w:val="0"/>
                <w:szCs w:val="21"/>
              </w:rPr>
              <w:t>223</w:t>
            </w:r>
          </w:p>
        </w:tc>
      </w:tr>
      <w:tr w14:paraId="43A51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restart"/>
            <w:noWrap w:val="0"/>
            <w:vAlign w:val="center"/>
          </w:tcPr>
          <w:p w14:paraId="751D32D3">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时村镇</w:t>
            </w:r>
          </w:p>
        </w:tc>
        <w:tc>
          <w:tcPr>
            <w:tcW w:w="1034" w:type="dxa"/>
            <w:noWrap w:val="0"/>
            <w:vAlign w:val="center"/>
          </w:tcPr>
          <w:p w14:paraId="4F4AD9E7">
            <w:pPr>
              <w:jc w:val="center"/>
              <w:rPr>
                <w:color w:val="000000"/>
                <w:kern w:val="0"/>
                <w:szCs w:val="21"/>
              </w:rPr>
            </w:pPr>
            <w:r>
              <w:rPr>
                <w:color w:val="000000"/>
                <w:kern w:val="0"/>
                <w:szCs w:val="21"/>
              </w:rPr>
              <w:t>1</w:t>
            </w:r>
          </w:p>
        </w:tc>
        <w:tc>
          <w:tcPr>
            <w:tcW w:w="1034" w:type="dxa"/>
            <w:noWrap w:val="0"/>
            <w:vAlign w:val="center"/>
          </w:tcPr>
          <w:p w14:paraId="10E985B9">
            <w:pPr>
              <w:jc w:val="center"/>
              <w:rPr>
                <w:color w:val="000000"/>
                <w:kern w:val="0"/>
                <w:szCs w:val="21"/>
              </w:rPr>
            </w:pPr>
            <w:r>
              <w:rPr>
                <w:color w:val="000000"/>
                <w:kern w:val="0"/>
                <w:szCs w:val="21"/>
              </w:rPr>
              <w:t>21</w:t>
            </w:r>
          </w:p>
        </w:tc>
        <w:tc>
          <w:tcPr>
            <w:tcW w:w="1289" w:type="dxa"/>
            <w:noWrap w:val="0"/>
            <w:vAlign w:val="center"/>
          </w:tcPr>
          <w:p w14:paraId="3EDDFE8C">
            <w:pPr>
              <w:jc w:val="center"/>
              <w:rPr>
                <w:color w:val="000000"/>
                <w:kern w:val="0"/>
                <w:szCs w:val="21"/>
              </w:rPr>
            </w:pPr>
            <w:r>
              <w:rPr>
                <w:color w:val="000000"/>
                <w:kern w:val="0"/>
                <w:szCs w:val="21"/>
              </w:rPr>
              <w:t>386</w:t>
            </w:r>
          </w:p>
        </w:tc>
        <w:tc>
          <w:tcPr>
            <w:tcW w:w="1034" w:type="dxa"/>
            <w:noWrap w:val="0"/>
            <w:vAlign w:val="center"/>
          </w:tcPr>
          <w:p w14:paraId="61BA75BA">
            <w:pPr>
              <w:jc w:val="center"/>
              <w:rPr>
                <w:color w:val="000000"/>
                <w:kern w:val="0"/>
                <w:szCs w:val="21"/>
              </w:rPr>
            </w:pPr>
            <w:r>
              <w:rPr>
                <w:color w:val="000000"/>
                <w:kern w:val="0"/>
                <w:szCs w:val="21"/>
              </w:rPr>
              <w:t>21</w:t>
            </w:r>
          </w:p>
        </w:tc>
        <w:tc>
          <w:tcPr>
            <w:tcW w:w="1325" w:type="dxa"/>
            <w:noWrap w:val="0"/>
            <w:vAlign w:val="center"/>
          </w:tcPr>
          <w:p w14:paraId="4CEAED9A">
            <w:pPr>
              <w:jc w:val="center"/>
              <w:rPr>
                <w:color w:val="000000"/>
                <w:kern w:val="0"/>
                <w:sz w:val="22"/>
                <w:szCs w:val="22"/>
              </w:rPr>
            </w:pPr>
            <w:r>
              <w:rPr>
                <w:color w:val="000000"/>
                <w:kern w:val="0"/>
                <w:sz w:val="22"/>
                <w:szCs w:val="22"/>
              </w:rPr>
              <w:t>386</w:t>
            </w:r>
          </w:p>
        </w:tc>
        <w:tc>
          <w:tcPr>
            <w:tcW w:w="1034" w:type="dxa"/>
            <w:noWrap w:val="0"/>
            <w:vAlign w:val="center"/>
          </w:tcPr>
          <w:p w14:paraId="56620EAB">
            <w:pPr>
              <w:jc w:val="center"/>
              <w:rPr>
                <w:color w:val="000000"/>
                <w:kern w:val="0"/>
                <w:szCs w:val="21"/>
              </w:rPr>
            </w:pPr>
            <w:r>
              <w:rPr>
                <w:color w:val="000000"/>
                <w:kern w:val="0"/>
                <w:szCs w:val="21"/>
              </w:rPr>
              <w:t>21</w:t>
            </w:r>
          </w:p>
        </w:tc>
        <w:tc>
          <w:tcPr>
            <w:tcW w:w="1289" w:type="dxa"/>
            <w:noWrap w:val="0"/>
            <w:vAlign w:val="center"/>
          </w:tcPr>
          <w:p w14:paraId="01DB1A28">
            <w:pPr>
              <w:jc w:val="center"/>
              <w:rPr>
                <w:color w:val="000000"/>
                <w:kern w:val="0"/>
                <w:szCs w:val="21"/>
              </w:rPr>
            </w:pPr>
            <w:r>
              <w:rPr>
                <w:color w:val="000000"/>
                <w:kern w:val="0"/>
                <w:szCs w:val="21"/>
              </w:rPr>
              <w:t>398</w:t>
            </w:r>
          </w:p>
        </w:tc>
      </w:tr>
      <w:tr w14:paraId="11181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2B0578C0">
            <w:pPr>
              <w:rPr>
                <w:rFonts w:ascii="楷体_GB2312" w:hAnsi="宋体" w:eastAsia="楷体_GB2312" w:cs="宋体"/>
                <w:color w:val="000000"/>
                <w:kern w:val="0"/>
                <w:szCs w:val="21"/>
              </w:rPr>
            </w:pPr>
          </w:p>
        </w:tc>
        <w:tc>
          <w:tcPr>
            <w:tcW w:w="1034" w:type="dxa"/>
            <w:noWrap w:val="0"/>
            <w:vAlign w:val="center"/>
          </w:tcPr>
          <w:p w14:paraId="21DA3571">
            <w:pPr>
              <w:jc w:val="center"/>
              <w:rPr>
                <w:color w:val="000000"/>
                <w:kern w:val="0"/>
                <w:szCs w:val="21"/>
              </w:rPr>
            </w:pPr>
            <w:r>
              <w:rPr>
                <w:color w:val="000000"/>
                <w:kern w:val="0"/>
                <w:szCs w:val="21"/>
              </w:rPr>
              <w:t>2</w:t>
            </w:r>
          </w:p>
        </w:tc>
        <w:tc>
          <w:tcPr>
            <w:tcW w:w="1034" w:type="dxa"/>
            <w:noWrap w:val="0"/>
            <w:vAlign w:val="center"/>
          </w:tcPr>
          <w:p w14:paraId="40255004">
            <w:pPr>
              <w:jc w:val="center"/>
              <w:rPr>
                <w:color w:val="000000"/>
                <w:kern w:val="0"/>
                <w:szCs w:val="21"/>
              </w:rPr>
            </w:pPr>
            <w:r>
              <w:rPr>
                <w:color w:val="000000"/>
                <w:kern w:val="0"/>
                <w:szCs w:val="21"/>
              </w:rPr>
              <w:t>8</w:t>
            </w:r>
          </w:p>
        </w:tc>
        <w:tc>
          <w:tcPr>
            <w:tcW w:w="1289" w:type="dxa"/>
            <w:noWrap w:val="0"/>
            <w:vAlign w:val="center"/>
          </w:tcPr>
          <w:p w14:paraId="37900878">
            <w:pPr>
              <w:jc w:val="center"/>
              <w:rPr>
                <w:color w:val="000000"/>
                <w:kern w:val="0"/>
                <w:szCs w:val="21"/>
              </w:rPr>
            </w:pPr>
            <w:r>
              <w:rPr>
                <w:color w:val="000000"/>
                <w:kern w:val="0"/>
                <w:szCs w:val="21"/>
              </w:rPr>
              <w:t>277</w:t>
            </w:r>
          </w:p>
        </w:tc>
        <w:tc>
          <w:tcPr>
            <w:tcW w:w="1034" w:type="dxa"/>
            <w:noWrap w:val="0"/>
            <w:vAlign w:val="center"/>
          </w:tcPr>
          <w:p w14:paraId="7D27E0A8">
            <w:pPr>
              <w:jc w:val="center"/>
              <w:rPr>
                <w:color w:val="000000"/>
                <w:kern w:val="0"/>
                <w:szCs w:val="21"/>
              </w:rPr>
            </w:pPr>
            <w:r>
              <w:rPr>
                <w:color w:val="000000"/>
                <w:kern w:val="0"/>
                <w:szCs w:val="21"/>
              </w:rPr>
              <w:t>8</w:t>
            </w:r>
          </w:p>
        </w:tc>
        <w:tc>
          <w:tcPr>
            <w:tcW w:w="1325" w:type="dxa"/>
            <w:noWrap w:val="0"/>
            <w:vAlign w:val="center"/>
          </w:tcPr>
          <w:p w14:paraId="4704217D">
            <w:pPr>
              <w:jc w:val="center"/>
              <w:rPr>
                <w:color w:val="000000"/>
                <w:kern w:val="0"/>
                <w:sz w:val="22"/>
                <w:szCs w:val="22"/>
              </w:rPr>
            </w:pPr>
            <w:r>
              <w:rPr>
                <w:color w:val="000000"/>
                <w:kern w:val="0"/>
                <w:sz w:val="22"/>
                <w:szCs w:val="22"/>
              </w:rPr>
              <w:t>283</w:t>
            </w:r>
          </w:p>
        </w:tc>
        <w:tc>
          <w:tcPr>
            <w:tcW w:w="1034" w:type="dxa"/>
            <w:noWrap w:val="0"/>
            <w:vAlign w:val="center"/>
          </w:tcPr>
          <w:p w14:paraId="65F031E5">
            <w:pPr>
              <w:jc w:val="center"/>
              <w:rPr>
                <w:color w:val="000000"/>
                <w:kern w:val="0"/>
                <w:szCs w:val="21"/>
              </w:rPr>
            </w:pPr>
            <w:r>
              <w:rPr>
                <w:color w:val="000000"/>
                <w:kern w:val="0"/>
                <w:szCs w:val="21"/>
              </w:rPr>
              <w:t>8</w:t>
            </w:r>
          </w:p>
        </w:tc>
        <w:tc>
          <w:tcPr>
            <w:tcW w:w="1289" w:type="dxa"/>
            <w:noWrap w:val="0"/>
            <w:vAlign w:val="center"/>
          </w:tcPr>
          <w:p w14:paraId="02E20402">
            <w:pPr>
              <w:jc w:val="center"/>
              <w:rPr>
                <w:color w:val="000000"/>
                <w:kern w:val="0"/>
                <w:szCs w:val="21"/>
              </w:rPr>
            </w:pPr>
            <w:r>
              <w:rPr>
                <w:color w:val="000000"/>
                <w:kern w:val="0"/>
                <w:szCs w:val="21"/>
              </w:rPr>
              <w:t>280</w:t>
            </w:r>
          </w:p>
        </w:tc>
      </w:tr>
      <w:tr w14:paraId="44E5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2F50B233">
            <w:pPr>
              <w:rPr>
                <w:rFonts w:ascii="楷体_GB2312" w:hAnsi="宋体" w:eastAsia="楷体_GB2312" w:cs="宋体"/>
                <w:color w:val="000000"/>
                <w:kern w:val="0"/>
                <w:szCs w:val="21"/>
              </w:rPr>
            </w:pPr>
          </w:p>
        </w:tc>
        <w:tc>
          <w:tcPr>
            <w:tcW w:w="1034" w:type="dxa"/>
            <w:noWrap w:val="0"/>
            <w:vAlign w:val="center"/>
          </w:tcPr>
          <w:p w14:paraId="42650B8A">
            <w:pPr>
              <w:jc w:val="center"/>
              <w:rPr>
                <w:color w:val="000000"/>
                <w:kern w:val="0"/>
                <w:szCs w:val="21"/>
              </w:rPr>
            </w:pPr>
            <w:r>
              <w:rPr>
                <w:color w:val="000000"/>
                <w:kern w:val="0"/>
                <w:szCs w:val="21"/>
              </w:rPr>
              <w:t>3</w:t>
            </w:r>
          </w:p>
        </w:tc>
        <w:tc>
          <w:tcPr>
            <w:tcW w:w="1034" w:type="dxa"/>
            <w:noWrap w:val="0"/>
            <w:vAlign w:val="center"/>
          </w:tcPr>
          <w:p w14:paraId="41CFE46A">
            <w:pPr>
              <w:jc w:val="center"/>
              <w:rPr>
                <w:color w:val="000000"/>
                <w:kern w:val="0"/>
                <w:szCs w:val="21"/>
              </w:rPr>
            </w:pPr>
            <w:r>
              <w:rPr>
                <w:color w:val="000000"/>
                <w:kern w:val="0"/>
                <w:szCs w:val="21"/>
              </w:rPr>
              <w:t>1</w:t>
            </w:r>
          </w:p>
        </w:tc>
        <w:tc>
          <w:tcPr>
            <w:tcW w:w="1289" w:type="dxa"/>
            <w:noWrap w:val="0"/>
            <w:vAlign w:val="center"/>
          </w:tcPr>
          <w:p w14:paraId="2FDD1D75">
            <w:pPr>
              <w:jc w:val="center"/>
              <w:rPr>
                <w:color w:val="000000"/>
                <w:kern w:val="0"/>
                <w:szCs w:val="21"/>
              </w:rPr>
            </w:pPr>
            <w:r>
              <w:rPr>
                <w:color w:val="000000"/>
                <w:kern w:val="0"/>
                <w:szCs w:val="21"/>
              </w:rPr>
              <w:t>196</w:t>
            </w:r>
          </w:p>
        </w:tc>
        <w:tc>
          <w:tcPr>
            <w:tcW w:w="1034" w:type="dxa"/>
            <w:noWrap w:val="0"/>
            <w:vAlign w:val="center"/>
          </w:tcPr>
          <w:p w14:paraId="57AEC561">
            <w:pPr>
              <w:jc w:val="center"/>
              <w:rPr>
                <w:color w:val="000000"/>
                <w:kern w:val="0"/>
                <w:szCs w:val="21"/>
              </w:rPr>
            </w:pPr>
            <w:r>
              <w:rPr>
                <w:color w:val="000000"/>
                <w:kern w:val="0"/>
                <w:szCs w:val="21"/>
              </w:rPr>
              <w:t>1</w:t>
            </w:r>
          </w:p>
        </w:tc>
        <w:tc>
          <w:tcPr>
            <w:tcW w:w="1325" w:type="dxa"/>
            <w:noWrap w:val="0"/>
            <w:vAlign w:val="center"/>
          </w:tcPr>
          <w:p w14:paraId="04D6F57C">
            <w:pPr>
              <w:jc w:val="center"/>
              <w:rPr>
                <w:color w:val="000000"/>
                <w:kern w:val="0"/>
                <w:sz w:val="22"/>
                <w:szCs w:val="22"/>
              </w:rPr>
            </w:pPr>
            <w:r>
              <w:rPr>
                <w:color w:val="000000"/>
                <w:kern w:val="0"/>
                <w:sz w:val="22"/>
                <w:szCs w:val="22"/>
              </w:rPr>
              <w:t>210</w:t>
            </w:r>
          </w:p>
        </w:tc>
        <w:tc>
          <w:tcPr>
            <w:tcW w:w="1034" w:type="dxa"/>
            <w:noWrap w:val="0"/>
            <w:vAlign w:val="center"/>
          </w:tcPr>
          <w:p w14:paraId="29E31851">
            <w:pPr>
              <w:jc w:val="center"/>
              <w:rPr>
                <w:color w:val="000000"/>
                <w:kern w:val="0"/>
                <w:szCs w:val="21"/>
              </w:rPr>
            </w:pPr>
            <w:r>
              <w:rPr>
                <w:color w:val="000000"/>
                <w:kern w:val="0"/>
                <w:szCs w:val="21"/>
              </w:rPr>
              <w:t>1</w:t>
            </w:r>
          </w:p>
        </w:tc>
        <w:tc>
          <w:tcPr>
            <w:tcW w:w="1289" w:type="dxa"/>
            <w:noWrap w:val="0"/>
            <w:vAlign w:val="center"/>
          </w:tcPr>
          <w:p w14:paraId="3DAC45E4">
            <w:pPr>
              <w:jc w:val="center"/>
              <w:rPr>
                <w:color w:val="000000"/>
                <w:kern w:val="0"/>
                <w:szCs w:val="21"/>
              </w:rPr>
            </w:pPr>
            <w:r>
              <w:rPr>
                <w:color w:val="000000"/>
                <w:kern w:val="0"/>
                <w:szCs w:val="21"/>
              </w:rPr>
              <w:t>194</w:t>
            </w:r>
          </w:p>
        </w:tc>
      </w:tr>
      <w:tr w14:paraId="599CA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restart"/>
            <w:noWrap w:val="0"/>
            <w:vAlign w:val="center"/>
          </w:tcPr>
          <w:p w14:paraId="3CBAA306">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夹沟镇</w:t>
            </w:r>
          </w:p>
        </w:tc>
        <w:tc>
          <w:tcPr>
            <w:tcW w:w="1034" w:type="dxa"/>
            <w:noWrap w:val="0"/>
            <w:vAlign w:val="center"/>
          </w:tcPr>
          <w:p w14:paraId="78575AF6">
            <w:pPr>
              <w:jc w:val="center"/>
              <w:rPr>
                <w:color w:val="000000"/>
                <w:kern w:val="0"/>
                <w:szCs w:val="21"/>
              </w:rPr>
            </w:pPr>
            <w:r>
              <w:rPr>
                <w:color w:val="000000"/>
                <w:kern w:val="0"/>
                <w:szCs w:val="21"/>
              </w:rPr>
              <w:t>1</w:t>
            </w:r>
          </w:p>
        </w:tc>
        <w:tc>
          <w:tcPr>
            <w:tcW w:w="1034" w:type="dxa"/>
            <w:noWrap w:val="0"/>
            <w:vAlign w:val="center"/>
          </w:tcPr>
          <w:p w14:paraId="4EE29636">
            <w:pPr>
              <w:jc w:val="center"/>
              <w:rPr>
                <w:color w:val="000000"/>
                <w:kern w:val="0"/>
                <w:szCs w:val="21"/>
              </w:rPr>
            </w:pPr>
            <w:r>
              <w:rPr>
                <w:color w:val="000000"/>
                <w:kern w:val="0"/>
                <w:szCs w:val="21"/>
              </w:rPr>
              <w:t>16</w:t>
            </w:r>
          </w:p>
        </w:tc>
        <w:tc>
          <w:tcPr>
            <w:tcW w:w="1289" w:type="dxa"/>
            <w:noWrap w:val="0"/>
            <w:vAlign w:val="center"/>
          </w:tcPr>
          <w:p w14:paraId="34EBB503">
            <w:pPr>
              <w:jc w:val="center"/>
              <w:rPr>
                <w:color w:val="000000"/>
                <w:kern w:val="0"/>
                <w:szCs w:val="21"/>
              </w:rPr>
            </w:pPr>
            <w:r>
              <w:rPr>
                <w:color w:val="000000"/>
                <w:kern w:val="0"/>
                <w:szCs w:val="21"/>
              </w:rPr>
              <w:t>361</w:t>
            </w:r>
          </w:p>
        </w:tc>
        <w:tc>
          <w:tcPr>
            <w:tcW w:w="1034" w:type="dxa"/>
            <w:noWrap w:val="0"/>
            <w:vAlign w:val="center"/>
          </w:tcPr>
          <w:p w14:paraId="7D42EB70">
            <w:pPr>
              <w:jc w:val="center"/>
              <w:rPr>
                <w:color w:val="000000"/>
                <w:kern w:val="0"/>
                <w:szCs w:val="21"/>
              </w:rPr>
            </w:pPr>
            <w:r>
              <w:rPr>
                <w:color w:val="000000"/>
                <w:kern w:val="0"/>
                <w:szCs w:val="21"/>
              </w:rPr>
              <w:t>16</w:t>
            </w:r>
          </w:p>
        </w:tc>
        <w:tc>
          <w:tcPr>
            <w:tcW w:w="1325" w:type="dxa"/>
            <w:noWrap w:val="0"/>
            <w:vAlign w:val="center"/>
          </w:tcPr>
          <w:p w14:paraId="2690838D">
            <w:pPr>
              <w:jc w:val="center"/>
              <w:rPr>
                <w:color w:val="000000"/>
                <w:kern w:val="0"/>
                <w:sz w:val="22"/>
                <w:szCs w:val="22"/>
              </w:rPr>
            </w:pPr>
            <w:r>
              <w:rPr>
                <w:color w:val="000000"/>
                <w:kern w:val="0"/>
                <w:sz w:val="22"/>
                <w:szCs w:val="22"/>
              </w:rPr>
              <w:t>380</w:t>
            </w:r>
          </w:p>
        </w:tc>
        <w:tc>
          <w:tcPr>
            <w:tcW w:w="1034" w:type="dxa"/>
            <w:noWrap w:val="0"/>
            <w:vAlign w:val="center"/>
          </w:tcPr>
          <w:p w14:paraId="61B65391">
            <w:pPr>
              <w:jc w:val="center"/>
              <w:rPr>
                <w:color w:val="000000"/>
                <w:kern w:val="0"/>
                <w:szCs w:val="21"/>
              </w:rPr>
            </w:pPr>
            <w:r>
              <w:rPr>
                <w:color w:val="000000"/>
                <w:kern w:val="0"/>
                <w:szCs w:val="21"/>
              </w:rPr>
              <w:t>16</w:t>
            </w:r>
          </w:p>
        </w:tc>
        <w:tc>
          <w:tcPr>
            <w:tcW w:w="1289" w:type="dxa"/>
            <w:noWrap w:val="0"/>
            <w:vAlign w:val="center"/>
          </w:tcPr>
          <w:p w14:paraId="71D91DFD">
            <w:pPr>
              <w:jc w:val="center"/>
              <w:rPr>
                <w:color w:val="000000"/>
                <w:kern w:val="0"/>
                <w:szCs w:val="21"/>
              </w:rPr>
            </w:pPr>
            <w:r>
              <w:rPr>
                <w:color w:val="000000"/>
                <w:kern w:val="0"/>
                <w:szCs w:val="21"/>
              </w:rPr>
              <w:t>399</w:t>
            </w:r>
          </w:p>
        </w:tc>
      </w:tr>
      <w:tr w14:paraId="74D2C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0373BADA">
            <w:pPr>
              <w:rPr>
                <w:rFonts w:ascii="楷体_GB2312" w:hAnsi="宋体" w:eastAsia="楷体_GB2312" w:cs="宋体"/>
                <w:color w:val="000000"/>
                <w:kern w:val="0"/>
                <w:szCs w:val="21"/>
              </w:rPr>
            </w:pPr>
          </w:p>
        </w:tc>
        <w:tc>
          <w:tcPr>
            <w:tcW w:w="1034" w:type="dxa"/>
            <w:noWrap w:val="0"/>
            <w:vAlign w:val="center"/>
          </w:tcPr>
          <w:p w14:paraId="4DCB9C15">
            <w:pPr>
              <w:jc w:val="center"/>
              <w:rPr>
                <w:color w:val="000000"/>
                <w:kern w:val="0"/>
                <w:szCs w:val="21"/>
              </w:rPr>
            </w:pPr>
            <w:r>
              <w:rPr>
                <w:color w:val="000000"/>
                <w:kern w:val="0"/>
                <w:szCs w:val="21"/>
              </w:rPr>
              <w:t>2</w:t>
            </w:r>
          </w:p>
        </w:tc>
        <w:tc>
          <w:tcPr>
            <w:tcW w:w="1034" w:type="dxa"/>
            <w:noWrap w:val="0"/>
            <w:vAlign w:val="center"/>
          </w:tcPr>
          <w:p w14:paraId="031FBFE9">
            <w:pPr>
              <w:jc w:val="center"/>
              <w:rPr>
                <w:color w:val="000000"/>
                <w:kern w:val="0"/>
                <w:szCs w:val="21"/>
              </w:rPr>
            </w:pPr>
            <w:r>
              <w:rPr>
                <w:color w:val="000000"/>
                <w:kern w:val="0"/>
                <w:szCs w:val="21"/>
              </w:rPr>
              <w:t>13</w:t>
            </w:r>
          </w:p>
        </w:tc>
        <w:tc>
          <w:tcPr>
            <w:tcW w:w="1289" w:type="dxa"/>
            <w:noWrap w:val="0"/>
            <w:vAlign w:val="center"/>
          </w:tcPr>
          <w:p w14:paraId="2410DCC5">
            <w:pPr>
              <w:jc w:val="center"/>
              <w:rPr>
                <w:color w:val="000000"/>
                <w:kern w:val="0"/>
                <w:szCs w:val="21"/>
              </w:rPr>
            </w:pPr>
            <w:r>
              <w:rPr>
                <w:color w:val="000000"/>
                <w:kern w:val="0"/>
                <w:szCs w:val="21"/>
              </w:rPr>
              <w:t>281</w:t>
            </w:r>
          </w:p>
        </w:tc>
        <w:tc>
          <w:tcPr>
            <w:tcW w:w="1034" w:type="dxa"/>
            <w:noWrap w:val="0"/>
            <w:vAlign w:val="center"/>
          </w:tcPr>
          <w:p w14:paraId="43B341DA">
            <w:pPr>
              <w:jc w:val="center"/>
              <w:rPr>
                <w:color w:val="000000"/>
                <w:kern w:val="0"/>
                <w:szCs w:val="21"/>
              </w:rPr>
            </w:pPr>
            <w:r>
              <w:rPr>
                <w:color w:val="000000"/>
                <w:kern w:val="0"/>
                <w:szCs w:val="21"/>
              </w:rPr>
              <w:t>13</w:t>
            </w:r>
          </w:p>
        </w:tc>
        <w:tc>
          <w:tcPr>
            <w:tcW w:w="1325" w:type="dxa"/>
            <w:noWrap w:val="0"/>
            <w:vAlign w:val="center"/>
          </w:tcPr>
          <w:p w14:paraId="77CF589F">
            <w:pPr>
              <w:jc w:val="center"/>
              <w:rPr>
                <w:color w:val="000000"/>
                <w:kern w:val="0"/>
                <w:sz w:val="22"/>
                <w:szCs w:val="22"/>
              </w:rPr>
            </w:pPr>
            <w:r>
              <w:rPr>
                <w:color w:val="000000"/>
                <w:kern w:val="0"/>
                <w:sz w:val="22"/>
                <w:szCs w:val="22"/>
              </w:rPr>
              <w:t>305</w:t>
            </w:r>
          </w:p>
        </w:tc>
        <w:tc>
          <w:tcPr>
            <w:tcW w:w="1034" w:type="dxa"/>
            <w:noWrap w:val="0"/>
            <w:vAlign w:val="center"/>
          </w:tcPr>
          <w:p w14:paraId="291E6ABC">
            <w:pPr>
              <w:jc w:val="center"/>
              <w:rPr>
                <w:color w:val="000000"/>
                <w:kern w:val="0"/>
                <w:szCs w:val="21"/>
              </w:rPr>
            </w:pPr>
            <w:r>
              <w:rPr>
                <w:color w:val="000000"/>
                <w:kern w:val="0"/>
                <w:szCs w:val="21"/>
              </w:rPr>
              <w:t>13</w:t>
            </w:r>
          </w:p>
        </w:tc>
        <w:tc>
          <w:tcPr>
            <w:tcW w:w="1289" w:type="dxa"/>
            <w:noWrap w:val="0"/>
            <w:vAlign w:val="center"/>
          </w:tcPr>
          <w:p w14:paraId="52FCF589">
            <w:pPr>
              <w:jc w:val="center"/>
              <w:rPr>
                <w:color w:val="000000"/>
                <w:kern w:val="0"/>
                <w:szCs w:val="21"/>
              </w:rPr>
            </w:pPr>
            <w:r>
              <w:rPr>
                <w:color w:val="000000"/>
                <w:kern w:val="0"/>
                <w:szCs w:val="21"/>
              </w:rPr>
              <w:t>284</w:t>
            </w:r>
          </w:p>
        </w:tc>
      </w:tr>
      <w:tr w14:paraId="6C14F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0670C4DF">
            <w:pPr>
              <w:rPr>
                <w:rFonts w:ascii="楷体_GB2312" w:hAnsi="宋体" w:eastAsia="楷体_GB2312" w:cs="宋体"/>
                <w:color w:val="000000"/>
                <w:kern w:val="0"/>
                <w:szCs w:val="21"/>
              </w:rPr>
            </w:pPr>
          </w:p>
        </w:tc>
        <w:tc>
          <w:tcPr>
            <w:tcW w:w="1034" w:type="dxa"/>
            <w:noWrap w:val="0"/>
            <w:vAlign w:val="center"/>
          </w:tcPr>
          <w:p w14:paraId="6A0B1E9C">
            <w:pPr>
              <w:jc w:val="center"/>
              <w:rPr>
                <w:color w:val="000000"/>
                <w:kern w:val="0"/>
                <w:szCs w:val="21"/>
              </w:rPr>
            </w:pPr>
            <w:r>
              <w:rPr>
                <w:color w:val="000000"/>
                <w:kern w:val="0"/>
                <w:szCs w:val="21"/>
              </w:rPr>
              <w:t>3</w:t>
            </w:r>
          </w:p>
        </w:tc>
        <w:tc>
          <w:tcPr>
            <w:tcW w:w="1034" w:type="dxa"/>
            <w:noWrap w:val="0"/>
            <w:vAlign w:val="center"/>
          </w:tcPr>
          <w:p w14:paraId="2E8EB189">
            <w:pPr>
              <w:jc w:val="center"/>
              <w:rPr>
                <w:color w:val="000000"/>
                <w:kern w:val="0"/>
                <w:szCs w:val="21"/>
              </w:rPr>
            </w:pPr>
            <w:r>
              <w:rPr>
                <w:color w:val="000000"/>
                <w:kern w:val="0"/>
                <w:szCs w:val="21"/>
              </w:rPr>
              <w:t>1</w:t>
            </w:r>
          </w:p>
        </w:tc>
        <w:tc>
          <w:tcPr>
            <w:tcW w:w="1289" w:type="dxa"/>
            <w:noWrap w:val="0"/>
            <w:vAlign w:val="center"/>
          </w:tcPr>
          <w:p w14:paraId="10578D23">
            <w:pPr>
              <w:jc w:val="center"/>
              <w:rPr>
                <w:color w:val="000000"/>
                <w:kern w:val="0"/>
                <w:szCs w:val="21"/>
              </w:rPr>
            </w:pPr>
            <w:r>
              <w:rPr>
                <w:color w:val="000000"/>
                <w:kern w:val="0"/>
                <w:szCs w:val="21"/>
              </w:rPr>
              <w:t>218</w:t>
            </w:r>
          </w:p>
        </w:tc>
        <w:tc>
          <w:tcPr>
            <w:tcW w:w="1034" w:type="dxa"/>
            <w:noWrap w:val="0"/>
            <w:vAlign w:val="center"/>
          </w:tcPr>
          <w:p w14:paraId="34EF328B">
            <w:pPr>
              <w:jc w:val="center"/>
              <w:rPr>
                <w:color w:val="000000"/>
                <w:kern w:val="0"/>
                <w:szCs w:val="21"/>
              </w:rPr>
            </w:pPr>
            <w:r>
              <w:rPr>
                <w:color w:val="000000"/>
                <w:kern w:val="0"/>
                <w:szCs w:val="21"/>
              </w:rPr>
              <w:t>1</w:t>
            </w:r>
          </w:p>
        </w:tc>
        <w:tc>
          <w:tcPr>
            <w:tcW w:w="1325" w:type="dxa"/>
            <w:noWrap w:val="0"/>
            <w:vAlign w:val="center"/>
          </w:tcPr>
          <w:p w14:paraId="63B885FC">
            <w:pPr>
              <w:jc w:val="center"/>
              <w:rPr>
                <w:color w:val="000000"/>
                <w:kern w:val="0"/>
                <w:sz w:val="22"/>
                <w:szCs w:val="22"/>
              </w:rPr>
            </w:pPr>
            <w:r>
              <w:rPr>
                <w:color w:val="000000"/>
                <w:kern w:val="0"/>
                <w:sz w:val="22"/>
                <w:szCs w:val="22"/>
              </w:rPr>
              <w:t>231</w:t>
            </w:r>
          </w:p>
        </w:tc>
        <w:tc>
          <w:tcPr>
            <w:tcW w:w="1034" w:type="dxa"/>
            <w:noWrap w:val="0"/>
            <w:vAlign w:val="center"/>
          </w:tcPr>
          <w:p w14:paraId="5E447D19">
            <w:pPr>
              <w:jc w:val="center"/>
              <w:rPr>
                <w:color w:val="000000"/>
                <w:kern w:val="0"/>
                <w:szCs w:val="21"/>
              </w:rPr>
            </w:pPr>
            <w:r>
              <w:rPr>
                <w:color w:val="000000"/>
                <w:kern w:val="0"/>
                <w:szCs w:val="21"/>
              </w:rPr>
              <w:t>1</w:t>
            </w:r>
          </w:p>
        </w:tc>
        <w:tc>
          <w:tcPr>
            <w:tcW w:w="1289" w:type="dxa"/>
            <w:noWrap w:val="0"/>
            <w:vAlign w:val="center"/>
          </w:tcPr>
          <w:p w14:paraId="7EF4A33B">
            <w:pPr>
              <w:jc w:val="center"/>
              <w:rPr>
                <w:color w:val="000000"/>
                <w:kern w:val="0"/>
                <w:szCs w:val="21"/>
              </w:rPr>
            </w:pPr>
            <w:r>
              <w:rPr>
                <w:color w:val="000000"/>
                <w:kern w:val="0"/>
                <w:szCs w:val="21"/>
              </w:rPr>
              <w:t>211</w:t>
            </w:r>
          </w:p>
        </w:tc>
      </w:tr>
      <w:tr w14:paraId="3342B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restart"/>
            <w:noWrap w:val="0"/>
            <w:vAlign w:val="center"/>
          </w:tcPr>
          <w:p w14:paraId="0DA9098A">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西二铺乡</w:t>
            </w:r>
          </w:p>
        </w:tc>
        <w:tc>
          <w:tcPr>
            <w:tcW w:w="1034" w:type="dxa"/>
            <w:noWrap w:val="0"/>
            <w:vAlign w:val="center"/>
          </w:tcPr>
          <w:p w14:paraId="7FF98C32">
            <w:pPr>
              <w:jc w:val="center"/>
              <w:rPr>
                <w:color w:val="000000"/>
                <w:kern w:val="0"/>
                <w:szCs w:val="21"/>
              </w:rPr>
            </w:pPr>
            <w:r>
              <w:rPr>
                <w:color w:val="000000"/>
                <w:kern w:val="0"/>
                <w:szCs w:val="21"/>
              </w:rPr>
              <w:t>1</w:t>
            </w:r>
          </w:p>
        </w:tc>
        <w:tc>
          <w:tcPr>
            <w:tcW w:w="1034" w:type="dxa"/>
            <w:noWrap w:val="0"/>
            <w:vAlign w:val="center"/>
          </w:tcPr>
          <w:p w14:paraId="72AEA355">
            <w:pPr>
              <w:jc w:val="center"/>
              <w:rPr>
                <w:color w:val="000000"/>
                <w:kern w:val="0"/>
                <w:szCs w:val="21"/>
              </w:rPr>
            </w:pPr>
            <w:r>
              <w:rPr>
                <w:color w:val="000000"/>
                <w:kern w:val="0"/>
                <w:szCs w:val="21"/>
              </w:rPr>
              <w:t>18</w:t>
            </w:r>
          </w:p>
        </w:tc>
        <w:tc>
          <w:tcPr>
            <w:tcW w:w="1289" w:type="dxa"/>
            <w:noWrap w:val="0"/>
            <w:vAlign w:val="center"/>
          </w:tcPr>
          <w:p w14:paraId="47B9FAFC">
            <w:pPr>
              <w:jc w:val="center"/>
              <w:rPr>
                <w:color w:val="000000"/>
                <w:kern w:val="0"/>
                <w:szCs w:val="21"/>
              </w:rPr>
            </w:pPr>
            <w:r>
              <w:rPr>
                <w:color w:val="000000"/>
                <w:kern w:val="0"/>
                <w:szCs w:val="21"/>
              </w:rPr>
              <w:t>371</w:t>
            </w:r>
          </w:p>
        </w:tc>
        <w:tc>
          <w:tcPr>
            <w:tcW w:w="1034" w:type="dxa"/>
            <w:noWrap w:val="0"/>
            <w:vAlign w:val="center"/>
          </w:tcPr>
          <w:p w14:paraId="6A1717B4">
            <w:pPr>
              <w:jc w:val="center"/>
              <w:rPr>
                <w:color w:val="000000"/>
                <w:kern w:val="0"/>
                <w:szCs w:val="21"/>
              </w:rPr>
            </w:pPr>
            <w:r>
              <w:rPr>
                <w:color w:val="000000"/>
                <w:kern w:val="0"/>
                <w:szCs w:val="21"/>
              </w:rPr>
              <w:t>18</w:t>
            </w:r>
          </w:p>
        </w:tc>
        <w:tc>
          <w:tcPr>
            <w:tcW w:w="1325" w:type="dxa"/>
            <w:noWrap w:val="0"/>
            <w:vAlign w:val="center"/>
          </w:tcPr>
          <w:p w14:paraId="5E82A101">
            <w:pPr>
              <w:jc w:val="center"/>
              <w:rPr>
                <w:color w:val="000000"/>
                <w:kern w:val="0"/>
                <w:sz w:val="22"/>
                <w:szCs w:val="22"/>
              </w:rPr>
            </w:pPr>
            <w:r>
              <w:rPr>
                <w:color w:val="000000"/>
                <w:kern w:val="0"/>
                <w:sz w:val="22"/>
                <w:szCs w:val="22"/>
              </w:rPr>
              <w:t>360</w:t>
            </w:r>
          </w:p>
        </w:tc>
        <w:tc>
          <w:tcPr>
            <w:tcW w:w="1034" w:type="dxa"/>
            <w:noWrap w:val="0"/>
            <w:vAlign w:val="center"/>
          </w:tcPr>
          <w:p w14:paraId="0577CE6E">
            <w:pPr>
              <w:jc w:val="center"/>
              <w:rPr>
                <w:color w:val="000000"/>
                <w:kern w:val="0"/>
                <w:szCs w:val="21"/>
              </w:rPr>
            </w:pPr>
            <w:r>
              <w:rPr>
                <w:color w:val="000000"/>
                <w:kern w:val="0"/>
                <w:szCs w:val="21"/>
              </w:rPr>
              <w:t>18</w:t>
            </w:r>
          </w:p>
        </w:tc>
        <w:tc>
          <w:tcPr>
            <w:tcW w:w="1289" w:type="dxa"/>
            <w:noWrap w:val="0"/>
            <w:vAlign w:val="center"/>
          </w:tcPr>
          <w:p w14:paraId="238DAE73">
            <w:pPr>
              <w:jc w:val="center"/>
              <w:rPr>
                <w:color w:val="000000"/>
                <w:kern w:val="0"/>
                <w:szCs w:val="21"/>
              </w:rPr>
            </w:pPr>
            <w:r>
              <w:rPr>
                <w:color w:val="000000"/>
                <w:kern w:val="0"/>
                <w:szCs w:val="21"/>
              </w:rPr>
              <w:t>394</w:t>
            </w:r>
          </w:p>
        </w:tc>
      </w:tr>
      <w:tr w14:paraId="55400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0E291B29">
            <w:pPr>
              <w:rPr>
                <w:rFonts w:ascii="楷体_GB2312" w:hAnsi="宋体" w:eastAsia="楷体_GB2312" w:cs="宋体"/>
                <w:color w:val="000000"/>
                <w:kern w:val="0"/>
                <w:szCs w:val="21"/>
              </w:rPr>
            </w:pPr>
          </w:p>
        </w:tc>
        <w:tc>
          <w:tcPr>
            <w:tcW w:w="1034" w:type="dxa"/>
            <w:noWrap w:val="0"/>
            <w:vAlign w:val="center"/>
          </w:tcPr>
          <w:p w14:paraId="6D4A1A03">
            <w:pPr>
              <w:jc w:val="center"/>
              <w:rPr>
                <w:color w:val="000000"/>
                <w:kern w:val="0"/>
                <w:szCs w:val="21"/>
              </w:rPr>
            </w:pPr>
            <w:r>
              <w:rPr>
                <w:color w:val="000000"/>
                <w:kern w:val="0"/>
                <w:szCs w:val="21"/>
              </w:rPr>
              <w:t>2</w:t>
            </w:r>
          </w:p>
        </w:tc>
        <w:tc>
          <w:tcPr>
            <w:tcW w:w="1034" w:type="dxa"/>
            <w:noWrap w:val="0"/>
            <w:vAlign w:val="center"/>
          </w:tcPr>
          <w:p w14:paraId="290D776B">
            <w:pPr>
              <w:jc w:val="center"/>
              <w:rPr>
                <w:color w:val="000000"/>
                <w:kern w:val="0"/>
                <w:szCs w:val="21"/>
              </w:rPr>
            </w:pPr>
            <w:r>
              <w:rPr>
                <w:color w:val="000000"/>
                <w:kern w:val="0"/>
                <w:szCs w:val="21"/>
              </w:rPr>
              <w:t>8</w:t>
            </w:r>
          </w:p>
        </w:tc>
        <w:tc>
          <w:tcPr>
            <w:tcW w:w="1289" w:type="dxa"/>
            <w:noWrap w:val="0"/>
            <w:vAlign w:val="center"/>
          </w:tcPr>
          <w:p w14:paraId="14C2BEF0">
            <w:pPr>
              <w:jc w:val="center"/>
              <w:rPr>
                <w:color w:val="000000"/>
                <w:kern w:val="0"/>
                <w:szCs w:val="21"/>
              </w:rPr>
            </w:pPr>
            <w:r>
              <w:rPr>
                <w:color w:val="000000"/>
                <w:kern w:val="0"/>
                <w:szCs w:val="21"/>
              </w:rPr>
              <w:t>288</w:t>
            </w:r>
          </w:p>
        </w:tc>
        <w:tc>
          <w:tcPr>
            <w:tcW w:w="1034" w:type="dxa"/>
            <w:noWrap w:val="0"/>
            <w:vAlign w:val="center"/>
          </w:tcPr>
          <w:p w14:paraId="5269C123">
            <w:pPr>
              <w:jc w:val="center"/>
              <w:rPr>
                <w:color w:val="000000"/>
                <w:kern w:val="0"/>
                <w:szCs w:val="21"/>
              </w:rPr>
            </w:pPr>
            <w:r>
              <w:rPr>
                <w:color w:val="000000"/>
                <w:kern w:val="0"/>
                <w:szCs w:val="21"/>
              </w:rPr>
              <w:t>8</w:t>
            </w:r>
          </w:p>
        </w:tc>
        <w:tc>
          <w:tcPr>
            <w:tcW w:w="1325" w:type="dxa"/>
            <w:noWrap w:val="0"/>
            <w:vAlign w:val="center"/>
          </w:tcPr>
          <w:p w14:paraId="1B43F172">
            <w:pPr>
              <w:jc w:val="center"/>
              <w:rPr>
                <w:color w:val="000000"/>
                <w:kern w:val="0"/>
                <w:sz w:val="22"/>
                <w:szCs w:val="22"/>
              </w:rPr>
            </w:pPr>
            <w:r>
              <w:rPr>
                <w:color w:val="000000"/>
                <w:kern w:val="0"/>
                <w:sz w:val="22"/>
                <w:szCs w:val="22"/>
              </w:rPr>
              <w:t>285</w:t>
            </w:r>
          </w:p>
        </w:tc>
        <w:tc>
          <w:tcPr>
            <w:tcW w:w="1034" w:type="dxa"/>
            <w:noWrap w:val="0"/>
            <w:vAlign w:val="center"/>
          </w:tcPr>
          <w:p w14:paraId="46D3398C">
            <w:pPr>
              <w:jc w:val="center"/>
              <w:rPr>
                <w:color w:val="000000"/>
                <w:kern w:val="0"/>
                <w:szCs w:val="21"/>
              </w:rPr>
            </w:pPr>
            <w:r>
              <w:rPr>
                <w:color w:val="000000"/>
                <w:kern w:val="0"/>
                <w:szCs w:val="21"/>
              </w:rPr>
              <w:t>8</w:t>
            </w:r>
          </w:p>
        </w:tc>
        <w:tc>
          <w:tcPr>
            <w:tcW w:w="1289" w:type="dxa"/>
            <w:noWrap w:val="0"/>
            <w:vAlign w:val="center"/>
          </w:tcPr>
          <w:p w14:paraId="42475052">
            <w:pPr>
              <w:jc w:val="center"/>
              <w:rPr>
                <w:color w:val="000000"/>
                <w:kern w:val="0"/>
                <w:szCs w:val="21"/>
              </w:rPr>
            </w:pPr>
            <w:r>
              <w:rPr>
                <w:color w:val="000000"/>
                <w:kern w:val="0"/>
                <w:szCs w:val="21"/>
              </w:rPr>
              <w:t>282</w:t>
            </w:r>
          </w:p>
        </w:tc>
      </w:tr>
      <w:tr w14:paraId="5AC62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022BE7EE">
            <w:pPr>
              <w:rPr>
                <w:rFonts w:ascii="楷体_GB2312" w:hAnsi="宋体" w:eastAsia="楷体_GB2312" w:cs="宋体"/>
                <w:color w:val="000000"/>
                <w:kern w:val="0"/>
                <w:szCs w:val="21"/>
              </w:rPr>
            </w:pPr>
          </w:p>
        </w:tc>
        <w:tc>
          <w:tcPr>
            <w:tcW w:w="1034" w:type="dxa"/>
            <w:noWrap w:val="0"/>
            <w:vAlign w:val="center"/>
          </w:tcPr>
          <w:p w14:paraId="7E9E0315">
            <w:pPr>
              <w:jc w:val="center"/>
              <w:rPr>
                <w:color w:val="000000"/>
                <w:kern w:val="0"/>
                <w:szCs w:val="21"/>
              </w:rPr>
            </w:pPr>
            <w:r>
              <w:rPr>
                <w:color w:val="000000"/>
                <w:kern w:val="0"/>
                <w:szCs w:val="21"/>
              </w:rPr>
              <w:t>3</w:t>
            </w:r>
          </w:p>
        </w:tc>
        <w:tc>
          <w:tcPr>
            <w:tcW w:w="1034" w:type="dxa"/>
            <w:noWrap w:val="0"/>
            <w:vAlign w:val="center"/>
          </w:tcPr>
          <w:p w14:paraId="0695B05E">
            <w:pPr>
              <w:jc w:val="center"/>
              <w:rPr>
                <w:color w:val="000000"/>
                <w:kern w:val="0"/>
                <w:szCs w:val="21"/>
              </w:rPr>
            </w:pPr>
            <w:r>
              <w:rPr>
                <w:color w:val="000000"/>
                <w:kern w:val="0"/>
                <w:szCs w:val="21"/>
              </w:rPr>
              <w:t>4</w:t>
            </w:r>
          </w:p>
        </w:tc>
        <w:tc>
          <w:tcPr>
            <w:tcW w:w="1289" w:type="dxa"/>
            <w:noWrap w:val="0"/>
            <w:vAlign w:val="center"/>
          </w:tcPr>
          <w:p w14:paraId="2A3BC495">
            <w:pPr>
              <w:jc w:val="center"/>
              <w:rPr>
                <w:color w:val="000000"/>
                <w:kern w:val="0"/>
                <w:szCs w:val="21"/>
              </w:rPr>
            </w:pPr>
            <w:r>
              <w:rPr>
                <w:color w:val="000000"/>
                <w:kern w:val="0"/>
                <w:szCs w:val="21"/>
              </w:rPr>
              <w:t>224</w:t>
            </w:r>
          </w:p>
        </w:tc>
        <w:tc>
          <w:tcPr>
            <w:tcW w:w="1034" w:type="dxa"/>
            <w:noWrap w:val="0"/>
            <w:vAlign w:val="center"/>
          </w:tcPr>
          <w:p w14:paraId="7F354414">
            <w:pPr>
              <w:jc w:val="center"/>
              <w:rPr>
                <w:color w:val="000000"/>
                <w:kern w:val="0"/>
                <w:szCs w:val="21"/>
              </w:rPr>
            </w:pPr>
            <w:r>
              <w:rPr>
                <w:color w:val="000000"/>
                <w:kern w:val="0"/>
                <w:szCs w:val="21"/>
              </w:rPr>
              <w:t>4</w:t>
            </w:r>
          </w:p>
        </w:tc>
        <w:tc>
          <w:tcPr>
            <w:tcW w:w="1325" w:type="dxa"/>
            <w:noWrap w:val="0"/>
            <w:vAlign w:val="center"/>
          </w:tcPr>
          <w:p w14:paraId="14CC9C70">
            <w:pPr>
              <w:jc w:val="center"/>
              <w:rPr>
                <w:color w:val="000000"/>
                <w:kern w:val="0"/>
                <w:sz w:val="22"/>
                <w:szCs w:val="22"/>
              </w:rPr>
            </w:pPr>
            <w:r>
              <w:rPr>
                <w:color w:val="000000"/>
                <w:kern w:val="0"/>
                <w:sz w:val="22"/>
                <w:szCs w:val="22"/>
              </w:rPr>
              <w:t>213</w:t>
            </w:r>
          </w:p>
        </w:tc>
        <w:tc>
          <w:tcPr>
            <w:tcW w:w="1034" w:type="dxa"/>
            <w:noWrap w:val="0"/>
            <w:vAlign w:val="center"/>
          </w:tcPr>
          <w:p w14:paraId="0A11A010">
            <w:pPr>
              <w:jc w:val="center"/>
              <w:rPr>
                <w:color w:val="000000"/>
                <w:kern w:val="0"/>
                <w:szCs w:val="21"/>
              </w:rPr>
            </w:pPr>
            <w:r>
              <w:rPr>
                <w:color w:val="000000"/>
                <w:kern w:val="0"/>
                <w:szCs w:val="21"/>
              </w:rPr>
              <w:t>4</w:t>
            </w:r>
          </w:p>
        </w:tc>
        <w:tc>
          <w:tcPr>
            <w:tcW w:w="1289" w:type="dxa"/>
            <w:noWrap w:val="0"/>
            <w:vAlign w:val="center"/>
          </w:tcPr>
          <w:p w14:paraId="1FC3F4E7">
            <w:pPr>
              <w:jc w:val="center"/>
              <w:rPr>
                <w:color w:val="000000"/>
                <w:kern w:val="0"/>
                <w:szCs w:val="21"/>
              </w:rPr>
            </w:pPr>
            <w:r>
              <w:rPr>
                <w:color w:val="000000"/>
                <w:kern w:val="0"/>
                <w:szCs w:val="21"/>
              </w:rPr>
              <w:t>208</w:t>
            </w:r>
          </w:p>
        </w:tc>
      </w:tr>
      <w:tr w14:paraId="62F7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restart"/>
            <w:noWrap w:val="0"/>
            <w:vAlign w:val="center"/>
          </w:tcPr>
          <w:p w14:paraId="58127EB7">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桃园镇</w:t>
            </w:r>
          </w:p>
        </w:tc>
        <w:tc>
          <w:tcPr>
            <w:tcW w:w="1034" w:type="dxa"/>
            <w:noWrap w:val="0"/>
            <w:vAlign w:val="center"/>
          </w:tcPr>
          <w:p w14:paraId="535601AC">
            <w:pPr>
              <w:jc w:val="center"/>
              <w:rPr>
                <w:color w:val="000000"/>
                <w:kern w:val="0"/>
                <w:szCs w:val="21"/>
              </w:rPr>
            </w:pPr>
            <w:r>
              <w:rPr>
                <w:color w:val="000000"/>
                <w:kern w:val="0"/>
                <w:szCs w:val="21"/>
              </w:rPr>
              <w:t>1</w:t>
            </w:r>
          </w:p>
        </w:tc>
        <w:tc>
          <w:tcPr>
            <w:tcW w:w="1034" w:type="dxa"/>
            <w:noWrap w:val="0"/>
            <w:vAlign w:val="center"/>
          </w:tcPr>
          <w:p w14:paraId="16AFE755">
            <w:pPr>
              <w:jc w:val="center"/>
              <w:rPr>
                <w:color w:val="000000"/>
                <w:kern w:val="0"/>
                <w:szCs w:val="21"/>
              </w:rPr>
            </w:pPr>
            <w:r>
              <w:rPr>
                <w:color w:val="000000"/>
                <w:kern w:val="0"/>
                <w:szCs w:val="21"/>
              </w:rPr>
              <w:t>16</w:t>
            </w:r>
          </w:p>
        </w:tc>
        <w:tc>
          <w:tcPr>
            <w:tcW w:w="1289" w:type="dxa"/>
            <w:noWrap w:val="0"/>
            <w:vAlign w:val="center"/>
          </w:tcPr>
          <w:p w14:paraId="4C104402">
            <w:pPr>
              <w:jc w:val="center"/>
              <w:rPr>
                <w:color w:val="000000"/>
                <w:kern w:val="0"/>
                <w:szCs w:val="21"/>
              </w:rPr>
            </w:pPr>
            <w:r>
              <w:rPr>
                <w:color w:val="000000"/>
                <w:kern w:val="0"/>
                <w:szCs w:val="21"/>
              </w:rPr>
              <w:t>354</w:t>
            </w:r>
          </w:p>
        </w:tc>
        <w:tc>
          <w:tcPr>
            <w:tcW w:w="1034" w:type="dxa"/>
            <w:noWrap w:val="0"/>
            <w:vAlign w:val="center"/>
          </w:tcPr>
          <w:p w14:paraId="12AEA025">
            <w:pPr>
              <w:jc w:val="center"/>
              <w:rPr>
                <w:color w:val="000000"/>
                <w:kern w:val="0"/>
                <w:szCs w:val="21"/>
              </w:rPr>
            </w:pPr>
            <w:r>
              <w:rPr>
                <w:color w:val="000000"/>
                <w:kern w:val="0"/>
                <w:szCs w:val="21"/>
              </w:rPr>
              <w:t>16</w:t>
            </w:r>
          </w:p>
        </w:tc>
        <w:tc>
          <w:tcPr>
            <w:tcW w:w="1325" w:type="dxa"/>
            <w:noWrap w:val="0"/>
            <w:vAlign w:val="center"/>
          </w:tcPr>
          <w:p w14:paraId="5A6A0124">
            <w:pPr>
              <w:jc w:val="center"/>
              <w:rPr>
                <w:color w:val="000000"/>
                <w:kern w:val="0"/>
                <w:sz w:val="22"/>
                <w:szCs w:val="22"/>
              </w:rPr>
            </w:pPr>
            <w:r>
              <w:rPr>
                <w:color w:val="000000"/>
                <w:kern w:val="0"/>
                <w:sz w:val="22"/>
                <w:szCs w:val="22"/>
              </w:rPr>
              <w:t>380</w:t>
            </w:r>
          </w:p>
        </w:tc>
        <w:tc>
          <w:tcPr>
            <w:tcW w:w="1034" w:type="dxa"/>
            <w:noWrap w:val="0"/>
            <w:vAlign w:val="center"/>
          </w:tcPr>
          <w:p w14:paraId="251139A7">
            <w:pPr>
              <w:jc w:val="center"/>
              <w:rPr>
                <w:color w:val="000000"/>
                <w:kern w:val="0"/>
                <w:szCs w:val="21"/>
              </w:rPr>
            </w:pPr>
            <w:r>
              <w:rPr>
                <w:color w:val="000000"/>
                <w:kern w:val="0"/>
                <w:szCs w:val="21"/>
              </w:rPr>
              <w:t>16</w:t>
            </w:r>
          </w:p>
        </w:tc>
        <w:tc>
          <w:tcPr>
            <w:tcW w:w="1289" w:type="dxa"/>
            <w:noWrap w:val="0"/>
            <w:vAlign w:val="center"/>
          </w:tcPr>
          <w:p w14:paraId="42FDDA02">
            <w:pPr>
              <w:jc w:val="center"/>
              <w:rPr>
                <w:color w:val="000000"/>
                <w:kern w:val="0"/>
                <w:szCs w:val="21"/>
              </w:rPr>
            </w:pPr>
            <w:r>
              <w:rPr>
                <w:color w:val="000000"/>
                <w:kern w:val="0"/>
                <w:szCs w:val="21"/>
              </w:rPr>
              <w:t>361</w:t>
            </w:r>
          </w:p>
        </w:tc>
      </w:tr>
      <w:tr w14:paraId="63885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7DC7732F">
            <w:pPr>
              <w:rPr>
                <w:rFonts w:ascii="楷体_GB2312" w:hAnsi="宋体" w:eastAsia="楷体_GB2312" w:cs="宋体"/>
                <w:color w:val="000000"/>
                <w:kern w:val="0"/>
                <w:szCs w:val="21"/>
              </w:rPr>
            </w:pPr>
          </w:p>
        </w:tc>
        <w:tc>
          <w:tcPr>
            <w:tcW w:w="1034" w:type="dxa"/>
            <w:noWrap w:val="0"/>
            <w:vAlign w:val="center"/>
          </w:tcPr>
          <w:p w14:paraId="06A5D24A">
            <w:pPr>
              <w:jc w:val="center"/>
              <w:rPr>
                <w:color w:val="000000"/>
                <w:kern w:val="0"/>
                <w:szCs w:val="21"/>
              </w:rPr>
            </w:pPr>
            <w:r>
              <w:rPr>
                <w:color w:val="000000"/>
                <w:kern w:val="0"/>
                <w:szCs w:val="21"/>
              </w:rPr>
              <w:t>2</w:t>
            </w:r>
          </w:p>
        </w:tc>
        <w:tc>
          <w:tcPr>
            <w:tcW w:w="1034" w:type="dxa"/>
            <w:noWrap w:val="0"/>
            <w:vAlign w:val="center"/>
          </w:tcPr>
          <w:p w14:paraId="5A8DF863">
            <w:pPr>
              <w:jc w:val="center"/>
              <w:rPr>
                <w:color w:val="000000"/>
                <w:kern w:val="0"/>
                <w:szCs w:val="21"/>
              </w:rPr>
            </w:pPr>
            <w:r>
              <w:rPr>
                <w:color w:val="000000"/>
                <w:kern w:val="0"/>
                <w:szCs w:val="21"/>
              </w:rPr>
              <w:t>10</w:t>
            </w:r>
          </w:p>
        </w:tc>
        <w:tc>
          <w:tcPr>
            <w:tcW w:w="1289" w:type="dxa"/>
            <w:noWrap w:val="0"/>
            <w:vAlign w:val="center"/>
          </w:tcPr>
          <w:p w14:paraId="09FCD09C">
            <w:pPr>
              <w:jc w:val="center"/>
              <w:rPr>
                <w:color w:val="000000"/>
                <w:kern w:val="0"/>
                <w:szCs w:val="21"/>
              </w:rPr>
            </w:pPr>
            <w:r>
              <w:rPr>
                <w:color w:val="000000"/>
                <w:kern w:val="0"/>
                <w:szCs w:val="21"/>
              </w:rPr>
              <w:t>267</w:t>
            </w:r>
          </w:p>
        </w:tc>
        <w:tc>
          <w:tcPr>
            <w:tcW w:w="1034" w:type="dxa"/>
            <w:noWrap w:val="0"/>
            <w:vAlign w:val="center"/>
          </w:tcPr>
          <w:p w14:paraId="5C687AA4">
            <w:pPr>
              <w:jc w:val="center"/>
              <w:rPr>
                <w:color w:val="000000"/>
                <w:kern w:val="0"/>
                <w:szCs w:val="21"/>
              </w:rPr>
            </w:pPr>
            <w:r>
              <w:rPr>
                <w:color w:val="000000"/>
                <w:kern w:val="0"/>
                <w:szCs w:val="21"/>
              </w:rPr>
              <w:t>10</w:t>
            </w:r>
          </w:p>
        </w:tc>
        <w:tc>
          <w:tcPr>
            <w:tcW w:w="1325" w:type="dxa"/>
            <w:noWrap w:val="0"/>
            <w:vAlign w:val="center"/>
          </w:tcPr>
          <w:p w14:paraId="72B31C86">
            <w:pPr>
              <w:jc w:val="center"/>
              <w:rPr>
                <w:color w:val="000000"/>
                <w:kern w:val="0"/>
                <w:sz w:val="22"/>
                <w:szCs w:val="22"/>
              </w:rPr>
            </w:pPr>
            <w:r>
              <w:rPr>
                <w:color w:val="000000"/>
                <w:kern w:val="0"/>
                <w:sz w:val="22"/>
                <w:szCs w:val="22"/>
              </w:rPr>
              <w:t>283</w:t>
            </w:r>
          </w:p>
        </w:tc>
        <w:tc>
          <w:tcPr>
            <w:tcW w:w="1034" w:type="dxa"/>
            <w:noWrap w:val="0"/>
            <w:vAlign w:val="center"/>
          </w:tcPr>
          <w:p w14:paraId="5BB35981">
            <w:pPr>
              <w:jc w:val="center"/>
              <w:rPr>
                <w:color w:val="000000"/>
                <w:kern w:val="0"/>
                <w:szCs w:val="21"/>
              </w:rPr>
            </w:pPr>
            <w:r>
              <w:rPr>
                <w:color w:val="000000"/>
                <w:kern w:val="0"/>
                <w:szCs w:val="21"/>
              </w:rPr>
              <w:t>10</w:t>
            </w:r>
          </w:p>
        </w:tc>
        <w:tc>
          <w:tcPr>
            <w:tcW w:w="1289" w:type="dxa"/>
            <w:noWrap w:val="0"/>
            <w:vAlign w:val="center"/>
          </w:tcPr>
          <w:p w14:paraId="7301888B">
            <w:pPr>
              <w:jc w:val="center"/>
              <w:rPr>
                <w:color w:val="000000"/>
                <w:kern w:val="0"/>
                <w:szCs w:val="21"/>
              </w:rPr>
            </w:pPr>
            <w:r>
              <w:rPr>
                <w:color w:val="000000"/>
                <w:kern w:val="0"/>
                <w:szCs w:val="21"/>
              </w:rPr>
              <w:t>275</w:t>
            </w:r>
          </w:p>
        </w:tc>
      </w:tr>
      <w:tr w14:paraId="0830A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3B6650C1">
            <w:pPr>
              <w:rPr>
                <w:rFonts w:ascii="楷体_GB2312" w:hAnsi="宋体" w:eastAsia="楷体_GB2312" w:cs="宋体"/>
                <w:color w:val="000000"/>
                <w:kern w:val="0"/>
                <w:szCs w:val="21"/>
              </w:rPr>
            </w:pPr>
          </w:p>
        </w:tc>
        <w:tc>
          <w:tcPr>
            <w:tcW w:w="1034" w:type="dxa"/>
            <w:noWrap w:val="0"/>
            <w:vAlign w:val="center"/>
          </w:tcPr>
          <w:p w14:paraId="326245C6">
            <w:pPr>
              <w:jc w:val="center"/>
              <w:rPr>
                <w:color w:val="000000"/>
                <w:kern w:val="0"/>
                <w:szCs w:val="21"/>
              </w:rPr>
            </w:pPr>
            <w:r>
              <w:rPr>
                <w:color w:val="000000"/>
                <w:kern w:val="0"/>
                <w:szCs w:val="21"/>
              </w:rPr>
              <w:t>3</w:t>
            </w:r>
          </w:p>
        </w:tc>
        <w:tc>
          <w:tcPr>
            <w:tcW w:w="1034" w:type="dxa"/>
            <w:noWrap w:val="0"/>
            <w:vAlign w:val="center"/>
          </w:tcPr>
          <w:p w14:paraId="2012B61D">
            <w:pPr>
              <w:jc w:val="center"/>
              <w:rPr>
                <w:color w:val="000000"/>
                <w:kern w:val="0"/>
                <w:szCs w:val="21"/>
              </w:rPr>
            </w:pPr>
            <w:r>
              <w:rPr>
                <w:color w:val="000000"/>
                <w:kern w:val="0"/>
                <w:szCs w:val="21"/>
              </w:rPr>
              <w:t>4</w:t>
            </w:r>
          </w:p>
        </w:tc>
        <w:tc>
          <w:tcPr>
            <w:tcW w:w="1289" w:type="dxa"/>
            <w:noWrap w:val="0"/>
            <w:vAlign w:val="center"/>
          </w:tcPr>
          <w:p w14:paraId="6243028C">
            <w:pPr>
              <w:jc w:val="center"/>
              <w:rPr>
                <w:color w:val="000000"/>
                <w:kern w:val="0"/>
                <w:szCs w:val="21"/>
              </w:rPr>
            </w:pPr>
            <w:r>
              <w:rPr>
                <w:color w:val="000000"/>
                <w:kern w:val="0"/>
                <w:szCs w:val="21"/>
              </w:rPr>
              <w:t>204</w:t>
            </w:r>
          </w:p>
        </w:tc>
        <w:tc>
          <w:tcPr>
            <w:tcW w:w="1034" w:type="dxa"/>
            <w:noWrap w:val="0"/>
            <w:vAlign w:val="center"/>
          </w:tcPr>
          <w:p w14:paraId="0F68AA7C">
            <w:pPr>
              <w:jc w:val="center"/>
              <w:rPr>
                <w:color w:val="000000"/>
                <w:kern w:val="0"/>
                <w:szCs w:val="21"/>
              </w:rPr>
            </w:pPr>
            <w:r>
              <w:rPr>
                <w:color w:val="000000"/>
                <w:kern w:val="0"/>
                <w:szCs w:val="21"/>
              </w:rPr>
              <w:t>4</w:t>
            </w:r>
          </w:p>
        </w:tc>
        <w:tc>
          <w:tcPr>
            <w:tcW w:w="1325" w:type="dxa"/>
            <w:noWrap w:val="0"/>
            <w:vAlign w:val="center"/>
          </w:tcPr>
          <w:p w14:paraId="4A86E1C9">
            <w:pPr>
              <w:jc w:val="center"/>
              <w:rPr>
                <w:color w:val="000000"/>
                <w:kern w:val="0"/>
                <w:sz w:val="22"/>
                <w:szCs w:val="22"/>
              </w:rPr>
            </w:pPr>
            <w:r>
              <w:rPr>
                <w:color w:val="000000"/>
                <w:kern w:val="0"/>
                <w:sz w:val="22"/>
                <w:szCs w:val="22"/>
              </w:rPr>
              <w:t>204</w:t>
            </w:r>
          </w:p>
        </w:tc>
        <w:tc>
          <w:tcPr>
            <w:tcW w:w="1034" w:type="dxa"/>
            <w:noWrap w:val="0"/>
            <w:vAlign w:val="center"/>
          </w:tcPr>
          <w:p w14:paraId="011FD762">
            <w:pPr>
              <w:jc w:val="center"/>
              <w:rPr>
                <w:color w:val="000000"/>
                <w:kern w:val="0"/>
                <w:szCs w:val="21"/>
              </w:rPr>
            </w:pPr>
            <w:r>
              <w:rPr>
                <w:color w:val="000000"/>
                <w:kern w:val="0"/>
                <w:szCs w:val="21"/>
              </w:rPr>
              <w:t>4</w:t>
            </w:r>
          </w:p>
        </w:tc>
        <w:tc>
          <w:tcPr>
            <w:tcW w:w="1289" w:type="dxa"/>
            <w:noWrap w:val="0"/>
            <w:vAlign w:val="center"/>
          </w:tcPr>
          <w:p w14:paraId="6D7B5870">
            <w:pPr>
              <w:jc w:val="center"/>
              <w:rPr>
                <w:color w:val="000000"/>
                <w:kern w:val="0"/>
                <w:szCs w:val="21"/>
              </w:rPr>
            </w:pPr>
            <w:r>
              <w:rPr>
                <w:color w:val="000000"/>
                <w:kern w:val="0"/>
                <w:szCs w:val="21"/>
              </w:rPr>
              <w:t>222</w:t>
            </w:r>
          </w:p>
        </w:tc>
      </w:tr>
      <w:tr w14:paraId="341B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restart"/>
            <w:noWrap w:val="0"/>
            <w:vAlign w:val="center"/>
          </w:tcPr>
          <w:p w14:paraId="5C9A7319">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曹村镇</w:t>
            </w:r>
          </w:p>
        </w:tc>
        <w:tc>
          <w:tcPr>
            <w:tcW w:w="1034" w:type="dxa"/>
            <w:noWrap w:val="0"/>
            <w:vAlign w:val="center"/>
          </w:tcPr>
          <w:p w14:paraId="24AF7208">
            <w:pPr>
              <w:jc w:val="center"/>
              <w:rPr>
                <w:color w:val="000000"/>
                <w:kern w:val="0"/>
                <w:szCs w:val="21"/>
              </w:rPr>
            </w:pPr>
            <w:r>
              <w:rPr>
                <w:color w:val="000000"/>
                <w:kern w:val="0"/>
                <w:szCs w:val="21"/>
              </w:rPr>
              <w:t>1</w:t>
            </w:r>
          </w:p>
        </w:tc>
        <w:tc>
          <w:tcPr>
            <w:tcW w:w="1034" w:type="dxa"/>
            <w:noWrap w:val="0"/>
            <w:vAlign w:val="center"/>
          </w:tcPr>
          <w:p w14:paraId="3408048A">
            <w:pPr>
              <w:jc w:val="center"/>
              <w:rPr>
                <w:color w:val="000000"/>
                <w:kern w:val="0"/>
                <w:szCs w:val="21"/>
              </w:rPr>
            </w:pPr>
            <w:r>
              <w:rPr>
                <w:color w:val="000000"/>
                <w:kern w:val="0"/>
                <w:szCs w:val="21"/>
              </w:rPr>
              <w:t>5</w:t>
            </w:r>
          </w:p>
        </w:tc>
        <w:tc>
          <w:tcPr>
            <w:tcW w:w="1289" w:type="dxa"/>
            <w:noWrap w:val="0"/>
            <w:vAlign w:val="center"/>
          </w:tcPr>
          <w:p w14:paraId="54C5305D">
            <w:pPr>
              <w:jc w:val="center"/>
              <w:rPr>
                <w:color w:val="000000"/>
                <w:kern w:val="0"/>
                <w:szCs w:val="21"/>
              </w:rPr>
            </w:pPr>
            <w:r>
              <w:rPr>
                <w:color w:val="000000"/>
                <w:kern w:val="0"/>
                <w:szCs w:val="21"/>
              </w:rPr>
              <w:t>378</w:t>
            </w:r>
          </w:p>
        </w:tc>
        <w:tc>
          <w:tcPr>
            <w:tcW w:w="1034" w:type="dxa"/>
            <w:noWrap w:val="0"/>
            <w:vAlign w:val="center"/>
          </w:tcPr>
          <w:p w14:paraId="66275781">
            <w:pPr>
              <w:jc w:val="center"/>
              <w:rPr>
                <w:color w:val="000000"/>
                <w:kern w:val="0"/>
                <w:szCs w:val="21"/>
              </w:rPr>
            </w:pPr>
            <w:r>
              <w:rPr>
                <w:color w:val="000000"/>
                <w:kern w:val="0"/>
                <w:szCs w:val="21"/>
              </w:rPr>
              <w:t>5</w:t>
            </w:r>
          </w:p>
        </w:tc>
        <w:tc>
          <w:tcPr>
            <w:tcW w:w="1325" w:type="dxa"/>
            <w:noWrap w:val="0"/>
            <w:vAlign w:val="center"/>
          </w:tcPr>
          <w:p w14:paraId="76ABA165">
            <w:pPr>
              <w:jc w:val="center"/>
              <w:rPr>
                <w:color w:val="000000"/>
                <w:kern w:val="0"/>
                <w:sz w:val="22"/>
                <w:szCs w:val="22"/>
              </w:rPr>
            </w:pPr>
            <w:r>
              <w:rPr>
                <w:color w:val="000000"/>
                <w:kern w:val="0"/>
                <w:sz w:val="22"/>
                <w:szCs w:val="22"/>
              </w:rPr>
              <w:t>346</w:t>
            </w:r>
          </w:p>
        </w:tc>
        <w:tc>
          <w:tcPr>
            <w:tcW w:w="1034" w:type="dxa"/>
            <w:noWrap w:val="0"/>
            <w:vAlign w:val="center"/>
          </w:tcPr>
          <w:p w14:paraId="452021F1">
            <w:pPr>
              <w:jc w:val="center"/>
              <w:rPr>
                <w:color w:val="000000"/>
                <w:kern w:val="0"/>
                <w:szCs w:val="21"/>
              </w:rPr>
            </w:pPr>
            <w:r>
              <w:rPr>
                <w:color w:val="000000"/>
                <w:kern w:val="0"/>
                <w:szCs w:val="21"/>
              </w:rPr>
              <w:t>5</w:t>
            </w:r>
          </w:p>
        </w:tc>
        <w:tc>
          <w:tcPr>
            <w:tcW w:w="1289" w:type="dxa"/>
            <w:noWrap w:val="0"/>
            <w:vAlign w:val="center"/>
          </w:tcPr>
          <w:p w14:paraId="201DCC4F">
            <w:pPr>
              <w:jc w:val="center"/>
              <w:rPr>
                <w:color w:val="000000"/>
                <w:kern w:val="0"/>
                <w:szCs w:val="21"/>
              </w:rPr>
            </w:pPr>
            <w:r>
              <w:rPr>
                <w:color w:val="000000"/>
                <w:kern w:val="0"/>
                <w:szCs w:val="21"/>
              </w:rPr>
              <w:t>356</w:t>
            </w:r>
          </w:p>
        </w:tc>
      </w:tr>
      <w:tr w14:paraId="0F5C6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6D6AD06D">
            <w:pPr>
              <w:rPr>
                <w:rFonts w:ascii="楷体_GB2312" w:hAnsi="宋体" w:eastAsia="楷体_GB2312" w:cs="宋体"/>
                <w:color w:val="000000"/>
                <w:kern w:val="0"/>
                <w:szCs w:val="21"/>
              </w:rPr>
            </w:pPr>
          </w:p>
        </w:tc>
        <w:tc>
          <w:tcPr>
            <w:tcW w:w="1034" w:type="dxa"/>
            <w:noWrap w:val="0"/>
            <w:vAlign w:val="center"/>
          </w:tcPr>
          <w:p w14:paraId="77EF0C54">
            <w:pPr>
              <w:jc w:val="center"/>
              <w:rPr>
                <w:color w:val="000000"/>
                <w:kern w:val="0"/>
                <w:szCs w:val="21"/>
              </w:rPr>
            </w:pPr>
            <w:r>
              <w:rPr>
                <w:color w:val="000000"/>
                <w:kern w:val="0"/>
                <w:szCs w:val="21"/>
              </w:rPr>
              <w:t>2</w:t>
            </w:r>
          </w:p>
        </w:tc>
        <w:tc>
          <w:tcPr>
            <w:tcW w:w="1034" w:type="dxa"/>
            <w:noWrap w:val="0"/>
            <w:vAlign w:val="center"/>
          </w:tcPr>
          <w:p w14:paraId="2690E148">
            <w:pPr>
              <w:jc w:val="center"/>
              <w:rPr>
                <w:color w:val="000000"/>
                <w:kern w:val="0"/>
                <w:szCs w:val="21"/>
              </w:rPr>
            </w:pPr>
            <w:r>
              <w:rPr>
                <w:color w:val="000000"/>
                <w:kern w:val="0"/>
                <w:szCs w:val="21"/>
              </w:rPr>
              <w:t>10</w:t>
            </w:r>
          </w:p>
        </w:tc>
        <w:tc>
          <w:tcPr>
            <w:tcW w:w="1289" w:type="dxa"/>
            <w:noWrap w:val="0"/>
            <w:vAlign w:val="center"/>
          </w:tcPr>
          <w:p w14:paraId="1DBC1463">
            <w:pPr>
              <w:jc w:val="center"/>
              <w:rPr>
                <w:color w:val="000000"/>
                <w:kern w:val="0"/>
                <w:szCs w:val="21"/>
              </w:rPr>
            </w:pPr>
            <w:r>
              <w:rPr>
                <w:color w:val="000000"/>
                <w:kern w:val="0"/>
                <w:szCs w:val="21"/>
              </w:rPr>
              <w:t>275</w:t>
            </w:r>
          </w:p>
        </w:tc>
        <w:tc>
          <w:tcPr>
            <w:tcW w:w="1034" w:type="dxa"/>
            <w:noWrap w:val="0"/>
            <w:vAlign w:val="center"/>
          </w:tcPr>
          <w:p w14:paraId="5C26411C">
            <w:pPr>
              <w:jc w:val="center"/>
              <w:rPr>
                <w:color w:val="000000"/>
                <w:kern w:val="0"/>
                <w:szCs w:val="21"/>
              </w:rPr>
            </w:pPr>
            <w:r>
              <w:rPr>
                <w:color w:val="000000"/>
                <w:kern w:val="0"/>
                <w:szCs w:val="21"/>
              </w:rPr>
              <w:t>10</w:t>
            </w:r>
          </w:p>
        </w:tc>
        <w:tc>
          <w:tcPr>
            <w:tcW w:w="1325" w:type="dxa"/>
            <w:noWrap w:val="0"/>
            <w:vAlign w:val="center"/>
          </w:tcPr>
          <w:p w14:paraId="08C75385">
            <w:pPr>
              <w:jc w:val="center"/>
              <w:rPr>
                <w:color w:val="000000"/>
                <w:kern w:val="0"/>
                <w:sz w:val="22"/>
                <w:szCs w:val="22"/>
              </w:rPr>
            </w:pPr>
            <w:r>
              <w:rPr>
                <w:color w:val="000000"/>
                <w:kern w:val="0"/>
                <w:sz w:val="22"/>
                <w:szCs w:val="22"/>
              </w:rPr>
              <w:t>283</w:t>
            </w:r>
          </w:p>
        </w:tc>
        <w:tc>
          <w:tcPr>
            <w:tcW w:w="1034" w:type="dxa"/>
            <w:noWrap w:val="0"/>
            <w:vAlign w:val="center"/>
          </w:tcPr>
          <w:p w14:paraId="416B138C">
            <w:pPr>
              <w:jc w:val="center"/>
              <w:rPr>
                <w:color w:val="000000"/>
                <w:kern w:val="0"/>
                <w:szCs w:val="21"/>
              </w:rPr>
            </w:pPr>
            <w:r>
              <w:rPr>
                <w:color w:val="000000"/>
                <w:kern w:val="0"/>
                <w:szCs w:val="21"/>
              </w:rPr>
              <w:t>10</w:t>
            </w:r>
          </w:p>
        </w:tc>
        <w:tc>
          <w:tcPr>
            <w:tcW w:w="1289" w:type="dxa"/>
            <w:noWrap w:val="0"/>
            <w:vAlign w:val="center"/>
          </w:tcPr>
          <w:p w14:paraId="5D4A2CBA">
            <w:pPr>
              <w:jc w:val="center"/>
              <w:rPr>
                <w:color w:val="000000"/>
                <w:kern w:val="0"/>
                <w:szCs w:val="21"/>
              </w:rPr>
            </w:pPr>
            <w:r>
              <w:rPr>
                <w:color w:val="000000"/>
                <w:kern w:val="0"/>
                <w:szCs w:val="21"/>
              </w:rPr>
              <w:t>267</w:t>
            </w:r>
          </w:p>
        </w:tc>
      </w:tr>
      <w:tr w14:paraId="07B9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275E534E">
            <w:pPr>
              <w:rPr>
                <w:rFonts w:ascii="楷体_GB2312" w:hAnsi="宋体" w:eastAsia="楷体_GB2312" w:cs="宋体"/>
                <w:color w:val="000000"/>
                <w:kern w:val="0"/>
                <w:szCs w:val="21"/>
              </w:rPr>
            </w:pPr>
          </w:p>
        </w:tc>
        <w:tc>
          <w:tcPr>
            <w:tcW w:w="1034" w:type="dxa"/>
            <w:noWrap w:val="0"/>
            <w:vAlign w:val="center"/>
          </w:tcPr>
          <w:p w14:paraId="7A2AC827">
            <w:pPr>
              <w:jc w:val="center"/>
              <w:rPr>
                <w:color w:val="000000"/>
                <w:kern w:val="0"/>
                <w:szCs w:val="21"/>
              </w:rPr>
            </w:pPr>
            <w:r>
              <w:rPr>
                <w:color w:val="000000"/>
                <w:kern w:val="0"/>
                <w:szCs w:val="21"/>
              </w:rPr>
              <w:t>3</w:t>
            </w:r>
          </w:p>
        </w:tc>
        <w:tc>
          <w:tcPr>
            <w:tcW w:w="1034" w:type="dxa"/>
            <w:noWrap w:val="0"/>
            <w:vAlign w:val="center"/>
          </w:tcPr>
          <w:p w14:paraId="7876D9C5">
            <w:pPr>
              <w:jc w:val="center"/>
              <w:rPr>
                <w:color w:val="000000"/>
                <w:kern w:val="0"/>
                <w:szCs w:val="21"/>
              </w:rPr>
            </w:pPr>
            <w:r>
              <w:rPr>
                <w:color w:val="000000"/>
                <w:kern w:val="0"/>
                <w:szCs w:val="21"/>
              </w:rPr>
              <w:t>15</w:t>
            </w:r>
          </w:p>
        </w:tc>
        <w:tc>
          <w:tcPr>
            <w:tcW w:w="1289" w:type="dxa"/>
            <w:noWrap w:val="0"/>
            <w:vAlign w:val="center"/>
          </w:tcPr>
          <w:p w14:paraId="5233F743">
            <w:pPr>
              <w:jc w:val="center"/>
              <w:rPr>
                <w:color w:val="000000"/>
                <w:kern w:val="0"/>
                <w:szCs w:val="21"/>
              </w:rPr>
            </w:pPr>
            <w:r>
              <w:rPr>
                <w:color w:val="000000"/>
                <w:kern w:val="0"/>
                <w:szCs w:val="21"/>
              </w:rPr>
              <w:t>212</w:t>
            </w:r>
          </w:p>
        </w:tc>
        <w:tc>
          <w:tcPr>
            <w:tcW w:w="1034" w:type="dxa"/>
            <w:noWrap w:val="0"/>
            <w:vAlign w:val="center"/>
          </w:tcPr>
          <w:p w14:paraId="098D43D1">
            <w:pPr>
              <w:jc w:val="center"/>
              <w:rPr>
                <w:color w:val="000000"/>
                <w:kern w:val="0"/>
                <w:szCs w:val="21"/>
              </w:rPr>
            </w:pPr>
            <w:r>
              <w:rPr>
                <w:color w:val="000000"/>
                <w:kern w:val="0"/>
                <w:szCs w:val="21"/>
              </w:rPr>
              <w:t>15</w:t>
            </w:r>
          </w:p>
        </w:tc>
        <w:tc>
          <w:tcPr>
            <w:tcW w:w="1325" w:type="dxa"/>
            <w:noWrap w:val="0"/>
            <w:vAlign w:val="center"/>
          </w:tcPr>
          <w:p w14:paraId="5772077E">
            <w:pPr>
              <w:jc w:val="center"/>
              <w:rPr>
                <w:color w:val="000000"/>
                <w:kern w:val="0"/>
                <w:sz w:val="22"/>
                <w:szCs w:val="22"/>
              </w:rPr>
            </w:pPr>
            <w:r>
              <w:rPr>
                <w:color w:val="000000"/>
                <w:kern w:val="0"/>
                <w:sz w:val="22"/>
                <w:szCs w:val="22"/>
              </w:rPr>
              <w:t>200</w:t>
            </w:r>
          </w:p>
        </w:tc>
        <w:tc>
          <w:tcPr>
            <w:tcW w:w="1034" w:type="dxa"/>
            <w:noWrap w:val="0"/>
            <w:vAlign w:val="center"/>
          </w:tcPr>
          <w:p w14:paraId="678983AE">
            <w:pPr>
              <w:jc w:val="center"/>
              <w:rPr>
                <w:color w:val="000000"/>
                <w:kern w:val="0"/>
                <w:szCs w:val="21"/>
              </w:rPr>
            </w:pPr>
            <w:r>
              <w:rPr>
                <w:color w:val="000000"/>
                <w:kern w:val="0"/>
                <w:szCs w:val="21"/>
              </w:rPr>
              <w:t>15</w:t>
            </w:r>
          </w:p>
        </w:tc>
        <w:tc>
          <w:tcPr>
            <w:tcW w:w="1289" w:type="dxa"/>
            <w:noWrap w:val="0"/>
            <w:vAlign w:val="center"/>
          </w:tcPr>
          <w:p w14:paraId="6CCC5A15">
            <w:pPr>
              <w:jc w:val="center"/>
              <w:rPr>
                <w:color w:val="000000"/>
                <w:kern w:val="0"/>
                <w:szCs w:val="21"/>
              </w:rPr>
            </w:pPr>
            <w:r>
              <w:rPr>
                <w:color w:val="000000"/>
                <w:kern w:val="0"/>
                <w:szCs w:val="21"/>
              </w:rPr>
              <w:t>218</w:t>
            </w:r>
          </w:p>
        </w:tc>
      </w:tr>
      <w:tr w14:paraId="192B3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restart"/>
            <w:noWrap w:val="0"/>
            <w:vAlign w:val="center"/>
          </w:tcPr>
          <w:p w14:paraId="08175A5F">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大营镇</w:t>
            </w:r>
          </w:p>
        </w:tc>
        <w:tc>
          <w:tcPr>
            <w:tcW w:w="1034" w:type="dxa"/>
            <w:noWrap w:val="0"/>
            <w:vAlign w:val="center"/>
          </w:tcPr>
          <w:p w14:paraId="17ED22F6">
            <w:pPr>
              <w:jc w:val="center"/>
              <w:rPr>
                <w:color w:val="000000"/>
                <w:kern w:val="0"/>
                <w:szCs w:val="21"/>
              </w:rPr>
            </w:pPr>
            <w:r>
              <w:rPr>
                <w:color w:val="000000"/>
                <w:kern w:val="0"/>
                <w:szCs w:val="21"/>
              </w:rPr>
              <w:t>1</w:t>
            </w:r>
          </w:p>
        </w:tc>
        <w:tc>
          <w:tcPr>
            <w:tcW w:w="1034" w:type="dxa"/>
            <w:noWrap w:val="0"/>
            <w:vAlign w:val="center"/>
          </w:tcPr>
          <w:p w14:paraId="7B435CB0">
            <w:pPr>
              <w:jc w:val="center"/>
              <w:rPr>
                <w:color w:val="000000"/>
                <w:kern w:val="0"/>
                <w:szCs w:val="21"/>
              </w:rPr>
            </w:pPr>
            <w:r>
              <w:rPr>
                <w:color w:val="000000"/>
                <w:kern w:val="0"/>
                <w:szCs w:val="21"/>
              </w:rPr>
              <w:t>15</w:t>
            </w:r>
          </w:p>
        </w:tc>
        <w:tc>
          <w:tcPr>
            <w:tcW w:w="1289" w:type="dxa"/>
            <w:noWrap w:val="0"/>
            <w:vAlign w:val="center"/>
          </w:tcPr>
          <w:p w14:paraId="790D162A">
            <w:pPr>
              <w:jc w:val="center"/>
              <w:rPr>
                <w:color w:val="000000"/>
                <w:kern w:val="0"/>
                <w:szCs w:val="21"/>
              </w:rPr>
            </w:pPr>
            <w:r>
              <w:rPr>
                <w:color w:val="000000"/>
                <w:kern w:val="0"/>
                <w:szCs w:val="21"/>
              </w:rPr>
              <w:t>366</w:t>
            </w:r>
          </w:p>
        </w:tc>
        <w:tc>
          <w:tcPr>
            <w:tcW w:w="1034" w:type="dxa"/>
            <w:noWrap w:val="0"/>
            <w:vAlign w:val="center"/>
          </w:tcPr>
          <w:p w14:paraId="1903CB83">
            <w:pPr>
              <w:jc w:val="center"/>
              <w:rPr>
                <w:color w:val="000000"/>
                <w:kern w:val="0"/>
                <w:szCs w:val="21"/>
              </w:rPr>
            </w:pPr>
            <w:r>
              <w:rPr>
                <w:color w:val="000000"/>
                <w:kern w:val="0"/>
                <w:szCs w:val="21"/>
              </w:rPr>
              <w:t>15</w:t>
            </w:r>
          </w:p>
        </w:tc>
        <w:tc>
          <w:tcPr>
            <w:tcW w:w="1325" w:type="dxa"/>
            <w:noWrap w:val="0"/>
            <w:vAlign w:val="center"/>
          </w:tcPr>
          <w:p w14:paraId="01B05F26">
            <w:pPr>
              <w:jc w:val="center"/>
              <w:rPr>
                <w:color w:val="000000"/>
                <w:kern w:val="0"/>
                <w:sz w:val="22"/>
                <w:szCs w:val="22"/>
              </w:rPr>
            </w:pPr>
            <w:r>
              <w:rPr>
                <w:color w:val="000000"/>
                <w:kern w:val="0"/>
                <w:sz w:val="22"/>
                <w:szCs w:val="22"/>
              </w:rPr>
              <w:t>369</w:t>
            </w:r>
          </w:p>
        </w:tc>
        <w:tc>
          <w:tcPr>
            <w:tcW w:w="1034" w:type="dxa"/>
            <w:noWrap w:val="0"/>
            <w:vAlign w:val="center"/>
          </w:tcPr>
          <w:p w14:paraId="3C04DA46">
            <w:pPr>
              <w:jc w:val="center"/>
              <w:rPr>
                <w:color w:val="000000"/>
                <w:kern w:val="0"/>
                <w:szCs w:val="21"/>
              </w:rPr>
            </w:pPr>
            <w:r>
              <w:rPr>
                <w:color w:val="000000"/>
                <w:kern w:val="0"/>
                <w:szCs w:val="21"/>
              </w:rPr>
              <w:t>15</w:t>
            </w:r>
          </w:p>
        </w:tc>
        <w:tc>
          <w:tcPr>
            <w:tcW w:w="1289" w:type="dxa"/>
            <w:noWrap w:val="0"/>
            <w:vAlign w:val="center"/>
          </w:tcPr>
          <w:p w14:paraId="41B23402">
            <w:pPr>
              <w:jc w:val="center"/>
              <w:rPr>
                <w:color w:val="000000"/>
                <w:kern w:val="0"/>
                <w:szCs w:val="21"/>
              </w:rPr>
            </w:pPr>
            <w:r>
              <w:rPr>
                <w:color w:val="000000"/>
                <w:kern w:val="0"/>
                <w:szCs w:val="21"/>
              </w:rPr>
              <w:t>330</w:t>
            </w:r>
          </w:p>
        </w:tc>
      </w:tr>
      <w:tr w14:paraId="5E93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3F8C0AFF">
            <w:pPr>
              <w:rPr>
                <w:rFonts w:ascii="楷体_GB2312" w:hAnsi="宋体" w:eastAsia="楷体_GB2312" w:cs="宋体"/>
                <w:color w:val="000000"/>
                <w:kern w:val="0"/>
                <w:szCs w:val="21"/>
              </w:rPr>
            </w:pPr>
          </w:p>
        </w:tc>
        <w:tc>
          <w:tcPr>
            <w:tcW w:w="1034" w:type="dxa"/>
            <w:noWrap w:val="0"/>
            <w:vAlign w:val="center"/>
          </w:tcPr>
          <w:p w14:paraId="2CEEE05A">
            <w:pPr>
              <w:jc w:val="center"/>
              <w:rPr>
                <w:color w:val="000000"/>
                <w:kern w:val="0"/>
                <w:szCs w:val="21"/>
              </w:rPr>
            </w:pPr>
            <w:r>
              <w:rPr>
                <w:color w:val="000000"/>
                <w:kern w:val="0"/>
                <w:szCs w:val="21"/>
              </w:rPr>
              <w:t>2</w:t>
            </w:r>
          </w:p>
        </w:tc>
        <w:tc>
          <w:tcPr>
            <w:tcW w:w="1034" w:type="dxa"/>
            <w:noWrap w:val="0"/>
            <w:vAlign w:val="center"/>
          </w:tcPr>
          <w:p w14:paraId="49722C2F">
            <w:pPr>
              <w:jc w:val="center"/>
              <w:rPr>
                <w:color w:val="000000"/>
                <w:kern w:val="0"/>
                <w:szCs w:val="21"/>
              </w:rPr>
            </w:pPr>
            <w:r>
              <w:rPr>
                <w:color w:val="000000"/>
                <w:kern w:val="0"/>
                <w:szCs w:val="21"/>
              </w:rPr>
              <w:t>14</w:t>
            </w:r>
          </w:p>
        </w:tc>
        <w:tc>
          <w:tcPr>
            <w:tcW w:w="1289" w:type="dxa"/>
            <w:noWrap w:val="0"/>
            <w:vAlign w:val="center"/>
          </w:tcPr>
          <w:p w14:paraId="4622B377">
            <w:pPr>
              <w:jc w:val="center"/>
              <w:rPr>
                <w:color w:val="000000"/>
                <w:kern w:val="0"/>
                <w:szCs w:val="21"/>
              </w:rPr>
            </w:pPr>
            <w:r>
              <w:rPr>
                <w:color w:val="000000"/>
                <w:kern w:val="0"/>
                <w:szCs w:val="21"/>
              </w:rPr>
              <w:t>270</w:t>
            </w:r>
          </w:p>
        </w:tc>
        <w:tc>
          <w:tcPr>
            <w:tcW w:w="1034" w:type="dxa"/>
            <w:noWrap w:val="0"/>
            <w:vAlign w:val="center"/>
          </w:tcPr>
          <w:p w14:paraId="35329550">
            <w:pPr>
              <w:jc w:val="center"/>
              <w:rPr>
                <w:color w:val="000000"/>
                <w:kern w:val="0"/>
                <w:szCs w:val="21"/>
              </w:rPr>
            </w:pPr>
            <w:r>
              <w:rPr>
                <w:color w:val="000000"/>
                <w:kern w:val="0"/>
                <w:szCs w:val="21"/>
              </w:rPr>
              <w:t>14</w:t>
            </w:r>
          </w:p>
        </w:tc>
        <w:tc>
          <w:tcPr>
            <w:tcW w:w="1325" w:type="dxa"/>
            <w:noWrap w:val="0"/>
            <w:vAlign w:val="center"/>
          </w:tcPr>
          <w:p w14:paraId="3900B052">
            <w:pPr>
              <w:jc w:val="center"/>
              <w:rPr>
                <w:color w:val="000000"/>
                <w:kern w:val="0"/>
                <w:sz w:val="22"/>
                <w:szCs w:val="22"/>
              </w:rPr>
            </w:pPr>
            <w:r>
              <w:rPr>
                <w:color w:val="000000"/>
                <w:kern w:val="0"/>
                <w:sz w:val="22"/>
                <w:szCs w:val="22"/>
              </w:rPr>
              <w:t>265</w:t>
            </w:r>
          </w:p>
        </w:tc>
        <w:tc>
          <w:tcPr>
            <w:tcW w:w="1034" w:type="dxa"/>
            <w:noWrap w:val="0"/>
            <w:vAlign w:val="center"/>
          </w:tcPr>
          <w:p w14:paraId="0E6C2FB8">
            <w:pPr>
              <w:jc w:val="center"/>
              <w:rPr>
                <w:color w:val="000000"/>
                <w:kern w:val="0"/>
                <w:szCs w:val="21"/>
              </w:rPr>
            </w:pPr>
            <w:r>
              <w:rPr>
                <w:color w:val="000000"/>
                <w:kern w:val="0"/>
                <w:szCs w:val="21"/>
              </w:rPr>
              <w:t>14</w:t>
            </w:r>
          </w:p>
        </w:tc>
        <w:tc>
          <w:tcPr>
            <w:tcW w:w="1289" w:type="dxa"/>
            <w:noWrap w:val="0"/>
            <w:vAlign w:val="center"/>
          </w:tcPr>
          <w:p w14:paraId="131AE33A">
            <w:pPr>
              <w:jc w:val="center"/>
              <w:rPr>
                <w:color w:val="000000"/>
                <w:kern w:val="0"/>
                <w:szCs w:val="21"/>
              </w:rPr>
            </w:pPr>
            <w:r>
              <w:rPr>
                <w:color w:val="000000"/>
                <w:kern w:val="0"/>
                <w:szCs w:val="21"/>
              </w:rPr>
              <w:t>275</w:t>
            </w:r>
          </w:p>
        </w:tc>
      </w:tr>
      <w:tr w14:paraId="49F36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42CF2614">
            <w:pPr>
              <w:rPr>
                <w:rFonts w:ascii="楷体_GB2312" w:hAnsi="宋体" w:eastAsia="楷体_GB2312" w:cs="宋体"/>
                <w:color w:val="000000"/>
                <w:kern w:val="0"/>
                <w:szCs w:val="21"/>
              </w:rPr>
            </w:pPr>
          </w:p>
        </w:tc>
        <w:tc>
          <w:tcPr>
            <w:tcW w:w="1034" w:type="dxa"/>
            <w:noWrap w:val="0"/>
            <w:vAlign w:val="center"/>
          </w:tcPr>
          <w:p w14:paraId="640132CF">
            <w:pPr>
              <w:jc w:val="center"/>
              <w:rPr>
                <w:color w:val="000000"/>
                <w:kern w:val="0"/>
                <w:szCs w:val="21"/>
              </w:rPr>
            </w:pPr>
            <w:r>
              <w:rPr>
                <w:color w:val="000000"/>
                <w:kern w:val="0"/>
                <w:szCs w:val="21"/>
              </w:rPr>
              <w:t>3</w:t>
            </w:r>
          </w:p>
        </w:tc>
        <w:tc>
          <w:tcPr>
            <w:tcW w:w="1034" w:type="dxa"/>
            <w:noWrap w:val="0"/>
            <w:vAlign w:val="center"/>
          </w:tcPr>
          <w:p w14:paraId="5D783AEB">
            <w:pPr>
              <w:jc w:val="center"/>
              <w:rPr>
                <w:color w:val="000000"/>
                <w:kern w:val="0"/>
                <w:szCs w:val="21"/>
              </w:rPr>
            </w:pPr>
            <w:r>
              <w:rPr>
                <w:color w:val="000000"/>
                <w:kern w:val="0"/>
                <w:szCs w:val="21"/>
              </w:rPr>
              <w:t>1</w:t>
            </w:r>
          </w:p>
        </w:tc>
        <w:tc>
          <w:tcPr>
            <w:tcW w:w="1289" w:type="dxa"/>
            <w:noWrap w:val="0"/>
            <w:vAlign w:val="center"/>
          </w:tcPr>
          <w:p w14:paraId="176CC338">
            <w:pPr>
              <w:jc w:val="center"/>
              <w:rPr>
                <w:color w:val="000000"/>
                <w:kern w:val="0"/>
                <w:szCs w:val="21"/>
              </w:rPr>
            </w:pPr>
            <w:r>
              <w:rPr>
                <w:color w:val="000000"/>
                <w:kern w:val="0"/>
                <w:szCs w:val="21"/>
              </w:rPr>
              <w:t>206</w:t>
            </w:r>
          </w:p>
        </w:tc>
        <w:tc>
          <w:tcPr>
            <w:tcW w:w="1034" w:type="dxa"/>
            <w:noWrap w:val="0"/>
            <w:vAlign w:val="center"/>
          </w:tcPr>
          <w:p w14:paraId="5C056EF0">
            <w:pPr>
              <w:jc w:val="center"/>
              <w:rPr>
                <w:color w:val="000000"/>
                <w:kern w:val="0"/>
                <w:szCs w:val="21"/>
              </w:rPr>
            </w:pPr>
            <w:r>
              <w:rPr>
                <w:color w:val="000000"/>
                <w:kern w:val="0"/>
                <w:szCs w:val="21"/>
              </w:rPr>
              <w:t>1</w:t>
            </w:r>
          </w:p>
        </w:tc>
        <w:tc>
          <w:tcPr>
            <w:tcW w:w="1325" w:type="dxa"/>
            <w:noWrap w:val="0"/>
            <w:vAlign w:val="center"/>
          </w:tcPr>
          <w:p w14:paraId="0A0408A7">
            <w:pPr>
              <w:jc w:val="center"/>
              <w:rPr>
                <w:color w:val="000000"/>
                <w:kern w:val="0"/>
                <w:sz w:val="22"/>
                <w:szCs w:val="22"/>
              </w:rPr>
            </w:pPr>
            <w:r>
              <w:rPr>
                <w:color w:val="000000"/>
                <w:kern w:val="0"/>
                <w:sz w:val="22"/>
                <w:szCs w:val="22"/>
              </w:rPr>
              <w:t>212</w:t>
            </w:r>
          </w:p>
        </w:tc>
        <w:tc>
          <w:tcPr>
            <w:tcW w:w="1034" w:type="dxa"/>
            <w:noWrap w:val="0"/>
            <w:vAlign w:val="center"/>
          </w:tcPr>
          <w:p w14:paraId="4AB713D7">
            <w:pPr>
              <w:jc w:val="center"/>
              <w:rPr>
                <w:color w:val="000000"/>
                <w:kern w:val="0"/>
                <w:szCs w:val="21"/>
              </w:rPr>
            </w:pPr>
            <w:r>
              <w:rPr>
                <w:color w:val="000000"/>
                <w:kern w:val="0"/>
                <w:szCs w:val="21"/>
              </w:rPr>
              <w:t>1</w:t>
            </w:r>
          </w:p>
        </w:tc>
        <w:tc>
          <w:tcPr>
            <w:tcW w:w="1289" w:type="dxa"/>
            <w:noWrap w:val="0"/>
            <w:vAlign w:val="center"/>
          </w:tcPr>
          <w:p w14:paraId="27621B63">
            <w:pPr>
              <w:jc w:val="center"/>
              <w:rPr>
                <w:color w:val="000000"/>
                <w:kern w:val="0"/>
                <w:szCs w:val="21"/>
              </w:rPr>
            </w:pPr>
            <w:r>
              <w:rPr>
                <w:color w:val="000000"/>
                <w:kern w:val="0"/>
                <w:szCs w:val="21"/>
              </w:rPr>
              <w:t>212</w:t>
            </w:r>
          </w:p>
        </w:tc>
      </w:tr>
      <w:tr w14:paraId="4D590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restart"/>
            <w:noWrap w:val="0"/>
            <w:vAlign w:val="center"/>
          </w:tcPr>
          <w:p w14:paraId="3E4D8B04">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褚兰镇</w:t>
            </w:r>
          </w:p>
        </w:tc>
        <w:tc>
          <w:tcPr>
            <w:tcW w:w="1034" w:type="dxa"/>
            <w:noWrap w:val="0"/>
            <w:vAlign w:val="center"/>
          </w:tcPr>
          <w:p w14:paraId="5CD67487">
            <w:pPr>
              <w:jc w:val="center"/>
              <w:rPr>
                <w:color w:val="000000"/>
                <w:kern w:val="0"/>
                <w:szCs w:val="21"/>
              </w:rPr>
            </w:pPr>
            <w:r>
              <w:rPr>
                <w:color w:val="000000"/>
                <w:kern w:val="0"/>
                <w:szCs w:val="21"/>
              </w:rPr>
              <w:t>1</w:t>
            </w:r>
          </w:p>
        </w:tc>
        <w:tc>
          <w:tcPr>
            <w:tcW w:w="1034" w:type="dxa"/>
            <w:noWrap w:val="0"/>
            <w:vAlign w:val="center"/>
          </w:tcPr>
          <w:p w14:paraId="05CD54A3">
            <w:pPr>
              <w:jc w:val="center"/>
              <w:rPr>
                <w:color w:val="000000"/>
                <w:kern w:val="0"/>
                <w:szCs w:val="21"/>
              </w:rPr>
            </w:pPr>
            <w:r>
              <w:rPr>
                <w:color w:val="000000"/>
                <w:kern w:val="0"/>
                <w:szCs w:val="21"/>
              </w:rPr>
              <w:t>19</w:t>
            </w:r>
          </w:p>
        </w:tc>
        <w:tc>
          <w:tcPr>
            <w:tcW w:w="1289" w:type="dxa"/>
            <w:noWrap w:val="0"/>
            <w:vAlign w:val="center"/>
          </w:tcPr>
          <w:p w14:paraId="1E99D77C">
            <w:pPr>
              <w:jc w:val="center"/>
              <w:rPr>
                <w:color w:val="000000"/>
                <w:kern w:val="0"/>
                <w:szCs w:val="21"/>
              </w:rPr>
            </w:pPr>
            <w:r>
              <w:rPr>
                <w:color w:val="000000"/>
                <w:kern w:val="0"/>
                <w:szCs w:val="21"/>
              </w:rPr>
              <w:t>368</w:t>
            </w:r>
          </w:p>
        </w:tc>
        <w:tc>
          <w:tcPr>
            <w:tcW w:w="1034" w:type="dxa"/>
            <w:noWrap w:val="0"/>
            <w:vAlign w:val="center"/>
          </w:tcPr>
          <w:p w14:paraId="5EBE42BC">
            <w:pPr>
              <w:jc w:val="center"/>
              <w:rPr>
                <w:color w:val="000000"/>
                <w:kern w:val="0"/>
                <w:szCs w:val="21"/>
              </w:rPr>
            </w:pPr>
            <w:r>
              <w:rPr>
                <w:color w:val="000000"/>
                <w:kern w:val="0"/>
                <w:szCs w:val="21"/>
              </w:rPr>
              <w:t>19</w:t>
            </w:r>
          </w:p>
        </w:tc>
        <w:tc>
          <w:tcPr>
            <w:tcW w:w="1325" w:type="dxa"/>
            <w:noWrap w:val="0"/>
            <w:vAlign w:val="center"/>
          </w:tcPr>
          <w:p w14:paraId="1874964A">
            <w:pPr>
              <w:jc w:val="center"/>
              <w:rPr>
                <w:color w:val="000000"/>
                <w:kern w:val="0"/>
                <w:sz w:val="22"/>
                <w:szCs w:val="22"/>
              </w:rPr>
            </w:pPr>
            <w:r>
              <w:rPr>
                <w:color w:val="000000"/>
                <w:kern w:val="0"/>
                <w:sz w:val="22"/>
                <w:szCs w:val="22"/>
              </w:rPr>
              <w:t>343</w:t>
            </w:r>
          </w:p>
        </w:tc>
        <w:tc>
          <w:tcPr>
            <w:tcW w:w="1034" w:type="dxa"/>
            <w:noWrap w:val="0"/>
            <w:vAlign w:val="center"/>
          </w:tcPr>
          <w:p w14:paraId="68515E77">
            <w:pPr>
              <w:jc w:val="center"/>
              <w:rPr>
                <w:color w:val="000000"/>
                <w:kern w:val="0"/>
                <w:szCs w:val="21"/>
              </w:rPr>
            </w:pPr>
            <w:r>
              <w:rPr>
                <w:color w:val="000000"/>
                <w:kern w:val="0"/>
                <w:szCs w:val="21"/>
              </w:rPr>
              <w:t>19</w:t>
            </w:r>
          </w:p>
        </w:tc>
        <w:tc>
          <w:tcPr>
            <w:tcW w:w="1289" w:type="dxa"/>
            <w:noWrap w:val="0"/>
            <w:vAlign w:val="center"/>
          </w:tcPr>
          <w:p w14:paraId="04EA9B11">
            <w:pPr>
              <w:jc w:val="center"/>
              <w:rPr>
                <w:color w:val="000000"/>
                <w:kern w:val="0"/>
                <w:szCs w:val="21"/>
              </w:rPr>
            </w:pPr>
            <w:r>
              <w:rPr>
                <w:color w:val="000000"/>
                <w:kern w:val="0"/>
                <w:szCs w:val="21"/>
              </w:rPr>
              <w:t>339</w:t>
            </w:r>
          </w:p>
        </w:tc>
      </w:tr>
      <w:tr w14:paraId="446EA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195BA714">
            <w:pPr>
              <w:rPr>
                <w:rFonts w:ascii="楷体_GB2312" w:hAnsi="宋体" w:eastAsia="楷体_GB2312" w:cs="宋体"/>
                <w:color w:val="000000"/>
                <w:kern w:val="0"/>
                <w:szCs w:val="21"/>
              </w:rPr>
            </w:pPr>
          </w:p>
        </w:tc>
        <w:tc>
          <w:tcPr>
            <w:tcW w:w="1034" w:type="dxa"/>
            <w:noWrap w:val="0"/>
            <w:vAlign w:val="center"/>
          </w:tcPr>
          <w:p w14:paraId="545D41F3">
            <w:pPr>
              <w:jc w:val="center"/>
              <w:rPr>
                <w:color w:val="000000"/>
                <w:kern w:val="0"/>
                <w:szCs w:val="21"/>
              </w:rPr>
            </w:pPr>
            <w:r>
              <w:rPr>
                <w:color w:val="000000"/>
                <w:kern w:val="0"/>
                <w:szCs w:val="21"/>
              </w:rPr>
              <w:t>2</w:t>
            </w:r>
          </w:p>
        </w:tc>
        <w:tc>
          <w:tcPr>
            <w:tcW w:w="1034" w:type="dxa"/>
            <w:noWrap w:val="0"/>
            <w:vAlign w:val="center"/>
          </w:tcPr>
          <w:p w14:paraId="685C0A46">
            <w:pPr>
              <w:jc w:val="center"/>
              <w:rPr>
                <w:color w:val="000000"/>
                <w:kern w:val="0"/>
                <w:szCs w:val="21"/>
              </w:rPr>
            </w:pPr>
            <w:r>
              <w:rPr>
                <w:color w:val="000000"/>
                <w:kern w:val="0"/>
                <w:szCs w:val="21"/>
              </w:rPr>
              <w:t>10</w:t>
            </w:r>
          </w:p>
        </w:tc>
        <w:tc>
          <w:tcPr>
            <w:tcW w:w="1289" w:type="dxa"/>
            <w:noWrap w:val="0"/>
            <w:vAlign w:val="center"/>
          </w:tcPr>
          <w:p w14:paraId="266277FD">
            <w:pPr>
              <w:jc w:val="center"/>
              <w:rPr>
                <w:color w:val="000000"/>
                <w:kern w:val="0"/>
                <w:szCs w:val="21"/>
              </w:rPr>
            </w:pPr>
            <w:r>
              <w:rPr>
                <w:color w:val="000000"/>
                <w:kern w:val="0"/>
                <w:szCs w:val="21"/>
              </w:rPr>
              <w:t>284</w:t>
            </w:r>
          </w:p>
        </w:tc>
        <w:tc>
          <w:tcPr>
            <w:tcW w:w="1034" w:type="dxa"/>
            <w:noWrap w:val="0"/>
            <w:vAlign w:val="center"/>
          </w:tcPr>
          <w:p w14:paraId="5482AA5A">
            <w:pPr>
              <w:jc w:val="center"/>
              <w:rPr>
                <w:color w:val="000000"/>
                <w:kern w:val="0"/>
                <w:szCs w:val="21"/>
              </w:rPr>
            </w:pPr>
            <w:r>
              <w:rPr>
                <w:color w:val="000000"/>
                <w:kern w:val="0"/>
                <w:szCs w:val="21"/>
              </w:rPr>
              <w:t>10</w:t>
            </w:r>
          </w:p>
        </w:tc>
        <w:tc>
          <w:tcPr>
            <w:tcW w:w="1325" w:type="dxa"/>
            <w:noWrap w:val="0"/>
            <w:vAlign w:val="center"/>
          </w:tcPr>
          <w:p w14:paraId="5C05685D">
            <w:pPr>
              <w:jc w:val="center"/>
              <w:rPr>
                <w:color w:val="000000"/>
                <w:kern w:val="0"/>
                <w:sz w:val="22"/>
                <w:szCs w:val="22"/>
              </w:rPr>
            </w:pPr>
            <w:r>
              <w:rPr>
                <w:color w:val="000000"/>
                <w:kern w:val="0"/>
                <w:sz w:val="22"/>
                <w:szCs w:val="22"/>
              </w:rPr>
              <w:t>281</w:t>
            </w:r>
          </w:p>
        </w:tc>
        <w:tc>
          <w:tcPr>
            <w:tcW w:w="1034" w:type="dxa"/>
            <w:noWrap w:val="0"/>
            <w:vAlign w:val="center"/>
          </w:tcPr>
          <w:p w14:paraId="51819A8F">
            <w:pPr>
              <w:jc w:val="center"/>
              <w:rPr>
                <w:color w:val="000000"/>
                <w:kern w:val="0"/>
                <w:szCs w:val="21"/>
              </w:rPr>
            </w:pPr>
            <w:r>
              <w:rPr>
                <w:color w:val="000000"/>
                <w:kern w:val="0"/>
                <w:szCs w:val="21"/>
              </w:rPr>
              <w:t>10</w:t>
            </w:r>
          </w:p>
        </w:tc>
        <w:tc>
          <w:tcPr>
            <w:tcW w:w="1289" w:type="dxa"/>
            <w:noWrap w:val="0"/>
            <w:vAlign w:val="center"/>
          </w:tcPr>
          <w:p w14:paraId="111CFDD4">
            <w:pPr>
              <w:jc w:val="center"/>
              <w:rPr>
                <w:color w:val="000000"/>
                <w:kern w:val="0"/>
                <w:szCs w:val="21"/>
              </w:rPr>
            </w:pPr>
            <w:r>
              <w:rPr>
                <w:color w:val="000000"/>
                <w:kern w:val="0"/>
                <w:szCs w:val="21"/>
              </w:rPr>
              <w:t>245</w:t>
            </w:r>
          </w:p>
        </w:tc>
      </w:tr>
      <w:tr w14:paraId="0BFB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61566128">
            <w:pPr>
              <w:rPr>
                <w:rFonts w:ascii="楷体_GB2312" w:hAnsi="宋体" w:eastAsia="楷体_GB2312" w:cs="宋体"/>
                <w:color w:val="000000"/>
                <w:kern w:val="0"/>
                <w:szCs w:val="21"/>
              </w:rPr>
            </w:pPr>
          </w:p>
        </w:tc>
        <w:tc>
          <w:tcPr>
            <w:tcW w:w="1034" w:type="dxa"/>
            <w:noWrap w:val="0"/>
            <w:vAlign w:val="center"/>
          </w:tcPr>
          <w:p w14:paraId="3C842064">
            <w:pPr>
              <w:jc w:val="center"/>
              <w:rPr>
                <w:color w:val="000000"/>
                <w:kern w:val="0"/>
                <w:szCs w:val="21"/>
              </w:rPr>
            </w:pPr>
            <w:r>
              <w:rPr>
                <w:color w:val="000000"/>
                <w:kern w:val="0"/>
                <w:szCs w:val="21"/>
              </w:rPr>
              <w:t>3</w:t>
            </w:r>
          </w:p>
        </w:tc>
        <w:tc>
          <w:tcPr>
            <w:tcW w:w="1034" w:type="dxa"/>
            <w:noWrap w:val="0"/>
            <w:vAlign w:val="center"/>
          </w:tcPr>
          <w:p w14:paraId="716AC335">
            <w:pPr>
              <w:jc w:val="center"/>
              <w:rPr>
                <w:color w:val="000000"/>
                <w:kern w:val="0"/>
                <w:szCs w:val="21"/>
              </w:rPr>
            </w:pPr>
            <w:r>
              <w:rPr>
                <w:color w:val="000000"/>
                <w:kern w:val="0"/>
                <w:szCs w:val="21"/>
              </w:rPr>
              <w:t>1</w:t>
            </w:r>
          </w:p>
        </w:tc>
        <w:tc>
          <w:tcPr>
            <w:tcW w:w="1289" w:type="dxa"/>
            <w:noWrap w:val="0"/>
            <w:vAlign w:val="center"/>
          </w:tcPr>
          <w:p w14:paraId="37DB7D98">
            <w:pPr>
              <w:jc w:val="center"/>
              <w:rPr>
                <w:color w:val="000000"/>
                <w:kern w:val="0"/>
                <w:szCs w:val="21"/>
              </w:rPr>
            </w:pPr>
            <w:r>
              <w:rPr>
                <w:color w:val="000000"/>
                <w:kern w:val="0"/>
                <w:szCs w:val="21"/>
              </w:rPr>
              <w:t>199</w:t>
            </w:r>
          </w:p>
        </w:tc>
        <w:tc>
          <w:tcPr>
            <w:tcW w:w="1034" w:type="dxa"/>
            <w:noWrap w:val="0"/>
            <w:vAlign w:val="center"/>
          </w:tcPr>
          <w:p w14:paraId="0D631372">
            <w:pPr>
              <w:jc w:val="center"/>
              <w:rPr>
                <w:color w:val="000000"/>
                <w:kern w:val="0"/>
                <w:szCs w:val="21"/>
              </w:rPr>
            </w:pPr>
            <w:r>
              <w:rPr>
                <w:color w:val="000000"/>
                <w:kern w:val="0"/>
                <w:szCs w:val="21"/>
              </w:rPr>
              <w:t>1</w:t>
            </w:r>
          </w:p>
        </w:tc>
        <w:tc>
          <w:tcPr>
            <w:tcW w:w="1325" w:type="dxa"/>
            <w:noWrap w:val="0"/>
            <w:vAlign w:val="center"/>
          </w:tcPr>
          <w:p w14:paraId="6E96DDC8">
            <w:pPr>
              <w:jc w:val="center"/>
              <w:rPr>
                <w:color w:val="000000"/>
                <w:kern w:val="0"/>
                <w:sz w:val="22"/>
                <w:szCs w:val="22"/>
              </w:rPr>
            </w:pPr>
            <w:r>
              <w:rPr>
                <w:color w:val="000000"/>
                <w:kern w:val="0"/>
                <w:sz w:val="22"/>
                <w:szCs w:val="22"/>
              </w:rPr>
              <w:t>199</w:t>
            </w:r>
          </w:p>
        </w:tc>
        <w:tc>
          <w:tcPr>
            <w:tcW w:w="1034" w:type="dxa"/>
            <w:noWrap w:val="0"/>
            <w:vAlign w:val="center"/>
          </w:tcPr>
          <w:p w14:paraId="0E3198B4">
            <w:pPr>
              <w:jc w:val="center"/>
              <w:rPr>
                <w:color w:val="000000"/>
                <w:kern w:val="0"/>
                <w:szCs w:val="21"/>
              </w:rPr>
            </w:pPr>
            <w:r>
              <w:rPr>
                <w:color w:val="000000"/>
                <w:kern w:val="0"/>
                <w:szCs w:val="21"/>
              </w:rPr>
              <w:t>1</w:t>
            </w:r>
          </w:p>
        </w:tc>
        <w:tc>
          <w:tcPr>
            <w:tcW w:w="1289" w:type="dxa"/>
            <w:noWrap w:val="0"/>
            <w:vAlign w:val="center"/>
          </w:tcPr>
          <w:p w14:paraId="14909582">
            <w:pPr>
              <w:jc w:val="center"/>
              <w:rPr>
                <w:color w:val="000000"/>
                <w:kern w:val="0"/>
                <w:szCs w:val="21"/>
              </w:rPr>
            </w:pPr>
            <w:r>
              <w:rPr>
                <w:color w:val="000000"/>
                <w:kern w:val="0"/>
                <w:szCs w:val="21"/>
              </w:rPr>
              <w:t>217</w:t>
            </w:r>
          </w:p>
        </w:tc>
      </w:tr>
      <w:tr w14:paraId="3CD9D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restart"/>
            <w:noWrap w:val="0"/>
            <w:vAlign w:val="center"/>
          </w:tcPr>
          <w:p w14:paraId="1C032A88">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顺河镇</w:t>
            </w:r>
          </w:p>
        </w:tc>
        <w:tc>
          <w:tcPr>
            <w:tcW w:w="1034" w:type="dxa"/>
            <w:noWrap w:val="0"/>
            <w:vAlign w:val="center"/>
          </w:tcPr>
          <w:p w14:paraId="3D6BE20C">
            <w:pPr>
              <w:jc w:val="center"/>
              <w:rPr>
                <w:color w:val="000000"/>
                <w:kern w:val="0"/>
                <w:szCs w:val="21"/>
              </w:rPr>
            </w:pPr>
            <w:r>
              <w:rPr>
                <w:color w:val="000000"/>
                <w:kern w:val="0"/>
                <w:szCs w:val="21"/>
              </w:rPr>
              <w:t>1</w:t>
            </w:r>
          </w:p>
        </w:tc>
        <w:tc>
          <w:tcPr>
            <w:tcW w:w="1034" w:type="dxa"/>
            <w:noWrap w:val="0"/>
            <w:vAlign w:val="center"/>
          </w:tcPr>
          <w:p w14:paraId="1BF8A938">
            <w:pPr>
              <w:jc w:val="center"/>
              <w:rPr>
                <w:color w:val="000000"/>
                <w:kern w:val="0"/>
                <w:szCs w:val="21"/>
              </w:rPr>
            </w:pPr>
            <w:r>
              <w:rPr>
                <w:color w:val="000000"/>
                <w:kern w:val="0"/>
                <w:szCs w:val="21"/>
              </w:rPr>
              <w:t>20</w:t>
            </w:r>
          </w:p>
        </w:tc>
        <w:tc>
          <w:tcPr>
            <w:tcW w:w="1289" w:type="dxa"/>
            <w:noWrap w:val="0"/>
            <w:vAlign w:val="center"/>
          </w:tcPr>
          <w:p w14:paraId="13C58D89">
            <w:pPr>
              <w:jc w:val="center"/>
              <w:rPr>
                <w:color w:val="000000"/>
                <w:kern w:val="0"/>
                <w:szCs w:val="21"/>
              </w:rPr>
            </w:pPr>
            <w:r>
              <w:rPr>
                <w:color w:val="000000"/>
                <w:kern w:val="0"/>
                <w:szCs w:val="21"/>
              </w:rPr>
              <w:t>330</w:t>
            </w:r>
          </w:p>
        </w:tc>
        <w:tc>
          <w:tcPr>
            <w:tcW w:w="1034" w:type="dxa"/>
            <w:noWrap w:val="0"/>
            <w:vAlign w:val="center"/>
          </w:tcPr>
          <w:p w14:paraId="0CC7AE01">
            <w:pPr>
              <w:jc w:val="center"/>
              <w:rPr>
                <w:color w:val="000000"/>
                <w:kern w:val="0"/>
                <w:szCs w:val="21"/>
              </w:rPr>
            </w:pPr>
            <w:r>
              <w:rPr>
                <w:color w:val="000000"/>
                <w:kern w:val="0"/>
                <w:szCs w:val="21"/>
              </w:rPr>
              <w:t>20</w:t>
            </w:r>
          </w:p>
        </w:tc>
        <w:tc>
          <w:tcPr>
            <w:tcW w:w="1325" w:type="dxa"/>
            <w:noWrap w:val="0"/>
            <w:vAlign w:val="center"/>
          </w:tcPr>
          <w:p w14:paraId="322EE401">
            <w:pPr>
              <w:jc w:val="center"/>
              <w:rPr>
                <w:color w:val="000000"/>
                <w:kern w:val="0"/>
                <w:sz w:val="22"/>
                <w:szCs w:val="22"/>
              </w:rPr>
            </w:pPr>
            <w:r>
              <w:rPr>
                <w:color w:val="000000"/>
                <w:kern w:val="0"/>
                <w:sz w:val="22"/>
                <w:szCs w:val="22"/>
              </w:rPr>
              <w:t>337</w:t>
            </w:r>
          </w:p>
        </w:tc>
        <w:tc>
          <w:tcPr>
            <w:tcW w:w="1034" w:type="dxa"/>
            <w:noWrap w:val="0"/>
            <w:vAlign w:val="center"/>
          </w:tcPr>
          <w:p w14:paraId="5D8932DA">
            <w:pPr>
              <w:jc w:val="center"/>
              <w:rPr>
                <w:color w:val="000000"/>
                <w:kern w:val="0"/>
                <w:szCs w:val="21"/>
              </w:rPr>
            </w:pPr>
            <w:r>
              <w:rPr>
                <w:color w:val="000000"/>
                <w:kern w:val="0"/>
                <w:szCs w:val="21"/>
              </w:rPr>
              <w:t>20</w:t>
            </w:r>
          </w:p>
        </w:tc>
        <w:tc>
          <w:tcPr>
            <w:tcW w:w="1289" w:type="dxa"/>
            <w:noWrap w:val="0"/>
            <w:vAlign w:val="center"/>
          </w:tcPr>
          <w:p w14:paraId="69EA964B">
            <w:pPr>
              <w:jc w:val="center"/>
              <w:rPr>
                <w:color w:val="000000"/>
                <w:kern w:val="0"/>
                <w:szCs w:val="21"/>
              </w:rPr>
            </w:pPr>
            <w:r>
              <w:rPr>
                <w:color w:val="000000"/>
                <w:kern w:val="0"/>
                <w:szCs w:val="21"/>
              </w:rPr>
              <w:t>353</w:t>
            </w:r>
          </w:p>
        </w:tc>
      </w:tr>
      <w:tr w14:paraId="108ED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6E2845B0">
            <w:pPr>
              <w:rPr>
                <w:rFonts w:ascii="楷体_GB2312" w:hAnsi="宋体" w:eastAsia="楷体_GB2312" w:cs="宋体"/>
                <w:color w:val="000000"/>
                <w:kern w:val="0"/>
                <w:szCs w:val="21"/>
              </w:rPr>
            </w:pPr>
          </w:p>
        </w:tc>
        <w:tc>
          <w:tcPr>
            <w:tcW w:w="1034" w:type="dxa"/>
            <w:noWrap w:val="0"/>
            <w:vAlign w:val="center"/>
          </w:tcPr>
          <w:p w14:paraId="2772438E">
            <w:pPr>
              <w:jc w:val="center"/>
              <w:rPr>
                <w:color w:val="000000"/>
                <w:kern w:val="0"/>
                <w:szCs w:val="21"/>
              </w:rPr>
            </w:pPr>
            <w:r>
              <w:rPr>
                <w:color w:val="000000"/>
                <w:kern w:val="0"/>
                <w:szCs w:val="21"/>
              </w:rPr>
              <w:t>2</w:t>
            </w:r>
          </w:p>
        </w:tc>
        <w:tc>
          <w:tcPr>
            <w:tcW w:w="1034" w:type="dxa"/>
            <w:noWrap w:val="0"/>
            <w:vAlign w:val="center"/>
          </w:tcPr>
          <w:p w14:paraId="1D6AD3FB">
            <w:pPr>
              <w:jc w:val="center"/>
              <w:rPr>
                <w:color w:val="000000"/>
                <w:kern w:val="0"/>
                <w:szCs w:val="21"/>
              </w:rPr>
            </w:pPr>
            <w:r>
              <w:rPr>
                <w:color w:val="000000"/>
                <w:kern w:val="0"/>
                <w:szCs w:val="21"/>
              </w:rPr>
              <w:t>5</w:t>
            </w:r>
          </w:p>
        </w:tc>
        <w:tc>
          <w:tcPr>
            <w:tcW w:w="1289" w:type="dxa"/>
            <w:noWrap w:val="0"/>
            <w:vAlign w:val="center"/>
          </w:tcPr>
          <w:p w14:paraId="43ED3954">
            <w:pPr>
              <w:jc w:val="center"/>
              <w:rPr>
                <w:color w:val="000000"/>
                <w:kern w:val="0"/>
                <w:szCs w:val="21"/>
              </w:rPr>
            </w:pPr>
            <w:r>
              <w:rPr>
                <w:color w:val="000000"/>
                <w:kern w:val="0"/>
                <w:szCs w:val="21"/>
              </w:rPr>
              <w:t>257</w:t>
            </w:r>
          </w:p>
        </w:tc>
        <w:tc>
          <w:tcPr>
            <w:tcW w:w="1034" w:type="dxa"/>
            <w:noWrap w:val="0"/>
            <w:vAlign w:val="center"/>
          </w:tcPr>
          <w:p w14:paraId="68B1D8BE">
            <w:pPr>
              <w:jc w:val="center"/>
              <w:rPr>
                <w:color w:val="000000"/>
                <w:kern w:val="0"/>
                <w:szCs w:val="21"/>
              </w:rPr>
            </w:pPr>
            <w:r>
              <w:rPr>
                <w:color w:val="000000"/>
                <w:kern w:val="0"/>
                <w:szCs w:val="21"/>
              </w:rPr>
              <w:t>5</w:t>
            </w:r>
          </w:p>
        </w:tc>
        <w:tc>
          <w:tcPr>
            <w:tcW w:w="1325" w:type="dxa"/>
            <w:noWrap w:val="0"/>
            <w:vAlign w:val="center"/>
          </w:tcPr>
          <w:p w14:paraId="1816DDFD">
            <w:pPr>
              <w:jc w:val="center"/>
              <w:rPr>
                <w:color w:val="000000"/>
                <w:kern w:val="0"/>
                <w:sz w:val="22"/>
                <w:szCs w:val="22"/>
              </w:rPr>
            </w:pPr>
            <w:r>
              <w:rPr>
                <w:color w:val="000000"/>
                <w:kern w:val="0"/>
                <w:sz w:val="22"/>
                <w:szCs w:val="22"/>
              </w:rPr>
              <w:t>273</w:t>
            </w:r>
          </w:p>
        </w:tc>
        <w:tc>
          <w:tcPr>
            <w:tcW w:w="1034" w:type="dxa"/>
            <w:noWrap w:val="0"/>
            <w:vAlign w:val="center"/>
          </w:tcPr>
          <w:p w14:paraId="52505B4F">
            <w:pPr>
              <w:jc w:val="center"/>
              <w:rPr>
                <w:color w:val="000000"/>
                <w:kern w:val="0"/>
                <w:szCs w:val="21"/>
              </w:rPr>
            </w:pPr>
            <w:r>
              <w:rPr>
                <w:color w:val="000000"/>
                <w:kern w:val="0"/>
                <w:szCs w:val="21"/>
              </w:rPr>
              <w:t>5</w:t>
            </w:r>
          </w:p>
        </w:tc>
        <w:tc>
          <w:tcPr>
            <w:tcW w:w="1289" w:type="dxa"/>
            <w:noWrap w:val="0"/>
            <w:vAlign w:val="center"/>
          </w:tcPr>
          <w:p w14:paraId="4654C5A6">
            <w:pPr>
              <w:jc w:val="center"/>
              <w:rPr>
                <w:color w:val="000000"/>
                <w:kern w:val="0"/>
                <w:szCs w:val="21"/>
              </w:rPr>
            </w:pPr>
            <w:r>
              <w:rPr>
                <w:color w:val="000000"/>
                <w:kern w:val="0"/>
                <w:szCs w:val="21"/>
              </w:rPr>
              <w:t>265</w:t>
            </w:r>
          </w:p>
        </w:tc>
      </w:tr>
      <w:tr w14:paraId="0D26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4EA8C982">
            <w:pPr>
              <w:rPr>
                <w:rFonts w:ascii="楷体_GB2312" w:hAnsi="宋体" w:eastAsia="楷体_GB2312" w:cs="宋体"/>
                <w:color w:val="000000"/>
                <w:kern w:val="0"/>
                <w:szCs w:val="21"/>
              </w:rPr>
            </w:pPr>
          </w:p>
        </w:tc>
        <w:tc>
          <w:tcPr>
            <w:tcW w:w="1034" w:type="dxa"/>
            <w:noWrap w:val="0"/>
            <w:vAlign w:val="center"/>
          </w:tcPr>
          <w:p w14:paraId="15962B80">
            <w:pPr>
              <w:jc w:val="center"/>
              <w:rPr>
                <w:color w:val="000000"/>
                <w:kern w:val="0"/>
                <w:szCs w:val="21"/>
              </w:rPr>
            </w:pPr>
            <w:r>
              <w:rPr>
                <w:color w:val="000000"/>
                <w:kern w:val="0"/>
                <w:szCs w:val="21"/>
              </w:rPr>
              <w:t>3</w:t>
            </w:r>
          </w:p>
        </w:tc>
        <w:tc>
          <w:tcPr>
            <w:tcW w:w="1034" w:type="dxa"/>
            <w:noWrap w:val="0"/>
            <w:vAlign w:val="center"/>
          </w:tcPr>
          <w:p w14:paraId="7E3C9B8A">
            <w:pPr>
              <w:jc w:val="center"/>
              <w:rPr>
                <w:color w:val="000000"/>
                <w:kern w:val="0"/>
                <w:szCs w:val="21"/>
              </w:rPr>
            </w:pPr>
            <w:r>
              <w:rPr>
                <w:color w:val="000000"/>
                <w:kern w:val="0"/>
                <w:szCs w:val="21"/>
              </w:rPr>
              <w:t>5</w:t>
            </w:r>
          </w:p>
        </w:tc>
        <w:tc>
          <w:tcPr>
            <w:tcW w:w="1289" w:type="dxa"/>
            <w:noWrap w:val="0"/>
            <w:vAlign w:val="center"/>
          </w:tcPr>
          <w:p w14:paraId="7A819842">
            <w:pPr>
              <w:jc w:val="center"/>
              <w:rPr>
                <w:color w:val="000000"/>
                <w:kern w:val="0"/>
                <w:szCs w:val="21"/>
              </w:rPr>
            </w:pPr>
            <w:r>
              <w:rPr>
                <w:color w:val="000000"/>
                <w:kern w:val="0"/>
                <w:szCs w:val="21"/>
              </w:rPr>
              <w:t>209</w:t>
            </w:r>
          </w:p>
        </w:tc>
        <w:tc>
          <w:tcPr>
            <w:tcW w:w="1034" w:type="dxa"/>
            <w:noWrap w:val="0"/>
            <w:vAlign w:val="center"/>
          </w:tcPr>
          <w:p w14:paraId="68E8ABBC">
            <w:pPr>
              <w:jc w:val="center"/>
              <w:rPr>
                <w:color w:val="000000"/>
                <w:kern w:val="0"/>
                <w:szCs w:val="21"/>
              </w:rPr>
            </w:pPr>
            <w:r>
              <w:rPr>
                <w:color w:val="000000"/>
                <w:kern w:val="0"/>
                <w:szCs w:val="21"/>
              </w:rPr>
              <w:t>5</w:t>
            </w:r>
          </w:p>
        </w:tc>
        <w:tc>
          <w:tcPr>
            <w:tcW w:w="1325" w:type="dxa"/>
            <w:noWrap w:val="0"/>
            <w:vAlign w:val="center"/>
          </w:tcPr>
          <w:p w14:paraId="6786849D">
            <w:pPr>
              <w:jc w:val="center"/>
              <w:rPr>
                <w:color w:val="000000"/>
                <w:kern w:val="0"/>
                <w:sz w:val="22"/>
                <w:szCs w:val="22"/>
              </w:rPr>
            </w:pPr>
            <w:r>
              <w:rPr>
                <w:color w:val="000000"/>
                <w:kern w:val="0"/>
                <w:sz w:val="22"/>
                <w:szCs w:val="22"/>
              </w:rPr>
              <w:t>215</w:t>
            </w:r>
          </w:p>
        </w:tc>
        <w:tc>
          <w:tcPr>
            <w:tcW w:w="1034" w:type="dxa"/>
            <w:noWrap w:val="0"/>
            <w:vAlign w:val="center"/>
          </w:tcPr>
          <w:p w14:paraId="695DA8EB">
            <w:pPr>
              <w:jc w:val="center"/>
              <w:rPr>
                <w:color w:val="000000"/>
                <w:kern w:val="0"/>
                <w:szCs w:val="21"/>
              </w:rPr>
            </w:pPr>
            <w:r>
              <w:rPr>
                <w:color w:val="000000"/>
                <w:kern w:val="0"/>
                <w:szCs w:val="21"/>
              </w:rPr>
              <w:t>5</w:t>
            </w:r>
          </w:p>
        </w:tc>
        <w:tc>
          <w:tcPr>
            <w:tcW w:w="1289" w:type="dxa"/>
            <w:noWrap w:val="0"/>
            <w:vAlign w:val="center"/>
          </w:tcPr>
          <w:p w14:paraId="488DE141">
            <w:pPr>
              <w:jc w:val="center"/>
              <w:rPr>
                <w:color w:val="000000"/>
                <w:kern w:val="0"/>
                <w:szCs w:val="21"/>
              </w:rPr>
            </w:pPr>
            <w:r>
              <w:rPr>
                <w:color w:val="000000"/>
                <w:kern w:val="0"/>
                <w:szCs w:val="21"/>
              </w:rPr>
              <w:t>191</w:t>
            </w:r>
          </w:p>
        </w:tc>
      </w:tr>
      <w:tr w14:paraId="25321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restart"/>
            <w:noWrap w:val="0"/>
            <w:vAlign w:val="center"/>
          </w:tcPr>
          <w:p w14:paraId="6C493A8A">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杨庄镇</w:t>
            </w:r>
          </w:p>
        </w:tc>
        <w:tc>
          <w:tcPr>
            <w:tcW w:w="1034" w:type="dxa"/>
            <w:noWrap w:val="0"/>
            <w:vAlign w:val="center"/>
          </w:tcPr>
          <w:p w14:paraId="2DE109E0">
            <w:pPr>
              <w:jc w:val="center"/>
              <w:rPr>
                <w:color w:val="000000"/>
                <w:kern w:val="0"/>
                <w:szCs w:val="21"/>
              </w:rPr>
            </w:pPr>
            <w:r>
              <w:rPr>
                <w:color w:val="000000"/>
                <w:kern w:val="0"/>
                <w:szCs w:val="21"/>
              </w:rPr>
              <w:t>1</w:t>
            </w:r>
          </w:p>
        </w:tc>
        <w:tc>
          <w:tcPr>
            <w:tcW w:w="1034" w:type="dxa"/>
            <w:noWrap w:val="0"/>
            <w:vAlign w:val="center"/>
          </w:tcPr>
          <w:p w14:paraId="03C14913">
            <w:pPr>
              <w:jc w:val="center"/>
              <w:rPr>
                <w:color w:val="000000"/>
                <w:kern w:val="0"/>
                <w:szCs w:val="21"/>
              </w:rPr>
            </w:pPr>
            <w:r>
              <w:rPr>
                <w:color w:val="000000"/>
                <w:kern w:val="0"/>
                <w:szCs w:val="21"/>
              </w:rPr>
              <w:t>15</w:t>
            </w:r>
          </w:p>
        </w:tc>
        <w:tc>
          <w:tcPr>
            <w:tcW w:w="1289" w:type="dxa"/>
            <w:noWrap w:val="0"/>
            <w:vAlign w:val="center"/>
          </w:tcPr>
          <w:p w14:paraId="7037E80B">
            <w:pPr>
              <w:jc w:val="center"/>
              <w:rPr>
                <w:color w:val="000000"/>
                <w:kern w:val="0"/>
                <w:szCs w:val="21"/>
              </w:rPr>
            </w:pPr>
            <w:r>
              <w:rPr>
                <w:color w:val="000000"/>
                <w:kern w:val="0"/>
                <w:szCs w:val="21"/>
              </w:rPr>
              <w:t>357</w:t>
            </w:r>
          </w:p>
        </w:tc>
        <w:tc>
          <w:tcPr>
            <w:tcW w:w="1034" w:type="dxa"/>
            <w:noWrap w:val="0"/>
            <w:vAlign w:val="center"/>
          </w:tcPr>
          <w:p w14:paraId="5C407F64">
            <w:pPr>
              <w:jc w:val="center"/>
              <w:rPr>
                <w:color w:val="000000"/>
                <w:kern w:val="0"/>
                <w:szCs w:val="21"/>
              </w:rPr>
            </w:pPr>
            <w:r>
              <w:rPr>
                <w:color w:val="000000"/>
                <w:kern w:val="0"/>
                <w:szCs w:val="21"/>
              </w:rPr>
              <w:t>15</w:t>
            </w:r>
          </w:p>
        </w:tc>
        <w:tc>
          <w:tcPr>
            <w:tcW w:w="1325" w:type="dxa"/>
            <w:noWrap w:val="0"/>
            <w:vAlign w:val="center"/>
          </w:tcPr>
          <w:p w14:paraId="5EABFBD3">
            <w:pPr>
              <w:jc w:val="center"/>
              <w:rPr>
                <w:color w:val="000000"/>
                <w:kern w:val="0"/>
                <w:sz w:val="22"/>
                <w:szCs w:val="22"/>
              </w:rPr>
            </w:pPr>
            <w:r>
              <w:rPr>
                <w:color w:val="000000"/>
                <w:kern w:val="0"/>
                <w:sz w:val="22"/>
                <w:szCs w:val="22"/>
              </w:rPr>
              <w:t>333</w:t>
            </w:r>
          </w:p>
        </w:tc>
        <w:tc>
          <w:tcPr>
            <w:tcW w:w="1034" w:type="dxa"/>
            <w:noWrap w:val="0"/>
            <w:vAlign w:val="center"/>
          </w:tcPr>
          <w:p w14:paraId="3F1A5F76">
            <w:pPr>
              <w:jc w:val="center"/>
              <w:rPr>
                <w:color w:val="000000"/>
                <w:kern w:val="0"/>
                <w:szCs w:val="21"/>
              </w:rPr>
            </w:pPr>
            <w:r>
              <w:rPr>
                <w:color w:val="000000"/>
                <w:kern w:val="0"/>
                <w:szCs w:val="21"/>
              </w:rPr>
              <w:t>15</w:t>
            </w:r>
          </w:p>
        </w:tc>
        <w:tc>
          <w:tcPr>
            <w:tcW w:w="1289" w:type="dxa"/>
            <w:noWrap w:val="0"/>
            <w:vAlign w:val="center"/>
          </w:tcPr>
          <w:p w14:paraId="6CDD6376">
            <w:pPr>
              <w:jc w:val="center"/>
              <w:rPr>
                <w:color w:val="000000"/>
                <w:kern w:val="0"/>
                <w:szCs w:val="21"/>
              </w:rPr>
            </w:pPr>
            <w:r>
              <w:rPr>
                <w:color w:val="000000"/>
                <w:kern w:val="0"/>
                <w:szCs w:val="21"/>
              </w:rPr>
              <w:t>330</w:t>
            </w:r>
          </w:p>
        </w:tc>
      </w:tr>
      <w:tr w14:paraId="204AD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6E05508F">
            <w:pPr>
              <w:rPr>
                <w:rFonts w:ascii="楷体_GB2312" w:hAnsi="宋体" w:eastAsia="楷体_GB2312" w:cs="宋体"/>
                <w:color w:val="000000"/>
                <w:kern w:val="0"/>
                <w:szCs w:val="21"/>
              </w:rPr>
            </w:pPr>
          </w:p>
        </w:tc>
        <w:tc>
          <w:tcPr>
            <w:tcW w:w="1034" w:type="dxa"/>
            <w:noWrap w:val="0"/>
            <w:vAlign w:val="center"/>
          </w:tcPr>
          <w:p w14:paraId="4FFDEF34">
            <w:pPr>
              <w:jc w:val="center"/>
              <w:rPr>
                <w:color w:val="000000"/>
                <w:kern w:val="0"/>
                <w:szCs w:val="21"/>
              </w:rPr>
            </w:pPr>
            <w:r>
              <w:rPr>
                <w:color w:val="000000"/>
                <w:kern w:val="0"/>
                <w:szCs w:val="21"/>
              </w:rPr>
              <w:t>2</w:t>
            </w:r>
          </w:p>
        </w:tc>
        <w:tc>
          <w:tcPr>
            <w:tcW w:w="1034" w:type="dxa"/>
            <w:noWrap w:val="0"/>
            <w:vAlign w:val="center"/>
          </w:tcPr>
          <w:p w14:paraId="0179BDEC">
            <w:pPr>
              <w:jc w:val="center"/>
              <w:rPr>
                <w:color w:val="000000"/>
                <w:kern w:val="0"/>
                <w:szCs w:val="21"/>
              </w:rPr>
            </w:pPr>
            <w:r>
              <w:rPr>
                <w:color w:val="000000"/>
                <w:kern w:val="0"/>
                <w:szCs w:val="21"/>
              </w:rPr>
              <w:t>13</w:t>
            </w:r>
          </w:p>
        </w:tc>
        <w:tc>
          <w:tcPr>
            <w:tcW w:w="1289" w:type="dxa"/>
            <w:noWrap w:val="0"/>
            <w:vAlign w:val="center"/>
          </w:tcPr>
          <w:p w14:paraId="2239E344">
            <w:pPr>
              <w:jc w:val="center"/>
              <w:rPr>
                <w:color w:val="000000"/>
                <w:kern w:val="0"/>
                <w:szCs w:val="21"/>
              </w:rPr>
            </w:pPr>
            <w:r>
              <w:rPr>
                <w:color w:val="000000"/>
                <w:kern w:val="0"/>
                <w:szCs w:val="21"/>
              </w:rPr>
              <w:t>260</w:t>
            </w:r>
          </w:p>
        </w:tc>
        <w:tc>
          <w:tcPr>
            <w:tcW w:w="1034" w:type="dxa"/>
            <w:noWrap w:val="0"/>
            <w:vAlign w:val="center"/>
          </w:tcPr>
          <w:p w14:paraId="33254AB3">
            <w:pPr>
              <w:jc w:val="center"/>
              <w:rPr>
                <w:color w:val="000000"/>
                <w:kern w:val="0"/>
                <w:szCs w:val="21"/>
              </w:rPr>
            </w:pPr>
            <w:r>
              <w:rPr>
                <w:color w:val="000000"/>
                <w:kern w:val="0"/>
                <w:szCs w:val="21"/>
              </w:rPr>
              <w:t>13</w:t>
            </w:r>
          </w:p>
        </w:tc>
        <w:tc>
          <w:tcPr>
            <w:tcW w:w="1325" w:type="dxa"/>
            <w:noWrap w:val="0"/>
            <w:vAlign w:val="center"/>
          </w:tcPr>
          <w:p w14:paraId="1BC9DDEB">
            <w:pPr>
              <w:jc w:val="center"/>
              <w:rPr>
                <w:color w:val="000000"/>
                <w:kern w:val="0"/>
                <w:sz w:val="22"/>
                <w:szCs w:val="22"/>
              </w:rPr>
            </w:pPr>
            <w:r>
              <w:rPr>
                <w:color w:val="000000"/>
                <w:kern w:val="0"/>
                <w:sz w:val="22"/>
                <w:szCs w:val="22"/>
              </w:rPr>
              <w:t>242</w:t>
            </w:r>
          </w:p>
        </w:tc>
        <w:tc>
          <w:tcPr>
            <w:tcW w:w="1034" w:type="dxa"/>
            <w:noWrap w:val="0"/>
            <w:vAlign w:val="center"/>
          </w:tcPr>
          <w:p w14:paraId="1659EFA4">
            <w:pPr>
              <w:jc w:val="center"/>
              <w:rPr>
                <w:color w:val="000000"/>
                <w:kern w:val="0"/>
                <w:szCs w:val="21"/>
              </w:rPr>
            </w:pPr>
            <w:r>
              <w:rPr>
                <w:color w:val="000000"/>
                <w:kern w:val="0"/>
                <w:szCs w:val="21"/>
              </w:rPr>
              <w:t>13</w:t>
            </w:r>
          </w:p>
        </w:tc>
        <w:tc>
          <w:tcPr>
            <w:tcW w:w="1289" w:type="dxa"/>
            <w:noWrap w:val="0"/>
            <w:vAlign w:val="center"/>
          </w:tcPr>
          <w:p w14:paraId="55E67EFD">
            <w:pPr>
              <w:jc w:val="center"/>
              <w:rPr>
                <w:color w:val="000000"/>
                <w:kern w:val="0"/>
                <w:szCs w:val="21"/>
              </w:rPr>
            </w:pPr>
            <w:r>
              <w:rPr>
                <w:color w:val="000000"/>
                <w:kern w:val="0"/>
                <w:szCs w:val="21"/>
              </w:rPr>
              <w:t>263</w:t>
            </w:r>
          </w:p>
        </w:tc>
      </w:tr>
      <w:tr w14:paraId="0510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3D1D170E">
            <w:pPr>
              <w:rPr>
                <w:rFonts w:ascii="楷体_GB2312" w:hAnsi="宋体" w:eastAsia="楷体_GB2312" w:cs="宋体"/>
                <w:color w:val="000000"/>
                <w:kern w:val="0"/>
                <w:szCs w:val="21"/>
              </w:rPr>
            </w:pPr>
          </w:p>
        </w:tc>
        <w:tc>
          <w:tcPr>
            <w:tcW w:w="1034" w:type="dxa"/>
            <w:noWrap w:val="0"/>
            <w:vAlign w:val="center"/>
          </w:tcPr>
          <w:p w14:paraId="4D3B0466">
            <w:pPr>
              <w:jc w:val="center"/>
              <w:rPr>
                <w:color w:val="000000"/>
                <w:kern w:val="0"/>
                <w:szCs w:val="21"/>
              </w:rPr>
            </w:pPr>
            <w:r>
              <w:rPr>
                <w:color w:val="000000"/>
                <w:kern w:val="0"/>
                <w:szCs w:val="21"/>
              </w:rPr>
              <w:t>3</w:t>
            </w:r>
          </w:p>
        </w:tc>
        <w:tc>
          <w:tcPr>
            <w:tcW w:w="1034" w:type="dxa"/>
            <w:noWrap w:val="0"/>
            <w:vAlign w:val="center"/>
          </w:tcPr>
          <w:p w14:paraId="5EDE6F91">
            <w:pPr>
              <w:jc w:val="center"/>
              <w:rPr>
                <w:color w:val="000000"/>
                <w:kern w:val="0"/>
                <w:szCs w:val="21"/>
              </w:rPr>
            </w:pPr>
            <w:r>
              <w:rPr>
                <w:color w:val="000000"/>
                <w:kern w:val="0"/>
                <w:szCs w:val="21"/>
              </w:rPr>
              <w:t>2</w:t>
            </w:r>
          </w:p>
        </w:tc>
        <w:tc>
          <w:tcPr>
            <w:tcW w:w="1289" w:type="dxa"/>
            <w:noWrap w:val="0"/>
            <w:vAlign w:val="center"/>
          </w:tcPr>
          <w:p w14:paraId="538F416E">
            <w:pPr>
              <w:jc w:val="center"/>
              <w:rPr>
                <w:color w:val="000000"/>
                <w:kern w:val="0"/>
                <w:szCs w:val="21"/>
              </w:rPr>
            </w:pPr>
            <w:r>
              <w:rPr>
                <w:color w:val="000000"/>
                <w:kern w:val="0"/>
                <w:szCs w:val="21"/>
              </w:rPr>
              <w:t>205</w:t>
            </w:r>
          </w:p>
        </w:tc>
        <w:tc>
          <w:tcPr>
            <w:tcW w:w="1034" w:type="dxa"/>
            <w:noWrap w:val="0"/>
            <w:vAlign w:val="center"/>
          </w:tcPr>
          <w:p w14:paraId="69ADFCD1">
            <w:pPr>
              <w:jc w:val="center"/>
              <w:rPr>
                <w:color w:val="000000"/>
                <w:kern w:val="0"/>
                <w:szCs w:val="21"/>
              </w:rPr>
            </w:pPr>
            <w:r>
              <w:rPr>
                <w:color w:val="000000"/>
                <w:kern w:val="0"/>
                <w:szCs w:val="21"/>
              </w:rPr>
              <w:t>2</w:t>
            </w:r>
          </w:p>
        </w:tc>
        <w:tc>
          <w:tcPr>
            <w:tcW w:w="1325" w:type="dxa"/>
            <w:noWrap w:val="0"/>
            <w:vAlign w:val="center"/>
          </w:tcPr>
          <w:p w14:paraId="04028C09">
            <w:pPr>
              <w:jc w:val="center"/>
              <w:rPr>
                <w:color w:val="000000"/>
                <w:kern w:val="0"/>
                <w:sz w:val="22"/>
                <w:szCs w:val="22"/>
              </w:rPr>
            </w:pPr>
            <w:r>
              <w:rPr>
                <w:color w:val="000000"/>
                <w:kern w:val="0"/>
                <w:sz w:val="22"/>
                <w:szCs w:val="22"/>
              </w:rPr>
              <w:t>195</w:t>
            </w:r>
          </w:p>
        </w:tc>
        <w:tc>
          <w:tcPr>
            <w:tcW w:w="1034" w:type="dxa"/>
            <w:noWrap w:val="0"/>
            <w:vAlign w:val="center"/>
          </w:tcPr>
          <w:p w14:paraId="6D4AC1CE">
            <w:pPr>
              <w:jc w:val="center"/>
              <w:rPr>
                <w:color w:val="000000"/>
                <w:kern w:val="0"/>
                <w:szCs w:val="21"/>
              </w:rPr>
            </w:pPr>
            <w:r>
              <w:rPr>
                <w:color w:val="000000"/>
                <w:kern w:val="0"/>
                <w:szCs w:val="21"/>
              </w:rPr>
              <w:t>2</w:t>
            </w:r>
          </w:p>
        </w:tc>
        <w:tc>
          <w:tcPr>
            <w:tcW w:w="1289" w:type="dxa"/>
            <w:noWrap w:val="0"/>
            <w:vAlign w:val="center"/>
          </w:tcPr>
          <w:p w14:paraId="523D3900">
            <w:pPr>
              <w:jc w:val="center"/>
              <w:rPr>
                <w:color w:val="000000"/>
                <w:kern w:val="0"/>
                <w:szCs w:val="21"/>
              </w:rPr>
            </w:pPr>
            <w:r>
              <w:rPr>
                <w:color w:val="000000"/>
                <w:kern w:val="0"/>
                <w:szCs w:val="21"/>
              </w:rPr>
              <w:t>185</w:t>
            </w:r>
          </w:p>
        </w:tc>
      </w:tr>
      <w:tr w14:paraId="6D19A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restart"/>
            <w:noWrap w:val="0"/>
            <w:vAlign w:val="center"/>
          </w:tcPr>
          <w:p w14:paraId="396F1380">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永镇乡</w:t>
            </w:r>
          </w:p>
        </w:tc>
        <w:tc>
          <w:tcPr>
            <w:tcW w:w="1034" w:type="dxa"/>
            <w:noWrap w:val="0"/>
            <w:vAlign w:val="center"/>
          </w:tcPr>
          <w:p w14:paraId="0E362D94">
            <w:pPr>
              <w:jc w:val="center"/>
              <w:rPr>
                <w:color w:val="000000"/>
                <w:kern w:val="0"/>
                <w:szCs w:val="21"/>
              </w:rPr>
            </w:pPr>
            <w:r>
              <w:rPr>
                <w:color w:val="000000"/>
                <w:kern w:val="0"/>
                <w:szCs w:val="21"/>
              </w:rPr>
              <w:t>1</w:t>
            </w:r>
          </w:p>
        </w:tc>
        <w:tc>
          <w:tcPr>
            <w:tcW w:w="1034" w:type="dxa"/>
            <w:noWrap w:val="0"/>
            <w:vAlign w:val="center"/>
          </w:tcPr>
          <w:p w14:paraId="51253C86">
            <w:pPr>
              <w:jc w:val="center"/>
              <w:rPr>
                <w:color w:val="000000"/>
                <w:kern w:val="0"/>
                <w:szCs w:val="21"/>
              </w:rPr>
            </w:pPr>
            <w:r>
              <w:rPr>
                <w:color w:val="000000"/>
                <w:kern w:val="0"/>
                <w:szCs w:val="21"/>
              </w:rPr>
              <w:t>18</w:t>
            </w:r>
          </w:p>
        </w:tc>
        <w:tc>
          <w:tcPr>
            <w:tcW w:w="1289" w:type="dxa"/>
            <w:noWrap w:val="0"/>
            <w:vAlign w:val="center"/>
          </w:tcPr>
          <w:p w14:paraId="29D9FAC4">
            <w:pPr>
              <w:jc w:val="center"/>
              <w:rPr>
                <w:color w:val="000000"/>
                <w:kern w:val="0"/>
                <w:szCs w:val="21"/>
              </w:rPr>
            </w:pPr>
            <w:r>
              <w:rPr>
                <w:color w:val="000000"/>
                <w:kern w:val="0"/>
                <w:szCs w:val="21"/>
              </w:rPr>
              <w:t>347</w:t>
            </w:r>
          </w:p>
        </w:tc>
        <w:tc>
          <w:tcPr>
            <w:tcW w:w="1034" w:type="dxa"/>
            <w:noWrap w:val="0"/>
            <w:vAlign w:val="center"/>
          </w:tcPr>
          <w:p w14:paraId="7B13A1EB">
            <w:pPr>
              <w:jc w:val="center"/>
              <w:rPr>
                <w:color w:val="000000"/>
                <w:kern w:val="0"/>
                <w:szCs w:val="21"/>
              </w:rPr>
            </w:pPr>
            <w:r>
              <w:rPr>
                <w:color w:val="000000"/>
                <w:kern w:val="0"/>
                <w:szCs w:val="21"/>
              </w:rPr>
              <w:t>18</w:t>
            </w:r>
          </w:p>
        </w:tc>
        <w:tc>
          <w:tcPr>
            <w:tcW w:w="1325" w:type="dxa"/>
            <w:noWrap w:val="0"/>
            <w:vAlign w:val="center"/>
          </w:tcPr>
          <w:p w14:paraId="6A6BFF7E">
            <w:pPr>
              <w:jc w:val="center"/>
              <w:rPr>
                <w:color w:val="000000"/>
                <w:kern w:val="0"/>
                <w:sz w:val="22"/>
                <w:szCs w:val="22"/>
              </w:rPr>
            </w:pPr>
            <w:r>
              <w:rPr>
                <w:color w:val="000000"/>
                <w:kern w:val="0"/>
                <w:sz w:val="22"/>
                <w:szCs w:val="22"/>
              </w:rPr>
              <w:t>330</w:t>
            </w:r>
          </w:p>
        </w:tc>
        <w:tc>
          <w:tcPr>
            <w:tcW w:w="1034" w:type="dxa"/>
            <w:noWrap w:val="0"/>
            <w:vAlign w:val="center"/>
          </w:tcPr>
          <w:p w14:paraId="14258415">
            <w:pPr>
              <w:jc w:val="center"/>
              <w:rPr>
                <w:color w:val="000000"/>
                <w:kern w:val="0"/>
                <w:szCs w:val="21"/>
              </w:rPr>
            </w:pPr>
            <w:r>
              <w:rPr>
                <w:color w:val="000000"/>
                <w:kern w:val="0"/>
                <w:szCs w:val="21"/>
              </w:rPr>
              <w:t>18</w:t>
            </w:r>
          </w:p>
        </w:tc>
        <w:tc>
          <w:tcPr>
            <w:tcW w:w="1289" w:type="dxa"/>
            <w:noWrap w:val="0"/>
            <w:vAlign w:val="center"/>
          </w:tcPr>
          <w:p w14:paraId="4F1276B6">
            <w:pPr>
              <w:jc w:val="center"/>
              <w:rPr>
                <w:color w:val="000000"/>
                <w:kern w:val="0"/>
                <w:szCs w:val="21"/>
              </w:rPr>
            </w:pPr>
            <w:r>
              <w:rPr>
                <w:color w:val="000000"/>
                <w:kern w:val="0"/>
                <w:szCs w:val="21"/>
              </w:rPr>
              <w:t>313</w:t>
            </w:r>
          </w:p>
        </w:tc>
      </w:tr>
      <w:tr w14:paraId="370F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0C6CF4BD">
            <w:pPr>
              <w:rPr>
                <w:rFonts w:ascii="楷体_GB2312" w:hAnsi="宋体" w:eastAsia="楷体_GB2312" w:cs="宋体"/>
                <w:color w:val="000000"/>
                <w:kern w:val="0"/>
                <w:szCs w:val="21"/>
              </w:rPr>
            </w:pPr>
          </w:p>
        </w:tc>
        <w:tc>
          <w:tcPr>
            <w:tcW w:w="1034" w:type="dxa"/>
            <w:noWrap w:val="0"/>
            <w:vAlign w:val="center"/>
          </w:tcPr>
          <w:p w14:paraId="5651EC00">
            <w:pPr>
              <w:jc w:val="center"/>
              <w:rPr>
                <w:color w:val="000000"/>
                <w:kern w:val="0"/>
                <w:szCs w:val="21"/>
              </w:rPr>
            </w:pPr>
            <w:r>
              <w:rPr>
                <w:color w:val="000000"/>
                <w:kern w:val="0"/>
                <w:szCs w:val="21"/>
              </w:rPr>
              <w:t>2</w:t>
            </w:r>
          </w:p>
        </w:tc>
        <w:tc>
          <w:tcPr>
            <w:tcW w:w="1034" w:type="dxa"/>
            <w:noWrap w:val="0"/>
            <w:vAlign w:val="center"/>
          </w:tcPr>
          <w:p w14:paraId="32F4733F">
            <w:pPr>
              <w:jc w:val="center"/>
              <w:rPr>
                <w:color w:val="000000"/>
                <w:kern w:val="0"/>
                <w:szCs w:val="21"/>
              </w:rPr>
            </w:pPr>
            <w:r>
              <w:rPr>
                <w:color w:val="000000"/>
                <w:kern w:val="0"/>
                <w:szCs w:val="21"/>
              </w:rPr>
              <w:t>10</w:t>
            </w:r>
          </w:p>
        </w:tc>
        <w:tc>
          <w:tcPr>
            <w:tcW w:w="1289" w:type="dxa"/>
            <w:noWrap w:val="0"/>
            <w:vAlign w:val="center"/>
          </w:tcPr>
          <w:p w14:paraId="07E8D7D0">
            <w:pPr>
              <w:jc w:val="center"/>
              <w:rPr>
                <w:color w:val="000000"/>
                <w:kern w:val="0"/>
                <w:szCs w:val="21"/>
              </w:rPr>
            </w:pPr>
            <w:r>
              <w:rPr>
                <w:color w:val="000000"/>
                <w:kern w:val="0"/>
                <w:szCs w:val="21"/>
              </w:rPr>
              <w:t>260</w:t>
            </w:r>
          </w:p>
        </w:tc>
        <w:tc>
          <w:tcPr>
            <w:tcW w:w="1034" w:type="dxa"/>
            <w:noWrap w:val="0"/>
            <w:vAlign w:val="center"/>
          </w:tcPr>
          <w:p w14:paraId="48546367">
            <w:pPr>
              <w:jc w:val="center"/>
              <w:rPr>
                <w:color w:val="000000"/>
                <w:kern w:val="0"/>
                <w:szCs w:val="21"/>
              </w:rPr>
            </w:pPr>
            <w:r>
              <w:rPr>
                <w:color w:val="000000"/>
                <w:kern w:val="0"/>
                <w:szCs w:val="21"/>
              </w:rPr>
              <w:t>10</w:t>
            </w:r>
          </w:p>
        </w:tc>
        <w:tc>
          <w:tcPr>
            <w:tcW w:w="1325" w:type="dxa"/>
            <w:noWrap w:val="0"/>
            <w:vAlign w:val="center"/>
          </w:tcPr>
          <w:p w14:paraId="37CED42A">
            <w:pPr>
              <w:jc w:val="center"/>
              <w:rPr>
                <w:color w:val="000000"/>
                <w:kern w:val="0"/>
                <w:sz w:val="22"/>
                <w:szCs w:val="22"/>
              </w:rPr>
            </w:pPr>
            <w:r>
              <w:rPr>
                <w:color w:val="000000"/>
                <w:kern w:val="0"/>
                <w:sz w:val="22"/>
                <w:szCs w:val="22"/>
              </w:rPr>
              <w:t>245</w:t>
            </w:r>
          </w:p>
        </w:tc>
        <w:tc>
          <w:tcPr>
            <w:tcW w:w="1034" w:type="dxa"/>
            <w:noWrap w:val="0"/>
            <w:vAlign w:val="center"/>
          </w:tcPr>
          <w:p w14:paraId="54D56FFD">
            <w:pPr>
              <w:jc w:val="center"/>
              <w:rPr>
                <w:color w:val="000000"/>
                <w:kern w:val="0"/>
                <w:szCs w:val="21"/>
              </w:rPr>
            </w:pPr>
            <w:r>
              <w:rPr>
                <w:color w:val="000000"/>
                <w:kern w:val="0"/>
                <w:szCs w:val="21"/>
              </w:rPr>
              <w:t>10</w:t>
            </w:r>
          </w:p>
        </w:tc>
        <w:tc>
          <w:tcPr>
            <w:tcW w:w="1289" w:type="dxa"/>
            <w:noWrap w:val="0"/>
            <w:vAlign w:val="center"/>
          </w:tcPr>
          <w:p w14:paraId="43B6EF56">
            <w:pPr>
              <w:jc w:val="center"/>
              <w:rPr>
                <w:color w:val="000000"/>
                <w:kern w:val="0"/>
                <w:szCs w:val="21"/>
              </w:rPr>
            </w:pPr>
            <w:r>
              <w:rPr>
                <w:color w:val="000000"/>
                <w:kern w:val="0"/>
                <w:szCs w:val="21"/>
              </w:rPr>
              <w:t>260</w:t>
            </w:r>
          </w:p>
        </w:tc>
      </w:tr>
      <w:tr w14:paraId="0621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795CA7C5">
            <w:pPr>
              <w:rPr>
                <w:rFonts w:ascii="楷体_GB2312" w:hAnsi="宋体" w:eastAsia="楷体_GB2312" w:cs="宋体"/>
                <w:color w:val="000000"/>
                <w:kern w:val="0"/>
                <w:szCs w:val="21"/>
              </w:rPr>
            </w:pPr>
          </w:p>
        </w:tc>
        <w:tc>
          <w:tcPr>
            <w:tcW w:w="1034" w:type="dxa"/>
            <w:noWrap w:val="0"/>
            <w:vAlign w:val="center"/>
          </w:tcPr>
          <w:p w14:paraId="32E7BB18">
            <w:pPr>
              <w:jc w:val="center"/>
              <w:rPr>
                <w:color w:val="000000"/>
                <w:kern w:val="0"/>
                <w:szCs w:val="21"/>
              </w:rPr>
            </w:pPr>
            <w:r>
              <w:rPr>
                <w:color w:val="000000"/>
                <w:kern w:val="0"/>
                <w:szCs w:val="21"/>
              </w:rPr>
              <w:t>3</w:t>
            </w:r>
          </w:p>
        </w:tc>
        <w:tc>
          <w:tcPr>
            <w:tcW w:w="1034" w:type="dxa"/>
            <w:noWrap w:val="0"/>
            <w:vAlign w:val="center"/>
          </w:tcPr>
          <w:p w14:paraId="64DF57F8">
            <w:pPr>
              <w:jc w:val="center"/>
              <w:rPr>
                <w:color w:val="000000"/>
                <w:kern w:val="0"/>
                <w:szCs w:val="21"/>
              </w:rPr>
            </w:pPr>
            <w:r>
              <w:rPr>
                <w:color w:val="000000"/>
                <w:kern w:val="0"/>
                <w:szCs w:val="21"/>
              </w:rPr>
              <w:t>2</w:t>
            </w:r>
          </w:p>
        </w:tc>
        <w:tc>
          <w:tcPr>
            <w:tcW w:w="1289" w:type="dxa"/>
            <w:noWrap w:val="0"/>
            <w:vAlign w:val="center"/>
          </w:tcPr>
          <w:p w14:paraId="58A18AEC">
            <w:pPr>
              <w:jc w:val="center"/>
              <w:rPr>
                <w:color w:val="000000"/>
                <w:kern w:val="0"/>
                <w:szCs w:val="21"/>
              </w:rPr>
            </w:pPr>
            <w:r>
              <w:rPr>
                <w:color w:val="000000"/>
                <w:kern w:val="0"/>
                <w:szCs w:val="21"/>
              </w:rPr>
              <w:t>204</w:t>
            </w:r>
          </w:p>
        </w:tc>
        <w:tc>
          <w:tcPr>
            <w:tcW w:w="1034" w:type="dxa"/>
            <w:noWrap w:val="0"/>
            <w:vAlign w:val="center"/>
          </w:tcPr>
          <w:p w14:paraId="1E73A065">
            <w:pPr>
              <w:jc w:val="center"/>
              <w:rPr>
                <w:color w:val="000000"/>
                <w:kern w:val="0"/>
                <w:szCs w:val="21"/>
              </w:rPr>
            </w:pPr>
            <w:r>
              <w:rPr>
                <w:color w:val="000000"/>
                <w:kern w:val="0"/>
                <w:szCs w:val="21"/>
              </w:rPr>
              <w:t>2</w:t>
            </w:r>
          </w:p>
        </w:tc>
        <w:tc>
          <w:tcPr>
            <w:tcW w:w="1325" w:type="dxa"/>
            <w:noWrap w:val="0"/>
            <w:vAlign w:val="center"/>
          </w:tcPr>
          <w:p w14:paraId="773D11D5">
            <w:pPr>
              <w:jc w:val="center"/>
              <w:rPr>
                <w:color w:val="000000"/>
                <w:kern w:val="0"/>
                <w:sz w:val="22"/>
                <w:szCs w:val="22"/>
              </w:rPr>
            </w:pPr>
            <w:r>
              <w:rPr>
                <w:color w:val="000000"/>
                <w:kern w:val="0"/>
                <w:sz w:val="22"/>
                <w:szCs w:val="22"/>
              </w:rPr>
              <w:t>192</w:t>
            </w:r>
          </w:p>
        </w:tc>
        <w:tc>
          <w:tcPr>
            <w:tcW w:w="1034" w:type="dxa"/>
            <w:noWrap w:val="0"/>
            <w:vAlign w:val="center"/>
          </w:tcPr>
          <w:p w14:paraId="6DDF1667">
            <w:pPr>
              <w:jc w:val="center"/>
              <w:rPr>
                <w:color w:val="000000"/>
                <w:kern w:val="0"/>
                <w:szCs w:val="21"/>
              </w:rPr>
            </w:pPr>
            <w:r>
              <w:rPr>
                <w:color w:val="000000"/>
                <w:kern w:val="0"/>
                <w:szCs w:val="21"/>
              </w:rPr>
              <w:t>2</w:t>
            </w:r>
          </w:p>
        </w:tc>
        <w:tc>
          <w:tcPr>
            <w:tcW w:w="1289" w:type="dxa"/>
            <w:noWrap w:val="0"/>
            <w:vAlign w:val="center"/>
          </w:tcPr>
          <w:p w14:paraId="10B79A40">
            <w:pPr>
              <w:jc w:val="center"/>
              <w:rPr>
                <w:color w:val="000000"/>
                <w:kern w:val="0"/>
                <w:szCs w:val="21"/>
              </w:rPr>
            </w:pPr>
            <w:r>
              <w:rPr>
                <w:color w:val="000000"/>
                <w:kern w:val="0"/>
                <w:szCs w:val="21"/>
              </w:rPr>
              <w:t>204</w:t>
            </w:r>
          </w:p>
        </w:tc>
      </w:tr>
      <w:tr w14:paraId="5BC6F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restart"/>
            <w:noWrap w:val="0"/>
            <w:vAlign w:val="center"/>
          </w:tcPr>
          <w:p w14:paraId="6475D949">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解集镇</w:t>
            </w:r>
          </w:p>
        </w:tc>
        <w:tc>
          <w:tcPr>
            <w:tcW w:w="1034" w:type="dxa"/>
            <w:noWrap w:val="0"/>
            <w:vAlign w:val="center"/>
          </w:tcPr>
          <w:p w14:paraId="7C617D45">
            <w:pPr>
              <w:jc w:val="center"/>
              <w:rPr>
                <w:color w:val="000000"/>
                <w:kern w:val="0"/>
                <w:szCs w:val="21"/>
              </w:rPr>
            </w:pPr>
            <w:r>
              <w:rPr>
                <w:color w:val="000000"/>
                <w:kern w:val="0"/>
                <w:szCs w:val="21"/>
              </w:rPr>
              <w:t>1</w:t>
            </w:r>
          </w:p>
        </w:tc>
        <w:tc>
          <w:tcPr>
            <w:tcW w:w="1034" w:type="dxa"/>
            <w:noWrap w:val="0"/>
            <w:vAlign w:val="center"/>
          </w:tcPr>
          <w:p w14:paraId="15ACB525">
            <w:pPr>
              <w:jc w:val="center"/>
              <w:rPr>
                <w:color w:val="000000"/>
                <w:kern w:val="0"/>
                <w:szCs w:val="21"/>
              </w:rPr>
            </w:pPr>
            <w:r>
              <w:rPr>
                <w:color w:val="000000"/>
                <w:kern w:val="0"/>
                <w:szCs w:val="21"/>
              </w:rPr>
              <w:t>16</w:t>
            </w:r>
          </w:p>
        </w:tc>
        <w:tc>
          <w:tcPr>
            <w:tcW w:w="1289" w:type="dxa"/>
            <w:noWrap w:val="0"/>
            <w:vAlign w:val="center"/>
          </w:tcPr>
          <w:p w14:paraId="7D53187F">
            <w:pPr>
              <w:jc w:val="center"/>
              <w:rPr>
                <w:color w:val="000000"/>
                <w:kern w:val="0"/>
                <w:szCs w:val="21"/>
              </w:rPr>
            </w:pPr>
            <w:r>
              <w:rPr>
                <w:color w:val="000000"/>
                <w:kern w:val="0"/>
                <w:szCs w:val="21"/>
              </w:rPr>
              <w:t>348</w:t>
            </w:r>
          </w:p>
        </w:tc>
        <w:tc>
          <w:tcPr>
            <w:tcW w:w="1034" w:type="dxa"/>
            <w:noWrap w:val="0"/>
            <w:vAlign w:val="center"/>
          </w:tcPr>
          <w:p w14:paraId="6ED1F354">
            <w:pPr>
              <w:jc w:val="center"/>
              <w:rPr>
                <w:color w:val="000000"/>
                <w:kern w:val="0"/>
                <w:szCs w:val="21"/>
              </w:rPr>
            </w:pPr>
            <w:r>
              <w:rPr>
                <w:color w:val="000000"/>
                <w:kern w:val="0"/>
                <w:szCs w:val="21"/>
              </w:rPr>
              <w:t>16</w:t>
            </w:r>
          </w:p>
        </w:tc>
        <w:tc>
          <w:tcPr>
            <w:tcW w:w="1325" w:type="dxa"/>
            <w:noWrap w:val="0"/>
            <w:vAlign w:val="center"/>
          </w:tcPr>
          <w:p w14:paraId="7B7E5A79">
            <w:pPr>
              <w:jc w:val="center"/>
              <w:rPr>
                <w:color w:val="000000"/>
                <w:kern w:val="0"/>
                <w:sz w:val="22"/>
                <w:szCs w:val="22"/>
              </w:rPr>
            </w:pPr>
            <w:r>
              <w:rPr>
                <w:color w:val="000000"/>
                <w:kern w:val="0"/>
                <w:sz w:val="22"/>
                <w:szCs w:val="22"/>
              </w:rPr>
              <w:t>328</w:t>
            </w:r>
          </w:p>
        </w:tc>
        <w:tc>
          <w:tcPr>
            <w:tcW w:w="1034" w:type="dxa"/>
            <w:noWrap w:val="0"/>
            <w:vAlign w:val="center"/>
          </w:tcPr>
          <w:p w14:paraId="44AFD0C8">
            <w:pPr>
              <w:jc w:val="center"/>
              <w:rPr>
                <w:color w:val="000000"/>
                <w:kern w:val="0"/>
                <w:szCs w:val="21"/>
              </w:rPr>
            </w:pPr>
            <w:r>
              <w:rPr>
                <w:color w:val="000000"/>
                <w:kern w:val="0"/>
                <w:szCs w:val="21"/>
              </w:rPr>
              <w:t>16</w:t>
            </w:r>
          </w:p>
        </w:tc>
        <w:tc>
          <w:tcPr>
            <w:tcW w:w="1289" w:type="dxa"/>
            <w:noWrap w:val="0"/>
            <w:vAlign w:val="center"/>
          </w:tcPr>
          <w:p w14:paraId="5815FE8B">
            <w:pPr>
              <w:jc w:val="center"/>
              <w:rPr>
                <w:color w:val="000000"/>
                <w:kern w:val="0"/>
                <w:szCs w:val="21"/>
              </w:rPr>
            </w:pPr>
            <w:r>
              <w:rPr>
                <w:color w:val="000000"/>
                <w:kern w:val="0"/>
                <w:szCs w:val="21"/>
              </w:rPr>
              <w:t>329</w:t>
            </w:r>
          </w:p>
        </w:tc>
      </w:tr>
      <w:tr w14:paraId="52DD5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460CC848">
            <w:pPr>
              <w:rPr>
                <w:rFonts w:ascii="楷体_GB2312" w:hAnsi="宋体" w:eastAsia="楷体_GB2312" w:cs="宋体"/>
                <w:color w:val="000000"/>
                <w:kern w:val="0"/>
                <w:szCs w:val="21"/>
              </w:rPr>
            </w:pPr>
          </w:p>
        </w:tc>
        <w:tc>
          <w:tcPr>
            <w:tcW w:w="1034" w:type="dxa"/>
            <w:noWrap w:val="0"/>
            <w:vAlign w:val="center"/>
          </w:tcPr>
          <w:p w14:paraId="41739E58">
            <w:pPr>
              <w:jc w:val="center"/>
              <w:rPr>
                <w:color w:val="000000"/>
                <w:kern w:val="0"/>
                <w:szCs w:val="21"/>
              </w:rPr>
            </w:pPr>
            <w:r>
              <w:rPr>
                <w:color w:val="000000"/>
                <w:kern w:val="0"/>
                <w:szCs w:val="21"/>
              </w:rPr>
              <w:t>2</w:t>
            </w:r>
          </w:p>
        </w:tc>
        <w:tc>
          <w:tcPr>
            <w:tcW w:w="1034" w:type="dxa"/>
            <w:noWrap w:val="0"/>
            <w:vAlign w:val="center"/>
          </w:tcPr>
          <w:p w14:paraId="0BD069BC">
            <w:pPr>
              <w:jc w:val="center"/>
              <w:rPr>
                <w:color w:val="000000"/>
                <w:kern w:val="0"/>
                <w:szCs w:val="21"/>
              </w:rPr>
            </w:pPr>
            <w:r>
              <w:rPr>
                <w:color w:val="000000"/>
                <w:kern w:val="0"/>
                <w:szCs w:val="21"/>
              </w:rPr>
              <w:t>12</w:t>
            </w:r>
          </w:p>
        </w:tc>
        <w:tc>
          <w:tcPr>
            <w:tcW w:w="1289" w:type="dxa"/>
            <w:noWrap w:val="0"/>
            <w:vAlign w:val="center"/>
          </w:tcPr>
          <w:p w14:paraId="5252CFE6">
            <w:pPr>
              <w:jc w:val="center"/>
              <w:rPr>
                <w:color w:val="000000"/>
                <w:kern w:val="0"/>
                <w:szCs w:val="21"/>
              </w:rPr>
            </w:pPr>
            <w:r>
              <w:rPr>
                <w:color w:val="000000"/>
                <w:kern w:val="0"/>
                <w:szCs w:val="21"/>
              </w:rPr>
              <w:t>247</w:t>
            </w:r>
          </w:p>
        </w:tc>
        <w:tc>
          <w:tcPr>
            <w:tcW w:w="1034" w:type="dxa"/>
            <w:noWrap w:val="0"/>
            <w:vAlign w:val="center"/>
          </w:tcPr>
          <w:p w14:paraId="05D70718">
            <w:pPr>
              <w:jc w:val="center"/>
              <w:rPr>
                <w:color w:val="000000"/>
                <w:kern w:val="0"/>
                <w:szCs w:val="21"/>
              </w:rPr>
            </w:pPr>
            <w:r>
              <w:rPr>
                <w:color w:val="000000"/>
                <w:kern w:val="0"/>
                <w:szCs w:val="21"/>
              </w:rPr>
              <w:t>12</w:t>
            </w:r>
          </w:p>
        </w:tc>
        <w:tc>
          <w:tcPr>
            <w:tcW w:w="1325" w:type="dxa"/>
            <w:noWrap w:val="0"/>
            <w:vAlign w:val="center"/>
          </w:tcPr>
          <w:p w14:paraId="2182A7B3">
            <w:pPr>
              <w:jc w:val="center"/>
              <w:rPr>
                <w:color w:val="000000"/>
                <w:kern w:val="0"/>
                <w:sz w:val="22"/>
                <w:szCs w:val="22"/>
              </w:rPr>
            </w:pPr>
            <w:r>
              <w:rPr>
                <w:color w:val="000000"/>
                <w:kern w:val="0"/>
                <w:sz w:val="22"/>
                <w:szCs w:val="22"/>
              </w:rPr>
              <w:t>242</w:t>
            </w:r>
          </w:p>
        </w:tc>
        <w:tc>
          <w:tcPr>
            <w:tcW w:w="1034" w:type="dxa"/>
            <w:noWrap w:val="0"/>
            <w:vAlign w:val="center"/>
          </w:tcPr>
          <w:p w14:paraId="5424301D">
            <w:pPr>
              <w:jc w:val="center"/>
              <w:rPr>
                <w:color w:val="000000"/>
                <w:kern w:val="0"/>
                <w:szCs w:val="21"/>
              </w:rPr>
            </w:pPr>
            <w:r>
              <w:rPr>
                <w:color w:val="000000"/>
                <w:kern w:val="0"/>
                <w:szCs w:val="21"/>
              </w:rPr>
              <w:t>12</w:t>
            </w:r>
          </w:p>
        </w:tc>
        <w:tc>
          <w:tcPr>
            <w:tcW w:w="1289" w:type="dxa"/>
            <w:noWrap w:val="0"/>
            <w:vAlign w:val="center"/>
          </w:tcPr>
          <w:p w14:paraId="04CDC350">
            <w:pPr>
              <w:jc w:val="center"/>
              <w:rPr>
                <w:color w:val="000000"/>
                <w:kern w:val="0"/>
                <w:szCs w:val="21"/>
              </w:rPr>
            </w:pPr>
            <w:r>
              <w:rPr>
                <w:color w:val="000000"/>
                <w:kern w:val="0"/>
                <w:szCs w:val="21"/>
              </w:rPr>
              <w:t>276</w:t>
            </w:r>
          </w:p>
        </w:tc>
      </w:tr>
      <w:tr w14:paraId="33EF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761E4542">
            <w:pPr>
              <w:rPr>
                <w:rFonts w:ascii="楷体_GB2312" w:hAnsi="宋体" w:eastAsia="楷体_GB2312" w:cs="宋体"/>
                <w:color w:val="000000"/>
                <w:kern w:val="0"/>
                <w:szCs w:val="21"/>
              </w:rPr>
            </w:pPr>
          </w:p>
        </w:tc>
        <w:tc>
          <w:tcPr>
            <w:tcW w:w="1034" w:type="dxa"/>
            <w:noWrap w:val="0"/>
            <w:vAlign w:val="center"/>
          </w:tcPr>
          <w:p w14:paraId="67EC3D76">
            <w:pPr>
              <w:jc w:val="center"/>
              <w:rPr>
                <w:color w:val="000000"/>
                <w:kern w:val="0"/>
                <w:szCs w:val="21"/>
              </w:rPr>
            </w:pPr>
            <w:r>
              <w:rPr>
                <w:color w:val="000000"/>
                <w:kern w:val="0"/>
                <w:szCs w:val="21"/>
              </w:rPr>
              <w:t>3</w:t>
            </w:r>
          </w:p>
        </w:tc>
        <w:tc>
          <w:tcPr>
            <w:tcW w:w="1034" w:type="dxa"/>
            <w:noWrap w:val="0"/>
            <w:vAlign w:val="center"/>
          </w:tcPr>
          <w:p w14:paraId="7CE7A138">
            <w:pPr>
              <w:jc w:val="center"/>
              <w:rPr>
                <w:color w:val="000000"/>
                <w:kern w:val="0"/>
                <w:szCs w:val="21"/>
              </w:rPr>
            </w:pPr>
            <w:r>
              <w:rPr>
                <w:color w:val="000000"/>
                <w:kern w:val="0"/>
                <w:szCs w:val="21"/>
              </w:rPr>
              <w:t>2</w:t>
            </w:r>
          </w:p>
        </w:tc>
        <w:tc>
          <w:tcPr>
            <w:tcW w:w="1289" w:type="dxa"/>
            <w:noWrap w:val="0"/>
            <w:vAlign w:val="center"/>
          </w:tcPr>
          <w:p w14:paraId="30F6C79D">
            <w:pPr>
              <w:jc w:val="center"/>
              <w:rPr>
                <w:color w:val="000000"/>
                <w:kern w:val="0"/>
                <w:szCs w:val="21"/>
              </w:rPr>
            </w:pPr>
            <w:r>
              <w:rPr>
                <w:color w:val="000000"/>
                <w:kern w:val="0"/>
                <w:szCs w:val="21"/>
              </w:rPr>
              <w:t>203</w:t>
            </w:r>
          </w:p>
        </w:tc>
        <w:tc>
          <w:tcPr>
            <w:tcW w:w="1034" w:type="dxa"/>
            <w:noWrap w:val="0"/>
            <w:vAlign w:val="center"/>
          </w:tcPr>
          <w:p w14:paraId="08AF622F">
            <w:pPr>
              <w:jc w:val="center"/>
              <w:rPr>
                <w:color w:val="000000"/>
                <w:kern w:val="0"/>
                <w:szCs w:val="21"/>
              </w:rPr>
            </w:pPr>
            <w:r>
              <w:rPr>
                <w:color w:val="000000"/>
                <w:kern w:val="0"/>
                <w:szCs w:val="21"/>
              </w:rPr>
              <w:t>2</w:t>
            </w:r>
          </w:p>
        </w:tc>
        <w:tc>
          <w:tcPr>
            <w:tcW w:w="1325" w:type="dxa"/>
            <w:noWrap w:val="0"/>
            <w:vAlign w:val="center"/>
          </w:tcPr>
          <w:p w14:paraId="09C62051">
            <w:pPr>
              <w:jc w:val="center"/>
              <w:rPr>
                <w:color w:val="000000"/>
                <w:kern w:val="0"/>
                <w:sz w:val="22"/>
                <w:szCs w:val="22"/>
              </w:rPr>
            </w:pPr>
            <w:r>
              <w:rPr>
                <w:color w:val="000000"/>
                <w:kern w:val="0"/>
                <w:sz w:val="22"/>
                <w:szCs w:val="22"/>
              </w:rPr>
              <w:t>201</w:t>
            </w:r>
          </w:p>
        </w:tc>
        <w:tc>
          <w:tcPr>
            <w:tcW w:w="1034" w:type="dxa"/>
            <w:noWrap w:val="0"/>
            <w:vAlign w:val="center"/>
          </w:tcPr>
          <w:p w14:paraId="2C7D5BA4">
            <w:pPr>
              <w:jc w:val="center"/>
              <w:rPr>
                <w:color w:val="000000"/>
                <w:kern w:val="0"/>
                <w:szCs w:val="21"/>
              </w:rPr>
            </w:pPr>
            <w:r>
              <w:rPr>
                <w:color w:val="000000"/>
                <w:kern w:val="0"/>
                <w:szCs w:val="21"/>
              </w:rPr>
              <w:t>2</w:t>
            </w:r>
          </w:p>
        </w:tc>
        <w:tc>
          <w:tcPr>
            <w:tcW w:w="1289" w:type="dxa"/>
            <w:noWrap w:val="0"/>
            <w:vAlign w:val="center"/>
          </w:tcPr>
          <w:p w14:paraId="1A93C307">
            <w:pPr>
              <w:jc w:val="center"/>
              <w:rPr>
                <w:color w:val="000000"/>
                <w:kern w:val="0"/>
                <w:szCs w:val="21"/>
              </w:rPr>
            </w:pPr>
            <w:r>
              <w:rPr>
                <w:color w:val="000000"/>
                <w:kern w:val="0"/>
                <w:szCs w:val="21"/>
              </w:rPr>
              <w:t>181</w:t>
            </w:r>
          </w:p>
        </w:tc>
      </w:tr>
      <w:tr w14:paraId="4D00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restart"/>
            <w:noWrap w:val="0"/>
            <w:vAlign w:val="center"/>
          </w:tcPr>
          <w:p w14:paraId="42D39F2A">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大泽乡镇</w:t>
            </w:r>
          </w:p>
        </w:tc>
        <w:tc>
          <w:tcPr>
            <w:tcW w:w="1034" w:type="dxa"/>
            <w:noWrap w:val="0"/>
            <w:vAlign w:val="center"/>
          </w:tcPr>
          <w:p w14:paraId="7981C72E">
            <w:pPr>
              <w:jc w:val="center"/>
              <w:rPr>
                <w:color w:val="000000"/>
                <w:kern w:val="0"/>
                <w:szCs w:val="21"/>
              </w:rPr>
            </w:pPr>
            <w:r>
              <w:rPr>
                <w:color w:val="000000"/>
                <w:kern w:val="0"/>
                <w:szCs w:val="21"/>
              </w:rPr>
              <w:t>1</w:t>
            </w:r>
          </w:p>
        </w:tc>
        <w:tc>
          <w:tcPr>
            <w:tcW w:w="1034" w:type="dxa"/>
            <w:noWrap w:val="0"/>
            <w:vAlign w:val="center"/>
          </w:tcPr>
          <w:p w14:paraId="0B18D2C8">
            <w:pPr>
              <w:jc w:val="center"/>
              <w:rPr>
                <w:color w:val="000000"/>
                <w:kern w:val="0"/>
                <w:szCs w:val="21"/>
              </w:rPr>
            </w:pPr>
            <w:r>
              <w:rPr>
                <w:color w:val="000000"/>
                <w:kern w:val="0"/>
                <w:szCs w:val="21"/>
              </w:rPr>
              <w:t>14</w:t>
            </w:r>
          </w:p>
        </w:tc>
        <w:tc>
          <w:tcPr>
            <w:tcW w:w="1289" w:type="dxa"/>
            <w:noWrap w:val="0"/>
            <w:vAlign w:val="center"/>
          </w:tcPr>
          <w:p w14:paraId="514426BC">
            <w:pPr>
              <w:jc w:val="center"/>
              <w:rPr>
                <w:color w:val="000000"/>
                <w:kern w:val="0"/>
                <w:szCs w:val="21"/>
              </w:rPr>
            </w:pPr>
            <w:r>
              <w:rPr>
                <w:color w:val="000000"/>
                <w:kern w:val="0"/>
                <w:szCs w:val="21"/>
              </w:rPr>
              <w:t>320</w:t>
            </w:r>
          </w:p>
        </w:tc>
        <w:tc>
          <w:tcPr>
            <w:tcW w:w="1034" w:type="dxa"/>
            <w:noWrap w:val="0"/>
            <w:vAlign w:val="center"/>
          </w:tcPr>
          <w:p w14:paraId="06A7BBAF">
            <w:pPr>
              <w:jc w:val="center"/>
              <w:rPr>
                <w:color w:val="000000"/>
                <w:kern w:val="0"/>
                <w:szCs w:val="21"/>
              </w:rPr>
            </w:pPr>
            <w:r>
              <w:rPr>
                <w:color w:val="000000"/>
                <w:kern w:val="0"/>
                <w:szCs w:val="21"/>
              </w:rPr>
              <w:t>14</w:t>
            </w:r>
          </w:p>
        </w:tc>
        <w:tc>
          <w:tcPr>
            <w:tcW w:w="1325" w:type="dxa"/>
            <w:noWrap w:val="0"/>
            <w:vAlign w:val="center"/>
          </w:tcPr>
          <w:p w14:paraId="275BD4B0">
            <w:pPr>
              <w:jc w:val="center"/>
              <w:rPr>
                <w:color w:val="000000"/>
                <w:kern w:val="0"/>
                <w:sz w:val="22"/>
                <w:szCs w:val="22"/>
              </w:rPr>
            </w:pPr>
            <w:r>
              <w:rPr>
                <w:color w:val="000000"/>
                <w:kern w:val="0"/>
                <w:sz w:val="22"/>
                <w:szCs w:val="22"/>
              </w:rPr>
              <w:t>333</w:t>
            </w:r>
          </w:p>
        </w:tc>
        <w:tc>
          <w:tcPr>
            <w:tcW w:w="1034" w:type="dxa"/>
            <w:noWrap w:val="0"/>
            <w:vAlign w:val="center"/>
          </w:tcPr>
          <w:p w14:paraId="3CBA44BA">
            <w:pPr>
              <w:jc w:val="center"/>
              <w:rPr>
                <w:color w:val="000000"/>
                <w:kern w:val="0"/>
                <w:szCs w:val="21"/>
              </w:rPr>
            </w:pPr>
            <w:r>
              <w:rPr>
                <w:color w:val="000000"/>
                <w:kern w:val="0"/>
                <w:szCs w:val="21"/>
              </w:rPr>
              <w:t>14</w:t>
            </w:r>
          </w:p>
        </w:tc>
        <w:tc>
          <w:tcPr>
            <w:tcW w:w="1289" w:type="dxa"/>
            <w:noWrap w:val="0"/>
            <w:vAlign w:val="center"/>
          </w:tcPr>
          <w:p w14:paraId="2E1AD621">
            <w:pPr>
              <w:jc w:val="center"/>
              <w:rPr>
                <w:color w:val="000000"/>
                <w:kern w:val="0"/>
                <w:szCs w:val="21"/>
              </w:rPr>
            </w:pPr>
            <w:r>
              <w:rPr>
                <w:color w:val="000000"/>
                <w:kern w:val="0"/>
                <w:szCs w:val="21"/>
              </w:rPr>
              <w:t>307</w:t>
            </w:r>
          </w:p>
        </w:tc>
      </w:tr>
      <w:tr w14:paraId="610E9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614F5269">
            <w:pPr>
              <w:rPr>
                <w:rFonts w:ascii="楷体_GB2312" w:hAnsi="宋体" w:eastAsia="楷体_GB2312" w:cs="宋体"/>
                <w:color w:val="000000"/>
                <w:kern w:val="0"/>
                <w:szCs w:val="21"/>
              </w:rPr>
            </w:pPr>
          </w:p>
        </w:tc>
        <w:tc>
          <w:tcPr>
            <w:tcW w:w="1034" w:type="dxa"/>
            <w:noWrap w:val="0"/>
            <w:vAlign w:val="center"/>
          </w:tcPr>
          <w:p w14:paraId="624BE7E8">
            <w:pPr>
              <w:jc w:val="center"/>
              <w:rPr>
                <w:color w:val="000000"/>
                <w:kern w:val="0"/>
                <w:szCs w:val="21"/>
              </w:rPr>
            </w:pPr>
            <w:r>
              <w:rPr>
                <w:color w:val="000000"/>
                <w:kern w:val="0"/>
                <w:szCs w:val="21"/>
              </w:rPr>
              <w:t>2</w:t>
            </w:r>
          </w:p>
        </w:tc>
        <w:tc>
          <w:tcPr>
            <w:tcW w:w="1034" w:type="dxa"/>
            <w:noWrap w:val="0"/>
            <w:vAlign w:val="center"/>
          </w:tcPr>
          <w:p w14:paraId="7B703050">
            <w:pPr>
              <w:jc w:val="center"/>
              <w:rPr>
                <w:color w:val="000000"/>
                <w:kern w:val="0"/>
                <w:szCs w:val="21"/>
              </w:rPr>
            </w:pPr>
            <w:r>
              <w:rPr>
                <w:color w:val="000000"/>
                <w:kern w:val="0"/>
                <w:szCs w:val="21"/>
              </w:rPr>
              <w:t>14</w:t>
            </w:r>
          </w:p>
        </w:tc>
        <w:tc>
          <w:tcPr>
            <w:tcW w:w="1289" w:type="dxa"/>
            <w:noWrap w:val="0"/>
            <w:vAlign w:val="center"/>
          </w:tcPr>
          <w:p w14:paraId="263945E9">
            <w:pPr>
              <w:jc w:val="center"/>
              <w:rPr>
                <w:color w:val="000000"/>
                <w:kern w:val="0"/>
                <w:szCs w:val="21"/>
              </w:rPr>
            </w:pPr>
            <w:r>
              <w:rPr>
                <w:color w:val="000000"/>
                <w:kern w:val="0"/>
                <w:szCs w:val="21"/>
              </w:rPr>
              <w:t>258</w:t>
            </w:r>
          </w:p>
        </w:tc>
        <w:tc>
          <w:tcPr>
            <w:tcW w:w="1034" w:type="dxa"/>
            <w:noWrap w:val="0"/>
            <w:vAlign w:val="center"/>
          </w:tcPr>
          <w:p w14:paraId="2A686268">
            <w:pPr>
              <w:jc w:val="center"/>
              <w:rPr>
                <w:color w:val="000000"/>
                <w:kern w:val="0"/>
                <w:szCs w:val="21"/>
              </w:rPr>
            </w:pPr>
            <w:r>
              <w:rPr>
                <w:color w:val="000000"/>
                <w:kern w:val="0"/>
                <w:szCs w:val="21"/>
              </w:rPr>
              <w:t>14</w:t>
            </w:r>
          </w:p>
        </w:tc>
        <w:tc>
          <w:tcPr>
            <w:tcW w:w="1325" w:type="dxa"/>
            <w:noWrap w:val="0"/>
            <w:vAlign w:val="center"/>
          </w:tcPr>
          <w:p w14:paraId="1F54A4C4">
            <w:pPr>
              <w:jc w:val="center"/>
              <w:rPr>
                <w:color w:val="000000"/>
                <w:kern w:val="0"/>
                <w:sz w:val="22"/>
                <w:szCs w:val="22"/>
              </w:rPr>
            </w:pPr>
            <w:r>
              <w:rPr>
                <w:color w:val="000000"/>
                <w:kern w:val="0"/>
                <w:sz w:val="22"/>
                <w:szCs w:val="22"/>
              </w:rPr>
              <w:t>238</w:t>
            </w:r>
          </w:p>
        </w:tc>
        <w:tc>
          <w:tcPr>
            <w:tcW w:w="1034" w:type="dxa"/>
            <w:noWrap w:val="0"/>
            <w:vAlign w:val="center"/>
          </w:tcPr>
          <w:p w14:paraId="5EC57210">
            <w:pPr>
              <w:jc w:val="center"/>
              <w:rPr>
                <w:color w:val="000000"/>
                <w:kern w:val="0"/>
                <w:szCs w:val="21"/>
              </w:rPr>
            </w:pPr>
            <w:r>
              <w:rPr>
                <w:color w:val="000000"/>
                <w:kern w:val="0"/>
                <w:szCs w:val="21"/>
              </w:rPr>
              <w:t>14</w:t>
            </w:r>
          </w:p>
        </w:tc>
        <w:tc>
          <w:tcPr>
            <w:tcW w:w="1289" w:type="dxa"/>
            <w:noWrap w:val="0"/>
            <w:vAlign w:val="center"/>
          </w:tcPr>
          <w:p w14:paraId="5478E5C2">
            <w:pPr>
              <w:jc w:val="center"/>
              <w:rPr>
                <w:color w:val="000000"/>
                <w:kern w:val="0"/>
                <w:szCs w:val="21"/>
              </w:rPr>
            </w:pPr>
            <w:r>
              <w:rPr>
                <w:color w:val="000000"/>
                <w:kern w:val="0"/>
                <w:szCs w:val="21"/>
              </w:rPr>
              <w:t>254</w:t>
            </w:r>
          </w:p>
        </w:tc>
      </w:tr>
      <w:tr w14:paraId="61DCE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4319E08F">
            <w:pPr>
              <w:rPr>
                <w:rFonts w:ascii="楷体_GB2312" w:hAnsi="宋体" w:eastAsia="楷体_GB2312" w:cs="宋体"/>
                <w:color w:val="000000"/>
                <w:kern w:val="0"/>
                <w:szCs w:val="21"/>
              </w:rPr>
            </w:pPr>
          </w:p>
        </w:tc>
        <w:tc>
          <w:tcPr>
            <w:tcW w:w="1034" w:type="dxa"/>
            <w:noWrap w:val="0"/>
            <w:vAlign w:val="center"/>
          </w:tcPr>
          <w:p w14:paraId="6C6019FB">
            <w:pPr>
              <w:jc w:val="center"/>
              <w:rPr>
                <w:color w:val="000000"/>
                <w:kern w:val="0"/>
                <w:szCs w:val="21"/>
              </w:rPr>
            </w:pPr>
            <w:r>
              <w:rPr>
                <w:color w:val="000000"/>
                <w:kern w:val="0"/>
                <w:szCs w:val="21"/>
              </w:rPr>
              <w:t>3</w:t>
            </w:r>
          </w:p>
        </w:tc>
        <w:tc>
          <w:tcPr>
            <w:tcW w:w="1034" w:type="dxa"/>
            <w:noWrap w:val="0"/>
            <w:vAlign w:val="center"/>
          </w:tcPr>
          <w:p w14:paraId="4284FD74">
            <w:pPr>
              <w:jc w:val="center"/>
              <w:rPr>
                <w:color w:val="000000"/>
                <w:kern w:val="0"/>
                <w:szCs w:val="21"/>
              </w:rPr>
            </w:pPr>
            <w:r>
              <w:rPr>
                <w:color w:val="000000"/>
                <w:kern w:val="0"/>
                <w:szCs w:val="21"/>
              </w:rPr>
              <w:t>2</w:t>
            </w:r>
          </w:p>
        </w:tc>
        <w:tc>
          <w:tcPr>
            <w:tcW w:w="1289" w:type="dxa"/>
            <w:noWrap w:val="0"/>
            <w:vAlign w:val="center"/>
          </w:tcPr>
          <w:p w14:paraId="2BEF4C95">
            <w:pPr>
              <w:jc w:val="center"/>
              <w:rPr>
                <w:color w:val="000000"/>
                <w:kern w:val="0"/>
                <w:szCs w:val="21"/>
              </w:rPr>
            </w:pPr>
            <w:r>
              <w:rPr>
                <w:color w:val="000000"/>
                <w:kern w:val="0"/>
                <w:szCs w:val="21"/>
              </w:rPr>
              <w:t>205</w:t>
            </w:r>
          </w:p>
        </w:tc>
        <w:tc>
          <w:tcPr>
            <w:tcW w:w="1034" w:type="dxa"/>
            <w:noWrap w:val="0"/>
            <w:vAlign w:val="center"/>
          </w:tcPr>
          <w:p w14:paraId="702D9374">
            <w:pPr>
              <w:jc w:val="center"/>
              <w:rPr>
                <w:color w:val="000000"/>
                <w:kern w:val="0"/>
                <w:szCs w:val="21"/>
              </w:rPr>
            </w:pPr>
            <w:r>
              <w:rPr>
                <w:color w:val="000000"/>
                <w:kern w:val="0"/>
                <w:szCs w:val="21"/>
              </w:rPr>
              <w:t>2</w:t>
            </w:r>
          </w:p>
        </w:tc>
        <w:tc>
          <w:tcPr>
            <w:tcW w:w="1325" w:type="dxa"/>
            <w:noWrap w:val="0"/>
            <w:vAlign w:val="center"/>
          </w:tcPr>
          <w:p w14:paraId="70656E08">
            <w:pPr>
              <w:jc w:val="center"/>
              <w:rPr>
                <w:color w:val="000000"/>
                <w:kern w:val="0"/>
                <w:sz w:val="22"/>
                <w:szCs w:val="22"/>
              </w:rPr>
            </w:pPr>
            <w:r>
              <w:rPr>
                <w:color w:val="000000"/>
                <w:kern w:val="0"/>
                <w:sz w:val="22"/>
                <w:szCs w:val="22"/>
              </w:rPr>
              <w:t>203</w:t>
            </w:r>
          </w:p>
        </w:tc>
        <w:tc>
          <w:tcPr>
            <w:tcW w:w="1034" w:type="dxa"/>
            <w:noWrap w:val="0"/>
            <w:vAlign w:val="center"/>
          </w:tcPr>
          <w:p w14:paraId="153C693F">
            <w:pPr>
              <w:jc w:val="center"/>
              <w:rPr>
                <w:color w:val="000000"/>
                <w:kern w:val="0"/>
                <w:szCs w:val="21"/>
              </w:rPr>
            </w:pPr>
            <w:r>
              <w:rPr>
                <w:color w:val="000000"/>
                <w:kern w:val="0"/>
                <w:szCs w:val="21"/>
              </w:rPr>
              <w:t>2</w:t>
            </w:r>
          </w:p>
        </w:tc>
        <w:tc>
          <w:tcPr>
            <w:tcW w:w="1289" w:type="dxa"/>
            <w:noWrap w:val="0"/>
            <w:vAlign w:val="center"/>
          </w:tcPr>
          <w:p w14:paraId="42BD50D4">
            <w:pPr>
              <w:jc w:val="center"/>
              <w:rPr>
                <w:color w:val="000000"/>
                <w:kern w:val="0"/>
                <w:szCs w:val="21"/>
              </w:rPr>
            </w:pPr>
            <w:r>
              <w:rPr>
                <w:color w:val="000000"/>
                <w:kern w:val="0"/>
                <w:szCs w:val="21"/>
              </w:rPr>
              <w:t>177</w:t>
            </w:r>
          </w:p>
        </w:tc>
      </w:tr>
      <w:tr w14:paraId="39DB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restart"/>
            <w:noWrap w:val="0"/>
            <w:vAlign w:val="center"/>
          </w:tcPr>
          <w:p w14:paraId="4BF97BDD">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永安镇</w:t>
            </w:r>
          </w:p>
        </w:tc>
        <w:tc>
          <w:tcPr>
            <w:tcW w:w="1034" w:type="dxa"/>
            <w:noWrap w:val="0"/>
            <w:vAlign w:val="center"/>
          </w:tcPr>
          <w:p w14:paraId="64BA6615">
            <w:pPr>
              <w:jc w:val="center"/>
              <w:rPr>
                <w:color w:val="000000"/>
                <w:kern w:val="0"/>
                <w:szCs w:val="21"/>
              </w:rPr>
            </w:pPr>
            <w:r>
              <w:rPr>
                <w:color w:val="000000"/>
                <w:kern w:val="0"/>
                <w:szCs w:val="21"/>
              </w:rPr>
              <w:t>1</w:t>
            </w:r>
          </w:p>
        </w:tc>
        <w:tc>
          <w:tcPr>
            <w:tcW w:w="1034" w:type="dxa"/>
            <w:noWrap w:val="0"/>
            <w:vAlign w:val="center"/>
          </w:tcPr>
          <w:p w14:paraId="31B48CC7">
            <w:pPr>
              <w:jc w:val="center"/>
              <w:rPr>
                <w:color w:val="000000"/>
                <w:kern w:val="0"/>
                <w:szCs w:val="21"/>
              </w:rPr>
            </w:pPr>
            <w:r>
              <w:rPr>
                <w:color w:val="000000"/>
                <w:kern w:val="0"/>
                <w:szCs w:val="21"/>
              </w:rPr>
              <w:t>10</w:t>
            </w:r>
          </w:p>
        </w:tc>
        <w:tc>
          <w:tcPr>
            <w:tcW w:w="1289" w:type="dxa"/>
            <w:noWrap w:val="0"/>
            <w:vAlign w:val="center"/>
          </w:tcPr>
          <w:p w14:paraId="0291A49F">
            <w:pPr>
              <w:jc w:val="center"/>
              <w:rPr>
                <w:color w:val="000000"/>
                <w:kern w:val="0"/>
                <w:szCs w:val="21"/>
              </w:rPr>
            </w:pPr>
            <w:r>
              <w:rPr>
                <w:color w:val="000000"/>
                <w:kern w:val="0"/>
                <w:szCs w:val="21"/>
              </w:rPr>
              <w:t>322</w:t>
            </w:r>
          </w:p>
        </w:tc>
        <w:tc>
          <w:tcPr>
            <w:tcW w:w="1034" w:type="dxa"/>
            <w:noWrap w:val="0"/>
            <w:vAlign w:val="center"/>
          </w:tcPr>
          <w:p w14:paraId="379B2045">
            <w:pPr>
              <w:jc w:val="center"/>
              <w:rPr>
                <w:color w:val="000000"/>
                <w:kern w:val="0"/>
                <w:szCs w:val="21"/>
              </w:rPr>
            </w:pPr>
            <w:r>
              <w:rPr>
                <w:color w:val="000000"/>
                <w:kern w:val="0"/>
                <w:szCs w:val="21"/>
              </w:rPr>
              <w:t>10</w:t>
            </w:r>
          </w:p>
        </w:tc>
        <w:tc>
          <w:tcPr>
            <w:tcW w:w="1325" w:type="dxa"/>
            <w:noWrap w:val="0"/>
            <w:vAlign w:val="center"/>
          </w:tcPr>
          <w:p w14:paraId="4153AABB">
            <w:pPr>
              <w:jc w:val="center"/>
              <w:rPr>
                <w:color w:val="000000"/>
                <w:kern w:val="0"/>
                <w:sz w:val="22"/>
                <w:szCs w:val="22"/>
              </w:rPr>
            </w:pPr>
            <w:r>
              <w:rPr>
                <w:color w:val="000000"/>
                <w:kern w:val="0"/>
                <w:sz w:val="22"/>
                <w:szCs w:val="22"/>
              </w:rPr>
              <w:t>335</w:t>
            </w:r>
          </w:p>
        </w:tc>
        <w:tc>
          <w:tcPr>
            <w:tcW w:w="1034" w:type="dxa"/>
            <w:noWrap w:val="0"/>
            <w:vAlign w:val="center"/>
          </w:tcPr>
          <w:p w14:paraId="7D6E6220">
            <w:pPr>
              <w:jc w:val="center"/>
              <w:rPr>
                <w:color w:val="000000"/>
                <w:kern w:val="0"/>
                <w:szCs w:val="21"/>
              </w:rPr>
            </w:pPr>
            <w:r>
              <w:rPr>
                <w:color w:val="000000"/>
                <w:kern w:val="0"/>
                <w:szCs w:val="21"/>
              </w:rPr>
              <w:t>10</w:t>
            </w:r>
          </w:p>
        </w:tc>
        <w:tc>
          <w:tcPr>
            <w:tcW w:w="1289" w:type="dxa"/>
            <w:noWrap w:val="0"/>
            <w:vAlign w:val="center"/>
          </w:tcPr>
          <w:p w14:paraId="541B012C">
            <w:pPr>
              <w:jc w:val="center"/>
              <w:rPr>
                <w:color w:val="000000"/>
                <w:kern w:val="0"/>
                <w:szCs w:val="21"/>
              </w:rPr>
            </w:pPr>
            <w:r>
              <w:rPr>
                <w:color w:val="000000"/>
                <w:kern w:val="0"/>
                <w:szCs w:val="21"/>
              </w:rPr>
              <w:t>348</w:t>
            </w:r>
          </w:p>
        </w:tc>
      </w:tr>
      <w:tr w14:paraId="1BCF6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44D604E2">
            <w:pPr>
              <w:rPr>
                <w:rFonts w:ascii="楷体_GB2312" w:hAnsi="宋体" w:eastAsia="楷体_GB2312" w:cs="宋体"/>
                <w:color w:val="000000"/>
                <w:kern w:val="0"/>
                <w:szCs w:val="21"/>
              </w:rPr>
            </w:pPr>
          </w:p>
        </w:tc>
        <w:tc>
          <w:tcPr>
            <w:tcW w:w="1034" w:type="dxa"/>
            <w:noWrap w:val="0"/>
            <w:vAlign w:val="center"/>
          </w:tcPr>
          <w:p w14:paraId="21527AF7">
            <w:pPr>
              <w:jc w:val="center"/>
              <w:rPr>
                <w:color w:val="000000"/>
                <w:kern w:val="0"/>
                <w:szCs w:val="21"/>
              </w:rPr>
            </w:pPr>
            <w:r>
              <w:rPr>
                <w:color w:val="000000"/>
                <w:kern w:val="0"/>
                <w:szCs w:val="21"/>
              </w:rPr>
              <w:t>2</w:t>
            </w:r>
          </w:p>
        </w:tc>
        <w:tc>
          <w:tcPr>
            <w:tcW w:w="1034" w:type="dxa"/>
            <w:noWrap w:val="0"/>
            <w:vAlign w:val="center"/>
          </w:tcPr>
          <w:p w14:paraId="51F92B10">
            <w:pPr>
              <w:jc w:val="center"/>
              <w:rPr>
                <w:color w:val="000000"/>
                <w:kern w:val="0"/>
                <w:szCs w:val="21"/>
              </w:rPr>
            </w:pPr>
            <w:r>
              <w:rPr>
                <w:color w:val="000000"/>
                <w:kern w:val="0"/>
                <w:szCs w:val="21"/>
              </w:rPr>
              <w:t>15</w:t>
            </w:r>
          </w:p>
        </w:tc>
        <w:tc>
          <w:tcPr>
            <w:tcW w:w="1289" w:type="dxa"/>
            <w:noWrap w:val="0"/>
            <w:vAlign w:val="center"/>
          </w:tcPr>
          <w:p w14:paraId="5818CB3C">
            <w:pPr>
              <w:jc w:val="center"/>
              <w:rPr>
                <w:color w:val="000000"/>
                <w:kern w:val="0"/>
                <w:szCs w:val="21"/>
              </w:rPr>
            </w:pPr>
            <w:r>
              <w:rPr>
                <w:color w:val="000000"/>
                <w:kern w:val="0"/>
                <w:szCs w:val="21"/>
              </w:rPr>
              <w:t>260</w:t>
            </w:r>
          </w:p>
        </w:tc>
        <w:tc>
          <w:tcPr>
            <w:tcW w:w="1034" w:type="dxa"/>
            <w:noWrap w:val="0"/>
            <w:vAlign w:val="center"/>
          </w:tcPr>
          <w:p w14:paraId="3BFA85A7">
            <w:pPr>
              <w:jc w:val="center"/>
              <w:rPr>
                <w:color w:val="000000"/>
                <w:kern w:val="0"/>
                <w:szCs w:val="21"/>
              </w:rPr>
            </w:pPr>
            <w:r>
              <w:rPr>
                <w:color w:val="000000"/>
                <w:kern w:val="0"/>
                <w:szCs w:val="21"/>
              </w:rPr>
              <w:t>15</w:t>
            </w:r>
          </w:p>
        </w:tc>
        <w:tc>
          <w:tcPr>
            <w:tcW w:w="1325" w:type="dxa"/>
            <w:noWrap w:val="0"/>
            <w:vAlign w:val="center"/>
          </w:tcPr>
          <w:p w14:paraId="3E6D0437">
            <w:pPr>
              <w:jc w:val="center"/>
              <w:rPr>
                <w:color w:val="000000"/>
                <w:kern w:val="0"/>
                <w:sz w:val="22"/>
                <w:szCs w:val="22"/>
              </w:rPr>
            </w:pPr>
            <w:r>
              <w:rPr>
                <w:color w:val="000000"/>
                <w:kern w:val="0"/>
                <w:sz w:val="22"/>
                <w:szCs w:val="22"/>
              </w:rPr>
              <w:t>263</w:t>
            </w:r>
          </w:p>
        </w:tc>
        <w:tc>
          <w:tcPr>
            <w:tcW w:w="1034" w:type="dxa"/>
            <w:noWrap w:val="0"/>
            <w:vAlign w:val="center"/>
          </w:tcPr>
          <w:p w14:paraId="36799B3E">
            <w:pPr>
              <w:jc w:val="center"/>
              <w:rPr>
                <w:color w:val="000000"/>
                <w:kern w:val="0"/>
                <w:szCs w:val="21"/>
              </w:rPr>
            </w:pPr>
            <w:r>
              <w:rPr>
                <w:color w:val="000000"/>
                <w:kern w:val="0"/>
                <w:szCs w:val="21"/>
              </w:rPr>
              <w:t>15</w:t>
            </w:r>
          </w:p>
        </w:tc>
        <w:tc>
          <w:tcPr>
            <w:tcW w:w="1289" w:type="dxa"/>
            <w:noWrap w:val="0"/>
            <w:vAlign w:val="center"/>
          </w:tcPr>
          <w:p w14:paraId="5E866B28">
            <w:pPr>
              <w:jc w:val="center"/>
              <w:rPr>
                <w:color w:val="000000"/>
                <w:kern w:val="0"/>
                <w:szCs w:val="21"/>
              </w:rPr>
            </w:pPr>
            <w:r>
              <w:rPr>
                <w:color w:val="000000"/>
                <w:kern w:val="0"/>
                <w:szCs w:val="21"/>
              </w:rPr>
              <w:t>242</w:t>
            </w:r>
          </w:p>
        </w:tc>
      </w:tr>
      <w:tr w14:paraId="7D11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62D3EF0B">
            <w:pPr>
              <w:rPr>
                <w:rFonts w:ascii="楷体_GB2312" w:hAnsi="宋体" w:eastAsia="楷体_GB2312" w:cs="宋体"/>
                <w:color w:val="000000"/>
                <w:kern w:val="0"/>
                <w:szCs w:val="21"/>
              </w:rPr>
            </w:pPr>
          </w:p>
        </w:tc>
        <w:tc>
          <w:tcPr>
            <w:tcW w:w="1034" w:type="dxa"/>
            <w:noWrap w:val="0"/>
            <w:vAlign w:val="center"/>
          </w:tcPr>
          <w:p w14:paraId="046B6DF0">
            <w:pPr>
              <w:jc w:val="center"/>
              <w:rPr>
                <w:color w:val="000000"/>
                <w:kern w:val="0"/>
                <w:szCs w:val="21"/>
              </w:rPr>
            </w:pPr>
            <w:r>
              <w:rPr>
                <w:color w:val="000000"/>
                <w:kern w:val="0"/>
                <w:szCs w:val="21"/>
              </w:rPr>
              <w:t>3</w:t>
            </w:r>
          </w:p>
        </w:tc>
        <w:tc>
          <w:tcPr>
            <w:tcW w:w="1034" w:type="dxa"/>
            <w:noWrap w:val="0"/>
            <w:vAlign w:val="center"/>
          </w:tcPr>
          <w:p w14:paraId="305788E0">
            <w:pPr>
              <w:jc w:val="center"/>
              <w:rPr>
                <w:color w:val="000000"/>
                <w:kern w:val="0"/>
                <w:szCs w:val="21"/>
              </w:rPr>
            </w:pPr>
            <w:r>
              <w:rPr>
                <w:color w:val="000000"/>
                <w:kern w:val="0"/>
                <w:szCs w:val="21"/>
              </w:rPr>
              <w:t>5</w:t>
            </w:r>
          </w:p>
        </w:tc>
        <w:tc>
          <w:tcPr>
            <w:tcW w:w="1289" w:type="dxa"/>
            <w:noWrap w:val="0"/>
            <w:vAlign w:val="center"/>
          </w:tcPr>
          <w:p w14:paraId="7306F495">
            <w:pPr>
              <w:jc w:val="center"/>
              <w:rPr>
                <w:color w:val="000000"/>
                <w:kern w:val="0"/>
                <w:szCs w:val="21"/>
              </w:rPr>
            </w:pPr>
            <w:r>
              <w:rPr>
                <w:color w:val="000000"/>
                <w:kern w:val="0"/>
                <w:szCs w:val="21"/>
              </w:rPr>
              <w:t>193</w:t>
            </w:r>
          </w:p>
        </w:tc>
        <w:tc>
          <w:tcPr>
            <w:tcW w:w="1034" w:type="dxa"/>
            <w:noWrap w:val="0"/>
            <w:vAlign w:val="center"/>
          </w:tcPr>
          <w:p w14:paraId="2E4DB66B">
            <w:pPr>
              <w:jc w:val="center"/>
              <w:rPr>
                <w:color w:val="000000"/>
                <w:kern w:val="0"/>
                <w:szCs w:val="21"/>
              </w:rPr>
            </w:pPr>
            <w:r>
              <w:rPr>
                <w:color w:val="000000"/>
                <w:kern w:val="0"/>
                <w:szCs w:val="21"/>
              </w:rPr>
              <w:t>5</w:t>
            </w:r>
          </w:p>
        </w:tc>
        <w:tc>
          <w:tcPr>
            <w:tcW w:w="1325" w:type="dxa"/>
            <w:noWrap w:val="0"/>
            <w:vAlign w:val="center"/>
          </w:tcPr>
          <w:p w14:paraId="17B57973">
            <w:pPr>
              <w:jc w:val="center"/>
              <w:rPr>
                <w:color w:val="000000"/>
                <w:kern w:val="0"/>
                <w:sz w:val="22"/>
                <w:szCs w:val="22"/>
              </w:rPr>
            </w:pPr>
            <w:r>
              <w:rPr>
                <w:color w:val="000000"/>
                <w:kern w:val="0"/>
                <w:sz w:val="22"/>
                <w:szCs w:val="22"/>
              </w:rPr>
              <w:t>205</w:t>
            </w:r>
          </w:p>
        </w:tc>
        <w:tc>
          <w:tcPr>
            <w:tcW w:w="1034" w:type="dxa"/>
            <w:noWrap w:val="0"/>
            <w:vAlign w:val="center"/>
          </w:tcPr>
          <w:p w14:paraId="5CFC9D54">
            <w:pPr>
              <w:jc w:val="center"/>
              <w:rPr>
                <w:color w:val="000000"/>
                <w:kern w:val="0"/>
                <w:szCs w:val="21"/>
              </w:rPr>
            </w:pPr>
            <w:r>
              <w:rPr>
                <w:color w:val="000000"/>
                <w:kern w:val="0"/>
                <w:szCs w:val="21"/>
              </w:rPr>
              <w:t>5</w:t>
            </w:r>
          </w:p>
        </w:tc>
        <w:tc>
          <w:tcPr>
            <w:tcW w:w="1289" w:type="dxa"/>
            <w:noWrap w:val="0"/>
            <w:vAlign w:val="center"/>
          </w:tcPr>
          <w:p w14:paraId="366C4F94">
            <w:pPr>
              <w:jc w:val="center"/>
              <w:rPr>
                <w:color w:val="000000"/>
                <w:kern w:val="0"/>
                <w:szCs w:val="21"/>
              </w:rPr>
            </w:pPr>
            <w:r>
              <w:rPr>
                <w:color w:val="000000"/>
                <w:kern w:val="0"/>
                <w:szCs w:val="21"/>
              </w:rPr>
              <w:t>187</w:t>
            </w:r>
          </w:p>
        </w:tc>
      </w:tr>
      <w:tr w14:paraId="5ECB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restart"/>
            <w:noWrap w:val="0"/>
            <w:vAlign w:val="center"/>
          </w:tcPr>
          <w:p w14:paraId="43980FED">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支河乡</w:t>
            </w:r>
          </w:p>
        </w:tc>
        <w:tc>
          <w:tcPr>
            <w:tcW w:w="1034" w:type="dxa"/>
            <w:noWrap w:val="0"/>
            <w:vAlign w:val="center"/>
          </w:tcPr>
          <w:p w14:paraId="0B27DDBD">
            <w:pPr>
              <w:jc w:val="center"/>
              <w:rPr>
                <w:color w:val="000000"/>
                <w:kern w:val="0"/>
                <w:szCs w:val="21"/>
              </w:rPr>
            </w:pPr>
            <w:r>
              <w:rPr>
                <w:color w:val="000000"/>
                <w:kern w:val="0"/>
                <w:szCs w:val="21"/>
              </w:rPr>
              <w:t>1</w:t>
            </w:r>
          </w:p>
        </w:tc>
        <w:tc>
          <w:tcPr>
            <w:tcW w:w="1034" w:type="dxa"/>
            <w:noWrap w:val="0"/>
            <w:vAlign w:val="center"/>
          </w:tcPr>
          <w:p w14:paraId="3B28FEFB">
            <w:pPr>
              <w:jc w:val="center"/>
              <w:rPr>
                <w:color w:val="000000"/>
                <w:kern w:val="0"/>
                <w:szCs w:val="21"/>
              </w:rPr>
            </w:pPr>
            <w:r>
              <w:rPr>
                <w:color w:val="000000"/>
                <w:kern w:val="0"/>
                <w:szCs w:val="21"/>
              </w:rPr>
              <w:t>16</w:t>
            </w:r>
          </w:p>
        </w:tc>
        <w:tc>
          <w:tcPr>
            <w:tcW w:w="1289" w:type="dxa"/>
            <w:noWrap w:val="0"/>
            <w:vAlign w:val="center"/>
          </w:tcPr>
          <w:p w14:paraId="6822CB24">
            <w:pPr>
              <w:jc w:val="center"/>
              <w:rPr>
                <w:color w:val="000000"/>
                <w:kern w:val="0"/>
                <w:szCs w:val="21"/>
              </w:rPr>
            </w:pPr>
            <w:r>
              <w:rPr>
                <w:color w:val="000000"/>
                <w:kern w:val="0"/>
                <w:szCs w:val="21"/>
              </w:rPr>
              <w:t>309</w:t>
            </w:r>
          </w:p>
        </w:tc>
        <w:tc>
          <w:tcPr>
            <w:tcW w:w="1034" w:type="dxa"/>
            <w:noWrap w:val="0"/>
            <w:vAlign w:val="center"/>
          </w:tcPr>
          <w:p w14:paraId="7475E364">
            <w:pPr>
              <w:jc w:val="center"/>
              <w:rPr>
                <w:color w:val="000000"/>
                <w:kern w:val="0"/>
                <w:szCs w:val="21"/>
              </w:rPr>
            </w:pPr>
            <w:r>
              <w:rPr>
                <w:color w:val="000000"/>
                <w:kern w:val="0"/>
                <w:szCs w:val="21"/>
              </w:rPr>
              <w:t>16</w:t>
            </w:r>
          </w:p>
        </w:tc>
        <w:tc>
          <w:tcPr>
            <w:tcW w:w="1325" w:type="dxa"/>
            <w:noWrap w:val="0"/>
            <w:vAlign w:val="center"/>
          </w:tcPr>
          <w:p w14:paraId="7E7F7A97">
            <w:pPr>
              <w:jc w:val="center"/>
              <w:rPr>
                <w:color w:val="000000"/>
                <w:kern w:val="0"/>
                <w:sz w:val="22"/>
                <w:szCs w:val="22"/>
              </w:rPr>
            </w:pPr>
            <w:r>
              <w:rPr>
                <w:color w:val="000000"/>
                <w:kern w:val="0"/>
                <w:sz w:val="22"/>
                <w:szCs w:val="22"/>
              </w:rPr>
              <w:t>328</w:t>
            </w:r>
          </w:p>
        </w:tc>
        <w:tc>
          <w:tcPr>
            <w:tcW w:w="1034" w:type="dxa"/>
            <w:noWrap w:val="0"/>
            <w:vAlign w:val="center"/>
          </w:tcPr>
          <w:p w14:paraId="68B21DBC">
            <w:pPr>
              <w:jc w:val="center"/>
              <w:rPr>
                <w:color w:val="000000"/>
                <w:kern w:val="0"/>
                <w:szCs w:val="21"/>
              </w:rPr>
            </w:pPr>
            <w:r>
              <w:rPr>
                <w:color w:val="000000"/>
                <w:kern w:val="0"/>
                <w:szCs w:val="21"/>
              </w:rPr>
              <w:t>16</w:t>
            </w:r>
          </w:p>
        </w:tc>
        <w:tc>
          <w:tcPr>
            <w:tcW w:w="1289" w:type="dxa"/>
            <w:noWrap w:val="0"/>
            <w:vAlign w:val="center"/>
          </w:tcPr>
          <w:p w14:paraId="67594159">
            <w:pPr>
              <w:jc w:val="center"/>
              <w:rPr>
                <w:color w:val="000000"/>
                <w:kern w:val="0"/>
                <w:szCs w:val="21"/>
              </w:rPr>
            </w:pPr>
            <w:r>
              <w:rPr>
                <w:color w:val="000000"/>
                <w:kern w:val="0"/>
                <w:szCs w:val="21"/>
              </w:rPr>
              <w:t>308</w:t>
            </w:r>
          </w:p>
        </w:tc>
      </w:tr>
      <w:tr w14:paraId="59718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6443988E">
            <w:pPr>
              <w:rPr>
                <w:rFonts w:ascii="楷体_GB2312" w:hAnsi="宋体" w:eastAsia="楷体_GB2312" w:cs="宋体"/>
                <w:color w:val="000000"/>
                <w:kern w:val="0"/>
                <w:szCs w:val="21"/>
              </w:rPr>
            </w:pPr>
          </w:p>
        </w:tc>
        <w:tc>
          <w:tcPr>
            <w:tcW w:w="1034" w:type="dxa"/>
            <w:noWrap w:val="0"/>
            <w:vAlign w:val="center"/>
          </w:tcPr>
          <w:p w14:paraId="03B3B257">
            <w:pPr>
              <w:jc w:val="center"/>
              <w:rPr>
                <w:color w:val="000000"/>
                <w:kern w:val="0"/>
                <w:szCs w:val="21"/>
              </w:rPr>
            </w:pPr>
            <w:r>
              <w:rPr>
                <w:color w:val="000000"/>
                <w:kern w:val="0"/>
                <w:szCs w:val="21"/>
              </w:rPr>
              <w:t>2</w:t>
            </w:r>
          </w:p>
        </w:tc>
        <w:tc>
          <w:tcPr>
            <w:tcW w:w="1034" w:type="dxa"/>
            <w:noWrap w:val="0"/>
            <w:vAlign w:val="center"/>
          </w:tcPr>
          <w:p w14:paraId="76589598">
            <w:pPr>
              <w:jc w:val="center"/>
              <w:rPr>
                <w:color w:val="000000"/>
                <w:kern w:val="0"/>
                <w:szCs w:val="21"/>
              </w:rPr>
            </w:pPr>
            <w:r>
              <w:rPr>
                <w:color w:val="000000"/>
                <w:kern w:val="0"/>
                <w:szCs w:val="21"/>
              </w:rPr>
              <w:t>10</w:t>
            </w:r>
          </w:p>
        </w:tc>
        <w:tc>
          <w:tcPr>
            <w:tcW w:w="1289" w:type="dxa"/>
            <w:noWrap w:val="0"/>
            <w:vAlign w:val="center"/>
          </w:tcPr>
          <w:p w14:paraId="4AC3D51D">
            <w:pPr>
              <w:jc w:val="center"/>
              <w:rPr>
                <w:color w:val="000000"/>
                <w:kern w:val="0"/>
                <w:szCs w:val="21"/>
              </w:rPr>
            </w:pPr>
            <w:r>
              <w:rPr>
                <w:color w:val="000000"/>
                <w:kern w:val="0"/>
                <w:szCs w:val="21"/>
              </w:rPr>
              <w:t>240</w:t>
            </w:r>
          </w:p>
        </w:tc>
        <w:tc>
          <w:tcPr>
            <w:tcW w:w="1034" w:type="dxa"/>
            <w:noWrap w:val="0"/>
            <w:vAlign w:val="center"/>
          </w:tcPr>
          <w:p w14:paraId="4444BA4E">
            <w:pPr>
              <w:jc w:val="center"/>
              <w:rPr>
                <w:color w:val="000000"/>
                <w:kern w:val="0"/>
                <w:szCs w:val="21"/>
              </w:rPr>
            </w:pPr>
            <w:r>
              <w:rPr>
                <w:color w:val="000000"/>
                <w:kern w:val="0"/>
                <w:szCs w:val="21"/>
              </w:rPr>
              <w:t>10</w:t>
            </w:r>
          </w:p>
        </w:tc>
        <w:tc>
          <w:tcPr>
            <w:tcW w:w="1325" w:type="dxa"/>
            <w:noWrap w:val="0"/>
            <w:vAlign w:val="center"/>
          </w:tcPr>
          <w:p w14:paraId="011E446A">
            <w:pPr>
              <w:jc w:val="center"/>
              <w:rPr>
                <w:color w:val="000000"/>
                <w:kern w:val="0"/>
                <w:sz w:val="22"/>
                <w:szCs w:val="22"/>
              </w:rPr>
            </w:pPr>
            <w:r>
              <w:rPr>
                <w:color w:val="000000"/>
                <w:kern w:val="0"/>
                <w:sz w:val="22"/>
                <w:szCs w:val="22"/>
              </w:rPr>
              <w:t>257</w:t>
            </w:r>
          </w:p>
        </w:tc>
        <w:tc>
          <w:tcPr>
            <w:tcW w:w="1034" w:type="dxa"/>
            <w:noWrap w:val="0"/>
            <w:vAlign w:val="center"/>
          </w:tcPr>
          <w:p w14:paraId="6CF32851">
            <w:pPr>
              <w:jc w:val="center"/>
              <w:rPr>
                <w:color w:val="000000"/>
                <w:kern w:val="0"/>
                <w:szCs w:val="21"/>
              </w:rPr>
            </w:pPr>
            <w:r>
              <w:rPr>
                <w:color w:val="000000"/>
                <w:kern w:val="0"/>
                <w:szCs w:val="21"/>
              </w:rPr>
              <w:t>10</w:t>
            </w:r>
          </w:p>
        </w:tc>
        <w:tc>
          <w:tcPr>
            <w:tcW w:w="1289" w:type="dxa"/>
            <w:noWrap w:val="0"/>
            <w:vAlign w:val="center"/>
          </w:tcPr>
          <w:p w14:paraId="0B08DE80">
            <w:pPr>
              <w:jc w:val="center"/>
              <w:rPr>
                <w:color w:val="000000"/>
                <w:kern w:val="0"/>
                <w:szCs w:val="21"/>
              </w:rPr>
            </w:pPr>
            <w:r>
              <w:rPr>
                <w:color w:val="000000"/>
                <w:kern w:val="0"/>
                <w:szCs w:val="21"/>
              </w:rPr>
              <w:t>238</w:t>
            </w:r>
          </w:p>
        </w:tc>
      </w:tr>
      <w:tr w14:paraId="498C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2E104A4D">
            <w:pPr>
              <w:rPr>
                <w:rFonts w:ascii="楷体_GB2312" w:hAnsi="宋体" w:eastAsia="楷体_GB2312" w:cs="宋体"/>
                <w:color w:val="000000"/>
                <w:kern w:val="0"/>
                <w:szCs w:val="21"/>
              </w:rPr>
            </w:pPr>
          </w:p>
        </w:tc>
        <w:tc>
          <w:tcPr>
            <w:tcW w:w="1034" w:type="dxa"/>
            <w:noWrap w:val="0"/>
            <w:vAlign w:val="center"/>
          </w:tcPr>
          <w:p w14:paraId="2532829D">
            <w:pPr>
              <w:jc w:val="center"/>
              <w:rPr>
                <w:color w:val="000000"/>
                <w:kern w:val="0"/>
                <w:szCs w:val="21"/>
              </w:rPr>
            </w:pPr>
            <w:r>
              <w:rPr>
                <w:color w:val="000000"/>
                <w:kern w:val="0"/>
                <w:szCs w:val="21"/>
              </w:rPr>
              <w:t>3</w:t>
            </w:r>
          </w:p>
        </w:tc>
        <w:tc>
          <w:tcPr>
            <w:tcW w:w="1034" w:type="dxa"/>
            <w:noWrap w:val="0"/>
            <w:vAlign w:val="center"/>
          </w:tcPr>
          <w:p w14:paraId="49A0882B">
            <w:pPr>
              <w:jc w:val="center"/>
              <w:rPr>
                <w:color w:val="000000"/>
                <w:kern w:val="0"/>
                <w:szCs w:val="21"/>
              </w:rPr>
            </w:pPr>
            <w:r>
              <w:rPr>
                <w:color w:val="000000"/>
                <w:kern w:val="0"/>
                <w:szCs w:val="21"/>
              </w:rPr>
              <w:t>4</w:t>
            </w:r>
          </w:p>
        </w:tc>
        <w:tc>
          <w:tcPr>
            <w:tcW w:w="1289" w:type="dxa"/>
            <w:noWrap w:val="0"/>
            <w:vAlign w:val="center"/>
          </w:tcPr>
          <w:p w14:paraId="15FD803E">
            <w:pPr>
              <w:jc w:val="center"/>
              <w:rPr>
                <w:color w:val="000000"/>
                <w:kern w:val="0"/>
                <w:szCs w:val="21"/>
              </w:rPr>
            </w:pPr>
            <w:r>
              <w:rPr>
                <w:color w:val="000000"/>
                <w:kern w:val="0"/>
                <w:szCs w:val="21"/>
              </w:rPr>
              <w:t>192</w:t>
            </w:r>
          </w:p>
        </w:tc>
        <w:tc>
          <w:tcPr>
            <w:tcW w:w="1034" w:type="dxa"/>
            <w:noWrap w:val="0"/>
            <w:vAlign w:val="center"/>
          </w:tcPr>
          <w:p w14:paraId="06A5FE47">
            <w:pPr>
              <w:jc w:val="center"/>
              <w:rPr>
                <w:color w:val="000000"/>
                <w:kern w:val="0"/>
                <w:szCs w:val="21"/>
              </w:rPr>
            </w:pPr>
            <w:r>
              <w:rPr>
                <w:color w:val="000000"/>
                <w:kern w:val="0"/>
                <w:szCs w:val="21"/>
              </w:rPr>
              <w:t>4</w:t>
            </w:r>
          </w:p>
        </w:tc>
        <w:tc>
          <w:tcPr>
            <w:tcW w:w="1325" w:type="dxa"/>
            <w:noWrap w:val="0"/>
            <w:vAlign w:val="center"/>
          </w:tcPr>
          <w:p w14:paraId="2DA5A425">
            <w:pPr>
              <w:jc w:val="center"/>
              <w:rPr>
                <w:color w:val="000000"/>
                <w:kern w:val="0"/>
                <w:sz w:val="22"/>
                <w:szCs w:val="22"/>
              </w:rPr>
            </w:pPr>
            <w:r>
              <w:rPr>
                <w:color w:val="000000"/>
                <w:kern w:val="0"/>
                <w:sz w:val="22"/>
                <w:szCs w:val="22"/>
              </w:rPr>
              <w:t>200</w:t>
            </w:r>
          </w:p>
        </w:tc>
        <w:tc>
          <w:tcPr>
            <w:tcW w:w="1034" w:type="dxa"/>
            <w:noWrap w:val="0"/>
            <w:vAlign w:val="center"/>
          </w:tcPr>
          <w:p w14:paraId="4F14EA01">
            <w:pPr>
              <w:jc w:val="center"/>
              <w:rPr>
                <w:color w:val="000000"/>
                <w:kern w:val="0"/>
                <w:szCs w:val="21"/>
              </w:rPr>
            </w:pPr>
            <w:r>
              <w:rPr>
                <w:color w:val="000000"/>
                <w:kern w:val="0"/>
                <w:szCs w:val="21"/>
              </w:rPr>
              <w:t>4</w:t>
            </w:r>
          </w:p>
        </w:tc>
        <w:tc>
          <w:tcPr>
            <w:tcW w:w="1289" w:type="dxa"/>
            <w:noWrap w:val="0"/>
            <w:vAlign w:val="center"/>
          </w:tcPr>
          <w:p w14:paraId="70F54CE0">
            <w:pPr>
              <w:jc w:val="center"/>
              <w:rPr>
                <w:color w:val="000000"/>
                <w:kern w:val="0"/>
                <w:szCs w:val="21"/>
              </w:rPr>
            </w:pPr>
            <w:r>
              <w:rPr>
                <w:color w:val="000000"/>
                <w:kern w:val="0"/>
                <w:szCs w:val="21"/>
              </w:rPr>
              <w:t>178</w:t>
            </w:r>
          </w:p>
        </w:tc>
      </w:tr>
      <w:tr w14:paraId="519B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restart"/>
            <w:noWrap w:val="0"/>
            <w:vAlign w:val="center"/>
          </w:tcPr>
          <w:p w14:paraId="68052D8F">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灰古镇</w:t>
            </w:r>
          </w:p>
        </w:tc>
        <w:tc>
          <w:tcPr>
            <w:tcW w:w="1034" w:type="dxa"/>
            <w:noWrap w:val="0"/>
            <w:vAlign w:val="center"/>
          </w:tcPr>
          <w:p w14:paraId="73249AC8">
            <w:pPr>
              <w:jc w:val="center"/>
              <w:rPr>
                <w:color w:val="000000"/>
                <w:kern w:val="0"/>
                <w:szCs w:val="21"/>
              </w:rPr>
            </w:pPr>
            <w:r>
              <w:rPr>
                <w:color w:val="000000"/>
                <w:kern w:val="0"/>
                <w:szCs w:val="21"/>
              </w:rPr>
              <w:t>1</w:t>
            </w:r>
          </w:p>
        </w:tc>
        <w:tc>
          <w:tcPr>
            <w:tcW w:w="1034" w:type="dxa"/>
            <w:noWrap w:val="0"/>
            <w:vAlign w:val="center"/>
          </w:tcPr>
          <w:p w14:paraId="47412B71">
            <w:pPr>
              <w:jc w:val="center"/>
              <w:rPr>
                <w:color w:val="000000"/>
                <w:kern w:val="0"/>
                <w:szCs w:val="21"/>
              </w:rPr>
            </w:pPr>
            <w:r>
              <w:rPr>
                <w:color w:val="000000"/>
                <w:kern w:val="0"/>
                <w:szCs w:val="21"/>
              </w:rPr>
              <w:t>20</w:t>
            </w:r>
          </w:p>
        </w:tc>
        <w:tc>
          <w:tcPr>
            <w:tcW w:w="1289" w:type="dxa"/>
            <w:noWrap w:val="0"/>
            <w:vAlign w:val="center"/>
          </w:tcPr>
          <w:p w14:paraId="18A63595">
            <w:pPr>
              <w:jc w:val="center"/>
              <w:rPr>
                <w:color w:val="000000"/>
                <w:kern w:val="0"/>
                <w:szCs w:val="21"/>
              </w:rPr>
            </w:pPr>
            <w:r>
              <w:rPr>
                <w:color w:val="000000"/>
                <w:kern w:val="0"/>
                <w:szCs w:val="21"/>
              </w:rPr>
              <w:t>304</w:t>
            </w:r>
          </w:p>
        </w:tc>
        <w:tc>
          <w:tcPr>
            <w:tcW w:w="1034" w:type="dxa"/>
            <w:noWrap w:val="0"/>
            <w:vAlign w:val="center"/>
          </w:tcPr>
          <w:p w14:paraId="47254000">
            <w:pPr>
              <w:jc w:val="center"/>
              <w:rPr>
                <w:color w:val="000000"/>
                <w:kern w:val="0"/>
                <w:szCs w:val="21"/>
              </w:rPr>
            </w:pPr>
            <w:r>
              <w:rPr>
                <w:color w:val="000000"/>
                <w:kern w:val="0"/>
                <w:szCs w:val="21"/>
              </w:rPr>
              <w:t>20</w:t>
            </w:r>
          </w:p>
        </w:tc>
        <w:tc>
          <w:tcPr>
            <w:tcW w:w="1325" w:type="dxa"/>
            <w:noWrap w:val="0"/>
            <w:vAlign w:val="center"/>
          </w:tcPr>
          <w:p w14:paraId="5399C30A">
            <w:pPr>
              <w:jc w:val="center"/>
              <w:rPr>
                <w:color w:val="000000"/>
                <w:kern w:val="0"/>
                <w:sz w:val="22"/>
                <w:szCs w:val="22"/>
              </w:rPr>
            </w:pPr>
            <w:r>
              <w:rPr>
                <w:color w:val="000000"/>
                <w:kern w:val="0"/>
                <w:sz w:val="22"/>
                <w:szCs w:val="22"/>
              </w:rPr>
              <w:t>326</w:t>
            </w:r>
          </w:p>
        </w:tc>
        <w:tc>
          <w:tcPr>
            <w:tcW w:w="1034" w:type="dxa"/>
            <w:noWrap w:val="0"/>
            <w:vAlign w:val="center"/>
          </w:tcPr>
          <w:p w14:paraId="658E05CD">
            <w:pPr>
              <w:jc w:val="center"/>
              <w:rPr>
                <w:color w:val="000000"/>
                <w:kern w:val="0"/>
                <w:szCs w:val="21"/>
              </w:rPr>
            </w:pPr>
            <w:r>
              <w:rPr>
                <w:color w:val="000000"/>
                <w:kern w:val="0"/>
                <w:szCs w:val="21"/>
              </w:rPr>
              <w:t>20</w:t>
            </w:r>
          </w:p>
        </w:tc>
        <w:tc>
          <w:tcPr>
            <w:tcW w:w="1289" w:type="dxa"/>
            <w:noWrap w:val="0"/>
            <w:vAlign w:val="center"/>
          </w:tcPr>
          <w:p w14:paraId="0A3DC921">
            <w:pPr>
              <w:jc w:val="center"/>
              <w:rPr>
                <w:color w:val="000000"/>
                <w:kern w:val="0"/>
                <w:szCs w:val="21"/>
              </w:rPr>
            </w:pPr>
            <w:r>
              <w:rPr>
                <w:color w:val="000000"/>
                <w:kern w:val="0"/>
                <w:szCs w:val="21"/>
              </w:rPr>
              <w:t>330</w:t>
            </w:r>
          </w:p>
        </w:tc>
      </w:tr>
      <w:tr w14:paraId="799BA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34FDEE3D">
            <w:pPr>
              <w:rPr>
                <w:rFonts w:ascii="楷体_GB2312" w:hAnsi="宋体" w:eastAsia="楷体_GB2312" w:cs="宋体"/>
                <w:color w:val="000000"/>
                <w:kern w:val="0"/>
                <w:szCs w:val="21"/>
              </w:rPr>
            </w:pPr>
          </w:p>
        </w:tc>
        <w:tc>
          <w:tcPr>
            <w:tcW w:w="1034" w:type="dxa"/>
            <w:noWrap w:val="0"/>
            <w:vAlign w:val="center"/>
          </w:tcPr>
          <w:p w14:paraId="07C66AB5">
            <w:pPr>
              <w:jc w:val="center"/>
              <w:rPr>
                <w:color w:val="000000"/>
                <w:kern w:val="0"/>
                <w:szCs w:val="21"/>
              </w:rPr>
            </w:pPr>
            <w:r>
              <w:rPr>
                <w:color w:val="000000"/>
                <w:kern w:val="0"/>
                <w:szCs w:val="21"/>
              </w:rPr>
              <w:t>2</w:t>
            </w:r>
          </w:p>
        </w:tc>
        <w:tc>
          <w:tcPr>
            <w:tcW w:w="1034" w:type="dxa"/>
            <w:noWrap w:val="0"/>
            <w:vAlign w:val="center"/>
          </w:tcPr>
          <w:p w14:paraId="5FF7DA68">
            <w:pPr>
              <w:jc w:val="center"/>
              <w:rPr>
                <w:color w:val="000000"/>
                <w:kern w:val="0"/>
                <w:szCs w:val="21"/>
              </w:rPr>
            </w:pPr>
            <w:r>
              <w:rPr>
                <w:color w:val="000000"/>
                <w:kern w:val="0"/>
                <w:szCs w:val="21"/>
              </w:rPr>
              <w:t>5</w:t>
            </w:r>
          </w:p>
        </w:tc>
        <w:tc>
          <w:tcPr>
            <w:tcW w:w="1289" w:type="dxa"/>
            <w:noWrap w:val="0"/>
            <w:vAlign w:val="center"/>
          </w:tcPr>
          <w:p w14:paraId="07913319">
            <w:pPr>
              <w:jc w:val="center"/>
              <w:rPr>
                <w:color w:val="000000"/>
                <w:kern w:val="0"/>
                <w:szCs w:val="21"/>
              </w:rPr>
            </w:pPr>
            <w:r>
              <w:rPr>
                <w:color w:val="000000"/>
                <w:kern w:val="0"/>
                <w:szCs w:val="21"/>
              </w:rPr>
              <w:t>252</w:t>
            </w:r>
          </w:p>
        </w:tc>
        <w:tc>
          <w:tcPr>
            <w:tcW w:w="1034" w:type="dxa"/>
            <w:noWrap w:val="0"/>
            <w:vAlign w:val="center"/>
          </w:tcPr>
          <w:p w14:paraId="73E636FF">
            <w:pPr>
              <w:jc w:val="center"/>
              <w:rPr>
                <w:color w:val="000000"/>
                <w:kern w:val="0"/>
                <w:szCs w:val="21"/>
              </w:rPr>
            </w:pPr>
            <w:r>
              <w:rPr>
                <w:color w:val="000000"/>
                <w:kern w:val="0"/>
                <w:szCs w:val="21"/>
              </w:rPr>
              <w:t>5</w:t>
            </w:r>
          </w:p>
        </w:tc>
        <w:tc>
          <w:tcPr>
            <w:tcW w:w="1325" w:type="dxa"/>
            <w:noWrap w:val="0"/>
            <w:vAlign w:val="center"/>
          </w:tcPr>
          <w:p w14:paraId="566655D7">
            <w:pPr>
              <w:jc w:val="center"/>
              <w:rPr>
                <w:color w:val="000000"/>
                <w:kern w:val="0"/>
                <w:sz w:val="22"/>
                <w:szCs w:val="22"/>
              </w:rPr>
            </w:pPr>
            <w:r>
              <w:rPr>
                <w:color w:val="000000"/>
                <w:kern w:val="0"/>
                <w:sz w:val="22"/>
                <w:szCs w:val="22"/>
              </w:rPr>
              <w:t>260</w:t>
            </w:r>
          </w:p>
        </w:tc>
        <w:tc>
          <w:tcPr>
            <w:tcW w:w="1034" w:type="dxa"/>
            <w:noWrap w:val="0"/>
            <w:vAlign w:val="center"/>
          </w:tcPr>
          <w:p w14:paraId="09CE6A4E">
            <w:pPr>
              <w:jc w:val="center"/>
              <w:rPr>
                <w:color w:val="000000"/>
                <w:kern w:val="0"/>
                <w:szCs w:val="21"/>
              </w:rPr>
            </w:pPr>
            <w:r>
              <w:rPr>
                <w:color w:val="000000"/>
                <w:kern w:val="0"/>
                <w:szCs w:val="21"/>
              </w:rPr>
              <w:t>5</w:t>
            </w:r>
          </w:p>
        </w:tc>
        <w:tc>
          <w:tcPr>
            <w:tcW w:w="1289" w:type="dxa"/>
            <w:noWrap w:val="0"/>
            <w:vAlign w:val="center"/>
          </w:tcPr>
          <w:p w14:paraId="51E51C4B">
            <w:pPr>
              <w:jc w:val="center"/>
              <w:rPr>
                <w:color w:val="000000"/>
                <w:kern w:val="0"/>
                <w:szCs w:val="21"/>
              </w:rPr>
            </w:pPr>
            <w:r>
              <w:rPr>
                <w:color w:val="000000"/>
                <w:kern w:val="0"/>
                <w:szCs w:val="21"/>
              </w:rPr>
              <w:t>253</w:t>
            </w:r>
          </w:p>
        </w:tc>
      </w:tr>
      <w:tr w14:paraId="5C9D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558B5A8C">
            <w:pPr>
              <w:rPr>
                <w:rFonts w:ascii="楷体_GB2312" w:hAnsi="宋体" w:eastAsia="楷体_GB2312" w:cs="宋体"/>
                <w:color w:val="000000"/>
                <w:kern w:val="0"/>
                <w:szCs w:val="21"/>
              </w:rPr>
            </w:pPr>
          </w:p>
        </w:tc>
        <w:tc>
          <w:tcPr>
            <w:tcW w:w="1034" w:type="dxa"/>
            <w:noWrap w:val="0"/>
            <w:vAlign w:val="center"/>
          </w:tcPr>
          <w:p w14:paraId="29F360CA">
            <w:pPr>
              <w:jc w:val="center"/>
              <w:rPr>
                <w:color w:val="000000"/>
                <w:kern w:val="0"/>
                <w:szCs w:val="21"/>
              </w:rPr>
            </w:pPr>
            <w:r>
              <w:rPr>
                <w:color w:val="000000"/>
                <w:kern w:val="0"/>
                <w:szCs w:val="21"/>
              </w:rPr>
              <w:t>3</w:t>
            </w:r>
          </w:p>
        </w:tc>
        <w:tc>
          <w:tcPr>
            <w:tcW w:w="1034" w:type="dxa"/>
            <w:noWrap w:val="0"/>
            <w:vAlign w:val="center"/>
          </w:tcPr>
          <w:p w14:paraId="1349133C">
            <w:pPr>
              <w:jc w:val="center"/>
              <w:rPr>
                <w:color w:val="000000"/>
                <w:kern w:val="0"/>
                <w:szCs w:val="21"/>
              </w:rPr>
            </w:pPr>
            <w:r>
              <w:rPr>
                <w:color w:val="000000"/>
                <w:kern w:val="0"/>
                <w:szCs w:val="21"/>
              </w:rPr>
              <w:t>5</w:t>
            </w:r>
          </w:p>
        </w:tc>
        <w:tc>
          <w:tcPr>
            <w:tcW w:w="1289" w:type="dxa"/>
            <w:noWrap w:val="0"/>
            <w:vAlign w:val="center"/>
          </w:tcPr>
          <w:p w14:paraId="0DC41A36">
            <w:pPr>
              <w:jc w:val="center"/>
              <w:rPr>
                <w:color w:val="000000"/>
                <w:kern w:val="0"/>
                <w:szCs w:val="21"/>
              </w:rPr>
            </w:pPr>
            <w:r>
              <w:rPr>
                <w:color w:val="000000"/>
                <w:kern w:val="0"/>
                <w:szCs w:val="21"/>
              </w:rPr>
              <w:t>200</w:t>
            </w:r>
          </w:p>
        </w:tc>
        <w:tc>
          <w:tcPr>
            <w:tcW w:w="1034" w:type="dxa"/>
            <w:noWrap w:val="0"/>
            <w:vAlign w:val="center"/>
          </w:tcPr>
          <w:p w14:paraId="64120381">
            <w:pPr>
              <w:jc w:val="center"/>
              <w:rPr>
                <w:color w:val="000000"/>
                <w:kern w:val="0"/>
                <w:szCs w:val="21"/>
              </w:rPr>
            </w:pPr>
            <w:r>
              <w:rPr>
                <w:color w:val="000000"/>
                <w:kern w:val="0"/>
                <w:szCs w:val="21"/>
              </w:rPr>
              <w:t>5</w:t>
            </w:r>
          </w:p>
        </w:tc>
        <w:tc>
          <w:tcPr>
            <w:tcW w:w="1325" w:type="dxa"/>
            <w:noWrap w:val="0"/>
            <w:vAlign w:val="center"/>
          </w:tcPr>
          <w:p w14:paraId="42719393">
            <w:pPr>
              <w:jc w:val="center"/>
              <w:rPr>
                <w:color w:val="000000"/>
                <w:kern w:val="0"/>
                <w:sz w:val="22"/>
                <w:szCs w:val="22"/>
              </w:rPr>
            </w:pPr>
            <w:r>
              <w:rPr>
                <w:color w:val="000000"/>
                <w:kern w:val="0"/>
                <w:sz w:val="22"/>
                <w:szCs w:val="22"/>
              </w:rPr>
              <w:t>198</w:t>
            </w:r>
          </w:p>
        </w:tc>
        <w:tc>
          <w:tcPr>
            <w:tcW w:w="1034" w:type="dxa"/>
            <w:noWrap w:val="0"/>
            <w:vAlign w:val="center"/>
          </w:tcPr>
          <w:p w14:paraId="43C8A7A5">
            <w:pPr>
              <w:jc w:val="center"/>
              <w:rPr>
                <w:color w:val="000000"/>
                <w:kern w:val="0"/>
                <w:szCs w:val="21"/>
              </w:rPr>
            </w:pPr>
            <w:r>
              <w:rPr>
                <w:color w:val="000000"/>
                <w:kern w:val="0"/>
                <w:szCs w:val="21"/>
              </w:rPr>
              <w:t>5</w:t>
            </w:r>
          </w:p>
        </w:tc>
        <w:tc>
          <w:tcPr>
            <w:tcW w:w="1289" w:type="dxa"/>
            <w:noWrap w:val="0"/>
            <w:vAlign w:val="center"/>
          </w:tcPr>
          <w:p w14:paraId="131AFC3F">
            <w:pPr>
              <w:jc w:val="center"/>
              <w:rPr>
                <w:color w:val="000000"/>
                <w:kern w:val="0"/>
                <w:szCs w:val="21"/>
              </w:rPr>
            </w:pPr>
            <w:r>
              <w:rPr>
                <w:color w:val="000000"/>
                <w:kern w:val="0"/>
                <w:szCs w:val="21"/>
              </w:rPr>
              <w:t>202</w:t>
            </w:r>
          </w:p>
        </w:tc>
      </w:tr>
      <w:tr w14:paraId="7CE6D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restart"/>
            <w:noWrap w:val="0"/>
            <w:vAlign w:val="center"/>
          </w:tcPr>
          <w:p w14:paraId="67F82033">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桃沟乡</w:t>
            </w:r>
          </w:p>
        </w:tc>
        <w:tc>
          <w:tcPr>
            <w:tcW w:w="1034" w:type="dxa"/>
            <w:noWrap w:val="0"/>
            <w:vAlign w:val="center"/>
          </w:tcPr>
          <w:p w14:paraId="04B5CDD0">
            <w:pPr>
              <w:jc w:val="center"/>
              <w:rPr>
                <w:color w:val="000000"/>
                <w:kern w:val="0"/>
                <w:szCs w:val="21"/>
              </w:rPr>
            </w:pPr>
            <w:r>
              <w:rPr>
                <w:color w:val="000000"/>
                <w:kern w:val="0"/>
                <w:szCs w:val="21"/>
              </w:rPr>
              <w:t>1</w:t>
            </w:r>
          </w:p>
        </w:tc>
        <w:tc>
          <w:tcPr>
            <w:tcW w:w="1034" w:type="dxa"/>
            <w:noWrap w:val="0"/>
            <w:vAlign w:val="center"/>
          </w:tcPr>
          <w:p w14:paraId="6241720F">
            <w:pPr>
              <w:jc w:val="center"/>
              <w:rPr>
                <w:color w:val="000000"/>
                <w:kern w:val="0"/>
                <w:szCs w:val="21"/>
              </w:rPr>
            </w:pPr>
            <w:r>
              <w:rPr>
                <w:color w:val="000000"/>
                <w:kern w:val="0"/>
                <w:szCs w:val="21"/>
              </w:rPr>
              <w:t>15</w:t>
            </w:r>
          </w:p>
        </w:tc>
        <w:tc>
          <w:tcPr>
            <w:tcW w:w="1289" w:type="dxa"/>
            <w:noWrap w:val="0"/>
            <w:vAlign w:val="center"/>
          </w:tcPr>
          <w:p w14:paraId="05EE0A2C">
            <w:pPr>
              <w:jc w:val="center"/>
              <w:rPr>
                <w:color w:val="000000"/>
                <w:kern w:val="0"/>
                <w:szCs w:val="21"/>
              </w:rPr>
            </w:pPr>
            <w:r>
              <w:rPr>
                <w:color w:val="000000"/>
                <w:kern w:val="0"/>
                <w:szCs w:val="21"/>
              </w:rPr>
              <w:t>326</w:t>
            </w:r>
          </w:p>
        </w:tc>
        <w:tc>
          <w:tcPr>
            <w:tcW w:w="1034" w:type="dxa"/>
            <w:noWrap w:val="0"/>
            <w:vAlign w:val="center"/>
          </w:tcPr>
          <w:p w14:paraId="43A0B9A2">
            <w:pPr>
              <w:jc w:val="center"/>
              <w:rPr>
                <w:color w:val="000000"/>
                <w:kern w:val="0"/>
                <w:szCs w:val="21"/>
              </w:rPr>
            </w:pPr>
            <w:r>
              <w:rPr>
                <w:color w:val="000000"/>
                <w:kern w:val="0"/>
                <w:szCs w:val="21"/>
              </w:rPr>
              <w:t>15</w:t>
            </w:r>
          </w:p>
        </w:tc>
        <w:tc>
          <w:tcPr>
            <w:tcW w:w="1325" w:type="dxa"/>
            <w:noWrap w:val="0"/>
            <w:vAlign w:val="center"/>
          </w:tcPr>
          <w:p w14:paraId="7F42ED72">
            <w:pPr>
              <w:jc w:val="center"/>
              <w:rPr>
                <w:color w:val="000000"/>
                <w:kern w:val="0"/>
                <w:sz w:val="22"/>
                <w:szCs w:val="22"/>
              </w:rPr>
            </w:pPr>
            <w:r>
              <w:rPr>
                <w:color w:val="000000"/>
                <w:kern w:val="0"/>
                <w:sz w:val="22"/>
                <w:szCs w:val="22"/>
              </w:rPr>
              <w:t>307</w:t>
            </w:r>
          </w:p>
        </w:tc>
        <w:tc>
          <w:tcPr>
            <w:tcW w:w="1034" w:type="dxa"/>
            <w:noWrap w:val="0"/>
            <w:vAlign w:val="center"/>
          </w:tcPr>
          <w:p w14:paraId="5888B668">
            <w:pPr>
              <w:jc w:val="center"/>
              <w:rPr>
                <w:color w:val="000000"/>
                <w:kern w:val="0"/>
                <w:szCs w:val="21"/>
              </w:rPr>
            </w:pPr>
            <w:r>
              <w:rPr>
                <w:color w:val="000000"/>
                <w:kern w:val="0"/>
                <w:szCs w:val="21"/>
              </w:rPr>
              <w:t>15</w:t>
            </w:r>
          </w:p>
        </w:tc>
        <w:tc>
          <w:tcPr>
            <w:tcW w:w="1289" w:type="dxa"/>
            <w:noWrap w:val="0"/>
            <w:vAlign w:val="center"/>
          </w:tcPr>
          <w:p w14:paraId="4590F6DB">
            <w:pPr>
              <w:jc w:val="center"/>
              <w:rPr>
                <w:color w:val="000000"/>
                <w:kern w:val="0"/>
                <w:szCs w:val="21"/>
              </w:rPr>
            </w:pPr>
            <w:r>
              <w:rPr>
                <w:color w:val="000000"/>
                <w:kern w:val="0"/>
                <w:szCs w:val="21"/>
              </w:rPr>
              <w:t>297</w:t>
            </w:r>
          </w:p>
        </w:tc>
      </w:tr>
      <w:tr w14:paraId="1A884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4F833927">
            <w:pPr>
              <w:rPr>
                <w:rFonts w:ascii="楷体_GB2312" w:hAnsi="宋体" w:eastAsia="楷体_GB2312" w:cs="宋体"/>
                <w:color w:val="000000"/>
                <w:kern w:val="0"/>
                <w:szCs w:val="21"/>
              </w:rPr>
            </w:pPr>
          </w:p>
        </w:tc>
        <w:tc>
          <w:tcPr>
            <w:tcW w:w="1034" w:type="dxa"/>
            <w:noWrap w:val="0"/>
            <w:vAlign w:val="center"/>
          </w:tcPr>
          <w:p w14:paraId="76BCB722">
            <w:pPr>
              <w:jc w:val="center"/>
              <w:rPr>
                <w:color w:val="000000"/>
                <w:kern w:val="0"/>
                <w:szCs w:val="21"/>
              </w:rPr>
            </w:pPr>
            <w:r>
              <w:rPr>
                <w:color w:val="000000"/>
                <w:kern w:val="0"/>
                <w:szCs w:val="21"/>
              </w:rPr>
              <w:t>2</w:t>
            </w:r>
          </w:p>
        </w:tc>
        <w:tc>
          <w:tcPr>
            <w:tcW w:w="1034" w:type="dxa"/>
            <w:noWrap w:val="0"/>
            <w:vAlign w:val="center"/>
          </w:tcPr>
          <w:p w14:paraId="35770712">
            <w:pPr>
              <w:jc w:val="center"/>
              <w:rPr>
                <w:color w:val="000000"/>
                <w:kern w:val="0"/>
                <w:szCs w:val="21"/>
              </w:rPr>
            </w:pPr>
            <w:r>
              <w:rPr>
                <w:color w:val="000000"/>
                <w:kern w:val="0"/>
                <w:szCs w:val="21"/>
              </w:rPr>
              <w:t>10</w:t>
            </w:r>
          </w:p>
        </w:tc>
        <w:tc>
          <w:tcPr>
            <w:tcW w:w="1289" w:type="dxa"/>
            <w:noWrap w:val="0"/>
            <w:vAlign w:val="center"/>
          </w:tcPr>
          <w:p w14:paraId="7B49F22C">
            <w:pPr>
              <w:jc w:val="center"/>
              <w:rPr>
                <w:color w:val="000000"/>
                <w:kern w:val="0"/>
                <w:szCs w:val="21"/>
              </w:rPr>
            </w:pPr>
            <w:r>
              <w:rPr>
                <w:color w:val="000000"/>
                <w:kern w:val="0"/>
                <w:szCs w:val="21"/>
              </w:rPr>
              <w:t>253</w:t>
            </w:r>
          </w:p>
        </w:tc>
        <w:tc>
          <w:tcPr>
            <w:tcW w:w="1034" w:type="dxa"/>
            <w:noWrap w:val="0"/>
            <w:vAlign w:val="center"/>
          </w:tcPr>
          <w:p w14:paraId="74F0A4E5">
            <w:pPr>
              <w:jc w:val="center"/>
              <w:rPr>
                <w:color w:val="000000"/>
                <w:kern w:val="0"/>
                <w:szCs w:val="21"/>
              </w:rPr>
            </w:pPr>
            <w:r>
              <w:rPr>
                <w:color w:val="000000"/>
                <w:kern w:val="0"/>
                <w:szCs w:val="21"/>
              </w:rPr>
              <w:t>10</w:t>
            </w:r>
          </w:p>
        </w:tc>
        <w:tc>
          <w:tcPr>
            <w:tcW w:w="1325" w:type="dxa"/>
            <w:noWrap w:val="0"/>
            <w:vAlign w:val="center"/>
          </w:tcPr>
          <w:p w14:paraId="7DC5C160">
            <w:pPr>
              <w:jc w:val="center"/>
              <w:rPr>
                <w:color w:val="000000"/>
                <w:kern w:val="0"/>
                <w:sz w:val="22"/>
                <w:szCs w:val="22"/>
              </w:rPr>
            </w:pPr>
            <w:r>
              <w:rPr>
                <w:color w:val="000000"/>
                <w:kern w:val="0"/>
                <w:sz w:val="22"/>
                <w:szCs w:val="22"/>
              </w:rPr>
              <w:t>238</w:t>
            </w:r>
          </w:p>
        </w:tc>
        <w:tc>
          <w:tcPr>
            <w:tcW w:w="1034" w:type="dxa"/>
            <w:noWrap w:val="0"/>
            <w:vAlign w:val="center"/>
          </w:tcPr>
          <w:p w14:paraId="5DE2C426">
            <w:pPr>
              <w:jc w:val="center"/>
              <w:rPr>
                <w:color w:val="000000"/>
                <w:kern w:val="0"/>
                <w:szCs w:val="21"/>
              </w:rPr>
            </w:pPr>
            <w:r>
              <w:rPr>
                <w:color w:val="000000"/>
                <w:kern w:val="0"/>
                <w:szCs w:val="21"/>
              </w:rPr>
              <w:t>10</w:t>
            </w:r>
          </w:p>
        </w:tc>
        <w:tc>
          <w:tcPr>
            <w:tcW w:w="1289" w:type="dxa"/>
            <w:noWrap w:val="0"/>
            <w:vAlign w:val="center"/>
          </w:tcPr>
          <w:p w14:paraId="19C65242">
            <w:pPr>
              <w:jc w:val="center"/>
              <w:rPr>
                <w:color w:val="000000"/>
                <w:kern w:val="0"/>
                <w:szCs w:val="21"/>
              </w:rPr>
            </w:pPr>
            <w:r>
              <w:rPr>
                <w:color w:val="000000"/>
                <w:kern w:val="0"/>
                <w:szCs w:val="21"/>
              </w:rPr>
              <w:t>259</w:t>
            </w:r>
          </w:p>
        </w:tc>
      </w:tr>
      <w:tr w14:paraId="0D0E7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vMerge w:val="continue"/>
            <w:noWrap w:val="0"/>
            <w:vAlign w:val="center"/>
          </w:tcPr>
          <w:p w14:paraId="57278652">
            <w:pPr>
              <w:rPr>
                <w:rFonts w:ascii="楷体_GB2312" w:hAnsi="宋体" w:eastAsia="楷体_GB2312" w:cs="宋体"/>
                <w:color w:val="000000"/>
                <w:kern w:val="0"/>
                <w:szCs w:val="21"/>
              </w:rPr>
            </w:pPr>
          </w:p>
        </w:tc>
        <w:tc>
          <w:tcPr>
            <w:tcW w:w="1034" w:type="dxa"/>
            <w:noWrap w:val="0"/>
            <w:vAlign w:val="center"/>
          </w:tcPr>
          <w:p w14:paraId="7A187803">
            <w:pPr>
              <w:jc w:val="center"/>
              <w:rPr>
                <w:color w:val="000000"/>
                <w:kern w:val="0"/>
                <w:szCs w:val="21"/>
              </w:rPr>
            </w:pPr>
            <w:r>
              <w:rPr>
                <w:color w:val="000000"/>
                <w:kern w:val="0"/>
                <w:szCs w:val="21"/>
              </w:rPr>
              <w:t>3</w:t>
            </w:r>
          </w:p>
        </w:tc>
        <w:tc>
          <w:tcPr>
            <w:tcW w:w="1034" w:type="dxa"/>
            <w:noWrap w:val="0"/>
            <w:vAlign w:val="center"/>
          </w:tcPr>
          <w:p w14:paraId="7C991D31">
            <w:pPr>
              <w:jc w:val="center"/>
              <w:rPr>
                <w:color w:val="000000"/>
                <w:kern w:val="0"/>
                <w:szCs w:val="21"/>
              </w:rPr>
            </w:pPr>
            <w:r>
              <w:rPr>
                <w:color w:val="000000"/>
                <w:kern w:val="0"/>
                <w:szCs w:val="21"/>
              </w:rPr>
              <w:t>5</w:t>
            </w:r>
          </w:p>
        </w:tc>
        <w:tc>
          <w:tcPr>
            <w:tcW w:w="1289" w:type="dxa"/>
            <w:noWrap w:val="0"/>
            <w:vAlign w:val="center"/>
          </w:tcPr>
          <w:p w14:paraId="42DFD8E3">
            <w:pPr>
              <w:jc w:val="center"/>
              <w:rPr>
                <w:color w:val="000000"/>
                <w:kern w:val="0"/>
                <w:szCs w:val="21"/>
              </w:rPr>
            </w:pPr>
            <w:r>
              <w:rPr>
                <w:color w:val="000000"/>
                <w:kern w:val="0"/>
                <w:szCs w:val="21"/>
              </w:rPr>
              <w:t>210</w:t>
            </w:r>
          </w:p>
        </w:tc>
        <w:tc>
          <w:tcPr>
            <w:tcW w:w="1034" w:type="dxa"/>
            <w:noWrap w:val="0"/>
            <w:vAlign w:val="center"/>
          </w:tcPr>
          <w:p w14:paraId="674476ED">
            <w:pPr>
              <w:jc w:val="center"/>
              <w:rPr>
                <w:color w:val="000000"/>
                <w:kern w:val="0"/>
                <w:szCs w:val="21"/>
              </w:rPr>
            </w:pPr>
            <w:r>
              <w:rPr>
                <w:color w:val="000000"/>
                <w:kern w:val="0"/>
                <w:szCs w:val="21"/>
              </w:rPr>
              <w:t>5</w:t>
            </w:r>
          </w:p>
        </w:tc>
        <w:tc>
          <w:tcPr>
            <w:tcW w:w="1325" w:type="dxa"/>
            <w:noWrap w:val="0"/>
            <w:vAlign w:val="center"/>
          </w:tcPr>
          <w:p w14:paraId="5EEB07CA">
            <w:pPr>
              <w:jc w:val="center"/>
              <w:rPr>
                <w:color w:val="000000"/>
                <w:kern w:val="0"/>
                <w:sz w:val="22"/>
                <w:szCs w:val="22"/>
              </w:rPr>
            </w:pPr>
            <w:r>
              <w:rPr>
                <w:color w:val="000000"/>
                <w:kern w:val="0"/>
                <w:sz w:val="22"/>
                <w:szCs w:val="22"/>
              </w:rPr>
              <w:t>194</w:t>
            </w:r>
          </w:p>
        </w:tc>
        <w:tc>
          <w:tcPr>
            <w:tcW w:w="1034" w:type="dxa"/>
            <w:noWrap w:val="0"/>
            <w:vAlign w:val="center"/>
          </w:tcPr>
          <w:p w14:paraId="6B32E7E7">
            <w:pPr>
              <w:jc w:val="center"/>
              <w:rPr>
                <w:color w:val="000000"/>
                <w:kern w:val="0"/>
                <w:szCs w:val="21"/>
              </w:rPr>
            </w:pPr>
            <w:r>
              <w:rPr>
                <w:color w:val="000000"/>
                <w:kern w:val="0"/>
                <w:szCs w:val="21"/>
              </w:rPr>
              <w:t>5</w:t>
            </w:r>
          </w:p>
        </w:tc>
        <w:tc>
          <w:tcPr>
            <w:tcW w:w="1289" w:type="dxa"/>
            <w:noWrap w:val="0"/>
            <w:vAlign w:val="center"/>
          </w:tcPr>
          <w:p w14:paraId="749F9190">
            <w:pPr>
              <w:jc w:val="center"/>
              <w:rPr>
                <w:color w:val="000000"/>
                <w:kern w:val="0"/>
                <w:szCs w:val="21"/>
              </w:rPr>
            </w:pPr>
            <w:r>
              <w:rPr>
                <w:color w:val="000000"/>
                <w:kern w:val="0"/>
                <w:szCs w:val="21"/>
              </w:rPr>
              <w:t>196</w:t>
            </w:r>
          </w:p>
        </w:tc>
      </w:tr>
      <w:tr w14:paraId="33399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noWrap w:val="0"/>
            <w:vAlign w:val="center"/>
          </w:tcPr>
          <w:p w14:paraId="385CB977">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曹村开发区</w:t>
            </w:r>
          </w:p>
        </w:tc>
        <w:tc>
          <w:tcPr>
            <w:tcW w:w="1034" w:type="dxa"/>
            <w:noWrap w:val="0"/>
            <w:vAlign w:val="center"/>
          </w:tcPr>
          <w:p w14:paraId="721145D0">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指导价区域</w:t>
            </w:r>
          </w:p>
        </w:tc>
        <w:tc>
          <w:tcPr>
            <w:tcW w:w="1034" w:type="dxa"/>
            <w:noWrap w:val="0"/>
            <w:vAlign w:val="center"/>
          </w:tcPr>
          <w:p w14:paraId="61419065">
            <w:pPr>
              <w:jc w:val="center"/>
              <w:rPr>
                <w:color w:val="000000"/>
                <w:kern w:val="0"/>
                <w:szCs w:val="21"/>
              </w:rPr>
            </w:pPr>
            <w:r>
              <w:rPr>
                <w:color w:val="000000"/>
                <w:kern w:val="0"/>
                <w:szCs w:val="21"/>
              </w:rPr>
              <w:t>30</w:t>
            </w:r>
          </w:p>
        </w:tc>
        <w:tc>
          <w:tcPr>
            <w:tcW w:w="1289" w:type="dxa"/>
            <w:noWrap w:val="0"/>
            <w:vAlign w:val="center"/>
          </w:tcPr>
          <w:p w14:paraId="1FFA407B">
            <w:pPr>
              <w:jc w:val="center"/>
              <w:rPr>
                <w:color w:val="000000"/>
                <w:kern w:val="0"/>
                <w:szCs w:val="21"/>
              </w:rPr>
            </w:pPr>
            <w:r>
              <w:rPr>
                <w:color w:val="000000"/>
                <w:kern w:val="0"/>
                <w:szCs w:val="21"/>
              </w:rPr>
              <w:t>295</w:t>
            </w:r>
          </w:p>
        </w:tc>
        <w:tc>
          <w:tcPr>
            <w:tcW w:w="1034" w:type="dxa"/>
            <w:noWrap/>
            <w:vAlign w:val="center"/>
          </w:tcPr>
          <w:p w14:paraId="6CED7DB4">
            <w:pPr>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1325" w:type="dxa"/>
            <w:noWrap/>
            <w:vAlign w:val="center"/>
          </w:tcPr>
          <w:p w14:paraId="7439D108">
            <w:pPr>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1034" w:type="dxa"/>
            <w:noWrap/>
            <w:vAlign w:val="center"/>
          </w:tcPr>
          <w:p w14:paraId="37BCF376">
            <w:pPr>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1289" w:type="dxa"/>
            <w:noWrap/>
            <w:vAlign w:val="center"/>
          </w:tcPr>
          <w:p w14:paraId="72ADEBB2">
            <w:pPr>
              <w:jc w:val="center"/>
              <w:rPr>
                <w:rFonts w:ascii="宋体" w:hAnsi="宋体" w:cs="宋体"/>
                <w:color w:val="000000"/>
                <w:kern w:val="0"/>
                <w:sz w:val="22"/>
                <w:szCs w:val="22"/>
              </w:rPr>
            </w:pPr>
            <w:r>
              <w:rPr>
                <w:rFonts w:hint="eastAsia" w:ascii="宋体" w:hAnsi="宋体" w:cs="宋体"/>
                <w:color w:val="000000"/>
                <w:kern w:val="0"/>
                <w:sz w:val="22"/>
                <w:szCs w:val="22"/>
              </w:rPr>
              <w:t>/</w:t>
            </w:r>
          </w:p>
        </w:tc>
      </w:tr>
      <w:tr w14:paraId="1792B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noWrap w:val="0"/>
            <w:vAlign w:val="center"/>
          </w:tcPr>
          <w:p w14:paraId="057CB7BD">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家具产业园</w:t>
            </w:r>
          </w:p>
        </w:tc>
        <w:tc>
          <w:tcPr>
            <w:tcW w:w="1034" w:type="dxa"/>
            <w:noWrap w:val="0"/>
            <w:vAlign w:val="center"/>
          </w:tcPr>
          <w:p w14:paraId="0AA01FC7">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指导价区域</w:t>
            </w:r>
          </w:p>
        </w:tc>
        <w:tc>
          <w:tcPr>
            <w:tcW w:w="1034" w:type="dxa"/>
            <w:noWrap w:val="0"/>
            <w:vAlign w:val="center"/>
          </w:tcPr>
          <w:p w14:paraId="487674C7">
            <w:pPr>
              <w:jc w:val="center"/>
              <w:rPr>
                <w:color w:val="000000"/>
                <w:kern w:val="0"/>
                <w:szCs w:val="21"/>
              </w:rPr>
            </w:pPr>
            <w:r>
              <w:rPr>
                <w:color w:val="000000"/>
                <w:kern w:val="0"/>
                <w:szCs w:val="21"/>
              </w:rPr>
              <w:t>55</w:t>
            </w:r>
          </w:p>
        </w:tc>
        <w:tc>
          <w:tcPr>
            <w:tcW w:w="1289" w:type="dxa"/>
            <w:noWrap w:val="0"/>
            <w:vAlign w:val="center"/>
          </w:tcPr>
          <w:p w14:paraId="5C6C7D5F">
            <w:pPr>
              <w:jc w:val="center"/>
              <w:rPr>
                <w:color w:val="000000"/>
                <w:kern w:val="0"/>
                <w:szCs w:val="21"/>
              </w:rPr>
            </w:pPr>
            <w:r>
              <w:rPr>
                <w:color w:val="000000"/>
                <w:kern w:val="0"/>
                <w:szCs w:val="21"/>
              </w:rPr>
              <w:t>450</w:t>
            </w:r>
          </w:p>
        </w:tc>
        <w:tc>
          <w:tcPr>
            <w:tcW w:w="1034" w:type="dxa"/>
            <w:noWrap/>
            <w:vAlign w:val="center"/>
          </w:tcPr>
          <w:p w14:paraId="76FFC0A3">
            <w:pPr>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1325" w:type="dxa"/>
            <w:noWrap/>
            <w:vAlign w:val="center"/>
          </w:tcPr>
          <w:p w14:paraId="28D9A4B9">
            <w:pPr>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1034" w:type="dxa"/>
            <w:noWrap/>
            <w:vAlign w:val="center"/>
          </w:tcPr>
          <w:p w14:paraId="79FFB38A">
            <w:pPr>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1289" w:type="dxa"/>
            <w:noWrap/>
            <w:vAlign w:val="center"/>
          </w:tcPr>
          <w:p w14:paraId="2D365F7C">
            <w:pPr>
              <w:jc w:val="center"/>
              <w:rPr>
                <w:rFonts w:ascii="宋体" w:hAnsi="宋体" w:cs="宋体"/>
                <w:color w:val="000000"/>
                <w:kern w:val="0"/>
                <w:sz w:val="22"/>
                <w:szCs w:val="22"/>
              </w:rPr>
            </w:pPr>
            <w:r>
              <w:rPr>
                <w:rFonts w:hint="eastAsia" w:ascii="宋体" w:hAnsi="宋体" w:cs="宋体"/>
                <w:color w:val="000000"/>
                <w:kern w:val="0"/>
                <w:sz w:val="22"/>
                <w:szCs w:val="22"/>
              </w:rPr>
              <w:t>/</w:t>
            </w:r>
          </w:p>
        </w:tc>
      </w:tr>
      <w:tr w14:paraId="2770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033" w:type="dxa"/>
            <w:noWrap w:val="0"/>
            <w:vAlign w:val="center"/>
          </w:tcPr>
          <w:p w14:paraId="79E4EE42">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农业示范园</w:t>
            </w:r>
          </w:p>
        </w:tc>
        <w:tc>
          <w:tcPr>
            <w:tcW w:w="1034" w:type="dxa"/>
            <w:noWrap w:val="0"/>
            <w:vAlign w:val="center"/>
          </w:tcPr>
          <w:p w14:paraId="4CC50857">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指导价区域</w:t>
            </w:r>
          </w:p>
        </w:tc>
        <w:tc>
          <w:tcPr>
            <w:tcW w:w="1034" w:type="dxa"/>
            <w:noWrap w:val="0"/>
            <w:vAlign w:val="center"/>
          </w:tcPr>
          <w:p w14:paraId="58B10AF2">
            <w:pPr>
              <w:jc w:val="center"/>
              <w:rPr>
                <w:color w:val="000000"/>
                <w:kern w:val="0"/>
                <w:szCs w:val="21"/>
              </w:rPr>
            </w:pPr>
            <w:r>
              <w:rPr>
                <w:color w:val="000000"/>
                <w:kern w:val="0"/>
                <w:szCs w:val="21"/>
              </w:rPr>
              <w:t>30</w:t>
            </w:r>
          </w:p>
        </w:tc>
        <w:tc>
          <w:tcPr>
            <w:tcW w:w="1289" w:type="dxa"/>
            <w:noWrap w:val="0"/>
            <w:vAlign w:val="center"/>
          </w:tcPr>
          <w:p w14:paraId="2B75821C">
            <w:pPr>
              <w:jc w:val="center"/>
              <w:rPr>
                <w:color w:val="000000"/>
                <w:kern w:val="0"/>
                <w:szCs w:val="21"/>
              </w:rPr>
            </w:pPr>
            <w:r>
              <w:rPr>
                <w:color w:val="000000"/>
                <w:kern w:val="0"/>
                <w:szCs w:val="21"/>
              </w:rPr>
              <w:t>450</w:t>
            </w:r>
          </w:p>
        </w:tc>
        <w:tc>
          <w:tcPr>
            <w:tcW w:w="1034" w:type="dxa"/>
            <w:noWrap/>
            <w:vAlign w:val="center"/>
          </w:tcPr>
          <w:p w14:paraId="162F1818">
            <w:pPr>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1325" w:type="dxa"/>
            <w:noWrap/>
            <w:vAlign w:val="center"/>
          </w:tcPr>
          <w:p w14:paraId="23D9EDE6">
            <w:pPr>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1034" w:type="dxa"/>
            <w:noWrap/>
            <w:vAlign w:val="center"/>
          </w:tcPr>
          <w:p w14:paraId="2C7520E4">
            <w:pPr>
              <w:jc w:val="center"/>
              <w:rPr>
                <w:rFonts w:ascii="宋体" w:hAnsi="宋体" w:cs="宋体"/>
                <w:color w:val="000000"/>
                <w:kern w:val="0"/>
                <w:sz w:val="22"/>
                <w:szCs w:val="22"/>
              </w:rPr>
            </w:pPr>
            <w:r>
              <w:rPr>
                <w:rFonts w:hint="eastAsia" w:ascii="宋体" w:hAnsi="宋体" w:cs="宋体"/>
                <w:color w:val="000000"/>
                <w:kern w:val="0"/>
                <w:sz w:val="22"/>
                <w:szCs w:val="22"/>
              </w:rPr>
              <w:t>/</w:t>
            </w:r>
          </w:p>
        </w:tc>
        <w:tc>
          <w:tcPr>
            <w:tcW w:w="1289" w:type="dxa"/>
            <w:noWrap/>
            <w:vAlign w:val="center"/>
          </w:tcPr>
          <w:p w14:paraId="364211AE">
            <w:pPr>
              <w:jc w:val="center"/>
              <w:rPr>
                <w:rFonts w:ascii="宋体" w:hAnsi="宋体" w:cs="宋体"/>
                <w:color w:val="000000"/>
                <w:kern w:val="0"/>
                <w:sz w:val="22"/>
                <w:szCs w:val="22"/>
              </w:rPr>
            </w:pPr>
            <w:r>
              <w:rPr>
                <w:rFonts w:hint="eastAsia" w:ascii="宋体" w:hAnsi="宋体" w:cs="宋体"/>
                <w:color w:val="000000"/>
                <w:kern w:val="0"/>
                <w:sz w:val="22"/>
                <w:szCs w:val="22"/>
              </w:rPr>
              <w:t>/</w:t>
            </w:r>
          </w:p>
        </w:tc>
      </w:tr>
    </w:tbl>
    <w:p w14:paraId="5AD75223">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分析表2-7-2，利用算术平均法、样点地价和土地级别指数数学模型法、样点地价和土地定级单元总分值数学模型法均测算出了各乡镇住宅用地级别平均价。经过各乡镇土地市场和地价水平调查分析，测算结果各级地中均比较吻合，故以三种方法测算结果的算术平均值并保留到整数作为住宅用地相应级别的基准地价。结果见表2-7-3。</w:t>
      </w:r>
    </w:p>
    <w:p w14:paraId="32B4412C">
      <w:pPr>
        <w:pStyle w:val="20"/>
        <w:spacing w:line="480" w:lineRule="exact"/>
        <w:rPr>
          <w:rFonts w:ascii="Times New Roman" w:hAnsi="Times New Roman" w:cs="Times New Roman"/>
          <w:b/>
          <w:sz w:val="28"/>
        </w:rPr>
      </w:pPr>
      <w:r>
        <w:rPr>
          <w:rFonts w:ascii="Times New Roman" w:hAnsi="Times New Roman" w:cs="Times New Roman"/>
          <w:b/>
          <w:sz w:val="28"/>
        </w:rPr>
        <w:t>三、工矿仓储用地镇区基准地价的确定</w:t>
      </w:r>
    </w:p>
    <w:p w14:paraId="58CC610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由于</w:t>
      </w:r>
      <w:r>
        <w:rPr>
          <w:rFonts w:hint="eastAsia" w:ascii="楷体" w:hAnsi="楷体" w:eastAsia="楷体" w:cs="宋体"/>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乡镇工矿仓储用地出让样点较少，经与工作领导小组综合分析研究后，同时参考本地政策文件，并结合《国土资源部关于调整工业用地出让最低价标准实施政策的通知》（国土资发[2009]56号，2009年5月11日），</w:t>
      </w:r>
      <w:r>
        <w:rPr>
          <w:rFonts w:hint="eastAsia" w:ascii="楷体" w:hAnsi="楷体" w:eastAsia="楷体" w:cs="宋体"/>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工矿仓储用地出让最低价为</w:t>
      </w:r>
      <w:r>
        <w:rPr>
          <w:rFonts w:hint="eastAsia" w:ascii="Times New Roman" w:hAnsi="Times New Roman" w:eastAsia="楷体_GB2312" w:cs="Times New Roman"/>
          <w:sz w:val="28"/>
        </w:rPr>
        <w:t>144</w:t>
      </w:r>
      <w:r>
        <w:rPr>
          <w:rFonts w:ascii="Times New Roman" w:hAnsi="Times New Roman" w:eastAsia="楷体_GB2312" w:cs="Times New Roman"/>
          <w:sz w:val="28"/>
        </w:rPr>
        <w:t>元/平方米。最终确定工矿仓储用地基准地价，结果见表2-7-3。</w:t>
      </w:r>
    </w:p>
    <w:p w14:paraId="5D3FC688">
      <w:pPr>
        <w:pStyle w:val="20"/>
        <w:spacing w:line="480" w:lineRule="exact"/>
        <w:rPr>
          <w:rFonts w:ascii="Times New Roman" w:hAnsi="Times New Roman" w:cs="Times New Roman"/>
          <w:b/>
          <w:sz w:val="28"/>
        </w:rPr>
      </w:pPr>
      <w:r>
        <w:rPr>
          <w:rFonts w:ascii="Times New Roman" w:hAnsi="Times New Roman" w:cs="Times New Roman"/>
          <w:b/>
          <w:sz w:val="28"/>
        </w:rPr>
        <w:t>四、公共管理与公共服务用地基准地价的确定</w:t>
      </w:r>
    </w:p>
    <w:p w14:paraId="0BBD9014">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利用收益还原法和成本逼近法测算公共设施用地中的文化设施用地、体育用地、教育用地、医疗卫生用地、新闻出版用地、科研用地、社会福利用地、公用设施用地级别平均地价，经过对当地土地市场和地价水平调查分析，本次以所测算得值保留至整数位作为文化设施用地、体育用地、教育用地、医疗卫生用地、新闻出版用地、科研用地、社会福利用地、公用设施用地基准地价。结果见表2-7-4。</w:t>
      </w:r>
    </w:p>
    <w:p w14:paraId="688823D7">
      <w:pPr>
        <w:pStyle w:val="20"/>
        <w:spacing w:line="480" w:lineRule="exact"/>
        <w:rPr>
          <w:rFonts w:ascii="Times New Roman" w:hAnsi="Times New Roman" w:cs="Times New Roman"/>
          <w:b/>
          <w:sz w:val="28"/>
        </w:rPr>
      </w:pPr>
      <w:r>
        <w:rPr>
          <w:rFonts w:ascii="Times New Roman" w:hAnsi="Times New Roman" w:cs="Times New Roman"/>
          <w:b/>
          <w:sz w:val="28"/>
        </w:rPr>
        <w:t>五、各乡镇基准地价的确定</w:t>
      </w:r>
    </w:p>
    <w:p w14:paraId="0E70AA3C">
      <w:pPr>
        <w:pStyle w:val="20"/>
        <w:spacing w:line="480" w:lineRule="exact"/>
        <w:jc w:val="center"/>
        <w:rPr>
          <w:rFonts w:ascii="Times New Roman" w:hAnsi="Times New Roman" w:eastAsia="黑体" w:cs="Times New Roman"/>
          <w:sz w:val="28"/>
        </w:rPr>
      </w:pPr>
      <w:r>
        <w:rPr>
          <w:rFonts w:ascii="Times New Roman" w:hAnsi="Times New Roman" w:eastAsia="黑体" w:cs="Times New Roman"/>
          <w:sz w:val="28"/>
        </w:rPr>
        <w:t>表2-7-3埇桥区各乡镇</w:t>
      </w:r>
      <w:r>
        <w:rPr>
          <w:rFonts w:hint="eastAsia" w:ascii="Times New Roman" w:hAnsi="Times New Roman" w:eastAsia="黑体" w:cs="Times New Roman"/>
          <w:sz w:val="28"/>
        </w:rPr>
        <w:t>及园区</w:t>
      </w:r>
      <w:r>
        <w:rPr>
          <w:rFonts w:ascii="Times New Roman" w:hAnsi="Times New Roman" w:eastAsia="黑体" w:cs="Times New Roman"/>
          <w:sz w:val="28"/>
        </w:rPr>
        <w:t>商服、住宅、工矿仓储用地级别基准地价表</w:t>
      </w:r>
    </w:p>
    <w:p w14:paraId="24FEBC99">
      <w:pPr>
        <w:pStyle w:val="20"/>
        <w:ind w:right="210"/>
        <w:jc w:val="right"/>
        <w:rPr>
          <w:rFonts w:ascii="Times New Roman" w:hAnsi="Times New Roman" w:eastAsia="楷体_GB2312" w:cs="Times New Roman"/>
          <w:sz w:val="24"/>
          <w:szCs w:val="24"/>
          <w:vertAlign w:val="superscript"/>
        </w:rPr>
      </w:pPr>
      <w:r>
        <w:rPr>
          <w:rFonts w:ascii="Times New Roman" w:hAnsi="Times New Roman" w:eastAsia="楷体_GB2312" w:cs="Times New Roman"/>
          <w:sz w:val="24"/>
          <w:szCs w:val="24"/>
        </w:rPr>
        <w:t>期日：2021年1月1日</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276"/>
        <w:gridCol w:w="850"/>
        <w:gridCol w:w="1134"/>
        <w:gridCol w:w="1134"/>
        <w:gridCol w:w="1134"/>
        <w:gridCol w:w="992"/>
        <w:gridCol w:w="1134"/>
        <w:gridCol w:w="992"/>
      </w:tblGrid>
      <w:tr w14:paraId="480BC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26" w:type="dxa"/>
            <w:vMerge w:val="restart"/>
            <w:noWrap w:val="0"/>
            <w:vAlign w:val="center"/>
          </w:tcPr>
          <w:p w14:paraId="598809B9">
            <w:pPr>
              <w:jc w:val="center"/>
              <w:rPr>
                <w:rFonts w:eastAsia="楷体_GB2312"/>
                <w:color w:val="000000"/>
                <w:kern w:val="0"/>
                <w:szCs w:val="21"/>
              </w:rPr>
            </w:pPr>
            <w:r>
              <w:rPr>
                <w:rFonts w:eastAsia="楷体_GB2312"/>
                <w:color w:val="000000"/>
                <w:kern w:val="0"/>
                <w:szCs w:val="21"/>
              </w:rPr>
              <w:t>编号</w:t>
            </w:r>
          </w:p>
        </w:tc>
        <w:tc>
          <w:tcPr>
            <w:tcW w:w="1276" w:type="dxa"/>
            <w:vMerge w:val="restart"/>
            <w:noWrap w:val="0"/>
            <w:vAlign w:val="center"/>
          </w:tcPr>
          <w:p w14:paraId="00AFF78A">
            <w:pPr>
              <w:jc w:val="center"/>
              <w:rPr>
                <w:rFonts w:eastAsia="楷体_GB2312"/>
                <w:color w:val="000000"/>
                <w:kern w:val="0"/>
                <w:szCs w:val="21"/>
              </w:rPr>
            </w:pPr>
            <w:r>
              <w:rPr>
                <w:rFonts w:eastAsia="楷体_GB2312"/>
                <w:color w:val="000000"/>
                <w:kern w:val="0"/>
                <w:szCs w:val="21"/>
              </w:rPr>
              <w:t>乡镇名称</w:t>
            </w:r>
          </w:p>
        </w:tc>
        <w:tc>
          <w:tcPr>
            <w:tcW w:w="850" w:type="dxa"/>
            <w:vMerge w:val="restart"/>
            <w:noWrap w:val="0"/>
            <w:vAlign w:val="center"/>
          </w:tcPr>
          <w:p w14:paraId="4D2F1BC6">
            <w:pPr>
              <w:jc w:val="center"/>
              <w:rPr>
                <w:rFonts w:eastAsia="楷体_GB2312"/>
                <w:color w:val="000000"/>
                <w:kern w:val="0"/>
                <w:szCs w:val="21"/>
              </w:rPr>
            </w:pPr>
            <w:r>
              <w:rPr>
                <w:rFonts w:eastAsia="楷体_GB2312"/>
                <w:color w:val="000000"/>
                <w:kern w:val="0"/>
                <w:szCs w:val="21"/>
              </w:rPr>
              <w:t>土地级别</w:t>
            </w:r>
          </w:p>
        </w:tc>
        <w:tc>
          <w:tcPr>
            <w:tcW w:w="2268" w:type="dxa"/>
            <w:gridSpan w:val="2"/>
            <w:noWrap w:val="0"/>
            <w:vAlign w:val="center"/>
          </w:tcPr>
          <w:p w14:paraId="57CB4B4D">
            <w:pPr>
              <w:jc w:val="center"/>
              <w:rPr>
                <w:rFonts w:eastAsia="楷体_GB2312"/>
                <w:color w:val="000000"/>
                <w:kern w:val="0"/>
                <w:szCs w:val="21"/>
              </w:rPr>
            </w:pPr>
            <w:r>
              <w:rPr>
                <w:rFonts w:eastAsia="楷体_GB2312"/>
                <w:color w:val="000000"/>
                <w:kern w:val="0"/>
                <w:szCs w:val="21"/>
              </w:rPr>
              <w:t>商服用地</w:t>
            </w:r>
          </w:p>
        </w:tc>
        <w:tc>
          <w:tcPr>
            <w:tcW w:w="2126" w:type="dxa"/>
            <w:gridSpan w:val="2"/>
            <w:noWrap w:val="0"/>
            <w:vAlign w:val="center"/>
          </w:tcPr>
          <w:p w14:paraId="636ECD50">
            <w:pPr>
              <w:jc w:val="center"/>
              <w:rPr>
                <w:rFonts w:eastAsia="楷体_GB2312"/>
                <w:color w:val="000000"/>
                <w:kern w:val="0"/>
                <w:szCs w:val="21"/>
              </w:rPr>
            </w:pPr>
            <w:r>
              <w:rPr>
                <w:rFonts w:eastAsia="楷体_GB2312"/>
                <w:color w:val="000000"/>
                <w:kern w:val="0"/>
                <w:szCs w:val="21"/>
              </w:rPr>
              <w:t>住宅用地</w:t>
            </w:r>
          </w:p>
        </w:tc>
        <w:tc>
          <w:tcPr>
            <w:tcW w:w="2126" w:type="dxa"/>
            <w:gridSpan w:val="2"/>
            <w:noWrap w:val="0"/>
            <w:vAlign w:val="center"/>
          </w:tcPr>
          <w:p w14:paraId="7BC33BC5">
            <w:pPr>
              <w:jc w:val="center"/>
              <w:rPr>
                <w:rFonts w:eastAsia="楷体_GB2312"/>
                <w:color w:val="000000"/>
                <w:kern w:val="0"/>
                <w:szCs w:val="21"/>
              </w:rPr>
            </w:pPr>
            <w:r>
              <w:rPr>
                <w:rFonts w:eastAsia="楷体_GB2312"/>
                <w:color w:val="000000"/>
                <w:kern w:val="0"/>
                <w:szCs w:val="21"/>
              </w:rPr>
              <w:t>工矿仓储用地</w:t>
            </w:r>
          </w:p>
        </w:tc>
      </w:tr>
      <w:tr w14:paraId="133BD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26" w:type="dxa"/>
            <w:vMerge w:val="continue"/>
            <w:noWrap w:val="0"/>
            <w:vAlign w:val="center"/>
          </w:tcPr>
          <w:p w14:paraId="23FDDF0F">
            <w:pPr>
              <w:jc w:val="center"/>
              <w:rPr>
                <w:rFonts w:eastAsia="楷体_GB2312"/>
                <w:color w:val="000000"/>
                <w:kern w:val="0"/>
                <w:szCs w:val="21"/>
              </w:rPr>
            </w:pPr>
          </w:p>
        </w:tc>
        <w:tc>
          <w:tcPr>
            <w:tcW w:w="1276" w:type="dxa"/>
            <w:vMerge w:val="continue"/>
            <w:noWrap w:val="0"/>
            <w:vAlign w:val="center"/>
          </w:tcPr>
          <w:p w14:paraId="5680DA5E">
            <w:pPr>
              <w:jc w:val="center"/>
              <w:rPr>
                <w:rFonts w:eastAsia="楷体_GB2312"/>
                <w:color w:val="000000"/>
                <w:kern w:val="0"/>
                <w:szCs w:val="21"/>
              </w:rPr>
            </w:pPr>
          </w:p>
        </w:tc>
        <w:tc>
          <w:tcPr>
            <w:tcW w:w="850" w:type="dxa"/>
            <w:vMerge w:val="continue"/>
            <w:noWrap w:val="0"/>
            <w:vAlign w:val="center"/>
          </w:tcPr>
          <w:p w14:paraId="58B6E2A0">
            <w:pPr>
              <w:jc w:val="center"/>
              <w:rPr>
                <w:rFonts w:eastAsia="楷体_GB2312"/>
                <w:color w:val="000000"/>
                <w:kern w:val="0"/>
                <w:szCs w:val="21"/>
              </w:rPr>
            </w:pPr>
          </w:p>
        </w:tc>
        <w:tc>
          <w:tcPr>
            <w:tcW w:w="1134" w:type="dxa"/>
            <w:noWrap w:val="0"/>
            <w:vAlign w:val="center"/>
          </w:tcPr>
          <w:p w14:paraId="24DC84B6">
            <w:pPr>
              <w:jc w:val="center"/>
              <w:rPr>
                <w:rFonts w:eastAsia="楷体_GB2312"/>
                <w:bCs/>
                <w:color w:val="000000"/>
                <w:kern w:val="0"/>
                <w:szCs w:val="21"/>
              </w:rPr>
            </w:pPr>
            <w:r>
              <w:rPr>
                <w:rFonts w:eastAsia="楷体_GB2312"/>
                <w:bCs/>
                <w:color w:val="000000"/>
                <w:kern w:val="0"/>
                <w:szCs w:val="21"/>
              </w:rPr>
              <w:t>基准地价（元/</w:t>
            </w:r>
            <w:r>
              <w:rPr>
                <w:bCs/>
                <w:color w:val="000000"/>
                <w:kern w:val="0"/>
                <w:szCs w:val="21"/>
              </w:rPr>
              <w:t>㎡</w:t>
            </w:r>
            <w:r>
              <w:rPr>
                <w:rFonts w:eastAsia="楷体_GB2312"/>
                <w:bCs/>
                <w:color w:val="000000"/>
                <w:kern w:val="0"/>
                <w:szCs w:val="21"/>
              </w:rPr>
              <w:t>）</w:t>
            </w:r>
          </w:p>
        </w:tc>
        <w:tc>
          <w:tcPr>
            <w:tcW w:w="1134" w:type="dxa"/>
            <w:noWrap w:val="0"/>
            <w:vAlign w:val="center"/>
          </w:tcPr>
          <w:p w14:paraId="2FAB5DB5">
            <w:pPr>
              <w:jc w:val="center"/>
              <w:rPr>
                <w:rFonts w:eastAsia="楷体_GB2312"/>
                <w:color w:val="000000"/>
                <w:kern w:val="0"/>
                <w:szCs w:val="21"/>
              </w:rPr>
            </w:pPr>
            <w:r>
              <w:rPr>
                <w:rFonts w:eastAsia="楷体_GB2312"/>
                <w:color w:val="000000"/>
                <w:kern w:val="0"/>
                <w:szCs w:val="21"/>
              </w:rPr>
              <w:t>换算价格（万元/亩）</w:t>
            </w:r>
          </w:p>
        </w:tc>
        <w:tc>
          <w:tcPr>
            <w:tcW w:w="1134" w:type="dxa"/>
            <w:noWrap w:val="0"/>
            <w:vAlign w:val="center"/>
          </w:tcPr>
          <w:p w14:paraId="0A61DE34">
            <w:pPr>
              <w:jc w:val="center"/>
              <w:rPr>
                <w:rFonts w:eastAsia="楷体_GB2312"/>
                <w:bCs/>
                <w:color w:val="000000"/>
                <w:kern w:val="0"/>
                <w:szCs w:val="21"/>
              </w:rPr>
            </w:pPr>
            <w:r>
              <w:rPr>
                <w:rFonts w:eastAsia="楷体_GB2312"/>
                <w:bCs/>
                <w:color w:val="000000"/>
                <w:kern w:val="0"/>
                <w:szCs w:val="21"/>
              </w:rPr>
              <w:t>基准地价（元/</w:t>
            </w:r>
            <w:r>
              <w:rPr>
                <w:bCs/>
                <w:color w:val="000000"/>
                <w:kern w:val="0"/>
                <w:szCs w:val="21"/>
              </w:rPr>
              <w:t>㎡</w:t>
            </w:r>
            <w:r>
              <w:rPr>
                <w:rFonts w:eastAsia="楷体_GB2312"/>
                <w:bCs/>
                <w:color w:val="000000"/>
                <w:kern w:val="0"/>
                <w:szCs w:val="21"/>
              </w:rPr>
              <w:t>）</w:t>
            </w:r>
          </w:p>
        </w:tc>
        <w:tc>
          <w:tcPr>
            <w:tcW w:w="992" w:type="dxa"/>
            <w:noWrap w:val="0"/>
            <w:vAlign w:val="center"/>
          </w:tcPr>
          <w:p w14:paraId="764AC0B9">
            <w:pPr>
              <w:jc w:val="center"/>
              <w:rPr>
                <w:rFonts w:eastAsia="楷体_GB2312"/>
                <w:color w:val="000000"/>
                <w:kern w:val="0"/>
                <w:szCs w:val="21"/>
              </w:rPr>
            </w:pPr>
            <w:r>
              <w:rPr>
                <w:rFonts w:eastAsia="楷体_GB2312"/>
                <w:color w:val="000000"/>
                <w:kern w:val="0"/>
                <w:szCs w:val="21"/>
              </w:rPr>
              <w:t>换算价格（万元/亩）</w:t>
            </w:r>
          </w:p>
        </w:tc>
        <w:tc>
          <w:tcPr>
            <w:tcW w:w="1134" w:type="dxa"/>
            <w:noWrap w:val="0"/>
            <w:vAlign w:val="center"/>
          </w:tcPr>
          <w:p w14:paraId="1D1F45D1">
            <w:pPr>
              <w:jc w:val="center"/>
              <w:rPr>
                <w:rFonts w:eastAsia="楷体_GB2312"/>
                <w:bCs/>
                <w:color w:val="000000"/>
                <w:kern w:val="0"/>
                <w:szCs w:val="21"/>
              </w:rPr>
            </w:pPr>
            <w:r>
              <w:rPr>
                <w:rFonts w:eastAsia="楷体_GB2312"/>
                <w:bCs/>
                <w:color w:val="000000"/>
                <w:kern w:val="0"/>
                <w:szCs w:val="21"/>
              </w:rPr>
              <w:t>基准地价（元/</w:t>
            </w:r>
            <w:r>
              <w:rPr>
                <w:bCs/>
                <w:color w:val="000000"/>
                <w:kern w:val="0"/>
                <w:szCs w:val="21"/>
              </w:rPr>
              <w:t>㎡</w:t>
            </w:r>
            <w:r>
              <w:rPr>
                <w:rFonts w:eastAsia="楷体_GB2312"/>
                <w:bCs/>
                <w:color w:val="000000"/>
                <w:kern w:val="0"/>
                <w:szCs w:val="21"/>
              </w:rPr>
              <w:t>）</w:t>
            </w:r>
          </w:p>
        </w:tc>
        <w:tc>
          <w:tcPr>
            <w:tcW w:w="992" w:type="dxa"/>
            <w:noWrap w:val="0"/>
            <w:vAlign w:val="center"/>
          </w:tcPr>
          <w:p w14:paraId="3552987C">
            <w:pPr>
              <w:jc w:val="center"/>
              <w:rPr>
                <w:rFonts w:eastAsia="楷体_GB2312"/>
                <w:color w:val="000000"/>
                <w:kern w:val="0"/>
                <w:szCs w:val="21"/>
              </w:rPr>
            </w:pPr>
            <w:r>
              <w:rPr>
                <w:rFonts w:eastAsia="楷体_GB2312"/>
                <w:color w:val="000000"/>
                <w:kern w:val="0"/>
                <w:szCs w:val="21"/>
              </w:rPr>
              <w:t>换算价格（万元/亩）</w:t>
            </w:r>
          </w:p>
        </w:tc>
      </w:tr>
      <w:tr w14:paraId="576DB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ign w:val="center"/>
          </w:tcPr>
          <w:p w14:paraId="6DC2CBF6">
            <w:pPr>
              <w:jc w:val="center"/>
              <w:rPr>
                <w:rFonts w:eastAsia="楷体_GB2312"/>
                <w:color w:val="000000"/>
                <w:kern w:val="0"/>
                <w:szCs w:val="21"/>
              </w:rPr>
            </w:pPr>
            <w:r>
              <w:rPr>
                <w:rFonts w:eastAsia="楷体_GB2312"/>
                <w:color w:val="000000"/>
                <w:kern w:val="0"/>
                <w:szCs w:val="21"/>
              </w:rPr>
              <w:t>1</w:t>
            </w:r>
          </w:p>
        </w:tc>
        <w:tc>
          <w:tcPr>
            <w:tcW w:w="1276" w:type="dxa"/>
            <w:vMerge w:val="restart"/>
            <w:noWrap/>
            <w:vAlign w:val="center"/>
          </w:tcPr>
          <w:p w14:paraId="5B51BA15">
            <w:pPr>
              <w:jc w:val="center"/>
              <w:rPr>
                <w:rFonts w:eastAsia="楷体_GB2312"/>
                <w:color w:val="000000"/>
                <w:kern w:val="0"/>
                <w:szCs w:val="21"/>
              </w:rPr>
            </w:pPr>
            <w:r>
              <w:rPr>
                <w:rFonts w:eastAsia="楷体_GB2312"/>
                <w:color w:val="000000"/>
                <w:kern w:val="0"/>
                <w:szCs w:val="21"/>
              </w:rPr>
              <w:t>符离集</w:t>
            </w:r>
          </w:p>
        </w:tc>
        <w:tc>
          <w:tcPr>
            <w:tcW w:w="850" w:type="dxa"/>
            <w:noWrap w:val="0"/>
            <w:vAlign w:val="center"/>
          </w:tcPr>
          <w:p w14:paraId="456EEEB7">
            <w:pPr>
              <w:jc w:val="center"/>
              <w:rPr>
                <w:rFonts w:eastAsia="楷体_GB2312"/>
                <w:color w:val="000000"/>
                <w:kern w:val="0"/>
                <w:szCs w:val="21"/>
              </w:rPr>
            </w:pPr>
            <w:r>
              <w:rPr>
                <w:rFonts w:eastAsia="楷体_GB2312"/>
                <w:color w:val="000000"/>
                <w:kern w:val="0"/>
                <w:szCs w:val="21"/>
              </w:rPr>
              <w:t>1</w:t>
            </w:r>
          </w:p>
        </w:tc>
        <w:tc>
          <w:tcPr>
            <w:tcW w:w="1134" w:type="dxa"/>
            <w:noWrap/>
            <w:vAlign w:val="center"/>
          </w:tcPr>
          <w:p w14:paraId="14BF65C1">
            <w:pPr>
              <w:jc w:val="center"/>
              <w:rPr>
                <w:rFonts w:eastAsia="楷体_GB2312"/>
                <w:color w:val="000000"/>
                <w:kern w:val="0"/>
                <w:szCs w:val="21"/>
              </w:rPr>
            </w:pPr>
            <w:r>
              <w:rPr>
                <w:rFonts w:eastAsia="楷体_GB2312"/>
                <w:color w:val="000000"/>
                <w:kern w:val="0"/>
                <w:szCs w:val="21"/>
              </w:rPr>
              <w:t>620</w:t>
            </w:r>
          </w:p>
        </w:tc>
        <w:tc>
          <w:tcPr>
            <w:tcW w:w="1134" w:type="dxa"/>
            <w:noWrap/>
            <w:vAlign w:val="center"/>
          </w:tcPr>
          <w:p w14:paraId="6E96A9D6">
            <w:pPr>
              <w:jc w:val="center"/>
              <w:rPr>
                <w:rFonts w:eastAsia="楷体_GB2312"/>
                <w:color w:val="000000"/>
                <w:kern w:val="0"/>
                <w:szCs w:val="21"/>
              </w:rPr>
            </w:pPr>
            <w:r>
              <w:rPr>
                <w:rFonts w:eastAsia="楷体_GB2312"/>
                <w:color w:val="000000"/>
                <w:kern w:val="0"/>
                <w:szCs w:val="21"/>
              </w:rPr>
              <w:t>41.33</w:t>
            </w:r>
          </w:p>
        </w:tc>
        <w:tc>
          <w:tcPr>
            <w:tcW w:w="1134" w:type="dxa"/>
            <w:noWrap/>
            <w:vAlign w:val="center"/>
          </w:tcPr>
          <w:p w14:paraId="7BE3ADD2">
            <w:pPr>
              <w:jc w:val="center"/>
              <w:rPr>
                <w:rFonts w:eastAsia="楷体_GB2312"/>
                <w:color w:val="000000"/>
                <w:kern w:val="0"/>
                <w:szCs w:val="21"/>
              </w:rPr>
            </w:pPr>
            <w:r>
              <w:rPr>
                <w:rFonts w:eastAsia="楷体_GB2312"/>
                <w:color w:val="000000"/>
                <w:kern w:val="0"/>
                <w:szCs w:val="21"/>
              </w:rPr>
              <w:t>470</w:t>
            </w:r>
          </w:p>
        </w:tc>
        <w:tc>
          <w:tcPr>
            <w:tcW w:w="992" w:type="dxa"/>
            <w:noWrap/>
            <w:vAlign w:val="center"/>
          </w:tcPr>
          <w:p w14:paraId="2E7E97D3">
            <w:pPr>
              <w:jc w:val="center"/>
              <w:rPr>
                <w:rFonts w:eastAsia="楷体_GB2312"/>
                <w:color w:val="000000"/>
                <w:kern w:val="0"/>
                <w:szCs w:val="21"/>
              </w:rPr>
            </w:pPr>
            <w:r>
              <w:rPr>
                <w:rFonts w:eastAsia="楷体_GB2312"/>
                <w:color w:val="000000"/>
                <w:kern w:val="0"/>
                <w:szCs w:val="21"/>
              </w:rPr>
              <w:t>31.33</w:t>
            </w:r>
          </w:p>
        </w:tc>
        <w:tc>
          <w:tcPr>
            <w:tcW w:w="1134" w:type="dxa"/>
            <w:noWrap/>
            <w:vAlign w:val="center"/>
          </w:tcPr>
          <w:p w14:paraId="0C81FF13">
            <w:pPr>
              <w:jc w:val="center"/>
              <w:rPr>
                <w:rFonts w:eastAsia="楷体_GB2312"/>
                <w:color w:val="000000"/>
                <w:kern w:val="0"/>
                <w:szCs w:val="21"/>
              </w:rPr>
            </w:pPr>
            <w:r>
              <w:rPr>
                <w:rFonts w:eastAsia="楷体_GB2312"/>
                <w:color w:val="000000"/>
                <w:kern w:val="0"/>
                <w:szCs w:val="21"/>
              </w:rPr>
              <w:t>230</w:t>
            </w:r>
          </w:p>
        </w:tc>
        <w:tc>
          <w:tcPr>
            <w:tcW w:w="992" w:type="dxa"/>
            <w:noWrap/>
            <w:vAlign w:val="center"/>
          </w:tcPr>
          <w:p w14:paraId="52AFF3F4">
            <w:pPr>
              <w:jc w:val="center"/>
              <w:rPr>
                <w:rFonts w:eastAsia="楷体_GB2312"/>
                <w:color w:val="000000"/>
                <w:kern w:val="0"/>
                <w:szCs w:val="21"/>
              </w:rPr>
            </w:pPr>
            <w:r>
              <w:rPr>
                <w:rFonts w:eastAsia="楷体_GB2312"/>
                <w:color w:val="000000"/>
                <w:kern w:val="0"/>
                <w:szCs w:val="21"/>
              </w:rPr>
              <w:t>15.33</w:t>
            </w:r>
          </w:p>
        </w:tc>
      </w:tr>
      <w:tr w14:paraId="32B2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1C62E0DA">
            <w:pPr>
              <w:jc w:val="center"/>
              <w:rPr>
                <w:rFonts w:eastAsia="楷体_GB2312"/>
                <w:color w:val="000000"/>
                <w:kern w:val="0"/>
                <w:szCs w:val="21"/>
              </w:rPr>
            </w:pPr>
          </w:p>
        </w:tc>
        <w:tc>
          <w:tcPr>
            <w:tcW w:w="1276" w:type="dxa"/>
            <w:vMerge w:val="continue"/>
            <w:noWrap/>
            <w:vAlign w:val="center"/>
          </w:tcPr>
          <w:p w14:paraId="69E957E1">
            <w:pPr>
              <w:jc w:val="center"/>
              <w:rPr>
                <w:rFonts w:eastAsia="楷体_GB2312"/>
                <w:color w:val="000000"/>
                <w:kern w:val="0"/>
                <w:szCs w:val="21"/>
              </w:rPr>
            </w:pPr>
          </w:p>
        </w:tc>
        <w:tc>
          <w:tcPr>
            <w:tcW w:w="850" w:type="dxa"/>
            <w:noWrap w:val="0"/>
            <w:vAlign w:val="center"/>
          </w:tcPr>
          <w:p w14:paraId="5502E816">
            <w:pPr>
              <w:jc w:val="center"/>
              <w:rPr>
                <w:rFonts w:eastAsia="楷体_GB2312"/>
                <w:color w:val="000000"/>
                <w:kern w:val="0"/>
                <w:szCs w:val="21"/>
              </w:rPr>
            </w:pPr>
            <w:r>
              <w:rPr>
                <w:rFonts w:eastAsia="楷体_GB2312"/>
                <w:color w:val="000000"/>
                <w:kern w:val="0"/>
                <w:szCs w:val="21"/>
              </w:rPr>
              <w:t>2</w:t>
            </w:r>
          </w:p>
        </w:tc>
        <w:tc>
          <w:tcPr>
            <w:tcW w:w="1134" w:type="dxa"/>
            <w:noWrap/>
            <w:vAlign w:val="center"/>
          </w:tcPr>
          <w:p w14:paraId="2D3A044C">
            <w:pPr>
              <w:jc w:val="center"/>
              <w:rPr>
                <w:rFonts w:eastAsia="楷体_GB2312"/>
                <w:color w:val="000000"/>
                <w:kern w:val="0"/>
                <w:szCs w:val="21"/>
              </w:rPr>
            </w:pPr>
            <w:r>
              <w:rPr>
                <w:rFonts w:eastAsia="楷体_GB2312"/>
                <w:color w:val="000000"/>
                <w:kern w:val="0"/>
                <w:szCs w:val="21"/>
              </w:rPr>
              <w:t>510</w:t>
            </w:r>
          </w:p>
        </w:tc>
        <w:tc>
          <w:tcPr>
            <w:tcW w:w="1134" w:type="dxa"/>
            <w:noWrap/>
            <w:vAlign w:val="center"/>
          </w:tcPr>
          <w:p w14:paraId="469B2BB8">
            <w:pPr>
              <w:jc w:val="center"/>
              <w:rPr>
                <w:rFonts w:eastAsia="楷体_GB2312"/>
                <w:color w:val="000000"/>
                <w:kern w:val="0"/>
                <w:szCs w:val="21"/>
              </w:rPr>
            </w:pPr>
            <w:r>
              <w:rPr>
                <w:rFonts w:eastAsia="楷体_GB2312"/>
                <w:color w:val="000000"/>
                <w:kern w:val="0"/>
                <w:szCs w:val="21"/>
              </w:rPr>
              <w:t>34.00</w:t>
            </w:r>
          </w:p>
        </w:tc>
        <w:tc>
          <w:tcPr>
            <w:tcW w:w="1134" w:type="dxa"/>
            <w:noWrap/>
            <w:vAlign w:val="center"/>
          </w:tcPr>
          <w:p w14:paraId="46736EB6">
            <w:pPr>
              <w:jc w:val="center"/>
              <w:rPr>
                <w:rFonts w:eastAsia="楷体_GB2312"/>
                <w:color w:val="000000"/>
                <w:kern w:val="0"/>
                <w:szCs w:val="21"/>
              </w:rPr>
            </w:pPr>
            <w:r>
              <w:rPr>
                <w:rFonts w:eastAsia="楷体_GB2312"/>
                <w:color w:val="000000"/>
                <w:kern w:val="0"/>
                <w:szCs w:val="21"/>
              </w:rPr>
              <w:t>370</w:t>
            </w:r>
          </w:p>
        </w:tc>
        <w:tc>
          <w:tcPr>
            <w:tcW w:w="992" w:type="dxa"/>
            <w:noWrap/>
            <w:vAlign w:val="center"/>
          </w:tcPr>
          <w:p w14:paraId="15AADA44">
            <w:pPr>
              <w:jc w:val="center"/>
              <w:rPr>
                <w:rFonts w:eastAsia="楷体_GB2312"/>
                <w:color w:val="000000"/>
                <w:kern w:val="0"/>
                <w:szCs w:val="21"/>
              </w:rPr>
            </w:pPr>
            <w:r>
              <w:rPr>
                <w:rFonts w:eastAsia="楷体_GB2312"/>
                <w:color w:val="000000"/>
                <w:kern w:val="0"/>
                <w:szCs w:val="21"/>
              </w:rPr>
              <w:t>24.67</w:t>
            </w:r>
          </w:p>
        </w:tc>
        <w:tc>
          <w:tcPr>
            <w:tcW w:w="1134" w:type="dxa"/>
            <w:noWrap/>
            <w:vAlign w:val="center"/>
          </w:tcPr>
          <w:p w14:paraId="71E149B0">
            <w:pPr>
              <w:jc w:val="center"/>
              <w:rPr>
                <w:rFonts w:eastAsia="楷体_GB2312"/>
                <w:color w:val="000000"/>
                <w:kern w:val="0"/>
                <w:szCs w:val="21"/>
              </w:rPr>
            </w:pPr>
            <w:r>
              <w:rPr>
                <w:rFonts w:eastAsia="楷体_GB2312"/>
                <w:color w:val="000000"/>
                <w:kern w:val="0"/>
                <w:szCs w:val="21"/>
              </w:rPr>
              <w:t>185</w:t>
            </w:r>
          </w:p>
        </w:tc>
        <w:tc>
          <w:tcPr>
            <w:tcW w:w="992" w:type="dxa"/>
            <w:noWrap/>
            <w:vAlign w:val="center"/>
          </w:tcPr>
          <w:p w14:paraId="0CF8D82C">
            <w:pPr>
              <w:jc w:val="center"/>
              <w:rPr>
                <w:rFonts w:eastAsia="楷体_GB2312"/>
                <w:color w:val="000000"/>
                <w:kern w:val="0"/>
                <w:szCs w:val="21"/>
              </w:rPr>
            </w:pPr>
            <w:r>
              <w:rPr>
                <w:rFonts w:eastAsia="楷体_GB2312"/>
                <w:color w:val="000000"/>
                <w:kern w:val="0"/>
                <w:szCs w:val="21"/>
              </w:rPr>
              <w:t>12.33</w:t>
            </w:r>
          </w:p>
        </w:tc>
      </w:tr>
      <w:tr w14:paraId="5CA8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0BF4089E">
            <w:pPr>
              <w:jc w:val="center"/>
              <w:rPr>
                <w:rFonts w:eastAsia="楷体_GB2312"/>
                <w:color w:val="000000"/>
                <w:kern w:val="0"/>
                <w:szCs w:val="21"/>
              </w:rPr>
            </w:pPr>
          </w:p>
        </w:tc>
        <w:tc>
          <w:tcPr>
            <w:tcW w:w="1276" w:type="dxa"/>
            <w:vMerge w:val="continue"/>
            <w:noWrap/>
            <w:vAlign w:val="center"/>
          </w:tcPr>
          <w:p w14:paraId="7A4A40CB">
            <w:pPr>
              <w:jc w:val="center"/>
              <w:rPr>
                <w:rFonts w:eastAsia="楷体_GB2312"/>
                <w:color w:val="000000"/>
                <w:kern w:val="0"/>
                <w:szCs w:val="21"/>
              </w:rPr>
            </w:pPr>
          </w:p>
        </w:tc>
        <w:tc>
          <w:tcPr>
            <w:tcW w:w="850" w:type="dxa"/>
            <w:noWrap w:val="0"/>
            <w:vAlign w:val="center"/>
          </w:tcPr>
          <w:p w14:paraId="49C8C2A2">
            <w:pPr>
              <w:jc w:val="center"/>
              <w:rPr>
                <w:rFonts w:eastAsia="楷体_GB2312"/>
                <w:color w:val="000000"/>
                <w:kern w:val="0"/>
                <w:szCs w:val="21"/>
              </w:rPr>
            </w:pPr>
            <w:r>
              <w:rPr>
                <w:rFonts w:eastAsia="楷体_GB2312"/>
                <w:color w:val="000000"/>
                <w:kern w:val="0"/>
                <w:szCs w:val="21"/>
              </w:rPr>
              <w:t>3</w:t>
            </w:r>
          </w:p>
        </w:tc>
        <w:tc>
          <w:tcPr>
            <w:tcW w:w="1134" w:type="dxa"/>
            <w:noWrap/>
            <w:vAlign w:val="center"/>
          </w:tcPr>
          <w:p w14:paraId="64E95ABD">
            <w:pPr>
              <w:jc w:val="center"/>
              <w:rPr>
                <w:rFonts w:eastAsia="楷体_GB2312"/>
                <w:color w:val="000000"/>
                <w:kern w:val="0"/>
                <w:szCs w:val="21"/>
              </w:rPr>
            </w:pPr>
            <w:r>
              <w:rPr>
                <w:rFonts w:eastAsia="楷体_GB2312"/>
                <w:color w:val="000000"/>
                <w:kern w:val="0"/>
                <w:szCs w:val="21"/>
              </w:rPr>
              <w:t>425</w:t>
            </w:r>
          </w:p>
        </w:tc>
        <w:tc>
          <w:tcPr>
            <w:tcW w:w="1134" w:type="dxa"/>
            <w:noWrap/>
            <w:vAlign w:val="center"/>
          </w:tcPr>
          <w:p w14:paraId="0BA9CE1B">
            <w:pPr>
              <w:jc w:val="center"/>
              <w:rPr>
                <w:rFonts w:eastAsia="楷体_GB2312"/>
                <w:color w:val="000000"/>
                <w:kern w:val="0"/>
                <w:szCs w:val="21"/>
              </w:rPr>
            </w:pPr>
            <w:r>
              <w:rPr>
                <w:rFonts w:eastAsia="楷体_GB2312"/>
                <w:color w:val="000000"/>
                <w:kern w:val="0"/>
                <w:szCs w:val="21"/>
              </w:rPr>
              <w:t>28.33</w:t>
            </w:r>
          </w:p>
        </w:tc>
        <w:tc>
          <w:tcPr>
            <w:tcW w:w="1134" w:type="dxa"/>
            <w:noWrap/>
            <w:vAlign w:val="center"/>
          </w:tcPr>
          <w:p w14:paraId="5DE01802">
            <w:pPr>
              <w:jc w:val="center"/>
              <w:rPr>
                <w:rFonts w:eastAsia="楷体_GB2312"/>
                <w:color w:val="000000"/>
                <w:kern w:val="0"/>
                <w:szCs w:val="21"/>
              </w:rPr>
            </w:pPr>
            <w:r>
              <w:rPr>
                <w:rFonts w:eastAsia="楷体_GB2312"/>
                <w:color w:val="000000"/>
                <w:kern w:val="0"/>
                <w:szCs w:val="21"/>
              </w:rPr>
              <w:t>290</w:t>
            </w:r>
          </w:p>
        </w:tc>
        <w:tc>
          <w:tcPr>
            <w:tcW w:w="992" w:type="dxa"/>
            <w:noWrap/>
            <w:vAlign w:val="center"/>
          </w:tcPr>
          <w:p w14:paraId="38E60909">
            <w:pPr>
              <w:jc w:val="center"/>
              <w:rPr>
                <w:rFonts w:eastAsia="楷体_GB2312"/>
                <w:color w:val="000000"/>
                <w:kern w:val="0"/>
                <w:szCs w:val="21"/>
              </w:rPr>
            </w:pPr>
            <w:r>
              <w:rPr>
                <w:rFonts w:eastAsia="楷体_GB2312"/>
                <w:color w:val="000000"/>
                <w:kern w:val="0"/>
                <w:szCs w:val="21"/>
              </w:rPr>
              <w:t>19.33</w:t>
            </w:r>
          </w:p>
        </w:tc>
        <w:tc>
          <w:tcPr>
            <w:tcW w:w="1134" w:type="dxa"/>
            <w:noWrap/>
            <w:vAlign w:val="center"/>
          </w:tcPr>
          <w:p w14:paraId="188D0C60">
            <w:pPr>
              <w:jc w:val="center"/>
              <w:rPr>
                <w:rFonts w:eastAsia="楷体_GB2312"/>
                <w:color w:val="000000"/>
                <w:kern w:val="0"/>
                <w:szCs w:val="21"/>
              </w:rPr>
            </w:pPr>
            <w:r>
              <w:rPr>
                <w:rFonts w:eastAsia="楷体_GB2312"/>
                <w:color w:val="000000"/>
                <w:kern w:val="0"/>
                <w:szCs w:val="21"/>
              </w:rPr>
              <w:t>144</w:t>
            </w:r>
          </w:p>
        </w:tc>
        <w:tc>
          <w:tcPr>
            <w:tcW w:w="992" w:type="dxa"/>
            <w:noWrap/>
            <w:vAlign w:val="center"/>
          </w:tcPr>
          <w:p w14:paraId="5E746104">
            <w:pPr>
              <w:jc w:val="center"/>
              <w:rPr>
                <w:rFonts w:eastAsia="楷体_GB2312"/>
                <w:color w:val="000000"/>
                <w:kern w:val="0"/>
                <w:szCs w:val="21"/>
              </w:rPr>
            </w:pPr>
            <w:r>
              <w:rPr>
                <w:rFonts w:eastAsia="楷体_GB2312"/>
                <w:color w:val="000000"/>
                <w:kern w:val="0"/>
                <w:szCs w:val="21"/>
              </w:rPr>
              <w:t>9.60</w:t>
            </w:r>
          </w:p>
        </w:tc>
      </w:tr>
      <w:tr w14:paraId="5F0DC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ign w:val="center"/>
          </w:tcPr>
          <w:p w14:paraId="25B2A470">
            <w:pPr>
              <w:jc w:val="center"/>
              <w:rPr>
                <w:rFonts w:eastAsia="楷体_GB2312"/>
                <w:color w:val="000000"/>
                <w:kern w:val="0"/>
                <w:szCs w:val="21"/>
              </w:rPr>
            </w:pPr>
            <w:r>
              <w:rPr>
                <w:rFonts w:eastAsia="楷体_GB2312"/>
                <w:color w:val="000000"/>
                <w:kern w:val="0"/>
                <w:szCs w:val="21"/>
              </w:rPr>
              <w:t>2</w:t>
            </w:r>
          </w:p>
        </w:tc>
        <w:tc>
          <w:tcPr>
            <w:tcW w:w="1276" w:type="dxa"/>
            <w:vMerge w:val="restart"/>
            <w:noWrap/>
            <w:vAlign w:val="center"/>
          </w:tcPr>
          <w:p w14:paraId="1D40B96E">
            <w:pPr>
              <w:jc w:val="center"/>
              <w:rPr>
                <w:rFonts w:eastAsia="楷体_GB2312"/>
                <w:color w:val="000000"/>
                <w:kern w:val="0"/>
                <w:szCs w:val="21"/>
              </w:rPr>
            </w:pPr>
            <w:r>
              <w:rPr>
                <w:rFonts w:eastAsia="楷体_GB2312"/>
                <w:color w:val="000000"/>
                <w:kern w:val="0"/>
                <w:szCs w:val="21"/>
              </w:rPr>
              <w:t>朱仙庄镇</w:t>
            </w:r>
          </w:p>
        </w:tc>
        <w:tc>
          <w:tcPr>
            <w:tcW w:w="850" w:type="dxa"/>
            <w:noWrap w:val="0"/>
            <w:vAlign w:val="center"/>
          </w:tcPr>
          <w:p w14:paraId="41E6608F">
            <w:pPr>
              <w:jc w:val="center"/>
              <w:rPr>
                <w:rFonts w:eastAsia="楷体_GB2312"/>
                <w:color w:val="000000"/>
                <w:kern w:val="0"/>
                <w:szCs w:val="21"/>
              </w:rPr>
            </w:pPr>
            <w:r>
              <w:rPr>
                <w:rFonts w:eastAsia="楷体_GB2312"/>
                <w:color w:val="000000"/>
                <w:kern w:val="0"/>
                <w:szCs w:val="21"/>
              </w:rPr>
              <w:t>1</w:t>
            </w:r>
          </w:p>
        </w:tc>
        <w:tc>
          <w:tcPr>
            <w:tcW w:w="1134" w:type="dxa"/>
            <w:noWrap/>
            <w:vAlign w:val="center"/>
          </w:tcPr>
          <w:p w14:paraId="0908842C">
            <w:pPr>
              <w:jc w:val="center"/>
              <w:rPr>
                <w:rFonts w:eastAsia="楷体_GB2312"/>
                <w:color w:val="000000"/>
                <w:kern w:val="0"/>
                <w:szCs w:val="21"/>
              </w:rPr>
            </w:pPr>
            <w:r>
              <w:rPr>
                <w:rFonts w:eastAsia="楷体_GB2312"/>
                <w:color w:val="000000"/>
                <w:kern w:val="0"/>
                <w:szCs w:val="21"/>
              </w:rPr>
              <w:t>595</w:t>
            </w:r>
          </w:p>
        </w:tc>
        <w:tc>
          <w:tcPr>
            <w:tcW w:w="1134" w:type="dxa"/>
            <w:noWrap/>
            <w:vAlign w:val="center"/>
          </w:tcPr>
          <w:p w14:paraId="68E399EC">
            <w:pPr>
              <w:jc w:val="center"/>
              <w:rPr>
                <w:rFonts w:eastAsia="楷体_GB2312"/>
                <w:color w:val="000000"/>
                <w:kern w:val="0"/>
                <w:szCs w:val="21"/>
              </w:rPr>
            </w:pPr>
            <w:r>
              <w:rPr>
                <w:rFonts w:eastAsia="楷体_GB2312"/>
                <w:color w:val="000000"/>
                <w:kern w:val="0"/>
                <w:szCs w:val="21"/>
              </w:rPr>
              <w:t>39.67</w:t>
            </w:r>
          </w:p>
        </w:tc>
        <w:tc>
          <w:tcPr>
            <w:tcW w:w="1134" w:type="dxa"/>
            <w:noWrap/>
            <w:vAlign w:val="center"/>
          </w:tcPr>
          <w:p w14:paraId="465E9013">
            <w:pPr>
              <w:jc w:val="center"/>
              <w:rPr>
                <w:rFonts w:eastAsia="楷体_GB2312"/>
                <w:color w:val="000000"/>
                <w:kern w:val="0"/>
                <w:szCs w:val="21"/>
              </w:rPr>
            </w:pPr>
            <w:r>
              <w:rPr>
                <w:rFonts w:eastAsia="楷体_GB2312"/>
                <w:color w:val="000000"/>
                <w:kern w:val="0"/>
                <w:szCs w:val="21"/>
              </w:rPr>
              <w:t>450</w:t>
            </w:r>
          </w:p>
        </w:tc>
        <w:tc>
          <w:tcPr>
            <w:tcW w:w="992" w:type="dxa"/>
            <w:noWrap/>
            <w:vAlign w:val="center"/>
          </w:tcPr>
          <w:p w14:paraId="13AFDECC">
            <w:pPr>
              <w:jc w:val="center"/>
              <w:rPr>
                <w:rFonts w:eastAsia="楷体_GB2312"/>
                <w:color w:val="000000"/>
                <w:kern w:val="0"/>
                <w:szCs w:val="21"/>
              </w:rPr>
            </w:pPr>
            <w:r>
              <w:rPr>
                <w:rFonts w:eastAsia="楷体_GB2312"/>
                <w:color w:val="000000"/>
                <w:kern w:val="0"/>
                <w:szCs w:val="21"/>
              </w:rPr>
              <w:t>30.00</w:t>
            </w:r>
          </w:p>
        </w:tc>
        <w:tc>
          <w:tcPr>
            <w:tcW w:w="1134" w:type="dxa"/>
            <w:noWrap/>
            <w:vAlign w:val="center"/>
          </w:tcPr>
          <w:p w14:paraId="6A5498B7">
            <w:pPr>
              <w:jc w:val="center"/>
              <w:rPr>
                <w:rFonts w:eastAsia="楷体_GB2312"/>
                <w:color w:val="000000"/>
                <w:kern w:val="0"/>
                <w:szCs w:val="21"/>
              </w:rPr>
            </w:pPr>
            <w:r>
              <w:rPr>
                <w:rFonts w:eastAsia="楷体_GB2312"/>
                <w:color w:val="000000"/>
                <w:kern w:val="0"/>
                <w:szCs w:val="21"/>
              </w:rPr>
              <w:t>200</w:t>
            </w:r>
          </w:p>
        </w:tc>
        <w:tc>
          <w:tcPr>
            <w:tcW w:w="992" w:type="dxa"/>
            <w:noWrap/>
            <w:vAlign w:val="center"/>
          </w:tcPr>
          <w:p w14:paraId="4333AE50">
            <w:pPr>
              <w:jc w:val="center"/>
              <w:rPr>
                <w:rFonts w:eastAsia="楷体_GB2312"/>
                <w:color w:val="000000"/>
                <w:kern w:val="0"/>
                <w:szCs w:val="21"/>
              </w:rPr>
            </w:pPr>
            <w:r>
              <w:rPr>
                <w:rFonts w:eastAsia="楷体_GB2312"/>
                <w:color w:val="000000"/>
                <w:kern w:val="0"/>
                <w:szCs w:val="21"/>
              </w:rPr>
              <w:t>13.33</w:t>
            </w:r>
          </w:p>
        </w:tc>
      </w:tr>
      <w:tr w14:paraId="59F81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02CA66B4">
            <w:pPr>
              <w:jc w:val="center"/>
              <w:rPr>
                <w:rFonts w:eastAsia="楷体_GB2312"/>
                <w:color w:val="000000"/>
                <w:kern w:val="0"/>
                <w:szCs w:val="21"/>
              </w:rPr>
            </w:pPr>
          </w:p>
        </w:tc>
        <w:tc>
          <w:tcPr>
            <w:tcW w:w="1276" w:type="dxa"/>
            <w:vMerge w:val="continue"/>
            <w:noWrap/>
            <w:vAlign w:val="center"/>
          </w:tcPr>
          <w:p w14:paraId="390C4463">
            <w:pPr>
              <w:jc w:val="center"/>
              <w:rPr>
                <w:rFonts w:eastAsia="楷体_GB2312"/>
                <w:color w:val="000000"/>
                <w:kern w:val="0"/>
                <w:szCs w:val="21"/>
              </w:rPr>
            </w:pPr>
          </w:p>
        </w:tc>
        <w:tc>
          <w:tcPr>
            <w:tcW w:w="850" w:type="dxa"/>
            <w:noWrap w:val="0"/>
            <w:vAlign w:val="center"/>
          </w:tcPr>
          <w:p w14:paraId="79706985">
            <w:pPr>
              <w:jc w:val="center"/>
              <w:rPr>
                <w:rFonts w:eastAsia="楷体_GB2312"/>
                <w:color w:val="000000"/>
                <w:kern w:val="0"/>
                <w:szCs w:val="21"/>
              </w:rPr>
            </w:pPr>
            <w:r>
              <w:rPr>
                <w:rFonts w:eastAsia="楷体_GB2312"/>
                <w:color w:val="000000"/>
                <w:kern w:val="0"/>
                <w:szCs w:val="21"/>
              </w:rPr>
              <w:t>2</w:t>
            </w:r>
          </w:p>
        </w:tc>
        <w:tc>
          <w:tcPr>
            <w:tcW w:w="1134" w:type="dxa"/>
            <w:noWrap/>
            <w:vAlign w:val="center"/>
          </w:tcPr>
          <w:p w14:paraId="1EF1E0FC">
            <w:pPr>
              <w:jc w:val="center"/>
              <w:rPr>
                <w:rFonts w:eastAsia="楷体_GB2312"/>
                <w:color w:val="000000"/>
                <w:kern w:val="0"/>
                <w:szCs w:val="21"/>
              </w:rPr>
            </w:pPr>
            <w:r>
              <w:rPr>
                <w:rFonts w:eastAsia="楷体_GB2312"/>
                <w:color w:val="000000"/>
                <w:kern w:val="0"/>
                <w:szCs w:val="21"/>
              </w:rPr>
              <w:t>460</w:t>
            </w:r>
          </w:p>
        </w:tc>
        <w:tc>
          <w:tcPr>
            <w:tcW w:w="1134" w:type="dxa"/>
            <w:noWrap/>
            <w:vAlign w:val="center"/>
          </w:tcPr>
          <w:p w14:paraId="56907103">
            <w:pPr>
              <w:jc w:val="center"/>
              <w:rPr>
                <w:rFonts w:eastAsia="楷体_GB2312"/>
                <w:color w:val="000000"/>
                <w:kern w:val="0"/>
                <w:szCs w:val="21"/>
              </w:rPr>
            </w:pPr>
            <w:r>
              <w:rPr>
                <w:rFonts w:eastAsia="楷体_GB2312"/>
                <w:color w:val="000000"/>
                <w:kern w:val="0"/>
                <w:szCs w:val="21"/>
              </w:rPr>
              <w:t>30.67</w:t>
            </w:r>
          </w:p>
        </w:tc>
        <w:tc>
          <w:tcPr>
            <w:tcW w:w="1134" w:type="dxa"/>
            <w:noWrap/>
            <w:vAlign w:val="center"/>
          </w:tcPr>
          <w:p w14:paraId="712CAA3E">
            <w:pPr>
              <w:jc w:val="center"/>
              <w:rPr>
                <w:rFonts w:eastAsia="楷体_GB2312"/>
                <w:color w:val="000000"/>
                <w:kern w:val="0"/>
                <w:szCs w:val="21"/>
              </w:rPr>
            </w:pPr>
            <w:r>
              <w:rPr>
                <w:rFonts w:eastAsia="楷体_GB2312"/>
                <w:color w:val="000000"/>
                <w:kern w:val="0"/>
                <w:szCs w:val="21"/>
              </w:rPr>
              <w:t>325</w:t>
            </w:r>
          </w:p>
        </w:tc>
        <w:tc>
          <w:tcPr>
            <w:tcW w:w="992" w:type="dxa"/>
            <w:noWrap/>
            <w:vAlign w:val="center"/>
          </w:tcPr>
          <w:p w14:paraId="3CC897B4">
            <w:pPr>
              <w:jc w:val="center"/>
              <w:rPr>
                <w:rFonts w:eastAsia="楷体_GB2312"/>
                <w:color w:val="000000"/>
                <w:kern w:val="0"/>
                <w:szCs w:val="21"/>
              </w:rPr>
            </w:pPr>
            <w:r>
              <w:rPr>
                <w:rFonts w:eastAsia="楷体_GB2312"/>
                <w:color w:val="000000"/>
                <w:kern w:val="0"/>
                <w:szCs w:val="21"/>
              </w:rPr>
              <w:t>21.67</w:t>
            </w:r>
          </w:p>
        </w:tc>
        <w:tc>
          <w:tcPr>
            <w:tcW w:w="1134" w:type="dxa"/>
            <w:noWrap/>
            <w:vAlign w:val="center"/>
          </w:tcPr>
          <w:p w14:paraId="0DA8CC4E">
            <w:pPr>
              <w:jc w:val="center"/>
              <w:rPr>
                <w:rFonts w:eastAsia="楷体_GB2312"/>
                <w:color w:val="000000"/>
                <w:kern w:val="0"/>
                <w:szCs w:val="21"/>
              </w:rPr>
            </w:pPr>
            <w:r>
              <w:rPr>
                <w:rFonts w:eastAsia="楷体_GB2312"/>
                <w:color w:val="000000"/>
                <w:kern w:val="0"/>
                <w:szCs w:val="21"/>
              </w:rPr>
              <w:t>170</w:t>
            </w:r>
          </w:p>
        </w:tc>
        <w:tc>
          <w:tcPr>
            <w:tcW w:w="992" w:type="dxa"/>
            <w:noWrap/>
            <w:vAlign w:val="center"/>
          </w:tcPr>
          <w:p w14:paraId="196C25E7">
            <w:pPr>
              <w:jc w:val="center"/>
              <w:rPr>
                <w:rFonts w:eastAsia="楷体_GB2312"/>
                <w:color w:val="000000"/>
                <w:kern w:val="0"/>
                <w:szCs w:val="21"/>
              </w:rPr>
            </w:pPr>
            <w:r>
              <w:rPr>
                <w:rFonts w:eastAsia="楷体_GB2312"/>
                <w:color w:val="000000"/>
                <w:kern w:val="0"/>
                <w:szCs w:val="21"/>
              </w:rPr>
              <w:t>11.33</w:t>
            </w:r>
          </w:p>
        </w:tc>
      </w:tr>
      <w:tr w14:paraId="18C7B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7A9406C3">
            <w:pPr>
              <w:jc w:val="center"/>
              <w:rPr>
                <w:rFonts w:eastAsia="楷体_GB2312"/>
                <w:color w:val="000000"/>
                <w:kern w:val="0"/>
                <w:szCs w:val="21"/>
              </w:rPr>
            </w:pPr>
          </w:p>
        </w:tc>
        <w:tc>
          <w:tcPr>
            <w:tcW w:w="1276" w:type="dxa"/>
            <w:vMerge w:val="continue"/>
            <w:noWrap/>
            <w:vAlign w:val="center"/>
          </w:tcPr>
          <w:p w14:paraId="6EB0B523">
            <w:pPr>
              <w:jc w:val="center"/>
              <w:rPr>
                <w:rFonts w:eastAsia="楷体_GB2312"/>
                <w:color w:val="000000"/>
                <w:kern w:val="0"/>
                <w:szCs w:val="21"/>
              </w:rPr>
            </w:pPr>
          </w:p>
        </w:tc>
        <w:tc>
          <w:tcPr>
            <w:tcW w:w="850" w:type="dxa"/>
            <w:noWrap w:val="0"/>
            <w:vAlign w:val="center"/>
          </w:tcPr>
          <w:p w14:paraId="2E6F2604">
            <w:pPr>
              <w:jc w:val="center"/>
              <w:rPr>
                <w:rFonts w:eastAsia="楷体_GB2312"/>
                <w:color w:val="000000"/>
                <w:kern w:val="0"/>
                <w:szCs w:val="21"/>
              </w:rPr>
            </w:pPr>
            <w:r>
              <w:rPr>
                <w:rFonts w:eastAsia="楷体_GB2312"/>
                <w:color w:val="000000"/>
                <w:kern w:val="0"/>
                <w:szCs w:val="21"/>
              </w:rPr>
              <w:t>3</w:t>
            </w:r>
          </w:p>
        </w:tc>
        <w:tc>
          <w:tcPr>
            <w:tcW w:w="1134" w:type="dxa"/>
            <w:noWrap/>
            <w:vAlign w:val="center"/>
          </w:tcPr>
          <w:p w14:paraId="0216EC84">
            <w:pPr>
              <w:jc w:val="center"/>
              <w:rPr>
                <w:rFonts w:eastAsia="楷体_GB2312"/>
                <w:color w:val="000000"/>
                <w:kern w:val="0"/>
                <w:szCs w:val="21"/>
              </w:rPr>
            </w:pPr>
            <w:r>
              <w:rPr>
                <w:rFonts w:eastAsia="楷体_GB2312"/>
                <w:color w:val="000000"/>
                <w:kern w:val="0"/>
                <w:szCs w:val="21"/>
              </w:rPr>
              <w:t>360</w:t>
            </w:r>
          </w:p>
        </w:tc>
        <w:tc>
          <w:tcPr>
            <w:tcW w:w="1134" w:type="dxa"/>
            <w:noWrap/>
            <w:vAlign w:val="center"/>
          </w:tcPr>
          <w:p w14:paraId="30E857AD">
            <w:pPr>
              <w:jc w:val="center"/>
              <w:rPr>
                <w:rFonts w:eastAsia="楷体_GB2312"/>
                <w:color w:val="000000"/>
                <w:kern w:val="0"/>
                <w:szCs w:val="21"/>
              </w:rPr>
            </w:pPr>
            <w:r>
              <w:rPr>
                <w:rFonts w:eastAsia="楷体_GB2312"/>
                <w:color w:val="000000"/>
                <w:kern w:val="0"/>
                <w:szCs w:val="21"/>
              </w:rPr>
              <w:t>24.00</w:t>
            </w:r>
          </w:p>
        </w:tc>
        <w:tc>
          <w:tcPr>
            <w:tcW w:w="1134" w:type="dxa"/>
            <w:noWrap/>
            <w:vAlign w:val="center"/>
          </w:tcPr>
          <w:p w14:paraId="69D1BE24">
            <w:pPr>
              <w:jc w:val="center"/>
              <w:rPr>
                <w:rFonts w:eastAsia="楷体_GB2312"/>
                <w:color w:val="000000"/>
                <w:kern w:val="0"/>
                <w:szCs w:val="21"/>
              </w:rPr>
            </w:pPr>
            <w:r>
              <w:rPr>
                <w:rFonts w:eastAsia="楷体_GB2312"/>
                <w:color w:val="000000"/>
                <w:kern w:val="0"/>
                <w:szCs w:val="21"/>
              </w:rPr>
              <w:t>235</w:t>
            </w:r>
          </w:p>
        </w:tc>
        <w:tc>
          <w:tcPr>
            <w:tcW w:w="992" w:type="dxa"/>
            <w:noWrap/>
            <w:vAlign w:val="center"/>
          </w:tcPr>
          <w:p w14:paraId="65F48441">
            <w:pPr>
              <w:jc w:val="center"/>
              <w:rPr>
                <w:rFonts w:eastAsia="楷体_GB2312"/>
                <w:color w:val="000000"/>
                <w:kern w:val="0"/>
                <w:szCs w:val="21"/>
              </w:rPr>
            </w:pPr>
            <w:r>
              <w:rPr>
                <w:rFonts w:eastAsia="楷体_GB2312"/>
                <w:color w:val="000000"/>
                <w:kern w:val="0"/>
                <w:szCs w:val="21"/>
              </w:rPr>
              <w:t>15.67</w:t>
            </w:r>
          </w:p>
        </w:tc>
        <w:tc>
          <w:tcPr>
            <w:tcW w:w="1134" w:type="dxa"/>
            <w:noWrap/>
            <w:vAlign w:val="center"/>
          </w:tcPr>
          <w:p w14:paraId="304B2BE9">
            <w:pPr>
              <w:jc w:val="center"/>
              <w:rPr>
                <w:rFonts w:eastAsia="楷体_GB2312"/>
                <w:color w:val="000000"/>
                <w:kern w:val="0"/>
                <w:szCs w:val="21"/>
              </w:rPr>
            </w:pPr>
            <w:r>
              <w:rPr>
                <w:rFonts w:eastAsia="楷体_GB2312"/>
                <w:color w:val="000000"/>
                <w:kern w:val="0"/>
                <w:szCs w:val="21"/>
              </w:rPr>
              <w:t>144</w:t>
            </w:r>
          </w:p>
        </w:tc>
        <w:tc>
          <w:tcPr>
            <w:tcW w:w="992" w:type="dxa"/>
            <w:noWrap/>
            <w:vAlign w:val="center"/>
          </w:tcPr>
          <w:p w14:paraId="76941602">
            <w:pPr>
              <w:jc w:val="center"/>
              <w:rPr>
                <w:rFonts w:eastAsia="楷体_GB2312"/>
                <w:color w:val="000000"/>
                <w:kern w:val="0"/>
                <w:szCs w:val="21"/>
              </w:rPr>
            </w:pPr>
            <w:r>
              <w:rPr>
                <w:rFonts w:eastAsia="楷体_GB2312"/>
                <w:color w:val="000000"/>
                <w:kern w:val="0"/>
                <w:szCs w:val="21"/>
              </w:rPr>
              <w:t>9.60</w:t>
            </w:r>
          </w:p>
        </w:tc>
      </w:tr>
      <w:tr w14:paraId="2C6C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ign w:val="center"/>
          </w:tcPr>
          <w:p w14:paraId="6E318B1F">
            <w:pPr>
              <w:jc w:val="center"/>
              <w:rPr>
                <w:rFonts w:eastAsia="楷体_GB2312"/>
                <w:color w:val="000000"/>
                <w:kern w:val="0"/>
                <w:szCs w:val="21"/>
              </w:rPr>
            </w:pPr>
            <w:r>
              <w:rPr>
                <w:rFonts w:eastAsia="楷体_GB2312"/>
                <w:color w:val="000000"/>
                <w:kern w:val="0"/>
                <w:szCs w:val="21"/>
              </w:rPr>
              <w:t>3</w:t>
            </w:r>
          </w:p>
        </w:tc>
        <w:tc>
          <w:tcPr>
            <w:tcW w:w="1276" w:type="dxa"/>
            <w:vMerge w:val="restart"/>
            <w:noWrap/>
            <w:vAlign w:val="center"/>
          </w:tcPr>
          <w:p w14:paraId="43F5A168">
            <w:pPr>
              <w:jc w:val="center"/>
              <w:rPr>
                <w:rFonts w:eastAsia="楷体_GB2312"/>
                <w:color w:val="000000"/>
                <w:kern w:val="0"/>
                <w:szCs w:val="21"/>
              </w:rPr>
            </w:pPr>
            <w:r>
              <w:rPr>
                <w:rFonts w:eastAsia="楷体_GB2312"/>
                <w:color w:val="000000"/>
                <w:kern w:val="0"/>
                <w:szCs w:val="21"/>
              </w:rPr>
              <w:t>蕲县镇</w:t>
            </w:r>
          </w:p>
        </w:tc>
        <w:tc>
          <w:tcPr>
            <w:tcW w:w="850" w:type="dxa"/>
            <w:noWrap w:val="0"/>
            <w:vAlign w:val="center"/>
          </w:tcPr>
          <w:p w14:paraId="6594FE91">
            <w:pPr>
              <w:jc w:val="center"/>
              <w:rPr>
                <w:rFonts w:eastAsia="楷体_GB2312"/>
                <w:color w:val="000000"/>
                <w:kern w:val="0"/>
                <w:szCs w:val="21"/>
              </w:rPr>
            </w:pPr>
            <w:r>
              <w:rPr>
                <w:rFonts w:eastAsia="楷体_GB2312"/>
                <w:color w:val="000000"/>
                <w:kern w:val="0"/>
                <w:szCs w:val="21"/>
              </w:rPr>
              <w:t>1</w:t>
            </w:r>
          </w:p>
        </w:tc>
        <w:tc>
          <w:tcPr>
            <w:tcW w:w="1134" w:type="dxa"/>
            <w:noWrap/>
            <w:vAlign w:val="center"/>
          </w:tcPr>
          <w:p w14:paraId="3EF5D0C8">
            <w:pPr>
              <w:jc w:val="center"/>
              <w:rPr>
                <w:rFonts w:eastAsia="楷体_GB2312"/>
                <w:color w:val="000000"/>
                <w:kern w:val="0"/>
                <w:szCs w:val="21"/>
              </w:rPr>
            </w:pPr>
            <w:r>
              <w:rPr>
                <w:rFonts w:eastAsia="楷体_GB2312"/>
                <w:color w:val="000000"/>
                <w:kern w:val="0"/>
                <w:szCs w:val="21"/>
              </w:rPr>
              <w:t>580</w:t>
            </w:r>
          </w:p>
        </w:tc>
        <w:tc>
          <w:tcPr>
            <w:tcW w:w="1134" w:type="dxa"/>
            <w:noWrap/>
            <w:vAlign w:val="center"/>
          </w:tcPr>
          <w:p w14:paraId="0923F4B4">
            <w:pPr>
              <w:jc w:val="center"/>
              <w:rPr>
                <w:rFonts w:eastAsia="楷体_GB2312"/>
                <w:color w:val="000000"/>
                <w:kern w:val="0"/>
                <w:szCs w:val="21"/>
              </w:rPr>
            </w:pPr>
            <w:r>
              <w:rPr>
                <w:rFonts w:eastAsia="楷体_GB2312"/>
                <w:color w:val="000000"/>
                <w:kern w:val="0"/>
                <w:szCs w:val="21"/>
              </w:rPr>
              <w:t>38.67</w:t>
            </w:r>
          </w:p>
        </w:tc>
        <w:tc>
          <w:tcPr>
            <w:tcW w:w="1134" w:type="dxa"/>
            <w:noWrap/>
            <w:vAlign w:val="center"/>
          </w:tcPr>
          <w:p w14:paraId="584E224B">
            <w:pPr>
              <w:jc w:val="center"/>
              <w:rPr>
                <w:rFonts w:eastAsia="楷体_GB2312"/>
                <w:color w:val="000000"/>
                <w:kern w:val="0"/>
                <w:szCs w:val="21"/>
              </w:rPr>
            </w:pPr>
            <w:r>
              <w:rPr>
                <w:rFonts w:eastAsia="楷体_GB2312"/>
                <w:color w:val="000000"/>
                <w:kern w:val="0"/>
                <w:szCs w:val="21"/>
              </w:rPr>
              <w:t>430</w:t>
            </w:r>
          </w:p>
        </w:tc>
        <w:tc>
          <w:tcPr>
            <w:tcW w:w="992" w:type="dxa"/>
            <w:noWrap/>
            <w:vAlign w:val="center"/>
          </w:tcPr>
          <w:p w14:paraId="2653D9BF">
            <w:pPr>
              <w:jc w:val="center"/>
              <w:rPr>
                <w:rFonts w:eastAsia="楷体_GB2312"/>
                <w:color w:val="000000"/>
                <w:kern w:val="0"/>
                <w:szCs w:val="21"/>
              </w:rPr>
            </w:pPr>
            <w:r>
              <w:rPr>
                <w:rFonts w:eastAsia="楷体_GB2312"/>
                <w:color w:val="000000"/>
                <w:kern w:val="0"/>
                <w:szCs w:val="21"/>
              </w:rPr>
              <w:t>28.67</w:t>
            </w:r>
          </w:p>
        </w:tc>
        <w:tc>
          <w:tcPr>
            <w:tcW w:w="1134" w:type="dxa"/>
            <w:noWrap/>
            <w:vAlign w:val="center"/>
          </w:tcPr>
          <w:p w14:paraId="41D5749B">
            <w:pPr>
              <w:jc w:val="center"/>
              <w:rPr>
                <w:rFonts w:eastAsia="楷体_GB2312"/>
                <w:color w:val="000000"/>
                <w:kern w:val="0"/>
                <w:szCs w:val="21"/>
              </w:rPr>
            </w:pPr>
            <w:r>
              <w:rPr>
                <w:rFonts w:eastAsia="楷体_GB2312"/>
                <w:color w:val="000000"/>
                <w:kern w:val="0"/>
                <w:szCs w:val="21"/>
              </w:rPr>
              <w:t>200</w:t>
            </w:r>
          </w:p>
        </w:tc>
        <w:tc>
          <w:tcPr>
            <w:tcW w:w="992" w:type="dxa"/>
            <w:noWrap/>
            <w:vAlign w:val="center"/>
          </w:tcPr>
          <w:p w14:paraId="1CE24526">
            <w:pPr>
              <w:jc w:val="center"/>
              <w:rPr>
                <w:rFonts w:eastAsia="楷体_GB2312"/>
                <w:color w:val="000000"/>
                <w:kern w:val="0"/>
                <w:szCs w:val="21"/>
              </w:rPr>
            </w:pPr>
            <w:r>
              <w:rPr>
                <w:rFonts w:eastAsia="楷体_GB2312"/>
                <w:color w:val="000000"/>
                <w:kern w:val="0"/>
                <w:szCs w:val="21"/>
              </w:rPr>
              <w:t>13.33</w:t>
            </w:r>
          </w:p>
        </w:tc>
      </w:tr>
      <w:tr w14:paraId="29F8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41C32723">
            <w:pPr>
              <w:jc w:val="center"/>
              <w:rPr>
                <w:rFonts w:eastAsia="楷体_GB2312"/>
                <w:color w:val="000000"/>
                <w:kern w:val="0"/>
                <w:szCs w:val="21"/>
              </w:rPr>
            </w:pPr>
          </w:p>
        </w:tc>
        <w:tc>
          <w:tcPr>
            <w:tcW w:w="1276" w:type="dxa"/>
            <w:vMerge w:val="continue"/>
            <w:noWrap/>
            <w:vAlign w:val="center"/>
          </w:tcPr>
          <w:p w14:paraId="53C8E00D">
            <w:pPr>
              <w:jc w:val="center"/>
              <w:rPr>
                <w:rFonts w:eastAsia="楷体_GB2312"/>
                <w:color w:val="000000"/>
                <w:kern w:val="0"/>
                <w:szCs w:val="21"/>
              </w:rPr>
            </w:pPr>
          </w:p>
        </w:tc>
        <w:tc>
          <w:tcPr>
            <w:tcW w:w="850" w:type="dxa"/>
            <w:noWrap w:val="0"/>
            <w:vAlign w:val="center"/>
          </w:tcPr>
          <w:p w14:paraId="153D69B6">
            <w:pPr>
              <w:jc w:val="center"/>
              <w:rPr>
                <w:rFonts w:eastAsia="楷体_GB2312"/>
                <w:color w:val="000000"/>
                <w:kern w:val="0"/>
                <w:szCs w:val="21"/>
              </w:rPr>
            </w:pPr>
            <w:r>
              <w:rPr>
                <w:rFonts w:eastAsia="楷体_GB2312"/>
                <w:color w:val="000000"/>
                <w:kern w:val="0"/>
                <w:szCs w:val="21"/>
              </w:rPr>
              <w:t>2</w:t>
            </w:r>
          </w:p>
        </w:tc>
        <w:tc>
          <w:tcPr>
            <w:tcW w:w="1134" w:type="dxa"/>
            <w:noWrap/>
            <w:vAlign w:val="center"/>
          </w:tcPr>
          <w:p w14:paraId="015154AF">
            <w:pPr>
              <w:jc w:val="center"/>
              <w:rPr>
                <w:rFonts w:eastAsia="楷体_GB2312"/>
                <w:color w:val="000000"/>
                <w:kern w:val="0"/>
                <w:szCs w:val="21"/>
              </w:rPr>
            </w:pPr>
            <w:r>
              <w:rPr>
                <w:rFonts w:eastAsia="楷体_GB2312"/>
                <w:color w:val="000000"/>
                <w:kern w:val="0"/>
                <w:szCs w:val="21"/>
              </w:rPr>
              <w:t>475</w:t>
            </w:r>
          </w:p>
        </w:tc>
        <w:tc>
          <w:tcPr>
            <w:tcW w:w="1134" w:type="dxa"/>
            <w:noWrap/>
            <w:vAlign w:val="center"/>
          </w:tcPr>
          <w:p w14:paraId="609DDD96">
            <w:pPr>
              <w:jc w:val="center"/>
              <w:rPr>
                <w:rFonts w:eastAsia="楷体_GB2312"/>
                <w:color w:val="000000"/>
                <w:kern w:val="0"/>
                <w:szCs w:val="21"/>
              </w:rPr>
            </w:pPr>
            <w:r>
              <w:rPr>
                <w:rFonts w:eastAsia="楷体_GB2312"/>
                <w:color w:val="000000"/>
                <w:kern w:val="0"/>
                <w:szCs w:val="21"/>
              </w:rPr>
              <w:t>31.67</w:t>
            </w:r>
          </w:p>
        </w:tc>
        <w:tc>
          <w:tcPr>
            <w:tcW w:w="1134" w:type="dxa"/>
            <w:noWrap/>
            <w:vAlign w:val="center"/>
          </w:tcPr>
          <w:p w14:paraId="446D43D6">
            <w:pPr>
              <w:jc w:val="center"/>
              <w:rPr>
                <w:rFonts w:eastAsia="楷体_GB2312"/>
                <w:color w:val="000000"/>
                <w:kern w:val="0"/>
                <w:szCs w:val="21"/>
              </w:rPr>
            </w:pPr>
            <w:r>
              <w:rPr>
                <w:rFonts w:eastAsia="楷体_GB2312"/>
                <w:color w:val="000000"/>
                <w:kern w:val="0"/>
                <w:szCs w:val="21"/>
              </w:rPr>
              <w:t>320</w:t>
            </w:r>
          </w:p>
        </w:tc>
        <w:tc>
          <w:tcPr>
            <w:tcW w:w="992" w:type="dxa"/>
            <w:noWrap/>
            <w:vAlign w:val="center"/>
          </w:tcPr>
          <w:p w14:paraId="23BF8D5A">
            <w:pPr>
              <w:jc w:val="center"/>
              <w:rPr>
                <w:rFonts w:eastAsia="楷体_GB2312"/>
                <w:color w:val="000000"/>
                <w:kern w:val="0"/>
                <w:szCs w:val="21"/>
              </w:rPr>
            </w:pPr>
            <w:r>
              <w:rPr>
                <w:rFonts w:eastAsia="楷体_GB2312"/>
                <w:color w:val="000000"/>
                <w:kern w:val="0"/>
                <w:szCs w:val="21"/>
              </w:rPr>
              <w:t>21.33</w:t>
            </w:r>
          </w:p>
        </w:tc>
        <w:tc>
          <w:tcPr>
            <w:tcW w:w="1134" w:type="dxa"/>
            <w:noWrap/>
            <w:vAlign w:val="center"/>
          </w:tcPr>
          <w:p w14:paraId="3610E949">
            <w:pPr>
              <w:jc w:val="center"/>
              <w:rPr>
                <w:rFonts w:eastAsia="楷体_GB2312"/>
                <w:color w:val="000000"/>
                <w:kern w:val="0"/>
                <w:szCs w:val="21"/>
              </w:rPr>
            </w:pPr>
            <w:r>
              <w:rPr>
                <w:rFonts w:eastAsia="楷体_GB2312"/>
                <w:color w:val="000000"/>
                <w:kern w:val="0"/>
                <w:szCs w:val="21"/>
              </w:rPr>
              <w:t>170</w:t>
            </w:r>
          </w:p>
        </w:tc>
        <w:tc>
          <w:tcPr>
            <w:tcW w:w="992" w:type="dxa"/>
            <w:noWrap/>
            <w:vAlign w:val="center"/>
          </w:tcPr>
          <w:p w14:paraId="7D8CB94E">
            <w:pPr>
              <w:jc w:val="center"/>
              <w:rPr>
                <w:rFonts w:eastAsia="楷体_GB2312"/>
                <w:color w:val="000000"/>
                <w:kern w:val="0"/>
                <w:szCs w:val="21"/>
              </w:rPr>
            </w:pPr>
            <w:r>
              <w:rPr>
                <w:rFonts w:eastAsia="楷体_GB2312"/>
                <w:color w:val="000000"/>
                <w:kern w:val="0"/>
                <w:szCs w:val="21"/>
              </w:rPr>
              <w:t>11.33</w:t>
            </w:r>
          </w:p>
        </w:tc>
      </w:tr>
      <w:tr w14:paraId="0F3EC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1AD66D3F">
            <w:pPr>
              <w:jc w:val="center"/>
              <w:rPr>
                <w:rFonts w:eastAsia="楷体_GB2312"/>
                <w:color w:val="000000"/>
                <w:kern w:val="0"/>
                <w:szCs w:val="21"/>
              </w:rPr>
            </w:pPr>
          </w:p>
        </w:tc>
        <w:tc>
          <w:tcPr>
            <w:tcW w:w="1276" w:type="dxa"/>
            <w:vMerge w:val="continue"/>
            <w:noWrap/>
            <w:vAlign w:val="center"/>
          </w:tcPr>
          <w:p w14:paraId="0BF487B2">
            <w:pPr>
              <w:jc w:val="center"/>
              <w:rPr>
                <w:rFonts w:eastAsia="楷体_GB2312"/>
                <w:color w:val="000000"/>
                <w:kern w:val="0"/>
                <w:szCs w:val="21"/>
              </w:rPr>
            </w:pPr>
          </w:p>
        </w:tc>
        <w:tc>
          <w:tcPr>
            <w:tcW w:w="850" w:type="dxa"/>
            <w:noWrap w:val="0"/>
            <w:vAlign w:val="center"/>
          </w:tcPr>
          <w:p w14:paraId="28CD4E6F">
            <w:pPr>
              <w:jc w:val="center"/>
              <w:rPr>
                <w:rFonts w:eastAsia="楷体_GB2312"/>
                <w:color w:val="000000"/>
                <w:kern w:val="0"/>
                <w:szCs w:val="21"/>
              </w:rPr>
            </w:pPr>
            <w:r>
              <w:rPr>
                <w:rFonts w:eastAsia="楷体_GB2312"/>
                <w:color w:val="000000"/>
                <w:kern w:val="0"/>
                <w:szCs w:val="21"/>
              </w:rPr>
              <w:t>3</w:t>
            </w:r>
          </w:p>
        </w:tc>
        <w:tc>
          <w:tcPr>
            <w:tcW w:w="1134" w:type="dxa"/>
            <w:noWrap/>
            <w:vAlign w:val="center"/>
          </w:tcPr>
          <w:p w14:paraId="3DA4A666">
            <w:pPr>
              <w:jc w:val="center"/>
              <w:rPr>
                <w:rFonts w:eastAsia="楷体_GB2312"/>
                <w:color w:val="000000"/>
                <w:kern w:val="0"/>
                <w:szCs w:val="21"/>
              </w:rPr>
            </w:pPr>
            <w:r>
              <w:rPr>
                <w:rFonts w:eastAsia="楷体_GB2312"/>
                <w:color w:val="000000"/>
                <w:kern w:val="0"/>
                <w:szCs w:val="21"/>
              </w:rPr>
              <w:t>390</w:t>
            </w:r>
          </w:p>
        </w:tc>
        <w:tc>
          <w:tcPr>
            <w:tcW w:w="1134" w:type="dxa"/>
            <w:noWrap/>
            <w:vAlign w:val="center"/>
          </w:tcPr>
          <w:p w14:paraId="38A9525A">
            <w:pPr>
              <w:jc w:val="center"/>
              <w:rPr>
                <w:rFonts w:eastAsia="楷体_GB2312"/>
                <w:color w:val="000000"/>
                <w:kern w:val="0"/>
                <w:szCs w:val="21"/>
              </w:rPr>
            </w:pPr>
            <w:r>
              <w:rPr>
                <w:rFonts w:eastAsia="楷体_GB2312"/>
                <w:color w:val="000000"/>
                <w:kern w:val="0"/>
                <w:szCs w:val="21"/>
              </w:rPr>
              <w:t>26.00</w:t>
            </w:r>
          </w:p>
        </w:tc>
        <w:tc>
          <w:tcPr>
            <w:tcW w:w="1134" w:type="dxa"/>
            <w:noWrap/>
            <w:vAlign w:val="center"/>
          </w:tcPr>
          <w:p w14:paraId="4935EBA6">
            <w:pPr>
              <w:jc w:val="center"/>
              <w:rPr>
                <w:rFonts w:eastAsia="楷体_GB2312"/>
                <w:color w:val="000000"/>
                <w:kern w:val="0"/>
                <w:szCs w:val="21"/>
              </w:rPr>
            </w:pPr>
            <w:r>
              <w:rPr>
                <w:rFonts w:eastAsia="楷体_GB2312"/>
                <w:color w:val="000000"/>
                <w:kern w:val="0"/>
                <w:szCs w:val="21"/>
              </w:rPr>
              <w:t>235</w:t>
            </w:r>
          </w:p>
        </w:tc>
        <w:tc>
          <w:tcPr>
            <w:tcW w:w="992" w:type="dxa"/>
            <w:noWrap/>
            <w:vAlign w:val="center"/>
          </w:tcPr>
          <w:p w14:paraId="079B0595">
            <w:pPr>
              <w:jc w:val="center"/>
              <w:rPr>
                <w:rFonts w:eastAsia="楷体_GB2312"/>
                <w:color w:val="000000"/>
                <w:kern w:val="0"/>
                <w:szCs w:val="21"/>
              </w:rPr>
            </w:pPr>
            <w:r>
              <w:rPr>
                <w:rFonts w:eastAsia="楷体_GB2312"/>
                <w:color w:val="000000"/>
                <w:kern w:val="0"/>
                <w:szCs w:val="21"/>
              </w:rPr>
              <w:t>15.67</w:t>
            </w:r>
          </w:p>
        </w:tc>
        <w:tc>
          <w:tcPr>
            <w:tcW w:w="1134" w:type="dxa"/>
            <w:noWrap/>
            <w:vAlign w:val="center"/>
          </w:tcPr>
          <w:p w14:paraId="7B4CF722">
            <w:pPr>
              <w:jc w:val="center"/>
              <w:rPr>
                <w:rFonts w:eastAsia="楷体_GB2312"/>
                <w:color w:val="000000"/>
                <w:kern w:val="0"/>
                <w:szCs w:val="21"/>
              </w:rPr>
            </w:pPr>
            <w:r>
              <w:rPr>
                <w:rFonts w:eastAsia="楷体_GB2312"/>
                <w:color w:val="000000"/>
                <w:kern w:val="0"/>
                <w:szCs w:val="21"/>
              </w:rPr>
              <w:t>144</w:t>
            </w:r>
          </w:p>
        </w:tc>
        <w:tc>
          <w:tcPr>
            <w:tcW w:w="992" w:type="dxa"/>
            <w:noWrap/>
            <w:vAlign w:val="center"/>
          </w:tcPr>
          <w:p w14:paraId="529BFFF5">
            <w:pPr>
              <w:jc w:val="center"/>
              <w:rPr>
                <w:rFonts w:eastAsia="楷体_GB2312"/>
                <w:color w:val="000000"/>
                <w:kern w:val="0"/>
                <w:szCs w:val="21"/>
              </w:rPr>
            </w:pPr>
            <w:r>
              <w:rPr>
                <w:rFonts w:eastAsia="楷体_GB2312"/>
                <w:color w:val="000000"/>
                <w:kern w:val="0"/>
                <w:szCs w:val="21"/>
              </w:rPr>
              <w:t>9.60</w:t>
            </w:r>
          </w:p>
        </w:tc>
      </w:tr>
      <w:tr w14:paraId="2CBC3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ign w:val="center"/>
          </w:tcPr>
          <w:p w14:paraId="09288996">
            <w:pPr>
              <w:jc w:val="center"/>
              <w:rPr>
                <w:rFonts w:eastAsia="楷体_GB2312"/>
                <w:color w:val="000000"/>
                <w:kern w:val="0"/>
                <w:szCs w:val="21"/>
              </w:rPr>
            </w:pPr>
            <w:r>
              <w:rPr>
                <w:rFonts w:eastAsia="楷体_GB2312"/>
                <w:color w:val="000000"/>
                <w:kern w:val="0"/>
                <w:szCs w:val="21"/>
              </w:rPr>
              <w:t>4</w:t>
            </w:r>
          </w:p>
        </w:tc>
        <w:tc>
          <w:tcPr>
            <w:tcW w:w="1276" w:type="dxa"/>
            <w:vMerge w:val="restart"/>
            <w:noWrap/>
            <w:vAlign w:val="center"/>
          </w:tcPr>
          <w:p w14:paraId="779DE5C5">
            <w:pPr>
              <w:jc w:val="center"/>
              <w:rPr>
                <w:rFonts w:eastAsia="楷体_GB2312"/>
                <w:color w:val="000000"/>
                <w:kern w:val="0"/>
                <w:szCs w:val="21"/>
              </w:rPr>
            </w:pPr>
            <w:r>
              <w:rPr>
                <w:rFonts w:eastAsia="楷体_GB2312"/>
                <w:color w:val="000000"/>
                <w:kern w:val="0"/>
                <w:szCs w:val="21"/>
              </w:rPr>
              <w:t>芦岭镇</w:t>
            </w:r>
          </w:p>
        </w:tc>
        <w:tc>
          <w:tcPr>
            <w:tcW w:w="850" w:type="dxa"/>
            <w:noWrap w:val="0"/>
            <w:vAlign w:val="center"/>
          </w:tcPr>
          <w:p w14:paraId="77B2474E">
            <w:pPr>
              <w:jc w:val="center"/>
              <w:rPr>
                <w:rFonts w:eastAsia="楷体_GB2312"/>
                <w:color w:val="000000"/>
                <w:kern w:val="0"/>
                <w:szCs w:val="21"/>
              </w:rPr>
            </w:pPr>
            <w:r>
              <w:rPr>
                <w:rFonts w:eastAsia="楷体_GB2312"/>
                <w:color w:val="000000"/>
                <w:kern w:val="0"/>
                <w:szCs w:val="21"/>
              </w:rPr>
              <w:t>1</w:t>
            </w:r>
          </w:p>
        </w:tc>
        <w:tc>
          <w:tcPr>
            <w:tcW w:w="1134" w:type="dxa"/>
            <w:noWrap/>
            <w:vAlign w:val="center"/>
          </w:tcPr>
          <w:p w14:paraId="7F31E6E0">
            <w:pPr>
              <w:jc w:val="center"/>
              <w:rPr>
                <w:rFonts w:eastAsia="楷体_GB2312"/>
                <w:color w:val="000000"/>
                <w:kern w:val="0"/>
                <w:szCs w:val="21"/>
              </w:rPr>
            </w:pPr>
            <w:r>
              <w:rPr>
                <w:rFonts w:eastAsia="楷体_GB2312"/>
                <w:color w:val="000000"/>
                <w:kern w:val="0"/>
                <w:szCs w:val="21"/>
              </w:rPr>
              <w:t>555</w:t>
            </w:r>
          </w:p>
        </w:tc>
        <w:tc>
          <w:tcPr>
            <w:tcW w:w="1134" w:type="dxa"/>
            <w:noWrap/>
            <w:vAlign w:val="center"/>
          </w:tcPr>
          <w:p w14:paraId="59F6C1D3">
            <w:pPr>
              <w:jc w:val="center"/>
              <w:rPr>
                <w:rFonts w:eastAsia="楷体_GB2312"/>
                <w:color w:val="000000"/>
                <w:kern w:val="0"/>
                <w:szCs w:val="21"/>
              </w:rPr>
            </w:pPr>
            <w:r>
              <w:rPr>
                <w:rFonts w:eastAsia="楷体_GB2312"/>
                <w:color w:val="000000"/>
                <w:kern w:val="0"/>
                <w:szCs w:val="21"/>
              </w:rPr>
              <w:t>37.00</w:t>
            </w:r>
          </w:p>
        </w:tc>
        <w:tc>
          <w:tcPr>
            <w:tcW w:w="1134" w:type="dxa"/>
            <w:noWrap/>
            <w:vAlign w:val="center"/>
          </w:tcPr>
          <w:p w14:paraId="0B06A41A">
            <w:pPr>
              <w:jc w:val="center"/>
              <w:rPr>
                <w:rFonts w:eastAsia="楷体_GB2312"/>
                <w:color w:val="000000"/>
                <w:kern w:val="0"/>
                <w:szCs w:val="21"/>
              </w:rPr>
            </w:pPr>
            <w:r>
              <w:rPr>
                <w:rFonts w:eastAsia="楷体_GB2312"/>
                <w:color w:val="000000"/>
                <w:kern w:val="0"/>
                <w:szCs w:val="21"/>
              </w:rPr>
              <w:t>410</w:t>
            </w:r>
          </w:p>
        </w:tc>
        <w:tc>
          <w:tcPr>
            <w:tcW w:w="992" w:type="dxa"/>
            <w:noWrap/>
            <w:vAlign w:val="center"/>
          </w:tcPr>
          <w:p w14:paraId="2427DD7F">
            <w:pPr>
              <w:jc w:val="center"/>
              <w:rPr>
                <w:rFonts w:eastAsia="楷体_GB2312"/>
                <w:color w:val="000000"/>
                <w:kern w:val="0"/>
                <w:szCs w:val="21"/>
              </w:rPr>
            </w:pPr>
            <w:r>
              <w:rPr>
                <w:rFonts w:eastAsia="楷体_GB2312"/>
                <w:color w:val="000000"/>
                <w:kern w:val="0"/>
                <w:szCs w:val="21"/>
              </w:rPr>
              <w:t>27.33</w:t>
            </w:r>
          </w:p>
        </w:tc>
        <w:tc>
          <w:tcPr>
            <w:tcW w:w="1134" w:type="dxa"/>
            <w:noWrap/>
            <w:vAlign w:val="center"/>
          </w:tcPr>
          <w:p w14:paraId="524D5387">
            <w:pPr>
              <w:jc w:val="center"/>
              <w:rPr>
                <w:rFonts w:eastAsia="楷体_GB2312"/>
                <w:color w:val="000000"/>
                <w:kern w:val="0"/>
                <w:szCs w:val="21"/>
              </w:rPr>
            </w:pPr>
            <w:r>
              <w:rPr>
                <w:rFonts w:eastAsia="楷体_GB2312"/>
                <w:color w:val="000000"/>
                <w:kern w:val="0"/>
                <w:szCs w:val="21"/>
              </w:rPr>
              <w:t>200</w:t>
            </w:r>
          </w:p>
        </w:tc>
        <w:tc>
          <w:tcPr>
            <w:tcW w:w="992" w:type="dxa"/>
            <w:noWrap/>
            <w:vAlign w:val="center"/>
          </w:tcPr>
          <w:p w14:paraId="2274F4A1">
            <w:pPr>
              <w:jc w:val="center"/>
              <w:rPr>
                <w:rFonts w:eastAsia="楷体_GB2312"/>
                <w:color w:val="000000"/>
                <w:kern w:val="0"/>
                <w:szCs w:val="21"/>
              </w:rPr>
            </w:pPr>
            <w:r>
              <w:rPr>
                <w:rFonts w:eastAsia="楷体_GB2312"/>
                <w:color w:val="000000"/>
                <w:kern w:val="0"/>
                <w:szCs w:val="21"/>
              </w:rPr>
              <w:t>13.33</w:t>
            </w:r>
          </w:p>
        </w:tc>
      </w:tr>
      <w:tr w14:paraId="0AEDA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4867777C">
            <w:pPr>
              <w:jc w:val="center"/>
              <w:rPr>
                <w:rFonts w:eastAsia="楷体_GB2312"/>
                <w:color w:val="000000"/>
                <w:kern w:val="0"/>
                <w:szCs w:val="21"/>
              </w:rPr>
            </w:pPr>
          </w:p>
        </w:tc>
        <w:tc>
          <w:tcPr>
            <w:tcW w:w="1276" w:type="dxa"/>
            <w:vMerge w:val="continue"/>
            <w:noWrap/>
            <w:vAlign w:val="center"/>
          </w:tcPr>
          <w:p w14:paraId="67502910">
            <w:pPr>
              <w:jc w:val="center"/>
              <w:rPr>
                <w:rFonts w:eastAsia="楷体_GB2312"/>
                <w:color w:val="000000"/>
                <w:kern w:val="0"/>
                <w:szCs w:val="21"/>
              </w:rPr>
            </w:pPr>
          </w:p>
        </w:tc>
        <w:tc>
          <w:tcPr>
            <w:tcW w:w="850" w:type="dxa"/>
            <w:noWrap w:val="0"/>
            <w:vAlign w:val="center"/>
          </w:tcPr>
          <w:p w14:paraId="5926B05E">
            <w:pPr>
              <w:jc w:val="center"/>
              <w:rPr>
                <w:rFonts w:eastAsia="楷体_GB2312"/>
                <w:color w:val="000000"/>
                <w:kern w:val="0"/>
                <w:szCs w:val="21"/>
              </w:rPr>
            </w:pPr>
            <w:r>
              <w:rPr>
                <w:rFonts w:eastAsia="楷体_GB2312"/>
                <w:color w:val="000000"/>
                <w:kern w:val="0"/>
                <w:szCs w:val="21"/>
              </w:rPr>
              <w:t>2</w:t>
            </w:r>
          </w:p>
        </w:tc>
        <w:tc>
          <w:tcPr>
            <w:tcW w:w="1134" w:type="dxa"/>
            <w:noWrap/>
            <w:vAlign w:val="center"/>
          </w:tcPr>
          <w:p w14:paraId="7F5A274C">
            <w:pPr>
              <w:jc w:val="center"/>
              <w:rPr>
                <w:rFonts w:eastAsia="楷体_GB2312"/>
                <w:color w:val="000000"/>
                <w:kern w:val="0"/>
                <w:szCs w:val="21"/>
              </w:rPr>
            </w:pPr>
            <w:r>
              <w:rPr>
                <w:rFonts w:eastAsia="楷体_GB2312"/>
                <w:color w:val="000000"/>
                <w:kern w:val="0"/>
                <w:szCs w:val="21"/>
              </w:rPr>
              <w:t>450</w:t>
            </w:r>
          </w:p>
        </w:tc>
        <w:tc>
          <w:tcPr>
            <w:tcW w:w="1134" w:type="dxa"/>
            <w:noWrap/>
            <w:vAlign w:val="center"/>
          </w:tcPr>
          <w:p w14:paraId="6240E1B7">
            <w:pPr>
              <w:jc w:val="center"/>
              <w:rPr>
                <w:rFonts w:eastAsia="楷体_GB2312"/>
                <w:color w:val="000000"/>
                <w:kern w:val="0"/>
                <w:szCs w:val="21"/>
              </w:rPr>
            </w:pPr>
            <w:r>
              <w:rPr>
                <w:rFonts w:eastAsia="楷体_GB2312"/>
                <w:color w:val="000000"/>
                <w:kern w:val="0"/>
                <w:szCs w:val="21"/>
              </w:rPr>
              <w:t>30.00</w:t>
            </w:r>
          </w:p>
        </w:tc>
        <w:tc>
          <w:tcPr>
            <w:tcW w:w="1134" w:type="dxa"/>
            <w:noWrap/>
            <w:vAlign w:val="center"/>
          </w:tcPr>
          <w:p w14:paraId="128569AD">
            <w:pPr>
              <w:jc w:val="center"/>
              <w:rPr>
                <w:rFonts w:eastAsia="楷体_GB2312"/>
                <w:color w:val="000000"/>
                <w:kern w:val="0"/>
                <w:szCs w:val="21"/>
              </w:rPr>
            </w:pPr>
            <w:r>
              <w:rPr>
                <w:rFonts w:eastAsia="楷体_GB2312"/>
                <w:color w:val="000000"/>
                <w:kern w:val="0"/>
                <w:szCs w:val="21"/>
              </w:rPr>
              <w:t>305</w:t>
            </w:r>
          </w:p>
        </w:tc>
        <w:tc>
          <w:tcPr>
            <w:tcW w:w="992" w:type="dxa"/>
            <w:noWrap/>
            <w:vAlign w:val="center"/>
          </w:tcPr>
          <w:p w14:paraId="60735365">
            <w:pPr>
              <w:jc w:val="center"/>
              <w:rPr>
                <w:rFonts w:eastAsia="楷体_GB2312"/>
                <w:color w:val="000000"/>
                <w:kern w:val="0"/>
                <w:szCs w:val="21"/>
              </w:rPr>
            </w:pPr>
            <w:r>
              <w:rPr>
                <w:rFonts w:eastAsia="楷体_GB2312"/>
                <w:color w:val="000000"/>
                <w:kern w:val="0"/>
                <w:szCs w:val="21"/>
              </w:rPr>
              <w:t>20.33</w:t>
            </w:r>
          </w:p>
        </w:tc>
        <w:tc>
          <w:tcPr>
            <w:tcW w:w="1134" w:type="dxa"/>
            <w:noWrap/>
            <w:vAlign w:val="center"/>
          </w:tcPr>
          <w:p w14:paraId="2F4610C2">
            <w:pPr>
              <w:jc w:val="center"/>
              <w:rPr>
                <w:rFonts w:eastAsia="楷体_GB2312"/>
                <w:color w:val="000000"/>
                <w:kern w:val="0"/>
                <w:szCs w:val="21"/>
              </w:rPr>
            </w:pPr>
            <w:r>
              <w:rPr>
                <w:rFonts w:eastAsia="楷体_GB2312"/>
                <w:color w:val="000000"/>
                <w:kern w:val="0"/>
                <w:szCs w:val="21"/>
              </w:rPr>
              <w:t>170</w:t>
            </w:r>
          </w:p>
        </w:tc>
        <w:tc>
          <w:tcPr>
            <w:tcW w:w="992" w:type="dxa"/>
            <w:noWrap/>
            <w:vAlign w:val="center"/>
          </w:tcPr>
          <w:p w14:paraId="05291A46">
            <w:pPr>
              <w:jc w:val="center"/>
              <w:rPr>
                <w:rFonts w:eastAsia="楷体_GB2312"/>
                <w:color w:val="000000"/>
                <w:kern w:val="0"/>
                <w:szCs w:val="21"/>
              </w:rPr>
            </w:pPr>
            <w:r>
              <w:rPr>
                <w:rFonts w:eastAsia="楷体_GB2312"/>
                <w:color w:val="000000"/>
                <w:kern w:val="0"/>
                <w:szCs w:val="21"/>
              </w:rPr>
              <w:t>11.33</w:t>
            </w:r>
          </w:p>
        </w:tc>
      </w:tr>
      <w:tr w14:paraId="1151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2251C010">
            <w:pPr>
              <w:jc w:val="center"/>
              <w:rPr>
                <w:rFonts w:eastAsia="楷体_GB2312"/>
                <w:color w:val="000000"/>
                <w:kern w:val="0"/>
                <w:szCs w:val="21"/>
              </w:rPr>
            </w:pPr>
          </w:p>
        </w:tc>
        <w:tc>
          <w:tcPr>
            <w:tcW w:w="1276" w:type="dxa"/>
            <w:vMerge w:val="continue"/>
            <w:noWrap/>
            <w:vAlign w:val="center"/>
          </w:tcPr>
          <w:p w14:paraId="4F3392F4">
            <w:pPr>
              <w:jc w:val="center"/>
              <w:rPr>
                <w:rFonts w:eastAsia="楷体_GB2312"/>
                <w:color w:val="000000"/>
                <w:kern w:val="0"/>
                <w:szCs w:val="21"/>
              </w:rPr>
            </w:pPr>
          </w:p>
        </w:tc>
        <w:tc>
          <w:tcPr>
            <w:tcW w:w="850" w:type="dxa"/>
            <w:noWrap w:val="0"/>
            <w:vAlign w:val="center"/>
          </w:tcPr>
          <w:p w14:paraId="421D7B52">
            <w:pPr>
              <w:jc w:val="center"/>
              <w:rPr>
                <w:rFonts w:eastAsia="楷体_GB2312"/>
                <w:color w:val="000000"/>
                <w:kern w:val="0"/>
                <w:szCs w:val="21"/>
              </w:rPr>
            </w:pPr>
            <w:r>
              <w:rPr>
                <w:rFonts w:eastAsia="楷体_GB2312"/>
                <w:color w:val="000000"/>
                <w:kern w:val="0"/>
                <w:szCs w:val="21"/>
              </w:rPr>
              <w:t>3</w:t>
            </w:r>
          </w:p>
        </w:tc>
        <w:tc>
          <w:tcPr>
            <w:tcW w:w="1134" w:type="dxa"/>
            <w:noWrap/>
            <w:vAlign w:val="center"/>
          </w:tcPr>
          <w:p w14:paraId="5C884883">
            <w:pPr>
              <w:jc w:val="center"/>
              <w:rPr>
                <w:rFonts w:eastAsia="楷体_GB2312"/>
                <w:color w:val="000000"/>
                <w:kern w:val="0"/>
                <w:szCs w:val="21"/>
              </w:rPr>
            </w:pPr>
            <w:r>
              <w:rPr>
                <w:rFonts w:eastAsia="楷体_GB2312"/>
                <w:color w:val="000000"/>
                <w:kern w:val="0"/>
                <w:szCs w:val="21"/>
              </w:rPr>
              <w:t>370</w:t>
            </w:r>
          </w:p>
        </w:tc>
        <w:tc>
          <w:tcPr>
            <w:tcW w:w="1134" w:type="dxa"/>
            <w:noWrap/>
            <w:vAlign w:val="center"/>
          </w:tcPr>
          <w:p w14:paraId="4F0B3928">
            <w:pPr>
              <w:jc w:val="center"/>
              <w:rPr>
                <w:rFonts w:eastAsia="楷体_GB2312"/>
                <w:color w:val="000000"/>
                <w:kern w:val="0"/>
                <w:szCs w:val="21"/>
              </w:rPr>
            </w:pPr>
            <w:r>
              <w:rPr>
                <w:rFonts w:eastAsia="楷体_GB2312"/>
                <w:color w:val="000000"/>
                <w:kern w:val="0"/>
                <w:szCs w:val="21"/>
              </w:rPr>
              <w:t>24.67</w:t>
            </w:r>
          </w:p>
        </w:tc>
        <w:tc>
          <w:tcPr>
            <w:tcW w:w="1134" w:type="dxa"/>
            <w:noWrap/>
            <w:vAlign w:val="center"/>
          </w:tcPr>
          <w:p w14:paraId="094AC0FA">
            <w:pPr>
              <w:jc w:val="center"/>
              <w:rPr>
                <w:rFonts w:eastAsia="楷体_GB2312"/>
                <w:color w:val="000000"/>
                <w:kern w:val="0"/>
                <w:szCs w:val="21"/>
              </w:rPr>
            </w:pPr>
            <w:r>
              <w:rPr>
                <w:rFonts w:eastAsia="楷体_GB2312"/>
                <w:color w:val="000000"/>
                <w:kern w:val="0"/>
                <w:szCs w:val="21"/>
              </w:rPr>
              <w:t>225</w:t>
            </w:r>
          </w:p>
        </w:tc>
        <w:tc>
          <w:tcPr>
            <w:tcW w:w="992" w:type="dxa"/>
            <w:noWrap/>
            <w:vAlign w:val="center"/>
          </w:tcPr>
          <w:p w14:paraId="79F7EF0D">
            <w:pPr>
              <w:jc w:val="center"/>
              <w:rPr>
                <w:rFonts w:eastAsia="楷体_GB2312"/>
                <w:color w:val="000000"/>
                <w:kern w:val="0"/>
                <w:szCs w:val="21"/>
              </w:rPr>
            </w:pPr>
            <w:r>
              <w:rPr>
                <w:rFonts w:eastAsia="楷体_GB2312"/>
                <w:color w:val="000000"/>
                <w:kern w:val="0"/>
                <w:szCs w:val="21"/>
              </w:rPr>
              <w:t>15.00</w:t>
            </w:r>
          </w:p>
        </w:tc>
        <w:tc>
          <w:tcPr>
            <w:tcW w:w="1134" w:type="dxa"/>
            <w:noWrap/>
            <w:vAlign w:val="center"/>
          </w:tcPr>
          <w:p w14:paraId="5043A665">
            <w:pPr>
              <w:jc w:val="center"/>
              <w:rPr>
                <w:rFonts w:eastAsia="楷体_GB2312"/>
                <w:color w:val="000000"/>
                <w:kern w:val="0"/>
                <w:szCs w:val="21"/>
              </w:rPr>
            </w:pPr>
            <w:r>
              <w:rPr>
                <w:rFonts w:eastAsia="楷体_GB2312"/>
                <w:color w:val="000000"/>
                <w:kern w:val="0"/>
                <w:szCs w:val="21"/>
              </w:rPr>
              <w:t>144</w:t>
            </w:r>
          </w:p>
        </w:tc>
        <w:tc>
          <w:tcPr>
            <w:tcW w:w="992" w:type="dxa"/>
            <w:noWrap/>
            <w:vAlign w:val="center"/>
          </w:tcPr>
          <w:p w14:paraId="2F58AD5C">
            <w:pPr>
              <w:jc w:val="center"/>
              <w:rPr>
                <w:rFonts w:eastAsia="楷体_GB2312"/>
                <w:color w:val="000000"/>
                <w:kern w:val="0"/>
                <w:szCs w:val="21"/>
              </w:rPr>
            </w:pPr>
            <w:r>
              <w:rPr>
                <w:rFonts w:eastAsia="楷体_GB2312"/>
                <w:color w:val="000000"/>
                <w:kern w:val="0"/>
                <w:szCs w:val="21"/>
              </w:rPr>
              <w:t>9.60</w:t>
            </w:r>
          </w:p>
        </w:tc>
      </w:tr>
      <w:tr w14:paraId="5F781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ign w:val="center"/>
          </w:tcPr>
          <w:p w14:paraId="44827FAA">
            <w:pPr>
              <w:jc w:val="center"/>
              <w:rPr>
                <w:rFonts w:eastAsia="楷体_GB2312"/>
                <w:color w:val="000000"/>
                <w:kern w:val="0"/>
                <w:szCs w:val="21"/>
              </w:rPr>
            </w:pPr>
            <w:r>
              <w:rPr>
                <w:rFonts w:eastAsia="楷体_GB2312"/>
                <w:color w:val="000000"/>
                <w:kern w:val="0"/>
                <w:szCs w:val="21"/>
              </w:rPr>
              <w:t>5</w:t>
            </w:r>
          </w:p>
        </w:tc>
        <w:tc>
          <w:tcPr>
            <w:tcW w:w="1276" w:type="dxa"/>
            <w:vMerge w:val="restart"/>
            <w:noWrap/>
            <w:vAlign w:val="center"/>
          </w:tcPr>
          <w:p w14:paraId="4FF65FF6">
            <w:pPr>
              <w:jc w:val="center"/>
              <w:rPr>
                <w:rFonts w:eastAsia="楷体_GB2312"/>
                <w:color w:val="000000"/>
                <w:kern w:val="0"/>
                <w:szCs w:val="21"/>
              </w:rPr>
            </w:pPr>
            <w:r>
              <w:rPr>
                <w:rFonts w:eastAsia="楷体_GB2312"/>
                <w:color w:val="000000"/>
                <w:kern w:val="0"/>
                <w:szCs w:val="21"/>
              </w:rPr>
              <w:t>大店镇</w:t>
            </w:r>
          </w:p>
        </w:tc>
        <w:tc>
          <w:tcPr>
            <w:tcW w:w="850" w:type="dxa"/>
            <w:noWrap w:val="0"/>
            <w:vAlign w:val="center"/>
          </w:tcPr>
          <w:p w14:paraId="3C9C7583">
            <w:pPr>
              <w:jc w:val="center"/>
              <w:rPr>
                <w:rFonts w:eastAsia="楷体_GB2312"/>
                <w:color w:val="000000"/>
                <w:kern w:val="0"/>
                <w:szCs w:val="21"/>
              </w:rPr>
            </w:pPr>
            <w:r>
              <w:rPr>
                <w:rFonts w:eastAsia="楷体_GB2312"/>
                <w:color w:val="000000"/>
                <w:kern w:val="0"/>
                <w:szCs w:val="21"/>
              </w:rPr>
              <w:t>1</w:t>
            </w:r>
          </w:p>
        </w:tc>
        <w:tc>
          <w:tcPr>
            <w:tcW w:w="1134" w:type="dxa"/>
            <w:noWrap/>
            <w:vAlign w:val="center"/>
          </w:tcPr>
          <w:p w14:paraId="422CCDB3">
            <w:pPr>
              <w:jc w:val="center"/>
              <w:rPr>
                <w:rFonts w:eastAsia="楷体_GB2312"/>
                <w:color w:val="000000"/>
                <w:kern w:val="0"/>
                <w:szCs w:val="21"/>
              </w:rPr>
            </w:pPr>
            <w:r>
              <w:rPr>
                <w:rFonts w:eastAsia="楷体_GB2312"/>
                <w:color w:val="000000"/>
                <w:kern w:val="0"/>
                <w:szCs w:val="21"/>
              </w:rPr>
              <w:t>535</w:t>
            </w:r>
          </w:p>
        </w:tc>
        <w:tc>
          <w:tcPr>
            <w:tcW w:w="1134" w:type="dxa"/>
            <w:noWrap/>
            <w:vAlign w:val="center"/>
          </w:tcPr>
          <w:p w14:paraId="6BD9FFAC">
            <w:pPr>
              <w:jc w:val="center"/>
              <w:rPr>
                <w:rFonts w:eastAsia="楷体_GB2312"/>
                <w:color w:val="000000"/>
                <w:kern w:val="0"/>
                <w:szCs w:val="21"/>
              </w:rPr>
            </w:pPr>
            <w:r>
              <w:rPr>
                <w:rFonts w:eastAsia="楷体_GB2312"/>
                <w:color w:val="000000"/>
                <w:kern w:val="0"/>
                <w:szCs w:val="21"/>
              </w:rPr>
              <w:t>35.67</w:t>
            </w:r>
          </w:p>
        </w:tc>
        <w:tc>
          <w:tcPr>
            <w:tcW w:w="1134" w:type="dxa"/>
            <w:noWrap/>
            <w:vAlign w:val="center"/>
          </w:tcPr>
          <w:p w14:paraId="57F07D1D">
            <w:pPr>
              <w:jc w:val="center"/>
              <w:rPr>
                <w:rFonts w:eastAsia="楷体_GB2312"/>
                <w:color w:val="000000"/>
                <w:kern w:val="0"/>
                <w:szCs w:val="21"/>
              </w:rPr>
            </w:pPr>
            <w:r>
              <w:rPr>
                <w:rFonts w:eastAsia="楷体_GB2312"/>
                <w:color w:val="000000"/>
                <w:kern w:val="0"/>
                <w:szCs w:val="21"/>
              </w:rPr>
              <w:t>400</w:t>
            </w:r>
          </w:p>
        </w:tc>
        <w:tc>
          <w:tcPr>
            <w:tcW w:w="992" w:type="dxa"/>
            <w:noWrap/>
            <w:vAlign w:val="center"/>
          </w:tcPr>
          <w:p w14:paraId="24A7CDA1">
            <w:pPr>
              <w:jc w:val="center"/>
              <w:rPr>
                <w:rFonts w:eastAsia="楷体_GB2312"/>
                <w:color w:val="000000"/>
                <w:kern w:val="0"/>
                <w:szCs w:val="21"/>
              </w:rPr>
            </w:pPr>
            <w:r>
              <w:rPr>
                <w:rFonts w:eastAsia="楷体_GB2312"/>
                <w:color w:val="000000"/>
                <w:kern w:val="0"/>
                <w:szCs w:val="21"/>
              </w:rPr>
              <w:t>26.67</w:t>
            </w:r>
          </w:p>
        </w:tc>
        <w:tc>
          <w:tcPr>
            <w:tcW w:w="1134" w:type="dxa"/>
            <w:noWrap/>
            <w:vAlign w:val="center"/>
          </w:tcPr>
          <w:p w14:paraId="44C6AEB9">
            <w:pPr>
              <w:jc w:val="center"/>
              <w:rPr>
                <w:rFonts w:eastAsia="楷体_GB2312"/>
                <w:color w:val="000000"/>
                <w:kern w:val="0"/>
                <w:szCs w:val="21"/>
              </w:rPr>
            </w:pPr>
            <w:r>
              <w:rPr>
                <w:rFonts w:eastAsia="楷体_GB2312"/>
                <w:color w:val="000000"/>
                <w:kern w:val="0"/>
                <w:szCs w:val="21"/>
              </w:rPr>
              <w:t>170</w:t>
            </w:r>
          </w:p>
        </w:tc>
        <w:tc>
          <w:tcPr>
            <w:tcW w:w="992" w:type="dxa"/>
            <w:noWrap/>
            <w:vAlign w:val="center"/>
          </w:tcPr>
          <w:p w14:paraId="26D28955">
            <w:pPr>
              <w:jc w:val="center"/>
              <w:rPr>
                <w:rFonts w:eastAsia="楷体_GB2312"/>
                <w:color w:val="000000"/>
                <w:kern w:val="0"/>
                <w:szCs w:val="21"/>
              </w:rPr>
            </w:pPr>
            <w:r>
              <w:rPr>
                <w:rFonts w:eastAsia="楷体_GB2312"/>
                <w:color w:val="000000"/>
                <w:kern w:val="0"/>
                <w:szCs w:val="21"/>
              </w:rPr>
              <w:t>11.33</w:t>
            </w:r>
          </w:p>
        </w:tc>
      </w:tr>
      <w:tr w14:paraId="59444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50449985">
            <w:pPr>
              <w:jc w:val="center"/>
              <w:rPr>
                <w:rFonts w:eastAsia="楷体_GB2312"/>
                <w:color w:val="000000"/>
                <w:kern w:val="0"/>
                <w:szCs w:val="21"/>
              </w:rPr>
            </w:pPr>
          </w:p>
        </w:tc>
        <w:tc>
          <w:tcPr>
            <w:tcW w:w="1276" w:type="dxa"/>
            <w:vMerge w:val="continue"/>
            <w:noWrap/>
            <w:vAlign w:val="center"/>
          </w:tcPr>
          <w:p w14:paraId="00173D91">
            <w:pPr>
              <w:jc w:val="center"/>
              <w:rPr>
                <w:rFonts w:eastAsia="楷体_GB2312"/>
                <w:color w:val="000000"/>
                <w:kern w:val="0"/>
                <w:szCs w:val="21"/>
              </w:rPr>
            </w:pPr>
          </w:p>
        </w:tc>
        <w:tc>
          <w:tcPr>
            <w:tcW w:w="850" w:type="dxa"/>
            <w:noWrap w:val="0"/>
            <w:vAlign w:val="center"/>
          </w:tcPr>
          <w:p w14:paraId="01ABCCC3">
            <w:pPr>
              <w:jc w:val="center"/>
              <w:rPr>
                <w:rFonts w:eastAsia="楷体_GB2312"/>
                <w:color w:val="000000"/>
                <w:kern w:val="0"/>
                <w:szCs w:val="21"/>
              </w:rPr>
            </w:pPr>
            <w:r>
              <w:rPr>
                <w:rFonts w:eastAsia="楷体_GB2312"/>
                <w:color w:val="000000"/>
                <w:kern w:val="0"/>
                <w:szCs w:val="21"/>
              </w:rPr>
              <w:t>2</w:t>
            </w:r>
          </w:p>
        </w:tc>
        <w:tc>
          <w:tcPr>
            <w:tcW w:w="1134" w:type="dxa"/>
            <w:noWrap/>
            <w:vAlign w:val="center"/>
          </w:tcPr>
          <w:p w14:paraId="483BC630">
            <w:pPr>
              <w:jc w:val="center"/>
              <w:rPr>
                <w:rFonts w:eastAsia="楷体_GB2312"/>
                <w:color w:val="000000"/>
                <w:kern w:val="0"/>
                <w:szCs w:val="21"/>
              </w:rPr>
            </w:pPr>
            <w:r>
              <w:rPr>
                <w:rFonts w:eastAsia="楷体_GB2312"/>
                <w:color w:val="000000"/>
                <w:kern w:val="0"/>
                <w:szCs w:val="21"/>
              </w:rPr>
              <w:t>430</w:t>
            </w:r>
          </w:p>
        </w:tc>
        <w:tc>
          <w:tcPr>
            <w:tcW w:w="1134" w:type="dxa"/>
            <w:noWrap/>
            <w:vAlign w:val="center"/>
          </w:tcPr>
          <w:p w14:paraId="512E5A2B">
            <w:pPr>
              <w:jc w:val="center"/>
              <w:rPr>
                <w:rFonts w:eastAsia="楷体_GB2312"/>
                <w:color w:val="000000"/>
                <w:kern w:val="0"/>
                <w:szCs w:val="21"/>
              </w:rPr>
            </w:pPr>
            <w:r>
              <w:rPr>
                <w:rFonts w:eastAsia="楷体_GB2312"/>
                <w:color w:val="000000"/>
                <w:kern w:val="0"/>
                <w:szCs w:val="21"/>
              </w:rPr>
              <w:t>28.67</w:t>
            </w:r>
          </w:p>
        </w:tc>
        <w:tc>
          <w:tcPr>
            <w:tcW w:w="1134" w:type="dxa"/>
            <w:noWrap/>
            <w:vAlign w:val="center"/>
          </w:tcPr>
          <w:p w14:paraId="16BAEF57">
            <w:pPr>
              <w:jc w:val="center"/>
              <w:rPr>
                <w:rFonts w:eastAsia="楷体_GB2312"/>
                <w:color w:val="000000"/>
                <w:kern w:val="0"/>
                <w:szCs w:val="21"/>
              </w:rPr>
            </w:pPr>
            <w:r>
              <w:rPr>
                <w:rFonts w:eastAsia="楷体_GB2312"/>
                <w:color w:val="000000"/>
                <w:kern w:val="0"/>
                <w:szCs w:val="21"/>
              </w:rPr>
              <w:t>300</w:t>
            </w:r>
          </w:p>
        </w:tc>
        <w:tc>
          <w:tcPr>
            <w:tcW w:w="992" w:type="dxa"/>
            <w:noWrap/>
            <w:vAlign w:val="center"/>
          </w:tcPr>
          <w:p w14:paraId="070813FB">
            <w:pPr>
              <w:jc w:val="center"/>
              <w:rPr>
                <w:rFonts w:eastAsia="楷体_GB2312"/>
                <w:color w:val="000000"/>
                <w:kern w:val="0"/>
                <w:szCs w:val="21"/>
              </w:rPr>
            </w:pPr>
            <w:r>
              <w:rPr>
                <w:rFonts w:eastAsia="楷体_GB2312"/>
                <w:color w:val="000000"/>
                <w:kern w:val="0"/>
                <w:szCs w:val="21"/>
              </w:rPr>
              <w:t>20.00</w:t>
            </w:r>
          </w:p>
        </w:tc>
        <w:tc>
          <w:tcPr>
            <w:tcW w:w="1134" w:type="dxa"/>
            <w:noWrap/>
            <w:vAlign w:val="center"/>
          </w:tcPr>
          <w:p w14:paraId="3AF404AE">
            <w:pPr>
              <w:jc w:val="center"/>
              <w:rPr>
                <w:rFonts w:eastAsia="楷体_GB2312"/>
                <w:color w:val="000000"/>
                <w:kern w:val="0"/>
                <w:szCs w:val="21"/>
              </w:rPr>
            </w:pPr>
            <w:r>
              <w:rPr>
                <w:rFonts w:eastAsia="楷体_GB2312"/>
                <w:color w:val="000000"/>
                <w:kern w:val="0"/>
                <w:szCs w:val="21"/>
              </w:rPr>
              <w:t>155</w:t>
            </w:r>
          </w:p>
        </w:tc>
        <w:tc>
          <w:tcPr>
            <w:tcW w:w="992" w:type="dxa"/>
            <w:noWrap/>
            <w:vAlign w:val="center"/>
          </w:tcPr>
          <w:p w14:paraId="0603ED57">
            <w:pPr>
              <w:jc w:val="center"/>
              <w:rPr>
                <w:rFonts w:eastAsia="楷体_GB2312"/>
                <w:color w:val="000000"/>
                <w:kern w:val="0"/>
                <w:szCs w:val="21"/>
              </w:rPr>
            </w:pPr>
            <w:r>
              <w:rPr>
                <w:rFonts w:eastAsia="楷体_GB2312"/>
                <w:color w:val="000000"/>
                <w:kern w:val="0"/>
                <w:szCs w:val="21"/>
              </w:rPr>
              <w:t>10.33</w:t>
            </w:r>
          </w:p>
        </w:tc>
      </w:tr>
      <w:tr w14:paraId="48F67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71AF869F">
            <w:pPr>
              <w:jc w:val="center"/>
              <w:rPr>
                <w:rFonts w:eastAsia="楷体_GB2312"/>
                <w:color w:val="000000"/>
                <w:kern w:val="0"/>
                <w:szCs w:val="21"/>
              </w:rPr>
            </w:pPr>
          </w:p>
        </w:tc>
        <w:tc>
          <w:tcPr>
            <w:tcW w:w="1276" w:type="dxa"/>
            <w:vMerge w:val="continue"/>
            <w:noWrap/>
            <w:vAlign w:val="center"/>
          </w:tcPr>
          <w:p w14:paraId="445AA38F">
            <w:pPr>
              <w:jc w:val="center"/>
              <w:rPr>
                <w:rFonts w:eastAsia="楷体_GB2312"/>
                <w:color w:val="000000"/>
                <w:kern w:val="0"/>
                <w:szCs w:val="21"/>
              </w:rPr>
            </w:pPr>
          </w:p>
        </w:tc>
        <w:tc>
          <w:tcPr>
            <w:tcW w:w="850" w:type="dxa"/>
            <w:noWrap w:val="0"/>
            <w:vAlign w:val="center"/>
          </w:tcPr>
          <w:p w14:paraId="4D77A958">
            <w:pPr>
              <w:jc w:val="center"/>
              <w:rPr>
                <w:rFonts w:eastAsia="楷体_GB2312"/>
                <w:color w:val="000000"/>
                <w:kern w:val="0"/>
                <w:szCs w:val="21"/>
              </w:rPr>
            </w:pPr>
            <w:r>
              <w:rPr>
                <w:rFonts w:eastAsia="楷体_GB2312"/>
                <w:color w:val="000000"/>
                <w:kern w:val="0"/>
                <w:szCs w:val="21"/>
              </w:rPr>
              <w:t>3</w:t>
            </w:r>
          </w:p>
        </w:tc>
        <w:tc>
          <w:tcPr>
            <w:tcW w:w="1134" w:type="dxa"/>
            <w:noWrap/>
            <w:vAlign w:val="center"/>
          </w:tcPr>
          <w:p w14:paraId="3C913E9A">
            <w:pPr>
              <w:jc w:val="center"/>
              <w:rPr>
                <w:rFonts w:eastAsia="楷体_GB2312"/>
                <w:color w:val="000000"/>
                <w:kern w:val="0"/>
                <w:szCs w:val="21"/>
              </w:rPr>
            </w:pPr>
            <w:r>
              <w:rPr>
                <w:rFonts w:eastAsia="楷体_GB2312"/>
                <w:color w:val="000000"/>
                <w:kern w:val="0"/>
                <w:szCs w:val="21"/>
              </w:rPr>
              <w:t>350</w:t>
            </w:r>
          </w:p>
        </w:tc>
        <w:tc>
          <w:tcPr>
            <w:tcW w:w="1134" w:type="dxa"/>
            <w:noWrap/>
            <w:vAlign w:val="center"/>
          </w:tcPr>
          <w:p w14:paraId="23658635">
            <w:pPr>
              <w:jc w:val="center"/>
              <w:rPr>
                <w:rFonts w:eastAsia="楷体_GB2312"/>
                <w:color w:val="000000"/>
                <w:kern w:val="0"/>
                <w:szCs w:val="21"/>
              </w:rPr>
            </w:pPr>
            <w:r>
              <w:rPr>
                <w:rFonts w:eastAsia="楷体_GB2312"/>
                <w:color w:val="000000"/>
                <w:kern w:val="0"/>
                <w:szCs w:val="21"/>
              </w:rPr>
              <w:t>23.33</w:t>
            </w:r>
          </w:p>
        </w:tc>
        <w:tc>
          <w:tcPr>
            <w:tcW w:w="1134" w:type="dxa"/>
            <w:noWrap/>
            <w:vAlign w:val="center"/>
          </w:tcPr>
          <w:p w14:paraId="7AFAAE3D">
            <w:pPr>
              <w:jc w:val="center"/>
              <w:rPr>
                <w:rFonts w:eastAsia="楷体_GB2312"/>
                <w:color w:val="000000"/>
                <w:kern w:val="0"/>
                <w:szCs w:val="21"/>
              </w:rPr>
            </w:pPr>
            <w:r>
              <w:rPr>
                <w:rFonts w:eastAsia="楷体_GB2312"/>
                <w:color w:val="000000"/>
                <w:kern w:val="0"/>
                <w:szCs w:val="21"/>
              </w:rPr>
              <w:t>225</w:t>
            </w:r>
          </w:p>
        </w:tc>
        <w:tc>
          <w:tcPr>
            <w:tcW w:w="992" w:type="dxa"/>
            <w:noWrap/>
            <w:vAlign w:val="center"/>
          </w:tcPr>
          <w:p w14:paraId="2B0AE7E8">
            <w:pPr>
              <w:jc w:val="center"/>
              <w:rPr>
                <w:rFonts w:eastAsia="楷体_GB2312"/>
                <w:color w:val="000000"/>
                <w:kern w:val="0"/>
                <w:szCs w:val="21"/>
              </w:rPr>
            </w:pPr>
            <w:r>
              <w:rPr>
                <w:rFonts w:eastAsia="楷体_GB2312"/>
                <w:color w:val="000000"/>
                <w:kern w:val="0"/>
                <w:szCs w:val="21"/>
              </w:rPr>
              <w:t>15.00</w:t>
            </w:r>
          </w:p>
        </w:tc>
        <w:tc>
          <w:tcPr>
            <w:tcW w:w="1134" w:type="dxa"/>
            <w:noWrap/>
            <w:vAlign w:val="center"/>
          </w:tcPr>
          <w:p w14:paraId="2A1EE17A">
            <w:pPr>
              <w:jc w:val="center"/>
              <w:rPr>
                <w:rFonts w:eastAsia="楷体_GB2312"/>
                <w:color w:val="000000"/>
                <w:kern w:val="0"/>
                <w:szCs w:val="21"/>
              </w:rPr>
            </w:pPr>
            <w:r>
              <w:rPr>
                <w:rFonts w:eastAsia="楷体_GB2312"/>
                <w:color w:val="000000"/>
                <w:kern w:val="0"/>
                <w:szCs w:val="21"/>
              </w:rPr>
              <w:t>144</w:t>
            </w:r>
          </w:p>
        </w:tc>
        <w:tc>
          <w:tcPr>
            <w:tcW w:w="992" w:type="dxa"/>
            <w:noWrap/>
            <w:vAlign w:val="center"/>
          </w:tcPr>
          <w:p w14:paraId="4B0934A5">
            <w:pPr>
              <w:jc w:val="center"/>
              <w:rPr>
                <w:rFonts w:eastAsia="楷体_GB2312"/>
                <w:color w:val="000000"/>
                <w:kern w:val="0"/>
                <w:szCs w:val="21"/>
              </w:rPr>
            </w:pPr>
            <w:r>
              <w:rPr>
                <w:rFonts w:eastAsia="楷体_GB2312"/>
                <w:color w:val="000000"/>
                <w:kern w:val="0"/>
                <w:szCs w:val="21"/>
              </w:rPr>
              <w:t>9.60</w:t>
            </w:r>
          </w:p>
        </w:tc>
      </w:tr>
      <w:tr w14:paraId="76115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ign w:val="center"/>
          </w:tcPr>
          <w:p w14:paraId="56C2C318">
            <w:pPr>
              <w:jc w:val="center"/>
              <w:rPr>
                <w:rFonts w:eastAsia="楷体_GB2312"/>
                <w:color w:val="000000"/>
                <w:kern w:val="0"/>
                <w:szCs w:val="21"/>
              </w:rPr>
            </w:pPr>
            <w:r>
              <w:rPr>
                <w:rFonts w:eastAsia="楷体_GB2312"/>
                <w:color w:val="000000"/>
                <w:kern w:val="0"/>
                <w:szCs w:val="21"/>
              </w:rPr>
              <w:t>6</w:t>
            </w:r>
          </w:p>
        </w:tc>
        <w:tc>
          <w:tcPr>
            <w:tcW w:w="1276" w:type="dxa"/>
            <w:vMerge w:val="restart"/>
            <w:noWrap/>
            <w:vAlign w:val="center"/>
          </w:tcPr>
          <w:p w14:paraId="5CF25D2D">
            <w:pPr>
              <w:jc w:val="center"/>
              <w:rPr>
                <w:rFonts w:eastAsia="楷体_GB2312"/>
                <w:color w:val="000000"/>
                <w:kern w:val="0"/>
                <w:szCs w:val="21"/>
              </w:rPr>
            </w:pPr>
            <w:r>
              <w:rPr>
                <w:rFonts w:eastAsia="楷体_GB2312"/>
                <w:color w:val="000000"/>
                <w:kern w:val="0"/>
                <w:szCs w:val="21"/>
              </w:rPr>
              <w:t>栏杆镇</w:t>
            </w:r>
          </w:p>
        </w:tc>
        <w:tc>
          <w:tcPr>
            <w:tcW w:w="850" w:type="dxa"/>
            <w:noWrap w:val="0"/>
            <w:vAlign w:val="center"/>
          </w:tcPr>
          <w:p w14:paraId="62CD3DDC">
            <w:pPr>
              <w:jc w:val="center"/>
              <w:rPr>
                <w:rFonts w:eastAsia="楷体_GB2312"/>
                <w:color w:val="000000"/>
                <w:kern w:val="0"/>
                <w:szCs w:val="21"/>
              </w:rPr>
            </w:pPr>
            <w:r>
              <w:rPr>
                <w:rFonts w:eastAsia="楷体_GB2312"/>
                <w:color w:val="000000"/>
                <w:kern w:val="0"/>
                <w:szCs w:val="21"/>
              </w:rPr>
              <w:t>1</w:t>
            </w:r>
          </w:p>
        </w:tc>
        <w:tc>
          <w:tcPr>
            <w:tcW w:w="1134" w:type="dxa"/>
            <w:noWrap/>
            <w:vAlign w:val="center"/>
          </w:tcPr>
          <w:p w14:paraId="34088DE6">
            <w:pPr>
              <w:jc w:val="center"/>
              <w:rPr>
                <w:rFonts w:eastAsia="楷体_GB2312"/>
                <w:color w:val="000000"/>
                <w:kern w:val="0"/>
                <w:szCs w:val="21"/>
              </w:rPr>
            </w:pPr>
            <w:r>
              <w:rPr>
                <w:rFonts w:eastAsia="楷体_GB2312"/>
                <w:color w:val="000000"/>
                <w:kern w:val="0"/>
                <w:szCs w:val="21"/>
              </w:rPr>
              <w:t>520</w:t>
            </w:r>
          </w:p>
        </w:tc>
        <w:tc>
          <w:tcPr>
            <w:tcW w:w="1134" w:type="dxa"/>
            <w:noWrap/>
            <w:vAlign w:val="center"/>
          </w:tcPr>
          <w:p w14:paraId="59A321A3">
            <w:pPr>
              <w:jc w:val="center"/>
              <w:rPr>
                <w:rFonts w:eastAsia="楷体_GB2312"/>
                <w:color w:val="000000"/>
                <w:kern w:val="0"/>
                <w:szCs w:val="21"/>
              </w:rPr>
            </w:pPr>
            <w:r>
              <w:rPr>
                <w:rFonts w:eastAsia="楷体_GB2312"/>
                <w:color w:val="000000"/>
                <w:kern w:val="0"/>
                <w:szCs w:val="21"/>
              </w:rPr>
              <w:t>34.67</w:t>
            </w:r>
          </w:p>
        </w:tc>
        <w:tc>
          <w:tcPr>
            <w:tcW w:w="1134" w:type="dxa"/>
            <w:noWrap/>
            <w:vAlign w:val="center"/>
          </w:tcPr>
          <w:p w14:paraId="1167712A">
            <w:pPr>
              <w:jc w:val="center"/>
              <w:rPr>
                <w:rFonts w:eastAsia="楷体_GB2312"/>
                <w:color w:val="000000"/>
                <w:kern w:val="0"/>
                <w:szCs w:val="21"/>
              </w:rPr>
            </w:pPr>
            <w:r>
              <w:rPr>
                <w:rFonts w:eastAsia="楷体_GB2312"/>
                <w:color w:val="000000"/>
                <w:kern w:val="0"/>
                <w:szCs w:val="21"/>
              </w:rPr>
              <w:t>395</w:t>
            </w:r>
          </w:p>
        </w:tc>
        <w:tc>
          <w:tcPr>
            <w:tcW w:w="992" w:type="dxa"/>
            <w:noWrap/>
            <w:vAlign w:val="center"/>
          </w:tcPr>
          <w:p w14:paraId="30F4BFBE">
            <w:pPr>
              <w:jc w:val="center"/>
              <w:rPr>
                <w:rFonts w:eastAsia="楷体_GB2312"/>
                <w:color w:val="000000"/>
                <w:kern w:val="0"/>
                <w:szCs w:val="21"/>
              </w:rPr>
            </w:pPr>
            <w:r>
              <w:rPr>
                <w:rFonts w:eastAsia="楷体_GB2312"/>
                <w:color w:val="000000"/>
                <w:kern w:val="0"/>
                <w:szCs w:val="21"/>
              </w:rPr>
              <w:t>26.33</w:t>
            </w:r>
          </w:p>
        </w:tc>
        <w:tc>
          <w:tcPr>
            <w:tcW w:w="1134" w:type="dxa"/>
            <w:noWrap/>
            <w:vAlign w:val="center"/>
          </w:tcPr>
          <w:p w14:paraId="579314E7">
            <w:pPr>
              <w:jc w:val="center"/>
              <w:rPr>
                <w:rFonts w:eastAsia="楷体_GB2312"/>
                <w:color w:val="000000"/>
                <w:kern w:val="0"/>
                <w:szCs w:val="21"/>
              </w:rPr>
            </w:pPr>
            <w:r>
              <w:rPr>
                <w:rFonts w:eastAsia="楷体_GB2312"/>
                <w:color w:val="000000"/>
                <w:kern w:val="0"/>
                <w:szCs w:val="21"/>
              </w:rPr>
              <w:t>200</w:t>
            </w:r>
          </w:p>
        </w:tc>
        <w:tc>
          <w:tcPr>
            <w:tcW w:w="992" w:type="dxa"/>
            <w:noWrap/>
            <w:vAlign w:val="center"/>
          </w:tcPr>
          <w:p w14:paraId="77A1E751">
            <w:pPr>
              <w:jc w:val="center"/>
              <w:rPr>
                <w:rFonts w:eastAsia="楷体_GB2312"/>
                <w:color w:val="000000"/>
                <w:kern w:val="0"/>
                <w:szCs w:val="21"/>
              </w:rPr>
            </w:pPr>
            <w:r>
              <w:rPr>
                <w:rFonts w:eastAsia="楷体_GB2312"/>
                <w:color w:val="000000"/>
                <w:kern w:val="0"/>
                <w:szCs w:val="21"/>
              </w:rPr>
              <w:t>13.33</w:t>
            </w:r>
          </w:p>
        </w:tc>
      </w:tr>
      <w:tr w14:paraId="37D1D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78C661C1">
            <w:pPr>
              <w:jc w:val="center"/>
              <w:rPr>
                <w:rFonts w:eastAsia="楷体_GB2312"/>
                <w:color w:val="000000"/>
                <w:kern w:val="0"/>
                <w:szCs w:val="21"/>
              </w:rPr>
            </w:pPr>
          </w:p>
        </w:tc>
        <w:tc>
          <w:tcPr>
            <w:tcW w:w="1276" w:type="dxa"/>
            <w:vMerge w:val="continue"/>
            <w:noWrap/>
            <w:vAlign w:val="center"/>
          </w:tcPr>
          <w:p w14:paraId="52720305">
            <w:pPr>
              <w:jc w:val="center"/>
              <w:rPr>
                <w:rFonts w:eastAsia="楷体_GB2312"/>
                <w:color w:val="000000"/>
                <w:kern w:val="0"/>
                <w:szCs w:val="21"/>
              </w:rPr>
            </w:pPr>
          </w:p>
        </w:tc>
        <w:tc>
          <w:tcPr>
            <w:tcW w:w="850" w:type="dxa"/>
            <w:noWrap w:val="0"/>
            <w:vAlign w:val="center"/>
          </w:tcPr>
          <w:p w14:paraId="33782530">
            <w:pPr>
              <w:jc w:val="center"/>
              <w:rPr>
                <w:rFonts w:eastAsia="楷体_GB2312"/>
                <w:color w:val="000000"/>
                <w:kern w:val="0"/>
                <w:szCs w:val="21"/>
              </w:rPr>
            </w:pPr>
            <w:r>
              <w:rPr>
                <w:rFonts w:eastAsia="楷体_GB2312"/>
                <w:color w:val="000000"/>
                <w:kern w:val="0"/>
                <w:szCs w:val="21"/>
              </w:rPr>
              <w:t>2</w:t>
            </w:r>
          </w:p>
        </w:tc>
        <w:tc>
          <w:tcPr>
            <w:tcW w:w="1134" w:type="dxa"/>
            <w:noWrap/>
            <w:vAlign w:val="center"/>
          </w:tcPr>
          <w:p w14:paraId="7EAD75E6">
            <w:pPr>
              <w:jc w:val="center"/>
              <w:rPr>
                <w:rFonts w:eastAsia="楷体_GB2312"/>
                <w:color w:val="000000"/>
                <w:kern w:val="0"/>
                <w:szCs w:val="21"/>
              </w:rPr>
            </w:pPr>
            <w:r>
              <w:rPr>
                <w:rFonts w:eastAsia="楷体_GB2312"/>
                <w:color w:val="000000"/>
                <w:kern w:val="0"/>
                <w:szCs w:val="21"/>
              </w:rPr>
              <w:t>410</w:t>
            </w:r>
          </w:p>
        </w:tc>
        <w:tc>
          <w:tcPr>
            <w:tcW w:w="1134" w:type="dxa"/>
            <w:noWrap/>
            <w:vAlign w:val="center"/>
          </w:tcPr>
          <w:p w14:paraId="4504A637">
            <w:pPr>
              <w:jc w:val="center"/>
              <w:rPr>
                <w:rFonts w:eastAsia="楷体_GB2312"/>
                <w:color w:val="000000"/>
                <w:kern w:val="0"/>
                <w:szCs w:val="21"/>
              </w:rPr>
            </w:pPr>
            <w:r>
              <w:rPr>
                <w:rFonts w:eastAsia="楷体_GB2312"/>
                <w:color w:val="000000"/>
                <w:kern w:val="0"/>
                <w:szCs w:val="21"/>
              </w:rPr>
              <w:t>27.33</w:t>
            </w:r>
          </w:p>
        </w:tc>
        <w:tc>
          <w:tcPr>
            <w:tcW w:w="1134" w:type="dxa"/>
            <w:noWrap/>
            <w:vAlign w:val="center"/>
          </w:tcPr>
          <w:p w14:paraId="2145B5E1">
            <w:pPr>
              <w:jc w:val="center"/>
              <w:rPr>
                <w:rFonts w:eastAsia="楷体_GB2312"/>
                <w:color w:val="000000"/>
                <w:kern w:val="0"/>
                <w:szCs w:val="21"/>
              </w:rPr>
            </w:pPr>
            <w:r>
              <w:rPr>
                <w:rFonts w:eastAsia="楷体_GB2312"/>
                <w:color w:val="000000"/>
                <w:kern w:val="0"/>
                <w:szCs w:val="21"/>
              </w:rPr>
              <w:t>295</w:t>
            </w:r>
          </w:p>
        </w:tc>
        <w:tc>
          <w:tcPr>
            <w:tcW w:w="992" w:type="dxa"/>
            <w:noWrap/>
            <w:vAlign w:val="center"/>
          </w:tcPr>
          <w:p w14:paraId="5B1FC032">
            <w:pPr>
              <w:jc w:val="center"/>
              <w:rPr>
                <w:rFonts w:eastAsia="楷体_GB2312"/>
                <w:color w:val="000000"/>
                <w:kern w:val="0"/>
                <w:szCs w:val="21"/>
              </w:rPr>
            </w:pPr>
            <w:r>
              <w:rPr>
                <w:rFonts w:eastAsia="楷体_GB2312"/>
                <w:color w:val="000000"/>
                <w:kern w:val="0"/>
                <w:szCs w:val="21"/>
              </w:rPr>
              <w:t>19.67</w:t>
            </w:r>
          </w:p>
        </w:tc>
        <w:tc>
          <w:tcPr>
            <w:tcW w:w="1134" w:type="dxa"/>
            <w:noWrap/>
            <w:vAlign w:val="center"/>
          </w:tcPr>
          <w:p w14:paraId="145C00F2">
            <w:pPr>
              <w:jc w:val="center"/>
              <w:rPr>
                <w:rFonts w:eastAsia="楷体_GB2312"/>
                <w:color w:val="000000"/>
                <w:kern w:val="0"/>
                <w:szCs w:val="21"/>
              </w:rPr>
            </w:pPr>
            <w:r>
              <w:rPr>
                <w:rFonts w:eastAsia="楷体_GB2312"/>
                <w:color w:val="000000"/>
                <w:kern w:val="0"/>
                <w:szCs w:val="21"/>
              </w:rPr>
              <w:t>170</w:t>
            </w:r>
          </w:p>
        </w:tc>
        <w:tc>
          <w:tcPr>
            <w:tcW w:w="992" w:type="dxa"/>
            <w:noWrap/>
            <w:vAlign w:val="center"/>
          </w:tcPr>
          <w:p w14:paraId="5C453D05">
            <w:pPr>
              <w:jc w:val="center"/>
              <w:rPr>
                <w:rFonts w:eastAsia="楷体_GB2312"/>
                <w:color w:val="000000"/>
                <w:kern w:val="0"/>
                <w:szCs w:val="21"/>
              </w:rPr>
            </w:pPr>
            <w:r>
              <w:rPr>
                <w:rFonts w:eastAsia="楷体_GB2312"/>
                <w:color w:val="000000"/>
                <w:kern w:val="0"/>
                <w:szCs w:val="21"/>
              </w:rPr>
              <w:t>11.33</w:t>
            </w:r>
          </w:p>
        </w:tc>
      </w:tr>
      <w:tr w14:paraId="1CB4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294F7DD9">
            <w:pPr>
              <w:jc w:val="center"/>
              <w:rPr>
                <w:rFonts w:eastAsia="楷体_GB2312"/>
                <w:color w:val="000000"/>
                <w:kern w:val="0"/>
                <w:szCs w:val="21"/>
              </w:rPr>
            </w:pPr>
          </w:p>
        </w:tc>
        <w:tc>
          <w:tcPr>
            <w:tcW w:w="1276" w:type="dxa"/>
            <w:vMerge w:val="continue"/>
            <w:noWrap/>
            <w:vAlign w:val="center"/>
          </w:tcPr>
          <w:p w14:paraId="31B54B22">
            <w:pPr>
              <w:jc w:val="center"/>
              <w:rPr>
                <w:rFonts w:eastAsia="楷体_GB2312"/>
                <w:color w:val="000000"/>
                <w:kern w:val="0"/>
                <w:szCs w:val="21"/>
              </w:rPr>
            </w:pPr>
          </w:p>
        </w:tc>
        <w:tc>
          <w:tcPr>
            <w:tcW w:w="850" w:type="dxa"/>
            <w:noWrap w:val="0"/>
            <w:vAlign w:val="center"/>
          </w:tcPr>
          <w:p w14:paraId="59B5F761">
            <w:pPr>
              <w:jc w:val="center"/>
              <w:rPr>
                <w:rFonts w:eastAsia="楷体_GB2312"/>
                <w:color w:val="000000"/>
                <w:kern w:val="0"/>
                <w:szCs w:val="21"/>
              </w:rPr>
            </w:pPr>
            <w:r>
              <w:rPr>
                <w:rFonts w:eastAsia="楷体_GB2312"/>
                <w:color w:val="000000"/>
                <w:kern w:val="0"/>
                <w:szCs w:val="21"/>
              </w:rPr>
              <w:t>3</w:t>
            </w:r>
          </w:p>
        </w:tc>
        <w:tc>
          <w:tcPr>
            <w:tcW w:w="1134" w:type="dxa"/>
            <w:noWrap/>
            <w:vAlign w:val="center"/>
          </w:tcPr>
          <w:p w14:paraId="7AADDA57">
            <w:pPr>
              <w:jc w:val="center"/>
              <w:rPr>
                <w:rFonts w:eastAsia="楷体_GB2312"/>
                <w:color w:val="000000"/>
                <w:kern w:val="0"/>
                <w:szCs w:val="21"/>
              </w:rPr>
            </w:pPr>
            <w:r>
              <w:rPr>
                <w:rFonts w:eastAsia="楷体_GB2312"/>
                <w:color w:val="000000"/>
                <w:kern w:val="0"/>
                <w:szCs w:val="21"/>
              </w:rPr>
              <w:t>325</w:t>
            </w:r>
          </w:p>
        </w:tc>
        <w:tc>
          <w:tcPr>
            <w:tcW w:w="1134" w:type="dxa"/>
            <w:noWrap/>
            <w:vAlign w:val="center"/>
          </w:tcPr>
          <w:p w14:paraId="2B55E427">
            <w:pPr>
              <w:jc w:val="center"/>
              <w:rPr>
                <w:rFonts w:eastAsia="楷体_GB2312"/>
                <w:color w:val="000000"/>
                <w:kern w:val="0"/>
                <w:szCs w:val="21"/>
              </w:rPr>
            </w:pPr>
            <w:r>
              <w:rPr>
                <w:rFonts w:eastAsia="楷体_GB2312"/>
                <w:color w:val="000000"/>
                <w:kern w:val="0"/>
                <w:szCs w:val="21"/>
              </w:rPr>
              <w:t>21.67</w:t>
            </w:r>
          </w:p>
        </w:tc>
        <w:tc>
          <w:tcPr>
            <w:tcW w:w="1134" w:type="dxa"/>
            <w:noWrap/>
            <w:vAlign w:val="center"/>
          </w:tcPr>
          <w:p w14:paraId="1D395B3C">
            <w:pPr>
              <w:jc w:val="center"/>
              <w:rPr>
                <w:rFonts w:eastAsia="楷体_GB2312"/>
                <w:color w:val="000000"/>
                <w:kern w:val="0"/>
                <w:szCs w:val="21"/>
              </w:rPr>
            </w:pPr>
            <w:r>
              <w:rPr>
                <w:rFonts w:eastAsia="楷体_GB2312"/>
                <w:color w:val="000000"/>
                <w:kern w:val="0"/>
                <w:szCs w:val="21"/>
              </w:rPr>
              <w:t>225</w:t>
            </w:r>
          </w:p>
        </w:tc>
        <w:tc>
          <w:tcPr>
            <w:tcW w:w="992" w:type="dxa"/>
            <w:noWrap/>
            <w:vAlign w:val="center"/>
          </w:tcPr>
          <w:p w14:paraId="2056A29C">
            <w:pPr>
              <w:jc w:val="center"/>
              <w:rPr>
                <w:rFonts w:eastAsia="楷体_GB2312"/>
                <w:color w:val="000000"/>
                <w:kern w:val="0"/>
                <w:szCs w:val="21"/>
              </w:rPr>
            </w:pPr>
            <w:r>
              <w:rPr>
                <w:rFonts w:eastAsia="楷体_GB2312"/>
                <w:color w:val="000000"/>
                <w:kern w:val="0"/>
                <w:szCs w:val="21"/>
              </w:rPr>
              <w:t>15.00</w:t>
            </w:r>
          </w:p>
        </w:tc>
        <w:tc>
          <w:tcPr>
            <w:tcW w:w="1134" w:type="dxa"/>
            <w:noWrap/>
            <w:vAlign w:val="center"/>
          </w:tcPr>
          <w:p w14:paraId="29F5C3C0">
            <w:pPr>
              <w:jc w:val="center"/>
              <w:rPr>
                <w:rFonts w:eastAsia="楷体_GB2312"/>
                <w:color w:val="000000"/>
                <w:kern w:val="0"/>
                <w:szCs w:val="21"/>
              </w:rPr>
            </w:pPr>
            <w:r>
              <w:rPr>
                <w:rFonts w:eastAsia="楷体_GB2312"/>
                <w:color w:val="000000"/>
                <w:kern w:val="0"/>
                <w:szCs w:val="21"/>
              </w:rPr>
              <w:t>144</w:t>
            </w:r>
          </w:p>
        </w:tc>
        <w:tc>
          <w:tcPr>
            <w:tcW w:w="992" w:type="dxa"/>
            <w:noWrap/>
            <w:vAlign w:val="center"/>
          </w:tcPr>
          <w:p w14:paraId="26BC69EC">
            <w:pPr>
              <w:jc w:val="center"/>
              <w:rPr>
                <w:rFonts w:eastAsia="楷体_GB2312"/>
                <w:color w:val="000000"/>
                <w:kern w:val="0"/>
                <w:szCs w:val="21"/>
              </w:rPr>
            </w:pPr>
            <w:r>
              <w:rPr>
                <w:rFonts w:eastAsia="楷体_GB2312"/>
                <w:color w:val="000000"/>
                <w:kern w:val="0"/>
                <w:szCs w:val="21"/>
              </w:rPr>
              <w:t>9.60</w:t>
            </w:r>
          </w:p>
        </w:tc>
      </w:tr>
      <w:tr w14:paraId="478FD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ign w:val="center"/>
          </w:tcPr>
          <w:p w14:paraId="3A871C0A">
            <w:pPr>
              <w:jc w:val="center"/>
              <w:rPr>
                <w:rFonts w:eastAsia="楷体_GB2312"/>
                <w:color w:val="000000"/>
                <w:kern w:val="0"/>
                <w:szCs w:val="21"/>
              </w:rPr>
            </w:pPr>
            <w:r>
              <w:rPr>
                <w:rFonts w:eastAsia="楷体_GB2312"/>
                <w:color w:val="000000"/>
                <w:kern w:val="0"/>
                <w:szCs w:val="21"/>
              </w:rPr>
              <w:t>7</w:t>
            </w:r>
          </w:p>
        </w:tc>
        <w:tc>
          <w:tcPr>
            <w:tcW w:w="1276" w:type="dxa"/>
            <w:vMerge w:val="restart"/>
            <w:noWrap/>
            <w:vAlign w:val="center"/>
          </w:tcPr>
          <w:p w14:paraId="4634C2BE">
            <w:pPr>
              <w:jc w:val="center"/>
              <w:rPr>
                <w:rFonts w:eastAsia="楷体_GB2312"/>
                <w:color w:val="000000"/>
                <w:kern w:val="0"/>
                <w:szCs w:val="21"/>
              </w:rPr>
            </w:pPr>
            <w:r>
              <w:rPr>
                <w:rFonts w:eastAsia="楷体_GB2312"/>
                <w:color w:val="000000"/>
                <w:kern w:val="0"/>
                <w:szCs w:val="21"/>
              </w:rPr>
              <w:t>时村镇</w:t>
            </w:r>
          </w:p>
        </w:tc>
        <w:tc>
          <w:tcPr>
            <w:tcW w:w="850" w:type="dxa"/>
            <w:noWrap w:val="0"/>
            <w:vAlign w:val="center"/>
          </w:tcPr>
          <w:p w14:paraId="12402B1F">
            <w:pPr>
              <w:jc w:val="center"/>
              <w:rPr>
                <w:rFonts w:eastAsia="楷体_GB2312"/>
                <w:color w:val="000000"/>
                <w:kern w:val="0"/>
                <w:szCs w:val="21"/>
              </w:rPr>
            </w:pPr>
            <w:r>
              <w:rPr>
                <w:rFonts w:eastAsia="楷体_GB2312"/>
                <w:color w:val="000000"/>
                <w:kern w:val="0"/>
                <w:szCs w:val="21"/>
              </w:rPr>
              <w:t>1</w:t>
            </w:r>
          </w:p>
        </w:tc>
        <w:tc>
          <w:tcPr>
            <w:tcW w:w="1134" w:type="dxa"/>
            <w:noWrap/>
            <w:vAlign w:val="center"/>
          </w:tcPr>
          <w:p w14:paraId="680FC651">
            <w:pPr>
              <w:jc w:val="center"/>
              <w:rPr>
                <w:rFonts w:eastAsia="楷体_GB2312"/>
                <w:color w:val="000000"/>
                <w:kern w:val="0"/>
                <w:szCs w:val="21"/>
              </w:rPr>
            </w:pPr>
            <w:r>
              <w:rPr>
                <w:rFonts w:eastAsia="楷体_GB2312"/>
                <w:color w:val="000000"/>
                <w:kern w:val="0"/>
                <w:szCs w:val="21"/>
              </w:rPr>
              <w:t>515</w:t>
            </w:r>
          </w:p>
        </w:tc>
        <w:tc>
          <w:tcPr>
            <w:tcW w:w="1134" w:type="dxa"/>
            <w:noWrap/>
            <w:vAlign w:val="center"/>
          </w:tcPr>
          <w:p w14:paraId="01CB83BA">
            <w:pPr>
              <w:jc w:val="center"/>
              <w:rPr>
                <w:rFonts w:eastAsia="楷体_GB2312"/>
                <w:color w:val="000000"/>
                <w:kern w:val="0"/>
                <w:szCs w:val="21"/>
              </w:rPr>
            </w:pPr>
            <w:r>
              <w:rPr>
                <w:rFonts w:eastAsia="楷体_GB2312"/>
                <w:color w:val="000000"/>
                <w:kern w:val="0"/>
                <w:szCs w:val="21"/>
              </w:rPr>
              <w:t>34.33</w:t>
            </w:r>
          </w:p>
        </w:tc>
        <w:tc>
          <w:tcPr>
            <w:tcW w:w="1134" w:type="dxa"/>
            <w:noWrap/>
            <w:vAlign w:val="center"/>
          </w:tcPr>
          <w:p w14:paraId="120A7568">
            <w:pPr>
              <w:jc w:val="center"/>
              <w:rPr>
                <w:rFonts w:eastAsia="楷体_GB2312"/>
                <w:color w:val="000000"/>
                <w:kern w:val="0"/>
                <w:szCs w:val="21"/>
              </w:rPr>
            </w:pPr>
            <w:r>
              <w:rPr>
                <w:rFonts w:eastAsia="楷体_GB2312"/>
                <w:color w:val="000000"/>
                <w:kern w:val="0"/>
                <w:szCs w:val="21"/>
              </w:rPr>
              <w:t>390</w:t>
            </w:r>
          </w:p>
        </w:tc>
        <w:tc>
          <w:tcPr>
            <w:tcW w:w="992" w:type="dxa"/>
            <w:noWrap/>
            <w:vAlign w:val="center"/>
          </w:tcPr>
          <w:p w14:paraId="6D358841">
            <w:pPr>
              <w:jc w:val="center"/>
              <w:rPr>
                <w:rFonts w:eastAsia="楷体_GB2312"/>
                <w:color w:val="000000"/>
                <w:kern w:val="0"/>
                <w:szCs w:val="21"/>
              </w:rPr>
            </w:pPr>
            <w:r>
              <w:rPr>
                <w:rFonts w:eastAsia="楷体_GB2312"/>
                <w:color w:val="000000"/>
                <w:kern w:val="0"/>
                <w:szCs w:val="21"/>
              </w:rPr>
              <w:t>26.00</w:t>
            </w:r>
          </w:p>
        </w:tc>
        <w:tc>
          <w:tcPr>
            <w:tcW w:w="1134" w:type="dxa"/>
            <w:noWrap/>
            <w:vAlign w:val="center"/>
          </w:tcPr>
          <w:p w14:paraId="7A4A7246">
            <w:pPr>
              <w:jc w:val="center"/>
              <w:rPr>
                <w:rFonts w:eastAsia="楷体_GB2312"/>
                <w:color w:val="000000"/>
                <w:kern w:val="0"/>
                <w:szCs w:val="21"/>
              </w:rPr>
            </w:pPr>
            <w:r>
              <w:rPr>
                <w:rFonts w:eastAsia="楷体_GB2312"/>
                <w:color w:val="000000"/>
                <w:kern w:val="0"/>
                <w:szCs w:val="21"/>
              </w:rPr>
              <w:t>200</w:t>
            </w:r>
          </w:p>
        </w:tc>
        <w:tc>
          <w:tcPr>
            <w:tcW w:w="992" w:type="dxa"/>
            <w:noWrap/>
            <w:vAlign w:val="center"/>
          </w:tcPr>
          <w:p w14:paraId="11D3A844">
            <w:pPr>
              <w:jc w:val="center"/>
              <w:rPr>
                <w:rFonts w:eastAsia="楷体_GB2312"/>
                <w:color w:val="000000"/>
                <w:kern w:val="0"/>
                <w:szCs w:val="21"/>
              </w:rPr>
            </w:pPr>
            <w:r>
              <w:rPr>
                <w:rFonts w:eastAsia="楷体_GB2312"/>
                <w:color w:val="000000"/>
                <w:kern w:val="0"/>
                <w:szCs w:val="21"/>
              </w:rPr>
              <w:t>13.33</w:t>
            </w:r>
          </w:p>
        </w:tc>
      </w:tr>
      <w:tr w14:paraId="42FF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266C70AA">
            <w:pPr>
              <w:jc w:val="center"/>
              <w:rPr>
                <w:rFonts w:eastAsia="楷体_GB2312"/>
                <w:color w:val="000000"/>
                <w:kern w:val="0"/>
                <w:szCs w:val="21"/>
              </w:rPr>
            </w:pPr>
          </w:p>
        </w:tc>
        <w:tc>
          <w:tcPr>
            <w:tcW w:w="1276" w:type="dxa"/>
            <w:vMerge w:val="continue"/>
            <w:noWrap/>
            <w:vAlign w:val="center"/>
          </w:tcPr>
          <w:p w14:paraId="25B59716">
            <w:pPr>
              <w:jc w:val="center"/>
              <w:rPr>
                <w:rFonts w:eastAsia="楷体_GB2312"/>
                <w:color w:val="000000"/>
                <w:kern w:val="0"/>
                <w:szCs w:val="21"/>
              </w:rPr>
            </w:pPr>
          </w:p>
        </w:tc>
        <w:tc>
          <w:tcPr>
            <w:tcW w:w="850" w:type="dxa"/>
            <w:noWrap w:val="0"/>
            <w:vAlign w:val="center"/>
          </w:tcPr>
          <w:p w14:paraId="3D8C6C07">
            <w:pPr>
              <w:jc w:val="center"/>
              <w:rPr>
                <w:rFonts w:eastAsia="楷体_GB2312"/>
                <w:color w:val="000000"/>
                <w:kern w:val="0"/>
                <w:szCs w:val="21"/>
              </w:rPr>
            </w:pPr>
            <w:r>
              <w:rPr>
                <w:rFonts w:eastAsia="楷体_GB2312"/>
                <w:color w:val="000000"/>
                <w:kern w:val="0"/>
                <w:szCs w:val="21"/>
              </w:rPr>
              <w:t>2</w:t>
            </w:r>
          </w:p>
        </w:tc>
        <w:tc>
          <w:tcPr>
            <w:tcW w:w="1134" w:type="dxa"/>
            <w:noWrap/>
            <w:vAlign w:val="center"/>
          </w:tcPr>
          <w:p w14:paraId="013C5E3E">
            <w:pPr>
              <w:jc w:val="center"/>
              <w:rPr>
                <w:rFonts w:eastAsia="楷体_GB2312"/>
                <w:color w:val="000000"/>
                <w:kern w:val="0"/>
                <w:szCs w:val="21"/>
              </w:rPr>
            </w:pPr>
            <w:r>
              <w:rPr>
                <w:rFonts w:eastAsia="楷体_GB2312"/>
                <w:color w:val="000000"/>
                <w:kern w:val="0"/>
                <w:szCs w:val="21"/>
              </w:rPr>
              <w:t>405</w:t>
            </w:r>
          </w:p>
        </w:tc>
        <w:tc>
          <w:tcPr>
            <w:tcW w:w="1134" w:type="dxa"/>
            <w:noWrap/>
            <w:vAlign w:val="center"/>
          </w:tcPr>
          <w:p w14:paraId="1925B616">
            <w:pPr>
              <w:jc w:val="center"/>
              <w:rPr>
                <w:rFonts w:eastAsia="楷体_GB2312"/>
                <w:color w:val="000000"/>
                <w:kern w:val="0"/>
                <w:szCs w:val="21"/>
              </w:rPr>
            </w:pPr>
            <w:r>
              <w:rPr>
                <w:rFonts w:eastAsia="楷体_GB2312"/>
                <w:color w:val="000000"/>
                <w:kern w:val="0"/>
                <w:szCs w:val="21"/>
              </w:rPr>
              <w:t>27.00</w:t>
            </w:r>
          </w:p>
        </w:tc>
        <w:tc>
          <w:tcPr>
            <w:tcW w:w="1134" w:type="dxa"/>
            <w:noWrap/>
            <w:vAlign w:val="center"/>
          </w:tcPr>
          <w:p w14:paraId="6A50FE93">
            <w:pPr>
              <w:jc w:val="center"/>
              <w:rPr>
                <w:rFonts w:eastAsia="楷体_GB2312"/>
                <w:color w:val="000000"/>
                <w:kern w:val="0"/>
                <w:szCs w:val="21"/>
              </w:rPr>
            </w:pPr>
            <w:r>
              <w:rPr>
                <w:rFonts w:eastAsia="楷体_GB2312"/>
                <w:color w:val="000000"/>
                <w:kern w:val="0"/>
                <w:szCs w:val="21"/>
              </w:rPr>
              <w:t>280</w:t>
            </w:r>
          </w:p>
        </w:tc>
        <w:tc>
          <w:tcPr>
            <w:tcW w:w="992" w:type="dxa"/>
            <w:noWrap/>
            <w:vAlign w:val="center"/>
          </w:tcPr>
          <w:p w14:paraId="540CF081">
            <w:pPr>
              <w:jc w:val="center"/>
              <w:rPr>
                <w:rFonts w:eastAsia="楷体_GB2312"/>
                <w:color w:val="000000"/>
                <w:kern w:val="0"/>
                <w:szCs w:val="21"/>
              </w:rPr>
            </w:pPr>
            <w:r>
              <w:rPr>
                <w:rFonts w:eastAsia="楷体_GB2312"/>
                <w:color w:val="000000"/>
                <w:kern w:val="0"/>
                <w:szCs w:val="21"/>
              </w:rPr>
              <w:t>18.67</w:t>
            </w:r>
          </w:p>
        </w:tc>
        <w:tc>
          <w:tcPr>
            <w:tcW w:w="1134" w:type="dxa"/>
            <w:noWrap/>
            <w:vAlign w:val="center"/>
          </w:tcPr>
          <w:p w14:paraId="59BB9582">
            <w:pPr>
              <w:jc w:val="center"/>
              <w:rPr>
                <w:rFonts w:eastAsia="楷体_GB2312"/>
                <w:color w:val="000000"/>
                <w:kern w:val="0"/>
                <w:szCs w:val="21"/>
              </w:rPr>
            </w:pPr>
            <w:r>
              <w:rPr>
                <w:rFonts w:eastAsia="楷体_GB2312"/>
                <w:color w:val="000000"/>
                <w:kern w:val="0"/>
                <w:szCs w:val="21"/>
              </w:rPr>
              <w:t>170</w:t>
            </w:r>
          </w:p>
        </w:tc>
        <w:tc>
          <w:tcPr>
            <w:tcW w:w="992" w:type="dxa"/>
            <w:noWrap/>
            <w:vAlign w:val="center"/>
          </w:tcPr>
          <w:p w14:paraId="3EA02CB2">
            <w:pPr>
              <w:jc w:val="center"/>
              <w:rPr>
                <w:rFonts w:eastAsia="楷体_GB2312"/>
                <w:color w:val="000000"/>
                <w:kern w:val="0"/>
                <w:szCs w:val="21"/>
              </w:rPr>
            </w:pPr>
            <w:r>
              <w:rPr>
                <w:rFonts w:eastAsia="楷体_GB2312"/>
                <w:color w:val="000000"/>
                <w:kern w:val="0"/>
                <w:szCs w:val="21"/>
              </w:rPr>
              <w:t>11.33</w:t>
            </w:r>
          </w:p>
        </w:tc>
      </w:tr>
      <w:tr w14:paraId="7349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377F758A">
            <w:pPr>
              <w:jc w:val="center"/>
              <w:rPr>
                <w:rFonts w:eastAsia="楷体_GB2312"/>
                <w:color w:val="000000"/>
                <w:kern w:val="0"/>
                <w:szCs w:val="21"/>
              </w:rPr>
            </w:pPr>
          </w:p>
        </w:tc>
        <w:tc>
          <w:tcPr>
            <w:tcW w:w="1276" w:type="dxa"/>
            <w:vMerge w:val="continue"/>
            <w:noWrap/>
            <w:vAlign w:val="center"/>
          </w:tcPr>
          <w:p w14:paraId="3707E9E0">
            <w:pPr>
              <w:jc w:val="center"/>
              <w:rPr>
                <w:rFonts w:eastAsia="楷体_GB2312"/>
                <w:color w:val="000000"/>
                <w:kern w:val="0"/>
                <w:szCs w:val="21"/>
              </w:rPr>
            </w:pPr>
          </w:p>
        </w:tc>
        <w:tc>
          <w:tcPr>
            <w:tcW w:w="850" w:type="dxa"/>
            <w:noWrap w:val="0"/>
            <w:vAlign w:val="center"/>
          </w:tcPr>
          <w:p w14:paraId="4CEE03B0">
            <w:pPr>
              <w:jc w:val="center"/>
              <w:rPr>
                <w:rFonts w:eastAsia="楷体_GB2312"/>
                <w:color w:val="000000"/>
                <w:kern w:val="0"/>
                <w:szCs w:val="21"/>
              </w:rPr>
            </w:pPr>
            <w:r>
              <w:rPr>
                <w:rFonts w:eastAsia="楷体_GB2312"/>
                <w:color w:val="000000"/>
                <w:kern w:val="0"/>
                <w:szCs w:val="21"/>
              </w:rPr>
              <w:t>3</w:t>
            </w:r>
          </w:p>
        </w:tc>
        <w:tc>
          <w:tcPr>
            <w:tcW w:w="1134" w:type="dxa"/>
            <w:noWrap/>
            <w:vAlign w:val="center"/>
          </w:tcPr>
          <w:p w14:paraId="254E5026">
            <w:pPr>
              <w:jc w:val="center"/>
              <w:rPr>
                <w:rFonts w:eastAsia="楷体_GB2312"/>
                <w:color w:val="000000"/>
                <w:kern w:val="0"/>
                <w:szCs w:val="21"/>
              </w:rPr>
            </w:pPr>
            <w:r>
              <w:rPr>
                <w:rFonts w:eastAsia="楷体_GB2312"/>
                <w:color w:val="000000"/>
                <w:kern w:val="0"/>
                <w:szCs w:val="21"/>
              </w:rPr>
              <w:t>315</w:t>
            </w:r>
          </w:p>
        </w:tc>
        <w:tc>
          <w:tcPr>
            <w:tcW w:w="1134" w:type="dxa"/>
            <w:noWrap/>
            <w:vAlign w:val="center"/>
          </w:tcPr>
          <w:p w14:paraId="6FF52632">
            <w:pPr>
              <w:jc w:val="center"/>
              <w:rPr>
                <w:rFonts w:eastAsia="楷体_GB2312"/>
                <w:color w:val="000000"/>
                <w:kern w:val="0"/>
                <w:szCs w:val="21"/>
              </w:rPr>
            </w:pPr>
            <w:r>
              <w:rPr>
                <w:rFonts w:eastAsia="楷体_GB2312"/>
                <w:color w:val="000000"/>
                <w:kern w:val="0"/>
                <w:szCs w:val="21"/>
              </w:rPr>
              <w:t>21.00</w:t>
            </w:r>
          </w:p>
        </w:tc>
        <w:tc>
          <w:tcPr>
            <w:tcW w:w="1134" w:type="dxa"/>
            <w:noWrap/>
            <w:vAlign w:val="center"/>
          </w:tcPr>
          <w:p w14:paraId="58FF0335">
            <w:pPr>
              <w:jc w:val="center"/>
              <w:rPr>
                <w:rFonts w:eastAsia="楷体_GB2312"/>
                <w:color w:val="000000"/>
                <w:kern w:val="0"/>
                <w:szCs w:val="21"/>
              </w:rPr>
            </w:pPr>
            <w:r>
              <w:rPr>
                <w:rFonts w:eastAsia="楷体_GB2312"/>
                <w:color w:val="000000"/>
                <w:kern w:val="0"/>
                <w:szCs w:val="21"/>
              </w:rPr>
              <w:t>200</w:t>
            </w:r>
          </w:p>
        </w:tc>
        <w:tc>
          <w:tcPr>
            <w:tcW w:w="992" w:type="dxa"/>
            <w:noWrap/>
            <w:vAlign w:val="center"/>
          </w:tcPr>
          <w:p w14:paraId="04E259E1">
            <w:pPr>
              <w:jc w:val="center"/>
              <w:rPr>
                <w:rFonts w:eastAsia="楷体_GB2312"/>
                <w:color w:val="000000"/>
                <w:kern w:val="0"/>
                <w:szCs w:val="21"/>
              </w:rPr>
            </w:pPr>
            <w:r>
              <w:rPr>
                <w:rFonts w:eastAsia="楷体_GB2312"/>
                <w:color w:val="000000"/>
                <w:kern w:val="0"/>
                <w:szCs w:val="21"/>
              </w:rPr>
              <w:t>13.33</w:t>
            </w:r>
          </w:p>
        </w:tc>
        <w:tc>
          <w:tcPr>
            <w:tcW w:w="1134" w:type="dxa"/>
            <w:noWrap/>
            <w:vAlign w:val="center"/>
          </w:tcPr>
          <w:p w14:paraId="28652BA6">
            <w:pPr>
              <w:jc w:val="center"/>
              <w:rPr>
                <w:rFonts w:eastAsia="楷体_GB2312"/>
                <w:color w:val="000000"/>
                <w:kern w:val="0"/>
                <w:szCs w:val="21"/>
              </w:rPr>
            </w:pPr>
            <w:r>
              <w:rPr>
                <w:rFonts w:eastAsia="楷体_GB2312"/>
                <w:color w:val="000000"/>
                <w:kern w:val="0"/>
                <w:szCs w:val="21"/>
              </w:rPr>
              <w:t>144</w:t>
            </w:r>
          </w:p>
        </w:tc>
        <w:tc>
          <w:tcPr>
            <w:tcW w:w="992" w:type="dxa"/>
            <w:noWrap/>
            <w:vAlign w:val="center"/>
          </w:tcPr>
          <w:p w14:paraId="113A889A">
            <w:pPr>
              <w:jc w:val="center"/>
              <w:rPr>
                <w:rFonts w:eastAsia="楷体_GB2312"/>
                <w:color w:val="000000"/>
                <w:kern w:val="0"/>
                <w:szCs w:val="21"/>
              </w:rPr>
            </w:pPr>
            <w:r>
              <w:rPr>
                <w:rFonts w:eastAsia="楷体_GB2312"/>
                <w:color w:val="000000"/>
                <w:kern w:val="0"/>
                <w:szCs w:val="21"/>
              </w:rPr>
              <w:t>9.60</w:t>
            </w:r>
          </w:p>
        </w:tc>
      </w:tr>
      <w:tr w14:paraId="4643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ign w:val="center"/>
          </w:tcPr>
          <w:p w14:paraId="4E1B6749">
            <w:pPr>
              <w:jc w:val="center"/>
              <w:rPr>
                <w:rFonts w:eastAsia="楷体_GB2312"/>
                <w:color w:val="000000"/>
                <w:kern w:val="0"/>
                <w:szCs w:val="21"/>
              </w:rPr>
            </w:pPr>
            <w:r>
              <w:rPr>
                <w:rFonts w:eastAsia="楷体_GB2312"/>
                <w:color w:val="000000"/>
                <w:kern w:val="0"/>
                <w:szCs w:val="21"/>
              </w:rPr>
              <w:t>8</w:t>
            </w:r>
          </w:p>
        </w:tc>
        <w:tc>
          <w:tcPr>
            <w:tcW w:w="1276" w:type="dxa"/>
            <w:vMerge w:val="restart"/>
            <w:noWrap/>
            <w:vAlign w:val="center"/>
          </w:tcPr>
          <w:p w14:paraId="16C9C6DC">
            <w:pPr>
              <w:jc w:val="center"/>
              <w:rPr>
                <w:rFonts w:eastAsia="楷体_GB2312"/>
                <w:color w:val="000000"/>
                <w:kern w:val="0"/>
                <w:szCs w:val="21"/>
              </w:rPr>
            </w:pPr>
            <w:r>
              <w:rPr>
                <w:rFonts w:eastAsia="楷体_GB2312"/>
                <w:color w:val="000000"/>
                <w:kern w:val="0"/>
                <w:szCs w:val="21"/>
              </w:rPr>
              <w:t>夹沟镇</w:t>
            </w:r>
          </w:p>
        </w:tc>
        <w:tc>
          <w:tcPr>
            <w:tcW w:w="850" w:type="dxa"/>
            <w:noWrap w:val="0"/>
            <w:vAlign w:val="center"/>
          </w:tcPr>
          <w:p w14:paraId="0B389DF9">
            <w:pPr>
              <w:jc w:val="center"/>
              <w:rPr>
                <w:rFonts w:eastAsia="楷体_GB2312"/>
                <w:color w:val="000000"/>
                <w:kern w:val="0"/>
                <w:szCs w:val="21"/>
              </w:rPr>
            </w:pPr>
            <w:r>
              <w:rPr>
                <w:rFonts w:eastAsia="楷体_GB2312"/>
                <w:color w:val="000000"/>
                <w:kern w:val="0"/>
                <w:szCs w:val="21"/>
              </w:rPr>
              <w:t>1</w:t>
            </w:r>
          </w:p>
        </w:tc>
        <w:tc>
          <w:tcPr>
            <w:tcW w:w="1134" w:type="dxa"/>
            <w:noWrap/>
            <w:vAlign w:val="center"/>
          </w:tcPr>
          <w:p w14:paraId="65B6BE98">
            <w:pPr>
              <w:jc w:val="center"/>
              <w:rPr>
                <w:rFonts w:eastAsia="楷体_GB2312"/>
                <w:color w:val="000000"/>
                <w:kern w:val="0"/>
                <w:szCs w:val="21"/>
              </w:rPr>
            </w:pPr>
            <w:r>
              <w:rPr>
                <w:rFonts w:eastAsia="楷体_GB2312"/>
                <w:color w:val="000000"/>
                <w:kern w:val="0"/>
                <w:szCs w:val="21"/>
              </w:rPr>
              <w:t>505</w:t>
            </w:r>
          </w:p>
        </w:tc>
        <w:tc>
          <w:tcPr>
            <w:tcW w:w="1134" w:type="dxa"/>
            <w:noWrap/>
            <w:vAlign w:val="center"/>
          </w:tcPr>
          <w:p w14:paraId="50FC0ECB">
            <w:pPr>
              <w:jc w:val="center"/>
              <w:rPr>
                <w:rFonts w:eastAsia="楷体_GB2312"/>
                <w:color w:val="000000"/>
                <w:kern w:val="0"/>
                <w:szCs w:val="21"/>
              </w:rPr>
            </w:pPr>
            <w:r>
              <w:rPr>
                <w:rFonts w:eastAsia="楷体_GB2312"/>
                <w:color w:val="000000"/>
                <w:kern w:val="0"/>
                <w:szCs w:val="21"/>
              </w:rPr>
              <w:t>33.67</w:t>
            </w:r>
          </w:p>
        </w:tc>
        <w:tc>
          <w:tcPr>
            <w:tcW w:w="1134" w:type="dxa"/>
            <w:noWrap/>
            <w:vAlign w:val="center"/>
          </w:tcPr>
          <w:p w14:paraId="04C0565C">
            <w:pPr>
              <w:jc w:val="center"/>
              <w:rPr>
                <w:rFonts w:eastAsia="楷体_GB2312"/>
                <w:color w:val="000000"/>
                <w:kern w:val="0"/>
                <w:szCs w:val="21"/>
              </w:rPr>
            </w:pPr>
            <w:r>
              <w:rPr>
                <w:rFonts w:eastAsia="楷体_GB2312"/>
                <w:color w:val="000000"/>
                <w:kern w:val="0"/>
                <w:szCs w:val="21"/>
              </w:rPr>
              <w:t>380</w:t>
            </w:r>
          </w:p>
        </w:tc>
        <w:tc>
          <w:tcPr>
            <w:tcW w:w="992" w:type="dxa"/>
            <w:noWrap/>
            <w:vAlign w:val="center"/>
          </w:tcPr>
          <w:p w14:paraId="0B62726D">
            <w:pPr>
              <w:jc w:val="center"/>
              <w:rPr>
                <w:rFonts w:eastAsia="楷体_GB2312"/>
                <w:color w:val="000000"/>
                <w:kern w:val="0"/>
                <w:szCs w:val="21"/>
              </w:rPr>
            </w:pPr>
            <w:r>
              <w:rPr>
                <w:rFonts w:eastAsia="楷体_GB2312"/>
                <w:color w:val="000000"/>
                <w:kern w:val="0"/>
                <w:szCs w:val="21"/>
              </w:rPr>
              <w:t>25.33</w:t>
            </w:r>
          </w:p>
        </w:tc>
        <w:tc>
          <w:tcPr>
            <w:tcW w:w="1134" w:type="dxa"/>
            <w:noWrap/>
            <w:vAlign w:val="center"/>
          </w:tcPr>
          <w:p w14:paraId="7D1DA924">
            <w:pPr>
              <w:jc w:val="center"/>
              <w:rPr>
                <w:rFonts w:eastAsia="楷体_GB2312"/>
                <w:color w:val="000000"/>
                <w:kern w:val="0"/>
                <w:szCs w:val="21"/>
              </w:rPr>
            </w:pPr>
            <w:r>
              <w:rPr>
                <w:rFonts w:eastAsia="楷体_GB2312"/>
                <w:color w:val="000000"/>
                <w:kern w:val="0"/>
                <w:szCs w:val="21"/>
              </w:rPr>
              <w:t>170</w:t>
            </w:r>
          </w:p>
        </w:tc>
        <w:tc>
          <w:tcPr>
            <w:tcW w:w="992" w:type="dxa"/>
            <w:noWrap/>
            <w:vAlign w:val="center"/>
          </w:tcPr>
          <w:p w14:paraId="4C26164E">
            <w:pPr>
              <w:jc w:val="center"/>
              <w:rPr>
                <w:rFonts w:eastAsia="楷体_GB2312"/>
                <w:color w:val="000000"/>
                <w:kern w:val="0"/>
                <w:szCs w:val="21"/>
              </w:rPr>
            </w:pPr>
            <w:r>
              <w:rPr>
                <w:rFonts w:eastAsia="楷体_GB2312"/>
                <w:color w:val="000000"/>
                <w:kern w:val="0"/>
                <w:szCs w:val="21"/>
              </w:rPr>
              <w:t>11.33</w:t>
            </w:r>
          </w:p>
        </w:tc>
      </w:tr>
      <w:tr w14:paraId="2E313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1D9A67AF">
            <w:pPr>
              <w:jc w:val="center"/>
              <w:rPr>
                <w:rFonts w:eastAsia="楷体_GB2312"/>
                <w:color w:val="000000"/>
                <w:kern w:val="0"/>
                <w:szCs w:val="21"/>
              </w:rPr>
            </w:pPr>
          </w:p>
        </w:tc>
        <w:tc>
          <w:tcPr>
            <w:tcW w:w="1276" w:type="dxa"/>
            <w:vMerge w:val="continue"/>
            <w:noWrap/>
            <w:vAlign w:val="center"/>
          </w:tcPr>
          <w:p w14:paraId="033A37FA">
            <w:pPr>
              <w:jc w:val="center"/>
              <w:rPr>
                <w:rFonts w:eastAsia="楷体_GB2312"/>
                <w:color w:val="000000"/>
                <w:kern w:val="0"/>
                <w:szCs w:val="21"/>
              </w:rPr>
            </w:pPr>
          </w:p>
        </w:tc>
        <w:tc>
          <w:tcPr>
            <w:tcW w:w="850" w:type="dxa"/>
            <w:noWrap w:val="0"/>
            <w:vAlign w:val="center"/>
          </w:tcPr>
          <w:p w14:paraId="3B5AAD75">
            <w:pPr>
              <w:jc w:val="center"/>
              <w:rPr>
                <w:rFonts w:eastAsia="楷体_GB2312"/>
                <w:color w:val="000000"/>
                <w:kern w:val="0"/>
                <w:szCs w:val="21"/>
              </w:rPr>
            </w:pPr>
            <w:r>
              <w:rPr>
                <w:rFonts w:eastAsia="楷体_GB2312"/>
                <w:color w:val="000000"/>
                <w:kern w:val="0"/>
                <w:szCs w:val="21"/>
              </w:rPr>
              <w:t>2</w:t>
            </w:r>
          </w:p>
        </w:tc>
        <w:tc>
          <w:tcPr>
            <w:tcW w:w="1134" w:type="dxa"/>
            <w:noWrap/>
            <w:vAlign w:val="center"/>
          </w:tcPr>
          <w:p w14:paraId="2EF6A943">
            <w:pPr>
              <w:jc w:val="center"/>
              <w:rPr>
                <w:rFonts w:eastAsia="楷体_GB2312"/>
                <w:color w:val="000000"/>
                <w:kern w:val="0"/>
                <w:szCs w:val="21"/>
              </w:rPr>
            </w:pPr>
            <w:r>
              <w:rPr>
                <w:rFonts w:eastAsia="楷体_GB2312"/>
                <w:color w:val="000000"/>
                <w:kern w:val="0"/>
                <w:szCs w:val="21"/>
              </w:rPr>
              <w:t>395</w:t>
            </w:r>
          </w:p>
        </w:tc>
        <w:tc>
          <w:tcPr>
            <w:tcW w:w="1134" w:type="dxa"/>
            <w:noWrap/>
            <w:vAlign w:val="center"/>
          </w:tcPr>
          <w:p w14:paraId="06B8E567">
            <w:pPr>
              <w:jc w:val="center"/>
              <w:rPr>
                <w:rFonts w:eastAsia="楷体_GB2312"/>
                <w:color w:val="000000"/>
                <w:kern w:val="0"/>
                <w:szCs w:val="21"/>
              </w:rPr>
            </w:pPr>
            <w:r>
              <w:rPr>
                <w:rFonts w:eastAsia="楷体_GB2312"/>
                <w:color w:val="000000"/>
                <w:kern w:val="0"/>
                <w:szCs w:val="21"/>
              </w:rPr>
              <w:t>26.33</w:t>
            </w:r>
          </w:p>
        </w:tc>
        <w:tc>
          <w:tcPr>
            <w:tcW w:w="1134" w:type="dxa"/>
            <w:noWrap/>
            <w:vAlign w:val="center"/>
          </w:tcPr>
          <w:p w14:paraId="00C9B2AA">
            <w:pPr>
              <w:jc w:val="center"/>
              <w:rPr>
                <w:rFonts w:eastAsia="楷体_GB2312"/>
                <w:color w:val="000000"/>
                <w:kern w:val="0"/>
                <w:szCs w:val="21"/>
              </w:rPr>
            </w:pPr>
            <w:r>
              <w:rPr>
                <w:rFonts w:eastAsia="楷体_GB2312"/>
                <w:color w:val="000000"/>
                <w:kern w:val="0"/>
                <w:szCs w:val="21"/>
              </w:rPr>
              <w:t>290</w:t>
            </w:r>
          </w:p>
        </w:tc>
        <w:tc>
          <w:tcPr>
            <w:tcW w:w="992" w:type="dxa"/>
            <w:noWrap/>
            <w:vAlign w:val="center"/>
          </w:tcPr>
          <w:p w14:paraId="27E52529">
            <w:pPr>
              <w:jc w:val="center"/>
              <w:rPr>
                <w:rFonts w:eastAsia="楷体_GB2312"/>
                <w:color w:val="000000"/>
                <w:kern w:val="0"/>
                <w:szCs w:val="21"/>
              </w:rPr>
            </w:pPr>
            <w:r>
              <w:rPr>
                <w:rFonts w:eastAsia="楷体_GB2312"/>
                <w:color w:val="000000"/>
                <w:kern w:val="0"/>
                <w:szCs w:val="21"/>
              </w:rPr>
              <w:t>19.33</w:t>
            </w:r>
          </w:p>
        </w:tc>
        <w:tc>
          <w:tcPr>
            <w:tcW w:w="1134" w:type="dxa"/>
            <w:noWrap/>
            <w:vAlign w:val="center"/>
          </w:tcPr>
          <w:p w14:paraId="465745CE">
            <w:pPr>
              <w:jc w:val="center"/>
              <w:rPr>
                <w:rFonts w:eastAsia="楷体_GB2312"/>
                <w:color w:val="000000"/>
                <w:kern w:val="0"/>
                <w:szCs w:val="21"/>
              </w:rPr>
            </w:pPr>
            <w:r>
              <w:rPr>
                <w:rFonts w:eastAsia="楷体_GB2312"/>
                <w:color w:val="000000"/>
                <w:kern w:val="0"/>
                <w:szCs w:val="21"/>
              </w:rPr>
              <w:t>155</w:t>
            </w:r>
          </w:p>
        </w:tc>
        <w:tc>
          <w:tcPr>
            <w:tcW w:w="992" w:type="dxa"/>
            <w:noWrap/>
            <w:vAlign w:val="center"/>
          </w:tcPr>
          <w:p w14:paraId="7E9D0317">
            <w:pPr>
              <w:jc w:val="center"/>
              <w:rPr>
                <w:rFonts w:eastAsia="楷体_GB2312"/>
                <w:color w:val="000000"/>
                <w:kern w:val="0"/>
                <w:szCs w:val="21"/>
              </w:rPr>
            </w:pPr>
            <w:r>
              <w:rPr>
                <w:rFonts w:eastAsia="楷体_GB2312"/>
                <w:color w:val="000000"/>
                <w:kern w:val="0"/>
                <w:szCs w:val="21"/>
              </w:rPr>
              <w:t>10.33</w:t>
            </w:r>
          </w:p>
        </w:tc>
      </w:tr>
      <w:tr w14:paraId="11352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3CEB2177">
            <w:pPr>
              <w:jc w:val="center"/>
              <w:rPr>
                <w:rFonts w:eastAsia="楷体_GB2312"/>
                <w:color w:val="000000"/>
                <w:kern w:val="0"/>
                <w:szCs w:val="21"/>
              </w:rPr>
            </w:pPr>
          </w:p>
        </w:tc>
        <w:tc>
          <w:tcPr>
            <w:tcW w:w="1276" w:type="dxa"/>
            <w:vMerge w:val="continue"/>
            <w:noWrap/>
            <w:vAlign w:val="center"/>
          </w:tcPr>
          <w:p w14:paraId="510E937C">
            <w:pPr>
              <w:jc w:val="center"/>
              <w:rPr>
                <w:rFonts w:eastAsia="楷体_GB2312"/>
                <w:color w:val="000000"/>
                <w:kern w:val="0"/>
                <w:szCs w:val="21"/>
              </w:rPr>
            </w:pPr>
          </w:p>
        </w:tc>
        <w:tc>
          <w:tcPr>
            <w:tcW w:w="850" w:type="dxa"/>
            <w:noWrap w:val="0"/>
            <w:vAlign w:val="center"/>
          </w:tcPr>
          <w:p w14:paraId="0EFAB649">
            <w:pPr>
              <w:jc w:val="center"/>
              <w:rPr>
                <w:rFonts w:eastAsia="楷体_GB2312"/>
                <w:color w:val="000000"/>
                <w:kern w:val="0"/>
                <w:szCs w:val="21"/>
              </w:rPr>
            </w:pPr>
            <w:r>
              <w:rPr>
                <w:rFonts w:eastAsia="楷体_GB2312"/>
                <w:color w:val="000000"/>
                <w:kern w:val="0"/>
                <w:szCs w:val="21"/>
              </w:rPr>
              <w:t>3</w:t>
            </w:r>
          </w:p>
        </w:tc>
        <w:tc>
          <w:tcPr>
            <w:tcW w:w="1134" w:type="dxa"/>
            <w:noWrap/>
            <w:vAlign w:val="center"/>
          </w:tcPr>
          <w:p w14:paraId="22BD0EC1">
            <w:pPr>
              <w:jc w:val="center"/>
              <w:rPr>
                <w:rFonts w:eastAsia="楷体_GB2312"/>
                <w:color w:val="000000"/>
                <w:kern w:val="0"/>
                <w:szCs w:val="21"/>
              </w:rPr>
            </w:pPr>
            <w:r>
              <w:rPr>
                <w:rFonts w:eastAsia="楷体_GB2312"/>
                <w:color w:val="000000"/>
                <w:kern w:val="0"/>
                <w:szCs w:val="21"/>
              </w:rPr>
              <w:t>315</w:t>
            </w:r>
          </w:p>
        </w:tc>
        <w:tc>
          <w:tcPr>
            <w:tcW w:w="1134" w:type="dxa"/>
            <w:noWrap/>
            <w:vAlign w:val="center"/>
          </w:tcPr>
          <w:p w14:paraId="7725551C">
            <w:pPr>
              <w:jc w:val="center"/>
              <w:rPr>
                <w:rFonts w:eastAsia="楷体_GB2312"/>
                <w:color w:val="000000"/>
                <w:kern w:val="0"/>
                <w:szCs w:val="21"/>
              </w:rPr>
            </w:pPr>
            <w:r>
              <w:rPr>
                <w:rFonts w:eastAsia="楷体_GB2312"/>
                <w:color w:val="000000"/>
                <w:kern w:val="0"/>
                <w:szCs w:val="21"/>
              </w:rPr>
              <w:t>21.00</w:t>
            </w:r>
          </w:p>
        </w:tc>
        <w:tc>
          <w:tcPr>
            <w:tcW w:w="1134" w:type="dxa"/>
            <w:noWrap/>
            <w:vAlign w:val="center"/>
          </w:tcPr>
          <w:p w14:paraId="56A45B99">
            <w:pPr>
              <w:jc w:val="center"/>
              <w:rPr>
                <w:rFonts w:eastAsia="楷体_GB2312"/>
                <w:color w:val="000000"/>
                <w:kern w:val="0"/>
                <w:szCs w:val="21"/>
              </w:rPr>
            </w:pPr>
            <w:r>
              <w:rPr>
                <w:rFonts w:eastAsia="楷体_GB2312"/>
                <w:color w:val="000000"/>
                <w:kern w:val="0"/>
                <w:szCs w:val="21"/>
              </w:rPr>
              <w:t>220</w:t>
            </w:r>
          </w:p>
        </w:tc>
        <w:tc>
          <w:tcPr>
            <w:tcW w:w="992" w:type="dxa"/>
            <w:noWrap/>
            <w:vAlign w:val="center"/>
          </w:tcPr>
          <w:p w14:paraId="523E1123">
            <w:pPr>
              <w:jc w:val="center"/>
              <w:rPr>
                <w:rFonts w:eastAsia="楷体_GB2312"/>
                <w:color w:val="000000"/>
                <w:kern w:val="0"/>
                <w:szCs w:val="21"/>
              </w:rPr>
            </w:pPr>
            <w:r>
              <w:rPr>
                <w:rFonts w:eastAsia="楷体_GB2312"/>
                <w:color w:val="000000"/>
                <w:kern w:val="0"/>
                <w:szCs w:val="21"/>
              </w:rPr>
              <w:t>14.67</w:t>
            </w:r>
          </w:p>
        </w:tc>
        <w:tc>
          <w:tcPr>
            <w:tcW w:w="1134" w:type="dxa"/>
            <w:noWrap/>
            <w:vAlign w:val="center"/>
          </w:tcPr>
          <w:p w14:paraId="46DA7EFB">
            <w:pPr>
              <w:jc w:val="center"/>
              <w:rPr>
                <w:rFonts w:eastAsia="楷体_GB2312"/>
                <w:color w:val="000000"/>
                <w:kern w:val="0"/>
                <w:szCs w:val="21"/>
              </w:rPr>
            </w:pPr>
            <w:r>
              <w:rPr>
                <w:rFonts w:eastAsia="楷体_GB2312"/>
                <w:color w:val="000000"/>
                <w:kern w:val="0"/>
                <w:szCs w:val="21"/>
              </w:rPr>
              <w:t>144</w:t>
            </w:r>
          </w:p>
        </w:tc>
        <w:tc>
          <w:tcPr>
            <w:tcW w:w="992" w:type="dxa"/>
            <w:noWrap/>
            <w:vAlign w:val="center"/>
          </w:tcPr>
          <w:p w14:paraId="1914D2C5">
            <w:pPr>
              <w:jc w:val="center"/>
              <w:rPr>
                <w:rFonts w:eastAsia="楷体_GB2312"/>
                <w:color w:val="000000"/>
                <w:kern w:val="0"/>
                <w:szCs w:val="21"/>
              </w:rPr>
            </w:pPr>
            <w:r>
              <w:rPr>
                <w:rFonts w:eastAsia="楷体_GB2312"/>
                <w:color w:val="000000"/>
                <w:kern w:val="0"/>
                <w:szCs w:val="21"/>
              </w:rPr>
              <w:t>9.60</w:t>
            </w:r>
          </w:p>
        </w:tc>
      </w:tr>
      <w:tr w14:paraId="425A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ign w:val="center"/>
          </w:tcPr>
          <w:p w14:paraId="09C6352D">
            <w:pPr>
              <w:jc w:val="center"/>
              <w:rPr>
                <w:rFonts w:eastAsia="楷体_GB2312"/>
                <w:color w:val="000000"/>
                <w:kern w:val="0"/>
                <w:szCs w:val="21"/>
              </w:rPr>
            </w:pPr>
            <w:r>
              <w:rPr>
                <w:rFonts w:eastAsia="楷体_GB2312"/>
                <w:color w:val="000000"/>
                <w:kern w:val="0"/>
                <w:szCs w:val="21"/>
              </w:rPr>
              <w:t>9</w:t>
            </w:r>
          </w:p>
        </w:tc>
        <w:tc>
          <w:tcPr>
            <w:tcW w:w="1276" w:type="dxa"/>
            <w:vMerge w:val="restart"/>
            <w:noWrap/>
            <w:vAlign w:val="center"/>
          </w:tcPr>
          <w:p w14:paraId="3B44390C">
            <w:pPr>
              <w:jc w:val="center"/>
              <w:rPr>
                <w:rFonts w:eastAsia="楷体_GB2312"/>
                <w:color w:val="000000"/>
                <w:kern w:val="0"/>
                <w:szCs w:val="21"/>
              </w:rPr>
            </w:pPr>
            <w:r>
              <w:rPr>
                <w:rFonts w:eastAsia="楷体_GB2312"/>
                <w:color w:val="000000"/>
                <w:kern w:val="0"/>
                <w:szCs w:val="21"/>
              </w:rPr>
              <w:t>西二铺</w:t>
            </w:r>
            <w:r>
              <w:rPr>
                <w:rFonts w:hint="eastAsia" w:eastAsia="楷体_GB2312"/>
                <w:color w:val="000000"/>
                <w:kern w:val="0"/>
                <w:szCs w:val="21"/>
              </w:rPr>
              <w:t>乡</w:t>
            </w:r>
          </w:p>
        </w:tc>
        <w:tc>
          <w:tcPr>
            <w:tcW w:w="850" w:type="dxa"/>
            <w:noWrap w:val="0"/>
            <w:vAlign w:val="center"/>
          </w:tcPr>
          <w:p w14:paraId="46E7DC9C">
            <w:pPr>
              <w:jc w:val="center"/>
              <w:rPr>
                <w:rFonts w:eastAsia="楷体_GB2312"/>
                <w:color w:val="000000"/>
                <w:kern w:val="0"/>
                <w:szCs w:val="21"/>
              </w:rPr>
            </w:pPr>
            <w:r>
              <w:rPr>
                <w:rFonts w:eastAsia="楷体_GB2312"/>
                <w:color w:val="000000"/>
                <w:kern w:val="0"/>
                <w:szCs w:val="21"/>
              </w:rPr>
              <w:t>1</w:t>
            </w:r>
          </w:p>
        </w:tc>
        <w:tc>
          <w:tcPr>
            <w:tcW w:w="1134" w:type="dxa"/>
            <w:noWrap/>
            <w:vAlign w:val="center"/>
          </w:tcPr>
          <w:p w14:paraId="29E1D2FE">
            <w:pPr>
              <w:jc w:val="center"/>
              <w:rPr>
                <w:rFonts w:eastAsia="楷体_GB2312"/>
                <w:color w:val="000000"/>
                <w:kern w:val="0"/>
                <w:szCs w:val="21"/>
              </w:rPr>
            </w:pPr>
            <w:r>
              <w:rPr>
                <w:rFonts w:eastAsia="楷体_GB2312"/>
                <w:color w:val="000000"/>
                <w:kern w:val="0"/>
                <w:szCs w:val="21"/>
              </w:rPr>
              <w:t>500</w:t>
            </w:r>
          </w:p>
        </w:tc>
        <w:tc>
          <w:tcPr>
            <w:tcW w:w="1134" w:type="dxa"/>
            <w:noWrap/>
            <w:vAlign w:val="center"/>
          </w:tcPr>
          <w:p w14:paraId="21BDF157">
            <w:pPr>
              <w:jc w:val="center"/>
              <w:rPr>
                <w:rFonts w:eastAsia="楷体_GB2312"/>
                <w:color w:val="000000"/>
                <w:kern w:val="0"/>
                <w:szCs w:val="21"/>
              </w:rPr>
            </w:pPr>
            <w:r>
              <w:rPr>
                <w:rFonts w:eastAsia="楷体_GB2312"/>
                <w:color w:val="000000"/>
                <w:kern w:val="0"/>
                <w:szCs w:val="21"/>
              </w:rPr>
              <w:t>33.33</w:t>
            </w:r>
          </w:p>
        </w:tc>
        <w:tc>
          <w:tcPr>
            <w:tcW w:w="1134" w:type="dxa"/>
            <w:noWrap/>
            <w:vAlign w:val="center"/>
          </w:tcPr>
          <w:p w14:paraId="6E6E2D1F">
            <w:pPr>
              <w:jc w:val="center"/>
              <w:rPr>
                <w:rFonts w:eastAsia="楷体_GB2312"/>
                <w:color w:val="000000"/>
                <w:kern w:val="0"/>
                <w:szCs w:val="21"/>
              </w:rPr>
            </w:pPr>
            <w:r>
              <w:rPr>
                <w:rFonts w:eastAsia="楷体_GB2312"/>
                <w:color w:val="000000"/>
                <w:kern w:val="0"/>
                <w:szCs w:val="21"/>
              </w:rPr>
              <w:t>375</w:t>
            </w:r>
          </w:p>
        </w:tc>
        <w:tc>
          <w:tcPr>
            <w:tcW w:w="992" w:type="dxa"/>
            <w:noWrap/>
            <w:vAlign w:val="center"/>
          </w:tcPr>
          <w:p w14:paraId="162F1EBC">
            <w:pPr>
              <w:jc w:val="center"/>
              <w:rPr>
                <w:rFonts w:eastAsia="楷体_GB2312"/>
                <w:color w:val="000000"/>
                <w:kern w:val="0"/>
                <w:szCs w:val="21"/>
              </w:rPr>
            </w:pPr>
            <w:r>
              <w:rPr>
                <w:rFonts w:eastAsia="楷体_GB2312"/>
                <w:color w:val="000000"/>
                <w:kern w:val="0"/>
                <w:szCs w:val="21"/>
              </w:rPr>
              <w:t>25.00</w:t>
            </w:r>
          </w:p>
        </w:tc>
        <w:tc>
          <w:tcPr>
            <w:tcW w:w="1134" w:type="dxa"/>
            <w:noWrap/>
            <w:vAlign w:val="center"/>
          </w:tcPr>
          <w:p w14:paraId="67D4F3D1">
            <w:pPr>
              <w:jc w:val="center"/>
              <w:rPr>
                <w:rFonts w:eastAsia="楷体_GB2312"/>
                <w:color w:val="000000"/>
                <w:kern w:val="0"/>
                <w:szCs w:val="21"/>
              </w:rPr>
            </w:pPr>
            <w:r>
              <w:rPr>
                <w:rFonts w:eastAsia="楷体_GB2312"/>
                <w:color w:val="000000"/>
                <w:kern w:val="0"/>
                <w:szCs w:val="21"/>
              </w:rPr>
              <w:t>170</w:t>
            </w:r>
          </w:p>
        </w:tc>
        <w:tc>
          <w:tcPr>
            <w:tcW w:w="992" w:type="dxa"/>
            <w:noWrap/>
            <w:vAlign w:val="center"/>
          </w:tcPr>
          <w:p w14:paraId="642B6760">
            <w:pPr>
              <w:jc w:val="center"/>
              <w:rPr>
                <w:rFonts w:eastAsia="楷体_GB2312"/>
                <w:color w:val="000000"/>
                <w:kern w:val="0"/>
                <w:szCs w:val="21"/>
              </w:rPr>
            </w:pPr>
            <w:r>
              <w:rPr>
                <w:rFonts w:eastAsia="楷体_GB2312"/>
                <w:color w:val="000000"/>
                <w:kern w:val="0"/>
                <w:szCs w:val="21"/>
              </w:rPr>
              <w:t>11.33</w:t>
            </w:r>
          </w:p>
        </w:tc>
      </w:tr>
      <w:tr w14:paraId="7ADD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23D35481">
            <w:pPr>
              <w:jc w:val="center"/>
              <w:rPr>
                <w:rFonts w:eastAsia="楷体_GB2312"/>
                <w:color w:val="000000"/>
                <w:kern w:val="0"/>
                <w:szCs w:val="21"/>
              </w:rPr>
            </w:pPr>
          </w:p>
        </w:tc>
        <w:tc>
          <w:tcPr>
            <w:tcW w:w="1276" w:type="dxa"/>
            <w:vMerge w:val="continue"/>
            <w:noWrap/>
            <w:vAlign w:val="center"/>
          </w:tcPr>
          <w:p w14:paraId="0BDE0567">
            <w:pPr>
              <w:jc w:val="center"/>
              <w:rPr>
                <w:rFonts w:eastAsia="楷体_GB2312"/>
                <w:color w:val="000000"/>
                <w:kern w:val="0"/>
                <w:szCs w:val="21"/>
              </w:rPr>
            </w:pPr>
          </w:p>
        </w:tc>
        <w:tc>
          <w:tcPr>
            <w:tcW w:w="850" w:type="dxa"/>
            <w:noWrap w:val="0"/>
            <w:vAlign w:val="center"/>
          </w:tcPr>
          <w:p w14:paraId="2E72A4AC">
            <w:pPr>
              <w:jc w:val="center"/>
              <w:rPr>
                <w:rFonts w:eastAsia="楷体_GB2312"/>
                <w:color w:val="000000"/>
                <w:kern w:val="0"/>
                <w:szCs w:val="21"/>
              </w:rPr>
            </w:pPr>
            <w:r>
              <w:rPr>
                <w:rFonts w:eastAsia="楷体_GB2312"/>
                <w:color w:val="000000"/>
                <w:kern w:val="0"/>
                <w:szCs w:val="21"/>
              </w:rPr>
              <w:t>2</w:t>
            </w:r>
          </w:p>
        </w:tc>
        <w:tc>
          <w:tcPr>
            <w:tcW w:w="1134" w:type="dxa"/>
            <w:noWrap/>
            <w:vAlign w:val="center"/>
          </w:tcPr>
          <w:p w14:paraId="227BC0B4">
            <w:pPr>
              <w:jc w:val="center"/>
              <w:rPr>
                <w:rFonts w:eastAsia="楷体_GB2312"/>
                <w:color w:val="000000"/>
                <w:kern w:val="0"/>
                <w:szCs w:val="21"/>
              </w:rPr>
            </w:pPr>
            <w:r>
              <w:rPr>
                <w:rFonts w:eastAsia="楷体_GB2312"/>
                <w:color w:val="000000"/>
                <w:kern w:val="0"/>
                <w:szCs w:val="21"/>
              </w:rPr>
              <w:t>395</w:t>
            </w:r>
          </w:p>
        </w:tc>
        <w:tc>
          <w:tcPr>
            <w:tcW w:w="1134" w:type="dxa"/>
            <w:noWrap/>
            <w:vAlign w:val="center"/>
          </w:tcPr>
          <w:p w14:paraId="20DC439B">
            <w:pPr>
              <w:jc w:val="center"/>
              <w:rPr>
                <w:rFonts w:eastAsia="楷体_GB2312"/>
                <w:color w:val="000000"/>
                <w:kern w:val="0"/>
                <w:szCs w:val="21"/>
              </w:rPr>
            </w:pPr>
            <w:r>
              <w:rPr>
                <w:rFonts w:eastAsia="楷体_GB2312"/>
                <w:color w:val="000000"/>
                <w:kern w:val="0"/>
                <w:szCs w:val="21"/>
              </w:rPr>
              <w:t>26.33</w:t>
            </w:r>
          </w:p>
        </w:tc>
        <w:tc>
          <w:tcPr>
            <w:tcW w:w="1134" w:type="dxa"/>
            <w:noWrap/>
            <w:vAlign w:val="center"/>
          </w:tcPr>
          <w:p w14:paraId="266A1EE0">
            <w:pPr>
              <w:jc w:val="center"/>
              <w:rPr>
                <w:rFonts w:eastAsia="楷体_GB2312"/>
                <w:color w:val="000000"/>
                <w:kern w:val="0"/>
                <w:szCs w:val="21"/>
              </w:rPr>
            </w:pPr>
            <w:r>
              <w:rPr>
                <w:rFonts w:eastAsia="楷体_GB2312"/>
                <w:color w:val="000000"/>
                <w:kern w:val="0"/>
                <w:szCs w:val="21"/>
              </w:rPr>
              <w:t>285</w:t>
            </w:r>
          </w:p>
        </w:tc>
        <w:tc>
          <w:tcPr>
            <w:tcW w:w="992" w:type="dxa"/>
            <w:noWrap/>
            <w:vAlign w:val="center"/>
          </w:tcPr>
          <w:p w14:paraId="54B3F450">
            <w:pPr>
              <w:jc w:val="center"/>
              <w:rPr>
                <w:rFonts w:eastAsia="楷体_GB2312"/>
                <w:color w:val="000000"/>
                <w:kern w:val="0"/>
                <w:szCs w:val="21"/>
              </w:rPr>
            </w:pPr>
            <w:r>
              <w:rPr>
                <w:rFonts w:eastAsia="楷体_GB2312"/>
                <w:color w:val="000000"/>
                <w:kern w:val="0"/>
                <w:szCs w:val="21"/>
              </w:rPr>
              <w:t>19.00</w:t>
            </w:r>
          </w:p>
        </w:tc>
        <w:tc>
          <w:tcPr>
            <w:tcW w:w="1134" w:type="dxa"/>
            <w:noWrap/>
            <w:vAlign w:val="center"/>
          </w:tcPr>
          <w:p w14:paraId="1BCCFCF3">
            <w:pPr>
              <w:jc w:val="center"/>
              <w:rPr>
                <w:rFonts w:eastAsia="楷体_GB2312"/>
                <w:color w:val="000000"/>
                <w:kern w:val="0"/>
                <w:szCs w:val="21"/>
              </w:rPr>
            </w:pPr>
            <w:r>
              <w:rPr>
                <w:rFonts w:eastAsia="楷体_GB2312"/>
                <w:color w:val="000000"/>
                <w:kern w:val="0"/>
                <w:szCs w:val="21"/>
              </w:rPr>
              <w:t>155</w:t>
            </w:r>
          </w:p>
        </w:tc>
        <w:tc>
          <w:tcPr>
            <w:tcW w:w="992" w:type="dxa"/>
            <w:noWrap/>
            <w:vAlign w:val="center"/>
          </w:tcPr>
          <w:p w14:paraId="3313AA8C">
            <w:pPr>
              <w:jc w:val="center"/>
              <w:rPr>
                <w:rFonts w:eastAsia="楷体_GB2312"/>
                <w:color w:val="000000"/>
                <w:kern w:val="0"/>
                <w:szCs w:val="21"/>
              </w:rPr>
            </w:pPr>
            <w:r>
              <w:rPr>
                <w:rFonts w:eastAsia="楷体_GB2312"/>
                <w:color w:val="000000"/>
                <w:kern w:val="0"/>
                <w:szCs w:val="21"/>
              </w:rPr>
              <w:t>10.33</w:t>
            </w:r>
          </w:p>
        </w:tc>
      </w:tr>
      <w:tr w14:paraId="62F7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03D85AEE">
            <w:pPr>
              <w:jc w:val="center"/>
              <w:rPr>
                <w:rFonts w:eastAsia="楷体_GB2312"/>
                <w:color w:val="000000"/>
                <w:kern w:val="0"/>
                <w:szCs w:val="21"/>
              </w:rPr>
            </w:pPr>
          </w:p>
        </w:tc>
        <w:tc>
          <w:tcPr>
            <w:tcW w:w="1276" w:type="dxa"/>
            <w:vMerge w:val="continue"/>
            <w:noWrap/>
            <w:vAlign w:val="center"/>
          </w:tcPr>
          <w:p w14:paraId="3521E249">
            <w:pPr>
              <w:jc w:val="center"/>
              <w:rPr>
                <w:rFonts w:eastAsia="楷体_GB2312"/>
                <w:color w:val="000000"/>
                <w:kern w:val="0"/>
                <w:szCs w:val="21"/>
              </w:rPr>
            </w:pPr>
          </w:p>
        </w:tc>
        <w:tc>
          <w:tcPr>
            <w:tcW w:w="850" w:type="dxa"/>
            <w:noWrap w:val="0"/>
            <w:vAlign w:val="center"/>
          </w:tcPr>
          <w:p w14:paraId="7283DCFD">
            <w:pPr>
              <w:jc w:val="center"/>
              <w:rPr>
                <w:rFonts w:eastAsia="楷体_GB2312"/>
                <w:color w:val="000000"/>
                <w:kern w:val="0"/>
                <w:szCs w:val="21"/>
              </w:rPr>
            </w:pPr>
            <w:r>
              <w:rPr>
                <w:rFonts w:eastAsia="楷体_GB2312"/>
                <w:color w:val="000000"/>
                <w:kern w:val="0"/>
                <w:szCs w:val="21"/>
              </w:rPr>
              <w:t>3</w:t>
            </w:r>
          </w:p>
        </w:tc>
        <w:tc>
          <w:tcPr>
            <w:tcW w:w="1134" w:type="dxa"/>
            <w:noWrap/>
            <w:vAlign w:val="center"/>
          </w:tcPr>
          <w:p w14:paraId="445B110F">
            <w:pPr>
              <w:jc w:val="center"/>
              <w:rPr>
                <w:rFonts w:eastAsia="楷体_GB2312"/>
                <w:color w:val="000000"/>
                <w:kern w:val="0"/>
                <w:szCs w:val="21"/>
              </w:rPr>
            </w:pPr>
            <w:r>
              <w:rPr>
                <w:rFonts w:eastAsia="楷体_GB2312"/>
                <w:color w:val="000000"/>
                <w:kern w:val="0"/>
                <w:szCs w:val="21"/>
              </w:rPr>
              <w:t>310</w:t>
            </w:r>
          </w:p>
        </w:tc>
        <w:tc>
          <w:tcPr>
            <w:tcW w:w="1134" w:type="dxa"/>
            <w:noWrap/>
            <w:vAlign w:val="center"/>
          </w:tcPr>
          <w:p w14:paraId="6B58662A">
            <w:pPr>
              <w:jc w:val="center"/>
              <w:rPr>
                <w:rFonts w:eastAsia="楷体_GB2312"/>
                <w:color w:val="000000"/>
                <w:kern w:val="0"/>
                <w:szCs w:val="21"/>
              </w:rPr>
            </w:pPr>
            <w:r>
              <w:rPr>
                <w:rFonts w:eastAsia="楷体_GB2312"/>
                <w:color w:val="000000"/>
                <w:kern w:val="0"/>
                <w:szCs w:val="21"/>
              </w:rPr>
              <w:t>20.67</w:t>
            </w:r>
          </w:p>
        </w:tc>
        <w:tc>
          <w:tcPr>
            <w:tcW w:w="1134" w:type="dxa"/>
            <w:noWrap/>
            <w:vAlign w:val="center"/>
          </w:tcPr>
          <w:p w14:paraId="53E937DE">
            <w:pPr>
              <w:jc w:val="center"/>
              <w:rPr>
                <w:rFonts w:eastAsia="楷体_GB2312"/>
                <w:color w:val="000000"/>
                <w:kern w:val="0"/>
                <w:szCs w:val="21"/>
              </w:rPr>
            </w:pPr>
            <w:r>
              <w:rPr>
                <w:rFonts w:eastAsia="楷体_GB2312"/>
                <w:color w:val="000000"/>
                <w:kern w:val="0"/>
                <w:szCs w:val="21"/>
              </w:rPr>
              <w:t>215</w:t>
            </w:r>
          </w:p>
        </w:tc>
        <w:tc>
          <w:tcPr>
            <w:tcW w:w="992" w:type="dxa"/>
            <w:noWrap/>
            <w:vAlign w:val="center"/>
          </w:tcPr>
          <w:p w14:paraId="4C40757A">
            <w:pPr>
              <w:jc w:val="center"/>
              <w:rPr>
                <w:rFonts w:eastAsia="楷体_GB2312"/>
                <w:color w:val="000000"/>
                <w:kern w:val="0"/>
                <w:szCs w:val="21"/>
              </w:rPr>
            </w:pPr>
            <w:r>
              <w:rPr>
                <w:rFonts w:eastAsia="楷体_GB2312"/>
                <w:color w:val="000000"/>
                <w:kern w:val="0"/>
                <w:szCs w:val="21"/>
              </w:rPr>
              <w:t>14.33</w:t>
            </w:r>
          </w:p>
        </w:tc>
        <w:tc>
          <w:tcPr>
            <w:tcW w:w="1134" w:type="dxa"/>
            <w:noWrap/>
            <w:vAlign w:val="center"/>
          </w:tcPr>
          <w:p w14:paraId="3A7ABBE4">
            <w:pPr>
              <w:jc w:val="center"/>
              <w:rPr>
                <w:rFonts w:eastAsia="楷体_GB2312"/>
                <w:color w:val="000000"/>
                <w:kern w:val="0"/>
                <w:szCs w:val="21"/>
              </w:rPr>
            </w:pPr>
            <w:r>
              <w:rPr>
                <w:rFonts w:eastAsia="楷体_GB2312"/>
                <w:color w:val="000000"/>
                <w:kern w:val="0"/>
                <w:szCs w:val="21"/>
              </w:rPr>
              <w:t>144</w:t>
            </w:r>
          </w:p>
        </w:tc>
        <w:tc>
          <w:tcPr>
            <w:tcW w:w="992" w:type="dxa"/>
            <w:noWrap/>
            <w:vAlign w:val="center"/>
          </w:tcPr>
          <w:p w14:paraId="2BF3F1BC">
            <w:pPr>
              <w:jc w:val="center"/>
              <w:rPr>
                <w:rFonts w:eastAsia="楷体_GB2312"/>
                <w:color w:val="000000"/>
                <w:kern w:val="0"/>
                <w:szCs w:val="21"/>
              </w:rPr>
            </w:pPr>
            <w:r>
              <w:rPr>
                <w:rFonts w:eastAsia="楷体_GB2312"/>
                <w:color w:val="000000"/>
                <w:kern w:val="0"/>
                <w:szCs w:val="21"/>
              </w:rPr>
              <w:t>9.60</w:t>
            </w:r>
          </w:p>
        </w:tc>
      </w:tr>
      <w:tr w14:paraId="089ED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ign w:val="center"/>
          </w:tcPr>
          <w:p w14:paraId="0C9F5AEB">
            <w:pPr>
              <w:jc w:val="center"/>
              <w:rPr>
                <w:rFonts w:eastAsia="楷体_GB2312"/>
                <w:color w:val="000000"/>
                <w:kern w:val="0"/>
                <w:szCs w:val="21"/>
              </w:rPr>
            </w:pPr>
            <w:r>
              <w:rPr>
                <w:rFonts w:eastAsia="楷体_GB2312"/>
                <w:color w:val="000000"/>
                <w:kern w:val="0"/>
                <w:szCs w:val="21"/>
              </w:rPr>
              <w:t>10</w:t>
            </w:r>
          </w:p>
        </w:tc>
        <w:tc>
          <w:tcPr>
            <w:tcW w:w="1276" w:type="dxa"/>
            <w:vMerge w:val="restart"/>
            <w:noWrap/>
            <w:vAlign w:val="center"/>
          </w:tcPr>
          <w:p w14:paraId="32148B1B">
            <w:pPr>
              <w:jc w:val="center"/>
              <w:rPr>
                <w:rFonts w:eastAsia="楷体_GB2312"/>
                <w:color w:val="000000"/>
                <w:kern w:val="0"/>
                <w:szCs w:val="21"/>
              </w:rPr>
            </w:pPr>
            <w:r>
              <w:rPr>
                <w:rFonts w:eastAsia="楷体_GB2312"/>
                <w:color w:val="000000"/>
                <w:kern w:val="0"/>
                <w:szCs w:val="21"/>
              </w:rPr>
              <w:t>桃园镇</w:t>
            </w:r>
          </w:p>
        </w:tc>
        <w:tc>
          <w:tcPr>
            <w:tcW w:w="850" w:type="dxa"/>
            <w:noWrap w:val="0"/>
            <w:vAlign w:val="center"/>
          </w:tcPr>
          <w:p w14:paraId="68D3DB4C">
            <w:pPr>
              <w:jc w:val="center"/>
              <w:rPr>
                <w:rFonts w:eastAsia="楷体_GB2312"/>
                <w:color w:val="000000"/>
                <w:kern w:val="0"/>
                <w:szCs w:val="21"/>
              </w:rPr>
            </w:pPr>
            <w:r>
              <w:rPr>
                <w:rFonts w:eastAsia="楷体_GB2312"/>
                <w:color w:val="000000"/>
                <w:kern w:val="0"/>
                <w:szCs w:val="21"/>
              </w:rPr>
              <w:t>1</w:t>
            </w:r>
          </w:p>
        </w:tc>
        <w:tc>
          <w:tcPr>
            <w:tcW w:w="1134" w:type="dxa"/>
            <w:noWrap/>
            <w:vAlign w:val="center"/>
          </w:tcPr>
          <w:p w14:paraId="2A0A6AA3">
            <w:pPr>
              <w:jc w:val="center"/>
              <w:rPr>
                <w:rFonts w:eastAsia="楷体_GB2312"/>
                <w:color w:val="000000"/>
                <w:kern w:val="0"/>
                <w:szCs w:val="21"/>
              </w:rPr>
            </w:pPr>
            <w:r>
              <w:rPr>
                <w:rFonts w:eastAsia="楷体_GB2312"/>
                <w:color w:val="000000"/>
                <w:kern w:val="0"/>
                <w:szCs w:val="21"/>
              </w:rPr>
              <w:t>490</w:t>
            </w:r>
          </w:p>
        </w:tc>
        <w:tc>
          <w:tcPr>
            <w:tcW w:w="1134" w:type="dxa"/>
            <w:noWrap/>
            <w:vAlign w:val="center"/>
          </w:tcPr>
          <w:p w14:paraId="0CB6DD60">
            <w:pPr>
              <w:jc w:val="center"/>
              <w:rPr>
                <w:rFonts w:eastAsia="楷体_GB2312"/>
                <w:color w:val="000000"/>
                <w:kern w:val="0"/>
                <w:szCs w:val="21"/>
              </w:rPr>
            </w:pPr>
            <w:r>
              <w:rPr>
                <w:rFonts w:eastAsia="楷体_GB2312"/>
                <w:color w:val="000000"/>
                <w:kern w:val="0"/>
                <w:szCs w:val="21"/>
              </w:rPr>
              <w:t>32.67</w:t>
            </w:r>
          </w:p>
        </w:tc>
        <w:tc>
          <w:tcPr>
            <w:tcW w:w="1134" w:type="dxa"/>
            <w:noWrap/>
            <w:vAlign w:val="center"/>
          </w:tcPr>
          <w:p w14:paraId="62FFF89A">
            <w:pPr>
              <w:jc w:val="center"/>
              <w:rPr>
                <w:rFonts w:eastAsia="楷体_GB2312"/>
                <w:color w:val="000000"/>
                <w:kern w:val="0"/>
                <w:szCs w:val="21"/>
              </w:rPr>
            </w:pPr>
            <w:r>
              <w:rPr>
                <w:rFonts w:eastAsia="楷体_GB2312"/>
                <w:color w:val="000000"/>
                <w:kern w:val="0"/>
                <w:szCs w:val="21"/>
              </w:rPr>
              <w:t>365</w:t>
            </w:r>
          </w:p>
        </w:tc>
        <w:tc>
          <w:tcPr>
            <w:tcW w:w="992" w:type="dxa"/>
            <w:noWrap/>
            <w:vAlign w:val="center"/>
          </w:tcPr>
          <w:p w14:paraId="1C0401F8">
            <w:pPr>
              <w:jc w:val="center"/>
              <w:rPr>
                <w:rFonts w:eastAsia="楷体_GB2312"/>
                <w:color w:val="000000"/>
                <w:kern w:val="0"/>
                <w:szCs w:val="21"/>
              </w:rPr>
            </w:pPr>
            <w:r>
              <w:rPr>
                <w:rFonts w:eastAsia="楷体_GB2312"/>
                <w:color w:val="000000"/>
                <w:kern w:val="0"/>
                <w:szCs w:val="21"/>
              </w:rPr>
              <w:t>24.33</w:t>
            </w:r>
          </w:p>
        </w:tc>
        <w:tc>
          <w:tcPr>
            <w:tcW w:w="1134" w:type="dxa"/>
            <w:noWrap/>
            <w:vAlign w:val="center"/>
          </w:tcPr>
          <w:p w14:paraId="5D5CE7CB">
            <w:pPr>
              <w:jc w:val="center"/>
              <w:rPr>
                <w:rFonts w:eastAsia="楷体_GB2312"/>
                <w:color w:val="000000"/>
                <w:kern w:val="0"/>
                <w:szCs w:val="21"/>
              </w:rPr>
            </w:pPr>
            <w:r>
              <w:rPr>
                <w:rFonts w:eastAsia="楷体_GB2312"/>
                <w:color w:val="000000"/>
                <w:kern w:val="0"/>
                <w:szCs w:val="21"/>
              </w:rPr>
              <w:t>170</w:t>
            </w:r>
          </w:p>
        </w:tc>
        <w:tc>
          <w:tcPr>
            <w:tcW w:w="992" w:type="dxa"/>
            <w:noWrap/>
            <w:vAlign w:val="center"/>
          </w:tcPr>
          <w:p w14:paraId="7542917B">
            <w:pPr>
              <w:jc w:val="center"/>
              <w:rPr>
                <w:rFonts w:eastAsia="楷体_GB2312"/>
                <w:color w:val="000000"/>
                <w:kern w:val="0"/>
                <w:szCs w:val="21"/>
              </w:rPr>
            </w:pPr>
            <w:r>
              <w:rPr>
                <w:rFonts w:eastAsia="楷体_GB2312"/>
                <w:color w:val="000000"/>
                <w:kern w:val="0"/>
                <w:szCs w:val="21"/>
              </w:rPr>
              <w:t>11.33</w:t>
            </w:r>
          </w:p>
        </w:tc>
      </w:tr>
      <w:tr w14:paraId="6794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6F99207F">
            <w:pPr>
              <w:jc w:val="center"/>
              <w:rPr>
                <w:rFonts w:eastAsia="楷体_GB2312"/>
                <w:color w:val="000000"/>
                <w:kern w:val="0"/>
                <w:szCs w:val="21"/>
              </w:rPr>
            </w:pPr>
          </w:p>
        </w:tc>
        <w:tc>
          <w:tcPr>
            <w:tcW w:w="1276" w:type="dxa"/>
            <w:vMerge w:val="continue"/>
            <w:noWrap/>
            <w:vAlign w:val="center"/>
          </w:tcPr>
          <w:p w14:paraId="073D210C">
            <w:pPr>
              <w:jc w:val="center"/>
              <w:rPr>
                <w:rFonts w:eastAsia="楷体_GB2312"/>
                <w:color w:val="000000"/>
                <w:kern w:val="0"/>
                <w:szCs w:val="21"/>
              </w:rPr>
            </w:pPr>
          </w:p>
        </w:tc>
        <w:tc>
          <w:tcPr>
            <w:tcW w:w="850" w:type="dxa"/>
            <w:noWrap w:val="0"/>
            <w:vAlign w:val="center"/>
          </w:tcPr>
          <w:p w14:paraId="62919FD1">
            <w:pPr>
              <w:jc w:val="center"/>
              <w:rPr>
                <w:rFonts w:eastAsia="楷体_GB2312"/>
                <w:color w:val="000000"/>
                <w:kern w:val="0"/>
                <w:szCs w:val="21"/>
              </w:rPr>
            </w:pPr>
            <w:r>
              <w:rPr>
                <w:rFonts w:eastAsia="楷体_GB2312"/>
                <w:color w:val="000000"/>
                <w:kern w:val="0"/>
                <w:szCs w:val="21"/>
              </w:rPr>
              <w:t>2</w:t>
            </w:r>
          </w:p>
        </w:tc>
        <w:tc>
          <w:tcPr>
            <w:tcW w:w="1134" w:type="dxa"/>
            <w:noWrap/>
            <w:vAlign w:val="center"/>
          </w:tcPr>
          <w:p w14:paraId="341E0881">
            <w:pPr>
              <w:jc w:val="center"/>
              <w:rPr>
                <w:rFonts w:eastAsia="楷体_GB2312"/>
                <w:color w:val="000000"/>
                <w:kern w:val="0"/>
                <w:szCs w:val="21"/>
              </w:rPr>
            </w:pPr>
            <w:r>
              <w:rPr>
                <w:rFonts w:eastAsia="楷体_GB2312"/>
                <w:color w:val="000000"/>
                <w:kern w:val="0"/>
                <w:szCs w:val="21"/>
              </w:rPr>
              <w:t>385</w:t>
            </w:r>
          </w:p>
        </w:tc>
        <w:tc>
          <w:tcPr>
            <w:tcW w:w="1134" w:type="dxa"/>
            <w:noWrap/>
            <w:vAlign w:val="center"/>
          </w:tcPr>
          <w:p w14:paraId="4E992295">
            <w:pPr>
              <w:jc w:val="center"/>
              <w:rPr>
                <w:rFonts w:eastAsia="楷体_GB2312"/>
                <w:color w:val="000000"/>
                <w:kern w:val="0"/>
                <w:szCs w:val="21"/>
              </w:rPr>
            </w:pPr>
            <w:r>
              <w:rPr>
                <w:rFonts w:eastAsia="楷体_GB2312"/>
                <w:color w:val="000000"/>
                <w:kern w:val="0"/>
                <w:szCs w:val="21"/>
              </w:rPr>
              <w:t>25.67</w:t>
            </w:r>
          </w:p>
        </w:tc>
        <w:tc>
          <w:tcPr>
            <w:tcW w:w="1134" w:type="dxa"/>
            <w:noWrap/>
            <w:vAlign w:val="center"/>
          </w:tcPr>
          <w:p w14:paraId="702E4EEA">
            <w:pPr>
              <w:jc w:val="center"/>
              <w:rPr>
                <w:rFonts w:eastAsia="楷体_GB2312"/>
                <w:color w:val="000000"/>
                <w:kern w:val="0"/>
                <w:szCs w:val="21"/>
              </w:rPr>
            </w:pPr>
            <w:r>
              <w:rPr>
                <w:rFonts w:eastAsia="楷体_GB2312"/>
                <w:color w:val="000000"/>
                <w:kern w:val="0"/>
                <w:szCs w:val="21"/>
              </w:rPr>
              <w:t>275</w:t>
            </w:r>
          </w:p>
        </w:tc>
        <w:tc>
          <w:tcPr>
            <w:tcW w:w="992" w:type="dxa"/>
            <w:noWrap/>
            <w:vAlign w:val="center"/>
          </w:tcPr>
          <w:p w14:paraId="3B8BF7D7">
            <w:pPr>
              <w:jc w:val="center"/>
              <w:rPr>
                <w:rFonts w:eastAsia="楷体_GB2312"/>
                <w:color w:val="000000"/>
                <w:kern w:val="0"/>
                <w:szCs w:val="21"/>
              </w:rPr>
            </w:pPr>
            <w:r>
              <w:rPr>
                <w:rFonts w:eastAsia="楷体_GB2312"/>
                <w:color w:val="000000"/>
                <w:kern w:val="0"/>
                <w:szCs w:val="21"/>
              </w:rPr>
              <w:t>18.33</w:t>
            </w:r>
          </w:p>
        </w:tc>
        <w:tc>
          <w:tcPr>
            <w:tcW w:w="1134" w:type="dxa"/>
            <w:noWrap/>
            <w:vAlign w:val="center"/>
          </w:tcPr>
          <w:p w14:paraId="202B038F">
            <w:pPr>
              <w:jc w:val="center"/>
              <w:rPr>
                <w:rFonts w:eastAsia="楷体_GB2312"/>
                <w:color w:val="000000"/>
                <w:kern w:val="0"/>
                <w:szCs w:val="21"/>
              </w:rPr>
            </w:pPr>
            <w:r>
              <w:rPr>
                <w:rFonts w:eastAsia="楷体_GB2312"/>
                <w:color w:val="000000"/>
                <w:kern w:val="0"/>
                <w:szCs w:val="21"/>
              </w:rPr>
              <w:t>155</w:t>
            </w:r>
          </w:p>
        </w:tc>
        <w:tc>
          <w:tcPr>
            <w:tcW w:w="992" w:type="dxa"/>
            <w:noWrap/>
            <w:vAlign w:val="center"/>
          </w:tcPr>
          <w:p w14:paraId="1B8F18BC">
            <w:pPr>
              <w:jc w:val="center"/>
              <w:rPr>
                <w:rFonts w:eastAsia="楷体_GB2312"/>
                <w:color w:val="000000"/>
                <w:kern w:val="0"/>
                <w:szCs w:val="21"/>
              </w:rPr>
            </w:pPr>
            <w:r>
              <w:rPr>
                <w:rFonts w:eastAsia="楷体_GB2312"/>
                <w:color w:val="000000"/>
                <w:kern w:val="0"/>
                <w:szCs w:val="21"/>
              </w:rPr>
              <w:t>10.33</w:t>
            </w:r>
          </w:p>
        </w:tc>
      </w:tr>
      <w:tr w14:paraId="707D1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6785E76E">
            <w:pPr>
              <w:jc w:val="center"/>
              <w:rPr>
                <w:rFonts w:eastAsia="楷体_GB2312"/>
                <w:color w:val="000000"/>
                <w:kern w:val="0"/>
                <w:szCs w:val="21"/>
              </w:rPr>
            </w:pPr>
          </w:p>
        </w:tc>
        <w:tc>
          <w:tcPr>
            <w:tcW w:w="1276" w:type="dxa"/>
            <w:vMerge w:val="continue"/>
            <w:noWrap/>
            <w:vAlign w:val="center"/>
          </w:tcPr>
          <w:p w14:paraId="3E7307FB">
            <w:pPr>
              <w:jc w:val="center"/>
              <w:rPr>
                <w:rFonts w:eastAsia="楷体_GB2312"/>
                <w:color w:val="000000"/>
                <w:kern w:val="0"/>
                <w:szCs w:val="21"/>
              </w:rPr>
            </w:pPr>
          </w:p>
        </w:tc>
        <w:tc>
          <w:tcPr>
            <w:tcW w:w="850" w:type="dxa"/>
            <w:noWrap w:val="0"/>
            <w:vAlign w:val="center"/>
          </w:tcPr>
          <w:p w14:paraId="2F9F0F39">
            <w:pPr>
              <w:jc w:val="center"/>
              <w:rPr>
                <w:rFonts w:eastAsia="楷体_GB2312"/>
                <w:color w:val="000000"/>
                <w:kern w:val="0"/>
                <w:szCs w:val="21"/>
              </w:rPr>
            </w:pPr>
            <w:r>
              <w:rPr>
                <w:rFonts w:eastAsia="楷体_GB2312"/>
                <w:color w:val="000000"/>
                <w:kern w:val="0"/>
                <w:szCs w:val="21"/>
              </w:rPr>
              <w:t>3</w:t>
            </w:r>
          </w:p>
        </w:tc>
        <w:tc>
          <w:tcPr>
            <w:tcW w:w="1134" w:type="dxa"/>
            <w:noWrap/>
            <w:vAlign w:val="center"/>
          </w:tcPr>
          <w:p w14:paraId="071092BB">
            <w:pPr>
              <w:jc w:val="center"/>
              <w:rPr>
                <w:rFonts w:eastAsia="楷体_GB2312"/>
                <w:color w:val="000000"/>
                <w:kern w:val="0"/>
                <w:szCs w:val="21"/>
              </w:rPr>
            </w:pPr>
            <w:r>
              <w:rPr>
                <w:rFonts w:eastAsia="楷体_GB2312"/>
                <w:color w:val="000000"/>
                <w:kern w:val="0"/>
                <w:szCs w:val="21"/>
              </w:rPr>
              <w:t>300</w:t>
            </w:r>
          </w:p>
        </w:tc>
        <w:tc>
          <w:tcPr>
            <w:tcW w:w="1134" w:type="dxa"/>
            <w:noWrap/>
            <w:vAlign w:val="center"/>
          </w:tcPr>
          <w:p w14:paraId="71171BEF">
            <w:pPr>
              <w:jc w:val="center"/>
              <w:rPr>
                <w:rFonts w:eastAsia="楷体_GB2312"/>
                <w:color w:val="000000"/>
                <w:kern w:val="0"/>
                <w:szCs w:val="21"/>
              </w:rPr>
            </w:pPr>
            <w:r>
              <w:rPr>
                <w:rFonts w:eastAsia="楷体_GB2312"/>
                <w:color w:val="000000"/>
                <w:kern w:val="0"/>
                <w:szCs w:val="21"/>
              </w:rPr>
              <w:t>20.00</w:t>
            </w:r>
          </w:p>
        </w:tc>
        <w:tc>
          <w:tcPr>
            <w:tcW w:w="1134" w:type="dxa"/>
            <w:noWrap/>
            <w:vAlign w:val="center"/>
          </w:tcPr>
          <w:p w14:paraId="7A8919AA">
            <w:pPr>
              <w:jc w:val="center"/>
              <w:rPr>
                <w:rFonts w:eastAsia="楷体_GB2312"/>
                <w:color w:val="000000"/>
                <w:kern w:val="0"/>
                <w:szCs w:val="21"/>
              </w:rPr>
            </w:pPr>
            <w:r>
              <w:rPr>
                <w:rFonts w:eastAsia="楷体_GB2312"/>
                <w:color w:val="000000"/>
                <w:kern w:val="0"/>
                <w:szCs w:val="21"/>
              </w:rPr>
              <w:t>210</w:t>
            </w:r>
          </w:p>
        </w:tc>
        <w:tc>
          <w:tcPr>
            <w:tcW w:w="992" w:type="dxa"/>
            <w:noWrap/>
            <w:vAlign w:val="center"/>
          </w:tcPr>
          <w:p w14:paraId="56B80E86">
            <w:pPr>
              <w:jc w:val="center"/>
              <w:rPr>
                <w:rFonts w:eastAsia="楷体_GB2312"/>
                <w:color w:val="000000"/>
                <w:kern w:val="0"/>
                <w:szCs w:val="21"/>
              </w:rPr>
            </w:pPr>
            <w:r>
              <w:rPr>
                <w:rFonts w:eastAsia="楷体_GB2312"/>
                <w:color w:val="000000"/>
                <w:kern w:val="0"/>
                <w:szCs w:val="21"/>
              </w:rPr>
              <w:t>14.00</w:t>
            </w:r>
          </w:p>
        </w:tc>
        <w:tc>
          <w:tcPr>
            <w:tcW w:w="1134" w:type="dxa"/>
            <w:noWrap/>
            <w:vAlign w:val="center"/>
          </w:tcPr>
          <w:p w14:paraId="410E5B01">
            <w:pPr>
              <w:jc w:val="center"/>
              <w:rPr>
                <w:rFonts w:eastAsia="楷体_GB2312"/>
                <w:color w:val="000000"/>
                <w:kern w:val="0"/>
                <w:szCs w:val="21"/>
              </w:rPr>
            </w:pPr>
            <w:r>
              <w:rPr>
                <w:rFonts w:eastAsia="楷体_GB2312"/>
                <w:color w:val="000000"/>
                <w:kern w:val="0"/>
                <w:szCs w:val="21"/>
              </w:rPr>
              <w:t>144</w:t>
            </w:r>
          </w:p>
        </w:tc>
        <w:tc>
          <w:tcPr>
            <w:tcW w:w="992" w:type="dxa"/>
            <w:noWrap/>
            <w:vAlign w:val="center"/>
          </w:tcPr>
          <w:p w14:paraId="31AB2DE9">
            <w:pPr>
              <w:jc w:val="center"/>
              <w:rPr>
                <w:rFonts w:eastAsia="楷体_GB2312"/>
                <w:color w:val="000000"/>
                <w:kern w:val="0"/>
                <w:szCs w:val="21"/>
              </w:rPr>
            </w:pPr>
            <w:r>
              <w:rPr>
                <w:rFonts w:eastAsia="楷体_GB2312"/>
                <w:color w:val="000000"/>
                <w:kern w:val="0"/>
                <w:szCs w:val="21"/>
              </w:rPr>
              <w:t>9.60</w:t>
            </w:r>
          </w:p>
        </w:tc>
      </w:tr>
      <w:tr w14:paraId="5A9E5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ign w:val="center"/>
          </w:tcPr>
          <w:p w14:paraId="6777BCF3">
            <w:pPr>
              <w:jc w:val="center"/>
              <w:rPr>
                <w:rFonts w:eastAsia="楷体_GB2312"/>
                <w:color w:val="000000"/>
                <w:kern w:val="0"/>
                <w:szCs w:val="21"/>
              </w:rPr>
            </w:pPr>
            <w:r>
              <w:rPr>
                <w:rFonts w:eastAsia="楷体_GB2312"/>
                <w:color w:val="000000"/>
                <w:kern w:val="0"/>
                <w:szCs w:val="21"/>
              </w:rPr>
              <w:t>11</w:t>
            </w:r>
          </w:p>
        </w:tc>
        <w:tc>
          <w:tcPr>
            <w:tcW w:w="1276" w:type="dxa"/>
            <w:vMerge w:val="restart"/>
            <w:noWrap/>
            <w:vAlign w:val="center"/>
          </w:tcPr>
          <w:p w14:paraId="10FA6E11">
            <w:pPr>
              <w:jc w:val="center"/>
              <w:rPr>
                <w:rFonts w:eastAsia="楷体_GB2312"/>
                <w:color w:val="000000"/>
                <w:kern w:val="0"/>
                <w:szCs w:val="21"/>
              </w:rPr>
            </w:pPr>
            <w:r>
              <w:rPr>
                <w:rFonts w:eastAsia="楷体_GB2312"/>
                <w:color w:val="000000"/>
                <w:kern w:val="0"/>
                <w:szCs w:val="21"/>
              </w:rPr>
              <w:t>曹村镇</w:t>
            </w:r>
          </w:p>
        </w:tc>
        <w:tc>
          <w:tcPr>
            <w:tcW w:w="850" w:type="dxa"/>
            <w:noWrap w:val="0"/>
            <w:vAlign w:val="center"/>
          </w:tcPr>
          <w:p w14:paraId="1F18A439">
            <w:pPr>
              <w:jc w:val="center"/>
              <w:rPr>
                <w:rFonts w:eastAsia="楷体_GB2312"/>
                <w:color w:val="000000"/>
                <w:kern w:val="0"/>
                <w:szCs w:val="21"/>
              </w:rPr>
            </w:pPr>
            <w:r>
              <w:rPr>
                <w:rFonts w:eastAsia="楷体_GB2312"/>
                <w:color w:val="000000"/>
                <w:kern w:val="0"/>
                <w:szCs w:val="21"/>
              </w:rPr>
              <w:t>1</w:t>
            </w:r>
          </w:p>
        </w:tc>
        <w:tc>
          <w:tcPr>
            <w:tcW w:w="1134" w:type="dxa"/>
            <w:noWrap/>
            <w:vAlign w:val="center"/>
          </w:tcPr>
          <w:p w14:paraId="7DE27A2D">
            <w:pPr>
              <w:jc w:val="center"/>
              <w:rPr>
                <w:rFonts w:eastAsia="楷体_GB2312"/>
                <w:color w:val="000000"/>
                <w:kern w:val="0"/>
                <w:szCs w:val="21"/>
              </w:rPr>
            </w:pPr>
            <w:r>
              <w:rPr>
                <w:rFonts w:eastAsia="楷体_GB2312"/>
                <w:color w:val="000000"/>
                <w:kern w:val="0"/>
                <w:szCs w:val="21"/>
              </w:rPr>
              <w:t>485</w:t>
            </w:r>
          </w:p>
        </w:tc>
        <w:tc>
          <w:tcPr>
            <w:tcW w:w="1134" w:type="dxa"/>
            <w:noWrap/>
            <w:vAlign w:val="center"/>
          </w:tcPr>
          <w:p w14:paraId="0157E814">
            <w:pPr>
              <w:jc w:val="center"/>
              <w:rPr>
                <w:rFonts w:eastAsia="楷体_GB2312"/>
                <w:color w:val="000000"/>
                <w:kern w:val="0"/>
                <w:szCs w:val="21"/>
              </w:rPr>
            </w:pPr>
            <w:r>
              <w:rPr>
                <w:rFonts w:eastAsia="楷体_GB2312"/>
                <w:color w:val="000000"/>
                <w:kern w:val="0"/>
                <w:szCs w:val="21"/>
              </w:rPr>
              <w:t>32.33</w:t>
            </w:r>
          </w:p>
        </w:tc>
        <w:tc>
          <w:tcPr>
            <w:tcW w:w="1134" w:type="dxa"/>
            <w:noWrap/>
            <w:vAlign w:val="center"/>
          </w:tcPr>
          <w:p w14:paraId="518D5F4B">
            <w:pPr>
              <w:jc w:val="center"/>
              <w:rPr>
                <w:rFonts w:eastAsia="楷体_GB2312"/>
                <w:color w:val="000000"/>
                <w:kern w:val="0"/>
                <w:szCs w:val="21"/>
              </w:rPr>
            </w:pPr>
            <w:r>
              <w:rPr>
                <w:rFonts w:eastAsia="楷体_GB2312"/>
                <w:color w:val="000000"/>
                <w:kern w:val="0"/>
                <w:szCs w:val="21"/>
              </w:rPr>
              <w:t>360</w:t>
            </w:r>
          </w:p>
        </w:tc>
        <w:tc>
          <w:tcPr>
            <w:tcW w:w="992" w:type="dxa"/>
            <w:noWrap/>
            <w:vAlign w:val="center"/>
          </w:tcPr>
          <w:p w14:paraId="4613D76F">
            <w:pPr>
              <w:jc w:val="center"/>
              <w:rPr>
                <w:rFonts w:eastAsia="楷体_GB2312"/>
                <w:color w:val="000000"/>
                <w:kern w:val="0"/>
                <w:szCs w:val="21"/>
              </w:rPr>
            </w:pPr>
            <w:r>
              <w:rPr>
                <w:rFonts w:eastAsia="楷体_GB2312"/>
                <w:color w:val="000000"/>
                <w:kern w:val="0"/>
                <w:szCs w:val="21"/>
              </w:rPr>
              <w:t>24.00</w:t>
            </w:r>
          </w:p>
        </w:tc>
        <w:tc>
          <w:tcPr>
            <w:tcW w:w="1134" w:type="dxa"/>
            <w:noWrap/>
            <w:vAlign w:val="center"/>
          </w:tcPr>
          <w:p w14:paraId="428E53D5">
            <w:pPr>
              <w:jc w:val="center"/>
              <w:rPr>
                <w:rFonts w:eastAsia="楷体_GB2312"/>
                <w:color w:val="000000"/>
                <w:kern w:val="0"/>
                <w:szCs w:val="21"/>
              </w:rPr>
            </w:pPr>
            <w:r>
              <w:rPr>
                <w:rFonts w:eastAsia="楷体_GB2312"/>
                <w:color w:val="000000"/>
                <w:kern w:val="0"/>
                <w:szCs w:val="21"/>
              </w:rPr>
              <w:t>170</w:t>
            </w:r>
          </w:p>
        </w:tc>
        <w:tc>
          <w:tcPr>
            <w:tcW w:w="992" w:type="dxa"/>
            <w:noWrap/>
            <w:vAlign w:val="center"/>
          </w:tcPr>
          <w:p w14:paraId="62DA24D2">
            <w:pPr>
              <w:jc w:val="center"/>
              <w:rPr>
                <w:rFonts w:eastAsia="楷体_GB2312"/>
                <w:color w:val="000000"/>
                <w:kern w:val="0"/>
                <w:szCs w:val="21"/>
              </w:rPr>
            </w:pPr>
            <w:r>
              <w:rPr>
                <w:rFonts w:eastAsia="楷体_GB2312"/>
                <w:color w:val="000000"/>
                <w:kern w:val="0"/>
                <w:szCs w:val="21"/>
              </w:rPr>
              <w:t>11.33</w:t>
            </w:r>
          </w:p>
        </w:tc>
      </w:tr>
      <w:tr w14:paraId="4990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6E9EB71E">
            <w:pPr>
              <w:jc w:val="center"/>
              <w:rPr>
                <w:rFonts w:eastAsia="楷体_GB2312"/>
                <w:color w:val="000000"/>
                <w:kern w:val="0"/>
                <w:szCs w:val="21"/>
              </w:rPr>
            </w:pPr>
          </w:p>
        </w:tc>
        <w:tc>
          <w:tcPr>
            <w:tcW w:w="1276" w:type="dxa"/>
            <w:vMerge w:val="continue"/>
            <w:noWrap/>
            <w:vAlign w:val="center"/>
          </w:tcPr>
          <w:p w14:paraId="5FB3F6FB">
            <w:pPr>
              <w:jc w:val="center"/>
              <w:rPr>
                <w:rFonts w:eastAsia="楷体_GB2312"/>
                <w:color w:val="000000"/>
                <w:kern w:val="0"/>
                <w:szCs w:val="21"/>
              </w:rPr>
            </w:pPr>
          </w:p>
        </w:tc>
        <w:tc>
          <w:tcPr>
            <w:tcW w:w="850" w:type="dxa"/>
            <w:noWrap w:val="0"/>
            <w:vAlign w:val="center"/>
          </w:tcPr>
          <w:p w14:paraId="1A6D078D">
            <w:pPr>
              <w:jc w:val="center"/>
              <w:rPr>
                <w:rFonts w:eastAsia="楷体_GB2312"/>
                <w:color w:val="000000"/>
                <w:kern w:val="0"/>
                <w:szCs w:val="21"/>
              </w:rPr>
            </w:pPr>
            <w:r>
              <w:rPr>
                <w:rFonts w:eastAsia="楷体_GB2312"/>
                <w:color w:val="000000"/>
                <w:kern w:val="0"/>
                <w:szCs w:val="21"/>
              </w:rPr>
              <w:t>2</w:t>
            </w:r>
          </w:p>
        </w:tc>
        <w:tc>
          <w:tcPr>
            <w:tcW w:w="1134" w:type="dxa"/>
            <w:noWrap/>
            <w:vAlign w:val="center"/>
          </w:tcPr>
          <w:p w14:paraId="19A9F374">
            <w:pPr>
              <w:jc w:val="center"/>
              <w:rPr>
                <w:rFonts w:eastAsia="楷体_GB2312"/>
                <w:color w:val="000000"/>
                <w:kern w:val="0"/>
                <w:szCs w:val="21"/>
              </w:rPr>
            </w:pPr>
            <w:r>
              <w:rPr>
                <w:rFonts w:eastAsia="楷体_GB2312"/>
                <w:color w:val="000000"/>
                <w:kern w:val="0"/>
                <w:szCs w:val="21"/>
              </w:rPr>
              <w:t>380</w:t>
            </w:r>
          </w:p>
        </w:tc>
        <w:tc>
          <w:tcPr>
            <w:tcW w:w="1134" w:type="dxa"/>
            <w:noWrap/>
            <w:vAlign w:val="center"/>
          </w:tcPr>
          <w:p w14:paraId="3E833B2E">
            <w:pPr>
              <w:jc w:val="center"/>
              <w:rPr>
                <w:rFonts w:eastAsia="楷体_GB2312"/>
                <w:color w:val="000000"/>
                <w:kern w:val="0"/>
                <w:szCs w:val="21"/>
              </w:rPr>
            </w:pPr>
            <w:r>
              <w:rPr>
                <w:rFonts w:eastAsia="楷体_GB2312"/>
                <w:color w:val="000000"/>
                <w:kern w:val="0"/>
                <w:szCs w:val="21"/>
              </w:rPr>
              <w:t>25.33</w:t>
            </w:r>
          </w:p>
        </w:tc>
        <w:tc>
          <w:tcPr>
            <w:tcW w:w="1134" w:type="dxa"/>
            <w:noWrap/>
            <w:vAlign w:val="center"/>
          </w:tcPr>
          <w:p w14:paraId="0AD001D8">
            <w:pPr>
              <w:jc w:val="center"/>
              <w:rPr>
                <w:rFonts w:eastAsia="楷体_GB2312"/>
                <w:color w:val="000000"/>
                <w:kern w:val="0"/>
                <w:szCs w:val="21"/>
              </w:rPr>
            </w:pPr>
            <w:r>
              <w:rPr>
                <w:rFonts w:eastAsia="楷体_GB2312"/>
                <w:color w:val="000000"/>
                <w:kern w:val="0"/>
                <w:szCs w:val="21"/>
              </w:rPr>
              <w:t>275</w:t>
            </w:r>
          </w:p>
        </w:tc>
        <w:tc>
          <w:tcPr>
            <w:tcW w:w="992" w:type="dxa"/>
            <w:noWrap/>
            <w:vAlign w:val="center"/>
          </w:tcPr>
          <w:p w14:paraId="695DF8AB">
            <w:pPr>
              <w:jc w:val="center"/>
              <w:rPr>
                <w:rFonts w:eastAsia="楷体_GB2312"/>
                <w:color w:val="000000"/>
                <w:kern w:val="0"/>
                <w:szCs w:val="21"/>
              </w:rPr>
            </w:pPr>
            <w:r>
              <w:rPr>
                <w:rFonts w:eastAsia="楷体_GB2312"/>
                <w:color w:val="000000"/>
                <w:kern w:val="0"/>
                <w:szCs w:val="21"/>
              </w:rPr>
              <w:t>18.33</w:t>
            </w:r>
          </w:p>
        </w:tc>
        <w:tc>
          <w:tcPr>
            <w:tcW w:w="1134" w:type="dxa"/>
            <w:noWrap/>
            <w:vAlign w:val="center"/>
          </w:tcPr>
          <w:p w14:paraId="7C2AC31C">
            <w:pPr>
              <w:jc w:val="center"/>
              <w:rPr>
                <w:rFonts w:eastAsia="楷体_GB2312"/>
                <w:color w:val="000000"/>
                <w:kern w:val="0"/>
                <w:szCs w:val="21"/>
              </w:rPr>
            </w:pPr>
            <w:r>
              <w:rPr>
                <w:rFonts w:eastAsia="楷体_GB2312"/>
                <w:color w:val="000000"/>
                <w:kern w:val="0"/>
                <w:szCs w:val="21"/>
              </w:rPr>
              <w:t>155</w:t>
            </w:r>
          </w:p>
        </w:tc>
        <w:tc>
          <w:tcPr>
            <w:tcW w:w="992" w:type="dxa"/>
            <w:noWrap/>
            <w:vAlign w:val="center"/>
          </w:tcPr>
          <w:p w14:paraId="6DDE20B1">
            <w:pPr>
              <w:jc w:val="center"/>
              <w:rPr>
                <w:rFonts w:eastAsia="楷体_GB2312"/>
                <w:color w:val="000000"/>
                <w:kern w:val="0"/>
                <w:szCs w:val="21"/>
              </w:rPr>
            </w:pPr>
            <w:r>
              <w:rPr>
                <w:rFonts w:eastAsia="楷体_GB2312"/>
                <w:color w:val="000000"/>
                <w:kern w:val="0"/>
                <w:szCs w:val="21"/>
              </w:rPr>
              <w:t>10.33</w:t>
            </w:r>
          </w:p>
        </w:tc>
      </w:tr>
      <w:tr w14:paraId="2641F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686F8C8E">
            <w:pPr>
              <w:jc w:val="center"/>
              <w:rPr>
                <w:rFonts w:eastAsia="楷体_GB2312"/>
                <w:color w:val="000000"/>
                <w:kern w:val="0"/>
                <w:szCs w:val="21"/>
              </w:rPr>
            </w:pPr>
          </w:p>
        </w:tc>
        <w:tc>
          <w:tcPr>
            <w:tcW w:w="1276" w:type="dxa"/>
            <w:vMerge w:val="continue"/>
            <w:noWrap/>
            <w:vAlign w:val="center"/>
          </w:tcPr>
          <w:p w14:paraId="499DCCA8">
            <w:pPr>
              <w:jc w:val="center"/>
              <w:rPr>
                <w:rFonts w:eastAsia="楷体_GB2312"/>
                <w:color w:val="000000"/>
                <w:kern w:val="0"/>
                <w:szCs w:val="21"/>
              </w:rPr>
            </w:pPr>
          </w:p>
        </w:tc>
        <w:tc>
          <w:tcPr>
            <w:tcW w:w="850" w:type="dxa"/>
            <w:noWrap w:val="0"/>
            <w:vAlign w:val="center"/>
          </w:tcPr>
          <w:p w14:paraId="34225CDD">
            <w:pPr>
              <w:jc w:val="center"/>
              <w:rPr>
                <w:rFonts w:eastAsia="楷体_GB2312"/>
                <w:color w:val="000000"/>
                <w:kern w:val="0"/>
                <w:szCs w:val="21"/>
              </w:rPr>
            </w:pPr>
            <w:r>
              <w:rPr>
                <w:rFonts w:eastAsia="楷体_GB2312"/>
                <w:color w:val="000000"/>
                <w:kern w:val="0"/>
                <w:szCs w:val="21"/>
              </w:rPr>
              <w:t>3</w:t>
            </w:r>
          </w:p>
        </w:tc>
        <w:tc>
          <w:tcPr>
            <w:tcW w:w="1134" w:type="dxa"/>
            <w:noWrap/>
            <w:vAlign w:val="center"/>
          </w:tcPr>
          <w:p w14:paraId="41CE6FB3">
            <w:pPr>
              <w:jc w:val="center"/>
              <w:rPr>
                <w:rFonts w:eastAsia="楷体_GB2312"/>
                <w:color w:val="000000"/>
                <w:kern w:val="0"/>
                <w:szCs w:val="21"/>
              </w:rPr>
            </w:pPr>
            <w:r>
              <w:rPr>
                <w:rFonts w:eastAsia="楷体_GB2312"/>
                <w:color w:val="000000"/>
                <w:kern w:val="0"/>
                <w:szCs w:val="21"/>
              </w:rPr>
              <w:t>300</w:t>
            </w:r>
          </w:p>
        </w:tc>
        <w:tc>
          <w:tcPr>
            <w:tcW w:w="1134" w:type="dxa"/>
            <w:noWrap/>
            <w:vAlign w:val="center"/>
          </w:tcPr>
          <w:p w14:paraId="5D058A61">
            <w:pPr>
              <w:jc w:val="center"/>
              <w:rPr>
                <w:rFonts w:eastAsia="楷体_GB2312"/>
                <w:color w:val="000000"/>
                <w:kern w:val="0"/>
                <w:szCs w:val="21"/>
              </w:rPr>
            </w:pPr>
            <w:r>
              <w:rPr>
                <w:rFonts w:eastAsia="楷体_GB2312"/>
                <w:color w:val="000000"/>
                <w:kern w:val="0"/>
                <w:szCs w:val="21"/>
              </w:rPr>
              <w:t>20.00</w:t>
            </w:r>
          </w:p>
        </w:tc>
        <w:tc>
          <w:tcPr>
            <w:tcW w:w="1134" w:type="dxa"/>
            <w:noWrap/>
            <w:vAlign w:val="center"/>
          </w:tcPr>
          <w:p w14:paraId="237D5B12">
            <w:pPr>
              <w:jc w:val="center"/>
              <w:rPr>
                <w:rFonts w:eastAsia="楷体_GB2312"/>
                <w:color w:val="000000"/>
                <w:kern w:val="0"/>
                <w:szCs w:val="21"/>
              </w:rPr>
            </w:pPr>
            <w:r>
              <w:rPr>
                <w:rFonts w:eastAsia="楷体_GB2312"/>
                <w:color w:val="000000"/>
                <w:kern w:val="0"/>
                <w:szCs w:val="21"/>
              </w:rPr>
              <w:t>210</w:t>
            </w:r>
          </w:p>
        </w:tc>
        <w:tc>
          <w:tcPr>
            <w:tcW w:w="992" w:type="dxa"/>
            <w:noWrap/>
            <w:vAlign w:val="center"/>
          </w:tcPr>
          <w:p w14:paraId="718FA1C5">
            <w:pPr>
              <w:jc w:val="center"/>
              <w:rPr>
                <w:rFonts w:eastAsia="楷体_GB2312"/>
                <w:color w:val="000000"/>
                <w:kern w:val="0"/>
                <w:szCs w:val="21"/>
              </w:rPr>
            </w:pPr>
            <w:r>
              <w:rPr>
                <w:rFonts w:eastAsia="楷体_GB2312"/>
                <w:color w:val="000000"/>
                <w:kern w:val="0"/>
                <w:szCs w:val="21"/>
              </w:rPr>
              <w:t>14.00</w:t>
            </w:r>
          </w:p>
        </w:tc>
        <w:tc>
          <w:tcPr>
            <w:tcW w:w="1134" w:type="dxa"/>
            <w:noWrap/>
            <w:vAlign w:val="center"/>
          </w:tcPr>
          <w:p w14:paraId="07D4C5D3">
            <w:pPr>
              <w:jc w:val="center"/>
              <w:rPr>
                <w:rFonts w:eastAsia="楷体_GB2312"/>
                <w:color w:val="000000"/>
                <w:kern w:val="0"/>
                <w:szCs w:val="21"/>
              </w:rPr>
            </w:pPr>
            <w:r>
              <w:rPr>
                <w:rFonts w:eastAsia="楷体_GB2312"/>
                <w:color w:val="000000"/>
                <w:kern w:val="0"/>
                <w:szCs w:val="21"/>
              </w:rPr>
              <w:t>144</w:t>
            </w:r>
          </w:p>
        </w:tc>
        <w:tc>
          <w:tcPr>
            <w:tcW w:w="992" w:type="dxa"/>
            <w:noWrap/>
            <w:vAlign w:val="center"/>
          </w:tcPr>
          <w:p w14:paraId="272F80F3">
            <w:pPr>
              <w:jc w:val="center"/>
              <w:rPr>
                <w:rFonts w:eastAsia="楷体_GB2312"/>
                <w:color w:val="000000"/>
                <w:kern w:val="0"/>
                <w:szCs w:val="21"/>
              </w:rPr>
            </w:pPr>
            <w:r>
              <w:rPr>
                <w:rFonts w:eastAsia="楷体_GB2312"/>
                <w:color w:val="000000"/>
                <w:kern w:val="0"/>
                <w:szCs w:val="21"/>
              </w:rPr>
              <w:t>9.60</w:t>
            </w:r>
          </w:p>
        </w:tc>
      </w:tr>
      <w:tr w14:paraId="02005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ign w:val="center"/>
          </w:tcPr>
          <w:p w14:paraId="1DA5A688">
            <w:pPr>
              <w:jc w:val="center"/>
              <w:rPr>
                <w:rFonts w:eastAsia="楷体_GB2312"/>
                <w:color w:val="000000"/>
                <w:kern w:val="0"/>
                <w:szCs w:val="21"/>
              </w:rPr>
            </w:pPr>
            <w:r>
              <w:rPr>
                <w:rFonts w:eastAsia="楷体_GB2312"/>
                <w:color w:val="000000"/>
                <w:kern w:val="0"/>
                <w:szCs w:val="21"/>
              </w:rPr>
              <w:t>12</w:t>
            </w:r>
          </w:p>
        </w:tc>
        <w:tc>
          <w:tcPr>
            <w:tcW w:w="1276" w:type="dxa"/>
            <w:vMerge w:val="restart"/>
            <w:noWrap/>
            <w:vAlign w:val="center"/>
          </w:tcPr>
          <w:p w14:paraId="2D5D2856">
            <w:pPr>
              <w:jc w:val="center"/>
              <w:rPr>
                <w:rFonts w:eastAsia="楷体_GB2312"/>
                <w:color w:val="000000"/>
                <w:kern w:val="0"/>
                <w:szCs w:val="21"/>
              </w:rPr>
            </w:pPr>
            <w:r>
              <w:rPr>
                <w:rFonts w:eastAsia="楷体_GB2312"/>
                <w:color w:val="000000"/>
                <w:kern w:val="0"/>
                <w:szCs w:val="21"/>
              </w:rPr>
              <w:t>大营镇</w:t>
            </w:r>
          </w:p>
        </w:tc>
        <w:tc>
          <w:tcPr>
            <w:tcW w:w="850" w:type="dxa"/>
            <w:noWrap w:val="0"/>
            <w:vAlign w:val="center"/>
          </w:tcPr>
          <w:p w14:paraId="469D4E9D">
            <w:pPr>
              <w:jc w:val="center"/>
              <w:rPr>
                <w:rFonts w:eastAsia="楷体_GB2312"/>
                <w:color w:val="000000"/>
                <w:kern w:val="0"/>
                <w:szCs w:val="21"/>
              </w:rPr>
            </w:pPr>
            <w:r>
              <w:rPr>
                <w:rFonts w:eastAsia="楷体_GB2312"/>
                <w:color w:val="000000"/>
                <w:kern w:val="0"/>
                <w:szCs w:val="21"/>
              </w:rPr>
              <w:t>1</w:t>
            </w:r>
          </w:p>
        </w:tc>
        <w:tc>
          <w:tcPr>
            <w:tcW w:w="1134" w:type="dxa"/>
            <w:noWrap/>
            <w:vAlign w:val="center"/>
          </w:tcPr>
          <w:p w14:paraId="341C9A39">
            <w:pPr>
              <w:jc w:val="center"/>
              <w:rPr>
                <w:rFonts w:eastAsia="楷体_GB2312"/>
                <w:color w:val="000000"/>
                <w:kern w:val="0"/>
                <w:szCs w:val="21"/>
              </w:rPr>
            </w:pPr>
            <w:r>
              <w:rPr>
                <w:rFonts w:eastAsia="楷体_GB2312"/>
                <w:color w:val="000000"/>
                <w:kern w:val="0"/>
                <w:szCs w:val="21"/>
              </w:rPr>
              <w:t>480</w:t>
            </w:r>
          </w:p>
        </w:tc>
        <w:tc>
          <w:tcPr>
            <w:tcW w:w="1134" w:type="dxa"/>
            <w:noWrap/>
            <w:vAlign w:val="center"/>
          </w:tcPr>
          <w:p w14:paraId="09F39229">
            <w:pPr>
              <w:jc w:val="center"/>
              <w:rPr>
                <w:rFonts w:eastAsia="楷体_GB2312"/>
                <w:color w:val="000000"/>
                <w:kern w:val="0"/>
                <w:szCs w:val="21"/>
              </w:rPr>
            </w:pPr>
            <w:r>
              <w:rPr>
                <w:rFonts w:eastAsia="楷体_GB2312"/>
                <w:color w:val="000000"/>
                <w:kern w:val="0"/>
                <w:szCs w:val="21"/>
              </w:rPr>
              <w:t>32.00</w:t>
            </w:r>
          </w:p>
        </w:tc>
        <w:tc>
          <w:tcPr>
            <w:tcW w:w="1134" w:type="dxa"/>
            <w:noWrap/>
            <w:vAlign w:val="center"/>
          </w:tcPr>
          <w:p w14:paraId="15A3A2EC">
            <w:pPr>
              <w:jc w:val="center"/>
              <w:rPr>
                <w:rFonts w:eastAsia="楷体_GB2312"/>
                <w:color w:val="000000"/>
                <w:kern w:val="0"/>
                <w:szCs w:val="21"/>
              </w:rPr>
            </w:pPr>
            <w:r>
              <w:rPr>
                <w:rFonts w:eastAsia="楷体_GB2312"/>
                <w:color w:val="000000"/>
                <w:kern w:val="0"/>
                <w:szCs w:val="21"/>
              </w:rPr>
              <w:t>355</w:t>
            </w:r>
          </w:p>
        </w:tc>
        <w:tc>
          <w:tcPr>
            <w:tcW w:w="992" w:type="dxa"/>
            <w:noWrap/>
            <w:vAlign w:val="center"/>
          </w:tcPr>
          <w:p w14:paraId="3DEBE394">
            <w:pPr>
              <w:jc w:val="center"/>
              <w:rPr>
                <w:rFonts w:eastAsia="楷体_GB2312"/>
                <w:color w:val="000000"/>
                <w:kern w:val="0"/>
                <w:szCs w:val="21"/>
              </w:rPr>
            </w:pPr>
            <w:r>
              <w:rPr>
                <w:rFonts w:eastAsia="楷体_GB2312"/>
                <w:color w:val="000000"/>
                <w:kern w:val="0"/>
                <w:szCs w:val="21"/>
              </w:rPr>
              <w:t>23.67</w:t>
            </w:r>
          </w:p>
        </w:tc>
        <w:tc>
          <w:tcPr>
            <w:tcW w:w="1134" w:type="dxa"/>
            <w:noWrap/>
            <w:vAlign w:val="center"/>
          </w:tcPr>
          <w:p w14:paraId="272C08EE">
            <w:pPr>
              <w:jc w:val="center"/>
              <w:rPr>
                <w:rFonts w:eastAsia="楷体_GB2312"/>
                <w:color w:val="000000"/>
                <w:kern w:val="0"/>
                <w:szCs w:val="21"/>
              </w:rPr>
            </w:pPr>
            <w:r>
              <w:rPr>
                <w:rFonts w:eastAsia="楷体_GB2312"/>
                <w:color w:val="000000"/>
                <w:kern w:val="0"/>
                <w:szCs w:val="21"/>
              </w:rPr>
              <w:t>170</w:t>
            </w:r>
          </w:p>
        </w:tc>
        <w:tc>
          <w:tcPr>
            <w:tcW w:w="992" w:type="dxa"/>
            <w:noWrap/>
            <w:vAlign w:val="center"/>
          </w:tcPr>
          <w:p w14:paraId="4A05B0A8">
            <w:pPr>
              <w:jc w:val="center"/>
              <w:rPr>
                <w:rFonts w:eastAsia="楷体_GB2312"/>
                <w:color w:val="000000"/>
                <w:kern w:val="0"/>
                <w:szCs w:val="21"/>
              </w:rPr>
            </w:pPr>
            <w:r>
              <w:rPr>
                <w:rFonts w:eastAsia="楷体_GB2312"/>
                <w:color w:val="000000"/>
                <w:kern w:val="0"/>
                <w:szCs w:val="21"/>
              </w:rPr>
              <w:t>11.33</w:t>
            </w:r>
          </w:p>
        </w:tc>
      </w:tr>
      <w:tr w14:paraId="554FD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10EEFD06">
            <w:pPr>
              <w:jc w:val="center"/>
              <w:rPr>
                <w:rFonts w:eastAsia="楷体_GB2312"/>
                <w:color w:val="000000"/>
                <w:kern w:val="0"/>
                <w:szCs w:val="21"/>
              </w:rPr>
            </w:pPr>
          </w:p>
        </w:tc>
        <w:tc>
          <w:tcPr>
            <w:tcW w:w="1276" w:type="dxa"/>
            <w:vMerge w:val="continue"/>
            <w:noWrap/>
            <w:vAlign w:val="center"/>
          </w:tcPr>
          <w:p w14:paraId="61ED2025">
            <w:pPr>
              <w:jc w:val="center"/>
              <w:rPr>
                <w:rFonts w:eastAsia="楷体_GB2312"/>
                <w:color w:val="000000"/>
                <w:kern w:val="0"/>
                <w:szCs w:val="21"/>
              </w:rPr>
            </w:pPr>
          </w:p>
        </w:tc>
        <w:tc>
          <w:tcPr>
            <w:tcW w:w="850" w:type="dxa"/>
            <w:noWrap w:val="0"/>
            <w:vAlign w:val="center"/>
          </w:tcPr>
          <w:p w14:paraId="1BC1F498">
            <w:pPr>
              <w:jc w:val="center"/>
              <w:rPr>
                <w:rFonts w:eastAsia="楷体_GB2312"/>
                <w:color w:val="000000"/>
                <w:kern w:val="0"/>
                <w:szCs w:val="21"/>
              </w:rPr>
            </w:pPr>
            <w:r>
              <w:rPr>
                <w:rFonts w:eastAsia="楷体_GB2312"/>
                <w:color w:val="000000"/>
                <w:kern w:val="0"/>
                <w:szCs w:val="21"/>
              </w:rPr>
              <w:t>2</w:t>
            </w:r>
          </w:p>
        </w:tc>
        <w:tc>
          <w:tcPr>
            <w:tcW w:w="1134" w:type="dxa"/>
            <w:noWrap/>
            <w:vAlign w:val="center"/>
          </w:tcPr>
          <w:p w14:paraId="1B9A5593">
            <w:pPr>
              <w:jc w:val="center"/>
              <w:rPr>
                <w:rFonts w:eastAsia="楷体_GB2312"/>
                <w:color w:val="000000"/>
                <w:kern w:val="0"/>
                <w:szCs w:val="21"/>
              </w:rPr>
            </w:pPr>
            <w:r>
              <w:rPr>
                <w:rFonts w:eastAsia="楷体_GB2312"/>
                <w:color w:val="000000"/>
                <w:kern w:val="0"/>
                <w:szCs w:val="21"/>
              </w:rPr>
              <w:t>375</w:t>
            </w:r>
          </w:p>
        </w:tc>
        <w:tc>
          <w:tcPr>
            <w:tcW w:w="1134" w:type="dxa"/>
            <w:noWrap/>
            <w:vAlign w:val="center"/>
          </w:tcPr>
          <w:p w14:paraId="35AC24F9">
            <w:pPr>
              <w:jc w:val="center"/>
              <w:rPr>
                <w:rFonts w:eastAsia="楷体_GB2312"/>
                <w:color w:val="000000"/>
                <w:kern w:val="0"/>
                <w:szCs w:val="21"/>
              </w:rPr>
            </w:pPr>
            <w:r>
              <w:rPr>
                <w:rFonts w:eastAsia="楷体_GB2312"/>
                <w:color w:val="000000"/>
                <w:kern w:val="0"/>
                <w:szCs w:val="21"/>
              </w:rPr>
              <w:t>25.00</w:t>
            </w:r>
          </w:p>
        </w:tc>
        <w:tc>
          <w:tcPr>
            <w:tcW w:w="1134" w:type="dxa"/>
            <w:noWrap/>
            <w:vAlign w:val="center"/>
          </w:tcPr>
          <w:p w14:paraId="295E6350">
            <w:pPr>
              <w:jc w:val="center"/>
              <w:rPr>
                <w:rFonts w:eastAsia="楷体_GB2312"/>
                <w:color w:val="000000"/>
                <w:kern w:val="0"/>
                <w:szCs w:val="21"/>
              </w:rPr>
            </w:pPr>
            <w:r>
              <w:rPr>
                <w:rFonts w:eastAsia="楷体_GB2312"/>
                <w:color w:val="000000"/>
                <w:kern w:val="0"/>
                <w:szCs w:val="21"/>
              </w:rPr>
              <w:t>270</w:t>
            </w:r>
          </w:p>
        </w:tc>
        <w:tc>
          <w:tcPr>
            <w:tcW w:w="992" w:type="dxa"/>
            <w:noWrap/>
            <w:vAlign w:val="center"/>
          </w:tcPr>
          <w:p w14:paraId="7AE4AF47">
            <w:pPr>
              <w:jc w:val="center"/>
              <w:rPr>
                <w:rFonts w:eastAsia="楷体_GB2312"/>
                <w:color w:val="000000"/>
                <w:kern w:val="0"/>
                <w:szCs w:val="21"/>
              </w:rPr>
            </w:pPr>
            <w:r>
              <w:rPr>
                <w:rFonts w:eastAsia="楷体_GB2312"/>
                <w:color w:val="000000"/>
                <w:kern w:val="0"/>
                <w:szCs w:val="21"/>
              </w:rPr>
              <w:t>18.00</w:t>
            </w:r>
          </w:p>
        </w:tc>
        <w:tc>
          <w:tcPr>
            <w:tcW w:w="1134" w:type="dxa"/>
            <w:noWrap/>
            <w:vAlign w:val="center"/>
          </w:tcPr>
          <w:p w14:paraId="32FC6715">
            <w:pPr>
              <w:jc w:val="center"/>
              <w:rPr>
                <w:rFonts w:eastAsia="楷体_GB2312"/>
                <w:color w:val="000000"/>
                <w:kern w:val="0"/>
                <w:szCs w:val="21"/>
              </w:rPr>
            </w:pPr>
            <w:r>
              <w:rPr>
                <w:rFonts w:eastAsia="楷体_GB2312"/>
                <w:color w:val="000000"/>
                <w:kern w:val="0"/>
                <w:szCs w:val="21"/>
              </w:rPr>
              <w:t>155</w:t>
            </w:r>
          </w:p>
        </w:tc>
        <w:tc>
          <w:tcPr>
            <w:tcW w:w="992" w:type="dxa"/>
            <w:noWrap/>
            <w:vAlign w:val="center"/>
          </w:tcPr>
          <w:p w14:paraId="0C0C32DD">
            <w:pPr>
              <w:jc w:val="center"/>
              <w:rPr>
                <w:rFonts w:eastAsia="楷体_GB2312"/>
                <w:color w:val="000000"/>
                <w:kern w:val="0"/>
                <w:szCs w:val="21"/>
              </w:rPr>
            </w:pPr>
            <w:r>
              <w:rPr>
                <w:rFonts w:eastAsia="楷体_GB2312"/>
                <w:color w:val="000000"/>
                <w:kern w:val="0"/>
                <w:szCs w:val="21"/>
              </w:rPr>
              <w:t>10.33</w:t>
            </w:r>
          </w:p>
        </w:tc>
      </w:tr>
      <w:tr w14:paraId="6240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77734EF4">
            <w:pPr>
              <w:jc w:val="center"/>
              <w:rPr>
                <w:rFonts w:eastAsia="楷体_GB2312"/>
                <w:color w:val="000000"/>
                <w:kern w:val="0"/>
                <w:szCs w:val="21"/>
              </w:rPr>
            </w:pPr>
          </w:p>
        </w:tc>
        <w:tc>
          <w:tcPr>
            <w:tcW w:w="1276" w:type="dxa"/>
            <w:vMerge w:val="continue"/>
            <w:noWrap/>
            <w:vAlign w:val="center"/>
          </w:tcPr>
          <w:p w14:paraId="68F257DD">
            <w:pPr>
              <w:jc w:val="center"/>
              <w:rPr>
                <w:rFonts w:eastAsia="楷体_GB2312"/>
                <w:color w:val="000000"/>
                <w:kern w:val="0"/>
                <w:szCs w:val="21"/>
              </w:rPr>
            </w:pPr>
          </w:p>
        </w:tc>
        <w:tc>
          <w:tcPr>
            <w:tcW w:w="850" w:type="dxa"/>
            <w:noWrap w:val="0"/>
            <w:vAlign w:val="center"/>
          </w:tcPr>
          <w:p w14:paraId="6D006ED4">
            <w:pPr>
              <w:jc w:val="center"/>
              <w:rPr>
                <w:rFonts w:eastAsia="楷体_GB2312"/>
                <w:color w:val="000000"/>
                <w:kern w:val="0"/>
                <w:szCs w:val="21"/>
              </w:rPr>
            </w:pPr>
            <w:r>
              <w:rPr>
                <w:rFonts w:eastAsia="楷体_GB2312"/>
                <w:color w:val="000000"/>
                <w:kern w:val="0"/>
                <w:szCs w:val="21"/>
              </w:rPr>
              <w:t>3</w:t>
            </w:r>
          </w:p>
        </w:tc>
        <w:tc>
          <w:tcPr>
            <w:tcW w:w="1134" w:type="dxa"/>
            <w:noWrap/>
            <w:vAlign w:val="center"/>
          </w:tcPr>
          <w:p w14:paraId="1FF249E9">
            <w:pPr>
              <w:jc w:val="center"/>
              <w:rPr>
                <w:rFonts w:eastAsia="楷体_GB2312"/>
                <w:color w:val="000000"/>
                <w:kern w:val="0"/>
                <w:szCs w:val="21"/>
              </w:rPr>
            </w:pPr>
            <w:r>
              <w:rPr>
                <w:rFonts w:eastAsia="楷体_GB2312"/>
                <w:color w:val="000000"/>
                <w:kern w:val="0"/>
                <w:szCs w:val="21"/>
              </w:rPr>
              <w:t>295</w:t>
            </w:r>
          </w:p>
        </w:tc>
        <w:tc>
          <w:tcPr>
            <w:tcW w:w="1134" w:type="dxa"/>
            <w:noWrap/>
            <w:vAlign w:val="center"/>
          </w:tcPr>
          <w:p w14:paraId="552CAC90">
            <w:pPr>
              <w:jc w:val="center"/>
              <w:rPr>
                <w:rFonts w:eastAsia="楷体_GB2312"/>
                <w:color w:val="000000"/>
                <w:kern w:val="0"/>
                <w:szCs w:val="21"/>
              </w:rPr>
            </w:pPr>
            <w:r>
              <w:rPr>
                <w:rFonts w:eastAsia="楷体_GB2312"/>
                <w:color w:val="000000"/>
                <w:kern w:val="0"/>
                <w:szCs w:val="21"/>
              </w:rPr>
              <w:t>19.67</w:t>
            </w:r>
          </w:p>
        </w:tc>
        <w:tc>
          <w:tcPr>
            <w:tcW w:w="1134" w:type="dxa"/>
            <w:noWrap/>
            <w:vAlign w:val="center"/>
          </w:tcPr>
          <w:p w14:paraId="51485076">
            <w:pPr>
              <w:jc w:val="center"/>
              <w:rPr>
                <w:rFonts w:eastAsia="楷体_GB2312"/>
                <w:color w:val="000000"/>
                <w:kern w:val="0"/>
                <w:szCs w:val="21"/>
              </w:rPr>
            </w:pPr>
            <w:r>
              <w:rPr>
                <w:rFonts w:eastAsia="楷体_GB2312"/>
                <w:color w:val="000000"/>
                <w:kern w:val="0"/>
                <w:szCs w:val="21"/>
              </w:rPr>
              <w:t>210</w:t>
            </w:r>
          </w:p>
        </w:tc>
        <w:tc>
          <w:tcPr>
            <w:tcW w:w="992" w:type="dxa"/>
            <w:noWrap/>
            <w:vAlign w:val="center"/>
          </w:tcPr>
          <w:p w14:paraId="1A0F67D7">
            <w:pPr>
              <w:jc w:val="center"/>
              <w:rPr>
                <w:rFonts w:eastAsia="楷体_GB2312"/>
                <w:color w:val="000000"/>
                <w:kern w:val="0"/>
                <w:szCs w:val="21"/>
              </w:rPr>
            </w:pPr>
            <w:r>
              <w:rPr>
                <w:rFonts w:eastAsia="楷体_GB2312"/>
                <w:color w:val="000000"/>
                <w:kern w:val="0"/>
                <w:szCs w:val="21"/>
              </w:rPr>
              <w:t>14.00</w:t>
            </w:r>
          </w:p>
        </w:tc>
        <w:tc>
          <w:tcPr>
            <w:tcW w:w="1134" w:type="dxa"/>
            <w:noWrap/>
            <w:vAlign w:val="center"/>
          </w:tcPr>
          <w:p w14:paraId="1788FFE6">
            <w:pPr>
              <w:jc w:val="center"/>
              <w:rPr>
                <w:rFonts w:eastAsia="楷体_GB2312"/>
                <w:color w:val="000000"/>
                <w:kern w:val="0"/>
                <w:szCs w:val="21"/>
              </w:rPr>
            </w:pPr>
            <w:r>
              <w:rPr>
                <w:rFonts w:eastAsia="楷体_GB2312"/>
                <w:color w:val="000000"/>
                <w:kern w:val="0"/>
                <w:szCs w:val="21"/>
              </w:rPr>
              <w:t>144</w:t>
            </w:r>
          </w:p>
        </w:tc>
        <w:tc>
          <w:tcPr>
            <w:tcW w:w="992" w:type="dxa"/>
            <w:noWrap/>
            <w:vAlign w:val="center"/>
          </w:tcPr>
          <w:p w14:paraId="2B9D1019">
            <w:pPr>
              <w:jc w:val="center"/>
              <w:rPr>
                <w:rFonts w:eastAsia="楷体_GB2312"/>
                <w:color w:val="000000"/>
                <w:kern w:val="0"/>
                <w:szCs w:val="21"/>
              </w:rPr>
            </w:pPr>
            <w:r>
              <w:rPr>
                <w:rFonts w:eastAsia="楷体_GB2312"/>
                <w:color w:val="000000"/>
                <w:kern w:val="0"/>
                <w:szCs w:val="21"/>
              </w:rPr>
              <w:t>9.60</w:t>
            </w:r>
          </w:p>
        </w:tc>
      </w:tr>
      <w:tr w14:paraId="3D0E5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ign w:val="center"/>
          </w:tcPr>
          <w:p w14:paraId="44C03F52">
            <w:pPr>
              <w:jc w:val="center"/>
              <w:rPr>
                <w:rFonts w:eastAsia="楷体_GB2312"/>
                <w:color w:val="000000"/>
                <w:kern w:val="0"/>
                <w:szCs w:val="21"/>
              </w:rPr>
            </w:pPr>
            <w:r>
              <w:rPr>
                <w:rFonts w:eastAsia="楷体_GB2312"/>
                <w:color w:val="000000"/>
                <w:kern w:val="0"/>
                <w:szCs w:val="21"/>
              </w:rPr>
              <w:t>13</w:t>
            </w:r>
          </w:p>
        </w:tc>
        <w:tc>
          <w:tcPr>
            <w:tcW w:w="1276" w:type="dxa"/>
            <w:vMerge w:val="restart"/>
            <w:noWrap/>
            <w:vAlign w:val="center"/>
          </w:tcPr>
          <w:p w14:paraId="0448F721">
            <w:pPr>
              <w:jc w:val="center"/>
              <w:rPr>
                <w:rFonts w:eastAsia="楷体_GB2312"/>
                <w:color w:val="000000"/>
                <w:kern w:val="0"/>
                <w:szCs w:val="21"/>
              </w:rPr>
            </w:pPr>
            <w:r>
              <w:rPr>
                <w:rFonts w:eastAsia="楷体_GB2312"/>
                <w:color w:val="000000"/>
                <w:kern w:val="0"/>
                <w:szCs w:val="21"/>
              </w:rPr>
              <w:t>褚兰镇</w:t>
            </w:r>
          </w:p>
        </w:tc>
        <w:tc>
          <w:tcPr>
            <w:tcW w:w="850" w:type="dxa"/>
            <w:noWrap w:val="0"/>
            <w:vAlign w:val="center"/>
          </w:tcPr>
          <w:p w14:paraId="7B40BFC9">
            <w:pPr>
              <w:jc w:val="center"/>
              <w:rPr>
                <w:rFonts w:eastAsia="楷体_GB2312"/>
                <w:color w:val="000000"/>
                <w:kern w:val="0"/>
                <w:szCs w:val="21"/>
              </w:rPr>
            </w:pPr>
            <w:r>
              <w:rPr>
                <w:rFonts w:eastAsia="楷体_GB2312"/>
                <w:color w:val="000000"/>
                <w:kern w:val="0"/>
                <w:szCs w:val="21"/>
              </w:rPr>
              <w:t>1</w:t>
            </w:r>
          </w:p>
        </w:tc>
        <w:tc>
          <w:tcPr>
            <w:tcW w:w="1134" w:type="dxa"/>
            <w:noWrap/>
            <w:vAlign w:val="center"/>
          </w:tcPr>
          <w:p w14:paraId="250A3346">
            <w:pPr>
              <w:jc w:val="center"/>
              <w:rPr>
                <w:rFonts w:eastAsia="楷体_GB2312"/>
                <w:color w:val="000000"/>
                <w:kern w:val="0"/>
                <w:szCs w:val="21"/>
              </w:rPr>
            </w:pPr>
            <w:r>
              <w:rPr>
                <w:rFonts w:eastAsia="楷体_GB2312"/>
                <w:color w:val="000000"/>
                <w:kern w:val="0"/>
                <w:szCs w:val="21"/>
              </w:rPr>
              <w:t>475</w:t>
            </w:r>
          </w:p>
        </w:tc>
        <w:tc>
          <w:tcPr>
            <w:tcW w:w="1134" w:type="dxa"/>
            <w:noWrap/>
            <w:vAlign w:val="center"/>
          </w:tcPr>
          <w:p w14:paraId="569F756F">
            <w:pPr>
              <w:jc w:val="center"/>
              <w:rPr>
                <w:rFonts w:eastAsia="楷体_GB2312"/>
                <w:color w:val="000000"/>
                <w:kern w:val="0"/>
                <w:szCs w:val="21"/>
              </w:rPr>
            </w:pPr>
            <w:r>
              <w:rPr>
                <w:rFonts w:eastAsia="楷体_GB2312"/>
                <w:color w:val="000000"/>
                <w:kern w:val="0"/>
                <w:szCs w:val="21"/>
              </w:rPr>
              <w:t>31.67</w:t>
            </w:r>
          </w:p>
        </w:tc>
        <w:tc>
          <w:tcPr>
            <w:tcW w:w="1134" w:type="dxa"/>
            <w:noWrap/>
            <w:vAlign w:val="center"/>
          </w:tcPr>
          <w:p w14:paraId="752190A5">
            <w:pPr>
              <w:jc w:val="center"/>
              <w:rPr>
                <w:rFonts w:eastAsia="楷体_GB2312"/>
                <w:color w:val="000000"/>
                <w:kern w:val="0"/>
                <w:szCs w:val="21"/>
              </w:rPr>
            </w:pPr>
            <w:r>
              <w:rPr>
                <w:rFonts w:eastAsia="楷体_GB2312"/>
                <w:color w:val="000000"/>
                <w:kern w:val="0"/>
                <w:szCs w:val="21"/>
              </w:rPr>
              <w:t>350</w:t>
            </w:r>
          </w:p>
        </w:tc>
        <w:tc>
          <w:tcPr>
            <w:tcW w:w="992" w:type="dxa"/>
            <w:noWrap/>
            <w:vAlign w:val="center"/>
          </w:tcPr>
          <w:p w14:paraId="77CE927A">
            <w:pPr>
              <w:jc w:val="center"/>
              <w:rPr>
                <w:rFonts w:eastAsia="楷体_GB2312"/>
                <w:color w:val="000000"/>
                <w:kern w:val="0"/>
                <w:szCs w:val="21"/>
              </w:rPr>
            </w:pPr>
            <w:r>
              <w:rPr>
                <w:rFonts w:eastAsia="楷体_GB2312"/>
                <w:color w:val="000000"/>
                <w:kern w:val="0"/>
                <w:szCs w:val="21"/>
              </w:rPr>
              <w:t>23.33</w:t>
            </w:r>
          </w:p>
        </w:tc>
        <w:tc>
          <w:tcPr>
            <w:tcW w:w="1134" w:type="dxa"/>
            <w:noWrap/>
            <w:vAlign w:val="center"/>
          </w:tcPr>
          <w:p w14:paraId="390A39DC">
            <w:pPr>
              <w:jc w:val="center"/>
              <w:rPr>
                <w:rFonts w:eastAsia="楷体_GB2312"/>
                <w:color w:val="000000"/>
                <w:kern w:val="0"/>
                <w:szCs w:val="21"/>
              </w:rPr>
            </w:pPr>
            <w:r>
              <w:rPr>
                <w:rFonts w:eastAsia="楷体_GB2312"/>
                <w:color w:val="000000"/>
                <w:kern w:val="0"/>
                <w:szCs w:val="21"/>
              </w:rPr>
              <w:t>170</w:t>
            </w:r>
          </w:p>
        </w:tc>
        <w:tc>
          <w:tcPr>
            <w:tcW w:w="992" w:type="dxa"/>
            <w:noWrap/>
            <w:vAlign w:val="center"/>
          </w:tcPr>
          <w:p w14:paraId="3EAA3C18">
            <w:pPr>
              <w:jc w:val="center"/>
              <w:rPr>
                <w:rFonts w:eastAsia="楷体_GB2312"/>
                <w:color w:val="000000"/>
                <w:kern w:val="0"/>
                <w:szCs w:val="21"/>
              </w:rPr>
            </w:pPr>
            <w:r>
              <w:rPr>
                <w:rFonts w:eastAsia="楷体_GB2312"/>
                <w:color w:val="000000"/>
                <w:kern w:val="0"/>
                <w:szCs w:val="21"/>
              </w:rPr>
              <w:t>11.33</w:t>
            </w:r>
          </w:p>
        </w:tc>
      </w:tr>
      <w:tr w14:paraId="25294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25A86D58">
            <w:pPr>
              <w:jc w:val="center"/>
              <w:rPr>
                <w:rFonts w:eastAsia="楷体_GB2312"/>
                <w:color w:val="000000"/>
                <w:kern w:val="0"/>
                <w:szCs w:val="21"/>
              </w:rPr>
            </w:pPr>
          </w:p>
        </w:tc>
        <w:tc>
          <w:tcPr>
            <w:tcW w:w="1276" w:type="dxa"/>
            <w:vMerge w:val="continue"/>
            <w:noWrap/>
            <w:vAlign w:val="center"/>
          </w:tcPr>
          <w:p w14:paraId="6E710B3A">
            <w:pPr>
              <w:jc w:val="center"/>
              <w:rPr>
                <w:rFonts w:eastAsia="楷体_GB2312"/>
                <w:color w:val="000000"/>
                <w:kern w:val="0"/>
                <w:szCs w:val="21"/>
              </w:rPr>
            </w:pPr>
          </w:p>
        </w:tc>
        <w:tc>
          <w:tcPr>
            <w:tcW w:w="850" w:type="dxa"/>
            <w:noWrap w:val="0"/>
            <w:vAlign w:val="center"/>
          </w:tcPr>
          <w:p w14:paraId="44D4D239">
            <w:pPr>
              <w:jc w:val="center"/>
              <w:rPr>
                <w:rFonts w:eastAsia="楷体_GB2312"/>
                <w:color w:val="000000"/>
                <w:kern w:val="0"/>
                <w:szCs w:val="21"/>
              </w:rPr>
            </w:pPr>
            <w:r>
              <w:rPr>
                <w:rFonts w:eastAsia="楷体_GB2312"/>
                <w:color w:val="000000"/>
                <w:kern w:val="0"/>
                <w:szCs w:val="21"/>
              </w:rPr>
              <w:t>2</w:t>
            </w:r>
          </w:p>
        </w:tc>
        <w:tc>
          <w:tcPr>
            <w:tcW w:w="1134" w:type="dxa"/>
            <w:noWrap/>
            <w:vAlign w:val="center"/>
          </w:tcPr>
          <w:p w14:paraId="0608A3F8">
            <w:pPr>
              <w:jc w:val="center"/>
              <w:rPr>
                <w:rFonts w:eastAsia="楷体_GB2312"/>
                <w:color w:val="000000"/>
                <w:kern w:val="0"/>
                <w:szCs w:val="21"/>
              </w:rPr>
            </w:pPr>
            <w:r>
              <w:rPr>
                <w:rFonts w:eastAsia="楷体_GB2312"/>
                <w:color w:val="000000"/>
                <w:kern w:val="0"/>
                <w:szCs w:val="21"/>
              </w:rPr>
              <w:t>375</w:t>
            </w:r>
          </w:p>
        </w:tc>
        <w:tc>
          <w:tcPr>
            <w:tcW w:w="1134" w:type="dxa"/>
            <w:noWrap/>
            <w:vAlign w:val="center"/>
          </w:tcPr>
          <w:p w14:paraId="305A6EA3">
            <w:pPr>
              <w:jc w:val="center"/>
              <w:rPr>
                <w:rFonts w:eastAsia="楷体_GB2312"/>
                <w:color w:val="000000"/>
                <w:kern w:val="0"/>
                <w:szCs w:val="21"/>
              </w:rPr>
            </w:pPr>
            <w:r>
              <w:rPr>
                <w:rFonts w:eastAsia="楷体_GB2312"/>
                <w:color w:val="000000"/>
                <w:kern w:val="0"/>
                <w:szCs w:val="21"/>
              </w:rPr>
              <w:t>25.00</w:t>
            </w:r>
          </w:p>
        </w:tc>
        <w:tc>
          <w:tcPr>
            <w:tcW w:w="1134" w:type="dxa"/>
            <w:noWrap/>
            <w:vAlign w:val="center"/>
          </w:tcPr>
          <w:p w14:paraId="568E5BE4">
            <w:pPr>
              <w:jc w:val="center"/>
              <w:rPr>
                <w:rFonts w:eastAsia="楷体_GB2312"/>
                <w:color w:val="000000"/>
                <w:kern w:val="0"/>
                <w:szCs w:val="21"/>
              </w:rPr>
            </w:pPr>
            <w:r>
              <w:rPr>
                <w:rFonts w:eastAsia="楷体_GB2312"/>
                <w:color w:val="000000"/>
                <w:kern w:val="0"/>
                <w:szCs w:val="21"/>
              </w:rPr>
              <w:t>270</w:t>
            </w:r>
          </w:p>
        </w:tc>
        <w:tc>
          <w:tcPr>
            <w:tcW w:w="992" w:type="dxa"/>
            <w:noWrap/>
            <w:vAlign w:val="center"/>
          </w:tcPr>
          <w:p w14:paraId="717CBC00">
            <w:pPr>
              <w:jc w:val="center"/>
              <w:rPr>
                <w:rFonts w:eastAsia="楷体_GB2312"/>
                <w:color w:val="000000"/>
                <w:kern w:val="0"/>
                <w:szCs w:val="21"/>
              </w:rPr>
            </w:pPr>
            <w:r>
              <w:rPr>
                <w:rFonts w:eastAsia="楷体_GB2312"/>
                <w:color w:val="000000"/>
                <w:kern w:val="0"/>
                <w:szCs w:val="21"/>
              </w:rPr>
              <w:t>18.00</w:t>
            </w:r>
          </w:p>
        </w:tc>
        <w:tc>
          <w:tcPr>
            <w:tcW w:w="1134" w:type="dxa"/>
            <w:noWrap/>
            <w:vAlign w:val="center"/>
          </w:tcPr>
          <w:p w14:paraId="3A8B9388">
            <w:pPr>
              <w:jc w:val="center"/>
              <w:rPr>
                <w:rFonts w:eastAsia="楷体_GB2312"/>
                <w:color w:val="000000"/>
                <w:kern w:val="0"/>
                <w:szCs w:val="21"/>
              </w:rPr>
            </w:pPr>
            <w:r>
              <w:rPr>
                <w:rFonts w:eastAsia="楷体_GB2312"/>
                <w:color w:val="000000"/>
                <w:kern w:val="0"/>
                <w:szCs w:val="21"/>
              </w:rPr>
              <w:t>155</w:t>
            </w:r>
          </w:p>
        </w:tc>
        <w:tc>
          <w:tcPr>
            <w:tcW w:w="992" w:type="dxa"/>
            <w:noWrap/>
            <w:vAlign w:val="center"/>
          </w:tcPr>
          <w:p w14:paraId="1045C21C">
            <w:pPr>
              <w:jc w:val="center"/>
              <w:rPr>
                <w:rFonts w:eastAsia="楷体_GB2312"/>
                <w:color w:val="000000"/>
                <w:kern w:val="0"/>
                <w:szCs w:val="21"/>
              </w:rPr>
            </w:pPr>
            <w:r>
              <w:rPr>
                <w:rFonts w:eastAsia="楷体_GB2312"/>
                <w:color w:val="000000"/>
                <w:kern w:val="0"/>
                <w:szCs w:val="21"/>
              </w:rPr>
              <w:t>10.33</w:t>
            </w:r>
          </w:p>
        </w:tc>
      </w:tr>
      <w:tr w14:paraId="5155F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2D86929D">
            <w:pPr>
              <w:jc w:val="center"/>
              <w:rPr>
                <w:rFonts w:eastAsia="楷体_GB2312"/>
                <w:color w:val="000000"/>
                <w:kern w:val="0"/>
                <w:szCs w:val="21"/>
              </w:rPr>
            </w:pPr>
          </w:p>
        </w:tc>
        <w:tc>
          <w:tcPr>
            <w:tcW w:w="1276" w:type="dxa"/>
            <w:vMerge w:val="continue"/>
            <w:noWrap/>
            <w:vAlign w:val="center"/>
          </w:tcPr>
          <w:p w14:paraId="0F14207B">
            <w:pPr>
              <w:jc w:val="center"/>
              <w:rPr>
                <w:rFonts w:eastAsia="楷体_GB2312"/>
                <w:color w:val="000000"/>
                <w:kern w:val="0"/>
                <w:szCs w:val="21"/>
              </w:rPr>
            </w:pPr>
          </w:p>
        </w:tc>
        <w:tc>
          <w:tcPr>
            <w:tcW w:w="850" w:type="dxa"/>
            <w:noWrap w:val="0"/>
            <w:vAlign w:val="center"/>
          </w:tcPr>
          <w:p w14:paraId="70EEA4B0">
            <w:pPr>
              <w:jc w:val="center"/>
              <w:rPr>
                <w:rFonts w:eastAsia="楷体_GB2312"/>
                <w:color w:val="000000"/>
                <w:kern w:val="0"/>
                <w:szCs w:val="21"/>
              </w:rPr>
            </w:pPr>
            <w:r>
              <w:rPr>
                <w:rFonts w:eastAsia="楷体_GB2312"/>
                <w:color w:val="000000"/>
                <w:kern w:val="0"/>
                <w:szCs w:val="21"/>
              </w:rPr>
              <w:t>3</w:t>
            </w:r>
          </w:p>
        </w:tc>
        <w:tc>
          <w:tcPr>
            <w:tcW w:w="1134" w:type="dxa"/>
            <w:noWrap/>
            <w:vAlign w:val="center"/>
          </w:tcPr>
          <w:p w14:paraId="1622ADF0">
            <w:pPr>
              <w:jc w:val="center"/>
              <w:rPr>
                <w:rFonts w:eastAsia="楷体_GB2312"/>
                <w:color w:val="000000"/>
                <w:kern w:val="0"/>
                <w:szCs w:val="21"/>
              </w:rPr>
            </w:pPr>
            <w:r>
              <w:rPr>
                <w:rFonts w:eastAsia="楷体_GB2312"/>
                <w:color w:val="000000"/>
                <w:kern w:val="0"/>
                <w:szCs w:val="21"/>
              </w:rPr>
              <w:t>295</w:t>
            </w:r>
          </w:p>
        </w:tc>
        <w:tc>
          <w:tcPr>
            <w:tcW w:w="1134" w:type="dxa"/>
            <w:noWrap/>
            <w:vAlign w:val="center"/>
          </w:tcPr>
          <w:p w14:paraId="549F2B91">
            <w:pPr>
              <w:jc w:val="center"/>
              <w:rPr>
                <w:rFonts w:eastAsia="楷体_GB2312"/>
                <w:color w:val="000000"/>
                <w:kern w:val="0"/>
                <w:szCs w:val="21"/>
              </w:rPr>
            </w:pPr>
            <w:r>
              <w:rPr>
                <w:rFonts w:eastAsia="楷体_GB2312"/>
                <w:color w:val="000000"/>
                <w:kern w:val="0"/>
                <w:szCs w:val="21"/>
              </w:rPr>
              <w:t>19.67</w:t>
            </w:r>
          </w:p>
        </w:tc>
        <w:tc>
          <w:tcPr>
            <w:tcW w:w="1134" w:type="dxa"/>
            <w:noWrap/>
            <w:vAlign w:val="center"/>
          </w:tcPr>
          <w:p w14:paraId="0EF24C7E">
            <w:pPr>
              <w:jc w:val="center"/>
              <w:rPr>
                <w:rFonts w:eastAsia="楷体_GB2312"/>
                <w:color w:val="000000"/>
                <w:kern w:val="0"/>
                <w:szCs w:val="21"/>
              </w:rPr>
            </w:pPr>
            <w:r>
              <w:rPr>
                <w:rFonts w:eastAsia="楷体_GB2312"/>
                <w:color w:val="000000"/>
                <w:kern w:val="0"/>
                <w:szCs w:val="21"/>
              </w:rPr>
              <w:t>205</w:t>
            </w:r>
          </w:p>
        </w:tc>
        <w:tc>
          <w:tcPr>
            <w:tcW w:w="992" w:type="dxa"/>
            <w:noWrap/>
            <w:vAlign w:val="center"/>
          </w:tcPr>
          <w:p w14:paraId="44FB9A9E">
            <w:pPr>
              <w:jc w:val="center"/>
              <w:rPr>
                <w:rFonts w:eastAsia="楷体_GB2312"/>
                <w:color w:val="000000"/>
                <w:kern w:val="0"/>
                <w:szCs w:val="21"/>
              </w:rPr>
            </w:pPr>
            <w:r>
              <w:rPr>
                <w:rFonts w:eastAsia="楷体_GB2312"/>
                <w:color w:val="000000"/>
                <w:kern w:val="0"/>
                <w:szCs w:val="21"/>
              </w:rPr>
              <w:t>13.67</w:t>
            </w:r>
          </w:p>
        </w:tc>
        <w:tc>
          <w:tcPr>
            <w:tcW w:w="1134" w:type="dxa"/>
            <w:noWrap/>
            <w:vAlign w:val="center"/>
          </w:tcPr>
          <w:p w14:paraId="1504E569">
            <w:pPr>
              <w:jc w:val="center"/>
              <w:rPr>
                <w:rFonts w:eastAsia="楷体_GB2312"/>
                <w:color w:val="000000"/>
                <w:kern w:val="0"/>
                <w:szCs w:val="21"/>
              </w:rPr>
            </w:pPr>
            <w:r>
              <w:rPr>
                <w:rFonts w:eastAsia="楷体_GB2312"/>
                <w:color w:val="000000"/>
                <w:kern w:val="0"/>
                <w:szCs w:val="21"/>
              </w:rPr>
              <w:t>144</w:t>
            </w:r>
          </w:p>
        </w:tc>
        <w:tc>
          <w:tcPr>
            <w:tcW w:w="992" w:type="dxa"/>
            <w:noWrap/>
            <w:vAlign w:val="center"/>
          </w:tcPr>
          <w:p w14:paraId="107D7E1D">
            <w:pPr>
              <w:jc w:val="center"/>
              <w:rPr>
                <w:rFonts w:eastAsia="楷体_GB2312"/>
                <w:color w:val="000000"/>
                <w:kern w:val="0"/>
                <w:szCs w:val="21"/>
              </w:rPr>
            </w:pPr>
            <w:r>
              <w:rPr>
                <w:rFonts w:eastAsia="楷体_GB2312"/>
                <w:color w:val="000000"/>
                <w:kern w:val="0"/>
                <w:szCs w:val="21"/>
              </w:rPr>
              <w:t>9.60</w:t>
            </w:r>
          </w:p>
        </w:tc>
      </w:tr>
      <w:tr w14:paraId="7AE3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ign w:val="center"/>
          </w:tcPr>
          <w:p w14:paraId="27CAC72E">
            <w:pPr>
              <w:jc w:val="center"/>
              <w:rPr>
                <w:rFonts w:eastAsia="楷体_GB2312"/>
                <w:color w:val="000000"/>
                <w:kern w:val="0"/>
                <w:szCs w:val="21"/>
              </w:rPr>
            </w:pPr>
            <w:r>
              <w:rPr>
                <w:rFonts w:eastAsia="楷体_GB2312"/>
                <w:color w:val="000000"/>
                <w:kern w:val="0"/>
                <w:szCs w:val="21"/>
              </w:rPr>
              <w:t>14</w:t>
            </w:r>
          </w:p>
        </w:tc>
        <w:tc>
          <w:tcPr>
            <w:tcW w:w="1276" w:type="dxa"/>
            <w:vMerge w:val="restart"/>
            <w:noWrap/>
            <w:vAlign w:val="center"/>
          </w:tcPr>
          <w:p w14:paraId="2A232364">
            <w:pPr>
              <w:jc w:val="center"/>
              <w:rPr>
                <w:rFonts w:eastAsia="楷体_GB2312"/>
                <w:color w:val="000000"/>
                <w:kern w:val="0"/>
                <w:szCs w:val="21"/>
              </w:rPr>
            </w:pPr>
            <w:r>
              <w:rPr>
                <w:rFonts w:eastAsia="楷体_GB2312"/>
                <w:color w:val="000000"/>
                <w:kern w:val="0"/>
                <w:szCs w:val="21"/>
              </w:rPr>
              <w:t>顺河乡</w:t>
            </w:r>
          </w:p>
        </w:tc>
        <w:tc>
          <w:tcPr>
            <w:tcW w:w="850" w:type="dxa"/>
            <w:noWrap w:val="0"/>
            <w:vAlign w:val="center"/>
          </w:tcPr>
          <w:p w14:paraId="213655BE">
            <w:pPr>
              <w:jc w:val="center"/>
              <w:rPr>
                <w:rFonts w:eastAsia="楷体_GB2312"/>
                <w:color w:val="000000"/>
                <w:kern w:val="0"/>
                <w:szCs w:val="21"/>
              </w:rPr>
            </w:pPr>
            <w:r>
              <w:rPr>
                <w:rFonts w:eastAsia="楷体_GB2312"/>
                <w:color w:val="000000"/>
                <w:kern w:val="0"/>
                <w:szCs w:val="21"/>
              </w:rPr>
              <w:t>1</w:t>
            </w:r>
          </w:p>
        </w:tc>
        <w:tc>
          <w:tcPr>
            <w:tcW w:w="1134" w:type="dxa"/>
            <w:noWrap/>
            <w:vAlign w:val="center"/>
          </w:tcPr>
          <w:p w14:paraId="2A69FEDE">
            <w:pPr>
              <w:jc w:val="center"/>
              <w:rPr>
                <w:rFonts w:eastAsia="楷体_GB2312"/>
                <w:color w:val="000000"/>
                <w:kern w:val="0"/>
                <w:szCs w:val="21"/>
              </w:rPr>
            </w:pPr>
            <w:r>
              <w:rPr>
                <w:rFonts w:eastAsia="楷体_GB2312"/>
                <w:color w:val="000000"/>
                <w:kern w:val="0"/>
                <w:szCs w:val="21"/>
              </w:rPr>
              <w:t>470</w:t>
            </w:r>
          </w:p>
        </w:tc>
        <w:tc>
          <w:tcPr>
            <w:tcW w:w="1134" w:type="dxa"/>
            <w:noWrap/>
            <w:vAlign w:val="center"/>
          </w:tcPr>
          <w:p w14:paraId="6AD67B67">
            <w:pPr>
              <w:jc w:val="center"/>
              <w:rPr>
                <w:rFonts w:eastAsia="楷体_GB2312"/>
                <w:color w:val="000000"/>
                <w:kern w:val="0"/>
                <w:szCs w:val="21"/>
              </w:rPr>
            </w:pPr>
            <w:r>
              <w:rPr>
                <w:rFonts w:eastAsia="楷体_GB2312"/>
                <w:color w:val="000000"/>
                <w:kern w:val="0"/>
                <w:szCs w:val="21"/>
              </w:rPr>
              <w:t>31.33</w:t>
            </w:r>
          </w:p>
        </w:tc>
        <w:tc>
          <w:tcPr>
            <w:tcW w:w="1134" w:type="dxa"/>
            <w:noWrap/>
            <w:vAlign w:val="center"/>
          </w:tcPr>
          <w:p w14:paraId="2AD0A065">
            <w:pPr>
              <w:jc w:val="center"/>
              <w:rPr>
                <w:rFonts w:eastAsia="楷体_GB2312"/>
                <w:color w:val="000000"/>
                <w:kern w:val="0"/>
                <w:szCs w:val="21"/>
              </w:rPr>
            </w:pPr>
            <w:r>
              <w:rPr>
                <w:rFonts w:eastAsia="楷体_GB2312"/>
                <w:color w:val="000000"/>
                <w:kern w:val="0"/>
                <w:szCs w:val="21"/>
              </w:rPr>
              <w:t>340</w:t>
            </w:r>
          </w:p>
        </w:tc>
        <w:tc>
          <w:tcPr>
            <w:tcW w:w="992" w:type="dxa"/>
            <w:noWrap/>
            <w:vAlign w:val="center"/>
          </w:tcPr>
          <w:p w14:paraId="18AD44C9">
            <w:pPr>
              <w:jc w:val="center"/>
              <w:rPr>
                <w:rFonts w:eastAsia="楷体_GB2312"/>
                <w:color w:val="000000"/>
                <w:kern w:val="0"/>
                <w:szCs w:val="21"/>
              </w:rPr>
            </w:pPr>
            <w:r>
              <w:rPr>
                <w:rFonts w:eastAsia="楷体_GB2312"/>
                <w:color w:val="000000"/>
                <w:kern w:val="0"/>
                <w:szCs w:val="21"/>
              </w:rPr>
              <w:t>22.67</w:t>
            </w:r>
          </w:p>
        </w:tc>
        <w:tc>
          <w:tcPr>
            <w:tcW w:w="1134" w:type="dxa"/>
            <w:noWrap/>
            <w:vAlign w:val="center"/>
          </w:tcPr>
          <w:p w14:paraId="5E5E69F1">
            <w:pPr>
              <w:jc w:val="center"/>
              <w:rPr>
                <w:rFonts w:eastAsia="楷体_GB2312"/>
                <w:color w:val="000000"/>
                <w:kern w:val="0"/>
                <w:szCs w:val="21"/>
              </w:rPr>
            </w:pPr>
            <w:r>
              <w:rPr>
                <w:rFonts w:eastAsia="楷体_GB2312"/>
                <w:color w:val="000000"/>
                <w:kern w:val="0"/>
                <w:szCs w:val="21"/>
              </w:rPr>
              <w:t>170</w:t>
            </w:r>
          </w:p>
        </w:tc>
        <w:tc>
          <w:tcPr>
            <w:tcW w:w="992" w:type="dxa"/>
            <w:noWrap/>
            <w:vAlign w:val="center"/>
          </w:tcPr>
          <w:p w14:paraId="58FDE06E">
            <w:pPr>
              <w:jc w:val="center"/>
              <w:rPr>
                <w:rFonts w:eastAsia="楷体_GB2312"/>
                <w:color w:val="000000"/>
                <w:kern w:val="0"/>
                <w:szCs w:val="21"/>
              </w:rPr>
            </w:pPr>
            <w:r>
              <w:rPr>
                <w:rFonts w:eastAsia="楷体_GB2312"/>
                <w:color w:val="000000"/>
                <w:kern w:val="0"/>
                <w:szCs w:val="21"/>
              </w:rPr>
              <w:t>11.33</w:t>
            </w:r>
          </w:p>
        </w:tc>
      </w:tr>
      <w:tr w14:paraId="551D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69AD5CF9">
            <w:pPr>
              <w:jc w:val="center"/>
              <w:rPr>
                <w:rFonts w:eastAsia="楷体_GB2312"/>
                <w:color w:val="000000"/>
                <w:kern w:val="0"/>
                <w:szCs w:val="21"/>
              </w:rPr>
            </w:pPr>
          </w:p>
        </w:tc>
        <w:tc>
          <w:tcPr>
            <w:tcW w:w="1276" w:type="dxa"/>
            <w:vMerge w:val="continue"/>
            <w:noWrap/>
            <w:vAlign w:val="center"/>
          </w:tcPr>
          <w:p w14:paraId="2D8D1146">
            <w:pPr>
              <w:jc w:val="center"/>
              <w:rPr>
                <w:rFonts w:eastAsia="楷体_GB2312"/>
                <w:color w:val="000000"/>
                <w:kern w:val="0"/>
                <w:szCs w:val="21"/>
              </w:rPr>
            </w:pPr>
          </w:p>
        </w:tc>
        <w:tc>
          <w:tcPr>
            <w:tcW w:w="850" w:type="dxa"/>
            <w:noWrap w:val="0"/>
            <w:vAlign w:val="center"/>
          </w:tcPr>
          <w:p w14:paraId="4FA07E1D">
            <w:pPr>
              <w:jc w:val="center"/>
              <w:rPr>
                <w:rFonts w:eastAsia="楷体_GB2312"/>
                <w:color w:val="000000"/>
                <w:kern w:val="0"/>
                <w:szCs w:val="21"/>
              </w:rPr>
            </w:pPr>
            <w:r>
              <w:rPr>
                <w:rFonts w:eastAsia="楷体_GB2312"/>
                <w:color w:val="000000"/>
                <w:kern w:val="0"/>
                <w:szCs w:val="21"/>
              </w:rPr>
              <w:t>2</w:t>
            </w:r>
          </w:p>
        </w:tc>
        <w:tc>
          <w:tcPr>
            <w:tcW w:w="1134" w:type="dxa"/>
            <w:noWrap/>
            <w:vAlign w:val="center"/>
          </w:tcPr>
          <w:p w14:paraId="38F7215D">
            <w:pPr>
              <w:jc w:val="center"/>
              <w:rPr>
                <w:rFonts w:eastAsia="楷体_GB2312"/>
                <w:color w:val="000000"/>
                <w:kern w:val="0"/>
                <w:szCs w:val="21"/>
              </w:rPr>
            </w:pPr>
            <w:r>
              <w:rPr>
                <w:rFonts w:eastAsia="楷体_GB2312"/>
                <w:color w:val="000000"/>
                <w:kern w:val="0"/>
                <w:szCs w:val="21"/>
              </w:rPr>
              <w:t>370</w:t>
            </w:r>
          </w:p>
        </w:tc>
        <w:tc>
          <w:tcPr>
            <w:tcW w:w="1134" w:type="dxa"/>
            <w:noWrap/>
            <w:vAlign w:val="center"/>
          </w:tcPr>
          <w:p w14:paraId="08C2B087">
            <w:pPr>
              <w:jc w:val="center"/>
              <w:rPr>
                <w:rFonts w:eastAsia="楷体_GB2312"/>
                <w:color w:val="000000"/>
                <w:kern w:val="0"/>
                <w:szCs w:val="21"/>
              </w:rPr>
            </w:pPr>
            <w:r>
              <w:rPr>
                <w:rFonts w:eastAsia="楷体_GB2312"/>
                <w:color w:val="000000"/>
                <w:kern w:val="0"/>
                <w:szCs w:val="21"/>
              </w:rPr>
              <w:t>24.67</w:t>
            </w:r>
          </w:p>
        </w:tc>
        <w:tc>
          <w:tcPr>
            <w:tcW w:w="1134" w:type="dxa"/>
            <w:noWrap/>
            <w:vAlign w:val="center"/>
          </w:tcPr>
          <w:p w14:paraId="58CE53C4">
            <w:pPr>
              <w:jc w:val="center"/>
              <w:rPr>
                <w:rFonts w:eastAsia="楷体_GB2312"/>
                <w:color w:val="000000"/>
                <w:kern w:val="0"/>
                <w:szCs w:val="21"/>
              </w:rPr>
            </w:pPr>
            <w:r>
              <w:rPr>
                <w:rFonts w:eastAsia="楷体_GB2312"/>
                <w:color w:val="000000"/>
                <w:kern w:val="0"/>
                <w:szCs w:val="21"/>
              </w:rPr>
              <w:t>265</w:t>
            </w:r>
          </w:p>
        </w:tc>
        <w:tc>
          <w:tcPr>
            <w:tcW w:w="992" w:type="dxa"/>
            <w:noWrap/>
            <w:vAlign w:val="center"/>
          </w:tcPr>
          <w:p w14:paraId="24132CDA">
            <w:pPr>
              <w:jc w:val="center"/>
              <w:rPr>
                <w:rFonts w:eastAsia="楷体_GB2312"/>
                <w:color w:val="000000"/>
                <w:kern w:val="0"/>
                <w:szCs w:val="21"/>
              </w:rPr>
            </w:pPr>
            <w:r>
              <w:rPr>
                <w:rFonts w:eastAsia="楷体_GB2312"/>
                <w:color w:val="000000"/>
                <w:kern w:val="0"/>
                <w:szCs w:val="21"/>
              </w:rPr>
              <w:t>17.67</w:t>
            </w:r>
          </w:p>
        </w:tc>
        <w:tc>
          <w:tcPr>
            <w:tcW w:w="1134" w:type="dxa"/>
            <w:noWrap/>
            <w:vAlign w:val="center"/>
          </w:tcPr>
          <w:p w14:paraId="1418B617">
            <w:pPr>
              <w:jc w:val="center"/>
              <w:rPr>
                <w:rFonts w:eastAsia="楷体_GB2312"/>
                <w:color w:val="000000"/>
                <w:kern w:val="0"/>
                <w:szCs w:val="21"/>
              </w:rPr>
            </w:pPr>
            <w:r>
              <w:rPr>
                <w:rFonts w:eastAsia="楷体_GB2312"/>
                <w:color w:val="000000"/>
                <w:kern w:val="0"/>
                <w:szCs w:val="21"/>
              </w:rPr>
              <w:t>155</w:t>
            </w:r>
          </w:p>
        </w:tc>
        <w:tc>
          <w:tcPr>
            <w:tcW w:w="992" w:type="dxa"/>
            <w:noWrap/>
            <w:vAlign w:val="center"/>
          </w:tcPr>
          <w:p w14:paraId="5016358D">
            <w:pPr>
              <w:jc w:val="center"/>
              <w:rPr>
                <w:rFonts w:eastAsia="楷体_GB2312"/>
                <w:color w:val="000000"/>
                <w:kern w:val="0"/>
                <w:szCs w:val="21"/>
              </w:rPr>
            </w:pPr>
            <w:r>
              <w:rPr>
                <w:rFonts w:eastAsia="楷体_GB2312"/>
                <w:color w:val="000000"/>
                <w:kern w:val="0"/>
                <w:szCs w:val="21"/>
              </w:rPr>
              <w:t>10.33</w:t>
            </w:r>
          </w:p>
        </w:tc>
      </w:tr>
      <w:tr w14:paraId="7A4F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1432570E">
            <w:pPr>
              <w:jc w:val="center"/>
              <w:rPr>
                <w:rFonts w:eastAsia="楷体_GB2312"/>
                <w:color w:val="000000"/>
                <w:kern w:val="0"/>
                <w:szCs w:val="21"/>
              </w:rPr>
            </w:pPr>
          </w:p>
        </w:tc>
        <w:tc>
          <w:tcPr>
            <w:tcW w:w="1276" w:type="dxa"/>
            <w:vMerge w:val="continue"/>
            <w:noWrap/>
            <w:vAlign w:val="center"/>
          </w:tcPr>
          <w:p w14:paraId="3C634A3B">
            <w:pPr>
              <w:jc w:val="center"/>
              <w:rPr>
                <w:rFonts w:eastAsia="楷体_GB2312"/>
                <w:color w:val="000000"/>
                <w:kern w:val="0"/>
                <w:szCs w:val="21"/>
              </w:rPr>
            </w:pPr>
          </w:p>
        </w:tc>
        <w:tc>
          <w:tcPr>
            <w:tcW w:w="850" w:type="dxa"/>
            <w:noWrap w:val="0"/>
            <w:vAlign w:val="center"/>
          </w:tcPr>
          <w:p w14:paraId="47B6F903">
            <w:pPr>
              <w:jc w:val="center"/>
              <w:rPr>
                <w:rFonts w:eastAsia="楷体_GB2312"/>
                <w:color w:val="000000"/>
                <w:kern w:val="0"/>
                <w:szCs w:val="21"/>
              </w:rPr>
            </w:pPr>
            <w:r>
              <w:rPr>
                <w:rFonts w:eastAsia="楷体_GB2312"/>
                <w:color w:val="000000"/>
                <w:kern w:val="0"/>
                <w:szCs w:val="21"/>
              </w:rPr>
              <w:t>3</w:t>
            </w:r>
          </w:p>
        </w:tc>
        <w:tc>
          <w:tcPr>
            <w:tcW w:w="1134" w:type="dxa"/>
            <w:noWrap/>
            <w:vAlign w:val="center"/>
          </w:tcPr>
          <w:p w14:paraId="7CF4704D">
            <w:pPr>
              <w:jc w:val="center"/>
              <w:rPr>
                <w:rFonts w:eastAsia="楷体_GB2312"/>
                <w:color w:val="000000"/>
                <w:kern w:val="0"/>
                <w:szCs w:val="21"/>
              </w:rPr>
            </w:pPr>
            <w:r>
              <w:rPr>
                <w:rFonts w:eastAsia="楷体_GB2312"/>
                <w:color w:val="000000"/>
                <w:kern w:val="0"/>
                <w:szCs w:val="21"/>
              </w:rPr>
              <w:t>295</w:t>
            </w:r>
          </w:p>
        </w:tc>
        <w:tc>
          <w:tcPr>
            <w:tcW w:w="1134" w:type="dxa"/>
            <w:noWrap/>
            <w:vAlign w:val="center"/>
          </w:tcPr>
          <w:p w14:paraId="47006826">
            <w:pPr>
              <w:jc w:val="center"/>
              <w:rPr>
                <w:rFonts w:eastAsia="楷体_GB2312"/>
                <w:color w:val="000000"/>
                <w:kern w:val="0"/>
                <w:szCs w:val="21"/>
              </w:rPr>
            </w:pPr>
            <w:r>
              <w:rPr>
                <w:rFonts w:eastAsia="楷体_GB2312"/>
                <w:color w:val="000000"/>
                <w:kern w:val="0"/>
                <w:szCs w:val="21"/>
              </w:rPr>
              <w:t>19.67</w:t>
            </w:r>
          </w:p>
        </w:tc>
        <w:tc>
          <w:tcPr>
            <w:tcW w:w="1134" w:type="dxa"/>
            <w:noWrap/>
            <w:vAlign w:val="center"/>
          </w:tcPr>
          <w:p w14:paraId="1F292260">
            <w:pPr>
              <w:jc w:val="center"/>
              <w:rPr>
                <w:rFonts w:eastAsia="楷体_GB2312"/>
                <w:color w:val="000000"/>
                <w:kern w:val="0"/>
                <w:szCs w:val="21"/>
              </w:rPr>
            </w:pPr>
            <w:r>
              <w:rPr>
                <w:rFonts w:eastAsia="楷体_GB2312"/>
                <w:color w:val="000000"/>
                <w:kern w:val="0"/>
                <w:szCs w:val="21"/>
              </w:rPr>
              <w:t>205</w:t>
            </w:r>
          </w:p>
        </w:tc>
        <w:tc>
          <w:tcPr>
            <w:tcW w:w="992" w:type="dxa"/>
            <w:noWrap/>
            <w:vAlign w:val="center"/>
          </w:tcPr>
          <w:p w14:paraId="2D0FDF9B">
            <w:pPr>
              <w:jc w:val="center"/>
              <w:rPr>
                <w:rFonts w:eastAsia="楷体_GB2312"/>
                <w:color w:val="000000"/>
                <w:kern w:val="0"/>
                <w:szCs w:val="21"/>
              </w:rPr>
            </w:pPr>
            <w:r>
              <w:rPr>
                <w:rFonts w:eastAsia="楷体_GB2312"/>
                <w:color w:val="000000"/>
                <w:kern w:val="0"/>
                <w:szCs w:val="21"/>
              </w:rPr>
              <w:t>13.67</w:t>
            </w:r>
          </w:p>
        </w:tc>
        <w:tc>
          <w:tcPr>
            <w:tcW w:w="1134" w:type="dxa"/>
            <w:noWrap/>
            <w:vAlign w:val="center"/>
          </w:tcPr>
          <w:p w14:paraId="1D00E8C8">
            <w:pPr>
              <w:jc w:val="center"/>
              <w:rPr>
                <w:rFonts w:eastAsia="楷体_GB2312"/>
                <w:color w:val="000000"/>
                <w:kern w:val="0"/>
                <w:szCs w:val="21"/>
              </w:rPr>
            </w:pPr>
            <w:r>
              <w:rPr>
                <w:rFonts w:eastAsia="楷体_GB2312"/>
                <w:color w:val="000000"/>
                <w:kern w:val="0"/>
                <w:szCs w:val="21"/>
              </w:rPr>
              <w:t>144</w:t>
            </w:r>
          </w:p>
        </w:tc>
        <w:tc>
          <w:tcPr>
            <w:tcW w:w="992" w:type="dxa"/>
            <w:noWrap/>
            <w:vAlign w:val="center"/>
          </w:tcPr>
          <w:p w14:paraId="323FE30E">
            <w:pPr>
              <w:jc w:val="center"/>
              <w:rPr>
                <w:rFonts w:eastAsia="楷体_GB2312"/>
                <w:color w:val="000000"/>
                <w:kern w:val="0"/>
                <w:szCs w:val="21"/>
              </w:rPr>
            </w:pPr>
            <w:r>
              <w:rPr>
                <w:rFonts w:eastAsia="楷体_GB2312"/>
                <w:color w:val="000000"/>
                <w:kern w:val="0"/>
                <w:szCs w:val="21"/>
              </w:rPr>
              <w:t>9.60</w:t>
            </w:r>
          </w:p>
        </w:tc>
      </w:tr>
      <w:tr w14:paraId="7927D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ign w:val="center"/>
          </w:tcPr>
          <w:p w14:paraId="2C86E46D">
            <w:pPr>
              <w:jc w:val="center"/>
              <w:rPr>
                <w:rFonts w:eastAsia="楷体_GB2312"/>
                <w:color w:val="000000"/>
                <w:kern w:val="0"/>
                <w:szCs w:val="21"/>
              </w:rPr>
            </w:pPr>
            <w:r>
              <w:rPr>
                <w:rFonts w:eastAsia="楷体_GB2312"/>
                <w:color w:val="000000"/>
                <w:kern w:val="0"/>
                <w:szCs w:val="21"/>
              </w:rPr>
              <w:t>15</w:t>
            </w:r>
          </w:p>
        </w:tc>
        <w:tc>
          <w:tcPr>
            <w:tcW w:w="1276" w:type="dxa"/>
            <w:vMerge w:val="restart"/>
            <w:noWrap/>
            <w:vAlign w:val="center"/>
          </w:tcPr>
          <w:p w14:paraId="7F7EB511">
            <w:pPr>
              <w:jc w:val="center"/>
              <w:rPr>
                <w:rFonts w:eastAsia="楷体_GB2312"/>
                <w:color w:val="000000"/>
                <w:kern w:val="0"/>
                <w:szCs w:val="21"/>
              </w:rPr>
            </w:pPr>
            <w:r>
              <w:rPr>
                <w:rFonts w:eastAsia="楷体_GB2312"/>
                <w:color w:val="000000"/>
                <w:kern w:val="0"/>
                <w:szCs w:val="21"/>
              </w:rPr>
              <w:t>杨庄镇</w:t>
            </w:r>
          </w:p>
        </w:tc>
        <w:tc>
          <w:tcPr>
            <w:tcW w:w="850" w:type="dxa"/>
            <w:noWrap w:val="0"/>
            <w:vAlign w:val="center"/>
          </w:tcPr>
          <w:p w14:paraId="12C55A2C">
            <w:pPr>
              <w:jc w:val="center"/>
              <w:rPr>
                <w:rFonts w:eastAsia="楷体_GB2312"/>
                <w:color w:val="000000"/>
                <w:kern w:val="0"/>
                <w:szCs w:val="21"/>
              </w:rPr>
            </w:pPr>
            <w:r>
              <w:rPr>
                <w:rFonts w:eastAsia="楷体_GB2312"/>
                <w:color w:val="000000"/>
                <w:kern w:val="0"/>
                <w:szCs w:val="21"/>
              </w:rPr>
              <w:t>1</w:t>
            </w:r>
          </w:p>
        </w:tc>
        <w:tc>
          <w:tcPr>
            <w:tcW w:w="1134" w:type="dxa"/>
            <w:noWrap/>
            <w:vAlign w:val="center"/>
          </w:tcPr>
          <w:p w14:paraId="4E96CAAC">
            <w:pPr>
              <w:jc w:val="center"/>
              <w:rPr>
                <w:rFonts w:eastAsia="楷体_GB2312"/>
                <w:color w:val="000000"/>
                <w:kern w:val="0"/>
                <w:szCs w:val="21"/>
              </w:rPr>
            </w:pPr>
            <w:r>
              <w:rPr>
                <w:rFonts w:eastAsia="楷体_GB2312"/>
                <w:color w:val="000000"/>
                <w:kern w:val="0"/>
                <w:szCs w:val="21"/>
              </w:rPr>
              <w:t>455</w:t>
            </w:r>
          </w:p>
        </w:tc>
        <w:tc>
          <w:tcPr>
            <w:tcW w:w="1134" w:type="dxa"/>
            <w:noWrap/>
            <w:vAlign w:val="center"/>
          </w:tcPr>
          <w:p w14:paraId="7E3F3E98">
            <w:pPr>
              <w:jc w:val="center"/>
              <w:rPr>
                <w:rFonts w:eastAsia="楷体_GB2312"/>
                <w:color w:val="000000"/>
                <w:kern w:val="0"/>
                <w:szCs w:val="21"/>
              </w:rPr>
            </w:pPr>
            <w:r>
              <w:rPr>
                <w:rFonts w:eastAsia="楷体_GB2312"/>
                <w:color w:val="000000"/>
                <w:kern w:val="0"/>
                <w:szCs w:val="21"/>
              </w:rPr>
              <w:t>30.33</w:t>
            </w:r>
          </w:p>
        </w:tc>
        <w:tc>
          <w:tcPr>
            <w:tcW w:w="1134" w:type="dxa"/>
            <w:noWrap/>
            <w:vAlign w:val="center"/>
          </w:tcPr>
          <w:p w14:paraId="300F61EA">
            <w:pPr>
              <w:jc w:val="center"/>
              <w:rPr>
                <w:rFonts w:eastAsia="楷体_GB2312"/>
                <w:color w:val="000000"/>
                <w:kern w:val="0"/>
                <w:szCs w:val="21"/>
              </w:rPr>
            </w:pPr>
            <w:r>
              <w:rPr>
                <w:rFonts w:eastAsia="楷体_GB2312"/>
                <w:color w:val="000000"/>
                <w:kern w:val="0"/>
                <w:szCs w:val="21"/>
              </w:rPr>
              <w:t>340</w:t>
            </w:r>
          </w:p>
        </w:tc>
        <w:tc>
          <w:tcPr>
            <w:tcW w:w="992" w:type="dxa"/>
            <w:noWrap/>
            <w:vAlign w:val="center"/>
          </w:tcPr>
          <w:p w14:paraId="24615384">
            <w:pPr>
              <w:jc w:val="center"/>
              <w:rPr>
                <w:rFonts w:eastAsia="楷体_GB2312"/>
                <w:color w:val="000000"/>
                <w:kern w:val="0"/>
                <w:szCs w:val="21"/>
              </w:rPr>
            </w:pPr>
            <w:r>
              <w:rPr>
                <w:rFonts w:eastAsia="楷体_GB2312"/>
                <w:color w:val="000000"/>
                <w:kern w:val="0"/>
                <w:szCs w:val="21"/>
              </w:rPr>
              <w:t>22.67</w:t>
            </w:r>
          </w:p>
        </w:tc>
        <w:tc>
          <w:tcPr>
            <w:tcW w:w="1134" w:type="dxa"/>
            <w:noWrap/>
            <w:vAlign w:val="center"/>
          </w:tcPr>
          <w:p w14:paraId="5EFAC574">
            <w:pPr>
              <w:jc w:val="center"/>
              <w:rPr>
                <w:rFonts w:eastAsia="楷体_GB2312"/>
                <w:color w:val="000000"/>
                <w:kern w:val="0"/>
                <w:szCs w:val="21"/>
              </w:rPr>
            </w:pPr>
            <w:r>
              <w:rPr>
                <w:rFonts w:eastAsia="楷体_GB2312"/>
                <w:color w:val="000000"/>
                <w:kern w:val="0"/>
                <w:szCs w:val="21"/>
              </w:rPr>
              <w:t>170</w:t>
            </w:r>
          </w:p>
        </w:tc>
        <w:tc>
          <w:tcPr>
            <w:tcW w:w="992" w:type="dxa"/>
            <w:noWrap/>
            <w:vAlign w:val="center"/>
          </w:tcPr>
          <w:p w14:paraId="2BEB11AD">
            <w:pPr>
              <w:jc w:val="center"/>
              <w:rPr>
                <w:rFonts w:eastAsia="楷体_GB2312"/>
                <w:color w:val="000000"/>
                <w:kern w:val="0"/>
                <w:szCs w:val="21"/>
              </w:rPr>
            </w:pPr>
            <w:r>
              <w:rPr>
                <w:rFonts w:eastAsia="楷体_GB2312"/>
                <w:color w:val="000000"/>
                <w:kern w:val="0"/>
                <w:szCs w:val="21"/>
              </w:rPr>
              <w:t>11.33</w:t>
            </w:r>
          </w:p>
        </w:tc>
      </w:tr>
      <w:tr w14:paraId="44E4A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3AFB5B03">
            <w:pPr>
              <w:jc w:val="center"/>
              <w:rPr>
                <w:rFonts w:eastAsia="楷体_GB2312"/>
                <w:color w:val="000000"/>
                <w:kern w:val="0"/>
                <w:szCs w:val="21"/>
              </w:rPr>
            </w:pPr>
          </w:p>
        </w:tc>
        <w:tc>
          <w:tcPr>
            <w:tcW w:w="1276" w:type="dxa"/>
            <w:vMerge w:val="continue"/>
            <w:noWrap/>
            <w:vAlign w:val="center"/>
          </w:tcPr>
          <w:p w14:paraId="1A9217AF">
            <w:pPr>
              <w:jc w:val="center"/>
              <w:rPr>
                <w:rFonts w:eastAsia="楷体_GB2312"/>
                <w:color w:val="000000"/>
                <w:kern w:val="0"/>
                <w:szCs w:val="21"/>
              </w:rPr>
            </w:pPr>
          </w:p>
        </w:tc>
        <w:tc>
          <w:tcPr>
            <w:tcW w:w="850" w:type="dxa"/>
            <w:noWrap w:val="0"/>
            <w:vAlign w:val="center"/>
          </w:tcPr>
          <w:p w14:paraId="30138E27">
            <w:pPr>
              <w:jc w:val="center"/>
              <w:rPr>
                <w:rFonts w:eastAsia="楷体_GB2312"/>
                <w:color w:val="000000"/>
                <w:kern w:val="0"/>
                <w:szCs w:val="21"/>
              </w:rPr>
            </w:pPr>
            <w:r>
              <w:rPr>
                <w:rFonts w:eastAsia="楷体_GB2312"/>
                <w:color w:val="000000"/>
                <w:kern w:val="0"/>
                <w:szCs w:val="21"/>
              </w:rPr>
              <w:t>2</w:t>
            </w:r>
          </w:p>
        </w:tc>
        <w:tc>
          <w:tcPr>
            <w:tcW w:w="1134" w:type="dxa"/>
            <w:noWrap/>
            <w:vAlign w:val="center"/>
          </w:tcPr>
          <w:p w14:paraId="4523FCA8">
            <w:pPr>
              <w:jc w:val="center"/>
              <w:rPr>
                <w:rFonts w:eastAsia="楷体_GB2312"/>
                <w:color w:val="000000"/>
                <w:kern w:val="0"/>
                <w:szCs w:val="21"/>
              </w:rPr>
            </w:pPr>
            <w:r>
              <w:rPr>
                <w:rFonts w:eastAsia="楷体_GB2312"/>
                <w:color w:val="000000"/>
                <w:kern w:val="0"/>
                <w:szCs w:val="21"/>
              </w:rPr>
              <w:t>355</w:t>
            </w:r>
          </w:p>
        </w:tc>
        <w:tc>
          <w:tcPr>
            <w:tcW w:w="1134" w:type="dxa"/>
            <w:noWrap/>
            <w:vAlign w:val="center"/>
          </w:tcPr>
          <w:p w14:paraId="29599DD1">
            <w:pPr>
              <w:jc w:val="center"/>
              <w:rPr>
                <w:rFonts w:eastAsia="楷体_GB2312"/>
                <w:color w:val="000000"/>
                <w:kern w:val="0"/>
                <w:szCs w:val="21"/>
              </w:rPr>
            </w:pPr>
            <w:r>
              <w:rPr>
                <w:rFonts w:eastAsia="楷体_GB2312"/>
                <w:color w:val="000000"/>
                <w:kern w:val="0"/>
                <w:szCs w:val="21"/>
              </w:rPr>
              <w:t>23.67</w:t>
            </w:r>
          </w:p>
        </w:tc>
        <w:tc>
          <w:tcPr>
            <w:tcW w:w="1134" w:type="dxa"/>
            <w:noWrap/>
            <w:vAlign w:val="center"/>
          </w:tcPr>
          <w:p w14:paraId="0B3E2D3A">
            <w:pPr>
              <w:jc w:val="center"/>
              <w:rPr>
                <w:rFonts w:eastAsia="楷体_GB2312"/>
                <w:color w:val="000000"/>
                <w:kern w:val="0"/>
                <w:szCs w:val="21"/>
              </w:rPr>
            </w:pPr>
            <w:r>
              <w:rPr>
                <w:rFonts w:eastAsia="楷体_GB2312"/>
                <w:color w:val="000000"/>
                <w:kern w:val="0"/>
                <w:szCs w:val="21"/>
              </w:rPr>
              <w:t>255</w:t>
            </w:r>
          </w:p>
        </w:tc>
        <w:tc>
          <w:tcPr>
            <w:tcW w:w="992" w:type="dxa"/>
            <w:noWrap/>
            <w:vAlign w:val="center"/>
          </w:tcPr>
          <w:p w14:paraId="79E9B3EB">
            <w:pPr>
              <w:jc w:val="center"/>
              <w:rPr>
                <w:rFonts w:eastAsia="楷体_GB2312"/>
                <w:color w:val="000000"/>
                <w:kern w:val="0"/>
                <w:szCs w:val="21"/>
              </w:rPr>
            </w:pPr>
            <w:r>
              <w:rPr>
                <w:rFonts w:eastAsia="楷体_GB2312"/>
                <w:color w:val="000000"/>
                <w:kern w:val="0"/>
                <w:szCs w:val="21"/>
              </w:rPr>
              <w:t>17.00</w:t>
            </w:r>
          </w:p>
        </w:tc>
        <w:tc>
          <w:tcPr>
            <w:tcW w:w="1134" w:type="dxa"/>
            <w:noWrap/>
            <w:vAlign w:val="center"/>
          </w:tcPr>
          <w:p w14:paraId="54C10CE2">
            <w:pPr>
              <w:jc w:val="center"/>
              <w:rPr>
                <w:rFonts w:eastAsia="楷体_GB2312"/>
                <w:color w:val="000000"/>
                <w:kern w:val="0"/>
                <w:szCs w:val="21"/>
              </w:rPr>
            </w:pPr>
            <w:r>
              <w:rPr>
                <w:rFonts w:eastAsia="楷体_GB2312"/>
                <w:color w:val="000000"/>
                <w:kern w:val="0"/>
                <w:szCs w:val="21"/>
              </w:rPr>
              <w:t>155</w:t>
            </w:r>
          </w:p>
        </w:tc>
        <w:tc>
          <w:tcPr>
            <w:tcW w:w="992" w:type="dxa"/>
            <w:noWrap/>
            <w:vAlign w:val="center"/>
          </w:tcPr>
          <w:p w14:paraId="23138CD0">
            <w:pPr>
              <w:jc w:val="center"/>
              <w:rPr>
                <w:rFonts w:eastAsia="楷体_GB2312"/>
                <w:color w:val="000000"/>
                <w:kern w:val="0"/>
                <w:szCs w:val="21"/>
              </w:rPr>
            </w:pPr>
            <w:r>
              <w:rPr>
                <w:rFonts w:eastAsia="楷体_GB2312"/>
                <w:color w:val="000000"/>
                <w:kern w:val="0"/>
                <w:szCs w:val="21"/>
              </w:rPr>
              <w:t>10.33</w:t>
            </w:r>
          </w:p>
        </w:tc>
      </w:tr>
      <w:tr w14:paraId="2D78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39FD2F67">
            <w:pPr>
              <w:jc w:val="center"/>
              <w:rPr>
                <w:rFonts w:eastAsia="楷体_GB2312"/>
                <w:color w:val="000000"/>
                <w:kern w:val="0"/>
                <w:szCs w:val="21"/>
              </w:rPr>
            </w:pPr>
          </w:p>
        </w:tc>
        <w:tc>
          <w:tcPr>
            <w:tcW w:w="1276" w:type="dxa"/>
            <w:vMerge w:val="continue"/>
            <w:noWrap/>
            <w:vAlign w:val="center"/>
          </w:tcPr>
          <w:p w14:paraId="24A5049B">
            <w:pPr>
              <w:jc w:val="center"/>
              <w:rPr>
                <w:rFonts w:eastAsia="楷体_GB2312"/>
                <w:color w:val="000000"/>
                <w:kern w:val="0"/>
                <w:szCs w:val="21"/>
              </w:rPr>
            </w:pPr>
          </w:p>
        </w:tc>
        <w:tc>
          <w:tcPr>
            <w:tcW w:w="850" w:type="dxa"/>
            <w:noWrap w:val="0"/>
            <w:vAlign w:val="center"/>
          </w:tcPr>
          <w:p w14:paraId="16EEE6D7">
            <w:pPr>
              <w:jc w:val="center"/>
              <w:rPr>
                <w:rFonts w:eastAsia="楷体_GB2312"/>
                <w:color w:val="000000"/>
                <w:kern w:val="0"/>
                <w:szCs w:val="21"/>
              </w:rPr>
            </w:pPr>
            <w:r>
              <w:rPr>
                <w:rFonts w:eastAsia="楷体_GB2312"/>
                <w:color w:val="000000"/>
                <w:kern w:val="0"/>
                <w:szCs w:val="21"/>
              </w:rPr>
              <w:t>3</w:t>
            </w:r>
          </w:p>
        </w:tc>
        <w:tc>
          <w:tcPr>
            <w:tcW w:w="1134" w:type="dxa"/>
            <w:noWrap/>
            <w:vAlign w:val="center"/>
          </w:tcPr>
          <w:p w14:paraId="772002BC">
            <w:pPr>
              <w:jc w:val="center"/>
              <w:rPr>
                <w:rFonts w:eastAsia="楷体_GB2312"/>
                <w:color w:val="000000"/>
                <w:kern w:val="0"/>
                <w:szCs w:val="21"/>
              </w:rPr>
            </w:pPr>
            <w:r>
              <w:rPr>
                <w:rFonts w:eastAsia="楷体_GB2312"/>
                <w:color w:val="000000"/>
                <w:kern w:val="0"/>
                <w:szCs w:val="21"/>
              </w:rPr>
              <w:t>275</w:t>
            </w:r>
          </w:p>
        </w:tc>
        <w:tc>
          <w:tcPr>
            <w:tcW w:w="1134" w:type="dxa"/>
            <w:noWrap/>
            <w:vAlign w:val="center"/>
          </w:tcPr>
          <w:p w14:paraId="4D9DE635">
            <w:pPr>
              <w:jc w:val="center"/>
              <w:rPr>
                <w:rFonts w:eastAsia="楷体_GB2312"/>
                <w:color w:val="000000"/>
                <w:kern w:val="0"/>
                <w:szCs w:val="21"/>
              </w:rPr>
            </w:pPr>
            <w:r>
              <w:rPr>
                <w:rFonts w:eastAsia="楷体_GB2312"/>
                <w:color w:val="000000"/>
                <w:kern w:val="0"/>
                <w:szCs w:val="21"/>
              </w:rPr>
              <w:t>18.33</w:t>
            </w:r>
          </w:p>
        </w:tc>
        <w:tc>
          <w:tcPr>
            <w:tcW w:w="1134" w:type="dxa"/>
            <w:noWrap/>
            <w:vAlign w:val="center"/>
          </w:tcPr>
          <w:p w14:paraId="3A404215">
            <w:pPr>
              <w:jc w:val="center"/>
              <w:rPr>
                <w:rFonts w:eastAsia="楷体_GB2312"/>
                <w:color w:val="000000"/>
                <w:kern w:val="0"/>
                <w:szCs w:val="21"/>
              </w:rPr>
            </w:pPr>
            <w:r>
              <w:rPr>
                <w:rFonts w:eastAsia="楷体_GB2312"/>
                <w:color w:val="000000"/>
                <w:kern w:val="0"/>
                <w:szCs w:val="21"/>
              </w:rPr>
              <w:t>195</w:t>
            </w:r>
          </w:p>
        </w:tc>
        <w:tc>
          <w:tcPr>
            <w:tcW w:w="992" w:type="dxa"/>
            <w:noWrap/>
            <w:vAlign w:val="center"/>
          </w:tcPr>
          <w:p w14:paraId="7F7A91CC">
            <w:pPr>
              <w:jc w:val="center"/>
              <w:rPr>
                <w:rFonts w:eastAsia="楷体_GB2312"/>
                <w:color w:val="000000"/>
                <w:kern w:val="0"/>
                <w:szCs w:val="21"/>
              </w:rPr>
            </w:pPr>
            <w:r>
              <w:rPr>
                <w:rFonts w:eastAsia="楷体_GB2312"/>
                <w:color w:val="000000"/>
                <w:kern w:val="0"/>
                <w:szCs w:val="21"/>
              </w:rPr>
              <w:t>13.00</w:t>
            </w:r>
          </w:p>
        </w:tc>
        <w:tc>
          <w:tcPr>
            <w:tcW w:w="1134" w:type="dxa"/>
            <w:noWrap/>
            <w:vAlign w:val="center"/>
          </w:tcPr>
          <w:p w14:paraId="714B4C00">
            <w:pPr>
              <w:jc w:val="center"/>
              <w:rPr>
                <w:rFonts w:eastAsia="楷体_GB2312"/>
                <w:color w:val="000000"/>
                <w:kern w:val="0"/>
                <w:szCs w:val="21"/>
              </w:rPr>
            </w:pPr>
            <w:r>
              <w:rPr>
                <w:rFonts w:eastAsia="楷体_GB2312"/>
                <w:color w:val="000000"/>
                <w:kern w:val="0"/>
                <w:szCs w:val="21"/>
              </w:rPr>
              <w:t>144</w:t>
            </w:r>
          </w:p>
        </w:tc>
        <w:tc>
          <w:tcPr>
            <w:tcW w:w="992" w:type="dxa"/>
            <w:noWrap/>
            <w:vAlign w:val="center"/>
          </w:tcPr>
          <w:p w14:paraId="06A96343">
            <w:pPr>
              <w:jc w:val="center"/>
              <w:rPr>
                <w:rFonts w:eastAsia="楷体_GB2312"/>
                <w:color w:val="000000"/>
                <w:kern w:val="0"/>
                <w:szCs w:val="21"/>
              </w:rPr>
            </w:pPr>
            <w:r>
              <w:rPr>
                <w:rFonts w:eastAsia="楷体_GB2312"/>
                <w:color w:val="000000"/>
                <w:kern w:val="0"/>
                <w:szCs w:val="21"/>
              </w:rPr>
              <w:t>9.60</w:t>
            </w:r>
          </w:p>
        </w:tc>
      </w:tr>
      <w:tr w14:paraId="61D2F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ign w:val="center"/>
          </w:tcPr>
          <w:p w14:paraId="5A927CDC">
            <w:pPr>
              <w:jc w:val="center"/>
              <w:rPr>
                <w:rFonts w:eastAsia="楷体_GB2312"/>
                <w:color w:val="000000"/>
                <w:kern w:val="0"/>
                <w:szCs w:val="21"/>
              </w:rPr>
            </w:pPr>
            <w:r>
              <w:rPr>
                <w:rFonts w:eastAsia="楷体_GB2312"/>
                <w:color w:val="000000"/>
                <w:kern w:val="0"/>
                <w:szCs w:val="21"/>
              </w:rPr>
              <w:t>16</w:t>
            </w:r>
          </w:p>
        </w:tc>
        <w:tc>
          <w:tcPr>
            <w:tcW w:w="1276" w:type="dxa"/>
            <w:vMerge w:val="restart"/>
            <w:noWrap/>
            <w:vAlign w:val="center"/>
          </w:tcPr>
          <w:p w14:paraId="355E63DD">
            <w:pPr>
              <w:jc w:val="center"/>
              <w:rPr>
                <w:rFonts w:eastAsia="楷体_GB2312"/>
                <w:color w:val="000000"/>
                <w:kern w:val="0"/>
                <w:szCs w:val="21"/>
              </w:rPr>
            </w:pPr>
            <w:r>
              <w:rPr>
                <w:rFonts w:eastAsia="楷体_GB2312"/>
                <w:color w:val="000000"/>
                <w:kern w:val="0"/>
                <w:szCs w:val="21"/>
              </w:rPr>
              <w:t>永镇乡</w:t>
            </w:r>
          </w:p>
        </w:tc>
        <w:tc>
          <w:tcPr>
            <w:tcW w:w="850" w:type="dxa"/>
            <w:noWrap w:val="0"/>
            <w:vAlign w:val="center"/>
          </w:tcPr>
          <w:p w14:paraId="3B968FF9">
            <w:pPr>
              <w:jc w:val="center"/>
              <w:rPr>
                <w:rFonts w:eastAsia="楷体_GB2312"/>
                <w:color w:val="000000"/>
                <w:kern w:val="0"/>
                <w:szCs w:val="21"/>
              </w:rPr>
            </w:pPr>
            <w:r>
              <w:rPr>
                <w:rFonts w:eastAsia="楷体_GB2312"/>
                <w:color w:val="000000"/>
                <w:kern w:val="0"/>
                <w:szCs w:val="21"/>
              </w:rPr>
              <w:t>1</w:t>
            </w:r>
          </w:p>
        </w:tc>
        <w:tc>
          <w:tcPr>
            <w:tcW w:w="1134" w:type="dxa"/>
            <w:noWrap/>
            <w:vAlign w:val="center"/>
          </w:tcPr>
          <w:p w14:paraId="708832E2">
            <w:pPr>
              <w:jc w:val="center"/>
              <w:rPr>
                <w:rFonts w:eastAsia="楷体_GB2312"/>
                <w:color w:val="000000"/>
                <w:kern w:val="0"/>
                <w:szCs w:val="21"/>
              </w:rPr>
            </w:pPr>
            <w:r>
              <w:rPr>
                <w:rFonts w:eastAsia="楷体_GB2312"/>
                <w:color w:val="000000"/>
                <w:kern w:val="0"/>
                <w:szCs w:val="21"/>
              </w:rPr>
              <w:t>450</w:t>
            </w:r>
          </w:p>
        </w:tc>
        <w:tc>
          <w:tcPr>
            <w:tcW w:w="1134" w:type="dxa"/>
            <w:noWrap/>
            <w:vAlign w:val="center"/>
          </w:tcPr>
          <w:p w14:paraId="4E965415">
            <w:pPr>
              <w:jc w:val="center"/>
              <w:rPr>
                <w:rFonts w:eastAsia="楷体_GB2312"/>
                <w:color w:val="000000"/>
                <w:kern w:val="0"/>
                <w:szCs w:val="21"/>
              </w:rPr>
            </w:pPr>
            <w:r>
              <w:rPr>
                <w:rFonts w:eastAsia="楷体_GB2312"/>
                <w:color w:val="000000"/>
                <w:kern w:val="0"/>
                <w:szCs w:val="21"/>
              </w:rPr>
              <w:t>30.00</w:t>
            </w:r>
          </w:p>
        </w:tc>
        <w:tc>
          <w:tcPr>
            <w:tcW w:w="1134" w:type="dxa"/>
            <w:noWrap/>
            <w:vAlign w:val="center"/>
          </w:tcPr>
          <w:p w14:paraId="4840EFE6">
            <w:pPr>
              <w:jc w:val="center"/>
              <w:rPr>
                <w:rFonts w:eastAsia="楷体_GB2312"/>
                <w:color w:val="000000"/>
                <w:kern w:val="0"/>
                <w:szCs w:val="21"/>
              </w:rPr>
            </w:pPr>
            <w:r>
              <w:rPr>
                <w:rFonts w:eastAsia="楷体_GB2312"/>
                <w:color w:val="000000"/>
                <w:kern w:val="0"/>
                <w:szCs w:val="21"/>
              </w:rPr>
              <w:t>330</w:t>
            </w:r>
          </w:p>
        </w:tc>
        <w:tc>
          <w:tcPr>
            <w:tcW w:w="992" w:type="dxa"/>
            <w:noWrap/>
            <w:vAlign w:val="center"/>
          </w:tcPr>
          <w:p w14:paraId="3B6A6602">
            <w:pPr>
              <w:jc w:val="center"/>
              <w:rPr>
                <w:rFonts w:eastAsia="楷体_GB2312"/>
                <w:color w:val="000000"/>
                <w:kern w:val="0"/>
                <w:szCs w:val="21"/>
              </w:rPr>
            </w:pPr>
            <w:r>
              <w:rPr>
                <w:rFonts w:eastAsia="楷体_GB2312"/>
                <w:color w:val="000000"/>
                <w:kern w:val="0"/>
                <w:szCs w:val="21"/>
              </w:rPr>
              <w:t>22.00</w:t>
            </w:r>
          </w:p>
        </w:tc>
        <w:tc>
          <w:tcPr>
            <w:tcW w:w="1134" w:type="dxa"/>
            <w:noWrap/>
            <w:vAlign w:val="center"/>
          </w:tcPr>
          <w:p w14:paraId="78354417">
            <w:pPr>
              <w:jc w:val="center"/>
              <w:rPr>
                <w:rFonts w:eastAsia="楷体_GB2312"/>
                <w:color w:val="000000"/>
                <w:kern w:val="0"/>
                <w:szCs w:val="21"/>
              </w:rPr>
            </w:pPr>
            <w:r>
              <w:rPr>
                <w:rFonts w:eastAsia="楷体_GB2312"/>
                <w:color w:val="000000"/>
                <w:kern w:val="0"/>
                <w:szCs w:val="21"/>
              </w:rPr>
              <w:t>170</w:t>
            </w:r>
          </w:p>
        </w:tc>
        <w:tc>
          <w:tcPr>
            <w:tcW w:w="992" w:type="dxa"/>
            <w:noWrap/>
            <w:vAlign w:val="center"/>
          </w:tcPr>
          <w:p w14:paraId="343094C1">
            <w:pPr>
              <w:jc w:val="center"/>
              <w:rPr>
                <w:rFonts w:eastAsia="楷体_GB2312"/>
                <w:color w:val="000000"/>
                <w:kern w:val="0"/>
                <w:szCs w:val="21"/>
              </w:rPr>
            </w:pPr>
            <w:r>
              <w:rPr>
                <w:rFonts w:eastAsia="楷体_GB2312"/>
                <w:color w:val="000000"/>
                <w:kern w:val="0"/>
                <w:szCs w:val="21"/>
              </w:rPr>
              <w:t>11.33</w:t>
            </w:r>
          </w:p>
        </w:tc>
      </w:tr>
      <w:tr w14:paraId="2D3BA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21B64992">
            <w:pPr>
              <w:jc w:val="center"/>
              <w:rPr>
                <w:rFonts w:eastAsia="楷体_GB2312"/>
                <w:color w:val="000000"/>
                <w:kern w:val="0"/>
                <w:szCs w:val="21"/>
              </w:rPr>
            </w:pPr>
          </w:p>
        </w:tc>
        <w:tc>
          <w:tcPr>
            <w:tcW w:w="1276" w:type="dxa"/>
            <w:vMerge w:val="continue"/>
            <w:noWrap/>
            <w:vAlign w:val="center"/>
          </w:tcPr>
          <w:p w14:paraId="3D07048D">
            <w:pPr>
              <w:jc w:val="center"/>
              <w:rPr>
                <w:rFonts w:eastAsia="楷体_GB2312"/>
                <w:color w:val="000000"/>
                <w:kern w:val="0"/>
                <w:szCs w:val="21"/>
              </w:rPr>
            </w:pPr>
          </w:p>
        </w:tc>
        <w:tc>
          <w:tcPr>
            <w:tcW w:w="850" w:type="dxa"/>
            <w:noWrap w:val="0"/>
            <w:vAlign w:val="center"/>
          </w:tcPr>
          <w:p w14:paraId="36BBDC9B">
            <w:pPr>
              <w:jc w:val="center"/>
              <w:rPr>
                <w:rFonts w:eastAsia="楷体_GB2312"/>
                <w:color w:val="000000"/>
                <w:kern w:val="0"/>
                <w:szCs w:val="21"/>
              </w:rPr>
            </w:pPr>
            <w:r>
              <w:rPr>
                <w:rFonts w:eastAsia="楷体_GB2312"/>
                <w:color w:val="000000"/>
                <w:kern w:val="0"/>
                <w:szCs w:val="21"/>
              </w:rPr>
              <w:t>2</w:t>
            </w:r>
          </w:p>
        </w:tc>
        <w:tc>
          <w:tcPr>
            <w:tcW w:w="1134" w:type="dxa"/>
            <w:noWrap/>
            <w:vAlign w:val="center"/>
          </w:tcPr>
          <w:p w14:paraId="0D4CB983">
            <w:pPr>
              <w:jc w:val="center"/>
              <w:rPr>
                <w:rFonts w:eastAsia="楷体_GB2312"/>
                <w:color w:val="000000"/>
                <w:kern w:val="0"/>
                <w:szCs w:val="21"/>
              </w:rPr>
            </w:pPr>
            <w:r>
              <w:rPr>
                <w:rFonts w:eastAsia="楷体_GB2312"/>
                <w:color w:val="000000"/>
                <w:kern w:val="0"/>
                <w:szCs w:val="21"/>
              </w:rPr>
              <w:t>355</w:t>
            </w:r>
          </w:p>
        </w:tc>
        <w:tc>
          <w:tcPr>
            <w:tcW w:w="1134" w:type="dxa"/>
            <w:noWrap/>
            <w:vAlign w:val="center"/>
          </w:tcPr>
          <w:p w14:paraId="395A3D8A">
            <w:pPr>
              <w:jc w:val="center"/>
              <w:rPr>
                <w:rFonts w:eastAsia="楷体_GB2312"/>
                <w:color w:val="000000"/>
                <w:kern w:val="0"/>
                <w:szCs w:val="21"/>
              </w:rPr>
            </w:pPr>
            <w:r>
              <w:rPr>
                <w:rFonts w:eastAsia="楷体_GB2312"/>
                <w:color w:val="000000"/>
                <w:kern w:val="0"/>
                <w:szCs w:val="21"/>
              </w:rPr>
              <w:t>23.67</w:t>
            </w:r>
          </w:p>
        </w:tc>
        <w:tc>
          <w:tcPr>
            <w:tcW w:w="1134" w:type="dxa"/>
            <w:noWrap/>
            <w:vAlign w:val="center"/>
          </w:tcPr>
          <w:p w14:paraId="09EE3F14">
            <w:pPr>
              <w:jc w:val="center"/>
              <w:rPr>
                <w:rFonts w:eastAsia="楷体_GB2312"/>
                <w:color w:val="000000"/>
                <w:kern w:val="0"/>
                <w:szCs w:val="21"/>
              </w:rPr>
            </w:pPr>
            <w:r>
              <w:rPr>
                <w:rFonts w:eastAsia="楷体_GB2312"/>
                <w:color w:val="000000"/>
                <w:kern w:val="0"/>
                <w:szCs w:val="21"/>
              </w:rPr>
              <w:t>255</w:t>
            </w:r>
          </w:p>
        </w:tc>
        <w:tc>
          <w:tcPr>
            <w:tcW w:w="992" w:type="dxa"/>
            <w:noWrap/>
            <w:vAlign w:val="center"/>
          </w:tcPr>
          <w:p w14:paraId="78E589FF">
            <w:pPr>
              <w:jc w:val="center"/>
              <w:rPr>
                <w:rFonts w:eastAsia="楷体_GB2312"/>
                <w:color w:val="000000"/>
                <w:kern w:val="0"/>
                <w:szCs w:val="21"/>
              </w:rPr>
            </w:pPr>
            <w:r>
              <w:rPr>
                <w:rFonts w:eastAsia="楷体_GB2312"/>
                <w:color w:val="000000"/>
                <w:kern w:val="0"/>
                <w:szCs w:val="21"/>
              </w:rPr>
              <w:t>17.00</w:t>
            </w:r>
          </w:p>
        </w:tc>
        <w:tc>
          <w:tcPr>
            <w:tcW w:w="1134" w:type="dxa"/>
            <w:noWrap/>
            <w:vAlign w:val="center"/>
          </w:tcPr>
          <w:p w14:paraId="13EE4E3A">
            <w:pPr>
              <w:jc w:val="center"/>
              <w:rPr>
                <w:rFonts w:eastAsia="楷体_GB2312"/>
                <w:color w:val="000000"/>
                <w:kern w:val="0"/>
                <w:szCs w:val="21"/>
              </w:rPr>
            </w:pPr>
            <w:r>
              <w:rPr>
                <w:rFonts w:eastAsia="楷体_GB2312"/>
                <w:color w:val="000000"/>
                <w:kern w:val="0"/>
                <w:szCs w:val="21"/>
              </w:rPr>
              <w:t>155</w:t>
            </w:r>
          </w:p>
        </w:tc>
        <w:tc>
          <w:tcPr>
            <w:tcW w:w="992" w:type="dxa"/>
            <w:noWrap/>
            <w:vAlign w:val="center"/>
          </w:tcPr>
          <w:p w14:paraId="3C9CAAE2">
            <w:pPr>
              <w:jc w:val="center"/>
              <w:rPr>
                <w:rFonts w:eastAsia="楷体_GB2312"/>
                <w:color w:val="000000"/>
                <w:kern w:val="0"/>
                <w:szCs w:val="21"/>
              </w:rPr>
            </w:pPr>
            <w:r>
              <w:rPr>
                <w:rFonts w:eastAsia="楷体_GB2312"/>
                <w:color w:val="000000"/>
                <w:kern w:val="0"/>
                <w:szCs w:val="21"/>
              </w:rPr>
              <w:t>10.33</w:t>
            </w:r>
          </w:p>
        </w:tc>
      </w:tr>
      <w:tr w14:paraId="54F3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74173780">
            <w:pPr>
              <w:jc w:val="center"/>
              <w:rPr>
                <w:rFonts w:eastAsia="楷体_GB2312"/>
                <w:color w:val="000000"/>
                <w:kern w:val="0"/>
                <w:szCs w:val="21"/>
              </w:rPr>
            </w:pPr>
          </w:p>
        </w:tc>
        <w:tc>
          <w:tcPr>
            <w:tcW w:w="1276" w:type="dxa"/>
            <w:vMerge w:val="continue"/>
            <w:noWrap/>
            <w:vAlign w:val="center"/>
          </w:tcPr>
          <w:p w14:paraId="6F7EDFF3">
            <w:pPr>
              <w:jc w:val="center"/>
              <w:rPr>
                <w:rFonts w:eastAsia="楷体_GB2312"/>
                <w:color w:val="000000"/>
                <w:kern w:val="0"/>
                <w:szCs w:val="21"/>
              </w:rPr>
            </w:pPr>
          </w:p>
        </w:tc>
        <w:tc>
          <w:tcPr>
            <w:tcW w:w="850" w:type="dxa"/>
            <w:noWrap w:val="0"/>
            <w:vAlign w:val="center"/>
          </w:tcPr>
          <w:p w14:paraId="356EF0B0">
            <w:pPr>
              <w:jc w:val="center"/>
              <w:rPr>
                <w:rFonts w:eastAsia="楷体_GB2312"/>
                <w:color w:val="000000"/>
                <w:kern w:val="0"/>
                <w:szCs w:val="21"/>
              </w:rPr>
            </w:pPr>
            <w:r>
              <w:rPr>
                <w:rFonts w:eastAsia="楷体_GB2312"/>
                <w:color w:val="000000"/>
                <w:kern w:val="0"/>
                <w:szCs w:val="21"/>
              </w:rPr>
              <w:t>3</w:t>
            </w:r>
          </w:p>
        </w:tc>
        <w:tc>
          <w:tcPr>
            <w:tcW w:w="1134" w:type="dxa"/>
            <w:noWrap/>
            <w:vAlign w:val="center"/>
          </w:tcPr>
          <w:p w14:paraId="602B026B">
            <w:pPr>
              <w:jc w:val="center"/>
              <w:rPr>
                <w:rFonts w:eastAsia="楷体_GB2312"/>
                <w:color w:val="000000"/>
                <w:kern w:val="0"/>
                <w:szCs w:val="21"/>
              </w:rPr>
            </w:pPr>
            <w:r>
              <w:rPr>
                <w:rFonts w:eastAsia="楷体_GB2312"/>
                <w:color w:val="000000"/>
                <w:kern w:val="0"/>
                <w:szCs w:val="21"/>
              </w:rPr>
              <w:t>280</w:t>
            </w:r>
          </w:p>
        </w:tc>
        <w:tc>
          <w:tcPr>
            <w:tcW w:w="1134" w:type="dxa"/>
            <w:noWrap/>
            <w:vAlign w:val="center"/>
          </w:tcPr>
          <w:p w14:paraId="4C7B187B">
            <w:pPr>
              <w:jc w:val="center"/>
              <w:rPr>
                <w:rFonts w:eastAsia="楷体_GB2312"/>
                <w:color w:val="000000"/>
                <w:kern w:val="0"/>
                <w:szCs w:val="21"/>
              </w:rPr>
            </w:pPr>
            <w:r>
              <w:rPr>
                <w:rFonts w:eastAsia="楷体_GB2312"/>
                <w:color w:val="000000"/>
                <w:kern w:val="0"/>
                <w:szCs w:val="21"/>
              </w:rPr>
              <w:t>18.67</w:t>
            </w:r>
          </w:p>
        </w:tc>
        <w:tc>
          <w:tcPr>
            <w:tcW w:w="1134" w:type="dxa"/>
            <w:noWrap/>
            <w:vAlign w:val="center"/>
          </w:tcPr>
          <w:p w14:paraId="218F8F2D">
            <w:pPr>
              <w:jc w:val="center"/>
              <w:rPr>
                <w:rFonts w:eastAsia="楷体_GB2312"/>
                <w:color w:val="000000"/>
                <w:kern w:val="0"/>
                <w:szCs w:val="21"/>
              </w:rPr>
            </w:pPr>
            <w:r>
              <w:rPr>
                <w:rFonts w:eastAsia="楷体_GB2312"/>
                <w:color w:val="000000"/>
                <w:kern w:val="0"/>
                <w:szCs w:val="21"/>
              </w:rPr>
              <w:t>200</w:t>
            </w:r>
          </w:p>
        </w:tc>
        <w:tc>
          <w:tcPr>
            <w:tcW w:w="992" w:type="dxa"/>
            <w:noWrap/>
            <w:vAlign w:val="center"/>
          </w:tcPr>
          <w:p w14:paraId="799365DB">
            <w:pPr>
              <w:jc w:val="center"/>
              <w:rPr>
                <w:rFonts w:eastAsia="楷体_GB2312"/>
                <w:color w:val="000000"/>
                <w:kern w:val="0"/>
                <w:szCs w:val="21"/>
              </w:rPr>
            </w:pPr>
            <w:r>
              <w:rPr>
                <w:rFonts w:eastAsia="楷体_GB2312"/>
                <w:color w:val="000000"/>
                <w:kern w:val="0"/>
                <w:szCs w:val="21"/>
              </w:rPr>
              <w:t>13.33</w:t>
            </w:r>
          </w:p>
        </w:tc>
        <w:tc>
          <w:tcPr>
            <w:tcW w:w="1134" w:type="dxa"/>
            <w:noWrap/>
            <w:vAlign w:val="center"/>
          </w:tcPr>
          <w:p w14:paraId="23E422A9">
            <w:pPr>
              <w:jc w:val="center"/>
              <w:rPr>
                <w:rFonts w:eastAsia="楷体_GB2312"/>
                <w:color w:val="000000"/>
                <w:kern w:val="0"/>
                <w:szCs w:val="21"/>
              </w:rPr>
            </w:pPr>
            <w:r>
              <w:rPr>
                <w:rFonts w:eastAsia="楷体_GB2312"/>
                <w:color w:val="000000"/>
                <w:kern w:val="0"/>
                <w:szCs w:val="21"/>
              </w:rPr>
              <w:t>144</w:t>
            </w:r>
          </w:p>
        </w:tc>
        <w:tc>
          <w:tcPr>
            <w:tcW w:w="992" w:type="dxa"/>
            <w:noWrap/>
            <w:vAlign w:val="center"/>
          </w:tcPr>
          <w:p w14:paraId="1E1341D5">
            <w:pPr>
              <w:jc w:val="center"/>
              <w:rPr>
                <w:rFonts w:eastAsia="楷体_GB2312"/>
                <w:color w:val="000000"/>
                <w:kern w:val="0"/>
                <w:szCs w:val="21"/>
              </w:rPr>
            </w:pPr>
            <w:r>
              <w:rPr>
                <w:rFonts w:eastAsia="楷体_GB2312"/>
                <w:color w:val="000000"/>
                <w:kern w:val="0"/>
                <w:szCs w:val="21"/>
              </w:rPr>
              <w:t>9.60</w:t>
            </w:r>
          </w:p>
        </w:tc>
      </w:tr>
      <w:tr w14:paraId="662BE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ign w:val="center"/>
          </w:tcPr>
          <w:p w14:paraId="3C1A4B08">
            <w:pPr>
              <w:jc w:val="center"/>
              <w:rPr>
                <w:rFonts w:eastAsia="楷体_GB2312"/>
                <w:color w:val="000000"/>
                <w:kern w:val="0"/>
                <w:szCs w:val="21"/>
              </w:rPr>
            </w:pPr>
            <w:r>
              <w:rPr>
                <w:rFonts w:eastAsia="楷体_GB2312"/>
                <w:color w:val="000000"/>
                <w:kern w:val="0"/>
                <w:szCs w:val="21"/>
              </w:rPr>
              <w:t>17</w:t>
            </w:r>
          </w:p>
        </w:tc>
        <w:tc>
          <w:tcPr>
            <w:tcW w:w="1276" w:type="dxa"/>
            <w:vMerge w:val="restart"/>
            <w:noWrap/>
            <w:vAlign w:val="center"/>
          </w:tcPr>
          <w:p w14:paraId="62FD851A">
            <w:pPr>
              <w:jc w:val="center"/>
              <w:rPr>
                <w:rFonts w:eastAsia="楷体_GB2312"/>
                <w:color w:val="000000"/>
                <w:kern w:val="0"/>
                <w:szCs w:val="21"/>
              </w:rPr>
            </w:pPr>
            <w:r>
              <w:rPr>
                <w:rFonts w:eastAsia="楷体_GB2312"/>
                <w:color w:val="000000"/>
                <w:kern w:val="0"/>
                <w:szCs w:val="21"/>
              </w:rPr>
              <w:t>解集镇</w:t>
            </w:r>
          </w:p>
        </w:tc>
        <w:tc>
          <w:tcPr>
            <w:tcW w:w="850" w:type="dxa"/>
            <w:noWrap w:val="0"/>
            <w:vAlign w:val="center"/>
          </w:tcPr>
          <w:p w14:paraId="2359D7E5">
            <w:pPr>
              <w:jc w:val="center"/>
              <w:rPr>
                <w:rFonts w:eastAsia="楷体_GB2312"/>
                <w:color w:val="000000"/>
                <w:kern w:val="0"/>
                <w:szCs w:val="21"/>
              </w:rPr>
            </w:pPr>
            <w:r>
              <w:rPr>
                <w:rFonts w:eastAsia="楷体_GB2312"/>
                <w:color w:val="000000"/>
                <w:kern w:val="0"/>
                <w:szCs w:val="21"/>
              </w:rPr>
              <w:t>1</w:t>
            </w:r>
          </w:p>
        </w:tc>
        <w:tc>
          <w:tcPr>
            <w:tcW w:w="1134" w:type="dxa"/>
            <w:noWrap/>
            <w:vAlign w:val="center"/>
          </w:tcPr>
          <w:p w14:paraId="44D024CC">
            <w:pPr>
              <w:jc w:val="center"/>
              <w:rPr>
                <w:rFonts w:eastAsia="楷体_GB2312"/>
                <w:color w:val="000000"/>
                <w:kern w:val="0"/>
                <w:szCs w:val="21"/>
              </w:rPr>
            </w:pPr>
            <w:r>
              <w:rPr>
                <w:rFonts w:eastAsia="楷体_GB2312"/>
                <w:color w:val="000000"/>
                <w:kern w:val="0"/>
                <w:szCs w:val="21"/>
              </w:rPr>
              <w:t>435</w:t>
            </w:r>
          </w:p>
        </w:tc>
        <w:tc>
          <w:tcPr>
            <w:tcW w:w="1134" w:type="dxa"/>
            <w:noWrap/>
            <w:vAlign w:val="center"/>
          </w:tcPr>
          <w:p w14:paraId="22D6F434">
            <w:pPr>
              <w:jc w:val="center"/>
              <w:rPr>
                <w:rFonts w:eastAsia="楷体_GB2312"/>
                <w:color w:val="000000"/>
                <w:kern w:val="0"/>
                <w:szCs w:val="21"/>
              </w:rPr>
            </w:pPr>
            <w:r>
              <w:rPr>
                <w:rFonts w:eastAsia="楷体_GB2312"/>
                <w:color w:val="000000"/>
                <w:kern w:val="0"/>
                <w:szCs w:val="21"/>
              </w:rPr>
              <w:t>29.00</w:t>
            </w:r>
          </w:p>
        </w:tc>
        <w:tc>
          <w:tcPr>
            <w:tcW w:w="1134" w:type="dxa"/>
            <w:noWrap/>
            <w:vAlign w:val="center"/>
          </w:tcPr>
          <w:p w14:paraId="3C7D779C">
            <w:pPr>
              <w:jc w:val="center"/>
              <w:rPr>
                <w:rFonts w:eastAsia="楷体_GB2312"/>
                <w:color w:val="000000"/>
                <w:kern w:val="0"/>
                <w:szCs w:val="21"/>
              </w:rPr>
            </w:pPr>
            <w:r>
              <w:rPr>
                <w:rFonts w:eastAsia="楷体_GB2312"/>
                <w:color w:val="000000"/>
                <w:kern w:val="0"/>
                <w:szCs w:val="21"/>
              </w:rPr>
              <w:t>335</w:t>
            </w:r>
          </w:p>
        </w:tc>
        <w:tc>
          <w:tcPr>
            <w:tcW w:w="992" w:type="dxa"/>
            <w:noWrap/>
            <w:vAlign w:val="center"/>
          </w:tcPr>
          <w:p w14:paraId="1BC9A47D">
            <w:pPr>
              <w:jc w:val="center"/>
              <w:rPr>
                <w:rFonts w:eastAsia="楷体_GB2312"/>
                <w:color w:val="000000"/>
                <w:kern w:val="0"/>
                <w:szCs w:val="21"/>
              </w:rPr>
            </w:pPr>
            <w:r>
              <w:rPr>
                <w:rFonts w:eastAsia="楷体_GB2312"/>
                <w:color w:val="000000"/>
                <w:kern w:val="0"/>
                <w:szCs w:val="21"/>
              </w:rPr>
              <w:t>22.33</w:t>
            </w:r>
          </w:p>
        </w:tc>
        <w:tc>
          <w:tcPr>
            <w:tcW w:w="1134" w:type="dxa"/>
            <w:noWrap/>
            <w:vAlign w:val="center"/>
          </w:tcPr>
          <w:p w14:paraId="553C5B93">
            <w:pPr>
              <w:jc w:val="center"/>
              <w:rPr>
                <w:rFonts w:eastAsia="楷体_GB2312"/>
                <w:color w:val="000000"/>
                <w:kern w:val="0"/>
                <w:szCs w:val="21"/>
              </w:rPr>
            </w:pPr>
            <w:r>
              <w:rPr>
                <w:rFonts w:eastAsia="楷体_GB2312"/>
                <w:color w:val="000000"/>
                <w:kern w:val="0"/>
                <w:szCs w:val="21"/>
              </w:rPr>
              <w:t>170</w:t>
            </w:r>
          </w:p>
        </w:tc>
        <w:tc>
          <w:tcPr>
            <w:tcW w:w="992" w:type="dxa"/>
            <w:noWrap/>
            <w:vAlign w:val="center"/>
          </w:tcPr>
          <w:p w14:paraId="5AAFCBBA">
            <w:pPr>
              <w:jc w:val="center"/>
              <w:rPr>
                <w:rFonts w:eastAsia="楷体_GB2312"/>
                <w:color w:val="000000"/>
                <w:kern w:val="0"/>
                <w:szCs w:val="21"/>
              </w:rPr>
            </w:pPr>
            <w:r>
              <w:rPr>
                <w:rFonts w:eastAsia="楷体_GB2312"/>
                <w:color w:val="000000"/>
                <w:kern w:val="0"/>
                <w:szCs w:val="21"/>
              </w:rPr>
              <w:t>11.33</w:t>
            </w:r>
          </w:p>
        </w:tc>
      </w:tr>
      <w:tr w14:paraId="7722D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556FAAED">
            <w:pPr>
              <w:jc w:val="center"/>
              <w:rPr>
                <w:rFonts w:eastAsia="楷体_GB2312"/>
                <w:color w:val="000000"/>
                <w:kern w:val="0"/>
                <w:szCs w:val="21"/>
              </w:rPr>
            </w:pPr>
          </w:p>
        </w:tc>
        <w:tc>
          <w:tcPr>
            <w:tcW w:w="1276" w:type="dxa"/>
            <w:vMerge w:val="continue"/>
            <w:noWrap/>
            <w:vAlign w:val="center"/>
          </w:tcPr>
          <w:p w14:paraId="1D4690D0">
            <w:pPr>
              <w:jc w:val="center"/>
              <w:rPr>
                <w:rFonts w:eastAsia="楷体_GB2312"/>
                <w:color w:val="000000"/>
                <w:kern w:val="0"/>
                <w:szCs w:val="21"/>
              </w:rPr>
            </w:pPr>
          </w:p>
        </w:tc>
        <w:tc>
          <w:tcPr>
            <w:tcW w:w="850" w:type="dxa"/>
            <w:noWrap w:val="0"/>
            <w:vAlign w:val="center"/>
          </w:tcPr>
          <w:p w14:paraId="07029B3F">
            <w:pPr>
              <w:jc w:val="center"/>
              <w:rPr>
                <w:rFonts w:eastAsia="楷体_GB2312"/>
                <w:color w:val="000000"/>
                <w:kern w:val="0"/>
                <w:szCs w:val="21"/>
              </w:rPr>
            </w:pPr>
            <w:r>
              <w:rPr>
                <w:rFonts w:eastAsia="楷体_GB2312"/>
                <w:color w:val="000000"/>
                <w:kern w:val="0"/>
                <w:szCs w:val="21"/>
              </w:rPr>
              <w:t>2</w:t>
            </w:r>
          </w:p>
        </w:tc>
        <w:tc>
          <w:tcPr>
            <w:tcW w:w="1134" w:type="dxa"/>
            <w:noWrap/>
            <w:vAlign w:val="center"/>
          </w:tcPr>
          <w:p w14:paraId="6932FFB0">
            <w:pPr>
              <w:jc w:val="center"/>
              <w:rPr>
                <w:rFonts w:eastAsia="楷体_GB2312"/>
                <w:color w:val="000000"/>
                <w:kern w:val="0"/>
                <w:szCs w:val="21"/>
              </w:rPr>
            </w:pPr>
            <w:r>
              <w:rPr>
                <w:rFonts w:eastAsia="楷体_GB2312"/>
                <w:color w:val="000000"/>
                <w:kern w:val="0"/>
                <w:szCs w:val="21"/>
              </w:rPr>
              <w:t>345</w:t>
            </w:r>
          </w:p>
        </w:tc>
        <w:tc>
          <w:tcPr>
            <w:tcW w:w="1134" w:type="dxa"/>
            <w:noWrap/>
            <w:vAlign w:val="center"/>
          </w:tcPr>
          <w:p w14:paraId="103220FE">
            <w:pPr>
              <w:jc w:val="center"/>
              <w:rPr>
                <w:rFonts w:eastAsia="楷体_GB2312"/>
                <w:color w:val="000000"/>
                <w:kern w:val="0"/>
                <w:szCs w:val="21"/>
              </w:rPr>
            </w:pPr>
            <w:r>
              <w:rPr>
                <w:rFonts w:eastAsia="楷体_GB2312"/>
                <w:color w:val="000000"/>
                <w:kern w:val="0"/>
                <w:szCs w:val="21"/>
              </w:rPr>
              <w:t>23.00</w:t>
            </w:r>
          </w:p>
        </w:tc>
        <w:tc>
          <w:tcPr>
            <w:tcW w:w="1134" w:type="dxa"/>
            <w:noWrap/>
            <w:vAlign w:val="center"/>
          </w:tcPr>
          <w:p w14:paraId="633C3CCF">
            <w:pPr>
              <w:jc w:val="center"/>
              <w:rPr>
                <w:rFonts w:eastAsia="楷体_GB2312"/>
                <w:color w:val="000000"/>
                <w:kern w:val="0"/>
                <w:szCs w:val="21"/>
              </w:rPr>
            </w:pPr>
            <w:r>
              <w:rPr>
                <w:rFonts w:eastAsia="楷体_GB2312"/>
                <w:color w:val="000000"/>
                <w:kern w:val="0"/>
                <w:szCs w:val="21"/>
              </w:rPr>
              <w:t>255</w:t>
            </w:r>
          </w:p>
        </w:tc>
        <w:tc>
          <w:tcPr>
            <w:tcW w:w="992" w:type="dxa"/>
            <w:noWrap/>
            <w:vAlign w:val="center"/>
          </w:tcPr>
          <w:p w14:paraId="472C6B48">
            <w:pPr>
              <w:jc w:val="center"/>
              <w:rPr>
                <w:rFonts w:eastAsia="楷体_GB2312"/>
                <w:color w:val="000000"/>
                <w:kern w:val="0"/>
                <w:szCs w:val="21"/>
              </w:rPr>
            </w:pPr>
            <w:r>
              <w:rPr>
                <w:rFonts w:eastAsia="楷体_GB2312"/>
                <w:color w:val="000000"/>
                <w:kern w:val="0"/>
                <w:szCs w:val="21"/>
              </w:rPr>
              <w:t>17.00</w:t>
            </w:r>
          </w:p>
        </w:tc>
        <w:tc>
          <w:tcPr>
            <w:tcW w:w="1134" w:type="dxa"/>
            <w:noWrap/>
            <w:vAlign w:val="center"/>
          </w:tcPr>
          <w:p w14:paraId="74A7B50B">
            <w:pPr>
              <w:jc w:val="center"/>
              <w:rPr>
                <w:rFonts w:eastAsia="楷体_GB2312"/>
                <w:color w:val="000000"/>
                <w:kern w:val="0"/>
                <w:szCs w:val="21"/>
              </w:rPr>
            </w:pPr>
            <w:r>
              <w:rPr>
                <w:rFonts w:eastAsia="楷体_GB2312"/>
                <w:color w:val="000000"/>
                <w:kern w:val="0"/>
                <w:szCs w:val="21"/>
              </w:rPr>
              <w:t>155</w:t>
            </w:r>
          </w:p>
        </w:tc>
        <w:tc>
          <w:tcPr>
            <w:tcW w:w="992" w:type="dxa"/>
            <w:noWrap/>
            <w:vAlign w:val="center"/>
          </w:tcPr>
          <w:p w14:paraId="62DB4555">
            <w:pPr>
              <w:jc w:val="center"/>
              <w:rPr>
                <w:rFonts w:eastAsia="楷体_GB2312"/>
                <w:color w:val="000000"/>
                <w:kern w:val="0"/>
                <w:szCs w:val="21"/>
              </w:rPr>
            </w:pPr>
            <w:r>
              <w:rPr>
                <w:rFonts w:eastAsia="楷体_GB2312"/>
                <w:color w:val="000000"/>
                <w:kern w:val="0"/>
                <w:szCs w:val="21"/>
              </w:rPr>
              <w:t>10.33</w:t>
            </w:r>
          </w:p>
        </w:tc>
      </w:tr>
      <w:tr w14:paraId="4D0FE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30BFBE94">
            <w:pPr>
              <w:jc w:val="center"/>
              <w:rPr>
                <w:rFonts w:eastAsia="楷体_GB2312"/>
                <w:color w:val="000000"/>
                <w:kern w:val="0"/>
                <w:szCs w:val="21"/>
              </w:rPr>
            </w:pPr>
          </w:p>
        </w:tc>
        <w:tc>
          <w:tcPr>
            <w:tcW w:w="1276" w:type="dxa"/>
            <w:vMerge w:val="continue"/>
            <w:noWrap/>
            <w:vAlign w:val="center"/>
          </w:tcPr>
          <w:p w14:paraId="1A0F0C74">
            <w:pPr>
              <w:jc w:val="center"/>
              <w:rPr>
                <w:rFonts w:eastAsia="楷体_GB2312"/>
                <w:color w:val="000000"/>
                <w:kern w:val="0"/>
                <w:szCs w:val="21"/>
              </w:rPr>
            </w:pPr>
          </w:p>
        </w:tc>
        <w:tc>
          <w:tcPr>
            <w:tcW w:w="850" w:type="dxa"/>
            <w:noWrap w:val="0"/>
            <w:vAlign w:val="center"/>
          </w:tcPr>
          <w:p w14:paraId="153860C6">
            <w:pPr>
              <w:jc w:val="center"/>
              <w:rPr>
                <w:rFonts w:eastAsia="楷体_GB2312"/>
                <w:color w:val="000000"/>
                <w:kern w:val="0"/>
                <w:szCs w:val="21"/>
              </w:rPr>
            </w:pPr>
            <w:r>
              <w:rPr>
                <w:rFonts w:eastAsia="楷体_GB2312"/>
                <w:color w:val="000000"/>
                <w:kern w:val="0"/>
                <w:szCs w:val="21"/>
              </w:rPr>
              <w:t>3</w:t>
            </w:r>
          </w:p>
        </w:tc>
        <w:tc>
          <w:tcPr>
            <w:tcW w:w="1134" w:type="dxa"/>
            <w:noWrap/>
            <w:vAlign w:val="center"/>
          </w:tcPr>
          <w:p w14:paraId="0A2B66A2">
            <w:pPr>
              <w:jc w:val="center"/>
              <w:rPr>
                <w:rFonts w:eastAsia="楷体_GB2312"/>
                <w:color w:val="000000"/>
                <w:kern w:val="0"/>
                <w:szCs w:val="21"/>
              </w:rPr>
            </w:pPr>
            <w:r>
              <w:rPr>
                <w:rFonts w:eastAsia="楷体_GB2312"/>
                <w:color w:val="000000"/>
                <w:kern w:val="0"/>
                <w:szCs w:val="21"/>
              </w:rPr>
              <w:t>265</w:t>
            </w:r>
          </w:p>
        </w:tc>
        <w:tc>
          <w:tcPr>
            <w:tcW w:w="1134" w:type="dxa"/>
            <w:noWrap/>
            <w:vAlign w:val="center"/>
          </w:tcPr>
          <w:p w14:paraId="379DDD85">
            <w:pPr>
              <w:jc w:val="center"/>
              <w:rPr>
                <w:rFonts w:eastAsia="楷体_GB2312"/>
                <w:color w:val="000000"/>
                <w:kern w:val="0"/>
                <w:szCs w:val="21"/>
              </w:rPr>
            </w:pPr>
            <w:r>
              <w:rPr>
                <w:rFonts w:eastAsia="楷体_GB2312"/>
                <w:color w:val="000000"/>
                <w:kern w:val="0"/>
                <w:szCs w:val="21"/>
              </w:rPr>
              <w:t>17.67</w:t>
            </w:r>
          </w:p>
        </w:tc>
        <w:tc>
          <w:tcPr>
            <w:tcW w:w="1134" w:type="dxa"/>
            <w:noWrap/>
            <w:vAlign w:val="center"/>
          </w:tcPr>
          <w:p w14:paraId="51065535">
            <w:pPr>
              <w:jc w:val="center"/>
              <w:rPr>
                <w:rFonts w:eastAsia="楷体_GB2312"/>
                <w:color w:val="000000"/>
                <w:kern w:val="0"/>
                <w:szCs w:val="21"/>
              </w:rPr>
            </w:pPr>
            <w:r>
              <w:rPr>
                <w:rFonts w:eastAsia="楷体_GB2312"/>
                <w:color w:val="000000"/>
                <w:kern w:val="0"/>
                <w:szCs w:val="21"/>
              </w:rPr>
              <w:t>195</w:t>
            </w:r>
          </w:p>
        </w:tc>
        <w:tc>
          <w:tcPr>
            <w:tcW w:w="992" w:type="dxa"/>
            <w:noWrap/>
            <w:vAlign w:val="center"/>
          </w:tcPr>
          <w:p w14:paraId="1B352D14">
            <w:pPr>
              <w:jc w:val="center"/>
              <w:rPr>
                <w:rFonts w:eastAsia="楷体_GB2312"/>
                <w:color w:val="000000"/>
                <w:kern w:val="0"/>
                <w:szCs w:val="21"/>
              </w:rPr>
            </w:pPr>
            <w:r>
              <w:rPr>
                <w:rFonts w:eastAsia="楷体_GB2312"/>
                <w:color w:val="000000"/>
                <w:kern w:val="0"/>
                <w:szCs w:val="21"/>
              </w:rPr>
              <w:t>13.00</w:t>
            </w:r>
          </w:p>
        </w:tc>
        <w:tc>
          <w:tcPr>
            <w:tcW w:w="1134" w:type="dxa"/>
            <w:noWrap/>
            <w:vAlign w:val="center"/>
          </w:tcPr>
          <w:p w14:paraId="3EFC9188">
            <w:pPr>
              <w:jc w:val="center"/>
              <w:rPr>
                <w:rFonts w:eastAsia="楷体_GB2312"/>
                <w:color w:val="000000"/>
                <w:kern w:val="0"/>
                <w:szCs w:val="21"/>
              </w:rPr>
            </w:pPr>
            <w:r>
              <w:rPr>
                <w:rFonts w:eastAsia="楷体_GB2312"/>
                <w:color w:val="000000"/>
                <w:kern w:val="0"/>
                <w:szCs w:val="21"/>
              </w:rPr>
              <w:t>144</w:t>
            </w:r>
          </w:p>
        </w:tc>
        <w:tc>
          <w:tcPr>
            <w:tcW w:w="992" w:type="dxa"/>
            <w:noWrap/>
            <w:vAlign w:val="center"/>
          </w:tcPr>
          <w:p w14:paraId="32679EC5">
            <w:pPr>
              <w:jc w:val="center"/>
              <w:rPr>
                <w:rFonts w:eastAsia="楷体_GB2312"/>
                <w:color w:val="000000"/>
                <w:kern w:val="0"/>
                <w:szCs w:val="21"/>
              </w:rPr>
            </w:pPr>
            <w:r>
              <w:rPr>
                <w:rFonts w:eastAsia="楷体_GB2312"/>
                <w:color w:val="000000"/>
                <w:kern w:val="0"/>
                <w:szCs w:val="21"/>
              </w:rPr>
              <w:t>9.60</w:t>
            </w:r>
          </w:p>
        </w:tc>
      </w:tr>
      <w:tr w14:paraId="7CE0D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ign w:val="center"/>
          </w:tcPr>
          <w:p w14:paraId="5A216D78">
            <w:pPr>
              <w:jc w:val="center"/>
              <w:rPr>
                <w:rFonts w:eastAsia="楷体_GB2312"/>
                <w:color w:val="000000"/>
                <w:kern w:val="0"/>
                <w:szCs w:val="21"/>
              </w:rPr>
            </w:pPr>
            <w:r>
              <w:rPr>
                <w:rFonts w:eastAsia="楷体_GB2312"/>
                <w:color w:val="000000"/>
                <w:kern w:val="0"/>
                <w:szCs w:val="21"/>
              </w:rPr>
              <w:t>18</w:t>
            </w:r>
          </w:p>
        </w:tc>
        <w:tc>
          <w:tcPr>
            <w:tcW w:w="1276" w:type="dxa"/>
            <w:vMerge w:val="restart"/>
            <w:noWrap/>
            <w:vAlign w:val="center"/>
          </w:tcPr>
          <w:p w14:paraId="2341B7B4">
            <w:pPr>
              <w:jc w:val="center"/>
              <w:rPr>
                <w:rFonts w:eastAsia="楷体_GB2312"/>
                <w:color w:val="000000"/>
                <w:kern w:val="0"/>
                <w:szCs w:val="21"/>
              </w:rPr>
            </w:pPr>
            <w:r>
              <w:rPr>
                <w:rFonts w:eastAsia="楷体_GB2312"/>
                <w:color w:val="000000"/>
                <w:kern w:val="0"/>
                <w:szCs w:val="21"/>
              </w:rPr>
              <w:t>大泽乡镇</w:t>
            </w:r>
          </w:p>
        </w:tc>
        <w:tc>
          <w:tcPr>
            <w:tcW w:w="850" w:type="dxa"/>
            <w:noWrap w:val="0"/>
            <w:vAlign w:val="center"/>
          </w:tcPr>
          <w:p w14:paraId="048DED47">
            <w:pPr>
              <w:jc w:val="center"/>
              <w:rPr>
                <w:rFonts w:eastAsia="楷体_GB2312"/>
                <w:color w:val="000000"/>
                <w:kern w:val="0"/>
                <w:szCs w:val="21"/>
              </w:rPr>
            </w:pPr>
            <w:r>
              <w:rPr>
                <w:rFonts w:eastAsia="楷体_GB2312"/>
                <w:color w:val="000000"/>
                <w:kern w:val="0"/>
                <w:szCs w:val="21"/>
              </w:rPr>
              <w:t>1</w:t>
            </w:r>
          </w:p>
        </w:tc>
        <w:tc>
          <w:tcPr>
            <w:tcW w:w="1134" w:type="dxa"/>
            <w:noWrap/>
            <w:vAlign w:val="center"/>
          </w:tcPr>
          <w:p w14:paraId="707F29CB">
            <w:pPr>
              <w:jc w:val="center"/>
              <w:rPr>
                <w:rFonts w:eastAsia="楷体_GB2312"/>
                <w:color w:val="000000"/>
                <w:kern w:val="0"/>
                <w:szCs w:val="21"/>
              </w:rPr>
            </w:pPr>
            <w:r>
              <w:rPr>
                <w:rFonts w:eastAsia="楷体_GB2312"/>
                <w:color w:val="000000"/>
                <w:kern w:val="0"/>
                <w:szCs w:val="21"/>
              </w:rPr>
              <w:t>435</w:t>
            </w:r>
          </w:p>
        </w:tc>
        <w:tc>
          <w:tcPr>
            <w:tcW w:w="1134" w:type="dxa"/>
            <w:noWrap/>
            <w:vAlign w:val="center"/>
          </w:tcPr>
          <w:p w14:paraId="14213984">
            <w:pPr>
              <w:jc w:val="center"/>
              <w:rPr>
                <w:rFonts w:eastAsia="楷体_GB2312"/>
                <w:color w:val="000000"/>
                <w:kern w:val="0"/>
                <w:szCs w:val="21"/>
              </w:rPr>
            </w:pPr>
            <w:r>
              <w:rPr>
                <w:rFonts w:eastAsia="楷体_GB2312"/>
                <w:color w:val="000000"/>
                <w:kern w:val="0"/>
                <w:szCs w:val="21"/>
              </w:rPr>
              <w:t>29.00</w:t>
            </w:r>
          </w:p>
        </w:tc>
        <w:tc>
          <w:tcPr>
            <w:tcW w:w="1134" w:type="dxa"/>
            <w:noWrap/>
            <w:vAlign w:val="center"/>
          </w:tcPr>
          <w:p w14:paraId="158F1D21">
            <w:pPr>
              <w:jc w:val="center"/>
              <w:rPr>
                <w:rFonts w:eastAsia="楷体_GB2312"/>
                <w:color w:val="000000"/>
                <w:kern w:val="0"/>
                <w:szCs w:val="21"/>
              </w:rPr>
            </w:pPr>
            <w:r>
              <w:rPr>
                <w:rFonts w:eastAsia="楷体_GB2312"/>
                <w:color w:val="000000"/>
                <w:kern w:val="0"/>
                <w:szCs w:val="21"/>
              </w:rPr>
              <w:t>320</w:t>
            </w:r>
          </w:p>
        </w:tc>
        <w:tc>
          <w:tcPr>
            <w:tcW w:w="992" w:type="dxa"/>
            <w:noWrap/>
            <w:vAlign w:val="center"/>
          </w:tcPr>
          <w:p w14:paraId="57CBACED">
            <w:pPr>
              <w:jc w:val="center"/>
              <w:rPr>
                <w:rFonts w:eastAsia="楷体_GB2312"/>
                <w:color w:val="000000"/>
                <w:kern w:val="0"/>
                <w:szCs w:val="21"/>
              </w:rPr>
            </w:pPr>
            <w:r>
              <w:rPr>
                <w:rFonts w:eastAsia="楷体_GB2312"/>
                <w:color w:val="000000"/>
                <w:kern w:val="0"/>
                <w:szCs w:val="21"/>
              </w:rPr>
              <w:t>21.33</w:t>
            </w:r>
          </w:p>
        </w:tc>
        <w:tc>
          <w:tcPr>
            <w:tcW w:w="1134" w:type="dxa"/>
            <w:noWrap/>
            <w:vAlign w:val="center"/>
          </w:tcPr>
          <w:p w14:paraId="00B5EE54">
            <w:pPr>
              <w:jc w:val="center"/>
              <w:rPr>
                <w:rFonts w:eastAsia="楷体_GB2312"/>
                <w:color w:val="000000"/>
                <w:kern w:val="0"/>
                <w:szCs w:val="21"/>
              </w:rPr>
            </w:pPr>
            <w:r>
              <w:rPr>
                <w:rFonts w:eastAsia="楷体_GB2312"/>
                <w:color w:val="000000"/>
                <w:kern w:val="0"/>
                <w:szCs w:val="21"/>
              </w:rPr>
              <w:t>170</w:t>
            </w:r>
          </w:p>
        </w:tc>
        <w:tc>
          <w:tcPr>
            <w:tcW w:w="992" w:type="dxa"/>
            <w:noWrap/>
            <w:vAlign w:val="center"/>
          </w:tcPr>
          <w:p w14:paraId="2A3FD7B8">
            <w:pPr>
              <w:jc w:val="center"/>
              <w:rPr>
                <w:rFonts w:eastAsia="楷体_GB2312"/>
                <w:color w:val="000000"/>
                <w:kern w:val="0"/>
                <w:szCs w:val="21"/>
              </w:rPr>
            </w:pPr>
            <w:r>
              <w:rPr>
                <w:rFonts w:eastAsia="楷体_GB2312"/>
                <w:color w:val="000000"/>
                <w:kern w:val="0"/>
                <w:szCs w:val="21"/>
              </w:rPr>
              <w:t>11.33</w:t>
            </w:r>
          </w:p>
        </w:tc>
      </w:tr>
      <w:tr w14:paraId="2ECE0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4E581230">
            <w:pPr>
              <w:jc w:val="center"/>
              <w:rPr>
                <w:rFonts w:eastAsia="楷体_GB2312"/>
                <w:color w:val="000000"/>
                <w:kern w:val="0"/>
                <w:szCs w:val="21"/>
              </w:rPr>
            </w:pPr>
          </w:p>
        </w:tc>
        <w:tc>
          <w:tcPr>
            <w:tcW w:w="1276" w:type="dxa"/>
            <w:vMerge w:val="continue"/>
            <w:noWrap/>
            <w:vAlign w:val="center"/>
          </w:tcPr>
          <w:p w14:paraId="5C6CEDFD">
            <w:pPr>
              <w:jc w:val="center"/>
              <w:rPr>
                <w:rFonts w:eastAsia="楷体_GB2312"/>
                <w:color w:val="000000"/>
                <w:kern w:val="0"/>
                <w:szCs w:val="21"/>
              </w:rPr>
            </w:pPr>
          </w:p>
        </w:tc>
        <w:tc>
          <w:tcPr>
            <w:tcW w:w="850" w:type="dxa"/>
            <w:noWrap w:val="0"/>
            <w:vAlign w:val="center"/>
          </w:tcPr>
          <w:p w14:paraId="66364F64">
            <w:pPr>
              <w:jc w:val="center"/>
              <w:rPr>
                <w:rFonts w:eastAsia="楷体_GB2312"/>
                <w:color w:val="000000"/>
                <w:kern w:val="0"/>
                <w:szCs w:val="21"/>
              </w:rPr>
            </w:pPr>
            <w:r>
              <w:rPr>
                <w:rFonts w:eastAsia="楷体_GB2312"/>
                <w:color w:val="000000"/>
                <w:kern w:val="0"/>
                <w:szCs w:val="21"/>
              </w:rPr>
              <w:t>2</w:t>
            </w:r>
          </w:p>
        </w:tc>
        <w:tc>
          <w:tcPr>
            <w:tcW w:w="1134" w:type="dxa"/>
            <w:noWrap/>
            <w:vAlign w:val="center"/>
          </w:tcPr>
          <w:p w14:paraId="1A8E04CC">
            <w:pPr>
              <w:jc w:val="center"/>
              <w:rPr>
                <w:rFonts w:eastAsia="楷体_GB2312"/>
                <w:color w:val="000000"/>
                <w:kern w:val="0"/>
                <w:szCs w:val="21"/>
              </w:rPr>
            </w:pPr>
            <w:r>
              <w:rPr>
                <w:rFonts w:eastAsia="楷体_GB2312"/>
                <w:color w:val="000000"/>
                <w:kern w:val="0"/>
                <w:szCs w:val="21"/>
              </w:rPr>
              <w:t>345</w:t>
            </w:r>
          </w:p>
        </w:tc>
        <w:tc>
          <w:tcPr>
            <w:tcW w:w="1134" w:type="dxa"/>
            <w:noWrap/>
            <w:vAlign w:val="center"/>
          </w:tcPr>
          <w:p w14:paraId="50734291">
            <w:pPr>
              <w:jc w:val="center"/>
              <w:rPr>
                <w:rFonts w:eastAsia="楷体_GB2312"/>
                <w:color w:val="000000"/>
                <w:kern w:val="0"/>
                <w:szCs w:val="21"/>
              </w:rPr>
            </w:pPr>
            <w:r>
              <w:rPr>
                <w:rFonts w:eastAsia="楷体_GB2312"/>
                <w:color w:val="000000"/>
                <w:kern w:val="0"/>
                <w:szCs w:val="21"/>
              </w:rPr>
              <w:t>23.00</w:t>
            </w:r>
          </w:p>
        </w:tc>
        <w:tc>
          <w:tcPr>
            <w:tcW w:w="1134" w:type="dxa"/>
            <w:noWrap/>
            <w:vAlign w:val="center"/>
          </w:tcPr>
          <w:p w14:paraId="4AC88EF3">
            <w:pPr>
              <w:jc w:val="center"/>
              <w:rPr>
                <w:rFonts w:eastAsia="楷体_GB2312"/>
                <w:color w:val="000000"/>
                <w:kern w:val="0"/>
                <w:szCs w:val="21"/>
              </w:rPr>
            </w:pPr>
            <w:r>
              <w:rPr>
                <w:rFonts w:eastAsia="楷体_GB2312"/>
                <w:color w:val="000000"/>
                <w:kern w:val="0"/>
                <w:szCs w:val="21"/>
              </w:rPr>
              <w:t>250</w:t>
            </w:r>
          </w:p>
        </w:tc>
        <w:tc>
          <w:tcPr>
            <w:tcW w:w="992" w:type="dxa"/>
            <w:noWrap/>
            <w:vAlign w:val="center"/>
          </w:tcPr>
          <w:p w14:paraId="5C850AFE">
            <w:pPr>
              <w:jc w:val="center"/>
              <w:rPr>
                <w:rFonts w:eastAsia="楷体_GB2312"/>
                <w:color w:val="000000"/>
                <w:kern w:val="0"/>
                <w:szCs w:val="21"/>
              </w:rPr>
            </w:pPr>
            <w:r>
              <w:rPr>
                <w:rFonts w:eastAsia="楷体_GB2312"/>
                <w:color w:val="000000"/>
                <w:kern w:val="0"/>
                <w:szCs w:val="21"/>
              </w:rPr>
              <w:t>16.67</w:t>
            </w:r>
          </w:p>
        </w:tc>
        <w:tc>
          <w:tcPr>
            <w:tcW w:w="1134" w:type="dxa"/>
            <w:noWrap/>
            <w:vAlign w:val="center"/>
          </w:tcPr>
          <w:p w14:paraId="5A9E6D3B">
            <w:pPr>
              <w:jc w:val="center"/>
              <w:rPr>
                <w:rFonts w:eastAsia="楷体_GB2312"/>
                <w:color w:val="000000"/>
                <w:kern w:val="0"/>
                <w:szCs w:val="21"/>
              </w:rPr>
            </w:pPr>
            <w:r>
              <w:rPr>
                <w:rFonts w:eastAsia="楷体_GB2312"/>
                <w:color w:val="000000"/>
                <w:kern w:val="0"/>
                <w:szCs w:val="21"/>
              </w:rPr>
              <w:t>155</w:t>
            </w:r>
          </w:p>
        </w:tc>
        <w:tc>
          <w:tcPr>
            <w:tcW w:w="992" w:type="dxa"/>
            <w:noWrap/>
            <w:vAlign w:val="center"/>
          </w:tcPr>
          <w:p w14:paraId="31810CB6">
            <w:pPr>
              <w:jc w:val="center"/>
              <w:rPr>
                <w:rFonts w:eastAsia="楷体_GB2312"/>
                <w:color w:val="000000"/>
                <w:kern w:val="0"/>
                <w:szCs w:val="21"/>
              </w:rPr>
            </w:pPr>
            <w:r>
              <w:rPr>
                <w:rFonts w:eastAsia="楷体_GB2312"/>
                <w:color w:val="000000"/>
                <w:kern w:val="0"/>
                <w:szCs w:val="21"/>
              </w:rPr>
              <w:t>10.33</w:t>
            </w:r>
          </w:p>
        </w:tc>
      </w:tr>
      <w:tr w14:paraId="37AED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0C4B2B85">
            <w:pPr>
              <w:jc w:val="center"/>
              <w:rPr>
                <w:rFonts w:eastAsia="楷体_GB2312"/>
                <w:color w:val="000000"/>
                <w:kern w:val="0"/>
                <w:szCs w:val="21"/>
              </w:rPr>
            </w:pPr>
          </w:p>
        </w:tc>
        <w:tc>
          <w:tcPr>
            <w:tcW w:w="1276" w:type="dxa"/>
            <w:vMerge w:val="continue"/>
            <w:noWrap/>
            <w:vAlign w:val="center"/>
          </w:tcPr>
          <w:p w14:paraId="36086ADB">
            <w:pPr>
              <w:jc w:val="center"/>
              <w:rPr>
                <w:rFonts w:eastAsia="楷体_GB2312"/>
                <w:color w:val="000000"/>
                <w:kern w:val="0"/>
                <w:szCs w:val="21"/>
              </w:rPr>
            </w:pPr>
          </w:p>
        </w:tc>
        <w:tc>
          <w:tcPr>
            <w:tcW w:w="850" w:type="dxa"/>
            <w:noWrap w:val="0"/>
            <w:vAlign w:val="center"/>
          </w:tcPr>
          <w:p w14:paraId="3ACF94C6">
            <w:pPr>
              <w:jc w:val="center"/>
              <w:rPr>
                <w:rFonts w:eastAsia="楷体_GB2312"/>
                <w:color w:val="000000"/>
                <w:kern w:val="0"/>
                <w:szCs w:val="21"/>
              </w:rPr>
            </w:pPr>
            <w:r>
              <w:rPr>
                <w:rFonts w:eastAsia="楷体_GB2312"/>
                <w:color w:val="000000"/>
                <w:kern w:val="0"/>
                <w:szCs w:val="21"/>
              </w:rPr>
              <w:t>3</w:t>
            </w:r>
          </w:p>
        </w:tc>
        <w:tc>
          <w:tcPr>
            <w:tcW w:w="1134" w:type="dxa"/>
            <w:noWrap/>
            <w:vAlign w:val="center"/>
          </w:tcPr>
          <w:p w14:paraId="4E14B62B">
            <w:pPr>
              <w:jc w:val="center"/>
              <w:rPr>
                <w:rFonts w:eastAsia="楷体_GB2312"/>
                <w:color w:val="000000"/>
                <w:kern w:val="0"/>
                <w:szCs w:val="21"/>
              </w:rPr>
            </w:pPr>
            <w:r>
              <w:rPr>
                <w:rFonts w:eastAsia="楷体_GB2312"/>
                <w:color w:val="000000"/>
                <w:kern w:val="0"/>
                <w:szCs w:val="21"/>
              </w:rPr>
              <w:t>270</w:t>
            </w:r>
          </w:p>
        </w:tc>
        <w:tc>
          <w:tcPr>
            <w:tcW w:w="1134" w:type="dxa"/>
            <w:noWrap/>
            <w:vAlign w:val="center"/>
          </w:tcPr>
          <w:p w14:paraId="2D736E30">
            <w:pPr>
              <w:jc w:val="center"/>
              <w:rPr>
                <w:rFonts w:eastAsia="楷体_GB2312"/>
                <w:color w:val="000000"/>
                <w:kern w:val="0"/>
                <w:szCs w:val="21"/>
              </w:rPr>
            </w:pPr>
            <w:r>
              <w:rPr>
                <w:rFonts w:eastAsia="楷体_GB2312"/>
                <w:color w:val="000000"/>
                <w:kern w:val="0"/>
                <w:szCs w:val="21"/>
              </w:rPr>
              <w:t>18.00</w:t>
            </w:r>
          </w:p>
        </w:tc>
        <w:tc>
          <w:tcPr>
            <w:tcW w:w="1134" w:type="dxa"/>
            <w:noWrap/>
            <w:vAlign w:val="center"/>
          </w:tcPr>
          <w:p w14:paraId="7C819EB2">
            <w:pPr>
              <w:jc w:val="center"/>
              <w:rPr>
                <w:rFonts w:eastAsia="楷体_GB2312"/>
                <w:color w:val="000000"/>
                <w:kern w:val="0"/>
                <w:szCs w:val="21"/>
              </w:rPr>
            </w:pPr>
            <w:r>
              <w:rPr>
                <w:rFonts w:eastAsia="楷体_GB2312"/>
                <w:color w:val="000000"/>
                <w:kern w:val="0"/>
                <w:szCs w:val="21"/>
              </w:rPr>
              <w:t>195</w:t>
            </w:r>
          </w:p>
        </w:tc>
        <w:tc>
          <w:tcPr>
            <w:tcW w:w="992" w:type="dxa"/>
            <w:noWrap/>
            <w:vAlign w:val="center"/>
          </w:tcPr>
          <w:p w14:paraId="0874FECB">
            <w:pPr>
              <w:jc w:val="center"/>
              <w:rPr>
                <w:rFonts w:eastAsia="楷体_GB2312"/>
                <w:color w:val="000000"/>
                <w:kern w:val="0"/>
                <w:szCs w:val="21"/>
              </w:rPr>
            </w:pPr>
            <w:r>
              <w:rPr>
                <w:rFonts w:eastAsia="楷体_GB2312"/>
                <w:color w:val="000000"/>
                <w:kern w:val="0"/>
                <w:szCs w:val="21"/>
              </w:rPr>
              <w:t>13.00</w:t>
            </w:r>
          </w:p>
        </w:tc>
        <w:tc>
          <w:tcPr>
            <w:tcW w:w="1134" w:type="dxa"/>
            <w:noWrap/>
            <w:vAlign w:val="center"/>
          </w:tcPr>
          <w:p w14:paraId="0FFD8E30">
            <w:pPr>
              <w:jc w:val="center"/>
              <w:rPr>
                <w:rFonts w:eastAsia="楷体_GB2312"/>
                <w:color w:val="000000"/>
                <w:kern w:val="0"/>
                <w:szCs w:val="21"/>
              </w:rPr>
            </w:pPr>
            <w:r>
              <w:rPr>
                <w:rFonts w:eastAsia="楷体_GB2312"/>
                <w:color w:val="000000"/>
                <w:kern w:val="0"/>
                <w:szCs w:val="21"/>
              </w:rPr>
              <w:t>144</w:t>
            </w:r>
          </w:p>
        </w:tc>
        <w:tc>
          <w:tcPr>
            <w:tcW w:w="992" w:type="dxa"/>
            <w:noWrap/>
            <w:vAlign w:val="center"/>
          </w:tcPr>
          <w:p w14:paraId="71ED60DB">
            <w:pPr>
              <w:jc w:val="center"/>
              <w:rPr>
                <w:rFonts w:eastAsia="楷体_GB2312"/>
                <w:color w:val="000000"/>
                <w:kern w:val="0"/>
                <w:szCs w:val="21"/>
              </w:rPr>
            </w:pPr>
            <w:r>
              <w:rPr>
                <w:rFonts w:eastAsia="楷体_GB2312"/>
                <w:color w:val="000000"/>
                <w:kern w:val="0"/>
                <w:szCs w:val="21"/>
              </w:rPr>
              <w:t>9.60</w:t>
            </w:r>
          </w:p>
        </w:tc>
      </w:tr>
      <w:tr w14:paraId="5D34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ign w:val="center"/>
          </w:tcPr>
          <w:p w14:paraId="67B0E4FA">
            <w:pPr>
              <w:jc w:val="center"/>
              <w:rPr>
                <w:rFonts w:eastAsia="楷体_GB2312"/>
                <w:color w:val="000000"/>
                <w:kern w:val="0"/>
                <w:szCs w:val="21"/>
              </w:rPr>
            </w:pPr>
            <w:r>
              <w:rPr>
                <w:rFonts w:eastAsia="楷体_GB2312"/>
                <w:color w:val="000000"/>
                <w:kern w:val="0"/>
                <w:szCs w:val="21"/>
              </w:rPr>
              <w:t>19</w:t>
            </w:r>
          </w:p>
        </w:tc>
        <w:tc>
          <w:tcPr>
            <w:tcW w:w="1276" w:type="dxa"/>
            <w:vMerge w:val="restart"/>
            <w:noWrap/>
            <w:vAlign w:val="center"/>
          </w:tcPr>
          <w:p w14:paraId="6A6571FC">
            <w:pPr>
              <w:jc w:val="center"/>
              <w:rPr>
                <w:rFonts w:eastAsia="楷体_GB2312"/>
                <w:color w:val="000000"/>
                <w:kern w:val="0"/>
                <w:szCs w:val="21"/>
              </w:rPr>
            </w:pPr>
            <w:r>
              <w:rPr>
                <w:rFonts w:eastAsia="楷体_GB2312"/>
                <w:color w:val="000000"/>
                <w:kern w:val="0"/>
                <w:szCs w:val="21"/>
              </w:rPr>
              <w:t>永安镇</w:t>
            </w:r>
          </w:p>
        </w:tc>
        <w:tc>
          <w:tcPr>
            <w:tcW w:w="850" w:type="dxa"/>
            <w:noWrap w:val="0"/>
            <w:vAlign w:val="center"/>
          </w:tcPr>
          <w:p w14:paraId="2B1FA2FF">
            <w:pPr>
              <w:jc w:val="center"/>
              <w:rPr>
                <w:rFonts w:eastAsia="楷体_GB2312"/>
                <w:color w:val="000000"/>
                <w:kern w:val="0"/>
                <w:szCs w:val="21"/>
              </w:rPr>
            </w:pPr>
            <w:r>
              <w:rPr>
                <w:rFonts w:eastAsia="楷体_GB2312"/>
                <w:color w:val="000000"/>
                <w:kern w:val="0"/>
                <w:szCs w:val="21"/>
              </w:rPr>
              <w:t>1</w:t>
            </w:r>
          </w:p>
        </w:tc>
        <w:tc>
          <w:tcPr>
            <w:tcW w:w="1134" w:type="dxa"/>
            <w:noWrap/>
            <w:vAlign w:val="center"/>
          </w:tcPr>
          <w:p w14:paraId="6080A3B6">
            <w:pPr>
              <w:jc w:val="center"/>
              <w:rPr>
                <w:rFonts w:eastAsia="楷体_GB2312"/>
                <w:color w:val="000000"/>
                <w:kern w:val="0"/>
                <w:szCs w:val="21"/>
              </w:rPr>
            </w:pPr>
            <w:r>
              <w:rPr>
                <w:rFonts w:eastAsia="楷体_GB2312"/>
                <w:color w:val="000000"/>
                <w:kern w:val="0"/>
                <w:szCs w:val="21"/>
              </w:rPr>
              <w:t>435</w:t>
            </w:r>
          </w:p>
        </w:tc>
        <w:tc>
          <w:tcPr>
            <w:tcW w:w="1134" w:type="dxa"/>
            <w:noWrap/>
            <w:vAlign w:val="center"/>
          </w:tcPr>
          <w:p w14:paraId="3F107810">
            <w:pPr>
              <w:jc w:val="center"/>
              <w:rPr>
                <w:rFonts w:eastAsia="楷体_GB2312"/>
                <w:color w:val="000000"/>
                <w:kern w:val="0"/>
                <w:szCs w:val="21"/>
              </w:rPr>
            </w:pPr>
            <w:r>
              <w:rPr>
                <w:rFonts w:eastAsia="楷体_GB2312"/>
                <w:color w:val="000000"/>
                <w:kern w:val="0"/>
                <w:szCs w:val="21"/>
              </w:rPr>
              <w:t>29.00</w:t>
            </w:r>
          </w:p>
        </w:tc>
        <w:tc>
          <w:tcPr>
            <w:tcW w:w="1134" w:type="dxa"/>
            <w:noWrap/>
            <w:vAlign w:val="center"/>
          </w:tcPr>
          <w:p w14:paraId="3DD0F194">
            <w:pPr>
              <w:jc w:val="center"/>
              <w:rPr>
                <w:rFonts w:eastAsia="楷体_GB2312"/>
                <w:color w:val="000000"/>
                <w:kern w:val="0"/>
                <w:szCs w:val="21"/>
              </w:rPr>
            </w:pPr>
            <w:r>
              <w:rPr>
                <w:rFonts w:eastAsia="楷体_GB2312"/>
                <w:color w:val="000000"/>
                <w:kern w:val="0"/>
                <w:szCs w:val="21"/>
              </w:rPr>
              <w:t>335</w:t>
            </w:r>
          </w:p>
        </w:tc>
        <w:tc>
          <w:tcPr>
            <w:tcW w:w="992" w:type="dxa"/>
            <w:noWrap/>
            <w:vAlign w:val="center"/>
          </w:tcPr>
          <w:p w14:paraId="7B4E9D66">
            <w:pPr>
              <w:jc w:val="center"/>
              <w:rPr>
                <w:rFonts w:eastAsia="楷体_GB2312"/>
                <w:color w:val="000000"/>
                <w:kern w:val="0"/>
                <w:szCs w:val="21"/>
              </w:rPr>
            </w:pPr>
            <w:r>
              <w:rPr>
                <w:rFonts w:eastAsia="楷体_GB2312"/>
                <w:color w:val="000000"/>
                <w:kern w:val="0"/>
                <w:szCs w:val="21"/>
              </w:rPr>
              <w:t>22.33</w:t>
            </w:r>
          </w:p>
        </w:tc>
        <w:tc>
          <w:tcPr>
            <w:tcW w:w="1134" w:type="dxa"/>
            <w:noWrap/>
            <w:vAlign w:val="center"/>
          </w:tcPr>
          <w:p w14:paraId="62F3678E">
            <w:pPr>
              <w:jc w:val="center"/>
              <w:rPr>
                <w:rFonts w:eastAsia="楷体_GB2312"/>
                <w:color w:val="000000"/>
                <w:kern w:val="0"/>
                <w:szCs w:val="21"/>
              </w:rPr>
            </w:pPr>
            <w:r>
              <w:rPr>
                <w:rFonts w:eastAsia="楷体_GB2312"/>
                <w:color w:val="000000"/>
                <w:kern w:val="0"/>
                <w:szCs w:val="21"/>
              </w:rPr>
              <w:t>170</w:t>
            </w:r>
          </w:p>
        </w:tc>
        <w:tc>
          <w:tcPr>
            <w:tcW w:w="992" w:type="dxa"/>
            <w:noWrap/>
            <w:vAlign w:val="center"/>
          </w:tcPr>
          <w:p w14:paraId="3F14B072">
            <w:pPr>
              <w:jc w:val="center"/>
              <w:rPr>
                <w:rFonts w:eastAsia="楷体_GB2312"/>
                <w:color w:val="000000"/>
                <w:kern w:val="0"/>
                <w:szCs w:val="21"/>
              </w:rPr>
            </w:pPr>
            <w:r>
              <w:rPr>
                <w:rFonts w:eastAsia="楷体_GB2312"/>
                <w:color w:val="000000"/>
                <w:kern w:val="0"/>
                <w:szCs w:val="21"/>
              </w:rPr>
              <w:t>11.33</w:t>
            </w:r>
          </w:p>
        </w:tc>
      </w:tr>
      <w:tr w14:paraId="1014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532E99FE">
            <w:pPr>
              <w:jc w:val="center"/>
              <w:rPr>
                <w:rFonts w:eastAsia="楷体_GB2312"/>
                <w:color w:val="000000"/>
                <w:kern w:val="0"/>
                <w:szCs w:val="21"/>
              </w:rPr>
            </w:pPr>
          </w:p>
        </w:tc>
        <w:tc>
          <w:tcPr>
            <w:tcW w:w="1276" w:type="dxa"/>
            <w:vMerge w:val="continue"/>
            <w:noWrap/>
            <w:vAlign w:val="center"/>
          </w:tcPr>
          <w:p w14:paraId="10D446C6">
            <w:pPr>
              <w:jc w:val="center"/>
              <w:rPr>
                <w:rFonts w:eastAsia="楷体_GB2312"/>
                <w:color w:val="000000"/>
                <w:kern w:val="0"/>
                <w:szCs w:val="21"/>
              </w:rPr>
            </w:pPr>
          </w:p>
        </w:tc>
        <w:tc>
          <w:tcPr>
            <w:tcW w:w="850" w:type="dxa"/>
            <w:noWrap w:val="0"/>
            <w:vAlign w:val="center"/>
          </w:tcPr>
          <w:p w14:paraId="2F3EF5C3">
            <w:pPr>
              <w:jc w:val="center"/>
              <w:rPr>
                <w:rFonts w:eastAsia="楷体_GB2312"/>
                <w:color w:val="000000"/>
                <w:kern w:val="0"/>
                <w:szCs w:val="21"/>
              </w:rPr>
            </w:pPr>
            <w:r>
              <w:rPr>
                <w:rFonts w:eastAsia="楷体_GB2312"/>
                <w:color w:val="000000"/>
                <w:kern w:val="0"/>
                <w:szCs w:val="21"/>
              </w:rPr>
              <w:t>2</w:t>
            </w:r>
          </w:p>
        </w:tc>
        <w:tc>
          <w:tcPr>
            <w:tcW w:w="1134" w:type="dxa"/>
            <w:noWrap/>
            <w:vAlign w:val="center"/>
          </w:tcPr>
          <w:p w14:paraId="2F23530D">
            <w:pPr>
              <w:jc w:val="center"/>
              <w:rPr>
                <w:rFonts w:eastAsia="楷体_GB2312"/>
                <w:color w:val="000000"/>
                <w:kern w:val="0"/>
                <w:szCs w:val="21"/>
              </w:rPr>
            </w:pPr>
            <w:r>
              <w:rPr>
                <w:rFonts w:eastAsia="楷体_GB2312"/>
                <w:color w:val="000000"/>
                <w:kern w:val="0"/>
                <w:szCs w:val="21"/>
              </w:rPr>
              <w:t>350</w:t>
            </w:r>
          </w:p>
        </w:tc>
        <w:tc>
          <w:tcPr>
            <w:tcW w:w="1134" w:type="dxa"/>
            <w:noWrap/>
            <w:vAlign w:val="center"/>
          </w:tcPr>
          <w:p w14:paraId="2270EF43">
            <w:pPr>
              <w:jc w:val="center"/>
              <w:rPr>
                <w:rFonts w:eastAsia="楷体_GB2312"/>
                <w:color w:val="000000"/>
                <w:kern w:val="0"/>
                <w:szCs w:val="21"/>
              </w:rPr>
            </w:pPr>
            <w:r>
              <w:rPr>
                <w:rFonts w:eastAsia="楷体_GB2312"/>
                <w:color w:val="000000"/>
                <w:kern w:val="0"/>
                <w:szCs w:val="21"/>
              </w:rPr>
              <w:t>23.33</w:t>
            </w:r>
          </w:p>
        </w:tc>
        <w:tc>
          <w:tcPr>
            <w:tcW w:w="1134" w:type="dxa"/>
            <w:noWrap/>
            <w:vAlign w:val="center"/>
          </w:tcPr>
          <w:p w14:paraId="086844B7">
            <w:pPr>
              <w:jc w:val="center"/>
              <w:rPr>
                <w:rFonts w:eastAsia="楷体_GB2312"/>
                <w:color w:val="000000"/>
                <w:kern w:val="0"/>
                <w:szCs w:val="21"/>
              </w:rPr>
            </w:pPr>
            <w:r>
              <w:rPr>
                <w:rFonts w:eastAsia="楷体_GB2312"/>
                <w:color w:val="000000"/>
                <w:kern w:val="0"/>
                <w:szCs w:val="21"/>
              </w:rPr>
              <w:t>255</w:t>
            </w:r>
          </w:p>
        </w:tc>
        <w:tc>
          <w:tcPr>
            <w:tcW w:w="992" w:type="dxa"/>
            <w:noWrap/>
            <w:vAlign w:val="center"/>
          </w:tcPr>
          <w:p w14:paraId="6E9DE7FB">
            <w:pPr>
              <w:jc w:val="center"/>
              <w:rPr>
                <w:rFonts w:eastAsia="楷体_GB2312"/>
                <w:color w:val="000000"/>
                <w:kern w:val="0"/>
                <w:szCs w:val="21"/>
              </w:rPr>
            </w:pPr>
            <w:r>
              <w:rPr>
                <w:rFonts w:eastAsia="楷体_GB2312"/>
                <w:color w:val="000000"/>
                <w:kern w:val="0"/>
                <w:szCs w:val="21"/>
              </w:rPr>
              <w:t>17.00</w:t>
            </w:r>
          </w:p>
        </w:tc>
        <w:tc>
          <w:tcPr>
            <w:tcW w:w="1134" w:type="dxa"/>
            <w:noWrap/>
            <w:vAlign w:val="center"/>
          </w:tcPr>
          <w:p w14:paraId="65090961">
            <w:pPr>
              <w:jc w:val="center"/>
              <w:rPr>
                <w:rFonts w:eastAsia="楷体_GB2312"/>
                <w:color w:val="000000"/>
                <w:kern w:val="0"/>
                <w:szCs w:val="21"/>
              </w:rPr>
            </w:pPr>
            <w:r>
              <w:rPr>
                <w:rFonts w:eastAsia="楷体_GB2312"/>
                <w:color w:val="000000"/>
                <w:kern w:val="0"/>
                <w:szCs w:val="21"/>
              </w:rPr>
              <w:t>155</w:t>
            </w:r>
          </w:p>
        </w:tc>
        <w:tc>
          <w:tcPr>
            <w:tcW w:w="992" w:type="dxa"/>
            <w:noWrap/>
            <w:vAlign w:val="center"/>
          </w:tcPr>
          <w:p w14:paraId="6DFDBAF1">
            <w:pPr>
              <w:jc w:val="center"/>
              <w:rPr>
                <w:rFonts w:eastAsia="楷体_GB2312"/>
                <w:color w:val="000000"/>
                <w:kern w:val="0"/>
                <w:szCs w:val="21"/>
              </w:rPr>
            </w:pPr>
            <w:r>
              <w:rPr>
                <w:rFonts w:eastAsia="楷体_GB2312"/>
                <w:color w:val="000000"/>
                <w:kern w:val="0"/>
                <w:szCs w:val="21"/>
              </w:rPr>
              <w:t>10.33</w:t>
            </w:r>
          </w:p>
        </w:tc>
      </w:tr>
      <w:tr w14:paraId="518E2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37C79EAD">
            <w:pPr>
              <w:jc w:val="center"/>
              <w:rPr>
                <w:rFonts w:eastAsia="楷体_GB2312"/>
                <w:color w:val="000000"/>
                <w:kern w:val="0"/>
                <w:szCs w:val="21"/>
              </w:rPr>
            </w:pPr>
          </w:p>
        </w:tc>
        <w:tc>
          <w:tcPr>
            <w:tcW w:w="1276" w:type="dxa"/>
            <w:vMerge w:val="continue"/>
            <w:noWrap/>
            <w:vAlign w:val="center"/>
          </w:tcPr>
          <w:p w14:paraId="5002C644">
            <w:pPr>
              <w:jc w:val="center"/>
              <w:rPr>
                <w:rFonts w:eastAsia="楷体_GB2312"/>
                <w:color w:val="000000"/>
                <w:kern w:val="0"/>
                <w:szCs w:val="21"/>
              </w:rPr>
            </w:pPr>
          </w:p>
        </w:tc>
        <w:tc>
          <w:tcPr>
            <w:tcW w:w="850" w:type="dxa"/>
            <w:noWrap w:val="0"/>
            <w:vAlign w:val="center"/>
          </w:tcPr>
          <w:p w14:paraId="4E183DA1">
            <w:pPr>
              <w:jc w:val="center"/>
              <w:rPr>
                <w:rFonts w:eastAsia="楷体_GB2312"/>
                <w:color w:val="000000"/>
                <w:kern w:val="0"/>
                <w:szCs w:val="21"/>
              </w:rPr>
            </w:pPr>
            <w:r>
              <w:rPr>
                <w:rFonts w:eastAsia="楷体_GB2312"/>
                <w:color w:val="000000"/>
                <w:kern w:val="0"/>
                <w:szCs w:val="21"/>
              </w:rPr>
              <w:t>3</w:t>
            </w:r>
          </w:p>
        </w:tc>
        <w:tc>
          <w:tcPr>
            <w:tcW w:w="1134" w:type="dxa"/>
            <w:noWrap/>
            <w:vAlign w:val="center"/>
          </w:tcPr>
          <w:p w14:paraId="40DCA904">
            <w:pPr>
              <w:jc w:val="center"/>
              <w:rPr>
                <w:rFonts w:eastAsia="楷体_GB2312"/>
                <w:color w:val="000000"/>
                <w:kern w:val="0"/>
                <w:szCs w:val="21"/>
              </w:rPr>
            </w:pPr>
            <w:r>
              <w:rPr>
                <w:rFonts w:eastAsia="楷体_GB2312"/>
                <w:color w:val="000000"/>
                <w:kern w:val="0"/>
                <w:szCs w:val="21"/>
              </w:rPr>
              <w:t>270</w:t>
            </w:r>
          </w:p>
        </w:tc>
        <w:tc>
          <w:tcPr>
            <w:tcW w:w="1134" w:type="dxa"/>
            <w:noWrap/>
            <w:vAlign w:val="center"/>
          </w:tcPr>
          <w:p w14:paraId="745D37B4">
            <w:pPr>
              <w:jc w:val="center"/>
              <w:rPr>
                <w:rFonts w:eastAsia="楷体_GB2312"/>
                <w:color w:val="000000"/>
                <w:kern w:val="0"/>
                <w:szCs w:val="21"/>
              </w:rPr>
            </w:pPr>
            <w:r>
              <w:rPr>
                <w:rFonts w:eastAsia="楷体_GB2312"/>
                <w:color w:val="000000"/>
                <w:kern w:val="0"/>
                <w:szCs w:val="21"/>
              </w:rPr>
              <w:t>18.00</w:t>
            </w:r>
          </w:p>
        </w:tc>
        <w:tc>
          <w:tcPr>
            <w:tcW w:w="1134" w:type="dxa"/>
            <w:noWrap/>
            <w:vAlign w:val="center"/>
          </w:tcPr>
          <w:p w14:paraId="4576C4E1">
            <w:pPr>
              <w:jc w:val="center"/>
              <w:rPr>
                <w:rFonts w:eastAsia="楷体_GB2312"/>
                <w:color w:val="000000"/>
                <w:kern w:val="0"/>
                <w:szCs w:val="21"/>
              </w:rPr>
            </w:pPr>
            <w:r>
              <w:rPr>
                <w:rFonts w:eastAsia="楷体_GB2312"/>
                <w:color w:val="000000"/>
                <w:kern w:val="0"/>
                <w:szCs w:val="21"/>
              </w:rPr>
              <w:t>195</w:t>
            </w:r>
          </w:p>
        </w:tc>
        <w:tc>
          <w:tcPr>
            <w:tcW w:w="992" w:type="dxa"/>
            <w:noWrap/>
            <w:vAlign w:val="center"/>
          </w:tcPr>
          <w:p w14:paraId="66BAD849">
            <w:pPr>
              <w:jc w:val="center"/>
              <w:rPr>
                <w:rFonts w:eastAsia="楷体_GB2312"/>
                <w:color w:val="000000"/>
                <w:kern w:val="0"/>
                <w:szCs w:val="21"/>
              </w:rPr>
            </w:pPr>
            <w:r>
              <w:rPr>
                <w:rFonts w:eastAsia="楷体_GB2312"/>
                <w:color w:val="000000"/>
                <w:kern w:val="0"/>
                <w:szCs w:val="21"/>
              </w:rPr>
              <w:t>13.00</w:t>
            </w:r>
          </w:p>
        </w:tc>
        <w:tc>
          <w:tcPr>
            <w:tcW w:w="1134" w:type="dxa"/>
            <w:noWrap/>
            <w:vAlign w:val="center"/>
          </w:tcPr>
          <w:p w14:paraId="7D22EB3C">
            <w:pPr>
              <w:jc w:val="center"/>
              <w:rPr>
                <w:rFonts w:eastAsia="楷体_GB2312"/>
                <w:color w:val="000000"/>
                <w:kern w:val="0"/>
                <w:szCs w:val="21"/>
              </w:rPr>
            </w:pPr>
            <w:r>
              <w:rPr>
                <w:rFonts w:eastAsia="楷体_GB2312"/>
                <w:color w:val="000000"/>
                <w:kern w:val="0"/>
                <w:szCs w:val="21"/>
              </w:rPr>
              <w:t>144</w:t>
            </w:r>
          </w:p>
        </w:tc>
        <w:tc>
          <w:tcPr>
            <w:tcW w:w="992" w:type="dxa"/>
            <w:noWrap/>
            <w:vAlign w:val="center"/>
          </w:tcPr>
          <w:p w14:paraId="5C631205">
            <w:pPr>
              <w:jc w:val="center"/>
              <w:rPr>
                <w:rFonts w:eastAsia="楷体_GB2312"/>
                <w:color w:val="000000"/>
                <w:kern w:val="0"/>
                <w:szCs w:val="21"/>
              </w:rPr>
            </w:pPr>
            <w:r>
              <w:rPr>
                <w:rFonts w:eastAsia="楷体_GB2312"/>
                <w:color w:val="000000"/>
                <w:kern w:val="0"/>
                <w:szCs w:val="21"/>
              </w:rPr>
              <w:t>9.60</w:t>
            </w:r>
          </w:p>
        </w:tc>
      </w:tr>
      <w:tr w14:paraId="546C6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ign w:val="center"/>
          </w:tcPr>
          <w:p w14:paraId="6AD456B4">
            <w:pPr>
              <w:jc w:val="center"/>
              <w:rPr>
                <w:rFonts w:eastAsia="楷体_GB2312"/>
                <w:color w:val="000000"/>
                <w:kern w:val="0"/>
                <w:szCs w:val="21"/>
              </w:rPr>
            </w:pPr>
            <w:r>
              <w:rPr>
                <w:rFonts w:eastAsia="楷体_GB2312"/>
                <w:color w:val="000000"/>
                <w:kern w:val="0"/>
                <w:szCs w:val="21"/>
              </w:rPr>
              <w:t>20</w:t>
            </w:r>
          </w:p>
        </w:tc>
        <w:tc>
          <w:tcPr>
            <w:tcW w:w="1276" w:type="dxa"/>
            <w:vMerge w:val="restart"/>
            <w:noWrap/>
            <w:vAlign w:val="center"/>
          </w:tcPr>
          <w:p w14:paraId="5AA8DA51">
            <w:pPr>
              <w:jc w:val="center"/>
              <w:rPr>
                <w:rFonts w:eastAsia="楷体_GB2312"/>
                <w:color w:val="000000"/>
                <w:kern w:val="0"/>
                <w:szCs w:val="21"/>
              </w:rPr>
            </w:pPr>
            <w:r>
              <w:rPr>
                <w:rFonts w:eastAsia="楷体_GB2312"/>
                <w:color w:val="000000"/>
                <w:kern w:val="0"/>
                <w:szCs w:val="21"/>
              </w:rPr>
              <w:t>支河乡</w:t>
            </w:r>
          </w:p>
        </w:tc>
        <w:tc>
          <w:tcPr>
            <w:tcW w:w="850" w:type="dxa"/>
            <w:noWrap w:val="0"/>
            <w:vAlign w:val="center"/>
          </w:tcPr>
          <w:p w14:paraId="536BCA9F">
            <w:pPr>
              <w:jc w:val="center"/>
              <w:rPr>
                <w:rFonts w:eastAsia="楷体_GB2312"/>
                <w:color w:val="000000"/>
                <w:kern w:val="0"/>
                <w:szCs w:val="21"/>
              </w:rPr>
            </w:pPr>
            <w:r>
              <w:rPr>
                <w:rFonts w:eastAsia="楷体_GB2312"/>
                <w:color w:val="000000"/>
                <w:kern w:val="0"/>
                <w:szCs w:val="21"/>
              </w:rPr>
              <w:t>1</w:t>
            </w:r>
          </w:p>
        </w:tc>
        <w:tc>
          <w:tcPr>
            <w:tcW w:w="1134" w:type="dxa"/>
            <w:noWrap/>
            <w:vAlign w:val="center"/>
          </w:tcPr>
          <w:p w14:paraId="14A8FC88">
            <w:pPr>
              <w:jc w:val="center"/>
              <w:rPr>
                <w:rFonts w:eastAsia="楷体_GB2312"/>
                <w:color w:val="000000"/>
                <w:kern w:val="0"/>
                <w:szCs w:val="21"/>
              </w:rPr>
            </w:pPr>
            <w:r>
              <w:rPr>
                <w:rFonts w:eastAsia="楷体_GB2312"/>
                <w:color w:val="000000"/>
                <w:kern w:val="0"/>
                <w:szCs w:val="21"/>
              </w:rPr>
              <w:t>425</w:t>
            </w:r>
          </w:p>
        </w:tc>
        <w:tc>
          <w:tcPr>
            <w:tcW w:w="1134" w:type="dxa"/>
            <w:noWrap/>
            <w:vAlign w:val="center"/>
          </w:tcPr>
          <w:p w14:paraId="0BD595D8">
            <w:pPr>
              <w:jc w:val="center"/>
              <w:rPr>
                <w:rFonts w:eastAsia="楷体_GB2312"/>
                <w:color w:val="000000"/>
                <w:kern w:val="0"/>
                <w:szCs w:val="21"/>
              </w:rPr>
            </w:pPr>
            <w:r>
              <w:rPr>
                <w:rFonts w:eastAsia="楷体_GB2312"/>
                <w:color w:val="000000"/>
                <w:kern w:val="0"/>
                <w:szCs w:val="21"/>
              </w:rPr>
              <w:t>28.33</w:t>
            </w:r>
          </w:p>
        </w:tc>
        <w:tc>
          <w:tcPr>
            <w:tcW w:w="1134" w:type="dxa"/>
            <w:noWrap/>
            <w:vAlign w:val="center"/>
          </w:tcPr>
          <w:p w14:paraId="36E4BF71">
            <w:pPr>
              <w:jc w:val="center"/>
              <w:rPr>
                <w:rFonts w:eastAsia="楷体_GB2312"/>
                <w:color w:val="000000"/>
                <w:kern w:val="0"/>
                <w:szCs w:val="21"/>
              </w:rPr>
            </w:pPr>
            <w:r>
              <w:rPr>
                <w:rFonts w:eastAsia="楷体_GB2312"/>
                <w:color w:val="000000"/>
                <w:kern w:val="0"/>
                <w:szCs w:val="21"/>
              </w:rPr>
              <w:t>315</w:t>
            </w:r>
          </w:p>
        </w:tc>
        <w:tc>
          <w:tcPr>
            <w:tcW w:w="992" w:type="dxa"/>
            <w:noWrap/>
            <w:vAlign w:val="center"/>
          </w:tcPr>
          <w:p w14:paraId="4B1F2867">
            <w:pPr>
              <w:jc w:val="center"/>
              <w:rPr>
                <w:rFonts w:eastAsia="楷体_GB2312"/>
                <w:color w:val="000000"/>
                <w:kern w:val="0"/>
                <w:szCs w:val="21"/>
              </w:rPr>
            </w:pPr>
            <w:r>
              <w:rPr>
                <w:rFonts w:eastAsia="楷体_GB2312"/>
                <w:color w:val="000000"/>
                <w:kern w:val="0"/>
                <w:szCs w:val="21"/>
              </w:rPr>
              <w:t>21.00</w:t>
            </w:r>
          </w:p>
        </w:tc>
        <w:tc>
          <w:tcPr>
            <w:tcW w:w="1134" w:type="dxa"/>
            <w:noWrap/>
            <w:vAlign w:val="center"/>
          </w:tcPr>
          <w:p w14:paraId="3EC9E026">
            <w:pPr>
              <w:jc w:val="center"/>
              <w:rPr>
                <w:rFonts w:eastAsia="楷体_GB2312"/>
                <w:color w:val="000000"/>
                <w:kern w:val="0"/>
                <w:szCs w:val="21"/>
              </w:rPr>
            </w:pPr>
            <w:r>
              <w:rPr>
                <w:rFonts w:eastAsia="楷体_GB2312"/>
                <w:color w:val="000000"/>
                <w:kern w:val="0"/>
                <w:szCs w:val="21"/>
              </w:rPr>
              <w:t>170</w:t>
            </w:r>
          </w:p>
        </w:tc>
        <w:tc>
          <w:tcPr>
            <w:tcW w:w="992" w:type="dxa"/>
            <w:noWrap/>
            <w:vAlign w:val="center"/>
          </w:tcPr>
          <w:p w14:paraId="2D597A5E">
            <w:pPr>
              <w:jc w:val="center"/>
              <w:rPr>
                <w:rFonts w:eastAsia="楷体_GB2312"/>
                <w:color w:val="000000"/>
                <w:kern w:val="0"/>
                <w:szCs w:val="21"/>
              </w:rPr>
            </w:pPr>
            <w:r>
              <w:rPr>
                <w:rFonts w:eastAsia="楷体_GB2312"/>
                <w:color w:val="000000"/>
                <w:kern w:val="0"/>
                <w:szCs w:val="21"/>
              </w:rPr>
              <w:t>11.33</w:t>
            </w:r>
          </w:p>
        </w:tc>
      </w:tr>
      <w:tr w14:paraId="3BDCB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417572F8">
            <w:pPr>
              <w:jc w:val="center"/>
              <w:rPr>
                <w:rFonts w:eastAsia="楷体_GB2312"/>
                <w:color w:val="000000"/>
                <w:kern w:val="0"/>
                <w:szCs w:val="21"/>
              </w:rPr>
            </w:pPr>
          </w:p>
        </w:tc>
        <w:tc>
          <w:tcPr>
            <w:tcW w:w="1276" w:type="dxa"/>
            <w:vMerge w:val="continue"/>
            <w:noWrap/>
            <w:vAlign w:val="center"/>
          </w:tcPr>
          <w:p w14:paraId="5937275E">
            <w:pPr>
              <w:jc w:val="center"/>
              <w:rPr>
                <w:rFonts w:eastAsia="楷体_GB2312"/>
                <w:color w:val="000000"/>
                <w:kern w:val="0"/>
                <w:szCs w:val="21"/>
              </w:rPr>
            </w:pPr>
          </w:p>
        </w:tc>
        <w:tc>
          <w:tcPr>
            <w:tcW w:w="850" w:type="dxa"/>
            <w:noWrap w:val="0"/>
            <w:vAlign w:val="center"/>
          </w:tcPr>
          <w:p w14:paraId="3AF7B346">
            <w:pPr>
              <w:jc w:val="center"/>
              <w:rPr>
                <w:rFonts w:eastAsia="楷体_GB2312"/>
                <w:color w:val="000000"/>
                <w:kern w:val="0"/>
                <w:szCs w:val="21"/>
              </w:rPr>
            </w:pPr>
            <w:r>
              <w:rPr>
                <w:rFonts w:eastAsia="楷体_GB2312"/>
                <w:color w:val="000000"/>
                <w:kern w:val="0"/>
                <w:szCs w:val="21"/>
              </w:rPr>
              <w:t>2</w:t>
            </w:r>
          </w:p>
        </w:tc>
        <w:tc>
          <w:tcPr>
            <w:tcW w:w="1134" w:type="dxa"/>
            <w:noWrap/>
            <w:vAlign w:val="center"/>
          </w:tcPr>
          <w:p w14:paraId="13B6C30E">
            <w:pPr>
              <w:jc w:val="center"/>
              <w:rPr>
                <w:rFonts w:eastAsia="楷体_GB2312"/>
                <w:color w:val="000000"/>
                <w:kern w:val="0"/>
                <w:szCs w:val="21"/>
              </w:rPr>
            </w:pPr>
            <w:r>
              <w:rPr>
                <w:rFonts w:eastAsia="楷体_GB2312"/>
                <w:color w:val="000000"/>
                <w:kern w:val="0"/>
                <w:szCs w:val="21"/>
              </w:rPr>
              <w:t>330</w:t>
            </w:r>
          </w:p>
        </w:tc>
        <w:tc>
          <w:tcPr>
            <w:tcW w:w="1134" w:type="dxa"/>
            <w:noWrap/>
            <w:vAlign w:val="center"/>
          </w:tcPr>
          <w:p w14:paraId="2EDFCE0B">
            <w:pPr>
              <w:jc w:val="center"/>
              <w:rPr>
                <w:rFonts w:eastAsia="楷体_GB2312"/>
                <w:color w:val="000000"/>
                <w:kern w:val="0"/>
                <w:szCs w:val="21"/>
              </w:rPr>
            </w:pPr>
            <w:r>
              <w:rPr>
                <w:rFonts w:eastAsia="楷体_GB2312"/>
                <w:color w:val="000000"/>
                <w:kern w:val="0"/>
                <w:szCs w:val="21"/>
              </w:rPr>
              <w:t>22.00</w:t>
            </w:r>
          </w:p>
        </w:tc>
        <w:tc>
          <w:tcPr>
            <w:tcW w:w="1134" w:type="dxa"/>
            <w:noWrap/>
            <w:vAlign w:val="center"/>
          </w:tcPr>
          <w:p w14:paraId="7A9BEEF8">
            <w:pPr>
              <w:jc w:val="center"/>
              <w:rPr>
                <w:rFonts w:eastAsia="楷体_GB2312"/>
                <w:color w:val="000000"/>
                <w:kern w:val="0"/>
                <w:szCs w:val="21"/>
              </w:rPr>
            </w:pPr>
            <w:r>
              <w:rPr>
                <w:rFonts w:eastAsia="楷体_GB2312"/>
                <w:color w:val="000000"/>
                <w:kern w:val="0"/>
                <w:szCs w:val="21"/>
              </w:rPr>
              <w:t>245</w:t>
            </w:r>
          </w:p>
        </w:tc>
        <w:tc>
          <w:tcPr>
            <w:tcW w:w="992" w:type="dxa"/>
            <w:noWrap/>
            <w:vAlign w:val="center"/>
          </w:tcPr>
          <w:p w14:paraId="7DC1D583">
            <w:pPr>
              <w:jc w:val="center"/>
              <w:rPr>
                <w:rFonts w:eastAsia="楷体_GB2312"/>
                <w:color w:val="000000"/>
                <w:kern w:val="0"/>
                <w:szCs w:val="21"/>
              </w:rPr>
            </w:pPr>
            <w:r>
              <w:rPr>
                <w:rFonts w:eastAsia="楷体_GB2312"/>
                <w:color w:val="000000"/>
                <w:kern w:val="0"/>
                <w:szCs w:val="21"/>
              </w:rPr>
              <w:t>16.33</w:t>
            </w:r>
          </w:p>
        </w:tc>
        <w:tc>
          <w:tcPr>
            <w:tcW w:w="1134" w:type="dxa"/>
            <w:noWrap/>
            <w:vAlign w:val="center"/>
          </w:tcPr>
          <w:p w14:paraId="55472063">
            <w:pPr>
              <w:jc w:val="center"/>
              <w:rPr>
                <w:rFonts w:eastAsia="楷体_GB2312"/>
                <w:color w:val="000000"/>
                <w:kern w:val="0"/>
                <w:szCs w:val="21"/>
              </w:rPr>
            </w:pPr>
            <w:r>
              <w:rPr>
                <w:rFonts w:eastAsia="楷体_GB2312"/>
                <w:color w:val="000000"/>
                <w:kern w:val="0"/>
                <w:szCs w:val="21"/>
              </w:rPr>
              <w:t>155</w:t>
            </w:r>
          </w:p>
        </w:tc>
        <w:tc>
          <w:tcPr>
            <w:tcW w:w="992" w:type="dxa"/>
            <w:noWrap/>
            <w:vAlign w:val="center"/>
          </w:tcPr>
          <w:p w14:paraId="717C50C6">
            <w:pPr>
              <w:jc w:val="center"/>
              <w:rPr>
                <w:rFonts w:eastAsia="楷体_GB2312"/>
                <w:color w:val="000000"/>
                <w:kern w:val="0"/>
                <w:szCs w:val="21"/>
              </w:rPr>
            </w:pPr>
            <w:r>
              <w:rPr>
                <w:rFonts w:eastAsia="楷体_GB2312"/>
                <w:color w:val="000000"/>
                <w:kern w:val="0"/>
                <w:szCs w:val="21"/>
              </w:rPr>
              <w:t>10.33</w:t>
            </w:r>
          </w:p>
        </w:tc>
      </w:tr>
      <w:tr w14:paraId="1A79F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34D84429">
            <w:pPr>
              <w:jc w:val="center"/>
              <w:rPr>
                <w:rFonts w:eastAsia="楷体_GB2312"/>
                <w:color w:val="000000"/>
                <w:kern w:val="0"/>
                <w:szCs w:val="21"/>
              </w:rPr>
            </w:pPr>
          </w:p>
        </w:tc>
        <w:tc>
          <w:tcPr>
            <w:tcW w:w="1276" w:type="dxa"/>
            <w:vMerge w:val="continue"/>
            <w:noWrap/>
            <w:vAlign w:val="center"/>
          </w:tcPr>
          <w:p w14:paraId="0E596715">
            <w:pPr>
              <w:jc w:val="center"/>
              <w:rPr>
                <w:rFonts w:eastAsia="楷体_GB2312"/>
                <w:color w:val="000000"/>
                <w:kern w:val="0"/>
                <w:szCs w:val="21"/>
              </w:rPr>
            </w:pPr>
          </w:p>
        </w:tc>
        <w:tc>
          <w:tcPr>
            <w:tcW w:w="850" w:type="dxa"/>
            <w:noWrap w:val="0"/>
            <w:vAlign w:val="center"/>
          </w:tcPr>
          <w:p w14:paraId="03E84F9C">
            <w:pPr>
              <w:jc w:val="center"/>
              <w:rPr>
                <w:rFonts w:eastAsia="楷体_GB2312"/>
                <w:color w:val="000000"/>
                <w:kern w:val="0"/>
                <w:szCs w:val="21"/>
              </w:rPr>
            </w:pPr>
            <w:r>
              <w:rPr>
                <w:rFonts w:eastAsia="楷体_GB2312"/>
                <w:color w:val="000000"/>
                <w:kern w:val="0"/>
                <w:szCs w:val="21"/>
              </w:rPr>
              <w:t>3</w:t>
            </w:r>
          </w:p>
        </w:tc>
        <w:tc>
          <w:tcPr>
            <w:tcW w:w="1134" w:type="dxa"/>
            <w:noWrap/>
            <w:vAlign w:val="center"/>
          </w:tcPr>
          <w:p w14:paraId="09E9965C">
            <w:pPr>
              <w:jc w:val="center"/>
              <w:rPr>
                <w:rFonts w:eastAsia="楷体_GB2312"/>
                <w:color w:val="000000"/>
                <w:kern w:val="0"/>
                <w:szCs w:val="21"/>
              </w:rPr>
            </w:pPr>
            <w:r>
              <w:rPr>
                <w:rFonts w:eastAsia="楷体_GB2312"/>
                <w:color w:val="000000"/>
                <w:kern w:val="0"/>
                <w:szCs w:val="21"/>
              </w:rPr>
              <w:t>255</w:t>
            </w:r>
          </w:p>
        </w:tc>
        <w:tc>
          <w:tcPr>
            <w:tcW w:w="1134" w:type="dxa"/>
            <w:noWrap/>
            <w:vAlign w:val="center"/>
          </w:tcPr>
          <w:p w14:paraId="70CAFF75">
            <w:pPr>
              <w:jc w:val="center"/>
              <w:rPr>
                <w:rFonts w:eastAsia="楷体_GB2312"/>
                <w:color w:val="000000"/>
                <w:kern w:val="0"/>
                <w:szCs w:val="21"/>
              </w:rPr>
            </w:pPr>
            <w:r>
              <w:rPr>
                <w:rFonts w:eastAsia="楷体_GB2312"/>
                <w:color w:val="000000"/>
                <w:kern w:val="0"/>
                <w:szCs w:val="21"/>
              </w:rPr>
              <w:t>17.00</w:t>
            </w:r>
          </w:p>
        </w:tc>
        <w:tc>
          <w:tcPr>
            <w:tcW w:w="1134" w:type="dxa"/>
            <w:noWrap/>
            <w:vAlign w:val="center"/>
          </w:tcPr>
          <w:p w14:paraId="14201580">
            <w:pPr>
              <w:jc w:val="center"/>
              <w:rPr>
                <w:rFonts w:eastAsia="楷体_GB2312"/>
                <w:color w:val="000000"/>
                <w:kern w:val="0"/>
                <w:szCs w:val="21"/>
              </w:rPr>
            </w:pPr>
            <w:r>
              <w:rPr>
                <w:rFonts w:eastAsia="楷体_GB2312"/>
                <w:color w:val="000000"/>
                <w:kern w:val="0"/>
                <w:szCs w:val="21"/>
              </w:rPr>
              <w:t>190</w:t>
            </w:r>
          </w:p>
        </w:tc>
        <w:tc>
          <w:tcPr>
            <w:tcW w:w="992" w:type="dxa"/>
            <w:noWrap/>
            <w:vAlign w:val="center"/>
          </w:tcPr>
          <w:p w14:paraId="65E01BC0">
            <w:pPr>
              <w:jc w:val="center"/>
              <w:rPr>
                <w:rFonts w:eastAsia="楷体_GB2312"/>
                <w:color w:val="000000"/>
                <w:kern w:val="0"/>
                <w:szCs w:val="21"/>
              </w:rPr>
            </w:pPr>
            <w:r>
              <w:rPr>
                <w:rFonts w:eastAsia="楷体_GB2312"/>
                <w:color w:val="000000"/>
                <w:kern w:val="0"/>
                <w:szCs w:val="21"/>
              </w:rPr>
              <w:t>12.67</w:t>
            </w:r>
          </w:p>
        </w:tc>
        <w:tc>
          <w:tcPr>
            <w:tcW w:w="1134" w:type="dxa"/>
            <w:noWrap/>
            <w:vAlign w:val="center"/>
          </w:tcPr>
          <w:p w14:paraId="3F28D05A">
            <w:pPr>
              <w:jc w:val="center"/>
              <w:rPr>
                <w:rFonts w:eastAsia="楷体_GB2312"/>
                <w:color w:val="000000"/>
                <w:kern w:val="0"/>
                <w:szCs w:val="21"/>
              </w:rPr>
            </w:pPr>
            <w:r>
              <w:rPr>
                <w:rFonts w:eastAsia="楷体_GB2312"/>
                <w:color w:val="000000"/>
                <w:kern w:val="0"/>
                <w:szCs w:val="21"/>
              </w:rPr>
              <w:t>144</w:t>
            </w:r>
          </w:p>
        </w:tc>
        <w:tc>
          <w:tcPr>
            <w:tcW w:w="992" w:type="dxa"/>
            <w:noWrap/>
            <w:vAlign w:val="center"/>
          </w:tcPr>
          <w:p w14:paraId="6C996550">
            <w:pPr>
              <w:jc w:val="center"/>
              <w:rPr>
                <w:rFonts w:eastAsia="楷体_GB2312"/>
                <w:color w:val="000000"/>
                <w:kern w:val="0"/>
                <w:szCs w:val="21"/>
              </w:rPr>
            </w:pPr>
            <w:r>
              <w:rPr>
                <w:rFonts w:eastAsia="楷体_GB2312"/>
                <w:color w:val="000000"/>
                <w:kern w:val="0"/>
                <w:szCs w:val="21"/>
              </w:rPr>
              <w:t>9.60</w:t>
            </w:r>
          </w:p>
        </w:tc>
      </w:tr>
      <w:tr w14:paraId="7F303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ign w:val="center"/>
          </w:tcPr>
          <w:p w14:paraId="2A8A90A8">
            <w:pPr>
              <w:jc w:val="center"/>
              <w:rPr>
                <w:rFonts w:eastAsia="楷体_GB2312"/>
                <w:color w:val="000000"/>
                <w:kern w:val="0"/>
                <w:szCs w:val="21"/>
              </w:rPr>
            </w:pPr>
            <w:r>
              <w:rPr>
                <w:rFonts w:eastAsia="楷体_GB2312"/>
                <w:color w:val="000000"/>
                <w:kern w:val="0"/>
                <w:szCs w:val="21"/>
              </w:rPr>
              <w:t>21</w:t>
            </w:r>
          </w:p>
        </w:tc>
        <w:tc>
          <w:tcPr>
            <w:tcW w:w="1276" w:type="dxa"/>
            <w:vMerge w:val="restart"/>
            <w:noWrap/>
            <w:vAlign w:val="center"/>
          </w:tcPr>
          <w:p w14:paraId="16628202">
            <w:pPr>
              <w:jc w:val="center"/>
              <w:rPr>
                <w:rFonts w:eastAsia="楷体_GB2312"/>
                <w:color w:val="000000"/>
                <w:kern w:val="0"/>
                <w:szCs w:val="21"/>
              </w:rPr>
            </w:pPr>
            <w:r>
              <w:rPr>
                <w:rFonts w:eastAsia="楷体_GB2312"/>
                <w:color w:val="000000"/>
                <w:kern w:val="0"/>
                <w:szCs w:val="21"/>
              </w:rPr>
              <w:t>灰古镇</w:t>
            </w:r>
          </w:p>
        </w:tc>
        <w:tc>
          <w:tcPr>
            <w:tcW w:w="850" w:type="dxa"/>
            <w:noWrap w:val="0"/>
            <w:vAlign w:val="center"/>
          </w:tcPr>
          <w:p w14:paraId="2A093A9D">
            <w:pPr>
              <w:jc w:val="center"/>
              <w:rPr>
                <w:rFonts w:eastAsia="楷体_GB2312"/>
                <w:color w:val="000000"/>
                <w:kern w:val="0"/>
                <w:szCs w:val="21"/>
              </w:rPr>
            </w:pPr>
            <w:r>
              <w:rPr>
                <w:rFonts w:eastAsia="楷体_GB2312"/>
                <w:color w:val="000000"/>
                <w:kern w:val="0"/>
                <w:szCs w:val="21"/>
              </w:rPr>
              <w:t>1</w:t>
            </w:r>
          </w:p>
        </w:tc>
        <w:tc>
          <w:tcPr>
            <w:tcW w:w="1134" w:type="dxa"/>
            <w:noWrap/>
            <w:vAlign w:val="center"/>
          </w:tcPr>
          <w:p w14:paraId="5DAFEADD">
            <w:pPr>
              <w:jc w:val="center"/>
              <w:rPr>
                <w:rFonts w:eastAsia="楷体_GB2312"/>
                <w:color w:val="000000"/>
                <w:kern w:val="0"/>
                <w:szCs w:val="21"/>
              </w:rPr>
            </w:pPr>
            <w:r>
              <w:rPr>
                <w:rFonts w:eastAsia="楷体_GB2312"/>
                <w:color w:val="000000"/>
                <w:kern w:val="0"/>
                <w:szCs w:val="21"/>
              </w:rPr>
              <w:t>430</w:t>
            </w:r>
          </w:p>
        </w:tc>
        <w:tc>
          <w:tcPr>
            <w:tcW w:w="1134" w:type="dxa"/>
            <w:noWrap/>
            <w:vAlign w:val="center"/>
          </w:tcPr>
          <w:p w14:paraId="4F99A802">
            <w:pPr>
              <w:jc w:val="center"/>
              <w:rPr>
                <w:rFonts w:eastAsia="楷体_GB2312"/>
                <w:color w:val="000000"/>
                <w:kern w:val="0"/>
                <w:szCs w:val="21"/>
              </w:rPr>
            </w:pPr>
            <w:r>
              <w:rPr>
                <w:rFonts w:eastAsia="楷体_GB2312"/>
                <w:color w:val="000000"/>
                <w:kern w:val="0"/>
                <w:szCs w:val="21"/>
              </w:rPr>
              <w:t>28.67</w:t>
            </w:r>
          </w:p>
        </w:tc>
        <w:tc>
          <w:tcPr>
            <w:tcW w:w="1134" w:type="dxa"/>
            <w:noWrap/>
            <w:vAlign w:val="center"/>
          </w:tcPr>
          <w:p w14:paraId="6CE74768">
            <w:pPr>
              <w:jc w:val="center"/>
              <w:rPr>
                <w:rFonts w:eastAsia="楷体_GB2312"/>
                <w:color w:val="000000"/>
                <w:kern w:val="0"/>
                <w:szCs w:val="21"/>
              </w:rPr>
            </w:pPr>
            <w:r>
              <w:rPr>
                <w:rFonts w:eastAsia="楷体_GB2312"/>
                <w:color w:val="000000"/>
                <w:kern w:val="0"/>
                <w:szCs w:val="21"/>
              </w:rPr>
              <w:t>320</w:t>
            </w:r>
          </w:p>
        </w:tc>
        <w:tc>
          <w:tcPr>
            <w:tcW w:w="992" w:type="dxa"/>
            <w:noWrap/>
            <w:vAlign w:val="center"/>
          </w:tcPr>
          <w:p w14:paraId="4A208AD2">
            <w:pPr>
              <w:jc w:val="center"/>
              <w:rPr>
                <w:rFonts w:eastAsia="楷体_GB2312"/>
                <w:color w:val="000000"/>
                <w:kern w:val="0"/>
                <w:szCs w:val="21"/>
              </w:rPr>
            </w:pPr>
            <w:r>
              <w:rPr>
                <w:rFonts w:eastAsia="楷体_GB2312"/>
                <w:color w:val="000000"/>
                <w:kern w:val="0"/>
                <w:szCs w:val="21"/>
              </w:rPr>
              <w:t>21.33</w:t>
            </w:r>
          </w:p>
        </w:tc>
        <w:tc>
          <w:tcPr>
            <w:tcW w:w="1134" w:type="dxa"/>
            <w:noWrap/>
            <w:vAlign w:val="center"/>
          </w:tcPr>
          <w:p w14:paraId="6CC59702">
            <w:pPr>
              <w:jc w:val="center"/>
              <w:rPr>
                <w:rFonts w:eastAsia="楷体_GB2312"/>
                <w:color w:val="000000"/>
                <w:kern w:val="0"/>
                <w:szCs w:val="21"/>
              </w:rPr>
            </w:pPr>
            <w:r>
              <w:rPr>
                <w:rFonts w:eastAsia="楷体_GB2312"/>
                <w:color w:val="000000"/>
                <w:kern w:val="0"/>
                <w:szCs w:val="21"/>
              </w:rPr>
              <w:t>170</w:t>
            </w:r>
          </w:p>
        </w:tc>
        <w:tc>
          <w:tcPr>
            <w:tcW w:w="992" w:type="dxa"/>
            <w:noWrap/>
            <w:vAlign w:val="center"/>
          </w:tcPr>
          <w:p w14:paraId="2FE84CBE">
            <w:pPr>
              <w:jc w:val="center"/>
              <w:rPr>
                <w:rFonts w:eastAsia="楷体_GB2312"/>
                <w:color w:val="000000"/>
                <w:kern w:val="0"/>
                <w:szCs w:val="21"/>
              </w:rPr>
            </w:pPr>
            <w:r>
              <w:rPr>
                <w:rFonts w:eastAsia="楷体_GB2312"/>
                <w:color w:val="000000"/>
                <w:kern w:val="0"/>
                <w:szCs w:val="21"/>
              </w:rPr>
              <w:t>11.33</w:t>
            </w:r>
          </w:p>
        </w:tc>
      </w:tr>
      <w:tr w14:paraId="7D88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54CF2B62">
            <w:pPr>
              <w:jc w:val="center"/>
              <w:rPr>
                <w:rFonts w:eastAsia="楷体_GB2312"/>
                <w:color w:val="000000"/>
                <w:kern w:val="0"/>
                <w:szCs w:val="21"/>
              </w:rPr>
            </w:pPr>
          </w:p>
        </w:tc>
        <w:tc>
          <w:tcPr>
            <w:tcW w:w="1276" w:type="dxa"/>
            <w:vMerge w:val="continue"/>
            <w:noWrap/>
            <w:vAlign w:val="center"/>
          </w:tcPr>
          <w:p w14:paraId="17C62021">
            <w:pPr>
              <w:jc w:val="center"/>
              <w:rPr>
                <w:rFonts w:eastAsia="楷体_GB2312"/>
                <w:color w:val="000000"/>
                <w:kern w:val="0"/>
                <w:szCs w:val="21"/>
              </w:rPr>
            </w:pPr>
          </w:p>
        </w:tc>
        <w:tc>
          <w:tcPr>
            <w:tcW w:w="850" w:type="dxa"/>
            <w:noWrap w:val="0"/>
            <w:vAlign w:val="center"/>
          </w:tcPr>
          <w:p w14:paraId="02859F3F">
            <w:pPr>
              <w:jc w:val="center"/>
              <w:rPr>
                <w:rFonts w:eastAsia="楷体_GB2312"/>
                <w:color w:val="000000"/>
                <w:kern w:val="0"/>
                <w:szCs w:val="21"/>
              </w:rPr>
            </w:pPr>
            <w:r>
              <w:rPr>
                <w:rFonts w:eastAsia="楷体_GB2312"/>
                <w:color w:val="000000"/>
                <w:kern w:val="0"/>
                <w:szCs w:val="21"/>
              </w:rPr>
              <w:t>2</w:t>
            </w:r>
          </w:p>
        </w:tc>
        <w:tc>
          <w:tcPr>
            <w:tcW w:w="1134" w:type="dxa"/>
            <w:noWrap/>
            <w:vAlign w:val="center"/>
          </w:tcPr>
          <w:p w14:paraId="48A1041C">
            <w:pPr>
              <w:jc w:val="center"/>
              <w:rPr>
                <w:rFonts w:eastAsia="楷体_GB2312"/>
                <w:color w:val="000000"/>
                <w:kern w:val="0"/>
                <w:szCs w:val="21"/>
              </w:rPr>
            </w:pPr>
            <w:r>
              <w:rPr>
                <w:rFonts w:eastAsia="楷体_GB2312"/>
                <w:color w:val="000000"/>
                <w:kern w:val="0"/>
                <w:szCs w:val="21"/>
              </w:rPr>
              <w:t>350</w:t>
            </w:r>
          </w:p>
        </w:tc>
        <w:tc>
          <w:tcPr>
            <w:tcW w:w="1134" w:type="dxa"/>
            <w:noWrap/>
            <w:vAlign w:val="center"/>
          </w:tcPr>
          <w:p w14:paraId="6C1D7314">
            <w:pPr>
              <w:jc w:val="center"/>
              <w:rPr>
                <w:rFonts w:eastAsia="楷体_GB2312"/>
                <w:color w:val="000000"/>
                <w:kern w:val="0"/>
                <w:szCs w:val="21"/>
              </w:rPr>
            </w:pPr>
            <w:r>
              <w:rPr>
                <w:rFonts w:eastAsia="楷体_GB2312"/>
                <w:color w:val="000000"/>
                <w:kern w:val="0"/>
                <w:szCs w:val="21"/>
              </w:rPr>
              <w:t>23.33</w:t>
            </w:r>
          </w:p>
        </w:tc>
        <w:tc>
          <w:tcPr>
            <w:tcW w:w="1134" w:type="dxa"/>
            <w:noWrap/>
            <w:vAlign w:val="center"/>
          </w:tcPr>
          <w:p w14:paraId="0949E651">
            <w:pPr>
              <w:jc w:val="center"/>
              <w:rPr>
                <w:rFonts w:eastAsia="楷体_GB2312"/>
                <w:color w:val="000000"/>
                <w:kern w:val="0"/>
                <w:szCs w:val="21"/>
              </w:rPr>
            </w:pPr>
            <w:r>
              <w:rPr>
                <w:rFonts w:eastAsia="楷体_GB2312"/>
                <w:color w:val="000000"/>
                <w:kern w:val="0"/>
                <w:szCs w:val="21"/>
              </w:rPr>
              <w:t>255</w:t>
            </w:r>
          </w:p>
        </w:tc>
        <w:tc>
          <w:tcPr>
            <w:tcW w:w="992" w:type="dxa"/>
            <w:noWrap/>
            <w:vAlign w:val="center"/>
          </w:tcPr>
          <w:p w14:paraId="248BC997">
            <w:pPr>
              <w:jc w:val="center"/>
              <w:rPr>
                <w:rFonts w:eastAsia="楷体_GB2312"/>
                <w:color w:val="000000"/>
                <w:kern w:val="0"/>
                <w:szCs w:val="21"/>
              </w:rPr>
            </w:pPr>
            <w:r>
              <w:rPr>
                <w:rFonts w:eastAsia="楷体_GB2312"/>
                <w:color w:val="000000"/>
                <w:kern w:val="0"/>
                <w:szCs w:val="21"/>
              </w:rPr>
              <w:t>17.00</w:t>
            </w:r>
          </w:p>
        </w:tc>
        <w:tc>
          <w:tcPr>
            <w:tcW w:w="1134" w:type="dxa"/>
            <w:noWrap/>
            <w:vAlign w:val="center"/>
          </w:tcPr>
          <w:p w14:paraId="55495410">
            <w:pPr>
              <w:jc w:val="center"/>
              <w:rPr>
                <w:rFonts w:eastAsia="楷体_GB2312"/>
                <w:color w:val="000000"/>
                <w:kern w:val="0"/>
                <w:szCs w:val="21"/>
              </w:rPr>
            </w:pPr>
            <w:r>
              <w:rPr>
                <w:rFonts w:eastAsia="楷体_GB2312"/>
                <w:color w:val="000000"/>
                <w:kern w:val="0"/>
                <w:szCs w:val="21"/>
              </w:rPr>
              <w:t>155</w:t>
            </w:r>
          </w:p>
        </w:tc>
        <w:tc>
          <w:tcPr>
            <w:tcW w:w="992" w:type="dxa"/>
            <w:noWrap/>
            <w:vAlign w:val="center"/>
          </w:tcPr>
          <w:p w14:paraId="72F2C479">
            <w:pPr>
              <w:jc w:val="center"/>
              <w:rPr>
                <w:rFonts w:eastAsia="楷体_GB2312"/>
                <w:color w:val="000000"/>
                <w:kern w:val="0"/>
                <w:szCs w:val="21"/>
              </w:rPr>
            </w:pPr>
            <w:r>
              <w:rPr>
                <w:rFonts w:eastAsia="楷体_GB2312"/>
                <w:color w:val="000000"/>
                <w:kern w:val="0"/>
                <w:szCs w:val="21"/>
              </w:rPr>
              <w:t>10.33</w:t>
            </w:r>
          </w:p>
        </w:tc>
      </w:tr>
      <w:tr w14:paraId="1D8FB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0EDF1F1B">
            <w:pPr>
              <w:jc w:val="center"/>
              <w:rPr>
                <w:rFonts w:eastAsia="楷体_GB2312"/>
                <w:color w:val="000000"/>
                <w:kern w:val="0"/>
                <w:szCs w:val="21"/>
              </w:rPr>
            </w:pPr>
          </w:p>
        </w:tc>
        <w:tc>
          <w:tcPr>
            <w:tcW w:w="1276" w:type="dxa"/>
            <w:vMerge w:val="continue"/>
            <w:noWrap/>
            <w:vAlign w:val="center"/>
          </w:tcPr>
          <w:p w14:paraId="3A1F7436">
            <w:pPr>
              <w:jc w:val="center"/>
              <w:rPr>
                <w:rFonts w:eastAsia="楷体_GB2312"/>
                <w:color w:val="000000"/>
                <w:kern w:val="0"/>
                <w:szCs w:val="21"/>
              </w:rPr>
            </w:pPr>
          </w:p>
        </w:tc>
        <w:tc>
          <w:tcPr>
            <w:tcW w:w="850" w:type="dxa"/>
            <w:noWrap w:val="0"/>
            <w:vAlign w:val="center"/>
          </w:tcPr>
          <w:p w14:paraId="2993333E">
            <w:pPr>
              <w:jc w:val="center"/>
              <w:rPr>
                <w:rFonts w:eastAsia="楷体_GB2312"/>
                <w:color w:val="000000"/>
                <w:kern w:val="0"/>
                <w:szCs w:val="21"/>
              </w:rPr>
            </w:pPr>
            <w:r>
              <w:rPr>
                <w:rFonts w:eastAsia="楷体_GB2312"/>
                <w:color w:val="000000"/>
                <w:kern w:val="0"/>
                <w:szCs w:val="21"/>
              </w:rPr>
              <w:t>3</w:t>
            </w:r>
          </w:p>
        </w:tc>
        <w:tc>
          <w:tcPr>
            <w:tcW w:w="1134" w:type="dxa"/>
            <w:noWrap/>
            <w:vAlign w:val="center"/>
          </w:tcPr>
          <w:p w14:paraId="36D6A777">
            <w:pPr>
              <w:jc w:val="center"/>
              <w:rPr>
                <w:rFonts w:eastAsia="楷体_GB2312"/>
                <w:color w:val="000000"/>
                <w:kern w:val="0"/>
                <w:szCs w:val="21"/>
              </w:rPr>
            </w:pPr>
            <w:r>
              <w:rPr>
                <w:rFonts w:eastAsia="楷体_GB2312"/>
                <w:color w:val="000000"/>
                <w:kern w:val="0"/>
                <w:szCs w:val="21"/>
              </w:rPr>
              <w:t>285</w:t>
            </w:r>
          </w:p>
        </w:tc>
        <w:tc>
          <w:tcPr>
            <w:tcW w:w="1134" w:type="dxa"/>
            <w:noWrap/>
            <w:vAlign w:val="center"/>
          </w:tcPr>
          <w:p w14:paraId="23551526">
            <w:pPr>
              <w:jc w:val="center"/>
              <w:rPr>
                <w:rFonts w:eastAsia="楷体_GB2312"/>
                <w:color w:val="000000"/>
                <w:kern w:val="0"/>
                <w:szCs w:val="21"/>
              </w:rPr>
            </w:pPr>
            <w:r>
              <w:rPr>
                <w:rFonts w:eastAsia="楷体_GB2312"/>
                <w:color w:val="000000"/>
                <w:kern w:val="0"/>
                <w:szCs w:val="21"/>
              </w:rPr>
              <w:t>19.00</w:t>
            </w:r>
          </w:p>
        </w:tc>
        <w:tc>
          <w:tcPr>
            <w:tcW w:w="1134" w:type="dxa"/>
            <w:noWrap/>
            <w:vAlign w:val="center"/>
          </w:tcPr>
          <w:p w14:paraId="02E0FD16">
            <w:pPr>
              <w:jc w:val="center"/>
              <w:rPr>
                <w:rFonts w:eastAsia="楷体_GB2312"/>
                <w:color w:val="000000"/>
                <w:kern w:val="0"/>
                <w:szCs w:val="21"/>
              </w:rPr>
            </w:pPr>
            <w:r>
              <w:rPr>
                <w:rFonts w:eastAsia="楷体_GB2312"/>
                <w:color w:val="000000"/>
                <w:kern w:val="0"/>
                <w:szCs w:val="21"/>
              </w:rPr>
              <w:t>200</w:t>
            </w:r>
          </w:p>
        </w:tc>
        <w:tc>
          <w:tcPr>
            <w:tcW w:w="992" w:type="dxa"/>
            <w:noWrap/>
            <w:vAlign w:val="center"/>
          </w:tcPr>
          <w:p w14:paraId="09C27A07">
            <w:pPr>
              <w:jc w:val="center"/>
              <w:rPr>
                <w:rFonts w:eastAsia="楷体_GB2312"/>
                <w:color w:val="000000"/>
                <w:kern w:val="0"/>
                <w:szCs w:val="21"/>
              </w:rPr>
            </w:pPr>
            <w:r>
              <w:rPr>
                <w:rFonts w:eastAsia="楷体_GB2312"/>
                <w:color w:val="000000"/>
                <w:kern w:val="0"/>
                <w:szCs w:val="21"/>
              </w:rPr>
              <w:t>13.33</w:t>
            </w:r>
          </w:p>
        </w:tc>
        <w:tc>
          <w:tcPr>
            <w:tcW w:w="1134" w:type="dxa"/>
            <w:noWrap/>
            <w:vAlign w:val="center"/>
          </w:tcPr>
          <w:p w14:paraId="162D3FFD">
            <w:pPr>
              <w:jc w:val="center"/>
              <w:rPr>
                <w:rFonts w:eastAsia="楷体_GB2312"/>
                <w:color w:val="000000"/>
                <w:kern w:val="0"/>
                <w:szCs w:val="21"/>
              </w:rPr>
            </w:pPr>
            <w:r>
              <w:rPr>
                <w:rFonts w:eastAsia="楷体_GB2312"/>
                <w:color w:val="000000"/>
                <w:kern w:val="0"/>
                <w:szCs w:val="21"/>
              </w:rPr>
              <w:t>144</w:t>
            </w:r>
          </w:p>
        </w:tc>
        <w:tc>
          <w:tcPr>
            <w:tcW w:w="992" w:type="dxa"/>
            <w:noWrap/>
            <w:vAlign w:val="center"/>
          </w:tcPr>
          <w:p w14:paraId="6A7CB68C">
            <w:pPr>
              <w:jc w:val="center"/>
              <w:rPr>
                <w:rFonts w:eastAsia="楷体_GB2312"/>
                <w:color w:val="000000"/>
                <w:kern w:val="0"/>
                <w:szCs w:val="21"/>
              </w:rPr>
            </w:pPr>
            <w:r>
              <w:rPr>
                <w:rFonts w:eastAsia="楷体_GB2312"/>
                <w:color w:val="000000"/>
                <w:kern w:val="0"/>
                <w:szCs w:val="21"/>
              </w:rPr>
              <w:t>9.60</w:t>
            </w:r>
          </w:p>
        </w:tc>
      </w:tr>
      <w:tr w14:paraId="596B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restart"/>
            <w:noWrap/>
            <w:vAlign w:val="center"/>
          </w:tcPr>
          <w:p w14:paraId="521F73CD">
            <w:pPr>
              <w:jc w:val="center"/>
              <w:rPr>
                <w:rFonts w:eastAsia="楷体_GB2312"/>
                <w:color w:val="000000"/>
                <w:kern w:val="0"/>
                <w:szCs w:val="21"/>
              </w:rPr>
            </w:pPr>
            <w:r>
              <w:rPr>
                <w:rFonts w:eastAsia="楷体_GB2312"/>
                <w:color w:val="000000"/>
                <w:kern w:val="0"/>
                <w:szCs w:val="21"/>
              </w:rPr>
              <w:t>22</w:t>
            </w:r>
          </w:p>
        </w:tc>
        <w:tc>
          <w:tcPr>
            <w:tcW w:w="1276" w:type="dxa"/>
            <w:vMerge w:val="restart"/>
            <w:noWrap/>
            <w:vAlign w:val="center"/>
          </w:tcPr>
          <w:p w14:paraId="6BC10C67">
            <w:pPr>
              <w:jc w:val="center"/>
              <w:rPr>
                <w:rFonts w:eastAsia="楷体_GB2312"/>
                <w:color w:val="000000"/>
                <w:kern w:val="0"/>
                <w:szCs w:val="21"/>
              </w:rPr>
            </w:pPr>
            <w:r>
              <w:rPr>
                <w:rFonts w:eastAsia="楷体_GB2312"/>
                <w:color w:val="000000"/>
                <w:kern w:val="0"/>
                <w:szCs w:val="21"/>
              </w:rPr>
              <w:t>桃沟乡</w:t>
            </w:r>
          </w:p>
        </w:tc>
        <w:tc>
          <w:tcPr>
            <w:tcW w:w="850" w:type="dxa"/>
            <w:noWrap w:val="0"/>
            <w:vAlign w:val="center"/>
          </w:tcPr>
          <w:p w14:paraId="4412A075">
            <w:pPr>
              <w:jc w:val="center"/>
              <w:rPr>
                <w:rFonts w:eastAsia="楷体_GB2312"/>
                <w:color w:val="000000"/>
                <w:kern w:val="0"/>
                <w:szCs w:val="21"/>
              </w:rPr>
            </w:pPr>
            <w:r>
              <w:rPr>
                <w:rFonts w:eastAsia="楷体_GB2312"/>
                <w:color w:val="000000"/>
                <w:kern w:val="0"/>
                <w:szCs w:val="21"/>
              </w:rPr>
              <w:t>1</w:t>
            </w:r>
          </w:p>
        </w:tc>
        <w:tc>
          <w:tcPr>
            <w:tcW w:w="1134" w:type="dxa"/>
            <w:noWrap/>
            <w:vAlign w:val="center"/>
          </w:tcPr>
          <w:p w14:paraId="24949D94">
            <w:pPr>
              <w:jc w:val="center"/>
              <w:rPr>
                <w:rFonts w:eastAsia="楷体_GB2312"/>
                <w:color w:val="000000"/>
                <w:kern w:val="0"/>
                <w:szCs w:val="21"/>
              </w:rPr>
            </w:pPr>
            <w:r>
              <w:rPr>
                <w:rFonts w:eastAsia="楷体_GB2312"/>
                <w:color w:val="000000"/>
                <w:kern w:val="0"/>
                <w:szCs w:val="21"/>
              </w:rPr>
              <w:t>425</w:t>
            </w:r>
          </w:p>
        </w:tc>
        <w:tc>
          <w:tcPr>
            <w:tcW w:w="1134" w:type="dxa"/>
            <w:noWrap/>
            <w:vAlign w:val="center"/>
          </w:tcPr>
          <w:p w14:paraId="1D5C40C7">
            <w:pPr>
              <w:jc w:val="center"/>
              <w:rPr>
                <w:rFonts w:eastAsia="楷体_GB2312"/>
                <w:color w:val="000000"/>
                <w:kern w:val="0"/>
                <w:szCs w:val="21"/>
              </w:rPr>
            </w:pPr>
            <w:r>
              <w:rPr>
                <w:rFonts w:eastAsia="楷体_GB2312"/>
                <w:color w:val="000000"/>
                <w:kern w:val="0"/>
                <w:szCs w:val="21"/>
              </w:rPr>
              <w:t>28.33</w:t>
            </w:r>
          </w:p>
        </w:tc>
        <w:tc>
          <w:tcPr>
            <w:tcW w:w="1134" w:type="dxa"/>
            <w:noWrap/>
            <w:vAlign w:val="center"/>
          </w:tcPr>
          <w:p w14:paraId="7535A3D4">
            <w:pPr>
              <w:jc w:val="center"/>
              <w:rPr>
                <w:rFonts w:eastAsia="楷体_GB2312"/>
                <w:color w:val="000000"/>
                <w:kern w:val="0"/>
                <w:szCs w:val="21"/>
              </w:rPr>
            </w:pPr>
            <w:r>
              <w:rPr>
                <w:rFonts w:eastAsia="楷体_GB2312"/>
                <w:color w:val="000000"/>
                <w:kern w:val="0"/>
                <w:szCs w:val="21"/>
              </w:rPr>
              <w:t>310</w:t>
            </w:r>
          </w:p>
        </w:tc>
        <w:tc>
          <w:tcPr>
            <w:tcW w:w="992" w:type="dxa"/>
            <w:noWrap/>
            <w:vAlign w:val="center"/>
          </w:tcPr>
          <w:p w14:paraId="53D7F639">
            <w:pPr>
              <w:jc w:val="center"/>
              <w:rPr>
                <w:rFonts w:eastAsia="楷体_GB2312"/>
                <w:color w:val="000000"/>
                <w:kern w:val="0"/>
                <w:szCs w:val="21"/>
              </w:rPr>
            </w:pPr>
            <w:r>
              <w:rPr>
                <w:rFonts w:eastAsia="楷体_GB2312"/>
                <w:color w:val="000000"/>
                <w:kern w:val="0"/>
                <w:szCs w:val="21"/>
              </w:rPr>
              <w:t>20.67</w:t>
            </w:r>
          </w:p>
        </w:tc>
        <w:tc>
          <w:tcPr>
            <w:tcW w:w="1134" w:type="dxa"/>
            <w:noWrap/>
            <w:vAlign w:val="center"/>
          </w:tcPr>
          <w:p w14:paraId="54727F8F">
            <w:pPr>
              <w:jc w:val="center"/>
              <w:rPr>
                <w:rFonts w:eastAsia="楷体_GB2312"/>
                <w:color w:val="000000"/>
                <w:kern w:val="0"/>
                <w:szCs w:val="21"/>
              </w:rPr>
            </w:pPr>
            <w:r>
              <w:rPr>
                <w:rFonts w:eastAsia="楷体_GB2312"/>
                <w:color w:val="000000"/>
                <w:kern w:val="0"/>
                <w:szCs w:val="21"/>
              </w:rPr>
              <w:t>170</w:t>
            </w:r>
          </w:p>
        </w:tc>
        <w:tc>
          <w:tcPr>
            <w:tcW w:w="992" w:type="dxa"/>
            <w:noWrap/>
            <w:vAlign w:val="center"/>
          </w:tcPr>
          <w:p w14:paraId="132C67DE">
            <w:pPr>
              <w:jc w:val="center"/>
              <w:rPr>
                <w:rFonts w:eastAsia="楷体_GB2312"/>
                <w:color w:val="000000"/>
                <w:kern w:val="0"/>
                <w:szCs w:val="21"/>
              </w:rPr>
            </w:pPr>
            <w:r>
              <w:rPr>
                <w:rFonts w:eastAsia="楷体_GB2312"/>
                <w:color w:val="000000"/>
                <w:kern w:val="0"/>
                <w:szCs w:val="21"/>
              </w:rPr>
              <w:t>11.33</w:t>
            </w:r>
          </w:p>
        </w:tc>
      </w:tr>
      <w:tr w14:paraId="67BE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448A374D">
            <w:pPr>
              <w:jc w:val="center"/>
              <w:rPr>
                <w:rFonts w:eastAsia="楷体_GB2312"/>
                <w:color w:val="000000"/>
                <w:kern w:val="0"/>
                <w:szCs w:val="21"/>
              </w:rPr>
            </w:pPr>
          </w:p>
        </w:tc>
        <w:tc>
          <w:tcPr>
            <w:tcW w:w="1276" w:type="dxa"/>
            <w:vMerge w:val="continue"/>
            <w:noWrap/>
            <w:vAlign w:val="center"/>
          </w:tcPr>
          <w:p w14:paraId="26F6A0BD">
            <w:pPr>
              <w:jc w:val="center"/>
              <w:rPr>
                <w:rFonts w:eastAsia="楷体_GB2312"/>
                <w:color w:val="000000"/>
                <w:kern w:val="0"/>
                <w:szCs w:val="21"/>
              </w:rPr>
            </w:pPr>
          </w:p>
        </w:tc>
        <w:tc>
          <w:tcPr>
            <w:tcW w:w="850" w:type="dxa"/>
            <w:noWrap w:val="0"/>
            <w:vAlign w:val="center"/>
          </w:tcPr>
          <w:p w14:paraId="13C2B4D5">
            <w:pPr>
              <w:jc w:val="center"/>
              <w:rPr>
                <w:rFonts w:eastAsia="楷体_GB2312"/>
                <w:color w:val="000000"/>
                <w:kern w:val="0"/>
                <w:szCs w:val="21"/>
              </w:rPr>
            </w:pPr>
            <w:r>
              <w:rPr>
                <w:rFonts w:eastAsia="楷体_GB2312"/>
                <w:color w:val="000000"/>
                <w:kern w:val="0"/>
                <w:szCs w:val="21"/>
              </w:rPr>
              <w:t>2</w:t>
            </w:r>
          </w:p>
        </w:tc>
        <w:tc>
          <w:tcPr>
            <w:tcW w:w="1134" w:type="dxa"/>
            <w:noWrap/>
            <w:vAlign w:val="center"/>
          </w:tcPr>
          <w:p w14:paraId="13A9060A">
            <w:pPr>
              <w:jc w:val="center"/>
              <w:rPr>
                <w:rFonts w:eastAsia="楷体_GB2312"/>
                <w:color w:val="000000"/>
                <w:kern w:val="0"/>
                <w:szCs w:val="21"/>
              </w:rPr>
            </w:pPr>
            <w:r>
              <w:rPr>
                <w:rFonts w:eastAsia="楷体_GB2312"/>
                <w:color w:val="000000"/>
                <w:kern w:val="0"/>
                <w:szCs w:val="21"/>
              </w:rPr>
              <w:t>335</w:t>
            </w:r>
          </w:p>
        </w:tc>
        <w:tc>
          <w:tcPr>
            <w:tcW w:w="1134" w:type="dxa"/>
            <w:noWrap/>
            <w:vAlign w:val="center"/>
          </w:tcPr>
          <w:p w14:paraId="07F21DD9">
            <w:pPr>
              <w:jc w:val="center"/>
              <w:rPr>
                <w:rFonts w:eastAsia="楷体_GB2312"/>
                <w:color w:val="000000"/>
                <w:kern w:val="0"/>
                <w:szCs w:val="21"/>
              </w:rPr>
            </w:pPr>
            <w:r>
              <w:rPr>
                <w:rFonts w:eastAsia="楷体_GB2312"/>
                <w:color w:val="000000"/>
                <w:kern w:val="0"/>
                <w:szCs w:val="21"/>
              </w:rPr>
              <w:t>22.33</w:t>
            </w:r>
          </w:p>
        </w:tc>
        <w:tc>
          <w:tcPr>
            <w:tcW w:w="1134" w:type="dxa"/>
            <w:noWrap/>
            <w:vAlign w:val="center"/>
          </w:tcPr>
          <w:p w14:paraId="3F4B878D">
            <w:pPr>
              <w:jc w:val="center"/>
              <w:rPr>
                <w:rFonts w:eastAsia="楷体_GB2312"/>
                <w:color w:val="000000"/>
                <w:kern w:val="0"/>
                <w:szCs w:val="21"/>
              </w:rPr>
            </w:pPr>
            <w:r>
              <w:rPr>
                <w:rFonts w:eastAsia="楷体_GB2312"/>
                <w:color w:val="000000"/>
                <w:kern w:val="0"/>
                <w:szCs w:val="21"/>
              </w:rPr>
              <w:t>250</w:t>
            </w:r>
          </w:p>
        </w:tc>
        <w:tc>
          <w:tcPr>
            <w:tcW w:w="992" w:type="dxa"/>
            <w:noWrap/>
            <w:vAlign w:val="center"/>
          </w:tcPr>
          <w:p w14:paraId="0AAB88B9">
            <w:pPr>
              <w:jc w:val="center"/>
              <w:rPr>
                <w:rFonts w:eastAsia="楷体_GB2312"/>
                <w:color w:val="000000"/>
                <w:kern w:val="0"/>
                <w:szCs w:val="21"/>
              </w:rPr>
            </w:pPr>
            <w:r>
              <w:rPr>
                <w:rFonts w:eastAsia="楷体_GB2312"/>
                <w:color w:val="000000"/>
                <w:kern w:val="0"/>
                <w:szCs w:val="21"/>
              </w:rPr>
              <w:t>16.67</w:t>
            </w:r>
          </w:p>
        </w:tc>
        <w:tc>
          <w:tcPr>
            <w:tcW w:w="1134" w:type="dxa"/>
            <w:noWrap/>
            <w:vAlign w:val="center"/>
          </w:tcPr>
          <w:p w14:paraId="2F463461">
            <w:pPr>
              <w:jc w:val="center"/>
              <w:rPr>
                <w:rFonts w:eastAsia="楷体_GB2312"/>
                <w:color w:val="000000"/>
                <w:kern w:val="0"/>
                <w:szCs w:val="21"/>
              </w:rPr>
            </w:pPr>
            <w:r>
              <w:rPr>
                <w:rFonts w:eastAsia="楷体_GB2312"/>
                <w:color w:val="000000"/>
                <w:kern w:val="0"/>
                <w:szCs w:val="21"/>
              </w:rPr>
              <w:t>155</w:t>
            </w:r>
          </w:p>
        </w:tc>
        <w:tc>
          <w:tcPr>
            <w:tcW w:w="992" w:type="dxa"/>
            <w:noWrap/>
            <w:vAlign w:val="center"/>
          </w:tcPr>
          <w:p w14:paraId="54C9DF6B">
            <w:pPr>
              <w:jc w:val="center"/>
              <w:rPr>
                <w:rFonts w:eastAsia="楷体_GB2312"/>
                <w:color w:val="000000"/>
                <w:kern w:val="0"/>
                <w:szCs w:val="21"/>
              </w:rPr>
            </w:pPr>
            <w:r>
              <w:rPr>
                <w:rFonts w:eastAsia="楷体_GB2312"/>
                <w:color w:val="000000"/>
                <w:kern w:val="0"/>
                <w:szCs w:val="21"/>
              </w:rPr>
              <w:t>10.33</w:t>
            </w:r>
          </w:p>
        </w:tc>
      </w:tr>
      <w:tr w14:paraId="74A66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vMerge w:val="continue"/>
            <w:noWrap/>
            <w:vAlign w:val="center"/>
          </w:tcPr>
          <w:p w14:paraId="004B1EEE">
            <w:pPr>
              <w:jc w:val="center"/>
              <w:rPr>
                <w:rFonts w:eastAsia="楷体_GB2312"/>
                <w:color w:val="000000"/>
                <w:kern w:val="0"/>
                <w:szCs w:val="21"/>
              </w:rPr>
            </w:pPr>
          </w:p>
        </w:tc>
        <w:tc>
          <w:tcPr>
            <w:tcW w:w="1276" w:type="dxa"/>
            <w:vMerge w:val="continue"/>
            <w:noWrap/>
            <w:vAlign w:val="center"/>
          </w:tcPr>
          <w:p w14:paraId="12D73D7E">
            <w:pPr>
              <w:jc w:val="center"/>
              <w:rPr>
                <w:rFonts w:eastAsia="楷体_GB2312"/>
                <w:color w:val="000000"/>
                <w:kern w:val="0"/>
                <w:szCs w:val="21"/>
              </w:rPr>
            </w:pPr>
          </w:p>
        </w:tc>
        <w:tc>
          <w:tcPr>
            <w:tcW w:w="850" w:type="dxa"/>
            <w:noWrap w:val="0"/>
            <w:vAlign w:val="center"/>
          </w:tcPr>
          <w:p w14:paraId="62069070">
            <w:pPr>
              <w:jc w:val="center"/>
              <w:rPr>
                <w:rFonts w:eastAsia="楷体_GB2312"/>
                <w:color w:val="000000"/>
                <w:kern w:val="0"/>
                <w:szCs w:val="21"/>
              </w:rPr>
            </w:pPr>
            <w:r>
              <w:rPr>
                <w:rFonts w:eastAsia="楷体_GB2312"/>
                <w:color w:val="000000"/>
                <w:kern w:val="0"/>
                <w:szCs w:val="21"/>
              </w:rPr>
              <w:t>3</w:t>
            </w:r>
          </w:p>
        </w:tc>
        <w:tc>
          <w:tcPr>
            <w:tcW w:w="1134" w:type="dxa"/>
            <w:noWrap/>
            <w:vAlign w:val="center"/>
          </w:tcPr>
          <w:p w14:paraId="2F4E7D61">
            <w:pPr>
              <w:jc w:val="center"/>
              <w:rPr>
                <w:rFonts w:eastAsia="楷体_GB2312"/>
                <w:color w:val="000000"/>
                <w:kern w:val="0"/>
                <w:szCs w:val="21"/>
              </w:rPr>
            </w:pPr>
            <w:r>
              <w:rPr>
                <w:rFonts w:eastAsia="楷体_GB2312"/>
                <w:color w:val="000000"/>
                <w:kern w:val="0"/>
                <w:szCs w:val="21"/>
              </w:rPr>
              <w:t>265</w:t>
            </w:r>
          </w:p>
        </w:tc>
        <w:tc>
          <w:tcPr>
            <w:tcW w:w="1134" w:type="dxa"/>
            <w:noWrap/>
            <w:vAlign w:val="center"/>
          </w:tcPr>
          <w:p w14:paraId="510A0765">
            <w:pPr>
              <w:jc w:val="center"/>
              <w:rPr>
                <w:rFonts w:eastAsia="楷体_GB2312"/>
                <w:color w:val="000000"/>
                <w:kern w:val="0"/>
                <w:szCs w:val="21"/>
              </w:rPr>
            </w:pPr>
            <w:r>
              <w:rPr>
                <w:rFonts w:eastAsia="楷体_GB2312"/>
                <w:color w:val="000000"/>
                <w:kern w:val="0"/>
                <w:szCs w:val="21"/>
              </w:rPr>
              <w:t>17.67</w:t>
            </w:r>
          </w:p>
        </w:tc>
        <w:tc>
          <w:tcPr>
            <w:tcW w:w="1134" w:type="dxa"/>
            <w:noWrap/>
            <w:vAlign w:val="center"/>
          </w:tcPr>
          <w:p w14:paraId="5BE0303E">
            <w:pPr>
              <w:jc w:val="center"/>
              <w:rPr>
                <w:rFonts w:eastAsia="楷体_GB2312"/>
                <w:color w:val="000000"/>
                <w:kern w:val="0"/>
                <w:szCs w:val="21"/>
              </w:rPr>
            </w:pPr>
            <w:r>
              <w:rPr>
                <w:rFonts w:eastAsia="楷体_GB2312"/>
                <w:color w:val="000000"/>
                <w:kern w:val="0"/>
                <w:szCs w:val="21"/>
              </w:rPr>
              <w:t>200</w:t>
            </w:r>
          </w:p>
        </w:tc>
        <w:tc>
          <w:tcPr>
            <w:tcW w:w="992" w:type="dxa"/>
            <w:noWrap/>
            <w:vAlign w:val="center"/>
          </w:tcPr>
          <w:p w14:paraId="5A03468A">
            <w:pPr>
              <w:jc w:val="center"/>
              <w:rPr>
                <w:rFonts w:eastAsia="楷体_GB2312"/>
                <w:color w:val="000000"/>
                <w:kern w:val="0"/>
                <w:szCs w:val="21"/>
              </w:rPr>
            </w:pPr>
            <w:r>
              <w:rPr>
                <w:rFonts w:eastAsia="楷体_GB2312"/>
                <w:color w:val="000000"/>
                <w:kern w:val="0"/>
                <w:szCs w:val="21"/>
              </w:rPr>
              <w:t>13.33</w:t>
            </w:r>
          </w:p>
        </w:tc>
        <w:tc>
          <w:tcPr>
            <w:tcW w:w="1134" w:type="dxa"/>
            <w:noWrap/>
            <w:vAlign w:val="center"/>
          </w:tcPr>
          <w:p w14:paraId="7517A618">
            <w:pPr>
              <w:jc w:val="center"/>
              <w:rPr>
                <w:rFonts w:eastAsia="楷体_GB2312"/>
                <w:color w:val="000000"/>
                <w:kern w:val="0"/>
                <w:szCs w:val="21"/>
              </w:rPr>
            </w:pPr>
            <w:r>
              <w:rPr>
                <w:rFonts w:eastAsia="楷体_GB2312"/>
                <w:color w:val="000000"/>
                <w:kern w:val="0"/>
                <w:szCs w:val="21"/>
              </w:rPr>
              <w:t>144</w:t>
            </w:r>
          </w:p>
        </w:tc>
        <w:tc>
          <w:tcPr>
            <w:tcW w:w="992" w:type="dxa"/>
            <w:noWrap/>
            <w:vAlign w:val="center"/>
          </w:tcPr>
          <w:p w14:paraId="7E85A222">
            <w:pPr>
              <w:jc w:val="center"/>
              <w:rPr>
                <w:rFonts w:eastAsia="楷体_GB2312"/>
                <w:color w:val="000000"/>
                <w:kern w:val="0"/>
                <w:szCs w:val="21"/>
              </w:rPr>
            </w:pPr>
            <w:r>
              <w:rPr>
                <w:rFonts w:eastAsia="楷体_GB2312"/>
                <w:color w:val="000000"/>
                <w:kern w:val="0"/>
                <w:szCs w:val="21"/>
              </w:rPr>
              <w:t>9.60</w:t>
            </w:r>
          </w:p>
        </w:tc>
      </w:tr>
      <w:tr w14:paraId="2207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noWrap/>
            <w:vAlign w:val="center"/>
          </w:tcPr>
          <w:p w14:paraId="0616AD6F">
            <w:pPr>
              <w:jc w:val="center"/>
              <w:rPr>
                <w:rFonts w:eastAsia="楷体_GB2312"/>
                <w:color w:val="000000"/>
                <w:kern w:val="0"/>
                <w:szCs w:val="21"/>
              </w:rPr>
            </w:pPr>
            <w:r>
              <w:rPr>
                <w:rFonts w:eastAsia="楷体_GB2312"/>
                <w:color w:val="000000"/>
                <w:kern w:val="0"/>
                <w:szCs w:val="21"/>
              </w:rPr>
              <w:t>23</w:t>
            </w:r>
          </w:p>
        </w:tc>
        <w:tc>
          <w:tcPr>
            <w:tcW w:w="1276" w:type="dxa"/>
            <w:noWrap/>
            <w:vAlign w:val="center"/>
          </w:tcPr>
          <w:p w14:paraId="5187C449">
            <w:pPr>
              <w:jc w:val="center"/>
              <w:rPr>
                <w:rFonts w:eastAsia="楷体_GB2312"/>
                <w:color w:val="000000"/>
                <w:kern w:val="0"/>
                <w:szCs w:val="21"/>
              </w:rPr>
            </w:pPr>
            <w:r>
              <w:rPr>
                <w:rFonts w:eastAsia="楷体_GB2312"/>
                <w:color w:val="000000"/>
                <w:kern w:val="0"/>
                <w:szCs w:val="21"/>
              </w:rPr>
              <w:t>曹村开发区</w:t>
            </w:r>
          </w:p>
        </w:tc>
        <w:tc>
          <w:tcPr>
            <w:tcW w:w="850" w:type="dxa"/>
            <w:noWrap/>
            <w:vAlign w:val="center"/>
          </w:tcPr>
          <w:p w14:paraId="193E8829">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指导价</w:t>
            </w:r>
          </w:p>
        </w:tc>
        <w:tc>
          <w:tcPr>
            <w:tcW w:w="1134" w:type="dxa"/>
            <w:noWrap/>
            <w:vAlign w:val="center"/>
          </w:tcPr>
          <w:p w14:paraId="2108EA94">
            <w:pPr>
              <w:jc w:val="center"/>
              <w:rPr>
                <w:rFonts w:eastAsia="楷体_GB2312"/>
                <w:color w:val="000000"/>
                <w:kern w:val="0"/>
                <w:szCs w:val="21"/>
              </w:rPr>
            </w:pPr>
            <w:r>
              <w:rPr>
                <w:rFonts w:eastAsia="楷体_GB2312"/>
                <w:color w:val="000000"/>
                <w:kern w:val="0"/>
                <w:szCs w:val="21"/>
              </w:rPr>
              <w:t>460</w:t>
            </w:r>
          </w:p>
        </w:tc>
        <w:tc>
          <w:tcPr>
            <w:tcW w:w="1134" w:type="dxa"/>
            <w:noWrap/>
            <w:vAlign w:val="center"/>
          </w:tcPr>
          <w:p w14:paraId="627E39E7">
            <w:pPr>
              <w:jc w:val="center"/>
              <w:rPr>
                <w:rFonts w:eastAsia="楷体_GB2312"/>
                <w:color w:val="000000"/>
                <w:kern w:val="0"/>
                <w:szCs w:val="21"/>
              </w:rPr>
            </w:pPr>
            <w:r>
              <w:rPr>
                <w:rFonts w:eastAsia="楷体_GB2312"/>
                <w:color w:val="000000"/>
                <w:kern w:val="0"/>
                <w:szCs w:val="21"/>
              </w:rPr>
              <w:t>30.67</w:t>
            </w:r>
          </w:p>
        </w:tc>
        <w:tc>
          <w:tcPr>
            <w:tcW w:w="1134" w:type="dxa"/>
            <w:noWrap/>
            <w:vAlign w:val="center"/>
          </w:tcPr>
          <w:p w14:paraId="5E851281">
            <w:pPr>
              <w:jc w:val="center"/>
              <w:rPr>
                <w:rFonts w:eastAsia="楷体_GB2312"/>
                <w:color w:val="000000"/>
                <w:kern w:val="0"/>
                <w:szCs w:val="21"/>
              </w:rPr>
            </w:pPr>
            <w:r>
              <w:rPr>
                <w:rFonts w:eastAsia="楷体_GB2312"/>
                <w:color w:val="000000"/>
                <w:kern w:val="0"/>
                <w:szCs w:val="21"/>
              </w:rPr>
              <w:t>295</w:t>
            </w:r>
          </w:p>
        </w:tc>
        <w:tc>
          <w:tcPr>
            <w:tcW w:w="992" w:type="dxa"/>
            <w:noWrap/>
            <w:vAlign w:val="center"/>
          </w:tcPr>
          <w:p w14:paraId="3C7DAC28">
            <w:pPr>
              <w:jc w:val="center"/>
              <w:rPr>
                <w:rFonts w:eastAsia="楷体_GB2312"/>
                <w:color w:val="000000"/>
                <w:kern w:val="0"/>
                <w:szCs w:val="21"/>
              </w:rPr>
            </w:pPr>
            <w:r>
              <w:rPr>
                <w:rFonts w:eastAsia="楷体_GB2312"/>
                <w:color w:val="000000"/>
                <w:kern w:val="0"/>
                <w:szCs w:val="21"/>
              </w:rPr>
              <w:t>19.67</w:t>
            </w:r>
          </w:p>
        </w:tc>
        <w:tc>
          <w:tcPr>
            <w:tcW w:w="1134" w:type="dxa"/>
            <w:noWrap/>
            <w:vAlign w:val="center"/>
          </w:tcPr>
          <w:p w14:paraId="636B4393">
            <w:pPr>
              <w:jc w:val="center"/>
              <w:rPr>
                <w:rFonts w:eastAsia="楷体_GB2312"/>
                <w:color w:val="000000"/>
                <w:kern w:val="0"/>
                <w:szCs w:val="21"/>
              </w:rPr>
            </w:pPr>
            <w:r>
              <w:rPr>
                <w:rFonts w:eastAsia="楷体_GB2312"/>
                <w:color w:val="000000"/>
                <w:kern w:val="0"/>
                <w:szCs w:val="21"/>
              </w:rPr>
              <w:t>155</w:t>
            </w:r>
          </w:p>
        </w:tc>
        <w:tc>
          <w:tcPr>
            <w:tcW w:w="992" w:type="dxa"/>
            <w:noWrap/>
            <w:vAlign w:val="center"/>
          </w:tcPr>
          <w:p w14:paraId="4BB9E128">
            <w:pPr>
              <w:jc w:val="center"/>
              <w:rPr>
                <w:rFonts w:eastAsia="楷体_GB2312"/>
                <w:color w:val="000000"/>
                <w:kern w:val="0"/>
                <w:szCs w:val="21"/>
              </w:rPr>
            </w:pPr>
            <w:r>
              <w:rPr>
                <w:rFonts w:eastAsia="楷体_GB2312"/>
                <w:color w:val="000000"/>
                <w:kern w:val="0"/>
                <w:szCs w:val="21"/>
              </w:rPr>
              <w:t>10.33</w:t>
            </w:r>
          </w:p>
        </w:tc>
      </w:tr>
      <w:tr w14:paraId="27FAF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noWrap/>
            <w:vAlign w:val="center"/>
          </w:tcPr>
          <w:p w14:paraId="63719CED">
            <w:pPr>
              <w:jc w:val="center"/>
              <w:rPr>
                <w:rFonts w:eastAsia="楷体_GB2312"/>
                <w:color w:val="000000"/>
                <w:kern w:val="0"/>
                <w:szCs w:val="21"/>
              </w:rPr>
            </w:pPr>
            <w:r>
              <w:rPr>
                <w:rFonts w:eastAsia="楷体_GB2312"/>
                <w:color w:val="000000"/>
                <w:kern w:val="0"/>
                <w:szCs w:val="21"/>
              </w:rPr>
              <w:t>24</w:t>
            </w:r>
          </w:p>
        </w:tc>
        <w:tc>
          <w:tcPr>
            <w:tcW w:w="1276" w:type="dxa"/>
            <w:noWrap/>
            <w:vAlign w:val="center"/>
          </w:tcPr>
          <w:p w14:paraId="563A6DF7">
            <w:pPr>
              <w:jc w:val="center"/>
              <w:rPr>
                <w:rFonts w:eastAsia="楷体_GB2312"/>
                <w:color w:val="000000"/>
                <w:kern w:val="0"/>
                <w:szCs w:val="21"/>
              </w:rPr>
            </w:pPr>
            <w:r>
              <w:rPr>
                <w:rFonts w:eastAsia="楷体_GB2312"/>
                <w:color w:val="000000"/>
                <w:kern w:val="0"/>
                <w:szCs w:val="21"/>
              </w:rPr>
              <w:t>家具产业园</w:t>
            </w:r>
          </w:p>
        </w:tc>
        <w:tc>
          <w:tcPr>
            <w:tcW w:w="850" w:type="dxa"/>
            <w:noWrap/>
            <w:vAlign w:val="center"/>
          </w:tcPr>
          <w:p w14:paraId="2C19EA05">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指导价</w:t>
            </w:r>
          </w:p>
        </w:tc>
        <w:tc>
          <w:tcPr>
            <w:tcW w:w="1134" w:type="dxa"/>
            <w:noWrap/>
            <w:vAlign w:val="center"/>
          </w:tcPr>
          <w:p w14:paraId="4B5D50C6">
            <w:pPr>
              <w:jc w:val="center"/>
              <w:rPr>
                <w:rFonts w:eastAsia="楷体_GB2312"/>
                <w:color w:val="000000"/>
                <w:kern w:val="0"/>
                <w:szCs w:val="21"/>
              </w:rPr>
            </w:pPr>
            <w:r>
              <w:rPr>
                <w:rFonts w:eastAsia="楷体_GB2312"/>
                <w:color w:val="000000"/>
                <w:kern w:val="0"/>
                <w:szCs w:val="21"/>
              </w:rPr>
              <w:t>550</w:t>
            </w:r>
          </w:p>
        </w:tc>
        <w:tc>
          <w:tcPr>
            <w:tcW w:w="1134" w:type="dxa"/>
            <w:noWrap/>
            <w:vAlign w:val="center"/>
          </w:tcPr>
          <w:p w14:paraId="62A8D755">
            <w:pPr>
              <w:jc w:val="center"/>
              <w:rPr>
                <w:rFonts w:eastAsia="楷体_GB2312"/>
                <w:color w:val="000000"/>
                <w:kern w:val="0"/>
                <w:szCs w:val="21"/>
              </w:rPr>
            </w:pPr>
            <w:r>
              <w:rPr>
                <w:rFonts w:eastAsia="楷体_GB2312"/>
                <w:color w:val="000000"/>
                <w:kern w:val="0"/>
                <w:szCs w:val="21"/>
              </w:rPr>
              <w:t>36.67</w:t>
            </w:r>
          </w:p>
        </w:tc>
        <w:tc>
          <w:tcPr>
            <w:tcW w:w="1134" w:type="dxa"/>
            <w:noWrap/>
            <w:vAlign w:val="center"/>
          </w:tcPr>
          <w:p w14:paraId="2497DD32">
            <w:pPr>
              <w:jc w:val="center"/>
              <w:rPr>
                <w:rFonts w:eastAsia="楷体_GB2312"/>
                <w:color w:val="000000"/>
                <w:kern w:val="0"/>
                <w:szCs w:val="21"/>
              </w:rPr>
            </w:pPr>
            <w:r>
              <w:rPr>
                <w:rFonts w:eastAsia="楷体_GB2312"/>
                <w:color w:val="000000"/>
                <w:kern w:val="0"/>
                <w:szCs w:val="21"/>
              </w:rPr>
              <w:t>450</w:t>
            </w:r>
          </w:p>
        </w:tc>
        <w:tc>
          <w:tcPr>
            <w:tcW w:w="992" w:type="dxa"/>
            <w:noWrap/>
            <w:vAlign w:val="center"/>
          </w:tcPr>
          <w:p w14:paraId="5C7F608C">
            <w:pPr>
              <w:jc w:val="center"/>
              <w:rPr>
                <w:rFonts w:eastAsia="楷体_GB2312"/>
                <w:color w:val="000000"/>
                <w:kern w:val="0"/>
                <w:szCs w:val="21"/>
              </w:rPr>
            </w:pPr>
            <w:r>
              <w:rPr>
                <w:rFonts w:eastAsia="楷体_GB2312"/>
                <w:color w:val="000000"/>
                <w:kern w:val="0"/>
                <w:szCs w:val="21"/>
              </w:rPr>
              <w:t>30.00</w:t>
            </w:r>
          </w:p>
        </w:tc>
        <w:tc>
          <w:tcPr>
            <w:tcW w:w="1134" w:type="dxa"/>
            <w:noWrap/>
            <w:vAlign w:val="center"/>
          </w:tcPr>
          <w:p w14:paraId="71134AE7">
            <w:pPr>
              <w:jc w:val="center"/>
              <w:rPr>
                <w:rFonts w:eastAsia="楷体_GB2312"/>
                <w:color w:val="000000"/>
                <w:kern w:val="0"/>
                <w:szCs w:val="21"/>
              </w:rPr>
            </w:pPr>
            <w:r>
              <w:rPr>
                <w:rFonts w:eastAsia="楷体_GB2312"/>
                <w:color w:val="000000"/>
                <w:kern w:val="0"/>
                <w:szCs w:val="21"/>
              </w:rPr>
              <w:t>155</w:t>
            </w:r>
          </w:p>
        </w:tc>
        <w:tc>
          <w:tcPr>
            <w:tcW w:w="992" w:type="dxa"/>
            <w:noWrap/>
            <w:vAlign w:val="center"/>
          </w:tcPr>
          <w:p w14:paraId="459FEB14">
            <w:pPr>
              <w:jc w:val="center"/>
              <w:rPr>
                <w:rFonts w:eastAsia="楷体_GB2312"/>
                <w:color w:val="000000"/>
                <w:kern w:val="0"/>
                <w:szCs w:val="21"/>
              </w:rPr>
            </w:pPr>
            <w:r>
              <w:rPr>
                <w:rFonts w:eastAsia="楷体_GB2312"/>
                <w:color w:val="000000"/>
                <w:kern w:val="0"/>
                <w:szCs w:val="21"/>
              </w:rPr>
              <w:t>10.33</w:t>
            </w:r>
          </w:p>
        </w:tc>
      </w:tr>
      <w:tr w14:paraId="503C2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26" w:type="dxa"/>
            <w:noWrap/>
            <w:vAlign w:val="center"/>
          </w:tcPr>
          <w:p w14:paraId="564B18C0">
            <w:pPr>
              <w:jc w:val="center"/>
              <w:rPr>
                <w:rFonts w:eastAsia="楷体_GB2312"/>
                <w:color w:val="000000"/>
                <w:kern w:val="0"/>
                <w:szCs w:val="21"/>
              </w:rPr>
            </w:pPr>
            <w:r>
              <w:rPr>
                <w:rFonts w:eastAsia="楷体_GB2312"/>
                <w:color w:val="000000"/>
                <w:kern w:val="0"/>
                <w:szCs w:val="21"/>
              </w:rPr>
              <w:t>25</w:t>
            </w:r>
          </w:p>
        </w:tc>
        <w:tc>
          <w:tcPr>
            <w:tcW w:w="1276" w:type="dxa"/>
            <w:noWrap/>
            <w:vAlign w:val="center"/>
          </w:tcPr>
          <w:p w14:paraId="4B67B62F">
            <w:pPr>
              <w:jc w:val="center"/>
              <w:rPr>
                <w:rFonts w:eastAsia="楷体_GB2312"/>
                <w:color w:val="000000"/>
                <w:kern w:val="0"/>
                <w:szCs w:val="21"/>
              </w:rPr>
            </w:pPr>
            <w:r>
              <w:rPr>
                <w:rFonts w:eastAsia="楷体_GB2312"/>
                <w:color w:val="000000"/>
                <w:kern w:val="0"/>
                <w:szCs w:val="21"/>
              </w:rPr>
              <w:t>农业示范园</w:t>
            </w:r>
          </w:p>
        </w:tc>
        <w:tc>
          <w:tcPr>
            <w:tcW w:w="850" w:type="dxa"/>
            <w:noWrap/>
            <w:vAlign w:val="center"/>
          </w:tcPr>
          <w:p w14:paraId="6D42AEDC">
            <w:pPr>
              <w:jc w:val="center"/>
              <w:rPr>
                <w:rFonts w:ascii="楷体_GB2312" w:hAnsi="宋体" w:eastAsia="楷体_GB2312" w:cs="宋体"/>
                <w:color w:val="000000"/>
                <w:kern w:val="0"/>
                <w:szCs w:val="21"/>
              </w:rPr>
            </w:pPr>
            <w:r>
              <w:rPr>
                <w:rFonts w:hint="eastAsia" w:ascii="楷体_GB2312" w:hAnsi="宋体" w:eastAsia="楷体_GB2312" w:cs="宋体"/>
                <w:color w:val="000000"/>
                <w:kern w:val="0"/>
                <w:szCs w:val="21"/>
              </w:rPr>
              <w:t>指导价</w:t>
            </w:r>
          </w:p>
        </w:tc>
        <w:tc>
          <w:tcPr>
            <w:tcW w:w="1134" w:type="dxa"/>
            <w:noWrap/>
            <w:vAlign w:val="center"/>
          </w:tcPr>
          <w:p w14:paraId="0D8C0831">
            <w:pPr>
              <w:jc w:val="center"/>
              <w:rPr>
                <w:rFonts w:eastAsia="楷体_GB2312"/>
                <w:color w:val="000000"/>
                <w:kern w:val="0"/>
                <w:szCs w:val="21"/>
              </w:rPr>
            </w:pPr>
            <w:r>
              <w:rPr>
                <w:rFonts w:eastAsia="楷体_GB2312"/>
                <w:color w:val="000000"/>
                <w:kern w:val="0"/>
                <w:szCs w:val="21"/>
              </w:rPr>
              <w:t>480</w:t>
            </w:r>
          </w:p>
        </w:tc>
        <w:tc>
          <w:tcPr>
            <w:tcW w:w="1134" w:type="dxa"/>
            <w:noWrap/>
            <w:vAlign w:val="center"/>
          </w:tcPr>
          <w:p w14:paraId="0C2B29AF">
            <w:pPr>
              <w:jc w:val="center"/>
              <w:rPr>
                <w:rFonts w:eastAsia="楷体_GB2312"/>
                <w:color w:val="000000"/>
                <w:kern w:val="0"/>
                <w:szCs w:val="21"/>
              </w:rPr>
            </w:pPr>
            <w:r>
              <w:rPr>
                <w:rFonts w:eastAsia="楷体_GB2312"/>
                <w:color w:val="000000"/>
                <w:kern w:val="0"/>
                <w:szCs w:val="21"/>
              </w:rPr>
              <w:t>32.00</w:t>
            </w:r>
          </w:p>
        </w:tc>
        <w:tc>
          <w:tcPr>
            <w:tcW w:w="1134" w:type="dxa"/>
            <w:noWrap/>
            <w:vAlign w:val="center"/>
          </w:tcPr>
          <w:p w14:paraId="4340D7D8">
            <w:pPr>
              <w:jc w:val="center"/>
              <w:rPr>
                <w:rFonts w:eastAsia="楷体_GB2312"/>
                <w:color w:val="000000"/>
                <w:kern w:val="0"/>
                <w:szCs w:val="21"/>
              </w:rPr>
            </w:pPr>
            <w:r>
              <w:rPr>
                <w:rFonts w:eastAsia="楷体_GB2312"/>
                <w:color w:val="000000"/>
                <w:kern w:val="0"/>
                <w:szCs w:val="21"/>
              </w:rPr>
              <w:t>450</w:t>
            </w:r>
          </w:p>
        </w:tc>
        <w:tc>
          <w:tcPr>
            <w:tcW w:w="992" w:type="dxa"/>
            <w:noWrap/>
            <w:vAlign w:val="center"/>
          </w:tcPr>
          <w:p w14:paraId="03125458">
            <w:pPr>
              <w:jc w:val="center"/>
              <w:rPr>
                <w:rFonts w:eastAsia="楷体_GB2312"/>
                <w:color w:val="000000"/>
                <w:kern w:val="0"/>
                <w:szCs w:val="21"/>
              </w:rPr>
            </w:pPr>
            <w:r>
              <w:rPr>
                <w:rFonts w:eastAsia="楷体_GB2312"/>
                <w:color w:val="000000"/>
                <w:kern w:val="0"/>
                <w:szCs w:val="21"/>
              </w:rPr>
              <w:t>30.00</w:t>
            </w:r>
          </w:p>
        </w:tc>
        <w:tc>
          <w:tcPr>
            <w:tcW w:w="1134" w:type="dxa"/>
            <w:noWrap/>
            <w:vAlign w:val="center"/>
          </w:tcPr>
          <w:p w14:paraId="7C1990A8">
            <w:pPr>
              <w:jc w:val="center"/>
              <w:rPr>
                <w:rFonts w:eastAsia="楷体_GB2312"/>
                <w:color w:val="000000"/>
                <w:kern w:val="0"/>
                <w:szCs w:val="21"/>
              </w:rPr>
            </w:pPr>
            <w:r>
              <w:rPr>
                <w:rFonts w:eastAsia="楷体_GB2312"/>
                <w:color w:val="000000"/>
                <w:kern w:val="0"/>
                <w:szCs w:val="21"/>
              </w:rPr>
              <w:t>155</w:t>
            </w:r>
          </w:p>
        </w:tc>
        <w:tc>
          <w:tcPr>
            <w:tcW w:w="992" w:type="dxa"/>
            <w:noWrap/>
            <w:vAlign w:val="center"/>
          </w:tcPr>
          <w:p w14:paraId="4DCF0E5C">
            <w:pPr>
              <w:jc w:val="center"/>
              <w:rPr>
                <w:rFonts w:eastAsia="楷体_GB2312"/>
                <w:color w:val="000000"/>
                <w:kern w:val="0"/>
                <w:szCs w:val="21"/>
              </w:rPr>
            </w:pPr>
            <w:r>
              <w:rPr>
                <w:rFonts w:eastAsia="楷体_GB2312"/>
                <w:color w:val="000000"/>
                <w:kern w:val="0"/>
                <w:szCs w:val="21"/>
              </w:rPr>
              <w:t>10.33</w:t>
            </w:r>
          </w:p>
        </w:tc>
      </w:tr>
    </w:tbl>
    <w:p w14:paraId="5A284DBB">
      <w:pPr>
        <w:pStyle w:val="20"/>
        <w:spacing w:before="240" w:beforeLines="100" w:line="480" w:lineRule="exact"/>
        <w:jc w:val="center"/>
        <w:rPr>
          <w:rFonts w:ascii="Times New Roman" w:hAnsi="Times New Roman" w:cs="Times New Roman"/>
          <w:b/>
          <w:sz w:val="28"/>
        </w:rPr>
        <w:sectPr>
          <w:pgSz w:w="11906" w:h="16838"/>
          <w:pgMar w:top="1758" w:right="1474" w:bottom="1474" w:left="1644" w:header="1134" w:footer="992" w:gutter="0"/>
          <w:cols w:space="720" w:num="1"/>
          <w:docGrid w:linePitch="312" w:charSpace="0"/>
        </w:sectPr>
      </w:pPr>
    </w:p>
    <w:p w14:paraId="69F115C5">
      <w:pPr>
        <w:pStyle w:val="20"/>
        <w:tabs>
          <w:tab w:val="left" w:pos="4860"/>
          <w:tab w:val="left" w:pos="6480"/>
        </w:tabs>
        <w:spacing w:line="400" w:lineRule="exact"/>
        <w:jc w:val="center"/>
        <w:rPr>
          <w:rFonts w:ascii="Times New Roman" w:hAnsi="Times New Roman" w:eastAsia="黑体" w:cs="Times New Roman"/>
          <w:sz w:val="28"/>
          <w:szCs w:val="28"/>
        </w:rPr>
      </w:pPr>
      <w:r>
        <w:rPr>
          <w:rFonts w:ascii="Times New Roman" w:hAnsi="Times New Roman" w:eastAsia="黑体" w:cs="Times New Roman"/>
          <w:sz w:val="28"/>
        </w:rPr>
        <w:t>表2-7-4  埇桥区各乡</w:t>
      </w:r>
      <w:r>
        <w:rPr>
          <w:rFonts w:ascii="Times New Roman" w:hAnsi="Times New Roman" w:eastAsia="黑体" w:cs="Times New Roman"/>
          <w:sz w:val="28"/>
          <w:szCs w:val="28"/>
        </w:rPr>
        <w:t>镇</w:t>
      </w:r>
      <w:r>
        <w:rPr>
          <w:rFonts w:hint="eastAsia" w:ascii="Times New Roman" w:hAnsi="Times New Roman" w:eastAsia="黑体" w:cs="Times New Roman"/>
          <w:sz w:val="28"/>
          <w:szCs w:val="28"/>
        </w:rPr>
        <w:t>及园区</w:t>
      </w:r>
      <w:r>
        <w:rPr>
          <w:rFonts w:ascii="Times New Roman" w:hAnsi="Times New Roman" w:eastAsia="黑体" w:cs="Times New Roman"/>
          <w:sz w:val="28"/>
          <w:szCs w:val="28"/>
        </w:rPr>
        <w:t>级别公共管理与公共服务用地基准地价表</w:t>
      </w:r>
    </w:p>
    <w:p w14:paraId="425D8A6A">
      <w:pPr>
        <w:widowControl w:val="0"/>
        <w:jc w:val="right"/>
        <w:rPr>
          <w:rFonts w:eastAsia="楷体_GB2312"/>
          <w:sz w:val="32"/>
          <w:szCs w:val="32"/>
        </w:rPr>
      </w:pPr>
      <w:r>
        <w:rPr>
          <w:rFonts w:eastAsia="楷体_GB2312"/>
          <w:kern w:val="0"/>
          <w:sz w:val="24"/>
        </w:rPr>
        <w:t>期日：2021年1月1日</w:t>
      </w:r>
    </w:p>
    <w:tbl>
      <w:tblPr>
        <w:tblStyle w:val="3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758"/>
        <w:gridCol w:w="577"/>
        <w:gridCol w:w="910"/>
        <w:gridCol w:w="1094"/>
        <w:gridCol w:w="910"/>
        <w:gridCol w:w="1094"/>
        <w:gridCol w:w="910"/>
        <w:gridCol w:w="1094"/>
        <w:gridCol w:w="910"/>
        <w:gridCol w:w="1094"/>
        <w:gridCol w:w="910"/>
        <w:gridCol w:w="1094"/>
        <w:gridCol w:w="910"/>
        <w:gridCol w:w="1094"/>
      </w:tblGrid>
      <w:tr w14:paraId="6FD4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0" w:type="auto"/>
            <w:vMerge w:val="restart"/>
            <w:noWrap w:val="0"/>
            <w:vAlign w:val="center"/>
          </w:tcPr>
          <w:p w14:paraId="594220BF">
            <w:pPr>
              <w:pStyle w:val="20"/>
              <w:ind w:left="-105" w:leftChars="-50" w:right="-105" w:rightChars="-50"/>
              <w:jc w:val="center"/>
              <w:rPr>
                <w:rFonts w:ascii="Times New Roman" w:hAnsi="Times New Roman" w:eastAsia="楷体_GB2312"/>
                <w:sz w:val="24"/>
                <w:szCs w:val="24"/>
              </w:rPr>
            </w:pPr>
            <w:r>
              <w:rPr>
                <w:rFonts w:ascii="Times New Roman" w:hAnsi="Times New Roman" w:eastAsia="楷体_GB2312"/>
                <w:sz w:val="24"/>
                <w:szCs w:val="24"/>
              </w:rPr>
              <w:t>编号</w:t>
            </w:r>
          </w:p>
        </w:tc>
        <w:tc>
          <w:tcPr>
            <w:tcW w:w="0" w:type="auto"/>
            <w:vMerge w:val="restart"/>
            <w:noWrap w:val="0"/>
            <w:vAlign w:val="center"/>
          </w:tcPr>
          <w:p w14:paraId="044F08B9">
            <w:pPr>
              <w:pStyle w:val="20"/>
              <w:ind w:left="-105" w:leftChars="-50" w:right="-105" w:rightChars="-50"/>
              <w:jc w:val="center"/>
              <w:rPr>
                <w:rFonts w:ascii="Times New Roman" w:hAnsi="Times New Roman" w:eastAsia="楷体_GB2312"/>
                <w:sz w:val="24"/>
                <w:szCs w:val="24"/>
              </w:rPr>
            </w:pPr>
            <w:r>
              <w:rPr>
                <w:rFonts w:ascii="Times New Roman" w:hAnsi="Times New Roman" w:eastAsia="楷体_GB2312"/>
                <w:sz w:val="24"/>
                <w:szCs w:val="24"/>
              </w:rPr>
              <w:t>乡镇名称</w:t>
            </w:r>
          </w:p>
        </w:tc>
        <w:tc>
          <w:tcPr>
            <w:tcW w:w="0" w:type="auto"/>
            <w:vMerge w:val="restart"/>
            <w:noWrap w:val="0"/>
            <w:vAlign w:val="center"/>
          </w:tcPr>
          <w:p w14:paraId="1EEDA1E3">
            <w:pPr>
              <w:pStyle w:val="20"/>
              <w:ind w:left="-105" w:leftChars="-50" w:right="-105" w:rightChars="-50"/>
              <w:jc w:val="center"/>
              <w:rPr>
                <w:rFonts w:ascii="Times New Roman" w:hAnsi="Times New Roman" w:eastAsia="楷体_GB2312"/>
                <w:sz w:val="24"/>
                <w:szCs w:val="24"/>
              </w:rPr>
            </w:pPr>
            <w:r>
              <w:rPr>
                <w:rFonts w:ascii="Times New Roman" w:hAnsi="Times New Roman" w:eastAsia="楷体_GB2312"/>
                <w:sz w:val="24"/>
                <w:szCs w:val="24"/>
              </w:rPr>
              <w:t>级别</w:t>
            </w:r>
          </w:p>
        </w:tc>
        <w:tc>
          <w:tcPr>
            <w:tcW w:w="0" w:type="auto"/>
            <w:gridSpan w:val="2"/>
            <w:noWrap w:val="0"/>
            <w:vAlign w:val="center"/>
          </w:tcPr>
          <w:p w14:paraId="5D3A8A79">
            <w:pPr>
              <w:pStyle w:val="20"/>
              <w:ind w:left="-105" w:leftChars="-50" w:right="-105" w:rightChars="-50"/>
              <w:jc w:val="center"/>
              <w:rPr>
                <w:rFonts w:ascii="Times New Roman" w:hAnsi="Times New Roman" w:eastAsia="楷体_GB2312"/>
                <w:sz w:val="24"/>
                <w:szCs w:val="24"/>
              </w:rPr>
            </w:pPr>
            <w:r>
              <w:rPr>
                <w:rFonts w:ascii="Times New Roman" w:hAnsi="Times New Roman" w:eastAsia="楷体_GB2312"/>
                <w:sz w:val="24"/>
                <w:szCs w:val="24"/>
              </w:rPr>
              <w:t>新闻出版用地</w:t>
            </w:r>
          </w:p>
        </w:tc>
        <w:tc>
          <w:tcPr>
            <w:tcW w:w="0" w:type="auto"/>
            <w:gridSpan w:val="2"/>
            <w:noWrap w:val="0"/>
            <w:vAlign w:val="center"/>
          </w:tcPr>
          <w:p w14:paraId="14B6B144">
            <w:pPr>
              <w:pStyle w:val="20"/>
              <w:ind w:left="-105" w:leftChars="-50" w:right="-105" w:rightChars="-50"/>
              <w:jc w:val="center"/>
              <w:rPr>
                <w:rFonts w:ascii="Times New Roman" w:hAnsi="Times New Roman" w:eastAsia="楷体_GB2312"/>
                <w:sz w:val="24"/>
                <w:szCs w:val="24"/>
              </w:rPr>
            </w:pPr>
            <w:r>
              <w:rPr>
                <w:rFonts w:ascii="Times New Roman" w:hAnsi="Times New Roman" w:eastAsia="楷体_GB2312"/>
                <w:sz w:val="24"/>
                <w:szCs w:val="24"/>
              </w:rPr>
              <w:t>医疗卫生用地</w:t>
            </w:r>
          </w:p>
        </w:tc>
        <w:tc>
          <w:tcPr>
            <w:tcW w:w="0" w:type="auto"/>
            <w:gridSpan w:val="2"/>
            <w:noWrap w:val="0"/>
            <w:vAlign w:val="center"/>
          </w:tcPr>
          <w:p w14:paraId="1EAF4C68">
            <w:pPr>
              <w:pStyle w:val="20"/>
              <w:ind w:left="-105" w:leftChars="-50" w:right="-105" w:rightChars="-50"/>
              <w:jc w:val="center"/>
              <w:rPr>
                <w:rFonts w:ascii="Times New Roman" w:hAnsi="Times New Roman" w:eastAsia="楷体_GB2312"/>
                <w:sz w:val="24"/>
                <w:szCs w:val="24"/>
              </w:rPr>
            </w:pPr>
            <w:r>
              <w:rPr>
                <w:rFonts w:ascii="Times New Roman" w:hAnsi="Times New Roman" w:eastAsia="楷体_GB2312"/>
                <w:sz w:val="24"/>
                <w:szCs w:val="24"/>
              </w:rPr>
              <w:t>文化设施、体育用地</w:t>
            </w:r>
          </w:p>
        </w:tc>
        <w:tc>
          <w:tcPr>
            <w:tcW w:w="0" w:type="auto"/>
            <w:gridSpan w:val="2"/>
            <w:noWrap w:val="0"/>
            <w:vAlign w:val="center"/>
          </w:tcPr>
          <w:p w14:paraId="5EA226E1">
            <w:pPr>
              <w:pStyle w:val="20"/>
              <w:ind w:left="-105" w:leftChars="-50" w:right="-105" w:rightChars="-50"/>
              <w:jc w:val="center"/>
              <w:rPr>
                <w:rFonts w:ascii="Times New Roman" w:hAnsi="Times New Roman" w:eastAsia="楷体_GB2312"/>
                <w:sz w:val="24"/>
                <w:szCs w:val="24"/>
              </w:rPr>
            </w:pPr>
            <w:r>
              <w:rPr>
                <w:rFonts w:ascii="Times New Roman" w:hAnsi="Times New Roman" w:eastAsia="楷体_GB2312"/>
                <w:sz w:val="24"/>
                <w:szCs w:val="24"/>
              </w:rPr>
              <w:t>教育、科研用地</w:t>
            </w:r>
          </w:p>
        </w:tc>
        <w:tc>
          <w:tcPr>
            <w:tcW w:w="0" w:type="auto"/>
            <w:gridSpan w:val="2"/>
            <w:noWrap w:val="0"/>
            <w:vAlign w:val="center"/>
          </w:tcPr>
          <w:p w14:paraId="07B34568">
            <w:pPr>
              <w:pStyle w:val="20"/>
              <w:ind w:left="-105" w:leftChars="-50" w:right="-105" w:rightChars="-50"/>
              <w:jc w:val="center"/>
              <w:rPr>
                <w:rFonts w:ascii="Times New Roman" w:hAnsi="Times New Roman" w:eastAsia="楷体_GB2312"/>
                <w:sz w:val="24"/>
                <w:szCs w:val="24"/>
              </w:rPr>
            </w:pPr>
            <w:r>
              <w:rPr>
                <w:rFonts w:ascii="Times New Roman" w:hAnsi="Times New Roman" w:eastAsia="楷体_GB2312"/>
                <w:sz w:val="24"/>
                <w:szCs w:val="24"/>
              </w:rPr>
              <w:t>社会福利用地</w:t>
            </w:r>
          </w:p>
        </w:tc>
        <w:tc>
          <w:tcPr>
            <w:tcW w:w="0" w:type="auto"/>
            <w:gridSpan w:val="2"/>
            <w:noWrap w:val="0"/>
            <w:vAlign w:val="center"/>
          </w:tcPr>
          <w:p w14:paraId="7623D34A">
            <w:pPr>
              <w:pStyle w:val="20"/>
              <w:ind w:left="-105" w:leftChars="-50" w:right="-105" w:rightChars="-50"/>
              <w:jc w:val="center"/>
              <w:rPr>
                <w:rFonts w:ascii="Times New Roman" w:hAnsi="Times New Roman" w:eastAsia="楷体_GB2312"/>
                <w:sz w:val="24"/>
                <w:szCs w:val="24"/>
              </w:rPr>
            </w:pPr>
            <w:r>
              <w:rPr>
                <w:rFonts w:ascii="Times New Roman" w:hAnsi="Times New Roman" w:eastAsia="楷体_GB2312"/>
                <w:sz w:val="24"/>
                <w:szCs w:val="24"/>
              </w:rPr>
              <w:t>公用设施用地</w:t>
            </w:r>
          </w:p>
        </w:tc>
      </w:tr>
      <w:tr w14:paraId="0983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0" w:type="auto"/>
            <w:vMerge w:val="continue"/>
            <w:noWrap w:val="0"/>
            <w:vAlign w:val="center"/>
          </w:tcPr>
          <w:p w14:paraId="6D402A9B">
            <w:pPr>
              <w:pStyle w:val="20"/>
              <w:ind w:left="-105" w:leftChars="-50" w:right="-105" w:rightChars="-50"/>
              <w:jc w:val="center"/>
              <w:rPr>
                <w:rFonts w:ascii="Times New Roman" w:hAnsi="Times New Roman" w:eastAsia="楷体_GB2312"/>
                <w:sz w:val="24"/>
                <w:szCs w:val="24"/>
              </w:rPr>
            </w:pPr>
          </w:p>
        </w:tc>
        <w:tc>
          <w:tcPr>
            <w:tcW w:w="0" w:type="auto"/>
            <w:vMerge w:val="continue"/>
            <w:noWrap w:val="0"/>
            <w:vAlign w:val="center"/>
          </w:tcPr>
          <w:p w14:paraId="44A49AD5">
            <w:pPr>
              <w:pStyle w:val="20"/>
              <w:ind w:left="-105" w:leftChars="-50" w:right="-105" w:rightChars="-50"/>
              <w:jc w:val="center"/>
              <w:rPr>
                <w:rFonts w:ascii="Times New Roman" w:hAnsi="Times New Roman" w:eastAsia="楷体_GB2312"/>
                <w:sz w:val="24"/>
                <w:szCs w:val="24"/>
              </w:rPr>
            </w:pPr>
          </w:p>
        </w:tc>
        <w:tc>
          <w:tcPr>
            <w:tcW w:w="0" w:type="auto"/>
            <w:vMerge w:val="continue"/>
            <w:noWrap w:val="0"/>
            <w:vAlign w:val="center"/>
          </w:tcPr>
          <w:p w14:paraId="7515A5E1">
            <w:pPr>
              <w:pStyle w:val="20"/>
              <w:ind w:left="-105" w:leftChars="-50" w:right="-105" w:rightChars="-50"/>
              <w:jc w:val="center"/>
              <w:rPr>
                <w:rFonts w:ascii="Times New Roman" w:hAnsi="Times New Roman" w:eastAsia="楷体_GB2312"/>
                <w:sz w:val="24"/>
                <w:szCs w:val="24"/>
              </w:rPr>
            </w:pPr>
          </w:p>
        </w:tc>
        <w:tc>
          <w:tcPr>
            <w:tcW w:w="0" w:type="auto"/>
            <w:noWrap w:val="0"/>
            <w:vAlign w:val="center"/>
          </w:tcPr>
          <w:p w14:paraId="5F355ED5">
            <w:pPr>
              <w:pStyle w:val="20"/>
              <w:ind w:left="-105" w:leftChars="-50" w:right="-105" w:rightChars="-50"/>
              <w:jc w:val="center"/>
              <w:rPr>
                <w:rFonts w:ascii="Times New Roman" w:hAnsi="Times New Roman" w:eastAsia="楷体_GB2312"/>
                <w:sz w:val="24"/>
                <w:szCs w:val="24"/>
              </w:rPr>
            </w:pPr>
            <w:r>
              <w:rPr>
                <w:rFonts w:ascii="Times New Roman" w:hAnsi="Times New Roman" w:eastAsia="楷体_GB2312"/>
                <w:sz w:val="24"/>
                <w:szCs w:val="24"/>
              </w:rPr>
              <w:t>基准地价（元/</w:t>
            </w:r>
            <w:r>
              <w:rPr>
                <w:rFonts w:ascii="Times New Roman" w:hAnsi="Times New Roman"/>
                <w:sz w:val="24"/>
                <w:szCs w:val="24"/>
              </w:rPr>
              <w:t>㎡</w:t>
            </w:r>
            <w:r>
              <w:rPr>
                <w:rFonts w:ascii="Times New Roman" w:hAnsi="Times New Roman" w:eastAsia="楷体_GB2312"/>
                <w:sz w:val="24"/>
                <w:szCs w:val="24"/>
              </w:rPr>
              <w:t>）</w:t>
            </w:r>
          </w:p>
        </w:tc>
        <w:tc>
          <w:tcPr>
            <w:tcW w:w="0" w:type="auto"/>
            <w:noWrap w:val="0"/>
            <w:vAlign w:val="center"/>
          </w:tcPr>
          <w:p w14:paraId="1EEAB8AA">
            <w:pPr>
              <w:pStyle w:val="20"/>
              <w:ind w:left="-105" w:leftChars="-50" w:right="-105" w:rightChars="-50"/>
              <w:jc w:val="center"/>
              <w:rPr>
                <w:rFonts w:ascii="Times New Roman" w:hAnsi="Times New Roman" w:eastAsia="楷体_GB2312"/>
                <w:sz w:val="24"/>
                <w:szCs w:val="24"/>
              </w:rPr>
            </w:pPr>
            <w:r>
              <w:rPr>
                <w:rFonts w:ascii="Times New Roman" w:hAnsi="Times New Roman" w:eastAsia="楷体_GB2312"/>
                <w:sz w:val="24"/>
                <w:szCs w:val="24"/>
              </w:rPr>
              <w:t>换算价格（万元/亩）</w:t>
            </w:r>
          </w:p>
        </w:tc>
        <w:tc>
          <w:tcPr>
            <w:tcW w:w="0" w:type="auto"/>
            <w:noWrap w:val="0"/>
            <w:vAlign w:val="center"/>
          </w:tcPr>
          <w:p w14:paraId="15D51B5A">
            <w:pPr>
              <w:pStyle w:val="20"/>
              <w:ind w:left="-105" w:leftChars="-50" w:right="-105" w:rightChars="-50"/>
              <w:jc w:val="center"/>
              <w:rPr>
                <w:rFonts w:ascii="Times New Roman" w:hAnsi="Times New Roman" w:eastAsia="楷体_GB2312"/>
                <w:sz w:val="24"/>
                <w:szCs w:val="24"/>
              </w:rPr>
            </w:pPr>
            <w:r>
              <w:rPr>
                <w:rFonts w:ascii="Times New Roman" w:hAnsi="Times New Roman" w:eastAsia="楷体_GB2312"/>
                <w:sz w:val="24"/>
                <w:szCs w:val="24"/>
              </w:rPr>
              <w:t>基准地价（元/</w:t>
            </w:r>
            <w:r>
              <w:rPr>
                <w:rFonts w:ascii="Times New Roman" w:hAnsi="Times New Roman"/>
                <w:sz w:val="24"/>
                <w:szCs w:val="24"/>
              </w:rPr>
              <w:t>㎡</w:t>
            </w:r>
            <w:r>
              <w:rPr>
                <w:rFonts w:ascii="Times New Roman" w:hAnsi="Times New Roman" w:eastAsia="楷体_GB2312"/>
                <w:sz w:val="24"/>
                <w:szCs w:val="24"/>
              </w:rPr>
              <w:t>）</w:t>
            </w:r>
          </w:p>
        </w:tc>
        <w:tc>
          <w:tcPr>
            <w:tcW w:w="0" w:type="auto"/>
            <w:noWrap w:val="0"/>
            <w:vAlign w:val="center"/>
          </w:tcPr>
          <w:p w14:paraId="4A3374DC">
            <w:pPr>
              <w:pStyle w:val="20"/>
              <w:ind w:left="-105" w:leftChars="-50" w:right="-105" w:rightChars="-50"/>
              <w:jc w:val="center"/>
              <w:rPr>
                <w:rFonts w:ascii="Times New Roman" w:hAnsi="Times New Roman" w:eastAsia="楷体_GB2312"/>
                <w:sz w:val="24"/>
                <w:szCs w:val="24"/>
              </w:rPr>
            </w:pPr>
            <w:r>
              <w:rPr>
                <w:rFonts w:ascii="Times New Roman" w:hAnsi="Times New Roman" w:eastAsia="楷体_GB2312"/>
                <w:sz w:val="24"/>
                <w:szCs w:val="24"/>
              </w:rPr>
              <w:t>换算价格（万元/亩）</w:t>
            </w:r>
          </w:p>
        </w:tc>
        <w:tc>
          <w:tcPr>
            <w:tcW w:w="0" w:type="auto"/>
            <w:noWrap w:val="0"/>
            <w:vAlign w:val="center"/>
          </w:tcPr>
          <w:p w14:paraId="4C6FF4FE">
            <w:pPr>
              <w:pStyle w:val="20"/>
              <w:ind w:left="-105" w:leftChars="-50" w:right="-105" w:rightChars="-50"/>
              <w:jc w:val="center"/>
              <w:rPr>
                <w:rFonts w:ascii="Times New Roman" w:hAnsi="Times New Roman" w:eastAsia="楷体_GB2312"/>
                <w:sz w:val="24"/>
                <w:szCs w:val="24"/>
              </w:rPr>
            </w:pPr>
            <w:r>
              <w:rPr>
                <w:rFonts w:ascii="Times New Roman" w:hAnsi="Times New Roman" w:eastAsia="楷体_GB2312"/>
                <w:sz w:val="24"/>
                <w:szCs w:val="24"/>
              </w:rPr>
              <w:t>基准地价（元/</w:t>
            </w:r>
            <w:r>
              <w:rPr>
                <w:rFonts w:ascii="Times New Roman" w:hAnsi="Times New Roman"/>
                <w:sz w:val="24"/>
                <w:szCs w:val="24"/>
              </w:rPr>
              <w:t>㎡</w:t>
            </w:r>
            <w:r>
              <w:rPr>
                <w:rFonts w:ascii="Times New Roman" w:hAnsi="Times New Roman" w:eastAsia="楷体_GB2312"/>
                <w:sz w:val="24"/>
                <w:szCs w:val="24"/>
              </w:rPr>
              <w:t>）</w:t>
            </w:r>
          </w:p>
        </w:tc>
        <w:tc>
          <w:tcPr>
            <w:tcW w:w="0" w:type="auto"/>
            <w:noWrap w:val="0"/>
            <w:vAlign w:val="center"/>
          </w:tcPr>
          <w:p w14:paraId="6CB9B55A">
            <w:pPr>
              <w:pStyle w:val="20"/>
              <w:ind w:left="-105" w:leftChars="-50" w:right="-105" w:rightChars="-50"/>
              <w:jc w:val="center"/>
              <w:rPr>
                <w:rFonts w:ascii="Times New Roman" w:hAnsi="Times New Roman" w:eastAsia="楷体_GB2312"/>
                <w:sz w:val="24"/>
                <w:szCs w:val="24"/>
              </w:rPr>
            </w:pPr>
            <w:r>
              <w:rPr>
                <w:rFonts w:ascii="Times New Roman" w:hAnsi="Times New Roman" w:eastAsia="楷体_GB2312"/>
                <w:sz w:val="24"/>
                <w:szCs w:val="24"/>
              </w:rPr>
              <w:t>换算价格（万元/亩）</w:t>
            </w:r>
          </w:p>
        </w:tc>
        <w:tc>
          <w:tcPr>
            <w:tcW w:w="0" w:type="auto"/>
            <w:noWrap w:val="0"/>
            <w:vAlign w:val="center"/>
          </w:tcPr>
          <w:p w14:paraId="2969C048">
            <w:pPr>
              <w:pStyle w:val="20"/>
              <w:ind w:left="-105" w:leftChars="-50" w:right="-105" w:rightChars="-50"/>
              <w:jc w:val="center"/>
              <w:rPr>
                <w:rFonts w:ascii="Times New Roman" w:hAnsi="Times New Roman" w:eastAsia="楷体_GB2312"/>
                <w:sz w:val="24"/>
                <w:szCs w:val="24"/>
              </w:rPr>
            </w:pPr>
            <w:r>
              <w:rPr>
                <w:rFonts w:ascii="Times New Roman" w:hAnsi="Times New Roman" w:eastAsia="楷体_GB2312"/>
                <w:sz w:val="24"/>
                <w:szCs w:val="24"/>
              </w:rPr>
              <w:t>基准地价（元/</w:t>
            </w:r>
            <w:r>
              <w:rPr>
                <w:rFonts w:ascii="Times New Roman" w:hAnsi="Times New Roman"/>
                <w:sz w:val="24"/>
                <w:szCs w:val="24"/>
              </w:rPr>
              <w:t>㎡</w:t>
            </w:r>
            <w:r>
              <w:rPr>
                <w:rFonts w:ascii="Times New Roman" w:hAnsi="Times New Roman" w:eastAsia="楷体_GB2312"/>
                <w:sz w:val="24"/>
                <w:szCs w:val="24"/>
              </w:rPr>
              <w:t>）</w:t>
            </w:r>
          </w:p>
        </w:tc>
        <w:tc>
          <w:tcPr>
            <w:tcW w:w="0" w:type="auto"/>
            <w:noWrap w:val="0"/>
            <w:vAlign w:val="center"/>
          </w:tcPr>
          <w:p w14:paraId="29BA01AD">
            <w:pPr>
              <w:pStyle w:val="20"/>
              <w:ind w:left="-105" w:leftChars="-50" w:right="-105" w:rightChars="-50"/>
              <w:jc w:val="center"/>
              <w:rPr>
                <w:rFonts w:ascii="Times New Roman" w:hAnsi="Times New Roman" w:eastAsia="楷体_GB2312"/>
                <w:sz w:val="24"/>
                <w:szCs w:val="24"/>
              </w:rPr>
            </w:pPr>
            <w:r>
              <w:rPr>
                <w:rFonts w:ascii="Times New Roman" w:hAnsi="Times New Roman" w:eastAsia="楷体_GB2312"/>
                <w:sz w:val="24"/>
                <w:szCs w:val="24"/>
              </w:rPr>
              <w:t>换算价格（万元/亩）</w:t>
            </w:r>
          </w:p>
        </w:tc>
        <w:tc>
          <w:tcPr>
            <w:tcW w:w="0" w:type="auto"/>
            <w:noWrap w:val="0"/>
            <w:vAlign w:val="center"/>
          </w:tcPr>
          <w:p w14:paraId="4129CFC4">
            <w:pPr>
              <w:pStyle w:val="20"/>
              <w:ind w:left="-105" w:leftChars="-50" w:right="-105" w:rightChars="-50"/>
              <w:jc w:val="center"/>
              <w:rPr>
                <w:rFonts w:ascii="Times New Roman" w:hAnsi="Times New Roman" w:eastAsia="楷体_GB2312"/>
                <w:sz w:val="24"/>
                <w:szCs w:val="24"/>
              </w:rPr>
            </w:pPr>
            <w:r>
              <w:rPr>
                <w:rFonts w:ascii="Times New Roman" w:hAnsi="Times New Roman" w:eastAsia="楷体_GB2312"/>
                <w:sz w:val="24"/>
                <w:szCs w:val="24"/>
              </w:rPr>
              <w:t>基准地价（元/</w:t>
            </w:r>
            <w:r>
              <w:rPr>
                <w:rFonts w:ascii="Times New Roman" w:hAnsi="Times New Roman"/>
                <w:sz w:val="24"/>
                <w:szCs w:val="24"/>
              </w:rPr>
              <w:t>㎡</w:t>
            </w:r>
            <w:r>
              <w:rPr>
                <w:rFonts w:ascii="Times New Roman" w:hAnsi="Times New Roman" w:eastAsia="楷体_GB2312"/>
                <w:sz w:val="24"/>
                <w:szCs w:val="24"/>
              </w:rPr>
              <w:t>）</w:t>
            </w:r>
          </w:p>
        </w:tc>
        <w:tc>
          <w:tcPr>
            <w:tcW w:w="0" w:type="auto"/>
            <w:noWrap w:val="0"/>
            <w:vAlign w:val="center"/>
          </w:tcPr>
          <w:p w14:paraId="2DEEA9B4">
            <w:pPr>
              <w:pStyle w:val="20"/>
              <w:ind w:left="-105" w:leftChars="-50" w:right="-105" w:rightChars="-50"/>
              <w:jc w:val="center"/>
              <w:rPr>
                <w:rFonts w:ascii="Times New Roman" w:hAnsi="Times New Roman" w:eastAsia="楷体_GB2312"/>
                <w:sz w:val="24"/>
                <w:szCs w:val="24"/>
              </w:rPr>
            </w:pPr>
            <w:r>
              <w:rPr>
                <w:rFonts w:ascii="Times New Roman" w:hAnsi="Times New Roman" w:eastAsia="楷体_GB2312"/>
                <w:sz w:val="24"/>
                <w:szCs w:val="24"/>
              </w:rPr>
              <w:t>换算价格（万元/亩）</w:t>
            </w:r>
          </w:p>
        </w:tc>
        <w:tc>
          <w:tcPr>
            <w:tcW w:w="0" w:type="auto"/>
            <w:noWrap w:val="0"/>
            <w:vAlign w:val="center"/>
          </w:tcPr>
          <w:p w14:paraId="40DBDB20">
            <w:pPr>
              <w:pStyle w:val="20"/>
              <w:ind w:left="-105" w:leftChars="-50" w:right="-105" w:rightChars="-50"/>
              <w:jc w:val="center"/>
              <w:rPr>
                <w:rFonts w:ascii="Times New Roman" w:hAnsi="Times New Roman" w:eastAsia="楷体_GB2312"/>
                <w:sz w:val="24"/>
                <w:szCs w:val="24"/>
              </w:rPr>
            </w:pPr>
            <w:r>
              <w:rPr>
                <w:rFonts w:ascii="Times New Roman" w:hAnsi="Times New Roman" w:eastAsia="楷体_GB2312"/>
                <w:sz w:val="24"/>
                <w:szCs w:val="24"/>
              </w:rPr>
              <w:t>基准地价（元/</w:t>
            </w:r>
            <w:r>
              <w:rPr>
                <w:rFonts w:ascii="Times New Roman" w:hAnsi="Times New Roman"/>
                <w:sz w:val="24"/>
                <w:szCs w:val="24"/>
              </w:rPr>
              <w:t>㎡</w:t>
            </w:r>
            <w:r>
              <w:rPr>
                <w:rFonts w:ascii="Times New Roman" w:hAnsi="Times New Roman" w:eastAsia="楷体_GB2312"/>
                <w:sz w:val="24"/>
                <w:szCs w:val="24"/>
              </w:rPr>
              <w:t>）</w:t>
            </w:r>
          </w:p>
        </w:tc>
        <w:tc>
          <w:tcPr>
            <w:tcW w:w="0" w:type="auto"/>
            <w:noWrap w:val="0"/>
            <w:vAlign w:val="center"/>
          </w:tcPr>
          <w:p w14:paraId="644BC9B5">
            <w:pPr>
              <w:pStyle w:val="20"/>
              <w:ind w:left="-105" w:leftChars="-50" w:right="-105" w:rightChars="-50"/>
              <w:jc w:val="center"/>
              <w:rPr>
                <w:rFonts w:ascii="Times New Roman" w:hAnsi="Times New Roman" w:eastAsia="楷体_GB2312"/>
                <w:sz w:val="24"/>
                <w:szCs w:val="24"/>
              </w:rPr>
            </w:pPr>
            <w:r>
              <w:rPr>
                <w:rFonts w:ascii="Times New Roman" w:hAnsi="Times New Roman" w:eastAsia="楷体_GB2312"/>
                <w:sz w:val="24"/>
                <w:szCs w:val="24"/>
              </w:rPr>
              <w:t>换算价格（万元/亩）</w:t>
            </w:r>
          </w:p>
        </w:tc>
      </w:tr>
      <w:tr w14:paraId="03A0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3EE112C9">
            <w:pPr>
              <w:pStyle w:val="20"/>
              <w:jc w:val="center"/>
              <w:rPr>
                <w:rFonts w:ascii="Times New Roman" w:hAnsi="Times New Roman" w:eastAsia="楷体_GB2312"/>
                <w:sz w:val="24"/>
                <w:szCs w:val="24"/>
              </w:rPr>
            </w:pPr>
            <w:r>
              <w:rPr>
                <w:rFonts w:ascii="Times New Roman" w:hAnsi="Times New Roman" w:eastAsia="楷体_GB2312"/>
                <w:sz w:val="24"/>
                <w:szCs w:val="24"/>
              </w:rPr>
              <w:t>1</w:t>
            </w:r>
          </w:p>
        </w:tc>
        <w:tc>
          <w:tcPr>
            <w:tcW w:w="0" w:type="auto"/>
            <w:vMerge w:val="restart"/>
            <w:noWrap w:val="0"/>
            <w:vAlign w:val="center"/>
          </w:tcPr>
          <w:p w14:paraId="3529CCB6">
            <w:pPr>
              <w:pStyle w:val="20"/>
              <w:jc w:val="center"/>
              <w:rPr>
                <w:rFonts w:ascii="Times New Roman" w:hAnsi="Times New Roman" w:eastAsia="楷体_GB2312"/>
                <w:sz w:val="24"/>
                <w:szCs w:val="24"/>
              </w:rPr>
            </w:pPr>
            <w:r>
              <w:rPr>
                <w:rFonts w:ascii="Times New Roman" w:hAnsi="Times New Roman" w:eastAsia="楷体_GB2312"/>
                <w:sz w:val="24"/>
                <w:szCs w:val="24"/>
              </w:rPr>
              <w:t>符离镇</w:t>
            </w:r>
          </w:p>
        </w:tc>
        <w:tc>
          <w:tcPr>
            <w:tcW w:w="0" w:type="auto"/>
            <w:noWrap w:val="0"/>
            <w:vAlign w:val="center"/>
          </w:tcPr>
          <w:p w14:paraId="40B30F89">
            <w:pPr>
              <w:pStyle w:val="20"/>
              <w:jc w:val="center"/>
              <w:rPr>
                <w:rFonts w:ascii="Times New Roman" w:hAnsi="Times New Roman" w:eastAsia="楷体_GB2312"/>
                <w:sz w:val="24"/>
                <w:szCs w:val="24"/>
              </w:rPr>
            </w:pPr>
            <w:r>
              <w:rPr>
                <w:rFonts w:ascii="Times New Roman" w:hAnsi="Times New Roman" w:eastAsia="楷体_GB2312"/>
                <w:sz w:val="24"/>
                <w:szCs w:val="24"/>
              </w:rPr>
              <w:t>1</w:t>
            </w:r>
          </w:p>
        </w:tc>
        <w:tc>
          <w:tcPr>
            <w:tcW w:w="0" w:type="auto"/>
            <w:noWrap/>
            <w:vAlign w:val="center"/>
          </w:tcPr>
          <w:p w14:paraId="51A026BC">
            <w:pPr>
              <w:jc w:val="center"/>
              <w:rPr>
                <w:color w:val="000000"/>
                <w:sz w:val="22"/>
                <w:szCs w:val="22"/>
              </w:rPr>
            </w:pPr>
            <w:r>
              <w:rPr>
                <w:color w:val="000000"/>
                <w:sz w:val="22"/>
                <w:szCs w:val="22"/>
              </w:rPr>
              <w:t>440</w:t>
            </w:r>
          </w:p>
        </w:tc>
        <w:tc>
          <w:tcPr>
            <w:tcW w:w="0" w:type="auto"/>
            <w:noWrap w:val="0"/>
            <w:vAlign w:val="center"/>
          </w:tcPr>
          <w:p w14:paraId="0E8764DA">
            <w:pPr>
              <w:jc w:val="center"/>
              <w:rPr>
                <w:color w:val="000000"/>
                <w:sz w:val="22"/>
                <w:szCs w:val="22"/>
              </w:rPr>
            </w:pPr>
            <w:r>
              <w:rPr>
                <w:color w:val="000000"/>
                <w:sz w:val="22"/>
                <w:szCs w:val="22"/>
              </w:rPr>
              <w:t>29.33</w:t>
            </w:r>
          </w:p>
        </w:tc>
        <w:tc>
          <w:tcPr>
            <w:tcW w:w="0" w:type="auto"/>
            <w:noWrap/>
            <w:vAlign w:val="center"/>
          </w:tcPr>
          <w:p w14:paraId="08DCB2DB">
            <w:pPr>
              <w:jc w:val="center"/>
              <w:rPr>
                <w:color w:val="000000"/>
                <w:sz w:val="22"/>
                <w:szCs w:val="22"/>
              </w:rPr>
            </w:pPr>
            <w:r>
              <w:rPr>
                <w:color w:val="000000"/>
                <w:sz w:val="22"/>
                <w:szCs w:val="22"/>
              </w:rPr>
              <w:t>420</w:t>
            </w:r>
          </w:p>
        </w:tc>
        <w:tc>
          <w:tcPr>
            <w:tcW w:w="0" w:type="auto"/>
            <w:noWrap w:val="0"/>
            <w:vAlign w:val="center"/>
          </w:tcPr>
          <w:p w14:paraId="3D6EE845">
            <w:pPr>
              <w:jc w:val="center"/>
              <w:rPr>
                <w:color w:val="000000"/>
                <w:sz w:val="22"/>
                <w:szCs w:val="22"/>
              </w:rPr>
            </w:pPr>
            <w:r>
              <w:rPr>
                <w:color w:val="000000"/>
                <w:sz w:val="22"/>
                <w:szCs w:val="22"/>
              </w:rPr>
              <w:t>28.00</w:t>
            </w:r>
          </w:p>
        </w:tc>
        <w:tc>
          <w:tcPr>
            <w:tcW w:w="0" w:type="auto"/>
            <w:noWrap/>
            <w:vAlign w:val="center"/>
          </w:tcPr>
          <w:p w14:paraId="3E373F3A">
            <w:pPr>
              <w:jc w:val="center"/>
              <w:rPr>
                <w:color w:val="000000"/>
                <w:sz w:val="22"/>
                <w:szCs w:val="22"/>
              </w:rPr>
            </w:pPr>
            <w:r>
              <w:rPr>
                <w:color w:val="000000"/>
                <w:sz w:val="22"/>
                <w:szCs w:val="22"/>
              </w:rPr>
              <w:t>400</w:t>
            </w:r>
          </w:p>
        </w:tc>
        <w:tc>
          <w:tcPr>
            <w:tcW w:w="0" w:type="auto"/>
            <w:noWrap w:val="0"/>
            <w:vAlign w:val="center"/>
          </w:tcPr>
          <w:p w14:paraId="316B1287">
            <w:pPr>
              <w:jc w:val="center"/>
              <w:rPr>
                <w:color w:val="000000"/>
                <w:sz w:val="22"/>
                <w:szCs w:val="22"/>
              </w:rPr>
            </w:pPr>
            <w:r>
              <w:rPr>
                <w:color w:val="000000"/>
                <w:sz w:val="22"/>
                <w:szCs w:val="22"/>
              </w:rPr>
              <w:t>26.67</w:t>
            </w:r>
          </w:p>
        </w:tc>
        <w:tc>
          <w:tcPr>
            <w:tcW w:w="0" w:type="auto"/>
            <w:noWrap w:val="0"/>
            <w:vAlign w:val="center"/>
          </w:tcPr>
          <w:p w14:paraId="772455C1">
            <w:pPr>
              <w:jc w:val="center"/>
              <w:rPr>
                <w:color w:val="000000"/>
                <w:sz w:val="22"/>
                <w:szCs w:val="22"/>
              </w:rPr>
            </w:pPr>
            <w:r>
              <w:rPr>
                <w:color w:val="000000"/>
                <w:sz w:val="22"/>
                <w:szCs w:val="22"/>
              </w:rPr>
              <w:t>390</w:t>
            </w:r>
          </w:p>
        </w:tc>
        <w:tc>
          <w:tcPr>
            <w:tcW w:w="0" w:type="auto"/>
            <w:noWrap w:val="0"/>
            <w:vAlign w:val="center"/>
          </w:tcPr>
          <w:p w14:paraId="4BB83B34">
            <w:pPr>
              <w:jc w:val="center"/>
              <w:rPr>
                <w:color w:val="000000"/>
                <w:sz w:val="22"/>
                <w:szCs w:val="22"/>
              </w:rPr>
            </w:pPr>
            <w:r>
              <w:rPr>
                <w:color w:val="000000"/>
                <w:sz w:val="22"/>
                <w:szCs w:val="22"/>
              </w:rPr>
              <w:t>26.00</w:t>
            </w:r>
          </w:p>
        </w:tc>
        <w:tc>
          <w:tcPr>
            <w:tcW w:w="0" w:type="auto"/>
            <w:noWrap w:val="0"/>
            <w:vAlign w:val="center"/>
          </w:tcPr>
          <w:p w14:paraId="342FA7F3">
            <w:pPr>
              <w:jc w:val="center"/>
              <w:rPr>
                <w:color w:val="000000"/>
                <w:sz w:val="22"/>
                <w:szCs w:val="22"/>
              </w:rPr>
            </w:pPr>
            <w:r>
              <w:rPr>
                <w:color w:val="000000"/>
                <w:sz w:val="22"/>
                <w:szCs w:val="22"/>
              </w:rPr>
              <w:t>380</w:t>
            </w:r>
          </w:p>
        </w:tc>
        <w:tc>
          <w:tcPr>
            <w:tcW w:w="0" w:type="auto"/>
            <w:noWrap w:val="0"/>
            <w:vAlign w:val="center"/>
          </w:tcPr>
          <w:p w14:paraId="332DDDF0">
            <w:pPr>
              <w:jc w:val="center"/>
              <w:rPr>
                <w:color w:val="000000"/>
                <w:sz w:val="22"/>
                <w:szCs w:val="22"/>
              </w:rPr>
            </w:pPr>
            <w:r>
              <w:rPr>
                <w:color w:val="000000"/>
                <w:sz w:val="22"/>
                <w:szCs w:val="22"/>
              </w:rPr>
              <w:t>25.33</w:t>
            </w:r>
          </w:p>
        </w:tc>
        <w:tc>
          <w:tcPr>
            <w:tcW w:w="0" w:type="auto"/>
            <w:noWrap w:val="0"/>
            <w:vAlign w:val="center"/>
          </w:tcPr>
          <w:p w14:paraId="2E51CF98">
            <w:pPr>
              <w:jc w:val="center"/>
              <w:rPr>
                <w:color w:val="000000"/>
                <w:sz w:val="22"/>
                <w:szCs w:val="22"/>
              </w:rPr>
            </w:pPr>
            <w:r>
              <w:rPr>
                <w:color w:val="000000"/>
                <w:sz w:val="22"/>
                <w:szCs w:val="22"/>
              </w:rPr>
              <w:t>360</w:t>
            </w:r>
          </w:p>
        </w:tc>
        <w:tc>
          <w:tcPr>
            <w:tcW w:w="0" w:type="auto"/>
            <w:noWrap w:val="0"/>
            <w:vAlign w:val="center"/>
          </w:tcPr>
          <w:p w14:paraId="7869B91B">
            <w:pPr>
              <w:jc w:val="center"/>
              <w:rPr>
                <w:color w:val="000000"/>
                <w:sz w:val="22"/>
                <w:szCs w:val="22"/>
              </w:rPr>
            </w:pPr>
            <w:r>
              <w:rPr>
                <w:color w:val="000000"/>
                <w:sz w:val="22"/>
                <w:szCs w:val="22"/>
              </w:rPr>
              <w:t>24.00</w:t>
            </w:r>
          </w:p>
        </w:tc>
      </w:tr>
      <w:tr w14:paraId="198C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5408C0C4">
            <w:pPr>
              <w:pStyle w:val="20"/>
              <w:jc w:val="center"/>
              <w:rPr>
                <w:rFonts w:ascii="Times New Roman" w:hAnsi="Times New Roman" w:eastAsia="楷体_GB2312"/>
                <w:sz w:val="24"/>
                <w:szCs w:val="24"/>
              </w:rPr>
            </w:pPr>
          </w:p>
        </w:tc>
        <w:tc>
          <w:tcPr>
            <w:tcW w:w="0" w:type="auto"/>
            <w:vMerge w:val="continue"/>
            <w:noWrap w:val="0"/>
            <w:vAlign w:val="center"/>
          </w:tcPr>
          <w:p w14:paraId="58673CE3">
            <w:pPr>
              <w:pStyle w:val="20"/>
              <w:jc w:val="center"/>
              <w:rPr>
                <w:rFonts w:ascii="Times New Roman" w:hAnsi="Times New Roman" w:eastAsia="楷体_GB2312"/>
                <w:sz w:val="24"/>
                <w:szCs w:val="24"/>
              </w:rPr>
            </w:pPr>
          </w:p>
        </w:tc>
        <w:tc>
          <w:tcPr>
            <w:tcW w:w="0" w:type="auto"/>
            <w:noWrap w:val="0"/>
            <w:vAlign w:val="center"/>
          </w:tcPr>
          <w:p w14:paraId="25747B0D">
            <w:pPr>
              <w:pStyle w:val="20"/>
              <w:jc w:val="center"/>
              <w:rPr>
                <w:rFonts w:ascii="Times New Roman" w:hAnsi="Times New Roman" w:eastAsia="楷体_GB2312"/>
                <w:sz w:val="24"/>
                <w:szCs w:val="24"/>
              </w:rPr>
            </w:pPr>
            <w:r>
              <w:rPr>
                <w:rFonts w:ascii="Times New Roman" w:hAnsi="Times New Roman" w:eastAsia="楷体_GB2312"/>
                <w:sz w:val="24"/>
                <w:szCs w:val="24"/>
              </w:rPr>
              <w:t>2</w:t>
            </w:r>
          </w:p>
        </w:tc>
        <w:tc>
          <w:tcPr>
            <w:tcW w:w="0" w:type="auto"/>
            <w:noWrap/>
            <w:vAlign w:val="center"/>
          </w:tcPr>
          <w:p w14:paraId="42F1646B">
            <w:pPr>
              <w:jc w:val="center"/>
              <w:rPr>
                <w:color w:val="000000"/>
                <w:sz w:val="22"/>
                <w:szCs w:val="22"/>
              </w:rPr>
            </w:pPr>
            <w:r>
              <w:rPr>
                <w:color w:val="000000"/>
                <w:sz w:val="22"/>
                <w:szCs w:val="22"/>
              </w:rPr>
              <w:t>350</w:t>
            </w:r>
          </w:p>
        </w:tc>
        <w:tc>
          <w:tcPr>
            <w:tcW w:w="0" w:type="auto"/>
            <w:noWrap w:val="0"/>
            <w:vAlign w:val="center"/>
          </w:tcPr>
          <w:p w14:paraId="45BDC41D">
            <w:pPr>
              <w:jc w:val="center"/>
              <w:rPr>
                <w:color w:val="000000"/>
                <w:sz w:val="22"/>
                <w:szCs w:val="22"/>
              </w:rPr>
            </w:pPr>
            <w:r>
              <w:rPr>
                <w:color w:val="000000"/>
                <w:sz w:val="22"/>
                <w:szCs w:val="22"/>
              </w:rPr>
              <w:t>23.33</w:t>
            </w:r>
          </w:p>
        </w:tc>
        <w:tc>
          <w:tcPr>
            <w:tcW w:w="0" w:type="auto"/>
            <w:noWrap/>
            <w:vAlign w:val="center"/>
          </w:tcPr>
          <w:p w14:paraId="521449B8">
            <w:pPr>
              <w:jc w:val="center"/>
              <w:rPr>
                <w:color w:val="000000"/>
                <w:sz w:val="22"/>
                <w:szCs w:val="22"/>
              </w:rPr>
            </w:pPr>
            <w:r>
              <w:rPr>
                <w:color w:val="000000"/>
                <w:sz w:val="22"/>
                <w:szCs w:val="22"/>
              </w:rPr>
              <w:t>330</w:t>
            </w:r>
          </w:p>
        </w:tc>
        <w:tc>
          <w:tcPr>
            <w:tcW w:w="0" w:type="auto"/>
            <w:noWrap w:val="0"/>
            <w:vAlign w:val="center"/>
          </w:tcPr>
          <w:p w14:paraId="2B9439EA">
            <w:pPr>
              <w:jc w:val="center"/>
              <w:rPr>
                <w:color w:val="000000"/>
                <w:sz w:val="22"/>
                <w:szCs w:val="22"/>
              </w:rPr>
            </w:pPr>
            <w:r>
              <w:rPr>
                <w:color w:val="000000"/>
                <w:sz w:val="22"/>
                <w:szCs w:val="22"/>
              </w:rPr>
              <w:t>22.00</w:t>
            </w:r>
          </w:p>
        </w:tc>
        <w:tc>
          <w:tcPr>
            <w:tcW w:w="0" w:type="auto"/>
            <w:noWrap/>
            <w:vAlign w:val="center"/>
          </w:tcPr>
          <w:p w14:paraId="64CFCCB1">
            <w:pPr>
              <w:jc w:val="center"/>
              <w:rPr>
                <w:color w:val="000000"/>
                <w:sz w:val="22"/>
                <w:szCs w:val="22"/>
              </w:rPr>
            </w:pPr>
            <w:r>
              <w:rPr>
                <w:color w:val="000000"/>
                <w:sz w:val="22"/>
                <w:szCs w:val="22"/>
              </w:rPr>
              <w:t>310</w:t>
            </w:r>
          </w:p>
        </w:tc>
        <w:tc>
          <w:tcPr>
            <w:tcW w:w="0" w:type="auto"/>
            <w:noWrap w:val="0"/>
            <w:vAlign w:val="center"/>
          </w:tcPr>
          <w:p w14:paraId="3C79E984">
            <w:pPr>
              <w:jc w:val="center"/>
              <w:rPr>
                <w:color w:val="000000"/>
                <w:sz w:val="22"/>
                <w:szCs w:val="22"/>
              </w:rPr>
            </w:pPr>
            <w:r>
              <w:rPr>
                <w:color w:val="000000"/>
                <w:sz w:val="22"/>
                <w:szCs w:val="22"/>
              </w:rPr>
              <w:t>20.67</w:t>
            </w:r>
          </w:p>
        </w:tc>
        <w:tc>
          <w:tcPr>
            <w:tcW w:w="0" w:type="auto"/>
            <w:noWrap w:val="0"/>
            <w:vAlign w:val="center"/>
          </w:tcPr>
          <w:p w14:paraId="78B3B2CF">
            <w:pPr>
              <w:jc w:val="center"/>
              <w:rPr>
                <w:color w:val="000000"/>
                <w:sz w:val="22"/>
                <w:szCs w:val="22"/>
              </w:rPr>
            </w:pPr>
            <w:r>
              <w:rPr>
                <w:color w:val="000000"/>
                <w:sz w:val="22"/>
                <w:szCs w:val="22"/>
              </w:rPr>
              <w:t>300</w:t>
            </w:r>
          </w:p>
        </w:tc>
        <w:tc>
          <w:tcPr>
            <w:tcW w:w="0" w:type="auto"/>
            <w:noWrap w:val="0"/>
            <w:vAlign w:val="center"/>
          </w:tcPr>
          <w:p w14:paraId="1E2F3559">
            <w:pPr>
              <w:jc w:val="center"/>
              <w:rPr>
                <w:color w:val="000000"/>
                <w:sz w:val="22"/>
                <w:szCs w:val="22"/>
              </w:rPr>
            </w:pPr>
            <w:r>
              <w:rPr>
                <w:color w:val="000000"/>
                <w:sz w:val="22"/>
                <w:szCs w:val="22"/>
              </w:rPr>
              <w:t>20.00</w:t>
            </w:r>
          </w:p>
        </w:tc>
        <w:tc>
          <w:tcPr>
            <w:tcW w:w="0" w:type="auto"/>
            <w:noWrap w:val="0"/>
            <w:vAlign w:val="center"/>
          </w:tcPr>
          <w:p w14:paraId="62D78E7F">
            <w:pPr>
              <w:jc w:val="center"/>
              <w:rPr>
                <w:color w:val="000000"/>
                <w:sz w:val="22"/>
                <w:szCs w:val="22"/>
              </w:rPr>
            </w:pPr>
            <w:r>
              <w:rPr>
                <w:color w:val="000000"/>
                <w:sz w:val="22"/>
                <w:szCs w:val="22"/>
              </w:rPr>
              <w:t>290</w:t>
            </w:r>
          </w:p>
        </w:tc>
        <w:tc>
          <w:tcPr>
            <w:tcW w:w="0" w:type="auto"/>
            <w:noWrap w:val="0"/>
            <w:vAlign w:val="center"/>
          </w:tcPr>
          <w:p w14:paraId="39BB2D38">
            <w:pPr>
              <w:jc w:val="center"/>
              <w:rPr>
                <w:color w:val="000000"/>
                <w:sz w:val="22"/>
                <w:szCs w:val="22"/>
              </w:rPr>
            </w:pPr>
            <w:r>
              <w:rPr>
                <w:color w:val="000000"/>
                <w:sz w:val="22"/>
                <w:szCs w:val="22"/>
              </w:rPr>
              <w:t>19.33</w:t>
            </w:r>
          </w:p>
        </w:tc>
        <w:tc>
          <w:tcPr>
            <w:tcW w:w="0" w:type="auto"/>
            <w:noWrap w:val="0"/>
            <w:vAlign w:val="center"/>
          </w:tcPr>
          <w:p w14:paraId="742D142A">
            <w:pPr>
              <w:jc w:val="center"/>
              <w:rPr>
                <w:color w:val="000000"/>
                <w:sz w:val="22"/>
                <w:szCs w:val="22"/>
              </w:rPr>
            </w:pPr>
            <w:r>
              <w:rPr>
                <w:color w:val="000000"/>
                <w:sz w:val="22"/>
                <w:szCs w:val="22"/>
              </w:rPr>
              <w:t>270</w:t>
            </w:r>
          </w:p>
        </w:tc>
        <w:tc>
          <w:tcPr>
            <w:tcW w:w="0" w:type="auto"/>
            <w:noWrap w:val="0"/>
            <w:vAlign w:val="center"/>
          </w:tcPr>
          <w:p w14:paraId="6FE91F41">
            <w:pPr>
              <w:jc w:val="center"/>
              <w:rPr>
                <w:color w:val="000000"/>
                <w:sz w:val="22"/>
                <w:szCs w:val="22"/>
              </w:rPr>
            </w:pPr>
            <w:r>
              <w:rPr>
                <w:color w:val="000000"/>
                <w:sz w:val="22"/>
                <w:szCs w:val="22"/>
              </w:rPr>
              <w:t>18.00</w:t>
            </w:r>
          </w:p>
        </w:tc>
      </w:tr>
      <w:tr w14:paraId="7A353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04B749A8">
            <w:pPr>
              <w:pStyle w:val="20"/>
              <w:jc w:val="center"/>
              <w:rPr>
                <w:rFonts w:ascii="Times New Roman" w:hAnsi="Times New Roman" w:eastAsia="楷体_GB2312"/>
                <w:sz w:val="24"/>
                <w:szCs w:val="24"/>
              </w:rPr>
            </w:pPr>
          </w:p>
        </w:tc>
        <w:tc>
          <w:tcPr>
            <w:tcW w:w="0" w:type="auto"/>
            <w:vMerge w:val="continue"/>
            <w:noWrap w:val="0"/>
            <w:vAlign w:val="center"/>
          </w:tcPr>
          <w:p w14:paraId="5FBFB106">
            <w:pPr>
              <w:pStyle w:val="20"/>
              <w:jc w:val="center"/>
              <w:rPr>
                <w:rFonts w:ascii="Times New Roman" w:hAnsi="Times New Roman" w:eastAsia="楷体_GB2312"/>
                <w:sz w:val="24"/>
                <w:szCs w:val="24"/>
              </w:rPr>
            </w:pPr>
          </w:p>
        </w:tc>
        <w:tc>
          <w:tcPr>
            <w:tcW w:w="0" w:type="auto"/>
            <w:noWrap w:val="0"/>
            <w:vAlign w:val="center"/>
          </w:tcPr>
          <w:p w14:paraId="1E8AC23C">
            <w:pPr>
              <w:pStyle w:val="20"/>
              <w:jc w:val="center"/>
              <w:rPr>
                <w:rFonts w:ascii="Times New Roman" w:hAnsi="Times New Roman" w:eastAsia="楷体_GB2312"/>
                <w:sz w:val="24"/>
                <w:szCs w:val="24"/>
              </w:rPr>
            </w:pPr>
            <w:r>
              <w:rPr>
                <w:rFonts w:ascii="Times New Roman" w:hAnsi="Times New Roman" w:eastAsia="楷体_GB2312"/>
                <w:sz w:val="24"/>
                <w:szCs w:val="24"/>
              </w:rPr>
              <w:t>3</w:t>
            </w:r>
          </w:p>
        </w:tc>
        <w:tc>
          <w:tcPr>
            <w:tcW w:w="0" w:type="auto"/>
            <w:noWrap/>
            <w:vAlign w:val="center"/>
          </w:tcPr>
          <w:p w14:paraId="4470F679">
            <w:pPr>
              <w:jc w:val="center"/>
              <w:rPr>
                <w:color w:val="000000"/>
                <w:sz w:val="22"/>
                <w:szCs w:val="22"/>
              </w:rPr>
            </w:pPr>
            <w:r>
              <w:rPr>
                <w:color w:val="000000"/>
                <w:sz w:val="22"/>
                <w:szCs w:val="22"/>
              </w:rPr>
              <w:t>270</w:t>
            </w:r>
          </w:p>
        </w:tc>
        <w:tc>
          <w:tcPr>
            <w:tcW w:w="0" w:type="auto"/>
            <w:noWrap w:val="0"/>
            <w:vAlign w:val="center"/>
          </w:tcPr>
          <w:p w14:paraId="4C636786">
            <w:pPr>
              <w:jc w:val="center"/>
              <w:rPr>
                <w:color w:val="000000"/>
                <w:sz w:val="22"/>
                <w:szCs w:val="22"/>
              </w:rPr>
            </w:pPr>
            <w:r>
              <w:rPr>
                <w:color w:val="000000"/>
                <w:sz w:val="22"/>
                <w:szCs w:val="22"/>
              </w:rPr>
              <w:t>18.00</w:t>
            </w:r>
          </w:p>
        </w:tc>
        <w:tc>
          <w:tcPr>
            <w:tcW w:w="0" w:type="auto"/>
            <w:noWrap/>
            <w:vAlign w:val="center"/>
          </w:tcPr>
          <w:p w14:paraId="6B53F993">
            <w:pPr>
              <w:jc w:val="center"/>
              <w:rPr>
                <w:color w:val="000000"/>
                <w:sz w:val="22"/>
                <w:szCs w:val="22"/>
              </w:rPr>
            </w:pPr>
            <w:r>
              <w:rPr>
                <w:color w:val="000000"/>
                <w:sz w:val="22"/>
                <w:szCs w:val="22"/>
              </w:rPr>
              <w:t>255</w:t>
            </w:r>
          </w:p>
        </w:tc>
        <w:tc>
          <w:tcPr>
            <w:tcW w:w="0" w:type="auto"/>
            <w:noWrap w:val="0"/>
            <w:vAlign w:val="center"/>
          </w:tcPr>
          <w:p w14:paraId="04CD4711">
            <w:pPr>
              <w:jc w:val="center"/>
              <w:rPr>
                <w:color w:val="000000"/>
                <w:sz w:val="22"/>
                <w:szCs w:val="22"/>
              </w:rPr>
            </w:pPr>
            <w:r>
              <w:rPr>
                <w:color w:val="000000"/>
                <w:sz w:val="22"/>
                <w:szCs w:val="22"/>
              </w:rPr>
              <w:t>17.00</w:t>
            </w:r>
          </w:p>
        </w:tc>
        <w:tc>
          <w:tcPr>
            <w:tcW w:w="0" w:type="auto"/>
            <w:noWrap/>
            <w:vAlign w:val="center"/>
          </w:tcPr>
          <w:p w14:paraId="31AE286A">
            <w:pPr>
              <w:jc w:val="center"/>
              <w:rPr>
                <w:color w:val="000000"/>
                <w:sz w:val="22"/>
                <w:szCs w:val="22"/>
              </w:rPr>
            </w:pPr>
            <w:r>
              <w:rPr>
                <w:color w:val="000000"/>
                <w:sz w:val="22"/>
                <w:szCs w:val="22"/>
              </w:rPr>
              <w:t>240</w:t>
            </w:r>
          </w:p>
        </w:tc>
        <w:tc>
          <w:tcPr>
            <w:tcW w:w="0" w:type="auto"/>
            <w:noWrap w:val="0"/>
            <w:vAlign w:val="center"/>
          </w:tcPr>
          <w:p w14:paraId="27B4A1ED">
            <w:pPr>
              <w:jc w:val="center"/>
              <w:rPr>
                <w:color w:val="000000"/>
                <w:sz w:val="22"/>
                <w:szCs w:val="22"/>
              </w:rPr>
            </w:pPr>
            <w:r>
              <w:rPr>
                <w:color w:val="000000"/>
                <w:sz w:val="22"/>
                <w:szCs w:val="22"/>
              </w:rPr>
              <w:t>16.00</w:t>
            </w:r>
          </w:p>
        </w:tc>
        <w:tc>
          <w:tcPr>
            <w:tcW w:w="0" w:type="auto"/>
            <w:noWrap w:val="0"/>
            <w:vAlign w:val="center"/>
          </w:tcPr>
          <w:p w14:paraId="3C9326F4">
            <w:pPr>
              <w:jc w:val="center"/>
              <w:rPr>
                <w:color w:val="000000"/>
                <w:sz w:val="22"/>
                <w:szCs w:val="22"/>
              </w:rPr>
            </w:pPr>
            <w:r>
              <w:rPr>
                <w:color w:val="000000"/>
                <w:sz w:val="22"/>
                <w:szCs w:val="22"/>
              </w:rPr>
              <w:t>230</w:t>
            </w:r>
          </w:p>
        </w:tc>
        <w:tc>
          <w:tcPr>
            <w:tcW w:w="0" w:type="auto"/>
            <w:noWrap w:val="0"/>
            <w:vAlign w:val="center"/>
          </w:tcPr>
          <w:p w14:paraId="23E1D022">
            <w:pPr>
              <w:jc w:val="center"/>
              <w:rPr>
                <w:color w:val="000000"/>
                <w:sz w:val="22"/>
                <w:szCs w:val="22"/>
              </w:rPr>
            </w:pPr>
            <w:r>
              <w:rPr>
                <w:color w:val="000000"/>
                <w:sz w:val="22"/>
                <w:szCs w:val="22"/>
              </w:rPr>
              <w:t>15.33</w:t>
            </w:r>
          </w:p>
        </w:tc>
        <w:tc>
          <w:tcPr>
            <w:tcW w:w="0" w:type="auto"/>
            <w:noWrap w:val="0"/>
            <w:vAlign w:val="center"/>
          </w:tcPr>
          <w:p w14:paraId="797472E6">
            <w:pPr>
              <w:jc w:val="center"/>
              <w:rPr>
                <w:color w:val="000000"/>
                <w:sz w:val="22"/>
                <w:szCs w:val="22"/>
              </w:rPr>
            </w:pPr>
            <w:r>
              <w:rPr>
                <w:color w:val="000000"/>
                <w:sz w:val="22"/>
                <w:szCs w:val="22"/>
              </w:rPr>
              <w:t>220</w:t>
            </w:r>
          </w:p>
        </w:tc>
        <w:tc>
          <w:tcPr>
            <w:tcW w:w="0" w:type="auto"/>
            <w:noWrap w:val="0"/>
            <w:vAlign w:val="center"/>
          </w:tcPr>
          <w:p w14:paraId="05F36524">
            <w:pPr>
              <w:jc w:val="center"/>
              <w:rPr>
                <w:color w:val="000000"/>
                <w:sz w:val="22"/>
                <w:szCs w:val="22"/>
              </w:rPr>
            </w:pPr>
            <w:r>
              <w:rPr>
                <w:color w:val="000000"/>
                <w:sz w:val="22"/>
                <w:szCs w:val="22"/>
              </w:rPr>
              <w:t>14.67</w:t>
            </w:r>
          </w:p>
        </w:tc>
        <w:tc>
          <w:tcPr>
            <w:tcW w:w="0" w:type="auto"/>
            <w:noWrap w:val="0"/>
            <w:vAlign w:val="center"/>
          </w:tcPr>
          <w:p w14:paraId="332DB228">
            <w:pPr>
              <w:jc w:val="center"/>
              <w:rPr>
                <w:color w:val="000000"/>
                <w:sz w:val="22"/>
                <w:szCs w:val="22"/>
              </w:rPr>
            </w:pPr>
            <w:r>
              <w:rPr>
                <w:color w:val="000000"/>
                <w:sz w:val="22"/>
                <w:szCs w:val="22"/>
              </w:rPr>
              <w:t>200</w:t>
            </w:r>
          </w:p>
        </w:tc>
        <w:tc>
          <w:tcPr>
            <w:tcW w:w="0" w:type="auto"/>
            <w:noWrap w:val="0"/>
            <w:vAlign w:val="center"/>
          </w:tcPr>
          <w:p w14:paraId="39ED5424">
            <w:pPr>
              <w:jc w:val="center"/>
              <w:rPr>
                <w:color w:val="000000"/>
                <w:sz w:val="22"/>
                <w:szCs w:val="22"/>
              </w:rPr>
            </w:pPr>
            <w:r>
              <w:rPr>
                <w:color w:val="000000"/>
                <w:sz w:val="22"/>
                <w:szCs w:val="22"/>
              </w:rPr>
              <w:t>13.33</w:t>
            </w:r>
          </w:p>
        </w:tc>
      </w:tr>
      <w:tr w14:paraId="25E8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1499C62F">
            <w:pPr>
              <w:pStyle w:val="20"/>
              <w:jc w:val="center"/>
              <w:rPr>
                <w:rFonts w:ascii="Times New Roman" w:hAnsi="Times New Roman" w:eastAsia="楷体_GB2312"/>
                <w:sz w:val="24"/>
                <w:szCs w:val="24"/>
              </w:rPr>
            </w:pPr>
            <w:r>
              <w:rPr>
                <w:rFonts w:ascii="Times New Roman" w:hAnsi="Times New Roman" w:eastAsia="楷体_GB2312"/>
                <w:sz w:val="24"/>
                <w:szCs w:val="24"/>
              </w:rPr>
              <w:t>2</w:t>
            </w:r>
          </w:p>
        </w:tc>
        <w:tc>
          <w:tcPr>
            <w:tcW w:w="0" w:type="auto"/>
            <w:vMerge w:val="restart"/>
            <w:noWrap w:val="0"/>
            <w:vAlign w:val="center"/>
          </w:tcPr>
          <w:p w14:paraId="1BB3F7F8">
            <w:pPr>
              <w:pStyle w:val="20"/>
              <w:jc w:val="center"/>
              <w:rPr>
                <w:rFonts w:ascii="Times New Roman" w:hAnsi="Times New Roman" w:eastAsia="楷体_GB2312"/>
                <w:sz w:val="24"/>
                <w:szCs w:val="24"/>
              </w:rPr>
            </w:pPr>
            <w:r>
              <w:rPr>
                <w:rFonts w:ascii="Times New Roman" w:hAnsi="Times New Roman" w:eastAsia="楷体_GB2312"/>
                <w:sz w:val="24"/>
                <w:szCs w:val="24"/>
              </w:rPr>
              <w:t>朱仙庄镇</w:t>
            </w:r>
          </w:p>
        </w:tc>
        <w:tc>
          <w:tcPr>
            <w:tcW w:w="0" w:type="auto"/>
            <w:noWrap w:val="0"/>
            <w:vAlign w:val="center"/>
          </w:tcPr>
          <w:p w14:paraId="44676DAA">
            <w:pPr>
              <w:pStyle w:val="20"/>
              <w:jc w:val="center"/>
              <w:rPr>
                <w:rFonts w:ascii="Times New Roman" w:hAnsi="Times New Roman" w:eastAsia="楷体_GB2312"/>
                <w:sz w:val="24"/>
                <w:szCs w:val="24"/>
              </w:rPr>
            </w:pPr>
            <w:r>
              <w:rPr>
                <w:rFonts w:ascii="Times New Roman" w:hAnsi="Times New Roman" w:eastAsia="楷体_GB2312"/>
                <w:sz w:val="24"/>
                <w:szCs w:val="24"/>
              </w:rPr>
              <w:t>1</w:t>
            </w:r>
          </w:p>
        </w:tc>
        <w:tc>
          <w:tcPr>
            <w:tcW w:w="0" w:type="auto"/>
            <w:noWrap/>
            <w:vAlign w:val="center"/>
          </w:tcPr>
          <w:p w14:paraId="7E9D4998">
            <w:pPr>
              <w:jc w:val="center"/>
              <w:rPr>
                <w:color w:val="000000"/>
                <w:sz w:val="22"/>
                <w:szCs w:val="22"/>
              </w:rPr>
            </w:pPr>
            <w:r>
              <w:rPr>
                <w:color w:val="000000"/>
                <w:sz w:val="22"/>
                <w:szCs w:val="22"/>
              </w:rPr>
              <w:t>425</w:t>
            </w:r>
          </w:p>
        </w:tc>
        <w:tc>
          <w:tcPr>
            <w:tcW w:w="0" w:type="auto"/>
            <w:noWrap w:val="0"/>
            <w:vAlign w:val="center"/>
          </w:tcPr>
          <w:p w14:paraId="5D870199">
            <w:pPr>
              <w:jc w:val="center"/>
              <w:rPr>
                <w:color w:val="000000"/>
                <w:sz w:val="22"/>
                <w:szCs w:val="22"/>
              </w:rPr>
            </w:pPr>
            <w:r>
              <w:rPr>
                <w:color w:val="000000"/>
                <w:sz w:val="22"/>
                <w:szCs w:val="22"/>
              </w:rPr>
              <w:t>28.33</w:t>
            </w:r>
          </w:p>
        </w:tc>
        <w:tc>
          <w:tcPr>
            <w:tcW w:w="0" w:type="auto"/>
            <w:noWrap/>
            <w:vAlign w:val="center"/>
          </w:tcPr>
          <w:p w14:paraId="60B26EA9">
            <w:pPr>
              <w:jc w:val="center"/>
              <w:rPr>
                <w:color w:val="000000"/>
                <w:sz w:val="22"/>
                <w:szCs w:val="22"/>
              </w:rPr>
            </w:pPr>
            <w:r>
              <w:rPr>
                <w:color w:val="000000"/>
                <w:sz w:val="22"/>
                <w:szCs w:val="22"/>
              </w:rPr>
              <w:t>405</w:t>
            </w:r>
          </w:p>
        </w:tc>
        <w:tc>
          <w:tcPr>
            <w:tcW w:w="0" w:type="auto"/>
            <w:noWrap w:val="0"/>
            <w:vAlign w:val="center"/>
          </w:tcPr>
          <w:p w14:paraId="0DBB2D5D">
            <w:pPr>
              <w:jc w:val="center"/>
              <w:rPr>
                <w:color w:val="000000"/>
                <w:sz w:val="22"/>
                <w:szCs w:val="22"/>
              </w:rPr>
            </w:pPr>
            <w:r>
              <w:rPr>
                <w:color w:val="000000"/>
                <w:sz w:val="22"/>
                <w:szCs w:val="22"/>
              </w:rPr>
              <w:t>27.00</w:t>
            </w:r>
          </w:p>
        </w:tc>
        <w:tc>
          <w:tcPr>
            <w:tcW w:w="0" w:type="auto"/>
            <w:noWrap/>
            <w:vAlign w:val="center"/>
          </w:tcPr>
          <w:p w14:paraId="74E85AA0">
            <w:pPr>
              <w:jc w:val="center"/>
              <w:rPr>
                <w:color w:val="000000"/>
                <w:sz w:val="22"/>
                <w:szCs w:val="22"/>
              </w:rPr>
            </w:pPr>
            <w:r>
              <w:rPr>
                <w:color w:val="000000"/>
                <w:sz w:val="22"/>
                <w:szCs w:val="22"/>
              </w:rPr>
              <w:t>385</w:t>
            </w:r>
          </w:p>
        </w:tc>
        <w:tc>
          <w:tcPr>
            <w:tcW w:w="0" w:type="auto"/>
            <w:noWrap w:val="0"/>
            <w:vAlign w:val="center"/>
          </w:tcPr>
          <w:p w14:paraId="54803D95">
            <w:pPr>
              <w:jc w:val="center"/>
              <w:rPr>
                <w:color w:val="000000"/>
                <w:sz w:val="22"/>
                <w:szCs w:val="22"/>
              </w:rPr>
            </w:pPr>
            <w:r>
              <w:rPr>
                <w:color w:val="000000"/>
                <w:sz w:val="22"/>
                <w:szCs w:val="22"/>
              </w:rPr>
              <w:t>25.67</w:t>
            </w:r>
          </w:p>
        </w:tc>
        <w:tc>
          <w:tcPr>
            <w:tcW w:w="0" w:type="auto"/>
            <w:noWrap w:val="0"/>
            <w:vAlign w:val="center"/>
          </w:tcPr>
          <w:p w14:paraId="6B92343E">
            <w:pPr>
              <w:jc w:val="center"/>
              <w:rPr>
                <w:color w:val="000000"/>
                <w:sz w:val="22"/>
                <w:szCs w:val="22"/>
              </w:rPr>
            </w:pPr>
            <w:r>
              <w:rPr>
                <w:color w:val="000000"/>
                <w:sz w:val="22"/>
                <w:szCs w:val="22"/>
              </w:rPr>
              <w:t>375</w:t>
            </w:r>
          </w:p>
        </w:tc>
        <w:tc>
          <w:tcPr>
            <w:tcW w:w="0" w:type="auto"/>
            <w:noWrap w:val="0"/>
            <w:vAlign w:val="center"/>
          </w:tcPr>
          <w:p w14:paraId="30CD7666">
            <w:pPr>
              <w:jc w:val="center"/>
              <w:rPr>
                <w:color w:val="000000"/>
                <w:sz w:val="22"/>
                <w:szCs w:val="22"/>
              </w:rPr>
            </w:pPr>
            <w:r>
              <w:rPr>
                <w:color w:val="000000"/>
                <w:sz w:val="22"/>
                <w:szCs w:val="22"/>
              </w:rPr>
              <w:t>25.00</w:t>
            </w:r>
          </w:p>
        </w:tc>
        <w:tc>
          <w:tcPr>
            <w:tcW w:w="0" w:type="auto"/>
            <w:noWrap w:val="0"/>
            <w:vAlign w:val="center"/>
          </w:tcPr>
          <w:p w14:paraId="41E5F7C1">
            <w:pPr>
              <w:jc w:val="center"/>
              <w:rPr>
                <w:color w:val="000000"/>
                <w:sz w:val="22"/>
                <w:szCs w:val="22"/>
              </w:rPr>
            </w:pPr>
            <w:r>
              <w:rPr>
                <w:color w:val="000000"/>
                <w:sz w:val="22"/>
                <w:szCs w:val="22"/>
              </w:rPr>
              <w:t>365</w:t>
            </w:r>
          </w:p>
        </w:tc>
        <w:tc>
          <w:tcPr>
            <w:tcW w:w="0" w:type="auto"/>
            <w:noWrap w:val="0"/>
            <w:vAlign w:val="center"/>
          </w:tcPr>
          <w:p w14:paraId="51CC31CD">
            <w:pPr>
              <w:jc w:val="center"/>
              <w:rPr>
                <w:color w:val="000000"/>
                <w:sz w:val="22"/>
                <w:szCs w:val="22"/>
              </w:rPr>
            </w:pPr>
            <w:r>
              <w:rPr>
                <w:color w:val="000000"/>
                <w:sz w:val="22"/>
                <w:szCs w:val="22"/>
              </w:rPr>
              <w:t>24.33</w:t>
            </w:r>
          </w:p>
        </w:tc>
        <w:tc>
          <w:tcPr>
            <w:tcW w:w="0" w:type="auto"/>
            <w:noWrap w:val="0"/>
            <w:vAlign w:val="center"/>
          </w:tcPr>
          <w:p w14:paraId="51BFE79A">
            <w:pPr>
              <w:jc w:val="center"/>
              <w:rPr>
                <w:color w:val="000000"/>
                <w:sz w:val="22"/>
                <w:szCs w:val="22"/>
              </w:rPr>
            </w:pPr>
            <w:r>
              <w:rPr>
                <w:color w:val="000000"/>
                <w:sz w:val="22"/>
                <w:szCs w:val="22"/>
              </w:rPr>
              <w:t>345</w:t>
            </w:r>
          </w:p>
        </w:tc>
        <w:tc>
          <w:tcPr>
            <w:tcW w:w="0" w:type="auto"/>
            <w:noWrap w:val="0"/>
            <w:vAlign w:val="center"/>
          </w:tcPr>
          <w:p w14:paraId="17EE4C81">
            <w:pPr>
              <w:jc w:val="center"/>
              <w:rPr>
                <w:color w:val="000000"/>
                <w:sz w:val="22"/>
                <w:szCs w:val="22"/>
              </w:rPr>
            </w:pPr>
            <w:r>
              <w:rPr>
                <w:color w:val="000000"/>
                <w:sz w:val="22"/>
                <w:szCs w:val="22"/>
              </w:rPr>
              <w:t>23.00</w:t>
            </w:r>
          </w:p>
        </w:tc>
      </w:tr>
      <w:tr w14:paraId="48FE0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72F0B81D">
            <w:pPr>
              <w:pStyle w:val="20"/>
              <w:jc w:val="center"/>
              <w:rPr>
                <w:rFonts w:ascii="Times New Roman" w:hAnsi="Times New Roman" w:eastAsia="楷体_GB2312"/>
                <w:sz w:val="24"/>
                <w:szCs w:val="24"/>
              </w:rPr>
            </w:pPr>
          </w:p>
        </w:tc>
        <w:tc>
          <w:tcPr>
            <w:tcW w:w="0" w:type="auto"/>
            <w:vMerge w:val="continue"/>
            <w:noWrap w:val="0"/>
            <w:vAlign w:val="center"/>
          </w:tcPr>
          <w:p w14:paraId="12793290">
            <w:pPr>
              <w:pStyle w:val="20"/>
              <w:jc w:val="center"/>
              <w:rPr>
                <w:rFonts w:ascii="Times New Roman" w:hAnsi="Times New Roman" w:eastAsia="楷体_GB2312"/>
                <w:sz w:val="24"/>
                <w:szCs w:val="24"/>
              </w:rPr>
            </w:pPr>
          </w:p>
        </w:tc>
        <w:tc>
          <w:tcPr>
            <w:tcW w:w="0" w:type="auto"/>
            <w:noWrap w:val="0"/>
            <w:vAlign w:val="center"/>
          </w:tcPr>
          <w:p w14:paraId="200D72D6">
            <w:pPr>
              <w:pStyle w:val="20"/>
              <w:jc w:val="center"/>
              <w:rPr>
                <w:rFonts w:ascii="Times New Roman" w:hAnsi="Times New Roman" w:eastAsia="楷体_GB2312"/>
                <w:sz w:val="24"/>
                <w:szCs w:val="24"/>
              </w:rPr>
            </w:pPr>
            <w:r>
              <w:rPr>
                <w:rFonts w:ascii="Times New Roman" w:hAnsi="Times New Roman" w:eastAsia="楷体_GB2312"/>
                <w:sz w:val="24"/>
                <w:szCs w:val="24"/>
              </w:rPr>
              <w:t>2</w:t>
            </w:r>
          </w:p>
        </w:tc>
        <w:tc>
          <w:tcPr>
            <w:tcW w:w="0" w:type="auto"/>
            <w:noWrap/>
            <w:vAlign w:val="center"/>
          </w:tcPr>
          <w:p w14:paraId="019B726B">
            <w:pPr>
              <w:jc w:val="center"/>
              <w:rPr>
                <w:color w:val="000000"/>
                <w:sz w:val="22"/>
                <w:szCs w:val="22"/>
              </w:rPr>
            </w:pPr>
            <w:r>
              <w:rPr>
                <w:color w:val="000000"/>
                <w:sz w:val="22"/>
                <w:szCs w:val="22"/>
              </w:rPr>
              <w:t>310</w:t>
            </w:r>
          </w:p>
        </w:tc>
        <w:tc>
          <w:tcPr>
            <w:tcW w:w="0" w:type="auto"/>
            <w:noWrap w:val="0"/>
            <w:vAlign w:val="center"/>
          </w:tcPr>
          <w:p w14:paraId="74BBE93E">
            <w:pPr>
              <w:jc w:val="center"/>
              <w:rPr>
                <w:color w:val="000000"/>
                <w:sz w:val="22"/>
                <w:szCs w:val="22"/>
              </w:rPr>
            </w:pPr>
            <w:r>
              <w:rPr>
                <w:color w:val="000000"/>
                <w:sz w:val="22"/>
                <w:szCs w:val="22"/>
              </w:rPr>
              <w:t>20.67</w:t>
            </w:r>
          </w:p>
        </w:tc>
        <w:tc>
          <w:tcPr>
            <w:tcW w:w="0" w:type="auto"/>
            <w:noWrap/>
            <w:vAlign w:val="center"/>
          </w:tcPr>
          <w:p w14:paraId="11675A24">
            <w:pPr>
              <w:jc w:val="center"/>
              <w:rPr>
                <w:color w:val="000000"/>
                <w:sz w:val="22"/>
                <w:szCs w:val="22"/>
              </w:rPr>
            </w:pPr>
            <w:r>
              <w:rPr>
                <w:color w:val="000000"/>
                <w:sz w:val="22"/>
                <w:szCs w:val="22"/>
              </w:rPr>
              <w:t>290</w:t>
            </w:r>
          </w:p>
        </w:tc>
        <w:tc>
          <w:tcPr>
            <w:tcW w:w="0" w:type="auto"/>
            <w:noWrap w:val="0"/>
            <w:vAlign w:val="center"/>
          </w:tcPr>
          <w:p w14:paraId="1717D846">
            <w:pPr>
              <w:jc w:val="center"/>
              <w:rPr>
                <w:color w:val="000000"/>
                <w:sz w:val="22"/>
                <w:szCs w:val="22"/>
              </w:rPr>
            </w:pPr>
            <w:r>
              <w:rPr>
                <w:color w:val="000000"/>
                <w:sz w:val="22"/>
                <w:szCs w:val="22"/>
              </w:rPr>
              <w:t>19.33</w:t>
            </w:r>
          </w:p>
        </w:tc>
        <w:tc>
          <w:tcPr>
            <w:tcW w:w="0" w:type="auto"/>
            <w:noWrap/>
            <w:vAlign w:val="center"/>
          </w:tcPr>
          <w:p w14:paraId="721AC232">
            <w:pPr>
              <w:jc w:val="center"/>
              <w:rPr>
                <w:color w:val="000000"/>
                <w:sz w:val="22"/>
                <w:szCs w:val="22"/>
              </w:rPr>
            </w:pPr>
            <w:r>
              <w:rPr>
                <w:color w:val="000000"/>
                <w:sz w:val="22"/>
                <w:szCs w:val="22"/>
              </w:rPr>
              <w:t>280</w:t>
            </w:r>
          </w:p>
        </w:tc>
        <w:tc>
          <w:tcPr>
            <w:tcW w:w="0" w:type="auto"/>
            <w:noWrap w:val="0"/>
            <w:vAlign w:val="center"/>
          </w:tcPr>
          <w:p w14:paraId="08A5040F">
            <w:pPr>
              <w:jc w:val="center"/>
              <w:rPr>
                <w:color w:val="000000"/>
                <w:sz w:val="22"/>
                <w:szCs w:val="22"/>
              </w:rPr>
            </w:pPr>
            <w:r>
              <w:rPr>
                <w:color w:val="000000"/>
                <w:sz w:val="22"/>
                <w:szCs w:val="22"/>
              </w:rPr>
              <w:t>18.67</w:t>
            </w:r>
          </w:p>
        </w:tc>
        <w:tc>
          <w:tcPr>
            <w:tcW w:w="0" w:type="auto"/>
            <w:noWrap w:val="0"/>
            <w:vAlign w:val="center"/>
          </w:tcPr>
          <w:p w14:paraId="52B89770">
            <w:pPr>
              <w:jc w:val="center"/>
              <w:rPr>
                <w:color w:val="000000"/>
                <w:sz w:val="22"/>
                <w:szCs w:val="22"/>
              </w:rPr>
            </w:pPr>
            <w:r>
              <w:rPr>
                <w:color w:val="000000"/>
                <w:sz w:val="22"/>
                <w:szCs w:val="22"/>
              </w:rPr>
              <w:t>270</w:t>
            </w:r>
          </w:p>
        </w:tc>
        <w:tc>
          <w:tcPr>
            <w:tcW w:w="0" w:type="auto"/>
            <w:noWrap w:val="0"/>
            <w:vAlign w:val="center"/>
          </w:tcPr>
          <w:p w14:paraId="51BDF207">
            <w:pPr>
              <w:jc w:val="center"/>
              <w:rPr>
                <w:color w:val="000000"/>
                <w:sz w:val="22"/>
                <w:szCs w:val="22"/>
              </w:rPr>
            </w:pPr>
            <w:r>
              <w:rPr>
                <w:color w:val="000000"/>
                <w:sz w:val="22"/>
                <w:szCs w:val="22"/>
              </w:rPr>
              <w:t>18.00</w:t>
            </w:r>
          </w:p>
        </w:tc>
        <w:tc>
          <w:tcPr>
            <w:tcW w:w="0" w:type="auto"/>
            <w:noWrap w:val="0"/>
            <w:vAlign w:val="center"/>
          </w:tcPr>
          <w:p w14:paraId="697BA830">
            <w:pPr>
              <w:jc w:val="center"/>
              <w:rPr>
                <w:color w:val="000000"/>
                <w:sz w:val="22"/>
                <w:szCs w:val="22"/>
              </w:rPr>
            </w:pPr>
            <w:r>
              <w:rPr>
                <w:color w:val="000000"/>
                <w:sz w:val="22"/>
                <w:szCs w:val="22"/>
              </w:rPr>
              <w:t>260</w:t>
            </w:r>
          </w:p>
        </w:tc>
        <w:tc>
          <w:tcPr>
            <w:tcW w:w="0" w:type="auto"/>
            <w:noWrap w:val="0"/>
            <w:vAlign w:val="center"/>
          </w:tcPr>
          <w:p w14:paraId="5F5D2F1B">
            <w:pPr>
              <w:jc w:val="center"/>
              <w:rPr>
                <w:color w:val="000000"/>
                <w:sz w:val="22"/>
                <w:szCs w:val="22"/>
              </w:rPr>
            </w:pPr>
            <w:r>
              <w:rPr>
                <w:color w:val="000000"/>
                <w:sz w:val="22"/>
                <w:szCs w:val="22"/>
              </w:rPr>
              <w:t>17.33</w:t>
            </w:r>
          </w:p>
        </w:tc>
        <w:tc>
          <w:tcPr>
            <w:tcW w:w="0" w:type="auto"/>
            <w:noWrap w:val="0"/>
            <w:vAlign w:val="center"/>
          </w:tcPr>
          <w:p w14:paraId="27B34169">
            <w:pPr>
              <w:jc w:val="center"/>
              <w:rPr>
                <w:color w:val="000000"/>
                <w:sz w:val="22"/>
                <w:szCs w:val="22"/>
              </w:rPr>
            </w:pPr>
            <w:r>
              <w:rPr>
                <w:color w:val="000000"/>
                <w:sz w:val="22"/>
                <w:szCs w:val="22"/>
              </w:rPr>
              <w:t>240</w:t>
            </w:r>
          </w:p>
        </w:tc>
        <w:tc>
          <w:tcPr>
            <w:tcW w:w="0" w:type="auto"/>
            <w:noWrap w:val="0"/>
            <w:vAlign w:val="center"/>
          </w:tcPr>
          <w:p w14:paraId="12BF169D">
            <w:pPr>
              <w:jc w:val="center"/>
              <w:rPr>
                <w:color w:val="000000"/>
                <w:sz w:val="22"/>
                <w:szCs w:val="22"/>
              </w:rPr>
            </w:pPr>
            <w:r>
              <w:rPr>
                <w:color w:val="000000"/>
                <w:sz w:val="22"/>
                <w:szCs w:val="22"/>
              </w:rPr>
              <w:t>16.00</w:t>
            </w:r>
          </w:p>
        </w:tc>
      </w:tr>
      <w:tr w14:paraId="05DC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6B82C2BA">
            <w:pPr>
              <w:pStyle w:val="20"/>
              <w:jc w:val="center"/>
              <w:rPr>
                <w:rFonts w:ascii="Times New Roman" w:hAnsi="Times New Roman" w:eastAsia="楷体_GB2312"/>
                <w:sz w:val="24"/>
                <w:szCs w:val="24"/>
              </w:rPr>
            </w:pPr>
          </w:p>
        </w:tc>
        <w:tc>
          <w:tcPr>
            <w:tcW w:w="0" w:type="auto"/>
            <w:vMerge w:val="continue"/>
            <w:noWrap w:val="0"/>
            <w:vAlign w:val="center"/>
          </w:tcPr>
          <w:p w14:paraId="56176CED">
            <w:pPr>
              <w:pStyle w:val="20"/>
              <w:jc w:val="center"/>
              <w:rPr>
                <w:rFonts w:ascii="Times New Roman" w:hAnsi="Times New Roman" w:eastAsia="楷体_GB2312"/>
                <w:sz w:val="24"/>
                <w:szCs w:val="24"/>
              </w:rPr>
            </w:pPr>
          </w:p>
        </w:tc>
        <w:tc>
          <w:tcPr>
            <w:tcW w:w="0" w:type="auto"/>
            <w:noWrap w:val="0"/>
            <w:vAlign w:val="center"/>
          </w:tcPr>
          <w:p w14:paraId="022AF689">
            <w:pPr>
              <w:pStyle w:val="20"/>
              <w:jc w:val="center"/>
              <w:rPr>
                <w:rFonts w:ascii="Times New Roman" w:hAnsi="Times New Roman" w:eastAsia="楷体_GB2312"/>
                <w:sz w:val="24"/>
                <w:szCs w:val="24"/>
              </w:rPr>
            </w:pPr>
            <w:r>
              <w:rPr>
                <w:rFonts w:ascii="Times New Roman" w:hAnsi="Times New Roman" w:eastAsia="楷体_GB2312"/>
                <w:sz w:val="24"/>
                <w:szCs w:val="24"/>
              </w:rPr>
              <w:t>3</w:t>
            </w:r>
          </w:p>
        </w:tc>
        <w:tc>
          <w:tcPr>
            <w:tcW w:w="0" w:type="auto"/>
            <w:noWrap/>
            <w:vAlign w:val="center"/>
          </w:tcPr>
          <w:p w14:paraId="3FD93CAE">
            <w:pPr>
              <w:jc w:val="center"/>
              <w:rPr>
                <w:color w:val="000000"/>
                <w:sz w:val="22"/>
                <w:szCs w:val="22"/>
              </w:rPr>
            </w:pPr>
            <w:r>
              <w:rPr>
                <w:color w:val="000000"/>
                <w:sz w:val="22"/>
                <w:szCs w:val="22"/>
              </w:rPr>
              <w:t>225</w:t>
            </w:r>
          </w:p>
        </w:tc>
        <w:tc>
          <w:tcPr>
            <w:tcW w:w="0" w:type="auto"/>
            <w:noWrap w:val="0"/>
            <w:vAlign w:val="center"/>
          </w:tcPr>
          <w:p w14:paraId="19893EDF">
            <w:pPr>
              <w:jc w:val="center"/>
              <w:rPr>
                <w:color w:val="000000"/>
                <w:sz w:val="22"/>
                <w:szCs w:val="22"/>
              </w:rPr>
            </w:pPr>
            <w:r>
              <w:rPr>
                <w:color w:val="000000"/>
                <w:sz w:val="22"/>
                <w:szCs w:val="22"/>
              </w:rPr>
              <w:t>15.00</w:t>
            </w:r>
          </w:p>
        </w:tc>
        <w:tc>
          <w:tcPr>
            <w:tcW w:w="0" w:type="auto"/>
            <w:noWrap/>
            <w:vAlign w:val="center"/>
          </w:tcPr>
          <w:p w14:paraId="3A9302CC">
            <w:pPr>
              <w:jc w:val="center"/>
              <w:rPr>
                <w:color w:val="000000"/>
                <w:sz w:val="22"/>
                <w:szCs w:val="22"/>
              </w:rPr>
            </w:pPr>
            <w:r>
              <w:rPr>
                <w:color w:val="000000"/>
                <w:sz w:val="22"/>
                <w:szCs w:val="22"/>
              </w:rPr>
              <w:t>215</w:t>
            </w:r>
          </w:p>
        </w:tc>
        <w:tc>
          <w:tcPr>
            <w:tcW w:w="0" w:type="auto"/>
            <w:noWrap w:val="0"/>
            <w:vAlign w:val="center"/>
          </w:tcPr>
          <w:p w14:paraId="4364A226">
            <w:pPr>
              <w:jc w:val="center"/>
              <w:rPr>
                <w:color w:val="000000"/>
                <w:sz w:val="22"/>
                <w:szCs w:val="22"/>
              </w:rPr>
            </w:pPr>
            <w:r>
              <w:rPr>
                <w:color w:val="000000"/>
                <w:sz w:val="22"/>
                <w:szCs w:val="22"/>
              </w:rPr>
              <w:t>14.33</w:t>
            </w:r>
          </w:p>
        </w:tc>
        <w:tc>
          <w:tcPr>
            <w:tcW w:w="0" w:type="auto"/>
            <w:noWrap/>
            <w:vAlign w:val="center"/>
          </w:tcPr>
          <w:p w14:paraId="2320BB09">
            <w:pPr>
              <w:jc w:val="center"/>
              <w:rPr>
                <w:color w:val="000000"/>
                <w:sz w:val="22"/>
                <w:szCs w:val="22"/>
              </w:rPr>
            </w:pPr>
            <w:r>
              <w:rPr>
                <w:color w:val="000000"/>
                <w:sz w:val="22"/>
                <w:szCs w:val="22"/>
              </w:rPr>
              <w:t>205</w:t>
            </w:r>
          </w:p>
        </w:tc>
        <w:tc>
          <w:tcPr>
            <w:tcW w:w="0" w:type="auto"/>
            <w:noWrap w:val="0"/>
            <w:vAlign w:val="center"/>
          </w:tcPr>
          <w:p w14:paraId="0F286323">
            <w:pPr>
              <w:jc w:val="center"/>
              <w:rPr>
                <w:color w:val="000000"/>
                <w:sz w:val="22"/>
                <w:szCs w:val="22"/>
              </w:rPr>
            </w:pPr>
            <w:r>
              <w:rPr>
                <w:color w:val="000000"/>
                <w:sz w:val="22"/>
                <w:szCs w:val="22"/>
              </w:rPr>
              <w:t>13.67</w:t>
            </w:r>
          </w:p>
        </w:tc>
        <w:tc>
          <w:tcPr>
            <w:tcW w:w="0" w:type="auto"/>
            <w:noWrap w:val="0"/>
            <w:vAlign w:val="center"/>
          </w:tcPr>
          <w:p w14:paraId="5F04C40C">
            <w:pPr>
              <w:jc w:val="center"/>
              <w:rPr>
                <w:color w:val="000000"/>
                <w:sz w:val="22"/>
                <w:szCs w:val="22"/>
              </w:rPr>
            </w:pPr>
            <w:r>
              <w:rPr>
                <w:color w:val="000000"/>
                <w:sz w:val="22"/>
                <w:szCs w:val="22"/>
              </w:rPr>
              <w:t>200</w:t>
            </w:r>
          </w:p>
        </w:tc>
        <w:tc>
          <w:tcPr>
            <w:tcW w:w="0" w:type="auto"/>
            <w:noWrap w:val="0"/>
            <w:vAlign w:val="center"/>
          </w:tcPr>
          <w:p w14:paraId="55E40D37">
            <w:pPr>
              <w:jc w:val="center"/>
              <w:rPr>
                <w:color w:val="000000"/>
                <w:sz w:val="22"/>
                <w:szCs w:val="22"/>
              </w:rPr>
            </w:pPr>
            <w:r>
              <w:rPr>
                <w:color w:val="000000"/>
                <w:sz w:val="22"/>
                <w:szCs w:val="22"/>
              </w:rPr>
              <w:t>13.33</w:t>
            </w:r>
          </w:p>
        </w:tc>
        <w:tc>
          <w:tcPr>
            <w:tcW w:w="0" w:type="auto"/>
            <w:noWrap w:val="0"/>
            <w:vAlign w:val="center"/>
          </w:tcPr>
          <w:p w14:paraId="354E17E3">
            <w:pPr>
              <w:jc w:val="center"/>
              <w:rPr>
                <w:color w:val="000000"/>
                <w:sz w:val="22"/>
                <w:szCs w:val="22"/>
              </w:rPr>
            </w:pPr>
            <w:r>
              <w:rPr>
                <w:color w:val="000000"/>
                <w:sz w:val="22"/>
                <w:szCs w:val="22"/>
              </w:rPr>
              <w:t>195</w:t>
            </w:r>
          </w:p>
        </w:tc>
        <w:tc>
          <w:tcPr>
            <w:tcW w:w="0" w:type="auto"/>
            <w:noWrap w:val="0"/>
            <w:vAlign w:val="center"/>
          </w:tcPr>
          <w:p w14:paraId="03792C20">
            <w:pPr>
              <w:jc w:val="center"/>
              <w:rPr>
                <w:color w:val="000000"/>
                <w:sz w:val="22"/>
                <w:szCs w:val="22"/>
              </w:rPr>
            </w:pPr>
            <w:r>
              <w:rPr>
                <w:color w:val="000000"/>
                <w:sz w:val="22"/>
                <w:szCs w:val="22"/>
              </w:rPr>
              <w:t>13.00</w:t>
            </w:r>
          </w:p>
        </w:tc>
        <w:tc>
          <w:tcPr>
            <w:tcW w:w="0" w:type="auto"/>
            <w:noWrap w:val="0"/>
            <w:vAlign w:val="center"/>
          </w:tcPr>
          <w:p w14:paraId="5A701D1B">
            <w:pPr>
              <w:jc w:val="center"/>
              <w:rPr>
                <w:color w:val="000000"/>
                <w:sz w:val="22"/>
                <w:szCs w:val="22"/>
              </w:rPr>
            </w:pPr>
            <w:r>
              <w:rPr>
                <w:color w:val="000000"/>
                <w:sz w:val="22"/>
                <w:szCs w:val="22"/>
              </w:rPr>
              <w:t>190</w:t>
            </w:r>
          </w:p>
        </w:tc>
        <w:tc>
          <w:tcPr>
            <w:tcW w:w="0" w:type="auto"/>
            <w:noWrap w:val="0"/>
            <w:vAlign w:val="center"/>
          </w:tcPr>
          <w:p w14:paraId="62E647F8">
            <w:pPr>
              <w:jc w:val="center"/>
              <w:rPr>
                <w:color w:val="000000"/>
                <w:sz w:val="22"/>
                <w:szCs w:val="22"/>
              </w:rPr>
            </w:pPr>
            <w:r>
              <w:rPr>
                <w:color w:val="000000"/>
                <w:sz w:val="22"/>
                <w:szCs w:val="22"/>
              </w:rPr>
              <w:t>12.67</w:t>
            </w:r>
          </w:p>
        </w:tc>
      </w:tr>
      <w:tr w14:paraId="6DF8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542DA1B0">
            <w:pPr>
              <w:pStyle w:val="20"/>
              <w:jc w:val="center"/>
              <w:rPr>
                <w:rFonts w:ascii="Times New Roman" w:hAnsi="Times New Roman" w:eastAsia="楷体_GB2312"/>
                <w:sz w:val="24"/>
                <w:szCs w:val="24"/>
              </w:rPr>
            </w:pPr>
            <w:r>
              <w:rPr>
                <w:rFonts w:ascii="Times New Roman" w:hAnsi="Times New Roman" w:eastAsia="楷体_GB2312"/>
                <w:sz w:val="24"/>
                <w:szCs w:val="24"/>
              </w:rPr>
              <w:t>3</w:t>
            </w:r>
          </w:p>
        </w:tc>
        <w:tc>
          <w:tcPr>
            <w:tcW w:w="0" w:type="auto"/>
            <w:vMerge w:val="restart"/>
            <w:noWrap w:val="0"/>
            <w:vAlign w:val="center"/>
          </w:tcPr>
          <w:p w14:paraId="0FFB61F0">
            <w:pPr>
              <w:pStyle w:val="20"/>
              <w:jc w:val="center"/>
              <w:rPr>
                <w:rFonts w:ascii="Times New Roman" w:hAnsi="Times New Roman" w:eastAsia="楷体_GB2312"/>
                <w:sz w:val="24"/>
                <w:szCs w:val="24"/>
              </w:rPr>
            </w:pPr>
            <w:r>
              <w:rPr>
                <w:rFonts w:ascii="Times New Roman" w:hAnsi="Times New Roman" w:eastAsia="楷体_GB2312"/>
                <w:sz w:val="24"/>
                <w:szCs w:val="24"/>
              </w:rPr>
              <w:t>蕲县镇</w:t>
            </w:r>
          </w:p>
        </w:tc>
        <w:tc>
          <w:tcPr>
            <w:tcW w:w="0" w:type="auto"/>
            <w:noWrap w:val="0"/>
            <w:vAlign w:val="center"/>
          </w:tcPr>
          <w:p w14:paraId="11CA00ED">
            <w:pPr>
              <w:pStyle w:val="20"/>
              <w:jc w:val="center"/>
              <w:rPr>
                <w:rFonts w:ascii="Times New Roman" w:hAnsi="Times New Roman" w:eastAsia="楷体_GB2312"/>
                <w:sz w:val="24"/>
                <w:szCs w:val="24"/>
              </w:rPr>
            </w:pPr>
            <w:r>
              <w:rPr>
                <w:rFonts w:ascii="Times New Roman" w:hAnsi="Times New Roman" w:eastAsia="楷体_GB2312"/>
                <w:sz w:val="24"/>
                <w:szCs w:val="24"/>
              </w:rPr>
              <w:t>1</w:t>
            </w:r>
          </w:p>
        </w:tc>
        <w:tc>
          <w:tcPr>
            <w:tcW w:w="0" w:type="auto"/>
            <w:noWrap/>
            <w:vAlign w:val="center"/>
          </w:tcPr>
          <w:p w14:paraId="1FA18CED">
            <w:pPr>
              <w:jc w:val="center"/>
              <w:rPr>
                <w:color w:val="000000"/>
                <w:sz w:val="22"/>
                <w:szCs w:val="22"/>
              </w:rPr>
            </w:pPr>
            <w:r>
              <w:rPr>
                <w:color w:val="000000"/>
                <w:sz w:val="22"/>
                <w:szCs w:val="22"/>
              </w:rPr>
              <w:t>410</w:t>
            </w:r>
          </w:p>
        </w:tc>
        <w:tc>
          <w:tcPr>
            <w:tcW w:w="0" w:type="auto"/>
            <w:noWrap w:val="0"/>
            <w:vAlign w:val="center"/>
          </w:tcPr>
          <w:p w14:paraId="79F5476A">
            <w:pPr>
              <w:jc w:val="center"/>
              <w:rPr>
                <w:color w:val="000000"/>
                <w:sz w:val="22"/>
                <w:szCs w:val="22"/>
              </w:rPr>
            </w:pPr>
            <w:r>
              <w:rPr>
                <w:color w:val="000000"/>
                <w:sz w:val="22"/>
                <w:szCs w:val="22"/>
              </w:rPr>
              <w:t>27.33</w:t>
            </w:r>
          </w:p>
        </w:tc>
        <w:tc>
          <w:tcPr>
            <w:tcW w:w="0" w:type="auto"/>
            <w:noWrap/>
            <w:vAlign w:val="center"/>
          </w:tcPr>
          <w:p w14:paraId="487C6740">
            <w:pPr>
              <w:jc w:val="center"/>
              <w:rPr>
                <w:color w:val="000000"/>
                <w:sz w:val="22"/>
                <w:szCs w:val="22"/>
              </w:rPr>
            </w:pPr>
            <w:r>
              <w:rPr>
                <w:color w:val="000000"/>
                <w:sz w:val="22"/>
                <w:szCs w:val="22"/>
              </w:rPr>
              <w:t>390</w:t>
            </w:r>
          </w:p>
        </w:tc>
        <w:tc>
          <w:tcPr>
            <w:tcW w:w="0" w:type="auto"/>
            <w:noWrap w:val="0"/>
            <w:vAlign w:val="center"/>
          </w:tcPr>
          <w:p w14:paraId="373FE776">
            <w:pPr>
              <w:jc w:val="center"/>
              <w:rPr>
                <w:color w:val="000000"/>
                <w:sz w:val="22"/>
                <w:szCs w:val="22"/>
              </w:rPr>
            </w:pPr>
            <w:r>
              <w:rPr>
                <w:color w:val="000000"/>
                <w:sz w:val="22"/>
                <w:szCs w:val="22"/>
              </w:rPr>
              <w:t>26.00</w:t>
            </w:r>
          </w:p>
        </w:tc>
        <w:tc>
          <w:tcPr>
            <w:tcW w:w="0" w:type="auto"/>
            <w:noWrap/>
            <w:vAlign w:val="center"/>
          </w:tcPr>
          <w:p w14:paraId="76818F5F">
            <w:pPr>
              <w:jc w:val="center"/>
              <w:rPr>
                <w:color w:val="000000"/>
                <w:sz w:val="22"/>
                <w:szCs w:val="22"/>
              </w:rPr>
            </w:pPr>
            <w:r>
              <w:rPr>
                <w:color w:val="000000"/>
                <w:sz w:val="22"/>
                <w:szCs w:val="22"/>
              </w:rPr>
              <w:t>370</w:t>
            </w:r>
          </w:p>
        </w:tc>
        <w:tc>
          <w:tcPr>
            <w:tcW w:w="0" w:type="auto"/>
            <w:noWrap w:val="0"/>
            <w:vAlign w:val="center"/>
          </w:tcPr>
          <w:p w14:paraId="45948A51">
            <w:pPr>
              <w:jc w:val="center"/>
              <w:rPr>
                <w:color w:val="000000"/>
                <w:sz w:val="22"/>
                <w:szCs w:val="22"/>
              </w:rPr>
            </w:pPr>
            <w:r>
              <w:rPr>
                <w:color w:val="000000"/>
                <w:sz w:val="22"/>
                <w:szCs w:val="22"/>
              </w:rPr>
              <w:t>24.67</w:t>
            </w:r>
          </w:p>
        </w:tc>
        <w:tc>
          <w:tcPr>
            <w:tcW w:w="0" w:type="auto"/>
            <w:noWrap w:val="0"/>
            <w:vAlign w:val="center"/>
          </w:tcPr>
          <w:p w14:paraId="5A64DE6E">
            <w:pPr>
              <w:jc w:val="center"/>
              <w:rPr>
                <w:color w:val="000000"/>
                <w:sz w:val="22"/>
                <w:szCs w:val="22"/>
              </w:rPr>
            </w:pPr>
            <w:r>
              <w:rPr>
                <w:color w:val="000000"/>
                <w:sz w:val="22"/>
                <w:szCs w:val="22"/>
              </w:rPr>
              <w:t>360</w:t>
            </w:r>
          </w:p>
        </w:tc>
        <w:tc>
          <w:tcPr>
            <w:tcW w:w="0" w:type="auto"/>
            <w:noWrap w:val="0"/>
            <w:vAlign w:val="center"/>
          </w:tcPr>
          <w:p w14:paraId="007C5626">
            <w:pPr>
              <w:jc w:val="center"/>
              <w:rPr>
                <w:color w:val="000000"/>
                <w:sz w:val="22"/>
                <w:szCs w:val="22"/>
              </w:rPr>
            </w:pPr>
            <w:r>
              <w:rPr>
                <w:color w:val="000000"/>
                <w:sz w:val="22"/>
                <w:szCs w:val="22"/>
              </w:rPr>
              <w:t>24.00</w:t>
            </w:r>
          </w:p>
        </w:tc>
        <w:tc>
          <w:tcPr>
            <w:tcW w:w="0" w:type="auto"/>
            <w:noWrap w:val="0"/>
            <w:vAlign w:val="center"/>
          </w:tcPr>
          <w:p w14:paraId="6A4C41EA">
            <w:pPr>
              <w:jc w:val="center"/>
              <w:rPr>
                <w:color w:val="000000"/>
                <w:sz w:val="22"/>
                <w:szCs w:val="22"/>
              </w:rPr>
            </w:pPr>
            <w:r>
              <w:rPr>
                <w:color w:val="000000"/>
                <w:sz w:val="22"/>
                <w:szCs w:val="22"/>
              </w:rPr>
              <w:t>350</w:t>
            </w:r>
          </w:p>
        </w:tc>
        <w:tc>
          <w:tcPr>
            <w:tcW w:w="0" w:type="auto"/>
            <w:noWrap w:val="0"/>
            <w:vAlign w:val="center"/>
          </w:tcPr>
          <w:p w14:paraId="65062D49">
            <w:pPr>
              <w:jc w:val="center"/>
              <w:rPr>
                <w:color w:val="000000"/>
                <w:sz w:val="22"/>
                <w:szCs w:val="22"/>
              </w:rPr>
            </w:pPr>
            <w:r>
              <w:rPr>
                <w:color w:val="000000"/>
                <w:sz w:val="22"/>
                <w:szCs w:val="22"/>
              </w:rPr>
              <w:t>23.33</w:t>
            </w:r>
          </w:p>
        </w:tc>
        <w:tc>
          <w:tcPr>
            <w:tcW w:w="0" w:type="auto"/>
            <w:noWrap w:val="0"/>
            <w:vAlign w:val="center"/>
          </w:tcPr>
          <w:p w14:paraId="0FD2CE4C">
            <w:pPr>
              <w:jc w:val="center"/>
              <w:rPr>
                <w:color w:val="000000"/>
                <w:sz w:val="22"/>
                <w:szCs w:val="22"/>
              </w:rPr>
            </w:pPr>
            <w:r>
              <w:rPr>
                <w:color w:val="000000"/>
                <w:sz w:val="22"/>
                <w:szCs w:val="22"/>
              </w:rPr>
              <w:t>330</w:t>
            </w:r>
          </w:p>
        </w:tc>
        <w:tc>
          <w:tcPr>
            <w:tcW w:w="0" w:type="auto"/>
            <w:noWrap w:val="0"/>
            <w:vAlign w:val="center"/>
          </w:tcPr>
          <w:p w14:paraId="5CD0859F">
            <w:pPr>
              <w:jc w:val="center"/>
              <w:rPr>
                <w:color w:val="000000"/>
                <w:sz w:val="22"/>
                <w:szCs w:val="22"/>
              </w:rPr>
            </w:pPr>
            <w:r>
              <w:rPr>
                <w:color w:val="000000"/>
                <w:sz w:val="22"/>
                <w:szCs w:val="22"/>
              </w:rPr>
              <w:t>22.00</w:t>
            </w:r>
          </w:p>
        </w:tc>
      </w:tr>
      <w:tr w14:paraId="6701E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6F93150C">
            <w:pPr>
              <w:pStyle w:val="20"/>
              <w:jc w:val="center"/>
              <w:rPr>
                <w:rFonts w:ascii="Times New Roman" w:hAnsi="Times New Roman" w:eastAsia="楷体_GB2312"/>
                <w:sz w:val="24"/>
                <w:szCs w:val="24"/>
              </w:rPr>
            </w:pPr>
          </w:p>
        </w:tc>
        <w:tc>
          <w:tcPr>
            <w:tcW w:w="0" w:type="auto"/>
            <w:vMerge w:val="continue"/>
            <w:noWrap w:val="0"/>
            <w:vAlign w:val="center"/>
          </w:tcPr>
          <w:p w14:paraId="6918F1A8">
            <w:pPr>
              <w:pStyle w:val="20"/>
              <w:jc w:val="center"/>
              <w:rPr>
                <w:rFonts w:ascii="Times New Roman" w:hAnsi="Times New Roman" w:eastAsia="楷体_GB2312"/>
                <w:sz w:val="24"/>
                <w:szCs w:val="24"/>
              </w:rPr>
            </w:pPr>
          </w:p>
        </w:tc>
        <w:tc>
          <w:tcPr>
            <w:tcW w:w="0" w:type="auto"/>
            <w:noWrap w:val="0"/>
            <w:vAlign w:val="center"/>
          </w:tcPr>
          <w:p w14:paraId="2D176F97">
            <w:pPr>
              <w:pStyle w:val="20"/>
              <w:jc w:val="center"/>
              <w:rPr>
                <w:rFonts w:ascii="Times New Roman" w:hAnsi="Times New Roman" w:eastAsia="楷体_GB2312"/>
                <w:sz w:val="24"/>
                <w:szCs w:val="24"/>
              </w:rPr>
            </w:pPr>
            <w:r>
              <w:rPr>
                <w:rFonts w:ascii="Times New Roman" w:hAnsi="Times New Roman" w:eastAsia="楷体_GB2312"/>
                <w:sz w:val="24"/>
                <w:szCs w:val="24"/>
              </w:rPr>
              <w:t>2</w:t>
            </w:r>
          </w:p>
        </w:tc>
        <w:tc>
          <w:tcPr>
            <w:tcW w:w="0" w:type="auto"/>
            <w:noWrap/>
            <w:vAlign w:val="center"/>
          </w:tcPr>
          <w:p w14:paraId="79BC9BEC">
            <w:pPr>
              <w:jc w:val="center"/>
              <w:rPr>
                <w:color w:val="000000"/>
                <w:sz w:val="22"/>
                <w:szCs w:val="22"/>
              </w:rPr>
            </w:pPr>
            <w:r>
              <w:rPr>
                <w:color w:val="000000"/>
                <w:sz w:val="22"/>
                <w:szCs w:val="22"/>
              </w:rPr>
              <w:t>300</w:t>
            </w:r>
          </w:p>
        </w:tc>
        <w:tc>
          <w:tcPr>
            <w:tcW w:w="0" w:type="auto"/>
            <w:noWrap w:val="0"/>
            <w:vAlign w:val="center"/>
          </w:tcPr>
          <w:p w14:paraId="27A2DF56">
            <w:pPr>
              <w:jc w:val="center"/>
              <w:rPr>
                <w:color w:val="000000"/>
                <w:sz w:val="22"/>
                <w:szCs w:val="22"/>
              </w:rPr>
            </w:pPr>
            <w:r>
              <w:rPr>
                <w:color w:val="000000"/>
                <w:sz w:val="22"/>
                <w:szCs w:val="22"/>
              </w:rPr>
              <w:t>20.00</w:t>
            </w:r>
          </w:p>
        </w:tc>
        <w:tc>
          <w:tcPr>
            <w:tcW w:w="0" w:type="auto"/>
            <w:noWrap/>
            <w:vAlign w:val="center"/>
          </w:tcPr>
          <w:p w14:paraId="2DE7D0C0">
            <w:pPr>
              <w:jc w:val="center"/>
              <w:rPr>
                <w:color w:val="000000"/>
                <w:sz w:val="22"/>
                <w:szCs w:val="22"/>
              </w:rPr>
            </w:pPr>
            <w:r>
              <w:rPr>
                <w:color w:val="000000"/>
                <w:sz w:val="22"/>
                <w:szCs w:val="22"/>
              </w:rPr>
              <w:t>280</w:t>
            </w:r>
          </w:p>
        </w:tc>
        <w:tc>
          <w:tcPr>
            <w:tcW w:w="0" w:type="auto"/>
            <w:noWrap w:val="0"/>
            <w:vAlign w:val="center"/>
          </w:tcPr>
          <w:p w14:paraId="3553A22E">
            <w:pPr>
              <w:jc w:val="center"/>
              <w:rPr>
                <w:color w:val="000000"/>
                <w:sz w:val="22"/>
                <w:szCs w:val="22"/>
              </w:rPr>
            </w:pPr>
            <w:r>
              <w:rPr>
                <w:color w:val="000000"/>
                <w:sz w:val="22"/>
                <w:szCs w:val="22"/>
              </w:rPr>
              <w:t>18.67</w:t>
            </w:r>
          </w:p>
        </w:tc>
        <w:tc>
          <w:tcPr>
            <w:tcW w:w="0" w:type="auto"/>
            <w:noWrap/>
            <w:vAlign w:val="center"/>
          </w:tcPr>
          <w:p w14:paraId="2C936D8D">
            <w:pPr>
              <w:jc w:val="center"/>
              <w:rPr>
                <w:color w:val="000000"/>
                <w:sz w:val="22"/>
                <w:szCs w:val="22"/>
              </w:rPr>
            </w:pPr>
            <w:r>
              <w:rPr>
                <w:color w:val="000000"/>
                <w:sz w:val="22"/>
                <w:szCs w:val="22"/>
              </w:rPr>
              <w:t>270</w:t>
            </w:r>
          </w:p>
        </w:tc>
        <w:tc>
          <w:tcPr>
            <w:tcW w:w="0" w:type="auto"/>
            <w:noWrap w:val="0"/>
            <w:vAlign w:val="center"/>
          </w:tcPr>
          <w:p w14:paraId="0D04A9A7">
            <w:pPr>
              <w:jc w:val="center"/>
              <w:rPr>
                <w:color w:val="000000"/>
                <w:sz w:val="22"/>
                <w:szCs w:val="22"/>
              </w:rPr>
            </w:pPr>
            <w:r>
              <w:rPr>
                <w:color w:val="000000"/>
                <w:sz w:val="22"/>
                <w:szCs w:val="22"/>
              </w:rPr>
              <w:t>18.00</w:t>
            </w:r>
          </w:p>
        </w:tc>
        <w:tc>
          <w:tcPr>
            <w:tcW w:w="0" w:type="auto"/>
            <w:noWrap w:val="0"/>
            <w:vAlign w:val="center"/>
          </w:tcPr>
          <w:p w14:paraId="02174178">
            <w:pPr>
              <w:jc w:val="center"/>
              <w:rPr>
                <w:color w:val="000000"/>
                <w:sz w:val="22"/>
                <w:szCs w:val="22"/>
              </w:rPr>
            </w:pPr>
            <w:r>
              <w:rPr>
                <w:color w:val="000000"/>
                <w:sz w:val="22"/>
                <w:szCs w:val="22"/>
              </w:rPr>
              <w:t>260</w:t>
            </w:r>
          </w:p>
        </w:tc>
        <w:tc>
          <w:tcPr>
            <w:tcW w:w="0" w:type="auto"/>
            <w:noWrap w:val="0"/>
            <w:vAlign w:val="center"/>
          </w:tcPr>
          <w:p w14:paraId="7DC9039B">
            <w:pPr>
              <w:jc w:val="center"/>
              <w:rPr>
                <w:color w:val="000000"/>
                <w:sz w:val="22"/>
                <w:szCs w:val="22"/>
              </w:rPr>
            </w:pPr>
            <w:r>
              <w:rPr>
                <w:color w:val="000000"/>
                <w:sz w:val="22"/>
                <w:szCs w:val="22"/>
              </w:rPr>
              <w:t>17.33</w:t>
            </w:r>
          </w:p>
        </w:tc>
        <w:tc>
          <w:tcPr>
            <w:tcW w:w="0" w:type="auto"/>
            <w:noWrap w:val="0"/>
            <w:vAlign w:val="center"/>
          </w:tcPr>
          <w:p w14:paraId="71C5DEC9">
            <w:pPr>
              <w:jc w:val="center"/>
              <w:rPr>
                <w:color w:val="000000"/>
                <w:sz w:val="22"/>
                <w:szCs w:val="22"/>
              </w:rPr>
            </w:pPr>
            <w:r>
              <w:rPr>
                <w:color w:val="000000"/>
                <w:sz w:val="22"/>
                <w:szCs w:val="22"/>
              </w:rPr>
              <w:t>250</w:t>
            </w:r>
          </w:p>
        </w:tc>
        <w:tc>
          <w:tcPr>
            <w:tcW w:w="0" w:type="auto"/>
            <w:noWrap w:val="0"/>
            <w:vAlign w:val="center"/>
          </w:tcPr>
          <w:p w14:paraId="4DEB3DF9">
            <w:pPr>
              <w:jc w:val="center"/>
              <w:rPr>
                <w:color w:val="000000"/>
                <w:sz w:val="22"/>
                <w:szCs w:val="22"/>
              </w:rPr>
            </w:pPr>
            <w:r>
              <w:rPr>
                <w:color w:val="000000"/>
                <w:sz w:val="22"/>
                <w:szCs w:val="22"/>
              </w:rPr>
              <w:t>16.67</w:t>
            </w:r>
          </w:p>
        </w:tc>
        <w:tc>
          <w:tcPr>
            <w:tcW w:w="0" w:type="auto"/>
            <w:noWrap w:val="0"/>
            <w:vAlign w:val="center"/>
          </w:tcPr>
          <w:p w14:paraId="1EB49EE6">
            <w:pPr>
              <w:jc w:val="center"/>
              <w:rPr>
                <w:color w:val="000000"/>
                <w:sz w:val="22"/>
                <w:szCs w:val="22"/>
              </w:rPr>
            </w:pPr>
            <w:r>
              <w:rPr>
                <w:color w:val="000000"/>
                <w:sz w:val="22"/>
                <w:szCs w:val="22"/>
              </w:rPr>
              <w:t>230</w:t>
            </w:r>
          </w:p>
        </w:tc>
        <w:tc>
          <w:tcPr>
            <w:tcW w:w="0" w:type="auto"/>
            <w:noWrap w:val="0"/>
            <w:vAlign w:val="center"/>
          </w:tcPr>
          <w:p w14:paraId="29252B7A">
            <w:pPr>
              <w:jc w:val="center"/>
              <w:rPr>
                <w:color w:val="000000"/>
                <w:sz w:val="22"/>
                <w:szCs w:val="22"/>
              </w:rPr>
            </w:pPr>
            <w:r>
              <w:rPr>
                <w:color w:val="000000"/>
                <w:sz w:val="22"/>
                <w:szCs w:val="22"/>
              </w:rPr>
              <w:t>15.33</w:t>
            </w:r>
          </w:p>
        </w:tc>
      </w:tr>
      <w:tr w14:paraId="4717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7D6B4ED4">
            <w:pPr>
              <w:pStyle w:val="20"/>
              <w:jc w:val="center"/>
              <w:rPr>
                <w:rFonts w:ascii="Times New Roman" w:hAnsi="Times New Roman" w:eastAsia="楷体_GB2312"/>
                <w:sz w:val="24"/>
                <w:szCs w:val="24"/>
              </w:rPr>
            </w:pPr>
          </w:p>
        </w:tc>
        <w:tc>
          <w:tcPr>
            <w:tcW w:w="0" w:type="auto"/>
            <w:vMerge w:val="continue"/>
            <w:noWrap w:val="0"/>
            <w:vAlign w:val="center"/>
          </w:tcPr>
          <w:p w14:paraId="148C27F7">
            <w:pPr>
              <w:pStyle w:val="20"/>
              <w:jc w:val="center"/>
              <w:rPr>
                <w:rFonts w:ascii="Times New Roman" w:hAnsi="Times New Roman" w:eastAsia="楷体_GB2312"/>
                <w:sz w:val="24"/>
                <w:szCs w:val="24"/>
              </w:rPr>
            </w:pPr>
          </w:p>
        </w:tc>
        <w:tc>
          <w:tcPr>
            <w:tcW w:w="0" w:type="auto"/>
            <w:noWrap w:val="0"/>
            <w:vAlign w:val="center"/>
          </w:tcPr>
          <w:p w14:paraId="6269B8DF">
            <w:pPr>
              <w:pStyle w:val="20"/>
              <w:jc w:val="center"/>
              <w:rPr>
                <w:rFonts w:ascii="Times New Roman" w:hAnsi="Times New Roman" w:eastAsia="楷体_GB2312"/>
                <w:sz w:val="24"/>
                <w:szCs w:val="24"/>
              </w:rPr>
            </w:pPr>
            <w:r>
              <w:rPr>
                <w:rFonts w:ascii="Times New Roman" w:hAnsi="Times New Roman" w:eastAsia="楷体_GB2312"/>
                <w:sz w:val="24"/>
                <w:szCs w:val="24"/>
              </w:rPr>
              <w:t>3</w:t>
            </w:r>
          </w:p>
        </w:tc>
        <w:tc>
          <w:tcPr>
            <w:tcW w:w="0" w:type="auto"/>
            <w:noWrap/>
            <w:vAlign w:val="center"/>
          </w:tcPr>
          <w:p w14:paraId="6EB80B36">
            <w:pPr>
              <w:jc w:val="center"/>
              <w:rPr>
                <w:color w:val="000000"/>
                <w:sz w:val="22"/>
                <w:szCs w:val="22"/>
              </w:rPr>
            </w:pPr>
            <w:r>
              <w:rPr>
                <w:color w:val="000000"/>
                <w:sz w:val="22"/>
                <w:szCs w:val="22"/>
              </w:rPr>
              <w:t>225</w:t>
            </w:r>
          </w:p>
        </w:tc>
        <w:tc>
          <w:tcPr>
            <w:tcW w:w="0" w:type="auto"/>
            <w:noWrap w:val="0"/>
            <w:vAlign w:val="center"/>
          </w:tcPr>
          <w:p w14:paraId="27A5D8A9">
            <w:pPr>
              <w:jc w:val="center"/>
              <w:rPr>
                <w:color w:val="000000"/>
                <w:sz w:val="22"/>
                <w:szCs w:val="22"/>
              </w:rPr>
            </w:pPr>
            <w:r>
              <w:rPr>
                <w:color w:val="000000"/>
                <w:sz w:val="22"/>
                <w:szCs w:val="22"/>
              </w:rPr>
              <w:t>15.00</w:t>
            </w:r>
          </w:p>
        </w:tc>
        <w:tc>
          <w:tcPr>
            <w:tcW w:w="0" w:type="auto"/>
            <w:noWrap/>
            <w:vAlign w:val="center"/>
          </w:tcPr>
          <w:p w14:paraId="0FD9FF58">
            <w:pPr>
              <w:jc w:val="center"/>
              <w:rPr>
                <w:color w:val="000000"/>
                <w:sz w:val="22"/>
                <w:szCs w:val="22"/>
              </w:rPr>
            </w:pPr>
            <w:r>
              <w:rPr>
                <w:color w:val="000000"/>
                <w:sz w:val="22"/>
                <w:szCs w:val="22"/>
              </w:rPr>
              <w:t>215</w:t>
            </w:r>
          </w:p>
        </w:tc>
        <w:tc>
          <w:tcPr>
            <w:tcW w:w="0" w:type="auto"/>
            <w:noWrap w:val="0"/>
            <w:vAlign w:val="center"/>
          </w:tcPr>
          <w:p w14:paraId="38714898">
            <w:pPr>
              <w:jc w:val="center"/>
              <w:rPr>
                <w:color w:val="000000"/>
                <w:sz w:val="22"/>
                <w:szCs w:val="22"/>
              </w:rPr>
            </w:pPr>
            <w:r>
              <w:rPr>
                <w:color w:val="000000"/>
                <w:sz w:val="22"/>
                <w:szCs w:val="22"/>
              </w:rPr>
              <w:t>14.33</w:t>
            </w:r>
          </w:p>
        </w:tc>
        <w:tc>
          <w:tcPr>
            <w:tcW w:w="0" w:type="auto"/>
            <w:noWrap/>
            <w:vAlign w:val="center"/>
          </w:tcPr>
          <w:p w14:paraId="7E0DBC20">
            <w:pPr>
              <w:jc w:val="center"/>
              <w:rPr>
                <w:color w:val="000000"/>
                <w:sz w:val="22"/>
                <w:szCs w:val="22"/>
              </w:rPr>
            </w:pPr>
            <w:r>
              <w:rPr>
                <w:color w:val="000000"/>
                <w:sz w:val="22"/>
                <w:szCs w:val="22"/>
              </w:rPr>
              <w:t>205</w:t>
            </w:r>
          </w:p>
        </w:tc>
        <w:tc>
          <w:tcPr>
            <w:tcW w:w="0" w:type="auto"/>
            <w:noWrap w:val="0"/>
            <w:vAlign w:val="center"/>
          </w:tcPr>
          <w:p w14:paraId="0F5A34E6">
            <w:pPr>
              <w:jc w:val="center"/>
              <w:rPr>
                <w:color w:val="000000"/>
                <w:sz w:val="22"/>
                <w:szCs w:val="22"/>
              </w:rPr>
            </w:pPr>
            <w:r>
              <w:rPr>
                <w:color w:val="000000"/>
                <w:sz w:val="22"/>
                <w:szCs w:val="22"/>
              </w:rPr>
              <w:t>13.67</w:t>
            </w:r>
          </w:p>
        </w:tc>
        <w:tc>
          <w:tcPr>
            <w:tcW w:w="0" w:type="auto"/>
            <w:noWrap w:val="0"/>
            <w:vAlign w:val="center"/>
          </w:tcPr>
          <w:p w14:paraId="6696454C">
            <w:pPr>
              <w:jc w:val="center"/>
              <w:rPr>
                <w:color w:val="000000"/>
                <w:sz w:val="22"/>
                <w:szCs w:val="22"/>
              </w:rPr>
            </w:pPr>
            <w:r>
              <w:rPr>
                <w:color w:val="000000"/>
                <w:sz w:val="22"/>
                <w:szCs w:val="22"/>
              </w:rPr>
              <w:t>200</w:t>
            </w:r>
          </w:p>
        </w:tc>
        <w:tc>
          <w:tcPr>
            <w:tcW w:w="0" w:type="auto"/>
            <w:noWrap w:val="0"/>
            <w:vAlign w:val="center"/>
          </w:tcPr>
          <w:p w14:paraId="51089E16">
            <w:pPr>
              <w:jc w:val="center"/>
              <w:rPr>
                <w:color w:val="000000"/>
                <w:sz w:val="22"/>
                <w:szCs w:val="22"/>
              </w:rPr>
            </w:pPr>
            <w:r>
              <w:rPr>
                <w:color w:val="000000"/>
                <w:sz w:val="22"/>
                <w:szCs w:val="22"/>
              </w:rPr>
              <w:t>13.33</w:t>
            </w:r>
          </w:p>
        </w:tc>
        <w:tc>
          <w:tcPr>
            <w:tcW w:w="0" w:type="auto"/>
            <w:noWrap w:val="0"/>
            <w:vAlign w:val="center"/>
          </w:tcPr>
          <w:p w14:paraId="438CE378">
            <w:pPr>
              <w:jc w:val="center"/>
              <w:rPr>
                <w:color w:val="000000"/>
                <w:sz w:val="22"/>
                <w:szCs w:val="22"/>
              </w:rPr>
            </w:pPr>
            <w:r>
              <w:rPr>
                <w:color w:val="000000"/>
                <w:sz w:val="22"/>
                <w:szCs w:val="22"/>
              </w:rPr>
              <w:t>195</w:t>
            </w:r>
          </w:p>
        </w:tc>
        <w:tc>
          <w:tcPr>
            <w:tcW w:w="0" w:type="auto"/>
            <w:noWrap w:val="0"/>
            <w:vAlign w:val="center"/>
          </w:tcPr>
          <w:p w14:paraId="5FDB9E06">
            <w:pPr>
              <w:jc w:val="center"/>
              <w:rPr>
                <w:color w:val="000000"/>
                <w:sz w:val="22"/>
                <w:szCs w:val="22"/>
              </w:rPr>
            </w:pPr>
            <w:r>
              <w:rPr>
                <w:color w:val="000000"/>
                <w:sz w:val="22"/>
                <w:szCs w:val="22"/>
              </w:rPr>
              <w:t>13.00</w:t>
            </w:r>
          </w:p>
        </w:tc>
        <w:tc>
          <w:tcPr>
            <w:tcW w:w="0" w:type="auto"/>
            <w:noWrap w:val="0"/>
            <w:vAlign w:val="center"/>
          </w:tcPr>
          <w:p w14:paraId="1F23E16C">
            <w:pPr>
              <w:jc w:val="center"/>
              <w:rPr>
                <w:color w:val="000000"/>
                <w:sz w:val="22"/>
                <w:szCs w:val="22"/>
              </w:rPr>
            </w:pPr>
            <w:r>
              <w:rPr>
                <w:color w:val="000000"/>
                <w:sz w:val="22"/>
                <w:szCs w:val="22"/>
              </w:rPr>
              <w:t>190</w:t>
            </w:r>
          </w:p>
        </w:tc>
        <w:tc>
          <w:tcPr>
            <w:tcW w:w="0" w:type="auto"/>
            <w:noWrap w:val="0"/>
            <w:vAlign w:val="center"/>
          </w:tcPr>
          <w:p w14:paraId="00517E65">
            <w:pPr>
              <w:jc w:val="center"/>
              <w:rPr>
                <w:color w:val="000000"/>
                <w:sz w:val="22"/>
                <w:szCs w:val="22"/>
              </w:rPr>
            </w:pPr>
            <w:r>
              <w:rPr>
                <w:color w:val="000000"/>
                <w:sz w:val="22"/>
                <w:szCs w:val="22"/>
              </w:rPr>
              <w:t>12.67</w:t>
            </w:r>
          </w:p>
        </w:tc>
      </w:tr>
      <w:tr w14:paraId="318B6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638FE4DC">
            <w:pPr>
              <w:pStyle w:val="20"/>
              <w:jc w:val="center"/>
              <w:rPr>
                <w:rFonts w:ascii="Times New Roman" w:hAnsi="Times New Roman" w:eastAsia="楷体_GB2312"/>
                <w:sz w:val="24"/>
                <w:szCs w:val="24"/>
              </w:rPr>
            </w:pPr>
            <w:r>
              <w:rPr>
                <w:rFonts w:ascii="Times New Roman" w:hAnsi="Times New Roman" w:eastAsia="楷体_GB2312"/>
                <w:sz w:val="24"/>
                <w:szCs w:val="24"/>
              </w:rPr>
              <w:t>4</w:t>
            </w:r>
          </w:p>
        </w:tc>
        <w:tc>
          <w:tcPr>
            <w:tcW w:w="0" w:type="auto"/>
            <w:vMerge w:val="restart"/>
            <w:noWrap w:val="0"/>
            <w:vAlign w:val="center"/>
          </w:tcPr>
          <w:p w14:paraId="49E64D3D">
            <w:pPr>
              <w:pStyle w:val="20"/>
              <w:jc w:val="center"/>
              <w:rPr>
                <w:rFonts w:ascii="Times New Roman" w:hAnsi="Times New Roman" w:eastAsia="楷体_GB2312"/>
                <w:sz w:val="24"/>
                <w:szCs w:val="24"/>
              </w:rPr>
            </w:pPr>
            <w:r>
              <w:rPr>
                <w:rFonts w:ascii="Times New Roman" w:hAnsi="Times New Roman" w:eastAsia="楷体_GB2312"/>
                <w:sz w:val="24"/>
                <w:szCs w:val="24"/>
              </w:rPr>
              <w:t>芦岭镇</w:t>
            </w:r>
          </w:p>
        </w:tc>
        <w:tc>
          <w:tcPr>
            <w:tcW w:w="0" w:type="auto"/>
            <w:noWrap w:val="0"/>
            <w:vAlign w:val="center"/>
          </w:tcPr>
          <w:p w14:paraId="1C374EF6">
            <w:pPr>
              <w:pStyle w:val="20"/>
              <w:jc w:val="center"/>
              <w:rPr>
                <w:rFonts w:ascii="Times New Roman" w:hAnsi="Times New Roman" w:eastAsia="楷体_GB2312"/>
                <w:sz w:val="24"/>
                <w:szCs w:val="24"/>
              </w:rPr>
            </w:pPr>
            <w:r>
              <w:rPr>
                <w:rFonts w:ascii="Times New Roman" w:hAnsi="Times New Roman" w:eastAsia="楷体_GB2312"/>
                <w:sz w:val="24"/>
                <w:szCs w:val="24"/>
              </w:rPr>
              <w:t>1</w:t>
            </w:r>
          </w:p>
        </w:tc>
        <w:tc>
          <w:tcPr>
            <w:tcW w:w="0" w:type="auto"/>
            <w:noWrap/>
            <w:vAlign w:val="center"/>
          </w:tcPr>
          <w:p w14:paraId="1612037C">
            <w:pPr>
              <w:jc w:val="center"/>
              <w:rPr>
                <w:color w:val="000000"/>
                <w:sz w:val="22"/>
                <w:szCs w:val="22"/>
              </w:rPr>
            </w:pPr>
            <w:r>
              <w:rPr>
                <w:color w:val="000000"/>
                <w:sz w:val="22"/>
                <w:szCs w:val="22"/>
              </w:rPr>
              <w:t>390</w:t>
            </w:r>
          </w:p>
        </w:tc>
        <w:tc>
          <w:tcPr>
            <w:tcW w:w="0" w:type="auto"/>
            <w:noWrap w:val="0"/>
            <w:vAlign w:val="center"/>
          </w:tcPr>
          <w:p w14:paraId="419E5E3D">
            <w:pPr>
              <w:jc w:val="center"/>
              <w:rPr>
                <w:color w:val="000000"/>
                <w:sz w:val="22"/>
                <w:szCs w:val="22"/>
              </w:rPr>
            </w:pPr>
            <w:r>
              <w:rPr>
                <w:color w:val="000000"/>
                <w:sz w:val="22"/>
                <w:szCs w:val="22"/>
              </w:rPr>
              <w:t>26.00</w:t>
            </w:r>
          </w:p>
        </w:tc>
        <w:tc>
          <w:tcPr>
            <w:tcW w:w="0" w:type="auto"/>
            <w:noWrap/>
            <w:vAlign w:val="center"/>
          </w:tcPr>
          <w:p w14:paraId="585D1854">
            <w:pPr>
              <w:jc w:val="center"/>
              <w:rPr>
                <w:color w:val="000000"/>
                <w:sz w:val="22"/>
                <w:szCs w:val="22"/>
              </w:rPr>
            </w:pPr>
            <w:r>
              <w:rPr>
                <w:color w:val="000000"/>
                <w:sz w:val="22"/>
                <w:szCs w:val="22"/>
              </w:rPr>
              <w:t>370</w:t>
            </w:r>
          </w:p>
        </w:tc>
        <w:tc>
          <w:tcPr>
            <w:tcW w:w="0" w:type="auto"/>
            <w:noWrap w:val="0"/>
            <w:vAlign w:val="center"/>
          </w:tcPr>
          <w:p w14:paraId="5E7BCEF1">
            <w:pPr>
              <w:jc w:val="center"/>
              <w:rPr>
                <w:color w:val="000000"/>
                <w:sz w:val="22"/>
                <w:szCs w:val="22"/>
              </w:rPr>
            </w:pPr>
            <w:r>
              <w:rPr>
                <w:color w:val="000000"/>
                <w:sz w:val="22"/>
                <w:szCs w:val="22"/>
              </w:rPr>
              <w:t>24.67</w:t>
            </w:r>
          </w:p>
        </w:tc>
        <w:tc>
          <w:tcPr>
            <w:tcW w:w="0" w:type="auto"/>
            <w:noWrap/>
            <w:vAlign w:val="center"/>
          </w:tcPr>
          <w:p w14:paraId="4490496C">
            <w:pPr>
              <w:jc w:val="center"/>
              <w:rPr>
                <w:color w:val="000000"/>
                <w:sz w:val="22"/>
                <w:szCs w:val="22"/>
              </w:rPr>
            </w:pPr>
            <w:r>
              <w:rPr>
                <w:color w:val="000000"/>
                <w:sz w:val="22"/>
                <w:szCs w:val="22"/>
              </w:rPr>
              <w:t>350</w:t>
            </w:r>
          </w:p>
        </w:tc>
        <w:tc>
          <w:tcPr>
            <w:tcW w:w="0" w:type="auto"/>
            <w:noWrap w:val="0"/>
            <w:vAlign w:val="center"/>
          </w:tcPr>
          <w:p w14:paraId="6B40AE1B">
            <w:pPr>
              <w:jc w:val="center"/>
              <w:rPr>
                <w:color w:val="000000"/>
                <w:sz w:val="22"/>
                <w:szCs w:val="22"/>
              </w:rPr>
            </w:pPr>
            <w:r>
              <w:rPr>
                <w:color w:val="000000"/>
                <w:sz w:val="22"/>
                <w:szCs w:val="22"/>
              </w:rPr>
              <w:t>23.33</w:t>
            </w:r>
          </w:p>
        </w:tc>
        <w:tc>
          <w:tcPr>
            <w:tcW w:w="0" w:type="auto"/>
            <w:noWrap w:val="0"/>
            <w:vAlign w:val="center"/>
          </w:tcPr>
          <w:p w14:paraId="3865EC0C">
            <w:pPr>
              <w:jc w:val="center"/>
              <w:rPr>
                <w:color w:val="000000"/>
                <w:sz w:val="22"/>
                <w:szCs w:val="22"/>
              </w:rPr>
            </w:pPr>
            <w:r>
              <w:rPr>
                <w:color w:val="000000"/>
                <w:sz w:val="22"/>
                <w:szCs w:val="22"/>
              </w:rPr>
              <w:t>340</w:t>
            </w:r>
          </w:p>
        </w:tc>
        <w:tc>
          <w:tcPr>
            <w:tcW w:w="0" w:type="auto"/>
            <w:noWrap w:val="0"/>
            <w:vAlign w:val="center"/>
          </w:tcPr>
          <w:p w14:paraId="53146DD0">
            <w:pPr>
              <w:jc w:val="center"/>
              <w:rPr>
                <w:color w:val="000000"/>
                <w:sz w:val="22"/>
                <w:szCs w:val="22"/>
              </w:rPr>
            </w:pPr>
            <w:r>
              <w:rPr>
                <w:color w:val="000000"/>
                <w:sz w:val="22"/>
                <w:szCs w:val="22"/>
              </w:rPr>
              <w:t>22.67</w:t>
            </w:r>
          </w:p>
        </w:tc>
        <w:tc>
          <w:tcPr>
            <w:tcW w:w="0" w:type="auto"/>
            <w:noWrap w:val="0"/>
            <w:vAlign w:val="center"/>
          </w:tcPr>
          <w:p w14:paraId="7D8ED1ED">
            <w:pPr>
              <w:jc w:val="center"/>
              <w:rPr>
                <w:color w:val="000000"/>
                <w:sz w:val="22"/>
                <w:szCs w:val="22"/>
              </w:rPr>
            </w:pPr>
            <w:r>
              <w:rPr>
                <w:color w:val="000000"/>
                <w:sz w:val="22"/>
                <w:szCs w:val="22"/>
              </w:rPr>
              <w:t>330</w:t>
            </w:r>
          </w:p>
        </w:tc>
        <w:tc>
          <w:tcPr>
            <w:tcW w:w="0" w:type="auto"/>
            <w:noWrap w:val="0"/>
            <w:vAlign w:val="center"/>
          </w:tcPr>
          <w:p w14:paraId="4EE5C6CF">
            <w:pPr>
              <w:jc w:val="center"/>
              <w:rPr>
                <w:color w:val="000000"/>
                <w:sz w:val="22"/>
                <w:szCs w:val="22"/>
              </w:rPr>
            </w:pPr>
            <w:r>
              <w:rPr>
                <w:color w:val="000000"/>
                <w:sz w:val="22"/>
                <w:szCs w:val="22"/>
              </w:rPr>
              <w:t>22.00</w:t>
            </w:r>
          </w:p>
        </w:tc>
        <w:tc>
          <w:tcPr>
            <w:tcW w:w="0" w:type="auto"/>
            <w:noWrap w:val="0"/>
            <w:vAlign w:val="center"/>
          </w:tcPr>
          <w:p w14:paraId="3256B203">
            <w:pPr>
              <w:jc w:val="center"/>
              <w:rPr>
                <w:color w:val="000000"/>
                <w:sz w:val="22"/>
                <w:szCs w:val="22"/>
              </w:rPr>
            </w:pPr>
            <w:r>
              <w:rPr>
                <w:color w:val="000000"/>
                <w:sz w:val="22"/>
                <w:szCs w:val="22"/>
              </w:rPr>
              <w:t>310</w:t>
            </w:r>
          </w:p>
        </w:tc>
        <w:tc>
          <w:tcPr>
            <w:tcW w:w="0" w:type="auto"/>
            <w:noWrap w:val="0"/>
            <w:vAlign w:val="center"/>
          </w:tcPr>
          <w:p w14:paraId="07A5F89D">
            <w:pPr>
              <w:jc w:val="center"/>
              <w:rPr>
                <w:color w:val="000000"/>
                <w:sz w:val="22"/>
                <w:szCs w:val="22"/>
              </w:rPr>
            </w:pPr>
            <w:r>
              <w:rPr>
                <w:color w:val="000000"/>
                <w:sz w:val="22"/>
                <w:szCs w:val="22"/>
              </w:rPr>
              <w:t>20.67</w:t>
            </w:r>
          </w:p>
        </w:tc>
      </w:tr>
      <w:tr w14:paraId="02939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0FDBF0F4">
            <w:pPr>
              <w:pStyle w:val="20"/>
              <w:jc w:val="center"/>
              <w:rPr>
                <w:rFonts w:ascii="Times New Roman" w:hAnsi="Times New Roman" w:eastAsia="楷体_GB2312"/>
                <w:sz w:val="24"/>
                <w:szCs w:val="24"/>
              </w:rPr>
            </w:pPr>
          </w:p>
        </w:tc>
        <w:tc>
          <w:tcPr>
            <w:tcW w:w="0" w:type="auto"/>
            <w:vMerge w:val="continue"/>
            <w:noWrap w:val="0"/>
            <w:vAlign w:val="center"/>
          </w:tcPr>
          <w:p w14:paraId="795F68D6">
            <w:pPr>
              <w:pStyle w:val="20"/>
              <w:jc w:val="center"/>
              <w:rPr>
                <w:rFonts w:ascii="Times New Roman" w:hAnsi="Times New Roman" w:eastAsia="楷体_GB2312"/>
                <w:sz w:val="24"/>
                <w:szCs w:val="24"/>
              </w:rPr>
            </w:pPr>
          </w:p>
        </w:tc>
        <w:tc>
          <w:tcPr>
            <w:tcW w:w="0" w:type="auto"/>
            <w:noWrap w:val="0"/>
            <w:vAlign w:val="center"/>
          </w:tcPr>
          <w:p w14:paraId="545AECCC">
            <w:pPr>
              <w:pStyle w:val="20"/>
              <w:jc w:val="center"/>
              <w:rPr>
                <w:rFonts w:ascii="Times New Roman" w:hAnsi="Times New Roman" w:eastAsia="楷体_GB2312"/>
                <w:sz w:val="24"/>
                <w:szCs w:val="24"/>
              </w:rPr>
            </w:pPr>
            <w:r>
              <w:rPr>
                <w:rFonts w:ascii="Times New Roman" w:hAnsi="Times New Roman" w:eastAsia="楷体_GB2312"/>
                <w:sz w:val="24"/>
                <w:szCs w:val="24"/>
              </w:rPr>
              <w:t>2</w:t>
            </w:r>
          </w:p>
        </w:tc>
        <w:tc>
          <w:tcPr>
            <w:tcW w:w="0" w:type="auto"/>
            <w:noWrap/>
            <w:vAlign w:val="center"/>
          </w:tcPr>
          <w:p w14:paraId="692E7DDA">
            <w:pPr>
              <w:jc w:val="center"/>
              <w:rPr>
                <w:color w:val="000000"/>
                <w:sz w:val="22"/>
                <w:szCs w:val="22"/>
              </w:rPr>
            </w:pPr>
            <w:r>
              <w:rPr>
                <w:color w:val="000000"/>
                <w:sz w:val="22"/>
                <w:szCs w:val="22"/>
              </w:rPr>
              <w:t>295</w:t>
            </w:r>
          </w:p>
        </w:tc>
        <w:tc>
          <w:tcPr>
            <w:tcW w:w="0" w:type="auto"/>
            <w:noWrap w:val="0"/>
            <w:vAlign w:val="center"/>
          </w:tcPr>
          <w:p w14:paraId="45C420D1">
            <w:pPr>
              <w:jc w:val="center"/>
              <w:rPr>
                <w:color w:val="000000"/>
                <w:sz w:val="22"/>
                <w:szCs w:val="22"/>
              </w:rPr>
            </w:pPr>
            <w:r>
              <w:rPr>
                <w:color w:val="000000"/>
                <w:sz w:val="22"/>
                <w:szCs w:val="22"/>
              </w:rPr>
              <w:t>19.67</w:t>
            </w:r>
          </w:p>
        </w:tc>
        <w:tc>
          <w:tcPr>
            <w:tcW w:w="0" w:type="auto"/>
            <w:noWrap/>
            <w:vAlign w:val="center"/>
          </w:tcPr>
          <w:p w14:paraId="23FDAD6A">
            <w:pPr>
              <w:jc w:val="center"/>
              <w:rPr>
                <w:color w:val="000000"/>
                <w:sz w:val="22"/>
                <w:szCs w:val="22"/>
              </w:rPr>
            </w:pPr>
            <w:r>
              <w:rPr>
                <w:color w:val="000000"/>
                <w:sz w:val="22"/>
                <w:szCs w:val="22"/>
              </w:rPr>
              <w:t>285</w:t>
            </w:r>
          </w:p>
        </w:tc>
        <w:tc>
          <w:tcPr>
            <w:tcW w:w="0" w:type="auto"/>
            <w:noWrap w:val="0"/>
            <w:vAlign w:val="center"/>
          </w:tcPr>
          <w:p w14:paraId="78ECA7F1">
            <w:pPr>
              <w:jc w:val="center"/>
              <w:rPr>
                <w:color w:val="000000"/>
                <w:sz w:val="22"/>
                <w:szCs w:val="22"/>
              </w:rPr>
            </w:pPr>
            <w:r>
              <w:rPr>
                <w:color w:val="000000"/>
                <w:sz w:val="22"/>
                <w:szCs w:val="22"/>
              </w:rPr>
              <w:t>19.00</w:t>
            </w:r>
          </w:p>
        </w:tc>
        <w:tc>
          <w:tcPr>
            <w:tcW w:w="0" w:type="auto"/>
            <w:noWrap/>
            <w:vAlign w:val="center"/>
          </w:tcPr>
          <w:p w14:paraId="09BF0E11">
            <w:pPr>
              <w:jc w:val="center"/>
              <w:rPr>
                <w:color w:val="000000"/>
                <w:sz w:val="22"/>
                <w:szCs w:val="22"/>
              </w:rPr>
            </w:pPr>
            <w:r>
              <w:rPr>
                <w:color w:val="000000"/>
                <w:sz w:val="22"/>
                <w:szCs w:val="22"/>
              </w:rPr>
              <w:t>275</w:t>
            </w:r>
          </w:p>
        </w:tc>
        <w:tc>
          <w:tcPr>
            <w:tcW w:w="0" w:type="auto"/>
            <w:noWrap w:val="0"/>
            <w:vAlign w:val="center"/>
          </w:tcPr>
          <w:p w14:paraId="4C20D04A">
            <w:pPr>
              <w:jc w:val="center"/>
              <w:rPr>
                <w:color w:val="000000"/>
                <w:sz w:val="22"/>
                <w:szCs w:val="22"/>
              </w:rPr>
            </w:pPr>
            <w:r>
              <w:rPr>
                <w:color w:val="000000"/>
                <w:sz w:val="22"/>
                <w:szCs w:val="22"/>
              </w:rPr>
              <w:t>18.33</w:t>
            </w:r>
          </w:p>
        </w:tc>
        <w:tc>
          <w:tcPr>
            <w:tcW w:w="0" w:type="auto"/>
            <w:noWrap w:val="0"/>
            <w:vAlign w:val="center"/>
          </w:tcPr>
          <w:p w14:paraId="440F7689">
            <w:pPr>
              <w:jc w:val="center"/>
              <w:rPr>
                <w:color w:val="000000"/>
                <w:sz w:val="22"/>
                <w:szCs w:val="22"/>
              </w:rPr>
            </w:pPr>
            <w:r>
              <w:rPr>
                <w:color w:val="000000"/>
                <w:sz w:val="22"/>
                <w:szCs w:val="22"/>
              </w:rPr>
              <w:t>265</w:t>
            </w:r>
          </w:p>
        </w:tc>
        <w:tc>
          <w:tcPr>
            <w:tcW w:w="0" w:type="auto"/>
            <w:noWrap w:val="0"/>
            <w:vAlign w:val="center"/>
          </w:tcPr>
          <w:p w14:paraId="695557B9">
            <w:pPr>
              <w:jc w:val="center"/>
              <w:rPr>
                <w:color w:val="000000"/>
                <w:sz w:val="22"/>
                <w:szCs w:val="22"/>
              </w:rPr>
            </w:pPr>
            <w:r>
              <w:rPr>
                <w:color w:val="000000"/>
                <w:sz w:val="22"/>
                <w:szCs w:val="22"/>
              </w:rPr>
              <w:t>17.67</w:t>
            </w:r>
          </w:p>
        </w:tc>
        <w:tc>
          <w:tcPr>
            <w:tcW w:w="0" w:type="auto"/>
            <w:noWrap w:val="0"/>
            <w:vAlign w:val="center"/>
          </w:tcPr>
          <w:p w14:paraId="5DEC1995">
            <w:pPr>
              <w:jc w:val="center"/>
              <w:rPr>
                <w:color w:val="000000"/>
                <w:sz w:val="22"/>
                <w:szCs w:val="22"/>
              </w:rPr>
            </w:pPr>
            <w:r>
              <w:rPr>
                <w:color w:val="000000"/>
                <w:sz w:val="22"/>
                <w:szCs w:val="22"/>
              </w:rPr>
              <w:t>255</w:t>
            </w:r>
          </w:p>
        </w:tc>
        <w:tc>
          <w:tcPr>
            <w:tcW w:w="0" w:type="auto"/>
            <w:noWrap w:val="0"/>
            <w:vAlign w:val="center"/>
          </w:tcPr>
          <w:p w14:paraId="158267B3">
            <w:pPr>
              <w:jc w:val="center"/>
              <w:rPr>
                <w:color w:val="000000"/>
                <w:sz w:val="22"/>
                <w:szCs w:val="22"/>
              </w:rPr>
            </w:pPr>
            <w:r>
              <w:rPr>
                <w:color w:val="000000"/>
                <w:sz w:val="22"/>
                <w:szCs w:val="22"/>
              </w:rPr>
              <w:t>17.00</w:t>
            </w:r>
          </w:p>
        </w:tc>
        <w:tc>
          <w:tcPr>
            <w:tcW w:w="0" w:type="auto"/>
            <w:noWrap w:val="0"/>
            <w:vAlign w:val="center"/>
          </w:tcPr>
          <w:p w14:paraId="26AE854F">
            <w:pPr>
              <w:jc w:val="center"/>
              <w:rPr>
                <w:color w:val="000000"/>
                <w:sz w:val="22"/>
                <w:szCs w:val="22"/>
              </w:rPr>
            </w:pPr>
            <w:r>
              <w:rPr>
                <w:color w:val="000000"/>
                <w:sz w:val="22"/>
                <w:szCs w:val="22"/>
              </w:rPr>
              <w:t>245</w:t>
            </w:r>
          </w:p>
        </w:tc>
        <w:tc>
          <w:tcPr>
            <w:tcW w:w="0" w:type="auto"/>
            <w:noWrap w:val="0"/>
            <w:vAlign w:val="center"/>
          </w:tcPr>
          <w:p w14:paraId="2C546FD4">
            <w:pPr>
              <w:jc w:val="center"/>
              <w:rPr>
                <w:color w:val="000000"/>
                <w:sz w:val="22"/>
                <w:szCs w:val="22"/>
              </w:rPr>
            </w:pPr>
            <w:r>
              <w:rPr>
                <w:color w:val="000000"/>
                <w:sz w:val="22"/>
                <w:szCs w:val="22"/>
              </w:rPr>
              <w:t>16.33</w:t>
            </w:r>
          </w:p>
        </w:tc>
      </w:tr>
      <w:tr w14:paraId="5CCF7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592665A5">
            <w:pPr>
              <w:pStyle w:val="20"/>
              <w:jc w:val="center"/>
              <w:rPr>
                <w:rFonts w:ascii="Times New Roman" w:hAnsi="Times New Roman" w:eastAsia="楷体_GB2312"/>
                <w:sz w:val="24"/>
                <w:szCs w:val="24"/>
              </w:rPr>
            </w:pPr>
          </w:p>
        </w:tc>
        <w:tc>
          <w:tcPr>
            <w:tcW w:w="0" w:type="auto"/>
            <w:vMerge w:val="continue"/>
            <w:noWrap w:val="0"/>
            <w:vAlign w:val="center"/>
          </w:tcPr>
          <w:p w14:paraId="106996DD">
            <w:pPr>
              <w:pStyle w:val="20"/>
              <w:jc w:val="center"/>
              <w:rPr>
                <w:rFonts w:ascii="Times New Roman" w:hAnsi="Times New Roman" w:eastAsia="楷体_GB2312"/>
                <w:sz w:val="24"/>
                <w:szCs w:val="24"/>
              </w:rPr>
            </w:pPr>
          </w:p>
        </w:tc>
        <w:tc>
          <w:tcPr>
            <w:tcW w:w="0" w:type="auto"/>
            <w:noWrap w:val="0"/>
            <w:vAlign w:val="center"/>
          </w:tcPr>
          <w:p w14:paraId="05C4D205">
            <w:pPr>
              <w:pStyle w:val="20"/>
              <w:jc w:val="center"/>
              <w:rPr>
                <w:rFonts w:ascii="Times New Roman" w:hAnsi="Times New Roman" w:eastAsia="楷体_GB2312"/>
                <w:sz w:val="24"/>
                <w:szCs w:val="24"/>
              </w:rPr>
            </w:pPr>
            <w:r>
              <w:rPr>
                <w:rFonts w:ascii="Times New Roman" w:hAnsi="Times New Roman" w:eastAsia="楷体_GB2312"/>
                <w:sz w:val="24"/>
                <w:szCs w:val="24"/>
              </w:rPr>
              <w:t>3</w:t>
            </w:r>
          </w:p>
        </w:tc>
        <w:tc>
          <w:tcPr>
            <w:tcW w:w="0" w:type="auto"/>
            <w:noWrap/>
            <w:vAlign w:val="center"/>
          </w:tcPr>
          <w:p w14:paraId="628FE0C6">
            <w:pPr>
              <w:jc w:val="center"/>
              <w:rPr>
                <w:color w:val="000000"/>
                <w:sz w:val="22"/>
                <w:szCs w:val="22"/>
              </w:rPr>
            </w:pPr>
            <w:r>
              <w:rPr>
                <w:color w:val="000000"/>
                <w:sz w:val="22"/>
                <w:szCs w:val="22"/>
              </w:rPr>
              <w:t>215</w:t>
            </w:r>
          </w:p>
        </w:tc>
        <w:tc>
          <w:tcPr>
            <w:tcW w:w="0" w:type="auto"/>
            <w:noWrap w:val="0"/>
            <w:vAlign w:val="center"/>
          </w:tcPr>
          <w:p w14:paraId="7AE64C6F">
            <w:pPr>
              <w:jc w:val="center"/>
              <w:rPr>
                <w:color w:val="000000"/>
                <w:sz w:val="22"/>
                <w:szCs w:val="22"/>
              </w:rPr>
            </w:pPr>
            <w:r>
              <w:rPr>
                <w:color w:val="000000"/>
                <w:sz w:val="22"/>
                <w:szCs w:val="22"/>
              </w:rPr>
              <w:t>14.33</w:t>
            </w:r>
          </w:p>
        </w:tc>
        <w:tc>
          <w:tcPr>
            <w:tcW w:w="0" w:type="auto"/>
            <w:noWrap/>
            <w:vAlign w:val="center"/>
          </w:tcPr>
          <w:p w14:paraId="7AC993FC">
            <w:pPr>
              <w:jc w:val="center"/>
              <w:rPr>
                <w:color w:val="000000"/>
                <w:sz w:val="22"/>
                <w:szCs w:val="22"/>
              </w:rPr>
            </w:pPr>
            <w:r>
              <w:rPr>
                <w:color w:val="000000"/>
                <w:sz w:val="22"/>
                <w:szCs w:val="22"/>
              </w:rPr>
              <w:t>210</w:t>
            </w:r>
          </w:p>
        </w:tc>
        <w:tc>
          <w:tcPr>
            <w:tcW w:w="0" w:type="auto"/>
            <w:noWrap w:val="0"/>
            <w:vAlign w:val="center"/>
          </w:tcPr>
          <w:p w14:paraId="7A7DAF6D">
            <w:pPr>
              <w:jc w:val="center"/>
              <w:rPr>
                <w:color w:val="000000"/>
                <w:sz w:val="22"/>
                <w:szCs w:val="22"/>
              </w:rPr>
            </w:pPr>
            <w:r>
              <w:rPr>
                <w:color w:val="000000"/>
                <w:sz w:val="22"/>
                <w:szCs w:val="22"/>
              </w:rPr>
              <w:t>14.00</w:t>
            </w:r>
          </w:p>
        </w:tc>
        <w:tc>
          <w:tcPr>
            <w:tcW w:w="0" w:type="auto"/>
            <w:noWrap/>
            <w:vAlign w:val="center"/>
          </w:tcPr>
          <w:p w14:paraId="328A697A">
            <w:pPr>
              <w:jc w:val="center"/>
              <w:rPr>
                <w:color w:val="000000"/>
                <w:sz w:val="22"/>
                <w:szCs w:val="22"/>
              </w:rPr>
            </w:pPr>
            <w:r>
              <w:rPr>
                <w:color w:val="000000"/>
                <w:sz w:val="22"/>
                <w:szCs w:val="22"/>
              </w:rPr>
              <w:t>205</w:t>
            </w:r>
          </w:p>
        </w:tc>
        <w:tc>
          <w:tcPr>
            <w:tcW w:w="0" w:type="auto"/>
            <w:noWrap w:val="0"/>
            <w:vAlign w:val="center"/>
          </w:tcPr>
          <w:p w14:paraId="4BF8FBC4">
            <w:pPr>
              <w:jc w:val="center"/>
              <w:rPr>
                <w:color w:val="000000"/>
                <w:sz w:val="22"/>
                <w:szCs w:val="22"/>
              </w:rPr>
            </w:pPr>
            <w:r>
              <w:rPr>
                <w:color w:val="000000"/>
                <w:sz w:val="22"/>
                <w:szCs w:val="22"/>
              </w:rPr>
              <w:t>13.67</w:t>
            </w:r>
          </w:p>
        </w:tc>
        <w:tc>
          <w:tcPr>
            <w:tcW w:w="0" w:type="auto"/>
            <w:noWrap w:val="0"/>
            <w:vAlign w:val="center"/>
          </w:tcPr>
          <w:p w14:paraId="0E7A952E">
            <w:pPr>
              <w:jc w:val="center"/>
              <w:rPr>
                <w:color w:val="000000"/>
                <w:sz w:val="22"/>
                <w:szCs w:val="22"/>
              </w:rPr>
            </w:pPr>
            <w:r>
              <w:rPr>
                <w:color w:val="000000"/>
                <w:sz w:val="22"/>
                <w:szCs w:val="22"/>
              </w:rPr>
              <w:t>200</w:t>
            </w:r>
          </w:p>
        </w:tc>
        <w:tc>
          <w:tcPr>
            <w:tcW w:w="0" w:type="auto"/>
            <w:noWrap w:val="0"/>
            <w:vAlign w:val="center"/>
          </w:tcPr>
          <w:p w14:paraId="73984CE7">
            <w:pPr>
              <w:jc w:val="center"/>
              <w:rPr>
                <w:color w:val="000000"/>
                <w:sz w:val="22"/>
                <w:szCs w:val="22"/>
              </w:rPr>
            </w:pPr>
            <w:r>
              <w:rPr>
                <w:color w:val="000000"/>
                <w:sz w:val="22"/>
                <w:szCs w:val="22"/>
              </w:rPr>
              <w:t>13.33</w:t>
            </w:r>
          </w:p>
        </w:tc>
        <w:tc>
          <w:tcPr>
            <w:tcW w:w="0" w:type="auto"/>
            <w:noWrap w:val="0"/>
            <w:vAlign w:val="center"/>
          </w:tcPr>
          <w:p w14:paraId="4A934F36">
            <w:pPr>
              <w:jc w:val="center"/>
              <w:rPr>
                <w:color w:val="000000"/>
                <w:sz w:val="22"/>
                <w:szCs w:val="22"/>
              </w:rPr>
            </w:pPr>
            <w:r>
              <w:rPr>
                <w:color w:val="000000"/>
                <w:sz w:val="22"/>
                <w:szCs w:val="22"/>
              </w:rPr>
              <w:t>195</w:t>
            </w:r>
          </w:p>
        </w:tc>
        <w:tc>
          <w:tcPr>
            <w:tcW w:w="0" w:type="auto"/>
            <w:noWrap w:val="0"/>
            <w:vAlign w:val="center"/>
          </w:tcPr>
          <w:p w14:paraId="3692C195">
            <w:pPr>
              <w:jc w:val="center"/>
              <w:rPr>
                <w:color w:val="000000"/>
                <w:sz w:val="22"/>
                <w:szCs w:val="22"/>
              </w:rPr>
            </w:pPr>
            <w:r>
              <w:rPr>
                <w:color w:val="000000"/>
                <w:sz w:val="22"/>
                <w:szCs w:val="22"/>
              </w:rPr>
              <w:t>13.00</w:t>
            </w:r>
          </w:p>
        </w:tc>
        <w:tc>
          <w:tcPr>
            <w:tcW w:w="0" w:type="auto"/>
            <w:noWrap w:val="0"/>
            <w:vAlign w:val="center"/>
          </w:tcPr>
          <w:p w14:paraId="74672747">
            <w:pPr>
              <w:jc w:val="center"/>
              <w:rPr>
                <w:color w:val="000000"/>
                <w:sz w:val="22"/>
                <w:szCs w:val="22"/>
              </w:rPr>
            </w:pPr>
            <w:r>
              <w:rPr>
                <w:color w:val="000000"/>
                <w:sz w:val="22"/>
                <w:szCs w:val="22"/>
              </w:rPr>
              <w:t>190</w:t>
            </w:r>
          </w:p>
        </w:tc>
        <w:tc>
          <w:tcPr>
            <w:tcW w:w="0" w:type="auto"/>
            <w:noWrap w:val="0"/>
            <w:vAlign w:val="center"/>
          </w:tcPr>
          <w:p w14:paraId="45589D5D">
            <w:pPr>
              <w:jc w:val="center"/>
              <w:rPr>
                <w:color w:val="000000"/>
                <w:sz w:val="22"/>
                <w:szCs w:val="22"/>
              </w:rPr>
            </w:pPr>
            <w:r>
              <w:rPr>
                <w:color w:val="000000"/>
                <w:sz w:val="22"/>
                <w:szCs w:val="22"/>
              </w:rPr>
              <w:t>12.67</w:t>
            </w:r>
          </w:p>
        </w:tc>
      </w:tr>
      <w:tr w14:paraId="62407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57AF9667">
            <w:pPr>
              <w:pStyle w:val="20"/>
              <w:jc w:val="center"/>
              <w:rPr>
                <w:rFonts w:ascii="Times New Roman" w:hAnsi="Times New Roman" w:eastAsia="楷体_GB2312"/>
                <w:sz w:val="24"/>
                <w:szCs w:val="24"/>
              </w:rPr>
            </w:pPr>
            <w:r>
              <w:rPr>
                <w:rFonts w:ascii="Times New Roman" w:hAnsi="Times New Roman" w:eastAsia="楷体_GB2312"/>
                <w:sz w:val="24"/>
                <w:szCs w:val="24"/>
              </w:rPr>
              <w:t>5</w:t>
            </w:r>
          </w:p>
        </w:tc>
        <w:tc>
          <w:tcPr>
            <w:tcW w:w="0" w:type="auto"/>
            <w:vMerge w:val="restart"/>
            <w:noWrap w:val="0"/>
            <w:vAlign w:val="center"/>
          </w:tcPr>
          <w:p w14:paraId="182D7169">
            <w:pPr>
              <w:pStyle w:val="20"/>
              <w:jc w:val="center"/>
              <w:rPr>
                <w:rFonts w:ascii="Times New Roman" w:hAnsi="Times New Roman" w:eastAsia="楷体_GB2312"/>
                <w:sz w:val="24"/>
                <w:szCs w:val="24"/>
              </w:rPr>
            </w:pPr>
            <w:r>
              <w:rPr>
                <w:rFonts w:ascii="Times New Roman" w:hAnsi="Times New Roman" w:eastAsia="楷体_GB2312"/>
                <w:sz w:val="24"/>
                <w:szCs w:val="24"/>
              </w:rPr>
              <w:t>大店镇</w:t>
            </w:r>
          </w:p>
        </w:tc>
        <w:tc>
          <w:tcPr>
            <w:tcW w:w="0" w:type="auto"/>
            <w:noWrap w:val="0"/>
            <w:vAlign w:val="center"/>
          </w:tcPr>
          <w:p w14:paraId="396D096D">
            <w:pPr>
              <w:pStyle w:val="20"/>
              <w:jc w:val="center"/>
              <w:rPr>
                <w:rFonts w:ascii="Times New Roman" w:hAnsi="Times New Roman" w:eastAsia="楷体_GB2312"/>
                <w:sz w:val="24"/>
                <w:szCs w:val="24"/>
              </w:rPr>
            </w:pPr>
            <w:r>
              <w:rPr>
                <w:rFonts w:ascii="Times New Roman" w:hAnsi="Times New Roman" w:eastAsia="楷体_GB2312"/>
                <w:sz w:val="24"/>
                <w:szCs w:val="24"/>
              </w:rPr>
              <w:t>1</w:t>
            </w:r>
          </w:p>
        </w:tc>
        <w:tc>
          <w:tcPr>
            <w:tcW w:w="0" w:type="auto"/>
            <w:noWrap/>
            <w:vAlign w:val="center"/>
          </w:tcPr>
          <w:p w14:paraId="722084D6">
            <w:pPr>
              <w:jc w:val="center"/>
              <w:rPr>
                <w:color w:val="000000"/>
                <w:sz w:val="22"/>
                <w:szCs w:val="22"/>
              </w:rPr>
            </w:pPr>
            <w:r>
              <w:rPr>
                <w:color w:val="000000"/>
                <w:sz w:val="22"/>
                <w:szCs w:val="22"/>
              </w:rPr>
              <w:t>380</w:t>
            </w:r>
          </w:p>
        </w:tc>
        <w:tc>
          <w:tcPr>
            <w:tcW w:w="0" w:type="auto"/>
            <w:noWrap w:val="0"/>
            <w:vAlign w:val="center"/>
          </w:tcPr>
          <w:p w14:paraId="474FE1AA">
            <w:pPr>
              <w:jc w:val="center"/>
              <w:rPr>
                <w:color w:val="000000"/>
                <w:sz w:val="22"/>
                <w:szCs w:val="22"/>
              </w:rPr>
            </w:pPr>
            <w:r>
              <w:rPr>
                <w:color w:val="000000"/>
                <w:sz w:val="22"/>
                <w:szCs w:val="22"/>
              </w:rPr>
              <w:t>25.33</w:t>
            </w:r>
          </w:p>
        </w:tc>
        <w:tc>
          <w:tcPr>
            <w:tcW w:w="0" w:type="auto"/>
            <w:noWrap/>
            <w:vAlign w:val="center"/>
          </w:tcPr>
          <w:p w14:paraId="54DC2CCD">
            <w:pPr>
              <w:jc w:val="center"/>
              <w:rPr>
                <w:color w:val="000000"/>
                <w:sz w:val="22"/>
                <w:szCs w:val="22"/>
              </w:rPr>
            </w:pPr>
            <w:r>
              <w:rPr>
                <w:color w:val="000000"/>
                <w:sz w:val="22"/>
                <w:szCs w:val="22"/>
              </w:rPr>
              <w:t>360</w:t>
            </w:r>
          </w:p>
        </w:tc>
        <w:tc>
          <w:tcPr>
            <w:tcW w:w="0" w:type="auto"/>
            <w:noWrap w:val="0"/>
            <w:vAlign w:val="center"/>
          </w:tcPr>
          <w:p w14:paraId="6CB89846">
            <w:pPr>
              <w:jc w:val="center"/>
              <w:rPr>
                <w:color w:val="000000"/>
                <w:sz w:val="22"/>
                <w:szCs w:val="22"/>
              </w:rPr>
            </w:pPr>
            <w:r>
              <w:rPr>
                <w:color w:val="000000"/>
                <w:sz w:val="22"/>
                <w:szCs w:val="22"/>
              </w:rPr>
              <w:t>24.00</w:t>
            </w:r>
          </w:p>
        </w:tc>
        <w:tc>
          <w:tcPr>
            <w:tcW w:w="0" w:type="auto"/>
            <w:noWrap/>
            <w:vAlign w:val="center"/>
          </w:tcPr>
          <w:p w14:paraId="10240FB8">
            <w:pPr>
              <w:jc w:val="center"/>
              <w:rPr>
                <w:color w:val="000000"/>
                <w:sz w:val="22"/>
                <w:szCs w:val="22"/>
              </w:rPr>
            </w:pPr>
            <w:r>
              <w:rPr>
                <w:color w:val="000000"/>
                <w:sz w:val="22"/>
                <w:szCs w:val="22"/>
              </w:rPr>
              <w:t>340</w:t>
            </w:r>
          </w:p>
        </w:tc>
        <w:tc>
          <w:tcPr>
            <w:tcW w:w="0" w:type="auto"/>
            <w:noWrap w:val="0"/>
            <w:vAlign w:val="center"/>
          </w:tcPr>
          <w:p w14:paraId="0922CEFE">
            <w:pPr>
              <w:jc w:val="center"/>
              <w:rPr>
                <w:color w:val="000000"/>
                <w:sz w:val="22"/>
                <w:szCs w:val="22"/>
              </w:rPr>
            </w:pPr>
            <w:r>
              <w:rPr>
                <w:color w:val="000000"/>
                <w:sz w:val="22"/>
                <w:szCs w:val="22"/>
              </w:rPr>
              <w:t>22.67</w:t>
            </w:r>
          </w:p>
        </w:tc>
        <w:tc>
          <w:tcPr>
            <w:tcW w:w="0" w:type="auto"/>
            <w:noWrap w:val="0"/>
            <w:vAlign w:val="center"/>
          </w:tcPr>
          <w:p w14:paraId="37FD70A1">
            <w:pPr>
              <w:jc w:val="center"/>
              <w:rPr>
                <w:color w:val="000000"/>
                <w:sz w:val="22"/>
                <w:szCs w:val="22"/>
              </w:rPr>
            </w:pPr>
            <w:r>
              <w:rPr>
                <w:color w:val="000000"/>
                <w:sz w:val="22"/>
                <w:szCs w:val="22"/>
              </w:rPr>
              <w:t>330</w:t>
            </w:r>
          </w:p>
        </w:tc>
        <w:tc>
          <w:tcPr>
            <w:tcW w:w="0" w:type="auto"/>
            <w:noWrap w:val="0"/>
            <w:vAlign w:val="center"/>
          </w:tcPr>
          <w:p w14:paraId="6C3D0C2C">
            <w:pPr>
              <w:jc w:val="center"/>
              <w:rPr>
                <w:color w:val="000000"/>
                <w:sz w:val="22"/>
                <w:szCs w:val="22"/>
              </w:rPr>
            </w:pPr>
            <w:r>
              <w:rPr>
                <w:color w:val="000000"/>
                <w:sz w:val="22"/>
                <w:szCs w:val="22"/>
              </w:rPr>
              <w:t>22.00</w:t>
            </w:r>
          </w:p>
        </w:tc>
        <w:tc>
          <w:tcPr>
            <w:tcW w:w="0" w:type="auto"/>
            <w:noWrap w:val="0"/>
            <w:vAlign w:val="center"/>
          </w:tcPr>
          <w:p w14:paraId="7D7A1643">
            <w:pPr>
              <w:jc w:val="center"/>
              <w:rPr>
                <w:color w:val="000000"/>
                <w:sz w:val="22"/>
                <w:szCs w:val="22"/>
              </w:rPr>
            </w:pPr>
            <w:r>
              <w:rPr>
                <w:color w:val="000000"/>
                <w:sz w:val="22"/>
                <w:szCs w:val="22"/>
              </w:rPr>
              <w:t>320</w:t>
            </w:r>
          </w:p>
        </w:tc>
        <w:tc>
          <w:tcPr>
            <w:tcW w:w="0" w:type="auto"/>
            <w:noWrap w:val="0"/>
            <w:vAlign w:val="center"/>
          </w:tcPr>
          <w:p w14:paraId="7E503488">
            <w:pPr>
              <w:jc w:val="center"/>
              <w:rPr>
                <w:color w:val="000000"/>
                <w:sz w:val="22"/>
                <w:szCs w:val="22"/>
              </w:rPr>
            </w:pPr>
            <w:r>
              <w:rPr>
                <w:color w:val="000000"/>
                <w:sz w:val="22"/>
                <w:szCs w:val="22"/>
              </w:rPr>
              <w:t>21.33</w:t>
            </w:r>
          </w:p>
        </w:tc>
        <w:tc>
          <w:tcPr>
            <w:tcW w:w="0" w:type="auto"/>
            <w:noWrap w:val="0"/>
            <w:vAlign w:val="center"/>
          </w:tcPr>
          <w:p w14:paraId="18B7093F">
            <w:pPr>
              <w:jc w:val="center"/>
              <w:rPr>
                <w:color w:val="000000"/>
                <w:sz w:val="22"/>
                <w:szCs w:val="22"/>
              </w:rPr>
            </w:pPr>
            <w:r>
              <w:rPr>
                <w:color w:val="000000"/>
                <w:sz w:val="22"/>
                <w:szCs w:val="22"/>
              </w:rPr>
              <w:t>300</w:t>
            </w:r>
          </w:p>
        </w:tc>
        <w:tc>
          <w:tcPr>
            <w:tcW w:w="0" w:type="auto"/>
            <w:noWrap w:val="0"/>
            <w:vAlign w:val="center"/>
          </w:tcPr>
          <w:p w14:paraId="378C06B9">
            <w:pPr>
              <w:jc w:val="center"/>
              <w:rPr>
                <w:color w:val="000000"/>
                <w:sz w:val="22"/>
                <w:szCs w:val="22"/>
              </w:rPr>
            </w:pPr>
            <w:r>
              <w:rPr>
                <w:color w:val="000000"/>
                <w:sz w:val="22"/>
                <w:szCs w:val="22"/>
              </w:rPr>
              <w:t>20.00</w:t>
            </w:r>
          </w:p>
        </w:tc>
      </w:tr>
      <w:tr w14:paraId="409F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4CE817E8">
            <w:pPr>
              <w:pStyle w:val="20"/>
              <w:jc w:val="center"/>
              <w:rPr>
                <w:rFonts w:ascii="Times New Roman" w:hAnsi="Times New Roman" w:eastAsia="楷体_GB2312"/>
                <w:sz w:val="24"/>
                <w:szCs w:val="24"/>
              </w:rPr>
            </w:pPr>
          </w:p>
        </w:tc>
        <w:tc>
          <w:tcPr>
            <w:tcW w:w="0" w:type="auto"/>
            <w:vMerge w:val="continue"/>
            <w:noWrap w:val="0"/>
            <w:vAlign w:val="center"/>
          </w:tcPr>
          <w:p w14:paraId="3D98ED50">
            <w:pPr>
              <w:pStyle w:val="20"/>
              <w:jc w:val="center"/>
              <w:rPr>
                <w:rFonts w:ascii="Times New Roman" w:hAnsi="Times New Roman" w:eastAsia="楷体_GB2312"/>
                <w:sz w:val="24"/>
                <w:szCs w:val="24"/>
              </w:rPr>
            </w:pPr>
          </w:p>
        </w:tc>
        <w:tc>
          <w:tcPr>
            <w:tcW w:w="0" w:type="auto"/>
            <w:noWrap w:val="0"/>
            <w:vAlign w:val="center"/>
          </w:tcPr>
          <w:p w14:paraId="72BD19BC">
            <w:pPr>
              <w:pStyle w:val="20"/>
              <w:jc w:val="center"/>
              <w:rPr>
                <w:rFonts w:ascii="Times New Roman" w:hAnsi="Times New Roman" w:eastAsia="楷体_GB2312"/>
                <w:sz w:val="24"/>
                <w:szCs w:val="24"/>
              </w:rPr>
            </w:pPr>
            <w:r>
              <w:rPr>
                <w:rFonts w:ascii="Times New Roman" w:hAnsi="Times New Roman" w:eastAsia="楷体_GB2312"/>
                <w:sz w:val="24"/>
                <w:szCs w:val="24"/>
              </w:rPr>
              <w:t>2</w:t>
            </w:r>
          </w:p>
        </w:tc>
        <w:tc>
          <w:tcPr>
            <w:tcW w:w="0" w:type="auto"/>
            <w:noWrap/>
            <w:vAlign w:val="center"/>
          </w:tcPr>
          <w:p w14:paraId="3837474B">
            <w:pPr>
              <w:jc w:val="center"/>
              <w:rPr>
                <w:color w:val="000000"/>
                <w:sz w:val="22"/>
                <w:szCs w:val="22"/>
              </w:rPr>
            </w:pPr>
            <w:r>
              <w:rPr>
                <w:color w:val="000000"/>
                <w:sz w:val="22"/>
                <w:szCs w:val="22"/>
              </w:rPr>
              <w:t>290</w:t>
            </w:r>
          </w:p>
        </w:tc>
        <w:tc>
          <w:tcPr>
            <w:tcW w:w="0" w:type="auto"/>
            <w:noWrap w:val="0"/>
            <w:vAlign w:val="center"/>
          </w:tcPr>
          <w:p w14:paraId="60610F8B">
            <w:pPr>
              <w:jc w:val="center"/>
              <w:rPr>
                <w:color w:val="000000"/>
                <w:sz w:val="22"/>
                <w:szCs w:val="22"/>
              </w:rPr>
            </w:pPr>
            <w:r>
              <w:rPr>
                <w:color w:val="000000"/>
                <w:sz w:val="22"/>
                <w:szCs w:val="22"/>
              </w:rPr>
              <w:t>19.33</w:t>
            </w:r>
          </w:p>
        </w:tc>
        <w:tc>
          <w:tcPr>
            <w:tcW w:w="0" w:type="auto"/>
            <w:noWrap/>
            <w:vAlign w:val="center"/>
          </w:tcPr>
          <w:p w14:paraId="27AA0DA4">
            <w:pPr>
              <w:jc w:val="center"/>
              <w:rPr>
                <w:color w:val="000000"/>
                <w:sz w:val="22"/>
                <w:szCs w:val="22"/>
              </w:rPr>
            </w:pPr>
            <w:r>
              <w:rPr>
                <w:color w:val="000000"/>
                <w:sz w:val="22"/>
                <w:szCs w:val="22"/>
              </w:rPr>
              <w:t>280</w:t>
            </w:r>
          </w:p>
        </w:tc>
        <w:tc>
          <w:tcPr>
            <w:tcW w:w="0" w:type="auto"/>
            <w:noWrap w:val="0"/>
            <w:vAlign w:val="center"/>
          </w:tcPr>
          <w:p w14:paraId="6615E401">
            <w:pPr>
              <w:jc w:val="center"/>
              <w:rPr>
                <w:color w:val="000000"/>
                <w:sz w:val="22"/>
                <w:szCs w:val="22"/>
              </w:rPr>
            </w:pPr>
            <w:r>
              <w:rPr>
                <w:color w:val="000000"/>
                <w:sz w:val="22"/>
                <w:szCs w:val="22"/>
              </w:rPr>
              <w:t>18.67</w:t>
            </w:r>
          </w:p>
        </w:tc>
        <w:tc>
          <w:tcPr>
            <w:tcW w:w="0" w:type="auto"/>
            <w:noWrap/>
            <w:vAlign w:val="center"/>
          </w:tcPr>
          <w:p w14:paraId="1F36A8B7">
            <w:pPr>
              <w:jc w:val="center"/>
              <w:rPr>
                <w:color w:val="000000"/>
                <w:sz w:val="22"/>
                <w:szCs w:val="22"/>
              </w:rPr>
            </w:pPr>
            <w:r>
              <w:rPr>
                <w:color w:val="000000"/>
                <w:sz w:val="22"/>
                <w:szCs w:val="22"/>
              </w:rPr>
              <w:t>270</w:t>
            </w:r>
          </w:p>
        </w:tc>
        <w:tc>
          <w:tcPr>
            <w:tcW w:w="0" w:type="auto"/>
            <w:noWrap w:val="0"/>
            <w:vAlign w:val="center"/>
          </w:tcPr>
          <w:p w14:paraId="39C6D828">
            <w:pPr>
              <w:jc w:val="center"/>
              <w:rPr>
                <w:color w:val="000000"/>
                <w:sz w:val="22"/>
                <w:szCs w:val="22"/>
              </w:rPr>
            </w:pPr>
            <w:r>
              <w:rPr>
                <w:color w:val="000000"/>
                <w:sz w:val="22"/>
                <w:szCs w:val="22"/>
              </w:rPr>
              <w:t>18.00</w:t>
            </w:r>
          </w:p>
        </w:tc>
        <w:tc>
          <w:tcPr>
            <w:tcW w:w="0" w:type="auto"/>
            <w:noWrap w:val="0"/>
            <w:vAlign w:val="center"/>
          </w:tcPr>
          <w:p w14:paraId="25D7B9CD">
            <w:pPr>
              <w:jc w:val="center"/>
              <w:rPr>
                <w:color w:val="000000"/>
                <w:sz w:val="22"/>
                <w:szCs w:val="22"/>
              </w:rPr>
            </w:pPr>
            <w:r>
              <w:rPr>
                <w:color w:val="000000"/>
                <w:sz w:val="22"/>
                <w:szCs w:val="22"/>
              </w:rPr>
              <w:t>260</w:t>
            </w:r>
          </w:p>
        </w:tc>
        <w:tc>
          <w:tcPr>
            <w:tcW w:w="0" w:type="auto"/>
            <w:noWrap w:val="0"/>
            <w:vAlign w:val="center"/>
          </w:tcPr>
          <w:p w14:paraId="6C1FADAD">
            <w:pPr>
              <w:jc w:val="center"/>
              <w:rPr>
                <w:color w:val="000000"/>
                <w:sz w:val="22"/>
                <w:szCs w:val="22"/>
              </w:rPr>
            </w:pPr>
            <w:r>
              <w:rPr>
                <w:color w:val="000000"/>
                <w:sz w:val="22"/>
                <w:szCs w:val="22"/>
              </w:rPr>
              <w:t>17.33</w:t>
            </w:r>
          </w:p>
        </w:tc>
        <w:tc>
          <w:tcPr>
            <w:tcW w:w="0" w:type="auto"/>
            <w:noWrap w:val="0"/>
            <w:vAlign w:val="center"/>
          </w:tcPr>
          <w:p w14:paraId="66A6DE1C">
            <w:pPr>
              <w:jc w:val="center"/>
              <w:rPr>
                <w:color w:val="000000"/>
                <w:sz w:val="22"/>
                <w:szCs w:val="22"/>
              </w:rPr>
            </w:pPr>
            <w:r>
              <w:rPr>
                <w:color w:val="000000"/>
                <w:sz w:val="22"/>
                <w:szCs w:val="22"/>
              </w:rPr>
              <w:t>250</w:t>
            </w:r>
          </w:p>
        </w:tc>
        <w:tc>
          <w:tcPr>
            <w:tcW w:w="0" w:type="auto"/>
            <w:noWrap w:val="0"/>
            <w:vAlign w:val="center"/>
          </w:tcPr>
          <w:p w14:paraId="49B7AFD0">
            <w:pPr>
              <w:jc w:val="center"/>
              <w:rPr>
                <w:color w:val="000000"/>
                <w:sz w:val="22"/>
                <w:szCs w:val="22"/>
              </w:rPr>
            </w:pPr>
            <w:r>
              <w:rPr>
                <w:color w:val="000000"/>
                <w:sz w:val="22"/>
                <w:szCs w:val="22"/>
              </w:rPr>
              <w:t>16.67</w:t>
            </w:r>
          </w:p>
        </w:tc>
        <w:tc>
          <w:tcPr>
            <w:tcW w:w="0" w:type="auto"/>
            <w:noWrap w:val="0"/>
            <w:vAlign w:val="center"/>
          </w:tcPr>
          <w:p w14:paraId="7C5D3E15">
            <w:pPr>
              <w:jc w:val="center"/>
              <w:rPr>
                <w:color w:val="000000"/>
                <w:sz w:val="22"/>
                <w:szCs w:val="22"/>
              </w:rPr>
            </w:pPr>
            <w:r>
              <w:rPr>
                <w:color w:val="000000"/>
                <w:sz w:val="22"/>
                <w:szCs w:val="22"/>
              </w:rPr>
              <w:t>240</w:t>
            </w:r>
          </w:p>
        </w:tc>
        <w:tc>
          <w:tcPr>
            <w:tcW w:w="0" w:type="auto"/>
            <w:noWrap w:val="0"/>
            <w:vAlign w:val="center"/>
          </w:tcPr>
          <w:p w14:paraId="0222D7A5">
            <w:pPr>
              <w:jc w:val="center"/>
              <w:rPr>
                <w:color w:val="000000"/>
                <w:sz w:val="22"/>
                <w:szCs w:val="22"/>
              </w:rPr>
            </w:pPr>
            <w:r>
              <w:rPr>
                <w:color w:val="000000"/>
                <w:sz w:val="22"/>
                <w:szCs w:val="22"/>
              </w:rPr>
              <w:t>16.00</w:t>
            </w:r>
          </w:p>
        </w:tc>
      </w:tr>
      <w:tr w14:paraId="4FA7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55E8C19C">
            <w:pPr>
              <w:pStyle w:val="20"/>
              <w:jc w:val="center"/>
              <w:rPr>
                <w:rFonts w:ascii="Times New Roman" w:hAnsi="Times New Roman" w:eastAsia="楷体_GB2312"/>
                <w:sz w:val="24"/>
                <w:szCs w:val="24"/>
              </w:rPr>
            </w:pPr>
          </w:p>
        </w:tc>
        <w:tc>
          <w:tcPr>
            <w:tcW w:w="0" w:type="auto"/>
            <w:vMerge w:val="continue"/>
            <w:noWrap w:val="0"/>
            <w:vAlign w:val="center"/>
          </w:tcPr>
          <w:p w14:paraId="1801E43E">
            <w:pPr>
              <w:pStyle w:val="20"/>
              <w:jc w:val="center"/>
              <w:rPr>
                <w:rFonts w:ascii="Times New Roman" w:hAnsi="Times New Roman" w:eastAsia="楷体_GB2312"/>
                <w:sz w:val="24"/>
                <w:szCs w:val="24"/>
              </w:rPr>
            </w:pPr>
          </w:p>
        </w:tc>
        <w:tc>
          <w:tcPr>
            <w:tcW w:w="0" w:type="auto"/>
            <w:noWrap w:val="0"/>
            <w:vAlign w:val="center"/>
          </w:tcPr>
          <w:p w14:paraId="618C859C">
            <w:pPr>
              <w:pStyle w:val="20"/>
              <w:jc w:val="center"/>
              <w:rPr>
                <w:rFonts w:ascii="Times New Roman" w:hAnsi="Times New Roman" w:eastAsia="楷体_GB2312"/>
                <w:sz w:val="24"/>
                <w:szCs w:val="24"/>
              </w:rPr>
            </w:pPr>
            <w:r>
              <w:rPr>
                <w:rFonts w:ascii="Times New Roman" w:hAnsi="Times New Roman" w:eastAsia="楷体_GB2312"/>
                <w:sz w:val="24"/>
                <w:szCs w:val="24"/>
              </w:rPr>
              <w:t>3</w:t>
            </w:r>
          </w:p>
        </w:tc>
        <w:tc>
          <w:tcPr>
            <w:tcW w:w="0" w:type="auto"/>
            <w:noWrap/>
            <w:vAlign w:val="center"/>
          </w:tcPr>
          <w:p w14:paraId="016110A7">
            <w:pPr>
              <w:jc w:val="center"/>
              <w:rPr>
                <w:color w:val="000000"/>
                <w:sz w:val="22"/>
                <w:szCs w:val="22"/>
              </w:rPr>
            </w:pPr>
            <w:r>
              <w:rPr>
                <w:color w:val="000000"/>
                <w:sz w:val="22"/>
                <w:szCs w:val="22"/>
              </w:rPr>
              <w:t>215</w:t>
            </w:r>
          </w:p>
        </w:tc>
        <w:tc>
          <w:tcPr>
            <w:tcW w:w="0" w:type="auto"/>
            <w:noWrap w:val="0"/>
            <w:vAlign w:val="center"/>
          </w:tcPr>
          <w:p w14:paraId="132CEF8F">
            <w:pPr>
              <w:jc w:val="center"/>
              <w:rPr>
                <w:color w:val="000000"/>
                <w:sz w:val="22"/>
                <w:szCs w:val="22"/>
              </w:rPr>
            </w:pPr>
            <w:r>
              <w:rPr>
                <w:color w:val="000000"/>
                <w:sz w:val="22"/>
                <w:szCs w:val="22"/>
              </w:rPr>
              <w:t>14.33</w:t>
            </w:r>
          </w:p>
        </w:tc>
        <w:tc>
          <w:tcPr>
            <w:tcW w:w="0" w:type="auto"/>
            <w:noWrap/>
            <w:vAlign w:val="center"/>
          </w:tcPr>
          <w:p w14:paraId="48DBADF5">
            <w:pPr>
              <w:jc w:val="center"/>
              <w:rPr>
                <w:color w:val="000000"/>
                <w:sz w:val="22"/>
                <w:szCs w:val="22"/>
              </w:rPr>
            </w:pPr>
            <w:r>
              <w:rPr>
                <w:color w:val="000000"/>
                <w:sz w:val="22"/>
                <w:szCs w:val="22"/>
              </w:rPr>
              <w:t>210</w:t>
            </w:r>
          </w:p>
        </w:tc>
        <w:tc>
          <w:tcPr>
            <w:tcW w:w="0" w:type="auto"/>
            <w:noWrap w:val="0"/>
            <w:vAlign w:val="center"/>
          </w:tcPr>
          <w:p w14:paraId="4CCFA555">
            <w:pPr>
              <w:jc w:val="center"/>
              <w:rPr>
                <w:color w:val="000000"/>
                <w:sz w:val="22"/>
                <w:szCs w:val="22"/>
              </w:rPr>
            </w:pPr>
            <w:r>
              <w:rPr>
                <w:color w:val="000000"/>
                <w:sz w:val="22"/>
                <w:szCs w:val="22"/>
              </w:rPr>
              <w:t>14.00</w:t>
            </w:r>
          </w:p>
        </w:tc>
        <w:tc>
          <w:tcPr>
            <w:tcW w:w="0" w:type="auto"/>
            <w:noWrap/>
            <w:vAlign w:val="center"/>
          </w:tcPr>
          <w:p w14:paraId="04BFCAD2">
            <w:pPr>
              <w:jc w:val="center"/>
              <w:rPr>
                <w:color w:val="000000"/>
                <w:sz w:val="22"/>
                <w:szCs w:val="22"/>
              </w:rPr>
            </w:pPr>
            <w:r>
              <w:rPr>
                <w:color w:val="000000"/>
                <w:sz w:val="22"/>
                <w:szCs w:val="22"/>
              </w:rPr>
              <w:t>205</w:t>
            </w:r>
          </w:p>
        </w:tc>
        <w:tc>
          <w:tcPr>
            <w:tcW w:w="0" w:type="auto"/>
            <w:noWrap w:val="0"/>
            <w:vAlign w:val="center"/>
          </w:tcPr>
          <w:p w14:paraId="5D7C34F5">
            <w:pPr>
              <w:jc w:val="center"/>
              <w:rPr>
                <w:color w:val="000000"/>
                <w:sz w:val="22"/>
                <w:szCs w:val="22"/>
              </w:rPr>
            </w:pPr>
            <w:r>
              <w:rPr>
                <w:color w:val="000000"/>
                <w:sz w:val="22"/>
                <w:szCs w:val="22"/>
              </w:rPr>
              <w:t>13.67</w:t>
            </w:r>
          </w:p>
        </w:tc>
        <w:tc>
          <w:tcPr>
            <w:tcW w:w="0" w:type="auto"/>
            <w:noWrap w:val="0"/>
            <w:vAlign w:val="center"/>
          </w:tcPr>
          <w:p w14:paraId="7EE7E865">
            <w:pPr>
              <w:jc w:val="center"/>
              <w:rPr>
                <w:color w:val="000000"/>
                <w:sz w:val="22"/>
                <w:szCs w:val="22"/>
              </w:rPr>
            </w:pPr>
            <w:r>
              <w:rPr>
                <w:color w:val="000000"/>
                <w:sz w:val="22"/>
                <w:szCs w:val="22"/>
              </w:rPr>
              <w:t>200</w:t>
            </w:r>
          </w:p>
        </w:tc>
        <w:tc>
          <w:tcPr>
            <w:tcW w:w="0" w:type="auto"/>
            <w:noWrap w:val="0"/>
            <w:vAlign w:val="center"/>
          </w:tcPr>
          <w:p w14:paraId="5933C78F">
            <w:pPr>
              <w:jc w:val="center"/>
              <w:rPr>
                <w:color w:val="000000"/>
                <w:sz w:val="22"/>
                <w:szCs w:val="22"/>
              </w:rPr>
            </w:pPr>
            <w:r>
              <w:rPr>
                <w:color w:val="000000"/>
                <w:sz w:val="22"/>
                <w:szCs w:val="22"/>
              </w:rPr>
              <w:t>13.33</w:t>
            </w:r>
          </w:p>
        </w:tc>
        <w:tc>
          <w:tcPr>
            <w:tcW w:w="0" w:type="auto"/>
            <w:noWrap w:val="0"/>
            <w:vAlign w:val="center"/>
          </w:tcPr>
          <w:p w14:paraId="28B02C95">
            <w:pPr>
              <w:jc w:val="center"/>
              <w:rPr>
                <w:color w:val="000000"/>
                <w:sz w:val="22"/>
                <w:szCs w:val="22"/>
              </w:rPr>
            </w:pPr>
            <w:r>
              <w:rPr>
                <w:color w:val="000000"/>
                <w:sz w:val="22"/>
                <w:szCs w:val="22"/>
              </w:rPr>
              <w:t>195</w:t>
            </w:r>
          </w:p>
        </w:tc>
        <w:tc>
          <w:tcPr>
            <w:tcW w:w="0" w:type="auto"/>
            <w:noWrap w:val="0"/>
            <w:vAlign w:val="center"/>
          </w:tcPr>
          <w:p w14:paraId="667583B6">
            <w:pPr>
              <w:jc w:val="center"/>
              <w:rPr>
                <w:color w:val="000000"/>
                <w:sz w:val="22"/>
                <w:szCs w:val="22"/>
              </w:rPr>
            </w:pPr>
            <w:r>
              <w:rPr>
                <w:color w:val="000000"/>
                <w:sz w:val="22"/>
                <w:szCs w:val="22"/>
              </w:rPr>
              <w:t>13.00</w:t>
            </w:r>
          </w:p>
        </w:tc>
        <w:tc>
          <w:tcPr>
            <w:tcW w:w="0" w:type="auto"/>
            <w:noWrap w:val="0"/>
            <w:vAlign w:val="center"/>
          </w:tcPr>
          <w:p w14:paraId="1159CD2B">
            <w:pPr>
              <w:jc w:val="center"/>
              <w:rPr>
                <w:color w:val="000000"/>
                <w:sz w:val="22"/>
                <w:szCs w:val="22"/>
              </w:rPr>
            </w:pPr>
            <w:r>
              <w:rPr>
                <w:color w:val="000000"/>
                <w:sz w:val="22"/>
                <w:szCs w:val="22"/>
              </w:rPr>
              <w:t>190</w:t>
            </w:r>
          </w:p>
        </w:tc>
        <w:tc>
          <w:tcPr>
            <w:tcW w:w="0" w:type="auto"/>
            <w:noWrap w:val="0"/>
            <w:vAlign w:val="center"/>
          </w:tcPr>
          <w:p w14:paraId="19A84C19">
            <w:pPr>
              <w:jc w:val="center"/>
              <w:rPr>
                <w:color w:val="000000"/>
                <w:sz w:val="22"/>
                <w:szCs w:val="22"/>
              </w:rPr>
            </w:pPr>
            <w:r>
              <w:rPr>
                <w:color w:val="000000"/>
                <w:sz w:val="22"/>
                <w:szCs w:val="22"/>
              </w:rPr>
              <w:t>12.67</w:t>
            </w:r>
          </w:p>
        </w:tc>
      </w:tr>
      <w:tr w14:paraId="7154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58E25528">
            <w:pPr>
              <w:pStyle w:val="20"/>
              <w:jc w:val="center"/>
              <w:rPr>
                <w:rFonts w:ascii="Times New Roman" w:hAnsi="Times New Roman" w:eastAsia="楷体_GB2312"/>
                <w:sz w:val="24"/>
                <w:szCs w:val="24"/>
              </w:rPr>
            </w:pPr>
            <w:r>
              <w:rPr>
                <w:rFonts w:ascii="Times New Roman" w:hAnsi="Times New Roman" w:eastAsia="楷体_GB2312"/>
                <w:sz w:val="24"/>
                <w:szCs w:val="24"/>
              </w:rPr>
              <w:t>6</w:t>
            </w:r>
          </w:p>
        </w:tc>
        <w:tc>
          <w:tcPr>
            <w:tcW w:w="0" w:type="auto"/>
            <w:vMerge w:val="restart"/>
            <w:noWrap w:val="0"/>
            <w:vAlign w:val="center"/>
          </w:tcPr>
          <w:p w14:paraId="621A9F9D">
            <w:pPr>
              <w:pStyle w:val="20"/>
              <w:jc w:val="center"/>
              <w:rPr>
                <w:rFonts w:ascii="Times New Roman" w:hAnsi="Times New Roman" w:eastAsia="楷体_GB2312"/>
                <w:sz w:val="24"/>
                <w:szCs w:val="24"/>
              </w:rPr>
            </w:pPr>
            <w:r>
              <w:rPr>
                <w:rFonts w:ascii="Times New Roman" w:hAnsi="Times New Roman" w:eastAsia="楷体_GB2312"/>
                <w:sz w:val="24"/>
                <w:szCs w:val="24"/>
              </w:rPr>
              <w:t>栏杆镇</w:t>
            </w:r>
          </w:p>
        </w:tc>
        <w:tc>
          <w:tcPr>
            <w:tcW w:w="0" w:type="auto"/>
            <w:noWrap w:val="0"/>
            <w:vAlign w:val="center"/>
          </w:tcPr>
          <w:p w14:paraId="3D243624">
            <w:pPr>
              <w:pStyle w:val="20"/>
              <w:jc w:val="center"/>
              <w:rPr>
                <w:rFonts w:ascii="Times New Roman" w:hAnsi="Times New Roman" w:eastAsia="楷体_GB2312"/>
                <w:sz w:val="24"/>
                <w:szCs w:val="24"/>
              </w:rPr>
            </w:pPr>
            <w:r>
              <w:rPr>
                <w:rFonts w:ascii="Times New Roman" w:hAnsi="Times New Roman" w:eastAsia="楷体_GB2312"/>
                <w:sz w:val="24"/>
                <w:szCs w:val="24"/>
              </w:rPr>
              <w:t>1</w:t>
            </w:r>
          </w:p>
        </w:tc>
        <w:tc>
          <w:tcPr>
            <w:tcW w:w="0" w:type="auto"/>
            <w:noWrap/>
            <w:vAlign w:val="center"/>
          </w:tcPr>
          <w:p w14:paraId="264511C4">
            <w:pPr>
              <w:jc w:val="center"/>
              <w:rPr>
                <w:color w:val="000000"/>
                <w:sz w:val="22"/>
                <w:szCs w:val="22"/>
              </w:rPr>
            </w:pPr>
            <w:r>
              <w:rPr>
                <w:color w:val="000000"/>
                <w:sz w:val="22"/>
                <w:szCs w:val="22"/>
              </w:rPr>
              <w:t>375</w:t>
            </w:r>
          </w:p>
        </w:tc>
        <w:tc>
          <w:tcPr>
            <w:tcW w:w="0" w:type="auto"/>
            <w:noWrap w:val="0"/>
            <w:vAlign w:val="center"/>
          </w:tcPr>
          <w:p w14:paraId="7AD78CAB">
            <w:pPr>
              <w:jc w:val="center"/>
              <w:rPr>
                <w:color w:val="000000"/>
                <w:sz w:val="22"/>
                <w:szCs w:val="22"/>
              </w:rPr>
            </w:pPr>
            <w:r>
              <w:rPr>
                <w:color w:val="000000"/>
                <w:sz w:val="22"/>
                <w:szCs w:val="22"/>
              </w:rPr>
              <w:t>25.00</w:t>
            </w:r>
          </w:p>
        </w:tc>
        <w:tc>
          <w:tcPr>
            <w:tcW w:w="0" w:type="auto"/>
            <w:noWrap/>
            <w:vAlign w:val="center"/>
          </w:tcPr>
          <w:p w14:paraId="0AD3CBF7">
            <w:pPr>
              <w:jc w:val="center"/>
              <w:rPr>
                <w:color w:val="000000"/>
                <w:sz w:val="22"/>
                <w:szCs w:val="22"/>
              </w:rPr>
            </w:pPr>
            <w:r>
              <w:rPr>
                <w:color w:val="000000"/>
                <w:sz w:val="22"/>
                <w:szCs w:val="22"/>
              </w:rPr>
              <w:t>355</w:t>
            </w:r>
          </w:p>
        </w:tc>
        <w:tc>
          <w:tcPr>
            <w:tcW w:w="0" w:type="auto"/>
            <w:noWrap w:val="0"/>
            <w:vAlign w:val="center"/>
          </w:tcPr>
          <w:p w14:paraId="45105313">
            <w:pPr>
              <w:jc w:val="center"/>
              <w:rPr>
                <w:color w:val="000000"/>
                <w:sz w:val="22"/>
                <w:szCs w:val="22"/>
              </w:rPr>
            </w:pPr>
            <w:r>
              <w:rPr>
                <w:color w:val="000000"/>
                <w:sz w:val="22"/>
                <w:szCs w:val="22"/>
              </w:rPr>
              <w:t>23.67</w:t>
            </w:r>
          </w:p>
        </w:tc>
        <w:tc>
          <w:tcPr>
            <w:tcW w:w="0" w:type="auto"/>
            <w:noWrap/>
            <w:vAlign w:val="center"/>
          </w:tcPr>
          <w:p w14:paraId="3B7FAA69">
            <w:pPr>
              <w:jc w:val="center"/>
              <w:rPr>
                <w:color w:val="000000"/>
                <w:sz w:val="22"/>
                <w:szCs w:val="22"/>
              </w:rPr>
            </w:pPr>
            <w:r>
              <w:rPr>
                <w:color w:val="000000"/>
                <w:sz w:val="22"/>
                <w:szCs w:val="22"/>
              </w:rPr>
              <w:t>335</w:t>
            </w:r>
          </w:p>
        </w:tc>
        <w:tc>
          <w:tcPr>
            <w:tcW w:w="0" w:type="auto"/>
            <w:noWrap w:val="0"/>
            <w:vAlign w:val="center"/>
          </w:tcPr>
          <w:p w14:paraId="1D6875AD">
            <w:pPr>
              <w:jc w:val="center"/>
              <w:rPr>
                <w:color w:val="000000"/>
                <w:sz w:val="22"/>
                <w:szCs w:val="22"/>
              </w:rPr>
            </w:pPr>
            <w:r>
              <w:rPr>
                <w:color w:val="000000"/>
                <w:sz w:val="22"/>
                <w:szCs w:val="22"/>
              </w:rPr>
              <w:t>22.33</w:t>
            </w:r>
          </w:p>
        </w:tc>
        <w:tc>
          <w:tcPr>
            <w:tcW w:w="0" w:type="auto"/>
            <w:noWrap w:val="0"/>
            <w:vAlign w:val="center"/>
          </w:tcPr>
          <w:p w14:paraId="268E9608">
            <w:pPr>
              <w:jc w:val="center"/>
              <w:rPr>
                <w:color w:val="000000"/>
                <w:sz w:val="22"/>
                <w:szCs w:val="22"/>
              </w:rPr>
            </w:pPr>
            <w:r>
              <w:rPr>
                <w:color w:val="000000"/>
                <w:sz w:val="22"/>
                <w:szCs w:val="22"/>
              </w:rPr>
              <w:t>325</w:t>
            </w:r>
          </w:p>
        </w:tc>
        <w:tc>
          <w:tcPr>
            <w:tcW w:w="0" w:type="auto"/>
            <w:noWrap w:val="0"/>
            <w:vAlign w:val="center"/>
          </w:tcPr>
          <w:p w14:paraId="2822E47E">
            <w:pPr>
              <w:jc w:val="center"/>
              <w:rPr>
                <w:color w:val="000000"/>
                <w:sz w:val="22"/>
                <w:szCs w:val="22"/>
              </w:rPr>
            </w:pPr>
            <w:r>
              <w:rPr>
                <w:color w:val="000000"/>
                <w:sz w:val="22"/>
                <w:szCs w:val="22"/>
              </w:rPr>
              <w:t>21.67</w:t>
            </w:r>
          </w:p>
        </w:tc>
        <w:tc>
          <w:tcPr>
            <w:tcW w:w="0" w:type="auto"/>
            <w:noWrap w:val="0"/>
            <w:vAlign w:val="center"/>
          </w:tcPr>
          <w:p w14:paraId="63E79120">
            <w:pPr>
              <w:jc w:val="center"/>
              <w:rPr>
                <w:color w:val="000000"/>
                <w:sz w:val="22"/>
                <w:szCs w:val="22"/>
              </w:rPr>
            </w:pPr>
            <w:r>
              <w:rPr>
                <w:color w:val="000000"/>
                <w:sz w:val="22"/>
                <w:szCs w:val="22"/>
              </w:rPr>
              <w:t>315</w:t>
            </w:r>
          </w:p>
        </w:tc>
        <w:tc>
          <w:tcPr>
            <w:tcW w:w="0" w:type="auto"/>
            <w:noWrap w:val="0"/>
            <w:vAlign w:val="center"/>
          </w:tcPr>
          <w:p w14:paraId="7388E019">
            <w:pPr>
              <w:jc w:val="center"/>
              <w:rPr>
                <w:color w:val="000000"/>
                <w:sz w:val="22"/>
                <w:szCs w:val="22"/>
              </w:rPr>
            </w:pPr>
            <w:r>
              <w:rPr>
                <w:color w:val="000000"/>
                <w:sz w:val="22"/>
                <w:szCs w:val="22"/>
              </w:rPr>
              <w:t>21.00</w:t>
            </w:r>
          </w:p>
        </w:tc>
        <w:tc>
          <w:tcPr>
            <w:tcW w:w="0" w:type="auto"/>
            <w:noWrap w:val="0"/>
            <w:vAlign w:val="center"/>
          </w:tcPr>
          <w:p w14:paraId="1A418CEA">
            <w:pPr>
              <w:jc w:val="center"/>
              <w:rPr>
                <w:color w:val="000000"/>
                <w:sz w:val="22"/>
                <w:szCs w:val="22"/>
              </w:rPr>
            </w:pPr>
            <w:r>
              <w:rPr>
                <w:color w:val="000000"/>
                <w:sz w:val="22"/>
                <w:szCs w:val="22"/>
              </w:rPr>
              <w:t>295</w:t>
            </w:r>
          </w:p>
        </w:tc>
        <w:tc>
          <w:tcPr>
            <w:tcW w:w="0" w:type="auto"/>
            <w:noWrap w:val="0"/>
            <w:vAlign w:val="center"/>
          </w:tcPr>
          <w:p w14:paraId="748909A7">
            <w:pPr>
              <w:jc w:val="center"/>
              <w:rPr>
                <w:color w:val="000000"/>
                <w:sz w:val="22"/>
                <w:szCs w:val="22"/>
              </w:rPr>
            </w:pPr>
            <w:r>
              <w:rPr>
                <w:color w:val="000000"/>
                <w:sz w:val="22"/>
                <w:szCs w:val="22"/>
              </w:rPr>
              <w:t>19.67</w:t>
            </w:r>
          </w:p>
        </w:tc>
      </w:tr>
      <w:tr w14:paraId="4C66D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56F0FFC3">
            <w:pPr>
              <w:pStyle w:val="20"/>
              <w:jc w:val="center"/>
              <w:rPr>
                <w:rFonts w:ascii="Times New Roman" w:hAnsi="Times New Roman" w:eastAsia="楷体_GB2312"/>
                <w:sz w:val="24"/>
                <w:szCs w:val="24"/>
              </w:rPr>
            </w:pPr>
          </w:p>
        </w:tc>
        <w:tc>
          <w:tcPr>
            <w:tcW w:w="0" w:type="auto"/>
            <w:vMerge w:val="continue"/>
            <w:noWrap w:val="0"/>
            <w:vAlign w:val="center"/>
          </w:tcPr>
          <w:p w14:paraId="4F3406EA">
            <w:pPr>
              <w:pStyle w:val="20"/>
              <w:jc w:val="center"/>
              <w:rPr>
                <w:rFonts w:ascii="Times New Roman" w:hAnsi="Times New Roman" w:eastAsia="楷体_GB2312"/>
                <w:sz w:val="24"/>
                <w:szCs w:val="24"/>
              </w:rPr>
            </w:pPr>
          </w:p>
        </w:tc>
        <w:tc>
          <w:tcPr>
            <w:tcW w:w="0" w:type="auto"/>
            <w:noWrap w:val="0"/>
            <w:vAlign w:val="center"/>
          </w:tcPr>
          <w:p w14:paraId="1E49C67A">
            <w:pPr>
              <w:pStyle w:val="20"/>
              <w:jc w:val="center"/>
              <w:rPr>
                <w:rFonts w:ascii="Times New Roman" w:hAnsi="Times New Roman" w:eastAsia="楷体_GB2312"/>
                <w:sz w:val="24"/>
                <w:szCs w:val="24"/>
              </w:rPr>
            </w:pPr>
            <w:r>
              <w:rPr>
                <w:rFonts w:ascii="Times New Roman" w:hAnsi="Times New Roman" w:eastAsia="楷体_GB2312"/>
                <w:sz w:val="24"/>
                <w:szCs w:val="24"/>
              </w:rPr>
              <w:t>2</w:t>
            </w:r>
          </w:p>
        </w:tc>
        <w:tc>
          <w:tcPr>
            <w:tcW w:w="0" w:type="auto"/>
            <w:noWrap/>
            <w:vAlign w:val="center"/>
          </w:tcPr>
          <w:p w14:paraId="0644DCDE">
            <w:pPr>
              <w:jc w:val="center"/>
              <w:rPr>
                <w:color w:val="000000"/>
                <w:sz w:val="22"/>
                <w:szCs w:val="22"/>
              </w:rPr>
            </w:pPr>
            <w:r>
              <w:rPr>
                <w:color w:val="000000"/>
                <w:sz w:val="22"/>
                <w:szCs w:val="22"/>
              </w:rPr>
              <w:t>285</w:t>
            </w:r>
          </w:p>
        </w:tc>
        <w:tc>
          <w:tcPr>
            <w:tcW w:w="0" w:type="auto"/>
            <w:noWrap w:val="0"/>
            <w:vAlign w:val="center"/>
          </w:tcPr>
          <w:p w14:paraId="067EEB1A">
            <w:pPr>
              <w:jc w:val="center"/>
              <w:rPr>
                <w:color w:val="000000"/>
                <w:sz w:val="22"/>
                <w:szCs w:val="22"/>
              </w:rPr>
            </w:pPr>
            <w:r>
              <w:rPr>
                <w:color w:val="000000"/>
                <w:sz w:val="22"/>
                <w:szCs w:val="22"/>
              </w:rPr>
              <w:t>19.00</w:t>
            </w:r>
          </w:p>
        </w:tc>
        <w:tc>
          <w:tcPr>
            <w:tcW w:w="0" w:type="auto"/>
            <w:noWrap/>
            <w:vAlign w:val="center"/>
          </w:tcPr>
          <w:p w14:paraId="4F5661EF">
            <w:pPr>
              <w:jc w:val="center"/>
              <w:rPr>
                <w:color w:val="000000"/>
                <w:sz w:val="22"/>
                <w:szCs w:val="22"/>
              </w:rPr>
            </w:pPr>
            <w:r>
              <w:rPr>
                <w:color w:val="000000"/>
                <w:sz w:val="22"/>
                <w:szCs w:val="22"/>
              </w:rPr>
              <w:t>275</w:t>
            </w:r>
          </w:p>
        </w:tc>
        <w:tc>
          <w:tcPr>
            <w:tcW w:w="0" w:type="auto"/>
            <w:noWrap w:val="0"/>
            <w:vAlign w:val="center"/>
          </w:tcPr>
          <w:p w14:paraId="1996EDCB">
            <w:pPr>
              <w:jc w:val="center"/>
              <w:rPr>
                <w:color w:val="000000"/>
                <w:sz w:val="22"/>
                <w:szCs w:val="22"/>
              </w:rPr>
            </w:pPr>
            <w:r>
              <w:rPr>
                <w:color w:val="000000"/>
                <w:sz w:val="22"/>
                <w:szCs w:val="22"/>
              </w:rPr>
              <w:t>18.33</w:t>
            </w:r>
          </w:p>
        </w:tc>
        <w:tc>
          <w:tcPr>
            <w:tcW w:w="0" w:type="auto"/>
            <w:noWrap/>
            <w:vAlign w:val="center"/>
          </w:tcPr>
          <w:p w14:paraId="03FFE771">
            <w:pPr>
              <w:jc w:val="center"/>
              <w:rPr>
                <w:color w:val="000000"/>
                <w:sz w:val="22"/>
                <w:szCs w:val="22"/>
              </w:rPr>
            </w:pPr>
            <w:r>
              <w:rPr>
                <w:color w:val="000000"/>
                <w:sz w:val="22"/>
                <w:szCs w:val="22"/>
              </w:rPr>
              <w:t>265</w:t>
            </w:r>
          </w:p>
        </w:tc>
        <w:tc>
          <w:tcPr>
            <w:tcW w:w="0" w:type="auto"/>
            <w:noWrap w:val="0"/>
            <w:vAlign w:val="center"/>
          </w:tcPr>
          <w:p w14:paraId="072C7871">
            <w:pPr>
              <w:jc w:val="center"/>
              <w:rPr>
                <w:color w:val="000000"/>
                <w:sz w:val="22"/>
                <w:szCs w:val="22"/>
              </w:rPr>
            </w:pPr>
            <w:r>
              <w:rPr>
                <w:color w:val="000000"/>
                <w:sz w:val="22"/>
                <w:szCs w:val="22"/>
              </w:rPr>
              <w:t>17.67</w:t>
            </w:r>
          </w:p>
        </w:tc>
        <w:tc>
          <w:tcPr>
            <w:tcW w:w="0" w:type="auto"/>
            <w:noWrap w:val="0"/>
            <w:vAlign w:val="center"/>
          </w:tcPr>
          <w:p w14:paraId="42950487">
            <w:pPr>
              <w:jc w:val="center"/>
              <w:rPr>
                <w:color w:val="000000"/>
                <w:sz w:val="22"/>
                <w:szCs w:val="22"/>
              </w:rPr>
            </w:pPr>
            <w:r>
              <w:rPr>
                <w:color w:val="000000"/>
                <w:sz w:val="22"/>
                <w:szCs w:val="22"/>
              </w:rPr>
              <w:t>255</w:t>
            </w:r>
          </w:p>
        </w:tc>
        <w:tc>
          <w:tcPr>
            <w:tcW w:w="0" w:type="auto"/>
            <w:noWrap w:val="0"/>
            <w:vAlign w:val="center"/>
          </w:tcPr>
          <w:p w14:paraId="447007B9">
            <w:pPr>
              <w:jc w:val="center"/>
              <w:rPr>
                <w:color w:val="000000"/>
                <w:sz w:val="22"/>
                <w:szCs w:val="22"/>
              </w:rPr>
            </w:pPr>
            <w:r>
              <w:rPr>
                <w:color w:val="000000"/>
                <w:sz w:val="22"/>
                <w:szCs w:val="22"/>
              </w:rPr>
              <w:t>17.00</w:t>
            </w:r>
          </w:p>
        </w:tc>
        <w:tc>
          <w:tcPr>
            <w:tcW w:w="0" w:type="auto"/>
            <w:noWrap w:val="0"/>
            <w:vAlign w:val="center"/>
          </w:tcPr>
          <w:p w14:paraId="4E4A0595">
            <w:pPr>
              <w:jc w:val="center"/>
              <w:rPr>
                <w:color w:val="000000"/>
                <w:sz w:val="22"/>
                <w:szCs w:val="22"/>
              </w:rPr>
            </w:pPr>
            <w:r>
              <w:rPr>
                <w:color w:val="000000"/>
                <w:sz w:val="22"/>
                <w:szCs w:val="22"/>
              </w:rPr>
              <w:t>245</w:t>
            </w:r>
          </w:p>
        </w:tc>
        <w:tc>
          <w:tcPr>
            <w:tcW w:w="0" w:type="auto"/>
            <w:noWrap w:val="0"/>
            <w:vAlign w:val="center"/>
          </w:tcPr>
          <w:p w14:paraId="4AFA9CD6">
            <w:pPr>
              <w:jc w:val="center"/>
              <w:rPr>
                <w:color w:val="000000"/>
                <w:sz w:val="22"/>
                <w:szCs w:val="22"/>
              </w:rPr>
            </w:pPr>
            <w:r>
              <w:rPr>
                <w:color w:val="000000"/>
                <w:sz w:val="22"/>
                <w:szCs w:val="22"/>
              </w:rPr>
              <w:t>16.33</w:t>
            </w:r>
          </w:p>
        </w:tc>
        <w:tc>
          <w:tcPr>
            <w:tcW w:w="0" w:type="auto"/>
            <w:noWrap w:val="0"/>
            <w:vAlign w:val="center"/>
          </w:tcPr>
          <w:p w14:paraId="6667F254">
            <w:pPr>
              <w:jc w:val="center"/>
              <w:rPr>
                <w:color w:val="000000"/>
                <w:sz w:val="22"/>
                <w:szCs w:val="22"/>
              </w:rPr>
            </w:pPr>
            <w:r>
              <w:rPr>
                <w:color w:val="000000"/>
                <w:sz w:val="22"/>
                <w:szCs w:val="22"/>
              </w:rPr>
              <w:t>235</w:t>
            </w:r>
          </w:p>
        </w:tc>
        <w:tc>
          <w:tcPr>
            <w:tcW w:w="0" w:type="auto"/>
            <w:noWrap w:val="0"/>
            <w:vAlign w:val="center"/>
          </w:tcPr>
          <w:p w14:paraId="6234B965">
            <w:pPr>
              <w:jc w:val="center"/>
              <w:rPr>
                <w:color w:val="000000"/>
                <w:sz w:val="22"/>
                <w:szCs w:val="22"/>
              </w:rPr>
            </w:pPr>
            <w:r>
              <w:rPr>
                <w:color w:val="000000"/>
                <w:sz w:val="22"/>
                <w:szCs w:val="22"/>
              </w:rPr>
              <w:t>15.67</w:t>
            </w:r>
          </w:p>
        </w:tc>
      </w:tr>
      <w:tr w14:paraId="10A56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bottom w:val="single" w:color="auto" w:sz="4" w:space="0"/>
            </w:tcBorders>
            <w:noWrap w:val="0"/>
            <w:vAlign w:val="center"/>
          </w:tcPr>
          <w:p w14:paraId="661209FC">
            <w:pPr>
              <w:pStyle w:val="20"/>
              <w:jc w:val="center"/>
              <w:rPr>
                <w:rFonts w:ascii="Times New Roman" w:hAnsi="Times New Roman" w:eastAsia="楷体_GB2312"/>
                <w:sz w:val="24"/>
                <w:szCs w:val="24"/>
              </w:rPr>
            </w:pPr>
          </w:p>
        </w:tc>
        <w:tc>
          <w:tcPr>
            <w:tcW w:w="0" w:type="auto"/>
            <w:vMerge w:val="continue"/>
            <w:tcBorders>
              <w:bottom w:val="single" w:color="auto" w:sz="4" w:space="0"/>
            </w:tcBorders>
            <w:noWrap w:val="0"/>
            <w:vAlign w:val="center"/>
          </w:tcPr>
          <w:p w14:paraId="68B79929">
            <w:pPr>
              <w:pStyle w:val="20"/>
              <w:jc w:val="center"/>
              <w:rPr>
                <w:rFonts w:ascii="Times New Roman" w:hAnsi="Times New Roman" w:eastAsia="楷体_GB2312"/>
                <w:sz w:val="24"/>
                <w:szCs w:val="24"/>
              </w:rPr>
            </w:pPr>
          </w:p>
        </w:tc>
        <w:tc>
          <w:tcPr>
            <w:tcW w:w="0" w:type="auto"/>
            <w:noWrap w:val="0"/>
            <w:vAlign w:val="center"/>
          </w:tcPr>
          <w:p w14:paraId="04898E40">
            <w:pPr>
              <w:pStyle w:val="20"/>
              <w:jc w:val="center"/>
              <w:rPr>
                <w:rFonts w:ascii="Times New Roman" w:hAnsi="Times New Roman" w:eastAsia="楷体_GB2312"/>
                <w:sz w:val="24"/>
                <w:szCs w:val="24"/>
              </w:rPr>
            </w:pPr>
            <w:r>
              <w:rPr>
                <w:rFonts w:ascii="Times New Roman" w:hAnsi="Times New Roman" w:eastAsia="楷体_GB2312"/>
                <w:sz w:val="24"/>
                <w:szCs w:val="24"/>
              </w:rPr>
              <w:t>3</w:t>
            </w:r>
          </w:p>
        </w:tc>
        <w:tc>
          <w:tcPr>
            <w:tcW w:w="0" w:type="auto"/>
            <w:noWrap/>
            <w:vAlign w:val="center"/>
          </w:tcPr>
          <w:p w14:paraId="29B6AE8F">
            <w:pPr>
              <w:jc w:val="center"/>
              <w:rPr>
                <w:color w:val="000000"/>
                <w:sz w:val="22"/>
                <w:szCs w:val="22"/>
              </w:rPr>
            </w:pPr>
            <w:r>
              <w:rPr>
                <w:color w:val="000000"/>
                <w:sz w:val="22"/>
                <w:szCs w:val="22"/>
              </w:rPr>
              <w:t>215</w:t>
            </w:r>
          </w:p>
        </w:tc>
        <w:tc>
          <w:tcPr>
            <w:tcW w:w="0" w:type="auto"/>
            <w:noWrap w:val="0"/>
            <w:vAlign w:val="center"/>
          </w:tcPr>
          <w:p w14:paraId="30F44AD3">
            <w:pPr>
              <w:jc w:val="center"/>
              <w:rPr>
                <w:color w:val="000000"/>
                <w:sz w:val="22"/>
                <w:szCs w:val="22"/>
              </w:rPr>
            </w:pPr>
            <w:r>
              <w:rPr>
                <w:color w:val="000000"/>
                <w:sz w:val="22"/>
                <w:szCs w:val="22"/>
              </w:rPr>
              <w:t>14.33</w:t>
            </w:r>
          </w:p>
        </w:tc>
        <w:tc>
          <w:tcPr>
            <w:tcW w:w="0" w:type="auto"/>
            <w:noWrap/>
            <w:vAlign w:val="center"/>
          </w:tcPr>
          <w:p w14:paraId="2EFB3AE9">
            <w:pPr>
              <w:jc w:val="center"/>
              <w:rPr>
                <w:color w:val="000000"/>
                <w:sz w:val="22"/>
                <w:szCs w:val="22"/>
              </w:rPr>
            </w:pPr>
            <w:r>
              <w:rPr>
                <w:color w:val="000000"/>
                <w:sz w:val="22"/>
                <w:szCs w:val="22"/>
              </w:rPr>
              <w:t>210</w:t>
            </w:r>
          </w:p>
        </w:tc>
        <w:tc>
          <w:tcPr>
            <w:tcW w:w="0" w:type="auto"/>
            <w:noWrap w:val="0"/>
            <w:vAlign w:val="center"/>
          </w:tcPr>
          <w:p w14:paraId="73ABEAE8">
            <w:pPr>
              <w:jc w:val="center"/>
              <w:rPr>
                <w:color w:val="000000"/>
                <w:sz w:val="22"/>
                <w:szCs w:val="22"/>
              </w:rPr>
            </w:pPr>
            <w:r>
              <w:rPr>
                <w:color w:val="000000"/>
                <w:sz w:val="22"/>
                <w:szCs w:val="22"/>
              </w:rPr>
              <w:t>14.00</w:t>
            </w:r>
          </w:p>
        </w:tc>
        <w:tc>
          <w:tcPr>
            <w:tcW w:w="0" w:type="auto"/>
            <w:noWrap/>
            <w:vAlign w:val="center"/>
          </w:tcPr>
          <w:p w14:paraId="000EF542">
            <w:pPr>
              <w:jc w:val="center"/>
              <w:rPr>
                <w:color w:val="000000"/>
                <w:sz w:val="22"/>
                <w:szCs w:val="22"/>
              </w:rPr>
            </w:pPr>
            <w:r>
              <w:rPr>
                <w:color w:val="000000"/>
                <w:sz w:val="22"/>
                <w:szCs w:val="22"/>
              </w:rPr>
              <w:t>205</w:t>
            </w:r>
          </w:p>
        </w:tc>
        <w:tc>
          <w:tcPr>
            <w:tcW w:w="0" w:type="auto"/>
            <w:noWrap w:val="0"/>
            <w:vAlign w:val="center"/>
          </w:tcPr>
          <w:p w14:paraId="24789003">
            <w:pPr>
              <w:jc w:val="center"/>
              <w:rPr>
                <w:color w:val="000000"/>
                <w:sz w:val="22"/>
                <w:szCs w:val="22"/>
              </w:rPr>
            </w:pPr>
            <w:r>
              <w:rPr>
                <w:color w:val="000000"/>
                <w:sz w:val="22"/>
                <w:szCs w:val="22"/>
              </w:rPr>
              <w:t>13.67</w:t>
            </w:r>
          </w:p>
        </w:tc>
        <w:tc>
          <w:tcPr>
            <w:tcW w:w="0" w:type="auto"/>
            <w:noWrap w:val="0"/>
            <w:vAlign w:val="center"/>
          </w:tcPr>
          <w:p w14:paraId="373A2553">
            <w:pPr>
              <w:jc w:val="center"/>
              <w:rPr>
                <w:color w:val="000000"/>
                <w:sz w:val="22"/>
                <w:szCs w:val="22"/>
              </w:rPr>
            </w:pPr>
            <w:r>
              <w:rPr>
                <w:color w:val="000000"/>
                <w:sz w:val="22"/>
                <w:szCs w:val="22"/>
              </w:rPr>
              <w:t>200</w:t>
            </w:r>
          </w:p>
        </w:tc>
        <w:tc>
          <w:tcPr>
            <w:tcW w:w="0" w:type="auto"/>
            <w:noWrap w:val="0"/>
            <w:vAlign w:val="center"/>
          </w:tcPr>
          <w:p w14:paraId="6ED13777">
            <w:pPr>
              <w:jc w:val="center"/>
              <w:rPr>
                <w:color w:val="000000"/>
                <w:sz w:val="22"/>
                <w:szCs w:val="22"/>
              </w:rPr>
            </w:pPr>
            <w:r>
              <w:rPr>
                <w:color w:val="000000"/>
                <w:sz w:val="22"/>
                <w:szCs w:val="22"/>
              </w:rPr>
              <w:t>13.33</w:t>
            </w:r>
          </w:p>
        </w:tc>
        <w:tc>
          <w:tcPr>
            <w:tcW w:w="0" w:type="auto"/>
            <w:noWrap w:val="0"/>
            <w:vAlign w:val="center"/>
          </w:tcPr>
          <w:p w14:paraId="3874A7AE">
            <w:pPr>
              <w:jc w:val="center"/>
              <w:rPr>
                <w:color w:val="000000"/>
                <w:sz w:val="22"/>
                <w:szCs w:val="22"/>
              </w:rPr>
            </w:pPr>
            <w:r>
              <w:rPr>
                <w:color w:val="000000"/>
                <w:sz w:val="22"/>
                <w:szCs w:val="22"/>
              </w:rPr>
              <w:t>195</w:t>
            </w:r>
          </w:p>
        </w:tc>
        <w:tc>
          <w:tcPr>
            <w:tcW w:w="0" w:type="auto"/>
            <w:noWrap w:val="0"/>
            <w:vAlign w:val="center"/>
          </w:tcPr>
          <w:p w14:paraId="2EDC3EA5">
            <w:pPr>
              <w:jc w:val="center"/>
              <w:rPr>
                <w:color w:val="000000"/>
                <w:sz w:val="22"/>
                <w:szCs w:val="22"/>
              </w:rPr>
            </w:pPr>
            <w:r>
              <w:rPr>
                <w:color w:val="000000"/>
                <w:sz w:val="22"/>
                <w:szCs w:val="22"/>
              </w:rPr>
              <w:t>13.00</w:t>
            </w:r>
          </w:p>
        </w:tc>
        <w:tc>
          <w:tcPr>
            <w:tcW w:w="0" w:type="auto"/>
            <w:noWrap w:val="0"/>
            <w:vAlign w:val="center"/>
          </w:tcPr>
          <w:p w14:paraId="593239EA">
            <w:pPr>
              <w:jc w:val="center"/>
              <w:rPr>
                <w:color w:val="000000"/>
                <w:sz w:val="22"/>
                <w:szCs w:val="22"/>
              </w:rPr>
            </w:pPr>
            <w:r>
              <w:rPr>
                <w:color w:val="000000"/>
                <w:sz w:val="22"/>
                <w:szCs w:val="22"/>
              </w:rPr>
              <w:t>190</w:t>
            </w:r>
          </w:p>
        </w:tc>
        <w:tc>
          <w:tcPr>
            <w:tcW w:w="0" w:type="auto"/>
            <w:noWrap w:val="0"/>
            <w:vAlign w:val="center"/>
          </w:tcPr>
          <w:p w14:paraId="1C12C0DA">
            <w:pPr>
              <w:jc w:val="center"/>
              <w:rPr>
                <w:color w:val="000000"/>
                <w:sz w:val="22"/>
                <w:szCs w:val="22"/>
              </w:rPr>
            </w:pPr>
            <w:r>
              <w:rPr>
                <w:color w:val="000000"/>
                <w:sz w:val="22"/>
                <w:szCs w:val="22"/>
              </w:rPr>
              <w:t>12.67</w:t>
            </w:r>
          </w:p>
        </w:tc>
      </w:tr>
      <w:tr w14:paraId="23505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14:paraId="00B48DBB">
            <w:pPr>
              <w:pStyle w:val="20"/>
              <w:jc w:val="center"/>
              <w:rPr>
                <w:rFonts w:ascii="Times New Roman" w:hAnsi="Times New Roman" w:eastAsia="楷体_GB2312"/>
                <w:sz w:val="24"/>
                <w:szCs w:val="24"/>
              </w:rPr>
            </w:pPr>
            <w:r>
              <w:rPr>
                <w:rFonts w:ascii="Times New Roman" w:hAnsi="Times New Roman" w:eastAsia="楷体_GB2312"/>
                <w:sz w:val="24"/>
                <w:szCs w:val="24"/>
              </w:rPr>
              <w:t>7</w:t>
            </w:r>
          </w:p>
        </w:tc>
        <w:tc>
          <w:tcPr>
            <w:tcW w:w="0" w:type="auto"/>
            <w:vMerge w:val="restart"/>
            <w:tcBorders>
              <w:top w:val="single" w:color="auto" w:sz="4" w:space="0"/>
              <w:left w:val="single" w:color="auto" w:sz="4" w:space="0"/>
              <w:bottom w:val="single" w:color="auto" w:sz="4" w:space="0"/>
              <w:right w:val="single" w:color="auto" w:sz="4" w:space="0"/>
            </w:tcBorders>
            <w:noWrap w:val="0"/>
            <w:vAlign w:val="center"/>
          </w:tcPr>
          <w:p w14:paraId="2E7AF6ED">
            <w:pPr>
              <w:pStyle w:val="20"/>
              <w:jc w:val="center"/>
              <w:rPr>
                <w:rFonts w:ascii="Times New Roman" w:hAnsi="Times New Roman" w:eastAsia="楷体_GB2312"/>
                <w:sz w:val="24"/>
                <w:szCs w:val="24"/>
              </w:rPr>
            </w:pPr>
            <w:r>
              <w:rPr>
                <w:rFonts w:ascii="Times New Roman" w:hAnsi="Times New Roman" w:eastAsia="楷体_GB2312"/>
                <w:sz w:val="24"/>
                <w:szCs w:val="24"/>
              </w:rPr>
              <w:t>时村镇</w:t>
            </w:r>
          </w:p>
        </w:tc>
        <w:tc>
          <w:tcPr>
            <w:tcW w:w="0" w:type="auto"/>
            <w:tcBorders>
              <w:left w:val="single" w:color="auto" w:sz="4" w:space="0"/>
            </w:tcBorders>
            <w:noWrap w:val="0"/>
            <w:vAlign w:val="center"/>
          </w:tcPr>
          <w:p w14:paraId="0EE8FB4D">
            <w:pPr>
              <w:pStyle w:val="20"/>
              <w:jc w:val="center"/>
              <w:rPr>
                <w:rFonts w:ascii="Times New Roman" w:hAnsi="Times New Roman" w:eastAsia="楷体_GB2312"/>
                <w:sz w:val="24"/>
                <w:szCs w:val="24"/>
              </w:rPr>
            </w:pPr>
            <w:r>
              <w:rPr>
                <w:rFonts w:ascii="Times New Roman" w:hAnsi="Times New Roman" w:eastAsia="楷体_GB2312"/>
                <w:sz w:val="24"/>
                <w:szCs w:val="24"/>
              </w:rPr>
              <w:t>1</w:t>
            </w:r>
          </w:p>
        </w:tc>
        <w:tc>
          <w:tcPr>
            <w:tcW w:w="0" w:type="auto"/>
            <w:noWrap/>
            <w:vAlign w:val="center"/>
          </w:tcPr>
          <w:p w14:paraId="05726248">
            <w:pPr>
              <w:jc w:val="center"/>
              <w:rPr>
                <w:color w:val="000000"/>
                <w:sz w:val="22"/>
                <w:szCs w:val="22"/>
              </w:rPr>
            </w:pPr>
            <w:r>
              <w:rPr>
                <w:color w:val="000000"/>
                <w:sz w:val="22"/>
                <w:szCs w:val="22"/>
              </w:rPr>
              <w:t>370</w:t>
            </w:r>
          </w:p>
        </w:tc>
        <w:tc>
          <w:tcPr>
            <w:tcW w:w="0" w:type="auto"/>
            <w:noWrap w:val="0"/>
            <w:vAlign w:val="center"/>
          </w:tcPr>
          <w:p w14:paraId="0BDFF506">
            <w:pPr>
              <w:jc w:val="center"/>
              <w:rPr>
                <w:color w:val="000000"/>
                <w:sz w:val="22"/>
                <w:szCs w:val="22"/>
              </w:rPr>
            </w:pPr>
            <w:r>
              <w:rPr>
                <w:color w:val="000000"/>
                <w:sz w:val="22"/>
                <w:szCs w:val="22"/>
              </w:rPr>
              <w:t>24.67</w:t>
            </w:r>
          </w:p>
        </w:tc>
        <w:tc>
          <w:tcPr>
            <w:tcW w:w="0" w:type="auto"/>
            <w:noWrap/>
            <w:vAlign w:val="center"/>
          </w:tcPr>
          <w:p w14:paraId="4E17AE36">
            <w:pPr>
              <w:jc w:val="center"/>
              <w:rPr>
                <w:color w:val="000000"/>
                <w:sz w:val="22"/>
                <w:szCs w:val="22"/>
              </w:rPr>
            </w:pPr>
            <w:r>
              <w:rPr>
                <w:color w:val="000000"/>
                <w:sz w:val="22"/>
                <w:szCs w:val="22"/>
              </w:rPr>
              <w:t>350</w:t>
            </w:r>
          </w:p>
        </w:tc>
        <w:tc>
          <w:tcPr>
            <w:tcW w:w="0" w:type="auto"/>
            <w:noWrap w:val="0"/>
            <w:vAlign w:val="center"/>
          </w:tcPr>
          <w:p w14:paraId="6B39DE73">
            <w:pPr>
              <w:jc w:val="center"/>
              <w:rPr>
                <w:color w:val="000000"/>
                <w:sz w:val="22"/>
                <w:szCs w:val="22"/>
              </w:rPr>
            </w:pPr>
            <w:r>
              <w:rPr>
                <w:color w:val="000000"/>
                <w:sz w:val="22"/>
                <w:szCs w:val="22"/>
              </w:rPr>
              <w:t>23.33</w:t>
            </w:r>
          </w:p>
        </w:tc>
        <w:tc>
          <w:tcPr>
            <w:tcW w:w="0" w:type="auto"/>
            <w:noWrap/>
            <w:vAlign w:val="center"/>
          </w:tcPr>
          <w:p w14:paraId="636E23C4">
            <w:pPr>
              <w:jc w:val="center"/>
              <w:rPr>
                <w:color w:val="000000"/>
                <w:sz w:val="22"/>
                <w:szCs w:val="22"/>
              </w:rPr>
            </w:pPr>
            <w:r>
              <w:rPr>
                <w:color w:val="000000"/>
                <w:sz w:val="22"/>
                <w:szCs w:val="22"/>
              </w:rPr>
              <w:t>330</w:t>
            </w:r>
          </w:p>
        </w:tc>
        <w:tc>
          <w:tcPr>
            <w:tcW w:w="0" w:type="auto"/>
            <w:noWrap w:val="0"/>
            <w:vAlign w:val="center"/>
          </w:tcPr>
          <w:p w14:paraId="731A2B0E">
            <w:pPr>
              <w:jc w:val="center"/>
              <w:rPr>
                <w:color w:val="000000"/>
                <w:sz w:val="22"/>
                <w:szCs w:val="22"/>
              </w:rPr>
            </w:pPr>
            <w:r>
              <w:rPr>
                <w:color w:val="000000"/>
                <w:sz w:val="22"/>
                <w:szCs w:val="22"/>
              </w:rPr>
              <w:t>22.00</w:t>
            </w:r>
          </w:p>
        </w:tc>
        <w:tc>
          <w:tcPr>
            <w:tcW w:w="0" w:type="auto"/>
            <w:noWrap w:val="0"/>
            <w:vAlign w:val="center"/>
          </w:tcPr>
          <w:p w14:paraId="71ACCB85">
            <w:pPr>
              <w:jc w:val="center"/>
              <w:rPr>
                <w:color w:val="000000"/>
                <w:sz w:val="22"/>
                <w:szCs w:val="22"/>
              </w:rPr>
            </w:pPr>
            <w:r>
              <w:rPr>
                <w:color w:val="000000"/>
                <w:sz w:val="22"/>
                <w:szCs w:val="22"/>
              </w:rPr>
              <w:t>320</w:t>
            </w:r>
          </w:p>
        </w:tc>
        <w:tc>
          <w:tcPr>
            <w:tcW w:w="0" w:type="auto"/>
            <w:noWrap w:val="0"/>
            <w:vAlign w:val="center"/>
          </w:tcPr>
          <w:p w14:paraId="0BF2A176">
            <w:pPr>
              <w:jc w:val="center"/>
              <w:rPr>
                <w:color w:val="000000"/>
                <w:sz w:val="22"/>
                <w:szCs w:val="22"/>
              </w:rPr>
            </w:pPr>
            <w:r>
              <w:rPr>
                <w:color w:val="000000"/>
                <w:sz w:val="22"/>
                <w:szCs w:val="22"/>
              </w:rPr>
              <w:t>21.33</w:t>
            </w:r>
          </w:p>
        </w:tc>
        <w:tc>
          <w:tcPr>
            <w:tcW w:w="0" w:type="auto"/>
            <w:noWrap w:val="0"/>
            <w:vAlign w:val="center"/>
          </w:tcPr>
          <w:p w14:paraId="1C3275E3">
            <w:pPr>
              <w:jc w:val="center"/>
              <w:rPr>
                <w:color w:val="000000"/>
                <w:sz w:val="22"/>
                <w:szCs w:val="22"/>
              </w:rPr>
            </w:pPr>
            <w:r>
              <w:rPr>
                <w:color w:val="000000"/>
                <w:sz w:val="22"/>
                <w:szCs w:val="22"/>
              </w:rPr>
              <w:t>310</w:t>
            </w:r>
          </w:p>
        </w:tc>
        <w:tc>
          <w:tcPr>
            <w:tcW w:w="0" w:type="auto"/>
            <w:noWrap w:val="0"/>
            <w:vAlign w:val="center"/>
          </w:tcPr>
          <w:p w14:paraId="21C51306">
            <w:pPr>
              <w:jc w:val="center"/>
              <w:rPr>
                <w:color w:val="000000"/>
                <w:sz w:val="22"/>
                <w:szCs w:val="22"/>
              </w:rPr>
            </w:pPr>
            <w:r>
              <w:rPr>
                <w:color w:val="000000"/>
                <w:sz w:val="22"/>
                <w:szCs w:val="22"/>
              </w:rPr>
              <w:t>20.67</w:t>
            </w:r>
          </w:p>
        </w:tc>
        <w:tc>
          <w:tcPr>
            <w:tcW w:w="0" w:type="auto"/>
            <w:noWrap w:val="0"/>
            <w:vAlign w:val="center"/>
          </w:tcPr>
          <w:p w14:paraId="5822A7AC">
            <w:pPr>
              <w:jc w:val="center"/>
              <w:rPr>
                <w:color w:val="000000"/>
                <w:sz w:val="22"/>
                <w:szCs w:val="22"/>
              </w:rPr>
            </w:pPr>
            <w:r>
              <w:rPr>
                <w:color w:val="000000"/>
                <w:sz w:val="22"/>
                <w:szCs w:val="22"/>
              </w:rPr>
              <w:t>290</w:t>
            </w:r>
          </w:p>
        </w:tc>
        <w:tc>
          <w:tcPr>
            <w:tcW w:w="0" w:type="auto"/>
            <w:noWrap w:val="0"/>
            <w:vAlign w:val="center"/>
          </w:tcPr>
          <w:p w14:paraId="763A0014">
            <w:pPr>
              <w:jc w:val="center"/>
              <w:rPr>
                <w:color w:val="000000"/>
                <w:sz w:val="22"/>
                <w:szCs w:val="22"/>
              </w:rPr>
            </w:pPr>
            <w:r>
              <w:rPr>
                <w:color w:val="000000"/>
                <w:sz w:val="22"/>
                <w:szCs w:val="22"/>
              </w:rPr>
              <w:t>19.33</w:t>
            </w:r>
          </w:p>
        </w:tc>
      </w:tr>
      <w:tr w14:paraId="6FFB1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17EEEAD5">
            <w:pPr>
              <w:pStyle w:val="20"/>
              <w:jc w:val="center"/>
              <w:rPr>
                <w:rFonts w:ascii="Times New Roman" w:hAnsi="Times New Roman" w:eastAsia="楷体_GB2312"/>
                <w:sz w:val="24"/>
                <w:szCs w:val="24"/>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4442E48F">
            <w:pPr>
              <w:pStyle w:val="20"/>
              <w:jc w:val="center"/>
              <w:rPr>
                <w:rFonts w:ascii="Times New Roman" w:hAnsi="Times New Roman" w:eastAsia="楷体_GB2312"/>
                <w:sz w:val="24"/>
                <w:szCs w:val="24"/>
              </w:rPr>
            </w:pPr>
          </w:p>
        </w:tc>
        <w:tc>
          <w:tcPr>
            <w:tcW w:w="0" w:type="auto"/>
            <w:tcBorders>
              <w:left w:val="single" w:color="auto" w:sz="4" w:space="0"/>
              <w:bottom w:val="single" w:color="auto" w:sz="4" w:space="0"/>
            </w:tcBorders>
            <w:noWrap w:val="0"/>
            <w:vAlign w:val="center"/>
          </w:tcPr>
          <w:p w14:paraId="6F21FFCD">
            <w:pPr>
              <w:pStyle w:val="20"/>
              <w:jc w:val="center"/>
              <w:rPr>
                <w:rFonts w:ascii="Times New Roman" w:hAnsi="Times New Roman" w:eastAsia="楷体_GB2312"/>
                <w:sz w:val="24"/>
                <w:szCs w:val="24"/>
              </w:rPr>
            </w:pPr>
            <w:r>
              <w:rPr>
                <w:rFonts w:ascii="Times New Roman" w:hAnsi="Times New Roman" w:eastAsia="楷体_GB2312"/>
                <w:sz w:val="24"/>
                <w:szCs w:val="24"/>
              </w:rPr>
              <w:t>2</w:t>
            </w:r>
          </w:p>
        </w:tc>
        <w:tc>
          <w:tcPr>
            <w:tcW w:w="0" w:type="auto"/>
            <w:tcBorders>
              <w:bottom w:val="single" w:color="auto" w:sz="4" w:space="0"/>
            </w:tcBorders>
            <w:noWrap/>
            <w:vAlign w:val="center"/>
          </w:tcPr>
          <w:p w14:paraId="6F617CB5">
            <w:pPr>
              <w:jc w:val="center"/>
              <w:rPr>
                <w:color w:val="000000"/>
                <w:sz w:val="22"/>
                <w:szCs w:val="22"/>
              </w:rPr>
            </w:pPr>
            <w:r>
              <w:rPr>
                <w:color w:val="000000"/>
                <w:sz w:val="22"/>
                <w:szCs w:val="22"/>
              </w:rPr>
              <w:t>270</w:t>
            </w:r>
          </w:p>
        </w:tc>
        <w:tc>
          <w:tcPr>
            <w:tcW w:w="0" w:type="auto"/>
            <w:tcBorders>
              <w:bottom w:val="single" w:color="auto" w:sz="4" w:space="0"/>
            </w:tcBorders>
            <w:noWrap w:val="0"/>
            <w:vAlign w:val="center"/>
          </w:tcPr>
          <w:p w14:paraId="508858B2">
            <w:pPr>
              <w:jc w:val="center"/>
              <w:rPr>
                <w:color w:val="000000"/>
                <w:sz w:val="22"/>
                <w:szCs w:val="22"/>
              </w:rPr>
            </w:pPr>
            <w:r>
              <w:rPr>
                <w:color w:val="000000"/>
                <w:sz w:val="22"/>
                <w:szCs w:val="22"/>
              </w:rPr>
              <w:t>18.00</w:t>
            </w:r>
          </w:p>
        </w:tc>
        <w:tc>
          <w:tcPr>
            <w:tcW w:w="0" w:type="auto"/>
            <w:tcBorders>
              <w:bottom w:val="single" w:color="auto" w:sz="4" w:space="0"/>
            </w:tcBorders>
            <w:noWrap/>
            <w:vAlign w:val="center"/>
          </w:tcPr>
          <w:p w14:paraId="1382A8E3">
            <w:pPr>
              <w:jc w:val="center"/>
              <w:rPr>
                <w:color w:val="000000"/>
                <w:sz w:val="22"/>
                <w:szCs w:val="22"/>
              </w:rPr>
            </w:pPr>
            <w:r>
              <w:rPr>
                <w:color w:val="000000"/>
                <w:sz w:val="22"/>
                <w:szCs w:val="22"/>
              </w:rPr>
              <w:t>260</w:t>
            </w:r>
          </w:p>
        </w:tc>
        <w:tc>
          <w:tcPr>
            <w:tcW w:w="0" w:type="auto"/>
            <w:tcBorders>
              <w:bottom w:val="single" w:color="auto" w:sz="4" w:space="0"/>
            </w:tcBorders>
            <w:noWrap w:val="0"/>
            <w:vAlign w:val="center"/>
          </w:tcPr>
          <w:p w14:paraId="27967ED9">
            <w:pPr>
              <w:jc w:val="center"/>
              <w:rPr>
                <w:color w:val="000000"/>
                <w:sz w:val="22"/>
                <w:szCs w:val="22"/>
              </w:rPr>
            </w:pPr>
            <w:r>
              <w:rPr>
                <w:color w:val="000000"/>
                <w:sz w:val="22"/>
                <w:szCs w:val="22"/>
              </w:rPr>
              <w:t>17.33</w:t>
            </w:r>
          </w:p>
        </w:tc>
        <w:tc>
          <w:tcPr>
            <w:tcW w:w="0" w:type="auto"/>
            <w:tcBorders>
              <w:bottom w:val="single" w:color="auto" w:sz="4" w:space="0"/>
            </w:tcBorders>
            <w:noWrap/>
            <w:vAlign w:val="center"/>
          </w:tcPr>
          <w:p w14:paraId="764826AE">
            <w:pPr>
              <w:jc w:val="center"/>
              <w:rPr>
                <w:color w:val="000000"/>
                <w:sz w:val="22"/>
                <w:szCs w:val="22"/>
              </w:rPr>
            </w:pPr>
            <w:r>
              <w:rPr>
                <w:color w:val="000000"/>
                <w:sz w:val="22"/>
                <w:szCs w:val="22"/>
              </w:rPr>
              <w:t>250</w:t>
            </w:r>
          </w:p>
        </w:tc>
        <w:tc>
          <w:tcPr>
            <w:tcW w:w="0" w:type="auto"/>
            <w:tcBorders>
              <w:bottom w:val="single" w:color="auto" w:sz="4" w:space="0"/>
            </w:tcBorders>
            <w:noWrap w:val="0"/>
            <w:vAlign w:val="center"/>
          </w:tcPr>
          <w:p w14:paraId="003796B0">
            <w:pPr>
              <w:jc w:val="center"/>
              <w:rPr>
                <w:color w:val="000000"/>
                <w:sz w:val="22"/>
                <w:szCs w:val="22"/>
              </w:rPr>
            </w:pPr>
            <w:r>
              <w:rPr>
                <w:color w:val="000000"/>
                <w:sz w:val="22"/>
                <w:szCs w:val="22"/>
              </w:rPr>
              <w:t>16.67</w:t>
            </w:r>
          </w:p>
        </w:tc>
        <w:tc>
          <w:tcPr>
            <w:tcW w:w="0" w:type="auto"/>
            <w:tcBorders>
              <w:bottom w:val="single" w:color="auto" w:sz="4" w:space="0"/>
            </w:tcBorders>
            <w:noWrap w:val="0"/>
            <w:vAlign w:val="center"/>
          </w:tcPr>
          <w:p w14:paraId="30BA0517">
            <w:pPr>
              <w:jc w:val="center"/>
              <w:rPr>
                <w:color w:val="000000"/>
                <w:sz w:val="22"/>
                <w:szCs w:val="22"/>
              </w:rPr>
            </w:pPr>
            <w:r>
              <w:rPr>
                <w:color w:val="000000"/>
                <w:sz w:val="22"/>
                <w:szCs w:val="22"/>
              </w:rPr>
              <w:t>240</w:t>
            </w:r>
          </w:p>
        </w:tc>
        <w:tc>
          <w:tcPr>
            <w:tcW w:w="0" w:type="auto"/>
            <w:tcBorders>
              <w:bottom w:val="single" w:color="auto" w:sz="4" w:space="0"/>
            </w:tcBorders>
            <w:noWrap w:val="0"/>
            <w:vAlign w:val="center"/>
          </w:tcPr>
          <w:p w14:paraId="41E43ACE">
            <w:pPr>
              <w:jc w:val="center"/>
              <w:rPr>
                <w:color w:val="000000"/>
                <w:sz w:val="22"/>
                <w:szCs w:val="22"/>
              </w:rPr>
            </w:pPr>
            <w:r>
              <w:rPr>
                <w:color w:val="000000"/>
                <w:sz w:val="22"/>
                <w:szCs w:val="22"/>
              </w:rPr>
              <w:t>16.00</w:t>
            </w:r>
          </w:p>
        </w:tc>
        <w:tc>
          <w:tcPr>
            <w:tcW w:w="0" w:type="auto"/>
            <w:tcBorders>
              <w:bottom w:val="single" w:color="auto" w:sz="4" w:space="0"/>
            </w:tcBorders>
            <w:noWrap w:val="0"/>
            <w:vAlign w:val="center"/>
          </w:tcPr>
          <w:p w14:paraId="3A7BA339">
            <w:pPr>
              <w:jc w:val="center"/>
              <w:rPr>
                <w:color w:val="000000"/>
                <w:sz w:val="22"/>
                <w:szCs w:val="22"/>
              </w:rPr>
            </w:pPr>
            <w:r>
              <w:rPr>
                <w:color w:val="000000"/>
                <w:sz w:val="22"/>
                <w:szCs w:val="22"/>
              </w:rPr>
              <w:t>235</w:t>
            </w:r>
          </w:p>
        </w:tc>
        <w:tc>
          <w:tcPr>
            <w:tcW w:w="0" w:type="auto"/>
            <w:tcBorders>
              <w:bottom w:val="single" w:color="auto" w:sz="4" w:space="0"/>
            </w:tcBorders>
            <w:noWrap w:val="0"/>
            <w:vAlign w:val="center"/>
          </w:tcPr>
          <w:p w14:paraId="238EF4FD">
            <w:pPr>
              <w:jc w:val="center"/>
              <w:rPr>
                <w:color w:val="000000"/>
                <w:sz w:val="22"/>
                <w:szCs w:val="22"/>
              </w:rPr>
            </w:pPr>
            <w:r>
              <w:rPr>
                <w:color w:val="000000"/>
                <w:sz w:val="22"/>
                <w:szCs w:val="22"/>
              </w:rPr>
              <w:t>15.67</w:t>
            </w:r>
          </w:p>
        </w:tc>
        <w:tc>
          <w:tcPr>
            <w:tcW w:w="0" w:type="auto"/>
            <w:tcBorders>
              <w:bottom w:val="single" w:color="auto" w:sz="4" w:space="0"/>
            </w:tcBorders>
            <w:noWrap w:val="0"/>
            <w:vAlign w:val="center"/>
          </w:tcPr>
          <w:p w14:paraId="26511DF0">
            <w:pPr>
              <w:jc w:val="center"/>
              <w:rPr>
                <w:color w:val="000000"/>
                <w:sz w:val="22"/>
                <w:szCs w:val="22"/>
              </w:rPr>
            </w:pPr>
            <w:r>
              <w:rPr>
                <w:color w:val="000000"/>
                <w:sz w:val="22"/>
                <w:szCs w:val="22"/>
              </w:rPr>
              <w:t>225</w:t>
            </w:r>
          </w:p>
        </w:tc>
        <w:tc>
          <w:tcPr>
            <w:tcW w:w="0" w:type="auto"/>
            <w:tcBorders>
              <w:bottom w:val="single" w:color="auto" w:sz="4" w:space="0"/>
            </w:tcBorders>
            <w:noWrap w:val="0"/>
            <w:vAlign w:val="center"/>
          </w:tcPr>
          <w:p w14:paraId="2E9B93E3">
            <w:pPr>
              <w:jc w:val="center"/>
              <w:rPr>
                <w:color w:val="000000"/>
                <w:sz w:val="22"/>
                <w:szCs w:val="22"/>
              </w:rPr>
            </w:pPr>
            <w:r>
              <w:rPr>
                <w:color w:val="000000"/>
                <w:sz w:val="22"/>
                <w:szCs w:val="22"/>
              </w:rPr>
              <w:t>15.00</w:t>
            </w:r>
          </w:p>
        </w:tc>
      </w:tr>
      <w:tr w14:paraId="3A8E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167E6693">
            <w:pPr>
              <w:pStyle w:val="20"/>
              <w:jc w:val="center"/>
              <w:rPr>
                <w:rFonts w:ascii="Times New Roman" w:hAnsi="Times New Roman" w:eastAsia="楷体_GB2312"/>
                <w:sz w:val="24"/>
                <w:szCs w:val="24"/>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14:paraId="5578B26B">
            <w:pPr>
              <w:pStyle w:val="20"/>
              <w:jc w:val="center"/>
              <w:rPr>
                <w:rFonts w:ascii="Times New Roman" w:hAnsi="Times New Roman" w:eastAsia="楷体_GB2312"/>
                <w:sz w:val="24"/>
                <w:szCs w:val="24"/>
              </w:rPr>
            </w:pPr>
          </w:p>
        </w:tc>
        <w:tc>
          <w:tcPr>
            <w:tcW w:w="0" w:type="auto"/>
            <w:tcBorders>
              <w:left w:val="single" w:color="auto" w:sz="4" w:space="0"/>
              <w:bottom w:val="single" w:color="auto" w:sz="4" w:space="0"/>
            </w:tcBorders>
            <w:noWrap w:val="0"/>
            <w:vAlign w:val="center"/>
          </w:tcPr>
          <w:p w14:paraId="7AF72DDF">
            <w:pPr>
              <w:pStyle w:val="20"/>
              <w:jc w:val="center"/>
              <w:rPr>
                <w:rFonts w:ascii="Times New Roman" w:hAnsi="Times New Roman" w:eastAsia="楷体_GB2312"/>
                <w:sz w:val="24"/>
                <w:szCs w:val="24"/>
              </w:rPr>
            </w:pPr>
            <w:r>
              <w:rPr>
                <w:rFonts w:ascii="Times New Roman" w:hAnsi="Times New Roman" w:eastAsia="楷体_GB2312"/>
                <w:sz w:val="24"/>
                <w:szCs w:val="24"/>
              </w:rPr>
              <w:t>3</w:t>
            </w:r>
          </w:p>
        </w:tc>
        <w:tc>
          <w:tcPr>
            <w:tcW w:w="0" w:type="auto"/>
            <w:tcBorders>
              <w:bottom w:val="single" w:color="auto" w:sz="4" w:space="0"/>
            </w:tcBorders>
            <w:noWrap/>
            <w:vAlign w:val="center"/>
          </w:tcPr>
          <w:p w14:paraId="0F570490">
            <w:pPr>
              <w:jc w:val="center"/>
              <w:rPr>
                <w:sz w:val="22"/>
                <w:szCs w:val="22"/>
              </w:rPr>
            </w:pPr>
            <w:r>
              <w:rPr>
                <w:sz w:val="22"/>
                <w:szCs w:val="22"/>
              </w:rPr>
              <w:t>190</w:t>
            </w:r>
          </w:p>
        </w:tc>
        <w:tc>
          <w:tcPr>
            <w:tcW w:w="0" w:type="auto"/>
            <w:tcBorders>
              <w:bottom w:val="single" w:color="auto" w:sz="4" w:space="0"/>
            </w:tcBorders>
            <w:noWrap w:val="0"/>
            <w:vAlign w:val="center"/>
          </w:tcPr>
          <w:p w14:paraId="5574A8F9">
            <w:pPr>
              <w:jc w:val="center"/>
              <w:rPr>
                <w:color w:val="000000"/>
                <w:sz w:val="22"/>
                <w:szCs w:val="22"/>
              </w:rPr>
            </w:pPr>
            <w:r>
              <w:rPr>
                <w:color w:val="000000"/>
                <w:sz w:val="22"/>
                <w:szCs w:val="22"/>
              </w:rPr>
              <w:t>12.67</w:t>
            </w:r>
          </w:p>
        </w:tc>
        <w:tc>
          <w:tcPr>
            <w:tcW w:w="0" w:type="auto"/>
            <w:tcBorders>
              <w:bottom w:val="single" w:color="auto" w:sz="4" w:space="0"/>
            </w:tcBorders>
            <w:noWrap/>
            <w:vAlign w:val="center"/>
          </w:tcPr>
          <w:p w14:paraId="591FF848">
            <w:pPr>
              <w:jc w:val="center"/>
              <w:rPr>
                <w:sz w:val="22"/>
                <w:szCs w:val="22"/>
              </w:rPr>
            </w:pPr>
            <w:r>
              <w:rPr>
                <w:sz w:val="22"/>
                <w:szCs w:val="22"/>
              </w:rPr>
              <w:t>185</w:t>
            </w:r>
          </w:p>
        </w:tc>
        <w:tc>
          <w:tcPr>
            <w:tcW w:w="0" w:type="auto"/>
            <w:tcBorders>
              <w:bottom w:val="single" w:color="auto" w:sz="4" w:space="0"/>
            </w:tcBorders>
            <w:noWrap w:val="0"/>
            <w:vAlign w:val="center"/>
          </w:tcPr>
          <w:p w14:paraId="12018CE8">
            <w:pPr>
              <w:jc w:val="center"/>
              <w:rPr>
                <w:color w:val="000000"/>
                <w:sz w:val="22"/>
                <w:szCs w:val="22"/>
              </w:rPr>
            </w:pPr>
            <w:r>
              <w:rPr>
                <w:color w:val="000000"/>
                <w:sz w:val="22"/>
                <w:szCs w:val="22"/>
              </w:rPr>
              <w:t>12.33</w:t>
            </w:r>
          </w:p>
        </w:tc>
        <w:tc>
          <w:tcPr>
            <w:tcW w:w="0" w:type="auto"/>
            <w:tcBorders>
              <w:bottom w:val="single" w:color="auto" w:sz="4" w:space="0"/>
            </w:tcBorders>
            <w:noWrap/>
            <w:vAlign w:val="center"/>
          </w:tcPr>
          <w:p w14:paraId="444CCEAE">
            <w:pPr>
              <w:jc w:val="center"/>
              <w:rPr>
                <w:sz w:val="22"/>
                <w:szCs w:val="22"/>
              </w:rPr>
            </w:pPr>
            <w:r>
              <w:rPr>
                <w:sz w:val="22"/>
                <w:szCs w:val="22"/>
              </w:rPr>
              <w:t>180</w:t>
            </w:r>
          </w:p>
        </w:tc>
        <w:tc>
          <w:tcPr>
            <w:tcW w:w="0" w:type="auto"/>
            <w:tcBorders>
              <w:bottom w:val="single" w:color="auto" w:sz="4" w:space="0"/>
            </w:tcBorders>
            <w:noWrap w:val="0"/>
            <w:vAlign w:val="center"/>
          </w:tcPr>
          <w:p w14:paraId="341D9E7D">
            <w:pPr>
              <w:jc w:val="center"/>
              <w:rPr>
                <w:color w:val="000000"/>
                <w:sz w:val="22"/>
                <w:szCs w:val="22"/>
              </w:rPr>
            </w:pPr>
            <w:r>
              <w:rPr>
                <w:color w:val="000000"/>
                <w:sz w:val="22"/>
                <w:szCs w:val="22"/>
              </w:rPr>
              <w:t>12.00</w:t>
            </w:r>
          </w:p>
        </w:tc>
        <w:tc>
          <w:tcPr>
            <w:tcW w:w="0" w:type="auto"/>
            <w:tcBorders>
              <w:bottom w:val="single" w:color="auto" w:sz="4" w:space="0"/>
            </w:tcBorders>
            <w:noWrap w:val="0"/>
            <w:vAlign w:val="center"/>
          </w:tcPr>
          <w:p w14:paraId="554C5CFE">
            <w:pPr>
              <w:jc w:val="center"/>
              <w:rPr>
                <w:sz w:val="22"/>
                <w:szCs w:val="22"/>
              </w:rPr>
            </w:pPr>
            <w:r>
              <w:rPr>
                <w:sz w:val="22"/>
                <w:szCs w:val="22"/>
              </w:rPr>
              <w:t>175</w:t>
            </w:r>
          </w:p>
        </w:tc>
        <w:tc>
          <w:tcPr>
            <w:tcW w:w="0" w:type="auto"/>
            <w:tcBorders>
              <w:bottom w:val="single" w:color="auto" w:sz="4" w:space="0"/>
            </w:tcBorders>
            <w:noWrap w:val="0"/>
            <w:vAlign w:val="center"/>
          </w:tcPr>
          <w:p w14:paraId="6A655BF3">
            <w:pPr>
              <w:jc w:val="center"/>
              <w:rPr>
                <w:color w:val="000000"/>
                <w:sz w:val="22"/>
                <w:szCs w:val="22"/>
              </w:rPr>
            </w:pPr>
            <w:r>
              <w:rPr>
                <w:color w:val="000000"/>
                <w:sz w:val="22"/>
                <w:szCs w:val="22"/>
              </w:rPr>
              <w:t>11.67</w:t>
            </w:r>
          </w:p>
        </w:tc>
        <w:tc>
          <w:tcPr>
            <w:tcW w:w="0" w:type="auto"/>
            <w:tcBorders>
              <w:bottom w:val="single" w:color="auto" w:sz="4" w:space="0"/>
            </w:tcBorders>
            <w:noWrap w:val="0"/>
            <w:vAlign w:val="center"/>
          </w:tcPr>
          <w:p w14:paraId="1FC2C2E1">
            <w:pPr>
              <w:jc w:val="center"/>
              <w:rPr>
                <w:sz w:val="22"/>
                <w:szCs w:val="22"/>
              </w:rPr>
            </w:pPr>
            <w:r>
              <w:rPr>
                <w:sz w:val="22"/>
                <w:szCs w:val="22"/>
              </w:rPr>
              <w:t>170</w:t>
            </w:r>
          </w:p>
        </w:tc>
        <w:tc>
          <w:tcPr>
            <w:tcW w:w="0" w:type="auto"/>
            <w:tcBorders>
              <w:bottom w:val="single" w:color="auto" w:sz="4" w:space="0"/>
            </w:tcBorders>
            <w:noWrap w:val="0"/>
            <w:vAlign w:val="center"/>
          </w:tcPr>
          <w:p w14:paraId="5F518E1D">
            <w:pPr>
              <w:jc w:val="center"/>
              <w:rPr>
                <w:color w:val="000000"/>
                <w:sz w:val="22"/>
                <w:szCs w:val="22"/>
              </w:rPr>
            </w:pPr>
            <w:r>
              <w:rPr>
                <w:color w:val="000000"/>
                <w:sz w:val="22"/>
                <w:szCs w:val="22"/>
              </w:rPr>
              <w:t>11.33</w:t>
            </w:r>
          </w:p>
        </w:tc>
        <w:tc>
          <w:tcPr>
            <w:tcW w:w="0" w:type="auto"/>
            <w:tcBorders>
              <w:bottom w:val="single" w:color="auto" w:sz="4" w:space="0"/>
            </w:tcBorders>
            <w:noWrap w:val="0"/>
            <w:vAlign w:val="center"/>
          </w:tcPr>
          <w:p w14:paraId="13111B3C">
            <w:pPr>
              <w:jc w:val="center"/>
              <w:rPr>
                <w:sz w:val="22"/>
                <w:szCs w:val="22"/>
              </w:rPr>
            </w:pPr>
            <w:r>
              <w:rPr>
                <w:sz w:val="22"/>
                <w:szCs w:val="22"/>
              </w:rPr>
              <w:t>165</w:t>
            </w:r>
          </w:p>
        </w:tc>
        <w:tc>
          <w:tcPr>
            <w:tcW w:w="0" w:type="auto"/>
            <w:tcBorders>
              <w:bottom w:val="single" w:color="auto" w:sz="4" w:space="0"/>
            </w:tcBorders>
            <w:noWrap w:val="0"/>
            <w:vAlign w:val="center"/>
          </w:tcPr>
          <w:p w14:paraId="3220DA92">
            <w:pPr>
              <w:jc w:val="center"/>
              <w:rPr>
                <w:color w:val="000000"/>
                <w:sz w:val="22"/>
                <w:szCs w:val="22"/>
              </w:rPr>
            </w:pPr>
            <w:r>
              <w:rPr>
                <w:color w:val="000000"/>
                <w:sz w:val="22"/>
                <w:szCs w:val="22"/>
              </w:rPr>
              <w:t>11.00</w:t>
            </w:r>
          </w:p>
        </w:tc>
      </w:tr>
      <w:tr w14:paraId="1380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nil"/>
              <w:bottom w:val="nil"/>
              <w:right w:val="nil"/>
            </w:tcBorders>
            <w:noWrap w:val="0"/>
            <w:vAlign w:val="center"/>
          </w:tcPr>
          <w:p w14:paraId="77BD4497">
            <w:pPr>
              <w:pStyle w:val="20"/>
              <w:jc w:val="center"/>
              <w:rPr>
                <w:rFonts w:ascii="Times New Roman" w:hAnsi="Times New Roman" w:eastAsia="楷体_GB2312"/>
                <w:sz w:val="24"/>
                <w:szCs w:val="24"/>
              </w:rPr>
            </w:pPr>
          </w:p>
        </w:tc>
        <w:tc>
          <w:tcPr>
            <w:tcW w:w="0" w:type="auto"/>
            <w:tcBorders>
              <w:top w:val="single" w:color="auto" w:sz="4" w:space="0"/>
              <w:left w:val="nil"/>
              <w:bottom w:val="nil"/>
              <w:right w:val="nil"/>
            </w:tcBorders>
            <w:noWrap w:val="0"/>
            <w:vAlign w:val="center"/>
          </w:tcPr>
          <w:p w14:paraId="7D19EDC7">
            <w:pPr>
              <w:pStyle w:val="20"/>
              <w:jc w:val="center"/>
              <w:rPr>
                <w:rFonts w:ascii="Times New Roman" w:hAnsi="Times New Roman" w:eastAsia="楷体_GB2312"/>
                <w:sz w:val="24"/>
                <w:szCs w:val="24"/>
              </w:rPr>
            </w:pPr>
          </w:p>
        </w:tc>
        <w:tc>
          <w:tcPr>
            <w:tcW w:w="0" w:type="auto"/>
            <w:tcBorders>
              <w:top w:val="single" w:color="auto" w:sz="4" w:space="0"/>
              <w:left w:val="nil"/>
              <w:bottom w:val="nil"/>
              <w:right w:val="nil"/>
            </w:tcBorders>
            <w:noWrap w:val="0"/>
            <w:vAlign w:val="center"/>
          </w:tcPr>
          <w:p w14:paraId="7303591C">
            <w:pPr>
              <w:pStyle w:val="20"/>
              <w:jc w:val="center"/>
              <w:rPr>
                <w:rFonts w:ascii="Times New Roman" w:hAnsi="Times New Roman" w:eastAsia="楷体_GB2312"/>
                <w:sz w:val="24"/>
                <w:szCs w:val="24"/>
              </w:rPr>
            </w:pPr>
          </w:p>
        </w:tc>
        <w:tc>
          <w:tcPr>
            <w:tcW w:w="0" w:type="auto"/>
            <w:tcBorders>
              <w:top w:val="single" w:color="auto" w:sz="4" w:space="0"/>
              <w:left w:val="nil"/>
              <w:bottom w:val="nil"/>
              <w:right w:val="nil"/>
            </w:tcBorders>
            <w:noWrap/>
            <w:vAlign w:val="center"/>
          </w:tcPr>
          <w:p w14:paraId="3438B9A5">
            <w:pPr>
              <w:jc w:val="center"/>
              <w:rPr>
                <w:sz w:val="22"/>
                <w:szCs w:val="22"/>
              </w:rPr>
            </w:pPr>
          </w:p>
        </w:tc>
        <w:tc>
          <w:tcPr>
            <w:tcW w:w="0" w:type="auto"/>
            <w:tcBorders>
              <w:top w:val="single" w:color="auto" w:sz="4" w:space="0"/>
              <w:left w:val="nil"/>
              <w:bottom w:val="nil"/>
              <w:right w:val="nil"/>
            </w:tcBorders>
            <w:noWrap w:val="0"/>
            <w:vAlign w:val="center"/>
          </w:tcPr>
          <w:p w14:paraId="203C7705">
            <w:pPr>
              <w:jc w:val="center"/>
              <w:rPr>
                <w:color w:val="000000"/>
                <w:sz w:val="22"/>
                <w:szCs w:val="22"/>
              </w:rPr>
            </w:pPr>
          </w:p>
        </w:tc>
        <w:tc>
          <w:tcPr>
            <w:tcW w:w="0" w:type="auto"/>
            <w:tcBorders>
              <w:top w:val="single" w:color="auto" w:sz="4" w:space="0"/>
              <w:left w:val="nil"/>
              <w:bottom w:val="nil"/>
              <w:right w:val="nil"/>
            </w:tcBorders>
            <w:noWrap/>
            <w:vAlign w:val="center"/>
          </w:tcPr>
          <w:p w14:paraId="12FBE7C5">
            <w:pPr>
              <w:jc w:val="center"/>
              <w:rPr>
                <w:sz w:val="22"/>
                <w:szCs w:val="22"/>
              </w:rPr>
            </w:pPr>
          </w:p>
        </w:tc>
        <w:tc>
          <w:tcPr>
            <w:tcW w:w="0" w:type="auto"/>
            <w:tcBorders>
              <w:top w:val="single" w:color="auto" w:sz="4" w:space="0"/>
              <w:left w:val="nil"/>
              <w:bottom w:val="nil"/>
              <w:right w:val="nil"/>
            </w:tcBorders>
            <w:noWrap w:val="0"/>
            <w:vAlign w:val="center"/>
          </w:tcPr>
          <w:p w14:paraId="6F0778DC">
            <w:pPr>
              <w:jc w:val="center"/>
              <w:rPr>
                <w:color w:val="000000"/>
                <w:sz w:val="22"/>
                <w:szCs w:val="22"/>
              </w:rPr>
            </w:pPr>
          </w:p>
        </w:tc>
        <w:tc>
          <w:tcPr>
            <w:tcW w:w="0" w:type="auto"/>
            <w:tcBorders>
              <w:top w:val="single" w:color="auto" w:sz="4" w:space="0"/>
              <w:left w:val="nil"/>
              <w:bottom w:val="nil"/>
              <w:right w:val="nil"/>
            </w:tcBorders>
            <w:noWrap/>
            <w:vAlign w:val="center"/>
          </w:tcPr>
          <w:p w14:paraId="3D96C72F">
            <w:pPr>
              <w:jc w:val="center"/>
              <w:rPr>
                <w:sz w:val="22"/>
                <w:szCs w:val="22"/>
              </w:rPr>
            </w:pPr>
          </w:p>
        </w:tc>
        <w:tc>
          <w:tcPr>
            <w:tcW w:w="0" w:type="auto"/>
            <w:tcBorders>
              <w:top w:val="single" w:color="auto" w:sz="4" w:space="0"/>
              <w:left w:val="nil"/>
              <w:bottom w:val="nil"/>
              <w:right w:val="nil"/>
            </w:tcBorders>
            <w:noWrap w:val="0"/>
            <w:vAlign w:val="center"/>
          </w:tcPr>
          <w:p w14:paraId="0DE99EAF">
            <w:pPr>
              <w:jc w:val="center"/>
              <w:rPr>
                <w:color w:val="000000"/>
                <w:sz w:val="22"/>
                <w:szCs w:val="22"/>
              </w:rPr>
            </w:pPr>
          </w:p>
        </w:tc>
        <w:tc>
          <w:tcPr>
            <w:tcW w:w="0" w:type="auto"/>
            <w:tcBorders>
              <w:top w:val="single" w:color="auto" w:sz="4" w:space="0"/>
              <w:left w:val="nil"/>
              <w:bottom w:val="nil"/>
              <w:right w:val="nil"/>
            </w:tcBorders>
            <w:noWrap w:val="0"/>
            <w:vAlign w:val="center"/>
          </w:tcPr>
          <w:p w14:paraId="43C46F4F">
            <w:pPr>
              <w:jc w:val="center"/>
              <w:rPr>
                <w:sz w:val="22"/>
                <w:szCs w:val="22"/>
              </w:rPr>
            </w:pPr>
          </w:p>
        </w:tc>
        <w:tc>
          <w:tcPr>
            <w:tcW w:w="0" w:type="auto"/>
            <w:tcBorders>
              <w:top w:val="single" w:color="auto" w:sz="4" w:space="0"/>
              <w:left w:val="nil"/>
              <w:bottom w:val="nil"/>
              <w:right w:val="nil"/>
            </w:tcBorders>
            <w:noWrap w:val="0"/>
            <w:vAlign w:val="center"/>
          </w:tcPr>
          <w:p w14:paraId="702C7276">
            <w:pPr>
              <w:jc w:val="center"/>
              <w:rPr>
                <w:color w:val="000000"/>
                <w:sz w:val="22"/>
                <w:szCs w:val="22"/>
              </w:rPr>
            </w:pPr>
          </w:p>
        </w:tc>
        <w:tc>
          <w:tcPr>
            <w:tcW w:w="0" w:type="auto"/>
            <w:tcBorders>
              <w:top w:val="single" w:color="auto" w:sz="4" w:space="0"/>
              <w:left w:val="nil"/>
              <w:bottom w:val="nil"/>
              <w:right w:val="nil"/>
            </w:tcBorders>
            <w:noWrap w:val="0"/>
            <w:vAlign w:val="center"/>
          </w:tcPr>
          <w:p w14:paraId="2CE9544A">
            <w:pPr>
              <w:jc w:val="center"/>
              <w:rPr>
                <w:sz w:val="22"/>
                <w:szCs w:val="22"/>
              </w:rPr>
            </w:pPr>
          </w:p>
        </w:tc>
        <w:tc>
          <w:tcPr>
            <w:tcW w:w="0" w:type="auto"/>
            <w:tcBorders>
              <w:top w:val="single" w:color="auto" w:sz="4" w:space="0"/>
              <w:left w:val="nil"/>
              <w:bottom w:val="nil"/>
              <w:right w:val="nil"/>
            </w:tcBorders>
            <w:noWrap w:val="0"/>
            <w:vAlign w:val="center"/>
          </w:tcPr>
          <w:p w14:paraId="4349CC89">
            <w:pPr>
              <w:jc w:val="center"/>
              <w:rPr>
                <w:color w:val="000000"/>
                <w:sz w:val="22"/>
                <w:szCs w:val="22"/>
              </w:rPr>
            </w:pPr>
          </w:p>
        </w:tc>
        <w:tc>
          <w:tcPr>
            <w:tcW w:w="0" w:type="auto"/>
            <w:tcBorders>
              <w:top w:val="single" w:color="auto" w:sz="4" w:space="0"/>
              <w:left w:val="nil"/>
              <w:bottom w:val="nil"/>
              <w:right w:val="nil"/>
            </w:tcBorders>
            <w:noWrap w:val="0"/>
            <w:vAlign w:val="center"/>
          </w:tcPr>
          <w:p w14:paraId="50A12CD8">
            <w:pPr>
              <w:jc w:val="center"/>
              <w:rPr>
                <w:sz w:val="22"/>
                <w:szCs w:val="22"/>
              </w:rPr>
            </w:pPr>
          </w:p>
        </w:tc>
        <w:tc>
          <w:tcPr>
            <w:tcW w:w="0" w:type="auto"/>
            <w:tcBorders>
              <w:top w:val="single" w:color="auto" w:sz="4" w:space="0"/>
              <w:left w:val="nil"/>
              <w:bottom w:val="nil"/>
              <w:right w:val="nil"/>
            </w:tcBorders>
            <w:noWrap w:val="0"/>
            <w:vAlign w:val="center"/>
          </w:tcPr>
          <w:p w14:paraId="5D178AF4">
            <w:pPr>
              <w:jc w:val="center"/>
              <w:rPr>
                <w:color w:val="000000"/>
                <w:sz w:val="22"/>
                <w:szCs w:val="22"/>
              </w:rPr>
            </w:pPr>
          </w:p>
        </w:tc>
      </w:tr>
      <w:tr w14:paraId="0652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tcBorders>
              <w:top w:val="nil"/>
            </w:tcBorders>
            <w:noWrap w:val="0"/>
            <w:vAlign w:val="center"/>
          </w:tcPr>
          <w:p w14:paraId="1AAEA65A">
            <w:pPr>
              <w:pStyle w:val="20"/>
              <w:jc w:val="center"/>
              <w:rPr>
                <w:rFonts w:ascii="Times New Roman" w:hAnsi="Times New Roman" w:eastAsia="楷体_GB2312"/>
                <w:sz w:val="24"/>
                <w:szCs w:val="24"/>
              </w:rPr>
            </w:pPr>
            <w:r>
              <w:rPr>
                <w:rFonts w:ascii="Times New Roman" w:hAnsi="Times New Roman" w:eastAsia="楷体_GB2312"/>
                <w:sz w:val="24"/>
                <w:szCs w:val="24"/>
              </w:rPr>
              <w:t>8</w:t>
            </w:r>
          </w:p>
        </w:tc>
        <w:tc>
          <w:tcPr>
            <w:tcW w:w="0" w:type="auto"/>
            <w:vMerge w:val="restart"/>
            <w:tcBorders>
              <w:top w:val="nil"/>
            </w:tcBorders>
            <w:noWrap w:val="0"/>
            <w:vAlign w:val="center"/>
          </w:tcPr>
          <w:p w14:paraId="592A1877">
            <w:pPr>
              <w:pStyle w:val="20"/>
              <w:jc w:val="center"/>
              <w:rPr>
                <w:rFonts w:ascii="Times New Roman" w:hAnsi="Times New Roman" w:eastAsia="楷体_GB2312"/>
                <w:sz w:val="24"/>
                <w:szCs w:val="24"/>
              </w:rPr>
            </w:pPr>
            <w:r>
              <w:rPr>
                <w:rFonts w:ascii="Times New Roman" w:hAnsi="Times New Roman" w:eastAsia="楷体_GB2312"/>
                <w:sz w:val="24"/>
                <w:szCs w:val="24"/>
              </w:rPr>
              <w:t>夹沟镇</w:t>
            </w:r>
          </w:p>
        </w:tc>
        <w:tc>
          <w:tcPr>
            <w:tcW w:w="0" w:type="auto"/>
            <w:tcBorders>
              <w:top w:val="nil"/>
            </w:tcBorders>
            <w:noWrap w:val="0"/>
            <w:vAlign w:val="center"/>
          </w:tcPr>
          <w:p w14:paraId="63D66C6D">
            <w:pPr>
              <w:pStyle w:val="20"/>
              <w:jc w:val="center"/>
              <w:rPr>
                <w:rFonts w:ascii="Times New Roman" w:hAnsi="Times New Roman" w:eastAsia="楷体_GB2312"/>
                <w:sz w:val="24"/>
                <w:szCs w:val="24"/>
              </w:rPr>
            </w:pPr>
            <w:r>
              <w:rPr>
                <w:rFonts w:ascii="Times New Roman" w:hAnsi="Times New Roman" w:eastAsia="楷体_GB2312"/>
                <w:sz w:val="24"/>
                <w:szCs w:val="24"/>
              </w:rPr>
              <w:t>1</w:t>
            </w:r>
          </w:p>
        </w:tc>
        <w:tc>
          <w:tcPr>
            <w:tcW w:w="0" w:type="auto"/>
            <w:tcBorders>
              <w:top w:val="nil"/>
            </w:tcBorders>
            <w:noWrap/>
            <w:vAlign w:val="center"/>
          </w:tcPr>
          <w:p w14:paraId="1161287E">
            <w:pPr>
              <w:jc w:val="center"/>
              <w:rPr>
                <w:color w:val="000000"/>
                <w:sz w:val="22"/>
                <w:szCs w:val="22"/>
              </w:rPr>
            </w:pPr>
            <w:r>
              <w:rPr>
                <w:color w:val="000000"/>
                <w:sz w:val="22"/>
                <w:szCs w:val="22"/>
              </w:rPr>
              <w:t>360</w:t>
            </w:r>
          </w:p>
        </w:tc>
        <w:tc>
          <w:tcPr>
            <w:tcW w:w="0" w:type="auto"/>
            <w:tcBorders>
              <w:top w:val="nil"/>
            </w:tcBorders>
            <w:noWrap w:val="0"/>
            <w:vAlign w:val="center"/>
          </w:tcPr>
          <w:p w14:paraId="15C5BBCD">
            <w:pPr>
              <w:jc w:val="center"/>
              <w:rPr>
                <w:color w:val="000000"/>
                <w:sz w:val="22"/>
                <w:szCs w:val="22"/>
              </w:rPr>
            </w:pPr>
            <w:r>
              <w:rPr>
                <w:color w:val="000000"/>
                <w:sz w:val="22"/>
                <w:szCs w:val="22"/>
              </w:rPr>
              <w:t>24.00</w:t>
            </w:r>
          </w:p>
        </w:tc>
        <w:tc>
          <w:tcPr>
            <w:tcW w:w="0" w:type="auto"/>
            <w:tcBorders>
              <w:top w:val="nil"/>
            </w:tcBorders>
            <w:noWrap/>
            <w:vAlign w:val="center"/>
          </w:tcPr>
          <w:p w14:paraId="23A28B9C">
            <w:pPr>
              <w:jc w:val="center"/>
              <w:rPr>
                <w:color w:val="000000"/>
                <w:sz w:val="22"/>
                <w:szCs w:val="22"/>
              </w:rPr>
            </w:pPr>
            <w:r>
              <w:rPr>
                <w:color w:val="000000"/>
                <w:sz w:val="22"/>
                <w:szCs w:val="22"/>
              </w:rPr>
              <w:t>340</w:t>
            </w:r>
          </w:p>
        </w:tc>
        <w:tc>
          <w:tcPr>
            <w:tcW w:w="0" w:type="auto"/>
            <w:tcBorders>
              <w:top w:val="nil"/>
            </w:tcBorders>
            <w:noWrap w:val="0"/>
            <w:vAlign w:val="center"/>
          </w:tcPr>
          <w:p w14:paraId="3A6FA2BA">
            <w:pPr>
              <w:jc w:val="center"/>
              <w:rPr>
                <w:color w:val="000000"/>
                <w:sz w:val="22"/>
                <w:szCs w:val="22"/>
              </w:rPr>
            </w:pPr>
            <w:r>
              <w:rPr>
                <w:color w:val="000000"/>
                <w:sz w:val="22"/>
                <w:szCs w:val="22"/>
              </w:rPr>
              <w:t>22.67</w:t>
            </w:r>
          </w:p>
        </w:tc>
        <w:tc>
          <w:tcPr>
            <w:tcW w:w="0" w:type="auto"/>
            <w:tcBorders>
              <w:top w:val="nil"/>
            </w:tcBorders>
            <w:noWrap/>
            <w:vAlign w:val="center"/>
          </w:tcPr>
          <w:p w14:paraId="0AB67E68">
            <w:pPr>
              <w:jc w:val="center"/>
              <w:rPr>
                <w:color w:val="000000"/>
                <w:sz w:val="22"/>
                <w:szCs w:val="22"/>
              </w:rPr>
            </w:pPr>
            <w:r>
              <w:rPr>
                <w:color w:val="000000"/>
                <w:sz w:val="22"/>
                <w:szCs w:val="22"/>
              </w:rPr>
              <w:t>320</w:t>
            </w:r>
          </w:p>
        </w:tc>
        <w:tc>
          <w:tcPr>
            <w:tcW w:w="0" w:type="auto"/>
            <w:tcBorders>
              <w:top w:val="nil"/>
            </w:tcBorders>
            <w:noWrap w:val="0"/>
            <w:vAlign w:val="center"/>
          </w:tcPr>
          <w:p w14:paraId="641EFB40">
            <w:pPr>
              <w:jc w:val="center"/>
              <w:rPr>
                <w:color w:val="000000"/>
                <w:sz w:val="22"/>
                <w:szCs w:val="22"/>
              </w:rPr>
            </w:pPr>
            <w:r>
              <w:rPr>
                <w:color w:val="000000"/>
                <w:sz w:val="22"/>
                <w:szCs w:val="22"/>
              </w:rPr>
              <w:t>21.33</w:t>
            </w:r>
          </w:p>
        </w:tc>
        <w:tc>
          <w:tcPr>
            <w:tcW w:w="0" w:type="auto"/>
            <w:tcBorders>
              <w:top w:val="nil"/>
            </w:tcBorders>
            <w:noWrap w:val="0"/>
            <w:vAlign w:val="center"/>
          </w:tcPr>
          <w:p w14:paraId="0141A88C">
            <w:pPr>
              <w:jc w:val="center"/>
              <w:rPr>
                <w:color w:val="000000"/>
                <w:sz w:val="22"/>
                <w:szCs w:val="22"/>
              </w:rPr>
            </w:pPr>
            <w:r>
              <w:rPr>
                <w:color w:val="000000"/>
                <w:sz w:val="22"/>
                <w:szCs w:val="22"/>
              </w:rPr>
              <w:t>310</w:t>
            </w:r>
          </w:p>
        </w:tc>
        <w:tc>
          <w:tcPr>
            <w:tcW w:w="0" w:type="auto"/>
            <w:tcBorders>
              <w:top w:val="nil"/>
            </w:tcBorders>
            <w:noWrap w:val="0"/>
            <w:vAlign w:val="center"/>
          </w:tcPr>
          <w:p w14:paraId="0222DE7F">
            <w:pPr>
              <w:jc w:val="center"/>
              <w:rPr>
                <w:color w:val="000000"/>
                <w:sz w:val="22"/>
                <w:szCs w:val="22"/>
              </w:rPr>
            </w:pPr>
            <w:r>
              <w:rPr>
                <w:color w:val="000000"/>
                <w:sz w:val="22"/>
                <w:szCs w:val="22"/>
              </w:rPr>
              <w:t>20.67</w:t>
            </w:r>
          </w:p>
        </w:tc>
        <w:tc>
          <w:tcPr>
            <w:tcW w:w="0" w:type="auto"/>
            <w:tcBorders>
              <w:top w:val="nil"/>
            </w:tcBorders>
            <w:noWrap w:val="0"/>
            <w:vAlign w:val="center"/>
          </w:tcPr>
          <w:p w14:paraId="59DB2582">
            <w:pPr>
              <w:jc w:val="center"/>
              <w:rPr>
                <w:color w:val="000000"/>
                <w:sz w:val="22"/>
                <w:szCs w:val="22"/>
              </w:rPr>
            </w:pPr>
            <w:r>
              <w:rPr>
                <w:color w:val="000000"/>
                <w:sz w:val="22"/>
                <w:szCs w:val="22"/>
              </w:rPr>
              <w:t>300</w:t>
            </w:r>
          </w:p>
        </w:tc>
        <w:tc>
          <w:tcPr>
            <w:tcW w:w="0" w:type="auto"/>
            <w:tcBorders>
              <w:top w:val="nil"/>
            </w:tcBorders>
            <w:noWrap w:val="0"/>
            <w:vAlign w:val="center"/>
          </w:tcPr>
          <w:p w14:paraId="3FF549C7">
            <w:pPr>
              <w:jc w:val="center"/>
              <w:rPr>
                <w:color w:val="000000"/>
                <w:sz w:val="22"/>
                <w:szCs w:val="22"/>
              </w:rPr>
            </w:pPr>
            <w:r>
              <w:rPr>
                <w:color w:val="000000"/>
                <w:sz w:val="22"/>
                <w:szCs w:val="22"/>
              </w:rPr>
              <w:t>20.00</w:t>
            </w:r>
          </w:p>
        </w:tc>
        <w:tc>
          <w:tcPr>
            <w:tcW w:w="0" w:type="auto"/>
            <w:tcBorders>
              <w:top w:val="nil"/>
            </w:tcBorders>
            <w:noWrap w:val="0"/>
            <w:vAlign w:val="center"/>
          </w:tcPr>
          <w:p w14:paraId="4C0CC6F2">
            <w:pPr>
              <w:jc w:val="center"/>
              <w:rPr>
                <w:color w:val="000000"/>
                <w:sz w:val="22"/>
                <w:szCs w:val="22"/>
              </w:rPr>
            </w:pPr>
            <w:r>
              <w:rPr>
                <w:color w:val="000000"/>
                <w:sz w:val="22"/>
                <w:szCs w:val="22"/>
              </w:rPr>
              <w:t>280</w:t>
            </w:r>
          </w:p>
        </w:tc>
        <w:tc>
          <w:tcPr>
            <w:tcW w:w="0" w:type="auto"/>
            <w:tcBorders>
              <w:top w:val="nil"/>
            </w:tcBorders>
            <w:noWrap w:val="0"/>
            <w:vAlign w:val="center"/>
          </w:tcPr>
          <w:p w14:paraId="5A2E2238">
            <w:pPr>
              <w:jc w:val="center"/>
              <w:rPr>
                <w:color w:val="000000"/>
                <w:sz w:val="22"/>
                <w:szCs w:val="22"/>
              </w:rPr>
            </w:pPr>
            <w:r>
              <w:rPr>
                <w:color w:val="000000"/>
                <w:sz w:val="22"/>
                <w:szCs w:val="22"/>
              </w:rPr>
              <w:t>18.67</w:t>
            </w:r>
          </w:p>
        </w:tc>
      </w:tr>
      <w:tr w14:paraId="519CB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4F7CCB86">
            <w:pPr>
              <w:pStyle w:val="20"/>
              <w:jc w:val="center"/>
              <w:rPr>
                <w:rFonts w:ascii="Times New Roman" w:hAnsi="Times New Roman" w:eastAsia="楷体_GB2312"/>
                <w:sz w:val="24"/>
                <w:szCs w:val="24"/>
              </w:rPr>
            </w:pPr>
          </w:p>
        </w:tc>
        <w:tc>
          <w:tcPr>
            <w:tcW w:w="0" w:type="auto"/>
            <w:vMerge w:val="continue"/>
            <w:noWrap w:val="0"/>
            <w:vAlign w:val="center"/>
          </w:tcPr>
          <w:p w14:paraId="11CA26FB">
            <w:pPr>
              <w:pStyle w:val="20"/>
              <w:jc w:val="center"/>
              <w:rPr>
                <w:rFonts w:ascii="Times New Roman" w:hAnsi="Times New Roman" w:eastAsia="楷体_GB2312"/>
                <w:sz w:val="24"/>
                <w:szCs w:val="24"/>
              </w:rPr>
            </w:pPr>
          </w:p>
        </w:tc>
        <w:tc>
          <w:tcPr>
            <w:tcW w:w="0" w:type="auto"/>
            <w:noWrap w:val="0"/>
            <w:vAlign w:val="center"/>
          </w:tcPr>
          <w:p w14:paraId="1F55B9B4">
            <w:pPr>
              <w:pStyle w:val="20"/>
              <w:jc w:val="center"/>
              <w:rPr>
                <w:rFonts w:ascii="Times New Roman" w:hAnsi="Times New Roman" w:eastAsia="楷体_GB2312"/>
                <w:sz w:val="24"/>
                <w:szCs w:val="24"/>
              </w:rPr>
            </w:pPr>
            <w:r>
              <w:rPr>
                <w:rFonts w:ascii="Times New Roman" w:hAnsi="Times New Roman" w:eastAsia="楷体_GB2312"/>
                <w:sz w:val="24"/>
                <w:szCs w:val="24"/>
              </w:rPr>
              <w:t>2</w:t>
            </w:r>
          </w:p>
        </w:tc>
        <w:tc>
          <w:tcPr>
            <w:tcW w:w="0" w:type="auto"/>
            <w:noWrap/>
            <w:vAlign w:val="center"/>
          </w:tcPr>
          <w:p w14:paraId="5EF3E8FF">
            <w:pPr>
              <w:jc w:val="center"/>
              <w:rPr>
                <w:color w:val="000000"/>
                <w:sz w:val="22"/>
                <w:szCs w:val="22"/>
              </w:rPr>
            </w:pPr>
            <w:r>
              <w:rPr>
                <w:color w:val="000000"/>
                <w:sz w:val="22"/>
                <w:szCs w:val="22"/>
              </w:rPr>
              <w:t>280</w:t>
            </w:r>
          </w:p>
        </w:tc>
        <w:tc>
          <w:tcPr>
            <w:tcW w:w="0" w:type="auto"/>
            <w:noWrap w:val="0"/>
            <w:vAlign w:val="center"/>
          </w:tcPr>
          <w:p w14:paraId="52516E6A">
            <w:pPr>
              <w:jc w:val="center"/>
              <w:rPr>
                <w:color w:val="000000"/>
                <w:sz w:val="22"/>
                <w:szCs w:val="22"/>
              </w:rPr>
            </w:pPr>
            <w:r>
              <w:rPr>
                <w:color w:val="000000"/>
                <w:sz w:val="22"/>
                <w:szCs w:val="22"/>
              </w:rPr>
              <w:t>18.67</w:t>
            </w:r>
          </w:p>
        </w:tc>
        <w:tc>
          <w:tcPr>
            <w:tcW w:w="0" w:type="auto"/>
            <w:noWrap/>
            <w:vAlign w:val="center"/>
          </w:tcPr>
          <w:p w14:paraId="233993A1">
            <w:pPr>
              <w:jc w:val="center"/>
              <w:rPr>
                <w:color w:val="000000"/>
                <w:sz w:val="22"/>
                <w:szCs w:val="22"/>
              </w:rPr>
            </w:pPr>
            <w:r>
              <w:rPr>
                <w:color w:val="000000"/>
                <w:sz w:val="22"/>
                <w:szCs w:val="22"/>
              </w:rPr>
              <w:t>270</w:t>
            </w:r>
          </w:p>
        </w:tc>
        <w:tc>
          <w:tcPr>
            <w:tcW w:w="0" w:type="auto"/>
            <w:noWrap w:val="0"/>
            <w:vAlign w:val="center"/>
          </w:tcPr>
          <w:p w14:paraId="474E226D">
            <w:pPr>
              <w:jc w:val="center"/>
              <w:rPr>
                <w:color w:val="000000"/>
                <w:sz w:val="22"/>
                <w:szCs w:val="22"/>
              </w:rPr>
            </w:pPr>
            <w:r>
              <w:rPr>
                <w:color w:val="000000"/>
                <w:sz w:val="22"/>
                <w:szCs w:val="22"/>
              </w:rPr>
              <w:t>18.00</w:t>
            </w:r>
          </w:p>
        </w:tc>
        <w:tc>
          <w:tcPr>
            <w:tcW w:w="0" w:type="auto"/>
            <w:noWrap/>
            <w:vAlign w:val="center"/>
          </w:tcPr>
          <w:p w14:paraId="14F8DF96">
            <w:pPr>
              <w:jc w:val="center"/>
              <w:rPr>
                <w:color w:val="000000"/>
                <w:sz w:val="22"/>
                <w:szCs w:val="22"/>
              </w:rPr>
            </w:pPr>
            <w:r>
              <w:rPr>
                <w:color w:val="000000"/>
                <w:sz w:val="22"/>
                <w:szCs w:val="22"/>
              </w:rPr>
              <w:t>260</w:t>
            </w:r>
          </w:p>
        </w:tc>
        <w:tc>
          <w:tcPr>
            <w:tcW w:w="0" w:type="auto"/>
            <w:noWrap w:val="0"/>
            <w:vAlign w:val="center"/>
          </w:tcPr>
          <w:p w14:paraId="79BF4619">
            <w:pPr>
              <w:jc w:val="center"/>
              <w:rPr>
                <w:color w:val="000000"/>
                <w:sz w:val="22"/>
                <w:szCs w:val="22"/>
              </w:rPr>
            </w:pPr>
            <w:r>
              <w:rPr>
                <w:color w:val="000000"/>
                <w:sz w:val="22"/>
                <w:szCs w:val="22"/>
              </w:rPr>
              <w:t>17.33</w:t>
            </w:r>
          </w:p>
        </w:tc>
        <w:tc>
          <w:tcPr>
            <w:tcW w:w="0" w:type="auto"/>
            <w:noWrap w:val="0"/>
            <w:vAlign w:val="center"/>
          </w:tcPr>
          <w:p w14:paraId="509DAA30">
            <w:pPr>
              <w:jc w:val="center"/>
              <w:rPr>
                <w:color w:val="000000"/>
                <w:sz w:val="22"/>
                <w:szCs w:val="22"/>
              </w:rPr>
            </w:pPr>
            <w:r>
              <w:rPr>
                <w:color w:val="000000"/>
                <w:sz w:val="22"/>
                <w:szCs w:val="22"/>
              </w:rPr>
              <w:t>250</w:t>
            </w:r>
          </w:p>
        </w:tc>
        <w:tc>
          <w:tcPr>
            <w:tcW w:w="0" w:type="auto"/>
            <w:noWrap w:val="0"/>
            <w:vAlign w:val="center"/>
          </w:tcPr>
          <w:p w14:paraId="19EE8A6B">
            <w:pPr>
              <w:jc w:val="center"/>
              <w:rPr>
                <w:color w:val="000000"/>
                <w:sz w:val="22"/>
                <w:szCs w:val="22"/>
              </w:rPr>
            </w:pPr>
            <w:r>
              <w:rPr>
                <w:color w:val="000000"/>
                <w:sz w:val="22"/>
                <w:szCs w:val="22"/>
              </w:rPr>
              <w:t>16.67</w:t>
            </w:r>
          </w:p>
        </w:tc>
        <w:tc>
          <w:tcPr>
            <w:tcW w:w="0" w:type="auto"/>
            <w:noWrap w:val="0"/>
            <w:vAlign w:val="center"/>
          </w:tcPr>
          <w:p w14:paraId="3A4819E3">
            <w:pPr>
              <w:jc w:val="center"/>
              <w:rPr>
                <w:color w:val="000000"/>
                <w:sz w:val="22"/>
                <w:szCs w:val="22"/>
              </w:rPr>
            </w:pPr>
            <w:r>
              <w:rPr>
                <w:color w:val="000000"/>
                <w:sz w:val="22"/>
                <w:szCs w:val="22"/>
              </w:rPr>
              <w:t>240</w:t>
            </w:r>
          </w:p>
        </w:tc>
        <w:tc>
          <w:tcPr>
            <w:tcW w:w="0" w:type="auto"/>
            <w:noWrap w:val="0"/>
            <w:vAlign w:val="center"/>
          </w:tcPr>
          <w:p w14:paraId="3E209C9E">
            <w:pPr>
              <w:jc w:val="center"/>
              <w:rPr>
                <w:color w:val="000000"/>
                <w:sz w:val="22"/>
                <w:szCs w:val="22"/>
              </w:rPr>
            </w:pPr>
            <w:r>
              <w:rPr>
                <w:color w:val="000000"/>
                <w:sz w:val="22"/>
                <w:szCs w:val="22"/>
              </w:rPr>
              <w:t>16.00</w:t>
            </w:r>
          </w:p>
        </w:tc>
        <w:tc>
          <w:tcPr>
            <w:tcW w:w="0" w:type="auto"/>
            <w:noWrap w:val="0"/>
            <w:vAlign w:val="center"/>
          </w:tcPr>
          <w:p w14:paraId="5296FAC6">
            <w:pPr>
              <w:jc w:val="center"/>
              <w:rPr>
                <w:color w:val="000000"/>
                <w:sz w:val="22"/>
                <w:szCs w:val="22"/>
              </w:rPr>
            </w:pPr>
            <w:r>
              <w:rPr>
                <w:color w:val="000000"/>
                <w:sz w:val="22"/>
                <w:szCs w:val="22"/>
              </w:rPr>
              <w:t>230</w:t>
            </w:r>
          </w:p>
        </w:tc>
        <w:tc>
          <w:tcPr>
            <w:tcW w:w="0" w:type="auto"/>
            <w:noWrap w:val="0"/>
            <w:vAlign w:val="center"/>
          </w:tcPr>
          <w:p w14:paraId="0389B1DF">
            <w:pPr>
              <w:jc w:val="center"/>
              <w:rPr>
                <w:color w:val="000000"/>
                <w:sz w:val="22"/>
                <w:szCs w:val="22"/>
              </w:rPr>
            </w:pPr>
            <w:r>
              <w:rPr>
                <w:color w:val="000000"/>
                <w:sz w:val="22"/>
                <w:szCs w:val="22"/>
              </w:rPr>
              <w:t>15.33</w:t>
            </w:r>
          </w:p>
        </w:tc>
      </w:tr>
      <w:tr w14:paraId="210B7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0BA97479">
            <w:pPr>
              <w:pStyle w:val="20"/>
              <w:jc w:val="center"/>
              <w:rPr>
                <w:rFonts w:ascii="Times New Roman" w:hAnsi="Times New Roman" w:eastAsia="楷体_GB2312"/>
                <w:sz w:val="24"/>
                <w:szCs w:val="24"/>
              </w:rPr>
            </w:pPr>
          </w:p>
        </w:tc>
        <w:tc>
          <w:tcPr>
            <w:tcW w:w="0" w:type="auto"/>
            <w:vMerge w:val="continue"/>
            <w:noWrap w:val="0"/>
            <w:vAlign w:val="center"/>
          </w:tcPr>
          <w:p w14:paraId="37A82A83">
            <w:pPr>
              <w:pStyle w:val="20"/>
              <w:jc w:val="center"/>
              <w:rPr>
                <w:rFonts w:ascii="Times New Roman" w:hAnsi="Times New Roman" w:eastAsia="楷体_GB2312"/>
                <w:sz w:val="24"/>
                <w:szCs w:val="24"/>
              </w:rPr>
            </w:pPr>
          </w:p>
        </w:tc>
        <w:tc>
          <w:tcPr>
            <w:tcW w:w="0" w:type="auto"/>
            <w:noWrap w:val="0"/>
            <w:vAlign w:val="center"/>
          </w:tcPr>
          <w:p w14:paraId="4680177C">
            <w:pPr>
              <w:pStyle w:val="20"/>
              <w:jc w:val="center"/>
              <w:rPr>
                <w:rFonts w:ascii="Times New Roman" w:hAnsi="Times New Roman" w:eastAsia="楷体_GB2312"/>
                <w:sz w:val="24"/>
                <w:szCs w:val="24"/>
              </w:rPr>
            </w:pPr>
            <w:r>
              <w:rPr>
                <w:rFonts w:ascii="Times New Roman" w:hAnsi="Times New Roman" w:eastAsia="楷体_GB2312"/>
                <w:sz w:val="24"/>
                <w:szCs w:val="24"/>
              </w:rPr>
              <w:t>3</w:t>
            </w:r>
          </w:p>
        </w:tc>
        <w:tc>
          <w:tcPr>
            <w:tcW w:w="0" w:type="auto"/>
            <w:noWrap/>
            <w:vAlign w:val="center"/>
          </w:tcPr>
          <w:p w14:paraId="5F50DAB0">
            <w:pPr>
              <w:jc w:val="center"/>
              <w:rPr>
                <w:color w:val="000000"/>
                <w:sz w:val="22"/>
                <w:szCs w:val="22"/>
              </w:rPr>
            </w:pPr>
            <w:r>
              <w:rPr>
                <w:color w:val="000000"/>
                <w:sz w:val="22"/>
                <w:szCs w:val="22"/>
              </w:rPr>
              <w:t>210</w:t>
            </w:r>
          </w:p>
        </w:tc>
        <w:tc>
          <w:tcPr>
            <w:tcW w:w="0" w:type="auto"/>
            <w:noWrap w:val="0"/>
            <w:vAlign w:val="center"/>
          </w:tcPr>
          <w:p w14:paraId="20D25C72">
            <w:pPr>
              <w:jc w:val="center"/>
              <w:rPr>
                <w:color w:val="000000"/>
                <w:sz w:val="22"/>
                <w:szCs w:val="22"/>
              </w:rPr>
            </w:pPr>
            <w:r>
              <w:rPr>
                <w:color w:val="000000"/>
                <w:sz w:val="22"/>
                <w:szCs w:val="22"/>
              </w:rPr>
              <w:t>14.00</w:t>
            </w:r>
          </w:p>
        </w:tc>
        <w:tc>
          <w:tcPr>
            <w:tcW w:w="0" w:type="auto"/>
            <w:noWrap/>
            <w:vAlign w:val="center"/>
          </w:tcPr>
          <w:p w14:paraId="0B8434A9">
            <w:pPr>
              <w:jc w:val="center"/>
              <w:rPr>
                <w:color w:val="000000"/>
                <w:sz w:val="22"/>
                <w:szCs w:val="22"/>
              </w:rPr>
            </w:pPr>
            <w:r>
              <w:rPr>
                <w:color w:val="000000"/>
                <w:sz w:val="22"/>
                <w:szCs w:val="22"/>
              </w:rPr>
              <w:t>205</w:t>
            </w:r>
          </w:p>
        </w:tc>
        <w:tc>
          <w:tcPr>
            <w:tcW w:w="0" w:type="auto"/>
            <w:noWrap w:val="0"/>
            <w:vAlign w:val="center"/>
          </w:tcPr>
          <w:p w14:paraId="0294FA59">
            <w:pPr>
              <w:jc w:val="center"/>
              <w:rPr>
                <w:color w:val="000000"/>
                <w:sz w:val="22"/>
                <w:szCs w:val="22"/>
              </w:rPr>
            </w:pPr>
            <w:r>
              <w:rPr>
                <w:color w:val="000000"/>
                <w:sz w:val="22"/>
                <w:szCs w:val="22"/>
              </w:rPr>
              <w:t>13.67</w:t>
            </w:r>
          </w:p>
        </w:tc>
        <w:tc>
          <w:tcPr>
            <w:tcW w:w="0" w:type="auto"/>
            <w:noWrap/>
            <w:vAlign w:val="center"/>
          </w:tcPr>
          <w:p w14:paraId="25DF175E">
            <w:pPr>
              <w:jc w:val="center"/>
              <w:rPr>
                <w:color w:val="000000"/>
                <w:sz w:val="22"/>
                <w:szCs w:val="22"/>
              </w:rPr>
            </w:pPr>
            <w:r>
              <w:rPr>
                <w:color w:val="000000"/>
                <w:sz w:val="22"/>
                <w:szCs w:val="22"/>
              </w:rPr>
              <w:t>200</w:t>
            </w:r>
          </w:p>
        </w:tc>
        <w:tc>
          <w:tcPr>
            <w:tcW w:w="0" w:type="auto"/>
            <w:noWrap w:val="0"/>
            <w:vAlign w:val="center"/>
          </w:tcPr>
          <w:p w14:paraId="5E12B342">
            <w:pPr>
              <w:jc w:val="center"/>
              <w:rPr>
                <w:color w:val="000000"/>
                <w:sz w:val="22"/>
                <w:szCs w:val="22"/>
              </w:rPr>
            </w:pPr>
            <w:r>
              <w:rPr>
                <w:color w:val="000000"/>
                <w:sz w:val="22"/>
                <w:szCs w:val="22"/>
              </w:rPr>
              <w:t>13.33</w:t>
            </w:r>
          </w:p>
        </w:tc>
        <w:tc>
          <w:tcPr>
            <w:tcW w:w="0" w:type="auto"/>
            <w:noWrap w:val="0"/>
            <w:vAlign w:val="center"/>
          </w:tcPr>
          <w:p w14:paraId="4EC95735">
            <w:pPr>
              <w:jc w:val="center"/>
              <w:rPr>
                <w:color w:val="000000"/>
                <w:sz w:val="22"/>
                <w:szCs w:val="22"/>
              </w:rPr>
            </w:pPr>
            <w:r>
              <w:rPr>
                <w:color w:val="000000"/>
                <w:sz w:val="22"/>
                <w:szCs w:val="22"/>
              </w:rPr>
              <w:t>195</w:t>
            </w:r>
          </w:p>
        </w:tc>
        <w:tc>
          <w:tcPr>
            <w:tcW w:w="0" w:type="auto"/>
            <w:noWrap w:val="0"/>
            <w:vAlign w:val="center"/>
          </w:tcPr>
          <w:p w14:paraId="6A2075A7">
            <w:pPr>
              <w:jc w:val="center"/>
              <w:rPr>
                <w:color w:val="000000"/>
                <w:sz w:val="22"/>
                <w:szCs w:val="22"/>
              </w:rPr>
            </w:pPr>
            <w:r>
              <w:rPr>
                <w:color w:val="000000"/>
                <w:sz w:val="22"/>
                <w:szCs w:val="22"/>
              </w:rPr>
              <w:t>13.00</w:t>
            </w:r>
          </w:p>
        </w:tc>
        <w:tc>
          <w:tcPr>
            <w:tcW w:w="0" w:type="auto"/>
            <w:noWrap w:val="0"/>
            <w:vAlign w:val="center"/>
          </w:tcPr>
          <w:p w14:paraId="3EB26B47">
            <w:pPr>
              <w:jc w:val="center"/>
              <w:rPr>
                <w:color w:val="000000"/>
                <w:sz w:val="22"/>
                <w:szCs w:val="22"/>
              </w:rPr>
            </w:pPr>
            <w:r>
              <w:rPr>
                <w:color w:val="000000"/>
                <w:sz w:val="22"/>
                <w:szCs w:val="22"/>
              </w:rPr>
              <w:t>190</w:t>
            </w:r>
          </w:p>
        </w:tc>
        <w:tc>
          <w:tcPr>
            <w:tcW w:w="0" w:type="auto"/>
            <w:noWrap w:val="0"/>
            <w:vAlign w:val="center"/>
          </w:tcPr>
          <w:p w14:paraId="18FEE761">
            <w:pPr>
              <w:jc w:val="center"/>
              <w:rPr>
                <w:color w:val="000000"/>
                <w:sz w:val="22"/>
                <w:szCs w:val="22"/>
              </w:rPr>
            </w:pPr>
            <w:r>
              <w:rPr>
                <w:color w:val="000000"/>
                <w:sz w:val="22"/>
                <w:szCs w:val="22"/>
              </w:rPr>
              <w:t>12.67</w:t>
            </w:r>
          </w:p>
        </w:tc>
        <w:tc>
          <w:tcPr>
            <w:tcW w:w="0" w:type="auto"/>
            <w:noWrap w:val="0"/>
            <w:vAlign w:val="center"/>
          </w:tcPr>
          <w:p w14:paraId="292EAC5D">
            <w:pPr>
              <w:jc w:val="center"/>
              <w:rPr>
                <w:color w:val="000000"/>
                <w:sz w:val="22"/>
                <w:szCs w:val="22"/>
              </w:rPr>
            </w:pPr>
            <w:r>
              <w:rPr>
                <w:color w:val="000000"/>
                <w:sz w:val="22"/>
                <w:szCs w:val="22"/>
              </w:rPr>
              <w:t>185</w:t>
            </w:r>
          </w:p>
        </w:tc>
        <w:tc>
          <w:tcPr>
            <w:tcW w:w="0" w:type="auto"/>
            <w:noWrap w:val="0"/>
            <w:vAlign w:val="center"/>
          </w:tcPr>
          <w:p w14:paraId="10C22EDE">
            <w:pPr>
              <w:jc w:val="center"/>
              <w:rPr>
                <w:color w:val="000000"/>
                <w:sz w:val="22"/>
                <w:szCs w:val="22"/>
              </w:rPr>
            </w:pPr>
            <w:r>
              <w:rPr>
                <w:color w:val="000000"/>
                <w:sz w:val="22"/>
                <w:szCs w:val="22"/>
              </w:rPr>
              <w:t>12.33</w:t>
            </w:r>
          </w:p>
        </w:tc>
      </w:tr>
      <w:tr w14:paraId="55893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710C6733">
            <w:pPr>
              <w:pStyle w:val="20"/>
              <w:jc w:val="center"/>
              <w:rPr>
                <w:rFonts w:ascii="Times New Roman" w:hAnsi="Times New Roman" w:eastAsia="楷体_GB2312"/>
                <w:sz w:val="24"/>
                <w:szCs w:val="24"/>
              </w:rPr>
            </w:pPr>
            <w:r>
              <w:rPr>
                <w:rFonts w:ascii="Times New Roman" w:hAnsi="Times New Roman" w:eastAsia="楷体_GB2312"/>
                <w:sz w:val="24"/>
                <w:szCs w:val="24"/>
              </w:rPr>
              <w:t>9</w:t>
            </w:r>
          </w:p>
        </w:tc>
        <w:tc>
          <w:tcPr>
            <w:tcW w:w="0" w:type="auto"/>
            <w:vMerge w:val="restart"/>
            <w:noWrap w:val="0"/>
            <w:vAlign w:val="center"/>
          </w:tcPr>
          <w:p w14:paraId="75B0A3A6">
            <w:pPr>
              <w:pStyle w:val="20"/>
              <w:jc w:val="center"/>
              <w:rPr>
                <w:rFonts w:ascii="Times New Roman" w:hAnsi="Times New Roman" w:eastAsia="楷体_GB2312"/>
                <w:sz w:val="24"/>
                <w:szCs w:val="24"/>
              </w:rPr>
            </w:pPr>
            <w:r>
              <w:rPr>
                <w:rFonts w:ascii="Times New Roman" w:hAnsi="Times New Roman" w:eastAsia="楷体_GB2312"/>
                <w:sz w:val="24"/>
                <w:szCs w:val="24"/>
              </w:rPr>
              <w:t>西二铺乡</w:t>
            </w:r>
          </w:p>
        </w:tc>
        <w:tc>
          <w:tcPr>
            <w:tcW w:w="0" w:type="auto"/>
            <w:noWrap w:val="0"/>
            <w:vAlign w:val="center"/>
          </w:tcPr>
          <w:p w14:paraId="034912F8">
            <w:pPr>
              <w:pStyle w:val="20"/>
              <w:jc w:val="center"/>
              <w:rPr>
                <w:rFonts w:ascii="Times New Roman" w:hAnsi="Times New Roman" w:eastAsia="楷体_GB2312"/>
                <w:sz w:val="24"/>
                <w:szCs w:val="24"/>
              </w:rPr>
            </w:pPr>
            <w:r>
              <w:rPr>
                <w:rFonts w:ascii="Times New Roman" w:hAnsi="Times New Roman" w:eastAsia="楷体_GB2312"/>
                <w:sz w:val="24"/>
                <w:szCs w:val="24"/>
              </w:rPr>
              <w:t>1</w:t>
            </w:r>
          </w:p>
        </w:tc>
        <w:tc>
          <w:tcPr>
            <w:tcW w:w="0" w:type="auto"/>
            <w:noWrap/>
            <w:vAlign w:val="center"/>
          </w:tcPr>
          <w:p w14:paraId="4DB21AF4">
            <w:pPr>
              <w:jc w:val="center"/>
              <w:rPr>
                <w:color w:val="000000"/>
                <w:sz w:val="22"/>
                <w:szCs w:val="22"/>
              </w:rPr>
            </w:pPr>
            <w:r>
              <w:rPr>
                <w:color w:val="000000"/>
                <w:sz w:val="22"/>
                <w:szCs w:val="22"/>
              </w:rPr>
              <w:t>355</w:t>
            </w:r>
          </w:p>
        </w:tc>
        <w:tc>
          <w:tcPr>
            <w:tcW w:w="0" w:type="auto"/>
            <w:noWrap w:val="0"/>
            <w:vAlign w:val="center"/>
          </w:tcPr>
          <w:p w14:paraId="163D350A">
            <w:pPr>
              <w:jc w:val="center"/>
              <w:rPr>
                <w:color w:val="000000"/>
                <w:sz w:val="22"/>
                <w:szCs w:val="22"/>
              </w:rPr>
            </w:pPr>
            <w:r>
              <w:rPr>
                <w:color w:val="000000"/>
                <w:sz w:val="22"/>
                <w:szCs w:val="22"/>
              </w:rPr>
              <w:t>23.67</w:t>
            </w:r>
          </w:p>
        </w:tc>
        <w:tc>
          <w:tcPr>
            <w:tcW w:w="0" w:type="auto"/>
            <w:noWrap/>
            <w:vAlign w:val="center"/>
          </w:tcPr>
          <w:p w14:paraId="54E91C64">
            <w:pPr>
              <w:jc w:val="center"/>
              <w:rPr>
                <w:color w:val="000000"/>
                <w:sz w:val="22"/>
                <w:szCs w:val="22"/>
              </w:rPr>
            </w:pPr>
            <w:r>
              <w:rPr>
                <w:color w:val="000000"/>
                <w:sz w:val="22"/>
                <w:szCs w:val="22"/>
              </w:rPr>
              <w:t>335</w:t>
            </w:r>
          </w:p>
        </w:tc>
        <w:tc>
          <w:tcPr>
            <w:tcW w:w="0" w:type="auto"/>
            <w:noWrap w:val="0"/>
            <w:vAlign w:val="center"/>
          </w:tcPr>
          <w:p w14:paraId="5CA4A255">
            <w:pPr>
              <w:jc w:val="center"/>
              <w:rPr>
                <w:color w:val="000000"/>
                <w:sz w:val="22"/>
                <w:szCs w:val="22"/>
              </w:rPr>
            </w:pPr>
            <w:r>
              <w:rPr>
                <w:color w:val="000000"/>
                <w:sz w:val="22"/>
                <w:szCs w:val="22"/>
              </w:rPr>
              <w:t>22.33</w:t>
            </w:r>
          </w:p>
        </w:tc>
        <w:tc>
          <w:tcPr>
            <w:tcW w:w="0" w:type="auto"/>
            <w:noWrap/>
            <w:vAlign w:val="center"/>
          </w:tcPr>
          <w:p w14:paraId="4E4E35C5">
            <w:pPr>
              <w:jc w:val="center"/>
              <w:rPr>
                <w:color w:val="000000"/>
                <w:sz w:val="22"/>
                <w:szCs w:val="22"/>
              </w:rPr>
            </w:pPr>
            <w:r>
              <w:rPr>
                <w:color w:val="000000"/>
                <w:sz w:val="22"/>
                <w:szCs w:val="22"/>
              </w:rPr>
              <w:t>315</w:t>
            </w:r>
          </w:p>
        </w:tc>
        <w:tc>
          <w:tcPr>
            <w:tcW w:w="0" w:type="auto"/>
            <w:noWrap w:val="0"/>
            <w:vAlign w:val="center"/>
          </w:tcPr>
          <w:p w14:paraId="0C401871">
            <w:pPr>
              <w:jc w:val="center"/>
              <w:rPr>
                <w:color w:val="000000"/>
                <w:sz w:val="22"/>
                <w:szCs w:val="22"/>
              </w:rPr>
            </w:pPr>
            <w:r>
              <w:rPr>
                <w:color w:val="000000"/>
                <w:sz w:val="22"/>
                <w:szCs w:val="22"/>
              </w:rPr>
              <w:t>21.00</w:t>
            </w:r>
          </w:p>
        </w:tc>
        <w:tc>
          <w:tcPr>
            <w:tcW w:w="0" w:type="auto"/>
            <w:noWrap w:val="0"/>
            <w:vAlign w:val="center"/>
          </w:tcPr>
          <w:p w14:paraId="7EB81EDA">
            <w:pPr>
              <w:jc w:val="center"/>
              <w:rPr>
                <w:color w:val="000000"/>
                <w:sz w:val="22"/>
                <w:szCs w:val="22"/>
              </w:rPr>
            </w:pPr>
            <w:r>
              <w:rPr>
                <w:color w:val="000000"/>
                <w:sz w:val="22"/>
                <w:szCs w:val="22"/>
              </w:rPr>
              <w:t>305</w:t>
            </w:r>
          </w:p>
        </w:tc>
        <w:tc>
          <w:tcPr>
            <w:tcW w:w="0" w:type="auto"/>
            <w:noWrap w:val="0"/>
            <w:vAlign w:val="center"/>
          </w:tcPr>
          <w:p w14:paraId="631F9246">
            <w:pPr>
              <w:jc w:val="center"/>
              <w:rPr>
                <w:color w:val="000000"/>
                <w:sz w:val="22"/>
                <w:szCs w:val="22"/>
              </w:rPr>
            </w:pPr>
            <w:r>
              <w:rPr>
                <w:color w:val="000000"/>
                <w:sz w:val="22"/>
                <w:szCs w:val="22"/>
              </w:rPr>
              <w:t>20.33</w:t>
            </w:r>
          </w:p>
        </w:tc>
        <w:tc>
          <w:tcPr>
            <w:tcW w:w="0" w:type="auto"/>
            <w:noWrap w:val="0"/>
            <w:vAlign w:val="center"/>
          </w:tcPr>
          <w:p w14:paraId="19569545">
            <w:pPr>
              <w:jc w:val="center"/>
              <w:rPr>
                <w:color w:val="000000"/>
                <w:sz w:val="22"/>
                <w:szCs w:val="22"/>
              </w:rPr>
            </w:pPr>
            <w:r>
              <w:rPr>
                <w:color w:val="000000"/>
                <w:sz w:val="22"/>
                <w:szCs w:val="22"/>
              </w:rPr>
              <w:t>295</w:t>
            </w:r>
          </w:p>
        </w:tc>
        <w:tc>
          <w:tcPr>
            <w:tcW w:w="0" w:type="auto"/>
            <w:noWrap w:val="0"/>
            <w:vAlign w:val="center"/>
          </w:tcPr>
          <w:p w14:paraId="015D1794">
            <w:pPr>
              <w:jc w:val="center"/>
              <w:rPr>
                <w:color w:val="000000"/>
                <w:sz w:val="22"/>
                <w:szCs w:val="22"/>
              </w:rPr>
            </w:pPr>
            <w:r>
              <w:rPr>
                <w:color w:val="000000"/>
                <w:sz w:val="22"/>
                <w:szCs w:val="22"/>
              </w:rPr>
              <w:t>19.67</w:t>
            </w:r>
          </w:p>
        </w:tc>
        <w:tc>
          <w:tcPr>
            <w:tcW w:w="0" w:type="auto"/>
            <w:noWrap w:val="0"/>
            <w:vAlign w:val="center"/>
          </w:tcPr>
          <w:p w14:paraId="3391C3F9">
            <w:pPr>
              <w:jc w:val="center"/>
              <w:rPr>
                <w:color w:val="000000"/>
                <w:sz w:val="22"/>
                <w:szCs w:val="22"/>
              </w:rPr>
            </w:pPr>
            <w:r>
              <w:rPr>
                <w:color w:val="000000"/>
                <w:sz w:val="22"/>
                <w:szCs w:val="22"/>
              </w:rPr>
              <w:t>275</w:t>
            </w:r>
          </w:p>
        </w:tc>
        <w:tc>
          <w:tcPr>
            <w:tcW w:w="0" w:type="auto"/>
            <w:noWrap w:val="0"/>
            <w:vAlign w:val="center"/>
          </w:tcPr>
          <w:p w14:paraId="0974955A">
            <w:pPr>
              <w:jc w:val="center"/>
              <w:rPr>
                <w:color w:val="000000"/>
                <w:sz w:val="22"/>
                <w:szCs w:val="22"/>
              </w:rPr>
            </w:pPr>
            <w:r>
              <w:rPr>
                <w:color w:val="000000"/>
                <w:sz w:val="22"/>
                <w:szCs w:val="22"/>
              </w:rPr>
              <w:t>18.33</w:t>
            </w:r>
          </w:p>
        </w:tc>
      </w:tr>
      <w:tr w14:paraId="19E5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3ED5C38F">
            <w:pPr>
              <w:pStyle w:val="20"/>
              <w:jc w:val="center"/>
              <w:rPr>
                <w:rFonts w:ascii="Times New Roman" w:hAnsi="Times New Roman" w:eastAsia="楷体_GB2312"/>
                <w:sz w:val="24"/>
                <w:szCs w:val="24"/>
              </w:rPr>
            </w:pPr>
          </w:p>
        </w:tc>
        <w:tc>
          <w:tcPr>
            <w:tcW w:w="0" w:type="auto"/>
            <w:vMerge w:val="continue"/>
            <w:noWrap w:val="0"/>
            <w:vAlign w:val="center"/>
          </w:tcPr>
          <w:p w14:paraId="6186F73D">
            <w:pPr>
              <w:pStyle w:val="20"/>
              <w:jc w:val="center"/>
              <w:rPr>
                <w:rFonts w:ascii="Times New Roman" w:hAnsi="Times New Roman" w:eastAsia="楷体_GB2312"/>
                <w:sz w:val="24"/>
                <w:szCs w:val="24"/>
              </w:rPr>
            </w:pPr>
          </w:p>
        </w:tc>
        <w:tc>
          <w:tcPr>
            <w:tcW w:w="0" w:type="auto"/>
            <w:noWrap w:val="0"/>
            <w:vAlign w:val="center"/>
          </w:tcPr>
          <w:p w14:paraId="775C9163">
            <w:pPr>
              <w:pStyle w:val="20"/>
              <w:jc w:val="center"/>
              <w:rPr>
                <w:rFonts w:ascii="Times New Roman" w:hAnsi="Times New Roman" w:eastAsia="楷体_GB2312"/>
                <w:sz w:val="24"/>
                <w:szCs w:val="24"/>
              </w:rPr>
            </w:pPr>
            <w:r>
              <w:rPr>
                <w:rFonts w:ascii="Times New Roman" w:hAnsi="Times New Roman" w:eastAsia="楷体_GB2312"/>
                <w:sz w:val="24"/>
                <w:szCs w:val="24"/>
              </w:rPr>
              <w:t>2</w:t>
            </w:r>
          </w:p>
        </w:tc>
        <w:tc>
          <w:tcPr>
            <w:tcW w:w="0" w:type="auto"/>
            <w:noWrap/>
            <w:vAlign w:val="center"/>
          </w:tcPr>
          <w:p w14:paraId="2704849D">
            <w:pPr>
              <w:jc w:val="center"/>
              <w:rPr>
                <w:color w:val="000000"/>
                <w:sz w:val="22"/>
                <w:szCs w:val="22"/>
              </w:rPr>
            </w:pPr>
            <w:r>
              <w:rPr>
                <w:color w:val="000000"/>
                <w:sz w:val="22"/>
                <w:szCs w:val="22"/>
              </w:rPr>
              <w:t>270</w:t>
            </w:r>
          </w:p>
        </w:tc>
        <w:tc>
          <w:tcPr>
            <w:tcW w:w="0" w:type="auto"/>
            <w:noWrap w:val="0"/>
            <w:vAlign w:val="center"/>
          </w:tcPr>
          <w:p w14:paraId="15AF5697">
            <w:pPr>
              <w:jc w:val="center"/>
              <w:rPr>
                <w:color w:val="000000"/>
                <w:sz w:val="22"/>
                <w:szCs w:val="22"/>
              </w:rPr>
            </w:pPr>
            <w:r>
              <w:rPr>
                <w:color w:val="000000"/>
                <w:sz w:val="22"/>
                <w:szCs w:val="22"/>
              </w:rPr>
              <w:t>18.00</w:t>
            </w:r>
          </w:p>
        </w:tc>
        <w:tc>
          <w:tcPr>
            <w:tcW w:w="0" w:type="auto"/>
            <w:noWrap/>
            <w:vAlign w:val="center"/>
          </w:tcPr>
          <w:p w14:paraId="0052F820">
            <w:pPr>
              <w:jc w:val="center"/>
              <w:rPr>
                <w:color w:val="000000"/>
                <w:sz w:val="22"/>
                <w:szCs w:val="22"/>
              </w:rPr>
            </w:pPr>
            <w:r>
              <w:rPr>
                <w:color w:val="000000"/>
                <w:sz w:val="22"/>
                <w:szCs w:val="22"/>
              </w:rPr>
              <w:t>260</w:t>
            </w:r>
          </w:p>
        </w:tc>
        <w:tc>
          <w:tcPr>
            <w:tcW w:w="0" w:type="auto"/>
            <w:noWrap w:val="0"/>
            <w:vAlign w:val="center"/>
          </w:tcPr>
          <w:p w14:paraId="3B2EF012">
            <w:pPr>
              <w:jc w:val="center"/>
              <w:rPr>
                <w:color w:val="000000"/>
                <w:sz w:val="22"/>
                <w:szCs w:val="22"/>
              </w:rPr>
            </w:pPr>
            <w:r>
              <w:rPr>
                <w:color w:val="000000"/>
                <w:sz w:val="22"/>
                <w:szCs w:val="22"/>
              </w:rPr>
              <w:t>17.33</w:t>
            </w:r>
          </w:p>
        </w:tc>
        <w:tc>
          <w:tcPr>
            <w:tcW w:w="0" w:type="auto"/>
            <w:noWrap/>
            <w:vAlign w:val="center"/>
          </w:tcPr>
          <w:p w14:paraId="72589DAC">
            <w:pPr>
              <w:jc w:val="center"/>
              <w:rPr>
                <w:color w:val="000000"/>
                <w:sz w:val="22"/>
                <w:szCs w:val="22"/>
              </w:rPr>
            </w:pPr>
            <w:r>
              <w:rPr>
                <w:color w:val="000000"/>
                <w:sz w:val="22"/>
                <w:szCs w:val="22"/>
              </w:rPr>
              <w:t>250</w:t>
            </w:r>
          </w:p>
        </w:tc>
        <w:tc>
          <w:tcPr>
            <w:tcW w:w="0" w:type="auto"/>
            <w:noWrap w:val="0"/>
            <w:vAlign w:val="center"/>
          </w:tcPr>
          <w:p w14:paraId="5DC2AAE4">
            <w:pPr>
              <w:jc w:val="center"/>
              <w:rPr>
                <w:color w:val="000000"/>
                <w:sz w:val="22"/>
                <w:szCs w:val="22"/>
              </w:rPr>
            </w:pPr>
            <w:r>
              <w:rPr>
                <w:color w:val="000000"/>
                <w:sz w:val="22"/>
                <w:szCs w:val="22"/>
              </w:rPr>
              <w:t>16.67</w:t>
            </w:r>
          </w:p>
        </w:tc>
        <w:tc>
          <w:tcPr>
            <w:tcW w:w="0" w:type="auto"/>
            <w:noWrap w:val="0"/>
            <w:vAlign w:val="center"/>
          </w:tcPr>
          <w:p w14:paraId="1F287924">
            <w:pPr>
              <w:jc w:val="center"/>
              <w:rPr>
                <w:color w:val="000000"/>
                <w:sz w:val="22"/>
                <w:szCs w:val="22"/>
              </w:rPr>
            </w:pPr>
            <w:r>
              <w:rPr>
                <w:color w:val="000000"/>
                <w:sz w:val="22"/>
                <w:szCs w:val="22"/>
              </w:rPr>
              <w:t>240</w:t>
            </w:r>
          </w:p>
        </w:tc>
        <w:tc>
          <w:tcPr>
            <w:tcW w:w="0" w:type="auto"/>
            <w:noWrap w:val="0"/>
            <w:vAlign w:val="center"/>
          </w:tcPr>
          <w:p w14:paraId="72C62D40">
            <w:pPr>
              <w:jc w:val="center"/>
              <w:rPr>
                <w:color w:val="000000"/>
                <w:sz w:val="22"/>
                <w:szCs w:val="22"/>
              </w:rPr>
            </w:pPr>
            <w:r>
              <w:rPr>
                <w:color w:val="000000"/>
                <w:sz w:val="22"/>
                <w:szCs w:val="22"/>
              </w:rPr>
              <w:t>16.00</w:t>
            </w:r>
          </w:p>
        </w:tc>
        <w:tc>
          <w:tcPr>
            <w:tcW w:w="0" w:type="auto"/>
            <w:noWrap w:val="0"/>
            <w:vAlign w:val="center"/>
          </w:tcPr>
          <w:p w14:paraId="5EC71D66">
            <w:pPr>
              <w:jc w:val="center"/>
              <w:rPr>
                <w:color w:val="000000"/>
                <w:sz w:val="22"/>
                <w:szCs w:val="22"/>
              </w:rPr>
            </w:pPr>
            <w:r>
              <w:rPr>
                <w:color w:val="000000"/>
                <w:sz w:val="22"/>
                <w:szCs w:val="22"/>
              </w:rPr>
              <w:t>230</w:t>
            </w:r>
          </w:p>
        </w:tc>
        <w:tc>
          <w:tcPr>
            <w:tcW w:w="0" w:type="auto"/>
            <w:noWrap w:val="0"/>
            <w:vAlign w:val="center"/>
          </w:tcPr>
          <w:p w14:paraId="38CC9F6B">
            <w:pPr>
              <w:jc w:val="center"/>
              <w:rPr>
                <w:color w:val="000000"/>
                <w:sz w:val="22"/>
                <w:szCs w:val="22"/>
              </w:rPr>
            </w:pPr>
            <w:r>
              <w:rPr>
                <w:color w:val="000000"/>
                <w:sz w:val="22"/>
                <w:szCs w:val="22"/>
              </w:rPr>
              <w:t>15.33</w:t>
            </w:r>
          </w:p>
        </w:tc>
        <w:tc>
          <w:tcPr>
            <w:tcW w:w="0" w:type="auto"/>
            <w:noWrap w:val="0"/>
            <w:vAlign w:val="center"/>
          </w:tcPr>
          <w:p w14:paraId="4DB98667">
            <w:pPr>
              <w:jc w:val="center"/>
              <w:rPr>
                <w:color w:val="000000"/>
                <w:sz w:val="22"/>
                <w:szCs w:val="22"/>
              </w:rPr>
            </w:pPr>
            <w:r>
              <w:rPr>
                <w:color w:val="000000"/>
                <w:sz w:val="22"/>
                <w:szCs w:val="22"/>
              </w:rPr>
              <w:t>220</w:t>
            </w:r>
          </w:p>
        </w:tc>
        <w:tc>
          <w:tcPr>
            <w:tcW w:w="0" w:type="auto"/>
            <w:noWrap w:val="0"/>
            <w:vAlign w:val="center"/>
          </w:tcPr>
          <w:p w14:paraId="58064218">
            <w:pPr>
              <w:jc w:val="center"/>
              <w:rPr>
                <w:color w:val="000000"/>
                <w:sz w:val="22"/>
                <w:szCs w:val="22"/>
              </w:rPr>
            </w:pPr>
            <w:r>
              <w:rPr>
                <w:color w:val="000000"/>
                <w:sz w:val="22"/>
                <w:szCs w:val="22"/>
              </w:rPr>
              <w:t>14.67</w:t>
            </w:r>
          </w:p>
        </w:tc>
      </w:tr>
      <w:tr w14:paraId="09EF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2BF2FF35">
            <w:pPr>
              <w:pStyle w:val="20"/>
              <w:jc w:val="center"/>
              <w:rPr>
                <w:rFonts w:ascii="Times New Roman" w:hAnsi="Times New Roman" w:eastAsia="楷体_GB2312"/>
                <w:sz w:val="24"/>
                <w:szCs w:val="24"/>
              </w:rPr>
            </w:pPr>
          </w:p>
        </w:tc>
        <w:tc>
          <w:tcPr>
            <w:tcW w:w="0" w:type="auto"/>
            <w:vMerge w:val="continue"/>
            <w:noWrap w:val="0"/>
            <w:vAlign w:val="center"/>
          </w:tcPr>
          <w:p w14:paraId="32F11059">
            <w:pPr>
              <w:pStyle w:val="20"/>
              <w:jc w:val="center"/>
              <w:rPr>
                <w:rFonts w:ascii="Times New Roman" w:hAnsi="Times New Roman" w:eastAsia="楷体_GB2312"/>
                <w:sz w:val="24"/>
                <w:szCs w:val="24"/>
              </w:rPr>
            </w:pPr>
          </w:p>
        </w:tc>
        <w:tc>
          <w:tcPr>
            <w:tcW w:w="0" w:type="auto"/>
            <w:noWrap w:val="0"/>
            <w:vAlign w:val="center"/>
          </w:tcPr>
          <w:p w14:paraId="26D1F0FD">
            <w:pPr>
              <w:pStyle w:val="20"/>
              <w:jc w:val="center"/>
              <w:rPr>
                <w:rFonts w:ascii="Times New Roman" w:hAnsi="Times New Roman" w:eastAsia="楷体_GB2312"/>
                <w:sz w:val="24"/>
                <w:szCs w:val="24"/>
              </w:rPr>
            </w:pPr>
            <w:r>
              <w:rPr>
                <w:rFonts w:ascii="Times New Roman" w:hAnsi="Times New Roman" w:eastAsia="楷体_GB2312"/>
                <w:sz w:val="24"/>
                <w:szCs w:val="24"/>
              </w:rPr>
              <w:t>3</w:t>
            </w:r>
          </w:p>
        </w:tc>
        <w:tc>
          <w:tcPr>
            <w:tcW w:w="0" w:type="auto"/>
            <w:noWrap/>
            <w:vAlign w:val="center"/>
          </w:tcPr>
          <w:p w14:paraId="288A5A44">
            <w:pPr>
              <w:jc w:val="center"/>
              <w:rPr>
                <w:color w:val="000000"/>
                <w:sz w:val="22"/>
                <w:szCs w:val="22"/>
              </w:rPr>
            </w:pPr>
            <w:r>
              <w:rPr>
                <w:color w:val="000000"/>
                <w:sz w:val="22"/>
                <w:szCs w:val="22"/>
              </w:rPr>
              <w:t>205</w:t>
            </w:r>
          </w:p>
        </w:tc>
        <w:tc>
          <w:tcPr>
            <w:tcW w:w="0" w:type="auto"/>
            <w:noWrap w:val="0"/>
            <w:vAlign w:val="center"/>
          </w:tcPr>
          <w:p w14:paraId="5EDFCD84">
            <w:pPr>
              <w:jc w:val="center"/>
              <w:rPr>
                <w:color w:val="000000"/>
                <w:sz w:val="22"/>
                <w:szCs w:val="22"/>
              </w:rPr>
            </w:pPr>
            <w:r>
              <w:rPr>
                <w:color w:val="000000"/>
                <w:sz w:val="22"/>
                <w:szCs w:val="22"/>
              </w:rPr>
              <w:t>13.67</w:t>
            </w:r>
          </w:p>
        </w:tc>
        <w:tc>
          <w:tcPr>
            <w:tcW w:w="0" w:type="auto"/>
            <w:noWrap/>
            <w:vAlign w:val="center"/>
          </w:tcPr>
          <w:p w14:paraId="14402FE4">
            <w:pPr>
              <w:jc w:val="center"/>
              <w:rPr>
                <w:color w:val="000000"/>
                <w:sz w:val="22"/>
                <w:szCs w:val="22"/>
              </w:rPr>
            </w:pPr>
            <w:r>
              <w:rPr>
                <w:color w:val="000000"/>
                <w:sz w:val="22"/>
                <w:szCs w:val="22"/>
              </w:rPr>
              <w:t>200</w:t>
            </w:r>
          </w:p>
        </w:tc>
        <w:tc>
          <w:tcPr>
            <w:tcW w:w="0" w:type="auto"/>
            <w:noWrap w:val="0"/>
            <w:vAlign w:val="center"/>
          </w:tcPr>
          <w:p w14:paraId="64C6DC31">
            <w:pPr>
              <w:jc w:val="center"/>
              <w:rPr>
                <w:color w:val="000000"/>
                <w:sz w:val="22"/>
                <w:szCs w:val="22"/>
              </w:rPr>
            </w:pPr>
            <w:r>
              <w:rPr>
                <w:color w:val="000000"/>
                <w:sz w:val="22"/>
                <w:szCs w:val="22"/>
              </w:rPr>
              <w:t>13.33</w:t>
            </w:r>
          </w:p>
        </w:tc>
        <w:tc>
          <w:tcPr>
            <w:tcW w:w="0" w:type="auto"/>
            <w:noWrap/>
            <w:vAlign w:val="center"/>
          </w:tcPr>
          <w:p w14:paraId="25B6F813">
            <w:pPr>
              <w:jc w:val="center"/>
              <w:rPr>
                <w:color w:val="000000"/>
                <w:sz w:val="22"/>
                <w:szCs w:val="22"/>
              </w:rPr>
            </w:pPr>
            <w:r>
              <w:rPr>
                <w:color w:val="000000"/>
                <w:sz w:val="22"/>
                <w:szCs w:val="22"/>
              </w:rPr>
              <w:t>195</w:t>
            </w:r>
          </w:p>
        </w:tc>
        <w:tc>
          <w:tcPr>
            <w:tcW w:w="0" w:type="auto"/>
            <w:noWrap w:val="0"/>
            <w:vAlign w:val="center"/>
          </w:tcPr>
          <w:p w14:paraId="5B289D92">
            <w:pPr>
              <w:jc w:val="center"/>
              <w:rPr>
                <w:color w:val="000000"/>
                <w:sz w:val="22"/>
                <w:szCs w:val="22"/>
              </w:rPr>
            </w:pPr>
            <w:r>
              <w:rPr>
                <w:color w:val="000000"/>
                <w:sz w:val="22"/>
                <w:szCs w:val="22"/>
              </w:rPr>
              <w:t>13.00</w:t>
            </w:r>
          </w:p>
        </w:tc>
        <w:tc>
          <w:tcPr>
            <w:tcW w:w="0" w:type="auto"/>
            <w:noWrap w:val="0"/>
            <w:vAlign w:val="center"/>
          </w:tcPr>
          <w:p w14:paraId="65B5B2E0">
            <w:pPr>
              <w:jc w:val="center"/>
              <w:rPr>
                <w:color w:val="000000"/>
                <w:sz w:val="22"/>
                <w:szCs w:val="22"/>
              </w:rPr>
            </w:pPr>
            <w:r>
              <w:rPr>
                <w:color w:val="000000"/>
                <w:sz w:val="22"/>
                <w:szCs w:val="22"/>
              </w:rPr>
              <w:t>190</w:t>
            </w:r>
          </w:p>
        </w:tc>
        <w:tc>
          <w:tcPr>
            <w:tcW w:w="0" w:type="auto"/>
            <w:noWrap w:val="0"/>
            <w:vAlign w:val="center"/>
          </w:tcPr>
          <w:p w14:paraId="38DE224C">
            <w:pPr>
              <w:jc w:val="center"/>
              <w:rPr>
                <w:color w:val="000000"/>
                <w:sz w:val="22"/>
                <w:szCs w:val="22"/>
              </w:rPr>
            </w:pPr>
            <w:r>
              <w:rPr>
                <w:color w:val="000000"/>
                <w:sz w:val="22"/>
                <w:szCs w:val="22"/>
              </w:rPr>
              <w:t>12.67</w:t>
            </w:r>
          </w:p>
        </w:tc>
        <w:tc>
          <w:tcPr>
            <w:tcW w:w="0" w:type="auto"/>
            <w:noWrap w:val="0"/>
            <w:vAlign w:val="center"/>
          </w:tcPr>
          <w:p w14:paraId="7D8F6ED7">
            <w:pPr>
              <w:jc w:val="center"/>
              <w:rPr>
                <w:color w:val="000000"/>
                <w:sz w:val="22"/>
                <w:szCs w:val="22"/>
              </w:rPr>
            </w:pPr>
            <w:r>
              <w:rPr>
                <w:color w:val="000000"/>
                <w:sz w:val="22"/>
                <w:szCs w:val="22"/>
              </w:rPr>
              <w:t>185</w:t>
            </w:r>
          </w:p>
        </w:tc>
        <w:tc>
          <w:tcPr>
            <w:tcW w:w="0" w:type="auto"/>
            <w:noWrap w:val="0"/>
            <w:vAlign w:val="center"/>
          </w:tcPr>
          <w:p w14:paraId="5ABC8B58">
            <w:pPr>
              <w:jc w:val="center"/>
              <w:rPr>
                <w:color w:val="000000"/>
                <w:sz w:val="22"/>
                <w:szCs w:val="22"/>
              </w:rPr>
            </w:pPr>
            <w:r>
              <w:rPr>
                <w:color w:val="000000"/>
                <w:sz w:val="22"/>
                <w:szCs w:val="22"/>
              </w:rPr>
              <w:t>12.33</w:t>
            </w:r>
          </w:p>
        </w:tc>
        <w:tc>
          <w:tcPr>
            <w:tcW w:w="0" w:type="auto"/>
            <w:noWrap w:val="0"/>
            <w:vAlign w:val="center"/>
          </w:tcPr>
          <w:p w14:paraId="57E05044">
            <w:pPr>
              <w:jc w:val="center"/>
              <w:rPr>
                <w:color w:val="000000"/>
                <w:sz w:val="22"/>
                <w:szCs w:val="22"/>
              </w:rPr>
            </w:pPr>
            <w:r>
              <w:rPr>
                <w:color w:val="000000"/>
                <w:sz w:val="22"/>
                <w:szCs w:val="22"/>
              </w:rPr>
              <w:t>180</w:t>
            </w:r>
          </w:p>
        </w:tc>
        <w:tc>
          <w:tcPr>
            <w:tcW w:w="0" w:type="auto"/>
            <w:noWrap w:val="0"/>
            <w:vAlign w:val="center"/>
          </w:tcPr>
          <w:p w14:paraId="6D52D20D">
            <w:pPr>
              <w:jc w:val="center"/>
              <w:rPr>
                <w:color w:val="000000"/>
                <w:sz w:val="22"/>
                <w:szCs w:val="22"/>
              </w:rPr>
            </w:pPr>
            <w:r>
              <w:rPr>
                <w:color w:val="000000"/>
                <w:sz w:val="22"/>
                <w:szCs w:val="22"/>
              </w:rPr>
              <w:t>12.00</w:t>
            </w:r>
          </w:p>
        </w:tc>
      </w:tr>
      <w:tr w14:paraId="4A59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43F16DE1">
            <w:pPr>
              <w:pStyle w:val="20"/>
              <w:jc w:val="center"/>
              <w:rPr>
                <w:rFonts w:ascii="Times New Roman" w:hAnsi="Times New Roman" w:eastAsia="楷体_GB2312"/>
                <w:sz w:val="24"/>
                <w:szCs w:val="24"/>
              </w:rPr>
            </w:pPr>
            <w:r>
              <w:rPr>
                <w:rFonts w:ascii="Times New Roman" w:hAnsi="Times New Roman" w:eastAsia="楷体_GB2312"/>
                <w:sz w:val="24"/>
                <w:szCs w:val="24"/>
              </w:rPr>
              <w:t>10</w:t>
            </w:r>
          </w:p>
        </w:tc>
        <w:tc>
          <w:tcPr>
            <w:tcW w:w="0" w:type="auto"/>
            <w:vMerge w:val="restart"/>
            <w:noWrap w:val="0"/>
            <w:vAlign w:val="center"/>
          </w:tcPr>
          <w:p w14:paraId="3BEB1318">
            <w:pPr>
              <w:pStyle w:val="20"/>
              <w:jc w:val="center"/>
              <w:rPr>
                <w:rFonts w:ascii="Times New Roman" w:hAnsi="Times New Roman" w:eastAsia="楷体_GB2312"/>
                <w:sz w:val="24"/>
                <w:szCs w:val="24"/>
              </w:rPr>
            </w:pPr>
            <w:r>
              <w:rPr>
                <w:rFonts w:ascii="Times New Roman" w:hAnsi="Times New Roman" w:eastAsia="楷体_GB2312"/>
                <w:sz w:val="24"/>
                <w:szCs w:val="24"/>
              </w:rPr>
              <w:t>桃园镇</w:t>
            </w:r>
          </w:p>
        </w:tc>
        <w:tc>
          <w:tcPr>
            <w:tcW w:w="0" w:type="auto"/>
            <w:noWrap w:val="0"/>
            <w:vAlign w:val="center"/>
          </w:tcPr>
          <w:p w14:paraId="15071F44">
            <w:pPr>
              <w:pStyle w:val="20"/>
              <w:jc w:val="center"/>
              <w:rPr>
                <w:rFonts w:ascii="Times New Roman" w:hAnsi="Times New Roman" w:eastAsia="楷体_GB2312"/>
                <w:sz w:val="24"/>
                <w:szCs w:val="24"/>
              </w:rPr>
            </w:pPr>
            <w:r>
              <w:rPr>
                <w:rFonts w:ascii="Times New Roman" w:hAnsi="Times New Roman" w:eastAsia="楷体_GB2312"/>
                <w:sz w:val="24"/>
                <w:szCs w:val="24"/>
              </w:rPr>
              <w:t>1</w:t>
            </w:r>
          </w:p>
        </w:tc>
        <w:tc>
          <w:tcPr>
            <w:tcW w:w="0" w:type="auto"/>
            <w:noWrap/>
            <w:vAlign w:val="center"/>
          </w:tcPr>
          <w:p w14:paraId="4E5DAB54">
            <w:pPr>
              <w:jc w:val="center"/>
              <w:rPr>
                <w:color w:val="000000"/>
                <w:sz w:val="22"/>
                <w:szCs w:val="22"/>
              </w:rPr>
            </w:pPr>
            <w:r>
              <w:rPr>
                <w:color w:val="000000"/>
                <w:sz w:val="22"/>
                <w:szCs w:val="22"/>
              </w:rPr>
              <w:t>345</w:t>
            </w:r>
          </w:p>
        </w:tc>
        <w:tc>
          <w:tcPr>
            <w:tcW w:w="0" w:type="auto"/>
            <w:noWrap w:val="0"/>
            <w:vAlign w:val="center"/>
          </w:tcPr>
          <w:p w14:paraId="06FB0E78">
            <w:pPr>
              <w:jc w:val="center"/>
              <w:rPr>
                <w:color w:val="000000"/>
                <w:sz w:val="22"/>
                <w:szCs w:val="22"/>
              </w:rPr>
            </w:pPr>
            <w:r>
              <w:rPr>
                <w:color w:val="000000"/>
                <w:sz w:val="22"/>
                <w:szCs w:val="22"/>
              </w:rPr>
              <w:t>23.00</w:t>
            </w:r>
          </w:p>
        </w:tc>
        <w:tc>
          <w:tcPr>
            <w:tcW w:w="0" w:type="auto"/>
            <w:noWrap/>
            <w:vAlign w:val="center"/>
          </w:tcPr>
          <w:p w14:paraId="29A5DAD3">
            <w:pPr>
              <w:jc w:val="center"/>
              <w:rPr>
                <w:color w:val="000000"/>
                <w:sz w:val="22"/>
                <w:szCs w:val="22"/>
              </w:rPr>
            </w:pPr>
            <w:r>
              <w:rPr>
                <w:color w:val="000000"/>
                <w:sz w:val="22"/>
                <w:szCs w:val="22"/>
              </w:rPr>
              <w:t>325</w:t>
            </w:r>
          </w:p>
        </w:tc>
        <w:tc>
          <w:tcPr>
            <w:tcW w:w="0" w:type="auto"/>
            <w:noWrap w:val="0"/>
            <w:vAlign w:val="center"/>
          </w:tcPr>
          <w:p w14:paraId="23C9AE94">
            <w:pPr>
              <w:jc w:val="center"/>
              <w:rPr>
                <w:color w:val="000000"/>
                <w:sz w:val="22"/>
                <w:szCs w:val="22"/>
              </w:rPr>
            </w:pPr>
            <w:r>
              <w:rPr>
                <w:color w:val="000000"/>
                <w:sz w:val="22"/>
                <w:szCs w:val="22"/>
              </w:rPr>
              <w:t>21.67</w:t>
            </w:r>
          </w:p>
        </w:tc>
        <w:tc>
          <w:tcPr>
            <w:tcW w:w="0" w:type="auto"/>
            <w:noWrap/>
            <w:vAlign w:val="center"/>
          </w:tcPr>
          <w:p w14:paraId="641FBAF5">
            <w:pPr>
              <w:jc w:val="center"/>
              <w:rPr>
                <w:color w:val="000000"/>
                <w:sz w:val="22"/>
                <w:szCs w:val="22"/>
              </w:rPr>
            </w:pPr>
            <w:r>
              <w:rPr>
                <w:color w:val="000000"/>
                <w:sz w:val="22"/>
                <w:szCs w:val="22"/>
              </w:rPr>
              <w:t>305</w:t>
            </w:r>
          </w:p>
        </w:tc>
        <w:tc>
          <w:tcPr>
            <w:tcW w:w="0" w:type="auto"/>
            <w:noWrap w:val="0"/>
            <w:vAlign w:val="center"/>
          </w:tcPr>
          <w:p w14:paraId="5CFE9484">
            <w:pPr>
              <w:jc w:val="center"/>
              <w:rPr>
                <w:color w:val="000000"/>
                <w:sz w:val="22"/>
                <w:szCs w:val="22"/>
              </w:rPr>
            </w:pPr>
            <w:r>
              <w:rPr>
                <w:color w:val="000000"/>
                <w:sz w:val="22"/>
                <w:szCs w:val="22"/>
              </w:rPr>
              <w:t>20.33</w:t>
            </w:r>
          </w:p>
        </w:tc>
        <w:tc>
          <w:tcPr>
            <w:tcW w:w="0" w:type="auto"/>
            <w:noWrap w:val="0"/>
            <w:vAlign w:val="center"/>
          </w:tcPr>
          <w:p w14:paraId="6CEAAEFA">
            <w:pPr>
              <w:jc w:val="center"/>
              <w:rPr>
                <w:color w:val="000000"/>
                <w:sz w:val="22"/>
                <w:szCs w:val="22"/>
              </w:rPr>
            </w:pPr>
            <w:r>
              <w:rPr>
                <w:color w:val="000000"/>
                <w:sz w:val="22"/>
                <w:szCs w:val="22"/>
              </w:rPr>
              <w:t>295</w:t>
            </w:r>
          </w:p>
        </w:tc>
        <w:tc>
          <w:tcPr>
            <w:tcW w:w="0" w:type="auto"/>
            <w:noWrap w:val="0"/>
            <w:vAlign w:val="center"/>
          </w:tcPr>
          <w:p w14:paraId="18827F80">
            <w:pPr>
              <w:jc w:val="center"/>
              <w:rPr>
                <w:color w:val="000000"/>
                <w:sz w:val="22"/>
                <w:szCs w:val="22"/>
              </w:rPr>
            </w:pPr>
            <w:r>
              <w:rPr>
                <w:color w:val="000000"/>
                <w:sz w:val="22"/>
                <w:szCs w:val="22"/>
              </w:rPr>
              <w:t>19.67</w:t>
            </w:r>
          </w:p>
        </w:tc>
        <w:tc>
          <w:tcPr>
            <w:tcW w:w="0" w:type="auto"/>
            <w:noWrap w:val="0"/>
            <w:vAlign w:val="center"/>
          </w:tcPr>
          <w:p w14:paraId="44D562A3">
            <w:pPr>
              <w:jc w:val="center"/>
              <w:rPr>
                <w:color w:val="000000"/>
                <w:sz w:val="22"/>
                <w:szCs w:val="22"/>
              </w:rPr>
            </w:pPr>
            <w:r>
              <w:rPr>
                <w:color w:val="000000"/>
                <w:sz w:val="22"/>
                <w:szCs w:val="22"/>
              </w:rPr>
              <w:t>285</w:t>
            </w:r>
          </w:p>
        </w:tc>
        <w:tc>
          <w:tcPr>
            <w:tcW w:w="0" w:type="auto"/>
            <w:noWrap w:val="0"/>
            <w:vAlign w:val="center"/>
          </w:tcPr>
          <w:p w14:paraId="1FA9DCCC">
            <w:pPr>
              <w:jc w:val="center"/>
              <w:rPr>
                <w:color w:val="000000"/>
                <w:sz w:val="22"/>
                <w:szCs w:val="22"/>
              </w:rPr>
            </w:pPr>
            <w:r>
              <w:rPr>
                <w:color w:val="000000"/>
                <w:sz w:val="22"/>
                <w:szCs w:val="22"/>
              </w:rPr>
              <w:t>19.00</w:t>
            </w:r>
          </w:p>
        </w:tc>
        <w:tc>
          <w:tcPr>
            <w:tcW w:w="0" w:type="auto"/>
            <w:noWrap w:val="0"/>
            <w:vAlign w:val="center"/>
          </w:tcPr>
          <w:p w14:paraId="4D5465FC">
            <w:pPr>
              <w:jc w:val="center"/>
              <w:rPr>
                <w:color w:val="000000"/>
                <w:sz w:val="22"/>
                <w:szCs w:val="22"/>
              </w:rPr>
            </w:pPr>
            <w:r>
              <w:rPr>
                <w:color w:val="000000"/>
                <w:sz w:val="22"/>
                <w:szCs w:val="22"/>
              </w:rPr>
              <w:t>265</w:t>
            </w:r>
          </w:p>
        </w:tc>
        <w:tc>
          <w:tcPr>
            <w:tcW w:w="0" w:type="auto"/>
            <w:noWrap w:val="0"/>
            <w:vAlign w:val="center"/>
          </w:tcPr>
          <w:p w14:paraId="7E561926">
            <w:pPr>
              <w:jc w:val="center"/>
              <w:rPr>
                <w:color w:val="000000"/>
                <w:sz w:val="22"/>
                <w:szCs w:val="22"/>
              </w:rPr>
            </w:pPr>
            <w:r>
              <w:rPr>
                <w:color w:val="000000"/>
                <w:sz w:val="22"/>
                <w:szCs w:val="22"/>
              </w:rPr>
              <w:t>17.67</w:t>
            </w:r>
          </w:p>
        </w:tc>
      </w:tr>
      <w:tr w14:paraId="72577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21632B68">
            <w:pPr>
              <w:pStyle w:val="20"/>
              <w:jc w:val="center"/>
              <w:rPr>
                <w:rFonts w:ascii="Times New Roman" w:hAnsi="Times New Roman" w:eastAsia="楷体_GB2312"/>
                <w:sz w:val="24"/>
                <w:szCs w:val="24"/>
              </w:rPr>
            </w:pPr>
          </w:p>
        </w:tc>
        <w:tc>
          <w:tcPr>
            <w:tcW w:w="0" w:type="auto"/>
            <w:vMerge w:val="continue"/>
            <w:noWrap w:val="0"/>
            <w:vAlign w:val="center"/>
          </w:tcPr>
          <w:p w14:paraId="0C2DE59C">
            <w:pPr>
              <w:pStyle w:val="20"/>
              <w:jc w:val="center"/>
              <w:rPr>
                <w:rFonts w:ascii="Times New Roman" w:hAnsi="Times New Roman" w:eastAsia="楷体_GB2312"/>
                <w:sz w:val="24"/>
                <w:szCs w:val="24"/>
              </w:rPr>
            </w:pPr>
          </w:p>
        </w:tc>
        <w:tc>
          <w:tcPr>
            <w:tcW w:w="0" w:type="auto"/>
            <w:noWrap w:val="0"/>
            <w:vAlign w:val="center"/>
          </w:tcPr>
          <w:p w14:paraId="34FA15DD">
            <w:pPr>
              <w:pStyle w:val="20"/>
              <w:jc w:val="center"/>
              <w:rPr>
                <w:rFonts w:ascii="Times New Roman" w:hAnsi="Times New Roman" w:eastAsia="楷体_GB2312"/>
                <w:sz w:val="24"/>
                <w:szCs w:val="24"/>
              </w:rPr>
            </w:pPr>
            <w:r>
              <w:rPr>
                <w:rFonts w:ascii="Times New Roman" w:hAnsi="Times New Roman" w:eastAsia="楷体_GB2312"/>
                <w:sz w:val="24"/>
                <w:szCs w:val="24"/>
              </w:rPr>
              <w:t>2</w:t>
            </w:r>
          </w:p>
        </w:tc>
        <w:tc>
          <w:tcPr>
            <w:tcW w:w="0" w:type="auto"/>
            <w:noWrap/>
            <w:vAlign w:val="center"/>
          </w:tcPr>
          <w:p w14:paraId="02BC6FD5">
            <w:pPr>
              <w:jc w:val="center"/>
              <w:rPr>
                <w:color w:val="000000"/>
                <w:sz w:val="22"/>
                <w:szCs w:val="22"/>
              </w:rPr>
            </w:pPr>
            <w:r>
              <w:rPr>
                <w:color w:val="000000"/>
                <w:sz w:val="22"/>
                <w:szCs w:val="22"/>
              </w:rPr>
              <w:t>265</w:t>
            </w:r>
          </w:p>
        </w:tc>
        <w:tc>
          <w:tcPr>
            <w:tcW w:w="0" w:type="auto"/>
            <w:noWrap w:val="0"/>
            <w:vAlign w:val="center"/>
          </w:tcPr>
          <w:p w14:paraId="55FAD9A7">
            <w:pPr>
              <w:jc w:val="center"/>
              <w:rPr>
                <w:color w:val="000000"/>
                <w:sz w:val="22"/>
                <w:szCs w:val="22"/>
              </w:rPr>
            </w:pPr>
            <w:r>
              <w:rPr>
                <w:color w:val="000000"/>
                <w:sz w:val="22"/>
                <w:szCs w:val="22"/>
              </w:rPr>
              <w:t>17.67</w:t>
            </w:r>
          </w:p>
        </w:tc>
        <w:tc>
          <w:tcPr>
            <w:tcW w:w="0" w:type="auto"/>
            <w:noWrap/>
            <w:vAlign w:val="center"/>
          </w:tcPr>
          <w:p w14:paraId="1B79E4F3">
            <w:pPr>
              <w:jc w:val="center"/>
              <w:rPr>
                <w:color w:val="000000"/>
                <w:sz w:val="22"/>
                <w:szCs w:val="22"/>
              </w:rPr>
            </w:pPr>
            <w:r>
              <w:rPr>
                <w:color w:val="000000"/>
                <w:sz w:val="22"/>
                <w:szCs w:val="22"/>
              </w:rPr>
              <w:t>255</w:t>
            </w:r>
          </w:p>
        </w:tc>
        <w:tc>
          <w:tcPr>
            <w:tcW w:w="0" w:type="auto"/>
            <w:noWrap w:val="0"/>
            <w:vAlign w:val="center"/>
          </w:tcPr>
          <w:p w14:paraId="1379F568">
            <w:pPr>
              <w:jc w:val="center"/>
              <w:rPr>
                <w:color w:val="000000"/>
                <w:sz w:val="22"/>
                <w:szCs w:val="22"/>
              </w:rPr>
            </w:pPr>
            <w:r>
              <w:rPr>
                <w:color w:val="000000"/>
                <w:sz w:val="22"/>
                <w:szCs w:val="22"/>
              </w:rPr>
              <w:t>17.00</w:t>
            </w:r>
          </w:p>
        </w:tc>
        <w:tc>
          <w:tcPr>
            <w:tcW w:w="0" w:type="auto"/>
            <w:noWrap/>
            <w:vAlign w:val="center"/>
          </w:tcPr>
          <w:p w14:paraId="48FBDBD6">
            <w:pPr>
              <w:jc w:val="center"/>
              <w:rPr>
                <w:color w:val="000000"/>
                <w:sz w:val="22"/>
                <w:szCs w:val="22"/>
              </w:rPr>
            </w:pPr>
            <w:r>
              <w:rPr>
                <w:color w:val="000000"/>
                <w:sz w:val="22"/>
                <w:szCs w:val="22"/>
              </w:rPr>
              <w:t>245</w:t>
            </w:r>
          </w:p>
        </w:tc>
        <w:tc>
          <w:tcPr>
            <w:tcW w:w="0" w:type="auto"/>
            <w:noWrap w:val="0"/>
            <w:vAlign w:val="center"/>
          </w:tcPr>
          <w:p w14:paraId="3C6D39E9">
            <w:pPr>
              <w:jc w:val="center"/>
              <w:rPr>
                <w:color w:val="000000"/>
                <w:sz w:val="22"/>
                <w:szCs w:val="22"/>
              </w:rPr>
            </w:pPr>
            <w:r>
              <w:rPr>
                <w:color w:val="000000"/>
                <w:sz w:val="22"/>
                <w:szCs w:val="22"/>
              </w:rPr>
              <w:t>16.33</w:t>
            </w:r>
          </w:p>
        </w:tc>
        <w:tc>
          <w:tcPr>
            <w:tcW w:w="0" w:type="auto"/>
            <w:noWrap w:val="0"/>
            <w:vAlign w:val="center"/>
          </w:tcPr>
          <w:p w14:paraId="48005030">
            <w:pPr>
              <w:jc w:val="center"/>
              <w:rPr>
                <w:color w:val="000000"/>
                <w:sz w:val="22"/>
                <w:szCs w:val="22"/>
              </w:rPr>
            </w:pPr>
            <w:r>
              <w:rPr>
                <w:color w:val="000000"/>
                <w:sz w:val="22"/>
                <w:szCs w:val="22"/>
              </w:rPr>
              <w:t>235</w:t>
            </w:r>
          </w:p>
        </w:tc>
        <w:tc>
          <w:tcPr>
            <w:tcW w:w="0" w:type="auto"/>
            <w:noWrap w:val="0"/>
            <w:vAlign w:val="center"/>
          </w:tcPr>
          <w:p w14:paraId="007059D0">
            <w:pPr>
              <w:jc w:val="center"/>
              <w:rPr>
                <w:color w:val="000000"/>
                <w:sz w:val="22"/>
                <w:szCs w:val="22"/>
              </w:rPr>
            </w:pPr>
            <w:r>
              <w:rPr>
                <w:color w:val="000000"/>
                <w:sz w:val="22"/>
                <w:szCs w:val="22"/>
              </w:rPr>
              <w:t>15.67</w:t>
            </w:r>
          </w:p>
        </w:tc>
        <w:tc>
          <w:tcPr>
            <w:tcW w:w="0" w:type="auto"/>
            <w:noWrap w:val="0"/>
            <w:vAlign w:val="center"/>
          </w:tcPr>
          <w:p w14:paraId="138FA620">
            <w:pPr>
              <w:jc w:val="center"/>
              <w:rPr>
                <w:color w:val="000000"/>
                <w:sz w:val="22"/>
                <w:szCs w:val="22"/>
              </w:rPr>
            </w:pPr>
            <w:r>
              <w:rPr>
                <w:color w:val="000000"/>
                <w:sz w:val="22"/>
                <w:szCs w:val="22"/>
              </w:rPr>
              <w:t>230</w:t>
            </w:r>
          </w:p>
        </w:tc>
        <w:tc>
          <w:tcPr>
            <w:tcW w:w="0" w:type="auto"/>
            <w:noWrap w:val="0"/>
            <w:vAlign w:val="center"/>
          </w:tcPr>
          <w:p w14:paraId="25CC7F35">
            <w:pPr>
              <w:jc w:val="center"/>
              <w:rPr>
                <w:color w:val="000000"/>
                <w:sz w:val="22"/>
                <w:szCs w:val="22"/>
              </w:rPr>
            </w:pPr>
            <w:r>
              <w:rPr>
                <w:color w:val="000000"/>
                <w:sz w:val="22"/>
                <w:szCs w:val="22"/>
              </w:rPr>
              <w:t>15.33</w:t>
            </w:r>
          </w:p>
        </w:tc>
        <w:tc>
          <w:tcPr>
            <w:tcW w:w="0" w:type="auto"/>
            <w:noWrap w:val="0"/>
            <w:vAlign w:val="center"/>
          </w:tcPr>
          <w:p w14:paraId="171F30EA">
            <w:pPr>
              <w:jc w:val="center"/>
              <w:rPr>
                <w:color w:val="000000"/>
                <w:sz w:val="22"/>
                <w:szCs w:val="22"/>
              </w:rPr>
            </w:pPr>
            <w:r>
              <w:rPr>
                <w:color w:val="000000"/>
                <w:sz w:val="22"/>
                <w:szCs w:val="22"/>
              </w:rPr>
              <w:t>220</w:t>
            </w:r>
          </w:p>
        </w:tc>
        <w:tc>
          <w:tcPr>
            <w:tcW w:w="0" w:type="auto"/>
            <w:noWrap w:val="0"/>
            <w:vAlign w:val="center"/>
          </w:tcPr>
          <w:p w14:paraId="6634BB8E">
            <w:pPr>
              <w:jc w:val="center"/>
              <w:rPr>
                <w:color w:val="000000"/>
                <w:sz w:val="22"/>
                <w:szCs w:val="22"/>
              </w:rPr>
            </w:pPr>
            <w:r>
              <w:rPr>
                <w:color w:val="000000"/>
                <w:sz w:val="22"/>
                <w:szCs w:val="22"/>
              </w:rPr>
              <w:t>14.67</w:t>
            </w:r>
          </w:p>
        </w:tc>
      </w:tr>
      <w:tr w14:paraId="1589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3192E9E5">
            <w:pPr>
              <w:pStyle w:val="20"/>
              <w:jc w:val="center"/>
              <w:rPr>
                <w:rFonts w:ascii="Times New Roman" w:hAnsi="Times New Roman" w:eastAsia="楷体_GB2312"/>
                <w:sz w:val="24"/>
                <w:szCs w:val="24"/>
              </w:rPr>
            </w:pPr>
          </w:p>
        </w:tc>
        <w:tc>
          <w:tcPr>
            <w:tcW w:w="0" w:type="auto"/>
            <w:vMerge w:val="continue"/>
            <w:noWrap w:val="0"/>
            <w:vAlign w:val="center"/>
          </w:tcPr>
          <w:p w14:paraId="2170B4EE">
            <w:pPr>
              <w:pStyle w:val="20"/>
              <w:jc w:val="center"/>
              <w:rPr>
                <w:rFonts w:ascii="Times New Roman" w:hAnsi="Times New Roman" w:eastAsia="楷体_GB2312"/>
                <w:sz w:val="24"/>
                <w:szCs w:val="24"/>
              </w:rPr>
            </w:pPr>
          </w:p>
        </w:tc>
        <w:tc>
          <w:tcPr>
            <w:tcW w:w="0" w:type="auto"/>
            <w:noWrap w:val="0"/>
            <w:vAlign w:val="center"/>
          </w:tcPr>
          <w:p w14:paraId="04494226">
            <w:pPr>
              <w:pStyle w:val="20"/>
              <w:jc w:val="center"/>
              <w:rPr>
                <w:rFonts w:ascii="Times New Roman" w:hAnsi="Times New Roman" w:eastAsia="楷体_GB2312"/>
                <w:sz w:val="24"/>
                <w:szCs w:val="24"/>
              </w:rPr>
            </w:pPr>
            <w:r>
              <w:rPr>
                <w:rFonts w:ascii="Times New Roman" w:hAnsi="Times New Roman" w:eastAsia="楷体_GB2312"/>
                <w:sz w:val="24"/>
                <w:szCs w:val="24"/>
              </w:rPr>
              <w:t>3</w:t>
            </w:r>
          </w:p>
        </w:tc>
        <w:tc>
          <w:tcPr>
            <w:tcW w:w="0" w:type="auto"/>
            <w:noWrap/>
            <w:vAlign w:val="center"/>
          </w:tcPr>
          <w:p w14:paraId="3A3CD4B3">
            <w:pPr>
              <w:jc w:val="center"/>
              <w:rPr>
                <w:color w:val="000000"/>
                <w:sz w:val="22"/>
                <w:szCs w:val="22"/>
              </w:rPr>
            </w:pPr>
            <w:r>
              <w:rPr>
                <w:color w:val="000000"/>
                <w:sz w:val="22"/>
                <w:szCs w:val="22"/>
              </w:rPr>
              <w:t>200</w:t>
            </w:r>
          </w:p>
        </w:tc>
        <w:tc>
          <w:tcPr>
            <w:tcW w:w="0" w:type="auto"/>
            <w:noWrap w:val="0"/>
            <w:vAlign w:val="center"/>
          </w:tcPr>
          <w:p w14:paraId="235D14F9">
            <w:pPr>
              <w:jc w:val="center"/>
              <w:rPr>
                <w:color w:val="000000"/>
                <w:sz w:val="22"/>
                <w:szCs w:val="22"/>
              </w:rPr>
            </w:pPr>
            <w:r>
              <w:rPr>
                <w:color w:val="000000"/>
                <w:sz w:val="22"/>
                <w:szCs w:val="22"/>
              </w:rPr>
              <w:t>13.33</w:t>
            </w:r>
          </w:p>
        </w:tc>
        <w:tc>
          <w:tcPr>
            <w:tcW w:w="0" w:type="auto"/>
            <w:noWrap/>
            <w:vAlign w:val="center"/>
          </w:tcPr>
          <w:p w14:paraId="4303F8ED">
            <w:pPr>
              <w:jc w:val="center"/>
              <w:rPr>
                <w:color w:val="000000"/>
                <w:sz w:val="22"/>
                <w:szCs w:val="22"/>
              </w:rPr>
            </w:pPr>
            <w:r>
              <w:rPr>
                <w:color w:val="000000"/>
                <w:sz w:val="22"/>
                <w:szCs w:val="22"/>
              </w:rPr>
              <w:t>195</w:t>
            </w:r>
          </w:p>
        </w:tc>
        <w:tc>
          <w:tcPr>
            <w:tcW w:w="0" w:type="auto"/>
            <w:noWrap w:val="0"/>
            <w:vAlign w:val="center"/>
          </w:tcPr>
          <w:p w14:paraId="2A8324D4">
            <w:pPr>
              <w:jc w:val="center"/>
              <w:rPr>
                <w:color w:val="000000"/>
                <w:sz w:val="22"/>
                <w:szCs w:val="22"/>
              </w:rPr>
            </w:pPr>
            <w:r>
              <w:rPr>
                <w:color w:val="000000"/>
                <w:sz w:val="22"/>
                <w:szCs w:val="22"/>
              </w:rPr>
              <w:t>13.00</w:t>
            </w:r>
          </w:p>
        </w:tc>
        <w:tc>
          <w:tcPr>
            <w:tcW w:w="0" w:type="auto"/>
            <w:noWrap/>
            <w:vAlign w:val="center"/>
          </w:tcPr>
          <w:p w14:paraId="2FCF6910">
            <w:pPr>
              <w:jc w:val="center"/>
              <w:rPr>
                <w:color w:val="000000"/>
                <w:sz w:val="22"/>
                <w:szCs w:val="22"/>
              </w:rPr>
            </w:pPr>
            <w:r>
              <w:rPr>
                <w:color w:val="000000"/>
                <w:sz w:val="22"/>
                <w:szCs w:val="22"/>
              </w:rPr>
              <w:t>190</w:t>
            </w:r>
          </w:p>
        </w:tc>
        <w:tc>
          <w:tcPr>
            <w:tcW w:w="0" w:type="auto"/>
            <w:noWrap w:val="0"/>
            <w:vAlign w:val="center"/>
          </w:tcPr>
          <w:p w14:paraId="54121E13">
            <w:pPr>
              <w:jc w:val="center"/>
              <w:rPr>
                <w:color w:val="000000"/>
                <w:sz w:val="22"/>
                <w:szCs w:val="22"/>
              </w:rPr>
            </w:pPr>
            <w:r>
              <w:rPr>
                <w:color w:val="000000"/>
                <w:sz w:val="22"/>
                <w:szCs w:val="22"/>
              </w:rPr>
              <w:t>12.67</w:t>
            </w:r>
          </w:p>
        </w:tc>
        <w:tc>
          <w:tcPr>
            <w:tcW w:w="0" w:type="auto"/>
            <w:noWrap w:val="0"/>
            <w:vAlign w:val="center"/>
          </w:tcPr>
          <w:p w14:paraId="0D9D303D">
            <w:pPr>
              <w:jc w:val="center"/>
              <w:rPr>
                <w:color w:val="000000"/>
                <w:sz w:val="22"/>
                <w:szCs w:val="22"/>
              </w:rPr>
            </w:pPr>
            <w:r>
              <w:rPr>
                <w:color w:val="000000"/>
                <w:sz w:val="22"/>
                <w:szCs w:val="22"/>
              </w:rPr>
              <w:t>185</w:t>
            </w:r>
          </w:p>
        </w:tc>
        <w:tc>
          <w:tcPr>
            <w:tcW w:w="0" w:type="auto"/>
            <w:noWrap w:val="0"/>
            <w:vAlign w:val="center"/>
          </w:tcPr>
          <w:p w14:paraId="5E8E0A89">
            <w:pPr>
              <w:jc w:val="center"/>
              <w:rPr>
                <w:color w:val="000000"/>
                <w:sz w:val="22"/>
                <w:szCs w:val="22"/>
              </w:rPr>
            </w:pPr>
            <w:r>
              <w:rPr>
                <w:color w:val="000000"/>
                <w:sz w:val="22"/>
                <w:szCs w:val="22"/>
              </w:rPr>
              <w:t>12.33</w:t>
            </w:r>
          </w:p>
        </w:tc>
        <w:tc>
          <w:tcPr>
            <w:tcW w:w="0" w:type="auto"/>
            <w:noWrap w:val="0"/>
            <w:vAlign w:val="center"/>
          </w:tcPr>
          <w:p w14:paraId="5C02CADB">
            <w:pPr>
              <w:jc w:val="center"/>
              <w:rPr>
                <w:color w:val="000000"/>
                <w:sz w:val="22"/>
                <w:szCs w:val="22"/>
              </w:rPr>
            </w:pPr>
            <w:r>
              <w:rPr>
                <w:color w:val="000000"/>
                <w:sz w:val="22"/>
                <w:szCs w:val="22"/>
              </w:rPr>
              <w:t>180</w:t>
            </w:r>
          </w:p>
        </w:tc>
        <w:tc>
          <w:tcPr>
            <w:tcW w:w="0" w:type="auto"/>
            <w:noWrap w:val="0"/>
            <w:vAlign w:val="center"/>
          </w:tcPr>
          <w:p w14:paraId="6476DF3B">
            <w:pPr>
              <w:jc w:val="center"/>
              <w:rPr>
                <w:color w:val="000000"/>
                <w:sz w:val="22"/>
                <w:szCs w:val="22"/>
              </w:rPr>
            </w:pPr>
            <w:r>
              <w:rPr>
                <w:color w:val="000000"/>
                <w:sz w:val="22"/>
                <w:szCs w:val="22"/>
              </w:rPr>
              <w:t>12.00</w:t>
            </w:r>
          </w:p>
        </w:tc>
        <w:tc>
          <w:tcPr>
            <w:tcW w:w="0" w:type="auto"/>
            <w:noWrap w:val="0"/>
            <w:vAlign w:val="center"/>
          </w:tcPr>
          <w:p w14:paraId="683C0CA4">
            <w:pPr>
              <w:jc w:val="center"/>
              <w:rPr>
                <w:color w:val="000000"/>
                <w:sz w:val="22"/>
                <w:szCs w:val="22"/>
              </w:rPr>
            </w:pPr>
            <w:r>
              <w:rPr>
                <w:color w:val="000000"/>
                <w:sz w:val="22"/>
                <w:szCs w:val="22"/>
              </w:rPr>
              <w:t>175</w:t>
            </w:r>
          </w:p>
        </w:tc>
        <w:tc>
          <w:tcPr>
            <w:tcW w:w="0" w:type="auto"/>
            <w:noWrap w:val="0"/>
            <w:vAlign w:val="center"/>
          </w:tcPr>
          <w:p w14:paraId="22CF6EA8">
            <w:pPr>
              <w:jc w:val="center"/>
              <w:rPr>
                <w:color w:val="000000"/>
                <w:sz w:val="22"/>
                <w:szCs w:val="22"/>
              </w:rPr>
            </w:pPr>
            <w:r>
              <w:rPr>
                <w:color w:val="000000"/>
                <w:sz w:val="22"/>
                <w:szCs w:val="22"/>
              </w:rPr>
              <w:t>11.67</w:t>
            </w:r>
          </w:p>
        </w:tc>
      </w:tr>
      <w:tr w14:paraId="6682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546DBC28">
            <w:pPr>
              <w:pStyle w:val="20"/>
              <w:jc w:val="center"/>
              <w:rPr>
                <w:rFonts w:ascii="Times New Roman" w:hAnsi="Times New Roman" w:eastAsia="楷体_GB2312"/>
                <w:sz w:val="24"/>
                <w:szCs w:val="24"/>
              </w:rPr>
            </w:pPr>
            <w:r>
              <w:rPr>
                <w:rFonts w:ascii="Times New Roman" w:hAnsi="Times New Roman" w:eastAsia="楷体_GB2312"/>
                <w:sz w:val="24"/>
                <w:szCs w:val="24"/>
              </w:rPr>
              <w:t>11</w:t>
            </w:r>
          </w:p>
        </w:tc>
        <w:tc>
          <w:tcPr>
            <w:tcW w:w="0" w:type="auto"/>
            <w:vMerge w:val="restart"/>
            <w:noWrap w:val="0"/>
            <w:vAlign w:val="center"/>
          </w:tcPr>
          <w:p w14:paraId="5E980E3B">
            <w:pPr>
              <w:pStyle w:val="20"/>
              <w:jc w:val="center"/>
              <w:rPr>
                <w:rFonts w:ascii="Times New Roman" w:hAnsi="Times New Roman" w:eastAsia="楷体_GB2312"/>
                <w:sz w:val="24"/>
                <w:szCs w:val="24"/>
              </w:rPr>
            </w:pPr>
            <w:r>
              <w:rPr>
                <w:rFonts w:ascii="Times New Roman" w:hAnsi="Times New Roman" w:eastAsia="楷体_GB2312"/>
                <w:sz w:val="24"/>
                <w:szCs w:val="24"/>
              </w:rPr>
              <w:t>曹村镇</w:t>
            </w:r>
          </w:p>
        </w:tc>
        <w:tc>
          <w:tcPr>
            <w:tcW w:w="0" w:type="auto"/>
            <w:noWrap w:val="0"/>
            <w:vAlign w:val="center"/>
          </w:tcPr>
          <w:p w14:paraId="3522B067">
            <w:pPr>
              <w:pStyle w:val="20"/>
              <w:jc w:val="center"/>
              <w:rPr>
                <w:rFonts w:ascii="Times New Roman" w:hAnsi="Times New Roman" w:eastAsia="楷体_GB2312"/>
                <w:sz w:val="24"/>
                <w:szCs w:val="24"/>
              </w:rPr>
            </w:pPr>
            <w:r>
              <w:rPr>
                <w:rFonts w:ascii="Times New Roman" w:hAnsi="Times New Roman" w:eastAsia="楷体_GB2312"/>
                <w:sz w:val="24"/>
                <w:szCs w:val="24"/>
              </w:rPr>
              <w:t>1</w:t>
            </w:r>
          </w:p>
        </w:tc>
        <w:tc>
          <w:tcPr>
            <w:tcW w:w="0" w:type="auto"/>
            <w:noWrap/>
            <w:vAlign w:val="center"/>
          </w:tcPr>
          <w:p w14:paraId="1D1DA5E2">
            <w:pPr>
              <w:jc w:val="center"/>
              <w:rPr>
                <w:color w:val="000000"/>
                <w:sz w:val="22"/>
                <w:szCs w:val="22"/>
              </w:rPr>
            </w:pPr>
            <w:r>
              <w:rPr>
                <w:color w:val="000000"/>
                <w:sz w:val="22"/>
                <w:szCs w:val="22"/>
              </w:rPr>
              <w:t>340</w:t>
            </w:r>
          </w:p>
        </w:tc>
        <w:tc>
          <w:tcPr>
            <w:tcW w:w="0" w:type="auto"/>
            <w:noWrap w:val="0"/>
            <w:vAlign w:val="center"/>
          </w:tcPr>
          <w:p w14:paraId="7B0EEDE3">
            <w:pPr>
              <w:jc w:val="center"/>
              <w:rPr>
                <w:color w:val="000000"/>
                <w:sz w:val="22"/>
                <w:szCs w:val="22"/>
              </w:rPr>
            </w:pPr>
            <w:r>
              <w:rPr>
                <w:color w:val="000000"/>
                <w:sz w:val="22"/>
                <w:szCs w:val="22"/>
              </w:rPr>
              <w:t>22.67</w:t>
            </w:r>
          </w:p>
        </w:tc>
        <w:tc>
          <w:tcPr>
            <w:tcW w:w="0" w:type="auto"/>
            <w:noWrap/>
            <w:vAlign w:val="center"/>
          </w:tcPr>
          <w:p w14:paraId="69D555EC">
            <w:pPr>
              <w:jc w:val="center"/>
              <w:rPr>
                <w:color w:val="000000"/>
                <w:sz w:val="22"/>
                <w:szCs w:val="22"/>
              </w:rPr>
            </w:pPr>
            <w:r>
              <w:rPr>
                <w:color w:val="000000"/>
                <w:sz w:val="22"/>
                <w:szCs w:val="22"/>
              </w:rPr>
              <w:t>320</w:t>
            </w:r>
          </w:p>
        </w:tc>
        <w:tc>
          <w:tcPr>
            <w:tcW w:w="0" w:type="auto"/>
            <w:noWrap w:val="0"/>
            <w:vAlign w:val="center"/>
          </w:tcPr>
          <w:p w14:paraId="7FBEF6E5">
            <w:pPr>
              <w:jc w:val="center"/>
              <w:rPr>
                <w:color w:val="000000"/>
                <w:sz w:val="22"/>
                <w:szCs w:val="22"/>
              </w:rPr>
            </w:pPr>
            <w:r>
              <w:rPr>
                <w:color w:val="000000"/>
                <w:sz w:val="22"/>
                <w:szCs w:val="22"/>
              </w:rPr>
              <w:t>21.33</w:t>
            </w:r>
          </w:p>
        </w:tc>
        <w:tc>
          <w:tcPr>
            <w:tcW w:w="0" w:type="auto"/>
            <w:noWrap/>
            <w:vAlign w:val="center"/>
          </w:tcPr>
          <w:p w14:paraId="2CD8F0B6">
            <w:pPr>
              <w:jc w:val="center"/>
              <w:rPr>
                <w:color w:val="000000"/>
                <w:sz w:val="22"/>
                <w:szCs w:val="22"/>
              </w:rPr>
            </w:pPr>
            <w:r>
              <w:rPr>
                <w:color w:val="000000"/>
                <w:sz w:val="22"/>
                <w:szCs w:val="22"/>
              </w:rPr>
              <w:t>300</w:t>
            </w:r>
          </w:p>
        </w:tc>
        <w:tc>
          <w:tcPr>
            <w:tcW w:w="0" w:type="auto"/>
            <w:noWrap w:val="0"/>
            <w:vAlign w:val="center"/>
          </w:tcPr>
          <w:p w14:paraId="6D34FF23">
            <w:pPr>
              <w:jc w:val="center"/>
              <w:rPr>
                <w:color w:val="000000"/>
                <w:sz w:val="22"/>
                <w:szCs w:val="22"/>
              </w:rPr>
            </w:pPr>
            <w:r>
              <w:rPr>
                <w:color w:val="000000"/>
                <w:sz w:val="22"/>
                <w:szCs w:val="22"/>
              </w:rPr>
              <w:t>20.00</w:t>
            </w:r>
          </w:p>
        </w:tc>
        <w:tc>
          <w:tcPr>
            <w:tcW w:w="0" w:type="auto"/>
            <w:noWrap w:val="0"/>
            <w:vAlign w:val="center"/>
          </w:tcPr>
          <w:p w14:paraId="613944EA">
            <w:pPr>
              <w:jc w:val="center"/>
              <w:rPr>
                <w:color w:val="000000"/>
                <w:sz w:val="22"/>
                <w:szCs w:val="22"/>
              </w:rPr>
            </w:pPr>
            <w:r>
              <w:rPr>
                <w:color w:val="000000"/>
                <w:sz w:val="22"/>
                <w:szCs w:val="22"/>
              </w:rPr>
              <w:t>290</w:t>
            </w:r>
          </w:p>
        </w:tc>
        <w:tc>
          <w:tcPr>
            <w:tcW w:w="0" w:type="auto"/>
            <w:noWrap w:val="0"/>
            <w:vAlign w:val="center"/>
          </w:tcPr>
          <w:p w14:paraId="6C159023">
            <w:pPr>
              <w:jc w:val="center"/>
              <w:rPr>
                <w:color w:val="000000"/>
                <w:sz w:val="22"/>
                <w:szCs w:val="22"/>
              </w:rPr>
            </w:pPr>
            <w:r>
              <w:rPr>
                <w:color w:val="000000"/>
                <w:sz w:val="22"/>
                <w:szCs w:val="22"/>
              </w:rPr>
              <w:t>19.33</w:t>
            </w:r>
          </w:p>
        </w:tc>
        <w:tc>
          <w:tcPr>
            <w:tcW w:w="0" w:type="auto"/>
            <w:noWrap w:val="0"/>
            <w:vAlign w:val="center"/>
          </w:tcPr>
          <w:p w14:paraId="42AEA530">
            <w:pPr>
              <w:jc w:val="center"/>
              <w:rPr>
                <w:color w:val="000000"/>
                <w:sz w:val="22"/>
                <w:szCs w:val="22"/>
              </w:rPr>
            </w:pPr>
            <w:r>
              <w:rPr>
                <w:color w:val="000000"/>
                <w:sz w:val="22"/>
                <w:szCs w:val="22"/>
              </w:rPr>
              <w:t>280</w:t>
            </w:r>
          </w:p>
        </w:tc>
        <w:tc>
          <w:tcPr>
            <w:tcW w:w="0" w:type="auto"/>
            <w:noWrap w:val="0"/>
            <w:vAlign w:val="center"/>
          </w:tcPr>
          <w:p w14:paraId="1E8FD986">
            <w:pPr>
              <w:jc w:val="center"/>
              <w:rPr>
                <w:color w:val="000000"/>
                <w:sz w:val="22"/>
                <w:szCs w:val="22"/>
              </w:rPr>
            </w:pPr>
            <w:r>
              <w:rPr>
                <w:color w:val="000000"/>
                <w:sz w:val="22"/>
                <w:szCs w:val="22"/>
              </w:rPr>
              <w:t>18.67</w:t>
            </w:r>
          </w:p>
        </w:tc>
        <w:tc>
          <w:tcPr>
            <w:tcW w:w="0" w:type="auto"/>
            <w:noWrap w:val="0"/>
            <w:vAlign w:val="center"/>
          </w:tcPr>
          <w:p w14:paraId="747E1C2C">
            <w:pPr>
              <w:jc w:val="center"/>
              <w:rPr>
                <w:color w:val="000000"/>
                <w:sz w:val="22"/>
                <w:szCs w:val="22"/>
              </w:rPr>
            </w:pPr>
            <w:r>
              <w:rPr>
                <w:color w:val="000000"/>
                <w:sz w:val="22"/>
                <w:szCs w:val="22"/>
              </w:rPr>
              <w:t>260</w:t>
            </w:r>
          </w:p>
        </w:tc>
        <w:tc>
          <w:tcPr>
            <w:tcW w:w="0" w:type="auto"/>
            <w:noWrap w:val="0"/>
            <w:vAlign w:val="center"/>
          </w:tcPr>
          <w:p w14:paraId="6C918650">
            <w:pPr>
              <w:jc w:val="center"/>
              <w:rPr>
                <w:color w:val="000000"/>
                <w:sz w:val="22"/>
                <w:szCs w:val="22"/>
              </w:rPr>
            </w:pPr>
            <w:r>
              <w:rPr>
                <w:color w:val="000000"/>
                <w:sz w:val="22"/>
                <w:szCs w:val="22"/>
              </w:rPr>
              <w:t>17.33</w:t>
            </w:r>
          </w:p>
        </w:tc>
      </w:tr>
      <w:tr w14:paraId="28360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2DA51E7F">
            <w:pPr>
              <w:pStyle w:val="20"/>
              <w:jc w:val="center"/>
              <w:rPr>
                <w:rFonts w:ascii="Times New Roman" w:hAnsi="Times New Roman" w:eastAsia="楷体_GB2312"/>
                <w:sz w:val="24"/>
                <w:szCs w:val="24"/>
              </w:rPr>
            </w:pPr>
          </w:p>
        </w:tc>
        <w:tc>
          <w:tcPr>
            <w:tcW w:w="0" w:type="auto"/>
            <w:vMerge w:val="continue"/>
            <w:noWrap w:val="0"/>
            <w:vAlign w:val="center"/>
          </w:tcPr>
          <w:p w14:paraId="59C369BF">
            <w:pPr>
              <w:pStyle w:val="20"/>
              <w:jc w:val="center"/>
              <w:rPr>
                <w:rFonts w:ascii="Times New Roman" w:hAnsi="Times New Roman" w:eastAsia="楷体_GB2312"/>
                <w:sz w:val="24"/>
                <w:szCs w:val="24"/>
              </w:rPr>
            </w:pPr>
          </w:p>
        </w:tc>
        <w:tc>
          <w:tcPr>
            <w:tcW w:w="0" w:type="auto"/>
            <w:noWrap w:val="0"/>
            <w:vAlign w:val="center"/>
          </w:tcPr>
          <w:p w14:paraId="5498FB8E">
            <w:pPr>
              <w:pStyle w:val="20"/>
              <w:jc w:val="center"/>
              <w:rPr>
                <w:rFonts w:ascii="Times New Roman" w:hAnsi="Times New Roman" w:eastAsia="楷体_GB2312"/>
                <w:sz w:val="24"/>
                <w:szCs w:val="24"/>
              </w:rPr>
            </w:pPr>
            <w:r>
              <w:rPr>
                <w:rFonts w:ascii="Times New Roman" w:hAnsi="Times New Roman" w:eastAsia="楷体_GB2312"/>
                <w:sz w:val="24"/>
                <w:szCs w:val="24"/>
              </w:rPr>
              <w:t>2</w:t>
            </w:r>
          </w:p>
        </w:tc>
        <w:tc>
          <w:tcPr>
            <w:tcW w:w="0" w:type="auto"/>
            <w:noWrap/>
            <w:vAlign w:val="center"/>
          </w:tcPr>
          <w:p w14:paraId="73943954">
            <w:pPr>
              <w:jc w:val="center"/>
              <w:rPr>
                <w:color w:val="000000"/>
                <w:sz w:val="22"/>
                <w:szCs w:val="22"/>
              </w:rPr>
            </w:pPr>
            <w:r>
              <w:rPr>
                <w:color w:val="000000"/>
                <w:sz w:val="22"/>
                <w:szCs w:val="22"/>
              </w:rPr>
              <w:t>265</w:t>
            </w:r>
          </w:p>
        </w:tc>
        <w:tc>
          <w:tcPr>
            <w:tcW w:w="0" w:type="auto"/>
            <w:noWrap w:val="0"/>
            <w:vAlign w:val="center"/>
          </w:tcPr>
          <w:p w14:paraId="44491E25">
            <w:pPr>
              <w:jc w:val="center"/>
              <w:rPr>
                <w:color w:val="000000"/>
                <w:sz w:val="22"/>
                <w:szCs w:val="22"/>
              </w:rPr>
            </w:pPr>
            <w:r>
              <w:rPr>
                <w:color w:val="000000"/>
                <w:sz w:val="22"/>
                <w:szCs w:val="22"/>
              </w:rPr>
              <w:t>17.67</w:t>
            </w:r>
          </w:p>
        </w:tc>
        <w:tc>
          <w:tcPr>
            <w:tcW w:w="0" w:type="auto"/>
            <w:noWrap/>
            <w:vAlign w:val="center"/>
          </w:tcPr>
          <w:p w14:paraId="4A8F4F6E">
            <w:pPr>
              <w:jc w:val="center"/>
              <w:rPr>
                <w:color w:val="000000"/>
                <w:sz w:val="22"/>
                <w:szCs w:val="22"/>
              </w:rPr>
            </w:pPr>
            <w:r>
              <w:rPr>
                <w:color w:val="000000"/>
                <w:sz w:val="22"/>
                <w:szCs w:val="22"/>
              </w:rPr>
              <w:t>255</w:t>
            </w:r>
          </w:p>
        </w:tc>
        <w:tc>
          <w:tcPr>
            <w:tcW w:w="0" w:type="auto"/>
            <w:noWrap w:val="0"/>
            <w:vAlign w:val="center"/>
          </w:tcPr>
          <w:p w14:paraId="050A3181">
            <w:pPr>
              <w:jc w:val="center"/>
              <w:rPr>
                <w:color w:val="000000"/>
                <w:sz w:val="22"/>
                <w:szCs w:val="22"/>
              </w:rPr>
            </w:pPr>
            <w:r>
              <w:rPr>
                <w:color w:val="000000"/>
                <w:sz w:val="22"/>
                <w:szCs w:val="22"/>
              </w:rPr>
              <w:t>17.00</w:t>
            </w:r>
          </w:p>
        </w:tc>
        <w:tc>
          <w:tcPr>
            <w:tcW w:w="0" w:type="auto"/>
            <w:noWrap/>
            <w:vAlign w:val="center"/>
          </w:tcPr>
          <w:p w14:paraId="0CCCD4DB">
            <w:pPr>
              <w:jc w:val="center"/>
              <w:rPr>
                <w:color w:val="000000"/>
                <w:sz w:val="22"/>
                <w:szCs w:val="22"/>
              </w:rPr>
            </w:pPr>
            <w:r>
              <w:rPr>
                <w:color w:val="000000"/>
                <w:sz w:val="22"/>
                <w:szCs w:val="22"/>
              </w:rPr>
              <w:t>245</w:t>
            </w:r>
          </w:p>
        </w:tc>
        <w:tc>
          <w:tcPr>
            <w:tcW w:w="0" w:type="auto"/>
            <w:noWrap w:val="0"/>
            <w:vAlign w:val="center"/>
          </w:tcPr>
          <w:p w14:paraId="3FA4C9C9">
            <w:pPr>
              <w:jc w:val="center"/>
              <w:rPr>
                <w:color w:val="000000"/>
                <w:sz w:val="22"/>
                <w:szCs w:val="22"/>
              </w:rPr>
            </w:pPr>
            <w:r>
              <w:rPr>
                <w:color w:val="000000"/>
                <w:sz w:val="22"/>
                <w:szCs w:val="22"/>
              </w:rPr>
              <w:t>16.33</w:t>
            </w:r>
          </w:p>
        </w:tc>
        <w:tc>
          <w:tcPr>
            <w:tcW w:w="0" w:type="auto"/>
            <w:noWrap w:val="0"/>
            <w:vAlign w:val="center"/>
          </w:tcPr>
          <w:p w14:paraId="790DA416">
            <w:pPr>
              <w:jc w:val="center"/>
              <w:rPr>
                <w:color w:val="000000"/>
                <w:sz w:val="22"/>
                <w:szCs w:val="22"/>
              </w:rPr>
            </w:pPr>
            <w:r>
              <w:rPr>
                <w:color w:val="000000"/>
                <w:sz w:val="22"/>
                <w:szCs w:val="22"/>
              </w:rPr>
              <w:t>235</w:t>
            </w:r>
          </w:p>
        </w:tc>
        <w:tc>
          <w:tcPr>
            <w:tcW w:w="0" w:type="auto"/>
            <w:noWrap w:val="0"/>
            <w:vAlign w:val="center"/>
          </w:tcPr>
          <w:p w14:paraId="01CE6CD0">
            <w:pPr>
              <w:jc w:val="center"/>
              <w:rPr>
                <w:color w:val="000000"/>
                <w:sz w:val="22"/>
                <w:szCs w:val="22"/>
              </w:rPr>
            </w:pPr>
            <w:r>
              <w:rPr>
                <w:color w:val="000000"/>
                <w:sz w:val="22"/>
                <w:szCs w:val="22"/>
              </w:rPr>
              <w:t>15.67</w:t>
            </w:r>
          </w:p>
        </w:tc>
        <w:tc>
          <w:tcPr>
            <w:tcW w:w="0" w:type="auto"/>
            <w:noWrap w:val="0"/>
            <w:vAlign w:val="center"/>
          </w:tcPr>
          <w:p w14:paraId="308C0CB8">
            <w:pPr>
              <w:jc w:val="center"/>
              <w:rPr>
                <w:color w:val="000000"/>
                <w:sz w:val="22"/>
                <w:szCs w:val="22"/>
              </w:rPr>
            </w:pPr>
            <w:r>
              <w:rPr>
                <w:color w:val="000000"/>
                <w:sz w:val="22"/>
                <w:szCs w:val="22"/>
              </w:rPr>
              <w:t>230</w:t>
            </w:r>
          </w:p>
        </w:tc>
        <w:tc>
          <w:tcPr>
            <w:tcW w:w="0" w:type="auto"/>
            <w:noWrap w:val="0"/>
            <w:vAlign w:val="center"/>
          </w:tcPr>
          <w:p w14:paraId="292763C9">
            <w:pPr>
              <w:jc w:val="center"/>
              <w:rPr>
                <w:color w:val="000000"/>
                <w:sz w:val="22"/>
                <w:szCs w:val="22"/>
              </w:rPr>
            </w:pPr>
            <w:r>
              <w:rPr>
                <w:color w:val="000000"/>
                <w:sz w:val="22"/>
                <w:szCs w:val="22"/>
              </w:rPr>
              <w:t>15.33</w:t>
            </w:r>
          </w:p>
        </w:tc>
        <w:tc>
          <w:tcPr>
            <w:tcW w:w="0" w:type="auto"/>
            <w:noWrap w:val="0"/>
            <w:vAlign w:val="center"/>
          </w:tcPr>
          <w:p w14:paraId="75F75ADD">
            <w:pPr>
              <w:jc w:val="center"/>
              <w:rPr>
                <w:color w:val="000000"/>
                <w:sz w:val="22"/>
                <w:szCs w:val="22"/>
              </w:rPr>
            </w:pPr>
            <w:r>
              <w:rPr>
                <w:color w:val="000000"/>
                <w:sz w:val="22"/>
                <w:szCs w:val="22"/>
              </w:rPr>
              <w:t>220</w:t>
            </w:r>
          </w:p>
        </w:tc>
        <w:tc>
          <w:tcPr>
            <w:tcW w:w="0" w:type="auto"/>
            <w:noWrap w:val="0"/>
            <w:vAlign w:val="center"/>
          </w:tcPr>
          <w:p w14:paraId="1214E4D2">
            <w:pPr>
              <w:jc w:val="center"/>
              <w:rPr>
                <w:color w:val="000000"/>
                <w:sz w:val="22"/>
                <w:szCs w:val="22"/>
              </w:rPr>
            </w:pPr>
            <w:r>
              <w:rPr>
                <w:color w:val="000000"/>
                <w:sz w:val="22"/>
                <w:szCs w:val="22"/>
              </w:rPr>
              <w:t>14.67</w:t>
            </w:r>
          </w:p>
        </w:tc>
      </w:tr>
      <w:tr w14:paraId="0F80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76A2A765">
            <w:pPr>
              <w:pStyle w:val="20"/>
              <w:jc w:val="center"/>
              <w:rPr>
                <w:rFonts w:ascii="Times New Roman" w:hAnsi="Times New Roman" w:eastAsia="楷体_GB2312"/>
                <w:sz w:val="24"/>
                <w:szCs w:val="24"/>
              </w:rPr>
            </w:pPr>
          </w:p>
        </w:tc>
        <w:tc>
          <w:tcPr>
            <w:tcW w:w="0" w:type="auto"/>
            <w:vMerge w:val="continue"/>
            <w:noWrap w:val="0"/>
            <w:vAlign w:val="center"/>
          </w:tcPr>
          <w:p w14:paraId="3A8B22D8">
            <w:pPr>
              <w:pStyle w:val="20"/>
              <w:jc w:val="center"/>
              <w:rPr>
                <w:rFonts w:ascii="Times New Roman" w:hAnsi="Times New Roman" w:eastAsia="楷体_GB2312"/>
                <w:sz w:val="24"/>
                <w:szCs w:val="24"/>
              </w:rPr>
            </w:pPr>
          </w:p>
        </w:tc>
        <w:tc>
          <w:tcPr>
            <w:tcW w:w="0" w:type="auto"/>
            <w:noWrap w:val="0"/>
            <w:vAlign w:val="center"/>
          </w:tcPr>
          <w:p w14:paraId="6B023F4B">
            <w:pPr>
              <w:pStyle w:val="20"/>
              <w:jc w:val="center"/>
              <w:rPr>
                <w:rFonts w:ascii="Times New Roman" w:hAnsi="Times New Roman" w:eastAsia="楷体_GB2312"/>
                <w:sz w:val="24"/>
                <w:szCs w:val="24"/>
              </w:rPr>
            </w:pPr>
            <w:r>
              <w:rPr>
                <w:rFonts w:ascii="Times New Roman" w:hAnsi="Times New Roman" w:eastAsia="楷体_GB2312"/>
                <w:sz w:val="24"/>
                <w:szCs w:val="24"/>
              </w:rPr>
              <w:t>3</w:t>
            </w:r>
          </w:p>
        </w:tc>
        <w:tc>
          <w:tcPr>
            <w:tcW w:w="0" w:type="auto"/>
            <w:noWrap/>
            <w:vAlign w:val="center"/>
          </w:tcPr>
          <w:p w14:paraId="30FBBA44">
            <w:pPr>
              <w:jc w:val="center"/>
              <w:rPr>
                <w:color w:val="000000"/>
                <w:sz w:val="22"/>
                <w:szCs w:val="22"/>
              </w:rPr>
            </w:pPr>
            <w:r>
              <w:rPr>
                <w:color w:val="000000"/>
                <w:sz w:val="22"/>
                <w:szCs w:val="22"/>
              </w:rPr>
              <w:t>200</w:t>
            </w:r>
          </w:p>
        </w:tc>
        <w:tc>
          <w:tcPr>
            <w:tcW w:w="0" w:type="auto"/>
            <w:noWrap w:val="0"/>
            <w:vAlign w:val="center"/>
          </w:tcPr>
          <w:p w14:paraId="69B585C0">
            <w:pPr>
              <w:jc w:val="center"/>
              <w:rPr>
                <w:color w:val="000000"/>
                <w:sz w:val="22"/>
                <w:szCs w:val="22"/>
              </w:rPr>
            </w:pPr>
            <w:r>
              <w:rPr>
                <w:color w:val="000000"/>
                <w:sz w:val="22"/>
                <w:szCs w:val="22"/>
              </w:rPr>
              <w:t>13.33</w:t>
            </w:r>
          </w:p>
        </w:tc>
        <w:tc>
          <w:tcPr>
            <w:tcW w:w="0" w:type="auto"/>
            <w:noWrap/>
            <w:vAlign w:val="center"/>
          </w:tcPr>
          <w:p w14:paraId="6EAE4F35">
            <w:pPr>
              <w:jc w:val="center"/>
              <w:rPr>
                <w:color w:val="000000"/>
                <w:sz w:val="22"/>
                <w:szCs w:val="22"/>
              </w:rPr>
            </w:pPr>
            <w:r>
              <w:rPr>
                <w:color w:val="000000"/>
                <w:sz w:val="22"/>
                <w:szCs w:val="22"/>
              </w:rPr>
              <w:t>195</w:t>
            </w:r>
          </w:p>
        </w:tc>
        <w:tc>
          <w:tcPr>
            <w:tcW w:w="0" w:type="auto"/>
            <w:noWrap w:val="0"/>
            <w:vAlign w:val="center"/>
          </w:tcPr>
          <w:p w14:paraId="1C44F648">
            <w:pPr>
              <w:jc w:val="center"/>
              <w:rPr>
                <w:color w:val="000000"/>
                <w:sz w:val="22"/>
                <w:szCs w:val="22"/>
              </w:rPr>
            </w:pPr>
            <w:r>
              <w:rPr>
                <w:color w:val="000000"/>
                <w:sz w:val="22"/>
                <w:szCs w:val="22"/>
              </w:rPr>
              <w:t>13.00</w:t>
            </w:r>
          </w:p>
        </w:tc>
        <w:tc>
          <w:tcPr>
            <w:tcW w:w="0" w:type="auto"/>
            <w:noWrap/>
            <w:vAlign w:val="center"/>
          </w:tcPr>
          <w:p w14:paraId="01211911">
            <w:pPr>
              <w:jc w:val="center"/>
              <w:rPr>
                <w:color w:val="000000"/>
                <w:sz w:val="22"/>
                <w:szCs w:val="22"/>
              </w:rPr>
            </w:pPr>
            <w:r>
              <w:rPr>
                <w:color w:val="000000"/>
                <w:sz w:val="22"/>
                <w:szCs w:val="22"/>
              </w:rPr>
              <w:t>190</w:t>
            </w:r>
          </w:p>
        </w:tc>
        <w:tc>
          <w:tcPr>
            <w:tcW w:w="0" w:type="auto"/>
            <w:noWrap w:val="0"/>
            <w:vAlign w:val="center"/>
          </w:tcPr>
          <w:p w14:paraId="78BDE680">
            <w:pPr>
              <w:jc w:val="center"/>
              <w:rPr>
                <w:color w:val="000000"/>
                <w:sz w:val="22"/>
                <w:szCs w:val="22"/>
              </w:rPr>
            </w:pPr>
            <w:r>
              <w:rPr>
                <w:color w:val="000000"/>
                <w:sz w:val="22"/>
                <w:szCs w:val="22"/>
              </w:rPr>
              <w:t>12.67</w:t>
            </w:r>
          </w:p>
        </w:tc>
        <w:tc>
          <w:tcPr>
            <w:tcW w:w="0" w:type="auto"/>
            <w:noWrap w:val="0"/>
            <w:vAlign w:val="center"/>
          </w:tcPr>
          <w:p w14:paraId="69568994">
            <w:pPr>
              <w:jc w:val="center"/>
              <w:rPr>
                <w:color w:val="000000"/>
                <w:sz w:val="22"/>
                <w:szCs w:val="22"/>
              </w:rPr>
            </w:pPr>
            <w:r>
              <w:rPr>
                <w:color w:val="000000"/>
                <w:sz w:val="22"/>
                <w:szCs w:val="22"/>
              </w:rPr>
              <w:t>185</w:t>
            </w:r>
          </w:p>
        </w:tc>
        <w:tc>
          <w:tcPr>
            <w:tcW w:w="0" w:type="auto"/>
            <w:noWrap w:val="0"/>
            <w:vAlign w:val="center"/>
          </w:tcPr>
          <w:p w14:paraId="152651C0">
            <w:pPr>
              <w:jc w:val="center"/>
              <w:rPr>
                <w:color w:val="000000"/>
                <w:sz w:val="22"/>
                <w:szCs w:val="22"/>
              </w:rPr>
            </w:pPr>
            <w:r>
              <w:rPr>
                <w:color w:val="000000"/>
                <w:sz w:val="22"/>
                <w:szCs w:val="22"/>
              </w:rPr>
              <w:t>12.33</w:t>
            </w:r>
          </w:p>
        </w:tc>
        <w:tc>
          <w:tcPr>
            <w:tcW w:w="0" w:type="auto"/>
            <w:noWrap w:val="0"/>
            <w:vAlign w:val="center"/>
          </w:tcPr>
          <w:p w14:paraId="24E6D38A">
            <w:pPr>
              <w:jc w:val="center"/>
              <w:rPr>
                <w:color w:val="000000"/>
                <w:sz w:val="22"/>
                <w:szCs w:val="22"/>
              </w:rPr>
            </w:pPr>
            <w:r>
              <w:rPr>
                <w:color w:val="000000"/>
                <w:sz w:val="22"/>
                <w:szCs w:val="22"/>
              </w:rPr>
              <w:t>180</w:t>
            </w:r>
          </w:p>
        </w:tc>
        <w:tc>
          <w:tcPr>
            <w:tcW w:w="0" w:type="auto"/>
            <w:noWrap w:val="0"/>
            <w:vAlign w:val="center"/>
          </w:tcPr>
          <w:p w14:paraId="21AA887F">
            <w:pPr>
              <w:jc w:val="center"/>
              <w:rPr>
                <w:color w:val="000000"/>
                <w:sz w:val="22"/>
                <w:szCs w:val="22"/>
              </w:rPr>
            </w:pPr>
            <w:r>
              <w:rPr>
                <w:color w:val="000000"/>
                <w:sz w:val="22"/>
                <w:szCs w:val="22"/>
              </w:rPr>
              <w:t>12.00</w:t>
            </w:r>
          </w:p>
        </w:tc>
        <w:tc>
          <w:tcPr>
            <w:tcW w:w="0" w:type="auto"/>
            <w:noWrap w:val="0"/>
            <w:vAlign w:val="center"/>
          </w:tcPr>
          <w:p w14:paraId="6F38E527">
            <w:pPr>
              <w:jc w:val="center"/>
              <w:rPr>
                <w:color w:val="000000"/>
                <w:sz w:val="22"/>
                <w:szCs w:val="22"/>
              </w:rPr>
            </w:pPr>
            <w:r>
              <w:rPr>
                <w:color w:val="000000"/>
                <w:sz w:val="22"/>
                <w:szCs w:val="22"/>
              </w:rPr>
              <w:t>175</w:t>
            </w:r>
          </w:p>
        </w:tc>
        <w:tc>
          <w:tcPr>
            <w:tcW w:w="0" w:type="auto"/>
            <w:noWrap w:val="0"/>
            <w:vAlign w:val="center"/>
          </w:tcPr>
          <w:p w14:paraId="7C765475">
            <w:pPr>
              <w:jc w:val="center"/>
              <w:rPr>
                <w:color w:val="000000"/>
                <w:sz w:val="22"/>
                <w:szCs w:val="22"/>
              </w:rPr>
            </w:pPr>
            <w:r>
              <w:rPr>
                <w:color w:val="000000"/>
                <w:sz w:val="22"/>
                <w:szCs w:val="22"/>
              </w:rPr>
              <w:t>11.67</w:t>
            </w:r>
          </w:p>
        </w:tc>
      </w:tr>
      <w:tr w14:paraId="131F4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40D01843">
            <w:pPr>
              <w:pStyle w:val="20"/>
              <w:jc w:val="center"/>
              <w:rPr>
                <w:rFonts w:ascii="Times New Roman" w:hAnsi="Times New Roman" w:eastAsia="楷体_GB2312"/>
                <w:sz w:val="24"/>
                <w:szCs w:val="24"/>
              </w:rPr>
            </w:pPr>
            <w:r>
              <w:rPr>
                <w:rFonts w:ascii="Times New Roman" w:hAnsi="Times New Roman" w:eastAsia="楷体_GB2312"/>
                <w:sz w:val="24"/>
                <w:szCs w:val="24"/>
              </w:rPr>
              <w:t>12</w:t>
            </w:r>
          </w:p>
        </w:tc>
        <w:tc>
          <w:tcPr>
            <w:tcW w:w="0" w:type="auto"/>
            <w:vMerge w:val="restart"/>
            <w:noWrap w:val="0"/>
            <w:vAlign w:val="center"/>
          </w:tcPr>
          <w:p w14:paraId="5327E8A5">
            <w:pPr>
              <w:pStyle w:val="20"/>
              <w:jc w:val="center"/>
              <w:rPr>
                <w:rFonts w:ascii="Times New Roman" w:hAnsi="Times New Roman" w:eastAsia="楷体_GB2312"/>
                <w:sz w:val="24"/>
                <w:szCs w:val="24"/>
              </w:rPr>
            </w:pPr>
            <w:r>
              <w:rPr>
                <w:rFonts w:ascii="Times New Roman" w:hAnsi="Times New Roman" w:eastAsia="楷体_GB2312"/>
                <w:sz w:val="24"/>
                <w:szCs w:val="24"/>
              </w:rPr>
              <w:t>大营镇</w:t>
            </w:r>
          </w:p>
        </w:tc>
        <w:tc>
          <w:tcPr>
            <w:tcW w:w="0" w:type="auto"/>
            <w:noWrap w:val="0"/>
            <w:vAlign w:val="center"/>
          </w:tcPr>
          <w:p w14:paraId="6B2FA699">
            <w:pPr>
              <w:pStyle w:val="20"/>
              <w:jc w:val="center"/>
              <w:rPr>
                <w:rFonts w:ascii="Times New Roman" w:hAnsi="Times New Roman" w:eastAsia="楷体_GB2312"/>
                <w:sz w:val="24"/>
                <w:szCs w:val="24"/>
              </w:rPr>
            </w:pPr>
            <w:r>
              <w:rPr>
                <w:rFonts w:ascii="Times New Roman" w:hAnsi="Times New Roman" w:eastAsia="楷体_GB2312"/>
                <w:sz w:val="24"/>
                <w:szCs w:val="24"/>
              </w:rPr>
              <w:t>1</w:t>
            </w:r>
          </w:p>
        </w:tc>
        <w:tc>
          <w:tcPr>
            <w:tcW w:w="0" w:type="auto"/>
            <w:noWrap/>
            <w:vAlign w:val="center"/>
          </w:tcPr>
          <w:p w14:paraId="403644FC">
            <w:pPr>
              <w:jc w:val="center"/>
              <w:rPr>
                <w:color w:val="000000"/>
                <w:sz w:val="22"/>
                <w:szCs w:val="22"/>
              </w:rPr>
            </w:pPr>
            <w:r>
              <w:rPr>
                <w:color w:val="000000"/>
                <w:sz w:val="22"/>
                <w:szCs w:val="22"/>
              </w:rPr>
              <w:t>335</w:t>
            </w:r>
          </w:p>
        </w:tc>
        <w:tc>
          <w:tcPr>
            <w:tcW w:w="0" w:type="auto"/>
            <w:noWrap w:val="0"/>
            <w:vAlign w:val="center"/>
          </w:tcPr>
          <w:p w14:paraId="335BB5D0">
            <w:pPr>
              <w:jc w:val="center"/>
              <w:rPr>
                <w:color w:val="000000"/>
                <w:sz w:val="22"/>
                <w:szCs w:val="22"/>
              </w:rPr>
            </w:pPr>
            <w:r>
              <w:rPr>
                <w:color w:val="000000"/>
                <w:sz w:val="22"/>
                <w:szCs w:val="22"/>
              </w:rPr>
              <w:t>22.33</w:t>
            </w:r>
          </w:p>
        </w:tc>
        <w:tc>
          <w:tcPr>
            <w:tcW w:w="0" w:type="auto"/>
            <w:noWrap/>
            <w:vAlign w:val="center"/>
          </w:tcPr>
          <w:p w14:paraId="2DF8EA9F">
            <w:pPr>
              <w:jc w:val="center"/>
              <w:rPr>
                <w:color w:val="000000"/>
                <w:sz w:val="22"/>
                <w:szCs w:val="22"/>
              </w:rPr>
            </w:pPr>
            <w:r>
              <w:rPr>
                <w:color w:val="000000"/>
                <w:sz w:val="22"/>
                <w:szCs w:val="22"/>
              </w:rPr>
              <w:t>315</w:t>
            </w:r>
          </w:p>
        </w:tc>
        <w:tc>
          <w:tcPr>
            <w:tcW w:w="0" w:type="auto"/>
            <w:noWrap w:val="0"/>
            <w:vAlign w:val="center"/>
          </w:tcPr>
          <w:p w14:paraId="09ECEE9B">
            <w:pPr>
              <w:jc w:val="center"/>
              <w:rPr>
                <w:color w:val="000000"/>
                <w:sz w:val="22"/>
                <w:szCs w:val="22"/>
              </w:rPr>
            </w:pPr>
            <w:r>
              <w:rPr>
                <w:color w:val="000000"/>
                <w:sz w:val="22"/>
                <w:szCs w:val="22"/>
              </w:rPr>
              <w:t>21.00</w:t>
            </w:r>
          </w:p>
        </w:tc>
        <w:tc>
          <w:tcPr>
            <w:tcW w:w="0" w:type="auto"/>
            <w:noWrap/>
            <w:vAlign w:val="center"/>
          </w:tcPr>
          <w:p w14:paraId="0133E77B">
            <w:pPr>
              <w:jc w:val="center"/>
              <w:rPr>
                <w:color w:val="000000"/>
                <w:sz w:val="22"/>
                <w:szCs w:val="22"/>
              </w:rPr>
            </w:pPr>
            <w:r>
              <w:rPr>
                <w:color w:val="000000"/>
                <w:sz w:val="22"/>
                <w:szCs w:val="22"/>
              </w:rPr>
              <w:t>300</w:t>
            </w:r>
          </w:p>
        </w:tc>
        <w:tc>
          <w:tcPr>
            <w:tcW w:w="0" w:type="auto"/>
            <w:noWrap w:val="0"/>
            <w:vAlign w:val="center"/>
          </w:tcPr>
          <w:p w14:paraId="0554562C">
            <w:pPr>
              <w:jc w:val="center"/>
              <w:rPr>
                <w:color w:val="000000"/>
                <w:sz w:val="22"/>
                <w:szCs w:val="22"/>
              </w:rPr>
            </w:pPr>
            <w:r>
              <w:rPr>
                <w:color w:val="000000"/>
                <w:sz w:val="22"/>
                <w:szCs w:val="22"/>
              </w:rPr>
              <w:t>20.00</w:t>
            </w:r>
          </w:p>
        </w:tc>
        <w:tc>
          <w:tcPr>
            <w:tcW w:w="0" w:type="auto"/>
            <w:noWrap w:val="0"/>
            <w:vAlign w:val="center"/>
          </w:tcPr>
          <w:p w14:paraId="27571B4D">
            <w:pPr>
              <w:jc w:val="center"/>
              <w:rPr>
                <w:color w:val="000000"/>
                <w:sz w:val="22"/>
                <w:szCs w:val="22"/>
              </w:rPr>
            </w:pPr>
            <w:r>
              <w:rPr>
                <w:color w:val="000000"/>
                <w:sz w:val="22"/>
                <w:szCs w:val="22"/>
              </w:rPr>
              <w:t>290</w:t>
            </w:r>
          </w:p>
        </w:tc>
        <w:tc>
          <w:tcPr>
            <w:tcW w:w="0" w:type="auto"/>
            <w:noWrap w:val="0"/>
            <w:vAlign w:val="center"/>
          </w:tcPr>
          <w:p w14:paraId="101F3B6A">
            <w:pPr>
              <w:jc w:val="center"/>
              <w:rPr>
                <w:color w:val="000000"/>
                <w:sz w:val="22"/>
                <w:szCs w:val="22"/>
              </w:rPr>
            </w:pPr>
            <w:r>
              <w:rPr>
                <w:color w:val="000000"/>
                <w:sz w:val="22"/>
                <w:szCs w:val="22"/>
              </w:rPr>
              <w:t>19.33</w:t>
            </w:r>
          </w:p>
        </w:tc>
        <w:tc>
          <w:tcPr>
            <w:tcW w:w="0" w:type="auto"/>
            <w:noWrap w:val="0"/>
            <w:vAlign w:val="center"/>
          </w:tcPr>
          <w:p w14:paraId="4BC3B423">
            <w:pPr>
              <w:jc w:val="center"/>
              <w:rPr>
                <w:color w:val="000000"/>
                <w:sz w:val="22"/>
                <w:szCs w:val="22"/>
              </w:rPr>
            </w:pPr>
            <w:r>
              <w:rPr>
                <w:color w:val="000000"/>
                <w:sz w:val="22"/>
                <w:szCs w:val="22"/>
              </w:rPr>
              <w:t>280</w:t>
            </w:r>
          </w:p>
        </w:tc>
        <w:tc>
          <w:tcPr>
            <w:tcW w:w="0" w:type="auto"/>
            <w:noWrap w:val="0"/>
            <w:vAlign w:val="center"/>
          </w:tcPr>
          <w:p w14:paraId="664D1898">
            <w:pPr>
              <w:jc w:val="center"/>
              <w:rPr>
                <w:color w:val="000000"/>
                <w:sz w:val="22"/>
                <w:szCs w:val="22"/>
              </w:rPr>
            </w:pPr>
            <w:r>
              <w:rPr>
                <w:color w:val="000000"/>
                <w:sz w:val="22"/>
                <w:szCs w:val="22"/>
              </w:rPr>
              <w:t>18.67</w:t>
            </w:r>
          </w:p>
        </w:tc>
        <w:tc>
          <w:tcPr>
            <w:tcW w:w="0" w:type="auto"/>
            <w:noWrap w:val="0"/>
            <w:vAlign w:val="center"/>
          </w:tcPr>
          <w:p w14:paraId="0B731E4A">
            <w:pPr>
              <w:jc w:val="center"/>
              <w:rPr>
                <w:color w:val="000000"/>
                <w:sz w:val="22"/>
                <w:szCs w:val="22"/>
              </w:rPr>
            </w:pPr>
            <w:r>
              <w:rPr>
                <w:color w:val="000000"/>
                <w:sz w:val="22"/>
                <w:szCs w:val="22"/>
              </w:rPr>
              <w:t>265</w:t>
            </w:r>
          </w:p>
        </w:tc>
        <w:tc>
          <w:tcPr>
            <w:tcW w:w="0" w:type="auto"/>
            <w:noWrap w:val="0"/>
            <w:vAlign w:val="center"/>
          </w:tcPr>
          <w:p w14:paraId="400201CC">
            <w:pPr>
              <w:jc w:val="center"/>
              <w:rPr>
                <w:color w:val="000000"/>
                <w:sz w:val="22"/>
                <w:szCs w:val="22"/>
              </w:rPr>
            </w:pPr>
            <w:r>
              <w:rPr>
                <w:color w:val="000000"/>
                <w:sz w:val="22"/>
                <w:szCs w:val="22"/>
              </w:rPr>
              <w:t>17.67</w:t>
            </w:r>
          </w:p>
        </w:tc>
      </w:tr>
      <w:tr w14:paraId="0E58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2180C7CC">
            <w:pPr>
              <w:pStyle w:val="20"/>
              <w:jc w:val="center"/>
              <w:rPr>
                <w:rFonts w:ascii="Times New Roman" w:hAnsi="Times New Roman" w:eastAsia="楷体_GB2312"/>
                <w:sz w:val="24"/>
                <w:szCs w:val="24"/>
              </w:rPr>
            </w:pPr>
          </w:p>
        </w:tc>
        <w:tc>
          <w:tcPr>
            <w:tcW w:w="0" w:type="auto"/>
            <w:vMerge w:val="continue"/>
            <w:noWrap w:val="0"/>
            <w:vAlign w:val="center"/>
          </w:tcPr>
          <w:p w14:paraId="69B3A899">
            <w:pPr>
              <w:pStyle w:val="20"/>
              <w:jc w:val="center"/>
              <w:rPr>
                <w:rFonts w:ascii="Times New Roman" w:hAnsi="Times New Roman" w:eastAsia="楷体_GB2312"/>
                <w:sz w:val="24"/>
                <w:szCs w:val="24"/>
              </w:rPr>
            </w:pPr>
          </w:p>
        </w:tc>
        <w:tc>
          <w:tcPr>
            <w:tcW w:w="0" w:type="auto"/>
            <w:noWrap w:val="0"/>
            <w:vAlign w:val="center"/>
          </w:tcPr>
          <w:p w14:paraId="6FBBB4F8">
            <w:pPr>
              <w:pStyle w:val="20"/>
              <w:jc w:val="center"/>
              <w:rPr>
                <w:rFonts w:ascii="Times New Roman" w:hAnsi="Times New Roman" w:eastAsia="楷体_GB2312"/>
                <w:sz w:val="24"/>
                <w:szCs w:val="24"/>
              </w:rPr>
            </w:pPr>
            <w:r>
              <w:rPr>
                <w:rFonts w:ascii="Times New Roman" w:hAnsi="Times New Roman" w:eastAsia="楷体_GB2312"/>
                <w:sz w:val="24"/>
                <w:szCs w:val="24"/>
              </w:rPr>
              <w:t>2</w:t>
            </w:r>
          </w:p>
        </w:tc>
        <w:tc>
          <w:tcPr>
            <w:tcW w:w="0" w:type="auto"/>
            <w:noWrap/>
            <w:vAlign w:val="center"/>
          </w:tcPr>
          <w:p w14:paraId="12AE9545">
            <w:pPr>
              <w:jc w:val="center"/>
              <w:rPr>
                <w:color w:val="000000"/>
                <w:sz w:val="22"/>
                <w:szCs w:val="22"/>
              </w:rPr>
            </w:pPr>
            <w:r>
              <w:rPr>
                <w:color w:val="000000"/>
                <w:sz w:val="22"/>
                <w:szCs w:val="22"/>
              </w:rPr>
              <w:t>260</w:t>
            </w:r>
          </w:p>
        </w:tc>
        <w:tc>
          <w:tcPr>
            <w:tcW w:w="0" w:type="auto"/>
            <w:noWrap w:val="0"/>
            <w:vAlign w:val="center"/>
          </w:tcPr>
          <w:p w14:paraId="59B84443">
            <w:pPr>
              <w:jc w:val="center"/>
              <w:rPr>
                <w:color w:val="000000"/>
                <w:sz w:val="22"/>
                <w:szCs w:val="22"/>
              </w:rPr>
            </w:pPr>
            <w:r>
              <w:rPr>
                <w:color w:val="000000"/>
                <w:sz w:val="22"/>
                <w:szCs w:val="22"/>
              </w:rPr>
              <w:t>17.33</w:t>
            </w:r>
          </w:p>
        </w:tc>
        <w:tc>
          <w:tcPr>
            <w:tcW w:w="0" w:type="auto"/>
            <w:noWrap/>
            <w:vAlign w:val="center"/>
          </w:tcPr>
          <w:p w14:paraId="126D725C">
            <w:pPr>
              <w:jc w:val="center"/>
              <w:rPr>
                <w:color w:val="000000"/>
                <w:sz w:val="22"/>
                <w:szCs w:val="22"/>
              </w:rPr>
            </w:pPr>
            <w:r>
              <w:rPr>
                <w:color w:val="000000"/>
                <w:sz w:val="22"/>
                <w:szCs w:val="22"/>
              </w:rPr>
              <w:t>250</w:t>
            </w:r>
          </w:p>
        </w:tc>
        <w:tc>
          <w:tcPr>
            <w:tcW w:w="0" w:type="auto"/>
            <w:noWrap w:val="0"/>
            <w:vAlign w:val="center"/>
          </w:tcPr>
          <w:p w14:paraId="4562ABC6">
            <w:pPr>
              <w:jc w:val="center"/>
              <w:rPr>
                <w:color w:val="000000"/>
                <w:sz w:val="22"/>
                <w:szCs w:val="22"/>
              </w:rPr>
            </w:pPr>
            <w:r>
              <w:rPr>
                <w:color w:val="000000"/>
                <w:sz w:val="22"/>
                <w:szCs w:val="22"/>
              </w:rPr>
              <w:t>16.67</w:t>
            </w:r>
          </w:p>
        </w:tc>
        <w:tc>
          <w:tcPr>
            <w:tcW w:w="0" w:type="auto"/>
            <w:noWrap/>
            <w:vAlign w:val="center"/>
          </w:tcPr>
          <w:p w14:paraId="10F0207B">
            <w:pPr>
              <w:jc w:val="center"/>
              <w:rPr>
                <w:color w:val="000000"/>
                <w:sz w:val="22"/>
                <w:szCs w:val="22"/>
              </w:rPr>
            </w:pPr>
            <w:r>
              <w:rPr>
                <w:color w:val="000000"/>
                <w:sz w:val="22"/>
                <w:szCs w:val="22"/>
              </w:rPr>
              <w:t>240</w:t>
            </w:r>
          </w:p>
        </w:tc>
        <w:tc>
          <w:tcPr>
            <w:tcW w:w="0" w:type="auto"/>
            <w:noWrap w:val="0"/>
            <w:vAlign w:val="center"/>
          </w:tcPr>
          <w:p w14:paraId="05CFEABC">
            <w:pPr>
              <w:jc w:val="center"/>
              <w:rPr>
                <w:color w:val="000000"/>
                <w:sz w:val="22"/>
                <w:szCs w:val="22"/>
              </w:rPr>
            </w:pPr>
            <w:r>
              <w:rPr>
                <w:color w:val="000000"/>
                <w:sz w:val="22"/>
                <w:szCs w:val="22"/>
              </w:rPr>
              <w:t>16.00</w:t>
            </w:r>
          </w:p>
        </w:tc>
        <w:tc>
          <w:tcPr>
            <w:tcW w:w="0" w:type="auto"/>
            <w:noWrap w:val="0"/>
            <w:vAlign w:val="center"/>
          </w:tcPr>
          <w:p w14:paraId="2BE2732B">
            <w:pPr>
              <w:jc w:val="center"/>
              <w:rPr>
                <w:color w:val="000000"/>
                <w:sz w:val="22"/>
                <w:szCs w:val="22"/>
              </w:rPr>
            </w:pPr>
            <w:r>
              <w:rPr>
                <w:color w:val="000000"/>
                <w:sz w:val="22"/>
                <w:szCs w:val="22"/>
              </w:rPr>
              <w:t>230</w:t>
            </w:r>
          </w:p>
        </w:tc>
        <w:tc>
          <w:tcPr>
            <w:tcW w:w="0" w:type="auto"/>
            <w:noWrap w:val="0"/>
            <w:vAlign w:val="center"/>
          </w:tcPr>
          <w:p w14:paraId="713B26F3">
            <w:pPr>
              <w:jc w:val="center"/>
              <w:rPr>
                <w:color w:val="000000"/>
                <w:sz w:val="22"/>
                <w:szCs w:val="22"/>
              </w:rPr>
            </w:pPr>
            <w:r>
              <w:rPr>
                <w:color w:val="000000"/>
                <w:sz w:val="22"/>
                <w:szCs w:val="22"/>
              </w:rPr>
              <w:t>15.33</w:t>
            </w:r>
          </w:p>
        </w:tc>
        <w:tc>
          <w:tcPr>
            <w:tcW w:w="0" w:type="auto"/>
            <w:noWrap w:val="0"/>
            <w:vAlign w:val="center"/>
          </w:tcPr>
          <w:p w14:paraId="1B376C9D">
            <w:pPr>
              <w:jc w:val="center"/>
              <w:rPr>
                <w:color w:val="000000"/>
                <w:sz w:val="22"/>
                <w:szCs w:val="22"/>
              </w:rPr>
            </w:pPr>
            <w:r>
              <w:rPr>
                <w:color w:val="000000"/>
                <w:sz w:val="22"/>
                <w:szCs w:val="22"/>
              </w:rPr>
              <w:t>225</w:t>
            </w:r>
          </w:p>
        </w:tc>
        <w:tc>
          <w:tcPr>
            <w:tcW w:w="0" w:type="auto"/>
            <w:noWrap w:val="0"/>
            <w:vAlign w:val="center"/>
          </w:tcPr>
          <w:p w14:paraId="491341C3">
            <w:pPr>
              <w:jc w:val="center"/>
              <w:rPr>
                <w:color w:val="000000"/>
                <w:sz w:val="22"/>
                <w:szCs w:val="22"/>
              </w:rPr>
            </w:pPr>
            <w:r>
              <w:rPr>
                <w:color w:val="000000"/>
                <w:sz w:val="22"/>
                <w:szCs w:val="22"/>
              </w:rPr>
              <w:t>15.00</w:t>
            </w:r>
          </w:p>
        </w:tc>
        <w:tc>
          <w:tcPr>
            <w:tcW w:w="0" w:type="auto"/>
            <w:noWrap w:val="0"/>
            <w:vAlign w:val="center"/>
          </w:tcPr>
          <w:p w14:paraId="1CAD4061">
            <w:pPr>
              <w:jc w:val="center"/>
              <w:rPr>
                <w:color w:val="000000"/>
                <w:sz w:val="22"/>
                <w:szCs w:val="22"/>
              </w:rPr>
            </w:pPr>
            <w:r>
              <w:rPr>
                <w:color w:val="000000"/>
                <w:sz w:val="22"/>
                <w:szCs w:val="22"/>
              </w:rPr>
              <w:t>215</w:t>
            </w:r>
          </w:p>
        </w:tc>
        <w:tc>
          <w:tcPr>
            <w:tcW w:w="0" w:type="auto"/>
            <w:noWrap w:val="0"/>
            <w:vAlign w:val="center"/>
          </w:tcPr>
          <w:p w14:paraId="3A1BAF89">
            <w:pPr>
              <w:jc w:val="center"/>
              <w:rPr>
                <w:color w:val="000000"/>
                <w:sz w:val="22"/>
                <w:szCs w:val="22"/>
              </w:rPr>
            </w:pPr>
            <w:r>
              <w:rPr>
                <w:color w:val="000000"/>
                <w:sz w:val="22"/>
                <w:szCs w:val="22"/>
              </w:rPr>
              <w:t>14.33</w:t>
            </w:r>
          </w:p>
        </w:tc>
      </w:tr>
      <w:tr w14:paraId="2D72D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3C5B4931">
            <w:pPr>
              <w:pStyle w:val="20"/>
              <w:jc w:val="center"/>
              <w:rPr>
                <w:rFonts w:ascii="Times New Roman" w:hAnsi="Times New Roman" w:eastAsia="楷体_GB2312"/>
                <w:sz w:val="24"/>
                <w:szCs w:val="24"/>
              </w:rPr>
            </w:pPr>
          </w:p>
        </w:tc>
        <w:tc>
          <w:tcPr>
            <w:tcW w:w="0" w:type="auto"/>
            <w:vMerge w:val="continue"/>
            <w:noWrap w:val="0"/>
            <w:vAlign w:val="center"/>
          </w:tcPr>
          <w:p w14:paraId="61041218">
            <w:pPr>
              <w:pStyle w:val="20"/>
              <w:jc w:val="center"/>
              <w:rPr>
                <w:rFonts w:ascii="Times New Roman" w:hAnsi="Times New Roman" w:eastAsia="楷体_GB2312"/>
                <w:sz w:val="24"/>
                <w:szCs w:val="24"/>
              </w:rPr>
            </w:pPr>
          </w:p>
        </w:tc>
        <w:tc>
          <w:tcPr>
            <w:tcW w:w="0" w:type="auto"/>
            <w:noWrap w:val="0"/>
            <w:vAlign w:val="center"/>
          </w:tcPr>
          <w:p w14:paraId="7BEBB7AD">
            <w:pPr>
              <w:pStyle w:val="20"/>
              <w:jc w:val="center"/>
              <w:rPr>
                <w:rFonts w:ascii="Times New Roman" w:hAnsi="Times New Roman" w:eastAsia="楷体_GB2312"/>
                <w:sz w:val="24"/>
                <w:szCs w:val="24"/>
              </w:rPr>
            </w:pPr>
            <w:r>
              <w:rPr>
                <w:rFonts w:ascii="Times New Roman" w:hAnsi="Times New Roman" w:eastAsia="楷体_GB2312"/>
                <w:sz w:val="24"/>
                <w:szCs w:val="24"/>
              </w:rPr>
              <w:t>3</w:t>
            </w:r>
          </w:p>
        </w:tc>
        <w:tc>
          <w:tcPr>
            <w:tcW w:w="0" w:type="auto"/>
            <w:noWrap/>
            <w:vAlign w:val="center"/>
          </w:tcPr>
          <w:p w14:paraId="5849B007">
            <w:pPr>
              <w:jc w:val="center"/>
              <w:rPr>
                <w:color w:val="000000"/>
                <w:sz w:val="22"/>
                <w:szCs w:val="22"/>
              </w:rPr>
            </w:pPr>
            <w:r>
              <w:rPr>
                <w:color w:val="000000"/>
                <w:sz w:val="22"/>
                <w:szCs w:val="22"/>
              </w:rPr>
              <w:t>200</w:t>
            </w:r>
          </w:p>
        </w:tc>
        <w:tc>
          <w:tcPr>
            <w:tcW w:w="0" w:type="auto"/>
            <w:noWrap w:val="0"/>
            <w:vAlign w:val="center"/>
          </w:tcPr>
          <w:p w14:paraId="24E6738B">
            <w:pPr>
              <w:jc w:val="center"/>
              <w:rPr>
                <w:color w:val="000000"/>
                <w:sz w:val="22"/>
                <w:szCs w:val="22"/>
              </w:rPr>
            </w:pPr>
            <w:r>
              <w:rPr>
                <w:color w:val="000000"/>
                <w:sz w:val="22"/>
                <w:szCs w:val="22"/>
              </w:rPr>
              <w:t>13.33</w:t>
            </w:r>
          </w:p>
        </w:tc>
        <w:tc>
          <w:tcPr>
            <w:tcW w:w="0" w:type="auto"/>
            <w:noWrap/>
            <w:vAlign w:val="center"/>
          </w:tcPr>
          <w:p w14:paraId="0B7292B3">
            <w:pPr>
              <w:jc w:val="center"/>
              <w:rPr>
                <w:color w:val="000000"/>
                <w:sz w:val="22"/>
                <w:szCs w:val="22"/>
              </w:rPr>
            </w:pPr>
            <w:r>
              <w:rPr>
                <w:color w:val="000000"/>
                <w:sz w:val="22"/>
                <w:szCs w:val="22"/>
              </w:rPr>
              <w:t>195</w:t>
            </w:r>
          </w:p>
        </w:tc>
        <w:tc>
          <w:tcPr>
            <w:tcW w:w="0" w:type="auto"/>
            <w:noWrap w:val="0"/>
            <w:vAlign w:val="center"/>
          </w:tcPr>
          <w:p w14:paraId="0F4733C8">
            <w:pPr>
              <w:jc w:val="center"/>
              <w:rPr>
                <w:color w:val="000000"/>
                <w:sz w:val="22"/>
                <w:szCs w:val="22"/>
              </w:rPr>
            </w:pPr>
            <w:r>
              <w:rPr>
                <w:color w:val="000000"/>
                <w:sz w:val="22"/>
                <w:szCs w:val="22"/>
              </w:rPr>
              <w:t>13.00</w:t>
            </w:r>
          </w:p>
        </w:tc>
        <w:tc>
          <w:tcPr>
            <w:tcW w:w="0" w:type="auto"/>
            <w:noWrap/>
            <w:vAlign w:val="center"/>
          </w:tcPr>
          <w:p w14:paraId="668C1CC9">
            <w:pPr>
              <w:jc w:val="center"/>
              <w:rPr>
                <w:color w:val="000000"/>
                <w:sz w:val="22"/>
                <w:szCs w:val="22"/>
              </w:rPr>
            </w:pPr>
            <w:r>
              <w:rPr>
                <w:color w:val="000000"/>
                <w:sz w:val="22"/>
                <w:szCs w:val="22"/>
              </w:rPr>
              <w:t>190</w:t>
            </w:r>
          </w:p>
        </w:tc>
        <w:tc>
          <w:tcPr>
            <w:tcW w:w="0" w:type="auto"/>
            <w:noWrap w:val="0"/>
            <w:vAlign w:val="center"/>
          </w:tcPr>
          <w:p w14:paraId="4A49905E">
            <w:pPr>
              <w:jc w:val="center"/>
              <w:rPr>
                <w:color w:val="000000"/>
                <w:sz w:val="22"/>
                <w:szCs w:val="22"/>
              </w:rPr>
            </w:pPr>
            <w:r>
              <w:rPr>
                <w:color w:val="000000"/>
                <w:sz w:val="22"/>
                <w:szCs w:val="22"/>
              </w:rPr>
              <w:t>12.67</w:t>
            </w:r>
          </w:p>
        </w:tc>
        <w:tc>
          <w:tcPr>
            <w:tcW w:w="0" w:type="auto"/>
            <w:noWrap w:val="0"/>
            <w:vAlign w:val="center"/>
          </w:tcPr>
          <w:p w14:paraId="79EB2A3F">
            <w:pPr>
              <w:jc w:val="center"/>
              <w:rPr>
                <w:color w:val="000000"/>
                <w:sz w:val="22"/>
                <w:szCs w:val="22"/>
              </w:rPr>
            </w:pPr>
            <w:r>
              <w:rPr>
                <w:color w:val="000000"/>
                <w:sz w:val="22"/>
                <w:szCs w:val="22"/>
              </w:rPr>
              <w:t>185</w:t>
            </w:r>
          </w:p>
        </w:tc>
        <w:tc>
          <w:tcPr>
            <w:tcW w:w="0" w:type="auto"/>
            <w:noWrap w:val="0"/>
            <w:vAlign w:val="center"/>
          </w:tcPr>
          <w:p w14:paraId="1EBAD746">
            <w:pPr>
              <w:jc w:val="center"/>
              <w:rPr>
                <w:color w:val="000000"/>
                <w:sz w:val="22"/>
                <w:szCs w:val="22"/>
              </w:rPr>
            </w:pPr>
            <w:r>
              <w:rPr>
                <w:color w:val="000000"/>
                <w:sz w:val="22"/>
                <w:szCs w:val="22"/>
              </w:rPr>
              <w:t>12.33</w:t>
            </w:r>
          </w:p>
        </w:tc>
        <w:tc>
          <w:tcPr>
            <w:tcW w:w="0" w:type="auto"/>
            <w:noWrap w:val="0"/>
            <w:vAlign w:val="center"/>
          </w:tcPr>
          <w:p w14:paraId="654FF1D5">
            <w:pPr>
              <w:jc w:val="center"/>
              <w:rPr>
                <w:color w:val="000000"/>
                <w:sz w:val="22"/>
                <w:szCs w:val="22"/>
              </w:rPr>
            </w:pPr>
            <w:r>
              <w:rPr>
                <w:color w:val="000000"/>
                <w:sz w:val="22"/>
                <w:szCs w:val="22"/>
              </w:rPr>
              <w:t>180</w:t>
            </w:r>
          </w:p>
        </w:tc>
        <w:tc>
          <w:tcPr>
            <w:tcW w:w="0" w:type="auto"/>
            <w:noWrap w:val="0"/>
            <w:vAlign w:val="center"/>
          </w:tcPr>
          <w:p w14:paraId="3DE18419">
            <w:pPr>
              <w:jc w:val="center"/>
              <w:rPr>
                <w:color w:val="000000"/>
                <w:sz w:val="22"/>
                <w:szCs w:val="22"/>
              </w:rPr>
            </w:pPr>
            <w:r>
              <w:rPr>
                <w:color w:val="000000"/>
                <w:sz w:val="22"/>
                <w:szCs w:val="22"/>
              </w:rPr>
              <w:t>12.00</w:t>
            </w:r>
          </w:p>
        </w:tc>
        <w:tc>
          <w:tcPr>
            <w:tcW w:w="0" w:type="auto"/>
            <w:noWrap w:val="0"/>
            <w:vAlign w:val="center"/>
          </w:tcPr>
          <w:p w14:paraId="660CF556">
            <w:pPr>
              <w:jc w:val="center"/>
              <w:rPr>
                <w:color w:val="000000"/>
                <w:sz w:val="22"/>
                <w:szCs w:val="22"/>
              </w:rPr>
            </w:pPr>
            <w:r>
              <w:rPr>
                <w:color w:val="000000"/>
                <w:sz w:val="22"/>
                <w:szCs w:val="22"/>
              </w:rPr>
              <w:t>175</w:t>
            </w:r>
          </w:p>
        </w:tc>
        <w:tc>
          <w:tcPr>
            <w:tcW w:w="0" w:type="auto"/>
            <w:noWrap w:val="0"/>
            <w:vAlign w:val="center"/>
          </w:tcPr>
          <w:p w14:paraId="319CE695">
            <w:pPr>
              <w:jc w:val="center"/>
              <w:rPr>
                <w:color w:val="000000"/>
                <w:sz w:val="22"/>
                <w:szCs w:val="22"/>
              </w:rPr>
            </w:pPr>
            <w:r>
              <w:rPr>
                <w:color w:val="000000"/>
                <w:sz w:val="22"/>
                <w:szCs w:val="22"/>
              </w:rPr>
              <w:t>11.67</w:t>
            </w:r>
          </w:p>
        </w:tc>
      </w:tr>
      <w:tr w14:paraId="51C20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2E8EBFFB">
            <w:pPr>
              <w:pStyle w:val="20"/>
              <w:jc w:val="center"/>
              <w:rPr>
                <w:rFonts w:ascii="Times New Roman" w:hAnsi="Times New Roman" w:eastAsia="楷体_GB2312"/>
                <w:sz w:val="24"/>
                <w:szCs w:val="24"/>
              </w:rPr>
            </w:pPr>
            <w:r>
              <w:rPr>
                <w:rFonts w:ascii="Times New Roman" w:hAnsi="Times New Roman" w:eastAsia="楷体_GB2312"/>
                <w:sz w:val="24"/>
                <w:szCs w:val="24"/>
              </w:rPr>
              <w:t>13</w:t>
            </w:r>
          </w:p>
        </w:tc>
        <w:tc>
          <w:tcPr>
            <w:tcW w:w="0" w:type="auto"/>
            <w:vMerge w:val="restart"/>
            <w:noWrap w:val="0"/>
            <w:vAlign w:val="center"/>
          </w:tcPr>
          <w:p w14:paraId="247CE11A">
            <w:pPr>
              <w:pStyle w:val="20"/>
              <w:jc w:val="center"/>
              <w:rPr>
                <w:rFonts w:ascii="Times New Roman" w:hAnsi="Times New Roman" w:eastAsia="楷体_GB2312"/>
                <w:sz w:val="24"/>
                <w:szCs w:val="24"/>
              </w:rPr>
            </w:pPr>
            <w:r>
              <w:rPr>
                <w:rFonts w:ascii="Times New Roman" w:hAnsi="Times New Roman" w:eastAsia="楷体_GB2312"/>
                <w:sz w:val="24"/>
                <w:szCs w:val="24"/>
              </w:rPr>
              <w:t>褚兰镇</w:t>
            </w:r>
          </w:p>
        </w:tc>
        <w:tc>
          <w:tcPr>
            <w:tcW w:w="0" w:type="auto"/>
            <w:noWrap w:val="0"/>
            <w:vAlign w:val="center"/>
          </w:tcPr>
          <w:p w14:paraId="5B807142">
            <w:pPr>
              <w:pStyle w:val="20"/>
              <w:jc w:val="center"/>
              <w:rPr>
                <w:rFonts w:ascii="Times New Roman" w:hAnsi="Times New Roman" w:eastAsia="楷体_GB2312"/>
                <w:sz w:val="24"/>
                <w:szCs w:val="24"/>
              </w:rPr>
            </w:pPr>
            <w:r>
              <w:rPr>
                <w:rFonts w:ascii="Times New Roman" w:hAnsi="Times New Roman" w:eastAsia="楷体_GB2312"/>
                <w:sz w:val="24"/>
                <w:szCs w:val="24"/>
              </w:rPr>
              <w:t>1</w:t>
            </w:r>
          </w:p>
        </w:tc>
        <w:tc>
          <w:tcPr>
            <w:tcW w:w="0" w:type="auto"/>
            <w:noWrap/>
            <w:vAlign w:val="center"/>
          </w:tcPr>
          <w:p w14:paraId="3677BE01">
            <w:pPr>
              <w:jc w:val="center"/>
              <w:rPr>
                <w:color w:val="000000"/>
                <w:sz w:val="22"/>
                <w:szCs w:val="22"/>
              </w:rPr>
            </w:pPr>
            <w:r>
              <w:rPr>
                <w:color w:val="000000"/>
                <w:sz w:val="22"/>
                <w:szCs w:val="22"/>
              </w:rPr>
              <w:t>330</w:t>
            </w:r>
          </w:p>
        </w:tc>
        <w:tc>
          <w:tcPr>
            <w:tcW w:w="0" w:type="auto"/>
            <w:noWrap w:val="0"/>
            <w:vAlign w:val="center"/>
          </w:tcPr>
          <w:p w14:paraId="6C929A8F">
            <w:pPr>
              <w:jc w:val="center"/>
              <w:rPr>
                <w:color w:val="000000"/>
                <w:sz w:val="22"/>
                <w:szCs w:val="22"/>
              </w:rPr>
            </w:pPr>
            <w:r>
              <w:rPr>
                <w:color w:val="000000"/>
                <w:sz w:val="22"/>
                <w:szCs w:val="22"/>
              </w:rPr>
              <w:t>22.00</w:t>
            </w:r>
          </w:p>
        </w:tc>
        <w:tc>
          <w:tcPr>
            <w:tcW w:w="0" w:type="auto"/>
            <w:noWrap/>
            <w:vAlign w:val="center"/>
          </w:tcPr>
          <w:p w14:paraId="032F3DF4">
            <w:pPr>
              <w:jc w:val="center"/>
              <w:rPr>
                <w:color w:val="000000"/>
                <w:sz w:val="22"/>
                <w:szCs w:val="22"/>
              </w:rPr>
            </w:pPr>
            <w:r>
              <w:rPr>
                <w:color w:val="000000"/>
                <w:sz w:val="22"/>
                <w:szCs w:val="22"/>
              </w:rPr>
              <w:t>310</w:t>
            </w:r>
          </w:p>
        </w:tc>
        <w:tc>
          <w:tcPr>
            <w:tcW w:w="0" w:type="auto"/>
            <w:noWrap w:val="0"/>
            <w:vAlign w:val="center"/>
          </w:tcPr>
          <w:p w14:paraId="6FD8DD28">
            <w:pPr>
              <w:jc w:val="center"/>
              <w:rPr>
                <w:color w:val="000000"/>
                <w:sz w:val="22"/>
                <w:szCs w:val="22"/>
              </w:rPr>
            </w:pPr>
            <w:r>
              <w:rPr>
                <w:color w:val="000000"/>
                <w:sz w:val="22"/>
                <w:szCs w:val="22"/>
              </w:rPr>
              <w:t>20.67</w:t>
            </w:r>
          </w:p>
        </w:tc>
        <w:tc>
          <w:tcPr>
            <w:tcW w:w="0" w:type="auto"/>
            <w:noWrap/>
            <w:vAlign w:val="center"/>
          </w:tcPr>
          <w:p w14:paraId="10451F4A">
            <w:pPr>
              <w:jc w:val="center"/>
              <w:rPr>
                <w:color w:val="000000"/>
                <w:sz w:val="22"/>
                <w:szCs w:val="22"/>
              </w:rPr>
            </w:pPr>
            <w:r>
              <w:rPr>
                <w:color w:val="000000"/>
                <w:sz w:val="22"/>
                <w:szCs w:val="22"/>
              </w:rPr>
              <w:t>295</w:t>
            </w:r>
          </w:p>
        </w:tc>
        <w:tc>
          <w:tcPr>
            <w:tcW w:w="0" w:type="auto"/>
            <w:noWrap w:val="0"/>
            <w:vAlign w:val="center"/>
          </w:tcPr>
          <w:p w14:paraId="559A9131">
            <w:pPr>
              <w:jc w:val="center"/>
              <w:rPr>
                <w:color w:val="000000"/>
                <w:sz w:val="22"/>
                <w:szCs w:val="22"/>
              </w:rPr>
            </w:pPr>
            <w:r>
              <w:rPr>
                <w:color w:val="000000"/>
                <w:sz w:val="22"/>
                <w:szCs w:val="22"/>
              </w:rPr>
              <w:t>19.67</w:t>
            </w:r>
          </w:p>
        </w:tc>
        <w:tc>
          <w:tcPr>
            <w:tcW w:w="0" w:type="auto"/>
            <w:noWrap w:val="0"/>
            <w:vAlign w:val="center"/>
          </w:tcPr>
          <w:p w14:paraId="7494A056">
            <w:pPr>
              <w:jc w:val="center"/>
              <w:rPr>
                <w:color w:val="000000"/>
                <w:sz w:val="22"/>
                <w:szCs w:val="22"/>
              </w:rPr>
            </w:pPr>
            <w:r>
              <w:rPr>
                <w:color w:val="000000"/>
                <w:sz w:val="22"/>
                <w:szCs w:val="22"/>
              </w:rPr>
              <w:t>285</w:t>
            </w:r>
          </w:p>
        </w:tc>
        <w:tc>
          <w:tcPr>
            <w:tcW w:w="0" w:type="auto"/>
            <w:noWrap w:val="0"/>
            <w:vAlign w:val="center"/>
          </w:tcPr>
          <w:p w14:paraId="5FA94B58">
            <w:pPr>
              <w:jc w:val="center"/>
              <w:rPr>
                <w:color w:val="000000"/>
                <w:sz w:val="22"/>
                <w:szCs w:val="22"/>
              </w:rPr>
            </w:pPr>
            <w:r>
              <w:rPr>
                <w:color w:val="000000"/>
                <w:sz w:val="22"/>
                <w:szCs w:val="22"/>
              </w:rPr>
              <w:t>19.00</w:t>
            </w:r>
          </w:p>
        </w:tc>
        <w:tc>
          <w:tcPr>
            <w:tcW w:w="0" w:type="auto"/>
            <w:noWrap w:val="0"/>
            <w:vAlign w:val="center"/>
          </w:tcPr>
          <w:p w14:paraId="0A22145E">
            <w:pPr>
              <w:jc w:val="center"/>
              <w:rPr>
                <w:color w:val="000000"/>
                <w:sz w:val="22"/>
                <w:szCs w:val="22"/>
              </w:rPr>
            </w:pPr>
            <w:r>
              <w:rPr>
                <w:color w:val="000000"/>
                <w:sz w:val="22"/>
                <w:szCs w:val="22"/>
              </w:rPr>
              <w:t>275</w:t>
            </w:r>
          </w:p>
        </w:tc>
        <w:tc>
          <w:tcPr>
            <w:tcW w:w="0" w:type="auto"/>
            <w:noWrap w:val="0"/>
            <w:vAlign w:val="center"/>
          </w:tcPr>
          <w:p w14:paraId="76CDE6D2">
            <w:pPr>
              <w:jc w:val="center"/>
              <w:rPr>
                <w:color w:val="000000"/>
                <w:sz w:val="22"/>
                <w:szCs w:val="22"/>
              </w:rPr>
            </w:pPr>
            <w:r>
              <w:rPr>
                <w:color w:val="000000"/>
                <w:sz w:val="22"/>
                <w:szCs w:val="22"/>
              </w:rPr>
              <w:t>18.33</w:t>
            </w:r>
          </w:p>
        </w:tc>
        <w:tc>
          <w:tcPr>
            <w:tcW w:w="0" w:type="auto"/>
            <w:noWrap w:val="0"/>
            <w:vAlign w:val="center"/>
          </w:tcPr>
          <w:p w14:paraId="191CF188">
            <w:pPr>
              <w:jc w:val="center"/>
              <w:rPr>
                <w:color w:val="000000"/>
                <w:sz w:val="22"/>
                <w:szCs w:val="22"/>
              </w:rPr>
            </w:pPr>
            <w:r>
              <w:rPr>
                <w:color w:val="000000"/>
                <w:sz w:val="22"/>
                <w:szCs w:val="22"/>
              </w:rPr>
              <w:t>260</w:t>
            </w:r>
          </w:p>
        </w:tc>
        <w:tc>
          <w:tcPr>
            <w:tcW w:w="0" w:type="auto"/>
            <w:noWrap w:val="0"/>
            <w:vAlign w:val="center"/>
          </w:tcPr>
          <w:p w14:paraId="25944DEE">
            <w:pPr>
              <w:jc w:val="center"/>
              <w:rPr>
                <w:color w:val="000000"/>
                <w:sz w:val="22"/>
                <w:szCs w:val="22"/>
              </w:rPr>
            </w:pPr>
            <w:r>
              <w:rPr>
                <w:color w:val="000000"/>
                <w:sz w:val="22"/>
                <w:szCs w:val="22"/>
              </w:rPr>
              <w:t>17.33</w:t>
            </w:r>
          </w:p>
        </w:tc>
      </w:tr>
      <w:tr w14:paraId="34E3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03759AF3">
            <w:pPr>
              <w:pStyle w:val="20"/>
              <w:jc w:val="center"/>
              <w:rPr>
                <w:rFonts w:ascii="Times New Roman" w:hAnsi="Times New Roman" w:eastAsia="楷体_GB2312"/>
                <w:sz w:val="24"/>
                <w:szCs w:val="24"/>
              </w:rPr>
            </w:pPr>
          </w:p>
        </w:tc>
        <w:tc>
          <w:tcPr>
            <w:tcW w:w="0" w:type="auto"/>
            <w:vMerge w:val="continue"/>
            <w:noWrap w:val="0"/>
            <w:vAlign w:val="center"/>
          </w:tcPr>
          <w:p w14:paraId="5FC5EB4A">
            <w:pPr>
              <w:pStyle w:val="20"/>
              <w:jc w:val="center"/>
              <w:rPr>
                <w:rFonts w:ascii="Times New Roman" w:hAnsi="Times New Roman" w:eastAsia="楷体_GB2312"/>
                <w:sz w:val="24"/>
                <w:szCs w:val="24"/>
              </w:rPr>
            </w:pPr>
          </w:p>
        </w:tc>
        <w:tc>
          <w:tcPr>
            <w:tcW w:w="0" w:type="auto"/>
            <w:noWrap w:val="0"/>
            <w:vAlign w:val="center"/>
          </w:tcPr>
          <w:p w14:paraId="44A941A6">
            <w:pPr>
              <w:pStyle w:val="20"/>
              <w:jc w:val="center"/>
              <w:rPr>
                <w:rFonts w:ascii="Times New Roman" w:hAnsi="Times New Roman" w:eastAsia="楷体_GB2312"/>
                <w:sz w:val="24"/>
                <w:szCs w:val="24"/>
              </w:rPr>
            </w:pPr>
            <w:r>
              <w:rPr>
                <w:rFonts w:ascii="Times New Roman" w:hAnsi="Times New Roman" w:eastAsia="楷体_GB2312"/>
                <w:sz w:val="24"/>
                <w:szCs w:val="24"/>
              </w:rPr>
              <w:t>2</w:t>
            </w:r>
          </w:p>
        </w:tc>
        <w:tc>
          <w:tcPr>
            <w:tcW w:w="0" w:type="auto"/>
            <w:noWrap/>
            <w:vAlign w:val="center"/>
          </w:tcPr>
          <w:p w14:paraId="07845FC9">
            <w:pPr>
              <w:jc w:val="center"/>
              <w:rPr>
                <w:color w:val="000000"/>
                <w:sz w:val="22"/>
                <w:szCs w:val="22"/>
              </w:rPr>
            </w:pPr>
            <w:r>
              <w:rPr>
                <w:color w:val="000000"/>
                <w:sz w:val="22"/>
                <w:szCs w:val="22"/>
              </w:rPr>
              <w:t>260</w:t>
            </w:r>
          </w:p>
        </w:tc>
        <w:tc>
          <w:tcPr>
            <w:tcW w:w="0" w:type="auto"/>
            <w:noWrap w:val="0"/>
            <w:vAlign w:val="center"/>
          </w:tcPr>
          <w:p w14:paraId="7D7BAA35">
            <w:pPr>
              <w:jc w:val="center"/>
              <w:rPr>
                <w:color w:val="000000"/>
                <w:sz w:val="22"/>
                <w:szCs w:val="22"/>
              </w:rPr>
            </w:pPr>
            <w:r>
              <w:rPr>
                <w:color w:val="000000"/>
                <w:sz w:val="22"/>
                <w:szCs w:val="22"/>
              </w:rPr>
              <w:t>17.33</w:t>
            </w:r>
          </w:p>
        </w:tc>
        <w:tc>
          <w:tcPr>
            <w:tcW w:w="0" w:type="auto"/>
            <w:noWrap/>
            <w:vAlign w:val="center"/>
          </w:tcPr>
          <w:p w14:paraId="7DAE8A88">
            <w:pPr>
              <w:jc w:val="center"/>
              <w:rPr>
                <w:color w:val="000000"/>
                <w:sz w:val="22"/>
                <w:szCs w:val="22"/>
              </w:rPr>
            </w:pPr>
            <w:r>
              <w:rPr>
                <w:color w:val="000000"/>
                <w:sz w:val="22"/>
                <w:szCs w:val="22"/>
              </w:rPr>
              <w:t>250</w:t>
            </w:r>
          </w:p>
        </w:tc>
        <w:tc>
          <w:tcPr>
            <w:tcW w:w="0" w:type="auto"/>
            <w:noWrap w:val="0"/>
            <w:vAlign w:val="center"/>
          </w:tcPr>
          <w:p w14:paraId="1B478D70">
            <w:pPr>
              <w:jc w:val="center"/>
              <w:rPr>
                <w:color w:val="000000"/>
                <w:sz w:val="22"/>
                <w:szCs w:val="22"/>
              </w:rPr>
            </w:pPr>
            <w:r>
              <w:rPr>
                <w:color w:val="000000"/>
                <w:sz w:val="22"/>
                <w:szCs w:val="22"/>
              </w:rPr>
              <w:t>16.67</w:t>
            </w:r>
          </w:p>
        </w:tc>
        <w:tc>
          <w:tcPr>
            <w:tcW w:w="0" w:type="auto"/>
            <w:noWrap/>
            <w:vAlign w:val="center"/>
          </w:tcPr>
          <w:p w14:paraId="21C4AF21">
            <w:pPr>
              <w:jc w:val="center"/>
              <w:rPr>
                <w:color w:val="000000"/>
                <w:sz w:val="22"/>
                <w:szCs w:val="22"/>
              </w:rPr>
            </w:pPr>
            <w:r>
              <w:rPr>
                <w:color w:val="000000"/>
                <w:sz w:val="22"/>
                <w:szCs w:val="22"/>
              </w:rPr>
              <w:t>240</w:t>
            </w:r>
          </w:p>
        </w:tc>
        <w:tc>
          <w:tcPr>
            <w:tcW w:w="0" w:type="auto"/>
            <w:noWrap w:val="0"/>
            <w:vAlign w:val="center"/>
          </w:tcPr>
          <w:p w14:paraId="2EE0AC24">
            <w:pPr>
              <w:jc w:val="center"/>
              <w:rPr>
                <w:color w:val="000000"/>
                <w:sz w:val="22"/>
                <w:szCs w:val="22"/>
              </w:rPr>
            </w:pPr>
            <w:r>
              <w:rPr>
                <w:color w:val="000000"/>
                <w:sz w:val="22"/>
                <w:szCs w:val="22"/>
              </w:rPr>
              <w:t>16.00</w:t>
            </w:r>
          </w:p>
        </w:tc>
        <w:tc>
          <w:tcPr>
            <w:tcW w:w="0" w:type="auto"/>
            <w:noWrap w:val="0"/>
            <w:vAlign w:val="center"/>
          </w:tcPr>
          <w:p w14:paraId="358EE1A4">
            <w:pPr>
              <w:jc w:val="center"/>
              <w:rPr>
                <w:color w:val="000000"/>
                <w:sz w:val="22"/>
                <w:szCs w:val="22"/>
              </w:rPr>
            </w:pPr>
            <w:r>
              <w:rPr>
                <w:color w:val="000000"/>
                <w:sz w:val="22"/>
                <w:szCs w:val="22"/>
              </w:rPr>
              <w:t>230</w:t>
            </w:r>
          </w:p>
        </w:tc>
        <w:tc>
          <w:tcPr>
            <w:tcW w:w="0" w:type="auto"/>
            <w:noWrap w:val="0"/>
            <w:vAlign w:val="center"/>
          </w:tcPr>
          <w:p w14:paraId="5AEB3DBF">
            <w:pPr>
              <w:jc w:val="center"/>
              <w:rPr>
                <w:color w:val="000000"/>
                <w:sz w:val="22"/>
                <w:szCs w:val="22"/>
              </w:rPr>
            </w:pPr>
            <w:r>
              <w:rPr>
                <w:color w:val="000000"/>
                <w:sz w:val="22"/>
                <w:szCs w:val="22"/>
              </w:rPr>
              <w:t>15.33</w:t>
            </w:r>
          </w:p>
        </w:tc>
        <w:tc>
          <w:tcPr>
            <w:tcW w:w="0" w:type="auto"/>
            <w:noWrap w:val="0"/>
            <w:vAlign w:val="center"/>
          </w:tcPr>
          <w:p w14:paraId="7F6BF7AC">
            <w:pPr>
              <w:jc w:val="center"/>
              <w:rPr>
                <w:color w:val="000000"/>
                <w:sz w:val="22"/>
                <w:szCs w:val="22"/>
              </w:rPr>
            </w:pPr>
            <w:r>
              <w:rPr>
                <w:color w:val="000000"/>
                <w:sz w:val="22"/>
                <w:szCs w:val="22"/>
              </w:rPr>
              <w:t>225</w:t>
            </w:r>
          </w:p>
        </w:tc>
        <w:tc>
          <w:tcPr>
            <w:tcW w:w="0" w:type="auto"/>
            <w:noWrap w:val="0"/>
            <w:vAlign w:val="center"/>
          </w:tcPr>
          <w:p w14:paraId="3AD27B6D">
            <w:pPr>
              <w:jc w:val="center"/>
              <w:rPr>
                <w:color w:val="000000"/>
                <w:sz w:val="22"/>
                <w:szCs w:val="22"/>
              </w:rPr>
            </w:pPr>
            <w:r>
              <w:rPr>
                <w:color w:val="000000"/>
                <w:sz w:val="22"/>
                <w:szCs w:val="22"/>
              </w:rPr>
              <w:t>15.00</w:t>
            </w:r>
          </w:p>
        </w:tc>
        <w:tc>
          <w:tcPr>
            <w:tcW w:w="0" w:type="auto"/>
            <w:noWrap w:val="0"/>
            <w:vAlign w:val="center"/>
          </w:tcPr>
          <w:p w14:paraId="27330093">
            <w:pPr>
              <w:jc w:val="center"/>
              <w:rPr>
                <w:color w:val="000000"/>
                <w:sz w:val="22"/>
                <w:szCs w:val="22"/>
              </w:rPr>
            </w:pPr>
            <w:r>
              <w:rPr>
                <w:color w:val="000000"/>
                <w:sz w:val="22"/>
                <w:szCs w:val="22"/>
              </w:rPr>
              <w:t>215</w:t>
            </w:r>
          </w:p>
        </w:tc>
        <w:tc>
          <w:tcPr>
            <w:tcW w:w="0" w:type="auto"/>
            <w:noWrap w:val="0"/>
            <w:vAlign w:val="center"/>
          </w:tcPr>
          <w:p w14:paraId="511F8F53">
            <w:pPr>
              <w:jc w:val="center"/>
              <w:rPr>
                <w:color w:val="000000"/>
                <w:sz w:val="22"/>
                <w:szCs w:val="22"/>
              </w:rPr>
            </w:pPr>
            <w:r>
              <w:rPr>
                <w:color w:val="000000"/>
                <w:sz w:val="22"/>
                <w:szCs w:val="22"/>
              </w:rPr>
              <w:t>14.33</w:t>
            </w:r>
          </w:p>
        </w:tc>
      </w:tr>
      <w:tr w14:paraId="6BF05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4E8E3D42">
            <w:pPr>
              <w:pStyle w:val="20"/>
              <w:jc w:val="center"/>
              <w:rPr>
                <w:rFonts w:ascii="Times New Roman" w:hAnsi="Times New Roman" w:eastAsia="楷体_GB2312"/>
                <w:sz w:val="24"/>
                <w:szCs w:val="24"/>
              </w:rPr>
            </w:pPr>
          </w:p>
        </w:tc>
        <w:tc>
          <w:tcPr>
            <w:tcW w:w="0" w:type="auto"/>
            <w:vMerge w:val="continue"/>
            <w:noWrap w:val="0"/>
            <w:vAlign w:val="center"/>
          </w:tcPr>
          <w:p w14:paraId="7B564236">
            <w:pPr>
              <w:pStyle w:val="20"/>
              <w:jc w:val="center"/>
              <w:rPr>
                <w:rFonts w:ascii="Times New Roman" w:hAnsi="Times New Roman" w:eastAsia="楷体_GB2312"/>
                <w:sz w:val="24"/>
                <w:szCs w:val="24"/>
              </w:rPr>
            </w:pPr>
          </w:p>
        </w:tc>
        <w:tc>
          <w:tcPr>
            <w:tcW w:w="0" w:type="auto"/>
            <w:noWrap w:val="0"/>
            <w:vAlign w:val="center"/>
          </w:tcPr>
          <w:p w14:paraId="71AC1336">
            <w:pPr>
              <w:pStyle w:val="20"/>
              <w:jc w:val="center"/>
              <w:rPr>
                <w:rFonts w:ascii="Times New Roman" w:hAnsi="Times New Roman" w:eastAsia="楷体_GB2312"/>
                <w:sz w:val="24"/>
                <w:szCs w:val="24"/>
              </w:rPr>
            </w:pPr>
            <w:r>
              <w:rPr>
                <w:rFonts w:ascii="Times New Roman" w:hAnsi="Times New Roman" w:eastAsia="楷体_GB2312"/>
                <w:sz w:val="24"/>
                <w:szCs w:val="24"/>
              </w:rPr>
              <w:t>3</w:t>
            </w:r>
          </w:p>
        </w:tc>
        <w:tc>
          <w:tcPr>
            <w:tcW w:w="0" w:type="auto"/>
            <w:noWrap/>
            <w:vAlign w:val="center"/>
          </w:tcPr>
          <w:p w14:paraId="322E4377">
            <w:pPr>
              <w:jc w:val="center"/>
              <w:rPr>
                <w:color w:val="000000"/>
                <w:sz w:val="22"/>
                <w:szCs w:val="22"/>
              </w:rPr>
            </w:pPr>
            <w:r>
              <w:rPr>
                <w:color w:val="000000"/>
                <w:sz w:val="22"/>
                <w:szCs w:val="22"/>
              </w:rPr>
              <w:t>195</w:t>
            </w:r>
          </w:p>
        </w:tc>
        <w:tc>
          <w:tcPr>
            <w:tcW w:w="0" w:type="auto"/>
            <w:noWrap w:val="0"/>
            <w:vAlign w:val="center"/>
          </w:tcPr>
          <w:p w14:paraId="4C6DFD2A">
            <w:pPr>
              <w:jc w:val="center"/>
              <w:rPr>
                <w:color w:val="000000"/>
                <w:sz w:val="22"/>
                <w:szCs w:val="22"/>
              </w:rPr>
            </w:pPr>
            <w:r>
              <w:rPr>
                <w:color w:val="000000"/>
                <w:sz w:val="22"/>
                <w:szCs w:val="22"/>
              </w:rPr>
              <w:t>13.00</w:t>
            </w:r>
          </w:p>
        </w:tc>
        <w:tc>
          <w:tcPr>
            <w:tcW w:w="0" w:type="auto"/>
            <w:noWrap/>
            <w:vAlign w:val="center"/>
          </w:tcPr>
          <w:p w14:paraId="6F9D89B2">
            <w:pPr>
              <w:jc w:val="center"/>
              <w:rPr>
                <w:color w:val="000000"/>
                <w:sz w:val="22"/>
                <w:szCs w:val="22"/>
              </w:rPr>
            </w:pPr>
            <w:r>
              <w:rPr>
                <w:color w:val="000000"/>
                <w:sz w:val="22"/>
                <w:szCs w:val="22"/>
              </w:rPr>
              <w:t>190</w:t>
            </w:r>
          </w:p>
        </w:tc>
        <w:tc>
          <w:tcPr>
            <w:tcW w:w="0" w:type="auto"/>
            <w:noWrap w:val="0"/>
            <w:vAlign w:val="center"/>
          </w:tcPr>
          <w:p w14:paraId="6E1D368D">
            <w:pPr>
              <w:jc w:val="center"/>
              <w:rPr>
                <w:color w:val="000000"/>
                <w:sz w:val="22"/>
                <w:szCs w:val="22"/>
              </w:rPr>
            </w:pPr>
            <w:r>
              <w:rPr>
                <w:color w:val="000000"/>
                <w:sz w:val="22"/>
                <w:szCs w:val="22"/>
              </w:rPr>
              <w:t>12.67</w:t>
            </w:r>
          </w:p>
        </w:tc>
        <w:tc>
          <w:tcPr>
            <w:tcW w:w="0" w:type="auto"/>
            <w:noWrap/>
            <w:vAlign w:val="center"/>
          </w:tcPr>
          <w:p w14:paraId="75F9164B">
            <w:pPr>
              <w:jc w:val="center"/>
              <w:rPr>
                <w:color w:val="000000"/>
                <w:sz w:val="22"/>
                <w:szCs w:val="22"/>
              </w:rPr>
            </w:pPr>
            <w:r>
              <w:rPr>
                <w:color w:val="000000"/>
                <w:sz w:val="22"/>
                <w:szCs w:val="22"/>
              </w:rPr>
              <w:t>185</w:t>
            </w:r>
          </w:p>
        </w:tc>
        <w:tc>
          <w:tcPr>
            <w:tcW w:w="0" w:type="auto"/>
            <w:noWrap w:val="0"/>
            <w:vAlign w:val="center"/>
          </w:tcPr>
          <w:p w14:paraId="4DDDBAC3">
            <w:pPr>
              <w:jc w:val="center"/>
              <w:rPr>
                <w:color w:val="000000"/>
                <w:sz w:val="22"/>
                <w:szCs w:val="22"/>
              </w:rPr>
            </w:pPr>
            <w:r>
              <w:rPr>
                <w:color w:val="000000"/>
                <w:sz w:val="22"/>
                <w:szCs w:val="22"/>
              </w:rPr>
              <w:t>12.33</w:t>
            </w:r>
          </w:p>
        </w:tc>
        <w:tc>
          <w:tcPr>
            <w:tcW w:w="0" w:type="auto"/>
            <w:noWrap w:val="0"/>
            <w:vAlign w:val="center"/>
          </w:tcPr>
          <w:p w14:paraId="6818DECF">
            <w:pPr>
              <w:jc w:val="center"/>
              <w:rPr>
                <w:color w:val="000000"/>
                <w:sz w:val="22"/>
                <w:szCs w:val="22"/>
              </w:rPr>
            </w:pPr>
            <w:r>
              <w:rPr>
                <w:color w:val="000000"/>
                <w:sz w:val="22"/>
                <w:szCs w:val="22"/>
              </w:rPr>
              <w:t>180</w:t>
            </w:r>
          </w:p>
        </w:tc>
        <w:tc>
          <w:tcPr>
            <w:tcW w:w="0" w:type="auto"/>
            <w:noWrap w:val="0"/>
            <w:vAlign w:val="center"/>
          </w:tcPr>
          <w:p w14:paraId="5E449042">
            <w:pPr>
              <w:jc w:val="center"/>
              <w:rPr>
                <w:color w:val="000000"/>
                <w:sz w:val="22"/>
                <w:szCs w:val="22"/>
              </w:rPr>
            </w:pPr>
            <w:r>
              <w:rPr>
                <w:color w:val="000000"/>
                <w:sz w:val="22"/>
                <w:szCs w:val="22"/>
              </w:rPr>
              <w:t>12.00</w:t>
            </w:r>
          </w:p>
        </w:tc>
        <w:tc>
          <w:tcPr>
            <w:tcW w:w="0" w:type="auto"/>
            <w:noWrap w:val="0"/>
            <w:vAlign w:val="center"/>
          </w:tcPr>
          <w:p w14:paraId="526BEB8A">
            <w:pPr>
              <w:jc w:val="center"/>
              <w:rPr>
                <w:color w:val="000000"/>
                <w:sz w:val="22"/>
                <w:szCs w:val="22"/>
              </w:rPr>
            </w:pPr>
            <w:r>
              <w:rPr>
                <w:color w:val="000000"/>
                <w:sz w:val="22"/>
                <w:szCs w:val="22"/>
              </w:rPr>
              <w:t>175</w:t>
            </w:r>
          </w:p>
        </w:tc>
        <w:tc>
          <w:tcPr>
            <w:tcW w:w="0" w:type="auto"/>
            <w:noWrap w:val="0"/>
            <w:vAlign w:val="center"/>
          </w:tcPr>
          <w:p w14:paraId="6818CDB0">
            <w:pPr>
              <w:jc w:val="center"/>
              <w:rPr>
                <w:color w:val="000000"/>
                <w:sz w:val="22"/>
                <w:szCs w:val="22"/>
              </w:rPr>
            </w:pPr>
            <w:r>
              <w:rPr>
                <w:color w:val="000000"/>
                <w:sz w:val="22"/>
                <w:szCs w:val="22"/>
              </w:rPr>
              <w:t>11.67</w:t>
            </w:r>
          </w:p>
        </w:tc>
        <w:tc>
          <w:tcPr>
            <w:tcW w:w="0" w:type="auto"/>
            <w:noWrap w:val="0"/>
            <w:vAlign w:val="center"/>
          </w:tcPr>
          <w:p w14:paraId="63D8ECAB">
            <w:pPr>
              <w:jc w:val="center"/>
              <w:rPr>
                <w:color w:val="000000"/>
                <w:sz w:val="22"/>
                <w:szCs w:val="22"/>
              </w:rPr>
            </w:pPr>
            <w:r>
              <w:rPr>
                <w:color w:val="000000"/>
                <w:sz w:val="22"/>
                <w:szCs w:val="22"/>
              </w:rPr>
              <w:t>170</w:t>
            </w:r>
          </w:p>
        </w:tc>
        <w:tc>
          <w:tcPr>
            <w:tcW w:w="0" w:type="auto"/>
            <w:noWrap w:val="0"/>
            <w:vAlign w:val="center"/>
          </w:tcPr>
          <w:p w14:paraId="0BD0F4B0">
            <w:pPr>
              <w:jc w:val="center"/>
              <w:rPr>
                <w:color w:val="000000"/>
                <w:sz w:val="22"/>
                <w:szCs w:val="22"/>
              </w:rPr>
            </w:pPr>
            <w:r>
              <w:rPr>
                <w:color w:val="000000"/>
                <w:sz w:val="22"/>
                <w:szCs w:val="22"/>
              </w:rPr>
              <w:t>11.33</w:t>
            </w:r>
          </w:p>
        </w:tc>
      </w:tr>
      <w:tr w14:paraId="1389A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0F6628FC">
            <w:pPr>
              <w:pStyle w:val="20"/>
              <w:jc w:val="center"/>
              <w:rPr>
                <w:rFonts w:ascii="Times New Roman" w:hAnsi="Times New Roman" w:eastAsia="楷体_GB2312"/>
                <w:sz w:val="24"/>
                <w:szCs w:val="24"/>
              </w:rPr>
            </w:pPr>
            <w:r>
              <w:rPr>
                <w:rFonts w:ascii="Times New Roman" w:hAnsi="Times New Roman" w:eastAsia="楷体_GB2312"/>
                <w:sz w:val="24"/>
                <w:szCs w:val="24"/>
              </w:rPr>
              <w:t>14</w:t>
            </w:r>
          </w:p>
        </w:tc>
        <w:tc>
          <w:tcPr>
            <w:tcW w:w="0" w:type="auto"/>
            <w:vMerge w:val="restart"/>
            <w:noWrap w:val="0"/>
            <w:vAlign w:val="center"/>
          </w:tcPr>
          <w:p w14:paraId="035E1C4C">
            <w:pPr>
              <w:pStyle w:val="20"/>
              <w:jc w:val="center"/>
              <w:rPr>
                <w:rFonts w:ascii="Times New Roman" w:hAnsi="Times New Roman" w:eastAsia="楷体_GB2312"/>
                <w:sz w:val="24"/>
                <w:szCs w:val="24"/>
              </w:rPr>
            </w:pPr>
            <w:r>
              <w:rPr>
                <w:rFonts w:ascii="Times New Roman" w:hAnsi="Times New Roman" w:eastAsia="楷体_GB2312"/>
                <w:sz w:val="24"/>
                <w:szCs w:val="24"/>
              </w:rPr>
              <w:t>顺河镇</w:t>
            </w:r>
          </w:p>
        </w:tc>
        <w:tc>
          <w:tcPr>
            <w:tcW w:w="0" w:type="auto"/>
            <w:noWrap w:val="0"/>
            <w:vAlign w:val="center"/>
          </w:tcPr>
          <w:p w14:paraId="5AAC7F20">
            <w:pPr>
              <w:pStyle w:val="20"/>
              <w:jc w:val="center"/>
              <w:rPr>
                <w:rFonts w:ascii="Times New Roman" w:hAnsi="Times New Roman" w:eastAsia="楷体_GB2312"/>
                <w:sz w:val="24"/>
                <w:szCs w:val="24"/>
              </w:rPr>
            </w:pPr>
            <w:r>
              <w:rPr>
                <w:rFonts w:ascii="Times New Roman" w:hAnsi="Times New Roman" w:eastAsia="楷体_GB2312"/>
                <w:sz w:val="24"/>
                <w:szCs w:val="24"/>
              </w:rPr>
              <w:t>1</w:t>
            </w:r>
          </w:p>
        </w:tc>
        <w:tc>
          <w:tcPr>
            <w:tcW w:w="0" w:type="auto"/>
            <w:noWrap/>
            <w:vAlign w:val="center"/>
          </w:tcPr>
          <w:p w14:paraId="58B62D9A">
            <w:pPr>
              <w:jc w:val="center"/>
              <w:rPr>
                <w:color w:val="000000"/>
                <w:sz w:val="22"/>
                <w:szCs w:val="22"/>
              </w:rPr>
            </w:pPr>
            <w:r>
              <w:rPr>
                <w:color w:val="000000"/>
                <w:sz w:val="22"/>
                <w:szCs w:val="22"/>
              </w:rPr>
              <w:t>320</w:t>
            </w:r>
          </w:p>
        </w:tc>
        <w:tc>
          <w:tcPr>
            <w:tcW w:w="0" w:type="auto"/>
            <w:noWrap w:val="0"/>
            <w:vAlign w:val="center"/>
          </w:tcPr>
          <w:p w14:paraId="64759AD8">
            <w:pPr>
              <w:jc w:val="center"/>
              <w:rPr>
                <w:color w:val="000000"/>
                <w:sz w:val="22"/>
                <w:szCs w:val="22"/>
              </w:rPr>
            </w:pPr>
            <w:r>
              <w:rPr>
                <w:color w:val="000000"/>
                <w:sz w:val="22"/>
                <w:szCs w:val="22"/>
              </w:rPr>
              <w:t>21.33</w:t>
            </w:r>
          </w:p>
        </w:tc>
        <w:tc>
          <w:tcPr>
            <w:tcW w:w="0" w:type="auto"/>
            <w:noWrap/>
            <w:vAlign w:val="center"/>
          </w:tcPr>
          <w:p w14:paraId="33549082">
            <w:pPr>
              <w:jc w:val="center"/>
              <w:rPr>
                <w:color w:val="000000"/>
                <w:sz w:val="22"/>
                <w:szCs w:val="22"/>
              </w:rPr>
            </w:pPr>
            <w:r>
              <w:rPr>
                <w:color w:val="000000"/>
                <w:sz w:val="22"/>
                <w:szCs w:val="22"/>
              </w:rPr>
              <w:t>300</w:t>
            </w:r>
          </w:p>
        </w:tc>
        <w:tc>
          <w:tcPr>
            <w:tcW w:w="0" w:type="auto"/>
            <w:noWrap w:val="0"/>
            <w:vAlign w:val="center"/>
          </w:tcPr>
          <w:p w14:paraId="6EAD7D6C">
            <w:pPr>
              <w:jc w:val="center"/>
              <w:rPr>
                <w:color w:val="000000"/>
                <w:sz w:val="22"/>
                <w:szCs w:val="22"/>
              </w:rPr>
            </w:pPr>
            <w:r>
              <w:rPr>
                <w:color w:val="000000"/>
                <w:sz w:val="22"/>
                <w:szCs w:val="22"/>
              </w:rPr>
              <w:t>20.00</w:t>
            </w:r>
          </w:p>
        </w:tc>
        <w:tc>
          <w:tcPr>
            <w:tcW w:w="0" w:type="auto"/>
            <w:noWrap/>
            <w:vAlign w:val="center"/>
          </w:tcPr>
          <w:p w14:paraId="5D25D9D6">
            <w:pPr>
              <w:jc w:val="center"/>
              <w:rPr>
                <w:color w:val="000000"/>
                <w:sz w:val="22"/>
                <w:szCs w:val="22"/>
              </w:rPr>
            </w:pPr>
            <w:r>
              <w:rPr>
                <w:color w:val="000000"/>
                <w:sz w:val="22"/>
                <w:szCs w:val="22"/>
              </w:rPr>
              <w:t>285</w:t>
            </w:r>
          </w:p>
        </w:tc>
        <w:tc>
          <w:tcPr>
            <w:tcW w:w="0" w:type="auto"/>
            <w:noWrap w:val="0"/>
            <w:vAlign w:val="center"/>
          </w:tcPr>
          <w:p w14:paraId="7BDE14F5">
            <w:pPr>
              <w:jc w:val="center"/>
              <w:rPr>
                <w:color w:val="000000"/>
                <w:sz w:val="22"/>
                <w:szCs w:val="22"/>
              </w:rPr>
            </w:pPr>
            <w:r>
              <w:rPr>
                <w:color w:val="000000"/>
                <w:sz w:val="22"/>
                <w:szCs w:val="22"/>
              </w:rPr>
              <w:t>19.00</w:t>
            </w:r>
          </w:p>
        </w:tc>
        <w:tc>
          <w:tcPr>
            <w:tcW w:w="0" w:type="auto"/>
            <w:noWrap w:val="0"/>
            <w:vAlign w:val="center"/>
          </w:tcPr>
          <w:p w14:paraId="065A78FC">
            <w:pPr>
              <w:jc w:val="center"/>
              <w:rPr>
                <w:color w:val="000000"/>
                <w:sz w:val="22"/>
                <w:szCs w:val="22"/>
              </w:rPr>
            </w:pPr>
            <w:r>
              <w:rPr>
                <w:color w:val="000000"/>
                <w:sz w:val="22"/>
                <w:szCs w:val="22"/>
              </w:rPr>
              <w:t>275</w:t>
            </w:r>
          </w:p>
        </w:tc>
        <w:tc>
          <w:tcPr>
            <w:tcW w:w="0" w:type="auto"/>
            <w:noWrap w:val="0"/>
            <w:vAlign w:val="center"/>
          </w:tcPr>
          <w:p w14:paraId="23FB3B45">
            <w:pPr>
              <w:jc w:val="center"/>
              <w:rPr>
                <w:color w:val="000000"/>
                <w:sz w:val="22"/>
                <w:szCs w:val="22"/>
              </w:rPr>
            </w:pPr>
            <w:r>
              <w:rPr>
                <w:color w:val="000000"/>
                <w:sz w:val="22"/>
                <w:szCs w:val="22"/>
              </w:rPr>
              <w:t>18.33</w:t>
            </w:r>
          </w:p>
        </w:tc>
        <w:tc>
          <w:tcPr>
            <w:tcW w:w="0" w:type="auto"/>
            <w:noWrap w:val="0"/>
            <w:vAlign w:val="center"/>
          </w:tcPr>
          <w:p w14:paraId="5394BB6B">
            <w:pPr>
              <w:jc w:val="center"/>
              <w:rPr>
                <w:color w:val="000000"/>
                <w:sz w:val="22"/>
                <w:szCs w:val="22"/>
              </w:rPr>
            </w:pPr>
            <w:r>
              <w:rPr>
                <w:color w:val="000000"/>
                <w:sz w:val="22"/>
                <w:szCs w:val="22"/>
              </w:rPr>
              <w:t>265</w:t>
            </w:r>
          </w:p>
        </w:tc>
        <w:tc>
          <w:tcPr>
            <w:tcW w:w="0" w:type="auto"/>
            <w:noWrap w:val="0"/>
            <w:vAlign w:val="center"/>
          </w:tcPr>
          <w:p w14:paraId="7CBD66AD">
            <w:pPr>
              <w:jc w:val="center"/>
              <w:rPr>
                <w:color w:val="000000"/>
                <w:sz w:val="22"/>
                <w:szCs w:val="22"/>
              </w:rPr>
            </w:pPr>
            <w:r>
              <w:rPr>
                <w:color w:val="000000"/>
                <w:sz w:val="22"/>
                <w:szCs w:val="22"/>
              </w:rPr>
              <w:t>17.67</w:t>
            </w:r>
          </w:p>
        </w:tc>
        <w:tc>
          <w:tcPr>
            <w:tcW w:w="0" w:type="auto"/>
            <w:noWrap w:val="0"/>
            <w:vAlign w:val="center"/>
          </w:tcPr>
          <w:p w14:paraId="7924ACE9">
            <w:pPr>
              <w:jc w:val="center"/>
              <w:rPr>
                <w:color w:val="000000"/>
                <w:sz w:val="22"/>
                <w:szCs w:val="22"/>
              </w:rPr>
            </w:pPr>
            <w:r>
              <w:rPr>
                <w:color w:val="000000"/>
                <w:sz w:val="22"/>
                <w:szCs w:val="22"/>
              </w:rPr>
              <w:t>250</w:t>
            </w:r>
          </w:p>
        </w:tc>
        <w:tc>
          <w:tcPr>
            <w:tcW w:w="0" w:type="auto"/>
            <w:noWrap w:val="0"/>
            <w:vAlign w:val="center"/>
          </w:tcPr>
          <w:p w14:paraId="29C56841">
            <w:pPr>
              <w:jc w:val="center"/>
              <w:rPr>
                <w:color w:val="000000"/>
                <w:sz w:val="22"/>
                <w:szCs w:val="22"/>
              </w:rPr>
            </w:pPr>
            <w:r>
              <w:rPr>
                <w:color w:val="000000"/>
                <w:sz w:val="22"/>
                <w:szCs w:val="22"/>
              </w:rPr>
              <w:t>16.67</w:t>
            </w:r>
          </w:p>
        </w:tc>
      </w:tr>
      <w:tr w14:paraId="714C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0F552857">
            <w:pPr>
              <w:pStyle w:val="20"/>
              <w:jc w:val="center"/>
              <w:rPr>
                <w:rFonts w:ascii="Times New Roman" w:hAnsi="Times New Roman" w:eastAsia="楷体_GB2312"/>
                <w:sz w:val="24"/>
                <w:szCs w:val="24"/>
              </w:rPr>
            </w:pPr>
          </w:p>
        </w:tc>
        <w:tc>
          <w:tcPr>
            <w:tcW w:w="0" w:type="auto"/>
            <w:vMerge w:val="continue"/>
            <w:noWrap w:val="0"/>
            <w:vAlign w:val="center"/>
          </w:tcPr>
          <w:p w14:paraId="77AC5603">
            <w:pPr>
              <w:pStyle w:val="20"/>
              <w:jc w:val="center"/>
              <w:rPr>
                <w:rFonts w:ascii="Times New Roman" w:hAnsi="Times New Roman" w:eastAsia="楷体_GB2312"/>
                <w:sz w:val="24"/>
                <w:szCs w:val="24"/>
              </w:rPr>
            </w:pPr>
          </w:p>
        </w:tc>
        <w:tc>
          <w:tcPr>
            <w:tcW w:w="0" w:type="auto"/>
            <w:noWrap w:val="0"/>
            <w:vAlign w:val="center"/>
          </w:tcPr>
          <w:p w14:paraId="1E84CA00">
            <w:pPr>
              <w:pStyle w:val="20"/>
              <w:jc w:val="center"/>
              <w:rPr>
                <w:rFonts w:ascii="Times New Roman" w:hAnsi="Times New Roman" w:eastAsia="楷体_GB2312"/>
                <w:sz w:val="24"/>
                <w:szCs w:val="24"/>
              </w:rPr>
            </w:pPr>
            <w:r>
              <w:rPr>
                <w:rFonts w:ascii="Times New Roman" w:hAnsi="Times New Roman" w:eastAsia="楷体_GB2312"/>
                <w:sz w:val="24"/>
                <w:szCs w:val="24"/>
              </w:rPr>
              <w:t>2</w:t>
            </w:r>
          </w:p>
        </w:tc>
        <w:tc>
          <w:tcPr>
            <w:tcW w:w="0" w:type="auto"/>
            <w:noWrap/>
            <w:vAlign w:val="center"/>
          </w:tcPr>
          <w:p w14:paraId="7BF3DE71">
            <w:pPr>
              <w:jc w:val="center"/>
              <w:rPr>
                <w:color w:val="000000"/>
                <w:sz w:val="22"/>
                <w:szCs w:val="22"/>
              </w:rPr>
            </w:pPr>
            <w:r>
              <w:rPr>
                <w:color w:val="000000"/>
                <w:sz w:val="22"/>
                <w:szCs w:val="22"/>
              </w:rPr>
              <w:t>255</w:t>
            </w:r>
          </w:p>
        </w:tc>
        <w:tc>
          <w:tcPr>
            <w:tcW w:w="0" w:type="auto"/>
            <w:noWrap w:val="0"/>
            <w:vAlign w:val="center"/>
          </w:tcPr>
          <w:p w14:paraId="0A8FD9EA">
            <w:pPr>
              <w:jc w:val="center"/>
              <w:rPr>
                <w:color w:val="000000"/>
                <w:sz w:val="22"/>
                <w:szCs w:val="22"/>
              </w:rPr>
            </w:pPr>
            <w:r>
              <w:rPr>
                <w:color w:val="000000"/>
                <w:sz w:val="22"/>
                <w:szCs w:val="22"/>
              </w:rPr>
              <w:t>17.00</w:t>
            </w:r>
          </w:p>
        </w:tc>
        <w:tc>
          <w:tcPr>
            <w:tcW w:w="0" w:type="auto"/>
            <w:noWrap/>
            <w:vAlign w:val="center"/>
          </w:tcPr>
          <w:p w14:paraId="772C11A6">
            <w:pPr>
              <w:jc w:val="center"/>
              <w:rPr>
                <w:color w:val="000000"/>
                <w:sz w:val="22"/>
                <w:szCs w:val="22"/>
              </w:rPr>
            </w:pPr>
            <w:r>
              <w:rPr>
                <w:color w:val="000000"/>
                <w:sz w:val="22"/>
                <w:szCs w:val="22"/>
              </w:rPr>
              <w:t>245</w:t>
            </w:r>
          </w:p>
        </w:tc>
        <w:tc>
          <w:tcPr>
            <w:tcW w:w="0" w:type="auto"/>
            <w:noWrap w:val="0"/>
            <w:vAlign w:val="center"/>
          </w:tcPr>
          <w:p w14:paraId="2B8DFF8F">
            <w:pPr>
              <w:jc w:val="center"/>
              <w:rPr>
                <w:color w:val="000000"/>
                <w:sz w:val="22"/>
                <w:szCs w:val="22"/>
              </w:rPr>
            </w:pPr>
            <w:r>
              <w:rPr>
                <w:color w:val="000000"/>
                <w:sz w:val="22"/>
                <w:szCs w:val="22"/>
              </w:rPr>
              <w:t>16.33</w:t>
            </w:r>
          </w:p>
        </w:tc>
        <w:tc>
          <w:tcPr>
            <w:tcW w:w="0" w:type="auto"/>
            <w:noWrap/>
            <w:vAlign w:val="center"/>
          </w:tcPr>
          <w:p w14:paraId="0DF0A92C">
            <w:pPr>
              <w:jc w:val="center"/>
              <w:rPr>
                <w:color w:val="000000"/>
                <w:sz w:val="22"/>
                <w:szCs w:val="22"/>
              </w:rPr>
            </w:pPr>
            <w:r>
              <w:rPr>
                <w:color w:val="000000"/>
                <w:sz w:val="22"/>
                <w:szCs w:val="22"/>
              </w:rPr>
              <w:t>235</w:t>
            </w:r>
          </w:p>
        </w:tc>
        <w:tc>
          <w:tcPr>
            <w:tcW w:w="0" w:type="auto"/>
            <w:noWrap w:val="0"/>
            <w:vAlign w:val="center"/>
          </w:tcPr>
          <w:p w14:paraId="1EDAA0AE">
            <w:pPr>
              <w:jc w:val="center"/>
              <w:rPr>
                <w:color w:val="000000"/>
                <w:sz w:val="22"/>
                <w:szCs w:val="22"/>
              </w:rPr>
            </w:pPr>
            <w:r>
              <w:rPr>
                <w:color w:val="000000"/>
                <w:sz w:val="22"/>
                <w:szCs w:val="22"/>
              </w:rPr>
              <w:t>15.67</w:t>
            </w:r>
          </w:p>
        </w:tc>
        <w:tc>
          <w:tcPr>
            <w:tcW w:w="0" w:type="auto"/>
            <w:noWrap w:val="0"/>
            <w:vAlign w:val="center"/>
          </w:tcPr>
          <w:p w14:paraId="1BFD1232">
            <w:pPr>
              <w:jc w:val="center"/>
              <w:rPr>
                <w:color w:val="000000"/>
                <w:sz w:val="22"/>
                <w:szCs w:val="22"/>
              </w:rPr>
            </w:pPr>
            <w:r>
              <w:rPr>
                <w:color w:val="000000"/>
                <w:sz w:val="22"/>
                <w:szCs w:val="22"/>
              </w:rPr>
              <w:t>230</w:t>
            </w:r>
          </w:p>
        </w:tc>
        <w:tc>
          <w:tcPr>
            <w:tcW w:w="0" w:type="auto"/>
            <w:noWrap w:val="0"/>
            <w:vAlign w:val="center"/>
          </w:tcPr>
          <w:p w14:paraId="4417B784">
            <w:pPr>
              <w:jc w:val="center"/>
              <w:rPr>
                <w:color w:val="000000"/>
                <w:sz w:val="22"/>
                <w:szCs w:val="22"/>
              </w:rPr>
            </w:pPr>
            <w:r>
              <w:rPr>
                <w:color w:val="000000"/>
                <w:sz w:val="22"/>
                <w:szCs w:val="22"/>
              </w:rPr>
              <w:t>15.33</w:t>
            </w:r>
          </w:p>
        </w:tc>
        <w:tc>
          <w:tcPr>
            <w:tcW w:w="0" w:type="auto"/>
            <w:noWrap w:val="0"/>
            <w:vAlign w:val="center"/>
          </w:tcPr>
          <w:p w14:paraId="76FB58C9">
            <w:pPr>
              <w:jc w:val="center"/>
              <w:rPr>
                <w:color w:val="000000"/>
                <w:sz w:val="22"/>
                <w:szCs w:val="22"/>
              </w:rPr>
            </w:pPr>
            <w:r>
              <w:rPr>
                <w:color w:val="000000"/>
                <w:sz w:val="22"/>
                <w:szCs w:val="22"/>
              </w:rPr>
              <w:t>225</w:t>
            </w:r>
          </w:p>
        </w:tc>
        <w:tc>
          <w:tcPr>
            <w:tcW w:w="0" w:type="auto"/>
            <w:noWrap w:val="0"/>
            <w:vAlign w:val="center"/>
          </w:tcPr>
          <w:p w14:paraId="04799F83">
            <w:pPr>
              <w:jc w:val="center"/>
              <w:rPr>
                <w:color w:val="000000"/>
                <w:sz w:val="22"/>
                <w:szCs w:val="22"/>
              </w:rPr>
            </w:pPr>
            <w:r>
              <w:rPr>
                <w:color w:val="000000"/>
                <w:sz w:val="22"/>
                <w:szCs w:val="22"/>
              </w:rPr>
              <w:t>15.00</w:t>
            </w:r>
          </w:p>
        </w:tc>
        <w:tc>
          <w:tcPr>
            <w:tcW w:w="0" w:type="auto"/>
            <w:noWrap w:val="0"/>
            <w:vAlign w:val="center"/>
          </w:tcPr>
          <w:p w14:paraId="32A402F5">
            <w:pPr>
              <w:jc w:val="center"/>
              <w:rPr>
                <w:color w:val="000000"/>
                <w:sz w:val="22"/>
                <w:szCs w:val="22"/>
              </w:rPr>
            </w:pPr>
            <w:r>
              <w:rPr>
                <w:color w:val="000000"/>
                <w:sz w:val="22"/>
                <w:szCs w:val="22"/>
              </w:rPr>
              <w:t>215</w:t>
            </w:r>
          </w:p>
        </w:tc>
        <w:tc>
          <w:tcPr>
            <w:tcW w:w="0" w:type="auto"/>
            <w:noWrap w:val="0"/>
            <w:vAlign w:val="center"/>
          </w:tcPr>
          <w:p w14:paraId="608BBE75">
            <w:pPr>
              <w:jc w:val="center"/>
              <w:rPr>
                <w:color w:val="000000"/>
                <w:sz w:val="22"/>
                <w:szCs w:val="22"/>
              </w:rPr>
            </w:pPr>
            <w:r>
              <w:rPr>
                <w:color w:val="000000"/>
                <w:sz w:val="22"/>
                <w:szCs w:val="22"/>
              </w:rPr>
              <w:t>14.33</w:t>
            </w:r>
          </w:p>
        </w:tc>
      </w:tr>
      <w:tr w14:paraId="786B3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bottom w:val="single" w:color="auto" w:sz="4" w:space="0"/>
            </w:tcBorders>
            <w:noWrap w:val="0"/>
            <w:vAlign w:val="center"/>
          </w:tcPr>
          <w:p w14:paraId="4EC4B23D">
            <w:pPr>
              <w:pStyle w:val="20"/>
              <w:jc w:val="center"/>
              <w:rPr>
                <w:rFonts w:ascii="Times New Roman" w:hAnsi="Times New Roman" w:eastAsia="楷体_GB2312"/>
                <w:sz w:val="24"/>
                <w:szCs w:val="24"/>
              </w:rPr>
            </w:pPr>
          </w:p>
        </w:tc>
        <w:tc>
          <w:tcPr>
            <w:tcW w:w="0" w:type="auto"/>
            <w:vMerge w:val="continue"/>
            <w:tcBorders>
              <w:bottom w:val="single" w:color="auto" w:sz="4" w:space="0"/>
            </w:tcBorders>
            <w:noWrap w:val="0"/>
            <w:vAlign w:val="center"/>
          </w:tcPr>
          <w:p w14:paraId="51D6F68E">
            <w:pPr>
              <w:pStyle w:val="20"/>
              <w:jc w:val="center"/>
              <w:rPr>
                <w:rFonts w:ascii="Times New Roman" w:hAnsi="Times New Roman" w:eastAsia="楷体_GB2312"/>
                <w:sz w:val="24"/>
                <w:szCs w:val="24"/>
              </w:rPr>
            </w:pPr>
          </w:p>
        </w:tc>
        <w:tc>
          <w:tcPr>
            <w:tcW w:w="0" w:type="auto"/>
            <w:tcBorders>
              <w:bottom w:val="single" w:color="auto" w:sz="4" w:space="0"/>
            </w:tcBorders>
            <w:noWrap w:val="0"/>
            <w:vAlign w:val="center"/>
          </w:tcPr>
          <w:p w14:paraId="18F32CF3">
            <w:pPr>
              <w:pStyle w:val="20"/>
              <w:jc w:val="center"/>
              <w:rPr>
                <w:rFonts w:ascii="Times New Roman" w:hAnsi="Times New Roman" w:eastAsia="楷体_GB2312"/>
                <w:sz w:val="24"/>
                <w:szCs w:val="24"/>
              </w:rPr>
            </w:pPr>
            <w:r>
              <w:rPr>
                <w:rFonts w:ascii="Times New Roman" w:hAnsi="Times New Roman" w:eastAsia="楷体_GB2312"/>
                <w:sz w:val="24"/>
                <w:szCs w:val="24"/>
              </w:rPr>
              <w:t>3</w:t>
            </w:r>
          </w:p>
        </w:tc>
        <w:tc>
          <w:tcPr>
            <w:tcW w:w="0" w:type="auto"/>
            <w:tcBorders>
              <w:bottom w:val="single" w:color="auto" w:sz="4" w:space="0"/>
            </w:tcBorders>
            <w:noWrap/>
            <w:vAlign w:val="center"/>
          </w:tcPr>
          <w:p w14:paraId="1EFE3989">
            <w:pPr>
              <w:jc w:val="center"/>
              <w:rPr>
                <w:color w:val="000000"/>
                <w:sz w:val="22"/>
                <w:szCs w:val="22"/>
              </w:rPr>
            </w:pPr>
            <w:r>
              <w:rPr>
                <w:color w:val="000000"/>
                <w:sz w:val="22"/>
                <w:szCs w:val="22"/>
              </w:rPr>
              <w:t>195</w:t>
            </w:r>
          </w:p>
        </w:tc>
        <w:tc>
          <w:tcPr>
            <w:tcW w:w="0" w:type="auto"/>
            <w:tcBorders>
              <w:bottom w:val="single" w:color="auto" w:sz="4" w:space="0"/>
            </w:tcBorders>
            <w:noWrap w:val="0"/>
            <w:vAlign w:val="center"/>
          </w:tcPr>
          <w:p w14:paraId="3BFF76DB">
            <w:pPr>
              <w:jc w:val="center"/>
              <w:rPr>
                <w:color w:val="000000"/>
                <w:sz w:val="22"/>
                <w:szCs w:val="22"/>
              </w:rPr>
            </w:pPr>
            <w:r>
              <w:rPr>
                <w:color w:val="000000"/>
                <w:sz w:val="22"/>
                <w:szCs w:val="22"/>
              </w:rPr>
              <w:t>13.00</w:t>
            </w:r>
          </w:p>
        </w:tc>
        <w:tc>
          <w:tcPr>
            <w:tcW w:w="0" w:type="auto"/>
            <w:tcBorders>
              <w:bottom w:val="single" w:color="auto" w:sz="4" w:space="0"/>
            </w:tcBorders>
            <w:noWrap/>
            <w:vAlign w:val="center"/>
          </w:tcPr>
          <w:p w14:paraId="7B9D541C">
            <w:pPr>
              <w:jc w:val="center"/>
              <w:rPr>
                <w:color w:val="000000"/>
                <w:sz w:val="22"/>
                <w:szCs w:val="22"/>
              </w:rPr>
            </w:pPr>
            <w:r>
              <w:rPr>
                <w:color w:val="000000"/>
                <w:sz w:val="22"/>
                <w:szCs w:val="22"/>
              </w:rPr>
              <w:t>190</w:t>
            </w:r>
          </w:p>
        </w:tc>
        <w:tc>
          <w:tcPr>
            <w:tcW w:w="0" w:type="auto"/>
            <w:tcBorders>
              <w:bottom w:val="single" w:color="auto" w:sz="4" w:space="0"/>
            </w:tcBorders>
            <w:noWrap w:val="0"/>
            <w:vAlign w:val="center"/>
          </w:tcPr>
          <w:p w14:paraId="7D82C7F6">
            <w:pPr>
              <w:jc w:val="center"/>
              <w:rPr>
                <w:color w:val="000000"/>
                <w:sz w:val="22"/>
                <w:szCs w:val="22"/>
              </w:rPr>
            </w:pPr>
            <w:r>
              <w:rPr>
                <w:color w:val="000000"/>
                <w:sz w:val="22"/>
                <w:szCs w:val="22"/>
              </w:rPr>
              <w:t>12.67</w:t>
            </w:r>
          </w:p>
        </w:tc>
        <w:tc>
          <w:tcPr>
            <w:tcW w:w="0" w:type="auto"/>
            <w:tcBorders>
              <w:bottom w:val="single" w:color="auto" w:sz="4" w:space="0"/>
            </w:tcBorders>
            <w:noWrap/>
            <w:vAlign w:val="center"/>
          </w:tcPr>
          <w:p w14:paraId="6E0D8E05">
            <w:pPr>
              <w:jc w:val="center"/>
              <w:rPr>
                <w:color w:val="000000"/>
                <w:sz w:val="22"/>
                <w:szCs w:val="22"/>
              </w:rPr>
            </w:pPr>
            <w:r>
              <w:rPr>
                <w:color w:val="000000"/>
                <w:sz w:val="22"/>
                <w:szCs w:val="22"/>
              </w:rPr>
              <w:t>185</w:t>
            </w:r>
          </w:p>
        </w:tc>
        <w:tc>
          <w:tcPr>
            <w:tcW w:w="0" w:type="auto"/>
            <w:tcBorders>
              <w:bottom w:val="single" w:color="auto" w:sz="4" w:space="0"/>
            </w:tcBorders>
            <w:noWrap w:val="0"/>
            <w:vAlign w:val="center"/>
          </w:tcPr>
          <w:p w14:paraId="656141C0">
            <w:pPr>
              <w:jc w:val="center"/>
              <w:rPr>
                <w:color w:val="000000"/>
                <w:sz w:val="22"/>
                <w:szCs w:val="22"/>
              </w:rPr>
            </w:pPr>
            <w:r>
              <w:rPr>
                <w:color w:val="000000"/>
                <w:sz w:val="22"/>
                <w:szCs w:val="22"/>
              </w:rPr>
              <w:t>12.33</w:t>
            </w:r>
          </w:p>
        </w:tc>
        <w:tc>
          <w:tcPr>
            <w:tcW w:w="0" w:type="auto"/>
            <w:tcBorders>
              <w:bottom w:val="single" w:color="auto" w:sz="4" w:space="0"/>
            </w:tcBorders>
            <w:noWrap w:val="0"/>
            <w:vAlign w:val="center"/>
          </w:tcPr>
          <w:p w14:paraId="19ED2CCB">
            <w:pPr>
              <w:jc w:val="center"/>
              <w:rPr>
                <w:color w:val="000000"/>
                <w:sz w:val="22"/>
                <w:szCs w:val="22"/>
              </w:rPr>
            </w:pPr>
            <w:r>
              <w:rPr>
                <w:color w:val="000000"/>
                <w:sz w:val="22"/>
                <w:szCs w:val="22"/>
              </w:rPr>
              <w:t>180</w:t>
            </w:r>
          </w:p>
        </w:tc>
        <w:tc>
          <w:tcPr>
            <w:tcW w:w="0" w:type="auto"/>
            <w:tcBorders>
              <w:bottom w:val="single" w:color="auto" w:sz="4" w:space="0"/>
            </w:tcBorders>
            <w:noWrap w:val="0"/>
            <w:vAlign w:val="center"/>
          </w:tcPr>
          <w:p w14:paraId="6069AEB3">
            <w:pPr>
              <w:jc w:val="center"/>
              <w:rPr>
                <w:color w:val="000000"/>
                <w:sz w:val="22"/>
                <w:szCs w:val="22"/>
              </w:rPr>
            </w:pPr>
            <w:r>
              <w:rPr>
                <w:color w:val="000000"/>
                <w:sz w:val="22"/>
                <w:szCs w:val="22"/>
              </w:rPr>
              <w:t>12.00</w:t>
            </w:r>
          </w:p>
        </w:tc>
        <w:tc>
          <w:tcPr>
            <w:tcW w:w="0" w:type="auto"/>
            <w:tcBorders>
              <w:bottom w:val="single" w:color="auto" w:sz="4" w:space="0"/>
            </w:tcBorders>
            <w:noWrap w:val="0"/>
            <w:vAlign w:val="center"/>
          </w:tcPr>
          <w:p w14:paraId="5B7DD0A7">
            <w:pPr>
              <w:jc w:val="center"/>
              <w:rPr>
                <w:color w:val="000000"/>
                <w:sz w:val="22"/>
                <w:szCs w:val="22"/>
              </w:rPr>
            </w:pPr>
            <w:r>
              <w:rPr>
                <w:color w:val="000000"/>
                <w:sz w:val="22"/>
                <w:szCs w:val="22"/>
              </w:rPr>
              <w:t>175</w:t>
            </w:r>
          </w:p>
        </w:tc>
        <w:tc>
          <w:tcPr>
            <w:tcW w:w="0" w:type="auto"/>
            <w:tcBorders>
              <w:bottom w:val="single" w:color="auto" w:sz="4" w:space="0"/>
            </w:tcBorders>
            <w:noWrap w:val="0"/>
            <w:vAlign w:val="center"/>
          </w:tcPr>
          <w:p w14:paraId="78351DCE">
            <w:pPr>
              <w:jc w:val="center"/>
              <w:rPr>
                <w:color w:val="000000"/>
                <w:sz w:val="22"/>
                <w:szCs w:val="22"/>
              </w:rPr>
            </w:pPr>
            <w:r>
              <w:rPr>
                <w:color w:val="000000"/>
                <w:sz w:val="22"/>
                <w:szCs w:val="22"/>
              </w:rPr>
              <w:t>11.67</w:t>
            </w:r>
          </w:p>
        </w:tc>
        <w:tc>
          <w:tcPr>
            <w:tcW w:w="0" w:type="auto"/>
            <w:tcBorders>
              <w:bottom w:val="single" w:color="auto" w:sz="4" w:space="0"/>
            </w:tcBorders>
            <w:noWrap w:val="0"/>
            <w:vAlign w:val="center"/>
          </w:tcPr>
          <w:p w14:paraId="49B4263C">
            <w:pPr>
              <w:jc w:val="center"/>
              <w:rPr>
                <w:color w:val="000000"/>
                <w:sz w:val="22"/>
                <w:szCs w:val="22"/>
              </w:rPr>
            </w:pPr>
            <w:r>
              <w:rPr>
                <w:color w:val="000000"/>
                <w:sz w:val="22"/>
                <w:szCs w:val="22"/>
              </w:rPr>
              <w:t>170</w:t>
            </w:r>
          </w:p>
        </w:tc>
        <w:tc>
          <w:tcPr>
            <w:tcW w:w="0" w:type="auto"/>
            <w:tcBorders>
              <w:bottom w:val="single" w:color="auto" w:sz="4" w:space="0"/>
            </w:tcBorders>
            <w:noWrap w:val="0"/>
            <w:vAlign w:val="center"/>
          </w:tcPr>
          <w:p w14:paraId="705498D7">
            <w:pPr>
              <w:jc w:val="center"/>
              <w:rPr>
                <w:color w:val="000000"/>
                <w:sz w:val="22"/>
                <w:szCs w:val="22"/>
              </w:rPr>
            </w:pPr>
            <w:r>
              <w:rPr>
                <w:color w:val="000000"/>
                <w:sz w:val="22"/>
                <w:szCs w:val="22"/>
              </w:rPr>
              <w:t>11.33</w:t>
            </w:r>
          </w:p>
        </w:tc>
      </w:tr>
      <w:tr w14:paraId="7B49F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11D07F83">
            <w:pPr>
              <w:pStyle w:val="20"/>
              <w:jc w:val="center"/>
              <w:rPr>
                <w:rFonts w:ascii="Times New Roman" w:hAnsi="Times New Roman" w:eastAsia="楷体_GB2312"/>
                <w:sz w:val="24"/>
                <w:szCs w:val="24"/>
              </w:rPr>
            </w:pPr>
            <w:r>
              <w:rPr>
                <w:rFonts w:ascii="Times New Roman" w:hAnsi="Times New Roman" w:eastAsia="楷体_GB2312"/>
                <w:sz w:val="24"/>
                <w:szCs w:val="24"/>
              </w:rPr>
              <w:t>15</w:t>
            </w:r>
          </w:p>
        </w:tc>
        <w:tc>
          <w:tcPr>
            <w:tcW w:w="0" w:type="auto"/>
            <w:vMerge w:val="restart"/>
            <w:noWrap w:val="0"/>
            <w:vAlign w:val="center"/>
          </w:tcPr>
          <w:p w14:paraId="30118536">
            <w:pPr>
              <w:pStyle w:val="20"/>
              <w:jc w:val="center"/>
              <w:rPr>
                <w:rFonts w:ascii="Times New Roman" w:hAnsi="Times New Roman" w:eastAsia="楷体_GB2312"/>
                <w:sz w:val="24"/>
                <w:szCs w:val="24"/>
              </w:rPr>
            </w:pPr>
            <w:r>
              <w:rPr>
                <w:rFonts w:ascii="Times New Roman" w:hAnsi="Times New Roman" w:eastAsia="楷体_GB2312"/>
                <w:sz w:val="24"/>
                <w:szCs w:val="24"/>
              </w:rPr>
              <w:t>杨庄镇</w:t>
            </w:r>
          </w:p>
        </w:tc>
        <w:tc>
          <w:tcPr>
            <w:tcW w:w="0" w:type="auto"/>
            <w:noWrap w:val="0"/>
            <w:vAlign w:val="center"/>
          </w:tcPr>
          <w:p w14:paraId="02716DBB">
            <w:pPr>
              <w:pStyle w:val="20"/>
              <w:jc w:val="center"/>
              <w:rPr>
                <w:rFonts w:ascii="Times New Roman" w:hAnsi="Times New Roman" w:eastAsia="楷体_GB2312"/>
                <w:sz w:val="24"/>
                <w:szCs w:val="24"/>
              </w:rPr>
            </w:pPr>
            <w:r>
              <w:rPr>
                <w:rFonts w:ascii="Times New Roman" w:hAnsi="Times New Roman" w:eastAsia="楷体_GB2312"/>
                <w:sz w:val="24"/>
                <w:szCs w:val="24"/>
              </w:rPr>
              <w:t>1</w:t>
            </w:r>
          </w:p>
        </w:tc>
        <w:tc>
          <w:tcPr>
            <w:tcW w:w="0" w:type="auto"/>
            <w:noWrap/>
            <w:vAlign w:val="center"/>
          </w:tcPr>
          <w:p w14:paraId="32B9D82C">
            <w:pPr>
              <w:jc w:val="center"/>
              <w:rPr>
                <w:color w:val="000000"/>
                <w:sz w:val="22"/>
                <w:szCs w:val="22"/>
              </w:rPr>
            </w:pPr>
            <w:r>
              <w:rPr>
                <w:color w:val="000000"/>
                <w:sz w:val="22"/>
                <w:szCs w:val="22"/>
              </w:rPr>
              <w:t>320</w:t>
            </w:r>
          </w:p>
        </w:tc>
        <w:tc>
          <w:tcPr>
            <w:tcW w:w="0" w:type="auto"/>
            <w:noWrap w:val="0"/>
            <w:vAlign w:val="center"/>
          </w:tcPr>
          <w:p w14:paraId="304A08F6">
            <w:pPr>
              <w:jc w:val="center"/>
              <w:rPr>
                <w:color w:val="000000"/>
                <w:sz w:val="22"/>
                <w:szCs w:val="22"/>
              </w:rPr>
            </w:pPr>
            <w:r>
              <w:rPr>
                <w:color w:val="000000"/>
                <w:sz w:val="22"/>
                <w:szCs w:val="22"/>
              </w:rPr>
              <w:t>21.33</w:t>
            </w:r>
          </w:p>
        </w:tc>
        <w:tc>
          <w:tcPr>
            <w:tcW w:w="0" w:type="auto"/>
            <w:noWrap/>
            <w:vAlign w:val="center"/>
          </w:tcPr>
          <w:p w14:paraId="4BA9A1BD">
            <w:pPr>
              <w:jc w:val="center"/>
              <w:rPr>
                <w:color w:val="000000"/>
                <w:sz w:val="22"/>
                <w:szCs w:val="22"/>
              </w:rPr>
            </w:pPr>
            <w:r>
              <w:rPr>
                <w:color w:val="000000"/>
                <w:sz w:val="22"/>
                <w:szCs w:val="22"/>
              </w:rPr>
              <w:t>300</w:t>
            </w:r>
          </w:p>
        </w:tc>
        <w:tc>
          <w:tcPr>
            <w:tcW w:w="0" w:type="auto"/>
            <w:noWrap w:val="0"/>
            <w:vAlign w:val="center"/>
          </w:tcPr>
          <w:p w14:paraId="50C1F1DC">
            <w:pPr>
              <w:jc w:val="center"/>
              <w:rPr>
                <w:color w:val="000000"/>
                <w:sz w:val="22"/>
                <w:szCs w:val="22"/>
              </w:rPr>
            </w:pPr>
            <w:r>
              <w:rPr>
                <w:color w:val="000000"/>
                <w:sz w:val="22"/>
                <w:szCs w:val="22"/>
              </w:rPr>
              <w:t>20.00</w:t>
            </w:r>
          </w:p>
        </w:tc>
        <w:tc>
          <w:tcPr>
            <w:tcW w:w="0" w:type="auto"/>
            <w:noWrap/>
            <w:vAlign w:val="center"/>
          </w:tcPr>
          <w:p w14:paraId="4F9A4A3E">
            <w:pPr>
              <w:jc w:val="center"/>
              <w:rPr>
                <w:color w:val="000000"/>
                <w:sz w:val="22"/>
                <w:szCs w:val="22"/>
              </w:rPr>
            </w:pPr>
            <w:r>
              <w:rPr>
                <w:color w:val="000000"/>
                <w:sz w:val="22"/>
                <w:szCs w:val="22"/>
              </w:rPr>
              <w:t>285</w:t>
            </w:r>
          </w:p>
        </w:tc>
        <w:tc>
          <w:tcPr>
            <w:tcW w:w="0" w:type="auto"/>
            <w:noWrap w:val="0"/>
            <w:vAlign w:val="center"/>
          </w:tcPr>
          <w:p w14:paraId="2C778017">
            <w:pPr>
              <w:jc w:val="center"/>
              <w:rPr>
                <w:color w:val="000000"/>
                <w:sz w:val="22"/>
                <w:szCs w:val="22"/>
              </w:rPr>
            </w:pPr>
            <w:r>
              <w:rPr>
                <w:color w:val="000000"/>
                <w:sz w:val="22"/>
                <w:szCs w:val="22"/>
              </w:rPr>
              <w:t>19.00</w:t>
            </w:r>
          </w:p>
        </w:tc>
        <w:tc>
          <w:tcPr>
            <w:tcW w:w="0" w:type="auto"/>
            <w:noWrap w:val="0"/>
            <w:vAlign w:val="center"/>
          </w:tcPr>
          <w:p w14:paraId="7CB63461">
            <w:pPr>
              <w:jc w:val="center"/>
              <w:rPr>
                <w:color w:val="000000"/>
                <w:sz w:val="22"/>
                <w:szCs w:val="22"/>
              </w:rPr>
            </w:pPr>
            <w:r>
              <w:rPr>
                <w:color w:val="000000"/>
                <w:sz w:val="22"/>
                <w:szCs w:val="22"/>
              </w:rPr>
              <w:t>275</w:t>
            </w:r>
          </w:p>
        </w:tc>
        <w:tc>
          <w:tcPr>
            <w:tcW w:w="0" w:type="auto"/>
            <w:noWrap w:val="0"/>
            <w:vAlign w:val="center"/>
          </w:tcPr>
          <w:p w14:paraId="3FCBDF38">
            <w:pPr>
              <w:jc w:val="center"/>
              <w:rPr>
                <w:color w:val="000000"/>
                <w:sz w:val="22"/>
                <w:szCs w:val="22"/>
              </w:rPr>
            </w:pPr>
            <w:r>
              <w:rPr>
                <w:color w:val="000000"/>
                <w:sz w:val="22"/>
                <w:szCs w:val="22"/>
              </w:rPr>
              <w:t>18.33</w:t>
            </w:r>
          </w:p>
        </w:tc>
        <w:tc>
          <w:tcPr>
            <w:tcW w:w="0" w:type="auto"/>
            <w:noWrap w:val="0"/>
            <w:vAlign w:val="center"/>
          </w:tcPr>
          <w:p w14:paraId="24100D48">
            <w:pPr>
              <w:jc w:val="center"/>
              <w:rPr>
                <w:color w:val="000000"/>
                <w:sz w:val="22"/>
                <w:szCs w:val="22"/>
              </w:rPr>
            </w:pPr>
            <w:r>
              <w:rPr>
                <w:color w:val="000000"/>
                <w:sz w:val="22"/>
                <w:szCs w:val="22"/>
              </w:rPr>
              <w:t>265</w:t>
            </w:r>
          </w:p>
        </w:tc>
        <w:tc>
          <w:tcPr>
            <w:tcW w:w="0" w:type="auto"/>
            <w:noWrap w:val="0"/>
            <w:vAlign w:val="center"/>
          </w:tcPr>
          <w:p w14:paraId="511CCC5D">
            <w:pPr>
              <w:jc w:val="center"/>
              <w:rPr>
                <w:color w:val="000000"/>
                <w:sz w:val="22"/>
                <w:szCs w:val="22"/>
              </w:rPr>
            </w:pPr>
            <w:r>
              <w:rPr>
                <w:color w:val="000000"/>
                <w:sz w:val="22"/>
                <w:szCs w:val="22"/>
              </w:rPr>
              <w:t>17.67</w:t>
            </w:r>
          </w:p>
        </w:tc>
        <w:tc>
          <w:tcPr>
            <w:tcW w:w="0" w:type="auto"/>
            <w:noWrap w:val="0"/>
            <w:vAlign w:val="center"/>
          </w:tcPr>
          <w:p w14:paraId="46F6D485">
            <w:pPr>
              <w:jc w:val="center"/>
              <w:rPr>
                <w:color w:val="000000"/>
                <w:sz w:val="22"/>
                <w:szCs w:val="22"/>
              </w:rPr>
            </w:pPr>
            <w:r>
              <w:rPr>
                <w:color w:val="000000"/>
                <w:sz w:val="22"/>
                <w:szCs w:val="22"/>
              </w:rPr>
              <w:t>250</w:t>
            </w:r>
          </w:p>
        </w:tc>
        <w:tc>
          <w:tcPr>
            <w:tcW w:w="0" w:type="auto"/>
            <w:noWrap w:val="0"/>
            <w:vAlign w:val="center"/>
          </w:tcPr>
          <w:p w14:paraId="6E1536B7">
            <w:pPr>
              <w:jc w:val="center"/>
              <w:rPr>
                <w:color w:val="000000"/>
                <w:sz w:val="22"/>
                <w:szCs w:val="22"/>
              </w:rPr>
            </w:pPr>
            <w:r>
              <w:rPr>
                <w:color w:val="000000"/>
                <w:sz w:val="22"/>
                <w:szCs w:val="22"/>
              </w:rPr>
              <w:t>16.67</w:t>
            </w:r>
          </w:p>
        </w:tc>
      </w:tr>
      <w:tr w14:paraId="366F7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33F433C0">
            <w:pPr>
              <w:pStyle w:val="20"/>
              <w:jc w:val="center"/>
              <w:rPr>
                <w:rFonts w:ascii="Times New Roman" w:hAnsi="Times New Roman" w:eastAsia="楷体_GB2312"/>
                <w:sz w:val="24"/>
                <w:szCs w:val="24"/>
              </w:rPr>
            </w:pPr>
          </w:p>
        </w:tc>
        <w:tc>
          <w:tcPr>
            <w:tcW w:w="0" w:type="auto"/>
            <w:vMerge w:val="continue"/>
            <w:noWrap w:val="0"/>
            <w:vAlign w:val="center"/>
          </w:tcPr>
          <w:p w14:paraId="5981BCCD">
            <w:pPr>
              <w:pStyle w:val="20"/>
              <w:jc w:val="center"/>
              <w:rPr>
                <w:rFonts w:ascii="Times New Roman" w:hAnsi="Times New Roman" w:eastAsia="楷体_GB2312"/>
                <w:sz w:val="24"/>
                <w:szCs w:val="24"/>
              </w:rPr>
            </w:pPr>
          </w:p>
        </w:tc>
        <w:tc>
          <w:tcPr>
            <w:tcW w:w="0" w:type="auto"/>
            <w:noWrap w:val="0"/>
            <w:vAlign w:val="center"/>
          </w:tcPr>
          <w:p w14:paraId="02BE570B">
            <w:pPr>
              <w:pStyle w:val="20"/>
              <w:jc w:val="center"/>
              <w:rPr>
                <w:rFonts w:ascii="Times New Roman" w:hAnsi="Times New Roman" w:eastAsia="楷体_GB2312"/>
                <w:sz w:val="24"/>
                <w:szCs w:val="24"/>
              </w:rPr>
            </w:pPr>
            <w:r>
              <w:rPr>
                <w:rFonts w:ascii="Times New Roman" w:hAnsi="Times New Roman" w:eastAsia="楷体_GB2312"/>
                <w:sz w:val="24"/>
                <w:szCs w:val="24"/>
              </w:rPr>
              <w:t>2</w:t>
            </w:r>
          </w:p>
        </w:tc>
        <w:tc>
          <w:tcPr>
            <w:tcW w:w="0" w:type="auto"/>
            <w:noWrap/>
            <w:vAlign w:val="center"/>
          </w:tcPr>
          <w:p w14:paraId="05EF38A5">
            <w:pPr>
              <w:jc w:val="center"/>
              <w:rPr>
                <w:sz w:val="22"/>
                <w:szCs w:val="22"/>
              </w:rPr>
            </w:pPr>
            <w:r>
              <w:rPr>
                <w:sz w:val="22"/>
                <w:szCs w:val="22"/>
              </w:rPr>
              <w:t>245</w:t>
            </w:r>
          </w:p>
        </w:tc>
        <w:tc>
          <w:tcPr>
            <w:tcW w:w="0" w:type="auto"/>
            <w:noWrap w:val="0"/>
            <w:vAlign w:val="center"/>
          </w:tcPr>
          <w:p w14:paraId="30742E8E">
            <w:pPr>
              <w:jc w:val="center"/>
              <w:rPr>
                <w:color w:val="000000"/>
                <w:sz w:val="22"/>
                <w:szCs w:val="22"/>
              </w:rPr>
            </w:pPr>
            <w:r>
              <w:rPr>
                <w:color w:val="000000"/>
                <w:sz w:val="22"/>
                <w:szCs w:val="22"/>
              </w:rPr>
              <w:t>16.33</w:t>
            </w:r>
          </w:p>
        </w:tc>
        <w:tc>
          <w:tcPr>
            <w:tcW w:w="0" w:type="auto"/>
            <w:noWrap/>
            <w:vAlign w:val="center"/>
          </w:tcPr>
          <w:p w14:paraId="25ADD7B9">
            <w:pPr>
              <w:jc w:val="center"/>
              <w:rPr>
                <w:sz w:val="22"/>
                <w:szCs w:val="22"/>
              </w:rPr>
            </w:pPr>
            <w:r>
              <w:rPr>
                <w:sz w:val="22"/>
                <w:szCs w:val="22"/>
              </w:rPr>
              <w:t>235</w:t>
            </w:r>
          </w:p>
        </w:tc>
        <w:tc>
          <w:tcPr>
            <w:tcW w:w="0" w:type="auto"/>
            <w:noWrap w:val="0"/>
            <w:vAlign w:val="center"/>
          </w:tcPr>
          <w:p w14:paraId="6B4186AC">
            <w:pPr>
              <w:jc w:val="center"/>
              <w:rPr>
                <w:color w:val="000000"/>
                <w:sz w:val="22"/>
                <w:szCs w:val="22"/>
              </w:rPr>
            </w:pPr>
            <w:r>
              <w:rPr>
                <w:color w:val="000000"/>
                <w:sz w:val="22"/>
                <w:szCs w:val="22"/>
              </w:rPr>
              <w:t>15.67</w:t>
            </w:r>
          </w:p>
        </w:tc>
        <w:tc>
          <w:tcPr>
            <w:tcW w:w="0" w:type="auto"/>
            <w:noWrap/>
            <w:vAlign w:val="center"/>
          </w:tcPr>
          <w:p w14:paraId="763A7CA6">
            <w:pPr>
              <w:jc w:val="center"/>
              <w:rPr>
                <w:sz w:val="22"/>
                <w:szCs w:val="22"/>
              </w:rPr>
            </w:pPr>
            <w:r>
              <w:rPr>
                <w:sz w:val="22"/>
                <w:szCs w:val="22"/>
              </w:rPr>
              <w:t>225</w:t>
            </w:r>
          </w:p>
        </w:tc>
        <w:tc>
          <w:tcPr>
            <w:tcW w:w="0" w:type="auto"/>
            <w:noWrap w:val="0"/>
            <w:vAlign w:val="center"/>
          </w:tcPr>
          <w:p w14:paraId="2CCBCA29">
            <w:pPr>
              <w:jc w:val="center"/>
              <w:rPr>
                <w:color w:val="000000"/>
                <w:sz w:val="22"/>
                <w:szCs w:val="22"/>
              </w:rPr>
            </w:pPr>
            <w:r>
              <w:rPr>
                <w:color w:val="000000"/>
                <w:sz w:val="22"/>
                <w:szCs w:val="22"/>
              </w:rPr>
              <w:t>15.00</w:t>
            </w:r>
          </w:p>
        </w:tc>
        <w:tc>
          <w:tcPr>
            <w:tcW w:w="0" w:type="auto"/>
            <w:noWrap w:val="0"/>
            <w:vAlign w:val="center"/>
          </w:tcPr>
          <w:p w14:paraId="1CDC1E02">
            <w:pPr>
              <w:jc w:val="center"/>
              <w:rPr>
                <w:sz w:val="22"/>
                <w:szCs w:val="22"/>
              </w:rPr>
            </w:pPr>
            <w:r>
              <w:rPr>
                <w:sz w:val="22"/>
                <w:szCs w:val="22"/>
              </w:rPr>
              <w:t>220</w:t>
            </w:r>
          </w:p>
        </w:tc>
        <w:tc>
          <w:tcPr>
            <w:tcW w:w="0" w:type="auto"/>
            <w:noWrap w:val="0"/>
            <w:vAlign w:val="center"/>
          </w:tcPr>
          <w:p w14:paraId="0929FE07">
            <w:pPr>
              <w:jc w:val="center"/>
              <w:rPr>
                <w:color w:val="000000"/>
                <w:sz w:val="22"/>
                <w:szCs w:val="22"/>
              </w:rPr>
            </w:pPr>
            <w:r>
              <w:rPr>
                <w:color w:val="000000"/>
                <w:sz w:val="22"/>
                <w:szCs w:val="22"/>
              </w:rPr>
              <w:t>14.67</w:t>
            </w:r>
          </w:p>
        </w:tc>
        <w:tc>
          <w:tcPr>
            <w:tcW w:w="0" w:type="auto"/>
            <w:noWrap w:val="0"/>
            <w:vAlign w:val="center"/>
          </w:tcPr>
          <w:p w14:paraId="2B259DF3">
            <w:pPr>
              <w:jc w:val="center"/>
              <w:rPr>
                <w:sz w:val="22"/>
                <w:szCs w:val="22"/>
              </w:rPr>
            </w:pPr>
            <w:r>
              <w:rPr>
                <w:sz w:val="22"/>
                <w:szCs w:val="22"/>
              </w:rPr>
              <w:t>215</w:t>
            </w:r>
          </w:p>
        </w:tc>
        <w:tc>
          <w:tcPr>
            <w:tcW w:w="0" w:type="auto"/>
            <w:noWrap w:val="0"/>
            <w:vAlign w:val="center"/>
          </w:tcPr>
          <w:p w14:paraId="245E5D8F">
            <w:pPr>
              <w:jc w:val="center"/>
              <w:rPr>
                <w:color w:val="000000"/>
                <w:sz w:val="22"/>
                <w:szCs w:val="22"/>
              </w:rPr>
            </w:pPr>
            <w:r>
              <w:rPr>
                <w:color w:val="000000"/>
                <w:sz w:val="22"/>
                <w:szCs w:val="22"/>
              </w:rPr>
              <w:t>14.33</w:t>
            </w:r>
          </w:p>
        </w:tc>
        <w:tc>
          <w:tcPr>
            <w:tcW w:w="0" w:type="auto"/>
            <w:noWrap w:val="0"/>
            <w:vAlign w:val="center"/>
          </w:tcPr>
          <w:p w14:paraId="2C9D3139">
            <w:pPr>
              <w:jc w:val="center"/>
              <w:rPr>
                <w:sz w:val="22"/>
                <w:szCs w:val="22"/>
              </w:rPr>
            </w:pPr>
            <w:r>
              <w:rPr>
                <w:sz w:val="22"/>
                <w:szCs w:val="22"/>
              </w:rPr>
              <w:t>205</w:t>
            </w:r>
          </w:p>
        </w:tc>
        <w:tc>
          <w:tcPr>
            <w:tcW w:w="0" w:type="auto"/>
            <w:noWrap w:val="0"/>
            <w:vAlign w:val="center"/>
          </w:tcPr>
          <w:p w14:paraId="22DF2F89">
            <w:pPr>
              <w:jc w:val="center"/>
              <w:rPr>
                <w:color w:val="000000"/>
                <w:sz w:val="22"/>
                <w:szCs w:val="22"/>
              </w:rPr>
            </w:pPr>
            <w:r>
              <w:rPr>
                <w:color w:val="000000"/>
                <w:sz w:val="22"/>
                <w:szCs w:val="22"/>
              </w:rPr>
              <w:t>13.67</w:t>
            </w:r>
          </w:p>
        </w:tc>
      </w:tr>
      <w:tr w14:paraId="6C9C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tcBorders>
              <w:bottom w:val="single" w:color="auto" w:sz="4" w:space="0"/>
            </w:tcBorders>
            <w:noWrap w:val="0"/>
            <w:vAlign w:val="center"/>
          </w:tcPr>
          <w:p w14:paraId="38921BE0">
            <w:pPr>
              <w:pStyle w:val="20"/>
              <w:jc w:val="center"/>
              <w:rPr>
                <w:rFonts w:ascii="Times New Roman" w:hAnsi="Times New Roman" w:eastAsia="楷体_GB2312"/>
                <w:sz w:val="24"/>
                <w:szCs w:val="24"/>
              </w:rPr>
            </w:pPr>
          </w:p>
        </w:tc>
        <w:tc>
          <w:tcPr>
            <w:tcW w:w="0" w:type="auto"/>
            <w:vMerge w:val="continue"/>
            <w:tcBorders>
              <w:bottom w:val="single" w:color="auto" w:sz="4" w:space="0"/>
            </w:tcBorders>
            <w:noWrap w:val="0"/>
            <w:vAlign w:val="center"/>
          </w:tcPr>
          <w:p w14:paraId="3951B116">
            <w:pPr>
              <w:pStyle w:val="20"/>
              <w:jc w:val="center"/>
              <w:rPr>
                <w:rFonts w:ascii="Times New Roman" w:hAnsi="Times New Roman" w:eastAsia="楷体_GB2312"/>
                <w:sz w:val="24"/>
                <w:szCs w:val="24"/>
              </w:rPr>
            </w:pPr>
          </w:p>
        </w:tc>
        <w:tc>
          <w:tcPr>
            <w:tcW w:w="0" w:type="auto"/>
            <w:tcBorders>
              <w:bottom w:val="single" w:color="auto" w:sz="4" w:space="0"/>
            </w:tcBorders>
            <w:noWrap w:val="0"/>
            <w:vAlign w:val="center"/>
          </w:tcPr>
          <w:p w14:paraId="45A656E2">
            <w:pPr>
              <w:pStyle w:val="20"/>
              <w:jc w:val="center"/>
              <w:rPr>
                <w:rFonts w:ascii="Times New Roman" w:hAnsi="Times New Roman" w:eastAsia="楷体_GB2312"/>
                <w:sz w:val="24"/>
                <w:szCs w:val="24"/>
              </w:rPr>
            </w:pPr>
            <w:r>
              <w:rPr>
                <w:rFonts w:ascii="Times New Roman" w:hAnsi="Times New Roman" w:eastAsia="楷体_GB2312"/>
                <w:sz w:val="24"/>
                <w:szCs w:val="24"/>
              </w:rPr>
              <w:t>3</w:t>
            </w:r>
          </w:p>
        </w:tc>
        <w:tc>
          <w:tcPr>
            <w:tcW w:w="0" w:type="auto"/>
            <w:tcBorders>
              <w:bottom w:val="single" w:color="auto" w:sz="4" w:space="0"/>
            </w:tcBorders>
            <w:noWrap/>
            <w:vAlign w:val="center"/>
          </w:tcPr>
          <w:p w14:paraId="508D5F1D">
            <w:pPr>
              <w:jc w:val="center"/>
              <w:rPr>
                <w:color w:val="000000"/>
                <w:sz w:val="22"/>
                <w:szCs w:val="22"/>
              </w:rPr>
            </w:pPr>
            <w:r>
              <w:rPr>
                <w:color w:val="000000"/>
                <w:sz w:val="22"/>
                <w:szCs w:val="22"/>
              </w:rPr>
              <w:t>185</w:t>
            </w:r>
          </w:p>
        </w:tc>
        <w:tc>
          <w:tcPr>
            <w:tcW w:w="0" w:type="auto"/>
            <w:tcBorders>
              <w:bottom w:val="single" w:color="auto" w:sz="4" w:space="0"/>
            </w:tcBorders>
            <w:noWrap w:val="0"/>
            <w:vAlign w:val="center"/>
          </w:tcPr>
          <w:p w14:paraId="4534C37F">
            <w:pPr>
              <w:jc w:val="center"/>
              <w:rPr>
                <w:color w:val="000000"/>
                <w:sz w:val="22"/>
                <w:szCs w:val="22"/>
              </w:rPr>
            </w:pPr>
            <w:r>
              <w:rPr>
                <w:color w:val="000000"/>
                <w:sz w:val="22"/>
                <w:szCs w:val="22"/>
              </w:rPr>
              <w:t>12.33</w:t>
            </w:r>
          </w:p>
        </w:tc>
        <w:tc>
          <w:tcPr>
            <w:tcW w:w="0" w:type="auto"/>
            <w:tcBorders>
              <w:bottom w:val="single" w:color="auto" w:sz="4" w:space="0"/>
            </w:tcBorders>
            <w:noWrap/>
            <w:vAlign w:val="center"/>
          </w:tcPr>
          <w:p w14:paraId="2D95BE2D">
            <w:pPr>
              <w:jc w:val="center"/>
              <w:rPr>
                <w:color w:val="000000"/>
                <w:sz w:val="22"/>
                <w:szCs w:val="22"/>
              </w:rPr>
            </w:pPr>
            <w:r>
              <w:rPr>
                <w:color w:val="000000"/>
                <w:sz w:val="22"/>
                <w:szCs w:val="22"/>
              </w:rPr>
              <w:t>180</w:t>
            </w:r>
          </w:p>
        </w:tc>
        <w:tc>
          <w:tcPr>
            <w:tcW w:w="0" w:type="auto"/>
            <w:tcBorders>
              <w:bottom w:val="single" w:color="auto" w:sz="4" w:space="0"/>
            </w:tcBorders>
            <w:noWrap w:val="0"/>
            <w:vAlign w:val="center"/>
          </w:tcPr>
          <w:p w14:paraId="122980EB">
            <w:pPr>
              <w:jc w:val="center"/>
              <w:rPr>
                <w:color w:val="000000"/>
                <w:sz w:val="22"/>
                <w:szCs w:val="22"/>
              </w:rPr>
            </w:pPr>
            <w:r>
              <w:rPr>
                <w:color w:val="000000"/>
                <w:sz w:val="22"/>
                <w:szCs w:val="22"/>
              </w:rPr>
              <w:t>12.00</w:t>
            </w:r>
          </w:p>
        </w:tc>
        <w:tc>
          <w:tcPr>
            <w:tcW w:w="0" w:type="auto"/>
            <w:tcBorders>
              <w:bottom w:val="single" w:color="auto" w:sz="4" w:space="0"/>
            </w:tcBorders>
            <w:noWrap/>
            <w:vAlign w:val="center"/>
          </w:tcPr>
          <w:p w14:paraId="700A2FD0">
            <w:pPr>
              <w:jc w:val="center"/>
              <w:rPr>
                <w:color w:val="000000"/>
                <w:sz w:val="22"/>
                <w:szCs w:val="22"/>
              </w:rPr>
            </w:pPr>
            <w:r>
              <w:rPr>
                <w:color w:val="000000"/>
                <w:sz w:val="22"/>
                <w:szCs w:val="22"/>
              </w:rPr>
              <w:t>175</w:t>
            </w:r>
          </w:p>
        </w:tc>
        <w:tc>
          <w:tcPr>
            <w:tcW w:w="0" w:type="auto"/>
            <w:tcBorders>
              <w:bottom w:val="single" w:color="auto" w:sz="4" w:space="0"/>
            </w:tcBorders>
            <w:noWrap w:val="0"/>
            <w:vAlign w:val="center"/>
          </w:tcPr>
          <w:p w14:paraId="76D385A4">
            <w:pPr>
              <w:jc w:val="center"/>
              <w:rPr>
                <w:color w:val="000000"/>
                <w:sz w:val="22"/>
                <w:szCs w:val="22"/>
              </w:rPr>
            </w:pPr>
            <w:r>
              <w:rPr>
                <w:color w:val="000000"/>
                <w:sz w:val="22"/>
                <w:szCs w:val="22"/>
              </w:rPr>
              <w:t>11.67</w:t>
            </w:r>
          </w:p>
        </w:tc>
        <w:tc>
          <w:tcPr>
            <w:tcW w:w="0" w:type="auto"/>
            <w:tcBorders>
              <w:bottom w:val="single" w:color="auto" w:sz="4" w:space="0"/>
            </w:tcBorders>
            <w:noWrap w:val="0"/>
            <w:vAlign w:val="center"/>
          </w:tcPr>
          <w:p w14:paraId="7F94CA38">
            <w:pPr>
              <w:jc w:val="center"/>
              <w:rPr>
                <w:color w:val="000000"/>
                <w:sz w:val="22"/>
                <w:szCs w:val="22"/>
              </w:rPr>
            </w:pPr>
            <w:r>
              <w:rPr>
                <w:color w:val="000000"/>
                <w:sz w:val="22"/>
                <w:szCs w:val="22"/>
              </w:rPr>
              <w:t>170</w:t>
            </w:r>
          </w:p>
        </w:tc>
        <w:tc>
          <w:tcPr>
            <w:tcW w:w="0" w:type="auto"/>
            <w:tcBorders>
              <w:bottom w:val="single" w:color="auto" w:sz="4" w:space="0"/>
            </w:tcBorders>
            <w:noWrap w:val="0"/>
            <w:vAlign w:val="center"/>
          </w:tcPr>
          <w:p w14:paraId="405519FE">
            <w:pPr>
              <w:jc w:val="center"/>
              <w:rPr>
                <w:color w:val="000000"/>
                <w:sz w:val="22"/>
                <w:szCs w:val="22"/>
              </w:rPr>
            </w:pPr>
            <w:r>
              <w:rPr>
                <w:color w:val="000000"/>
                <w:sz w:val="22"/>
                <w:szCs w:val="22"/>
              </w:rPr>
              <w:t>11.33</w:t>
            </w:r>
          </w:p>
        </w:tc>
        <w:tc>
          <w:tcPr>
            <w:tcW w:w="0" w:type="auto"/>
            <w:tcBorders>
              <w:bottom w:val="single" w:color="auto" w:sz="4" w:space="0"/>
            </w:tcBorders>
            <w:noWrap w:val="0"/>
            <w:vAlign w:val="center"/>
          </w:tcPr>
          <w:p w14:paraId="4BD3E7FF">
            <w:pPr>
              <w:jc w:val="center"/>
              <w:rPr>
                <w:color w:val="000000"/>
                <w:sz w:val="22"/>
                <w:szCs w:val="22"/>
              </w:rPr>
            </w:pPr>
            <w:r>
              <w:rPr>
                <w:color w:val="000000"/>
                <w:sz w:val="22"/>
                <w:szCs w:val="22"/>
              </w:rPr>
              <w:t>165</w:t>
            </w:r>
          </w:p>
        </w:tc>
        <w:tc>
          <w:tcPr>
            <w:tcW w:w="0" w:type="auto"/>
            <w:tcBorders>
              <w:bottom w:val="single" w:color="auto" w:sz="4" w:space="0"/>
            </w:tcBorders>
            <w:noWrap w:val="0"/>
            <w:vAlign w:val="center"/>
          </w:tcPr>
          <w:p w14:paraId="498F929D">
            <w:pPr>
              <w:jc w:val="center"/>
              <w:rPr>
                <w:color w:val="000000"/>
                <w:sz w:val="22"/>
                <w:szCs w:val="22"/>
              </w:rPr>
            </w:pPr>
            <w:r>
              <w:rPr>
                <w:color w:val="000000"/>
                <w:sz w:val="22"/>
                <w:szCs w:val="22"/>
              </w:rPr>
              <w:t>11.00</w:t>
            </w:r>
          </w:p>
        </w:tc>
        <w:tc>
          <w:tcPr>
            <w:tcW w:w="0" w:type="auto"/>
            <w:tcBorders>
              <w:bottom w:val="single" w:color="auto" w:sz="4" w:space="0"/>
            </w:tcBorders>
            <w:noWrap w:val="0"/>
            <w:vAlign w:val="center"/>
          </w:tcPr>
          <w:p w14:paraId="1FF85021">
            <w:pPr>
              <w:jc w:val="center"/>
              <w:rPr>
                <w:color w:val="000000"/>
                <w:sz w:val="22"/>
                <w:szCs w:val="22"/>
              </w:rPr>
            </w:pPr>
            <w:r>
              <w:rPr>
                <w:color w:val="000000"/>
                <w:sz w:val="22"/>
                <w:szCs w:val="22"/>
              </w:rPr>
              <w:t>160</w:t>
            </w:r>
          </w:p>
        </w:tc>
        <w:tc>
          <w:tcPr>
            <w:tcW w:w="0" w:type="auto"/>
            <w:tcBorders>
              <w:bottom w:val="single" w:color="auto" w:sz="4" w:space="0"/>
            </w:tcBorders>
            <w:noWrap w:val="0"/>
            <w:vAlign w:val="center"/>
          </w:tcPr>
          <w:p w14:paraId="234B47FC">
            <w:pPr>
              <w:jc w:val="center"/>
              <w:rPr>
                <w:color w:val="000000"/>
                <w:sz w:val="22"/>
                <w:szCs w:val="22"/>
              </w:rPr>
            </w:pPr>
            <w:r>
              <w:rPr>
                <w:color w:val="000000"/>
                <w:sz w:val="22"/>
                <w:szCs w:val="22"/>
              </w:rPr>
              <w:t>10.67</w:t>
            </w:r>
          </w:p>
        </w:tc>
      </w:tr>
      <w:tr w14:paraId="2D35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nil"/>
              <w:bottom w:val="nil"/>
              <w:right w:val="nil"/>
            </w:tcBorders>
            <w:noWrap w:val="0"/>
            <w:vAlign w:val="center"/>
          </w:tcPr>
          <w:p w14:paraId="565FEB0F">
            <w:pPr>
              <w:pStyle w:val="20"/>
              <w:jc w:val="center"/>
              <w:rPr>
                <w:rFonts w:ascii="Times New Roman" w:hAnsi="Times New Roman" w:eastAsia="楷体_GB2312"/>
                <w:sz w:val="24"/>
                <w:szCs w:val="24"/>
              </w:rPr>
            </w:pPr>
          </w:p>
        </w:tc>
        <w:tc>
          <w:tcPr>
            <w:tcW w:w="0" w:type="auto"/>
            <w:tcBorders>
              <w:top w:val="single" w:color="auto" w:sz="4" w:space="0"/>
              <w:left w:val="nil"/>
              <w:bottom w:val="nil"/>
              <w:right w:val="nil"/>
            </w:tcBorders>
            <w:noWrap w:val="0"/>
            <w:vAlign w:val="center"/>
          </w:tcPr>
          <w:p w14:paraId="770AA358">
            <w:pPr>
              <w:pStyle w:val="20"/>
              <w:jc w:val="center"/>
              <w:rPr>
                <w:rFonts w:ascii="Times New Roman" w:hAnsi="Times New Roman" w:eastAsia="楷体_GB2312"/>
                <w:sz w:val="24"/>
                <w:szCs w:val="24"/>
              </w:rPr>
            </w:pPr>
          </w:p>
        </w:tc>
        <w:tc>
          <w:tcPr>
            <w:tcW w:w="0" w:type="auto"/>
            <w:tcBorders>
              <w:top w:val="single" w:color="auto" w:sz="4" w:space="0"/>
              <w:left w:val="nil"/>
              <w:bottom w:val="nil"/>
              <w:right w:val="nil"/>
            </w:tcBorders>
            <w:noWrap w:val="0"/>
            <w:vAlign w:val="center"/>
          </w:tcPr>
          <w:p w14:paraId="2372869D">
            <w:pPr>
              <w:pStyle w:val="20"/>
              <w:jc w:val="center"/>
              <w:rPr>
                <w:rFonts w:ascii="Times New Roman" w:hAnsi="Times New Roman" w:eastAsia="楷体_GB2312"/>
                <w:sz w:val="24"/>
                <w:szCs w:val="24"/>
              </w:rPr>
            </w:pPr>
          </w:p>
        </w:tc>
        <w:tc>
          <w:tcPr>
            <w:tcW w:w="0" w:type="auto"/>
            <w:tcBorders>
              <w:top w:val="single" w:color="auto" w:sz="4" w:space="0"/>
              <w:left w:val="nil"/>
              <w:bottom w:val="nil"/>
              <w:right w:val="nil"/>
            </w:tcBorders>
            <w:noWrap/>
            <w:vAlign w:val="center"/>
          </w:tcPr>
          <w:p w14:paraId="78B3A884">
            <w:pPr>
              <w:jc w:val="center"/>
              <w:rPr>
                <w:color w:val="000000"/>
                <w:sz w:val="22"/>
                <w:szCs w:val="22"/>
              </w:rPr>
            </w:pPr>
          </w:p>
        </w:tc>
        <w:tc>
          <w:tcPr>
            <w:tcW w:w="0" w:type="auto"/>
            <w:tcBorders>
              <w:top w:val="single" w:color="auto" w:sz="4" w:space="0"/>
              <w:left w:val="nil"/>
              <w:bottom w:val="nil"/>
              <w:right w:val="nil"/>
            </w:tcBorders>
            <w:noWrap w:val="0"/>
            <w:vAlign w:val="center"/>
          </w:tcPr>
          <w:p w14:paraId="23237050">
            <w:pPr>
              <w:jc w:val="center"/>
              <w:rPr>
                <w:color w:val="000000"/>
                <w:sz w:val="22"/>
                <w:szCs w:val="22"/>
              </w:rPr>
            </w:pPr>
          </w:p>
        </w:tc>
        <w:tc>
          <w:tcPr>
            <w:tcW w:w="0" w:type="auto"/>
            <w:tcBorders>
              <w:top w:val="single" w:color="auto" w:sz="4" w:space="0"/>
              <w:left w:val="nil"/>
              <w:bottom w:val="nil"/>
              <w:right w:val="nil"/>
            </w:tcBorders>
            <w:noWrap/>
            <w:vAlign w:val="center"/>
          </w:tcPr>
          <w:p w14:paraId="4EE401C1">
            <w:pPr>
              <w:jc w:val="center"/>
              <w:rPr>
                <w:color w:val="000000"/>
                <w:sz w:val="22"/>
                <w:szCs w:val="22"/>
              </w:rPr>
            </w:pPr>
          </w:p>
        </w:tc>
        <w:tc>
          <w:tcPr>
            <w:tcW w:w="0" w:type="auto"/>
            <w:tcBorders>
              <w:top w:val="single" w:color="auto" w:sz="4" w:space="0"/>
              <w:left w:val="nil"/>
              <w:bottom w:val="nil"/>
              <w:right w:val="nil"/>
            </w:tcBorders>
            <w:noWrap w:val="0"/>
            <w:vAlign w:val="center"/>
          </w:tcPr>
          <w:p w14:paraId="6D885892">
            <w:pPr>
              <w:jc w:val="center"/>
              <w:rPr>
                <w:color w:val="000000"/>
                <w:sz w:val="22"/>
                <w:szCs w:val="22"/>
              </w:rPr>
            </w:pPr>
          </w:p>
        </w:tc>
        <w:tc>
          <w:tcPr>
            <w:tcW w:w="0" w:type="auto"/>
            <w:tcBorders>
              <w:top w:val="single" w:color="auto" w:sz="4" w:space="0"/>
              <w:left w:val="nil"/>
              <w:bottom w:val="nil"/>
              <w:right w:val="nil"/>
            </w:tcBorders>
            <w:noWrap/>
            <w:vAlign w:val="center"/>
          </w:tcPr>
          <w:p w14:paraId="354383C3">
            <w:pPr>
              <w:jc w:val="center"/>
              <w:rPr>
                <w:color w:val="000000"/>
                <w:sz w:val="22"/>
                <w:szCs w:val="22"/>
              </w:rPr>
            </w:pPr>
          </w:p>
        </w:tc>
        <w:tc>
          <w:tcPr>
            <w:tcW w:w="0" w:type="auto"/>
            <w:tcBorders>
              <w:top w:val="single" w:color="auto" w:sz="4" w:space="0"/>
              <w:left w:val="nil"/>
              <w:bottom w:val="nil"/>
              <w:right w:val="nil"/>
            </w:tcBorders>
            <w:noWrap w:val="0"/>
            <w:vAlign w:val="center"/>
          </w:tcPr>
          <w:p w14:paraId="3883B253">
            <w:pPr>
              <w:jc w:val="center"/>
              <w:rPr>
                <w:color w:val="000000"/>
                <w:sz w:val="22"/>
                <w:szCs w:val="22"/>
              </w:rPr>
            </w:pPr>
          </w:p>
        </w:tc>
        <w:tc>
          <w:tcPr>
            <w:tcW w:w="0" w:type="auto"/>
            <w:tcBorders>
              <w:top w:val="single" w:color="auto" w:sz="4" w:space="0"/>
              <w:left w:val="nil"/>
              <w:bottom w:val="nil"/>
              <w:right w:val="nil"/>
            </w:tcBorders>
            <w:noWrap w:val="0"/>
            <w:vAlign w:val="center"/>
          </w:tcPr>
          <w:p w14:paraId="1CF6544B">
            <w:pPr>
              <w:jc w:val="center"/>
              <w:rPr>
                <w:color w:val="000000"/>
                <w:sz w:val="22"/>
                <w:szCs w:val="22"/>
              </w:rPr>
            </w:pPr>
          </w:p>
        </w:tc>
        <w:tc>
          <w:tcPr>
            <w:tcW w:w="0" w:type="auto"/>
            <w:tcBorders>
              <w:top w:val="single" w:color="auto" w:sz="4" w:space="0"/>
              <w:left w:val="nil"/>
              <w:bottom w:val="nil"/>
              <w:right w:val="nil"/>
            </w:tcBorders>
            <w:noWrap w:val="0"/>
            <w:vAlign w:val="center"/>
          </w:tcPr>
          <w:p w14:paraId="013DBC42">
            <w:pPr>
              <w:jc w:val="center"/>
              <w:rPr>
                <w:color w:val="000000"/>
                <w:sz w:val="22"/>
                <w:szCs w:val="22"/>
              </w:rPr>
            </w:pPr>
          </w:p>
        </w:tc>
        <w:tc>
          <w:tcPr>
            <w:tcW w:w="0" w:type="auto"/>
            <w:tcBorders>
              <w:top w:val="single" w:color="auto" w:sz="4" w:space="0"/>
              <w:left w:val="nil"/>
              <w:bottom w:val="nil"/>
              <w:right w:val="nil"/>
            </w:tcBorders>
            <w:noWrap w:val="0"/>
            <w:vAlign w:val="center"/>
          </w:tcPr>
          <w:p w14:paraId="57BBB7E6">
            <w:pPr>
              <w:jc w:val="center"/>
              <w:rPr>
                <w:color w:val="000000"/>
                <w:sz w:val="22"/>
                <w:szCs w:val="22"/>
              </w:rPr>
            </w:pPr>
          </w:p>
        </w:tc>
        <w:tc>
          <w:tcPr>
            <w:tcW w:w="0" w:type="auto"/>
            <w:tcBorders>
              <w:top w:val="single" w:color="auto" w:sz="4" w:space="0"/>
              <w:left w:val="nil"/>
              <w:bottom w:val="nil"/>
              <w:right w:val="nil"/>
            </w:tcBorders>
            <w:noWrap w:val="0"/>
            <w:vAlign w:val="center"/>
          </w:tcPr>
          <w:p w14:paraId="428C4D53">
            <w:pPr>
              <w:jc w:val="center"/>
              <w:rPr>
                <w:color w:val="000000"/>
                <w:sz w:val="22"/>
                <w:szCs w:val="22"/>
              </w:rPr>
            </w:pPr>
          </w:p>
        </w:tc>
        <w:tc>
          <w:tcPr>
            <w:tcW w:w="0" w:type="auto"/>
            <w:tcBorders>
              <w:top w:val="single" w:color="auto" w:sz="4" w:space="0"/>
              <w:left w:val="nil"/>
              <w:bottom w:val="nil"/>
              <w:right w:val="nil"/>
            </w:tcBorders>
            <w:noWrap w:val="0"/>
            <w:vAlign w:val="center"/>
          </w:tcPr>
          <w:p w14:paraId="01C649F4">
            <w:pPr>
              <w:jc w:val="center"/>
              <w:rPr>
                <w:color w:val="000000"/>
                <w:sz w:val="22"/>
                <w:szCs w:val="22"/>
              </w:rPr>
            </w:pPr>
          </w:p>
        </w:tc>
        <w:tc>
          <w:tcPr>
            <w:tcW w:w="0" w:type="auto"/>
            <w:tcBorders>
              <w:top w:val="single" w:color="auto" w:sz="4" w:space="0"/>
              <w:left w:val="nil"/>
              <w:bottom w:val="nil"/>
              <w:right w:val="nil"/>
            </w:tcBorders>
            <w:noWrap w:val="0"/>
            <w:vAlign w:val="center"/>
          </w:tcPr>
          <w:p w14:paraId="5EDF3CE5">
            <w:pPr>
              <w:jc w:val="center"/>
              <w:rPr>
                <w:color w:val="000000"/>
                <w:sz w:val="22"/>
                <w:szCs w:val="22"/>
              </w:rPr>
            </w:pPr>
          </w:p>
        </w:tc>
      </w:tr>
      <w:tr w14:paraId="24A8B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tcBorders>
              <w:top w:val="nil"/>
            </w:tcBorders>
            <w:noWrap w:val="0"/>
            <w:vAlign w:val="center"/>
          </w:tcPr>
          <w:p w14:paraId="5FBB7DB5">
            <w:pPr>
              <w:pStyle w:val="20"/>
              <w:jc w:val="center"/>
              <w:rPr>
                <w:rFonts w:ascii="Times New Roman" w:hAnsi="Times New Roman" w:eastAsia="楷体_GB2312"/>
                <w:sz w:val="24"/>
                <w:szCs w:val="24"/>
              </w:rPr>
            </w:pPr>
            <w:r>
              <w:rPr>
                <w:rFonts w:ascii="Times New Roman" w:hAnsi="Times New Roman" w:eastAsia="楷体_GB2312"/>
                <w:sz w:val="24"/>
                <w:szCs w:val="24"/>
              </w:rPr>
              <w:t>16</w:t>
            </w:r>
          </w:p>
        </w:tc>
        <w:tc>
          <w:tcPr>
            <w:tcW w:w="0" w:type="auto"/>
            <w:vMerge w:val="restart"/>
            <w:tcBorders>
              <w:top w:val="nil"/>
            </w:tcBorders>
            <w:noWrap w:val="0"/>
            <w:vAlign w:val="center"/>
          </w:tcPr>
          <w:p w14:paraId="0863063F">
            <w:pPr>
              <w:pStyle w:val="20"/>
              <w:jc w:val="center"/>
              <w:rPr>
                <w:rFonts w:ascii="Times New Roman" w:hAnsi="Times New Roman" w:eastAsia="楷体_GB2312"/>
                <w:sz w:val="24"/>
                <w:szCs w:val="24"/>
              </w:rPr>
            </w:pPr>
            <w:r>
              <w:rPr>
                <w:rFonts w:ascii="Times New Roman" w:hAnsi="Times New Roman" w:eastAsia="楷体_GB2312"/>
                <w:sz w:val="24"/>
                <w:szCs w:val="24"/>
              </w:rPr>
              <w:t>永镇乡</w:t>
            </w:r>
          </w:p>
        </w:tc>
        <w:tc>
          <w:tcPr>
            <w:tcW w:w="0" w:type="auto"/>
            <w:tcBorders>
              <w:top w:val="nil"/>
            </w:tcBorders>
            <w:noWrap w:val="0"/>
            <w:vAlign w:val="center"/>
          </w:tcPr>
          <w:p w14:paraId="5D878623">
            <w:pPr>
              <w:pStyle w:val="20"/>
              <w:jc w:val="center"/>
              <w:rPr>
                <w:rFonts w:ascii="Times New Roman" w:hAnsi="Times New Roman" w:eastAsia="楷体_GB2312"/>
                <w:sz w:val="24"/>
                <w:szCs w:val="24"/>
              </w:rPr>
            </w:pPr>
            <w:r>
              <w:rPr>
                <w:rFonts w:ascii="Times New Roman" w:hAnsi="Times New Roman" w:eastAsia="楷体_GB2312"/>
                <w:sz w:val="24"/>
                <w:szCs w:val="24"/>
              </w:rPr>
              <w:t>1</w:t>
            </w:r>
          </w:p>
        </w:tc>
        <w:tc>
          <w:tcPr>
            <w:tcW w:w="0" w:type="auto"/>
            <w:tcBorders>
              <w:top w:val="nil"/>
            </w:tcBorders>
            <w:noWrap/>
            <w:vAlign w:val="center"/>
          </w:tcPr>
          <w:p w14:paraId="1EAEEF88">
            <w:pPr>
              <w:jc w:val="center"/>
              <w:rPr>
                <w:color w:val="000000"/>
                <w:sz w:val="22"/>
                <w:szCs w:val="22"/>
              </w:rPr>
            </w:pPr>
            <w:r>
              <w:rPr>
                <w:color w:val="000000"/>
                <w:sz w:val="22"/>
                <w:szCs w:val="22"/>
              </w:rPr>
              <w:t>305</w:t>
            </w:r>
          </w:p>
        </w:tc>
        <w:tc>
          <w:tcPr>
            <w:tcW w:w="0" w:type="auto"/>
            <w:tcBorders>
              <w:top w:val="nil"/>
            </w:tcBorders>
            <w:noWrap w:val="0"/>
            <w:vAlign w:val="center"/>
          </w:tcPr>
          <w:p w14:paraId="70C286B4">
            <w:pPr>
              <w:jc w:val="center"/>
              <w:rPr>
                <w:color w:val="000000"/>
                <w:sz w:val="22"/>
                <w:szCs w:val="22"/>
              </w:rPr>
            </w:pPr>
            <w:r>
              <w:rPr>
                <w:color w:val="000000"/>
                <w:sz w:val="22"/>
                <w:szCs w:val="22"/>
              </w:rPr>
              <w:t>20.33</w:t>
            </w:r>
          </w:p>
        </w:tc>
        <w:tc>
          <w:tcPr>
            <w:tcW w:w="0" w:type="auto"/>
            <w:tcBorders>
              <w:top w:val="nil"/>
            </w:tcBorders>
            <w:noWrap/>
            <w:vAlign w:val="center"/>
          </w:tcPr>
          <w:p w14:paraId="5373F80C">
            <w:pPr>
              <w:jc w:val="center"/>
              <w:rPr>
                <w:color w:val="000000"/>
                <w:sz w:val="22"/>
                <w:szCs w:val="22"/>
              </w:rPr>
            </w:pPr>
            <w:r>
              <w:rPr>
                <w:color w:val="000000"/>
                <w:sz w:val="22"/>
                <w:szCs w:val="22"/>
              </w:rPr>
              <w:t>285</w:t>
            </w:r>
          </w:p>
        </w:tc>
        <w:tc>
          <w:tcPr>
            <w:tcW w:w="0" w:type="auto"/>
            <w:tcBorders>
              <w:top w:val="nil"/>
            </w:tcBorders>
            <w:noWrap w:val="0"/>
            <w:vAlign w:val="center"/>
          </w:tcPr>
          <w:p w14:paraId="315F2C1A">
            <w:pPr>
              <w:jc w:val="center"/>
              <w:rPr>
                <w:color w:val="000000"/>
                <w:sz w:val="22"/>
                <w:szCs w:val="22"/>
              </w:rPr>
            </w:pPr>
            <w:r>
              <w:rPr>
                <w:color w:val="000000"/>
                <w:sz w:val="22"/>
                <w:szCs w:val="22"/>
              </w:rPr>
              <w:t>19.00</w:t>
            </w:r>
          </w:p>
        </w:tc>
        <w:tc>
          <w:tcPr>
            <w:tcW w:w="0" w:type="auto"/>
            <w:tcBorders>
              <w:top w:val="nil"/>
            </w:tcBorders>
            <w:noWrap/>
            <w:vAlign w:val="center"/>
          </w:tcPr>
          <w:p w14:paraId="79A6299F">
            <w:pPr>
              <w:jc w:val="center"/>
              <w:rPr>
                <w:color w:val="000000"/>
                <w:sz w:val="22"/>
                <w:szCs w:val="22"/>
              </w:rPr>
            </w:pPr>
            <w:r>
              <w:rPr>
                <w:color w:val="000000"/>
                <w:sz w:val="22"/>
                <w:szCs w:val="22"/>
              </w:rPr>
              <w:t>275</w:t>
            </w:r>
          </w:p>
        </w:tc>
        <w:tc>
          <w:tcPr>
            <w:tcW w:w="0" w:type="auto"/>
            <w:tcBorders>
              <w:top w:val="nil"/>
            </w:tcBorders>
            <w:noWrap w:val="0"/>
            <w:vAlign w:val="center"/>
          </w:tcPr>
          <w:p w14:paraId="3DEC0FCF">
            <w:pPr>
              <w:jc w:val="center"/>
              <w:rPr>
                <w:color w:val="000000"/>
                <w:sz w:val="22"/>
                <w:szCs w:val="22"/>
              </w:rPr>
            </w:pPr>
            <w:r>
              <w:rPr>
                <w:color w:val="000000"/>
                <w:sz w:val="22"/>
                <w:szCs w:val="22"/>
              </w:rPr>
              <w:t>18.33</w:t>
            </w:r>
          </w:p>
        </w:tc>
        <w:tc>
          <w:tcPr>
            <w:tcW w:w="0" w:type="auto"/>
            <w:tcBorders>
              <w:top w:val="nil"/>
            </w:tcBorders>
            <w:noWrap w:val="0"/>
            <w:vAlign w:val="center"/>
          </w:tcPr>
          <w:p w14:paraId="7E4B57BF">
            <w:pPr>
              <w:jc w:val="center"/>
              <w:rPr>
                <w:color w:val="000000"/>
                <w:sz w:val="22"/>
                <w:szCs w:val="22"/>
              </w:rPr>
            </w:pPr>
            <w:r>
              <w:rPr>
                <w:color w:val="000000"/>
                <w:sz w:val="22"/>
                <w:szCs w:val="22"/>
              </w:rPr>
              <w:t>265</w:t>
            </w:r>
          </w:p>
        </w:tc>
        <w:tc>
          <w:tcPr>
            <w:tcW w:w="0" w:type="auto"/>
            <w:tcBorders>
              <w:top w:val="nil"/>
            </w:tcBorders>
            <w:noWrap w:val="0"/>
            <w:vAlign w:val="center"/>
          </w:tcPr>
          <w:p w14:paraId="1B3E0A5B">
            <w:pPr>
              <w:jc w:val="center"/>
              <w:rPr>
                <w:color w:val="000000"/>
                <w:sz w:val="22"/>
                <w:szCs w:val="22"/>
              </w:rPr>
            </w:pPr>
            <w:r>
              <w:rPr>
                <w:color w:val="000000"/>
                <w:sz w:val="22"/>
                <w:szCs w:val="22"/>
              </w:rPr>
              <w:t>17.67</w:t>
            </w:r>
          </w:p>
        </w:tc>
        <w:tc>
          <w:tcPr>
            <w:tcW w:w="0" w:type="auto"/>
            <w:tcBorders>
              <w:top w:val="nil"/>
            </w:tcBorders>
            <w:noWrap w:val="0"/>
            <w:vAlign w:val="center"/>
          </w:tcPr>
          <w:p w14:paraId="0DE5741C">
            <w:pPr>
              <w:jc w:val="center"/>
              <w:rPr>
                <w:color w:val="000000"/>
                <w:sz w:val="22"/>
                <w:szCs w:val="22"/>
              </w:rPr>
            </w:pPr>
            <w:r>
              <w:rPr>
                <w:color w:val="000000"/>
                <w:sz w:val="22"/>
                <w:szCs w:val="22"/>
              </w:rPr>
              <w:t>255</w:t>
            </w:r>
          </w:p>
        </w:tc>
        <w:tc>
          <w:tcPr>
            <w:tcW w:w="0" w:type="auto"/>
            <w:tcBorders>
              <w:top w:val="nil"/>
            </w:tcBorders>
            <w:noWrap w:val="0"/>
            <w:vAlign w:val="center"/>
          </w:tcPr>
          <w:p w14:paraId="0A9192DB">
            <w:pPr>
              <w:jc w:val="center"/>
              <w:rPr>
                <w:color w:val="000000"/>
                <w:sz w:val="22"/>
                <w:szCs w:val="22"/>
              </w:rPr>
            </w:pPr>
            <w:r>
              <w:rPr>
                <w:color w:val="000000"/>
                <w:sz w:val="22"/>
                <w:szCs w:val="22"/>
              </w:rPr>
              <w:t>17.00</w:t>
            </w:r>
          </w:p>
        </w:tc>
        <w:tc>
          <w:tcPr>
            <w:tcW w:w="0" w:type="auto"/>
            <w:tcBorders>
              <w:top w:val="nil"/>
            </w:tcBorders>
            <w:noWrap w:val="0"/>
            <w:vAlign w:val="center"/>
          </w:tcPr>
          <w:p w14:paraId="7777290F">
            <w:pPr>
              <w:jc w:val="center"/>
              <w:rPr>
                <w:color w:val="000000"/>
                <w:sz w:val="22"/>
                <w:szCs w:val="22"/>
              </w:rPr>
            </w:pPr>
            <w:r>
              <w:rPr>
                <w:color w:val="000000"/>
                <w:sz w:val="22"/>
                <w:szCs w:val="22"/>
              </w:rPr>
              <w:t>235</w:t>
            </w:r>
          </w:p>
        </w:tc>
        <w:tc>
          <w:tcPr>
            <w:tcW w:w="0" w:type="auto"/>
            <w:tcBorders>
              <w:top w:val="nil"/>
            </w:tcBorders>
            <w:noWrap w:val="0"/>
            <w:vAlign w:val="center"/>
          </w:tcPr>
          <w:p w14:paraId="4385A0DB">
            <w:pPr>
              <w:jc w:val="center"/>
              <w:rPr>
                <w:color w:val="000000"/>
                <w:sz w:val="22"/>
                <w:szCs w:val="22"/>
              </w:rPr>
            </w:pPr>
            <w:r>
              <w:rPr>
                <w:color w:val="000000"/>
                <w:sz w:val="22"/>
                <w:szCs w:val="22"/>
              </w:rPr>
              <w:t>15.67</w:t>
            </w:r>
          </w:p>
        </w:tc>
      </w:tr>
      <w:tr w14:paraId="13DF7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4970CA80">
            <w:pPr>
              <w:pStyle w:val="20"/>
              <w:jc w:val="center"/>
              <w:rPr>
                <w:rFonts w:ascii="Times New Roman" w:hAnsi="Times New Roman" w:eastAsia="楷体_GB2312"/>
                <w:sz w:val="24"/>
                <w:szCs w:val="24"/>
              </w:rPr>
            </w:pPr>
          </w:p>
        </w:tc>
        <w:tc>
          <w:tcPr>
            <w:tcW w:w="0" w:type="auto"/>
            <w:vMerge w:val="continue"/>
            <w:noWrap w:val="0"/>
            <w:vAlign w:val="center"/>
          </w:tcPr>
          <w:p w14:paraId="0DADA946">
            <w:pPr>
              <w:pStyle w:val="20"/>
              <w:jc w:val="center"/>
              <w:rPr>
                <w:rFonts w:ascii="Times New Roman" w:hAnsi="Times New Roman" w:eastAsia="楷体_GB2312"/>
                <w:sz w:val="24"/>
                <w:szCs w:val="24"/>
              </w:rPr>
            </w:pPr>
          </w:p>
        </w:tc>
        <w:tc>
          <w:tcPr>
            <w:tcW w:w="0" w:type="auto"/>
            <w:noWrap w:val="0"/>
            <w:vAlign w:val="center"/>
          </w:tcPr>
          <w:p w14:paraId="7B6DA5E8">
            <w:pPr>
              <w:pStyle w:val="20"/>
              <w:jc w:val="center"/>
              <w:rPr>
                <w:rFonts w:ascii="Times New Roman" w:hAnsi="Times New Roman" w:eastAsia="楷体_GB2312"/>
                <w:sz w:val="24"/>
                <w:szCs w:val="24"/>
              </w:rPr>
            </w:pPr>
            <w:r>
              <w:rPr>
                <w:rFonts w:ascii="Times New Roman" w:hAnsi="Times New Roman" w:eastAsia="楷体_GB2312"/>
                <w:sz w:val="24"/>
                <w:szCs w:val="24"/>
              </w:rPr>
              <w:t>2</w:t>
            </w:r>
          </w:p>
        </w:tc>
        <w:tc>
          <w:tcPr>
            <w:tcW w:w="0" w:type="auto"/>
            <w:noWrap/>
            <w:vAlign w:val="center"/>
          </w:tcPr>
          <w:p w14:paraId="4BB75681">
            <w:pPr>
              <w:jc w:val="center"/>
              <w:rPr>
                <w:color w:val="000000"/>
                <w:sz w:val="22"/>
                <w:szCs w:val="22"/>
              </w:rPr>
            </w:pPr>
            <w:r>
              <w:rPr>
                <w:color w:val="000000"/>
                <w:sz w:val="22"/>
                <w:szCs w:val="22"/>
              </w:rPr>
              <w:t>245</w:t>
            </w:r>
          </w:p>
        </w:tc>
        <w:tc>
          <w:tcPr>
            <w:tcW w:w="0" w:type="auto"/>
            <w:noWrap w:val="0"/>
            <w:vAlign w:val="center"/>
          </w:tcPr>
          <w:p w14:paraId="1555FAD6">
            <w:pPr>
              <w:jc w:val="center"/>
              <w:rPr>
                <w:color w:val="000000"/>
                <w:sz w:val="22"/>
                <w:szCs w:val="22"/>
              </w:rPr>
            </w:pPr>
            <w:r>
              <w:rPr>
                <w:color w:val="000000"/>
                <w:sz w:val="22"/>
                <w:szCs w:val="22"/>
              </w:rPr>
              <w:t>16.33</w:t>
            </w:r>
          </w:p>
        </w:tc>
        <w:tc>
          <w:tcPr>
            <w:tcW w:w="0" w:type="auto"/>
            <w:noWrap/>
            <w:vAlign w:val="center"/>
          </w:tcPr>
          <w:p w14:paraId="1F21E903">
            <w:pPr>
              <w:jc w:val="center"/>
              <w:rPr>
                <w:color w:val="000000"/>
                <w:sz w:val="22"/>
                <w:szCs w:val="22"/>
              </w:rPr>
            </w:pPr>
            <w:r>
              <w:rPr>
                <w:color w:val="000000"/>
                <w:sz w:val="22"/>
                <w:szCs w:val="22"/>
              </w:rPr>
              <w:t>235</w:t>
            </w:r>
          </w:p>
        </w:tc>
        <w:tc>
          <w:tcPr>
            <w:tcW w:w="0" w:type="auto"/>
            <w:noWrap w:val="0"/>
            <w:vAlign w:val="center"/>
          </w:tcPr>
          <w:p w14:paraId="0AE27D45">
            <w:pPr>
              <w:jc w:val="center"/>
              <w:rPr>
                <w:color w:val="000000"/>
                <w:sz w:val="22"/>
                <w:szCs w:val="22"/>
              </w:rPr>
            </w:pPr>
            <w:r>
              <w:rPr>
                <w:color w:val="000000"/>
                <w:sz w:val="22"/>
                <w:szCs w:val="22"/>
              </w:rPr>
              <w:t>15.67</w:t>
            </w:r>
          </w:p>
        </w:tc>
        <w:tc>
          <w:tcPr>
            <w:tcW w:w="0" w:type="auto"/>
            <w:noWrap/>
            <w:vAlign w:val="center"/>
          </w:tcPr>
          <w:p w14:paraId="4E6B7307">
            <w:pPr>
              <w:jc w:val="center"/>
              <w:rPr>
                <w:color w:val="000000"/>
                <w:sz w:val="22"/>
                <w:szCs w:val="22"/>
              </w:rPr>
            </w:pPr>
            <w:r>
              <w:rPr>
                <w:color w:val="000000"/>
                <w:sz w:val="22"/>
                <w:szCs w:val="22"/>
              </w:rPr>
              <w:t>225</w:t>
            </w:r>
          </w:p>
        </w:tc>
        <w:tc>
          <w:tcPr>
            <w:tcW w:w="0" w:type="auto"/>
            <w:noWrap w:val="0"/>
            <w:vAlign w:val="center"/>
          </w:tcPr>
          <w:p w14:paraId="54657D0C">
            <w:pPr>
              <w:jc w:val="center"/>
              <w:rPr>
                <w:color w:val="000000"/>
                <w:sz w:val="22"/>
                <w:szCs w:val="22"/>
              </w:rPr>
            </w:pPr>
            <w:r>
              <w:rPr>
                <w:color w:val="000000"/>
                <w:sz w:val="22"/>
                <w:szCs w:val="22"/>
              </w:rPr>
              <w:t>15.00</w:t>
            </w:r>
          </w:p>
        </w:tc>
        <w:tc>
          <w:tcPr>
            <w:tcW w:w="0" w:type="auto"/>
            <w:noWrap w:val="0"/>
            <w:vAlign w:val="center"/>
          </w:tcPr>
          <w:p w14:paraId="5F589B28">
            <w:pPr>
              <w:jc w:val="center"/>
              <w:rPr>
                <w:color w:val="000000"/>
                <w:sz w:val="22"/>
                <w:szCs w:val="22"/>
              </w:rPr>
            </w:pPr>
            <w:r>
              <w:rPr>
                <w:color w:val="000000"/>
                <w:sz w:val="22"/>
                <w:szCs w:val="22"/>
              </w:rPr>
              <w:t>220</w:t>
            </w:r>
          </w:p>
        </w:tc>
        <w:tc>
          <w:tcPr>
            <w:tcW w:w="0" w:type="auto"/>
            <w:noWrap w:val="0"/>
            <w:vAlign w:val="center"/>
          </w:tcPr>
          <w:p w14:paraId="3C39EDD9">
            <w:pPr>
              <w:jc w:val="center"/>
              <w:rPr>
                <w:color w:val="000000"/>
                <w:sz w:val="22"/>
                <w:szCs w:val="22"/>
              </w:rPr>
            </w:pPr>
            <w:r>
              <w:rPr>
                <w:color w:val="000000"/>
                <w:sz w:val="22"/>
                <w:szCs w:val="22"/>
              </w:rPr>
              <w:t>14.67</w:t>
            </w:r>
          </w:p>
        </w:tc>
        <w:tc>
          <w:tcPr>
            <w:tcW w:w="0" w:type="auto"/>
            <w:noWrap w:val="0"/>
            <w:vAlign w:val="center"/>
          </w:tcPr>
          <w:p w14:paraId="2A8FFC23">
            <w:pPr>
              <w:jc w:val="center"/>
              <w:rPr>
                <w:color w:val="000000"/>
                <w:sz w:val="22"/>
                <w:szCs w:val="22"/>
              </w:rPr>
            </w:pPr>
            <w:r>
              <w:rPr>
                <w:color w:val="000000"/>
                <w:sz w:val="22"/>
                <w:szCs w:val="22"/>
              </w:rPr>
              <w:t>215</w:t>
            </w:r>
          </w:p>
        </w:tc>
        <w:tc>
          <w:tcPr>
            <w:tcW w:w="0" w:type="auto"/>
            <w:noWrap w:val="0"/>
            <w:vAlign w:val="center"/>
          </w:tcPr>
          <w:p w14:paraId="576A20AC">
            <w:pPr>
              <w:jc w:val="center"/>
              <w:rPr>
                <w:color w:val="000000"/>
                <w:sz w:val="22"/>
                <w:szCs w:val="22"/>
              </w:rPr>
            </w:pPr>
            <w:r>
              <w:rPr>
                <w:color w:val="000000"/>
                <w:sz w:val="22"/>
                <w:szCs w:val="22"/>
              </w:rPr>
              <w:t>14.33</w:t>
            </w:r>
          </w:p>
        </w:tc>
        <w:tc>
          <w:tcPr>
            <w:tcW w:w="0" w:type="auto"/>
            <w:noWrap w:val="0"/>
            <w:vAlign w:val="center"/>
          </w:tcPr>
          <w:p w14:paraId="67537F9F">
            <w:pPr>
              <w:jc w:val="center"/>
              <w:rPr>
                <w:color w:val="000000"/>
                <w:sz w:val="22"/>
                <w:szCs w:val="22"/>
              </w:rPr>
            </w:pPr>
            <w:r>
              <w:rPr>
                <w:color w:val="000000"/>
                <w:sz w:val="22"/>
                <w:szCs w:val="22"/>
              </w:rPr>
              <w:t>205</w:t>
            </w:r>
          </w:p>
        </w:tc>
        <w:tc>
          <w:tcPr>
            <w:tcW w:w="0" w:type="auto"/>
            <w:noWrap w:val="0"/>
            <w:vAlign w:val="center"/>
          </w:tcPr>
          <w:p w14:paraId="76BB6C01">
            <w:pPr>
              <w:jc w:val="center"/>
              <w:rPr>
                <w:color w:val="000000"/>
                <w:sz w:val="22"/>
                <w:szCs w:val="22"/>
              </w:rPr>
            </w:pPr>
            <w:r>
              <w:rPr>
                <w:color w:val="000000"/>
                <w:sz w:val="22"/>
                <w:szCs w:val="22"/>
              </w:rPr>
              <w:t>13.67</w:t>
            </w:r>
          </w:p>
        </w:tc>
      </w:tr>
      <w:tr w14:paraId="4329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0A51D94F">
            <w:pPr>
              <w:pStyle w:val="20"/>
              <w:jc w:val="center"/>
              <w:rPr>
                <w:rFonts w:ascii="Times New Roman" w:hAnsi="Times New Roman" w:eastAsia="楷体_GB2312"/>
                <w:sz w:val="24"/>
                <w:szCs w:val="24"/>
              </w:rPr>
            </w:pPr>
          </w:p>
        </w:tc>
        <w:tc>
          <w:tcPr>
            <w:tcW w:w="0" w:type="auto"/>
            <w:vMerge w:val="continue"/>
            <w:noWrap w:val="0"/>
            <w:vAlign w:val="center"/>
          </w:tcPr>
          <w:p w14:paraId="77ED99B4">
            <w:pPr>
              <w:pStyle w:val="20"/>
              <w:jc w:val="center"/>
              <w:rPr>
                <w:rFonts w:ascii="Times New Roman" w:hAnsi="Times New Roman" w:eastAsia="楷体_GB2312"/>
                <w:sz w:val="24"/>
                <w:szCs w:val="24"/>
              </w:rPr>
            </w:pPr>
          </w:p>
        </w:tc>
        <w:tc>
          <w:tcPr>
            <w:tcW w:w="0" w:type="auto"/>
            <w:noWrap w:val="0"/>
            <w:vAlign w:val="center"/>
          </w:tcPr>
          <w:p w14:paraId="43BAE002">
            <w:pPr>
              <w:pStyle w:val="20"/>
              <w:jc w:val="center"/>
              <w:rPr>
                <w:rFonts w:ascii="Times New Roman" w:hAnsi="Times New Roman" w:eastAsia="楷体_GB2312"/>
                <w:sz w:val="24"/>
                <w:szCs w:val="24"/>
              </w:rPr>
            </w:pPr>
            <w:r>
              <w:rPr>
                <w:rFonts w:ascii="Times New Roman" w:hAnsi="Times New Roman" w:eastAsia="楷体_GB2312"/>
                <w:sz w:val="24"/>
                <w:szCs w:val="24"/>
              </w:rPr>
              <w:t>3</w:t>
            </w:r>
          </w:p>
        </w:tc>
        <w:tc>
          <w:tcPr>
            <w:tcW w:w="0" w:type="auto"/>
            <w:noWrap/>
            <w:vAlign w:val="center"/>
          </w:tcPr>
          <w:p w14:paraId="3AA21173">
            <w:pPr>
              <w:jc w:val="center"/>
              <w:rPr>
                <w:sz w:val="22"/>
                <w:szCs w:val="22"/>
              </w:rPr>
            </w:pPr>
            <w:r>
              <w:rPr>
                <w:sz w:val="22"/>
                <w:szCs w:val="22"/>
              </w:rPr>
              <w:t>190</w:t>
            </w:r>
          </w:p>
        </w:tc>
        <w:tc>
          <w:tcPr>
            <w:tcW w:w="0" w:type="auto"/>
            <w:noWrap w:val="0"/>
            <w:vAlign w:val="center"/>
          </w:tcPr>
          <w:p w14:paraId="5A5B12B1">
            <w:pPr>
              <w:jc w:val="center"/>
              <w:rPr>
                <w:color w:val="000000"/>
                <w:sz w:val="22"/>
                <w:szCs w:val="22"/>
              </w:rPr>
            </w:pPr>
            <w:r>
              <w:rPr>
                <w:color w:val="000000"/>
                <w:sz w:val="22"/>
                <w:szCs w:val="22"/>
              </w:rPr>
              <w:t>12.67</w:t>
            </w:r>
          </w:p>
        </w:tc>
        <w:tc>
          <w:tcPr>
            <w:tcW w:w="0" w:type="auto"/>
            <w:noWrap/>
            <w:vAlign w:val="center"/>
          </w:tcPr>
          <w:p w14:paraId="0D5BE374">
            <w:pPr>
              <w:jc w:val="center"/>
              <w:rPr>
                <w:sz w:val="22"/>
                <w:szCs w:val="22"/>
              </w:rPr>
            </w:pPr>
            <w:r>
              <w:rPr>
                <w:sz w:val="22"/>
                <w:szCs w:val="22"/>
              </w:rPr>
              <w:t>185</w:t>
            </w:r>
          </w:p>
        </w:tc>
        <w:tc>
          <w:tcPr>
            <w:tcW w:w="0" w:type="auto"/>
            <w:noWrap w:val="0"/>
            <w:vAlign w:val="center"/>
          </w:tcPr>
          <w:p w14:paraId="54757875">
            <w:pPr>
              <w:jc w:val="center"/>
              <w:rPr>
                <w:color w:val="000000"/>
                <w:sz w:val="22"/>
                <w:szCs w:val="22"/>
              </w:rPr>
            </w:pPr>
            <w:r>
              <w:rPr>
                <w:color w:val="000000"/>
                <w:sz w:val="22"/>
                <w:szCs w:val="22"/>
              </w:rPr>
              <w:t>12.33</w:t>
            </w:r>
          </w:p>
        </w:tc>
        <w:tc>
          <w:tcPr>
            <w:tcW w:w="0" w:type="auto"/>
            <w:noWrap/>
            <w:vAlign w:val="center"/>
          </w:tcPr>
          <w:p w14:paraId="1F3CD6F6">
            <w:pPr>
              <w:jc w:val="center"/>
              <w:rPr>
                <w:sz w:val="22"/>
                <w:szCs w:val="22"/>
              </w:rPr>
            </w:pPr>
            <w:r>
              <w:rPr>
                <w:sz w:val="22"/>
                <w:szCs w:val="22"/>
              </w:rPr>
              <w:t>180</w:t>
            </w:r>
          </w:p>
        </w:tc>
        <w:tc>
          <w:tcPr>
            <w:tcW w:w="0" w:type="auto"/>
            <w:noWrap w:val="0"/>
            <w:vAlign w:val="center"/>
          </w:tcPr>
          <w:p w14:paraId="4752DEAA">
            <w:pPr>
              <w:jc w:val="center"/>
              <w:rPr>
                <w:color w:val="000000"/>
                <w:sz w:val="22"/>
                <w:szCs w:val="22"/>
              </w:rPr>
            </w:pPr>
            <w:r>
              <w:rPr>
                <w:color w:val="000000"/>
                <w:sz w:val="22"/>
                <w:szCs w:val="22"/>
              </w:rPr>
              <w:t>12.00</w:t>
            </w:r>
          </w:p>
        </w:tc>
        <w:tc>
          <w:tcPr>
            <w:tcW w:w="0" w:type="auto"/>
            <w:noWrap w:val="0"/>
            <w:vAlign w:val="center"/>
          </w:tcPr>
          <w:p w14:paraId="7C297B04">
            <w:pPr>
              <w:jc w:val="center"/>
              <w:rPr>
                <w:sz w:val="22"/>
                <w:szCs w:val="22"/>
              </w:rPr>
            </w:pPr>
            <w:r>
              <w:rPr>
                <w:sz w:val="22"/>
                <w:szCs w:val="22"/>
              </w:rPr>
              <w:t>175</w:t>
            </w:r>
          </w:p>
        </w:tc>
        <w:tc>
          <w:tcPr>
            <w:tcW w:w="0" w:type="auto"/>
            <w:noWrap w:val="0"/>
            <w:vAlign w:val="center"/>
          </w:tcPr>
          <w:p w14:paraId="58E7309D">
            <w:pPr>
              <w:jc w:val="center"/>
              <w:rPr>
                <w:color w:val="000000"/>
                <w:sz w:val="22"/>
                <w:szCs w:val="22"/>
              </w:rPr>
            </w:pPr>
            <w:r>
              <w:rPr>
                <w:color w:val="000000"/>
                <w:sz w:val="22"/>
                <w:szCs w:val="22"/>
              </w:rPr>
              <w:t>11.67</w:t>
            </w:r>
          </w:p>
        </w:tc>
        <w:tc>
          <w:tcPr>
            <w:tcW w:w="0" w:type="auto"/>
            <w:noWrap w:val="0"/>
            <w:vAlign w:val="center"/>
          </w:tcPr>
          <w:p w14:paraId="14B5285A">
            <w:pPr>
              <w:jc w:val="center"/>
              <w:rPr>
                <w:sz w:val="22"/>
                <w:szCs w:val="22"/>
              </w:rPr>
            </w:pPr>
            <w:r>
              <w:rPr>
                <w:sz w:val="22"/>
                <w:szCs w:val="22"/>
              </w:rPr>
              <w:t>170</w:t>
            </w:r>
          </w:p>
        </w:tc>
        <w:tc>
          <w:tcPr>
            <w:tcW w:w="0" w:type="auto"/>
            <w:noWrap w:val="0"/>
            <w:vAlign w:val="center"/>
          </w:tcPr>
          <w:p w14:paraId="0D13F19B">
            <w:pPr>
              <w:jc w:val="center"/>
              <w:rPr>
                <w:color w:val="000000"/>
                <w:sz w:val="22"/>
                <w:szCs w:val="22"/>
              </w:rPr>
            </w:pPr>
            <w:r>
              <w:rPr>
                <w:color w:val="000000"/>
                <w:sz w:val="22"/>
                <w:szCs w:val="22"/>
              </w:rPr>
              <w:t>11.33</w:t>
            </w:r>
          </w:p>
        </w:tc>
        <w:tc>
          <w:tcPr>
            <w:tcW w:w="0" w:type="auto"/>
            <w:noWrap w:val="0"/>
            <w:vAlign w:val="center"/>
          </w:tcPr>
          <w:p w14:paraId="185971EA">
            <w:pPr>
              <w:jc w:val="center"/>
              <w:rPr>
                <w:sz w:val="22"/>
                <w:szCs w:val="22"/>
              </w:rPr>
            </w:pPr>
            <w:r>
              <w:rPr>
                <w:sz w:val="22"/>
                <w:szCs w:val="22"/>
              </w:rPr>
              <w:t>165</w:t>
            </w:r>
          </w:p>
        </w:tc>
        <w:tc>
          <w:tcPr>
            <w:tcW w:w="0" w:type="auto"/>
            <w:noWrap w:val="0"/>
            <w:vAlign w:val="center"/>
          </w:tcPr>
          <w:p w14:paraId="7758A792">
            <w:pPr>
              <w:jc w:val="center"/>
              <w:rPr>
                <w:color w:val="000000"/>
                <w:sz w:val="22"/>
                <w:szCs w:val="22"/>
              </w:rPr>
            </w:pPr>
            <w:r>
              <w:rPr>
                <w:color w:val="000000"/>
                <w:sz w:val="22"/>
                <w:szCs w:val="22"/>
              </w:rPr>
              <w:t>11.00</w:t>
            </w:r>
          </w:p>
        </w:tc>
      </w:tr>
      <w:tr w14:paraId="45AB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4C1FD72D">
            <w:pPr>
              <w:pStyle w:val="20"/>
              <w:jc w:val="center"/>
              <w:rPr>
                <w:rFonts w:ascii="Times New Roman" w:hAnsi="Times New Roman" w:eastAsia="楷体_GB2312"/>
                <w:sz w:val="24"/>
                <w:szCs w:val="24"/>
              </w:rPr>
            </w:pPr>
            <w:r>
              <w:rPr>
                <w:rFonts w:ascii="Times New Roman" w:hAnsi="Times New Roman" w:eastAsia="楷体_GB2312"/>
                <w:sz w:val="24"/>
                <w:szCs w:val="24"/>
              </w:rPr>
              <w:t>17</w:t>
            </w:r>
          </w:p>
        </w:tc>
        <w:tc>
          <w:tcPr>
            <w:tcW w:w="0" w:type="auto"/>
            <w:vMerge w:val="restart"/>
            <w:noWrap w:val="0"/>
            <w:vAlign w:val="center"/>
          </w:tcPr>
          <w:p w14:paraId="5ACA2E5E">
            <w:pPr>
              <w:pStyle w:val="20"/>
              <w:jc w:val="center"/>
              <w:rPr>
                <w:rFonts w:ascii="Times New Roman" w:hAnsi="Times New Roman" w:eastAsia="楷体_GB2312"/>
                <w:sz w:val="24"/>
                <w:szCs w:val="24"/>
              </w:rPr>
            </w:pPr>
            <w:r>
              <w:rPr>
                <w:rFonts w:ascii="Times New Roman" w:hAnsi="Times New Roman" w:eastAsia="楷体_GB2312"/>
                <w:sz w:val="24"/>
                <w:szCs w:val="24"/>
              </w:rPr>
              <w:t>解集镇</w:t>
            </w:r>
          </w:p>
        </w:tc>
        <w:tc>
          <w:tcPr>
            <w:tcW w:w="0" w:type="auto"/>
            <w:noWrap w:val="0"/>
            <w:vAlign w:val="center"/>
          </w:tcPr>
          <w:p w14:paraId="765EA7B6">
            <w:pPr>
              <w:pStyle w:val="20"/>
              <w:jc w:val="center"/>
              <w:rPr>
                <w:rFonts w:ascii="Times New Roman" w:hAnsi="Times New Roman" w:eastAsia="楷体_GB2312"/>
                <w:sz w:val="24"/>
                <w:szCs w:val="24"/>
              </w:rPr>
            </w:pPr>
            <w:r>
              <w:rPr>
                <w:rFonts w:ascii="Times New Roman" w:hAnsi="Times New Roman" w:eastAsia="楷体_GB2312"/>
                <w:sz w:val="24"/>
                <w:szCs w:val="24"/>
              </w:rPr>
              <w:t>1</w:t>
            </w:r>
          </w:p>
        </w:tc>
        <w:tc>
          <w:tcPr>
            <w:tcW w:w="0" w:type="auto"/>
            <w:noWrap/>
            <w:vAlign w:val="center"/>
          </w:tcPr>
          <w:p w14:paraId="182911EF">
            <w:pPr>
              <w:jc w:val="center"/>
              <w:rPr>
                <w:sz w:val="22"/>
                <w:szCs w:val="22"/>
              </w:rPr>
            </w:pPr>
            <w:r>
              <w:rPr>
                <w:sz w:val="22"/>
                <w:szCs w:val="22"/>
              </w:rPr>
              <w:t>310</w:t>
            </w:r>
          </w:p>
        </w:tc>
        <w:tc>
          <w:tcPr>
            <w:tcW w:w="0" w:type="auto"/>
            <w:noWrap w:val="0"/>
            <w:vAlign w:val="center"/>
          </w:tcPr>
          <w:p w14:paraId="6A00E146">
            <w:pPr>
              <w:jc w:val="center"/>
              <w:rPr>
                <w:color w:val="000000"/>
                <w:sz w:val="22"/>
                <w:szCs w:val="22"/>
              </w:rPr>
            </w:pPr>
            <w:r>
              <w:rPr>
                <w:color w:val="000000"/>
                <w:sz w:val="22"/>
                <w:szCs w:val="22"/>
              </w:rPr>
              <w:t>20.67</w:t>
            </w:r>
          </w:p>
        </w:tc>
        <w:tc>
          <w:tcPr>
            <w:tcW w:w="0" w:type="auto"/>
            <w:noWrap/>
            <w:vAlign w:val="center"/>
          </w:tcPr>
          <w:p w14:paraId="335632A4">
            <w:pPr>
              <w:jc w:val="center"/>
              <w:rPr>
                <w:sz w:val="22"/>
                <w:szCs w:val="22"/>
              </w:rPr>
            </w:pPr>
            <w:r>
              <w:rPr>
                <w:sz w:val="22"/>
                <w:szCs w:val="22"/>
              </w:rPr>
              <w:t>290</w:t>
            </w:r>
          </w:p>
        </w:tc>
        <w:tc>
          <w:tcPr>
            <w:tcW w:w="0" w:type="auto"/>
            <w:noWrap w:val="0"/>
            <w:vAlign w:val="center"/>
          </w:tcPr>
          <w:p w14:paraId="657E5D98">
            <w:pPr>
              <w:jc w:val="center"/>
              <w:rPr>
                <w:color w:val="000000"/>
                <w:sz w:val="22"/>
                <w:szCs w:val="22"/>
              </w:rPr>
            </w:pPr>
            <w:r>
              <w:rPr>
                <w:color w:val="000000"/>
                <w:sz w:val="22"/>
                <w:szCs w:val="22"/>
              </w:rPr>
              <w:t>19.33</w:t>
            </w:r>
          </w:p>
        </w:tc>
        <w:tc>
          <w:tcPr>
            <w:tcW w:w="0" w:type="auto"/>
            <w:noWrap/>
            <w:vAlign w:val="center"/>
          </w:tcPr>
          <w:p w14:paraId="211B1A00">
            <w:pPr>
              <w:jc w:val="center"/>
              <w:rPr>
                <w:sz w:val="22"/>
                <w:szCs w:val="22"/>
              </w:rPr>
            </w:pPr>
            <w:r>
              <w:rPr>
                <w:sz w:val="22"/>
                <w:szCs w:val="22"/>
              </w:rPr>
              <w:t>280</w:t>
            </w:r>
          </w:p>
        </w:tc>
        <w:tc>
          <w:tcPr>
            <w:tcW w:w="0" w:type="auto"/>
            <w:noWrap w:val="0"/>
            <w:vAlign w:val="center"/>
          </w:tcPr>
          <w:p w14:paraId="7F0742FF">
            <w:pPr>
              <w:jc w:val="center"/>
              <w:rPr>
                <w:color w:val="000000"/>
                <w:sz w:val="22"/>
                <w:szCs w:val="22"/>
              </w:rPr>
            </w:pPr>
            <w:r>
              <w:rPr>
                <w:color w:val="000000"/>
                <w:sz w:val="22"/>
                <w:szCs w:val="22"/>
              </w:rPr>
              <w:t>18.67</w:t>
            </w:r>
          </w:p>
        </w:tc>
        <w:tc>
          <w:tcPr>
            <w:tcW w:w="0" w:type="auto"/>
            <w:noWrap w:val="0"/>
            <w:vAlign w:val="center"/>
          </w:tcPr>
          <w:p w14:paraId="78D0C720">
            <w:pPr>
              <w:jc w:val="center"/>
              <w:rPr>
                <w:sz w:val="22"/>
                <w:szCs w:val="22"/>
              </w:rPr>
            </w:pPr>
            <w:r>
              <w:rPr>
                <w:sz w:val="22"/>
                <w:szCs w:val="22"/>
              </w:rPr>
              <w:t>270</w:t>
            </w:r>
          </w:p>
        </w:tc>
        <w:tc>
          <w:tcPr>
            <w:tcW w:w="0" w:type="auto"/>
            <w:noWrap w:val="0"/>
            <w:vAlign w:val="center"/>
          </w:tcPr>
          <w:p w14:paraId="6953BC4D">
            <w:pPr>
              <w:jc w:val="center"/>
              <w:rPr>
                <w:color w:val="000000"/>
                <w:sz w:val="22"/>
                <w:szCs w:val="22"/>
              </w:rPr>
            </w:pPr>
            <w:r>
              <w:rPr>
                <w:color w:val="000000"/>
                <w:sz w:val="22"/>
                <w:szCs w:val="22"/>
              </w:rPr>
              <w:t>18.00</w:t>
            </w:r>
          </w:p>
        </w:tc>
        <w:tc>
          <w:tcPr>
            <w:tcW w:w="0" w:type="auto"/>
            <w:noWrap w:val="0"/>
            <w:vAlign w:val="center"/>
          </w:tcPr>
          <w:p w14:paraId="72D0000E">
            <w:pPr>
              <w:jc w:val="center"/>
              <w:rPr>
                <w:sz w:val="22"/>
                <w:szCs w:val="22"/>
              </w:rPr>
            </w:pPr>
            <w:r>
              <w:rPr>
                <w:sz w:val="22"/>
                <w:szCs w:val="22"/>
              </w:rPr>
              <w:t>260</w:t>
            </w:r>
          </w:p>
        </w:tc>
        <w:tc>
          <w:tcPr>
            <w:tcW w:w="0" w:type="auto"/>
            <w:noWrap w:val="0"/>
            <w:vAlign w:val="center"/>
          </w:tcPr>
          <w:p w14:paraId="60000BF9">
            <w:pPr>
              <w:jc w:val="center"/>
              <w:rPr>
                <w:color w:val="000000"/>
                <w:sz w:val="22"/>
                <w:szCs w:val="22"/>
              </w:rPr>
            </w:pPr>
            <w:r>
              <w:rPr>
                <w:color w:val="000000"/>
                <w:sz w:val="22"/>
                <w:szCs w:val="22"/>
              </w:rPr>
              <w:t>17.33</w:t>
            </w:r>
          </w:p>
        </w:tc>
        <w:tc>
          <w:tcPr>
            <w:tcW w:w="0" w:type="auto"/>
            <w:noWrap w:val="0"/>
            <w:vAlign w:val="center"/>
          </w:tcPr>
          <w:p w14:paraId="27750E4B">
            <w:pPr>
              <w:jc w:val="center"/>
              <w:rPr>
                <w:sz w:val="22"/>
                <w:szCs w:val="22"/>
              </w:rPr>
            </w:pPr>
            <w:r>
              <w:rPr>
                <w:sz w:val="22"/>
                <w:szCs w:val="22"/>
              </w:rPr>
              <w:t>240</w:t>
            </w:r>
          </w:p>
        </w:tc>
        <w:tc>
          <w:tcPr>
            <w:tcW w:w="0" w:type="auto"/>
            <w:noWrap w:val="0"/>
            <w:vAlign w:val="center"/>
          </w:tcPr>
          <w:p w14:paraId="476D838E">
            <w:pPr>
              <w:jc w:val="center"/>
              <w:rPr>
                <w:color w:val="000000"/>
                <w:sz w:val="22"/>
                <w:szCs w:val="22"/>
              </w:rPr>
            </w:pPr>
            <w:r>
              <w:rPr>
                <w:color w:val="000000"/>
                <w:sz w:val="22"/>
                <w:szCs w:val="22"/>
              </w:rPr>
              <w:t>16.00</w:t>
            </w:r>
          </w:p>
        </w:tc>
      </w:tr>
      <w:tr w14:paraId="22ED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1C5D8C38">
            <w:pPr>
              <w:pStyle w:val="20"/>
              <w:jc w:val="center"/>
              <w:rPr>
                <w:rFonts w:ascii="Times New Roman" w:hAnsi="Times New Roman" w:eastAsia="楷体_GB2312"/>
                <w:sz w:val="24"/>
                <w:szCs w:val="24"/>
              </w:rPr>
            </w:pPr>
          </w:p>
        </w:tc>
        <w:tc>
          <w:tcPr>
            <w:tcW w:w="0" w:type="auto"/>
            <w:vMerge w:val="continue"/>
            <w:noWrap w:val="0"/>
            <w:vAlign w:val="center"/>
          </w:tcPr>
          <w:p w14:paraId="04DAF7E7">
            <w:pPr>
              <w:pStyle w:val="20"/>
              <w:jc w:val="center"/>
              <w:rPr>
                <w:rFonts w:ascii="Times New Roman" w:hAnsi="Times New Roman" w:eastAsia="楷体_GB2312"/>
                <w:sz w:val="24"/>
                <w:szCs w:val="24"/>
              </w:rPr>
            </w:pPr>
          </w:p>
        </w:tc>
        <w:tc>
          <w:tcPr>
            <w:tcW w:w="0" w:type="auto"/>
            <w:noWrap w:val="0"/>
            <w:vAlign w:val="center"/>
          </w:tcPr>
          <w:p w14:paraId="068F616A">
            <w:pPr>
              <w:pStyle w:val="20"/>
              <w:jc w:val="center"/>
              <w:rPr>
                <w:rFonts w:ascii="Times New Roman" w:hAnsi="Times New Roman" w:eastAsia="楷体_GB2312"/>
                <w:sz w:val="24"/>
                <w:szCs w:val="24"/>
              </w:rPr>
            </w:pPr>
            <w:r>
              <w:rPr>
                <w:rFonts w:ascii="Times New Roman" w:hAnsi="Times New Roman" w:eastAsia="楷体_GB2312"/>
                <w:sz w:val="24"/>
                <w:szCs w:val="24"/>
              </w:rPr>
              <w:t>2</w:t>
            </w:r>
          </w:p>
        </w:tc>
        <w:tc>
          <w:tcPr>
            <w:tcW w:w="0" w:type="auto"/>
            <w:noWrap/>
            <w:vAlign w:val="center"/>
          </w:tcPr>
          <w:p w14:paraId="5E92A62F">
            <w:pPr>
              <w:jc w:val="center"/>
              <w:rPr>
                <w:color w:val="000000"/>
                <w:sz w:val="22"/>
                <w:szCs w:val="22"/>
              </w:rPr>
            </w:pPr>
            <w:r>
              <w:rPr>
                <w:color w:val="000000"/>
                <w:sz w:val="22"/>
                <w:szCs w:val="22"/>
              </w:rPr>
              <w:t>245</w:t>
            </w:r>
          </w:p>
        </w:tc>
        <w:tc>
          <w:tcPr>
            <w:tcW w:w="0" w:type="auto"/>
            <w:noWrap w:val="0"/>
            <w:vAlign w:val="center"/>
          </w:tcPr>
          <w:p w14:paraId="563FF86E">
            <w:pPr>
              <w:jc w:val="center"/>
              <w:rPr>
                <w:color w:val="000000"/>
                <w:sz w:val="22"/>
                <w:szCs w:val="22"/>
              </w:rPr>
            </w:pPr>
            <w:r>
              <w:rPr>
                <w:color w:val="000000"/>
                <w:sz w:val="22"/>
                <w:szCs w:val="22"/>
              </w:rPr>
              <w:t>16.33</w:t>
            </w:r>
          </w:p>
        </w:tc>
        <w:tc>
          <w:tcPr>
            <w:tcW w:w="0" w:type="auto"/>
            <w:noWrap/>
            <w:vAlign w:val="center"/>
          </w:tcPr>
          <w:p w14:paraId="234BCA51">
            <w:pPr>
              <w:jc w:val="center"/>
              <w:rPr>
                <w:color w:val="000000"/>
                <w:sz w:val="22"/>
                <w:szCs w:val="22"/>
              </w:rPr>
            </w:pPr>
            <w:r>
              <w:rPr>
                <w:color w:val="000000"/>
                <w:sz w:val="22"/>
                <w:szCs w:val="22"/>
              </w:rPr>
              <w:t>235</w:t>
            </w:r>
          </w:p>
        </w:tc>
        <w:tc>
          <w:tcPr>
            <w:tcW w:w="0" w:type="auto"/>
            <w:noWrap w:val="0"/>
            <w:vAlign w:val="center"/>
          </w:tcPr>
          <w:p w14:paraId="6DF72CE9">
            <w:pPr>
              <w:jc w:val="center"/>
              <w:rPr>
                <w:color w:val="000000"/>
                <w:sz w:val="22"/>
                <w:szCs w:val="22"/>
              </w:rPr>
            </w:pPr>
            <w:r>
              <w:rPr>
                <w:color w:val="000000"/>
                <w:sz w:val="22"/>
                <w:szCs w:val="22"/>
              </w:rPr>
              <w:t>15.67</w:t>
            </w:r>
          </w:p>
        </w:tc>
        <w:tc>
          <w:tcPr>
            <w:tcW w:w="0" w:type="auto"/>
            <w:noWrap/>
            <w:vAlign w:val="center"/>
          </w:tcPr>
          <w:p w14:paraId="0938212B">
            <w:pPr>
              <w:jc w:val="center"/>
              <w:rPr>
                <w:color w:val="000000"/>
                <w:sz w:val="22"/>
                <w:szCs w:val="22"/>
              </w:rPr>
            </w:pPr>
            <w:r>
              <w:rPr>
                <w:color w:val="000000"/>
                <w:sz w:val="22"/>
                <w:szCs w:val="22"/>
              </w:rPr>
              <w:t>225</w:t>
            </w:r>
          </w:p>
        </w:tc>
        <w:tc>
          <w:tcPr>
            <w:tcW w:w="0" w:type="auto"/>
            <w:noWrap w:val="0"/>
            <w:vAlign w:val="center"/>
          </w:tcPr>
          <w:p w14:paraId="08F3CAED">
            <w:pPr>
              <w:jc w:val="center"/>
              <w:rPr>
                <w:color w:val="000000"/>
                <w:sz w:val="22"/>
                <w:szCs w:val="22"/>
              </w:rPr>
            </w:pPr>
            <w:r>
              <w:rPr>
                <w:color w:val="000000"/>
                <w:sz w:val="22"/>
                <w:szCs w:val="22"/>
              </w:rPr>
              <w:t>15.00</w:t>
            </w:r>
          </w:p>
        </w:tc>
        <w:tc>
          <w:tcPr>
            <w:tcW w:w="0" w:type="auto"/>
            <w:noWrap w:val="0"/>
            <w:vAlign w:val="center"/>
          </w:tcPr>
          <w:p w14:paraId="07C2FBB0">
            <w:pPr>
              <w:jc w:val="center"/>
              <w:rPr>
                <w:color w:val="000000"/>
                <w:sz w:val="22"/>
                <w:szCs w:val="22"/>
              </w:rPr>
            </w:pPr>
            <w:r>
              <w:rPr>
                <w:color w:val="000000"/>
                <w:sz w:val="22"/>
                <w:szCs w:val="22"/>
              </w:rPr>
              <w:t>220</w:t>
            </w:r>
          </w:p>
        </w:tc>
        <w:tc>
          <w:tcPr>
            <w:tcW w:w="0" w:type="auto"/>
            <w:noWrap w:val="0"/>
            <w:vAlign w:val="center"/>
          </w:tcPr>
          <w:p w14:paraId="208407EE">
            <w:pPr>
              <w:jc w:val="center"/>
              <w:rPr>
                <w:color w:val="000000"/>
                <w:sz w:val="22"/>
                <w:szCs w:val="22"/>
              </w:rPr>
            </w:pPr>
            <w:r>
              <w:rPr>
                <w:color w:val="000000"/>
                <w:sz w:val="22"/>
                <w:szCs w:val="22"/>
              </w:rPr>
              <w:t>14.67</w:t>
            </w:r>
          </w:p>
        </w:tc>
        <w:tc>
          <w:tcPr>
            <w:tcW w:w="0" w:type="auto"/>
            <w:noWrap w:val="0"/>
            <w:vAlign w:val="center"/>
          </w:tcPr>
          <w:p w14:paraId="45347F54">
            <w:pPr>
              <w:jc w:val="center"/>
              <w:rPr>
                <w:color w:val="000000"/>
                <w:sz w:val="22"/>
                <w:szCs w:val="22"/>
              </w:rPr>
            </w:pPr>
            <w:r>
              <w:rPr>
                <w:color w:val="000000"/>
                <w:sz w:val="22"/>
                <w:szCs w:val="22"/>
              </w:rPr>
              <w:t>215</w:t>
            </w:r>
          </w:p>
        </w:tc>
        <w:tc>
          <w:tcPr>
            <w:tcW w:w="0" w:type="auto"/>
            <w:noWrap w:val="0"/>
            <w:vAlign w:val="center"/>
          </w:tcPr>
          <w:p w14:paraId="5BD36C36">
            <w:pPr>
              <w:jc w:val="center"/>
              <w:rPr>
                <w:color w:val="000000"/>
                <w:sz w:val="22"/>
                <w:szCs w:val="22"/>
              </w:rPr>
            </w:pPr>
            <w:r>
              <w:rPr>
                <w:color w:val="000000"/>
                <w:sz w:val="22"/>
                <w:szCs w:val="22"/>
              </w:rPr>
              <w:t>14.33</w:t>
            </w:r>
          </w:p>
        </w:tc>
        <w:tc>
          <w:tcPr>
            <w:tcW w:w="0" w:type="auto"/>
            <w:noWrap w:val="0"/>
            <w:vAlign w:val="center"/>
          </w:tcPr>
          <w:p w14:paraId="24EA7D04">
            <w:pPr>
              <w:jc w:val="center"/>
              <w:rPr>
                <w:color w:val="000000"/>
                <w:sz w:val="22"/>
                <w:szCs w:val="22"/>
              </w:rPr>
            </w:pPr>
            <w:r>
              <w:rPr>
                <w:color w:val="000000"/>
                <w:sz w:val="22"/>
                <w:szCs w:val="22"/>
              </w:rPr>
              <w:t>205</w:t>
            </w:r>
          </w:p>
        </w:tc>
        <w:tc>
          <w:tcPr>
            <w:tcW w:w="0" w:type="auto"/>
            <w:noWrap w:val="0"/>
            <w:vAlign w:val="center"/>
          </w:tcPr>
          <w:p w14:paraId="200AD0C3">
            <w:pPr>
              <w:jc w:val="center"/>
              <w:rPr>
                <w:color w:val="000000"/>
                <w:sz w:val="22"/>
                <w:szCs w:val="22"/>
              </w:rPr>
            </w:pPr>
            <w:r>
              <w:rPr>
                <w:color w:val="000000"/>
                <w:sz w:val="22"/>
                <w:szCs w:val="22"/>
              </w:rPr>
              <w:t>13.67</w:t>
            </w:r>
          </w:p>
        </w:tc>
      </w:tr>
      <w:tr w14:paraId="783A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348F6FBE">
            <w:pPr>
              <w:pStyle w:val="20"/>
              <w:jc w:val="center"/>
              <w:rPr>
                <w:rFonts w:ascii="Times New Roman" w:hAnsi="Times New Roman" w:eastAsia="楷体_GB2312"/>
                <w:sz w:val="24"/>
                <w:szCs w:val="24"/>
              </w:rPr>
            </w:pPr>
          </w:p>
        </w:tc>
        <w:tc>
          <w:tcPr>
            <w:tcW w:w="0" w:type="auto"/>
            <w:vMerge w:val="continue"/>
            <w:noWrap w:val="0"/>
            <w:vAlign w:val="center"/>
          </w:tcPr>
          <w:p w14:paraId="61695977">
            <w:pPr>
              <w:pStyle w:val="20"/>
              <w:jc w:val="center"/>
              <w:rPr>
                <w:rFonts w:ascii="Times New Roman" w:hAnsi="Times New Roman" w:eastAsia="楷体_GB2312"/>
                <w:sz w:val="24"/>
                <w:szCs w:val="24"/>
              </w:rPr>
            </w:pPr>
          </w:p>
        </w:tc>
        <w:tc>
          <w:tcPr>
            <w:tcW w:w="0" w:type="auto"/>
            <w:noWrap w:val="0"/>
            <w:vAlign w:val="center"/>
          </w:tcPr>
          <w:p w14:paraId="2D9ECF55">
            <w:pPr>
              <w:pStyle w:val="20"/>
              <w:jc w:val="center"/>
              <w:rPr>
                <w:rFonts w:ascii="Times New Roman" w:hAnsi="Times New Roman" w:eastAsia="楷体_GB2312"/>
                <w:sz w:val="24"/>
                <w:szCs w:val="24"/>
              </w:rPr>
            </w:pPr>
            <w:r>
              <w:rPr>
                <w:rFonts w:ascii="Times New Roman" w:hAnsi="Times New Roman" w:eastAsia="楷体_GB2312"/>
                <w:sz w:val="24"/>
                <w:szCs w:val="24"/>
              </w:rPr>
              <w:t>3</w:t>
            </w:r>
          </w:p>
        </w:tc>
        <w:tc>
          <w:tcPr>
            <w:tcW w:w="0" w:type="auto"/>
            <w:noWrap/>
            <w:vAlign w:val="center"/>
          </w:tcPr>
          <w:p w14:paraId="44A8F9DB">
            <w:pPr>
              <w:jc w:val="center"/>
              <w:rPr>
                <w:color w:val="000000"/>
                <w:sz w:val="22"/>
                <w:szCs w:val="22"/>
              </w:rPr>
            </w:pPr>
            <w:r>
              <w:rPr>
                <w:color w:val="000000"/>
                <w:sz w:val="22"/>
                <w:szCs w:val="22"/>
              </w:rPr>
              <w:t>185</w:t>
            </w:r>
          </w:p>
        </w:tc>
        <w:tc>
          <w:tcPr>
            <w:tcW w:w="0" w:type="auto"/>
            <w:noWrap w:val="0"/>
            <w:vAlign w:val="center"/>
          </w:tcPr>
          <w:p w14:paraId="7E9486DE">
            <w:pPr>
              <w:jc w:val="center"/>
              <w:rPr>
                <w:color w:val="000000"/>
                <w:sz w:val="22"/>
                <w:szCs w:val="22"/>
              </w:rPr>
            </w:pPr>
            <w:r>
              <w:rPr>
                <w:color w:val="000000"/>
                <w:sz w:val="22"/>
                <w:szCs w:val="22"/>
              </w:rPr>
              <w:t>12.33</w:t>
            </w:r>
          </w:p>
        </w:tc>
        <w:tc>
          <w:tcPr>
            <w:tcW w:w="0" w:type="auto"/>
            <w:noWrap/>
            <w:vAlign w:val="center"/>
          </w:tcPr>
          <w:p w14:paraId="3324FB51">
            <w:pPr>
              <w:jc w:val="center"/>
              <w:rPr>
                <w:color w:val="000000"/>
                <w:sz w:val="22"/>
                <w:szCs w:val="22"/>
              </w:rPr>
            </w:pPr>
            <w:r>
              <w:rPr>
                <w:color w:val="000000"/>
                <w:sz w:val="22"/>
                <w:szCs w:val="22"/>
              </w:rPr>
              <w:t>180</w:t>
            </w:r>
          </w:p>
        </w:tc>
        <w:tc>
          <w:tcPr>
            <w:tcW w:w="0" w:type="auto"/>
            <w:noWrap w:val="0"/>
            <w:vAlign w:val="center"/>
          </w:tcPr>
          <w:p w14:paraId="6EC235FC">
            <w:pPr>
              <w:jc w:val="center"/>
              <w:rPr>
                <w:color w:val="000000"/>
                <w:sz w:val="22"/>
                <w:szCs w:val="22"/>
              </w:rPr>
            </w:pPr>
            <w:r>
              <w:rPr>
                <w:color w:val="000000"/>
                <w:sz w:val="22"/>
                <w:szCs w:val="22"/>
              </w:rPr>
              <w:t>12.00</w:t>
            </w:r>
          </w:p>
        </w:tc>
        <w:tc>
          <w:tcPr>
            <w:tcW w:w="0" w:type="auto"/>
            <w:noWrap/>
            <w:vAlign w:val="center"/>
          </w:tcPr>
          <w:p w14:paraId="288E89C4">
            <w:pPr>
              <w:jc w:val="center"/>
              <w:rPr>
                <w:color w:val="000000"/>
                <w:sz w:val="22"/>
                <w:szCs w:val="22"/>
              </w:rPr>
            </w:pPr>
            <w:r>
              <w:rPr>
                <w:color w:val="000000"/>
                <w:sz w:val="22"/>
                <w:szCs w:val="22"/>
              </w:rPr>
              <w:t>175</w:t>
            </w:r>
          </w:p>
        </w:tc>
        <w:tc>
          <w:tcPr>
            <w:tcW w:w="0" w:type="auto"/>
            <w:noWrap w:val="0"/>
            <w:vAlign w:val="center"/>
          </w:tcPr>
          <w:p w14:paraId="1E670FE4">
            <w:pPr>
              <w:jc w:val="center"/>
              <w:rPr>
                <w:color w:val="000000"/>
                <w:sz w:val="22"/>
                <w:szCs w:val="22"/>
              </w:rPr>
            </w:pPr>
            <w:r>
              <w:rPr>
                <w:color w:val="000000"/>
                <w:sz w:val="22"/>
                <w:szCs w:val="22"/>
              </w:rPr>
              <w:t>11.67</w:t>
            </w:r>
          </w:p>
        </w:tc>
        <w:tc>
          <w:tcPr>
            <w:tcW w:w="0" w:type="auto"/>
            <w:noWrap w:val="0"/>
            <w:vAlign w:val="center"/>
          </w:tcPr>
          <w:p w14:paraId="50CAAD0F">
            <w:pPr>
              <w:jc w:val="center"/>
              <w:rPr>
                <w:color w:val="000000"/>
                <w:sz w:val="22"/>
                <w:szCs w:val="22"/>
              </w:rPr>
            </w:pPr>
            <w:r>
              <w:rPr>
                <w:color w:val="000000"/>
                <w:sz w:val="22"/>
                <w:szCs w:val="22"/>
              </w:rPr>
              <w:t>170</w:t>
            </w:r>
          </w:p>
        </w:tc>
        <w:tc>
          <w:tcPr>
            <w:tcW w:w="0" w:type="auto"/>
            <w:noWrap w:val="0"/>
            <w:vAlign w:val="center"/>
          </w:tcPr>
          <w:p w14:paraId="3E3967BC">
            <w:pPr>
              <w:jc w:val="center"/>
              <w:rPr>
                <w:color w:val="000000"/>
                <w:sz w:val="22"/>
                <w:szCs w:val="22"/>
              </w:rPr>
            </w:pPr>
            <w:r>
              <w:rPr>
                <w:color w:val="000000"/>
                <w:sz w:val="22"/>
                <w:szCs w:val="22"/>
              </w:rPr>
              <w:t>11.33</w:t>
            </w:r>
          </w:p>
        </w:tc>
        <w:tc>
          <w:tcPr>
            <w:tcW w:w="0" w:type="auto"/>
            <w:noWrap w:val="0"/>
            <w:vAlign w:val="center"/>
          </w:tcPr>
          <w:p w14:paraId="21B7CEBF">
            <w:pPr>
              <w:jc w:val="center"/>
              <w:rPr>
                <w:color w:val="000000"/>
                <w:sz w:val="22"/>
                <w:szCs w:val="22"/>
              </w:rPr>
            </w:pPr>
            <w:r>
              <w:rPr>
                <w:color w:val="000000"/>
                <w:sz w:val="22"/>
                <w:szCs w:val="22"/>
              </w:rPr>
              <w:t>165</w:t>
            </w:r>
          </w:p>
        </w:tc>
        <w:tc>
          <w:tcPr>
            <w:tcW w:w="0" w:type="auto"/>
            <w:noWrap w:val="0"/>
            <w:vAlign w:val="center"/>
          </w:tcPr>
          <w:p w14:paraId="47F4788D">
            <w:pPr>
              <w:jc w:val="center"/>
              <w:rPr>
                <w:color w:val="000000"/>
                <w:sz w:val="22"/>
                <w:szCs w:val="22"/>
              </w:rPr>
            </w:pPr>
            <w:r>
              <w:rPr>
                <w:color w:val="000000"/>
                <w:sz w:val="22"/>
                <w:szCs w:val="22"/>
              </w:rPr>
              <w:t>11.00</w:t>
            </w:r>
          </w:p>
        </w:tc>
        <w:tc>
          <w:tcPr>
            <w:tcW w:w="0" w:type="auto"/>
            <w:noWrap w:val="0"/>
            <w:vAlign w:val="center"/>
          </w:tcPr>
          <w:p w14:paraId="25EB5255">
            <w:pPr>
              <w:jc w:val="center"/>
              <w:rPr>
                <w:color w:val="000000"/>
                <w:sz w:val="22"/>
                <w:szCs w:val="22"/>
              </w:rPr>
            </w:pPr>
            <w:r>
              <w:rPr>
                <w:color w:val="000000"/>
                <w:sz w:val="22"/>
                <w:szCs w:val="22"/>
              </w:rPr>
              <w:t>160</w:t>
            </w:r>
          </w:p>
        </w:tc>
        <w:tc>
          <w:tcPr>
            <w:tcW w:w="0" w:type="auto"/>
            <w:noWrap w:val="0"/>
            <w:vAlign w:val="center"/>
          </w:tcPr>
          <w:p w14:paraId="5483177D">
            <w:pPr>
              <w:jc w:val="center"/>
              <w:rPr>
                <w:color w:val="000000"/>
                <w:sz w:val="22"/>
                <w:szCs w:val="22"/>
              </w:rPr>
            </w:pPr>
            <w:r>
              <w:rPr>
                <w:color w:val="000000"/>
                <w:sz w:val="22"/>
                <w:szCs w:val="22"/>
              </w:rPr>
              <w:t>10.67</w:t>
            </w:r>
          </w:p>
        </w:tc>
      </w:tr>
      <w:tr w14:paraId="6347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224EE3D5">
            <w:pPr>
              <w:pStyle w:val="20"/>
              <w:jc w:val="center"/>
              <w:rPr>
                <w:rFonts w:ascii="Times New Roman" w:hAnsi="Times New Roman" w:eastAsia="楷体_GB2312"/>
                <w:sz w:val="24"/>
                <w:szCs w:val="24"/>
              </w:rPr>
            </w:pPr>
            <w:r>
              <w:rPr>
                <w:rFonts w:ascii="Times New Roman" w:hAnsi="Times New Roman" w:eastAsia="楷体_GB2312"/>
                <w:sz w:val="24"/>
                <w:szCs w:val="24"/>
              </w:rPr>
              <w:t>18</w:t>
            </w:r>
          </w:p>
        </w:tc>
        <w:tc>
          <w:tcPr>
            <w:tcW w:w="0" w:type="auto"/>
            <w:vMerge w:val="restart"/>
            <w:noWrap w:val="0"/>
            <w:vAlign w:val="center"/>
          </w:tcPr>
          <w:p w14:paraId="37B23EFE">
            <w:pPr>
              <w:pStyle w:val="20"/>
              <w:jc w:val="center"/>
              <w:rPr>
                <w:rFonts w:ascii="Times New Roman" w:hAnsi="Times New Roman" w:eastAsia="楷体_GB2312"/>
                <w:sz w:val="24"/>
                <w:szCs w:val="24"/>
              </w:rPr>
            </w:pPr>
            <w:r>
              <w:rPr>
                <w:rFonts w:ascii="Times New Roman" w:hAnsi="Times New Roman" w:eastAsia="楷体_GB2312"/>
                <w:sz w:val="24"/>
                <w:szCs w:val="24"/>
              </w:rPr>
              <w:t>大泽乡镇</w:t>
            </w:r>
          </w:p>
        </w:tc>
        <w:tc>
          <w:tcPr>
            <w:tcW w:w="0" w:type="auto"/>
            <w:noWrap w:val="0"/>
            <w:vAlign w:val="center"/>
          </w:tcPr>
          <w:p w14:paraId="0E1A66F8">
            <w:pPr>
              <w:pStyle w:val="20"/>
              <w:jc w:val="center"/>
              <w:rPr>
                <w:rFonts w:ascii="Times New Roman" w:hAnsi="Times New Roman" w:eastAsia="楷体_GB2312"/>
                <w:sz w:val="24"/>
                <w:szCs w:val="24"/>
              </w:rPr>
            </w:pPr>
            <w:r>
              <w:rPr>
                <w:rFonts w:ascii="Times New Roman" w:hAnsi="Times New Roman" w:eastAsia="楷体_GB2312"/>
                <w:sz w:val="24"/>
                <w:szCs w:val="24"/>
              </w:rPr>
              <w:t>1</w:t>
            </w:r>
          </w:p>
        </w:tc>
        <w:tc>
          <w:tcPr>
            <w:tcW w:w="0" w:type="auto"/>
            <w:noWrap/>
            <w:vAlign w:val="center"/>
          </w:tcPr>
          <w:p w14:paraId="4E6A2600">
            <w:pPr>
              <w:jc w:val="center"/>
              <w:rPr>
                <w:color w:val="000000"/>
                <w:sz w:val="22"/>
                <w:szCs w:val="22"/>
              </w:rPr>
            </w:pPr>
            <w:r>
              <w:rPr>
                <w:color w:val="000000"/>
                <w:sz w:val="22"/>
                <w:szCs w:val="22"/>
              </w:rPr>
              <w:t>300</w:t>
            </w:r>
          </w:p>
        </w:tc>
        <w:tc>
          <w:tcPr>
            <w:tcW w:w="0" w:type="auto"/>
            <w:noWrap w:val="0"/>
            <w:vAlign w:val="center"/>
          </w:tcPr>
          <w:p w14:paraId="329C660A">
            <w:pPr>
              <w:jc w:val="center"/>
              <w:rPr>
                <w:color w:val="000000"/>
                <w:sz w:val="22"/>
                <w:szCs w:val="22"/>
              </w:rPr>
            </w:pPr>
            <w:r>
              <w:rPr>
                <w:color w:val="000000"/>
                <w:sz w:val="22"/>
                <w:szCs w:val="22"/>
              </w:rPr>
              <w:t>20.00</w:t>
            </w:r>
          </w:p>
        </w:tc>
        <w:tc>
          <w:tcPr>
            <w:tcW w:w="0" w:type="auto"/>
            <w:noWrap/>
            <w:vAlign w:val="center"/>
          </w:tcPr>
          <w:p w14:paraId="1CA5AA7E">
            <w:pPr>
              <w:jc w:val="center"/>
              <w:rPr>
                <w:color w:val="000000"/>
                <w:sz w:val="22"/>
                <w:szCs w:val="22"/>
              </w:rPr>
            </w:pPr>
            <w:r>
              <w:rPr>
                <w:color w:val="000000"/>
                <w:sz w:val="22"/>
                <w:szCs w:val="22"/>
              </w:rPr>
              <w:t>280</w:t>
            </w:r>
          </w:p>
        </w:tc>
        <w:tc>
          <w:tcPr>
            <w:tcW w:w="0" w:type="auto"/>
            <w:noWrap w:val="0"/>
            <w:vAlign w:val="center"/>
          </w:tcPr>
          <w:p w14:paraId="3A8151C4">
            <w:pPr>
              <w:jc w:val="center"/>
              <w:rPr>
                <w:color w:val="000000"/>
                <w:sz w:val="22"/>
                <w:szCs w:val="22"/>
              </w:rPr>
            </w:pPr>
            <w:r>
              <w:rPr>
                <w:color w:val="000000"/>
                <w:sz w:val="22"/>
                <w:szCs w:val="22"/>
              </w:rPr>
              <w:t>18.67</w:t>
            </w:r>
          </w:p>
        </w:tc>
        <w:tc>
          <w:tcPr>
            <w:tcW w:w="0" w:type="auto"/>
            <w:noWrap/>
            <w:vAlign w:val="center"/>
          </w:tcPr>
          <w:p w14:paraId="79785613">
            <w:pPr>
              <w:jc w:val="center"/>
              <w:rPr>
                <w:color w:val="000000"/>
                <w:sz w:val="22"/>
                <w:szCs w:val="22"/>
              </w:rPr>
            </w:pPr>
            <w:r>
              <w:rPr>
                <w:color w:val="000000"/>
                <w:sz w:val="22"/>
                <w:szCs w:val="22"/>
              </w:rPr>
              <w:t>270</w:t>
            </w:r>
          </w:p>
        </w:tc>
        <w:tc>
          <w:tcPr>
            <w:tcW w:w="0" w:type="auto"/>
            <w:noWrap w:val="0"/>
            <w:vAlign w:val="center"/>
          </w:tcPr>
          <w:p w14:paraId="4571D679">
            <w:pPr>
              <w:jc w:val="center"/>
              <w:rPr>
                <w:color w:val="000000"/>
                <w:sz w:val="22"/>
                <w:szCs w:val="22"/>
              </w:rPr>
            </w:pPr>
            <w:r>
              <w:rPr>
                <w:color w:val="000000"/>
                <w:sz w:val="22"/>
                <w:szCs w:val="22"/>
              </w:rPr>
              <w:t>18.00</w:t>
            </w:r>
          </w:p>
        </w:tc>
        <w:tc>
          <w:tcPr>
            <w:tcW w:w="0" w:type="auto"/>
            <w:noWrap w:val="0"/>
            <w:vAlign w:val="center"/>
          </w:tcPr>
          <w:p w14:paraId="0441CACC">
            <w:pPr>
              <w:jc w:val="center"/>
              <w:rPr>
                <w:color w:val="000000"/>
                <w:sz w:val="22"/>
                <w:szCs w:val="22"/>
              </w:rPr>
            </w:pPr>
            <w:r>
              <w:rPr>
                <w:color w:val="000000"/>
                <w:sz w:val="22"/>
                <w:szCs w:val="22"/>
              </w:rPr>
              <w:t>260</w:t>
            </w:r>
          </w:p>
        </w:tc>
        <w:tc>
          <w:tcPr>
            <w:tcW w:w="0" w:type="auto"/>
            <w:noWrap w:val="0"/>
            <w:vAlign w:val="center"/>
          </w:tcPr>
          <w:p w14:paraId="2875EBE4">
            <w:pPr>
              <w:jc w:val="center"/>
              <w:rPr>
                <w:color w:val="000000"/>
                <w:sz w:val="22"/>
                <w:szCs w:val="22"/>
              </w:rPr>
            </w:pPr>
            <w:r>
              <w:rPr>
                <w:color w:val="000000"/>
                <w:sz w:val="22"/>
                <w:szCs w:val="22"/>
              </w:rPr>
              <w:t>17.33</w:t>
            </w:r>
          </w:p>
        </w:tc>
        <w:tc>
          <w:tcPr>
            <w:tcW w:w="0" w:type="auto"/>
            <w:noWrap w:val="0"/>
            <w:vAlign w:val="center"/>
          </w:tcPr>
          <w:p w14:paraId="49A5F3FB">
            <w:pPr>
              <w:jc w:val="center"/>
              <w:rPr>
                <w:color w:val="000000"/>
                <w:sz w:val="22"/>
                <w:szCs w:val="22"/>
              </w:rPr>
            </w:pPr>
            <w:r>
              <w:rPr>
                <w:color w:val="000000"/>
                <w:sz w:val="22"/>
                <w:szCs w:val="22"/>
              </w:rPr>
              <w:t>250</w:t>
            </w:r>
          </w:p>
        </w:tc>
        <w:tc>
          <w:tcPr>
            <w:tcW w:w="0" w:type="auto"/>
            <w:noWrap w:val="0"/>
            <w:vAlign w:val="center"/>
          </w:tcPr>
          <w:p w14:paraId="4ACA5B89">
            <w:pPr>
              <w:jc w:val="center"/>
              <w:rPr>
                <w:color w:val="000000"/>
                <w:sz w:val="22"/>
                <w:szCs w:val="22"/>
              </w:rPr>
            </w:pPr>
            <w:r>
              <w:rPr>
                <w:color w:val="000000"/>
                <w:sz w:val="22"/>
                <w:szCs w:val="22"/>
              </w:rPr>
              <w:t>16.67</w:t>
            </w:r>
          </w:p>
        </w:tc>
        <w:tc>
          <w:tcPr>
            <w:tcW w:w="0" w:type="auto"/>
            <w:noWrap w:val="0"/>
            <w:vAlign w:val="center"/>
          </w:tcPr>
          <w:p w14:paraId="5B244139">
            <w:pPr>
              <w:jc w:val="center"/>
              <w:rPr>
                <w:color w:val="000000"/>
                <w:sz w:val="22"/>
                <w:szCs w:val="22"/>
              </w:rPr>
            </w:pPr>
            <w:r>
              <w:rPr>
                <w:color w:val="000000"/>
                <w:sz w:val="22"/>
                <w:szCs w:val="22"/>
              </w:rPr>
              <w:t>230</w:t>
            </w:r>
          </w:p>
        </w:tc>
        <w:tc>
          <w:tcPr>
            <w:tcW w:w="0" w:type="auto"/>
            <w:noWrap w:val="0"/>
            <w:vAlign w:val="center"/>
          </w:tcPr>
          <w:p w14:paraId="52F03BF2">
            <w:pPr>
              <w:jc w:val="center"/>
              <w:rPr>
                <w:color w:val="000000"/>
                <w:sz w:val="22"/>
                <w:szCs w:val="22"/>
              </w:rPr>
            </w:pPr>
            <w:r>
              <w:rPr>
                <w:color w:val="000000"/>
                <w:sz w:val="22"/>
                <w:szCs w:val="22"/>
              </w:rPr>
              <w:t>15.33</w:t>
            </w:r>
          </w:p>
        </w:tc>
      </w:tr>
      <w:tr w14:paraId="7D4BC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28280F4D">
            <w:pPr>
              <w:pStyle w:val="20"/>
              <w:jc w:val="center"/>
              <w:rPr>
                <w:rFonts w:ascii="Times New Roman" w:hAnsi="Times New Roman" w:eastAsia="楷体_GB2312"/>
                <w:sz w:val="24"/>
                <w:szCs w:val="24"/>
              </w:rPr>
            </w:pPr>
          </w:p>
        </w:tc>
        <w:tc>
          <w:tcPr>
            <w:tcW w:w="0" w:type="auto"/>
            <w:vMerge w:val="continue"/>
            <w:noWrap w:val="0"/>
            <w:vAlign w:val="center"/>
          </w:tcPr>
          <w:p w14:paraId="6EFC2A35">
            <w:pPr>
              <w:pStyle w:val="20"/>
              <w:jc w:val="center"/>
              <w:rPr>
                <w:rFonts w:ascii="Times New Roman" w:hAnsi="Times New Roman" w:eastAsia="楷体_GB2312"/>
                <w:sz w:val="24"/>
                <w:szCs w:val="24"/>
              </w:rPr>
            </w:pPr>
          </w:p>
        </w:tc>
        <w:tc>
          <w:tcPr>
            <w:tcW w:w="0" w:type="auto"/>
            <w:noWrap w:val="0"/>
            <w:vAlign w:val="center"/>
          </w:tcPr>
          <w:p w14:paraId="100C75B8">
            <w:pPr>
              <w:pStyle w:val="20"/>
              <w:jc w:val="center"/>
              <w:rPr>
                <w:rFonts w:ascii="Times New Roman" w:hAnsi="Times New Roman" w:eastAsia="楷体_GB2312"/>
                <w:sz w:val="24"/>
                <w:szCs w:val="24"/>
              </w:rPr>
            </w:pPr>
            <w:r>
              <w:rPr>
                <w:rFonts w:ascii="Times New Roman" w:hAnsi="Times New Roman" w:eastAsia="楷体_GB2312"/>
                <w:sz w:val="24"/>
                <w:szCs w:val="24"/>
              </w:rPr>
              <w:t>2</w:t>
            </w:r>
          </w:p>
        </w:tc>
        <w:tc>
          <w:tcPr>
            <w:tcW w:w="0" w:type="auto"/>
            <w:noWrap/>
            <w:vAlign w:val="center"/>
          </w:tcPr>
          <w:p w14:paraId="4B4CA08C">
            <w:pPr>
              <w:jc w:val="center"/>
              <w:rPr>
                <w:sz w:val="22"/>
                <w:szCs w:val="22"/>
              </w:rPr>
            </w:pPr>
            <w:r>
              <w:rPr>
                <w:sz w:val="22"/>
                <w:szCs w:val="22"/>
              </w:rPr>
              <w:t>240</w:t>
            </w:r>
          </w:p>
        </w:tc>
        <w:tc>
          <w:tcPr>
            <w:tcW w:w="0" w:type="auto"/>
            <w:noWrap w:val="0"/>
            <w:vAlign w:val="center"/>
          </w:tcPr>
          <w:p w14:paraId="76C9C9B2">
            <w:pPr>
              <w:jc w:val="center"/>
              <w:rPr>
                <w:color w:val="000000"/>
                <w:sz w:val="22"/>
                <w:szCs w:val="22"/>
              </w:rPr>
            </w:pPr>
            <w:r>
              <w:rPr>
                <w:color w:val="000000"/>
                <w:sz w:val="22"/>
                <w:szCs w:val="22"/>
              </w:rPr>
              <w:t>16.00</w:t>
            </w:r>
          </w:p>
        </w:tc>
        <w:tc>
          <w:tcPr>
            <w:tcW w:w="0" w:type="auto"/>
            <w:noWrap/>
            <w:vAlign w:val="center"/>
          </w:tcPr>
          <w:p w14:paraId="24B4F4D4">
            <w:pPr>
              <w:jc w:val="center"/>
              <w:rPr>
                <w:sz w:val="22"/>
                <w:szCs w:val="22"/>
              </w:rPr>
            </w:pPr>
            <w:r>
              <w:rPr>
                <w:sz w:val="22"/>
                <w:szCs w:val="22"/>
              </w:rPr>
              <w:t>230</w:t>
            </w:r>
          </w:p>
        </w:tc>
        <w:tc>
          <w:tcPr>
            <w:tcW w:w="0" w:type="auto"/>
            <w:noWrap w:val="0"/>
            <w:vAlign w:val="center"/>
          </w:tcPr>
          <w:p w14:paraId="2AE093B7">
            <w:pPr>
              <w:jc w:val="center"/>
              <w:rPr>
                <w:color w:val="000000"/>
                <w:sz w:val="22"/>
                <w:szCs w:val="22"/>
              </w:rPr>
            </w:pPr>
            <w:r>
              <w:rPr>
                <w:color w:val="000000"/>
                <w:sz w:val="22"/>
                <w:szCs w:val="22"/>
              </w:rPr>
              <w:t>15.33</w:t>
            </w:r>
          </w:p>
        </w:tc>
        <w:tc>
          <w:tcPr>
            <w:tcW w:w="0" w:type="auto"/>
            <w:noWrap/>
            <w:vAlign w:val="center"/>
          </w:tcPr>
          <w:p w14:paraId="29D23573">
            <w:pPr>
              <w:jc w:val="center"/>
              <w:rPr>
                <w:sz w:val="22"/>
                <w:szCs w:val="22"/>
              </w:rPr>
            </w:pPr>
            <w:r>
              <w:rPr>
                <w:sz w:val="22"/>
                <w:szCs w:val="22"/>
              </w:rPr>
              <w:t>220</w:t>
            </w:r>
          </w:p>
        </w:tc>
        <w:tc>
          <w:tcPr>
            <w:tcW w:w="0" w:type="auto"/>
            <w:noWrap w:val="0"/>
            <w:vAlign w:val="center"/>
          </w:tcPr>
          <w:p w14:paraId="7C05DC09">
            <w:pPr>
              <w:jc w:val="center"/>
              <w:rPr>
                <w:color w:val="000000"/>
                <w:sz w:val="22"/>
                <w:szCs w:val="22"/>
              </w:rPr>
            </w:pPr>
            <w:r>
              <w:rPr>
                <w:color w:val="000000"/>
                <w:sz w:val="22"/>
                <w:szCs w:val="22"/>
              </w:rPr>
              <w:t>14.67</w:t>
            </w:r>
          </w:p>
        </w:tc>
        <w:tc>
          <w:tcPr>
            <w:tcW w:w="0" w:type="auto"/>
            <w:noWrap w:val="0"/>
            <w:vAlign w:val="center"/>
          </w:tcPr>
          <w:p w14:paraId="6D2797AE">
            <w:pPr>
              <w:jc w:val="center"/>
              <w:rPr>
                <w:sz w:val="22"/>
                <w:szCs w:val="22"/>
              </w:rPr>
            </w:pPr>
            <w:r>
              <w:rPr>
                <w:sz w:val="22"/>
                <w:szCs w:val="22"/>
              </w:rPr>
              <w:t>215</w:t>
            </w:r>
          </w:p>
        </w:tc>
        <w:tc>
          <w:tcPr>
            <w:tcW w:w="0" w:type="auto"/>
            <w:noWrap w:val="0"/>
            <w:vAlign w:val="center"/>
          </w:tcPr>
          <w:p w14:paraId="1B51501B">
            <w:pPr>
              <w:jc w:val="center"/>
              <w:rPr>
                <w:color w:val="000000"/>
                <w:sz w:val="22"/>
                <w:szCs w:val="22"/>
              </w:rPr>
            </w:pPr>
            <w:r>
              <w:rPr>
                <w:color w:val="000000"/>
                <w:sz w:val="22"/>
                <w:szCs w:val="22"/>
              </w:rPr>
              <w:t>14.33</w:t>
            </w:r>
          </w:p>
        </w:tc>
        <w:tc>
          <w:tcPr>
            <w:tcW w:w="0" w:type="auto"/>
            <w:noWrap w:val="0"/>
            <w:vAlign w:val="center"/>
          </w:tcPr>
          <w:p w14:paraId="18C29F51">
            <w:pPr>
              <w:jc w:val="center"/>
              <w:rPr>
                <w:sz w:val="22"/>
                <w:szCs w:val="22"/>
              </w:rPr>
            </w:pPr>
            <w:r>
              <w:rPr>
                <w:sz w:val="22"/>
                <w:szCs w:val="22"/>
              </w:rPr>
              <w:t>210</w:t>
            </w:r>
          </w:p>
        </w:tc>
        <w:tc>
          <w:tcPr>
            <w:tcW w:w="0" w:type="auto"/>
            <w:noWrap w:val="0"/>
            <w:vAlign w:val="center"/>
          </w:tcPr>
          <w:p w14:paraId="767973D9">
            <w:pPr>
              <w:jc w:val="center"/>
              <w:rPr>
                <w:color w:val="000000"/>
                <w:sz w:val="22"/>
                <w:szCs w:val="22"/>
              </w:rPr>
            </w:pPr>
            <w:r>
              <w:rPr>
                <w:color w:val="000000"/>
                <w:sz w:val="22"/>
                <w:szCs w:val="22"/>
              </w:rPr>
              <w:t>14.00</w:t>
            </w:r>
          </w:p>
        </w:tc>
        <w:tc>
          <w:tcPr>
            <w:tcW w:w="0" w:type="auto"/>
            <w:noWrap w:val="0"/>
            <w:vAlign w:val="center"/>
          </w:tcPr>
          <w:p w14:paraId="0D81E2E6">
            <w:pPr>
              <w:jc w:val="center"/>
              <w:rPr>
                <w:sz w:val="22"/>
                <w:szCs w:val="22"/>
              </w:rPr>
            </w:pPr>
            <w:r>
              <w:rPr>
                <w:sz w:val="22"/>
                <w:szCs w:val="22"/>
              </w:rPr>
              <w:t>200</w:t>
            </w:r>
          </w:p>
        </w:tc>
        <w:tc>
          <w:tcPr>
            <w:tcW w:w="0" w:type="auto"/>
            <w:noWrap w:val="0"/>
            <w:vAlign w:val="center"/>
          </w:tcPr>
          <w:p w14:paraId="6CE39747">
            <w:pPr>
              <w:jc w:val="center"/>
              <w:rPr>
                <w:color w:val="000000"/>
                <w:sz w:val="22"/>
                <w:szCs w:val="22"/>
              </w:rPr>
            </w:pPr>
            <w:r>
              <w:rPr>
                <w:color w:val="000000"/>
                <w:sz w:val="22"/>
                <w:szCs w:val="22"/>
              </w:rPr>
              <w:t>13.33</w:t>
            </w:r>
          </w:p>
        </w:tc>
      </w:tr>
      <w:tr w14:paraId="61AF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4D68BE03">
            <w:pPr>
              <w:pStyle w:val="20"/>
              <w:jc w:val="center"/>
              <w:rPr>
                <w:rFonts w:ascii="Times New Roman" w:hAnsi="Times New Roman" w:eastAsia="楷体_GB2312"/>
                <w:sz w:val="24"/>
                <w:szCs w:val="24"/>
              </w:rPr>
            </w:pPr>
          </w:p>
        </w:tc>
        <w:tc>
          <w:tcPr>
            <w:tcW w:w="0" w:type="auto"/>
            <w:vMerge w:val="continue"/>
            <w:noWrap w:val="0"/>
            <w:vAlign w:val="center"/>
          </w:tcPr>
          <w:p w14:paraId="571CCADB">
            <w:pPr>
              <w:pStyle w:val="20"/>
              <w:jc w:val="center"/>
              <w:rPr>
                <w:rFonts w:ascii="Times New Roman" w:hAnsi="Times New Roman" w:eastAsia="楷体_GB2312"/>
                <w:sz w:val="24"/>
                <w:szCs w:val="24"/>
              </w:rPr>
            </w:pPr>
          </w:p>
        </w:tc>
        <w:tc>
          <w:tcPr>
            <w:tcW w:w="0" w:type="auto"/>
            <w:noWrap w:val="0"/>
            <w:vAlign w:val="center"/>
          </w:tcPr>
          <w:p w14:paraId="7DF770D8">
            <w:pPr>
              <w:pStyle w:val="20"/>
              <w:jc w:val="center"/>
              <w:rPr>
                <w:rFonts w:ascii="Times New Roman" w:hAnsi="Times New Roman" w:eastAsia="楷体_GB2312"/>
                <w:sz w:val="24"/>
                <w:szCs w:val="24"/>
              </w:rPr>
            </w:pPr>
            <w:r>
              <w:rPr>
                <w:rFonts w:ascii="Times New Roman" w:hAnsi="Times New Roman" w:eastAsia="楷体_GB2312"/>
                <w:sz w:val="24"/>
                <w:szCs w:val="24"/>
              </w:rPr>
              <w:t>3</w:t>
            </w:r>
          </w:p>
        </w:tc>
        <w:tc>
          <w:tcPr>
            <w:tcW w:w="0" w:type="auto"/>
            <w:noWrap/>
            <w:vAlign w:val="center"/>
          </w:tcPr>
          <w:p w14:paraId="00A0EE33">
            <w:pPr>
              <w:jc w:val="center"/>
              <w:rPr>
                <w:color w:val="000000"/>
                <w:sz w:val="22"/>
                <w:szCs w:val="22"/>
              </w:rPr>
            </w:pPr>
            <w:r>
              <w:rPr>
                <w:color w:val="000000"/>
                <w:sz w:val="22"/>
                <w:szCs w:val="22"/>
              </w:rPr>
              <w:t>185</w:t>
            </w:r>
          </w:p>
        </w:tc>
        <w:tc>
          <w:tcPr>
            <w:tcW w:w="0" w:type="auto"/>
            <w:noWrap w:val="0"/>
            <w:vAlign w:val="center"/>
          </w:tcPr>
          <w:p w14:paraId="537C6C0B">
            <w:pPr>
              <w:jc w:val="center"/>
              <w:rPr>
                <w:color w:val="000000"/>
                <w:sz w:val="22"/>
                <w:szCs w:val="22"/>
              </w:rPr>
            </w:pPr>
            <w:r>
              <w:rPr>
                <w:color w:val="000000"/>
                <w:sz w:val="22"/>
                <w:szCs w:val="22"/>
              </w:rPr>
              <w:t>12.33</w:t>
            </w:r>
          </w:p>
        </w:tc>
        <w:tc>
          <w:tcPr>
            <w:tcW w:w="0" w:type="auto"/>
            <w:noWrap/>
            <w:vAlign w:val="center"/>
          </w:tcPr>
          <w:p w14:paraId="2F2D3AFC">
            <w:pPr>
              <w:jc w:val="center"/>
              <w:rPr>
                <w:color w:val="000000"/>
                <w:sz w:val="22"/>
                <w:szCs w:val="22"/>
              </w:rPr>
            </w:pPr>
            <w:r>
              <w:rPr>
                <w:color w:val="000000"/>
                <w:sz w:val="22"/>
                <w:szCs w:val="22"/>
              </w:rPr>
              <w:t>180</w:t>
            </w:r>
          </w:p>
        </w:tc>
        <w:tc>
          <w:tcPr>
            <w:tcW w:w="0" w:type="auto"/>
            <w:noWrap w:val="0"/>
            <w:vAlign w:val="center"/>
          </w:tcPr>
          <w:p w14:paraId="531092D8">
            <w:pPr>
              <w:jc w:val="center"/>
              <w:rPr>
                <w:color w:val="000000"/>
                <w:sz w:val="22"/>
                <w:szCs w:val="22"/>
              </w:rPr>
            </w:pPr>
            <w:r>
              <w:rPr>
                <w:color w:val="000000"/>
                <w:sz w:val="22"/>
                <w:szCs w:val="22"/>
              </w:rPr>
              <w:t>12.00</w:t>
            </w:r>
          </w:p>
        </w:tc>
        <w:tc>
          <w:tcPr>
            <w:tcW w:w="0" w:type="auto"/>
            <w:noWrap/>
            <w:vAlign w:val="center"/>
          </w:tcPr>
          <w:p w14:paraId="7687AB2F">
            <w:pPr>
              <w:jc w:val="center"/>
              <w:rPr>
                <w:color w:val="000000"/>
                <w:sz w:val="22"/>
                <w:szCs w:val="22"/>
              </w:rPr>
            </w:pPr>
            <w:r>
              <w:rPr>
                <w:color w:val="000000"/>
                <w:sz w:val="22"/>
                <w:szCs w:val="22"/>
              </w:rPr>
              <w:t>175</w:t>
            </w:r>
          </w:p>
        </w:tc>
        <w:tc>
          <w:tcPr>
            <w:tcW w:w="0" w:type="auto"/>
            <w:noWrap w:val="0"/>
            <w:vAlign w:val="center"/>
          </w:tcPr>
          <w:p w14:paraId="1FC6BC8D">
            <w:pPr>
              <w:jc w:val="center"/>
              <w:rPr>
                <w:color w:val="000000"/>
                <w:sz w:val="22"/>
                <w:szCs w:val="22"/>
              </w:rPr>
            </w:pPr>
            <w:r>
              <w:rPr>
                <w:color w:val="000000"/>
                <w:sz w:val="22"/>
                <w:szCs w:val="22"/>
              </w:rPr>
              <w:t>11.67</w:t>
            </w:r>
          </w:p>
        </w:tc>
        <w:tc>
          <w:tcPr>
            <w:tcW w:w="0" w:type="auto"/>
            <w:noWrap w:val="0"/>
            <w:vAlign w:val="center"/>
          </w:tcPr>
          <w:p w14:paraId="757427D1">
            <w:pPr>
              <w:jc w:val="center"/>
              <w:rPr>
                <w:color w:val="000000"/>
                <w:sz w:val="22"/>
                <w:szCs w:val="22"/>
              </w:rPr>
            </w:pPr>
            <w:r>
              <w:rPr>
                <w:color w:val="000000"/>
                <w:sz w:val="22"/>
                <w:szCs w:val="22"/>
              </w:rPr>
              <w:t>170</w:t>
            </w:r>
          </w:p>
        </w:tc>
        <w:tc>
          <w:tcPr>
            <w:tcW w:w="0" w:type="auto"/>
            <w:noWrap w:val="0"/>
            <w:vAlign w:val="center"/>
          </w:tcPr>
          <w:p w14:paraId="1E54BB30">
            <w:pPr>
              <w:jc w:val="center"/>
              <w:rPr>
                <w:color w:val="000000"/>
                <w:sz w:val="22"/>
                <w:szCs w:val="22"/>
              </w:rPr>
            </w:pPr>
            <w:r>
              <w:rPr>
                <w:color w:val="000000"/>
                <w:sz w:val="22"/>
                <w:szCs w:val="22"/>
              </w:rPr>
              <w:t>11.33</w:t>
            </w:r>
          </w:p>
        </w:tc>
        <w:tc>
          <w:tcPr>
            <w:tcW w:w="0" w:type="auto"/>
            <w:noWrap w:val="0"/>
            <w:vAlign w:val="center"/>
          </w:tcPr>
          <w:p w14:paraId="0D846428">
            <w:pPr>
              <w:jc w:val="center"/>
              <w:rPr>
                <w:color w:val="000000"/>
                <w:sz w:val="22"/>
                <w:szCs w:val="22"/>
              </w:rPr>
            </w:pPr>
            <w:r>
              <w:rPr>
                <w:color w:val="000000"/>
                <w:sz w:val="22"/>
                <w:szCs w:val="22"/>
              </w:rPr>
              <w:t>165</w:t>
            </w:r>
          </w:p>
        </w:tc>
        <w:tc>
          <w:tcPr>
            <w:tcW w:w="0" w:type="auto"/>
            <w:noWrap w:val="0"/>
            <w:vAlign w:val="center"/>
          </w:tcPr>
          <w:p w14:paraId="7AFDF504">
            <w:pPr>
              <w:jc w:val="center"/>
              <w:rPr>
                <w:color w:val="000000"/>
                <w:sz w:val="22"/>
                <w:szCs w:val="22"/>
              </w:rPr>
            </w:pPr>
            <w:r>
              <w:rPr>
                <w:color w:val="000000"/>
                <w:sz w:val="22"/>
                <w:szCs w:val="22"/>
              </w:rPr>
              <w:t>11.00</w:t>
            </w:r>
          </w:p>
        </w:tc>
        <w:tc>
          <w:tcPr>
            <w:tcW w:w="0" w:type="auto"/>
            <w:noWrap w:val="0"/>
            <w:vAlign w:val="center"/>
          </w:tcPr>
          <w:p w14:paraId="3AF8B33B">
            <w:pPr>
              <w:jc w:val="center"/>
              <w:rPr>
                <w:color w:val="000000"/>
                <w:sz w:val="22"/>
                <w:szCs w:val="22"/>
              </w:rPr>
            </w:pPr>
            <w:r>
              <w:rPr>
                <w:color w:val="000000"/>
                <w:sz w:val="22"/>
                <w:szCs w:val="22"/>
              </w:rPr>
              <w:t>160</w:t>
            </w:r>
          </w:p>
        </w:tc>
        <w:tc>
          <w:tcPr>
            <w:tcW w:w="0" w:type="auto"/>
            <w:noWrap w:val="0"/>
            <w:vAlign w:val="center"/>
          </w:tcPr>
          <w:p w14:paraId="064B48DD">
            <w:pPr>
              <w:jc w:val="center"/>
              <w:rPr>
                <w:color w:val="000000"/>
                <w:sz w:val="22"/>
                <w:szCs w:val="22"/>
              </w:rPr>
            </w:pPr>
            <w:r>
              <w:rPr>
                <w:color w:val="000000"/>
                <w:sz w:val="22"/>
                <w:szCs w:val="22"/>
              </w:rPr>
              <w:t>10.67</w:t>
            </w:r>
          </w:p>
        </w:tc>
      </w:tr>
      <w:tr w14:paraId="53AD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5789CE37">
            <w:pPr>
              <w:pStyle w:val="20"/>
              <w:jc w:val="center"/>
              <w:rPr>
                <w:rFonts w:ascii="Times New Roman" w:hAnsi="Times New Roman" w:eastAsia="楷体_GB2312"/>
                <w:sz w:val="24"/>
                <w:szCs w:val="24"/>
              </w:rPr>
            </w:pPr>
            <w:r>
              <w:rPr>
                <w:rFonts w:ascii="Times New Roman" w:hAnsi="Times New Roman" w:eastAsia="楷体_GB2312"/>
                <w:sz w:val="24"/>
                <w:szCs w:val="24"/>
              </w:rPr>
              <w:t>19</w:t>
            </w:r>
          </w:p>
        </w:tc>
        <w:tc>
          <w:tcPr>
            <w:tcW w:w="0" w:type="auto"/>
            <w:vMerge w:val="restart"/>
            <w:noWrap w:val="0"/>
            <w:vAlign w:val="center"/>
          </w:tcPr>
          <w:p w14:paraId="25B42495">
            <w:pPr>
              <w:pStyle w:val="20"/>
              <w:jc w:val="center"/>
              <w:rPr>
                <w:rFonts w:ascii="Times New Roman" w:hAnsi="Times New Roman" w:eastAsia="楷体_GB2312"/>
                <w:sz w:val="24"/>
                <w:szCs w:val="24"/>
              </w:rPr>
            </w:pPr>
            <w:r>
              <w:rPr>
                <w:rFonts w:ascii="Times New Roman" w:hAnsi="Times New Roman" w:eastAsia="楷体_GB2312"/>
                <w:sz w:val="24"/>
                <w:szCs w:val="24"/>
              </w:rPr>
              <w:t>永安镇</w:t>
            </w:r>
          </w:p>
        </w:tc>
        <w:tc>
          <w:tcPr>
            <w:tcW w:w="0" w:type="auto"/>
            <w:noWrap w:val="0"/>
            <w:vAlign w:val="center"/>
          </w:tcPr>
          <w:p w14:paraId="43677DE8">
            <w:pPr>
              <w:pStyle w:val="20"/>
              <w:jc w:val="center"/>
              <w:rPr>
                <w:rFonts w:ascii="Times New Roman" w:hAnsi="Times New Roman" w:eastAsia="楷体_GB2312"/>
                <w:sz w:val="24"/>
                <w:szCs w:val="24"/>
              </w:rPr>
            </w:pPr>
            <w:r>
              <w:rPr>
                <w:rFonts w:ascii="Times New Roman" w:hAnsi="Times New Roman" w:eastAsia="楷体_GB2312"/>
                <w:sz w:val="24"/>
                <w:szCs w:val="24"/>
              </w:rPr>
              <w:t>1</w:t>
            </w:r>
          </w:p>
        </w:tc>
        <w:tc>
          <w:tcPr>
            <w:tcW w:w="0" w:type="auto"/>
            <w:noWrap/>
            <w:vAlign w:val="center"/>
          </w:tcPr>
          <w:p w14:paraId="594308FF">
            <w:pPr>
              <w:jc w:val="center"/>
              <w:rPr>
                <w:color w:val="000000"/>
                <w:sz w:val="22"/>
                <w:szCs w:val="22"/>
              </w:rPr>
            </w:pPr>
            <w:r>
              <w:rPr>
                <w:color w:val="000000"/>
                <w:sz w:val="22"/>
                <w:szCs w:val="22"/>
              </w:rPr>
              <w:t>310</w:t>
            </w:r>
          </w:p>
        </w:tc>
        <w:tc>
          <w:tcPr>
            <w:tcW w:w="0" w:type="auto"/>
            <w:noWrap w:val="0"/>
            <w:vAlign w:val="center"/>
          </w:tcPr>
          <w:p w14:paraId="40985EB8">
            <w:pPr>
              <w:jc w:val="center"/>
              <w:rPr>
                <w:color w:val="000000"/>
                <w:sz w:val="22"/>
                <w:szCs w:val="22"/>
              </w:rPr>
            </w:pPr>
            <w:r>
              <w:rPr>
                <w:color w:val="000000"/>
                <w:sz w:val="22"/>
                <w:szCs w:val="22"/>
              </w:rPr>
              <w:t>20.67</w:t>
            </w:r>
          </w:p>
        </w:tc>
        <w:tc>
          <w:tcPr>
            <w:tcW w:w="0" w:type="auto"/>
            <w:noWrap/>
            <w:vAlign w:val="center"/>
          </w:tcPr>
          <w:p w14:paraId="693A12F9">
            <w:pPr>
              <w:jc w:val="center"/>
              <w:rPr>
                <w:color w:val="000000"/>
                <w:sz w:val="22"/>
                <w:szCs w:val="22"/>
              </w:rPr>
            </w:pPr>
            <w:r>
              <w:rPr>
                <w:color w:val="000000"/>
                <w:sz w:val="22"/>
                <w:szCs w:val="22"/>
              </w:rPr>
              <w:t>290</w:t>
            </w:r>
          </w:p>
        </w:tc>
        <w:tc>
          <w:tcPr>
            <w:tcW w:w="0" w:type="auto"/>
            <w:noWrap w:val="0"/>
            <w:vAlign w:val="center"/>
          </w:tcPr>
          <w:p w14:paraId="22D9B463">
            <w:pPr>
              <w:jc w:val="center"/>
              <w:rPr>
                <w:color w:val="000000"/>
                <w:sz w:val="22"/>
                <w:szCs w:val="22"/>
              </w:rPr>
            </w:pPr>
            <w:r>
              <w:rPr>
                <w:color w:val="000000"/>
                <w:sz w:val="22"/>
                <w:szCs w:val="22"/>
              </w:rPr>
              <w:t>19.33</w:t>
            </w:r>
          </w:p>
        </w:tc>
        <w:tc>
          <w:tcPr>
            <w:tcW w:w="0" w:type="auto"/>
            <w:noWrap/>
            <w:vAlign w:val="center"/>
          </w:tcPr>
          <w:p w14:paraId="4977BD55">
            <w:pPr>
              <w:jc w:val="center"/>
              <w:rPr>
                <w:color w:val="000000"/>
                <w:sz w:val="22"/>
                <w:szCs w:val="22"/>
              </w:rPr>
            </w:pPr>
            <w:r>
              <w:rPr>
                <w:color w:val="000000"/>
                <w:sz w:val="22"/>
                <w:szCs w:val="22"/>
              </w:rPr>
              <w:t>280</w:t>
            </w:r>
          </w:p>
        </w:tc>
        <w:tc>
          <w:tcPr>
            <w:tcW w:w="0" w:type="auto"/>
            <w:noWrap w:val="0"/>
            <w:vAlign w:val="center"/>
          </w:tcPr>
          <w:p w14:paraId="2A70AEA5">
            <w:pPr>
              <w:jc w:val="center"/>
              <w:rPr>
                <w:color w:val="000000"/>
                <w:sz w:val="22"/>
                <w:szCs w:val="22"/>
              </w:rPr>
            </w:pPr>
            <w:r>
              <w:rPr>
                <w:color w:val="000000"/>
                <w:sz w:val="22"/>
                <w:szCs w:val="22"/>
              </w:rPr>
              <w:t>18.67</w:t>
            </w:r>
          </w:p>
        </w:tc>
        <w:tc>
          <w:tcPr>
            <w:tcW w:w="0" w:type="auto"/>
            <w:noWrap w:val="0"/>
            <w:vAlign w:val="center"/>
          </w:tcPr>
          <w:p w14:paraId="0140F406">
            <w:pPr>
              <w:jc w:val="center"/>
              <w:rPr>
                <w:color w:val="000000"/>
                <w:sz w:val="22"/>
                <w:szCs w:val="22"/>
              </w:rPr>
            </w:pPr>
            <w:r>
              <w:rPr>
                <w:color w:val="000000"/>
                <w:sz w:val="22"/>
                <w:szCs w:val="22"/>
              </w:rPr>
              <w:t>270</w:t>
            </w:r>
          </w:p>
        </w:tc>
        <w:tc>
          <w:tcPr>
            <w:tcW w:w="0" w:type="auto"/>
            <w:noWrap w:val="0"/>
            <w:vAlign w:val="center"/>
          </w:tcPr>
          <w:p w14:paraId="4A209FC2">
            <w:pPr>
              <w:jc w:val="center"/>
              <w:rPr>
                <w:color w:val="000000"/>
                <w:sz w:val="22"/>
                <w:szCs w:val="22"/>
              </w:rPr>
            </w:pPr>
            <w:r>
              <w:rPr>
                <w:color w:val="000000"/>
                <w:sz w:val="22"/>
                <w:szCs w:val="22"/>
              </w:rPr>
              <w:t>18.00</w:t>
            </w:r>
          </w:p>
        </w:tc>
        <w:tc>
          <w:tcPr>
            <w:tcW w:w="0" w:type="auto"/>
            <w:noWrap w:val="0"/>
            <w:vAlign w:val="center"/>
          </w:tcPr>
          <w:p w14:paraId="35D55CF2">
            <w:pPr>
              <w:jc w:val="center"/>
              <w:rPr>
                <w:color w:val="000000"/>
                <w:sz w:val="22"/>
                <w:szCs w:val="22"/>
              </w:rPr>
            </w:pPr>
            <w:r>
              <w:rPr>
                <w:color w:val="000000"/>
                <w:sz w:val="22"/>
                <w:szCs w:val="22"/>
              </w:rPr>
              <w:t>260</w:t>
            </w:r>
          </w:p>
        </w:tc>
        <w:tc>
          <w:tcPr>
            <w:tcW w:w="0" w:type="auto"/>
            <w:noWrap w:val="0"/>
            <w:vAlign w:val="center"/>
          </w:tcPr>
          <w:p w14:paraId="604A94F5">
            <w:pPr>
              <w:jc w:val="center"/>
              <w:rPr>
                <w:color w:val="000000"/>
                <w:sz w:val="22"/>
                <w:szCs w:val="22"/>
              </w:rPr>
            </w:pPr>
            <w:r>
              <w:rPr>
                <w:color w:val="000000"/>
                <w:sz w:val="22"/>
                <w:szCs w:val="22"/>
              </w:rPr>
              <w:t>17.33</w:t>
            </w:r>
          </w:p>
        </w:tc>
        <w:tc>
          <w:tcPr>
            <w:tcW w:w="0" w:type="auto"/>
            <w:noWrap w:val="0"/>
            <w:vAlign w:val="center"/>
          </w:tcPr>
          <w:p w14:paraId="005C0260">
            <w:pPr>
              <w:jc w:val="center"/>
              <w:rPr>
                <w:color w:val="000000"/>
                <w:sz w:val="22"/>
                <w:szCs w:val="22"/>
              </w:rPr>
            </w:pPr>
            <w:r>
              <w:rPr>
                <w:color w:val="000000"/>
                <w:sz w:val="22"/>
                <w:szCs w:val="22"/>
              </w:rPr>
              <w:t>240</w:t>
            </w:r>
          </w:p>
        </w:tc>
        <w:tc>
          <w:tcPr>
            <w:tcW w:w="0" w:type="auto"/>
            <w:noWrap w:val="0"/>
            <w:vAlign w:val="center"/>
          </w:tcPr>
          <w:p w14:paraId="42C5E24F">
            <w:pPr>
              <w:jc w:val="center"/>
              <w:rPr>
                <w:color w:val="000000"/>
                <w:sz w:val="22"/>
                <w:szCs w:val="22"/>
              </w:rPr>
            </w:pPr>
            <w:r>
              <w:rPr>
                <w:color w:val="000000"/>
                <w:sz w:val="22"/>
                <w:szCs w:val="22"/>
              </w:rPr>
              <w:t>16.00</w:t>
            </w:r>
          </w:p>
        </w:tc>
      </w:tr>
      <w:tr w14:paraId="09261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1BBC338F">
            <w:pPr>
              <w:pStyle w:val="20"/>
              <w:jc w:val="center"/>
              <w:rPr>
                <w:rFonts w:ascii="Times New Roman" w:hAnsi="Times New Roman" w:eastAsia="楷体_GB2312"/>
                <w:sz w:val="24"/>
                <w:szCs w:val="24"/>
              </w:rPr>
            </w:pPr>
          </w:p>
        </w:tc>
        <w:tc>
          <w:tcPr>
            <w:tcW w:w="0" w:type="auto"/>
            <w:vMerge w:val="continue"/>
            <w:noWrap w:val="0"/>
            <w:vAlign w:val="center"/>
          </w:tcPr>
          <w:p w14:paraId="4200A4DB">
            <w:pPr>
              <w:pStyle w:val="20"/>
              <w:jc w:val="center"/>
              <w:rPr>
                <w:rFonts w:ascii="Times New Roman" w:hAnsi="Times New Roman" w:eastAsia="楷体_GB2312"/>
                <w:sz w:val="24"/>
                <w:szCs w:val="24"/>
              </w:rPr>
            </w:pPr>
          </w:p>
        </w:tc>
        <w:tc>
          <w:tcPr>
            <w:tcW w:w="0" w:type="auto"/>
            <w:noWrap w:val="0"/>
            <w:vAlign w:val="center"/>
          </w:tcPr>
          <w:p w14:paraId="037DE33B">
            <w:pPr>
              <w:pStyle w:val="20"/>
              <w:jc w:val="center"/>
              <w:rPr>
                <w:rFonts w:ascii="Times New Roman" w:hAnsi="Times New Roman" w:eastAsia="楷体_GB2312"/>
                <w:sz w:val="24"/>
                <w:szCs w:val="24"/>
              </w:rPr>
            </w:pPr>
            <w:r>
              <w:rPr>
                <w:rFonts w:ascii="Times New Roman" w:hAnsi="Times New Roman" w:eastAsia="楷体_GB2312"/>
                <w:sz w:val="24"/>
                <w:szCs w:val="24"/>
              </w:rPr>
              <w:t>2</w:t>
            </w:r>
          </w:p>
        </w:tc>
        <w:tc>
          <w:tcPr>
            <w:tcW w:w="0" w:type="auto"/>
            <w:noWrap/>
            <w:vAlign w:val="center"/>
          </w:tcPr>
          <w:p w14:paraId="72FE9022">
            <w:pPr>
              <w:jc w:val="center"/>
              <w:rPr>
                <w:color w:val="000000"/>
                <w:sz w:val="22"/>
                <w:szCs w:val="22"/>
              </w:rPr>
            </w:pPr>
            <w:r>
              <w:rPr>
                <w:color w:val="000000"/>
                <w:sz w:val="22"/>
                <w:szCs w:val="22"/>
              </w:rPr>
              <w:t>245</w:t>
            </w:r>
          </w:p>
        </w:tc>
        <w:tc>
          <w:tcPr>
            <w:tcW w:w="0" w:type="auto"/>
            <w:noWrap w:val="0"/>
            <w:vAlign w:val="center"/>
          </w:tcPr>
          <w:p w14:paraId="5691A7D2">
            <w:pPr>
              <w:jc w:val="center"/>
              <w:rPr>
                <w:color w:val="000000"/>
                <w:sz w:val="22"/>
                <w:szCs w:val="22"/>
              </w:rPr>
            </w:pPr>
            <w:r>
              <w:rPr>
                <w:color w:val="000000"/>
                <w:sz w:val="22"/>
                <w:szCs w:val="22"/>
              </w:rPr>
              <w:t>16.33</w:t>
            </w:r>
          </w:p>
        </w:tc>
        <w:tc>
          <w:tcPr>
            <w:tcW w:w="0" w:type="auto"/>
            <w:noWrap/>
            <w:vAlign w:val="center"/>
          </w:tcPr>
          <w:p w14:paraId="7B9807CB">
            <w:pPr>
              <w:jc w:val="center"/>
              <w:rPr>
                <w:color w:val="000000"/>
                <w:sz w:val="22"/>
                <w:szCs w:val="22"/>
              </w:rPr>
            </w:pPr>
            <w:r>
              <w:rPr>
                <w:color w:val="000000"/>
                <w:sz w:val="22"/>
                <w:szCs w:val="22"/>
              </w:rPr>
              <w:t>235</w:t>
            </w:r>
          </w:p>
        </w:tc>
        <w:tc>
          <w:tcPr>
            <w:tcW w:w="0" w:type="auto"/>
            <w:noWrap w:val="0"/>
            <w:vAlign w:val="center"/>
          </w:tcPr>
          <w:p w14:paraId="00440577">
            <w:pPr>
              <w:jc w:val="center"/>
              <w:rPr>
                <w:color w:val="000000"/>
                <w:sz w:val="22"/>
                <w:szCs w:val="22"/>
              </w:rPr>
            </w:pPr>
            <w:r>
              <w:rPr>
                <w:color w:val="000000"/>
                <w:sz w:val="22"/>
                <w:szCs w:val="22"/>
              </w:rPr>
              <w:t>15.67</w:t>
            </w:r>
          </w:p>
        </w:tc>
        <w:tc>
          <w:tcPr>
            <w:tcW w:w="0" w:type="auto"/>
            <w:noWrap/>
            <w:vAlign w:val="center"/>
          </w:tcPr>
          <w:p w14:paraId="7FE78913">
            <w:pPr>
              <w:jc w:val="center"/>
              <w:rPr>
                <w:color w:val="000000"/>
                <w:sz w:val="22"/>
                <w:szCs w:val="22"/>
              </w:rPr>
            </w:pPr>
            <w:r>
              <w:rPr>
                <w:color w:val="000000"/>
                <w:sz w:val="22"/>
                <w:szCs w:val="22"/>
              </w:rPr>
              <w:t>225</w:t>
            </w:r>
          </w:p>
        </w:tc>
        <w:tc>
          <w:tcPr>
            <w:tcW w:w="0" w:type="auto"/>
            <w:noWrap w:val="0"/>
            <w:vAlign w:val="center"/>
          </w:tcPr>
          <w:p w14:paraId="3120F0EB">
            <w:pPr>
              <w:jc w:val="center"/>
              <w:rPr>
                <w:color w:val="000000"/>
                <w:sz w:val="22"/>
                <w:szCs w:val="22"/>
              </w:rPr>
            </w:pPr>
            <w:r>
              <w:rPr>
                <w:color w:val="000000"/>
                <w:sz w:val="22"/>
                <w:szCs w:val="22"/>
              </w:rPr>
              <w:t>15.00</w:t>
            </w:r>
          </w:p>
        </w:tc>
        <w:tc>
          <w:tcPr>
            <w:tcW w:w="0" w:type="auto"/>
            <w:noWrap w:val="0"/>
            <w:vAlign w:val="center"/>
          </w:tcPr>
          <w:p w14:paraId="3512206A">
            <w:pPr>
              <w:jc w:val="center"/>
              <w:rPr>
                <w:color w:val="000000"/>
                <w:sz w:val="22"/>
                <w:szCs w:val="22"/>
              </w:rPr>
            </w:pPr>
            <w:r>
              <w:rPr>
                <w:color w:val="000000"/>
                <w:sz w:val="22"/>
                <w:szCs w:val="22"/>
              </w:rPr>
              <w:t>220</w:t>
            </w:r>
          </w:p>
        </w:tc>
        <w:tc>
          <w:tcPr>
            <w:tcW w:w="0" w:type="auto"/>
            <w:noWrap w:val="0"/>
            <w:vAlign w:val="center"/>
          </w:tcPr>
          <w:p w14:paraId="69C1FFA4">
            <w:pPr>
              <w:jc w:val="center"/>
              <w:rPr>
                <w:color w:val="000000"/>
                <w:sz w:val="22"/>
                <w:szCs w:val="22"/>
              </w:rPr>
            </w:pPr>
            <w:r>
              <w:rPr>
                <w:color w:val="000000"/>
                <w:sz w:val="22"/>
                <w:szCs w:val="22"/>
              </w:rPr>
              <w:t>14.67</w:t>
            </w:r>
          </w:p>
        </w:tc>
        <w:tc>
          <w:tcPr>
            <w:tcW w:w="0" w:type="auto"/>
            <w:noWrap w:val="0"/>
            <w:vAlign w:val="center"/>
          </w:tcPr>
          <w:p w14:paraId="59A2D9F7">
            <w:pPr>
              <w:jc w:val="center"/>
              <w:rPr>
                <w:color w:val="000000"/>
                <w:sz w:val="22"/>
                <w:szCs w:val="22"/>
              </w:rPr>
            </w:pPr>
            <w:r>
              <w:rPr>
                <w:color w:val="000000"/>
                <w:sz w:val="22"/>
                <w:szCs w:val="22"/>
              </w:rPr>
              <w:t>215</w:t>
            </w:r>
          </w:p>
        </w:tc>
        <w:tc>
          <w:tcPr>
            <w:tcW w:w="0" w:type="auto"/>
            <w:noWrap w:val="0"/>
            <w:vAlign w:val="center"/>
          </w:tcPr>
          <w:p w14:paraId="4FB068C6">
            <w:pPr>
              <w:jc w:val="center"/>
              <w:rPr>
                <w:color w:val="000000"/>
                <w:sz w:val="22"/>
                <w:szCs w:val="22"/>
              </w:rPr>
            </w:pPr>
            <w:r>
              <w:rPr>
                <w:color w:val="000000"/>
                <w:sz w:val="22"/>
                <w:szCs w:val="22"/>
              </w:rPr>
              <w:t>14.33</w:t>
            </w:r>
          </w:p>
        </w:tc>
        <w:tc>
          <w:tcPr>
            <w:tcW w:w="0" w:type="auto"/>
            <w:noWrap w:val="0"/>
            <w:vAlign w:val="center"/>
          </w:tcPr>
          <w:p w14:paraId="6B304661">
            <w:pPr>
              <w:jc w:val="center"/>
              <w:rPr>
                <w:color w:val="000000"/>
                <w:sz w:val="22"/>
                <w:szCs w:val="22"/>
              </w:rPr>
            </w:pPr>
            <w:r>
              <w:rPr>
                <w:color w:val="000000"/>
                <w:sz w:val="22"/>
                <w:szCs w:val="22"/>
              </w:rPr>
              <w:t>205</w:t>
            </w:r>
          </w:p>
        </w:tc>
        <w:tc>
          <w:tcPr>
            <w:tcW w:w="0" w:type="auto"/>
            <w:noWrap w:val="0"/>
            <w:vAlign w:val="center"/>
          </w:tcPr>
          <w:p w14:paraId="66333550">
            <w:pPr>
              <w:jc w:val="center"/>
              <w:rPr>
                <w:color w:val="000000"/>
                <w:sz w:val="22"/>
                <w:szCs w:val="22"/>
              </w:rPr>
            </w:pPr>
            <w:r>
              <w:rPr>
                <w:color w:val="000000"/>
                <w:sz w:val="22"/>
                <w:szCs w:val="22"/>
              </w:rPr>
              <w:t>13.67</w:t>
            </w:r>
          </w:p>
        </w:tc>
      </w:tr>
      <w:tr w14:paraId="1FA23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455B517E">
            <w:pPr>
              <w:pStyle w:val="20"/>
              <w:jc w:val="center"/>
              <w:rPr>
                <w:rFonts w:ascii="Times New Roman" w:hAnsi="Times New Roman" w:eastAsia="楷体_GB2312"/>
                <w:sz w:val="24"/>
                <w:szCs w:val="24"/>
              </w:rPr>
            </w:pPr>
          </w:p>
        </w:tc>
        <w:tc>
          <w:tcPr>
            <w:tcW w:w="0" w:type="auto"/>
            <w:vMerge w:val="continue"/>
            <w:noWrap w:val="0"/>
            <w:vAlign w:val="center"/>
          </w:tcPr>
          <w:p w14:paraId="490886FD">
            <w:pPr>
              <w:pStyle w:val="20"/>
              <w:jc w:val="center"/>
              <w:rPr>
                <w:rFonts w:ascii="Times New Roman" w:hAnsi="Times New Roman" w:eastAsia="楷体_GB2312"/>
                <w:sz w:val="24"/>
                <w:szCs w:val="24"/>
              </w:rPr>
            </w:pPr>
          </w:p>
        </w:tc>
        <w:tc>
          <w:tcPr>
            <w:tcW w:w="0" w:type="auto"/>
            <w:noWrap w:val="0"/>
            <w:vAlign w:val="center"/>
          </w:tcPr>
          <w:p w14:paraId="644985B4">
            <w:pPr>
              <w:pStyle w:val="20"/>
              <w:jc w:val="center"/>
              <w:rPr>
                <w:rFonts w:ascii="Times New Roman" w:hAnsi="Times New Roman" w:eastAsia="楷体_GB2312"/>
                <w:sz w:val="24"/>
                <w:szCs w:val="24"/>
              </w:rPr>
            </w:pPr>
            <w:r>
              <w:rPr>
                <w:rFonts w:ascii="Times New Roman" w:hAnsi="Times New Roman" w:eastAsia="楷体_GB2312"/>
                <w:sz w:val="24"/>
                <w:szCs w:val="24"/>
              </w:rPr>
              <w:t>3</w:t>
            </w:r>
          </w:p>
        </w:tc>
        <w:tc>
          <w:tcPr>
            <w:tcW w:w="0" w:type="auto"/>
            <w:noWrap/>
            <w:vAlign w:val="center"/>
          </w:tcPr>
          <w:p w14:paraId="356E3DEB">
            <w:pPr>
              <w:jc w:val="center"/>
              <w:rPr>
                <w:color w:val="000000"/>
                <w:sz w:val="22"/>
                <w:szCs w:val="22"/>
              </w:rPr>
            </w:pPr>
            <w:r>
              <w:rPr>
                <w:color w:val="000000"/>
                <w:sz w:val="22"/>
                <w:szCs w:val="22"/>
              </w:rPr>
              <w:t>185</w:t>
            </w:r>
          </w:p>
        </w:tc>
        <w:tc>
          <w:tcPr>
            <w:tcW w:w="0" w:type="auto"/>
            <w:noWrap w:val="0"/>
            <w:vAlign w:val="center"/>
          </w:tcPr>
          <w:p w14:paraId="1E4591CB">
            <w:pPr>
              <w:jc w:val="center"/>
              <w:rPr>
                <w:color w:val="000000"/>
                <w:sz w:val="22"/>
                <w:szCs w:val="22"/>
              </w:rPr>
            </w:pPr>
            <w:r>
              <w:rPr>
                <w:color w:val="000000"/>
                <w:sz w:val="22"/>
                <w:szCs w:val="22"/>
              </w:rPr>
              <w:t>12.33</w:t>
            </w:r>
          </w:p>
        </w:tc>
        <w:tc>
          <w:tcPr>
            <w:tcW w:w="0" w:type="auto"/>
            <w:noWrap/>
            <w:vAlign w:val="center"/>
          </w:tcPr>
          <w:p w14:paraId="360E85B9">
            <w:pPr>
              <w:jc w:val="center"/>
              <w:rPr>
                <w:color w:val="000000"/>
                <w:sz w:val="22"/>
                <w:szCs w:val="22"/>
              </w:rPr>
            </w:pPr>
            <w:r>
              <w:rPr>
                <w:color w:val="000000"/>
                <w:sz w:val="22"/>
                <w:szCs w:val="22"/>
              </w:rPr>
              <w:t>180</w:t>
            </w:r>
          </w:p>
        </w:tc>
        <w:tc>
          <w:tcPr>
            <w:tcW w:w="0" w:type="auto"/>
            <w:noWrap w:val="0"/>
            <w:vAlign w:val="center"/>
          </w:tcPr>
          <w:p w14:paraId="59D70DE1">
            <w:pPr>
              <w:jc w:val="center"/>
              <w:rPr>
                <w:color w:val="000000"/>
                <w:sz w:val="22"/>
                <w:szCs w:val="22"/>
              </w:rPr>
            </w:pPr>
            <w:r>
              <w:rPr>
                <w:color w:val="000000"/>
                <w:sz w:val="22"/>
                <w:szCs w:val="22"/>
              </w:rPr>
              <w:t>12.00</w:t>
            </w:r>
          </w:p>
        </w:tc>
        <w:tc>
          <w:tcPr>
            <w:tcW w:w="0" w:type="auto"/>
            <w:noWrap/>
            <w:vAlign w:val="center"/>
          </w:tcPr>
          <w:p w14:paraId="5B149DDA">
            <w:pPr>
              <w:jc w:val="center"/>
              <w:rPr>
                <w:color w:val="000000"/>
                <w:sz w:val="22"/>
                <w:szCs w:val="22"/>
              </w:rPr>
            </w:pPr>
            <w:r>
              <w:rPr>
                <w:color w:val="000000"/>
                <w:sz w:val="22"/>
                <w:szCs w:val="22"/>
              </w:rPr>
              <w:t>175</w:t>
            </w:r>
          </w:p>
        </w:tc>
        <w:tc>
          <w:tcPr>
            <w:tcW w:w="0" w:type="auto"/>
            <w:noWrap w:val="0"/>
            <w:vAlign w:val="center"/>
          </w:tcPr>
          <w:p w14:paraId="3D6C773F">
            <w:pPr>
              <w:jc w:val="center"/>
              <w:rPr>
                <w:color w:val="000000"/>
                <w:sz w:val="22"/>
                <w:szCs w:val="22"/>
              </w:rPr>
            </w:pPr>
            <w:r>
              <w:rPr>
                <w:color w:val="000000"/>
                <w:sz w:val="22"/>
                <w:szCs w:val="22"/>
              </w:rPr>
              <w:t>11.67</w:t>
            </w:r>
          </w:p>
        </w:tc>
        <w:tc>
          <w:tcPr>
            <w:tcW w:w="0" w:type="auto"/>
            <w:noWrap w:val="0"/>
            <w:vAlign w:val="center"/>
          </w:tcPr>
          <w:p w14:paraId="5A427EDE">
            <w:pPr>
              <w:jc w:val="center"/>
              <w:rPr>
                <w:color w:val="000000"/>
                <w:sz w:val="22"/>
                <w:szCs w:val="22"/>
              </w:rPr>
            </w:pPr>
            <w:r>
              <w:rPr>
                <w:color w:val="000000"/>
                <w:sz w:val="22"/>
                <w:szCs w:val="22"/>
              </w:rPr>
              <w:t>170</w:t>
            </w:r>
          </w:p>
        </w:tc>
        <w:tc>
          <w:tcPr>
            <w:tcW w:w="0" w:type="auto"/>
            <w:noWrap w:val="0"/>
            <w:vAlign w:val="center"/>
          </w:tcPr>
          <w:p w14:paraId="3D49E6A6">
            <w:pPr>
              <w:jc w:val="center"/>
              <w:rPr>
                <w:color w:val="000000"/>
                <w:sz w:val="22"/>
                <w:szCs w:val="22"/>
              </w:rPr>
            </w:pPr>
            <w:r>
              <w:rPr>
                <w:color w:val="000000"/>
                <w:sz w:val="22"/>
                <w:szCs w:val="22"/>
              </w:rPr>
              <w:t>11.33</w:t>
            </w:r>
          </w:p>
        </w:tc>
        <w:tc>
          <w:tcPr>
            <w:tcW w:w="0" w:type="auto"/>
            <w:noWrap w:val="0"/>
            <w:vAlign w:val="center"/>
          </w:tcPr>
          <w:p w14:paraId="13602446">
            <w:pPr>
              <w:jc w:val="center"/>
              <w:rPr>
                <w:color w:val="000000"/>
                <w:sz w:val="22"/>
                <w:szCs w:val="22"/>
              </w:rPr>
            </w:pPr>
            <w:r>
              <w:rPr>
                <w:color w:val="000000"/>
                <w:sz w:val="22"/>
                <w:szCs w:val="22"/>
              </w:rPr>
              <w:t>165</w:t>
            </w:r>
          </w:p>
        </w:tc>
        <w:tc>
          <w:tcPr>
            <w:tcW w:w="0" w:type="auto"/>
            <w:noWrap w:val="0"/>
            <w:vAlign w:val="center"/>
          </w:tcPr>
          <w:p w14:paraId="08052872">
            <w:pPr>
              <w:jc w:val="center"/>
              <w:rPr>
                <w:color w:val="000000"/>
                <w:sz w:val="22"/>
                <w:szCs w:val="22"/>
              </w:rPr>
            </w:pPr>
            <w:r>
              <w:rPr>
                <w:color w:val="000000"/>
                <w:sz w:val="22"/>
                <w:szCs w:val="22"/>
              </w:rPr>
              <w:t>11.00</w:t>
            </w:r>
          </w:p>
        </w:tc>
        <w:tc>
          <w:tcPr>
            <w:tcW w:w="0" w:type="auto"/>
            <w:noWrap w:val="0"/>
            <w:vAlign w:val="center"/>
          </w:tcPr>
          <w:p w14:paraId="65AC5F83">
            <w:pPr>
              <w:jc w:val="center"/>
              <w:rPr>
                <w:color w:val="000000"/>
                <w:sz w:val="22"/>
                <w:szCs w:val="22"/>
              </w:rPr>
            </w:pPr>
            <w:r>
              <w:rPr>
                <w:color w:val="000000"/>
                <w:sz w:val="22"/>
                <w:szCs w:val="22"/>
              </w:rPr>
              <w:t>160</w:t>
            </w:r>
          </w:p>
        </w:tc>
        <w:tc>
          <w:tcPr>
            <w:tcW w:w="0" w:type="auto"/>
            <w:noWrap w:val="0"/>
            <w:vAlign w:val="center"/>
          </w:tcPr>
          <w:p w14:paraId="5ABD16D8">
            <w:pPr>
              <w:jc w:val="center"/>
              <w:rPr>
                <w:color w:val="000000"/>
                <w:sz w:val="22"/>
                <w:szCs w:val="22"/>
              </w:rPr>
            </w:pPr>
            <w:r>
              <w:rPr>
                <w:color w:val="000000"/>
                <w:sz w:val="22"/>
                <w:szCs w:val="22"/>
              </w:rPr>
              <w:t>10.67</w:t>
            </w:r>
          </w:p>
        </w:tc>
      </w:tr>
      <w:tr w14:paraId="440E7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48C1BBBE">
            <w:pPr>
              <w:pStyle w:val="20"/>
              <w:jc w:val="center"/>
              <w:rPr>
                <w:rFonts w:ascii="Times New Roman" w:hAnsi="Times New Roman" w:eastAsia="楷体_GB2312"/>
                <w:sz w:val="24"/>
                <w:szCs w:val="24"/>
              </w:rPr>
            </w:pPr>
            <w:r>
              <w:rPr>
                <w:rFonts w:ascii="Times New Roman" w:hAnsi="Times New Roman" w:eastAsia="楷体_GB2312"/>
                <w:sz w:val="24"/>
                <w:szCs w:val="24"/>
              </w:rPr>
              <w:t>20</w:t>
            </w:r>
          </w:p>
        </w:tc>
        <w:tc>
          <w:tcPr>
            <w:tcW w:w="0" w:type="auto"/>
            <w:vMerge w:val="restart"/>
            <w:noWrap w:val="0"/>
            <w:vAlign w:val="center"/>
          </w:tcPr>
          <w:p w14:paraId="3C6E397F">
            <w:pPr>
              <w:pStyle w:val="20"/>
              <w:jc w:val="center"/>
              <w:rPr>
                <w:rFonts w:ascii="Times New Roman" w:hAnsi="Times New Roman" w:eastAsia="楷体_GB2312"/>
                <w:sz w:val="24"/>
                <w:szCs w:val="24"/>
              </w:rPr>
            </w:pPr>
            <w:r>
              <w:rPr>
                <w:rFonts w:ascii="Times New Roman" w:hAnsi="Times New Roman" w:eastAsia="楷体_GB2312"/>
                <w:sz w:val="24"/>
                <w:szCs w:val="24"/>
              </w:rPr>
              <w:t>支河乡</w:t>
            </w:r>
          </w:p>
        </w:tc>
        <w:tc>
          <w:tcPr>
            <w:tcW w:w="0" w:type="auto"/>
            <w:noWrap w:val="0"/>
            <w:vAlign w:val="center"/>
          </w:tcPr>
          <w:p w14:paraId="20DB41D9">
            <w:pPr>
              <w:pStyle w:val="20"/>
              <w:jc w:val="center"/>
              <w:rPr>
                <w:rFonts w:ascii="Times New Roman" w:hAnsi="Times New Roman" w:eastAsia="楷体_GB2312"/>
                <w:sz w:val="24"/>
                <w:szCs w:val="24"/>
              </w:rPr>
            </w:pPr>
            <w:r>
              <w:rPr>
                <w:rFonts w:ascii="Times New Roman" w:hAnsi="Times New Roman" w:eastAsia="楷体_GB2312"/>
                <w:sz w:val="24"/>
                <w:szCs w:val="24"/>
              </w:rPr>
              <w:t>1</w:t>
            </w:r>
          </w:p>
        </w:tc>
        <w:tc>
          <w:tcPr>
            <w:tcW w:w="0" w:type="auto"/>
            <w:noWrap/>
            <w:vAlign w:val="center"/>
          </w:tcPr>
          <w:p w14:paraId="4D7D17C1">
            <w:pPr>
              <w:jc w:val="center"/>
              <w:rPr>
                <w:color w:val="000000"/>
                <w:sz w:val="22"/>
                <w:szCs w:val="22"/>
              </w:rPr>
            </w:pPr>
            <w:r>
              <w:rPr>
                <w:color w:val="000000"/>
                <w:sz w:val="22"/>
                <w:szCs w:val="22"/>
              </w:rPr>
              <w:t>295</w:t>
            </w:r>
          </w:p>
        </w:tc>
        <w:tc>
          <w:tcPr>
            <w:tcW w:w="0" w:type="auto"/>
            <w:noWrap w:val="0"/>
            <w:vAlign w:val="center"/>
          </w:tcPr>
          <w:p w14:paraId="376A83E1">
            <w:pPr>
              <w:jc w:val="center"/>
              <w:rPr>
                <w:color w:val="000000"/>
                <w:sz w:val="22"/>
                <w:szCs w:val="22"/>
              </w:rPr>
            </w:pPr>
            <w:r>
              <w:rPr>
                <w:color w:val="000000"/>
                <w:sz w:val="22"/>
                <w:szCs w:val="22"/>
              </w:rPr>
              <w:t>19.67</w:t>
            </w:r>
          </w:p>
        </w:tc>
        <w:tc>
          <w:tcPr>
            <w:tcW w:w="0" w:type="auto"/>
            <w:noWrap/>
            <w:vAlign w:val="center"/>
          </w:tcPr>
          <w:p w14:paraId="5B9832FF">
            <w:pPr>
              <w:jc w:val="center"/>
              <w:rPr>
                <w:color w:val="000000"/>
                <w:sz w:val="22"/>
                <w:szCs w:val="22"/>
              </w:rPr>
            </w:pPr>
            <w:r>
              <w:rPr>
                <w:color w:val="000000"/>
                <w:sz w:val="22"/>
                <w:szCs w:val="22"/>
              </w:rPr>
              <w:t>275</w:t>
            </w:r>
          </w:p>
        </w:tc>
        <w:tc>
          <w:tcPr>
            <w:tcW w:w="0" w:type="auto"/>
            <w:noWrap w:val="0"/>
            <w:vAlign w:val="center"/>
          </w:tcPr>
          <w:p w14:paraId="75CDC90F">
            <w:pPr>
              <w:jc w:val="center"/>
              <w:rPr>
                <w:color w:val="000000"/>
                <w:sz w:val="22"/>
                <w:szCs w:val="22"/>
              </w:rPr>
            </w:pPr>
            <w:r>
              <w:rPr>
                <w:color w:val="000000"/>
                <w:sz w:val="22"/>
                <w:szCs w:val="22"/>
              </w:rPr>
              <w:t>18.33</w:t>
            </w:r>
          </w:p>
        </w:tc>
        <w:tc>
          <w:tcPr>
            <w:tcW w:w="0" w:type="auto"/>
            <w:noWrap/>
            <w:vAlign w:val="center"/>
          </w:tcPr>
          <w:p w14:paraId="352E0C38">
            <w:pPr>
              <w:jc w:val="center"/>
              <w:rPr>
                <w:color w:val="000000"/>
                <w:sz w:val="22"/>
                <w:szCs w:val="22"/>
              </w:rPr>
            </w:pPr>
            <w:r>
              <w:rPr>
                <w:color w:val="000000"/>
                <w:sz w:val="22"/>
                <w:szCs w:val="22"/>
              </w:rPr>
              <w:t>265</w:t>
            </w:r>
          </w:p>
        </w:tc>
        <w:tc>
          <w:tcPr>
            <w:tcW w:w="0" w:type="auto"/>
            <w:noWrap w:val="0"/>
            <w:vAlign w:val="center"/>
          </w:tcPr>
          <w:p w14:paraId="79DB9353">
            <w:pPr>
              <w:jc w:val="center"/>
              <w:rPr>
                <w:color w:val="000000"/>
                <w:sz w:val="22"/>
                <w:szCs w:val="22"/>
              </w:rPr>
            </w:pPr>
            <w:r>
              <w:rPr>
                <w:color w:val="000000"/>
                <w:sz w:val="22"/>
                <w:szCs w:val="22"/>
              </w:rPr>
              <w:t>17.67</w:t>
            </w:r>
          </w:p>
        </w:tc>
        <w:tc>
          <w:tcPr>
            <w:tcW w:w="0" w:type="auto"/>
            <w:noWrap w:val="0"/>
            <w:vAlign w:val="center"/>
          </w:tcPr>
          <w:p w14:paraId="22155211">
            <w:pPr>
              <w:jc w:val="center"/>
              <w:rPr>
                <w:color w:val="000000"/>
                <w:sz w:val="22"/>
                <w:szCs w:val="22"/>
              </w:rPr>
            </w:pPr>
            <w:r>
              <w:rPr>
                <w:color w:val="000000"/>
                <w:sz w:val="22"/>
                <w:szCs w:val="22"/>
              </w:rPr>
              <w:t>255</w:t>
            </w:r>
          </w:p>
        </w:tc>
        <w:tc>
          <w:tcPr>
            <w:tcW w:w="0" w:type="auto"/>
            <w:noWrap w:val="0"/>
            <w:vAlign w:val="center"/>
          </w:tcPr>
          <w:p w14:paraId="7998DBBD">
            <w:pPr>
              <w:jc w:val="center"/>
              <w:rPr>
                <w:color w:val="000000"/>
                <w:sz w:val="22"/>
                <w:szCs w:val="22"/>
              </w:rPr>
            </w:pPr>
            <w:r>
              <w:rPr>
                <w:color w:val="000000"/>
                <w:sz w:val="22"/>
                <w:szCs w:val="22"/>
              </w:rPr>
              <w:t>17.00</w:t>
            </w:r>
          </w:p>
        </w:tc>
        <w:tc>
          <w:tcPr>
            <w:tcW w:w="0" w:type="auto"/>
            <w:noWrap w:val="0"/>
            <w:vAlign w:val="center"/>
          </w:tcPr>
          <w:p w14:paraId="7537D6A0">
            <w:pPr>
              <w:jc w:val="center"/>
              <w:rPr>
                <w:color w:val="000000"/>
                <w:sz w:val="22"/>
                <w:szCs w:val="22"/>
              </w:rPr>
            </w:pPr>
            <w:r>
              <w:rPr>
                <w:color w:val="000000"/>
                <w:sz w:val="22"/>
                <w:szCs w:val="22"/>
              </w:rPr>
              <w:t>245</w:t>
            </w:r>
          </w:p>
        </w:tc>
        <w:tc>
          <w:tcPr>
            <w:tcW w:w="0" w:type="auto"/>
            <w:noWrap w:val="0"/>
            <w:vAlign w:val="center"/>
          </w:tcPr>
          <w:p w14:paraId="087C142E">
            <w:pPr>
              <w:jc w:val="center"/>
              <w:rPr>
                <w:color w:val="000000"/>
                <w:sz w:val="22"/>
                <w:szCs w:val="22"/>
              </w:rPr>
            </w:pPr>
            <w:r>
              <w:rPr>
                <w:color w:val="000000"/>
                <w:sz w:val="22"/>
                <w:szCs w:val="22"/>
              </w:rPr>
              <w:t>16.33</w:t>
            </w:r>
          </w:p>
        </w:tc>
        <w:tc>
          <w:tcPr>
            <w:tcW w:w="0" w:type="auto"/>
            <w:noWrap w:val="0"/>
            <w:vAlign w:val="center"/>
          </w:tcPr>
          <w:p w14:paraId="51CAB513">
            <w:pPr>
              <w:jc w:val="center"/>
              <w:rPr>
                <w:color w:val="000000"/>
                <w:sz w:val="22"/>
                <w:szCs w:val="22"/>
              </w:rPr>
            </w:pPr>
            <w:r>
              <w:rPr>
                <w:color w:val="000000"/>
                <w:sz w:val="22"/>
                <w:szCs w:val="22"/>
              </w:rPr>
              <w:t>225</w:t>
            </w:r>
          </w:p>
        </w:tc>
        <w:tc>
          <w:tcPr>
            <w:tcW w:w="0" w:type="auto"/>
            <w:noWrap w:val="0"/>
            <w:vAlign w:val="center"/>
          </w:tcPr>
          <w:p w14:paraId="308755C0">
            <w:pPr>
              <w:jc w:val="center"/>
              <w:rPr>
                <w:color w:val="000000"/>
                <w:sz w:val="22"/>
                <w:szCs w:val="22"/>
              </w:rPr>
            </w:pPr>
            <w:r>
              <w:rPr>
                <w:color w:val="000000"/>
                <w:sz w:val="22"/>
                <w:szCs w:val="22"/>
              </w:rPr>
              <w:t>15.00</w:t>
            </w:r>
          </w:p>
        </w:tc>
      </w:tr>
      <w:tr w14:paraId="5D048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6530F334">
            <w:pPr>
              <w:pStyle w:val="20"/>
              <w:jc w:val="center"/>
              <w:rPr>
                <w:rFonts w:ascii="Times New Roman" w:hAnsi="Times New Roman" w:eastAsia="楷体_GB2312"/>
                <w:sz w:val="24"/>
                <w:szCs w:val="24"/>
              </w:rPr>
            </w:pPr>
          </w:p>
        </w:tc>
        <w:tc>
          <w:tcPr>
            <w:tcW w:w="0" w:type="auto"/>
            <w:vMerge w:val="continue"/>
            <w:noWrap w:val="0"/>
            <w:vAlign w:val="center"/>
          </w:tcPr>
          <w:p w14:paraId="7F3DB9D7">
            <w:pPr>
              <w:pStyle w:val="20"/>
              <w:jc w:val="center"/>
              <w:rPr>
                <w:rFonts w:ascii="Times New Roman" w:hAnsi="Times New Roman" w:eastAsia="楷体_GB2312"/>
                <w:sz w:val="24"/>
                <w:szCs w:val="24"/>
              </w:rPr>
            </w:pPr>
          </w:p>
        </w:tc>
        <w:tc>
          <w:tcPr>
            <w:tcW w:w="0" w:type="auto"/>
            <w:noWrap w:val="0"/>
            <w:vAlign w:val="center"/>
          </w:tcPr>
          <w:p w14:paraId="5CAE2B6A">
            <w:pPr>
              <w:pStyle w:val="20"/>
              <w:jc w:val="center"/>
              <w:rPr>
                <w:rFonts w:ascii="Times New Roman" w:hAnsi="Times New Roman" w:eastAsia="楷体_GB2312"/>
                <w:sz w:val="24"/>
                <w:szCs w:val="24"/>
              </w:rPr>
            </w:pPr>
            <w:r>
              <w:rPr>
                <w:rFonts w:ascii="Times New Roman" w:hAnsi="Times New Roman" w:eastAsia="楷体_GB2312"/>
                <w:sz w:val="24"/>
                <w:szCs w:val="24"/>
              </w:rPr>
              <w:t>2</w:t>
            </w:r>
          </w:p>
        </w:tc>
        <w:tc>
          <w:tcPr>
            <w:tcW w:w="0" w:type="auto"/>
            <w:noWrap/>
            <w:vAlign w:val="center"/>
          </w:tcPr>
          <w:p w14:paraId="2C82C63F">
            <w:pPr>
              <w:jc w:val="center"/>
              <w:rPr>
                <w:color w:val="000000"/>
                <w:sz w:val="22"/>
                <w:szCs w:val="22"/>
              </w:rPr>
            </w:pPr>
            <w:r>
              <w:rPr>
                <w:color w:val="000000"/>
                <w:sz w:val="22"/>
                <w:szCs w:val="22"/>
              </w:rPr>
              <w:t>235</w:t>
            </w:r>
          </w:p>
        </w:tc>
        <w:tc>
          <w:tcPr>
            <w:tcW w:w="0" w:type="auto"/>
            <w:noWrap w:val="0"/>
            <w:vAlign w:val="center"/>
          </w:tcPr>
          <w:p w14:paraId="2301CE26">
            <w:pPr>
              <w:jc w:val="center"/>
              <w:rPr>
                <w:color w:val="000000"/>
                <w:sz w:val="22"/>
                <w:szCs w:val="22"/>
              </w:rPr>
            </w:pPr>
            <w:r>
              <w:rPr>
                <w:color w:val="000000"/>
                <w:sz w:val="22"/>
                <w:szCs w:val="22"/>
              </w:rPr>
              <w:t>15.67</w:t>
            </w:r>
          </w:p>
        </w:tc>
        <w:tc>
          <w:tcPr>
            <w:tcW w:w="0" w:type="auto"/>
            <w:noWrap/>
            <w:vAlign w:val="center"/>
          </w:tcPr>
          <w:p w14:paraId="0A1CF2F8">
            <w:pPr>
              <w:jc w:val="center"/>
              <w:rPr>
                <w:color w:val="000000"/>
                <w:sz w:val="22"/>
                <w:szCs w:val="22"/>
              </w:rPr>
            </w:pPr>
            <w:r>
              <w:rPr>
                <w:color w:val="000000"/>
                <w:sz w:val="22"/>
                <w:szCs w:val="22"/>
              </w:rPr>
              <w:t>225</w:t>
            </w:r>
          </w:p>
        </w:tc>
        <w:tc>
          <w:tcPr>
            <w:tcW w:w="0" w:type="auto"/>
            <w:noWrap w:val="0"/>
            <w:vAlign w:val="center"/>
          </w:tcPr>
          <w:p w14:paraId="40F8B900">
            <w:pPr>
              <w:jc w:val="center"/>
              <w:rPr>
                <w:color w:val="000000"/>
                <w:sz w:val="22"/>
                <w:szCs w:val="22"/>
              </w:rPr>
            </w:pPr>
            <w:r>
              <w:rPr>
                <w:color w:val="000000"/>
                <w:sz w:val="22"/>
                <w:szCs w:val="22"/>
              </w:rPr>
              <w:t>15.00</w:t>
            </w:r>
          </w:p>
        </w:tc>
        <w:tc>
          <w:tcPr>
            <w:tcW w:w="0" w:type="auto"/>
            <w:noWrap/>
            <w:vAlign w:val="center"/>
          </w:tcPr>
          <w:p w14:paraId="6D4B4F63">
            <w:pPr>
              <w:jc w:val="center"/>
              <w:rPr>
                <w:color w:val="000000"/>
                <w:sz w:val="22"/>
                <w:szCs w:val="22"/>
              </w:rPr>
            </w:pPr>
            <w:r>
              <w:rPr>
                <w:color w:val="000000"/>
                <w:sz w:val="22"/>
                <w:szCs w:val="22"/>
              </w:rPr>
              <w:t>215</w:t>
            </w:r>
          </w:p>
        </w:tc>
        <w:tc>
          <w:tcPr>
            <w:tcW w:w="0" w:type="auto"/>
            <w:noWrap w:val="0"/>
            <w:vAlign w:val="center"/>
          </w:tcPr>
          <w:p w14:paraId="5CA698B5">
            <w:pPr>
              <w:jc w:val="center"/>
              <w:rPr>
                <w:color w:val="000000"/>
                <w:sz w:val="22"/>
                <w:szCs w:val="22"/>
              </w:rPr>
            </w:pPr>
            <w:r>
              <w:rPr>
                <w:color w:val="000000"/>
                <w:sz w:val="22"/>
                <w:szCs w:val="22"/>
              </w:rPr>
              <w:t>14.33</w:t>
            </w:r>
          </w:p>
        </w:tc>
        <w:tc>
          <w:tcPr>
            <w:tcW w:w="0" w:type="auto"/>
            <w:noWrap w:val="0"/>
            <w:vAlign w:val="center"/>
          </w:tcPr>
          <w:p w14:paraId="189510EF">
            <w:pPr>
              <w:jc w:val="center"/>
              <w:rPr>
                <w:color w:val="000000"/>
                <w:sz w:val="22"/>
                <w:szCs w:val="22"/>
              </w:rPr>
            </w:pPr>
            <w:r>
              <w:rPr>
                <w:color w:val="000000"/>
                <w:sz w:val="22"/>
                <w:szCs w:val="22"/>
              </w:rPr>
              <w:t>210</w:t>
            </w:r>
          </w:p>
        </w:tc>
        <w:tc>
          <w:tcPr>
            <w:tcW w:w="0" w:type="auto"/>
            <w:noWrap w:val="0"/>
            <w:vAlign w:val="center"/>
          </w:tcPr>
          <w:p w14:paraId="6154FA71">
            <w:pPr>
              <w:jc w:val="center"/>
              <w:rPr>
                <w:color w:val="000000"/>
                <w:sz w:val="22"/>
                <w:szCs w:val="22"/>
              </w:rPr>
            </w:pPr>
            <w:r>
              <w:rPr>
                <w:color w:val="000000"/>
                <w:sz w:val="22"/>
                <w:szCs w:val="22"/>
              </w:rPr>
              <w:t>14.00</w:t>
            </w:r>
          </w:p>
        </w:tc>
        <w:tc>
          <w:tcPr>
            <w:tcW w:w="0" w:type="auto"/>
            <w:noWrap w:val="0"/>
            <w:vAlign w:val="center"/>
          </w:tcPr>
          <w:p w14:paraId="3562E47C">
            <w:pPr>
              <w:jc w:val="center"/>
              <w:rPr>
                <w:color w:val="000000"/>
                <w:sz w:val="22"/>
                <w:szCs w:val="22"/>
              </w:rPr>
            </w:pPr>
            <w:r>
              <w:rPr>
                <w:color w:val="000000"/>
                <w:sz w:val="22"/>
                <w:szCs w:val="22"/>
              </w:rPr>
              <w:t>205</w:t>
            </w:r>
          </w:p>
        </w:tc>
        <w:tc>
          <w:tcPr>
            <w:tcW w:w="0" w:type="auto"/>
            <w:noWrap w:val="0"/>
            <w:vAlign w:val="center"/>
          </w:tcPr>
          <w:p w14:paraId="4A2C16AA">
            <w:pPr>
              <w:jc w:val="center"/>
              <w:rPr>
                <w:color w:val="000000"/>
                <w:sz w:val="22"/>
                <w:szCs w:val="22"/>
              </w:rPr>
            </w:pPr>
            <w:r>
              <w:rPr>
                <w:color w:val="000000"/>
                <w:sz w:val="22"/>
                <w:szCs w:val="22"/>
              </w:rPr>
              <w:t>13.67</w:t>
            </w:r>
          </w:p>
        </w:tc>
        <w:tc>
          <w:tcPr>
            <w:tcW w:w="0" w:type="auto"/>
            <w:noWrap w:val="0"/>
            <w:vAlign w:val="center"/>
          </w:tcPr>
          <w:p w14:paraId="270BBAB4">
            <w:pPr>
              <w:jc w:val="center"/>
              <w:rPr>
                <w:color w:val="000000"/>
                <w:sz w:val="22"/>
                <w:szCs w:val="22"/>
              </w:rPr>
            </w:pPr>
            <w:r>
              <w:rPr>
                <w:color w:val="000000"/>
                <w:sz w:val="22"/>
                <w:szCs w:val="22"/>
              </w:rPr>
              <w:t>195</w:t>
            </w:r>
          </w:p>
        </w:tc>
        <w:tc>
          <w:tcPr>
            <w:tcW w:w="0" w:type="auto"/>
            <w:noWrap w:val="0"/>
            <w:vAlign w:val="center"/>
          </w:tcPr>
          <w:p w14:paraId="2C39C2FF">
            <w:pPr>
              <w:jc w:val="center"/>
              <w:rPr>
                <w:color w:val="000000"/>
                <w:sz w:val="22"/>
                <w:szCs w:val="22"/>
              </w:rPr>
            </w:pPr>
            <w:r>
              <w:rPr>
                <w:color w:val="000000"/>
                <w:sz w:val="22"/>
                <w:szCs w:val="22"/>
              </w:rPr>
              <w:t>13.00</w:t>
            </w:r>
          </w:p>
        </w:tc>
      </w:tr>
      <w:tr w14:paraId="74C9D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1D354400">
            <w:pPr>
              <w:pStyle w:val="20"/>
              <w:jc w:val="center"/>
              <w:rPr>
                <w:rFonts w:ascii="Times New Roman" w:hAnsi="Times New Roman" w:eastAsia="楷体_GB2312"/>
                <w:sz w:val="24"/>
                <w:szCs w:val="24"/>
              </w:rPr>
            </w:pPr>
          </w:p>
        </w:tc>
        <w:tc>
          <w:tcPr>
            <w:tcW w:w="0" w:type="auto"/>
            <w:vMerge w:val="continue"/>
            <w:noWrap w:val="0"/>
            <w:vAlign w:val="center"/>
          </w:tcPr>
          <w:p w14:paraId="430F67C4">
            <w:pPr>
              <w:pStyle w:val="20"/>
              <w:jc w:val="center"/>
              <w:rPr>
                <w:rFonts w:ascii="Times New Roman" w:hAnsi="Times New Roman" w:eastAsia="楷体_GB2312"/>
                <w:sz w:val="24"/>
                <w:szCs w:val="24"/>
              </w:rPr>
            </w:pPr>
          </w:p>
        </w:tc>
        <w:tc>
          <w:tcPr>
            <w:tcW w:w="0" w:type="auto"/>
            <w:noWrap w:val="0"/>
            <w:vAlign w:val="center"/>
          </w:tcPr>
          <w:p w14:paraId="30468E6B">
            <w:pPr>
              <w:pStyle w:val="20"/>
              <w:jc w:val="center"/>
              <w:rPr>
                <w:rFonts w:ascii="Times New Roman" w:hAnsi="Times New Roman" w:eastAsia="楷体_GB2312"/>
                <w:sz w:val="24"/>
                <w:szCs w:val="24"/>
              </w:rPr>
            </w:pPr>
            <w:r>
              <w:rPr>
                <w:rFonts w:ascii="Times New Roman" w:hAnsi="Times New Roman" w:eastAsia="楷体_GB2312"/>
                <w:sz w:val="24"/>
                <w:szCs w:val="24"/>
              </w:rPr>
              <w:t>3</w:t>
            </w:r>
          </w:p>
        </w:tc>
        <w:tc>
          <w:tcPr>
            <w:tcW w:w="0" w:type="auto"/>
            <w:noWrap/>
            <w:vAlign w:val="center"/>
          </w:tcPr>
          <w:p w14:paraId="09AA08DF">
            <w:pPr>
              <w:jc w:val="center"/>
              <w:rPr>
                <w:color w:val="000000"/>
                <w:sz w:val="22"/>
                <w:szCs w:val="22"/>
              </w:rPr>
            </w:pPr>
            <w:r>
              <w:rPr>
                <w:color w:val="000000"/>
                <w:sz w:val="22"/>
                <w:szCs w:val="22"/>
              </w:rPr>
              <w:t>180</w:t>
            </w:r>
          </w:p>
        </w:tc>
        <w:tc>
          <w:tcPr>
            <w:tcW w:w="0" w:type="auto"/>
            <w:noWrap w:val="0"/>
            <w:vAlign w:val="center"/>
          </w:tcPr>
          <w:p w14:paraId="581B87B1">
            <w:pPr>
              <w:jc w:val="center"/>
              <w:rPr>
                <w:color w:val="000000"/>
                <w:sz w:val="22"/>
                <w:szCs w:val="22"/>
              </w:rPr>
            </w:pPr>
            <w:r>
              <w:rPr>
                <w:color w:val="000000"/>
                <w:sz w:val="22"/>
                <w:szCs w:val="22"/>
              </w:rPr>
              <w:t>12.00</w:t>
            </w:r>
          </w:p>
        </w:tc>
        <w:tc>
          <w:tcPr>
            <w:tcW w:w="0" w:type="auto"/>
            <w:noWrap/>
            <w:vAlign w:val="center"/>
          </w:tcPr>
          <w:p w14:paraId="42666396">
            <w:pPr>
              <w:jc w:val="center"/>
              <w:rPr>
                <w:color w:val="000000"/>
                <w:sz w:val="22"/>
                <w:szCs w:val="22"/>
              </w:rPr>
            </w:pPr>
            <w:r>
              <w:rPr>
                <w:color w:val="000000"/>
                <w:sz w:val="22"/>
                <w:szCs w:val="22"/>
              </w:rPr>
              <w:t>175</w:t>
            </w:r>
          </w:p>
        </w:tc>
        <w:tc>
          <w:tcPr>
            <w:tcW w:w="0" w:type="auto"/>
            <w:noWrap w:val="0"/>
            <w:vAlign w:val="center"/>
          </w:tcPr>
          <w:p w14:paraId="34223E98">
            <w:pPr>
              <w:jc w:val="center"/>
              <w:rPr>
                <w:color w:val="000000"/>
                <w:sz w:val="22"/>
                <w:szCs w:val="22"/>
              </w:rPr>
            </w:pPr>
            <w:r>
              <w:rPr>
                <w:color w:val="000000"/>
                <w:sz w:val="22"/>
                <w:szCs w:val="22"/>
              </w:rPr>
              <w:t>11.67</w:t>
            </w:r>
          </w:p>
        </w:tc>
        <w:tc>
          <w:tcPr>
            <w:tcW w:w="0" w:type="auto"/>
            <w:noWrap/>
            <w:vAlign w:val="center"/>
          </w:tcPr>
          <w:p w14:paraId="660C45C3">
            <w:pPr>
              <w:jc w:val="center"/>
              <w:rPr>
                <w:color w:val="000000"/>
                <w:sz w:val="22"/>
                <w:szCs w:val="22"/>
              </w:rPr>
            </w:pPr>
            <w:r>
              <w:rPr>
                <w:color w:val="000000"/>
                <w:sz w:val="22"/>
                <w:szCs w:val="22"/>
              </w:rPr>
              <w:t>170</w:t>
            </w:r>
          </w:p>
        </w:tc>
        <w:tc>
          <w:tcPr>
            <w:tcW w:w="0" w:type="auto"/>
            <w:noWrap w:val="0"/>
            <w:vAlign w:val="center"/>
          </w:tcPr>
          <w:p w14:paraId="0D62C698">
            <w:pPr>
              <w:jc w:val="center"/>
              <w:rPr>
                <w:color w:val="000000"/>
                <w:sz w:val="22"/>
                <w:szCs w:val="22"/>
              </w:rPr>
            </w:pPr>
            <w:r>
              <w:rPr>
                <w:color w:val="000000"/>
                <w:sz w:val="22"/>
                <w:szCs w:val="22"/>
              </w:rPr>
              <w:t>11.33</w:t>
            </w:r>
          </w:p>
        </w:tc>
        <w:tc>
          <w:tcPr>
            <w:tcW w:w="0" w:type="auto"/>
            <w:noWrap w:val="0"/>
            <w:vAlign w:val="center"/>
          </w:tcPr>
          <w:p w14:paraId="62EBC501">
            <w:pPr>
              <w:jc w:val="center"/>
              <w:rPr>
                <w:color w:val="000000"/>
                <w:sz w:val="22"/>
                <w:szCs w:val="22"/>
              </w:rPr>
            </w:pPr>
            <w:r>
              <w:rPr>
                <w:color w:val="000000"/>
                <w:sz w:val="22"/>
                <w:szCs w:val="22"/>
              </w:rPr>
              <w:t>165</w:t>
            </w:r>
          </w:p>
        </w:tc>
        <w:tc>
          <w:tcPr>
            <w:tcW w:w="0" w:type="auto"/>
            <w:noWrap w:val="0"/>
            <w:vAlign w:val="center"/>
          </w:tcPr>
          <w:p w14:paraId="3FA1D334">
            <w:pPr>
              <w:jc w:val="center"/>
              <w:rPr>
                <w:color w:val="000000"/>
                <w:sz w:val="22"/>
                <w:szCs w:val="22"/>
              </w:rPr>
            </w:pPr>
            <w:r>
              <w:rPr>
                <w:color w:val="000000"/>
                <w:sz w:val="22"/>
                <w:szCs w:val="22"/>
              </w:rPr>
              <w:t>11.00</w:t>
            </w:r>
          </w:p>
        </w:tc>
        <w:tc>
          <w:tcPr>
            <w:tcW w:w="0" w:type="auto"/>
            <w:noWrap w:val="0"/>
            <w:vAlign w:val="center"/>
          </w:tcPr>
          <w:p w14:paraId="72D8177C">
            <w:pPr>
              <w:jc w:val="center"/>
              <w:rPr>
                <w:color w:val="000000"/>
                <w:sz w:val="22"/>
                <w:szCs w:val="22"/>
              </w:rPr>
            </w:pPr>
            <w:r>
              <w:rPr>
                <w:color w:val="000000"/>
                <w:sz w:val="22"/>
                <w:szCs w:val="22"/>
              </w:rPr>
              <w:t>160</w:t>
            </w:r>
          </w:p>
        </w:tc>
        <w:tc>
          <w:tcPr>
            <w:tcW w:w="0" w:type="auto"/>
            <w:noWrap w:val="0"/>
            <w:vAlign w:val="center"/>
          </w:tcPr>
          <w:p w14:paraId="64F67F37">
            <w:pPr>
              <w:jc w:val="center"/>
              <w:rPr>
                <w:color w:val="000000"/>
                <w:sz w:val="22"/>
                <w:szCs w:val="22"/>
              </w:rPr>
            </w:pPr>
            <w:r>
              <w:rPr>
                <w:color w:val="000000"/>
                <w:sz w:val="22"/>
                <w:szCs w:val="22"/>
              </w:rPr>
              <w:t>10.67</w:t>
            </w:r>
          </w:p>
        </w:tc>
        <w:tc>
          <w:tcPr>
            <w:tcW w:w="0" w:type="auto"/>
            <w:noWrap w:val="0"/>
            <w:vAlign w:val="center"/>
          </w:tcPr>
          <w:p w14:paraId="6A29FAD4">
            <w:pPr>
              <w:jc w:val="center"/>
              <w:rPr>
                <w:color w:val="000000"/>
                <w:sz w:val="22"/>
                <w:szCs w:val="22"/>
              </w:rPr>
            </w:pPr>
            <w:r>
              <w:rPr>
                <w:color w:val="000000"/>
                <w:sz w:val="22"/>
                <w:szCs w:val="22"/>
              </w:rPr>
              <w:t>155</w:t>
            </w:r>
          </w:p>
        </w:tc>
        <w:tc>
          <w:tcPr>
            <w:tcW w:w="0" w:type="auto"/>
            <w:noWrap w:val="0"/>
            <w:vAlign w:val="center"/>
          </w:tcPr>
          <w:p w14:paraId="5E1B0BE5">
            <w:pPr>
              <w:jc w:val="center"/>
              <w:rPr>
                <w:color w:val="000000"/>
                <w:sz w:val="22"/>
                <w:szCs w:val="22"/>
              </w:rPr>
            </w:pPr>
            <w:r>
              <w:rPr>
                <w:color w:val="000000"/>
                <w:sz w:val="22"/>
                <w:szCs w:val="22"/>
              </w:rPr>
              <w:t>10.33</w:t>
            </w:r>
          </w:p>
        </w:tc>
      </w:tr>
      <w:tr w14:paraId="69CBD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02CE6A8C">
            <w:pPr>
              <w:pStyle w:val="20"/>
              <w:jc w:val="center"/>
              <w:rPr>
                <w:rFonts w:ascii="Times New Roman" w:hAnsi="Times New Roman" w:eastAsia="楷体_GB2312"/>
                <w:sz w:val="24"/>
                <w:szCs w:val="24"/>
              </w:rPr>
            </w:pPr>
            <w:r>
              <w:rPr>
                <w:rFonts w:ascii="Times New Roman" w:hAnsi="Times New Roman" w:eastAsia="楷体_GB2312"/>
                <w:sz w:val="24"/>
                <w:szCs w:val="24"/>
              </w:rPr>
              <w:t>21</w:t>
            </w:r>
          </w:p>
        </w:tc>
        <w:tc>
          <w:tcPr>
            <w:tcW w:w="0" w:type="auto"/>
            <w:vMerge w:val="restart"/>
            <w:noWrap w:val="0"/>
            <w:vAlign w:val="center"/>
          </w:tcPr>
          <w:p w14:paraId="359759FD">
            <w:pPr>
              <w:pStyle w:val="20"/>
              <w:jc w:val="center"/>
              <w:rPr>
                <w:rFonts w:ascii="Times New Roman" w:hAnsi="Times New Roman" w:eastAsia="楷体_GB2312"/>
                <w:sz w:val="24"/>
                <w:szCs w:val="24"/>
              </w:rPr>
            </w:pPr>
            <w:r>
              <w:rPr>
                <w:rFonts w:ascii="Times New Roman" w:hAnsi="Times New Roman" w:eastAsia="楷体_GB2312"/>
                <w:sz w:val="24"/>
                <w:szCs w:val="24"/>
              </w:rPr>
              <w:t>灰古镇</w:t>
            </w:r>
          </w:p>
        </w:tc>
        <w:tc>
          <w:tcPr>
            <w:tcW w:w="0" w:type="auto"/>
            <w:noWrap w:val="0"/>
            <w:vAlign w:val="center"/>
          </w:tcPr>
          <w:p w14:paraId="0D96B524">
            <w:pPr>
              <w:pStyle w:val="20"/>
              <w:jc w:val="center"/>
              <w:rPr>
                <w:rFonts w:ascii="Times New Roman" w:hAnsi="Times New Roman" w:eastAsia="楷体_GB2312"/>
                <w:sz w:val="24"/>
                <w:szCs w:val="24"/>
              </w:rPr>
            </w:pPr>
            <w:r>
              <w:rPr>
                <w:rFonts w:ascii="Times New Roman" w:hAnsi="Times New Roman" w:eastAsia="楷体_GB2312"/>
                <w:sz w:val="24"/>
                <w:szCs w:val="24"/>
              </w:rPr>
              <w:t>1</w:t>
            </w:r>
          </w:p>
        </w:tc>
        <w:tc>
          <w:tcPr>
            <w:tcW w:w="0" w:type="auto"/>
            <w:noWrap/>
            <w:vAlign w:val="center"/>
          </w:tcPr>
          <w:p w14:paraId="59BAC7FC">
            <w:pPr>
              <w:jc w:val="center"/>
              <w:rPr>
                <w:color w:val="000000"/>
                <w:sz w:val="22"/>
                <w:szCs w:val="22"/>
              </w:rPr>
            </w:pPr>
            <w:r>
              <w:rPr>
                <w:color w:val="000000"/>
                <w:sz w:val="22"/>
                <w:szCs w:val="22"/>
              </w:rPr>
              <w:t>300</w:t>
            </w:r>
          </w:p>
        </w:tc>
        <w:tc>
          <w:tcPr>
            <w:tcW w:w="0" w:type="auto"/>
            <w:noWrap w:val="0"/>
            <w:vAlign w:val="center"/>
          </w:tcPr>
          <w:p w14:paraId="7BE61A9D">
            <w:pPr>
              <w:jc w:val="center"/>
              <w:rPr>
                <w:color w:val="000000"/>
                <w:sz w:val="22"/>
                <w:szCs w:val="22"/>
              </w:rPr>
            </w:pPr>
            <w:r>
              <w:rPr>
                <w:color w:val="000000"/>
                <w:sz w:val="22"/>
                <w:szCs w:val="22"/>
              </w:rPr>
              <w:t>20.00</w:t>
            </w:r>
          </w:p>
        </w:tc>
        <w:tc>
          <w:tcPr>
            <w:tcW w:w="0" w:type="auto"/>
            <w:noWrap/>
            <w:vAlign w:val="center"/>
          </w:tcPr>
          <w:p w14:paraId="7725F856">
            <w:pPr>
              <w:jc w:val="center"/>
              <w:rPr>
                <w:color w:val="000000"/>
                <w:sz w:val="22"/>
                <w:szCs w:val="22"/>
              </w:rPr>
            </w:pPr>
            <w:r>
              <w:rPr>
                <w:color w:val="000000"/>
                <w:sz w:val="22"/>
                <w:szCs w:val="22"/>
              </w:rPr>
              <w:t>280</w:t>
            </w:r>
          </w:p>
        </w:tc>
        <w:tc>
          <w:tcPr>
            <w:tcW w:w="0" w:type="auto"/>
            <w:noWrap w:val="0"/>
            <w:vAlign w:val="center"/>
          </w:tcPr>
          <w:p w14:paraId="06E8E448">
            <w:pPr>
              <w:jc w:val="center"/>
              <w:rPr>
                <w:color w:val="000000"/>
                <w:sz w:val="22"/>
                <w:szCs w:val="22"/>
              </w:rPr>
            </w:pPr>
            <w:r>
              <w:rPr>
                <w:color w:val="000000"/>
                <w:sz w:val="22"/>
                <w:szCs w:val="22"/>
              </w:rPr>
              <w:t>18.67</w:t>
            </w:r>
          </w:p>
        </w:tc>
        <w:tc>
          <w:tcPr>
            <w:tcW w:w="0" w:type="auto"/>
            <w:noWrap/>
            <w:vAlign w:val="center"/>
          </w:tcPr>
          <w:p w14:paraId="1900C033">
            <w:pPr>
              <w:jc w:val="center"/>
              <w:rPr>
                <w:color w:val="000000"/>
                <w:sz w:val="22"/>
                <w:szCs w:val="22"/>
              </w:rPr>
            </w:pPr>
            <w:r>
              <w:rPr>
                <w:color w:val="000000"/>
                <w:sz w:val="22"/>
                <w:szCs w:val="22"/>
              </w:rPr>
              <w:t>270</w:t>
            </w:r>
          </w:p>
        </w:tc>
        <w:tc>
          <w:tcPr>
            <w:tcW w:w="0" w:type="auto"/>
            <w:noWrap w:val="0"/>
            <w:vAlign w:val="center"/>
          </w:tcPr>
          <w:p w14:paraId="56E3E227">
            <w:pPr>
              <w:jc w:val="center"/>
              <w:rPr>
                <w:color w:val="000000"/>
                <w:sz w:val="22"/>
                <w:szCs w:val="22"/>
              </w:rPr>
            </w:pPr>
            <w:r>
              <w:rPr>
                <w:color w:val="000000"/>
                <w:sz w:val="22"/>
                <w:szCs w:val="22"/>
              </w:rPr>
              <w:t>18.00</w:t>
            </w:r>
          </w:p>
        </w:tc>
        <w:tc>
          <w:tcPr>
            <w:tcW w:w="0" w:type="auto"/>
            <w:noWrap w:val="0"/>
            <w:vAlign w:val="center"/>
          </w:tcPr>
          <w:p w14:paraId="7D433CCC">
            <w:pPr>
              <w:jc w:val="center"/>
              <w:rPr>
                <w:color w:val="000000"/>
                <w:sz w:val="22"/>
                <w:szCs w:val="22"/>
              </w:rPr>
            </w:pPr>
            <w:r>
              <w:rPr>
                <w:color w:val="000000"/>
                <w:sz w:val="22"/>
                <w:szCs w:val="22"/>
              </w:rPr>
              <w:t>260</w:t>
            </w:r>
          </w:p>
        </w:tc>
        <w:tc>
          <w:tcPr>
            <w:tcW w:w="0" w:type="auto"/>
            <w:noWrap w:val="0"/>
            <w:vAlign w:val="center"/>
          </w:tcPr>
          <w:p w14:paraId="2FFBBF79">
            <w:pPr>
              <w:jc w:val="center"/>
              <w:rPr>
                <w:color w:val="000000"/>
                <w:sz w:val="22"/>
                <w:szCs w:val="22"/>
              </w:rPr>
            </w:pPr>
            <w:r>
              <w:rPr>
                <w:color w:val="000000"/>
                <w:sz w:val="22"/>
                <w:szCs w:val="22"/>
              </w:rPr>
              <w:t>17.33</w:t>
            </w:r>
          </w:p>
        </w:tc>
        <w:tc>
          <w:tcPr>
            <w:tcW w:w="0" w:type="auto"/>
            <w:noWrap w:val="0"/>
            <w:vAlign w:val="center"/>
          </w:tcPr>
          <w:p w14:paraId="1F49C99C">
            <w:pPr>
              <w:jc w:val="center"/>
              <w:rPr>
                <w:color w:val="000000"/>
                <w:sz w:val="22"/>
                <w:szCs w:val="22"/>
              </w:rPr>
            </w:pPr>
            <w:r>
              <w:rPr>
                <w:color w:val="000000"/>
                <w:sz w:val="22"/>
                <w:szCs w:val="22"/>
              </w:rPr>
              <w:t>250</w:t>
            </w:r>
          </w:p>
        </w:tc>
        <w:tc>
          <w:tcPr>
            <w:tcW w:w="0" w:type="auto"/>
            <w:noWrap w:val="0"/>
            <w:vAlign w:val="center"/>
          </w:tcPr>
          <w:p w14:paraId="359E40DB">
            <w:pPr>
              <w:jc w:val="center"/>
              <w:rPr>
                <w:color w:val="000000"/>
                <w:sz w:val="22"/>
                <w:szCs w:val="22"/>
              </w:rPr>
            </w:pPr>
            <w:r>
              <w:rPr>
                <w:color w:val="000000"/>
                <w:sz w:val="22"/>
                <w:szCs w:val="22"/>
              </w:rPr>
              <w:t>16.67</w:t>
            </w:r>
          </w:p>
        </w:tc>
        <w:tc>
          <w:tcPr>
            <w:tcW w:w="0" w:type="auto"/>
            <w:noWrap w:val="0"/>
            <w:vAlign w:val="center"/>
          </w:tcPr>
          <w:p w14:paraId="399C9DE5">
            <w:pPr>
              <w:jc w:val="center"/>
              <w:rPr>
                <w:color w:val="000000"/>
                <w:sz w:val="22"/>
                <w:szCs w:val="22"/>
              </w:rPr>
            </w:pPr>
            <w:r>
              <w:rPr>
                <w:color w:val="000000"/>
                <w:sz w:val="22"/>
                <w:szCs w:val="22"/>
              </w:rPr>
              <w:t>230</w:t>
            </w:r>
          </w:p>
        </w:tc>
        <w:tc>
          <w:tcPr>
            <w:tcW w:w="0" w:type="auto"/>
            <w:noWrap w:val="0"/>
            <w:vAlign w:val="center"/>
          </w:tcPr>
          <w:p w14:paraId="595FEE58">
            <w:pPr>
              <w:jc w:val="center"/>
              <w:rPr>
                <w:color w:val="000000"/>
                <w:sz w:val="22"/>
                <w:szCs w:val="22"/>
              </w:rPr>
            </w:pPr>
            <w:r>
              <w:rPr>
                <w:color w:val="000000"/>
                <w:sz w:val="22"/>
                <w:szCs w:val="22"/>
              </w:rPr>
              <w:t>15.33</w:t>
            </w:r>
          </w:p>
        </w:tc>
      </w:tr>
      <w:tr w14:paraId="34860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0718B9B7">
            <w:pPr>
              <w:pStyle w:val="20"/>
              <w:jc w:val="center"/>
              <w:rPr>
                <w:rFonts w:ascii="Times New Roman" w:hAnsi="Times New Roman" w:eastAsia="楷体_GB2312"/>
                <w:sz w:val="24"/>
                <w:szCs w:val="24"/>
              </w:rPr>
            </w:pPr>
          </w:p>
        </w:tc>
        <w:tc>
          <w:tcPr>
            <w:tcW w:w="0" w:type="auto"/>
            <w:vMerge w:val="continue"/>
            <w:noWrap w:val="0"/>
            <w:vAlign w:val="center"/>
          </w:tcPr>
          <w:p w14:paraId="7BCE330B">
            <w:pPr>
              <w:pStyle w:val="20"/>
              <w:jc w:val="center"/>
              <w:rPr>
                <w:rFonts w:ascii="Times New Roman" w:hAnsi="Times New Roman" w:eastAsia="楷体_GB2312"/>
                <w:sz w:val="24"/>
                <w:szCs w:val="24"/>
              </w:rPr>
            </w:pPr>
          </w:p>
        </w:tc>
        <w:tc>
          <w:tcPr>
            <w:tcW w:w="0" w:type="auto"/>
            <w:noWrap w:val="0"/>
            <w:vAlign w:val="center"/>
          </w:tcPr>
          <w:p w14:paraId="1894393E">
            <w:pPr>
              <w:pStyle w:val="20"/>
              <w:jc w:val="center"/>
              <w:rPr>
                <w:rFonts w:ascii="Times New Roman" w:hAnsi="Times New Roman" w:eastAsia="楷体_GB2312"/>
                <w:sz w:val="24"/>
                <w:szCs w:val="24"/>
              </w:rPr>
            </w:pPr>
            <w:r>
              <w:rPr>
                <w:rFonts w:ascii="Times New Roman" w:hAnsi="Times New Roman" w:eastAsia="楷体_GB2312"/>
                <w:sz w:val="24"/>
                <w:szCs w:val="24"/>
              </w:rPr>
              <w:t>2</w:t>
            </w:r>
          </w:p>
        </w:tc>
        <w:tc>
          <w:tcPr>
            <w:tcW w:w="0" w:type="auto"/>
            <w:noWrap/>
            <w:vAlign w:val="center"/>
          </w:tcPr>
          <w:p w14:paraId="0A586226">
            <w:pPr>
              <w:jc w:val="center"/>
              <w:rPr>
                <w:color w:val="000000"/>
                <w:sz w:val="22"/>
                <w:szCs w:val="22"/>
              </w:rPr>
            </w:pPr>
            <w:r>
              <w:rPr>
                <w:color w:val="000000"/>
                <w:sz w:val="22"/>
                <w:szCs w:val="22"/>
              </w:rPr>
              <w:t>245</w:t>
            </w:r>
          </w:p>
        </w:tc>
        <w:tc>
          <w:tcPr>
            <w:tcW w:w="0" w:type="auto"/>
            <w:noWrap w:val="0"/>
            <w:vAlign w:val="center"/>
          </w:tcPr>
          <w:p w14:paraId="5D6BCA2F">
            <w:pPr>
              <w:jc w:val="center"/>
              <w:rPr>
                <w:color w:val="000000"/>
                <w:sz w:val="22"/>
                <w:szCs w:val="22"/>
              </w:rPr>
            </w:pPr>
            <w:r>
              <w:rPr>
                <w:color w:val="000000"/>
                <w:sz w:val="22"/>
                <w:szCs w:val="22"/>
              </w:rPr>
              <w:t>16.33</w:t>
            </w:r>
          </w:p>
        </w:tc>
        <w:tc>
          <w:tcPr>
            <w:tcW w:w="0" w:type="auto"/>
            <w:noWrap/>
            <w:vAlign w:val="center"/>
          </w:tcPr>
          <w:p w14:paraId="2B33151A">
            <w:pPr>
              <w:jc w:val="center"/>
              <w:rPr>
                <w:color w:val="000000"/>
                <w:sz w:val="22"/>
                <w:szCs w:val="22"/>
              </w:rPr>
            </w:pPr>
            <w:r>
              <w:rPr>
                <w:color w:val="000000"/>
                <w:sz w:val="22"/>
                <w:szCs w:val="22"/>
              </w:rPr>
              <w:t>235</w:t>
            </w:r>
          </w:p>
        </w:tc>
        <w:tc>
          <w:tcPr>
            <w:tcW w:w="0" w:type="auto"/>
            <w:noWrap w:val="0"/>
            <w:vAlign w:val="center"/>
          </w:tcPr>
          <w:p w14:paraId="2F9AC12A">
            <w:pPr>
              <w:jc w:val="center"/>
              <w:rPr>
                <w:color w:val="000000"/>
                <w:sz w:val="22"/>
                <w:szCs w:val="22"/>
              </w:rPr>
            </w:pPr>
            <w:r>
              <w:rPr>
                <w:color w:val="000000"/>
                <w:sz w:val="22"/>
                <w:szCs w:val="22"/>
              </w:rPr>
              <w:t>15.67</w:t>
            </w:r>
          </w:p>
        </w:tc>
        <w:tc>
          <w:tcPr>
            <w:tcW w:w="0" w:type="auto"/>
            <w:noWrap/>
            <w:vAlign w:val="center"/>
          </w:tcPr>
          <w:p w14:paraId="4E6F0579">
            <w:pPr>
              <w:jc w:val="center"/>
              <w:rPr>
                <w:color w:val="000000"/>
                <w:sz w:val="22"/>
                <w:szCs w:val="22"/>
              </w:rPr>
            </w:pPr>
            <w:r>
              <w:rPr>
                <w:color w:val="000000"/>
                <w:sz w:val="22"/>
                <w:szCs w:val="22"/>
              </w:rPr>
              <w:t>225</w:t>
            </w:r>
          </w:p>
        </w:tc>
        <w:tc>
          <w:tcPr>
            <w:tcW w:w="0" w:type="auto"/>
            <w:noWrap w:val="0"/>
            <w:vAlign w:val="center"/>
          </w:tcPr>
          <w:p w14:paraId="35700CFE">
            <w:pPr>
              <w:jc w:val="center"/>
              <w:rPr>
                <w:color w:val="000000"/>
                <w:sz w:val="22"/>
                <w:szCs w:val="22"/>
              </w:rPr>
            </w:pPr>
            <w:r>
              <w:rPr>
                <w:color w:val="000000"/>
                <w:sz w:val="22"/>
                <w:szCs w:val="22"/>
              </w:rPr>
              <w:t>15.00</w:t>
            </w:r>
          </w:p>
        </w:tc>
        <w:tc>
          <w:tcPr>
            <w:tcW w:w="0" w:type="auto"/>
            <w:noWrap w:val="0"/>
            <w:vAlign w:val="center"/>
          </w:tcPr>
          <w:p w14:paraId="4517AE24">
            <w:pPr>
              <w:jc w:val="center"/>
              <w:rPr>
                <w:color w:val="000000"/>
                <w:sz w:val="22"/>
                <w:szCs w:val="22"/>
              </w:rPr>
            </w:pPr>
            <w:r>
              <w:rPr>
                <w:color w:val="000000"/>
                <w:sz w:val="22"/>
                <w:szCs w:val="22"/>
              </w:rPr>
              <w:t>220</w:t>
            </w:r>
          </w:p>
        </w:tc>
        <w:tc>
          <w:tcPr>
            <w:tcW w:w="0" w:type="auto"/>
            <w:noWrap w:val="0"/>
            <w:vAlign w:val="center"/>
          </w:tcPr>
          <w:p w14:paraId="61317D41">
            <w:pPr>
              <w:jc w:val="center"/>
              <w:rPr>
                <w:color w:val="000000"/>
                <w:sz w:val="22"/>
                <w:szCs w:val="22"/>
              </w:rPr>
            </w:pPr>
            <w:r>
              <w:rPr>
                <w:color w:val="000000"/>
                <w:sz w:val="22"/>
                <w:szCs w:val="22"/>
              </w:rPr>
              <w:t>14.67</w:t>
            </w:r>
          </w:p>
        </w:tc>
        <w:tc>
          <w:tcPr>
            <w:tcW w:w="0" w:type="auto"/>
            <w:noWrap w:val="0"/>
            <w:vAlign w:val="center"/>
          </w:tcPr>
          <w:p w14:paraId="748503E8">
            <w:pPr>
              <w:jc w:val="center"/>
              <w:rPr>
                <w:color w:val="000000"/>
                <w:sz w:val="22"/>
                <w:szCs w:val="22"/>
              </w:rPr>
            </w:pPr>
            <w:r>
              <w:rPr>
                <w:color w:val="000000"/>
                <w:sz w:val="22"/>
                <w:szCs w:val="22"/>
              </w:rPr>
              <w:t>215</w:t>
            </w:r>
          </w:p>
        </w:tc>
        <w:tc>
          <w:tcPr>
            <w:tcW w:w="0" w:type="auto"/>
            <w:noWrap w:val="0"/>
            <w:vAlign w:val="center"/>
          </w:tcPr>
          <w:p w14:paraId="0837163F">
            <w:pPr>
              <w:jc w:val="center"/>
              <w:rPr>
                <w:color w:val="000000"/>
                <w:sz w:val="22"/>
                <w:szCs w:val="22"/>
              </w:rPr>
            </w:pPr>
            <w:r>
              <w:rPr>
                <w:color w:val="000000"/>
                <w:sz w:val="22"/>
                <w:szCs w:val="22"/>
              </w:rPr>
              <w:t>14.33</w:t>
            </w:r>
          </w:p>
        </w:tc>
        <w:tc>
          <w:tcPr>
            <w:tcW w:w="0" w:type="auto"/>
            <w:noWrap w:val="0"/>
            <w:vAlign w:val="center"/>
          </w:tcPr>
          <w:p w14:paraId="367E1F93">
            <w:pPr>
              <w:jc w:val="center"/>
              <w:rPr>
                <w:color w:val="000000"/>
                <w:sz w:val="22"/>
                <w:szCs w:val="22"/>
              </w:rPr>
            </w:pPr>
            <w:r>
              <w:rPr>
                <w:color w:val="000000"/>
                <w:sz w:val="22"/>
                <w:szCs w:val="22"/>
              </w:rPr>
              <w:t>205</w:t>
            </w:r>
          </w:p>
        </w:tc>
        <w:tc>
          <w:tcPr>
            <w:tcW w:w="0" w:type="auto"/>
            <w:noWrap w:val="0"/>
            <w:vAlign w:val="center"/>
          </w:tcPr>
          <w:p w14:paraId="1C890420">
            <w:pPr>
              <w:jc w:val="center"/>
              <w:rPr>
                <w:color w:val="000000"/>
                <w:sz w:val="22"/>
                <w:szCs w:val="22"/>
              </w:rPr>
            </w:pPr>
            <w:r>
              <w:rPr>
                <w:color w:val="000000"/>
                <w:sz w:val="22"/>
                <w:szCs w:val="22"/>
              </w:rPr>
              <w:t>13.67</w:t>
            </w:r>
          </w:p>
        </w:tc>
      </w:tr>
      <w:tr w14:paraId="7B1DC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21306212">
            <w:pPr>
              <w:pStyle w:val="20"/>
              <w:jc w:val="center"/>
              <w:rPr>
                <w:rFonts w:ascii="Times New Roman" w:hAnsi="Times New Roman" w:eastAsia="楷体_GB2312"/>
                <w:sz w:val="24"/>
                <w:szCs w:val="24"/>
              </w:rPr>
            </w:pPr>
          </w:p>
        </w:tc>
        <w:tc>
          <w:tcPr>
            <w:tcW w:w="0" w:type="auto"/>
            <w:vMerge w:val="continue"/>
            <w:noWrap w:val="0"/>
            <w:vAlign w:val="center"/>
          </w:tcPr>
          <w:p w14:paraId="56F8A9A3">
            <w:pPr>
              <w:pStyle w:val="20"/>
              <w:jc w:val="center"/>
              <w:rPr>
                <w:rFonts w:ascii="Times New Roman" w:hAnsi="Times New Roman" w:eastAsia="楷体_GB2312"/>
                <w:sz w:val="24"/>
                <w:szCs w:val="24"/>
              </w:rPr>
            </w:pPr>
          </w:p>
        </w:tc>
        <w:tc>
          <w:tcPr>
            <w:tcW w:w="0" w:type="auto"/>
            <w:noWrap w:val="0"/>
            <w:vAlign w:val="center"/>
          </w:tcPr>
          <w:p w14:paraId="48E393EB">
            <w:pPr>
              <w:pStyle w:val="20"/>
              <w:jc w:val="center"/>
              <w:rPr>
                <w:rFonts w:ascii="Times New Roman" w:hAnsi="Times New Roman" w:eastAsia="楷体_GB2312"/>
                <w:sz w:val="24"/>
                <w:szCs w:val="24"/>
              </w:rPr>
            </w:pPr>
            <w:r>
              <w:rPr>
                <w:rFonts w:ascii="Times New Roman" w:hAnsi="Times New Roman" w:eastAsia="楷体_GB2312"/>
                <w:sz w:val="24"/>
                <w:szCs w:val="24"/>
              </w:rPr>
              <w:t>3</w:t>
            </w:r>
          </w:p>
        </w:tc>
        <w:tc>
          <w:tcPr>
            <w:tcW w:w="0" w:type="auto"/>
            <w:noWrap/>
            <w:vAlign w:val="center"/>
          </w:tcPr>
          <w:p w14:paraId="1977FEAE">
            <w:pPr>
              <w:jc w:val="center"/>
              <w:rPr>
                <w:color w:val="000000"/>
                <w:sz w:val="22"/>
                <w:szCs w:val="22"/>
              </w:rPr>
            </w:pPr>
            <w:r>
              <w:rPr>
                <w:color w:val="000000"/>
                <w:sz w:val="22"/>
                <w:szCs w:val="22"/>
              </w:rPr>
              <w:t>190</w:t>
            </w:r>
          </w:p>
        </w:tc>
        <w:tc>
          <w:tcPr>
            <w:tcW w:w="0" w:type="auto"/>
            <w:noWrap w:val="0"/>
            <w:vAlign w:val="center"/>
          </w:tcPr>
          <w:p w14:paraId="3E2516D7">
            <w:pPr>
              <w:jc w:val="center"/>
              <w:rPr>
                <w:color w:val="000000"/>
                <w:sz w:val="22"/>
                <w:szCs w:val="22"/>
              </w:rPr>
            </w:pPr>
            <w:r>
              <w:rPr>
                <w:color w:val="000000"/>
                <w:sz w:val="22"/>
                <w:szCs w:val="22"/>
              </w:rPr>
              <w:t>12.67</w:t>
            </w:r>
          </w:p>
        </w:tc>
        <w:tc>
          <w:tcPr>
            <w:tcW w:w="0" w:type="auto"/>
            <w:noWrap/>
            <w:vAlign w:val="center"/>
          </w:tcPr>
          <w:p w14:paraId="09B3D6C5">
            <w:pPr>
              <w:jc w:val="center"/>
              <w:rPr>
                <w:color w:val="000000"/>
                <w:sz w:val="22"/>
                <w:szCs w:val="22"/>
              </w:rPr>
            </w:pPr>
            <w:r>
              <w:rPr>
                <w:color w:val="000000"/>
                <w:sz w:val="22"/>
                <w:szCs w:val="22"/>
              </w:rPr>
              <w:t>185</w:t>
            </w:r>
          </w:p>
        </w:tc>
        <w:tc>
          <w:tcPr>
            <w:tcW w:w="0" w:type="auto"/>
            <w:noWrap w:val="0"/>
            <w:vAlign w:val="center"/>
          </w:tcPr>
          <w:p w14:paraId="7EA8783F">
            <w:pPr>
              <w:jc w:val="center"/>
              <w:rPr>
                <w:color w:val="000000"/>
                <w:sz w:val="22"/>
                <w:szCs w:val="22"/>
              </w:rPr>
            </w:pPr>
            <w:r>
              <w:rPr>
                <w:color w:val="000000"/>
                <w:sz w:val="22"/>
                <w:szCs w:val="22"/>
              </w:rPr>
              <w:t>12.33</w:t>
            </w:r>
          </w:p>
        </w:tc>
        <w:tc>
          <w:tcPr>
            <w:tcW w:w="0" w:type="auto"/>
            <w:noWrap/>
            <w:vAlign w:val="center"/>
          </w:tcPr>
          <w:p w14:paraId="0F9FD36A">
            <w:pPr>
              <w:jc w:val="center"/>
              <w:rPr>
                <w:color w:val="000000"/>
                <w:sz w:val="22"/>
                <w:szCs w:val="22"/>
              </w:rPr>
            </w:pPr>
            <w:r>
              <w:rPr>
                <w:color w:val="000000"/>
                <w:sz w:val="22"/>
                <w:szCs w:val="22"/>
              </w:rPr>
              <w:t>180</w:t>
            </w:r>
          </w:p>
        </w:tc>
        <w:tc>
          <w:tcPr>
            <w:tcW w:w="0" w:type="auto"/>
            <w:noWrap w:val="0"/>
            <w:vAlign w:val="center"/>
          </w:tcPr>
          <w:p w14:paraId="45C5D6B3">
            <w:pPr>
              <w:jc w:val="center"/>
              <w:rPr>
                <w:color w:val="000000"/>
                <w:sz w:val="22"/>
                <w:szCs w:val="22"/>
              </w:rPr>
            </w:pPr>
            <w:r>
              <w:rPr>
                <w:color w:val="000000"/>
                <w:sz w:val="22"/>
                <w:szCs w:val="22"/>
              </w:rPr>
              <w:t>12.00</w:t>
            </w:r>
          </w:p>
        </w:tc>
        <w:tc>
          <w:tcPr>
            <w:tcW w:w="0" w:type="auto"/>
            <w:noWrap w:val="0"/>
            <w:vAlign w:val="center"/>
          </w:tcPr>
          <w:p w14:paraId="300C090E">
            <w:pPr>
              <w:jc w:val="center"/>
              <w:rPr>
                <w:color w:val="000000"/>
                <w:sz w:val="22"/>
                <w:szCs w:val="22"/>
              </w:rPr>
            </w:pPr>
            <w:r>
              <w:rPr>
                <w:color w:val="000000"/>
                <w:sz w:val="22"/>
                <w:szCs w:val="22"/>
              </w:rPr>
              <w:t>175</w:t>
            </w:r>
          </w:p>
        </w:tc>
        <w:tc>
          <w:tcPr>
            <w:tcW w:w="0" w:type="auto"/>
            <w:noWrap w:val="0"/>
            <w:vAlign w:val="center"/>
          </w:tcPr>
          <w:p w14:paraId="5F07D9EF">
            <w:pPr>
              <w:jc w:val="center"/>
              <w:rPr>
                <w:color w:val="000000"/>
                <w:sz w:val="22"/>
                <w:szCs w:val="22"/>
              </w:rPr>
            </w:pPr>
            <w:r>
              <w:rPr>
                <w:color w:val="000000"/>
                <w:sz w:val="22"/>
                <w:szCs w:val="22"/>
              </w:rPr>
              <w:t>11.67</w:t>
            </w:r>
          </w:p>
        </w:tc>
        <w:tc>
          <w:tcPr>
            <w:tcW w:w="0" w:type="auto"/>
            <w:noWrap w:val="0"/>
            <w:vAlign w:val="center"/>
          </w:tcPr>
          <w:p w14:paraId="0A638C46">
            <w:pPr>
              <w:jc w:val="center"/>
              <w:rPr>
                <w:color w:val="000000"/>
                <w:sz w:val="22"/>
                <w:szCs w:val="22"/>
              </w:rPr>
            </w:pPr>
            <w:r>
              <w:rPr>
                <w:color w:val="000000"/>
                <w:sz w:val="22"/>
                <w:szCs w:val="22"/>
              </w:rPr>
              <w:t>170</w:t>
            </w:r>
          </w:p>
        </w:tc>
        <w:tc>
          <w:tcPr>
            <w:tcW w:w="0" w:type="auto"/>
            <w:noWrap w:val="0"/>
            <w:vAlign w:val="center"/>
          </w:tcPr>
          <w:p w14:paraId="5ACBA9D8">
            <w:pPr>
              <w:jc w:val="center"/>
              <w:rPr>
                <w:color w:val="000000"/>
                <w:sz w:val="22"/>
                <w:szCs w:val="22"/>
              </w:rPr>
            </w:pPr>
            <w:r>
              <w:rPr>
                <w:color w:val="000000"/>
                <w:sz w:val="22"/>
                <w:szCs w:val="22"/>
              </w:rPr>
              <w:t>11.33</w:t>
            </w:r>
          </w:p>
        </w:tc>
        <w:tc>
          <w:tcPr>
            <w:tcW w:w="0" w:type="auto"/>
            <w:noWrap w:val="0"/>
            <w:vAlign w:val="center"/>
          </w:tcPr>
          <w:p w14:paraId="56F31C38">
            <w:pPr>
              <w:jc w:val="center"/>
              <w:rPr>
                <w:color w:val="000000"/>
                <w:sz w:val="22"/>
                <w:szCs w:val="22"/>
              </w:rPr>
            </w:pPr>
            <w:r>
              <w:rPr>
                <w:color w:val="000000"/>
                <w:sz w:val="22"/>
                <w:szCs w:val="22"/>
              </w:rPr>
              <w:t>165</w:t>
            </w:r>
          </w:p>
        </w:tc>
        <w:tc>
          <w:tcPr>
            <w:tcW w:w="0" w:type="auto"/>
            <w:noWrap w:val="0"/>
            <w:vAlign w:val="center"/>
          </w:tcPr>
          <w:p w14:paraId="2E97CE07">
            <w:pPr>
              <w:jc w:val="center"/>
              <w:rPr>
                <w:color w:val="000000"/>
                <w:sz w:val="22"/>
                <w:szCs w:val="22"/>
              </w:rPr>
            </w:pPr>
            <w:r>
              <w:rPr>
                <w:color w:val="000000"/>
                <w:sz w:val="22"/>
                <w:szCs w:val="22"/>
              </w:rPr>
              <w:t>11.00</w:t>
            </w:r>
          </w:p>
        </w:tc>
      </w:tr>
      <w:tr w14:paraId="532B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0"/>
            <w:vAlign w:val="center"/>
          </w:tcPr>
          <w:p w14:paraId="091FEBFA">
            <w:pPr>
              <w:pStyle w:val="20"/>
              <w:jc w:val="center"/>
              <w:rPr>
                <w:rFonts w:ascii="Times New Roman" w:hAnsi="Times New Roman" w:eastAsia="楷体_GB2312"/>
                <w:sz w:val="24"/>
                <w:szCs w:val="24"/>
              </w:rPr>
            </w:pPr>
            <w:r>
              <w:rPr>
                <w:rFonts w:ascii="Times New Roman" w:hAnsi="Times New Roman" w:eastAsia="楷体_GB2312"/>
                <w:sz w:val="24"/>
                <w:szCs w:val="24"/>
              </w:rPr>
              <w:t>22</w:t>
            </w:r>
          </w:p>
        </w:tc>
        <w:tc>
          <w:tcPr>
            <w:tcW w:w="0" w:type="auto"/>
            <w:vMerge w:val="restart"/>
            <w:noWrap w:val="0"/>
            <w:vAlign w:val="center"/>
          </w:tcPr>
          <w:p w14:paraId="0006877F">
            <w:pPr>
              <w:pStyle w:val="20"/>
              <w:jc w:val="center"/>
              <w:rPr>
                <w:rFonts w:ascii="Times New Roman" w:hAnsi="Times New Roman" w:eastAsia="楷体_GB2312"/>
                <w:sz w:val="24"/>
                <w:szCs w:val="24"/>
              </w:rPr>
            </w:pPr>
            <w:r>
              <w:rPr>
                <w:rFonts w:ascii="Times New Roman" w:hAnsi="Times New Roman" w:eastAsia="楷体_GB2312"/>
                <w:sz w:val="24"/>
                <w:szCs w:val="24"/>
              </w:rPr>
              <w:t>桃沟乡</w:t>
            </w:r>
          </w:p>
        </w:tc>
        <w:tc>
          <w:tcPr>
            <w:tcW w:w="0" w:type="auto"/>
            <w:noWrap w:val="0"/>
            <w:vAlign w:val="center"/>
          </w:tcPr>
          <w:p w14:paraId="1AB1A8C9">
            <w:pPr>
              <w:pStyle w:val="20"/>
              <w:jc w:val="center"/>
              <w:rPr>
                <w:rFonts w:ascii="Times New Roman" w:hAnsi="Times New Roman" w:eastAsia="楷体_GB2312"/>
                <w:sz w:val="24"/>
                <w:szCs w:val="24"/>
              </w:rPr>
            </w:pPr>
            <w:r>
              <w:rPr>
                <w:rFonts w:ascii="Times New Roman" w:hAnsi="Times New Roman" w:eastAsia="楷体_GB2312"/>
                <w:sz w:val="24"/>
                <w:szCs w:val="24"/>
              </w:rPr>
              <w:t>1</w:t>
            </w:r>
          </w:p>
        </w:tc>
        <w:tc>
          <w:tcPr>
            <w:tcW w:w="0" w:type="auto"/>
            <w:noWrap/>
            <w:vAlign w:val="center"/>
          </w:tcPr>
          <w:p w14:paraId="36B0CA43">
            <w:pPr>
              <w:jc w:val="center"/>
              <w:rPr>
                <w:color w:val="000000"/>
                <w:sz w:val="22"/>
                <w:szCs w:val="22"/>
              </w:rPr>
            </w:pPr>
            <w:r>
              <w:rPr>
                <w:color w:val="000000"/>
                <w:sz w:val="22"/>
                <w:szCs w:val="22"/>
              </w:rPr>
              <w:t>290</w:t>
            </w:r>
          </w:p>
        </w:tc>
        <w:tc>
          <w:tcPr>
            <w:tcW w:w="0" w:type="auto"/>
            <w:noWrap w:val="0"/>
            <w:vAlign w:val="center"/>
          </w:tcPr>
          <w:p w14:paraId="2D9CF8AC">
            <w:pPr>
              <w:jc w:val="center"/>
              <w:rPr>
                <w:color w:val="000000"/>
                <w:sz w:val="22"/>
                <w:szCs w:val="22"/>
              </w:rPr>
            </w:pPr>
            <w:r>
              <w:rPr>
                <w:color w:val="000000"/>
                <w:sz w:val="22"/>
                <w:szCs w:val="22"/>
              </w:rPr>
              <w:t>19.33</w:t>
            </w:r>
          </w:p>
        </w:tc>
        <w:tc>
          <w:tcPr>
            <w:tcW w:w="0" w:type="auto"/>
            <w:noWrap/>
            <w:vAlign w:val="center"/>
          </w:tcPr>
          <w:p w14:paraId="6640482B">
            <w:pPr>
              <w:jc w:val="center"/>
              <w:rPr>
                <w:color w:val="000000"/>
                <w:sz w:val="22"/>
                <w:szCs w:val="22"/>
              </w:rPr>
            </w:pPr>
            <w:r>
              <w:rPr>
                <w:color w:val="000000"/>
                <w:sz w:val="22"/>
                <w:szCs w:val="22"/>
              </w:rPr>
              <w:t>270</w:t>
            </w:r>
          </w:p>
        </w:tc>
        <w:tc>
          <w:tcPr>
            <w:tcW w:w="0" w:type="auto"/>
            <w:noWrap w:val="0"/>
            <w:vAlign w:val="center"/>
          </w:tcPr>
          <w:p w14:paraId="02DC2321">
            <w:pPr>
              <w:jc w:val="center"/>
              <w:rPr>
                <w:color w:val="000000"/>
                <w:sz w:val="22"/>
                <w:szCs w:val="22"/>
              </w:rPr>
            </w:pPr>
            <w:r>
              <w:rPr>
                <w:color w:val="000000"/>
                <w:sz w:val="22"/>
                <w:szCs w:val="22"/>
              </w:rPr>
              <w:t>18.00</w:t>
            </w:r>
          </w:p>
        </w:tc>
        <w:tc>
          <w:tcPr>
            <w:tcW w:w="0" w:type="auto"/>
            <w:noWrap/>
            <w:vAlign w:val="center"/>
          </w:tcPr>
          <w:p w14:paraId="31468F85">
            <w:pPr>
              <w:jc w:val="center"/>
              <w:rPr>
                <w:color w:val="000000"/>
                <w:sz w:val="22"/>
                <w:szCs w:val="22"/>
              </w:rPr>
            </w:pPr>
            <w:r>
              <w:rPr>
                <w:color w:val="000000"/>
                <w:sz w:val="22"/>
                <w:szCs w:val="22"/>
              </w:rPr>
              <w:t>260</w:t>
            </w:r>
          </w:p>
        </w:tc>
        <w:tc>
          <w:tcPr>
            <w:tcW w:w="0" w:type="auto"/>
            <w:noWrap w:val="0"/>
            <w:vAlign w:val="center"/>
          </w:tcPr>
          <w:p w14:paraId="3E14BE95">
            <w:pPr>
              <w:jc w:val="center"/>
              <w:rPr>
                <w:color w:val="000000"/>
                <w:sz w:val="22"/>
                <w:szCs w:val="22"/>
              </w:rPr>
            </w:pPr>
            <w:r>
              <w:rPr>
                <w:color w:val="000000"/>
                <w:sz w:val="22"/>
                <w:szCs w:val="22"/>
              </w:rPr>
              <w:t>17.33</w:t>
            </w:r>
          </w:p>
        </w:tc>
        <w:tc>
          <w:tcPr>
            <w:tcW w:w="0" w:type="auto"/>
            <w:noWrap w:val="0"/>
            <w:vAlign w:val="center"/>
          </w:tcPr>
          <w:p w14:paraId="4807DD27">
            <w:pPr>
              <w:jc w:val="center"/>
              <w:rPr>
                <w:color w:val="000000"/>
                <w:sz w:val="22"/>
                <w:szCs w:val="22"/>
              </w:rPr>
            </w:pPr>
            <w:r>
              <w:rPr>
                <w:color w:val="000000"/>
                <w:sz w:val="22"/>
                <w:szCs w:val="22"/>
              </w:rPr>
              <w:t>250</w:t>
            </w:r>
          </w:p>
        </w:tc>
        <w:tc>
          <w:tcPr>
            <w:tcW w:w="0" w:type="auto"/>
            <w:noWrap w:val="0"/>
            <w:vAlign w:val="center"/>
          </w:tcPr>
          <w:p w14:paraId="4D2863C4">
            <w:pPr>
              <w:jc w:val="center"/>
              <w:rPr>
                <w:color w:val="000000"/>
                <w:sz w:val="22"/>
                <w:szCs w:val="22"/>
              </w:rPr>
            </w:pPr>
            <w:r>
              <w:rPr>
                <w:color w:val="000000"/>
                <w:sz w:val="22"/>
                <w:szCs w:val="22"/>
              </w:rPr>
              <w:t>16.67</w:t>
            </w:r>
          </w:p>
        </w:tc>
        <w:tc>
          <w:tcPr>
            <w:tcW w:w="0" w:type="auto"/>
            <w:noWrap w:val="0"/>
            <w:vAlign w:val="center"/>
          </w:tcPr>
          <w:p w14:paraId="754F999F">
            <w:pPr>
              <w:jc w:val="center"/>
              <w:rPr>
                <w:color w:val="000000"/>
                <w:sz w:val="22"/>
                <w:szCs w:val="22"/>
              </w:rPr>
            </w:pPr>
            <w:r>
              <w:rPr>
                <w:color w:val="000000"/>
                <w:sz w:val="22"/>
                <w:szCs w:val="22"/>
              </w:rPr>
              <w:t>240</w:t>
            </w:r>
          </w:p>
        </w:tc>
        <w:tc>
          <w:tcPr>
            <w:tcW w:w="0" w:type="auto"/>
            <w:noWrap w:val="0"/>
            <w:vAlign w:val="center"/>
          </w:tcPr>
          <w:p w14:paraId="0CDF9829">
            <w:pPr>
              <w:jc w:val="center"/>
              <w:rPr>
                <w:color w:val="000000"/>
                <w:sz w:val="22"/>
                <w:szCs w:val="22"/>
              </w:rPr>
            </w:pPr>
            <w:r>
              <w:rPr>
                <w:color w:val="000000"/>
                <w:sz w:val="22"/>
                <w:szCs w:val="22"/>
              </w:rPr>
              <w:t>16.00</w:t>
            </w:r>
          </w:p>
        </w:tc>
        <w:tc>
          <w:tcPr>
            <w:tcW w:w="0" w:type="auto"/>
            <w:noWrap w:val="0"/>
            <w:vAlign w:val="center"/>
          </w:tcPr>
          <w:p w14:paraId="486402BA">
            <w:pPr>
              <w:jc w:val="center"/>
              <w:rPr>
                <w:color w:val="000000"/>
                <w:sz w:val="22"/>
                <w:szCs w:val="22"/>
              </w:rPr>
            </w:pPr>
            <w:r>
              <w:rPr>
                <w:color w:val="000000"/>
                <w:sz w:val="22"/>
                <w:szCs w:val="22"/>
              </w:rPr>
              <w:t>220</w:t>
            </w:r>
          </w:p>
        </w:tc>
        <w:tc>
          <w:tcPr>
            <w:tcW w:w="0" w:type="auto"/>
            <w:noWrap w:val="0"/>
            <w:vAlign w:val="center"/>
          </w:tcPr>
          <w:p w14:paraId="26A04CF0">
            <w:pPr>
              <w:jc w:val="center"/>
              <w:rPr>
                <w:color w:val="000000"/>
                <w:sz w:val="22"/>
                <w:szCs w:val="22"/>
              </w:rPr>
            </w:pPr>
            <w:r>
              <w:rPr>
                <w:color w:val="000000"/>
                <w:sz w:val="22"/>
                <w:szCs w:val="22"/>
              </w:rPr>
              <w:t>14.67</w:t>
            </w:r>
          </w:p>
        </w:tc>
      </w:tr>
      <w:tr w14:paraId="6D4BC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0DD5FC94">
            <w:pPr>
              <w:pStyle w:val="20"/>
              <w:jc w:val="center"/>
              <w:rPr>
                <w:rFonts w:ascii="Times New Roman" w:hAnsi="Times New Roman" w:eastAsia="楷体_GB2312"/>
                <w:sz w:val="24"/>
                <w:szCs w:val="24"/>
              </w:rPr>
            </w:pPr>
          </w:p>
        </w:tc>
        <w:tc>
          <w:tcPr>
            <w:tcW w:w="0" w:type="auto"/>
            <w:vMerge w:val="continue"/>
            <w:noWrap w:val="0"/>
            <w:vAlign w:val="center"/>
          </w:tcPr>
          <w:p w14:paraId="4F113C08">
            <w:pPr>
              <w:pStyle w:val="20"/>
              <w:jc w:val="center"/>
              <w:rPr>
                <w:rFonts w:ascii="Times New Roman" w:hAnsi="Times New Roman" w:eastAsia="楷体_GB2312"/>
                <w:sz w:val="24"/>
                <w:szCs w:val="24"/>
              </w:rPr>
            </w:pPr>
          </w:p>
        </w:tc>
        <w:tc>
          <w:tcPr>
            <w:tcW w:w="0" w:type="auto"/>
            <w:noWrap w:val="0"/>
            <w:vAlign w:val="center"/>
          </w:tcPr>
          <w:p w14:paraId="28F66491">
            <w:pPr>
              <w:pStyle w:val="20"/>
              <w:jc w:val="center"/>
              <w:rPr>
                <w:rFonts w:ascii="Times New Roman" w:hAnsi="Times New Roman" w:eastAsia="楷体_GB2312"/>
                <w:sz w:val="24"/>
                <w:szCs w:val="24"/>
              </w:rPr>
            </w:pPr>
            <w:r>
              <w:rPr>
                <w:rFonts w:ascii="Times New Roman" w:hAnsi="Times New Roman" w:eastAsia="楷体_GB2312"/>
                <w:sz w:val="24"/>
                <w:szCs w:val="24"/>
              </w:rPr>
              <w:t>2</w:t>
            </w:r>
          </w:p>
        </w:tc>
        <w:tc>
          <w:tcPr>
            <w:tcW w:w="0" w:type="auto"/>
            <w:noWrap/>
            <w:vAlign w:val="center"/>
          </w:tcPr>
          <w:p w14:paraId="349D2A1D">
            <w:pPr>
              <w:jc w:val="center"/>
              <w:rPr>
                <w:sz w:val="22"/>
                <w:szCs w:val="22"/>
              </w:rPr>
            </w:pPr>
            <w:r>
              <w:rPr>
                <w:sz w:val="22"/>
                <w:szCs w:val="22"/>
              </w:rPr>
              <w:t>240</w:t>
            </w:r>
          </w:p>
        </w:tc>
        <w:tc>
          <w:tcPr>
            <w:tcW w:w="0" w:type="auto"/>
            <w:noWrap w:val="0"/>
            <w:vAlign w:val="center"/>
          </w:tcPr>
          <w:p w14:paraId="5E42956D">
            <w:pPr>
              <w:jc w:val="center"/>
              <w:rPr>
                <w:color w:val="000000"/>
                <w:sz w:val="22"/>
                <w:szCs w:val="22"/>
              </w:rPr>
            </w:pPr>
            <w:r>
              <w:rPr>
                <w:color w:val="000000"/>
                <w:sz w:val="22"/>
                <w:szCs w:val="22"/>
              </w:rPr>
              <w:t>16.00</w:t>
            </w:r>
          </w:p>
        </w:tc>
        <w:tc>
          <w:tcPr>
            <w:tcW w:w="0" w:type="auto"/>
            <w:noWrap/>
            <w:vAlign w:val="center"/>
          </w:tcPr>
          <w:p w14:paraId="243B9D2E">
            <w:pPr>
              <w:jc w:val="center"/>
              <w:rPr>
                <w:sz w:val="22"/>
                <w:szCs w:val="22"/>
              </w:rPr>
            </w:pPr>
            <w:r>
              <w:rPr>
                <w:sz w:val="22"/>
                <w:szCs w:val="22"/>
              </w:rPr>
              <w:t>230</w:t>
            </w:r>
          </w:p>
        </w:tc>
        <w:tc>
          <w:tcPr>
            <w:tcW w:w="0" w:type="auto"/>
            <w:noWrap w:val="0"/>
            <w:vAlign w:val="center"/>
          </w:tcPr>
          <w:p w14:paraId="625B0DD8">
            <w:pPr>
              <w:jc w:val="center"/>
              <w:rPr>
                <w:color w:val="000000"/>
                <w:sz w:val="22"/>
                <w:szCs w:val="22"/>
              </w:rPr>
            </w:pPr>
            <w:r>
              <w:rPr>
                <w:color w:val="000000"/>
                <w:sz w:val="22"/>
                <w:szCs w:val="22"/>
              </w:rPr>
              <w:t>15.33</w:t>
            </w:r>
          </w:p>
        </w:tc>
        <w:tc>
          <w:tcPr>
            <w:tcW w:w="0" w:type="auto"/>
            <w:noWrap/>
            <w:vAlign w:val="center"/>
          </w:tcPr>
          <w:p w14:paraId="4CC8961C">
            <w:pPr>
              <w:jc w:val="center"/>
              <w:rPr>
                <w:sz w:val="22"/>
                <w:szCs w:val="22"/>
              </w:rPr>
            </w:pPr>
            <w:r>
              <w:rPr>
                <w:sz w:val="22"/>
                <w:szCs w:val="22"/>
              </w:rPr>
              <w:t>220</w:t>
            </w:r>
          </w:p>
        </w:tc>
        <w:tc>
          <w:tcPr>
            <w:tcW w:w="0" w:type="auto"/>
            <w:noWrap w:val="0"/>
            <w:vAlign w:val="center"/>
          </w:tcPr>
          <w:p w14:paraId="7CC86887">
            <w:pPr>
              <w:jc w:val="center"/>
              <w:rPr>
                <w:color w:val="000000"/>
                <w:sz w:val="22"/>
                <w:szCs w:val="22"/>
              </w:rPr>
            </w:pPr>
            <w:r>
              <w:rPr>
                <w:color w:val="000000"/>
                <w:sz w:val="22"/>
                <w:szCs w:val="22"/>
              </w:rPr>
              <w:t>14.67</w:t>
            </w:r>
          </w:p>
        </w:tc>
        <w:tc>
          <w:tcPr>
            <w:tcW w:w="0" w:type="auto"/>
            <w:noWrap w:val="0"/>
            <w:vAlign w:val="center"/>
          </w:tcPr>
          <w:p w14:paraId="2E0122E2">
            <w:pPr>
              <w:jc w:val="center"/>
              <w:rPr>
                <w:sz w:val="22"/>
                <w:szCs w:val="22"/>
              </w:rPr>
            </w:pPr>
            <w:r>
              <w:rPr>
                <w:sz w:val="22"/>
                <w:szCs w:val="22"/>
              </w:rPr>
              <w:t>215</w:t>
            </w:r>
          </w:p>
        </w:tc>
        <w:tc>
          <w:tcPr>
            <w:tcW w:w="0" w:type="auto"/>
            <w:noWrap w:val="0"/>
            <w:vAlign w:val="center"/>
          </w:tcPr>
          <w:p w14:paraId="09BBD981">
            <w:pPr>
              <w:jc w:val="center"/>
              <w:rPr>
                <w:color w:val="000000"/>
                <w:sz w:val="22"/>
                <w:szCs w:val="22"/>
              </w:rPr>
            </w:pPr>
            <w:r>
              <w:rPr>
                <w:color w:val="000000"/>
                <w:sz w:val="22"/>
                <w:szCs w:val="22"/>
              </w:rPr>
              <w:t>14.33</w:t>
            </w:r>
          </w:p>
        </w:tc>
        <w:tc>
          <w:tcPr>
            <w:tcW w:w="0" w:type="auto"/>
            <w:noWrap w:val="0"/>
            <w:vAlign w:val="center"/>
          </w:tcPr>
          <w:p w14:paraId="16F9603B">
            <w:pPr>
              <w:jc w:val="center"/>
              <w:rPr>
                <w:sz w:val="22"/>
                <w:szCs w:val="22"/>
              </w:rPr>
            </w:pPr>
            <w:r>
              <w:rPr>
                <w:sz w:val="22"/>
                <w:szCs w:val="22"/>
              </w:rPr>
              <w:t>210</w:t>
            </w:r>
          </w:p>
        </w:tc>
        <w:tc>
          <w:tcPr>
            <w:tcW w:w="0" w:type="auto"/>
            <w:noWrap w:val="0"/>
            <w:vAlign w:val="center"/>
          </w:tcPr>
          <w:p w14:paraId="467604F1">
            <w:pPr>
              <w:jc w:val="center"/>
              <w:rPr>
                <w:color w:val="000000"/>
                <w:sz w:val="22"/>
                <w:szCs w:val="22"/>
              </w:rPr>
            </w:pPr>
            <w:r>
              <w:rPr>
                <w:color w:val="000000"/>
                <w:sz w:val="22"/>
                <w:szCs w:val="22"/>
              </w:rPr>
              <w:t>14.00</w:t>
            </w:r>
          </w:p>
        </w:tc>
        <w:tc>
          <w:tcPr>
            <w:tcW w:w="0" w:type="auto"/>
            <w:noWrap w:val="0"/>
            <w:vAlign w:val="center"/>
          </w:tcPr>
          <w:p w14:paraId="6AD42A65">
            <w:pPr>
              <w:jc w:val="center"/>
              <w:rPr>
                <w:sz w:val="22"/>
                <w:szCs w:val="22"/>
              </w:rPr>
            </w:pPr>
            <w:r>
              <w:rPr>
                <w:sz w:val="22"/>
                <w:szCs w:val="22"/>
              </w:rPr>
              <w:t>200</w:t>
            </w:r>
          </w:p>
        </w:tc>
        <w:tc>
          <w:tcPr>
            <w:tcW w:w="0" w:type="auto"/>
            <w:noWrap w:val="0"/>
            <w:vAlign w:val="center"/>
          </w:tcPr>
          <w:p w14:paraId="32EA229A">
            <w:pPr>
              <w:jc w:val="center"/>
              <w:rPr>
                <w:color w:val="000000"/>
                <w:sz w:val="22"/>
                <w:szCs w:val="22"/>
              </w:rPr>
            </w:pPr>
            <w:r>
              <w:rPr>
                <w:color w:val="000000"/>
                <w:sz w:val="22"/>
                <w:szCs w:val="22"/>
              </w:rPr>
              <w:t>13.33</w:t>
            </w:r>
          </w:p>
        </w:tc>
      </w:tr>
      <w:tr w14:paraId="57963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24752EAF">
            <w:pPr>
              <w:pStyle w:val="20"/>
              <w:jc w:val="center"/>
              <w:rPr>
                <w:rFonts w:ascii="Times New Roman" w:hAnsi="Times New Roman" w:eastAsia="楷体_GB2312"/>
                <w:sz w:val="24"/>
                <w:szCs w:val="24"/>
              </w:rPr>
            </w:pPr>
          </w:p>
        </w:tc>
        <w:tc>
          <w:tcPr>
            <w:tcW w:w="0" w:type="auto"/>
            <w:vMerge w:val="continue"/>
            <w:noWrap w:val="0"/>
            <w:vAlign w:val="center"/>
          </w:tcPr>
          <w:p w14:paraId="04D109D1">
            <w:pPr>
              <w:pStyle w:val="20"/>
              <w:jc w:val="center"/>
              <w:rPr>
                <w:rFonts w:ascii="Times New Roman" w:hAnsi="Times New Roman" w:eastAsia="楷体_GB2312"/>
                <w:sz w:val="24"/>
                <w:szCs w:val="24"/>
              </w:rPr>
            </w:pPr>
          </w:p>
        </w:tc>
        <w:tc>
          <w:tcPr>
            <w:tcW w:w="0" w:type="auto"/>
            <w:noWrap w:val="0"/>
            <w:vAlign w:val="center"/>
          </w:tcPr>
          <w:p w14:paraId="52DBCDA3">
            <w:pPr>
              <w:pStyle w:val="20"/>
              <w:jc w:val="center"/>
              <w:rPr>
                <w:rFonts w:ascii="Times New Roman" w:hAnsi="Times New Roman" w:eastAsia="楷体_GB2312"/>
                <w:sz w:val="24"/>
                <w:szCs w:val="24"/>
              </w:rPr>
            </w:pPr>
            <w:r>
              <w:rPr>
                <w:rFonts w:ascii="Times New Roman" w:hAnsi="Times New Roman" w:eastAsia="楷体_GB2312"/>
                <w:sz w:val="24"/>
                <w:szCs w:val="24"/>
              </w:rPr>
              <w:t>3</w:t>
            </w:r>
          </w:p>
        </w:tc>
        <w:tc>
          <w:tcPr>
            <w:tcW w:w="0" w:type="auto"/>
            <w:noWrap/>
            <w:vAlign w:val="center"/>
          </w:tcPr>
          <w:p w14:paraId="05960816">
            <w:pPr>
              <w:jc w:val="center"/>
              <w:rPr>
                <w:color w:val="000000"/>
                <w:sz w:val="22"/>
                <w:szCs w:val="22"/>
              </w:rPr>
            </w:pPr>
            <w:r>
              <w:rPr>
                <w:color w:val="000000"/>
                <w:sz w:val="22"/>
                <w:szCs w:val="22"/>
              </w:rPr>
              <w:t>190</w:t>
            </w:r>
          </w:p>
        </w:tc>
        <w:tc>
          <w:tcPr>
            <w:tcW w:w="0" w:type="auto"/>
            <w:noWrap w:val="0"/>
            <w:vAlign w:val="center"/>
          </w:tcPr>
          <w:p w14:paraId="6CB126D0">
            <w:pPr>
              <w:jc w:val="center"/>
              <w:rPr>
                <w:color w:val="000000"/>
                <w:sz w:val="22"/>
                <w:szCs w:val="22"/>
              </w:rPr>
            </w:pPr>
            <w:r>
              <w:rPr>
                <w:color w:val="000000"/>
                <w:sz w:val="22"/>
                <w:szCs w:val="22"/>
              </w:rPr>
              <w:t>12.67</w:t>
            </w:r>
          </w:p>
        </w:tc>
        <w:tc>
          <w:tcPr>
            <w:tcW w:w="0" w:type="auto"/>
            <w:noWrap/>
            <w:vAlign w:val="center"/>
          </w:tcPr>
          <w:p w14:paraId="07CB9805">
            <w:pPr>
              <w:jc w:val="center"/>
              <w:rPr>
                <w:color w:val="000000"/>
                <w:sz w:val="22"/>
                <w:szCs w:val="22"/>
              </w:rPr>
            </w:pPr>
            <w:r>
              <w:rPr>
                <w:color w:val="000000"/>
                <w:sz w:val="22"/>
                <w:szCs w:val="22"/>
              </w:rPr>
              <w:t>185</w:t>
            </w:r>
          </w:p>
        </w:tc>
        <w:tc>
          <w:tcPr>
            <w:tcW w:w="0" w:type="auto"/>
            <w:noWrap w:val="0"/>
            <w:vAlign w:val="center"/>
          </w:tcPr>
          <w:p w14:paraId="6E1BCD16">
            <w:pPr>
              <w:jc w:val="center"/>
              <w:rPr>
                <w:color w:val="000000"/>
                <w:sz w:val="22"/>
                <w:szCs w:val="22"/>
              </w:rPr>
            </w:pPr>
            <w:r>
              <w:rPr>
                <w:color w:val="000000"/>
                <w:sz w:val="22"/>
                <w:szCs w:val="22"/>
              </w:rPr>
              <w:t>12.33</w:t>
            </w:r>
          </w:p>
        </w:tc>
        <w:tc>
          <w:tcPr>
            <w:tcW w:w="0" w:type="auto"/>
            <w:noWrap/>
            <w:vAlign w:val="center"/>
          </w:tcPr>
          <w:p w14:paraId="4A28F033">
            <w:pPr>
              <w:jc w:val="center"/>
              <w:rPr>
                <w:color w:val="000000"/>
                <w:sz w:val="22"/>
                <w:szCs w:val="22"/>
              </w:rPr>
            </w:pPr>
            <w:r>
              <w:rPr>
                <w:color w:val="000000"/>
                <w:sz w:val="22"/>
                <w:szCs w:val="22"/>
              </w:rPr>
              <w:t>180</w:t>
            </w:r>
          </w:p>
        </w:tc>
        <w:tc>
          <w:tcPr>
            <w:tcW w:w="0" w:type="auto"/>
            <w:noWrap w:val="0"/>
            <w:vAlign w:val="center"/>
          </w:tcPr>
          <w:p w14:paraId="61B01FD5">
            <w:pPr>
              <w:jc w:val="center"/>
              <w:rPr>
                <w:color w:val="000000"/>
                <w:sz w:val="22"/>
                <w:szCs w:val="22"/>
              </w:rPr>
            </w:pPr>
            <w:r>
              <w:rPr>
                <w:color w:val="000000"/>
                <w:sz w:val="22"/>
                <w:szCs w:val="22"/>
              </w:rPr>
              <w:t>12.00</w:t>
            </w:r>
          </w:p>
        </w:tc>
        <w:tc>
          <w:tcPr>
            <w:tcW w:w="0" w:type="auto"/>
            <w:noWrap w:val="0"/>
            <w:vAlign w:val="center"/>
          </w:tcPr>
          <w:p w14:paraId="1D43167B">
            <w:pPr>
              <w:jc w:val="center"/>
              <w:rPr>
                <w:color w:val="000000"/>
                <w:sz w:val="22"/>
                <w:szCs w:val="22"/>
              </w:rPr>
            </w:pPr>
            <w:r>
              <w:rPr>
                <w:color w:val="000000"/>
                <w:sz w:val="22"/>
                <w:szCs w:val="22"/>
              </w:rPr>
              <w:t>175</w:t>
            </w:r>
          </w:p>
        </w:tc>
        <w:tc>
          <w:tcPr>
            <w:tcW w:w="0" w:type="auto"/>
            <w:noWrap w:val="0"/>
            <w:vAlign w:val="center"/>
          </w:tcPr>
          <w:p w14:paraId="6FF28C23">
            <w:pPr>
              <w:jc w:val="center"/>
              <w:rPr>
                <w:color w:val="000000"/>
                <w:sz w:val="22"/>
                <w:szCs w:val="22"/>
              </w:rPr>
            </w:pPr>
            <w:r>
              <w:rPr>
                <w:color w:val="000000"/>
                <w:sz w:val="22"/>
                <w:szCs w:val="22"/>
              </w:rPr>
              <w:t>11.67</w:t>
            </w:r>
          </w:p>
        </w:tc>
        <w:tc>
          <w:tcPr>
            <w:tcW w:w="0" w:type="auto"/>
            <w:noWrap w:val="0"/>
            <w:vAlign w:val="center"/>
          </w:tcPr>
          <w:p w14:paraId="21669BC6">
            <w:pPr>
              <w:jc w:val="center"/>
              <w:rPr>
                <w:color w:val="000000"/>
                <w:sz w:val="22"/>
                <w:szCs w:val="22"/>
              </w:rPr>
            </w:pPr>
            <w:r>
              <w:rPr>
                <w:color w:val="000000"/>
                <w:sz w:val="22"/>
                <w:szCs w:val="22"/>
              </w:rPr>
              <w:t>170</w:t>
            </w:r>
          </w:p>
        </w:tc>
        <w:tc>
          <w:tcPr>
            <w:tcW w:w="0" w:type="auto"/>
            <w:noWrap w:val="0"/>
            <w:vAlign w:val="center"/>
          </w:tcPr>
          <w:p w14:paraId="16CB35D8">
            <w:pPr>
              <w:jc w:val="center"/>
              <w:rPr>
                <w:color w:val="000000"/>
                <w:sz w:val="22"/>
                <w:szCs w:val="22"/>
              </w:rPr>
            </w:pPr>
            <w:r>
              <w:rPr>
                <w:color w:val="000000"/>
                <w:sz w:val="22"/>
                <w:szCs w:val="22"/>
              </w:rPr>
              <w:t>11.33</w:t>
            </w:r>
          </w:p>
        </w:tc>
        <w:tc>
          <w:tcPr>
            <w:tcW w:w="0" w:type="auto"/>
            <w:noWrap w:val="0"/>
            <w:vAlign w:val="center"/>
          </w:tcPr>
          <w:p w14:paraId="6598BE2F">
            <w:pPr>
              <w:jc w:val="center"/>
              <w:rPr>
                <w:color w:val="000000"/>
                <w:sz w:val="22"/>
                <w:szCs w:val="22"/>
              </w:rPr>
            </w:pPr>
            <w:r>
              <w:rPr>
                <w:color w:val="000000"/>
                <w:sz w:val="22"/>
                <w:szCs w:val="22"/>
              </w:rPr>
              <w:t>165</w:t>
            </w:r>
          </w:p>
        </w:tc>
        <w:tc>
          <w:tcPr>
            <w:tcW w:w="0" w:type="auto"/>
            <w:noWrap w:val="0"/>
            <w:vAlign w:val="center"/>
          </w:tcPr>
          <w:p w14:paraId="38D4D569">
            <w:pPr>
              <w:jc w:val="center"/>
              <w:rPr>
                <w:color w:val="000000"/>
                <w:sz w:val="22"/>
                <w:szCs w:val="22"/>
              </w:rPr>
            </w:pPr>
            <w:r>
              <w:rPr>
                <w:color w:val="000000"/>
                <w:sz w:val="22"/>
                <w:szCs w:val="22"/>
              </w:rPr>
              <w:t>11.00</w:t>
            </w:r>
          </w:p>
        </w:tc>
      </w:tr>
      <w:tr w14:paraId="60DA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392ED86C">
            <w:pPr>
              <w:pStyle w:val="20"/>
              <w:jc w:val="center"/>
              <w:rPr>
                <w:rFonts w:ascii="Times New Roman" w:hAnsi="Times New Roman" w:eastAsia="楷体_GB2312"/>
                <w:sz w:val="24"/>
                <w:szCs w:val="24"/>
              </w:rPr>
            </w:pPr>
            <w:r>
              <w:rPr>
                <w:rFonts w:ascii="Times New Roman" w:hAnsi="Times New Roman" w:eastAsia="楷体_GB2312"/>
                <w:sz w:val="24"/>
                <w:szCs w:val="24"/>
              </w:rPr>
              <w:t>23</w:t>
            </w:r>
          </w:p>
        </w:tc>
        <w:tc>
          <w:tcPr>
            <w:tcW w:w="0" w:type="auto"/>
            <w:noWrap w:val="0"/>
            <w:vAlign w:val="center"/>
          </w:tcPr>
          <w:p w14:paraId="7B16187A">
            <w:pPr>
              <w:pStyle w:val="20"/>
              <w:jc w:val="center"/>
              <w:rPr>
                <w:rFonts w:ascii="Times New Roman" w:hAnsi="Times New Roman" w:eastAsia="楷体_GB2312"/>
                <w:sz w:val="24"/>
                <w:szCs w:val="24"/>
              </w:rPr>
            </w:pPr>
            <w:r>
              <w:rPr>
                <w:rFonts w:ascii="Times New Roman" w:hAnsi="Times New Roman" w:eastAsia="楷体_GB2312"/>
                <w:sz w:val="24"/>
                <w:szCs w:val="24"/>
              </w:rPr>
              <w:t>曹村开发区</w:t>
            </w:r>
          </w:p>
        </w:tc>
        <w:tc>
          <w:tcPr>
            <w:tcW w:w="0" w:type="auto"/>
            <w:noWrap w:val="0"/>
            <w:vAlign w:val="center"/>
          </w:tcPr>
          <w:p w14:paraId="050D422D">
            <w:pPr>
              <w:pStyle w:val="20"/>
              <w:jc w:val="center"/>
              <w:rPr>
                <w:rFonts w:ascii="Times New Roman" w:hAnsi="Times New Roman" w:eastAsia="楷体_GB2312"/>
                <w:sz w:val="24"/>
                <w:szCs w:val="24"/>
              </w:rPr>
            </w:pPr>
            <w:r>
              <w:rPr>
                <w:rFonts w:ascii="Times New Roman" w:hAnsi="Times New Roman" w:eastAsia="楷体_GB2312"/>
                <w:sz w:val="24"/>
                <w:szCs w:val="24"/>
              </w:rPr>
              <w:t>指导价</w:t>
            </w:r>
          </w:p>
        </w:tc>
        <w:tc>
          <w:tcPr>
            <w:tcW w:w="0" w:type="auto"/>
            <w:noWrap/>
            <w:vAlign w:val="center"/>
          </w:tcPr>
          <w:p w14:paraId="2802A170">
            <w:pPr>
              <w:jc w:val="center"/>
              <w:rPr>
                <w:color w:val="000000"/>
                <w:sz w:val="22"/>
                <w:szCs w:val="22"/>
              </w:rPr>
            </w:pPr>
            <w:r>
              <w:rPr>
                <w:color w:val="000000"/>
                <w:sz w:val="22"/>
                <w:szCs w:val="22"/>
              </w:rPr>
              <w:t>265</w:t>
            </w:r>
          </w:p>
        </w:tc>
        <w:tc>
          <w:tcPr>
            <w:tcW w:w="0" w:type="auto"/>
            <w:noWrap w:val="0"/>
            <w:vAlign w:val="center"/>
          </w:tcPr>
          <w:p w14:paraId="2970AD46">
            <w:pPr>
              <w:jc w:val="center"/>
              <w:rPr>
                <w:color w:val="000000"/>
                <w:sz w:val="22"/>
                <w:szCs w:val="22"/>
              </w:rPr>
            </w:pPr>
            <w:r>
              <w:rPr>
                <w:color w:val="000000"/>
                <w:sz w:val="22"/>
                <w:szCs w:val="22"/>
              </w:rPr>
              <w:t>17.67</w:t>
            </w:r>
          </w:p>
        </w:tc>
        <w:tc>
          <w:tcPr>
            <w:tcW w:w="0" w:type="auto"/>
            <w:noWrap/>
            <w:vAlign w:val="center"/>
          </w:tcPr>
          <w:p w14:paraId="4BAB6D8C">
            <w:pPr>
              <w:jc w:val="center"/>
              <w:rPr>
                <w:color w:val="000000"/>
                <w:sz w:val="22"/>
                <w:szCs w:val="22"/>
              </w:rPr>
            </w:pPr>
            <w:r>
              <w:rPr>
                <w:color w:val="000000"/>
                <w:sz w:val="22"/>
                <w:szCs w:val="22"/>
              </w:rPr>
              <w:t>255</w:t>
            </w:r>
          </w:p>
        </w:tc>
        <w:tc>
          <w:tcPr>
            <w:tcW w:w="0" w:type="auto"/>
            <w:noWrap w:val="0"/>
            <w:vAlign w:val="center"/>
          </w:tcPr>
          <w:p w14:paraId="6898810E">
            <w:pPr>
              <w:jc w:val="center"/>
              <w:rPr>
                <w:color w:val="000000"/>
                <w:sz w:val="22"/>
                <w:szCs w:val="22"/>
              </w:rPr>
            </w:pPr>
            <w:r>
              <w:rPr>
                <w:color w:val="000000"/>
                <w:sz w:val="22"/>
                <w:szCs w:val="22"/>
              </w:rPr>
              <w:t>17.00</w:t>
            </w:r>
          </w:p>
        </w:tc>
        <w:tc>
          <w:tcPr>
            <w:tcW w:w="0" w:type="auto"/>
            <w:noWrap/>
            <w:vAlign w:val="center"/>
          </w:tcPr>
          <w:p w14:paraId="28BA8CF6">
            <w:pPr>
              <w:jc w:val="center"/>
              <w:rPr>
                <w:color w:val="000000"/>
                <w:sz w:val="22"/>
                <w:szCs w:val="22"/>
              </w:rPr>
            </w:pPr>
            <w:r>
              <w:rPr>
                <w:color w:val="000000"/>
                <w:sz w:val="22"/>
                <w:szCs w:val="22"/>
              </w:rPr>
              <w:t>245</w:t>
            </w:r>
          </w:p>
        </w:tc>
        <w:tc>
          <w:tcPr>
            <w:tcW w:w="0" w:type="auto"/>
            <w:noWrap w:val="0"/>
            <w:vAlign w:val="center"/>
          </w:tcPr>
          <w:p w14:paraId="0F5C076D">
            <w:pPr>
              <w:jc w:val="center"/>
              <w:rPr>
                <w:color w:val="000000"/>
                <w:sz w:val="22"/>
                <w:szCs w:val="22"/>
              </w:rPr>
            </w:pPr>
            <w:r>
              <w:rPr>
                <w:color w:val="000000"/>
                <w:sz w:val="22"/>
                <w:szCs w:val="22"/>
              </w:rPr>
              <w:t>16.33</w:t>
            </w:r>
          </w:p>
        </w:tc>
        <w:tc>
          <w:tcPr>
            <w:tcW w:w="0" w:type="auto"/>
            <w:noWrap w:val="0"/>
            <w:vAlign w:val="center"/>
          </w:tcPr>
          <w:p w14:paraId="317AA322">
            <w:pPr>
              <w:jc w:val="center"/>
              <w:rPr>
                <w:color w:val="000000"/>
                <w:sz w:val="22"/>
                <w:szCs w:val="22"/>
              </w:rPr>
            </w:pPr>
            <w:r>
              <w:rPr>
                <w:color w:val="000000"/>
                <w:sz w:val="22"/>
                <w:szCs w:val="22"/>
              </w:rPr>
              <w:t>235</w:t>
            </w:r>
          </w:p>
        </w:tc>
        <w:tc>
          <w:tcPr>
            <w:tcW w:w="0" w:type="auto"/>
            <w:noWrap w:val="0"/>
            <w:vAlign w:val="center"/>
          </w:tcPr>
          <w:p w14:paraId="1849E9C9">
            <w:pPr>
              <w:jc w:val="center"/>
              <w:rPr>
                <w:color w:val="000000"/>
                <w:sz w:val="22"/>
                <w:szCs w:val="22"/>
              </w:rPr>
            </w:pPr>
            <w:r>
              <w:rPr>
                <w:color w:val="000000"/>
                <w:sz w:val="22"/>
                <w:szCs w:val="22"/>
              </w:rPr>
              <w:t>15.67</w:t>
            </w:r>
          </w:p>
        </w:tc>
        <w:tc>
          <w:tcPr>
            <w:tcW w:w="0" w:type="auto"/>
            <w:noWrap w:val="0"/>
            <w:vAlign w:val="center"/>
          </w:tcPr>
          <w:p w14:paraId="63F6EA71">
            <w:pPr>
              <w:jc w:val="center"/>
              <w:rPr>
                <w:color w:val="000000"/>
                <w:sz w:val="22"/>
                <w:szCs w:val="22"/>
              </w:rPr>
            </w:pPr>
            <w:r>
              <w:rPr>
                <w:color w:val="000000"/>
                <w:sz w:val="22"/>
                <w:szCs w:val="22"/>
              </w:rPr>
              <w:t>230</w:t>
            </w:r>
          </w:p>
        </w:tc>
        <w:tc>
          <w:tcPr>
            <w:tcW w:w="0" w:type="auto"/>
            <w:noWrap w:val="0"/>
            <w:vAlign w:val="center"/>
          </w:tcPr>
          <w:p w14:paraId="1D62F27F">
            <w:pPr>
              <w:jc w:val="center"/>
              <w:rPr>
                <w:color w:val="000000"/>
                <w:sz w:val="22"/>
                <w:szCs w:val="22"/>
              </w:rPr>
            </w:pPr>
            <w:r>
              <w:rPr>
                <w:color w:val="000000"/>
                <w:sz w:val="22"/>
                <w:szCs w:val="22"/>
              </w:rPr>
              <w:t>15.33</w:t>
            </w:r>
          </w:p>
        </w:tc>
        <w:tc>
          <w:tcPr>
            <w:tcW w:w="0" w:type="auto"/>
            <w:noWrap w:val="0"/>
            <w:vAlign w:val="center"/>
          </w:tcPr>
          <w:p w14:paraId="201E226F">
            <w:pPr>
              <w:jc w:val="center"/>
              <w:rPr>
                <w:color w:val="000000"/>
                <w:sz w:val="22"/>
                <w:szCs w:val="22"/>
              </w:rPr>
            </w:pPr>
            <w:r>
              <w:rPr>
                <w:color w:val="000000"/>
                <w:sz w:val="22"/>
                <w:szCs w:val="22"/>
              </w:rPr>
              <w:t>220</w:t>
            </w:r>
          </w:p>
        </w:tc>
        <w:tc>
          <w:tcPr>
            <w:tcW w:w="0" w:type="auto"/>
            <w:noWrap w:val="0"/>
            <w:vAlign w:val="center"/>
          </w:tcPr>
          <w:p w14:paraId="3335A305">
            <w:pPr>
              <w:jc w:val="center"/>
              <w:rPr>
                <w:color w:val="000000"/>
                <w:sz w:val="22"/>
                <w:szCs w:val="22"/>
              </w:rPr>
            </w:pPr>
            <w:r>
              <w:rPr>
                <w:color w:val="000000"/>
                <w:sz w:val="22"/>
                <w:szCs w:val="22"/>
              </w:rPr>
              <w:t>14.67</w:t>
            </w:r>
          </w:p>
        </w:tc>
      </w:tr>
      <w:tr w14:paraId="4FDF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106768C0">
            <w:pPr>
              <w:pStyle w:val="20"/>
              <w:jc w:val="center"/>
              <w:rPr>
                <w:rFonts w:ascii="Times New Roman" w:hAnsi="Times New Roman" w:eastAsia="楷体_GB2312"/>
                <w:sz w:val="24"/>
                <w:szCs w:val="24"/>
              </w:rPr>
            </w:pPr>
            <w:r>
              <w:rPr>
                <w:rFonts w:ascii="Times New Roman" w:hAnsi="Times New Roman" w:eastAsia="楷体_GB2312"/>
                <w:sz w:val="24"/>
                <w:szCs w:val="24"/>
              </w:rPr>
              <w:t>24</w:t>
            </w:r>
          </w:p>
        </w:tc>
        <w:tc>
          <w:tcPr>
            <w:tcW w:w="0" w:type="auto"/>
            <w:noWrap w:val="0"/>
            <w:vAlign w:val="center"/>
          </w:tcPr>
          <w:p w14:paraId="268E7B60">
            <w:pPr>
              <w:pStyle w:val="20"/>
              <w:jc w:val="center"/>
              <w:rPr>
                <w:rFonts w:ascii="Times New Roman" w:hAnsi="Times New Roman" w:eastAsia="楷体_GB2312"/>
                <w:sz w:val="24"/>
                <w:szCs w:val="24"/>
              </w:rPr>
            </w:pPr>
            <w:r>
              <w:rPr>
                <w:rFonts w:ascii="Times New Roman" w:hAnsi="Times New Roman" w:eastAsia="楷体_GB2312"/>
                <w:sz w:val="24"/>
                <w:szCs w:val="24"/>
              </w:rPr>
              <w:t>家具产业园区</w:t>
            </w:r>
          </w:p>
        </w:tc>
        <w:tc>
          <w:tcPr>
            <w:tcW w:w="0" w:type="auto"/>
            <w:noWrap w:val="0"/>
            <w:vAlign w:val="center"/>
          </w:tcPr>
          <w:p w14:paraId="70691E4E">
            <w:pPr>
              <w:pStyle w:val="20"/>
              <w:jc w:val="center"/>
              <w:rPr>
                <w:rFonts w:ascii="Times New Roman" w:hAnsi="Times New Roman" w:eastAsia="楷体_GB2312"/>
                <w:sz w:val="24"/>
                <w:szCs w:val="24"/>
              </w:rPr>
            </w:pPr>
            <w:r>
              <w:rPr>
                <w:rFonts w:ascii="Times New Roman" w:hAnsi="Times New Roman" w:eastAsia="楷体_GB2312"/>
                <w:sz w:val="24"/>
                <w:szCs w:val="24"/>
              </w:rPr>
              <w:t>指导价</w:t>
            </w:r>
          </w:p>
        </w:tc>
        <w:tc>
          <w:tcPr>
            <w:tcW w:w="0" w:type="auto"/>
            <w:noWrap/>
            <w:vAlign w:val="center"/>
          </w:tcPr>
          <w:p w14:paraId="2CF314C4">
            <w:pPr>
              <w:jc w:val="center"/>
              <w:rPr>
                <w:color w:val="000000"/>
                <w:sz w:val="22"/>
                <w:szCs w:val="22"/>
              </w:rPr>
            </w:pPr>
            <w:r>
              <w:rPr>
                <w:color w:val="000000"/>
                <w:sz w:val="22"/>
                <w:szCs w:val="22"/>
              </w:rPr>
              <w:t>380</w:t>
            </w:r>
          </w:p>
        </w:tc>
        <w:tc>
          <w:tcPr>
            <w:tcW w:w="0" w:type="auto"/>
            <w:noWrap w:val="0"/>
            <w:vAlign w:val="center"/>
          </w:tcPr>
          <w:p w14:paraId="12C6615A">
            <w:pPr>
              <w:jc w:val="center"/>
              <w:rPr>
                <w:color w:val="000000"/>
                <w:sz w:val="22"/>
                <w:szCs w:val="22"/>
              </w:rPr>
            </w:pPr>
            <w:r>
              <w:rPr>
                <w:color w:val="000000"/>
                <w:sz w:val="22"/>
                <w:szCs w:val="22"/>
              </w:rPr>
              <w:t>25.33</w:t>
            </w:r>
          </w:p>
        </w:tc>
        <w:tc>
          <w:tcPr>
            <w:tcW w:w="0" w:type="auto"/>
            <w:noWrap/>
            <w:vAlign w:val="center"/>
          </w:tcPr>
          <w:p w14:paraId="72FA6F4F">
            <w:pPr>
              <w:jc w:val="center"/>
              <w:rPr>
                <w:color w:val="000000"/>
                <w:sz w:val="22"/>
                <w:szCs w:val="22"/>
              </w:rPr>
            </w:pPr>
            <w:r>
              <w:rPr>
                <w:color w:val="000000"/>
                <w:sz w:val="22"/>
                <w:szCs w:val="22"/>
              </w:rPr>
              <w:t>360</w:t>
            </w:r>
          </w:p>
        </w:tc>
        <w:tc>
          <w:tcPr>
            <w:tcW w:w="0" w:type="auto"/>
            <w:noWrap w:val="0"/>
            <w:vAlign w:val="center"/>
          </w:tcPr>
          <w:p w14:paraId="7171B2DF">
            <w:pPr>
              <w:jc w:val="center"/>
              <w:rPr>
                <w:color w:val="000000"/>
                <w:sz w:val="22"/>
                <w:szCs w:val="22"/>
              </w:rPr>
            </w:pPr>
            <w:r>
              <w:rPr>
                <w:color w:val="000000"/>
                <w:sz w:val="22"/>
                <w:szCs w:val="22"/>
              </w:rPr>
              <w:t>24.00</w:t>
            </w:r>
          </w:p>
        </w:tc>
        <w:tc>
          <w:tcPr>
            <w:tcW w:w="0" w:type="auto"/>
            <w:noWrap/>
            <w:vAlign w:val="center"/>
          </w:tcPr>
          <w:p w14:paraId="37514CE7">
            <w:pPr>
              <w:jc w:val="center"/>
              <w:rPr>
                <w:color w:val="000000"/>
                <w:sz w:val="22"/>
                <w:szCs w:val="22"/>
              </w:rPr>
            </w:pPr>
            <w:r>
              <w:rPr>
                <w:color w:val="000000"/>
                <w:sz w:val="22"/>
                <w:szCs w:val="22"/>
              </w:rPr>
              <w:t>340</w:t>
            </w:r>
          </w:p>
        </w:tc>
        <w:tc>
          <w:tcPr>
            <w:tcW w:w="0" w:type="auto"/>
            <w:noWrap w:val="0"/>
            <w:vAlign w:val="center"/>
          </w:tcPr>
          <w:p w14:paraId="11ACCB6C">
            <w:pPr>
              <w:jc w:val="center"/>
              <w:rPr>
                <w:color w:val="000000"/>
                <w:sz w:val="22"/>
                <w:szCs w:val="22"/>
              </w:rPr>
            </w:pPr>
            <w:r>
              <w:rPr>
                <w:color w:val="000000"/>
                <w:sz w:val="22"/>
                <w:szCs w:val="22"/>
              </w:rPr>
              <w:t>22.67</w:t>
            </w:r>
          </w:p>
        </w:tc>
        <w:tc>
          <w:tcPr>
            <w:tcW w:w="0" w:type="auto"/>
            <w:noWrap w:val="0"/>
            <w:vAlign w:val="center"/>
          </w:tcPr>
          <w:p w14:paraId="7E1075D0">
            <w:pPr>
              <w:jc w:val="center"/>
              <w:rPr>
                <w:color w:val="000000"/>
                <w:sz w:val="22"/>
                <w:szCs w:val="22"/>
              </w:rPr>
            </w:pPr>
            <w:r>
              <w:rPr>
                <w:color w:val="000000"/>
                <w:sz w:val="22"/>
                <w:szCs w:val="22"/>
              </w:rPr>
              <w:t>330</w:t>
            </w:r>
          </w:p>
        </w:tc>
        <w:tc>
          <w:tcPr>
            <w:tcW w:w="0" w:type="auto"/>
            <w:noWrap w:val="0"/>
            <w:vAlign w:val="center"/>
          </w:tcPr>
          <w:p w14:paraId="27A82501">
            <w:pPr>
              <w:jc w:val="center"/>
              <w:rPr>
                <w:color w:val="000000"/>
                <w:sz w:val="22"/>
                <w:szCs w:val="22"/>
              </w:rPr>
            </w:pPr>
            <w:r>
              <w:rPr>
                <w:color w:val="000000"/>
                <w:sz w:val="22"/>
                <w:szCs w:val="22"/>
              </w:rPr>
              <w:t>22.00</w:t>
            </w:r>
          </w:p>
        </w:tc>
        <w:tc>
          <w:tcPr>
            <w:tcW w:w="0" w:type="auto"/>
            <w:noWrap w:val="0"/>
            <w:vAlign w:val="center"/>
          </w:tcPr>
          <w:p w14:paraId="203899F2">
            <w:pPr>
              <w:jc w:val="center"/>
              <w:rPr>
                <w:color w:val="000000"/>
                <w:sz w:val="22"/>
                <w:szCs w:val="22"/>
              </w:rPr>
            </w:pPr>
            <w:r>
              <w:rPr>
                <w:color w:val="000000"/>
                <w:sz w:val="22"/>
                <w:szCs w:val="22"/>
              </w:rPr>
              <w:t>320</w:t>
            </w:r>
          </w:p>
        </w:tc>
        <w:tc>
          <w:tcPr>
            <w:tcW w:w="0" w:type="auto"/>
            <w:noWrap w:val="0"/>
            <w:vAlign w:val="center"/>
          </w:tcPr>
          <w:p w14:paraId="66645960">
            <w:pPr>
              <w:jc w:val="center"/>
              <w:rPr>
                <w:color w:val="000000"/>
                <w:sz w:val="22"/>
                <w:szCs w:val="22"/>
              </w:rPr>
            </w:pPr>
            <w:r>
              <w:rPr>
                <w:color w:val="000000"/>
                <w:sz w:val="22"/>
                <w:szCs w:val="22"/>
              </w:rPr>
              <w:t>21.33</w:t>
            </w:r>
          </w:p>
        </w:tc>
        <w:tc>
          <w:tcPr>
            <w:tcW w:w="0" w:type="auto"/>
            <w:noWrap w:val="0"/>
            <w:vAlign w:val="center"/>
          </w:tcPr>
          <w:p w14:paraId="17309284">
            <w:pPr>
              <w:jc w:val="center"/>
              <w:rPr>
                <w:color w:val="000000"/>
                <w:sz w:val="22"/>
                <w:szCs w:val="22"/>
              </w:rPr>
            </w:pPr>
            <w:r>
              <w:rPr>
                <w:color w:val="000000"/>
                <w:sz w:val="22"/>
                <w:szCs w:val="22"/>
              </w:rPr>
              <w:t>300</w:t>
            </w:r>
          </w:p>
        </w:tc>
        <w:tc>
          <w:tcPr>
            <w:tcW w:w="0" w:type="auto"/>
            <w:noWrap w:val="0"/>
            <w:vAlign w:val="center"/>
          </w:tcPr>
          <w:p w14:paraId="65CB8DC6">
            <w:pPr>
              <w:jc w:val="center"/>
              <w:rPr>
                <w:color w:val="000000"/>
                <w:sz w:val="22"/>
                <w:szCs w:val="22"/>
              </w:rPr>
            </w:pPr>
            <w:r>
              <w:rPr>
                <w:color w:val="000000"/>
                <w:sz w:val="22"/>
                <w:szCs w:val="22"/>
              </w:rPr>
              <w:t>20.00</w:t>
            </w:r>
          </w:p>
        </w:tc>
      </w:tr>
      <w:tr w14:paraId="356F6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0"/>
            <w:vAlign w:val="center"/>
          </w:tcPr>
          <w:p w14:paraId="7478316A">
            <w:pPr>
              <w:pStyle w:val="20"/>
              <w:jc w:val="center"/>
              <w:rPr>
                <w:rFonts w:ascii="Times New Roman" w:hAnsi="Times New Roman" w:eastAsia="楷体_GB2312"/>
                <w:sz w:val="24"/>
                <w:szCs w:val="24"/>
              </w:rPr>
            </w:pPr>
            <w:r>
              <w:rPr>
                <w:rFonts w:ascii="Times New Roman" w:hAnsi="Times New Roman" w:eastAsia="楷体_GB2312"/>
                <w:sz w:val="24"/>
                <w:szCs w:val="24"/>
              </w:rPr>
              <w:t>25</w:t>
            </w:r>
          </w:p>
        </w:tc>
        <w:tc>
          <w:tcPr>
            <w:tcW w:w="0" w:type="auto"/>
            <w:noWrap w:val="0"/>
            <w:vAlign w:val="center"/>
          </w:tcPr>
          <w:p w14:paraId="69A0F95B">
            <w:pPr>
              <w:pStyle w:val="20"/>
              <w:jc w:val="center"/>
              <w:rPr>
                <w:rFonts w:ascii="Times New Roman" w:hAnsi="Times New Roman" w:eastAsia="楷体_GB2312"/>
                <w:sz w:val="24"/>
                <w:szCs w:val="24"/>
              </w:rPr>
            </w:pPr>
            <w:r>
              <w:rPr>
                <w:rFonts w:ascii="Times New Roman" w:hAnsi="Times New Roman" w:eastAsia="楷体_GB2312"/>
                <w:sz w:val="24"/>
                <w:szCs w:val="24"/>
              </w:rPr>
              <w:t>农业示范园区</w:t>
            </w:r>
          </w:p>
        </w:tc>
        <w:tc>
          <w:tcPr>
            <w:tcW w:w="0" w:type="auto"/>
            <w:noWrap w:val="0"/>
            <w:vAlign w:val="center"/>
          </w:tcPr>
          <w:p w14:paraId="15E7684B">
            <w:pPr>
              <w:pStyle w:val="20"/>
              <w:jc w:val="center"/>
              <w:rPr>
                <w:rFonts w:ascii="Times New Roman" w:hAnsi="Times New Roman" w:eastAsia="楷体_GB2312"/>
                <w:sz w:val="24"/>
                <w:szCs w:val="24"/>
              </w:rPr>
            </w:pPr>
            <w:r>
              <w:rPr>
                <w:rFonts w:ascii="Times New Roman" w:hAnsi="Times New Roman" w:eastAsia="楷体_GB2312"/>
                <w:sz w:val="24"/>
                <w:szCs w:val="24"/>
              </w:rPr>
              <w:t>指导价</w:t>
            </w:r>
          </w:p>
        </w:tc>
        <w:tc>
          <w:tcPr>
            <w:tcW w:w="0" w:type="auto"/>
            <w:noWrap/>
            <w:vAlign w:val="center"/>
          </w:tcPr>
          <w:p w14:paraId="58DDF894">
            <w:pPr>
              <w:jc w:val="center"/>
              <w:rPr>
                <w:color w:val="000000"/>
                <w:sz w:val="22"/>
                <w:szCs w:val="22"/>
              </w:rPr>
            </w:pPr>
            <w:r>
              <w:rPr>
                <w:color w:val="000000"/>
                <w:sz w:val="22"/>
                <w:szCs w:val="22"/>
              </w:rPr>
              <w:t>330</w:t>
            </w:r>
          </w:p>
        </w:tc>
        <w:tc>
          <w:tcPr>
            <w:tcW w:w="0" w:type="auto"/>
            <w:noWrap w:val="0"/>
            <w:vAlign w:val="center"/>
          </w:tcPr>
          <w:p w14:paraId="7B02C6BB">
            <w:pPr>
              <w:jc w:val="center"/>
              <w:rPr>
                <w:color w:val="000000"/>
                <w:sz w:val="22"/>
                <w:szCs w:val="22"/>
              </w:rPr>
            </w:pPr>
            <w:r>
              <w:rPr>
                <w:color w:val="000000"/>
                <w:sz w:val="22"/>
                <w:szCs w:val="22"/>
              </w:rPr>
              <w:t>22.00</w:t>
            </w:r>
          </w:p>
        </w:tc>
        <w:tc>
          <w:tcPr>
            <w:tcW w:w="0" w:type="auto"/>
            <w:noWrap/>
            <w:vAlign w:val="center"/>
          </w:tcPr>
          <w:p w14:paraId="19A1F5CE">
            <w:pPr>
              <w:jc w:val="center"/>
              <w:rPr>
                <w:color w:val="000000"/>
                <w:sz w:val="22"/>
                <w:szCs w:val="22"/>
              </w:rPr>
            </w:pPr>
            <w:r>
              <w:rPr>
                <w:color w:val="000000"/>
                <w:sz w:val="22"/>
                <w:szCs w:val="22"/>
              </w:rPr>
              <w:t>310</w:t>
            </w:r>
          </w:p>
        </w:tc>
        <w:tc>
          <w:tcPr>
            <w:tcW w:w="0" w:type="auto"/>
            <w:noWrap w:val="0"/>
            <w:vAlign w:val="center"/>
          </w:tcPr>
          <w:p w14:paraId="106AF814">
            <w:pPr>
              <w:jc w:val="center"/>
              <w:rPr>
                <w:color w:val="000000"/>
                <w:sz w:val="22"/>
                <w:szCs w:val="22"/>
              </w:rPr>
            </w:pPr>
            <w:r>
              <w:rPr>
                <w:color w:val="000000"/>
                <w:sz w:val="22"/>
                <w:szCs w:val="22"/>
              </w:rPr>
              <w:t>20.67</w:t>
            </w:r>
          </w:p>
        </w:tc>
        <w:tc>
          <w:tcPr>
            <w:tcW w:w="0" w:type="auto"/>
            <w:noWrap/>
            <w:vAlign w:val="center"/>
          </w:tcPr>
          <w:p w14:paraId="2ACF3485">
            <w:pPr>
              <w:jc w:val="center"/>
              <w:rPr>
                <w:color w:val="000000"/>
                <w:sz w:val="22"/>
                <w:szCs w:val="22"/>
              </w:rPr>
            </w:pPr>
            <w:r>
              <w:rPr>
                <w:color w:val="000000"/>
                <w:sz w:val="22"/>
                <w:szCs w:val="22"/>
              </w:rPr>
              <w:t>300</w:t>
            </w:r>
          </w:p>
        </w:tc>
        <w:tc>
          <w:tcPr>
            <w:tcW w:w="0" w:type="auto"/>
            <w:noWrap w:val="0"/>
            <w:vAlign w:val="center"/>
          </w:tcPr>
          <w:p w14:paraId="1F84CD45">
            <w:pPr>
              <w:jc w:val="center"/>
              <w:rPr>
                <w:color w:val="000000"/>
                <w:sz w:val="22"/>
                <w:szCs w:val="22"/>
              </w:rPr>
            </w:pPr>
            <w:r>
              <w:rPr>
                <w:color w:val="000000"/>
                <w:sz w:val="22"/>
                <w:szCs w:val="22"/>
              </w:rPr>
              <w:t>20.00</w:t>
            </w:r>
          </w:p>
        </w:tc>
        <w:tc>
          <w:tcPr>
            <w:tcW w:w="0" w:type="auto"/>
            <w:noWrap w:val="0"/>
            <w:vAlign w:val="center"/>
          </w:tcPr>
          <w:p w14:paraId="072A900D">
            <w:pPr>
              <w:jc w:val="center"/>
              <w:rPr>
                <w:color w:val="000000"/>
                <w:sz w:val="22"/>
                <w:szCs w:val="22"/>
              </w:rPr>
            </w:pPr>
            <w:r>
              <w:rPr>
                <w:color w:val="000000"/>
                <w:sz w:val="22"/>
                <w:szCs w:val="22"/>
              </w:rPr>
              <w:t>290</w:t>
            </w:r>
          </w:p>
        </w:tc>
        <w:tc>
          <w:tcPr>
            <w:tcW w:w="0" w:type="auto"/>
            <w:noWrap w:val="0"/>
            <w:vAlign w:val="center"/>
          </w:tcPr>
          <w:p w14:paraId="056ACB3E">
            <w:pPr>
              <w:jc w:val="center"/>
              <w:rPr>
                <w:color w:val="000000"/>
                <w:sz w:val="22"/>
                <w:szCs w:val="22"/>
              </w:rPr>
            </w:pPr>
            <w:r>
              <w:rPr>
                <w:color w:val="000000"/>
                <w:sz w:val="22"/>
                <w:szCs w:val="22"/>
              </w:rPr>
              <w:t>19.33</w:t>
            </w:r>
          </w:p>
        </w:tc>
        <w:tc>
          <w:tcPr>
            <w:tcW w:w="0" w:type="auto"/>
            <w:noWrap w:val="0"/>
            <w:vAlign w:val="center"/>
          </w:tcPr>
          <w:p w14:paraId="5400CAA0">
            <w:pPr>
              <w:jc w:val="center"/>
              <w:rPr>
                <w:color w:val="000000"/>
                <w:sz w:val="22"/>
                <w:szCs w:val="22"/>
              </w:rPr>
            </w:pPr>
            <w:r>
              <w:rPr>
                <w:color w:val="000000"/>
                <w:sz w:val="22"/>
                <w:szCs w:val="22"/>
              </w:rPr>
              <w:t>280</w:t>
            </w:r>
          </w:p>
        </w:tc>
        <w:tc>
          <w:tcPr>
            <w:tcW w:w="0" w:type="auto"/>
            <w:noWrap w:val="0"/>
            <w:vAlign w:val="center"/>
          </w:tcPr>
          <w:p w14:paraId="0B09B07D">
            <w:pPr>
              <w:jc w:val="center"/>
              <w:rPr>
                <w:color w:val="000000"/>
                <w:sz w:val="22"/>
                <w:szCs w:val="22"/>
              </w:rPr>
            </w:pPr>
            <w:r>
              <w:rPr>
                <w:color w:val="000000"/>
                <w:sz w:val="22"/>
                <w:szCs w:val="22"/>
              </w:rPr>
              <w:t>18.67</w:t>
            </w:r>
          </w:p>
        </w:tc>
        <w:tc>
          <w:tcPr>
            <w:tcW w:w="0" w:type="auto"/>
            <w:noWrap w:val="0"/>
            <w:vAlign w:val="center"/>
          </w:tcPr>
          <w:p w14:paraId="4D163F71">
            <w:pPr>
              <w:jc w:val="center"/>
              <w:rPr>
                <w:color w:val="000000"/>
                <w:sz w:val="22"/>
                <w:szCs w:val="22"/>
              </w:rPr>
            </w:pPr>
            <w:r>
              <w:rPr>
                <w:color w:val="000000"/>
                <w:sz w:val="22"/>
                <w:szCs w:val="22"/>
              </w:rPr>
              <w:t>260</w:t>
            </w:r>
          </w:p>
        </w:tc>
        <w:tc>
          <w:tcPr>
            <w:tcW w:w="0" w:type="auto"/>
            <w:noWrap w:val="0"/>
            <w:vAlign w:val="center"/>
          </w:tcPr>
          <w:p w14:paraId="77809F51">
            <w:pPr>
              <w:jc w:val="center"/>
              <w:rPr>
                <w:color w:val="000000"/>
                <w:sz w:val="22"/>
                <w:szCs w:val="22"/>
              </w:rPr>
            </w:pPr>
            <w:r>
              <w:rPr>
                <w:color w:val="000000"/>
                <w:sz w:val="22"/>
                <w:szCs w:val="22"/>
              </w:rPr>
              <w:t>17.33</w:t>
            </w:r>
          </w:p>
        </w:tc>
      </w:tr>
    </w:tbl>
    <w:p w14:paraId="07151DCF">
      <w:pPr>
        <w:widowControl w:val="0"/>
        <w:spacing w:line="480" w:lineRule="exact"/>
        <w:jc w:val="center"/>
        <w:rPr>
          <w:rFonts w:eastAsia="楷体_GB2312"/>
          <w:b/>
          <w:sz w:val="28"/>
          <w:szCs w:val="21"/>
        </w:rPr>
        <w:sectPr>
          <w:pgSz w:w="16838" w:h="11906" w:orient="landscape"/>
          <w:pgMar w:top="1644" w:right="1758" w:bottom="1474" w:left="1474" w:header="1134" w:footer="992" w:gutter="0"/>
          <w:cols w:space="720" w:num="1"/>
          <w:docGrid w:linePitch="312" w:charSpace="0"/>
        </w:sectPr>
      </w:pPr>
    </w:p>
    <w:p w14:paraId="59DA92CE">
      <w:pPr>
        <w:pStyle w:val="3"/>
        <w:spacing w:line="240" w:lineRule="auto"/>
        <w:jc w:val="center"/>
        <w:rPr>
          <w:rFonts w:ascii="Times New Roman" w:hAnsi="Times New Roman" w:eastAsia="宋体"/>
          <w:sz w:val="36"/>
        </w:rPr>
      </w:pPr>
      <w:bookmarkStart w:id="95" w:name="_Toc62563701"/>
      <w:r>
        <w:rPr>
          <w:rFonts w:ascii="Times New Roman" w:hAnsi="Times New Roman" w:eastAsia="宋体"/>
          <w:sz w:val="36"/>
        </w:rPr>
        <w:t>第八章  基准地价水平分析</w:t>
      </w:r>
      <w:bookmarkEnd w:id="95"/>
    </w:p>
    <w:p w14:paraId="6DE478B1">
      <w:pPr>
        <w:pStyle w:val="4"/>
        <w:numPr>
          <w:ilvl w:val="0"/>
          <w:numId w:val="0"/>
        </w:numPr>
        <w:spacing w:line="240" w:lineRule="auto"/>
        <w:jc w:val="center"/>
        <w:rPr>
          <w:rFonts w:eastAsia="仿宋_GB2312"/>
          <w:bCs w:val="0"/>
        </w:rPr>
      </w:pPr>
      <w:bookmarkStart w:id="96" w:name="_Toc388541540"/>
      <w:bookmarkStart w:id="97" w:name="_Toc62563702"/>
      <w:bookmarkStart w:id="98" w:name="_Toc355857636"/>
      <w:bookmarkStart w:id="99" w:name="_Toc361304147"/>
      <w:r>
        <w:rPr>
          <w:rFonts w:eastAsia="仿宋_GB2312"/>
          <w:bCs w:val="0"/>
        </w:rPr>
        <w:t>第一节  总体基准地价水平分析</w:t>
      </w:r>
      <w:bookmarkEnd w:id="96"/>
      <w:bookmarkEnd w:id="97"/>
      <w:bookmarkEnd w:id="98"/>
      <w:bookmarkEnd w:id="99"/>
    </w:p>
    <w:p w14:paraId="623F15B1">
      <w:pPr>
        <w:pStyle w:val="20"/>
        <w:spacing w:line="480" w:lineRule="exact"/>
        <w:ind w:firstLine="560" w:firstLineChars="200"/>
        <w:rPr>
          <w:rFonts w:ascii="Times New Roman" w:hAnsi="Times New Roman" w:eastAsia="楷体_GB2312" w:cs="Times New Roman"/>
          <w:sz w:val="28"/>
        </w:rPr>
      </w:pPr>
      <w:r>
        <w:rPr>
          <w:rFonts w:hint="eastAsia" w:ascii="Times New Roman" w:hAnsi="Times New Roman" w:eastAsia="楷体_GB2312" w:cs="Times New Roman"/>
          <w:sz w:val="28"/>
        </w:rPr>
        <w:t>一个城镇地价的总体水平可通过基准地价总体水平来反映。基准地价的总体水平与城镇区位、城镇规模、城镇经济水平、城镇基础设施条件等因素密切相关。城镇区位条件、城镇规模、城镇经济水平、城镇基础设施条件等因素相似的城镇其基准地价具有可比性，而这些因素差异较大的城镇之间其基准地价水平差异则较大。根据</w:t>
      </w:r>
      <w:r>
        <w:rPr>
          <w:rFonts w:hint="eastAsia" w:hAnsi="宋体" w:cs="宋体"/>
          <w:sz w:val="28"/>
        </w:rPr>
        <w:t>埇</w:t>
      </w:r>
      <w:r>
        <w:rPr>
          <w:rFonts w:hint="eastAsia" w:ascii="楷体_GB2312" w:hAnsi="楷体_GB2312" w:eastAsia="楷体_GB2312" w:cs="楷体_GB2312"/>
          <w:sz w:val="28"/>
        </w:rPr>
        <w:t>桥区乡镇的区位及经济水平，选择城区末级地基准地价与其作简单的整体对比分析</w:t>
      </w:r>
      <w:r>
        <w:rPr>
          <w:rFonts w:ascii="Times New Roman" w:hAnsi="Times New Roman" w:eastAsia="楷体_GB2312" w:cs="Times New Roman"/>
          <w:sz w:val="28"/>
        </w:rPr>
        <w:t>。</w:t>
      </w:r>
    </w:p>
    <w:p w14:paraId="5786DA17">
      <w:pPr>
        <w:pStyle w:val="20"/>
        <w:spacing w:line="480" w:lineRule="exact"/>
        <w:jc w:val="center"/>
        <w:rPr>
          <w:rFonts w:ascii="Times New Roman" w:hAnsi="Times New Roman" w:eastAsia="黑体" w:cs="Times New Roman"/>
          <w:sz w:val="28"/>
        </w:rPr>
        <w:sectPr>
          <w:pgSz w:w="11906" w:h="16838"/>
          <w:pgMar w:top="1758" w:right="1474" w:bottom="1474" w:left="1644" w:header="1134" w:footer="992" w:gutter="0"/>
          <w:cols w:space="720" w:num="1"/>
          <w:docGrid w:linePitch="312" w:charSpace="0"/>
        </w:sectPr>
      </w:pPr>
    </w:p>
    <w:p w14:paraId="4392723E">
      <w:pPr>
        <w:pStyle w:val="20"/>
        <w:tabs>
          <w:tab w:val="left" w:pos="4860"/>
          <w:tab w:val="left" w:pos="6480"/>
        </w:tabs>
        <w:spacing w:line="400" w:lineRule="exact"/>
        <w:jc w:val="center"/>
        <w:rPr>
          <w:rFonts w:ascii="Times New Roman" w:hAnsi="Times New Roman" w:eastAsia="黑体" w:cs="Times New Roman"/>
          <w:sz w:val="28"/>
          <w:szCs w:val="28"/>
        </w:rPr>
      </w:pPr>
      <w:r>
        <w:rPr>
          <w:rFonts w:ascii="Times New Roman" w:hAnsi="Times New Roman" w:eastAsia="黑体" w:cs="Times New Roman"/>
          <w:sz w:val="28"/>
        </w:rPr>
        <w:t>表2-8-1  埇桥区各乡</w:t>
      </w:r>
      <w:r>
        <w:rPr>
          <w:rFonts w:ascii="Times New Roman" w:hAnsi="Times New Roman" w:eastAsia="黑体" w:cs="Times New Roman"/>
          <w:sz w:val="28"/>
          <w:szCs w:val="28"/>
        </w:rPr>
        <w:t>镇</w:t>
      </w:r>
      <w:r>
        <w:rPr>
          <w:rFonts w:hint="eastAsia" w:ascii="Times New Roman" w:hAnsi="Times New Roman" w:eastAsia="黑体" w:cs="Times New Roman"/>
          <w:sz w:val="28"/>
          <w:szCs w:val="28"/>
        </w:rPr>
        <w:t>及园区</w:t>
      </w:r>
      <w:r>
        <w:rPr>
          <w:rFonts w:ascii="Times New Roman" w:hAnsi="Times New Roman" w:eastAsia="黑体" w:cs="Times New Roman"/>
          <w:sz w:val="28"/>
          <w:szCs w:val="28"/>
        </w:rPr>
        <w:t>各类用地级别基准地价表</w:t>
      </w:r>
    </w:p>
    <w:p w14:paraId="7E8EC826">
      <w:pPr>
        <w:widowControl w:val="0"/>
        <w:rPr>
          <w:rFonts w:eastAsia="仿宋_GB2312"/>
          <w:sz w:val="32"/>
          <w:szCs w:val="32"/>
        </w:rPr>
      </w:pPr>
      <w:r>
        <w:rPr>
          <w:rFonts w:eastAsia="楷体_GB2312"/>
          <w:kern w:val="0"/>
          <w:sz w:val="24"/>
        </w:rPr>
        <w:t xml:space="preserve">期日：2021年1月1日                                                                                   </w:t>
      </w:r>
      <w:r>
        <w:rPr>
          <w:rFonts w:eastAsia="楷体_GB2312"/>
          <w:kern w:val="0"/>
          <w:szCs w:val="21"/>
        </w:rPr>
        <w:t>单位：元/m</w:t>
      </w:r>
      <w:r>
        <w:rPr>
          <w:rFonts w:eastAsia="楷体_GB2312"/>
          <w:kern w:val="0"/>
          <w:szCs w:val="21"/>
          <w:vertAlign w:val="superscript"/>
        </w:rPr>
        <w:t>2</w:t>
      </w:r>
    </w:p>
    <w:tbl>
      <w:tblPr>
        <w:tblStyle w:val="3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1428"/>
        <w:gridCol w:w="1428"/>
        <w:gridCol w:w="717"/>
        <w:gridCol w:w="717"/>
        <w:gridCol w:w="1191"/>
        <w:gridCol w:w="1191"/>
        <w:gridCol w:w="1191"/>
        <w:gridCol w:w="1429"/>
        <w:gridCol w:w="1429"/>
        <w:gridCol w:w="1192"/>
        <w:gridCol w:w="1192"/>
      </w:tblGrid>
      <w:tr w14:paraId="02742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0" w:type="auto"/>
            <w:noWrap/>
            <w:vAlign w:val="center"/>
          </w:tcPr>
          <w:p w14:paraId="51C2F974">
            <w:pPr>
              <w:jc w:val="center"/>
              <w:rPr>
                <w:rFonts w:eastAsia="楷体_GB2312"/>
                <w:color w:val="000000"/>
                <w:kern w:val="0"/>
                <w:szCs w:val="21"/>
              </w:rPr>
            </w:pPr>
            <w:r>
              <w:rPr>
                <w:rFonts w:hint="eastAsia" w:eastAsia="楷体_GB2312"/>
                <w:color w:val="000000"/>
                <w:kern w:val="0"/>
                <w:szCs w:val="21"/>
              </w:rPr>
              <w:t>编号</w:t>
            </w:r>
          </w:p>
        </w:tc>
        <w:tc>
          <w:tcPr>
            <w:tcW w:w="0" w:type="auto"/>
            <w:noWrap/>
            <w:vAlign w:val="center"/>
          </w:tcPr>
          <w:p w14:paraId="0C2A7B47">
            <w:pPr>
              <w:jc w:val="center"/>
              <w:rPr>
                <w:rFonts w:eastAsia="楷体_GB2312"/>
                <w:color w:val="000000"/>
                <w:kern w:val="0"/>
                <w:szCs w:val="21"/>
              </w:rPr>
            </w:pPr>
            <w:r>
              <w:rPr>
                <w:rFonts w:hint="eastAsia" w:eastAsia="楷体_GB2312"/>
                <w:color w:val="000000"/>
                <w:kern w:val="0"/>
                <w:szCs w:val="21"/>
              </w:rPr>
              <w:t>乡镇名称</w:t>
            </w:r>
          </w:p>
        </w:tc>
        <w:tc>
          <w:tcPr>
            <w:tcW w:w="0" w:type="auto"/>
            <w:noWrap w:val="0"/>
            <w:vAlign w:val="top"/>
          </w:tcPr>
          <w:p w14:paraId="6B12DCBE">
            <w:pPr>
              <w:jc w:val="center"/>
              <w:rPr>
                <w:rFonts w:eastAsia="楷体_GB2312"/>
                <w:color w:val="000000"/>
                <w:kern w:val="0"/>
                <w:szCs w:val="21"/>
              </w:rPr>
            </w:pPr>
            <w:r>
              <w:rPr>
                <w:rFonts w:hint="eastAsia" w:eastAsia="楷体_GB2312"/>
                <w:color w:val="000000"/>
                <w:kern w:val="0"/>
                <w:szCs w:val="21"/>
              </w:rPr>
              <w:t>级别</w:t>
            </w:r>
          </w:p>
        </w:tc>
        <w:tc>
          <w:tcPr>
            <w:tcW w:w="0" w:type="auto"/>
            <w:noWrap/>
            <w:vAlign w:val="center"/>
          </w:tcPr>
          <w:p w14:paraId="04875FC5">
            <w:pPr>
              <w:jc w:val="center"/>
              <w:rPr>
                <w:rFonts w:eastAsia="楷体_GB2312"/>
                <w:color w:val="000000"/>
                <w:kern w:val="0"/>
                <w:szCs w:val="21"/>
              </w:rPr>
            </w:pPr>
            <w:r>
              <w:rPr>
                <w:rFonts w:eastAsia="楷体_GB2312"/>
                <w:color w:val="000000"/>
                <w:kern w:val="0"/>
                <w:szCs w:val="21"/>
              </w:rPr>
              <w:t>商服</w:t>
            </w:r>
          </w:p>
        </w:tc>
        <w:tc>
          <w:tcPr>
            <w:tcW w:w="0" w:type="auto"/>
            <w:noWrap/>
            <w:vAlign w:val="center"/>
          </w:tcPr>
          <w:p w14:paraId="403060CA">
            <w:pPr>
              <w:jc w:val="center"/>
              <w:rPr>
                <w:rFonts w:eastAsia="楷体_GB2312"/>
                <w:color w:val="000000"/>
                <w:kern w:val="0"/>
                <w:szCs w:val="21"/>
              </w:rPr>
            </w:pPr>
            <w:r>
              <w:rPr>
                <w:rFonts w:eastAsia="楷体_GB2312"/>
                <w:color w:val="000000"/>
                <w:kern w:val="0"/>
                <w:szCs w:val="21"/>
              </w:rPr>
              <w:t>住宅</w:t>
            </w:r>
          </w:p>
        </w:tc>
        <w:tc>
          <w:tcPr>
            <w:tcW w:w="0" w:type="auto"/>
            <w:noWrap/>
            <w:vAlign w:val="center"/>
          </w:tcPr>
          <w:p w14:paraId="3249A926">
            <w:pPr>
              <w:jc w:val="center"/>
              <w:rPr>
                <w:rFonts w:eastAsia="楷体_GB2312"/>
                <w:color w:val="000000"/>
                <w:kern w:val="0"/>
                <w:szCs w:val="21"/>
              </w:rPr>
            </w:pPr>
            <w:r>
              <w:rPr>
                <w:rFonts w:eastAsia="楷体_GB2312"/>
                <w:color w:val="000000"/>
                <w:kern w:val="0"/>
                <w:szCs w:val="21"/>
              </w:rPr>
              <w:t>工矿仓储</w:t>
            </w:r>
          </w:p>
        </w:tc>
        <w:tc>
          <w:tcPr>
            <w:tcW w:w="0" w:type="auto"/>
            <w:noWrap/>
            <w:vAlign w:val="center"/>
          </w:tcPr>
          <w:p w14:paraId="48EB0677">
            <w:pPr>
              <w:jc w:val="center"/>
              <w:rPr>
                <w:rFonts w:eastAsia="楷体_GB2312"/>
                <w:color w:val="000000"/>
                <w:kern w:val="0"/>
                <w:szCs w:val="21"/>
              </w:rPr>
            </w:pPr>
            <w:r>
              <w:rPr>
                <w:rFonts w:eastAsia="楷体_GB2312"/>
                <w:color w:val="000000"/>
                <w:kern w:val="0"/>
                <w:szCs w:val="21"/>
              </w:rPr>
              <w:t>新闻出版</w:t>
            </w:r>
          </w:p>
        </w:tc>
        <w:tc>
          <w:tcPr>
            <w:tcW w:w="0" w:type="auto"/>
            <w:noWrap/>
            <w:vAlign w:val="center"/>
          </w:tcPr>
          <w:p w14:paraId="5A810FCE">
            <w:pPr>
              <w:jc w:val="center"/>
              <w:rPr>
                <w:rFonts w:eastAsia="楷体_GB2312"/>
                <w:color w:val="000000"/>
                <w:kern w:val="0"/>
                <w:szCs w:val="21"/>
              </w:rPr>
            </w:pPr>
            <w:r>
              <w:rPr>
                <w:rFonts w:eastAsia="楷体_GB2312"/>
                <w:color w:val="000000"/>
                <w:kern w:val="0"/>
                <w:szCs w:val="21"/>
              </w:rPr>
              <w:t>医疗卫生</w:t>
            </w:r>
          </w:p>
        </w:tc>
        <w:tc>
          <w:tcPr>
            <w:tcW w:w="0" w:type="auto"/>
            <w:noWrap/>
            <w:vAlign w:val="center"/>
          </w:tcPr>
          <w:p w14:paraId="63B885B6">
            <w:pPr>
              <w:jc w:val="center"/>
              <w:rPr>
                <w:rFonts w:eastAsia="楷体_GB2312"/>
                <w:color w:val="000000"/>
                <w:kern w:val="0"/>
                <w:szCs w:val="21"/>
              </w:rPr>
            </w:pPr>
            <w:r>
              <w:rPr>
                <w:rFonts w:eastAsia="楷体_GB2312"/>
                <w:color w:val="000000"/>
                <w:kern w:val="0"/>
                <w:szCs w:val="21"/>
              </w:rPr>
              <w:t>文化</w:t>
            </w:r>
            <w:r>
              <w:rPr>
                <w:rFonts w:hint="eastAsia" w:eastAsia="楷体_GB2312"/>
                <w:color w:val="000000"/>
                <w:kern w:val="0"/>
                <w:szCs w:val="21"/>
              </w:rPr>
              <w:t>、</w:t>
            </w:r>
            <w:r>
              <w:rPr>
                <w:rFonts w:eastAsia="楷体_GB2312"/>
                <w:color w:val="000000"/>
                <w:kern w:val="0"/>
                <w:szCs w:val="21"/>
              </w:rPr>
              <w:t>体育</w:t>
            </w:r>
          </w:p>
        </w:tc>
        <w:tc>
          <w:tcPr>
            <w:tcW w:w="0" w:type="auto"/>
            <w:noWrap/>
            <w:vAlign w:val="center"/>
          </w:tcPr>
          <w:p w14:paraId="701CC4A6">
            <w:pPr>
              <w:jc w:val="center"/>
              <w:rPr>
                <w:rFonts w:eastAsia="楷体_GB2312"/>
                <w:color w:val="000000"/>
                <w:kern w:val="0"/>
                <w:szCs w:val="21"/>
              </w:rPr>
            </w:pPr>
            <w:r>
              <w:rPr>
                <w:rFonts w:eastAsia="楷体_GB2312"/>
                <w:color w:val="000000"/>
                <w:kern w:val="0"/>
                <w:szCs w:val="21"/>
              </w:rPr>
              <w:t>教育</w:t>
            </w:r>
            <w:r>
              <w:rPr>
                <w:rFonts w:hint="eastAsia" w:eastAsia="楷体_GB2312"/>
                <w:color w:val="000000"/>
                <w:kern w:val="0"/>
                <w:szCs w:val="21"/>
              </w:rPr>
              <w:t>、</w:t>
            </w:r>
            <w:r>
              <w:rPr>
                <w:rFonts w:eastAsia="楷体_GB2312"/>
                <w:color w:val="000000"/>
                <w:kern w:val="0"/>
                <w:szCs w:val="21"/>
              </w:rPr>
              <w:t>科研</w:t>
            </w:r>
          </w:p>
        </w:tc>
        <w:tc>
          <w:tcPr>
            <w:tcW w:w="0" w:type="auto"/>
            <w:noWrap/>
            <w:vAlign w:val="center"/>
          </w:tcPr>
          <w:p w14:paraId="6E6A61F1">
            <w:pPr>
              <w:jc w:val="center"/>
              <w:rPr>
                <w:rFonts w:eastAsia="楷体_GB2312"/>
                <w:color w:val="000000"/>
                <w:kern w:val="0"/>
                <w:szCs w:val="21"/>
              </w:rPr>
            </w:pPr>
            <w:r>
              <w:rPr>
                <w:rFonts w:eastAsia="楷体_GB2312"/>
                <w:color w:val="000000"/>
                <w:kern w:val="0"/>
                <w:szCs w:val="21"/>
              </w:rPr>
              <w:t>社会福利</w:t>
            </w:r>
          </w:p>
        </w:tc>
        <w:tc>
          <w:tcPr>
            <w:tcW w:w="0" w:type="auto"/>
            <w:noWrap/>
            <w:vAlign w:val="center"/>
          </w:tcPr>
          <w:p w14:paraId="3728467F">
            <w:pPr>
              <w:jc w:val="center"/>
              <w:rPr>
                <w:rFonts w:eastAsia="楷体_GB2312"/>
                <w:color w:val="000000"/>
                <w:kern w:val="0"/>
                <w:szCs w:val="21"/>
              </w:rPr>
            </w:pPr>
            <w:r>
              <w:rPr>
                <w:rFonts w:eastAsia="楷体_GB2312"/>
                <w:color w:val="000000"/>
                <w:kern w:val="0"/>
                <w:szCs w:val="21"/>
              </w:rPr>
              <w:t>公用设施</w:t>
            </w:r>
          </w:p>
        </w:tc>
      </w:tr>
      <w:tr w14:paraId="55B5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ign w:val="center"/>
          </w:tcPr>
          <w:p w14:paraId="203046CB">
            <w:pPr>
              <w:jc w:val="center"/>
              <w:rPr>
                <w:rFonts w:eastAsia="楷体_GB2312"/>
                <w:color w:val="000000"/>
                <w:kern w:val="0"/>
                <w:szCs w:val="21"/>
              </w:rPr>
            </w:pPr>
            <w:r>
              <w:rPr>
                <w:rFonts w:eastAsia="楷体_GB2312"/>
                <w:color w:val="000000"/>
                <w:kern w:val="0"/>
                <w:szCs w:val="21"/>
              </w:rPr>
              <w:t>1</w:t>
            </w:r>
          </w:p>
        </w:tc>
        <w:tc>
          <w:tcPr>
            <w:tcW w:w="0" w:type="auto"/>
            <w:vMerge w:val="restart"/>
            <w:noWrap/>
            <w:vAlign w:val="center"/>
          </w:tcPr>
          <w:p w14:paraId="181FAF37">
            <w:pPr>
              <w:jc w:val="center"/>
              <w:rPr>
                <w:rFonts w:eastAsia="楷体_GB2312"/>
                <w:color w:val="000000"/>
                <w:kern w:val="0"/>
                <w:szCs w:val="21"/>
              </w:rPr>
            </w:pPr>
            <w:r>
              <w:rPr>
                <w:rFonts w:eastAsia="楷体_GB2312"/>
                <w:color w:val="000000"/>
                <w:kern w:val="0"/>
                <w:szCs w:val="21"/>
              </w:rPr>
              <w:t>符离集</w:t>
            </w:r>
          </w:p>
        </w:tc>
        <w:tc>
          <w:tcPr>
            <w:tcW w:w="0" w:type="auto"/>
            <w:noWrap w:val="0"/>
            <w:vAlign w:val="top"/>
          </w:tcPr>
          <w:p w14:paraId="6D1BD070">
            <w:pPr>
              <w:jc w:val="center"/>
              <w:rPr>
                <w:rFonts w:eastAsia="楷体_GB2312"/>
                <w:color w:val="000000"/>
                <w:kern w:val="0"/>
                <w:szCs w:val="21"/>
              </w:rPr>
            </w:pPr>
            <w:r>
              <w:rPr>
                <w:rFonts w:hint="eastAsia" w:eastAsia="楷体_GB2312"/>
                <w:color w:val="000000"/>
                <w:kern w:val="0"/>
                <w:szCs w:val="21"/>
              </w:rPr>
              <w:t>1</w:t>
            </w:r>
          </w:p>
        </w:tc>
        <w:tc>
          <w:tcPr>
            <w:tcW w:w="0" w:type="auto"/>
            <w:noWrap/>
            <w:vAlign w:val="center"/>
          </w:tcPr>
          <w:p w14:paraId="53EA5A64">
            <w:pPr>
              <w:jc w:val="center"/>
              <w:rPr>
                <w:rFonts w:eastAsia="楷体_GB2312"/>
                <w:color w:val="000000"/>
                <w:kern w:val="0"/>
                <w:szCs w:val="21"/>
              </w:rPr>
            </w:pPr>
            <w:r>
              <w:rPr>
                <w:rFonts w:eastAsia="楷体_GB2312"/>
                <w:color w:val="000000"/>
                <w:kern w:val="0"/>
                <w:szCs w:val="21"/>
              </w:rPr>
              <w:t>620</w:t>
            </w:r>
          </w:p>
        </w:tc>
        <w:tc>
          <w:tcPr>
            <w:tcW w:w="0" w:type="auto"/>
            <w:noWrap/>
            <w:vAlign w:val="center"/>
          </w:tcPr>
          <w:p w14:paraId="22A4AE59">
            <w:pPr>
              <w:jc w:val="center"/>
              <w:rPr>
                <w:rFonts w:eastAsia="楷体_GB2312"/>
                <w:color w:val="000000"/>
                <w:kern w:val="0"/>
                <w:szCs w:val="21"/>
              </w:rPr>
            </w:pPr>
            <w:r>
              <w:rPr>
                <w:rFonts w:eastAsia="楷体_GB2312"/>
                <w:color w:val="000000"/>
                <w:kern w:val="0"/>
                <w:szCs w:val="21"/>
              </w:rPr>
              <w:t>470</w:t>
            </w:r>
          </w:p>
        </w:tc>
        <w:tc>
          <w:tcPr>
            <w:tcW w:w="0" w:type="auto"/>
            <w:noWrap/>
            <w:vAlign w:val="center"/>
          </w:tcPr>
          <w:p w14:paraId="64F8FC2E">
            <w:pPr>
              <w:jc w:val="center"/>
              <w:rPr>
                <w:rFonts w:eastAsia="楷体_GB2312"/>
                <w:color w:val="000000"/>
                <w:kern w:val="0"/>
                <w:szCs w:val="21"/>
              </w:rPr>
            </w:pPr>
            <w:r>
              <w:rPr>
                <w:rFonts w:eastAsia="楷体_GB2312"/>
                <w:color w:val="000000"/>
                <w:kern w:val="0"/>
                <w:szCs w:val="21"/>
              </w:rPr>
              <w:t>230</w:t>
            </w:r>
          </w:p>
        </w:tc>
        <w:tc>
          <w:tcPr>
            <w:tcW w:w="0" w:type="auto"/>
            <w:noWrap/>
            <w:vAlign w:val="center"/>
          </w:tcPr>
          <w:p w14:paraId="78FFF0B8">
            <w:pPr>
              <w:jc w:val="center"/>
              <w:rPr>
                <w:rFonts w:eastAsia="楷体_GB2312"/>
                <w:color w:val="000000"/>
                <w:kern w:val="0"/>
                <w:szCs w:val="21"/>
              </w:rPr>
            </w:pPr>
            <w:r>
              <w:rPr>
                <w:rFonts w:eastAsia="楷体_GB2312"/>
                <w:color w:val="000000"/>
                <w:kern w:val="0"/>
                <w:szCs w:val="21"/>
              </w:rPr>
              <w:t>440</w:t>
            </w:r>
          </w:p>
        </w:tc>
        <w:tc>
          <w:tcPr>
            <w:tcW w:w="0" w:type="auto"/>
            <w:noWrap/>
            <w:vAlign w:val="center"/>
          </w:tcPr>
          <w:p w14:paraId="3508D121">
            <w:pPr>
              <w:jc w:val="center"/>
              <w:rPr>
                <w:rFonts w:eastAsia="楷体_GB2312"/>
                <w:color w:val="000000"/>
                <w:kern w:val="0"/>
                <w:szCs w:val="21"/>
              </w:rPr>
            </w:pPr>
            <w:r>
              <w:rPr>
                <w:rFonts w:eastAsia="楷体_GB2312"/>
                <w:color w:val="000000"/>
                <w:kern w:val="0"/>
                <w:szCs w:val="21"/>
              </w:rPr>
              <w:t>420</w:t>
            </w:r>
          </w:p>
        </w:tc>
        <w:tc>
          <w:tcPr>
            <w:tcW w:w="0" w:type="auto"/>
            <w:noWrap/>
            <w:vAlign w:val="center"/>
          </w:tcPr>
          <w:p w14:paraId="1CD9A101">
            <w:pPr>
              <w:jc w:val="center"/>
              <w:rPr>
                <w:rFonts w:eastAsia="楷体_GB2312"/>
                <w:color w:val="000000"/>
                <w:kern w:val="0"/>
                <w:szCs w:val="21"/>
              </w:rPr>
            </w:pPr>
            <w:r>
              <w:rPr>
                <w:rFonts w:eastAsia="楷体_GB2312"/>
                <w:color w:val="000000"/>
                <w:kern w:val="0"/>
                <w:szCs w:val="21"/>
              </w:rPr>
              <w:t>400</w:t>
            </w:r>
          </w:p>
        </w:tc>
        <w:tc>
          <w:tcPr>
            <w:tcW w:w="0" w:type="auto"/>
            <w:noWrap/>
            <w:vAlign w:val="center"/>
          </w:tcPr>
          <w:p w14:paraId="709AFD70">
            <w:pPr>
              <w:jc w:val="center"/>
              <w:rPr>
                <w:rFonts w:eastAsia="楷体_GB2312"/>
                <w:color w:val="000000"/>
                <w:kern w:val="0"/>
                <w:szCs w:val="21"/>
              </w:rPr>
            </w:pPr>
            <w:r>
              <w:rPr>
                <w:rFonts w:eastAsia="楷体_GB2312"/>
                <w:color w:val="000000"/>
                <w:kern w:val="0"/>
                <w:szCs w:val="21"/>
              </w:rPr>
              <w:t>390</w:t>
            </w:r>
          </w:p>
        </w:tc>
        <w:tc>
          <w:tcPr>
            <w:tcW w:w="0" w:type="auto"/>
            <w:noWrap/>
            <w:vAlign w:val="center"/>
          </w:tcPr>
          <w:p w14:paraId="1FC360DA">
            <w:pPr>
              <w:jc w:val="center"/>
              <w:rPr>
                <w:rFonts w:eastAsia="楷体_GB2312"/>
                <w:color w:val="000000"/>
                <w:kern w:val="0"/>
                <w:szCs w:val="21"/>
              </w:rPr>
            </w:pPr>
            <w:r>
              <w:rPr>
                <w:rFonts w:eastAsia="楷体_GB2312"/>
                <w:color w:val="000000"/>
                <w:kern w:val="0"/>
                <w:szCs w:val="21"/>
              </w:rPr>
              <w:t>380</w:t>
            </w:r>
          </w:p>
        </w:tc>
        <w:tc>
          <w:tcPr>
            <w:tcW w:w="0" w:type="auto"/>
            <w:noWrap/>
            <w:vAlign w:val="center"/>
          </w:tcPr>
          <w:p w14:paraId="309C34AC">
            <w:pPr>
              <w:jc w:val="center"/>
              <w:rPr>
                <w:rFonts w:eastAsia="楷体_GB2312"/>
                <w:color w:val="000000"/>
                <w:kern w:val="0"/>
                <w:szCs w:val="21"/>
              </w:rPr>
            </w:pPr>
            <w:r>
              <w:rPr>
                <w:rFonts w:eastAsia="楷体_GB2312"/>
                <w:color w:val="000000"/>
                <w:kern w:val="0"/>
                <w:szCs w:val="21"/>
              </w:rPr>
              <w:t>360</w:t>
            </w:r>
          </w:p>
        </w:tc>
      </w:tr>
      <w:tr w14:paraId="43C52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6E7C1110">
            <w:pPr>
              <w:jc w:val="center"/>
              <w:rPr>
                <w:rFonts w:eastAsia="楷体_GB2312"/>
                <w:color w:val="000000"/>
                <w:kern w:val="0"/>
                <w:szCs w:val="21"/>
              </w:rPr>
            </w:pPr>
          </w:p>
        </w:tc>
        <w:tc>
          <w:tcPr>
            <w:tcW w:w="0" w:type="auto"/>
            <w:vMerge w:val="continue"/>
            <w:noWrap w:val="0"/>
            <w:vAlign w:val="center"/>
          </w:tcPr>
          <w:p w14:paraId="6814B759">
            <w:pPr>
              <w:jc w:val="center"/>
              <w:rPr>
                <w:rFonts w:eastAsia="楷体_GB2312"/>
                <w:color w:val="000000"/>
                <w:kern w:val="0"/>
                <w:szCs w:val="21"/>
              </w:rPr>
            </w:pPr>
          </w:p>
        </w:tc>
        <w:tc>
          <w:tcPr>
            <w:tcW w:w="0" w:type="auto"/>
            <w:noWrap w:val="0"/>
            <w:vAlign w:val="top"/>
          </w:tcPr>
          <w:p w14:paraId="7DA1C50B">
            <w:pPr>
              <w:jc w:val="center"/>
              <w:rPr>
                <w:rFonts w:eastAsia="楷体_GB2312"/>
                <w:color w:val="000000"/>
                <w:kern w:val="0"/>
                <w:szCs w:val="21"/>
              </w:rPr>
            </w:pPr>
            <w:r>
              <w:rPr>
                <w:rFonts w:hint="eastAsia" w:eastAsia="楷体_GB2312"/>
                <w:color w:val="000000"/>
                <w:kern w:val="0"/>
                <w:szCs w:val="21"/>
              </w:rPr>
              <w:t>2</w:t>
            </w:r>
          </w:p>
        </w:tc>
        <w:tc>
          <w:tcPr>
            <w:tcW w:w="0" w:type="auto"/>
            <w:noWrap/>
            <w:vAlign w:val="center"/>
          </w:tcPr>
          <w:p w14:paraId="5389030D">
            <w:pPr>
              <w:jc w:val="center"/>
              <w:rPr>
                <w:rFonts w:eastAsia="楷体_GB2312"/>
                <w:color w:val="000000"/>
                <w:kern w:val="0"/>
                <w:szCs w:val="21"/>
              </w:rPr>
            </w:pPr>
            <w:r>
              <w:rPr>
                <w:rFonts w:eastAsia="楷体_GB2312"/>
                <w:color w:val="000000"/>
                <w:kern w:val="0"/>
                <w:szCs w:val="21"/>
              </w:rPr>
              <w:t>510</w:t>
            </w:r>
          </w:p>
        </w:tc>
        <w:tc>
          <w:tcPr>
            <w:tcW w:w="0" w:type="auto"/>
            <w:noWrap/>
            <w:vAlign w:val="center"/>
          </w:tcPr>
          <w:p w14:paraId="2B7A3949">
            <w:pPr>
              <w:jc w:val="center"/>
              <w:rPr>
                <w:rFonts w:eastAsia="楷体_GB2312"/>
                <w:color w:val="000000"/>
                <w:kern w:val="0"/>
                <w:szCs w:val="21"/>
              </w:rPr>
            </w:pPr>
            <w:r>
              <w:rPr>
                <w:rFonts w:eastAsia="楷体_GB2312"/>
                <w:color w:val="000000"/>
                <w:kern w:val="0"/>
                <w:szCs w:val="21"/>
              </w:rPr>
              <w:t>370</w:t>
            </w:r>
          </w:p>
        </w:tc>
        <w:tc>
          <w:tcPr>
            <w:tcW w:w="0" w:type="auto"/>
            <w:noWrap/>
            <w:vAlign w:val="center"/>
          </w:tcPr>
          <w:p w14:paraId="4B68F5EA">
            <w:pPr>
              <w:jc w:val="center"/>
              <w:rPr>
                <w:rFonts w:eastAsia="楷体_GB2312"/>
                <w:color w:val="000000"/>
                <w:kern w:val="0"/>
                <w:szCs w:val="21"/>
              </w:rPr>
            </w:pPr>
            <w:r>
              <w:rPr>
                <w:rFonts w:eastAsia="楷体_GB2312"/>
                <w:color w:val="000000"/>
                <w:kern w:val="0"/>
                <w:szCs w:val="21"/>
              </w:rPr>
              <w:t>185</w:t>
            </w:r>
          </w:p>
        </w:tc>
        <w:tc>
          <w:tcPr>
            <w:tcW w:w="0" w:type="auto"/>
            <w:noWrap/>
            <w:vAlign w:val="center"/>
          </w:tcPr>
          <w:p w14:paraId="0A3291C3">
            <w:pPr>
              <w:jc w:val="center"/>
              <w:rPr>
                <w:rFonts w:eastAsia="楷体_GB2312"/>
                <w:color w:val="000000"/>
                <w:kern w:val="0"/>
                <w:szCs w:val="21"/>
              </w:rPr>
            </w:pPr>
            <w:r>
              <w:rPr>
                <w:rFonts w:eastAsia="楷体_GB2312"/>
                <w:color w:val="000000"/>
                <w:kern w:val="0"/>
                <w:szCs w:val="21"/>
              </w:rPr>
              <w:t>350</w:t>
            </w:r>
          </w:p>
        </w:tc>
        <w:tc>
          <w:tcPr>
            <w:tcW w:w="0" w:type="auto"/>
            <w:noWrap/>
            <w:vAlign w:val="center"/>
          </w:tcPr>
          <w:p w14:paraId="7BD2236D">
            <w:pPr>
              <w:jc w:val="center"/>
              <w:rPr>
                <w:rFonts w:eastAsia="楷体_GB2312"/>
                <w:color w:val="000000"/>
                <w:kern w:val="0"/>
                <w:szCs w:val="21"/>
              </w:rPr>
            </w:pPr>
            <w:r>
              <w:rPr>
                <w:rFonts w:eastAsia="楷体_GB2312"/>
                <w:color w:val="000000"/>
                <w:kern w:val="0"/>
                <w:szCs w:val="21"/>
              </w:rPr>
              <w:t>330</w:t>
            </w:r>
          </w:p>
        </w:tc>
        <w:tc>
          <w:tcPr>
            <w:tcW w:w="0" w:type="auto"/>
            <w:noWrap/>
            <w:vAlign w:val="center"/>
          </w:tcPr>
          <w:p w14:paraId="48B0A8B6">
            <w:pPr>
              <w:jc w:val="center"/>
              <w:rPr>
                <w:rFonts w:eastAsia="楷体_GB2312"/>
                <w:color w:val="000000"/>
                <w:kern w:val="0"/>
                <w:szCs w:val="21"/>
              </w:rPr>
            </w:pPr>
            <w:r>
              <w:rPr>
                <w:rFonts w:eastAsia="楷体_GB2312"/>
                <w:color w:val="000000"/>
                <w:kern w:val="0"/>
                <w:szCs w:val="21"/>
              </w:rPr>
              <w:t>310</w:t>
            </w:r>
          </w:p>
        </w:tc>
        <w:tc>
          <w:tcPr>
            <w:tcW w:w="0" w:type="auto"/>
            <w:noWrap/>
            <w:vAlign w:val="center"/>
          </w:tcPr>
          <w:p w14:paraId="4B4F42DD">
            <w:pPr>
              <w:jc w:val="center"/>
              <w:rPr>
                <w:rFonts w:eastAsia="楷体_GB2312"/>
                <w:color w:val="000000"/>
                <w:kern w:val="0"/>
                <w:szCs w:val="21"/>
              </w:rPr>
            </w:pPr>
            <w:r>
              <w:rPr>
                <w:rFonts w:eastAsia="楷体_GB2312"/>
                <w:color w:val="000000"/>
                <w:kern w:val="0"/>
                <w:szCs w:val="21"/>
              </w:rPr>
              <w:t>300</w:t>
            </w:r>
          </w:p>
        </w:tc>
        <w:tc>
          <w:tcPr>
            <w:tcW w:w="0" w:type="auto"/>
            <w:noWrap/>
            <w:vAlign w:val="center"/>
          </w:tcPr>
          <w:p w14:paraId="7489574D">
            <w:pPr>
              <w:jc w:val="center"/>
              <w:rPr>
                <w:rFonts w:eastAsia="楷体_GB2312"/>
                <w:color w:val="000000"/>
                <w:kern w:val="0"/>
                <w:szCs w:val="21"/>
              </w:rPr>
            </w:pPr>
            <w:r>
              <w:rPr>
                <w:rFonts w:eastAsia="楷体_GB2312"/>
                <w:color w:val="000000"/>
                <w:kern w:val="0"/>
                <w:szCs w:val="21"/>
              </w:rPr>
              <w:t>290</w:t>
            </w:r>
          </w:p>
        </w:tc>
        <w:tc>
          <w:tcPr>
            <w:tcW w:w="0" w:type="auto"/>
            <w:noWrap/>
            <w:vAlign w:val="center"/>
          </w:tcPr>
          <w:p w14:paraId="0C0641A5">
            <w:pPr>
              <w:jc w:val="center"/>
              <w:rPr>
                <w:rFonts w:eastAsia="楷体_GB2312"/>
                <w:color w:val="000000"/>
                <w:kern w:val="0"/>
                <w:szCs w:val="21"/>
              </w:rPr>
            </w:pPr>
            <w:r>
              <w:rPr>
                <w:rFonts w:eastAsia="楷体_GB2312"/>
                <w:color w:val="000000"/>
                <w:kern w:val="0"/>
                <w:szCs w:val="21"/>
              </w:rPr>
              <w:t>270</w:t>
            </w:r>
          </w:p>
        </w:tc>
      </w:tr>
      <w:tr w14:paraId="51B6D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2C6E6A21">
            <w:pPr>
              <w:jc w:val="center"/>
              <w:rPr>
                <w:rFonts w:eastAsia="楷体_GB2312"/>
                <w:color w:val="000000"/>
                <w:kern w:val="0"/>
                <w:szCs w:val="21"/>
              </w:rPr>
            </w:pPr>
          </w:p>
        </w:tc>
        <w:tc>
          <w:tcPr>
            <w:tcW w:w="0" w:type="auto"/>
            <w:vMerge w:val="continue"/>
            <w:noWrap w:val="0"/>
            <w:vAlign w:val="center"/>
          </w:tcPr>
          <w:p w14:paraId="465D267D">
            <w:pPr>
              <w:jc w:val="center"/>
              <w:rPr>
                <w:rFonts w:eastAsia="楷体_GB2312"/>
                <w:color w:val="000000"/>
                <w:kern w:val="0"/>
                <w:szCs w:val="21"/>
              </w:rPr>
            </w:pPr>
          </w:p>
        </w:tc>
        <w:tc>
          <w:tcPr>
            <w:tcW w:w="0" w:type="auto"/>
            <w:noWrap w:val="0"/>
            <w:vAlign w:val="top"/>
          </w:tcPr>
          <w:p w14:paraId="3DF445B1">
            <w:pPr>
              <w:jc w:val="center"/>
              <w:rPr>
                <w:rFonts w:eastAsia="楷体_GB2312"/>
                <w:color w:val="000000"/>
                <w:kern w:val="0"/>
                <w:szCs w:val="21"/>
              </w:rPr>
            </w:pPr>
            <w:r>
              <w:rPr>
                <w:rFonts w:hint="eastAsia" w:eastAsia="楷体_GB2312"/>
                <w:color w:val="000000"/>
                <w:kern w:val="0"/>
                <w:szCs w:val="21"/>
              </w:rPr>
              <w:t>3</w:t>
            </w:r>
          </w:p>
        </w:tc>
        <w:tc>
          <w:tcPr>
            <w:tcW w:w="0" w:type="auto"/>
            <w:noWrap/>
            <w:vAlign w:val="center"/>
          </w:tcPr>
          <w:p w14:paraId="407FBF1B">
            <w:pPr>
              <w:jc w:val="center"/>
              <w:rPr>
                <w:rFonts w:eastAsia="楷体_GB2312"/>
                <w:color w:val="000000"/>
                <w:kern w:val="0"/>
                <w:szCs w:val="21"/>
              </w:rPr>
            </w:pPr>
            <w:r>
              <w:rPr>
                <w:rFonts w:eastAsia="楷体_GB2312"/>
                <w:color w:val="000000"/>
                <w:kern w:val="0"/>
                <w:szCs w:val="21"/>
              </w:rPr>
              <w:t>425</w:t>
            </w:r>
          </w:p>
        </w:tc>
        <w:tc>
          <w:tcPr>
            <w:tcW w:w="0" w:type="auto"/>
            <w:noWrap/>
            <w:vAlign w:val="center"/>
          </w:tcPr>
          <w:p w14:paraId="13A9C1A5">
            <w:pPr>
              <w:jc w:val="center"/>
              <w:rPr>
                <w:rFonts w:eastAsia="楷体_GB2312"/>
                <w:color w:val="000000"/>
                <w:kern w:val="0"/>
                <w:szCs w:val="21"/>
              </w:rPr>
            </w:pPr>
            <w:r>
              <w:rPr>
                <w:rFonts w:eastAsia="楷体_GB2312"/>
                <w:color w:val="000000"/>
                <w:kern w:val="0"/>
                <w:szCs w:val="21"/>
              </w:rPr>
              <w:t>290</w:t>
            </w:r>
          </w:p>
        </w:tc>
        <w:tc>
          <w:tcPr>
            <w:tcW w:w="0" w:type="auto"/>
            <w:noWrap/>
            <w:vAlign w:val="center"/>
          </w:tcPr>
          <w:p w14:paraId="0D229F6B">
            <w:pPr>
              <w:jc w:val="center"/>
              <w:rPr>
                <w:rFonts w:eastAsia="楷体_GB2312"/>
                <w:color w:val="000000"/>
                <w:kern w:val="0"/>
                <w:szCs w:val="21"/>
              </w:rPr>
            </w:pPr>
            <w:r>
              <w:rPr>
                <w:rFonts w:eastAsia="楷体_GB2312"/>
                <w:color w:val="000000"/>
                <w:kern w:val="0"/>
                <w:szCs w:val="21"/>
              </w:rPr>
              <w:t>144</w:t>
            </w:r>
          </w:p>
        </w:tc>
        <w:tc>
          <w:tcPr>
            <w:tcW w:w="0" w:type="auto"/>
            <w:noWrap/>
            <w:vAlign w:val="center"/>
          </w:tcPr>
          <w:p w14:paraId="40C12077">
            <w:pPr>
              <w:jc w:val="center"/>
              <w:rPr>
                <w:rFonts w:eastAsia="楷体_GB2312"/>
                <w:color w:val="000000"/>
                <w:kern w:val="0"/>
                <w:szCs w:val="21"/>
              </w:rPr>
            </w:pPr>
            <w:r>
              <w:rPr>
                <w:rFonts w:eastAsia="楷体_GB2312"/>
                <w:color w:val="000000"/>
                <w:kern w:val="0"/>
                <w:szCs w:val="21"/>
              </w:rPr>
              <w:t>270</w:t>
            </w:r>
          </w:p>
        </w:tc>
        <w:tc>
          <w:tcPr>
            <w:tcW w:w="0" w:type="auto"/>
            <w:noWrap/>
            <w:vAlign w:val="center"/>
          </w:tcPr>
          <w:p w14:paraId="54FE614A">
            <w:pPr>
              <w:jc w:val="center"/>
              <w:rPr>
                <w:rFonts w:eastAsia="楷体_GB2312"/>
                <w:color w:val="000000"/>
                <w:kern w:val="0"/>
                <w:szCs w:val="21"/>
              </w:rPr>
            </w:pPr>
            <w:r>
              <w:rPr>
                <w:rFonts w:eastAsia="楷体_GB2312"/>
                <w:color w:val="000000"/>
                <w:kern w:val="0"/>
                <w:szCs w:val="21"/>
              </w:rPr>
              <w:t>255</w:t>
            </w:r>
          </w:p>
        </w:tc>
        <w:tc>
          <w:tcPr>
            <w:tcW w:w="0" w:type="auto"/>
            <w:noWrap/>
            <w:vAlign w:val="center"/>
          </w:tcPr>
          <w:p w14:paraId="39A0396B">
            <w:pPr>
              <w:jc w:val="center"/>
              <w:rPr>
                <w:rFonts w:eastAsia="楷体_GB2312"/>
                <w:color w:val="000000"/>
                <w:kern w:val="0"/>
                <w:szCs w:val="21"/>
              </w:rPr>
            </w:pPr>
            <w:r>
              <w:rPr>
                <w:rFonts w:eastAsia="楷体_GB2312"/>
                <w:color w:val="000000"/>
                <w:kern w:val="0"/>
                <w:szCs w:val="21"/>
              </w:rPr>
              <w:t>240</w:t>
            </w:r>
          </w:p>
        </w:tc>
        <w:tc>
          <w:tcPr>
            <w:tcW w:w="0" w:type="auto"/>
            <w:noWrap/>
            <w:vAlign w:val="center"/>
          </w:tcPr>
          <w:p w14:paraId="27FA387C">
            <w:pPr>
              <w:jc w:val="center"/>
              <w:rPr>
                <w:rFonts w:eastAsia="楷体_GB2312"/>
                <w:color w:val="000000"/>
                <w:kern w:val="0"/>
                <w:szCs w:val="21"/>
              </w:rPr>
            </w:pPr>
            <w:r>
              <w:rPr>
                <w:rFonts w:eastAsia="楷体_GB2312"/>
                <w:color w:val="000000"/>
                <w:kern w:val="0"/>
                <w:szCs w:val="21"/>
              </w:rPr>
              <w:t>230</w:t>
            </w:r>
          </w:p>
        </w:tc>
        <w:tc>
          <w:tcPr>
            <w:tcW w:w="0" w:type="auto"/>
            <w:noWrap/>
            <w:vAlign w:val="center"/>
          </w:tcPr>
          <w:p w14:paraId="5C31C2DD">
            <w:pPr>
              <w:jc w:val="center"/>
              <w:rPr>
                <w:rFonts w:eastAsia="楷体_GB2312"/>
                <w:color w:val="000000"/>
                <w:kern w:val="0"/>
                <w:szCs w:val="21"/>
              </w:rPr>
            </w:pPr>
            <w:r>
              <w:rPr>
                <w:rFonts w:eastAsia="楷体_GB2312"/>
                <w:color w:val="000000"/>
                <w:kern w:val="0"/>
                <w:szCs w:val="21"/>
              </w:rPr>
              <w:t>220</w:t>
            </w:r>
          </w:p>
        </w:tc>
        <w:tc>
          <w:tcPr>
            <w:tcW w:w="0" w:type="auto"/>
            <w:noWrap/>
            <w:vAlign w:val="center"/>
          </w:tcPr>
          <w:p w14:paraId="4B4941F0">
            <w:pPr>
              <w:jc w:val="center"/>
              <w:rPr>
                <w:rFonts w:eastAsia="楷体_GB2312"/>
                <w:color w:val="000000"/>
                <w:kern w:val="0"/>
                <w:szCs w:val="21"/>
              </w:rPr>
            </w:pPr>
            <w:r>
              <w:rPr>
                <w:rFonts w:eastAsia="楷体_GB2312"/>
                <w:color w:val="000000"/>
                <w:kern w:val="0"/>
                <w:szCs w:val="21"/>
              </w:rPr>
              <w:t>200</w:t>
            </w:r>
          </w:p>
        </w:tc>
      </w:tr>
      <w:tr w14:paraId="3819C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ign w:val="center"/>
          </w:tcPr>
          <w:p w14:paraId="55194179">
            <w:pPr>
              <w:jc w:val="center"/>
              <w:rPr>
                <w:rFonts w:eastAsia="楷体_GB2312"/>
                <w:color w:val="000000"/>
                <w:kern w:val="0"/>
                <w:szCs w:val="21"/>
              </w:rPr>
            </w:pPr>
            <w:r>
              <w:rPr>
                <w:rFonts w:eastAsia="楷体_GB2312"/>
                <w:color w:val="000000"/>
                <w:kern w:val="0"/>
                <w:szCs w:val="21"/>
              </w:rPr>
              <w:t>2</w:t>
            </w:r>
          </w:p>
        </w:tc>
        <w:tc>
          <w:tcPr>
            <w:tcW w:w="0" w:type="auto"/>
            <w:vMerge w:val="restart"/>
            <w:noWrap/>
            <w:vAlign w:val="center"/>
          </w:tcPr>
          <w:p w14:paraId="1D860176">
            <w:pPr>
              <w:jc w:val="center"/>
              <w:rPr>
                <w:rFonts w:eastAsia="楷体_GB2312"/>
                <w:color w:val="000000"/>
                <w:kern w:val="0"/>
                <w:szCs w:val="21"/>
              </w:rPr>
            </w:pPr>
            <w:r>
              <w:rPr>
                <w:rFonts w:eastAsia="楷体_GB2312"/>
                <w:color w:val="000000"/>
                <w:kern w:val="0"/>
                <w:szCs w:val="21"/>
              </w:rPr>
              <w:t>朱仙庄镇</w:t>
            </w:r>
          </w:p>
        </w:tc>
        <w:tc>
          <w:tcPr>
            <w:tcW w:w="0" w:type="auto"/>
            <w:noWrap w:val="0"/>
            <w:vAlign w:val="top"/>
          </w:tcPr>
          <w:p w14:paraId="0DBFD64A">
            <w:pPr>
              <w:jc w:val="center"/>
              <w:rPr>
                <w:rFonts w:eastAsia="楷体_GB2312"/>
                <w:color w:val="000000"/>
                <w:kern w:val="0"/>
                <w:szCs w:val="21"/>
              </w:rPr>
            </w:pPr>
            <w:r>
              <w:rPr>
                <w:rFonts w:hint="eastAsia" w:eastAsia="楷体_GB2312"/>
                <w:color w:val="000000"/>
                <w:kern w:val="0"/>
                <w:szCs w:val="21"/>
              </w:rPr>
              <w:t>1</w:t>
            </w:r>
          </w:p>
        </w:tc>
        <w:tc>
          <w:tcPr>
            <w:tcW w:w="0" w:type="auto"/>
            <w:noWrap/>
            <w:vAlign w:val="center"/>
          </w:tcPr>
          <w:p w14:paraId="6A3278A1">
            <w:pPr>
              <w:jc w:val="center"/>
              <w:rPr>
                <w:rFonts w:eastAsia="楷体_GB2312"/>
                <w:color w:val="000000"/>
                <w:kern w:val="0"/>
                <w:szCs w:val="21"/>
              </w:rPr>
            </w:pPr>
            <w:r>
              <w:rPr>
                <w:rFonts w:eastAsia="楷体_GB2312"/>
                <w:color w:val="000000"/>
                <w:kern w:val="0"/>
                <w:szCs w:val="21"/>
              </w:rPr>
              <w:t>595</w:t>
            </w:r>
          </w:p>
        </w:tc>
        <w:tc>
          <w:tcPr>
            <w:tcW w:w="0" w:type="auto"/>
            <w:noWrap/>
            <w:vAlign w:val="center"/>
          </w:tcPr>
          <w:p w14:paraId="3F8227E3">
            <w:pPr>
              <w:jc w:val="center"/>
              <w:rPr>
                <w:rFonts w:eastAsia="楷体_GB2312"/>
                <w:color w:val="000000"/>
                <w:kern w:val="0"/>
                <w:szCs w:val="21"/>
              </w:rPr>
            </w:pPr>
            <w:r>
              <w:rPr>
                <w:rFonts w:eastAsia="楷体_GB2312"/>
                <w:color w:val="000000"/>
                <w:kern w:val="0"/>
                <w:szCs w:val="21"/>
              </w:rPr>
              <w:t>450</w:t>
            </w:r>
          </w:p>
        </w:tc>
        <w:tc>
          <w:tcPr>
            <w:tcW w:w="0" w:type="auto"/>
            <w:noWrap/>
            <w:vAlign w:val="center"/>
          </w:tcPr>
          <w:p w14:paraId="052E787B">
            <w:pPr>
              <w:jc w:val="center"/>
              <w:rPr>
                <w:rFonts w:eastAsia="楷体_GB2312"/>
                <w:color w:val="000000"/>
                <w:kern w:val="0"/>
                <w:szCs w:val="21"/>
              </w:rPr>
            </w:pPr>
            <w:r>
              <w:rPr>
                <w:rFonts w:eastAsia="楷体_GB2312"/>
                <w:color w:val="000000"/>
                <w:kern w:val="0"/>
                <w:szCs w:val="21"/>
              </w:rPr>
              <w:t>200</w:t>
            </w:r>
          </w:p>
        </w:tc>
        <w:tc>
          <w:tcPr>
            <w:tcW w:w="0" w:type="auto"/>
            <w:noWrap/>
            <w:vAlign w:val="center"/>
          </w:tcPr>
          <w:p w14:paraId="036BDC47">
            <w:pPr>
              <w:jc w:val="center"/>
              <w:rPr>
                <w:rFonts w:eastAsia="楷体_GB2312"/>
                <w:color w:val="000000"/>
                <w:kern w:val="0"/>
                <w:szCs w:val="21"/>
              </w:rPr>
            </w:pPr>
            <w:r>
              <w:rPr>
                <w:rFonts w:eastAsia="楷体_GB2312"/>
                <w:color w:val="000000"/>
                <w:kern w:val="0"/>
                <w:szCs w:val="21"/>
              </w:rPr>
              <w:t>425</w:t>
            </w:r>
          </w:p>
        </w:tc>
        <w:tc>
          <w:tcPr>
            <w:tcW w:w="0" w:type="auto"/>
            <w:noWrap/>
            <w:vAlign w:val="center"/>
          </w:tcPr>
          <w:p w14:paraId="772FE3CB">
            <w:pPr>
              <w:jc w:val="center"/>
              <w:rPr>
                <w:rFonts w:eastAsia="楷体_GB2312"/>
                <w:color w:val="000000"/>
                <w:kern w:val="0"/>
                <w:szCs w:val="21"/>
              </w:rPr>
            </w:pPr>
            <w:r>
              <w:rPr>
                <w:rFonts w:eastAsia="楷体_GB2312"/>
                <w:color w:val="000000"/>
                <w:kern w:val="0"/>
                <w:szCs w:val="21"/>
              </w:rPr>
              <w:t>405</w:t>
            </w:r>
          </w:p>
        </w:tc>
        <w:tc>
          <w:tcPr>
            <w:tcW w:w="0" w:type="auto"/>
            <w:noWrap/>
            <w:vAlign w:val="center"/>
          </w:tcPr>
          <w:p w14:paraId="7D67E20F">
            <w:pPr>
              <w:jc w:val="center"/>
              <w:rPr>
                <w:rFonts w:eastAsia="楷体_GB2312"/>
                <w:color w:val="000000"/>
                <w:kern w:val="0"/>
                <w:szCs w:val="21"/>
              </w:rPr>
            </w:pPr>
            <w:r>
              <w:rPr>
                <w:rFonts w:eastAsia="楷体_GB2312"/>
                <w:color w:val="000000"/>
                <w:kern w:val="0"/>
                <w:szCs w:val="21"/>
              </w:rPr>
              <w:t>385</w:t>
            </w:r>
          </w:p>
        </w:tc>
        <w:tc>
          <w:tcPr>
            <w:tcW w:w="0" w:type="auto"/>
            <w:noWrap/>
            <w:vAlign w:val="center"/>
          </w:tcPr>
          <w:p w14:paraId="0EBFD53C">
            <w:pPr>
              <w:jc w:val="center"/>
              <w:rPr>
                <w:rFonts w:eastAsia="楷体_GB2312"/>
                <w:color w:val="000000"/>
                <w:kern w:val="0"/>
                <w:szCs w:val="21"/>
              </w:rPr>
            </w:pPr>
            <w:r>
              <w:rPr>
                <w:rFonts w:eastAsia="楷体_GB2312"/>
                <w:color w:val="000000"/>
                <w:kern w:val="0"/>
                <w:szCs w:val="21"/>
              </w:rPr>
              <w:t>375</w:t>
            </w:r>
          </w:p>
        </w:tc>
        <w:tc>
          <w:tcPr>
            <w:tcW w:w="0" w:type="auto"/>
            <w:noWrap/>
            <w:vAlign w:val="center"/>
          </w:tcPr>
          <w:p w14:paraId="4AE10420">
            <w:pPr>
              <w:jc w:val="center"/>
              <w:rPr>
                <w:rFonts w:eastAsia="楷体_GB2312"/>
                <w:color w:val="000000"/>
                <w:kern w:val="0"/>
                <w:szCs w:val="21"/>
              </w:rPr>
            </w:pPr>
            <w:r>
              <w:rPr>
                <w:rFonts w:eastAsia="楷体_GB2312"/>
                <w:color w:val="000000"/>
                <w:kern w:val="0"/>
                <w:szCs w:val="21"/>
              </w:rPr>
              <w:t>365</w:t>
            </w:r>
          </w:p>
        </w:tc>
        <w:tc>
          <w:tcPr>
            <w:tcW w:w="0" w:type="auto"/>
            <w:noWrap/>
            <w:vAlign w:val="center"/>
          </w:tcPr>
          <w:p w14:paraId="75734642">
            <w:pPr>
              <w:jc w:val="center"/>
              <w:rPr>
                <w:rFonts w:eastAsia="楷体_GB2312"/>
                <w:color w:val="000000"/>
                <w:kern w:val="0"/>
                <w:szCs w:val="21"/>
              </w:rPr>
            </w:pPr>
            <w:r>
              <w:rPr>
                <w:rFonts w:eastAsia="楷体_GB2312"/>
                <w:color w:val="000000"/>
                <w:kern w:val="0"/>
                <w:szCs w:val="21"/>
              </w:rPr>
              <w:t>345</w:t>
            </w:r>
          </w:p>
        </w:tc>
      </w:tr>
      <w:tr w14:paraId="574A6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37A34BEB">
            <w:pPr>
              <w:jc w:val="center"/>
              <w:rPr>
                <w:rFonts w:eastAsia="楷体_GB2312"/>
                <w:color w:val="000000"/>
                <w:kern w:val="0"/>
                <w:szCs w:val="21"/>
              </w:rPr>
            </w:pPr>
          </w:p>
        </w:tc>
        <w:tc>
          <w:tcPr>
            <w:tcW w:w="0" w:type="auto"/>
            <w:vMerge w:val="continue"/>
            <w:noWrap w:val="0"/>
            <w:vAlign w:val="center"/>
          </w:tcPr>
          <w:p w14:paraId="5B7014BE">
            <w:pPr>
              <w:jc w:val="center"/>
              <w:rPr>
                <w:rFonts w:eastAsia="楷体_GB2312"/>
                <w:color w:val="000000"/>
                <w:kern w:val="0"/>
                <w:szCs w:val="21"/>
              </w:rPr>
            </w:pPr>
          </w:p>
        </w:tc>
        <w:tc>
          <w:tcPr>
            <w:tcW w:w="0" w:type="auto"/>
            <w:noWrap w:val="0"/>
            <w:vAlign w:val="top"/>
          </w:tcPr>
          <w:p w14:paraId="2880FEBC">
            <w:pPr>
              <w:jc w:val="center"/>
              <w:rPr>
                <w:rFonts w:eastAsia="楷体_GB2312"/>
                <w:color w:val="000000"/>
                <w:kern w:val="0"/>
                <w:szCs w:val="21"/>
              </w:rPr>
            </w:pPr>
            <w:r>
              <w:rPr>
                <w:rFonts w:hint="eastAsia" w:eastAsia="楷体_GB2312"/>
                <w:color w:val="000000"/>
                <w:kern w:val="0"/>
                <w:szCs w:val="21"/>
              </w:rPr>
              <w:t>2</w:t>
            </w:r>
          </w:p>
        </w:tc>
        <w:tc>
          <w:tcPr>
            <w:tcW w:w="0" w:type="auto"/>
            <w:noWrap/>
            <w:vAlign w:val="center"/>
          </w:tcPr>
          <w:p w14:paraId="35AA7BD3">
            <w:pPr>
              <w:jc w:val="center"/>
              <w:rPr>
                <w:rFonts w:eastAsia="楷体_GB2312"/>
                <w:color w:val="000000"/>
                <w:kern w:val="0"/>
                <w:szCs w:val="21"/>
              </w:rPr>
            </w:pPr>
            <w:r>
              <w:rPr>
                <w:rFonts w:eastAsia="楷体_GB2312"/>
                <w:color w:val="000000"/>
                <w:kern w:val="0"/>
                <w:szCs w:val="21"/>
              </w:rPr>
              <w:t>460</w:t>
            </w:r>
          </w:p>
        </w:tc>
        <w:tc>
          <w:tcPr>
            <w:tcW w:w="0" w:type="auto"/>
            <w:noWrap/>
            <w:vAlign w:val="center"/>
          </w:tcPr>
          <w:p w14:paraId="2667F423">
            <w:pPr>
              <w:jc w:val="center"/>
              <w:rPr>
                <w:rFonts w:eastAsia="楷体_GB2312"/>
                <w:color w:val="000000"/>
                <w:kern w:val="0"/>
                <w:szCs w:val="21"/>
              </w:rPr>
            </w:pPr>
            <w:r>
              <w:rPr>
                <w:rFonts w:eastAsia="楷体_GB2312"/>
                <w:color w:val="000000"/>
                <w:kern w:val="0"/>
                <w:szCs w:val="21"/>
              </w:rPr>
              <w:t>325</w:t>
            </w:r>
          </w:p>
        </w:tc>
        <w:tc>
          <w:tcPr>
            <w:tcW w:w="0" w:type="auto"/>
            <w:noWrap/>
            <w:vAlign w:val="center"/>
          </w:tcPr>
          <w:p w14:paraId="0BFB080A">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017B9E46">
            <w:pPr>
              <w:jc w:val="center"/>
              <w:rPr>
                <w:rFonts w:eastAsia="楷体_GB2312"/>
                <w:color w:val="000000"/>
                <w:kern w:val="0"/>
                <w:szCs w:val="21"/>
              </w:rPr>
            </w:pPr>
            <w:r>
              <w:rPr>
                <w:rFonts w:eastAsia="楷体_GB2312"/>
                <w:color w:val="000000"/>
                <w:kern w:val="0"/>
                <w:szCs w:val="21"/>
              </w:rPr>
              <w:t>310</w:t>
            </w:r>
          </w:p>
        </w:tc>
        <w:tc>
          <w:tcPr>
            <w:tcW w:w="0" w:type="auto"/>
            <w:noWrap/>
            <w:vAlign w:val="center"/>
          </w:tcPr>
          <w:p w14:paraId="5D8D5676">
            <w:pPr>
              <w:jc w:val="center"/>
              <w:rPr>
                <w:rFonts w:eastAsia="楷体_GB2312"/>
                <w:color w:val="000000"/>
                <w:kern w:val="0"/>
                <w:szCs w:val="21"/>
              </w:rPr>
            </w:pPr>
            <w:r>
              <w:rPr>
                <w:rFonts w:eastAsia="楷体_GB2312"/>
                <w:color w:val="000000"/>
                <w:kern w:val="0"/>
                <w:szCs w:val="21"/>
              </w:rPr>
              <w:t>290</w:t>
            </w:r>
          </w:p>
        </w:tc>
        <w:tc>
          <w:tcPr>
            <w:tcW w:w="0" w:type="auto"/>
            <w:noWrap/>
            <w:vAlign w:val="center"/>
          </w:tcPr>
          <w:p w14:paraId="108F1833">
            <w:pPr>
              <w:jc w:val="center"/>
              <w:rPr>
                <w:rFonts w:eastAsia="楷体_GB2312"/>
                <w:color w:val="000000"/>
                <w:kern w:val="0"/>
                <w:szCs w:val="21"/>
              </w:rPr>
            </w:pPr>
            <w:r>
              <w:rPr>
                <w:rFonts w:eastAsia="楷体_GB2312"/>
                <w:color w:val="000000"/>
                <w:kern w:val="0"/>
                <w:szCs w:val="21"/>
              </w:rPr>
              <w:t>280</w:t>
            </w:r>
          </w:p>
        </w:tc>
        <w:tc>
          <w:tcPr>
            <w:tcW w:w="0" w:type="auto"/>
            <w:noWrap/>
            <w:vAlign w:val="center"/>
          </w:tcPr>
          <w:p w14:paraId="0D1603CF">
            <w:pPr>
              <w:jc w:val="center"/>
              <w:rPr>
                <w:rFonts w:eastAsia="楷体_GB2312"/>
                <w:color w:val="000000"/>
                <w:kern w:val="0"/>
                <w:szCs w:val="21"/>
              </w:rPr>
            </w:pPr>
            <w:r>
              <w:rPr>
                <w:rFonts w:eastAsia="楷体_GB2312"/>
                <w:color w:val="000000"/>
                <w:kern w:val="0"/>
                <w:szCs w:val="21"/>
              </w:rPr>
              <w:t>270</w:t>
            </w:r>
          </w:p>
        </w:tc>
        <w:tc>
          <w:tcPr>
            <w:tcW w:w="0" w:type="auto"/>
            <w:noWrap/>
            <w:vAlign w:val="center"/>
          </w:tcPr>
          <w:p w14:paraId="465BC821">
            <w:pPr>
              <w:jc w:val="center"/>
              <w:rPr>
                <w:rFonts w:eastAsia="楷体_GB2312"/>
                <w:color w:val="000000"/>
                <w:kern w:val="0"/>
                <w:szCs w:val="21"/>
              </w:rPr>
            </w:pPr>
            <w:r>
              <w:rPr>
                <w:rFonts w:eastAsia="楷体_GB2312"/>
                <w:color w:val="000000"/>
                <w:kern w:val="0"/>
                <w:szCs w:val="21"/>
              </w:rPr>
              <w:t>260</w:t>
            </w:r>
          </w:p>
        </w:tc>
        <w:tc>
          <w:tcPr>
            <w:tcW w:w="0" w:type="auto"/>
            <w:noWrap/>
            <w:vAlign w:val="center"/>
          </w:tcPr>
          <w:p w14:paraId="2A7FCE88">
            <w:pPr>
              <w:jc w:val="center"/>
              <w:rPr>
                <w:rFonts w:eastAsia="楷体_GB2312"/>
                <w:color w:val="000000"/>
                <w:kern w:val="0"/>
                <w:szCs w:val="21"/>
              </w:rPr>
            </w:pPr>
            <w:r>
              <w:rPr>
                <w:rFonts w:eastAsia="楷体_GB2312"/>
                <w:color w:val="000000"/>
                <w:kern w:val="0"/>
                <w:szCs w:val="21"/>
              </w:rPr>
              <w:t>240</w:t>
            </w:r>
          </w:p>
        </w:tc>
      </w:tr>
      <w:tr w14:paraId="4935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69CB5502">
            <w:pPr>
              <w:jc w:val="center"/>
              <w:rPr>
                <w:rFonts w:eastAsia="楷体_GB2312"/>
                <w:color w:val="000000"/>
                <w:kern w:val="0"/>
                <w:szCs w:val="21"/>
              </w:rPr>
            </w:pPr>
          </w:p>
        </w:tc>
        <w:tc>
          <w:tcPr>
            <w:tcW w:w="0" w:type="auto"/>
            <w:vMerge w:val="continue"/>
            <w:noWrap w:val="0"/>
            <w:vAlign w:val="center"/>
          </w:tcPr>
          <w:p w14:paraId="401D78B0">
            <w:pPr>
              <w:jc w:val="center"/>
              <w:rPr>
                <w:rFonts w:eastAsia="楷体_GB2312"/>
                <w:color w:val="000000"/>
                <w:kern w:val="0"/>
                <w:szCs w:val="21"/>
              </w:rPr>
            </w:pPr>
          </w:p>
        </w:tc>
        <w:tc>
          <w:tcPr>
            <w:tcW w:w="0" w:type="auto"/>
            <w:noWrap w:val="0"/>
            <w:vAlign w:val="top"/>
          </w:tcPr>
          <w:p w14:paraId="320782B4">
            <w:pPr>
              <w:jc w:val="center"/>
              <w:rPr>
                <w:rFonts w:eastAsia="楷体_GB2312"/>
                <w:color w:val="000000"/>
                <w:kern w:val="0"/>
                <w:szCs w:val="21"/>
              </w:rPr>
            </w:pPr>
            <w:r>
              <w:rPr>
                <w:rFonts w:hint="eastAsia" w:eastAsia="楷体_GB2312"/>
                <w:color w:val="000000"/>
                <w:kern w:val="0"/>
                <w:szCs w:val="21"/>
              </w:rPr>
              <w:t>3</w:t>
            </w:r>
          </w:p>
        </w:tc>
        <w:tc>
          <w:tcPr>
            <w:tcW w:w="0" w:type="auto"/>
            <w:noWrap/>
            <w:vAlign w:val="center"/>
          </w:tcPr>
          <w:p w14:paraId="4390BF5E">
            <w:pPr>
              <w:jc w:val="center"/>
              <w:rPr>
                <w:rFonts w:eastAsia="楷体_GB2312"/>
                <w:color w:val="000000"/>
                <w:kern w:val="0"/>
                <w:szCs w:val="21"/>
              </w:rPr>
            </w:pPr>
            <w:r>
              <w:rPr>
                <w:rFonts w:eastAsia="楷体_GB2312"/>
                <w:color w:val="000000"/>
                <w:kern w:val="0"/>
                <w:szCs w:val="21"/>
              </w:rPr>
              <w:t>360</w:t>
            </w:r>
          </w:p>
        </w:tc>
        <w:tc>
          <w:tcPr>
            <w:tcW w:w="0" w:type="auto"/>
            <w:noWrap/>
            <w:vAlign w:val="center"/>
          </w:tcPr>
          <w:p w14:paraId="5A92EC24">
            <w:pPr>
              <w:jc w:val="center"/>
              <w:rPr>
                <w:rFonts w:eastAsia="楷体_GB2312"/>
                <w:color w:val="000000"/>
                <w:kern w:val="0"/>
                <w:szCs w:val="21"/>
              </w:rPr>
            </w:pPr>
            <w:r>
              <w:rPr>
                <w:rFonts w:eastAsia="楷体_GB2312"/>
                <w:color w:val="000000"/>
                <w:kern w:val="0"/>
                <w:szCs w:val="21"/>
              </w:rPr>
              <w:t>235</w:t>
            </w:r>
          </w:p>
        </w:tc>
        <w:tc>
          <w:tcPr>
            <w:tcW w:w="0" w:type="auto"/>
            <w:noWrap/>
            <w:vAlign w:val="center"/>
          </w:tcPr>
          <w:p w14:paraId="6E3F072B">
            <w:pPr>
              <w:jc w:val="center"/>
              <w:rPr>
                <w:rFonts w:eastAsia="楷体_GB2312"/>
                <w:color w:val="000000"/>
                <w:kern w:val="0"/>
                <w:szCs w:val="21"/>
              </w:rPr>
            </w:pPr>
            <w:r>
              <w:rPr>
                <w:rFonts w:eastAsia="楷体_GB2312"/>
                <w:color w:val="000000"/>
                <w:kern w:val="0"/>
                <w:szCs w:val="21"/>
              </w:rPr>
              <w:t>144</w:t>
            </w:r>
          </w:p>
        </w:tc>
        <w:tc>
          <w:tcPr>
            <w:tcW w:w="0" w:type="auto"/>
            <w:noWrap/>
            <w:vAlign w:val="center"/>
          </w:tcPr>
          <w:p w14:paraId="2F92E5E9">
            <w:pPr>
              <w:jc w:val="center"/>
              <w:rPr>
                <w:rFonts w:eastAsia="楷体_GB2312"/>
                <w:color w:val="000000"/>
                <w:kern w:val="0"/>
                <w:szCs w:val="21"/>
              </w:rPr>
            </w:pPr>
            <w:r>
              <w:rPr>
                <w:rFonts w:eastAsia="楷体_GB2312"/>
                <w:color w:val="000000"/>
                <w:kern w:val="0"/>
                <w:szCs w:val="21"/>
              </w:rPr>
              <w:t>225</w:t>
            </w:r>
          </w:p>
        </w:tc>
        <w:tc>
          <w:tcPr>
            <w:tcW w:w="0" w:type="auto"/>
            <w:noWrap/>
            <w:vAlign w:val="center"/>
          </w:tcPr>
          <w:p w14:paraId="34DBAFFF">
            <w:pPr>
              <w:jc w:val="center"/>
              <w:rPr>
                <w:rFonts w:eastAsia="楷体_GB2312"/>
                <w:color w:val="000000"/>
                <w:kern w:val="0"/>
                <w:szCs w:val="21"/>
              </w:rPr>
            </w:pPr>
            <w:r>
              <w:rPr>
                <w:rFonts w:eastAsia="楷体_GB2312"/>
                <w:color w:val="000000"/>
                <w:kern w:val="0"/>
                <w:szCs w:val="21"/>
              </w:rPr>
              <w:t>215</w:t>
            </w:r>
          </w:p>
        </w:tc>
        <w:tc>
          <w:tcPr>
            <w:tcW w:w="0" w:type="auto"/>
            <w:noWrap/>
            <w:vAlign w:val="center"/>
          </w:tcPr>
          <w:p w14:paraId="3C94CA04">
            <w:pPr>
              <w:jc w:val="center"/>
              <w:rPr>
                <w:rFonts w:eastAsia="楷体_GB2312"/>
                <w:color w:val="000000"/>
                <w:kern w:val="0"/>
                <w:szCs w:val="21"/>
              </w:rPr>
            </w:pPr>
            <w:r>
              <w:rPr>
                <w:rFonts w:eastAsia="楷体_GB2312"/>
                <w:color w:val="000000"/>
                <w:kern w:val="0"/>
                <w:szCs w:val="21"/>
              </w:rPr>
              <w:t>205</w:t>
            </w:r>
          </w:p>
        </w:tc>
        <w:tc>
          <w:tcPr>
            <w:tcW w:w="0" w:type="auto"/>
            <w:noWrap/>
            <w:vAlign w:val="center"/>
          </w:tcPr>
          <w:p w14:paraId="50B57A0B">
            <w:pPr>
              <w:jc w:val="center"/>
              <w:rPr>
                <w:rFonts w:eastAsia="楷体_GB2312"/>
                <w:color w:val="000000"/>
                <w:kern w:val="0"/>
                <w:szCs w:val="21"/>
              </w:rPr>
            </w:pPr>
            <w:r>
              <w:rPr>
                <w:rFonts w:eastAsia="楷体_GB2312"/>
                <w:color w:val="000000"/>
                <w:kern w:val="0"/>
                <w:szCs w:val="21"/>
              </w:rPr>
              <w:t>200</w:t>
            </w:r>
          </w:p>
        </w:tc>
        <w:tc>
          <w:tcPr>
            <w:tcW w:w="0" w:type="auto"/>
            <w:noWrap/>
            <w:vAlign w:val="center"/>
          </w:tcPr>
          <w:p w14:paraId="21B598D2">
            <w:pPr>
              <w:jc w:val="center"/>
              <w:rPr>
                <w:rFonts w:eastAsia="楷体_GB2312"/>
                <w:color w:val="000000"/>
                <w:kern w:val="0"/>
                <w:szCs w:val="21"/>
              </w:rPr>
            </w:pPr>
            <w:r>
              <w:rPr>
                <w:rFonts w:eastAsia="楷体_GB2312"/>
                <w:color w:val="000000"/>
                <w:kern w:val="0"/>
                <w:szCs w:val="21"/>
              </w:rPr>
              <w:t>195</w:t>
            </w:r>
          </w:p>
        </w:tc>
        <w:tc>
          <w:tcPr>
            <w:tcW w:w="0" w:type="auto"/>
            <w:noWrap/>
            <w:vAlign w:val="center"/>
          </w:tcPr>
          <w:p w14:paraId="046567D3">
            <w:pPr>
              <w:jc w:val="center"/>
              <w:rPr>
                <w:rFonts w:eastAsia="楷体_GB2312"/>
                <w:color w:val="000000"/>
                <w:kern w:val="0"/>
                <w:szCs w:val="21"/>
              </w:rPr>
            </w:pPr>
            <w:r>
              <w:rPr>
                <w:rFonts w:eastAsia="楷体_GB2312"/>
                <w:color w:val="000000"/>
                <w:kern w:val="0"/>
                <w:szCs w:val="21"/>
              </w:rPr>
              <w:t>190</w:t>
            </w:r>
          </w:p>
        </w:tc>
      </w:tr>
      <w:tr w14:paraId="58C48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ign w:val="center"/>
          </w:tcPr>
          <w:p w14:paraId="21840BB3">
            <w:pPr>
              <w:jc w:val="center"/>
              <w:rPr>
                <w:rFonts w:eastAsia="楷体_GB2312"/>
                <w:color w:val="000000"/>
                <w:kern w:val="0"/>
                <w:szCs w:val="21"/>
              </w:rPr>
            </w:pPr>
            <w:r>
              <w:rPr>
                <w:rFonts w:eastAsia="楷体_GB2312"/>
                <w:color w:val="000000"/>
                <w:kern w:val="0"/>
                <w:szCs w:val="21"/>
              </w:rPr>
              <w:t>3</w:t>
            </w:r>
          </w:p>
        </w:tc>
        <w:tc>
          <w:tcPr>
            <w:tcW w:w="0" w:type="auto"/>
            <w:vMerge w:val="restart"/>
            <w:noWrap/>
            <w:vAlign w:val="center"/>
          </w:tcPr>
          <w:p w14:paraId="4FBC5E97">
            <w:pPr>
              <w:jc w:val="center"/>
              <w:rPr>
                <w:rFonts w:eastAsia="楷体_GB2312"/>
                <w:color w:val="000000"/>
                <w:kern w:val="0"/>
                <w:szCs w:val="21"/>
              </w:rPr>
            </w:pPr>
            <w:r>
              <w:rPr>
                <w:rFonts w:eastAsia="楷体_GB2312"/>
                <w:color w:val="000000"/>
                <w:kern w:val="0"/>
                <w:szCs w:val="21"/>
              </w:rPr>
              <w:t>蕲县镇</w:t>
            </w:r>
          </w:p>
        </w:tc>
        <w:tc>
          <w:tcPr>
            <w:tcW w:w="0" w:type="auto"/>
            <w:noWrap w:val="0"/>
            <w:vAlign w:val="top"/>
          </w:tcPr>
          <w:p w14:paraId="59CB9DE5">
            <w:pPr>
              <w:jc w:val="center"/>
              <w:rPr>
                <w:rFonts w:eastAsia="楷体_GB2312"/>
                <w:color w:val="000000"/>
                <w:kern w:val="0"/>
                <w:szCs w:val="21"/>
              </w:rPr>
            </w:pPr>
            <w:r>
              <w:rPr>
                <w:rFonts w:hint="eastAsia" w:eastAsia="楷体_GB2312"/>
                <w:color w:val="000000"/>
                <w:kern w:val="0"/>
                <w:szCs w:val="21"/>
              </w:rPr>
              <w:t>1</w:t>
            </w:r>
          </w:p>
        </w:tc>
        <w:tc>
          <w:tcPr>
            <w:tcW w:w="0" w:type="auto"/>
            <w:noWrap/>
            <w:vAlign w:val="center"/>
          </w:tcPr>
          <w:p w14:paraId="6932F6FB">
            <w:pPr>
              <w:jc w:val="center"/>
              <w:rPr>
                <w:rFonts w:eastAsia="楷体_GB2312"/>
                <w:color w:val="000000"/>
                <w:kern w:val="0"/>
                <w:szCs w:val="21"/>
              </w:rPr>
            </w:pPr>
            <w:r>
              <w:rPr>
                <w:rFonts w:eastAsia="楷体_GB2312"/>
                <w:color w:val="000000"/>
                <w:kern w:val="0"/>
                <w:szCs w:val="21"/>
              </w:rPr>
              <w:t>580</w:t>
            </w:r>
          </w:p>
        </w:tc>
        <w:tc>
          <w:tcPr>
            <w:tcW w:w="0" w:type="auto"/>
            <w:noWrap/>
            <w:vAlign w:val="center"/>
          </w:tcPr>
          <w:p w14:paraId="400204B6">
            <w:pPr>
              <w:jc w:val="center"/>
              <w:rPr>
                <w:rFonts w:eastAsia="楷体_GB2312"/>
                <w:color w:val="000000"/>
                <w:kern w:val="0"/>
                <w:szCs w:val="21"/>
              </w:rPr>
            </w:pPr>
            <w:r>
              <w:rPr>
                <w:rFonts w:eastAsia="楷体_GB2312"/>
                <w:color w:val="000000"/>
                <w:kern w:val="0"/>
                <w:szCs w:val="21"/>
              </w:rPr>
              <w:t>430</w:t>
            </w:r>
          </w:p>
        </w:tc>
        <w:tc>
          <w:tcPr>
            <w:tcW w:w="0" w:type="auto"/>
            <w:noWrap/>
            <w:vAlign w:val="center"/>
          </w:tcPr>
          <w:p w14:paraId="6D832095">
            <w:pPr>
              <w:jc w:val="center"/>
              <w:rPr>
                <w:rFonts w:eastAsia="楷体_GB2312"/>
                <w:color w:val="000000"/>
                <w:kern w:val="0"/>
                <w:szCs w:val="21"/>
              </w:rPr>
            </w:pPr>
            <w:r>
              <w:rPr>
                <w:rFonts w:eastAsia="楷体_GB2312"/>
                <w:color w:val="000000"/>
                <w:kern w:val="0"/>
                <w:szCs w:val="21"/>
              </w:rPr>
              <w:t>200</w:t>
            </w:r>
          </w:p>
        </w:tc>
        <w:tc>
          <w:tcPr>
            <w:tcW w:w="0" w:type="auto"/>
            <w:noWrap/>
            <w:vAlign w:val="center"/>
          </w:tcPr>
          <w:p w14:paraId="5EE0E357">
            <w:pPr>
              <w:jc w:val="center"/>
              <w:rPr>
                <w:rFonts w:eastAsia="楷体_GB2312"/>
                <w:color w:val="000000"/>
                <w:kern w:val="0"/>
                <w:szCs w:val="21"/>
              </w:rPr>
            </w:pPr>
            <w:r>
              <w:rPr>
                <w:rFonts w:eastAsia="楷体_GB2312"/>
                <w:color w:val="000000"/>
                <w:kern w:val="0"/>
                <w:szCs w:val="21"/>
              </w:rPr>
              <w:t>410</w:t>
            </w:r>
          </w:p>
        </w:tc>
        <w:tc>
          <w:tcPr>
            <w:tcW w:w="0" w:type="auto"/>
            <w:noWrap/>
            <w:vAlign w:val="center"/>
          </w:tcPr>
          <w:p w14:paraId="3F4239CC">
            <w:pPr>
              <w:jc w:val="center"/>
              <w:rPr>
                <w:rFonts w:eastAsia="楷体_GB2312"/>
                <w:color w:val="000000"/>
                <w:kern w:val="0"/>
                <w:szCs w:val="21"/>
              </w:rPr>
            </w:pPr>
            <w:r>
              <w:rPr>
                <w:rFonts w:eastAsia="楷体_GB2312"/>
                <w:color w:val="000000"/>
                <w:kern w:val="0"/>
                <w:szCs w:val="21"/>
              </w:rPr>
              <w:t>390</w:t>
            </w:r>
          </w:p>
        </w:tc>
        <w:tc>
          <w:tcPr>
            <w:tcW w:w="0" w:type="auto"/>
            <w:noWrap/>
            <w:vAlign w:val="center"/>
          </w:tcPr>
          <w:p w14:paraId="0ABC7636">
            <w:pPr>
              <w:jc w:val="center"/>
              <w:rPr>
                <w:rFonts w:eastAsia="楷体_GB2312"/>
                <w:color w:val="000000"/>
                <w:kern w:val="0"/>
                <w:szCs w:val="21"/>
              </w:rPr>
            </w:pPr>
            <w:r>
              <w:rPr>
                <w:rFonts w:eastAsia="楷体_GB2312"/>
                <w:color w:val="000000"/>
                <w:kern w:val="0"/>
                <w:szCs w:val="21"/>
              </w:rPr>
              <w:t>370</w:t>
            </w:r>
          </w:p>
        </w:tc>
        <w:tc>
          <w:tcPr>
            <w:tcW w:w="0" w:type="auto"/>
            <w:noWrap/>
            <w:vAlign w:val="center"/>
          </w:tcPr>
          <w:p w14:paraId="0CD0145F">
            <w:pPr>
              <w:jc w:val="center"/>
              <w:rPr>
                <w:rFonts w:eastAsia="楷体_GB2312"/>
                <w:color w:val="000000"/>
                <w:kern w:val="0"/>
                <w:szCs w:val="21"/>
              </w:rPr>
            </w:pPr>
            <w:r>
              <w:rPr>
                <w:rFonts w:eastAsia="楷体_GB2312"/>
                <w:color w:val="000000"/>
                <w:kern w:val="0"/>
                <w:szCs w:val="21"/>
              </w:rPr>
              <w:t>360</w:t>
            </w:r>
          </w:p>
        </w:tc>
        <w:tc>
          <w:tcPr>
            <w:tcW w:w="0" w:type="auto"/>
            <w:noWrap/>
            <w:vAlign w:val="center"/>
          </w:tcPr>
          <w:p w14:paraId="584DD96D">
            <w:pPr>
              <w:jc w:val="center"/>
              <w:rPr>
                <w:rFonts w:eastAsia="楷体_GB2312"/>
                <w:color w:val="000000"/>
                <w:kern w:val="0"/>
                <w:szCs w:val="21"/>
              </w:rPr>
            </w:pPr>
            <w:r>
              <w:rPr>
                <w:rFonts w:eastAsia="楷体_GB2312"/>
                <w:color w:val="000000"/>
                <w:kern w:val="0"/>
                <w:szCs w:val="21"/>
              </w:rPr>
              <w:t>350</w:t>
            </w:r>
          </w:p>
        </w:tc>
        <w:tc>
          <w:tcPr>
            <w:tcW w:w="0" w:type="auto"/>
            <w:noWrap/>
            <w:vAlign w:val="center"/>
          </w:tcPr>
          <w:p w14:paraId="3F3E2FB0">
            <w:pPr>
              <w:jc w:val="center"/>
              <w:rPr>
                <w:rFonts w:eastAsia="楷体_GB2312"/>
                <w:color w:val="000000"/>
                <w:kern w:val="0"/>
                <w:szCs w:val="21"/>
              </w:rPr>
            </w:pPr>
            <w:r>
              <w:rPr>
                <w:rFonts w:eastAsia="楷体_GB2312"/>
                <w:color w:val="000000"/>
                <w:kern w:val="0"/>
                <w:szCs w:val="21"/>
              </w:rPr>
              <w:t>330</w:t>
            </w:r>
          </w:p>
        </w:tc>
      </w:tr>
      <w:tr w14:paraId="3CDE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38130E8D">
            <w:pPr>
              <w:jc w:val="center"/>
              <w:rPr>
                <w:rFonts w:eastAsia="楷体_GB2312"/>
                <w:color w:val="000000"/>
                <w:kern w:val="0"/>
                <w:szCs w:val="21"/>
              </w:rPr>
            </w:pPr>
          </w:p>
        </w:tc>
        <w:tc>
          <w:tcPr>
            <w:tcW w:w="0" w:type="auto"/>
            <w:vMerge w:val="continue"/>
            <w:noWrap w:val="0"/>
            <w:vAlign w:val="center"/>
          </w:tcPr>
          <w:p w14:paraId="0538FD13">
            <w:pPr>
              <w:jc w:val="center"/>
              <w:rPr>
                <w:rFonts w:eastAsia="楷体_GB2312"/>
                <w:color w:val="000000"/>
                <w:kern w:val="0"/>
                <w:szCs w:val="21"/>
              </w:rPr>
            </w:pPr>
          </w:p>
        </w:tc>
        <w:tc>
          <w:tcPr>
            <w:tcW w:w="0" w:type="auto"/>
            <w:noWrap w:val="0"/>
            <w:vAlign w:val="top"/>
          </w:tcPr>
          <w:p w14:paraId="67DDCC30">
            <w:pPr>
              <w:jc w:val="center"/>
              <w:rPr>
                <w:rFonts w:eastAsia="楷体_GB2312"/>
                <w:color w:val="000000"/>
                <w:kern w:val="0"/>
                <w:szCs w:val="21"/>
              </w:rPr>
            </w:pPr>
            <w:r>
              <w:rPr>
                <w:rFonts w:hint="eastAsia" w:eastAsia="楷体_GB2312"/>
                <w:color w:val="000000"/>
                <w:kern w:val="0"/>
                <w:szCs w:val="21"/>
              </w:rPr>
              <w:t>2</w:t>
            </w:r>
          </w:p>
        </w:tc>
        <w:tc>
          <w:tcPr>
            <w:tcW w:w="0" w:type="auto"/>
            <w:noWrap/>
            <w:vAlign w:val="center"/>
          </w:tcPr>
          <w:p w14:paraId="2E737E1F">
            <w:pPr>
              <w:jc w:val="center"/>
              <w:rPr>
                <w:rFonts w:eastAsia="楷体_GB2312"/>
                <w:color w:val="000000"/>
                <w:kern w:val="0"/>
                <w:szCs w:val="21"/>
              </w:rPr>
            </w:pPr>
            <w:r>
              <w:rPr>
                <w:rFonts w:eastAsia="楷体_GB2312"/>
                <w:color w:val="000000"/>
                <w:kern w:val="0"/>
                <w:szCs w:val="21"/>
              </w:rPr>
              <w:t>475</w:t>
            </w:r>
          </w:p>
        </w:tc>
        <w:tc>
          <w:tcPr>
            <w:tcW w:w="0" w:type="auto"/>
            <w:noWrap/>
            <w:vAlign w:val="center"/>
          </w:tcPr>
          <w:p w14:paraId="522C6C8A">
            <w:pPr>
              <w:jc w:val="center"/>
              <w:rPr>
                <w:rFonts w:eastAsia="楷体_GB2312"/>
                <w:color w:val="000000"/>
                <w:kern w:val="0"/>
                <w:szCs w:val="21"/>
              </w:rPr>
            </w:pPr>
            <w:r>
              <w:rPr>
                <w:rFonts w:eastAsia="楷体_GB2312"/>
                <w:color w:val="000000"/>
                <w:kern w:val="0"/>
                <w:szCs w:val="21"/>
              </w:rPr>
              <w:t>320</w:t>
            </w:r>
          </w:p>
        </w:tc>
        <w:tc>
          <w:tcPr>
            <w:tcW w:w="0" w:type="auto"/>
            <w:noWrap/>
            <w:vAlign w:val="center"/>
          </w:tcPr>
          <w:p w14:paraId="6058D025">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38E46E88">
            <w:pPr>
              <w:jc w:val="center"/>
              <w:rPr>
                <w:rFonts w:eastAsia="楷体_GB2312"/>
                <w:color w:val="000000"/>
                <w:kern w:val="0"/>
                <w:szCs w:val="21"/>
              </w:rPr>
            </w:pPr>
            <w:r>
              <w:rPr>
                <w:rFonts w:eastAsia="楷体_GB2312"/>
                <w:color w:val="000000"/>
                <w:kern w:val="0"/>
                <w:szCs w:val="21"/>
              </w:rPr>
              <w:t>300</w:t>
            </w:r>
          </w:p>
        </w:tc>
        <w:tc>
          <w:tcPr>
            <w:tcW w:w="0" w:type="auto"/>
            <w:noWrap/>
            <w:vAlign w:val="center"/>
          </w:tcPr>
          <w:p w14:paraId="26321D93">
            <w:pPr>
              <w:jc w:val="center"/>
              <w:rPr>
                <w:rFonts w:eastAsia="楷体_GB2312"/>
                <w:color w:val="000000"/>
                <w:kern w:val="0"/>
                <w:szCs w:val="21"/>
              </w:rPr>
            </w:pPr>
            <w:r>
              <w:rPr>
                <w:rFonts w:eastAsia="楷体_GB2312"/>
                <w:color w:val="000000"/>
                <w:kern w:val="0"/>
                <w:szCs w:val="21"/>
              </w:rPr>
              <w:t>280</w:t>
            </w:r>
          </w:p>
        </w:tc>
        <w:tc>
          <w:tcPr>
            <w:tcW w:w="0" w:type="auto"/>
            <w:noWrap/>
            <w:vAlign w:val="center"/>
          </w:tcPr>
          <w:p w14:paraId="7C4C07C1">
            <w:pPr>
              <w:jc w:val="center"/>
              <w:rPr>
                <w:rFonts w:eastAsia="楷体_GB2312"/>
                <w:color w:val="000000"/>
                <w:kern w:val="0"/>
                <w:szCs w:val="21"/>
              </w:rPr>
            </w:pPr>
            <w:r>
              <w:rPr>
                <w:rFonts w:eastAsia="楷体_GB2312"/>
                <w:color w:val="000000"/>
                <w:kern w:val="0"/>
                <w:szCs w:val="21"/>
              </w:rPr>
              <w:t>270</w:t>
            </w:r>
          </w:p>
        </w:tc>
        <w:tc>
          <w:tcPr>
            <w:tcW w:w="0" w:type="auto"/>
            <w:noWrap/>
            <w:vAlign w:val="center"/>
          </w:tcPr>
          <w:p w14:paraId="6B4A217F">
            <w:pPr>
              <w:jc w:val="center"/>
              <w:rPr>
                <w:rFonts w:eastAsia="楷体_GB2312"/>
                <w:color w:val="000000"/>
                <w:kern w:val="0"/>
                <w:szCs w:val="21"/>
              </w:rPr>
            </w:pPr>
            <w:r>
              <w:rPr>
                <w:rFonts w:eastAsia="楷体_GB2312"/>
                <w:color w:val="000000"/>
                <w:kern w:val="0"/>
                <w:szCs w:val="21"/>
              </w:rPr>
              <w:t>260</w:t>
            </w:r>
          </w:p>
        </w:tc>
        <w:tc>
          <w:tcPr>
            <w:tcW w:w="0" w:type="auto"/>
            <w:noWrap/>
            <w:vAlign w:val="center"/>
          </w:tcPr>
          <w:p w14:paraId="48D27E16">
            <w:pPr>
              <w:jc w:val="center"/>
              <w:rPr>
                <w:rFonts w:eastAsia="楷体_GB2312"/>
                <w:color w:val="000000"/>
                <w:kern w:val="0"/>
                <w:szCs w:val="21"/>
              </w:rPr>
            </w:pPr>
            <w:r>
              <w:rPr>
                <w:rFonts w:eastAsia="楷体_GB2312"/>
                <w:color w:val="000000"/>
                <w:kern w:val="0"/>
                <w:szCs w:val="21"/>
              </w:rPr>
              <w:t>250</w:t>
            </w:r>
          </w:p>
        </w:tc>
        <w:tc>
          <w:tcPr>
            <w:tcW w:w="0" w:type="auto"/>
            <w:noWrap/>
            <w:vAlign w:val="center"/>
          </w:tcPr>
          <w:p w14:paraId="36A96B70">
            <w:pPr>
              <w:jc w:val="center"/>
              <w:rPr>
                <w:rFonts w:eastAsia="楷体_GB2312"/>
                <w:color w:val="000000"/>
                <w:kern w:val="0"/>
                <w:szCs w:val="21"/>
              </w:rPr>
            </w:pPr>
            <w:r>
              <w:rPr>
                <w:rFonts w:eastAsia="楷体_GB2312"/>
                <w:color w:val="000000"/>
                <w:kern w:val="0"/>
                <w:szCs w:val="21"/>
              </w:rPr>
              <w:t>230</w:t>
            </w:r>
          </w:p>
        </w:tc>
      </w:tr>
      <w:tr w14:paraId="4002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58A54F9F">
            <w:pPr>
              <w:jc w:val="center"/>
              <w:rPr>
                <w:rFonts w:eastAsia="楷体_GB2312"/>
                <w:color w:val="000000"/>
                <w:kern w:val="0"/>
                <w:szCs w:val="21"/>
              </w:rPr>
            </w:pPr>
          </w:p>
        </w:tc>
        <w:tc>
          <w:tcPr>
            <w:tcW w:w="0" w:type="auto"/>
            <w:vMerge w:val="continue"/>
            <w:noWrap w:val="0"/>
            <w:vAlign w:val="center"/>
          </w:tcPr>
          <w:p w14:paraId="12F225F0">
            <w:pPr>
              <w:jc w:val="center"/>
              <w:rPr>
                <w:rFonts w:eastAsia="楷体_GB2312"/>
                <w:color w:val="000000"/>
                <w:kern w:val="0"/>
                <w:szCs w:val="21"/>
              </w:rPr>
            </w:pPr>
          </w:p>
        </w:tc>
        <w:tc>
          <w:tcPr>
            <w:tcW w:w="0" w:type="auto"/>
            <w:noWrap w:val="0"/>
            <w:vAlign w:val="top"/>
          </w:tcPr>
          <w:p w14:paraId="2F606496">
            <w:pPr>
              <w:jc w:val="center"/>
              <w:rPr>
                <w:rFonts w:eastAsia="楷体_GB2312"/>
                <w:color w:val="000000"/>
                <w:kern w:val="0"/>
                <w:szCs w:val="21"/>
              </w:rPr>
            </w:pPr>
            <w:r>
              <w:rPr>
                <w:rFonts w:hint="eastAsia" w:eastAsia="楷体_GB2312"/>
                <w:color w:val="000000"/>
                <w:kern w:val="0"/>
                <w:szCs w:val="21"/>
              </w:rPr>
              <w:t>3</w:t>
            </w:r>
          </w:p>
        </w:tc>
        <w:tc>
          <w:tcPr>
            <w:tcW w:w="0" w:type="auto"/>
            <w:noWrap/>
            <w:vAlign w:val="center"/>
          </w:tcPr>
          <w:p w14:paraId="4C51B730">
            <w:pPr>
              <w:jc w:val="center"/>
              <w:rPr>
                <w:rFonts w:eastAsia="楷体_GB2312"/>
                <w:color w:val="000000"/>
                <w:kern w:val="0"/>
                <w:szCs w:val="21"/>
              </w:rPr>
            </w:pPr>
            <w:r>
              <w:rPr>
                <w:rFonts w:eastAsia="楷体_GB2312"/>
                <w:color w:val="000000"/>
                <w:kern w:val="0"/>
                <w:szCs w:val="21"/>
              </w:rPr>
              <w:t>390</w:t>
            </w:r>
          </w:p>
        </w:tc>
        <w:tc>
          <w:tcPr>
            <w:tcW w:w="0" w:type="auto"/>
            <w:noWrap/>
            <w:vAlign w:val="center"/>
          </w:tcPr>
          <w:p w14:paraId="6B413237">
            <w:pPr>
              <w:jc w:val="center"/>
              <w:rPr>
                <w:rFonts w:eastAsia="楷体_GB2312"/>
                <w:color w:val="000000"/>
                <w:kern w:val="0"/>
                <w:szCs w:val="21"/>
              </w:rPr>
            </w:pPr>
            <w:r>
              <w:rPr>
                <w:rFonts w:eastAsia="楷体_GB2312"/>
                <w:color w:val="000000"/>
                <w:kern w:val="0"/>
                <w:szCs w:val="21"/>
              </w:rPr>
              <w:t>235</w:t>
            </w:r>
          </w:p>
        </w:tc>
        <w:tc>
          <w:tcPr>
            <w:tcW w:w="0" w:type="auto"/>
            <w:noWrap/>
            <w:vAlign w:val="center"/>
          </w:tcPr>
          <w:p w14:paraId="55F30C3B">
            <w:pPr>
              <w:jc w:val="center"/>
              <w:rPr>
                <w:rFonts w:eastAsia="楷体_GB2312"/>
                <w:color w:val="000000"/>
                <w:kern w:val="0"/>
                <w:szCs w:val="21"/>
              </w:rPr>
            </w:pPr>
            <w:r>
              <w:rPr>
                <w:rFonts w:eastAsia="楷体_GB2312"/>
                <w:color w:val="000000"/>
                <w:kern w:val="0"/>
                <w:szCs w:val="21"/>
              </w:rPr>
              <w:t>144</w:t>
            </w:r>
          </w:p>
        </w:tc>
        <w:tc>
          <w:tcPr>
            <w:tcW w:w="0" w:type="auto"/>
            <w:noWrap/>
            <w:vAlign w:val="center"/>
          </w:tcPr>
          <w:p w14:paraId="0D5D53F2">
            <w:pPr>
              <w:jc w:val="center"/>
              <w:rPr>
                <w:rFonts w:eastAsia="楷体_GB2312"/>
                <w:color w:val="000000"/>
                <w:kern w:val="0"/>
                <w:szCs w:val="21"/>
              </w:rPr>
            </w:pPr>
            <w:r>
              <w:rPr>
                <w:rFonts w:eastAsia="楷体_GB2312"/>
                <w:color w:val="000000"/>
                <w:kern w:val="0"/>
                <w:szCs w:val="21"/>
              </w:rPr>
              <w:t>225</w:t>
            </w:r>
          </w:p>
        </w:tc>
        <w:tc>
          <w:tcPr>
            <w:tcW w:w="0" w:type="auto"/>
            <w:noWrap/>
            <w:vAlign w:val="center"/>
          </w:tcPr>
          <w:p w14:paraId="7D9B4A44">
            <w:pPr>
              <w:jc w:val="center"/>
              <w:rPr>
                <w:rFonts w:eastAsia="楷体_GB2312"/>
                <w:color w:val="000000"/>
                <w:kern w:val="0"/>
                <w:szCs w:val="21"/>
              </w:rPr>
            </w:pPr>
            <w:r>
              <w:rPr>
                <w:rFonts w:eastAsia="楷体_GB2312"/>
                <w:color w:val="000000"/>
                <w:kern w:val="0"/>
                <w:szCs w:val="21"/>
              </w:rPr>
              <w:t>215</w:t>
            </w:r>
          </w:p>
        </w:tc>
        <w:tc>
          <w:tcPr>
            <w:tcW w:w="0" w:type="auto"/>
            <w:noWrap/>
            <w:vAlign w:val="center"/>
          </w:tcPr>
          <w:p w14:paraId="24E1905E">
            <w:pPr>
              <w:jc w:val="center"/>
              <w:rPr>
                <w:rFonts w:eastAsia="楷体_GB2312"/>
                <w:color w:val="000000"/>
                <w:kern w:val="0"/>
                <w:szCs w:val="21"/>
              </w:rPr>
            </w:pPr>
            <w:r>
              <w:rPr>
                <w:rFonts w:eastAsia="楷体_GB2312"/>
                <w:color w:val="000000"/>
                <w:kern w:val="0"/>
                <w:szCs w:val="21"/>
              </w:rPr>
              <w:t>205</w:t>
            </w:r>
          </w:p>
        </w:tc>
        <w:tc>
          <w:tcPr>
            <w:tcW w:w="0" w:type="auto"/>
            <w:noWrap/>
            <w:vAlign w:val="center"/>
          </w:tcPr>
          <w:p w14:paraId="25A57DA8">
            <w:pPr>
              <w:jc w:val="center"/>
              <w:rPr>
                <w:rFonts w:eastAsia="楷体_GB2312"/>
                <w:color w:val="000000"/>
                <w:kern w:val="0"/>
                <w:szCs w:val="21"/>
              </w:rPr>
            </w:pPr>
            <w:r>
              <w:rPr>
                <w:rFonts w:eastAsia="楷体_GB2312"/>
                <w:color w:val="000000"/>
                <w:kern w:val="0"/>
                <w:szCs w:val="21"/>
              </w:rPr>
              <w:t>200</w:t>
            </w:r>
          </w:p>
        </w:tc>
        <w:tc>
          <w:tcPr>
            <w:tcW w:w="0" w:type="auto"/>
            <w:noWrap/>
            <w:vAlign w:val="center"/>
          </w:tcPr>
          <w:p w14:paraId="73880C6C">
            <w:pPr>
              <w:jc w:val="center"/>
              <w:rPr>
                <w:rFonts w:eastAsia="楷体_GB2312"/>
                <w:color w:val="000000"/>
                <w:kern w:val="0"/>
                <w:szCs w:val="21"/>
              </w:rPr>
            </w:pPr>
            <w:r>
              <w:rPr>
                <w:rFonts w:eastAsia="楷体_GB2312"/>
                <w:color w:val="000000"/>
                <w:kern w:val="0"/>
                <w:szCs w:val="21"/>
              </w:rPr>
              <w:t>195</w:t>
            </w:r>
          </w:p>
        </w:tc>
        <w:tc>
          <w:tcPr>
            <w:tcW w:w="0" w:type="auto"/>
            <w:noWrap/>
            <w:vAlign w:val="center"/>
          </w:tcPr>
          <w:p w14:paraId="45B3AA4A">
            <w:pPr>
              <w:jc w:val="center"/>
              <w:rPr>
                <w:rFonts w:eastAsia="楷体_GB2312"/>
                <w:color w:val="000000"/>
                <w:kern w:val="0"/>
                <w:szCs w:val="21"/>
              </w:rPr>
            </w:pPr>
            <w:r>
              <w:rPr>
                <w:rFonts w:eastAsia="楷体_GB2312"/>
                <w:color w:val="000000"/>
                <w:kern w:val="0"/>
                <w:szCs w:val="21"/>
              </w:rPr>
              <w:t>190</w:t>
            </w:r>
          </w:p>
        </w:tc>
      </w:tr>
      <w:tr w14:paraId="6C34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ign w:val="center"/>
          </w:tcPr>
          <w:p w14:paraId="5588D683">
            <w:pPr>
              <w:jc w:val="center"/>
              <w:rPr>
                <w:rFonts w:eastAsia="楷体_GB2312"/>
                <w:color w:val="000000"/>
                <w:kern w:val="0"/>
                <w:szCs w:val="21"/>
              </w:rPr>
            </w:pPr>
            <w:r>
              <w:rPr>
                <w:rFonts w:eastAsia="楷体_GB2312"/>
                <w:color w:val="000000"/>
                <w:kern w:val="0"/>
                <w:szCs w:val="21"/>
              </w:rPr>
              <w:t>4</w:t>
            </w:r>
          </w:p>
        </w:tc>
        <w:tc>
          <w:tcPr>
            <w:tcW w:w="0" w:type="auto"/>
            <w:vMerge w:val="restart"/>
            <w:noWrap/>
            <w:vAlign w:val="center"/>
          </w:tcPr>
          <w:p w14:paraId="49437FF0">
            <w:pPr>
              <w:jc w:val="center"/>
              <w:rPr>
                <w:rFonts w:eastAsia="楷体_GB2312"/>
                <w:color w:val="000000"/>
                <w:kern w:val="0"/>
                <w:szCs w:val="21"/>
              </w:rPr>
            </w:pPr>
            <w:r>
              <w:rPr>
                <w:rFonts w:eastAsia="楷体_GB2312"/>
                <w:color w:val="000000"/>
                <w:kern w:val="0"/>
                <w:szCs w:val="21"/>
              </w:rPr>
              <w:t>芦岭镇</w:t>
            </w:r>
          </w:p>
        </w:tc>
        <w:tc>
          <w:tcPr>
            <w:tcW w:w="0" w:type="auto"/>
            <w:noWrap w:val="0"/>
            <w:vAlign w:val="top"/>
          </w:tcPr>
          <w:p w14:paraId="1D8A6478">
            <w:pPr>
              <w:jc w:val="center"/>
              <w:rPr>
                <w:rFonts w:eastAsia="楷体_GB2312"/>
                <w:color w:val="000000"/>
                <w:kern w:val="0"/>
                <w:szCs w:val="21"/>
              </w:rPr>
            </w:pPr>
            <w:r>
              <w:rPr>
                <w:rFonts w:hint="eastAsia" w:eastAsia="楷体_GB2312"/>
                <w:color w:val="000000"/>
                <w:kern w:val="0"/>
                <w:szCs w:val="21"/>
              </w:rPr>
              <w:t>1</w:t>
            </w:r>
          </w:p>
        </w:tc>
        <w:tc>
          <w:tcPr>
            <w:tcW w:w="0" w:type="auto"/>
            <w:noWrap/>
            <w:vAlign w:val="center"/>
          </w:tcPr>
          <w:p w14:paraId="028CB696">
            <w:pPr>
              <w:jc w:val="center"/>
              <w:rPr>
                <w:rFonts w:eastAsia="楷体_GB2312"/>
                <w:color w:val="000000"/>
                <w:kern w:val="0"/>
                <w:szCs w:val="21"/>
              </w:rPr>
            </w:pPr>
            <w:r>
              <w:rPr>
                <w:rFonts w:eastAsia="楷体_GB2312"/>
                <w:color w:val="000000"/>
                <w:kern w:val="0"/>
                <w:szCs w:val="21"/>
              </w:rPr>
              <w:t>555</w:t>
            </w:r>
          </w:p>
        </w:tc>
        <w:tc>
          <w:tcPr>
            <w:tcW w:w="0" w:type="auto"/>
            <w:noWrap/>
            <w:vAlign w:val="center"/>
          </w:tcPr>
          <w:p w14:paraId="4AB21B82">
            <w:pPr>
              <w:jc w:val="center"/>
              <w:rPr>
                <w:rFonts w:eastAsia="楷体_GB2312"/>
                <w:color w:val="000000"/>
                <w:kern w:val="0"/>
                <w:szCs w:val="21"/>
              </w:rPr>
            </w:pPr>
            <w:r>
              <w:rPr>
                <w:rFonts w:eastAsia="楷体_GB2312"/>
                <w:color w:val="000000"/>
                <w:kern w:val="0"/>
                <w:szCs w:val="21"/>
              </w:rPr>
              <w:t>410</w:t>
            </w:r>
          </w:p>
        </w:tc>
        <w:tc>
          <w:tcPr>
            <w:tcW w:w="0" w:type="auto"/>
            <w:noWrap/>
            <w:vAlign w:val="center"/>
          </w:tcPr>
          <w:p w14:paraId="480DB8CA">
            <w:pPr>
              <w:jc w:val="center"/>
              <w:rPr>
                <w:rFonts w:eastAsia="楷体_GB2312"/>
                <w:color w:val="000000"/>
                <w:kern w:val="0"/>
                <w:szCs w:val="21"/>
              </w:rPr>
            </w:pPr>
            <w:r>
              <w:rPr>
                <w:rFonts w:eastAsia="楷体_GB2312"/>
                <w:color w:val="000000"/>
                <w:kern w:val="0"/>
                <w:szCs w:val="21"/>
              </w:rPr>
              <w:t>200</w:t>
            </w:r>
          </w:p>
        </w:tc>
        <w:tc>
          <w:tcPr>
            <w:tcW w:w="0" w:type="auto"/>
            <w:noWrap/>
            <w:vAlign w:val="center"/>
          </w:tcPr>
          <w:p w14:paraId="1575538D">
            <w:pPr>
              <w:jc w:val="center"/>
              <w:rPr>
                <w:rFonts w:eastAsia="楷体_GB2312"/>
                <w:color w:val="000000"/>
                <w:kern w:val="0"/>
                <w:szCs w:val="21"/>
              </w:rPr>
            </w:pPr>
            <w:r>
              <w:rPr>
                <w:rFonts w:eastAsia="楷体_GB2312"/>
                <w:color w:val="000000"/>
                <w:kern w:val="0"/>
                <w:szCs w:val="21"/>
              </w:rPr>
              <w:t>390</w:t>
            </w:r>
          </w:p>
        </w:tc>
        <w:tc>
          <w:tcPr>
            <w:tcW w:w="0" w:type="auto"/>
            <w:noWrap/>
            <w:vAlign w:val="center"/>
          </w:tcPr>
          <w:p w14:paraId="2E659FDB">
            <w:pPr>
              <w:jc w:val="center"/>
              <w:rPr>
                <w:rFonts w:eastAsia="楷体_GB2312"/>
                <w:color w:val="000000"/>
                <w:kern w:val="0"/>
                <w:szCs w:val="21"/>
              </w:rPr>
            </w:pPr>
            <w:r>
              <w:rPr>
                <w:rFonts w:eastAsia="楷体_GB2312"/>
                <w:color w:val="000000"/>
                <w:kern w:val="0"/>
                <w:szCs w:val="21"/>
              </w:rPr>
              <w:t>370</w:t>
            </w:r>
          </w:p>
        </w:tc>
        <w:tc>
          <w:tcPr>
            <w:tcW w:w="0" w:type="auto"/>
            <w:noWrap/>
            <w:vAlign w:val="center"/>
          </w:tcPr>
          <w:p w14:paraId="4971AFE2">
            <w:pPr>
              <w:jc w:val="center"/>
              <w:rPr>
                <w:rFonts w:eastAsia="楷体_GB2312"/>
                <w:color w:val="000000"/>
                <w:kern w:val="0"/>
                <w:szCs w:val="21"/>
              </w:rPr>
            </w:pPr>
            <w:r>
              <w:rPr>
                <w:rFonts w:eastAsia="楷体_GB2312"/>
                <w:color w:val="000000"/>
                <w:kern w:val="0"/>
                <w:szCs w:val="21"/>
              </w:rPr>
              <w:t>350</w:t>
            </w:r>
          </w:p>
        </w:tc>
        <w:tc>
          <w:tcPr>
            <w:tcW w:w="0" w:type="auto"/>
            <w:noWrap/>
            <w:vAlign w:val="center"/>
          </w:tcPr>
          <w:p w14:paraId="58EE480F">
            <w:pPr>
              <w:jc w:val="center"/>
              <w:rPr>
                <w:rFonts w:eastAsia="楷体_GB2312"/>
                <w:color w:val="000000"/>
                <w:kern w:val="0"/>
                <w:szCs w:val="21"/>
              </w:rPr>
            </w:pPr>
            <w:r>
              <w:rPr>
                <w:rFonts w:eastAsia="楷体_GB2312"/>
                <w:color w:val="000000"/>
                <w:kern w:val="0"/>
                <w:szCs w:val="21"/>
              </w:rPr>
              <w:t>340</w:t>
            </w:r>
          </w:p>
        </w:tc>
        <w:tc>
          <w:tcPr>
            <w:tcW w:w="0" w:type="auto"/>
            <w:noWrap/>
            <w:vAlign w:val="center"/>
          </w:tcPr>
          <w:p w14:paraId="5E166C5D">
            <w:pPr>
              <w:jc w:val="center"/>
              <w:rPr>
                <w:rFonts w:eastAsia="楷体_GB2312"/>
                <w:color w:val="000000"/>
                <w:kern w:val="0"/>
                <w:szCs w:val="21"/>
              </w:rPr>
            </w:pPr>
            <w:r>
              <w:rPr>
                <w:rFonts w:eastAsia="楷体_GB2312"/>
                <w:color w:val="000000"/>
                <w:kern w:val="0"/>
                <w:szCs w:val="21"/>
              </w:rPr>
              <w:t>330</w:t>
            </w:r>
          </w:p>
        </w:tc>
        <w:tc>
          <w:tcPr>
            <w:tcW w:w="0" w:type="auto"/>
            <w:noWrap/>
            <w:vAlign w:val="center"/>
          </w:tcPr>
          <w:p w14:paraId="23D0B2A2">
            <w:pPr>
              <w:jc w:val="center"/>
              <w:rPr>
                <w:rFonts w:eastAsia="楷体_GB2312"/>
                <w:color w:val="000000"/>
                <w:kern w:val="0"/>
                <w:szCs w:val="21"/>
              </w:rPr>
            </w:pPr>
            <w:r>
              <w:rPr>
                <w:rFonts w:eastAsia="楷体_GB2312"/>
                <w:color w:val="000000"/>
                <w:kern w:val="0"/>
                <w:szCs w:val="21"/>
              </w:rPr>
              <w:t>310</w:t>
            </w:r>
          </w:p>
        </w:tc>
      </w:tr>
      <w:tr w14:paraId="0C0D2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14593A8F">
            <w:pPr>
              <w:jc w:val="center"/>
              <w:rPr>
                <w:rFonts w:eastAsia="楷体_GB2312"/>
                <w:color w:val="000000"/>
                <w:kern w:val="0"/>
                <w:szCs w:val="21"/>
              </w:rPr>
            </w:pPr>
          </w:p>
        </w:tc>
        <w:tc>
          <w:tcPr>
            <w:tcW w:w="0" w:type="auto"/>
            <w:vMerge w:val="continue"/>
            <w:noWrap w:val="0"/>
            <w:vAlign w:val="center"/>
          </w:tcPr>
          <w:p w14:paraId="1DB1CC74">
            <w:pPr>
              <w:jc w:val="center"/>
              <w:rPr>
                <w:rFonts w:eastAsia="楷体_GB2312"/>
                <w:color w:val="000000"/>
                <w:kern w:val="0"/>
                <w:szCs w:val="21"/>
              </w:rPr>
            </w:pPr>
          </w:p>
        </w:tc>
        <w:tc>
          <w:tcPr>
            <w:tcW w:w="0" w:type="auto"/>
            <w:noWrap w:val="0"/>
            <w:vAlign w:val="top"/>
          </w:tcPr>
          <w:p w14:paraId="205B1099">
            <w:pPr>
              <w:jc w:val="center"/>
              <w:rPr>
                <w:rFonts w:eastAsia="楷体_GB2312"/>
                <w:color w:val="000000"/>
                <w:kern w:val="0"/>
                <w:szCs w:val="21"/>
              </w:rPr>
            </w:pPr>
            <w:r>
              <w:rPr>
                <w:rFonts w:hint="eastAsia" w:eastAsia="楷体_GB2312"/>
                <w:color w:val="000000"/>
                <w:kern w:val="0"/>
                <w:szCs w:val="21"/>
              </w:rPr>
              <w:t>2</w:t>
            </w:r>
          </w:p>
        </w:tc>
        <w:tc>
          <w:tcPr>
            <w:tcW w:w="0" w:type="auto"/>
            <w:noWrap/>
            <w:vAlign w:val="center"/>
          </w:tcPr>
          <w:p w14:paraId="3A784419">
            <w:pPr>
              <w:jc w:val="center"/>
              <w:rPr>
                <w:rFonts w:eastAsia="楷体_GB2312"/>
                <w:color w:val="000000"/>
                <w:kern w:val="0"/>
                <w:szCs w:val="21"/>
              </w:rPr>
            </w:pPr>
            <w:r>
              <w:rPr>
                <w:rFonts w:eastAsia="楷体_GB2312"/>
                <w:color w:val="000000"/>
                <w:kern w:val="0"/>
                <w:szCs w:val="21"/>
              </w:rPr>
              <w:t>450</w:t>
            </w:r>
          </w:p>
        </w:tc>
        <w:tc>
          <w:tcPr>
            <w:tcW w:w="0" w:type="auto"/>
            <w:noWrap/>
            <w:vAlign w:val="center"/>
          </w:tcPr>
          <w:p w14:paraId="773FF8E9">
            <w:pPr>
              <w:jc w:val="center"/>
              <w:rPr>
                <w:rFonts w:eastAsia="楷体_GB2312"/>
                <w:color w:val="000000"/>
                <w:kern w:val="0"/>
                <w:szCs w:val="21"/>
              </w:rPr>
            </w:pPr>
            <w:r>
              <w:rPr>
                <w:rFonts w:eastAsia="楷体_GB2312"/>
                <w:color w:val="000000"/>
                <w:kern w:val="0"/>
                <w:szCs w:val="21"/>
              </w:rPr>
              <w:t>305</w:t>
            </w:r>
          </w:p>
        </w:tc>
        <w:tc>
          <w:tcPr>
            <w:tcW w:w="0" w:type="auto"/>
            <w:noWrap/>
            <w:vAlign w:val="center"/>
          </w:tcPr>
          <w:p w14:paraId="1F7670A6">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581F2DB9">
            <w:pPr>
              <w:jc w:val="center"/>
              <w:rPr>
                <w:rFonts w:eastAsia="楷体_GB2312"/>
                <w:color w:val="000000"/>
                <w:kern w:val="0"/>
                <w:szCs w:val="21"/>
              </w:rPr>
            </w:pPr>
            <w:r>
              <w:rPr>
                <w:rFonts w:eastAsia="楷体_GB2312"/>
                <w:color w:val="000000"/>
                <w:kern w:val="0"/>
                <w:szCs w:val="21"/>
              </w:rPr>
              <w:t>295</w:t>
            </w:r>
          </w:p>
        </w:tc>
        <w:tc>
          <w:tcPr>
            <w:tcW w:w="0" w:type="auto"/>
            <w:noWrap/>
            <w:vAlign w:val="center"/>
          </w:tcPr>
          <w:p w14:paraId="69FC915D">
            <w:pPr>
              <w:jc w:val="center"/>
              <w:rPr>
                <w:rFonts w:eastAsia="楷体_GB2312"/>
                <w:color w:val="000000"/>
                <w:kern w:val="0"/>
                <w:szCs w:val="21"/>
              </w:rPr>
            </w:pPr>
            <w:r>
              <w:rPr>
                <w:rFonts w:eastAsia="楷体_GB2312"/>
                <w:color w:val="000000"/>
                <w:kern w:val="0"/>
                <w:szCs w:val="21"/>
              </w:rPr>
              <w:t>285</w:t>
            </w:r>
          </w:p>
        </w:tc>
        <w:tc>
          <w:tcPr>
            <w:tcW w:w="0" w:type="auto"/>
            <w:noWrap/>
            <w:vAlign w:val="center"/>
          </w:tcPr>
          <w:p w14:paraId="37E0E16B">
            <w:pPr>
              <w:jc w:val="center"/>
              <w:rPr>
                <w:rFonts w:eastAsia="楷体_GB2312"/>
                <w:color w:val="000000"/>
                <w:kern w:val="0"/>
                <w:szCs w:val="21"/>
              </w:rPr>
            </w:pPr>
            <w:r>
              <w:rPr>
                <w:rFonts w:eastAsia="楷体_GB2312"/>
                <w:color w:val="000000"/>
                <w:kern w:val="0"/>
                <w:szCs w:val="21"/>
              </w:rPr>
              <w:t>275</w:t>
            </w:r>
          </w:p>
        </w:tc>
        <w:tc>
          <w:tcPr>
            <w:tcW w:w="0" w:type="auto"/>
            <w:noWrap/>
            <w:vAlign w:val="center"/>
          </w:tcPr>
          <w:p w14:paraId="6F669602">
            <w:pPr>
              <w:jc w:val="center"/>
              <w:rPr>
                <w:rFonts w:eastAsia="楷体_GB2312"/>
                <w:color w:val="000000"/>
                <w:kern w:val="0"/>
                <w:szCs w:val="21"/>
              </w:rPr>
            </w:pPr>
            <w:r>
              <w:rPr>
                <w:rFonts w:eastAsia="楷体_GB2312"/>
                <w:color w:val="000000"/>
                <w:kern w:val="0"/>
                <w:szCs w:val="21"/>
              </w:rPr>
              <w:t>265</w:t>
            </w:r>
          </w:p>
        </w:tc>
        <w:tc>
          <w:tcPr>
            <w:tcW w:w="0" w:type="auto"/>
            <w:noWrap/>
            <w:vAlign w:val="center"/>
          </w:tcPr>
          <w:p w14:paraId="6319C11A">
            <w:pPr>
              <w:jc w:val="center"/>
              <w:rPr>
                <w:rFonts w:eastAsia="楷体_GB2312"/>
                <w:color w:val="000000"/>
                <w:kern w:val="0"/>
                <w:szCs w:val="21"/>
              </w:rPr>
            </w:pPr>
            <w:r>
              <w:rPr>
                <w:rFonts w:eastAsia="楷体_GB2312"/>
                <w:color w:val="000000"/>
                <w:kern w:val="0"/>
                <w:szCs w:val="21"/>
              </w:rPr>
              <w:t>255</w:t>
            </w:r>
          </w:p>
        </w:tc>
        <w:tc>
          <w:tcPr>
            <w:tcW w:w="0" w:type="auto"/>
            <w:noWrap/>
            <w:vAlign w:val="center"/>
          </w:tcPr>
          <w:p w14:paraId="6E17FEF8">
            <w:pPr>
              <w:jc w:val="center"/>
              <w:rPr>
                <w:rFonts w:eastAsia="楷体_GB2312"/>
                <w:color w:val="000000"/>
                <w:kern w:val="0"/>
                <w:szCs w:val="21"/>
              </w:rPr>
            </w:pPr>
            <w:r>
              <w:rPr>
                <w:rFonts w:eastAsia="楷体_GB2312"/>
                <w:color w:val="000000"/>
                <w:kern w:val="0"/>
                <w:szCs w:val="21"/>
              </w:rPr>
              <w:t>245</w:t>
            </w:r>
          </w:p>
        </w:tc>
      </w:tr>
      <w:tr w14:paraId="73A7E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77691DB8">
            <w:pPr>
              <w:jc w:val="center"/>
              <w:rPr>
                <w:rFonts w:eastAsia="楷体_GB2312"/>
                <w:color w:val="000000"/>
                <w:kern w:val="0"/>
                <w:szCs w:val="21"/>
              </w:rPr>
            </w:pPr>
          </w:p>
        </w:tc>
        <w:tc>
          <w:tcPr>
            <w:tcW w:w="0" w:type="auto"/>
            <w:vMerge w:val="continue"/>
            <w:noWrap w:val="0"/>
            <w:vAlign w:val="center"/>
          </w:tcPr>
          <w:p w14:paraId="77020561">
            <w:pPr>
              <w:jc w:val="center"/>
              <w:rPr>
                <w:rFonts w:eastAsia="楷体_GB2312"/>
                <w:color w:val="000000"/>
                <w:kern w:val="0"/>
                <w:szCs w:val="21"/>
              </w:rPr>
            </w:pPr>
          </w:p>
        </w:tc>
        <w:tc>
          <w:tcPr>
            <w:tcW w:w="0" w:type="auto"/>
            <w:noWrap w:val="0"/>
            <w:vAlign w:val="top"/>
          </w:tcPr>
          <w:p w14:paraId="53635342">
            <w:pPr>
              <w:jc w:val="center"/>
              <w:rPr>
                <w:rFonts w:eastAsia="楷体_GB2312"/>
                <w:color w:val="000000"/>
                <w:kern w:val="0"/>
                <w:szCs w:val="21"/>
              </w:rPr>
            </w:pPr>
            <w:r>
              <w:rPr>
                <w:rFonts w:hint="eastAsia" w:eastAsia="楷体_GB2312"/>
                <w:color w:val="000000"/>
                <w:kern w:val="0"/>
                <w:szCs w:val="21"/>
              </w:rPr>
              <w:t>3</w:t>
            </w:r>
          </w:p>
        </w:tc>
        <w:tc>
          <w:tcPr>
            <w:tcW w:w="0" w:type="auto"/>
            <w:noWrap/>
            <w:vAlign w:val="center"/>
          </w:tcPr>
          <w:p w14:paraId="3351634B">
            <w:pPr>
              <w:jc w:val="center"/>
              <w:rPr>
                <w:rFonts w:eastAsia="楷体_GB2312"/>
                <w:color w:val="000000"/>
                <w:kern w:val="0"/>
                <w:szCs w:val="21"/>
              </w:rPr>
            </w:pPr>
            <w:r>
              <w:rPr>
                <w:rFonts w:eastAsia="楷体_GB2312"/>
                <w:color w:val="000000"/>
                <w:kern w:val="0"/>
                <w:szCs w:val="21"/>
              </w:rPr>
              <w:t>370</w:t>
            </w:r>
          </w:p>
        </w:tc>
        <w:tc>
          <w:tcPr>
            <w:tcW w:w="0" w:type="auto"/>
            <w:noWrap/>
            <w:vAlign w:val="center"/>
          </w:tcPr>
          <w:p w14:paraId="04F59E52">
            <w:pPr>
              <w:jc w:val="center"/>
              <w:rPr>
                <w:rFonts w:eastAsia="楷体_GB2312"/>
                <w:color w:val="000000"/>
                <w:kern w:val="0"/>
                <w:szCs w:val="21"/>
              </w:rPr>
            </w:pPr>
            <w:r>
              <w:rPr>
                <w:rFonts w:eastAsia="楷体_GB2312"/>
                <w:color w:val="000000"/>
                <w:kern w:val="0"/>
                <w:szCs w:val="21"/>
              </w:rPr>
              <w:t>225</w:t>
            </w:r>
          </w:p>
        </w:tc>
        <w:tc>
          <w:tcPr>
            <w:tcW w:w="0" w:type="auto"/>
            <w:noWrap/>
            <w:vAlign w:val="center"/>
          </w:tcPr>
          <w:p w14:paraId="0EFC3C1E">
            <w:pPr>
              <w:jc w:val="center"/>
              <w:rPr>
                <w:rFonts w:eastAsia="楷体_GB2312"/>
                <w:color w:val="000000"/>
                <w:kern w:val="0"/>
                <w:szCs w:val="21"/>
              </w:rPr>
            </w:pPr>
            <w:r>
              <w:rPr>
                <w:rFonts w:eastAsia="楷体_GB2312"/>
                <w:color w:val="000000"/>
                <w:kern w:val="0"/>
                <w:szCs w:val="21"/>
              </w:rPr>
              <w:t>144</w:t>
            </w:r>
          </w:p>
        </w:tc>
        <w:tc>
          <w:tcPr>
            <w:tcW w:w="0" w:type="auto"/>
            <w:noWrap/>
            <w:vAlign w:val="center"/>
          </w:tcPr>
          <w:p w14:paraId="4D4B46CB">
            <w:pPr>
              <w:jc w:val="center"/>
              <w:rPr>
                <w:rFonts w:eastAsia="楷体_GB2312"/>
                <w:color w:val="000000"/>
                <w:kern w:val="0"/>
                <w:szCs w:val="21"/>
              </w:rPr>
            </w:pPr>
            <w:r>
              <w:rPr>
                <w:rFonts w:eastAsia="楷体_GB2312"/>
                <w:color w:val="000000"/>
                <w:kern w:val="0"/>
                <w:szCs w:val="21"/>
              </w:rPr>
              <w:t>215</w:t>
            </w:r>
          </w:p>
        </w:tc>
        <w:tc>
          <w:tcPr>
            <w:tcW w:w="0" w:type="auto"/>
            <w:noWrap/>
            <w:vAlign w:val="center"/>
          </w:tcPr>
          <w:p w14:paraId="2841E0F7">
            <w:pPr>
              <w:jc w:val="center"/>
              <w:rPr>
                <w:rFonts w:eastAsia="楷体_GB2312"/>
                <w:color w:val="000000"/>
                <w:kern w:val="0"/>
                <w:szCs w:val="21"/>
              </w:rPr>
            </w:pPr>
            <w:r>
              <w:rPr>
                <w:rFonts w:eastAsia="楷体_GB2312"/>
                <w:color w:val="000000"/>
                <w:kern w:val="0"/>
                <w:szCs w:val="21"/>
              </w:rPr>
              <w:t>210</w:t>
            </w:r>
          </w:p>
        </w:tc>
        <w:tc>
          <w:tcPr>
            <w:tcW w:w="0" w:type="auto"/>
            <w:noWrap/>
            <w:vAlign w:val="center"/>
          </w:tcPr>
          <w:p w14:paraId="18AA9DF6">
            <w:pPr>
              <w:jc w:val="center"/>
              <w:rPr>
                <w:rFonts w:eastAsia="楷体_GB2312"/>
                <w:color w:val="000000"/>
                <w:kern w:val="0"/>
                <w:szCs w:val="21"/>
              </w:rPr>
            </w:pPr>
            <w:r>
              <w:rPr>
                <w:rFonts w:eastAsia="楷体_GB2312"/>
                <w:color w:val="000000"/>
                <w:kern w:val="0"/>
                <w:szCs w:val="21"/>
              </w:rPr>
              <w:t>205</w:t>
            </w:r>
          </w:p>
        </w:tc>
        <w:tc>
          <w:tcPr>
            <w:tcW w:w="0" w:type="auto"/>
            <w:noWrap/>
            <w:vAlign w:val="center"/>
          </w:tcPr>
          <w:p w14:paraId="08F9BF3A">
            <w:pPr>
              <w:jc w:val="center"/>
              <w:rPr>
                <w:rFonts w:eastAsia="楷体_GB2312"/>
                <w:color w:val="000000"/>
                <w:kern w:val="0"/>
                <w:szCs w:val="21"/>
              </w:rPr>
            </w:pPr>
            <w:r>
              <w:rPr>
                <w:rFonts w:eastAsia="楷体_GB2312"/>
                <w:color w:val="000000"/>
                <w:kern w:val="0"/>
                <w:szCs w:val="21"/>
              </w:rPr>
              <w:t>200</w:t>
            </w:r>
          </w:p>
        </w:tc>
        <w:tc>
          <w:tcPr>
            <w:tcW w:w="0" w:type="auto"/>
            <w:noWrap/>
            <w:vAlign w:val="center"/>
          </w:tcPr>
          <w:p w14:paraId="45DA67EE">
            <w:pPr>
              <w:jc w:val="center"/>
              <w:rPr>
                <w:rFonts w:eastAsia="楷体_GB2312"/>
                <w:color w:val="000000"/>
                <w:kern w:val="0"/>
                <w:szCs w:val="21"/>
              </w:rPr>
            </w:pPr>
            <w:r>
              <w:rPr>
                <w:rFonts w:eastAsia="楷体_GB2312"/>
                <w:color w:val="000000"/>
                <w:kern w:val="0"/>
                <w:szCs w:val="21"/>
              </w:rPr>
              <w:t>195</w:t>
            </w:r>
          </w:p>
        </w:tc>
        <w:tc>
          <w:tcPr>
            <w:tcW w:w="0" w:type="auto"/>
            <w:noWrap/>
            <w:vAlign w:val="center"/>
          </w:tcPr>
          <w:p w14:paraId="61B63073">
            <w:pPr>
              <w:jc w:val="center"/>
              <w:rPr>
                <w:rFonts w:eastAsia="楷体_GB2312"/>
                <w:color w:val="000000"/>
                <w:kern w:val="0"/>
                <w:szCs w:val="21"/>
              </w:rPr>
            </w:pPr>
            <w:r>
              <w:rPr>
                <w:rFonts w:eastAsia="楷体_GB2312"/>
                <w:color w:val="000000"/>
                <w:kern w:val="0"/>
                <w:szCs w:val="21"/>
              </w:rPr>
              <w:t>190</w:t>
            </w:r>
          </w:p>
        </w:tc>
      </w:tr>
      <w:tr w14:paraId="34444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ign w:val="center"/>
          </w:tcPr>
          <w:p w14:paraId="2172BA7A">
            <w:pPr>
              <w:jc w:val="center"/>
              <w:rPr>
                <w:rFonts w:eastAsia="楷体_GB2312"/>
                <w:color w:val="000000"/>
                <w:kern w:val="0"/>
                <w:szCs w:val="21"/>
              </w:rPr>
            </w:pPr>
            <w:r>
              <w:rPr>
                <w:rFonts w:eastAsia="楷体_GB2312"/>
                <w:color w:val="000000"/>
                <w:kern w:val="0"/>
                <w:szCs w:val="21"/>
              </w:rPr>
              <w:t>5</w:t>
            </w:r>
          </w:p>
        </w:tc>
        <w:tc>
          <w:tcPr>
            <w:tcW w:w="0" w:type="auto"/>
            <w:vMerge w:val="restart"/>
            <w:noWrap/>
            <w:vAlign w:val="center"/>
          </w:tcPr>
          <w:p w14:paraId="3E8AA97E">
            <w:pPr>
              <w:jc w:val="center"/>
              <w:rPr>
                <w:rFonts w:eastAsia="楷体_GB2312"/>
                <w:color w:val="000000"/>
                <w:kern w:val="0"/>
                <w:szCs w:val="21"/>
              </w:rPr>
            </w:pPr>
            <w:r>
              <w:rPr>
                <w:rFonts w:eastAsia="楷体_GB2312"/>
                <w:color w:val="000000"/>
                <w:kern w:val="0"/>
                <w:szCs w:val="21"/>
              </w:rPr>
              <w:t>大店镇</w:t>
            </w:r>
          </w:p>
        </w:tc>
        <w:tc>
          <w:tcPr>
            <w:tcW w:w="0" w:type="auto"/>
            <w:noWrap w:val="0"/>
            <w:vAlign w:val="top"/>
          </w:tcPr>
          <w:p w14:paraId="59359884">
            <w:pPr>
              <w:jc w:val="center"/>
              <w:rPr>
                <w:rFonts w:eastAsia="楷体_GB2312"/>
                <w:color w:val="000000"/>
                <w:kern w:val="0"/>
                <w:szCs w:val="21"/>
              </w:rPr>
            </w:pPr>
            <w:r>
              <w:rPr>
                <w:rFonts w:hint="eastAsia" w:eastAsia="楷体_GB2312"/>
                <w:color w:val="000000"/>
                <w:kern w:val="0"/>
                <w:szCs w:val="21"/>
              </w:rPr>
              <w:t>1</w:t>
            </w:r>
          </w:p>
        </w:tc>
        <w:tc>
          <w:tcPr>
            <w:tcW w:w="0" w:type="auto"/>
            <w:noWrap/>
            <w:vAlign w:val="center"/>
          </w:tcPr>
          <w:p w14:paraId="227DE193">
            <w:pPr>
              <w:jc w:val="center"/>
              <w:rPr>
                <w:rFonts w:eastAsia="楷体_GB2312"/>
                <w:color w:val="000000"/>
                <w:kern w:val="0"/>
                <w:szCs w:val="21"/>
              </w:rPr>
            </w:pPr>
            <w:r>
              <w:rPr>
                <w:rFonts w:eastAsia="楷体_GB2312"/>
                <w:color w:val="000000"/>
                <w:kern w:val="0"/>
                <w:szCs w:val="21"/>
              </w:rPr>
              <w:t>535</w:t>
            </w:r>
          </w:p>
        </w:tc>
        <w:tc>
          <w:tcPr>
            <w:tcW w:w="0" w:type="auto"/>
            <w:noWrap/>
            <w:vAlign w:val="center"/>
          </w:tcPr>
          <w:p w14:paraId="00D7289E">
            <w:pPr>
              <w:jc w:val="center"/>
              <w:rPr>
                <w:rFonts w:eastAsia="楷体_GB2312"/>
                <w:color w:val="000000"/>
                <w:kern w:val="0"/>
                <w:szCs w:val="21"/>
              </w:rPr>
            </w:pPr>
            <w:r>
              <w:rPr>
                <w:rFonts w:eastAsia="楷体_GB2312"/>
                <w:color w:val="000000"/>
                <w:kern w:val="0"/>
                <w:szCs w:val="21"/>
              </w:rPr>
              <w:t>400</w:t>
            </w:r>
          </w:p>
        </w:tc>
        <w:tc>
          <w:tcPr>
            <w:tcW w:w="0" w:type="auto"/>
            <w:noWrap/>
            <w:vAlign w:val="center"/>
          </w:tcPr>
          <w:p w14:paraId="683A44F5">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7E9D8503">
            <w:pPr>
              <w:jc w:val="center"/>
              <w:rPr>
                <w:rFonts w:eastAsia="楷体_GB2312"/>
                <w:color w:val="000000"/>
                <w:kern w:val="0"/>
                <w:szCs w:val="21"/>
              </w:rPr>
            </w:pPr>
            <w:r>
              <w:rPr>
                <w:rFonts w:eastAsia="楷体_GB2312"/>
                <w:color w:val="000000"/>
                <w:kern w:val="0"/>
                <w:szCs w:val="21"/>
              </w:rPr>
              <w:t>380</w:t>
            </w:r>
          </w:p>
        </w:tc>
        <w:tc>
          <w:tcPr>
            <w:tcW w:w="0" w:type="auto"/>
            <w:noWrap/>
            <w:vAlign w:val="center"/>
          </w:tcPr>
          <w:p w14:paraId="2542FFCE">
            <w:pPr>
              <w:jc w:val="center"/>
              <w:rPr>
                <w:rFonts w:eastAsia="楷体_GB2312"/>
                <w:color w:val="000000"/>
                <w:kern w:val="0"/>
                <w:szCs w:val="21"/>
              </w:rPr>
            </w:pPr>
            <w:r>
              <w:rPr>
                <w:rFonts w:eastAsia="楷体_GB2312"/>
                <w:color w:val="000000"/>
                <w:kern w:val="0"/>
                <w:szCs w:val="21"/>
              </w:rPr>
              <w:t>360</w:t>
            </w:r>
          </w:p>
        </w:tc>
        <w:tc>
          <w:tcPr>
            <w:tcW w:w="0" w:type="auto"/>
            <w:noWrap/>
            <w:vAlign w:val="center"/>
          </w:tcPr>
          <w:p w14:paraId="6B8AF6CD">
            <w:pPr>
              <w:jc w:val="center"/>
              <w:rPr>
                <w:rFonts w:eastAsia="楷体_GB2312"/>
                <w:color w:val="000000"/>
                <w:kern w:val="0"/>
                <w:szCs w:val="21"/>
              </w:rPr>
            </w:pPr>
            <w:r>
              <w:rPr>
                <w:rFonts w:eastAsia="楷体_GB2312"/>
                <w:color w:val="000000"/>
                <w:kern w:val="0"/>
                <w:szCs w:val="21"/>
              </w:rPr>
              <w:t>340</w:t>
            </w:r>
          </w:p>
        </w:tc>
        <w:tc>
          <w:tcPr>
            <w:tcW w:w="0" w:type="auto"/>
            <w:noWrap/>
            <w:vAlign w:val="center"/>
          </w:tcPr>
          <w:p w14:paraId="4B6FB373">
            <w:pPr>
              <w:jc w:val="center"/>
              <w:rPr>
                <w:rFonts w:eastAsia="楷体_GB2312"/>
                <w:color w:val="000000"/>
                <w:kern w:val="0"/>
                <w:szCs w:val="21"/>
              </w:rPr>
            </w:pPr>
            <w:r>
              <w:rPr>
                <w:rFonts w:eastAsia="楷体_GB2312"/>
                <w:color w:val="000000"/>
                <w:kern w:val="0"/>
                <w:szCs w:val="21"/>
              </w:rPr>
              <w:t>330</w:t>
            </w:r>
          </w:p>
        </w:tc>
        <w:tc>
          <w:tcPr>
            <w:tcW w:w="0" w:type="auto"/>
            <w:noWrap/>
            <w:vAlign w:val="center"/>
          </w:tcPr>
          <w:p w14:paraId="23499E85">
            <w:pPr>
              <w:jc w:val="center"/>
              <w:rPr>
                <w:rFonts w:eastAsia="楷体_GB2312"/>
                <w:color w:val="000000"/>
                <w:kern w:val="0"/>
                <w:szCs w:val="21"/>
              </w:rPr>
            </w:pPr>
            <w:r>
              <w:rPr>
                <w:rFonts w:eastAsia="楷体_GB2312"/>
                <w:color w:val="000000"/>
                <w:kern w:val="0"/>
                <w:szCs w:val="21"/>
              </w:rPr>
              <w:t>320</w:t>
            </w:r>
          </w:p>
        </w:tc>
        <w:tc>
          <w:tcPr>
            <w:tcW w:w="0" w:type="auto"/>
            <w:noWrap/>
            <w:vAlign w:val="center"/>
          </w:tcPr>
          <w:p w14:paraId="52BC51B9">
            <w:pPr>
              <w:jc w:val="center"/>
              <w:rPr>
                <w:rFonts w:eastAsia="楷体_GB2312"/>
                <w:color w:val="000000"/>
                <w:kern w:val="0"/>
                <w:szCs w:val="21"/>
              </w:rPr>
            </w:pPr>
            <w:r>
              <w:rPr>
                <w:rFonts w:eastAsia="楷体_GB2312"/>
                <w:color w:val="000000"/>
                <w:kern w:val="0"/>
                <w:szCs w:val="21"/>
              </w:rPr>
              <w:t>300</w:t>
            </w:r>
          </w:p>
        </w:tc>
      </w:tr>
      <w:tr w14:paraId="0C3C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37DBFF93">
            <w:pPr>
              <w:jc w:val="center"/>
              <w:rPr>
                <w:rFonts w:eastAsia="楷体_GB2312"/>
                <w:color w:val="000000"/>
                <w:kern w:val="0"/>
                <w:szCs w:val="21"/>
              </w:rPr>
            </w:pPr>
          </w:p>
        </w:tc>
        <w:tc>
          <w:tcPr>
            <w:tcW w:w="0" w:type="auto"/>
            <w:vMerge w:val="continue"/>
            <w:noWrap w:val="0"/>
            <w:vAlign w:val="center"/>
          </w:tcPr>
          <w:p w14:paraId="50B42F0B">
            <w:pPr>
              <w:jc w:val="center"/>
              <w:rPr>
                <w:rFonts w:eastAsia="楷体_GB2312"/>
                <w:color w:val="000000"/>
                <w:kern w:val="0"/>
                <w:szCs w:val="21"/>
              </w:rPr>
            </w:pPr>
          </w:p>
        </w:tc>
        <w:tc>
          <w:tcPr>
            <w:tcW w:w="0" w:type="auto"/>
            <w:noWrap w:val="0"/>
            <w:vAlign w:val="top"/>
          </w:tcPr>
          <w:p w14:paraId="7751DF7A">
            <w:pPr>
              <w:jc w:val="center"/>
              <w:rPr>
                <w:rFonts w:eastAsia="楷体_GB2312"/>
                <w:color w:val="000000"/>
                <w:kern w:val="0"/>
                <w:szCs w:val="21"/>
              </w:rPr>
            </w:pPr>
            <w:r>
              <w:rPr>
                <w:rFonts w:hint="eastAsia" w:eastAsia="楷体_GB2312"/>
                <w:color w:val="000000"/>
                <w:kern w:val="0"/>
                <w:szCs w:val="21"/>
              </w:rPr>
              <w:t>2</w:t>
            </w:r>
          </w:p>
        </w:tc>
        <w:tc>
          <w:tcPr>
            <w:tcW w:w="0" w:type="auto"/>
            <w:noWrap/>
            <w:vAlign w:val="center"/>
          </w:tcPr>
          <w:p w14:paraId="66B92355">
            <w:pPr>
              <w:jc w:val="center"/>
              <w:rPr>
                <w:rFonts w:eastAsia="楷体_GB2312"/>
                <w:color w:val="000000"/>
                <w:kern w:val="0"/>
                <w:szCs w:val="21"/>
              </w:rPr>
            </w:pPr>
            <w:r>
              <w:rPr>
                <w:rFonts w:eastAsia="楷体_GB2312"/>
                <w:color w:val="000000"/>
                <w:kern w:val="0"/>
                <w:szCs w:val="21"/>
              </w:rPr>
              <w:t>430</w:t>
            </w:r>
          </w:p>
        </w:tc>
        <w:tc>
          <w:tcPr>
            <w:tcW w:w="0" w:type="auto"/>
            <w:noWrap/>
            <w:vAlign w:val="center"/>
          </w:tcPr>
          <w:p w14:paraId="0DB0429D">
            <w:pPr>
              <w:jc w:val="center"/>
              <w:rPr>
                <w:rFonts w:eastAsia="楷体_GB2312"/>
                <w:color w:val="000000"/>
                <w:kern w:val="0"/>
                <w:szCs w:val="21"/>
              </w:rPr>
            </w:pPr>
            <w:r>
              <w:rPr>
                <w:rFonts w:eastAsia="楷体_GB2312"/>
                <w:color w:val="000000"/>
                <w:kern w:val="0"/>
                <w:szCs w:val="21"/>
              </w:rPr>
              <w:t>300</w:t>
            </w:r>
          </w:p>
        </w:tc>
        <w:tc>
          <w:tcPr>
            <w:tcW w:w="0" w:type="auto"/>
            <w:noWrap/>
            <w:vAlign w:val="center"/>
          </w:tcPr>
          <w:p w14:paraId="730821D3">
            <w:pPr>
              <w:jc w:val="center"/>
              <w:rPr>
                <w:rFonts w:eastAsia="楷体_GB2312"/>
                <w:color w:val="000000"/>
                <w:kern w:val="0"/>
                <w:szCs w:val="21"/>
              </w:rPr>
            </w:pPr>
            <w:r>
              <w:rPr>
                <w:rFonts w:eastAsia="楷体_GB2312"/>
                <w:color w:val="000000"/>
                <w:kern w:val="0"/>
                <w:szCs w:val="21"/>
              </w:rPr>
              <w:t>155</w:t>
            </w:r>
          </w:p>
        </w:tc>
        <w:tc>
          <w:tcPr>
            <w:tcW w:w="0" w:type="auto"/>
            <w:noWrap/>
            <w:vAlign w:val="center"/>
          </w:tcPr>
          <w:p w14:paraId="6CF9EAA3">
            <w:pPr>
              <w:jc w:val="center"/>
              <w:rPr>
                <w:rFonts w:eastAsia="楷体_GB2312"/>
                <w:color w:val="000000"/>
                <w:kern w:val="0"/>
                <w:szCs w:val="21"/>
              </w:rPr>
            </w:pPr>
            <w:r>
              <w:rPr>
                <w:rFonts w:eastAsia="楷体_GB2312"/>
                <w:color w:val="000000"/>
                <w:kern w:val="0"/>
                <w:szCs w:val="21"/>
              </w:rPr>
              <w:t>290</w:t>
            </w:r>
          </w:p>
        </w:tc>
        <w:tc>
          <w:tcPr>
            <w:tcW w:w="0" w:type="auto"/>
            <w:noWrap/>
            <w:vAlign w:val="center"/>
          </w:tcPr>
          <w:p w14:paraId="3A350552">
            <w:pPr>
              <w:jc w:val="center"/>
              <w:rPr>
                <w:rFonts w:eastAsia="楷体_GB2312"/>
                <w:color w:val="000000"/>
                <w:kern w:val="0"/>
                <w:szCs w:val="21"/>
              </w:rPr>
            </w:pPr>
            <w:r>
              <w:rPr>
                <w:rFonts w:eastAsia="楷体_GB2312"/>
                <w:color w:val="000000"/>
                <w:kern w:val="0"/>
                <w:szCs w:val="21"/>
              </w:rPr>
              <w:t>280</w:t>
            </w:r>
          </w:p>
        </w:tc>
        <w:tc>
          <w:tcPr>
            <w:tcW w:w="0" w:type="auto"/>
            <w:noWrap/>
            <w:vAlign w:val="center"/>
          </w:tcPr>
          <w:p w14:paraId="7D91ED4D">
            <w:pPr>
              <w:jc w:val="center"/>
              <w:rPr>
                <w:rFonts w:eastAsia="楷体_GB2312"/>
                <w:color w:val="000000"/>
                <w:kern w:val="0"/>
                <w:szCs w:val="21"/>
              </w:rPr>
            </w:pPr>
            <w:r>
              <w:rPr>
                <w:rFonts w:eastAsia="楷体_GB2312"/>
                <w:color w:val="000000"/>
                <w:kern w:val="0"/>
                <w:szCs w:val="21"/>
              </w:rPr>
              <w:t>270</w:t>
            </w:r>
          </w:p>
        </w:tc>
        <w:tc>
          <w:tcPr>
            <w:tcW w:w="0" w:type="auto"/>
            <w:noWrap/>
            <w:vAlign w:val="center"/>
          </w:tcPr>
          <w:p w14:paraId="3E3210D5">
            <w:pPr>
              <w:jc w:val="center"/>
              <w:rPr>
                <w:rFonts w:eastAsia="楷体_GB2312"/>
                <w:color w:val="000000"/>
                <w:kern w:val="0"/>
                <w:szCs w:val="21"/>
              </w:rPr>
            </w:pPr>
            <w:r>
              <w:rPr>
                <w:rFonts w:eastAsia="楷体_GB2312"/>
                <w:color w:val="000000"/>
                <w:kern w:val="0"/>
                <w:szCs w:val="21"/>
              </w:rPr>
              <w:t>260</w:t>
            </w:r>
          </w:p>
        </w:tc>
        <w:tc>
          <w:tcPr>
            <w:tcW w:w="0" w:type="auto"/>
            <w:noWrap/>
            <w:vAlign w:val="center"/>
          </w:tcPr>
          <w:p w14:paraId="33471248">
            <w:pPr>
              <w:jc w:val="center"/>
              <w:rPr>
                <w:rFonts w:eastAsia="楷体_GB2312"/>
                <w:color w:val="000000"/>
                <w:kern w:val="0"/>
                <w:szCs w:val="21"/>
              </w:rPr>
            </w:pPr>
            <w:r>
              <w:rPr>
                <w:rFonts w:eastAsia="楷体_GB2312"/>
                <w:color w:val="000000"/>
                <w:kern w:val="0"/>
                <w:szCs w:val="21"/>
              </w:rPr>
              <w:t>250</w:t>
            </w:r>
          </w:p>
        </w:tc>
        <w:tc>
          <w:tcPr>
            <w:tcW w:w="0" w:type="auto"/>
            <w:noWrap/>
            <w:vAlign w:val="center"/>
          </w:tcPr>
          <w:p w14:paraId="305BE05F">
            <w:pPr>
              <w:jc w:val="center"/>
              <w:rPr>
                <w:rFonts w:eastAsia="楷体_GB2312"/>
                <w:color w:val="000000"/>
                <w:kern w:val="0"/>
                <w:szCs w:val="21"/>
              </w:rPr>
            </w:pPr>
            <w:r>
              <w:rPr>
                <w:rFonts w:eastAsia="楷体_GB2312"/>
                <w:color w:val="000000"/>
                <w:kern w:val="0"/>
                <w:szCs w:val="21"/>
              </w:rPr>
              <w:t>240</w:t>
            </w:r>
          </w:p>
        </w:tc>
      </w:tr>
      <w:tr w14:paraId="00170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108B2AA4">
            <w:pPr>
              <w:jc w:val="center"/>
              <w:rPr>
                <w:rFonts w:eastAsia="楷体_GB2312"/>
                <w:color w:val="000000"/>
                <w:kern w:val="0"/>
                <w:szCs w:val="21"/>
              </w:rPr>
            </w:pPr>
          </w:p>
        </w:tc>
        <w:tc>
          <w:tcPr>
            <w:tcW w:w="0" w:type="auto"/>
            <w:vMerge w:val="continue"/>
            <w:noWrap w:val="0"/>
            <w:vAlign w:val="center"/>
          </w:tcPr>
          <w:p w14:paraId="075F8B06">
            <w:pPr>
              <w:jc w:val="center"/>
              <w:rPr>
                <w:rFonts w:eastAsia="楷体_GB2312"/>
                <w:color w:val="000000"/>
                <w:kern w:val="0"/>
                <w:szCs w:val="21"/>
              </w:rPr>
            </w:pPr>
          </w:p>
        </w:tc>
        <w:tc>
          <w:tcPr>
            <w:tcW w:w="0" w:type="auto"/>
            <w:noWrap w:val="0"/>
            <w:vAlign w:val="top"/>
          </w:tcPr>
          <w:p w14:paraId="619894BB">
            <w:pPr>
              <w:jc w:val="center"/>
              <w:rPr>
                <w:rFonts w:eastAsia="楷体_GB2312"/>
                <w:color w:val="000000"/>
                <w:kern w:val="0"/>
                <w:szCs w:val="21"/>
              </w:rPr>
            </w:pPr>
            <w:r>
              <w:rPr>
                <w:rFonts w:hint="eastAsia" w:eastAsia="楷体_GB2312"/>
                <w:color w:val="000000"/>
                <w:kern w:val="0"/>
                <w:szCs w:val="21"/>
              </w:rPr>
              <w:t>3</w:t>
            </w:r>
          </w:p>
        </w:tc>
        <w:tc>
          <w:tcPr>
            <w:tcW w:w="0" w:type="auto"/>
            <w:noWrap/>
            <w:vAlign w:val="center"/>
          </w:tcPr>
          <w:p w14:paraId="7AA74A38">
            <w:pPr>
              <w:jc w:val="center"/>
              <w:rPr>
                <w:rFonts w:eastAsia="楷体_GB2312"/>
                <w:color w:val="000000"/>
                <w:kern w:val="0"/>
                <w:szCs w:val="21"/>
              </w:rPr>
            </w:pPr>
            <w:r>
              <w:rPr>
                <w:rFonts w:eastAsia="楷体_GB2312"/>
                <w:color w:val="000000"/>
                <w:kern w:val="0"/>
                <w:szCs w:val="21"/>
              </w:rPr>
              <w:t>350</w:t>
            </w:r>
          </w:p>
        </w:tc>
        <w:tc>
          <w:tcPr>
            <w:tcW w:w="0" w:type="auto"/>
            <w:noWrap/>
            <w:vAlign w:val="center"/>
          </w:tcPr>
          <w:p w14:paraId="0EC4FCA5">
            <w:pPr>
              <w:jc w:val="center"/>
              <w:rPr>
                <w:rFonts w:eastAsia="楷体_GB2312"/>
                <w:color w:val="000000"/>
                <w:kern w:val="0"/>
                <w:szCs w:val="21"/>
              </w:rPr>
            </w:pPr>
            <w:r>
              <w:rPr>
                <w:rFonts w:eastAsia="楷体_GB2312"/>
                <w:color w:val="000000"/>
                <w:kern w:val="0"/>
                <w:szCs w:val="21"/>
              </w:rPr>
              <w:t>225</w:t>
            </w:r>
          </w:p>
        </w:tc>
        <w:tc>
          <w:tcPr>
            <w:tcW w:w="0" w:type="auto"/>
            <w:noWrap/>
            <w:vAlign w:val="center"/>
          </w:tcPr>
          <w:p w14:paraId="3F3B1C62">
            <w:pPr>
              <w:jc w:val="center"/>
              <w:rPr>
                <w:rFonts w:eastAsia="楷体_GB2312"/>
                <w:color w:val="000000"/>
                <w:kern w:val="0"/>
                <w:szCs w:val="21"/>
              </w:rPr>
            </w:pPr>
            <w:r>
              <w:rPr>
                <w:rFonts w:eastAsia="楷体_GB2312"/>
                <w:color w:val="000000"/>
                <w:kern w:val="0"/>
                <w:szCs w:val="21"/>
              </w:rPr>
              <w:t>144</w:t>
            </w:r>
          </w:p>
        </w:tc>
        <w:tc>
          <w:tcPr>
            <w:tcW w:w="0" w:type="auto"/>
            <w:noWrap/>
            <w:vAlign w:val="center"/>
          </w:tcPr>
          <w:p w14:paraId="385F89C7">
            <w:pPr>
              <w:jc w:val="center"/>
              <w:rPr>
                <w:rFonts w:eastAsia="楷体_GB2312"/>
                <w:color w:val="000000"/>
                <w:kern w:val="0"/>
                <w:szCs w:val="21"/>
              </w:rPr>
            </w:pPr>
            <w:r>
              <w:rPr>
                <w:rFonts w:eastAsia="楷体_GB2312"/>
                <w:color w:val="000000"/>
                <w:kern w:val="0"/>
                <w:szCs w:val="21"/>
              </w:rPr>
              <w:t>215</w:t>
            </w:r>
          </w:p>
        </w:tc>
        <w:tc>
          <w:tcPr>
            <w:tcW w:w="0" w:type="auto"/>
            <w:noWrap/>
            <w:vAlign w:val="center"/>
          </w:tcPr>
          <w:p w14:paraId="71FD934D">
            <w:pPr>
              <w:jc w:val="center"/>
              <w:rPr>
                <w:rFonts w:eastAsia="楷体_GB2312"/>
                <w:color w:val="000000"/>
                <w:kern w:val="0"/>
                <w:szCs w:val="21"/>
              </w:rPr>
            </w:pPr>
            <w:r>
              <w:rPr>
                <w:rFonts w:eastAsia="楷体_GB2312"/>
                <w:color w:val="000000"/>
                <w:kern w:val="0"/>
                <w:szCs w:val="21"/>
              </w:rPr>
              <w:t>210</w:t>
            </w:r>
          </w:p>
        </w:tc>
        <w:tc>
          <w:tcPr>
            <w:tcW w:w="0" w:type="auto"/>
            <w:noWrap/>
            <w:vAlign w:val="center"/>
          </w:tcPr>
          <w:p w14:paraId="45470118">
            <w:pPr>
              <w:jc w:val="center"/>
              <w:rPr>
                <w:rFonts w:eastAsia="楷体_GB2312"/>
                <w:color w:val="000000"/>
                <w:kern w:val="0"/>
                <w:szCs w:val="21"/>
              </w:rPr>
            </w:pPr>
            <w:r>
              <w:rPr>
                <w:rFonts w:eastAsia="楷体_GB2312"/>
                <w:color w:val="000000"/>
                <w:kern w:val="0"/>
                <w:szCs w:val="21"/>
              </w:rPr>
              <w:t>205</w:t>
            </w:r>
          </w:p>
        </w:tc>
        <w:tc>
          <w:tcPr>
            <w:tcW w:w="0" w:type="auto"/>
            <w:noWrap/>
            <w:vAlign w:val="center"/>
          </w:tcPr>
          <w:p w14:paraId="6067975F">
            <w:pPr>
              <w:jc w:val="center"/>
              <w:rPr>
                <w:rFonts w:eastAsia="楷体_GB2312"/>
                <w:color w:val="000000"/>
                <w:kern w:val="0"/>
                <w:szCs w:val="21"/>
              </w:rPr>
            </w:pPr>
            <w:r>
              <w:rPr>
                <w:rFonts w:eastAsia="楷体_GB2312"/>
                <w:color w:val="000000"/>
                <w:kern w:val="0"/>
                <w:szCs w:val="21"/>
              </w:rPr>
              <w:t>200</w:t>
            </w:r>
          </w:p>
        </w:tc>
        <w:tc>
          <w:tcPr>
            <w:tcW w:w="0" w:type="auto"/>
            <w:noWrap/>
            <w:vAlign w:val="center"/>
          </w:tcPr>
          <w:p w14:paraId="0C9C534E">
            <w:pPr>
              <w:jc w:val="center"/>
              <w:rPr>
                <w:rFonts w:eastAsia="楷体_GB2312"/>
                <w:color w:val="000000"/>
                <w:kern w:val="0"/>
                <w:szCs w:val="21"/>
              </w:rPr>
            </w:pPr>
            <w:r>
              <w:rPr>
                <w:rFonts w:eastAsia="楷体_GB2312"/>
                <w:color w:val="000000"/>
                <w:kern w:val="0"/>
                <w:szCs w:val="21"/>
              </w:rPr>
              <w:t>195</w:t>
            </w:r>
          </w:p>
        </w:tc>
        <w:tc>
          <w:tcPr>
            <w:tcW w:w="0" w:type="auto"/>
            <w:noWrap/>
            <w:vAlign w:val="center"/>
          </w:tcPr>
          <w:p w14:paraId="1EDD4F69">
            <w:pPr>
              <w:jc w:val="center"/>
              <w:rPr>
                <w:rFonts w:eastAsia="楷体_GB2312"/>
                <w:color w:val="000000"/>
                <w:kern w:val="0"/>
                <w:szCs w:val="21"/>
              </w:rPr>
            </w:pPr>
            <w:r>
              <w:rPr>
                <w:rFonts w:eastAsia="楷体_GB2312"/>
                <w:color w:val="000000"/>
                <w:kern w:val="0"/>
                <w:szCs w:val="21"/>
              </w:rPr>
              <w:t>190</w:t>
            </w:r>
          </w:p>
        </w:tc>
      </w:tr>
      <w:tr w14:paraId="778D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ign w:val="center"/>
          </w:tcPr>
          <w:p w14:paraId="14D52C20">
            <w:pPr>
              <w:jc w:val="center"/>
              <w:rPr>
                <w:rFonts w:eastAsia="楷体_GB2312"/>
                <w:color w:val="000000"/>
                <w:kern w:val="0"/>
                <w:szCs w:val="21"/>
              </w:rPr>
            </w:pPr>
            <w:r>
              <w:rPr>
                <w:rFonts w:eastAsia="楷体_GB2312"/>
                <w:color w:val="000000"/>
                <w:kern w:val="0"/>
                <w:szCs w:val="21"/>
              </w:rPr>
              <w:t>6</w:t>
            </w:r>
          </w:p>
        </w:tc>
        <w:tc>
          <w:tcPr>
            <w:tcW w:w="0" w:type="auto"/>
            <w:vMerge w:val="restart"/>
            <w:noWrap/>
            <w:vAlign w:val="center"/>
          </w:tcPr>
          <w:p w14:paraId="037F77FE">
            <w:pPr>
              <w:jc w:val="center"/>
              <w:rPr>
                <w:rFonts w:eastAsia="楷体_GB2312"/>
                <w:color w:val="000000"/>
                <w:kern w:val="0"/>
                <w:szCs w:val="21"/>
              </w:rPr>
            </w:pPr>
            <w:r>
              <w:rPr>
                <w:rFonts w:eastAsia="楷体_GB2312"/>
                <w:color w:val="000000"/>
                <w:kern w:val="0"/>
                <w:szCs w:val="21"/>
              </w:rPr>
              <w:t>栏杆镇</w:t>
            </w:r>
          </w:p>
        </w:tc>
        <w:tc>
          <w:tcPr>
            <w:tcW w:w="0" w:type="auto"/>
            <w:noWrap w:val="0"/>
            <w:vAlign w:val="top"/>
          </w:tcPr>
          <w:p w14:paraId="76F30C7E">
            <w:pPr>
              <w:jc w:val="center"/>
              <w:rPr>
                <w:rFonts w:eastAsia="楷体_GB2312"/>
                <w:color w:val="000000"/>
                <w:kern w:val="0"/>
                <w:szCs w:val="21"/>
              </w:rPr>
            </w:pPr>
            <w:r>
              <w:rPr>
                <w:rFonts w:hint="eastAsia" w:eastAsia="楷体_GB2312"/>
                <w:color w:val="000000"/>
                <w:kern w:val="0"/>
                <w:szCs w:val="21"/>
              </w:rPr>
              <w:t>1</w:t>
            </w:r>
          </w:p>
        </w:tc>
        <w:tc>
          <w:tcPr>
            <w:tcW w:w="0" w:type="auto"/>
            <w:noWrap/>
            <w:vAlign w:val="center"/>
          </w:tcPr>
          <w:p w14:paraId="585F4E65">
            <w:pPr>
              <w:jc w:val="center"/>
              <w:rPr>
                <w:rFonts w:eastAsia="楷体_GB2312"/>
                <w:color w:val="000000"/>
                <w:kern w:val="0"/>
                <w:szCs w:val="21"/>
              </w:rPr>
            </w:pPr>
            <w:r>
              <w:rPr>
                <w:rFonts w:eastAsia="楷体_GB2312"/>
                <w:color w:val="000000"/>
                <w:kern w:val="0"/>
                <w:szCs w:val="21"/>
              </w:rPr>
              <w:t>520</w:t>
            </w:r>
          </w:p>
        </w:tc>
        <w:tc>
          <w:tcPr>
            <w:tcW w:w="0" w:type="auto"/>
            <w:noWrap/>
            <w:vAlign w:val="center"/>
          </w:tcPr>
          <w:p w14:paraId="1F6DD68E">
            <w:pPr>
              <w:jc w:val="center"/>
              <w:rPr>
                <w:rFonts w:eastAsia="楷体_GB2312"/>
                <w:color w:val="000000"/>
                <w:kern w:val="0"/>
                <w:szCs w:val="21"/>
              </w:rPr>
            </w:pPr>
            <w:r>
              <w:rPr>
                <w:rFonts w:eastAsia="楷体_GB2312"/>
                <w:color w:val="000000"/>
                <w:kern w:val="0"/>
                <w:szCs w:val="21"/>
              </w:rPr>
              <w:t>395</w:t>
            </w:r>
          </w:p>
        </w:tc>
        <w:tc>
          <w:tcPr>
            <w:tcW w:w="0" w:type="auto"/>
            <w:noWrap/>
            <w:vAlign w:val="center"/>
          </w:tcPr>
          <w:p w14:paraId="39B4BE1D">
            <w:pPr>
              <w:jc w:val="center"/>
              <w:rPr>
                <w:rFonts w:eastAsia="楷体_GB2312"/>
                <w:color w:val="000000"/>
                <w:kern w:val="0"/>
                <w:szCs w:val="21"/>
              </w:rPr>
            </w:pPr>
            <w:r>
              <w:rPr>
                <w:rFonts w:eastAsia="楷体_GB2312"/>
                <w:color w:val="000000"/>
                <w:kern w:val="0"/>
                <w:szCs w:val="21"/>
              </w:rPr>
              <w:t>200</w:t>
            </w:r>
          </w:p>
        </w:tc>
        <w:tc>
          <w:tcPr>
            <w:tcW w:w="0" w:type="auto"/>
            <w:noWrap/>
            <w:vAlign w:val="center"/>
          </w:tcPr>
          <w:p w14:paraId="13A019D1">
            <w:pPr>
              <w:jc w:val="center"/>
              <w:rPr>
                <w:rFonts w:eastAsia="楷体_GB2312"/>
                <w:color w:val="000000"/>
                <w:kern w:val="0"/>
                <w:szCs w:val="21"/>
              </w:rPr>
            </w:pPr>
            <w:r>
              <w:rPr>
                <w:rFonts w:eastAsia="楷体_GB2312"/>
                <w:color w:val="000000"/>
                <w:kern w:val="0"/>
                <w:szCs w:val="21"/>
              </w:rPr>
              <w:t>375</w:t>
            </w:r>
          </w:p>
        </w:tc>
        <w:tc>
          <w:tcPr>
            <w:tcW w:w="0" w:type="auto"/>
            <w:noWrap/>
            <w:vAlign w:val="center"/>
          </w:tcPr>
          <w:p w14:paraId="68AEE12A">
            <w:pPr>
              <w:jc w:val="center"/>
              <w:rPr>
                <w:rFonts w:eastAsia="楷体_GB2312"/>
                <w:color w:val="000000"/>
                <w:kern w:val="0"/>
                <w:szCs w:val="21"/>
              </w:rPr>
            </w:pPr>
            <w:r>
              <w:rPr>
                <w:rFonts w:eastAsia="楷体_GB2312"/>
                <w:color w:val="000000"/>
                <w:kern w:val="0"/>
                <w:szCs w:val="21"/>
              </w:rPr>
              <w:t>355</w:t>
            </w:r>
          </w:p>
        </w:tc>
        <w:tc>
          <w:tcPr>
            <w:tcW w:w="0" w:type="auto"/>
            <w:noWrap/>
            <w:vAlign w:val="center"/>
          </w:tcPr>
          <w:p w14:paraId="3E07F02C">
            <w:pPr>
              <w:jc w:val="center"/>
              <w:rPr>
                <w:rFonts w:eastAsia="楷体_GB2312"/>
                <w:color w:val="000000"/>
                <w:kern w:val="0"/>
                <w:szCs w:val="21"/>
              </w:rPr>
            </w:pPr>
            <w:r>
              <w:rPr>
                <w:rFonts w:eastAsia="楷体_GB2312"/>
                <w:color w:val="000000"/>
                <w:kern w:val="0"/>
                <w:szCs w:val="21"/>
              </w:rPr>
              <w:t>335</w:t>
            </w:r>
          </w:p>
        </w:tc>
        <w:tc>
          <w:tcPr>
            <w:tcW w:w="0" w:type="auto"/>
            <w:noWrap/>
            <w:vAlign w:val="center"/>
          </w:tcPr>
          <w:p w14:paraId="3F1F450C">
            <w:pPr>
              <w:jc w:val="center"/>
              <w:rPr>
                <w:rFonts w:eastAsia="楷体_GB2312"/>
                <w:color w:val="000000"/>
                <w:kern w:val="0"/>
                <w:szCs w:val="21"/>
              </w:rPr>
            </w:pPr>
            <w:r>
              <w:rPr>
                <w:rFonts w:eastAsia="楷体_GB2312"/>
                <w:color w:val="000000"/>
                <w:kern w:val="0"/>
                <w:szCs w:val="21"/>
              </w:rPr>
              <w:t>325</w:t>
            </w:r>
          </w:p>
        </w:tc>
        <w:tc>
          <w:tcPr>
            <w:tcW w:w="0" w:type="auto"/>
            <w:noWrap/>
            <w:vAlign w:val="center"/>
          </w:tcPr>
          <w:p w14:paraId="0D718720">
            <w:pPr>
              <w:jc w:val="center"/>
              <w:rPr>
                <w:rFonts w:eastAsia="楷体_GB2312"/>
                <w:color w:val="000000"/>
                <w:kern w:val="0"/>
                <w:szCs w:val="21"/>
              </w:rPr>
            </w:pPr>
            <w:r>
              <w:rPr>
                <w:rFonts w:eastAsia="楷体_GB2312"/>
                <w:color w:val="000000"/>
                <w:kern w:val="0"/>
                <w:szCs w:val="21"/>
              </w:rPr>
              <w:t>315</w:t>
            </w:r>
          </w:p>
        </w:tc>
        <w:tc>
          <w:tcPr>
            <w:tcW w:w="0" w:type="auto"/>
            <w:noWrap/>
            <w:vAlign w:val="center"/>
          </w:tcPr>
          <w:p w14:paraId="1AA7FA9C">
            <w:pPr>
              <w:jc w:val="center"/>
              <w:rPr>
                <w:rFonts w:eastAsia="楷体_GB2312"/>
                <w:color w:val="000000"/>
                <w:kern w:val="0"/>
                <w:szCs w:val="21"/>
              </w:rPr>
            </w:pPr>
            <w:r>
              <w:rPr>
                <w:rFonts w:eastAsia="楷体_GB2312"/>
                <w:color w:val="000000"/>
                <w:kern w:val="0"/>
                <w:szCs w:val="21"/>
              </w:rPr>
              <w:t>295</w:t>
            </w:r>
          </w:p>
        </w:tc>
      </w:tr>
      <w:tr w14:paraId="35252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20AF85BC">
            <w:pPr>
              <w:jc w:val="center"/>
              <w:rPr>
                <w:rFonts w:eastAsia="楷体_GB2312"/>
                <w:color w:val="000000"/>
                <w:kern w:val="0"/>
                <w:szCs w:val="21"/>
              </w:rPr>
            </w:pPr>
          </w:p>
        </w:tc>
        <w:tc>
          <w:tcPr>
            <w:tcW w:w="0" w:type="auto"/>
            <w:vMerge w:val="continue"/>
            <w:noWrap w:val="0"/>
            <w:vAlign w:val="center"/>
          </w:tcPr>
          <w:p w14:paraId="49294076">
            <w:pPr>
              <w:jc w:val="center"/>
              <w:rPr>
                <w:rFonts w:eastAsia="楷体_GB2312"/>
                <w:color w:val="000000"/>
                <w:kern w:val="0"/>
                <w:szCs w:val="21"/>
              </w:rPr>
            </w:pPr>
          </w:p>
        </w:tc>
        <w:tc>
          <w:tcPr>
            <w:tcW w:w="0" w:type="auto"/>
            <w:noWrap w:val="0"/>
            <w:vAlign w:val="top"/>
          </w:tcPr>
          <w:p w14:paraId="038C2680">
            <w:pPr>
              <w:jc w:val="center"/>
              <w:rPr>
                <w:rFonts w:eastAsia="楷体_GB2312"/>
                <w:color w:val="000000"/>
                <w:kern w:val="0"/>
                <w:szCs w:val="21"/>
              </w:rPr>
            </w:pPr>
            <w:r>
              <w:rPr>
                <w:rFonts w:hint="eastAsia" w:eastAsia="楷体_GB2312"/>
                <w:color w:val="000000"/>
                <w:kern w:val="0"/>
                <w:szCs w:val="21"/>
              </w:rPr>
              <w:t>2</w:t>
            </w:r>
          </w:p>
        </w:tc>
        <w:tc>
          <w:tcPr>
            <w:tcW w:w="0" w:type="auto"/>
            <w:noWrap/>
            <w:vAlign w:val="center"/>
          </w:tcPr>
          <w:p w14:paraId="5AEE780B">
            <w:pPr>
              <w:jc w:val="center"/>
              <w:rPr>
                <w:rFonts w:eastAsia="楷体_GB2312"/>
                <w:color w:val="000000"/>
                <w:kern w:val="0"/>
                <w:szCs w:val="21"/>
              </w:rPr>
            </w:pPr>
            <w:r>
              <w:rPr>
                <w:rFonts w:eastAsia="楷体_GB2312"/>
                <w:color w:val="000000"/>
                <w:kern w:val="0"/>
                <w:szCs w:val="21"/>
              </w:rPr>
              <w:t>410</w:t>
            </w:r>
          </w:p>
        </w:tc>
        <w:tc>
          <w:tcPr>
            <w:tcW w:w="0" w:type="auto"/>
            <w:noWrap/>
            <w:vAlign w:val="center"/>
          </w:tcPr>
          <w:p w14:paraId="63B234BA">
            <w:pPr>
              <w:jc w:val="center"/>
              <w:rPr>
                <w:rFonts w:eastAsia="楷体_GB2312"/>
                <w:color w:val="000000"/>
                <w:kern w:val="0"/>
                <w:szCs w:val="21"/>
              </w:rPr>
            </w:pPr>
            <w:r>
              <w:rPr>
                <w:rFonts w:eastAsia="楷体_GB2312"/>
                <w:color w:val="000000"/>
                <w:kern w:val="0"/>
                <w:szCs w:val="21"/>
              </w:rPr>
              <w:t>295</w:t>
            </w:r>
          </w:p>
        </w:tc>
        <w:tc>
          <w:tcPr>
            <w:tcW w:w="0" w:type="auto"/>
            <w:noWrap/>
            <w:vAlign w:val="center"/>
          </w:tcPr>
          <w:p w14:paraId="1BDA2079">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27BD7145">
            <w:pPr>
              <w:jc w:val="center"/>
              <w:rPr>
                <w:rFonts w:eastAsia="楷体_GB2312"/>
                <w:color w:val="000000"/>
                <w:kern w:val="0"/>
                <w:szCs w:val="21"/>
              </w:rPr>
            </w:pPr>
            <w:r>
              <w:rPr>
                <w:rFonts w:eastAsia="楷体_GB2312"/>
                <w:color w:val="000000"/>
                <w:kern w:val="0"/>
                <w:szCs w:val="21"/>
              </w:rPr>
              <w:t>285</w:t>
            </w:r>
          </w:p>
        </w:tc>
        <w:tc>
          <w:tcPr>
            <w:tcW w:w="0" w:type="auto"/>
            <w:noWrap/>
            <w:vAlign w:val="center"/>
          </w:tcPr>
          <w:p w14:paraId="57DB5235">
            <w:pPr>
              <w:jc w:val="center"/>
              <w:rPr>
                <w:rFonts w:eastAsia="楷体_GB2312"/>
                <w:color w:val="000000"/>
                <w:kern w:val="0"/>
                <w:szCs w:val="21"/>
              </w:rPr>
            </w:pPr>
            <w:r>
              <w:rPr>
                <w:rFonts w:eastAsia="楷体_GB2312"/>
                <w:color w:val="000000"/>
                <w:kern w:val="0"/>
                <w:szCs w:val="21"/>
              </w:rPr>
              <w:t>275</w:t>
            </w:r>
          </w:p>
        </w:tc>
        <w:tc>
          <w:tcPr>
            <w:tcW w:w="0" w:type="auto"/>
            <w:noWrap/>
            <w:vAlign w:val="center"/>
          </w:tcPr>
          <w:p w14:paraId="08B660BA">
            <w:pPr>
              <w:jc w:val="center"/>
              <w:rPr>
                <w:rFonts w:eastAsia="楷体_GB2312"/>
                <w:color w:val="000000"/>
                <w:kern w:val="0"/>
                <w:szCs w:val="21"/>
              </w:rPr>
            </w:pPr>
            <w:r>
              <w:rPr>
                <w:rFonts w:eastAsia="楷体_GB2312"/>
                <w:color w:val="000000"/>
                <w:kern w:val="0"/>
                <w:szCs w:val="21"/>
              </w:rPr>
              <w:t>265</w:t>
            </w:r>
          </w:p>
        </w:tc>
        <w:tc>
          <w:tcPr>
            <w:tcW w:w="0" w:type="auto"/>
            <w:noWrap/>
            <w:vAlign w:val="center"/>
          </w:tcPr>
          <w:p w14:paraId="6217B32E">
            <w:pPr>
              <w:jc w:val="center"/>
              <w:rPr>
                <w:rFonts w:eastAsia="楷体_GB2312"/>
                <w:color w:val="000000"/>
                <w:kern w:val="0"/>
                <w:szCs w:val="21"/>
              </w:rPr>
            </w:pPr>
            <w:r>
              <w:rPr>
                <w:rFonts w:eastAsia="楷体_GB2312"/>
                <w:color w:val="000000"/>
                <w:kern w:val="0"/>
                <w:szCs w:val="21"/>
              </w:rPr>
              <w:t>255</w:t>
            </w:r>
          </w:p>
        </w:tc>
        <w:tc>
          <w:tcPr>
            <w:tcW w:w="0" w:type="auto"/>
            <w:noWrap/>
            <w:vAlign w:val="center"/>
          </w:tcPr>
          <w:p w14:paraId="17262D47">
            <w:pPr>
              <w:jc w:val="center"/>
              <w:rPr>
                <w:rFonts w:eastAsia="楷体_GB2312"/>
                <w:color w:val="000000"/>
                <w:kern w:val="0"/>
                <w:szCs w:val="21"/>
              </w:rPr>
            </w:pPr>
            <w:r>
              <w:rPr>
                <w:rFonts w:eastAsia="楷体_GB2312"/>
                <w:color w:val="000000"/>
                <w:kern w:val="0"/>
                <w:szCs w:val="21"/>
              </w:rPr>
              <w:t>245</w:t>
            </w:r>
          </w:p>
        </w:tc>
        <w:tc>
          <w:tcPr>
            <w:tcW w:w="0" w:type="auto"/>
            <w:noWrap/>
            <w:vAlign w:val="center"/>
          </w:tcPr>
          <w:p w14:paraId="6295F399">
            <w:pPr>
              <w:jc w:val="center"/>
              <w:rPr>
                <w:rFonts w:eastAsia="楷体_GB2312"/>
                <w:color w:val="000000"/>
                <w:kern w:val="0"/>
                <w:szCs w:val="21"/>
              </w:rPr>
            </w:pPr>
            <w:r>
              <w:rPr>
                <w:rFonts w:eastAsia="楷体_GB2312"/>
                <w:color w:val="000000"/>
                <w:kern w:val="0"/>
                <w:szCs w:val="21"/>
              </w:rPr>
              <w:t>235</w:t>
            </w:r>
          </w:p>
        </w:tc>
      </w:tr>
      <w:tr w14:paraId="3090E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11B36FFE">
            <w:pPr>
              <w:jc w:val="center"/>
              <w:rPr>
                <w:rFonts w:eastAsia="楷体_GB2312"/>
                <w:color w:val="000000"/>
                <w:kern w:val="0"/>
                <w:szCs w:val="21"/>
              </w:rPr>
            </w:pPr>
          </w:p>
        </w:tc>
        <w:tc>
          <w:tcPr>
            <w:tcW w:w="0" w:type="auto"/>
            <w:vMerge w:val="continue"/>
            <w:noWrap w:val="0"/>
            <w:vAlign w:val="center"/>
          </w:tcPr>
          <w:p w14:paraId="1C83D5B9">
            <w:pPr>
              <w:jc w:val="center"/>
              <w:rPr>
                <w:rFonts w:eastAsia="楷体_GB2312"/>
                <w:color w:val="000000"/>
                <w:kern w:val="0"/>
                <w:szCs w:val="21"/>
              </w:rPr>
            </w:pPr>
          </w:p>
        </w:tc>
        <w:tc>
          <w:tcPr>
            <w:tcW w:w="0" w:type="auto"/>
            <w:noWrap w:val="0"/>
            <w:vAlign w:val="top"/>
          </w:tcPr>
          <w:p w14:paraId="04A8D3C9">
            <w:pPr>
              <w:jc w:val="center"/>
              <w:rPr>
                <w:rFonts w:eastAsia="楷体_GB2312"/>
                <w:color w:val="000000"/>
                <w:kern w:val="0"/>
                <w:szCs w:val="21"/>
              </w:rPr>
            </w:pPr>
            <w:r>
              <w:rPr>
                <w:rFonts w:hint="eastAsia" w:eastAsia="楷体_GB2312"/>
                <w:color w:val="000000"/>
                <w:kern w:val="0"/>
                <w:szCs w:val="21"/>
              </w:rPr>
              <w:t>3</w:t>
            </w:r>
          </w:p>
        </w:tc>
        <w:tc>
          <w:tcPr>
            <w:tcW w:w="0" w:type="auto"/>
            <w:noWrap/>
            <w:vAlign w:val="center"/>
          </w:tcPr>
          <w:p w14:paraId="4951D23A">
            <w:pPr>
              <w:jc w:val="center"/>
              <w:rPr>
                <w:rFonts w:eastAsia="楷体_GB2312"/>
                <w:color w:val="000000"/>
                <w:kern w:val="0"/>
                <w:szCs w:val="21"/>
              </w:rPr>
            </w:pPr>
            <w:r>
              <w:rPr>
                <w:rFonts w:eastAsia="楷体_GB2312"/>
                <w:color w:val="000000"/>
                <w:kern w:val="0"/>
                <w:szCs w:val="21"/>
              </w:rPr>
              <w:t>325</w:t>
            </w:r>
          </w:p>
        </w:tc>
        <w:tc>
          <w:tcPr>
            <w:tcW w:w="0" w:type="auto"/>
            <w:noWrap/>
            <w:vAlign w:val="center"/>
          </w:tcPr>
          <w:p w14:paraId="32D809D7">
            <w:pPr>
              <w:jc w:val="center"/>
              <w:rPr>
                <w:rFonts w:eastAsia="楷体_GB2312"/>
                <w:color w:val="000000"/>
                <w:kern w:val="0"/>
                <w:szCs w:val="21"/>
              </w:rPr>
            </w:pPr>
            <w:r>
              <w:rPr>
                <w:rFonts w:eastAsia="楷体_GB2312"/>
                <w:color w:val="000000"/>
                <w:kern w:val="0"/>
                <w:szCs w:val="21"/>
              </w:rPr>
              <w:t>225</w:t>
            </w:r>
          </w:p>
        </w:tc>
        <w:tc>
          <w:tcPr>
            <w:tcW w:w="0" w:type="auto"/>
            <w:noWrap/>
            <w:vAlign w:val="center"/>
          </w:tcPr>
          <w:p w14:paraId="2DB044E7">
            <w:pPr>
              <w:jc w:val="center"/>
              <w:rPr>
                <w:rFonts w:eastAsia="楷体_GB2312"/>
                <w:color w:val="000000"/>
                <w:kern w:val="0"/>
                <w:szCs w:val="21"/>
              </w:rPr>
            </w:pPr>
            <w:r>
              <w:rPr>
                <w:rFonts w:eastAsia="楷体_GB2312"/>
                <w:color w:val="000000"/>
                <w:kern w:val="0"/>
                <w:szCs w:val="21"/>
              </w:rPr>
              <w:t>144</w:t>
            </w:r>
          </w:p>
        </w:tc>
        <w:tc>
          <w:tcPr>
            <w:tcW w:w="0" w:type="auto"/>
            <w:noWrap/>
            <w:vAlign w:val="center"/>
          </w:tcPr>
          <w:p w14:paraId="518D1DE5">
            <w:pPr>
              <w:jc w:val="center"/>
              <w:rPr>
                <w:rFonts w:eastAsia="楷体_GB2312"/>
                <w:color w:val="000000"/>
                <w:kern w:val="0"/>
                <w:szCs w:val="21"/>
              </w:rPr>
            </w:pPr>
            <w:r>
              <w:rPr>
                <w:rFonts w:eastAsia="楷体_GB2312"/>
                <w:color w:val="000000"/>
                <w:kern w:val="0"/>
                <w:szCs w:val="21"/>
              </w:rPr>
              <w:t>215</w:t>
            </w:r>
          </w:p>
        </w:tc>
        <w:tc>
          <w:tcPr>
            <w:tcW w:w="0" w:type="auto"/>
            <w:noWrap/>
            <w:vAlign w:val="center"/>
          </w:tcPr>
          <w:p w14:paraId="18B57099">
            <w:pPr>
              <w:jc w:val="center"/>
              <w:rPr>
                <w:rFonts w:eastAsia="楷体_GB2312"/>
                <w:color w:val="000000"/>
                <w:kern w:val="0"/>
                <w:szCs w:val="21"/>
              </w:rPr>
            </w:pPr>
            <w:r>
              <w:rPr>
                <w:rFonts w:eastAsia="楷体_GB2312"/>
                <w:color w:val="000000"/>
                <w:kern w:val="0"/>
                <w:szCs w:val="21"/>
              </w:rPr>
              <w:t>210</w:t>
            </w:r>
          </w:p>
        </w:tc>
        <w:tc>
          <w:tcPr>
            <w:tcW w:w="0" w:type="auto"/>
            <w:noWrap/>
            <w:vAlign w:val="center"/>
          </w:tcPr>
          <w:p w14:paraId="67711168">
            <w:pPr>
              <w:jc w:val="center"/>
              <w:rPr>
                <w:rFonts w:eastAsia="楷体_GB2312"/>
                <w:color w:val="000000"/>
                <w:kern w:val="0"/>
                <w:szCs w:val="21"/>
              </w:rPr>
            </w:pPr>
            <w:r>
              <w:rPr>
                <w:rFonts w:eastAsia="楷体_GB2312"/>
                <w:color w:val="000000"/>
                <w:kern w:val="0"/>
                <w:szCs w:val="21"/>
              </w:rPr>
              <w:t>205</w:t>
            </w:r>
          </w:p>
        </w:tc>
        <w:tc>
          <w:tcPr>
            <w:tcW w:w="0" w:type="auto"/>
            <w:noWrap/>
            <w:vAlign w:val="center"/>
          </w:tcPr>
          <w:p w14:paraId="3DE818B6">
            <w:pPr>
              <w:jc w:val="center"/>
              <w:rPr>
                <w:rFonts w:eastAsia="楷体_GB2312"/>
                <w:color w:val="000000"/>
                <w:kern w:val="0"/>
                <w:szCs w:val="21"/>
              </w:rPr>
            </w:pPr>
            <w:r>
              <w:rPr>
                <w:rFonts w:eastAsia="楷体_GB2312"/>
                <w:color w:val="000000"/>
                <w:kern w:val="0"/>
                <w:szCs w:val="21"/>
              </w:rPr>
              <w:t>200</w:t>
            </w:r>
          </w:p>
        </w:tc>
        <w:tc>
          <w:tcPr>
            <w:tcW w:w="0" w:type="auto"/>
            <w:noWrap/>
            <w:vAlign w:val="center"/>
          </w:tcPr>
          <w:p w14:paraId="64A1708D">
            <w:pPr>
              <w:jc w:val="center"/>
              <w:rPr>
                <w:rFonts w:eastAsia="楷体_GB2312"/>
                <w:color w:val="000000"/>
                <w:kern w:val="0"/>
                <w:szCs w:val="21"/>
              </w:rPr>
            </w:pPr>
            <w:r>
              <w:rPr>
                <w:rFonts w:eastAsia="楷体_GB2312"/>
                <w:color w:val="000000"/>
                <w:kern w:val="0"/>
                <w:szCs w:val="21"/>
              </w:rPr>
              <w:t>195</w:t>
            </w:r>
          </w:p>
        </w:tc>
        <w:tc>
          <w:tcPr>
            <w:tcW w:w="0" w:type="auto"/>
            <w:noWrap/>
            <w:vAlign w:val="center"/>
          </w:tcPr>
          <w:p w14:paraId="01994848">
            <w:pPr>
              <w:jc w:val="center"/>
              <w:rPr>
                <w:rFonts w:eastAsia="楷体_GB2312"/>
                <w:color w:val="000000"/>
                <w:kern w:val="0"/>
                <w:szCs w:val="21"/>
              </w:rPr>
            </w:pPr>
            <w:r>
              <w:rPr>
                <w:rFonts w:eastAsia="楷体_GB2312"/>
                <w:color w:val="000000"/>
                <w:kern w:val="0"/>
                <w:szCs w:val="21"/>
              </w:rPr>
              <w:t>190</w:t>
            </w:r>
          </w:p>
        </w:tc>
      </w:tr>
      <w:tr w14:paraId="4AB55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ign w:val="center"/>
          </w:tcPr>
          <w:p w14:paraId="4D6EDC2C">
            <w:pPr>
              <w:jc w:val="center"/>
              <w:rPr>
                <w:rFonts w:eastAsia="楷体_GB2312"/>
                <w:color w:val="000000"/>
                <w:kern w:val="0"/>
                <w:szCs w:val="21"/>
              </w:rPr>
            </w:pPr>
            <w:r>
              <w:rPr>
                <w:rFonts w:eastAsia="楷体_GB2312"/>
                <w:color w:val="000000"/>
                <w:kern w:val="0"/>
                <w:szCs w:val="21"/>
              </w:rPr>
              <w:t>7</w:t>
            </w:r>
          </w:p>
        </w:tc>
        <w:tc>
          <w:tcPr>
            <w:tcW w:w="0" w:type="auto"/>
            <w:vMerge w:val="restart"/>
            <w:noWrap/>
            <w:vAlign w:val="center"/>
          </w:tcPr>
          <w:p w14:paraId="449DD5EC">
            <w:pPr>
              <w:jc w:val="center"/>
              <w:rPr>
                <w:rFonts w:eastAsia="楷体_GB2312"/>
                <w:color w:val="000000"/>
                <w:kern w:val="0"/>
                <w:szCs w:val="21"/>
              </w:rPr>
            </w:pPr>
            <w:r>
              <w:rPr>
                <w:rFonts w:eastAsia="楷体_GB2312"/>
                <w:color w:val="000000"/>
                <w:kern w:val="0"/>
                <w:szCs w:val="21"/>
              </w:rPr>
              <w:t>时村镇</w:t>
            </w:r>
          </w:p>
        </w:tc>
        <w:tc>
          <w:tcPr>
            <w:tcW w:w="0" w:type="auto"/>
            <w:noWrap w:val="0"/>
            <w:vAlign w:val="top"/>
          </w:tcPr>
          <w:p w14:paraId="552F59E5">
            <w:pPr>
              <w:jc w:val="center"/>
              <w:rPr>
                <w:rFonts w:eastAsia="楷体_GB2312"/>
                <w:color w:val="000000"/>
                <w:kern w:val="0"/>
                <w:szCs w:val="21"/>
              </w:rPr>
            </w:pPr>
            <w:r>
              <w:rPr>
                <w:rFonts w:hint="eastAsia" w:eastAsia="楷体_GB2312"/>
                <w:color w:val="000000"/>
                <w:kern w:val="0"/>
                <w:szCs w:val="21"/>
              </w:rPr>
              <w:t>1</w:t>
            </w:r>
          </w:p>
        </w:tc>
        <w:tc>
          <w:tcPr>
            <w:tcW w:w="0" w:type="auto"/>
            <w:noWrap/>
            <w:vAlign w:val="center"/>
          </w:tcPr>
          <w:p w14:paraId="2AF38DB6">
            <w:pPr>
              <w:jc w:val="center"/>
              <w:rPr>
                <w:rFonts w:eastAsia="楷体_GB2312"/>
                <w:color w:val="000000"/>
                <w:kern w:val="0"/>
                <w:szCs w:val="21"/>
              </w:rPr>
            </w:pPr>
            <w:r>
              <w:rPr>
                <w:rFonts w:eastAsia="楷体_GB2312"/>
                <w:color w:val="000000"/>
                <w:kern w:val="0"/>
                <w:szCs w:val="21"/>
              </w:rPr>
              <w:t>515</w:t>
            </w:r>
          </w:p>
        </w:tc>
        <w:tc>
          <w:tcPr>
            <w:tcW w:w="0" w:type="auto"/>
            <w:noWrap/>
            <w:vAlign w:val="center"/>
          </w:tcPr>
          <w:p w14:paraId="0222F011">
            <w:pPr>
              <w:jc w:val="center"/>
              <w:rPr>
                <w:rFonts w:eastAsia="楷体_GB2312"/>
                <w:color w:val="000000"/>
                <w:kern w:val="0"/>
                <w:szCs w:val="21"/>
              </w:rPr>
            </w:pPr>
            <w:r>
              <w:rPr>
                <w:rFonts w:eastAsia="楷体_GB2312"/>
                <w:color w:val="000000"/>
                <w:kern w:val="0"/>
                <w:szCs w:val="21"/>
              </w:rPr>
              <w:t>390</w:t>
            </w:r>
          </w:p>
        </w:tc>
        <w:tc>
          <w:tcPr>
            <w:tcW w:w="0" w:type="auto"/>
            <w:noWrap/>
            <w:vAlign w:val="center"/>
          </w:tcPr>
          <w:p w14:paraId="3002E974">
            <w:pPr>
              <w:jc w:val="center"/>
              <w:rPr>
                <w:rFonts w:eastAsia="楷体_GB2312"/>
                <w:color w:val="000000"/>
                <w:kern w:val="0"/>
                <w:szCs w:val="21"/>
              </w:rPr>
            </w:pPr>
            <w:r>
              <w:rPr>
                <w:rFonts w:eastAsia="楷体_GB2312"/>
                <w:color w:val="000000"/>
                <w:kern w:val="0"/>
                <w:szCs w:val="21"/>
              </w:rPr>
              <w:t>200</w:t>
            </w:r>
          </w:p>
        </w:tc>
        <w:tc>
          <w:tcPr>
            <w:tcW w:w="0" w:type="auto"/>
            <w:noWrap/>
            <w:vAlign w:val="center"/>
          </w:tcPr>
          <w:p w14:paraId="12D19218">
            <w:pPr>
              <w:jc w:val="center"/>
              <w:rPr>
                <w:rFonts w:eastAsia="楷体_GB2312"/>
                <w:color w:val="000000"/>
                <w:kern w:val="0"/>
                <w:szCs w:val="21"/>
              </w:rPr>
            </w:pPr>
            <w:r>
              <w:rPr>
                <w:rFonts w:eastAsia="楷体_GB2312"/>
                <w:color w:val="000000"/>
                <w:kern w:val="0"/>
                <w:szCs w:val="21"/>
              </w:rPr>
              <w:t>370</w:t>
            </w:r>
          </w:p>
        </w:tc>
        <w:tc>
          <w:tcPr>
            <w:tcW w:w="0" w:type="auto"/>
            <w:noWrap/>
            <w:vAlign w:val="center"/>
          </w:tcPr>
          <w:p w14:paraId="622ADDFA">
            <w:pPr>
              <w:jc w:val="center"/>
              <w:rPr>
                <w:rFonts w:eastAsia="楷体_GB2312"/>
                <w:color w:val="000000"/>
                <w:kern w:val="0"/>
                <w:szCs w:val="21"/>
              </w:rPr>
            </w:pPr>
            <w:r>
              <w:rPr>
                <w:rFonts w:eastAsia="楷体_GB2312"/>
                <w:color w:val="000000"/>
                <w:kern w:val="0"/>
                <w:szCs w:val="21"/>
              </w:rPr>
              <w:t>350</w:t>
            </w:r>
          </w:p>
        </w:tc>
        <w:tc>
          <w:tcPr>
            <w:tcW w:w="0" w:type="auto"/>
            <w:noWrap/>
            <w:vAlign w:val="center"/>
          </w:tcPr>
          <w:p w14:paraId="04070422">
            <w:pPr>
              <w:jc w:val="center"/>
              <w:rPr>
                <w:rFonts w:eastAsia="楷体_GB2312"/>
                <w:color w:val="000000"/>
                <w:kern w:val="0"/>
                <w:szCs w:val="21"/>
              </w:rPr>
            </w:pPr>
            <w:r>
              <w:rPr>
                <w:rFonts w:eastAsia="楷体_GB2312"/>
                <w:color w:val="000000"/>
                <w:kern w:val="0"/>
                <w:szCs w:val="21"/>
              </w:rPr>
              <w:t>330</w:t>
            </w:r>
          </w:p>
        </w:tc>
        <w:tc>
          <w:tcPr>
            <w:tcW w:w="0" w:type="auto"/>
            <w:noWrap/>
            <w:vAlign w:val="center"/>
          </w:tcPr>
          <w:p w14:paraId="43ECAA36">
            <w:pPr>
              <w:jc w:val="center"/>
              <w:rPr>
                <w:rFonts w:eastAsia="楷体_GB2312"/>
                <w:color w:val="000000"/>
                <w:kern w:val="0"/>
                <w:szCs w:val="21"/>
              </w:rPr>
            </w:pPr>
            <w:r>
              <w:rPr>
                <w:rFonts w:eastAsia="楷体_GB2312"/>
                <w:color w:val="000000"/>
                <w:kern w:val="0"/>
                <w:szCs w:val="21"/>
              </w:rPr>
              <w:t>320</w:t>
            </w:r>
          </w:p>
        </w:tc>
        <w:tc>
          <w:tcPr>
            <w:tcW w:w="0" w:type="auto"/>
            <w:noWrap/>
            <w:vAlign w:val="center"/>
          </w:tcPr>
          <w:p w14:paraId="72E50C7E">
            <w:pPr>
              <w:jc w:val="center"/>
              <w:rPr>
                <w:rFonts w:eastAsia="楷体_GB2312"/>
                <w:color w:val="000000"/>
                <w:kern w:val="0"/>
                <w:szCs w:val="21"/>
              </w:rPr>
            </w:pPr>
            <w:r>
              <w:rPr>
                <w:rFonts w:eastAsia="楷体_GB2312"/>
                <w:color w:val="000000"/>
                <w:kern w:val="0"/>
                <w:szCs w:val="21"/>
              </w:rPr>
              <w:t>310</w:t>
            </w:r>
          </w:p>
        </w:tc>
        <w:tc>
          <w:tcPr>
            <w:tcW w:w="0" w:type="auto"/>
            <w:noWrap/>
            <w:vAlign w:val="center"/>
          </w:tcPr>
          <w:p w14:paraId="75B45D64">
            <w:pPr>
              <w:jc w:val="center"/>
              <w:rPr>
                <w:rFonts w:eastAsia="楷体_GB2312"/>
                <w:color w:val="000000"/>
                <w:kern w:val="0"/>
                <w:szCs w:val="21"/>
              </w:rPr>
            </w:pPr>
            <w:r>
              <w:rPr>
                <w:rFonts w:eastAsia="楷体_GB2312"/>
                <w:color w:val="000000"/>
                <w:kern w:val="0"/>
                <w:szCs w:val="21"/>
              </w:rPr>
              <w:t>290</w:t>
            </w:r>
          </w:p>
        </w:tc>
      </w:tr>
      <w:tr w14:paraId="7F4A4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421EA0E3">
            <w:pPr>
              <w:jc w:val="center"/>
              <w:rPr>
                <w:rFonts w:eastAsia="楷体_GB2312"/>
                <w:color w:val="000000"/>
                <w:kern w:val="0"/>
                <w:szCs w:val="21"/>
              </w:rPr>
            </w:pPr>
          </w:p>
        </w:tc>
        <w:tc>
          <w:tcPr>
            <w:tcW w:w="0" w:type="auto"/>
            <w:vMerge w:val="continue"/>
            <w:noWrap w:val="0"/>
            <w:vAlign w:val="center"/>
          </w:tcPr>
          <w:p w14:paraId="68CD9B38">
            <w:pPr>
              <w:jc w:val="center"/>
              <w:rPr>
                <w:rFonts w:eastAsia="楷体_GB2312"/>
                <w:color w:val="000000"/>
                <w:kern w:val="0"/>
                <w:szCs w:val="21"/>
              </w:rPr>
            </w:pPr>
          </w:p>
        </w:tc>
        <w:tc>
          <w:tcPr>
            <w:tcW w:w="0" w:type="auto"/>
            <w:noWrap w:val="0"/>
            <w:vAlign w:val="top"/>
          </w:tcPr>
          <w:p w14:paraId="56046C67">
            <w:pPr>
              <w:jc w:val="center"/>
              <w:rPr>
                <w:rFonts w:eastAsia="楷体_GB2312"/>
                <w:color w:val="000000"/>
                <w:kern w:val="0"/>
                <w:szCs w:val="21"/>
              </w:rPr>
            </w:pPr>
            <w:r>
              <w:rPr>
                <w:rFonts w:hint="eastAsia" w:eastAsia="楷体_GB2312"/>
                <w:color w:val="000000"/>
                <w:kern w:val="0"/>
                <w:szCs w:val="21"/>
              </w:rPr>
              <w:t>2</w:t>
            </w:r>
          </w:p>
        </w:tc>
        <w:tc>
          <w:tcPr>
            <w:tcW w:w="0" w:type="auto"/>
            <w:noWrap/>
            <w:vAlign w:val="center"/>
          </w:tcPr>
          <w:p w14:paraId="24F704F7">
            <w:pPr>
              <w:jc w:val="center"/>
              <w:rPr>
                <w:rFonts w:eastAsia="楷体_GB2312"/>
                <w:color w:val="000000"/>
                <w:kern w:val="0"/>
                <w:szCs w:val="21"/>
              </w:rPr>
            </w:pPr>
            <w:r>
              <w:rPr>
                <w:rFonts w:eastAsia="楷体_GB2312"/>
                <w:color w:val="000000"/>
                <w:kern w:val="0"/>
                <w:szCs w:val="21"/>
              </w:rPr>
              <w:t>405</w:t>
            </w:r>
          </w:p>
        </w:tc>
        <w:tc>
          <w:tcPr>
            <w:tcW w:w="0" w:type="auto"/>
            <w:noWrap/>
            <w:vAlign w:val="center"/>
          </w:tcPr>
          <w:p w14:paraId="3FC02D5C">
            <w:pPr>
              <w:jc w:val="center"/>
              <w:rPr>
                <w:rFonts w:eastAsia="楷体_GB2312"/>
                <w:color w:val="000000"/>
                <w:kern w:val="0"/>
                <w:szCs w:val="21"/>
              </w:rPr>
            </w:pPr>
            <w:r>
              <w:rPr>
                <w:rFonts w:eastAsia="楷体_GB2312"/>
                <w:color w:val="000000"/>
                <w:kern w:val="0"/>
                <w:szCs w:val="21"/>
              </w:rPr>
              <w:t>280</w:t>
            </w:r>
          </w:p>
        </w:tc>
        <w:tc>
          <w:tcPr>
            <w:tcW w:w="0" w:type="auto"/>
            <w:noWrap/>
            <w:vAlign w:val="center"/>
          </w:tcPr>
          <w:p w14:paraId="50CBE4CD">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298D6A8A">
            <w:pPr>
              <w:jc w:val="center"/>
              <w:rPr>
                <w:rFonts w:eastAsia="楷体_GB2312"/>
                <w:color w:val="000000"/>
                <w:kern w:val="0"/>
                <w:szCs w:val="21"/>
              </w:rPr>
            </w:pPr>
            <w:r>
              <w:rPr>
                <w:rFonts w:eastAsia="楷体_GB2312"/>
                <w:color w:val="000000"/>
                <w:kern w:val="0"/>
                <w:szCs w:val="21"/>
              </w:rPr>
              <w:t>270</w:t>
            </w:r>
          </w:p>
        </w:tc>
        <w:tc>
          <w:tcPr>
            <w:tcW w:w="0" w:type="auto"/>
            <w:noWrap/>
            <w:vAlign w:val="center"/>
          </w:tcPr>
          <w:p w14:paraId="79ADDB8B">
            <w:pPr>
              <w:jc w:val="center"/>
              <w:rPr>
                <w:rFonts w:eastAsia="楷体_GB2312"/>
                <w:color w:val="000000"/>
                <w:kern w:val="0"/>
                <w:szCs w:val="21"/>
              </w:rPr>
            </w:pPr>
            <w:r>
              <w:rPr>
                <w:rFonts w:eastAsia="楷体_GB2312"/>
                <w:color w:val="000000"/>
                <w:kern w:val="0"/>
                <w:szCs w:val="21"/>
              </w:rPr>
              <w:t>260</w:t>
            </w:r>
          </w:p>
        </w:tc>
        <w:tc>
          <w:tcPr>
            <w:tcW w:w="0" w:type="auto"/>
            <w:noWrap/>
            <w:vAlign w:val="center"/>
          </w:tcPr>
          <w:p w14:paraId="7A63114B">
            <w:pPr>
              <w:jc w:val="center"/>
              <w:rPr>
                <w:rFonts w:eastAsia="楷体_GB2312"/>
                <w:color w:val="000000"/>
                <w:kern w:val="0"/>
                <w:szCs w:val="21"/>
              </w:rPr>
            </w:pPr>
            <w:r>
              <w:rPr>
                <w:rFonts w:eastAsia="楷体_GB2312"/>
                <w:color w:val="000000"/>
                <w:kern w:val="0"/>
                <w:szCs w:val="21"/>
              </w:rPr>
              <w:t>250</w:t>
            </w:r>
          </w:p>
        </w:tc>
        <w:tc>
          <w:tcPr>
            <w:tcW w:w="0" w:type="auto"/>
            <w:noWrap/>
            <w:vAlign w:val="center"/>
          </w:tcPr>
          <w:p w14:paraId="4A75368D">
            <w:pPr>
              <w:jc w:val="center"/>
              <w:rPr>
                <w:rFonts w:eastAsia="楷体_GB2312"/>
                <w:color w:val="000000"/>
                <w:kern w:val="0"/>
                <w:szCs w:val="21"/>
              </w:rPr>
            </w:pPr>
            <w:r>
              <w:rPr>
                <w:rFonts w:eastAsia="楷体_GB2312"/>
                <w:color w:val="000000"/>
                <w:kern w:val="0"/>
                <w:szCs w:val="21"/>
              </w:rPr>
              <w:t>240</w:t>
            </w:r>
          </w:p>
        </w:tc>
        <w:tc>
          <w:tcPr>
            <w:tcW w:w="0" w:type="auto"/>
            <w:noWrap/>
            <w:vAlign w:val="center"/>
          </w:tcPr>
          <w:p w14:paraId="7BD8C44E">
            <w:pPr>
              <w:jc w:val="center"/>
              <w:rPr>
                <w:rFonts w:eastAsia="楷体_GB2312"/>
                <w:color w:val="000000"/>
                <w:kern w:val="0"/>
                <w:szCs w:val="21"/>
              </w:rPr>
            </w:pPr>
            <w:r>
              <w:rPr>
                <w:rFonts w:eastAsia="楷体_GB2312"/>
                <w:color w:val="000000"/>
                <w:kern w:val="0"/>
                <w:szCs w:val="21"/>
              </w:rPr>
              <w:t>235</w:t>
            </w:r>
          </w:p>
        </w:tc>
        <w:tc>
          <w:tcPr>
            <w:tcW w:w="0" w:type="auto"/>
            <w:noWrap/>
            <w:vAlign w:val="center"/>
          </w:tcPr>
          <w:p w14:paraId="496ADD01">
            <w:pPr>
              <w:jc w:val="center"/>
              <w:rPr>
                <w:rFonts w:eastAsia="楷体_GB2312"/>
                <w:color w:val="000000"/>
                <w:kern w:val="0"/>
                <w:szCs w:val="21"/>
              </w:rPr>
            </w:pPr>
            <w:r>
              <w:rPr>
                <w:rFonts w:eastAsia="楷体_GB2312"/>
                <w:color w:val="000000"/>
                <w:kern w:val="0"/>
                <w:szCs w:val="21"/>
              </w:rPr>
              <w:t>225</w:t>
            </w:r>
          </w:p>
        </w:tc>
      </w:tr>
      <w:tr w14:paraId="62ADD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23D9C0A6">
            <w:pPr>
              <w:jc w:val="center"/>
              <w:rPr>
                <w:rFonts w:eastAsia="楷体_GB2312"/>
                <w:color w:val="000000"/>
                <w:kern w:val="0"/>
                <w:szCs w:val="21"/>
              </w:rPr>
            </w:pPr>
          </w:p>
        </w:tc>
        <w:tc>
          <w:tcPr>
            <w:tcW w:w="0" w:type="auto"/>
            <w:vMerge w:val="continue"/>
            <w:noWrap w:val="0"/>
            <w:vAlign w:val="center"/>
          </w:tcPr>
          <w:p w14:paraId="1C26284D">
            <w:pPr>
              <w:jc w:val="center"/>
              <w:rPr>
                <w:rFonts w:eastAsia="楷体_GB2312"/>
                <w:color w:val="000000"/>
                <w:kern w:val="0"/>
                <w:szCs w:val="21"/>
              </w:rPr>
            </w:pPr>
          </w:p>
        </w:tc>
        <w:tc>
          <w:tcPr>
            <w:tcW w:w="0" w:type="auto"/>
            <w:noWrap w:val="0"/>
            <w:vAlign w:val="top"/>
          </w:tcPr>
          <w:p w14:paraId="6CE3A9FF">
            <w:pPr>
              <w:jc w:val="center"/>
              <w:rPr>
                <w:rFonts w:eastAsia="楷体_GB2312"/>
                <w:color w:val="000000"/>
                <w:kern w:val="0"/>
                <w:szCs w:val="21"/>
              </w:rPr>
            </w:pPr>
            <w:r>
              <w:rPr>
                <w:rFonts w:hint="eastAsia" w:eastAsia="楷体_GB2312"/>
                <w:color w:val="000000"/>
                <w:kern w:val="0"/>
                <w:szCs w:val="21"/>
              </w:rPr>
              <w:t>3</w:t>
            </w:r>
          </w:p>
        </w:tc>
        <w:tc>
          <w:tcPr>
            <w:tcW w:w="0" w:type="auto"/>
            <w:noWrap/>
            <w:vAlign w:val="center"/>
          </w:tcPr>
          <w:p w14:paraId="54D5433C">
            <w:pPr>
              <w:jc w:val="center"/>
              <w:rPr>
                <w:rFonts w:eastAsia="楷体_GB2312"/>
                <w:color w:val="000000"/>
                <w:kern w:val="0"/>
                <w:szCs w:val="21"/>
              </w:rPr>
            </w:pPr>
            <w:r>
              <w:rPr>
                <w:rFonts w:eastAsia="楷体_GB2312"/>
                <w:color w:val="000000"/>
                <w:kern w:val="0"/>
                <w:szCs w:val="21"/>
              </w:rPr>
              <w:t>315</w:t>
            </w:r>
          </w:p>
        </w:tc>
        <w:tc>
          <w:tcPr>
            <w:tcW w:w="0" w:type="auto"/>
            <w:noWrap/>
            <w:vAlign w:val="center"/>
          </w:tcPr>
          <w:p w14:paraId="06708500">
            <w:pPr>
              <w:jc w:val="center"/>
              <w:rPr>
                <w:rFonts w:eastAsia="楷体_GB2312"/>
                <w:color w:val="000000"/>
                <w:kern w:val="0"/>
                <w:szCs w:val="21"/>
              </w:rPr>
            </w:pPr>
            <w:r>
              <w:rPr>
                <w:rFonts w:eastAsia="楷体_GB2312"/>
                <w:color w:val="000000"/>
                <w:kern w:val="0"/>
                <w:szCs w:val="21"/>
              </w:rPr>
              <w:t>200</w:t>
            </w:r>
          </w:p>
        </w:tc>
        <w:tc>
          <w:tcPr>
            <w:tcW w:w="0" w:type="auto"/>
            <w:noWrap/>
            <w:vAlign w:val="center"/>
          </w:tcPr>
          <w:p w14:paraId="1FEEB6EC">
            <w:pPr>
              <w:jc w:val="center"/>
              <w:rPr>
                <w:rFonts w:eastAsia="楷体_GB2312"/>
                <w:color w:val="000000"/>
                <w:kern w:val="0"/>
                <w:szCs w:val="21"/>
              </w:rPr>
            </w:pPr>
            <w:r>
              <w:rPr>
                <w:rFonts w:eastAsia="楷体_GB2312"/>
                <w:color w:val="000000"/>
                <w:kern w:val="0"/>
                <w:szCs w:val="21"/>
              </w:rPr>
              <w:t>144</w:t>
            </w:r>
          </w:p>
        </w:tc>
        <w:tc>
          <w:tcPr>
            <w:tcW w:w="0" w:type="auto"/>
            <w:noWrap/>
            <w:vAlign w:val="center"/>
          </w:tcPr>
          <w:p w14:paraId="3168A828">
            <w:pPr>
              <w:jc w:val="center"/>
              <w:rPr>
                <w:rFonts w:eastAsia="楷体_GB2312"/>
                <w:kern w:val="0"/>
                <w:szCs w:val="21"/>
              </w:rPr>
            </w:pPr>
            <w:r>
              <w:rPr>
                <w:rFonts w:eastAsia="楷体_GB2312"/>
                <w:kern w:val="0"/>
                <w:szCs w:val="21"/>
              </w:rPr>
              <w:t>190</w:t>
            </w:r>
          </w:p>
        </w:tc>
        <w:tc>
          <w:tcPr>
            <w:tcW w:w="0" w:type="auto"/>
            <w:noWrap/>
            <w:vAlign w:val="center"/>
          </w:tcPr>
          <w:p w14:paraId="7A086493">
            <w:pPr>
              <w:jc w:val="center"/>
              <w:rPr>
                <w:rFonts w:eastAsia="楷体_GB2312"/>
                <w:kern w:val="0"/>
                <w:szCs w:val="21"/>
              </w:rPr>
            </w:pPr>
            <w:r>
              <w:rPr>
                <w:rFonts w:eastAsia="楷体_GB2312"/>
                <w:kern w:val="0"/>
                <w:szCs w:val="21"/>
              </w:rPr>
              <w:t>185</w:t>
            </w:r>
          </w:p>
        </w:tc>
        <w:tc>
          <w:tcPr>
            <w:tcW w:w="0" w:type="auto"/>
            <w:noWrap/>
            <w:vAlign w:val="center"/>
          </w:tcPr>
          <w:p w14:paraId="14006AEA">
            <w:pPr>
              <w:jc w:val="center"/>
              <w:rPr>
                <w:rFonts w:eastAsia="楷体_GB2312"/>
                <w:kern w:val="0"/>
                <w:szCs w:val="21"/>
              </w:rPr>
            </w:pPr>
            <w:r>
              <w:rPr>
                <w:rFonts w:eastAsia="楷体_GB2312"/>
                <w:kern w:val="0"/>
                <w:szCs w:val="21"/>
              </w:rPr>
              <w:t>180</w:t>
            </w:r>
          </w:p>
        </w:tc>
        <w:tc>
          <w:tcPr>
            <w:tcW w:w="0" w:type="auto"/>
            <w:noWrap/>
            <w:vAlign w:val="center"/>
          </w:tcPr>
          <w:p w14:paraId="3AA08376">
            <w:pPr>
              <w:jc w:val="center"/>
              <w:rPr>
                <w:rFonts w:eastAsia="楷体_GB2312"/>
                <w:kern w:val="0"/>
                <w:szCs w:val="21"/>
              </w:rPr>
            </w:pPr>
            <w:r>
              <w:rPr>
                <w:rFonts w:eastAsia="楷体_GB2312"/>
                <w:kern w:val="0"/>
                <w:szCs w:val="21"/>
              </w:rPr>
              <w:t>175</w:t>
            </w:r>
          </w:p>
        </w:tc>
        <w:tc>
          <w:tcPr>
            <w:tcW w:w="0" w:type="auto"/>
            <w:noWrap/>
            <w:vAlign w:val="center"/>
          </w:tcPr>
          <w:p w14:paraId="37DDACA8">
            <w:pPr>
              <w:jc w:val="center"/>
              <w:rPr>
                <w:rFonts w:eastAsia="楷体_GB2312"/>
                <w:kern w:val="0"/>
                <w:szCs w:val="21"/>
              </w:rPr>
            </w:pPr>
            <w:r>
              <w:rPr>
                <w:rFonts w:eastAsia="楷体_GB2312"/>
                <w:kern w:val="0"/>
                <w:szCs w:val="21"/>
              </w:rPr>
              <w:t>170</w:t>
            </w:r>
          </w:p>
        </w:tc>
        <w:tc>
          <w:tcPr>
            <w:tcW w:w="0" w:type="auto"/>
            <w:noWrap/>
            <w:vAlign w:val="center"/>
          </w:tcPr>
          <w:p w14:paraId="774DAD4F">
            <w:pPr>
              <w:jc w:val="center"/>
              <w:rPr>
                <w:rFonts w:eastAsia="楷体_GB2312"/>
                <w:kern w:val="0"/>
                <w:szCs w:val="21"/>
              </w:rPr>
            </w:pPr>
            <w:r>
              <w:rPr>
                <w:rFonts w:eastAsia="楷体_GB2312"/>
                <w:kern w:val="0"/>
                <w:szCs w:val="21"/>
              </w:rPr>
              <w:t>165</w:t>
            </w:r>
          </w:p>
        </w:tc>
      </w:tr>
      <w:tr w14:paraId="622EC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ign w:val="center"/>
          </w:tcPr>
          <w:p w14:paraId="2FAF18ED">
            <w:pPr>
              <w:jc w:val="center"/>
              <w:rPr>
                <w:rFonts w:eastAsia="楷体_GB2312"/>
                <w:color w:val="000000"/>
                <w:kern w:val="0"/>
                <w:szCs w:val="21"/>
              </w:rPr>
            </w:pPr>
            <w:r>
              <w:rPr>
                <w:rFonts w:eastAsia="楷体_GB2312"/>
                <w:color w:val="000000"/>
                <w:kern w:val="0"/>
                <w:szCs w:val="21"/>
              </w:rPr>
              <w:t>8</w:t>
            </w:r>
          </w:p>
        </w:tc>
        <w:tc>
          <w:tcPr>
            <w:tcW w:w="0" w:type="auto"/>
            <w:vMerge w:val="restart"/>
            <w:noWrap/>
            <w:vAlign w:val="center"/>
          </w:tcPr>
          <w:p w14:paraId="4F556158">
            <w:pPr>
              <w:jc w:val="center"/>
              <w:rPr>
                <w:rFonts w:eastAsia="楷体_GB2312"/>
                <w:color w:val="000000"/>
                <w:kern w:val="0"/>
                <w:szCs w:val="21"/>
              </w:rPr>
            </w:pPr>
            <w:r>
              <w:rPr>
                <w:rFonts w:eastAsia="楷体_GB2312"/>
                <w:color w:val="000000"/>
                <w:kern w:val="0"/>
                <w:szCs w:val="21"/>
              </w:rPr>
              <w:t>夹沟镇</w:t>
            </w:r>
          </w:p>
        </w:tc>
        <w:tc>
          <w:tcPr>
            <w:tcW w:w="0" w:type="auto"/>
            <w:noWrap w:val="0"/>
            <w:vAlign w:val="top"/>
          </w:tcPr>
          <w:p w14:paraId="79E3AD2A">
            <w:pPr>
              <w:jc w:val="center"/>
              <w:rPr>
                <w:rFonts w:eastAsia="楷体_GB2312"/>
                <w:color w:val="000000"/>
                <w:kern w:val="0"/>
                <w:szCs w:val="21"/>
              </w:rPr>
            </w:pPr>
            <w:r>
              <w:rPr>
                <w:rFonts w:hint="eastAsia" w:eastAsia="楷体_GB2312"/>
                <w:color w:val="000000"/>
                <w:kern w:val="0"/>
                <w:szCs w:val="21"/>
              </w:rPr>
              <w:t>1</w:t>
            </w:r>
          </w:p>
        </w:tc>
        <w:tc>
          <w:tcPr>
            <w:tcW w:w="0" w:type="auto"/>
            <w:noWrap/>
            <w:vAlign w:val="center"/>
          </w:tcPr>
          <w:p w14:paraId="2FCF262C">
            <w:pPr>
              <w:jc w:val="center"/>
              <w:rPr>
                <w:rFonts w:eastAsia="楷体_GB2312"/>
                <w:color w:val="000000"/>
                <w:kern w:val="0"/>
                <w:szCs w:val="21"/>
              </w:rPr>
            </w:pPr>
            <w:r>
              <w:rPr>
                <w:rFonts w:eastAsia="楷体_GB2312"/>
                <w:color w:val="000000"/>
                <w:kern w:val="0"/>
                <w:szCs w:val="21"/>
              </w:rPr>
              <w:t>505</w:t>
            </w:r>
          </w:p>
        </w:tc>
        <w:tc>
          <w:tcPr>
            <w:tcW w:w="0" w:type="auto"/>
            <w:noWrap/>
            <w:vAlign w:val="center"/>
          </w:tcPr>
          <w:p w14:paraId="01E38F6C">
            <w:pPr>
              <w:jc w:val="center"/>
              <w:rPr>
                <w:rFonts w:eastAsia="楷体_GB2312"/>
                <w:color w:val="000000"/>
                <w:kern w:val="0"/>
                <w:szCs w:val="21"/>
              </w:rPr>
            </w:pPr>
            <w:r>
              <w:rPr>
                <w:rFonts w:eastAsia="楷体_GB2312"/>
                <w:color w:val="000000"/>
                <w:kern w:val="0"/>
                <w:szCs w:val="21"/>
              </w:rPr>
              <w:t>380</w:t>
            </w:r>
          </w:p>
        </w:tc>
        <w:tc>
          <w:tcPr>
            <w:tcW w:w="0" w:type="auto"/>
            <w:noWrap/>
            <w:vAlign w:val="center"/>
          </w:tcPr>
          <w:p w14:paraId="1BFE9293">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6D519A07">
            <w:pPr>
              <w:jc w:val="center"/>
              <w:rPr>
                <w:rFonts w:eastAsia="楷体_GB2312"/>
                <w:color w:val="000000"/>
                <w:kern w:val="0"/>
                <w:szCs w:val="21"/>
              </w:rPr>
            </w:pPr>
            <w:r>
              <w:rPr>
                <w:rFonts w:eastAsia="楷体_GB2312"/>
                <w:color w:val="000000"/>
                <w:kern w:val="0"/>
                <w:szCs w:val="21"/>
              </w:rPr>
              <w:t>360</w:t>
            </w:r>
          </w:p>
        </w:tc>
        <w:tc>
          <w:tcPr>
            <w:tcW w:w="0" w:type="auto"/>
            <w:noWrap/>
            <w:vAlign w:val="center"/>
          </w:tcPr>
          <w:p w14:paraId="07894958">
            <w:pPr>
              <w:jc w:val="center"/>
              <w:rPr>
                <w:rFonts w:eastAsia="楷体_GB2312"/>
                <w:color w:val="000000"/>
                <w:kern w:val="0"/>
                <w:szCs w:val="21"/>
              </w:rPr>
            </w:pPr>
            <w:r>
              <w:rPr>
                <w:rFonts w:eastAsia="楷体_GB2312"/>
                <w:color w:val="000000"/>
                <w:kern w:val="0"/>
                <w:szCs w:val="21"/>
              </w:rPr>
              <w:t>340</w:t>
            </w:r>
          </w:p>
        </w:tc>
        <w:tc>
          <w:tcPr>
            <w:tcW w:w="0" w:type="auto"/>
            <w:noWrap/>
            <w:vAlign w:val="center"/>
          </w:tcPr>
          <w:p w14:paraId="60E6564F">
            <w:pPr>
              <w:jc w:val="center"/>
              <w:rPr>
                <w:rFonts w:eastAsia="楷体_GB2312"/>
                <w:color w:val="000000"/>
                <w:kern w:val="0"/>
                <w:szCs w:val="21"/>
              </w:rPr>
            </w:pPr>
            <w:r>
              <w:rPr>
                <w:rFonts w:eastAsia="楷体_GB2312"/>
                <w:color w:val="000000"/>
                <w:kern w:val="0"/>
                <w:szCs w:val="21"/>
              </w:rPr>
              <w:t>320</w:t>
            </w:r>
          </w:p>
        </w:tc>
        <w:tc>
          <w:tcPr>
            <w:tcW w:w="0" w:type="auto"/>
            <w:noWrap/>
            <w:vAlign w:val="center"/>
          </w:tcPr>
          <w:p w14:paraId="54DC457C">
            <w:pPr>
              <w:jc w:val="center"/>
              <w:rPr>
                <w:rFonts w:eastAsia="楷体_GB2312"/>
                <w:color w:val="000000"/>
                <w:kern w:val="0"/>
                <w:szCs w:val="21"/>
              </w:rPr>
            </w:pPr>
            <w:r>
              <w:rPr>
                <w:rFonts w:eastAsia="楷体_GB2312"/>
                <w:color w:val="000000"/>
                <w:kern w:val="0"/>
                <w:szCs w:val="21"/>
              </w:rPr>
              <w:t>310</w:t>
            </w:r>
          </w:p>
        </w:tc>
        <w:tc>
          <w:tcPr>
            <w:tcW w:w="0" w:type="auto"/>
            <w:noWrap/>
            <w:vAlign w:val="center"/>
          </w:tcPr>
          <w:p w14:paraId="1F00FBB7">
            <w:pPr>
              <w:jc w:val="center"/>
              <w:rPr>
                <w:rFonts w:eastAsia="楷体_GB2312"/>
                <w:color w:val="000000"/>
                <w:kern w:val="0"/>
                <w:szCs w:val="21"/>
              </w:rPr>
            </w:pPr>
            <w:r>
              <w:rPr>
                <w:rFonts w:eastAsia="楷体_GB2312"/>
                <w:color w:val="000000"/>
                <w:kern w:val="0"/>
                <w:szCs w:val="21"/>
              </w:rPr>
              <w:t>300</w:t>
            </w:r>
          </w:p>
        </w:tc>
        <w:tc>
          <w:tcPr>
            <w:tcW w:w="0" w:type="auto"/>
            <w:noWrap/>
            <w:vAlign w:val="center"/>
          </w:tcPr>
          <w:p w14:paraId="626FF5A7">
            <w:pPr>
              <w:jc w:val="center"/>
              <w:rPr>
                <w:rFonts w:eastAsia="楷体_GB2312"/>
                <w:color w:val="000000"/>
                <w:kern w:val="0"/>
                <w:szCs w:val="21"/>
              </w:rPr>
            </w:pPr>
            <w:r>
              <w:rPr>
                <w:rFonts w:eastAsia="楷体_GB2312"/>
                <w:color w:val="000000"/>
                <w:kern w:val="0"/>
                <w:szCs w:val="21"/>
              </w:rPr>
              <w:t>280</w:t>
            </w:r>
          </w:p>
        </w:tc>
      </w:tr>
      <w:tr w14:paraId="2F567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44F74536">
            <w:pPr>
              <w:jc w:val="center"/>
              <w:rPr>
                <w:rFonts w:eastAsia="楷体_GB2312"/>
                <w:color w:val="000000"/>
                <w:kern w:val="0"/>
                <w:szCs w:val="21"/>
              </w:rPr>
            </w:pPr>
          </w:p>
        </w:tc>
        <w:tc>
          <w:tcPr>
            <w:tcW w:w="0" w:type="auto"/>
            <w:vMerge w:val="continue"/>
            <w:noWrap w:val="0"/>
            <w:vAlign w:val="center"/>
          </w:tcPr>
          <w:p w14:paraId="7670CE80">
            <w:pPr>
              <w:jc w:val="center"/>
              <w:rPr>
                <w:rFonts w:eastAsia="楷体_GB2312"/>
                <w:color w:val="000000"/>
                <w:kern w:val="0"/>
                <w:szCs w:val="21"/>
              </w:rPr>
            </w:pPr>
          </w:p>
        </w:tc>
        <w:tc>
          <w:tcPr>
            <w:tcW w:w="0" w:type="auto"/>
            <w:noWrap w:val="0"/>
            <w:vAlign w:val="top"/>
          </w:tcPr>
          <w:p w14:paraId="2AFAC1C8">
            <w:pPr>
              <w:jc w:val="center"/>
              <w:rPr>
                <w:rFonts w:eastAsia="楷体_GB2312"/>
                <w:color w:val="000000"/>
                <w:kern w:val="0"/>
                <w:szCs w:val="21"/>
              </w:rPr>
            </w:pPr>
            <w:r>
              <w:rPr>
                <w:rFonts w:hint="eastAsia" w:eastAsia="楷体_GB2312"/>
                <w:color w:val="000000"/>
                <w:kern w:val="0"/>
                <w:szCs w:val="21"/>
              </w:rPr>
              <w:t>2</w:t>
            </w:r>
          </w:p>
        </w:tc>
        <w:tc>
          <w:tcPr>
            <w:tcW w:w="0" w:type="auto"/>
            <w:noWrap/>
            <w:vAlign w:val="center"/>
          </w:tcPr>
          <w:p w14:paraId="553C0F10">
            <w:pPr>
              <w:jc w:val="center"/>
              <w:rPr>
                <w:rFonts w:eastAsia="楷体_GB2312"/>
                <w:color w:val="000000"/>
                <w:kern w:val="0"/>
                <w:szCs w:val="21"/>
              </w:rPr>
            </w:pPr>
            <w:r>
              <w:rPr>
                <w:rFonts w:eastAsia="楷体_GB2312"/>
                <w:color w:val="000000"/>
                <w:kern w:val="0"/>
                <w:szCs w:val="21"/>
              </w:rPr>
              <w:t>395</w:t>
            </w:r>
          </w:p>
        </w:tc>
        <w:tc>
          <w:tcPr>
            <w:tcW w:w="0" w:type="auto"/>
            <w:noWrap/>
            <w:vAlign w:val="center"/>
          </w:tcPr>
          <w:p w14:paraId="0F567576">
            <w:pPr>
              <w:jc w:val="center"/>
              <w:rPr>
                <w:rFonts w:eastAsia="楷体_GB2312"/>
                <w:color w:val="000000"/>
                <w:kern w:val="0"/>
                <w:szCs w:val="21"/>
              </w:rPr>
            </w:pPr>
            <w:r>
              <w:rPr>
                <w:rFonts w:eastAsia="楷体_GB2312"/>
                <w:color w:val="000000"/>
                <w:kern w:val="0"/>
                <w:szCs w:val="21"/>
              </w:rPr>
              <w:t>290</w:t>
            </w:r>
          </w:p>
        </w:tc>
        <w:tc>
          <w:tcPr>
            <w:tcW w:w="0" w:type="auto"/>
            <w:noWrap/>
            <w:vAlign w:val="center"/>
          </w:tcPr>
          <w:p w14:paraId="45958779">
            <w:pPr>
              <w:jc w:val="center"/>
              <w:rPr>
                <w:rFonts w:eastAsia="楷体_GB2312"/>
                <w:color w:val="000000"/>
                <w:kern w:val="0"/>
                <w:szCs w:val="21"/>
              </w:rPr>
            </w:pPr>
            <w:r>
              <w:rPr>
                <w:rFonts w:eastAsia="楷体_GB2312"/>
                <w:color w:val="000000"/>
                <w:kern w:val="0"/>
                <w:szCs w:val="21"/>
              </w:rPr>
              <w:t>155</w:t>
            </w:r>
          </w:p>
        </w:tc>
        <w:tc>
          <w:tcPr>
            <w:tcW w:w="0" w:type="auto"/>
            <w:noWrap/>
            <w:vAlign w:val="center"/>
          </w:tcPr>
          <w:p w14:paraId="1A2D8FA9">
            <w:pPr>
              <w:jc w:val="center"/>
              <w:rPr>
                <w:rFonts w:eastAsia="楷体_GB2312"/>
                <w:color w:val="000000"/>
                <w:kern w:val="0"/>
                <w:szCs w:val="21"/>
              </w:rPr>
            </w:pPr>
            <w:r>
              <w:rPr>
                <w:rFonts w:eastAsia="楷体_GB2312"/>
                <w:color w:val="000000"/>
                <w:kern w:val="0"/>
                <w:szCs w:val="21"/>
              </w:rPr>
              <w:t>280</w:t>
            </w:r>
          </w:p>
        </w:tc>
        <w:tc>
          <w:tcPr>
            <w:tcW w:w="0" w:type="auto"/>
            <w:noWrap/>
            <w:vAlign w:val="center"/>
          </w:tcPr>
          <w:p w14:paraId="4A1783AE">
            <w:pPr>
              <w:jc w:val="center"/>
              <w:rPr>
                <w:rFonts w:eastAsia="楷体_GB2312"/>
                <w:color w:val="000000"/>
                <w:kern w:val="0"/>
                <w:szCs w:val="21"/>
              </w:rPr>
            </w:pPr>
            <w:r>
              <w:rPr>
                <w:rFonts w:eastAsia="楷体_GB2312"/>
                <w:color w:val="000000"/>
                <w:kern w:val="0"/>
                <w:szCs w:val="21"/>
              </w:rPr>
              <w:t>270</w:t>
            </w:r>
          </w:p>
        </w:tc>
        <w:tc>
          <w:tcPr>
            <w:tcW w:w="0" w:type="auto"/>
            <w:noWrap/>
            <w:vAlign w:val="center"/>
          </w:tcPr>
          <w:p w14:paraId="71134D93">
            <w:pPr>
              <w:jc w:val="center"/>
              <w:rPr>
                <w:rFonts w:eastAsia="楷体_GB2312"/>
                <w:color w:val="000000"/>
                <w:kern w:val="0"/>
                <w:szCs w:val="21"/>
              </w:rPr>
            </w:pPr>
            <w:r>
              <w:rPr>
                <w:rFonts w:eastAsia="楷体_GB2312"/>
                <w:color w:val="000000"/>
                <w:kern w:val="0"/>
                <w:szCs w:val="21"/>
              </w:rPr>
              <w:t>260</w:t>
            </w:r>
          </w:p>
        </w:tc>
        <w:tc>
          <w:tcPr>
            <w:tcW w:w="0" w:type="auto"/>
            <w:noWrap/>
            <w:vAlign w:val="center"/>
          </w:tcPr>
          <w:p w14:paraId="1F6C2EF7">
            <w:pPr>
              <w:jc w:val="center"/>
              <w:rPr>
                <w:rFonts w:eastAsia="楷体_GB2312"/>
                <w:color w:val="000000"/>
                <w:kern w:val="0"/>
                <w:szCs w:val="21"/>
              </w:rPr>
            </w:pPr>
            <w:r>
              <w:rPr>
                <w:rFonts w:eastAsia="楷体_GB2312"/>
                <w:color w:val="000000"/>
                <w:kern w:val="0"/>
                <w:szCs w:val="21"/>
              </w:rPr>
              <w:t>250</w:t>
            </w:r>
          </w:p>
        </w:tc>
        <w:tc>
          <w:tcPr>
            <w:tcW w:w="0" w:type="auto"/>
            <w:noWrap/>
            <w:vAlign w:val="center"/>
          </w:tcPr>
          <w:p w14:paraId="0FA988FF">
            <w:pPr>
              <w:jc w:val="center"/>
              <w:rPr>
                <w:rFonts w:eastAsia="楷体_GB2312"/>
                <w:color w:val="000000"/>
                <w:kern w:val="0"/>
                <w:szCs w:val="21"/>
              </w:rPr>
            </w:pPr>
            <w:r>
              <w:rPr>
                <w:rFonts w:eastAsia="楷体_GB2312"/>
                <w:color w:val="000000"/>
                <w:kern w:val="0"/>
                <w:szCs w:val="21"/>
              </w:rPr>
              <w:t>240</w:t>
            </w:r>
          </w:p>
        </w:tc>
        <w:tc>
          <w:tcPr>
            <w:tcW w:w="0" w:type="auto"/>
            <w:noWrap/>
            <w:vAlign w:val="center"/>
          </w:tcPr>
          <w:p w14:paraId="2EAA84C8">
            <w:pPr>
              <w:jc w:val="center"/>
              <w:rPr>
                <w:rFonts w:eastAsia="楷体_GB2312"/>
                <w:color w:val="000000"/>
                <w:kern w:val="0"/>
                <w:szCs w:val="21"/>
              </w:rPr>
            </w:pPr>
            <w:r>
              <w:rPr>
                <w:rFonts w:eastAsia="楷体_GB2312"/>
                <w:color w:val="000000"/>
                <w:kern w:val="0"/>
                <w:szCs w:val="21"/>
              </w:rPr>
              <w:t>230</w:t>
            </w:r>
          </w:p>
        </w:tc>
      </w:tr>
      <w:tr w14:paraId="04780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0F9FCF1C">
            <w:pPr>
              <w:jc w:val="center"/>
              <w:rPr>
                <w:rFonts w:eastAsia="楷体_GB2312"/>
                <w:color w:val="000000"/>
                <w:kern w:val="0"/>
                <w:szCs w:val="21"/>
              </w:rPr>
            </w:pPr>
          </w:p>
        </w:tc>
        <w:tc>
          <w:tcPr>
            <w:tcW w:w="0" w:type="auto"/>
            <w:vMerge w:val="continue"/>
            <w:noWrap w:val="0"/>
            <w:vAlign w:val="center"/>
          </w:tcPr>
          <w:p w14:paraId="31B825E2">
            <w:pPr>
              <w:jc w:val="center"/>
              <w:rPr>
                <w:rFonts w:eastAsia="楷体_GB2312"/>
                <w:color w:val="000000"/>
                <w:kern w:val="0"/>
                <w:szCs w:val="21"/>
              </w:rPr>
            </w:pPr>
          </w:p>
        </w:tc>
        <w:tc>
          <w:tcPr>
            <w:tcW w:w="0" w:type="auto"/>
            <w:noWrap w:val="0"/>
            <w:vAlign w:val="top"/>
          </w:tcPr>
          <w:p w14:paraId="255B3F4B">
            <w:pPr>
              <w:jc w:val="center"/>
              <w:rPr>
                <w:rFonts w:eastAsia="楷体_GB2312"/>
                <w:color w:val="000000"/>
                <w:kern w:val="0"/>
                <w:szCs w:val="21"/>
              </w:rPr>
            </w:pPr>
            <w:r>
              <w:rPr>
                <w:rFonts w:hint="eastAsia" w:eastAsia="楷体_GB2312"/>
                <w:color w:val="000000"/>
                <w:kern w:val="0"/>
                <w:szCs w:val="21"/>
              </w:rPr>
              <w:t>3</w:t>
            </w:r>
          </w:p>
        </w:tc>
        <w:tc>
          <w:tcPr>
            <w:tcW w:w="0" w:type="auto"/>
            <w:noWrap/>
            <w:vAlign w:val="center"/>
          </w:tcPr>
          <w:p w14:paraId="2E144819">
            <w:pPr>
              <w:jc w:val="center"/>
              <w:rPr>
                <w:rFonts w:eastAsia="楷体_GB2312"/>
                <w:color w:val="000000"/>
                <w:kern w:val="0"/>
                <w:szCs w:val="21"/>
              </w:rPr>
            </w:pPr>
            <w:r>
              <w:rPr>
                <w:rFonts w:eastAsia="楷体_GB2312"/>
                <w:color w:val="000000"/>
                <w:kern w:val="0"/>
                <w:szCs w:val="21"/>
              </w:rPr>
              <w:t>315</w:t>
            </w:r>
          </w:p>
        </w:tc>
        <w:tc>
          <w:tcPr>
            <w:tcW w:w="0" w:type="auto"/>
            <w:noWrap/>
            <w:vAlign w:val="center"/>
          </w:tcPr>
          <w:p w14:paraId="69929537">
            <w:pPr>
              <w:jc w:val="center"/>
              <w:rPr>
                <w:rFonts w:eastAsia="楷体_GB2312"/>
                <w:color w:val="000000"/>
                <w:kern w:val="0"/>
                <w:szCs w:val="21"/>
              </w:rPr>
            </w:pPr>
            <w:r>
              <w:rPr>
                <w:rFonts w:eastAsia="楷体_GB2312"/>
                <w:color w:val="000000"/>
                <w:kern w:val="0"/>
                <w:szCs w:val="21"/>
              </w:rPr>
              <w:t>220</w:t>
            </w:r>
          </w:p>
        </w:tc>
        <w:tc>
          <w:tcPr>
            <w:tcW w:w="0" w:type="auto"/>
            <w:noWrap/>
            <w:vAlign w:val="center"/>
          </w:tcPr>
          <w:p w14:paraId="272C4675">
            <w:pPr>
              <w:jc w:val="center"/>
              <w:rPr>
                <w:rFonts w:eastAsia="楷体_GB2312"/>
                <w:color w:val="000000"/>
                <w:kern w:val="0"/>
                <w:szCs w:val="21"/>
              </w:rPr>
            </w:pPr>
            <w:r>
              <w:rPr>
                <w:rFonts w:eastAsia="楷体_GB2312"/>
                <w:color w:val="000000"/>
                <w:kern w:val="0"/>
                <w:szCs w:val="21"/>
              </w:rPr>
              <w:t>144</w:t>
            </w:r>
          </w:p>
        </w:tc>
        <w:tc>
          <w:tcPr>
            <w:tcW w:w="0" w:type="auto"/>
            <w:noWrap/>
            <w:vAlign w:val="center"/>
          </w:tcPr>
          <w:p w14:paraId="30AED579">
            <w:pPr>
              <w:jc w:val="center"/>
              <w:rPr>
                <w:rFonts w:eastAsia="楷体_GB2312"/>
                <w:color w:val="000000"/>
                <w:kern w:val="0"/>
                <w:szCs w:val="21"/>
              </w:rPr>
            </w:pPr>
            <w:r>
              <w:rPr>
                <w:rFonts w:eastAsia="楷体_GB2312"/>
                <w:color w:val="000000"/>
                <w:kern w:val="0"/>
                <w:szCs w:val="21"/>
              </w:rPr>
              <w:t>210</w:t>
            </w:r>
          </w:p>
        </w:tc>
        <w:tc>
          <w:tcPr>
            <w:tcW w:w="0" w:type="auto"/>
            <w:noWrap/>
            <w:vAlign w:val="center"/>
          </w:tcPr>
          <w:p w14:paraId="4CA27B01">
            <w:pPr>
              <w:jc w:val="center"/>
              <w:rPr>
                <w:rFonts w:eastAsia="楷体_GB2312"/>
                <w:color w:val="000000"/>
                <w:kern w:val="0"/>
                <w:szCs w:val="21"/>
              </w:rPr>
            </w:pPr>
            <w:r>
              <w:rPr>
                <w:rFonts w:eastAsia="楷体_GB2312"/>
                <w:color w:val="000000"/>
                <w:kern w:val="0"/>
                <w:szCs w:val="21"/>
              </w:rPr>
              <w:t>205</w:t>
            </w:r>
          </w:p>
        </w:tc>
        <w:tc>
          <w:tcPr>
            <w:tcW w:w="0" w:type="auto"/>
            <w:noWrap/>
            <w:vAlign w:val="center"/>
          </w:tcPr>
          <w:p w14:paraId="5D194FE2">
            <w:pPr>
              <w:jc w:val="center"/>
              <w:rPr>
                <w:rFonts w:eastAsia="楷体_GB2312"/>
                <w:color w:val="000000"/>
                <w:kern w:val="0"/>
                <w:szCs w:val="21"/>
              </w:rPr>
            </w:pPr>
            <w:r>
              <w:rPr>
                <w:rFonts w:eastAsia="楷体_GB2312"/>
                <w:color w:val="000000"/>
                <w:kern w:val="0"/>
                <w:szCs w:val="21"/>
              </w:rPr>
              <w:t>200</w:t>
            </w:r>
          </w:p>
        </w:tc>
        <w:tc>
          <w:tcPr>
            <w:tcW w:w="0" w:type="auto"/>
            <w:noWrap/>
            <w:vAlign w:val="center"/>
          </w:tcPr>
          <w:p w14:paraId="7C078913">
            <w:pPr>
              <w:jc w:val="center"/>
              <w:rPr>
                <w:rFonts w:eastAsia="楷体_GB2312"/>
                <w:color w:val="000000"/>
                <w:kern w:val="0"/>
                <w:szCs w:val="21"/>
              </w:rPr>
            </w:pPr>
            <w:r>
              <w:rPr>
                <w:rFonts w:eastAsia="楷体_GB2312"/>
                <w:color w:val="000000"/>
                <w:kern w:val="0"/>
                <w:szCs w:val="21"/>
              </w:rPr>
              <w:t>195</w:t>
            </w:r>
          </w:p>
        </w:tc>
        <w:tc>
          <w:tcPr>
            <w:tcW w:w="0" w:type="auto"/>
            <w:noWrap/>
            <w:vAlign w:val="center"/>
          </w:tcPr>
          <w:p w14:paraId="62BF5FEC">
            <w:pPr>
              <w:jc w:val="center"/>
              <w:rPr>
                <w:rFonts w:eastAsia="楷体_GB2312"/>
                <w:color w:val="000000"/>
                <w:kern w:val="0"/>
                <w:szCs w:val="21"/>
              </w:rPr>
            </w:pPr>
            <w:r>
              <w:rPr>
                <w:rFonts w:eastAsia="楷体_GB2312"/>
                <w:color w:val="000000"/>
                <w:kern w:val="0"/>
                <w:szCs w:val="21"/>
              </w:rPr>
              <w:t>190</w:t>
            </w:r>
          </w:p>
        </w:tc>
        <w:tc>
          <w:tcPr>
            <w:tcW w:w="0" w:type="auto"/>
            <w:noWrap/>
            <w:vAlign w:val="center"/>
          </w:tcPr>
          <w:p w14:paraId="62725BBD">
            <w:pPr>
              <w:jc w:val="center"/>
              <w:rPr>
                <w:rFonts w:eastAsia="楷体_GB2312"/>
                <w:color w:val="000000"/>
                <w:kern w:val="0"/>
                <w:szCs w:val="21"/>
              </w:rPr>
            </w:pPr>
            <w:r>
              <w:rPr>
                <w:rFonts w:eastAsia="楷体_GB2312"/>
                <w:color w:val="000000"/>
                <w:kern w:val="0"/>
                <w:szCs w:val="21"/>
              </w:rPr>
              <w:t>185</w:t>
            </w:r>
          </w:p>
        </w:tc>
      </w:tr>
      <w:tr w14:paraId="2E771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ign w:val="center"/>
          </w:tcPr>
          <w:p w14:paraId="21F552A1">
            <w:pPr>
              <w:jc w:val="center"/>
              <w:rPr>
                <w:rFonts w:eastAsia="楷体_GB2312"/>
                <w:color w:val="000000"/>
                <w:kern w:val="0"/>
                <w:szCs w:val="21"/>
              </w:rPr>
            </w:pPr>
            <w:r>
              <w:rPr>
                <w:rFonts w:eastAsia="楷体_GB2312"/>
                <w:color w:val="000000"/>
                <w:kern w:val="0"/>
                <w:szCs w:val="21"/>
              </w:rPr>
              <w:t>9</w:t>
            </w:r>
          </w:p>
        </w:tc>
        <w:tc>
          <w:tcPr>
            <w:tcW w:w="0" w:type="auto"/>
            <w:vMerge w:val="restart"/>
            <w:noWrap/>
            <w:vAlign w:val="center"/>
          </w:tcPr>
          <w:p w14:paraId="45E281EA">
            <w:pPr>
              <w:jc w:val="center"/>
              <w:rPr>
                <w:rFonts w:eastAsia="楷体_GB2312"/>
                <w:color w:val="000000"/>
                <w:kern w:val="0"/>
                <w:szCs w:val="21"/>
              </w:rPr>
            </w:pPr>
            <w:r>
              <w:rPr>
                <w:rFonts w:eastAsia="楷体_GB2312"/>
                <w:color w:val="000000"/>
                <w:kern w:val="0"/>
                <w:szCs w:val="21"/>
              </w:rPr>
              <w:t>西二铺</w:t>
            </w:r>
          </w:p>
        </w:tc>
        <w:tc>
          <w:tcPr>
            <w:tcW w:w="0" w:type="auto"/>
            <w:noWrap w:val="0"/>
            <w:vAlign w:val="top"/>
          </w:tcPr>
          <w:p w14:paraId="66353FDE">
            <w:pPr>
              <w:jc w:val="center"/>
              <w:rPr>
                <w:rFonts w:eastAsia="楷体_GB2312"/>
                <w:color w:val="000000"/>
                <w:kern w:val="0"/>
                <w:szCs w:val="21"/>
              </w:rPr>
            </w:pPr>
            <w:r>
              <w:rPr>
                <w:rFonts w:hint="eastAsia" w:eastAsia="楷体_GB2312"/>
                <w:color w:val="000000"/>
                <w:kern w:val="0"/>
                <w:szCs w:val="21"/>
              </w:rPr>
              <w:t>1</w:t>
            </w:r>
          </w:p>
        </w:tc>
        <w:tc>
          <w:tcPr>
            <w:tcW w:w="0" w:type="auto"/>
            <w:noWrap/>
            <w:vAlign w:val="center"/>
          </w:tcPr>
          <w:p w14:paraId="0CA468C9">
            <w:pPr>
              <w:jc w:val="center"/>
              <w:rPr>
                <w:rFonts w:eastAsia="楷体_GB2312"/>
                <w:color w:val="000000"/>
                <w:kern w:val="0"/>
                <w:szCs w:val="21"/>
              </w:rPr>
            </w:pPr>
            <w:r>
              <w:rPr>
                <w:rFonts w:eastAsia="楷体_GB2312"/>
                <w:color w:val="000000"/>
                <w:kern w:val="0"/>
                <w:szCs w:val="21"/>
              </w:rPr>
              <w:t>500</w:t>
            </w:r>
          </w:p>
        </w:tc>
        <w:tc>
          <w:tcPr>
            <w:tcW w:w="0" w:type="auto"/>
            <w:noWrap/>
            <w:vAlign w:val="center"/>
          </w:tcPr>
          <w:p w14:paraId="73F11ABD">
            <w:pPr>
              <w:jc w:val="center"/>
              <w:rPr>
                <w:rFonts w:eastAsia="楷体_GB2312"/>
                <w:color w:val="000000"/>
                <w:kern w:val="0"/>
                <w:szCs w:val="21"/>
              </w:rPr>
            </w:pPr>
            <w:r>
              <w:rPr>
                <w:rFonts w:eastAsia="楷体_GB2312"/>
                <w:color w:val="000000"/>
                <w:kern w:val="0"/>
                <w:szCs w:val="21"/>
              </w:rPr>
              <w:t>375</w:t>
            </w:r>
          </w:p>
        </w:tc>
        <w:tc>
          <w:tcPr>
            <w:tcW w:w="0" w:type="auto"/>
            <w:noWrap/>
            <w:vAlign w:val="center"/>
          </w:tcPr>
          <w:p w14:paraId="01E0AB53">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54A9BEF8">
            <w:pPr>
              <w:jc w:val="center"/>
              <w:rPr>
                <w:rFonts w:eastAsia="楷体_GB2312"/>
                <w:color w:val="000000"/>
                <w:kern w:val="0"/>
                <w:szCs w:val="21"/>
              </w:rPr>
            </w:pPr>
            <w:r>
              <w:rPr>
                <w:rFonts w:eastAsia="楷体_GB2312"/>
                <w:color w:val="000000"/>
                <w:kern w:val="0"/>
                <w:szCs w:val="21"/>
              </w:rPr>
              <w:t>355</w:t>
            </w:r>
          </w:p>
        </w:tc>
        <w:tc>
          <w:tcPr>
            <w:tcW w:w="0" w:type="auto"/>
            <w:noWrap/>
            <w:vAlign w:val="center"/>
          </w:tcPr>
          <w:p w14:paraId="6DDEF985">
            <w:pPr>
              <w:jc w:val="center"/>
              <w:rPr>
                <w:rFonts w:eastAsia="楷体_GB2312"/>
                <w:color w:val="000000"/>
                <w:kern w:val="0"/>
                <w:szCs w:val="21"/>
              </w:rPr>
            </w:pPr>
            <w:r>
              <w:rPr>
                <w:rFonts w:eastAsia="楷体_GB2312"/>
                <w:color w:val="000000"/>
                <w:kern w:val="0"/>
                <w:szCs w:val="21"/>
              </w:rPr>
              <w:t>335</w:t>
            </w:r>
          </w:p>
        </w:tc>
        <w:tc>
          <w:tcPr>
            <w:tcW w:w="0" w:type="auto"/>
            <w:noWrap/>
            <w:vAlign w:val="center"/>
          </w:tcPr>
          <w:p w14:paraId="14F2ACD3">
            <w:pPr>
              <w:jc w:val="center"/>
              <w:rPr>
                <w:rFonts w:eastAsia="楷体_GB2312"/>
                <w:color w:val="000000"/>
                <w:kern w:val="0"/>
                <w:szCs w:val="21"/>
              </w:rPr>
            </w:pPr>
            <w:r>
              <w:rPr>
                <w:rFonts w:eastAsia="楷体_GB2312"/>
                <w:color w:val="000000"/>
                <w:kern w:val="0"/>
                <w:szCs w:val="21"/>
              </w:rPr>
              <w:t>315</w:t>
            </w:r>
          </w:p>
        </w:tc>
        <w:tc>
          <w:tcPr>
            <w:tcW w:w="0" w:type="auto"/>
            <w:noWrap/>
            <w:vAlign w:val="center"/>
          </w:tcPr>
          <w:p w14:paraId="7B5D491D">
            <w:pPr>
              <w:jc w:val="center"/>
              <w:rPr>
                <w:rFonts w:eastAsia="楷体_GB2312"/>
                <w:color w:val="000000"/>
                <w:kern w:val="0"/>
                <w:szCs w:val="21"/>
              </w:rPr>
            </w:pPr>
            <w:r>
              <w:rPr>
                <w:rFonts w:eastAsia="楷体_GB2312"/>
                <w:color w:val="000000"/>
                <w:kern w:val="0"/>
                <w:szCs w:val="21"/>
              </w:rPr>
              <w:t>305</w:t>
            </w:r>
          </w:p>
        </w:tc>
        <w:tc>
          <w:tcPr>
            <w:tcW w:w="0" w:type="auto"/>
            <w:noWrap/>
            <w:vAlign w:val="center"/>
          </w:tcPr>
          <w:p w14:paraId="18F74CE3">
            <w:pPr>
              <w:jc w:val="center"/>
              <w:rPr>
                <w:rFonts w:eastAsia="楷体_GB2312"/>
                <w:color w:val="000000"/>
                <w:kern w:val="0"/>
                <w:szCs w:val="21"/>
              </w:rPr>
            </w:pPr>
            <w:r>
              <w:rPr>
                <w:rFonts w:eastAsia="楷体_GB2312"/>
                <w:color w:val="000000"/>
                <w:kern w:val="0"/>
                <w:szCs w:val="21"/>
              </w:rPr>
              <w:t>295</w:t>
            </w:r>
          </w:p>
        </w:tc>
        <w:tc>
          <w:tcPr>
            <w:tcW w:w="0" w:type="auto"/>
            <w:noWrap/>
            <w:vAlign w:val="center"/>
          </w:tcPr>
          <w:p w14:paraId="14BF651A">
            <w:pPr>
              <w:jc w:val="center"/>
              <w:rPr>
                <w:rFonts w:eastAsia="楷体_GB2312"/>
                <w:color w:val="000000"/>
                <w:kern w:val="0"/>
                <w:szCs w:val="21"/>
              </w:rPr>
            </w:pPr>
            <w:r>
              <w:rPr>
                <w:rFonts w:eastAsia="楷体_GB2312"/>
                <w:color w:val="000000"/>
                <w:kern w:val="0"/>
                <w:szCs w:val="21"/>
              </w:rPr>
              <w:t>275</w:t>
            </w:r>
          </w:p>
        </w:tc>
      </w:tr>
      <w:tr w14:paraId="287E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4A15FC0B">
            <w:pPr>
              <w:jc w:val="center"/>
              <w:rPr>
                <w:rFonts w:eastAsia="楷体_GB2312"/>
                <w:color w:val="000000"/>
                <w:kern w:val="0"/>
                <w:szCs w:val="21"/>
              </w:rPr>
            </w:pPr>
          </w:p>
        </w:tc>
        <w:tc>
          <w:tcPr>
            <w:tcW w:w="0" w:type="auto"/>
            <w:vMerge w:val="continue"/>
            <w:noWrap w:val="0"/>
            <w:vAlign w:val="center"/>
          </w:tcPr>
          <w:p w14:paraId="6E71E9CC">
            <w:pPr>
              <w:jc w:val="center"/>
              <w:rPr>
                <w:rFonts w:eastAsia="楷体_GB2312"/>
                <w:color w:val="000000"/>
                <w:kern w:val="0"/>
                <w:szCs w:val="21"/>
              </w:rPr>
            </w:pPr>
          </w:p>
        </w:tc>
        <w:tc>
          <w:tcPr>
            <w:tcW w:w="0" w:type="auto"/>
            <w:noWrap w:val="0"/>
            <w:vAlign w:val="top"/>
          </w:tcPr>
          <w:p w14:paraId="3B3927FF">
            <w:pPr>
              <w:jc w:val="center"/>
              <w:rPr>
                <w:rFonts w:eastAsia="楷体_GB2312"/>
                <w:color w:val="000000"/>
                <w:kern w:val="0"/>
                <w:szCs w:val="21"/>
              </w:rPr>
            </w:pPr>
            <w:r>
              <w:rPr>
                <w:rFonts w:hint="eastAsia" w:eastAsia="楷体_GB2312"/>
                <w:color w:val="000000"/>
                <w:kern w:val="0"/>
                <w:szCs w:val="21"/>
              </w:rPr>
              <w:t>2</w:t>
            </w:r>
          </w:p>
        </w:tc>
        <w:tc>
          <w:tcPr>
            <w:tcW w:w="0" w:type="auto"/>
            <w:noWrap/>
            <w:vAlign w:val="center"/>
          </w:tcPr>
          <w:p w14:paraId="62A4E04B">
            <w:pPr>
              <w:jc w:val="center"/>
              <w:rPr>
                <w:rFonts w:eastAsia="楷体_GB2312"/>
                <w:color w:val="000000"/>
                <w:kern w:val="0"/>
                <w:szCs w:val="21"/>
              </w:rPr>
            </w:pPr>
            <w:r>
              <w:rPr>
                <w:rFonts w:eastAsia="楷体_GB2312"/>
                <w:color w:val="000000"/>
                <w:kern w:val="0"/>
                <w:szCs w:val="21"/>
              </w:rPr>
              <w:t>395</w:t>
            </w:r>
          </w:p>
        </w:tc>
        <w:tc>
          <w:tcPr>
            <w:tcW w:w="0" w:type="auto"/>
            <w:noWrap/>
            <w:vAlign w:val="center"/>
          </w:tcPr>
          <w:p w14:paraId="6839838B">
            <w:pPr>
              <w:jc w:val="center"/>
              <w:rPr>
                <w:rFonts w:eastAsia="楷体_GB2312"/>
                <w:color w:val="000000"/>
                <w:kern w:val="0"/>
                <w:szCs w:val="21"/>
              </w:rPr>
            </w:pPr>
            <w:r>
              <w:rPr>
                <w:rFonts w:eastAsia="楷体_GB2312"/>
                <w:color w:val="000000"/>
                <w:kern w:val="0"/>
                <w:szCs w:val="21"/>
              </w:rPr>
              <w:t>285</w:t>
            </w:r>
          </w:p>
        </w:tc>
        <w:tc>
          <w:tcPr>
            <w:tcW w:w="0" w:type="auto"/>
            <w:noWrap/>
            <w:vAlign w:val="center"/>
          </w:tcPr>
          <w:p w14:paraId="208A957A">
            <w:pPr>
              <w:jc w:val="center"/>
              <w:rPr>
                <w:rFonts w:eastAsia="楷体_GB2312"/>
                <w:color w:val="000000"/>
                <w:kern w:val="0"/>
                <w:szCs w:val="21"/>
              </w:rPr>
            </w:pPr>
            <w:r>
              <w:rPr>
                <w:rFonts w:eastAsia="楷体_GB2312"/>
                <w:color w:val="000000"/>
                <w:kern w:val="0"/>
                <w:szCs w:val="21"/>
              </w:rPr>
              <w:t>155</w:t>
            </w:r>
          </w:p>
        </w:tc>
        <w:tc>
          <w:tcPr>
            <w:tcW w:w="0" w:type="auto"/>
            <w:noWrap/>
            <w:vAlign w:val="center"/>
          </w:tcPr>
          <w:p w14:paraId="61292599">
            <w:pPr>
              <w:jc w:val="center"/>
              <w:rPr>
                <w:rFonts w:eastAsia="楷体_GB2312"/>
                <w:color w:val="000000"/>
                <w:kern w:val="0"/>
                <w:szCs w:val="21"/>
              </w:rPr>
            </w:pPr>
            <w:r>
              <w:rPr>
                <w:rFonts w:eastAsia="楷体_GB2312"/>
                <w:color w:val="000000"/>
                <w:kern w:val="0"/>
                <w:szCs w:val="21"/>
              </w:rPr>
              <w:t>270</w:t>
            </w:r>
          </w:p>
        </w:tc>
        <w:tc>
          <w:tcPr>
            <w:tcW w:w="0" w:type="auto"/>
            <w:noWrap/>
            <w:vAlign w:val="center"/>
          </w:tcPr>
          <w:p w14:paraId="4DB13C24">
            <w:pPr>
              <w:jc w:val="center"/>
              <w:rPr>
                <w:rFonts w:eastAsia="楷体_GB2312"/>
                <w:color w:val="000000"/>
                <w:kern w:val="0"/>
                <w:szCs w:val="21"/>
              </w:rPr>
            </w:pPr>
            <w:r>
              <w:rPr>
                <w:rFonts w:eastAsia="楷体_GB2312"/>
                <w:color w:val="000000"/>
                <w:kern w:val="0"/>
                <w:szCs w:val="21"/>
              </w:rPr>
              <w:t>260</w:t>
            </w:r>
          </w:p>
        </w:tc>
        <w:tc>
          <w:tcPr>
            <w:tcW w:w="0" w:type="auto"/>
            <w:noWrap/>
            <w:vAlign w:val="center"/>
          </w:tcPr>
          <w:p w14:paraId="645E449F">
            <w:pPr>
              <w:jc w:val="center"/>
              <w:rPr>
                <w:rFonts w:eastAsia="楷体_GB2312"/>
                <w:color w:val="000000"/>
                <w:kern w:val="0"/>
                <w:szCs w:val="21"/>
              </w:rPr>
            </w:pPr>
            <w:r>
              <w:rPr>
                <w:rFonts w:eastAsia="楷体_GB2312"/>
                <w:color w:val="000000"/>
                <w:kern w:val="0"/>
                <w:szCs w:val="21"/>
              </w:rPr>
              <w:t>250</w:t>
            </w:r>
          </w:p>
        </w:tc>
        <w:tc>
          <w:tcPr>
            <w:tcW w:w="0" w:type="auto"/>
            <w:noWrap/>
            <w:vAlign w:val="center"/>
          </w:tcPr>
          <w:p w14:paraId="2ABFCC6D">
            <w:pPr>
              <w:jc w:val="center"/>
              <w:rPr>
                <w:rFonts w:eastAsia="楷体_GB2312"/>
                <w:color w:val="000000"/>
                <w:kern w:val="0"/>
                <w:szCs w:val="21"/>
              </w:rPr>
            </w:pPr>
            <w:r>
              <w:rPr>
                <w:rFonts w:eastAsia="楷体_GB2312"/>
                <w:color w:val="000000"/>
                <w:kern w:val="0"/>
                <w:szCs w:val="21"/>
              </w:rPr>
              <w:t>240</w:t>
            </w:r>
          </w:p>
        </w:tc>
        <w:tc>
          <w:tcPr>
            <w:tcW w:w="0" w:type="auto"/>
            <w:noWrap/>
            <w:vAlign w:val="center"/>
          </w:tcPr>
          <w:p w14:paraId="4846B036">
            <w:pPr>
              <w:jc w:val="center"/>
              <w:rPr>
                <w:rFonts w:eastAsia="楷体_GB2312"/>
                <w:color w:val="000000"/>
                <w:kern w:val="0"/>
                <w:szCs w:val="21"/>
              </w:rPr>
            </w:pPr>
            <w:r>
              <w:rPr>
                <w:rFonts w:eastAsia="楷体_GB2312"/>
                <w:color w:val="000000"/>
                <w:kern w:val="0"/>
                <w:szCs w:val="21"/>
              </w:rPr>
              <w:t>230</w:t>
            </w:r>
          </w:p>
        </w:tc>
        <w:tc>
          <w:tcPr>
            <w:tcW w:w="0" w:type="auto"/>
            <w:noWrap/>
            <w:vAlign w:val="center"/>
          </w:tcPr>
          <w:p w14:paraId="6A15A1B4">
            <w:pPr>
              <w:jc w:val="center"/>
              <w:rPr>
                <w:rFonts w:eastAsia="楷体_GB2312"/>
                <w:color w:val="000000"/>
                <w:kern w:val="0"/>
                <w:szCs w:val="21"/>
              </w:rPr>
            </w:pPr>
            <w:r>
              <w:rPr>
                <w:rFonts w:eastAsia="楷体_GB2312"/>
                <w:color w:val="000000"/>
                <w:kern w:val="0"/>
                <w:szCs w:val="21"/>
              </w:rPr>
              <w:t>220</w:t>
            </w:r>
          </w:p>
        </w:tc>
      </w:tr>
      <w:tr w14:paraId="2EEAD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674C2027">
            <w:pPr>
              <w:jc w:val="center"/>
              <w:rPr>
                <w:rFonts w:eastAsia="楷体_GB2312"/>
                <w:color w:val="000000"/>
                <w:kern w:val="0"/>
                <w:szCs w:val="21"/>
              </w:rPr>
            </w:pPr>
          </w:p>
        </w:tc>
        <w:tc>
          <w:tcPr>
            <w:tcW w:w="0" w:type="auto"/>
            <w:vMerge w:val="continue"/>
            <w:noWrap w:val="0"/>
            <w:vAlign w:val="center"/>
          </w:tcPr>
          <w:p w14:paraId="3C1CAFD2">
            <w:pPr>
              <w:jc w:val="center"/>
              <w:rPr>
                <w:rFonts w:eastAsia="楷体_GB2312"/>
                <w:color w:val="000000"/>
                <w:kern w:val="0"/>
                <w:szCs w:val="21"/>
              </w:rPr>
            </w:pPr>
          </w:p>
        </w:tc>
        <w:tc>
          <w:tcPr>
            <w:tcW w:w="0" w:type="auto"/>
            <w:noWrap w:val="0"/>
            <w:vAlign w:val="top"/>
          </w:tcPr>
          <w:p w14:paraId="6F5BB415">
            <w:pPr>
              <w:jc w:val="center"/>
              <w:rPr>
                <w:rFonts w:eastAsia="楷体_GB2312"/>
                <w:color w:val="000000"/>
                <w:kern w:val="0"/>
                <w:szCs w:val="21"/>
              </w:rPr>
            </w:pPr>
            <w:r>
              <w:rPr>
                <w:rFonts w:hint="eastAsia" w:eastAsia="楷体_GB2312"/>
                <w:color w:val="000000"/>
                <w:kern w:val="0"/>
                <w:szCs w:val="21"/>
              </w:rPr>
              <w:t>3</w:t>
            </w:r>
          </w:p>
        </w:tc>
        <w:tc>
          <w:tcPr>
            <w:tcW w:w="0" w:type="auto"/>
            <w:noWrap/>
            <w:vAlign w:val="center"/>
          </w:tcPr>
          <w:p w14:paraId="22561113">
            <w:pPr>
              <w:jc w:val="center"/>
              <w:rPr>
                <w:rFonts w:eastAsia="楷体_GB2312"/>
                <w:color w:val="000000"/>
                <w:kern w:val="0"/>
                <w:szCs w:val="21"/>
              </w:rPr>
            </w:pPr>
            <w:r>
              <w:rPr>
                <w:rFonts w:eastAsia="楷体_GB2312"/>
                <w:color w:val="000000"/>
                <w:kern w:val="0"/>
                <w:szCs w:val="21"/>
              </w:rPr>
              <w:t>310</w:t>
            </w:r>
          </w:p>
        </w:tc>
        <w:tc>
          <w:tcPr>
            <w:tcW w:w="0" w:type="auto"/>
            <w:noWrap/>
            <w:vAlign w:val="center"/>
          </w:tcPr>
          <w:p w14:paraId="1F6C0B59">
            <w:pPr>
              <w:jc w:val="center"/>
              <w:rPr>
                <w:rFonts w:eastAsia="楷体_GB2312"/>
                <w:color w:val="000000"/>
                <w:kern w:val="0"/>
                <w:szCs w:val="21"/>
              </w:rPr>
            </w:pPr>
            <w:r>
              <w:rPr>
                <w:rFonts w:eastAsia="楷体_GB2312"/>
                <w:color w:val="000000"/>
                <w:kern w:val="0"/>
                <w:szCs w:val="21"/>
              </w:rPr>
              <w:t>215</w:t>
            </w:r>
          </w:p>
        </w:tc>
        <w:tc>
          <w:tcPr>
            <w:tcW w:w="0" w:type="auto"/>
            <w:noWrap/>
            <w:vAlign w:val="center"/>
          </w:tcPr>
          <w:p w14:paraId="4CD3DBC1">
            <w:pPr>
              <w:jc w:val="center"/>
              <w:rPr>
                <w:rFonts w:eastAsia="楷体_GB2312"/>
                <w:color w:val="000000"/>
                <w:kern w:val="0"/>
                <w:szCs w:val="21"/>
              </w:rPr>
            </w:pPr>
            <w:r>
              <w:rPr>
                <w:rFonts w:eastAsia="楷体_GB2312"/>
                <w:color w:val="000000"/>
                <w:kern w:val="0"/>
                <w:szCs w:val="21"/>
              </w:rPr>
              <w:t>144</w:t>
            </w:r>
          </w:p>
        </w:tc>
        <w:tc>
          <w:tcPr>
            <w:tcW w:w="0" w:type="auto"/>
            <w:noWrap/>
            <w:vAlign w:val="center"/>
          </w:tcPr>
          <w:p w14:paraId="46997676">
            <w:pPr>
              <w:jc w:val="center"/>
              <w:rPr>
                <w:rFonts w:eastAsia="楷体_GB2312"/>
                <w:color w:val="000000"/>
                <w:kern w:val="0"/>
                <w:szCs w:val="21"/>
              </w:rPr>
            </w:pPr>
            <w:r>
              <w:rPr>
                <w:rFonts w:eastAsia="楷体_GB2312"/>
                <w:color w:val="000000"/>
                <w:kern w:val="0"/>
                <w:szCs w:val="21"/>
              </w:rPr>
              <w:t>205</w:t>
            </w:r>
          </w:p>
        </w:tc>
        <w:tc>
          <w:tcPr>
            <w:tcW w:w="0" w:type="auto"/>
            <w:noWrap/>
            <w:vAlign w:val="center"/>
          </w:tcPr>
          <w:p w14:paraId="512C2850">
            <w:pPr>
              <w:jc w:val="center"/>
              <w:rPr>
                <w:rFonts w:eastAsia="楷体_GB2312"/>
                <w:color w:val="000000"/>
                <w:kern w:val="0"/>
                <w:szCs w:val="21"/>
              </w:rPr>
            </w:pPr>
            <w:r>
              <w:rPr>
                <w:rFonts w:eastAsia="楷体_GB2312"/>
                <w:color w:val="000000"/>
                <w:kern w:val="0"/>
                <w:szCs w:val="21"/>
              </w:rPr>
              <w:t>200</w:t>
            </w:r>
          </w:p>
        </w:tc>
        <w:tc>
          <w:tcPr>
            <w:tcW w:w="0" w:type="auto"/>
            <w:noWrap/>
            <w:vAlign w:val="center"/>
          </w:tcPr>
          <w:p w14:paraId="45E8C381">
            <w:pPr>
              <w:jc w:val="center"/>
              <w:rPr>
                <w:rFonts w:eastAsia="楷体_GB2312"/>
                <w:color w:val="000000"/>
                <w:kern w:val="0"/>
                <w:szCs w:val="21"/>
              </w:rPr>
            </w:pPr>
            <w:r>
              <w:rPr>
                <w:rFonts w:eastAsia="楷体_GB2312"/>
                <w:color w:val="000000"/>
                <w:kern w:val="0"/>
                <w:szCs w:val="21"/>
              </w:rPr>
              <w:t>195</w:t>
            </w:r>
          </w:p>
        </w:tc>
        <w:tc>
          <w:tcPr>
            <w:tcW w:w="0" w:type="auto"/>
            <w:noWrap/>
            <w:vAlign w:val="center"/>
          </w:tcPr>
          <w:p w14:paraId="497C2936">
            <w:pPr>
              <w:jc w:val="center"/>
              <w:rPr>
                <w:rFonts w:eastAsia="楷体_GB2312"/>
                <w:color w:val="000000"/>
                <w:kern w:val="0"/>
                <w:szCs w:val="21"/>
              </w:rPr>
            </w:pPr>
            <w:r>
              <w:rPr>
                <w:rFonts w:eastAsia="楷体_GB2312"/>
                <w:color w:val="000000"/>
                <w:kern w:val="0"/>
                <w:szCs w:val="21"/>
              </w:rPr>
              <w:t>190</w:t>
            </w:r>
          </w:p>
        </w:tc>
        <w:tc>
          <w:tcPr>
            <w:tcW w:w="0" w:type="auto"/>
            <w:noWrap/>
            <w:vAlign w:val="center"/>
          </w:tcPr>
          <w:p w14:paraId="7B9CC17A">
            <w:pPr>
              <w:jc w:val="center"/>
              <w:rPr>
                <w:rFonts w:eastAsia="楷体_GB2312"/>
                <w:color w:val="000000"/>
                <w:kern w:val="0"/>
                <w:szCs w:val="21"/>
              </w:rPr>
            </w:pPr>
            <w:r>
              <w:rPr>
                <w:rFonts w:eastAsia="楷体_GB2312"/>
                <w:color w:val="000000"/>
                <w:kern w:val="0"/>
                <w:szCs w:val="21"/>
              </w:rPr>
              <w:t>185</w:t>
            </w:r>
          </w:p>
        </w:tc>
        <w:tc>
          <w:tcPr>
            <w:tcW w:w="0" w:type="auto"/>
            <w:noWrap/>
            <w:vAlign w:val="center"/>
          </w:tcPr>
          <w:p w14:paraId="3E32B6BD">
            <w:pPr>
              <w:jc w:val="center"/>
              <w:rPr>
                <w:rFonts w:eastAsia="楷体_GB2312"/>
                <w:color w:val="000000"/>
                <w:kern w:val="0"/>
                <w:szCs w:val="21"/>
              </w:rPr>
            </w:pPr>
            <w:r>
              <w:rPr>
                <w:rFonts w:eastAsia="楷体_GB2312"/>
                <w:color w:val="000000"/>
                <w:kern w:val="0"/>
                <w:szCs w:val="21"/>
              </w:rPr>
              <w:t>180</w:t>
            </w:r>
          </w:p>
        </w:tc>
      </w:tr>
      <w:tr w14:paraId="66BB5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ign w:val="center"/>
          </w:tcPr>
          <w:p w14:paraId="2D7DD8A3">
            <w:pPr>
              <w:jc w:val="center"/>
              <w:rPr>
                <w:rFonts w:eastAsia="楷体_GB2312"/>
                <w:color w:val="000000"/>
                <w:kern w:val="0"/>
                <w:szCs w:val="21"/>
              </w:rPr>
            </w:pPr>
            <w:r>
              <w:rPr>
                <w:rFonts w:eastAsia="楷体_GB2312"/>
                <w:color w:val="000000"/>
                <w:kern w:val="0"/>
                <w:szCs w:val="21"/>
              </w:rPr>
              <w:t>10</w:t>
            </w:r>
          </w:p>
        </w:tc>
        <w:tc>
          <w:tcPr>
            <w:tcW w:w="0" w:type="auto"/>
            <w:vMerge w:val="restart"/>
            <w:noWrap/>
            <w:vAlign w:val="center"/>
          </w:tcPr>
          <w:p w14:paraId="11B8938C">
            <w:pPr>
              <w:jc w:val="center"/>
              <w:rPr>
                <w:rFonts w:eastAsia="楷体_GB2312"/>
                <w:color w:val="000000"/>
                <w:kern w:val="0"/>
                <w:szCs w:val="21"/>
              </w:rPr>
            </w:pPr>
            <w:r>
              <w:rPr>
                <w:rFonts w:eastAsia="楷体_GB2312"/>
                <w:color w:val="000000"/>
                <w:kern w:val="0"/>
                <w:szCs w:val="21"/>
              </w:rPr>
              <w:t>桃园镇</w:t>
            </w:r>
          </w:p>
        </w:tc>
        <w:tc>
          <w:tcPr>
            <w:tcW w:w="0" w:type="auto"/>
            <w:noWrap w:val="0"/>
            <w:vAlign w:val="top"/>
          </w:tcPr>
          <w:p w14:paraId="42BFF547">
            <w:pPr>
              <w:jc w:val="center"/>
              <w:rPr>
                <w:rFonts w:eastAsia="楷体_GB2312"/>
                <w:color w:val="000000"/>
                <w:kern w:val="0"/>
                <w:szCs w:val="21"/>
              </w:rPr>
            </w:pPr>
            <w:r>
              <w:rPr>
                <w:rFonts w:hint="eastAsia" w:eastAsia="楷体_GB2312"/>
                <w:color w:val="000000"/>
                <w:kern w:val="0"/>
                <w:szCs w:val="21"/>
              </w:rPr>
              <w:t>1</w:t>
            </w:r>
          </w:p>
        </w:tc>
        <w:tc>
          <w:tcPr>
            <w:tcW w:w="0" w:type="auto"/>
            <w:noWrap/>
            <w:vAlign w:val="center"/>
          </w:tcPr>
          <w:p w14:paraId="1242B6F3">
            <w:pPr>
              <w:jc w:val="center"/>
              <w:rPr>
                <w:rFonts w:eastAsia="楷体_GB2312"/>
                <w:color w:val="000000"/>
                <w:kern w:val="0"/>
                <w:szCs w:val="21"/>
              </w:rPr>
            </w:pPr>
            <w:r>
              <w:rPr>
                <w:rFonts w:eastAsia="楷体_GB2312"/>
                <w:color w:val="000000"/>
                <w:kern w:val="0"/>
                <w:szCs w:val="21"/>
              </w:rPr>
              <w:t>490</w:t>
            </w:r>
          </w:p>
        </w:tc>
        <w:tc>
          <w:tcPr>
            <w:tcW w:w="0" w:type="auto"/>
            <w:noWrap/>
            <w:vAlign w:val="center"/>
          </w:tcPr>
          <w:p w14:paraId="7655AD3A">
            <w:pPr>
              <w:jc w:val="center"/>
              <w:rPr>
                <w:rFonts w:eastAsia="楷体_GB2312"/>
                <w:color w:val="000000"/>
                <w:kern w:val="0"/>
                <w:szCs w:val="21"/>
              </w:rPr>
            </w:pPr>
            <w:r>
              <w:rPr>
                <w:rFonts w:eastAsia="楷体_GB2312"/>
                <w:color w:val="000000"/>
                <w:kern w:val="0"/>
                <w:szCs w:val="21"/>
              </w:rPr>
              <w:t>365</w:t>
            </w:r>
          </w:p>
        </w:tc>
        <w:tc>
          <w:tcPr>
            <w:tcW w:w="0" w:type="auto"/>
            <w:noWrap/>
            <w:vAlign w:val="center"/>
          </w:tcPr>
          <w:p w14:paraId="1DF7190A">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31D65634">
            <w:pPr>
              <w:jc w:val="center"/>
              <w:rPr>
                <w:rFonts w:eastAsia="楷体_GB2312"/>
                <w:color w:val="000000"/>
                <w:kern w:val="0"/>
                <w:szCs w:val="21"/>
              </w:rPr>
            </w:pPr>
            <w:r>
              <w:rPr>
                <w:rFonts w:eastAsia="楷体_GB2312"/>
                <w:color w:val="000000"/>
                <w:kern w:val="0"/>
                <w:szCs w:val="21"/>
              </w:rPr>
              <w:t>345</w:t>
            </w:r>
          </w:p>
        </w:tc>
        <w:tc>
          <w:tcPr>
            <w:tcW w:w="0" w:type="auto"/>
            <w:noWrap/>
            <w:vAlign w:val="center"/>
          </w:tcPr>
          <w:p w14:paraId="398E1FAA">
            <w:pPr>
              <w:jc w:val="center"/>
              <w:rPr>
                <w:rFonts w:eastAsia="楷体_GB2312"/>
                <w:color w:val="000000"/>
                <w:kern w:val="0"/>
                <w:szCs w:val="21"/>
              </w:rPr>
            </w:pPr>
            <w:r>
              <w:rPr>
                <w:rFonts w:eastAsia="楷体_GB2312"/>
                <w:color w:val="000000"/>
                <w:kern w:val="0"/>
                <w:szCs w:val="21"/>
              </w:rPr>
              <w:t>325</w:t>
            </w:r>
          </w:p>
        </w:tc>
        <w:tc>
          <w:tcPr>
            <w:tcW w:w="0" w:type="auto"/>
            <w:noWrap/>
            <w:vAlign w:val="center"/>
          </w:tcPr>
          <w:p w14:paraId="72014078">
            <w:pPr>
              <w:jc w:val="center"/>
              <w:rPr>
                <w:rFonts w:eastAsia="楷体_GB2312"/>
                <w:color w:val="000000"/>
                <w:kern w:val="0"/>
                <w:szCs w:val="21"/>
              </w:rPr>
            </w:pPr>
            <w:r>
              <w:rPr>
                <w:rFonts w:eastAsia="楷体_GB2312"/>
                <w:color w:val="000000"/>
                <w:kern w:val="0"/>
                <w:szCs w:val="21"/>
              </w:rPr>
              <w:t>305</w:t>
            </w:r>
          </w:p>
        </w:tc>
        <w:tc>
          <w:tcPr>
            <w:tcW w:w="0" w:type="auto"/>
            <w:noWrap/>
            <w:vAlign w:val="center"/>
          </w:tcPr>
          <w:p w14:paraId="4EE3EE19">
            <w:pPr>
              <w:jc w:val="center"/>
              <w:rPr>
                <w:rFonts w:eastAsia="楷体_GB2312"/>
                <w:color w:val="000000"/>
                <w:kern w:val="0"/>
                <w:szCs w:val="21"/>
              </w:rPr>
            </w:pPr>
            <w:r>
              <w:rPr>
                <w:rFonts w:eastAsia="楷体_GB2312"/>
                <w:color w:val="000000"/>
                <w:kern w:val="0"/>
                <w:szCs w:val="21"/>
              </w:rPr>
              <w:t>295</w:t>
            </w:r>
          </w:p>
        </w:tc>
        <w:tc>
          <w:tcPr>
            <w:tcW w:w="0" w:type="auto"/>
            <w:noWrap/>
            <w:vAlign w:val="center"/>
          </w:tcPr>
          <w:p w14:paraId="53EEB013">
            <w:pPr>
              <w:jc w:val="center"/>
              <w:rPr>
                <w:rFonts w:eastAsia="楷体_GB2312"/>
                <w:color w:val="000000"/>
                <w:kern w:val="0"/>
                <w:szCs w:val="21"/>
              </w:rPr>
            </w:pPr>
            <w:r>
              <w:rPr>
                <w:rFonts w:eastAsia="楷体_GB2312"/>
                <w:color w:val="000000"/>
                <w:kern w:val="0"/>
                <w:szCs w:val="21"/>
              </w:rPr>
              <w:t>285</w:t>
            </w:r>
          </w:p>
        </w:tc>
        <w:tc>
          <w:tcPr>
            <w:tcW w:w="0" w:type="auto"/>
            <w:noWrap/>
            <w:vAlign w:val="center"/>
          </w:tcPr>
          <w:p w14:paraId="22F0DDAA">
            <w:pPr>
              <w:jc w:val="center"/>
              <w:rPr>
                <w:rFonts w:eastAsia="楷体_GB2312"/>
                <w:color w:val="000000"/>
                <w:kern w:val="0"/>
                <w:szCs w:val="21"/>
              </w:rPr>
            </w:pPr>
            <w:r>
              <w:rPr>
                <w:rFonts w:eastAsia="楷体_GB2312"/>
                <w:color w:val="000000"/>
                <w:kern w:val="0"/>
                <w:szCs w:val="21"/>
              </w:rPr>
              <w:t>265</w:t>
            </w:r>
          </w:p>
        </w:tc>
      </w:tr>
      <w:tr w14:paraId="7886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736E4C23">
            <w:pPr>
              <w:jc w:val="center"/>
              <w:rPr>
                <w:rFonts w:eastAsia="楷体_GB2312"/>
                <w:color w:val="000000"/>
                <w:kern w:val="0"/>
                <w:szCs w:val="21"/>
              </w:rPr>
            </w:pPr>
          </w:p>
        </w:tc>
        <w:tc>
          <w:tcPr>
            <w:tcW w:w="0" w:type="auto"/>
            <w:vMerge w:val="continue"/>
            <w:noWrap w:val="0"/>
            <w:vAlign w:val="center"/>
          </w:tcPr>
          <w:p w14:paraId="1C5C91B8">
            <w:pPr>
              <w:jc w:val="center"/>
              <w:rPr>
                <w:rFonts w:eastAsia="楷体_GB2312"/>
                <w:color w:val="000000"/>
                <w:kern w:val="0"/>
                <w:szCs w:val="21"/>
              </w:rPr>
            </w:pPr>
          </w:p>
        </w:tc>
        <w:tc>
          <w:tcPr>
            <w:tcW w:w="0" w:type="auto"/>
            <w:noWrap w:val="0"/>
            <w:vAlign w:val="top"/>
          </w:tcPr>
          <w:p w14:paraId="6CA57B4F">
            <w:pPr>
              <w:jc w:val="center"/>
              <w:rPr>
                <w:rFonts w:eastAsia="楷体_GB2312"/>
                <w:color w:val="000000"/>
                <w:kern w:val="0"/>
                <w:szCs w:val="21"/>
              </w:rPr>
            </w:pPr>
            <w:r>
              <w:rPr>
                <w:rFonts w:hint="eastAsia" w:eastAsia="楷体_GB2312"/>
                <w:color w:val="000000"/>
                <w:kern w:val="0"/>
                <w:szCs w:val="21"/>
              </w:rPr>
              <w:t>2</w:t>
            </w:r>
          </w:p>
        </w:tc>
        <w:tc>
          <w:tcPr>
            <w:tcW w:w="0" w:type="auto"/>
            <w:noWrap/>
            <w:vAlign w:val="center"/>
          </w:tcPr>
          <w:p w14:paraId="3E45F60A">
            <w:pPr>
              <w:jc w:val="center"/>
              <w:rPr>
                <w:rFonts w:eastAsia="楷体_GB2312"/>
                <w:color w:val="000000"/>
                <w:kern w:val="0"/>
                <w:szCs w:val="21"/>
              </w:rPr>
            </w:pPr>
            <w:r>
              <w:rPr>
                <w:rFonts w:eastAsia="楷体_GB2312"/>
                <w:color w:val="000000"/>
                <w:kern w:val="0"/>
                <w:szCs w:val="21"/>
              </w:rPr>
              <w:t>385</w:t>
            </w:r>
          </w:p>
        </w:tc>
        <w:tc>
          <w:tcPr>
            <w:tcW w:w="0" w:type="auto"/>
            <w:noWrap/>
            <w:vAlign w:val="center"/>
          </w:tcPr>
          <w:p w14:paraId="4B89732E">
            <w:pPr>
              <w:jc w:val="center"/>
              <w:rPr>
                <w:rFonts w:eastAsia="楷体_GB2312"/>
                <w:color w:val="000000"/>
                <w:kern w:val="0"/>
                <w:szCs w:val="21"/>
              </w:rPr>
            </w:pPr>
            <w:r>
              <w:rPr>
                <w:rFonts w:eastAsia="楷体_GB2312"/>
                <w:color w:val="000000"/>
                <w:kern w:val="0"/>
                <w:szCs w:val="21"/>
              </w:rPr>
              <w:t>275</w:t>
            </w:r>
          </w:p>
        </w:tc>
        <w:tc>
          <w:tcPr>
            <w:tcW w:w="0" w:type="auto"/>
            <w:noWrap/>
            <w:vAlign w:val="center"/>
          </w:tcPr>
          <w:p w14:paraId="7E3F17CB">
            <w:pPr>
              <w:jc w:val="center"/>
              <w:rPr>
                <w:rFonts w:eastAsia="楷体_GB2312"/>
                <w:color w:val="000000"/>
                <w:kern w:val="0"/>
                <w:szCs w:val="21"/>
              </w:rPr>
            </w:pPr>
            <w:r>
              <w:rPr>
                <w:rFonts w:eastAsia="楷体_GB2312"/>
                <w:color w:val="000000"/>
                <w:kern w:val="0"/>
                <w:szCs w:val="21"/>
              </w:rPr>
              <w:t>155</w:t>
            </w:r>
          </w:p>
        </w:tc>
        <w:tc>
          <w:tcPr>
            <w:tcW w:w="0" w:type="auto"/>
            <w:noWrap/>
            <w:vAlign w:val="center"/>
          </w:tcPr>
          <w:p w14:paraId="72ED4379">
            <w:pPr>
              <w:jc w:val="center"/>
              <w:rPr>
                <w:rFonts w:eastAsia="楷体_GB2312"/>
                <w:color w:val="000000"/>
                <w:kern w:val="0"/>
                <w:szCs w:val="21"/>
              </w:rPr>
            </w:pPr>
            <w:r>
              <w:rPr>
                <w:rFonts w:eastAsia="楷体_GB2312"/>
                <w:color w:val="000000"/>
                <w:kern w:val="0"/>
                <w:szCs w:val="21"/>
              </w:rPr>
              <w:t>265</w:t>
            </w:r>
          </w:p>
        </w:tc>
        <w:tc>
          <w:tcPr>
            <w:tcW w:w="0" w:type="auto"/>
            <w:noWrap/>
            <w:vAlign w:val="center"/>
          </w:tcPr>
          <w:p w14:paraId="7F0CB7F8">
            <w:pPr>
              <w:jc w:val="center"/>
              <w:rPr>
                <w:rFonts w:eastAsia="楷体_GB2312"/>
                <w:color w:val="000000"/>
                <w:kern w:val="0"/>
                <w:szCs w:val="21"/>
              </w:rPr>
            </w:pPr>
            <w:r>
              <w:rPr>
                <w:rFonts w:eastAsia="楷体_GB2312"/>
                <w:color w:val="000000"/>
                <w:kern w:val="0"/>
                <w:szCs w:val="21"/>
              </w:rPr>
              <w:t>255</w:t>
            </w:r>
          </w:p>
        </w:tc>
        <w:tc>
          <w:tcPr>
            <w:tcW w:w="0" w:type="auto"/>
            <w:noWrap/>
            <w:vAlign w:val="center"/>
          </w:tcPr>
          <w:p w14:paraId="072CD997">
            <w:pPr>
              <w:jc w:val="center"/>
              <w:rPr>
                <w:rFonts w:eastAsia="楷体_GB2312"/>
                <w:color w:val="000000"/>
                <w:kern w:val="0"/>
                <w:szCs w:val="21"/>
              </w:rPr>
            </w:pPr>
            <w:r>
              <w:rPr>
                <w:rFonts w:eastAsia="楷体_GB2312"/>
                <w:color w:val="000000"/>
                <w:kern w:val="0"/>
                <w:szCs w:val="21"/>
              </w:rPr>
              <w:t>245</w:t>
            </w:r>
          </w:p>
        </w:tc>
        <w:tc>
          <w:tcPr>
            <w:tcW w:w="0" w:type="auto"/>
            <w:noWrap/>
            <w:vAlign w:val="center"/>
          </w:tcPr>
          <w:p w14:paraId="2D278154">
            <w:pPr>
              <w:jc w:val="center"/>
              <w:rPr>
                <w:rFonts w:eastAsia="楷体_GB2312"/>
                <w:color w:val="000000"/>
                <w:kern w:val="0"/>
                <w:szCs w:val="21"/>
              </w:rPr>
            </w:pPr>
            <w:r>
              <w:rPr>
                <w:rFonts w:eastAsia="楷体_GB2312"/>
                <w:color w:val="000000"/>
                <w:kern w:val="0"/>
                <w:szCs w:val="21"/>
              </w:rPr>
              <w:t>235</w:t>
            </w:r>
          </w:p>
        </w:tc>
        <w:tc>
          <w:tcPr>
            <w:tcW w:w="0" w:type="auto"/>
            <w:noWrap/>
            <w:vAlign w:val="center"/>
          </w:tcPr>
          <w:p w14:paraId="3C19C3FA">
            <w:pPr>
              <w:jc w:val="center"/>
              <w:rPr>
                <w:rFonts w:eastAsia="楷体_GB2312"/>
                <w:color w:val="000000"/>
                <w:kern w:val="0"/>
                <w:szCs w:val="21"/>
              </w:rPr>
            </w:pPr>
            <w:r>
              <w:rPr>
                <w:rFonts w:eastAsia="楷体_GB2312"/>
                <w:color w:val="000000"/>
                <w:kern w:val="0"/>
                <w:szCs w:val="21"/>
              </w:rPr>
              <w:t>230</w:t>
            </w:r>
          </w:p>
        </w:tc>
        <w:tc>
          <w:tcPr>
            <w:tcW w:w="0" w:type="auto"/>
            <w:noWrap/>
            <w:vAlign w:val="center"/>
          </w:tcPr>
          <w:p w14:paraId="350472B7">
            <w:pPr>
              <w:jc w:val="center"/>
              <w:rPr>
                <w:rFonts w:eastAsia="楷体_GB2312"/>
                <w:color w:val="000000"/>
                <w:kern w:val="0"/>
                <w:szCs w:val="21"/>
              </w:rPr>
            </w:pPr>
            <w:r>
              <w:rPr>
                <w:rFonts w:eastAsia="楷体_GB2312"/>
                <w:color w:val="000000"/>
                <w:kern w:val="0"/>
                <w:szCs w:val="21"/>
              </w:rPr>
              <w:t>220</w:t>
            </w:r>
          </w:p>
        </w:tc>
      </w:tr>
      <w:tr w14:paraId="2A4A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5B19574A">
            <w:pPr>
              <w:jc w:val="center"/>
              <w:rPr>
                <w:rFonts w:eastAsia="楷体_GB2312"/>
                <w:color w:val="000000"/>
                <w:kern w:val="0"/>
                <w:szCs w:val="21"/>
              </w:rPr>
            </w:pPr>
          </w:p>
        </w:tc>
        <w:tc>
          <w:tcPr>
            <w:tcW w:w="0" w:type="auto"/>
            <w:vMerge w:val="continue"/>
            <w:noWrap w:val="0"/>
            <w:vAlign w:val="center"/>
          </w:tcPr>
          <w:p w14:paraId="234AF18F">
            <w:pPr>
              <w:jc w:val="center"/>
              <w:rPr>
                <w:rFonts w:eastAsia="楷体_GB2312"/>
                <w:color w:val="000000"/>
                <w:kern w:val="0"/>
                <w:szCs w:val="21"/>
              </w:rPr>
            </w:pPr>
          </w:p>
        </w:tc>
        <w:tc>
          <w:tcPr>
            <w:tcW w:w="0" w:type="auto"/>
            <w:noWrap w:val="0"/>
            <w:vAlign w:val="top"/>
          </w:tcPr>
          <w:p w14:paraId="1CB6C36F">
            <w:pPr>
              <w:jc w:val="center"/>
              <w:rPr>
                <w:rFonts w:eastAsia="楷体_GB2312"/>
                <w:color w:val="000000"/>
                <w:kern w:val="0"/>
                <w:szCs w:val="21"/>
              </w:rPr>
            </w:pPr>
            <w:r>
              <w:rPr>
                <w:rFonts w:hint="eastAsia" w:eastAsia="楷体_GB2312"/>
                <w:color w:val="000000"/>
                <w:kern w:val="0"/>
                <w:szCs w:val="21"/>
              </w:rPr>
              <w:t>3</w:t>
            </w:r>
          </w:p>
        </w:tc>
        <w:tc>
          <w:tcPr>
            <w:tcW w:w="0" w:type="auto"/>
            <w:noWrap/>
            <w:vAlign w:val="center"/>
          </w:tcPr>
          <w:p w14:paraId="45954C68">
            <w:pPr>
              <w:jc w:val="center"/>
              <w:rPr>
                <w:rFonts w:eastAsia="楷体_GB2312"/>
                <w:color w:val="000000"/>
                <w:kern w:val="0"/>
                <w:szCs w:val="21"/>
              </w:rPr>
            </w:pPr>
            <w:r>
              <w:rPr>
                <w:rFonts w:eastAsia="楷体_GB2312"/>
                <w:color w:val="000000"/>
                <w:kern w:val="0"/>
                <w:szCs w:val="21"/>
              </w:rPr>
              <w:t>300</w:t>
            </w:r>
          </w:p>
        </w:tc>
        <w:tc>
          <w:tcPr>
            <w:tcW w:w="0" w:type="auto"/>
            <w:noWrap/>
            <w:vAlign w:val="center"/>
          </w:tcPr>
          <w:p w14:paraId="6BA338A6">
            <w:pPr>
              <w:jc w:val="center"/>
              <w:rPr>
                <w:rFonts w:eastAsia="楷体_GB2312"/>
                <w:color w:val="000000"/>
                <w:kern w:val="0"/>
                <w:szCs w:val="21"/>
              </w:rPr>
            </w:pPr>
            <w:r>
              <w:rPr>
                <w:rFonts w:eastAsia="楷体_GB2312"/>
                <w:color w:val="000000"/>
                <w:kern w:val="0"/>
                <w:szCs w:val="21"/>
              </w:rPr>
              <w:t>210</w:t>
            </w:r>
          </w:p>
        </w:tc>
        <w:tc>
          <w:tcPr>
            <w:tcW w:w="0" w:type="auto"/>
            <w:noWrap/>
            <w:vAlign w:val="center"/>
          </w:tcPr>
          <w:p w14:paraId="2817B6E2">
            <w:pPr>
              <w:jc w:val="center"/>
              <w:rPr>
                <w:rFonts w:eastAsia="楷体_GB2312"/>
                <w:color w:val="000000"/>
                <w:kern w:val="0"/>
                <w:szCs w:val="21"/>
              </w:rPr>
            </w:pPr>
            <w:r>
              <w:rPr>
                <w:rFonts w:eastAsia="楷体_GB2312"/>
                <w:color w:val="000000"/>
                <w:kern w:val="0"/>
                <w:szCs w:val="21"/>
              </w:rPr>
              <w:t>144</w:t>
            </w:r>
          </w:p>
        </w:tc>
        <w:tc>
          <w:tcPr>
            <w:tcW w:w="0" w:type="auto"/>
            <w:noWrap/>
            <w:vAlign w:val="center"/>
          </w:tcPr>
          <w:p w14:paraId="741F8DB4">
            <w:pPr>
              <w:jc w:val="center"/>
              <w:rPr>
                <w:rFonts w:eastAsia="楷体_GB2312"/>
                <w:color w:val="000000"/>
                <w:kern w:val="0"/>
                <w:szCs w:val="21"/>
              </w:rPr>
            </w:pPr>
            <w:r>
              <w:rPr>
                <w:rFonts w:eastAsia="楷体_GB2312"/>
                <w:color w:val="000000"/>
                <w:kern w:val="0"/>
                <w:szCs w:val="21"/>
              </w:rPr>
              <w:t>200</w:t>
            </w:r>
          </w:p>
        </w:tc>
        <w:tc>
          <w:tcPr>
            <w:tcW w:w="0" w:type="auto"/>
            <w:noWrap/>
            <w:vAlign w:val="center"/>
          </w:tcPr>
          <w:p w14:paraId="48AC7532">
            <w:pPr>
              <w:jc w:val="center"/>
              <w:rPr>
                <w:rFonts w:eastAsia="楷体_GB2312"/>
                <w:color w:val="000000"/>
                <w:kern w:val="0"/>
                <w:szCs w:val="21"/>
              </w:rPr>
            </w:pPr>
            <w:r>
              <w:rPr>
                <w:rFonts w:eastAsia="楷体_GB2312"/>
                <w:color w:val="000000"/>
                <w:kern w:val="0"/>
                <w:szCs w:val="21"/>
              </w:rPr>
              <w:t>195</w:t>
            </w:r>
          </w:p>
        </w:tc>
        <w:tc>
          <w:tcPr>
            <w:tcW w:w="0" w:type="auto"/>
            <w:noWrap/>
            <w:vAlign w:val="center"/>
          </w:tcPr>
          <w:p w14:paraId="5A6770CE">
            <w:pPr>
              <w:jc w:val="center"/>
              <w:rPr>
                <w:rFonts w:eastAsia="楷体_GB2312"/>
                <w:color w:val="000000"/>
                <w:kern w:val="0"/>
                <w:szCs w:val="21"/>
              </w:rPr>
            </w:pPr>
            <w:r>
              <w:rPr>
                <w:rFonts w:eastAsia="楷体_GB2312"/>
                <w:color w:val="000000"/>
                <w:kern w:val="0"/>
                <w:szCs w:val="21"/>
              </w:rPr>
              <w:t>190</w:t>
            </w:r>
          </w:p>
        </w:tc>
        <w:tc>
          <w:tcPr>
            <w:tcW w:w="0" w:type="auto"/>
            <w:noWrap/>
            <w:vAlign w:val="center"/>
          </w:tcPr>
          <w:p w14:paraId="0C7E0DBA">
            <w:pPr>
              <w:jc w:val="center"/>
              <w:rPr>
                <w:rFonts w:eastAsia="楷体_GB2312"/>
                <w:color w:val="000000"/>
                <w:kern w:val="0"/>
                <w:szCs w:val="21"/>
              </w:rPr>
            </w:pPr>
            <w:r>
              <w:rPr>
                <w:rFonts w:eastAsia="楷体_GB2312"/>
                <w:color w:val="000000"/>
                <w:kern w:val="0"/>
                <w:szCs w:val="21"/>
              </w:rPr>
              <w:t>185</w:t>
            </w:r>
          </w:p>
        </w:tc>
        <w:tc>
          <w:tcPr>
            <w:tcW w:w="0" w:type="auto"/>
            <w:noWrap/>
            <w:vAlign w:val="center"/>
          </w:tcPr>
          <w:p w14:paraId="158AB629">
            <w:pPr>
              <w:jc w:val="center"/>
              <w:rPr>
                <w:rFonts w:eastAsia="楷体_GB2312"/>
                <w:color w:val="000000"/>
                <w:kern w:val="0"/>
                <w:szCs w:val="21"/>
              </w:rPr>
            </w:pPr>
            <w:r>
              <w:rPr>
                <w:rFonts w:eastAsia="楷体_GB2312"/>
                <w:color w:val="000000"/>
                <w:kern w:val="0"/>
                <w:szCs w:val="21"/>
              </w:rPr>
              <w:t>180</w:t>
            </w:r>
          </w:p>
        </w:tc>
        <w:tc>
          <w:tcPr>
            <w:tcW w:w="0" w:type="auto"/>
            <w:noWrap/>
            <w:vAlign w:val="center"/>
          </w:tcPr>
          <w:p w14:paraId="4ECF5E6A">
            <w:pPr>
              <w:jc w:val="center"/>
              <w:rPr>
                <w:rFonts w:eastAsia="楷体_GB2312"/>
                <w:color w:val="000000"/>
                <w:kern w:val="0"/>
                <w:szCs w:val="21"/>
              </w:rPr>
            </w:pPr>
            <w:r>
              <w:rPr>
                <w:rFonts w:eastAsia="楷体_GB2312"/>
                <w:color w:val="000000"/>
                <w:kern w:val="0"/>
                <w:szCs w:val="21"/>
              </w:rPr>
              <w:t>175</w:t>
            </w:r>
          </w:p>
        </w:tc>
      </w:tr>
      <w:tr w14:paraId="1CCC6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ign w:val="center"/>
          </w:tcPr>
          <w:p w14:paraId="4814AEAE">
            <w:pPr>
              <w:jc w:val="center"/>
              <w:rPr>
                <w:rFonts w:eastAsia="楷体_GB2312"/>
                <w:color w:val="000000"/>
                <w:kern w:val="0"/>
                <w:szCs w:val="21"/>
              </w:rPr>
            </w:pPr>
            <w:r>
              <w:rPr>
                <w:rFonts w:eastAsia="楷体_GB2312"/>
                <w:color w:val="000000"/>
                <w:kern w:val="0"/>
                <w:szCs w:val="21"/>
              </w:rPr>
              <w:t>11</w:t>
            </w:r>
          </w:p>
        </w:tc>
        <w:tc>
          <w:tcPr>
            <w:tcW w:w="0" w:type="auto"/>
            <w:vMerge w:val="restart"/>
            <w:noWrap/>
            <w:vAlign w:val="center"/>
          </w:tcPr>
          <w:p w14:paraId="30C04904">
            <w:pPr>
              <w:jc w:val="center"/>
              <w:rPr>
                <w:rFonts w:eastAsia="楷体_GB2312"/>
                <w:color w:val="000000"/>
                <w:kern w:val="0"/>
                <w:szCs w:val="21"/>
              </w:rPr>
            </w:pPr>
            <w:r>
              <w:rPr>
                <w:rFonts w:eastAsia="楷体_GB2312"/>
                <w:color w:val="000000"/>
                <w:kern w:val="0"/>
                <w:szCs w:val="21"/>
              </w:rPr>
              <w:t>曹村镇</w:t>
            </w:r>
          </w:p>
        </w:tc>
        <w:tc>
          <w:tcPr>
            <w:tcW w:w="0" w:type="auto"/>
            <w:noWrap w:val="0"/>
            <w:vAlign w:val="top"/>
          </w:tcPr>
          <w:p w14:paraId="3ABC5382">
            <w:pPr>
              <w:jc w:val="center"/>
              <w:rPr>
                <w:rFonts w:eastAsia="楷体_GB2312"/>
                <w:color w:val="000000"/>
                <w:kern w:val="0"/>
                <w:szCs w:val="21"/>
              </w:rPr>
            </w:pPr>
            <w:r>
              <w:rPr>
                <w:rFonts w:hint="eastAsia" w:eastAsia="楷体_GB2312"/>
                <w:color w:val="000000"/>
                <w:kern w:val="0"/>
                <w:szCs w:val="21"/>
              </w:rPr>
              <w:t>1</w:t>
            </w:r>
          </w:p>
        </w:tc>
        <w:tc>
          <w:tcPr>
            <w:tcW w:w="0" w:type="auto"/>
            <w:noWrap/>
            <w:vAlign w:val="center"/>
          </w:tcPr>
          <w:p w14:paraId="52857DB0">
            <w:pPr>
              <w:jc w:val="center"/>
              <w:rPr>
                <w:rFonts w:eastAsia="楷体_GB2312"/>
                <w:color w:val="000000"/>
                <w:kern w:val="0"/>
                <w:szCs w:val="21"/>
              </w:rPr>
            </w:pPr>
            <w:r>
              <w:rPr>
                <w:rFonts w:eastAsia="楷体_GB2312"/>
                <w:color w:val="000000"/>
                <w:kern w:val="0"/>
                <w:szCs w:val="21"/>
              </w:rPr>
              <w:t>485</w:t>
            </w:r>
          </w:p>
        </w:tc>
        <w:tc>
          <w:tcPr>
            <w:tcW w:w="0" w:type="auto"/>
            <w:noWrap/>
            <w:vAlign w:val="center"/>
          </w:tcPr>
          <w:p w14:paraId="44DB2D0C">
            <w:pPr>
              <w:jc w:val="center"/>
              <w:rPr>
                <w:rFonts w:eastAsia="楷体_GB2312"/>
                <w:color w:val="000000"/>
                <w:kern w:val="0"/>
                <w:szCs w:val="21"/>
              </w:rPr>
            </w:pPr>
            <w:r>
              <w:rPr>
                <w:rFonts w:eastAsia="楷体_GB2312"/>
                <w:color w:val="000000"/>
                <w:kern w:val="0"/>
                <w:szCs w:val="21"/>
              </w:rPr>
              <w:t>360</w:t>
            </w:r>
          </w:p>
        </w:tc>
        <w:tc>
          <w:tcPr>
            <w:tcW w:w="0" w:type="auto"/>
            <w:noWrap/>
            <w:vAlign w:val="center"/>
          </w:tcPr>
          <w:p w14:paraId="062D05FD">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6C027601">
            <w:pPr>
              <w:jc w:val="center"/>
              <w:rPr>
                <w:rFonts w:eastAsia="楷体_GB2312"/>
                <w:color w:val="000000"/>
                <w:kern w:val="0"/>
                <w:szCs w:val="21"/>
              </w:rPr>
            </w:pPr>
            <w:r>
              <w:rPr>
                <w:rFonts w:eastAsia="楷体_GB2312"/>
                <w:color w:val="000000"/>
                <w:kern w:val="0"/>
                <w:szCs w:val="21"/>
              </w:rPr>
              <w:t>340</w:t>
            </w:r>
          </w:p>
        </w:tc>
        <w:tc>
          <w:tcPr>
            <w:tcW w:w="0" w:type="auto"/>
            <w:noWrap/>
            <w:vAlign w:val="center"/>
          </w:tcPr>
          <w:p w14:paraId="39ED0508">
            <w:pPr>
              <w:jc w:val="center"/>
              <w:rPr>
                <w:rFonts w:eastAsia="楷体_GB2312"/>
                <w:color w:val="000000"/>
                <w:kern w:val="0"/>
                <w:szCs w:val="21"/>
              </w:rPr>
            </w:pPr>
            <w:r>
              <w:rPr>
                <w:rFonts w:eastAsia="楷体_GB2312"/>
                <w:color w:val="000000"/>
                <w:kern w:val="0"/>
                <w:szCs w:val="21"/>
              </w:rPr>
              <w:t>320</w:t>
            </w:r>
          </w:p>
        </w:tc>
        <w:tc>
          <w:tcPr>
            <w:tcW w:w="0" w:type="auto"/>
            <w:noWrap/>
            <w:vAlign w:val="center"/>
          </w:tcPr>
          <w:p w14:paraId="37D7D590">
            <w:pPr>
              <w:jc w:val="center"/>
              <w:rPr>
                <w:rFonts w:eastAsia="楷体_GB2312"/>
                <w:color w:val="000000"/>
                <w:kern w:val="0"/>
                <w:szCs w:val="21"/>
              </w:rPr>
            </w:pPr>
            <w:r>
              <w:rPr>
                <w:rFonts w:eastAsia="楷体_GB2312"/>
                <w:color w:val="000000"/>
                <w:kern w:val="0"/>
                <w:szCs w:val="21"/>
              </w:rPr>
              <w:t>300</w:t>
            </w:r>
          </w:p>
        </w:tc>
        <w:tc>
          <w:tcPr>
            <w:tcW w:w="0" w:type="auto"/>
            <w:noWrap/>
            <w:vAlign w:val="center"/>
          </w:tcPr>
          <w:p w14:paraId="1D0B4F96">
            <w:pPr>
              <w:jc w:val="center"/>
              <w:rPr>
                <w:rFonts w:eastAsia="楷体_GB2312"/>
                <w:color w:val="000000"/>
                <w:kern w:val="0"/>
                <w:szCs w:val="21"/>
              </w:rPr>
            </w:pPr>
            <w:r>
              <w:rPr>
                <w:rFonts w:eastAsia="楷体_GB2312"/>
                <w:color w:val="000000"/>
                <w:kern w:val="0"/>
                <w:szCs w:val="21"/>
              </w:rPr>
              <w:t>290</w:t>
            </w:r>
          </w:p>
        </w:tc>
        <w:tc>
          <w:tcPr>
            <w:tcW w:w="0" w:type="auto"/>
            <w:noWrap/>
            <w:vAlign w:val="center"/>
          </w:tcPr>
          <w:p w14:paraId="2C0A4969">
            <w:pPr>
              <w:jc w:val="center"/>
              <w:rPr>
                <w:rFonts w:eastAsia="楷体_GB2312"/>
                <w:color w:val="000000"/>
                <w:kern w:val="0"/>
                <w:szCs w:val="21"/>
              </w:rPr>
            </w:pPr>
            <w:r>
              <w:rPr>
                <w:rFonts w:eastAsia="楷体_GB2312"/>
                <w:color w:val="000000"/>
                <w:kern w:val="0"/>
                <w:szCs w:val="21"/>
              </w:rPr>
              <w:t>280</w:t>
            </w:r>
          </w:p>
        </w:tc>
        <w:tc>
          <w:tcPr>
            <w:tcW w:w="0" w:type="auto"/>
            <w:noWrap/>
            <w:vAlign w:val="center"/>
          </w:tcPr>
          <w:p w14:paraId="23C6383F">
            <w:pPr>
              <w:jc w:val="center"/>
              <w:rPr>
                <w:rFonts w:eastAsia="楷体_GB2312"/>
                <w:color w:val="000000"/>
                <w:kern w:val="0"/>
                <w:szCs w:val="21"/>
              </w:rPr>
            </w:pPr>
            <w:r>
              <w:rPr>
                <w:rFonts w:eastAsia="楷体_GB2312"/>
                <w:color w:val="000000"/>
                <w:kern w:val="0"/>
                <w:szCs w:val="21"/>
              </w:rPr>
              <w:t>260</w:t>
            </w:r>
          </w:p>
        </w:tc>
      </w:tr>
      <w:tr w14:paraId="758E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758A65C3">
            <w:pPr>
              <w:jc w:val="center"/>
              <w:rPr>
                <w:rFonts w:eastAsia="楷体_GB2312"/>
                <w:color w:val="000000"/>
                <w:kern w:val="0"/>
                <w:szCs w:val="21"/>
              </w:rPr>
            </w:pPr>
          </w:p>
        </w:tc>
        <w:tc>
          <w:tcPr>
            <w:tcW w:w="0" w:type="auto"/>
            <w:vMerge w:val="continue"/>
            <w:noWrap w:val="0"/>
            <w:vAlign w:val="center"/>
          </w:tcPr>
          <w:p w14:paraId="218A5752">
            <w:pPr>
              <w:jc w:val="center"/>
              <w:rPr>
                <w:rFonts w:eastAsia="楷体_GB2312"/>
                <w:color w:val="000000"/>
                <w:kern w:val="0"/>
                <w:szCs w:val="21"/>
              </w:rPr>
            </w:pPr>
          </w:p>
        </w:tc>
        <w:tc>
          <w:tcPr>
            <w:tcW w:w="0" w:type="auto"/>
            <w:noWrap w:val="0"/>
            <w:vAlign w:val="top"/>
          </w:tcPr>
          <w:p w14:paraId="43D9519D">
            <w:pPr>
              <w:jc w:val="center"/>
              <w:rPr>
                <w:rFonts w:eastAsia="楷体_GB2312"/>
                <w:color w:val="000000"/>
                <w:kern w:val="0"/>
                <w:szCs w:val="21"/>
              </w:rPr>
            </w:pPr>
            <w:r>
              <w:rPr>
                <w:rFonts w:hint="eastAsia" w:eastAsia="楷体_GB2312"/>
                <w:color w:val="000000"/>
                <w:kern w:val="0"/>
                <w:szCs w:val="21"/>
              </w:rPr>
              <w:t>2</w:t>
            </w:r>
          </w:p>
        </w:tc>
        <w:tc>
          <w:tcPr>
            <w:tcW w:w="0" w:type="auto"/>
            <w:noWrap/>
            <w:vAlign w:val="center"/>
          </w:tcPr>
          <w:p w14:paraId="558C4F02">
            <w:pPr>
              <w:jc w:val="center"/>
              <w:rPr>
                <w:rFonts w:eastAsia="楷体_GB2312"/>
                <w:color w:val="000000"/>
                <w:kern w:val="0"/>
                <w:szCs w:val="21"/>
              </w:rPr>
            </w:pPr>
            <w:r>
              <w:rPr>
                <w:rFonts w:eastAsia="楷体_GB2312"/>
                <w:color w:val="000000"/>
                <w:kern w:val="0"/>
                <w:szCs w:val="21"/>
              </w:rPr>
              <w:t>380</w:t>
            </w:r>
          </w:p>
        </w:tc>
        <w:tc>
          <w:tcPr>
            <w:tcW w:w="0" w:type="auto"/>
            <w:noWrap/>
            <w:vAlign w:val="center"/>
          </w:tcPr>
          <w:p w14:paraId="1470440B">
            <w:pPr>
              <w:jc w:val="center"/>
              <w:rPr>
                <w:rFonts w:eastAsia="楷体_GB2312"/>
                <w:color w:val="000000"/>
                <w:kern w:val="0"/>
                <w:szCs w:val="21"/>
              </w:rPr>
            </w:pPr>
            <w:r>
              <w:rPr>
                <w:rFonts w:eastAsia="楷体_GB2312"/>
                <w:color w:val="000000"/>
                <w:kern w:val="0"/>
                <w:szCs w:val="21"/>
              </w:rPr>
              <w:t>275</w:t>
            </w:r>
          </w:p>
        </w:tc>
        <w:tc>
          <w:tcPr>
            <w:tcW w:w="0" w:type="auto"/>
            <w:noWrap/>
            <w:vAlign w:val="center"/>
          </w:tcPr>
          <w:p w14:paraId="3D087BEB">
            <w:pPr>
              <w:jc w:val="center"/>
              <w:rPr>
                <w:rFonts w:eastAsia="楷体_GB2312"/>
                <w:color w:val="000000"/>
                <w:kern w:val="0"/>
                <w:szCs w:val="21"/>
              </w:rPr>
            </w:pPr>
            <w:r>
              <w:rPr>
                <w:rFonts w:eastAsia="楷体_GB2312"/>
                <w:color w:val="000000"/>
                <w:kern w:val="0"/>
                <w:szCs w:val="21"/>
              </w:rPr>
              <w:t>155</w:t>
            </w:r>
          </w:p>
        </w:tc>
        <w:tc>
          <w:tcPr>
            <w:tcW w:w="0" w:type="auto"/>
            <w:noWrap/>
            <w:vAlign w:val="center"/>
          </w:tcPr>
          <w:p w14:paraId="08F42EA2">
            <w:pPr>
              <w:jc w:val="center"/>
              <w:rPr>
                <w:rFonts w:eastAsia="楷体_GB2312"/>
                <w:color w:val="000000"/>
                <w:kern w:val="0"/>
                <w:szCs w:val="21"/>
              </w:rPr>
            </w:pPr>
            <w:r>
              <w:rPr>
                <w:rFonts w:eastAsia="楷体_GB2312"/>
                <w:color w:val="000000"/>
                <w:kern w:val="0"/>
                <w:szCs w:val="21"/>
              </w:rPr>
              <w:t>265</w:t>
            </w:r>
          </w:p>
        </w:tc>
        <w:tc>
          <w:tcPr>
            <w:tcW w:w="0" w:type="auto"/>
            <w:noWrap/>
            <w:vAlign w:val="center"/>
          </w:tcPr>
          <w:p w14:paraId="56AE6519">
            <w:pPr>
              <w:jc w:val="center"/>
              <w:rPr>
                <w:rFonts w:eastAsia="楷体_GB2312"/>
                <w:color w:val="000000"/>
                <w:kern w:val="0"/>
                <w:szCs w:val="21"/>
              </w:rPr>
            </w:pPr>
            <w:r>
              <w:rPr>
                <w:rFonts w:eastAsia="楷体_GB2312"/>
                <w:color w:val="000000"/>
                <w:kern w:val="0"/>
                <w:szCs w:val="21"/>
              </w:rPr>
              <w:t>255</w:t>
            </w:r>
          </w:p>
        </w:tc>
        <w:tc>
          <w:tcPr>
            <w:tcW w:w="0" w:type="auto"/>
            <w:noWrap/>
            <w:vAlign w:val="center"/>
          </w:tcPr>
          <w:p w14:paraId="5A7D524A">
            <w:pPr>
              <w:jc w:val="center"/>
              <w:rPr>
                <w:rFonts w:eastAsia="楷体_GB2312"/>
                <w:color w:val="000000"/>
                <w:kern w:val="0"/>
                <w:szCs w:val="21"/>
              </w:rPr>
            </w:pPr>
            <w:r>
              <w:rPr>
                <w:rFonts w:eastAsia="楷体_GB2312"/>
                <w:color w:val="000000"/>
                <w:kern w:val="0"/>
                <w:szCs w:val="21"/>
              </w:rPr>
              <w:t>245</w:t>
            </w:r>
          </w:p>
        </w:tc>
        <w:tc>
          <w:tcPr>
            <w:tcW w:w="0" w:type="auto"/>
            <w:noWrap/>
            <w:vAlign w:val="center"/>
          </w:tcPr>
          <w:p w14:paraId="0B54AF85">
            <w:pPr>
              <w:jc w:val="center"/>
              <w:rPr>
                <w:rFonts w:eastAsia="楷体_GB2312"/>
                <w:color w:val="000000"/>
                <w:kern w:val="0"/>
                <w:szCs w:val="21"/>
              </w:rPr>
            </w:pPr>
            <w:r>
              <w:rPr>
                <w:rFonts w:eastAsia="楷体_GB2312"/>
                <w:color w:val="000000"/>
                <w:kern w:val="0"/>
                <w:szCs w:val="21"/>
              </w:rPr>
              <w:t>235</w:t>
            </w:r>
          </w:p>
        </w:tc>
        <w:tc>
          <w:tcPr>
            <w:tcW w:w="0" w:type="auto"/>
            <w:noWrap/>
            <w:vAlign w:val="center"/>
          </w:tcPr>
          <w:p w14:paraId="55CF3935">
            <w:pPr>
              <w:jc w:val="center"/>
              <w:rPr>
                <w:rFonts w:eastAsia="楷体_GB2312"/>
                <w:color w:val="000000"/>
                <w:kern w:val="0"/>
                <w:szCs w:val="21"/>
              </w:rPr>
            </w:pPr>
            <w:r>
              <w:rPr>
                <w:rFonts w:eastAsia="楷体_GB2312"/>
                <w:color w:val="000000"/>
                <w:kern w:val="0"/>
                <w:szCs w:val="21"/>
              </w:rPr>
              <w:t>230</w:t>
            </w:r>
          </w:p>
        </w:tc>
        <w:tc>
          <w:tcPr>
            <w:tcW w:w="0" w:type="auto"/>
            <w:noWrap/>
            <w:vAlign w:val="center"/>
          </w:tcPr>
          <w:p w14:paraId="041F8A14">
            <w:pPr>
              <w:jc w:val="center"/>
              <w:rPr>
                <w:rFonts w:eastAsia="楷体_GB2312"/>
                <w:color w:val="000000"/>
                <w:kern w:val="0"/>
                <w:szCs w:val="21"/>
              </w:rPr>
            </w:pPr>
            <w:r>
              <w:rPr>
                <w:rFonts w:eastAsia="楷体_GB2312"/>
                <w:color w:val="000000"/>
                <w:kern w:val="0"/>
                <w:szCs w:val="21"/>
              </w:rPr>
              <w:t>220</w:t>
            </w:r>
          </w:p>
        </w:tc>
      </w:tr>
      <w:tr w14:paraId="6DE4C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634C3F26">
            <w:pPr>
              <w:jc w:val="center"/>
              <w:rPr>
                <w:rFonts w:eastAsia="楷体_GB2312"/>
                <w:color w:val="000000"/>
                <w:kern w:val="0"/>
                <w:szCs w:val="21"/>
              </w:rPr>
            </w:pPr>
          </w:p>
        </w:tc>
        <w:tc>
          <w:tcPr>
            <w:tcW w:w="0" w:type="auto"/>
            <w:vMerge w:val="continue"/>
            <w:noWrap w:val="0"/>
            <w:vAlign w:val="center"/>
          </w:tcPr>
          <w:p w14:paraId="6D8814B8">
            <w:pPr>
              <w:jc w:val="center"/>
              <w:rPr>
                <w:rFonts w:eastAsia="楷体_GB2312"/>
                <w:color w:val="000000"/>
                <w:kern w:val="0"/>
                <w:szCs w:val="21"/>
              </w:rPr>
            </w:pPr>
          </w:p>
        </w:tc>
        <w:tc>
          <w:tcPr>
            <w:tcW w:w="0" w:type="auto"/>
            <w:noWrap w:val="0"/>
            <w:vAlign w:val="top"/>
          </w:tcPr>
          <w:p w14:paraId="53101404">
            <w:pPr>
              <w:jc w:val="center"/>
              <w:rPr>
                <w:rFonts w:eastAsia="楷体_GB2312"/>
                <w:color w:val="000000"/>
                <w:kern w:val="0"/>
                <w:szCs w:val="21"/>
              </w:rPr>
            </w:pPr>
            <w:r>
              <w:rPr>
                <w:rFonts w:hint="eastAsia" w:eastAsia="楷体_GB2312"/>
                <w:color w:val="000000"/>
                <w:kern w:val="0"/>
                <w:szCs w:val="21"/>
              </w:rPr>
              <w:t>3</w:t>
            </w:r>
          </w:p>
        </w:tc>
        <w:tc>
          <w:tcPr>
            <w:tcW w:w="0" w:type="auto"/>
            <w:noWrap/>
            <w:vAlign w:val="center"/>
          </w:tcPr>
          <w:p w14:paraId="67C314EE">
            <w:pPr>
              <w:jc w:val="center"/>
              <w:rPr>
                <w:rFonts w:eastAsia="楷体_GB2312"/>
                <w:color w:val="000000"/>
                <w:kern w:val="0"/>
                <w:szCs w:val="21"/>
              </w:rPr>
            </w:pPr>
            <w:r>
              <w:rPr>
                <w:rFonts w:eastAsia="楷体_GB2312"/>
                <w:color w:val="000000"/>
                <w:kern w:val="0"/>
                <w:szCs w:val="21"/>
              </w:rPr>
              <w:t>300</w:t>
            </w:r>
          </w:p>
        </w:tc>
        <w:tc>
          <w:tcPr>
            <w:tcW w:w="0" w:type="auto"/>
            <w:noWrap/>
            <w:vAlign w:val="center"/>
          </w:tcPr>
          <w:p w14:paraId="7409CC21">
            <w:pPr>
              <w:jc w:val="center"/>
              <w:rPr>
                <w:rFonts w:eastAsia="楷体_GB2312"/>
                <w:color w:val="000000"/>
                <w:kern w:val="0"/>
                <w:szCs w:val="21"/>
              </w:rPr>
            </w:pPr>
            <w:r>
              <w:rPr>
                <w:rFonts w:eastAsia="楷体_GB2312"/>
                <w:color w:val="000000"/>
                <w:kern w:val="0"/>
                <w:szCs w:val="21"/>
              </w:rPr>
              <w:t>210</w:t>
            </w:r>
          </w:p>
        </w:tc>
        <w:tc>
          <w:tcPr>
            <w:tcW w:w="0" w:type="auto"/>
            <w:noWrap/>
            <w:vAlign w:val="center"/>
          </w:tcPr>
          <w:p w14:paraId="26FA0A9B">
            <w:pPr>
              <w:jc w:val="center"/>
              <w:rPr>
                <w:rFonts w:eastAsia="楷体_GB2312"/>
                <w:color w:val="000000"/>
                <w:kern w:val="0"/>
                <w:szCs w:val="21"/>
              </w:rPr>
            </w:pPr>
            <w:r>
              <w:rPr>
                <w:rFonts w:eastAsia="楷体_GB2312"/>
                <w:color w:val="000000"/>
                <w:kern w:val="0"/>
                <w:szCs w:val="21"/>
              </w:rPr>
              <w:t>144</w:t>
            </w:r>
          </w:p>
        </w:tc>
        <w:tc>
          <w:tcPr>
            <w:tcW w:w="0" w:type="auto"/>
            <w:noWrap/>
            <w:vAlign w:val="center"/>
          </w:tcPr>
          <w:p w14:paraId="3E48488D">
            <w:pPr>
              <w:jc w:val="center"/>
              <w:rPr>
                <w:rFonts w:eastAsia="楷体_GB2312"/>
                <w:color w:val="000000"/>
                <w:kern w:val="0"/>
                <w:szCs w:val="21"/>
              </w:rPr>
            </w:pPr>
            <w:r>
              <w:rPr>
                <w:rFonts w:eastAsia="楷体_GB2312"/>
                <w:color w:val="000000"/>
                <w:kern w:val="0"/>
                <w:szCs w:val="21"/>
              </w:rPr>
              <w:t>200</w:t>
            </w:r>
          </w:p>
        </w:tc>
        <w:tc>
          <w:tcPr>
            <w:tcW w:w="0" w:type="auto"/>
            <w:noWrap/>
            <w:vAlign w:val="center"/>
          </w:tcPr>
          <w:p w14:paraId="759F97F0">
            <w:pPr>
              <w:jc w:val="center"/>
              <w:rPr>
                <w:rFonts w:eastAsia="楷体_GB2312"/>
                <w:color w:val="000000"/>
                <w:kern w:val="0"/>
                <w:szCs w:val="21"/>
              </w:rPr>
            </w:pPr>
            <w:r>
              <w:rPr>
                <w:rFonts w:eastAsia="楷体_GB2312"/>
                <w:color w:val="000000"/>
                <w:kern w:val="0"/>
                <w:szCs w:val="21"/>
              </w:rPr>
              <w:t>195</w:t>
            </w:r>
          </w:p>
        </w:tc>
        <w:tc>
          <w:tcPr>
            <w:tcW w:w="0" w:type="auto"/>
            <w:noWrap/>
            <w:vAlign w:val="center"/>
          </w:tcPr>
          <w:p w14:paraId="7BCFCD8B">
            <w:pPr>
              <w:jc w:val="center"/>
              <w:rPr>
                <w:rFonts w:eastAsia="楷体_GB2312"/>
                <w:color w:val="000000"/>
                <w:kern w:val="0"/>
                <w:szCs w:val="21"/>
              </w:rPr>
            </w:pPr>
            <w:r>
              <w:rPr>
                <w:rFonts w:eastAsia="楷体_GB2312"/>
                <w:color w:val="000000"/>
                <w:kern w:val="0"/>
                <w:szCs w:val="21"/>
              </w:rPr>
              <w:t>190</w:t>
            </w:r>
          </w:p>
        </w:tc>
        <w:tc>
          <w:tcPr>
            <w:tcW w:w="0" w:type="auto"/>
            <w:noWrap/>
            <w:vAlign w:val="center"/>
          </w:tcPr>
          <w:p w14:paraId="39729CC8">
            <w:pPr>
              <w:jc w:val="center"/>
              <w:rPr>
                <w:rFonts w:eastAsia="楷体_GB2312"/>
                <w:color w:val="000000"/>
                <w:kern w:val="0"/>
                <w:szCs w:val="21"/>
              </w:rPr>
            </w:pPr>
            <w:r>
              <w:rPr>
                <w:rFonts w:eastAsia="楷体_GB2312"/>
                <w:color w:val="000000"/>
                <w:kern w:val="0"/>
                <w:szCs w:val="21"/>
              </w:rPr>
              <w:t>185</w:t>
            </w:r>
          </w:p>
        </w:tc>
        <w:tc>
          <w:tcPr>
            <w:tcW w:w="0" w:type="auto"/>
            <w:noWrap/>
            <w:vAlign w:val="center"/>
          </w:tcPr>
          <w:p w14:paraId="093BE900">
            <w:pPr>
              <w:jc w:val="center"/>
              <w:rPr>
                <w:rFonts w:eastAsia="楷体_GB2312"/>
                <w:color w:val="000000"/>
                <w:kern w:val="0"/>
                <w:szCs w:val="21"/>
              </w:rPr>
            </w:pPr>
            <w:r>
              <w:rPr>
                <w:rFonts w:eastAsia="楷体_GB2312"/>
                <w:color w:val="000000"/>
                <w:kern w:val="0"/>
                <w:szCs w:val="21"/>
              </w:rPr>
              <w:t>180</w:t>
            </w:r>
          </w:p>
        </w:tc>
        <w:tc>
          <w:tcPr>
            <w:tcW w:w="0" w:type="auto"/>
            <w:noWrap/>
            <w:vAlign w:val="center"/>
          </w:tcPr>
          <w:p w14:paraId="6D1523E1">
            <w:pPr>
              <w:jc w:val="center"/>
              <w:rPr>
                <w:rFonts w:eastAsia="楷体_GB2312"/>
                <w:color w:val="000000"/>
                <w:kern w:val="0"/>
                <w:szCs w:val="21"/>
              </w:rPr>
            </w:pPr>
            <w:r>
              <w:rPr>
                <w:rFonts w:eastAsia="楷体_GB2312"/>
                <w:color w:val="000000"/>
                <w:kern w:val="0"/>
                <w:szCs w:val="21"/>
              </w:rPr>
              <w:t>175</w:t>
            </w:r>
          </w:p>
        </w:tc>
      </w:tr>
      <w:tr w14:paraId="08E38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ign w:val="center"/>
          </w:tcPr>
          <w:p w14:paraId="1B150F7D">
            <w:pPr>
              <w:jc w:val="center"/>
              <w:rPr>
                <w:rFonts w:eastAsia="楷体_GB2312"/>
                <w:color w:val="000000"/>
                <w:kern w:val="0"/>
                <w:szCs w:val="21"/>
              </w:rPr>
            </w:pPr>
            <w:r>
              <w:rPr>
                <w:rFonts w:eastAsia="楷体_GB2312"/>
                <w:color w:val="000000"/>
                <w:kern w:val="0"/>
                <w:szCs w:val="21"/>
              </w:rPr>
              <w:t>12</w:t>
            </w:r>
          </w:p>
        </w:tc>
        <w:tc>
          <w:tcPr>
            <w:tcW w:w="0" w:type="auto"/>
            <w:vMerge w:val="restart"/>
            <w:noWrap/>
            <w:vAlign w:val="center"/>
          </w:tcPr>
          <w:p w14:paraId="4514BB68">
            <w:pPr>
              <w:jc w:val="center"/>
              <w:rPr>
                <w:rFonts w:eastAsia="楷体_GB2312"/>
                <w:color w:val="000000"/>
                <w:kern w:val="0"/>
                <w:szCs w:val="21"/>
              </w:rPr>
            </w:pPr>
            <w:r>
              <w:rPr>
                <w:rFonts w:eastAsia="楷体_GB2312"/>
                <w:color w:val="000000"/>
                <w:kern w:val="0"/>
                <w:szCs w:val="21"/>
              </w:rPr>
              <w:t>大营镇</w:t>
            </w:r>
          </w:p>
        </w:tc>
        <w:tc>
          <w:tcPr>
            <w:tcW w:w="0" w:type="auto"/>
            <w:noWrap w:val="0"/>
            <w:vAlign w:val="top"/>
          </w:tcPr>
          <w:p w14:paraId="3FE26A96">
            <w:pPr>
              <w:jc w:val="center"/>
              <w:rPr>
                <w:rFonts w:eastAsia="楷体_GB2312"/>
                <w:color w:val="000000"/>
                <w:kern w:val="0"/>
                <w:szCs w:val="21"/>
              </w:rPr>
            </w:pPr>
            <w:r>
              <w:rPr>
                <w:rFonts w:hint="eastAsia" w:eastAsia="楷体_GB2312"/>
                <w:color w:val="000000"/>
                <w:kern w:val="0"/>
                <w:szCs w:val="21"/>
              </w:rPr>
              <w:t>1</w:t>
            </w:r>
          </w:p>
        </w:tc>
        <w:tc>
          <w:tcPr>
            <w:tcW w:w="0" w:type="auto"/>
            <w:noWrap/>
            <w:vAlign w:val="center"/>
          </w:tcPr>
          <w:p w14:paraId="5A07EC7B">
            <w:pPr>
              <w:jc w:val="center"/>
              <w:rPr>
                <w:rFonts w:eastAsia="楷体_GB2312"/>
                <w:color w:val="000000"/>
                <w:kern w:val="0"/>
                <w:szCs w:val="21"/>
              </w:rPr>
            </w:pPr>
            <w:r>
              <w:rPr>
                <w:rFonts w:eastAsia="楷体_GB2312"/>
                <w:color w:val="000000"/>
                <w:kern w:val="0"/>
                <w:szCs w:val="21"/>
              </w:rPr>
              <w:t>480</w:t>
            </w:r>
          </w:p>
        </w:tc>
        <w:tc>
          <w:tcPr>
            <w:tcW w:w="0" w:type="auto"/>
            <w:noWrap/>
            <w:vAlign w:val="center"/>
          </w:tcPr>
          <w:p w14:paraId="2D3E3910">
            <w:pPr>
              <w:jc w:val="center"/>
              <w:rPr>
                <w:rFonts w:eastAsia="楷体_GB2312"/>
                <w:color w:val="000000"/>
                <w:kern w:val="0"/>
                <w:szCs w:val="21"/>
              </w:rPr>
            </w:pPr>
            <w:r>
              <w:rPr>
                <w:rFonts w:eastAsia="楷体_GB2312"/>
                <w:color w:val="000000"/>
                <w:kern w:val="0"/>
                <w:szCs w:val="21"/>
              </w:rPr>
              <w:t>355</w:t>
            </w:r>
          </w:p>
        </w:tc>
        <w:tc>
          <w:tcPr>
            <w:tcW w:w="0" w:type="auto"/>
            <w:noWrap/>
            <w:vAlign w:val="center"/>
          </w:tcPr>
          <w:p w14:paraId="2DD48CAC">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77B1AB8E">
            <w:pPr>
              <w:jc w:val="center"/>
              <w:rPr>
                <w:rFonts w:eastAsia="楷体_GB2312"/>
                <w:color w:val="000000"/>
                <w:kern w:val="0"/>
                <w:szCs w:val="21"/>
              </w:rPr>
            </w:pPr>
            <w:r>
              <w:rPr>
                <w:rFonts w:eastAsia="楷体_GB2312"/>
                <w:color w:val="000000"/>
                <w:kern w:val="0"/>
                <w:szCs w:val="21"/>
              </w:rPr>
              <w:t>335</w:t>
            </w:r>
          </w:p>
        </w:tc>
        <w:tc>
          <w:tcPr>
            <w:tcW w:w="0" w:type="auto"/>
            <w:noWrap/>
            <w:vAlign w:val="center"/>
          </w:tcPr>
          <w:p w14:paraId="0D808021">
            <w:pPr>
              <w:jc w:val="center"/>
              <w:rPr>
                <w:rFonts w:eastAsia="楷体_GB2312"/>
                <w:color w:val="000000"/>
                <w:kern w:val="0"/>
                <w:szCs w:val="21"/>
              </w:rPr>
            </w:pPr>
            <w:r>
              <w:rPr>
                <w:rFonts w:eastAsia="楷体_GB2312"/>
                <w:color w:val="000000"/>
                <w:kern w:val="0"/>
                <w:szCs w:val="21"/>
              </w:rPr>
              <w:t>315</w:t>
            </w:r>
          </w:p>
        </w:tc>
        <w:tc>
          <w:tcPr>
            <w:tcW w:w="0" w:type="auto"/>
            <w:noWrap/>
            <w:vAlign w:val="center"/>
          </w:tcPr>
          <w:p w14:paraId="68DE8814">
            <w:pPr>
              <w:jc w:val="center"/>
              <w:rPr>
                <w:rFonts w:eastAsia="楷体_GB2312"/>
                <w:color w:val="000000"/>
                <w:kern w:val="0"/>
                <w:szCs w:val="21"/>
              </w:rPr>
            </w:pPr>
            <w:r>
              <w:rPr>
                <w:rFonts w:eastAsia="楷体_GB2312"/>
                <w:color w:val="000000"/>
                <w:kern w:val="0"/>
                <w:szCs w:val="21"/>
              </w:rPr>
              <w:t>300</w:t>
            </w:r>
          </w:p>
        </w:tc>
        <w:tc>
          <w:tcPr>
            <w:tcW w:w="0" w:type="auto"/>
            <w:noWrap/>
            <w:vAlign w:val="center"/>
          </w:tcPr>
          <w:p w14:paraId="35164B7C">
            <w:pPr>
              <w:jc w:val="center"/>
              <w:rPr>
                <w:rFonts w:eastAsia="楷体_GB2312"/>
                <w:color w:val="000000"/>
                <w:kern w:val="0"/>
                <w:szCs w:val="21"/>
              </w:rPr>
            </w:pPr>
            <w:r>
              <w:rPr>
                <w:rFonts w:eastAsia="楷体_GB2312"/>
                <w:color w:val="000000"/>
                <w:kern w:val="0"/>
                <w:szCs w:val="21"/>
              </w:rPr>
              <w:t>290</w:t>
            </w:r>
          </w:p>
        </w:tc>
        <w:tc>
          <w:tcPr>
            <w:tcW w:w="0" w:type="auto"/>
            <w:noWrap/>
            <w:vAlign w:val="center"/>
          </w:tcPr>
          <w:p w14:paraId="1594A69A">
            <w:pPr>
              <w:jc w:val="center"/>
              <w:rPr>
                <w:rFonts w:eastAsia="楷体_GB2312"/>
                <w:color w:val="000000"/>
                <w:kern w:val="0"/>
                <w:szCs w:val="21"/>
              </w:rPr>
            </w:pPr>
            <w:r>
              <w:rPr>
                <w:rFonts w:eastAsia="楷体_GB2312"/>
                <w:color w:val="000000"/>
                <w:kern w:val="0"/>
                <w:szCs w:val="21"/>
              </w:rPr>
              <w:t>280</w:t>
            </w:r>
          </w:p>
        </w:tc>
        <w:tc>
          <w:tcPr>
            <w:tcW w:w="0" w:type="auto"/>
            <w:noWrap/>
            <w:vAlign w:val="center"/>
          </w:tcPr>
          <w:p w14:paraId="5573182D">
            <w:pPr>
              <w:jc w:val="center"/>
              <w:rPr>
                <w:rFonts w:eastAsia="楷体_GB2312"/>
                <w:color w:val="000000"/>
                <w:kern w:val="0"/>
                <w:szCs w:val="21"/>
              </w:rPr>
            </w:pPr>
            <w:r>
              <w:rPr>
                <w:rFonts w:eastAsia="楷体_GB2312"/>
                <w:color w:val="000000"/>
                <w:kern w:val="0"/>
                <w:szCs w:val="21"/>
              </w:rPr>
              <w:t>265</w:t>
            </w:r>
          </w:p>
        </w:tc>
      </w:tr>
      <w:tr w14:paraId="01186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02BEEE05">
            <w:pPr>
              <w:jc w:val="center"/>
              <w:rPr>
                <w:rFonts w:eastAsia="楷体_GB2312"/>
                <w:color w:val="000000"/>
                <w:kern w:val="0"/>
                <w:szCs w:val="21"/>
              </w:rPr>
            </w:pPr>
          </w:p>
        </w:tc>
        <w:tc>
          <w:tcPr>
            <w:tcW w:w="0" w:type="auto"/>
            <w:vMerge w:val="continue"/>
            <w:noWrap w:val="0"/>
            <w:vAlign w:val="center"/>
          </w:tcPr>
          <w:p w14:paraId="352CE539">
            <w:pPr>
              <w:jc w:val="center"/>
              <w:rPr>
                <w:rFonts w:eastAsia="楷体_GB2312"/>
                <w:color w:val="000000"/>
                <w:kern w:val="0"/>
                <w:szCs w:val="21"/>
              </w:rPr>
            </w:pPr>
          </w:p>
        </w:tc>
        <w:tc>
          <w:tcPr>
            <w:tcW w:w="0" w:type="auto"/>
            <w:noWrap w:val="0"/>
            <w:vAlign w:val="top"/>
          </w:tcPr>
          <w:p w14:paraId="0C3C40EA">
            <w:pPr>
              <w:jc w:val="center"/>
              <w:rPr>
                <w:rFonts w:eastAsia="楷体_GB2312"/>
                <w:color w:val="000000"/>
                <w:kern w:val="0"/>
                <w:szCs w:val="21"/>
              </w:rPr>
            </w:pPr>
            <w:r>
              <w:rPr>
                <w:rFonts w:hint="eastAsia" w:eastAsia="楷体_GB2312"/>
                <w:color w:val="000000"/>
                <w:kern w:val="0"/>
                <w:szCs w:val="21"/>
              </w:rPr>
              <w:t>2</w:t>
            </w:r>
          </w:p>
        </w:tc>
        <w:tc>
          <w:tcPr>
            <w:tcW w:w="0" w:type="auto"/>
            <w:noWrap/>
            <w:vAlign w:val="center"/>
          </w:tcPr>
          <w:p w14:paraId="52F69B22">
            <w:pPr>
              <w:jc w:val="center"/>
              <w:rPr>
                <w:rFonts w:eastAsia="楷体_GB2312"/>
                <w:color w:val="000000"/>
                <w:kern w:val="0"/>
                <w:szCs w:val="21"/>
              </w:rPr>
            </w:pPr>
            <w:r>
              <w:rPr>
                <w:rFonts w:eastAsia="楷体_GB2312"/>
                <w:color w:val="000000"/>
                <w:kern w:val="0"/>
                <w:szCs w:val="21"/>
              </w:rPr>
              <w:t>375</w:t>
            </w:r>
          </w:p>
        </w:tc>
        <w:tc>
          <w:tcPr>
            <w:tcW w:w="0" w:type="auto"/>
            <w:noWrap/>
            <w:vAlign w:val="center"/>
          </w:tcPr>
          <w:p w14:paraId="573CF738">
            <w:pPr>
              <w:jc w:val="center"/>
              <w:rPr>
                <w:rFonts w:eastAsia="楷体_GB2312"/>
                <w:color w:val="000000"/>
                <w:kern w:val="0"/>
                <w:szCs w:val="21"/>
              </w:rPr>
            </w:pPr>
            <w:r>
              <w:rPr>
                <w:rFonts w:eastAsia="楷体_GB2312"/>
                <w:color w:val="000000"/>
                <w:kern w:val="0"/>
                <w:szCs w:val="21"/>
              </w:rPr>
              <w:t>270</w:t>
            </w:r>
          </w:p>
        </w:tc>
        <w:tc>
          <w:tcPr>
            <w:tcW w:w="0" w:type="auto"/>
            <w:noWrap/>
            <w:vAlign w:val="center"/>
          </w:tcPr>
          <w:p w14:paraId="1793589A">
            <w:pPr>
              <w:jc w:val="center"/>
              <w:rPr>
                <w:rFonts w:eastAsia="楷体_GB2312"/>
                <w:color w:val="000000"/>
                <w:kern w:val="0"/>
                <w:szCs w:val="21"/>
              </w:rPr>
            </w:pPr>
            <w:r>
              <w:rPr>
                <w:rFonts w:eastAsia="楷体_GB2312"/>
                <w:color w:val="000000"/>
                <w:kern w:val="0"/>
                <w:szCs w:val="21"/>
              </w:rPr>
              <w:t>155</w:t>
            </w:r>
          </w:p>
        </w:tc>
        <w:tc>
          <w:tcPr>
            <w:tcW w:w="0" w:type="auto"/>
            <w:noWrap/>
            <w:vAlign w:val="center"/>
          </w:tcPr>
          <w:p w14:paraId="01E3E2B7">
            <w:pPr>
              <w:jc w:val="center"/>
              <w:rPr>
                <w:rFonts w:eastAsia="楷体_GB2312"/>
                <w:color w:val="000000"/>
                <w:kern w:val="0"/>
                <w:szCs w:val="21"/>
              </w:rPr>
            </w:pPr>
            <w:r>
              <w:rPr>
                <w:rFonts w:eastAsia="楷体_GB2312"/>
                <w:color w:val="000000"/>
                <w:kern w:val="0"/>
                <w:szCs w:val="21"/>
              </w:rPr>
              <w:t>260</w:t>
            </w:r>
          </w:p>
        </w:tc>
        <w:tc>
          <w:tcPr>
            <w:tcW w:w="0" w:type="auto"/>
            <w:noWrap/>
            <w:vAlign w:val="center"/>
          </w:tcPr>
          <w:p w14:paraId="1F681196">
            <w:pPr>
              <w:jc w:val="center"/>
              <w:rPr>
                <w:rFonts w:eastAsia="楷体_GB2312"/>
                <w:color w:val="000000"/>
                <w:kern w:val="0"/>
                <w:szCs w:val="21"/>
              </w:rPr>
            </w:pPr>
            <w:r>
              <w:rPr>
                <w:rFonts w:eastAsia="楷体_GB2312"/>
                <w:color w:val="000000"/>
                <w:kern w:val="0"/>
                <w:szCs w:val="21"/>
              </w:rPr>
              <w:t>250</w:t>
            </w:r>
          </w:p>
        </w:tc>
        <w:tc>
          <w:tcPr>
            <w:tcW w:w="0" w:type="auto"/>
            <w:noWrap/>
            <w:vAlign w:val="center"/>
          </w:tcPr>
          <w:p w14:paraId="57C084DC">
            <w:pPr>
              <w:jc w:val="center"/>
              <w:rPr>
                <w:rFonts w:eastAsia="楷体_GB2312"/>
                <w:color w:val="000000"/>
                <w:kern w:val="0"/>
                <w:szCs w:val="21"/>
              </w:rPr>
            </w:pPr>
            <w:r>
              <w:rPr>
                <w:rFonts w:eastAsia="楷体_GB2312"/>
                <w:color w:val="000000"/>
                <w:kern w:val="0"/>
                <w:szCs w:val="21"/>
              </w:rPr>
              <w:t>240</w:t>
            </w:r>
          </w:p>
        </w:tc>
        <w:tc>
          <w:tcPr>
            <w:tcW w:w="0" w:type="auto"/>
            <w:noWrap/>
            <w:vAlign w:val="center"/>
          </w:tcPr>
          <w:p w14:paraId="3DC5339A">
            <w:pPr>
              <w:jc w:val="center"/>
              <w:rPr>
                <w:rFonts w:eastAsia="楷体_GB2312"/>
                <w:color w:val="000000"/>
                <w:kern w:val="0"/>
                <w:szCs w:val="21"/>
              </w:rPr>
            </w:pPr>
            <w:r>
              <w:rPr>
                <w:rFonts w:eastAsia="楷体_GB2312"/>
                <w:color w:val="000000"/>
                <w:kern w:val="0"/>
                <w:szCs w:val="21"/>
              </w:rPr>
              <w:t>230</w:t>
            </w:r>
          </w:p>
        </w:tc>
        <w:tc>
          <w:tcPr>
            <w:tcW w:w="0" w:type="auto"/>
            <w:noWrap/>
            <w:vAlign w:val="center"/>
          </w:tcPr>
          <w:p w14:paraId="026C58EC">
            <w:pPr>
              <w:jc w:val="center"/>
              <w:rPr>
                <w:rFonts w:eastAsia="楷体_GB2312"/>
                <w:color w:val="000000"/>
                <w:kern w:val="0"/>
                <w:szCs w:val="21"/>
              </w:rPr>
            </w:pPr>
            <w:r>
              <w:rPr>
                <w:rFonts w:eastAsia="楷体_GB2312"/>
                <w:color w:val="000000"/>
                <w:kern w:val="0"/>
                <w:szCs w:val="21"/>
              </w:rPr>
              <w:t>225</w:t>
            </w:r>
          </w:p>
        </w:tc>
        <w:tc>
          <w:tcPr>
            <w:tcW w:w="0" w:type="auto"/>
            <w:noWrap/>
            <w:vAlign w:val="center"/>
          </w:tcPr>
          <w:p w14:paraId="33B2D53A">
            <w:pPr>
              <w:jc w:val="center"/>
              <w:rPr>
                <w:rFonts w:eastAsia="楷体_GB2312"/>
                <w:color w:val="000000"/>
                <w:kern w:val="0"/>
                <w:szCs w:val="21"/>
              </w:rPr>
            </w:pPr>
            <w:r>
              <w:rPr>
                <w:rFonts w:eastAsia="楷体_GB2312"/>
                <w:color w:val="000000"/>
                <w:kern w:val="0"/>
                <w:szCs w:val="21"/>
              </w:rPr>
              <w:t>215</w:t>
            </w:r>
          </w:p>
        </w:tc>
      </w:tr>
      <w:tr w14:paraId="3C005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66F2BF45">
            <w:pPr>
              <w:jc w:val="center"/>
              <w:rPr>
                <w:rFonts w:eastAsia="楷体_GB2312"/>
                <w:color w:val="000000"/>
                <w:kern w:val="0"/>
                <w:szCs w:val="21"/>
              </w:rPr>
            </w:pPr>
          </w:p>
        </w:tc>
        <w:tc>
          <w:tcPr>
            <w:tcW w:w="0" w:type="auto"/>
            <w:vMerge w:val="continue"/>
            <w:noWrap w:val="0"/>
            <w:vAlign w:val="center"/>
          </w:tcPr>
          <w:p w14:paraId="793D25CB">
            <w:pPr>
              <w:jc w:val="center"/>
              <w:rPr>
                <w:rFonts w:eastAsia="楷体_GB2312"/>
                <w:color w:val="000000"/>
                <w:kern w:val="0"/>
                <w:szCs w:val="21"/>
              </w:rPr>
            </w:pPr>
          </w:p>
        </w:tc>
        <w:tc>
          <w:tcPr>
            <w:tcW w:w="0" w:type="auto"/>
            <w:noWrap w:val="0"/>
            <w:vAlign w:val="top"/>
          </w:tcPr>
          <w:p w14:paraId="6E2BD524">
            <w:pPr>
              <w:jc w:val="center"/>
              <w:rPr>
                <w:rFonts w:eastAsia="楷体_GB2312"/>
                <w:color w:val="000000"/>
                <w:kern w:val="0"/>
                <w:szCs w:val="21"/>
              </w:rPr>
            </w:pPr>
            <w:r>
              <w:rPr>
                <w:rFonts w:hint="eastAsia" w:eastAsia="楷体_GB2312"/>
                <w:color w:val="000000"/>
                <w:kern w:val="0"/>
                <w:szCs w:val="21"/>
              </w:rPr>
              <w:t>3</w:t>
            </w:r>
          </w:p>
        </w:tc>
        <w:tc>
          <w:tcPr>
            <w:tcW w:w="0" w:type="auto"/>
            <w:noWrap/>
            <w:vAlign w:val="center"/>
          </w:tcPr>
          <w:p w14:paraId="4FA399EC">
            <w:pPr>
              <w:jc w:val="center"/>
              <w:rPr>
                <w:rFonts w:eastAsia="楷体_GB2312"/>
                <w:color w:val="000000"/>
                <w:kern w:val="0"/>
                <w:szCs w:val="21"/>
              </w:rPr>
            </w:pPr>
            <w:r>
              <w:rPr>
                <w:rFonts w:eastAsia="楷体_GB2312"/>
                <w:color w:val="000000"/>
                <w:kern w:val="0"/>
                <w:szCs w:val="21"/>
              </w:rPr>
              <w:t>295</w:t>
            </w:r>
          </w:p>
        </w:tc>
        <w:tc>
          <w:tcPr>
            <w:tcW w:w="0" w:type="auto"/>
            <w:noWrap/>
            <w:vAlign w:val="center"/>
          </w:tcPr>
          <w:p w14:paraId="58BAE698">
            <w:pPr>
              <w:jc w:val="center"/>
              <w:rPr>
                <w:rFonts w:eastAsia="楷体_GB2312"/>
                <w:color w:val="000000"/>
                <w:kern w:val="0"/>
                <w:szCs w:val="21"/>
              </w:rPr>
            </w:pPr>
            <w:r>
              <w:rPr>
                <w:rFonts w:eastAsia="楷体_GB2312"/>
                <w:color w:val="000000"/>
                <w:kern w:val="0"/>
                <w:szCs w:val="21"/>
              </w:rPr>
              <w:t>210</w:t>
            </w:r>
          </w:p>
        </w:tc>
        <w:tc>
          <w:tcPr>
            <w:tcW w:w="0" w:type="auto"/>
            <w:noWrap/>
            <w:vAlign w:val="center"/>
          </w:tcPr>
          <w:p w14:paraId="0A59A8DE">
            <w:pPr>
              <w:jc w:val="center"/>
              <w:rPr>
                <w:rFonts w:eastAsia="楷体_GB2312"/>
                <w:color w:val="000000"/>
                <w:kern w:val="0"/>
                <w:szCs w:val="21"/>
              </w:rPr>
            </w:pPr>
            <w:r>
              <w:rPr>
                <w:rFonts w:eastAsia="楷体_GB2312"/>
                <w:color w:val="000000"/>
                <w:kern w:val="0"/>
                <w:szCs w:val="21"/>
              </w:rPr>
              <w:t>144</w:t>
            </w:r>
          </w:p>
        </w:tc>
        <w:tc>
          <w:tcPr>
            <w:tcW w:w="0" w:type="auto"/>
            <w:noWrap/>
            <w:vAlign w:val="center"/>
          </w:tcPr>
          <w:p w14:paraId="40986B65">
            <w:pPr>
              <w:jc w:val="center"/>
              <w:rPr>
                <w:rFonts w:eastAsia="楷体_GB2312"/>
                <w:color w:val="000000"/>
                <w:kern w:val="0"/>
                <w:szCs w:val="21"/>
              </w:rPr>
            </w:pPr>
            <w:r>
              <w:rPr>
                <w:rFonts w:eastAsia="楷体_GB2312"/>
                <w:color w:val="000000"/>
                <w:kern w:val="0"/>
                <w:szCs w:val="21"/>
              </w:rPr>
              <w:t>200</w:t>
            </w:r>
          </w:p>
        </w:tc>
        <w:tc>
          <w:tcPr>
            <w:tcW w:w="0" w:type="auto"/>
            <w:noWrap/>
            <w:vAlign w:val="center"/>
          </w:tcPr>
          <w:p w14:paraId="1C6C7F9D">
            <w:pPr>
              <w:jc w:val="center"/>
              <w:rPr>
                <w:rFonts w:eastAsia="楷体_GB2312"/>
                <w:color w:val="000000"/>
                <w:kern w:val="0"/>
                <w:szCs w:val="21"/>
              </w:rPr>
            </w:pPr>
            <w:r>
              <w:rPr>
                <w:rFonts w:eastAsia="楷体_GB2312"/>
                <w:color w:val="000000"/>
                <w:kern w:val="0"/>
                <w:szCs w:val="21"/>
              </w:rPr>
              <w:t>195</w:t>
            </w:r>
          </w:p>
        </w:tc>
        <w:tc>
          <w:tcPr>
            <w:tcW w:w="0" w:type="auto"/>
            <w:noWrap/>
            <w:vAlign w:val="center"/>
          </w:tcPr>
          <w:p w14:paraId="13D295E1">
            <w:pPr>
              <w:jc w:val="center"/>
              <w:rPr>
                <w:rFonts w:eastAsia="楷体_GB2312"/>
                <w:color w:val="000000"/>
                <w:kern w:val="0"/>
                <w:szCs w:val="21"/>
              </w:rPr>
            </w:pPr>
            <w:r>
              <w:rPr>
                <w:rFonts w:eastAsia="楷体_GB2312"/>
                <w:color w:val="000000"/>
                <w:kern w:val="0"/>
                <w:szCs w:val="21"/>
              </w:rPr>
              <w:t>190</w:t>
            </w:r>
          </w:p>
        </w:tc>
        <w:tc>
          <w:tcPr>
            <w:tcW w:w="0" w:type="auto"/>
            <w:noWrap/>
            <w:vAlign w:val="center"/>
          </w:tcPr>
          <w:p w14:paraId="4DAAF673">
            <w:pPr>
              <w:jc w:val="center"/>
              <w:rPr>
                <w:rFonts w:eastAsia="楷体_GB2312"/>
                <w:color w:val="000000"/>
                <w:kern w:val="0"/>
                <w:szCs w:val="21"/>
              </w:rPr>
            </w:pPr>
            <w:r>
              <w:rPr>
                <w:rFonts w:eastAsia="楷体_GB2312"/>
                <w:color w:val="000000"/>
                <w:kern w:val="0"/>
                <w:szCs w:val="21"/>
              </w:rPr>
              <w:t>185</w:t>
            </w:r>
          </w:p>
        </w:tc>
        <w:tc>
          <w:tcPr>
            <w:tcW w:w="0" w:type="auto"/>
            <w:noWrap/>
            <w:vAlign w:val="center"/>
          </w:tcPr>
          <w:p w14:paraId="580CD157">
            <w:pPr>
              <w:jc w:val="center"/>
              <w:rPr>
                <w:rFonts w:eastAsia="楷体_GB2312"/>
                <w:color w:val="000000"/>
                <w:kern w:val="0"/>
                <w:szCs w:val="21"/>
              </w:rPr>
            </w:pPr>
            <w:r>
              <w:rPr>
                <w:rFonts w:eastAsia="楷体_GB2312"/>
                <w:color w:val="000000"/>
                <w:kern w:val="0"/>
                <w:szCs w:val="21"/>
              </w:rPr>
              <w:t>180</w:t>
            </w:r>
          </w:p>
        </w:tc>
        <w:tc>
          <w:tcPr>
            <w:tcW w:w="0" w:type="auto"/>
            <w:noWrap/>
            <w:vAlign w:val="center"/>
          </w:tcPr>
          <w:p w14:paraId="2C5469B3">
            <w:pPr>
              <w:jc w:val="center"/>
              <w:rPr>
                <w:rFonts w:eastAsia="楷体_GB2312"/>
                <w:color w:val="000000"/>
                <w:kern w:val="0"/>
                <w:szCs w:val="21"/>
              </w:rPr>
            </w:pPr>
            <w:r>
              <w:rPr>
                <w:rFonts w:eastAsia="楷体_GB2312"/>
                <w:color w:val="000000"/>
                <w:kern w:val="0"/>
                <w:szCs w:val="21"/>
              </w:rPr>
              <w:t>175</w:t>
            </w:r>
          </w:p>
        </w:tc>
      </w:tr>
      <w:tr w14:paraId="7E874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ign w:val="center"/>
          </w:tcPr>
          <w:p w14:paraId="033548CC">
            <w:pPr>
              <w:jc w:val="center"/>
              <w:rPr>
                <w:rFonts w:eastAsia="楷体_GB2312"/>
                <w:color w:val="000000"/>
                <w:kern w:val="0"/>
                <w:szCs w:val="21"/>
              </w:rPr>
            </w:pPr>
            <w:r>
              <w:rPr>
                <w:rFonts w:eastAsia="楷体_GB2312"/>
                <w:color w:val="000000"/>
                <w:kern w:val="0"/>
                <w:szCs w:val="21"/>
              </w:rPr>
              <w:t>13</w:t>
            </w:r>
          </w:p>
        </w:tc>
        <w:tc>
          <w:tcPr>
            <w:tcW w:w="0" w:type="auto"/>
            <w:vMerge w:val="restart"/>
            <w:noWrap/>
            <w:vAlign w:val="center"/>
          </w:tcPr>
          <w:p w14:paraId="3E098E10">
            <w:pPr>
              <w:jc w:val="center"/>
              <w:rPr>
                <w:rFonts w:eastAsia="楷体_GB2312"/>
                <w:color w:val="000000"/>
                <w:kern w:val="0"/>
                <w:szCs w:val="21"/>
              </w:rPr>
            </w:pPr>
            <w:r>
              <w:rPr>
                <w:rFonts w:eastAsia="楷体_GB2312"/>
                <w:color w:val="000000"/>
                <w:kern w:val="0"/>
                <w:szCs w:val="21"/>
              </w:rPr>
              <w:t>褚兰镇</w:t>
            </w:r>
          </w:p>
        </w:tc>
        <w:tc>
          <w:tcPr>
            <w:tcW w:w="0" w:type="auto"/>
            <w:noWrap w:val="0"/>
            <w:vAlign w:val="top"/>
          </w:tcPr>
          <w:p w14:paraId="68FAE154">
            <w:pPr>
              <w:jc w:val="center"/>
              <w:rPr>
                <w:rFonts w:eastAsia="楷体_GB2312"/>
                <w:color w:val="000000"/>
                <w:kern w:val="0"/>
                <w:szCs w:val="21"/>
              </w:rPr>
            </w:pPr>
            <w:r>
              <w:rPr>
                <w:rFonts w:hint="eastAsia" w:eastAsia="楷体_GB2312"/>
                <w:color w:val="000000"/>
                <w:kern w:val="0"/>
                <w:szCs w:val="21"/>
              </w:rPr>
              <w:t>1</w:t>
            </w:r>
          </w:p>
        </w:tc>
        <w:tc>
          <w:tcPr>
            <w:tcW w:w="0" w:type="auto"/>
            <w:noWrap/>
            <w:vAlign w:val="center"/>
          </w:tcPr>
          <w:p w14:paraId="76603C34">
            <w:pPr>
              <w:jc w:val="center"/>
              <w:rPr>
                <w:rFonts w:eastAsia="楷体_GB2312"/>
                <w:color w:val="000000"/>
                <w:kern w:val="0"/>
                <w:szCs w:val="21"/>
              </w:rPr>
            </w:pPr>
            <w:r>
              <w:rPr>
                <w:rFonts w:eastAsia="楷体_GB2312"/>
                <w:color w:val="000000"/>
                <w:kern w:val="0"/>
                <w:szCs w:val="21"/>
              </w:rPr>
              <w:t>475</w:t>
            </w:r>
          </w:p>
        </w:tc>
        <w:tc>
          <w:tcPr>
            <w:tcW w:w="0" w:type="auto"/>
            <w:noWrap/>
            <w:vAlign w:val="center"/>
          </w:tcPr>
          <w:p w14:paraId="04A9D98D">
            <w:pPr>
              <w:jc w:val="center"/>
              <w:rPr>
                <w:rFonts w:eastAsia="楷体_GB2312"/>
                <w:color w:val="000000"/>
                <w:kern w:val="0"/>
                <w:szCs w:val="21"/>
              </w:rPr>
            </w:pPr>
            <w:r>
              <w:rPr>
                <w:rFonts w:eastAsia="楷体_GB2312"/>
                <w:color w:val="000000"/>
                <w:kern w:val="0"/>
                <w:szCs w:val="21"/>
              </w:rPr>
              <w:t>350</w:t>
            </w:r>
          </w:p>
        </w:tc>
        <w:tc>
          <w:tcPr>
            <w:tcW w:w="0" w:type="auto"/>
            <w:noWrap/>
            <w:vAlign w:val="center"/>
          </w:tcPr>
          <w:p w14:paraId="7498FB8D">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00CFF89E">
            <w:pPr>
              <w:jc w:val="center"/>
              <w:rPr>
                <w:rFonts w:eastAsia="楷体_GB2312"/>
                <w:color w:val="000000"/>
                <w:kern w:val="0"/>
                <w:szCs w:val="21"/>
              </w:rPr>
            </w:pPr>
            <w:r>
              <w:rPr>
                <w:rFonts w:eastAsia="楷体_GB2312"/>
                <w:color w:val="000000"/>
                <w:kern w:val="0"/>
                <w:szCs w:val="21"/>
              </w:rPr>
              <w:t>330</w:t>
            </w:r>
          </w:p>
        </w:tc>
        <w:tc>
          <w:tcPr>
            <w:tcW w:w="0" w:type="auto"/>
            <w:noWrap/>
            <w:vAlign w:val="center"/>
          </w:tcPr>
          <w:p w14:paraId="63AFD115">
            <w:pPr>
              <w:jc w:val="center"/>
              <w:rPr>
                <w:rFonts w:eastAsia="楷体_GB2312"/>
                <w:color w:val="000000"/>
                <w:kern w:val="0"/>
                <w:szCs w:val="21"/>
              </w:rPr>
            </w:pPr>
            <w:r>
              <w:rPr>
                <w:rFonts w:eastAsia="楷体_GB2312"/>
                <w:color w:val="000000"/>
                <w:kern w:val="0"/>
                <w:szCs w:val="21"/>
              </w:rPr>
              <w:t>310</w:t>
            </w:r>
          </w:p>
        </w:tc>
        <w:tc>
          <w:tcPr>
            <w:tcW w:w="0" w:type="auto"/>
            <w:noWrap/>
            <w:vAlign w:val="center"/>
          </w:tcPr>
          <w:p w14:paraId="2A725525">
            <w:pPr>
              <w:jc w:val="center"/>
              <w:rPr>
                <w:rFonts w:eastAsia="楷体_GB2312"/>
                <w:color w:val="000000"/>
                <w:kern w:val="0"/>
                <w:szCs w:val="21"/>
              </w:rPr>
            </w:pPr>
            <w:r>
              <w:rPr>
                <w:rFonts w:eastAsia="楷体_GB2312"/>
                <w:color w:val="000000"/>
                <w:kern w:val="0"/>
                <w:szCs w:val="21"/>
              </w:rPr>
              <w:t>295</w:t>
            </w:r>
          </w:p>
        </w:tc>
        <w:tc>
          <w:tcPr>
            <w:tcW w:w="0" w:type="auto"/>
            <w:noWrap/>
            <w:vAlign w:val="center"/>
          </w:tcPr>
          <w:p w14:paraId="04DB035B">
            <w:pPr>
              <w:jc w:val="center"/>
              <w:rPr>
                <w:rFonts w:eastAsia="楷体_GB2312"/>
                <w:color w:val="000000"/>
                <w:kern w:val="0"/>
                <w:szCs w:val="21"/>
              </w:rPr>
            </w:pPr>
            <w:r>
              <w:rPr>
                <w:rFonts w:eastAsia="楷体_GB2312"/>
                <w:color w:val="000000"/>
                <w:kern w:val="0"/>
                <w:szCs w:val="21"/>
              </w:rPr>
              <w:t>285</w:t>
            </w:r>
          </w:p>
        </w:tc>
        <w:tc>
          <w:tcPr>
            <w:tcW w:w="0" w:type="auto"/>
            <w:noWrap/>
            <w:vAlign w:val="center"/>
          </w:tcPr>
          <w:p w14:paraId="665A18BE">
            <w:pPr>
              <w:jc w:val="center"/>
              <w:rPr>
                <w:rFonts w:eastAsia="楷体_GB2312"/>
                <w:color w:val="000000"/>
                <w:kern w:val="0"/>
                <w:szCs w:val="21"/>
              </w:rPr>
            </w:pPr>
            <w:r>
              <w:rPr>
                <w:rFonts w:eastAsia="楷体_GB2312"/>
                <w:color w:val="000000"/>
                <w:kern w:val="0"/>
                <w:szCs w:val="21"/>
              </w:rPr>
              <w:t>275</w:t>
            </w:r>
          </w:p>
        </w:tc>
        <w:tc>
          <w:tcPr>
            <w:tcW w:w="0" w:type="auto"/>
            <w:noWrap/>
            <w:vAlign w:val="center"/>
          </w:tcPr>
          <w:p w14:paraId="1B5ED2CD">
            <w:pPr>
              <w:jc w:val="center"/>
              <w:rPr>
                <w:rFonts w:eastAsia="楷体_GB2312"/>
                <w:color w:val="000000"/>
                <w:kern w:val="0"/>
                <w:szCs w:val="21"/>
              </w:rPr>
            </w:pPr>
            <w:r>
              <w:rPr>
                <w:rFonts w:eastAsia="楷体_GB2312"/>
                <w:color w:val="000000"/>
                <w:kern w:val="0"/>
                <w:szCs w:val="21"/>
              </w:rPr>
              <w:t>260</w:t>
            </w:r>
          </w:p>
        </w:tc>
      </w:tr>
      <w:tr w14:paraId="6D9CD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69A730F3">
            <w:pPr>
              <w:jc w:val="center"/>
              <w:rPr>
                <w:rFonts w:eastAsia="楷体_GB2312"/>
                <w:color w:val="000000"/>
                <w:kern w:val="0"/>
                <w:szCs w:val="21"/>
              </w:rPr>
            </w:pPr>
          </w:p>
        </w:tc>
        <w:tc>
          <w:tcPr>
            <w:tcW w:w="0" w:type="auto"/>
            <w:vMerge w:val="continue"/>
            <w:noWrap w:val="0"/>
            <w:vAlign w:val="center"/>
          </w:tcPr>
          <w:p w14:paraId="2E085405">
            <w:pPr>
              <w:jc w:val="center"/>
              <w:rPr>
                <w:rFonts w:eastAsia="楷体_GB2312"/>
                <w:color w:val="000000"/>
                <w:kern w:val="0"/>
                <w:szCs w:val="21"/>
              </w:rPr>
            </w:pPr>
          </w:p>
        </w:tc>
        <w:tc>
          <w:tcPr>
            <w:tcW w:w="0" w:type="auto"/>
            <w:noWrap w:val="0"/>
            <w:vAlign w:val="top"/>
          </w:tcPr>
          <w:p w14:paraId="41B8DD7C">
            <w:pPr>
              <w:jc w:val="center"/>
              <w:rPr>
                <w:rFonts w:eastAsia="楷体_GB2312"/>
                <w:color w:val="000000"/>
                <w:kern w:val="0"/>
                <w:szCs w:val="21"/>
              </w:rPr>
            </w:pPr>
            <w:r>
              <w:rPr>
                <w:rFonts w:hint="eastAsia" w:eastAsia="楷体_GB2312"/>
                <w:color w:val="000000"/>
                <w:kern w:val="0"/>
                <w:szCs w:val="21"/>
              </w:rPr>
              <w:t>2</w:t>
            </w:r>
          </w:p>
        </w:tc>
        <w:tc>
          <w:tcPr>
            <w:tcW w:w="0" w:type="auto"/>
            <w:noWrap/>
            <w:vAlign w:val="center"/>
          </w:tcPr>
          <w:p w14:paraId="7E61761F">
            <w:pPr>
              <w:jc w:val="center"/>
              <w:rPr>
                <w:rFonts w:eastAsia="楷体_GB2312"/>
                <w:color w:val="000000"/>
                <w:kern w:val="0"/>
                <w:szCs w:val="21"/>
              </w:rPr>
            </w:pPr>
            <w:r>
              <w:rPr>
                <w:rFonts w:eastAsia="楷体_GB2312"/>
                <w:color w:val="000000"/>
                <w:kern w:val="0"/>
                <w:szCs w:val="21"/>
              </w:rPr>
              <w:t>375</w:t>
            </w:r>
          </w:p>
        </w:tc>
        <w:tc>
          <w:tcPr>
            <w:tcW w:w="0" w:type="auto"/>
            <w:noWrap/>
            <w:vAlign w:val="center"/>
          </w:tcPr>
          <w:p w14:paraId="35B02B35">
            <w:pPr>
              <w:jc w:val="center"/>
              <w:rPr>
                <w:rFonts w:eastAsia="楷体_GB2312"/>
                <w:color w:val="000000"/>
                <w:kern w:val="0"/>
                <w:szCs w:val="21"/>
              </w:rPr>
            </w:pPr>
            <w:r>
              <w:rPr>
                <w:rFonts w:eastAsia="楷体_GB2312"/>
                <w:color w:val="000000"/>
                <w:kern w:val="0"/>
                <w:szCs w:val="21"/>
              </w:rPr>
              <w:t>270</w:t>
            </w:r>
          </w:p>
        </w:tc>
        <w:tc>
          <w:tcPr>
            <w:tcW w:w="0" w:type="auto"/>
            <w:noWrap/>
            <w:vAlign w:val="center"/>
          </w:tcPr>
          <w:p w14:paraId="4D433CF1">
            <w:pPr>
              <w:jc w:val="center"/>
              <w:rPr>
                <w:rFonts w:eastAsia="楷体_GB2312"/>
                <w:color w:val="000000"/>
                <w:kern w:val="0"/>
                <w:szCs w:val="21"/>
              </w:rPr>
            </w:pPr>
            <w:r>
              <w:rPr>
                <w:rFonts w:eastAsia="楷体_GB2312"/>
                <w:color w:val="000000"/>
                <w:kern w:val="0"/>
                <w:szCs w:val="21"/>
              </w:rPr>
              <w:t>155</w:t>
            </w:r>
          </w:p>
        </w:tc>
        <w:tc>
          <w:tcPr>
            <w:tcW w:w="0" w:type="auto"/>
            <w:noWrap/>
            <w:vAlign w:val="center"/>
          </w:tcPr>
          <w:p w14:paraId="2317644F">
            <w:pPr>
              <w:jc w:val="center"/>
              <w:rPr>
                <w:rFonts w:eastAsia="楷体_GB2312"/>
                <w:color w:val="000000"/>
                <w:kern w:val="0"/>
                <w:szCs w:val="21"/>
              </w:rPr>
            </w:pPr>
            <w:r>
              <w:rPr>
                <w:rFonts w:eastAsia="楷体_GB2312"/>
                <w:color w:val="000000"/>
                <w:kern w:val="0"/>
                <w:szCs w:val="21"/>
              </w:rPr>
              <w:t>260</w:t>
            </w:r>
          </w:p>
        </w:tc>
        <w:tc>
          <w:tcPr>
            <w:tcW w:w="0" w:type="auto"/>
            <w:noWrap/>
            <w:vAlign w:val="center"/>
          </w:tcPr>
          <w:p w14:paraId="571B9365">
            <w:pPr>
              <w:jc w:val="center"/>
              <w:rPr>
                <w:rFonts w:eastAsia="楷体_GB2312"/>
                <w:color w:val="000000"/>
                <w:kern w:val="0"/>
                <w:szCs w:val="21"/>
              </w:rPr>
            </w:pPr>
            <w:r>
              <w:rPr>
                <w:rFonts w:eastAsia="楷体_GB2312"/>
                <w:color w:val="000000"/>
                <w:kern w:val="0"/>
                <w:szCs w:val="21"/>
              </w:rPr>
              <w:t>250</w:t>
            </w:r>
          </w:p>
        </w:tc>
        <w:tc>
          <w:tcPr>
            <w:tcW w:w="0" w:type="auto"/>
            <w:noWrap/>
            <w:vAlign w:val="center"/>
          </w:tcPr>
          <w:p w14:paraId="2FDB3EFE">
            <w:pPr>
              <w:jc w:val="center"/>
              <w:rPr>
                <w:rFonts w:eastAsia="楷体_GB2312"/>
                <w:color w:val="000000"/>
                <w:kern w:val="0"/>
                <w:szCs w:val="21"/>
              </w:rPr>
            </w:pPr>
            <w:r>
              <w:rPr>
                <w:rFonts w:eastAsia="楷体_GB2312"/>
                <w:color w:val="000000"/>
                <w:kern w:val="0"/>
                <w:szCs w:val="21"/>
              </w:rPr>
              <w:t>240</w:t>
            </w:r>
          </w:p>
        </w:tc>
        <w:tc>
          <w:tcPr>
            <w:tcW w:w="0" w:type="auto"/>
            <w:noWrap/>
            <w:vAlign w:val="center"/>
          </w:tcPr>
          <w:p w14:paraId="4EB54939">
            <w:pPr>
              <w:jc w:val="center"/>
              <w:rPr>
                <w:rFonts w:eastAsia="楷体_GB2312"/>
                <w:color w:val="000000"/>
                <w:kern w:val="0"/>
                <w:szCs w:val="21"/>
              </w:rPr>
            </w:pPr>
            <w:r>
              <w:rPr>
                <w:rFonts w:eastAsia="楷体_GB2312"/>
                <w:color w:val="000000"/>
                <w:kern w:val="0"/>
                <w:szCs w:val="21"/>
              </w:rPr>
              <w:t>230</w:t>
            </w:r>
          </w:p>
        </w:tc>
        <w:tc>
          <w:tcPr>
            <w:tcW w:w="0" w:type="auto"/>
            <w:noWrap/>
            <w:vAlign w:val="center"/>
          </w:tcPr>
          <w:p w14:paraId="3E665412">
            <w:pPr>
              <w:jc w:val="center"/>
              <w:rPr>
                <w:rFonts w:eastAsia="楷体_GB2312"/>
                <w:color w:val="000000"/>
                <w:kern w:val="0"/>
                <w:szCs w:val="21"/>
              </w:rPr>
            </w:pPr>
            <w:r>
              <w:rPr>
                <w:rFonts w:eastAsia="楷体_GB2312"/>
                <w:color w:val="000000"/>
                <w:kern w:val="0"/>
                <w:szCs w:val="21"/>
              </w:rPr>
              <w:t>225</w:t>
            </w:r>
          </w:p>
        </w:tc>
        <w:tc>
          <w:tcPr>
            <w:tcW w:w="0" w:type="auto"/>
            <w:noWrap/>
            <w:vAlign w:val="center"/>
          </w:tcPr>
          <w:p w14:paraId="3A333B23">
            <w:pPr>
              <w:jc w:val="center"/>
              <w:rPr>
                <w:rFonts w:eastAsia="楷体_GB2312"/>
                <w:color w:val="000000"/>
                <w:kern w:val="0"/>
                <w:szCs w:val="21"/>
              </w:rPr>
            </w:pPr>
            <w:r>
              <w:rPr>
                <w:rFonts w:eastAsia="楷体_GB2312"/>
                <w:color w:val="000000"/>
                <w:kern w:val="0"/>
                <w:szCs w:val="21"/>
              </w:rPr>
              <w:t>215</w:t>
            </w:r>
          </w:p>
        </w:tc>
      </w:tr>
      <w:tr w14:paraId="0FD2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473D7833">
            <w:pPr>
              <w:jc w:val="center"/>
              <w:rPr>
                <w:rFonts w:eastAsia="楷体_GB2312"/>
                <w:color w:val="000000"/>
                <w:kern w:val="0"/>
                <w:szCs w:val="21"/>
              </w:rPr>
            </w:pPr>
          </w:p>
        </w:tc>
        <w:tc>
          <w:tcPr>
            <w:tcW w:w="0" w:type="auto"/>
            <w:vMerge w:val="continue"/>
            <w:noWrap w:val="0"/>
            <w:vAlign w:val="center"/>
          </w:tcPr>
          <w:p w14:paraId="13015BAA">
            <w:pPr>
              <w:jc w:val="center"/>
              <w:rPr>
                <w:rFonts w:eastAsia="楷体_GB2312"/>
                <w:color w:val="000000"/>
                <w:kern w:val="0"/>
                <w:szCs w:val="21"/>
              </w:rPr>
            </w:pPr>
          </w:p>
        </w:tc>
        <w:tc>
          <w:tcPr>
            <w:tcW w:w="0" w:type="auto"/>
            <w:noWrap w:val="0"/>
            <w:vAlign w:val="top"/>
          </w:tcPr>
          <w:p w14:paraId="475051A3">
            <w:pPr>
              <w:jc w:val="center"/>
              <w:rPr>
                <w:rFonts w:eastAsia="楷体_GB2312"/>
                <w:color w:val="000000"/>
                <w:kern w:val="0"/>
                <w:szCs w:val="21"/>
              </w:rPr>
            </w:pPr>
            <w:r>
              <w:rPr>
                <w:rFonts w:hint="eastAsia" w:eastAsia="楷体_GB2312"/>
                <w:color w:val="000000"/>
                <w:kern w:val="0"/>
                <w:szCs w:val="21"/>
              </w:rPr>
              <w:t>3</w:t>
            </w:r>
          </w:p>
        </w:tc>
        <w:tc>
          <w:tcPr>
            <w:tcW w:w="0" w:type="auto"/>
            <w:noWrap/>
            <w:vAlign w:val="center"/>
          </w:tcPr>
          <w:p w14:paraId="109614D2">
            <w:pPr>
              <w:jc w:val="center"/>
              <w:rPr>
                <w:rFonts w:eastAsia="楷体_GB2312"/>
                <w:color w:val="000000"/>
                <w:kern w:val="0"/>
                <w:szCs w:val="21"/>
              </w:rPr>
            </w:pPr>
            <w:r>
              <w:rPr>
                <w:rFonts w:eastAsia="楷体_GB2312"/>
                <w:color w:val="000000"/>
                <w:kern w:val="0"/>
                <w:szCs w:val="21"/>
              </w:rPr>
              <w:t>295</w:t>
            </w:r>
          </w:p>
        </w:tc>
        <w:tc>
          <w:tcPr>
            <w:tcW w:w="0" w:type="auto"/>
            <w:noWrap/>
            <w:vAlign w:val="center"/>
          </w:tcPr>
          <w:p w14:paraId="1A11955D">
            <w:pPr>
              <w:jc w:val="center"/>
              <w:rPr>
                <w:rFonts w:eastAsia="楷体_GB2312"/>
                <w:color w:val="000000"/>
                <w:kern w:val="0"/>
                <w:szCs w:val="21"/>
              </w:rPr>
            </w:pPr>
            <w:r>
              <w:rPr>
                <w:rFonts w:eastAsia="楷体_GB2312"/>
                <w:color w:val="000000"/>
                <w:kern w:val="0"/>
                <w:szCs w:val="21"/>
              </w:rPr>
              <w:t>205</w:t>
            </w:r>
          </w:p>
        </w:tc>
        <w:tc>
          <w:tcPr>
            <w:tcW w:w="0" w:type="auto"/>
            <w:noWrap/>
            <w:vAlign w:val="center"/>
          </w:tcPr>
          <w:p w14:paraId="7487FF78">
            <w:pPr>
              <w:jc w:val="center"/>
              <w:rPr>
                <w:rFonts w:eastAsia="楷体_GB2312"/>
                <w:color w:val="000000"/>
                <w:kern w:val="0"/>
                <w:szCs w:val="21"/>
              </w:rPr>
            </w:pPr>
            <w:r>
              <w:rPr>
                <w:rFonts w:eastAsia="楷体_GB2312"/>
                <w:color w:val="000000"/>
                <w:kern w:val="0"/>
                <w:szCs w:val="21"/>
              </w:rPr>
              <w:t>144</w:t>
            </w:r>
          </w:p>
        </w:tc>
        <w:tc>
          <w:tcPr>
            <w:tcW w:w="0" w:type="auto"/>
            <w:noWrap/>
            <w:vAlign w:val="center"/>
          </w:tcPr>
          <w:p w14:paraId="54B4D0F0">
            <w:pPr>
              <w:jc w:val="center"/>
              <w:rPr>
                <w:rFonts w:eastAsia="楷体_GB2312"/>
                <w:color w:val="000000"/>
                <w:kern w:val="0"/>
                <w:szCs w:val="21"/>
              </w:rPr>
            </w:pPr>
            <w:r>
              <w:rPr>
                <w:rFonts w:eastAsia="楷体_GB2312"/>
                <w:color w:val="000000"/>
                <w:kern w:val="0"/>
                <w:szCs w:val="21"/>
              </w:rPr>
              <w:t>195</w:t>
            </w:r>
          </w:p>
        </w:tc>
        <w:tc>
          <w:tcPr>
            <w:tcW w:w="0" w:type="auto"/>
            <w:noWrap/>
            <w:vAlign w:val="center"/>
          </w:tcPr>
          <w:p w14:paraId="5DF97807">
            <w:pPr>
              <w:jc w:val="center"/>
              <w:rPr>
                <w:rFonts w:eastAsia="楷体_GB2312"/>
                <w:color w:val="000000"/>
                <w:kern w:val="0"/>
                <w:szCs w:val="21"/>
              </w:rPr>
            </w:pPr>
            <w:r>
              <w:rPr>
                <w:rFonts w:eastAsia="楷体_GB2312"/>
                <w:color w:val="000000"/>
                <w:kern w:val="0"/>
                <w:szCs w:val="21"/>
              </w:rPr>
              <w:t>190</w:t>
            </w:r>
          </w:p>
        </w:tc>
        <w:tc>
          <w:tcPr>
            <w:tcW w:w="0" w:type="auto"/>
            <w:noWrap/>
            <w:vAlign w:val="center"/>
          </w:tcPr>
          <w:p w14:paraId="6D382C50">
            <w:pPr>
              <w:jc w:val="center"/>
              <w:rPr>
                <w:rFonts w:eastAsia="楷体_GB2312"/>
                <w:color w:val="000000"/>
                <w:kern w:val="0"/>
                <w:szCs w:val="21"/>
              </w:rPr>
            </w:pPr>
            <w:r>
              <w:rPr>
                <w:rFonts w:eastAsia="楷体_GB2312"/>
                <w:color w:val="000000"/>
                <w:kern w:val="0"/>
                <w:szCs w:val="21"/>
              </w:rPr>
              <w:t>185</w:t>
            </w:r>
          </w:p>
        </w:tc>
        <w:tc>
          <w:tcPr>
            <w:tcW w:w="0" w:type="auto"/>
            <w:noWrap/>
            <w:vAlign w:val="center"/>
          </w:tcPr>
          <w:p w14:paraId="7C247057">
            <w:pPr>
              <w:jc w:val="center"/>
              <w:rPr>
                <w:rFonts w:eastAsia="楷体_GB2312"/>
                <w:color w:val="000000"/>
                <w:kern w:val="0"/>
                <w:szCs w:val="21"/>
              </w:rPr>
            </w:pPr>
            <w:r>
              <w:rPr>
                <w:rFonts w:eastAsia="楷体_GB2312"/>
                <w:color w:val="000000"/>
                <w:kern w:val="0"/>
                <w:szCs w:val="21"/>
              </w:rPr>
              <w:t>180</w:t>
            </w:r>
          </w:p>
        </w:tc>
        <w:tc>
          <w:tcPr>
            <w:tcW w:w="0" w:type="auto"/>
            <w:noWrap/>
            <w:vAlign w:val="center"/>
          </w:tcPr>
          <w:p w14:paraId="2DCBF13F">
            <w:pPr>
              <w:jc w:val="center"/>
              <w:rPr>
                <w:rFonts w:eastAsia="楷体_GB2312"/>
                <w:color w:val="000000"/>
                <w:kern w:val="0"/>
                <w:szCs w:val="21"/>
              </w:rPr>
            </w:pPr>
            <w:r>
              <w:rPr>
                <w:rFonts w:eastAsia="楷体_GB2312"/>
                <w:color w:val="000000"/>
                <w:kern w:val="0"/>
                <w:szCs w:val="21"/>
              </w:rPr>
              <w:t>175</w:t>
            </w:r>
          </w:p>
        </w:tc>
        <w:tc>
          <w:tcPr>
            <w:tcW w:w="0" w:type="auto"/>
            <w:noWrap/>
            <w:vAlign w:val="center"/>
          </w:tcPr>
          <w:p w14:paraId="72B2A9EB">
            <w:pPr>
              <w:jc w:val="center"/>
              <w:rPr>
                <w:rFonts w:eastAsia="楷体_GB2312"/>
                <w:color w:val="000000"/>
                <w:kern w:val="0"/>
                <w:szCs w:val="21"/>
              </w:rPr>
            </w:pPr>
            <w:r>
              <w:rPr>
                <w:rFonts w:eastAsia="楷体_GB2312"/>
                <w:color w:val="000000"/>
                <w:kern w:val="0"/>
                <w:szCs w:val="21"/>
              </w:rPr>
              <w:t>170</w:t>
            </w:r>
          </w:p>
        </w:tc>
      </w:tr>
      <w:tr w14:paraId="5709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ign w:val="center"/>
          </w:tcPr>
          <w:p w14:paraId="10FAD2AE">
            <w:pPr>
              <w:jc w:val="center"/>
              <w:rPr>
                <w:rFonts w:eastAsia="楷体_GB2312"/>
                <w:color w:val="000000"/>
                <w:kern w:val="0"/>
                <w:szCs w:val="21"/>
              </w:rPr>
            </w:pPr>
            <w:r>
              <w:rPr>
                <w:rFonts w:eastAsia="楷体_GB2312"/>
                <w:color w:val="000000"/>
                <w:kern w:val="0"/>
                <w:szCs w:val="21"/>
              </w:rPr>
              <w:t>14</w:t>
            </w:r>
          </w:p>
        </w:tc>
        <w:tc>
          <w:tcPr>
            <w:tcW w:w="0" w:type="auto"/>
            <w:vMerge w:val="restart"/>
            <w:noWrap/>
            <w:vAlign w:val="center"/>
          </w:tcPr>
          <w:p w14:paraId="08059A1E">
            <w:pPr>
              <w:jc w:val="center"/>
              <w:rPr>
                <w:rFonts w:eastAsia="楷体_GB2312"/>
                <w:color w:val="000000"/>
                <w:kern w:val="0"/>
                <w:szCs w:val="21"/>
              </w:rPr>
            </w:pPr>
            <w:r>
              <w:rPr>
                <w:rFonts w:eastAsia="楷体_GB2312"/>
                <w:color w:val="000000"/>
                <w:kern w:val="0"/>
                <w:szCs w:val="21"/>
              </w:rPr>
              <w:t>顺河乡</w:t>
            </w:r>
          </w:p>
        </w:tc>
        <w:tc>
          <w:tcPr>
            <w:tcW w:w="0" w:type="auto"/>
            <w:noWrap w:val="0"/>
            <w:vAlign w:val="top"/>
          </w:tcPr>
          <w:p w14:paraId="3AA61C65">
            <w:pPr>
              <w:jc w:val="center"/>
              <w:rPr>
                <w:rFonts w:eastAsia="楷体_GB2312"/>
                <w:color w:val="000000"/>
                <w:kern w:val="0"/>
                <w:szCs w:val="21"/>
              </w:rPr>
            </w:pPr>
            <w:r>
              <w:rPr>
                <w:rFonts w:hint="eastAsia" w:eastAsia="楷体_GB2312"/>
                <w:color w:val="000000"/>
                <w:kern w:val="0"/>
                <w:szCs w:val="21"/>
              </w:rPr>
              <w:t>1</w:t>
            </w:r>
          </w:p>
        </w:tc>
        <w:tc>
          <w:tcPr>
            <w:tcW w:w="0" w:type="auto"/>
            <w:noWrap/>
            <w:vAlign w:val="center"/>
          </w:tcPr>
          <w:p w14:paraId="742C7654">
            <w:pPr>
              <w:jc w:val="center"/>
              <w:rPr>
                <w:rFonts w:eastAsia="楷体_GB2312"/>
                <w:color w:val="000000"/>
                <w:kern w:val="0"/>
                <w:szCs w:val="21"/>
              </w:rPr>
            </w:pPr>
            <w:r>
              <w:rPr>
                <w:rFonts w:eastAsia="楷体_GB2312"/>
                <w:color w:val="000000"/>
                <w:kern w:val="0"/>
                <w:szCs w:val="21"/>
              </w:rPr>
              <w:t>470</w:t>
            </w:r>
          </w:p>
        </w:tc>
        <w:tc>
          <w:tcPr>
            <w:tcW w:w="0" w:type="auto"/>
            <w:noWrap/>
            <w:vAlign w:val="center"/>
          </w:tcPr>
          <w:p w14:paraId="2D0F7C16">
            <w:pPr>
              <w:jc w:val="center"/>
              <w:rPr>
                <w:rFonts w:eastAsia="楷体_GB2312"/>
                <w:color w:val="000000"/>
                <w:kern w:val="0"/>
                <w:szCs w:val="21"/>
              </w:rPr>
            </w:pPr>
            <w:r>
              <w:rPr>
                <w:rFonts w:eastAsia="楷体_GB2312"/>
                <w:color w:val="000000"/>
                <w:kern w:val="0"/>
                <w:szCs w:val="21"/>
              </w:rPr>
              <w:t>340</w:t>
            </w:r>
          </w:p>
        </w:tc>
        <w:tc>
          <w:tcPr>
            <w:tcW w:w="0" w:type="auto"/>
            <w:noWrap/>
            <w:vAlign w:val="center"/>
          </w:tcPr>
          <w:p w14:paraId="6A6A0B8A">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5427F09D">
            <w:pPr>
              <w:jc w:val="center"/>
              <w:rPr>
                <w:rFonts w:eastAsia="楷体_GB2312"/>
                <w:color w:val="000000"/>
                <w:kern w:val="0"/>
                <w:szCs w:val="21"/>
              </w:rPr>
            </w:pPr>
            <w:r>
              <w:rPr>
                <w:rFonts w:eastAsia="楷体_GB2312"/>
                <w:color w:val="000000"/>
                <w:kern w:val="0"/>
                <w:szCs w:val="21"/>
              </w:rPr>
              <w:t>320</w:t>
            </w:r>
          </w:p>
        </w:tc>
        <w:tc>
          <w:tcPr>
            <w:tcW w:w="0" w:type="auto"/>
            <w:noWrap/>
            <w:vAlign w:val="center"/>
          </w:tcPr>
          <w:p w14:paraId="7CF24B03">
            <w:pPr>
              <w:jc w:val="center"/>
              <w:rPr>
                <w:rFonts w:eastAsia="楷体_GB2312"/>
                <w:color w:val="000000"/>
                <w:kern w:val="0"/>
                <w:szCs w:val="21"/>
              </w:rPr>
            </w:pPr>
            <w:r>
              <w:rPr>
                <w:rFonts w:eastAsia="楷体_GB2312"/>
                <w:color w:val="000000"/>
                <w:kern w:val="0"/>
                <w:szCs w:val="21"/>
              </w:rPr>
              <w:t>300</w:t>
            </w:r>
          </w:p>
        </w:tc>
        <w:tc>
          <w:tcPr>
            <w:tcW w:w="0" w:type="auto"/>
            <w:noWrap/>
            <w:vAlign w:val="center"/>
          </w:tcPr>
          <w:p w14:paraId="13E889C4">
            <w:pPr>
              <w:jc w:val="center"/>
              <w:rPr>
                <w:rFonts w:eastAsia="楷体_GB2312"/>
                <w:color w:val="000000"/>
                <w:kern w:val="0"/>
                <w:szCs w:val="21"/>
              </w:rPr>
            </w:pPr>
            <w:r>
              <w:rPr>
                <w:rFonts w:eastAsia="楷体_GB2312"/>
                <w:color w:val="000000"/>
                <w:kern w:val="0"/>
                <w:szCs w:val="21"/>
              </w:rPr>
              <w:t>285</w:t>
            </w:r>
          </w:p>
        </w:tc>
        <w:tc>
          <w:tcPr>
            <w:tcW w:w="0" w:type="auto"/>
            <w:noWrap/>
            <w:vAlign w:val="center"/>
          </w:tcPr>
          <w:p w14:paraId="585B2C01">
            <w:pPr>
              <w:jc w:val="center"/>
              <w:rPr>
                <w:rFonts w:eastAsia="楷体_GB2312"/>
                <w:color w:val="000000"/>
                <w:kern w:val="0"/>
                <w:szCs w:val="21"/>
              </w:rPr>
            </w:pPr>
            <w:r>
              <w:rPr>
                <w:rFonts w:eastAsia="楷体_GB2312"/>
                <w:color w:val="000000"/>
                <w:kern w:val="0"/>
                <w:szCs w:val="21"/>
              </w:rPr>
              <w:t>275</w:t>
            </w:r>
          </w:p>
        </w:tc>
        <w:tc>
          <w:tcPr>
            <w:tcW w:w="0" w:type="auto"/>
            <w:noWrap/>
            <w:vAlign w:val="center"/>
          </w:tcPr>
          <w:p w14:paraId="6ABA2C0C">
            <w:pPr>
              <w:jc w:val="center"/>
              <w:rPr>
                <w:rFonts w:eastAsia="楷体_GB2312"/>
                <w:color w:val="000000"/>
                <w:kern w:val="0"/>
                <w:szCs w:val="21"/>
              </w:rPr>
            </w:pPr>
            <w:r>
              <w:rPr>
                <w:rFonts w:eastAsia="楷体_GB2312"/>
                <w:color w:val="000000"/>
                <w:kern w:val="0"/>
                <w:szCs w:val="21"/>
              </w:rPr>
              <w:t>265</w:t>
            </w:r>
          </w:p>
        </w:tc>
        <w:tc>
          <w:tcPr>
            <w:tcW w:w="0" w:type="auto"/>
            <w:noWrap/>
            <w:vAlign w:val="center"/>
          </w:tcPr>
          <w:p w14:paraId="2DE18CB5">
            <w:pPr>
              <w:jc w:val="center"/>
              <w:rPr>
                <w:rFonts w:eastAsia="楷体_GB2312"/>
                <w:color w:val="000000"/>
                <w:kern w:val="0"/>
                <w:szCs w:val="21"/>
              </w:rPr>
            </w:pPr>
            <w:r>
              <w:rPr>
                <w:rFonts w:eastAsia="楷体_GB2312"/>
                <w:color w:val="000000"/>
                <w:kern w:val="0"/>
                <w:szCs w:val="21"/>
              </w:rPr>
              <w:t>250</w:t>
            </w:r>
          </w:p>
        </w:tc>
      </w:tr>
      <w:tr w14:paraId="015B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74F197D3">
            <w:pPr>
              <w:jc w:val="center"/>
              <w:rPr>
                <w:rFonts w:eastAsia="楷体_GB2312"/>
                <w:color w:val="000000"/>
                <w:kern w:val="0"/>
                <w:szCs w:val="21"/>
              </w:rPr>
            </w:pPr>
          </w:p>
        </w:tc>
        <w:tc>
          <w:tcPr>
            <w:tcW w:w="0" w:type="auto"/>
            <w:vMerge w:val="continue"/>
            <w:noWrap w:val="0"/>
            <w:vAlign w:val="center"/>
          </w:tcPr>
          <w:p w14:paraId="736C0EA9">
            <w:pPr>
              <w:jc w:val="center"/>
              <w:rPr>
                <w:rFonts w:eastAsia="楷体_GB2312"/>
                <w:color w:val="000000"/>
                <w:kern w:val="0"/>
                <w:szCs w:val="21"/>
              </w:rPr>
            </w:pPr>
          </w:p>
        </w:tc>
        <w:tc>
          <w:tcPr>
            <w:tcW w:w="0" w:type="auto"/>
            <w:noWrap w:val="0"/>
            <w:vAlign w:val="top"/>
          </w:tcPr>
          <w:p w14:paraId="5CFAC592">
            <w:pPr>
              <w:jc w:val="center"/>
              <w:rPr>
                <w:rFonts w:eastAsia="楷体_GB2312"/>
                <w:color w:val="000000"/>
                <w:kern w:val="0"/>
                <w:szCs w:val="21"/>
              </w:rPr>
            </w:pPr>
            <w:r>
              <w:rPr>
                <w:rFonts w:hint="eastAsia" w:eastAsia="楷体_GB2312"/>
                <w:color w:val="000000"/>
                <w:kern w:val="0"/>
                <w:szCs w:val="21"/>
              </w:rPr>
              <w:t>2</w:t>
            </w:r>
          </w:p>
        </w:tc>
        <w:tc>
          <w:tcPr>
            <w:tcW w:w="0" w:type="auto"/>
            <w:noWrap/>
            <w:vAlign w:val="center"/>
          </w:tcPr>
          <w:p w14:paraId="7A624B81">
            <w:pPr>
              <w:jc w:val="center"/>
              <w:rPr>
                <w:rFonts w:eastAsia="楷体_GB2312"/>
                <w:color w:val="000000"/>
                <w:kern w:val="0"/>
                <w:szCs w:val="21"/>
              </w:rPr>
            </w:pPr>
            <w:r>
              <w:rPr>
                <w:rFonts w:eastAsia="楷体_GB2312"/>
                <w:color w:val="000000"/>
                <w:kern w:val="0"/>
                <w:szCs w:val="21"/>
              </w:rPr>
              <w:t>370</w:t>
            </w:r>
          </w:p>
        </w:tc>
        <w:tc>
          <w:tcPr>
            <w:tcW w:w="0" w:type="auto"/>
            <w:noWrap/>
            <w:vAlign w:val="center"/>
          </w:tcPr>
          <w:p w14:paraId="6A36BC69">
            <w:pPr>
              <w:jc w:val="center"/>
              <w:rPr>
                <w:rFonts w:eastAsia="楷体_GB2312"/>
                <w:color w:val="000000"/>
                <w:kern w:val="0"/>
                <w:szCs w:val="21"/>
              </w:rPr>
            </w:pPr>
            <w:r>
              <w:rPr>
                <w:rFonts w:eastAsia="楷体_GB2312"/>
                <w:color w:val="000000"/>
                <w:kern w:val="0"/>
                <w:szCs w:val="21"/>
              </w:rPr>
              <w:t>265</w:t>
            </w:r>
          </w:p>
        </w:tc>
        <w:tc>
          <w:tcPr>
            <w:tcW w:w="0" w:type="auto"/>
            <w:noWrap/>
            <w:vAlign w:val="center"/>
          </w:tcPr>
          <w:p w14:paraId="029FD44E">
            <w:pPr>
              <w:jc w:val="center"/>
              <w:rPr>
                <w:rFonts w:eastAsia="楷体_GB2312"/>
                <w:color w:val="000000"/>
                <w:kern w:val="0"/>
                <w:szCs w:val="21"/>
              </w:rPr>
            </w:pPr>
            <w:r>
              <w:rPr>
                <w:rFonts w:eastAsia="楷体_GB2312"/>
                <w:color w:val="000000"/>
                <w:kern w:val="0"/>
                <w:szCs w:val="21"/>
              </w:rPr>
              <w:t>155</w:t>
            </w:r>
          </w:p>
        </w:tc>
        <w:tc>
          <w:tcPr>
            <w:tcW w:w="0" w:type="auto"/>
            <w:noWrap/>
            <w:vAlign w:val="center"/>
          </w:tcPr>
          <w:p w14:paraId="7472BA7E">
            <w:pPr>
              <w:jc w:val="center"/>
              <w:rPr>
                <w:rFonts w:eastAsia="楷体_GB2312"/>
                <w:color w:val="000000"/>
                <w:kern w:val="0"/>
                <w:szCs w:val="21"/>
              </w:rPr>
            </w:pPr>
            <w:r>
              <w:rPr>
                <w:rFonts w:eastAsia="楷体_GB2312"/>
                <w:color w:val="000000"/>
                <w:kern w:val="0"/>
                <w:szCs w:val="21"/>
              </w:rPr>
              <w:t>255</w:t>
            </w:r>
          </w:p>
        </w:tc>
        <w:tc>
          <w:tcPr>
            <w:tcW w:w="0" w:type="auto"/>
            <w:noWrap/>
            <w:vAlign w:val="center"/>
          </w:tcPr>
          <w:p w14:paraId="64E5A5D6">
            <w:pPr>
              <w:jc w:val="center"/>
              <w:rPr>
                <w:rFonts w:eastAsia="楷体_GB2312"/>
                <w:color w:val="000000"/>
                <w:kern w:val="0"/>
                <w:szCs w:val="21"/>
              </w:rPr>
            </w:pPr>
            <w:r>
              <w:rPr>
                <w:rFonts w:eastAsia="楷体_GB2312"/>
                <w:color w:val="000000"/>
                <w:kern w:val="0"/>
                <w:szCs w:val="21"/>
              </w:rPr>
              <w:t>245</w:t>
            </w:r>
          </w:p>
        </w:tc>
        <w:tc>
          <w:tcPr>
            <w:tcW w:w="0" w:type="auto"/>
            <w:noWrap/>
            <w:vAlign w:val="center"/>
          </w:tcPr>
          <w:p w14:paraId="38C29350">
            <w:pPr>
              <w:jc w:val="center"/>
              <w:rPr>
                <w:rFonts w:eastAsia="楷体_GB2312"/>
                <w:color w:val="000000"/>
                <w:kern w:val="0"/>
                <w:szCs w:val="21"/>
              </w:rPr>
            </w:pPr>
            <w:r>
              <w:rPr>
                <w:rFonts w:eastAsia="楷体_GB2312"/>
                <w:color w:val="000000"/>
                <w:kern w:val="0"/>
                <w:szCs w:val="21"/>
              </w:rPr>
              <w:t>235</w:t>
            </w:r>
          </w:p>
        </w:tc>
        <w:tc>
          <w:tcPr>
            <w:tcW w:w="0" w:type="auto"/>
            <w:noWrap/>
            <w:vAlign w:val="center"/>
          </w:tcPr>
          <w:p w14:paraId="0AA7814A">
            <w:pPr>
              <w:jc w:val="center"/>
              <w:rPr>
                <w:rFonts w:eastAsia="楷体_GB2312"/>
                <w:color w:val="000000"/>
                <w:kern w:val="0"/>
                <w:szCs w:val="21"/>
              </w:rPr>
            </w:pPr>
            <w:r>
              <w:rPr>
                <w:rFonts w:eastAsia="楷体_GB2312"/>
                <w:color w:val="000000"/>
                <w:kern w:val="0"/>
                <w:szCs w:val="21"/>
              </w:rPr>
              <w:t>230</w:t>
            </w:r>
          </w:p>
        </w:tc>
        <w:tc>
          <w:tcPr>
            <w:tcW w:w="0" w:type="auto"/>
            <w:noWrap/>
            <w:vAlign w:val="center"/>
          </w:tcPr>
          <w:p w14:paraId="6BE4B68C">
            <w:pPr>
              <w:jc w:val="center"/>
              <w:rPr>
                <w:rFonts w:eastAsia="楷体_GB2312"/>
                <w:color w:val="000000"/>
                <w:kern w:val="0"/>
                <w:szCs w:val="21"/>
              </w:rPr>
            </w:pPr>
            <w:r>
              <w:rPr>
                <w:rFonts w:eastAsia="楷体_GB2312"/>
                <w:color w:val="000000"/>
                <w:kern w:val="0"/>
                <w:szCs w:val="21"/>
              </w:rPr>
              <w:t>225</w:t>
            </w:r>
          </w:p>
        </w:tc>
        <w:tc>
          <w:tcPr>
            <w:tcW w:w="0" w:type="auto"/>
            <w:noWrap/>
            <w:vAlign w:val="center"/>
          </w:tcPr>
          <w:p w14:paraId="60FA24D1">
            <w:pPr>
              <w:jc w:val="center"/>
              <w:rPr>
                <w:rFonts w:eastAsia="楷体_GB2312"/>
                <w:color w:val="000000"/>
                <w:kern w:val="0"/>
                <w:szCs w:val="21"/>
              </w:rPr>
            </w:pPr>
            <w:r>
              <w:rPr>
                <w:rFonts w:eastAsia="楷体_GB2312"/>
                <w:color w:val="000000"/>
                <w:kern w:val="0"/>
                <w:szCs w:val="21"/>
              </w:rPr>
              <w:t>215</w:t>
            </w:r>
          </w:p>
        </w:tc>
      </w:tr>
      <w:tr w14:paraId="07327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1DD3EDE5">
            <w:pPr>
              <w:jc w:val="center"/>
              <w:rPr>
                <w:rFonts w:eastAsia="楷体_GB2312"/>
                <w:color w:val="000000"/>
                <w:kern w:val="0"/>
                <w:szCs w:val="21"/>
              </w:rPr>
            </w:pPr>
          </w:p>
        </w:tc>
        <w:tc>
          <w:tcPr>
            <w:tcW w:w="0" w:type="auto"/>
            <w:vMerge w:val="continue"/>
            <w:noWrap w:val="0"/>
            <w:vAlign w:val="center"/>
          </w:tcPr>
          <w:p w14:paraId="67802658">
            <w:pPr>
              <w:jc w:val="center"/>
              <w:rPr>
                <w:rFonts w:eastAsia="楷体_GB2312"/>
                <w:color w:val="000000"/>
                <w:kern w:val="0"/>
                <w:szCs w:val="21"/>
              </w:rPr>
            </w:pPr>
          </w:p>
        </w:tc>
        <w:tc>
          <w:tcPr>
            <w:tcW w:w="0" w:type="auto"/>
            <w:noWrap w:val="0"/>
            <w:vAlign w:val="top"/>
          </w:tcPr>
          <w:p w14:paraId="542F9517">
            <w:pPr>
              <w:jc w:val="center"/>
              <w:rPr>
                <w:rFonts w:eastAsia="楷体_GB2312"/>
                <w:color w:val="000000"/>
                <w:kern w:val="0"/>
                <w:szCs w:val="21"/>
              </w:rPr>
            </w:pPr>
            <w:r>
              <w:rPr>
                <w:rFonts w:hint="eastAsia" w:eastAsia="楷体_GB2312"/>
                <w:color w:val="000000"/>
                <w:kern w:val="0"/>
                <w:szCs w:val="21"/>
              </w:rPr>
              <w:t>3</w:t>
            </w:r>
          </w:p>
        </w:tc>
        <w:tc>
          <w:tcPr>
            <w:tcW w:w="0" w:type="auto"/>
            <w:noWrap/>
            <w:vAlign w:val="center"/>
          </w:tcPr>
          <w:p w14:paraId="46ED169D">
            <w:pPr>
              <w:jc w:val="center"/>
              <w:rPr>
                <w:rFonts w:eastAsia="楷体_GB2312"/>
                <w:color w:val="000000"/>
                <w:kern w:val="0"/>
                <w:szCs w:val="21"/>
              </w:rPr>
            </w:pPr>
            <w:r>
              <w:rPr>
                <w:rFonts w:eastAsia="楷体_GB2312"/>
                <w:color w:val="000000"/>
                <w:kern w:val="0"/>
                <w:szCs w:val="21"/>
              </w:rPr>
              <w:t>295</w:t>
            </w:r>
          </w:p>
        </w:tc>
        <w:tc>
          <w:tcPr>
            <w:tcW w:w="0" w:type="auto"/>
            <w:noWrap/>
            <w:vAlign w:val="center"/>
          </w:tcPr>
          <w:p w14:paraId="3D9A985A">
            <w:pPr>
              <w:jc w:val="center"/>
              <w:rPr>
                <w:rFonts w:eastAsia="楷体_GB2312"/>
                <w:color w:val="000000"/>
                <w:kern w:val="0"/>
                <w:szCs w:val="21"/>
              </w:rPr>
            </w:pPr>
            <w:r>
              <w:rPr>
                <w:rFonts w:eastAsia="楷体_GB2312"/>
                <w:color w:val="000000"/>
                <w:kern w:val="0"/>
                <w:szCs w:val="21"/>
              </w:rPr>
              <w:t>205</w:t>
            </w:r>
          </w:p>
        </w:tc>
        <w:tc>
          <w:tcPr>
            <w:tcW w:w="0" w:type="auto"/>
            <w:noWrap/>
            <w:vAlign w:val="center"/>
          </w:tcPr>
          <w:p w14:paraId="0EE45F4C">
            <w:pPr>
              <w:jc w:val="center"/>
              <w:rPr>
                <w:rFonts w:eastAsia="楷体_GB2312"/>
                <w:color w:val="000000"/>
                <w:kern w:val="0"/>
                <w:szCs w:val="21"/>
              </w:rPr>
            </w:pPr>
            <w:r>
              <w:rPr>
                <w:rFonts w:eastAsia="楷体_GB2312"/>
                <w:color w:val="000000"/>
                <w:kern w:val="0"/>
                <w:szCs w:val="21"/>
              </w:rPr>
              <w:t>144</w:t>
            </w:r>
          </w:p>
        </w:tc>
        <w:tc>
          <w:tcPr>
            <w:tcW w:w="0" w:type="auto"/>
            <w:noWrap/>
            <w:vAlign w:val="center"/>
          </w:tcPr>
          <w:p w14:paraId="6DB0BD44">
            <w:pPr>
              <w:jc w:val="center"/>
              <w:rPr>
                <w:rFonts w:eastAsia="楷体_GB2312"/>
                <w:color w:val="000000"/>
                <w:kern w:val="0"/>
                <w:szCs w:val="21"/>
              </w:rPr>
            </w:pPr>
            <w:r>
              <w:rPr>
                <w:rFonts w:eastAsia="楷体_GB2312"/>
                <w:color w:val="000000"/>
                <w:kern w:val="0"/>
                <w:szCs w:val="21"/>
              </w:rPr>
              <w:t>195</w:t>
            </w:r>
          </w:p>
        </w:tc>
        <w:tc>
          <w:tcPr>
            <w:tcW w:w="0" w:type="auto"/>
            <w:noWrap/>
            <w:vAlign w:val="center"/>
          </w:tcPr>
          <w:p w14:paraId="4340EFE3">
            <w:pPr>
              <w:jc w:val="center"/>
              <w:rPr>
                <w:rFonts w:eastAsia="楷体_GB2312"/>
                <w:color w:val="000000"/>
                <w:kern w:val="0"/>
                <w:szCs w:val="21"/>
              </w:rPr>
            </w:pPr>
            <w:r>
              <w:rPr>
                <w:rFonts w:eastAsia="楷体_GB2312"/>
                <w:color w:val="000000"/>
                <w:kern w:val="0"/>
                <w:szCs w:val="21"/>
              </w:rPr>
              <w:t>190</w:t>
            </w:r>
          </w:p>
        </w:tc>
        <w:tc>
          <w:tcPr>
            <w:tcW w:w="0" w:type="auto"/>
            <w:noWrap/>
            <w:vAlign w:val="center"/>
          </w:tcPr>
          <w:p w14:paraId="22BAFBB9">
            <w:pPr>
              <w:jc w:val="center"/>
              <w:rPr>
                <w:rFonts w:eastAsia="楷体_GB2312"/>
                <w:color w:val="000000"/>
                <w:kern w:val="0"/>
                <w:szCs w:val="21"/>
              </w:rPr>
            </w:pPr>
            <w:r>
              <w:rPr>
                <w:rFonts w:eastAsia="楷体_GB2312"/>
                <w:color w:val="000000"/>
                <w:kern w:val="0"/>
                <w:szCs w:val="21"/>
              </w:rPr>
              <w:t>185</w:t>
            </w:r>
          </w:p>
        </w:tc>
        <w:tc>
          <w:tcPr>
            <w:tcW w:w="0" w:type="auto"/>
            <w:noWrap/>
            <w:vAlign w:val="center"/>
          </w:tcPr>
          <w:p w14:paraId="24E96DE4">
            <w:pPr>
              <w:jc w:val="center"/>
              <w:rPr>
                <w:rFonts w:eastAsia="楷体_GB2312"/>
                <w:color w:val="000000"/>
                <w:kern w:val="0"/>
                <w:szCs w:val="21"/>
              </w:rPr>
            </w:pPr>
            <w:r>
              <w:rPr>
                <w:rFonts w:eastAsia="楷体_GB2312"/>
                <w:color w:val="000000"/>
                <w:kern w:val="0"/>
                <w:szCs w:val="21"/>
              </w:rPr>
              <w:t>180</w:t>
            </w:r>
          </w:p>
        </w:tc>
        <w:tc>
          <w:tcPr>
            <w:tcW w:w="0" w:type="auto"/>
            <w:noWrap/>
            <w:vAlign w:val="center"/>
          </w:tcPr>
          <w:p w14:paraId="774ABC18">
            <w:pPr>
              <w:jc w:val="center"/>
              <w:rPr>
                <w:rFonts w:eastAsia="楷体_GB2312"/>
                <w:color w:val="000000"/>
                <w:kern w:val="0"/>
                <w:szCs w:val="21"/>
              </w:rPr>
            </w:pPr>
            <w:r>
              <w:rPr>
                <w:rFonts w:eastAsia="楷体_GB2312"/>
                <w:color w:val="000000"/>
                <w:kern w:val="0"/>
                <w:szCs w:val="21"/>
              </w:rPr>
              <w:t>175</w:t>
            </w:r>
          </w:p>
        </w:tc>
        <w:tc>
          <w:tcPr>
            <w:tcW w:w="0" w:type="auto"/>
            <w:noWrap/>
            <w:vAlign w:val="center"/>
          </w:tcPr>
          <w:p w14:paraId="6BCD91E6">
            <w:pPr>
              <w:jc w:val="center"/>
              <w:rPr>
                <w:rFonts w:eastAsia="楷体_GB2312"/>
                <w:color w:val="000000"/>
                <w:kern w:val="0"/>
                <w:szCs w:val="21"/>
              </w:rPr>
            </w:pPr>
            <w:r>
              <w:rPr>
                <w:rFonts w:eastAsia="楷体_GB2312"/>
                <w:color w:val="000000"/>
                <w:kern w:val="0"/>
                <w:szCs w:val="21"/>
              </w:rPr>
              <w:t>170</w:t>
            </w:r>
          </w:p>
        </w:tc>
      </w:tr>
      <w:tr w14:paraId="76174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ign w:val="center"/>
          </w:tcPr>
          <w:p w14:paraId="71301D90">
            <w:pPr>
              <w:jc w:val="center"/>
              <w:rPr>
                <w:rFonts w:eastAsia="楷体_GB2312"/>
                <w:color w:val="000000"/>
                <w:kern w:val="0"/>
                <w:szCs w:val="21"/>
              </w:rPr>
            </w:pPr>
            <w:r>
              <w:rPr>
                <w:rFonts w:eastAsia="楷体_GB2312"/>
                <w:color w:val="000000"/>
                <w:kern w:val="0"/>
                <w:szCs w:val="21"/>
              </w:rPr>
              <w:t>15</w:t>
            </w:r>
          </w:p>
        </w:tc>
        <w:tc>
          <w:tcPr>
            <w:tcW w:w="0" w:type="auto"/>
            <w:vMerge w:val="restart"/>
            <w:noWrap/>
            <w:vAlign w:val="center"/>
          </w:tcPr>
          <w:p w14:paraId="3C223324">
            <w:pPr>
              <w:jc w:val="center"/>
              <w:rPr>
                <w:rFonts w:eastAsia="楷体_GB2312"/>
                <w:color w:val="000000"/>
                <w:kern w:val="0"/>
                <w:szCs w:val="21"/>
              </w:rPr>
            </w:pPr>
            <w:r>
              <w:rPr>
                <w:rFonts w:eastAsia="楷体_GB2312"/>
                <w:color w:val="000000"/>
                <w:kern w:val="0"/>
                <w:szCs w:val="21"/>
              </w:rPr>
              <w:t>杨庄镇</w:t>
            </w:r>
          </w:p>
        </w:tc>
        <w:tc>
          <w:tcPr>
            <w:tcW w:w="0" w:type="auto"/>
            <w:noWrap w:val="0"/>
            <w:vAlign w:val="top"/>
          </w:tcPr>
          <w:p w14:paraId="43578014">
            <w:pPr>
              <w:jc w:val="center"/>
              <w:rPr>
                <w:rFonts w:eastAsia="楷体_GB2312"/>
                <w:color w:val="000000"/>
                <w:kern w:val="0"/>
                <w:szCs w:val="21"/>
              </w:rPr>
            </w:pPr>
            <w:r>
              <w:rPr>
                <w:rFonts w:hint="eastAsia" w:eastAsia="楷体_GB2312"/>
                <w:color w:val="000000"/>
                <w:kern w:val="0"/>
                <w:szCs w:val="21"/>
              </w:rPr>
              <w:t>1</w:t>
            </w:r>
          </w:p>
        </w:tc>
        <w:tc>
          <w:tcPr>
            <w:tcW w:w="0" w:type="auto"/>
            <w:noWrap/>
            <w:vAlign w:val="center"/>
          </w:tcPr>
          <w:p w14:paraId="7EBAA3D7">
            <w:pPr>
              <w:jc w:val="center"/>
              <w:rPr>
                <w:rFonts w:eastAsia="楷体_GB2312"/>
                <w:color w:val="000000"/>
                <w:kern w:val="0"/>
                <w:szCs w:val="21"/>
              </w:rPr>
            </w:pPr>
            <w:r>
              <w:rPr>
                <w:rFonts w:eastAsia="楷体_GB2312"/>
                <w:color w:val="000000"/>
                <w:kern w:val="0"/>
                <w:szCs w:val="21"/>
              </w:rPr>
              <w:t>455</w:t>
            </w:r>
          </w:p>
        </w:tc>
        <w:tc>
          <w:tcPr>
            <w:tcW w:w="0" w:type="auto"/>
            <w:noWrap/>
            <w:vAlign w:val="center"/>
          </w:tcPr>
          <w:p w14:paraId="0403AFA8">
            <w:pPr>
              <w:jc w:val="center"/>
              <w:rPr>
                <w:rFonts w:eastAsia="楷体_GB2312"/>
                <w:color w:val="000000"/>
                <w:kern w:val="0"/>
                <w:szCs w:val="21"/>
              </w:rPr>
            </w:pPr>
            <w:r>
              <w:rPr>
                <w:rFonts w:eastAsia="楷体_GB2312"/>
                <w:color w:val="000000"/>
                <w:kern w:val="0"/>
                <w:szCs w:val="21"/>
              </w:rPr>
              <w:t>340</w:t>
            </w:r>
          </w:p>
        </w:tc>
        <w:tc>
          <w:tcPr>
            <w:tcW w:w="0" w:type="auto"/>
            <w:noWrap/>
            <w:vAlign w:val="center"/>
          </w:tcPr>
          <w:p w14:paraId="3F769739">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12563313">
            <w:pPr>
              <w:jc w:val="center"/>
              <w:rPr>
                <w:rFonts w:eastAsia="楷体_GB2312"/>
                <w:color w:val="000000"/>
                <w:kern w:val="0"/>
                <w:szCs w:val="21"/>
              </w:rPr>
            </w:pPr>
            <w:r>
              <w:rPr>
                <w:rFonts w:eastAsia="楷体_GB2312"/>
                <w:color w:val="000000"/>
                <w:kern w:val="0"/>
                <w:szCs w:val="21"/>
              </w:rPr>
              <w:t>320</w:t>
            </w:r>
          </w:p>
        </w:tc>
        <w:tc>
          <w:tcPr>
            <w:tcW w:w="0" w:type="auto"/>
            <w:noWrap/>
            <w:vAlign w:val="center"/>
          </w:tcPr>
          <w:p w14:paraId="4208E64A">
            <w:pPr>
              <w:jc w:val="center"/>
              <w:rPr>
                <w:rFonts w:eastAsia="楷体_GB2312"/>
                <w:color w:val="000000"/>
                <w:kern w:val="0"/>
                <w:szCs w:val="21"/>
              </w:rPr>
            </w:pPr>
            <w:r>
              <w:rPr>
                <w:rFonts w:eastAsia="楷体_GB2312"/>
                <w:color w:val="000000"/>
                <w:kern w:val="0"/>
                <w:szCs w:val="21"/>
              </w:rPr>
              <w:t>300</w:t>
            </w:r>
          </w:p>
        </w:tc>
        <w:tc>
          <w:tcPr>
            <w:tcW w:w="0" w:type="auto"/>
            <w:noWrap/>
            <w:vAlign w:val="center"/>
          </w:tcPr>
          <w:p w14:paraId="7376542B">
            <w:pPr>
              <w:jc w:val="center"/>
              <w:rPr>
                <w:rFonts w:eastAsia="楷体_GB2312"/>
                <w:color w:val="000000"/>
                <w:kern w:val="0"/>
                <w:szCs w:val="21"/>
              </w:rPr>
            </w:pPr>
            <w:r>
              <w:rPr>
                <w:rFonts w:eastAsia="楷体_GB2312"/>
                <w:color w:val="000000"/>
                <w:kern w:val="0"/>
                <w:szCs w:val="21"/>
              </w:rPr>
              <w:t>285</w:t>
            </w:r>
          </w:p>
        </w:tc>
        <w:tc>
          <w:tcPr>
            <w:tcW w:w="0" w:type="auto"/>
            <w:noWrap/>
            <w:vAlign w:val="center"/>
          </w:tcPr>
          <w:p w14:paraId="100A34D0">
            <w:pPr>
              <w:jc w:val="center"/>
              <w:rPr>
                <w:rFonts w:eastAsia="楷体_GB2312"/>
                <w:color w:val="000000"/>
                <w:kern w:val="0"/>
                <w:szCs w:val="21"/>
              </w:rPr>
            </w:pPr>
            <w:r>
              <w:rPr>
                <w:rFonts w:eastAsia="楷体_GB2312"/>
                <w:color w:val="000000"/>
                <w:kern w:val="0"/>
                <w:szCs w:val="21"/>
              </w:rPr>
              <w:t>275</w:t>
            </w:r>
          </w:p>
        </w:tc>
        <w:tc>
          <w:tcPr>
            <w:tcW w:w="0" w:type="auto"/>
            <w:noWrap/>
            <w:vAlign w:val="center"/>
          </w:tcPr>
          <w:p w14:paraId="5C19C4EF">
            <w:pPr>
              <w:jc w:val="center"/>
              <w:rPr>
                <w:rFonts w:eastAsia="楷体_GB2312"/>
                <w:color w:val="000000"/>
                <w:kern w:val="0"/>
                <w:szCs w:val="21"/>
              </w:rPr>
            </w:pPr>
            <w:r>
              <w:rPr>
                <w:rFonts w:eastAsia="楷体_GB2312"/>
                <w:color w:val="000000"/>
                <w:kern w:val="0"/>
                <w:szCs w:val="21"/>
              </w:rPr>
              <w:t>265</w:t>
            </w:r>
          </w:p>
        </w:tc>
        <w:tc>
          <w:tcPr>
            <w:tcW w:w="0" w:type="auto"/>
            <w:noWrap/>
            <w:vAlign w:val="center"/>
          </w:tcPr>
          <w:p w14:paraId="4BC3B54D">
            <w:pPr>
              <w:jc w:val="center"/>
              <w:rPr>
                <w:rFonts w:eastAsia="楷体_GB2312"/>
                <w:color w:val="000000"/>
                <w:kern w:val="0"/>
                <w:szCs w:val="21"/>
              </w:rPr>
            </w:pPr>
            <w:r>
              <w:rPr>
                <w:rFonts w:eastAsia="楷体_GB2312"/>
                <w:color w:val="000000"/>
                <w:kern w:val="0"/>
                <w:szCs w:val="21"/>
              </w:rPr>
              <w:t>250</w:t>
            </w:r>
          </w:p>
        </w:tc>
      </w:tr>
      <w:tr w14:paraId="7482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5BFC9CE6">
            <w:pPr>
              <w:jc w:val="center"/>
              <w:rPr>
                <w:rFonts w:eastAsia="楷体_GB2312"/>
                <w:color w:val="000000"/>
                <w:kern w:val="0"/>
                <w:szCs w:val="21"/>
              </w:rPr>
            </w:pPr>
          </w:p>
        </w:tc>
        <w:tc>
          <w:tcPr>
            <w:tcW w:w="0" w:type="auto"/>
            <w:vMerge w:val="continue"/>
            <w:noWrap w:val="0"/>
            <w:vAlign w:val="center"/>
          </w:tcPr>
          <w:p w14:paraId="79B16F04">
            <w:pPr>
              <w:jc w:val="center"/>
              <w:rPr>
                <w:rFonts w:eastAsia="楷体_GB2312"/>
                <w:color w:val="000000"/>
                <w:kern w:val="0"/>
                <w:szCs w:val="21"/>
              </w:rPr>
            </w:pPr>
          </w:p>
        </w:tc>
        <w:tc>
          <w:tcPr>
            <w:tcW w:w="0" w:type="auto"/>
            <w:noWrap w:val="0"/>
            <w:vAlign w:val="top"/>
          </w:tcPr>
          <w:p w14:paraId="054034AC">
            <w:pPr>
              <w:jc w:val="center"/>
              <w:rPr>
                <w:rFonts w:eastAsia="楷体_GB2312"/>
                <w:color w:val="000000"/>
                <w:kern w:val="0"/>
                <w:szCs w:val="21"/>
              </w:rPr>
            </w:pPr>
            <w:r>
              <w:rPr>
                <w:rFonts w:hint="eastAsia" w:eastAsia="楷体_GB2312"/>
                <w:color w:val="000000"/>
                <w:kern w:val="0"/>
                <w:szCs w:val="21"/>
              </w:rPr>
              <w:t>2</w:t>
            </w:r>
          </w:p>
        </w:tc>
        <w:tc>
          <w:tcPr>
            <w:tcW w:w="0" w:type="auto"/>
            <w:noWrap/>
            <w:vAlign w:val="center"/>
          </w:tcPr>
          <w:p w14:paraId="1332A64A">
            <w:pPr>
              <w:jc w:val="center"/>
              <w:rPr>
                <w:rFonts w:eastAsia="楷体_GB2312"/>
                <w:color w:val="000000"/>
                <w:kern w:val="0"/>
                <w:szCs w:val="21"/>
              </w:rPr>
            </w:pPr>
            <w:r>
              <w:rPr>
                <w:rFonts w:eastAsia="楷体_GB2312"/>
                <w:color w:val="000000"/>
                <w:kern w:val="0"/>
                <w:szCs w:val="21"/>
              </w:rPr>
              <w:t>355</w:t>
            </w:r>
          </w:p>
        </w:tc>
        <w:tc>
          <w:tcPr>
            <w:tcW w:w="0" w:type="auto"/>
            <w:noWrap/>
            <w:vAlign w:val="center"/>
          </w:tcPr>
          <w:p w14:paraId="335F4E65">
            <w:pPr>
              <w:jc w:val="center"/>
              <w:rPr>
                <w:rFonts w:eastAsia="楷体_GB2312"/>
                <w:color w:val="000000"/>
                <w:kern w:val="0"/>
                <w:szCs w:val="21"/>
              </w:rPr>
            </w:pPr>
            <w:r>
              <w:rPr>
                <w:rFonts w:eastAsia="楷体_GB2312"/>
                <w:color w:val="000000"/>
                <w:kern w:val="0"/>
                <w:szCs w:val="21"/>
              </w:rPr>
              <w:t>255</w:t>
            </w:r>
          </w:p>
        </w:tc>
        <w:tc>
          <w:tcPr>
            <w:tcW w:w="0" w:type="auto"/>
            <w:noWrap/>
            <w:vAlign w:val="center"/>
          </w:tcPr>
          <w:p w14:paraId="5FE387E3">
            <w:pPr>
              <w:jc w:val="center"/>
              <w:rPr>
                <w:rFonts w:eastAsia="楷体_GB2312"/>
                <w:color w:val="000000"/>
                <w:kern w:val="0"/>
                <w:szCs w:val="21"/>
              </w:rPr>
            </w:pPr>
            <w:r>
              <w:rPr>
                <w:rFonts w:eastAsia="楷体_GB2312"/>
                <w:color w:val="000000"/>
                <w:kern w:val="0"/>
                <w:szCs w:val="21"/>
              </w:rPr>
              <w:t>155</w:t>
            </w:r>
          </w:p>
        </w:tc>
        <w:tc>
          <w:tcPr>
            <w:tcW w:w="0" w:type="auto"/>
            <w:noWrap/>
            <w:vAlign w:val="center"/>
          </w:tcPr>
          <w:p w14:paraId="6FFB176F">
            <w:pPr>
              <w:jc w:val="center"/>
              <w:rPr>
                <w:rFonts w:eastAsia="楷体_GB2312"/>
                <w:kern w:val="0"/>
                <w:szCs w:val="21"/>
              </w:rPr>
            </w:pPr>
            <w:r>
              <w:rPr>
                <w:rFonts w:eastAsia="楷体_GB2312"/>
                <w:kern w:val="0"/>
                <w:szCs w:val="21"/>
              </w:rPr>
              <w:t>245</w:t>
            </w:r>
          </w:p>
        </w:tc>
        <w:tc>
          <w:tcPr>
            <w:tcW w:w="0" w:type="auto"/>
            <w:noWrap/>
            <w:vAlign w:val="center"/>
          </w:tcPr>
          <w:p w14:paraId="499637BB">
            <w:pPr>
              <w:jc w:val="center"/>
              <w:rPr>
                <w:rFonts w:eastAsia="楷体_GB2312"/>
                <w:kern w:val="0"/>
                <w:szCs w:val="21"/>
              </w:rPr>
            </w:pPr>
            <w:r>
              <w:rPr>
                <w:rFonts w:eastAsia="楷体_GB2312"/>
                <w:kern w:val="0"/>
                <w:szCs w:val="21"/>
              </w:rPr>
              <w:t>235</w:t>
            </w:r>
          </w:p>
        </w:tc>
        <w:tc>
          <w:tcPr>
            <w:tcW w:w="0" w:type="auto"/>
            <w:noWrap/>
            <w:vAlign w:val="center"/>
          </w:tcPr>
          <w:p w14:paraId="0E3C23CE">
            <w:pPr>
              <w:jc w:val="center"/>
              <w:rPr>
                <w:rFonts w:eastAsia="楷体_GB2312"/>
                <w:kern w:val="0"/>
                <w:szCs w:val="21"/>
              </w:rPr>
            </w:pPr>
            <w:r>
              <w:rPr>
                <w:rFonts w:eastAsia="楷体_GB2312"/>
                <w:kern w:val="0"/>
                <w:szCs w:val="21"/>
              </w:rPr>
              <w:t>225</w:t>
            </w:r>
          </w:p>
        </w:tc>
        <w:tc>
          <w:tcPr>
            <w:tcW w:w="0" w:type="auto"/>
            <w:noWrap/>
            <w:vAlign w:val="center"/>
          </w:tcPr>
          <w:p w14:paraId="7D22D192">
            <w:pPr>
              <w:jc w:val="center"/>
              <w:rPr>
                <w:rFonts w:eastAsia="楷体_GB2312"/>
                <w:kern w:val="0"/>
                <w:szCs w:val="21"/>
              </w:rPr>
            </w:pPr>
            <w:r>
              <w:rPr>
                <w:rFonts w:eastAsia="楷体_GB2312"/>
                <w:kern w:val="0"/>
                <w:szCs w:val="21"/>
              </w:rPr>
              <w:t>220</w:t>
            </w:r>
          </w:p>
        </w:tc>
        <w:tc>
          <w:tcPr>
            <w:tcW w:w="0" w:type="auto"/>
            <w:noWrap/>
            <w:vAlign w:val="center"/>
          </w:tcPr>
          <w:p w14:paraId="79910FE9">
            <w:pPr>
              <w:jc w:val="center"/>
              <w:rPr>
                <w:rFonts w:eastAsia="楷体_GB2312"/>
                <w:kern w:val="0"/>
                <w:szCs w:val="21"/>
              </w:rPr>
            </w:pPr>
            <w:r>
              <w:rPr>
                <w:rFonts w:eastAsia="楷体_GB2312"/>
                <w:kern w:val="0"/>
                <w:szCs w:val="21"/>
              </w:rPr>
              <w:t>215</w:t>
            </w:r>
          </w:p>
        </w:tc>
        <w:tc>
          <w:tcPr>
            <w:tcW w:w="0" w:type="auto"/>
            <w:noWrap/>
            <w:vAlign w:val="center"/>
          </w:tcPr>
          <w:p w14:paraId="085E4E2B">
            <w:pPr>
              <w:jc w:val="center"/>
              <w:rPr>
                <w:rFonts w:eastAsia="楷体_GB2312"/>
                <w:kern w:val="0"/>
                <w:szCs w:val="21"/>
              </w:rPr>
            </w:pPr>
            <w:r>
              <w:rPr>
                <w:rFonts w:eastAsia="楷体_GB2312"/>
                <w:kern w:val="0"/>
                <w:szCs w:val="21"/>
              </w:rPr>
              <w:t>205</w:t>
            </w:r>
          </w:p>
        </w:tc>
      </w:tr>
      <w:tr w14:paraId="18463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7A9DB30E">
            <w:pPr>
              <w:jc w:val="center"/>
              <w:rPr>
                <w:rFonts w:eastAsia="楷体_GB2312"/>
                <w:color w:val="000000"/>
                <w:kern w:val="0"/>
                <w:szCs w:val="21"/>
              </w:rPr>
            </w:pPr>
          </w:p>
        </w:tc>
        <w:tc>
          <w:tcPr>
            <w:tcW w:w="0" w:type="auto"/>
            <w:vMerge w:val="continue"/>
            <w:noWrap w:val="0"/>
            <w:vAlign w:val="center"/>
          </w:tcPr>
          <w:p w14:paraId="5C32C4CC">
            <w:pPr>
              <w:jc w:val="center"/>
              <w:rPr>
                <w:rFonts w:eastAsia="楷体_GB2312"/>
                <w:color w:val="000000"/>
                <w:kern w:val="0"/>
                <w:szCs w:val="21"/>
              </w:rPr>
            </w:pPr>
          </w:p>
        </w:tc>
        <w:tc>
          <w:tcPr>
            <w:tcW w:w="0" w:type="auto"/>
            <w:noWrap w:val="0"/>
            <w:vAlign w:val="top"/>
          </w:tcPr>
          <w:p w14:paraId="40A8504B">
            <w:pPr>
              <w:jc w:val="center"/>
              <w:rPr>
                <w:rFonts w:eastAsia="楷体_GB2312"/>
                <w:color w:val="000000"/>
                <w:kern w:val="0"/>
                <w:szCs w:val="21"/>
              </w:rPr>
            </w:pPr>
            <w:r>
              <w:rPr>
                <w:rFonts w:hint="eastAsia" w:eastAsia="楷体_GB2312"/>
                <w:color w:val="000000"/>
                <w:kern w:val="0"/>
                <w:szCs w:val="21"/>
              </w:rPr>
              <w:t>3</w:t>
            </w:r>
          </w:p>
        </w:tc>
        <w:tc>
          <w:tcPr>
            <w:tcW w:w="0" w:type="auto"/>
            <w:noWrap/>
            <w:vAlign w:val="center"/>
          </w:tcPr>
          <w:p w14:paraId="6D4F5467">
            <w:pPr>
              <w:jc w:val="center"/>
              <w:rPr>
                <w:rFonts w:eastAsia="楷体_GB2312"/>
                <w:color w:val="000000"/>
                <w:kern w:val="0"/>
                <w:szCs w:val="21"/>
              </w:rPr>
            </w:pPr>
            <w:r>
              <w:rPr>
                <w:rFonts w:eastAsia="楷体_GB2312"/>
                <w:color w:val="000000"/>
                <w:kern w:val="0"/>
                <w:szCs w:val="21"/>
              </w:rPr>
              <w:t>275</w:t>
            </w:r>
          </w:p>
        </w:tc>
        <w:tc>
          <w:tcPr>
            <w:tcW w:w="0" w:type="auto"/>
            <w:noWrap/>
            <w:vAlign w:val="center"/>
          </w:tcPr>
          <w:p w14:paraId="59A37747">
            <w:pPr>
              <w:jc w:val="center"/>
              <w:rPr>
                <w:rFonts w:eastAsia="楷体_GB2312"/>
                <w:color w:val="000000"/>
                <w:kern w:val="0"/>
                <w:szCs w:val="21"/>
              </w:rPr>
            </w:pPr>
            <w:r>
              <w:rPr>
                <w:rFonts w:eastAsia="楷体_GB2312"/>
                <w:color w:val="000000"/>
                <w:kern w:val="0"/>
                <w:szCs w:val="21"/>
              </w:rPr>
              <w:t>195</w:t>
            </w:r>
          </w:p>
        </w:tc>
        <w:tc>
          <w:tcPr>
            <w:tcW w:w="0" w:type="auto"/>
            <w:noWrap/>
            <w:vAlign w:val="center"/>
          </w:tcPr>
          <w:p w14:paraId="11A72219">
            <w:pPr>
              <w:jc w:val="center"/>
              <w:rPr>
                <w:rFonts w:eastAsia="楷体_GB2312"/>
                <w:color w:val="000000"/>
                <w:kern w:val="0"/>
                <w:szCs w:val="21"/>
              </w:rPr>
            </w:pPr>
            <w:r>
              <w:rPr>
                <w:rFonts w:eastAsia="楷体_GB2312"/>
                <w:color w:val="000000"/>
                <w:kern w:val="0"/>
                <w:szCs w:val="21"/>
              </w:rPr>
              <w:t>144</w:t>
            </w:r>
          </w:p>
        </w:tc>
        <w:tc>
          <w:tcPr>
            <w:tcW w:w="0" w:type="auto"/>
            <w:noWrap/>
            <w:vAlign w:val="center"/>
          </w:tcPr>
          <w:p w14:paraId="3AD6BE27">
            <w:pPr>
              <w:jc w:val="center"/>
              <w:rPr>
                <w:rFonts w:eastAsia="楷体_GB2312"/>
                <w:color w:val="000000"/>
                <w:kern w:val="0"/>
                <w:szCs w:val="21"/>
              </w:rPr>
            </w:pPr>
            <w:r>
              <w:rPr>
                <w:rFonts w:eastAsia="楷体_GB2312"/>
                <w:color w:val="000000"/>
                <w:kern w:val="0"/>
                <w:szCs w:val="21"/>
              </w:rPr>
              <w:t>185</w:t>
            </w:r>
          </w:p>
        </w:tc>
        <w:tc>
          <w:tcPr>
            <w:tcW w:w="0" w:type="auto"/>
            <w:noWrap/>
            <w:vAlign w:val="center"/>
          </w:tcPr>
          <w:p w14:paraId="5D307DF0">
            <w:pPr>
              <w:jc w:val="center"/>
              <w:rPr>
                <w:rFonts w:eastAsia="楷体_GB2312"/>
                <w:color w:val="000000"/>
                <w:kern w:val="0"/>
                <w:szCs w:val="21"/>
              </w:rPr>
            </w:pPr>
            <w:r>
              <w:rPr>
                <w:rFonts w:eastAsia="楷体_GB2312"/>
                <w:color w:val="000000"/>
                <w:kern w:val="0"/>
                <w:szCs w:val="21"/>
              </w:rPr>
              <w:t>180</w:t>
            </w:r>
          </w:p>
        </w:tc>
        <w:tc>
          <w:tcPr>
            <w:tcW w:w="0" w:type="auto"/>
            <w:noWrap/>
            <w:vAlign w:val="center"/>
          </w:tcPr>
          <w:p w14:paraId="167AE5BF">
            <w:pPr>
              <w:jc w:val="center"/>
              <w:rPr>
                <w:rFonts w:eastAsia="楷体_GB2312"/>
                <w:color w:val="000000"/>
                <w:kern w:val="0"/>
                <w:szCs w:val="21"/>
              </w:rPr>
            </w:pPr>
            <w:r>
              <w:rPr>
                <w:rFonts w:eastAsia="楷体_GB2312"/>
                <w:color w:val="000000"/>
                <w:kern w:val="0"/>
                <w:szCs w:val="21"/>
              </w:rPr>
              <w:t>175</w:t>
            </w:r>
          </w:p>
        </w:tc>
        <w:tc>
          <w:tcPr>
            <w:tcW w:w="0" w:type="auto"/>
            <w:noWrap/>
            <w:vAlign w:val="center"/>
          </w:tcPr>
          <w:p w14:paraId="5B7EE590">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29ED9864">
            <w:pPr>
              <w:jc w:val="center"/>
              <w:rPr>
                <w:rFonts w:eastAsia="楷体_GB2312"/>
                <w:color w:val="000000"/>
                <w:kern w:val="0"/>
                <w:szCs w:val="21"/>
              </w:rPr>
            </w:pPr>
            <w:r>
              <w:rPr>
                <w:rFonts w:eastAsia="楷体_GB2312"/>
                <w:color w:val="000000"/>
                <w:kern w:val="0"/>
                <w:szCs w:val="21"/>
              </w:rPr>
              <w:t>165</w:t>
            </w:r>
          </w:p>
        </w:tc>
        <w:tc>
          <w:tcPr>
            <w:tcW w:w="0" w:type="auto"/>
            <w:noWrap/>
            <w:vAlign w:val="center"/>
          </w:tcPr>
          <w:p w14:paraId="22C526EA">
            <w:pPr>
              <w:jc w:val="center"/>
              <w:rPr>
                <w:rFonts w:eastAsia="楷体_GB2312"/>
                <w:color w:val="000000"/>
                <w:kern w:val="0"/>
                <w:szCs w:val="21"/>
              </w:rPr>
            </w:pPr>
            <w:r>
              <w:rPr>
                <w:rFonts w:eastAsia="楷体_GB2312"/>
                <w:color w:val="000000"/>
                <w:kern w:val="0"/>
                <w:szCs w:val="21"/>
              </w:rPr>
              <w:t>160</w:t>
            </w:r>
          </w:p>
        </w:tc>
      </w:tr>
      <w:tr w14:paraId="379A8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ign w:val="center"/>
          </w:tcPr>
          <w:p w14:paraId="69FC71CC">
            <w:pPr>
              <w:jc w:val="center"/>
              <w:rPr>
                <w:rFonts w:eastAsia="楷体_GB2312"/>
                <w:color w:val="000000"/>
                <w:kern w:val="0"/>
                <w:szCs w:val="21"/>
              </w:rPr>
            </w:pPr>
            <w:r>
              <w:rPr>
                <w:rFonts w:eastAsia="楷体_GB2312"/>
                <w:color w:val="000000"/>
                <w:kern w:val="0"/>
                <w:szCs w:val="21"/>
              </w:rPr>
              <w:t>16</w:t>
            </w:r>
          </w:p>
        </w:tc>
        <w:tc>
          <w:tcPr>
            <w:tcW w:w="0" w:type="auto"/>
            <w:vMerge w:val="restart"/>
            <w:noWrap/>
            <w:vAlign w:val="center"/>
          </w:tcPr>
          <w:p w14:paraId="038E2D64">
            <w:pPr>
              <w:jc w:val="center"/>
              <w:rPr>
                <w:rFonts w:eastAsia="楷体_GB2312"/>
                <w:color w:val="000000"/>
                <w:kern w:val="0"/>
                <w:szCs w:val="21"/>
              </w:rPr>
            </w:pPr>
            <w:r>
              <w:rPr>
                <w:rFonts w:eastAsia="楷体_GB2312"/>
                <w:color w:val="000000"/>
                <w:kern w:val="0"/>
                <w:szCs w:val="21"/>
              </w:rPr>
              <w:t>永镇乡</w:t>
            </w:r>
          </w:p>
        </w:tc>
        <w:tc>
          <w:tcPr>
            <w:tcW w:w="0" w:type="auto"/>
            <w:noWrap w:val="0"/>
            <w:vAlign w:val="top"/>
          </w:tcPr>
          <w:p w14:paraId="1897D985">
            <w:pPr>
              <w:jc w:val="center"/>
              <w:rPr>
                <w:rFonts w:eastAsia="楷体_GB2312"/>
                <w:color w:val="000000"/>
                <w:kern w:val="0"/>
                <w:szCs w:val="21"/>
              </w:rPr>
            </w:pPr>
            <w:r>
              <w:rPr>
                <w:rFonts w:hint="eastAsia" w:eastAsia="楷体_GB2312"/>
                <w:color w:val="000000"/>
                <w:kern w:val="0"/>
                <w:szCs w:val="21"/>
              </w:rPr>
              <w:t>1</w:t>
            </w:r>
          </w:p>
        </w:tc>
        <w:tc>
          <w:tcPr>
            <w:tcW w:w="0" w:type="auto"/>
            <w:noWrap/>
            <w:vAlign w:val="center"/>
          </w:tcPr>
          <w:p w14:paraId="2ADA9B66">
            <w:pPr>
              <w:jc w:val="center"/>
              <w:rPr>
                <w:rFonts w:eastAsia="楷体_GB2312"/>
                <w:color w:val="000000"/>
                <w:kern w:val="0"/>
                <w:szCs w:val="21"/>
              </w:rPr>
            </w:pPr>
            <w:r>
              <w:rPr>
                <w:rFonts w:eastAsia="楷体_GB2312"/>
                <w:color w:val="000000"/>
                <w:kern w:val="0"/>
                <w:szCs w:val="21"/>
              </w:rPr>
              <w:t>450</w:t>
            </w:r>
          </w:p>
        </w:tc>
        <w:tc>
          <w:tcPr>
            <w:tcW w:w="0" w:type="auto"/>
            <w:noWrap/>
            <w:vAlign w:val="center"/>
          </w:tcPr>
          <w:p w14:paraId="58050484">
            <w:pPr>
              <w:jc w:val="center"/>
              <w:rPr>
                <w:rFonts w:eastAsia="楷体_GB2312"/>
                <w:color w:val="000000"/>
                <w:kern w:val="0"/>
                <w:szCs w:val="21"/>
              </w:rPr>
            </w:pPr>
            <w:r>
              <w:rPr>
                <w:rFonts w:eastAsia="楷体_GB2312"/>
                <w:color w:val="000000"/>
                <w:kern w:val="0"/>
                <w:szCs w:val="21"/>
              </w:rPr>
              <w:t>330</w:t>
            </w:r>
          </w:p>
        </w:tc>
        <w:tc>
          <w:tcPr>
            <w:tcW w:w="0" w:type="auto"/>
            <w:noWrap/>
            <w:vAlign w:val="center"/>
          </w:tcPr>
          <w:p w14:paraId="066D1A4C">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2667BA35">
            <w:pPr>
              <w:jc w:val="center"/>
              <w:rPr>
                <w:rFonts w:eastAsia="楷体_GB2312"/>
                <w:color w:val="000000"/>
                <w:kern w:val="0"/>
                <w:szCs w:val="21"/>
              </w:rPr>
            </w:pPr>
            <w:r>
              <w:rPr>
                <w:rFonts w:eastAsia="楷体_GB2312"/>
                <w:color w:val="000000"/>
                <w:kern w:val="0"/>
                <w:szCs w:val="21"/>
              </w:rPr>
              <w:t>305</w:t>
            </w:r>
          </w:p>
        </w:tc>
        <w:tc>
          <w:tcPr>
            <w:tcW w:w="0" w:type="auto"/>
            <w:noWrap/>
            <w:vAlign w:val="center"/>
          </w:tcPr>
          <w:p w14:paraId="556EC51B">
            <w:pPr>
              <w:jc w:val="center"/>
              <w:rPr>
                <w:rFonts w:eastAsia="楷体_GB2312"/>
                <w:color w:val="000000"/>
                <w:kern w:val="0"/>
                <w:szCs w:val="21"/>
              </w:rPr>
            </w:pPr>
            <w:r>
              <w:rPr>
                <w:rFonts w:eastAsia="楷体_GB2312"/>
                <w:color w:val="000000"/>
                <w:kern w:val="0"/>
                <w:szCs w:val="21"/>
              </w:rPr>
              <w:t>285</w:t>
            </w:r>
          </w:p>
        </w:tc>
        <w:tc>
          <w:tcPr>
            <w:tcW w:w="0" w:type="auto"/>
            <w:noWrap/>
            <w:vAlign w:val="center"/>
          </w:tcPr>
          <w:p w14:paraId="79551887">
            <w:pPr>
              <w:jc w:val="center"/>
              <w:rPr>
                <w:rFonts w:eastAsia="楷体_GB2312"/>
                <w:color w:val="000000"/>
                <w:kern w:val="0"/>
                <w:szCs w:val="21"/>
              </w:rPr>
            </w:pPr>
            <w:r>
              <w:rPr>
                <w:rFonts w:eastAsia="楷体_GB2312"/>
                <w:color w:val="000000"/>
                <w:kern w:val="0"/>
                <w:szCs w:val="21"/>
              </w:rPr>
              <w:t>275</w:t>
            </w:r>
          </w:p>
        </w:tc>
        <w:tc>
          <w:tcPr>
            <w:tcW w:w="0" w:type="auto"/>
            <w:noWrap/>
            <w:vAlign w:val="center"/>
          </w:tcPr>
          <w:p w14:paraId="4601D102">
            <w:pPr>
              <w:jc w:val="center"/>
              <w:rPr>
                <w:rFonts w:eastAsia="楷体_GB2312"/>
                <w:color w:val="000000"/>
                <w:kern w:val="0"/>
                <w:szCs w:val="21"/>
              </w:rPr>
            </w:pPr>
            <w:r>
              <w:rPr>
                <w:rFonts w:eastAsia="楷体_GB2312"/>
                <w:color w:val="000000"/>
                <w:kern w:val="0"/>
                <w:szCs w:val="21"/>
              </w:rPr>
              <w:t>265</w:t>
            </w:r>
          </w:p>
        </w:tc>
        <w:tc>
          <w:tcPr>
            <w:tcW w:w="0" w:type="auto"/>
            <w:noWrap/>
            <w:vAlign w:val="center"/>
          </w:tcPr>
          <w:p w14:paraId="03AC51B1">
            <w:pPr>
              <w:jc w:val="center"/>
              <w:rPr>
                <w:rFonts w:eastAsia="楷体_GB2312"/>
                <w:color w:val="000000"/>
                <w:kern w:val="0"/>
                <w:szCs w:val="21"/>
              </w:rPr>
            </w:pPr>
            <w:r>
              <w:rPr>
                <w:rFonts w:eastAsia="楷体_GB2312"/>
                <w:color w:val="000000"/>
                <w:kern w:val="0"/>
                <w:szCs w:val="21"/>
              </w:rPr>
              <w:t>255</w:t>
            </w:r>
          </w:p>
        </w:tc>
        <w:tc>
          <w:tcPr>
            <w:tcW w:w="0" w:type="auto"/>
            <w:noWrap/>
            <w:vAlign w:val="center"/>
          </w:tcPr>
          <w:p w14:paraId="52A73981">
            <w:pPr>
              <w:jc w:val="center"/>
              <w:rPr>
                <w:rFonts w:eastAsia="楷体_GB2312"/>
                <w:color w:val="000000"/>
                <w:kern w:val="0"/>
                <w:szCs w:val="21"/>
              </w:rPr>
            </w:pPr>
            <w:r>
              <w:rPr>
                <w:rFonts w:eastAsia="楷体_GB2312"/>
                <w:color w:val="000000"/>
                <w:kern w:val="0"/>
                <w:szCs w:val="21"/>
              </w:rPr>
              <w:t>235</w:t>
            </w:r>
          </w:p>
        </w:tc>
      </w:tr>
      <w:tr w14:paraId="02B6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710B24E1">
            <w:pPr>
              <w:jc w:val="center"/>
              <w:rPr>
                <w:rFonts w:eastAsia="楷体_GB2312"/>
                <w:color w:val="000000"/>
                <w:kern w:val="0"/>
                <w:szCs w:val="21"/>
              </w:rPr>
            </w:pPr>
          </w:p>
        </w:tc>
        <w:tc>
          <w:tcPr>
            <w:tcW w:w="0" w:type="auto"/>
            <w:vMerge w:val="continue"/>
            <w:noWrap w:val="0"/>
            <w:vAlign w:val="center"/>
          </w:tcPr>
          <w:p w14:paraId="49D6DF5A">
            <w:pPr>
              <w:jc w:val="center"/>
              <w:rPr>
                <w:rFonts w:eastAsia="楷体_GB2312"/>
                <w:color w:val="000000"/>
                <w:kern w:val="0"/>
                <w:szCs w:val="21"/>
              </w:rPr>
            </w:pPr>
          </w:p>
        </w:tc>
        <w:tc>
          <w:tcPr>
            <w:tcW w:w="0" w:type="auto"/>
            <w:noWrap w:val="0"/>
            <w:vAlign w:val="top"/>
          </w:tcPr>
          <w:p w14:paraId="2A07EBB2">
            <w:pPr>
              <w:jc w:val="center"/>
              <w:rPr>
                <w:rFonts w:eastAsia="楷体_GB2312"/>
                <w:color w:val="000000"/>
                <w:kern w:val="0"/>
                <w:szCs w:val="21"/>
              </w:rPr>
            </w:pPr>
            <w:r>
              <w:rPr>
                <w:rFonts w:hint="eastAsia" w:eastAsia="楷体_GB2312"/>
                <w:color w:val="000000"/>
                <w:kern w:val="0"/>
                <w:szCs w:val="21"/>
              </w:rPr>
              <w:t>2</w:t>
            </w:r>
          </w:p>
        </w:tc>
        <w:tc>
          <w:tcPr>
            <w:tcW w:w="0" w:type="auto"/>
            <w:noWrap/>
            <w:vAlign w:val="center"/>
          </w:tcPr>
          <w:p w14:paraId="4680595F">
            <w:pPr>
              <w:jc w:val="center"/>
              <w:rPr>
                <w:rFonts w:eastAsia="楷体_GB2312"/>
                <w:color w:val="000000"/>
                <w:kern w:val="0"/>
                <w:szCs w:val="21"/>
              </w:rPr>
            </w:pPr>
            <w:r>
              <w:rPr>
                <w:rFonts w:eastAsia="楷体_GB2312"/>
                <w:color w:val="000000"/>
                <w:kern w:val="0"/>
                <w:szCs w:val="21"/>
              </w:rPr>
              <w:t>355</w:t>
            </w:r>
          </w:p>
        </w:tc>
        <w:tc>
          <w:tcPr>
            <w:tcW w:w="0" w:type="auto"/>
            <w:noWrap/>
            <w:vAlign w:val="center"/>
          </w:tcPr>
          <w:p w14:paraId="7A5687C6">
            <w:pPr>
              <w:jc w:val="center"/>
              <w:rPr>
                <w:rFonts w:eastAsia="楷体_GB2312"/>
                <w:color w:val="000000"/>
                <w:kern w:val="0"/>
                <w:szCs w:val="21"/>
              </w:rPr>
            </w:pPr>
            <w:r>
              <w:rPr>
                <w:rFonts w:eastAsia="楷体_GB2312"/>
                <w:color w:val="000000"/>
                <w:kern w:val="0"/>
                <w:szCs w:val="21"/>
              </w:rPr>
              <w:t>255</w:t>
            </w:r>
          </w:p>
        </w:tc>
        <w:tc>
          <w:tcPr>
            <w:tcW w:w="0" w:type="auto"/>
            <w:noWrap/>
            <w:vAlign w:val="center"/>
          </w:tcPr>
          <w:p w14:paraId="11230362">
            <w:pPr>
              <w:jc w:val="center"/>
              <w:rPr>
                <w:rFonts w:eastAsia="楷体_GB2312"/>
                <w:color w:val="000000"/>
                <w:kern w:val="0"/>
                <w:szCs w:val="21"/>
              </w:rPr>
            </w:pPr>
            <w:r>
              <w:rPr>
                <w:rFonts w:eastAsia="楷体_GB2312"/>
                <w:color w:val="000000"/>
                <w:kern w:val="0"/>
                <w:szCs w:val="21"/>
              </w:rPr>
              <w:t>155</w:t>
            </w:r>
          </w:p>
        </w:tc>
        <w:tc>
          <w:tcPr>
            <w:tcW w:w="0" w:type="auto"/>
            <w:noWrap/>
            <w:vAlign w:val="center"/>
          </w:tcPr>
          <w:p w14:paraId="60C9C317">
            <w:pPr>
              <w:jc w:val="center"/>
              <w:rPr>
                <w:rFonts w:eastAsia="楷体_GB2312"/>
                <w:color w:val="000000"/>
                <w:kern w:val="0"/>
                <w:szCs w:val="21"/>
              </w:rPr>
            </w:pPr>
            <w:r>
              <w:rPr>
                <w:rFonts w:eastAsia="楷体_GB2312"/>
                <w:color w:val="000000"/>
                <w:kern w:val="0"/>
                <w:szCs w:val="21"/>
              </w:rPr>
              <w:t>245</w:t>
            </w:r>
          </w:p>
        </w:tc>
        <w:tc>
          <w:tcPr>
            <w:tcW w:w="0" w:type="auto"/>
            <w:noWrap/>
            <w:vAlign w:val="center"/>
          </w:tcPr>
          <w:p w14:paraId="433EBADC">
            <w:pPr>
              <w:jc w:val="center"/>
              <w:rPr>
                <w:rFonts w:eastAsia="楷体_GB2312"/>
                <w:color w:val="000000"/>
                <w:kern w:val="0"/>
                <w:szCs w:val="21"/>
              </w:rPr>
            </w:pPr>
            <w:r>
              <w:rPr>
                <w:rFonts w:eastAsia="楷体_GB2312"/>
                <w:color w:val="000000"/>
                <w:kern w:val="0"/>
                <w:szCs w:val="21"/>
              </w:rPr>
              <w:t>235</w:t>
            </w:r>
          </w:p>
        </w:tc>
        <w:tc>
          <w:tcPr>
            <w:tcW w:w="0" w:type="auto"/>
            <w:noWrap/>
            <w:vAlign w:val="center"/>
          </w:tcPr>
          <w:p w14:paraId="03760B96">
            <w:pPr>
              <w:jc w:val="center"/>
              <w:rPr>
                <w:rFonts w:eastAsia="楷体_GB2312"/>
                <w:color w:val="000000"/>
                <w:kern w:val="0"/>
                <w:szCs w:val="21"/>
              </w:rPr>
            </w:pPr>
            <w:r>
              <w:rPr>
                <w:rFonts w:eastAsia="楷体_GB2312"/>
                <w:color w:val="000000"/>
                <w:kern w:val="0"/>
                <w:szCs w:val="21"/>
              </w:rPr>
              <w:t>225</w:t>
            </w:r>
          </w:p>
        </w:tc>
        <w:tc>
          <w:tcPr>
            <w:tcW w:w="0" w:type="auto"/>
            <w:noWrap/>
            <w:vAlign w:val="center"/>
          </w:tcPr>
          <w:p w14:paraId="13FBE652">
            <w:pPr>
              <w:jc w:val="center"/>
              <w:rPr>
                <w:rFonts w:eastAsia="楷体_GB2312"/>
                <w:color w:val="000000"/>
                <w:kern w:val="0"/>
                <w:szCs w:val="21"/>
              </w:rPr>
            </w:pPr>
            <w:r>
              <w:rPr>
                <w:rFonts w:eastAsia="楷体_GB2312"/>
                <w:color w:val="000000"/>
                <w:kern w:val="0"/>
                <w:szCs w:val="21"/>
              </w:rPr>
              <w:t>220</w:t>
            </w:r>
          </w:p>
        </w:tc>
        <w:tc>
          <w:tcPr>
            <w:tcW w:w="0" w:type="auto"/>
            <w:noWrap/>
            <w:vAlign w:val="center"/>
          </w:tcPr>
          <w:p w14:paraId="314D4545">
            <w:pPr>
              <w:jc w:val="center"/>
              <w:rPr>
                <w:rFonts w:eastAsia="楷体_GB2312"/>
                <w:color w:val="000000"/>
                <w:kern w:val="0"/>
                <w:szCs w:val="21"/>
              </w:rPr>
            </w:pPr>
            <w:r>
              <w:rPr>
                <w:rFonts w:eastAsia="楷体_GB2312"/>
                <w:color w:val="000000"/>
                <w:kern w:val="0"/>
                <w:szCs w:val="21"/>
              </w:rPr>
              <w:t>215</w:t>
            </w:r>
          </w:p>
        </w:tc>
        <w:tc>
          <w:tcPr>
            <w:tcW w:w="0" w:type="auto"/>
            <w:noWrap/>
            <w:vAlign w:val="center"/>
          </w:tcPr>
          <w:p w14:paraId="1664E9B4">
            <w:pPr>
              <w:jc w:val="center"/>
              <w:rPr>
                <w:rFonts w:eastAsia="楷体_GB2312"/>
                <w:color w:val="000000"/>
                <w:kern w:val="0"/>
                <w:szCs w:val="21"/>
              </w:rPr>
            </w:pPr>
            <w:r>
              <w:rPr>
                <w:rFonts w:eastAsia="楷体_GB2312"/>
                <w:color w:val="000000"/>
                <w:kern w:val="0"/>
                <w:szCs w:val="21"/>
              </w:rPr>
              <w:t>205</w:t>
            </w:r>
          </w:p>
        </w:tc>
      </w:tr>
      <w:tr w14:paraId="45548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72DAB43A">
            <w:pPr>
              <w:jc w:val="center"/>
              <w:rPr>
                <w:rFonts w:eastAsia="楷体_GB2312"/>
                <w:color w:val="000000"/>
                <w:kern w:val="0"/>
                <w:szCs w:val="21"/>
              </w:rPr>
            </w:pPr>
          </w:p>
        </w:tc>
        <w:tc>
          <w:tcPr>
            <w:tcW w:w="0" w:type="auto"/>
            <w:vMerge w:val="continue"/>
            <w:noWrap w:val="0"/>
            <w:vAlign w:val="center"/>
          </w:tcPr>
          <w:p w14:paraId="5067F9E3">
            <w:pPr>
              <w:jc w:val="center"/>
              <w:rPr>
                <w:rFonts w:eastAsia="楷体_GB2312"/>
                <w:color w:val="000000"/>
                <w:kern w:val="0"/>
                <w:szCs w:val="21"/>
              </w:rPr>
            </w:pPr>
          </w:p>
        </w:tc>
        <w:tc>
          <w:tcPr>
            <w:tcW w:w="0" w:type="auto"/>
            <w:noWrap w:val="0"/>
            <w:vAlign w:val="top"/>
          </w:tcPr>
          <w:p w14:paraId="0A2B4303">
            <w:pPr>
              <w:jc w:val="center"/>
              <w:rPr>
                <w:rFonts w:eastAsia="楷体_GB2312"/>
                <w:color w:val="000000"/>
                <w:kern w:val="0"/>
                <w:szCs w:val="21"/>
              </w:rPr>
            </w:pPr>
            <w:r>
              <w:rPr>
                <w:rFonts w:hint="eastAsia" w:eastAsia="楷体_GB2312"/>
                <w:color w:val="000000"/>
                <w:kern w:val="0"/>
                <w:szCs w:val="21"/>
              </w:rPr>
              <w:t>3</w:t>
            </w:r>
          </w:p>
        </w:tc>
        <w:tc>
          <w:tcPr>
            <w:tcW w:w="0" w:type="auto"/>
            <w:noWrap/>
            <w:vAlign w:val="center"/>
          </w:tcPr>
          <w:p w14:paraId="5E994C32">
            <w:pPr>
              <w:jc w:val="center"/>
              <w:rPr>
                <w:rFonts w:eastAsia="楷体_GB2312"/>
                <w:color w:val="000000"/>
                <w:kern w:val="0"/>
                <w:szCs w:val="21"/>
              </w:rPr>
            </w:pPr>
            <w:r>
              <w:rPr>
                <w:rFonts w:eastAsia="楷体_GB2312"/>
                <w:color w:val="000000"/>
                <w:kern w:val="0"/>
                <w:szCs w:val="21"/>
              </w:rPr>
              <w:t>280</w:t>
            </w:r>
          </w:p>
        </w:tc>
        <w:tc>
          <w:tcPr>
            <w:tcW w:w="0" w:type="auto"/>
            <w:noWrap/>
            <w:vAlign w:val="center"/>
          </w:tcPr>
          <w:p w14:paraId="1E49C62F">
            <w:pPr>
              <w:jc w:val="center"/>
              <w:rPr>
                <w:rFonts w:eastAsia="楷体_GB2312"/>
                <w:color w:val="000000"/>
                <w:kern w:val="0"/>
                <w:szCs w:val="21"/>
              </w:rPr>
            </w:pPr>
            <w:r>
              <w:rPr>
                <w:rFonts w:eastAsia="楷体_GB2312"/>
                <w:color w:val="000000"/>
                <w:kern w:val="0"/>
                <w:szCs w:val="21"/>
              </w:rPr>
              <w:t>200</w:t>
            </w:r>
          </w:p>
        </w:tc>
        <w:tc>
          <w:tcPr>
            <w:tcW w:w="0" w:type="auto"/>
            <w:noWrap/>
            <w:vAlign w:val="center"/>
          </w:tcPr>
          <w:p w14:paraId="0EFF9612">
            <w:pPr>
              <w:jc w:val="center"/>
              <w:rPr>
                <w:rFonts w:eastAsia="楷体_GB2312"/>
                <w:color w:val="000000"/>
                <w:kern w:val="0"/>
                <w:szCs w:val="21"/>
              </w:rPr>
            </w:pPr>
            <w:r>
              <w:rPr>
                <w:rFonts w:eastAsia="楷体_GB2312"/>
                <w:color w:val="000000"/>
                <w:kern w:val="0"/>
                <w:szCs w:val="21"/>
              </w:rPr>
              <w:t>144</w:t>
            </w:r>
          </w:p>
        </w:tc>
        <w:tc>
          <w:tcPr>
            <w:tcW w:w="0" w:type="auto"/>
            <w:noWrap/>
            <w:vAlign w:val="center"/>
          </w:tcPr>
          <w:p w14:paraId="0EEB6B00">
            <w:pPr>
              <w:jc w:val="center"/>
              <w:rPr>
                <w:rFonts w:eastAsia="楷体_GB2312"/>
                <w:kern w:val="0"/>
                <w:szCs w:val="21"/>
              </w:rPr>
            </w:pPr>
            <w:r>
              <w:rPr>
                <w:rFonts w:eastAsia="楷体_GB2312"/>
                <w:kern w:val="0"/>
                <w:szCs w:val="21"/>
              </w:rPr>
              <w:t>190</w:t>
            </w:r>
          </w:p>
        </w:tc>
        <w:tc>
          <w:tcPr>
            <w:tcW w:w="0" w:type="auto"/>
            <w:noWrap/>
            <w:vAlign w:val="center"/>
          </w:tcPr>
          <w:p w14:paraId="331BAEA7">
            <w:pPr>
              <w:jc w:val="center"/>
              <w:rPr>
                <w:rFonts w:eastAsia="楷体_GB2312"/>
                <w:kern w:val="0"/>
                <w:szCs w:val="21"/>
              </w:rPr>
            </w:pPr>
            <w:r>
              <w:rPr>
                <w:rFonts w:eastAsia="楷体_GB2312"/>
                <w:kern w:val="0"/>
                <w:szCs w:val="21"/>
              </w:rPr>
              <w:t>185</w:t>
            </w:r>
          </w:p>
        </w:tc>
        <w:tc>
          <w:tcPr>
            <w:tcW w:w="0" w:type="auto"/>
            <w:noWrap/>
            <w:vAlign w:val="center"/>
          </w:tcPr>
          <w:p w14:paraId="1C36A707">
            <w:pPr>
              <w:jc w:val="center"/>
              <w:rPr>
                <w:rFonts w:eastAsia="楷体_GB2312"/>
                <w:kern w:val="0"/>
                <w:szCs w:val="21"/>
              </w:rPr>
            </w:pPr>
            <w:r>
              <w:rPr>
                <w:rFonts w:eastAsia="楷体_GB2312"/>
                <w:kern w:val="0"/>
                <w:szCs w:val="21"/>
              </w:rPr>
              <w:t>180</w:t>
            </w:r>
          </w:p>
        </w:tc>
        <w:tc>
          <w:tcPr>
            <w:tcW w:w="0" w:type="auto"/>
            <w:noWrap/>
            <w:vAlign w:val="center"/>
          </w:tcPr>
          <w:p w14:paraId="204D8AD1">
            <w:pPr>
              <w:jc w:val="center"/>
              <w:rPr>
                <w:rFonts w:eastAsia="楷体_GB2312"/>
                <w:kern w:val="0"/>
                <w:szCs w:val="21"/>
              </w:rPr>
            </w:pPr>
            <w:r>
              <w:rPr>
                <w:rFonts w:eastAsia="楷体_GB2312"/>
                <w:kern w:val="0"/>
                <w:szCs w:val="21"/>
              </w:rPr>
              <w:t>175</w:t>
            </w:r>
          </w:p>
        </w:tc>
        <w:tc>
          <w:tcPr>
            <w:tcW w:w="0" w:type="auto"/>
            <w:noWrap/>
            <w:vAlign w:val="center"/>
          </w:tcPr>
          <w:p w14:paraId="3AE67F24">
            <w:pPr>
              <w:jc w:val="center"/>
              <w:rPr>
                <w:rFonts w:eastAsia="楷体_GB2312"/>
                <w:kern w:val="0"/>
                <w:szCs w:val="21"/>
              </w:rPr>
            </w:pPr>
            <w:r>
              <w:rPr>
                <w:rFonts w:eastAsia="楷体_GB2312"/>
                <w:kern w:val="0"/>
                <w:szCs w:val="21"/>
              </w:rPr>
              <w:t>170</w:t>
            </w:r>
          </w:p>
        </w:tc>
        <w:tc>
          <w:tcPr>
            <w:tcW w:w="0" w:type="auto"/>
            <w:noWrap/>
            <w:vAlign w:val="center"/>
          </w:tcPr>
          <w:p w14:paraId="6EB7616A">
            <w:pPr>
              <w:jc w:val="center"/>
              <w:rPr>
                <w:rFonts w:eastAsia="楷体_GB2312"/>
                <w:kern w:val="0"/>
                <w:szCs w:val="21"/>
              </w:rPr>
            </w:pPr>
            <w:r>
              <w:rPr>
                <w:rFonts w:eastAsia="楷体_GB2312"/>
                <w:kern w:val="0"/>
                <w:szCs w:val="21"/>
              </w:rPr>
              <w:t>165</w:t>
            </w:r>
          </w:p>
        </w:tc>
      </w:tr>
      <w:tr w14:paraId="6A5D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ign w:val="center"/>
          </w:tcPr>
          <w:p w14:paraId="19923368">
            <w:pPr>
              <w:jc w:val="center"/>
              <w:rPr>
                <w:rFonts w:eastAsia="楷体_GB2312"/>
                <w:color w:val="000000"/>
                <w:kern w:val="0"/>
                <w:szCs w:val="21"/>
              </w:rPr>
            </w:pPr>
            <w:r>
              <w:rPr>
                <w:rFonts w:eastAsia="楷体_GB2312"/>
                <w:color w:val="000000"/>
                <w:kern w:val="0"/>
                <w:szCs w:val="21"/>
              </w:rPr>
              <w:t>17</w:t>
            </w:r>
          </w:p>
        </w:tc>
        <w:tc>
          <w:tcPr>
            <w:tcW w:w="0" w:type="auto"/>
            <w:vMerge w:val="restart"/>
            <w:noWrap/>
            <w:vAlign w:val="center"/>
          </w:tcPr>
          <w:p w14:paraId="1273AC65">
            <w:pPr>
              <w:jc w:val="center"/>
              <w:rPr>
                <w:rFonts w:eastAsia="楷体_GB2312"/>
                <w:color w:val="000000"/>
                <w:kern w:val="0"/>
                <w:szCs w:val="21"/>
              </w:rPr>
            </w:pPr>
            <w:r>
              <w:rPr>
                <w:rFonts w:eastAsia="楷体_GB2312"/>
                <w:color w:val="000000"/>
                <w:kern w:val="0"/>
                <w:szCs w:val="21"/>
              </w:rPr>
              <w:t>解集镇</w:t>
            </w:r>
          </w:p>
        </w:tc>
        <w:tc>
          <w:tcPr>
            <w:tcW w:w="0" w:type="auto"/>
            <w:noWrap w:val="0"/>
            <w:vAlign w:val="top"/>
          </w:tcPr>
          <w:p w14:paraId="064BBF24">
            <w:pPr>
              <w:jc w:val="center"/>
              <w:rPr>
                <w:rFonts w:eastAsia="楷体_GB2312"/>
                <w:color w:val="000000"/>
                <w:kern w:val="0"/>
                <w:szCs w:val="21"/>
              </w:rPr>
            </w:pPr>
            <w:r>
              <w:rPr>
                <w:rFonts w:hint="eastAsia" w:eastAsia="楷体_GB2312"/>
                <w:color w:val="000000"/>
                <w:kern w:val="0"/>
                <w:szCs w:val="21"/>
              </w:rPr>
              <w:t>1</w:t>
            </w:r>
          </w:p>
        </w:tc>
        <w:tc>
          <w:tcPr>
            <w:tcW w:w="0" w:type="auto"/>
            <w:noWrap/>
            <w:vAlign w:val="center"/>
          </w:tcPr>
          <w:p w14:paraId="5FDFF162">
            <w:pPr>
              <w:jc w:val="center"/>
              <w:rPr>
                <w:rFonts w:eastAsia="楷体_GB2312"/>
                <w:color w:val="000000"/>
                <w:kern w:val="0"/>
                <w:szCs w:val="21"/>
              </w:rPr>
            </w:pPr>
            <w:r>
              <w:rPr>
                <w:rFonts w:eastAsia="楷体_GB2312"/>
                <w:color w:val="000000"/>
                <w:kern w:val="0"/>
                <w:szCs w:val="21"/>
              </w:rPr>
              <w:t>435</w:t>
            </w:r>
          </w:p>
        </w:tc>
        <w:tc>
          <w:tcPr>
            <w:tcW w:w="0" w:type="auto"/>
            <w:noWrap/>
            <w:vAlign w:val="center"/>
          </w:tcPr>
          <w:p w14:paraId="2C08EE06">
            <w:pPr>
              <w:jc w:val="center"/>
              <w:rPr>
                <w:rFonts w:eastAsia="楷体_GB2312"/>
                <w:color w:val="000000"/>
                <w:kern w:val="0"/>
                <w:szCs w:val="21"/>
              </w:rPr>
            </w:pPr>
            <w:r>
              <w:rPr>
                <w:rFonts w:eastAsia="楷体_GB2312"/>
                <w:color w:val="000000"/>
                <w:kern w:val="0"/>
                <w:szCs w:val="21"/>
              </w:rPr>
              <w:t>335</w:t>
            </w:r>
          </w:p>
        </w:tc>
        <w:tc>
          <w:tcPr>
            <w:tcW w:w="0" w:type="auto"/>
            <w:noWrap/>
            <w:vAlign w:val="center"/>
          </w:tcPr>
          <w:p w14:paraId="57159D0C">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66CCB7AA">
            <w:pPr>
              <w:jc w:val="center"/>
              <w:rPr>
                <w:rFonts w:eastAsia="楷体_GB2312"/>
                <w:kern w:val="0"/>
                <w:szCs w:val="21"/>
              </w:rPr>
            </w:pPr>
            <w:r>
              <w:rPr>
                <w:rFonts w:eastAsia="楷体_GB2312"/>
                <w:kern w:val="0"/>
                <w:szCs w:val="21"/>
              </w:rPr>
              <w:t>310</w:t>
            </w:r>
          </w:p>
        </w:tc>
        <w:tc>
          <w:tcPr>
            <w:tcW w:w="0" w:type="auto"/>
            <w:noWrap/>
            <w:vAlign w:val="center"/>
          </w:tcPr>
          <w:p w14:paraId="30D73034">
            <w:pPr>
              <w:jc w:val="center"/>
              <w:rPr>
                <w:rFonts w:eastAsia="楷体_GB2312"/>
                <w:kern w:val="0"/>
                <w:szCs w:val="21"/>
              </w:rPr>
            </w:pPr>
            <w:r>
              <w:rPr>
                <w:rFonts w:eastAsia="楷体_GB2312"/>
                <w:kern w:val="0"/>
                <w:szCs w:val="21"/>
              </w:rPr>
              <w:t>290</w:t>
            </w:r>
          </w:p>
        </w:tc>
        <w:tc>
          <w:tcPr>
            <w:tcW w:w="0" w:type="auto"/>
            <w:noWrap/>
            <w:vAlign w:val="center"/>
          </w:tcPr>
          <w:p w14:paraId="7A2801EC">
            <w:pPr>
              <w:jc w:val="center"/>
              <w:rPr>
                <w:rFonts w:eastAsia="楷体_GB2312"/>
                <w:kern w:val="0"/>
                <w:szCs w:val="21"/>
              </w:rPr>
            </w:pPr>
            <w:r>
              <w:rPr>
                <w:rFonts w:eastAsia="楷体_GB2312"/>
                <w:kern w:val="0"/>
                <w:szCs w:val="21"/>
              </w:rPr>
              <w:t>280</w:t>
            </w:r>
          </w:p>
        </w:tc>
        <w:tc>
          <w:tcPr>
            <w:tcW w:w="0" w:type="auto"/>
            <w:noWrap/>
            <w:vAlign w:val="center"/>
          </w:tcPr>
          <w:p w14:paraId="75138619">
            <w:pPr>
              <w:jc w:val="center"/>
              <w:rPr>
                <w:rFonts w:eastAsia="楷体_GB2312"/>
                <w:kern w:val="0"/>
                <w:szCs w:val="21"/>
              </w:rPr>
            </w:pPr>
            <w:r>
              <w:rPr>
                <w:rFonts w:eastAsia="楷体_GB2312"/>
                <w:kern w:val="0"/>
                <w:szCs w:val="21"/>
              </w:rPr>
              <w:t>270</w:t>
            </w:r>
          </w:p>
        </w:tc>
        <w:tc>
          <w:tcPr>
            <w:tcW w:w="0" w:type="auto"/>
            <w:noWrap/>
            <w:vAlign w:val="center"/>
          </w:tcPr>
          <w:p w14:paraId="3FE01CA4">
            <w:pPr>
              <w:jc w:val="center"/>
              <w:rPr>
                <w:rFonts w:eastAsia="楷体_GB2312"/>
                <w:kern w:val="0"/>
                <w:szCs w:val="21"/>
              </w:rPr>
            </w:pPr>
            <w:r>
              <w:rPr>
                <w:rFonts w:eastAsia="楷体_GB2312"/>
                <w:kern w:val="0"/>
                <w:szCs w:val="21"/>
              </w:rPr>
              <w:t>260</w:t>
            </w:r>
          </w:p>
        </w:tc>
        <w:tc>
          <w:tcPr>
            <w:tcW w:w="0" w:type="auto"/>
            <w:noWrap/>
            <w:vAlign w:val="center"/>
          </w:tcPr>
          <w:p w14:paraId="11E56ABA">
            <w:pPr>
              <w:jc w:val="center"/>
              <w:rPr>
                <w:rFonts w:eastAsia="楷体_GB2312"/>
                <w:kern w:val="0"/>
                <w:szCs w:val="21"/>
              </w:rPr>
            </w:pPr>
            <w:r>
              <w:rPr>
                <w:rFonts w:eastAsia="楷体_GB2312"/>
                <w:kern w:val="0"/>
                <w:szCs w:val="21"/>
              </w:rPr>
              <w:t>240</w:t>
            </w:r>
          </w:p>
        </w:tc>
      </w:tr>
      <w:tr w14:paraId="5204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2FF1C5E6">
            <w:pPr>
              <w:jc w:val="center"/>
              <w:rPr>
                <w:rFonts w:eastAsia="楷体_GB2312"/>
                <w:color w:val="000000"/>
                <w:kern w:val="0"/>
                <w:szCs w:val="21"/>
              </w:rPr>
            </w:pPr>
          </w:p>
        </w:tc>
        <w:tc>
          <w:tcPr>
            <w:tcW w:w="0" w:type="auto"/>
            <w:vMerge w:val="continue"/>
            <w:noWrap w:val="0"/>
            <w:vAlign w:val="center"/>
          </w:tcPr>
          <w:p w14:paraId="78356C0D">
            <w:pPr>
              <w:jc w:val="center"/>
              <w:rPr>
                <w:rFonts w:eastAsia="楷体_GB2312"/>
                <w:color w:val="000000"/>
                <w:kern w:val="0"/>
                <w:szCs w:val="21"/>
              </w:rPr>
            </w:pPr>
          </w:p>
        </w:tc>
        <w:tc>
          <w:tcPr>
            <w:tcW w:w="0" w:type="auto"/>
            <w:noWrap w:val="0"/>
            <w:vAlign w:val="top"/>
          </w:tcPr>
          <w:p w14:paraId="17C05859">
            <w:pPr>
              <w:jc w:val="center"/>
              <w:rPr>
                <w:rFonts w:eastAsia="楷体_GB2312"/>
                <w:color w:val="000000"/>
                <w:kern w:val="0"/>
                <w:szCs w:val="21"/>
              </w:rPr>
            </w:pPr>
            <w:r>
              <w:rPr>
                <w:rFonts w:hint="eastAsia" w:eastAsia="楷体_GB2312"/>
                <w:color w:val="000000"/>
                <w:kern w:val="0"/>
                <w:szCs w:val="21"/>
              </w:rPr>
              <w:t>2</w:t>
            </w:r>
          </w:p>
        </w:tc>
        <w:tc>
          <w:tcPr>
            <w:tcW w:w="0" w:type="auto"/>
            <w:noWrap/>
            <w:vAlign w:val="center"/>
          </w:tcPr>
          <w:p w14:paraId="4EE19A73">
            <w:pPr>
              <w:jc w:val="center"/>
              <w:rPr>
                <w:rFonts w:eastAsia="楷体_GB2312"/>
                <w:color w:val="000000"/>
                <w:kern w:val="0"/>
                <w:szCs w:val="21"/>
              </w:rPr>
            </w:pPr>
            <w:r>
              <w:rPr>
                <w:rFonts w:eastAsia="楷体_GB2312"/>
                <w:color w:val="000000"/>
                <w:kern w:val="0"/>
                <w:szCs w:val="21"/>
              </w:rPr>
              <w:t>345</w:t>
            </w:r>
          </w:p>
        </w:tc>
        <w:tc>
          <w:tcPr>
            <w:tcW w:w="0" w:type="auto"/>
            <w:noWrap/>
            <w:vAlign w:val="center"/>
          </w:tcPr>
          <w:p w14:paraId="25A5864C">
            <w:pPr>
              <w:jc w:val="center"/>
              <w:rPr>
                <w:rFonts w:eastAsia="楷体_GB2312"/>
                <w:color w:val="000000"/>
                <w:kern w:val="0"/>
                <w:szCs w:val="21"/>
              </w:rPr>
            </w:pPr>
            <w:r>
              <w:rPr>
                <w:rFonts w:eastAsia="楷体_GB2312"/>
                <w:color w:val="000000"/>
                <w:kern w:val="0"/>
                <w:szCs w:val="21"/>
              </w:rPr>
              <w:t>255</w:t>
            </w:r>
          </w:p>
        </w:tc>
        <w:tc>
          <w:tcPr>
            <w:tcW w:w="0" w:type="auto"/>
            <w:noWrap/>
            <w:vAlign w:val="center"/>
          </w:tcPr>
          <w:p w14:paraId="3DD10B0D">
            <w:pPr>
              <w:jc w:val="center"/>
              <w:rPr>
                <w:rFonts w:eastAsia="楷体_GB2312"/>
                <w:color w:val="000000"/>
                <w:kern w:val="0"/>
                <w:szCs w:val="21"/>
              </w:rPr>
            </w:pPr>
            <w:r>
              <w:rPr>
                <w:rFonts w:eastAsia="楷体_GB2312"/>
                <w:color w:val="000000"/>
                <w:kern w:val="0"/>
                <w:szCs w:val="21"/>
              </w:rPr>
              <w:t>155</w:t>
            </w:r>
          </w:p>
        </w:tc>
        <w:tc>
          <w:tcPr>
            <w:tcW w:w="0" w:type="auto"/>
            <w:noWrap/>
            <w:vAlign w:val="center"/>
          </w:tcPr>
          <w:p w14:paraId="01E08781">
            <w:pPr>
              <w:jc w:val="center"/>
              <w:rPr>
                <w:rFonts w:eastAsia="楷体_GB2312"/>
                <w:color w:val="000000"/>
                <w:kern w:val="0"/>
                <w:szCs w:val="21"/>
              </w:rPr>
            </w:pPr>
            <w:r>
              <w:rPr>
                <w:rFonts w:eastAsia="楷体_GB2312"/>
                <w:color w:val="000000"/>
                <w:kern w:val="0"/>
                <w:szCs w:val="21"/>
              </w:rPr>
              <w:t>245</w:t>
            </w:r>
          </w:p>
        </w:tc>
        <w:tc>
          <w:tcPr>
            <w:tcW w:w="0" w:type="auto"/>
            <w:noWrap/>
            <w:vAlign w:val="center"/>
          </w:tcPr>
          <w:p w14:paraId="56755583">
            <w:pPr>
              <w:jc w:val="center"/>
              <w:rPr>
                <w:rFonts w:eastAsia="楷体_GB2312"/>
                <w:color w:val="000000"/>
                <w:kern w:val="0"/>
                <w:szCs w:val="21"/>
              </w:rPr>
            </w:pPr>
            <w:r>
              <w:rPr>
                <w:rFonts w:eastAsia="楷体_GB2312"/>
                <w:color w:val="000000"/>
                <w:kern w:val="0"/>
                <w:szCs w:val="21"/>
              </w:rPr>
              <w:t>235</w:t>
            </w:r>
          </w:p>
        </w:tc>
        <w:tc>
          <w:tcPr>
            <w:tcW w:w="0" w:type="auto"/>
            <w:noWrap/>
            <w:vAlign w:val="center"/>
          </w:tcPr>
          <w:p w14:paraId="11A546C0">
            <w:pPr>
              <w:jc w:val="center"/>
              <w:rPr>
                <w:rFonts w:eastAsia="楷体_GB2312"/>
                <w:color w:val="000000"/>
                <w:kern w:val="0"/>
                <w:szCs w:val="21"/>
              </w:rPr>
            </w:pPr>
            <w:r>
              <w:rPr>
                <w:rFonts w:eastAsia="楷体_GB2312"/>
                <w:color w:val="000000"/>
                <w:kern w:val="0"/>
                <w:szCs w:val="21"/>
              </w:rPr>
              <w:t>225</w:t>
            </w:r>
          </w:p>
        </w:tc>
        <w:tc>
          <w:tcPr>
            <w:tcW w:w="0" w:type="auto"/>
            <w:noWrap/>
            <w:vAlign w:val="center"/>
          </w:tcPr>
          <w:p w14:paraId="439D925B">
            <w:pPr>
              <w:jc w:val="center"/>
              <w:rPr>
                <w:rFonts w:eastAsia="楷体_GB2312"/>
                <w:color w:val="000000"/>
                <w:kern w:val="0"/>
                <w:szCs w:val="21"/>
              </w:rPr>
            </w:pPr>
            <w:r>
              <w:rPr>
                <w:rFonts w:eastAsia="楷体_GB2312"/>
                <w:color w:val="000000"/>
                <w:kern w:val="0"/>
                <w:szCs w:val="21"/>
              </w:rPr>
              <w:t>220</w:t>
            </w:r>
          </w:p>
        </w:tc>
        <w:tc>
          <w:tcPr>
            <w:tcW w:w="0" w:type="auto"/>
            <w:noWrap/>
            <w:vAlign w:val="center"/>
          </w:tcPr>
          <w:p w14:paraId="453C1270">
            <w:pPr>
              <w:jc w:val="center"/>
              <w:rPr>
                <w:rFonts w:eastAsia="楷体_GB2312"/>
                <w:color w:val="000000"/>
                <w:kern w:val="0"/>
                <w:szCs w:val="21"/>
              </w:rPr>
            </w:pPr>
            <w:r>
              <w:rPr>
                <w:rFonts w:eastAsia="楷体_GB2312"/>
                <w:color w:val="000000"/>
                <w:kern w:val="0"/>
                <w:szCs w:val="21"/>
              </w:rPr>
              <w:t>215</w:t>
            </w:r>
          </w:p>
        </w:tc>
        <w:tc>
          <w:tcPr>
            <w:tcW w:w="0" w:type="auto"/>
            <w:noWrap/>
            <w:vAlign w:val="center"/>
          </w:tcPr>
          <w:p w14:paraId="1A79503D">
            <w:pPr>
              <w:jc w:val="center"/>
              <w:rPr>
                <w:rFonts w:eastAsia="楷体_GB2312"/>
                <w:color w:val="000000"/>
                <w:kern w:val="0"/>
                <w:szCs w:val="21"/>
              </w:rPr>
            </w:pPr>
            <w:r>
              <w:rPr>
                <w:rFonts w:eastAsia="楷体_GB2312"/>
                <w:color w:val="000000"/>
                <w:kern w:val="0"/>
                <w:szCs w:val="21"/>
              </w:rPr>
              <w:t>205</w:t>
            </w:r>
          </w:p>
        </w:tc>
      </w:tr>
      <w:tr w14:paraId="1A036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4865E9A0">
            <w:pPr>
              <w:jc w:val="center"/>
              <w:rPr>
                <w:rFonts w:eastAsia="楷体_GB2312"/>
                <w:color w:val="000000"/>
                <w:kern w:val="0"/>
                <w:szCs w:val="21"/>
              </w:rPr>
            </w:pPr>
          </w:p>
        </w:tc>
        <w:tc>
          <w:tcPr>
            <w:tcW w:w="0" w:type="auto"/>
            <w:vMerge w:val="continue"/>
            <w:noWrap w:val="0"/>
            <w:vAlign w:val="center"/>
          </w:tcPr>
          <w:p w14:paraId="296BE789">
            <w:pPr>
              <w:jc w:val="center"/>
              <w:rPr>
                <w:rFonts w:eastAsia="楷体_GB2312"/>
                <w:color w:val="000000"/>
                <w:kern w:val="0"/>
                <w:szCs w:val="21"/>
              </w:rPr>
            </w:pPr>
          </w:p>
        </w:tc>
        <w:tc>
          <w:tcPr>
            <w:tcW w:w="0" w:type="auto"/>
            <w:noWrap w:val="0"/>
            <w:vAlign w:val="top"/>
          </w:tcPr>
          <w:p w14:paraId="02EC8D7C">
            <w:pPr>
              <w:jc w:val="center"/>
              <w:rPr>
                <w:rFonts w:eastAsia="楷体_GB2312"/>
                <w:color w:val="000000"/>
                <w:kern w:val="0"/>
                <w:szCs w:val="21"/>
              </w:rPr>
            </w:pPr>
            <w:r>
              <w:rPr>
                <w:rFonts w:hint="eastAsia" w:eastAsia="楷体_GB2312"/>
                <w:color w:val="000000"/>
                <w:kern w:val="0"/>
                <w:szCs w:val="21"/>
              </w:rPr>
              <w:t>3</w:t>
            </w:r>
          </w:p>
        </w:tc>
        <w:tc>
          <w:tcPr>
            <w:tcW w:w="0" w:type="auto"/>
            <w:noWrap/>
            <w:vAlign w:val="center"/>
          </w:tcPr>
          <w:p w14:paraId="549BE9A5">
            <w:pPr>
              <w:jc w:val="center"/>
              <w:rPr>
                <w:rFonts w:eastAsia="楷体_GB2312"/>
                <w:color w:val="000000"/>
                <w:kern w:val="0"/>
                <w:szCs w:val="21"/>
              </w:rPr>
            </w:pPr>
            <w:r>
              <w:rPr>
                <w:rFonts w:eastAsia="楷体_GB2312"/>
                <w:color w:val="000000"/>
                <w:kern w:val="0"/>
                <w:szCs w:val="21"/>
              </w:rPr>
              <w:t>265</w:t>
            </w:r>
          </w:p>
        </w:tc>
        <w:tc>
          <w:tcPr>
            <w:tcW w:w="0" w:type="auto"/>
            <w:noWrap/>
            <w:vAlign w:val="center"/>
          </w:tcPr>
          <w:p w14:paraId="0CDA5ED0">
            <w:pPr>
              <w:jc w:val="center"/>
              <w:rPr>
                <w:rFonts w:eastAsia="楷体_GB2312"/>
                <w:color w:val="000000"/>
                <w:kern w:val="0"/>
                <w:szCs w:val="21"/>
              </w:rPr>
            </w:pPr>
            <w:r>
              <w:rPr>
                <w:rFonts w:eastAsia="楷体_GB2312"/>
                <w:color w:val="000000"/>
                <w:kern w:val="0"/>
                <w:szCs w:val="21"/>
              </w:rPr>
              <w:t>195</w:t>
            </w:r>
          </w:p>
        </w:tc>
        <w:tc>
          <w:tcPr>
            <w:tcW w:w="0" w:type="auto"/>
            <w:noWrap/>
            <w:vAlign w:val="center"/>
          </w:tcPr>
          <w:p w14:paraId="12EA2D1C">
            <w:pPr>
              <w:jc w:val="center"/>
              <w:rPr>
                <w:rFonts w:eastAsia="楷体_GB2312"/>
                <w:color w:val="000000"/>
                <w:kern w:val="0"/>
                <w:szCs w:val="21"/>
              </w:rPr>
            </w:pPr>
            <w:r>
              <w:rPr>
                <w:rFonts w:eastAsia="楷体_GB2312"/>
                <w:color w:val="000000"/>
                <w:kern w:val="0"/>
                <w:szCs w:val="21"/>
              </w:rPr>
              <w:t>144</w:t>
            </w:r>
          </w:p>
        </w:tc>
        <w:tc>
          <w:tcPr>
            <w:tcW w:w="0" w:type="auto"/>
            <w:noWrap/>
            <w:vAlign w:val="center"/>
          </w:tcPr>
          <w:p w14:paraId="0A829A74">
            <w:pPr>
              <w:jc w:val="center"/>
              <w:rPr>
                <w:rFonts w:eastAsia="楷体_GB2312"/>
                <w:color w:val="000000"/>
                <w:kern w:val="0"/>
                <w:szCs w:val="21"/>
              </w:rPr>
            </w:pPr>
            <w:r>
              <w:rPr>
                <w:rFonts w:eastAsia="楷体_GB2312"/>
                <w:color w:val="000000"/>
                <w:kern w:val="0"/>
                <w:szCs w:val="21"/>
              </w:rPr>
              <w:t>185</w:t>
            </w:r>
          </w:p>
        </w:tc>
        <w:tc>
          <w:tcPr>
            <w:tcW w:w="0" w:type="auto"/>
            <w:noWrap/>
            <w:vAlign w:val="center"/>
          </w:tcPr>
          <w:p w14:paraId="062F31FC">
            <w:pPr>
              <w:jc w:val="center"/>
              <w:rPr>
                <w:rFonts w:eastAsia="楷体_GB2312"/>
                <w:color w:val="000000"/>
                <w:kern w:val="0"/>
                <w:szCs w:val="21"/>
              </w:rPr>
            </w:pPr>
            <w:r>
              <w:rPr>
                <w:rFonts w:eastAsia="楷体_GB2312"/>
                <w:color w:val="000000"/>
                <w:kern w:val="0"/>
                <w:szCs w:val="21"/>
              </w:rPr>
              <w:t>180</w:t>
            </w:r>
          </w:p>
        </w:tc>
        <w:tc>
          <w:tcPr>
            <w:tcW w:w="0" w:type="auto"/>
            <w:noWrap/>
            <w:vAlign w:val="center"/>
          </w:tcPr>
          <w:p w14:paraId="0D18BB50">
            <w:pPr>
              <w:jc w:val="center"/>
              <w:rPr>
                <w:rFonts w:eastAsia="楷体_GB2312"/>
                <w:color w:val="000000"/>
                <w:kern w:val="0"/>
                <w:szCs w:val="21"/>
              </w:rPr>
            </w:pPr>
            <w:r>
              <w:rPr>
                <w:rFonts w:eastAsia="楷体_GB2312"/>
                <w:color w:val="000000"/>
                <w:kern w:val="0"/>
                <w:szCs w:val="21"/>
              </w:rPr>
              <w:t>175</w:t>
            </w:r>
          </w:p>
        </w:tc>
        <w:tc>
          <w:tcPr>
            <w:tcW w:w="0" w:type="auto"/>
            <w:noWrap/>
            <w:vAlign w:val="center"/>
          </w:tcPr>
          <w:p w14:paraId="2CE8A21F">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5FF19479">
            <w:pPr>
              <w:jc w:val="center"/>
              <w:rPr>
                <w:rFonts w:eastAsia="楷体_GB2312"/>
                <w:color w:val="000000"/>
                <w:kern w:val="0"/>
                <w:szCs w:val="21"/>
              </w:rPr>
            </w:pPr>
            <w:r>
              <w:rPr>
                <w:rFonts w:eastAsia="楷体_GB2312"/>
                <w:color w:val="000000"/>
                <w:kern w:val="0"/>
                <w:szCs w:val="21"/>
              </w:rPr>
              <w:t>165</w:t>
            </w:r>
          </w:p>
        </w:tc>
        <w:tc>
          <w:tcPr>
            <w:tcW w:w="0" w:type="auto"/>
            <w:noWrap/>
            <w:vAlign w:val="center"/>
          </w:tcPr>
          <w:p w14:paraId="70848DF7">
            <w:pPr>
              <w:jc w:val="center"/>
              <w:rPr>
                <w:rFonts w:eastAsia="楷体_GB2312"/>
                <w:color w:val="000000"/>
                <w:kern w:val="0"/>
                <w:szCs w:val="21"/>
              </w:rPr>
            </w:pPr>
            <w:r>
              <w:rPr>
                <w:rFonts w:eastAsia="楷体_GB2312"/>
                <w:color w:val="000000"/>
                <w:kern w:val="0"/>
                <w:szCs w:val="21"/>
              </w:rPr>
              <w:t>160</w:t>
            </w:r>
          </w:p>
        </w:tc>
      </w:tr>
      <w:tr w14:paraId="01AC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ign w:val="center"/>
          </w:tcPr>
          <w:p w14:paraId="709235A4">
            <w:pPr>
              <w:jc w:val="center"/>
              <w:rPr>
                <w:rFonts w:eastAsia="楷体_GB2312"/>
                <w:color w:val="000000"/>
                <w:kern w:val="0"/>
                <w:szCs w:val="21"/>
              </w:rPr>
            </w:pPr>
            <w:r>
              <w:rPr>
                <w:rFonts w:eastAsia="楷体_GB2312"/>
                <w:color w:val="000000"/>
                <w:kern w:val="0"/>
                <w:szCs w:val="21"/>
              </w:rPr>
              <w:t>18</w:t>
            </w:r>
          </w:p>
        </w:tc>
        <w:tc>
          <w:tcPr>
            <w:tcW w:w="0" w:type="auto"/>
            <w:vMerge w:val="restart"/>
            <w:noWrap/>
            <w:vAlign w:val="center"/>
          </w:tcPr>
          <w:p w14:paraId="1C3CB7CE">
            <w:pPr>
              <w:jc w:val="center"/>
              <w:rPr>
                <w:rFonts w:eastAsia="楷体_GB2312"/>
                <w:color w:val="000000"/>
                <w:kern w:val="0"/>
                <w:szCs w:val="21"/>
              </w:rPr>
            </w:pPr>
            <w:r>
              <w:rPr>
                <w:rFonts w:eastAsia="楷体_GB2312"/>
                <w:color w:val="000000"/>
                <w:kern w:val="0"/>
                <w:szCs w:val="21"/>
              </w:rPr>
              <w:t>大泽乡镇</w:t>
            </w:r>
          </w:p>
        </w:tc>
        <w:tc>
          <w:tcPr>
            <w:tcW w:w="0" w:type="auto"/>
            <w:noWrap w:val="0"/>
            <w:vAlign w:val="top"/>
          </w:tcPr>
          <w:p w14:paraId="299B1AD0">
            <w:pPr>
              <w:jc w:val="center"/>
              <w:rPr>
                <w:rFonts w:eastAsia="楷体_GB2312"/>
                <w:color w:val="000000"/>
                <w:kern w:val="0"/>
                <w:szCs w:val="21"/>
              </w:rPr>
            </w:pPr>
            <w:r>
              <w:rPr>
                <w:rFonts w:hint="eastAsia" w:eastAsia="楷体_GB2312"/>
                <w:color w:val="000000"/>
                <w:kern w:val="0"/>
                <w:szCs w:val="21"/>
              </w:rPr>
              <w:t>1</w:t>
            </w:r>
          </w:p>
        </w:tc>
        <w:tc>
          <w:tcPr>
            <w:tcW w:w="0" w:type="auto"/>
            <w:noWrap/>
            <w:vAlign w:val="center"/>
          </w:tcPr>
          <w:p w14:paraId="015389FD">
            <w:pPr>
              <w:jc w:val="center"/>
              <w:rPr>
                <w:rFonts w:eastAsia="楷体_GB2312"/>
                <w:color w:val="000000"/>
                <w:kern w:val="0"/>
                <w:szCs w:val="21"/>
              </w:rPr>
            </w:pPr>
            <w:r>
              <w:rPr>
                <w:rFonts w:eastAsia="楷体_GB2312"/>
                <w:color w:val="000000"/>
                <w:kern w:val="0"/>
                <w:szCs w:val="21"/>
              </w:rPr>
              <w:t>435</w:t>
            </w:r>
          </w:p>
        </w:tc>
        <w:tc>
          <w:tcPr>
            <w:tcW w:w="0" w:type="auto"/>
            <w:noWrap/>
            <w:vAlign w:val="center"/>
          </w:tcPr>
          <w:p w14:paraId="191C4CA3">
            <w:pPr>
              <w:jc w:val="center"/>
              <w:rPr>
                <w:rFonts w:eastAsia="楷体_GB2312"/>
                <w:color w:val="000000"/>
                <w:kern w:val="0"/>
                <w:szCs w:val="21"/>
              </w:rPr>
            </w:pPr>
            <w:r>
              <w:rPr>
                <w:rFonts w:eastAsia="楷体_GB2312"/>
                <w:color w:val="000000"/>
                <w:kern w:val="0"/>
                <w:szCs w:val="21"/>
              </w:rPr>
              <w:t>320</w:t>
            </w:r>
          </w:p>
        </w:tc>
        <w:tc>
          <w:tcPr>
            <w:tcW w:w="0" w:type="auto"/>
            <w:noWrap/>
            <w:vAlign w:val="center"/>
          </w:tcPr>
          <w:p w14:paraId="4A55065C">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534C439C">
            <w:pPr>
              <w:jc w:val="center"/>
              <w:rPr>
                <w:rFonts w:eastAsia="楷体_GB2312"/>
                <w:color w:val="000000"/>
                <w:kern w:val="0"/>
                <w:szCs w:val="21"/>
              </w:rPr>
            </w:pPr>
            <w:r>
              <w:rPr>
                <w:rFonts w:eastAsia="楷体_GB2312"/>
                <w:color w:val="000000"/>
                <w:kern w:val="0"/>
                <w:szCs w:val="21"/>
              </w:rPr>
              <w:t>300</w:t>
            </w:r>
          </w:p>
        </w:tc>
        <w:tc>
          <w:tcPr>
            <w:tcW w:w="0" w:type="auto"/>
            <w:noWrap/>
            <w:vAlign w:val="center"/>
          </w:tcPr>
          <w:p w14:paraId="34DE1FE3">
            <w:pPr>
              <w:jc w:val="center"/>
              <w:rPr>
                <w:rFonts w:eastAsia="楷体_GB2312"/>
                <w:color w:val="000000"/>
                <w:kern w:val="0"/>
                <w:szCs w:val="21"/>
              </w:rPr>
            </w:pPr>
            <w:r>
              <w:rPr>
                <w:rFonts w:eastAsia="楷体_GB2312"/>
                <w:color w:val="000000"/>
                <w:kern w:val="0"/>
                <w:szCs w:val="21"/>
              </w:rPr>
              <w:t>280</w:t>
            </w:r>
          </w:p>
        </w:tc>
        <w:tc>
          <w:tcPr>
            <w:tcW w:w="0" w:type="auto"/>
            <w:noWrap/>
            <w:vAlign w:val="center"/>
          </w:tcPr>
          <w:p w14:paraId="3F4009BA">
            <w:pPr>
              <w:jc w:val="center"/>
              <w:rPr>
                <w:rFonts w:eastAsia="楷体_GB2312"/>
                <w:color w:val="000000"/>
                <w:kern w:val="0"/>
                <w:szCs w:val="21"/>
              </w:rPr>
            </w:pPr>
            <w:r>
              <w:rPr>
                <w:rFonts w:eastAsia="楷体_GB2312"/>
                <w:color w:val="000000"/>
                <w:kern w:val="0"/>
                <w:szCs w:val="21"/>
              </w:rPr>
              <w:t>270</w:t>
            </w:r>
          </w:p>
        </w:tc>
        <w:tc>
          <w:tcPr>
            <w:tcW w:w="0" w:type="auto"/>
            <w:noWrap/>
            <w:vAlign w:val="center"/>
          </w:tcPr>
          <w:p w14:paraId="77F15519">
            <w:pPr>
              <w:jc w:val="center"/>
              <w:rPr>
                <w:rFonts w:eastAsia="楷体_GB2312"/>
                <w:color w:val="000000"/>
                <w:kern w:val="0"/>
                <w:szCs w:val="21"/>
              </w:rPr>
            </w:pPr>
            <w:r>
              <w:rPr>
                <w:rFonts w:eastAsia="楷体_GB2312"/>
                <w:color w:val="000000"/>
                <w:kern w:val="0"/>
                <w:szCs w:val="21"/>
              </w:rPr>
              <w:t>260</w:t>
            </w:r>
          </w:p>
        </w:tc>
        <w:tc>
          <w:tcPr>
            <w:tcW w:w="0" w:type="auto"/>
            <w:noWrap/>
            <w:vAlign w:val="center"/>
          </w:tcPr>
          <w:p w14:paraId="54891804">
            <w:pPr>
              <w:jc w:val="center"/>
              <w:rPr>
                <w:rFonts w:eastAsia="楷体_GB2312"/>
                <w:color w:val="000000"/>
                <w:kern w:val="0"/>
                <w:szCs w:val="21"/>
              </w:rPr>
            </w:pPr>
            <w:r>
              <w:rPr>
                <w:rFonts w:eastAsia="楷体_GB2312"/>
                <w:color w:val="000000"/>
                <w:kern w:val="0"/>
                <w:szCs w:val="21"/>
              </w:rPr>
              <w:t>250</w:t>
            </w:r>
          </w:p>
        </w:tc>
        <w:tc>
          <w:tcPr>
            <w:tcW w:w="0" w:type="auto"/>
            <w:noWrap/>
            <w:vAlign w:val="center"/>
          </w:tcPr>
          <w:p w14:paraId="23E2251B">
            <w:pPr>
              <w:jc w:val="center"/>
              <w:rPr>
                <w:rFonts w:eastAsia="楷体_GB2312"/>
                <w:color w:val="000000"/>
                <w:kern w:val="0"/>
                <w:szCs w:val="21"/>
              </w:rPr>
            </w:pPr>
            <w:r>
              <w:rPr>
                <w:rFonts w:eastAsia="楷体_GB2312"/>
                <w:color w:val="000000"/>
                <w:kern w:val="0"/>
                <w:szCs w:val="21"/>
              </w:rPr>
              <w:t>230</w:t>
            </w:r>
          </w:p>
        </w:tc>
      </w:tr>
      <w:tr w14:paraId="2D016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5373B00F">
            <w:pPr>
              <w:jc w:val="center"/>
              <w:rPr>
                <w:rFonts w:eastAsia="楷体_GB2312"/>
                <w:color w:val="000000"/>
                <w:kern w:val="0"/>
                <w:szCs w:val="21"/>
              </w:rPr>
            </w:pPr>
          </w:p>
        </w:tc>
        <w:tc>
          <w:tcPr>
            <w:tcW w:w="0" w:type="auto"/>
            <w:vMerge w:val="continue"/>
            <w:noWrap w:val="0"/>
            <w:vAlign w:val="center"/>
          </w:tcPr>
          <w:p w14:paraId="393149FC">
            <w:pPr>
              <w:jc w:val="center"/>
              <w:rPr>
                <w:rFonts w:eastAsia="楷体_GB2312"/>
                <w:color w:val="000000"/>
                <w:kern w:val="0"/>
                <w:szCs w:val="21"/>
              </w:rPr>
            </w:pPr>
          </w:p>
        </w:tc>
        <w:tc>
          <w:tcPr>
            <w:tcW w:w="0" w:type="auto"/>
            <w:noWrap w:val="0"/>
            <w:vAlign w:val="top"/>
          </w:tcPr>
          <w:p w14:paraId="54F4EBCC">
            <w:pPr>
              <w:jc w:val="center"/>
              <w:rPr>
                <w:rFonts w:eastAsia="楷体_GB2312"/>
                <w:color w:val="000000"/>
                <w:kern w:val="0"/>
                <w:szCs w:val="21"/>
              </w:rPr>
            </w:pPr>
            <w:r>
              <w:rPr>
                <w:rFonts w:hint="eastAsia" w:eastAsia="楷体_GB2312"/>
                <w:color w:val="000000"/>
                <w:kern w:val="0"/>
                <w:szCs w:val="21"/>
              </w:rPr>
              <w:t>2</w:t>
            </w:r>
          </w:p>
        </w:tc>
        <w:tc>
          <w:tcPr>
            <w:tcW w:w="0" w:type="auto"/>
            <w:noWrap/>
            <w:vAlign w:val="center"/>
          </w:tcPr>
          <w:p w14:paraId="4CCEB494">
            <w:pPr>
              <w:jc w:val="center"/>
              <w:rPr>
                <w:rFonts w:eastAsia="楷体_GB2312"/>
                <w:color w:val="000000"/>
                <w:kern w:val="0"/>
                <w:szCs w:val="21"/>
              </w:rPr>
            </w:pPr>
            <w:r>
              <w:rPr>
                <w:rFonts w:eastAsia="楷体_GB2312"/>
                <w:color w:val="000000"/>
                <w:kern w:val="0"/>
                <w:szCs w:val="21"/>
              </w:rPr>
              <w:t>345</w:t>
            </w:r>
          </w:p>
        </w:tc>
        <w:tc>
          <w:tcPr>
            <w:tcW w:w="0" w:type="auto"/>
            <w:noWrap/>
            <w:vAlign w:val="center"/>
          </w:tcPr>
          <w:p w14:paraId="29947B3B">
            <w:pPr>
              <w:jc w:val="center"/>
              <w:rPr>
                <w:rFonts w:eastAsia="楷体_GB2312"/>
                <w:color w:val="000000"/>
                <w:kern w:val="0"/>
                <w:szCs w:val="21"/>
              </w:rPr>
            </w:pPr>
            <w:r>
              <w:rPr>
                <w:rFonts w:eastAsia="楷体_GB2312"/>
                <w:color w:val="000000"/>
                <w:kern w:val="0"/>
                <w:szCs w:val="21"/>
              </w:rPr>
              <w:t>250</w:t>
            </w:r>
          </w:p>
        </w:tc>
        <w:tc>
          <w:tcPr>
            <w:tcW w:w="0" w:type="auto"/>
            <w:noWrap/>
            <w:vAlign w:val="center"/>
          </w:tcPr>
          <w:p w14:paraId="3D499486">
            <w:pPr>
              <w:jc w:val="center"/>
              <w:rPr>
                <w:rFonts w:eastAsia="楷体_GB2312"/>
                <w:color w:val="000000"/>
                <w:kern w:val="0"/>
                <w:szCs w:val="21"/>
              </w:rPr>
            </w:pPr>
            <w:r>
              <w:rPr>
                <w:rFonts w:eastAsia="楷体_GB2312"/>
                <w:color w:val="000000"/>
                <w:kern w:val="0"/>
                <w:szCs w:val="21"/>
              </w:rPr>
              <w:t>155</w:t>
            </w:r>
          </w:p>
        </w:tc>
        <w:tc>
          <w:tcPr>
            <w:tcW w:w="0" w:type="auto"/>
            <w:noWrap/>
            <w:vAlign w:val="center"/>
          </w:tcPr>
          <w:p w14:paraId="02A6753C">
            <w:pPr>
              <w:jc w:val="center"/>
              <w:rPr>
                <w:rFonts w:eastAsia="楷体_GB2312"/>
                <w:kern w:val="0"/>
                <w:szCs w:val="21"/>
              </w:rPr>
            </w:pPr>
            <w:r>
              <w:rPr>
                <w:rFonts w:eastAsia="楷体_GB2312"/>
                <w:kern w:val="0"/>
                <w:szCs w:val="21"/>
              </w:rPr>
              <w:t>240</w:t>
            </w:r>
          </w:p>
        </w:tc>
        <w:tc>
          <w:tcPr>
            <w:tcW w:w="0" w:type="auto"/>
            <w:noWrap/>
            <w:vAlign w:val="center"/>
          </w:tcPr>
          <w:p w14:paraId="2E0E13AE">
            <w:pPr>
              <w:jc w:val="center"/>
              <w:rPr>
                <w:rFonts w:eastAsia="楷体_GB2312"/>
                <w:kern w:val="0"/>
                <w:szCs w:val="21"/>
              </w:rPr>
            </w:pPr>
            <w:r>
              <w:rPr>
                <w:rFonts w:eastAsia="楷体_GB2312"/>
                <w:kern w:val="0"/>
                <w:szCs w:val="21"/>
              </w:rPr>
              <w:t>230</w:t>
            </w:r>
          </w:p>
        </w:tc>
        <w:tc>
          <w:tcPr>
            <w:tcW w:w="0" w:type="auto"/>
            <w:noWrap/>
            <w:vAlign w:val="center"/>
          </w:tcPr>
          <w:p w14:paraId="4BE9D454">
            <w:pPr>
              <w:jc w:val="center"/>
              <w:rPr>
                <w:rFonts w:eastAsia="楷体_GB2312"/>
                <w:kern w:val="0"/>
                <w:szCs w:val="21"/>
              </w:rPr>
            </w:pPr>
            <w:r>
              <w:rPr>
                <w:rFonts w:eastAsia="楷体_GB2312"/>
                <w:kern w:val="0"/>
                <w:szCs w:val="21"/>
              </w:rPr>
              <w:t>220</w:t>
            </w:r>
          </w:p>
        </w:tc>
        <w:tc>
          <w:tcPr>
            <w:tcW w:w="0" w:type="auto"/>
            <w:noWrap/>
            <w:vAlign w:val="center"/>
          </w:tcPr>
          <w:p w14:paraId="6F99E0F9">
            <w:pPr>
              <w:jc w:val="center"/>
              <w:rPr>
                <w:rFonts w:eastAsia="楷体_GB2312"/>
                <w:kern w:val="0"/>
                <w:szCs w:val="21"/>
              </w:rPr>
            </w:pPr>
            <w:r>
              <w:rPr>
                <w:rFonts w:eastAsia="楷体_GB2312"/>
                <w:kern w:val="0"/>
                <w:szCs w:val="21"/>
              </w:rPr>
              <w:t>215</w:t>
            </w:r>
          </w:p>
        </w:tc>
        <w:tc>
          <w:tcPr>
            <w:tcW w:w="0" w:type="auto"/>
            <w:noWrap/>
            <w:vAlign w:val="center"/>
          </w:tcPr>
          <w:p w14:paraId="19E2B3BA">
            <w:pPr>
              <w:jc w:val="center"/>
              <w:rPr>
                <w:rFonts w:eastAsia="楷体_GB2312"/>
                <w:kern w:val="0"/>
                <w:szCs w:val="21"/>
              </w:rPr>
            </w:pPr>
            <w:r>
              <w:rPr>
                <w:rFonts w:eastAsia="楷体_GB2312"/>
                <w:kern w:val="0"/>
                <w:szCs w:val="21"/>
              </w:rPr>
              <w:t>210</w:t>
            </w:r>
          </w:p>
        </w:tc>
        <w:tc>
          <w:tcPr>
            <w:tcW w:w="0" w:type="auto"/>
            <w:noWrap/>
            <w:vAlign w:val="center"/>
          </w:tcPr>
          <w:p w14:paraId="1452C155">
            <w:pPr>
              <w:jc w:val="center"/>
              <w:rPr>
                <w:rFonts w:eastAsia="楷体_GB2312"/>
                <w:kern w:val="0"/>
                <w:szCs w:val="21"/>
              </w:rPr>
            </w:pPr>
            <w:r>
              <w:rPr>
                <w:rFonts w:eastAsia="楷体_GB2312"/>
                <w:kern w:val="0"/>
                <w:szCs w:val="21"/>
              </w:rPr>
              <w:t>200</w:t>
            </w:r>
          </w:p>
        </w:tc>
      </w:tr>
      <w:tr w14:paraId="5CFC8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700D391B">
            <w:pPr>
              <w:jc w:val="center"/>
              <w:rPr>
                <w:rFonts w:eastAsia="楷体_GB2312"/>
                <w:color w:val="000000"/>
                <w:kern w:val="0"/>
                <w:szCs w:val="21"/>
              </w:rPr>
            </w:pPr>
          </w:p>
        </w:tc>
        <w:tc>
          <w:tcPr>
            <w:tcW w:w="0" w:type="auto"/>
            <w:vMerge w:val="continue"/>
            <w:noWrap w:val="0"/>
            <w:vAlign w:val="center"/>
          </w:tcPr>
          <w:p w14:paraId="10779F33">
            <w:pPr>
              <w:jc w:val="center"/>
              <w:rPr>
                <w:rFonts w:eastAsia="楷体_GB2312"/>
                <w:color w:val="000000"/>
                <w:kern w:val="0"/>
                <w:szCs w:val="21"/>
              </w:rPr>
            </w:pPr>
          </w:p>
        </w:tc>
        <w:tc>
          <w:tcPr>
            <w:tcW w:w="0" w:type="auto"/>
            <w:noWrap w:val="0"/>
            <w:vAlign w:val="top"/>
          </w:tcPr>
          <w:p w14:paraId="4ED69114">
            <w:pPr>
              <w:jc w:val="center"/>
              <w:rPr>
                <w:rFonts w:eastAsia="楷体_GB2312"/>
                <w:color w:val="000000"/>
                <w:kern w:val="0"/>
                <w:szCs w:val="21"/>
              </w:rPr>
            </w:pPr>
            <w:r>
              <w:rPr>
                <w:rFonts w:hint="eastAsia" w:eastAsia="楷体_GB2312"/>
                <w:color w:val="000000"/>
                <w:kern w:val="0"/>
                <w:szCs w:val="21"/>
              </w:rPr>
              <w:t>3</w:t>
            </w:r>
          </w:p>
        </w:tc>
        <w:tc>
          <w:tcPr>
            <w:tcW w:w="0" w:type="auto"/>
            <w:noWrap/>
            <w:vAlign w:val="center"/>
          </w:tcPr>
          <w:p w14:paraId="7F7B6868">
            <w:pPr>
              <w:jc w:val="center"/>
              <w:rPr>
                <w:rFonts w:eastAsia="楷体_GB2312"/>
                <w:color w:val="000000"/>
                <w:kern w:val="0"/>
                <w:szCs w:val="21"/>
              </w:rPr>
            </w:pPr>
            <w:r>
              <w:rPr>
                <w:rFonts w:eastAsia="楷体_GB2312"/>
                <w:color w:val="000000"/>
                <w:kern w:val="0"/>
                <w:szCs w:val="21"/>
              </w:rPr>
              <w:t>270</w:t>
            </w:r>
          </w:p>
        </w:tc>
        <w:tc>
          <w:tcPr>
            <w:tcW w:w="0" w:type="auto"/>
            <w:noWrap/>
            <w:vAlign w:val="center"/>
          </w:tcPr>
          <w:p w14:paraId="37A8ADEF">
            <w:pPr>
              <w:jc w:val="center"/>
              <w:rPr>
                <w:rFonts w:eastAsia="楷体_GB2312"/>
                <w:color w:val="000000"/>
                <w:kern w:val="0"/>
                <w:szCs w:val="21"/>
              </w:rPr>
            </w:pPr>
            <w:r>
              <w:rPr>
                <w:rFonts w:eastAsia="楷体_GB2312"/>
                <w:color w:val="000000"/>
                <w:kern w:val="0"/>
                <w:szCs w:val="21"/>
              </w:rPr>
              <w:t>195</w:t>
            </w:r>
          </w:p>
        </w:tc>
        <w:tc>
          <w:tcPr>
            <w:tcW w:w="0" w:type="auto"/>
            <w:noWrap/>
            <w:vAlign w:val="center"/>
          </w:tcPr>
          <w:p w14:paraId="66A0B833">
            <w:pPr>
              <w:jc w:val="center"/>
              <w:rPr>
                <w:rFonts w:eastAsia="楷体_GB2312"/>
                <w:color w:val="000000"/>
                <w:kern w:val="0"/>
                <w:szCs w:val="21"/>
              </w:rPr>
            </w:pPr>
            <w:r>
              <w:rPr>
                <w:rFonts w:eastAsia="楷体_GB2312"/>
                <w:color w:val="000000"/>
                <w:kern w:val="0"/>
                <w:szCs w:val="21"/>
              </w:rPr>
              <w:t>144</w:t>
            </w:r>
          </w:p>
        </w:tc>
        <w:tc>
          <w:tcPr>
            <w:tcW w:w="0" w:type="auto"/>
            <w:noWrap/>
            <w:vAlign w:val="center"/>
          </w:tcPr>
          <w:p w14:paraId="61945503">
            <w:pPr>
              <w:jc w:val="center"/>
              <w:rPr>
                <w:rFonts w:eastAsia="楷体_GB2312"/>
                <w:color w:val="000000"/>
                <w:kern w:val="0"/>
                <w:szCs w:val="21"/>
              </w:rPr>
            </w:pPr>
            <w:r>
              <w:rPr>
                <w:rFonts w:eastAsia="楷体_GB2312"/>
                <w:color w:val="000000"/>
                <w:kern w:val="0"/>
                <w:szCs w:val="21"/>
              </w:rPr>
              <w:t>185</w:t>
            </w:r>
          </w:p>
        </w:tc>
        <w:tc>
          <w:tcPr>
            <w:tcW w:w="0" w:type="auto"/>
            <w:noWrap/>
            <w:vAlign w:val="center"/>
          </w:tcPr>
          <w:p w14:paraId="5141E55A">
            <w:pPr>
              <w:jc w:val="center"/>
              <w:rPr>
                <w:rFonts w:eastAsia="楷体_GB2312"/>
                <w:color w:val="000000"/>
                <w:kern w:val="0"/>
                <w:szCs w:val="21"/>
              </w:rPr>
            </w:pPr>
            <w:r>
              <w:rPr>
                <w:rFonts w:eastAsia="楷体_GB2312"/>
                <w:color w:val="000000"/>
                <w:kern w:val="0"/>
                <w:szCs w:val="21"/>
              </w:rPr>
              <w:t>180</w:t>
            </w:r>
          </w:p>
        </w:tc>
        <w:tc>
          <w:tcPr>
            <w:tcW w:w="0" w:type="auto"/>
            <w:noWrap/>
            <w:vAlign w:val="center"/>
          </w:tcPr>
          <w:p w14:paraId="156182AC">
            <w:pPr>
              <w:jc w:val="center"/>
              <w:rPr>
                <w:rFonts w:eastAsia="楷体_GB2312"/>
                <w:color w:val="000000"/>
                <w:kern w:val="0"/>
                <w:szCs w:val="21"/>
              </w:rPr>
            </w:pPr>
            <w:r>
              <w:rPr>
                <w:rFonts w:eastAsia="楷体_GB2312"/>
                <w:color w:val="000000"/>
                <w:kern w:val="0"/>
                <w:szCs w:val="21"/>
              </w:rPr>
              <w:t>175</w:t>
            </w:r>
          </w:p>
        </w:tc>
        <w:tc>
          <w:tcPr>
            <w:tcW w:w="0" w:type="auto"/>
            <w:noWrap/>
            <w:vAlign w:val="center"/>
          </w:tcPr>
          <w:p w14:paraId="54D96E0B">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58172A82">
            <w:pPr>
              <w:jc w:val="center"/>
              <w:rPr>
                <w:rFonts w:eastAsia="楷体_GB2312"/>
                <w:color w:val="000000"/>
                <w:kern w:val="0"/>
                <w:szCs w:val="21"/>
              </w:rPr>
            </w:pPr>
            <w:r>
              <w:rPr>
                <w:rFonts w:eastAsia="楷体_GB2312"/>
                <w:color w:val="000000"/>
                <w:kern w:val="0"/>
                <w:szCs w:val="21"/>
              </w:rPr>
              <w:t>165</w:t>
            </w:r>
          </w:p>
        </w:tc>
        <w:tc>
          <w:tcPr>
            <w:tcW w:w="0" w:type="auto"/>
            <w:noWrap/>
            <w:vAlign w:val="center"/>
          </w:tcPr>
          <w:p w14:paraId="288EE9CE">
            <w:pPr>
              <w:jc w:val="center"/>
              <w:rPr>
                <w:rFonts w:eastAsia="楷体_GB2312"/>
                <w:color w:val="000000"/>
                <w:kern w:val="0"/>
                <w:szCs w:val="21"/>
              </w:rPr>
            </w:pPr>
            <w:r>
              <w:rPr>
                <w:rFonts w:eastAsia="楷体_GB2312"/>
                <w:color w:val="000000"/>
                <w:kern w:val="0"/>
                <w:szCs w:val="21"/>
              </w:rPr>
              <w:t>160</w:t>
            </w:r>
          </w:p>
        </w:tc>
      </w:tr>
      <w:tr w14:paraId="478CA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ign w:val="center"/>
          </w:tcPr>
          <w:p w14:paraId="08420A05">
            <w:pPr>
              <w:jc w:val="center"/>
              <w:rPr>
                <w:rFonts w:eastAsia="楷体_GB2312"/>
                <w:color w:val="000000"/>
                <w:kern w:val="0"/>
                <w:szCs w:val="21"/>
              </w:rPr>
            </w:pPr>
            <w:r>
              <w:rPr>
                <w:rFonts w:eastAsia="楷体_GB2312"/>
                <w:color w:val="000000"/>
                <w:kern w:val="0"/>
                <w:szCs w:val="21"/>
              </w:rPr>
              <w:t>19</w:t>
            </w:r>
          </w:p>
        </w:tc>
        <w:tc>
          <w:tcPr>
            <w:tcW w:w="0" w:type="auto"/>
            <w:vMerge w:val="restart"/>
            <w:noWrap/>
            <w:vAlign w:val="center"/>
          </w:tcPr>
          <w:p w14:paraId="69719999">
            <w:pPr>
              <w:jc w:val="center"/>
              <w:rPr>
                <w:rFonts w:eastAsia="楷体_GB2312"/>
                <w:color w:val="000000"/>
                <w:kern w:val="0"/>
                <w:szCs w:val="21"/>
              </w:rPr>
            </w:pPr>
            <w:r>
              <w:rPr>
                <w:rFonts w:eastAsia="楷体_GB2312"/>
                <w:color w:val="000000"/>
                <w:kern w:val="0"/>
                <w:szCs w:val="21"/>
              </w:rPr>
              <w:t>永安镇</w:t>
            </w:r>
          </w:p>
        </w:tc>
        <w:tc>
          <w:tcPr>
            <w:tcW w:w="0" w:type="auto"/>
            <w:noWrap w:val="0"/>
            <w:vAlign w:val="top"/>
          </w:tcPr>
          <w:p w14:paraId="61B87079">
            <w:pPr>
              <w:jc w:val="center"/>
              <w:rPr>
                <w:rFonts w:eastAsia="楷体_GB2312"/>
                <w:color w:val="000000"/>
                <w:kern w:val="0"/>
                <w:szCs w:val="21"/>
              </w:rPr>
            </w:pPr>
            <w:r>
              <w:rPr>
                <w:rFonts w:hint="eastAsia" w:eastAsia="楷体_GB2312"/>
                <w:color w:val="000000"/>
                <w:kern w:val="0"/>
                <w:szCs w:val="21"/>
              </w:rPr>
              <w:t>1</w:t>
            </w:r>
          </w:p>
        </w:tc>
        <w:tc>
          <w:tcPr>
            <w:tcW w:w="0" w:type="auto"/>
            <w:noWrap/>
            <w:vAlign w:val="center"/>
          </w:tcPr>
          <w:p w14:paraId="2B67B0D5">
            <w:pPr>
              <w:jc w:val="center"/>
              <w:rPr>
                <w:rFonts w:eastAsia="楷体_GB2312"/>
                <w:color w:val="000000"/>
                <w:kern w:val="0"/>
                <w:szCs w:val="21"/>
              </w:rPr>
            </w:pPr>
            <w:r>
              <w:rPr>
                <w:rFonts w:eastAsia="楷体_GB2312"/>
                <w:color w:val="000000"/>
                <w:kern w:val="0"/>
                <w:szCs w:val="21"/>
              </w:rPr>
              <w:t>435</w:t>
            </w:r>
          </w:p>
        </w:tc>
        <w:tc>
          <w:tcPr>
            <w:tcW w:w="0" w:type="auto"/>
            <w:noWrap/>
            <w:vAlign w:val="center"/>
          </w:tcPr>
          <w:p w14:paraId="5E6B3B9D">
            <w:pPr>
              <w:jc w:val="center"/>
              <w:rPr>
                <w:rFonts w:eastAsia="楷体_GB2312"/>
                <w:color w:val="000000"/>
                <w:kern w:val="0"/>
                <w:szCs w:val="21"/>
              </w:rPr>
            </w:pPr>
            <w:r>
              <w:rPr>
                <w:rFonts w:eastAsia="楷体_GB2312"/>
                <w:color w:val="000000"/>
                <w:kern w:val="0"/>
                <w:szCs w:val="21"/>
              </w:rPr>
              <w:t>335</w:t>
            </w:r>
          </w:p>
        </w:tc>
        <w:tc>
          <w:tcPr>
            <w:tcW w:w="0" w:type="auto"/>
            <w:noWrap/>
            <w:vAlign w:val="center"/>
          </w:tcPr>
          <w:p w14:paraId="5753472C">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5598F948">
            <w:pPr>
              <w:jc w:val="center"/>
              <w:rPr>
                <w:rFonts w:eastAsia="楷体_GB2312"/>
                <w:color w:val="000000"/>
                <w:kern w:val="0"/>
                <w:szCs w:val="21"/>
              </w:rPr>
            </w:pPr>
            <w:r>
              <w:rPr>
                <w:rFonts w:eastAsia="楷体_GB2312"/>
                <w:color w:val="000000"/>
                <w:kern w:val="0"/>
                <w:szCs w:val="21"/>
              </w:rPr>
              <w:t>310</w:t>
            </w:r>
          </w:p>
        </w:tc>
        <w:tc>
          <w:tcPr>
            <w:tcW w:w="0" w:type="auto"/>
            <w:noWrap/>
            <w:vAlign w:val="center"/>
          </w:tcPr>
          <w:p w14:paraId="69747976">
            <w:pPr>
              <w:jc w:val="center"/>
              <w:rPr>
                <w:rFonts w:eastAsia="楷体_GB2312"/>
                <w:color w:val="000000"/>
                <w:kern w:val="0"/>
                <w:szCs w:val="21"/>
              </w:rPr>
            </w:pPr>
            <w:r>
              <w:rPr>
                <w:rFonts w:eastAsia="楷体_GB2312"/>
                <w:color w:val="000000"/>
                <w:kern w:val="0"/>
                <w:szCs w:val="21"/>
              </w:rPr>
              <w:t>290</w:t>
            </w:r>
          </w:p>
        </w:tc>
        <w:tc>
          <w:tcPr>
            <w:tcW w:w="0" w:type="auto"/>
            <w:noWrap/>
            <w:vAlign w:val="center"/>
          </w:tcPr>
          <w:p w14:paraId="0FF2B49D">
            <w:pPr>
              <w:jc w:val="center"/>
              <w:rPr>
                <w:rFonts w:eastAsia="楷体_GB2312"/>
                <w:color w:val="000000"/>
                <w:kern w:val="0"/>
                <w:szCs w:val="21"/>
              </w:rPr>
            </w:pPr>
            <w:r>
              <w:rPr>
                <w:rFonts w:eastAsia="楷体_GB2312"/>
                <w:color w:val="000000"/>
                <w:kern w:val="0"/>
                <w:szCs w:val="21"/>
              </w:rPr>
              <w:t>280</w:t>
            </w:r>
          </w:p>
        </w:tc>
        <w:tc>
          <w:tcPr>
            <w:tcW w:w="0" w:type="auto"/>
            <w:noWrap/>
            <w:vAlign w:val="center"/>
          </w:tcPr>
          <w:p w14:paraId="356F07A6">
            <w:pPr>
              <w:jc w:val="center"/>
              <w:rPr>
                <w:rFonts w:eastAsia="楷体_GB2312"/>
                <w:color w:val="000000"/>
                <w:kern w:val="0"/>
                <w:szCs w:val="21"/>
              </w:rPr>
            </w:pPr>
            <w:r>
              <w:rPr>
                <w:rFonts w:eastAsia="楷体_GB2312"/>
                <w:color w:val="000000"/>
                <w:kern w:val="0"/>
                <w:szCs w:val="21"/>
              </w:rPr>
              <w:t>270</w:t>
            </w:r>
          </w:p>
        </w:tc>
        <w:tc>
          <w:tcPr>
            <w:tcW w:w="0" w:type="auto"/>
            <w:noWrap/>
            <w:vAlign w:val="center"/>
          </w:tcPr>
          <w:p w14:paraId="23D73634">
            <w:pPr>
              <w:jc w:val="center"/>
              <w:rPr>
                <w:rFonts w:eastAsia="楷体_GB2312"/>
                <w:color w:val="000000"/>
                <w:kern w:val="0"/>
                <w:szCs w:val="21"/>
              </w:rPr>
            </w:pPr>
            <w:r>
              <w:rPr>
                <w:rFonts w:eastAsia="楷体_GB2312"/>
                <w:color w:val="000000"/>
                <w:kern w:val="0"/>
                <w:szCs w:val="21"/>
              </w:rPr>
              <w:t>260</w:t>
            </w:r>
          </w:p>
        </w:tc>
        <w:tc>
          <w:tcPr>
            <w:tcW w:w="0" w:type="auto"/>
            <w:noWrap/>
            <w:vAlign w:val="center"/>
          </w:tcPr>
          <w:p w14:paraId="66B0A44A">
            <w:pPr>
              <w:jc w:val="center"/>
              <w:rPr>
                <w:rFonts w:eastAsia="楷体_GB2312"/>
                <w:color w:val="000000"/>
                <w:kern w:val="0"/>
                <w:szCs w:val="21"/>
              </w:rPr>
            </w:pPr>
            <w:r>
              <w:rPr>
                <w:rFonts w:eastAsia="楷体_GB2312"/>
                <w:color w:val="000000"/>
                <w:kern w:val="0"/>
                <w:szCs w:val="21"/>
              </w:rPr>
              <w:t>240</w:t>
            </w:r>
          </w:p>
        </w:tc>
      </w:tr>
      <w:tr w14:paraId="65B62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4D216BBE">
            <w:pPr>
              <w:jc w:val="center"/>
              <w:rPr>
                <w:rFonts w:eastAsia="楷体_GB2312"/>
                <w:color w:val="000000"/>
                <w:kern w:val="0"/>
                <w:szCs w:val="21"/>
              </w:rPr>
            </w:pPr>
          </w:p>
        </w:tc>
        <w:tc>
          <w:tcPr>
            <w:tcW w:w="0" w:type="auto"/>
            <w:vMerge w:val="continue"/>
            <w:noWrap w:val="0"/>
            <w:vAlign w:val="center"/>
          </w:tcPr>
          <w:p w14:paraId="68C0FEB9">
            <w:pPr>
              <w:jc w:val="center"/>
              <w:rPr>
                <w:rFonts w:eastAsia="楷体_GB2312"/>
                <w:color w:val="000000"/>
                <w:kern w:val="0"/>
                <w:szCs w:val="21"/>
              </w:rPr>
            </w:pPr>
          </w:p>
        </w:tc>
        <w:tc>
          <w:tcPr>
            <w:tcW w:w="0" w:type="auto"/>
            <w:noWrap w:val="0"/>
            <w:vAlign w:val="top"/>
          </w:tcPr>
          <w:p w14:paraId="0139C007">
            <w:pPr>
              <w:jc w:val="center"/>
              <w:rPr>
                <w:rFonts w:eastAsia="楷体_GB2312"/>
                <w:color w:val="000000"/>
                <w:kern w:val="0"/>
                <w:szCs w:val="21"/>
              </w:rPr>
            </w:pPr>
            <w:r>
              <w:rPr>
                <w:rFonts w:hint="eastAsia" w:eastAsia="楷体_GB2312"/>
                <w:color w:val="000000"/>
                <w:kern w:val="0"/>
                <w:szCs w:val="21"/>
              </w:rPr>
              <w:t>2</w:t>
            </w:r>
          </w:p>
        </w:tc>
        <w:tc>
          <w:tcPr>
            <w:tcW w:w="0" w:type="auto"/>
            <w:noWrap/>
            <w:vAlign w:val="center"/>
          </w:tcPr>
          <w:p w14:paraId="7DD740D1">
            <w:pPr>
              <w:jc w:val="center"/>
              <w:rPr>
                <w:rFonts w:eastAsia="楷体_GB2312"/>
                <w:color w:val="000000"/>
                <w:kern w:val="0"/>
                <w:szCs w:val="21"/>
              </w:rPr>
            </w:pPr>
            <w:r>
              <w:rPr>
                <w:rFonts w:eastAsia="楷体_GB2312"/>
                <w:color w:val="000000"/>
                <w:kern w:val="0"/>
                <w:szCs w:val="21"/>
              </w:rPr>
              <w:t>350</w:t>
            </w:r>
          </w:p>
        </w:tc>
        <w:tc>
          <w:tcPr>
            <w:tcW w:w="0" w:type="auto"/>
            <w:noWrap/>
            <w:vAlign w:val="center"/>
          </w:tcPr>
          <w:p w14:paraId="70E019F6">
            <w:pPr>
              <w:jc w:val="center"/>
              <w:rPr>
                <w:rFonts w:eastAsia="楷体_GB2312"/>
                <w:color w:val="000000"/>
                <w:kern w:val="0"/>
                <w:szCs w:val="21"/>
              </w:rPr>
            </w:pPr>
            <w:r>
              <w:rPr>
                <w:rFonts w:eastAsia="楷体_GB2312"/>
                <w:color w:val="000000"/>
                <w:kern w:val="0"/>
                <w:szCs w:val="21"/>
              </w:rPr>
              <w:t>255</w:t>
            </w:r>
          </w:p>
        </w:tc>
        <w:tc>
          <w:tcPr>
            <w:tcW w:w="0" w:type="auto"/>
            <w:noWrap/>
            <w:vAlign w:val="center"/>
          </w:tcPr>
          <w:p w14:paraId="26499261">
            <w:pPr>
              <w:jc w:val="center"/>
              <w:rPr>
                <w:rFonts w:eastAsia="楷体_GB2312"/>
                <w:color w:val="000000"/>
                <w:kern w:val="0"/>
                <w:szCs w:val="21"/>
              </w:rPr>
            </w:pPr>
            <w:r>
              <w:rPr>
                <w:rFonts w:eastAsia="楷体_GB2312"/>
                <w:color w:val="000000"/>
                <w:kern w:val="0"/>
                <w:szCs w:val="21"/>
              </w:rPr>
              <w:t>155</w:t>
            </w:r>
          </w:p>
        </w:tc>
        <w:tc>
          <w:tcPr>
            <w:tcW w:w="0" w:type="auto"/>
            <w:noWrap/>
            <w:vAlign w:val="center"/>
          </w:tcPr>
          <w:p w14:paraId="13035D41">
            <w:pPr>
              <w:jc w:val="center"/>
              <w:rPr>
                <w:rFonts w:eastAsia="楷体_GB2312"/>
                <w:color w:val="000000"/>
                <w:kern w:val="0"/>
                <w:szCs w:val="21"/>
              </w:rPr>
            </w:pPr>
            <w:r>
              <w:rPr>
                <w:rFonts w:eastAsia="楷体_GB2312"/>
                <w:color w:val="000000"/>
                <w:kern w:val="0"/>
                <w:szCs w:val="21"/>
              </w:rPr>
              <w:t>245</w:t>
            </w:r>
          </w:p>
        </w:tc>
        <w:tc>
          <w:tcPr>
            <w:tcW w:w="0" w:type="auto"/>
            <w:noWrap/>
            <w:vAlign w:val="center"/>
          </w:tcPr>
          <w:p w14:paraId="1B660AED">
            <w:pPr>
              <w:jc w:val="center"/>
              <w:rPr>
                <w:rFonts w:eastAsia="楷体_GB2312"/>
                <w:color w:val="000000"/>
                <w:kern w:val="0"/>
                <w:szCs w:val="21"/>
              </w:rPr>
            </w:pPr>
            <w:r>
              <w:rPr>
                <w:rFonts w:eastAsia="楷体_GB2312"/>
                <w:color w:val="000000"/>
                <w:kern w:val="0"/>
                <w:szCs w:val="21"/>
              </w:rPr>
              <w:t>235</w:t>
            </w:r>
          </w:p>
        </w:tc>
        <w:tc>
          <w:tcPr>
            <w:tcW w:w="0" w:type="auto"/>
            <w:noWrap/>
            <w:vAlign w:val="center"/>
          </w:tcPr>
          <w:p w14:paraId="02832382">
            <w:pPr>
              <w:jc w:val="center"/>
              <w:rPr>
                <w:rFonts w:eastAsia="楷体_GB2312"/>
                <w:color w:val="000000"/>
                <w:kern w:val="0"/>
                <w:szCs w:val="21"/>
              </w:rPr>
            </w:pPr>
            <w:r>
              <w:rPr>
                <w:rFonts w:eastAsia="楷体_GB2312"/>
                <w:color w:val="000000"/>
                <w:kern w:val="0"/>
                <w:szCs w:val="21"/>
              </w:rPr>
              <w:t>225</w:t>
            </w:r>
          </w:p>
        </w:tc>
        <w:tc>
          <w:tcPr>
            <w:tcW w:w="0" w:type="auto"/>
            <w:noWrap/>
            <w:vAlign w:val="center"/>
          </w:tcPr>
          <w:p w14:paraId="67ACEC0F">
            <w:pPr>
              <w:jc w:val="center"/>
              <w:rPr>
                <w:rFonts w:eastAsia="楷体_GB2312"/>
                <w:color w:val="000000"/>
                <w:kern w:val="0"/>
                <w:szCs w:val="21"/>
              </w:rPr>
            </w:pPr>
            <w:r>
              <w:rPr>
                <w:rFonts w:eastAsia="楷体_GB2312"/>
                <w:color w:val="000000"/>
                <w:kern w:val="0"/>
                <w:szCs w:val="21"/>
              </w:rPr>
              <w:t>220</w:t>
            </w:r>
          </w:p>
        </w:tc>
        <w:tc>
          <w:tcPr>
            <w:tcW w:w="0" w:type="auto"/>
            <w:noWrap/>
            <w:vAlign w:val="center"/>
          </w:tcPr>
          <w:p w14:paraId="1D8C1DBE">
            <w:pPr>
              <w:jc w:val="center"/>
              <w:rPr>
                <w:rFonts w:eastAsia="楷体_GB2312"/>
                <w:color w:val="000000"/>
                <w:kern w:val="0"/>
                <w:szCs w:val="21"/>
              </w:rPr>
            </w:pPr>
            <w:r>
              <w:rPr>
                <w:rFonts w:eastAsia="楷体_GB2312"/>
                <w:color w:val="000000"/>
                <w:kern w:val="0"/>
                <w:szCs w:val="21"/>
              </w:rPr>
              <w:t>215</w:t>
            </w:r>
          </w:p>
        </w:tc>
        <w:tc>
          <w:tcPr>
            <w:tcW w:w="0" w:type="auto"/>
            <w:noWrap/>
            <w:vAlign w:val="center"/>
          </w:tcPr>
          <w:p w14:paraId="11539082">
            <w:pPr>
              <w:jc w:val="center"/>
              <w:rPr>
                <w:rFonts w:eastAsia="楷体_GB2312"/>
                <w:color w:val="000000"/>
                <w:kern w:val="0"/>
                <w:szCs w:val="21"/>
              </w:rPr>
            </w:pPr>
            <w:r>
              <w:rPr>
                <w:rFonts w:eastAsia="楷体_GB2312"/>
                <w:color w:val="000000"/>
                <w:kern w:val="0"/>
                <w:szCs w:val="21"/>
              </w:rPr>
              <w:t>205</w:t>
            </w:r>
          </w:p>
        </w:tc>
      </w:tr>
      <w:tr w14:paraId="1B579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0CD2E046">
            <w:pPr>
              <w:jc w:val="center"/>
              <w:rPr>
                <w:rFonts w:eastAsia="楷体_GB2312"/>
                <w:color w:val="000000"/>
                <w:kern w:val="0"/>
                <w:szCs w:val="21"/>
              </w:rPr>
            </w:pPr>
          </w:p>
        </w:tc>
        <w:tc>
          <w:tcPr>
            <w:tcW w:w="0" w:type="auto"/>
            <w:vMerge w:val="continue"/>
            <w:noWrap w:val="0"/>
            <w:vAlign w:val="center"/>
          </w:tcPr>
          <w:p w14:paraId="2CEAA6AD">
            <w:pPr>
              <w:jc w:val="center"/>
              <w:rPr>
                <w:rFonts w:eastAsia="楷体_GB2312"/>
                <w:color w:val="000000"/>
                <w:kern w:val="0"/>
                <w:szCs w:val="21"/>
              </w:rPr>
            </w:pPr>
          </w:p>
        </w:tc>
        <w:tc>
          <w:tcPr>
            <w:tcW w:w="0" w:type="auto"/>
            <w:noWrap w:val="0"/>
            <w:vAlign w:val="top"/>
          </w:tcPr>
          <w:p w14:paraId="2EC8B0B9">
            <w:pPr>
              <w:jc w:val="center"/>
              <w:rPr>
                <w:rFonts w:eastAsia="楷体_GB2312"/>
                <w:color w:val="000000"/>
                <w:kern w:val="0"/>
                <w:szCs w:val="21"/>
              </w:rPr>
            </w:pPr>
            <w:r>
              <w:rPr>
                <w:rFonts w:hint="eastAsia" w:eastAsia="楷体_GB2312"/>
                <w:color w:val="000000"/>
                <w:kern w:val="0"/>
                <w:szCs w:val="21"/>
              </w:rPr>
              <w:t>3</w:t>
            </w:r>
          </w:p>
        </w:tc>
        <w:tc>
          <w:tcPr>
            <w:tcW w:w="0" w:type="auto"/>
            <w:noWrap/>
            <w:vAlign w:val="center"/>
          </w:tcPr>
          <w:p w14:paraId="089F0F32">
            <w:pPr>
              <w:jc w:val="center"/>
              <w:rPr>
                <w:rFonts w:eastAsia="楷体_GB2312"/>
                <w:color w:val="000000"/>
                <w:kern w:val="0"/>
                <w:szCs w:val="21"/>
              </w:rPr>
            </w:pPr>
            <w:r>
              <w:rPr>
                <w:rFonts w:eastAsia="楷体_GB2312"/>
                <w:color w:val="000000"/>
                <w:kern w:val="0"/>
                <w:szCs w:val="21"/>
              </w:rPr>
              <w:t>270</w:t>
            </w:r>
          </w:p>
        </w:tc>
        <w:tc>
          <w:tcPr>
            <w:tcW w:w="0" w:type="auto"/>
            <w:noWrap/>
            <w:vAlign w:val="center"/>
          </w:tcPr>
          <w:p w14:paraId="21AC73D6">
            <w:pPr>
              <w:jc w:val="center"/>
              <w:rPr>
                <w:rFonts w:eastAsia="楷体_GB2312"/>
                <w:color w:val="000000"/>
                <w:kern w:val="0"/>
                <w:szCs w:val="21"/>
              </w:rPr>
            </w:pPr>
            <w:r>
              <w:rPr>
                <w:rFonts w:eastAsia="楷体_GB2312"/>
                <w:color w:val="000000"/>
                <w:kern w:val="0"/>
                <w:szCs w:val="21"/>
              </w:rPr>
              <w:t>195</w:t>
            </w:r>
          </w:p>
        </w:tc>
        <w:tc>
          <w:tcPr>
            <w:tcW w:w="0" w:type="auto"/>
            <w:noWrap/>
            <w:vAlign w:val="center"/>
          </w:tcPr>
          <w:p w14:paraId="094DA1FE">
            <w:pPr>
              <w:jc w:val="center"/>
              <w:rPr>
                <w:rFonts w:eastAsia="楷体_GB2312"/>
                <w:color w:val="000000"/>
                <w:kern w:val="0"/>
                <w:szCs w:val="21"/>
              </w:rPr>
            </w:pPr>
            <w:r>
              <w:rPr>
                <w:rFonts w:eastAsia="楷体_GB2312"/>
                <w:color w:val="000000"/>
                <w:kern w:val="0"/>
                <w:szCs w:val="21"/>
              </w:rPr>
              <w:t>144</w:t>
            </w:r>
          </w:p>
        </w:tc>
        <w:tc>
          <w:tcPr>
            <w:tcW w:w="0" w:type="auto"/>
            <w:noWrap/>
            <w:vAlign w:val="center"/>
          </w:tcPr>
          <w:p w14:paraId="23AD5A39">
            <w:pPr>
              <w:jc w:val="center"/>
              <w:rPr>
                <w:rFonts w:eastAsia="楷体_GB2312"/>
                <w:color w:val="000000"/>
                <w:kern w:val="0"/>
                <w:szCs w:val="21"/>
              </w:rPr>
            </w:pPr>
            <w:r>
              <w:rPr>
                <w:rFonts w:eastAsia="楷体_GB2312"/>
                <w:color w:val="000000"/>
                <w:kern w:val="0"/>
                <w:szCs w:val="21"/>
              </w:rPr>
              <w:t>185</w:t>
            </w:r>
          </w:p>
        </w:tc>
        <w:tc>
          <w:tcPr>
            <w:tcW w:w="0" w:type="auto"/>
            <w:noWrap/>
            <w:vAlign w:val="center"/>
          </w:tcPr>
          <w:p w14:paraId="087FAF9D">
            <w:pPr>
              <w:jc w:val="center"/>
              <w:rPr>
                <w:rFonts w:eastAsia="楷体_GB2312"/>
                <w:color w:val="000000"/>
                <w:kern w:val="0"/>
                <w:szCs w:val="21"/>
              </w:rPr>
            </w:pPr>
            <w:r>
              <w:rPr>
                <w:rFonts w:eastAsia="楷体_GB2312"/>
                <w:color w:val="000000"/>
                <w:kern w:val="0"/>
                <w:szCs w:val="21"/>
              </w:rPr>
              <w:t>180</w:t>
            </w:r>
          </w:p>
        </w:tc>
        <w:tc>
          <w:tcPr>
            <w:tcW w:w="0" w:type="auto"/>
            <w:noWrap/>
            <w:vAlign w:val="center"/>
          </w:tcPr>
          <w:p w14:paraId="2DCC2426">
            <w:pPr>
              <w:jc w:val="center"/>
              <w:rPr>
                <w:rFonts w:eastAsia="楷体_GB2312"/>
                <w:color w:val="000000"/>
                <w:kern w:val="0"/>
                <w:szCs w:val="21"/>
              </w:rPr>
            </w:pPr>
            <w:r>
              <w:rPr>
                <w:rFonts w:eastAsia="楷体_GB2312"/>
                <w:color w:val="000000"/>
                <w:kern w:val="0"/>
                <w:szCs w:val="21"/>
              </w:rPr>
              <w:t>175</w:t>
            </w:r>
          </w:p>
        </w:tc>
        <w:tc>
          <w:tcPr>
            <w:tcW w:w="0" w:type="auto"/>
            <w:noWrap/>
            <w:vAlign w:val="center"/>
          </w:tcPr>
          <w:p w14:paraId="182CB23D">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4DAF4E61">
            <w:pPr>
              <w:jc w:val="center"/>
              <w:rPr>
                <w:rFonts w:eastAsia="楷体_GB2312"/>
                <w:color w:val="000000"/>
                <w:kern w:val="0"/>
                <w:szCs w:val="21"/>
              </w:rPr>
            </w:pPr>
            <w:r>
              <w:rPr>
                <w:rFonts w:eastAsia="楷体_GB2312"/>
                <w:color w:val="000000"/>
                <w:kern w:val="0"/>
                <w:szCs w:val="21"/>
              </w:rPr>
              <w:t>165</w:t>
            </w:r>
          </w:p>
        </w:tc>
        <w:tc>
          <w:tcPr>
            <w:tcW w:w="0" w:type="auto"/>
            <w:noWrap/>
            <w:vAlign w:val="center"/>
          </w:tcPr>
          <w:p w14:paraId="002064E5">
            <w:pPr>
              <w:jc w:val="center"/>
              <w:rPr>
                <w:rFonts w:eastAsia="楷体_GB2312"/>
                <w:color w:val="000000"/>
                <w:kern w:val="0"/>
                <w:szCs w:val="21"/>
              </w:rPr>
            </w:pPr>
            <w:r>
              <w:rPr>
                <w:rFonts w:eastAsia="楷体_GB2312"/>
                <w:color w:val="000000"/>
                <w:kern w:val="0"/>
                <w:szCs w:val="21"/>
              </w:rPr>
              <w:t>160</w:t>
            </w:r>
          </w:p>
        </w:tc>
      </w:tr>
      <w:tr w14:paraId="02AF6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ign w:val="center"/>
          </w:tcPr>
          <w:p w14:paraId="0F190083">
            <w:pPr>
              <w:jc w:val="center"/>
              <w:rPr>
                <w:rFonts w:eastAsia="楷体_GB2312"/>
                <w:color w:val="000000"/>
                <w:kern w:val="0"/>
                <w:szCs w:val="21"/>
              </w:rPr>
            </w:pPr>
            <w:r>
              <w:rPr>
                <w:rFonts w:eastAsia="楷体_GB2312"/>
                <w:color w:val="000000"/>
                <w:kern w:val="0"/>
                <w:szCs w:val="21"/>
              </w:rPr>
              <w:t>20</w:t>
            </w:r>
          </w:p>
        </w:tc>
        <w:tc>
          <w:tcPr>
            <w:tcW w:w="0" w:type="auto"/>
            <w:vMerge w:val="restart"/>
            <w:noWrap/>
            <w:vAlign w:val="center"/>
          </w:tcPr>
          <w:p w14:paraId="4B38B38F">
            <w:pPr>
              <w:jc w:val="center"/>
              <w:rPr>
                <w:rFonts w:eastAsia="楷体_GB2312"/>
                <w:color w:val="000000"/>
                <w:kern w:val="0"/>
                <w:szCs w:val="21"/>
              </w:rPr>
            </w:pPr>
            <w:r>
              <w:rPr>
                <w:rFonts w:eastAsia="楷体_GB2312"/>
                <w:color w:val="000000"/>
                <w:kern w:val="0"/>
                <w:szCs w:val="21"/>
              </w:rPr>
              <w:t>支河乡</w:t>
            </w:r>
          </w:p>
        </w:tc>
        <w:tc>
          <w:tcPr>
            <w:tcW w:w="0" w:type="auto"/>
            <w:noWrap w:val="0"/>
            <w:vAlign w:val="top"/>
          </w:tcPr>
          <w:p w14:paraId="3CA629CC">
            <w:pPr>
              <w:jc w:val="center"/>
              <w:rPr>
                <w:rFonts w:eastAsia="楷体_GB2312"/>
                <w:color w:val="000000"/>
                <w:kern w:val="0"/>
                <w:szCs w:val="21"/>
              </w:rPr>
            </w:pPr>
            <w:r>
              <w:rPr>
                <w:rFonts w:hint="eastAsia" w:eastAsia="楷体_GB2312"/>
                <w:color w:val="000000"/>
                <w:kern w:val="0"/>
                <w:szCs w:val="21"/>
              </w:rPr>
              <w:t>1</w:t>
            </w:r>
          </w:p>
        </w:tc>
        <w:tc>
          <w:tcPr>
            <w:tcW w:w="0" w:type="auto"/>
            <w:noWrap/>
            <w:vAlign w:val="center"/>
          </w:tcPr>
          <w:p w14:paraId="662352FC">
            <w:pPr>
              <w:jc w:val="center"/>
              <w:rPr>
                <w:rFonts w:eastAsia="楷体_GB2312"/>
                <w:color w:val="000000"/>
                <w:kern w:val="0"/>
                <w:szCs w:val="21"/>
              </w:rPr>
            </w:pPr>
            <w:r>
              <w:rPr>
                <w:rFonts w:eastAsia="楷体_GB2312"/>
                <w:color w:val="000000"/>
                <w:kern w:val="0"/>
                <w:szCs w:val="21"/>
              </w:rPr>
              <w:t>425</w:t>
            </w:r>
          </w:p>
        </w:tc>
        <w:tc>
          <w:tcPr>
            <w:tcW w:w="0" w:type="auto"/>
            <w:noWrap/>
            <w:vAlign w:val="center"/>
          </w:tcPr>
          <w:p w14:paraId="03845527">
            <w:pPr>
              <w:jc w:val="center"/>
              <w:rPr>
                <w:rFonts w:eastAsia="楷体_GB2312"/>
                <w:color w:val="000000"/>
                <w:kern w:val="0"/>
                <w:szCs w:val="21"/>
              </w:rPr>
            </w:pPr>
            <w:r>
              <w:rPr>
                <w:rFonts w:eastAsia="楷体_GB2312"/>
                <w:color w:val="000000"/>
                <w:kern w:val="0"/>
                <w:szCs w:val="21"/>
              </w:rPr>
              <w:t>315</w:t>
            </w:r>
          </w:p>
        </w:tc>
        <w:tc>
          <w:tcPr>
            <w:tcW w:w="0" w:type="auto"/>
            <w:noWrap/>
            <w:vAlign w:val="center"/>
          </w:tcPr>
          <w:p w14:paraId="4132ED9F">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5A40EC58">
            <w:pPr>
              <w:jc w:val="center"/>
              <w:rPr>
                <w:rFonts w:eastAsia="楷体_GB2312"/>
                <w:color w:val="000000"/>
                <w:kern w:val="0"/>
                <w:szCs w:val="21"/>
              </w:rPr>
            </w:pPr>
            <w:r>
              <w:rPr>
                <w:rFonts w:eastAsia="楷体_GB2312"/>
                <w:color w:val="000000"/>
                <w:kern w:val="0"/>
                <w:szCs w:val="21"/>
              </w:rPr>
              <w:t>295</w:t>
            </w:r>
          </w:p>
        </w:tc>
        <w:tc>
          <w:tcPr>
            <w:tcW w:w="0" w:type="auto"/>
            <w:noWrap/>
            <w:vAlign w:val="center"/>
          </w:tcPr>
          <w:p w14:paraId="1AFC189B">
            <w:pPr>
              <w:jc w:val="center"/>
              <w:rPr>
                <w:rFonts w:eastAsia="楷体_GB2312"/>
                <w:color w:val="000000"/>
                <w:kern w:val="0"/>
                <w:szCs w:val="21"/>
              </w:rPr>
            </w:pPr>
            <w:r>
              <w:rPr>
                <w:rFonts w:eastAsia="楷体_GB2312"/>
                <w:color w:val="000000"/>
                <w:kern w:val="0"/>
                <w:szCs w:val="21"/>
              </w:rPr>
              <w:t>275</w:t>
            </w:r>
          </w:p>
        </w:tc>
        <w:tc>
          <w:tcPr>
            <w:tcW w:w="0" w:type="auto"/>
            <w:noWrap/>
            <w:vAlign w:val="center"/>
          </w:tcPr>
          <w:p w14:paraId="30301350">
            <w:pPr>
              <w:jc w:val="center"/>
              <w:rPr>
                <w:rFonts w:eastAsia="楷体_GB2312"/>
                <w:color w:val="000000"/>
                <w:kern w:val="0"/>
                <w:szCs w:val="21"/>
              </w:rPr>
            </w:pPr>
            <w:r>
              <w:rPr>
                <w:rFonts w:eastAsia="楷体_GB2312"/>
                <w:color w:val="000000"/>
                <w:kern w:val="0"/>
                <w:szCs w:val="21"/>
              </w:rPr>
              <w:t>265</w:t>
            </w:r>
          </w:p>
        </w:tc>
        <w:tc>
          <w:tcPr>
            <w:tcW w:w="0" w:type="auto"/>
            <w:noWrap/>
            <w:vAlign w:val="center"/>
          </w:tcPr>
          <w:p w14:paraId="612E39CD">
            <w:pPr>
              <w:jc w:val="center"/>
              <w:rPr>
                <w:rFonts w:eastAsia="楷体_GB2312"/>
                <w:color w:val="000000"/>
                <w:kern w:val="0"/>
                <w:szCs w:val="21"/>
              </w:rPr>
            </w:pPr>
            <w:r>
              <w:rPr>
                <w:rFonts w:eastAsia="楷体_GB2312"/>
                <w:color w:val="000000"/>
                <w:kern w:val="0"/>
                <w:szCs w:val="21"/>
              </w:rPr>
              <w:t>255</w:t>
            </w:r>
          </w:p>
        </w:tc>
        <w:tc>
          <w:tcPr>
            <w:tcW w:w="0" w:type="auto"/>
            <w:noWrap/>
            <w:vAlign w:val="center"/>
          </w:tcPr>
          <w:p w14:paraId="50C3F770">
            <w:pPr>
              <w:jc w:val="center"/>
              <w:rPr>
                <w:rFonts w:eastAsia="楷体_GB2312"/>
                <w:color w:val="000000"/>
                <w:kern w:val="0"/>
                <w:szCs w:val="21"/>
              </w:rPr>
            </w:pPr>
            <w:r>
              <w:rPr>
                <w:rFonts w:eastAsia="楷体_GB2312"/>
                <w:color w:val="000000"/>
                <w:kern w:val="0"/>
                <w:szCs w:val="21"/>
              </w:rPr>
              <w:t>245</w:t>
            </w:r>
          </w:p>
        </w:tc>
        <w:tc>
          <w:tcPr>
            <w:tcW w:w="0" w:type="auto"/>
            <w:noWrap/>
            <w:vAlign w:val="center"/>
          </w:tcPr>
          <w:p w14:paraId="12E0326D">
            <w:pPr>
              <w:jc w:val="center"/>
              <w:rPr>
                <w:rFonts w:eastAsia="楷体_GB2312"/>
                <w:color w:val="000000"/>
                <w:kern w:val="0"/>
                <w:szCs w:val="21"/>
              </w:rPr>
            </w:pPr>
            <w:r>
              <w:rPr>
                <w:rFonts w:eastAsia="楷体_GB2312"/>
                <w:color w:val="000000"/>
                <w:kern w:val="0"/>
                <w:szCs w:val="21"/>
              </w:rPr>
              <w:t>225</w:t>
            </w:r>
          </w:p>
        </w:tc>
      </w:tr>
      <w:tr w14:paraId="2524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2703A1A4">
            <w:pPr>
              <w:jc w:val="center"/>
              <w:rPr>
                <w:rFonts w:eastAsia="楷体_GB2312"/>
                <w:color w:val="000000"/>
                <w:kern w:val="0"/>
                <w:szCs w:val="21"/>
              </w:rPr>
            </w:pPr>
          </w:p>
        </w:tc>
        <w:tc>
          <w:tcPr>
            <w:tcW w:w="0" w:type="auto"/>
            <w:vMerge w:val="continue"/>
            <w:noWrap w:val="0"/>
            <w:vAlign w:val="center"/>
          </w:tcPr>
          <w:p w14:paraId="40DA8F41">
            <w:pPr>
              <w:jc w:val="center"/>
              <w:rPr>
                <w:rFonts w:eastAsia="楷体_GB2312"/>
                <w:color w:val="000000"/>
                <w:kern w:val="0"/>
                <w:szCs w:val="21"/>
              </w:rPr>
            </w:pPr>
          </w:p>
        </w:tc>
        <w:tc>
          <w:tcPr>
            <w:tcW w:w="0" w:type="auto"/>
            <w:noWrap w:val="0"/>
            <w:vAlign w:val="top"/>
          </w:tcPr>
          <w:p w14:paraId="3C201133">
            <w:pPr>
              <w:jc w:val="center"/>
              <w:rPr>
                <w:rFonts w:eastAsia="楷体_GB2312"/>
                <w:color w:val="000000"/>
                <w:kern w:val="0"/>
                <w:szCs w:val="21"/>
              </w:rPr>
            </w:pPr>
            <w:r>
              <w:rPr>
                <w:rFonts w:hint="eastAsia" w:eastAsia="楷体_GB2312"/>
                <w:color w:val="000000"/>
                <w:kern w:val="0"/>
                <w:szCs w:val="21"/>
              </w:rPr>
              <w:t>2</w:t>
            </w:r>
          </w:p>
        </w:tc>
        <w:tc>
          <w:tcPr>
            <w:tcW w:w="0" w:type="auto"/>
            <w:noWrap/>
            <w:vAlign w:val="center"/>
          </w:tcPr>
          <w:p w14:paraId="5D390A04">
            <w:pPr>
              <w:jc w:val="center"/>
              <w:rPr>
                <w:rFonts w:eastAsia="楷体_GB2312"/>
                <w:color w:val="000000"/>
                <w:kern w:val="0"/>
                <w:szCs w:val="21"/>
              </w:rPr>
            </w:pPr>
            <w:r>
              <w:rPr>
                <w:rFonts w:eastAsia="楷体_GB2312"/>
                <w:color w:val="000000"/>
                <w:kern w:val="0"/>
                <w:szCs w:val="21"/>
              </w:rPr>
              <w:t>330</w:t>
            </w:r>
          </w:p>
        </w:tc>
        <w:tc>
          <w:tcPr>
            <w:tcW w:w="0" w:type="auto"/>
            <w:noWrap/>
            <w:vAlign w:val="center"/>
          </w:tcPr>
          <w:p w14:paraId="0173043F">
            <w:pPr>
              <w:jc w:val="center"/>
              <w:rPr>
                <w:rFonts w:eastAsia="楷体_GB2312"/>
                <w:color w:val="000000"/>
                <w:kern w:val="0"/>
                <w:szCs w:val="21"/>
              </w:rPr>
            </w:pPr>
            <w:r>
              <w:rPr>
                <w:rFonts w:eastAsia="楷体_GB2312"/>
                <w:color w:val="000000"/>
                <w:kern w:val="0"/>
                <w:szCs w:val="21"/>
              </w:rPr>
              <w:t>245</w:t>
            </w:r>
          </w:p>
        </w:tc>
        <w:tc>
          <w:tcPr>
            <w:tcW w:w="0" w:type="auto"/>
            <w:noWrap/>
            <w:vAlign w:val="center"/>
          </w:tcPr>
          <w:p w14:paraId="62DA34D7">
            <w:pPr>
              <w:jc w:val="center"/>
              <w:rPr>
                <w:rFonts w:eastAsia="楷体_GB2312"/>
                <w:color w:val="000000"/>
                <w:kern w:val="0"/>
                <w:szCs w:val="21"/>
              </w:rPr>
            </w:pPr>
            <w:r>
              <w:rPr>
                <w:rFonts w:eastAsia="楷体_GB2312"/>
                <w:color w:val="000000"/>
                <w:kern w:val="0"/>
                <w:szCs w:val="21"/>
              </w:rPr>
              <w:t>155</w:t>
            </w:r>
          </w:p>
        </w:tc>
        <w:tc>
          <w:tcPr>
            <w:tcW w:w="0" w:type="auto"/>
            <w:noWrap/>
            <w:vAlign w:val="center"/>
          </w:tcPr>
          <w:p w14:paraId="6E05E2FE">
            <w:pPr>
              <w:jc w:val="center"/>
              <w:rPr>
                <w:rFonts w:eastAsia="楷体_GB2312"/>
                <w:color w:val="000000"/>
                <w:kern w:val="0"/>
                <w:szCs w:val="21"/>
              </w:rPr>
            </w:pPr>
            <w:r>
              <w:rPr>
                <w:rFonts w:eastAsia="楷体_GB2312"/>
                <w:color w:val="000000"/>
                <w:kern w:val="0"/>
                <w:szCs w:val="21"/>
              </w:rPr>
              <w:t>235</w:t>
            </w:r>
          </w:p>
        </w:tc>
        <w:tc>
          <w:tcPr>
            <w:tcW w:w="0" w:type="auto"/>
            <w:noWrap/>
            <w:vAlign w:val="center"/>
          </w:tcPr>
          <w:p w14:paraId="1F477966">
            <w:pPr>
              <w:jc w:val="center"/>
              <w:rPr>
                <w:rFonts w:eastAsia="楷体_GB2312"/>
                <w:color w:val="000000"/>
                <w:kern w:val="0"/>
                <w:szCs w:val="21"/>
              </w:rPr>
            </w:pPr>
            <w:r>
              <w:rPr>
                <w:rFonts w:eastAsia="楷体_GB2312"/>
                <w:color w:val="000000"/>
                <w:kern w:val="0"/>
                <w:szCs w:val="21"/>
              </w:rPr>
              <w:t>225</w:t>
            </w:r>
          </w:p>
        </w:tc>
        <w:tc>
          <w:tcPr>
            <w:tcW w:w="0" w:type="auto"/>
            <w:noWrap/>
            <w:vAlign w:val="center"/>
          </w:tcPr>
          <w:p w14:paraId="14A406FB">
            <w:pPr>
              <w:jc w:val="center"/>
              <w:rPr>
                <w:rFonts w:eastAsia="楷体_GB2312"/>
                <w:color w:val="000000"/>
                <w:kern w:val="0"/>
                <w:szCs w:val="21"/>
              </w:rPr>
            </w:pPr>
            <w:r>
              <w:rPr>
                <w:rFonts w:eastAsia="楷体_GB2312"/>
                <w:color w:val="000000"/>
                <w:kern w:val="0"/>
                <w:szCs w:val="21"/>
              </w:rPr>
              <w:t>215</w:t>
            </w:r>
          </w:p>
        </w:tc>
        <w:tc>
          <w:tcPr>
            <w:tcW w:w="0" w:type="auto"/>
            <w:noWrap/>
            <w:vAlign w:val="center"/>
          </w:tcPr>
          <w:p w14:paraId="6B119F91">
            <w:pPr>
              <w:jc w:val="center"/>
              <w:rPr>
                <w:rFonts w:eastAsia="楷体_GB2312"/>
                <w:color w:val="000000"/>
                <w:kern w:val="0"/>
                <w:szCs w:val="21"/>
              </w:rPr>
            </w:pPr>
            <w:r>
              <w:rPr>
                <w:rFonts w:eastAsia="楷体_GB2312"/>
                <w:color w:val="000000"/>
                <w:kern w:val="0"/>
                <w:szCs w:val="21"/>
              </w:rPr>
              <w:t>210</w:t>
            </w:r>
          </w:p>
        </w:tc>
        <w:tc>
          <w:tcPr>
            <w:tcW w:w="0" w:type="auto"/>
            <w:noWrap/>
            <w:vAlign w:val="center"/>
          </w:tcPr>
          <w:p w14:paraId="0E179481">
            <w:pPr>
              <w:jc w:val="center"/>
              <w:rPr>
                <w:rFonts w:eastAsia="楷体_GB2312"/>
                <w:color w:val="000000"/>
                <w:kern w:val="0"/>
                <w:szCs w:val="21"/>
              </w:rPr>
            </w:pPr>
            <w:r>
              <w:rPr>
                <w:rFonts w:eastAsia="楷体_GB2312"/>
                <w:color w:val="000000"/>
                <w:kern w:val="0"/>
                <w:szCs w:val="21"/>
              </w:rPr>
              <w:t>205</w:t>
            </w:r>
          </w:p>
        </w:tc>
        <w:tc>
          <w:tcPr>
            <w:tcW w:w="0" w:type="auto"/>
            <w:noWrap/>
            <w:vAlign w:val="center"/>
          </w:tcPr>
          <w:p w14:paraId="067869B7">
            <w:pPr>
              <w:jc w:val="center"/>
              <w:rPr>
                <w:rFonts w:eastAsia="楷体_GB2312"/>
                <w:color w:val="000000"/>
                <w:kern w:val="0"/>
                <w:szCs w:val="21"/>
              </w:rPr>
            </w:pPr>
            <w:r>
              <w:rPr>
                <w:rFonts w:eastAsia="楷体_GB2312"/>
                <w:color w:val="000000"/>
                <w:kern w:val="0"/>
                <w:szCs w:val="21"/>
              </w:rPr>
              <w:t>195</w:t>
            </w:r>
          </w:p>
        </w:tc>
      </w:tr>
      <w:tr w14:paraId="7EF5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56079D13">
            <w:pPr>
              <w:jc w:val="center"/>
              <w:rPr>
                <w:rFonts w:eastAsia="楷体_GB2312"/>
                <w:color w:val="000000"/>
                <w:kern w:val="0"/>
                <w:szCs w:val="21"/>
              </w:rPr>
            </w:pPr>
          </w:p>
        </w:tc>
        <w:tc>
          <w:tcPr>
            <w:tcW w:w="0" w:type="auto"/>
            <w:vMerge w:val="continue"/>
            <w:noWrap w:val="0"/>
            <w:vAlign w:val="center"/>
          </w:tcPr>
          <w:p w14:paraId="47043465">
            <w:pPr>
              <w:jc w:val="center"/>
              <w:rPr>
                <w:rFonts w:eastAsia="楷体_GB2312"/>
                <w:color w:val="000000"/>
                <w:kern w:val="0"/>
                <w:szCs w:val="21"/>
              </w:rPr>
            </w:pPr>
          </w:p>
        </w:tc>
        <w:tc>
          <w:tcPr>
            <w:tcW w:w="0" w:type="auto"/>
            <w:noWrap w:val="0"/>
            <w:vAlign w:val="top"/>
          </w:tcPr>
          <w:p w14:paraId="0A23466B">
            <w:pPr>
              <w:jc w:val="center"/>
              <w:rPr>
                <w:rFonts w:eastAsia="楷体_GB2312"/>
                <w:color w:val="000000"/>
                <w:kern w:val="0"/>
                <w:szCs w:val="21"/>
              </w:rPr>
            </w:pPr>
            <w:r>
              <w:rPr>
                <w:rFonts w:hint="eastAsia" w:eastAsia="楷体_GB2312"/>
                <w:color w:val="000000"/>
                <w:kern w:val="0"/>
                <w:szCs w:val="21"/>
              </w:rPr>
              <w:t>3</w:t>
            </w:r>
          </w:p>
        </w:tc>
        <w:tc>
          <w:tcPr>
            <w:tcW w:w="0" w:type="auto"/>
            <w:noWrap/>
            <w:vAlign w:val="center"/>
          </w:tcPr>
          <w:p w14:paraId="66CAE5BF">
            <w:pPr>
              <w:jc w:val="center"/>
              <w:rPr>
                <w:rFonts w:eastAsia="楷体_GB2312"/>
                <w:color w:val="000000"/>
                <w:kern w:val="0"/>
                <w:szCs w:val="21"/>
              </w:rPr>
            </w:pPr>
            <w:r>
              <w:rPr>
                <w:rFonts w:eastAsia="楷体_GB2312"/>
                <w:color w:val="000000"/>
                <w:kern w:val="0"/>
                <w:szCs w:val="21"/>
              </w:rPr>
              <w:t>255</w:t>
            </w:r>
          </w:p>
        </w:tc>
        <w:tc>
          <w:tcPr>
            <w:tcW w:w="0" w:type="auto"/>
            <w:noWrap/>
            <w:vAlign w:val="center"/>
          </w:tcPr>
          <w:p w14:paraId="06150315">
            <w:pPr>
              <w:jc w:val="center"/>
              <w:rPr>
                <w:rFonts w:eastAsia="楷体_GB2312"/>
                <w:color w:val="000000"/>
                <w:kern w:val="0"/>
                <w:szCs w:val="21"/>
              </w:rPr>
            </w:pPr>
            <w:r>
              <w:rPr>
                <w:rFonts w:eastAsia="楷体_GB2312"/>
                <w:color w:val="000000"/>
                <w:kern w:val="0"/>
                <w:szCs w:val="21"/>
              </w:rPr>
              <w:t>190</w:t>
            </w:r>
          </w:p>
        </w:tc>
        <w:tc>
          <w:tcPr>
            <w:tcW w:w="0" w:type="auto"/>
            <w:noWrap/>
            <w:vAlign w:val="center"/>
          </w:tcPr>
          <w:p w14:paraId="60708624">
            <w:pPr>
              <w:jc w:val="center"/>
              <w:rPr>
                <w:rFonts w:eastAsia="楷体_GB2312"/>
                <w:color w:val="000000"/>
                <w:kern w:val="0"/>
                <w:szCs w:val="21"/>
              </w:rPr>
            </w:pPr>
            <w:r>
              <w:rPr>
                <w:rFonts w:eastAsia="楷体_GB2312"/>
                <w:color w:val="000000"/>
                <w:kern w:val="0"/>
                <w:szCs w:val="21"/>
              </w:rPr>
              <w:t>144</w:t>
            </w:r>
          </w:p>
        </w:tc>
        <w:tc>
          <w:tcPr>
            <w:tcW w:w="0" w:type="auto"/>
            <w:noWrap/>
            <w:vAlign w:val="center"/>
          </w:tcPr>
          <w:p w14:paraId="1FC48498">
            <w:pPr>
              <w:jc w:val="center"/>
              <w:rPr>
                <w:rFonts w:eastAsia="楷体_GB2312"/>
                <w:color w:val="000000"/>
                <w:kern w:val="0"/>
                <w:szCs w:val="21"/>
              </w:rPr>
            </w:pPr>
            <w:r>
              <w:rPr>
                <w:rFonts w:eastAsia="楷体_GB2312"/>
                <w:color w:val="000000"/>
                <w:kern w:val="0"/>
                <w:szCs w:val="21"/>
              </w:rPr>
              <w:t>180</w:t>
            </w:r>
          </w:p>
        </w:tc>
        <w:tc>
          <w:tcPr>
            <w:tcW w:w="0" w:type="auto"/>
            <w:noWrap/>
            <w:vAlign w:val="center"/>
          </w:tcPr>
          <w:p w14:paraId="4B2BFDE0">
            <w:pPr>
              <w:jc w:val="center"/>
              <w:rPr>
                <w:rFonts w:eastAsia="楷体_GB2312"/>
                <w:color w:val="000000"/>
                <w:kern w:val="0"/>
                <w:szCs w:val="21"/>
              </w:rPr>
            </w:pPr>
            <w:r>
              <w:rPr>
                <w:rFonts w:eastAsia="楷体_GB2312"/>
                <w:color w:val="000000"/>
                <w:kern w:val="0"/>
                <w:szCs w:val="21"/>
              </w:rPr>
              <w:t>175</w:t>
            </w:r>
          </w:p>
        </w:tc>
        <w:tc>
          <w:tcPr>
            <w:tcW w:w="0" w:type="auto"/>
            <w:noWrap/>
            <w:vAlign w:val="center"/>
          </w:tcPr>
          <w:p w14:paraId="4EE022A0">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47A9F801">
            <w:pPr>
              <w:jc w:val="center"/>
              <w:rPr>
                <w:rFonts w:eastAsia="楷体_GB2312"/>
                <w:color w:val="000000"/>
                <w:kern w:val="0"/>
                <w:szCs w:val="21"/>
              </w:rPr>
            </w:pPr>
            <w:r>
              <w:rPr>
                <w:rFonts w:eastAsia="楷体_GB2312"/>
                <w:color w:val="000000"/>
                <w:kern w:val="0"/>
                <w:szCs w:val="21"/>
              </w:rPr>
              <w:t>165</w:t>
            </w:r>
          </w:p>
        </w:tc>
        <w:tc>
          <w:tcPr>
            <w:tcW w:w="0" w:type="auto"/>
            <w:noWrap/>
            <w:vAlign w:val="center"/>
          </w:tcPr>
          <w:p w14:paraId="1EE9D5D1">
            <w:pPr>
              <w:jc w:val="center"/>
              <w:rPr>
                <w:rFonts w:eastAsia="楷体_GB2312"/>
                <w:color w:val="000000"/>
                <w:kern w:val="0"/>
                <w:szCs w:val="21"/>
              </w:rPr>
            </w:pPr>
            <w:r>
              <w:rPr>
                <w:rFonts w:eastAsia="楷体_GB2312"/>
                <w:color w:val="000000"/>
                <w:kern w:val="0"/>
                <w:szCs w:val="21"/>
              </w:rPr>
              <w:t>160</w:t>
            </w:r>
          </w:p>
        </w:tc>
        <w:tc>
          <w:tcPr>
            <w:tcW w:w="0" w:type="auto"/>
            <w:noWrap/>
            <w:vAlign w:val="center"/>
          </w:tcPr>
          <w:p w14:paraId="1489DECC">
            <w:pPr>
              <w:jc w:val="center"/>
              <w:rPr>
                <w:rFonts w:eastAsia="楷体_GB2312"/>
                <w:color w:val="000000"/>
                <w:kern w:val="0"/>
                <w:szCs w:val="21"/>
              </w:rPr>
            </w:pPr>
            <w:r>
              <w:rPr>
                <w:rFonts w:eastAsia="楷体_GB2312"/>
                <w:color w:val="000000"/>
                <w:kern w:val="0"/>
                <w:szCs w:val="21"/>
              </w:rPr>
              <w:t>155</w:t>
            </w:r>
          </w:p>
        </w:tc>
      </w:tr>
      <w:tr w14:paraId="7ADF8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ign w:val="center"/>
          </w:tcPr>
          <w:p w14:paraId="13DAB975">
            <w:pPr>
              <w:jc w:val="center"/>
              <w:rPr>
                <w:rFonts w:eastAsia="楷体_GB2312"/>
                <w:color w:val="000000"/>
                <w:kern w:val="0"/>
                <w:szCs w:val="21"/>
              </w:rPr>
            </w:pPr>
            <w:r>
              <w:rPr>
                <w:rFonts w:eastAsia="楷体_GB2312"/>
                <w:color w:val="000000"/>
                <w:kern w:val="0"/>
                <w:szCs w:val="21"/>
              </w:rPr>
              <w:t>21</w:t>
            </w:r>
          </w:p>
        </w:tc>
        <w:tc>
          <w:tcPr>
            <w:tcW w:w="0" w:type="auto"/>
            <w:vMerge w:val="restart"/>
            <w:noWrap/>
            <w:vAlign w:val="center"/>
          </w:tcPr>
          <w:p w14:paraId="7B0230DE">
            <w:pPr>
              <w:jc w:val="center"/>
              <w:rPr>
                <w:rFonts w:eastAsia="楷体_GB2312"/>
                <w:color w:val="000000"/>
                <w:kern w:val="0"/>
                <w:szCs w:val="21"/>
              </w:rPr>
            </w:pPr>
            <w:r>
              <w:rPr>
                <w:rFonts w:eastAsia="楷体_GB2312"/>
                <w:color w:val="000000"/>
                <w:kern w:val="0"/>
                <w:szCs w:val="21"/>
              </w:rPr>
              <w:t>灰古镇</w:t>
            </w:r>
          </w:p>
        </w:tc>
        <w:tc>
          <w:tcPr>
            <w:tcW w:w="0" w:type="auto"/>
            <w:noWrap w:val="0"/>
            <w:vAlign w:val="top"/>
          </w:tcPr>
          <w:p w14:paraId="20E789C4">
            <w:pPr>
              <w:jc w:val="center"/>
              <w:rPr>
                <w:rFonts w:eastAsia="楷体_GB2312"/>
                <w:color w:val="000000"/>
                <w:kern w:val="0"/>
                <w:szCs w:val="21"/>
              </w:rPr>
            </w:pPr>
            <w:r>
              <w:rPr>
                <w:rFonts w:hint="eastAsia" w:eastAsia="楷体_GB2312"/>
                <w:color w:val="000000"/>
                <w:kern w:val="0"/>
                <w:szCs w:val="21"/>
              </w:rPr>
              <w:t>1</w:t>
            </w:r>
          </w:p>
        </w:tc>
        <w:tc>
          <w:tcPr>
            <w:tcW w:w="0" w:type="auto"/>
            <w:noWrap/>
            <w:vAlign w:val="center"/>
          </w:tcPr>
          <w:p w14:paraId="06F629EE">
            <w:pPr>
              <w:jc w:val="center"/>
              <w:rPr>
                <w:rFonts w:eastAsia="楷体_GB2312"/>
                <w:color w:val="000000"/>
                <w:kern w:val="0"/>
                <w:szCs w:val="21"/>
              </w:rPr>
            </w:pPr>
            <w:r>
              <w:rPr>
                <w:rFonts w:eastAsia="楷体_GB2312"/>
                <w:color w:val="000000"/>
                <w:kern w:val="0"/>
                <w:szCs w:val="21"/>
              </w:rPr>
              <w:t>430</w:t>
            </w:r>
          </w:p>
        </w:tc>
        <w:tc>
          <w:tcPr>
            <w:tcW w:w="0" w:type="auto"/>
            <w:noWrap/>
            <w:vAlign w:val="center"/>
          </w:tcPr>
          <w:p w14:paraId="11913B6E">
            <w:pPr>
              <w:jc w:val="center"/>
              <w:rPr>
                <w:rFonts w:eastAsia="楷体_GB2312"/>
                <w:color w:val="000000"/>
                <w:kern w:val="0"/>
                <w:szCs w:val="21"/>
              </w:rPr>
            </w:pPr>
            <w:r>
              <w:rPr>
                <w:rFonts w:eastAsia="楷体_GB2312"/>
                <w:color w:val="000000"/>
                <w:kern w:val="0"/>
                <w:szCs w:val="21"/>
              </w:rPr>
              <w:t>320</w:t>
            </w:r>
          </w:p>
        </w:tc>
        <w:tc>
          <w:tcPr>
            <w:tcW w:w="0" w:type="auto"/>
            <w:noWrap/>
            <w:vAlign w:val="center"/>
          </w:tcPr>
          <w:p w14:paraId="38C0B8E4">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559412D1">
            <w:pPr>
              <w:jc w:val="center"/>
              <w:rPr>
                <w:rFonts w:eastAsia="楷体_GB2312"/>
                <w:color w:val="000000"/>
                <w:kern w:val="0"/>
                <w:szCs w:val="21"/>
              </w:rPr>
            </w:pPr>
            <w:r>
              <w:rPr>
                <w:rFonts w:eastAsia="楷体_GB2312"/>
                <w:color w:val="000000"/>
                <w:kern w:val="0"/>
                <w:szCs w:val="21"/>
              </w:rPr>
              <w:t>300</w:t>
            </w:r>
          </w:p>
        </w:tc>
        <w:tc>
          <w:tcPr>
            <w:tcW w:w="0" w:type="auto"/>
            <w:noWrap/>
            <w:vAlign w:val="center"/>
          </w:tcPr>
          <w:p w14:paraId="38AC91CB">
            <w:pPr>
              <w:jc w:val="center"/>
              <w:rPr>
                <w:rFonts w:eastAsia="楷体_GB2312"/>
                <w:color w:val="000000"/>
                <w:kern w:val="0"/>
                <w:szCs w:val="21"/>
              </w:rPr>
            </w:pPr>
            <w:r>
              <w:rPr>
                <w:rFonts w:eastAsia="楷体_GB2312"/>
                <w:color w:val="000000"/>
                <w:kern w:val="0"/>
                <w:szCs w:val="21"/>
              </w:rPr>
              <w:t>280</w:t>
            </w:r>
          </w:p>
        </w:tc>
        <w:tc>
          <w:tcPr>
            <w:tcW w:w="0" w:type="auto"/>
            <w:noWrap/>
            <w:vAlign w:val="center"/>
          </w:tcPr>
          <w:p w14:paraId="6F0B448B">
            <w:pPr>
              <w:jc w:val="center"/>
              <w:rPr>
                <w:rFonts w:eastAsia="楷体_GB2312"/>
                <w:color w:val="000000"/>
                <w:kern w:val="0"/>
                <w:szCs w:val="21"/>
              </w:rPr>
            </w:pPr>
            <w:r>
              <w:rPr>
                <w:rFonts w:eastAsia="楷体_GB2312"/>
                <w:color w:val="000000"/>
                <w:kern w:val="0"/>
                <w:szCs w:val="21"/>
              </w:rPr>
              <w:t>270</w:t>
            </w:r>
          </w:p>
        </w:tc>
        <w:tc>
          <w:tcPr>
            <w:tcW w:w="0" w:type="auto"/>
            <w:noWrap/>
            <w:vAlign w:val="center"/>
          </w:tcPr>
          <w:p w14:paraId="6A487696">
            <w:pPr>
              <w:jc w:val="center"/>
              <w:rPr>
                <w:rFonts w:eastAsia="楷体_GB2312"/>
                <w:color w:val="000000"/>
                <w:kern w:val="0"/>
                <w:szCs w:val="21"/>
              </w:rPr>
            </w:pPr>
            <w:r>
              <w:rPr>
                <w:rFonts w:eastAsia="楷体_GB2312"/>
                <w:color w:val="000000"/>
                <w:kern w:val="0"/>
                <w:szCs w:val="21"/>
              </w:rPr>
              <w:t>260</w:t>
            </w:r>
          </w:p>
        </w:tc>
        <w:tc>
          <w:tcPr>
            <w:tcW w:w="0" w:type="auto"/>
            <w:noWrap/>
            <w:vAlign w:val="center"/>
          </w:tcPr>
          <w:p w14:paraId="764E0873">
            <w:pPr>
              <w:jc w:val="center"/>
              <w:rPr>
                <w:rFonts w:eastAsia="楷体_GB2312"/>
                <w:color w:val="000000"/>
                <w:kern w:val="0"/>
                <w:szCs w:val="21"/>
              </w:rPr>
            </w:pPr>
            <w:r>
              <w:rPr>
                <w:rFonts w:eastAsia="楷体_GB2312"/>
                <w:color w:val="000000"/>
                <w:kern w:val="0"/>
                <w:szCs w:val="21"/>
              </w:rPr>
              <w:t>250</w:t>
            </w:r>
          </w:p>
        </w:tc>
        <w:tc>
          <w:tcPr>
            <w:tcW w:w="0" w:type="auto"/>
            <w:noWrap/>
            <w:vAlign w:val="center"/>
          </w:tcPr>
          <w:p w14:paraId="21BBBA39">
            <w:pPr>
              <w:jc w:val="center"/>
              <w:rPr>
                <w:rFonts w:eastAsia="楷体_GB2312"/>
                <w:color w:val="000000"/>
                <w:kern w:val="0"/>
                <w:szCs w:val="21"/>
              </w:rPr>
            </w:pPr>
            <w:r>
              <w:rPr>
                <w:rFonts w:eastAsia="楷体_GB2312"/>
                <w:color w:val="000000"/>
                <w:kern w:val="0"/>
                <w:szCs w:val="21"/>
              </w:rPr>
              <w:t>230</w:t>
            </w:r>
          </w:p>
        </w:tc>
      </w:tr>
      <w:tr w14:paraId="41E5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5FB9571F">
            <w:pPr>
              <w:jc w:val="center"/>
              <w:rPr>
                <w:rFonts w:eastAsia="楷体_GB2312"/>
                <w:color w:val="000000"/>
                <w:kern w:val="0"/>
                <w:szCs w:val="21"/>
              </w:rPr>
            </w:pPr>
          </w:p>
        </w:tc>
        <w:tc>
          <w:tcPr>
            <w:tcW w:w="0" w:type="auto"/>
            <w:vMerge w:val="continue"/>
            <w:noWrap w:val="0"/>
            <w:vAlign w:val="center"/>
          </w:tcPr>
          <w:p w14:paraId="26929B21">
            <w:pPr>
              <w:jc w:val="center"/>
              <w:rPr>
                <w:rFonts w:eastAsia="楷体_GB2312"/>
                <w:color w:val="000000"/>
                <w:kern w:val="0"/>
                <w:szCs w:val="21"/>
              </w:rPr>
            </w:pPr>
          </w:p>
        </w:tc>
        <w:tc>
          <w:tcPr>
            <w:tcW w:w="0" w:type="auto"/>
            <w:noWrap w:val="0"/>
            <w:vAlign w:val="top"/>
          </w:tcPr>
          <w:p w14:paraId="38358410">
            <w:pPr>
              <w:jc w:val="center"/>
              <w:rPr>
                <w:rFonts w:eastAsia="楷体_GB2312"/>
                <w:color w:val="000000"/>
                <w:kern w:val="0"/>
                <w:szCs w:val="21"/>
              </w:rPr>
            </w:pPr>
            <w:r>
              <w:rPr>
                <w:rFonts w:hint="eastAsia" w:eastAsia="楷体_GB2312"/>
                <w:color w:val="000000"/>
                <w:kern w:val="0"/>
                <w:szCs w:val="21"/>
              </w:rPr>
              <w:t>2</w:t>
            </w:r>
          </w:p>
        </w:tc>
        <w:tc>
          <w:tcPr>
            <w:tcW w:w="0" w:type="auto"/>
            <w:noWrap/>
            <w:vAlign w:val="center"/>
          </w:tcPr>
          <w:p w14:paraId="2CFC2D32">
            <w:pPr>
              <w:jc w:val="center"/>
              <w:rPr>
                <w:rFonts w:eastAsia="楷体_GB2312"/>
                <w:color w:val="000000"/>
                <w:kern w:val="0"/>
                <w:szCs w:val="21"/>
              </w:rPr>
            </w:pPr>
            <w:r>
              <w:rPr>
                <w:rFonts w:eastAsia="楷体_GB2312"/>
                <w:color w:val="000000"/>
                <w:kern w:val="0"/>
                <w:szCs w:val="21"/>
              </w:rPr>
              <w:t>350</w:t>
            </w:r>
          </w:p>
        </w:tc>
        <w:tc>
          <w:tcPr>
            <w:tcW w:w="0" w:type="auto"/>
            <w:noWrap/>
            <w:vAlign w:val="center"/>
          </w:tcPr>
          <w:p w14:paraId="4EE1BF13">
            <w:pPr>
              <w:jc w:val="center"/>
              <w:rPr>
                <w:rFonts w:eastAsia="楷体_GB2312"/>
                <w:color w:val="000000"/>
                <w:kern w:val="0"/>
                <w:szCs w:val="21"/>
              </w:rPr>
            </w:pPr>
            <w:r>
              <w:rPr>
                <w:rFonts w:eastAsia="楷体_GB2312"/>
                <w:color w:val="000000"/>
                <w:kern w:val="0"/>
                <w:szCs w:val="21"/>
              </w:rPr>
              <w:t>255</w:t>
            </w:r>
          </w:p>
        </w:tc>
        <w:tc>
          <w:tcPr>
            <w:tcW w:w="0" w:type="auto"/>
            <w:noWrap/>
            <w:vAlign w:val="center"/>
          </w:tcPr>
          <w:p w14:paraId="3C493065">
            <w:pPr>
              <w:jc w:val="center"/>
              <w:rPr>
                <w:rFonts w:eastAsia="楷体_GB2312"/>
                <w:color w:val="000000"/>
                <w:kern w:val="0"/>
                <w:szCs w:val="21"/>
              </w:rPr>
            </w:pPr>
            <w:r>
              <w:rPr>
                <w:rFonts w:eastAsia="楷体_GB2312"/>
                <w:color w:val="000000"/>
                <w:kern w:val="0"/>
                <w:szCs w:val="21"/>
              </w:rPr>
              <w:t>155</w:t>
            </w:r>
          </w:p>
        </w:tc>
        <w:tc>
          <w:tcPr>
            <w:tcW w:w="0" w:type="auto"/>
            <w:noWrap/>
            <w:vAlign w:val="center"/>
          </w:tcPr>
          <w:p w14:paraId="4E4CFD58">
            <w:pPr>
              <w:jc w:val="center"/>
              <w:rPr>
                <w:rFonts w:eastAsia="楷体_GB2312"/>
                <w:color w:val="000000"/>
                <w:kern w:val="0"/>
                <w:szCs w:val="21"/>
              </w:rPr>
            </w:pPr>
            <w:r>
              <w:rPr>
                <w:rFonts w:eastAsia="楷体_GB2312"/>
                <w:color w:val="000000"/>
                <w:kern w:val="0"/>
                <w:szCs w:val="21"/>
              </w:rPr>
              <w:t>245</w:t>
            </w:r>
          </w:p>
        </w:tc>
        <w:tc>
          <w:tcPr>
            <w:tcW w:w="0" w:type="auto"/>
            <w:noWrap/>
            <w:vAlign w:val="center"/>
          </w:tcPr>
          <w:p w14:paraId="6650B0BD">
            <w:pPr>
              <w:jc w:val="center"/>
              <w:rPr>
                <w:rFonts w:eastAsia="楷体_GB2312"/>
                <w:color w:val="000000"/>
                <w:kern w:val="0"/>
                <w:szCs w:val="21"/>
              </w:rPr>
            </w:pPr>
            <w:r>
              <w:rPr>
                <w:rFonts w:eastAsia="楷体_GB2312"/>
                <w:color w:val="000000"/>
                <w:kern w:val="0"/>
                <w:szCs w:val="21"/>
              </w:rPr>
              <w:t>235</w:t>
            </w:r>
          </w:p>
        </w:tc>
        <w:tc>
          <w:tcPr>
            <w:tcW w:w="0" w:type="auto"/>
            <w:noWrap/>
            <w:vAlign w:val="center"/>
          </w:tcPr>
          <w:p w14:paraId="5BBD5B81">
            <w:pPr>
              <w:jc w:val="center"/>
              <w:rPr>
                <w:rFonts w:eastAsia="楷体_GB2312"/>
                <w:color w:val="000000"/>
                <w:kern w:val="0"/>
                <w:szCs w:val="21"/>
              </w:rPr>
            </w:pPr>
            <w:r>
              <w:rPr>
                <w:rFonts w:eastAsia="楷体_GB2312"/>
                <w:color w:val="000000"/>
                <w:kern w:val="0"/>
                <w:szCs w:val="21"/>
              </w:rPr>
              <w:t>225</w:t>
            </w:r>
          </w:p>
        </w:tc>
        <w:tc>
          <w:tcPr>
            <w:tcW w:w="0" w:type="auto"/>
            <w:noWrap/>
            <w:vAlign w:val="center"/>
          </w:tcPr>
          <w:p w14:paraId="0C192635">
            <w:pPr>
              <w:jc w:val="center"/>
              <w:rPr>
                <w:rFonts w:eastAsia="楷体_GB2312"/>
                <w:color w:val="000000"/>
                <w:kern w:val="0"/>
                <w:szCs w:val="21"/>
              </w:rPr>
            </w:pPr>
            <w:r>
              <w:rPr>
                <w:rFonts w:eastAsia="楷体_GB2312"/>
                <w:color w:val="000000"/>
                <w:kern w:val="0"/>
                <w:szCs w:val="21"/>
              </w:rPr>
              <w:t>220</w:t>
            </w:r>
          </w:p>
        </w:tc>
        <w:tc>
          <w:tcPr>
            <w:tcW w:w="0" w:type="auto"/>
            <w:noWrap/>
            <w:vAlign w:val="center"/>
          </w:tcPr>
          <w:p w14:paraId="6A0640AB">
            <w:pPr>
              <w:jc w:val="center"/>
              <w:rPr>
                <w:rFonts w:eastAsia="楷体_GB2312"/>
                <w:color w:val="000000"/>
                <w:kern w:val="0"/>
                <w:szCs w:val="21"/>
              </w:rPr>
            </w:pPr>
            <w:r>
              <w:rPr>
                <w:rFonts w:eastAsia="楷体_GB2312"/>
                <w:color w:val="000000"/>
                <w:kern w:val="0"/>
                <w:szCs w:val="21"/>
              </w:rPr>
              <w:t>215</w:t>
            </w:r>
          </w:p>
        </w:tc>
        <w:tc>
          <w:tcPr>
            <w:tcW w:w="0" w:type="auto"/>
            <w:noWrap/>
            <w:vAlign w:val="center"/>
          </w:tcPr>
          <w:p w14:paraId="5D8FBB0B">
            <w:pPr>
              <w:jc w:val="center"/>
              <w:rPr>
                <w:rFonts w:eastAsia="楷体_GB2312"/>
                <w:color w:val="000000"/>
                <w:kern w:val="0"/>
                <w:szCs w:val="21"/>
              </w:rPr>
            </w:pPr>
            <w:r>
              <w:rPr>
                <w:rFonts w:eastAsia="楷体_GB2312"/>
                <w:color w:val="000000"/>
                <w:kern w:val="0"/>
                <w:szCs w:val="21"/>
              </w:rPr>
              <w:t>205</w:t>
            </w:r>
          </w:p>
        </w:tc>
      </w:tr>
      <w:tr w14:paraId="1511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46864313">
            <w:pPr>
              <w:jc w:val="center"/>
              <w:rPr>
                <w:rFonts w:eastAsia="楷体_GB2312"/>
                <w:color w:val="000000"/>
                <w:kern w:val="0"/>
                <w:szCs w:val="21"/>
              </w:rPr>
            </w:pPr>
          </w:p>
        </w:tc>
        <w:tc>
          <w:tcPr>
            <w:tcW w:w="0" w:type="auto"/>
            <w:vMerge w:val="continue"/>
            <w:noWrap w:val="0"/>
            <w:vAlign w:val="center"/>
          </w:tcPr>
          <w:p w14:paraId="410671B3">
            <w:pPr>
              <w:jc w:val="center"/>
              <w:rPr>
                <w:rFonts w:eastAsia="楷体_GB2312"/>
                <w:color w:val="000000"/>
                <w:kern w:val="0"/>
                <w:szCs w:val="21"/>
              </w:rPr>
            </w:pPr>
          </w:p>
        </w:tc>
        <w:tc>
          <w:tcPr>
            <w:tcW w:w="0" w:type="auto"/>
            <w:noWrap w:val="0"/>
            <w:vAlign w:val="top"/>
          </w:tcPr>
          <w:p w14:paraId="2A724013">
            <w:pPr>
              <w:jc w:val="center"/>
              <w:rPr>
                <w:rFonts w:eastAsia="楷体_GB2312"/>
                <w:color w:val="000000"/>
                <w:kern w:val="0"/>
                <w:szCs w:val="21"/>
              </w:rPr>
            </w:pPr>
            <w:r>
              <w:rPr>
                <w:rFonts w:hint="eastAsia" w:eastAsia="楷体_GB2312"/>
                <w:color w:val="000000"/>
                <w:kern w:val="0"/>
                <w:szCs w:val="21"/>
              </w:rPr>
              <w:t>3</w:t>
            </w:r>
          </w:p>
        </w:tc>
        <w:tc>
          <w:tcPr>
            <w:tcW w:w="0" w:type="auto"/>
            <w:noWrap/>
            <w:vAlign w:val="center"/>
          </w:tcPr>
          <w:p w14:paraId="3EB5C669">
            <w:pPr>
              <w:jc w:val="center"/>
              <w:rPr>
                <w:rFonts w:eastAsia="楷体_GB2312"/>
                <w:color w:val="000000"/>
                <w:kern w:val="0"/>
                <w:szCs w:val="21"/>
              </w:rPr>
            </w:pPr>
            <w:r>
              <w:rPr>
                <w:rFonts w:eastAsia="楷体_GB2312"/>
                <w:color w:val="000000"/>
                <w:kern w:val="0"/>
                <w:szCs w:val="21"/>
              </w:rPr>
              <w:t>285</w:t>
            </w:r>
          </w:p>
        </w:tc>
        <w:tc>
          <w:tcPr>
            <w:tcW w:w="0" w:type="auto"/>
            <w:noWrap/>
            <w:vAlign w:val="center"/>
          </w:tcPr>
          <w:p w14:paraId="1B02F402">
            <w:pPr>
              <w:jc w:val="center"/>
              <w:rPr>
                <w:rFonts w:eastAsia="楷体_GB2312"/>
                <w:color w:val="000000"/>
                <w:kern w:val="0"/>
                <w:szCs w:val="21"/>
              </w:rPr>
            </w:pPr>
            <w:r>
              <w:rPr>
                <w:rFonts w:eastAsia="楷体_GB2312"/>
                <w:color w:val="000000"/>
                <w:kern w:val="0"/>
                <w:szCs w:val="21"/>
              </w:rPr>
              <w:t>200</w:t>
            </w:r>
          </w:p>
        </w:tc>
        <w:tc>
          <w:tcPr>
            <w:tcW w:w="0" w:type="auto"/>
            <w:noWrap/>
            <w:vAlign w:val="center"/>
          </w:tcPr>
          <w:p w14:paraId="26232E3E">
            <w:pPr>
              <w:jc w:val="center"/>
              <w:rPr>
                <w:rFonts w:eastAsia="楷体_GB2312"/>
                <w:color w:val="000000"/>
                <w:kern w:val="0"/>
                <w:szCs w:val="21"/>
              </w:rPr>
            </w:pPr>
            <w:r>
              <w:rPr>
                <w:rFonts w:eastAsia="楷体_GB2312"/>
                <w:color w:val="000000"/>
                <w:kern w:val="0"/>
                <w:szCs w:val="21"/>
              </w:rPr>
              <w:t>144</w:t>
            </w:r>
          </w:p>
        </w:tc>
        <w:tc>
          <w:tcPr>
            <w:tcW w:w="0" w:type="auto"/>
            <w:noWrap/>
            <w:vAlign w:val="center"/>
          </w:tcPr>
          <w:p w14:paraId="023B4709">
            <w:pPr>
              <w:jc w:val="center"/>
              <w:rPr>
                <w:rFonts w:eastAsia="楷体_GB2312"/>
                <w:color w:val="000000"/>
                <w:kern w:val="0"/>
                <w:szCs w:val="21"/>
              </w:rPr>
            </w:pPr>
            <w:r>
              <w:rPr>
                <w:rFonts w:eastAsia="楷体_GB2312"/>
                <w:color w:val="000000"/>
                <w:kern w:val="0"/>
                <w:szCs w:val="21"/>
              </w:rPr>
              <w:t>190</w:t>
            </w:r>
          </w:p>
        </w:tc>
        <w:tc>
          <w:tcPr>
            <w:tcW w:w="0" w:type="auto"/>
            <w:noWrap/>
            <w:vAlign w:val="center"/>
          </w:tcPr>
          <w:p w14:paraId="4A93DCCC">
            <w:pPr>
              <w:jc w:val="center"/>
              <w:rPr>
                <w:rFonts w:eastAsia="楷体_GB2312"/>
                <w:color w:val="000000"/>
                <w:kern w:val="0"/>
                <w:szCs w:val="21"/>
              </w:rPr>
            </w:pPr>
            <w:r>
              <w:rPr>
                <w:rFonts w:eastAsia="楷体_GB2312"/>
                <w:color w:val="000000"/>
                <w:kern w:val="0"/>
                <w:szCs w:val="21"/>
              </w:rPr>
              <w:t>185</w:t>
            </w:r>
          </w:p>
        </w:tc>
        <w:tc>
          <w:tcPr>
            <w:tcW w:w="0" w:type="auto"/>
            <w:noWrap/>
            <w:vAlign w:val="center"/>
          </w:tcPr>
          <w:p w14:paraId="1A24B5ED">
            <w:pPr>
              <w:jc w:val="center"/>
              <w:rPr>
                <w:rFonts w:eastAsia="楷体_GB2312"/>
                <w:color w:val="000000"/>
                <w:kern w:val="0"/>
                <w:szCs w:val="21"/>
              </w:rPr>
            </w:pPr>
            <w:r>
              <w:rPr>
                <w:rFonts w:eastAsia="楷体_GB2312"/>
                <w:color w:val="000000"/>
                <w:kern w:val="0"/>
                <w:szCs w:val="21"/>
              </w:rPr>
              <w:t>180</w:t>
            </w:r>
          </w:p>
        </w:tc>
        <w:tc>
          <w:tcPr>
            <w:tcW w:w="0" w:type="auto"/>
            <w:noWrap/>
            <w:vAlign w:val="center"/>
          </w:tcPr>
          <w:p w14:paraId="58BC00D2">
            <w:pPr>
              <w:jc w:val="center"/>
              <w:rPr>
                <w:rFonts w:eastAsia="楷体_GB2312"/>
                <w:color w:val="000000"/>
                <w:kern w:val="0"/>
                <w:szCs w:val="21"/>
              </w:rPr>
            </w:pPr>
            <w:r>
              <w:rPr>
                <w:rFonts w:eastAsia="楷体_GB2312"/>
                <w:color w:val="000000"/>
                <w:kern w:val="0"/>
                <w:szCs w:val="21"/>
              </w:rPr>
              <w:t>175</w:t>
            </w:r>
          </w:p>
        </w:tc>
        <w:tc>
          <w:tcPr>
            <w:tcW w:w="0" w:type="auto"/>
            <w:noWrap/>
            <w:vAlign w:val="center"/>
          </w:tcPr>
          <w:p w14:paraId="6AED89AC">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6EB61A13">
            <w:pPr>
              <w:jc w:val="center"/>
              <w:rPr>
                <w:rFonts w:eastAsia="楷体_GB2312"/>
                <w:color w:val="000000"/>
                <w:kern w:val="0"/>
                <w:szCs w:val="21"/>
              </w:rPr>
            </w:pPr>
            <w:r>
              <w:rPr>
                <w:rFonts w:eastAsia="楷体_GB2312"/>
                <w:color w:val="000000"/>
                <w:kern w:val="0"/>
                <w:szCs w:val="21"/>
              </w:rPr>
              <w:t>165</w:t>
            </w:r>
          </w:p>
        </w:tc>
      </w:tr>
      <w:tr w14:paraId="4B406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restart"/>
            <w:noWrap/>
            <w:vAlign w:val="center"/>
          </w:tcPr>
          <w:p w14:paraId="6EAE8AD2">
            <w:pPr>
              <w:jc w:val="center"/>
              <w:rPr>
                <w:rFonts w:eastAsia="楷体_GB2312"/>
                <w:color w:val="000000"/>
                <w:kern w:val="0"/>
                <w:szCs w:val="21"/>
              </w:rPr>
            </w:pPr>
            <w:r>
              <w:rPr>
                <w:rFonts w:eastAsia="楷体_GB2312"/>
                <w:color w:val="000000"/>
                <w:kern w:val="0"/>
                <w:szCs w:val="21"/>
              </w:rPr>
              <w:t>22</w:t>
            </w:r>
          </w:p>
        </w:tc>
        <w:tc>
          <w:tcPr>
            <w:tcW w:w="0" w:type="auto"/>
            <w:vMerge w:val="restart"/>
            <w:noWrap/>
            <w:vAlign w:val="center"/>
          </w:tcPr>
          <w:p w14:paraId="222A03A9">
            <w:pPr>
              <w:jc w:val="center"/>
              <w:rPr>
                <w:rFonts w:eastAsia="楷体_GB2312"/>
                <w:color w:val="000000"/>
                <w:kern w:val="0"/>
                <w:szCs w:val="21"/>
              </w:rPr>
            </w:pPr>
            <w:r>
              <w:rPr>
                <w:rFonts w:eastAsia="楷体_GB2312"/>
                <w:color w:val="000000"/>
                <w:kern w:val="0"/>
                <w:szCs w:val="21"/>
              </w:rPr>
              <w:t>桃沟乡</w:t>
            </w:r>
          </w:p>
        </w:tc>
        <w:tc>
          <w:tcPr>
            <w:tcW w:w="0" w:type="auto"/>
            <w:noWrap w:val="0"/>
            <w:vAlign w:val="top"/>
          </w:tcPr>
          <w:p w14:paraId="293C6A87">
            <w:pPr>
              <w:jc w:val="center"/>
              <w:rPr>
                <w:rFonts w:eastAsia="楷体_GB2312"/>
                <w:color w:val="000000"/>
                <w:kern w:val="0"/>
                <w:szCs w:val="21"/>
              </w:rPr>
            </w:pPr>
            <w:r>
              <w:rPr>
                <w:rFonts w:hint="eastAsia" w:eastAsia="楷体_GB2312"/>
                <w:color w:val="000000"/>
                <w:kern w:val="0"/>
                <w:szCs w:val="21"/>
              </w:rPr>
              <w:t>1</w:t>
            </w:r>
          </w:p>
        </w:tc>
        <w:tc>
          <w:tcPr>
            <w:tcW w:w="0" w:type="auto"/>
            <w:noWrap/>
            <w:vAlign w:val="center"/>
          </w:tcPr>
          <w:p w14:paraId="4D49ECE0">
            <w:pPr>
              <w:jc w:val="center"/>
              <w:rPr>
                <w:rFonts w:eastAsia="楷体_GB2312"/>
                <w:color w:val="000000"/>
                <w:kern w:val="0"/>
                <w:szCs w:val="21"/>
              </w:rPr>
            </w:pPr>
            <w:r>
              <w:rPr>
                <w:rFonts w:eastAsia="楷体_GB2312"/>
                <w:color w:val="000000"/>
                <w:kern w:val="0"/>
                <w:szCs w:val="21"/>
              </w:rPr>
              <w:t>425</w:t>
            </w:r>
          </w:p>
        </w:tc>
        <w:tc>
          <w:tcPr>
            <w:tcW w:w="0" w:type="auto"/>
            <w:noWrap/>
            <w:vAlign w:val="center"/>
          </w:tcPr>
          <w:p w14:paraId="7567EFA8">
            <w:pPr>
              <w:jc w:val="center"/>
              <w:rPr>
                <w:rFonts w:eastAsia="楷体_GB2312"/>
                <w:color w:val="000000"/>
                <w:kern w:val="0"/>
                <w:szCs w:val="21"/>
              </w:rPr>
            </w:pPr>
            <w:r>
              <w:rPr>
                <w:rFonts w:eastAsia="楷体_GB2312"/>
                <w:color w:val="000000"/>
                <w:kern w:val="0"/>
                <w:szCs w:val="21"/>
              </w:rPr>
              <w:t>310</w:t>
            </w:r>
          </w:p>
        </w:tc>
        <w:tc>
          <w:tcPr>
            <w:tcW w:w="0" w:type="auto"/>
            <w:noWrap/>
            <w:vAlign w:val="center"/>
          </w:tcPr>
          <w:p w14:paraId="205863EE">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24DAC12D">
            <w:pPr>
              <w:jc w:val="center"/>
              <w:rPr>
                <w:rFonts w:eastAsia="楷体_GB2312"/>
                <w:color w:val="000000"/>
                <w:kern w:val="0"/>
                <w:szCs w:val="21"/>
              </w:rPr>
            </w:pPr>
            <w:r>
              <w:rPr>
                <w:rFonts w:eastAsia="楷体_GB2312"/>
                <w:color w:val="000000"/>
                <w:kern w:val="0"/>
                <w:szCs w:val="21"/>
              </w:rPr>
              <w:t>290</w:t>
            </w:r>
          </w:p>
        </w:tc>
        <w:tc>
          <w:tcPr>
            <w:tcW w:w="0" w:type="auto"/>
            <w:noWrap/>
            <w:vAlign w:val="center"/>
          </w:tcPr>
          <w:p w14:paraId="144B60AF">
            <w:pPr>
              <w:jc w:val="center"/>
              <w:rPr>
                <w:rFonts w:eastAsia="楷体_GB2312"/>
                <w:color w:val="000000"/>
                <w:kern w:val="0"/>
                <w:szCs w:val="21"/>
              </w:rPr>
            </w:pPr>
            <w:r>
              <w:rPr>
                <w:rFonts w:eastAsia="楷体_GB2312"/>
                <w:color w:val="000000"/>
                <w:kern w:val="0"/>
                <w:szCs w:val="21"/>
              </w:rPr>
              <w:t>270</w:t>
            </w:r>
          </w:p>
        </w:tc>
        <w:tc>
          <w:tcPr>
            <w:tcW w:w="0" w:type="auto"/>
            <w:noWrap/>
            <w:vAlign w:val="center"/>
          </w:tcPr>
          <w:p w14:paraId="25BDD648">
            <w:pPr>
              <w:jc w:val="center"/>
              <w:rPr>
                <w:rFonts w:eastAsia="楷体_GB2312"/>
                <w:color w:val="000000"/>
                <w:kern w:val="0"/>
                <w:szCs w:val="21"/>
              </w:rPr>
            </w:pPr>
            <w:r>
              <w:rPr>
                <w:rFonts w:eastAsia="楷体_GB2312"/>
                <w:color w:val="000000"/>
                <w:kern w:val="0"/>
                <w:szCs w:val="21"/>
              </w:rPr>
              <w:t>260</w:t>
            </w:r>
          </w:p>
        </w:tc>
        <w:tc>
          <w:tcPr>
            <w:tcW w:w="0" w:type="auto"/>
            <w:noWrap/>
            <w:vAlign w:val="center"/>
          </w:tcPr>
          <w:p w14:paraId="660ECFEE">
            <w:pPr>
              <w:jc w:val="center"/>
              <w:rPr>
                <w:rFonts w:eastAsia="楷体_GB2312"/>
                <w:color w:val="000000"/>
                <w:kern w:val="0"/>
                <w:szCs w:val="21"/>
              </w:rPr>
            </w:pPr>
            <w:r>
              <w:rPr>
                <w:rFonts w:eastAsia="楷体_GB2312"/>
                <w:color w:val="000000"/>
                <w:kern w:val="0"/>
                <w:szCs w:val="21"/>
              </w:rPr>
              <w:t>250</w:t>
            </w:r>
          </w:p>
        </w:tc>
        <w:tc>
          <w:tcPr>
            <w:tcW w:w="0" w:type="auto"/>
            <w:noWrap/>
            <w:vAlign w:val="center"/>
          </w:tcPr>
          <w:p w14:paraId="6C1CEB61">
            <w:pPr>
              <w:jc w:val="center"/>
              <w:rPr>
                <w:rFonts w:eastAsia="楷体_GB2312"/>
                <w:color w:val="000000"/>
                <w:kern w:val="0"/>
                <w:szCs w:val="21"/>
              </w:rPr>
            </w:pPr>
            <w:r>
              <w:rPr>
                <w:rFonts w:eastAsia="楷体_GB2312"/>
                <w:color w:val="000000"/>
                <w:kern w:val="0"/>
                <w:szCs w:val="21"/>
              </w:rPr>
              <w:t>240</w:t>
            </w:r>
          </w:p>
        </w:tc>
        <w:tc>
          <w:tcPr>
            <w:tcW w:w="0" w:type="auto"/>
            <w:noWrap/>
            <w:vAlign w:val="center"/>
          </w:tcPr>
          <w:p w14:paraId="4B886C28">
            <w:pPr>
              <w:jc w:val="center"/>
              <w:rPr>
                <w:rFonts w:eastAsia="楷体_GB2312"/>
                <w:color w:val="000000"/>
                <w:kern w:val="0"/>
                <w:szCs w:val="21"/>
              </w:rPr>
            </w:pPr>
            <w:r>
              <w:rPr>
                <w:rFonts w:eastAsia="楷体_GB2312"/>
                <w:color w:val="000000"/>
                <w:kern w:val="0"/>
                <w:szCs w:val="21"/>
              </w:rPr>
              <w:t>220</w:t>
            </w:r>
          </w:p>
        </w:tc>
      </w:tr>
      <w:tr w14:paraId="3958C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6430E658">
            <w:pPr>
              <w:jc w:val="center"/>
              <w:rPr>
                <w:rFonts w:eastAsia="楷体_GB2312"/>
                <w:color w:val="000000"/>
                <w:kern w:val="0"/>
                <w:szCs w:val="21"/>
              </w:rPr>
            </w:pPr>
          </w:p>
        </w:tc>
        <w:tc>
          <w:tcPr>
            <w:tcW w:w="0" w:type="auto"/>
            <w:vMerge w:val="continue"/>
            <w:noWrap w:val="0"/>
            <w:vAlign w:val="center"/>
          </w:tcPr>
          <w:p w14:paraId="56BE4198">
            <w:pPr>
              <w:jc w:val="center"/>
              <w:rPr>
                <w:rFonts w:eastAsia="楷体_GB2312"/>
                <w:color w:val="000000"/>
                <w:kern w:val="0"/>
                <w:szCs w:val="21"/>
              </w:rPr>
            </w:pPr>
          </w:p>
        </w:tc>
        <w:tc>
          <w:tcPr>
            <w:tcW w:w="0" w:type="auto"/>
            <w:noWrap w:val="0"/>
            <w:vAlign w:val="top"/>
          </w:tcPr>
          <w:p w14:paraId="6DD0FB6D">
            <w:pPr>
              <w:jc w:val="center"/>
              <w:rPr>
                <w:rFonts w:eastAsia="楷体_GB2312"/>
                <w:color w:val="000000"/>
                <w:kern w:val="0"/>
                <w:szCs w:val="21"/>
              </w:rPr>
            </w:pPr>
            <w:r>
              <w:rPr>
                <w:rFonts w:hint="eastAsia" w:eastAsia="楷体_GB2312"/>
                <w:color w:val="000000"/>
                <w:kern w:val="0"/>
                <w:szCs w:val="21"/>
              </w:rPr>
              <w:t>2</w:t>
            </w:r>
          </w:p>
        </w:tc>
        <w:tc>
          <w:tcPr>
            <w:tcW w:w="0" w:type="auto"/>
            <w:noWrap/>
            <w:vAlign w:val="center"/>
          </w:tcPr>
          <w:p w14:paraId="49286C36">
            <w:pPr>
              <w:jc w:val="center"/>
              <w:rPr>
                <w:rFonts w:eastAsia="楷体_GB2312"/>
                <w:color w:val="000000"/>
                <w:kern w:val="0"/>
                <w:szCs w:val="21"/>
              </w:rPr>
            </w:pPr>
            <w:r>
              <w:rPr>
                <w:rFonts w:eastAsia="楷体_GB2312"/>
                <w:color w:val="000000"/>
                <w:kern w:val="0"/>
                <w:szCs w:val="21"/>
              </w:rPr>
              <w:t>335</w:t>
            </w:r>
          </w:p>
        </w:tc>
        <w:tc>
          <w:tcPr>
            <w:tcW w:w="0" w:type="auto"/>
            <w:noWrap/>
            <w:vAlign w:val="center"/>
          </w:tcPr>
          <w:p w14:paraId="5DA0D158">
            <w:pPr>
              <w:jc w:val="center"/>
              <w:rPr>
                <w:rFonts w:eastAsia="楷体_GB2312"/>
                <w:color w:val="000000"/>
                <w:kern w:val="0"/>
                <w:szCs w:val="21"/>
              </w:rPr>
            </w:pPr>
            <w:r>
              <w:rPr>
                <w:rFonts w:eastAsia="楷体_GB2312"/>
                <w:color w:val="000000"/>
                <w:kern w:val="0"/>
                <w:szCs w:val="21"/>
              </w:rPr>
              <w:t>250</w:t>
            </w:r>
          </w:p>
        </w:tc>
        <w:tc>
          <w:tcPr>
            <w:tcW w:w="0" w:type="auto"/>
            <w:noWrap/>
            <w:vAlign w:val="center"/>
          </w:tcPr>
          <w:p w14:paraId="3145B2B4">
            <w:pPr>
              <w:jc w:val="center"/>
              <w:rPr>
                <w:rFonts w:eastAsia="楷体_GB2312"/>
                <w:color w:val="000000"/>
                <w:kern w:val="0"/>
                <w:szCs w:val="21"/>
              </w:rPr>
            </w:pPr>
            <w:r>
              <w:rPr>
                <w:rFonts w:eastAsia="楷体_GB2312"/>
                <w:color w:val="000000"/>
                <w:kern w:val="0"/>
                <w:szCs w:val="21"/>
              </w:rPr>
              <w:t>155</w:t>
            </w:r>
          </w:p>
        </w:tc>
        <w:tc>
          <w:tcPr>
            <w:tcW w:w="0" w:type="auto"/>
            <w:noWrap/>
            <w:vAlign w:val="center"/>
          </w:tcPr>
          <w:p w14:paraId="12BB1E8C">
            <w:pPr>
              <w:jc w:val="center"/>
              <w:rPr>
                <w:rFonts w:eastAsia="楷体_GB2312"/>
                <w:kern w:val="0"/>
                <w:szCs w:val="21"/>
              </w:rPr>
            </w:pPr>
            <w:r>
              <w:rPr>
                <w:rFonts w:eastAsia="楷体_GB2312"/>
                <w:kern w:val="0"/>
                <w:szCs w:val="21"/>
              </w:rPr>
              <w:t>240</w:t>
            </w:r>
          </w:p>
        </w:tc>
        <w:tc>
          <w:tcPr>
            <w:tcW w:w="0" w:type="auto"/>
            <w:noWrap/>
            <w:vAlign w:val="center"/>
          </w:tcPr>
          <w:p w14:paraId="25B68DCA">
            <w:pPr>
              <w:jc w:val="center"/>
              <w:rPr>
                <w:rFonts w:eastAsia="楷体_GB2312"/>
                <w:kern w:val="0"/>
                <w:szCs w:val="21"/>
              </w:rPr>
            </w:pPr>
            <w:r>
              <w:rPr>
                <w:rFonts w:eastAsia="楷体_GB2312"/>
                <w:kern w:val="0"/>
                <w:szCs w:val="21"/>
              </w:rPr>
              <w:t>230</w:t>
            </w:r>
          </w:p>
        </w:tc>
        <w:tc>
          <w:tcPr>
            <w:tcW w:w="0" w:type="auto"/>
            <w:noWrap/>
            <w:vAlign w:val="center"/>
          </w:tcPr>
          <w:p w14:paraId="4C9F52CB">
            <w:pPr>
              <w:jc w:val="center"/>
              <w:rPr>
                <w:rFonts w:eastAsia="楷体_GB2312"/>
                <w:kern w:val="0"/>
                <w:szCs w:val="21"/>
              </w:rPr>
            </w:pPr>
            <w:r>
              <w:rPr>
                <w:rFonts w:eastAsia="楷体_GB2312"/>
                <w:kern w:val="0"/>
                <w:szCs w:val="21"/>
              </w:rPr>
              <w:t>220</w:t>
            </w:r>
          </w:p>
        </w:tc>
        <w:tc>
          <w:tcPr>
            <w:tcW w:w="0" w:type="auto"/>
            <w:noWrap/>
            <w:vAlign w:val="center"/>
          </w:tcPr>
          <w:p w14:paraId="4962BC5A">
            <w:pPr>
              <w:jc w:val="center"/>
              <w:rPr>
                <w:rFonts w:eastAsia="楷体_GB2312"/>
                <w:kern w:val="0"/>
                <w:szCs w:val="21"/>
              </w:rPr>
            </w:pPr>
            <w:r>
              <w:rPr>
                <w:rFonts w:eastAsia="楷体_GB2312"/>
                <w:kern w:val="0"/>
                <w:szCs w:val="21"/>
              </w:rPr>
              <w:t>215</w:t>
            </w:r>
          </w:p>
        </w:tc>
        <w:tc>
          <w:tcPr>
            <w:tcW w:w="0" w:type="auto"/>
            <w:noWrap/>
            <w:vAlign w:val="center"/>
          </w:tcPr>
          <w:p w14:paraId="1A112B6C">
            <w:pPr>
              <w:jc w:val="center"/>
              <w:rPr>
                <w:rFonts w:eastAsia="楷体_GB2312"/>
                <w:kern w:val="0"/>
                <w:szCs w:val="21"/>
              </w:rPr>
            </w:pPr>
            <w:r>
              <w:rPr>
                <w:rFonts w:eastAsia="楷体_GB2312"/>
                <w:kern w:val="0"/>
                <w:szCs w:val="21"/>
              </w:rPr>
              <w:t>210</w:t>
            </w:r>
          </w:p>
        </w:tc>
        <w:tc>
          <w:tcPr>
            <w:tcW w:w="0" w:type="auto"/>
            <w:noWrap/>
            <w:vAlign w:val="center"/>
          </w:tcPr>
          <w:p w14:paraId="6135003D">
            <w:pPr>
              <w:jc w:val="center"/>
              <w:rPr>
                <w:rFonts w:eastAsia="楷体_GB2312"/>
                <w:kern w:val="0"/>
                <w:szCs w:val="21"/>
              </w:rPr>
            </w:pPr>
            <w:r>
              <w:rPr>
                <w:rFonts w:eastAsia="楷体_GB2312"/>
                <w:kern w:val="0"/>
                <w:szCs w:val="21"/>
              </w:rPr>
              <w:t>200</w:t>
            </w:r>
          </w:p>
        </w:tc>
      </w:tr>
      <w:tr w14:paraId="27518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noWrap w:val="0"/>
            <w:vAlign w:val="center"/>
          </w:tcPr>
          <w:p w14:paraId="3942B115">
            <w:pPr>
              <w:jc w:val="center"/>
              <w:rPr>
                <w:rFonts w:eastAsia="楷体_GB2312"/>
                <w:color w:val="000000"/>
                <w:kern w:val="0"/>
                <w:szCs w:val="21"/>
              </w:rPr>
            </w:pPr>
          </w:p>
        </w:tc>
        <w:tc>
          <w:tcPr>
            <w:tcW w:w="0" w:type="auto"/>
            <w:vMerge w:val="continue"/>
            <w:noWrap w:val="0"/>
            <w:vAlign w:val="center"/>
          </w:tcPr>
          <w:p w14:paraId="60876E86">
            <w:pPr>
              <w:jc w:val="center"/>
              <w:rPr>
                <w:rFonts w:eastAsia="楷体_GB2312"/>
                <w:color w:val="000000"/>
                <w:kern w:val="0"/>
                <w:szCs w:val="21"/>
              </w:rPr>
            </w:pPr>
          </w:p>
        </w:tc>
        <w:tc>
          <w:tcPr>
            <w:tcW w:w="0" w:type="auto"/>
            <w:noWrap w:val="0"/>
            <w:vAlign w:val="top"/>
          </w:tcPr>
          <w:p w14:paraId="71E5021D">
            <w:pPr>
              <w:jc w:val="center"/>
              <w:rPr>
                <w:rFonts w:eastAsia="楷体_GB2312"/>
                <w:color w:val="000000"/>
                <w:kern w:val="0"/>
                <w:szCs w:val="21"/>
              </w:rPr>
            </w:pPr>
            <w:r>
              <w:rPr>
                <w:rFonts w:hint="eastAsia" w:eastAsia="楷体_GB2312"/>
                <w:color w:val="000000"/>
                <w:kern w:val="0"/>
                <w:szCs w:val="21"/>
              </w:rPr>
              <w:t>3</w:t>
            </w:r>
          </w:p>
        </w:tc>
        <w:tc>
          <w:tcPr>
            <w:tcW w:w="0" w:type="auto"/>
            <w:noWrap/>
            <w:vAlign w:val="center"/>
          </w:tcPr>
          <w:p w14:paraId="12CFBF6D">
            <w:pPr>
              <w:jc w:val="center"/>
              <w:rPr>
                <w:rFonts w:eastAsia="楷体_GB2312"/>
                <w:color w:val="000000"/>
                <w:kern w:val="0"/>
                <w:szCs w:val="21"/>
              </w:rPr>
            </w:pPr>
            <w:r>
              <w:rPr>
                <w:rFonts w:eastAsia="楷体_GB2312"/>
                <w:color w:val="000000"/>
                <w:kern w:val="0"/>
                <w:szCs w:val="21"/>
              </w:rPr>
              <w:t>265</w:t>
            </w:r>
          </w:p>
        </w:tc>
        <w:tc>
          <w:tcPr>
            <w:tcW w:w="0" w:type="auto"/>
            <w:noWrap/>
            <w:vAlign w:val="center"/>
          </w:tcPr>
          <w:p w14:paraId="5522C1DE">
            <w:pPr>
              <w:jc w:val="center"/>
              <w:rPr>
                <w:rFonts w:eastAsia="楷体_GB2312"/>
                <w:color w:val="000000"/>
                <w:kern w:val="0"/>
                <w:szCs w:val="21"/>
              </w:rPr>
            </w:pPr>
            <w:r>
              <w:rPr>
                <w:rFonts w:eastAsia="楷体_GB2312"/>
                <w:color w:val="000000"/>
                <w:kern w:val="0"/>
                <w:szCs w:val="21"/>
              </w:rPr>
              <w:t>200</w:t>
            </w:r>
          </w:p>
        </w:tc>
        <w:tc>
          <w:tcPr>
            <w:tcW w:w="0" w:type="auto"/>
            <w:noWrap/>
            <w:vAlign w:val="center"/>
          </w:tcPr>
          <w:p w14:paraId="0EA90C00">
            <w:pPr>
              <w:jc w:val="center"/>
              <w:rPr>
                <w:rFonts w:eastAsia="楷体_GB2312"/>
                <w:color w:val="000000"/>
                <w:kern w:val="0"/>
                <w:szCs w:val="21"/>
              </w:rPr>
            </w:pPr>
            <w:r>
              <w:rPr>
                <w:rFonts w:eastAsia="楷体_GB2312"/>
                <w:color w:val="000000"/>
                <w:kern w:val="0"/>
                <w:szCs w:val="21"/>
              </w:rPr>
              <w:t>144</w:t>
            </w:r>
          </w:p>
        </w:tc>
        <w:tc>
          <w:tcPr>
            <w:tcW w:w="0" w:type="auto"/>
            <w:noWrap/>
            <w:vAlign w:val="center"/>
          </w:tcPr>
          <w:p w14:paraId="47D7EE39">
            <w:pPr>
              <w:jc w:val="center"/>
              <w:rPr>
                <w:rFonts w:eastAsia="楷体_GB2312"/>
                <w:color w:val="000000"/>
                <w:kern w:val="0"/>
                <w:szCs w:val="21"/>
              </w:rPr>
            </w:pPr>
            <w:r>
              <w:rPr>
                <w:rFonts w:eastAsia="楷体_GB2312"/>
                <w:color w:val="000000"/>
                <w:kern w:val="0"/>
                <w:szCs w:val="21"/>
              </w:rPr>
              <w:t>190</w:t>
            </w:r>
          </w:p>
        </w:tc>
        <w:tc>
          <w:tcPr>
            <w:tcW w:w="0" w:type="auto"/>
            <w:noWrap/>
            <w:vAlign w:val="center"/>
          </w:tcPr>
          <w:p w14:paraId="483A4714">
            <w:pPr>
              <w:jc w:val="center"/>
              <w:rPr>
                <w:rFonts w:eastAsia="楷体_GB2312"/>
                <w:color w:val="000000"/>
                <w:kern w:val="0"/>
                <w:szCs w:val="21"/>
              </w:rPr>
            </w:pPr>
            <w:r>
              <w:rPr>
                <w:rFonts w:eastAsia="楷体_GB2312"/>
                <w:color w:val="000000"/>
                <w:kern w:val="0"/>
                <w:szCs w:val="21"/>
              </w:rPr>
              <w:t>185</w:t>
            </w:r>
          </w:p>
        </w:tc>
        <w:tc>
          <w:tcPr>
            <w:tcW w:w="0" w:type="auto"/>
            <w:noWrap/>
            <w:vAlign w:val="center"/>
          </w:tcPr>
          <w:p w14:paraId="610DD68B">
            <w:pPr>
              <w:jc w:val="center"/>
              <w:rPr>
                <w:rFonts w:eastAsia="楷体_GB2312"/>
                <w:color w:val="000000"/>
                <w:kern w:val="0"/>
                <w:szCs w:val="21"/>
              </w:rPr>
            </w:pPr>
            <w:r>
              <w:rPr>
                <w:rFonts w:eastAsia="楷体_GB2312"/>
                <w:color w:val="000000"/>
                <w:kern w:val="0"/>
                <w:szCs w:val="21"/>
              </w:rPr>
              <w:t>180</w:t>
            </w:r>
          </w:p>
        </w:tc>
        <w:tc>
          <w:tcPr>
            <w:tcW w:w="0" w:type="auto"/>
            <w:noWrap/>
            <w:vAlign w:val="center"/>
          </w:tcPr>
          <w:p w14:paraId="02753FC9">
            <w:pPr>
              <w:jc w:val="center"/>
              <w:rPr>
                <w:rFonts w:eastAsia="楷体_GB2312"/>
                <w:color w:val="000000"/>
                <w:kern w:val="0"/>
                <w:szCs w:val="21"/>
              </w:rPr>
            </w:pPr>
            <w:r>
              <w:rPr>
                <w:rFonts w:eastAsia="楷体_GB2312"/>
                <w:color w:val="000000"/>
                <w:kern w:val="0"/>
                <w:szCs w:val="21"/>
              </w:rPr>
              <w:t>175</w:t>
            </w:r>
          </w:p>
        </w:tc>
        <w:tc>
          <w:tcPr>
            <w:tcW w:w="0" w:type="auto"/>
            <w:noWrap/>
            <w:vAlign w:val="center"/>
          </w:tcPr>
          <w:p w14:paraId="4D848A99">
            <w:pPr>
              <w:jc w:val="center"/>
              <w:rPr>
                <w:rFonts w:eastAsia="楷体_GB2312"/>
                <w:color w:val="000000"/>
                <w:kern w:val="0"/>
                <w:szCs w:val="21"/>
              </w:rPr>
            </w:pPr>
            <w:r>
              <w:rPr>
                <w:rFonts w:eastAsia="楷体_GB2312"/>
                <w:color w:val="000000"/>
                <w:kern w:val="0"/>
                <w:szCs w:val="21"/>
              </w:rPr>
              <w:t>170</w:t>
            </w:r>
          </w:p>
        </w:tc>
        <w:tc>
          <w:tcPr>
            <w:tcW w:w="0" w:type="auto"/>
            <w:noWrap/>
            <w:vAlign w:val="center"/>
          </w:tcPr>
          <w:p w14:paraId="637C01EB">
            <w:pPr>
              <w:jc w:val="center"/>
              <w:rPr>
                <w:rFonts w:eastAsia="楷体_GB2312"/>
                <w:color w:val="000000"/>
                <w:kern w:val="0"/>
                <w:szCs w:val="21"/>
              </w:rPr>
            </w:pPr>
            <w:r>
              <w:rPr>
                <w:rFonts w:eastAsia="楷体_GB2312"/>
                <w:color w:val="000000"/>
                <w:kern w:val="0"/>
                <w:szCs w:val="21"/>
              </w:rPr>
              <w:t>165</w:t>
            </w:r>
          </w:p>
        </w:tc>
      </w:tr>
      <w:tr w14:paraId="67FBF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ign w:val="center"/>
          </w:tcPr>
          <w:p w14:paraId="4F026E1E">
            <w:pPr>
              <w:jc w:val="center"/>
              <w:rPr>
                <w:rFonts w:eastAsia="楷体_GB2312"/>
                <w:color w:val="000000"/>
                <w:kern w:val="0"/>
                <w:szCs w:val="21"/>
              </w:rPr>
            </w:pPr>
            <w:r>
              <w:rPr>
                <w:rFonts w:eastAsia="楷体_GB2312"/>
                <w:color w:val="000000"/>
                <w:kern w:val="0"/>
                <w:szCs w:val="21"/>
              </w:rPr>
              <w:t>23</w:t>
            </w:r>
          </w:p>
        </w:tc>
        <w:tc>
          <w:tcPr>
            <w:tcW w:w="0" w:type="auto"/>
            <w:noWrap/>
            <w:vAlign w:val="center"/>
          </w:tcPr>
          <w:p w14:paraId="0F02AB63">
            <w:pPr>
              <w:jc w:val="center"/>
              <w:rPr>
                <w:rFonts w:eastAsia="楷体_GB2312"/>
                <w:color w:val="000000"/>
                <w:kern w:val="0"/>
                <w:szCs w:val="21"/>
              </w:rPr>
            </w:pPr>
            <w:r>
              <w:rPr>
                <w:rFonts w:eastAsia="楷体_GB2312"/>
                <w:color w:val="000000"/>
                <w:kern w:val="0"/>
                <w:szCs w:val="21"/>
              </w:rPr>
              <w:t>曹村开发区</w:t>
            </w:r>
          </w:p>
        </w:tc>
        <w:tc>
          <w:tcPr>
            <w:tcW w:w="0" w:type="auto"/>
            <w:noWrap w:val="0"/>
            <w:vAlign w:val="top"/>
          </w:tcPr>
          <w:p w14:paraId="3FE8AC34">
            <w:pPr>
              <w:jc w:val="center"/>
              <w:rPr>
                <w:rFonts w:eastAsia="楷体_GB2312"/>
                <w:color w:val="000000"/>
                <w:kern w:val="0"/>
                <w:szCs w:val="21"/>
              </w:rPr>
            </w:pPr>
            <w:r>
              <w:rPr>
                <w:rFonts w:hint="eastAsia" w:eastAsia="楷体_GB2312"/>
                <w:color w:val="000000"/>
                <w:kern w:val="0"/>
                <w:szCs w:val="21"/>
              </w:rPr>
              <w:t>指导价区域</w:t>
            </w:r>
          </w:p>
        </w:tc>
        <w:tc>
          <w:tcPr>
            <w:tcW w:w="0" w:type="auto"/>
            <w:noWrap/>
            <w:vAlign w:val="center"/>
          </w:tcPr>
          <w:p w14:paraId="44C65D15">
            <w:pPr>
              <w:jc w:val="center"/>
              <w:rPr>
                <w:rFonts w:eastAsia="楷体_GB2312"/>
                <w:color w:val="000000"/>
                <w:kern w:val="0"/>
                <w:szCs w:val="21"/>
              </w:rPr>
            </w:pPr>
            <w:r>
              <w:rPr>
                <w:rFonts w:eastAsia="楷体_GB2312"/>
                <w:color w:val="000000"/>
                <w:kern w:val="0"/>
                <w:szCs w:val="21"/>
              </w:rPr>
              <w:t>460</w:t>
            </w:r>
          </w:p>
        </w:tc>
        <w:tc>
          <w:tcPr>
            <w:tcW w:w="0" w:type="auto"/>
            <w:noWrap/>
            <w:vAlign w:val="center"/>
          </w:tcPr>
          <w:p w14:paraId="29F39EC2">
            <w:pPr>
              <w:jc w:val="center"/>
              <w:rPr>
                <w:rFonts w:eastAsia="楷体_GB2312"/>
                <w:color w:val="000000"/>
                <w:kern w:val="0"/>
                <w:szCs w:val="21"/>
              </w:rPr>
            </w:pPr>
            <w:r>
              <w:rPr>
                <w:rFonts w:eastAsia="楷体_GB2312"/>
                <w:color w:val="000000"/>
                <w:kern w:val="0"/>
                <w:szCs w:val="21"/>
              </w:rPr>
              <w:t>295</w:t>
            </w:r>
          </w:p>
        </w:tc>
        <w:tc>
          <w:tcPr>
            <w:tcW w:w="0" w:type="auto"/>
            <w:noWrap/>
            <w:vAlign w:val="center"/>
          </w:tcPr>
          <w:p w14:paraId="3C5CD46F">
            <w:pPr>
              <w:jc w:val="center"/>
              <w:rPr>
                <w:rFonts w:eastAsia="楷体_GB2312"/>
                <w:color w:val="000000"/>
                <w:kern w:val="0"/>
                <w:szCs w:val="21"/>
              </w:rPr>
            </w:pPr>
            <w:r>
              <w:rPr>
                <w:rFonts w:eastAsia="楷体_GB2312"/>
                <w:color w:val="000000"/>
                <w:kern w:val="0"/>
                <w:szCs w:val="21"/>
              </w:rPr>
              <w:t>155</w:t>
            </w:r>
          </w:p>
        </w:tc>
        <w:tc>
          <w:tcPr>
            <w:tcW w:w="0" w:type="auto"/>
            <w:noWrap/>
            <w:vAlign w:val="center"/>
          </w:tcPr>
          <w:p w14:paraId="4743B292">
            <w:pPr>
              <w:jc w:val="center"/>
              <w:rPr>
                <w:rFonts w:eastAsia="楷体_GB2312"/>
                <w:color w:val="000000"/>
                <w:kern w:val="0"/>
                <w:szCs w:val="21"/>
              </w:rPr>
            </w:pPr>
            <w:r>
              <w:rPr>
                <w:rFonts w:eastAsia="楷体_GB2312"/>
                <w:color w:val="000000"/>
                <w:kern w:val="0"/>
                <w:szCs w:val="21"/>
              </w:rPr>
              <w:t>265</w:t>
            </w:r>
          </w:p>
        </w:tc>
        <w:tc>
          <w:tcPr>
            <w:tcW w:w="0" w:type="auto"/>
            <w:noWrap/>
            <w:vAlign w:val="center"/>
          </w:tcPr>
          <w:p w14:paraId="48889FC0">
            <w:pPr>
              <w:jc w:val="center"/>
              <w:rPr>
                <w:rFonts w:eastAsia="楷体_GB2312"/>
                <w:color w:val="000000"/>
                <w:kern w:val="0"/>
                <w:szCs w:val="21"/>
              </w:rPr>
            </w:pPr>
            <w:r>
              <w:rPr>
                <w:rFonts w:eastAsia="楷体_GB2312"/>
                <w:color w:val="000000"/>
                <w:kern w:val="0"/>
                <w:szCs w:val="21"/>
              </w:rPr>
              <w:t>255</w:t>
            </w:r>
          </w:p>
        </w:tc>
        <w:tc>
          <w:tcPr>
            <w:tcW w:w="0" w:type="auto"/>
            <w:noWrap/>
            <w:vAlign w:val="center"/>
          </w:tcPr>
          <w:p w14:paraId="4A59A151">
            <w:pPr>
              <w:jc w:val="center"/>
              <w:rPr>
                <w:rFonts w:eastAsia="楷体_GB2312"/>
                <w:color w:val="000000"/>
                <w:kern w:val="0"/>
                <w:szCs w:val="21"/>
              </w:rPr>
            </w:pPr>
            <w:r>
              <w:rPr>
                <w:rFonts w:eastAsia="楷体_GB2312"/>
                <w:color w:val="000000"/>
                <w:kern w:val="0"/>
                <w:szCs w:val="21"/>
              </w:rPr>
              <w:t>245</w:t>
            </w:r>
          </w:p>
        </w:tc>
        <w:tc>
          <w:tcPr>
            <w:tcW w:w="0" w:type="auto"/>
            <w:noWrap/>
            <w:vAlign w:val="center"/>
          </w:tcPr>
          <w:p w14:paraId="7C04F984">
            <w:pPr>
              <w:jc w:val="center"/>
              <w:rPr>
                <w:rFonts w:eastAsia="楷体_GB2312"/>
                <w:color w:val="000000"/>
                <w:kern w:val="0"/>
                <w:szCs w:val="21"/>
              </w:rPr>
            </w:pPr>
            <w:r>
              <w:rPr>
                <w:rFonts w:eastAsia="楷体_GB2312"/>
                <w:color w:val="000000"/>
                <w:kern w:val="0"/>
                <w:szCs w:val="21"/>
              </w:rPr>
              <w:t>235</w:t>
            </w:r>
          </w:p>
        </w:tc>
        <w:tc>
          <w:tcPr>
            <w:tcW w:w="0" w:type="auto"/>
            <w:noWrap/>
            <w:vAlign w:val="center"/>
          </w:tcPr>
          <w:p w14:paraId="4F642F22">
            <w:pPr>
              <w:jc w:val="center"/>
              <w:rPr>
                <w:rFonts w:eastAsia="楷体_GB2312"/>
                <w:color w:val="000000"/>
                <w:kern w:val="0"/>
                <w:szCs w:val="21"/>
              </w:rPr>
            </w:pPr>
            <w:r>
              <w:rPr>
                <w:rFonts w:eastAsia="楷体_GB2312"/>
                <w:color w:val="000000"/>
                <w:kern w:val="0"/>
                <w:szCs w:val="21"/>
              </w:rPr>
              <w:t>230</w:t>
            </w:r>
          </w:p>
        </w:tc>
        <w:tc>
          <w:tcPr>
            <w:tcW w:w="0" w:type="auto"/>
            <w:noWrap/>
            <w:vAlign w:val="center"/>
          </w:tcPr>
          <w:p w14:paraId="725F0950">
            <w:pPr>
              <w:jc w:val="center"/>
              <w:rPr>
                <w:rFonts w:eastAsia="楷体_GB2312"/>
                <w:color w:val="000000"/>
                <w:kern w:val="0"/>
                <w:szCs w:val="21"/>
              </w:rPr>
            </w:pPr>
            <w:r>
              <w:rPr>
                <w:rFonts w:eastAsia="楷体_GB2312"/>
                <w:color w:val="000000"/>
                <w:kern w:val="0"/>
                <w:szCs w:val="21"/>
              </w:rPr>
              <w:t>220</w:t>
            </w:r>
          </w:p>
        </w:tc>
      </w:tr>
      <w:tr w14:paraId="10F94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ign w:val="center"/>
          </w:tcPr>
          <w:p w14:paraId="49AD2DED">
            <w:pPr>
              <w:jc w:val="center"/>
              <w:rPr>
                <w:rFonts w:eastAsia="楷体_GB2312"/>
                <w:color w:val="000000"/>
                <w:kern w:val="0"/>
                <w:szCs w:val="21"/>
              </w:rPr>
            </w:pPr>
            <w:r>
              <w:rPr>
                <w:rFonts w:eastAsia="楷体_GB2312"/>
                <w:color w:val="000000"/>
                <w:kern w:val="0"/>
                <w:szCs w:val="21"/>
              </w:rPr>
              <w:t>24</w:t>
            </w:r>
          </w:p>
        </w:tc>
        <w:tc>
          <w:tcPr>
            <w:tcW w:w="0" w:type="auto"/>
            <w:noWrap/>
            <w:vAlign w:val="center"/>
          </w:tcPr>
          <w:p w14:paraId="461B1ECC">
            <w:pPr>
              <w:jc w:val="center"/>
              <w:rPr>
                <w:rFonts w:eastAsia="楷体_GB2312"/>
                <w:color w:val="000000"/>
                <w:kern w:val="0"/>
                <w:szCs w:val="21"/>
              </w:rPr>
            </w:pPr>
            <w:r>
              <w:rPr>
                <w:rFonts w:eastAsia="楷体_GB2312"/>
                <w:color w:val="000000"/>
                <w:kern w:val="0"/>
                <w:szCs w:val="21"/>
              </w:rPr>
              <w:t>家具产业园</w:t>
            </w:r>
          </w:p>
        </w:tc>
        <w:tc>
          <w:tcPr>
            <w:tcW w:w="0" w:type="auto"/>
            <w:noWrap w:val="0"/>
            <w:vAlign w:val="top"/>
          </w:tcPr>
          <w:p w14:paraId="31D52722">
            <w:pPr>
              <w:jc w:val="center"/>
              <w:rPr>
                <w:rFonts w:eastAsia="楷体_GB2312"/>
                <w:color w:val="000000"/>
                <w:kern w:val="0"/>
                <w:szCs w:val="21"/>
              </w:rPr>
            </w:pPr>
            <w:r>
              <w:rPr>
                <w:rFonts w:hint="eastAsia" w:eastAsia="楷体_GB2312"/>
                <w:color w:val="000000"/>
                <w:kern w:val="0"/>
                <w:szCs w:val="21"/>
              </w:rPr>
              <w:t>指导价区域</w:t>
            </w:r>
          </w:p>
        </w:tc>
        <w:tc>
          <w:tcPr>
            <w:tcW w:w="0" w:type="auto"/>
            <w:noWrap/>
            <w:vAlign w:val="center"/>
          </w:tcPr>
          <w:p w14:paraId="515789E7">
            <w:pPr>
              <w:jc w:val="center"/>
              <w:rPr>
                <w:rFonts w:eastAsia="楷体_GB2312"/>
                <w:color w:val="000000"/>
                <w:kern w:val="0"/>
                <w:szCs w:val="21"/>
              </w:rPr>
            </w:pPr>
            <w:r>
              <w:rPr>
                <w:rFonts w:eastAsia="楷体_GB2312"/>
                <w:color w:val="000000"/>
                <w:kern w:val="0"/>
                <w:szCs w:val="21"/>
              </w:rPr>
              <w:t>550</w:t>
            </w:r>
          </w:p>
        </w:tc>
        <w:tc>
          <w:tcPr>
            <w:tcW w:w="0" w:type="auto"/>
            <w:noWrap/>
            <w:vAlign w:val="center"/>
          </w:tcPr>
          <w:p w14:paraId="3279E296">
            <w:pPr>
              <w:jc w:val="center"/>
              <w:rPr>
                <w:rFonts w:eastAsia="楷体_GB2312"/>
                <w:color w:val="000000"/>
                <w:kern w:val="0"/>
                <w:szCs w:val="21"/>
              </w:rPr>
            </w:pPr>
            <w:r>
              <w:rPr>
                <w:rFonts w:eastAsia="楷体_GB2312"/>
                <w:color w:val="000000"/>
                <w:kern w:val="0"/>
                <w:szCs w:val="21"/>
              </w:rPr>
              <w:t>450</w:t>
            </w:r>
          </w:p>
        </w:tc>
        <w:tc>
          <w:tcPr>
            <w:tcW w:w="0" w:type="auto"/>
            <w:noWrap/>
            <w:vAlign w:val="center"/>
          </w:tcPr>
          <w:p w14:paraId="236275A1">
            <w:pPr>
              <w:jc w:val="center"/>
              <w:rPr>
                <w:rFonts w:eastAsia="楷体_GB2312"/>
                <w:color w:val="000000"/>
                <w:kern w:val="0"/>
                <w:szCs w:val="21"/>
              </w:rPr>
            </w:pPr>
            <w:r>
              <w:rPr>
                <w:rFonts w:eastAsia="楷体_GB2312"/>
                <w:color w:val="000000"/>
                <w:kern w:val="0"/>
                <w:szCs w:val="21"/>
              </w:rPr>
              <w:t>155</w:t>
            </w:r>
          </w:p>
        </w:tc>
        <w:tc>
          <w:tcPr>
            <w:tcW w:w="0" w:type="auto"/>
            <w:noWrap/>
            <w:vAlign w:val="center"/>
          </w:tcPr>
          <w:p w14:paraId="373A00F0">
            <w:pPr>
              <w:jc w:val="center"/>
              <w:rPr>
                <w:rFonts w:eastAsia="楷体_GB2312"/>
                <w:color w:val="000000"/>
                <w:kern w:val="0"/>
                <w:szCs w:val="21"/>
              </w:rPr>
            </w:pPr>
            <w:r>
              <w:rPr>
                <w:rFonts w:eastAsia="楷体_GB2312"/>
                <w:color w:val="000000"/>
                <w:kern w:val="0"/>
                <w:szCs w:val="21"/>
              </w:rPr>
              <w:t>380</w:t>
            </w:r>
          </w:p>
        </w:tc>
        <w:tc>
          <w:tcPr>
            <w:tcW w:w="0" w:type="auto"/>
            <w:noWrap/>
            <w:vAlign w:val="center"/>
          </w:tcPr>
          <w:p w14:paraId="0EC25F13">
            <w:pPr>
              <w:jc w:val="center"/>
              <w:rPr>
                <w:rFonts w:eastAsia="楷体_GB2312"/>
                <w:color w:val="000000"/>
                <w:kern w:val="0"/>
                <w:szCs w:val="21"/>
              </w:rPr>
            </w:pPr>
            <w:r>
              <w:rPr>
                <w:rFonts w:eastAsia="楷体_GB2312"/>
                <w:color w:val="000000"/>
                <w:kern w:val="0"/>
                <w:szCs w:val="21"/>
              </w:rPr>
              <w:t>360</w:t>
            </w:r>
          </w:p>
        </w:tc>
        <w:tc>
          <w:tcPr>
            <w:tcW w:w="0" w:type="auto"/>
            <w:noWrap/>
            <w:vAlign w:val="center"/>
          </w:tcPr>
          <w:p w14:paraId="668BA81C">
            <w:pPr>
              <w:jc w:val="center"/>
              <w:rPr>
                <w:rFonts w:eastAsia="楷体_GB2312"/>
                <w:color w:val="000000"/>
                <w:kern w:val="0"/>
                <w:szCs w:val="21"/>
              </w:rPr>
            </w:pPr>
            <w:r>
              <w:rPr>
                <w:rFonts w:eastAsia="楷体_GB2312"/>
                <w:color w:val="000000"/>
                <w:kern w:val="0"/>
                <w:szCs w:val="21"/>
              </w:rPr>
              <w:t>340</w:t>
            </w:r>
          </w:p>
        </w:tc>
        <w:tc>
          <w:tcPr>
            <w:tcW w:w="0" w:type="auto"/>
            <w:noWrap/>
            <w:vAlign w:val="center"/>
          </w:tcPr>
          <w:p w14:paraId="0EAFD6B9">
            <w:pPr>
              <w:jc w:val="center"/>
              <w:rPr>
                <w:rFonts w:eastAsia="楷体_GB2312"/>
                <w:color w:val="000000"/>
                <w:kern w:val="0"/>
                <w:szCs w:val="21"/>
              </w:rPr>
            </w:pPr>
            <w:r>
              <w:rPr>
                <w:rFonts w:eastAsia="楷体_GB2312"/>
                <w:color w:val="000000"/>
                <w:kern w:val="0"/>
                <w:szCs w:val="21"/>
              </w:rPr>
              <w:t>330</w:t>
            </w:r>
          </w:p>
        </w:tc>
        <w:tc>
          <w:tcPr>
            <w:tcW w:w="0" w:type="auto"/>
            <w:noWrap/>
            <w:vAlign w:val="center"/>
          </w:tcPr>
          <w:p w14:paraId="3040B7A5">
            <w:pPr>
              <w:jc w:val="center"/>
              <w:rPr>
                <w:rFonts w:eastAsia="楷体_GB2312"/>
                <w:color w:val="000000"/>
                <w:kern w:val="0"/>
                <w:szCs w:val="21"/>
              </w:rPr>
            </w:pPr>
            <w:r>
              <w:rPr>
                <w:rFonts w:eastAsia="楷体_GB2312"/>
                <w:color w:val="000000"/>
                <w:kern w:val="0"/>
                <w:szCs w:val="21"/>
              </w:rPr>
              <w:t>320</w:t>
            </w:r>
          </w:p>
        </w:tc>
        <w:tc>
          <w:tcPr>
            <w:tcW w:w="0" w:type="auto"/>
            <w:noWrap/>
            <w:vAlign w:val="center"/>
          </w:tcPr>
          <w:p w14:paraId="2234048F">
            <w:pPr>
              <w:jc w:val="center"/>
              <w:rPr>
                <w:rFonts w:eastAsia="楷体_GB2312"/>
                <w:color w:val="000000"/>
                <w:kern w:val="0"/>
                <w:szCs w:val="21"/>
              </w:rPr>
            </w:pPr>
            <w:r>
              <w:rPr>
                <w:rFonts w:eastAsia="楷体_GB2312"/>
                <w:color w:val="000000"/>
                <w:kern w:val="0"/>
                <w:szCs w:val="21"/>
              </w:rPr>
              <w:t>300</w:t>
            </w:r>
          </w:p>
        </w:tc>
      </w:tr>
      <w:tr w14:paraId="1A80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noWrap/>
            <w:vAlign w:val="center"/>
          </w:tcPr>
          <w:p w14:paraId="7C2FC61A">
            <w:pPr>
              <w:jc w:val="center"/>
              <w:rPr>
                <w:rFonts w:eastAsia="楷体_GB2312"/>
                <w:color w:val="000000"/>
                <w:kern w:val="0"/>
                <w:szCs w:val="21"/>
              </w:rPr>
            </w:pPr>
            <w:r>
              <w:rPr>
                <w:rFonts w:eastAsia="楷体_GB2312"/>
                <w:color w:val="000000"/>
                <w:kern w:val="0"/>
                <w:szCs w:val="21"/>
              </w:rPr>
              <w:t>25</w:t>
            </w:r>
          </w:p>
        </w:tc>
        <w:tc>
          <w:tcPr>
            <w:tcW w:w="0" w:type="auto"/>
            <w:noWrap/>
            <w:vAlign w:val="center"/>
          </w:tcPr>
          <w:p w14:paraId="0DCF33C6">
            <w:pPr>
              <w:jc w:val="center"/>
              <w:rPr>
                <w:rFonts w:eastAsia="楷体_GB2312"/>
                <w:color w:val="000000"/>
                <w:kern w:val="0"/>
                <w:szCs w:val="21"/>
              </w:rPr>
            </w:pPr>
            <w:r>
              <w:rPr>
                <w:rFonts w:eastAsia="楷体_GB2312"/>
                <w:color w:val="000000"/>
                <w:kern w:val="0"/>
                <w:szCs w:val="21"/>
              </w:rPr>
              <w:t>农业示范园</w:t>
            </w:r>
          </w:p>
        </w:tc>
        <w:tc>
          <w:tcPr>
            <w:tcW w:w="0" w:type="auto"/>
            <w:noWrap w:val="0"/>
            <w:vAlign w:val="top"/>
          </w:tcPr>
          <w:p w14:paraId="7DCD7FC3">
            <w:pPr>
              <w:jc w:val="center"/>
              <w:rPr>
                <w:rFonts w:eastAsia="楷体_GB2312"/>
                <w:color w:val="000000"/>
                <w:kern w:val="0"/>
                <w:szCs w:val="21"/>
              </w:rPr>
            </w:pPr>
            <w:r>
              <w:rPr>
                <w:rFonts w:hint="eastAsia" w:eastAsia="楷体_GB2312"/>
                <w:color w:val="000000"/>
                <w:kern w:val="0"/>
                <w:szCs w:val="21"/>
              </w:rPr>
              <w:t>指导价区域</w:t>
            </w:r>
          </w:p>
        </w:tc>
        <w:tc>
          <w:tcPr>
            <w:tcW w:w="0" w:type="auto"/>
            <w:noWrap/>
            <w:vAlign w:val="center"/>
          </w:tcPr>
          <w:p w14:paraId="417A9931">
            <w:pPr>
              <w:jc w:val="center"/>
              <w:rPr>
                <w:rFonts w:eastAsia="楷体_GB2312"/>
                <w:color w:val="000000"/>
                <w:kern w:val="0"/>
                <w:szCs w:val="21"/>
              </w:rPr>
            </w:pPr>
            <w:r>
              <w:rPr>
                <w:rFonts w:eastAsia="楷体_GB2312"/>
                <w:color w:val="000000"/>
                <w:kern w:val="0"/>
                <w:szCs w:val="21"/>
              </w:rPr>
              <w:t>480</w:t>
            </w:r>
          </w:p>
        </w:tc>
        <w:tc>
          <w:tcPr>
            <w:tcW w:w="0" w:type="auto"/>
            <w:noWrap/>
            <w:vAlign w:val="center"/>
          </w:tcPr>
          <w:p w14:paraId="43A50A94">
            <w:pPr>
              <w:jc w:val="center"/>
              <w:rPr>
                <w:rFonts w:eastAsia="楷体_GB2312"/>
                <w:color w:val="000000"/>
                <w:kern w:val="0"/>
                <w:szCs w:val="21"/>
              </w:rPr>
            </w:pPr>
            <w:r>
              <w:rPr>
                <w:rFonts w:eastAsia="楷体_GB2312"/>
                <w:color w:val="000000"/>
                <w:kern w:val="0"/>
                <w:szCs w:val="21"/>
              </w:rPr>
              <w:t>450</w:t>
            </w:r>
          </w:p>
        </w:tc>
        <w:tc>
          <w:tcPr>
            <w:tcW w:w="0" w:type="auto"/>
            <w:noWrap/>
            <w:vAlign w:val="center"/>
          </w:tcPr>
          <w:p w14:paraId="2A20D8D3">
            <w:pPr>
              <w:jc w:val="center"/>
              <w:rPr>
                <w:rFonts w:eastAsia="楷体_GB2312"/>
                <w:color w:val="000000"/>
                <w:kern w:val="0"/>
                <w:szCs w:val="21"/>
              </w:rPr>
            </w:pPr>
            <w:r>
              <w:rPr>
                <w:rFonts w:eastAsia="楷体_GB2312"/>
                <w:color w:val="000000"/>
                <w:kern w:val="0"/>
                <w:szCs w:val="21"/>
              </w:rPr>
              <w:t>155</w:t>
            </w:r>
          </w:p>
        </w:tc>
        <w:tc>
          <w:tcPr>
            <w:tcW w:w="0" w:type="auto"/>
            <w:noWrap/>
            <w:vAlign w:val="center"/>
          </w:tcPr>
          <w:p w14:paraId="10C2DF12">
            <w:pPr>
              <w:jc w:val="center"/>
              <w:rPr>
                <w:rFonts w:eastAsia="楷体_GB2312"/>
                <w:color w:val="000000"/>
                <w:kern w:val="0"/>
                <w:szCs w:val="21"/>
              </w:rPr>
            </w:pPr>
            <w:r>
              <w:rPr>
                <w:rFonts w:eastAsia="楷体_GB2312"/>
                <w:color w:val="000000"/>
                <w:kern w:val="0"/>
                <w:szCs w:val="21"/>
              </w:rPr>
              <w:t>330</w:t>
            </w:r>
          </w:p>
        </w:tc>
        <w:tc>
          <w:tcPr>
            <w:tcW w:w="0" w:type="auto"/>
            <w:noWrap/>
            <w:vAlign w:val="center"/>
          </w:tcPr>
          <w:p w14:paraId="62E6A04E">
            <w:pPr>
              <w:jc w:val="center"/>
              <w:rPr>
                <w:rFonts w:eastAsia="楷体_GB2312"/>
                <w:color w:val="000000"/>
                <w:kern w:val="0"/>
                <w:szCs w:val="21"/>
              </w:rPr>
            </w:pPr>
            <w:r>
              <w:rPr>
                <w:rFonts w:eastAsia="楷体_GB2312"/>
                <w:color w:val="000000"/>
                <w:kern w:val="0"/>
                <w:szCs w:val="21"/>
              </w:rPr>
              <w:t>310</w:t>
            </w:r>
          </w:p>
        </w:tc>
        <w:tc>
          <w:tcPr>
            <w:tcW w:w="0" w:type="auto"/>
            <w:noWrap/>
            <w:vAlign w:val="center"/>
          </w:tcPr>
          <w:p w14:paraId="12896907">
            <w:pPr>
              <w:jc w:val="center"/>
              <w:rPr>
                <w:rFonts w:eastAsia="楷体_GB2312"/>
                <w:color w:val="000000"/>
                <w:kern w:val="0"/>
                <w:szCs w:val="21"/>
              </w:rPr>
            </w:pPr>
            <w:r>
              <w:rPr>
                <w:rFonts w:eastAsia="楷体_GB2312"/>
                <w:color w:val="000000"/>
                <w:kern w:val="0"/>
                <w:szCs w:val="21"/>
              </w:rPr>
              <w:t>300</w:t>
            </w:r>
          </w:p>
        </w:tc>
        <w:tc>
          <w:tcPr>
            <w:tcW w:w="0" w:type="auto"/>
            <w:noWrap/>
            <w:vAlign w:val="center"/>
          </w:tcPr>
          <w:p w14:paraId="0371DB83">
            <w:pPr>
              <w:jc w:val="center"/>
              <w:rPr>
                <w:rFonts w:eastAsia="楷体_GB2312"/>
                <w:color w:val="000000"/>
                <w:kern w:val="0"/>
                <w:szCs w:val="21"/>
              </w:rPr>
            </w:pPr>
            <w:r>
              <w:rPr>
                <w:rFonts w:eastAsia="楷体_GB2312"/>
                <w:color w:val="000000"/>
                <w:kern w:val="0"/>
                <w:szCs w:val="21"/>
              </w:rPr>
              <w:t>290</w:t>
            </w:r>
          </w:p>
        </w:tc>
        <w:tc>
          <w:tcPr>
            <w:tcW w:w="0" w:type="auto"/>
            <w:noWrap/>
            <w:vAlign w:val="center"/>
          </w:tcPr>
          <w:p w14:paraId="76DC1165">
            <w:pPr>
              <w:jc w:val="center"/>
              <w:rPr>
                <w:rFonts w:eastAsia="楷体_GB2312"/>
                <w:color w:val="000000"/>
                <w:kern w:val="0"/>
                <w:szCs w:val="21"/>
              </w:rPr>
            </w:pPr>
            <w:r>
              <w:rPr>
                <w:rFonts w:eastAsia="楷体_GB2312"/>
                <w:color w:val="000000"/>
                <w:kern w:val="0"/>
                <w:szCs w:val="21"/>
              </w:rPr>
              <w:t>280</w:t>
            </w:r>
          </w:p>
        </w:tc>
        <w:tc>
          <w:tcPr>
            <w:tcW w:w="0" w:type="auto"/>
            <w:noWrap/>
            <w:vAlign w:val="center"/>
          </w:tcPr>
          <w:p w14:paraId="3E9E89EA">
            <w:pPr>
              <w:jc w:val="center"/>
              <w:rPr>
                <w:rFonts w:eastAsia="楷体_GB2312"/>
                <w:color w:val="000000"/>
                <w:kern w:val="0"/>
                <w:szCs w:val="21"/>
              </w:rPr>
            </w:pPr>
            <w:r>
              <w:rPr>
                <w:rFonts w:eastAsia="楷体_GB2312"/>
                <w:color w:val="000000"/>
                <w:kern w:val="0"/>
                <w:szCs w:val="21"/>
              </w:rPr>
              <w:t>260</w:t>
            </w:r>
          </w:p>
        </w:tc>
      </w:tr>
    </w:tbl>
    <w:p w14:paraId="51CC93F5">
      <w:pPr>
        <w:widowControl w:val="0"/>
        <w:spacing w:line="480" w:lineRule="exact"/>
        <w:jc w:val="center"/>
        <w:rPr>
          <w:rFonts w:eastAsia="楷体_GB2312"/>
          <w:b/>
          <w:sz w:val="28"/>
          <w:szCs w:val="21"/>
        </w:rPr>
        <w:sectPr>
          <w:pgSz w:w="16838" w:h="11906" w:orient="landscape"/>
          <w:pgMar w:top="1644" w:right="1758" w:bottom="1474" w:left="1474" w:header="1134" w:footer="992" w:gutter="0"/>
          <w:cols w:space="720" w:num="1"/>
          <w:docGrid w:linePitch="312" w:charSpace="0"/>
        </w:sectPr>
      </w:pPr>
    </w:p>
    <w:p w14:paraId="176A3980">
      <w:pPr>
        <w:pStyle w:val="20"/>
        <w:spacing w:line="480" w:lineRule="exact"/>
        <w:jc w:val="center"/>
        <w:rPr>
          <w:rFonts w:ascii="Times New Roman" w:hAnsi="Times New Roman" w:eastAsia="黑体" w:cs="Times New Roman"/>
          <w:sz w:val="28"/>
        </w:rPr>
      </w:pPr>
      <w:r>
        <w:rPr>
          <w:rFonts w:ascii="Times New Roman" w:hAnsi="Times New Roman" w:eastAsia="黑体" w:cs="Times New Roman"/>
          <w:sz w:val="28"/>
        </w:rPr>
        <w:t>表2-8-2   埇桥区城区基准地价表</w:t>
      </w:r>
    </w:p>
    <w:p w14:paraId="5E73D458">
      <w:pPr>
        <w:tabs>
          <w:tab w:val="center" w:pos="4394"/>
          <w:tab w:val="right" w:pos="8788"/>
        </w:tabs>
        <w:spacing w:line="320" w:lineRule="exact"/>
        <w:rPr>
          <w:rFonts w:eastAsia="楷体_GB2312"/>
        </w:rPr>
      </w:pPr>
      <w:r>
        <w:rPr>
          <w:rFonts w:eastAsia="楷体_GB2312"/>
        </w:rPr>
        <w:t>期日：20</w:t>
      </w:r>
      <w:r>
        <w:rPr>
          <w:rFonts w:hint="eastAsia" w:eastAsia="楷体_GB2312"/>
        </w:rPr>
        <w:t>18</w:t>
      </w:r>
      <w:r>
        <w:rPr>
          <w:rFonts w:eastAsia="楷体_GB2312"/>
        </w:rPr>
        <w:t xml:space="preserve">年1月1日                                                      </w:t>
      </w:r>
      <w:r>
        <w:rPr>
          <w:rFonts w:eastAsia="楷体_GB2312"/>
          <w:kern w:val="0"/>
          <w:szCs w:val="21"/>
        </w:rPr>
        <w:t>单位：元/m</w:t>
      </w:r>
      <w:r>
        <w:rPr>
          <w:rFonts w:eastAsia="楷体_GB2312"/>
          <w:kern w:val="0"/>
          <w:szCs w:val="21"/>
          <w:vertAlign w:val="superscript"/>
        </w:rPr>
        <w:t>2</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4"/>
        <w:gridCol w:w="727"/>
        <w:gridCol w:w="2126"/>
        <w:gridCol w:w="873"/>
        <w:gridCol w:w="1069"/>
        <w:gridCol w:w="1068"/>
        <w:gridCol w:w="925"/>
        <w:gridCol w:w="890"/>
        <w:gridCol w:w="890"/>
      </w:tblGrid>
      <w:tr w14:paraId="19330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3357" w:type="dxa"/>
            <w:gridSpan w:val="3"/>
            <w:tcBorders>
              <w:tl2br w:val="single" w:color="auto" w:sz="4" w:space="0"/>
            </w:tcBorders>
            <w:noWrap w:val="0"/>
            <w:vAlign w:val="center"/>
          </w:tcPr>
          <w:p w14:paraId="4ED368E8">
            <w:pPr>
              <w:spacing w:line="300" w:lineRule="exact"/>
              <w:jc w:val="right"/>
              <w:rPr>
                <w:rFonts w:eastAsia="楷体_GB2312"/>
                <w:szCs w:val="21"/>
              </w:rPr>
            </w:pPr>
            <w:r>
              <w:rPr>
                <w:rFonts w:eastAsia="楷体_GB2312"/>
                <w:szCs w:val="21"/>
              </w:rPr>
              <w:t xml:space="preserve">     级别地价</w:t>
            </w:r>
          </w:p>
          <w:p w14:paraId="1BA3A902">
            <w:pPr>
              <w:spacing w:line="300" w:lineRule="exact"/>
              <w:rPr>
                <w:rFonts w:eastAsia="楷体_GB2312"/>
                <w:szCs w:val="21"/>
              </w:rPr>
            </w:pPr>
            <w:r>
              <w:rPr>
                <w:rFonts w:eastAsia="楷体_GB2312"/>
                <w:szCs w:val="21"/>
              </w:rPr>
              <w:t>名称</w:t>
            </w:r>
          </w:p>
        </w:tc>
        <w:tc>
          <w:tcPr>
            <w:tcW w:w="873" w:type="dxa"/>
            <w:noWrap w:val="0"/>
            <w:vAlign w:val="center"/>
          </w:tcPr>
          <w:p w14:paraId="1DBCDFD8">
            <w:pPr>
              <w:spacing w:line="300" w:lineRule="exact"/>
              <w:jc w:val="center"/>
              <w:rPr>
                <w:rFonts w:eastAsia="楷体_GB2312"/>
                <w:szCs w:val="21"/>
              </w:rPr>
            </w:pPr>
            <w:r>
              <w:rPr>
                <w:rFonts w:eastAsia="楷体_GB2312"/>
                <w:szCs w:val="21"/>
              </w:rPr>
              <w:t>一级</w:t>
            </w:r>
          </w:p>
        </w:tc>
        <w:tc>
          <w:tcPr>
            <w:tcW w:w="1069" w:type="dxa"/>
            <w:noWrap w:val="0"/>
            <w:vAlign w:val="center"/>
          </w:tcPr>
          <w:p w14:paraId="77D8C700">
            <w:pPr>
              <w:spacing w:line="300" w:lineRule="exact"/>
              <w:jc w:val="center"/>
              <w:rPr>
                <w:rFonts w:eastAsia="楷体_GB2312"/>
                <w:szCs w:val="21"/>
              </w:rPr>
            </w:pPr>
            <w:r>
              <w:rPr>
                <w:rFonts w:eastAsia="楷体_GB2312"/>
                <w:szCs w:val="21"/>
              </w:rPr>
              <w:t>二级</w:t>
            </w:r>
          </w:p>
        </w:tc>
        <w:tc>
          <w:tcPr>
            <w:tcW w:w="1068" w:type="dxa"/>
            <w:noWrap w:val="0"/>
            <w:vAlign w:val="center"/>
          </w:tcPr>
          <w:p w14:paraId="52276BC1">
            <w:pPr>
              <w:spacing w:line="300" w:lineRule="exact"/>
              <w:jc w:val="center"/>
              <w:rPr>
                <w:rFonts w:eastAsia="楷体_GB2312"/>
                <w:szCs w:val="21"/>
              </w:rPr>
            </w:pPr>
            <w:r>
              <w:rPr>
                <w:rFonts w:eastAsia="楷体_GB2312"/>
                <w:szCs w:val="21"/>
              </w:rPr>
              <w:t>三级</w:t>
            </w:r>
          </w:p>
        </w:tc>
        <w:tc>
          <w:tcPr>
            <w:tcW w:w="925" w:type="dxa"/>
            <w:noWrap w:val="0"/>
            <w:vAlign w:val="center"/>
          </w:tcPr>
          <w:p w14:paraId="19510CB6">
            <w:pPr>
              <w:spacing w:line="300" w:lineRule="exact"/>
              <w:jc w:val="center"/>
              <w:rPr>
                <w:rFonts w:eastAsia="楷体_GB2312"/>
                <w:szCs w:val="21"/>
              </w:rPr>
            </w:pPr>
            <w:r>
              <w:rPr>
                <w:rFonts w:eastAsia="楷体_GB2312"/>
                <w:szCs w:val="21"/>
              </w:rPr>
              <w:t>四级</w:t>
            </w:r>
          </w:p>
        </w:tc>
        <w:tc>
          <w:tcPr>
            <w:tcW w:w="890" w:type="dxa"/>
            <w:noWrap w:val="0"/>
            <w:vAlign w:val="center"/>
          </w:tcPr>
          <w:p w14:paraId="7AEB5E91">
            <w:pPr>
              <w:spacing w:line="300" w:lineRule="exact"/>
              <w:jc w:val="center"/>
              <w:rPr>
                <w:rFonts w:eastAsia="楷体_GB2312"/>
                <w:szCs w:val="21"/>
              </w:rPr>
            </w:pPr>
            <w:r>
              <w:rPr>
                <w:rFonts w:hint="eastAsia" w:eastAsia="楷体_GB2312"/>
                <w:szCs w:val="21"/>
              </w:rPr>
              <w:t>五级</w:t>
            </w:r>
          </w:p>
        </w:tc>
        <w:tc>
          <w:tcPr>
            <w:tcW w:w="890" w:type="dxa"/>
            <w:noWrap w:val="0"/>
            <w:vAlign w:val="center"/>
          </w:tcPr>
          <w:p w14:paraId="4D15A037">
            <w:pPr>
              <w:spacing w:line="300" w:lineRule="exact"/>
              <w:jc w:val="center"/>
              <w:rPr>
                <w:rFonts w:eastAsia="楷体_GB2312"/>
                <w:szCs w:val="21"/>
              </w:rPr>
            </w:pPr>
            <w:r>
              <w:rPr>
                <w:rFonts w:hint="eastAsia" w:eastAsia="楷体_GB2312"/>
                <w:szCs w:val="21"/>
              </w:rPr>
              <w:t>六级</w:t>
            </w:r>
          </w:p>
        </w:tc>
      </w:tr>
      <w:tr w14:paraId="30C8C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04" w:type="dxa"/>
            <w:vMerge w:val="restart"/>
            <w:shd w:val="clear" w:color="auto" w:fill="FFFFFF"/>
            <w:noWrap w:val="0"/>
            <w:vAlign w:val="center"/>
          </w:tcPr>
          <w:p w14:paraId="0D6F447D">
            <w:pPr>
              <w:jc w:val="center"/>
              <w:rPr>
                <w:rFonts w:eastAsia="楷体_GB2312"/>
                <w:szCs w:val="21"/>
              </w:rPr>
            </w:pPr>
            <w:r>
              <w:rPr>
                <w:rFonts w:hint="eastAsia" w:eastAsia="楷体_GB2312"/>
                <w:szCs w:val="21"/>
              </w:rPr>
              <w:t>宿州市</w:t>
            </w:r>
            <w:r>
              <w:rPr>
                <w:rFonts w:hint="eastAsia" w:ascii="宋体" w:hAnsi="宋体" w:cs="宋体"/>
                <w:szCs w:val="21"/>
              </w:rPr>
              <w:t>埇</w:t>
            </w:r>
            <w:r>
              <w:rPr>
                <w:rFonts w:hint="eastAsia" w:ascii="楷体_GB2312" w:hAnsi="楷体_GB2312" w:eastAsia="楷体_GB2312" w:cs="楷体_GB2312"/>
                <w:szCs w:val="21"/>
              </w:rPr>
              <w:t>桥区</w:t>
            </w:r>
          </w:p>
        </w:tc>
        <w:tc>
          <w:tcPr>
            <w:tcW w:w="2853" w:type="dxa"/>
            <w:gridSpan w:val="2"/>
            <w:shd w:val="clear" w:color="auto" w:fill="FFFFFF"/>
            <w:noWrap w:val="0"/>
            <w:vAlign w:val="center"/>
          </w:tcPr>
          <w:p w14:paraId="3439E6FA">
            <w:pPr>
              <w:spacing w:line="300" w:lineRule="exact"/>
              <w:jc w:val="center"/>
              <w:rPr>
                <w:rFonts w:eastAsia="楷体_GB2312"/>
                <w:szCs w:val="21"/>
              </w:rPr>
            </w:pPr>
            <w:r>
              <w:rPr>
                <w:rFonts w:eastAsia="楷体_GB2312"/>
                <w:szCs w:val="21"/>
              </w:rPr>
              <w:t>商服用地</w:t>
            </w:r>
          </w:p>
        </w:tc>
        <w:tc>
          <w:tcPr>
            <w:tcW w:w="873" w:type="dxa"/>
            <w:shd w:val="clear" w:color="auto" w:fill="FFFFFF"/>
            <w:noWrap w:val="0"/>
            <w:vAlign w:val="center"/>
          </w:tcPr>
          <w:p w14:paraId="5B2FCA5C">
            <w:pPr>
              <w:jc w:val="center"/>
              <w:rPr>
                <w:bCs/>
                <w:szCs w:val="21"/>
              </w:rPr>
            </w:pPr>
            <w:r>
              <w:rPr>
                <w:rFonts w:hint="eastAsia"/>
                <w:bCs/>
                <w:szCs w:val="21"/>
              </w:rPr>
              <w:t>4050</w:t>
            </w:r>
          </w:p>
        </w:tc>
        <w:tc>
          <w:tcPr>
            <w:tcW w:w="1069" w:type="dxa"/>
            <w:shd w:val="clear" w:color="auto" w:fill="FFFFFF"/>
            <w:noWrap w:val="0"/>
            <w:vAlign w:val="center"/>
          </w:tcPr>
          <w:p w14:paraId="5CFEC201">
            <w:pPr>
              <w:jc w:val="center"/>
              <w:rPr>
                <w:bCs/>
                <w:szCs w:val="21"/>
              </w:rPr>
            </w:pPr>
            <w:r>
              <w:rPr>
                <w:rFonts w:hint="eastAsia"/>
                <w:bCs/>
                <w:szCs w:val="21"/>
              </w:rPr>
              <w:t>2650</w:t>
            </w:r>
          </w:p>
        </w:tc>
        <w:tc>
          <w:tcPr>
            <w:tcW w:w="1068" w:type="dxa"/>
            <w:shd w:val="clear" w:color="auto" w:fill="FFFFFF"/>
            <w:noWrap w:val="0"/>
            <w:vAlign w:val="center"/>
          </w:tcPr>
          <w:p w14:paraId="2693D6AD">
            <w:pPr>
              <w:jc w:val="center"/>
              <w:rPr>
                <w:bCs/>
                <w:szCs w:val="21"/>
              </w:rPr>
            </w:pPr>
            <w:r>
              <w:rPr>
                <w:rFonts w:hint="eastAsia"/>
                <w:bCs/>
                <w:szCs w:val="21"/>
              </w:rPr>
              <w:t>1680</w:t>
            </w:r>
          </w:p>
        </w:tc>
        <w:tc>
          <w:tcPr>
            <w:tcW w:w="925" w:type="dxa"/>
            <w:shd w:val="clear" w:color="auto" w:fill="FFFFFF"/>
            <w:noWrap w:val="0"/>
            <w:vAlign w:val="center"/>
          </w:tcPr>
          <w:p w14:paraId="57D5B5DB">
            <w:pPr>
              <w:jc w:val="center"/>
              <w:rPr>
                <w:bCs/>
                <w:szCs w:val="21"/>
              </w:rPr>
            </w:pPr>
            <w:r>
              <w:rPr>
                <w:rFonts w:hint="eastAsia"/>
                <w:bCs/>
                <w:szCs w:val="21"/>
              </w:rPr>
              <w:t>1150</w:t>
            </w:r>
          </w:p>
        </w:tc>
        <w:tc>
          <w:tcPr>
            <w:tcW w:w="890" w:type="dxa"/>
            <w:shd w:val="clear" w:color="auto" w:fill="FFFFFF"/>
            <w:noWrap w:val="0"/>
            <w:vAlign w:val="center"/>
          </w:tcPr>
          <w:p w14:paraId="41DE2B33">
            <w:pPr>
              <w:spacing w:line="300" w:lineRule="exact"/>
              <w:jc w:val="center"/>
              <w:rPr>
                <w:rFonts w:eastAsia="楷体_GB2312"/>
                <w:szCs w:val="21"/>
              </w:rPr>
            </w:pPr>
            <w:r>
              <w:rPr>
                <w:rFonts w:hint="eastAsia" w:eastAsia="楷体_GB2312"/>
                <w:szCs w:val="21"/>
              </w:rPr>
              <w:t>780</w:t>
            </w:r>
          </w:p>
        </w:tc>
        <w:tc>
          <w:tcPr>
            <w:tcW w:w="890" w:type="dxa"/>
            <w:shd w:val="clear" w:color="auto" w:fill="FFFFFF"/>
            <w:noWrap w:val="0"/>
            <w:vAlign w:val="center"/>
          </w:tcPr>
          <w:p w14:paraId="03710F20">
            <w:pPr>
              <w:spacing w:line="300" w:lineRule="exact"/>
              <w:jc w:val="center"/>
              <w:rPr>
                <w:rFonts w:eastAsia="楷体_GB2312"/>
                <w:szCs w:val="21"/>
              </w:rPr>
            </w:pPr>
            <w:r>
              <w:rPr>
                <w:rFonts w:hint="eastAsia" w:eastAsia="楷体_GB2312"/>
                <w:szCs w:val="21"/>
              </w:rPr>
              <w:t>580</w:t>
            </w:r>
          </w:p>
        </w:tc>
      </w:tr>
      <w:tr w14:paraId="55A12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04" w:type="dxa"/>
            <w:vMerge w:val="continue"/>
            <w:shd w:val="clear" w:color="auto" w:fill="FFFFFF"/>
            <w:noWrap w:val="0"/>
            <w:vAlign w:val="center"/>
          </w:tcPr>
          <w:p w14:paraId="40D614F1">
            <w:pPr>
              <w:spacing w:line="300" w:lineRule="exact"/>
              <w:jc w:val="center"/>
              <w:rPr>
                <w:rFonts w:eastAsia="楷体_GB2312"/>
                <w:szCs w:val="21"/>
              </w:rPr>
            </w:pPr>
          </w:p>
        </w:tc>
        <w:tc>
          <w:tcPr>
            <w:tcW w:w="2853" w:type="dxa"/>
            <w:gridSpan w:val="2"/>
            <w:shd w:val="clear" w:color="auto" w:fill="FFFFFF"/>
            <w:noWrap w:val="0"/>
            <w:vAlign w:val="center"/>
          </w:tcPr>
          <w:p w14:paraId="54537C44">
            <w:pPr>
              <w:jc w:val="center"/>
              <w:rPr>
                <w:rFonts w:eastAsia="楷体_GB2312"/>
                <w:bCs/>
                <w:szCs w:val="21"/>
              </w:rPr>
            </w:pPr>
            <w:r>
              <w:rPr>
                <w:rFonts w:eastAsia="楷体_GB2312"/>
                <w:szCs w:val="21"/>
              </w:rPr>
              <w:t>住宅用地</w:t>
            </w:r>
          </w:p>
        </w:tc>
        <w:tc>
          <w:tcPr>
            <w:tcW w:w="873" w:type="dxa"/>
            <w:shd w:val="clear" w:color="auto" w:fill="FFFFFF"/>
            <w:noWrap w:val="0"/>
            <w:vAlign w:val="center"/>
          </w:tcPr>
          <w:p w14:paraId="4D7E1A0D">
            <w:pPr>
              <w:jc w:val="center"/>
              <w:rPr>
                <w:bCs/>
                <w:szCs w:val="21"/>
              </w:rPr>
            </w:pPr>
            <w:r>
              <w:rPr>
                <w:rFonts w:hint="eastAsia"/>
                <w:bCs/>
                <w:szCs w:val="21"/>
              </w:rPr>
              <w:t>3300</w:t>
            </w:r>
          </w:p>
        </w:tc>
        <w:tc>
          <w:tcPr>
            <w:tcW w:w="1069" w:type="dxa"/>
            <w:shd w:val="clear" w:color="auto" w:fill="FFFFFF"/>
            <w:noWrap w:val="0"/>
            <w:vAlign w:val="center"/>
          </w:tcPr>
          <w:p w14:paraId="47A87783">
            <w:pPr>
              <w:jc w:val="center"/>
              <w:rPr>
                <w:bCs/>
                <w:szCs w:val="21"/>
              </w:rPr>
            </w:pPr>
            <w:r>
              <w:rPr>
                <w:rFonts w:hint="eastAsia"/>
                <w:bCs/>
                <w:szCs w:val="21"/>
              </w:rPr>
              <w:t>2500</w:t>
            </w:r>
          </w:p>
        </w:tc>
        <w:tc>
          <w:tcPr>
            <w:tcW w:w="1068" w:type="dxa"/>
            <w:shd w:val="clear" w:color="auto" w:fill="FFFFFF"/>
            <w:noWrap w:val="0"/>
            <w:vAlign w:val="center"/>
          </w:tcPr>
          <w:p w14:paraId="5EC18307">
            <w:pPr>
              <w:jc w:val="center"/>
              <w:rPr>
                <w:bCs/>
                <w:szCs w:val="21"/>
              </w:rPr>
            </w:pPr>
            <w:r>
              <w:rPr>
                <w:rFonts w:hint="eastAsia"/>
                <w:bCs/>
                <w:szCs w:val="21"/>
              </w:rPr>
              <w:t>1650</w:t>
            </w:r>
          </w:p>
        </w:tc>
        <w:tc>
          <w:tcPr>
            <w:tcW w:w="925" w:type="dxa"/>
            <w:shd w:val="clear" w:color="auto" w:fill="FFFFFF"/>
            <w:noWrap w:val="0"/>
            <w:vAlign w:val="center"/>
          </w:tcPr>
          <w:p w14:paraId="6DBF7BF7">
            <w:pPr>
              <w:jc w:val="center"/>
              <w:rPr>
                <w:bCs/>
                <w:szCs w:val="21"/>
              </w:rPr>
            </w:pPr>
            <w:r>
              <w:rPr>
                <w:rFonts w:hint="eastAsia"/>
                <w:bCs/>
                <w:szCs w:val="21"/>
              </w:rPr>
              <w:t>1120</w:t>
            </w:r>
          </w:p>
        </w:tc>
        <w:tc>
          <w:tcPr>
            <w:tcW w:w="890" w:type="dxa"/>
            <w:shd w:val="clear" w:color="auto" w:fill="FFFFFF"/>
            <w:noWrap w:val="0"/>
            <w:vAlign w:val="center"/>
          </w:tcPr>
          <w:p w14:paraId="1262C602">
            <w:pPr>
              <w:spacing w:line="300" w:lineRule="exact"/>
              <w:jc w:val="center"/>
              <w:rPr>
                <w:rFonts w:eastAsia="楷体_GB2312"/>
                <w:szCs w:val="21"/>
              </w:rPr>
            </w:pPr>
            <w:r>
              <w:rPr>
                <w:rFonts w:hint="eastAsia" w:eastAsia="楷体_GB2312"/>
                <w:szCs w:val="21"/>
              </w:rPr>
              <w:t>750</w:t>
            </w:r>
          </w:p>
        </w:tc>
        <w:tc>
          <w:tcPr>
            <w:tcW w:w="890" w:type="dxa"/>
            <w:shd w:val="clear" w:color="auto" w:fill="FFFFFF"/>
            <w:noWrap w:val="0"/>
            <w:vAlign w:val="center"/>
          </w:tcPr>
          <w:p w14:paraId="58D367EF">
            <w:pPr>
              <w:spacing w:line="300" w:lineRule="exact"/>
              <w:jc w:val="center"/>
              <w:rPr>
                <w:rFonts w:eastAsia="楷体_GB2312"/>
                <w:szCs w:val="21"/>
              </w:rPr>
            </w:pPr>
            <w:r>
              <w:rPr>
                <w:rFonts w:hint="eastAsia" w:eastAsia="楷体_GB2312"/>
                <w:szCs w:val="21"/>
              </w:rPr>
              <w:t>540</w:t>
            </w:r>
          </w:p>
        </w:tc>
      </w:tr>
      <w:tr w14:paraId="27895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04" w:type="dxa"/>
            <w:vMerge w:val="continue"/>
            <w:shd w:val="clear" w:color="auto" w:fill="FFFFFF"/>
            <w:noWrap w:val="0"/>
            <w:vAlign w:val="center"/>
          </w:tcPr>
          <w:p w14:paraId="1F16E852">
            <w:pPr>
              <w:spacing w:line="300" w:lineRule="exact"/>
              <w:jc w:val="center"/>
              <w:rPr>
                <w:rFonts w:eastAsia="楷体_GB2312"/>
                <w:szCs w:val="21"/>
              </w:rPr>
            </w:pPr>
          </w:p>
        </w:tc>
        <w:tc>
          <w:tcPr>
            <w:tcW w:w="2853" w:type="dxa"/>
            <w:gridSpan w:val="2"/>
            <w:shd w:val="clear" w:color="auto" w:fill="FFFFFF"/>
            <w:noWrap w:val="0"/>
            <w:vAlign w:val="center"/>
          </w:tcPr>
          <w:p w14:paraId="17A9A278">
            <w:pPr>
              <w:jc w:val="center"/>
              <w:rPr>
                <w:rFonts w:eastAsia="楷体_GB2312"/>
                <w:szCs w:val="21"/>
              </w:rPr>
            </w:pPr>
            <w:r>
              <w:rPr>
                <w:rFonts w:eastAsia="楷体_GB2312"/>
                <w:szCs w:val="21"/>
              </w:rPr>
              <w:t>工矿仓储用地</w:t>
            </w:r>
          </w:p>
        </w:tc>
        <w:tc>
          <w:tcPr>
            <w:tcW w:w="873" w:type="dxa"/>
            <w:shd w:val="clear" w:color="auto" w:fill="FFFFFF"/>
            <w:noWrap w:val="0"/>
            <w:vAlign w:val="center"/>
          </w:tcPr>
          <w:p w14:paraId="7055B89A">
            <w:pPr>
              <w:jc w:val="center"/>
              <w:rPr>
                <w:rFonts w:eastAsia="楷体_GB2312"/>
                <w:bCs/>
                <w:szCs w:val="21"/>
              </w:rPr>
            </w:pPr>
            <w:r>
              <w:rPr>
                <w:rFonts w:hint="eastAsia" w:eastAsia="楷体_GB2312"/>
                <w:bCs/>
                <w:szCs w:val="21"/>
              </w:rPr>
              <w:t>210</w:t>
            </w:r>
          </w:p>
        </w:tc>
        <w:tc>
          <w:tcPr>
            <w:tcW w:w="1069" w:type="dxa"/>
            <w:shd w:val="clear" w:color="auto" w:fill="FFFFFF"/>
            <w:noWrap w:val="0"/>
            <w:vAlign w:val="center"/>
          </w:tcPr>
          <w:p w14:paraId="1BC92740">
            <w:pPr>
              <w:jc w:val="center"/>
              <w:rPr>
                <w:bCs/>
                <w:szCs w:val="21"/>
              </w:rPr>
            </w:pPr>
            <w:r>
              <w:rPr>
                <w:rFonts w:hint="eastAsia"/>
                <w:bCs/>
                <w:szCs w:val="21"/>
              </w:rPr>
              <w:t>170</w:t>
            </w:r>
          </w:p>
        </w:tc>
        <w:tc>
          <w:tcPr>
            <w:tcW w:w="1068" w:type="dxa"/>
            <w:shd w:val="clear" w:color="auto" w:fill="FFFFFF"/>
            <w:noWrap w:val="0"/>
            <w:vAlign w:val="center"/>
          </w:tcPr>
          <w:p w14:paraId="4917CD25">
            <w:pPr>
              <w:jc w:val="center"/>
              <w:rPr>
                <w:bCs/>
                <w:szCs w:val="21"/>
              </w:rPr>
            </w:pPr>
            <w:r>
              <w:rPr>
                <w:rFonts w:hint="eastAsia"/>
                <w:bCs/>
                <w:szCs w:val="21"/>
              </w:rPr>
              <w:t>144</w:t>
            </w:r>
          </w:p>
        </w:tc>
        <w:tc>
          <w:tcPr>
            <w:tcW w:w="925" w:type="dxa"/>
            <w:shd w:val="clear" w:color="auto" w:fill="FFFFFF"/>
            <w:noWrap w:val="0"/>
            <w:vAlign w:val="center"/>
          </w:tcPr>
          <w:p w14:paraId="2D230D06">
            <w:pPr>
              <w:jc w:val="center"/>
              <w:rPr>
                <w:bCs/>
                <w:szCs w:val="21"/>
              </w:rPr>
            </w:pPr>
            <w:r>
              <w:rPr>
                <w:rFonts w:hint="eastAsia"/>
                <w:bCs/>
                <w:szCs w:val="21"/>
              </w:rPr>
              <w:t>/</w:t>
            </w:r>
          </w:p>
        </w:tc>
        <w:tc>
          <w:tcPr>
            <w:tcW w:w="890" w:type="dxa"/>
            <w:shd w:val="clear" w:color="auto" w:fill="FFFFFF"/>
            <w:noWrap w:val="0"/>
            <w:vAlign w:val="center"/>
          </w:tcPr>
          <w:p w14:paraId="425D52FA">
            <w:pPr>
              <w:spacing w:line="300" w:lineRule="exact"/>
              <w:jc w:val="center"/>
              <w:rPr>
                <w:rFonts w:eastAsia="楷体_GB2312"/>
                <w:szCs w:val="21"/>
              </w:rPr>
            </w:pPr>
            <w:r>
              <w:rPr>
                <w:rFonts w:hint="eastAsia" w:eastAsia="楷体_GB2312"/>
                <w:szCs w:val="21"/>
              </w:rPr>
              <w:t>/</w:t>
            </w:r>
          </w:p>
        </w:tc>
        <w:tc>
          <w:tcPr>
            <w:tcW w:w="890" w:type="dxa"/>
            <w:shd w:val="clear" w:color="auto" w:fill="FFFFFF"/>
            <w:noWrap w:val="0"/>
            <w:vAlign w:val="center"/>
          </w:tcPr>
          <w:p w14:paraId="1FA1E4F9">
            <w:pPr>
              <w:spacing w:line="300" w:lineRule="exact"/>
              <w:jc w:val="center"/>
              <w:rPr>
                <w:rFonts w:eastAsia="楷体_GB2312"/>
                <w:szCs w:val="21"/>
              </w:rPr>
            </w:pPr>
            <w:r>
              <w:rPr>
                <w:rFonts w:hint="eastAsia" w:eastAsia="楷体_GB2312"/>
                <w:szCs w:val="21"/>
              </w:rPr>
              <w:t>/</w:t>
            </w:r>
          </w:p>
        </w:tc>
      </w:tr>
      <w:tr w14:paraId="14EE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04" w:type="dxa"/>
            <w:vMerge w:val="continue"/>
            <w:shd w:val="clear" w:color="auto" w:fill="FFFFFF"/>
            <w:noWrap w:val="0"/>
            <w:vAlign w:val="center"/>
          </w:tcPr>
          <w:p w14:paraId="00931A3B">
            <w:pPr>
              <w:spacing w:line="300" w:lineRule="exact"/>
              <w:jc w:val="center"/>
              <w:rPr>
                <w:rFonts w:eastAsia="楷体_GB2312"/>
                <w:szCs w:val="21"/>
              </w:rPr>
            </w:pPr>
          </w:p>
        </w:tc>
        <w:tc>
          <w:tcPr>
            <w:tcW w:w="727" w:type="dxa"/>
            <w:vMerge w:val="restart"/>
            <w:shd w:val="clear" w:color="auto" w:fill="FFFFFF"/>
            <w:noWrap w:val="0"/>
            <w:vAlign w:val="center"/>
          </w:tcPr>
          <w:p w14:paraId="7B9436C3">
            <w:pPr>
              <w:spacing w:line="300" w:lineRule="exact"/>
              <w:jc w:val="center"/>
              <w:rPr>
                <w:rFonts w:eastAsia="楷体_GB2312"/>
                <w:szCs w:val="21"/>
              </w:rPr>
            </w:pPr>
            <w:r>
              <w:rPr>
                <w:rFonts w:eastAsia="楷体_GB2312"/>
                <w:szCs w:val="21"/>
              </w:rPr>
              <w:t>公共管理与公共服务用地</w:t>
            </w:r>
          </w:p>
        </w:tc>
        <w:tc>
          <w:tcPr>
            <w:tcW w:w="2126" w:type="dxa"/>
            <w:shd w:val="clear" w:color="auto" w:fill="FFFFFF"/>
            <w:noWrap w:val="0"/>
            <w:vAlign w:val="center"/>
          </w:tcPr>
          <w:p w14:paraId="72356BC4">
            <w:pPr>
              <w:spacing w:line="300" w:lineRule="exact"/>
              <w:jc w:val="center"/>
              <w:rPr>
                <w:rFonts w:eastAsia="楷体_GB2312"/>
                <w:szCs w:val="21"/>
              </w:rPr>
            </w:pPr>
            <w:r>
              <w:rPr>
                <w:rFonts w:hint="eastAsia" w:eastAsia="楷体_GB2312"/>
                <w:szCs w:val="21"/>
              </w:rPr>
              <w:t>新闻出版用地</w:t>
            </w:r>
          </w:p>
        </w:tc>
        <w:tc>
          <w:tcPr>
            <w:tcW w:w="873" w:type="dxa"/>
            <w:shd w:val="clear" w:color="auto" w:fill="FFFFFF"/>
            <w:noWrap w:val="0"/>
            <w:vAlign w:val="center"/>
          </w:tcPr>
          <w:p w14:paraId="7CE55377">
            <w:pPr>
              <w:jc w:val="center"/>
              <w:rPr>
                <w:bCs/>
                <w:szCs w:val="21"/>
              </w:rPr>
            </w:pPr>
            <w:r>
              <w:rPr>
                <w:rFonts w:hint="eastAsia"/>
                <w:bCs/>
                <w:szCs w:val="21"/>
              </w:rPr>
              <w:t>1200</w:t>
            </w:r>
          </w:p>
        </w:tc>
        <w:tc>
          <w:tcPr>
            <w:tcW w:w="1069" w:type="dxa"/>
            <w:shd w:val="clear" w:color="auto" w:fill="FFFFFF"/>
            <w:noWrap w:val="0"/>
            <w:vAlign w:val="center"/>
          </w:tcPr>
          <w:p w14:paraId="266C1F31">
            <w:pPr>
              <w:jc w:val="center"/>
              <w:rPr>
                <w:bCs/>
                <w:szCs w:val="21"/>
              </w:rPr>
            </w:pPr>
            <w:r>
              <w:rPr>
                <w:rFonts w:hint="eastAsia"/>
                <w:bCs/>
                <w:szCs w:val="21"/>
              </w:rPr>
              <w:t>840</w:t>
            </w:r>
          </w:p>
        </w:tc>
        <w:tc>
          <w:tcPr>
            <w:tcW w:w="1068" w:type="dxa"/>
            <w:shd w:val="clear" w:color="auto" w:fill="FFFFFF"/>
            <w:noWrap w:val="0"/>
            <w:vAlign w:val="center"/>
          </w:tcPr>
          <w:p w14:paraId="33D93BB2">
            <w:pPr>
              <w:jc w:val="center"/>
              <w:rPr>
                <w:bCs/>
                <w:szCs w:val="21"/>
              </w:rPr>
            </w:pPr>
            <w:r>
              <w:rPr>
                <w:rFonts w:hint="eastAsia"/>
                <w:bCs/>
                <w:szCs w:val="21"/>
              </w:rPr>
              <w:t>575</w:t>
            </w:r>
          </w:p>
        </w:tc>
        <w:tc>
          <w:tcPr>
            <w:tcW w:w="925" w:type="dxa"/>
            <w:shd w:val="clear" w:color="auto" w:fill="FFFFFF"/>
            <w:noWrap w:val="0"/>
            <w:vAlign w:val="center"/>
          </w:tcPr>
          <w:p w14:paraId="4CA06620">
            <w:pPr>
              <w:jc w:val="center"/>
              <w:rPr>
                <w:bCs/>
                <w:szCs w:val="21"/>
              </w:rPr>
            </w:pPr>
            <w:r>
              <w:rPr>
                <w:rFonts w:hint="eastAsia"/>
                <w:bCs/>
                <w:szCs w:val="21"/>
              </w:rPr>
              <w:t>400</w:t>
            </w:r>
          </w:p>
        </w:tc>
        <w:tc>
          <w:tcPr>
            <w:tcW w:w="890" w:type="dxa"/>
            <w:shd w:val="clear" w:color="auto" w:fill="FFFFFF"/>
            <w:noWrap w:val="0"/>
            <w:vAlign w:val="center"/>
          </w:tcPr>
          <w:p w14:paraId="7525B2EB">
            <w:pPr>
              <w:spacing w:line="300" w:lineRule="exact"/>
              <w:jc w:val="center"/>
              <w:rPr>
                <w:rFonts w:eastAsia="楷体_GB2312"/>
                <w:szCs w:val="21"/>
              </w:rPr>
            </w:pPr>
            <w:r>
              <w:rPr>
                <w:rFonts w:hint="eastAsia" w:eastAsia="楷体_GB2312"/>
                <w:szCs w:val="21"/>
              </w:rPr>
              <w:t>/</w:t>
            </w:r>
          </w:p>
        </w:tc>
        <w:tc>
          <w:tcPr>
            <w:tcW w:w="890" w:type="dxa"/>
            <w:shd w:val="clear" w:color="auto" w:fill="FFFFFF"/>
            <w:noWrap w:val="0"/>
            <w:vAlign w:val="center"/>
          </w:tcPr>
          <w:p w14:paraId="4618F57F">
            <w:pPr>
              <w:spacing w:line="300" w:lineRule="exact"/>
              <w:jc w:val="center"/>
              <w:rPr>
                <w:rFonts w:eastAsia="楷体_GB2312"/>
                <w:szCs w:val="21"/>
              </w:rPr>
            </w:pPr>
            <w:r>
              <w:rPr>
                <w:rFonts w:hint="eastAsia" w:eastAsia="楷体_GB2312"/>
                <w:szCs w:val="21"/>
              </w:rPr>
              <w:t>/</w:t>
            </w:r>
          </w:p>
        </w:tc>
      </w:tr>
      <w:tr w14:paraId="1068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04" w:type="dxa"/>
            <w:vMerge w:val="continue"/>
            <w:shd w:val="clear" w:color="auto" w:fill="FFFFFF"/>
            <w:noWrap w:val="0"/>
            <w:vAlign w:val="center"/>
          </w:tcPr>
          <w:p w14:paraId="36A30A2D">
            <w:pPr>
              <w:spacing w:line="300" w:lineRule="exact"/>
              <w:jc w:val="center"/>
              <w:rPr>
                <w:rFonts w:eastAsia="楷体_GB2312"/>
                <w:szCs w:val="21"/>
              </w:rPr>
            </w:pPr>
          </w:p>
        </w:tc>
        <w:tc>
          <w:tcPr>
            <w:tcW w:w="727" w:type="dxa"/>
            <w:vMerge w:val="continue"/>
            <w:shd w:val="clear" w:color="auto" w:fill="FFFFFF"/>
            <w:noWrap w:val="0"/>
            <w:vAlign w:val="center"/>
          </w:tcPr>
          <w:p w14:paraId="26FC6F42">
            <w:pPr>
              <w:jc w:val="center"/>
              <w:rPr>
                <w:rFonts w:eastAsia="楷体_GB2312"/>
                <w:szCs w:val="21"/>
              </w:rPr>
            </w:pPr>
          </w:p>
        </w:tc>
        <w:tc>
          <w:tcPr>
            <w:tcW w:w="2126" w:type="dxa"/>
            <w:shd w:val="clear" w:color="auto" w:fill="FFFFFF"/>
            <w:noWrap w:val="0"/>
            <w:vAlign w:val="center"/>
          </w:tcPr>
          <w:p w14:paraId="45321C4C">
            <w:pPr>
              <w:spacing w:line="300" w:lineRule="exact"/>
              <w:jc w:val="center"/>
              <w:rPr>
                <w:rFonts w:eastAsia="楷体_GB2312"/>
                <w:szCs w:val="21"/>
              </w:rPr>
            </w:pPr>
            <w:r>
              <w:rPr>
                <w:rFonts w:hint="eastAsia" w:eastAsia="楷体_GB2312"/>
                <w:szCs w:val="21"/>
              </w:rPr>
              <w:t>医疗卫生用地</w:t>
            </w:r>
          </w:p>
        </w:tc>
        <w:tc>
          <w:tcPr>
            <w:tcW w:w="873" w:type="dxa"/>
            <w:shd w:val="clear" w:color="auto" w:fill="FFFFFF"/>
            <w:noWrap w:val="0"/>
            <w:vAlign w:val="center"/>
          </w:tcPr>
          <w:p w14:paraId="0C658904">
            <w:pPr>
              <w:jc w:val="center"/>
              <w:rPr>
                <w:bCs/>
                <w:szCs w:val="21"/>
              </w:rPr>
            </w:pPr>
            <w:r>
              <w:rPr>
                <w:rFonts w:hint="eastAsia"/>
                <w:bCs/>
                <w:szCs w:val="21"/>
              </w:rPr>
              <w:t>1020</w:t>
            </w:r>
          </w:p>
        </w:tc>
        <w:tc>
          <w:tcPr>
            <w:tcW w:w="1069" w:type="dxa"/>
            <w:shd w:val="clear" w:color="auto" w:fill="FFFFFF"/>
            <w:noWrap w:val="0"/>
            <w:vAlign w:val="center"/>
          </w:tcPr>
          <w:p w14:paraId="085BFB21">
            <w:pPr>
              <w:jc w:val="center"/>
              <w:rPr>
                <w:bCs/>
                <w:szCs w:val="21"/>
              </w:rPr>
            </w:pPr>
            <w:r>
              <w:rPr>
                <w:rFonts w:hint="eastAsia"/>
                <w:bCs/>
                <w:szCs w:val="21"/>
              </w:rPr>
              <w:t>700</w:t>
            </w:r>
          </w:p>
        </w:tc>
        <w:tc>
          <w:tcPr>
            <w:tcW w:w="1068" w:type="dxa"/>
            <w:shd w:val="clear" w:color="auto" w:fill="FFFFFF"/>
            <w:noWrap w:val="0"/>
            <w:vAlign w:val="center"/>
          </w:tcPr>
          <w:p w14:paraId="4595D143">
            <w:pPr>
              <w:jc w:val="center"/>
              <w:rPr>
                <w:bCs/>
                <w:szCs w:val="21"/>
              </w:rPr>
            </w:pPr>
            <w:r>
              <w:rPr>
                <w:rFonts w:hint="eastAsia"/>
                <w:bCs/>
                <w:szCs w:val="21"/>
              </w:rPr>
              <w:t>540</w:t>
            </w:r>
          </w:p>
        </w:tc>
        <w:tc>
          <w:tcPr>
            <w:tcW w:w="925" w:type="dxa"/>
            <w:shd w:val="clear" w:color="auto" w:fill="FFFFFF"/>
            <w:noWrap w:val="0"/>
            <w:vAlign w:val="center"/>
          </w:tcPr>
          <w:p w14:paraId="29A57C2A">
            <w:pPr>
              <w:jc w:val="center"/>
              <w:rPr>
                <w:bCs/>
                <w:szCs w:val="21"/>
              </w:rPr>
            </w:pPr>
            <w:r>
              <w:rPr>
                <w:rFonts w:hint="eastAsia"/>
                <w:bCs/>
                <w:szCs w:val="21"/>
              </w:rPr>
              <w:t>380</w:t>
            </w:r>
          </w:p>
        </w:tc>
        <w:tc>
          <w:tcPr>
            <w:tcW w:w="890" w:type="dxa"/>
            <w:shd w:val="clear" w:color="auto" w:fill="FFFFFF"/>
            <w:noWrap w:val="0"/>
            <w:vAlign w:val="center"/>
          </w:tcPr>
          <w:p w14:paraId="481BB397">
            <w:pPr>
              <w:spacing w:line="300" w:lineRule="exact"/>
              <w:jc w:val="center"/>
              <w:rPr>
                <w:rFonts w:eastAsia="楷体_GB2312"/>
                <w:szCs w:val="21"/>
              </w:rPr>
            </w:pPr>
            <w:r>
              <w:rPr>
                <w:rFonts w:hint="eastAsia" w:eastAsia="楷体_GB2312"/>
                <w:szCs w:val="21"/>
              </w:rPr>
              <w:t>/</w:t>
            </w:r>
          </w:p>
        </w:tc>
        <w:tc>
          <w:tcPr>
            <w:tcW w:w="890" w:type="dxa"/>
            <w:shd w:val="clear" w:color="auto" w:fill="FFFFFF"/>
            <w:noWrap w:val="0"/>
            <w:vAlign w:val="center"/>
          </w:tcPr>
          <w:p w14:paraId="6AAB8B5D">
            <w:pPr>
              <w:spacing w:line="300" w:lineRule="exact"/>
              <w:jc w:val="center"/>
              <w:rPr>
                <w:rFonts w:eastAsia="楷体_GB2312"/>
                <w:szCs w:val="21"/>
              </w:rPr>
            </w:pPr>
            <w:r>
              <w:rPr>
                <w:rFonts w:hint="eastAsia" w:eastAsia="楷体_GB2312"/>
                <w:szCs w:val="21"/>
              </w:rPr>
              <w:t>/</w:t>
            </w:r>
          </w:p>
        </w:tc>
      </w:tr>
      <w:tr w14:paraId="15FCF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04" w:type="dxa"/>
            <w:vMerge w:val="continue"/>
            <w:shd w:val="clear" w:color="auto" w:fill="FFFFFF"/>
            <w:noWrap w:val="0"/>
            <w:vAlign w:val="center"/>
          </w:tcPr>
          <w:p w14:paraId="2E0F348D">
            <w:pPr>
              <w:spacing w:line="300" w:lineRule="exact"/>
              <w:jc w:val="center"/>
              <w:rPr>
                <w:rFonts w:eastAsia="楷体_GB2312"/>
                <w:szCs w:val="21"/>
              </w:rPr>
            </w:pPr>
          </w:p>
        </w:tc>
        <w:tc>
          <w:tcPr>
            <w:tcW w:w="727" w:type="dxa"/>
            <w:vMerge w:val="continue"/>
            <w:shd w:val="clear" w:color="auto" w:fill="FFFFFF"/>
            <w:noWrap w:val="0"/>
            <w:vAlign w:val="center"/>
          </w:tcPr>
          <w:p w14:paraId="26AD8451">
            <w:pPr>
              <w:jc w:val="center"/>
              <w:rPr>
                <w:rFonts w:eastAsia="楷体_GB2312"/>
                <w:szCs w:val="21"/>
              </w:rPr>
            </w:pPr>
          </w:p>
        </w:tc>
        <w:tc>
          <w:tcPr>
            <w:tcW w:w="2126" w:type="dxa"/>
            <w:shd w:val="clear" w:color="auto" w:fill="FFFFFF"/>
            <w:noWrap w:val="0"/>
            <w:vAlign w:val="center"/>
          </w:tcPr>
          <w:p w14:paraId="561338E8">
            <w:pPr>
              <w:spacing w:line="300" w:lineRule="exact"/>
              <w:jc w:val="center"/>
              <w:rPr>
                <w:rFonts w:eastAsia="楷体_GB2312"/>
                <w:szCs w:val="21"/>
              </w:rPr>
            </w:pPr>
            <w:r>
              <w:rPr>
                <w:rFonts w:hint="eastAsia" w:eastAsia="楷体_GB2312"/>
                <w:szCs w:val="21"/>
              </w:rPr>
              <w:t>文化设施、体育用地</w:t>
            </w:r>
          </w:p>
        </w:tc>
        <w:tc>
          <w:tcPr>
            <w:tcW w:w="873" w:type="dxa"/>
            <w:shd w:val="clear" w:color="auto" w:fill="FFFFFF"/>
            <w:noWrap w:val="0"/>
            <w:vAlign w:val="center"/>
          </w:tcPr>
          <w:p w14:paraId="10745677">
            <w:pPr>
              <w:jc w:val="center"/>
              <w:rPr>
                <w:bCs/>
                <w:szCs w:val="21"/>
              </w:rPr>
            </w:pPr>
            <w:r>
              <w:rPr>
                <w:rFonts w:hint="eastAsia"/>
                <w:bCs/>
                <w:szCs w:val="21"/>
              </w:rPr>
              <w:t>900</w:t>
            </w:r>
          </w:p>
        </w:tc>
        <w:tc>
          <w:tcPr>
            <w:tcW w:w="1069" w:type="dxa"/>
            <w:shd w:val="clear" w:color="auto" w:fill="FFFFFF"/>
            <w:noWrap w:val="0"/>
            <w:vAlign w:val="center"/>
          </w:tcPr>
          <w:p w14:paraId="7191AD7C">
            <w:pPr>
              <w:jc w:val="center"/>
              <w:rPr>
                <w:bCs/>
                <w:szCs w:val="21"/>
              </w:rPr>
            </w:pPr>
            <w:r>
              <w:rPr>
                <w:rFonts w:hint="eastAsia"/>
                <w:bCs/>
                <w:szCs w:val="21"/>
              </w:rPr>
              <w:t>620</w:t>
            </w:r>
          </w:p>
        </w:tc>
        <w:tc>
          <w:tcPr>
            <w:tcW w:w="1068" w:type="dxa"/>
            <w:shd w:val="clear" w:color="auto" w:fill="FFFFFF"/>
            <w:noWrap w:val="0"/>
            <w:vAlign w:val="center"/>
          </w:tcPr>
          <w:p w14:paraId="38CE38E4">
            <w:pPr>
              <w:jc w:val="center"/>
              <w:rPr>
                <w:bCs/>
                <w:szCs w:val="21"/>
              </w:rPr>
            </w:pPr>
            <w:r>
              <w:rPr>
                <w:rFonts w:hint="eastAsia"/>
                <w:bCs/>
                <w:szCs w:val="21"/>
              </w:rPr>
              <w:t>520</w:t>
            </w:r>
          </w:p>
        </w:tc>
        <w:tc>
          <w:tcPr>
            <w:tcW w:w="925" w:type="dxa"/>
            <w:shd w:val="clear" w:color="auto" w:fill="FFFFFF"/>
            <w:noWrap w:val="0"/>
            <w:vAlign w:val="center"/>
          </w:tcPr>
          <w:p w14:paraId="07398960">
            <w:pPr>
              <w:jc w:val="center"/>
              <w:rPr>
                <w:bCs/>
                <w:szCs w:val="21"/>
              </w:rPr>
            </w:pPr>
            <w:r>
              <w:rPr>
                <w:rFonts w:hint="eastAsia"/>
                <w:bCs/>
                <w:szCs w:val="21"/>
              </w:rPr>
              <w:t>350</w:t>
            </w:r>
          </w:p>
        </w:tc>
        <w:tc>
          <w:tcPr>
            <w:tcW w:w="890" w:type="dxa"/>
            <w:shd w:val="clear" w:color="auto" w:fill="FFFFFF"/>
            <w:noWrap w:val="0"/>
            <w:vAlign w:val="center"/>
          </w:tcPr>
          <w:p w14:paraId="0C7CAED7">
            <w:pPr>
              <w:spacing w:line="300" w:lineRule="exact"/>
              <w:jc w:val="center"/>
              <w:rPr>
                <w:rFonts w:eastAsia="楷体_GB2312"/>
                <w:szCs w:val="21"/>
              </w:rPr>
            </w:pPr>
            <w:r>
              <w:rPr>
                <w:rFonts w:hint="eastAsia" w:eastAsia="楷体_GB2312"/>
                <w:szCs w:val="21"/>
              </w:rPr>
              <w:t>/</w:t>
            </w:r>
          </w:p>
        </w:tc>
        <w:tc>
          <w:tcPr>
            <w:tcW w:w="890" w:type="dxa"/>
            <w:shd w:val="clear" w:color="auto" w:fill="FFFFFF"/>
            <w:noWrap w:val="0"/>
            <w:vAlign w:val="center"/>
          </w:tcPr>
          <w:p w14:paraId="7E154754">
            <w:pPr>
              <w:spacing w:line="300" w:lineRule="exact"/>
              <w:jc w:val="center"/>
              <w:rPr>
                <w:rFonts w:eastAsia="楷体_GB2312"/>
                <w:szCs w:val="21"/>
              </w:rPr>
            </w:pPr>
            <w:r>
              <w:rPr>
                <w:rFonts w:hint="eastAsia" w:eastAsia="楷体_GB2312"/>
                <w:szCs w:val="21"/>
              </w:rPr>
              <w:t>/</w:t>
            </w:r>
          </w:p>
        </w:tc>
      </w:tr>
      <w:tr w14:paraId="59C4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04" w:type="dxa"/>
            <w:vMerge w:val="continue"/>
            <w:shd w:val="clear" w:color="auto" w:fill="FFFFFF"/>
            <w:noWrap w:val="0"/>
            <w:vAlign w:val="center"/>
          </w:tcPr>
          <w:p w14:paraId="7476C087">
            <w:pPr>
              <w:spacing w:line="300" w:lineRule="exact"/>
              <w:jc w:val="center"/>
              <w:rPr>
                <w:rFonts w:eastAsia="楷体_GB2312"/>
                <w:szCs w:val="21"/>
              </w:rPr>
            </w:pPr>
          </w:p>
        </w:tc>
        <w:tc>
          <w:tcPr>
            <w:tcW w:w="727" w:type="dxa"/>
            <w:vMerge w:val="continue"/>
            <w:shd w:val="clear" w:color="auto" w:fill="FFFFFF"/>
            <w:noWrap w:val="0"/>
            <w:vAlign w:val="center"/>
          </w:tcPr>
          <w:p w14:paraId="727F0574">
            <w:pPr>
              <w:jc w:val="center"/>
              <w:rPr>
                <w:rFonts w:eastAsia="楷体_GB2312"/>
                <w:szCs w:val="21"/>
              </w:rPr>
            </w:pPr>
          </w:p>
        </w:tc>
        <w:tc>
          <w:tcPr>
            <w:tcW w:w="2126" w:type="dxa"/>
            <w:shd w:val="clear" w:color="auto" w:fill="FFFFFF"/>
            <w:noWrap w:val="0"/>
            <w:vAlign w:val="center"/>
          </w:tcPr>
          <w:p w14:paraId="5488EBB8">
            <w:pPr>
              <w:spacing w:line="300" w:lineRule="exact"/>
              <w:jc w:val="center"/>
              <w:rPr>
                <w:rFonts w:eastAsia="楷体_GB2312"/>
                <w:szCs w:val="21"/>
              </w:rPr>
            </w:pPr>
            <w:r>
              <w:rPr>
                <w:rFonts w:hint="eastAsia" w:eastAsia="楷体_GB2312"/>
                <w:szCs w:val="21"/>
              </w:rPr>
              <w:t>科研用地、教育用地</w:t>
            </w:r>
          </w:p>
        </w:tc>
        <w:tc>
          <w:tcPr>
            <w:tcW w:w="873" w:type="dxa"/>
            <w:shd w:val="clear" w:color="auto" w:fill="FFFFFF"/>
            <w:noWrap w:val="0"/>
            <w:vAlign w:val="center"/>
          </w:tcPr>
          <w:p w14:paraId="3359751E">
            <w:pPr>
              <w:jc w:val="center"/>
              <w:rPr>
                <w:bCs/>
                <w:szCs w:val="21"/>
              </w:rPr>
            </w:pPr>
            <w:r>
              <w:rPr>
                <w:rFonts w:hint="eastAsia"/>
                <w:bCs/>
                <w:szCs w:val="21"/>
              </w:rPr>
              <w:t>810</w:t>
            </w:r>
          </w:p>
        </w:tc>
        <w:tc>
          <w:tcPr>
            <w:tcW w:w="1069" w:type="dxa"/>
            <w:shd w:val="clear" w:color="auto" w:fill="FFFFFF"/>
            <w:noWrap w:val="0"/>
            <w:vAlign w:val="center"/>
          </w:tcPr>
          <w:p w14:paraId="77E22E95">
            <w:pPr>
              <w:jc w:val="center"/>
              <w:rPr>
                <w:bCs/>
                <w:szCs w:val="21"/>
              </w:rPr>
            </w:pPr>
            <w:r>
              <w:rPr>
                <w:rFonts w:hint="eastAsia"/>
                <w:bCs/>
                <w:szCs w:val="21"/>
              </w:rPr>
              <w:t>610</w:t>
            </w:r>
          </w:p>
        </w:tc>
        <w:tc>
          <w:tcPr>
            <w:tcW w:w="1068" w:type="dxa"/>
            <w:shd w:val="clear" w:color="auto" w:fill="FFFFFF"/>
            <w:noWrap w:val="0"/>
            <w:vAlign w:val="center"/>
          </w:tcPr>
          <w:p w14:paraId="0527F86D">
            <w:pPr>
              <w:jc w:val="center"/>
              <w:rPr>
                <w:bCs/>
                <w:szCs w:val="21"/>
              </w:rPr>
            </w:pPr>
            <w:r>
              <w:rPr>
                <w:rFonts w:hint="eastAsia"/>
                <w:bCs/>
                <w:szCs w:val="21"/>
              </w:rPr>
              <w:t>495</w:t>
            </w:r>
          </w:p>
        </w:tc>
        <w:tc>
          <w:tcPr>
            <w:tcW w:w="925" w:type="dxa"/>
            <w:shd w:val="clear" w:color="auto" w:fill="FFFFFF"/>
            <w:noWrap w:val="0"/>
            <w:vAlign w:val="center"/>
          </w:tcPr>
          <w:p w14:paraId="2AEFA8FC">
            <w:pPr>
              <w:jc w:val="center"/>
              <w:rPr>
                <w:bCs/>
                <w:szCs w:val="21"/>
              </w:rPr>
            </w:pPr>
            <w:r>
              <w:rPr>
                <w:rFonts w:hint="eastAsia"/>
                <w:bCs/>
                <w:szCs w:val="21"/>
              </w:rPr>
              <w:t>340</w:t>
            </w:r>
          </w:p>
        </w:tc>
        <w:tc>
          <w:tcPr>
            <w:tcW w:w="890" w:type="dxa"/>
            <w:shd w:val="clear" w:color="auto" w:fill="FFFFFF"/>
            <w:noWrap w:val="0"/>
            <w:vAlign w:val="center"/>
          </w:tcPr>
          <w:p w14:paraId="2521E0A7">
            <w:pPr>
              <w:spacing w:line="300" w:lineRule="exact"/>
              <w:jc w:val="center"/>
              <w:rPr>
                <w:rFonts w:eastAsia="楷体_GB2312"/>
                <w:szCs w:val="21"/>
              </w:rPr>
            </w:pPr>
            <w:r>
              <w:rPr>
                <w:rFonts w:hint="eastAsia" w:eastAsia="楷体_GB2312"/>
                <w:szCs w:val="21"/>
              </w:rPr>
              <w:t>/</w:t>
            </w:r>
          </w:p>
        </w:tc>
        <w:tc>
          <w:tcPr>
            <w:tcW w:w="890" w:type="dxa"/>
            <w:shd w:val="clear" w:color="auto" w:fill="FFFFFF"/>
            <w:noWrap w:val="0"/>
            <w:vAlign w:val="center"/>
          </w:tcPr>
          <w:p w14:paraId="60F490FA">
            <w:pPr>
              <w:spacing w:line="300" w:lineRule="exact"/>
              <w:jc w:val="center"/>
              <w:rPr>
                <w:rFonts w:eastAsia="楷体_GB2312"/>
                <w:szCs w:val="21"/>
              </w:rPr>
            </w:pPr>
            <w:r>
              <w:rPr>
                <w:rFonts w:hint="eastAsia" w:eastAsia="楷体_GB2312"/>
                <w:szCs w:val="21"/>
              </w:rPr>
              <w:t>/</w:t>
            </w:r>
          </w:p>
        </w:tc>
      </w:tr>
      <w:tr w14:paraId="27938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04" w:type="dxa"/>
            <w:vMerge w:val="continue"/>
            <w:shd w:val="clear" w:color="auto" w:fill="FFFFFF"/>
            <w:noWrap w:val="0"/>
            <w:vAlign w:val="center"/>
          </w:tcPr>
          <w:p w14:paraId="31C4E767">
            <w:pPr>
              <w:spacing w:line="300" w:lineRule="exact"/>
              <w:jc w:val="center"/>
              <w:rPr>
                <w:rFonts w:eastAsia="楷体_GB2312"/>
                <w:szCs w:val="21"/>
              </w:rPr>
            </w:pPr>
          </w:p>
        </w:tc>
        <w:tc>
          <w:tcPr>
            <w:tcW w:w="727" w:type="dxa"/>
            <w:vMerge w:val="continue"/>
            <w:shd w:val="clear" w:color="auto" w:fill="FFFFFF"/>
            <w:noWrap w:val="0"/>
            <w:vAlign w:val="center"/>
          </w:tcPr>
          <w:p w14:paraId="5F621BCA">
            <w:pPr>
              <w:jc w:val="center"/>
              <w:rPr>
                <w:rFonts w:eastAsia="楷体_GB2312"/>
                <w:szCs w:val="21"/>
              </w:rPr>
            </w:pPr>
          </w:p>
        </w:tc>
        <w:tc>
          <w:tcPr>
            <w:tcW w:w="2126" w:type="dxa"/>
            <w:shd w:val="clear" w:color="auto" w:fill="FFFFFF"/>
            <w:noWrap w:val="0"/>
            <w:vAlign w:val="center"/>
          </w:tcPr>
          <w:p w14:paraId="351E33BF">
            <w:pPr>
              <w:spacing w:line="300" w:lineRule="exact"/>
              <w:jc w:val="center"/>
              <w:rPr>
                <w:rFonts w:eastAsia="楷体_GB2312"/>
                <w:szCs w:val="21"/>
              </w:rPr>
            </w:pPr>
            <w:r>
              <w:rPr>
                <w:rFonts w:hint="eastAsia" w:eastAsia="楷体_GB2312"/>
                <w:szCs w:val="21"/>
              </w:rPr>
              <w:t>社会福利用地</w:t>
            </w:r>
          </w:p>
        </w:tc>
        <w:tc>
          <w:tcPr>
            <w:tcW w:w="873" w:type="dxa"/>
            <w:shd w:val="clear" w:color="auto" w:fill="FFFFFF"/>
            <w:noWrap w:val="0"/>
            <w:vAlign w:val="center"/>
          </w:tcPr>
          <w:p w14:paraId="6F044FE0">
            <w:pPr>
              <w:jc w:val="center"/>
              <w:rPr>
                <w:bCs/>
                <w:szCs w:val="21"/>
              </w:rPr>
            </w:pPr>
            <w:r>
              <w:rPr>
                <w:rFonts w:hint="eastAsia"/>
                <w:bCs/>
                <w:szCs w:val="21"/>
              </w:rPr>
              <w:t>780</w:t>
            </w:r>
          </w:p>
        </w:tc>
        <w:tc>
          <w:tcPr>
            <w:tcW w:w="1069" w:type="dxa"/>
            <w:shd w:val="clear" w:color="auto" w:fill="FFFFFF"/>
            <w:noWrap w:val="0"/>
            <w:vAlign w:val="center"/>
          </w:tcPr>
          <w:p w14:paraId="75066222">
            <w:pPr>
              <w:jc w:val="center"/>
              <w:rPr>
                <w:bCs/>
                <w:szCs w:val="21"/>
              </w:rPr>
            </w:pPr>
            <w:r>
              <w:rPr>
                <w:rFonts w:hint="eastAsia"/>
                <w:bCs/>
                <w:szCs w:val="21"/>
              </w:rPr>
              <w:t>585</w:t>
            </w:r>
          </w:p>
        </w:tc>
        <w:tc>
          <w:tcPr>
            <w:tcW w:w="1068" w:type="dxa"/>
            <w:shd w:val="clear" w:color="auto" w:fill="FFFFFF"/>
            <w:noWrap w:val="0"/>
            <w:vAlign w:val="center"/>
          </w:tcPr>
          <w:p w14:paraId="5D217124">
            <w:pPr>
              <w:jc w:val="center"/>
              <w:rPr>
                <w:bCs/>
                <w:szCs w:val="21"/>
              </w:rPr>
            </w:pPr>
            <w:r>
              <w:rPr>
                <w:rFonts w:hint="eastAsia"/>
                <w:bCs/>
                <w:szCs w:val="21"/>
              </w:rPr>
              <w:t>470</w:t>
            </w:r>
          </w:p>
        </w:tc>
        <w:tc>
          <w:tcPr>
            <w:tcW w:w="925" w:type="dxa"/>
            <w:shd w:val="clear" w:color="auto" w:fill="FFFFFF"/>
            <w:noWrap w:val="0"/>
            <w:vAlign w:val="center"/>
          </w:tcPr>
          <w:p w14:paraId="760A1278">
            <w:pPr>
              <w:jc w:val="center"/>
              <w:rPr>
                <w:bCs/>
                <w:szCs w:val="21"/>
              </w:rPr>
            </w:pPr>
            <w:r>
              <w:rPr>
                <w:rFonts w:hint="eastAsia"/>
                <w:bCs/>
                <w:szCs w:val="21"/>
              </w:rPr>
              <w:t>330</w:t>
            </w:r>
          </w:p>
        </w:tc>
        <w:tc>
          <w:tcPr>
            <w:tcW w:w="890" w:type="dxa"/>
            <w:shd w:val="clear" w:color="auto" w:fill="FFFFFF"/>
            <w:noWrap w:val="0"/>
            <w:vAlign w:val="center"/>
          </w:tcPr>
          <w:p w14:paraId="07206EE4">
            <w:pPr>
              <w:spacing w:line="300" w:lineRule="exact"/>
              <w:jc w:val="center"/>
              <w:rPr>
                <w:rFonts w:eastAsia="楷体_GB2312"/>
                <w:szCs w:val="21"/>
              </w:rPr>
            </w:pPr>
            <w:r>
              <w:rPr>
                <w:rFonts w:hint="eastAsia" w:eastAsia="楷体_GB2312"/>
                <w:szCs w:val="21"/>
              </w:rPr>
              <w:t>/</w:t>
            </w:r>
          </w:p>
        </w:tc>
        <w:tc>
          <w:tcPr>
            <w:tcW w:w="890" w:type="dxa"/>
            <w:shd w:val="clear" w:color="auto" w:fill="FFFFFF"/>
            <w:noWrap w:val="0"/>
            <w:vAlign w:val="center"/>
          </w:tcPr>
          <w:p w14:paraId="15E8481E">
            <w:pPr>
              <w:spacing w:line="300" w:lineRule="exact"/>
              <w:jc w:val="center"/>
              <w:rPr>
                <w:rFonts w:eastAsia="楷体_GB2312"/>
                <w:szCs w:val="21"/>
              </w:rPr>
            </w:pPr>
            <w:r>
              <w:rPr>
                <w:rFonts w:hint="eastAsia" w:eastAsia="楷体_GB2312"/>
                <w:szCs w:val="21"/>
              </w:rPr>
              <w:t>/</w:t>
            </w:r>
          </w:p>
        </w:tc>
      </w:tr>
      <w:tr w14:paraId="509F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04" w:type="dxa"/>
            <w:vMerge w:val="continue"/>
            <w:shd w:val="clear" w:color="auto" w:fill="FFFFFF"/>
            <w:noWrap w:val="0"/>
            <w:vAlign w:val="center"/>
          </w:tcPr>
          <w:p w14:paraId="33B70584">
            <w:pPr>
              <w:spacing w:line="300" w:lineRule="exact"/>
              <w:jc w:val="center"/>
              <w:rPr>
                <w:rFonts w:eastAsia="楷体_GB2312"/>
                <w:szCs w:val="21"/>
              </w:rPr>
            </w:pPr>
          </w:p>
        </w:tc>
        <w:tc>
          <w:tcPr>
            <w:tcW w:w="727" w:type="dxa"/>
            <w:vMerge w:val="continue"/>
            <w:shd w:val="clear" w:color="auto" w:fill="FFFFFF"/>
            <w:noWrap w:val="0"/>
            <w:vAlign w:val="center"/>
          </w:tcPr>
          <w:p w14:paraId="60885A98">
            <w:pPr>
              <w:jc w:val="center"/>
              <w:rPr>
                <w:rFonts w:eastAsia="楷体_GB2312"/>
                <w:szCs w:val="21"/>
              </w:rPr>
            </w:pPr>
          </w:p>
        </w:tc>
        <w:tc>
          <w:tcPr>
            <w:tcW w:w="2126" w:type="dxa"/>
            <w:shd w:val="clear" w:color="auto" w:fill="FFFFFF"/>
            <w:noWrap w:val="0"/>
            <w:vAlign w:val="center"/>
          </w:tcPr>
          <w:p w14:paraId="576D6C5F">
            <w:pPr>
              <w:spacing w:line="300" w:lineRule="exact"/>
              <w:jc w:val="center"/>
              <w:rPr>
                <w:rFonts w:hint="eastAsia" w:eastAsia="楷体_GB2312"/>
                <w:szCs w:val="21"/>
              </w:rPr>
            </w:pPr>
            <w:r>
              <w:rPr>
                <w:rFonts w:hint="eastAsia" w:eastAsia="楷体_GB2312"/>
                <w:szCs w:val="21"/>
              </w:rPr>
              <w:t>公用设施</w:t>
            </w:r>
          </w:p>
        </w:tc>
        <w:tc>
          <w:tcPr>
            <w:tcW w:w="873" w:type="dxa"/>
            <w:shd w:val="clear" w:color="auto" w:fill="FFFFFF"/>
            <w:noWrap w:val="0"/>
            <w:vAlign w:val="center"/>
          </w:tcPr>
          <w:p w14:paraId="3FC151F5">
            <w:pPr>
              <w:jc w:val="center"/>
              <w:rPr>
                <w:rFonts w:hint="eastAsia"/>
                <w:bCs/>
                <w:szCs w:val="21"/>
              </w:rPr>
            </w:pPr>
            <w:r>
              <w:rPr>
                <w:rFonts w:hint="eastAsia"/>
                <w:bCs/>
                <w:szCs w:val="21"/>
              </w:rPr>
              <w:t>420</w:t>
            </w:r>
          </w:p>
        </w:tc>
        <w:tc>
          <w:tcPr>
            <w:tcW w:w="1069" w:type="dxa"/>
            <w:shd w:val="clear" w:color="auto" w:fill="FFFFFF"/>
            <w:noWrap w:val="0"/>
            <w:vAlign w:val="center"/>
          </w:tcPr>
          <w:p w14:paraId="5CFB2529">
            <w:pPr>
              <w:jc w:val="center"/>
              <w:rPr>
                <w:rFonts w:hint="eastAsia"/>
                <w:bCs/>
                <w:szCs w:val="21"/>
              </w:rPr>
            </w:pPr>
            <w:r>
              <w:rPr>
                <w:rFonts w:hint="eastAsia"/>
                <w:bCs/>
                <w:szCs w:val="21"/>
              </w:rPr>
              <w:t>360</w:t>
            </w:r>
          </w:p>
        </w:tc>
        <w:tc>
          <w:tcPr>
            <w:tcW w:w="1068" w:type="dxa"/>
            <w:shd w:val="clear" w:color="auto" w:fill="FFFFFF"/>
            <w:noWrap w:val="0"/>
            <w:vAlign w:val="center"/>
          </w:tcPr>
          <w:p w14:paraId="493E38E7">
            <w:pPr>
              <w:jc w:val="center"/>
              <w:rPr>
                <w:rFonts w:hint="eastAsia"/>
                <w:bCs/>
                <w:szCs w:val="21"/>
              </w:rPr>
            </w:pPr>
            <w:r>
              <w:rPr>
                <w:rFonts w:hint="eastAsia"/>
                <w:bCs/>
                <w:szCs w:val="21"/>
              </w:rPr>
              <w:t>325</w:t>
            </w:r>
          </w:p>
        </w:tc>
        <w:tc>
          <w:tcPr>
            <w:tcW w:w="925" w:type="dxa"/>
            <w:shd w:val="clear" w:color="auto" w:fill="FFFFFF"/>
            <w:noWrap w:val="0"/>
            <w:vAlign w:val="center"/>
          </w:tcPr>
          <w:p w14:paraId="1E39C7B6">
            <w:pPr>
              <w:jc w:val="center"/>
              <w:rPr>
                <w:rFonts w:hint="eastAsia"/>
                <w:bCs/>
                <w:szCs w:val="21"/>
              </w:rPr>
            </w:pPr>
            <w:r>
              <w:rPr>
                <w:rFonts w:hint="eastAsia"/>
                <w:bCs/>
                <w:szCs w:val="21"/>
              </w:rPr>
              <w:t>280</w:t>
            </w:r>
          </w:p>
        </w:tc>
        <w:tc>
          <w:tcPr>
            <w:tcW w:w="890" w:type="dxa"/>
            <w:shd w:val="clear" w:color="auto" w:fill="FFFFFF"/>
            <w:noWrap w:val="0"/>
            <w:vAlign w:val="center"/>
          </w:tcPr>
          <w:p w14:paraId="62ED2668">
            <w:pPr>
              <w:spacing w:line="300" w:lineRule="exact"/>
              <w:jc w:val="center"/>
              <w:rPr>
                <w:rFonts w:eastAsia="楷体_GB2312"/>
                <w:szCs w:val="21"/>
              </w:rPr>
            </w:pPr>
            <w:r>
              <w:rPr>
                <w:rFonts w:hint="eastAsia" w:eastAsia="楷体_GB2312"/>
                <w:szCs w:val="21"/>
              </w:rPr>
              <w:t>/</w:t>
            </w:r>
          </w:p>
        </w:tc>
        <w:tc>
          <w:tcPr>
            <w:tcW w:w="890" w:type="dxa"/>
            <w:shd w:val="clear" w:color="auto" w:fill="FFFFFF"/>
            <w:noWrap w:val="0"/>
            <w:vAlign w:val="center"/>
          </w:tcPr>
          <w:p w14:paraId="7C6A476D">
            <w:pPr>
              <w:spacing w:line="300" w:lineRule="exact"/>
              <w:jc w:val="center"/>
              <w:rPr>
                <w:rFonts w:eastAsia="楷体_GB2312"/>
                <w:szCs w:val="21"/>
              </w:rPr>
            </w:pPr>
            <w:r>
              <w:rPr>
                <w:rFonts w:hint="eastAsia" w:eastAsia="楷体_GB2312"/>
                <w:szCs w:val="21"/>
              </w:rPr>
              <w:t>/</w:t>
            </w:r>
          </w:p>
        </w:tc>
      </w:tr>
    </w:tbl>
    <w:p w14:paraId="7C68A26D">
      <w:pPr>
        <w:pStyle w:val="20"/>
        <w:spacing w:line="480" w:lineRule="exact"/>
        <w:ind w:firstLine="560" w:firstLineChars="200"/>
        <w:rPr>
          <w:rFonts w:hint="eastAsia" w:ascii="Times New Roman" w:hAnsi="Times New Roman" w:eastAsia="楷体_GB2312" w:cs="Times New Roman"/>
          <w:sz w:val="28"/>
        </w:rPr>
      </w:pPr>
      <w:r>
        <w:rPr>
          <w:rFonts w:hint="eastAsia" w:ascii="Times New Roman" w:hAnsi="Times New Roman" w:eastAsia="楷体_GB2312" w:cs="Times New Roman"/>
          <w:sz w:val="28"/>
        </w:rPr>
        <w:t>各乡镇及园区的基准地价与</w:t>
      </w:r>
      <w:r>
        <w:rPr>
          <w:rFonts w:hint="eastAsia" w:hAnsi="宋体" w:cs="宋体"/>
          <w:sz w:val="28"/>
        </w:rPr>
        <w:t>埇</w:t>
      </w:r>
      <w:r>
        <w:rPr>
          <w:rFonts w:hint="eastAsia" w:ascii="楷体_GB2312" w:hAnsi="楷体_GB2312" w:eastAsia="楷体_GB2312" w:cs="楷体_GB2312"/>
          <w:sz w:val="28"/>
        </w:rPr>
        <w:t>桥区城区末级地进行对比。乡镇及园区商服用地基准地价在</w:t>
      </w:r>
      <w:r>
        <w:rPr>
          <w:rFonts w:hint="eastAsia" w:ascii="Times New Roman" w:hAnsi="Times New Roman" w:eastAsia="楷体_GB2312" w:cs="Times New Roman"/>
          <w:sz w:val="28"/>
        </w:rPr>
        <w:t>265-620元/平方米之间，城区末级地商服用地基准地价580元/平方米；各乡镇及园区住宅用地基准地价在200-470元/平方米之间，城区末级地住宅用地基准地价为540元/平方米；各乡镇及园区工矿仓储用地基准地价在144-230元/平方米之间，城区末级地工矿仓储用地基准地价为144元/平方米；各乡镇及园区公共管理与公共服务用地基准地价在165-440元/平方米之间，城区末级公共管理与公共服务用地二级类基准地价在280-400元/平方米之间。</w:t>
      </w:r>
    </w:p>
    <w:p w14:paraId="64EE9C6F">
      <w:pPr>
        <w:pStyle w:val="20"/>
        <w:spacing w:line="480" w:lineRule="exact"/>
        <w:ind w:firstLine="560" w:firstLineChars="200"/>
        <w:rPr>
          <w:rFonts w:ascii="Times New Roman" w:hAnsi="Times New Roman" w:eastAsia="楷体_GB2312" w:cs="Times New Roman"/>
          <w:sz w:val="28"/>
        </w:rPr>
      </w:pPr>
      <w:r>
        <w:rPr>
          <w:rFonts w:hint="eastAsia" w:ascii="Times New Roman" w:hAnsi="Times New Roman" w:eastAsia="楷体_GB2312" w:cs="Times New Roman"/>
          <w:sz w:val="28"/>
        </w:rPr>
        <w:t>通过比较可以发现，</w:t>
      </w:r>
      <w:r>
        <w:rPr>
          <w:rFonts w:hint="eastAsia" w:hAnsi="宋体" w:cs="宋体"/>
          <w:sz w:val="28"/>
        </w:rPr>
        <w:t>埇</w:t>
      </w:r>
      <w:r>
        <w:rPr>
          <w:rFonts w:hint="eastAsia" w:ascii="楷体_GB2312" w:hAnsi="楷体_GB2312" w:eastAsia="楷体_GB2312" w:cs="楷体_GB2312"/>
          <w:sz w:val="28"/>
        </w:rPr>
        <w:t>桥区各乡镇及园区商服用地、住宅用地、公共管理与公共服务用地普遍低于城区基准地价末级地地价，符离镇、朱仙庄镇等部分乡镇商服用地、公共管理与公共服务用地一级地基准地价略高于城区末级地，通过分析是因为上述乡镇高级别区域基础设施配套及经济发展状况较高，接近或略高于城区边缘地区的基础设施投入水平。各乡镇及园区工矿仓储用地高于城区基准地价末级地地价，受政策影响较大。总体分析乡镇的基础设施投入强度及经济发展状况与城区差距较大，所以总体地价水平较城区相比处于较低的水</w:t>
      </w:r>
      <w:r>
        <w:rPr>
          <w:rFonts w:hint="eastAsia" w:ascii="Times New Roman" w:hAnsi="Times New Roman" w:eastAsia="楷体_GB2312" w:cs="Times New Roman"/>
          <w:sz w:val="28"/>
        </w:rPr>
        <w:t>平</w:t>
      </w:r>
      <w:r>
        <w:rPr>
          <w:rFonts w:ascii="Times New Roman" w:hAnsi="Times New Roman" w:eastAsia="楷体_GB2312" w:cs="Times New Roman"/>
          <w:sz w:val="28"/>
        </w:rPr>
        <w:t>。</w:t>
      </w:r>
    </w:p>
    <w:p w14:paraId="4ACE764F">
      <w:pPr>
        <w:pStyle w:val="20"/>
        <w:spacing w:line="480" w:lineRule="exact"/>
        <w:ind w:firstLine="560" w:firstLineChars="200"/>
        <w:rPr>
          <w:rFonts w:ascii="Times New Roman" w:hAnsi="Times New Roman" w:eastAsia="楷体_GB2312" w:cs="Times New Roman"/>
          <w:sz w:val="28"/>
        </w:rPr>
      </w:pPr>
    </w:p>
    <w:p w14:paraId="69A10DF3">
      <w:pPr>
        <w:pStyle w:val="4"/>
        <w:numPr>
          <w:ilvl w:val="0"/>
          <w:numId w:val="0"/>
        </w:numPr>
        <w:spacing w:line="240" w:lineRule="auto"/>
        <w:jc w:val="center"/>
        <w:rPr>
          <w:rFonts w:eastAsia="楷体_GB2312"/>
        </w:rPr>
        <w:sectPr>
          <w:pgSz w:w="11906" w:h="16838"/>
          <w:pgMar w:top="1758" w:right="1474" w:bottom="1474" w:left="1644" w:header="1134" w:footer="992" w:gutter="0"/>
          <w:cols w:space="720" w:num="1"/>
          <w:docGrid w:linePitch="312" w:charSpace="0"/>
        </w:sectPr>
      </w:pPr>
    </w:p>
    <w:p w14:paraId="1B45C625">
      <w:pPr>
        <w:pStyle w:val="4"/>
        <w:numPr>
          <w:ilvl w:val="0"/>
          <w:numId w:val="0"/>
        </w:numPr>
        <w:spacing w:line="240" w:lineRule="auto"/>
        <w:jc w:val="center"/>
        <w:rPr>
          <w:rFonts w:eastAsia="仿宋_GB2312"/>
          <w:bCs w:val="0"/>
        </w:rPr>
      </w:pPr>
      <w:bookmarkStart w:id="100" w:name="_Toc62563703"/>
      <w:r>
        <w:rPr>
          <w:rFonts w:eastAsia="仿宋_GB2312"/>
          <w:bCs w:val="0"/>
        </w:rPr>
        <w:t>第二节  两轮基准地价对比分析</w:t>
      </w:r>
      <w:bookmarkEnd w:id="100"/>
    </w:p>
    <w:p w14:paraId="72B460D9">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一、两轮基准地价内涵对比分析</w:t>
      </w:r>
    </w:p>
    <w:p w14:paraId="51325440">
      <w:pPr>
        <w:widowControl w:val="0"/>
        <w:spacing w:line="480" w:lineRule="exact"/>
        <w:ind w:firstLine="560" w:firstLineChars="200"/>
        <w:jc w:val="both"/>
        <w:rPr>
          <w:rFonts w:eastAsia="楷体_GB2312"/>
          <w:sz w:val="28"/>
          <w:szCs w:val="21"/>
        </w:rPr>
      </w:pPr>
      <w:r>
        <w:rPr>
          <w:rFonts w:eastAsia="楷体_GB2312"/>
          <w:sz w:val="28"/>
          <w:szCs w:val="21"/>
        </w:rPr>
        <w:t>基准地价是指在城市规划区范围内，对现状利用和规划利用条件下不同级别的土地或者土地条件相当的地域，按照商服、住宅、工矿仓储、公共管理与公共服务等用途，分别评估确定的某一时点上一定年期的土地使用权区域平均价格。它是在设定估价期日、设定土地开发程度、设定使用年期下完整土地使用权的区域平均价格。将2016年修订的基准地价和本次评估的基准地价内涵列表如下：</w:t>
      </w:r>
    </w:p>
    <w:p w14:paraId="6C68D869">
      <w:pPr>
        <w:widowControl w:val="0"/>
        <w:spacing w:line="480" w:lineRule="exact"/>
        <w:jc w:val="center"/>
        <w:rPr>
          <w:rFonts w:eastAsia="黑体"/>
          <w:sz w:val="28"/>
          <w:szCs w:val="21"/>
        </w:rPr>
      </w:pPr>
      <w:r>
        <w:rPr>
          <w:rFonts w:eastAsia="黑体"/>
          <w:sz w:val="28"/>
          <w:szCs w:val="21"/>
        </w:rPr>
        <w:t>表2-8-3  两轮基准地价内涵比较表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3970"/>
        <w:gridCol w:w="3683"/>
      </w:tblGrid>
      <w:tr w14:paraId="4A075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82" w:type="pct"/>
            <w:tcBorders>
              <w:tl2br w:val="single" w:color="auto" w:sz="4" w:space="0"/>
            </w:tcBorders>
            <w:noWrap w:val="0"/>
            <w:vAlign w:val="center"/>
          </w:tcPr>
          <w:p w14:paraId="43084D1A">
            <w:pPr>
              <w:widowControl w:val="0"/>
              <w:spacing w:line="0" w:lineRule="atLeast"/>
              <w:jc w:val="center"/>
              <w:rPr>
                <w:rFonts w:eastAsia="楷体_GB2312"/>
              </w:rPr>
            </w:pPr>
            <w:r>
              <w:rPr>
                <w:rFonts w:eastAsia="楷体_GB2312"/>
              </w:rPr>
              <w:t xml:space="preserve">      内容</w:t>
            </w:r>
          </w:p>
          <w:p w14:paraId="061E9387">
            <w:pPr>
              <w:widowControl w:val="0"/>
              <w:spacing w:line="0" w:lineRule="atLeast"/>
              <w:jc w:val="both"/>
              <w:rPr>
                <w:rFonts w:eastAsia="楷体_GB2312"/>
              </w:rPr>
            </w:pPr>
            <w:r>
              <w:rPr>
                <w:rFonts w:eastAsia="楷体_GB2312"/>
              </w:rPr>
              <w:t>项目</w:t>
            </w:r>
          </w:p>
        </w:tc>
        <w:tc>
          <w:tcPr>
            <w:tcW w:w="2188" w:type="pct"/>
            <w:noWrap w:val="0"/>
            <w:vAlign w:val="center"/>
          </w:tcPr>
          <w:p w14:paraId="6C3F7DDB">
            <w:pPr>
              <w:widowControl w:val="0"/>
              <w:spacing w:line="0" w:lineRule="atLeast"/>
              <w:jc w:val="center"/>
              <w:rPr>
                <w:rFonts w:eastAsia="楷体_GB2312"/>
              </w:rPr>
            </w:pPr>
            <w:r>
              <w:rPr>
                <w:rFonts w:eastAsia="楷体_GB2312"/>
              </w:rPr>
              <w:t>本轮基准地价</w:t>
            </w:r>
          </w:p>
        </w:tc>
        <w:tc>
          <w:tcPr>
            <w:tcW w:w="2031" w:type="pct"/>
            <w:noWrap w:val="0"/>
            <w:vAlign w:val="center"/>
          </w:tcPr>
          <w:p w14:paraId="1B94985E">
            <w:pPr>
              <w:widowControl w:val="0"/>
              <w:spacing w:line="0" w:lineRule="atLeast"/>
              <w:jc w:val="center"/>
              <w:rPr>
                <w:rFonts w:eastAsia="楷体_GB2312"/>
              </w:rPr>
            </w:pPr>
            <w:r>
              <w:rPr>
                <w:rFonts w:eastAsia="楷体_GB2312"/>
              </w:rPr>
              <w:t>上轮基准地价</w:t>
            </w:r>
          </w:p>
        </w:tc>
      </w:tr>
      <w:tr w14:paraId="64EC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82" w:type="pct"/>
            <w:noWrap w:val="0"/>
            <w:vAlign w:val="center"/>
          </w:tcPr>
          <w:p w14:paraId="026F27EB">
            <w:pPr>
              <w:widowControl w:val="0"/>
              <w:spacing w:line="0" w:lineRule="atLeast"/>
              <w:jc w:val="center"/>
              <w:rPr>
                <w:rFonts w:eastAsia="楷体_GB2312"/>
              </w:rPr>
            </w:pPr>
            <w:r>
              <w:rPr>
                <w:rFonts w:eastAsia="楷体_GB2312"/>
              </w:rPr>
              <w:t>估价期日</w:t>
            </w:r>
          </w:p>
        </w:tc>
        <w:tc>
          <w:tcPr>
            <w:tcW w:w="2188" w:type="pct"/>
            <w:noWrap w:val="0"/>
            <w:vAlign w:val="center"/>
          </w:tcPr>
          <w:p w14:paraId="7CEDD4F2">
            <w:pPr>
              <w:widowControl w:val="0"/>
              <w:spacing w:line="0" w:lineRule="atLeast"/>
              <w:jc w:val="center"/>
              <w:rPr>
                <w:rFonts w:eastAsia="楷体_GB2312"/>
              </w:rPr>
            </w:pPr>
            <w:r>
              <w:rPr>
                <w:rFonts w:eastAsia="楷体_GB2312"/>
              </w:rPr>
              <w:t>2021年1月1日</w:t>
            </w:r>
          </w:p>
        </w:tc>
        <w:tc>
          <w:tcPr>
            <w:tcW w:w="2031" w:type="pct"/>
            <w:noWrap w:val="0"/>
            <w:vAlign w:val="center"/>
          </w:tcPr>
          <w:p w14:paraId="08A1FBDE">
            <w:pPr>
              <w:widowControl w:val="0"/>
              <w:spacing w:line="0" w:lineRule="atLeast"/>
              <w:jc w:val="center"/>
              <w:rPr>
                <w:rFonts w:eastAsia="楷体_GB2312"/>
              </w:rPr>
            </w:pPr>
            <w:r>
              <w:rPr>
                <w:rFonts w:eastAsia="楷体_GB2312"/>
              </w:rPr>
              <w:t>2016年</w:t>
            </w:r>
            <w:r>
              <w:rPr>
                <w:rFonts w:hint="eastAsia" w:eastAsia="楷体_GB2312"/>
              </w:rPr>
              <w:t>10</w:t>
            </w:r>
            <w:r>
              <w:rPr>
                <w:rFonts w:eastAsia="楷体_GB2312"/>
              </w:rPr>
              <w:t>月1日</w:t>
            </w:r>
          </w:p>
        </w:tc>
      </w:tr>
      <w:tr w14:paraId="05C5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82" w:type="pct"/>
            <w:noWrap w:val="0"/>
            <w:vAlign w:val="center"/>
          </w:tcPr>
          <w:p w14:paraId="4847AC6B">
            <w:pPr>
              <w:widowControl w:val="0"/>
              <w:spacing w:line="0" w:lineRule="atLeast"/>
              <w:jc w:val="center"/>
              <w:rPr>
                <w:rFonts w:eastAsia="楷体_GB2312"/>
              </w:rPr>
            </w:pPr>
            <w:r>
              <w:rPr>
                <w:rFonts w:eastAsia="楷体_GB2312"/>
              </w:rPr>
              <w:t>土地开发程度</w:t>
            </w:r>
          </w:p>
        </w:tc>
        <w:tc>
          <w:tcPr>
            <w:tcW w:w="2188" w:type="pct"/>
            <w:noWrap w:val="0"/>
            <w:vAlign w:val="center"/>
          </w:tcPr>
          <w:p w14:paraId="6641EB88">
            <w:pPr>
              <w:spacing w:line="300" w:lineRule="exact"/>
              <w:rPr>
                <w:rFonts w:eastAsia="楷体_GB2312"/>
                <w:szCs w:val="21"/>
              </w:rPr>
            </w:pPr>
            <w:r>
              <w:rPr>
                <w:rFonts w:hint="eastAsia" w:eastAsia="楷体_GB2312"/>
                <w:szCs w:val="21"/>
              </w:rPr>
              <w:t>各乡镇</w:t>
            </w:r>
            <w:r>
              <w:rPr>
                <w:rFonts w:eastAsia="楷体_GB2312"/>
                <w:szCs w:val="21"/>
              </w:rPr>
              <w:t>一级地“五通一平”，二级地、三级地“四通一平“。</w:t>
            </w:r>
          </w:p>
          <w:p w14:paraId="6DE88A61">
            <w:pPr>
              <w:spacing w:line="300" w:lineRule="exact"/>
              <w:rPr>
                <w:rFonts w:eastAsia="楷体_GB2312"/>
                <w:szCs w:val="21"/>
              </w:rPr>
            </w:pPr>
            <w:r>
              <w:rPr>
                <w:rFonts w:hint="eastAsia" w:eastAsia="楷体_GB2312"/>
                <w:szCs w:val="21"/>
              </w:rPr>
              <w:t>各园区指导价区域</w:t>
            </w:r>
            <w:r>
              <w:rPr>
                <w:rFonts w:eastAsia="楷体_GB2312"/>
                <w:szCs w:val="21"/>
              </w:rPr>
              <w:t xml:space="preserve"> “五通一平”。</w:t>
            </w:r>
          </w:p>
        </w:tc>
        <w:tc>
          <w:tcPr>
            <w:tcW w:w="2031" w:type="pct"/>
            <w:noWrap w:val="0"/>
            <w:vAlign w:val="center"/>
          </w:tcPr>
          <w:p w14:paraId="4E37B777">
            <w:pPr>
              <w:spacing w:line="300" w:lineRule="exact"/>
              <w:rPr>
                <w:rFonts w:eastAsia="楷体_GB2312"/>
                <w:szCs w:val="21"/>
              </w:rPr>
            </w:pPr>
            <w:r>
              <w:rPr>
                <w:rFonts w:hint="eastAsia" w:eastAsia="楷体_GB2312"/>
                <w:szCs w:val="21"/>
              </w:rPr>
              <w:t>各乡镇商服用地</w:t>
            </w:r>
            <w:r>
              <w:rPr>
                <w:rFonts w:eastAsia="楷体_GB2312"/>
                <w:szCs w:val="21"/>
              </w:rPr>
              <w:t>一级地“五通一平”，二级地“四通一平”、三级地“</w:t>
            </w:r>
            <w:r>
              <w:rPr>
                <w:rFonts w:hint="eastAsia" w:eastAsia="楷体_GB2312"/>
                <w:szCs w:val="21"/>
              </w:rPr>
              <w:t>三</w:t>
            </w:r>
            <w:r>
              <w:rPr>
                <w:rFonts w:eastAsia="楷体_GB2312"/>
                <w:szCs w:val="21"/>
              </w:rPr>
              <w:t>通一平”</w:t>
            </w:r>
            <w:r>
              <w:rPr>
                <w:rFonts w:hint="eastAsia" w:eastAsia="楷体_GB2312"/>
                <w:szCs w:val="21"/>
              </w:rPr>
              <w:t>；</w:t>
            </w:r>
          </w:p>
          <w:p w14:paraId="787F1BB6">
            <w:pPr>
              <w:spacing w:line="300" w:lineRule="exact"/>
              <w:rPr>
                <w:rFonts w:hint="eastAsia" w:eastAsia="楷体_GB2312"/>
                <w:szCs w:val="21"/>
              </w:rPr>
            </w:pPr>
            <w:r>
              <w:rPr>
                <w:rFonts w:hint="eastAsia" w:eastAsia="楷体_GB2312"/>
                <w:szCs w:val="21"/>
              </w:rPr>
              <w:t>住宅用地</w:t>
            </w:r>
            <w:r>
              <w:rPr>
                <w:rFonts w:eastAsia="楷体_GB2312"/>
                <w:szCs w:val="21"/>
              </w:rPr>
              <w:t>一级地“五通一平”，二级地“四通一平”、三级地“</w:t>
            </w:r>
            <w:r>
              <w:rPr>
                <w:rFonts w:hint="eastAsia" w:eastAsia="楷体_GB2312"/>
                <w:szCs w:val="21"/>
              </w:rPr>
              <w:t>三</w:t>
            </w:r>
            <w:r>
              <w:rPr>
                <w:rFonts w:eastAsia="楷体_GB2312"/>
                <w:szCs w:val="21"/>
              </w:rPr>
              <w:t>通一平”</w:t>
            </w:r>
            <w:r>
              <w:rPr>
                <w:rFonts w:hint="eastAsia" w:eastAsia="楷体_GB2312"/>
                <w:szCs w:val="21"/>
              </w:rPr>
              <w:t>；</w:t>
            </w:r>
          </w:p>
          <w:p w14:paraId="36CD7C5B">
            <w:pPr>
              <w:spacing w:line="300" w:lineRule="exact"/>
              <w:rPr>
                <w:rFonts w:eastAsia="楷体_GB2312"/>
                <w:szCs w:val="21"/>
              </w:rPr>
            </w:pPr>
            <w:r>
              <w:rPr>
                <w:rFonts w:hint="eastAsia" w:eastAsia="楷体_GB2312"/>
                <w:szCs w:val="21"/>
              </w:rPr>
              <w:t>工业用地</w:t>
            </w:r>
            <w:r>
              <w:rPr>
                <w:rFonts w:eastAsia="楷体_GB2312"/>
                <w:szCs w:val="21"/>
              </w:rPr>
              <w:t>一级地“</w:t>
            </w:r>
            <w:r>
              <w:rPr>
                <w:rFonts w:hint="eastAsia" w:eastAsia="楷体_GB2312"/>
                <w:szCs w:val="21"/>
              </w:rPr>
              <w:t>四</w:t>
            </w:r>
            <w:r>
              <w:rPr>
                <w:rFonts w:eastAsia="楷体_GB2312"/>
                <w:szCs w:val="21"/>
              </w:rPr>
              <w:t>通一平”，二级地“四通一平”、三级地“</w:t>
            </w:r>
            <w:r>
              <w:rPr>
                <w:rFonts w:hint="eastAsia" w:eastAsia="楷体_GB2312"/>
                <w:szCs w:val="21"/>
              </w:rPr>
              <w:t>三</w:t>
            </w:r>
            <w:r>
              <w:rPr>
                <w:rFonts w:eastAsia="楷体_GB2312"/>
                <w:szCs w:val="21"/>
              </w:rPr>
              <w:t>通一平”</w:t>
            </w:r>
            <w:r>
              <w:rPr>
                <w:rFonts w:hint="eastAsia" w:eastAsia="楷体_GB2312"/>
                <w:szCs w:val="21"/>
              </w:rPr>
              <w:t>；</w:t>
            </w:r>
          </w:p>
        </w:tc>
      </w:tr>
      <w:tr w14:paraId="0358E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82" w:type="pct"/>
            <w:noWrap w:val="0"/>
            <w:vAlign w:val="center"/>
          </w:tcPr>
          <w:p w14:paraId="5BFD3027">
            <w:pPr>
              <w:widowControl w:val="0"/>
              <w:spacing w:line="0" w:lineRule="atLeast"/>
              <w:jc w:val="center"/>
              <w:rPr>
                <w:rFonts w:eastAsia="楷体_GB2312"/>
              </w:rPr>
            </w:pPr>
            <w:r>
              <w:rPr>
                <w:rFonts w:eastAsia="楷体_GB2312"/>
              </w:rPr>
              <w:t>使用年期</w:t>
            </w:r>
          </w:p>
        </w:tc>
        <w:tc>
          <w:tcPr>
            <w:tcW w:w="2188" w:type="pct"/>
            <w:noWrap w:val="0"/>
            <w:vAlign w:val="center"/>
          </w:tcPr>
          <w:p w14:paraId="56051BA2">
            <w:pPr>
              <w:spacing w:line="0" w:lineRule="atLeast"/>
              <w:rPr>
                <w:rFonts w:eastAsia="楷体_GB2312"/>
                <w:szCs w:val="21"/>
              </w:rPr>
            </w:pPr>
            <w:r>
              <w:rPr>
                <w:rFonts w:eastAsia="楷体_GB2312"/>
                <w:szCs w:val="21"/>
              </w:rPr>
              <w:t>商服用地40年、住宅用地70年、工矿仓储用地50年，公共管理与公共服务用地50年。</w:t>
            </w:r>
          </w:p>
        </w:tc>
        <w:tc>
          <w:tcPr>
            <w:tcW w:w="2031" w:type="pct"/>
            <w:noWrap w:val="0"/>
            <w:vAlign w:val="center"/>
          </w:tcPr>
          <w:p w14:paraId="581DFB6E">
            <w:pPr>
              <w:widowControl w:val="0"/>
              <w:spacing w:line="0" w:lineRule="atLeast"/>
              <w:jc w:val="center"/>
              <w:rPr>
                <w:rFonts w:eastAsia="楷体_GB2312"/>
              </w:rPr>
            </w:pPr>
            <w:r>
              <w:rPr>
                <w:rFonts w:eastAsia="楷体_GB2312"/>
                <w:szCs w:val="21"/>
              </w:rPr>
              <w:t>商服用地40年、住宅用地70年、</w:t>
            </w:r>
            <w:r>
              <w:rPr>
                <w:rFonts w:hint="eastAsia" w:eastAsia="楷体_GB2312"/>
                <w:szCs w:val="21"/>
              </w:rPr>
              <w:t>工业</w:t>
            </w:r>
            <w:r>
              <w:rPr>
                <w:rFonts w:eastAsia="楷体_GB2312"/>
                <w:szCs w:val="21"/>
              </w:rPr>
              <w:t>用地50年，</w:t>
            </w:r>
          </w:p>
        </w:tc>
      </w:tr>
      <w:tr w14:paraId="62B52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782" w:type="pct"/>
            <w:noWrap w:val="0"/>
            <w:vAlign w:val="center"/>
          </w:tcPr>
          <w:p w14:paraId="3238ACCD">
            <w:pPr>
              <w:widowControl w:val="0"/>
              <w:spacing w:line="0" w:lineRule="atLeast"/>
              <w:jc w:val="center"/>
              <w:rPr>
                <w:rFonts w:eastAsia="楷体_GB2312"/>
              </w:rPr>
            </w:pPr>
            <w:r>
              <w:rPr>
                <w:rFonts w:eastAsia="楷体_GB2312"/>
              </w:rPr>
              <w:t>容积率</w:t>
            </w:r>
          </w:p>
        </w:tc>
        <w:tc>
          <w:tcPr>
            <w:tcW w:w="2188" w:type="pct"/>
            <w:noWrap w:val="0"/>
            <w:vAlign w:val="center"/>
          </w:tcPr>
          <w:p w14:paraId="6E203381">
            <w:pPr>
              <w:widowControl w:val="0"/>
              <w:spacing w:line="0" w:lineRule="atLeast"/>
              <w:jc w:val="both"/>
              <w:rPr>
                <w:rFonts w:eastAsia="楷体_GB2312"/>
                <w:szCs w:val="21"/>
              </w:rPr>
            </w:pPr>
            <w:r>
              <w:rPr>
                <w:rFonts w:hint="eastAsia" w:eastAsia="楷体_GB2312"/>
                <w:szCs w:val="21"/>
              </w:rPr>
              <w:t>各乡镇</w:t>
            </w:r>
            <w:r>
              <w:rPr>
                <w:rFonts w:eastAsia="楷体_GB2312"/>
                <w:szCs w:val="21"/>
              </w:rPr>
              <w:t>：</w:t>
            </w:r>
          </w:p>
          <w:p w14:paraId="07EC7D2B">
            <w:pPr>
              <w:widowControl w:val="0"/>
              <w:spacing w:line="0" w:lineRule="atLeast"/>
              <w:jc w:val="both"/>
              <w:rPr>
                <w:rFonts w:eastAsia="楷体_GB2312"/>
                <w:szCs w:val="21"/>
              </w:rPr>
            </w:pPr>
            <w:r>
              <w:rPr>
                <w:rFonts w:eastAsia="楷体_GB2312"/>
                <w:szCs w:val="21"/>
              </w:rPr>
              <w:t>商服用地一至三级地分别为：1.3,1.2，1.1</w:t>
            </w:r>
          </w:p>
          <w:p w14:paraId="52640727">
            <w:pPr>
              <w:widowControl w:val="0"/>
              <w:spacing w:line="0" w:lineRule="atLeast"/>
              <w:jc w:val="both"/>
              <w:rPr>
                <w:rFonts w:eastAsia="楷体_GB2312"/>
                <w:szCs w:val="21"/>
              </w:rPr>
            </w:pPr>
            <w:r>
              <w:rPr>
                <w:rFonts w:eastAsia="楷体_GB2312"/>
                <w:szCs w:val="21"/>
              </w:rPr>
              <w:t>住宅用地一至三级地分别为：1.4,1.3，1.2</w:t>
            </w:r>
          </w:p>
          <w:p w14:paraId="370C644A">
            <w:pPr>
              <w:widowControl w:val="0"/>
              <w:spacing w:line="0" w:lineRule="atLeast"/>
              <w:jc w:val="both"/>
              <w:rPr>
                <w:rFonts w:eastAsia="楷体_GB2312"/>
                <w:szCs w:val="21"/>
              </w:rPr>
            </w:pPr>
            <w:r>
              <w:rPr>
                <w:rFonts w:eastAsia="楷体_GB2312"/>
                <w:szCs w:val="21"/>
              </w:rPr>
              <w:t>工矿仓储用地1.0；</w:t>
            </w:r>
          </w:p>
          <w:p w14:paraId="7BDC02CF">
            <w:pPr>
              <w:widowControl w:val="0"/>
              <w:spacing w:line="0" w:lineRule="atLeast"/>
              <w:jc w:val="both"/>
              <w:rPr>
                <w:rFonts w:eastAsia="楷体_GB2312"/>
                <w:szCs w:val="21"/>
              </w:rPr>
            </w:pPr>
            <w:r>
              <w:rPr>
                <w:rFonts w:eastAsia="楷体_GB2312"/>
                <w:szCs w:val="21"/>
              </w:rPr>
              <w:t>公共管理与公共服务用地中</w:t>
            </w:r>
            <w:r>
              <w:rPr>
                <w:rFonts w:hint="eastAsia" w:eastAsia="楷体_GB2312"/>
                <w:szCs w:val="21"/>
              </w:rPr>
              <w:t>新闻出版用地、医疗卫生用地、文化设施用地、体育</w:t>
            </w:r>
            <w:r>
              <w:rPr>
                <w:rFonts w:eastAsia="楷体_GB2312"/>
                <w:szCs w:val="21"/>
              </w:rPr>
              <w:t>用地一至三级地分别为：1.3,1.2，1.0；</w:t>
            </w:r>
          </w:p>
          <w:p w14:paraId="626F9C33">
            <w:pPr>
              <w:widowControl w:val="0"/>
              <w:spacing w:line="0" w:lineRule="atLeast"/>
              <w:jc w:val="both"/>
              <w:rPr>
                <w:rFonts w:eastAsia="楷体_GB2312"/>
                <w:szCs w:val="21"/>
              </w:rPr>
            </w:pPr>
            <w:r>
              <w:rPr>
                <w:rFonts w:hint="eastAsia" w:eastAsia="楷体_GB2312"/>
                <w:szCs w:val="21"/>
              </w:rPr>
              <w:t>教育用地、科研用地、社会福利用地</w:t>
            </w:r>
            <w:r>
              <w:rPr>
                <w:rFonts w:eastAsia="楷体_GB2312"/>
                <w:szCs w:val="21"/>
              </w:rPr>
              <w:t>一至三级地分别为：1.2，1.1，1.0；</w:t>
            </w:r>
          </w:p>
          <w:p w14:paraId="463C934D">
            <w:pPr>
              <w:widowControl w:val="0"/>
              <w:spacing w:line="0" w:lineRule="atLeast"/>
              <w:jc w:val="both"/>
              <w:rPr>
                <w:rFonts w:eastAsia="楷体_GB2312"/>
                <w:szCs w:val="21"/>
              </w:rPr>
            </w:pPr>
            <w:r>
              <w:rPr>
                <w:rFonts w:eastAsia="楷体_GB2312"/>
                <w:szCs w:val="21"/>
              </w:rPr>
              <w:t>公用设施用地一至三级地均为1.0。</w:t>
            </w:r>
          </w:p>
          <w:p w14:paraId="70C8BFFC">
            <w:pPr>
              <w:widowControl w:val="0"/>
              <w:spacing w:line="0" w:lineRule="atLeast"/>
              <w:jc w:val="both"/>
              <w:rPr>
                <w:rFonts w:eastAsia="楷体_GB2312"/>
                <w:szCs w:val="21"/>
              </w:rPr>
            </w:pPr>
            <w:r>
              <w:rPr>
                <w:rFonts w:hint="eastAsia" w:eastAsia="楷体_GB2312"/>
                <w:szCs w:val="21"/>
              </w:rPr>
              <w:t>各园区指导价区域</w:t>
            </w:r>
            <w:r>
              <w:rPr>
                <w:rFonts w:eastAsia="楷体_GB2312"/>
                <w:szCs w:val="21"/>
              </w:rPr>
              <w:t>：</w:t>
            </w:r>
          </w:p>
          <w:p w14:paraId="5A8E83EB">
            <w:pPr>
              <w:widowControl w:val="0"/>
              <w:spacing w:line="0" w:lineRule="atLeast"/>
              <w:jc w:val="both"/>
              <w:rPr>
                <w:rFonts w:eastAsia="楷体_GB2312"/>
                <w:szCs w:val="21"/>
              </w:rPr>
            </w:pPr>
            <w:r>
              <w:rPr>
                <w:rFonts w:eastAsia="楷体_GB2312"/>
                <w:szCs w:val="21"/>
              </w:rPr>
              <w:t>商服用地</w:t>
            </w:r>
            <w:r>
              <w:rPr>
                <w:rFonts w:hint="eastAsia" w:eastAsia="楷体_GB2312"/>
                <w:szCs w:val="21"/>
              </w:rPr>
              <w:t>1.2</w:t>
            </w:r>
            <w:r>
              <w:rPr>
                <w:rFonts w:eastAsia="楷体_GB2312"/>
                <w:szCs w:val="21"/>
              </w:rPr>
              <w:t>；</w:t>
            </w:r>
          </w:p>
          <w:p w14:paraId="7B8A3240">
            <w:pPr>
              <w:widowControl w:val="0"/>
              <w:spacing w:line="0" w:lineRule="atLeast"/>
              <w:jc w:val="both"/>
              <w:rPr>
                <w:rFonts w:eastAsia="楷体_GB2312"/>
                <w:szCs w:val="21"/>
              </w:rPr>
            </w:pPr>
            <w:r>
              <w:rPr>
                <w:rFonts w:eastAsia="楷体_GB2312"/>
                <w:szCs w:val="21"/>
              </w:rPr>
              <w:t>住宅用地</w:t>
            </w:r>
            <w:r>
              <w:rPr>
                <w:rFonts w:hint="eastAsia" w:eastAsia="楷体_GB2312"/>
                <w:szCs w:val="21"/>
              </w:rPr>
              <w:t>1.3</w:t>
            </w:r>
            <w:r>
              <w:rPr>
                <w:rFonts w:eastAsia="楷体_GB2312"/>
                <w:szCs w:val="21"/>
              </w:rPr>
              <w:t>；</w:t>
            </w:r>
          </w:p>
          <w:p w14:paraId="2819FDE1">
            <w:pPr>
              <w:widowControl w:val="0"/>
              <w:spacing w:line="0" w:lineRule="atLeast"/>
              <w:jc w:val="both"/>
              <w:rPr>
                <w:rFonts w:eastAsia="楷体_GB2312"/>
                <w:szCs w:val="21"/>
              </w:rPr>
            </w:pPr>
            <w:r>
              <w:rPr>
                <w:rFonts w:eastAsia="楷体_GB2312"/>
                <w:szCs w:val="21"/>
              </w:rPr>
              <w:t>工矿仓储用地1.0；</w:t>
            </w:r>
          </w:p>
          <w:p w14:paraId="1614D0B0">
            <w:pPr>
              <w:widowControl w:val="0"/>
              <w:spacing w:line="0" w:lineRule="atLeast"/>
              <w:jc w:val="both"/>
              <w:rPr>
                <w:rFonts w:eastAsia="楷体_GB2312"/>
                <w:szCs w:val="21"/>
              </w:rPr>
            </w:pPr>
            <w:r>
              <w:rPr>
                <w:rFonts w:eastAsia="楷体_GB2312"/>
                <w:szCs w:val="21"/>
              </w:rPr>
              <w:t>公共管理与公共服务用地中</w:t>
            </w:r>
            <w:r>
              <w:rPr>
                <w:rFonts w:hint="eastAsia" w:eastAsia="楷体_GB2312"/>
                <w:szCs w:val="21"/>
              </w:rPr>
              <w:t>新闻出版用地、医疗卫生用地、文化设施用地、体育</w:t>
            </w:r>
            <w:r>
              <w:rPr>
                <w:rFonts w:eastAsia="楷体_GB2312"/>
                <w:szCs w:val="21"/>
              </w:rPr>
              <w:t>用地</w:t>
            </w:r>
            <w:r>
              <w:rPr>
                <w:rFonts w:hint="eastAsia" w:eastAsia="楷体_GB2312"/>
                <w:szCs w:val="21"/>
              </w:rPr>
              <w:t>1.2</w:t>
            </w:r>
            <w:r>
              <w:rPr>
                <w:rFonts w:eastAsia="楷体_GB2312"/>
                <w:szCs w:val="21"/>
              </w:rPr>
              <w:t>；</w:t>
            </w:r>
          </w:p>
          <w:p w14:paraId="02E5BEEB">
            <w:pPr>
              <w:widowControl w:val="0"/>
              <w:spacing w:line="0" w:lineRule="atLeast"/>
              <w:jc w:val="both"/>
              <w:rPr>
                <w:rFonts w:eastAsia="楷体_GB2312"/>
                <w:szCs w:val="21"/>
              </w:rPr>
            </w:pPr>
            <w:r>
              <w:rPr>
                <w:rFonts w:hint="eastAsia" w:eastAsia="楷体_GB2312"/>
                <w:szCs w:val="21"/>
              </w:rPr>
              <w:t>教育用地、科研用地、社会福利用地1.1</w:t>
            </w:r>
            <w:r>
              <w:rPr>
                <w:rFonts w:eastAsia="楷体_GB2312"/>
                <w:szCs w:val="21"/>
              </w:rPr>
              <w:t>；</w:t>
            </w:r>
          </w:p>
          <w:p w14:paraId="46B42188">
            <w:pPr>
              <w:widowControl w:val="0"/>
              <w:spacing w:line="0" w:lineRule="atLeast"/>
              <w:jc w:val="both"/>
              <w:rPr>
                <w:rFonts w:eastAsia="楷体_GB2312"/>
              </w:rPr>
            </w:pPr>
            <w:r>
              <w:rPr>
                <w:rFonts w:eastAsia="楷体_GB2312"/>
                <w:szCs w:val="21"/>
              </w:rPr>
              <w:t>公用设施用地1.0。</w:t>
            </w:r>
          </w:p>
        </w:tc>
        <w:tc>
          <w:tcPr>
            <w:tcW w:w="2031" w:type="pct"/>
            <w:noWrap w:val="0"/>
            <w:vAlign w:val="center"/>
          </w:tcPr>
          <w:p w14:paraId="714E7B9D">
            <w:pPr>
              <w:widowControl w:val="0"/>
              <w:spacing w:line="0" w:lineRule="atLeast"/>
              <w:jc w:val="both"/>
              <w:rPr>
                <w:rFonts w:eastAsia="楷体_GB2312"/>
                <w:szCs w:val="21"/>
              </w:rPr>
            </w:pPr>
            <w:r>
              <w:rPr>
                <w:rFonts w:hint="eastAsia" w:eastAsia="楷体_GB2312"/>
                <w:szCs w:val="21"/>
              </w:rPr>
              <w:t>各乡镇</w:t>
            </w:r>
            <w:r>
              <w:rPr>
                <w:rFonts w:eastAsia="楷体_GB2312"/>
                <w:szCs w:val="21"/>
              </w:rPr>
              <w:t>：</w:t>
            </w:r>
          </w:p>
          <w:p w14:paraId="61A713DF">
            <w:pPr>
              <w:widowControl w:val="0"/>
              <w:spacing w:line="0" w:lineRule="atLeast"/>
              <w:jc w:val="both"/>
              <w:rPr>
                <w:rFonts w:eastAsia="楷体_GB2312"/>
                <w:szCs w:val="21"/>
              </w:rPr>
            </w:pPr>
            <w:r>
              <w:rPr>
                <w:rFonts w:eastAsia="楷体_GB2312"/>
                <w:szCs w:val="21"/>
              </w:rPr>
              <w:t>商服用地一至三级地分别为：</w:t>
            </w:r>
            <w:r>
              <w:rPr>
                <w:rFonts w:hint="eastAsia" w:eastAsia="楷体_GB2312"/>
                <w:szCs w:val="21"/>
              </w:rPr>
              <w:t>1.1、1.0、0.8；</w:t>
            </w:r>
          </w:p>
          <w:p w14:paraId="410E07AC">
            <w:pPr>
              <w:widowControl w:val="0"/>
              <w:spacing w:line="0" w:lineRule="atLeast"/>
              <w:jc w:val="both"/>
              <w:rPr>
                <w:rFonts w:eastAsia="楷体_GB2312"/>
                <w:szCs w:val="21"/>
              </w:rPr>
            </w:pPr>
            <w:r>
              <w:rPr>
                <w:rFonts w:eastAsia="楷体_GB2312"/>
                <w:szCs w:val="21"/>
              </w:rPr>
              <w:t>住宅用地一至三级地分别为：</w:t>
            </w:r>
            <w:r>
              <w:rPr>
                <w:rFonts w:hint="eastAsia" w:eastAsia="楷体_GB2312"/>
                <w:szCs w:val="21"/>
              </w:rPr>
              <w:t>1.0、0.8、0.6；</w:t>
            </w:r>
          </w:p>
          <w:p w14:paraId="1B9F4080">
            <w:pPr>
              <w:widowControl w:val="0"/>
              <w:spacing w:line="0" w:lineRule="atLeast"/>
              <w:jc w:val="both"/>
              <w:rPr>
                <w:rFonts w:eastAsia="楷体_GB2312"/>
                <w:szCs w:val="21"/>
              </w:rPr>
            </w:pPr>
            <w:r>
              <w:rPr>
                <w:rFonts w:eastAsia="楷体_GB2312"/>
                <w:szCs w:val="21"/>
              </w:rPr>
              <w:t>工矿仓储用地</w:t>
            </w:r>
            <w:r>
              <w:rPr>
                <w:rFonts w:hint="eastAsia" w:eastAsia="楷体_GB2312"/>
                <w:szCs w:val="21"/>
              </w:rPr>
              <w:t>0.5、0.4、0.3。</w:t>
            </w:r>
          </w:p>
          <w:p w14:paraId="3F23A99B">
            <w:pPr>
              <w:widowControl w:val="0"/>
              <w:spacing w:line="0" w:lineRule="atLeast"/>
              <w:jc w:val="both"/>
              <w:rPr>
                <w:rFonts w:eastAsia="楷体_GB2312"/>
              </w:rPr>
            </w:pPr>
          </w:p>
        </w:tc>
      </w:tr>
    </w:tbl>
    <w:p w14:paraId="7D2DCE8A">
      <w:pPr>
        <w:widowControl w:val="0"/>
        <w:spacing w:line="480" w:lineRule="exact"/>
        <w:ind w:firstLine="560" w:firstLineChars="200"/>
        <w:jc w:val="both"/>
        <w:rPr>
          <w:rFonts w:eastAsia="楷体_GB2312"/>
          <w:sz w:val="28"/>
        </w:rPr>
      </w:pPr>
      <w:r>
        <w:rPr>
          <w:rFonts w:eastAsia="楷体_GB2312"/>
          <w:sz w:val="28"/>
          <w:szCs w:val="21"/>
        </w:rPr>
        <w:t>从表2-8-3可以看出，新、旧基准地价除在估价期日方面不同以外，容积率也存在不同。</w:t>
      </w:r>
    </w:p>
    <w:p w14:paraId="5663EF72">
      <w:pPr>
        <w:widowControl w:val="0"/>
        <w:spacing w:line="480" w:lineRule="exact"/>
        <w:ind w:firstLine="560" w:firstLineChars="200"/>
        <w:jc w:val="both"/>
        <w:rPr>
          <w:rFonts w:eastAsia="楷体_GB2312"/>
          <w:sz w:val="28"/>
          <w:szCs w:val="21"/>
        </w:rPr>
      </w:pPr>
      <w:r>
        <w:rPr>
          <w:rFonts w:eastAsia="楷体_GB2312"/>
          <w:sz w:val="28"/>
          <w:szCs w:val="21"/>
        </w:rPr>
        <w:t>兼顾</w:t>
      </w:r>
      <w:r>
        <w:rPr>
          <w:rFonts w:hint="eastAsia" w:ascii="楷体" w:hAnsi="楷体" w:eastAsia="楷体" w:cs="宋体"/>
          <w:sz w:val="28"/>
          <w:szCs w:val="21"/>
        </w:rPr>
        <w:t>埇</w:t>
      </w:r>
      <w:r>
        <w:rPr>
          <w:rFonts w:hint="eastAsia" w:ascii="楷体_GB2312" w:hAnsi="楷体_GB2312" w:eastAsia="楷体_GB2312" w:cs="楷体_GB2312"/>
          <w:sz w:val="28"/>
          <w:szCs w:val="21"/>
        </w:rPr>
        <w:t>桥区</w:t>
      </w:r>
      <w:r>
        <w:rPr>
          <w:rFonts w:eastAsia="楷体_GB2312"/>
          <w:sz w:val="28"/>
          <w:szCs w:val="21"/>
        </w:rPr>
        <w:t>实际情况与安徽省自然资源厅相关文件要求，新基准地价比原基准地价内涵更具体、明确。</w:t>
      </w:r>
    </w:p>
    <w:p w14:paraId="0D5365F4">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二、两轮基准地价水平对比分析</w:t>
      </w:r>
    </w:p>
    <w:p w14:paraId="79709985">
      <w:pPr>
        <w:widowControl w:val="0"/>
        <w:spacing w:line="480" w:lineRule="exact"/>
        <w:ind w:firstLine="560" w:firstLineChars="200"/>
        <w:jc w:val="both"/>
        <w:rPr>
          <w:rFonts w:eastAsia="楷体_GB2312"/>
          <w:sz w:val="28"/>
          <w:szCs w:val="21"/>
        </w:rPr>
      </w:pPr>
      <w:r>
        <w:rPr>
          <w:rFonts w:eastAsia="楷体_GB2312"/>
          <w:sz w:val="28"/>
          <w:szCs w:val="21"/>
        </w:rPr>
        <w:t>由表可以看出，经过四年的时间，各乡镇基准地价水平均有所上升。以各乡镇一级地为例，其中商服用地一级地的涨幅在</w:t>
      </w:r>
      <w:r>
        <w:rPr>
          <w:rFonts w:hint="eastAsia" w:eastAsia="楷体_GB2312"/>
          <w:sz w:val="28"/>
          <w:szCs w:val="21"/>
        </w:rPr>
        <w:t>0.71%—29.58%</w:t>
      </w:r>
      <w:r>
        <w:rPr>
          <w:rFonts w:eastAsia="楷体_GB2312"/>
          <w:sz w:val="28"/>
          <w:szCs w:val="21"/>
        </w:rPr>
        <w:t>之间，其中最低的是</w:t>
      </w:r>
      <w:r>
        <w:rPr>
          <w:rFonts w:hint="eastAsia" w:eastAsia="楷体_GB2312"/>
          <w:sz w:val="28"/>
          <w:szCs w:val="21"/>
        </w:rPr>
        <w:t>支河乡</w:t>
      </w:r>
      <w:r>
        <w:rPr>
          <w:rFonts w:eastAsia="楷体_GB2312"/>
          <w:sz w:val="28"/>
          <w:szCs w:val="21"/>
        </w:rPr>
        <w:t>，涨幅为</w:t>
      </w:r>
      <w:r>
        <w:rPr>
          <w:rFonts w:hint="eastAsia" w:eastAsia="楷体_GB2312"/>
          <w:sz w:val="28"/>
          <w:szCs w:val="21"/>
        </w:rPr>
        <w:t>0.71</w:t>
      </w:r>
      <w:r>
        <w:rPr>
          <w:rFonts w:eastAsia="楷体_GB2312"/>
          <w:sz w:val="28"/>
          <w:szCs w:val="21"/>
        </w:rPr>
        <w:t>%，最高的是</w:t>
      </w:r>
      <w:r>
        <w:rPr>
          <w:rFonts w:hint="eastAsia" w:eastAsia="楷体_GB2312"/>
          <w:sz w:val="28"/>
          <w:szCs w:val="21"/>
        </w:rPr>
        <w:t>曹村开发区</w:t>
      </w:r>
      <w:r>
        <w:rPr>
          <w:rFonts w:eastAsia="楷体_GB2312"/>
          <w:sz w:val="28"/>
          <w:szCs w:val="21"/>
        </w:rPr>
        <w:t>，涨幅为</w:t>
      </w:r>
      <w:r>
        <w:rPr>
          <w:rFonts w:hint="eastAsia" w:eastAsia="楷体_GB2312"/>
          <w:sz w:val="28"/>
          <w:szCs w:val="21"/>
        </w:rPr>
        <w:t>29.58</w:t>
      </w:r>
      <w:r>
        <w:rPr>
          <w:rFonts w:eastAsia="楷体_GB2312"/>
          <w:sz w:val="28"/>
          <w:szCs w:val="21"/>
        </w:rPr>
        <w:t>%。住宅用地一级地的涨幅在</w:t>
      </w:r>
      <w:r>
        <w:rPr>
          <w:rFonts w:hint="eastAsia" w:eastAsia="楷体_GB2312"/>
          <w:sz w:val="28"/>
          <w:szCs w:val="21"/>
        </w:rPr>
        <w:t>3.62%—29.39%</w:t>
      </w:r>
      <w:r>
        <w:rPr>
          <w:rFonts w:eastAsia="楷体_GB2312"/>
          <w:sz w:val="28"/>
          <w:szCs w:val="21"/>
        </w:rPr>
        <w:t>之间，其中最低的是</w:t>
      </w:r>
      <w:r>
        <w:rPr>
          <w:rFonts w:hint="eastAsia" w:eastAsia="楷体_GB2312"/>
          <w:sz w:val="28"/>
          <w:szCs w:val="21"/>
        </w:rPr>
        <w:t>支河乡</w:t>
      </w:r>
      <w:r>
        <w:rPr>
          <w:rFonts w:eastAsia="楷体_GB2312"/>
          <w:sz w:val="28"/>
          <w:szCs w:val="21"/>
        </w:rPr>
        <w:t>，涨幅在</w:t>
      </w:r>
      <w:r>
        <w:rPr>
          <w:rFonts w:hint="eastAsia" w:eastAsia="楷体_GB2312"/>
          <w:sz w:val="28"/>
          <w:szCs w:val="21"/>
        </w:rPr>
        <w:t>3.62</w:t>
      </w:r>
      <w:r>
        <w:rPr>
          <w:rFonts w:eastAsia="楷体_GB2312"/>
          <w:sz w:val="28"/>
          <w:szCs w:val="21"/>
        </w:rPr>
        <w:t>%，最高的是</w:t>
      </w:r>
      <w:r>
        <w:rPr>
          <w:rFonts w:hint="eastAsia" w:eastAsia="楷体_GB2312"/>
          <w:sz w:val="28"/>
          <w:szCs w:val="21"/>
        </w:rPr>
        <w:t>曹村开发区</w:t>
      </w:r>
      <w:r>
        <w:rPr>
          <w:rFonts w:eastAsia="楷体_GB2312"/>
          <w:sz w:val="28"/>
          <w:szCs w:val="21"/>
        </w:rPr>
        <w:t>，涨幅为</w:t>
      </w:r>
      <w:r>
        <w:rPr>
          <w:rFonts w:hint="eastAsia" w:eastAsia="楷体_GB2312"/>
          <w:sz w:val="28"/>
          <w:szCs w:val="21"/>
        </w:rPr>
        <w:t>29.39</w:t>
      </w:r>
      <w:r>
        <w:rPr>
          <w:rFonts w:eastAsia="楷体_GB2312"/>
          <w:sz w:val="28"/>
          <w:szCs w:val="21"/>
        </w:rPr>
        <w:t>%。工矿仓储用地一级地涨幅在</w:t>
      </w:r>
      <w:r>
        <w:rPr>
          <w:rFonts w:hint="eastAsia" w:eastAsia="楷体_GB2312"/>
          <w:sz w:val="28"/>
          <w:szCs w:val="21"/>
        </w:rPr>
        <w:t>2.22%—3.33%</w:t>
      </w:r>
      <w:r>
        <w:rPr>
          <w:rFonts w:eastAsia="楷体_GB2312"/>
          <w:sz w:val="28"/>
          <w:szCs w:val="21"/>
        </w:rPr>
        <w:t>之间，其中最低的是</w:t>
      </w:r>
      <w:r>
        <w:rPr>
          <w:rFonts w:hint="eastAsia" w:eastAsia="楷体_GB2312"/>
          <w:sz w:val="28"/>
          <w:szCs w:val="21"/>
        </w:rPr>
        <w:t>符离镇</w:t>
      </w:r>
      <w:r>
        <w:rPr>
          <w:rFonts w:eastAsia="楷体_GB2312"/>
          <w:sz w:val="28"/>
          <w:szCs w:val="21"/>
        </w:rPr>
        <w:t>，涨幅在</w:t>
      </w:r>
      <w:r>
        <w:rPr>
          <w:rFonts w:hint="eastAsia" w:eastAsia="楷体_GB2312"/>
          <w:sz w:val="28"/>
          <w:szCs w:val="21"/>
        </w:rPr>
        <w:t>2.22</w:t>
      </w:r>
      <w:r>
        <w:rPr>
          <w:rFonts w:eastAsia="楷体_GB2312"/>
          <w:sz w:val="28"/>
          <w:szCs w:val="21"/>
        </w:rPr>
        <w:t>%，最高的是</w:t>
      </w:r>
      <w:r>
        <w:rPr>
          <w:rFonts w:hint="eastAsia" w:eastAsia="楷体_GB2312"/>
          <w:sz w:val="28"/>
          <w:szCs w:val="21"/>
        </w:rPr>
        <w:t>曹村开发区</w:t>
      </w:r>
      <w:r>
        <w:rPr>
          <w:rFonts w:eastAsia="楷体_GB2312"/>
          <w:sz w:val="28"/>
          <w:szCs w:val="21"/>
        </w:rPr>
        <w:t>，涨幅为</w:t>
      </w:r>
      <w:r>
        <w:rPr>
          <w:rFonts w:hint="eastAsia" w:eastAsia="楷体_GB2312"/>
          <w:sz w:val="28"/>
          <w:szCs w:val="21"/>
        </w:rPr>
        <w:t>3.33</w:t>
      </w:r>
      <w:r>
        <w:rPr>
          <w:rFonts w:eastAsia="楷体_GB2312"/>
          <w:sz w:val="28"/>
          <w:szCs w:val="21"/>
        </w:rPr>
        <w:t>%。</w:t>
      </w:r>
      <w:r>
        <w:rPr>
          <w:rFonts w:hint="eastAsia" w:ascii="楷体" w:hAnsi="楷体" w:eastAsia="楷体" w:cs="宋体"/>
          <w:sz w:val="28"/>
          <w:szCs w:val="21"/>
        </w:rPr>
        <w:t>埇</w:t>
      </w:r>
      <w:r>
        <w:rPr>
          <w:rFonts w:hint="eastAsia" w:ascii="楷体_GB2312" w:hAnsi="楷体_GB2312" w:eastAsia="楷体_GB2312" w:cs="楷体_GB2312"/>
          <w:sz w:val="28"/>
          <w:szCs w:val="21"/>
        </w:rPr>
        <w:t>桥区</w:t>
      </w:r>
      <w:r>
        <w:rPr>
          <w:rFonts w:eastAsia="楷体_GB2312"/>
          <w:sz w:val="28"/>
          <w:szCs w:val="21"/>
        </w:rPr>
        <w:t>各乡镇基准地价水平较上轮，普遍有所提升。其中</w:t>
      </w:r>
      <w:r>
        <w:rPr>
          <w:rFonts w:hint="eastAsia" w:eastAsia="楷体_GB2312"/>
          <w:sz w:val="28"/>
          <w:szCs w:val="21"/>
        </w:rPr>
        <w:t>曹村开发区</w:t>
      </w:r>
      <w:r>
        <w:rPr>
          <w:rFonts w:eastAsia="楷体_GB2312"/>
          <w:sz w:val="28"/>
          <w:szCs w:val="21"/>
        </w:rPr>
        <w:t>涨幅最大。</w:t>
      </w:r>
    </w:p>
    <w:p w14:paraId="0E4DDE0A">
      <w:pPr>
        <w:widowControl w:val="0"/>
        <w:spacing w:line="480" w:lineRule="exact"/>
        <w:ind w:firstLine="560" w:firstLineChars="200"/>
        <w:jc w:val="both"/>
        <w:rPr>
          <w:rFonts w:eastAsia="楷体_GB2312"/>
          <w:sz w:val="28"/>
          <w:szCs w:val="21"/>
        </w:rPr>
      </w:pPr>
    </w:p>
    <w:p w14:paraId="60784B17">
      <w:pPr>
        <w:widowControl w:val="0"/>
        <w:spacing w:line="480" w:lineRule="exact"/>
        <w:ind w:firstLine="560" w:firstLineChars="200"/>
        <w:jc w:val="both"/>
        <w:rPr>
          <w:rFonts w:eastAsia="楷体_GB2312"/>
          <w:sz w:val="28"/>
          <w:szCs w:val="21"/>
        </w:rPr>
        <w:sectPr>
          <w:pgSz w:w="11906" w:h="16838"/>
          <w:pgMar w:top="1758" w:right="1474" w:bottom="1474" w:left="1644" w:header="1134" w:footer="992" w:gutter="0"/>
          <w:cols w:space="720" w:num="1"/>
          <w:docGrid w:linePitch="312" w:charSpace="0"/>
        </w:sectPr>
      </w:pPr>
    </w:p>
    <w:p w14:paraId="375D1995">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二、两轮基准地价水平对比分析</w:t>
      </w:r>
    </w:p>
    <w:p w14:paraId="5E34966F">
      <w:pPr>
        <w:widowControl w:val="0"/>
        <w:tabs>
          <w:tab w:val="left" w:pos="4860"/>
          <w:tab w:val="left" w:pos="6480"/>
        </w:tabs>
        <w:spacing w:line="400" w:lineRule="exact"/>
        <w:jc w:val="center"/>
        <w:rPr>
          <w:rFonts w:eastAsia="黑体"/>
          <w:sz w:val="28"/>
          <w:szCs w:val="28"/>
        </w:rPr>
      </w:pPr>
      <w:r>
        <w:rPr>
          <w:rFonts w:eastAsia="黑体"/>
          <w:sz w:val="28"/>
          <w:szCs w:val="28"/>
        </w:rPr>
        <w:t>表2-8-4  埇桥区各乡镇两轮基准地价对比表</w:t>
      </w:r>
    </w:p>
    <w:tbl>
      <w:tblPr>
        <w:tblStyle w:val="38"/>
        <w:tblW w:w="0" w:type="auto"/>
        <w:jc w:val="center"/>
        <w:tblLayout w:type="autofit"/>
        <w:tblCellMar>
          <w:top w:w="0" w:type="dxa"/>
          <w:left w:w="108" w:type="dxa"/>
          <w:bottom w:w="0" w:type="dxa"/>
          <w:right w:w="108" w:type="dxa"/>
        </w:tblCellMar>
      </w:tblPr>
      <w:tblGrid>
        <w:gridCol w:w="537"/>
        <w:gridCol w:w="873"/>
        <w:gridCol w:w="538"/>
        <w:gridCol w:w="1567"/>
        <w:gridCol w:w="1562"/>
        <w:gridCol w:w="864"/>
        <w:gridCol w:w="1567"/>
        <w:gridCol w:w="1562"/>
        <w:gridCol w:w="864"/>
        <w:gridCol w:w="1567"/>
        <w:gridCol w:w="1562"/>
        <w:gridCol w:w="759"/>
      </w:tblGrid>
      <w:tr w14:paraId="75D473FC">
        <w:tblPrEx>
          <w:tblCellMar>
            <w:top w:w="0" w:type="dxa"/>
            <w:left w:w="108" w:type="dxa"/>
            <w:bottom w:w="0" w:type="dxa"/>
            <w:right w:w="108" w:type="dxa"/>
          </w:tblCellMar>
        </w:tblPrEx>
        <w:trPr>
          <w:trHeight w:val="20" w:hRule="atLeast"/>
          <w:tblHeader/>
          <w:jc w:val="center"/>
        </w:trPr>
        <w:tc>
          <w:tcPr>
            <w:tcW w:w="0" w:type="auto"/>
            <w:vMerge w:val="restart"/>
            <w:tcBorders>
              <w:top w:val="single" w:color="auto" w:sz="8" w:space="0"/>
              <w:left w:val="single" w:color="auto" w:sz="8" w:space="0"/>
              <w:bottom w:val="single" w:color="000000" w:sz="8" w:space="0"/>
              <w:right w:val="single" w:color="auto" w:sz="8" w:space="0"/>
            </w:tcBorders>
            <w:noWrap w:val="0"/>
            <w:vAlign w:val="center"/>
          </w:tcPr>
          <w:p w14:paraId="65D4FF15">
            <w:pPr>
              <w:widowControl w:val="0"/>
              <w:spacing w:line="240" w:lineRule="exact"/>
              <w:jc w:val="center"/>
              <w:rPr>
                <w:rFonts w:eastAsia="楷体_GB2312"/>
                <w:szCs w:val="21"/>
              </w:rPr>
            </w:pPr>
            <w:bookmarkStart w:id="101" w:name="RANGE!A44"/>
            <w:r>
              <w:rPr>
                <w:rFonts w:eastAsia="楷体_GB2312"/>
                <w:szCs w:val="21"/>
              </w:rPr>
              <w:t>编号</w:t>
            </w:r>
            <w:bookmarkEnd w:id="101"/>
          </w:p>
        </w:tc>
        <w:tc>
          <w:tcPr>
            <w:tcW w:w="0" w:type="auto"/>
            <w:vMerge w:val="restart"/>
            <w:tcBorders>
              <w:top w:val="single" w:color="auto" w:sz="8" w:space="0"/>
              <w:left w:val="single" w:color="auto" w:sz="8" w:space="0"/>
              <w:bottom w:val="single" w:color="000000" w:sz="8" w:space="0"/>
              <w:right w:val="single" w:color="auto" w:sz="8" w:space="0"/>
            </w:tcBorders>
            <w:noWrap w:val="0"/>
            <w:vAlign w:val="center"/>
          </w:tcPr>
          <w:p w14:paraId="22041403">
            <w:pPr>
              <w:spacing w:line="240" w:lineRule="exact"/>
              <w:jc w:val="center"/>
              <w:rPr>
                <w:rFonts w:eastAsia="楷体_GB2312"/>
                <w:szCs w:val="21"/>
              </w:rPr>
            </w:pPr>
            <w:r>
              <w:rPr>
                <w:rFonts w:eastAsia="楷体_GB2312"/>
                <w:szCs w:val="21"/>
              </w:rPr>
              <w:t>乡镇名称</w:t>
            </w:r>
          </w:p>
        </w:tc>
        <w:tc>
          <w:tcPr>
            <w:tcW w:w="0" w:type="auto"/>
            <w:vMerge w:val="restart"/>
            <w:tcBorders>
              <w:top w:val="single" w:color="auto" w:sz="8" w:space="0"/>
              <w:left w:val="nil"/>
              <w:right w:val="single" w:color="auto" w:sz="8" w:space="0"/>
            </w:tcBorders>
            <w:noWrap w:val="0"/>
            <w:vAlign w:val="center"/>
          </w:tcPr>
          <w:p w14:paraId="608AA86A">
            <w:pPr>
              <w:spacing w:line="240" w:lineRule="exact"/>
              <w:jc w:val="center"/>
              <w:rPr>
                <w:rFonts w:eastAsia="楷体_GB2312"/>
                <w:szCs w:val="21"/>
              </w:rPr>
            </w:pPr>
            <w:r>
              <w:rPr>
                <w:rFonts w:eastAsia="楷体_GB2312"/>
                <w:szCs w:val="21"/>
              </w:rPr>
              <w:t>土地</w:t>
            </w:r>
          </w:p>
          <w:p w14:paraId="2F2129A5">
            <w:pPr>
              <w:spacing w:line="240" w:lineRule="exact"/>
              <w:jc w:val="center"/>
              <w:rPr>
                <w:rFonts w:eastAsia="楷体_GB2312"/>
                <w:szCs w:val="21"/>
              </w:rPr>
            </w:pPr>
            <w:r>
              <w:rPr>
                <w:rFonts w:eastAsia="楷体_GB2312"/>
                <w:szCs w:val="21"/>
              </w:rPr>
              <w:t>级别</w:t>
            </w:r>
          </w:p>
        </w:tc>
        <w:tc>
          <w:tcPr>
            <w:tcW w:w="0" w:type="auto"/>
            <w:gridSpan w:val="3"/>
            <w:tcBorders>
              <w:top w:val="single" w:color="auto" w:sz="8" w:space="0"/>
              <w:left w:val="nil"/>
              <w:bottom w:val="single" w:color="auto" w:sz="8" w:space="0"/>
              <w:right w:val="single" w:color="000000" w:sz="8" w:space="0"/>
            </w:tcBorders>
            <w:noWrap w:val="0"/>
            <w:vAlign w:val="center"/>
          </w:tcPr>
          <w:p w14:paraId="77E19E66">
            <w:pPr>
              <w:spacing w:line="240" w:lineRule="exact"/>
              <w:jc w:val="center"/>
              <w:rPr>
                <w:rFonts w:eastAsia="楷体_GB2312"/>
                <w:szCs w:val="21"/>
              </w:rPr>
            </w:pPr>
            <w:r>
              <w:rPr>
                <w:rFonts w:eastAsia="楷体_GB2312"/>
                <w:szCs w:val="21"/>
              </w:rPr>
              <w:t>商服</w:t>
            </w:r>
          </w:p>
        </w:tc>
        <w:tc>
          <w:tcPr>
            <w:tcW w:w="0" w:type="auto"/>
            <w:gridSpan w:val="3"/>
            <w:tcBorders>
              <w:top w:val="single" w:color="auto" w:sz="8" w:space="0"/>
              <w:left w:val="nil"/>
              <w:bottom w:val="single" w:color="auto" w:sz="8" w:space="0"/>
              <w:right w:val="single" w:color="000000" w:sz="8" w:space="0"/>
            </w:tcBorders>
            <w:noWrap w:val="0"/>
            <w:vAlign w:val="center"/>
          </w:tcPr>
          <w:p w14:paraId="25918C31">
            <w:pPr>
              <w:spacing w:line="240" w:lineRule="exact"/>
              <w:jc w:val="center"/>
              <w:rPr>
                <w:rFonts w:eastAsia="楷体_GB2312"/>
                <w:szCs w:val="21"/>
              </w:rPr>
            </w:pPr>
            <w:r>
              <w:rPr>
                <w:rFonts w:eastAsia="楷体_GB2312"/>
                <w:szCs w:val="21"/>
              </w:rPr>
              <w:t>住宅</w:t>
            </w:r>
          </w:p>
        </w:tc>
        <w:tc>
          <w:tcPr>
            <w:tcW w:w="0" w:type="auto"/>
            <w:gridSpan w:val="3"/>
            <w:tcBorders>
              <w:top w:val="single" w:color="auto" w:sz="8" w:space="0"/>
              <w:left w:val="nil"/>
              <w:bottom w:val="single" w:color="auto" w:sz="8" w:space="0"/>
              <w:right w:val="single" w:color="000000" w:sz="8" w:space="0"/>
            </w:tcBorders>
            <w:noWrap w:val="0"/>
            <w:vAlign w:val="center"/>
          </w:tcPr>
          <w:p w14:paraId="60D7477A">
            <w:pPr>
              <w:spacing w:line="240" w:lineRule="exact"/>
              <w:jc w:val="center"/>
              <w:rPr>
                <w:rFonts w:eastAsia="楷体_GB2312"/>
                <w:szCs w:val="21"/>
              </w:rPr>
            </w:pPr>
            <w:r>
              <w:rPr>
                <w:rFonts w:eastAsia="楷体_GB2312"/>
                <w:szCs w:val="21"/>
              </w:rPr>
              <w:t>工矿仓储</w:t>
            </w:r>
          </w:p>
        </w:tc>
      </w:tr>
      <w:tr w14:paraId="5F5330BE">
        <w:tblPrEx>
          <w:tblCellMar>
            <w:top w:w="0" w:type="dxa"/>
            <w:left w:w="108" w:type="dxa"/>
            <w:bottom w:w="0" w:type="dxa"/>
            <w:right w:w="108" w:type="dxa"/>
          </w:tblCellMar>
        </w:tblPrEx>
        <w:trPr>
          <w:trHeight w:val="20" w:hRule="atLeast"/>
          <w:tblHeader/>
          <w:jc w:val="center"/>
        </w:trPr>
        <w:tc>
          <w:tcPr>
            <w:tcW w:w="0" w:type="auto"/>
            <w:vMerge w:val="continue"/>
            <w:tcBorders>
              <w:top w:val="single" w:color="auto" w:sz="8" w:space="0"/>
              <w:left w:val="single" w:color="auto" w:sz="8" w:space="0"/>
              <w:bottom w:val="single" w:color="000000" w:sz="8" w:space="0"/>
              <w:right w:val="single" w:color="auto" w:sz="8" w:space="0"/>
            </w:tcBorders>
            <w:noWrap w:val="0"/>
            <w:vAlign w:val="center"/>
          </w:tcPr>
          <w:p w14:paraId="2E4F5EA8">
            <w:pPr>
              <w:widowControl w:val="0"/>
              <w:spacing w:line="240" w:lineRule="exact"/>
              <w:jc w:val="center"/>
              <w:rPr>
                <w:rFonts w:eastAsia="楷体_GB2312"/>
                <w:szCs w:val="21"/>
              </w:rPr>
            </w:pPr>
          </w:p>
        </w:tc>
        <w:tc>
          <w:tcPr>
            <w:tcW w:w="0" w:type="auto"/>
            <w:vMerge w:val="continue"/>
            <w:tcBorders>
              <w:top w:val="single" w:color="auto" w:sz="8" w:space="0"/>
              <w:left w:val="single" w:color="auto" w:sz="8" w:space="0"/>
              <w:bottom w:val="single" w:color="000000" w:sz="8" w:space="0"/>
              <w:right w:val="single" w:color="auto" w:sz="8" w:space="0"/>
            </w:tcBorders>
            <w:noWrap w:val="0"/>
            <w:vAlign w:val="center"/>
          </w:tcPr>
          <w:p w14:paraId="11A05C3D">
            <w:pPr>
              <w:widowControl w:val="0"/>
              <w:spacing w:line="240" w:lineRule="exact"/>
              <w:jc w:val="center"/>
              <w:rPr>
                <w:rFonts w:eastAsia="楷体_GB2312"/>
                <w:szCs w:val="21"/>
              </w:rPr>
            </w:pPr>
          </w:p>
        </w:tc>
        <w:tc>
          <w:tcPr>
            <w:tcW w:w="0" w:type="auto"/>
            <w:vMerge w:val="continue"/>
            <w:tcBorders>
              <w:left w:val="nil"/>
              <w:bottom w:val="single" w:color="auto" w:sz="8" w:space="0"/>
              <w:right w:val="single" w:color="auto" w:sz="8" w:space="0"/>
            </w:tcBorders>
            <w:noWrap w:val="0"/>
            <w:vAlign w:val="center"/>
          </w:tcPr>
          <w:p w14:paraId="2AAC88A4">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1DE6D700">
            <w:pPr>
              <w:widowControl w:val="0"/>
              <w:spacing w:line="240" w:lineRule="exact"/>
              <w:jc w:val="center"/>
              <w:rPr>
                <w:rFonts w:eastAsia="楷体_GB2312"/>
                <w:b/>
                <w:szCs w:val="21"/>
              </w:rPr>
            </w:pPr>
            <w:r>
              <w:rPr>
                <w:rFonts w:eastAsia="楷体_GB2312"/>
                <w:b/>
                <w:szCs w:val="21"/>
              </w:rPr>
              <w:t>本轮基准地价（元/</w:t>
            </w:r>
            <w:r>
              <w:rPr>
                <w:b/>
                <w:szCs w:val="21"/>
              </w:rPr>
              <w:t>㎡</w:t>
            </w:r>
            <w:r>
              <w:rPr>
                <w:rFonts w:eastAsia="楷体_GB2312"/>
                <w:b/>
                <w:szCs w:val="21"/>
              </w:rPr>
              <w:t>）</w:t>
            </w:r>
          </w:p>
        </w:tc>
        <w:tc>
          <w:tcPr>
            <w:tcW w:w="0" w:type="auto"/>
            <w:tcBorders>
              <w:top w:val="nil"/>
              <w:left w:val="nil"/>
              <w:bottom w:val="single" w:color="auto" w:sz="8" w:space="0"/>
              <w:right w:val="single" w:color="auto" w:sz="8" w:space="0"/>
            </w:tcBorders>
            <w:noWrap w:val="0"/>
            <w:vAlign w:val="center"/>
          </w:tcPr>
          <w:p w14:paraId="6C46CDBD">
            <w:pPr>
              <w:widowControl w:val="0"/>
              <w:spacing w:line="240" w:lineRule="exact"/>
              <w:jc w:val="center"/>
              <w:rPr>
                <w:rFonts w:eastAsia="楷体_GB2312"/>
                <w:szCs w:val="21"/>
              </w:rPr>
            </w:pPr>
            <w:r>
              <w:rPr>
                <w:rFonts w:eastAsia="楷体_GB2312"/>
                <w:szCs w:val="21"/>
              </w:rPr>
              <w:t>上轮基准地价（元/</w:t>
            </w:r>
            <w:r>
              <w:rPr>
                <w:szCs w:val="21"/>
              </w:rPr>
              <w:t>㎡</w:t>
            </w:r>
            <w:r>
              <w:rPr>
                <w:rFonts w:eastAsia="楷体_GB2312"/>
                <w:szCs w:val="21"/>
              </w:rPr>
              <w:t>）</w:t>
            </w:r>
          </w:p>
        </w:tc>
        <w:tc>
          <w:tcPr>
            <w:tcW w:w="0" w:type="auto"/>
            <w:tcBorders>
              <w:top w:val="nil"/>
              <w:left w:val="nil"/>
              <w:bottom w:val="single" w:color="auto" w:sz="8" w:space="0"/>
              <w:right w:val="single" w:color="auto" w:sz="8" w:space="0"/>
            </w:tcBorders>
            <w:noWrap w:val="0"/>
            <w:vAlign w:val="center"/>
          </w:tcPr>
          <w:p w14:paraId="4EC57F6A">
            <w:pPr>
              <w:widowControl w:val="0"/>
              <w:spacing w:line="240" w:lineRule="exact"/>
              <w:jc w:val="center"/>
              <w:rPr>
                <w:rFonts w:eastAsia="楷体_GB2312"/>
                <w:szCs w:val="21"/>
              </w:rPr>
            </w:pPr>
            <w:r>
              <w:rPr>
                <w:rFonts w:eastAsia="楷体_GB2312"/>
                <w:szCs w:val="21"/>
              </w:rPr>
              <w:t>涨幅</w:t>
            </w:r>
          </w:p>
        </w:tc>
        <w:tc>
          <w:tcPr>
            <w:tcW w:w="0" w:type="auto"/>
            <w:tcBorders>
              <w:top w:val="nil"/>
              <w:left w:val="nil"/>
              <w:bottom w:val="single" w:color="auto" w:sz="8" w:space="0"/>
              <w:right w:val="single" w:color="auto" w:sz="8" w:space="0"/>
            </w:tcBorders>
            <w:noWrap w:val="0"/>
            <w:vAlign w:val="center"/>
          </w:tcPr>
          <w:p w14:paraId="5AFAE416">
            <w:pPr>
              <w:widowControl w:val="0"/>
              <w:spacing w:line="240" w:lineRule="exact"/>
              <w:jc w:val="center"/>
              <w:rPr>
                <w:rFonts w:eastAsia="楷体_GB2312"/>
                <w:b/>
                <w:szCs w:val="21"/>
              </w:rPr>
            </w:pPr>
            <w:r>
              <w:rPr>
                <w:rFonts w:eastAsia="楷体_GB2312"/>
                <w:b/>
                <w:szCs w:val="21"/>
              </w:rPr>
              <w:t>本轮基准地价（元/</w:t>
            </w:r>
            <w:r>
              <w:rPr>
                <w:b/>
                <w:szCs w:val="21"/>
              </w:rPr>
              <w:t>㎡</w:t>
            </w:r>
            <w:r>
              <w:rPr>
                <w:rFonts w:eastAsia="楷体_GB2312"/>
                <w:b/>
                <w:szCs w:val="21"/>
              </w:rPr>
              <w:t>）</w:t>
            </w:r>
          </w:p>
        </w:tc>
        <w:tc>
          <w:tcPr>
            <w:tcW w:w="0" w:type="auto"/>
            <w:tcBorders>
              <w:top w:val="nil"/>
              <w:left w:val="nil"/>
              <w:bottom w:val="single" w:color="auto" w:sz="8" w:space="0"/>
              <w:right w:val="single" w:color="auto" w:sz="8" w:space="0"/>
            </w:tcBorders>
            <w:noWrap w:val="0"/>
            <w:vAlign w:val="center"/>
          </w:tcPr>
          <w:p w14:paraId="31304E67">
            <w:pPr>
              <w:widowControl w:val="0"/>
              <w:spacing w:line="240" w:lineRule="exact"/>
              <w:jc w:val="center"/>
              <w:rPr>
                <w:rFonts w:eastAsia="楷体_GB2312"/>
                <w:szCs w:val="21"/>
              </w:rPr>
            </w:pPr>
            <w:r>
              <w:rPr>
                <w:rFonts w:eastAsia="楷体_GB2312"/>
                <w:szCs w:val="21"/>
              </w:rPr>
              <w:t>上轮基准地价（元/</w:t>
            </w:r>
            <w:r>
              <w:rPr>
                <w:szCs w:val="21"/>
              </w:rPr>
              <w:t>㎡</w:t>
            </w:r>
            <w:r>
              <w:rPr>
                <w:rFonts w:eastAsia="楷体_GB2312"/>
                <w:szCs w:val="21"/>
              </w:rPr>
              <w:t>）</w:t>
            </w:r>
          </w:p>
        </w:tc>
        <w:tc>
          <w:tcPr>
            <w:tcW w:w="0" w:type="auto"/>
            <w:tcBorders>
              <w:top w:val="nil"/>
              <w:left w:val="nil"/>
              <w:bottom w:val="single" w:color="auto" w:sz="8" w:space="0"/>
              <w:right w:val="single" w:color="auto" w:sz="8" w:space="0"/>
            </w:tcBorders>
            <w:noWrap w:val="0"/>
            <w:vAlign w:val="center"/>
          </w:tcPr>
          <w:p w14:paraId="5121A9F1">
            <w:pPr>
              <w:widowControl w:val="0"/>
              <w:spacing w:line="240" w:lineRule="exact"/>
              <w:jc w:val="center"/>
              <w:rPr>
                <w:rFonts w:eastAsia="楷体_GB2312"/>
                <w:szCs w:val="21"/>
              </w:rPr>
            </w:pPr>
            <w:r>
              <w:rPr>
                <w:rFonts w:eastAsia="楷体_GB2312"/>
                <w:szCs w:val="21"/>
              </w:rPr>
              <w:t>涨幅</w:t>
            </w:r>
          </w:p>
        </w:tc>
        <w:tc>
          <w:tcPr>
            <w:tcW w:w="0" w:type="auto"/>
            <w:tcBorders>
              <w:top w:val="nil"/>
              <w:left w:val="nil"/>
              <w:bottom w:val="single" w:color="auto" w:sz="8" w:space="0"/>
              <w:right w:val="single" w:color="auto" w:sz="8" w:space="0"/>
            </w:tcBorders>
            <w:noWrap w:val="0"/>
            <w:vAlign w:val="center"/>
          </w:tcPr>
          <w:p w14:paraId="5D7C94BA">
            <w:pPr>
              <w:widowControl w:val="0"/>
              <w:spacing w:line="240" w:lineRule="exact"/>
              <w:jc w:val="center"/>
              <w:rPr>
                <w:rFonts w:eastAsia="楷体_GB2312"/>
                <w:b/>
                <w:szCs w:val="21"/>
              </w:rPr>
            </w:pPr>
            <w:r>
              <w:rPr>
                <w:rFonts w:eastAsia="楷体_GB2312"/>
                <w:b/>
                <w:szCs w:val="21"/>
              </w:rPr>
              <w:t>本轮基准地价（元/</w:t>
            </w:r>
            <w:r>
              <w:rPr>
                <w:b/>
                <w:szCs w:val="21"/>
              </w:rPr>
              <w:t>㎡</w:t>
            </w:r>
            <w:r>
              <w:rPr>
                <w:rFonts w:eastAsia="楷体_GB2312"/>
                <w:b/>
                <w:szCs w:val="21"/>
              </w:rPr>
              <w:t>）</w:t>
            </w:r>
          </w:p>
        </w:tc>
        <w:tc>
          <w:tcPr>
            <w:tcW w:w="0" w:type="auto"/>
            <w:tcBorders>
              <w:top w:val="nil"/>
              <w:left w:val="nil"/>
              <w:bottom w:val="single" w:color="auto" w:sz="8" w:space="0"/>
              <w:right w:val="single" w:color="auto" w:sz="8" w:space="0"/>
            </w:tcBorders>
            <w:noWrap w:val="0"/>
            <w:vAlign w:val="center"/>
          </w:tcPr>
          <w:p w14:paraId="4F243CD5">
            <w:pPr>
              <w:widowControl w:val="0"/>
              <w:spacing w:line="240" w:lineRule="exact"/>
              <w:jc w:val="center"/>
              <w:rPr>
                <w:rFonts w:eastAsia="楷体_GB2312"/>
                <w:szCs w:val="21"/>
              </w:rPr>
            </w:pPr>
            <w:r>
              <w:rPr>
                <w:rFonts w:eastAsia="楷体_GB2312"/>
                <w:szCs w:val="21"/>
              </w:rPr>
              <w:t>上轮基准地价（元/</w:t>
            </w:r>
            <w:r>
              <w:rPr>
                <w:szCs w:val="21"/>
              </w:rPr>
              <w:t>㎡</w:t>
            </w:r>
            <w:r>
              <w:rPr>
                <w:rFonts w:eastAsia="楷体_GB2312"/>
                <w:szCs w:val="21"/>
              </w:rPr>
              <w:t>）</w:t>
            </w:r>
          </w:p>
        </w:tc>
        <w:tc>
          <w:tcPr>
            <w:tcW w:w="0" w:type="auto"/>
            <w:tcBorders>
              <w:top w:val="nil"/>
              <w:left w:val="nil"/>
              <w:bottom w:val="single" w:color="auto" w:sz="8" w:space="0"/>
              <w:right w:val="single" w:color="auto" w:sz="8" w:space="0"/>
            </w:tcBorders>
            <w:noWrap w:val="0"/>
            <w:vAlign w:val="center"/>
          </w:tcPr>
          <w:p w14:paraId="3056AA50">
            <w:pPr>
              <w:widowControl w:val="0"/>
              <w:spacing w:line="240" w:lineRule="exact"/>
              <w:jc w:val="center"/>
              <w:rPr>
                <w:rFonts w:eastAsia="楷体_GB2312"/>
                <w:szCs w:val="21"/>
              </w:rPr>
            </w:pPr>
            <w:r>
              <w:rPr>
                <w:rFonts w:eastAsia="楷体_GB2312"/>
                <w:szCs w:val="21"/>
              </w:rPr>
              <w:t>涨幅</w:t>
            </w:r>
          </w:p>
        </w:tc>
      </w:tr>
      <w:tr w14:paraId="1250D938">
        <w:tblPrEx>
          <w:tblCellMar>
            <w:top w:w="0" w:type="dxa"/>
            <w:left w:w="108" w:type="dxa"/>
            <w:bottom w:w="0" w:type="dxa"/>
            <w:right w:w="108" w:type="dxa"/>
          </w:tblCellMar>
        </w:tblPrEx>
        <w:trPr>
          <w:trHeight w:val="20" w:hRule="atLeast"/>
          <w:jc w:val="center"/>
        </w:trPr>
        <w:tc>
          <w:tcPr>
            <w:tcW w:w="0" w:type="auto"/>
            <w:vMerge w:val="restart"/>
            <w:tcBorders>
              <w:top w:val="nil"/>
              <w:left w:val="single" w:color="auto" w:sz="8" w:space="0"/>
              <w:bottom w:val="single" w:color="000000" w:sz="8" w:space="0"/>
              <w:right w:val="single" w:color="auto" w:sz="8" w:space="0"/>
            </w:tcBorders>
            <w:noWrap w:val="0"/>
            <w:vAlign w:val="center"/>
          </w:tcPr>
          <w:p w14:paraId="768A288C">
            <w:pPr>
              <w:widowControl w:val="0"/>
              <w:spacing w:line="240" w:lineRule="exact"/>
              <w:jc w:val="center"/>
              <w:rPr>
                <w:rFonts w:eastAsia="楷体_GB2312"/>
                <w:szCs w:val="21"/>
              </w:rPr>
            </w:pPr>
            <w:r>
              <w:rPr>
                <w:rFonts w:eastAsia="楷体_GB2312"/>
                <w:szCs w:val="21"/>
              </w:rPr>
              <w:t>1</w:t>
            </w:r>
          </w:p>
        </w:tc>
        <w:tc>
          <w:tcPr>
            <w:tcW w:w="0" w:type="auto"/>
            <w:vMerge w:val="restart"/>
            <w:tcBorders>
              <w:top w:val="nil"/>
              <w:left w:val="single" w:color="auto" w:sz="8" w:space="0"/>
              <w:bottom w:val="single" w:color="000000" w:sz="8" w:space="0"/>
              <w:right w:val="single" w:color="auto" w:sz="8" w:space="0"/>
            </w:tcBorders>
            <w:noWrap w:val="0"/>
            <w:vAlign w:val="center"/>
          </w:tcPr>
          <w:p w14:paraId="6F651F56">
            <w:pPr>
              <w:widowControl w:val="0"/>
              <w:spacing w:line="240" w:lineRule="exact"/>
              <w:jc w:val="center"/>
              <w:rPr>
                <w:rFonts w:eastAsia="楷体_GB2312"/>
                <w:color w:val="000000"/>
                <w:szCs w:val="21"/>
              </w:rPr>
            </w:pPr>
            <w:r>
              <w:rPr>
                <w:rFonts w:eastAsia="楷体_GB2312"/>
                <w:color w:val="000000"/>
                <w:szCs w:val="21"/>
              </w:rPr>
              <w:t>符离集</w:t>
            </w:r>
          </w:p>
        </w:tc>
        <w:tc>
          <w:tcPr>
            <w:tcW w:w="0" w:type="auto"/>
            <w:tcBorders>
              <w:top w:val="nil"/>
              <w:left w:val="nil"/>
              <w:bottom w:val="single" w:color="auto" w:sz="8" w:space="0"/>
              <w:right w:val="single" w:color="auto" w:sz="8" w:space="0"/>
            </w:tcBorders>
            <w:noWrap w:val="0"/>
            <w:vAlign w:val="center"/>
          </w:tcPr>
          <w:p w14:paraId="1C5C232B">
            <w:pPr>
              <w:widowControl w:val="0"/>
              <w:spacing w:line="240" w:lineRule="exact"/>
              <w:jc w:val="center"/>
              <w:rPr>
                <w:rFonts w:eastAsia="楷体_GB2312"/>
                <w:szCs w:val="21"/>
              </w:rPr>
            </w:pPr>
            <w:r>
              <w:rPr>
                <w:rFonts w:eastAsia="楷体_GB2312"/>
                <w:szCs w:val="21"/>
              </w:rPr>
              <w:t>1</w:t>
            </w:r>
          </w:p>
        </w:tc>
        <w:tc>
          <w:tcPr>
            <w:tcW w:w="0" w:type="auto"/>
            <w:tcBorders>
              <w:top w:val="single" w:color="auto" w:sz="4" w:space="0"/>
              <w:left w:val="single" w:color="auto" w:sz="4" w:space="0"/>
              <w:bottom w:val="single" w:color="auto" w:sz="4" w:space="0"/>
              <w:right w:val="single" w:color="auto" w:sz="4" w:space="0"/>
            </w:tcBorders>
            <w:noWrap/>
            <w:vAlign w:val="center"/>
          </w:tcPr>
          <w:p w14:paraId="32A6ADEB">
            <w:pPr>
              <w:widowControl w:val="0"/>
              <w:spacing w:line="240" w:lineRule="exact"/>
              <w:jc w:val="center"/>
              <w:rPr>
                <w:rFonts w:eastAsia="楷体_GB2312"/>
                <w:b/>
                <w:color w:val="000000"/>
                <w:szCs w:val="21"/>
              </w:rPr>
            </w:pPr>
            <w:r>
              <w:rPr>
                <w:rFonts w:eastAsia="楷体_GB2312"/>
                <w:b/>
                <w:color w:val="000000"/>
                <w:szCs w:val="21"/>
              </w:rPr>
              <w:t>620</w:t>
            </w:r>
          </w:p>
        </w:tc>
        <w:tc>
          <w:tcPr>
            <w:tcW w:w="0" w:type="auto"/>
            <w:tcBorders>
              <w:top w:val="nil"/>
              <w:left w:val="nil"/>
              <w:bottom w:val="single" w:color="auto" w:sz="8" w:space="0"/>
              <w:right w:val="single" w:color="auto" w:sz="8" w:space="0"/>
            </w:tcBorders>
            <w:noWrap/>
            <w:vAlign w:val="center"/>
          </w:tcPr>
          <w:p w14:paraId="1D1291CB">
            <w:pPr>
              <w:widowControl w:val="0"/>
              <w:spacing w:line="240" w:lineRule="exact"/>
              <w:jc w:val="center"/>
              <w:rPr>
                <w:rFonts w:eastAsia="楷体_GB2312"/>
                <w:color w:val="000000"/>
                <w:szCs w:val="21"/>
              </w:rPr>
            </w:pPr>
            <w:r>
              <w:rPr>
                <w:rFonts w:eastAsia="楷体_GB2312"/>
                <w:color w:val="000000"/>
                <w:szCs w:val="21"/>
              </w:rPr>
              <w:t>605</w:t>
            </w:r>
          </w:p>
        </w:tc>
        <w:tc>
          <w:tcPr>
            <w:tcW w:w="0" w:type="auto"/>
            <w:tcBorders>
              <w:top w:val="nil"/>
              <w:left w:val="nil"/>
              <w:bottom w:val="single" w:color="auto" w:sz="8" w:space="0"/>
              <w:right w:val="single" w:color="auto" w:sz="8" w:space="0"/>
            </w:tcBorders>
            <w:noWrap w:val="0"/>
            <w:vAlign w:val="center"/>
          </w:tcPr>
          <w:p w14:paraId="444B0657">
            <w:pPr>
              <w:widowControl w:val="0"/>
              <w:spacing w:line="240" w:lineRule="exact"/>
              <w:jc w:val="center"/>
              <w:rPr>
                <w:rFonts w:eastAsia="楷体_GB2312"/>
                <w:color w:val="000000"/>
                <w:szCs w:val="21"/>
              </w:rPr>
            </w:pPr>
            <w:r>
              <w:rPr>
                <w:rFonts w:eastAsia="楷体_GB2312"/>
                <w:color w:val="000000"/>
                <w:szCs w:val="21"/>
              </w:rPr>
              <w:t>2.48%</w:t>
            </w:r>
          </w:p>
        </w:tc>
        <w:tc>
          <w:tcPr>
            <w:tcW w:w="0" w:type="auto"/>
            <w:tcBorders>
              <w:top w:val="single" w:color="auto" w:sz="4" w:space="0"/>
              <w:left w:val="single" w:color="auto" w:sz="4" w:space="0"/>
              <w:bottom w:val="single" w:color="auto" w:sz="4" w:space="0"/>
              <w:right w:val="single" w:color="auto" w:sz="4" w:space="0"/>
            </w:tcBorders>
            <w:noWrap/>
            <w:vAlign w:val="center"/>
          </w:tcPr>
          <w:p w14:paraId="4EA64EA4">
            <w:pPr>
              <w:widowControl w:val="0"/>
              <w:spacing w:line="240" w:lineRule="exact"/>
              <w:jc w:val="center"/>
              <w:rPr>
                <w:rFonts w:eastAsia="楷体_GB2312"/>
                <w:b/>
                <w:color w:val="000000"/>
                <w:szCs w:val="21"/>
              </w:rPr>
            </w:pPr>
            <w:r>
              <w:rPr>
                <w:rFonts w:eastAsia="楷体_GB2312"/>
                <w:b/>
                <w:color w:val="000000"/>
                <w:szCs w:val="21"/>
              </w:rPr>
              <w:t>470</w:t>
            </w:r>
          </w:p>
        </w:tc>
        <w:tc>
          <w:tcPr>
            <w:tcW w:w="0" w:type="auto"/>
            <w:tcBorders>
              <w:top w:val="nil"/>
              <w:left w:val="nil"/>
              <w:bottom w:val="single" w:color="auto" w:sz="8" w:space="0"/>
              <w:right w:val="single" w:color="auto" w:sz="8" w:space="0"/>
            </w:tcBorders>
            <w:noWrap/>
            <w:vAlign w:val="center"/>
          </w:tcPr>
          <w:p w14:paraId="05355B2E">
            <w:pPr>
              <w:widowControl w:val="0"/>
              <w:spacing w:line="240" w:lineRule="exact"/>
              <w:jc w:val="center"/>
              <w:rPr>
                <w:rFonts w:eastAsia="楷体_GB2312"/>
                <w:color w:val="000000"/>
                <w:szCs w:val="21"/>
              </w:rPr>
            </w:pPr>
            <w:r>
              <w:rPr>
                <w:rFonts w:eastAsia="楷体_GB2312"/>
                <w:color w:val="000000"/>
                <w:szCs w:val="21"/>
              </w:rPr>
              <w:t>441</w:t>
            </w:r>
          </w:p>
        </w:tc>
        <w:tc>
          <w:tcPr>
            <w:tcW w:w="0" w:type="auto"/>
            <w:tcBorders>
              <w:top w:val="nil"/>
              <w:left w:val="nil"/>
              <w:bottom w:val="single" w:color="auto" w:sz="8" w:space="0"/>
              <w:right w:val="single" w:color="auto" w:sz="8" w:space="0"/>
            </w:tcBorders>
            <w:noWrap w:val="0"/>
            <w:vAlign w:val="center"/>
          </w:tcPr>
          <w:p w14:paraId="4AC811D8">
            <w:pPr>
              <w:widowControl w:val="0"/>
              <w:spacing w:line="240" w:lineRule="exact"/>
              <w:jc w:val="center"/>
              <w:rPr>
                <w:rFonts w:eastAsia="楷体_GB2312"/>
                <w:color w:val="000000"/>
                <w:szCs w:val="21"/>
              </w:rPr>
            </w:pPr>
            <w:r>
              <w:rPr>
                <w:rFonts w:eastAsia="楷体_GB2312"/>
                <w:color w:val="000000"/>
                <w:szCs w:val="21"/>
              </w:rPr>
              <w:t>6.58%</w:t>
            </w:r>
          </w:p>
        </w:tc>
        <w:tc>
          <w:tcPr>
            <w:tcW w:w="0" w:type="auto"/>
            <w:tcBorders>
              <w:top w:val="single" w:color="auto" w:sz="4" w:space="0"/>
              <w:left w:val="single" w:color="auto" w:sz="4" w:space="0"/>
              <w:bottom w:val="single" w:color="auto" w:sz="4" w:space="0"/>
              <w:right w:val="single" w:color="auto" w:sz="4" w:space="0"/>
            </w:tcBorders>
            <w:noWrap/>
            <w:vAlign w:val="center"/>
          </w:tcPr>
          <w:p w14:paraId="5DF94BA8">
            <w:pPr>
              <w:widowControl w:val="0"/>
              <w:spacing w:line="240" w:lineRule="exact"/>
              <w:jc w:val="center"/>
              <w:rPr>
                <w:rFonts w:eastAsia="楷体_GB2312"/>
                <w:b/>
                <w:color w:val="000000"/>
                <w:szCs w:val="21"/>
              </w:rPr>
            </w:pPr>
            <w:r>
              <w:rPr>
                <w:rFonts w:eastAsia="楷体_GB2312"/>
                <w:b/>
                <w:color w:val="000000"/>
                <w:szCs w:val="21"/>
              </w:rPr>
              <w:t>230</w:t>
            </w:r>
          </w:p>
        </w:tc>
        <w:tc>
          <w:tcPr>
            <w:tcW w:w="0" w:type="auto"/>
            <w:tcBorders>
              <w:top w:val="nil"/>
              <w:left w:val="nil"/>
              <w:bottom w:val="single" w:color="auto" w:sz="8" w:space="0"/>
              <w:right w:val="single" w:color="auto" w:sz="8" w:space="0"/>
            </w:tcBorders>
            <w:noWrap/>
            <w:vAlign w:val="center"/>
          </w:tcPr>
          <w:p w14:paraId="741ECA86">
            <w:pPr>
              <w:widowControl w:val="0"/>
              <w:spacing w:line="240" w:lineRule="exact"/>
              <w:jc w:val="center"/>
              <w:rPr>
                <w:rFonts w:eastAsia="楷体_GB2312"/>
                <w:color w:val="000000"/>
                <w:szCs w:val="21"/>
              </w:rPr>
            </w:pPr>
            <w:r>
              <w:rPr>
                <w:rFonts w:eastAsia="楷体_GB2312"/>
                <w:color w:val="000000"/>
                <w:szCs w:val="21"/>
              </w:rPr>
              <w:t>225</w:t>
            </w:r>
          </w:p>
        </w:tc>
        <w:tc>
          <w:tcPr>
            <w:tcW w:w="0" w:type="auto"/>
            <w:tcBorders>
              <w:top w:val="nil"/>
              <w:left w:val="nil"/>
              <w:bottom w:val="single" w:color="auto" w:sz="8" w:space="0"/>
              <w:right w:val="single" w:color="auto" w:sz="8" w:space="0"/>
            </w:tcBorders>
            <w:noWrap w:val="0"/>
            <w:vAlign w:val="center"/>
          </w:tcPr>
          <w:p w14:paraId="1BF1B405">
            <w:pPr>
              <w:widowControl w:val="0"/>
              <w:spacing w:line="240" w:lineRule="exact"/>
              <w:jc w:val="center"/>
              <w:rPr>
                <w:rFonts w:eastAsia="楷体_GB2312"/>
                <w:color w:val="000000"/>
                <w:szCs w:val="21"/>
              </w:rPr>
            </w:pPr>
            <w:r>
              <w:rPr>
                <w:rFonts w:eastAsia="楷体_GB2312"/>
                <w:color w:val="000000"/>
                <w:szCs w:val="21"/>
              </w:rPr>
              <w:t>2.22%</w:t>
            </w:r>
          </w:p>
        </w:tc>
      </w:tr>
      <w:tr w14:paraId="112C5BBF">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2D8969AD">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776460DA">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56B5773A">
            <w:pPr>
              <w:widowControl w:val="0"/>
              <w:spacing w:line="240" w:lineRule="exact"/>
              <w:jc w:val="center"/>
              <w:rPr>
                <w:rFonts w:eastAsia="楷体_GB2312"/>
                <w:szCs w:val="21"/>
              </w:rPr>
            </w:pPr>
            <w:r>
              <w:rPr>
                <w:rFonts w:eastAsia="楷体_GB2312"/>
                <w:szCs w:val="21"/>
              </w:rPr>
              <w:t>2</w:t>
            </w:r>
          </w:p>
        </w:tc>
        <w:tc>
          <w:tcPr>
            <w:tcW w:w="0" w:type="auto"/>
            <w:tcBorders>
              <w:top w:val="nil"/>
              <w:left w:val="single" w:color="auto" w:sz="4" w:space="0"/>
              <w:bottom w:val="single" w:color="auto" w:sz="4" w:space="0"/>
              <w:right w:val="single" w:color="auto" w:sz="4" w:space="0"/>
            </w:tcBorders>
            <w:noWrap/>
            <w:vAlign w:val="center"/>
          </w:tcPr>
          <w:p w14:paraId="65D9219F">
            <w:pPr>
              <w:widowControl w:val="0"/>
              <w:spacing w:line="240" w:lineRule="exact"/>
              <w:jc w:val="center"/>
              <w:rPr>
                <w:rFonts w:eastAsia="楷体_GB2312"/>
                <w:b/>
                <w:color w:val="000000"/>
                <w:szCs w:val="21"/>
              </w:rPr>
            </w:pPr>
            <w:r>
              <w:rPr>
                <w:rFonts w:eastAsia="楷体_GB2312"/>
                <w:b/>
                <w:color w:val="000000"/>
                <w:szCs w:val="21"/>
              </w:rPr>
              <w:t>510</w:t>
            </w:r>
          </w:p>
        </w:tc>
        <w:tc>
          <w:tcPr>
            <w:tcW w:w="0" w:type="auto"/>
            <w:tcBorders>
              <w:top w:val="nil"/>
              <w:left w:val="nil"/>
              <w:bottom w:val="single" w:color="auto" w:sz="8" w:space="0"/>
              <w:right w:val="single" w:color="auto" w:sz="8" w:space="0"/>
            </w:tcBorders>
            <w:noWrap/>
            <w:vAlign w:val="center"/>
          </w:tcPr>
          <w:p w14:paraId="4907A474">
            <w:pPr>
              <w:widowControl w:val="0"/>
              <w:spacing w:line="240" w:lineRule="exact"/>
              <w:jc w:val="center"/>
              <w:rPr>
                <w:rFonts w:eastAsia="楷体_GB2312"/>
                <w:color w:val="000000"/>
                <w:szCs w:val="21"/>
              </w:rPr>
            </w:pPr>
            <w:r>
              <w:rPr>
                <w:rFonts w:eastAsia="楷体_GB2312"/>
                <w:color w:val="000000"/>
                <w:szCs w:val="21"/>
              </w:rPr>
              <w:t>476</w:t>
            </w:r>
          </w:p>
        </w:tc>
        <w:tc>
          <w:tcPr>
            <w:tcW w:w="0" w:type="auto"/>
            <w:tcBorders>
              <w:top w:val="nil"/>
              <w:left w:val="nil"/>
              <w:bottom w:val="single" w:color="auto" w:sz="8" w:space="0"/>
              <w:right w:val="single" w:color="auto" w:sz="8" w:space="0"/>
            </w:tcBorders>
            <w:noWrap w:val="0"/>
            <w:vAlign w:val="center"/>
          </w:tcPr>
          <w:p w14:paraId="6156F61B">
            <w:pPr>
              <w:widowControl w:val="0"/>
              <w:spacing w:line="240" w:lineRule="exact"/>
              <w:jc w:val="center"/>
              <w:rPr>
                <w:rFonts w:eastAsia="楷体_GB2312"/>
                <w:color w:val="000000"/>
                <w:szCs w:val="21"/>
              </w:rPr>
            </w:pPr>
            <w:r>
              <w:rPr>
                <w:rFonts w:eastAsia="楷体_GB2312"/>
                <w:color w:val="000000"/>
                <w:szCs w:val="21"/>
              </w:rPr>
              <w:t>7.14%</w:t>
            </w:r>
          </w:p>
        </w:tc>
        <w:tc>
          <w:tcPr>
            <w:tcW w:w="0" w:type="auto"/>
            <w:tcBorders>
              <w:top w:val="nil"/>
              <w:left w:val="single" w:color="auto" w:sz="4" w:space="0"/>
              <w:bottom w:val="single" w:color="auto" w:sz="4" w:space="0"/>
              <w:right w:val="single" w:color="auto" w:sz="4" w:space="0"/>
            </w:tcBorders>
            <w:noWrap/>
            <w:vAlign w:val="center"/>
          </w:tcPr>
          <w:p w14:paraId="6833777F">
            <w:pPr>
              <w:widowControl w:val="0"/>
              <w:spacing w:line="240" w:lineRule="exact"/>
              <w:jc w:val="center"/>
              <w:rPr>
                <w:rFonts w:eastAsia="楷体_GB2312"/>
                <w:b/>
                <w:color w:val="000000"/>
                <w:szCs w:val="21"/>
              </w:rPr>
            </w:pPr>
            <w:r>
              <w:rPr>
                <w:rFonts w:eastAsia="楷体_GB2312"/>
                <w:b/>
                <w:color w:val="000000"/>
                <w:szCs w:val="21"/>
              </w:rPr>
              <w:t>370</w:t>
            </w:r>
          </w:p>
        </w:tc>
        <w:tc>
          <w:tcPr>
            <w:tcW w:w="0" w:type="auto"/>
            <w:tcBorders>
              <w:top w:val="nil"/>
              <w:left w:val="nil"/>
              <w:bottom w:val="single" w:color="auto" w:sz="8" w:space="0"/>
              <w:right w:val="single" w:color="auto" w:sz="8" w:space="0"/>
            </w:tcBorders>
            <w:noWrap/>
            <w:vAlign w:val="center"/>
          </w:tcPr>
          <w:p w14:paraId="696ACE66">
            <w:pPr>
              <w:widowControl w:val="0"/>
              <w:spacing w:line="240" w:lineRule="exact"/>
              <w:jc w:val="center"/>
              <w:rPr>
                <w:rFonts w:eastAsia="楷体_GB2312"/>
                <w:color w:val="000000"/>
                <w:szCs w:val="21"/>
              </w:rPr>
            </w:pPr>
            <w:r>
              <w:rPr>
                <w:rFonts w:eastAsia="楷体_GB2312"/>
                <w:color w:val="000000"/>
                <w:szCs w:val="21"/>
              </w:rPr>
              <w:t>337</w:t>
            </w:r>
          </w:p>
        </w:tc>
        <w:tc>
          <w:tcPr>
            <w:tcW w:w="0" w:type="auto"/>
            <w:tcBorders>
              <w:top w:val="nil"/>
              <w:left w:val="nil"/>
              <w:bottom w:val="single" w:color="auto" w:sz="8" w:space="0"/>
              <w:right w:val="single" w:color="auto" w:sz="8" w:space="0"/>
            </w:tcBorders>
            <w:noWrap w:val="0"/>
            <w:vAlign w:val="center"/>
          </w:tcPr>
          <w:p w14:paraId="5766E04F">
            <w:pPr>
              <w:widowControl w:val="0"/>
              <w:spacing w:line="240" w:lineRule="exact"/>
              <w:jc w:val="center"/>
              <w:rPr>
                <w:rFonts w:eastAsia="楷体_GB2312"/>
                <w:color w:val="000000"/>
                <w:szCs w:val="21"/>
              </w:rPr>
            </w:pPr>
            <w:r>
              <w:rPr>
                <w:rFonts w:eastAsia="楷体_GB2312"/>
                <w:color w:val="000000"/>
                <w:szCs w:val="21"/>
              </w:rPr>
              <w:t>9.79%</w:t>
            </w:r>
          </w:p>
        </w:tc>
        <w:tc>
          <w:tcPr>
            <w:tcW w:w="0" w:type="auto"/>
            <w:tcBorders>
              <w:top w:val="nil"/>
              <w:left w:val="single" w:color="auto" w:sz="4" w:space="0"/>
              <w:bottom w:val="single" w:color="auto" w:sz="4" w:space="0"/>
              <w:right w:val="single" w:color="auto" w:sz="4" w:space="0"/>
            </w:tcBorders>
            <w:noWrap/>
            <w:vAlign w:val="center"/>
          </w:tcPr>
          <w:p w14:paraId="36BD76B9">
            <w:pPr>
              <w:widowControl w:val="0"/>
              <w:spacing w:line="240" w:lineRule="exact"/>
              <w:jc w:val="center"/>
              <w:rPr>
                <w:rFonts w:eastAsia="楷体_GB2312"/>
                <w:b/>
                <w:color w:val="000000"/>
                <w:szCs w:val="21"/>
              </w:rPr>
            </w:pPr>
            <w:r>
              <w:rPr>
                <w:rFonts w:eastAsia="楷体_GB2312"/>
                <w:b/>
                <w:color w:val="000000"/>
                <w:szCs w:val="21"/>
              </w:rPr>
              <w:t>185</w:t>
            </w:r>
          </w:p>
        </w:tc>
        <w:tc>
          <w:tcPr>
            <w:tcW w:w="0" w:type="auto"/>
            <w:tcBorders>
              <w:top w:val="nil"/>
              <w:left w:val="nil"/>
              <w:bottom w:val="single" w:color="auto" w:sz="8" w:space="0"/>
              <w:right w:val="single" w:color="auto" w:sz="8" w:space="0"/>
            </w:tcBorders>
            <w:noWrap/>
            <w:vAlign w:val="center"/>
          </w:tcPr>
          <w:p w14:paraId="547F92DE">
            <w:pPr>
              <w:widowControl w:val="0"/>
              <w:spacing w:line="240" w:lineRule="exact"/>
              <w:jc w:val="center"/>
              <w:rPr>
                <w:rFonts w:eastAsia="楷体_GB2312"/>
                <w:color w:val="000000"/>
                <w:szCs w:val="21"/>
              </w:rPr>
            </w:pPr>
            <w:r>
              <w:rPr>
                <w:rFonts w:eastAsia="楷体_GB2312"/>
                <w:color w:val="000000"/>
                <w:szCs w:val="21"/>
              </w:rPr>
              <w:t>185</w:t>
            </w:r>
          </w:p>
        </w:tc>
        <w:tc>
          <w:tcPr>
            <w:tcW w:w="0" w:type="auto"/>
            <w:tcBorders>
              <w:top w:val="nil"/>
              <w:left w:val="nil"/>
              <w:bottom w:val="single" w:color="auto" w:sz="8" w:space="0"/>
              <w:right w:val="single" w:color="auto" w:sz="8" w:space="0"/>
            </w:tcBorders>
            <w:noWrap w:val="0"/>
            <w:vAlign w:val="center"/>
          </w:tcPr>
          <w:p w14:paraId="4A9FDB95">
            <w:pPr>
              <w:widowControl w:val="0"/>
              <w:spacing w:line="240" w:lineRule="exact"/>
              <w:jc w:val="center"/>
              <w:rPr>
                <w:rFonts w:eastAsia="楷体_GB2312"/>
                <w:color w:val="000000"/>
                <w:szCs w:val="21"/>
              </w:rPr>
            </w:pPr>
            <w:r>
              <w:rPr>
                <w:rFonts w:eastAsia="楷体_GB2312"/>
                <w:color w:val="000000"/>
                <w:szCs w:val="21"/>
              </w:rPr>
              <w:t>0.00%</w:t>
            </w:r>
          </w:p>
        </w:tc>
      </w:tr>
      <w:tr w14:paraId="7CD8CB2C">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0EBFC181">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65C6601B">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3792AD04">
            <w:pPr>
              <w:widowControl w:val="0"/>
              <w:spacing w:line="240" w:lineRule="exact"/>
              <w:jc w:val="center"/>
              <w:rPr>
                <w:rFonts w:eastAsia="楷体_GB2312"/>
                <w:szCs w:val="21"/>
              </w:rPr>
            </w:pPr>
            <w:r>
              <w:rPr>
                <w:rFonts w:eastAsia="楷体_GB2312"/>
                <w:szCs w:val="21"/>
              </w:rPr>
              <w:t>3</w:t>
            </w:r>
          </w:p>
        </w:tc>
        <w:tc>
          <w:tcPr>
            <w:tcW w:w="0" w:type="auto"/>
            <w:tcBorders>
              <w:top w:val="nil"/>
              <w:left w:val="single" w:color="auto" w:sz="4" w:space="0"/>
              <w:bottom w:val="single" w:color="auto" w:sz="4" w:space="0"/>
              <w:right w:val="single" w:color="auto" w:sz="4" w:space="0"/>
            </w:tcBorders>
            <w:noWrap/>
            <w:vAlign w:val="center"/>
          </w:tcPr>
          <w:p w14:paraId="5C7385FD">
            <w:pPr>
              <w:widowControl w:val="0"/>
              <w:spacing w:line="240" w:lineRule="exact"/>
              <w:jc w:val="center"/>
              <w:rPr>
                <w:rFonts w:eastAsia="楷体_GB2312"/>
                <w:b/>
                <w:color w:val="000000"/>
                <w:szCs w:val="21"/>
              </w:rPr>
            </w:pPr>
            <w:r>
              <w:rPr>
                <w:rFonts w:eastAsia="楷体_GB2312"/>
                <w:b/>
                <w:color w:val="000000"/>
                <w:szCs w:val="21"/>
              </w:rPr>
              <w:t>425</w:t>
            </w:r>
          </w:p>
        </w:tc>
        <w:tc>
          <w:tcPr>
            <w:tcW w:w="0" w:type="auto"/>
            <w:tcBorders>
              <w:top w:val="nil"/>
              <w:left w:val="nil"/>
              <w:bottom w:val="single" w:color="auto" w:sz="8" w:space="0"/>
              <w:right w:val="single" w:color="auto" w:sz="8" w:space="0"/>
            </w:tcBorders>
            <w:noWrap/>
            <w:vAlign w:val="center"/>
          </w:tcPr>
          <w:p w14:paraId="3C836300">
            <w:pPr>
              <w:widowControl w:val="0"/>
              <w:spacing w:line="240" w:lineRule="exact"/>
              <w:jc w:val="center"/>
              <w:rPr>
                <w:rFonts w:eastAsia="楷体_GB2312"/>
                <w:color w:val="000000"/>
                <w:szCs w:val="21"/>
              </w:rPr>
            </w:pPr>
            <w:r>
              <w:rPr>
                <w:rFonts w:eastAsia="楷体_GB2312"/>
                <w:color w:val="000000"/>
                <w:szCs w:val="21"/>
              </w:rPr>
              <w:t>415</w:t>
            </w:r>
          </w:p>
        </w:tc>
        <w:tc>
          <w:tcPr>
            <w:tcW w:w="0" w:type="auto"/>
            <w:tcBorders>
              <w:top w:val="nil"/>
              <w:left w:val="nil"/>
              <w:bottom w:val="single" w:color="auto" w:sz="8" w:space="0"/>
              <w:right w:val="single" w:color="auto" w:sz="8" w:space="0"/>
            </w:tcBorders>
            <w:noWrap w:val="0"/>
            <w:vAlign w:val="center"/>
          </w:tcPr>
          <w:p w14:paraId="500400E7">
            <w:pPr>
              <w:widowControl w:val="0"/>
              <w:spacing w:line="240" w:lineRule="exact"/>
              <w:jc w:val="center"/>
              <w:rPr>
                <w:rFonts w:eastAsia="楷体_GB2312"/>
                <w:color w:val="000000"/>
                <w:szCs w:val="21"/>
              </w:rPr>
            </w:pPr>
            <w:r>
              <w:rPr>
                <w:rFonts w:eastAsia="楷体_GB2312"/>
                <w:color w:val="000000"/>
                <w:szCs w:val="21"/>
              </w:rPr>
              <w:t>2.41%</w:t>
            </w:r>
          </w:p>
        </w:tc>
        <w:tc>
          <w:tcPr>
            <w:tcW w:w="0" w:type="auto"/>
            <w:tcBorders>
              <w:top w:val="nil"/>
              <w:left w:val="single" w:color="auto" w:sz="4" w:space="0"/>
              <w:bottom w:val="single" w:color="auto" w:sz="4" w:space="0"/>
              <w:right w:val="single" w:color="auto" w:sz="4" w:space="0"/>
            </w:tcBorders>
            <w:noWrap/>
            <w:vAlign w:val="center"/>
          </w:tcPr>
          <w:p w14:paraId="7A66CBDD">
            <w:pPr>
              <w:widowControl w:val="0"/>
              <w:spacing w:line="240" w:lineRule="exact"/>
              <w:jc w:val="center"/>
              <w:rPr>
                <w:rFonts w:eastAsia="楷体_GB2312"/>
                <w:b/>
                <w:color w:val="000000"/>
                <w:szCs w:val="21"/>
              </w:rPr>
            </w:pPr>
            <w:r>
              <w:rPr>
                <w:rFonts w:eastAsia="楷体_GB2312"/>
                <w:b/>
                <w:color w:val="000000"/>
                <w:szCs w:val="21"/>
              </w:rPr>
              <w:t>290</w:t>
            </w:r>
          </w:p>
        </w:tc>
        <w:tc>
          <w:tcPr>
            <w:tcW w:w="0" w:type="auto"/>
            <w:tcBorders>
              <w:top w:val="nil"/>
              <w:left w:val="nil"/>
              <w:bottom w:val="single" w:color="auto" w:sz="8" w:space="0"/>
              <w:right w:val="single" w:color="auto" w:sz="8" w:space="0"/>
            </w:tcBorders>
            <w:noWrap/>
            <w:vAlign w:val="center"/>
          </w:tcPr>
          <w:p w14:paraId="724472DE">
            <w:pPr>
              <w:widowControl w:val="0"/>
              <w:spacing w:line="240" w:lineRule="exact"/>
              <w:jc w:val="center"/>
              <w:rPr>
                <w:rFonts w:eastAsia="楷体_GB2312"/>
                <w:color w:val="000000"/>
                <w:szCs w:val="21"/>
              </w:rPr>
            </w:pPr>
            <w:r>
              <w:rPr>
                <w:rFonts w:eastAsia="楷体_GB2312"/>
                <w:color w:val="000000"/>
                <w:szCs w:val="21"/>
              </w:rPr>
              <w:t>270</w:t>
            </w:r>
          </w:p>
        </w:tc>
        <w:tc>
          <w:tcPr>
            <w:tcW w:w="0" w:type="auto"/>
            <w:tcBorders>
              <w:top w:val="nil"/>
              <w:left w:val="nil"/>
              <w:bottom w:val="single" w:color="auto" w:sz="8" w:space="0"/>
              <w:right w:val="single" w:color="auto" w:sz="8" w:space="0"/>
            </w:tcBorders>
            <w:noWrap w:val="0"/>
            <w:vAlign w:val="center"/>
          </w:tcPr>
          <w:p w14:paraId="0589DEF7">
            <w:pPr>
              <w:widowControl w:val="0"/>
              <w:spacing w:line="240" w:lineRule="exact"/>
              <w:jc w:val="center"/>
              <w:rPr>
                <w:rFonts w:eastAsia="楷体_GB2312"/>
                <w:color w:val="000000"/>
                <w:szCs w:val="21"/>
              </w:rPr>
            </w:pPr>
            <w:r>
              <w:rPr>
                <w:rFonts w:eastAsia="楷体_GB2312"/>
                <w:color w:val="000000"/>
                <w:szCs w:val="21"/>
              </w:rPr>
              <w:t>7.41%</w:t>
            </w:r>
          </w:p>
        </w:tc>
        <w:tc>
          <w:tcPr>
            <w:tcW w:w="0" w:type="auto"/>
            <w:tcBorders>
              <w:top w:val="nil"/>
              <w:left w:val="single" w:color="auto" w:sz="4" w:space="0"/>
              <w:bottom w:val="single" w:color="auto" w:sz="4" w:space="0"/>
              <w:right w:val="single" w:color="auto" w:sz="4" w:space="0"/>
            </w:tcBorders>
            <w:noWrap/>
            <w:vAlign w:val="center"/>
          </w:tcPr>
          <w:p w14:paraId="56B37281">
            <w:pPr>
              <w:widowControl w:val="0"/>
              <w:spacing w:line="240" w:lineRule="exact"/>
              <w:jc w:val="center"/>
              <w:rPr>
                <w:rFonts w:eastAsia="楷体_GB2312"/>
                <w:b/>
                <w:color w:val="000000"/>
                <w:szCs w:val="21"/>
              </w:rPr>
            </w:pPr>
            <w:r>
              <w:rPr>
                <w:rFonts w:eastAsia="楷体_GB2312"/>
                <w:b/>
                <w:color w:val="000000"/>
                <w:szCs w:val="21"/>
              </w:rPr>
              <w:t>144</w:t>
            </w:r>
          </w:p>
        </w:tc>
        <w:tc>
          <w:tcPr>
            <w:tcW w:w="0" w:type="auto"/>
            <w:tcBorders>
              <w:top w:val="nil"/>
              <w:left w:val="nil"/>
              <w:bottom w:val="single" w:color="auto" w:sz="8" w:space="0"/>
              <w:right w:val="single" w:color="auto" w:sz="8" w:space="0"/>
            </w:tcBorders>
            <w:noWrap/>
            <w:vAlign w:val="center"/>
          </w:tcPr>
          <w:p w14:paraId="6F6C1505">
            <w:pPr>
              <w:widowControl w:val="0"/>
              <w:spacing w:line="240" w:lineRule="exact"/>
              <w:jc w:val="center"/>
              <w:rPr>
                <w:rFonts w:eastAsia="楷体_GB2312"/>
                <w:color w:val="000000"/>
                <w:szCs w:val="21"/>
              </w:rPr>
            </w:pPr>
            <w:r>
              <w:rPr>
                <w:rFonts w:eastAsia="楷体_GB2312"/>
                <w:color w:val="000000"/>
                <w:szCs w:val="21"/>
              </w:rPr>
              <w:t>144</w:t>
            </w:r>
          </w:p>
        </w:tc>
        <w:tc>
          <w:tcPr>
            <w:tcW w:w="0" w:type="auto"/>
            <w:tcBorders>
              <w:top w:val="nil"/>
              <w:left w:val="nil"/>
              <w:bottom w:val="single" w:color="auto" w:sz="8" w:space="0"/>
              <w:right w:val="single" w:color="auto" w:sz="8" w:space="0"/>
            </w:tcBorders>
            <w:noWrap w:val="0"/>
            <w:vAlign w:val="center"/>
          </w:tcPr>
          <w:p w14:paraId="26DCD97F">
            <w:pPr>
              <w:widowControl w:val="0"/>
              <w:spacing w:line="240" w:lineRule="exact"/>
              <w:jc w:val="center"/>
              <w:rPr>
                <w:rFonts w:eastAsia="楷体_GB2312"/>
                <w:color w:val="000000"/>
                <w:szCs w:val="21"/>
              </w:rPr>
            </w:pPr>
            <w:r>
              <w:rPr>
                <w:rFonts w:eastAsia="楷体_GB2312"/>
                <w:color w:val="000000"/>
                <w:szCs w:val="21"/>
              </w:rPr>
              <w:t>0.00%</w:t>
            </w:r>
          </w:p>
        </w:tc>
      </w:tr>
      <w:tr w14:paraId="704AEB0A">
        <w:tblPrEx>
          <w:tblCellMar>
            <w:top w:w="0" w:type="dxa"/>
            <w:left w:w="108" w:type="dxa"/>
            <w:bottom w:w="0" w:type="dxa"/>
            <w:right w:w="108" w:type="dxa"/>
          </w:tblCellMar>
        </w:tblPrEx>
        <w:trPr>
          <w:trHeight w:val="20" w:hRule="atLeast"/>
          <w:jc w:val="center"/>
        </w:trPr>
        <w:tc>
          <w:tcPr>
            <w:tcW w:w="0" w:type="auto"/>
            <w:vMerge w:val="restart"/>
            <w:tcBorders>
              <w:top w:val="nil"/>
              <w:left w:val="single" w:color="auto" w:sz="8" w:space="0"/>
              <w:bottom w:val="single" w:color="000000" w:sz="8" w:space="0"/>
              <w:right w:val="single" w:color="auto" w:sz="8" w:space="0"/>
            </w:tcBorders>
            <w:noWrap w:val="0"/>
            <w:vAlign w:val="center"/>
          </w:tcPr>
          <w:p w14:paraId="03D932AC">
            <w:pPr>
              <w:widowControl w:val="0"/>
              <w:spacing w:line="240" w:lineRule="exact"/>
              <w:jc w:val="center"/>
              <w:rPr>
                <w:rFonts w:eastAsia="楷体_GB2312"/>
                <w:szCs w:val="21"/>
              </w:rPr>
            </w:pPr>
            <w:r>
              <w:rPr>
                <w:rFonts w:hint="eastAsia" w:eastAsia="楷体_GB2312"/>
                <w:szCs w:val="21"/>
              </w:rPr>
              <w:t>2</w:t>
            </w:r>
          </w:p>
        </w:tc>
        <w:tc>
          <w:tcPr>
            <w:tcW w:w="0" w:type="auto"/>
            <w:vMerge w:val="restart"/>
            <w:tcBorders>
              <w:top w:val="nil"/>
              <w:left w:val="single" w:color="auto" w:sz="8" w:space="0"/>
              <w:bottom w:val="single" w:color="000000" w:sz="8" w:space="0"/>
              <w:right w:val="single" w:color="auto" w:sz="8" w:space="0"/>
            </w:tcBorders>
            <w:noWrap w:val="0"/>
            <w:vAlign w:val="center"/>
          </w:tcPr>
          <w:p w14:paraId="0B0493DE">
            <w:pPr>
              <w:widowControl w:val="0"/>
              <w:spacing w:line="240" w:lineRule="exact"/>
              <w:jc w:val="center"/>
              <w:rPr>
                <w:rFonts w:eastAsia="楷体_GB2312"/>
                <w:color w:val="000000"/>
                <w:szCs w:val="21"/>
              </w:rPr>
            </w:pPr>
            <w:r>
              <w:rPr>
                <w:rFonts w:eastAsia="楷体_GB2312"/>
                <w:color w:val="000000"/>
                <w:szCs w:val="21"/>
              </w:rPr>
              <w:t>朱仙庄镇</w:t>
            </w:r>
          </w:p>
        </w:tc>
        <w:tc>
          <w:tcPr>
            <w:tcW w:w="0" w:type="auto"/>
            <w:tcBorders>
              <w:top w:val="nil"/>
              <w:left w:val="nil"/>
              <w:bottom w:val="single" w:color="auto" w:sz="8" w:space="0"/>
              <w:right w:val="single" w:color="auto" w:sz="8" w:space="0"/>
            </w:tcBorders>
            <w:noWrap w:val="0"/>
            <w:vAlign w:val="center"/>
          </w:tcPr>
          <w:p w14:paraId="5A8FE26B">
            <w:pPr>
              <w:widowControl w:val="0"/>
              <w:spacing w:line="240" w:lineRule="exact"/>
              <w:jc w:val="center"/>
              <w:rPr>
                <w:rFonts w:eastAsia="楷体_GB2312"/>
                <w:szCs w:val="21"/>
              </w:rPr>
            </w:pPr>
            <w:r>
              <w:rPr>
                <w:rFonts w:eastAsia="楷体_GB2312"/>
                <w:szCs w:val="21"/>
              </w:rPr>
              <w:t>1</w:t>
            </w:r>
          </w:p>
        </w:tc>
        <w:tc>
          <w:tcPr>
            <w:tcW w:w="0" w:type="auto"/>
            <w:tcBorders>
              <w:top w:val="nil"/>
              <w:left w:val="single" w:color="auto" w:sz="4" w:space="0"/>
              <w:bottom w:val="single" w:color="auto" w:sz="4" w:space="0"/>
              <w:right w:val="single" w:color="auto" w:sz="4" w:space="0"/>
            </w:tcBorders>
            <w:noWrap/>
            <w:vAlign w:val="center"/>
          </w:tcPr>
          <w:p w14:paraId="6084288A">
            <w:pPr>
              <w:widowControl w:val="0"/>
              <w:spacing w:line="240" w:lineRule="exact"/>
              <w:jc w:val="center"/>
              <w:rPr>
                <w:rFonts w:eastAsia="楷体_GB2312"/>
                <w:b/>
                <w:color w:val="000000"/>
                <w:szCs w:val="21"/>
              </w:rPr>
            </w:pPr>
            <w:r>
              <w:rPr>
                <w:rFonts w:eastAsia="楷体_GB2312"/>
                <w:b/>
                <w:color w:val="000000"/>
                <w:szCs w:val="21"/>
              </w:rPr>
              <w:t>595</w:t>
            </w:r>
          </w:p>
        </w:tc>
        <w:tc>
          <w:tcPr>
            <w:tcW w:w="0" w:type="auto"/>
            <w:tcBorders>
              <w:top w:val="nil"/>
              <w:left w:val="nil"/>
              <w:bottom w:val="single" w:color="auto" w:sz="8" w:space="0"/>
              <w:right w:val="single" w:color="auto" w:sz="8" w:space="0"/>
            </w:tcBorders>
            <w:noWrap/>
            <w:vAlign w:val="center"/>
          </w:tcPr>
          <w:p w14:paraId="363D1ADE">
            <w:pPr>
              <w:widowControl w:val="0"/>
              <w:spacing w:line="240" w:lineRule="exact"/>
              <w:jc w:val="center"/>
              <w:rPr>
                <w:rFonts w:eastAsia="楷体_GB2312"/>
                <w:color w:val="000000"/>
                <w:szCs w:val="21"/>
              </w:rPr>
            </w:pPr>
            <w:r>
              <w:rPr>
                <w:rFonts w:eastAsia="楷体_GB2312"/>
                <w:color w:val="000000"/>
                <w:szCs w:val="21"/>
              </w:rPr>
              <w:t>580</w:t>
            </w:r>
          </w:p>
        </w:tc>
        <w:tc>
          <w:tcPr>
            <w:tcW w:w="0" w:type="auto"/>
            <w:tcBorders>
              <w:top w:val="nil"/>
              <w:left w:val="nil"/>
              <w:bottom w:val="single" w:color="auto" w:sz="8" w:space="0"/>
              <w:right w:val="single" w:color="auto" w:sz="8" w:space="0"/>
            </w:tcBorders>
            <w:noWrap w:val="0"/>
            <w:vAlign w:val="center"/>
          </w:tcPr>
          <w:p w14:paraId="6CBD8CAD">
            <w:pPr>
              <w:widowControl w:val="0"/>
              <w:spacing w:line="240" w:lineRule="exact"/>
              <w:jc w:val="center"/>
              <w:rPr>
                <w:rFonts w:eastAsia="楷体_GB2312"/>
                <w:color w:val="000000"/>
                <w:szCs w:val="21"/>
              </w:rPr>
            </w:pPr>
            <w:r>
              <w:rPr>
                <w:rFonts w:eastAsia="楷体_GB2312"/>
                <w:color w:val="000000"/>
                <w:szCs w:val="21"/>
              </w:rPr>
              <w:t>2.59%</w:t>
            </w:r>
          </w:p>
        </w:tc>
        <w:tc>
          <w:tcPr>
            <w:tcW w:w="0" w:type="auto"/>
            <w:tcBorders>
              <w:top w:val="nil"/>
              <w:left w:val="single" w:color="auto" w:sz="4" w:space="0"/>
              <w:bottom w:val="single" w:color="auto" w:sz="4" w:space="0"/>
              <w:right w:val="single" w:color="auto" w:sz="4" w:space="0"/>
            </w:tcBorders>
            <w:noWrap/>
            <w:vAlign w:val="center"/>
          </w:tcPr>
          <w:p w14:paraId="7128868B">
            <w:pPr>
              <w:widowControl w:val="0"/>
              <w:spacing w:line="240" w:lineRule="exact"/>
              <w:jc w:val="center"/>
              <w:rPr>
                <w:rFonts w:eastAsia="楷体_GB2312"/>
                <w:b/>
                <w:color w:val="000000"/>
                <w:szCs w:val="21"/>
              </w:rPr>
            </w:pPr>
            <w:r>
              <w:rPr>
                <w:rFonts w:eastAsia="楷体_GB2312"/>
                <w:b/>
                <w:color w:val="000000"/>
                <w:szCs w:val="21"/>
              </w:rPr>
              <w:t>450</w:t>
            </w:r>
          </w:p>
        </w:tc>
        <w:tc>
          <w:tcPr>
            <w:tcW w:w="0" w:type="auto"/>
            <w:tcBorders>
              <w:top w:val="nil"/>
              <w:left w:val="nil"/>
              <w:bottom w:val="single" w:color="auto" w:sz="8" w:space="0"/>
              <w:right w:val="single" w:color="auto" w:sz="8" w:space="0"/>
            </w:tcBorders>
            <w:noWrap/>
            <w:vAlign w:val="center"/>
          </w:tcPr>
          <w:p w14:paraId="5E8AA2D5">
            <w:pPr>
              <w:widowControl w:val="0"/>
              <w:spacing w:line="240" w:lineRule="exact"/>
              <w:jc w:val="center"/>
              <w:rPr>
                <w:rFonts w:eastAsia="楷体_GB2312"/>
                <w:color w:val="000000"/>
                <w:szCs w:val="21"/>
              </w:rPr>
            </w:pPr>
            <w:r>
              <w:rPr>
                <w:rFonts w:eastAsia="楷体_GB2312"/>
                <w:color w:val="000000"/>
                <w:szCs w:val="21"/>
              </w:rPr>
              <w:t>420</w:t>
            </w:r>
          </w:p>
        </w:tc>
        <w:tc>
          <w:tcPr>
            <w:tcW w:w="0" w:type="auto"/>
            <w:tcBorders>
              <w:top w:val="nil"/>
              <w:left w:val="nil"/>
              <w:bottom w:val="single" w:color="auto" w:sz="8" w:space="0"/>
              <w:right w:val="single" w:color="auto" w:sz="8" w:space="0"/>
            </w:tcBorders>
            <w:noWrap w:val="0"/>
            <w:vAlign w:val="center"/>
          </w:tcPr>
          <w:p w14:paraId="2F74C17A">
            <w:pPr>
              <w:widowControl w:val="0"/>
              <w:spacing w:line="240" w:lineRule="exact"/>
              <w:jc w:val="center"/>
              <w:rPr>
                <w:rFonts w:eastAsia="楷体_GB2312"/>
                <w:color w:val="000000"/>
                <w:szCs w:val="21"/>
              </w:rPr>
            </w:pPr>
            <w:r>
              <w:rPr>
                <w:rFonts w:eastAsia="楷体_GB2312"/>
                <w:color w:val="000000"/>
                <w:szCs w:val="21"/>
              </w:rPr>
              <w:t>7.14%</w:t>
            </w:r>
          </w:p>
        </w:tc>
        <w:tc>
          <w:tcPr>
            <w:tcW w:w="0" w:type="auto"/>
            <w:tcBorders>
              <w:top w:val="nil"/>
              <w:left w:val="single" w:color="auto" w:sz="4" w:space="0"/>
              <w:bottom w:val="single" w:color="auto" w:sz="4" w:space="0"/>
              <w:right w:val="single" w:color="auto" w:sz="4" w:space="0"/>
            </w:tcBorders>
            <w:noWrap/>
            <w:vAlign w:val="center"/>
          </w:tcPr>
          <w:p w14:paraId="428D720F">
            <w:pPr>
              <w:widowControl w:val="0"/>
              <w:spacing w:line="240" w:lineRule="exact"/>
              <w:jc w:val="center"/>
              <w:rPr>
                <w:rFonts w:eastAsia="楷体_GB2312"/>
                <w:b/>
                <w:color w:val="000000"/>
                <w:szCs w:val="21"/>
              </w:rPr>
            </w:pPr>
            <w:r>
              <w:rPr>
                <w:rFonts w:eastAsia="楷体_GB2312"/>
                <w:b/>
                <w:color w:val="000000"/>
                <w:szCs w:val="21"/>
              </w:rPr>
              <w:t>200</w:t>
            </w:r>
          </w:p>
        </w:tc>
        <w:tc>
          <w:tcPr>
            <w:tcW w:w="0" w:type="auto"/>
            <w:tcBorders>
              <w:top w:val="nil"/>
              <w:left w:val="nil"/>
              <w:bottom w:val="single" w:color="auto" w:sz="8" w:space="0"/>
              <w:right w:val="single" w:color="auto" w:sz="8" w:space="0"/>
            </w:tcBorders>
            <w:noWrap/>
            <w:vAlign w:val="center"/>
          </w:tcPr>
          <w:p w14:paraId="5A4BDA88">
            <w:pPr>
              <w:widowControl w:val="0"/>
              <w:spacing w:line="240" w:lineRule="exact"/>
              <w:jc w:val="center"/>
              <w:rPr>
                <w:rFonts w:eastAsia="楷体_GB2312"/>
                <w:color w:val="000000"/>
                <w:szCs w:val="21"/>
              </w:rPr>
            </w:pPr>
            <w:r>
              <w:rPr>
                <w:rFonts w:eastAsia="楷体_GB2312"/>
                <w:color w:val="000000"/>
                <w:szCs w:val="21"/>
              </w:rPr>
              <w:t>195</w:t>
            </w:r>
          </w:p>
        </w:tc>
        <w:tc>
          <w:tcPr>
            <w:tcW w:w="0" w:type="auto"/>
            <w:tcBorders>
              <w:top w:val="nil"/>
              <w:left w:val="nil"/>
              <w:bottom w:val="single" w:color="auto" w:sz="8" w:space="0"/>
              <w:right w:val="single" w:color="auto" w:sz="8" w:space="0"/>
            </w:tcBorders>
            <w:noWrap w:val="0"/>
            <w:vAlign w:val="center"/>
          </w:tcPr>
          <w:p w14:paraId="508C9E2F">
            <w:pPr>
              <w:widowControl w:val="0"/>
              <w:spacing w:line="240" w:lineRule="exact"/>
              <w:jc w:val="center"/>
              <w:rPr>
                <w:rFonts w:eastAsia="楷体_GB2312"/>
                <w:color w:val="000000"/>
                <w:szCs w:val="21"/>
              </w:rPr>
            </w:pPr>
            <w:r>
              <w:rPr>
                <w:rFonts w:eastAsia="楷体_GB2312"/>
                <w:color w:val="000000"/>
                <w:szCs w:val="21"/>
              </w:rPr>
              <w:t>2.56%</w:t>
            </w:r>
          </w:p>
        </w:tc>
      </w:tr>
      <w:tr w14:paraId="3DC6562B">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3EEA0E89">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293E5E32">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73B72C6F">
            <w:pPr>
              <w:widowControl w:val="0"/>
              <w:spacing w:line="240" w:lineRule="exact"/>
              <w:jc w:val="center"/>
              <w:rPr>
                <w:rFonts w:eastAsia="楷体_GB2312"/>
                <w:szCs w:val="21"/>
              </w:rPr>
            </w:pPr>
            <w:r>
              <w:rPr>
                <w:rFonts w:eastAsia="楷体_GB2312"/>
                <w:szCs w:val="21"/>
              </w:rPr>
              <w:t>2</w:t>
            </w:r>
          </w:p>
        </w:tc>
        <w:tc>
          <w:tcPr>
            <w:tcW w:w="0" w:type="auto"/>
            <w:tcBorders>
              <w:top w:val="nil"/>
              <w:left w:val="single" w:color="auto" w:sz="4" w:space="0"/>
              <w:bottom w:val="single" w:color="auto" w:sz="4" w:space="0"/>
              <w:right w:val="single" w:color="auto" w:sz="4" w:space="0"/>
            </w:tcBorders>
            <w:noWrap/>
            <w:vAlign w:val="center"/>
          </w:tcPr>
          <w:p w14:paraId="54103277">
            <w:pPr>
              <w:widowControl w:val="0"/>
              <w:spacing w:line="240" w:lineRule="exact"/>
              <w:jc w:val="center"/>
              <w:rPr>
                <w:rFonts w:eastAsia="楷体_GB2312"/>
                <w:b/>
                <w:color w:val="000000"/>
                <w:szCs w:val="21"/>
              </w:rPr>
            </w:pPr>
            <w:r>
              <w:rPr>
                <w:rFonts w:eastAsia="楷体_GB2312"/>
                <w:b/>
                <w:color w:val="000000"/>
                <w:szCs w:val="21"/>
              </w:rPr>
              <w:t>460</w:t>
            </w:r>
          </w:p>
        </w:tc>
        <w:tc>
          <w:tcPr>
            <w:tcW w:w="0" w:type="auto"/>
            <w:tcBorders>
              <w:top w:val="nil"/>
              <w:left w:val="nil"/>
              <w:bottom w:val="single" w:color="auto" w:sz="8" w:space="0"/>
              <w:right w:val="single" w:color="auto" w:sz="8" w:space="0"/>
            </w:tcBorders>
            <w:noWrap/>
            <w:vAlign w:val="center"/>
          </w:tcPr>
          <w:p w14:paraId="7DFAB7C6">
            <w:pPr>
              <w:widowControl w:val="0"/>
              <w:spacing w:line="240" w:lineRule="exact"/>
              <w:jc w:val="center"/>
              <w:rPr>
                <w:rFonts w:eastAsia="楷体_GB2312"/>
                <w:color w:val="000000"/>
                <w:szCs w:val="21"/>
              </w:rPr>
            </w:pPr>
            <w:r>
              <w:rPr>
                <w:rFonts w:eastAsia="楷体_GB2312"/>
                <w:color w:val="000000"/>
                <w:szCs w:val="21"/>
              </w:rPr>
              <w:t>431</w:t>
            </w:r>
          </w:p>
        </w:tc>
        <w:tc>
          <w:tcPr>
            <w:tcW w:w="0" w:type="auto"/>
            <w:tcBorders>
              <w:top w:val="nil"/>
              <w:left w:val="nil"/>
              <w:bottom w:val="single" w:color="auto" w:sz="8" w:space="0"/>
              <w:right w:val="single" w:color="auto" w:sz="8" w:space="0"/>
            </w:tcBorders>
            <w:noWrap w:val="0"/>
            <w:vAlign w:val="center"/>
          </w:tcPr>
          <w:p w14:paraId="6D34E10F">
            <w:pPr>
              <w:widowControl w:val="0"/>
              <w:spacing w:line="240" w:lineRule="exact"/>
              <w:jc w:val="center"/>
              <w:rPr>
                <w:rFonts w:eastAsia="楷体_GB2312"/>
                <w:color w:val="000000"/>
                <w:szCs w:val="21"/>
              </w:rPr>
            </w:pPr>
            <w:r>
              <w:rPr>
                <w:rFonts w:eastAsia="楷体_GB2312"/>
                <w:color w:val="000000"/>
                <w:szCs w:val="21"/>
              </w:rPr>
              <w:t>6.73%</w:t>
            </w:r>
          </w:p>
        </w:tc>
        <w:tc>
          <w:tcPr>
            <w:tcW w:w="0" w:type="auto"/>
            <w:tcBorders>
              <w:top w:val="nil"/>
              <w:left w:val="single" w:color="auto" w:sz="4" w:space="0"/>
              <w:bottom w:val="single" w:color="auto" w:sz="4" w:space="0"/>
              <w:right w:val="single" w:color="auto" w:sz="4" w:space="0"/>
            </w:tcBorders>
            <w:noWrap/>
            <w:vAlign w:val="center"/>
          </w:tcPr>
          <w:p w14:paraId="55532231">
            <w:pPr>
              <w:widowControl w:val="0"/>
              <w:spacing w:line="240" w:lineRule="exact"/>
              <w:jc w:val="center"/>
              <w:rPr>
                <w:rFonts w:eastAsia="楷体_GB2312"/>
                <w:b/>
                <w:color w:val="000000"/>
                <w:szCs w:val="21"/>
              </w:rPr>
            </w:pPr>
            <w:r>
              <w:rPr>
                <w:rFonts w:eastAsia="楷体_GB2312"/>
                <w:b/>
                <w:color w:val="000000"/>
                <w:szCs w:val="21"/>
              </w:rPr>
              <w:t>325</w:t>
            </w:r>
          </w:p>
        </w:tc>
        <w:tc>
          <w:tcPr>
            <w:tcW w:w="0" w:type="auto"/>
            <w:tcBorders>
              <w:top w:val="nil"/>
              <w:left w:val="nil"/>
              <w:bottom w:val="single" w:color="auto" w:sz="8" w:space="0"/>
              <w:right w:val="single" w:color="auto" w:sz="8" w:space="0"/>
            </w:tcBorders>
            <w:noWrap/>
            <w:vAlign w:val="center"/>
          </w:tcPr>
          <w:p w14:paraId="1E50C4DB">
            <w:pPr>
              <w:widowControl w:val="0"/>
              <w:spacing w:line="240" w:lineRule="exact"/>
              <w:jc w:val="center"/>
              <w:rPr>
                <w:rFonts w:eastAsia="楷体_GB2312"/>
                <w:color w:val="000000"/>
                <w:szCs w:val="21"/>
              </w:rPr>
            </w:pPr>
            <w:r>
              <w:rPr>
                <w:rFonts w:eastAsia="楷体_GB2312"/>
                <w:color w:val="000000"/>
                <w:szCs w:val="21"/>
              </w:rPr>
              <w:t>307</w:t>
            </w:r>
          </w:p>
        </w:tc>
        <w:tc>
          <w:tcPr>
            <w:tcW w:w="0" w:type="auto"/>
            <w:tcBorders>
              <w:top w:val="nil"/>
              <w:left w:val="nil"/>
              <w:bottom w:val="single" w:color="auto" w:sz="8" w:space="0"/>
              <w:right w:val="single" w:color="auto" w:sz="8" w:space="0"/>
            </w:tcBorders>
            <w:noWrap w:val="0"/>
            <w:vAlign w:val="center"/>
          </w:tcPr>
          <w:p w14:paraId="182100C1">
            <w:pPr>
              <w:widowControl w:val="0"/>
              <w:spacing w:line="240" w:lineRule="exact"/>
              <w:jc w:val="center"/>
              <w:rPr>
                <w:rFonts w:eastAsia="楷体_GB2312"/>
                <w:color w:val="000000"/>
                <w:szCs w:val="21"/>
              </w:rPr>
            </w:pPr>
            <w:r>
              <w:rPr>
                <w:rFonts w:eastAsia="楷体_GB2312"/>
                <w:color w:val="000000"/>
                <w:szCs w:val="21"/>
              </w:rPr>
              <w:t>5.86%</w:t>
            </w:r>
          </w:p>
        </w:tc>
        <w:tc>
          <w:tcPr>
            <w:tcW w:w="0" w:type="auto"/>
            <w:tcBorders>
              <w:top w:val="nil"/>
              <w:left w:val="single" w:color="auto" w:sz="4" w:space="0"/>
              <w:bottom w:val="single" w:color="auto" w:sz="4" w:space="0"/>
              <w:right w:val="single" w:color="auto" w:sz="4" w:space="0"/>
            </w:tcBorders>
            <w:noWrap/>
            <w:vAlign w:val="center"/>
          </w:tcPr>
          <w:p w14:paraId="18E9BE96">
            <w:pPr>
              <w:widowControl w:val="0"/>
              <w:spacing w:line="240" w:lineRule="exact"/>
              <w:jc w:val="center"/>
              <w:rPr>
                <w:rFonts w:eastAsia="楷体_GB2312"/>
                <w:b/>
                <w:color w:val="000000"/>
                <w:szCs w:val="21"/>
              </w:rPr>
            </w:pPr>
            <w:r>
              <w:rPr>
                <w:rFonts w:eastAsia="楷体_GB2312"/>
                <w:b/>
                <w:color w:val="000000"/>
                <w:szCs w:val="21"/>
              </w:rPr>
              <w:t>170</w:t>
            </w:r>
          </w:p>
        </w:tc>
        <w:tc>
          <w:tcPr>
            <w:tcW w:w="0" w:type="auto"/>
            <w:tcBorders>
              <w:top w:val="nil"/>
              <w:left w:val="nil"/>
              <w:bottom w:val="single" w:color="auto" w:sz="8" w:space="0"/>
              <w:right w:val="single" w:color="auto" w:sz="8" w:space="0"/>
            </w:tcBorders>
            <w:noWrap/>
            <w:vAlign w:val="center"/>
          </w:tcPr>
          <w:p w14:paraId="4AF91AFE">
            <w:pPr>
              <w:widowControl w:val="0"/>
              <w:spacing w:line="240" w:lineRule="exact"/>
              <w:jc w:val="center"/>
              <w:rPr>
                <w:rFonts w:eastAsia="楷体_GB2312"/>
                <w:color w:val="000000"/>
                <w:szCs w:val="21"/>
              </w:rPr>
            </w:pPr>
            <w:r>
              <w:rPr>
                <w:rFonts w:eastAsia="楷体_GB2312"/>
                <w:color w:val="000000"/>
                <w:szCs w:val="21"/>
              </w:rPr>
              <w:t>165</w:t>
            </w:r>
          </w:p>
        </w:tc>
        <w:tc>
          <w:tcPr>
            <w:tcW w:w="0" w:type="auto"/>
            <w:tcBorders>
              <w:top w:val="nil"/>
              <w:left w:val="nil"/>
              <w:bottom w:val="single" w:color="auto" w:sz="8" w:space="0"/>
              <w:right w:val="single" w:color="auto" w:sz="8" w:space="0"/>
            </w:tcBorders>
            <w:noWrap w:val="0"/>
            <w:vAlign w:val="center"/>
          </w:tcPr>
          <w:p w14:paraId="03A74962">
            <w:pPr>
              <w:widowControl w:val="0"/>
              <w:spacing w:line="240" w:lineRule="exact"/>
              <w:jc w:val="center"/>
              <w:rPr>
                <w:rFonts w:eastAsia="楷体_GB2312"/>
                <w:color w:val="000000"/>
                <w:szCs w:val="21"/>
              </w:rPr>
            </w:pPr>
            <w:r>
              <w:rPr>
                <w:rFonts w:eastAsia="楷体_GB2312"/>
                <w:color w:val="000000"/>
                <w:szCs w:val="21"/>
              </w:rPr>
              <w:t>3.03%</w:t>
            </w:r>
          </w:p>
        </w:tc>
      </w:tr>
      <w:tr w14:paraId="664F74C8">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328FC78C">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027B9714">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72888B39">
            <w:pPr>
              <w:widowControl w:val="0"/>
              <w:spacing w:line="240" w:lineRule="exact"/>
              <w:jc w:val="center"/>
              <w:rPr>
                <w:rFonts w:eastAsia="楷体_GB2312"/>
                <w:szCs w:val="21"/>
              </w:rPr>
            </w:pPr>
            <w:r>
              <w:rPr>
                <w:rFonts w:eastAsia="楷体_GB2312"/>
                <w:szCs w:val="21"/>
              </w:rPr>
              <w:t>3</w:t>
            </w:r>
          </w:p>
        </w:tc>
        <w:tc>
          <w:tcPr>
            <w:tcW w:w="0" w:type="auto"/>
            <w:tcBorders>
              <w:top w:val="nil"/>
              <w:left w:val="single" w:color="auto" w:sz="4" w:space="0"/>
              <w:bottom w:val="single" w:color="auto" w:sz="4" w:space="0"/>
              <w:right w:val="single" w:color="auto" w:sz="4" w:space="0"/>
            </w:tcBorders>
            <w:noWrap/>
            <w:vAlign w:val="center"/>
          </w:tcPr>
          <w:p w14:paraId="1E579E16">
            <w:pPr>
              <w:widowControl w:val="0"/>
              <w:spacing w:line="240" w:lineRule="exact"/>
              <w:jc w:val="center"/>
              <w:rPr>
                <w:rFonts w:eastAsia="楷体_GB2312"/>
                <w:b/>
                <w:color w:val="000000"/>
                <w:szCs w:val="21"/>
              </w:rPr>
            </w:pPr>
            <w:r>
              <w:rPr>
                <w:rFonts w:eastAsia="楷体_GB2312"/>
                <w:b/>
                <w:color w:val="000000"/>
                <w:szCs w:val="21"/>
              </w:rPr>
              <w:t>360</w:t>
            </w:r>
          </w:p>
        </w:tc>
        <w:tc>
          <w:tcPr>
            <w:tcW w:w="0" w:type="auto"/>
            <w:tcBorders>
              <w:top w:val="nil"/>
              <w:left w:val="nil"/>
              <w:bottom w:val="single" w:color="auto" w:sz="8" w:space="0"/>
              <w:right w:val="single" w:color="auto" w:sz="8" w:space="0"/>
            </w:tcBorders>
            <w:noWrap/>
            <w:vAlign w:val="center"/>
          </w:tcPr>
          <w:p w14:paraId="632DDAED">
            <w:pPr>
              <w:widowControl w:val="0"/>
              <w:spacing w:line="240" w:lineRule="exact"/>
              <w:jc w:val="center"/>
              <w:rPr>
                <w:rFonts w:eastAsia="楷体_GB2312"/>
                <w:color w:val="000000"/>
                <w:szCs w:val="21"/>
              </w:rPr>
            </w:pPr>
            <w:r>
              <w:rPr>
                <w:rFonts w:eastAsia="楷体_GB2312"/>
                <w:color w:val="000000"/>
                <w:szCs w:val="21"/>
              </w:rPr>
              <w:t>340</w:t>
            </w:r>
          </w:p>
        </w:tc>
        <w:tc>
          <w:tcPr>
            <w:tcW w:w="0" w:type="auto"/>
            <w:tcBorders>
              <w:top w:val="nil"/>
              <w:left w:val="nil"/>
              <w:bottom w:val="single" w:color="auto" w:sz="8" w:space="0"/>
              <w:right w:val="single" w:color="auto" w:sz="8" w:space="0"/>
            </w:tcBorders>
            <w:noWrap w:val="0"/>
            <w:vAlign w:val="center"/>
          </w:tcPr>
          <w:p w14:paraId="2A0C5E8D">
            <w:pPr>
              <w:widowControl w:val="0"/>
              <w:spacing w:line="240" w:lineRule="exact"/>
              <w:jc w:val="center"/>
              <w:rPr>
                <w:rFonts w:eastAsia="楷体_GB2312"/>
                <w:color w:val="000000"/>
                <w:szCs w:val="21"/>
              </w:rPr>
            </w:pPr>
            <w:r>
              <w:rPr>
                <w:rFonts w:eastAsia="楷体_GB2312"/>
                <w:color w:val="000000"/>
                <w:szCs w:val="21"/>
              </w:rPr>
              <w:t>5.88%</w:t>
            </w:r>
          </w:p>
        </w:tc>
        <w:tc>
          <w:tcPr>
            <w:tcW w:w="0" w:type="auto"/>
            <w:tcBorders>
              <w:top w:val="nil"/>
              <w:left w:val="single" w:color="auto" w:sz="4" w:space="0"/>
              <w:bottom w:val="single" w:color="auto" w:sz="4" w:space="0"/>
              <w:right w:val="single" w:color="auto" w:sz="4" w:space="0"/>
            </w:tcBorders>
            <w:noWrap/>
            <w:vAlign w:val="center"/>
          </w:tcPr>
          <w:p w14:paraId="0C0E1E50">
            <w:pPr>
              <w:widowControl w:val="0"/>
              <w:spacing w:line="240" w:lineRule="exact"/>
              <w:jc w:val="center"/>
              <w:rPr>
                <w:rFonts w:eastAsia="楷体_GB2312"/>
                <w:b/>
                <w:color w:val="000000"/>
                <w:szCs w:val="21"/>
              </w:rPr>
            </w:pPr>
            <w:r>
              <w:rPr>
                <w:rFonts w:eastAsia="楷体_GB2312"/>
                <w:b/>
                <w:color w:val="000000"/>
                <w:szCs w:val="21"/>
              </w:rPr>
              <w:t>235</w:t>
            </w:r>
          </w:p>
        </w:tc>
        <w:tc>
          <w:tcPr>
            <w:tcW w:w="0" w:type="auto"/>
            <w:tcBorders>
              <w:top w:val="nil"/>
              <w:left w:val="nil"/>
              <w:bottom w:val="single" w:color="auto" w:sz="8" w:space="0"/>
              <w:right w:val="single" w:color="auto" w:sz="8" w:space="0"/>
            </w:tcBorders>
            <w:noWrap/>
            <w:vAlign w:val="center"/>
          </w:tcPr>
          <w:p w14:paraId="5DD2FE11">
            <w:pPr>
              <w:widowControl w:val="0"/>
              <w:spacing w:line="240" w:lineRule="exact"/>
              <w:jc w:val="center"/>
              <w:rPr>
                <w:rFonts w:eastAsia="楷体_GB2312"/>
                <w:color w:val="000000"/>
                <w:szCs w:val="21"/>
              </w:rPr>
            </w:pPr>
            <w:r>
              <w:rPr>
                <w:rFonts w:eastAsia="楷体_GB2312"/>
                <w:color w:val="000000"/>
                <w:szCs w:val="21"/>
              </w:rPr>
              <w:t>220</w:t>
            </w:r>
          </w:p>
        </w:tc>
        <w:tc>
          <w:tcPr>
            <w:tcW w:w="0" w:type="auto"/>
            <w:tcBorders>
              <w:top w:val="nil"/>
              <w:left w:val="nil"/>
              <w:bottom w:val="single" w:color="auto" w:sz="8" w:space="0"/>
              <w:right w:val="single" w:color="auto" w:sz="8" w:space="0"/>
            </w:tcBorders>
            <w:noWrap w:val="0"/>
            <w:vAlign w:val="center"/>
          </w:tcPr>
          <w:p w14:paraId="217B13DD">
            <w:pPr>
              <w:widowControl w:val="0"/>
              <w:spacing w:line="240" w:lineRule="exact"/>
              <w:jc w:val="center"/>
              <w:rPr>
                <w:rFonts w:eastAsia="楷体_GB2312"/>
                <w:color w:val="000000"/>
                <w:szCs w:val="21"/>
              </w:rPr>
            </w:pPr>
            <w:r>
              <w:rPr>
                <w:rFonts w:eastAsia="楷体_GB2312"/>
                <w:color w:val="000000"/>
                <w:szCs w:val="21"/>
              </w:rPr>
              <w:t>6.82%</w:t>
            </w:r>
          </w:p>
        </w:tc>
        <w:tc>
          <w:tcPr>
            <w:tcW w:w="0" w:type="auto"/>
            <w:tcBorders>
              <w:top w:val="nil"/>
              <w:left w:val="single" w:color="auto" w:sz="4" w:space="0"/>
              <w:bottom w:val="single" w:color="auto" w:sz="4" w:space="0"/>
              <w:right w:val="single" w:color="auto" w:sz="4" w:space="0"/>
            </w:tcBorders>
            <w:noWrap/>
            <w:vAlign w:val="center"/>
          </w:tcPr>
          <w:p w14:paraId="18B5066F">
            <w:pPr>
              <w:widowControl w:val="0"/>
              <w:spacing w:line="240" w:lineRule="exact"/>
              <w:jc w:val="center"/>
              <w:rPr>
                <w:rFonts w:eastAsia="楷体_GB2312"/>
                <w:b/>
                <w:color w:val="000000"/>
                <w:szCs w:val="21"/>
              </w:rPr>
            </w:pPr>
            <w:r>
              <w:rPr>
                <w:rFonts w:eastAsia="楷体_GB2312"/>
                <w:b/>
                <w:color w:val="000000"/>
                <w:szCs w:val="21"/>
              </w:rPr>
              <w:t>144</w:t>
            </w:r>
          </w:p>
        </w:tc>
        <w:tc>
          <w:tcPr>
            <w:tcW w:w="0" w:type="auto"/>
            <w:tcBorders>
              <w:top w:val="nil"/>
              <w:left w:val="nil"/>
              <w:bottom w:val="single" w:color="auto" w:sz="8" w:space="0"/>
              <w:right w:val="single" w:color="auto" w:sz="8" w:space="0"/>
            </w:tcBorders>
            <w:noWrap/>
            <w:vAlign w:val="center"/>
          </w:tcPr>
          <w:p w14:paraId="733830F9">
            <w:pPr>
              <w:widowControl w:val="0"/>
              <w:spacing w:line="240" w:lineRule="exact"/>
              <w:jc w:val="center"/>
              <w:rPr>
                <w:rFonts w:eastAsia="楷体_GB2312"/>
                <w:color w:val="000000"/>
                <w:szCs w:val="21"/>
              </w:rPr>
            </w:pPr>
            <w:r>
              <w:rPr>
                <w:rFonts w:eastAsia="楷体_GB2312"/>
                <w:color w:val="000000"/>
                <w:szCs w:val="21"/>
              </w:rPr>
              <w:t>144</w:t>
            </w:r>
          </w:p>
        </w:tc>
        <w:tc>
          <w:tcPr>
            <w:tcW w:w="0" w:type="auto"/>
            <w:tcBorders>
              <w:top w:val="nil"/>
              <w:left w:val="nil"/>
              <w:bottom w:val="single" w:color="auto" w:sz="8" w:space="0"/>
              <w:right w:val="single" w:color="auto" w:sz="8" w:space="0"/>
            </w:tcBorders>
            <w:noWrap w:val="0"/>
            <w:vAlign w:val="center"/>
          </w:tcPr>
          <w:p w14:paraId="3C18E98A">
            <w:pPr>
              <w:widowControl w:val="0"/>
              <w:spacing w:line="240" w:lineRule="exact"/>
              <w:jc w:val="center"/>
              <w:rPr>
                <w:rFonts w:eastAsia="楷体_GB2312"/>
                <w:color w:val="000000"/>
                <w:szCs w:val="21"/>
              </w:rPr>
            </w:pPr>
            <w:r>
              <w:rPr>
                <w:rFonts w:eastAsia="楷体_GB2312"/>
                <w:color w:val="000000"/>
                <w:szCs w:val="21"/>
              </w:rPr>
              <w:t>0.00%</w:t>
            </w:r>
          </w:p>
        </w:tc>
      </w:tr>
      <w:tr w14:paraId="64F1557F">
        <w:tblPrEx>
          <w:tblCellMar>
            <w:top w:w="0" w:type="dxa"/>
            <w:left w:w="108" w:type="dxa"/>
            <w:bottom w:w="0" w:type="dxa"/>
            <w:right w:w="108" w:type="dxa"/>
          </w:tblCellMar>
        </w:tblPrEx>
        <w:trPr>
          <w:trHeight w:val="20" w:hRule="atLeast"/>
          <w:jc w:val="center"/>
        </w:trPr>
        <w:tc>
          <w:tcPr>
            <w:tcW w:w="0" w:type="auto"/>
            <w:vMerge w:val="restart"/>
            <w:tcBorders>
              <w:top w:val="nil"/>
              <w:left w:val="single" w:color="auto" w:sz="8" w:space="0"/>
              <w:bottom w:val="single" w:color="000000" w:sz="8" w:space="0"/>
              <w:right w:val="single" w:color="auto" w:sz="8" w:space="0"/>
            </w:tcBorders>
            <w:noWrap w:val="0"/>
            <w:vAlign w:val="center"/>
          </w:tcPr>
          <w:p w14:paraId="3DEBDF2A">
            <w:pPr>
              <w:widowControl w:val="0"/>
              <w:spacing w:line="240" w:lineRule="exact"/>
              <w:jc w:val="center"/>
              <w:rPr>
                <w:rFonts w:eastAsia="楷体_GB2312"/>
                <w:szCs w:val="21"/>
              </w:rPr>
            </w:pPr>
            <w:r>
              <w:rPr>
                <w:rFonts w:hint="eastAsia" w:eastAsia="楷体_GB2312"/>
                <w:szCs w:val="21"/>
              </w:rPr>
              <w:t>3</w:t>
            </w:r>
          </w:p>
        </w:tc>
        <w:tc>
          <w:tcPr>
            <w:tcW w:w="0" w:type="auto"/>
            <w:vMerge w:val="restart"/>
            <w:tcBorders>
              <w:top w:val="nil"/>
              <w:left w:val="single" w:color="auto" w:sz="8" w:space="0"/>
              <w:bottom w:val="single" w:color="000000" w:sz="8" w:space="0"/>
              <w:right w:val="single" w:color="auto" w:sz="8" w:space="0"/>
            </w:tcBorders>
            <w:noWrap w:val="0"/>
            <w:vAlign w:val="center"/>
          </w:tcPr>
          <w:p w14:paraId="19A5FE94">
            <w:pPr>
              <w:widowControl w:val="0"/>
              <w:spacing w:line="240" w:lineRule="exact"/>
              <w:jc w:val="center"/>
              <w:rPr>
                <w:rFonts w:eastAsia="楷体_GB2312"/>
                <w:color w:val="000000"/>
                <w:szCs w:val="21"/>
              </w:rPr>
            </w:pPr>
            <w:r>
              <w:rPr>
                <w:rFonts w:eastAsia="楷体_GB2312"/>
                <w:color w:val="000000"/>
                <w:szCs w:val="21"/>
              </w:rPr>
              <w:t>蕲县镇</w:t>
            </w:r>
          </w:p>
        </w:tc>
        <w:tc>
          <w:tcPr>
            <w:tcW w:w="0" w:type="auto"/>
            <w:tcBorders>
              <w:top w:val="nil"/>
              <w:left w:val="nil"/>
              <w:bottom w:val="single" w:color="auto" w:sz="8" w:space="0"/>
              <w:right w:val="single" w:color="auto" w:sz="8" w:space="0"/>
            </w:tcBorders>
            <w:noWrap w:val="0"/>
            <w:vAlign w:val="center"/>
          </w:tcPr>
          <w:p w14:paraId="05365F86">
            <w:pPr>
              <w:widowControl w:val="0"/>
              <w:spacing w:line="240" w:lineRule="exact"/>
              <w:jc w:val="center"/>
              <w:rPr>
                <w:rFonts w:eastAsia="楷体_GB2312"/>
                <w:szCs w:val="21"/>
              </w:rPr>
            </w:pPr>
            <w:r>
              <w:rPr>
                <w:rFonts w:eastAsia="楷体_GB2312"/>
                <w:szCs w:val="21"/>
              </w:rPr>
              <w:t>1</w:t>
            </w:r>
          </w:p>
        </w:tc>
        <w:tc>
          <w:tcPr>
            <w:tcW w:w="0" w:type="auto"/>
            <w:tcBorders>
              <w:top w:val="nil"/>
              <w:left w:val="single" w:color="auto" w:sz="4" w:space="0"/>
              <w:bottom w:val="single" w:color="auto" w:sz="4" w:space="0"/>
              <w:right w:val="single" w:color="auto" w:sz="4" w:space="0"/>
            </w:tcBorders>
            <w:noWrap/>
            <w:vAlign w:val="center"/>
          </w:tcPr>
          <w:p w14:paraId="31BBFCB7">
            <w:pPr>
              <w:widowControl w:val="0"/>
              <w:spacing w:line="240" w:lineRule="exact"/>
              <w:jc w:val="center"/>
              <w:rPr>
                <w:rFonts w:eastAsia="楷体_GB2312"/>
                <w:b/>
                <w:color w:val="000000"/>
                <w:szCs w:val="21"/>
              </w:rPr>
            </w:pPr>
            <w:r>
              <w:rPr>
                <w:rFonts w:eastAsia="楷体_GB2312"/>
                <w:b/>
                <w:color w:val="000000"/>
                <w:szCs w:val="21"/>
              </w:rPr>
              <w:t>580</w:t>
            </w:r>
          </w:p>
        </w:tc>
        <w:tc>
          <w:tcPr>
            <w:tcW w:w="0" w:type="auto"/>
            <w:tcBorders>
              <w:top w:val="nil"/>
              <w:left w:val="nil"/>
              <w:bottom w:val="single" w:color="auto" w:sz="8" w:space="0"/>
              <w:right w:val="single" w:color="auto" w:sz="8" w:space="0"/>
            </w:tcBorders>
            <w:noWrap/>
            <w:vAlign w:val="center"/>
          </w:tcPr>
          <w:p w14:paraId="3621E395">
            <w:pPr>
              <w:widowControl w:val="0"/>
              <w:spacing w:line="240" w:lineRule="exact"/>
              <w:jc w:val="center"/>
              <w:rPr>
                <w:rFonts w:eastAsia="楷体_GB2312"/>
                <w:color w:val="000000"/>
                <w:szCs w:val="21"/>
              </w:rPr>
            </w:pPr>
            <w:r>
              <w:rPr>
                <w:rFonts w:eastAsia="楷体_GB2312"/>
                <w:color w:val="000000"/>
                <w:szCs w:val="21"/>
              </w:rPr>
              <w:t>566</w:t>
            </w:r>
          </w:p>
        </w:tc>
        <w:tc>
          <w:tcPr>
            <w:tcW w:w="0" w:type="auto"/>
            <w:tcBorders>
              <w:top w:val="nil"/>
              <w:left w:val="nil"/>
              <w:bottom w:val="single" w:color="auto" w:sz="8" w:space="0"/>
              <w:right w:val="single" w:color="auto" w:sz="8" w:space="0"/>
            </w:tcBorders>
            <w:noWrap w:val="0"/>
            <w:vAlign w:val="center"/>
          </w:tcPr>
          <w:p w14:paraId="24721E61">
            <w:pPr>
              <w:widowControl w:val="0"/>
              <w:spacing w:line="240" w:lineRule="exact"/>
              <w:jc w:val="center"/>
              <w:rPr>
                <w:rFonts w:eastAsia="楷体_GB2312"/>
                <w:color w:val="000000"/>
                <w:szCs w:val="21"/>
              </w:rPr>
            </w:pPr>
            <w:r>
              <w:rPr>
                <w:rFonts w:eastAsia="楷体_GB2312"/>
                <w:color w:val="000000"/>
                <w:szCs w:val="21"/>
              </w:rPr>
              <w:t>2.47%</w:t>
            </w:r>
          </w:p>
        </w:tc>
        <w:tc>
          <w:tcPr>
            <w:tcW w:w="0" w:type="auto"/>
            <w:tcBorders>
              <w:top w:val="nil"/>
              <w:left w:val="single" w:color="auto" w:sz="4" w:space="0"/>
              <w:bottom w:val="single" w:color="auto" w:sz="4" w:space="0"/>
              <w:right w:val="single" w:color="auto" w:sz="4" w:space="0"/>
            </w:tcBorders>
            <w:noWrap/>
            <w:vAlign w:val="center"/>
          </w:tcPr>
          <w:p w14:paraId="45F45D27">
            <w:pPr>
              <w:widowControl w:val="0"/>
              <w:spacing w:line="240" w:lineRule="exact"/>
              <w:jc w:val="center"/>
              <w:rPr>
                <w:rFonts w:eastAsia="楷体_GB2312"/>
                <w:b/>
                <w:color w:val="000000"/>
                <w:szCs w:val="21"/>
              </w:rPr>
            </w:pPr>
            <w:r>
              <w:rPr>
                <w:rFonts w:eastAsia="楷体_GB2312"/>
                <w:b/>
                <w:color w:val="000000"/>
                <w:szCs w:val="21"/>
              </w:rPr>
              <w:t>430</w:t>
            </w:r>
          </w:p>
        </w:tc>
        <w:tc>
          <w:tcPr>
            <w:tcW w:w="0" w:type="auto"/>
            <w:tcBorders>
              <w:top w:val="nil"/>
              <w:left w:val="nil"/>
              <w:bottom w:val="single" w:color="auto" w:sz="8" w:space="0"/>
              <w:right w:val="single" w:color="auto" w:sz="8" w:space="0"/>
            </w:tcBorders>
            <w:noWrap/>
            <w:vAlign w:val="center"/>
          </w:tcPr>
          <w:p w14:paraId="34AF40B5">
            <w:pPr>
              <w:widowControl w:val="0"/>
              <w:spacing w:line="240" w:lineRule="exact"/>
              <w:jc w:val="center"/>
              <w:rPr>
                <w:rFonts w:eastAsia="楷体_GB2312"/>
                <w:color w:val="000000"/>
                <w:szCs w:val="21"/>
              </w:rPr>
            </w:pPr>
            <w:r>
              <w:rPr>
                <w:rFonts w:eastAsia="楷体_GB2312"/>
                <w:color w:val="000000"/>
                <w:szCs w:val="21"/>
              </w:rPr>
              <w:t>401</w:t>
            </w:r>
          </w:p>
        </w:tc>
        <w:tc>
          <w:tcPr>
            <w:tcW w:w="0" w:type="auto"/>
            <w:tcBorders>
              <w:top w:val="nil"/>
              <w:left w:val="nil"/>
              <w:bottom w:val="single" w:color="auto" w:sz="8" w:space="0"/>
              <w:right w:val="single" w:color="auto" w:sz="8" w:space="0"/>
            </w:tcBorders>
            <w:noWrap w:val="0"/>
            <w:vAlign w:val="center"/>
          </w:tcPr>
          <w:p w14:paraId="09920A9F">
            <w:pPr>
              <w:widowControl w:val="0"/>
              <w:spacing w:line="240" w:lineRule="exact"/>
              <w:jc w:val="center"/>
              <w:rPr>
                <w:rFonts w:eastAsia="楷体_GB2312"/>
                <w:color w:val="000000"/>
                <w:szCs w:val="21"/>
              </w:rPr>
            </w:pPr>
            <w:r>
              <w:rPr>
                <w:rFonts w:eastAsia="楷体_GB2312"/>
                <w:color w:val="000000"/>
                <w:szCs w:val="21"/>
              </w:rPr>
              <w:t>7.23%</w:t>
            </w:r>
          </w:p>
        </w:tc>
        <w:tc>
          <w:tcPr>
            <w:tcW w:w="0" w:type="auto"/>
            <w:tcBorders>
              <w:top w:val="nil"/>
              <w:left w:val="single" w:color="auto" w:sz="4" w:space="0"/>
              <w:bottom w:val="single" w:color="auto" w:sz="4" w:space="0"/>
              <w:right w:val="single" w:color="auto" w:sz="4" w:space="0"/>
            </w:tcBorders>
            <w:noWrap/>
            <w:vAlign w:val="center"/>
          </w:tcPr>
          <w:p w14:paraId="19F3A935">
            <w:pPr>
              <w:widowControl w:val="0"/>
              <w:spacing w:line="240" w:lineRule="exact"/>
              <w:jc w:val="center"/>
              <w:rPr>
                <w:rFonts w:eastAsia="楷体_GB2312"/>
                <w:b/>
                <w:color w:val="000000"/>
                <w:szCs w:val="21"/>
              </w:rPr>
            </w:pPr>
            <w:r>
              <w:rPr>
                <w:rFonts w:eastAsia="楷体_GB2312"/>
                <w:b/>
                <w:color w:val="000000"/>
                <w:szCs w:val="21"/>
              </w:rPr>
              <w:t>200</w:t>
            </w:r>
          </w:p>
        </w:tc>
        <w:tc>
          <w:tcPr>
            <w:tcW w:w="0" w:type="auto"/>
            <w:tcBorders>
              <w:top w:val="nil"/>
              <w:left w:val="nil"/>
              <w:bottom w:val="single" w:color="auto" w:sz="8" w:space="0"/>
              <w:right w:val="single" w:color="auto" w:sz="8" w:space="0"/>
            </w:tcBorders>
            <w:noWrap/>
            <w:vAlign w:val="center"/>
          </w:tcPr>
          <w:p w14:paraId="2390BF05">
            <w:pPr>
              <w:widowControl w:val="0"/>
              <w:spacing w:line="240" w:lineRule="exact"/>
              <w:jc w:val="center"/>
              <w:rPr>
                <w:rFonts w:eastAsia="楷体_GB2312"/>
                <w:color w:val="000000"/>
                <w:szCs w:val="21"/>
              </w:rPr>
            </w:pPr>
            <w:r>
              <w:rPr>
                <w:rFonts w:eastAsia="楷体_GB2312"/>
                <w:color w:val="000000"/>
                <w:szCs w:val="21"/>
              </w:rPr>
              <w:t>195</w:t>
            </w:r>
          </w:p>
        </w:tc>
        <w:tc>
          <w:tcPr>
            <w:tcW w:w="0" w:type="auto"/>
            <w:tcBorders>
              <w:top w:val="nil"/>
              <w:left w:val="nil"/>
              <w:bottom w:val="single" w:color="auto" w:sz="8" w:space="0"/>
              <w:right w:val="single" w:color="auto" w:sz="8" w:space="0"/>
            </w:tcBorders>
            <w:noWrap w:val="0"/>
            <w:vAlign w:val="center"/>
          </w:tcPr>
          <w:p w14:paraId="1F2F5378">
            <w:pPr>
              <w:widowControl w:val="0"/>
              <w:spacing w:line="240" w:lineRule="exact"/>
              <w:jc w:val="center"/>
              <w:rPr>
                <w:rFonts w:eastAsia="楷体_GB2312"/>
                <w:color w:val="000000"/>
                <w:szCs w:val="21"/>
              </w:rPr>
            </w:pPr>
            <w:r>
              <w:rPr>
                <w:rFonts w:eastAsia="楷体_GB2312"/>
                <w:color w:val="000000"/>
                <w:szCs w:val="21"/>
              </w:rPr>
              <w:t>2.56%</w:t>
            </w:r>
          </w:p>
        </w:tc>
      </w:tr>
      <w:tr w14:paraId="7DC5980D">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40969F91">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5F039D9C">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503813D8">
            <w:pPr>
              <w:widowControl w:val="0"/>
              <w:spacing w:line="240" w:lineRule="exact"/>
              <w:jc w:val="center"/>
              <w:rPr>
                <w:rFonts w:eastAsia="楷体_GB2312"/>
                <w:szCs w:val="21"/>
              </w:rPr>
            </w:pPr>
            <w:r>
              <w:rPr>
                <w:rFonts w:eastAsia="楷体_GB2312"/>
                <w:szCs w:val="21"/>
              </w:rPr>
              <w:t>2</w:t>
            </w:r>
          </w:p>
        </w:tc>
        <w:tc>
          <w:tcPr>
            <w:tcW w:w="0" w:type="auto"/>
            <w:tcBorders>
              <w:top w:val="nil"/>
              <w:left w:val="single" w:color="auto" w:sz="4" w:space="0"/>
              <w:bottom w:val="single" w:color="auto" w:sz="4" w:space="0"/>
              <w:right w:val="single" w:color="auto" w:sz="4" w:space="0"/>
            </w:tcBorders>
            <w:noWrap/>
            <w:vAlign w:val="center"/>
          </w:tcPr>
          <w:p w14:paraId="5AE5F5E3">
            <w:pPr>
              <w:widowControl w:val="0"/>
              <w:spacing w:line="240" w:lineRule="exact"/>
              <w:jc w:val="center"/>
              <w:rPr>
                <w:rFonts w:eastAsia="楷体_GB2312"/>
                <w:b/>
                <w:color w:val="000000"/>
                <w:szCs w:val="21"/>
              </w:rPr>
            </w:pPr>
            <w:r>
              <w:rPr>
                <w:rFonts w:eastAsia="楷体_GB2312"/>
                <w:b/>
                <w:color w:val="000000"/>
                <w:szCs w:val="21"/>
              </w:rPr>
              <w:t>475</w:t>
            </w:r>
          </w:p>
        </w:tc>
        <w:tc>
          <w:tcPr>
            <w:tcW w:w="0" w:type="auto"/>
            <w:tcBorders>
              <w:top w:val="nil"/>
              <w:left w:val="nil"/>
              <w:bottom w:val="single" w:color="auto" w:sz="8" w:space="0"/>
              <w:right w:val="single" w:color="auto" w:sz="8" w:space="0"/>
            </w:tcBorders>
            <w:noWrap/>
            <w:vAlign w:val="center"/>
          </w:tcPr>
          <w:p w14:paraId="0A8173E4">
            <w:pPr>
              <w:widowControl w:val="0"/>
              <w:spacing w:line="240" w:lineRule="exact"/>
              <w:jc w:val="center"/>
              <w:rPr>
                <w:rFonts w:eastAsia="楷体_GB2312"/>
                <w:color w:val="000000"/>
                <w:szCs w:val="21"/>
              </w:rPr>
            </w:pPr>
            <w:r>
              <w:rPr>
                <w:rFonts w:eastAsia="楷体_GB2312"/>
                <w:color w:val="000000"/>
                <w:szCs w:val="21"/>
              </w:rPr>
              <w:t>434</w:t>
            </w:r>
          </w:p>
        </w:tc>
        <w:tc>
          <w:tcPr>
            <w:tcW w:w="0" w:type="auto"/>
            <w:tcBorders>
              <w:top w:val="nil"/>
              <w:left w:val="nil"/>
              <w:bottom w:val="single" w:color="auto" w:sz="8" w:space="0"/>
              <w:right w:val="single" w:color="auto" w:sz="8" w:space="0"/>
            </w:tcBorders>
            <w:noWrap w:val="0"/>
            <w:vAlign w:val="center"/>
          </w:tcPr>
          <w:p w14:paraId="38FA53F1">
            <w:pPr>
              <w:widowControl w:val="0"/>
              <w:spacing w:line="240" w:lineRule="exact"/>
              <w:jc w:val="center"/>
              <w:rPr>
                <w:rFonts w:eastAsia="楷体_GB2312"/>
                <w:color w:val="000000"/>
                <w:szCs w:val="21"/>
              </w:rPr>
            </w:pPr>
            <w:r>
              <w:rPr>
                <w:rFonts w:eastAsia="楷体_GB2312"/>
                <w:color w:val="000000"/>
                <w:szCs w:val="21"/>
              </w:rPr>
              <w:t>9.45%</w:t>
            </w:r>
          </w:p>
        </w:tc>
        <w:tc>
          <w:tcPr>
            <w:tcW w:w="0" w:type="auto"/>
            <w:tcBorders>
              <w:top w:val="nil"/>
              <w:left w:val="single" w:color="auto" w:sz="4" w:space="0"/>
              <w:bottom w:val="single" w:color="auto" w:sz="4" w:space="0"/>
              <w:right w:val="single" w:color="auto" w:sz="4" w:space="0"/>
            </w:tcBorders>
            <w:noWrap/>
            <w:vAlign w:val="center"/>
          </w:tcPr>
          <w:p w14:paraId="2F5A45B5">
            <w:pPr>
              <w:widowControl w:val="0"/>
              <w:spacing w:line="240" w:lineRule="exact"/>
              <w:jc w:val="center"/>
              <w:rPr>
                <w:rFonts w:eastAsia="楷体_GB2312"/>
                <w:b/>
                <w:color w:val="000000"/>
                <w:szCs w:val="21"/>
              </w:rPr>
            </w:pPr>
            <w:r>
              <w:rPr>
                <w:rFonts w:eastAsia="楷体_GB2312"/>
                <w:b/>
                <w:color w:val="000000"/>
                <w:szCs w:val="21"/>
              </w:rPr>
              <w:t>320</w:t>
            </w:r>
          </w:p>
        </w:tc>
        <w:tc>
          <w:tcPr>
            <w:tcW w:w="0" w:type="auto"/>
            <w:tcBorders>
              <w:top w:val="nil"/>
              <w:left w:val="nil"/>
              <w:bottom w:val="single" w:color="auto" w:sz="8" w:space="0"/>
              <w:right w:val="single" w:color="auto" w:sz="8" w:space="0"/>
            </w:tcBorders>
            <w:noWrap/>
            <w:vAlign w:val="center"/>
          </w:tcPr>
          <w:p w14:paraId="29FAA92E">
            <w:pPr>
              <w:widowControl w:val="0"/>
              <w:spacing w:line="240" w:lineRule="exact"/>
              <w:jc w:val="center"/>
              <w:rPr>
                <w:rFonts w:eastAsia="楷体_GB2312"/>
                <w:color w:val="000000"/>
                <w:szCs w:val="21"/>
              </w:rPr>
            </w:pPr>
            <w:r>
              <w:rPr>
                <w:rFonts w:eastAsia="楷体_GB2312"/>
                <w:color w:val="000000"/>
                <w:szCs w:val="21"/>
              </w:rPr>
              <w:t>298</w:t>
            </w:r>
          </w:p>
        </w:tc>
        <w:tc>
          <w:tcPr>
            <w:tcW w:w="0" w:type="auto"/>
            <w:tcBorders>
              <w:top w:val="nil"/>
              <w:left w:val="nil"/>
              <w:bottom w:val="single" w:color="auto" w:sz="8" w:space="0"/>
              <w:right w:val="single" w:color="auto" w:sz="8" w:space="0"/>
            </w:tcBorders>
            <w:noWrap w:val="0"/>
            <w:vAlign w:val="center"/>
          </w:tcPr>
          <w:p w14:paraId="74D14380">
            <w:pPr>
              <w:widowControl w:val="0"/>
              <w:spacing w:line="240" w:lineRule="exact"/>
              <w:jc w:val="center"/>
              <w:rPr>
                <w:rFonts w:eastAsia="楷体_GB2312"/>
                <w:color w:val="000000"/>
                <w:szCs w:val="21"/>
              </w:rPr>
            </w:pPr>
            <w:r>
              <w:rPr>
                <w:rFonts w:eastAsia="楷体_GB2312"/>
                <w:color w:val="000000"/>
                <w:szCs w:val="21"/>
              </w:rPr>
              <w:t>7.38%</w:t>
            </w:r>
          </w:p>
        </w:tc>
        <w:tc>
          <w:tcPr>
            <w:tcW w:w="0" w:type="auto"/>
            <w:tcBorders>
              <w:top w:val="nil"/>
              <w:left w:val="single" w:color="auto" w:sz="4" w:space="0"/>
              <w:bottom w:val="single" w:color="auto" w:sz="4" w:space="0"/>
              <w:right w:val="single" w:color="auto" w:sz="4" w:space="0"/>
            </w:tcBorders>
            <w:noWrap/>
            <w:vAlign w:val="center"/>
          </w:tcPr>
          <w:p w14:paraId="0704877A">
            <w:pPr>
              <w:widowControl w:val="0"/>
              <w:spacing w:line="240" w:lineRule="exact"/>
              <w:jc w:val="center"/>
              <w:rPr>
                <w:rFonts w:eastAsia="楷体_GB2312"/>
                <w:b/>
                <w:color w:val="000000"/>
                <w:szCs w:val="21"/>
              </w:rPr>
            </w:pPr>
            <w:r>
              <w:rPr>
                <w:rFonts w:eastAsia="楷体_GB2312"/>
                <w:b/>
                <w:color w:val="000000"/>
                <w:szCs w:val="21"/>
              </w:rPr>
              <w:t>170</w:t>
            </w:r>
          </w:p>
        </w:tc>
        <w:tc>
          <w:tcPr>
            <w:tcW w:w="0" w:type="auto"/>
            <w:tcBorders>
              <w:top w:val="nil"/>
              <w:left w:val="nil"/>
              <w:bottom w:val="single" w:color="auto" w:sz="8" w:space="0"/>
              <w:right w:val="single" w:color="auto" w:sz="8" w:space="0"/>
            </w:tcBorders>
            <w:noWrap/>
            <w:vAlign w:val="center"/>
          </w:tcPr>
          <w:p w14:paraId="73753D57">
            <w:pPr>
              <w:widowControl w:val="0"/>
              <w:spacing w:line="240" w:lineRule="exact"/>
              <w:jc w:val="center"/>
              <w:rPr>
                <w:rFonts w:eastAsia="楷体_GB2312"/>
                <w:color w:val="000000"/>
                <w:szCs w:val="21"/>
              </w:rPr>
            </w:pPr>
            <w:r>
              <w:rPr>
                <w:rFonts w:eastAsia="楷体_GB2312"/>
                <w:color w:val="000000"/>
                <w:szCs w:val="21"/>
              </w:rPr>
              <w:t>165</w:t>
            </w:r>
          </w:p>
        </w:tc>
        <w:tc>
          <w:tcPr>
            <w:tcW w:w="0" w:type="auto"/>
            <w:tcBorders>
              <w:top w:val="nil"/>
              <w:left w:val="nil"/>
              <w:bottom w:val="single" w:color="auto" w:sz="8" w:space="0"/>
              <w:right w:val="single" w:color="auto" w:sz="8" w:space="0"/>
            </w:tcBorders>
            <w:noWrap w:val="0"/>
            <w:vAlign w:val="center"/>
          </w:tcPr>
          <w:p w14:paraId="52F4D25F">
            <w:pPr>
              <w:widowControl w:val="0"/>
              <w:spacing w:line="240" w:lineRule="exact"/>
              <w:jc w:val="center"/>
              <w:rPr>
                <w:rFonts w:eastAsia="楷体_GB2312"/>
                <w:color w:val="000000"/>
                <w:szCs w:val="21"/>
              </w:rPr>
            </w:pPr>
            <w:r>
              <w:rPr>
                <w:rFonts w:eastAsia="楷体_GB2312"/>
                <w:color w:val="000000"/>
                <w:szCs w:val="21"/>
              </w:rPr>
              <w:t>3.03%</w:t>
            </w:r>
          </w:p>
        </w:tc>
      </w:tr>
      <w:tr w14:paraId="1576D443">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21ED0093">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7811FD9D">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3D70E6CD">
            <w:pPr>
              <w:widowControl w:val="0"/>
              <w:spacing w:line="240" w:lineRule="exact"/>
              <w:jc w:val="center"/>
              <w:rPr>
                <w:rFonts w:eastAsia="楷体_GB2312"/>
                <w:szCs w:val="21"/>
              </w:rPr>
            </w:pPr>
            <w:r>
              <w:rPr>
                <w:rFonts w:eastAsia="楷体_GB2312"/>
                <w:szCs w:val="21"/>
              </w:rPr>
              <w:t>3</w:t>
            </w:r>
          </w:p>
        </w:tc>
        <w:tc>
          <w:tcPr>
            <w:tcW w:w="0" w:type="auto"/>
            <w:tcBorders>
              <w:top w:val="nil"/>
              <w:left w:val="single" w:color="auto" w:sz="4" w:space="0"/>
              <w:bottom w:val="single" w:color="auto" w:sz="4" w:space="0"/>
              <w:right w:val="single" w:color="auto" w:sz="4" w:space="0"/>
            </w:tcBorders>
            <w:noWrap/>
            <w:vAlign w:val="center"/>
          </w:tcPr>
          <w:p w14:paraId="32AAF67F">
            <w:pPr>
              <w:widowControl w:val="0"/>
              <w:spacing w:line="240" w:lineRule="exact"/>
              <w:jc w:val="center"/>
              <w:rPr>
                <w:rFonts w:eastAsia="楷体_GB2312"/>
                <w:b/>
                <w:color w:val="000000"/>
                <w:szCs w:val="21"/>
              </w:rPr>
            </w:pPr>
            <w:r>
              <w:rPr>
                <w:rFonts w:eastAsia="楷体_GB2312"/>
                <w:b/>
                <w:color w:val="000000"/>
                <w:szCs w:val="21"/>
              </w:rPr>
              <w:t>390</w:t>
            </w:r>
          </w:p>
        </w:tc>
        <w:tc>
          <w:tcPr>
            <w:tcW w:w="0" w:type="auto"/>
            <w:tcBorders>
              <w:top w:val="nil"/>
              <w:left w:val="nil"/>
              <w:bottom w:val="single" w:color="auto" w:sz="8" w:space="0"/>
              <w:right w:val="single" w:color="auto" w:sz="8" w:space="0"/>
            </w:tcBorders>
            <w:noWrap/>
            <w:vAlign w:val="center"/>
          </w:tcPr>
          <w:p w14:paraId="1AE1F18A">
            <w:pPr>
              <w:widowControl w:val="0"/>
              <w:spacing w:line="240" w:lineRule="exact"/>
              <w:jc w:val="center"/>
              <w:rPr>
                <w:rFonts w:eastAsia="楷体_GB2312"/>
                <w:color w:val="000000"/>
                <w:szCs w:val="21"/>
              </w:rPr>
            </w:pPr>
            <w:r>
              <w:rPr>
                <w:rFonts w:eastAsia="楷体_GB2312"/>
                <w:color w:val="000000"/>
                <w:szCs w:val="21"/>
              </w:rPr>
              <w:t>381</w:t>
            </w:r>
          </w:p>
        </w:tc>
        <w:tc>
          <w:tcPr>
            <w:tcW w:w="0" w:type="auto"/>
            <w:tcBorders>
              <w:top w:val="nil"/>
              <w:left w:val="nil"/>
              <w:bottom w:val="single" w:color="auto" w:sz="8" w:space="0"/>
              <w:right w:val="single" w:color="auto" w:sz="8" w:space="0"/>
            </w:tcBorders>
            <w:noWrap w:val="0"/>
            <w:vAlign w:val="center"/>
          </w:tcPr>
          <w:p w14:paraId="0AF7B982">
            <w:pPr>
              <w:widowControl w:val="0"/>
              <w:spacing w:line="240" w:lineRule="exact"/>
              <w:jc w:val="center"/>
              <w:rPr>
                <w:rFonts w:eastAsia="楷体_GB2312"/>
                <w:color w:val="000000"/>
                <w:szCs w:val="21"/>
              </w:rPr>
            </w:pPr>
            <w:r>
              <w:rPr>
                <w:rFonts w:eastAsia="楷体_GB2312"/>
                <w:color w:val="000000"/>
                <w:szCs w:val="21"/>
              </w:rPr>
              <w:t>2.36%</w:t>
            </w:r>
          </w:p>
        </w:tc>
        <w:tc>
          <w:tcPr>
            <w:tcW w:w="0" w:type="auto"/>
            <w:tcBorders>
              <w:top w:val="nil"/>
              <w:left w:val="single" w:color="auto" w:sz="4" w:space="0"/>
              <w:bottom w:val="single" w:color="auto" w:sz="4" w:space="0"/>
              <w:right w:val="single" w:color="auto" w:sz="4" w:space="0"/>
            </w:tcBorders>
            <w:noWrap/>
            <w:vAlign w:val="center"/>
          </w:tcPr>
          <w:p w14:paraId="101B968F">
            <w:pPr>
              <w:widowControl w:val="0"/>
              <w:spacing w:line="240" w:lineRule="exact"/>
              <w:jc w:val="center"/>
              <w:rPr>
                <w:rFonts w:eastAsia="楷体_GB2312"/>
                <w:b/>
                <w:color w:val="000000"/>
                <w:szCs w:val="21"/>
              </w:rPr>
            </w:pPr>
            <w:r>
              <w:rPr>
                <w:rFonts w:eastAsia="楷体_GB2312"/>
                <w:b/>
                <w:color w:val="000000"/>
                <w:szCs w:val="21"/>
              </w:rPr>
              <w:t>235</w:t>
            </w:r>
          </w:p>
        </w:tc>
        <w:tc>
          <w:tcPr>
            <w:tcW w:w="0" w:type="auto"/>
            <w:tcBorders>
              <w:top w:val="nil"/>
              <w:left w:val="nil"/>
              <w:bottom w:val="single" w:color="auto" w:sz="8" w:space="0"/>
              <w:right w:val="single" w:color="auto" w:sz="8" w:space="0"/>
            </w:tcBorders>
            <w:noWrap/>
            <w:vAlign w:val="center"/>
          </w:tcPr>
          <w:p w14:paraId="2CFE9863">
            <w:pPr>
              <w:widowControl w:val="0"/>
              <w:spacing w:line="240" w:lineRule="exact"/>
              <w:jc w:val="center"/>
              <w:rPr>
                <w:rFonts w:eastAsia="楷体_GB2312"/>
                <w:color w:val="000000"/>
                <w:szCs w:val="21"/>
              </w:rPr>
            </w:pPr>
            <w:r>
              <w:rPr>
                <w:rFonts w:eastAsia="楷体_GB2312"/>
                <w:color w:val="000000"/>
                <w:szCs w:val="21"/>
              </w:rPr>
              <w:t>220</w:t>
            </w:r>
          </w:p>
        </w:tc>
        <w:tc>
          <w:tcPr>
            <w:tcW w:w="0" w:type="auto"/>
            <w:tcBorders>
              <w:top w:val="nil"/>
              <w:left w:val="nil"/>
              <w:bottom w:val="single" w:color="auto" w:sz="8" w:space="0"/>
              <w:right w:val="single" w:color="auto" w:sz="8" w:space="0"/>
            </w:tcBorders>
            <w:noWrap w:val="0"/>
            <w:vAlign w:val="center"/>
          </w:tcPr>
          <w:p w14:paraId="2BAF6E38">
            <w:pPr>
              <w:widowControl w:val="0"/>
              <w:spacing w:line="240" w:lineRule="exact"/>
              <w:jc w:val="center"/>
              <w:rPr>
                <w:rFonts w:eastAsia="楷体_GB2312"/>
                <w:color w:val="000000"/>
                <w:szCs w:val="21"/>
              </w:rPr>
            </w:pPr>
            <w:r>
              <w:rPr>
                <w:rFonts w:eastAsia="楷体_GB2312"/>
                <w:color w:val="000000"/>
                <w:szCs w:val="21"/>
              </w:rPr>
              <w:t>6.82%</w:t>
            </w:r>
          </w:p>
        </w:tc>
        <w:tc>
          <w:tcPr>
            <w:tcW w:w="0" w:type="auto"/>
            <w:tcBorders>
              <w:top w:val="nil"/>
              <w:left w:val="single" w:color="auto" w:sz="4" w:space="0"/>
              <w:bottom w:val="single" w:color="auto" w:sz="4" w:space="0"/>
              <w:right w:val="single" w:color="auto" w:sz="4" w:space="0"/>
            </w:tcBorders>
            <w:noWrap/>
            <w:vAlign w:val="center"/>
          </w:tcPr>
          <w:p w14:paraId="747BCF2D">
            <w:pPr>
              <w:widowControl w:val="0"/>
              <w:spacing w:line="240" w:lineRule="exact"/>
              <w:jc w:val="center"/>
              <w:rPr>
                <w:rFonts w:eastAsia="楷体_GB2312"/>
                <w:b/>
                <w:color w:val="000000"/>
                <w:szCs w:val="21"/>
              </w:rPr>
            </w:pPr>
            <w:r>
              <w:rPr>
                <w:rFonts w:eastAsia="楷体_GB2312"/>
                <w:b/>
                <w:color w:val="000000"/>
                <w:szCs w:val="21"/>
              </w:rPr>
              <w:t>144</w:t>
            </w:r>
          </w:p>
        </w:tc>
        <w:tc>
          <w:tcPr>
            <w:tcW w:w="0" w:type="auto"/>
            <w:tcBorders>
              <w:top w:val="nil"/>
              <w:left w:val="nil"/>
              <w:bottom w:val="single" w:color="auto" w:sz="8" w:space="0"/>
              <w:right w:val="single" w:color="auto" w:sz="8" w:space="0"/>
            </w:tcBorders>
            <w:noWrap/>
            <w:vAlign w:val="center"/>
          </w:tcPr>
          <w:p w14:paraId="3985C73B">
            <w:pPr>
              <w:widowControl w:val="0"/>
              <w:spacing w:line="240" w:lineRule="exact"/>
              <w:jc w:val="center"/>
              <w:rPr>
                <w:rFonts w:eastAsia="楷体_GB2312"/>
                <w:color w:val="000000"/>
                <w:szCs w:val="21"/>
              </w:rPr>
            </w:pPr>
            <w:r>
              <w:rPr>
                <w:rFonts w:eastAsia="楷体_GB2312"/>
                <w:color w:val="000000"/>
                <w:szCs w:val="21"/>
              </w:rPr>
              <w:t>144</w:t>
            </w:r>
          </w:p>
        </w:tc>
        <w:tc>
          <w:tcPr>
            <w:tcW w:w="0" w:type="auto"/>
            <w:tcBorders>
              <w:top w:val="nil"/>
              <w:left w:val="nil"/>
              <w:bottom w:val="single" w:color="auto" w:sz="8" w:space="0"/>
              <w:right w:val="single" w:color="auto" w:sz="8" w:space="0"/>
            </w:tcBorders>
            <w:noWrap w:val="0"/>
            <w:vAlign w:val="center"/>
          </w:tcPr>
          <w:p w14:paraId="55B98F3A">
            <w:pPr>
              <w:widowControl w:val="0"/>
              <w:spacing w:line="240" w:lineRule="exact"/>
              <w:jc w:val="center"/>
              <w:rPr>
                <w:rFonts w:eastAsia="楷体_GB2312"/>
                <w:color w:val="000000"/>
                <w:szCs w:val="21"/>
              </w:rPr>
            </w:pPr>
            <w:r>
              <w:rPr>
                <w:rFonts w:eastAsia="楷体_GB2312"/>
                <w:color w:val="000000"/>
                <w:szCs w:val="21"/>
              </w:rPr>
              <w:t>0.00%</w:t>
            </w:r>
          </w:p>
        </w:tc>
      </w:tr>
      <w:tr w14:paraId="4073F270">
        <w:tblPrEx>
          <w:tblCellMar>
            <w:top w:w="0" w:type="dxa"/>
            <w:left w:w="108" w:type="dxa"/>
            <w:bottom w:w="0" w:type="dxa"/>
            <w:right w:w="108" w:type="dxa"/>
          </w:tblCellMar>
        </w:tblPrEx>
        <w:trPr>
          <w:trHeight w:val="20" w:hRule="atLeast"/>
          <w:jc w:val="center"/>
        </w:trPr>
        <w:tc>
          <w:tcPr>
            <w:tcW w:w="0" w:type="auto"/>
            <w:vMerge w:val="restart"/>
            <w:tcBorders>
              <w:top w:val="nil"/>
              <w:left w:val="single" w:color="auto" w:sz="8" w:space="0"/>
              <w:bottom w:val="single" w:color="000000" w:sz="8" w:space="0"/>
              <w:right w:val="single" w:color="auto" w:sz="8" w:space="0"/>
            </w:tcBorders>
            <w:noWrap w:val="0"/>
            <w:vAlign w:val="center"/>
          </w:tcPr>
          <w:p w14:paraId="34501E22">
            <w:pPr>
              <w:widowControl w:val="0"/>
              <w:spacing w:line="240" w:lineRule="exact"/>
              <w:jc w:val="center"/>
              <w:rPr>
                <w:rFonts w:eastAsia="楷体_GB2312"/>
                <w:szCs w:val="21"/>
              </w:rPr>
            </w:pPr>
            <w:r>
              <w:rPr>
                <w:rFonts w:eastAsia="楷体_GB2312"/>
                <w:szCs w:val="21"/>
              </w:rPr>
              <w:t>4</w:t>
            </w:r>
          </w:p>
        </w:tc>
        <w:tc>
          <w:tcPr>
            <w:tcW w:w="0" w:type="auto"/>
            <w:vMerge w:val="restart"/>
            <w:tcBorders>
              <w:top w:val="nil"/>
              <w:left w:val="single" w:color="auto" w:sz="8" w:space="0"/>
              <w:bottom w:val="single" w:color="000000" w:sz="8" w:space="0"/>
              <w:right w:val="single" w:color="auto" w:sz="8" w:space="0"/>
            </w:tcBorders>
            <w:noWrap w:val="0"/>
            <w:vAlign w:val="center"/>
          </w:tcPr>
          <w:p w14:paraId="4B42DAAD">
            <w:pPr>
              <w:widowControl w:val="0"/>
              <w:spacing w:line="240" w:lineRule="exact"/>
              <w:jc w:val="center"/>
              <w:rPr>
                <w:rFonts w:eastAsia="楷体_GB2312"/>
                <w:color w:val="000000"/>
                <w:szCs w:val="21"/>
              </w:rPr>
            </w:pPr>
            <w:r>
              <w:rPr>
                <w:rFonts w:eastAsia="楷体_GB2312"/>
                <w:color w:val="000000"/>
                <w:szCs w:val="21"/>
              </w:rPr>
              <w:t>芦岭镇</w:t>
            </w:r>
          </w:p>
        </w:tc>
        <w:tc>
          <w:tcPr>
            <w:tcW w:w="0" w:type="auto"/>
            <w:tcBorders>
              <w:top w:val="nil"/>
              <w:left w:val="nil"/>
              <w:bottom w:val="single" w:color="auto" w:sz="8" w:space="0"/>
              <w:right w:val="single" w:color="auto" w:sz="8" w:space="0"/>
            </w:tcBorders>
            <w:noWrap w:val="0"/>
            <w:vAlign w:val="center"/>
          </w:tcPr>
          <w:p w14:paraId="360CC214">
            <w:pPr>
              <w:widowControl w:val="0"/>
              <w:spacing w:line="240" w:lineRule="exact"/>
              <w:jc w:val="center"/>
              <w:rPr>
                <w:rFonts w:eastAsia="楷体_GB2312"/>
                <w:szCs w:val="21"/>
              </w:rPr>
            </w:pPr>
            <w:r>
              <w:rPr>
                <w:rFonts w:eastAsia="楷体_GB2312"/>
                <w:szCs w:val="21"/>
              </w:rPr>
              <w:t>1</w:t>
            </w:r>
          </w:p>
        </w:tc>
        <w:tc>
          <w:tcPr>
            <w:tcW w:w="0" w:type="auto"/>
            <w:tcBorders>
              <w:top w:val="nil"/>
              <w:left w:val="single" w:color="auto" w:sz="4" w:space="0"/>
              <w:bottom w:val="single" w:color="auto" w:sz="4" w:space="0"/>
              <w:right w:val="single" w:color="auto" w:sz="4" w:space="0"/>
            </w:tcBorders>
            <w:noWrap/>
            <w:vAlign w:val="center"/>
          </w:tcPr>
          <w:p w14:paraId="27948C9F">
            <w:pPr>
              <w:widowControl w:val="0"/>
              <w:spacing w:line="240" w:lineRule="exact"/>
              <w:jc w:val="center"/>
              <w:rPr>
                <w:rFonts w:eastAsia="楷体_GB2312"/>
                <w:b/>
                <w:color w:val="000000"/>
                <w:szCs w:val="21"/>
              </w:rPr>
            </w:pPr>
            <w:r>
              <w:rPr>
                <w:rFonts w:eastAsia="楷体_GB2312"/>
                <w:b/>
                <w:color w:val="000000"/>
                <w:szCs w:val="21"/>
              </w:rPr>
              <w:t>555</w:t>
            </w:r>
          </w:p>
        </w:tc>
        <w:tc>
          <w:tcPr>
            <w:tcW w:w="0" w:type="auto"/>
            <w:tcBorders>
              <w:top w:val="nil"/>
              <w:left w:val="nil"/>
              <w:bottom w:val="single" w:color="auto" w:sz="8" w:space="0"/>
              <w:right w:val="single" w:color="auto" w:sz="8" w:space="0"/>
            </w:tcBorders>
            <w:noWrap/>
            <w:vAlign w:val="center"/>
          </w:tcPr>
          <w:p w14:paraId="04B74C9D">
            <w:pPr>
              <w:widowControl w:val="0"/>
              <w:spacing w:line="240" w:lineRule="exact"/>
              <w:jc w:val="center"/>
              <w:rPr>
                <w:rFonts w:eastAsia="楷体_GB2312"/>
                <w:color w:val="000000"/>
                <w:szCs w:val="21"/>
              </w:rPr>
            </w:pPr>
            <w:r>
              <w:rPr>
                <w:rFonts w:eastAsia="楷体_GB2312"/>
                <w:color w:val="000000"/>
                <w:szCs w:val="21"/>
              </w:rPr>
              <w:t>541</w:t>
            </w:r>
          </w:p>
        </w:tc>
        <w:tc>
          <w:tcPr>
            <w:tcW w:w="0" w:type="auto"/>
            <w:tcBorders>
              <w:top w:val="nil"/>
              <w:left w:val="nil"/>
              <w:bottom w:val="single" w:color="auto" w:sz="8" w:space="0"/>
              <w:right w:val="single" w:color="auto" w:sz="8" w:space="0"/>
            </w:tcBorders>
            <w:noWrap w:val="0"/>
            <w:vAlign w:val="center"/>
          </w:tcPr>
          <w:p w14:paraId="35FA187B">
            <w:pPr>
              <w:widowControl w:val="0"/>
              <w:spacing w:line="240" w:lineRule="exact"/>
              <w:jc w:val="center"/>
              <w:rPr>
                <w:rFonts w:eastAsia="楷体_GB2312"/>
                <w:color w:val="000000"/>
                <w:szCs w:val="21"/>
              </w:rPr>
            </w:pPr>
            <w:r>
              <w:rPr>
                <w:rFonts w:eastAsia="楷体_GB2312"/>
                <w:color w:val="000000"/>
                <w:szCs w:val="21"/>
              </w:rPr>
              <w:t>2.59%</w:t>
            </w:r>
          </w:p>
        </w:tc>
        <w:tc>
          <w:tcPr>
            <w:tcW w:w="0" w:type="auto"/>
            <w:tcBorders>
              <w:top w:val="nil"/>
              <w:left w:val="single" w:color="auto" w:sz="4" w:space="0"/>
              <w:bottom w:val="single" w:color="auto" w:sz="4" w:space="0"/>
              <w:right w:val="single" w:color="auto" w:sz="4" w:space="0"/>
            </w:tcBorders>
            <w:noWrap/>
            <w:vAlign w:val="center"/>
          </w:tcPr>
          <w:p w14:paraId="4CA2FA81">
            <w:pPr>
              <w:widowControl w:val="0"/>
              <w:spacing w:line="240" w:lineRule="exact"/>
              <w:jc w:val="center"/>
              <w:rPr>
                <w:rFonts w:eastAsia="楷体_GB2312"/>
                <w:b/>
                <w:color w:val="000000"/>
                <w:szCs w:val="21"/>
              </w:rPr>
            </w:pPr>
            <w:r>
              <w:rPr>
                <w:rFonts w:eastAsia="楷体_GB2312"/>
                <w:b/>
                <w:color w:val="000000"/>
                <w:szCs w:val="21"/>
              </w:rPr>
              <w:t>410</w:t>
            </w:r>
          </w:p>
        </w:tc>
        <w:tc>
          <w:tcPr>
            <w:tcW w:w="0" w:type="auto"/>
            <w:tcBorders>
              <w:top w:val="nil"/>
              <w:left w:val="nil"/>
              <w:bottom w:val="single" w:color="auto" w:sz="8" w:space="0"/>
              <w:right w:val="single" w:color="auto" w:sz="8" w:space="0"/>
            </w:tcBorders>
            <w:noWrap/>
            <w:vAlign w:val="center"/>
          </w:tcPr>
          <w:p w14:paraId="550863F1">
            <w:pPr>
              <w:widowControl w:val="0"/>
              <w:spacing w:line="240" w:lineRule="exact"/>
              <w:jc w:val="center"/>
              <w:rPr>
                <w:rFonts w:eastAsia="楷体_GB2312"/>
                <w:color w:val="000000"/>
                <w:szCs w:val="21"/>
              </w:rPr>
            </w:pPr>
            <w:r>
              <w:rPr>
                <w:rFonts w:eastAsia="楷体_GB2312"/>
                <w:color w:val="000000"/>
                <w:szCs w:val="21"/>
              </w:rPr>
              <w:t>384</w:t>
            </w:r>
          </w:p>
        </w:tc>
        <w:tc>
          <w:tcPr>
            <w:tcW w:w="0" w:type="auto"/>
            <w:tcBorders>
              <w:top w:val="nil"/>
              <w:left w:val="nil"/>
              <w:bottom w:val="single" w:color="auto" w:sz="8" w:space="0"/>
              <w:right w:val="single" w:color="auto" w:sz="8" w:space="0"/>
            </w:tcBorders>
            <w:noWrap w:val="0"/>
            <w:vAlign w:val="center"/>
          </w:tcPr>
          <w:p w14:paraId="6AEAC6C5">
            <w:pPr>
              <w:widowControl w:val="0"/>
              <w:spacing w:line="240" w:lineRule="exact"/>
              <w:jc w:val="center"/>
              <w:rPr>
                <w:rFonts w:eastAsia="楷体_GB2312"/>
                <w:color w:val="000000"/>
                <w:szCs w:val="21"/>
              </w:rPr>
            </w:pPr>
            <w:r>
              <w:rPr>
                <w:rFonts w:eastAsia="楷体_GB2312"/>
                <w:color w:val="000000"/>
                <w:szCs w:val="21"/>
              </w:rPr>
              <w:t>6.77%</w:t>
            </w:r>
          </w:p>
        </w:tc>
        <w:tc>
          <w:tcPr>
            <w:tcW w:w="0" w:type="auto"/>
            <w:tcBorders>
              <w:top w:val="nil"/>
              <w:left w:val="single" w:color="auto" w:sz="4" w:space="0"/>
              <w:bottom w:val="single" w:color="auto" w:sz="4" w:space="0"/>
              <w:right w:val="single" w:color="auto" w:sz="4" w:space="0"/>
            </w:tcBorders>
            <w:noWrap/>
            <w:vAlign w:val="center"/>
          </w:tcPr>
          <w:p w14:paraId="3F9A9156">
            <w:pPr>
              <w:widowControl w:val="0"/>
              <w:spacing w:line="240" w:lineRule="exact"/>
              <w:jc w:val="center"/>
              <w:rPr>
                <w:rFonts w:eastAsia="楷体_GB2312"/>
                <w:b/>
                <w:color w:val="000000"/>
                <w:szCs w:val="21"/>
              </w:rPr>
            </w:pPr>
            <w:r>
              <w:rPr>
                <w:rFonts w:eastAsia="楷体_GB2312"/>
                <w:b/>
                <w:color w:val="000000"/>
                <w:szCs w:val="21"/>
              </w:rPr>
              <w:t>200</w:t>
            </w:r>
          </w:p>
        </w:tc>
        <w:tc>
          <w:tcPr>
            <w:tcW w:w="0" w:type="auto"/>
            <w:tcBorders>
              <w:top w:val="nil"/>
              <w:left w:val="nil"/>
              <w:bottom w:val="single" w:color="auto" w:sz="8" w:space="0"/>
              <w:right w:val="single" w:color="auto" w:sz="8" w:space="0"/>
            </w:tcBorders>
            <w:noWrap/>
            <w:vAlign w:val="center"/>
          </w:tcPr>
          <w:p w14:paraId="4C569695">
            <w:pPr>
              <w:widowControl w:val="0"/>
              <w:spacing w:line="240" w:lineRule="exact"/>
              <w:jc w:val="center"/>
              <w:rPr>
                <w:rFonts w:eastAsia="楷体_GB2312"/>
                <w:color w:val="000000"/>
                <w:szCs w:val="21"/>
              </w:rPr>
            </w:pPr>
            <w:r>
              <w:rPr>
                <w:rFonts w:eastAsia="楷体_GB2312"/>
                <w:color w:val="000000"/>
                <w:szCs w:val="21"/>
              </w:rPr>
              <w:t>195</w:t>
            </w:r>
          </w:p>
        </w:tc>
        <w:tc>
          <w:tcPr>
            <w:tcW w:w="0" w:type="auto"/>
            <w:tcBorders>
              <w:top w:val="nil"/>
              <w:left w:val="nil"/>
              <w:bottom w:val="single" w:color="auto" w:sz="8" w:space="0"/>
              <w:right w:val="single" w:color="auto" w:sz="8" w:space="0"/>
            </w:tcBorders>
            <w:noWrap w:val="0"/>
            <w:vAlign w:val="center"/>
          </w:tcPr>
          <w:p w14:paraId="0E6FC58C">
            <w:pPr>
              <w:widowControl w:val="0"/>
              <w:spacing w:line="240" w:lineRule="exact"/>
              <w:jc w:val="center"/>
              <w:rPr>
                <w:rFonts w:eastAsia="楷体_GB2312"/>
                <w:color w:val="000000"/>
                <w:szCs w:val="21"/>
              </w:rPr>
            </w:pPr>
            <w:r>
              <w:rPr>
                <w:rFonts w:eastAsia="楷体_GB2312"/>
                <w:color w:val="000000"/>
                <w:szCs w:val="21"/>
              </w:rPr>
              <w:t>2.56%</w:t>
            </w:r>
          </w:p>
        </w:tc>
      </w:tr>
      <w:tr w14:paraId="38C9EF4C">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2B8610DB">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6464CB95">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43376DA8">
            <w:pPr>
              <w:widowControl w:val="0"/>
              <w:spacing w:line="240" w:lineRule="exact"/>
              <w:jc w:val="center"/>
              <w:rPr>
                <w:rFonts w:eastAsia="楷体_GB2312"/>
                <w:szCs w:val="21"/>
              </w:rPr>
            </w:pPr>
            <w:r>
              <w:rPr>
                <w:rFonts w:eastAsia="楷体_GB2312"/>
                <w:szCs w:val="21"/>
              </w:rPr>
              <w:t>2</w:t>
            </w:r>
          </w:p>
        </w:tc>
        <w:tc>
          <w:tcPr>
            <w:tcW w:w="0" w:type="auto"/>
            <w:tcBorders>
              <w:top w:val="nil"/>
              <w:left w:val="single" w:color="auto" w:sz="4" w:space="0"/>
              <w:bottom w:val="single" w:color="auto" w:sz="4" w:space="0"/>
              <w:right w:val="single" w:color="auto" w:sz="4" w:space="0"/>
            </w:tcBorders>
            <w:noWrap/>
            <w:vAlign w:val="center"/>
          </w:tcPr>
          <w:p w14:paraId="63A0E09A">
            <w:pPr>
              <w:widowControl w:val="0"/>
              <w:spacing w:line="240" w:lineRule="exact"/>
              <w:jc w:val="center"/>
              <w:rPr>
                <w:rFonts w:eastAsia="楷体_GB2312"/>
                <w:b/>
                <w:color w:val="000000"/>
                <w:szCs w:val="21"/>
              </w:rPr>
            </w:pPr>
            <w:r>
              <w:rPr>
                <w:rFonts w:eastAsia="楷体_GB2312"/>
                <w:b/>
                <w:color w:val="000000"/>
                <w:szCs w:val="21"/>
              </w:rPr>
              <w:t>450</w:t>
            </w:r>
          </w:p>
        </w:tc>
        <w:tc>
          <w:tcPr>
            <w:tcW w:w="0" w:type="auto"/>
            <w:tcBorders>
              <w:top w:val="nil"/>
              <w:left w:val="nil"/>
              <w:bottom w:val="single" w:color="auto" w:sz="8" w:space="0"/>
              <w:right w:val="single" w:color="auto" w:sz="8" w:space="0"/>
            </w:tcBorders>
            <w:noWrap/>
            <w:vAlign w:val="center"/>
          </w:tcPr>
          <w:p w14:paraId="55B4B4BB">
            <w:pPr>
              <w:widowControl w:val="0"/>
              <w:spacing w:line="240" w:lineRule="exact"/>
              <w:jc w:val="center"/>
              <w:rPr>
                <w:rFonts w:eastAsia="楷体_GB2312"/>
                <w:color w:val="000000"/>
                <w:szCs w:val="21"/>
              </w:rPr>
            </w:pPr>
            <w:r>
              <w:rPr>
                <w:rFonts w:eastAsia="楷体_GB2312"/>
                <w:color w:val="000000"/>
                <w:szCs w:val="21"/>
              </w:rPr>
              <w:t>410</w:t>
            </w:r>
          </w:p>
        </w:tc>
        <w:tc>
          <w:tcPr>
            <w:tcW w:w="0" w:type="auto"/>
            <w:tcBorders>
              <w:top w:val="nil"/>
              <w:left w:val="nil"/>
              <w:bottom w:val="single" w:color="auto" w:sz="8" w:space="0"/>
              <w:right w:val="single" w:color="auto" w:sz="8" w:space="0"/>
            </w:tcBorders>
            <w:noWrap w:val="0"/>
            <w:vAlign w:val="center"/>
          </w:tcPr>
          <w:p w14:paraId="5FBE3EA2">
            <w:pPr>
              <w:widowControl w:val="0"/>
              <w:spacing w:line="240" w:lineRule="exact"/>
              <w:jc w:val="center"/>
              <w:rPr>
                <w:rFonts w:eastAsia="楷体_GB2312"/>
                <w:color w:val="000000"/>
                <w:szCs w:val="21"/>
              </w:rPr>
            </w:pPr>
            <w:r>
              <w:rPr>
                <w:rFonts w:eastAsia="楷体_GB2312"/>
                <w:color w:val="000000"/>
                <w:szCs w:val="21"/>
              </w:rPr>
              <w:t>9.76%</w:t>
            </w:r>
          </w:p>
        </w:tc>
        <w:tc>
          <w:tcPr>
            <w:tcW w:w="0" w:type="auto"/>
            <w:tcBorders>
              <w:top w:val="nil"/>
              <w:left w:val="single" w:color="auto" w:sz="4" w:space="0"/>
              <w:bottom w:val="single" w:color="auto" w:sz="4" w:space="0"/>
              <w:right w:val="single" w:color="auto" w:sz="4" w:space="0"/>
            </w:tcBorders>
            <w:noWrap/>
            <w:vAlign w:val="center"/>
          </w:tcPr>
          <w:p w14:paraId="7825ACD2">
            <w:pPr>
              <w:widowControl w:val="0"/>
              <w:spacing w:line="240" w:lineRule="exact"/>
              <w:jc w:val="center"/>
              <w:rPr>
                <w:rFonts w:eastAsia="楷体_GB2312"/>
                <w:b/>
                <w:color w:val="000000"/>
                <w:szCs w:val="21"/>
              </w:rPr>
            </w:pPr>
            <w:r>
              <w:rPr>
                <w:rFonts w:eastAsia="楷体_GB2312"/>
                <w:b/>
                <w:color w:val="000000"/>
                <w:szCs w:val="21"/>
              </w:rPr>
              <w:t>305</w:t>
            </w:r>
          </w:p>
        </w:tc>
        <w:tc>
          <w:tcPr>
            <w:tcW w:w="0" w:type="auto"/>
            <w:tcBorders>
              <w:top w:val="nil"/>
              <w:left w:val="nil"/>
              <w:bottom w:val="single" w:color="auto" w:sz="8" w:space="0"/>
              <w:right w:val="single" w:color="auto" w:sz="8" w:space="0"/>
            </w:tcBorders>
            <w:noWrap/>
            <w:vAlign w:val="center"/>
          </w:tcPr>
          <w:p w14:paraId="0F16365F">
            <w:pPr>
              <w:widowControl w:val="0"/>
              <w:spacing w:line="240" w:lineRule="exact"/>
              <w:jc w:val="center"/>
              <w:rPr>
                <w:rFonts w:eastAsia="楷体_GB2312"/>
                <w:color w:val="000000"/>
                <w:szCs w:val="21"/>
              </w:rPr>
            </w:pPr>
            <w:r>
              <w:rPr>
                <w:rFonts w:eastAsia="楷体_GB2312"/>
                <w:color w:val="000000"/>
                <w:szCs w:val="21"/>
              </w:rPr>
              <w:t>276</w:t>
            </w:r>
          </w:p>
        </w:tc>
        <w:tc>
          <w:tcPr>
            <w:tcW w:w="0" w:type="auto"/>
            <w:tcBorders>
              <w:top w:val="nil"/>
              <w:left w:val="nil"/>
              <w:bottom w:val="single" w:color="auto" w:sz="8" w:space="0"/>
              <w:right w:val="single" w:color="auto" w:sz="8" w:space="0"/>
            </w:tcBorders>
            <w:noWrap w:val="0"/>
            <w:vAlign w:val="center"/>
          </w:tcPr>
          <w:p w14:paraId="1A3FE17A">
            <w:pPr>
              <w:widowControl w:val="0"/>
              <w:spacing w:line="240" w:lineRule="exact"/>
              <w:jc w:val="center"/>
              <w:rPr>
                <w:rFonts w:eastAsia="楷体_GB2312"/>
                <w:color w:val="000000"/>
                <w:szCs w:val="21"/>
              </w:rPr>
            </w:pPr>
            <w:r>
              <w:rPr>
                <w:rFonts w:eastAsia="楷体_GB2312"/>
                <w:color w:val="000000"/>
                <w:szCs w:val="21"/>
              </w:rPr>
              <w:t>10.51%</w:t>
            </w:r>
          </w:p>
        </w:tc>
        <w:tc>
          <w:tcPr>
            <w:tcW w:w="0" w:type="auto"/>
            <w:tcBorders>
              <w:top w:val="nil"/>
              <w:left w:val="single" w:color="auto" w:sz="4" w:space="0"/>
              <w:bottom w:val="single" w:color="auto" w:sz="4" w:space="0"/>
              <w:right w:val="single" w:color="auto" w:sz="4" w:space="0"/>
            </w:tcBorders>
            <w:noWrap/>
            <w:vAlign w:val="center"/>
          </w:tcPr>
          <w:p w14:paraId="22303812">
            <w:pPr>
              <w:widowControl w:val="0"/>
              <w:spacing w:line="240" w:lineRule="exact"/>
              <w:jc w:val="center"/>
              <w:rPr>
                <w:rFonts w:eastAsia="楷体_GB2312"/>
                <w:b/>
                <w:color w:val="000000"/>
                <w:szCs w:val="21"/>
              </w:rPr>
            </w:pPr>
            <w:r>
              <w:rPr>
                <w:rFonts w:eastAsia="楷体_GB2312"/>
                <w:b/>
                <w:color w:val="000000"/>
                <w:szCs w:val="21"/>
              </w:rPr>
              <w:t>170</w:t>
            </w:r>
          </w:p>
        </w:tc>
        <w:tc>
          <w:tcPr>
            <w:tcW w:w="0" w:type="auto"/>
            <w:tcBorders>
              <w:top w:val="nil"/>
              <w:left w:val="nil"/>
              <w:bottom w:val="single" w:color="auto" w:sz="8" w:space="0"/>
              <w:right w:val="single" w:color="auto" w:sz="8" w:space="0"/>
            </w:tcBorders>
            <w:noWrap/>
            <w:vAlign w:val="center"/>
          </w:tcPr>
          <w:p w14:paraId="720FB02B">
            <w:pPr>
              <w:widowControl w:val="0"/>
              <w:spacing w:line="240" w:lineRule="exact"/>
              <w:jc w:val="center"/>
              <w:rPr>
                <w:rFonts w:eastAsia="楷体_GB2312"/>
                <w:color w:val="000000"/>
                <w:szCs w:val="21"/>
              </w:rPr>
            </w:pPr>
            <w:r>
              <w:rPr>
                <w:rFonts w:eastAsia="楷体_GB2312"/>
                <w:color w:val="000000"/>
                <w:szCs w:val="21"/>
              </w:rPr>
              <w:t>165</w:t>
            </w:r>
          </w:p>
        </w:tc>
        <w:tc>
          <w:tcPr>
            <w:tcW w:w="0" w:type="auto"/>
            <w:tcBorders>
              <w:top w:val="nil"/>
              <w:left w:val="nil"/>
              <w:bottom w:val="single" w:color="auto" w:sz="8" w:space="0"/>
              <w:right w:val="single" w:color="auto" w:sz="8" w:space="0"/>
            </w:tcBorders>
            <w:noWrap w:val="0"/>
            <w:vAlign w:val="center"/>
          </w:tcPr>
          <w:p w14:paraId="062BD301">
            <w:pPr>
              <w:widowControl w:val="0"/>
              <w:spacing w:line="240" w:lineRule="exact"/>
              <w:jc w:val="center"/>
              <w:rPr>
                <w:rFonts w:eastAsia="楷体_GB2312"/>
                <w:color w:val="000000"/>
                <w:szCs w:val="21"/>
              </w:rPr>
            </w:pPr>
            <w:r>
              <w:rPr>
                <w:rFonts w:eastAsia="楷体_GB2312"/>
                <w:color w:val="000000"/>
                <w:szCs w:val="21"/>
              </w:rPr>
              <w:t>3.03%</w:t>
            </w:r>
          </w:p>
        </w:tc>
      </w:tr>
      <w:tr w14:paraId="6A4412D0">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auto" w:sz="4" w:space="0"/>
              <w:right w:val="single" w:color="auto" w:sz="8" w:space="0"/>
            </w:tcBorders>
            <w:noWrap w:val="0"/>
            <w:vAlign w:val="center"/>
          </w:tcPr>
          <w:p w14:paraId="09DDB5F6">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auto" w:sz="4" w:space="0"/>
              <w:right w:val="single" w:color="auto" w:sz="8" w:space="0"/>
            </w:tcBorders>
            <w:noWrap w:val="0"/>
            <w:vAlign w:val="center"/>
          </w:tcPr>
          <w:p w14:paraId="1E53DE40">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51C2DF9C">
            <w:pPr>
              <w:widowControl w:val="0"/>
              <w:spacing w:line="240" w:lineRule="exact"/>
              <w:jc w:val="center"/>
              <w:rPr>
                <w:rFonts w:eastAsia="楷体_GB2312"/>
                <w:szCs w:val="21"/>
              </w:rPr>
            </w:pPr>
            <w:r>
              <w:rPr>
                <w:rFonts w:eastAsia="楷体_GB2312"/>
                <w:szCs w:val="21"/>
              </w:rPr>
              <w:t>3</w:t>
            </w:r>
          </w:p>
        </w:tc>
        <w:tc>
          <w:tcPr>
            <w:tcW w:w="0" w:type="auto"/>
            <w:tcBorders>
              <w:top w:val="nil"/>
              <w:left w:val="single" w:color="auto" w:sz="4" w:space="0"/>
              <w:bottom w:val="single" w:color="auto" w:sz="4" w:space="0"/>
              <w:right w:val="single" w:color="auto" w:sz="4" w:space="0"/>
            </w:tcBorders>
            <w:noWrap/>
            <w:vAlign w:val="center"/>
          </w:tcPr>
          <w:p w14:paraId="40AC2E99">
            <w:pPr>
              <w:widowControl w:val="0"/>
              <w:spacing w:line="240" w:lineRule="exact"/>
              <w:jc w:val="center"/>
              <w:rPr>
                <w:rFonts w:eastAsia="楷体_GB2312"/>
                <w:b/>
                <w:color w:val="000000"/>
                <w:szCs w:val="21"/>
              </w:rPr>
            </w:pPr>
            <w:r>
              <w:rPr>
                <w:rFonts w:eastAsia="楷体_GB2312"/>
                <w:b/>
                <w:color w:val="000000"/>
                <w:szCs w:val="21"/>
              </w:rPr>
              <w:t>370</w:t>
            </w:r>
          </w:p>
        </w:tc>
        <w:tc>
          <w:tcPr>
            <w:tcW w:w="0" w:type="auto"/>
            <w:tcBorders>
              <w:top w:val="nil"/>
              <w:left w:val="nil"/>
              <w:bottom w:val="single" w:color="auto" w:sz="8" w:space="0"/>
              <w:right w:val="single" w:color="auto" w:sz="8" w:space="0"/>
            </w:tcBorders>
            <w:noWrap/>
            <w:vAlign w:val="center"/>
          </w:tcPr>
          <w:p w14:paraId="74E73A7E">
            <w:pPr>
              <w:widowControl w:val="0"/>
              <w:spacing w:line="240" w:lineRule="exact"/>
              <w:jc w:val="center"/>
              <w:rPr>
                <w:rFonts w:eastAsia="楷体_GB2312"/>
                <w:color w:val="000000"/>
                <w:szCs w:val="21"/>
              </w:rPr>
            </w:pPr>
            <w:r>
              <w:rPr>
                <w:rFonts w:eastAsia="楷体_GB2312"/>
                <w:color w:val="000000"/>
                <w:szCs w:val="21"/>
              </w:rPr>
              <w:t>359</w:t>
            </w:r>
          </w:p>
        </w:tc>
        <w:tc>
          <w:tcPr>
            <w:tcW w:w="0" w:type="auto"/>
            <w:tcBorders>
              <w:top w:val="nil"/>
              <w:left w:val="nil"/>
              <w:bottom w:val="single" w:color="auto" w:sz="8" w:space="0"/>
              <w:right w:val="single" w:color="auto" w:sz="8" w:space="0"/>
            </w:tcBorders>
            <w:noWrap w:val="0"/>
            <w:vAlign w:val="center"/>
          </w:tcPr>
          <w:p w14:paraId="796DBF9D">
            <w:pPr>
              <w:widowControl w:val="0"/>
              <w:spacing w:line="240" w:lineRule="exact"/>
              <w:jc w:val="center"/>
              <w:rPr>
                <w:rFonts w:eastAsia="楷体_GB2312"/>
                <w:color w:val="000000"/>
                <w:szCs w:val="21"/>
              </w:rPr>
            </w:pPr>
            <w:r>
              <w:rPr>
                <w:rFonts w:eastAsia="楷体_GB2312"/>
                <w:color w:val="000000"/>
                <w:szCs w:val="21"/>
              </w:rPr>
              <w:t>3.06%</w:t>
            </w:r>
          </w:p>
        </w:tc>
        <w:tc>
          <w:tcPr>
            <w:tcW w:w="0" w:type="auto"/>
            <w:tcBorders>
              <w:top w:val="nil"/>
              <w:left w:val="single" w:color="auto" w:sz="4" w:space="0"/>
              <w:bottom w:val="single" w:color="auto" w:sz="4" w:space="0"/>
              <w:right w:val="single" w:color="auto" w:sz="4" w:space="0"/>
            </w:tcBorders>
            <w:noWrap/>
            <w:vAlign w:val="center"/>
          </w:tcPr>
          <w:p w14:paraId="0BDAFFC0">
            <w:pPr>
              <w:widowControl w:val="0"/>
              <w:spacing w:line="240" w:lineRule="exact"/>
              <w:jc w:val="center"/>
              <w:rPr>
                <w:rFonts w:eastAsia="楷体_GB2312"/>
                <w:b/>
                <w:color w:val="000000"/>
                <w:szCs w:val="21"/>
              </w:rPr>
            </w:pPr>
            <w:r>
              <w:rPr>
                <w:rFonts w:eastAsia="楷体_GB2312"/>
                <w:b/>
                <w:color w:val="000000"/>
                <w:szCs w:val="21"/>
              </w:rPr>
              <w:t>225</w:t>
            </w:r>
          </w:p>
        </w:tc>
        <w:tc>
          <w:tcPr>
            <w:tcW w:w="0" w:type="auto"/>
            <w:tcBorders>
              <w:top w:val="nil"/>
              <w:left w:val="nil"/>
              <w:bottom w:val="single" w:color="auto" w:sz="8" w:space="0"/>
              <w:right w:val="single" w:color="auto" w:sz="8" w:space="0"/>
            </w:tcBorders>
            <w:noWrap/>
            <w:vAlign w:val="center"/>
          </w:tcPr>
          <w:p w14:paraId="2A406C92">
            <w:pPr>
              <w:widowControl w:val="0"/>
              <w:spacing w:line="240" w:lineRule="exact"/>
              <w:jc w:val="center"/>
              <w:rPr>
                <w:rFonts w:eastAsia="楷体_GB2312"/>
                <w:color w:val="000000"/>
                <w:szCs w:val="21"/>
              </w:rPr>
            </w:pPr>
            <w:r>
              <w:rPr>
                <w:rFonts w:eastAsia="楷体_GB2312"/>
                <w:color w:val="000000"/>
                <w:szCs w:val="21"/>
              </w:rPr>
              <w:t>211</w:t>
            </w:r>
          </w:p>
        </w:tc>
        <w:tc>
          <w:tcPr>
            <w:tcW w:w="0" w:type="auto"/>
            <w:tcBorders>
              <w:top w:val="nil"/>
              <w:left w:val="nil"/>
              <w:bottom w:val="single" w:color="auto" w:sz="8" w:space="0"/>
              <w:right w:val="single" w:color="auto" w:sz="8" w:space="0"/>
            </w:tcBorders>
            <w:noWrap w:val="0"/>
            <w:vAlign w:val="center"/>
          </w:tcPr>
          <w:p w14:paraId="14E2ECAC">
            <w:pPr>
              <w:widowControl w:val="0"/>
              <w:spacing w:line="240" w:lineRule="exact"/>
              <w:jc w:val="center"/>
              <w:rPr>
                <w:rFonts w:eastAsia="楷体_GB2312"/>
                <w:color w:val="000000"/>
                <w:szCs w:val="21"/>
              </w:rPr>
            </w:pPr>
            <w:r>
              <w:rPr>
                <w:rFonts w:eastAsia="楷体_GB2312"/>
                <w:color w:val="000000"/>
                <w:szCs w:val="21"/>
              </w:rPr>
              <w:t>6.64%</w:t>
            </w:r>
          </w:p>
        </w:tc>
        <w:tc>
          <w:tcPr>
            <w:tcW w:w="0" w:type="auto"/>
            <w:tcBorders>
              <w:top w:val="nil"/>
              <w:left w:val="single" w:color="auto" w:sz="4" w:space="0"/>
              <w:bottom w:val="single" w:color="auto" w:sz="4" w:space="0"/>
              <w:right w:val="single" w:color="auto" w:sz="4" w:space="0"/>
            </w:tcBorders>
            <w:noWrap/>
            <w:vAlign w:val="center"/>
          </w:tcPr>
          <w:p w14:paraId="7C0FB660">
            <w:pPr>
              <w:widowControl w:val="0"/>
              <w:spacing w:line="240" w:lineRule="exact"/>
              <w:jc w:val="center"/>
              <w:rPr>
                <w:rFonts w:eastAsia="楷体_GB2312"/>
                <w:b/>
                <w:color w:val="000000"/>
                <w:szCs w:val="21"/>
              </w:rPr>
            </w:pPr>
            <w:r>
              <w:rPr>
                <w:rFonts w:eastAsia="楷体_GB2312"/>
                <w:b/>
                <w:color w:val="000000"/>
                <w:szCs w:val="21"/>
              </w:rPr>
              <w:t>144</w:t>
            </w:r>
          </w:p>
        </w:tc>
        <w:tc>
          <w:tcPr>
            <w:tcW w:w="0" w:type="auto"/>
            <w:tcBorders>
              <w:top w:val="nil"/>
              <w:left w:val="nil"/>
              <w:bottom w:val="single" w:color="auto" w:sz="8" w:space="0"/>
              <w:right w:val="single" w:color="auto" w:sz="8" w:space="0"/>
            </w:tcBorders>
            <w:noWrap/>
            <w:vAlign w:val="center"/>
          </w:tcPr>
          <w:p w14:paraId="5BCD43FB">
            <w:pPr>
              <w:widowControl w:val="0"/>
              <w:spacing w:line="240" w:lineRule="exact"/>
              <w:jc w:val="center"/>
              <w:rPr>
                <w:rFonts w:eastAsia="楷体_GB2312"/>
                <w:color w:val="000000"/>
                <w:szCs w:val="21"/>
              </w:rPr>
            </w:pPr>
            <w:r>
              <w:rPr>
                <w:rFonts w:eastAsia="楷体_GB2312"/>
                <w:color w:val="000000"/>
                <w:szCs w:val="21"/>
              </w:rPr>
              <w:t>144</w:t>
            </w:r>
          </w:p>
        </w:tc>
        <w:tc>
          <w:tcPr>
            <w:tcW w:w="0" w:type="auto"/>
            <w:tcBorders>
              <w:top w:val="nil"/>
              <w:left w:val="nil"/>
              <w:bottom w:val="single" w:color="auto" w:sz="8" w:space="0"/>
              <w:right w:val="single" w:color="auto" w:sz="8" w:space="0"/>
            </w:tcBorders>
            <w:noWrap w:val="0"/>
            <w:vAlign w:val="center"/>
          </w:tcPr>
          <w:p w14:paraId="086083B8">
            <w:pPr>
              <w:widowControl w:val="0"/>
              <w:spacing w:line="240" w:lineRule="exact"/>
              <w:jc w:val="center"/>
              <w:rPr>
                <w:rFonts w:eastAsia="楷体_GB2312"/>
                <w:color w:val="000000"/>
                <w:szCs w:val="21"/>
              </w:rPr>
            </w:pPr>
            <w:r>
              <w:rPr>
                <w:rFonts w:eastAsia="楷体_GB2312"/>
                <w:color w:val="000000"/>
                <w:szCs w:val="21"/>
              </w:rPr>
              <w:t>0.00%</w:t>
            </w:r>
          </w:p>
        </w:tc>
      </w:tr>
      <w:tr w14:paraId="0F04CE41">
        <w:tblPrEx>
          <w:tblCellMar>
            <w:top w:w="0" w:type="dxa"/>
            <w:left w:w="108" w:type="dxa"/>
            <w:bottom w:w="0" w:type="dxa"/>
            <w:right w:w="108" w:type="dxa"/>
          </w:tblCellMar>
        </w:tblPrEx>
        <w:trPr>
          <w:trHeight w:val="20" w:hRule="atLeast"/>
          <w:jc w:val="center"/>
        </w:trPr>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2D6296EF">
            <w:pPr>
              <w:widowControl w:val="0"/>
              <w:spacing w:line="240" w:lineRule="exact"/>
              <w:jc w:val="center"/>
              <w:rPr>
                <w:rFonts w:eastAsia="楷体_GB2312"/>
                <w:szCs w:val="21"/>
              </w:rPr>
            </w:pPr>
            <w:r>
              <w:rPr>
                <w:rFonts w:eastAsia="楷体_GB2312"/>
                <w:szCs w:val="21"/>
              </w:rPr>
              <w:t>5</w:t>
            </w:r>
          </w:p>
        </w:tc>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4BD5D4E6">
            <w:pPr>
              <w:widowControl w:val="0"/>
              <w:spacing w:line="240" w:lineRule="exact"/>
              <w:jc w:val="center"/>
              <w:rPr>
                <w:rFonts w:eastAsia="楷体_GB2312"/>
                <w:color w:val="000000"/>
                <w:szCs w:val="21"/>
              </w:rPr>
            </w:pPr>
            <w:r>
              <w:rPr>
                <w:rFonts w:eastAsia="楷体_GB2312"/>
                <w:color w:val="000000"/>
                <w:szCs w:val="21"/>
              </w:rPr>
              <w:t>大店镇</w:t>
            </w:r>
          </w:p>
        </w:tc>
        <w:tc>
          <w:tcPr>
            <w:tcW w:w="0" w:type="auto"/>
            <w:tcBorders>
              <w:top w:val="nil"/>
              <w:left w:val="nil"/>
              <w:bottom w:val="single" w:color="auto" w:sz="8" w:space="0"/>
              <w:right w:val="single" w:color="auto" w:sz="8" w:space="0"/>
            </w:tcBorders>
            <w:noWrap w:val="0"/>
            <w:vAlign w:val="center"/>
          </w:tcPr>
          <w:p w14:paraId="50F2D76B">
            <w:pPr>
              <w:widowControl w:val="0"/>
              <w:spacing w:line="240" w:lineRule="exact"/>
              <w:jc w:val="center"/>
              <w:rPr>
                <w:rFonts w:eastAsia="楷体_GB2312"/>
                <w:szCs w:val="21"/>
              </w:rPr>
            </w:pPr>
            <w:r>
              <w:rPr>
                <w:rFonts w:eastAsia="楷体_GB2312"/>
                <w:szCs w:val="21"/>
              </w:rPr>
              <w:t>1</w:t>
            </w:r>
          </w:p>
        </w:tc>
        <w:tc>
          <w:tcPr>
            <w:tcW w:w="0" w:type="auto"/>
            <w:tcBorders>
              <w:top w:val="nil"/>
              <w:left w:val="single" w:color="auto" w:sz="4" w:space="0"/>
              <w:bottom w:val="single" w:color="auto" w:sz="4" w:space="0"/>
              <w:right w:val="single" w:color="auto" w:sz="4" w:space="0"/>
            </w:tcBorders>
            <w:noWrap/>
            <w:vAlign w:val="center"/>
          </w:tcPr>
          <w:p w14:paraId="5706C17A">
            <w:pPr>
              <w:widowControl w:val="0"/>
              <w:spacing w:line="240" w:lineRule="exact"/>
              <w:jc w:val="center"/>
              <w:rPr>
                <w:rFonts w:eastAsia="楷体_GB2312"/>
                <w:b/>
                <w:color w:val="000000"/>
                <w:szCs w:val="21"/>
              </w:rPr>
            </w:pPr>
            <w:r>
              <w:rPr>
                <w:rFonts w:eastAsia="楷体_GB2312"/>
                <w:b/>
                <w:color w:val="000000"/>
                <w:szCs w:val="21"/>
              </w:rPr>
              <w:t>535</w:t>
            </w:r>
          </w:p>
        </w:tc>
        <w:tc>
          <w:tcPr>
            <w:tcW w:w="0" w:type="auto"/>
            <w:tcBorders>
              <w:top w:val="nil"/>
              <w:left w:val="nil"/>
              <w:bottom w:val="single" w:color="auto" w:sz="8" w:space="0"/>
              <w:right w:val="single" w:color="auto" w:sz="8" w:space="0"/>
            </w:tcBorders>
            <w:noWrap/>
            <w:vAlign w:val="center"/>
          </w:tcPr>
          <w:p w14:paraId="64CDDC99">
            <w:pPr>
              <w:widowControl w:val="0"/>
              <w:spacing w:line="240" w:lineRule="exact"/>
              <w:jc w:val="center"/>
              <w:rPr>
                <w:rFonts w:eastAsia="楷体_GB2312"/>
                <w:color w:val="000000"/>
                <w:szCs w:val="21"/>
              </w:rPr>
            </w:pPr>
            <w:r>
              <w:rPr>
                <w:rFonts w:eastAsia="楷体_GB2312"/>
                <w:color w:val="000000"/>
                <w:szCs w:val="21"/>
              </w:rPr>
              <w:t>521</w:t>
            </w:r>
          </w:p>
        </w:tc>
        <w:tc>
          <w:tcPr>
            <w:tcW w:w="0" w:type="auto"/>
            <w:tcBorders>
              <w:top w:val="nil"/>
              <w:left w:val="nil"/>
              <w:bottom w:val="single" w:color="auto" w:sz="8" w:space="0"/>
              <w:right w:val="single" w:color="auto" w:sz="8" w:space="0"/>
            </w:tcBorders>
            <w:noWrap w:val="0"/>
            <w:vAlign w:val="center"/>
          </w:tcPr>
          <w:p w14:paraId="4EFDD5E5">
            <w:pPr>
              <w:widowControl w:val="0"/>
              <w:spacing w:line="240" w:lineRule="exact"/>
              <w:jc w:val="center"/>
              <w:rPr>
                <w:rFonts w:eastAsia="楷体_GB2312"/>
                <w:color w:val="000000"/>
                <w:szCs w:val="21"/>
              </w:rPr>
            </w:pPr>
            <w:r>
              <w:rPr>
                <w:rFonts w:eastAsia="楷体_GB2312"/>
                <w:color w:val="000000"/>
                <w:szCs w:val="21"/>
              </w:rPr>
              <w:t>2.69%</w:t>
            </w:r>
          </w:p>
        </w:tc>
        <w:tc>
          <w:tcPr>
            <w:tcW w:w="0" w:type="auto"/>
            <w:tcBorders>
              <w:top w:val="nil"/>
              <w:left w:val="single" w:color="auto" w:sz="4" w:space="0"/>
              <w:bottom w:val="single" w:color="auto" w:sz="4" w:space="0"/>
              <w:right w:val="single" w:color="auto" w:sz="4" w:space="0"/>
            </w:tcBorders>
            <w:noWrap/>
            <w:vAlign w:val="center"/>
          </w:tcPr>
          <w:p w14:paraId="5F18E06D">
            <w:pPr>
              <w:widowControl w:val="0"/>
              <w:spacing w:line="240" w:lineRule="exact"/>
              <w:jc w:val="center"/>
              <w:rPr>
                <w:rFonts w:eastAsia="楷体_GB2312"/>
                <w:b/>
                <w:color w:val="000000"/>
                <w:szCs w:val="21"/>
              </w:rPr>
            </w:pPr>
            <w:r>
              <w:rPr>
                <w:rFonts w:eastAsia="楷体_GB2312"/>
                <w:b/>
                <w:color w:val="000000"/>
                <w:szCs w:val="21"/>
              </w:rPr>
              <w:t>400</w:t>
            </w:r>
          </w:p>
        </w:tc>
        <w:tc>
          <w:tcPr>
            <w:tcW w:w="0" w:type="auto"/>
            <w:tcBorders>
              <w:top w:val="nil"/>
              <w:left w:val="nil"/>
              <w:bottom w:val="single" w:color="auto" w:sz="8" w:space="0"/>
              <w:right w:val="single" w:color="auto" w:sz="8" w:space="0"/>
            </w:tcBorders>
            <w:noWrap/>
            <w:vAlign w:val="center"/>
          </w:tcPr>
          <w:p w14:paraId="7F09B4CA">
            <w:pPr>
              <w:widowControl w:val="0"/>
              <w:spacing w:line="240" w:lineRule="exact"/>
              <w:jc w:val="center"/>
              <w:rPr>
                <w:rFonts w:eastAsia="楷体_GB2312"/>
                <w:color w:val="000000"/>
                <w:szCs w:val="21"/>
              </w:rPr>
            </w:pPr>
            <w:r>
              <w:rPr>
                <w:rFonts w:eastAsia="楷体_GB2312"/>
                <w:color w:val="000000"/>
                <w:szCs w:val="21"/>
              </w:rPr>
              <w:t>375</w:t>
            </w:r>
          </w:p>
        </w:tc>
        <w:tc>
          <w:tcPr>
            <w:tcW w:w="0" w:type="auto"/>
            <w:tcBorders>
              <w:top w:val="nil"/>
              <w:left w:val="nil"/>
              <w:bottom w:val="single" w:color="auto" w:sz="8" w:space="0"/>
              <w:right w:val="single" w:color="auto" w:sz="8" w:space="0"/>
            </w:tcBorders>
            <w:noWrap w:val="0"/>
            <w:vAlign w:val="center"/>
          </w:tcPr>
          <w:p w14:paraId="25CA79B2">
            <w:pPr>
              <w:widowControl w:val="0"/>
              <w:spacing w:line="240" w:lineRule="exact"/>
              <w:jc w:val="center"/>
              <w:rPr>
                <w:rFonts w:eastAsia="楷体_GB2312"/>
                <w:color w:val="000000"/>
                <w:szCs w:val="21"/>
              </w:rPr>
            </w:pPr>
            <w:r>
              <w:rPr>
                <w:rFonts w:eastAsia="楷体_GB2312"/>
                <w:color w:val="000000"/>
                <w:szCs w:val="21"/>
              </w:rPr>
              <w:t>6.67%</w:t>
            </w:r>
          </w:p>
        </w:tc>
        <w:tc>
          <w:tcPr>
            <w:tcW w:w="0" w:type="auto"/>
            <w:tcBorders>
              <w:top w:val="nil"/>
              <w:left w:val="single" w:color="auto" w:sz="4" w:space="0"/>
              <w:bottom w:val="single" w:color="auto" w:sz="4" w:space="0"/>
              <w:right w:val="single" w:color="auto" w:sz="4" w:space="0"/>
            </w:tcBorders>
            <w:noWrap/>
            <w:vAlign w:val="center"/>
          </w:tcPr>
          <w:p w14:paraId="53A5F447">
            <w:pPr>
              <w:widowControl w:val="0"/>
              <w:spacing w:line="240" w:lineRule="exact"/>
              <w:jc w:val="center"/>
              <w:rPr>
                <w:rFonts w:eastAsia="楷体_GB2312"/>
                <w:b/>
                <w:color w:val="000000"/>
                <w:szCs w:val="21"/>
              </w:rPr>
            </w:pPr>
            <w:r>
              <w:rPr>
                <w:rFonts w:eastAsia="楷体_GB2312"/>
                <w:b/>
                <w:color w:val="000000"/>
                <w:szCs w:val="21"/>
              </w:rPr>
              <w:t>170</w:t>
            </w:r>
          </w:p>
        </w:tc>
        <w:tc>
          <w:tcPr>
            <w:tcW w:w="0" w:type="auto"/>
            <w:tcBorders>
              <w:top w:val="nil"/>
              <w:left w:val="nil"/>
              <w:bottom w:val="single" w:color="auto" w:sz="8" w:space="0"/>
              <w:right w:val="single" w:color="auto" w:sz="8" w:space="0"/>
            </w:tcBorders>
            <w:noWrap/>
            <w:vAlign w:val="center"/>
          </w:tcPr>
          <w:p w14:paraId="25022E7F">
            <w:pPr>
              <w:widowControl w:val="0"/>
              <w:spacing w:line="240" w:lineRule="exact"/>
              <w:jc w:val="center"/>
              <w:rPr>
                <w:rFonts w:eastAsia="楷体_GB2312"/>
                <w:color w:val="000000"/>
                <w:szCs w:val="21"/>
              </w:rPr>
            </w:pPr>
            <w:r>
              <w:rPr>
                <w:rFonts w:eastAsia="楷体_GB2312"/>
                <w:color w:val="000000"/>
                <w:szCs w:val="21"/>
              </w:rPr>
              <w:t>165</w:t>
            </w:r>
          </w:p>
        </w:tc>
        <w:tc>
          <w:tcPr>
            <w:tcW w:w="0" w:type="auto"/>
            <w:tcBorders>
              <w:top w:val="nil"/>
              <w:left w:val="nil"/>
              <w:bottom w:val="single" w:color="auto" w:sz="8" w:space="0"/>
              <w:right w:val="single" w:color="auto" w:sz="8" w:space="0"/>
            </w:tcBorders>
            <w:noWrap w:val="0"/>
            <w:vAlign w:val="center"/>
          </w:tcPr>
          <w:p w14:paraId="0BA307EB">
            <w:pPr>
              <w:widowControl w:val="0"/>
              <w:spacing w:line="240" w:lineRule="exact"/>
              <w:jc w:val="center"/>
              <w:rPr>
                <w:rFonts w:eastAsia="楷体_GB2312"/>
                <w:color w:val="000000"/>
                <w:szCs w:val="21"/>
              </w:rPr>
            </w:pPr>
            <w:r>
              <w:rPr>
                <w:rFonts w:eastAsia="楷体_GB2312"/>
                <w:color w:val="000000"/>
                <w:szCs w:val="21"/>
              </w:rPr>
              <w:t>3.03%</w:t>
            </w:r>
          </w:p>
        </w:tc>
      </w:tr>
      <w:tr w14:paraId="09267340">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63A0E99F">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2C567DFA">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57FFC92B">
            <w:pPr>
              <w:widowControl w:val="0"/>
              <w:spacing w:line="240" w:lineRule="exact"/>
              <w:jc w:val="center"/>
              <w:rPr>
                <w:rFonts w:eastAsia="楷体_GB2312"/>
                <w:szCs w:val="21"/>
              </w:rPr>
            </w:pPr>
            <w:r>
              <w:rPr>
                <w:rFonts w:eastAsia="楷体_GB2312"/>
                <w:szCs w:val="21"/>
              </w:rPr>
              <w:t>2</w:t>
            </w:r>
          </w:p>
        </w:tc>
        <w:tc>
          <w:tcPr>
            <w:tcW w:w="0" w:type="auto"/>
            <w:tcBorders>
              <w:top w:val="nil"/>
              <w:left w:val="single" w:color="auto" w:sz="4" w:space="0"/>
              <w:bottom w:val="single" w:color="auto" w:sz="4" w:space="0"/>
              <w:right w:val="single" w:color="auto" w:sz="4" w:space="0"/>
            </w:tcBorders>
            <w:noWrap/>
            <w:vAlign w:val="center"/>
          </w:tcPr>
          <w:p w14:paraId="165FF316">
            <w:pPr>
              <w:widowControl w:val="0"/>
              <w:spacing w:line="240" w:lineRule="exact"/>
              <w:jc w:val="center"/>
              <w:rPr>
                <w:rFonts w:eastAsia="楷体_GB2312"/>
                <w:b/>
                <w:color w:val="000000"/>
                <w:szCs w:val="21"/>
              </w:rPr>
            </w:pPr>
            <w:r>
              <w:rPr>
                <w:rFonts w:eastAsia="楷体_GB2312"/>
                <w:b/>
                <w:color w:val="000000"/>
                <w:szCs w:val="21"/>
              </w:rPr>
              <w:t>430</w:t>
            </w:r>
          </w:p>
        </w:tc>
        <w:tc>
          <w:tcPr>
            <w:tcW w:w="0" w:type="auto"/>
            <w:tcBorders>
              <w:top w:val="nil"/>
              <w:left w:val="nil"/>
              <w:bottom w:val="single" w:color="auto" w:sz="8" w:space="0"/>
              <w:right w:val="single" w:color="auto" w:sz="8" w:space="0"/>
            </w:tcBorders>
            <w:noWrap/>
            <w:vAlign w:val="center"/>
          </w:tcPr>
          <w:p w14:paraId="446A16AF">
            <w:pPr>
              <w:widowControl w:val="0"/>
              <w:spacing w:line="240" w:lineRule="exact"/>
              <w:jc w:val="center"/>
              <w:rPr>
                <w:rFonts w:eastAsia="楷体_GB2312"/>
                <w:color w:val="000000"/>
                <w:szCs w:val="21"/>
              </w:rPr>
            </w:pPr>
            <w:r>
              <w:rPr>
                <w:rFonts w:eastAsia="楷体_GB2312"/>
                <w:color w:val="000000"/>
                <w:szCs w:val="21"/>
              </w:rPr>
              <w:t>397</w:t>
            </w:r>
          </w:p>
        </w:tc>
        <w:tc>
          <w:tcPr>
            <w:tcW w:w="0" w:type="auto"/>
            <w:tcBorders>
              <w:top w:val="nil"/>
              <w:left w:val="nil"/>
              <w:bottom w:val="single" w:color="auto" w:sz="8" w:space="0"/>
              <w:right w:val="single" w:color="auto" w:sz="8" w:space="0"/>
            </w:tcBorders>
            <w:noWrap w:val="0"/>
            <w:vAlign w:val="center"/>
          </w:tcPr>
          <w:p w14:paraId="02878878">
            <w:pPr>
              <w:widowControl w:val="0"/>
              <w:spacing w:line="240" w:lineRule="exact"/>
              <w:jc w:val="center"/>
              <w:rPr>
                <w:rFonts w:eastAsia="楷体_GB2312"/>
                <w:color w:val="000000"/>
                <w:szCs w:val="21"/>
              </w:rPr>
            </w:pPr>
            <w:r>
              <w:rPr>
                <w:rFonts w:eastAsia="楷体_GB2312"/>
                <w:color w:val="000000"/>
                <w:szCs w:val="21"/>
              </w:rPr>
              <w:t>8.31%</w:t>
            </w:r>
          </w:p>
        </w:tc>
        <w:tc>
          <w:tcPr>
            <w:tcW w:w="0" w:type="auto"/>
            <w:tcBorders>
              <w:top w:val="nil"/>
              <w:left w:val="single" w:color="auto" w:sz="4" w:space="0"/>
              <w:bottom w:val="single" w:color="auto" w:sz="4" w:space="0"/>
              <w:right w:val="single" w:color="auto" w:sz="4" w:space="0"/>
            </w:tcBorders>
            <w:noWrap/>
            <w:vAlign w:val="center"/>
          </w:tcPr>
          <w:p w14:paraId="7B1C1A67">
            <w:pPr>
              <w:widowControl w:val="0"/>
              <w:spacing w:line="240" w:lineRule="exact"/>
              <w:jc w:val="center"/>
              <w:rPr>
                <w:rFonts w:eastAsia="楷体_GB2312"/>
                <w:b/>
                <w:color w:val="000000"/>
                <w:szCs w:val="21"/>
              </w:rPr>
            </w:pPr>
            <w:r>
              <w:rPr>
                <w:rFonts w:eastAsia="楷体_GB2312"/>
                <w:b/>
                <w:color w:val="000000"/>
                <w:szCs w:val="21"/>
              </w:rPr>
              <w:t>300</w:t>
            </w:r>
          </w:p>
        </w:tc>
        <w:tc>
          <w:tcPr>
            <w:tcW w:w="0" w:type="auto"/>
            <w:tcBorders>
              <w:top w:val="nil"/>
              <w:left w:val="nil"/>
              <w:bottom w:val="single" w:color="auto" w:sz="8" w:space="0"/>
              <w:right w:val="single" w:color="auto" w:sz="8" w:space="0"/>
            </w:tcBorders>
            <w:noWrap/>
            <w:vAlign w:val="center"/>
          </w:tcPr>
          <w:p w14:paraId="3362D794">
            <w:pPr>
              <w:widowControl w:val="0"/>
              <w:spacing w:line="240" w:lineRule="exact"/>
              <w:jc w:val="center"/>
              <w:rPr>
                <w:rFonts w:eastAsia="楷体_GB2312"/>
                <w:color w:val="000000"/>
                <w:szCs w:val="21"/>
              </w:rPr>
            </w:pPr>
            <w:r>
              <w:rPr>
                <w:rFonts w:eastAsia="楷体_GB2312"/>
                <w:color w:val="000000"/>
                <w:szCs w:val="21"/>
              </w:rPr>
              <w:t>265</w:t>
            </w:r>
          </w:p>
        </w:tc>
        <w:tc>
          <w:tcPr>
            <w:tcW w:w="0" w:type="auto"/>
            <w:tcBorders>
              <w:top w:val="nil"/>
              <w:left w:val="nil"/>
              <w:bottom w:val="single" w:color="auto" w:sz="8" w:space="0"/>
              <w:right w:val="single" w:color="auto" w:sz="8" w:space="0"/>
            </w:tcBorders>
            <w:noWrap w:val="0"/>
            <w:vAlign w:val="center"/>
          </w:tcPr>
          <w:p w14:paraId="417BEA2E">
            <w:pPr>
              <w:widowControl w:val="0"/>
              <w:spacing w:line="240" w:lineRule="exact"/>
              <w:jc w:val="center"/>
              <w:rPr>
                <w:rFonts w:eastAsia="楷体_GB2312"/>
                <w:color w:val="000000"/>
                <w:szCs w:val="21"/>
              </w:rPr>
            </w:pPr>
            <w:r>
              <w:rPr>
                <w:rFonts w:eastAsia="楷体_GB2312"/>
                <w:color w:val="000000"/>
                <w:szCs w:val="21"/>
              </w:rPr>
              <w:t>13.21%</w:t>
            </w:r>
          </w:p>
        </w:tc>
        <w:tc>
          <w:tcPr>
            <w:tcW w:w="0" w:type="auto"/>
            <w:tcBorders>
              <w:top w:val="nil"/>
              <w:left w:val="single" w:color="auto" w:sz="4" w:space="0"/>
              <w:bottom w:val="single" w:color="auto" w:sz="4" w:space="0"/>
              <w:right w:val="single" w:color="auto" w:sz="4" w:space="0"/>
            </w:tcBorders>
            <w:noWrap/>
            <w:vAlign w:val="center"/>
          </w:tcPr>
          <w:p w14:paraId="6184BF90">
            <w:pPr>
              <w:widowControl w:val="0"/>
              <w:spacing w:line="240" w:lineRule="exact"/>
              <w:jc w:val="center"/>
              <w:rPr>
                <w:rFonts w:eastAsia="楷体_GB2312"/>
                <w:b/>
                <w:color w:val="000000"/>
                <w:szCs w:val="21"/>
              </w:rPr>
            </w:pPr>
            <w:r>
              <w:rPr>
                <w:rFonts w:eastAsia="楷体_GB2312"/>
                <w:b/>
                <w:color w:val="000000"/>
                <w:szCs w:val="21"/>
              </w:rPr>
              <w:t>155</w:t>
            </w:r>
          </w:p>
        </w:tc>
        <w:tc>
          <w:tcPr>
            <w:tcW w:w="0" w:type="auto"/>
            <w:tcBorders>
              <w:top w:val="nil"/>
              <w:left w:val="nil"/>
              <w:bottom w:val="single" w:color="auto" w:sz="8" w:space="0"/>
              <w:right w:val="single" w:color="auto" w:sz="8" w:space="0"/>
            </w:tcBorders>
            <w:noWrap/>
            <w:vAlign w:val="center"/>
          </w:tcPr>
          <w:p w14:paraId="25E8592F">
            <w:pPr>
              <w:widowControl w:val="0"/>
              <w:spacing w:line="240" w:lineRule="exact"/>
              <w:jc w:val="center"/>
              <w:rPr>
                <w:rFonts w:eastAsia="楷体_GB2312"/>
                <w:color w:val="000000"/>
                <w:szCs w:val="21"/>
              </w:rPr>
            </w:pPr>
            <w:r>
              <w:rPr>
                <w:rFonts w:eastAsia="楷体_GB2312"/>
                <w:color w:val="000000"/>
                <w:szCs w:val="21"/>
              </w:rPr>
              <w:t>150</w:t>
            </w:r>
          </w:p>
        </w:tc>
        <w:tc>
          <w:tcPr>
            <w:tcW w:w="0" w:type="auto"/>
            <w:tcBorders>
              <w:top w:val="nil"/>
              <w:left w:val="nil"/>
              <w:bottom w:val="single" w:color="auto" w:sz="8" w:space="0"/>
              <w:right w:val="single" w:color="auto" w:sz="8" w:space="0"/>
            </w:tcBorders>
            <w:noWrap w:val="0"/>
            <w:vAlign w:val="center"/>
          </w:tcPr>
          <w:p w14:paraId="73B87AD3">
            <w:pPr>
              <w:widowControl w:val="0"/>
              <w:spacing w:line="240" w:lineRule="exact"/>
              <w:jc w:val="center"/>
              <w:rPr>
                <w:rFonts w:eastAsia="楷体_GB2312"/>
                <w:color w:val="000000"/>
                <w:szCs w:val="21"/>
              </w:rPr>
            </w:pPr>
            <w:r>
              <w:rPr>
                <w:rFonts w:eastAsia="楷体_GB2312"/>
                <w:color w:val="000000"/>
                <w:szCs w:val="21"/>
              </w:rPr>
              <w:t>3.33%</w:t>
            </w:r>
          </w:p>
        </w:tc>
      </w:tr>
      <w:tr w14:paraId="562EEF79">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auto" w:sz="4" w:space="0"/>
              <w:right w:val="single" w:color="auto" w:sz="8" w:space="0"/>
            </w:tcBorders>
            <w:noWrap w:val="0"/>
            <w:vAlign w:val="center"/>
          </w:tcPr>
          <w:p w14:paraId="0A5C717F">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auto" w:sz="4" w:space="0"/>
              <w:right w:val="single" w:color="auto" w:sz="8" w:space="0"/>
            </w:tcBorders>
            <w:noWrap w:val="0"/>
            <w:vAlign w:val="center"/>
          </w:tcPr>
          <w:p w14:paraId="56298CCD">
            <w:pPr>
              <w:widowControl w:val="0"/>
              <w:spacing w:line="240" w:lineRule="exact"/>
              <w:jc w:val="center"/>
              <w:rPr>
                <w:rFonts w:eastAsia="楷体_GB2312"/>
                <w:szCs w:val="21"/>
              </w:rPr>
            </w:pPr>
          </w:p>
        </w:tc>
        <w:tc>
          <w:tcPr>
            <w:tcW w:w="0" w:type="auto"/>
            <w:tcBorders>
              <w:top w:val="nil"/>
              <w:left w:val="nil"/>
              <w:bottom w:val="single" w:color="auto" w:sz="4" w:space="0"/>
              <w:right w:val="single" w:color="auto" w:sz="8" w:space="0"/>
            </w:tcBorders>
            <w:noWrap w:val="0"/>
            <w:vAlign w:val="center"/>
          </w:tcPr>
          <w:p w14:paraId="7E81F6C9">
            <w:pPr>
              <w:widowControl w:val="0"/>
              <w:spacing w:line="240" w:lineRule="exact"/>
              <w:jc w:val="center"/>
              <w:rPr>
                <w:rFonts w:eastAsia="楷体_GB2312"/>
                <w:szCs w:val="21"/>
              </w:rPr>
            </w:pPr>
            <w:r>
              <w:rPr>
                <w:rFonts w:eastAsia="楷体_GB2312"/>
                <w:szCs w:val="21"/>
              </w:rPr>
              <w:t>3</w:t>
            </w:r>
          </w:p>
        </w:tc>
        <w:tc>
          <w:tcPr>
            <w:tcW w:w="0" w:type="auto"/>
            <w:tcBorders>
              <w:top w:val="nil"/>
              <w:left w:val="single" w:color="auto" w:sz="4" w:space="0"/>
              <w:bottom w:val="single" w:color="auto" w:sz="4" w:space="0"/>
              <w:right w:val="single" w:color="auto" w:sz="4" w:space="0"/>
            </w:tcBorders>
            <w:noWrap/>
            <w:vAlign w:val="center"/>
          </w:tcPr>
          <w:p w14:paraId="0BE5508B">
            <w:pPr>
              <w:widowControl w:val="0"/>
              <w:spacing w:line="240" w:lineRule="exact"/>
              <w:jc w:val="center"/>
              <w:rPr>
                <w:rFonts w:eastAsia="楷体_GB2312"/>
                <w:b/>
                <w:color w:val="000000"/>
                <w:szCs w:val="21"/>
              </w:rPr>
            </w:pPr>
            <w:r>
              <w:rPr>
                <w:rFonts w:eastAsia="楷体_GB2312"/>
                <w:b/>
                <w:color w:val="000000"/>
                <w:szCs w:val="21"/>
              </w:rPr>
              <w:t>350</w:t>
            </w:r>
          </w:p>
        </w:tc>
        <w:tc>
          <w:tcPr>
            <w:tcW w:w="0" w:type="auto"/>
            <w:tcBorders>
              <w:top w:val="nil"/>
              <w:left w:val="nil"/>
              <w:bottom w:val="single" w:color="auto" w:sz="8" w:space="0"/>
              <w:right w:val="single" w:color="auto" w:sz="8" w:space="0"/>
            </w:tcBorders>
            <w:noWrap/>
            <w:vAlign w:val="center"/>
          </w:tcPr>
          <w:p w14:paraId="1BD25FE1">
            <w:pPr>
              <w:widowControl w:val="0"/>
              <w:spacing w:line="240" w:lineRule="exact"/>
              <w:jc w:val="center"/>
              <w:rPr>
                <w:rFonts w:eastAsia="楷体_GB2312"/>
                <w:color w:val="000000"/>
                <w:szCs w:val="21"/>
              </w:rPr>
            </w:pPr>
            <w:r>
              <w:rPr>
                <w:rFonts w:eastAsia="楷体_GB2312"/>
                <w:color w:val="000000"/>
                <w:szCs w:val="21"/>
              </w:rPr>
              <w:t>340</w:t>
            </w:r>
          </w:p>
        </w:tc>
        <w:tc>
          <w:tcPr>
            <w:tcW w:w="0" w:type="auto"/>
            <w:tcBorders>
              <w:top w:val="nil"/>
              <w:left w:val="nil"/>
              <w:bottom w:val="single" w:color="auto" w:sz="8" w:space="0"/>
              <w:right w:val="single" w:color="auto" w:sz="8" w:space="0"/>
            </w:tcBorders>
            <w:noWrap w:val="0"/>
            <w:vAlign w:val="center"/>
          </w:tcPr>
          <w:p w14:paraId="25EA0903">
            <w:pPr>
              <w:widowControl w:val="0"/>
              <w:spacing w:line="240" w:lineRule="exact"/>
              <w:jc w:val="center"/>
              <w:rPr>
                <w:rFonts w:eastAsia="楷体_GB2312"/>
                <w:color w:val="000000"/>
                <w:szCs w:val="21"/>
              </w:rPr>
            </w:pPr>
            <w:r>
              <w:rPr>
                <w:rFonts w:eastAsia="楷体_GB2312"/>
                <w:color w:val="000000"/>
                <w:szCs w:val="21"/>
              </w:rPr>
              <w:t>2.94%</w:t>
            </w:r>
          </w:p>
        </w:tc>
        <w:tc>
          <w:tcPr>
            <w:tcW w:w="0" w:type="auto"/>
            <w:tcBorders>
              <w:top w:val="nil"/>
              <w:left w:val="single" w:color="auto" w:sz="4" w:space="0"/>
              <w:bottom w:val="single" w:color="auto" w:sz="4" w:space="0"/>
              <w:right w:val="single" w:color="auto" w:sz="4" w:space="0"/>
            </w:tcBorders>
            <w:noWrap/>
            <w:vAlign w:val="center"/>
          </w:tcPr>
          <w:p w14:paraId="0F6F66EE">
            <w:pPr>
              <w:widowControl w:val="0"/>
              <w:spacing w:line="240" w:lineRule="exact"/>
              <w:jc w:val="center"/>
              <w:rPr>
                <w:rFonts w:eastAsia="楷体_GB2312"/>
                <w:b/>
                <w:color w:val="000000"/>
                <w:szCs w:val="21"/>
              </w:rPr>
            </w:pPr>
            <w:r>
              <w:rPr>
                <w:rFonts w:eastAsia="楷体_GB2312"/>
                <w:b/>
                <w:color w:val="000000"/>
                <w:szCs w:val="21"/>
              </w:rPr>
              <w:t>225</w:t>
            </w:r>
          </w:p>
        </w:tc>
        <w:tc>
          <w:tcPr>
            <w:tcW w:w="0" w:type="auto"/>
            <w:tcBorders>
              <w:top w:val="nil"/>
              <w:left w:val="nil"/>
              <w:bottom w:val="single" w:color="auto" w:sz="8" w:space="0"/>
              <w:right w:val="single" w:color="auto" w:sz="8" w:space="0"/>
            </w:tcBorders>
            <w:noWrap/>
            <w:vAlign w:val="center"/>
          </w:tcPr>
          <w:p w14:paraId="1C9CA361">
            <w:pPr>
              <w:widowControl w:val="0"/>
              <w:spacing w:line="240" w:lineRule="exact"/>
              <w:jc w:val="center"/>
              <w:rPr>
                <w:rFonts w:eastAsia="楷体_GB2312"/>
                <w:color w:val="000000"/>
                <w:szCs w:val="21"/>
              </w:rPr>
            </w:pPr>
            <w:r>
              <w:rPr>
                <w:rFonts w:eastAsia="楷体_GB2312"/>
                <w:color w:val="000000"/>
                <w:szCs w:val="21"/>
              </w:rPr>
              <w:t>210</w:t>
            </w:r>
          </w:p>
        </w:tc>
        <w:tc>
          <w:tcPr>
            <w:tcW w:w="0" w:type="auto"/>
            <w:tcBorders>
              <w:top w:val="nil"/>
              <w:left w:val="nil"/>
              <w:bottom w:val="single" w:color="auto" w:sz="8" w:space="0"/>
              <w:right w:val="single" w:color="auto" w:sz="8" w:space="0"/>
            </w:tcBorders>
            <w:noWrap w:val="0"/>
            <w:vAlign w:val="center"/>
          </w:tcPr>
          <w:p w14:paraId="3FD03240">
            <w:pPr>
              <w:widowControl w:val="0"/>
              <w:spacing w:line="240" w:lineRule="exact"/>
              <w:jc w:val="center"/>
              <w:rPr>
                <w:rFonts w:eastAsia="楷体_GB2312"/>
                <w:color w:val="000000"/>
                <w:szCs w:val="21"/>
              </w:rPr>
            </w:pPr>
            <w:r>
              <w:rPr>
                <w:rFonts w:eastAsia="楷体_GB2312"/>
                <w:color w:val="000000"/>
                <w:szCs w:val="21"/>
              </w:rPr>
              <w:t>7.14%</w:t>
            </w:r>
          </w:p>
        </w:tc>
        <w:tc>
          <w:tcPr>
            <w:tcW w:w="0" w:type="auto"/>
            <w:tcBorders>
              <w:top w:val="nil"/>
              <w:left w:val="single" w:color="auto" w:sz="4" w:space="0"/>
              <w:bottom w:val="single" w:color="auto" w:sz="4" w:space="0"/>
              <w:right w:val="single" w:color="auto" w:sz="4" w:space="0"/>
            </w:tcBorders>
            <w:noWrap/>
            <w:vAlign w:val="center"/>
          </w:tcPr>
          <w:p w14:paraId="12EC2CCE">
            <w:pPr>
              <w:widowControl w:val="0"/>
              <w:spacing w:line="240" w:lineRule="exact"/>
              <w:jc w:val="center"/>
              <w:rPr>
                <w:rFonts w:eastAsia="楷体_GB2312"/>
                <w:b/>
                <w:color w:val="000000"/>
                <w:szCs w:val="21"/>
              </w:rPr>
            </w:pPr>
            <w:r>
              <w:rPr>
                <w:rFonts w:eastAsia="楷体_GB2312"/>
                <w:b/>
                <w:color w:val="000000"/>
                <w:szCs w:val="21"/>
              </w:rPr>
              <w:t>144</w:t>
            </w:r>
          </w:p>
        </w:tc>
        <w:tc>
          <w:tcPr>
            <w:tcW w:w="0" w:type="auto"/>
            <w:tcBorders>
              <w:top w:val="nil"/>
              <w:left w:val="nil"/>
              <w:bottom w:val="single" w:color="auto" w:sz="8" w:space="0"/>
              <w:right w:val="single" w:color="auto" w:sz="8" w:space="0"/>
            </w:tcBorders>
            <w:noWrap/>
            <w:vAlign w:val="center"/>
          </w:tcPr>
          <w:p w14:paraId="3C54B051">
            <w:pPr>
              <w:widowControl w:val="0"/>
              <w:spacing w:line="240" w:lineRule="exact"/>
              <w:jc w:val="center"/>
              <w:rPr>
                <w:rFonts w:eastAsia="楷体_GB2312"/>
                <w:color w:val="000000"/>
                <w:szCs w:val="21"/>
              </w:rPr>
            </w:pPr>
            <w:r>
              <w:rPr>
                <w:rFonts w:eastAsia="楷体_GB2312"/>
                <w:color w:val="000000"/>
                <w:szCs w:val="21"/>
              </w:rPr>
              <w:t>144</w:t>
            </w:r>
          </w:p>
        </w:tc>
        <w:tc>
          <w:tcPr>
            <w:tcW w:w="0" w:type="auto"/>
            <w:tcBorders>
              <w:top w:val="nil"/>
              <w:left w:val="nil"/>
              <w:bottom w:val="single" w:color="auto" w:sz="8" w:space="0"/>
              <w:right w:val="single" w:color="auto" w:sz="8" w:space="0"/>
            </w:tcBorders>
            <w:noWrap w:val="0"/>
            <w:vAlign w:val="center"/>
          </w:tcPr>
          <w:p w14:paraId="49AE36B3">
            <w:pPr>
              <w:widowControl w:val="0"/>
              <w:spacing w:line="240" w:lineRule="exact"/>
              <w:jc w:val="center"/>
              <w:rPr>
                <w:rFonts w:eastAsia="楷体_GB2312"/>
                <w:color w:val="000000"/>
                <w:szCs w:val="21"/>
              </w:rPr>
            </w:pPr>
            <w:r>
              <w:rPr>
                <w:rFonts w:eastAsia="楷体_GB2312"/>
                <w:color w:val="000000"/>
                <w:szCs w:val="21"/>
              </w:rPr>
              <w:t>0.00%</w:t>
            </w:r>
          </w:p>
        </w:tc>
      </w:tr>
      <w:tr w14:paraId="20A195EB">
        <w:tblPrEx>
          <w:tblCellMar>
            <w:top w:w="0" w:type="dxa"/>
            <w:left w:w="108" w:type="dxa"/>
            <w:bottom w:w="0" w:type="dxa"/>
            <w:right w:w="108" w:type="dxa"/>
          </w:tblCellMar>
        </w:tblPrEx>
        <w:trPr>
          <w:trHeight w:val="20" w:hRule="atLeast"/>
          <w:jc w:val="center"/>
        </w:trPr>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71B932F4">
            <w:pPr>
              <w:widowControl w:val="0"/>
              <w:spacing w:line="240" w:lineRule="exact"/>
              <w:jc w:val="center"/>
              <w:rPr>
                <w:rFonts w:eastAsia="楷体_GB2312"/>
                <w:szCs w:val="21"/>
              </w:rPr>
            </w:pPr>
            <w:r>
              <w:rPr>
                <w:rFonts w:eastAsia="楷体_GB2312"/>
                <w:szCs w:val="21"/>
              </w:rPr>
              <w:t>6</w:t>
            </w:r>
          </w:p>
        </w:tc>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5FE29CD6">
            <w:pPr>
              <w:widowControl w:val="0"/>
              <w:spacing w:line="240" w:lineRule="exact"/>
              <w:jc w:val="center"/>
              <w:rPr>
                <w:rFonts w:eastAsia="楷体_GB2312"/>
                <w:color w:val="000000"/>
                <w:szCs w:val="21"/>
              </w:rPr>
            </w:pPr>
            <w:r>
              <w:rPr>
                <w:rFonts w:eastAsia="楷体_GB2312"/>
                <w:color w:val="000000"/>
                <w:szCs w:val="21"/>
              </w:rPr>
              <w:t>栏杆镇</w:t>
            </w:r>
          </w:p>
        </w:tc>
        <w:tc>
          <w:tcPr>
            <w:tcW w:w="0" w:type="auto"/>
            <w:tcBorders>
              <w:top w:val="single" w:color="auto" w:sz="4" w:space="0"/>
              <w:left w:val="nil"/>
              <w:bottom w:val="single" w:color="auto" w:sz="8" w:space="0"/>
              <w:right w:val="single" w:color="auto" w:sz="8" w:space="0"/>
            </w:tcBorders>
            <w:noWrap w:val="0"/>
            <w:vAlign w:val="center"/>
          </w:tcPr>
          <w:p w14:paraId="7CC3EDB9">
            <w:pPr>
              <w:widowControl w:val="0"/>
              <w:spacing w:line="240" w:lineRule="exact"/>
              <w:jc w:val="center"/>
              <w:rPr>
                <w:rFonts w:eastAsia="楷体_GB2312"/>
                <w:szCs w:val="21"/>
              </w:rPr>
            </w:pPr>
            <w:r>
              <w:rPr>
                <w:rFonts w:eastAsia="楷体_GB2312"/>
                <w:szCs w:val="21"/>
              </w:rPr>
              <w:t>1</w:t>
            </w:r>
          </w:p>
        </w:tc>
        <w:tc>
          <w:tcPr>
            <w:tcW w:w="0" w:type="auto"/>
            <w:tcBorders>
              <w:top w:val="nil"/>
              <w:left w:val="single" w:color="auto" w:sz="4" w:space="0"/>
              <w:bottom w:val="single" w:color="auto" w:sz="4" w:space="0"/>
              <w:right w:val="single" w:color="auto" w:sz="4" w:space="0"/>
            </w:tcBorders>
            <w:noWrap/>
            <w:vAlign w:val="center"/>
          </w:tcPr>
          <w:p w14:paraId="19F36A34">
            <w:pPr>
              <w:widowControl w:val="0"/>
              <w:spacing w:line="240" w:lineRule="exact"/>
              <w:jc w:val="center"/>
              <w:rPr>
                <w:rFonts w:eastAsia="楷体_GB2312"/>
                <w:b/>
                <w:color w:val="000000"/>
                <w:szCs w:val="21"/>
              </w:rPr>
            </w:pPr>
            <w:r>
              <w:rPr>
                <w:rFonts w:eastAsia="楷体_GB2312"/>
                <w:b/>
                <w:color w:val="000000"/>
                <w:szCs w:val="21"/>
              </w:rPr>
              <w:t>520</w:t>
            </w:r>
          </w:p>
        </w:tc>
        <w:tc>
          <w:tcPr>
            <w:tcW w:w="0" w:type="auto"/>
            <w:tcBorders>
              <w:top w:val="nil"/>
              <w:left w:val="nil"/>
              <w:bottom w:val="single" w:color="auto" w:sz="8" w:space="0"/>
              <w:right w:val="single" w:color="auto" w:sz="8" w:space="0"/>
            </w:tcBorders>
            <w:noWrap/>
            <w:vAlign w:val="center"/>
          </w:tcPr>
          <w:p w14:paraId="35DCEF26">
            <w:pPr>
              <w:widowControl w:val="0"/>
              <w:spacing w:line="240" w:lineRule="exact"/>
              <w:jc w:val="center"/>
              <w:rPr>
                <w:rFonts w:eastAsia="楷体_GB2312"/>
                <w:color w:val="000000"/>
                <w:szCs w:val="21"/>
              </w:rPr>
            </w:pPr>
            <w:r>
              <w:rPr>
                <w:rFonts w:eastAsia="楷体_GB2312"/>
                <w:color w:val="000000"/>
                <w:szCs w:val="21"/>
              </w:rPr>
              <w:t>509</w:t>
            </w:r>
          </w:p>
        </w:tc>
        <w:tc>
          <w:tcPr>
            <w:tcW w:w="0" w:type="auto"/>
            <w:tcBorders>
              <w:top w:val="nil"/>
              <w:left w:val="nil"/>
              <w:bottom w:val="single" w:color="auto" w:sz="8" w:space="0"/>
              <w:right w:val="single" w:color="auto" w:sz="8" w:space="0"/>
            </w:tcBorders>
            <w:noWrap w:val="0"/>
            <w:vAlign w:val="center"/>
          </w:tcPr>
          <w:p w14:paraId="69378473">
            <w:pPr>
              <w:widowControl w:val="0"/>
              <w:spacing w:line="240" w:lineRule="exact"/>
              <w:jc w:val="center"/>
              <w:rPr>
                <w:rFonts w:eastAsia="楷体_GB2312"/>
                <w:color w:val="000000"/>
                <w:szCs w:val="21"/>
              </w:rPr>
            </w:pPr>
            <w:r>
              <w:rPr>
                <w:rFonts w:eastAsia="楷体_GB2312"/>
                <w:color w:val="000000"/>
                <w:szCs w:val="21"/>
              </w:rPr>
              <w:t>2.16%</w:t>
            </w:r>
          </w:p>
        </w:tc>
        <w:tc>
          <w:tcPr>
            <w:tcW w:w="0" w:type="auto"/>
            <w:tcBorders>
              <w:top w:val="nil"/>
              <w:left w:val="single" w:color="auto" w:sz="4" w:space="0"/>
              <w:bottom w:val="single" w:color="auto" w:sz="4" w:space="0"/>
              <w:right w:val="single" w:color="auto" w:sz="4" w:space="0"/>
            </w:tcBorders>
            <w:noWrap/>
            <w:vAlign w:val="center"/>
          </w:tcPr>
          <w:p w14:paraId="69F9E046">
            <w:pPr>
              <w:widowControl w:val="0"/>
              <w:spacing w:line="240" w:lineRule="exact"/>
              <w:jc w:val="center"/>
              <w:rPr>
                <w:rFonts w:eastAsia="楷体_GB2312"/>
                <w:b/>
                <w:color w:val="000000"/>
                <w:szCs w:val="21"/>
              </w:rPr>
            </w:pPr>
            <w:r>
              <w:rPr>
                <w:rFonts w:eastAsia="楷体_GB2312"/>
                <w:b/>
                <w:color w:val="000000"/>
                <w:szCs w:val="21"/>
              </w:rPr>
              <w:t>395</w:t>
            </w:r>
          </w:p>
        </w:tc>
        <w:tc>
          <w:tcPr>
            <w:tcW w:w="0" w:type="auto"/>
            <w:tcBorders>
              <w:top w:val="nil"/>
              <w:left w:val="nil"/>
              <w:bottom w:val="single" w:color="auto" w:sz="8" w:space="0"/>
              <w:right w:val="single" w:color="auto" w:sz="8" w:space="0"/>
            </w:tcBorders>
            <w:noWrap/>
            <w:vAlign w:val="center"/>
          </w:tcPr>
          <w:p w14:paraId="6F9F858C">
            <w:pPr>
              <w:widowControl w:val="0"/>
              <w:spacing w:line="240" w:lineRule="exact"/>
              <w:jc w:val="center"/>
              <w:rPr>
                <w:rFonts w:eastAsia="楷体_GB2312"/>
                <w:color w:val="000000"/>
                <w:szCs w:val="21"/>
              </w:rPr>
            </w:pPr>
            <w:r>
              <w:rPr>
                <w:rFonts w:eastAsia="楷体_GB2312"/>
                <w:color w:val="000000"/>
                <w:szCs w:val="21"/>
              </w:rPr>
              <w:t>369</w:t>
            </w:r>
          </w:p>
        </w:tc>
        <w:tc>
          <w:tcPr>
            <w:tcW w:w="0" w:type="auto"/>
            <w:tcBorders>
              <w:top w:val="nil"/>
              <w:left w:val="nil"/>
              <w:bottom w:val="single" w:color="auto" w:sz="8" w:space="0"/>
              <w:right w:val="single" w:color="auto" w:sz="8" w:space="0"/>
            </w:tcBorders>
            <w:noWrap w:val="0"/>
            <w:vAlign w:val="center"/>
          </w:tcPr>
          <w:p w14:paraId="48D6D38E">
            <w:pPr>
              <w:widowControl w:val="0"/>
              <w:spacing w:line="240" w:lineRule="exact"/>
              <w:jc w:val="center"/>
              <w:rPr>
                <w:rFonts w:eastAsia="楷体_GB2312"/>
                <w:color w:val="000000"/>
                <w:szCs w:val="21"/>
              </w:rPr>
            </w:pPr>
            <w:r>
              <w:rPr>
                <w:rFonts w:eastAsia="楷体_GB2312"/>
                <w:color w:val="000000"/>
                <w:szCs w:val="21"/>
              </w:rPr>
              <w:t>7.05%</w:t>
            </w:r>
          </w:p>
        </w:tc>
        <w:tc>
          <w:tcPr>
            <w:tcW w:w="0" w:type="auto"/>
            <w:tcBorders>
              <w:top w:val="nil"/>
              <w:left w:val="single" w:color="auto" w:sz="4" w:space="0"/>
              <w:bottom w:val="single" w:color="auto" w:sz="4" w:space="0"/>
              <w:right w:val="single" w:color="auto" w:sz="4" w:space="0"/>
            </w:tcBorders>
            <w:noWrap/>
            <w:vAlign w:val="center"/>
          </w:tcPr>
          <w:p w14:paraId="4D567898">
            <w:pPr>
              <w:widowControl w:val="0"/>
              <w:spacing w:line="240" w:lineRule="exact"/>
              <w:jc w:val="center"/>
              <w:rPr>
                <w:rFonts w:eastAsia="楷体_GB2312"/>
                <w:b/>
                <w:color w:val="000000"/>
                <w:szCs w:val="21"/>
              </w:rPr>
            </w:pPr>
            <w:r>
              <w:rPr>
                <w:rFonts w:eastAsia="楷体_GB2312"/>
                <w:b/>
                <w:color w:val="000000"/>
                <w:szCs w:val="21"/>
              </w:rPr>
              <w:t>200</w:t>
            </w:r>
          </w:p>
        </w:tc>
        <w:tc>
          <w:tcPr>
            <w:tcW w:w="0" w:type="auto"/>
            <w:tcBorders>
              <w:top w:val="nil"/>
              <w:left w:val="nil"/>
              <w:bottom w:val="single" w:color="auto" w:sz="8" w:space="0"/>
              <w:right w:val="single" w:color="auto" w:sz="8" w:space="0"/>
            </w:tcBorders>
            <w:noWrap/>
            <w:vAlign w:val="center"/>
          </w:tcPr>
          <w:p w14:paraId="386CC57C">
            <w:pPr>
              <w:widowControl w:val="0"/>
              <w:spacing w:line="240" w:lineRule="exact"/>
              <w:jc w:val="center"/>
              <w:rPr>
                <w:rFonts w:eastAsia="楷体_GB2312"/>
                <w:color w:val="000000"/>
                <w:szCs w:val="21"/>
              </w:rPr>
            </w:pPr>
            <w:r>
              <w:rPr>
                <w:rFonts w:eastAsia="楷体_GB2312"/>
                <w:color w:val="000000"/>
                <w:szCs w:val="21"/>
              </w:rPr>
              <w:t>195</w:t>
            </w:r>
          </w:p>
        </w:tc>
        <w:tc>
          <w:tcPr>
            <w:tcW w:w="0" w:type="auto"/>
            <w:tcBorders>
              <w:top w:val="nil"/>
              <w:left w:val="nil"/>
              <w:bottom w:val="single" w:color="auto" w:sz="8" w:space="0"/>
              <w:right w:val="single" w:color="auto" w:sz="8" w:space="0"/>
            </w:tcBorders>
            <w:noWrap w:val="0"/>
            <w:vAlign w:val="center"/>
          </w:tcPr>
          <w:p w14:paraId="5C341BA6">
            <w:pPr>
              <w:widowControl w:val="0"/>
              <w:spacing w:line="240" w:lineRule="exact"/>
              <w:jc w:val="center"/>
              <w:rPr>
                <w:rFonts w:eastAsia="楷体_GB2312"/>
                <w:color w:val="000000"/>
                <w:szCs w:val="21"/>
              </w:rPr>
            </w:pPr>
            <w:r>
              <w:rPr>
                <w:rFonts w:eastAsia="楷体_GB2312"/>
                <w:color w:val="000000"/>
                <w:szCs w:val="21"/>
              </w:rPr>
              <w:t>2.56%</w:t>
            </w:r>
          </w:p>
        </w:tc>
      </w:tr>
      <w:tr w14:paraId="5C314FC2">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4D574DCD">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16A49DBE">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1A1A2657">
            <w:pPr>
              <w:widowControl w:val="0"/>
              <w:spacing w:line="240" w:lineRule="exact"/>
              <w:jc w:val="center"/>
              <w:rPr>
                <w:rFonts w:eastAsia="楷体_GB2312"/>
                <w:szCs w:val="21"/>
              </w:rPr>
            </w:pPr>
            <w:r>
              <w:rPr>
                <w:rFonts w:eastAsia="楷体_GB2312"/>
                <w:szCs w:val="21"/>
              </w:rPr>
              <w:t>2</w:t>
            </w:r>
          </w:p>
        </w:tc>
        <w:tc>
          <w:tcPr>
            <w:tcW w:w="0" w:type="auto"/>
            <w:tcBorders>
              <w:top w:val="nil"/>
              <w:left w:val="single" w:color="auto" w:sz="4" w:space="0"/>
              <w:bottom w:val="single" w:color="auto" w:sz="4" w:space="0"/>
              <w:right w:val="single" w:color="auto" w:sz="4" w:space="0"/>
            </w:tcBorders>
            <w:noWrap/>
            <w:vAlign w:val="center"/>
          </w:tcPr>
          <w:p w14:paraId="178F5DFA">
            <w:pPr>
              <w:widowControl w:val="0"/>
              <w:spacing w:line="240" w:lineRule="exact"/>
              <w:jc w:val="center"/>
              <w:rPr>
                <w:rFonts w:eastAsia="楷体_GB2312"/>
                <w:b/>
                <w:color w:val="000000"/>
                <w:szCs w:val="21"/>
              </w:rPr>
            </w:pPr>
            <w:r>
              <w:rPr>
                <w:rFonts w:eastAsia="楷体_GB2312"/>
                <w:b/>
                <w:color w:val="000000"/>
                <w:szCs w:val="21"/>
              </w:rPr>
              <w:t>410</w:t>
            </w:r>
          </w:p>
        </w:tc>
        <w:tc>
          <w:tcPr>
            <w:tcW w:w="0" w:type="auto"/>
            <w:tcBorders>
              <w:top w:val="nil"/>
              <w:left w:val="nil"/>
              <w:bottom w:val="single" w:color="auto" w:sz="8" w:space="0"/>
              <w:right w:val="single" w:color="auto" w:sz="8" w:space="0"/>
            </w:tcBorders>
            <w:noWrap/>
            <w:vAlign w:val="center"/>
          </w:tcPr>
          <w:p w14:paraId="7AF9A8BC">
            <w:pPr>
              <w:widowControl w:val="0"/>
              <w:spacing w:line="240" w:lineRule="exact"/>
              <w:jc w:val="center"/>
              <w:rPr>
                <w:rFonts w:eastAsia="楷体_GB2312"/>
                <w:color w:val="000000"/>
                <w:szCs w:val="21"/>
              </w:rPr>
            </w:pPr>
            <w:r>
              <w:rPr>
                <w:rFonts w:eastAsia="楷体_GB2312"/>
                <w:color w:val="000000"/>
                <w:szCs w:val="21"/>
              </w:rPr>
              <w:t>390</w:t>
            </w:r>
          </w:p>
        </w:tc>
        <w:tc>
          <w:tcPr>
            <w:tcW w:w="0" w:type="auto"/>
            <w:tcBorders>
              <w:top w:val="nil"/>
              <w:left w:val="nil"/>
              <w:bottom w:val="single" w:color="auto" w:sz="8" w:space="0"/>
              <w:right w:val="single" w:color="auto" w:sz="8" w:space="0"/>
            </w:tcBorders>
            <w:noWrap w:val="0"/>
            <w:vAlign w:val="center"/>
          </w:tcPr>
          <w:p w14:paraId="7770E813">
            <w:pPr>
              <w:widowControl w:val="0"/>
              <w:spacing w:line="240" w:lineRule="exact"/>
              <w:jc w:val="center"/>
              <w:rPr>
                <w:rFonts w:eastAsia="楷体_GB2312"/>
                <w:color w:val="000000"/>
                <w:szCs w:val="21"/>
              </w:rPr>
            </w:pPr>
            <w:r>
              <w:rPr>
                <w:rFonts w:eastAsia="楷体_GB2312"/>
                <w:color w:val="000000"/>
                <w:szCs w:val="21"/>
              </w:rPr>
              <w:t>5.13%</w:t>
            </w:r>
          </w:p>
        </w:tc>
        <w:tc>
          <w:tcPr>
            <w:tcW w:w="0" w:type="auto"/>
            <w:tcBorders>
              <w:top w:val="nil"/>
              <w:left w:val="single" w:color="auto" w:sz="4" w:space="0"/>
              <w:bottom w:val="single" w:color="auto" w:sz="4" w:space="0"/>
              <w:right w:val="single" w:color="auto" w:sz="4" w:space="0"/>
            </w:tcBorders>
            <w:noWrap/>
            <w:vAlign w:val="center"/>
          </w:tcPr>
          <w:p w14:paraId="72D47398">
            <w:pPr>
              <w:widowControl w:val="0"/>
              <w:spacing w:line="240" w:lineRule="exact"/>
              <w:jc w:val="center"/>
              <w:rPr>
                <w:rFonts w:eastAsia="楷体_GB2312"/>
                <w:b/>
                <w:color w:val="000000"/>
                <w:szCs w:val="21"/>
              </w:rPr>
            </w:pPr>
            <w:r>
              <w:rPr>
                <w:rFonts w:eastAsia="楷体_GB2312"/>
                <w:b/>
                <w:color w:val="000000"/>
                <w:szCs w:val="21"/>
              </w:rPr>
              <w:t>295</w:t>
            </w:r>
          </w:p>
        </w:tc>
        <w:tc>
          <w:tcPr>
            <w:tcW w:w="0" w:type="auto"/>
            <w:tcBorders>
              <w:top w:val="nil"/>
              <w:left w:val="nil"/>
              <w:bottom w:val="single" w:color="auto" w:sz="8" w:space="0"/>
              <w:right w:val="single" w:color="auto" w:sz="8" w:space="0"/>
            </w:tcBorders>
            <w:noWrap/>
            <w:vAlign w:val="center"/>
          </w:tcPr>
          <w:p w14:paraId="09ED32E3">
            <w:pPr>
              <w:widowControl w:val="0"/>
              <w:spacing w:line="240" w:lineRule="exact"/>
              <w:jc w:val="center"/>
              <w:rPr>
                <w:rFonts w:eastAsia="楷体_GB2312"/>
                <w:color w:val="000000"/>
                <w:szCs w:val="21"/>
              </w:rPr>
            </w:pPr>
            <w:r>
              <w:rPr>
                <w:rFonts w:eastAsia="楷体_GB2312"/>
                <w:color w:val="000000"/>
                <w:szCs w:val="21"/>
              </w:rPr>
              <w:t>256</w:t>
            </w:r>
          </w:p>
        </w:tc>
        <w:tc>
          <w:tcPr>
            <w:tcW w:w="0" w:type="auto"/>
            <w:tcBorders>
              <w:top w:val="nil"/>
              <w:left w:val="nil"/>
              <w:bottom w:val="single" w:color="auto" w:sz="8" w:space="0"/>
              <w:right w:val="single" w:color="auto" w:sz="8" w:space="0"/>
            </w:tcBorders>
            <w:noWrap w:val="0"/>
            <w:vAlign w:val="center"/>
          </w:tcPr>
          <w:p w14:paraId="68F2AAF0">
            <w:pPr>
              <w:widowControl w:val="0"/>
              <w:spacing w:line="240" w:lineRule="exact"/>
              <w:jc w:val="center"/>
              <w:rPr>
                <w:rFonts w:eastAsia="楷体_GB2312"/>
                <w:color w:val="000000"/>
                <w:szCs w:val="21"/>
              </w:rPr>
            </w:pPr>
            <w:r>
              <w:rPr>
                <w:rFonts w:eastAsia="楷体_GB2312"/>
                <w:color w:val="000000"/>
                <w:szCs w:val="21"/>
              </w:rPr>
              <w:t>15.23%</w:t>
            </w:r>
          </w:p>
        </w:tc>
        <w:tc>
          <w:tcPr>
            <w:tcW w:w="0" w:type="auto"/>
            <w:tcBorders>
              <w:top w:val="nil"/>
              <w:left w:val="single" w:color="auto" w:sz="4" w:space="0"/>
              <w:bottom w:val="single" w:color="auto" w:sz="4" w:space="0"/>
              <w:right w:val="single" w:color="auto" w:sz="4" w:space="0"/>
            </w:tcBorders>
            <w:noWrap/>
            <w:vAlign w:val="center"/>
          </w:tcPr>
          <w:p w14:paraId="696BF4C0">
            <w:pPr>
              <w:widowControl w:val="0"/>
              <w:spacing w:line="240" w:lineRule="exact"/>
              <w:jc w:val="center"/>
              <w:rPr>
                <w:rFonts w:eastAsia="楷体_GB2312"/>
                <w:b/>
                <w:color w:val="000000"/>
                <w:szCs w:val="21"/>
              </w:rPr>
            </w:pPr>
            <w:r>
              <w:rPr>
                <w:rFonts w:eastAsia="楷体_GB2312"/>
                <w:b/>
                <w:color w:val="000000"/>
                <w:szCs w:val="21"/>
              </w:rPr>
              <w:t>170</w:t>
            </w:r>
          </w:p>
        </w:tc>
        <w:tc>
          <w:tcPr>
            <w:tcW w:w="0" w:type="auto"/>
            <w:tcBorders>
              <w:top w:val="nil"/>
              <w:left w:val="nil"/>
              <w:bottom w:val="single" w:color="auto" w:sz="8" w:space="0"/>
              <w:right w:val="single" w:color="auto" w:sz="8" w:space="0"/>
            </w:tcBorders>
            <w:noWrap/>
            <w:vAlign w:val="center"/>
          </w:tcPr>
          <w:p w14:paraId="55388D66">
            <w:pPr>
              <w:widowControl w:val="0"/>
              <w:spacing w:line="240" w:lineRule="exact"/>
              <w:jc w:val="center"/>
              <w:rPr>
                <w:rFonts w:eastAsia="楷体_GB2312"/>
                <w:color w:val="000000"/>
                <w:szCs w:val="21"/>
              </w:rPr>
            </w:pPr>
            <w:r>
              <w:rPr>
                <w:rFonts w:eastAsia="楷体_GB2312"/>
                <w:color w:val="000000"/>
                <w:szCs w:val="21"/>
              </w:rPr>
              <w:t>165</w:t>
            </w:r>
          </w:p>
        </w:tc>
        <w:tc>
          <w:tcPr>
            <w:tcW w:w="0" w:type="auto"/>
            <w:tcBorders>
              <w:top w:val="nil"/>
              <w:left w:val="nil"/>
              <w:bottom w:val="single" w:color="auto" w:sz="8" w:space="0"/>
              <w:right w:val="single" w:color="auto" w:sz="8" w:space="0"/>
            </w:tcBorders>
            <w:noWrap w:val="0"/>
            <w:vAlign w:val="center"/>
          </w:tcPr>
          <w:p w14:paraId="3BDFC108">
            <w:pPr>
              <w:widowControl w:val="0"/>
              <w:spacing w:line="240" w:lineRule="exact"/>
              <w:jc w:val="center"/>
              <w:rPr>
                <w:rFonts w:eastAsia="楷体_GB2312"/>
                <w:color w:val="000000"/>
                <w:szCs w:val="21"/>
              </w:rPr>
            </w:pPr>
            <w:r>
              <w:rPr>
                <w:rFonts w:eastAsia="楷体_GB2312"/>
                <w:color w:val="000000"/>
                <w:szCs w:val="21"/>
              </w:rPr>
              <w:t>3.03%</w:t>
            </w:r>
          </w:p>
        </w:tc>
      </w:tr>
      <w:tr w14:paraId="26CD4783">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auto" w:sz="4" w:space="0"/>
              <w:right w:val="single" w:color="auto" w:sz="8" w:space="0"/>
            </w:tcBorders>
            <w:noWrap w:val="0"/>
            <w:vAlign w:val="center"/>
          </w:tcPr>
          <w:p w14:paraId="403F646A">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auto" w:sz="4" w:space="0"/>
              <w:right w:val="single" w:color="auto" w:sz="8" w:space="0"/>
            </w:tcBorders>
            <w:noWrap w:val="0"/>
            <w:vAlign w:val="center"/>
          </w:tcPr>
          <w:p w14:paraId="0488E9B8">
            <w:pPr>
              <w:widowControl w:val="0"/>
              <w:spacing w:line="240" w:lineRule="exact"/>
              <w:jc w:val="center"/>
              <w:rPr>
                <w:rFonts w:eastAsia="楷体_GB2312"/>
                <w:szCs w:val="21"/>
              </w:rPr>
            </w:pPr>
          </w:p>
        </w:tc>
        <w:tc>
          <w:tcPr>
            <w:tcW w:w="0" w:type="auto"/>
            <w:tcBorders>
              <w:top w:val="nil"/>
              <w:left w:val="nil"/>
              <w:bottom w:val="single" w:color="auto" w:sz="4" w:space="0"/>
              <w:right w:val="single" w:color="auto" w:sz="8" w:space="0"/>
            </w:tcBorders>
            <w:noWrap w:val="0"/>
            <w:vAlign w:val="center"/>
          </w:tcPr>
          <w:p w14:paraId="054408EA">
            <w:pPr>
              <w:widowControl w:val="0"/>
              <w:spacing w:line="240" w:lineRule="exact"/>
              <w:jc w:val="center"/>
              <w:rPr>
                <w:rFonts w:eastAsia="楷体_GB2312"/>
                <w:szCs w:val="21"/>
              </w:rPr>
            </w:pPr>
            <w:r>
              <w:rPr>
                <w:rFonts w:eastAsia="楷体_GB2312"/>
                <w:szCs w:val="21"/>
              </w:rPr>
              <w:t>3</w:t>
            </w:r>
          </w:p>
        </w:tc>
        <w:tc>
          <w:tcPr>
            <w:tcW w:w="0" w:type="auto"/>
            <w:tcBorders>
              <w:top w:val="nil"/>
              <w:left w:val="single" w:color="auto" w:sz="4" w:space="0"/>
              <w:bottom w:val="single" w:color="auto" w:sz="4" w:space="0"/>
              <w:right w:val="single" w:color="auto" w:sz="4" w:space="0"/>
            </w:tcBorders>
            <w:noWrap/>
            <w:vAlign w:val="center"/>
          </w:tcPr>
          <w:p w14:paraId="21A997F0">
            <w:pPr>
              <w:widowControl w:val="0"/>
              <w:spacing w:line="240" w:lineRule="exact"/>
              <w:jc w:val="center"/>
              <w:rPr>
                <w:rFonts w:eastAsia="楷体_GB2312"/>
                <w:b/>
                <w:color w:val="000000"/>
                <w:szCs w:val="21"/>
              </w:rPr>
            </w:pPr>
            <w:r>
              <w:rPr>
                <w:rFonts w:eastAsia="楷体_GB2312"/>
                <w:b/>
                <w:color w:val="000000"/>
                <w:szCs w:val="21"/>
              </w:rPr>
              <w:t>325</w:t>
            </w:r>
          </w:p>
        </w:tc>
        <w:tc>
          <w:tcPr>
            <w:tcW w:w="0" w:type="auto"/>
            <w:tcBorders>
              <w:top w:val="nil"/>
              <w:left w:val="nil"/>
              <w:bottom w:val="single" w:color="auto" w:sz="8" w:space="0"/>
              <w:right w:val="single" w:color="auto" w:sz="8" w:space="0"/>
            </w:tcBorders>
            <w:noWrap/>
            <w:vAlign w:val="center"/>
          </w:tcPr>
          <w:p w14:paraId="1A6309D0">
            <w:pPr>
              <w:widowControl w:val="0"/>
              <w:spacing w:line="240" w:lineRule="exact"/>
              <w:jc w:val="center"/>
              <w:rPr>
                <w:rFonts w:eastAsia="楷体_GB2312"/>
                <w:color w:val="000000"/>
                <w:szCs w:val="21"/>
              </w:rPr>
            </w:pPr>
            <w:r>
              <w:rPr>
                <w:rFonts w:eastAsia="楷体_GB2312"/>
                <w:color w:val="000000"/>
                <w:szCs w:val="21"/>
              </w:rPr>
              <w:t>318</w:t>
            </w:r>
          </w:p>
        </w:tc>
        <w:tc>
          <w:tcPr>
            <w:tcW w:w="0" w:type="auto"/>
            <w:tcBorders>
              <w:top w:val="nil"/>
              <w:left w:val="nil"/>
              <w:bottom w:val="single" w:color="auto" w:sz="8" w:space="0"/>
              <w:right w:val="single" w:color="auto" w:sz="8" w:space="0"/>
            </w:tcBorders>
            <w:noWrap w:val="0"/>
            <w:vAlign w:val="center"/>
          </w:tcPr>
          <w:p w14:paraId="3A0008D0">
            <w:pPr>
              <w:widowControl w:val="0"/>
              <w:spacing w:line="240" w:lineRule="exact"/>
              <w:jc w:val="center"/>
              <w:rPr>
                <w:rFonts w:eastAsia="楷体_GB2312"/>
                <w:color w:val="000000"/>
                <w:szCs w:val="21"/>
              </w:rPr>
            </w:pPr>
            <w:r>
              <w:rPr>
                <w:rFonts w:eastAsia="楷体_GB2312"/>
                <w:color w:val="000000"/>
                <w:szCs w:val="21"/>
              </w:rPr>
              <w:t>2.20%</w:t>
            </w:r>
          </w:p>
        </w:tc>
        <w:tc>
          <w:tcPr>
            <w:tcW w:w="0" w:type="auto"/>
            <w:tcBorders>
              <w:top w:val="nil"/>
              <w:left w:val="single" w:color="auto" w:sz="4" w:space="0"/>
              <w:bottom w:val="single" w:color="auto" w:sz="4" w:space="0"/>
              <w:right w:val="single" w:color="auto" w:sz="4" w:space="0"/>
            </w:tcBorders>
            <w:noWrap/>
            <w:vAlign w:val="center"/>
          </w:tcPr>
          <w:p w14:paraId="5FBA31FF">
            <w:pPr>
              <w:widowControl w:val="0"/>
              <w:spacing w:line="240" w:lineRule="exact"/>
              <w:jc w:val="center"/>
              <w:rPr>
                <w:rFonts w:eastAsia="楷体_GB2312"/>
                <w:b/>
                <w:color w:val="000000"/>
                <w:szCs w:val="21"/>
              </w:rPr>
            </w:pPr>
            <w:r>
              <w:rPr>
                <w:rFonts w:eastAsia="楷体_GB2312"/>
                <w:b/>
                <w:color w:val="000000"/>
                <w:szCs w:val="21"/>
              </w:rPr>
              <w:t>225</w:t>
            </w:r>
          </w:p>
        </w:tc>
        <w:tc>
          <w:tcPr>
            <w:tcW w:w="0" w:type="auto"/>
            <w:tcBorders>
              <w:top w:val="nil"/>
              <w:left w:val="nil"/>
              <w:bottom w:val="single" w:color="auto" w:sz="8" w:space="0"/>
              <w:right w:val="single" w:color="auto" w:sz="8" w:space="0"/>
            </w:tcBorders>
            <w:noWrap/>
            <w:vAlign w:val="center"/>
          </w:tcPr>
          <w:p w14:paraId="424A2555">
            <w:pPr>
              <w:widowControl w:val="0"/>
              <w:spacing w:line="240" w:lineRule="exact"/>
              <w:jc w:val="center"/>
              <w:rPr>
                <w:rFonts w:eastAsia="楷体_GB2312"/>
                <w:color w:val="000000"/>
                <w:szCs w:val="21"/>
              </w:rPr>
            </w:pPr>
            <w:r>
              <w:rPr>
                <w:rFonts w:eastAsia="楷体_GB2312"/>
                <w:color w:val="000000"/>
                <w:szCs w:val="21"/>
              </w:rPr>
              <w:t>210</w:t>
            </w:r>
          </w:p>
        </w:tc>
        <w:tc>
          <w:tcPr>
            <w:tcW w:w="0" w:type="auto"/>
            <w:tcBorders>
              <w:top w:val="nil"/>
              <w:left w:val="nil"/>
              <w:bottom w:val="single" w:color="auto" w:sz="8" w:space="0"/>
              <w:right w:val="single" w:color="auto" w:sz="8" w:space="0"/>
            </w:tcBorders>
            <w:noWrap w:val="0"/>
            <w:vAlign w:val="center"/>
          </w:tcPr>
          <w:p w14:paraId="0C8AB16A">
            <w:pPr>
              <w:widowControl w:val="0"/>
              <w:spacing w:line="240" w:lineRule="exact"/>
              <w:jc w:val="center"/>
              <w:rPr>
                <w:rFonts w:eastAsia="楷体_GB2312"/>
                <w:color w:val="000000"/>
                <w:szCs w:val="21"/>
              </w:rPr>
            </w:pPr>
            <w:r>
              <w:rPr>
                <w:rFonts w:eastAsia="楷体_GB2312"/>
                <w:color w:val="000000"/>
                <w:szCs w:val="21"/>
              </w:rPr>
              <w:t>7.14%</w:t>
            </w:r>
          </w:p>
        </w:tc>
        <w:tc>
          <w:tcPr>
            <w:tcW w:w="0" w:type="auto"/>
            <w:tcBorders>
              <w:top w:val="nil"/>
              <w:left w:val="single" w:color="auto" w:sz="4" w:space="0"/>
              <w:bottom w:val="single" w:color="auto" w:sz="4" w:space="0"/>
              <w:right w:val="single" w:color="auto" w:sz="4" w:space="0"/>
            </w:tcBorders>
            <w:noWrap/>
            <w:vAlign w:val="center"/>
          </w:tcPr>
          <w:p w14:paraId="5F017FF0">
            <w:pPr>
              <w:widowControl w:val="0"/>
              <w:spacing w:line="240" w:lineRule="exact"/>
              <w:jc w:val="center"/>
              <w:rPr>
                <w:rFonts w:eastAsia="楷体_GB2312"/>
                <w:b/>
                <w:color w:val="000000"/>
                <w:szCs w:val="21"/>
              </w:rPr>
            </w:pPr>
            <w:r>
              <w:rPr>
                <w:rFonts w:eastAsia="楷体_GB2312"/>
                <w:b/>
                <w:color w:val="000000"/>
                <w:szCs w:val="21"/>
              </w:rPr>
              <w:t>144</w:t>
            </w:r>
          </w:p>
        </w:tc>
        <w:tc>
          <w:tcPr>
            <w:tcW w:w="0" w:type="auto"/>
            <w:tcBorders>
              <w:top w:val="nil"/>
              <w:left w:val="nil"/>
              <w:bottom w:val="single" w:color="auto" w:sz="8" w:space="0"/>
              <w:right w:val="single" w:color="auto" w:sz="8" w:space="0"/>
            </w:tcBorders>
            <w:noWrap/>
            <w:vAlign w:val="center"/>
          </w:tcPr>
          <w:p w14:paraId="08271DEB">
            <w:pPr>
              <w:widowControl w:val="0"/>
              <w:spacing w:line="240" w:lineRule="exact"/>
              <w:jc w:val="center"/>
              <w:rPr>
                <w:rFonts w:eastAsia="楷体_GB2312"/>
                <w:color w:val="000000"/>
                <w:szCs w:val="21"/>
              </w:rPr>
            </w:pPr>
            <w:r>
              <w:rPr>
                <w:rFonts w:eastAsia="楷体_GB2312"/>
                <w:color w:val="000000"/>
                <w:szCs w:val="21"/>
              </w:rPr>
              <w:t>144</w:t>
            </w:r>
          </w:p>
        </w:tc>
        <w:tc>
          <w:tcPr>
            <w:tcW w:w="0" w:type="auto"/>
            <w:tcBorders>
              <w:top w:val="nil"/>
              <w:left w:val="nil"/>
              <w:bottom w:val="single" w:color="auto" w:sz="8" w:space="0"/>
              <w:right w:val="single" w:color="auto" w:sz="8" w:space="0"/>
            </w:tcBorders>
            <w:noWrap w:val="0"/>
            <w:vAlign w:val="center"/>
          </w:tcPr>
          <w:p w14:paraId="5CD7AA6B">
            <w:pPr>
              <w:widowControl w:val="0"/>
              <w:spacing w:line="240" w:lineRule="exact"/>
              <w:jc w:val="center"/>
              <w:rPr>
                <w:rFonts w:eastAsia="楷体_GB2312"/>
                <w:color w:val="000000"/>
                <w:szCs w:val="21"/>
              </w:rPr>
            </w:pPr>
            <w:r>
              <w:rPr>
                <w:rFonts w:eastAsia="楷体_GB2312"/>
                <w:color w:val="000000"/>
                <w:szCs w:val="21"/>
              </w:rPr>
              <w:t>0.00%</w:t>
            </w:r>
          </w:p>
        </w:tc>
      </w:tr>
      <w:tr w14:paraId="24A2010C">
        <w:tblPrEx>
          <w:tblCellMar>
            <w:top w:w="0" w:type="dxa"/>
            <w:left w:w="108" w:type="dxa"/>
            <w:bottom w:w="0" w:type="dxa"/>
            <w:right w:w="108" w:type="dxa"/>
          </w:tblCellMar>
        </w:tblPrEx>
        <w:trPr>
          <w:trHeight w:val="20" w:hRule="atLeast"/>
          <w:jc w:val="center"/>
        </w:trPr>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276EAEAE">
            <w:pPr>
              <w:widowControl w:val="0"/>
              <w:spacing w:line="240" w:lineRule="exact"/>
              <w:jc w:val="center"/>
              <w:rPr>
                <w:rFonts w:eastAsia="楷体_GB2312"/>
                <w:szCs w:val="21"/>
              </w:rPr>
            </w:pPr>
            <w:r>
              <w:rPr>
                <w:rFonts w:eastAsia="楷体_GB2312"/>
                <w:szCs w:val="21"/>
              </w:rPr>
              <w:t>7</w:t>
            </w:r>
          </w:p>
        </w:tc>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70682C99">
            <w:pPr>
              <w:widowControl w:val="0"/>
              <w:spacing w:line="240" w:lineRule="exact"/>
              <w:jc w:val="center"/>
              <w:rPr>
                <w:rFonts w:eastAsia="楷体_GB2312"/>
                <w:color w:val="000000"/>
                <w:szCs w:val="21"/>
              </w:rPr>
            </w:pPr>
            <w:r>
              <w:rPr>
                <w:rFonts w:eastAsia="楷体_GB2312"/>
                <w:color w:val="000000"/>
                <w:szCs w:val="21"/>
              </w:rPr>
              <w:t>时村镇</w:t>
            </w:r>
          </w:p>
        </w:tc>
        <w:tc>
          <w:tcPr>
            <w:tcW w:w="0" w:type="auto"/>
            <w:tcBorders>
              <w:top w:val="single" w:color="auto" w:sz="4" w:space="0"/>
              <w:left w:val="nil"/>
              <w:bottom w:val="single" w:color="auto" w:sz="8" w:space="0"/>
              <w:right w:val="single" w:color="auto" w:sz="8" w:space="0"/>
            </w:tcBorders>
            <w:noWrap w:val="0"/>
            <w:vAlign w:val="center"/>
          </w:tcPr>
          <w:p w14:paraId="3724F1F6">
            <w:pPr>
              <w:widowControl w:val="0"/>
              <w:spacing w:line="240" w:lineRule="exact"/>
              <w:jc w:val="center"/>
              <w:rPr>
                <w:rFonts w:eastAsia="楷体_GB2312"/>
                <w:szCs w:val="21"/>
              </w:rPr>
            </w:pPr>
            <w:r>
              <w:rPr>
                <w:rFonts w:eastAsia="楷体_GB2312"/>
                <w:szCs w:val="21"/>
              </w:rPr>
              <w:t>1</w:t>
            </w:r>
          </w:p>
        </w:tc>
        <w:tc>
          <w:tcPr>
            <w:tcW w:w="0" w:type="auto"/>
            <w:tcBorders>
              <w:top w:val="nil"/>
              <w:left w:val="single" w:color="auto" w:sz="4" w:space="0"/>
              <w:bottom w:val="single" w:color="auto" w:sz="4" w:space="0"/>
              <w:right w:val="single" w:color="auto" w:sz="4" w:space="0"/>
            </w:tcBorders>
            <w:noWrap/>
            <w:vAlign w:val="center"/>
          </w:tcPr>
          <w:p w14:paraId="1A2761B3">
            <w:pPr>
              <w:widowControl w:val="0"/>
              <w:spacing w:line="240" w:lineRule="exact"/>
              <w:jc w:val="center"/>
              <w:rPr>
                <w:rFonts w:eastAsia="楷体_GB2312"/>
                <w:b/>
                <w:color w:val="000000"/>
                <w:szCs w:val="21"/>
              </w:rPr>
            </w:pPr>
            <w:r>
              <w:rPr>
                <w:rFonts w:eastAsia="楷体_GB2312"/>
                <w:b/>
                <w:color w:val="000000"/>
                <w:szCs w:val="21"/>
              </w:rPr>
              <w:t>515</w:t>
            </w:r>
          </w:p>
        </w:tc>
        <w:tc>
          <w:tcPr>
            <w:tcW w:w="0" w:type="auto"/>
            <w:tcBorders>
              <w:top w:val="nil"/>
              <w:left w:val="nil"/>
              <w:bottom w:val="single" w:color="auto" w:sz="8" w:space="0"/>
              <w:right w:val="single" w:color="auto" w:sz="8" w:space="0"/>
            </w:tcBorders>
            <w:noWrap/>
            <w:vAlign w:val="center"/>
          </w:tcPr>
          <w:p w14:paraId="7ED604EA">
            <w:pPr>
              <w:widowControl w:val="0"/>
              <w:spacing w:line="240" w:lineRule="exact"/>
              <w:jc w:val="center"/>
              <w:rPr>
                <w:rFonts w:eastAsia="楷体_GB2312"/>
                <w:color w:val="000000"/>
                <w:szCs w:val="21"/>
              </w:rPr>
            </w:pPr>
            <w:r>
              <w:rPr>
                <w:rFonts w:eastAsia="楷体_GB2312"/>
                <w:color w:val="000000"/>
                <w:szCs w:val="21"/>
              </w:rPr>
              <w:t>502</w:t>
            </w:r>
          </w:p>
        </w:tc>
        <w:tc>
          <w:tcPr>
            <w:tcW w:w="0" w:type="auto"/>
            <w:tcBorders>
              <w:top w:val="nil"/>
              <w:left w:val="nil"/>
              <w:bottom w:val="single" w:color="auto" w:sz="8" w:space="0"/>
              <w:right w:val="single" w:color="auto" w:sz="8" w:space="0"/>
            </w:tcBorders>
            <w:noWrap w:val="0"/>
            <w:vAlign w:val="center"/>
          </w:tcPr>
          <w:p w14:paraId="3180AF4E">
            <w:pPr>
              <w:widowControl w:val="0"/>
              <w:spacing w:line="240" w:lineRule="exact"/>
              <w:jc w:val="center"/>
              <w:rPr>
                <w:rFonts w:eastAsia="楷体_GB2312"/>
                <w:color w:val="000000"/>
                <w:szCs w:val="21"/>
              </w:rPr>
            </w:pPr>
            <w:r>
              <w:rPr>
                <w:rFonts w:eastAsia="楷体_GB2312"/>
                <w:color w:val="000000"/>
                <w:szCs w:val="21"/>
              </w:rPr>
              <w:t>2.59%</w:t>
            </w:r>
          </w:p>
        </w:tc>
        <w:tc>
          <w:tcPr>
            <w:tcW w:w="0" w:type="auto"/>
            <w:tcBorders>
              <w:top w:val="nil"/>
              <w:left w:val="single" w:color="auto" w:sz="4" w:space="0"/>
              <w:bottom w:val="single" w:color="auto" w:sz="4" w:space="0"/>
              <w:right w:val="single" w:color="auto" w:sz="4" w:space="0"/>
            </w:tcBorders>
            <w:noWrap/>
            <w:vAlign w:val="center"/>
          </w:tcPr>
          <w:p w14:paraId="287FE578">
            <w:pPr>
              <w:widowControl w:val="0"/>
              <w:spacing w:line="240" w:lineRule="exact"/>
              <w:jc w:val="center"/>
              <w:rPr>
                <w:rFonts w:eastAsia="楷体_GB2312"/>
                <w:b/>
                <w:color w:val="000000"/>
                <w:szCs w:val="21"/>
              </w:rPr>
            </w:pPr>
            <w:r>
              <w:rPr>
                <w:rFonts w:eastAsia="楷体_GB2312"/>
                <w:b/>
                <w:color w:val="000000"/>
                <w:szCs w:val="21"/>
              </w:rPr>
              <w:t>390</w:t>
            </w:r>
          </w:p>
        </w:tc>
        <w:tc>
          <w:tcPr>
            <w:tcW w:w="0" w:type="auto"/>
            <w:tcBorders>
              <w:top w:val="nil"/>
              <w:left w:val="nil"/>
              <w:bottom w:val="single" w:color="auto" w:sz="8" w:space="0"/>
              <w:right w:val="single" w:color="auto" w:sz="8" w:space="0"/>
            </w:tcBorders>
            <w:noWrap/>
            <w:vAlign w:val="center"/>
          </w:tcPr>
          <w:p w14:paraId="49BC0242">
            <w:pPr>
              <w:widowControl w:val="0"/>
              <w:spacing w:line="240" w:lineRule="exact"/>
              <w:jc w:val="center"/>
              <w:rPr>
                <w:rFonts w:eastAsia="楷体_GB2312"/>
                <w:color w:val="000000"/>
                <w:szCs w:val="21"/>
              </w:rPr>
            </w:pPr>
            <w:r>
              <w:rPr>
                <w:rFonts w:eastAsia="楷体_GB2312"/>
                <w:color w:val="000000"/>
                <w:szCs w:val="21"/>
              </w:rPr>
              <w:t>365</w:t>
            </w:r>
          </w:p>
        </w:tc>
        <w:tc>
          <w:tcPr>
            <w:tcW w:w="0" w:type="auto"/>
            <w:tcBorders>
              <w:top w:val="nil"/>
              <w:left w:val="nil"/>
              <w:bottom w:val="single" w:color="auto" w:sz="8" w:space="0"/>
              <w:right w:val="single" w:color="auto" w:sz="8" w:space="0"/>
            </w:tcBorders>
            <w:noWrap w:val="0"/>
            <w:vAlign w:val="center"/>
          </w:tcPr>
          <w:p w14:paraId="50A43799">
            <w:pPr>
              <w:widowControl w:val="0"/>
              <w:spacing w:line="240" w:lineRule="exact"/>
              <w:jc w:val="center"/>
              <w:rPr>
                <w:rFonts w:eastAsia="楷体_GB2312"/>
                <w:color w:val="000000"/>
                <w:szCs w:val="21"/>
              </w:rPr>
            </w:pPr>
            <w:r>
              <w:rPr>
                <w:rFonts w:eastAsia="楷体_GB2312"/>
                <w:color w:val="000000"/>
                <w:szCs w:val="21"/>
              </w:rPr>
              <w:t>6.85%</w:t>
            </w:r>
          </w:p>
        </w:tc>
        <w:tc>
          <w:tcPr>
            <w:tcW w:w="0" w:type="auto"/>
            <w:tcBorders>
              <w:top w:val="nil"/>
              <w:left w:val="single" w:color="auto" w:sz="4" w:space="0"/>
              <w:bottom w:val="single" w:color="auto" w:sz="4" w:space="0"/>
              <w:right w:val="single" w:color="auto" w:sz="4" w:space="0"/>
            </w:tcBorders>
            <w:noWrap/>
            <w:vAlign w:val="center"/>
          </w:tcPr>
          <w:p w14:paraId="05DBEFC2">
            <w:pPr>
              <w:widowControl w:val="0"/>
              <w:spacing w:line="240" w:lineRule="exact"/>
              <w:jc w:val="center"/>
              <w:rPr>
                <w:rFonts w:eastAsia="楷体_GB2312"/>
                <w:b/>
                <w:color w:val="000000"/>
                <w:szCs w:val="21"/>
              </w:rPr>
            </w:pPr>
            <w:r>
              <w:rPr>
                <w:rFonts w:eastAsia="楷体_GB2312"/>
                <w:b/>
                <w:color w:val="000000"/>
                <w:szCs w:val="21"/>
              </w:rPr>
              <w:t>200</w:t>
            </w:r>
          </w:p>
        </w:tc>
        <w:tc>
          <w:tcPr>
            <w:tcW w:w="0" w:type="auto"/>
            <w:tcBorders>
              <w:top w:val="nil"/>
              <w:left w:val="nil"/>
              <w:bottom w:val="single" w:color="auto" w:sz="8" w:space="0"/>
              <w:right w:val="single" w:color="auto" w:sz="8" w:space="0"/>
            </w:tcBorders>
            <w:noWrap/>
            <w:vAlign w:val="center"/>
          </w:tcPr>
          <w:p w14:paraId="74B477C0">
            <w:pPr>
              <w:widowControl w:val="0"/>
              <w:spacing w:line="240" w:lineRule="exact"/>
              <w:jc w:val="center"/>
              <w:rPr>
                <w:rFonts w:eastAsia="楷体_GB2312"/>
                <w:color w:val="000000"/>
                <w:szCs w:val="21"/>
              </w:rPr>
            </w:pPr>
            <w:r>
              <w:rPr>
                <w:rFonts w:eastAsia="楷体_GB2312"/>
                <w:color w:val="000000"/>
                <w:szCs w:val="21"/>
              </w:rPr>
              <w:t>195</w:t>
            </w:r>
          </w:p>
        </w:tc>
        <w:tc>
          <w:tcPr>
            <w:tcW w:w="0" w:type="auto"/>
            <w:tcBorders>
              <w:top w:val="nil"/>
              <w:left w:val="nil"/>
              <w:bottom w:val="single" w:color="auto" w:sz="8" w:space="0"/>
              <w:right w:val="single" w:color="auto" w:sz="8" w:space="0"/>
            </w:tcBorders>
            <w:noWrap w:val="0"/>
            <w:vAlign w:val="center"/>
          </w:tcPr>
          <w:p w14:paraId="07C4DF40">
            <w:pPr>
              <w:widowControl w:val="0"/>
              <w:spacing w:line="240" w:lineRule="exact"/>
              <w:jc w:val="center"/>
              <w:rPr>
                <w:rFonts w:eastAsia="楷体_GB2312"/>
                <w:color w:val="000000"/>
                <w:szCs w:val="21"/>
              </w:rPr>
            </w:pPr>
            <w:r>
              <w:rPr>
                <w:rFonts w:eastAsia="楷体_GB2312"/>
                <w:color w:val="000000"/>
                <w:szCs w:val="21"/>
              </w:rPr>
              <w:t>2.56%</w:t>
            </w:r>
          </w:p>
        </w:tc>
      </w:tr>
      <w:tr w14:paraId="773BE1BE">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73D03B04">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034FD389">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4DBC4688">
            <w:pPr>
              <w:widowControl w:val="0"/>
              <w:spacing w:line="240" w:lineRule="exact"/>
              <w:jc w:val="center"/>
              <w:rPr>
                <w:rFonts w:eastAsia="楷体_GB2312"/>
                <w:szCs w:val="21"/>
              </w:rPr>
            </w:pPr>
            <w:r>
              <w:rPr>
                <w:rFonts w:eastAsia="楷体_GB2312"/>
                <w:szCs w:val="21"/>
              </w:rPr>
              <w:t>2</w:t>
            </w:r>
          </w:p>
        </w:tc>
        <w:tc>
          <w:tcPr>
            <w:tcW w:w="0" w:type="auto"/>
            <w:tcBorders>
              <w:top w:val="nil"/>
              <w:left w:val="single" w:color="auto" w:sz="4" w:space="0"/>
              <w:bottom w:val="single" w:color="auto" w:sz="4" w:space="0"/>
              <w:right w:val="single" w:color="auto" w:sz="4" w:space="0"/>
            </w:tcBorders>
            <w:noWrap/>
            <w:vAlign w:val="center"/>
          </w:tcPr>
          <w:p w14:paraId="243D2CFA">
            <w:pPr>
              <w:widowControl w:val="0"/>
              <w:spacing w:line="240" w:lineRule="exact"/>
              <w:jc w:val="center"/>
              <w:rPr>
                <w:rFonts w:eastAsia="楷体_GB2312"/>
                <w:b/>
                <w:color w:val="000000"/>
                <w:szCs w:val="21"/>
              </w:rPr>
            </w:pPr>
            <w:r>
              <w:rPr>
                <w:rFonts w:eastAsia="楷体_GB2312"/>
                <w:b/>
                <w:color w:val="000000"/>
                <w:szCs w:val="21"/>
              </w:rPr>
              <w:t>405</w:t>
            </w:r>
          </w:p>
        </w:tc>
        <w:tc>
          <w:tcPr>
            <w:tcW w:w="0" w:type="auto"/>
            <w:tcBorders>
              <w:top w:val="nil"/>
              <w:left w:val="nil"/>
              <w:bottom w:val="single" w:color="auto" w:sz="8" w:space="0"/>
              <w:right w:val="single" w:color="auto" w:sz="8" w:space="0"/>
            </w:tcBorders>
            <w:noWrap/>
            <w:vAlign w:val="center"/>
          </w:tcPr>
          <w:p w14:paraId="53366487">
            <w:pPr>
              <w:widowControl w:val="0"/>
              <w:spacing w:line="240" w:lineRule="exact"/>
              <w:jc w:val="center"/>
              <w:rPr>
                <w:rFonts w:eastAsia="楷体_GB2312"/>
                <w:color w:val="000000"/>
                <w:szCs w:val="21"/>
              </w:rPr>
            </w:pPr>
            <w:r>
              <w:rPr>
                <w:rFonts w:eastAsia="楷体_GB2312"/>
                <w:color w:val="000000"/>
                <w:szCs w:val="21"/>
              </w:rPr>
              <w:t>375</w:t>
            </w:r>
          </w:p>
        </w:tc>
        <w:tc>
          <w:tcPr>
            <w:tcW w:w="0" w:type="auto"/>
            <w:tcBorders>
              <w:top w:val="nil"/>
              <w:left w:val="nil"/>
              <w:bottom w:val="single" w:color="auto" w:sz="8" w:space="0"/>
              <w:right w:val="single" w:color="auto" w:sz="8" w:space="0"/>
            </w:tcBorders>
            <w:noWrap w:val="0"/>
            <w:vAlign w:val="center"/>
          </w:tcPr>
          <w:p w14:paraId="6F4F7D77">
            <w:pPr>
              <w:widowControl w:val="0"/>
              <w:spacing w:line="240" w:lineRule="exact"/>
              <w:jc w:val="center"/>
              <w:rPr>
                <w:rFonts w:eastAsia="楷体_GB2312"/>
                <w:color w:val="000000"/>
                <w:szCs w:val="21"/>
              </w:rPr>
            </w:pPr>
            <w:r>
              <w:rPr>
                <w:rFonts w:eastAsia="楷体_GB2312"/>
                <w:color w:val="000000"/>
                <w:szCs w:val="21"/>
              </w:rPr>
              <w:t>8.00%</w:t>
            </w:r>
          </w:p>
        </w:tc>
        <w:tc>
          <w:tcPr>
            <w:tcW w:w="0" w:type="auto"/>
            <w:tcBorders>
              <w:top w:val="nil"/>
              <w:left w:val="single" w:color="auto" w:sz="4" w:space="0"/>
              <w:bottom w:val="single" w:color="auto" w:sz="4" w:space="0"/>
              <w:right w:val="single" w:color="auto" w:sz="4" w:space="0"/>
            </w:tcBorders>
            <w:noWrap/>
            <w:vAlign w:val="center"/>
          </w:tcPr>
          <w:p w14:paraId="219EC7D2">
            <w:pPr>
              <w:widowControl w:val="0"/>
              <w:spacing w:line="240" w:lineRule="exact"/>
              <w:jc w:val="center"/>
              <w:rPr>
                <w:rFonts w:eastAsia="楷体_GB2312"/>
                <w:b/>
                <w:color w:val="000000"/>
                <w:szCs w:val="21"/>
              </w:rPr>
            </w:pPr>
            <w:r>
              <w:rPr>
                <w:rFonts w:eastAsia="楷体_GB2312"/>
                <w:b/>
                <w:color w:val="000000"/>
                <w:szCs w:val="21"/>
              </w:rPr>
              <w:t>280</w:t>
            </w:r>
          </w:p>
        </w:tc>
        <w:tc>
          <w:tcPr>
            <w:tcW w:w="0" w:type="auto"/>
            <w:tcBorders>
              <w:top w:val="nil"/>
              <w:left w:val="nil"/>
              <w:bottom w:val="single" w:color="auto" w:sz="8" w:space="0"/>
              <w:right w:val="single" w:color="auto" w:sz="8" w:space="0"/>
            </w:tcBorders>
            <w:noWrap/>
            <w:vAlign w:val="center"/>
          </w:tcPr>
          <w:p w14:paraId="249BEA4C">
            <w:pPr>
              <w:widowControl w:val="0"/>
              <w:spacing w:line="240" w:lineRule="exact"/>
              <w:jc w:val="center"/>
              <w:rPr>
                <w:rFonts w:eastAsia="楷体_GB2312"/>
                <w:color w:val="000000"/>
                <w:szCs w:val="21"/>
              </w:rPr>
            </w:pPr>
            <w:r>
              <w:rPr>
                <w:rFonts w:eastAsia="楷体_GB2312"/>
                <w:color w:val="000000"/>
                <w:szCs w:val="21"/>
              </w:rPr>
              <w:t>240</w:t>
            </w:r>
          </w:p>
        </w:tc>
        <w:tc>
          <w:tcPr>
            <w:tcW w:w="0" w:type="auto"/>
            <w:tcBorders>
              <w:top w:val="nil"/>
              <w:left w:val="nil"/>
              <w:bottom w:val="single" w:color="auto" w:sz="8" w:space="0"/>
              <w:right w:val="single" w:color="auto" w:sz="8" w:space="0"/>
            </w:tcBorders>
            <w:noWrap w:val="0"/>
            <w:vAlign w:val="center"/>
          </w:tcPr>
          <w:p w14:paraId="2D192053">
            <w:pPr>
              <w:widowControl w:val="0"/>
              <w:spacing w:line="240" w:lineRule="exact"/>
              <w:jc w:val="center"/>
              <w:rPr>
                <w:rFonts w:eastAsia="楷体_GB2312"/>
                <w:color w:val="000000"/>
                <w:szCs w:val="21"/>
              </w:rPr>
            </w:pPr>
            <w:r>
              <w:rPr>
                <w:rFonts w:eastAsia="楷体_GB2312"/>
                <w:color w:val="000000"/>
                <w:szCs w:val="21"/>
              </w:rPr>
              <w:t>16.67%</w:t>
            </w:r>
          </w:p>
        </w:tc>
        <w:tc>
          <w:tcPr>
            <w:tcW w:w="0" w:type="auto"/>
            <w:tcBorders>
              <w:top w:val="nil"/>
              <w:left w:val="single" w:color="auto" w:sz="4" w:space="0"/>
              <w:bottom w:val="single" w:color="auto" w:sz="4" w:space="0"/>
              <w:right w:val="single" w:color="auto" w:sz="4" w:space="0"/>
            </w:tcBorders>
            <w:noWrap/>
            <w:vAlign w:val="center"/>
          </w:tcPr>
          <w:p w14:paraId="3F2E2B1F">
            <w:pPr>
              <w:widowControl w:val="0"/>
              <w:spacing w:line="240" w:lineRule="exact"/>
              <w:jc w:val="center"/>
              <w:rPr>
                <w:rFonts w:eastAsia="楷体_GB2312"/>
                <w:b/>
                <w:color w:val="000000"/>
                <w:szCs w:val="21"/>
              </w:rPr>
            </w:pPr>
            <w:r>
              <w:rPr>
                <w:rFonts w:eastAsia="楷体_GB2312"/>
                <w:b/>
                <w:color w:val="000000"/>
                <w:szCs w:val="21"/>
              </w:rPr>
              <w:t>170</w:t>
            </w:r>
          </w:p>
        </w:tc>
        <w:tc>
          <w:tcPr>
            <w:tcW w:w="0" w:type="auto"/>
            <w:tcBorders>
              <w:top w:val="nil"/>
              <w:left w:val="nil"/>
              <w:bottom w:val="single" w:color="auto" w:sz="8" w:space="0"/>
              <w:right w:val="single" w:color="auto" w:sz="8" w:space="0"/>
            </w:tcBorders>
            <w:noWrap/>
            <w:vAlign w:val="center"/>
          </w:tcPr>
          <w:p w14:paraId="174604C4">
            <w:pPr>
              <w:widowControl w:val="0"/>
              <w:spacing w:line="240" w:lineRule="exact"/>
              <w:jc w:val="center"/>
              <w:rPr>
                <w:rFonts w:eastAsia="楷体_GB2312"/>
                <w:color w:val="000000"/>
                <w:szCs w:val="21"/>
              </w:rPr>
            </w:pPr>
            <w:r>
              <w:rPr>
                <w:rFonts w:eastAsia="楷体_GB2312"/>
                <w:color w:val="000000"/>
                <w:szCs w:val="21"/>
              </w:rPr>
              <w:t>165</w:t>
            </w:r>
          </w:p>
        </w:tc>
        <w:tc>
          <w:tcPr>
            <w:tcW w:w="0" w:type="auto"/>
            <w:tcBorders>
              <w:top w:val="nil"/>
              <w:left w:val="nil"/>
              <w:bottom w:val="single" w:color="auto" w:sz="8" w:space="0"/>
              <w:right w:val="single" w:color="auto" w:sz="8" w:space="0"/>
            </w:tcBorders>
            <w:noWrap w:val="0"/>
            <w:vAlign w:val="center"/>
          </w:tcPr>
          <w:p w14:paraId="0996BF89">
            <w:pPr>
              <w:widowControl w:val="0"/>
              <w:spacing w:line="240" w:lineRule="exact"/>
              <w:jc w:val="center"/>
              <w:rPr>
                <w:rFonts w:eastAsia="楷体_GB2312"/>
                <w:color w:val="000000"/>
                <w:szCs w:val="21"/>
              </w:rPr>
            </w:pPr>
            <w:r>
              <w:rPr>
                <w:rFonts w:eastAsia="楷体_GB2312"/>
                <w:color w:val="000000"/>
                <w:szCs w:val="21"/>
              </w:rPr>
              <w:t>3.03%</w:t>
            </w:r>
          </w:p>
        </w:tc>
      </w:tr>
      <w:tr w14:paraId="03D4A66A">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auto" w:sz="4" w:space="0"/>
              <w:right w:val="single" w:color="auto" w:sz="8" w:space="0"/>
            </w:tcBorders>
            <w:noWrap w:val="0"/>
            <w:vAlign w:val="center"/>
          </w:tcPr>
          <w:p w14:paraId="3A5968DF">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auto" w:sz="4" w:space="0"/>
              <w:right w:val="single" w:color="auto" w:sz="8" w:space="0"/>
            </w:tcBorders>
            <w:noWrap w:val="0"/>
            <w:vAlign w:val="center"/>
          </w:tcPr>
          <w:p w14:paraId="6273188C">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2BBC321D">
            <w:pPr>
              <w:widowControl w:val="0"/>
              <w:spacing w:line="240" w:lineRule="exact"/>
              <w:jc w:val="center"/>
              <w:rPr>
                <w:rFonts w:eastAsia="楷体_GB2312"/>
                <w:szCs w:val="21"/>
              </w:rPr>
            </w:pPr>
            <w:r>
              <w:rPr>
                <w:rFonts w:eastAsia="楷体_GB2312"/>
                <w:szCs w:val="21"/>
              </w:rPr>
              <w:t>3</w:t>
            </w:r>
          </w:p>
        </w:tc>
        <w:tc>
          <w:tcPr>
            <w:tcW w:w="0" w:type="auto"/>
            <w:tcBorders>
              <w:top w:val="nil"/>
              <w:left w:val="single" w:color="auto" w:sz="4" w:space="0"/>
              <w:bottom w:val="single" w:color="auto" w:sz="4" w:space="0"/>
              <w:right w:val="single" w:color="auto" w:sz="4" w:space="0"/>
            </w:tcBorders>
            <w:noWrap/>
            <w:vAlign w:val="center"/>
          </w:tcPr>
          <w:p w14:paraId="02D984BF">
            <w:pPr>
              <w:widowControl w:val="0"/>
              <w:spacing w:line="240" w:lineRule="exact"/>
              <w:jc w:val="center"/>
              <w:rPr>
                <w:rFonts w:eastAsia="楷体_GB2312"/>
                <w:b/>
                <w:color w:val="000000"/>
                <w:szCs w:val="21"/>
              </w:rPr>
            </w:pPr>
            <w:r>
              <w:rPr>
                <w:rFonts w:eastAsia="楷体_GB2312"/>
                <w:b/>
                <w:color w:val="000000"/>
                <w:szCs w:val="21"/>
              </w:rPr>
              <w:t>315</w:t>
            </w:r>
          </w:p>
        </w:tc>
        <w:tc>
          <w:tcPr>
            <w:tcW w:w="0" w:type="auto"/>
            <w:tcBorders>
              <w:top w:val="nil"/>
              <w:left w:val="nil"/>
              <w:bottom w:val="single" w:color="auto" w:sz="8" w:space="0"/>
              <w:right w:val="single" w:color="auto" w:sz="8" w:space="0"/>
            </w:tcBorders>
            <w:noWrap/>
            <w:vAlign w:val="center"/>
          </w:tcPr>
          <w:p w14:paraId="4668BB53">
            <w:pPr>
              <w:widowControl w:val="0"/>
              <w:spacing w:line="240" w:lineRule="exact"/>
              <w:jc w:val="center"/>
              <w:rPr>
                <w:rFonts w:eastAsia="楷体_GB2312"/>
                <w:color w:val="000000"/>
                <w:szCs w:val="21"/>
              </w:rPr>
            </w:pPr>
            <w:r>
              <w:rPr>
                <w:rFonts w:eastAsia="楷体_GB2312"/>
                <w:color w:val="000000"/>
                <w:szCs w:val="21"/>
              </w:rPr>
              <w:t>305</w:t>
            </w:r>
          </w:p>
        </w:tc>
        <w:tc>
          <w:tcPr>
            <w:tcW w:w="0" w:type="auto"/>
            <w:tcBorders>
              <w:top w:val="nil"/>
              <w:left w:val="nil"/>
              <w:bottom w:val="single" w:color="auto" w:sz="8" w:space="0"/>
              <w:right w:val="single" w:color="auto" w:sz="8" w:space="0"/>
            </w:tcBorders>
            <w:noWrap w:val="0"/>
            <w:vAlign w:val="center"/>
          </w:tcPr>
          <w:p w14:paraId="74CBE8D2">
            <w:pPr>
              <w:widowControl w:val="0"/>
              <w:spacing w:line="240" w:lineRule="exact"/>
              <w:jc w:val="center"/>
              <w:rPr>
                <w:rFonts w:eastAsia="楷体_GB2312"/>
                <w:color w:val="000000"/>
                <w:szCs w:val="21"/>
              </w:rPr>
            </w:pPr>
            <w:r>
              <w:rPr>
                <w:rFonts w:eastAsia="楷体_GB2312"/>
                <w:color w:val="000000"/>
                <w:szCs w:val="21"/>
              </w:rPr>
              <w:t>3.28%</w:t>
            </w:r>
          </w:p>
        </w:tc>
        <w:tc>
          <w:tcPr>
            <w:tcW w:w="0" w:type="auto"/>
            <w:tcBorders>
              <w:top w:val="nil"/>
              <w:left w:val="single" w:color="auto" w:sz="4" w:space="0"/>
              <w:bottom w:val="single" w:color="auto" w:sz="4" w:space="0"/>
              <w:right w:val="single" w:color="auto" w:sz="4" w:space="0"/>
            </w:tcBorders>
            <w:noWrap/>
            <w:vAlign w:val="center"/>
          </w:tcPr>
          <w:p w14:paraId="598E107C">
            <w:pPr>
              <w:widowControl w:val="0"/>
              <w:spacing w:line="240" w:lineRule="exact"/>
              <w:jc w:val="center"/>
              <w:rPr>
                <w:rFonts w:eastAsia="楷体_GB2312"/>
                <w:b/>
                <w:color w:val="000000"/>
                <w:szCs w:val="21"/>
              </w:rPr>
            </w:pPr>
            <w:r>
              <w:rPr>
                <w:rFonts w:eastAsia="楷体_GB2312"/>
                <w:b/>
                <w:color w:val="000000"/>
                <w:szCs w:val="21"/>
              </w:rPr>
              <w:t>200</w:t>
            </w:r>
          </w:p>
        </w:tc>
        <w:tc>
          <w:tcPr>
            <w:tcW w:w="0" w:type="auto"/>
            <w:tcBorders>
              <w:top w:val="nil"/>
              <w:left w:val="nil"/>
              <w:bottom w:val="single" w:color="auto" w:sz="8" w:space="0"/>
              <w:right w:val="single" w:color="auto" w:sz="8" w:space="0"/>
            </w:tcBorders>
            <w:noWrap/>
            <w:vAlign w:val="center"/>
          </w:tcPr>
          <w:p w14:paraId="5A5E1271">
            <w:pPr>
              <w:widowControl w:val="0"/>
              <w:spacing w:line="240" w:lineRule="exact"/>
              <w:jc w:val="center"/>
              <w:rPr>
                <w:rFonts w:eastAsia="楷体_GB2312"/>
                <w:color w:val="000000"/>
                <w:szCs w:val="21"/>
              </w:rPr>
            </w:pPr>
            <w:r>
              <w:rPr>
                <w:rFonts w:eastAsia="楷体_GB2312"/>
                <w:color w:val="000000"/>
                <w:szCs w:val="21"/>
              </w:rPr>
              <w:t>185</w:t>
            </w:r>
          </w:p>
        </w:tc>
        <w:tc>
          <w:tcPr>
            <w:tcW w:w="0" w:type="auto"/>
            <w:tcBorders>
              <w:top w:val="nil"/>
              <w:left w:val="nil"/>
              <w:bottom w:val="single" w:color="auto" w:sz="8" w:space="0"/>
              <w:right w:val="single" w:color="auto" w:sz="8" w:space="0"/>
            </w:tcBorders>
            <w:noWrap w:val="0"/>
            <w:vAlign w:val="center"/>
          </w:tcPr>
          <w:p w14:paraId="3864A982">
            <w:pPr>
              <w:widowControl w:val="0"/>
              <w:spacing w:line="240" w:lineRule="exact"/>
              <w:jc w:val="center"/>
              <w:rPr>
                <w:rFonts w:eastAsia="楷体_GB2312"/>
                <w:color w:val="000000"/>
                <w:szCs w:val="21"/>
              </w:rPr>
            </w:pPr>
            <w:r>
              <w:rPr>
                <w:rFonts w:eastAsia="楷体_GB2312"/>
                <w:color w:val="000000"/>
                <w:szCs w:val="21"/>
              </w:rPr>
              <w:t>8.11%</w:t>
            </w:r>
          </w:p>
        </w:tc>
        <w:tc>
          <w:tcPr>
            <w:tcW w:w="0" w:type="auto"/>
            <w:tcBorders>
              <w:top w:val="nil"/>
              <w:left w:val="single" w:color="auto" w:sz="4" w:space="0"/>
              <w:bottom w:val="single" w:color="auto" w:sz="4" w:space="0"/>
              <w:right w:val="single" w:color="auto" w:sz="4" w:space="0"/>
            </w:tcBorders>
            <w:noWrap/>
            <w:vAlign w:val="center"/>
          </w:tcPr>
          <w:p w14:paraId="0AE09E53">
            <w:pPr>
              <w:widowControl w:val="0"/>
              <w:spacing w:line="240" w:lineRule="exact"/>
              <w:jc w:val="center"/>
              <w:rPr>
                <w:rFonts w:eastAsia="楷体_GB2312"/>
                <w:b/>
                <w:color w:val="000000"/>
                <w:szCs w:val="21"/>
              </w:rPr>
            </w:pPr>
            <w:r>
              <w:rPr>
                <w:rFonts w:eastAsia="楷体_GB2312"/>
                <w:b/>
                <w:color w:val="000000"/>
                <w:szCs w:val="21"/>
              </w:rPr>
              <w:t>144</w:t>
            </w:r>
          </w:p>
        </w:tc>
        <w:tc>
          <w:tcPr>
            <w:tcW w:w="0" w:type="auto"/>
            <w:tcBorders>
              <w:top w:val="nil"/>
              <w:left w:val="nil"/>
              <w:bottom w:val="single" w:color="auto" w:sz="8" w:space="0"/>
              <w:right w:val="single" w:color="auto" w:sz="8" w:space="0"/>
            </w:tcBorders>
            <w:noWrap/>
            <w:vAlign w:val="center"/>
          </w:tcPr>
          <w:p w14:paraId="32A7AECF">
            <w:pPr>
              <w:widowControl w:val="0"/>
              <w:spacing w:line="240" w:lineRule="exact"/>
              <w:jc w:val="center"/>
              <w:rPr>
                <w:rFonts w:eastAsia="楷体_GB2312"/>
                <w:color w:val="000000"/>
                <w:szCs w:val="21"/>
              </w:rPr>
            </w:pPr>
            <w:r>
              <w:rPr>
                <w:rFonts w:eastAsia="楷体_GB2312"/>
                <w:color w:val="000000"/>
                <w:szCs w:val="21"/>
              </w:rPr>
              <w:t>144</w:t>
            </w:r>
          </w:p>
        </w:tc>
        <w:tc>
          <w:tcPr>
            <w:tcW w:w="0" w:type="auto"/>
            <w:tcBorders>
              <w:top w:val="nil"/>
              <w:left w:val="nil"/>
              <w:bottom w:val="single" w:color="auto" w:sz="8" w:space="0"/>
              <w:right w:val="single" w:color="auto" w:sz="8" w:space="0"/>
            </w:tcBorders>
            <w:noWrap w:val="0"/>
            <w:vAlign w:val="center"/>
          </w:tcPr>
          <w:p w14:paraId="2C740A63">
            <w:pPr>
              <w:widowControl w:val="0"/>
              <w:spacing w:line="240" w:lineRule="exact"/>
              <w:jc w:val="center"/>
              <w:rPr>
                <w:rFonts w:eastAsia="楷体_GB2312"/>
                <w:color w:val="000000"/>
                <w:szCs w:val="21"/>
              </w:rPr>
            </w:pPr>
            <w:r>
              <w:rPr>
                <w:rFonts w:eastAsia="楷体_GB2312"/>
                <w:color w:val="000000"/>
                <w:szCs w:val="21"/>
              </w:rPr>
              <w:t>0.00%</w:t>
            </w:r>
          </w:p>
        </w:tc>
      </w:tr>
      <w:tr w14:paraId="329006F4">
        <w:tblPrEx>
          <w:tblCellMar>
            <w:top w:w="0" w:type="dxa"/>
            <w:left w:w="108" w:type="dxa"/>
            <w:bottom w:w="0" w:type="dxa"/>
            <w:right w:w="108" w:type="dxa"/>
          </w:tblCellMar>
        </w:tblPrEx>
        <w:trPr>
          <w:trHeight w:val="20" w:hRule="atLeast"/>
          <w:jc w:val="center"/>
        </w:trPr>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33DE2600">
            <w:pPr>
              <w:widowControl w:val="0"/>
              <w:spacing w:line="240" w:lineRule="exact"/>
              <w:jc w:val="center"/>
              <w:rPr>
                <w:rFonts w:eastAsia="楷体_GB2312"/>
                <w:szCs w:val="21"/>
              </w:rPr>
            </w:pPr>
            <w:r>
              <w:rPr>
                <w:rFonts w:eastAsia="楷体_GB2312"/>
                <w:szCs w:val="21"/>
              </w:rPr>
              <w:t>8</w:t>
            </w:r>
          </w:p>
        </w:tc>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39266ED5">
            <w:pPr>
              <w:widowControl w:val="0"/>
              <w:spacing w:line="240" w:lineRule="exact"/>
              <w:jc w:val="center"/>
              <w:rPr>
                <w:rFonts w:eastAsia="楷体_GB2312"/>
                <w:color w:val="000000"/>
                <w:szCs w:val="21"/>
              </w:rPr>
            </w:pPr>
            <w:r>
              <w:rPr>
                <w:rFonts w:eastAsia="楷体_GB2312"/>
                <w:color w:val="000000"/>
                <w:szCs w:val="21"/>
              </w:rPr>
              <w:t>夹沟镇</w:t>
            </w:r>
          </w:p>
        </w:tc>
        <w:tc>
          <w:tcPr>
            <w:tcW w:w="0" w:type="auto"/>
            <w:tcBorders>
              <w:top w:val="nil"/>
              <w:left w:val="nil"/>
              <w:bottom w:val="single" w:color="auto" w:sz="8" w:space="0"/>
              <w:right w:val="single" w:color="auto" w:sz="8" w:space="0"/>
            </w:tcBorders>
            <w:noWrap w:val="0"/>
            <w:vAlign w:val="center"/>
          </w:tcPr>
          <w:p w14:paraId="4649DA38">
            <w:pPr>
              <w:widowControl w:val="0"/>
              <w:spacing w:line="240" w:lineRule="exact"/>
              <w:jc w:val="center"/>
              <w:rPr>
                <w:rFonts w:eastAsia="楷体_GB2312"/>
                <w:szCs w:val="21"/>
              </w:rPr>
            </w:pPr>
            <w:r>
              <w:rPr>
                <w:rFonts w:eastAsia="楷体_GB2312"/>
                <w:szCs w:val="21"/>
              </w:rPr>
              <w:t>1</w:t>
            </w:r>
          </w:p>
        </w:tc>
        <w:tc>
          <w:tcPr>
            <w:tcW w:w="0" w:type="auto"/>
            <w:tcBorders>
              <w:top w:val="nil"/>
              <w:left w:val="single" w:color="auto" w:sz="4" w:space="0"/>
              <w:bottom w:val="single" w:color="auto" w:sz="4" w:space="0"/>
              <w:right w:val="single" w:color="auto" w:sz="4" w:space="0"/>
            </w:tcBorders>
            <w:noWrap/>
            <w:vAlign w:val="center"/>
          </w:tcPr>
          <w:p w14:paraId="380EABE4">
            <w:pPr>
              <w:widowControl w:val="0"/>
              <w:spacing w:line="240" w:lineRule="exact"/>
              <w:jc w:val="center"/>
              <w:rPr>
                <w:rFonts w:eastAsia="楷体_GB2312"/>
                <w:b/>
                <w:color w:val="000000"/>
                <w:szCs w:val="21"/>
              </w:rPr>
            </w:pPr>
            <w:r>
              <w:rPr>
                <w:rFonts w:eastAsia="楷体_GB2312"/>
                <w:b/>
                <w:color w:val="000000"/>
                <w:szCs w:val="21"/>
              </w:rPr>
              <w:t>505</w:t>
            </w:r>
          </w:p>
        </w:tc>
        <w:tc>
          <w:tcPr>
            <w:tcW w:w="0" w:type="auto"/>
            <w:tcBorders>
              <w:top w:val="nil"/>
              <w:left w:val="nil"/>
              <w:bottom w:val="single" w:color="auto" w:sz="8" w:space="0"/>
              <w:right w:val="single" w:color="auto" w:sz="8" w:space="0"/>
            </w:tcBorders>
            <w:noWrap/>
            <w:vAlign w:val="center"/>
          </w:tcPr>
          <w:p w14:paraId="382ECFFC">
            <w:pPr>
              <w:widowControl w:val="0"/>
              <w:spacing w:line="240" w:lineRule="exact"/>
              <w:jc w:val="center"/>
              <w:rPr>
                <w:rFonts w:eastAsia="楷体_GB2312"/>
                <w:color w:val="000000"/>
                <w:szCs w:val="21"/>
              </w:rPr>
            </w:pPr>
            <w:r>
              <w:rPr>
                <w:rFonts w:eastAsia="楷体_GB2312"/>
                <w:color w:val="000000"/>
                <w:szCs w:val="21"/>
              </w:rPr>
              <w:t>490</w:t>
            </w:r>
          </w:p>
        </w:tc>
        <w:tc>
          <w:tcPr>
            <w:tcW w:w="0" w:type="auto"/>
            <w:tcBorders>
              <w:top w:val="nil"/>
              <w:left w:val="nil"/>
              <w:bottom w:val="single" w:color="auto" w:sz="8" w:space="0"/>
              <w:right w:val="single" w:color="auto" w:sz="8" w:space="0"/>
            </w:tcBorders>
            <w:noWrap w:val="0"/>
            <w:vAlign w:val="center"/>
          </w:tcPr>
          <w:p w14:paraId="20522173">
            <w:pPr>
              <w:widowControl w:val="0"/>
              <w:spacing w:line="240" w:lineRule="exact"/>
              <w:jc w:val="center"/>
              <w:rPr>
                <w:rFonts w:eastAsia="楷体_GB2312"/>
                <w:color w:val="000000"/>
                <w:szCs w:val="21"/>
              </w:rPr>
            </w:pPr>
            <w:r>
              <w:rPr>
                <w:rFonts w:eastAsia="楷体_GB2312"/>
                <w:color w:val="000000"/>
                <w:szCs w:val="21"/>
              </w:rPr>
              <w:t>3.06%</w:t>
            </w:r>
          </w:p>
        </w:tc>
        <w:tc>
          <w:tcPr>
            <w:tcW w:w="0" w:type="auto"/>
            <w:tcBorders>
              <w:top w:val="nil"/>
              <w:left w:val="single" w:color="auto" w:sz="4" w:space="0"/>
              <w:bottom w:val="single" w:color="auto" w:sz="4" w:space="0"/>
              <w:right w:val="single" w:color="auto" w:sz="4" w:space="0"/>
            </w:tcBorders>
            <w:noWrap/>
            <w:vAlign w:val="center"/>
          </w:tcPr>
          <w:p w14:paraId="18F10483">
            <w:pPr>
              <w:widowControl w:val="0"/>
              <w:spacing w:line="240" w:lineRule="exact"/>
              <w:jc w:val="center"/>
              <w:rPr>
                <w:rFonts w:eastAsia="楷体_GB2312"/>
                <w:b/>
                <w:color w:val="000000"/>
                <w:szCs w:val="21"/>
              </w:rPr>
            </w:pPr>
            <w:r>
              <w:rPr>
                <w:rFonts w:eastAsia="楷体_GB2312"/>
                <w:b/>
                <w:color w:val="000000"/>
                <w:szCs w:val="21"/>
              </w:rPr>
              <w:t>380</w:t>
            </w:r>
          </w:p>
        </w:tc>
        <w:tc>
          <w:tcPr>
            <w:tcW w:w="0" w:type="auto"/>
            <w:tcBorders>
              <w:top w:val="nil"/>
              <w:left w:val="nil"/>
              <w:bottom w:val="single" w:color="auto" w:sz="8" w:space="0"/>
              <w:right w:val="single" w:color="auto" w:sz="8" w:space="0"/>
            </w:tcBorders>
            <w:noWrap/>
            <w:vAlign w:val="center"/>
          </w:tcPr>
          <w:p w14:paraId="2F350256">
            <w:pPr>
              <w:widowControl w:val="0"/>
              <w:spacing w:line="240" w:lineRule="exact"/>
              <w:jc w:val="center"/>
              <w:rPr>
                <w:rFonts w:eastAsia="楷体_GB2312"/>
                <w:color w:val="000000"/>
                <w:szCs w:val="21"/>
              </w:rPr>
            </w:pPr>
            <w:r>
              <w:rPr>
                <w:rFonts w:eastAsia="楷体_GB2312"/>
                <w:color w:val="000000"/>
                <w:szCs w:val="21"/>
              </w:rPr>
              <w:t>355</w:t>
            </w:r>
          </w:p>
        </w:tc>
        <w:tc>
          <w:tcPr>
            <w:tcW w:w="0" w:type="auto"/>
            <w:tcBorders>
              <w:top w:val="nil"/>
              <w:left w:val="nil"/>
              <w:bottom w:val="single" w:color="auto" w:sz="8" w:space="0"/>
              <w:right w:val="single" w:color="auto" w:sz="8" w:space="0"/>
            </w:tcBorders>
            <w:noWrap w:val="0"/>
            <w:vAlign w:val="center"/>
          </w:tcPr>
          <w:p w14:paraId="29D08ED4">
            <w:pPr>
              <w:widowControl w:val="0"/>
              <w:spacing w:line="240" w:lineRule="exact"/>
              <w:jc w:val="center"/>
              <w:rPr>
                <w:rFonts w:eastAsia="楷体_GB2312"/>
                <w:color w:val="000000"/>
                <w:szCs w:val="21"/>
              </w:rPr>
            </w:pPr>
            <w:r>
              <w:rPr>
                <w:rFonts w:eastAsia="楷体_GB2312"/>
                <w:color w:val="000000"/>
                <w:szCs w:val="21"/>
              </w:rPr>
              <w:t>7.04%</w:t>
            </w:r>
          </w:p>
        </w:tc>
        <w:tc>
          <w:tcPr>
            <w:tcW w:w="0" w:type="auto"/>
            <w:tcBorders>
              <w:top w:val="nil"/>
              <w:left w:val="single" w:color="auto" w:sz="4" w:space="0"/>
              <w:bottom w:val="single" w:color="auto" w:sz="4" w:space="0"/>
              <w:right w:val="single" w:color="auto" w:sz="4" w:space="0"/>
            </w:tcBorders>
            <w:noWrap/>
            <w:vAlign w:val="center"/>
          </w:tcPr>
          <w:p w14:paraId="2FD15F47">
            <w:pPr>
              <w:widowControl w:val="0"/>
              <w:spacing w:line="240" w:lineRule="exact"/>
              <w:jc w:val="center"/>
              <w:rPr>
                <w:rFonts w:eastAsia="楷体_GB2312"/>
                <w:b/>
                <w:color w:val="000000"/>
                <w:szCs w:val="21"/>
              </w:rPr>
            </w:pPr>
            <w:r>
              <w:rPr>
                <w:rFonts w:eastAsia="楷体_GB2312"/>
                <w:b/>
                <w:color w:val="000000"/>
                <w:szCs w:val="21"/>
              </w:rPr>
              <w:t>170</w:t>
            </w:r>
          </w:p>
        </w:tc>
        <w:tc>
          <w:tcPr>
            <w:tcW w:w="0" w:type="auto"/>
            <w:tcBorders>
              <w:top w:val="nil"/>
              <w:left w:val="nil"/>
              <w:bottom w:val="single" w:color="auto" w:sz="8" w:space="0"/>
              <w:right w:val="single" w:color="auto" w:sz="8" w:space="0"/>
            </w:tcBorders>
            <w:noWrap/>
            <w:vAlign w:val="center"/>
          </w:tcPr>
          <w:p w14:paraId="48A0DC8F">
            <w:pPr>
              <w:widowControl w:val="0"/>
              <w:spacing w:line="240" w:lineRule="exact"/>
              <w:jc w:val="center"/>
              <w:rPr>
                <w:rFonts w:eastAsia="楷体_GB2312"/>
                <w:color w:val="000000"/>
                <w:szCs w:val="21"/>
              </w:rPr>
            </w:pPr>
            <w:r>
              <w:rPr>
                <w:rFonts w:eastAsia="楷体_GB2312"/>
                <w:color w:val="000000"/>
                <w:szCs w:val="21"/>
              </w:rPr>
              <w:t>165</w:t>
            </w:r>
          </w:p>
        </w:tc>
        <w:tc>
          <w:tcPr>
            <w:tcW w:w="0" w:type="auto"/>
            <w:tcBorders>
              <w:top w:val="nil"/>
              <w:left w:val="nil"/>
              <w:bottom w:val="single" w:color="auto" w:sz="8" w:space="0"/>
              <w:right w:val="single" w:color="auto" w:sz="8" w:space="0"/>
            </w:tcBorders>
            <w:noWrap w:val="0"/>
            <w:vAlign w:val="center"/>
          </w:tcPr>
          <w:p w14:paraId="468FF1DB">
            <w:pPr>
              <w:widowControl w:val="0"/>
              <w:spacing w:line="240" w:lineRule="exact"/>
              <w:jc w:val="center"/>
              <w:rPr>
                <w:rFonts w:eastAsia="楷体_GB2312"/>
                <w:color w:val="000000"/>
                <w:szCs w:val="21"/>
              </w:rPr>
            </w:pPr>
            <w:r>
              <w:rPr>
                <w:rFonts w:eastAsia="楷体_GB2312"/>
                <w:color w:val="000000"/>
                <w:szCs w:val="21"/>
              </w:rPr>
              <w:t>3.03%</w:t>
            </w:r>
          </w:p>
        </w:tc>
      </w:tr>
      <w:tr w14:paraId="343245C8">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4D857C62">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59A7D160">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3D8676B5">
            <w:pPr>
              <w:widowControl w:val="0"/>
              <w:spacing w:line="240" w:lineRule="exact"/>
              <w:jc w:val="center"/>
              <w:rPr>
                <w:rFonts w:eastAsia="楷体_GB2312"/>
                <w:szCs w:val="21"/>
              </w:rPr>
            </w:pPr>
            <w:r>
              <w:rPr>
                <w:rFonts w:eastAsia="楷体_GB2312"/>
                <w:szCs w:val="21"/>
              </w:rPr>
              <w:t>2</w:t>
            </w:r>
          </w:p>
        </w:tc>
        <w:tc>
          <w:tcPr>
            <w:tcW w:w="0" w:type="auto"/>
            <w:tcBorders>
              <w:top w:val="nil"/>
              <w:left w:val="single" w:color="auto" w:sz="4" w:space="0"/>
              <w:bottom w:val="single" w:color="auto" w:sz="4" w:space="0"/>
              <w:right w:val="single" w:color="auto" w:sz="4" w:space="0"/>
            </w:tcBorders>
            <w:noWrap/>
            <w:vAlign w:val="center"/>
          </w:tcPr>
          <w:p w14:paraId="6077A249">
            <w:pPr>
              <w:widowControl w:val="0"/>
              <w:spacing w:line="240" w:lineRule="exact"/>
              <w:jc w:val="center"/>
              <w:rPr>
                <w:rFonts w:eastAsia="楷体_GB2312"/>
                <w:b/>
                <w:color w:val="000000"/>
                <w:szCs w:val="21"/>
              </w:rPr>
            </w:pPr>
            <w:r>
              <w:rPr>
                <w:rFonts w:eastAsia="楷体_GB2312"/>
                <w:b/>
                <w:color w:val="000000"/>
                <w:szCs w:val="21"/>
              </w:rPr>
              <w:t>395</w:t>
            </w:r>
          </w:p>
        </w:tc>
        <w:tc>
          <w:tcPr>
            <w:tcW w:w="0" w:type="auto"/>
            <w:tcBorders>
              <w:top w:val="nil"/>
              <w:left w:val="nil"/>
              <w:bottom w:val="single" w:color="auto" w:sz="8" w:space="0"/>
              <w:right w:val="single" w:color="auto" w:sz="8" w:space="0"/>
            </w:tcBorders>
            <w:noWrap/>
            <w:vAlign w:val="center"/>
          </w:tcPr>
          <w:p w14:paraId="0760F4FC">
            <w:pPr>
              <w:widowControl w:val="0"/>
              <w:spacing w:line="240" w:lineRule="exact"/>
              <w:jc w:val="center"/>
              <w:rPr>
                <w:rFonts w:eastAsia="楷体_GB2312"/>
                <w:color w:val="000000"/>
                <w:szCs w:val="21"/>
              </w:rPr>
            </w:pPr>
            <w:r>
              <w:rPr>
                <w:rFonts w:eastAsia="楷体_GB2312"/>
                <w:color w:val="000000"/>
                <w:szCs w:val="21"/>
              </w:rPr>
              <w:t>375</w:t>
            </w:r>
          </w:p>
        </w:tc>
        <w:tc>
          <w:tcPr>
            <w:tcW w:w="0" w:type="auto"/>
            <w:tcBorders>
              <w:top w:val="nil"/>
              <w:left w:val="nil"/>
              <w:bottom w:val="single" w:color="auto" w:sz="8" w:space="0"/>
              <w:right w:val="single" w:color="auto" w:sz="8" w:space="0"/>
            </w:tcBorders>
            <w:noWrap w:val="0"/>
            <w:vAlign w:val="center"/>
          </w:tcPr>
          <w:p w14:paraId="6E3DCB4D">
            <w:pPr>
              <w:widowControl w:val="0"/>
              <w:spacing w:line="240" w:lineRule="exact"/>
              <w:jc w:val="center"/>
              <w:rPr>
                <w:rFonts w:eastAsia="楷体_GB2312"/>
                <w:color w:val="000000"/>
                <w:szCs w:val="21"/>
              </w:rPr>
            </w:pPr>
            <w:r>
              <w:rPr>
                <w:rFonts w:eastAsia="楷体_GB2312"/>
                <w:color w:val="000000"/>
                <w:szCs w:val="21"/>
              </w:rPr>
              <w:t>5.33%</w:t>
            </w:r>
          </w:p>
        </w:tc>
        <w:tc>
          <w:tcPr>
            <w:tcW w:w="0" w:type="auto"/>
            <w:tcBorders>
              <w:top w:val="nil"/>
              <w:left w:val="single" w:color="auto" w:sz="4" w:space="0"/>
              <w:bottom w:val="single" w:color="auto" w:sz="4" w:space="0"/>
              <w:right w:val="single" w:color="auto" w:sz="4" w:space="0"/>
            </w:tcBorders>
            <w:noWrap/>
            <w:vAlign w:val="center"/>
          </w:tcPr>
          <w:p w14:paraId="01F8685C">
            <w:pPr>
              <w:widowControl w:val="0"/>
              <w:spacing w:line="240" w:lineRule="exact"/>
              <w:jc w:val="center"/>
              <w:rPr>
                <w:rFonts w:eastAsia="楷体_GB2312"/>
                <w:b/>
                <w:color w:val="000000"/>
                <w:szCs w:val="21"/>
              </w:rPr>
            </w:pPr>
            <w:r>
              <w:rPr>
                <w:rFonts w:eastAsia="楷体_GB2312"/>
                <w:b/>
                <w:color w:val="000000"/>
                <w:szCs w:val="21"/>
              </w:rPr>
              <w:t>290</w:t>
            </w:r>
          </w:p>
        </w:tc>
        <w:tc>
          <w:tcPr>
            <w:tcW w:w="0" w:type="auto"/>
            <w:tcBorders>
              <w:top w:val="nil"/>
              <w:left w:val="nil"/>
              <w:bottom w:val="single" w:color="auto" w:sz="8" w:space="0"/>
              <w:right w:val="single" w:color="auto" w:sz="8" w:space="0"/>
            </w:tcBorders>
            <w:noWrap/>
            <w:vAlign w:val="center"/>
          </w:tcPr>
          <w:p w14:paraId="5D874EE9">
            <w:pPr>
              <w:widowControl w:val="0"/>
              <w:spacing w:line="240" w:lineRule="exact"/>
              <w:jc w:val="center"/>
              <w:rPr>
                <w:rFonts w:eastAsia="楷体_GB2312"/>
                <w:color w:val="000000"/>
                <w:szCs w:val="21"/>
              </w:rPr>
            </w:pPr>
            <w:r>
              <w:rPr>
                <w:rFonts w:eastAsia="楷体_GB2312"/>
                <w:color w:val="000000"/>
                <w:szCs w:val="21"/>
              </w:rPr>
              <w:t>245</w:t>
            </w:r>
          </w:p>
        </w:tc>
        <w:tc>
          <w:tcPr>
            <w:tcW w:w="0" w:type="auto"/>
            <w:tcBorders>
              <w:top w:val="nil"/>
              <w:left w:val="nil"/>
              <w:bottom w:val="single" w:color="auto" w:sz="8" w:space="0"/>
              <w:right w:val="single" w:color="auto" w:sz="8" w:space="0"/>
            </w:tcBorders>
            <w:noWrap w:val="0"/>
            <w:vAlign w:val="center"/>
          </w:tcPr>
          <w:p w14:paraId="73EE9E20">
            <w:pPr>
              <w:widowControl w:val="0"/>
              <w:spacing w:line="240" w:lineRule="exact"/>
              <w:jc w:val="center"/>
              <w:rPr>
                <w:rFonts w:eastAsia="楷体_GB2312"/>
                <w:color w:val="000000"/>
                <w:szCs w:val="21"/>
              </w:rPr>
            </w:pPr>
            <w:r>
              <w:rPr>
                <w:rFonts w:eastAsia="楷体_GB2312"/>
                <w:color w:val="000000"/>
                <w:szCs w:val="21"/>
              </w:rPr>
              <w:t>18.37%</w:t>
            </w:r>
          </w:p>
        </w:tc>
        <w:tc>
          <w:tcPr>
            <w:tcW w:w="0" w:type="auto"/>
            <w:tcBorders>
              <w:top w:val="nil"/>
              <w:left w:val="single" w:color="auto" w:sz="4" w:space="0"/>
              <w:bottom w:val="single" w:color="auto" w:sz="4" w:space="0"/>
              <w:right w:val="single" w:color="auto" w:sz="4" w:space="0"/>
            </w:tcBorders>
            <w:noWrap/>
            <w:vAlign w:val="center"/>
          </w:tcPr>
          <w:p w14:paraId="55D07D08">
            <w:pPr>
              <w:widowControl w:val="0"/>
              <w:spacing w:line="240" w:lineRule="exact"/>
              <w:jc w:val="center"/>
              <w:rPr>
                <w:rFonts w:eastAsia="楷体_GB2312"/>
                <w:b/>
                <w:color w:val="000000"/>
                <w:szCs w:val="21"/>
              </w:rPr>
            </w:pPr>
            <w:r>
              <w:rPr>
                <w:rFonts w:eastAsia="楷体_GB2312"/>
                <w:b/>
                <w:color w:val="000000"/>
                <w:szCs w:val="21"/>
              </w:rPr>
              <w:t>155</w:t>
            </w:r>
          </w:p>
        </w:tc>
        <w:tc>
          <w:tcPr>
            <w:tcW w:w="0" w:type="auto"/>
            <w:tcBorders>
              <w:top w:val="nil"/>
              <w:left w:val="nil"/>
              <w:bottom w:val="single" w:color="auto" w:sz="8" w:space="0"/>
              <w:right w:val="single" w:color="auto" w:sz="8" w:space="0"/>
            </w:tcBorders>
            <w:noWrap/>
            <w:vAlign w:val="center"/>
          </w:tcPr>
          <w:p w14:paraId="2EC379F4">
            <w:pPr>
              <w:widowControl w:val="0"/>
              <w:spacing w:line="240" w:lineRule="exact"/>
              <w:jc w:val="center"/>
              <w:rPr>
                <w:rFonts w:eastAsia="楷体_GB2312"/>
                <w:color w:val="000000"/>
                <w:szCs w:val="21"/>
              </w:rPr>
            </w:pPr>
            <w:r>
              <w:rPr>
                <w:rFonts w:eastAsia="楷体_GB2312"/>
                <w:color w:val="000000"/>
                <w:szCs w:val="21"/>
              </w:rPr>
              <w:t>150</w:t>
            </w:r>
          </w:p>
        </w:tc>
        <w:tc>
          <w:tcPr>
            <w:tcW w:w="0" w:type="auto"/>
            <w:tcBorders>
              <w:top w:val="nil"/>
              <w:left w:val="nil"/>
              <w:bottom w:val="single" w:color="auto" w:sz="8" w:space="0"/>
              <w:right w:val="single" w:color="auto" w:sz="8" w:space="0"/>
            </w:tcBorders>
            <w:noWrap w:val="0"/>
            <w:vAlign w:val="center"/>
          </w:tcPr>
          <w:p w14:paraId="0D9AE552">
            <w:pPr>
              <w:widowControl w:val="0"/>
              <w:spacing w:line="240" w:lineRule="exact"/>
              <w:jc w:val="center"/>
              <w:rPr>
                <w:rFonts w:eastAsia="楷体_GB2312"/>
                <w:color w:val="000000"/>
                <w:szCs w:val="21"/>
              </w:rPr>
            </w:pPr>
            <w:r>
              <w:rPr>
                <w:rFonts w:eastAsia="楷体_GB2312"/>
                <w:color w:val="000000"/>
                <w:szCs w:val="21"/>
              </w:rPr>
              <w:t>3.33%</w:t>
            </w:r>
          </w:p>
        </w:tc>
      </w:tr>
      <w:tr w14:paraId="4186571A">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auto" w:sz="4" w:space="0"/>
              <w:right w:val="single" w:color="auto" w:sz="8" w:space="0"/>
            </w:tcBorders>
            <w:noWrap w:val="0"/>
            <w:vAlign w:val="center"/>
          </w:tcPr>
          <w:p w14:paraId="0D5B87CC">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auto" w:sz="4" w:space="0"/>
              <w:right w:val="single" w:color="auto" w:sz="8" w:space="0"/>
            </w:tcBorders>
            <w:noWrap w:val="0"/>
            <w:vAlign w:val="center"/>
          </w:tcPr>
          <w:p w14:paraId="48B94225">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05C6998B">
            <w:pPr>
              <w:widowControl w:val="0"/>
              <w:spacing w:line="240" w:lineRule="exact"/>
              <w:jc w:val="center"/>
              <w:rPr>
                <w:rFonts w:eastAsia="楷体_GB2312"/>
                <w:szCs w:val="21"/>
              </w:rPr>
            </w:pPr>
            <w:r>
              <w:rPr>
                <w:rFonts w:eastAsia="楷体_GB2312"/>
                <w:szCs w:val="21"/>
              </w:rPr>
              <w:t>3</w:t>
            </w:r>
          </w:p>
        </w:tc>
        <w:tc>
          <w:tcPr>
            <w:tcW w:w="0" w:type="auto"/>
            <w:tcBorders>
              <w:top w:val="nil"/>
              <w:left w:val="single" w:color="auto" w:sz="4" w:space="0"/>
              <w:bottom w:val="single" w:color="auto" w:sz="4" w:space="0"/>
              <w:right w:val="single" w:color="auto" w:sz="4" w:space="0"/>
            </w:tcBorders>
            <w:noWrap/>
            <w:vAlign w:val="center"/>
          </w:tcPr>
          <w:p w14:paraId="0A468189">
            <w:pPr>
              <w:widowControl w:val="0"/>
              <w:spacing w:line="240" w:lineRule="exact"/>
              <w:jc w:val="center"/>
              <w:rPr>
                <w:rFonts w:eastAsia="楷体_GB2312"/>
                <w:b/>
                <w:color w:val="000000"/>
                <w:szCs w:val="21"/>
              </w:rPr>
            </w:pPr>
            <w:r>
              <w:rPr>
                <w:rFonts w:eastAsia="楷体_GB2312"/>
                <w:b/>
                <w:color w:val="000000"/>
                <w:szCs w:val="21"/>
              </w:rPr>
              <w:t>315</w:t>
            </w:r>
          </w:p>
        </w:tc>
        <w:tc>
          <w:tcPr>
            <w:tcW w:w="0" w:type="auto"/>
            <w:tcBorders>
              <w:top w:val="nil"/>
              <w:left w:val="nil"/>
              <w:bottom w:val="single" w:color="auto" w:sz="8" w:space="0"/>
              <w:right w:val="single" w:color="auto" w:sz="8" w:space="0"/>
            </w:tcBorders>
            <w:noWrap/>
            <w:vAlign w:val="center"/>
          </w:tcPr>
          <w:p w14:paraId="1D92AAF1">
            <w:pPr>
              <w:widowControl w:val="0"/>
              <w:spacing w:line="240" w:lineRule="exact"/>
              <w:jc w:val="center"/>
              <w:rPr>
                <w:rFonts w:eastAsia="楷体_GB2312"/>
                <w:color w:val="000000"/>
                <w:szCs w:val="21"/>
              </w:rPr>
            </w:pPr>
            <w:r>
              <w:rPr>
                <w:rFonts w:eastAsia="楷体_GB2312"/>
                <w:color w:val="000000"/>
                <w:szCs w:val="21"/>
              </w:rPr>
              <w:t>306</w:t>
            </w:r>
          </w:p>
        </w:tc>
        <w:tc>
          <w:tcPr>
            <w:tcW w:w="0" w:type="auto"/>
            <w:tcBorders>
              <w:top w:val="nil"/>
              <w:left w:val="nil"/>
              <w:bottom w:val="single" w:color="auto" w:sz="8" w:space="0"/>
              <w:right w:val="single" w:color="auto" w:sz="8" w:space="0"/>
            </w:tcBorders>
            <w:noWrap w:val="0"/>
            <w:vAlign w:val="center"/>
          </w:tcPr>
          <w:p w14:paraId="4C1862D8">
            <w:pPr>
              <w:widowControl w:val="0"/>
              <w:spacing w:line="240" w:lineRule="exact"/>
              <w:jc w:val="center"/>
              <w:rPr>
                <w:rFonts w:eastAsia="楷体_GB2312"/>
                <w:color w:val="000000"/>
                <w:szCs w:val="21"/>
              </w:rPr>
            </w:pPr>
            <w:r>
              <w:rPr>
                <w:rFonts w:eastAsia="楷体_GB2312"/>
                <w:color w:val="000000"/>
                <w:szCs w:val="21"/>
              </w:rPr>
              <w:t>2.94%</w:t>
            </w:r>
          </w:p>
        </w:tc>
        <w:tc>
          <w:tcPr>
            <w:tcW w:w="0" w:type="auto"/>
            <w:tcBorders>
              <w:top w:val="nil"/>
              <w:left w:val="single" w:color="auto" w:sz="4" w:space="0"/>
              <w:bottom w:val="single" w:color="auto" w:sz="4" w:space="0"/>
              <w:right w:val="single" w:color="auto" w:sz="4" w:space="0"/>
            </w:tcBorders>
            <w:noWrap/>
            <w:vAlign w:val="center"/>
          </w:tcPr>
          <w:p w14:paraId="41480C69">
            <w:pPr>
              <w:widowControl w:val="0"/>
              <w:spacing w:line="240" w:lineRule="exact"/>
              <w:jc w:val="center"/>
              <w:rPr>
                <w:rFonts w:eastAsia="楷体_GB2312"/>
                <w:b/>
                <w:color w:val="000000"/>
                <w:szCs w:val="21"/>
              </w:rPr>
            </w:pPr>
            <w:r>
              <w:rPr>
                <w:rFonts w:eastAsia="楷体_GB2312"/>
                <w:b/>
                <w:color w:val="000000"/>
                <w:szCs w:val="21"/>
              </w:rPr>
              <w:t>220</w:t>
            </w:r>
          </w:p>
        </w:tc>
        <w:tc>
          <w:tcPr>
            <w:tcW w:w="0" w:type="auto"/>
            <w:tcBorders>
              <w:top w:val="nil"/>
              <w:left w:val="nil"/>
              <w:bottom w:val="single" w:color="auto" w:sz="8" w:space="0"/>
              <w:right w:val="single" w:color="auto" w:sz="8" w:space="0"/>
            </w:tcBorders>
            <w:noWrap/>
            <w:vAlign w:val="center"/>
          </w:tcPr>
          <w:p w14:paraId="531DF738">
            <w:pPr>
              <w:widowControl w:val="0"/>
              <w:spacing w:line="240" w:lineRule="exact"/>
              <w:jc w:val="center"/>
              <w:rPr>
                <w:rFonts w:eastAsia="楷体_GB2312"/>
                <w:color w:val="000000"/>
                <w:szCs w:val="21"/>
              </w:rPr>
            </w:pPr>
            <w:r>
              <w:rPr>
                <w:rFonts w:eastAsia="楷体_GB2312"/>
                <w:color w:val="000000"/>
                <w:szCs w:val="21"/>
              </w:rPr>
              <w:t>205</w:t>
            </w:r>
          </w:p>
        </w:tc>
        <w:tc>
          <w:tcPr>
            <w:tcW w:w="0" w:type="auto"/>
            <w:tcBorders>
              <w:top w:val="nil"/>
              <w:left w:val="nil"/>
              <w:bottom w:val="single" w:color="auto" w:sz="8" w:space="0"/>
              <w:right w:val="single" w:color="auto" w:sz="8" w:space="0"/>
            </w:tcBorders>
            <w:noWrap w:val="0"/>
            <w:vAlign w:val="center"/>
          </w:tcPr>
          <w:p w14:paraId="264D2013">
            <w:pPr>
              <w:widowControl w:val="0"/>
              <w:spacing w:line="240" w:lineRule="exact"/>
              <w:jc w:val="center"/>
              <w:rPr>
                <w:rFonts w:eastAsia="楷体_GB2312"/>
                <w:color w:val="000000"/>
                <w:szCs w:val="21"/>
              </w:rPr>
            </w:pPr>
            <w:r>
              <w:rPr>
                <w:rFonts w:eastAsia="楷体_GB2312"/>
                <w:color w:val="000000"/>
                <w:szCs w:val="21"/>
              </w:rPr>
              <w:t>7.32%</w:t>
            </w:r>
          </w:p>
        </w:tc>
        <w:tc>
          <w:tcPr>
            <w:tcW w:w="0" w:type="auto"/>
            <w:tcBorders>
              <w:top w:val="nil"/>
              <w:left w:val="single" w:color="auto" w:sz="4" w:space="0"/>
              <w:bottom w:val="single" w:color="auto" w:sz="4" w:space="0"/>
              <w:right w:val="single" w:color="auto" w:sz="4" w:space="0"/>
            </w:tcBorders>
            <w:noWrap/>
            <w:vAlign w:val="center"/>
          </w:tcPr>
          <w:p w14:paraId="798D91A6">
            <w:pPr>
              <w:widowControl w:val="0"/>
              <w:spacing w:line="240" w:lineRule="exact"/>
              <w:jc w:val="center"/>
              <w:rPr>
                <w:rFonts w:eastAsia="楷体_GB2312"/>
                <w:b/>
                <w:color w:val="000000"/>
                <w:szCs w:val="21"/>
              </w:rPr>
            </w:pPr>
            <w:r>
              <w:rPr>
                <w:rFonts w:eastAsia="楷体_GB2312"/>
                <w:b/>
                <w:color w:val="000000"/>
                <w:szCs w:val="21"/>
              </w:rPr>
              <w:t>144</w:t>
            </w:r>
          </w:p>
        </w:tc>
        <w:tc>
          <w:tcPr>
            <w:tcW w:w="0" w:type="auto"/>
            <w:tcBorders>
              <w:top w:val="nil"/>
              <w:left w:val="nil"/>
              <w:bottom w:val="single" w:color="auto" w:sz="8" w:space="0"/>
              <w:right w:val="single" w:color="auto" w:sz="8" w:space="0"/>
            </w:tcBorders>
            <w:noWrap/>
            <w:vAlign w:val="center"/>
          </w:tcPr>
          <w:p w14:paraId="56925E71">
            <w:pPr>
              <w:widowControl w:val="0"/>
              <w:spacing w:line="240" w:lineRule="exact"/>
              <w:jc w:val="center"/>
              <w:rPr>
                <w:rFonts w:eastAsia="楷体_GB2312"/>
                <w:color w:val="000000"/>
                <w:szCs w:val="21"/>
              </w:rPr>
            </w:pPr>
            <w:r>
              <w:rPr>
                <w:rFonts w:eastAsia="楷体_GB2312"/>
                <w:color w:val="000000"/>
                <w:szCs w:val="21"/>
              </w:rPr>
              <w:t>144</w:t>
            </w:r>
          </w:p>
        </w:tc>
        <w:tc>
          <w:tcPr>
            <w:tcW w:w="0" w:type="auto"/>
            <w:tcBorders>
              <w:top w:val="nil"/>
              <w:left w:val="nil"/>
              <w:bottom w:val="single" w:color="auto" w:sz="8" w:space="0"/>
              <w:right w:val="single" w:color="auto" w:sz="8" w:space="0"/>
            </w:tcBorders>
            <w:noWrap w:val="0"/>
            <w:vAlign w:val="center"/>
          </w:tcPr>
          <w:p w14:paraId="0CD7B427">
            <w:pPr>
              <w:widowControl w:val="0"/>
              <w:spacing w:line="240" w:lineRule="exact"/>
              <w:jc w:val="center"/>
              <w:rPr>
                <w:rFonts w:eastAsia="楷体_GB2312"/>
                <w:color w:val="000000"/>
                <w:szCs w:val="21"/>
              </w:rPr>
            </w:pPr>
            <w:r>
              <w:rPr>
                <w:rFonts w:eastAsia="楷体_GB2312"/>
                <w:color w:val="000000"/>
                <w:szCs w:val="21"/>
              </w:rPr>
              <w:t>0.00%</w:t>
            </w:r>
          </w:p>
        </w:tc>
      </w:tr>
      <w:tr w14:paraId="1311B102">
        <w:tblPrEx>
          <w:tblCellMar>
            <w:top w:w="0" w:type="dxa"/>
            <w:left w:w="108" w:type="dxa"/>
            <w:bottom w:w="0" w:type="dxa"/>
            <w:right w:w="108" w:type="dxa"/>
          </w:tblCellMar>
        </w:tblPrEx>
        <w:trPr>
          <w:trHeight w:val="20" w:hRule="atLeast"/>
          <w:jc w:val="center"/>
        </w:trPr>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15888DB5">
            <w:pPr>
              <w:widowControl w:val="0"/>
              <w:spacing w:line="240" w:lineRule="exact"/>
              <w:jc w:val="center"/>
              <w:rPr>
                <w:rFonts w:eastAsia="楷体_GB2312"/>
                <w:szCs w:val="21"/>
              </w:rPr>
            </w:pPr>
            <w:r>
              <w:rPr>
                <w:rFonts w:eastAsia="楷体_GB2312"/>
                <w:szCs w:val="21"/>
              </w:rPr>
              <w:t>9</w:t>
            </w:r>
          </w:p>
        </w:tc>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1581C06A">
            <w:pPr>
              <w:widowControl w:val="0"/>
              <w:spacing w:line="240" w:lineRule="exact"/>
              <w:jc w:val="center"/>
              <w:rPr>
                <w:rFonts w:eastAsia="楷体_GB2312"/>
                <w:color w:val="000000"/>
                <w:szCs w:val="21"/>
              </w:rPr>
            </w:pPr>
            <w:r>
              <w:rPr>
                <w:rFonts w:eastAsia="楷体_GB2312"/>
                <w:color w:val="000000"/>
                <w:szCs w:val="21"/>
              </w:rPr>
              <w:t>西二铺</w:t>
            </w:r>
          </w:p>
        </w:tc>
        <w:tc>
          <w:tcPr>
            <w:tcW w:w="0" w:type="auto"/>
            <w:tcBorders>
              <w:top w:val="nil"/>
              <w:left w:val="nil"/>
              <w:bottom w:val="single" w:color="auto" w:sz="8" w:space="0"/>
              <w:right w:val="single" w:color="auto" w:sz="8" w:space="0"/>
            </w:tcBorders>
            <w:noWrap w:val="0"/>
            <w:vAlign w:val="center"/>
          </w:tcPr>
          <w:p w14:paraId="5CD5F0E0">
            <w:pPr>
              <w:widowControl w:val="0"/>
              <w:spacing w:line="240" w:lineRule="exact"/>
              <w:jc w:val="center"/>
              <w:rPr>
                <w:rFonts w:eastAsia="楷体_GB2312"/>
                <w:szCs w:val="21"/>
              </w:rPr>
            </w:pPr>
            <w:r>
              <w:rPr>
                <w:rFonts w:eastAsia="楷体_GB2312"/>
                <w:szCs w:val="21"/>
              </w:rPr>
              <w:t>1</w:t>
            </w:r>
          </w:p>
        </w:tc>
        <w:tc>
          <w:tcPr>
            <w:tcW w:w="0" w:type="auto"/>
            <w:tcBorders>
              <w:top w:val="nil"/>
              <w:left w:val="single" w:color="auto" w:sz="4" w:space="0"/>
              <w:bottom w:val="single" w:color="auto" w:sz="4" w:space="0"/>
              <w:right w:val="single" w:color="auto" w:sz="4" w:space="0"/>
            </w:tcBorders>
            <w:noWrap/>
            <w:vAlign w:val="center"/>
          </w:tcPr>
          <w:p w14:paraId="3B634FC0">
            <w:pPr>
              <w:widowControl w:val="0"/>
              <w:spacing w:line="240" w:lineRule="exact"/>
              <w:jc w:val="center"/>
              <w:rPr>
                <w:rFonts w:eastAsia="楷体_GB2312"/>
                <w:b/>
                <w:color w:val="000000"/>
                <w:szCs w:val="21"/>
              </w:rPr>
            </w:pPr>
            <w:r>
              <w:rPr>
                <w:rFonts w:eastAsia="楷体_GB2312"/>
                <w:b/>
                <w:color w:val="000000"/>
                <w:szCs w:val="21"/>
              </w:rPr>
              <w:t>500</w:t>
            </w:r>
          </w:p>
        </w:tc>
        <w:tc>
          <w:tcPr>
            <w:tcW w:w="0" w:type="auto"/>
            <w:tcBorders>
              <w:top w:val="nil"/>
              <w:left w:val="nil"/>
              <w:bottom w:val="single" w:color="auto" w:sz="8" w:space="0"/>
              <w:right w:val="single" w:color="auto" w:sz="8" w:space="0"/>
            </w:tcBorders>
            <w:noWrap/>
            <w:vAlign w:val="center"/>
          </w:tcPr>
          <w:p w14:paraId="268CD0ED">
            <w:pPr>
              <w:widowControl w:val="0"/>
              <w:spacing w:line="240" w:lineRule="exact"/>
              <w:jc w:val="center"/>
              <w:rPr>
                <w:rFonts w:eastAsia="楷体_GB2312"/>
                <w:color w:val="000000"/>
                <w:szCs w:val="21"/>
              </w:rPr>
            </w:pPr>
            <w:r>
              <w:rPr>
                <w:rFonts w:eastAsia="楷体_GB2312"/>
                <w:color w:val="000000"/>
                <w:szCs w:val="21"/>
              </w:rPr>
              <w:t>485</w:t>
            </w:r>
          </w:p>
        </w:tc>
        <w:tc>
          <w:tcPr>
            <w:tcW w:w="0" w:type="auto"/>
            <w:tcBorders>
              <w:top w:val="nil"/>
              <w:left w:val="nil"/>
              <w:bottom w:val="single" w:color="auto" w:sz="8" w:space="0"/>
              <w:right w:val="single" w:color="auto" w:sz="8" w:space="0"/>
            </w:tcBorders>
            <w:noWrap w:val="0"/>
            <w:vAlign w:val="center"/>
          </w:tcPr>
          <w:p w14:paraId="47867FB7">
            <w:pPr>
              <w:widowControl w:val="0"/>
              <w:spacing w:line="240" w:lineRule="exact"/>
              <w:jc w:val="center"/>
              <w:rPr>
                <w:rFonts w:eastAsia="楷体_GB2312"/>
                <w:color w:val="000000"/>
                <w:szCs w:val="21"/>
              </w:rPr>
            </w:pPr>
            <w:r>
              <w:rPr>
                <w:rFonts w:eastAsia="楷体_GB2312"/>
                <w:color w:val="000000"/>
                <w:szCs w:val="21"/>
              </w:rPr>
              <w:t>3.09%</w:t>
            </w:r>
          </w:p>
        </w:tc>
        <w:tc>
          <w:tcPr>
            <w:tcW w:w="0" w:type="auto"/>
            <w:tcBorders>
              <w:top w:val="nil"/>
              <w:left w:val="single" w:color="auto" w:sz="4" w:space="0"/>
              <w:bottom w:val="single" w:color="auto" w:sz="4" w:space="0"/>
              <w:right w:val="single" w:color="auto" w:sz="4" w:space="0"/>
            </w:tcBorders>
            <w:noWrap/>
            <w:vAlign w:val="center"/>
          </w:tcPr>
          <w:p w14:paraId="31C3B9E0">
            <w:pPr>
              <w:widowControl w:val="0"/>
              <w:spacing w:line="240" w:lineRule="exact"/>
              <w:jc w:val="center"/>
              <w:rPr>
                <w:rFonts w:eastAsia="楷体_GB2312"/>
                <w:b/>
                <w:color w:val="000000"/>
                <w:szCs w:val="21"/>
              </w:rPr>
            </w:pPr>
            <w:r>
              <w:rPr>
                <w:rFonts w:eastAsia="楷体_GB2312"/>
                <w:b/>
                <w:color w:val="000000"/>
                <w:szCs w:val="21"/>
              </w:rPr>
              <w:t>375</w:t>
            </w:r>
          </w:p>
        </w:tc>
        <w:tc>
          <w:tcPr>
            <w:tcW w:w="0" w:type="auto"/>
            <w:tcBorders>
              <w:top w:val="nil"/>
              <w:left w:val="nil"/>
              <w:bottom w:val="single" w:color="auto" w:sz="8" w:space="0"/>
              <w:right w:val="single" w:color="auto" w:sz="8" w:space="0"/>
            </w:tcBorders>
            <w:noWrap/>
            <w:vAlign w:val="center"/>
          </w:tcPr>
          <w:p w14:paraId="1AFC2371">
            <w:pPr>
              <w:widowControl w:val="0"/>
              <w:spacing w:line="240" w:lineRule="exact"/>
              <w:jc w:val="center"/>
              <w:rPr>
                <w:rFonts w:eastAsia="楷体_GB2312"/>
                <w:color w:val="000000"/>
                <w:szCs w:val="21"/>
              </w:rPr>
            </w:pPr>
            <w:r>
              <w:rPr>
                <w:rFonts w:eastAsia="楷体_GB2312"/>
                <w:color w:val="000000"/>
                <w:szCs w:val="21"/>
              </w:rPr>
              <w:t>350</w:t>
            </w:r>
          </w:p>
        </w:tc>
        <w:tc>
          <w:tcPr>
            <w:tcW w:w="0" w:type="auto"/>
            <w:tcBorders>
              <w:top w:val="nil"/>
              <w:left w:val="nil"/>
              <w:bottom w:val="single" w:color="auto" w:sz="8" w:space="0"/>
              <w:right w:val="single" w:color="auto" w:sz="8" w:space="0"/>
            </w:tcBorders>
            <w:noWrap w:val="0"/>
            <w:vAlign w:val="center"/>
          </w:tcPr>
          <w:p w14:paraId="3D00C188">
            <w:pPr>
              <w:widowControl w:val="0"/>
              <w:spacing w:line="240" w:lineRule="exact"/>
              <w:jc w:val="center"/>
              <w:rPr>
                <w:rFonts w:eastAsia="楷体_GB2312"/>
                <w:color w:val="000000"/>
                <w:szCs w:val="21"/>
              </w:rPr>
            </w:pPr>
            <w:r>
              <w:rPr>
                <w:rFonts w:eastAsia="楷体_GB2312"/>
                <w:color w:val="000000"/>
                <w:szCs w:val="21"/>
              </w:rPr>
              <w:t>7.14%</w:t>
            </w:r>
          </w:p>
        </w:tc>
        <w:tc>
          <w:tcPr>
            <w:tcW w:w="0" w:type="auto"/>
            <w:tcBorders>
              <w:top w:val="nil"/>
              <w:left w:val="single" w:color="auto" w:sz="4" w:space="0"/>
              <w:bottom w:val="single" w:color="auto" w:sz="4" w:space="0"/>
              <w:right w:val="single" w:color="auto" w:sz="4" w:space="0"/>
            </w:tcBorders>
            <w:noWrap/>
            <w:vAlign w:val="center"/>
          </w:tcPr>
          <w:p w14:paraId="65A9922B">
            <w:pPr>
              <w:widowControl w:val="0"/>
              <w:spacing w:line="240" w:lineRule="exact"/>
              <w:jc w:val="center"/>
              <w:rPr>
                <w:rFonts w:eastAsia="楷体_GB2312"/>
                <w:b/>
                <w:color w:val="000000"/>
                <w:szCs w:val="21"/>
              </w:rPr>
            </w:pPr>
            <w:r>
              <w:rPr>
                <w:rFonts w:eastAsia="楷体_GB2312"/>
                <w:b/>
                <w:color w:val="000000"/>
                <w:szCs w:val="21"/>
              </w:rPr>
              <w:t>170</w:t>
            </w:r>
          </w:p>
        </w:tc>
        <w:tc>
          <w:tcPr>
            <w:tcW w:w="0" w:type="auto"/>
            <w:tcBorders>
              <w:top w:val="nil"/>
              <w:left w:val="nil"/>
              <w:bottom w:val="single" w:color="auto" w:sz="8" w:space="0"/>
              <w:right w:val="single" w:color="auto" w:sz="8" w:space="0"/>
            </w:tcBorders>
            <w:noWrap/>
            <w:vAlign w:val="center"/>
          </w:tcPr>
          <w:p w14:paraId="56734F2D">
            <w:pPr>
              <w:widowControl w:val="0"/>
              <w:spacing w:line="240" w:lineRule="exact"/>
              <w:jc w:val="center"/>
              <w:rPr>
                <w:rFonts w:eastAsia="楷体_GB2312"/>
                <w:color w:val="000000"/>
                <w:szCs w:val="21"/>
              </w:rPr>
            </w:pPr>
            <w:r>
              <w:rPr>
                <w:rFonts w:eastAsia="楷体_GB2312"/>
                <w:color w:val="000000"/>
                <w:szCs w:val="21"/>
              </w:rPr>
              <w:t>165</w:t>
            </w:r>
          </w:p>
        </w:tc>
        <w:tc>
          <w:tcPr>
            <w:tcW w:w="0" w:type="auto"/>
            <w:tcBorders>
              <w:top w:val="nil"/>
              <w:left w:val="nil"/>
              <w:bottom w:val="single" w:color="auto" w:sz="8" w:space="0"/>
              <w:right w:val="single" w:color="auto" w:sz="8" w:space="0"/>
            </w:tcBorders>
            <w:noWrap w:val="0"/>
            <w:vAlign w:val="center"/>
          </w:tcPr>
          <w:p w14:paraId="43DEF21E">
            <w:pPr>
              <w:widowControl w:val="0"/>
              <w:spacing w:line="240" w:lineRule="exact"/>
              <w:jc w:val="center"/>
              <w:rPr>
                <w:rFonts w:eastAsia="楷体_GB2312"/>
                <w:color w:val="000000"/>
                <w:szCs w:val="21"/>
              </w:rPr>
            </w:pPr>
            <w:r>
              <w:rPr>
                <w:rFonts w:eastAsia="楷体_GB2312"/>
                <w:color w:val="000000"/>
                <w:szCs w:val="21"/>
              </w:rPr>
              <w:t>3.03%</w:t>
            </w:r>
          </w:p>
        </w:tc>
      </w:tr>
      <w:tr w14:paraId="57C1F457">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64C1F5E9">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6EF32C47">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5FF1BD99">
            <w:pPr>
              <w:widowControl w:val="0"/>
              <w:spacing w:line="240" w:lineRule="exact"/>
              <w:jc w:val="center"/>
              <w:rPr>
                <w:rFonts w:eastAsia="楷体_GB2312"/>
                <w:szCs w:val="21"/>
              </w:rPr>
            </w:pPr>
            <w:r>
              <w:rPr>
                <w:rFonts w:eastAsia="楷体_GB2312"/>
                <w:szCs w:val="21"/>
              </w:rPr>
              <w:t>2</w:t>
            </w:r>
          </w:p>
        </w:tc>
        <w:tc>
          <w:tcPr>
            <w:tcW w:w="0" w:type="auto"/>
            <w:tcBorders>
              <w:top w:val="nil"/>
              <w:left w:val="single" w:color="auto" w:sz="4" w:space="0"/>
              <w:bottom w:val="single" w:color="auto" w:sz="4" w:space="0"/>
              <w:right w:val="single" w:color="auto" w:sz="4" w:space="0"/>
            </w:tcBorders>
            <w:noWrap/>
            <w:vAlign w:val="center"/>
          </w:tcPr>
          <w:p w14:paraId="688A2963">
            <w:pPr>
              <w:widowControl w:val="0"/>
              <w:spacing w:line="240" w:lineRule="exact"/>
              <w:jc w:val="center"/>
              <w:rPr>
                <w:rFonts w:eastAsia="楷体_GB2312"/>
                <w:b/>
                <w:color w:val="000000"/>
                <w:szCs w:val="21"/>
              </w:rPr>
            </w:pPr>
            <w:r>
              <w:rPr>
                <w:rFonts w:eastAsia="楷体_GB2312"/>
                <w:b/>
                <w:color w:val="000000"/>
                <w:szCs w:val="21"/>
              </w:rPr>
              <w:t>395</w:t>
            </w:r>
          </w:p>
        </w:tc>
        <w:tc>
          <w:tcPr>
            <w:tcW w:w="0" w:type="auto"/>
            <w:tcBorders>
              <w:top w:val="nil"/>
              <w:left w:val="nil"/>
              <w:bottom w:val="single" w:color="auto" w:sz="8" w:space="0"/>
              <w:right w:val="single" w:color="auto" w:sz="8" w:space="0"/>
            </w:tcBorders>
            <w:noWrap/>
            <w:vAlign w:val="center"/>
          </w:tcPr>
          <w:p w14:paraId="3FF577FE">
            <w:pPr>
              <w:widowControl w:val="0"/>
              <w:spacing w:line="240" w:lineRule="exact"/>
              <w:jc w:val="center"/>
              <w:rPr>
                <w:rFonts w:eastAsia="楷体_GB2312"/>
                <w:color w:val="000000"/>
                <w:szCs w:val="21"/>
              </w:rPr>
            </w:pPr>
            <w:r>
              <w:rPr>
                <w:rFonts w:eastAsia="楷体_GB2312"/>
                <w:color w:val="000000"/>
                <w:szCs w:val="21"/>
              </w:rPr>
              <w:t>372</w:t>
            </w:r>
          </w:p>
        </w:tc>
        <w:tc>
          <w:tcPr>
            <w:tcW w:w="0" w:type="auto"/>
            <w:tcBorders>
              <w:top w:val="nil"/>
              <w:left w:val="nil"/>
              <w:bottom w:val="single" w:color="auto" w:sz="8" w:space="0"/>
              <w:right w:val="single" w:color="auto" w:sz="8" w:space="0"/>
            </w:tcBorders>
            <w:noWrap w:val="0"/>
            <w:vAlign w:val="center"/>
          </w:tcPr>
          <w:p w14:paraId="7C6FFE31">
            <w:pPr>
              <w:widowControl w:val="0"/>
              <w:spacing w:line="240" w:lineRule="exact"/>
              <w:jc w:val="center"/>
              <w:rPr>
                <w:rFonts w:eastAsia="楷体_GB2312"/>
                <w:color w:val="000000"/>
                <w:szCs w:val="21"/>
              </w:rPr>
            </w:pPr>
            <w:r>
              <w:rPr>
                <w:rFonts w:eastAsia="楷体_GB2312"/>
                <w:color w:val="000000"/>
                <w:szCs w:val="21"/>
              </w:rPr>
              <w:t>6.18%</w:t>
            </w:r>
          </w:p>
        </w:tc>
        <w:tc>
          <w:tcPr>
            <w:tcW w:w="0" w:type="auto"/>
            <w:tcBorders>
              <w:top w:val="nil"/>
              <w:left w:val="single" w:color="auto" w:sz="4" w:space="0"/>
              <w:bottom w:val="single" w:color="auto" w:sz="4" w:space="0"/>
              <w:right w:val="single" w:color="auto" w:sz="4" w:space="0"/>
            </w:tcBorders>
            <w:noWrap/>
            <w:vAlign w:val="center"/>
          </w:tcPr>
          <w:p w14:paraId="7C54B601">
            <w:pPr>
              <w:widowControl w:val="0"/>
              <w:spacing w:line="240" w:lineRule="exact"/>
              <w:jc w:val="center"/>
              <w:rPr>
                <w:rFonts w:eastAsia="楷体_GB2312"/>
                <w:b/>
                <w:color w:val="000000"/>
                <w:szCs w:val="21"/>
              </w:rPr>
            </w:pPr>
            <w:r>
              <w:rPr>
                <w:rFonts w:eastAsia="楷体_GB2312"/>
                <w:b/>
                <w:color w:val="000000"/>
                <w:szCs w:val="21"/>
              </w:rPr>
              <w:t>285</w:t>
            </w:r>
          </w:p>
        </w:tc>
        <w:tc>
          <w:tcPr>
            <w:tcW w:w="0" w:type="auto"/>
            <w:tcBorders>
              <w:top w:val="nil"/>
              <w:left w:val="nil"/>
              <w:bottom w:val="single" w:color="auto" w:sz="8" w:space="0"/>
              <w:right w:val="single" w:color="auto" w:sz="8" w:space="0"/>
            </w:tcBorders>
            <w:noWrap/>
            <w:vAlign w:val="center"/>
          </w:tcPr>
          <w:p w14:paraId="1E1B3D1A">
            <w:pPr>
              <w:widowControl w:val="0"/>
              <w:spacing w:line="240" w:lineRule="exact"/>
              <w:jc w:val="center"/>
              <w:rPr>
                <w:rFonts w:eastAsia="楷体_GB2312"/>
                <w:color w:val="000000"/>
                <w:szCs w:val="21"/>
              </w:rPr>
            </w:pPr>
            <w:r>
              <w:rPr>
                <w:rFonts w:eastAsia="楷体_GB2312"/>
                <w:color w:val="000000"/>
                <w:szCs w:val="21"/>
              </w:rPr>
              <w:t>240</w:t>
            </w:r>
          </w:p>
        </w:tc>
        <w:tc>
          <w:tcPr>
            <w:tcW w:w="0" w:type="auto"/>
            <w:tcBorders>
              <w:top w:val="nil"/>
              <w:left w:val="nil"/>
              <w:bottom w:val="single" w:color="auto" w:sz="8" w:space="0"/>
              <w:right w:val="single" w:color="auto" w:sz="8" w:space="0"/>
            </w:tcBorders>
            <w:noWrap w:val="0"/>
            <w:vAlign w:val="center"/>
          </w:tcPr>
          <w:p w14:paraId="1EE562A1">
            <w:pPr>
              <w:widowControl w:val="0"/>
              <w:spacing w:line="240" w:lineRule="exact"/>
              <w:jc w:val="center"/>
              <w:rPr>
                <w:rFonts w:eastAsia="楷体_GB2312"/>
                <w:color w:val="000000"/>
                <w:szCs w:val="21"/>
              </w:rPr>
            </w:pPr>
            <w:r>
              <w:rPr>
                <w:rFonts w:eastAsia="楷体_GB2312"/>
                <w:color w:val="000000"/>
                <w:szCs w:val="21"/>
              </w:rPr>
              <w:t>18.75%</w:t>
            </w:r>
          </w:p>
        </w:tc>
        <w:tc>
          <w:tcPr>
            <w:tcW w:w="0" w:type="auto"/>
            <w:tcBorders>
              <w:top w:val="nil"/>
              <w:left w:val="single" w:color="auto" w:sz="4" w:space="0"/>
              <w:bottom w:val="single" w:color="auto" w:sz="4" w:space="0"/>
              <w:right w:val="single" w:color="auto" w:sz="4" w:space="0"/>
            </w:tcBorders>
            <w:noWrap/>
            <w:vAlign w:val="center"/>
          </w:tcPr>
          <w:p w14:paraId="406AC0D2">
            <w:pPr>
              <w:widowControl w:val="0"/>
              <w:spacing w:line="240" w:lineRule="exact"/>
              <w:jc w:val="center"/>
              <w:rPr>
                <w:rFonts w:eastAsia="楷体_GB2312"/>
                <w:b/>
                <w:color w:val="000000"/>
                <w:szCs w:val="21"/>
              </w:rPr>
            </w:pPr>
            <w:r>
              <w:rPr>
                <w:rFonts w:eastAsia="楷体_GB2312"/>
                <w:b/>
                <w:color w:val="000000"/>
                <w:szCs w:val="21"/>
              </w:rPr>
              <w:t>155</w:t>
            </w:r>
          </w:p>
        </w:tc>
        <w:tc>
          <w:tcPr>
            <w:tcW w:w="0" w:type="auto"/>
            <w:tcBorders>
              <w:top w:val="nil"/>
              <w:left w:val="nil"/>
              <w:bottom w:val="single" w:color="auto" w:sz="8" w:space="0"/>
              <w:right w:val="single" w:color="auto" w:sz="8" w:space="0"/>
            </w:tcBorders>
            <w:noWrap/>
            <w:vAlign w:val="center"/>
          </w:tcPr>
          <w:p w14:paraId="27A175BC">
            <w:pPr>
              <w:widowControl w:val="0"/>
              <w:spacing w:line="240" w:lineRule="exact"/>
              <w:jc w:val="center"/>
              <w:rPr>
                <w:rFonts w:eastAsia="楷体_GB2312"/>
                <w:color w:val="000000"/>
                <w:szCs w:val="21"/>
              </w:rPr>
            </w:pPr>
            <w:r>
              <w:rPr>
                <w:rFonts w:eastAsia="楷体_GB2312"/>
                <w:color w:val="000000"/>
                <w:szCs w:val="21"/>
              </w:rPr>
              <w:t>150</w:t>
            </w:r>
          </w:p>
        </w:tc>
        <w:tc>
          <w:tcPr>
            <w:tcW w:w="0" w:type="auto"/>
            <w:tcBorders>
              <w:top w:val="nil"/>
              <w:left w:val="nil"/>
              <w:bottom w:val="single" w:color="auto" w:sz="8" w:space="0"/>
              <w:right w:val="single" w:color="auto" w:sz="8" w:space="0"/>
            </w:tcBorders>
            <w:noWrap w:val="0"/>
            <w:vAlign w:val="center"/>
          </w:tcPr>
          <w:p w14:paraId="10CC75C3">
            <w:pPr>
              <w:widowControl w:val="0"/>
              <w:spacing w:line="240" w:lineRule="exact"/>
              <w:jc w:val="center"/>
              <w:rPr>
                <w:rFonts w:eastAsia="楷体_GB2312"/>
                <w:color w:val="000000"/>
                <w:szCs w:val="21"/>
              </w:rPr>
            </w:pPr>
            <w:r>
              <w:rPr>
                <w:rFonts w:eastAsia="楷体_GB2312"/>
                <w:color w:val="000000"/>
                <w:szCs w:val="21"/>
              </w:rPr>
              <w:t>3.33%</w:t>
            </w:r>
          </w:p>
        </w:tc>
      </w:tr>
      <w:tr w14:paraId="69F5F8F2">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auto" w:sz="4" w:space="0"/>
              <w:right w:val="single" w:color="auto" w:sz="8" w:space="0"/>
            </w:tcBorders>
            <w:noWrap w:val="0"/>
            <w:vAlign w:val="center"/>
          </w:tcPr>
          <w:p w14:paraId="381D5DE6">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auto" w:sz="4" w:space="0"/>
              <w:right w:val="single" w:color="auto" w:sz="8" w:space="0"/>
            </w:tcBorders>
            <w:noWrap w:val="0"/>
            <w:vAlign w:val="center"/>
          </w:tcPr>
          <w:p w14:paraId="169DADB0">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532130BB">
            <w:pPr>
              <w:widowControl w:val="0"/>
              <w:spacing w:line="240" w:lineRule="exact"/>
              <w:jc w:val="center"/>
              <w:rPr>
                <w:rFonts w:eastAsia="楷体_GB2312"/>
                <w:szCs w:val="21"/>
              </w:rPr>
            </w:pPr>
            <w:r>
              <w:rPr>
                <w:rFonts w:eastAsia="楷体_GB2312"/>
                <w:szCs w:val="21"/>
              </w:rPr>
              <w:t>3</w:t>
            </w:r>
          </w:p>
        </w:tc>
        <w:tc>
          <w:tcPr>
            <w:tcW w:w="0" w:type="auto"/>
            <w:tcBorders>
              <w:top w:val="nil"/>
              <w:left w:val="single" w:color="auto" w:sz="4" w:space="0"/>
              <w:bottom w:val="single" w:color="auto" w:sz="4" w:space="0"/>
              <w:right w:val="single" w:color="auto" w:sz="4" w:space="0"/>
            </w:tcBorders>
            <w:noWrap/>
            <w:vAlign w:val="center"/>
          </w:tcPr>
          <w:p w14:paraId="3E142E13">
            <w:pPr>
              <w:widowControl w:val="0"/>
              <w:spacing w:line="240" w:lineRule="exact"/>
              <w:jc w:val="center"/>
              <w:rPr>
                <w:rFonts w:eastAsia="楷体_GB2312"/>
                <w:b/>
                <w:color w:val="000000"/>
                <w:szCs w:val="21"/>
              </w:rPr>
            </w:pPr>
            <w:r>
              <w:rPr>
                <w:rFonts w:eastAsia="楷体_GB2312"/>
                <w:b/>
                <w:color w:val="000000"/>
                <w:szCs w:val="21"/>
              </w:rPr>
              <w:t>310</w:t>
            </w:r>
          </w:p>
        </w:tc>
        <w:tc>
          <w:tcPr>
            <w:tcW w:w="0" w:type="auto"/>
            <w:tcBorders>
              <w:top w:val="nil"/>
              <w:left w:val="nil"/>
              <w:bottom w:val="single" w:color="auto" w:sz="8" w:space="0"/>
              <w:right w:val="single" w:color="auto" w:sz="8" w:space="0"/>
            </w:tcBorders>
            <w:noWrap/>
            <w:vAlign w:val="center"/>
          </w:tcPr>
          <w:p w14:paraId="15D1BC0F">
            <w:pPr>
              <w:widowControl w:val="0"/>
              <w:spacing w:line="240" w:lineRule="exact"/>
              <w:jc w:val="center"/>
              <w:rPr>
                <w:rFonts w:eastAsia="楷体_GB2312"/>
                <w:color w:val="000000"/>
                <w:szCs w:val="21"/>
              </w:rPr>
            </w:pPr>
            <w:r>
              <w:rPr>
                <w:rFonts w:eastAsia="楷体_GB2312"/>
                <w:color w:val="000000"/>
                <w:szCs w:val="21"/>
              </w:rPr>
              <w:t>300</w:t>
            </w:r>
          </w:p>
        </w:tc>
        <w:tc>
          <w:tcPr>
            <w:tcW w:w="0" w:type="auto"/>
            <w:tcBorders>
              <w:top w:val="nil"/>
              <w:left w:val="nil"/>
              <w:bottom w:val="single" w:color="auto" w:sz="8" w:space="0"/>
              <w:right w:val="single" w:color="auto" w:sz="8" w:space="0"/>
            </w:tcBorders>
            <w:noWrap w:val="0"/>
            <w:vAlign w:val="center"/>
          </w:tcPr>
          <w:p w14:paraId="0414AC31">
            <w:pPr>
              <w:widowControl w:val="0"/>
              <w:spacing w:line="240" w:lineRule="exact"/>
              <w:jc w:val="center"/>
              <w:rPr>
                <w:rFonts w:eastAsia="楷体_GB2312"/>
                <w:color w:val="000000"/>
                <w:szCs w:val="21"/>
              </w:rPr>
            </w:pPr>
            <w:r>
              <w:rPr>
                <w:rFonts w:eastAsia="楷体_GB2312"/>
                <w:color w:val="000000"/>
                <w:szCs w:val="21"/>
              </w:rPr>
              <w:t>3.33%</w:t>
            </w:r>
          </w:p>
        </w:tc>
        <w:tc>
          <w:tcPr>
            <w:tcW w:w="0" w:type="auto"/>
            <w:tcBorders>
              <w:top w:val="nil"/>
              <w:left w:val="single" w:color="auto" w:sz="4" w:space="0"/>
              <w:bottom w:val="single" w:color="auto" w:sz="4" w:space="0"/>
              <w:right w:val="single" w:color="auto" w:sz="4" w:space="0"/>
            </w:tcBorders>
            <w:noWrap/>
            <w:vAlign w:val="center"/>
          </w:tcPr>
          <w:p w14:paraId="5367415B">
            <w:pPr>
              <w:widowControl w:val="0"/>
              <w:spacing w:line="240" w:lineRule="exact"/>
              <w:jc w:val="center"/>
              <w:rPr>
                <w:rFonts w:eastAsia="楷体_GB2312"/>
                <w:b/>
                <w:color w:val="000000"/>
                <w:szCs w:val="21"/>
              </w:rPr>
            </w:pPr>
            <w:r>
              <w:rPr>
                <w:rFonts w:eastAsia="楷体_GB2312"/>
                <w:b/>
                <w:color w:val="000000"/>
                <w:szCs w:val="21"/>
              </w:rPr>
              <w:t>215</w:t>
            </w:r>
          </w:p>
        </w:tc>
        <w:tc>
          <w:tcPr>
            <w:tcW w:w="0" w:type="auto"/>
            <w:tcBorders>
              <w:top w:val="nil"/>
              <w:left w:val="nil"/>
              <w:bottom w:val="single" w:color="auto" w:sz="8" w:space="0"/>
              <w:right w:val="single" w:color="auto" w:sz="8" w:space="0"/>
            </w:tcBorders>
            <w:noWrap/>
            <w:vAlign w:val="center"/>
          </w:tcPr>
          <w:p w14:paraId="5307061C">
            <w:pPr>
              <w:widowControl w:val="0"/>
              <w:spacing w:line="240" w:lineRule="exact"/>
              <w:jc w:val="center"/>
              <w:rPr>
                <w:rFonts w:eastAsia="楷体_GB2312"/>
                <w:color w:val="000000"/>
                <w:szCs w:val="21"/>
              </w:rPr>
            </w:pPr>
            <w:r>
              <w:rPr>
                <w:rFonts w:eastAsia="楷体_GB2312"/>
                <w:color w:val="000000"/>
                <w:szCs w:val="21"/>
              </w:rPr>
              <w:t>200</w:t>
            </w:r>
          </w:p>
        </w:tc>
        <w:tc>
          <w:tcPr>
            <w:tcW w:w="0" w:type="auto"/>
            <w:tcBorders>
              <w:top w:val="nil"/>
              <w:left w:val="nil"/>
              <w:bottom w:val="single" w:color="auto" w:sz="8" w:space="0"/>
              <w:right w:val="single" w:color="auto" w:sz="8" w:space="0"/>
            </w:tcBorders>
            <w:noWrap w:val="0"/>
            <w:vAlign w:val="center"/>
          </w:tcPr>
          <w:p w14:paraId="7D68724C">
            <w:pPr>
              <w:widowControl w:val="0"/>
              <w:spacing w:line="240" w:lineRule="exact"/>
              <w:jc w:val="center"/>
              <w:rPr>
                <w:rFonts w:eastAsia="楷体_GB2312"/>
                <w:color w:val="000000"/>
                <w:szCs w:val="21"/>
              </w:rPr>
            </w:pPr>
            <w:r>
              <w:rPr>
                <w:rFonts w:eastAsia="楷体_GB2312"/>
                <w:color w:val="000000"/>
                <w:szCs w:val="21"/>
              </w:rPr>
              <w:t>7.50%</w:t>
            </w:r>
          </w:p>
        </w:tc>
        <w:tc>
          <w:tcPr>
            <w:tcW w:w="0" w:type="auto"/>
            <w:tcBorders>
              <w:top w:val="nil"/>
              <w:left w:val="single" w:color="auto" w:sz="4" w:space="0"/>
              <w:bottom w:val="single" w:color="auto" w:sz="4" w:space="0"/>
              <w:right w:val="single" w:color="auto" w:sz="4" w:space="0"/>
            </w:tcBorders>
            <w:noWrap/>
            <w:vAlign w:val="center"/>
          </w:tcPr>
          <w:p w14:paraId="5B81EAAE">
            <w:pPr>
              <w:widowControl w:val="0"/>
              <w:spacing w:line="240" w:lineRule="exact"/>
              <w:jc w:val="center"/>
              <w:rPr>
                <w:rFonts w:eastAsia="楷体_GB2312"/>
                <w:b/>
                <w:color w:val="000000"/>
                <w:szCs w:val="21"/>
              </w:rPr>
            </w:pPr>
            <w:r>
              <w:rPr>
                <w:rFonts w:eastAsia="楷体_GB2312"/>
                <w:b/>
                <w:color w:val="000000"/>
                <w:szCs w:val="21"/>
              </w:rPr>
              <w:t>144</w:t>
            </w:r>
          </w:p>
        </w:tc>
        <w:tc>
          <w:tcPr>
            <w:tcW w:w="0" w:type="auto"/>
            <w:tcBorders>
              <w:top w:val="nil"/>
              <w:left w:val="nil"/>
              <w:bottom w:val="single" w:color="auto" w:sz="8" w:space="0"/>
              <w:right w:val="single" w:color="auto" w:sz="8" w:space="0"/>
            </w:tcBorders>
            <w:noWrap/>
            <w:vAlign w:val="center"/>
          </w:tcPr>
          <w:p w14:paraId="0836C590">
            <w:pPr>
              <w:widowControl w:val="0"/>
              <w:spacing w:line="240" w:lineRule="exact"/>
              <w:jc w:val="center"/>
              <w:rPr>
                <w:rFonts w:eastAsia="楷体_GB2312"/>
                <w:color w:val="000000"/>
                <w:szCs w:val="21"/>
              </w:rPr>
            </w:pPr>
            <w:r>
              <w:rPr>
                <w:rFonts w:eastAsia="楷体_GB2312"/>
                <w:color w:val="000000"/>
                <w:szCs w:val="21"/>
              </w:rPr>
              <w:t>144</w:t>
            </w:r>
          </w:p>
        </w:tc>
        <w:tc>
          <w:tcPr>
            <w:tcW w:w="0" w:type="auto"/>
            <w:tcBorders>
              <w:top w:val="nil"/>
              <w:left w:val="nil"/>
              <w:bottom w:val="single" w:color="auto" w:sz="8" w:space="0"/>
              <w:right w:val="single" w:color="auto" w:sz="8" w:space="0"/>
            </w:tcBorders>
            <w:noWrap w:val="0"/>
            <w:vAlign w:val="center"/>
          </w:tcPr>
          <w:p w14:paraId="6124AA6F">
            <w:pPr>
              <w:widowControl w:val="0"/>
              <w:spacing w:line="240" w:lineRule="exact"/>
              <w:jc w:val="center"/>
              <w:rPr>
                <w:rFonts w:eastAsia="楷体_GB2312"/>
                <w:color w:val="000000"/>
                <w:szCs w:val="21"/>
              </w:rPr>
            </w:pPr>
            <w:r>
              <w:rPr>
                <w:rFonts w:eastAsia="楷体_GB2312"/>
                <w:color w:val="000000"/>
                <w:szCs w:val="21"/>
              </w:rPr>
              <w:t>0.00%</w:t>
            </w:r>
          </w:p>
        </w:tc>
      </w:tr>
      <w:tr w14:paraId="15CF46DB">
        <w:tblPrEx>
          <w:tblCellMar>
            <w:top w:w="0" w:type="dxa"/>
            <w:left w:w="108" w:type="dxa"/>
            <w:bottom w:w="0" w:type="dxa"/>
            <w:right w:w="108" w:type="dxa"/>
          </w:tblCellMar>
        </w:tblPrEx>
        <w:trPr>
          <w:trHeight w:val="20" w:hRule="atLeast"/>
          <w:jc w:val="center"/>
        </w:trPr>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48C813DE">
            <w:pPr>
              <w:widowControl w:val="0"/>
              <w:spacing w:line="240" w:lineRule="exact"/>
              <w:jc w:val="center"/>
              <w:rPr>
                <w:rFonts w:eastAsia="楷体_GB2312"/>
                <w:szCs w:val="21"/>
              </w:rPr>
            </w:pPr>
            <w:r>
              <w:rPr>
                <w:rFonts w:eastAsia="楷体_GB2312"/>
                <w:szCs w:val="21"/>
              </w:rPr>
              <w:t>10</w:t>
            </w:r>
          </w:p>
        </w:tc>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00B9D8CB">
            <w:pPr>
              <w:widowControl w:val="0"/>
              <w:spacing w:line="240" w:lineRule="exact"/>
              <w:jc w:val="center"/>
              <w:rPr>
                <w:rFonts w:eastAsia="楷体_GB2312"/>
                <w:color w:val="000000"/>
                <w:szCs w:val="21"/>
              </w:rPr>
            </w:pPr>
            <w:r>
              <w:rPr>
                <w:rFonts w:eastAsia="楷体_GB2312"/>
                <w:color w:val="000000"/>
                <w:szCs w:val="21"/>
              </w:rPr>
              <w:t>桃园镇</w:t>
            </w:r>
          </w:p>
        </w:tc>
        <w:tc>
          <w:tcPr>
            <w:tcW w:w="0" w:type="auto"/>
            <w:tcBorders>
              <w:top w:val="single" w:color="auto" w:sz="4" w:space="0"/>
              <w:left w:val="nil"/>
              <w:bottom w:val="single" w:color="auto" w:sz="4" w:space="0"/>
              <w:right w:val="single" w:color="auto" w:sz="8" w:space="0"/>
            </w:tcBorders>
            <w:noWrap w:val="0"/>
            <w:vAlign w:val="center"/>
          </w:tcPr>
          <w:p w14:paraId="745EAA63">
            <w:pPr>
              <w:widowControl w:val="0"/>
              <w:spacing w:line="240" w:lineRule="exact"/>
              <w:jc w:val="center"/>
              <w:rPr>
                <w:rFonts w:eastAsia="楷体_GB2312"/>
                <w:szCs w:val="21"/>
              </w:rPr>
            </w:pPr>
            <w:r>
              <w:rPr>
                <w:rFonts w:eastAsia="楷体_GB2312"/>
                <w:szCs w:val="21"/>
              </w:rPr>
              <w:t>1</w:t>
            </w:r>
          </w:p>
        </w:tc>
        <w:tc>
          <w:tcPr>
            <w:tcW w:w="0" w:type="auto"/>
            <w:tcBorders>
              <w:top w:val="nil"/>
              <w:left w:val="single" w:color="auto" w:sz="4" w:space="0"/>
              <w:bottom w:val="single" w:color="auto" w:sz="4" w:space="0"/>
              <w:right w:val="single" w:color="auto" w:sz="4" w:space="0"/>
            </w:tcBorders>
            <w:noWrap/>
            <w:vAlign w:val="center"/>
          </w:tcPr>
          <w:p w14:paraId="306E5E25">
            <w:pPr>
              <w:widowControl w:val="0"/>
              <w:spacing w:line="240" w:lineRule="exact"/>
              <w:jc w:val="center"/>
              <w:rPr>
                <w:rFonts w:eastAsia="楷体_GB2312"/>
                <w:b/>
                <w:color w:val="000000"/>
                <w:szCs w:val="21"/>
              </w:rPr>
            </w:pPr>
            <w:r>
              <w:rPr>
                <w:rFonts w:eastAsia="楷体_GB2312"/>
                <w:b/>
                <w:color w:val="000000"/>
                <w:szCs w:val="21"/>
              </w:rPr>
              <w:t>490</w:t>
            </w:r>
          </w:p>
        </w:tc>
        <w:tc>
          <w:tcPr>
            <w:tcW w:w="0" w:type="auto"/>
            <w:tcBorders>
              <w:top w:val="nil"/>
              <w:left w:val="nil"/>
              <w:bottom w:val="single" w:color="auto" w:sz="4" w:space="0"/>
              <w:right w:val="single" w:color="auto" w:sz="8" w:space="0"/>
            </w:tcBorders>
            <w:noWrap/>
            <w:vAlign w:val="center"/>
          </w:tcPr>
          <w:p w14:paraId="3CBD1262">
            <w:pPr>
              <w:widowControl w:val="0"/>
              <w:spacing w:line="240" w:lineRule="exact"/>
              <w:jc w:val="center"/>
              <w:rPr>
                <w:rFonts w:eastAsia="楷体_GB2312"/>
                <w:color w:val="000000"/>
                <w:szCs w:val="21"/>
              </w:rPr>
            </w:pPr>
            <w:r>
              <w:rPr>
                <w:rFonts w:eastAsia="楷体_GB2312"/>
                <w:color w:val="000000"/>
                <w:szCs w:val="21"/>
              </w:rPr>
              <w:t>476</w:t>
            </w:r>
          </w:p>
        </w:tc>
        <w:tc>
          <w:tcPr>
            <w:tcW w:w="0" w:type="auto"/>
            <w:tcBorders>
              <w:top w:val="nil"/>
              <w:left w:val="nil"/>
              <w:bottom w:val="single" w:color="auto" w:sz="4" w:space="0"/>
              <w:right w:val="single" w:color="auto" w:sz="8" w:space="0"/>
            </w:tcBorders>
            <w:noWrap w:val="0"/>
            <w:vAlign w:val="center"/>
          </w:tcPr>
          <w:p w14:paraId="241EB016">
            <w:pPr>
              <w:widowControl w:val="0"/>
              <w:spacing w:line="240" w:lineRule="exact"/>
              <w:jc w:val="center"/>
              <w:rPr>
                <w:rFonts w:eastAsia="楷体_GB2312"/>
                <w:color w:val="000000"/>
                <w:szCs w:val="21"/>
              </w:rPr>
            </w:pPr>
            <w:r>
              <w:rPr>
                <w:rFonts w:eastAsia="楷体_GB2312"/>
                <w:color w:val="000000"/>
                <w:szCs w:val="21"/>
              </w:rPr>
              <w:t>2.94%</w:t>
            </w:r>
          </w:p>
        </w:tc>
        <w:tc>
          <w:tcPr>
            <w:tcW w:w="0" w:type="auto"/>
            <w:tcBorders>
              <w:top w:val="nil"/>
              <w:left w:val="single" w:color="auto" w:sz="4" w:space="0"/>
              <w:bottom w:val="single" w:color="auto" w:sz="4" w:space="0"/>
              <w:right w:val="single" w:color="auto" w:sz="4" w:space="0"/>
            </w:tcBorders>
            <w:noWrap/>
            <w:vAlign w:val="center"/>
          </w:tcPr>
          <w:p w14:paraId="5470CABE">
            <w:pPr>
              <w:widowControl w:val="0"/>
              <w:spacing w:line="240" w:lineRule="exact"/>
              <w:jc w:val="center"/>
              <w:rPr>
                <w:rFonts w:eastAsia="楷体_GB2312"/>
                <w:b/>
                <w:color w:val="000000"/>
                <w:szCs w:val="21"/>
              </w:rPr>
            </w:pPr>
            <w:r>
              <w:rPr>
                <w:rFonts w:eastAsia="楷体_GB2312"/>
                <w:b/>
                <w:color w:val="000000"/>
                <w:szCs w:val="21"/>
              </w:rPr>
              <w:t>365</w:t>
            </w:r>
          </w:p>
        </w:tc>
        <w:tc>
          <w:tcPr>
            <w:tcW w:w="0" w:type="auto"/>
            <w:tcBorders>
              <w:top w:val="nil"/>
              <w:left w:val="nil"/>
              <w:bottom w:val="single" w:color="auto" w:sz="4" w:space="0"/>
              <w:right w:val="single" w:color="auto" w:sz="8" w:space="0"/>
            </w:tcBorders>
            <w:noWrap/>
            <w:vAlign w:val="center"/>
          </w:tcPr>
          <w:p w14:paraId="3F126910">
            <w:pPr>
              <w:widowControl w:val="0"/>
              <w:spacing w:line="240" w:lineRule="exact"/>
              <w:jc w:val="center"/>
              <w:rPr>
                <w:rFonts w:eastAsia="楷体_GB2312"/>
                <w:color w:val="000000"/>
                <w:szCs w:val="21"/>
              </w:rPr>
            </w:pPr>
            <w:r>
              <w:rPr>
                <w:rFonts w:eastAsia="楷体_GB2312"/>
                <w:color w:val="000000"/>
                <w:szCs w:val="21"/>
              </w:rPr>
              <w:t>340</w:t>
            </w:r>
          </w:p>
        </w:tc>
        <w:tc>
          <w:tcPr>
            <w:tcW w:w="0" w:type="auto"/>
            <w:tcBorders>
              <w:top w:val="nil"/>
              <w:left w:val="nil"/>
              <w:bottom w:val="single" w:color="auto" w:sz="4" w:space="0"/>
              <w:right w:val="single" w:color="auto" w:sz="8" w:space="0"/>
            </w:tcBorders>
            <w:noWrap w:val="0"/>
            <w:vAlign w:val="center"/>
          </w:tcPr>
          <w:p w14:paraId="1E1DFE59">
            <w:pPr>
              <w:widowControl w:val="0"/>
              <w:spacing w:line="240" w:lineRule="exact"/>
              <w:jc w:val="center"/>
              <w:rPr>
                <w:rFonts w:eastAsia="楷体_GB2312"/>
                <w:color w:val="000000"/>
                <w:szCs w:val="21"/>
              </w:rPr>
            </w:pPr>
            <w:r>
              <w:rPr>
                <w:rFonts w:eastAsia="楷体_GB2312"/>
                <w:color w:val="000000"/>
                <w:szCs w:val="21"/>
              </w:rPr>
              <w:t>7.35%</w:t>
            </w:r>
          </w:p>
        </w:tc>
        <w:tc>
          <w:tcPr>
            <w:tcW w:w="0" w:type="auto"/>
            <w:tcBorders>
              <w:top w:val="nil"/>
              <w:left w:val="single" w:color="auto" w:sz="4" w:space="0"/>
              <w:bottom w:val="single" w:color="auto" w:sz="4" w:space="0"/>
              <w:right w:val="single" w:color="auto" w:sz="4" w:space="0"/>
            </w:tcBorders>
            <w:noWrap/>
            <w:vAlign w:val="center"/>
          </w:tcPr>
          <w:p w14:paraId="72898210">
            <w:pPr>
              <w:widowControl w:val="0"/>
              <w:spacing w:line="240" w:lineRule="exact"/>
              <w:jc w:val="center"/>
              <w:rPr>
                <w:rFonts w:eastAsia="楷体_GB2312"/>
                <w:b/>
                <w:color w:val="000000"/>
                <w:szCs w:val="21"/>
              </w:rPr>
            </w:pPr>
            <w:r>
              <w:rPr>
                <w:rFonts w:eastAsia="楷体_GB2312"/>
                <w:b/>
                <w:color w:val="000000"/>
                <w:szCs w:val="21"/>
              </w:rPr>
              <w:t>170</w:t>
            </w:r>
          </w:p>
        </w:tc>
        <w:tc>
          <w:tcPr>
            <w:tcW w:w="0" w:type="auto"/>
            <w:tcBorders>
              <w:top w:val="nil"/>
              <w:left w:val="nil"/>
              <w:bottom w:val="single" w:color="auto" w:sz="4" w:space="0"/>
              <w:right w:val="single" w:color="auto" w:sz="8" w:space="0"/>
            </w:tcBorders>
            <w:noWrap/>
            <w:vAlign w:val="center"/>
          </w:tcPr>
          <w:p w14:paraId="579933F7">
            <w:pPr>
              <w:widowControl w:val="0"/>
              <w:spacing w:line="240" w:lineRule="exact"/>
              <w:jc w:val="center"/>
              <w:rPr>
                <w:rFonts w:eastAsia="楷体_GB2312"/>
                <w:color w:val="000000"/>
                <w:szCs w:val="21"/>
              </w:rPr>
            </w:pPr>
            <w:r>
              <w:rPr>
                <w:rFonts w:eastAsia="楷体_GB2312"/>
                <w:color w:val="000000"/>
                <w:szCs w:val="21"/>
              </w:rPr>
              <w:t>165</w:t>
            </w:r>
          </w:p>
        </w:tc>
        <w:tc>
          <w:tcPr>
            <w:tcW w:w="0" w:type="auto"/>
            <w:tcBorders>
              <w:top w:val="nil"/>
              <w:left w:val="nil"/>
              <w:bottom w:val="single" w:color="auto" w:sz="4" w:space="0"/>
              <w:right w:val="single" w:color="auto" w:sz="8" w:space="0"/>
            </w:tcBorders>
            <w:noWrap w:val="0"/>
            <w:vAlign w:val="center"/>
          </w:tcPr>
          <w:p w14:paraId="07E613F0">
            <w:pPr>
              <w:widowControl w:val="0"/>
              <w:spacing w:line="240" w:lineRule="exact"/>
              <w:jc w:val="center"/>
              <w:rPr>
                <w:rFonts w:eastAsia="楷体_GB2312"/>
                <w:color w:val="000000"/>
                <w:szCs w:val="21"/>
              </w:rPr>
            </w:pPr>
            <w:r>
              <w:rPr>
                <w:rFonts w:eastAsia="楷体_GB2312"/>
                <w:color w:val="000000"/>
                <w:szCs w:val="21"/>
              </w:rPr>
              <w:t>3.03%</w:t>
            </w:r>
          </w:p>
        </w:tc>
      </w:tr>
      <w:tr w14:paraId="1F60B47C">
        <w:tblPrEx>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8" w:space="0"/>
              <w:bottom w:val="single" w:color="000000" w:sz="8" w:space="0"/>
              <w:right w:val="single" w:color="auto" w:sz="8" w:space="0"/>
            </w:tcBorders>
            <w:noWrap w:val="0"/>
            <w:vAlign w:val="center"/>
          </w:tcPr>
          <w:p w14:paraId="288F0FA2">
            <w:pPr>
              <w:widowControl w:val="0"/>
              <w:spacing w:line="240" w:lineRule="exact"/>
              <w:jc w:val="center"/>
              <w:rPr>
                <w:rFonts w:eastAsia="楷体_GB2312"/>
                <w:szCs w:val="21"/>
              </w:rPr>
            </w:pPr>
          </w:p>
        </w:tc>
        <w:tc>
          <w:tcPr>
            <w:tcW w:w="0" w:type="auto"/>
            <w:vMerge w:val="continue"/>
            <w:tcBorders>
              <w:top w:val="single" w:color="auto" w:sz="4" w:space="0"/>
              <w:left w:val="single" w:color="auto" w:sz="8" w:space="0"/>
              <w:bottom w:val="single" w:color="000000" w:sz="8" w:space="0"/>
              <w:right w:val="single" w:color="auto" w:sz="8" w:space="0"/>
            </w:tcBorders>
            <w:noWrap w:val="0"/>
            <w:vAlign w:val="center"/>
          </w:tcPr>
          <w:p w14:paraId="05ABF274">
            <w:pPr>
              <w:widowControl w:val="0"/>
              <w:spacing w:line="240" w:lineRule="exact"/>
              <w:jc w:val="center"/>
              <w:rPr>
                <w:rFonts w:eastAsia="楷体_GB2312"/>
                <w:szCs w:val="21"/>
              </w:rPr>
            </w:pPr>
          </w:p>
        </w:tc>
        <w:tc>
          <w:tcPr>
            <w:tcW w:w="0" w:type="auto"/>
            <w:tcBorders>
              <w:top w:val="single" w:color="auto" w:sz="4" w:space="0"/>
              <w:left w:val="nil"/>
              <w:bottom w:val="single" w:color="auto" w:sz="4" w:space="0"/>
              <w:right w:val="single" w:color="auto" w:sz="8" w:space="0"/>
            </w:tcBorders>
            <w:noWrap w:val="0"/>
            <w:vAlign w:val="center"/>
          </w:tcPr>
          <w:p w14:paraId="70C19F69">
            <w:pPr>
              <w:widowControl w:val="0"/>
              <w:spacing w:line="240" w:lineRule="exact"/>
              <w:jc w:val="center"/>
              <w:rPr>
                <w:rFonts w:eastAsia="楷体_GB2312"/>
                <w:szCs w:val="21"/>
              </w:rPr>
            </w:pPr>
            <w:r>
              <w:rPr>
                <w:rFonts w:eastAsia="楷体_GB2312"/>
                <w:szCs w:val="21"/>
              </w:rPr>
              <w:t>2</w:t>
            </w:r>
          </w:p>
        </w:tc>
        <w:tc>
          <w:tcPr>
            <w:tcW w:w="0" w:type="auto"/>
            <w:tcBorders>
              <w:top w:val="single" w:color="auto" w:sz="4" w:space="0"/>
              <w:left w:val="single" w:color="auto" w:sz="4" w:space="0"/>
              <w:bottom w:val="single" w:color="auto" w:sz="4" w:space="0"/>
              <w:right w:val="single" w:color="auto" w:sz="4" w:space="0"/>
            </w:tcBorders>
            <w:noWrap/>
            <w:vAlign w:val="center"/>
          </w:tcPr>
          <w:p w14:paraId="7B059736">
            <w:pPr>
              <w:widowControl w:val="0"/>
              <w:spacing w:line="240" w:lineRule="exact"/>
              <w:jc w:val="center"/>
              <w:rPr>
                <w:rFonts w:eastAsia="楷体_GB2312"/>
                <w:b/>
                <w:color w:val="000000"/>
                <w:szCs w:val="21"/>
              </w:rPr>
            </w:pPr>
            <w:r>
              <w:rPr>
                <w:rFonts w:eastAsia="楷体_GB2312"/>
                <w:b/>
                <w:color w:val="000000"/>
                <w:szCs w:val="21"/>
              </w:rPr>
              <w:t>385</w:t>
            </w:r>
          </w:p>
        </w:tc>
        <w:tc>
          <w:tcPr>
            <w:tcW w:w="0" w:type="auto"/>
            <w:tcBorders>
              <w:top w:val="single" w:color="auto" w:sz="4" w:space="0"/>
              <w:left w:val="nil"/>
              <w:bottom w:val="single" w:color="auto" w:sz="4" w:space="0"/>
              <w:right w:val="single" w:color="auto" w:sz="8" w:space="0"/>
            </w:tcBorders>
            <w:noWrap/>
            <w:vAlign w:val="center"/>
          </w:tcPr>
          <w:p w14:paraId="7DF2CD04">
            <w:pPr>
              <w:widowControl w:val="0"/>
              <w:spacing w:line="240" w:lineRule="exact"/>
              <w:jc w:val="center"/>
              <w:rPr>
                <w:rFonts w:eastAsia="楷体_GB2312"/>
                <w:color w:val="000000"/>
                <w:szCs w:val="21"/>
              </w:rPr>
            </w:pPr>
            <w:r>
              <w:rPr>
                <w:rFonts w:eastAsia="楷体_GB2312"/>
                <w:color w:val="000000"/>
                <w:szCs w:val="21"/>
              </w:rPr>
              <w:t>362</w:t>
            </w:r>
          </w:p>
        </w:tc>
        <w:tc>
          <w:tcPr>
            <w:tcW w:w="0" w:type="auto"/>
            <w:tcBorders>
              <w:top w:val="single" w:color="auto" w:sz="4" w:space="0"/>
              <w:left w:val="nil"/>
              <w:bottom w:val="single" w:color="auto" w:sz="4" w:space="0"/>
              <w:right w:val="single" w:color="auto" w:sz="8" w:space="0"/>
            </w:tcBorders>
            <w:noWrap w:val="0"/>
            <w:vAlign w:val="center"/>
          </w:tcPr>
          <w:p w14:paraId="65CA0D32">
            <w:pPr>
              <w:widowControl w:val="0"/>
              <w:spacing w:line="240" w:lineRule="exact"/>
              <w:jc w:val="center"/>
              <w:rPr>
                <w:rFonts w:eastAsia="楷体_GB2312"/>
                <w:color w:val="000000"/>
                <w:szCs w:val="21"/>
              </w:rPr>
            </w:pPr>
            <w:r>
              <w:rPr>
                <w:rFonts w:eastAsia="楷体_GB2312"/>
                <w:color w:val="000000"/>
                <w:szCs w:val="21"/>
              </w:rPr>
              <w:t>6.35%</w:t>
            </w:r>
          </w:p>
        </w:tc>
        <w:tc>
          <w:tcPr>
            <w:tcW w:w="0" w:type="auto"/>
            <w:tcBorders>
              <w:top w:val="single" w:color="auto" w:sz="4" w:space="0"/>
              <w:left w:val="single" w:color="auto" w:sz="4" w:space="0"/>
              <w:bottom w:val="single" w:color="auto" w:sz="4" w:space="0"/>
              <w:right w:val="single" w:color="auto" w:sz="4" w:space="0"/>
            </w:tcBorders>
            <w:noWrap/>
            <w:vAlign w:val="center"/>
          </w:tcPr>
          <w:p w14:paraId="038688FB">
            <w:pPr>
              <w:widowControl w:val="0"/>
              <w:spacing w:line="240" w:lineRule="exact"/>
              <w:jc w:val="center"/>
              <w:rPr>
                <w:rFonts w:eastAsia="楷体_GB2312"/>
                <w:b/>
                <w:color w:val="000000"/>
                <w:szCs w:val="21"/>
              </w:rPr>
            </w:pPr>
            <w:r>
              <w:rPr>
                <w:rFonts w:eastAsia="楷体_GB2312"/>
                <w:b/>
                <w:color w:val="000000"/>
                <w:szCs w:val="21"/>
              </w:rPr>
              <w:t>275</w:t>
            </w:r>
          </w:p>
        </w:tc>
        <w:tc>
          <w:tcPr>
            <w:tcW w:w="0" w:type="auto"/>
            <w:tcBorders>
              <w:top w:val="single" w:color="auto" w:sz="4" w:space="0"/>
              <w:left w:val="nil"/>
              <w:bottom w:val="single" w:color="auto" w:sz="4" w:space="0"/>
              <w:right w:val="single" w:color="auto" w:sz="8" w:space="0"/>
            </w:tcBorders>
            <w:noWrap/>
            <w:vAlign w:val="center"/>
          </w:tcPr>
          <w:p w14:paraId="22F13658">
            <w:pPr>
              <w:widowControl w:val="0"/>
              <w:spacing w:line="240" w:lineRule="exact"/>
              <w:jc w:val="center"/>
              <w:rPr>
                <w:rFonts w:eastAsia="楷体_GB2312"/>
                <w:color w:val="000000"/>
                <w:szCs w:val="21"/>
              </w:rPr>
            </w:pPr>
            <w:r>
              <w:rPr>
                <w:rFonts w:eastAsia="楷体_GB2312"/>
                <w:color w:val="000000"/>
                <w:szCs w:val="21"/>
              </w:rPr>
              <w:t>230</w:t>
            </w:r>
          </w:p>
        </w:tc>
        <w:tc>
          <w:tcPr>
            <w:tcW w:w="0" w:type="auto"/>
            <w:tcBorders>
              <w:top w:val="single" w:color="auto" w:sz="4" w:space="0"/>
              <w:left w:val="nil"/>
              <w:bottom w:val="single" w:color="auto" w:sz="4" w:space="0"/>
              <w:right w:val="single" w:color="auto" w:sz="8" w:space="0"/>
            </w:tcBorders>
            <w:noWrap w:val="0"/>
            <w:vAlign w:val="center"/>
          </w:tcPr>
          <w:p w14:paraId="2F8EA997">
            <w:pPr>
              <w:widowControl w:val="0"/>
              <w:spacing w:line="240" w:lineRule="exact"/>
              <w:jc w:val="center"/>
              <w:rPr>
                <w:rFonts w:eastAsia="楷体_GB2312"/>
                <w:color w:val="000000"/>
                <w:szCs w:val="21"/>
              </w:rPr>
            </w:pPr>
            <w:r>
              <w:rPr>
                <w:rFonts w:eastAsia="楷体_GB2312"/>
                <w:color w:val="000000"/>
                <w:szCs w:val="21"/>
              </w:rPr>
              <w:t>19.57%</w:t>
            </w:r>
          </w:p>
        </w:tc>
        <w:tc>
          <w:tcPr>
            <w:tcW w:w="0" w:type="auto"/>
            <w:tcBorders>
              <w:top w:val="single" w:color="auto" w:sz="4" w:space="0"/>
              <w:left w:val="single" w:color="auto" w:sz="4" w:space="0"/>
              <w:bottom w:val="single" w:color="auto" w:sz="4" w:space="0"/>
              <w:right w:val="single" w:color="auto" w:sz="4" w:space="0"/>
            </w:tcBorders>
            <w:noWrap/>
            <w:vAlign w:val="center"/>
          </w:tcPr>
          <w:p w14:paraId="165FD165">
            <w:pPr>
              <w:widowControl w:val="0"/>
              <w:spacing w:line="240" w:lineRule="exact"/>
              <w:jc w:val="center"/>
              <w:rPr>
                <w:rFonts w:eastAsia="楷体_GB2312"/>
                <w:b/>
                <w:color w:val="000000"/>
                <w:szCs w:val="21"/>
              </w:rPr>
            </w:pPr>
            <w:r>
              <w:rPr>
                <w:rFonts w:eastAsia="楷体_GB2312"/>
                <w:b/>
                <w:color w:val="000000"/>
                <w:szCs w:val="21"/>
              </w:rPr>
              <w:t>155</w:t>
            </w:r>
          </w:p>
        </w:tc>
        <w:tc>
          <w:tcPr>
            <w:tcW w:w="0" w:type="auto"/>
            <w:tcBorders>
              <w:top w:val="single" w:color="auto" w:sz="4" w:space="0"/>
              <w:left w:val="nil"/>
              <w:bottom w:val="single" w:color="auto" w:sz="4" w:space="0"/>
              <w:right w:val="single" w:color="auto" w:sz="8" w:space="0"/>
            </w:tcBorders>
            <w:noWrap/>
            <w:vAlign w:val="center"/>
          </w:tcPr>
          <w:p w14:paraId="74984652">
            <w:pPr>
              <w:widowControl w:val="0"/>
              <w:spacing w:line="240" w:lineRule="exact"/>
              <w:jc w:val="center"/>
              <w:rPr>
                <w:rFonts w:eastAsia="楷体_GB2312"/>
                <w:color w:val="000000"/>
                <w:szCs w:val="21"/>
              </w:rPr>
            </w:pPr>
            <w:r>
              <w:rPr>
                <w:rFonts w:eastAsia="楷体_GB2312"/>
                <w:color w:val="000000"/>
                <w:szCs w:val="21"/>
              </w:rPr>
              <w:t>150</w:t>
            </w:r>
          </w:p>
        </w:tc>
        <w:tc>
          <w:tcPr>
            <w:tcW w:w="0" w:type="auto"/>
            <w:tcBorders>
              <w:top w:val="single" w:color="auto" w:sz="4" w:space="0"/>
              <w:left w:val="nil"/>
              <w:bottom w:val="single" w:color="auto" w:sz="4" w:space="0"/>
              <w:right w:val="single" w:color="auto" w:sz="8" w:space="0"/>
            </w:tcBorders>
            <w:noWrap w:val="0"/>
            <w:vAlign w:val="center"/>
          </w:tcPr>
          <w:p w14:paraId="388D7838">
            <w:pPr>
              <w:widowControl w:val="0"/>
              <w:spacing w:line="240" w:lineRule="exact"/>
              <w:jc w:val="center"/>
              <w:rPr>
                <w:rFonts w:eastAsia="楷体_GB2312"/>
                <w:color w:val="000000"/>
                <w:szCs w:val="21"/>
              </w:rPr>
            </w:pPr>
            <w:r>
              <w:rPr>
                <w:rFonts w:eastAsia="楷体_GB2312"/>
                <w:color w:val="000000"/>
                <w:szCs w:val="21"/>
              </w:rPr>
              <w:t>3.33%</w:t>
            </w:r>
          </w:p>
        </w:tc>
      </w:tr>
      <w:tr w14:paraId="79F95DAF">
        <w:tblPrEx>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8" w:space="0"/>
              <w:bottom w:val="single" w:color="auto" w:sz="4" w:space="0"/>
              <w:right w:val="single" w:color="auto" w:sz="8" w:space="0"/>
            </w:tcBorders>
            <w:noWrap w:val="0"/>
            <w:vAlign w:val="center"/>
          </w:tcPr>
          <w:p w14:paraId="3F0C149B">
            <w:pPr>
              <w:widowControl w:val="0"/>
              <w:spacing w:line="240" w:lineRule="exact"/>
              <w:jc w:val="center"/>
              <w:rPr>
                <w:rFonts w:eastAsia="楷体_GB2312"/>
                <w:szCs w:val="21"/>
              </w:rPr>
            </w:pPr>
          </w:p>
        </w:tc>
        <w:tc>
          <w:tcPr>
            <w:tcW w:w="0" w:type="auto"/>
            <w:vMerge w:val="continue"/>
            <w:tcBorders>
              <w:top w:val="single" w:color="auto" w:sz="4" w:space="0"/>
              <w:left w:val="single" w:color="auto" w:sz="8" w:space="0"/>
              <w:bottom w:val="single" w:color="auto" w:sz="4" w:space="0"/>
              <w:right w:val="single" w:color="auto" w:sz="8" w:space="0"/>
            </w:tcBorders>
            <w:noWrap w:val="0"/>
            <w:vAlign w:val="center"/>
          </w:tcPr>
          <w:p w14:paraId="052247E4">
            <w:pPr>
              <w:widowControl w:val="0"/>
              <w:spacing w:line="240" w:lineRule="exact"/>
              <w:jc w:val="center"/>
              <w:rPr>
                <w:rFonts w:eastAsia="楷体_GB2312"/>
                <w:szCs w:val="21"/>
              </w:rPr>
            </w:pPr>
          </w:p>
        </w:tc>
        <w:tc>
          <w:tcPr>
            <w:tcW w:w="0" w:type="auto"/>
            <w:tcBorders>
              <w:top w:val="single" w:color="auto" w:sz="4" w:space="0"/>
              <w:left w:val="nil"/>
              <w:bottom w:val="single" w:color="auto" w:sz="8" w:space="0"/>
              <w:right w:val="single" w:color="auto" w:sz="8" w:space="0"/>
            </w:tcBorders>
            <w:noWrap w:val="0"/>
            <w:vAlign w:val="center"/>
          </w:tcPr>
          <w:p w14:paraId="2BA321BE">
            <w:pPr>
              <w:widowControl w:val="0"/>
              <w:spacing w:line="240" w:lineRule="exact"/>
              <w:jc w:val="center"/>
              <w:rPr>
                <w:rFonts w:eastAsia="楷体_GB2312"/>
                <w:szCs w:val="21"/>
              </w:rPr>
            </w:pPr>
            <w:r>
              <w:rPr>
                <w:rFonts w:eastAsia="楷体_GB2312"/>
                <w:szCs w:val="21"/>
              </w:rPr>
              <w:t>3</w:t>
            </w:r>
          </w:p>
        </w:tc>
        <w:tc>
          <w:tcPr>
            <w:tcW w:w="0" w:type="auto"/>
            <w:tcBorders>
              <w:top w:val="single" w:color="auto" w:sz="4" w:space="0"/>
              <w:left w:val="single" w:color="auto" w:sz="4" w:space="0"/>
              <w:bottom w:val="single" w:color="auto" w:sz="4" w:space="0"/>
              <w:right w:val="single" w:color="auto" w:sz="4" w:space="0"/>
            </w:tcBorders>
            <w:noWrap/>
            <w:vAlign w:val="center"/>
          </w:tcPr>
          <w:p w14:paraId="67B6E7A2">
            <w:pPr>
              <w:widowControl w:val="0"/>
              <w:spacing w:line="240" w:lineRule="exact"/>
              <w:jc w:val="center"/>
              <w:rPr>
                <w:rFonts w:eastAsia="楷体_GB2312"/>
                <w:b/>
                <w:color w:val="000000"/>
                <w:szCs w:val="21"/>
              </w:rPr>
            </w:pPr>
            <w:r>
              <w:rPr>
                <w:rFonts w:eastAsia="楷体_GB2312"/>
                <w:b/>
                <w:color w:val="000000"/>
                <w:szCs w:val="21"/>
              </w:rPr>
              <w:t>300</w:t>
            </w:r>
          </w:p>
        </w:tc>
        <w:tc>
          <w:tcPr>
            <w:tcW w:w="0" w:type="auto"/>
            <w:tcBorders>
              <w:top w:val="single" w:color="auto" w:sz="4" w:space="0"/>
              <w:left w:val="nil"/>
              <w:bottom w:val="single" w:color="auto" w:sz="8" w:space="0"/>
              <w:right w:val="single" w:color="auto" w:sz="8" w:space="0"/>
            </w:tcBorders>
            <w:noWrap/>
            <w:vAlign w:val="center"/>
          </w:tcPr>
          <w:p w14:paraId="61BA318B">
            <w:pPr>
              <w:widowControl w:val="0"/>
              <w:spacing w:line="240" w:lineRule="exact"/>
              <w:jc w:val="center"/>
              <w:rPr>
                <w:rFonts w:eastAsia="楷体_GB2312"/>
                <w:color w:val="000000"/>
                <w:szCs w:val="21"/>
              </w:rPr>
            </w:pPr>
            <w:r>
              <w:rPr>
                <w:rFonts w:eastAsia="楷体_GB2312"/>
                <w:color w:val="000000"/>
                <w:szCs w:val="21"/>
              </w:rPr>
              <w:t>291</w:t>
            </w:r>
          </w:p>
        </w:tc>
        <w:tc>
          <w:tcPr>
            <w:tcW w:w="0" w:type="auto"/>
            <w:tcBorders>
              <w:top w:val="single" w:color="auto" w:sz="4" w:space="0"/>
              <w:left w:val="nil"/>
              <w:bottom w:val="single" w:color="auto" w:sz="8" w:space="0"/>
              <w:right w:val="single" w:color="auto" w:sz="8" w:space="0"/>
            </w:tcBorders>
            <w:noWrap w:val="0"/>
            <w:vAlign w:val="center"/>
          </w:tcPr>
          <w:p w14:paraId="64E93287">
            <w:pPr>
              <w:widowControl w:val="0"/>
              <w:spacing w:line="240" w:lineRule="exact"/>
              <w:jc w:val="center"/>
              <w:rPr>
                <w:rFonts w:eastAsia="楷体_GB2312"/>
                <w:color w:val="000000"/>
                <w:szCs w:val="21"/>
              </w:rPr>
            </w:pPr>
            <w:r>
              <w:rPr>
                <w:rFonts w:eastAsia="楷体_GB2312"/>
                <w:color w:val="000000"/>
                <w:szCs w:val="21"/>
              </w:rPr>
              <w:t>3.09%</w:t>
            </w:r>
          </w:p>
        </w:tc>
        <w:tc>
          <w:tcPr>
            <w:tcW w:w="0" w:type="auto"/>
            <w:tcBorders>
              <w:top w:val="single" w:color="auto" w:sz="4" w:space="0"/>
              <w:left w:val="single" w:color="auto" w:sz="4" w:space="0"/>
              <w:bottom w:val="single" w:color="auto" w:sz="4" w:space="0"/>
              <w:right w:val="single" w:color="auto" w:sz="4" w:space="0"/>
            </w:tcBorders>
            <w:noWrap/>
            <w:vAlign w:val="center"/>
          </w:tcPr>
          <w:p w14:paraId="308F2506">
            <w:pPr>
              <w:widowControl w:val="0"/>
              <w:spacing w:line="240" w:lineRule="exact"/>
              <w:jc w:val="center"/>
              <w:rPr>
                <w:rFonts w:eastAsia="楷体_GB2312"/>
                <w:b/>
                <w:color w:val="000000"/>
                <w:szCs w:val="21"/>
              </w:rPr>
            </w:pPr>
            <w:r>
              <w:rPr>
                <w:rFonts w:eastAsia="楷体_GB2312"/>
                <w:b/>
                <w:color w:val="000000"/>
                <w:szCs w:val="21"/>
              </w:rPr>
              <w:t>210</w:t>
            </w:r>
          </w:p>
        </w:tc>
        <w:tc>
          <w:tcPr>
            <w:tcW w:w="0" w:type="auto"/>
            <w:tcBorders>
              <w:top w:val="single" w:color="auto" w:sz="4" w:space="0"/>
              <w:left w:val="nil"/>
              <w:bottom w:val="single" w:color="auto" w:sz="8" w:space="0"/>
              <w:right w:val="single" w:color="auto" w:sz="8" w:space="0"/>
            </w:tcBorders>
            <w:noWrap/>
            <w:vAlign w:val="center"/>
          </w:tcPr>
          <w:p w14:paraId="2E73323F">
            <w:pPr>
              <w:widowControl w:val="0"/>
              <w:spacing w:line="240" w:lineRule="exact"/>
              <w:jc w:val="center"/>
              <w:rPr>
                <w:rFonts w:eastAsia="楷体_GB2312"/>
                <w:color w:val="000000"/>
                <w:szCs w:val="21"/>
              </w:rPr>
            </w:pPr>
            <w:r>
              <w:rPr>
                <w:rFonts w:eastAsia="楷体_GB2312"/>
                <w:color w:val="000000"/>
                <w:szCs w:val="21"/>
              </w:rPr>
              <w:t>195</w:t>
            </w:r>
          </w:p>
        </w:tc>
        <w:tc>
          <w:tcPr>
            <w:tcW w:w="0" w:type="auto"/>
            <w:tcBorders>
              <w:top w:val="single" w:color="auto" w:sz="4" w:space="0"/>
              <w:left w:val="nil"/>
              <w:bottom w:val="single" w:color="auto" w:sz="8" w:space="0"/>
              <w:right w:val="single" w:color="auto" w:sz="8" w:space="0"/>
            </w:tcBorders>
            <w:noWrap w:val="0"/>
            <w:vAlign w:val="center"/>
          </w:tcPr>
          <w:p w14:paraId="7B8A8315">
            <w:pPr>
              <w:widowControl w:val="0"/>
              <w:spacing w:line="240" w:lineRule="exact"/>
              <w:jc w:val="center"/>
              <w:rPr>
                <w:rFonts w:eastAsia="楷体_GB2312"/>
                <w:color w:val="000000"/>
                <w:szCs w:val="21"/>
              </w:rPr>
            </w:pPr>
            <w:r>
              <w:rPr>
                <w:rFonts w:eastAsia="楷体_GB2312"/>
                <w:color w:val="000000"/>
                <w:szCs w:val="21"/>
              </w:rPr>
              <w:t>7.69%</w:t>
            </w:r>
          </w:p>
        </w:tc>
        <w:tc>
          <w:tcPr>
            <w:tcW w:w="0" w:type="auto"/>
            <w:tcBorders>
              <w:top w:val="single" w:color="auto" w:sz="4" w:space="0"/>
              <w:left w:val="single" w:color="auto" w:sz="4" w:space="0"/>
              <w:bottom w:val="single" w:color="auto" w:sz="4" w:space="0"/>
              <w:right w:val="single" w:color="auto" w:sz="4" w:space="0"/>
            </w:tcBorders>
            <w:noWrap/>
            <w:vAlign w:val="center"/>
          </w:tcPr>
          <w:p w14:paraId="009E4E48">
            <w:pPr>
              <w:widowControl w:val="0"/>
              <w:spacing w:line="240" w:lineRule="exact"/>
              <w:jc w:val="center"/>
              <w:rPr>
                <w:rFonts w:eastAsia="楷体_GB2312"/>
                <w:b/>
                <w:color w:val="000000"/>
                <w:szCs w:val="21"/>
              </w:rPr>
            </w:pPr>
            <w:r>
              <w:rPr>
                <w:rFonts w:eastAsia="楷体_GB2312"/>
                <w:b/>
                <w:color w:val="000000"/>
                <w:szCs w:val="21"/>
              </w:rPr>
              <w:t>144</w:t>
            </w:r>
          </w:p>
        </w:tc>
        <w:tc>
          <w:tcPr>
            <w:tcW w:w="0" w:type="auto"/>
            <w:tcBorders>
              <w:top w:val="single" w:color="auto" w:sz="4" w:space="0"/>
              <w:left w:val="nil"/>
              <w:bottom w:val="single" w:color="auto" w:sz="8" w:space="0"/>
              <w:right w:val="single" w:color="auto" w:sz="8" w:space="0"/>
            </w:tcBorders>
            <w:noWrap/>
            <w:vAlign w:val="center"/>
          </w:tcPr>
          <w:p w14:paraId="13F8B47C">
            <w:pPr>
              <w:widowControl w:val="0"/>
              <w:spacing w:line="240" w:lineRule="exact"/>
              <w:jc w:val="center"/>
              <w:rPr>
                <w:rFonts w:eastAsia="楷体_GB2312"/>
                <w:color w:val="000000"/>
                <w:szCs w:val="21"/>
              </w:rPr>
            </w:pPr>
            <w:r>
              <w:rPr>
                <w:rFonts w:eastAsia="楷体_GB2312"/>
                <w:color w:val="000000"/>
                <w:szCs w:val="21"/>
              </w:rPr>
              <w:t>144</w:t>
            </w:r>
          </w:p>
        </w:tc>
        <w:tc>
          <w:tcPr>
            <w:tcW w:w="0" w:type="auto"/>
            <w:tcBorders>
              <w:top w:val="single" w:color="auto" w:sz="4" w:space="0"/>
              <w:left w:val="nil"/>
              <w:bottom w:val="single" w:color="auto" w:sz="8" w:space="0"/>
              <w:right w:val="single" w:color="auto" w:sz="8" w:space="0"/>
            </w:tcBorders>
            <w:noWrap w:val="0"/>
            <w:vAlign w:val="center"/>
          </w:tcPr>
          <w:p w14:paraId="44C580A4">
            <w:pPr>
              <w:widowControl w:val="0"/>
              <w:spacing w:line="240" w:lineRule="exact"/>
              <w:jc w:val="center"/>
              <w:rPr>
                <w:rFonts w:eastAsia="楷体_GB2312"/>
                <w:color w:val="000000"/>
                <w:szCs w:val="21"/>
              </w:rPr>
            </w:pPr>
            <w:r>
              <w:rPr>
                <w:rFonts w:eastAsia="楷体_GB2312"/>
                <w:color w:val="000000"/>
                <w:szCs w:val="21"/>
              </w:rPr>
              <w:t>0.00%</w:t>
            </w:r>
          </w:p>
        </w:tc>
      </w:tr>
      <w:tr w14:paraId="3A38CF6A">
        <w:tblPrEx>
          <w:tblCellMar>
            <w:top w:w="0" w:type="dxa"/>
            <w:left w:w="108" w:type="dxa"/>
            <w:bottom w:w="0" w:type="dxa"/>
            <w:right w:w="108" w:type="dxa"/>
          </w:tblCellMar>
        </w:tblPrEx>
        <w:trPr>
          <w:trHeight w:val="20" w:hRule="atLeast"/>
          <w:jc w:val="center"/>
        </w:trPr>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4390D747">
            <w:pPr>
              <w:widowControl w:val="0"/>
              <w:spacing w:line="240" w:lineRule="exact"/>
              <w:jc w:val="center"/>
              <w:rPr>
                <w:rFonts w:eastAsia="楷体_GB2312"/>
                <w:szCs w:val="21"/>
              </w:rPr>
            </w:pPr>
            <w:r>
              <w:rPr>
                <w:rFonts w:eastAsia="楷体_GB2312"/>
                <w:szCs w:val="21"/>
              </w:rPr>
              <w:t>11</w:t>
            </w:r>
          </w:p>
        </w:tc>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18BF6826">
            <w:pPr>
              <w:widowControl w:val="0"/>
              <w:spacing w:line="240" w:lineRule="exact"/>
              <w:jc w:val="center"/>
              <w:rPr>
                <w:rFonts w:eastAsia="楷体_GB2312"/>
                <w:color w:val="000000"/>
                <w:szCs w:val="21"/>
              </w:rPr>
            </w:pPr>
            <w:r>
              <w:rPr>
                <w:rFonts w:eastAsia="楷体_GB2312"/>
                <w:color w:val="000000"/>
                <w:szCs w:val="21"/>
              </w:rPr>
              <w:t>曹村镇</w:t>
            </w:r>
          </w:p>
        </w:tc>
        <w:tc>
          <w:tcPr>
            <w:tcW w:w="0" w:type="auto"/>
            <w:tcBorders>
              <w:top w:val="nil"/>
              <w:left w:val="nil"/>
              <w:bottom w:val="single" w:color="auto" w:sz="8" w:space="0"/>
              <w:right w:val="single" w:color="auto" w:sz="8" w:space="0"/>
            </w:tcBorders>
            <w:noWrap w:val="0"/>
            <w:vAlign w:val="center"/>
          </w:tcPr>
          <w:p w14:paraId="63AD7A45">
            <w:pPr>
              <w:widowControl w:val="0"/>
              <w:spacing w:line="240" w:lineRule="exact"/>
              <w:jc w:val="center"/>
              <w:rPr>
                <w:rFonts w:eastAsia="楷体_GB2312"/>
                <w:szCs w:val="21"/>
              </w:rPr>
            </w:pPr>
            <w:r>
              <w:rPr>
                <w:rFonts w:eastAsia="楷体_GB2312"/>
                <w:szCs w:val="21"/>
              </w:rPr>
              <w:t>1</w:t>
            </w:r>
          </w:p>
        </w:tc>
        <w:tc>
          <w:tcPr>
            <w:tcW w:w="0" w:type="auto"/>
            <w:tcBorders>
              <w:top w:val="nil"/>
              <w:left w:val="single" w:color="auto" w:sz="4" w:space="0"/>
              <w:bottom w:val="single" w:color="auto" w:sz="4" w:space="0"/>
              <w:right w:val="single" w:color="auto" w:sz="4" w:space="0"/>
            </w:tcBorders>
            <w:noWrap/>
            <w:vAlign w:val="center"/>
          </w:tcPr>
          <w:p w14:paraId="267455DF">
            <w:pPr>
              <w:widowControl w:val="0"/>
              <w:spacing w:line="240" w:lineRule="exact"/>
              <w:jc w:val="center"/>
              <w:rPr>
                <w:rFonts w:eastAsia="楷体_GB2312"/>
                <w:b/>
                <w:color w:val="000000"/>
                <w:szCs w:val="21"/>
              </w:rPr>
            </w:pPr>
            <w:r>
              <w:rPr>
                <w:rFonts w:eastAsia="楷体_GB2312"/>
                <w:b/>
                <w:color w:val="000000"/>
                <w:szCs w:val="21"/>
              </w:rPr>
              <w:t>485</w:t>
            </w:r>
          </w:p>
        </w:tc>
        <w:tc>
          <w:tcPr>
            <w:tcW w:w="0" w:type="auto"/>
            <w:tcBorders>
              <w:top w:val="nil"/>
              <w:left w:val="nil"/>
              <w:bottom w:val="single" w:color="auto" w:sz="8" w:space="0"/>
              <w:right w:val="single" w:color="auto" w:sz="8" w:space="0"/>
            </w:tcBorders>
            <w:noWrap/>
            <w:vAlign w:val="center"/>
          </w:tcPr>
          <w:p w14:paraId="7025A3CE">
            <w:pPr>
              <w:widowControl w:val="0"/>
              <w:spacing w:line="240" w:lineRule="exact"/>
              <w:jc w:val="center"/>
              <w:rPr>
                <w:rFonts w:eastAsia="楷体_GB2312"/>
                <w:color w:val="000000"/>
                <w:szCs w:val="21"/>
              </w:rPr>
            </w:pPr>
            <w:r>
              <w:rPr>
                <w:rFonts w:eastAsia="楷体_GB2312"/>
                <w:color w:val="000000"/>
                <w:szCs w:val="21"/>
              </w:rPr>
              <w:t>470</w:t>
            </w:r>
          </w:p>
        </w:tc>
        <w:tc>
          <w:tcPr>
            <w:tcW w:w="0" w:type="auto"/>
            <w:tcBorders>
              <w:top w:val="nil"/>
              <w:left w:val="nil"/>
              <w:bottom w:val="single" w:color="auto" w:sz="8" w:space="0"/>
              <w:right w:val="single" w:color="auto" w:sz="8" w:space="0"/>
            </w:tcBorders>
            <w:noWrap w:val="0"/>
            <w:vAlign w:val="center"/>
          </w:tcPr>
          <w:p w14:paraId="72BA68FA">
            <w:pPr>
              <w:widowControl w:val="0"/>
              <w:spacing w:line="240" w:lineRule="exact"/>
              <w:jc w:val="center"/>
              <w:rPr>
                <w:rFonts w:eastAsia="楷体_GB2312"/>
                <w:color w:val="000000"/>
                <w:szCs w:val="21"/>
              </w:rPr>
            </w:pPr>
            <w:r>
              <w:rPr>
                <w:rFonts w:eastAsia="楷体_GB2312"/>
                <w:color w:val="000000"/>
                <w:szCs w:val="21"/>
              </w:rPr>
              <w:t>3.19%</w:t>
            </w:r>
          </w:p>
        </w:tc>
        <w:tc>
          <w:tcPr>
            <w:tcW w:w="0" w:type="auto"/>
            <w:tcBorders>
              <w:top w:val="nil"/>
              <w:left w:val="single" w:color="auto" w:sz="4" w:space="0"/>
              <w:bottom w:val="single" w:color="auto" w:sz="4" w:space="0"/>
              <w:right w:val="single" w:color="auto" w:sz="4" w:space="0"/>
            </w:tcBorders>
            <w:noWrap/>
            <w:vAlign w:val="center"/>
          </w:tcPr>
          <w:p w14:paraId="12054F72">
            <w:pPr>
              <w:widowControl w:val="0"/>
              <w:spacing w:line="240" w:lineRule="exact"/>
              <w:jc w:val="center"/>
              <w:rPr>
                <w:rFonts w:eastAsia="楷体_GB2312"/>
                <w:b/>
                <w:color w:val="000000"/>
                <w:szCs w:val="21"/>
              </w:rPr>
            </w:pPr>
            <w:r>
              <w:rPr>
                <w:rFonts w:eastAsia="楷体_GB2312"/>
                <w:b/>
                <w:color w:val="000000"/>
                <w:szCs w:val="21"/>
              </w:rPr>
              <w:t>360</w:t>
            </w:r>
          </w:p>
        </w:tc>
        <w:tc>
          <w:tcPr>
            <w:tcW w:w="0" w:type="auto"/>
            <w:tcBorders>
              <w:top w:val="nil"/>
              <w:left w:val="nil"/>
              <w:bottom w:val="single" w:color="auto" w:sz="8" w:space="0"/>
              <w:right w:val="single" w:color="auto" w:sz="8" w:space="0"/>
            </w:tcBorders>
            <w:noWrap/>
            <w:vAlign w:val="center"/>
          </w:tcPr>
          <w:p w14:paraId="230CC937">
            <w:pPr>
              <w:widowControl w:val="0"/>
              <w:spacing w:line="240" w:lineRule="exact"/>
              <w:jc w:val="center"/>
              <w:rPr>
                <w:rFonts w:eastAsia="楷体_GB2312"/>
                <w:color w:val="000000"/>
                <w:szCs w:val="21"/>
              </w:rPr>
            </w:pPr>
            <w:r>
              <w:rPr>
                <w:rFonts w:eastAsia="楷体_GB2312"/>
                <w:color w:val="000000"/>
                <w:szCs w:val="21"/>
              </w:rPr>
              <w:t>335</w:t>
            </w:r>
          </w:p>
        </w:tc>
        <w:tc>
          <w:tcPr>
            <w:tcW w:w="0" w:type="auto"/>
            <w:tcBorders>
              <w:top w:val="nil"/>
              <w:left w:val="nil"/>
              <w:bottom w:val="single" w:color="auto" w:sz="8" w:space="0"/>
              <w:right w:val="single" w:color="auto" w:sz="8" w:space="0"/>
            </w:tcBorders>
            <w:noWrap w:val="0"/>
            <w:vAlign w:val="center"/>
          </w:tcPr>
          <w:p w14:paraId="5EC98E95">
            <w:pPr>
              <w:widowControl w:val="0"/>
              <w:spacing w:line="240" w:lineRule="exact"/>
              <w:jc w:val="center"/>
              <w:rPr>
                <w:rFonts w:eastAsia="楷体_GB2312"/>
                <w:color w:val="000000"/>
                <w:szCs w:val="21"/>
              </w:rPr>
            </w:pPr>
            <w:r>
              <w:rPr>
                <w:rFonts w:eastAsia="楷体_GB2312"/>
                <w:color w:val="000000"/>
                <w:szCs w:val="21"/>
              </w:rPr>
              <w:t>7.46%</w:t>
            </w:r>
          </w:p>
        </w:tc>
        <w:tc>
          <w:tcPr>
            <w:tcW w:w="0" w:type="auto"/>
            <w:tcBorders>
              <w:top w:val="nil"/>
              <w:left w:val="single" w:color="auto" w:sz="4" w:space="0"/>
              <w:bottom w:val="single" w:color="auto" w:sz="4" w:space="0"/>
              <w:right w:val="single" w:color="auto" w:sz="4" w:space="0"/>
            </w:tcBorders>
            <w:noWrap/>
            <w:vAlign w:val="center"/>
          </w:tcPr>
          <w:p w14:paraId="4A442ECE">
            <w:pPr>
              <w:widowControl w:val="0"/>
              <w:spacing w:line="240" w:lineRule="exact"/>
              <w:jc w:val="center"/>
              <w:rPr>
                <w:rFonts w:eastAsia="楷体_GB2312"/>
                <w:b/>
                <w:color w:val="000000"/>
                <w:szCs w:val="21"/>
              </w:rPr>
            </w:pPr>
            <w:r>
              <w:rPr>
                <w:rFonts w:eastAsia="楷体_GB2312"/>
                <w:b/>
                <w:color w:val="000000"/>
                <w:szCs w:val="21"/>
              </w:rPr>
              <w:t>170</w:t>
            </w:r>
          </w:p>
        </w:tc>
        <w:tc>
          <w:tcPr>
            <w:tcW w:w="0" w:type="auto"/>
            <w:tcBorders>
              <w:top w:val="nil"/>
              <w:left w:val="nil"/>
              <w:bottom w:val="single" w:color="auto" w:sz="8" w:space="0"/>
              <w:right w:val="single" w:color="auto" w:sz="8" w:space="0"/>
            </w:tcBorders>
            <w:noWrap/>
            <w:vAlign w:val="center"/>
          </w:tcPr>
          <w:p w14:paraId="233F3438">
            <w:pPr>
              <w:widowControl w:val="0"/>
              <w:spacing w:line="240" w:lineRule="exact"/>
              <w:jc w:val="center"/>
              <w:rPr>
                <w:rFonts w:eastAsia="楷体_GB2312"/>
                <w:color w:val="000000"/>
                <w:szCs w:val="21"/>
              </w:rPr>
            </w:pPr>
            <w:r>
              <w:rPr>
                <w:rFonts w:eastAsia="楷体_GB2312"/>
                <w:color w:val="000000"/>
                <w:szCs w:val="21"/>
              </w:rPr>
              <w:t>165</w:t>
            </w:r>
          </w:p>
        </w:tc>
        <w:tc>
          <w:tcPr>
            <w:tcW w:w="0" w:type="auto"/>
            <w:tcBorders>
              <w:top w:val="nil"/>
              <w:left w:val="nil"/>
              <w:bottom w:val="single" w:color="auto" w:sz="8" w:space="0"/>
              <w:right w:val="single" w:color="auto" w:sz="8" w:space="0"/>
            </w:tcBorders>
            <w:noWrap w:val="0"/>
            <w:vAlign w:val="center"/>
          </w:tcPr>
          <w:p w14:paraId="5846F117">
            <w:pPr>
              <w:widowControl w:val="0"/>
              <w:spacing w:line="240" w:lineRule="exact"/>
              <w:jc w:val="center"/>
              <w:rPr>
                <w:rFonts w:eastAsia="楷体_GB2312"/>
                <w:color w:val="000000"/>
                <w:szCs w:val="21"/>
              </w:rPr>
            </w:pPr>
            <w:r>
              <w:rPr>
                <w:rFonts w:eastAsia="楷体_GB2312"/>
                <w:color w:val="000000"/>
                <w:szCs w:val="21"/>
              </w:rPr>
              <w:t>3.03%</w:t>
            </w:r>
          </w:p>
        </w:tc>
      </w:tr>
      <w:tr w14:paraId="4AD56965">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089724F9">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51B61E60">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59905285">
            <w:pPr>
              <w:widowControl w:val="0"/>
              <w:spacing w:line="240" w:lineRule="exact"/>
              <w:jc w:val="center"/>
              <w:rPr>
                <w:rFonts w:eastAsia="楷体_GB2312"/>
                <w:szCs w:val="21"/>
              </w:rPr>
            </w:pPr>
            <w:r>
              <w:rPr>
                <w:rFonts w:eastAsia="楷体_GB2312"/>
                <w:szCs w:val="21"/>
              </w:rPr>
              <w:t>2</w:t>
            </w:r>
          </w:p>
        </w:tc>
        <w:tc>
          <w:tcPr>
            <w:tcW w:w="0" w:type="auto"/>
            <w:tcBorders>
              <w:top w:val="nil"/>
              <w:left w:val="single" w:color="auto" w:sz="4" w:space="0"/>
              <w:bottom w:val="single" w:color="auto" w:sz="4" w:space="0"/>
              <w:right w:val="single" w:color="auto" w:sz="4" w:space="0"/>
            </w:tcBorders>
            <w:noWrap/>
            <w:vAlign w:val="center"/>
          </w:tcPr>
          <w:p w14:paraId="30F921DB">
            <w:pPr>
              <w:widowControl w:val="0"/>
              <w:spacing w:line="240" w:lineRule="exact"/>
              <w:jc w:val="center"/>
              <w:rPr>
                <w:rFonts w:eastAsia="楷体_GB2312"/>
                <w:b/>
                <w:color w:val="000000"/>
                <w:szCs w:val="21"/>
              </w:rPr>
            </w:pPr>
            <w:r>
              <w:rPr>
                <w:rFonts w:eastAsia="楷体_GB2312"/>
                <w:b/>
                <w:color w:val="000000"/>
                <w:szCs w:val="21"/>
              </w:rPr>
              <w:t>380</w:t>
            </w:r>
          </w:p>
        </w:tc>
        <w:tc>
          <w:tcPr>
            <w:tcW w:w="0" w:type="auto"/>
            <w:tcBorders>
              <w:top w:val="nil"/>
              <w:left w:val="nil"/>
              <w:bottom w:val="single" w:color="auto" w:sz="8" w:space="0"/>
              <w:right w:val="single" w:color="auto" w:sz="8" w:space="0"/>
            </w:tcBorders>
            <w:noWrap/>
            <w:vAlign w:val="center"/>
          </w:tcPr>
          <w:p w14:paraId="27D32637">
            <w:pPr>
              <w:widowControl w:val="0"/>
              <w:spacing w:line="240" w:lineRule="exact"/>
              <w:jc w:val="center"/>
              <w:rPr>
                <w:rFonts w:eastAsia="楷体_GB2312"/>
                <w:color w:val="000000"/>
                <w:szCs w:val="21"/>
              </w:rPr>
            </w:pPr>
            <w:r>
              <w:rPr>
                <w:rFonts w:eastAsia="楷体_GB2312"/>
                <w:color w:val="000000"/>
                <w:szCs w:val="21"/>
              </w:rPr>
              <w:t>355</w:t>
            </w:r>
          </w:p>
        </w:tc>
        <w:tc>
          <w:tcPr>
            <w:tcW w:w="0" w:type="auto"/>
            <w:tcBorders>
              <w:top w:val="nil"/>
              <w:left w:val="nil"/>
              <w:bottom w:val="single" w:color="auto" w:sz="8" w:space="0"/>
              <w:right w:val="single" w:color="auto" w:sz="8" w:space="0"/>
            </w:tcBorders>
            <w:noWrap w:val="0"/>
            <w:vAlign w:val="center"/>
          </w:tcPr>
          <w:p w14:paraId="599A5200">
            <w:pPr>
              <w:widowControl w:val="0"/>
              <w:spacing w:line="240" w:lineRule="exact"/>
              <w:jc w:val="center"/>
              <w:rPr>
                <w:rFonts w:eastAsia="楷体_GB2312"/>
                <w:color w:val="000000"/>
                <w:szCs w:val="21"/>
              </w:rPr>
            </w:pPr>
            <w:r>
              <w:rPr>
                <w:rFonts w:eastAsia="楷体_GB2312"/>
                <w:color w:val="000000"/>
                <w:szCs w:val="21"/>
              </w:rPr>
              <w:t>7.04%</w:t>
            </w:r>
          </w:p>
        </w:tc>
        <w:tc>
          <w:tcPr>
            <w:tcW w:w="0" w:type="auto"/>
            <w:tcBorders>
              <w:top w:val="nil"/>
              <w:left w:val="single" w:color="auto" w:sz="4" w:space="0"/>
              <w:bottom w:val="single" w:color="auto" w:sz="4" w:space="0"/>
              <w:right w:val="single" w:color="auto" w:sz="4" w:space="0"/>
            </w:tcBorders>
            <w:noWrap/>
            <w:vAlign w:val="center"/>
          </w:tcPr>
          <w:p w14:paraId="0C7F7CAE">
            <w:pPr>
              <w:widowControl w:val="0"/>
              <w:spacing w:line="240" w:lineRule="exact"/>
              <w:jc w:val="center"/>
              <w:rPr>
                <w:rFonts w:eastAsia="楷体_GB2312"/>
                <w:b/>
                <w:color w:val="000000"/>
                <w:szCs w:val="21"/>
              </w:rPr>
            </w:pPr>
            <w:r>
              <w:rPr>
                <w:rFonts w:eastAsia="楷体_GB2312"/>
                <w:b/>
                <w:color w:val="000000"/>
                <w:szCs w:val="21"/>
              </w:rPr>
              <w:t>275</w:t>
            </w:r>
          </w:p>
        </w:tc>
        <w:tc>
          <w:tcPr>
            <w:tcW w:w="0" w:type="auto"/>
            <w:tcBorders>
              <w:top w:val="nil"/>
              <w:left w:val="nil"/>
              <w:bottom w:val="single" w:color="auto" w:sz="8" w:space="0"/>
              <w:right w:val="single" w:color="auto" w:sz="8" w:space="0"/>
            </w:tcBorders>
            <w:noWrap/>
            <w:vAlign w:val="center"/>
          </w:tcPr>
          <w:p w14:paraId="390E22BD">
            <w:pPr>
              <w:widowControl w:val="0"/>
              <w:spacing w:line="240" w:lineRule="exact"/>
              <w:jc w:val="center"/>
              <w:rPr>
                <w:rFonts w:eastAsia="楷体_GB2312"/>
                <w:color w:val="000000"/>
                <w:szCs w:val="21"/>
              </w:rPr>
            </w:pPr>
            <w:r>
              <w:rPr>
                <w:rFonts w:eastAsia="楷体_GB2312"/>
                <w:color w:val="000000"/>
                <w:szCs w:val="21"/>
              </w:rPr>
              <w:t>228</w:t>
            </w:r>
          </w:p>
        </w:tc>
        <w:tc>
          <w:tcPr>
            <w:tcW w:w="0" w:type="auto"/>
            <w:tcBorders>
              <w:top w:val="nil"/>
              <w:left w:val="nil"/>
              <w:bottom w:val="single" w:color="auto" w:sz="8" w:space="0"/>
              <w:right w:val="single" w:color="auto" w:sz="8" w:space="0"/>
            </w:tcBorders>
            <w:noWrap w:val="0"/>
            <w:vAlign w:val="center"/>
          </w:tcPr>
          <w:p w14:paraId="6DDA1E56">
            <w:pPr>
              <w:widowControl w:val="0"/>
              <w:spacing w:line="240" w:lineRule="exact"/>
              <w:jc w:val="center"/>
              <w:rPr>
                <w:rFonts w:eastAsia="楷体_GB2312"/>
                <w:color w:val="000000"/>
                <w:szCs w:val="21"/>
              </w:rPr>
            </w:pPr>
            <w:r>
              <w:rPr>
                <w:rFonts w:eastAsia="楷体_GB2312"/>
                <w:color w:val="000000"/>
                <w:szCs w:val="21"/>
              </w:rPr>
              <w:t>20.61%</w:t>
            </w:r>
          </w:p>
        </w:tc>
        <w:tc>
          <w:tcPr>
            <w:tcW w:w="0" w:type="auto"/>
            <w:tcBorders>
              <w:top w:val="nil"/>
              <w:left w:val="single" w:color="auto" w:sz="4" w:space="0"/>
              <w:bottom w:val="single" w:color="auto" w:sz="4" w:space="0"/>
              <w:right w:val="single" w:color="auto" w:sz="4" w:space="0"/>
            </w:tcBorders>
            <w:noWrap/>
            <w:vAlign w:val="center"/>
          </w:tcPr>
          <w:p w14:paraId="5FF5D47B">
            <w:pPr>
              <w:widowControl w:val="0"/>
              <w:spacing w:line="240" w:lineRule="exact"/>
              <w:jc w:val="center"/>
              <w:rPr>
                <w:rFonts w:eastAsia="楷体_GB2312"/>
                <w:b/>
                <w:color w:val="000000"/>
                <w:szCs w:val="21"/>
              </w:rPr>
            </w:pPr>
            <w:r>
              <w:rPr>
                <w:rFonts w:eastAsia="楷体_GB2312"/>
                <w:b/>
                <w:color w:val="000000"/>
                <w:szCs w:val="21"/>
              </w:rPr>
              <w:t>155</w:t>
            </w:r>
          </w:p>
        </w:tc>
        <w:tc>
          <w:tcPr>
            <w:tcW w:w="0" w:type="auto"/>
            <w:tcBorders>
              <w:top w:val="nil"/>
              <w:left w:val="nil"/>
              <w:bottom w:val="single" w:color="auto" w:sz="8" w:space="0"/>
              <w:right w:val="single" w:color="auto" w:sz="8" w:space="0"/>
            </w:tcBorders>
            <w:noWrap/>
            <w:vAlign w:val="center"/>
          </w:tcPr>
          <w:p w14:paraId="3D0D0ABF">
            <w:pPr>
              <w:widowControl w:val="0"/>
              <w:spacing w:line="240" w:lineRule="exact"/>
              <w:jc w:val="center"/>
              <w:rPr>
                <w:rFonts w:eastAsia="楷体_GB2312"/>
                <w:color w:val="000000"/>
                <w:szCs w:val="21"/>
              </w:rPr>
            </w:pPr>
            <w:r>
              <w:rPr>
                <w:rFonts w:eastAsia="楷体_GB2312"/>
                <w:color w:val="000000"/>
                <w:szCs w:val="21"/>
              </w:rPr>
              <w:t>150</w:t>
            </w:r>
          </w:p>
        </w:tc>
        <w:tc>
          <w:tcPr>
            <w:tcW w:w="0" w:type="auto"/>
            <w:tcBorders>
              <w:top w:val="nil"/>
              <w:left w:val="nil"/>
              <w:bottom w:val="single" w:color="auto" w:sz="8" w:space="0"/>
              <w:right w:val="single" w:color="auto" w:sz="8" w:space="0"/>
            </w:tcBorders>
            <w:noWrap w:val="0"/>
            <w:vAlign w:val="center"/>
          </w:tcPr>
          <w:p w14:paraId="78A35E34">
            <w:pPr>
              <w:widowControl w:val="0"/>
              <w:spacing w:line="240" w:lineRule="exact"/>
              <w:jc w:val="center"/>
              <w:rPr>
                <w:rFonts w:eastAsia="楷体_GB2312"/>
                <w:color w:val="000000"/>
                <w:szCs w:val="21"/>
              </w:rPr>
            </w:pPr>
            <w:r>
              <w:rPr>
                <w:rFonts w:eastAsia="楷体_GB2312"/>
                <w:color w:val="000000"/>
                <w:szCs w:val="21"/>
              </w:rPr>
              <w:t>3.33%</w:t>
            </w:r>
          </w:p>
        </w:tc>
      </w:tr>
      <w:tr w14:paraId="6BD481B6">
        <w:tblPrEx>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8" w:space="0"/>
              <w:bottom w:val="single" w:color="auto" w:sz="4" w:space="0"/>
              <w:right w:val="single" w:color="auto" w:sz="8" w:space="0"/>
            </w:tcBorders>
            <w:noWrap w:val="0"/>
            <w:vAlign w:val="center"/>
          </w:tcPr>
          <w:p w14:paraId="3B153E12">
            <w:pPr>
              <w:widowControl w:val="0"/>
              <w:spacing w:line="240" w:lineRule="exact"/>
              <w:jc w:val="center"/>
              <w:rPr>
                <w:rFonts w:eastAsia="楷体_GB2312"/>
                <w:szCs w:val="21"/>
              </w:rPr>
            </w:pPr>
          </w:p>
        </w:tc>
        <w:tc>
          <w:tcPr>
            <w:tcW w:w="0" w:type="auto"/>
            <w:vMerge w:val="continue"/>
            <w:tcBorders>
              <w:top w:val="single" w:color="auto" w:sz="4" w:space="0"/>
              <w:left w:val="single" w:color="auto" w:sz="8" w:space="0"/>
              <w:bottom w:val="single" w:color="auto" w:sz="4" w:space="0"/>
              <w:right w:val="single" w:color="auto" w:sz="8" w:space="0"/>
            </w:tcBorders>
            <w:noWrap w:val="0"/>
            <w:vAlign w:val="center"/>
          </w:tcPr>
          <w:p w14:paraId="186B6F82">
            <w:pPr>
              <w:widowControl w:val="0"/>
              <w:spacing w:line="240" w:lineRule="exact"/>
              <w:jc w:val="center"/>
              <w:rPr>
                <w:rFonts w:eastAsia="楷体_GB2312"/>
                <w:szCs w:val="21"/>
              </w:rPr>
            </w:pPr>
          </w:p>
        </w:tc>
        <w:tc>
          <w:tcPr>
            <w:tcW w:w="0" w:type="auto"/>
            <w:tcBorders>
              <w:top w:val="single" w:color="auto" w:sz="4" w:space="0"/>
              <w:left w:val="nil"/>
              <w:bottom w:val="single" w:color="auto" w:sz="4" w:space="0"/>
              <w:right w:val="single" w:color="auto" w:sz="8" w:space="0"/>
            </w:tcBorders>
            <w:noWrap w:val="0"/>
            <w:vAlign w:val="center"/>
          </w:tcPr>
          <w:p w14:paraId="59DFD8FB">
            <w:pPr>
              <w:widowControl w:val="0"/>
              <w:spacing w:line="240" w:lineRule="exact"/>
              <w:jc w:val="center"/>
              <w:rPr>
                <w:rFonts w:eastAsia="楷体_GB2312"/>
                <w:szCs w:val="21"/>
              </w:rPr>
            </w:pPr>
            <w:r>
              <w:rPr>
                <w:rFonts w:eastAsia="楷体_GB2312"/>
                <w:szCs w:val="21"/>
              </w:rPr>
              <w:t>3</w:t>
            </w:r>
          </w:p>
        </w:tc>
        <w:tc>
          <w:tcPr>
            <w:tcW w:w="0" w:type="auto"/>
            <w:tcBorders>
              <w:top w:val="nil"/>
              <w:left w:val="single" w:color="auto" w:sz="4" w:space="0"/>
              <w:bottom w:val="single" w:color="auto" w:sz="4" w:space="0"/>
              <w:right w:val="single" w:color="auto" w:sz="4" w:space="0"/>
            </w:tcBorders>
            <w:noWrap/>
            <w:vAlign w:val="center"/>
          </w:tcPr>
          <w:p w14:paraId="449B0AA8">
            <w:pPr>
              <w:widowControl w:val="0"/>
              <w:spacing w:line="240" w:lineRule="exact"/>
              <w:jc w:val="center"/>
              <w:rPr>
                <w:rFonts w:eastAsia="楷体_GB2312"/>
                <w:b/>
                <w:color w:val="000000"/>
                <w:szCs w:val="21"/>
              </w:rPr>
            </w:pPr>
            <w:r>
              <w:rPr>
                <w:rFonts w:eastAsia="楷体_GB2312"/>
                <w:b/>
                <w:color w:val="000000"/>
                <w:szCs w:val="21"/>
              </w:rPr>
              <w:t>300</w:t>
            </w:r>
          </w:p>
        </w:tc>
        <w:tc>
          <w:tcPr>
            <w:tcW w:w="0" w:type="auto"/>
            <w:tcBorders>
              <w:top w:val="nil"/>
              <w:left w:val="nil"/>
              <w:bottom w:val="single" w:color="auto" w:sz="4" w:space="0"/>
              <w:right w:val="single" w:color="auto" w:sz="8" w:space="0"/>
            </w:tcBorders>
            <w:noWrap/>
            <w:vAlign w:val="center"/>
          </w:tcPr>
          <w:p w14:paraId="1AEF88C9">
            <w:pPr>
              <w:widowControl w:val="0"/>
              <w:spacing w:line="240" w:lineRule="exact"/>
              <w:jc w:val="center"/>
              <w:rPr>
                <w:rFonts w:eastAsia="楷体_GB2312"/>
                <w:color w:val="000000"/>
                <w:szCs w:val="21"/>
              </w:rPr>
            </w:pPr>
            <w:r>
              <w:rPr>
                <w:rFonts w:eastAsia="楷体_GB2312"/>
                <w:color w:val="000000"/>
                <w:szCs w:val="21"/>
              </w:rPr>
              <w:t>290</w:t>
            </w:r>
          </w:p>
        </w:tc>
        <w:tc>
          <w:tcPr>
            <w:tcW w:w="0" w:type="auto"/>
            <w:tcBorders>
              <w:top w:val="nil"/>
              <w:left w:val="nil"/>
              <w:bottom w:val="single" w:color="auto" w:sz="4" w:space="0"/>
              <w:right w:val="single" w:color="auto" w:sz="8" w:space="0"/>
            </w:tcBorders>
            <w:noWrap w:val="0"/>
            <w:vAlign w:val="center"/>
          </w:tcPr>
          <w:p w14:paraId="3AC32683">
            <w:pPr>
              <w:widowControl w:val="0"/>
              <w:spacing w:line="240" w:lineRule="exact"/>
              <w:jc w:val="center"/>
              <w:rPr>
                <w:rFonts w:eastAsia="楷体_GB2312"/>
                <w:color w:val="000000"/>
                <w:szCs w:val="21"/>
              </w:rPr>
            </w:pPr>
            <w:r>
              <w:rPr>
                <w:rFonts w:eastAsia="楷体_GB2312"/>
                <w:color w:val="000000"/>
                <w:szCs w:val="21"/>
              </w:rPr>
              <w:t>3.45%</w:t>
            </w:r>
          </w:p>
        </w:tc>
        <w:tc>
          <w:tcPr>
            <w:tcW w:w="0" w:type="auto"/>
            <w:tcBorders>
              <w:top w:val="nil"/>
              <w:left w:val="single" w:color="auto" w:sz="4" w:space="0"/>
              <w:bottom w:val="single" w:color="auto" w:sz="4" w:space="0"/>
              <w:right w:val="single" w:color="auto" w:sz="4" w:space="0"/>
            </w:tcBorders>
            <w:noWrap/>
            <w:vAlign w:val="center"/>
          </w:tcPr>
          <w:p w14:paraId="74D07EFC">
            <w:pPr>
              <w:widowControl w:val="0"/>
              <w:spacing w:line="240" w:lineRule="exact"/>
              <w:jc w:val="center"/>
              <w:rPr>
                <w:rFonts w:eastAsia="楷体_GB2312"/>
                <w:b/>
                <w:color w:val="000000"/>
                <w:szCs w:val="21"/>
              </w:rPr>
            </w:pPr>
            <w:r>
              <w:rPr>
                <w:rFonts w:eastAsia="楷体_GB2312"/>
                <w:b/>
                <w:color w:val="000000"/>
                <w:szCs w:val="21"/>
              </w:rPr>
              <w:t>210</w:t>
            </w:r>
          </w:p>
        </w:tc>
        <w:tc>
          <w:tcPr>
            <w:tcW w:w="0" w:type="auto"/>
            <w:tcBorders>
              <w:top w:val="nil"/>
              <w:left w:val="nil"/>
              <w:bottom w:val="single" w:color="auto" w:sz="4" w:space="0"/>
              <w:right w:val="single" w:color="auto" w:sz="8" w:space="0"/>
            </w:tcBorders>
            <w:noWrap/>
            <w:vAlign w:val="center"/>
          </w:tcPr>
          <w:p w14:paraId="31DE4A78">
            <w:pPr>
              <w:widowControl w:val="0"/>
              <w:spacing w:line="240" w:lineRule="exact"/>
              <w:jc w:val="center"/>
              <w:rPr>
                <w:rFonts w:eastAsia="楷体_GB2312"/>
                <w:color w:val="000000"/>
                <w:szCs w:val="21"/>
              </w:rPr>
            </w:pPr>
            <w:r>
              <w:rPr>
                <w:rFonts w:eastAsia="楷体_GB2312"/>
                <w:color w:val="000000"/>
                <w:szCs w:val="21"/>
              </w:rPr>
              <w:t>195</w:t>
            </w:r>
          </w:p>
        </w:tc>
        <w:tc>
          <w:tcPr>
            <w:tcW w:w="0" w:type="auto"/>
            <w:tcBorders>
              <w:top w:val="nil"/>
              <w:left w:val="nil"/>
              <w:bottom w:val="single" w:color="auto" w:sz="4" w:space="0"/>
              <w:right w:val="single" w:color="auto" w:sz="8" w:space="0"/>
            </w:tcBorders>
            <w:noWrap w:val="0"/>
            <w:vAlign w:val="center"/>
          </w:tcPr>
          <w:p w14:paraId="2AE45A6F">
            <w:pPr>
              <w:widowControl w:val="0"/>
              <w:spacing w:line="240" w:lineRule="exact"/>
              <w:jc w:val="center"/>
              <w:rPr>
                <w:rFonts w:eastAsia="楷体_GB2312"/>
                <w:color w:val="000000"/>
                <w:szCs w:val="21"/>
              </w:rPr>
            </w:pPr>
            <w:r>
              <w:rPr>
                <w:rFonts w:eastAsia="楷体_GB2312"/>
                <w:color w:val="000000"/>
                <w:szCs w:val="21"/>
              </w:rPr>
              <w:t>7.69%</w:t>
            </w:r>
          </w:p>
        </w:tc>
        <w:tc>
          <w:tcPr>
            <w:tcW w:w="0" w:type="auto"/>
            <w:tcBorders>
              <w:top w:val="nil"/>
              <w:left w:val="single" w:color="auto" w:sz="4" w:space="0"/>
              <w:bottom w:val="single" w:color="auto" w:sz="4" w:space="0"/>
              <w:right w:val="single" w:color="auto" w:sz="4" w:space="0"/>
            </w:tcBorders>
            <w:noWrap/>
            <w:vAlign w:val="center"/>
          </w:tcPr>
          <w:p w14:paraId="621B2AA6">
            <w:pPr>
              <w:widowControl w:val="0"/>
              <w:spacing w:line="240" w:lineRule="exact"/>
              <w:jc w:val="center"/>
              <w:rPr>
                <w:rFonts w:eastAsia="楷体_GB2312"/>
                <w:b/>
                <w:color w:val="000000"/>
                <w:szCs w:val="21"/>
              </w:rPr>
            </w:pPr>
            <w:r>
              <w:rPr>
                <w:rFonts w:eastAsia="楷体_GB2312"/>
                <w:b/>
                <w:color w:val="000000"/>
                <w:szCs w:val="21"/>
              </w:rPr>
              <w:t>144</w:t>
            </w:r>
          </w:p>
        </w:tc>
        <w:tc>
          <w:tcPr>
            <w:tcW w:w="0" w:type="auto"/>
            <w:tcBorders>
              <w:top w:val="nil"/>
              <w:left w:val="nil"/>
              <w:bottom w:val="single" w:color="auto" w:sz="4" w:space="0"/>
              <w:right w:val="single" w:color="auto" w:sz="8" w:space="0"/>
            </w:tcBorders>
            <w:noWrap/>
            <w:vAlign w:val="center"/>
          </w:tcPr>
          <w:p w14:paraId="0E4C7DEE">
            <w:pPr>
              <w:widowControl w:val="0"/>
              <w:spacing w:line="240" w:lineRule="exact"/>
              <w:jc w:val="center"/>
              <w:rPr>
                <w:rFonts w:eastAsia="楷体_GB2312"/>
                <w:color w:val="000000"/>
                <w:szCs w:val="21"/>
              </w:rPr>
            </w:pPr>
            <w:r>
              <w:rPr>
                <w:rFonts w:eastAsia="楷体_GB2312"/>
                <w:color w:val="000000"/>
                <w:szCs w:val="21"/>
              </w:rPr>
              <w:t>144</w:t>
            </w:r>
          </w:p>
        </w:tc>
        <w:tc>
          <w:tcPr>
            <w:tcW w:w="0" w:type="auto"/>
            <w:tcBorders>
              <w:top w:val="nil"/>
              <w:left w:val="nil"/>
              <w:bottom w:val="single" w:color="auto" w:sz="4" w:space="0"/>
              <w:right w:val="single" w:color="auto" w:sz="8" w:space="0"/>
            </w:tcBorders>
            <w:noWrap w:val="0"/>
            <w:vAlign w:val="center"/>
          </w:tcPr>
          <w:p w14:paraId="2A9BD4E7">
            <w:pPr>
              <w:widowControl w:val="0"/>
              <w:spacing w:line="240" w:lineRule="exact"/>
              <w:jc w:val="center"/>
              <w:rPr>
                <w:rFonts w:eastAsia="楷体_GB2312"/>
                <w:color w:val="000000"/>
                <w:szCs w:val="21"/>
              </w:rPr>
            </w:pPr>
            <w:r>
              <w:rPr>
                <w:rFonts w:eastAsia="楷体_GB2312"/>
                <w:color w:val="000000"/>
                <w:szCs w:val="21"/>
              </w:rPr>
              <w:t>0.00%</w:t>
            </w:r>
          </w:p>
        </w:tc>
      </w:tr>
      <w:tr w14:paraId="3446A324">
        <w:tblPrEx>
          <w:tblCellMar>
            <w:top w:w="0" w:type="dxa"/>
            <w:left w:w="108" w:type="dxa"/>
            <w:bottom w:w="0" w:type="dxa"/>
            <w:right w:w="108" w:type="dxa"/>
          </w:tblCellMar>
        </w:tblPrEx>
        <w:trPr>
          <w:trHeight w:val="20" w:hRule="atLeast"/>
          <w:jc w:val="center"/>
        </w:trPr>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4DA2406C">
            <w:pPr>
              <w:widowControl w:val="0"/>
              <w:spacing w:line="240" w:lineRule="exact"/>
              <w:jc w:val="center"/>
              <w:rPr>
                <w:rFonts w:eastAsia="楷体_GB2312"/>
                <w:szCs w:val="21"/>
              </w:rPr>
            </w:pPr>
            <w:r>
              <w:rPr>
                <w:rFonts w:eastAsia="楷体_GB2312"/>
                <w:szCs w:val="21"/>
              </w:rPr>
              <w:t>12</w:t>
            </w:r>
          </w:p>
        </w:tc>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304A4B6B">
            <w:pPr>
              <w:widowControl w:val="0"/>
              <w:spacing w:line="240" w:lineRule="exact"/>
              <w:jc w:val="center"/>
              <w:rPr>
                <w:rFonts w:eastAsia="楷体_GB2312"/>
                <w:color w:val="000000"/>
                <w:szCs w:val="21"/>
              </w:rPr>
            </w:pPr>
            <w:r>
              <w:rPr>
                <w:rFonts w:eastAsia="楷体_GB2312"/>
                <w:color w:val="000000"/>
                <w:szCs w:val="21"/>
              </w:rPr>
              <w:t>大营镇</w:t>
            </w:r>
          </w:p>
        </w:tc>
        <w:tc>
          <w:tcPr>
            <w:tcW w:w="0" w:type="auto"/>
            <w:tcBorders>
              <w:top w:val="single" w:color="auto" w:sz="4" w:space="0"/>
              <w:left w:val="nil"/>
              <w:bottom w:val="single" w:color="auto" w:sz="4" w:space="0"/>
              <w:right w:val="single" w:color="auto" w:sz="8" w:space="0"/>
            </w:tcBorders>
            <w:noWrap w:val="0"/>
            <w:vAlign w:val="center"/>
          </w:tcPr>
          <w:p w14:paraId="418FD618">
            <w:pPr>
              <w:widowControl w:val="0"/>
              <w:spacing w:line="240" w:lineRule="exact"/>
              <w:jc w:val="center"/>
              <w:rPr>
                <w:rFonts w:eastAsia="楷体_GB2312"/>
                <w:szCs w:val="21"/>
              </w:rPr>
            </w:pPr>
            <w:r>
              <w:rPr>
                <w:rFonts w:eastAsia="楷体_GB2312"/>
                <w:szCs w:val="21"/>
              </w:rPr>
              <w:t>1</w:t>
            </w:r>
          </w:p>
        </w:tc>
        <w:tc>
          <w:tcPr>
            <w:tcW w:w="0" w:type="auto"/>
            <w:tcBorders>
              <w:top w:val="single" w:color="auto" w:sz="4" w:space="0"/>
              <w:left w:val="single" w:color="auto" w:sz="4" w:space="0"/>
              <w:bottom w:val="single" w:color="auto" w:sz="4" w:space="0"/>
              <w:right w:val="single" w:color="auto" w:sz="4" w:space="0"/>
            </w:tcBorders>
            <w:noWrap/>
            <w:vAlign w:val="center"/>
          </w:tcPr>
          <w:p w14:paraId="7A5DA159">
            <w:pPr>
              <w:widowControl w:val="0"/>
              <w:spacing w:line="240" w:lineRule="exact"/>
              <w:jc w:val="center"/>
              <w:rPr>
                <w:rFonts w:eastAsia="楷体_GB2312"/>
                <w:b/>
                <w:color w:val="000000"/>
                <w:szCs w:val="21"/>
              </w:rPr>
            </w:pPr>
            <w:r>
              <w:rPr>
                <w:rFonts w:eastAsia="楷体_GB2312"/>
                <w:b/>
                <w:color w:val="000000"/>
                <w:szCs w:val="21"/>
              </w:rPr>
              <w:t>480</w:t>
            </w:r>
          </w:p>
        </w:tc>
        <w:tc>
          <w:tcPr>
            <w:tcW w:w="0" w:type="auto"/>
            <w:tcBorders>
              <w:top w:val="single" w:color="auto" w:sz="4" w:space="0"/>
              <w:left w:val="nil"/>
              <w:bottom w:val="single" w:color="auto" w:sz="4" w:space="0"/>
              <w:right w:val="single" w:color="auto" w:sz="8" w:space="0"/>
            </w:tcBorders>
            <w:noWrap/>
            <w:vAlign w:val="center"/>
          </w:tcPr>
          <w:p w14:paraId="459A2EEC">
            <w:pPr>
              <w:widowControl w:val="0"/>
              <w:spacing w:line="240" w:lineRule="exact"/>
              <w:jc w:val="center"/>
              <w:rPr>
                <w:rFonts w:eastAsia="楷体_GB2312"/>
                <w:color w:val="000000"/>
                <w:szCs w:val="21"/>
              </w:rPr>
            </w:pPr>
            <w:r>
              <w:rPr>
                <w:rFonts w:eastAsia="楷体_GB2312"/>
                <w:color w:val="000000"/>
                <w:szCs w:val="21"/>
              </w:rPr>
              <w:t>465</w:t>
            </w:r>
          </w:p>
        </w:tc>
        <w:tc>
          <w:tcPr>
            <w:tcW w:w="0" w:type="auto"/>
            <w:tcBorders>
              <w:top w:val="single" w:color="auto" w:sz="4" w:space="0"/>
              <w:left w:val="nil"/>
              <w:bottom w:val="single" w:color="auto" w:sz="4" w:space="0"/>
              <w:right w:val="single" w:color="auto" w:sz="8" w:space="0"/>
            </w:tcBorders>
            <w:noWrap w:val="0"/>
            <w:vAlign w:val="center"/>
          </w:tcPr>
          <w:p w14:paraId="4DB0A1E7">
            <w:pPr>
              <w:widowControl w:val="0"/>
              <w:spacing w:line="240" w:lineRule="exact"/>
              <w:jc w:val="center"/>
              <w:rPr>
                <w:rFonts w:eastAsia="楷体_GB2312"/>
                <w:color w:val="000000"/>
                <w:szCs w:val="21"/>
              </w:rPr>
            </w:pPr>
            <w:r>
              <w:rPr>
                <w:rFonts w:eastAsia="楷体_GB2312"/>
                <w:color w:val="000000"/>
                <w:szCs w:val="21"/>
              </w:rPr>
              <w:t>3.23%</w:t>
            </w:r>
          </w:p>
        </w:tc>
        <w:tc>
          <w:tcPr>
            <w:tcW w:w="0" w:type="auto"/>
            <w:tcBorders>
              <w:top w:val="single" w:color="auto" w:sz="4" w:space="0"/>
              <w:left w:val="single" w:color="auto" w:sz="4" w:space="0"/>
              <w:bottom w:val="single" w:color="auto" w:sz="4" w:space="0"/>
              <w:right w:val="single" w:color="auto" w:sz="4" w:space="0"/>
            </w:tcBorders>
            <w:noWrap/>
            <w:vAlign w:val="center"/>
          </w:tcPr>
          <w:p w14:paraId="5ADF1493">
            <w:pPr>
              <w:widowControl w:val="0"/>
              <w:spacing w:line="240" w:lineRule="exact"/>
              <w:jc w:val="center"/>
              <w:rPr>
                <w:rFonts w:eastAsia="楷体_GB2312"/>
                <w:b/>
                <w:color w:val="000000"/>
                <w:szCs w:val="21"/>
              </w:rPr>
            </w:pPr>
            <w:r>
              <w:rPr>
                <w:rFonts w:eastAsia="楷体_GB2312"/>
                <w:b/>
                <w:color w:val="000000"/>
                <w:szCs w:val="21"/>
              </w:rPr>
              <w:t>355</w:t>
            </w:r>
          </w:p>
        </w:tc>
        <w:tc>
          <w:tcPr>
            <w:tcW w:w="0" w:type="auto"/>
            <w:tcBorders>
              <w:top w:val="single" w:color="auto" w:sz="4" w:space="0"/>
              <w:left w:val="nil"/>
              <w:bottom w:val="single" w:color="auto" w:sz="4" w:space="0"/>
              <w:right w:val="single" w:color="auto" w:sz="8" w:space="0"/>
            </w:tcBorders>
            <w:noWrap/>
            <w:vAlign w:val="center"/>
          </w:tcPr>
          <w:p w14:paraId="055CF1F8">
            <w:pPr>
              <w:widowControl w:val="0"/>
              <w:spacing w:line="240" w:lineRule="exact"/>
              <w:jc w:val="center"/>
              <w:rPr>
                <w:rFonts w:eastAsia="楷体_GB2312"/>
                <w:color w:val="000000"/>
                <w:szCs w:val="21"/>
              </w:rPr>
            </w:pPr>
            <w:r>
              <w:rPr>
                <w:rFonts w:eastAsia="楷体_GB2312"/>
                <w:color w:val="000000"/>
                <w:szCs w:val="21"/>
              </w:rPr>
              <w:t>330</w:t>
            </w:r>
          </w:p>
        </w:tc>
        <w:tc>
          <w:tcPr>
            <w:tcW w:w="0" w:type="auto"/>
            <w:tcBorders>
              <w:top w:val="single" w:color="auto" w:sz="4" w:space="0"/>
              <w:left w:val="nil"/>
              <w:bottom w:val="single" w:color="auto" w:sz="4" w:space="0"/>
              <w:right w:val="single" w:color="auto" w:sz="8" w:space="0"/>
            </w:tcBorders>
            <w:noWrap w:val="0"/>
            <w:vAlign w:val="center"/>
          </w:tcPr>
          <w:p w14:paraId="1FBF0DBF">
            <w:pPr>
              <w:widowControl w:val="0"/>
              <w:spacing w:line="240" w:lineRule="exact"/>
              <w:jc w:val="center"/>
              <w:rPr>
                <w:rFonts w:eastAsia="楷体_GB2312"/>
                <w:color w:val="000000"/>
                <w:szCs w:val="21"/>
              </w:rPr>
            </w:pPr>
            <w:r>
              <w:rPr>
                <w:rFonts w:eastAsia="楷体_GB2312"/>
                <w:color w:val="000000"/>
                <w:szCs w:val="21"/>
              </w:rPr>
              <w:t>7.58%</w:t>
            </w:r>
          </w:p>
        </w:tc>
        <w:tc>
          <w:tcPr>
            <w:tcW w:w="0" w:type="auto"/>
            <w:tcBorders>
              <w:top w:val="single" w:color="auto" w:sz="4" w:space="0"/>
              <w:left w:val="single" w:color="auto" w:sz="4" w:space="0"/>
              <w:bottom w:val="single" w:color="auto" w:sz="4" w:space="0"/>
              <w:right w:val="single" w:color="auto" w:sz="4" w:space="0"/>
            </w:tcBorders>
            <w:noWrap/>
            <w:vAlign w:val="center"/>
          </w:tcPr>
          <w:p w14:paraId="1E7A7E91">
            <w:pPr>
              <w:widowControl w:val="0"/>
              <w:spacing w:line="240" w:lineRule="exact"/>
              <w:jc w:val="center"/>
              <w:rPr>
                <w:rFonts w:eastAsia="楷体_GB2312"/>
                <w:b/>
                <w:color w:val="000000"/>
                <w:szCs w:val="21"/>
              </w:rPr>
            </w:pPr>
            <w:r>
              <w:rPr>
                <w:rFonts w:eastAsia="楷体_GB2312"/>
                <w:b/>
                <w:color w:val="000000"/>
                <w:szCs w:val="21"/>
              </w:rPr>
              <w:t>170</w:t>
            </w:r>
          </w:p>
        </w:tc>
        <w:tc>
          <w:tcPr>
            <w:tcW w:w="0" w:type="auto"/>
            <w:tcBorders>
              <w:top w:val="single" w:color="auto" w:sz="4" w:space="0"/>
              <w:left w:val="nil"/>
              <w:bottom w:val="single" w:color="auto" w:sz="4" w:space="0"/>
              <w:right w:val="single" w:color="auto" w:sz="8" w:space="0"/>
            </w:tcBorders>
            <w:noWrap/>
            <w:vAlign w:val="center"/>
          </w:tcPr>
          <w:p w14:paraId="050B235E">
            <w:pPr>
              <w:widowControl w:val="0"/>
              <w:spacing w:line="240" w:lineRule="exact"/>
              <w:jc w:val="center"/>
              <w:rPr>
                <w:rFonts w:eastAsia="楷体_GB2312"/>
                <w:color w:val="000000"/>
                <w:szCs w:val="21"/>
              </w:rPr>
            </w:pPr>
            <w:r>
              <w:rPr>
                <w:rFonts w:eastAsia="楷体_GB2312"/>
                <w:color w:val="000000"/>
                <w:szCs w:val="21"/>
              </w:rPr>
              <w:t>165</w:t>
            </w:r>
          </w:p>
        </w:tc>
        <w:tc>
          <w:tcPr>
            <w:tcW w:w="0" w:type="auto"/>
            <w:tcBorders>
              <w:top w:val="single" w:color="auto" w:sz="4" w:space="0"/>
              <w:left w:val="nil"/>
              <w:bottom w:val="single" w:color="auto" w:sz="4" w:space="0"/>
              <w:right w:val="single" w:color="auto" w:sz="8" w:space="0"/>
            </w:tcBorders>
            <w:noWrap w:val="0"/>
            <w:vAlign w:val="center"/>
          </w:tcPr>
          <w:p w14:paraId="62D2AA16">
            <w:pPr>
              <w:widowControl w:val="0"/>
              <w:spacing w:line="240" w:lineRule="exact"/>
              <w:jc w:val="center"/>
              <w:rPr>
                <w:rFonts w:eastAsia="楷体_GB2312"/>
                <w:color w:val="000000"/>
                <w:szCs w:val="21"/>
              </w:rPr>
            </w:pPr>
            <w:r>
              <w:rPr>
                <w:rFonts w:eastAsia="楷体_GB2312"/>
                <w:color w:val="000000"/>
                <w:szCs w:val="21"/>
              </w:rPr>
              <w:t>3.03%</w:t>
            </w:r>
          </w:p>
        </w:tc>
      </w:tr>
      <w:tr w14:paraId="4BAEF239">
        <w:tblPrEx>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8" w:space="0"/>
              <w:bottom w:val="single" w:color="000000" w:sz="8" w:space="0"/>
              <w:right w:val="single" w:color="auto" w:sz="8" w:space="0"/>
            </w:tcBorders>
            <w:noWrap w:val="0"/>
            <w:vAlign w:val="center"/>
          </w:tcPr>
          <w:p w14:paraId="4F8CFE93">
            <w:pPr>
              <w:widowControl w:val="0"/>
              <w:spacing w:line="240" w:lineRule="exact"/>
              <w:jc w:val="center"/>
              <w:rPr>
                <w:rFonts w:eastAsia="楷体_GB2312"/>
                <w:szCs w:val="21"/>
              </w:rPr>
            </w:pPr>
          </w:p>
        </w:tc>
        <w:tc>
          <w:tcPr>
            <w:tcW w:w="0" w:type="auto"/>
            <w:vMerge w:val="continue"/>
            <w:tcBorders>
              <w:top w:val="single" w:color="auto" w:sz="4" w:space="0"/>
              <w:left w:val="single" w:color="auto" w:sz="8" w:space="0"/>
              <w:bottom w:val="single" w:color="000000" w:sz="8" w:space="0"/>
              <w:right w:val="single" w:color="auto" w:sz="8" w:space="0"/>
            </w:tcBorders>
            <w:noWrap w:val="0"/>
            <w:vAlign w:val="center"/>
          </w:tcPr>
          <w:p w14:paraId="68008490">
            <w:pPr>
              <w:widowControl w:val="0"/>
              <w:spacing w:line="240" w:lineRule="exact"/>
              <w:jc w:val="center"/>
              <w:rPr>
                <w:rFonts w:eastAsia="楷体_GB2312"/>
                <w:szCs w:val="21"/>
              </w:rPr>
            </w:pPr>
          </w:p>
        </w:tc>
        <w:tc>
          <w:tcPr>
            <w:tcW w:w="0" w:type="auto"/>
            <w:tcBorders>
              <w:top w:val="single" w:color="auto" w:sz="4" w:space="0"/>
              <w:left w:val="nil"/>
              <w:bottom w:val="single" w:color="auto" w:sz="4" w:space="0"/>
              <w:right w:val="single" w:color="auto" w:sz="8" w:space="0"/>
            </w:tcBorders>
            <w:noWrap w:val="0"/>
            <w:vAlign w:val="center"/>
          </w:tcPr>
          <w:p w14:paraId="1470A9AC">
            <w:pPr>
              <w:widowControl w:val="0"/>
              <w:spacing w:line="240" w:lineRule="exact"/>
              <w:jc w:val="center"/>
              <w:rPr>
                <w:rFonts w:eastAsia="楷体_GB2312"/>
                <w:szCs w:val="21"/>
              </w:rPr>
            </w:pPr>
            <w:r>
              <w:rPr>
                <w:rFonts w:eastAsia="楷体_GB2312"/>
                <w:szCs w:val="21"/>
              </w:rPr>
              <w:t>2</w:t>
            </w:r>
          </w:p>
        </w:tc>
        <w:tc>
          <w:tcPr>
            <w:tcW w:w="0" w:type="auto"/>
            <w:tcBorders>
              <w:top w:val="single" w:color="auto" w:sz="4" w:space="0"/>
              <w:left w:val="single" w:color="auto" w:sz="4" w:space="0"/>
              <w:bottom w:val="single" w:color="auto" w:sz="4" w:space="0"/>
              <w:right w:val="single" w:color="auto" w:sz="4" w:space="0"/>
            </w:tcBorders>
            <w:noWrap/>
            <w:vAlign w:val="center"/>
          </w:tcPr>
          <w:p w14:paraId="554AE195">
            <w:pPr>
              <w:widowControl w:val="0"/>
              <w:spacing w:line="240" w:lineRule="exact"/>
              <w:jc w:val="center"/>
              <w:rPr>
                <w:rFonts w:eastAsia="楷体_GB2312"/>
                <w:b/>
                <w:color w:val="000000"/>
                <w:szCs w:val="21"/>
              </w:rPr>
            </w:pPr>
            <w:r>
              <w:rPr>
                <w:rFonts w:eastAsia="楷体_GB2312"/>
                <w:b/>
                <w:color w:val="000000"/>
                <w:szCs w:val="21"/>
              </w:rPr>
              <w:t>375</w:t>
            </w:r>
          </w:p>
        </w:tc>
        <w:tc>
          <w:tcPr>
            <w:tcW w:w="0" w:type="auto"/>
            <w:tcBorders>
              <w:top w:val="single" w:color="auto" w:sz="4" w:space="0"/>
              <w:left w:val="nil"/>
              <w:bottom w:val="single" w:color="auto" w:sz="4" w:space="0"/>
              <w:right w:val="single" w:color="auto" w:sz="8" w:space="0"/>
            </w:tcBorders>
            <w:noWrap/>
            <w:vAlign w:val="center"/>
          </w:tcPr>
          <w:p w14:paraId="16963D51">
            <w:pPr>
              <w:widowControl w:val="0"/>
              <w:spacing w:line="240" w:lineRule="exact"/>
              <w:jc w:val="center"/>
              <w:rPr>
                <w:rFonts w:eastAsia="楷体_GB2312"/>
                <w:color w:val="000000"/>
                <w:szCs w:val="21"/>
              </w:rPr>
            </w:pPr>
            <w:r>
              <w:rPr>
                <w:rFonts w:eastAsia="楷体_GB2312"/>
                <w:color w:val="000000"/>
                <w:szCs w:val="21"/>
              </w:rPr>
              <w:t>350</w:t>
            </w:r>
          </w:p>
        </w:tc>
        <w:tc>
          <w:tcPr>
            <w:tcW w:w="0" w:type="auto"/>
            <w:tcBorders>
              <w:top w:val="single" w:color="auto" w:sz="4" w:space="0"/>
              <w:left w:val="nil"/>
              <w:bottom w:val="single" w:color="auto" w:sz="4" w:space="0"/>
              <w:right w:val="single" w:color="auto" w:sz="8" w:space="0"/>
            </w:tcBorders>
            <w:noWrap w:val="0"/>
            <w:vAlign w:val="center"/>
          </w:tcPr>
          <w:p w14:paraId="47578876">
            <w:pPr>
              <w:widowControl w:val="0"/>
              <w:spacing w:line="240" w:lineRule="exact"/>
              <w:jc w:val="center"/>
              <w:rPr>
                <w:rFonts w:eastAsia="楷体_GB2312"/>
                <w:color w:val="000000"/>
                <w:szCs w:val="21"/>
              </w:rPr>
            </w:pPr>
            <w:r>
              <w:rPr>
                <w:rFonts w:eastAsia="楷体_GB2312"/>
                <w:color w:val="000000"/>
                <w:szCs w:val="21"/>
              </w:rPr>
              <w:t>7.14%</w:t>
            </w:r>
          </w:p>
        </w:tc>
        <w:tc>
          <w:tcPr>
            <w:tcW w:w="0" w:type="auto"/>
            <w:tcBorders>
              <w:top w:val="single" w:color="auto" w:sz="4" w:space="0"/>
              <w:left w:val="single" w:color="auto" w:sz="4" w:space="0"/>
              <w:bottom w:val="single" w:color="auto" w:sz="4" w:space="0"/>
              <w:right w:val="single" w:color="auto" w:sz="4" w:space="0"/>
            </w:tcBorders>
            <w:noWrap/>
            <w:vAlign w:val="center"/>
          </w:tcPr>
          <w:p w14:paraId="2CCF8734">
            <w:pPr>
              <w:widowControl w:val="0"/>
              <w:spacing w:line="240" w:lineRule="exact"/>
              <w:jc w:val="center"/>
              <w:rPr>
                <w:rFonts w:eastAsia="楷体_GB2312"/>
                <w:b/>
                <w:color w:val="000000"/>
                <w:szCs w:val="21"/>
              </w:rPr>
            </w:pPr>
            <w:r>
              <w:rPr>
                <w:rFonts w:eastAsia="楷体_GB2312"/>
                <w:b/>
                <w:color w:val="000000"/>
                <w:szCs w:val="21"/>
              </w:rPr>
              <w:t>270</w:t>
            </w:r>
          </w:p>
        </w:tc>
        <w:tc>
          <w:tcPr>
            <w:tcW w:w="0" w:type="auto"/>
            <w:tcBorders>
              <w:top w:val="single" w:color="auto" w:sz="4" w:space="0"/>
              <w:left w:val="nil"/>
              <w:bottom w:val="single" w:color="auto" w:sz="4" w:space="0"/>
              <w:right w:val="single" w:color="auto" w:sz="8" w:space="0"/>
            </w:tcBorders>
            <w:noWrap/>
            <w:vAlign w:val="center"/>
          </w:tcPr>
          <w:p w14:paraId="7789A2EE">
            <w:pPr>
              <w:widowControl w:val="0"/>
              <w:spacing w:line="240" w:lineRule="exact"/>
              <w:jc w:val="center"/>
              <w:rPr>
                <w:rFonts w:eastAsia="楷体_GB2312"/>
                <w:color w:val="000000"/>
                <w:szCs w:val="21"/>
              </w:rPr>
            </w:pPr>
            <w:r>
              <w:rPr>
                <w:rFonts w:eastAsia="楷体_GB2312"/>
                <w:color w:val="000000"/>
                <w:szCs w:val="21"/>
              </w:rPr>
              <w:t>225</w:t>
            </w:r>
          </w:p>
        </w:tc>
        <w:tc>
          <w:tcPr>
            <w:tcW w:w="0" w:type="auto"/>
            <w:tcBorders>
              <w:top w:val="single" w:color="auto" w:sz="4" w:space="0"/>
              <w:left w:val="nil"/>
              <w:bottom w:val="single" w:color="auto" w:sz="4" w:space="0"/>
              <w:right w:val="single" w:color="auto" w:sz="8" w:space="0"/>
            </w:tcBorders>
            <w:noWrap w:val="0"/>
            <w:vAlign w:val="center"/>
          </w:tcPr>
          <w:p w14:paraId="0D5FCF59">
            <w:pPr>
              <w:widowControl w:val="0"/>
              <w:spacing w:line="240" w:lineRule="exact"/>
              <w:jc w:val="center"/>
              <w:rPr>
                <w:rFonts w:eastAsia="楷体_GB2312"/>
                <w:color w:val="000000"/>
                <w:szCs w:val="21"/>
              </w:rPr>
            </w:pPr>
            <w:r>
              <w:rPr>
                <w:rFonts w:eastAsia="楷体_GB2312"/>
                <w:color w:val="000000"/>
                <w:szCs w:val="21"/>
              </w:rPr>
              <w:t>20.00%</w:t>
            </w:r>
          </w:p>
        </w:tc>
        <w:tc>
          <w:tcPr>
            <w:tcW w:w="0" w:type="auto"/>
            <w:tcBorders>
              <w:top w:val="single" w:color="auto" w:sz="4" w:space="0"/>
              <w:left w:val="single" w:color="auto" w:sz="4" w:space="0"/>
              <w:bottom w:val="single" w:color="auto" w:sz="4" w:space="0"/>
              <w:right w:val="single" w:color="auto" w:sz="4" w:space="0"/>
            </w:tcBorders>
            <w:noWrap/>
            <w:vAlign w:val="center"/>
          </w:tcPr>
          <w:p w14:paraId="0CAFB660">
            <w:pPr>
              <w:widowControl w:val="0"/>
              <w:spacing w:line="240" w:lineRule="exact"/>
              <w:jc w:val="center"/>
              <w:rPr>
                <w:rFonts w:eastAsia="楷体_GB2312"/>
                <w:b/>
                <w:color w:val="000000"/>
                <w:szCs w:val="21"/>
              </w:rPr>
            </w:pPr>
            <w:r>
              <w:rPr>
                <w:rFonts w:eastAsia="楷体_GB2312"/>
                <w:b/>
                <w:color w:val="000000"/>
                <w:szCs w:val="21"/>
              </w:rPr>
              <w:t>155</w:t>
            </w:r>
          </w:p>
        </w:tc>
        <w:tc>
          <w:tcPr>
            <w:tcW w:w="0" w:type="auto"/>
            <w:tcBorders>
              <w:top w:val="single" w:color="auto" w:sz="4" w:space="0"/>
              <w:left w:val="nil"/>
              <w:bottom w:val="single" w:color="auto" w:sz="4" w:space="0"/>
              <w:right w:val="single" w:color="auto" w:sz="8" w:space="0"/>
            </w:tcBorders>
            <w:noWrap/>
            <w:vAlign w:val="center"/>
          </w:tcPr>
          <w:p w14:paraId="4678385C">
            <w:pPr>
              <w:widowControl w:val="0"/>
              <w:spacing w:line="240" w:lineRule="exact"/>
              <w:jc w:val="center"/>
              <w:rPr>
                <w:rFonts w:eastAsia="楷体_GB2312"/>
                <w:color w:val="000000"/>
                <w:szCs w:val="21"/>
              </w:rPr>
            </w:pPr>
            <w:r>
              <w:rPr>
                <w:rFonts w:eastAsia="楷体_GB2312"/>
                <w:color w:val="000000"/>
                <w:szCs w:val="21"/>
              </w:rPr>
              <w:t>150</w:t>
            </w:r>
          </w:p>
        </w:tc>
        <w:tc>
          <w:tcPr>
            <w:tcW w:w="0" w:type="auto"/>
            <w:tcBorders>
              <w:top w:val="single" w:color="auto" w:sz="4" w:space="0"/>
              <w:left w:val="nil"/>
              <w:bottom w:val="single" w:color="auto" w:sz="4" w:space="0"/>
              <w:right w:val="single" w:color="auto" w:sz="8" w:space="0"/>
            </w:tcBorders>
            <w:noWrap w:val="0"/>
            <w:vAlign w:val="center"/>
          </w:tcPr>
          <w:p w14:paraId="20CF44F0">
            <w:pPr>
              <w:widowControl w:val="0"/>
              <w:spacing w:line="240" w:lineRule="exact"/>
              <w:jc w:val="center"/>
              <w:rPr>
                <w:rFonts w:eastAsia="楷体_GB2312"/>
                <w:color w:val="000000"/>
                <w:szCs w:val="21"/>
              </w:rPr>
            </w:pPr>
            <w:r>
              <w:rPr>
                <w:rFonts w:eastAsia="楷体_GB2312"/>
                <w:color w:val="000000"/>
                <w:szCs w:val="21"/>
              </w:rPr>
              <w:t>3.33%</w:t>
            </w:r>
          </w:p>
        </w:tc>
      </w:tr>
      <w:tr w14:paraId="14E1E5F9">
        <w:tblPrEx>
          <w:tblCellMar>
            <w:top w:w="0" w:type="dxa"/>
            <w:left w:w="108" w:type="dxa"/>
            <w:bottom w:w="0" w:type="dxa"/>
            <w:right w:w="108" w:type="dxa"/>
          </w:tblCellMar>
        </w:tblPrEx>
        <w:trPr>
          <w:trHeight w:val="20" w:hRule="atLeast"/>
          <w:jc w:val="center"/>
        </w:trPr>
        <w:tc>
          <w:tcPr>
            <w:tcW w:w="0" w:type="auto"/>
            <w:vMerge w:val="continue"/>
            <w:tcBorders>
              <w:top w:val="single" w:color="auto" w:sz="4" w:space="0"/>
              <w:left w:val="single" w:color="auto" w:sz="8" w:space="0"/>
              <w:bottom w:val="single" w:color="auto" w:sz="4" w:space="0"/>
              <w:right w:val="single" w:color="auto" w:sz="8" w:space="0"/>
            </w:tcBorders>
            <w:noWrap w:val="0"/>
            <w:vAlign w:val="center"/>
          </w:tcPr>
          <w:p w14:paraId="357651DE">
            <w:pPr>
              <w:widowControl w:val="0"/>
              <w:spacing w:line="240" w:lineRule="exact"/>
              <w:jc w:val="center"/>
              <w:rPr>
                <w:rFonts w:eastAsia="楷体_GB2312"/>
                <w:szCs w:val="21"/>
              </w:rPr>
            </w:pPr>
          </w:p>
        </w:tc>
        <w:tc>
          <w:tcPr>
            <w:tcW w:w="0" w:type="auto"/>
            <w:vMerge w:val="continue"/>
            <w:tcBorders>
              <w:top w:val="single" w:color="auto" w:sz="4" w:space="0"/>
              <w:left w:val="single" w:color="auto" w:sz="8" w:space="0"/>
              <w:bottom w:val="single" w:color="auto" w:sz="4" w:space="0"/>
              <w:right w:val="single" w:color="auto" w:sz="8" w:space="0"/>
            </w:tcBorders>
            <w:noWrap w:val="0"/>
            <w:vAlign w:val="center"/>
          </w:tcPr>
          <w:p w14:paraId="705F52F1">
            <w:pPr>
              <w:widowControl w:val="0"/>
              <w:spacing w:line="240" w:lineRule="exact"/>
              <w:jc w:val="center"/>
              <w:rPr>
                <w:rFonts w:eastAsia="楷体_GB2312"/>
                <w:szCs w:val="21"/>
              </w:rPr>
            </w:pPr>
          </w:p>
        </w:tc>
        <w:tc>
          <w:tcPr>
            <w:tcW w:w="0" w:type="auto"/>
            <w:tcBorders>
              <w:top w:val="single" w:color="auto" w:sz="4" w:space="0"/>
              <w:left w:val="nil"/>
              <w:bottom w:val="single" w:color="auto" w:sz="4" w:space="0"/>
              <w:right w:val="single" w:color="auto" w:sz="8" w:space="0"/>
            </w:tcBorders>
            <w:noWrap w:val="0"/>
            <w:vAlign w:val="center"/>
          </w:tcPr>
          <w:p w14:paraId="51981641">
            <w:pPr>
              <w:widowControl w:val="0"/>
              <w:spacing w:line="240" w:lineRule="exact"/>
              <w:jc w:val="center"/>
              <w:rPr>
                <w:rFonts w:eastAsia="楷体_GB2312"/>
                <w:szCs w:val="21"/>
              </w:rPr>
            </w:pPr>
            <w:r>
              <w:rPr>
                <w:rFonts w:eastAsia="楷体_GB2312"/>
                <w:szCs w:val="21"/>
              </w:rPr>
              <w:t>3</w:t>
            </w:r>
          </w:p>
        </w:tc>
        <w:tc>
          <w:tcPr>
            <w:tcW w:w="0" w:type="auto"/>
            <w:tcBorders>
              <w:top w:val="single" w:color="auto" w:sz="4" w:space="0"/>
              <w:left w:val="single" w:color="auto" w:sz="4" w:space="0"/>
              <w:bottom w:val="single" w:color="auto" w:sz="4" w:space="0"/>
              <w:right w:val="single" w:color="auto" w:sz="4" w:space="0"/>
            </w:tcBorders>
            <w:noWrap/>
            <w:vAlign w:val="center"/>
          </w:tcPr>
          <w:p w14:paraId="59E8ACE4">
            <w:pPr>
              <w:widowControl w:val="0"/>
              <w:spacing w:line="240" w:lineRule="exact"/>
              <w:jc w:val="center"/>
              <w:rPr>
                <w:rFonts w:eastAsia="楷体_GB2312"/>
                <w:b/>
                <w:color w:val="000000"/>
                <w:szCs w:val="21"/>
              </w:rPr>
            </w:pPr>
            <w:r>
              <w:rPr>
                <w:rFonts w:eastAsia="楷体_GB2312"/>
                <w:b/>
                <w:color w:val="000000"/>
                <w:szCs w:val="21"/>
              </w:rPr>
              <w:t>295</w:t>
            </w:r>
          </w:p>
        </w:tc>
        <w:tc>
          <w:tcPr>
            <w:tcW w:w="0" w:type="auto"/>
            <w:tcBorders>
              <w:top w:val="single" w:color="auto" w:sz="4" w:space="0"/>
              <w:left w:val="nil"/>
              <w:bottom w:val="single" w:color="auto" w:sz="4" w:space="0"/>
              <w:right w:val="single" w:color="auto" w:sz="8" w:space="0"/>
            </w:tcBorders>
            <w:noWrap/>
            <w:vAlign w:val="center"/>
          </w:tcPr>
          <w:p w14:paraId="0C683CA7">
            <w:pPr>
              <w:widowControl w:val="0"/>
              <w:spacing w:line="240" w:lineRule="exact"/>
              <w:jc w:val="center"/>
              <w:rPr>
                <w:rFonts w:eastAsia="楷体_GB2312"/>
                <w:color w:val="000000"/>
                <w:szCs w:val="21"/>
              </w:rPr>
            </w:pPr>
            <w:r>
              <w:rPr>
                <w:rFonts w:eastAsia="楷体_GB2312"/>
                <w:color w:val="000000"/>
                <w:szCs w:val="21"/>
              </w:rPr>
              <w:t>285</w:t>
            </w:r>
          </w:p>
        </w:tc>
        <w:tc>
          <w:tcPr>
            <w:tcW w:w="0" w:type="auto"/>
            <w:tcBorders>
              <w:top w:val="single" w:color="auto" w:sz="4" w:space="0"/>
              <w:left w:val="nil"/>
              <w:bottom w:val="single" w:color="auto" w:sz="4" w:space="0"/>
              <w:right w:val="single" w:color="auto" w:sz="8" w:space="0"/>
            </w:tcBorders>
            <w:noWrap w:val="0"/>
            <w:vAlign w:val="center"/>
          </w:tcPr>
          <w:p w14:paraId="124EE0F6">
            <w:pPr>
              <w:widowControl w:val="0"/>
              <w:spacing w:line="240" w:lineRule="exact"/>
              <w:jc w:val="center"/>
              <w:rPr>
                <w:rFonts w:eastAsia="楷体_GB2312"/>
                <w:color w:val="000000"/>
                <w:szCs w:val="21"/>
              </w:rPr>
            </w:pPr>
            <w:r>
              <w:rPr>
                <w:rFonts w:eastAsia="楷体_GB2312"/>
                <w:color w:val="000000"/>
                <w:szCs w:val="21"/>
              </w:rPr>
              <w:t>3.51%</w:t>
            </w:r>
          </w:p>
        </w:tc>
        <w:tc>
          <w:tcPr>
            <w:tcW w:w="0" w:type="auto"/>
            <w:tcBorders>
              <w:top w:val="single" w:color="auto" w:sz="4" w:space="0"/>
              <w:left w:val="single" w:color="auto" w:sz="4" w:space="0"/>
              <w:bottom w:val="single" w:color="auto" w:sz="4" w:space="0"/>
              <w:right w:val="single" w:color="auto" w:sz="4" w:space="0"/>
            </w:tcBorders>
            <w:noWrap/>
            <w:vAlign w:val="center"/>
          </w:tcPr>
          <w:p w14:paraId="6EA43C5B">
            <w:pPr>
              <w:widowControl w:val="0"/>
              <w:spacing w:line="240" w:lineRule="exact"/>
              <w:jc w:val="center"/>
              <w:rPr>
                <w:rFonts w:eastAsia="楷体_GB2312"/>
                <w:b/>
                <w:color w:val="000000"/>
                <w:szCs w:val="21"/>
              </w:rPr>
            </w:pPr>
            <w:r>
              <w:rPr>
                <w:rFonts w:eastAsia="楷体_GB2312"/>
                <w:b/>
                <w:color w:val="000000"/>
                <w:szCs w:val="21"/>
              </w:rPr>
              <w:t>210</w:t>
            </w:r>
          </w:p>
        </w:tc>
        <w:tc>
          <w:tcPr>
            <w:tcW w:w="0" w:type="auto"/>
            <w:tcBorders>
              <w:top w:val="single" w:color="auto" w:sz="4" w:space="0"/>
              <w:left w:val="nil"/>
              <w:bottom w:val="single" w:color="auto" w:sz="4" w:space="0"/>
              <w:right w:val="single" w:color="auto" w:sz="8" w:space="0"/>
            </w:tcBorders>
            <w:noWrap/>
            <w:vAlign w:val="center"/>
          </w:tcPr>
          <w:p w14:paraId="05BAD825">
            <w:pPr>
              <w:widowControl w:val="0"/>
              <w:spacing w:line="240" w:lineRule="exact"/>
              <w:jc w:val="center"/>
              <w:rPr>
                <w:rFonts w:eastAsia="楷体_GB2312"/>
                <w:color w:val="000000"/>
                <w:szCs w:val="21"/>
              </w:rPr>
            </w:pPr>
            <w:r>
              <w:rPr>
                <w:rFonts w:eastAsia="楷体_GB2312"/>
                <w:color w:val="000000"/>
                <w:szCs w:val="21"/>
              </w:rPr>
              <w:t>195</w:t>
            </w:r>
          </w:p>
        </w:tc>
        <w:tc>
          <w:tcPr>
            <w:tcW w:w="0" w:type="auto"/>
            <w:tcBorders>
              <w:top w:val="single" w:color="auto" w:sz="4" w:space="0"/>
              <w:left w:val="nil"/>
              <w:bottom w:val="single" w:color="auto" w:sz="4" w:space="0"/>
              <w:right w:val="single" w:color="auto" w:sz="8" w:space="0"/>
            </w:tcBorders>
            <w:noWrap w:val="0"/>
            <w:vAlign w:val="center"/>
          </w:tcPr>
          <w:p w14:paraId="28A9BB33">
            <w:pPr>
              <w:widowControl w:val="0"/>
              <w:spacing w:line="240" w:lineRule="exact"/>
              <w:jc w:val="center"/>
              <w:rPr>
                <w:rFonts w:eastAsia="楷体_GB2312"/>
                <w:color w:val="000000"/>
                <w:szCs w:val="21"/>
              </w:rPr>
            </w:pPr>
            <w:r>
              <w:rPr>
                <w:rFonts w:eastAsia="楷体_GB2312"/>
                <w:color w:val="000000"/>
                <w:szCs w:val="21"/>
              </w:rPr>
              <w:t>7.69%</w:t>
            </w:r>
          </w:p>
        </w:tc>
        <w:tc>
          <w:tcPr>
            <w:tcW w:w="0" w:type="auto"/>
            <w:tcBorders>
              <w:top w:val="single" w:color="auto" w:sz="4" w:space="0"/>
              <w:left w:val="single" w:color="auto" w:sz="4" w:space="0"/>
              <w:bottom w:val="single" w:color="auto" w:sz="4" w:space="0"/>
              <w:right w:val="single" w:color="auto" w:sz="4" w:space="0"/>
            </w:tcBorders>
            <w:noWrap/>
            <w:vAlign w:val="center"/>
          </w:tcPr>
          <w:p w14:paraId="6A0BAF6A">
            <w:pPr>
              <w:widowControl w:val="0"/>
              <w:spacing w:line="240" w:lineRule="exact"/>
              <w:jc w:val="center"/>
              <w:rPr>
                <w:rFonts w:eastAsia="楷体_GB2312"/>
                <w:b/>
                <w:color w:val="000000"/>
                <w:szCs w:val="21"/>
              </w:rPr>
            </w:pPr>
            <w:r>
              <w:rPr>
                <w:rFonts w:eastAsia="楷体_GB2312"/>
                <w:b/>
                <w:color w:val="000000"/>
                <w:szCs w:val="21"/>
              </w:rPr>
              <w:t>144</w:t>
            </w:r>
          </w:p>
        </w:tc>
        <w:tc>
          <w:tcPr>
            <w:tcW w:w="0" w:type="auto"/>
            <w:tcBorders>
              <w:top w:val="single" w:color="auto" w:sz="4" w:space="0"/>
              <w:left w:val="nil"/>
              <w:bottom w:val="single" w:color="auto" w:sz="4" w:space="0"/>
              <w:right w:val="single" w:color="auto" w:sz="8" w:space="0"/>
            </w:tcBorders>
            <w:noWrap/>
            <w:vAlign w:val="center"/>
          </w:tcPr>
          <w:p w14:paraId="14EFE72C">
            <w:pPr>
              <w:widowControl w:val="0"/>
              <w:spacing w:line="240" w:lineRule="exact"/>
              <w:jc w:val="center"/>
              <w:rPr>
                <w:rFonts w:eastAsia="楷体_GB2312"/>
                <w:color w:val="000000"/>
                <w:szCs w:val="21"/>
              </w:rPr>
            </w:pPr>
            <w:r>
              <w:rPr>
                <w:rFonts w:eastAsia="楷体_GB2312"/>
                <w:color w:val="000000"/>
                <w:szCs w:val="21"/>
              </w:rPr>
              <w:t>144</w:t>
            </w:r>
          </w:p>
        </w:tc>
        <w:tc>
          <w:tcPr>
            <w:tcW w:w="0" w:type="auto"/>
            <w:tcBorders>
              <w:top w:val="single" w:color="auto" w:sz="4" w:space="0"/>
              <w:left w:val="nil"/>
              <w:bottom w:val="single" w:color="auto" w:sz="4" w:space="0"/>
              <w:right w:val="single" w:color="auto" w:sz="8" w:space="0"/>
            </w:tcBorders>
            <w:noWrap w:val="0"/>
            <w:vAlign w:val="center"/>
          </w:tcPr>
          <w:p w14:paraId="3DEFF742">
            <w:pPr>
              <w:widowControl w:val="0"/>
              <w:spacing w:line="240" w:lineRule="exact"/>
              <w:jc w:val="center"/>
              <w:rPr>
                <w:rFonts w:eastAsia="楷体_GB2312"/>
                <w:color w:val="000000"/>
                <w:szCs w:val="21"/>
              </w:rPr>
            </w:pPr>
            <w:r>
              <w:rPr>
                <w:rFonts w:eastAsia="楷体_GB2312"/>
                <w:color w:val="000000"/>
                <w:szCs w:val="21"/>
              </w:rPr>
              <w:t>0.00%</w:t>
            </w:r>
          </w:p>
        </w:tc>
      </w:tr>
      <w:tr w14:paraId="0466E214">
        <w:tblPrEx>
          <w:tblCellMar>
            <w:top w:w="0" w:type="dxa"/>
            <w:left w:w="108" w:type="dxa"/>
            <w:bottom w:w="0" w:type="dxa"/>
            <w:right w:w="108" w:type="dxa"/>
          </w:tblCellMar>
        </w:tblPrEx>
        <w:trPr>
          <w:trHeight w:val="20" w:hRule="atLeast"/>
          <w:jc w:val="center"/>
        </w:trPr>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7CC86421">
            <w:pPr>
              <w:widowControl w:val="0"/>
              <w:spacing w:line="240" w:lineRule="exact"/>
              <w:jc w:val="center"/>
              <w:rPr>
                <w:rFonts w:eastAsia="楷体_GB2312"/>
                <w:szCs w:val="21"/>
              </w:rPr>
            </w:pPr>
            <w:r>
              <w:rPr>
                <w:rFonts w:eastAsia="楷体_GB2312"/>
                <w:szCs w:val="21"/>
              </w:rPr>
              <w:t>13</w:t>
            </w:r>
          </w:p>
        </w:tc>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41010003">
            <w:pPr>
              <w:widowControl w:val="0"/>
              <w:spacing w:line="240" w:lineRule="exact"/>
              <w:jc w:val="center"/>
              <w:rPr>
                <w:rFonts w:eastAsia="楷体_GB2312"/>
                <w:color w:val="000000"/>
                <w:szCs w:val="21"/>
              </w:rPr>
            </w:pPr>
            <w:r>
              <w:rPr>
                <w:rFonts w:eastAsia="楷体_GB2312"/>
                <w:color w:val="000000"/>
                <w:szCs w:val="21"/>
              </w:rPr>
              <w:t>褚兰镇</w:t>
            </w:r>
          </w:p>
        </w:tc>
        <w:tc>
          <w:tcPr>
            <w:tcW w:w="0" w:type="auto"/>
            <w:tcBorders>
              <w:top w:val="single" w:color="auto" w:sz="4" w:space="0"/>
              <w:left w:val="nil"/>
              <w:bottom w:val="single" w:color="auto" w:sz="8" w:space="0"/>
              <w:right w:val="single" w:color="auto" w:sz="8" w:space="0"/>
            </w:tcBorders>
            <w:noWrap w:val="0"/>
            <w:vAlign w:val="center"/>
          </w:tcPr>
          <w:p w14:paraId="07C054AB">
            <w:pPr>
              <w:widowControl w:val="0"/>
              <w:spacing w:line="240" w:lineRule="exact"/>
              <w:jc w:val="center"/>
              <w:rPr>
                <w:rFonts w:eastAsia="楷体_GB2312"/>
                <w:szCs w:val="21"/>
              </w:rPr>
            </w:pPr>
            <w:r>
              <w:rPr>
                <w:rFonts w:eastAsia="楷体_GB2312"/>
                <w:szCs w:val="21"/>
              </w:rPr>
              <w:t>1</w:t>
            </w:r>
          </w:p>
        </w:tc>
        <w:tc>
          <w:tcPr>
            <w:tcW w:w="0" w:type="auto"/>
            <w:tcBorders>
              <w:top w:val="single" w:color="auto" w:sz="4" w:space="0"/>
              <w:left w:val="single" w:color="auto" w:sz="4" w:space="0"/>
              <w:bottom w:val="single" w:color="auto" w:sz="4" w:space="0"/>
              <w:right w:val="single" w:color="auto" w:sz="4" w:space="0"/>
            </w:tcBorders>
            <w:noWrap/>
            <w:vAlign w:val="center"/>
          </w:tcPr>
          <w:p w14:paraId="0B8D1B82">
            <w:pPr>
              <w:widowControl w:val="0"/>
              <w:spacing w:line="240" w:lineRule="exact"/>
              <w:jc w:val="center"/>
              <w:rPr>
                <w:rFonts w:eastAsia="楷体_GB2312"/>
                <w:b/>
                <w:color w:val="000000"/>
                <w:szCs w:val="21"/>
              </w:rPr>
            </w:pPr>
            <w:r>
              <w:rPr>
                <w:rFonts w:eastAsia="楷体_GB2312"/>
                <w:b/>
                <w:color w:val="000000"/>
                <w:szCs w:val="21"/>
              </w:rPr>
              <w:t>475</w:t>
            </w:r>
          </w:p>
        </w:tc>
        <w:tc>
          <w:tcPr>
            <w:tcW w:w="0" w:type="auto"/>
            <w:tcBorders>
              <w:top w:val="single" w:color="auto" w:sz="4" w:space="0"/>
              <w:left w:val="nil"/>
              <w:bottom w:val="single" w:color="auto" w:sz="8" w:space="0"/>
              <w:right w:val="single" w:color="auto" w:sz="8" w:space="0"/>
            </w:tcBorders>
            <w:noWrap/>
            <w:vAlign w:val="center"/>
          </w:tcPr>
          <w:p w14:paraId="2827279C">
            <w:pPr>
              <w:widowControl w:val="0"/>
              <w:spacing w:line="240" w:lineRule="exact"/>
              <w:jc w:val="center"/>
              <w:rPr>
                <w:rFonts w:eastAsia="楷体_GB2312"/>
                <w:color w:val="000000"/>
                <w:szCs w:val="21"/>
              </w:rPr>
            </w:pPr>
            <w:r>
              <w:rPr>
                <w:rFonts w:eastAsia="楷体_GB2312"/>
                <w:color w:val="000000"/>
                <w:szCs w:val="21"/>
              </w:rPr>
              <w:t>460</w:t>
            </w:r>
          </w:p>
        </w:tc>
        <w:tc>
          <w:tcPr>
            <w:tcW w:w="0" w:type="auto"/>
            <w:tcBorders>
              <w:top w:val="single" w:color="auto" w:sz="4" w:space="0"/>
              <w:left w:val="nil"/>
              <w:bottom w:val="single" w:color="auto" w:sz="8" w:space="0"/>
              <w:right w:val="single" w:color="auto" w:sz="8" w:space="0"/>
            </w:tcBorders>
            <w:noWrap w:val="0"/>
            <w:vAlign w:val="center"/>
          </w:tcPr>
          <w:p w14:paraId="724E82E4">
            <w:pPr>
              <w:widowControl w:val="0"/>
              <w:spacing w:line="240" w:lineRule="exact"/>
              <w:jc w:val="center"/>
              <w:rPr>
                <w:rFonts w:eastAsia="楷体_GB2312"/>
                <w:color w:val="000000"/>
                <w:szCs w:val="21"/>
              </w:rPr>
            </w:pPr>
            <w:r>
              <w:rPr>
                <w:rFonts w:eastAsia="楷体_GB2312"/>
                <w:color w:val="000000"/>
                <w:szCs w:val="21"/>
              </w:rPr>
              <w:t>3.26%</w:t>
            </w:r>
          </w:p>
        </w:tc>
        <w:tc>
          <w:tcPr>
            <w:tcW w:w="0" w:type="auto"/>
            <w:tcBorders>
              <w:top w:val="single" w:color="auto" w:sz="4" w:space="0"/>
              <w:left w:val="single" w:color="auto" w:sz="4" w:space="0"/>
              <w:bottom w:val="single" w:color="auto" w:sz="4" w:space="0"/>
              <w:right w:val="single" w:color="auto" w:sz="4" w:space="0"/>
            </w:tcBorders>
            <w:noWrap/>
            <w:vAlign w:val="center"/>
          </w:tcPr>
          <w:p w14:paraId="2FE8F408">
            <w:pPr>
              <w:widowControl w:val="0"/>
              <w:spacing w:line="240" w:lineRule="exact"/>
              <w:jc w:val="center"/>
              <w:rPr>
                <w:rFonts w:eastAsia="楷体_GB2312"/>
                <w:b/>
                <w:color w:val="000000"/>
                <w:szCs w:val="21"/>
              </w:rPr>
            </w:pPr>
            <w:r>
              <w:rPr>
                <w:rFonts w:eastAsia="楷体_GB2312"/>
                <w:b/>
                <w:color w:val="000000"/>
                <w:szCs w:val="21"/>
              </w:rPr>
              <w:t>350</w:t>
            </w:r>
          </w:p>
        </w:tc>
        <w:tc>
          <w:tcPr>
            <w:tcW w:w="0" w:type="auto"/>
            <w:tcBorders>
              <w:top w:val="single" w:color="auto" w:sz="4" w:space="0"/>
              <w:left w:val="nil"/>
              <w:bottom w:val="single" w:color="auto" w:sz="8" w:space="0"/>
              <w:right w:val="single" w:color="auto" w:sz="8" w:space="0"/>
            </w:tcBorders>
            <w:noWrap/>
            <w:vAlign w:val="center"/>
          </w:tcPr>
          <w:p w14:paraId="6421EE5B">
            <w:pPr>
              <w:widowControl w:val="0"/>
              <w:spacing w:line="240" w:lineRule="exact"/>
              <w:jc w:val="center"/>
              <w:rPr>
                <w:rFonts w:eastAsia="楷体_GB2312"/>
                <w:color w:val="000000"/>
                <w:szCs w:val="21"/>
              </w:rPr>
            </w:pPr>
            <w:r>
              <w:rPr>
                <w:rFonts w:eastAsia="楷体_GB2312"/>
                <w:color w:val="000000"/>
                <w:szCs w:val="21"/>
              </w:rPr>
              <w:t>325</w:t>
            </w:r>
          </w:p>
        </w:tc>
        <w:tc>
          <w:tcPr>
            <w:tcW w:w="0" w:type="auto"/>
            <w:tcBorders>
              <w:top w:val="single" w:color="auto" w:sz="4" w:space="0"/>
              <w:left w:val="nil"/>
              <w:bottom w:val="single" w:color="auto" w:sz="8" w:space="0"/>
              <w:right w:val="single" w:color="auto" w:sz="8" w:space="0"/>
            </w:tcBorders>
            <w:noWrap w:val="0"/>
            <w:vAlign w:val="center"/>
          </w:tcPr>
          <w:p w14:paraId="174DBA7A">
            <w:pPr>
              <w:widowControl w:val="0"/>
              <w:spacing w:line="240" w:lineRule="exact"/>
              <w:jc w:val="center"/>
              <w:rPr>
                <w:rFonts w:eastAsia="楷体_GB2312"/>
                <w:color w:val="000000"/>
                <w:szCs w:val="21"/>
              </w:rPr>
            </w:pPr>
            <w:r>
              <w:rPr>
                <w:rFonts w:eastAsia="楷体_GB2312"/>
                <w:color w:val="000000"/>
                <w:szCs w:val="21"/>
              </w:rPr>
              <w:t>7.69%</w:t>
            </w:r>
          </w:p>
        </w:tc>
        <w:tc>
          <w:tcPr>
            <w:tcW w:w="0" w:type="auto"/>
            <w:tcBorders>
              <w:top w:val="single" w:color="auto" w:sz="4" w:space="0"/>
              <w:left w:val="single" w:color="auto" w:sz="4" w:space="0"/>
              <w:bottom w:val="single" w:color="auto" w:sz="4" w:space="0"/>
              <w:right w:val="single" w:color="auto" w:sz="4" w:space="0"/>
            </w:tcBorders>
            <w:noWrap/>
            <w:vAlign w:val="center"/>
          </w:tcPr>
          <w:p w14:paraId="31A8640C">
            <w:pPr>
              <w:widowControl w:val="0"/>
              <w:spacing w:line="240" w:lineRule="exact"/>
              <w:jc w:val="center"/>
              <w:rPr>
                <w:rFonts w:eastAsia="楷体_GB2312"/>
                <w:b/>
                <w:color w:val="000000"/>
                <w:szCs w:val="21"/>
              </w:rPr>
            </w:pPr>
            <w:r>
              <w:rPr>
                <w:rFonts w:eastAsia="楷体_GB2312"/>
                <w:b/>
                <w:color w:val="000000"/>
                <w:szCs w:val="21"/>
              </w:rPr>
              <w:t>170</w:t>
            </w:r>
          </w:p>
        </w:tc>
        <w:tc>
          <w:tcPr>
            <w:tcW w:w="0" w:type="auto"/>
            <w:tcBorders>
              <w:top w:val="single" w:color="auto" w:sz="4" w:space="0"/>
              <w:left w:val="nil"/>
              <w:bottom w:val="single" w:color="auto" w:sz="8" w:space="0"/>
              <w:right w:val="single" w:color="auto" w:sz="8" w:space="0"/>
            </w:tcBorders>
            <w:noWrap/>
            <w:vAlign w:val="center"/>
          </w:tcPr>
          <w:p w14:paraId="4973BB33">
            <w:pPr>
              <w:widowControl w:val="0"/>
              <w:spacing w:line="240" w:lineRule="exact"/>
              <w:jc w:val="center"/>
              <w:rPr>
                <w:rFonts w:eastAsia="楷体_GB2312"/>
                <w:color w:val="000000"/>
                <w:szCs w:val="21"/>
              </w:rPr>
            </w:pPr>
            <w:r>
              <w:rPr>
                <w:rFonts w:eastAsia="楷体_GB2312"/>
                <w:color w:val="000000"/>
                <w:szCs w:val="21"/>
              </w:rPr>
              <w:t>165</w:t>
            </w:r>
          </w:p>
        </w:tc>
        <w:tc>
          <w:tcPr>
            <w:tcW w:w="0" w:type="auto"/>
            <w:tcBorders>
              <w:top w:val="single" w:color="auto" w:sz="4" w:space="0"/>
              <w:left w:val="nil"/>
              <w:bottom w:val="single" w:color="auto" w:sz="8" w:space="0"/>
              <w:right w:val="single" w:color="auto" w:sz="8" w:space="0"/>
            </w:tcBorders>
            <w:noWrap w:val="0"/>
            <w:vAlign w:val="center"/>
          </w:tcPr>
          <w:p w14:paraId="6259AB7C">
            <w:pPr>
              <w:widowControl w:val="0"/>
              <w:spacing w:line="240" w:lineRule="exact"/>
              <w:jc w:val="center"/>
              <w:rPr>
                <w:rFonts w:eastAsia="楷体_GB2312"/>
                <w:color w:val="000000"/>
                <w:szCs w:val="21"/>
              </w:rPr>
            </w:pPr>
            <w:r>
              <w:rPr>
                <w:rFonts w:eastAsia="楷体_GB2312"/>
                <w:color w:val="000000"/>
                <w:szCs w:val="21"/>
              </w:rPr>
              <w:t>3.03%</w:t>
            </w:r>
          </w:p>
        </w:tc>
      </w:tr>
      <w:tr w14:paraId="23B0FBF0">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2C04FAB4">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5DADD5AA">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50121D2B">
            <w:pPr>
              <w:widowControl w:val="0"/>
              <w:spacing w:line="240" w:lineRule="exact"/>
              <w:jc w:val="center"/>
              <w:rPr>
                <w:rFonts w:eastAsia="楷体_GB2312"/>
                <w:szCs w:val="21"/>
              </w:rPr>
            </w:pPr>
            <w:r>
              <w:rPr>
                <w:rFonts w:eastAsia="楷体_GB2312"/>
                <w:szCs w:val="21"/>
              </w:rPr>
              <w:t>2</w:t>
            </w:r>
          </w:p>
        </w:tc>
        <w:tc>
          <w:tcPr>
            <w:tcW w:w="0" w:type="auto"/>
            <w:tcBorders>
              <w:top w:val="nil"/>
              <w:left w:val="single" w:color="auto" w:sz="4" w:space="0"/>
              <w:bottom w:val="single" w:color="auto" w:sz="4" w:space="0"/>
              <w:right w:val="single" w:color="auto" w:sz="4" w:space="0"/>
            </w:tcBorders>
            <w:noWrap/>
            <w:vAlign w:val="center"/>
          </w:tcPr>
          <w:p w14:paraId="0110C0F1">
            <w:pPr>
              <w:widowControl w:val="0"/>
              <w:spacing w:line="240" w:lineRule="exact"/>
              <w:jc w:val="center"/>
              <w:rPr>
                <w:rFonts w:eastAsia="楷体_GB2312"/>
                <w:b/>
                <w:color w:val="000000"/>
                <w:szCs w:val="21"/>
              </w:rPr>
            </w:pPr>
            <w:r>
              <w:rPr>
                <w:rFonts w:eastAsia="楷体_GB2312"/>
                <w:b/>
                <w:color w:val="000000"/>
                <w:szCs w:val="21"/>
              </w:rPr>
              <w:t>375</w:t>
            </w:r>
          </w:p>
        </w:tc>
        <w:tc>
          <w:tcPr>
            <w:tcW w:w="0" w:type="auto"/>
            <w:tcBorders>
              <w:top w:val="nil"/>
              <w:left w:val="nil"/>
              <w:bottom w:val="single" w:color="auto" w:sz="8" w:space="0"/>
              <w:right w:val="single" w:color="auto" w:sz="8" w:space="0"/>
            </w:tcBorders>
            <w:noWrap/>
            <w:vAlign w:val="center"/>
          </w:tcPr>
          <w:p w14:paraId="0A842C38">
            <w:pPr>
              <w:widowControl w:val="0"/>
              <w:spacing w:line="240" w:lineRule="exact"/>
              <w:jc w:val="center"/>
              <w:rPr>
                <w:rFonts w:eastAsia="楷体_GB2312"/>
                <w:color w:val="000000"/>
                <w:szCs w:val="21"/>
              </w:rPr>
            </w:pPr>
            <w:r>
              <w:rPr>
                <w:rFonts w:eastAsia="楷体_GB2312"/>
                <w:color w:val="000000"/>
                <w:szCs w:val="21"/>
              </w:rPr>
              <w:t>345</w:t>
            </w:r>
          </w:p>
        </w:tc>
        <w:tc>
          <w:tcPr>
            <w:tcW w:w="0" w:type="auto"/>
            <w:tcBorders>
              <w:top w:val="nil"/>
              <w:left w:val="nil"/>
              <w:bottom w:val="single" w:color="auto" w:sz="8" w:space="0"/>
              <w:right w:val="single" w:color="auto" w:sz="8" w:space="0"/>
            </w:tcBorders>
            <w:noWrap w:val="0"/>
            <w:vAlign w:val="center"/>
          </w:tcPr>
          <w:p w14:paraId="664F6159">
            <w:pPr>
              <w:widowControl w:val="0"/>
              <w:spacing w:line="240" w:lineRule="exact"/>
              <w:jc w:val="center"/>
              <w:rPr>
                <w:rFonts w:eastAsia="楷体_GB2312"/>
                <w:color w:val="000000"/>
                <w:szCs w:val="21"/>
              </w:rPr>
            </w:pPr>
            <w:r>
              <w:rPr>
                <w:rFonts w:eastAsia="楷体_GB2312"/>
                <w:color w:val="000000"/>
                <w:szCs w:val="21"/>
              </w:rPr>
              <w:t>8.70%</w:t>
            </w:r>
          </w:p>
        </w:tc>
        <w:tc>
          <w:tcPr>
            <w:tcW w:w="0" w:type="auto"/>
            <w:tcBorders>
              <w:top w:val="nil"/>
              <w:left w:val="single" w:color="auto" w:sz="4" w:space="0"/>
              <w:bottom w:val="single" w:color="auto" w:sz="4" w:space="0"/>
              <w:right w:val="single" w:color="auto" w:sz="4" w:space="0"/>
            </w:tcBorders>
            <w:noWrap/>
            <w:vAlign w:val="center"/>
          </w:tcPr>
          <w:p w14:paraId="5FF2C304">
            <w:pPr>
              <w:widowControl w:val="0"/>
              <w:spacing w:line="240" w:lineRule="exact"/>
              <w:jc w:val="center"/>
              <w:rPr>
                <w:rFonts w:eastAsia="楷体_GB2312"/>
                <w:b/>
                <w:color w:val="000000"/>
                <w:szCs w:val="21"/>
              </w:rPr>
            </w:pPr>
            <w:r>
              <w:rPr>
                <w:rFonts w:eastAsia="楷体_GB2312"/>
                <w:b/>
                <w:color w:val="000000"/>
                <w:szCs w:val="21"/>
              </w:rPr>
              <w:t>270</w:t>
            </w:r>
          </w:p>
        </w:tc>
        <w:tc>
          <w:tcPr>
            <w:tcW w:w="0" w:type="auto"/>
            <w:tcBorders>
              <w:top w:val="nil"/>
              <w:left w:val="nil"/>
              <w:bottom w:val="single" w:color="auto" w:sz="8" w:space="0"/>
              <w:right w:val="single" w:color="auto" w:sz="8" w:space="0"/>
            </w:tcBorders>
            <w:noWrap/>
            <w:vAlign w:val="center"/>
          </w:tcPr>
          <w:p w14:paraId="75FD827E">
            <w:pPr>
              <w:widowControl w:val="0"/>
              <w:spacing w:line="240" w:lineRule="exact"/>
              <w:jc w:val="center"/>
              <w:rPr>
                <w:rFonts w:eastAsia="楷体_GB2312"/>
                <w:color w:val="000000"/>
                <w:szCs w:val="21"/>
              </w:rPr>
            </w:pPr>
            <w:r>
              <w:rPr>
                <w:rFonts w:eastAsia="楷体_GB2312"/>
                <w:color w:val="000000"/>
                <w:szCs w:val="21"/>
              </w:rPr>
              <w:t>220</w:t>
            </w:r>
          </w:p>
        </w:tc>
        <w:tc>
          <w:tcPr>
            <w:tcW w:w="0" w:type="auto"/>
            <w:tcBorders>
              <w:top w:val="nil"/>
              <w:left w:val="nil"/>
              <w:bottom w:val="single" w:color="auto" w:sz="8" w:space="0"/>
              <w:right w:val="single" w:color="auto" w:sz="8" w:space="0"/>
            </w:tcBorders>
            <w:noWrap w:val="0"/>
            <w:vAlign w:val="center"/>
          </w:tcPr>
          <w:p w14:paraId="76EEF4F1">
            <w:pPr>
              <w:widowControl w:val="0"/>
              <w:spacing w:line="240" w:lineRule="exact"/>
              <w:jc w:val="center"/>
              <w:rPr>
                <w:rFonts w:eastAsia="楷体_GB2312"/>
                <w:color w:val="000000"/>
                <w:szCs w:val="21"/>
              </w:rPr>
            </w:pPr>
            <w:r>
              <w:rPr>
                <w:rFonts w:eastAsia="楷体_GB2312"/>
                <w:color w:val="000000"/>
                <w:szCs w:val="21"/>
              </w:rPr>
              <w:t>22.73%</w:t>
            </w:r>
          </w:p>
        </w:tc>
        <w:tc>
          <w:tcPr>
            <w:tcW w:w="0" w:type="auto"/>
            <w:tcBorders>
              <w:top w:val="nil"/>
              <w:left w:val="single" w:color="auto" w:sz="4" w:space="0"/>
              <w:bottom w:val="single" w:color="auto" w:sz="4" w:space="0"/>
              <w:right w:val="single" w:color="auto" w:sz="4" w:space="0"/>
            </w:tcBorders>
            <w:noWrap/>
            <w:vAlign w:val="center"/>
          </w:tcPr>
          <w:p w14:paraId="3126AF72">
            <w:pPr>
              <w:widowControl w:val="0"/>
              <w:spacing w:line="240" w:lineRule="exact"/>
              <w:jc w:val="center"/>
              <w:rPr>
                <w:rFonts w:eastAsia="楷体_GB2312"/>
                <w:b/>
                <w:color w:val="000000"/>
                <w:szCs w:val="21"/>
              </w:rPr>
            </w:pPr>
            <w:r>
              <w:rPr>
                <w:rFonts w:eastAsia="楷体_GB2312"/>
                <w:b/>
                <w:color w:val="000000"/>
                <w:szCs w:val="21"/>
              </w:rPr>
              <w:t>155</w:t>
            </w:r>
          </w:p>
        </w:tc>
        <w:tc>
          <w:tcPr>
            <w:tcW w:w="0" w:type="auto"/>
            <w:tcBorders>
              <w:top w:val="nil"/>
              <w:left w:val="nil"/>
              <w:bottom w:val="single" w:color="auto" w:sz="8" w:space="0"/>
              <w:right w:val="single" w:color="auto" w:sz="8" w:space="0"/>
            </w:tcBorders>
            <w:noWrap/>
            <w:vAlign w:val="center"/>
          </w:tcPr>
          <w:p w14:paraId="29DDF1F3">
            <w:pPr>
              <w:widowControl w:val="0"/>
              <w:spacing w:line="240" w:lineRule="exact"/>
              <w:jc w:val="center"/>
              <w:rPr>
                <w:rFonts w:eastAsia="楷体_GB2312"/>
                <w:color w:val="000000"/>
                <w:szCs w:val="21"/>
              </w:rPr>
            </w:pPr>
            <w:r>
              <w:rPr>
                <w:rFonts w:eastAsia="楷体_GB2312"/>
                <w:color w:val="000000"/>
                <w:szCs w:val="21"/>
              </w:rPr>
              <w:t>150</w:t>
            </w:r>
          </w:p>
        </w:tc>
        <w:tc>
          <w:tcPr>
            <w:tcW w:w="0" w:type="auto"/>
            <w:tcBorders>
              <w:top w:val="nil"/>
              <w:left w:val="nil"/>
              <w:bottom w:val="single" w:color="auto" w:sz="8" w:space="0"/>
              <w:right w:val="single" w:color="auto" w:sz="8" w:space="0"/>
            </w:tcBorders>
            <w:noWrap w:val="0"/>
            <w:vAlign w:val="center"/>
          </w:tcPr>
          <w:p w14:paraId="27406BAF">
            <w:pPr>
              <w:widowControl w:val="0"/>
              <w:spacing w:line="240" w:lineRule="exact"/>
              <w:jc w:val="center"/>
              <w:rPr>
                <w:rFonts w:eastAsia="楷体_GB2312"/>
                <w:color w:val="000000"/>
                <w:szCs w:val="21"/>
              </w:rPr>
            </w:pPr>
            <w:r>
              <w:rPr>
                <w:rFonts w:eastAsia="楷体_GB2312"/>
                <w:color w:val="000000"/>
                <w:szCs w:val="21"/>
              </w:rPr>
              <w:t>3.33%</w:t>
            </w:r>
          </w:p>
        </w:tc>
      </w:tr>
      <w:tr w14:paraId="3B3DAC23">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auto" w:sz="4" w:space="0"/>
              <w:right w:val="single" w:color="auto" w:sz="8" w:space="0"/>
            </w:tcBorders>
            <w:noWrap w:val="0"/>
            <w:vAlign w:val="center"/>
          </w:tcPr>
          <w:p w14:paraId="50CBD422">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auto" w:sz="4" w:space="0"/>
              <w:right w:val="single" w:color="auto" w:sz="8" w:space="0"/>
            </w:tcBorders>
            <w:noWrap w:val="0"/>
            <w:vAlign w:val="center"/>
          </w:tcPr>
          <w:p w14:paraId="597C0DA6">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5ADACDDD">
            <w:pPr>
              <w:widowControl w:val="0"/>
              <w:spacing w:line="240" w:lineRule="exact"/>
              <w:jc w:val="center"/>
              <w:rPr>
                <w:rFonts w:eastAsia="楷体_GB2312"/>
                <w:szCs w:val="21"/>
              </w:rPr>
            </w:pPr>
            <w:r>
              <w:rPr>
                <w:rFonts w:eastAsia="楷体_GB2312"/>
                <w:szCs w:val="21"/>
              </w:rPr>
              <w:t>3</w:t>
            </w:r>
          </w:p>
        </w:tc>
        <w:tc>
          <w:tcPr>
            <w:tcW w:w="0" w:type="auto"/>
            <w:tcBorders>
              <w:top w:val="nil"/>
              <w:left w:val="single" w:color="auto" w:sz="4" w:space="0"/>
              <w:bottom w:val="single" w:color="auto" w:sz="4" w:space="0"/>
              <w:right w:val="single" w:color="auto" w:sz="4" w:space="0"/>
            </w:tcBorders>
            <w:noWrap/>
            <w:vAlign w:val="center"/>
          </w:tcPr>
          <w:p w14:paraId="4DB9563E">
            <w:pPr>
              <w:widowControl w:val="0"/>
              <w:spacing w:line="240" w:lineRule="exact"/>
              <w:jc w:val="center"/>
              <w:rPr>
                <w:rFonts w:eastAsia="楷体_GB2312"/>
                <w:b/>
                <w:color w:val="000000"/>
                <w:szCs w:val="21"/>
              </w:rPr>
            </w:pPr>
            <w:r>
              <w:rPr>
                <w:rFonts w:eastAsia="楷体_GB2312"/>
                <w:b/>
                <w:color w:val="000000"/>
                <w:szCs w:val="21"/>
              </w:rPr>
              <w:t>295</w:t>
            </w:r>
          </w:p>
        </w:tc>
        <w:tc>
          <w:tcPr>
            <w:tcW w:w="0" w:type="auto"/>
            <w:tcBorders>
              <w:top w:val="nil"/>
              <w:left w:val="nil"/>
              <w:bottom w:val="single" w:color="auto" w:sz="8" w:space="0"/>
              <w:right w:val="single" w:color="auto" w:sz="8" w:space="0"/>
            </w:tcBorders>
            <w:noWrap/>
            <w:vAlign w:val="center"/>
          </w:tcPr>
          <w:p w14:paraId="252B819E">
            <w:pPr>
              <w:widowControl w:val="0"/>
              <w:spacing w:line="240" w:lineRule="exact"/>
              <w:jc w:val="center"/>
              <w:rPr>
                <w:rFonts w:eastAsia="楷体_GB2312"/>
                <w:color w:val="000000"/>
                <w:szCs w:val="21"/>
              </w:rPr>
            </w:pPr>
            <w:r>
              <w:rPr>
                <w:rFonts w:eastAsia="楷体_GB2312"/>
                <w:color w:val="000000"/>
                <w:szCs w:val="21"/>
              </w:rPr>
              <w:t>285</w:t>
            </w:r>
          </w:p>
        </w:tc>
        <w:tc>
          <w:tcPr>
            <w:tcW w:w="0" w:type="auto"/>
            <w:tcBorders>
              <w:top w:val="nil"/>
              <w:left w:val="nil"/>
              <w:bottom w:val="single" w:color="auto" w:sz="8" w:space="0"/>
              <w:right w:val="single" w:color="auto" w:sz="8" w:space="0"/>
            </w:tcBorders>
            <w:noWrap w:val="0"/>
            <w:vAlign w:val="center"/>
          </w:tcPr>
          <w:p w14:paraId="23D6AC6C">
            <w:pPr>
              <w:widowControl w:val="0"/>
              <w:spacing w:line="240" w:lineRule="exact"/>
              <w:jc w:val="center"/>
              <w:rPr>
                <w:rFonts w:eastAsia="楷体_GB2312"/>
                <w:color w:val="000000"/>
                <w:szCs w:val="21"/>
              </w:rPr>
            </w:pPr>
            <w:r>
              <w:rPr>
                <w:rFonts w:eastAsia="楷体_GB2312"/>
                <w:color w:val="000000"/>
                <w:szCs w:val="21"/>
              </w:rPr>
              <w:t>3.51%</w:t>
            </w:r>
          </w:p>
        </w:tc>
        <w:tc>
          <w:tcPr>
            <w:tcW w:w="0" w:type="auto"/>
            <w:tcBorders>
              <w:top w:val="nil"/>
              <w:left w:val="single" w:color="auto" w:sz="4" w:space="0"/>
              <w:bottom w:val="single" w:color="auto" w:sz="4" w:space="0"/>
              <w:right w:val="single" w:color="auto" w:sz="4" w:space="0"/>
            </w:tcBorders>
            <w:noWrap/>
            <w:vAlign w:val="center"/>
          </w:tcPr>
          <w:p w14:paraId="31D49AC8">
            <w:pPr>
              <w:widowControl w:val="0"/>
              <w:spacing w:line="240" w:lineRule="exact"/>
              <w:jc w:val="center"/>
              <w:rPr>
                <w:rFonts w:eastAsia="楷体_GB2312"/>
                <w:b/>
                <w:color w:val="000000"/>
                <w:szCs w:val="21"/>
              </w:rPr>
            </w:pPr>
            <w:r>
              <w:rPr>
                <w:rFonts w:eastAsia="楷体_GB2312"/>
                <w:b/>
                <w:color w:val="000000"/>
                <w:szCs w:val="21"/>
              </w:rPr>
              <w:t>205</w:t>
            </w:r>
          </w:p>
        </w:tc>
        <w:tc>
          <w:tcPr>
            <w:tcW w:w="0" w:type="auto"/>
            <w:tcBorders>
              <w:top w:val="nil"/>
              <w:left w:val="nil"/>
              <w:bottom w:val="single" w:color="auto" w:sz="8" w:space="0"/>
              <w:right w:val="single" w:color="auto" w:sz="8" w:space="0"/>
            </w:tcBorders>
            <w:noWrap/>
            <w:vAlign w:val="center"/>
          </w:tcPr>
          <w:p w14:paraId="1933A116">
            <w:pPr>
              <w:widowControl w:val="0"/>
              <w:spacing w:line="240" w:lineRule="exact"/>
              <w:jc w:val="center"/>
              <w:rPr>
                <w:rFonts w:eastAsia="楷体_GB2312"/>
                <w:color w:val="000000"/>
                <w:szCs w:val="21"/>
              </w:rPr>
            </w:pPr>
            <w:r>
              <w:rPr>
                <w:rFonts w:eastAsia="楷体_GB2312"/>
                <w:color w:val="000000"/>
                <w:szCs w:val="21"/>
              </w:rPr>
              <w:t>190</w:t>
            </w:r>
          </w:p>
        </w:tc>
        <w:tc>
          <w:tcPr>
            <w:tcW w:w="0" w:type="auto"/>
            <w:tcBorders>
              <w:top w:val="nil"/>
              <w:left w:val="nil"/>
              <w:bottom w:val="single" w:color="auto" w:sz="8" w:space="0"/>
              <w:right w:val="single" w:color="auto" w:sz="8" w:space="0"/>
            </w:tcBorders>
            <w:noWrap w:val="0"/>
            <w:vAlign w:val="center"/>
          </w:tcPr>
          <w:p w14:paraId="081AA9BD">
            <w:pPr>
              <w:widowControl w:val="0"/>
              <w:spacing w:line="240" w:lineRule="exact"/>
              <w:jc w:val="center"/>
              <w:rPr>
                <w:rFonts w:eastAsia="楷体_GB2312"/>
                <w:color w:val="000000"/>
                <w:szCs w:val="21"/>
              </w:rPr>
            </w:pPr>
            <w:r>
              <w:rPr>
                <w:rFonts w:eastAsia="楷体_GB2312"/>
                <w:color w:val="000000"/>
                <w:szCs w:val="21"/>
              </w:rPr>
              <w:t>7.89%</w:t>
            </w:r>
          </w:p>
        </w:tc>
        <w:tc>
          <w:tcPr>
            <w:tcW w:w="0" w:type="auto"/>
            <w:tcBorders>
              <w:top w:val="nil"/>
              <w:left w:val="single" w:color="auto" w:sz="4" w:space="0"/>
              <w:bottom w:val="single" w:color="auto" w:sz="4" w:space="0"/>
              <w:right w:val="single" w:color="auto" w:sz="4" w:space="0"/>
            </w:tcBorders>
            <w:noWrap/>
            <w:vAlign w:val="center"/>
          </w:tcPr>
          <w:p w14:paraId="02913CB0">
            <w:pPr>
              <w:widowControl w:val="0"/>
              <w:spacing w:line="240" w:lineRule="exact"/>
              <w:jc w:val="center"/>
              <w:rPr>
                <w:rFonts w:eastAsia="楷体_GB2312"/>
                <w:b/>
                <w:color w:val="000000"/>
                <w:szCs w:val="21"/>
              </w:rPr>
            </w:pPr>
            <w:r>
              <w:rPr>
                <w:rFonts w:eastAsia="楷体_GB2312"/>
                <w:b/>
                <w:color w:val="000000"/>
                <w:szCs w:val="21"/>
              </w:rPr>
              <w:t>144</w:t>
            </w:r>
          </w:p>
        </w:tc>
        <w:tc>
          <w:tcPr>
            <w:tcW w:w="0" w:type="auto"/>
            <w:tcBorders>
              <w:top w:val="nil"/>
              <w:left w:val="nil"/>
              <w:bottom w:val="single" w:color="auto" w:sz="8" w:space="0"/>
              <w:right w:val="single" w:color="auto" w:sz="8" w:space="0"/>
            </w:tcBorders>
            <w:noWrap/>
            <w:vAlign w:val="center"/>
          </w:tcPr>
          <w:p w14:paraId="55A0E6BE">
            <w:pPr>
              <w:widowControl w:val="0"/>
              <w:spacing w:line="240" w:lineRule="exact"/>
              <w:jc w:val="center"/>
              <w:rPr>
                <w:rFonts w:eastAsia="楷体_GB2312"/>
                <w:color w:val="000000"/>
                <w:szCs w:val="21"/>
              </w:rPr>
            </w:pPr>
            <w:r>
              <w:rPr>
                <w:rFonts w:eastAsia="楷体_GB2312"/>
                <w:color w:val="000000"/>
                <w:szCs w:val="21"/>
              </w:rPr>
              <w:t>144</w:t>
            </w:r>
          </w:p>
        </w:tc>
        <w:tc>
          <w:tcPr>
            <w:tcW w:w="0" w:type="auto"/>
            <w:tcBorders>
              <w:top w:val="nil"/>
              <w:left w:val="nil"/>
              <w:bottom w:val="single" w:color="auto" w:sz="8" w:space="0"/>
              <w:right w:val="single" w:color="auto" w:sz="8" w:space="0"/>
            </w:tcBorders>
            <w:noWrap w:val="0"/>
            <w:vAlign w:val="center"/>
          </w:tcPr>
          <w:p w14:paraId="7073B29B">
            <w:pPr>
              <w:widowControl w:val="0"/>
              <w:spacing w:line="240" w:lineRule="exact"/>
              <w:jc w:val="center"/>
              <w:rPr>
                <w:rFonts w:eastAsia="楷体_GB2312"/>
                <w:color w:val="000000"/>
                <w:szCs w:val="21"/>
              </w:rPr>
            </w:pPr>
            <w:r>
              <w:rPr>
                <w:rFonts w:eastAsia="楷体_GB2312"/>
                <w:color w:val="000000"/>
                <w:szCs w:val="21"/>
              </w:rPr>
              <w:t>0.00%</w:t>
            </w:r>
          </w:p>
        </w:tc>
      </w:tr>
      <w:tr w14:paraId="61725D4A">
        <w:tblPrEx>
          <w:tblCellMar>
            <w:top w:w="0" w:type="dxa"/>
            <w:left w:w="108" w:type="dxa"/>
            <w:bottom w:w="0" w:type="dxa"/>
            <w:right w:w="108" w:type="dxa"/>
          </w:tblCellMar>
        </w:tblPrEx>
        <w:trPr>
          <w:trHeight w:val="20" w:hRule="atLeast"/>
          <w:jc w:val="center"/>
        </w:trPr>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252A1F25">
            <w:pPr>
              <w:widowControl w:val="0"/>
              <w:spacing w:line="240" w:lineRule="exact"/>
              <w:jc w:val="center"/>
              <w:rPr>
                <w:rFonts w:eastAsia="楷体_GB2312"/>
                <w:szCs w:val="21"/>
              </w:rPr>
            </w:pPr>
            <w:r>
              <w:rPr>
                <w:rFonts w:eastAsia="楷体_GB2312"/>
                <w:szCs w:val="21"/>
              </w:rPr>
              <w:t>14</w:t>
            </w:r>
          </w:p>
        </w:tc>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11E56966">
            <w:pPr>
              <w:widowControl w:val="0"/>
              <w:spacing w:line="240" w:lineRule="exact"/>
              <w:jc w:val="center"/>
              <w:rPr>
                <w:rFonts w:eastAsia="楷体_GB2312"/>
                <w:color w:val="000000"/>
                <w:szCs w:val="21"/>
              </w:rPr>
            </w:pPr>
            <w:r>
              <w:rPr>
                <w:rFonts w:eastAsia="楷体_GB2312"/>
                <w:color w:val="000000"/>
                <w:szCs w:val="21"/>
              </w:rPr>
              <w:t>顺河镇</w:t>
            </w:r>
          </w:p>
        </w:tc>
        <w:tc>
          <w:tcPr>
            <w:tcW w:w="0" w:type="auto"/>
            <w:tcBorders>
              <w:top w:val="nil"/>
              <w:left w:val="nil"/>
              <w:bottom w:val="single" w:color="auto" w:sz="8" w:space="0"/>
              <w:right w:val="single" w:color="auto" w:sz="8" w:space="0"/>
            </w:tcBorders>
            <w:noWrap w:val="0"/>
            <w:vAlign w:val="center"/>
          </w:tcPr>
          <w:p w14:paraId="0C1C33EE">
            <w:pPr>
              <w:widowControl w:val="0"/>
              <w:spacing w:line="240" w:lineRule="exact"/>
              <w:jc w:val="center"/>
              <w:rPr>
                <w:rFonts w:eastAsia="楷体_GB2312"/>
                <w:szCs w:val="21"/>
              </w:rPr>
            </w:pPr>
            <w:r>
              <w:rPr>
                <w:rFonts w:eastAsia="楷体_GB2312"/>
                <w:szCs w:val="21"/>
              </w:rPr>
              <w:t>1</w:t>
            </w:r>
          </w:p>
        </w:tc>
        <w:tc>
          <w:tcPr>
            <w:tcW w:w="0" w:type="auto"/>
            <w:tcBorders>
              <w:top w:val="nil"/>
              <w:left w:val="single" w:color="auto" w:sz="4" w:space="0"/>
              <w:bottom w:val="single" w:color="auto" w:sz="4" w:space="0"/>
              <w:right w:val="single" w:color="auto" w:sz="4" w:space="0"/>
            </w:tcBorders>
            <w:noWrap/>
            <w:vAlign w:val="center"/>
          </w:tcPr>
          <w:p w14:paraId="4A5D15DF">
            <w:pPr>
              <w:widowControl w:val="0"/>
              <w:spacing w:line="240" w:lineRule="exact"/>
              <w:jc w:val="center"/>
              <w:rPr>
                <w:rFonts w:eastAsia="楷体_GB2312"/>
                <w:b/>
                <w:color w:val="000000"/>
                <w:szCs w:val="21"/>
              </w:rPr>
            </w:pPr>
            <w:r>
              <w:rPr>
                <w:rFonts w:eastAsia="楷体_GB2312"/>
                <w:b/>
                <w:color w:val="000000"/>
                <w:szCs w:val="21"/>
              </w:rPr>
              <w:t>470</w:t>
            </w:r>
          </w:p>
        </w:tc>
        <w:tc>
          <w:tcPr>
            <w:tcW w:w="0" w:type="auto"/>
            <w:tcBorders>
              <w:top w:val="nil"/>
              <w:left w:val="nil"/>
              <w:bottom w:val="single" w:color="auto" w:sz="8" w:space="0"/>
              <w:right w:val="single" w:color="auto" w:sz="8" w:space="0"/>
            </w:tcBorders>
            <w:noWrap/>
            <w:vAlign w:val="center"/>
          </w:tcPr>
          <w:p w14:paraId="4F665B4E">
            <w:pPr>
              <w:widowControl w:val="0"/>
              <w:spacing w:line="240" w:lineRule="exact"/>
              <w:jc w:val="center"/>
              <w:rPr>
                <w:rFonts w:eastAsia="楷体_GB2312"/>
                <w:color w:val="000000"/>
                <w:szCs w:val="21"/>
              </w:rPr>
            </w:pPr>
            <w:r>
              <w:rPr>
                <w:rFonts w:eastAsia="楷体_GB2312"/>
                <w:color w:val="000000"/>
                <w:szCs w:val="21"/>
              </w:rPr>
              <w:t>454</w:t>
            </w:r>
          </w:p>
        </w:tc>
        <w:tc>
          <w:tcPr>
            <w:tcW w:w="0" w:type="auto"/>
            <w:tcBorders>
              <w:top w:val="nil"/>
              <w:left w:val="nil"/>
              <w:bottom w:val="single" w:color="auto" w:sz="8" w:space="0"/>
              <w:right w:val="single" w:color="auto" w:sz="8" w:space="0"/>
            </w:tcBorders>
            <w:noWrap w:val="0"/>
            <w:vAlign w:val="center"/>
          </w:tcPr>
          <w:p w14:paraId="48F3C796">
            <w:pPr>
              <w:widowControl w:val="0"/>
              <w:spacing w:line="240" w:lineRule="exact"/>
              <w:jc w:val="center"/>
              <w:rPr>
                <w:rFonts w:eastAsia="楷体_GB2312"/>
                <w:color w:val="000000"/>
                <w:szCs w:val="21"/>
              </w:rPr>
            </w:pPr>
            <w:r>
              <w:rPr>
                <w:rFonts w:eastAsia="楷体_GB2312"/>
                <w:color w:val="000000"/>
                <w:szCs w:val="21"/>
              </w:rPr>
              <w:t>3.52%</w:t>
            </w:r>
          </w:p>
        </w:tc>
        <w:tc>
          <w:tcPr>
            <w:tcW w:w="0" w:type="auto"/>
            <w:tcBorders>
              <w:top w:val="nil"/>
              <w:left w:val="single" w:color="auto" w:sz="4" w:space="0"/>
              <w:bottom w:val="single" w:color="auto" w:sz="4" w:space="0"/>
              <w:right w:val="single" w:color="auto" w:sz="4" w:space="0"/>
            </w:tcBorders>
            <w:noWrap/>
            <w:vAlign w:val="center"/>
          </w:tcPr>
          <w:p w14:paraId="28B13891">
            <w:pPr>
              <w:widowControl w:val="0"/>
              <w:spacing w:line="240" w:lineRule="exact"/>
              <w:jc w:val="center"/>
              <w:rPr>
                <w:rFonts w:eastAsia="楷体_GB2312"/>
                <w:b/>
                <w:color w:val="000000"/>
                <w:szCs w:val="21"/>
              </w:rPr>
            </w:pPr>
            <w:r>
              <w:rPr>
                <w:rFonts w:eastAsia="楷体_GB2312"/>
                <w:b/>
                <w:color w:val="000000"/>
                <w:szCs w:val="21"/>
              </w:rPr>
              <w:t>340</w:t>
            </w:r>
          </w:p>
        </w:tc>
        <w:tc>
          <w:tcPr>
            <w:tcW w:w="0" w:type="auto"/>
            <w:tcBorders>
              <w:top w:val="nil"/>
              <w:left w:val="nil"/>
              <w:bottom w:val="single" w:color="auto" w:sz="8" w:space="0"/>
              <w:right w:val="single" w:color="auto" w:sz="8" w:space="0"/>
            </w:tcBorders>
            <w:noWrap/>
            <w:vAlign w:val="center"/>
          </w:tcPr>
          <w:p w14:paraId="2442E273">
            <w:pPr>
              <w:widowControl w:val="0"/>
              <w:spacing w:line="240" w:lineRule="exact"/>
              <w:jc w:val="center"/>
              <w:rPr>
                <w:rFonts w:eastAsia="楷体_GB2312"/>
                <w:color w:val="000000"/>
                <w:szCs w:val="21"/>
              </w:rPr>
            </w:pPr>
            <w:r>
              <w:rPr>
                <w:rFonts w:eastAsia="楷体_GB2312"/>
                <w:color w:val="000000"/>
                <w:szCs w:val="21"/>
              </w:rPr>
              <w:t>320</w:t>
            </w:r>
          </w:p>
        </w:tc>
        <w:tc>
          <w:tcPr>
            <w:tcW w:w="0" w:type="auto"/>
            <w:tcBorders>
              <w:top w:val="nil"/>
              <w:left w:val="nil"/>
              <w:bottom w:val="single" w:color="auto" w:sz="8" w:space="0"/>
              <w:right w:val="single" w:color="auto" w:sz="8" w:space="0"/>
            </w:tcBorders>
            <w:noWrap w:val="0"/>
            <w:vAlign w:val="center"/>
          </w:tcPr>
          <w:p w14:paraId="5290F01E">
            <w:pPr>
              <w:widowControl w:val="0"/>
              <w:spacing w:line="240" w:lineRule="exact"/>
              <w:jc w:val="center"/>
              <w:rPr>
                <w:rFonts w:eastAsia="楷体_GB2312"/>
                <w:color w:val="000000"/>
                <w:szCs w:val="21"/>
              </w:rPr>
            </w:pPr>
            <w:r>
              <w:rPr>
                <w:rFonts w:eastAsia="楷体_GB2312"/>
                <w:color w:val="000000"/>
                <w:szCs w:val="21"/>
              </w:rPr>
              <w:t>6.25%</w:t>
            </w:r>
          </w:p>
        </w:tc>
        <w:tc>
          <w:tcPr>
            <w:tcW w:w="0" w:type="auto"/>
            <w:tcBorders>
              <w:top w:val="nil"/>
              <w:left w:val="single" w:color="auto" w:sz="4" w:space="0"/>
              <w:bottom w:val="single" w:color="auto" w:sz="4" w:space="0"/>
              <w:right w:val="single" w:color="auto" w:sz="4" w:space="0"/>
            </w:tcBorders>
            <w:noWrap/>
            <w:vAlign w:val="center"/>
          </w:tcPr>
          <w:p w14:paraId="5457AA7D">
            <w:pPr>
              <w:widowControl w:val="0"/>
              <w:spacing w:line="240" w:lineRule="exact"/>
              <w:jc w:val="center"/>
              <w:rPr>
                <w:rFonts w:eastAsia="楷体_GB2312"/>
                <w:b/>
                <w:color w:val="000000"/>
                <w:szCs w:val="21"/>
              </w:rPr>
            </w:pPr>
            <w:r>
              <w:rPr>
                <w:rFonts w:eastAsia="楷体_GB2312"/>
                <w:b/>
                <w:color w:val="000000"/>
                <w:szCs w:val="21"/>
              </w:rPr>
              <w:t>170</w:t>
            </w:r>
          </w:p>
        </w:tc>
        <w:tc>
          <w:tcPr>
            <w:tcW w:w="0" w:type="auto"/>
            <w:tcBorders>
              <w:top w:val="nil"/>
              <w:left w:val="nil"/>
              <w:bottom w:val="single" w:color="auto" w:sz="8" w:space="0"/>
              <w:right w:val="single" w:color="auto" w:sz="8" w:space="0"/>
            </w:tcBorders>
            <w:noWrap/>
            <w:vAlign w:val="center"/>
          </w:tcPr>
          <w:p w14:paraId="412336F6">
            <w:pPr>
              <w:widowControl w:val="0"/>
              <w:spacing w:line="240" w:lineRule="exact"/>
              <w:jc w:val="center"/>
              <w:rPr>
                <w:rFonts w:eastAsia="楷体_GB2312"/>
                <w:color w:val="000000"/>
                <w:szCs w:val="21"/>
              </w:rPr>
            </w:pPr>
            <w:r>
              <w:rPr>
                <w:rFonts w:eastAsia="楷体_GB2312"/>
                <w:color w:val="000000"/>
                <w:szCs w:val="21"/>
              </w:rPr>
              <w:t>165</w:t>
            </w:r>
          </w:p>
        </w:tc>
        <w:tc>
          <w:tcPr>
            <w:tcW w:w="0" w:type="auto"/>
            <w:tcBorders>
              <w:top w:val="nil"/>
              <w:left w:val="nil"/>
              <w:bottom w:val="single" w:color="auto" w:sz="8" w:space="0"/>
              <w:right w:val="single" w:color="auto" w:sz="8" w:space="0"/>
            </w:tcBorders>
            <w:noWrap w:val="0"/>
            <w:vAlign w:val="center"/>
          </w:tcPr>
          <w:p w14:paraId="4C8CEF9E">
            <w:pPr>
              <w:widowControl w:val="0"/>
              <w:spacing w:line="240" w:lineRule="exact"/>
              <w:jc w:val="center"/>
              <w:rPr>
                <w:rFonts w:eastAsia="楷体_GB2312"/>
                <w:color w:val="000000"/>
                <w:szCs w:val="21"/>
              </w:rPr>
            </w:pPr>
            <w:r>
              <w:rPr>
                <w:rFonts w:eastAsia="楷体_GB2312"/>
                <w:color w:val="000000"/>
                <w:szCs w:val="21"/>
              </w:rPr>
              <w:t>3.03%</w:t>
            </w:r>
          </w:p>
        </w:tc>
      </w:tr>
      <w:tr w14:paraId="5BA01C38">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60D5BC83">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69CCC0B8">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4D83EBAB">
            <w:pPr>
              <w:widowControl w:val="0"/>
              <w:spacing w:line="240" w:lineRule="exact"/>
              <w:jc w:val="center"/>
              <w:rPr>
                <w:rFonts w:eastAsia="楷体_GB2312"/>
                <w:szCs w:val="21"/>
              </w:rPr>
            </w:pPr>
            <w:r>
              <w:rPr>
                <w:rFonts w:eastAsia="楷体_GB2312"/>
                <w:szCs w:val="21"/>
              </w:rPr>
              <w:t>2</w:t>
            </w:r>
          </w:p>
        </w:tc>
        <w:tc>
          <w:tcPr>
            <w:tcW w:w="0" w:type="auto"/>
            <w:tcBorders>
              <w:top w:val="nil"/>
              <w:left w:val="single" w:color="auto" w:sz="4" w:space="0"/>
              <w:bottom w:val="single" w:color="auto" w:sz="4" w:space="0"/>
              <w:right w:val="single" w:color="auto" w:sz="4" w:space="0"/>
            </w:tcBorders>
            <w:noWrap/>
            <w:vAlign w:val="center"/>
          </w:tcPr>
          <w:p w14:paraId="3A50DB4E">
            <w:pPr>
              <w:widowControl w:val="0"/>
              <w:spacing w:line="240" w:lineRule="exact"/>
              <w:jc w:val="center"/>
              <w:rPr>
                <w:rFonts w:eastAsia="楷体_GB2312"/>
                <w:b/>
                <w:color w:val="000000"/>
                <w:szCs w:val="21"/>
              </w:rPr>
            </w:pPr>
            <w:r>
              <w:rPr>
                <w:rFonts w:eastAsia="楷体_GB2312"/>
                <w:b/>
                <w:color w:val="000000"/>
                <w:szCs w:val="21"/>
              </w:rPr>
              <w:t>370</w:t>
            </w:r>
          </w:p>
        </w:tc>
        <w:tc>
          <w:tcPr>
            <w:tcW w:w="0" w:type="auto"/>
            <w:tcBorders>
              <w:top w:val="nil"/>
              <w:left w:val="nil"/>
              <w:bottom w:val="single" w:color="auto" w:sz="8" w:space="0"/>
              <w:right w:val="single" w:color="auto" w:sz="8" w:space="0"/>
            </w:tcBorders>
            <w:noWrap/>
            <w:vAlign w:val="center"/>
          </w:tcPr>
          <w:p w14:paraId="43CDE27E">
            <w:pPr>
              <w:widowControl w:val="0"/>
              <w:spacing w:line="240" w:lineRule="exact"/>
              <w:jc w:val="center"/>
              <w:rPr>
                <w:rFonts w:eastAsia="楷体_GB2312"/>
                <w:color w:val="000000"/>
                <w:szCs w:val="21"/>
              </w:rPr>
            </w:pPr>
            <w:r>
              <w:rPr>
                <w:rFonts w:eastAsia="楷体_GB2312"/>
                <w:color w:val="000000"/>
                <w:szCs w:val="21"/>
              </w:rPr>
              <w:t>340</w:t>
            </w:r>
          </w:p>
        </w:tc>
        <w:tc>
          <w:tcPr>
            <w:tcW w:w="0" w:type="auto"/>
            <w:tcBorders>
              <w:top w:val="nil"/>
              <w:left w:val="nil"/>
              <w:bottom w:val="single" w:color="auto" w:sz="8" w:space="0"/>
              <w:right w:val="single" w:color="auto" w:sz="8" w:space="0"/>
            </w:tcBorders>
            <w:noWrap w:val="0"/>
            <w:vAlign w:val="center"/>
          </w:tcPr>
          <w:p w14:paraId="53BE3671">
            <w:pPr>
              <w:widowControl w:val="0"/>
              <w:spacing w:line="240" w:lineRule="exact"/>
              <w:jc w:val="center"/>
              <w:rPr>
                <w:rFonts w:eastAsia="楷体_GB2312"/>
                <w:color w:val="000000"/>
                <w:szCs w:val="21"/>
              </w:rPr>
            </w:pPr>
            <w:r>
              <w:rPr>
                <w:rFonts w:eastAsia="楷体_GB2312"/>
                <w:color w:val="000000"/>
                <w:szCs w:val="21"/>
              </w:rPr>
              <w:t>8.82%</w:t>
            </w:r>
          </w:p>
        </w:tc>
        <w:tc>
          <w:tcPr>
            <w:tcW w:w="0" w:type="auto"/>
            <w:tcBorders>
              <w:top w:val="nil"/>
              <w:left w:val="single" w:color="auto" w:sz="4" w:space="0"/>
              <w:bottom w:val="single" w:color="auto" w:sz="4" w:space="0"/>
              <w:right w:val="single" w:color="auto" w:sz="4" w:space="0"/>
            </w:tcBorders>
            <w:noWrap/>
            <w:vAlign w:val="center"/>
          </w:tcPr>
          <w:p w14:paraId="12B4694C">
            <w:pPr>
              <w:widowControl w:val="0"/>
              <w:spacing w:line="240" w:lineRule="exact"/>
              <w:jc w:val="center"/>
              <w:rPr>
                <w:rFonts w:eastAsia="楷体_GB2312"/>
                <w:b/>
                <w:color w:val="000000"/>
                <w:szCs w:val="21"/>
              </w:rPr>
            </w:pPr>
            <w:r>
              <w:rPr>
                <w:rFonts w:eastAsia="楷体_GB2312"/>
                <w:b/>
                <w:color w:val="000000"/>
                <w:szCs w:val="21"/>
              </w:rPr>
              <w:t>265</w:t>
            </w:r>
          </w:p>
        </w:tc>
        <w:tc>
          <w:tcPr>
            <w:tcW w:w="0" w:type="auto"/>
            <w:tcBorders>
              <w:top w:val="nil"/>
              <w:left w:val="nil"/>
              <w:bottom w:val="single" w:color="auto" w:sz="8" w:space="0"/>
              <w:right w:val="single" w:color="auto" w:sz="8" w:space="0"/>
            </w:tcBorders>
            <w:noWrap/>
            <w:vAlign w:val="center"/>
          </w:tcPr>
          <w:p w14:paraId="75651342">
            <w:pPr>
              <w:widowControl w:val="0"/>
              <w:spacing w:line="240" w:lineRule="exact"/>
              <w:jc w:val="center"/>
              <w:rPr>
                <w:rFonts w:eastAsia="楷体_GB2312"/>
                <w:color w:val="000000"/>
                <w:szCs w:val="21"/>
              </w:rPr>
            </w:pPr>
            <w:r>
              <w:rPr>
                <w:rFonts w:eastAsia="楷体_GB2312"/>
                <w:color w:val="000000"/>
                <w:szCs w:val="21"/>
              </w:rPr>
              <w:t>220</w:t>
            </w:r>
          </w:p>
        </w:tc>
        <w:tc>
          <w:tcPr>
            <w:tcW w:w="0" w:type="auto"/>
            <w:tcBorders>
              <w:top w:val="nil"/>
              <w:left w:val="nil"/>
              <w:bottom w:val="single" w:color="auto" w:sz="8" w:space="0"/>
              <w:right w:val="single" w:color="auto" w:sz="8" w:space="0"/>
            </w:tcBorders>
            <w:noWrap w:val="0"/>
            <w:vAlign w:val="center"/>
          </w:tcPr>
          <w:p w14:paraId="51C54645">
            <w:pPr>
              <w:widowControl w:val="0"/>
              <w:spacing w:line="240" w:lineRule="exact"/>
              <w:jc w:val="center"/>
              <w:rPr>
                <w:rFonts w:eastAsia="楷体_GB2312"/>
                <w:color w:val="000000"/>
                <w:szCs w:val="21"/>
              </w:rPr>
            </w:pPr>
            <w:r>
              <w:rPr>
                <w:rFonts w:eastAsia="楷体_GB2312"/>
                <w:color w:val="000000"/>
                <w:szCs w:val="21"/>
              </w:rPr>
              <w:t>20.45%</w:t>
            </w:r>
          </w:p>
        </w:tc>
        <w:tc>
          <w:tcPr>
            <w:tcW w:w="0" w:type="auto"/>
            <w:tcBorders>
              <w:top w:val="nil"/>
              <w:left w:val="single" w:color="auto" w:sz="4" w:space="0"/>
              <w:bottom w:val="single" w:color="auto" w:sz="4" w:space="0"/>
              <w:right w:val="single" w:color="auto" w:sz="4" w:space="0"/>
            </w:tcBorders>
            <w:noWrap/>
            <w:vAlign w:val="center"/>
          </w:tcPr>
          <w:p w14:paraId="29B62E12">
            <w:pPr>
              <w:widowControl w:val="0"/>
              <w:spacing w:line="240" w:lineRule="exact"/>
              <w:jc w:val="center"/>
              <w:rPr>
                <w:rFonts w:eastAsia="楷体_GB2312"/>
                <w:b/>
                <w:color w:val="000000"/>
                <w:szCs w:val="21"/>
              </w:rPr>
            </w:pPr>
            <w:r>
              <w:rPr>
                <w:rFonts w:eastAsia="楷体_GB2312"/>
                <w:b/>
                <w:color w:val="000000"/>
                <w:szCs w:val="21"/>
              </w:rPr>
              <w:t>155</w:t>
            </w:r>
          </w:p>
        </w:tc>
        <w:tc>
          <w:tcPr>
            <w:tcW w:w="0" w:type="auto"/>
            <w:tcBorders>
              <w:top w:val="nil"/>
              <w:left w:val="nil"/>
              <w:bottom w:val="single" w:color="auto" w:sz="8" w:space="0"/>
              <w:right w:val="single" w:color="auto" w:sz="8" w:space="0"/>
            </w:tcBorders>
            <w:noWrap/>
            <w:vAlign w:val="center"/>
          </w:tcPr>
          <w:p w14:paraId="0C20F53D">
            <w:pPr>
              <w:widowControl w:val="0"/>
              <w:spacing w:line="240" w:lineRule="exact"/>
              <w:jc w:val="center"/>
              <w:rPr>
                <w:rFonts w:eastAsia="楷体_GB2312"/>
                <w:color w:val="000000"/>
                <w:szCs w:val="21"/>
              </w:rPr>
            </w:pPr>
            <w:r>
              <w:rPr>
                <w:rFonts w:eastAsia="楷体_GB2312"/>
                <w:color w:val="000000"/>
                <w:szCs w:val="21"/>
              </w:rPr>
              <w:t>150</w:t>
            </w:r>
          </w:p>
        </w:tc>
        <w:tc>
          <w:tcPr>
            <w:tcW w:w="0" w:type="auto"/>
            <w:tcBorders>
              <w:top w:val="nil"/>
              <w:left w:val="nil"/>
              <w:bottom w:val="single" w:color="auto" w:sz="8" w:space="0"/>
              <w:right w:val="single" w:color="auto" w:sz="8" w:space="0"/>
            </w:tcBorders>
            <w:noWrap w:val="0"/>
            <w:vAlign w:val="center"/>
          </w:tcPr>
          <w:p w14:paraId="0118657E">
            <w:pPr>
              <w:widowControl w:val="0"/>
              <w:spacing w:line="240" w:lineRule="exact"/>
              <w:jc w:val="center"/>
              <w:rPr>
                <w:rFonts w:eastAsia="楷体_GB2312"/>
                <w:color w:val="000000"/>
                <w:szCs w:val="21"/>
              </w:rPr>
            </w:pPr>
            <w:r>
              <w:rPr>
                <w:rFonts w:eastAsia="楷体_GB2312"/>
                <w:color w:val="000000"/>
                <w:szCs w:val="21"/>
              </w:rPr>
              <w:t>3.33%</w:t>
            </w:r>
          </w:p>
        </w:tc>
      </w:tr>
      <w:tr w14:paraId="34266F9F">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auto" w:sz="4" w:space="0"/>
              <w:right w:val="single" w:color="auto" w:sz="8" w:space="0"/>
            </w:tcBorders>
            <w:noWrap w:val="0"/>
            <w:vAlign w:val="center"/>
          </w:tcPr>
          <w:p w14:paraId="14EF9572">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auto" w:sz="4" w:space="0"/>
              <w:right w:val="single" w:color="auto" w:sz="8" w:space="0"/>
            </w:tcBorders>
            <w:noWrap w:val="0"/>
            <w:vAlign w:val="center"/>
          </w:tcPr>
          <w:p w14:paraId="0ABB47F5">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6F47D7E0">
            <w:pPr>
              <w:widowControl w:val="0"/>
              <w:spacing w:line="240" w:lineRule="exact"/>
              <w:jc w:val="center"/>
              <w:rPr>
                <w:rFonts w:eastAsia="楷体_GB2312"/>
                <w:szCs w:val="21"/>
              </w:rPr>
            </w:pPr>
            <w:r>
              <w:rPr>
                <w:rFonts w:eastAsia="楷体_GB2312"/>
                <w:szCs w:val="21"/>
              </w:rPr>
              <w:t>3</w:t>
            </w:r>
          </w:p>
        </w:tc>
        <w:tc>
          <w:tcPr>
            <w:tcW w:w="0" w:type="auto"/>
            <w:tcBorders>
              <w:top w:val="nil"/>
              <w:left w:val="single" w:color="auto" w:sz="4" w:space="0"/>
              <w:bottom w:val="single" w:color="auto" w:sz="4" w:space="0"/>
              <w:right w:val="single" w:color="auto" w:sz="4" w:space="0"/>
            </w:tcBorders>
            <w:noWrap/>
            <w:vAlign w:val="center"/>
          </w:tcPr>
          <w:p w14:paraId="04E735CF">
            <w:pPr>
              <w:widowControl w:val="0"/>
              <w:spacing w:line="240" w:lineRule="exact"/>
              <w:jc w:val="center"/>
              <w:rPr>
                <w:rFonts w:eastAsia="楷体_GB2312"/>
                <w:b/>
                <w:color w:val="000000"/>
                <w:szCs w:val="21"/>
              </w:rPr>
            </w:pPr>
            <w:r>
              <w:rPr>
                <w:rFonts w:eastAsia="楷体_GB2312"/>
                <w:b/>
                <w:color w:val="000000"/>
                <w:szCs w:val="21"/>
              </w:rPr>
              <w:t>295</w:t>
            </w:r>
          </w:p>
        </w:tc>
        <w:tc>
          <w:tcPr>
            <w:tcW w:w="0" w:type="auto"/>
            <w:tcBorders>
              <w:top w:val="nil"/>
              <w:left w:val="nil"/>
              <w:bottom w:val="single" w:color="auto" w:sz="8" w:space="0"/>
              <w:right w:val="single" w:color="auto" w:sz="8" w:space="0"/>
            </w:tcBorders>
            <w:noWrap/>
            <w:vAlign w:val="center"/>
          </w:tcPr>
          <w:p w14:paraId="383CC2E6">
            <w:pPr>
              <w:widowControl w:val="0"/>
              <w:spacing w:line="240" w:lineRule="exact"/>
              <w:jc w:val="center"/>
              <w:rPr>
                <w:rFonts w:eastAsia="楷体_GB2312"/>
                <w:color w:val="000000"/>
                <w:szCs w:val="21"/>
              </w:rPr>
            </w:pPr>
            <w:r>
              <w:rPr>
                <w:rFonts w:eastAsia="楷体_GB2312"/>
                <w:color w:val="000000"/>
                <w:szCs w:val="21"/>
              </w:rPr>
              <w:t>285</w:t>
            </w:r>
          </w:p>
        </w:tc>
        <w:tc>
          <w:tcPr>
            <w:tcW w:w="0" w:type="auto"/>
            <w:tcBorders>
              <w:top w:val="nil"/>
              <w:left w:val="nil"/>
              <w:bottom w:val="single" w:color="auto" w:sz="8" w:space="0"/>
              <w:right w:val="single" w:color="auto" w:sz="8" w:space="0"/>
            </w:tcBorders>
            <w:noWrap w:val="0"/>
            <w:vAlign w:val="center"/>
          </w:tcPr>
          <w:p w14:paraId="27B2F68C">
            <w:pPr>
              <w:widowControl w:val="0"/>
              <w:spacing w:line="240" w:lineRule="exact"/>
              <w:jc w:val="center"/>
              <w:rPr>
                <w:rFonts w:eastAsia="楷体_GB2312"/>
                <w:color w:val="000000"/>
                <w:szCs w:val="21"/>
              </w:rPr>
            </w:pPr>
            <w:r>
              <w:rPr>
                <w:rFonts w:eastAsia="楷体_GB2312"/>
                <w:color w:val="000000"/>
                <w:szCs w:val="21"/>
              </w:rPr>
              <w:t>3.51%</w:t>
            </w:r>
          </w:p>
        </w:tc>
        <w:tc>
          <w:tcPr>
            <w:tcW w:w="0" w:type="auto"/>
            <w:tcBorders>
              <w:top w:val="nil"/>
              <w:left w:val="single" w:color="auto" w:sz="4" w:space="0"/>
              <w:bottom w:val="single" w:color="auto" w:sz="4" w:space="0"/>
              <w:right w:val="single" w:color="auto" w:sz="4" w:space="0"/>
            </w:tcBorders>
            <w:noWrap/>
            <w:vAlign w:val="center"/>
          </w:tcPr>
          <w:p w14:paraId="132B6873">
            <w:pPr>
              <w:widowControl w:val="0"/>
              <w:spacing w:line="240" w:lineRule="exact"/>
              <w:jc w:val="center"/>
              <w:rPr>
                <w:rFonts w:eastAsia="楷体_GB2312"/>
                <w:b/>
                <w:color w:val="000000"/>
                <w:szCs w:val="21"/>
              </w:rPr>
            </w:pPr>
            <w:r>
              <w:rPr>
                <w:rFonts w:eastAsia="楷体_GB2312"/>
                <w:b/>
                <w:color w:val="000000"/>
                <w:szCs w:val="21"/>
              </w:rPr>
              <w:t>205</w:t>
            </w:r>
          </w:p>
        </w:tc>
        <w:tc>
          <w:tcPr>
            <w:tcW w:w="0" w:type="auto"/>
            <w:tcBorders>
              <w:top w:val="nil"/>
              <w:left w:val="nil"/>
              <w:bottom w:val="single" w:color="auto" w:sz="8" w:space="0"/>
              <w:right w:val="single" w:color="auto" w:sz="8" w:space="0"/>
            </w:tcBorders>
            <w:noWrap/>
            <w:vAlign w:val="center"/>
          </w:tcPr>
          <w:p w14:paraId="0354F7AE">
            <w:pPr>
              <w:widowControl w:val="0"/>
              <w:spacing w:line="240" w:lineRule="exact"/>
              <w:jc w:val="center"/>
              <w:rPr>
                <w:rFonts w:eastAsia="楷体_GB2312"/>
                <w:color w:val="000000"/>
                <w:szCs w:val="21"/>
              </w:rPr>
            </w:pPr>
            <w:r>
              <w:rPr>
                <w:rFonts w:eastAsia="楷体_GB2312"/>
                <w:color w:val="000000"/>
                <w:szCs w:val="21"/>
              </w:rPr>
              <w:t>190</w:t>
            </w:r>
          </w:p>
        </w:tc>
        <w:tc>
          <w:tcPr>
            <w:tcW w:w="0" w:type="auto"/>
            <w:tcBorders>
              <w:top w:val="nil"/>
              <w:left w:val="nil"/>
              <w:bottom w:val="single" w:color="auto" w:sz="8" w:space="0"/>
              <w:right w:val="single" w:color="auto" w:sz="8" w:space="0"/>
            </w:tcBorders>
            <w:noWrap w:val="0"/>
            <w:vAlign w:val="center"/>
          </w:tcPr>
          <w:p w14:paraId="04691C76">
            <w:pPr>
              <w:widowControl w:val="0"/>
              <w:spacing w:line="240" w:lineRule="exact"/>
              <w:jc w:val="center"/>
              <w:rPr>
                <w:rFonts w:eastAsia="楷体_GB2312"/>
                <w:color w:val="000000"/>
                <w:szCs w:val="21"/>
              </w:rPr>
            </w:pPr>
            <w:r>
              <w:rPr>
                <w:rFonts w:eastAsia="楷体_GB2312"/>
                <w:color w:val="000000"/>
                <w:szCs w:val="21"/>
              </w:rPr>
              <w:t>7.89%</w:t>
            </w:r>
          </w:p>
        </w:tc>
        <w:tc>
          <w:tcPr>
            <w:tcW w:w="0" w:type="auto"/>
            <w:tcBorders>
              <w:top w:val="nil"/>
              <w:left w:val="single" w:color="auto" w:sz="4" w:space="0"/>
              <w:bottom w:val="single" w:color="auto" w:sz="4" w:space="0"/>
              <w:right w:val="single" w:color="auto" w:sz="4" w:space="0"/>
            </w:tcBorders>
            <w:noWrap/>
            <w:vAlign w:val="center"/>
          </w:tcPr>
          <w:p w14:paraId="26590910">
            <w:pPr>
              <w:widowControl w:val="0"/>
              <w:spacing w:line="240" w:lineRule="exact"/>
              <w:jc w:val="center"/>
              <w:rPr>
                <w:rFonts w:eastAsia="楷体_GB2312"/>
                <w:b/>
                <w:color w:val="000000"/>
                <w:szCs w:val="21"/>
              </w:rPr>
            </w:pPr>
            <w:r>
              <w:rPr>
                <w:rFonts w:eastAsia="楷体_GB2312"/>
                <w:b/>
                <w:color w:val="000000"/>
                <w:szCs w:val="21"/>
              </w:rPr>
              <w:t>144</w:t>
            </w:r>
          </w:p>
        </w:tc>
        <w:tc>
          <w:tcPr>
            <w:tcW w:w="0" w:type="auto"/>
            <w:tcBorders>
              <w:top w:val="nil"/>
              <w:left w:val="nil"/>
              <w:bottom w:val="single" w:color="auto" w:sz="8" w:space="0"/>
              <w:right w:val="single" w:color="auto" w:sz="8" w:space="0"/>
            </w:tcBorders>
            <w:noWrap/>
            <w:vAlign w:val="center"/>
          </w:tcPr>
          <w:p w14:paraId="08D35B41">
            <w:pPr>
              <w:widowControl w:val="0"/>
              <w:spacing w:line="240" w:lineRule="exact"/>
              <w:jc w:val="center"/>
              <w:rPr>
                <w:rFonts w:eastAsia="楷体_GB2312"/>
                <w:color w:val="000000"/>
                <w:szCs w:val="21"/>
              </w:rPr>
            </w:pPr>
            <w:r>
              <w:rPr>
                <w:rFonts w:eastAsia="楷体_GB2312"/>
                <w:color w:val="000000"/>
                <w:szCs w:val="21"/>
              </w:rPr>
              <w:t>144</w:t>
            </w:r>
          </w:p>
        </w:tc>
        <w:tc>
          <w:tcPr>
            <w:tcW w:w="0" w:type="auto"/>
            <w:tcBorders>
              <w:top w:val="nil"/>
              <w:left w:val="nil"/>
              <w:bottom w:val="single" w:color="auto" w:sz="8" w:space="0"/>
              <w:right w:val="single" w:color="auto" w:sz="8" w:space="0"/>
            </w:tcBorders>
            <w:noWrap w:val="0"/>
            <w:vAlign w:val="center"/>
          </w:tcPr>
          <w:p w14:paraId="4837E2D2">
            <w:pPr>
              <w:widowControl w:val="0"/>
              <w:spacing w:line="240" w:lineRule="exact"/>
              <w:jc w:val="center"/>
              <w:rPr>
                <w:rFonts w:eastAsia="楷体_GB2312"/>
                <w:color w:val="000000"/>
                <w:szCs w:val="21"/>
              </w:rPr>
            </w:pPr>
            <w:r>
              <w:rPr>
                <w:rFonts w:eastAsia="楷体_GB2312"/>
                <w:color w:val="000000"/>
                <w:szCs w:val="21"/>
              </w:rPr>
              <w:t>0.00%</w:t>
            </w:r>
          </w:p>
        </w:tc>
      </w:tr>
      <w:tr w14:paraId="5E398D11">
        <w:tblPrEx>
          <w:tblCellMar>
            <w:top w:w="0" w:type="dxa"/>
            <w:left w:w="108" w:type="dxa"/>
            <w:bottom w:w="0" w:type="dxa"/>
            <w:right w:w="108" w:type="dxa"/>
          </w:tblCellMar>
        </w:tblPrEx>
        <w:trPr>
          <w:trHeight w:val="20" w:hRule="atLeast"/>
          <w:jc w:val="center"/>
        </w:trPr>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4F131466">
            <w:pPr>
              <w:widowControl w:val="0"/>
              <w:spacing w:line="240" w:lineRule="exact"/>
              <w:jc w:val="center"/>
              <w:rPr>
                <w:rFonts w:eastAsia="楷体_GB2312"/>
                <w:szCs w:val="21"/>
              </w:rPr>
            </w:pPr>
            <w:r>
              <w:rPr>
                <w:rFonts w:eastAsia="楷体_GB2312"/>
                <w:szCs w:val="21"/>
              </w:rPr>
              <w:t>15</w:t>
            </w:r>
          </w:p>
        </w:tc>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6A1F8D1D">
            <w:pPr>
              <w:widowControl w:val="0"/>
              <w:spacing w:line="240" w:lineRule="exact"/>
              <w:jc w:val="center"/>
              <w:rPr>
                <w:rFonts w:eastAsia="楷体_GB2312"/>
                <w:color w:val="000000"/>
                <w:szCs w:val="21"/>
              </w:rPr>
            </w:pPr>
            <w:r>
              <w:rPr>
                <w:rFonts w:eastAsia="楷体_GB2312"/>
                <w:color w:val="000000"/>
                <w:szCs w:val="21"/>
              </w:rPr>
              <w:t>杨庄镇</w:t>
            </w:r>
          </w:p>
        </w:tc>
        <w:tc>
          <w:tcPr>
            <w:tcW w:w="0" w:type="auto"/>
            <w:tcBorders>
              <w:top w:val="nil"/>
              <w:left w:val="nil"/>
              <w:bottom w:val="single" w:color="auto" w:sz="8" w:space="0"/>
              <w:right w:val="single" w:color="auto" w:sz="8" w:space="0"/>
            </w:tcBorders>
            <w:noWrap w:val="0"/>
            <w:vAlign w:val="center"/>
          </w:tcPr>
          <w:p w14:paraId="4F38F755">
            <w:pPr>
              <w:widowControl w:val="0"/>
              <w:spacing w:line="240" w:lineRule="exact"/>
              <w:jc w:val="center"/>
              <w:rPr>
                <w:rFonts w:eastAsia="楷体_GB2312"/>
                <w:szCs w:val="21"/>
              </w:rPr>
            </w:pPr>
            <w:r>
              <w:rPr>
                <w:rFonts w:eastAsia="楷体_GB2312"/>
                <w:szCs w:val="21"/>
              </w:rPr>
              <w:t>1</w:t>
            </w:r>
          </w:p>
        </w:tc>
        <w:tc>
          <w:tcPr>
            <w:tcW w:w="0" w:type="auto"/>
            <w:tcBorders>
              <w:top w:val="nil"/>
              <w:left w:val="single" w:color="auto" w:sz="4" w:space="0"/>
              <w:bottom w:val="single" w:color="auto" w:sz="4" w:space="0"/>
              <w:right w:val="single" w:color="auto" w:sz="4" w:space="0"/>
            </w:tcBorders>
            <w:noWrap/>
            <w:vAlign w:val="center"/>
          </w:tcPr>
          <w:p w14:paraId="23582179">
            <w:pPr>
              <w:widowControl w:val="0"/>
              <w:spacing w:line="240" w:lineRule="exact"/>
              <w:jc w:val="center"/>
              <w:rPr>
                <w:rFonts w:eastAsia="楷体_GB2312"/>
                <w:b/>
                <w:color w:val="000000"/>
                <w:szCs w:val="21"/>
              </w:rPr>
            </w:pPr>
            <w:r>
              <w:rPr>
                <w:rFonts w:eastAsia="楷体_GB2312"/>
                <w:b/>
                <w:color w:val="000000"/>
                <w:szCs w:val="21"/>
              </w:rPr>
              <w:t>455</w:t>
            </w:r>
          </w:p>
        </w:tc>
        <w:tc>
          <w:tcPr>
            <w:tcW w:w="0" w:type="auto"/>
            <w:tcBorders>
              <w:top w:val="nil"/>
              <w:left w:val="nil"/>
              <w:bottom w:val="single" w:color="auto" w:sz="8" w:space="0"/>
              <w:right w:val="single" w:color="auto" w:sz="8" w:space="0"/>
            </w:tcBorders>
            <w:noWrap/>
            <w:vAlign w:val="center"/>
          </w:tcPr>
          <w:p w14:paraId="272F1AE2">
            <w:pPr>
              <w:widowControl w:val="0"/>
              <w:spacing w:line="240" w:lineRule="exact"/>
              <w:jc w:val="center"/>
              <w:rPr>
                <w:rFonts w:eastAsia="楷体_GB2312"/>
                <w:color w:val="000000"/>
                <w:szCs w:val="21"/>
              </w:rPr>
            </w:pPr>
            <w:r>
              <w:rPr>
                <w:rFonts w:eastAsia="楷体_GB2312"/>
                <w:color w:val="000000"/>
                <w:szCs w:val="21"/>
              </w:rPr>
              <w:t>438</w:t>
            </w:r>
          </w:p>
        </w:tc>
        <w:tc>
          <w:tcPr>
            <w:tcW w:w="0" w:type="auto"/>
            <w:tcBorders>
              <w:top w:val="nil"/>
              <w:left w:val="nil"/>
              <w:bottom w:val="single" w:color="auto" w:sz="8" w:space="0"/>
              <w:right w:val="single" w:color="auto" w:sz="8" w:space="0"/>
            </w:tcBorders>
            <w:noWrap w:val="0"/>
            <w:vAlign w:val="center"/>
          </w:tcPr>
          <w:p w14:paraId="28317C4F">
            <w:pPr>
              <w:widowControl w:val="0"/>
              <w:spacing w:line="240" w:lineRule="exact"/>
              <w:jc w:val="center"/>
              <w:rPr>
                <w:rFonts w:eastAsia="楷体_GB2312"/>
                <w:color w:val="000000"/>
                <w:szCs w:val="21"/>
              </w:rPr>
            </w:pPr>
            <w:r>
              <w:rPr>
                <w:rFonts w:eastAsia="楷体_GB2312"/>
                <w:color w:val="000000"/>
                <w:szCs w:val="21"/>
              </w:rPr>
              <w:t>3.88%</w:t>
            </w:r>
          </w:p>
        </w:tc>
        <w:tc>
          <w:tcPr>
            <w:tcW w:w="0" w:type="auto"/>
            <w:tcBorders>
              <w:top w:val="nil"/>
              <w:left w:val="single" w:color="auto" w:sz="4" w:space="0"/>
              <w:bottom w:val="single" w:color="auto" w:sz="4" w:space="0"/>
              <w:right w:val="single" w:color="auto" w:sz="4" w:space="0"/>
            </w:tcBorders>
            <w:noWrap/>
            <w:vAlign w:val="center"/>
          </w:tcPr>
          <w:p w14:paraId="37045D35">
            <w:pPr>
              <w:widowControl w:val="0"/>
              <w:spacing w:line="240" w:lineRule="exact"/>
              <w:jc w:val="center"/>
              <w:rPr>
                <w:rFonts w:eastAsia="楷体_GB2312"/>
                <w:b/>
                <w:color w:val="000000"/>
                <w:szCs w:val="21"/>
              </w:rPr>
            </w:pPr>
            <w:r>
              <w:rPr>
                <w:rFonts w:eastAsia="楷体_GB2312"/>
                <w:b/>
                <w:color w:val="000000"/>
                <w:szCs w:val="21"/>
              </w:rPr>
              <w:t>340</w:t>
            </w:r>
          </w:p>
        </w:tc>
        <w:tc>
          <w:tcPr>
            <w:tcW w:w="0" w:type="auto"/>
            <w:tcBorders>
              <w:top w:val="nil"/>
              <w:left w:val="nil"/>
              <w:bottom w:val="single" w:color="auto" w:sz="8" w:space="0"/>
              <w:right w:val="single" w:color="auto" w:sz="8" w:space="0"/>
            </w:tcBorders>
            <w:noWrap/>
            <w:vAlign w:val="center"/>
          </w:tcPr>
          <w:p w14:paraId="15F660D8">
            <w:pPr>
              <w:widowControl w:val="0"/>
              <w:spacing w:line="240" w:lineRule="exact"/>
              <w:jc w:val="center"/>
              <w:rPr>
                <w:rFonts w:eastAsia="楷体_GB2312"/>
                <w:color w:val="000000"/>
                <w:szCs w:val="21"/>
              </w:rPr>
            </w:pPr>
            <w:r>
              <w:rPr>
                <w:rFonts w:eastAsia="楷体_GB2312"/>
                <w:color w:val="000000"/>
                <w:szCs w:val="21"/>
              </w:rPr>
              <w:t>319</w:t>
            </w:r>
          </w:p>
        </w:tc>
        <w:tc>
          <w:tcPr>
            <w:tcW w:w="0" w:type="auto"/>
            <w:tcBorders>
              <w:top w:val="nil"/>
              <w:left w:val="nil"/>
              <w:bottom w:val="single" w:color="auto" w:sz="8" w:space="0"/>
              <w:right w:val="single" w:color="auto" w:sz="8" w:space="0"/>
            </w:tcBorders>
            <w:noWrap w:val="0"/>
            <w:vAlign w:val="center"/>
          </w:tcPr>
          <w:p w14:paraId="4C869B4C">
            <w:pPr>
              <w:widowControl w:val="0"/>
              <w:spacing w:line="240" w:lineRule="exact"/>
              <w:jc w:val="center"/>
              <w:rPr>
                <w:rFonts w:eastAsia="楷体_GB2312"/>
                <w:color w:val="000000"/>
                <w:szCs w:val="21"/>
              </w:rPr>
            </w:pPr>
            <w:r>
              <w:rPr>
                <w:rFonts w:eastAsia="楷体_GB2312"/>
                <w:color w:val="000000"/>
                <w:szCs w:val="21"/>
              </w:rPr>
              <w:t>6.58%</w:t>
            </w:r>
          </w:p>
        </w:tc>
        <w:tc>
          <w:tcPr>
            <w:tcW w:w="0" w:type="auto"/>
            <w:tcBorders>
              <w:top w:val="nil"/>
              <w:left w:val="single" w:color="auto" w:sz="4" w:space="0"/>
              <w:bottom w:val="single" w:color="auto" w:sz="4" w:space="0"/>
              <w:right w:val="single" w:color="auto" w:sz="4" w:space="0"/>
            </w:tcBorders>
            <w:noWrap/>
            <w:vAlign w:val="center"/>
          </w:tcPr>
          <w:p w14:paraId="5BEB7F0C">
            <w:pPr>
              <w:widowControl w:val="0"/>
              <w:spacing w:line="240" w:lineRule="exact"/>
              <w:jc w:val="center"/>
              <w:rPr>
                <w:rFonts w:eastAsia="楷体_GB2312"/>
                <w:b/>
                <w:color w:val="000000"/>
                <w:szCs w:val="21"/>
              </w:rPr>
            </w:pPr>
            <w:r>
              <w:rPr>
                <w:rFonts w:eastAsia="楷体_GB2312"/>
                <w:b/>
                <w:color w:val="000000"/>
                <w:szCs w:val="21"/>
              </w:rPr>
              <w:t>170</w:t>
            </w:r>
          </w:p>
        </w:tc>
        <w:tc>
          <w:tcPr>
            <w:tcW w:w="0" w:type="auto"/>
            <w:tcBorders>
              <w:top w:val="nil"/>
              <w:left w:val="nil"/>
              <w:bottom w:val="single" w:color="auto" w:sz="8" w:space="0"/>
              <w:right w:val="single" w:color="auto" w:sz="8" w:space="0"/>
            </w:tcBorders>
            <w:noWrap/>
            <w:vAlign w:val="center"/>
          </w:tcPr>
          <w:p w14:paraId="25527815">
            <w:pPr>
              <w:widowControl w:val="0"/>
              <w:spacing w:line="240" w:lineRule="exact"/>
              <w:jc w:val="center"/>
              <w:rPr>
                <w:rFonts w:eastAsia="楷体_GB2312"/>
                <w:color w:val="000000"/>
                <w:szCs w:val="21"/>
              </w:rPr>
            </w:pPr>
            <w:r>
              <w:rPr>
                <w:rFonts w:eastAsia="楷体_GB2312"/>
                <w:color w:val="000000"/>
                <w:szCs w:val="21"/>
              </w:rPr>
              <w:t>165</w:t>
            </w:r>
          </w:p>
        </w:tc>
        <w:tc>
          <w:tcPr>
            <w:tcW w:w="0" w:type="auto"/>
            <w:tcBorders>
              <w:top w:val="nil"/>
              <w:left w:val="nil"/>
              <w:bottom w:val="single" w:color="auto" w:sz="8" w:space="0"/>
              <w:right w:val="single" w:color="auto" w:sz="8" w:space="0"/>
            </w:tcBorders>
            <w:noWrap w:val="0"/>
            <w:vAlign w:val="center"/>
          </w:tcPr>
          <w:p w14:paraId="256B8503">
            <w:pPr>
              <w:widowControl w:val="0"/>
              <w:spacing w:line="240" w:lineRule="exact"/>
              <w:jc w:val="center"/>
              <w:rPr>
                <w:rFonts w:eastAsia="楷体_GB2312"/>
                <w:color w:val="000000"/>
                <w:szCs w:val="21"/>
              </w:rPr>
            </w:pPr>
            <w:r>
              <w:rPr>
                <w:rFonts w:eastAsia="楷体_GB2312"/>
                <w:color w:val="000000"/>
                <w:szCs w:val="21"/>
              </w:rPr>
              <w:t>3.03%</w:t>
            </w:r>
          </w:p>
        </w:tc>
      </w:tr>
      <w:tr w14:paraId="7801E9C2">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7DFF3327">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6B6DF5A0">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6AA0ECD8">
            <w:pPr>
              <w:widowControl w:val="0"/>
              <w:spacing w:line="240" w:lineRule="exact"/>
              <w:jc w:val="center"/>
              <w:rPr>
                <w:rFonts w:eastAsia="楷体_GB2312"/>
                <w:szCs w:val="21"/>
              </w:rPr>
            </w:pPr>
            <w:r>
              <w:rPr>
                <w:rFonts w:eastAsia="楷体_GB2312"/>
                <w:szCs w:val="21"/>
              </w:rPr>
              <w:t>2</w:t>
            </w:r>
          </w:p>
        </w:tc>
        <w:tc>
          <w:tcPr>
            <w:tcW w:w="0" w:type="auto"/>
            <w:tcBorders>
              <w:top w:val="nil"/>
              <w:left w:val="single" w:color="auto" w:sz="4" w:space="0"/>
              <w:bottom w:val="single" w:color="auto" w:sz="4" w:space="0"/>
              <w:right w:val="single" w:color="auto" w:sz="4" w:space="0"/>
            </w:tcBorders>
            <w:noWrap/>
            <w:vAlign w:val="center"/>
          </w:tcPr>
          <w:p w14:paraId="729E93ED">
            <w:pPr>
              <w:widowControl w:val="0"/>
              <w:spacing w:line="240" w:lineRule="exact"/>
              <w:jc w:val="center"/>
              <w:rPr>
                <w:rFonts w:eastAsia="楷体_GB2312"/>
                <w:b/>
                <w:color w:val="000000"/>
                <w:szCs w:val="21"/>
              </w:rPr>
            </w:pPr>
            <w:r>
              <w:rPr>
                <w:rFonts w:eastAsia="楷体_GB2312"/>
                <w:b/>
                <w:color w:val="000000"/>
                <w:szCs w:val="21"/>
              </w:rPr>
              <w:t>355</w:t>
            </w:r>
          </w:p>
        </w:tc>
        <w:tc>
          <w:tcPr>
            <w:tcW w:w="0" w:type="auto"/>
            <w:tcBorders>
              <w:top w:val="nil"/>
              <w:left w:val="nil"/>
              <w:bottom w:val="single" w:color="auto" w:sz="8" w:space="0"/>
              <w:right w:val="single" w:color="auto" w:sz="8" w:space="0"/>
            </w:tcBorders>
            <w:noWrap/>
            <w:vAlign w:val="center"/>
          </w:tcPr>
          <w:p w14:paraId="795A5AB0">
            <w:pPr>
              <w:widowControl w:val="0"/>
              <w:spacing w:line="240" w:lineRule="exact"/>
              <w:jc w:val="center"/>
              <w:rPr>
                <w:rFonts w:eastAsia="楷体_GB2312"/>
                <w:color w:val="000000"/>
                <w:szCs w:val="21"/>
              </w:rPr>
            </w:pPr>
            <w:r>
              <w:rPr>
                <w:rFonts w:eastAsia="楷体_GB2312"/>
                <w:color w:val="000000"/>
                <w:szCs w:val="21"/>
              </w:rPr>
              <w:t>351</w:t>
            </w:r>
          </w:p>
        </w:tc>
        <w:tc>
          <w:tcPr>
            <w:tcW w:w="0" w:type="auto"/>
            <w:tcBorders>
              <w:top w:val="nil"/>
              <w:left w:val="nil"/>
              <w:bottom w:val="single" w:color="auto" w:sz="8" w:space="0"/>
              <w:right w:val="single" w:color="auto" w:sz="8" w:space="0"/>
            </w:tcBorders>
            <w:noWrap w:val="0"/>
            <w:vAlign w:val="center"/>
          </w:tcPr>
          <w:p w14:paraId="1F36A8EA">
            <w:pPr>
              <w:widowControl w:val="0"/>
              <w:spacing w:line="240" w:lineRule="exact"/>
              <w:jc w:val="center"/>
              <w:rPr>
                <w:rFonts w:eastAsia="楷体_GB2312"/>
                <w:color w:val="000000"/>
                <w:szCs w:val="21"/>
              </w:rPr>
            </w:pPr>
            <w:r>
              <w:rPr>
                <w:rFonts w:eastAsia="楷体_GB2312"/>
                <w:color w:val="000000"/>
                <w:szCs w:val="21"/>
              </w:rPr>
              <w:t>1.14%</w:t>
            </w:r>
          </w:p>
        </w:tc>
        <w:tc>
          <w:tcPr>
            <w:tcW w:w="0" w:type="auto"/>
            <w:tcBorders>
              <w:top w:val="nil"/>
              <w:left w:val="single" w:color="auto" w:sz="4" w:space="0"/>
              <w:bottom w:val="single" w:color="auto" w:sz="4" w:space="0"/>
              <w:right w:val="single" w:color="auto" w:sz="4" w:space="0"/>
            </w:tcBorders>
            <w:noWrap/>
            <w:vAlign w:val="center"/>
          </w:tcPr>
          <w:p w14:paraId="16817125">
            <w:pPr>
              <w:widowControl w:val="0"/>
              <w:spacing w:line="240" w:lineRule="exact"/>
              <w:jc w:val="center"/>
              <w:rPr>
                <w:rFonts w:eastAsia="楷体_GB2312"/>
                <w:b/>
                <w:color w:val="000000"/>
                <w:szCs w:val="21"/>
              </w:rPr>
            </w:pPr>
            <w:r>
              <w:rPr>
                <w:rFonts w:eastAsia="楷体_GB2312"/>
                <w:b/>
                <w:color w:val="000000"/>
                <w:szCs w:val="21"/>
              </w:rPr>
              <w:t>255</w:t>
            </w:r>
          </w:p>
        </w:tc>
        <w:tc>
          <w:tcPr>
            <w:tcW w:w="0" w:type="auto"/>
            <w:tcBorders>
              <w:top w:val="nil"/>
              <w:left w:val="nil"/>
              <w:bottom w:val="single" w:color="auto" w:sz="8" w:space="0"/>
              <w:right w:val="single" w:color="auto" w:sz="8" w:space="0"/>
            </w:tcBorders>
            <w:noWrap/>
            <w:vAlign w:val="center"/>
          </w:tcPr>
          <w:p w14:paraId="68592DE8">
            <w:pPr>
              <w:widowControl w:val="0"/>
              <w:spacing w:line="240" w:lineRule="exact"/>
              <w:jc w:val="center"/>
              <w:rPr>
                <w:rFonts w:eastAsia="楷体_GB2312"/>
                <w:color w:val="000000"/>
                <w:szCs w:val="21"/>
              </w:rPr>
            </w:pPr>
            <w:r>
              <w:rPr>
                <w:rFonts w:eastAsia="楷体_GB2312"/>
                <w:color w:val="000000"/>
                <w:szCs w:val="21"/>
              </w:rPr>
              <w:t>243</w:t>
            </w:r>
          </w:p>
        </w:tc>
        <w:tc>
          <w:tcPr>
            <w:tcW w:w="0" w:type="auto"/>
            <w:tcBorders>
              <w:top w:val="nil"/>
              <w:left w:val="nil"/>
              <w:bottom w:val="single" w:color="auto" w:sz="8" w:space="0"/>
              <w:right w:val="single" w:color="auto" w:sz="8" w:space="0"/>
            </w:tcBorders>
            <w:noWrap w:val="0"/>
            <w:vAlign w:val="center"/>
          </w:tcPr>
          <w:p w14:paraId="5003278A">
            <w:pPr>
              <w:widowControl w:val="0"/>
              <w:spacing w:line="240" w:lineRule="exact"/>
              <w:jc w:val="center"/>
              <w:rPr>
                <w:rFonts w:eastAsia="楷体_GB2312"/>
                <w:color w:val="000000"/>
                <w:szCs w:val="21"/>
              </w:rPr>
            </w:pPr>
            <w:r>
              <w:rPr>
                <w:rFonts w:eastAsia="楷体_GB2312"/>
                <w:color w:val="000000"/>
                <w:szCs w:val="21"/>
              </w:rPr>
              <w:t>4.94%</w:t>
            </w:r>
          </w:p>
        </w:tc>
        <w:tc>
          <w:tcPr>
            <w:tcW w:w="0" w:type="auto"/>
            <w:tcBorders>
              <w:top w:val="nil"/>
              <w:left w:val="single" w:color="auto" w:sz="4" w:space="0"/>
              <w:bottom w:val="single" w:color="auto" w:sz="4" w:space="0"/>
              <w:right w:val="single" w:color="auto" w:sz="4" w:space="0"/>
            </w:tcBorders>
            <w:noWrap/>
            <w:vAlign w:val="center"/>
          </w:tcPr>
          <w:p w14:paraId="39739E6D">
            <w:pPr>
              <w:widowControl w:val="0"/>
              <w:spacing w:line="240" w:lineRule="exact"/>
              <w:jc w:val="center"/>
              <w:rPr>
                <w:rFonts w:eastAsia="楷体_GB2312"/>
                <w:b/>
                <w:color w:val="000000"/>
                <w:szCs w:val="21"/>
              </w:rPr>
            </w:pPr>
            <w:r>
              <w:rPr>
                <w:rFonts w:eastAsia="楷体_GB2312"/>
                <w:b/>
                <w:color w:val="000000"/>
                <w:szCs w:val="21"/>
              </w:rPr>
              <w:t>155</w:t>
            </w:r>
          </w:p>
        </w:tc>
        <w:tc>
          <w:tcPr>
            <w:tcW w:w="0" w:type="auto"/>
            <w:tcBorders>
              <w:top w:val="nil"/>
              <w:left w:val="nil"/>
              <w:bottom w:val="single" w:color="auto" w:sz="8" w:space="0"/>
              <w:right w:val="single" w:color="auto" w:sz="8" w:space="0"/>
            </w:tcBorders>
            <w:noWrap/>
            <w:vAlign w:val="center"/>
          </w:tcPr>
          <w:p w14:paraId="19FB064C">
            <w:pPr>
              <w:widowControl w:val="0"/>
              <w:spacing w:line="240" w:lineRule="exact"/>
              <w:jc w:val="center"/>
              <w:rPr>
                <w:rFonts w:eastAsia="楷体_GB2312"/>
                <w:color w:val="000000"/>
                <w:szCs w:val="21"/>
              </w:rPr>
            </w:pPr>
            <w:r>
              <w:rPr>
                <w:rFonts w:eastAsia="楷体_GB2312"/>
                <w:color w:val="000000"/>
                <w:szCs w:val="21"/>
              </w:rPr>
              <w:t>150</w:t>
            </w:r>
          </w:p>
        </w:tc>
        <w:tc>
          <w:tcPr>
            <w:tcW w:w="0" w:type="auto"/>
            <w:tcBorders>
              <w:top w:val="nil"/>
              <w:left w:val="nil"/>
              <w:bottom w:val="single" w:color="auto" w:sz="8" w:space="0"/>
              <w:right w:val="single" w:color="auto" w:sz="8" w:space="0"/>
            </w:tcBorders>
            <w:noWrap w:val="0"/>
            <w:vAlign w:val="center"/>
          </w:tcPr>
          <w:p w14:paraId="2E0F9A4D">
            <w:pPr>
              <w:widowControl w:val="0"/>
              <w:spacing w:line="240" w:lineRule="exact"/>
              <w:jc w:val="center"/>
              <w:rPr>
                <w:rFonts w:eastAsia="楷体_GB2312"/>
                <w:color w:val="000000"/>
                <w:szCs w:val="21"/>
              </w:rPr>
            </w:pPr>
            <w:r>
              <w:rPr>
                <w:rFonts w:eastAsia="楷体_GB2312"/>
                <w:color w:val="000000"/>
                <w:szCs w:val="21"/>
              </w:rPr>
              <w:t>3.33%</w:t>
            </w:r>
          </w:p>
        </w:tc>
      </w:tr>
      <w:tr w14:paraId="4E3EB80B">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auto" w:sz="4" w:space="0"/>
              <w:right w:val="single" w:color="auto" w:sz="8" w:space="0"/>
            </w:tcBorders>
            <w:noWrap w:val="0"/>
            <w:vAlign w:val="center"/>
          </w:tcPr>
          <w:p w14:paraId="50A437C9">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auto" w:sz="4" w:space="0"/>
              <w:right w:val="single" w:color="auto" w:sz="8" w:space="0"/>
            </w:tcBorders>
            <w:noWrap w:val="0"/>
            <w:vAlign w:val="center"/>
          </w:tcPr>
          <w:p w14:paraId="4A3C6F1D">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107C3028">
            <w:pPr>
              <w:widowControl w:val="0"/>
              <w:spacing w:line="240" w:lineRule="exact"/>
              <w:jc w:val="center"/>
              <w:rPr>
                <w:rFonts w:eastAsia="楷体_GB2312"/>
                <w:szCs w:val="21"/>
              </w:rPr>
            </w:pPr>
            <w:r>
              <w:rPr>
                <w:rFonts w:eastAsia="楷体_GB2312"/>
                <w:szCs w:val="21"/>
              </w:rPr>
              <w:t>3</w:t>
            </w:r>
          </w:p>
        </w:tc>
        <w:tc>
          <w:tcPr>
            <w:tcW w:w="0" w:type="auto"/>
            <w:tcBorders>
              <w:top w:val="nil"/>
              <w:left w:val="single" w:color="auto" w:sz="4" w:space="0"/>
              <w:bottom w:val="single" w:color="auto" w:sz="4" w:space="0"/>
              <w:right w:val="single" w:color="auto" w:sz="4" w:space="0"/>
            </w:tcBorders>
            <w:noWrap/>
            <w:vAlign w:val="center"/>
          </w:tcPr>
          <w:p w14:paraId="008271EC">
            <w:pPr>
              <w:widowControl w:val="0"/>
              <w:spacing w:line="240" w:lineRule="exact"/>
              <w:jc w:val="center"/>
              <w:rPr>
                <w:rFonts w:eastAsia="楷体_GB2312"/>
                <w:b/>
                <w:color w:val="000000"/>
                <w:szCs w:val="21"/>
              </w:rPr>
            </w:pPr>
            <w:r>
              <w:rPr>
                <w:rFonts w:eastAsia="楷体_GB2312"/>
                <w:b/>
                <w:color w:val="000000"/>
                <w:szCs w:val="21"/>
              </w:rPr>
              <w:t>275</w:t>
            </w:r>
          </w:p>
        </w:tc>
        <w:tc>
          <w:tcPr>
            <w:tcW w:w="0" w:type="auto"/>
            <w:tcBorders>
              <w:top w:val="nil"/>
              <w:left w:val="nil"/>
              <w:bottom w:val="single" w:color="auto" w:sz="8" w:space="0"/>
              <w:right w:val="single" w:color="auto" w:sz="8" w:space="0"/>
            </w:tcBorders>
            <w:noWrap/>
            <w:vAlign w:val="center"/>
          </w:tcPr>
          <w:p w14:paraId="29DE2A11">
            <w:pPr>
              <w:widowControl w:val="0"/>
              <w:spacing w:line="240" w:lineRule="exact"/>
              <w:jc w:val="center"/>
              <w:rPr>
                <w:rFonts w:eastAsia="楷体_GB2312"/>
                <w:color w:val="000000"/>
                <w:szCs w:val="21"/>
              </w:rPr>
            </w:pPr>
            <w:r>
              <w:rPr>
                <w:rFonts w:eastAsia="楷体_GB2312"/>
                <w:color w:val="000000"/>
                <w:szCs w:val="21"/>
              </w:rPr>
              <w:t>259</w:t>
            </w:r>
          </w:p>
        </w:tc>
        <w:tc>
          <w:tcPr>
            <w:tcW w:w="0" w:type="auto"/>
            <w:tcBorders>
              <w:top w:val="nil"/>
              <w:left w:val="nil"/>
              <w:bottom w:val="single" w:color="auto" w:sz="8" w:space="0"/>
              <w:right w:val="single" w:color="auto" w:sz="8" w:space="0"/>
            </w:tcBorders>
            <w:noWrap w:val="0"/>
            <w:vAlign w:val="center"/>
          </w:tcPr>
          <w:p w14:paraId="5BBBCE60">
            <w:pPr>
              <w:widowControl w:val="0"/>
              <w:spacing w:line="240" w:lineRule="exact"/>
              <w:jc w:val="center"/>
              <w:rPr>
                <w:rFonts w:eastAsia="楷体_GB2312"/>
                <w:color w:val="000000"/>
                <w:szCs w:val="21"/>
              </w:rPr>
            </w:pPr>
            <w:r>
              <w:rPr>
                <w:rFonts w:eastAsia="楷体_GB2312"/>
                <w:color w:val="000000"/>
                <w:szCs w:val="21"/>
              </w:rPr>
              <w:t>6.18%</w:t>
            </w:r>
          </w:p>
        </w:tc>
        <w:tc>
          <w:tcPr>
            <w:tcW w:w="0" w:type="auto"/>
            <w:tcBorders>
              <w:top w:val="nil"/>
              <w:left w:val="single" w:color="auto" w:sz="4" w:space="0"/>
              <w:bottom w:val="single" w:color="auto" w:sz="4" w:space="0"/>
              <w:right w:val="single" w:color="auto" w:sz="4" w:space="0"/>
            </w:tcBorders>
            <w:noWrap/>
            <w:vAlign w:val="center"/>
          </w:tcPr>
          <w:p w14:paraId="0C9FC854">
            <w:pPr>
              <w:widowControl w:val="0"/>
              <w:spacing w:line="240" w:lineRule="exact"/>
              <w:jc w:val="center"/>
              <w:rPr>
                <w:rFonts w:eastAsia="楷体_GB2312"/>
                <w:b/>
                <w:color w:val="000000"/>
                <w:szCs w:val="21"/>
              </w:rPr>
            </w:pPr>
            <w:r>
              <w:rPr>
                <w:rFonts w:eastAsia="楷体_GB2312"/>
                <w:b/>
                <w:color w:val="000000"/>
                <w:szCs w:val="21"/>
              </w:rPr>
              <w:t>195</w:t>
            </w:r>
          </w:p>
        </w:tc>
        <w:tc>
          <w:tcPr>
            <w:tcW w:w="0" w:type="auto"/>
            <w:tcBorders>
              <w:top w:val="nil"/>
              <w:left w:val="nil"/>
              <w:bottom w:val="single" w:color="auto" w:sz="8" w:space="0"/>
              <w:right w:val="single" w:color="auto" w:sz="8" w:space="0"/>
            </w:tcBorders>
            <w:noWrap/>
            <w:vAlign w:val="center"/>
          </w:tcPr>
          <w:p w14:paraId="0764770C">
            <w:pPr>
              <w:widowControl w:val="0"/>
              <w:spacing w:line="240" w:lineRule="exact"/>
              <w:jc w:val="center"/>
              <w:rPr>
                <w:rFonts w:eastAsia="楷体_GB2312"/>
                <w:color w:val="000000"/>
                <w:szCs w:val="21"/>
              </w:rPr>
            </w:pPr>
            <w:r>
              <w:rPr>
                <w:rFonts w:eastAsia="楷体_GB2312"/>
                <w:color w:val="000000"/>
                <w:szCs w:val="21"/>
              </w:rPr>
              <w:t>167</w:t>
            </w:r>
          </w:p>
        </w:tc>
        <w:tc>
          <w:tcPr>
            <w:tcW w:w="0" w:type="auto"/>
            <w:tcBorders>
              <w:top w:val="nil"/>
              <w:left w:val="nil"/>
              <w:bottom w:val="single" w:color="auto" w:sz="8" w:space="0"/>
              <w:right w:val="single" w:color="auto" w:sz="8" w:space="0"/>
            </w:tcBorders>
            <w:noWrap w:val="0"/>
            <w:vAlign w:val="center"/>
          </w:tcPr>
          <w:p w14:paraId="13460CCE">
            <w:pPr>
              <w:widowControl w:val="0"/>
              <w:spacing w:line="240" w:lineRule="exact"/>
              <w:jc w:val="center"/>
              <w:rPr>
                <w:rFonts w:eastAsia="楷体_GB2312"/>
                <w:color w:val="000000"/>
                <w:szCs w:val="21"/>
              </w:rPr>
            </w:pPr>
            <w:r>
              <w:rPr>
                <w:rFonts w:eastAsia="楷体_GB2312"/>
                <w:color w:val="000000"/>
                <w:szCs w:val="21"/>
              </w:rPr>
              <w:t>16.77%</w:t>
            </w:r>
          </w:p>
        </w:tc>
        <w:tc>
          <w:tcPr>
            <w:tcW w:w="0" w:type="auto"/>
            <w:tcBorders>
              <w:top w:val="nil"/>
              <w:left w:val="single" w:color="auto" w:sz="4" w:space="0"/>
              <w:bottom w:val="single" w:color="auto" w:sz="4" w:space="0"/>
              <w:right w:val="single" w:color="auto" w:sz="4" w:space="0"/>
            </w:tcBorders>
            <w:noWrap/>
            <w:vAlign w:val="center"/>
          </w:tcPr>
          <w:p w14:paraId="0AB0A3CD">
            <w:pPr>
              <w:widowControl w:val="0"/>
              <w:spacing w:line="240" w:lineRule="exact"/>
              <w:jc w:val="center"/>
              <w:rPr>
                <w:rFonts w:eastAsia="楷体_GB2312"/>
                <w:b/>
                <w:color w:val="000000"/>
                <w:szCs w:val="21"/>
              </w:rPr>
            </w:pPr>
            <w:r>
              <w:rPr>
                <w:rFonts w:eastAsia="楷体_GB2312"/>
                <w:b/>
                <w:color w:val="000000"/>
                <w:szCs w:val="21"/>
              </w:rPr>
              <w:t>144</w:t>
            </w:r>
          </w:p>
        </w:tc>
        <w:tc>
          <w:tcPr>
            <w:tcW w:w="0" w:type="auto"/>
            <w:tcBorders>
              <w:top w:val="nil"/>
              <w:left w:val="nil"/>
              <w:bottom w:val="single" w:color="auto" w:sz="8" w:space="0"/>
              <w:right w:val="single" w:color="auto" w:sz="8" w:space="0"/>
            </w:tcBorders>
            <w:noWrap/>
            <w:vAlign w:val="center"/>
          </w:tcPr>
          <w:p w14:paraId="713E4DB7">
            <w:pPr>
              <w:widowControl w:val="0"/>
              <w:spacing w:line="240" w:lineRule="exact"/>
              <w:jc w:val="center"/>
              <w:rPr>
                <w:rFonts w:eastAsia="楷体_GB2312"/>
                <w:color w:val="000000"/>
                <w:szCs w:val="21"/>
              </w:rPr>
            </w:pPr>
            <w:r>
              <w:rPr>
                <w:rFonts w:eastAsia="楷体_GB2312"/>
                <w:color w:val="000000"/>
                <w:szCs w:val="21"/>
              </w:rPr>
              <w:t>144</w:t>
            </w:r>
          </w:p>
        </w:tc>
        <w:tc>
          <w:tcPr>
            <w:tcW w:w="0" w:type="auto"/>
            <w:tcBorders>
              <w:top w:val="nil"/>
              <w:left w:val="nil"/>
              <w:bottom w:val="single" w:color="auto" w:sz="8" w:space="0"/>
              <w:right w:val="single" w:color="auto" w:sz="8" w:space="0"/>
            </w:tcBorders>
            <w:noWrap w:val="0"/>
            <w:vAlign w:val="center"/>
          </w:tcPr>
          <w:p w14:paraId="61313BAD">
            <w:pPr>
              <w:widowControl w:val="0"/>
              <w:spacing w:line="240" w:lineRule="exact"/>
              <w:jc w:val="center"/>
              <w:rPr>
                <w:rFonts w:eastAsia="楷体_GB2312"/>
                <w:color w:val="000000"/>
                <w:szCs w:val="21"/>
              </w:rPr>
            </w:pPr>
            <w:r>
              <w:rPr>
                <w:rFonts w:eastAsia="楷体_GB2312"/>
                <w:color w:val="000000"/>
                <w:szCs w:val="21"/>
              </w:rPr>
              <w:t>0.00%</w:t>
            </w:r>
          </w:p>
        </w:tc>
      </w:tr>
      <w:tr w14:paraId="6C834036">
        <w:tblPrEx>
          <w:tblCellMar>
            <w:top w:w="0" w:type="dxa"/>
            <w:left w:w="108" w:type="dxa"/>
            <w:bottom w:w="0" w:type="dxa"/>
            <w:right w:w="108" w:type="dxa"/>
          </w:tblCellMar>
        </w:tblPrEx>
        <w:trPr>
          <w:trHeight w:val="20" w:hRule="atLeast"/>
          <w:jc w:val="center"/>
        </w:trPr>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2E5EB88D">
            <w:pPr>
              <w:widowControl w:val="0"/>
              <w:spacing w:line="240" w:lineRule="exact"/>
              <w:jc w:val="center"/>
              <w:rPr>
                <w:rFonts w:eastAsia="楷体_GB2312"/>
                <w:szCs w:val="21"/>
              </w:rPr>
            </w:pPr>
            <w:r>
              <w:rPr>
                <w:rFonts w:eastAsia="楷体_GB2312"/>
                <w:szCs w:val="21"/>
              </w:rPr>
              <w:t>16</w:t>
            </w:r>
          </w:p>
        </w:tc>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6FFC4963">
            <w:pPr>
              <w:widowControl w:val="0"/>
              <w:spacing w:line="240" w:lineRule="exact"/>
              <w:jc w:val="center"/>
              <w:rPr>
                <w:rFonts w:eastAsia="楷体_GB2312"/>
                <w:color w:val="000000"/>
                <w:szCs w:val="21"/>
              </w:rPr>
            </w:pPr>
            <w:r>
              <w:rPr>
                <w:rFonts w:eastAsia="楷体_GB2312"/>
                <w:color w:val="000000"/>
                <w:szCs w:val="21"/>
              </w:rPr>
              <w:t>永镇乡</w:t>
            </w:r>
          </w:p>
        </w:tc>
        <w:tc>
          <w:tcPr>
            <w:tcW w:w="0" w:type="auto"/>
            <w:tcBorders>
              <w:top w:val="nil"/>
              <w:left w:val="nil"/>
              <w:bottom w:val="single" w:color="auto" w:sz="8" w:space="0"/>
              <w:right w:val="single" w:color="auto" w:sz="8" w:space="0"/>
            </w:tcBorders>
            <w:noWrap w:val="0"/>
            <w:vAlign w:val="center"/>
          </w:tcPr>
          <w:p w14:paraId="72CE9332">
            <w:pPr>
              <w:widowControl w:val="0"/>
              <w:spacing w:line="240" w:lineRule="exact"/>
              <w:jc w:val="center"/>
              <w:rPr>
                <w:rFonts w:eastAsia="楷体_GB2312"/>
                <w:szCs w:val="21"/>
              </w:rPr>
            </w:pPr>
            <w:r>
              <w:rPr>
                <w:rFonts w:eastAsia="楷体_GB2312"/>
                <w:szCs w:val="21"/>
              </w:rPr>
              <w:t>1</w:t>
            </w:r>
          </w:p>
        </w:tc>
        <w:tc>
          <w:tcPr>
            <w:tcW w:w="0" w:type="auto"/>
            <w:tcBorders>
              <w:top w:val="nil"/>
              <w:left w:val="single" w:color="auto" w:sz="4" w:space="0"/>
              <w:bottom w:val="single" w:color="auto" w:sz="4" w:space="0"/>
              <w:right w:val="single" w:color="auto" w:sz="4" w:space="0"/>
            </w:tcBorders>
            <w:noWrap/>
            <w:vAlign w:val="center"/>
          </w:tcPr>
          <w:p w14:paraId="7BB808AF">
            <w:pPr>
              <w:widowControl w:val="0"/>
              <w:spacing w:line="240" w:lineRule="exact"/>
              <w:jc w:val="center"/>
              <w:rPr>
                <w:rFonts w:eastAsia="楷体_GB2312"/>
                <w:b/>
                <w:color w:val="000000"/>
                <w:szCs w:val="21"/>
              </w:rPr>
            </w:pPr>
            <w:r>
              <w:rPr>
                <w:rFonts w:eastAsia="楷体_GB2312"/>
                <w:b/>
                <w:color w:val="000000"/>
                <w:szCs w:val="21"/>
              </w:rPr>
              <w:t>450</w:t>
            </w:r>
          </w:p>
        </w:tc>
        <w:tc>
          <w:tcPr>
            <w:tcW w:w="0" w:type="auto"/>
            <w:tcBorders>
              <w:top w:val="nil"/>
              <w:left w:val="nil"/>
              <w:bottom w:val="single" w:color="auto" w:sz="8" w:space="0"/>
              <w:right w:val="single" w:color="auto" w:sz="8" w:space="0"/>
            </w:tcBorders>
            <w:noWrap/>
            <w:vAlign w:val="center"/>
          </w:tcPr>
          <w:p w14:paraId="581CDF8B">
            <w:pPr>
              <w:widowControl w:val="0"/>
              <w:spacing w:line="240" w:lineRule="exact"/>
              <w:jc w:val="center"/>
              <w:rPr>
                <w:rFonts w:eastAsia="楷体_GB2312"/>
                <w:color w:val="000000"/>
                <w:szCs w:val="21"/>
              </w:rPr>
            </w:pPr>
            <w:r>
              <w:rPr>
                <w:rFonts w:eastAsia="楷体_GB2312"/>
                <w:color w:val="000000"/>
                <w:szCs w:val="21"/>
              </w:rPr>
              <w:t>436</w:t>
            </w:r>
          </w:p>
        </w:tc>
        <w:tc>
          <w:tcPr>
            <w:tcW w:w="0" w:type="auto"/>
            <w:tcBorders>
              <w:top w:val="nil"/>
              <w:left w:val="nil"/>
              <w:bottom w:val="single" w:color="auto" w:sz="8" w:space="0"/>
              <w:right w:val="single" w:color="auto" w:sz="8" w:space="0"/>
            </w:tcBorders>
            <w:noWrap w:val="0"/>
            <w:vAlign w:val="center"/>
          </w:tcPr>
          <w:p w14:paraId="4452882E">
            <w:pPr>
              <w:widowControl w:val="0"/>
              <w:spacing w:line="240" w:lineRule="exact"/>
              <w:jc w:val="center"/>
              <w:rPr>
                <w:rFonts w:eastAsia="楷体_GB2312"/>
                <w:color w:val="000000"/>
                <w:szCs w:val="21"/>
              </w:rPr>
            </w:pPr>
            <w:r>
              <w:rPr>
                <w:rFonts w:eastAsia="楷体_GB2312"/>
                <w:color w:val="000000"/>
                <w:szCs w:val="21"/>
              </w:rPr>
              <w:t>3.21%</w:t>
            </w:r>
          </w:p>
        </w:tc>
        <w:tc>
          <w:tcPr>
            <w:tcW w:w="0" w:type="auto"/>
            <w:tcBorders>
              <w:top w:val="nil"/>
              <w:left w:val="single" w:color="auto" w:sz="4" w:space="0"/>
              <w:bottom w:val="single" w:color="auto" w:sz="4" w:space="0"/>
              <w:right w:val="single" w:color="auto" w:sz="4" w:space="0"/>
            </w:tcBorders>
            <w:noWrap/>
            <w:vAlign w:val="center"/>
          </w:tcPr>
          <w:p w14:paraId="69D58AAE">
            <w:pPr>
              <w:widowControl w:val="0"/>
              <w:spacing w:line="240" w:lineRule="exact"/>
              <w:jc w:val="center"/>
              <w:rPr>
                <w:rFonts w:eastAsia="楷体_GB2312"/>
                <w:b/>
                <w:color w:val="000000"/>
                <w:szCs w:val="21"/>
              </w:rPr>
            </w:pPr>
            <w:r>
              <w:rPr>
                <w:rFonts w:eastAsia="楷体_GB2312"/>
                <w:b/>
                <w:color w:val="000000"/>
                <w:szCs w:val="21"/>
              </w:rPr>
              <w:t>330</w:t>
            </w:r>
          </w:p>
        </w:tc>
        <w:tc>
          <w:tcPr>
            <w:tcW w:w="0" w:type="auto"/>
            <w:tcBorders>
              <w:top w:val="nil"/>
              <w:left w:val="nil"/>
              <w:bottom w:val="single" w:color="auto" w:sz="8" w:space="0"/>
              <w:right w:val="single" w:color="auto" w:sz="8" w:space="0"/>
            </w:tcBorders>
            <w:noWrap/>
            <w:vAlign w:val="center"/>
          </w:tcPr>
          <w:p w14:paraId="43F0A15E">
            <w:pPr>
              <w:widowControl w:val="0"/>
              <w:spacing w:line="240" w:lineRule="exact"/>
              <w:jc w:val="center"/>
              <w:rPr>
                <w:rFonts w:eastAsia="楷体_GB2312"/>
                <w:color w:val="000000"/>
                <w:szCs w:val="21"/>
              </w:rPr>
            </w:pPr>
            <w:r>
              <w:rPr>
                <w:rFonts w:eastAsia="楷体_GB2312"/>
                <w:color w:val="000000"/>
                <w:szCs w:val="21"/>
              </w:rPr>
              <w:t>310</w:t>
            </w:r>
          </w:p>
        </w:tc>
        <w:tc>
          <w:tcPr>
            <w:tcW w:w="0" w:type="auto"/>
            <w:tcBorders>
              <w:top w:val="nil"/>
              <w:left w:val="nil"/>
              <w:bottom w:val="single" w:color="auto" w:sz="8" w:space="0"/>
              <w:right w:val="single" w:color="auto" w:sz="8" w:space="0"/>
            </w:tcBorders>
            <w:noWrap w:val="0"/>
            <w:vAlign w:val="center"/>
          </w:tcPr>
          <w:p w14:paraId="32DE5EAD">
            <w:pPr>
              <w:widowControl w:val="0"/>
              <w:spacing w:line="240" w:lineRule="exact"/>
              <w:jc w:val="center"/>
              <w:rPr>
                <w:rFonts w:eastAsia="楷体_GB2312"/>
                <w:color w:val="000000"/>
                <w:szCs w:val="21"/>
              </w:rPr>
            </w:pPr>
            <w:r>
              <w:rPr>
                <w:rFonts w:eastAsia="楷体_GB2312"/>
                <w:color w:val="000000"/>
                <w:szCs w:val="21"/>
              </w:rPr>
              <w:t>6.45%</w:t>
            </w:r>
          </w:p>
        </w:tc>
        <w:tc>
          <w:tcPr>
            <w:tcW w:w="0" w:type="auto"/>
            <w:tcBorders>
              <w:top w:val="nil"/>
              <w:left w:val="single" w:color="auto" w:sz="4" w:space="0"/>
              <w:bottom w:val="single" w:color="auto" w:sz="4" w:space="0"/>
              <w:right w:val="single" w:color="auto" w:sz="4" w:space="0"/>
            </w:tcBorders>
            <w:noWrap/>
            <w:vAlign w:val="center"/>
          </w:tcPr>
          <w:p w14:paraId="703A7A9E">
            <w:pPr>
              <w:widowControl w:val="0"/>
              <w:spacing w:line="240" w:lineRule="exact"/>
              <w:jc w:val="center"/>
              <w:rPr>
                <w:rFonts w:eastAsia="楷体_GB2312"/>
                <w:b/>
                <w:color w:val="000000"/>
                <w:szCs w:val="21"/>
              </w:rPr>
            </w:pPr>
            <w:r>
              <w:rPr>
                <w:rFonts w:eastAsia="楷体_GB2312"/>
                <w:b/>
                <w:color w:val="000000"/>
                <w:szCs w:val="21"/>
              </w:rPr>
              <w:t>170</w:t>
            </w:r>
          </w:p>
        </w:tc>
        <w:tc>
          <w:tcPr>
            <w:tcW w:w="0" w:type="auto"/>
            <w:tcBorders>
              <w:top w:val="nil"/>
              <w:left w:val="nil"/>
              <w:bottom w:val="single" w:color="auto" w:sz="8" w:space="0"/>
              <w:right w:val="single" w:color="auto" w:sz="8" w:space="0"/>
            </w:tcBorders>
            <w:noWrap/>
            <w:vAlign w:val="center"/>
          </w:tcPr>
          <w:p w14:paraId="68CC8D81">
            <w:pPr>
              <w:widowControl w:val="0"/>
              <w:spacing w:line="240" w:lineRule="exact"/>
              <w:jc w:val="center"/>
              <w:rPr>
                <w:rFonts w:eastAsia="楷体_GB2312"/>
                <w:color w:val="000000"/>
                <w:szCs w:val="21"/>
              </w:rPr>
            </w:pPr>
            <w:r>
              <w:rPr>
                <w:rFonts w:eastAsia="楷体_GB2312"/>
                <w:color w:val="000000"/>
                <w:szCs w:val="21"/>
              </w:rPr>
              <w:t>165</w:t>
            </w:r>
          </w:p>
        </w:tc>
        <w:tc>
          <w:tcPr>
            <w:tcW w:w="0" w:type="auto"/>
            <w:tcBorders>
              <w:top w:val="nil"/>
              <w:left w:val="nil"/>
              <w:bottom w:val="single" w:color="auto" w:sz="8" w:space="0"/>
              <w:right w:val="single" w:color="auto" w:sz="8" w:space="0"/>
            </w:tcBorders>
            <w:noWrap w:val="0"/>
            <w:vAlign w:val="center"/>
          </w:tcPr>
          <w:p w14:paraId="35753102">
            <w:pPr>
              <w:widowControl w:val="0"/>
              <w:spacing w:line="240" w:lineRule="exact"/>
              <w:jc w:val="center"/>
              <w:rPr>
                <w:rFonts w:eastAsia="楷体_GB2312"/>
                <w:color w:val="000000"/>
                <w:szCs w:val="21"/>
              </w:rPr>
            </w:pPr>
            <w:r>
              <w:rPr>
                <w:rFonts w:eastAsia="楷体_GB2312"/>
                <w:color w:val="000000"/>
                <w:szCs w:val="21"/>
              </w:rPr>
              <w:t>3.03%</w:t>
            </w:r>
          </w:p>
        </w:tc>
      </w:tr>
      <w:tr w14:paraId="2EFF478E">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16615A8F">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1EB2CBED">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5BABF357">
            <w:pPr>
              <w:widowControl w:val="0"/>
              <w:spacing w:line="240" w:lineRule="exact"/>
              <w:jc w:val="center"/>
              <w:rPr>
                <w:rFonts w:eastAsia="楷体_GB2312"/>
                <w:szCs w:val="21"/>
              </w:rPr>
            </w:pPr>
            <w:r>
              <w:rPr>
                <w:rFonts w:eastAsia="楷体_GB2312"/>
                <w:szCs w:val="21"/>
              </w:rPr>
              <w:t>2</w:t>
            </w:r>
          </w:p>
        </w:tc>
        <w:tc>
          <w:tcPr>
            <w:tcW w:w="0" w:type="auto"/>
            <w:tcBorders>
              <w:top w:val="nil"/>
              <w:left w:val="single" w:color="auto" w:sz="4" w:space="0"/>
              <w:bottom w:val="single" w:color="auto" w:sz="4" w:space="0"/>
              <w:right w:val="single" w:color="auto" w:sz="4" w:space="0"/>
            </w:tcBorders>
            <w:noWrap/>
            <w:vAlign w:val="center"/>
          </w:tcPr>
          <w:p w14:paraId="3A602851">
            <w:pPr>
              <w:widowControl w:val="0"/>
              <w:spacing w:line="240" w:lineRule="exact"/>
              <w:jc w:val="center"/>
              <w:rPr>
                <w:rFonts w:eastAsia="楷体_GB2312"/>
                <w:b/>
                <w:color w:val="000000"/>
                <w:szCs w:val="21"/>
              </w:rPr>
            </w:pPr>
            <w:r>
              <w:rPr>
                <w:rFonts w:eastAsia="楷体_GB2312"/>
                <w:b/>
                <w:color w:val="000000"/>
                <w:szCs w:val="21"/>
              </w:rPr>
              <w:t>355</w:t>
            </w:r>
          </w:p>
        </w:tc>
        <w:tc>
          <w:tcPr>
            <w:tcW w:w="0" w:type="auto"/>
            <w:tcBorders>
              <w:top w:val="nil"/>
              <w:left w:val="nil"/>
              <w:bottom w:val="single" w:color="auto" w:sz="8" w:space="0"/>
              <w:right w:val="single" w:color="auto" w:sz="8" w:space="0"/>
            </w:tcBorders>
            <w:noWrap/>
            <w:vAlign w:val="center"/>
          </w:tcPr>
          <w:p w14:paraId="38C65CC2">
            <w:pPr>
              <w:widowControl w:val="0"/>
              <w:spacing w:line="240" w:lineRule="exact"/>
              <w:jc w:val="center"/>
              <w:rPr>
                <w:rFonts w:eastAsia="楷体_GB2312"/>
                <w:color w:val="000000"/>
                <w:szCs w:val="21"/>
              </w:rPr>
            </w:pPr>
            <w:r>
              <w:rPr>
                <w:rFonts w:eastAsia="楷体_GB2312"/>
                <w:color w:val="000000"/>
                <w:szCs w:val="21"/>
              </w:rPr>
              <w:t>327</w:t>
            </w:r>
          </w:p>
        </w:tc>
        <w:tc>
          <w:tcPr>
            <w:tcW w:w="0" w:type="auto"/>
            <w:tcBorders>
              <w:top w:val="nil"/>
              <w:left w:val="nil"/>
              <w:bottom w:val="single" w:color="auto" w:sz="8" w:space="0"/>
              <w:right w:val="single" w:color="auto" w:sz="8" w:space="0"/>
            </w:tcBorders>
            <w:noWrap w:val="0"/>
            <w:vAlign w:val="center"/>
          </w:tcPr>
          <w:p w14:paraId="7EB925C2">
            <w:pPr>
              <w:widowControl w:val="0"/>
              <w:spacing w:line="240" w:lineRule="exact"/>
              <w:jc w:val="center"/>
              <w:rPr>
                <w:rFonts w:eastAsia="楷体_GB2312"/>
                <w:color w:val="000000"/>
                <w:szCs w:val="21"/>
              </w:rPr>
            </w:pPr>
            <w:r>
              <w:rPr>
                <w:rFonts w:eastAsia="楷体_GB2312"/>
                <w:color w:val="000000"/>
                <w:szCs w:val="21"/>
              </w:rPr>
              <w:t>8.56%</w:t>
            </w:r>
          </w:p>
        </w:tc>
        <w:tc>
          <w:tcPr>
            <w:tcW w:w="0" w:type="auto"/>
            <w:tcBorders>
              <w:top w:val="nil"/>
              <w:left w:val="single" w:color="auto" w:sz="4" w:space="0"/>
              <w:bottom w:val="single" w:color="auto" w:sz="4" w:space="0"/>
              <w:right w:val="single" w:color="auto" w:sz="4" w:space="0"/>
            </w:tcBorders>
            <w:noWrap/>
            <w:vAlign w:val="center"/>
          </w:tcPr>
          <w:p w14:paraId="49868D93">
            <w:pPr>
              <w:widowControl w:val="0"/>
              <w:spacing w:line="240" w:lineRule="exact"/>
              <w:jc w:val="center"/>
              <w:rPr>
                <w:rFonts w:eastAsia="楷体_GB2312"/>
                <w:b/>
                <w:color w:val="000000"/>
                <w:szCs w:val="21"/>
              </w:rPr>
            </w:pPr>
            <w:r>
              <w:rPr>
                <w:rFonts w:eastAsia="楷体_GB2312"/>
                <w:b/>
                <w:color w:val="000000"/>
                <w:szCs w:val="21"/>
              </w:rPr>
              <w:t>255</w:t>
            </w:r>
          </w:p>
        </w:tc>
        <w:tc>
          <w:tcPr>
            <w:tcW w:w="0" w:type="auto"/>
            <w:tcBorders>
              <w:top w:val="nil"/>
              <w:left w:val="nil"/>
              <w:bottom w:val="single" w:color="auto" w:sz="8" w:space="0"/>
              <w:right w:val="single" w:color="auto" w:sz="8" w:space="0"/>
            </w:tcBorders>
            <w:noWrap/>
            <w:vAlign w:val="center"/>
          </w:tcPr>
          <w:p w14:paraId="7AE9F40C">
            <w:pPr>
              <w:widowControl w:val="0"/>
              <w:spacing w:line="240" w:lineRule="exact"/>
              <w:jc w:val="center"/>
              <w:rPr>
                <w:rFonts w:eastAsia="楷体_GB2312"/>
                <w:color w:val="000000"/>
                <w:szCs w:val="21"/>
              </w:rPr>
            </w:pPr>
            <w:r>
              <w:rPr>
                <w:rFonts w:eastAsia="楷体_GB2312"/>
                <w:color w:val="000000"/>
                <w:szCs w:val="21"/>
              </w:rPr>
              <w:t>214</w:t>
            </w:r>
          </w:p>
        </w:tc>
        <w:tc>
          <w:tcPr>
            <w:tcW w:w="0" w:type="auto"/>
            <w:tcBorders>
              <w:top w:val="nil"/>
              <w:left w:val="nil"/>
              <w:bottom w:val="single" w:color="auto" w:sz="8" w:space="0"/>
              <w:right w:val="single" w:color="auto" w:sz="8" w:space="0"/>
            </w:tcBorders>
            <w:noWrap w:val="0"/>
            <w:vAlign w:val="center"/>
          </w:tcPr>
          <w:p w14:paraId="1ABB0CDC">
            <w:pPr>
              <w:widowControl w:val="0"/>
              <w:spacing w:line="240" w:lineRule="exact"/>
              <w:jc w:val="center"/>
              <w:rPr>
                <w:rFonts w:eastAsia="楷体_GB2312"/>
                <w:color w:val="000000"/>
                <w:szCs w:val="21"/>
              </w:rPr>
            </w:pPr>
            <w:r>
              <w:rPr>
                <w:rFonts w:eastAsia="楷体_GB2312"/>
                <w:color w:val="000000"/>
                <w:szCs w:val="21"/>
              </w:rPr>
              <w:t>19.16%</w:t>
            </w:r>
          </w:p>
        </w:tc>
        <w:tc>
          <w:tcPr>
            <w:tcW w:w="0" w:type="auto"/>
            <w:tcBorders>
              <w:top w:val="nil"/>
              <w:left w:val="single" w:color="auto" w:sz="4" w:space="0"/>
              <w:bottom w:val="single" w:color="auto" w:sz="4" w:space="0"/>
              <w:right w:val="single" w:color="auto" w:sz="4" w:space="0"/>
            </w:tcBorders>
            <w:noWrap/>
            <w:vAlign w:val="center"/>
          </w:tcPr>
          <w:p w14:paraId="59D14016">
            <w:pPr>
              <w:widowControl w:val="0"/>
              <w:spacing w:line="240" w:lineRule="exact"/>
              <w:jc w:val="center"/>
              <w:rPr>
                <w:rFonts w:eastAsia="楷体_GB2312"/>
                <w:b/>
                <w:color w:val="000000"/>
                <w:szCs w:val="21"/>
              </w:rPr>
            </w:pPr>
            <w:r>
              <w:rPr>
                <w:rFonts w:eastAsia="楷体_GB2312"/>
                <w:b/>
                <w:color w:val="000000"/>
                <w:szCs w:val="21"/>
              </w:rPr>
              <w:t>155</w:t>
            </w:r>
          </w:p>
        </w:tc>
        <w:tc>
          <w:tcPr>
            <w:tcW w:w="0" w:type="auto"/>
            <w:tcBorders>
              <w:top w:val="nil"/>
              <w:left w:val="nil"/>
              <w:bottom w:val="single" w:color="auto" w:sz="8" w:space="0"/>
              <w:right w:val="single" w:color="auto" w:sz="8" w:space="0"/>
            </w:tcBorders>
            <w:noWrap/>
            <w:vAlign w:val="center"/>
          </w:tcPr>
          <w:p w14:paraId="4BA44CEA">
            <w:pPr>
              <w:widowControl w:val="0"/>
              <w:spacing w:line="240" w:lineRule="exact"/>
              <w:jc w:val="center"/>
              <w:rPr>
                <w:rFonts w:eastAsia="楷体_GB2312"/>
                <w:color w:val="000000"/>
                <w:szCs w:val="21"/>
              </w:rPr>
            </w:pPr>
            <w:r>
              <w:rPr>
                <w:rFonts w:eastAsia="楷体_GB2312"/>
                <w:color w:val="000000"/>
                <w:szCs w:val="21"/>
              </w:rPr>
              <w:t>150</w:t>
            </w:r>
          </w:p>
        </w:tc>
        <w:tc>
          <w:tcPr>
            <w:tcW w:w="0" w:type="auto"/>
            <w:tcBorders>
              <w:top w:val="nil"/>
              <w:left w:val="nil"/>
              <w:bottom w:val="single" w:color="auto" w:sz="8" w:space="0"/>
              <w:right w:val="single" w:color="auto" w:sz="8" w:space="0"/>
            </w:tcBorders>
            <w:noWrap w:val="0"/>
            <w:vAlign w:val="center"/>
          </w:tcPr>
          <w:p w14:paraId="55108BC1">
            <w:pPr>
              <w:widowControl w:val="0"/>
              <w:spacing w:line="240" w:lineRule="exact"/>
              <w:jc w:val="center"/>
              <w:rPr>
                <w:rFonts w:eastAsia="楷体_GB2312"/>
                <w:color w:val="000000"/>
                <w:szCs w:val="21"/>
              </w:rPr>
            </w:pPr>
            <w:r>
              <w:rPr>
                <w:rFonts w:eastAsia="楷体_GB2312"/>
                <w:color w:val="000000"/>
                <w:szCs w:val="21"/>
              </w:rPr>
              <w:t>3.33%</w:t>
            </w:r>
          </w:p>
        </w:tc>
      </w:tr>
      <w:tr w14:paraId="2BC5D536">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auto" w:sz="4" w:space="0"/>
              <w:right w:val="single" w:color="auto" w:sz="8" w:space="0"/>
            </w:tcBorders>
            <w:noWrap w:val="0"/>
            <w:vAlign w:val="center"/>
          </w:tcPr>
          <w:p w14:paraId="53250C58">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auto" w:sz="4" w:space="0"/>
              <w:right w:val="single" w:color="auto" w:sz="8" w:space="0"/>
            </w:tcBorders>
            <w:noWrap w:val="0"/>
            <w:vAlign w:val="center"/>
          </w:tcPr>
          <w:p w14:paraId="4680AB13">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2896D6E7">
            <w:pPr>
              <w:widowControl w:val="0"/>
              <w:spacing w:line="240" w:lineRule="exact"/>
              <w:jc w:val="center"/>
              <w:rPr>
                <w:rFonts w:eastAsia="楷体_GB2312"/>
                <w:szCs w:val="21"/>
              </w:rPr>
            </w:pPr>
            <w:r>
              <w:rPr>
                <w:rFonts w:eastAsia="楷体_GB2312"/>
                <w:szCs w:val="21"/>
              </w:rPr>
              <w:t>3</w:t>
            </w:r>
          </w:p>
        </w:tc>
        <w:tc>
          <w:tcPr>
            <w:tcW w:w="0" w:type="auto"/>
            <w:tcBorders>
              <w:top w:val="nil"/>
              <w:left w:val="single" w:color="auto" w:sz="4" w:space="0"/>
              <w:bottom w:val="single" w:color="auto" w:sz="4" w:space="0"/>
              <w:right w:val="single" w:color="auto" w:sz="4" w:space="0"/>
            </w:tcBorders>
            <w:noWrap/>
            <w:vAlign w:val="center"/>
          </w:tcPr>
          <w:p w14:paraId="6718DBB3">
            <w:pPr>
              <w:widowControl w:val="0"/>
              <w:spacing w:line="240" w:lineRule="exact"/>
              <w:jc w:val="center"/>
              <w:rPr>
                <w:rFonts w:eastAsia="楷体_GB2312"/>
                <w:b/>
                <w:color w:val="000000"/>
                <w:szCs w:val="21"/>
              </w:rPr>
            </w:pPr>
            <w:r>
              <w:rPr>
                <w:rFonts w:eastAsia="楷体_GB2312"/>
                <w:b/>
                <w:color w:val="000000"/>
                <w:szCs w:val="21"/>
              </w:rPr>
              <w:t>280</w:t>
            </w:r>
          </w:p>
        </w:tc>
        <w:tc>
          <w:tcPr>
            <w:tcW w:w="0" w:type="auto"/>
            <w:tcBorders>
              <w:top w:val="nil"/>
              <w:left w:val="nil"/>
              <w:bottom w:val="single" w:color="auto" w:sz="8" w:space="0"/>
              <w:right w:val="single" w:color="auto" w:sz="8" w:space="0"/>
            </w:tcBorders>
            <w:noWrap/>
            <w:vAlign w:val="center"/>
          </w:tcPr>
          <w:p w14:paraId="7EAECD45">
            <w:pPr>
              <w:widowControl w:val="0"/>
              <w:spacing w:line="240" w:lineRule="exact"/>
              <w:jc w:val="center"/>
              <w:rPr>
                <w:rFonts w:eastAsia="楷体_GB2312"/>
                <w:color w:val="000000"/>
                <w:szCs w:val="21"/>
              </w:rPr>
            </w:pPr>
            <w:r>
              <w:rPr>
                <w:rFonts w:eastAsia="楷体_GB2312"/>
                <w:color w:val="000000"/>
                <w:szCs w:val="21"/>
              </w:rPr>
              <w:t>270</w:t>
            </w:r>
          </w:p>
        </w:tc>
        <w:tc>
          <w:tcPr>
            <w:tcW w:w="0" w:type="auto"/>
            <w:tcBorders>
              <w:top w:val="nil"/>
              <w:left w:val="nil"/>
              <w:bottom w:val="single" w:color="auto" w:sz="8" w:space="0"/>
              <w:right w:val="single" w:color="auto" w:sz="8" w:space="0"/>
            </w:tcBorders>
            <w:noWrap w:val="0"/>
            <w:vAlign w:val="center"/>
          </w:tcPr>
          <w:p w14:paraId="17BEC867">
            <w:pPr>
              <w:widowControl w:val="0"/>
              <w:spacing w:line="240" w:lineRule="exact"/>
              <w:jc w:val="center"/>
              <w:rPr>
                <w:rFonts w:eastAsia="楷体_GB2312"/>
                <w:color w:val="000000"/>
                <w:szCs w:val="21"/>
              </w:rPr>
            </w:pPr>
            <w:r>
              <w:rPr>
                <w:rFonts w:eastAsia="楷体_GB2312"/>
                <w:color w:val="000000"/>
                <w:szCs w:val="21"/>
              </w:rPr>
              <w:t>3.70%</w:t>
            </w:r>
          </w:p>
        </w:tc>
        <w:tc>
          <w:tcPr>
            <w:tcW w:w="0" w:type="auto"/>
            <w:tcBorders>
              <w:top w:val="nil"/>
              <w:left w:val="single" w:color="auto" w:sz="4" w:space="0"/>
              <w:bottom w:val="single" w:color="auto" w:sz="4" w:space="0"/>
              <w:right w:val="single" w:color="auto" w:sz="4" w:space="0"/>
            </w:tcBorders>
            <w:noWrap/>
            <w:vAlign w:val="center"/>
          </w:tcPr>
          <w:p w14:paraId="3CF5612C">
            <w:pPr>
              <w:widowControl w:val="0"/>
              <w:spacing w:line="240" w:lineRule="exact"/>
              <w:jc w:val="center"/>
              <w:rPr>
                <w:rFonts w:eastAsia="楷体_GB2312"/>
                <w:b/>
                <w:color w:val="000000"/>
                <w:szCs w:val="21"/>
              </w:rPr>
            </w:pPr>
            <w:r>
              <w:rPr>
                <w:rFonts w:eastAsia="楷体_GB2312"/>
                <w:b/>
                <w:color w:val="000000"/>
                <w:szCs w:val="21"/>
              </w:rPr>
              <w:t>200</w:t>
            </w:r>
          </w:p>
        </w:tc>
        <w:tc>
          <w:tcPr>
            <w:tcW w:w="0" w:type="auto"/>
            <w:tcBorders>
              <w:top w:val="nil"/>
              <w:left w:val="nil"/>
              <w:bottom w:val="single" w:color="auto" w:sz="8" w:space="0"/>
              <w:right w:val="single" w:color="auto" w:sz="8" w:space="0"/>
            </w:tcBorders>
            <w:noWrap/>
            <w:vAlign w:val="center"/>
          </w:tcPr>
          <w:p w14:paraId="0D87A4A5">
            <w:pPr>
              <w:widowControl w:val="0"/>
              <w:spacing w:line="240" w:lineRule="exact"/>
              <w:jc w:val="center"/>
              <w:rPr>
                <w:rFonts w:eastAsia="楷体_GB2312"/>
                <w:color w:val="000000"/>
                <w:szCs w:val="21"/>
              </w:rPr>
            </w:pPr>
            <w:r>
              <w:rPr>
                <w:rFonts w:eastAsia="楷体_GB2312"/>
                <w:color w:val="000000"/>
                <w:szCs w:val="21"/>
              </w:rPr>
              <w:t>185</w:t>
            </w:r>
          </w:p>
        </w:tc>
        <w:tc>
          <w:tcPr>
            <w:tcW w:w="0" w:type="auto"/>
            <w:tcBorders>
              <w:top w:val="nil"/>
              <w:left w:val="nil"/>
              <w:bottom w:val="single" w:color="auto" w:sz="8" w:space="0"/>
              <w:right w:val="single" w:color="auto" w:sz="8" w:space="0"/>
            </w:tcBorders>
            <w:noWrap w:val="0"/>
            <w:vAlign w:val="center"/>
          </w:tcPr>
          <w:p w14:paraId="5D3A7C7A">
            <w:pPr>
              <w:widowControl w:val="0"/>
              <w:spacing w:line="240" w:lineRule="exact"/>
              <w:jc w:val="center"/>
              <w:rPr>
                <w:rFonts w:eastAsia="楷体_GB2312"/>
                <w:color w:val="000000"/>
                <w:szCs w:val="21"/>
              </w:rPr>
            </w:pPr>
            <w:r>
              <w:rPr>
                <w:rFonts w:eastAsia="楷体_GB2312"/>
                <w:color w:val="000000"/>
                <w:szCs w:val="21"/>
              </w:rPr>
              <w:t>8.11%</w:t>
            </w:r>
          </w:p>
        </w:tc>
        <w:tc>
          <w:tcPr>
            <w:tcW w:w="0" w:type="auto"/>
            <w:tcBorders>
              <w:top w:val="nil"/>
              <w:left w:val="single" w:color="auto" w:sz="4" w:space="0"/>
              <w:bottom w:val="single" w:color="auto" w:sz="4" w:space="0"/>
              <w:right w:val="single" w:color="auto" w:sz="4" w:space="0"/>
            </w:tcBorders>
            <w:noWrap/>
            <w:vAlign w:val="center"/>
          </w:tcPr>
          <w:p w14:paraId="6BD373C6">
            <w:pPr>
              <w:widowControl w:val="0"/>
              <w:spacing w:line="240" w:lineRule="exact"/>
              <w:jc w:val="center"/>
              <w:rPr>
                <w:rFonts w:eastAsia="楷体_GB2312"/>
                <w:b/>
                <w:color w:val="000000"/>
                <w:szCs w:val="21"/>
              </w:rPr>
            </w:pPr>
            <w:r>
              <w:rPr>
                <w:rFonts w:eastAsia="楷体_GB2312"/>
                <w:b/>
                <w:color w:val="000000"/>
                <w:szCs w:val="21"/>
              </w:rPr>
              <w:t>144</w:t>
            </w:r>
          </w:p>
        </w:tc>
        <w:tc>
          <w:tcPr>
            <w:tcW w:w="0" w:type="auto"/>
            <w:tcBorders>
              <w:top w:val="nil"/>
              <w:left w:val="nil"/>
              <w:bottom w:val="single" w:color="auto" w:sz="8" w:space="0"/>
              <w:right w:val="single" w:color="auto" w:sz="8" w:space="0"/>
            </w:tcBorders>
            <w:noWrap/>
            <w:vAlign w:val="center"/>
          </w:tcPr>
          <w:p w14:paraId="053F60D4">
            <w:pPr>
              <w:widowControl w:val="0"/>
              <w:spacing w:line="240" w:lineRule="exact"/>
              <w:jc w:val="center"/>
              <w:rPr>
                <w:rFonts w:eastAsia="楷体_GB2312"/>
                <w:color w:val="000000"/>
                <w:szCs w:val="21"/>
              </w:rPr>
            </w:pPr>
            <w:r>
              <w:rPr>
                <w:rFonts w:eastAsia="楷体_GB2312"/>
                <w:color w:val="000000"/>
                <w:szCs w:val="21"/>
              </w:rPr>
              <w:t>144</w:t>
            </w:r>
          </w:p>
        </w:tc>
        <w:tc>
          <w:tcPr>
            <w:tcW w:w="0" w:type="auto"/>
            <w:tcBorders>
              <w:top w:val="nil"/>
              <w:left w:val="nil"/>
              <w:bottom w:val="single" w:color="auto" w:sz="8" w:space="0"/>
              <w:right w:val="single" w:color="auto" w:sz="8" w:space="0"/>
            </w:tcBorders>
            <w:noWrap w:val="0"/>
            <w:vAlign w:val="center"/>
          </w:tcPr>
          <w:p w14:paraId="4DE379C0">
            <w:pPr>
              <w:widowControl w:val="0"/>
              <w:spacing w:line="240" w:lineRule="exact"/>
              <w:jc w:val="center"/>
              <w:rPr>
                <w:rFonts w:eastAsia="楷体_GB2312"/>
                <w:color w:val="000000"/>
                <w:szCs w:val="21"/>
              </w:rPr>
            </w:pPr>
            <w:r>
              <w:rPr>
                <w:rFonts w:eastAsia="楷体_GB2312"/>
                <w:color w:val="000000"/>
                <w:szCs w:val="21"/>
              </w:rPr>
              <w:t>0.00%</w:t>
            </w:r>
          </w:p>
        </w:tc>
      </w:tr>
      <w:tr w14:paraId="4F897E02">
        <w:tblPrEx>
          <w:tblCellMar>
            <w:top w:w="0" w:type="dxa"/>
            <w:left w:w="108" w:type="dxa"/>
            <w:bottom w:w="0" w:type="dxa"/>
            <w:right w:w="108" w:type="dxa"/>
          </w:tblCellMar>
        </w:tblPrEx>
        <w:trPr>
          <w:trHeight w:val="20" w:hRule="atLeast"/>
          <w:jc w:val="center"/>
        </w:trPr>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04EBC3BC">
            <w:pPr>
              <w:widowControl w:val="0"/>
              <w:spacing w:line="240" w:lineRule="exact"/>
              <w:jc w:val="center"/>
              <w:rPr>
                <w:rFonts w:eastAsia="楷体_GB2312"/>
                <w:szCs w:val="21"/>
              </w:rPr>
            </w:pPr>
            <w:r>
              <w:rPr>
                <w:rFonts w:eastAsia="楷体_GB2312"/>
                <w:szCs w:val="21"/>
              </w:rPr>
              <w:t>17</w:t>
            </w:r>
          </w:p>
        </w:tc>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4330460D">
            <w:pPr>
              <w:widowControl w:val="0"/>
              <w:spacing w:line="240" w:lineRule="exact"/>
              <w:jc w:val="center"/>
              <w:rPr>
                <w:rFonts w:eastAsia="楷体_GB2312"/>
                <w:color w:val="000000"/>
                <w:szCs w:val="21"/>
              </w:rPr>
            </w:pPr>
            <w:r>
              <w:rPr>
                <w:rFonts w:eastAsia="楷体_GB2312"/>
                <w:color w:val="000000"/>
                <w:szCs w:val="21"/>
              </w:rPr>
              <w:t>解集镇</w:t>
            </w:r>
          </w:p>
        </w:tc>
        <w:tc>
          <w:tcPr>
            <w:tcW w:w="0" w:type="auto"/>
            <w:tcBorders>
              <w:top w:val="nil"/>
              <w:left w:val="nil"/>
              <w:bottom w:val="single" w:color="auto" w:sz="8" w:space="0"/>
              <w:right w:val="single" w:color="auto" w:sz="8" w:space="0"/>
            </w:tcBorders>
            <w:noWrap w:val="0"/>
            <w:vAlign w:val="center"/>
          </w:tcPr>
          <w:p w14:paraId="3005A81E">
            <w:pPr>
              <w:widowControl w:val="0"/>
              <w:spacing w:line="240" w:lineRule="exact"/>
              <w:jc w:val="center"/>
              <w:rPr>
                <w:rFonts w:eastAsia="楷体_GB2312"/>
                <w:szCs w:val="21"/>
              </w:rPr>
            </w:pPr>
            <w:r>
              <w:rPr>
                <w:rFonts w:eastAsia="楷体_GB2312"/>
                <w:szCs w:val="21"/>
              </w:rPr>
              <w:t>1</w:t>
            </w:r>
          </w:p>
        </w:tc>
        <w:tc>
          <w:tcPr>
            <w:tcW w:w="0" w:type="auto"/>
            <w:tcBorders>
              <w:top w:val="nil"/>
              <w:left w:val="single" w:color="auto" w:sz="4" w:space="0"/>
              <w:bottom w:val="single" w:color="auto" w:sz="4" w:space="0"/>
              <w:right w:val="single" w:color="auto" w:sz="4" w:space="0"/>
            </w:tcBorders>
            <w:noWrap/>
            <w:vAlign w:val="center"/>
          </w:tcPr>
          <w:p w14:paraId="62BE52DC">
            <w:pPr>
              <w:widowControl w:val="0"/>
              <w:spacing w:line="240" w:lineRule="exact"/>
              <w:jc w:val="center"/>
              <w:rPr>
                <w:rFonts w:eastAsia="楷体_GB2312"/>
                <w:b/>
                <w:color w:val="000000"/>
                <w:szCs w:val="21"/>
              </w:rPr>
            </w:pPr>
            <w:r>
              <w:rPr>
                <w:rFonts w:eastAsia="楷体_GB2312"/>
                <w:b/>
                <w:color w:val="000000"/>
                <w:szCs w:val="21"/>
              </w:rPr>
              <w:t>435</w:t>
            </w:r>
          </w:p>
        </w:tc>
        <w:tc>
          <w:tcPr>
            <w:tcW w:w="0" w:type="auto"/>
            <w:tcBorders>
              <w:top w:val="nil"/>
              <w:left w:val="nil"/>
              <w:bottom w:val="single" w:color="auto" w:sz="8" w:space="0"/>
              <w:right w:val="single" w:color="auto" w:sz="8" w:space="0"/>
            </w:tcBorders>
            <w:noWrap/>
            <w:vAlign w:val="center"/>
          </w:tcPr>
          <w:p w14:paraId="6F80076D">
            <w:pPr>
              <w:widowControl w:val="0"/>
              <w:spacing w:line="240" w:lineRule="exact"/>
              <w:jc w:val="center"/>
              <w:rPr>
                <w:rFonts w:eastAsia="楷体_GB2312"/>
                <w:color w:val="000000"/>
                <w:szCs w:val="21"/>
              </w:rPr>
            </w:pPr>
            <w:r>
              <w:rPr>
                <w:rFonts w:eastAsia="楷体_GB2312"/>
                <w:color w:val="000000"/>
                <w:szCs w:val="21"/>
              </w:rPr>
              <w:t>425</w:t>
            </w:r>
          </w:p>
        </w:tc>
        <w:tc>
          <w:tcPr>
            <w:tcW w:w="0" w:type="auto"/>
            <w:tcBorders>
              <w:top w:val="nil"/>
              <w:left w:val="nil"/>
              <w:bottom w:val="single" w:color="auto" w:sz="8" w:space="0"/>
              <w:right w:val="single" w:color="auto" w:sz="8" w:space="0"/>
            </w:tcBorders>
            <w:noWrap w:val="0"/>
            <w:vAlign w:val="center"/>
          </w:tcPr>
          <w:p w14:paraId="5F6B625C">
            <w:pPr>
              <w:widowControl w:val="0"/>
              <w:spacing w:line="240" w:lineRule="exact"/>
              <w:jc w:val="center"/>
              <w:rPr>
                <w:rFonts w:eastAsia="楷体_GB2312"/>
                <w:color w:val="000000"/>
                <w:szCs w:val="21"/>
              </w:rPr>
            </w:pPr>
            <w:r>
              <w:rPr>
                <w:rFonts w:eastAsia="楷体_GB2312"/>
                <w:color w:val="000000"/>
                <w:szCs w:val="21"/>
              </w:rPr>
              <w:t>2.35%</w:t>
            </w:r>
          </w:p>
        </w:tc>
        <w:tc>
          <w:tcPr>
            <w:tcW w:w="0" w:type="auto"/>
            <w:tcBorders>
              <w:top w:val="nil"/>
              <w:left w:val="single" w:color="auto" w:sz="4" w:space="0"/>
              <w:bottom w:val="single" w:color="auto" w:sz="4" w:space="0"/>
              <w:right w:val="single" w:color="auto" w:sz="4" w:space="0"/>
            </w:tcBorders>
            <w:noWrap/>
            <w:vAlign w:val="center"/>
          </w:tcPr>
          <w:p w14:paraId="08CC62CA">
            <w:pPr>
              <w:widowControl w:val="0"/>
              <w:spacing w:line="240" w:lineRule="exact"/>
              <w:jc w:val="center"/>
              <w:rPr>
                <w:rFonts w:eastAsia="楷体_GB2312"/>
                <w:b/>
                <w:color w:val="000000"/>
                <w:szCs w:val="21"/>
              </w:rPr>
            </w:pPr>
            <w:r>
              <w:rPr>
                <w:rFonts w:eastAsia="楷体_GB2312"/>
                <w:b/>
                <w:color w:val="000000"/>
                <w:szCs w:val="21"/>
              </w:rPr>
              <w:t>335</w:t>
            </w:r>
          </w:p>
        </w:tc>
        <w:tc>
          <w:tcPr>
            <w:tcW w:w="0" w:type="auto"/>
            <w:tcBorders>
              <w:top w:val="nil"/>
              <w:left w:val="nil"/>
              <w:bottom w:val="single" w:color="auto" w:sz="8" w:space="0"/>
              <w:right w:val="single" w:color="auto" w:sz="8" w:space="0"/>
            </w:tcBorders>
            <w:noWrap/>
            <w:vAlign w:val="center"/>
          </w:tcPr>
          <w:p w14:paraId="7399E903">
            <w:pPr>
              <w:widowControl w:val="0"/>
              <w:spacing w:line="240" w:lineRule="exact"/>
              <w:jc w:val="center"/>
              <w:rPr>
                <w:rFonts w:eastAsia="楷体_GB2312"/>
                <w:color w:val="000000"/>
                <w:szCs w:val="21"/>
              </w:rPr>
            </w:pPr>
            <w:r>
              <w:rPr>
                <w:rFonts w:eastAsia="楷体_GB2312"/>
                <w:color w:val="000000"/>
                <w:szCs w:val="21"/>
              </w:rPr>
              <w:t>314</w:t>
            </w:r>
          </w:p>
        </w:tc>
        <w:tc>
          <w:tcPr>
            <w:tcW w:w="0" w:type="auto"/>
            <w:tcBorders>
              <w:top w:val="nil"/>
              <w:left w:val="nil"/>
              <w:bottom w:val="single" w:color="auto" w:sz="8" w:space="0"/>
              <w:right w:val="single" w:color="auto" w:sz="8" w:space="0"/>
            </w:tcBorders>
            <w:noWrap w:val="0"/>
            <w:vAlign w:val="center"/>
          </w:tcPr>
          <w:p w14:paraId="014FB0C1">
            <w:pPr>
              <w:widowControl w:val="0"/>
              <w:spacing w:line="240" w:lineRule="exact"/>
              <w:jc w:val="center"/>
              <w:rPr>
                <w:rFonts w:eastAsia="楷体_GB2312"/>
                <w:color w:val="000000"/>
                <w:szCs w:val="21"/>
              </w:rPr>
            </w:pPr>
            <w:r>
              <w:rPr>
                <w:rFonts w:eastAsia="楷体_GB2312"/>
                <w:color w:val="000000"/>
                <w:szCs w:val="21"/>
              </w:rPr>
              <w:t>6.69%</w:t>
            </w:r>
          </w:p>
        </w:tc>
        <w:tc>
          <w:tcPr>
            <w:tcW w:w="0" w:type="auto"/>
            <w:tcBorders>
              <w:top w:val="nil"/>
              <w:left w:val="single" w:color="auto" w:sz="4" w:space="0"/>
              <w:bottom w:val="single" w:color="auto" w:sz="4" w:space="0"/>
              <w:right w:val="single" w:color="auto" w:sz="4" w:space="0"/>
            </w:tcBorders>
            <w:noWrap/>
            <w:vAlign w:val="center"/>
          </w:tcPr>
          <w:p w14:paraId="486503D9">
            <w:pPr>
              <w:widowControl w:val="0"/>
              <w:spacing w:line="240" w:lineRule="exact"/>
              <w:jc w:val="center"/>
              <w:rPr>
                <w:rFonts w:eastAsia="楷体_GB2312"/>
                <w:b/>
                <w:color w:val="000000"/>
                <w:szCs w:val="21"/>
              </w:rPr>
            </w:pPr>
            <w:r>
              <w:rPr>
                <w:rFonts w:eastAsia="楷体_GB2312"/>
                <w:b/>
                <w:color w:val="000000"/>
                <w:szCs w:val="21"/>
              </w:rPr>
              <w:t>170</w:t>
            </w:r>
          </w:p>
        </w:tc>
        <w:tc>
          <w:tcPr>
            <w:tcW w:w="0" w:type="auto"/>
            <w:tcBorders>
              <w:top w:val="nil"/>
              <w:left w:val="nil"/>
              <w:bottom w:val="single" w:color="auto" w:sz="8" w:space="0"/>
              <w:right w:val="single" w:color="auto" w:sz="8" w:space="0"/>
            </w:tcBorders>
            <w:noWrap/>
            <w:vAlign w:val="center"/>
          </w:tcPr>
          <w:p w14:paraId="387CC517">
            <w:pPr>
              <w:widowControl w:val="0"/>
              <w:spacing w:line="240" w:lineRule="exact"/>
              <w:jc w:val="center"/>
              <w:rPr>
                <w:rFonts w:eastAsia="楷体_GB2312"/>
                <w:color w:val="000000"/>
                <w:szCs w:val="21"/>
              </w:rPr>
            </w:pPr>
            <w:r>
              <w:rPr>
                <w:rFonts w:eastAsia="楷体_GB2312"/>
                <w:color w:val="000000"/>
                <w:szCs w:val="21"/>
              </w:rPr>
              <w:t>165</w:t>
            </w:r>
          </w:p>
        </w:tc>
        <w:tc>
          <w:tcPr>
            <w:tcW w:w="0" w:type="auto"/>
            <w:tcBorders>
              <w:top w:val="nil"/>
              <w:left w:val="nil"/>
              <w:bottom w:val="single" w:color="auto" w:sz="8" w:space="0"/>
              <w:right w:val="single" w:color="auto" w:sz="8" w:space="0"/>
            </w:tcBorders>
            <w:noWrap w:val="0"/>
            <w:vAlign w:val="center"/>
          </w:tcPr>
          <w:p w14:paraId="21BE3C2E">
            <w:pPr>
              <w:widowControl w:val="0"/>
              <w:spacing w:line="240" w:lineRule="exact"/>
              <w:jc w:val="center"/>
              <w:rPr>
                <w:rFonts w:eastAsia="楷体_GB2312"/>
                <w:color w:val="000000"/>
                <w:szCs w:val="21"/>
              </w:rPr>
            </w:pPr>
            <w:r>
              <w:rPr>
                <w:rFonts w:eastAsia="楷体_GB2312"/>
                <w:color w:val="000000"/>
                <w:szCs w:val="21"/>
              </w:rPr>
              <w:t>3.03%</w:t>
            </w:r>
          </w:p>
        </w:tc>
      </w:tr>
      <w:tr w14:paraId="340D6BE2">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07E2A298">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21ECB423">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352A31C5">
            <w:pPr>
              <w:widowControl w:val="0"/>
              <w:spacing w:line="240" w:lineRule="exact"/>
              <w:jc w:val="center"/>
              <w:rPr>
                <w:rFonts w:eastAsia="楷体_GB2312"/>
                <w:szCs w:val="21"/>
              </w:rPr>
            </w:pPr>
            <w:r>
              <w:rPr>
                <w:rFonts w:eastAsia="楷体_GB2312"/>
                <w:szCs w:val="21"/>
              </w:rPr>
              <w:t>2</w:t>
            </w:r>
          </w:p>
        </w:tc>
        <w:tc>
          <w:tcPr>
            <w:tcW w:w="0" w:type="auto"/>
            <w:tcBorders>
              <w:top w:val="nil"/>
              <w:left w:val="single" w:color="auto" w:sz="4" w:space="0"/>
              <w:bottom w:val="single" w:color="auto" w:sz="4" w:space="0"/>
              <w:right w:val="single" w:color="auto" w:sz="4" w:space="0"/>
            </w:tcBorders>
            <w:noWrap/>
            <w:vAlign w:val="center"/>
          </w:tcPr>
          <w:p w14:paraId="4ED4EE3C">
            <w:pPr>
              <w:widowControl w:val="0"/>
              <w:spacing w:line="240" w:lineRule="exact"/>
              <w:jc w:val="center"/>
              <w:rPr>
                <w:rFonts w:eastAsia="楷体_GB2312"/>
                <w:b/>
                <w:color w:val="000000"/>
                <w:szCs w:val="21"/>
              </w:rPr>
            </w:pPr>
            <w:r>
              <w:rPr>
                <w:rFonts w:eastAsia="楷体_GB2312"/>
                <w:b/>
                <w:color w:val="000000"/>
                <w:szCs w:val="21"/>
              </w:rPr>
              <w:t>345</w:t>
            </w:r>
          </w:p>
        </w:tc>
        <w:tc>
          <w:tcPr>
            <w:tcW w:w="0" w:type="auto"/>
            <w:tcBorders>
              <w:top w:val="nil"/>
              <w:left w:val="nil"/>
              <w:bottom w:val="single" w:color="auto" w:sz="8" w:space="0"/>
              <w:right w:val="single" w:color="auto" w:sz="8" w:space="0"/>
            </w:tcBorders>
            <w:noWrap/>
            <w:vAlign w:val="center"/>
          </w:tcPr>
          <w:p w14:paraId="7B45A934">
            <w:pPr>
              <w:widowControl w:val="0"/>
              <w:spacing w:line="240" w:lineRule="exact"/>
              <w:jc w:val="center"/>
              <w:rPr>
                <w:rFonts w:eastAsia="楷体_GB2312"/>
                <w:color w:val="000000"/>
                <w:szCs w:val="21"/>
              </w:rPr>
            </w:pPr>
            <w:r>
              <w:rPr>
                <w:rFonts w:eastAsia="楷体_GB2312"/>
                <w:color w:val="000000"/>
                <w:szCs w:val="21"/>
              </w:rPr>
              <w:t>343</w:t>
            </w:r>
          </w:p>
        </w:tc>
        <w:tc>
          <w:tcPr>
            <w:tcW w:w="0" w:type="auto"/>
            <w:tcBorders>
              <w:top w:val="nil"/>
              <w:left w:val="nil"/>
              <w:bottom w:val="single" w:color="auto" w:sz="8" w:space="0"/>
              <w:right w:val="single" w:color="auto" w:sz="8" w:space="0"/>
            </w:tcBorders>
            <w:noWrap w:val="0"/>
            <w:vAlign w:val="center"/>
          </w:tcPr>
          <w:p w14:paraId="0717E034">
            <w:pPr>
              <w:widowControl w:val="0"/>
              <w:spacing w:line="240" w:lineRule="exact"/>
              <w:jc w:val="center"/>
              <w:rPr>
                <w:rFonts w:eastAsia="楷体_GB2312"/>
                <w:color w:val="000000"/>
                <w:szCs w:val="21"/>
              </w:rPr>
            </w:pPr>
            <w:r>
              <w:rPr>
                <w:rFonts w:eastAsia="楷体_GB2312"/>
                <w:color w:val="000000"/>
                <w:szCs w:val="21"/>
              </w:rPr>
              <w:t>0.58%</w:t>
            </w:r>
          </w:p>
        </w:tc>
        <w:tc>
          <w:tcPr>
            <w:tcW w:w="0" w:type="auto"/>
            <w:tcBorders>
              <w:top w:val="nil"/>
              <w:left w:val="single" w:color="auto" w:sz="4" w:space="0"/>
              <w:bottom w:val="single" w:color="auto" w:sz="4" w:space="0"/>
              <w:right w:val="single" w:color="auto" w:sz="4" w:space="0"/>
            </w:tcBorders>
            <w:noWrap/>
            <w:vAlign w:val="center"/>
          </w:tcPr>
          <w:p w14:paraId="15446DEF">
            <w:pPr>
              <w:widowControl w:val="0"/>
              <w:spacing w:line="240" w:lineRule="exact"/>
              <w:jc w:val="center"/>
              <w:rPr>
                <w:rFonts w:eastAsia="楷体_GB2312"/>
                <w:b/>
                <w:color w:val="000000"/>
                <w:szCs w:val="21"/>
              </w:rPr>
            </w:pPr>
            <w:r>
              <w:rPr>
                <w:rFonts w:eastAsia="楷体_GB2312"/>
                <w:b/>
                <w:color w:val="000000"/>
                <w:szCs w:val="21"/>
              </w:rPr>
              <w:t>255</w:t>
            </w:r>
          </w:p>
        </w:tc>
        <w:tc>
          <w:tcPr>
            <w:tcW w:w="0" w:type="auto"/>
            <w:tcBorders>
              <w:top w:val="nil"/>
              <w:left w:val="nil"/>
              <w:bottom w:val="single" w:color="auto" w:sz="8" w:space="0"/>
              <w:right w:val="single" w:color="auto" w:sz="8" w:space="0"/>
            </w:tcBorders>
            <w:noWrap/>
            <w:vAlign w:val="center"/>
          </w:tcPr>
          <w:p w14:paraId="4D5E4575">
            <w:pPr>
              <w:widowControl w:val="0"/>
              <w:spacing w:line="240" w:lineRule="exact"/>
              <w:jc w:val="center"/>
              <w:rPr>
                <w:rFonts w:eastAsia="楷体_GB2312"/>
                <w:color w:val="000000"/>
                <w:szCs w:val="21"/>
              </w:rPr>
            </w:pPr>
            <w:r>
              <w:rPr>
                <w:rFonts w:eastAsia="楷体_GB2312"/>
                <w:color w:val="000000"/>
                <w:szCs w:val="21"/>
              </w:rPr>
              <w:t>243</w:t>
            </w:r>
          </w:p>
        </w:tc>
        <w:tc>
          <w:tcPr>
            <w:tcW w:w="0" w:type="auto"/>
            <w:tcBorders>
              <w:top w:val="nil"/>
              <w:left w:val="nil"/>
              <w:bottom w:val="single" w:color="auto" w:sz="8" w:space="0"/>
              <w:right w:val="single" w:color="auto" w:sz="8" w:space="0"/>
            </w:tcBorders>
            <w:noWrap w:val="0"/>
            <w:vAlign w:val="center"/>
          </w:tcPr>
          <w:p w14:paraId="243CDF7B">
            <w:pPr>
              <w:widowControl w:val="0"/>
              <w:spacing w:line="240" w:lineRule="exact"/>
              <w:jc w:val="center"/>
              <w:rPr>
                <w:rFonts w:eastAsia="楷体_GB2312"/>
                <w:color w:val="000000"/>
                <w:szCs w:val="21"/>
              </w:rPr>
            </w:pPr>
            <w:r>
              <w:rPr>
                <w:rFonts w:eastAsia="楷体_GB2312"/>
                <w:color w:val="000000"/>
                <w:szCs w:val="21"/>
              </w:rPr>
              <w:t>4.94%</w:t>
            </w:r>
          </w:p>
        </w:tc>
        <w:tc>
          <w:tcPr>
            <w:tcW w:w="0" w:type="auto"/>
            <w:tcBorders>
              <w:top w:val="nil"/>
              <w:left w:val="single" w:color="auto" w:sz="4" w:space="0"/>
              <w:bottom w:val="single" w:color="auto" w:sz="4" w:space="0"/>
              <w:right w:val="single" w:color="auto" w:sz="4" w:space="0"/>
            </w:tcBorders>
            <w:noWrap/>
            <w:vAlign w:val="center"/>
          </w:tcPr>
          <w:p w14:paraId="527B45FA">
            <w:pPr>
              <w:widowControl w:val="0"/>
              <w:spacing w:line="240" w:lineRule="exact"/>
              <w:jc w:val="center"/>
              <w:rPr>
                <w:rFonts w:eastAsia="楷体_GB2312"/>
                <w:b/>
                <w:color w:val="000000"/>
                <w:szCs w:val="21"/>
              </w:rPr>
            </w:pPr>
            <w:r>
              <w:rPr>
                <w:rFonts w:eastAsia="楷体_GB2312"/>
                <w:b/>
                <w:color w:val="000000"/>
                <w:szCs w:val="21"/>
              </w:rPr>
              <w:t>155</w:t>
            </w:r>
          </w:p>
        </w:tc>
        <w:tc>
          <w:tcPr>
            <w:tcW w:w="0" w:type="auto"/>
            <w:tcBorders>
              <w:top w:val="nil"/>
              <w:left w:val="nil"/>
              <w:bottom w:val="single" w:color="auto" w:sz="8" w:space="0"/>
              <w:right w:val="single" w:color="auto" w:sz="8" w:space="0"/>
            </w:tcBorders>
            <w:noWrap/>
            <w:vAlign w:val="center"/>
          </w:tcPr>
          <w:p w14:paraId="1BCA6FF9">
            <w:pPr>
              <w:widowControl w:val="0"/>
              <w:spacing w:line="240" w:lineRule="exact"/>
              <w:jc w:val="center"/>
              <w:rPr>
                <w:rFonts w:eastAsia="楷体_GB2312"/>
                <w:color w:val="000000"/>
                <w:szCs w:val="21"/>
              </w:rPr>
            </w:pPr>
            <w:r>
              <w:rPr>
                <w:rFonts w:eastAsia="楷体_GB2312"/>
                <w:color w:val="000000"/>
                <w:szCs w:val="21"/>
              </w:rPr>
              <w:t>150</w:t>
            </w:r>
          </w:p>
        </w:tc>
        <w:tc>
          <w:tcPr>
            <w:tcW w:w="0" w:type="auto"/>
            <w:tcBorders>
              <w:top w:val="nil"/>
              <w:left w:val="nil"/>
              <w:bottom w:val="single" w:color="auto" w:sz="8" w:space="0"/>
              <w:right w:val="single" w:color="auto" w:sz="8" w:space="0"/>
            </w:tcBorders>
            <w:noWrap w:val="0"/>
            <w:vAlign w:val="center"/>
          </w:tcPr>
          <w:p w14:paraId="6DB0173C">
            <w:pPr>
              <w:widowControl w:val="0"/>
              <w:spacing w:line="240" w:lineRule="exact"/>
              <w:jc w:val="center"/>
              <w:rPr>
                <w:rFonts w:eastAsia="楷体_GB2312"/>
                <w:color w:val="000000"/>
                <w:szCs w:val="21"/>
              </w:rPr>
            </w:pPr>
            <w:r>
              <w:rPr>
                <w:rFonts w:eastAsia="楷体_GB2312"/>
                <w:color w:val="000000"/>
                <w:szCs w:val="21"/>
              </w:rPr>
              <w:t>3.33%</w:t>
            </w:r>
          </w:p>
        </w:tc>
      </w:tr>
      <w:tr w14:paraId="78758997">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auto" w:sz="4" w:space="0"/>
              <w:right w:val="single" w:color="auto" w:sz="8" w:space="0"/>
            </w:tcBorders>
            <w:noWrap w:val="0"/>
            <w:vAlign w:val="center"/>
          </w:tcPr>
          <w:p w14:paraId="1C1DFCE9">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auto" w:sz="4" w:space="0"/>
              <w:right w:val="single" w:color="auto" w:sz="8" w:space="0"/>
            </w:tcBorders>
            <w:noWrap w:val="0"/>
            <w:vAlign w:val="center"/>
          </w:tcPr>
          <w:p w14:paraId="53B319E7">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7AC81B56">
            <w:pPr>
              <w:widowControl w:val="0"/>
              <w:spacing w:line="240" w:lineRule="exact"/>
              <w:jc w:val="center"/>
              <w:rPr>
                <w:rFonts w:eastAsia="楷体_GB2312"/>
                <w:szCs w:val="21"/>
              </w:rPr>
            </w:pPr>
            <w:r>
              <w:rPr>
                <w:rFonts w:eastAsia="楷体_GB2312"/>
                <w:szCs w:val="21"/>
              </w:rPr>
              <w:t>3</w:t>
            </w:r>
          </w:p>
        </w:tc>
        <w:tc>
          <w:tcPr>
            <w:tcW w:w="0" w:type="auto"/>
            <w:tcBorders>
              <w:top w:val="nil"/>
              <w:left w:val="single" w:color="auto" w:sz="4" w:space="0"/>
              <w:bottom w:val="single" w:color="auto" w:sz="4" w:space="0"/>
              <w:right w:val="single" w:color="auto" w:sz="4" w:space="0"/>
            </w:tcBorders>
            <w:noWrap/>
            <w:vAlign w:val="center"/>
          </w:tcPr>
          <w:p w14:paraId="288D66B8">
            <w:pPr>
              <w:widowControl w:val="0"/>
              <w:spacing w:line="240" w:lineRule="exact"/>
              <w:jc w:val="center"/>
              <w:rPr>
                <w:rFonts w:eastAsia="楷体_GB2312"/>
                <w:b/>
                <w:color w:val="000000"/>
                <w:szCs w:val="21"/>
              </w:rPr>
            </w:pPr>
            <w:r>
              <w:rPr>
                <w:rFonts w:eastAsia="楷体_GB2312"/>
                <w:b/>
                <w:color w:val="000000"/>
                <w:szCs w:val="21"/>
              </w:rPr>
              <w:t>265</w:t>
            </w:r>
          </w:p>
        </w:tc>
        <w:tc>
          <w:tcPr>
            <w:tcW w:w="0" w:type="auto"/>
            <w:tcBorders>
              <w:top w:val="nil"/>
              <w:left w:val="nil"/>
              <w:bottom w:val="single" w:color="auto" w:sz="8" w:space="0"/>
              <w:right w:val="single" w:color="auto" w:sz="8" w:space="0"/>
            </w:tcBorders>
            <w:noWrap/>
            <w:vAlign w:val="center"/>
          </w:tcPr>
          <w:p w14:paraId="1E92B6D3">
            <w:pPr>
              <w:widowControl w:val="0"/>
              <w:spacing w:line="240" w:lineRule="exact"/>
              <w:jc w:val="center"/>
              <w:rPr>
                <w:rFonts w:eastAsia="楷体_GB2312"/>
                <w:color w:val="000000"/>
                <w:szCs w:val="21"/>
              </w:rPr>
            </w:pPr>
            <w:r>
              <w:rPr>
                <w:rFonts w:eastAsia="楷体_GB2312"/>
                <w:color w:val="000000"/>
                <w:szCs w:val="21"/>
              </w:rPr>
              <w:t>254</w:t>
            </w:r>
          </w:p>
        </w:tc>
        <w:tc>
          <w:tcPr>
            <w:tcW w:w="0" w:type="auto"/>
            <w:tcBorders>
              <w:top w:val="nil"/>
              <w:left w:val="nil"/>
              <w:bottom w:val="single" w:color="auto" w:sz="8" w:space="0"/>
              <w:right w:val="single" w:color="auto" w:sz="8" w:space="0"/>
            </w:tcBorders>
            <w:noWrap w:val="0"/>
            <w:vAlign w:val="center"/>
          </w:tcPr>
          <w:p w14:paraId="0B35786A">
            <w:pPr>
              <w:widowControl w:val="0"/>
              <w:spacing w:line="240" w:lineRule="exact"/>
              <w:jc w:val="center"/>
              <w:rPr>
                <w:rFonts w:eastAsia="楷体_GB2312"/>
                <w:color w:val="000000"/>
                <w:szCs w:val="21"/>
              </w:rPr>
            </w:pPr>
            <w:r>
              <w:rPr>
                <w:rFonts w:eastAsia="楷体_GB2312"/>
                <w:color w:val="000000"/>
                <w:szCs w:val="21"/>
              </w:rPr>
              <w:t>4.33%</w:t>
            </w:r>
          </w:p>
        </w:tc>
        <w:tc>
          <w:tcPr>
            <w:tcW w:w="0" w:type="auto"/>
            <w:tcBorders>
              <w:top w:val="nil"/>
              <w:left w:val="single" w:color="auto" w:sz="4" w:space="0"/>
              <w:bottom w:val="single" w:color="auto" w:sz="4" w:space="0"/>
              <w:right w:val="single" w:color="auto" w:sz="4" w:space="0"/>
            </w:tcBorders>
            <w:noWrap/>
            <w:vAlign w:val="center"/>
          </w:tcPr>
          <w:p w14:paraId="6F73C982">
            <w:pPr>
              <w:widowControl w:val="0"/>
              <w:spacing w:line="240" w:lineRule="exact"/>
              <w:jc w:val="center"/>
              <w:rPr>
                <w:rFonts w:eastAsia="楷体_GB2312"/>
                <w:b/>
                <w:color w:val="000000"/>
                <w:szCs w:val="21"/>
              </w:rPr>
            </w:pPr>
            <w:r>
              <w:rPr>
                <w:rFonts w:eastAsia="楷体_GB2312"/>
                <w:b/>
                <w:color w:val="000000"/>
                <w:szCs w:val="21"/>
              </w:rPr>
              <w:t>195</w:t>
            </w:r>
          </w:p>
        </w:tc>
        <w:tc>
          <w:tcPr>
            <w:tcW w:w="0" w:type="auto"/>
            <w:tcBorders>
              <w:top w:val="nil"/>
              <w:left w:val="nil"/>
              <w:bottom w:val="single" w:color="auto" w:sz="8" w:space="0"/>
              <w:right w:val="single" w:color="auto" w:sz="8" w:space="0"/>
            </w:tcBorders>
            <w:noWrap/>
            <w:vAlign w:val="center"/>
          </w:tcPr>
          <w:p w14:paraId="6D644CE4">
            <w:pPr>
              <w:widowControl w:val="0"/>
              <w:spacing w:line="240" w:lineRule="exact"/>
              <w:jc w:val="center"/>
              <w:rPr>
                <w:rFonts w:eastAsia="楷体_GB2312"/>
                <w:color w:val="000000"/>
                <w:szCs w:val="21"/>
              </w:rPr>
            </w:pPr>
            <w:r>
              <w:rPr>
                <w:rFonts w:eastAsia="楷体_GB2312"/>
                <w:color w:val="000000"/>
                <w:szCs w:val="21"/>
              </w:rPr>
              <w:t>164</w:t>
            </w:r>
          </w:p>
        </w:tc>
        <w:tc>
          <w:tcPr>
            <w:tcW w:w="0" w:type="auto"/>
            <w:tcBorders>
              <w:top w:val="nil"/>
              <w:left w:val="nil"/>
              <w:bottom w:val="single" w:color="auto" w:sz="8" w:space="0"/>
              <w:right w:val="single" w:color="auto" w:sz="8" w:space="0"/>
            </w:tcBorders>
            <w:noWrap w:val="0"/>
            <w:vAlign w:val="center"/>
          </w:tcPr>
          <w:p w14:paraId="6335555B">
            <w:pPr>
              <w:widowControl w:val="0"/>
              <w:spacing w:line="240" w:lineRule="exact"/>
              <w:jc w:val="center"/>
              <w:rPr>
                <w:rFonts w:eastAsia="楷体_GB2312"/>
                <w:color w:val="000000"/>
                <w:szCs w:val="21"/>
              </w:rPr>
            </w:pPr>
            <w:r>
              <w:rPr>
                <w:rFonts w:eastAsia="楷体_GB2312"/>
                <w:color w:val="000000"/>
                <w:szCs w:val="21"/>
              </w:rPr>
              <w:t>18.90%</w:t>
            </w:r>
          </w:p>
        </w:tc>
        <w:tc>
          <w:tcPr>
            <w:tcW w:w="0" w:type="auto"/>
            <w:tcBorders>
              <w:top w:val="nil"/>
              <w:left w:val="single" w:color="auto" w:sz="4" w:space="0"/>
              <w:bottom w:val="single" w:color="auto" w:sz="4" w:space="0"/>
              <w:right w:val="single" w:color="auto" w:sz="4" w:space="0"/>
            </w:tcBorders>
            <w:noWrap/>
            <w:vAlign w:val="center"/>
          </w:tcPr>
          <w:p w14:paraId="794C6E29">
            <w:pPr>
              <w:widowControl w:val="0"/>
              <w:spacing w:line="240" w:lineRule="exact"/>
              <w:jc w:val="center"/>
              <w:rPr>
                <w:rFonts w:eastAsia="楷体_GB2312"/>
                <w:b/>
                <w:color w:val="000000"/>
                <w:szCs w:val="21"/>
              </w:rPr>
            </w:pPr>
            <w:r>
              <w:rPr>
                <w:rFonts w:eastAsia="楷体_GB2312"/>
                <w:b/>
                <w:color w:val="000000"/>
                <w:szCs w:val="21"/>
              </w:rPr>
              <w:t>144</w:t>
            </w:r>
          </w:p>
        </w:tc>
        <w:tc>
          <w:tcPr>
            <w:tcW w:w="0" w:type="auto"/>
            <w:tcBorders>
              <w:top w:val="nil"/>
              <w:left w:val="nil"/>
              <w:bottom w:val="single" w:color="auto" w:sz="8" w:space="0"/>
              <w:right w:val="single" w:color="auto" w:sz="8" w:space="0"/>
            </w:tcBorders>
            <w:noWrap/>
            <w:vAlign w:val="center"/>
          </w:tcPr>
          <w:p w14:paraId="2D4DF46E">
            <w:pPr>
              <w:widowControl w:val="0"/>
              <w:spacing w:line="240" w:lineRule="exact"/>
              <w:jc w:val="center"/>
              <w:rPr>
                <w:rFonts w:eastAsia="楷体_GB2312"/>
                <w:color w:val="000000"/>
                <w:szCs w:val="21"/>
              </w:rPr>
            </w:pPr>
            <w:r>
              <w:rPr>
                <w:rFonts w:eastAsia="楷体_GB2312"/>
                <w:color w:val="000000"/>
                <w:szCs w:val="21"/>
              </w:rPr>
              <w:t>144</w:t>
            </w:r>
          </w:p>
        </w:tc>
        <w:tc>
          <w:tcPr>
            <w:tcW w:w="0" w:type="auto"/>
            <w:tcBorders>
              <w:top w:val="nil"/>
              <w:left w:val="nil"/>
              <w:bottom w:val="single" w:color="auto" w:sz="8" w:space="0"/>
              <w:right w:val="single" w:color="auto" w:sz="8" w:space="0"/>
            </w:tcBorders>
            <w:noWrap w:val="0"/>
            <w:vAlign w:val="center"/>
          </w:tcPr>
          <w:p w14:paraId="4CF01337">
            <w:pPr>
              <w:widowControl w:val="0"/>
              <w:spacing w:line="240" w:lineRule="exact"/>
              <w:jc w:val="center"/>
              <w:rPr>
                <w:rFonts w:eastAsia="楷体_GB2312"/>
                <w:color w:val="000000"/>
                <w:szCs w:val="21"/>
              </w:rPr>
            </w:pPr>
            <w:r>
              <w:rPr>
                <w:rFonts w:eastAsia="楷体_GB2312"/>
                <w:color w:val="000000"/>
                <w:szCs w:val="21"/>
              </w:rPr>
              <w:t>0.00%</w:t>
            </w:r>
          </w:p>
        </w:tc>
      </w:tr>
      <w:tr w14:paraId="46B7646F">
        <w:tblPrEx>
          <w:tblCellMar>
            <w:top w:w="0" w:type="dxa"/>
            <w:left w:w="108" w:type="dxa"/>
            <w:bottom w:w="0" w:type="dxa"/>
            <w:right w:w="108" w:type="dxa"/>
          </w:tblCellMar>
        </w:tblPrEx>
        <w:trPr>
          <w:trHeight w:val="20" w:hRule="atLeast"/>
          <w:jc w:val="center"/>
        </w:trPr>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3956BD62">
            <w:pPr>
              <w:widowControl w:val="0"/>
              <w:spacing w:line="240" w:lineRule="exact"/>
              <w:jc w:val="center"/>
              <w:rPr>
                <w:rFonts w:eastAsia="楷体_GB2312"/>
                <w:szCs w:val="21"/>
              </w:rPr>
            </w:pPr>
            <w:r>
              <w:rPr>
                <w:rFonts w:eastAsia="楷体_GB2312"/>
                <w:szCs w:val="21"/>
              </w:rPr>
              <w:t>18</w:t>
            </w:r>
          </w:p>
        </w:tc>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384997F1">
            <w:pPr>
              <w:widowControl w:val="0"/>
              <w:spacing w:line="240" w:lineRule="exact"/>
              <w:jc w:val="center"/>
              <w:rPr>
                <w:rFonts w:eastAsia="楷体_GB2312"/>
                <w:color w:val="000000"/>
                <w:szCs w:val="21"/>
              </w:rPr>
            </w:pPr>
            <w:r>
              <w:rPr>
                <w:rFonts w:eastAsia="楷体_GB2312"/>
                <w:color w:val="000000"/>
                <w:szCs w:val="21"/>
              </w:rPr>
              <w:t>大泽乡镇</w:t>
            </w:r>
          </w:p>
        </w:tc>
        <w:tc>
          <w:tcPr>
            <w:tcW w:w="0" w:type="auto"/>
            <w:tcBorders>
              <w:top w:val="nil"/>
              <w:left w:val="nil"/>
              <w:bottom w:val="single" w:color="auto" w:sz="8" w:space="0"/>
              <w:right w:val="single" w:color="auto" w:sz="8" w:space="0"/>
            </w:tcBorders>
            <w:noWrap w:val="0"/>
            <w:vAlign w:val="center"/>
          </w:tcPr>
          <w:p w14:paraId="7DE39BC5">
            <w:pPr>
              <w:widowControl w:val="0"/>
              <w:spacing w:line="240" w:lineRule="exact"/>
              <w:jc w:val="center"/>
              <w:rPr>
                <w:rFonts w:eastAsia="楷体_GB2312"/>
                <w:szCs w:val="21"/>
              </w:rPr>
            </w:pPr>
            <w:r>
              <w:rPr>
                <w:rFonts w:eastAsia="楷体_GB2312"/>
                <w:szCs w:val="21"/>
              </w:rPr>
              <w:t>1</w:t>
            </w:r>
          </w:p>
        </w:tc>
        <w:tc>
          <w:tcPr>
            <w:tcW w:w="0" w:type="auto"/>
            <w:tcBorders>
              <w:top w:val="nil"/>
              <w:left w:val="single" w:color="auto" w:sz="4" w:space="0"/>
              <w:bottom w:val="single" w:color="auto" w:sz="4" w:space="0"/>
              <w:right w:val="single" w:color="auto" w:sz="4" w:space="0"/>
            </w:tcBorders>
            <w:noWrap/>
            <w:vAlign w:val="center"/>
          </w:tcPr>
          <w:p w14:paraId="263ABB3B">
            <w:pPr>
              <w:widowControl w:val="0"/>
              <w:spacing w:line="240" w:lineRule="exact"/>
              <w:jc w:val="center"/>
              <w:rPr>
                <w:rFonts w:eastAsia="楷体_GB2312"/>
                <w:b/>
                <w:color w:val="000000"/>
                <w:szCs w:val="21"/>
              </w:rPr>
            </w:pPr>
            <w:r>
              <w:rPr>
                <w:rFonts w:eastAsia="楷体_GB2312"/>
                <w:b/>
                <w:color w:val="000000"/>
                <w:szCs w:val="21"/>
              </w:rPr>
              <w:t>435</w:t>
            </w:r>
          </w:p>
        </w:tc>
        <w:tc>
          <w:tcPr>
            <w:tcW w:w="0" w:type="auto"/>
            <w:tcBorders>
              <w:top w:val="nil"/>
              <w:left w:val="nil"/>
              <w:bottom w:val="single" w:color="auto" w:sz="8" w:space="0"/>
              <w:right w:val="single" w:color="auto" w:sz="8" w:space="0"/>
            </w:tcBorders>
            <w:noWrap/>
            <w:vAlign w:val="center"/>
          </w:tcPr>
          <w:p w14:paraId="05322EE3">
            <w:pPr>
              <w:widowControl w:val="0"/>
              <w:spacing w:line="240" w:lineRule="exact"/>
              <w:jc w:val="center"/>
              <w:rPr>
                <w:rFonts w:eastAsia="楷体_GB2312"/>
                <w:color w:val="000000"/>
                <w:szCs w:val="21"/>
              </w:rPr>
            </w:pPr>
            <w:r>
              <w:rPr>
                <w:rFonts w:eastAsia="楷体_GB2312"/>
                <w:color w:val="000000"/>
                <w:szCs w:val="21"/>
              </w:rPr>
              <w:t>425</w:t>
            </w:r>
          </w:p>
        </w:tc>
        <w:tc>
          <w:tcPr>
            <w:tcW w:w="0" w:type="auto"/>
            <w:tcBorders>
              <w:top w:val="nil"/>
              <w:left w:val="nil"/>
              <w:bottom w:val="single" w:color="auto" w:sz="8" w:space="0"/>
              <w:right w:val="single" w:color="auto" w:sz="8" w:space="0"/>
            </w:tcBorders>
            <w:noWrap w:val="0"/>
            <w:vAlign w:val="center"/>
          </w:tcPr>
          <w:p w14:paraId="23399920">
            <w:pPr>
              <w:widowControl w:val="0"/>
              <w:spacing w:line="240" w:lineRule="exact"/>
              <w:jc w:val="center"/>
              <w:rPr>
                <w:rFonts w:eastAsia="楷体_GB2312"/>
                <w:color w:val="000000"/>
                <w:szCs w:val="21"/>
              </w:rPr>
            </w:pPr>
            <w:r>
              <w:rPr>
                <w:rFonts w:eastAsia="楷体_GB2312"/>
                <w:color w:val="000000"/>
                <w:szCs w:val="21"/>
              </w:rPr>
              <w:t>2.35%</w:t>
            </w:r>
          </w:p>
        </w:tc>
        <w:tc>
          <w:tcPr>
            <w:tcW w:w="0" w:type="auto"/>
            <w:tcBorders>
              <w:top w:val="nil"/>
              <w:left w:val="single" w:color="auto" w:sz="4" w:space="0"/>
              <w:bottom w:val="single" w:color="auto" w:sz="4" w:space="0"/>
              <w:right w:val="single" w:color="auto" w:sz="4" w:space="0"/>
            </w:tcBorders>
            <w:noWrap/>
            <w:vAlign w:val="center"/>
          </w:tcPr>
          <w:p w14:paraId="27DE8B75">
            <w:pPr>
              <w:widowControl w:val="0"/>
              <w:spacing w:line="240" w:lineRule="exact"/>
              <w:jc w:val="center"/>
              <w:rPr>
                <w:rFonts w:eastAsia="楷体_GB2312"/>
                <w:b/>
                <w:color w:val="000000"/>
                <w:szCs w:val="21"/>
              </w:rPr>
            </w:pPr>
            <w:r>
              <w:rPr>
                <w:rFonts w:eastAsia="楷体_GB2312"/>
                <w:b/>
                <w:color w:val="000000"/>
                <w:szCs w:val="21"/>
              </w:rPr>
              <w:t>320</w:t>
            </w:r>
          </w:p>
        </w:tc>
        <w:tc>
          <w:tcPr>
            <w:tcW w:w="0" w:type="auto"/>
            <w:tcBorders>
              <w:top w:val="nil"/>
              <w:left w:val="nil"/>
              <w:bottom w:val="single" w:color="auto" w:sz="8" w:space="0"/>
              <w:right w:val="single" w:color="auto" w:sz="8" w:space="0"/>
            </w:tcBorders>
            <w:noWrap/>
            <w:vAlign w:val="center"/>
          </w:tcPr>
          <w:p w14:paraId="4345E7FC">
            <w:pPr>
              <w:widowControl w:val="0"/>
              <w:spacing w:line="240" w:lineRule="exact"/>
              <w:jc w:val="center"/>
              <w:rPr>
                <w:rFonts w:eastAsia="楷体_GB2312"/>
                <w:color w:val="000000"/>
                <w:szCs w:val="21"/>
              </w:rPr>
            </w:pPr>
            <w:r>
              <w:rPr>
                <w:rFonts w:eastAsia="楷体_GB2312"/>
                <w:color w:val="000000"/>
                <w:szCs w:val="21"/>
              </w:rPr>
              <w:t>300</w:t>
            </w:r>
          </w:p>
        </w:tc>
        <w:tc>
          <w:tcPr>
            <w:tcW w:w="0" w:type="auto"/>
            <w:tcBorders>
              <w:top w:val="nil"/>
              <w:left w:val="nil"/>
              <w:bottom w:val="single" w:color="auto" w:sz="8" w:space="0"/>
              <w:right w:val="single" w:color="auto" w:sz="8" w:space="0"/>
            </w:tcBorders>
            <w:noWrap w:val="0"/>
            <w:vAlign w:val="center"/>
          </w:tcPr>
          <w:p w14:paraId="05AEE387">
            <w:pPr>
              <w:widowControl w:val="0"/>
              <w:spacing w:line="240" w:lineRule="exact"/>
              <w:jc w:val="center"/>
              <w:rPr>
                <w:rFonts w:eastAsia="楷体_GB2312"/>
                <w:color w:val="000000"/>
                <w:szCs w:val="21"/>
              </w:rPr>
            </w:pPr>
            <w:r>
              <w:rPr>
                <w:rFonts w:eastAsia="楷体_GB2312"/>
                <w:color w:val="000000"/>
                <w:szCs w:val="21"/>
              </w:rPr>
              <w:t>6.67%</w:t>
            </w:r>
          </w:p>
        </w:tc>
        <w:tc>
          <w:tcPr>
            <w:tcW w:w="0" w:type="auto"/>
            <w:tcBorders>
              <w:top w:val="nil"/>
              <w:left w:val="single" w:color="auto" w:sz="4" w:space="0"/>
              <w:bottom w:val="single" w:color="auto" w:sz="4" w:space="0"/>
              <w:right w:val="single" w:color="auto" w:sz="4" w:space="0"/>
            </w:tcBorders>
            <w:noWrap/>
            <w:vAlign w:val="center"/>
          </w:tcPr>
          <w:p w14:paraId="705401E7">
            <w:pPr>
              <w:widowControl w:val="0"/>
              <w:spacing w:line="240" w:lineRule="exact"/>
              <w:jc w:val="center"/>
              <w:rPr>
                <w:rFonts w:eastAsia="楷体_GB2312"/>
                <w:b/>
                <w:color w:val="000000"/>
                <w:szCs w:val="21"/>
              </w:rPr>
            </w:pPr>
            <w:r>
              <w:rPr>
                <w:rFonts w:eastAsia="楷体_GB2312"/>
                <w:b/>
                <w:color w:val="000000"/>
                <w:szCs w:val="21"/>
              </w:rPr>
              <w:t>170</w:t>
            </w:r>
          </w:p>
        </w:tc>
        <w:tc>
          <w:tcPr>
            <w:tcW w:w="0" w:type="auto"/>
            <w:tcBorders>
              <w:top w:val="nil"/>
              <w:left w:val="nil"/>
              <w:bottom w:val="single" w:color="auto" w:sz="8" w:space="0"/>
              <w:right w:val="single" w:color="auto" w:sz="8" w:space="0"/>
            </w:tcBorders>
            <w:noWrap/>
            <w:vAlign w:val="center"/>
          </w:tcPr>
          <w:p w14:paraId="50DF8053">
            <w:pPr>
              <w:widowControl w:val="0"/>
              <w:spacing w:line="240" w:lineRule="exact"/>
              <w:jc w:val="center"/>
              <w:rPr>
                <w:rFonts w:eastAsia="楷体_GB2312"/>
                <w:color w:val="000000"/>
                <w:szCs w:val="21"/>
              </w:rPr>
            </w:pPr>
            <w:r>
              <w:rPr>
                <w:rFonts w:eastAsia="楷体_GB2312"/>
                <w:color w:val="000000"/>
                <w:szCs w:val="21"/>
              </w:rPr>
              <w:t>165</w:t>
            </w:r>
          </w:p>
        </w:tc>
        <w:tc>
          <w:tcPr>
            <w:tcW w:w="0" w:type="auto"/>
            <w:tcBorders>
              <w:top w:val="nil"/>
              <w:left w:val="nil"/>
              <w:bottom w:val="single" w:color="auto" w:sz="8" w:space="0"/>
              <w:right w:val="single" w:color="auto" w:sz="8" w:space="0"/>
            </w:tcBorders>
            <w:noWrap w:val="0"/>
            <w:vAlign w:val="center"/>
          </w:tcPr>
          <w:p w14:paraId="183DBAB4">
            <w:pPr>
              <w:widowControl w:val="0"/>
              <w:spacing w:line="240" w:lineRule="exact"/>
              <w:jc w:val="center"/>
              <w:rPr>
                <w:rFonts w:eastAsia="楷体_GB2312"/>
                <w:color w:val="000000"/>
                <w:szCs w:val="21"/>
              </w:rPr>
            </w:pPr>
            <w:r>
              <w:rPr>
                <w:rFonts w:eastAsia="楷体_GB2312"/>
                <w:color w:val="000000"/>
                <w:szCs w:val="21"/>
              </w:rPr>
              <w:t>3.03%</w:t>
            </w:r>
          </w:p>
        </w:tc>
      </w:tr>
      <w:tr w14:paraId="2E2A4595">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650C15EB">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557E5320">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7EE43977">
            <w:pPr>
              <w:widowControl w:val="0"/>
              <w:spacing w:line="240" w:lineRule="exact"/>
              <w:jc w:val="center"/>
              <w:rPr>
                <w:rFonts w:eastAsia="楷体_GB2312"/>
                <w:szCs w:val="21"/>
              </w:rPr>
            </w:pPr>
            <w:r>
              <w:rPr>
                <w:rFonts w:eastAsia="楷体_GB2312"/>
                <w:szCs w:val="21"/>
              </w:rPr>
              <w:t>2</w:t>
            </w:r>
          </w:p>
        </w:tc>
        <w:tc>
          <w:tcPr>
            <w:tcW w:w="0" w:type="auto"/>
            <w:tcBorders>
              <w:top w:val="nil"/>
              <w:left w:val="single" w:color="auto" w:sz="4" w:space="0"/>
              <w:bottom w:val="single" w:color="auto" w:sz="4" w:space="0"/>
              <w:right w:val="single" w:color="auto" w:sz="4" w:space="0"/>
            </w:tcBorders>
            <w:noWrap/>
            <w:vAlign w:val="center"/>
          </w:tcPr>
          <w:p w14:paraId="1054A044">
            <w:pPr>
              <w:widowControl w:val="0"/>
              <w:spacing w:line="240" w:lineRule="exact"/>
              <w:jc w:val="center"/>
              <w:rPr>
                <w:rFonts w:eastAsia="楷体_GB2312"/>
                <w:b/>
                <w:color w:val="000000"/>
                <w:szCs w:val="21"/>
              </w:rPr>
            </w:pPr>
            <w:r>
              <w:rPr>
                <w:rFonts w:eastAsia="楷体_GB2312"/>
                <w:b/>
                <w:color w:val="000000"/>
                <w:szCs w:val="21"/>
              </w:rPr>
              <w:t>345</w:t>
            </w:r>
          </w:p>
        </w:tc>
        <w:tc>
          <w:tcPr>
            <w:tcW w:w="0" w:type="auto"/>
            <w:tcBorders>
              <w:top w:val="nil"/>
              <w:left w:val="nil"/>
              <w:bottom w:val="single" w:color="auto" w:sz="8" w:space="0"/>
              <w:right w:val="single" w:color="auto" w:sz="8" w:space="0"/>
            </w:tcBorders>
            <w:noWrap/>
            <w:vAlign w:val="center"/>
          </w:tcPr>
          <w:p w14:paraId="785733CB">
            <w:pPr>
              <w:widowControl w:val="0"/>
              <w:spacing w:line="240" w:lineRule="exact"/>
              <w:jc w:val="center"/>
              <w:rPr>
                <w:rFonts w:eastAsia="楷体_GB2312"/>
                <w:color w:val="000000"/>
                <w:szCs w:val="21"/>
              </w:rPr>
            </w:pPr>
            <w:r>
              <w:rPr>
                <w:rFonts w:eastAsia="楷体_GB2312"/>
                <w:color w:val="000000"/>
                <w:szCs w:val="21"/>
              </w:rPr>
              <w:t>320</w:t>
            </w:r>
          </w:p>
        </w:tc>
        <w:tc>
          <w:tcPr>
            <w:tcW w:w="0" w:type="auto"/>
            <w:tcBorders>
              <w:top w:val="nil"/>
              <w:left w:val="nil"/>
              <w:bottom w:val="single" w:color="auto" w:sz="8" w:space="0"/>
              <w:right w:val="single" w:color="auto" w:sz="8" w:space="0"/>
            </w:tcBorders>
            <w:noWrap w:val="0"/>
            <w:vAlign w:val="center"/>
          </w:tcPr>
          <w:p w14:paraId="1C7E7684">
            <w:pPr>
              <w:widowControl w:val="0"/>
              <w:spacing w:line="240" w:lineRule="exact"/>
              <w:jc w:val="center"/>
              <w:rPr>
                <w:rFonts w:eastAsia="楷体_GB2312"/>
                <w:color w:val="000000"/>
                <w:szCs w:val="21"/>
              </w:rPr>
            </w:pPr>
            <w:r>
              <w:rPr>
                <w:rFonts w:eastAsia="楷体_GB2312"/>
                <w:color w:val="000000"/>
                <w:szCs w:val="21"/>
              </w:rPr>
              <w:t>7.81%</w:t>
            </w:r>
          </w:p>
        </w:tc>
        <w:tc>
          <w:tcPr>
            <w:tcW w:w="0" w:type="auto"/>
            <w:tcBorders>
              <w:top w:val="nil"/>
              <w:left w:val="single" w:color="auto" w:sz="4" w:space="0"/>
              <w:bottom w:val="single" w:color="auto" w:sz="4" w:space="0"/>
              <w:right w:val="single" w:color="auto" w:sz="4" w:space="0"/>
            </w:tcBorders>
            <w:noWrap/>
            <w:vAlign w:val="center"/>
          </w:tcPr>
          <w:p w14:paraId="34D1A8EC">
            <w:pPr>
              <w:widowControl w:val="0"/>
              <w:spacing w:line="240" w:lineRule="exact"/>
              <w:jc w:val="center"/>
              <w:rPr>
                <w:rFonts w:eastAsia="楷体_GB2312"/>
                <w:b/>
                <w:color w:val="000000"/>
                <w:szCs w:val="21"/>
              </w:rPr>
            </w:pPr>
            <w:r>
              <w:rPr>
                <w:rFonts w:eastAsia="楷体_GB2312"/>
                <w:b/>
                <w:color w:val="000000"/>
                <w:szCs w:val="21"/>
              </w:rPr>
              <w:t>250</w:t>
            </w:r>
          </w:p>
        </w:tc>
        <w:tc>
          <w:tcPr>
            <w:tcW w:w="0" w:type="auto"/>
            <w:tcBorders>
              <w:top w:val="nil"/>
              <w:left w:val="nil"/>
              <w:bottom w:val="single" w:color="auto" w:sz="8" w:space="0"/>
              <w:right w:val="single" w:color="auto" w:sz="8" w:space="0"/>
            </w:tcBorders>
            <w:noWrap/>
            <w:vAlign w:val="center"/>
          </w:tcPr>
          <w:p w14:paraId="1E72B5F6">
            <w:pPr>
              <w:widowControl w:val="0"/>
              <w:spacing w:line="240" w:lineRule="exact"/>
              <w:jc w:val="center"/>
              <w:rPr>
                <w:rFonts w:eastAsia="楷体_GB2312"/>
                <w:color w:val="000000"/>
                <w:szCs w:val="21"/>
              </w:rPr>
            </w:pPr>
            <w:r>
              <w:rPr>
                <w:rFonts w:eastAsia="楷体_GB2312"/>
                <w:color w:val="000000"/>
                <w:szCs w:val="21"/>
              </w:rPr>
              <w:t>210</w:t>
            </w:r>
          </w:p>
        </w:tc>
        <w:tc>
          <w:tcPr>
            <w:tcW w:w="0" w:type="auto"/>
            <w:tcBorders>
              <w:top w:val="nil"/>
              <w:left w:val="nil"/>
              <w:bottom w:val="single" w:color="auto" w:sz="8" w:space="0"/>
              <w:right w:val="single" w:color="auto" w:sz="8" w:space="0"/>
            </w:tcBorders>
            <w:noWrap w:val="0"/>
            <w:vAlign w:val="center"/>
          </w:tcPr>
          <w:p w14:paraId="31DDEA52">
            <w:pPr>
              <w:widowControl w:val="0"/>
              <w:spacing w:line="240" w:lineRule="exact"/>
              <w:jc w:val="center"/>
              <w:rPr>
                <w:rFonts w:eastAsia="楷体_GB2312"/>
                <w:color w:val="000000"/>
                <w:szCs w:val="21"/>
              </w:rPr>
            </w:pPr>
            <w:r>
              <w:rPr>
                <w:rFonts w:eastAsia="楷体_GB2312"/>
                <w:color w:val="000000"/>
                <w:szCs w:val="21"/>
              </w:rPr>
              <w:t>19.05%</w:t>
            </w:r>
          </w:p>
        </w:tc>
        <w:tc>
          <w:tcPr>
            <w:tcW w:w="0" w:type="auto"/>
            <w:tcBorders>
              <w:top w:val="nil"/>
              <w:left w:val="single" w:color="auto" w:sz="4" w:space="0"/>
              <w:bottom w:val="single" w:color="auto" w:sz="4" w:space="0"/>
              <w:right w:val="single" w:color="auto" w:sz="4" w:space="0"/>
            </w:tcBorders>
            <w:noWrap/>
            <w:vAlign w:val="center"/>
          </w:tcPr>
          <w:p w14:paraId="5E18DB36">
            <w:pPr>
              <w:widowControl w:val="0"/>
              <w:spacing w:line="240" w:lineRule="exact"/>
              <w:jc w:val="center"/>
              <w:rPr>
                <w:rFonts w:eastAsia="楷体_GB2312"/>
                <w:b/>
                <w:color w:val="000000"/>
                <w:szCs w:val="21"/>
              </w:rPr>
            </w:pPr>
            <w:r>
              <w:rPr>
                <w:rFonts w:eastAsia="楷体_GB2312"/>
                <w:b/>
                <w:color w:val="000000"/>
                <w:szCs w:val="21"/>
              </w:rPr>
              <w:t>155</w:t>
            </w:r>
          </w:p>
        </w:tc>
        <w:tc>
          <w:tcPr>
            <w:tcW w:w="0" w:type="auto"/>
            <w:tcBorders>
              <w:top w:val="nil"/>
              <w:left w:val="nil"/>
              <w:bottom w:val="single" w:color="auto" w:sz="8" w:space="0"/>
              <w:right w:val="single" w:color="auto" w:sz="8" w:space="0"/>
            </w:tcBorders>
            <w:noWrap/>
            <w:vAlign w:val="center"/>
          </w:tcPr>
          <w:p w14:paraId="1D14DBFA">
            <w:pPr>
              <w:widowControl w:val="0"/>
              <w:spacing w:line="240" w:lineRule="exact"/>
              <w:jc w:val="center"/>
              <w:rPr>
                <w:rFonts w:eastAsia="楷体_GB2312"/>
                <w:color w:val="000000"/>
                <w:szCs w:val="21"/>
              </w:rPr>
            </w:pPr>
            <w:r>
              <w:rPr>
                <w:rFonts w:eastAsia="楷体_GB2312"/>
                <w:color w:val="000000"/>
                <w:szCs w:val="21"/>
              </w:rPr>
              <w:t>150</w:t>
            </w:r>
          </w:p>
        </w:tc>
        <w:tc>
          <w:tcPr>
            <w:tcW w:w="0" w:type="auto"/>
            <w:tcBorders>
              <w:top w:val="nil"/>
              <w:left w:val="nil"/>
              <w:bottom w:val="single" w:color="auto" w:sz="8" w:space="0"/>
              <w:right w:val="single" w:color="auto" w:sz="8" w:space="0"/>
            </w:tcBorders>
            <w:noWrap w:val="0"/>
            <w:vAlign w:val="center"/>
          </w:tcPr>
          <w:p w14:paraId="39F76EB8">
            <w:pPr>
              <w:widowControl w:val="0"/>
              <w:spacing w:line="240" w:lineRule="exact"/>
              <w:jc w:val="center"/>
              <w:rPr>
                <w:rFonts w:eastAsia="楷体_GB2312"/>
                <w:color w:val="000000"/>
                <w:szCs w:val="21"/>
              </w:rPr>
            </w:pPr>
            <w:r>
              <w:rPr>
                <w:rFonts w:eastAsia="楷体_GB2312"/>
                <w:color w:val="000000"/>
                <w:szCs w:val="21"/>
              </w:rPr>
              <w:t>3.33%</w:t>
            </w:r>
          </w:p>
        </w:tc>
      </w:tr>
      <w:tr w14:paraId="765E53CF">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auto" w:sz="4" w:space="0"/>
              <w:right w:val="single" w:color="auto" w:sz="8" w:space="0"/>
            </w:tcBorders>
            <w:noWrap w:val="0"/>
            <w:vAlign w:val="center"/>
          </w:tcPr>
          <w:p w14:paraId="68FB79C6">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auto" w:sz="4" w:space="0"/>
              <w:right w:val="single" w:color="auto" w:sz="8" w:space="0"/>
            </w:tcBorders>
            <w:noWrap w:val="0"/>
            <w:vAlign w:val="center"/>
          </w:tcPr>
          <w:p w14:paraId="5637848D">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194EA4A6">
            <w:pPr>
              <w:widowControl w:val="0"/>
              <w:spacing w:line="240" w:lineRule="exact"/>
              <w:jc w:val="center"/>
              <w:rPr>
                <w:rFonts w:eastAsia="楷体_GB2312"/>
                <w:szCs w:val="21"/>
              </w:rPr>
            </w:pPr>
            <w:r>
              <w:rPr>
                <w:rFonts w:eastAsia="楷体_GB2312"/>
                <w:szCs w:val="21"/>
              </w:rPr>
              <w:t>3</w:t>
            </w:r>
          </w:p>
        </w:tc>
        <w:tc>
          <w:tcPr>
            <w:tcW w:w="0" w:type="auto"/>
            <w:tcBorders>
              <w:top w:val="nil"/>
              <w:left w:val="single" w:color="auto" w:sz="4" w:space="0"/>
              <w:bottom w:val="single" w:color="auto" w:sz="4" w:space="0"/>
              <w:right w:val="single" w:color="auto" w:sz="4" w:space="0"/>
            </w:tcBorders>
            <w:noWrap/>
            <w:vAlign w:val="center"/>
          </w:tcPr>
          <w:p w14:paraId="5AC23825">
            <w:pPr>
              <w:widowControl w:val="0"/>
              <w:spacing w:line="240" w:lineRule="exact"/>
              <w:jc w:val="center"/>
              <w:rPr>
                <w:rFonts w:eastAsia="楷体_GB2312"/>
                <w:b/>
                <w:color w:val="000000"/>
                <w:szCs w:val="21"/>
              </w:rPr>
            </w:pPr>
            <w:r>
              <w:rPr>
                <w:rFonts w:eastAsia="楷体_GB2312"/>
                <w:b/>
                <w:color w:val="000000"/>
                <w:szCs w:val="21"/>
              </w:rPr>
              <w:t>270</w:t>
            </w:r>
          </w:p>
        </w:tc>
        <w:tc>
          <w:tcPr>
            <w:tcW w:w="0" w:type="auto"/>
            <w:tcBorders>
              <w:top w:val="nil"/>
              <w:left w:val="nil"/>
              <w:bottom w:val="single" w:color="auto" w:sz="8" w:space="0"/>
              <w:right w:val="single" w:color="auto" w:sz="8" w:space="0"/>
            </w:tcBorders>
            <w:noWrap/>
            <w:vAlign w:val="center"/>
          </w:tcPr>
          <w:p w14:paraId="68F4892C">
            <w:pPr>
              <w:widowControl w:val="0"/>
              <w:spacing w:line="240" w:lineRule="exact"/>
              <w:jc w:val="center"/>
              <w:rPr>
                <w:rFonts w:eastAsia="楷体_GB2312"/>
                <w:color w:val="000000"/>
                <w:szCs w:val="21"/>
              </w:rPr>
            </w:pPr>
            <w:r>
              <w:rPr>
                <w:rFonts w:eastAsia="楷体_GB2312"/>
                <w:color w:val="000000"/>
                <w:szCs w:val="21"/>
              </w:rPr>
              <w:t>262</w:t>
            </w:r>
          </w:p>
        </w:tc>
        <w:tc>
          <w:tcPr>
            <w:tcW w:w="0" w:type="auto"/>
            <w:tcBorders>
              <w:top w:val="nil"/>
              <w:left w:val="nil"/>
              <w:bottom w:val="single" w:color="auto" w:sz="8" w:space="0"/>
              <w:right w:val="single" w:color="auto" w:sz="8" w:space="0"/>
            </w:tcBorders>
            <w:noWrap w:val="0"/>
            <w:vAlign w:val="center"/>
          </w:tcPr>
          <w:p w14:paraId="026DECEB">
            <w:pPr>
              <w:widowControl w:val="0"/>
              <w:spacing w:line="240" w:lineRule="exact"/>
              <w:jc w:val="center"/>
              <w:rPr>
                <w:rFonts w:eastAsia="楷体_GB2312"/>
                <w:color w:val="000000"/>
                <w:szCs w:val="21"/>
              </w:rPr>
            </w:pPr>
            <w:r>
              <w:rPr>
                <w:rFonts w:eastAsia="楷体_GB2312"/>
                <w:color w:val="000000"/>
                <w:szCs w:val="21"/>
              </w:rPr>
              <w:t>3.05%</w:t>
            </w:r>
          </w:p>
        </w:tc>
        <w:tc>
          <w:tcPr>
            <w:tcW w:w="0" w:type="auto"/>
            <w:tcBorders>
              <w:top w:val="nil"/>
              <w:left w:val="single" w:color="auto" w:sz="4" w:space="0"/>
              <w:bottom w:val="single" w:color="auto" w:sz="4" w:space="0"/>
              <w:right w:val="single" w:color="auto" w:sz="4" w:space="0"/>
            </w:tcBorders>
            <w:noWrap/>
            <w:vAlign w:val="center"/>
          </w:tcPr>
          <w:p w14:paraId="2090B049">
            <w:pPr>
              <w:widowControl w:val="0"/>
              <w:spacing w:line="240" w:lineRule="exact"/>
              <w:jc w:val="center"/>
              <w:rPr>
                <w:rFonts w:eastAsia="楷体_GB2312"/>
                <w:b/>
                <w:color w:val="000000"/>
                <w:szCs w:val="21"/>
              </w:rPr>
            </w:pPr>
            <w:r>
              <w:rPr>
                <w:rFonts w:eastAsia="楷体_GB2312"/>
                <w:b/>
                <w:color w:val="000000"/>
                <w:szCs w:val="21"/>
              </w:rPr>
              <w:t>195</w:t>
            </w:r>
          </w:p>
        </w:tc>
        <w:tc>
          <w:tcPr>
            <w:tcW w:w="0" w:type="auto"/>
            <w:tcBorders>
              <w:top w:val="nil"/>
              <w:left w:val="nil"/>
              <w:bottom w:val="single" w:color="auto" w:sz="8" w:space="0"/>
              <w:right w:val="single" w:color="auto" w:sz="8" w:space="0"/>
            </w:tcBorders>
            <w:noWrap/>
            <w:vAlign w:val="center"/>
          </w:tcPr>
          <w:p w14:paraId="4D374B27">
            <w:pPr>
              <w:widowControl w:val="0"/>
              <w:spacing w:line="240" w:lineRule="exact"/>
              <w:jc w:val="center"/>
              <w:rPr>
                <w:rFonts w:eastAsia="楷体_GB2312"/>
                <w:color w:val="000000"/>
                <w:szCs w:val="21"/>
              </w:rPr>
            </w:pPr>
            <w:r>
              <w:rPr>
                <w:rFonts w:eastAsia="楷体_GB2312"/>
                <w:color w:val="000000"/>
                <w:szCs w:val="21"/>
              </w:rPr>
              <w:t>185</w:t>
            </w:r>
          </w:p>
        </w:tc>
        <w:tc>
          <w:tcPr>
            <w:tcW w:w="0" w:type="auto"/>
            <w:tcBorders>
              <w:top w:val="nil"/>
              <w:left w:val="nil"/>
              <w:bottom w:val="single" w:color="auto" w:sz="8" w:space="0"/>
              <w:right w:val="single" w:color="auto" w:sz="8" w:space="0"/>
            </w:tcBorders>
            <w:noWrap w:val="0"/>
            <w:vAlign w:val="center"/>
          </w:tcPr>
          <w:p w14:paraId="15ECF3B2">
            <w:pPr>
              <w:widowControl w:val="0"/>
              <w:spacing w:line="240" w:lineRule="exact"/>
              <w:jc w:val="center"/>
              <w:rPr>
                <w:rFonts w:eastAsia="楷体_GB2312"/>
                <w:color w:val="000000"/>
                <w:szCs w:val="21"/>
              </w:rPr>
            </w:pPr>
            <w:r>
              <w:rPr>
                <w:rFonts w:eastAsia="楷体_GB2312"/>
                <w:color w:val="000000"/>
                <w:szCs w:val="21"/>
              </w:rPr>
              <w:t>5.41%</w:t>
            </w:r>
          </w:p>
        </w:tc>
        <w:tc>
          <w:tcPr>
            <w:tcW w:w="0" w:type="auto"/>
            <w:tcBorders>
              <w:top w:val="nil"/>
              <w:left w:val="single" w:color="auto" w:sz="4" w:space="0"/>
              <w:bottom w:val="single" w:color="auto" w:sz="4" w:space="0"/>
              <w:right w:val="single" w:color="auto" w:sz="4" w:space="0"/>
            </w:tcBorders>
            <w:noWrap/>
            <w:vAlign w:val="center"/>
          </w:tcPr>
          <w:p w14:paraId="6FD46144">
            <w:pPr>
              <w:widowControl w:val="0"/>
              <w:spacing w:line="240" w:lineRule="exact"/>
              <w:jc w:val="center"/>
              <w:rPr>
                <w:rFonts w:eastAsia="楷体_GB2312"/>
                <w:b/>
                <w:color w:val="000000"/>
                <w:szCs w:val="21"/>
              </w:rPr>
            </w:pPr>
            <w:r>
              <w:rPr>
                <w:rFonts w:eastAsia="楷体_GB2312"/>
                <w:b/>
                <w:color w:val="000000"/>
                <w:szCs w:val="21"/>
              </w:rPr>
              <w:t>144</w:t>
            </w:r>
          </w:p>
        </w:tc>
        <w:tc>
          <w:tcPr>
            <w:tcW w:w="0" w:type="auto"/>
            <w:tcBorders>
              <w:top w:val="nil"/>
              <w:left w:val="nil"/>
              <w:bottom w:val="single" w:color="auto" w:sz="8" w:space="0"/>
              <w:right w:val="single" w:color="auto" w:sz="8" w:space="0"/>
            </w:tcBorders>
            <w:noWrap/>
            <w:vAlign w:val="center"/>
          </w:tcPr>
          <w:p w14:paraId="27EFED84">
            <w:pPr>
              <w:widowControl w:val="0"/>
              <w:spacing w:line="240" w:lineRule="exact"/>
              <w:jc w:val="center"/>
              <w:rPr>
                <w:rFonts w:eastAsia="楷体_GB2312"/>
                <w:color w:val="000000"/>
                <w:szCs w:val="21"/>
              </w:rPr>
            </w:pPr>
            <w:r>
              <w:rPr>
                <w:rFonts w:eastAsia="楷体_GB2312"/>
                <w:color w:val="000000"/>
                <w:szCs w:val="21"/>
              </w:rPr>
              <w:t>144</w:t>
            </w:r>
          </w:p>
        </w:tc>
        <w:tc>
          <w:tcPr>
            <w:tcW w:w="0" w:type="auto"/>
            <w:tcBorders>
              <w:top w:val="nil"/>
              <w:left w:val="nil"/>
              <w:bottom w:val="single" w:color="auto" w:sz="8" w:space="0"/>
              <w:right w:val="single" w:color="auto" w:sz="8" w:space="0"/>
            </w:tcBorders>
            <w:noWrap w:val="0"/>
            <w:vAlign w:val="center"/>
          </w:tcPr>
          <w:p w14:paraId="50B2C86C">
            <w:pPr>
              <w:widowControl w:val="0"/>
              <w:spacing w:line="240" w:lineRule="exact"/>
              <w:jc w:val="center"/>
              <w:rPr>
                <w:rFonts w:eastAsia="楷体_GB2312"/>
                <w:color w:val="000000"/>
                <w:szCs w:val="21"/>
              </w:rPr>
            </w:pPr>
            <w:r>
              <w:rPr>
                <w:rFonts w:eastAsia="楷体_GB2312"/>
                <w:color w:val="000000"/>
                <w:szCs w:val="21"/>
              </w:rPr>
              <w:t>0.00%</w:t>
            </w:r>
          </w:p>
        </w:tc>
      </w:tr>
      <w:tr w14:paraId="0C3AC9D5">
        <w:tblPrEx>
          <w:tblCellMar>
            <w:top w:w="0" w:type="dxa"/>
            <w:left w:w="108" w:type="dxa"/>
            <w:bottom w:w="0" w:type="dxa"/>
            <w:right w:w="108" w:type="dxa"/>
          </w:tblCellMar>
        </w:tblPrEx>
        <w:trPr>
          <w:trHeight w:val="20" w:hRule="atLeast"/>
          <w:jc w:val="center"/>
        </w:trPr>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75E2C7F5">
            <w:pPr>
              <w:widowControl w:val="0"/>
              <w:spacing w:line="240" w:lineRule="exact"/>
              <w:jc w:val="center"/>
              <w:rPr>
                <w:rFonts w:eastAsia="楷体_GB2312"/>
                <w:szCs w:val="21"/>
              </w:rPr>
            </w:pPr>
            <w:r>
              <w:rPr>
                <w:rFonts w:eastAsia="楷体_GB2312"/>
                <w:szCs w:val="21"/>
              </w:rPr>
              <w:t>19</w:t>
            </w:r>
          </w:p>
        </w:tc>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0464A474">
            <w:pPr>
              <w:widowControl w:val="0"/>
              <w:spacing w:line="240" w:lineRule="exact"/>
              <w:jc w:val="center"/>
              <w:rPr>
                <w:rFonts w:eastAsia="楷体_GB2312"/>
                <w:color w:val="000000"/>
                <w:szCs w:val="21"/>
              </w:rPr>
            </w:pPr>
            <w:r>
              <w:rPr>
                <w:rFonts w:eastAsia="楷体_GB2312"/>
                <w:color w:val="000000"/>
                <w:szCs w:val="21"/>
              </w:rPr>
              <w:t>永安镇</w:t>
            </w:r>
          </w:p>
        </w:tc>
        <w:tc>
          <w:tcPr>
            <w:tcW w:w="0" w:type="auto"/>
            <w:tcBorders>
              <w:top w:val="nil"/>
              <w:left w:val="nil"/>
              <w:bottom w:val="single" w:color="auto" w:sz="8" w:space="0"/>
              <w:right w:val="single" w:color="auto" w:sz="8" w:space="0"/>
            </w:tcBorders>
            <w:noWrap w:val="0"/>
            <w:vAlign w:val="center"/>
          </w:tcPr>
          <w:p w14:paraId="2916156B">
            <w:pPr>
              <w:widowControl w:val="0"/>
              <w:spacing w:line="240" w:lineRule="exact"/>
              <w:jc w:val="center"/>
              <w:rPr>
                <w:rFonts w:eastAsia="楷体_GB2312"/>
                <w:szCs w:val="21"/>
              </w:rPr>
            </w:pPr>
            <w:r>
              <w:rPr>
                <w:rFonts w:eastAsia="楷体_GB2312"/>
                <w:szCs w:val="21"/>
              </w:rPr>
              <w:t>1</w:t>
            </w:r>
          </w:p>
        </w:tc>
        <w:tc>
          <w:tcPr>
            <w:tcW w:w="0" w:type="auto"/>
            <w:tcBorders>
              <w:top w:val="nil"/>
              <w:left w:val="single" w:color="auto" w:sz="4" w:space="0"/>
              <w:bottom w:val="single" w:color="auto" w:sz="4" w:space="0"/>
              <w:right w:val="single" w:color="auto" w:sz="4" w:space="0"/>
            </w:tcBorders>
            <w:noWrap/>
            <w:vAlign w:val="center"/>
          </w:tcPr>
          <w:p w14:paraId="5CD70B4C">
            <w:pPr>
              <w:widowControl w:val="0"/>
              <w:spacing w:line="240" w:lineRule="exact"/>
              <w:jc w:val="center"/>
              <w:rPr>
                <w:rFonts w:eastAsia="楷体_GB2312"/>
                <w:b/>
                <w:color w:val="000000"/>
                <w:szCs w:val="21"/>
              </w:rPr>
            </w:pPr>
            <w:r>
              <w:rPr>
                <w:rFonts w:eastAsia="楷体_GB2312"/>
                <w:b/>
                <w:color w:val="000000"/>
                <w:szCs w:val="21"/>
              </w:rPr>
              <w:t>435</w:t>
            </w:r>
          </w:p>
        </w:tc>
        <w:tc>
          <w:tcPr>
            <w:tcW w:w="0" w:type="auto"/>
            <w:tcBorders>
              <w:top w:val="nil"/>
              <w:left w:val="nil"/>
              <w:bottom w:val="single" w:color="auto" w:sz="8" w:space="0"/>
              <w:right w:val="single" w:color="auto" w:sz="8" w:space="0"/>
            </w:tcBorders>
            <w:noWrap/>
            <w:vAlign w:val="center"/>
          </w:tcPr>
          <w:p w14:paraId="3863BF46">
            <w:pPr>
              <w:widowControl w:val="0"/>
              <w:spacing w:line="240" w:lineRule="exact"/>
              <w:jc w:val="center"/>
              <w:rPr>
                <w:rFonts w:eastAsia="楷体_GB2312"/>
                <w:color w:val="000000"/>
                <w:szCs w:val="21"/>
              </w:rPr>
            </w:pPr>
            <w:r>
              <w:rPr>
                <w:rFonts w:eastAsia="楷体_GB2312"/>
                <w:color w:val="000000"/>
                <w:szCs w:val="21"/>
              </w:rPr>
              <w:t>424</w:t>
            </w:r>
          </w:p>
        </w:tc>
        <w:tc>
          <w:tcPr>
            <w:tcW w:w="0" w:type="auto"/>
            <w:tcBorders>
              <w:top w:val="nil"/>
              <w:left w:val="nil"/>
              <w:bottom w:val="single" w:color="auto" w:sz="8" w:space="0"/>
              <w:right w:val="single" w:color="auto" w:sz="8" w:space="0"/>
            </w:tcBorders>
            <w:noWrap w:val="0"/>
            <w:vAlign w:val="center"/>
          </w:tcPr>
          <w:p w14:paraId="4B5E081D">
            <w:pPr>
              <w:widowControl w:val="0"/>
              <w:spacing w:line="240" w:lineRule="exact"/>
              <w:jc w:val="center"/>
              <w:rPr>
                <w:rFonts w:eastAsia="楷体_GB2312"/>
                <w:color w:val="000000"/>
                <w:szCs w:val="21"/>
              </w:rPr>
            </w:pPr>
            <w:r>
              <w:rPr>
                <w:rFonts w:eastAsia="楷体_GB2312"/>
                <w:color w:val="000000"/>
                <w:szCs w:val="21"/>
              </w:rPr>
              <w:t>2.59%</w:t>
            </w:r>
          </w:p>
        </w:tc>
        <w:tc>
          <w:tcPr>
            <w:tcW w:w="0" w:type="auto"/>
            <w:tcBorders>
              <w:top w:val="nil"/>
              <w:left w:val="single" w:color="auto" w:sz="4" w:space="0"/>
              <w:bottom w:val="single" w:color="auto" w:sz="4" w:space="0"/>
              <w:right w:val="single" w:color="auto" w:sz="4" w:space="0"/>
            </w:tcBorders>
            <w:noWrap/>
            <w:vAlign w:val="center"/>
          </w:tcPr>
          <w:p w14:paraId="7B54AD74">
            <w:pPr>
              <w:widowControl w:val="0"/>
              <w:spacing w:line="240" w:lineRule="exact"/>
              <w:jc w:val="center"/>
              <w:rPr>
                <w:rFonts w:eastAsia="楷体_GB2312"/>
                <w:b/>
                <w:color w:val="000000"/>
                <w:szCs w:val="21"/>
              </w:rPr>
            </w:pPr>
            <w:r>
              <w:rPr>
                <w:rFonts w:eastAsia="楷体_GB2312"/>
                <w:b/>
                <w:color w:val="000000"/>
                <w:szCs w:val="21"/>
              </w:rPr>
              <w:t>335</w:t>
            </w:r>
          </w:p>
        </w:tc>
        <w:tc>
          <w:tcPr>
            <w:tcW w:w="0" w:type="auto"/>
            <w:tcBorders>
              <w:top w:val="nil"/>
              <w:left w:val="nil"/>
              <w:bottom w:val="single" w:color="auto" w:sz="8" w:space="0"/>
              <w:right w:val="single" w:color="auto" w:sz="8" w:space="0"/>
            </w:tcBorders>
            <w:noWrap/>
            <w:vAlign w:val="center"/>
          </w:tcPr>
          <w:p w14:paraId="03173874">
            <w:pPr>
              <w:widowControl w:val="0"/>
              <w:spacing w:line="240" w:lineRule="exact"/>
              <w:jc w:val="center"/>
              <w:rPr>
                <w:rFonts w:eastAsia="楷体_GB2312"/>
                <w:color w:val="000000"/>
                <w:szCs w:val="21"/>
              </w:rPr>
            </w:pPr>
            <w:r>
              <w:rPr>
                <w:rFonts w:eastAsia="楷体_GB2312"/>
                <w:color w:val="000000"/>
                <w:szCs w:val="21"/>
              </w:rPr>
              <w:t>315</w:t>
            </w:r>
          </w:p>
        </w:tc>
        <w:tc>
          <w:tcPr>
            <w:tcW w:w="0" w:type="auto"/>
            <w:tcBorders>
              <w:top w:val="nil"/>
              <w:left w:val="nil"/>
              <w:bottom w:val="single" w:color="auto" w:sz="8" w:space="0"/>
              <w:right w:val="single" w:color="auto" w:sz="8" w:space="0"/>
            </w:tcBorders>
            <w:noWrap w:val="0"/>
            <w:vAlign w:val="center"/>
          </w:tcPr>
          <w:p w14:paraId="266E49E7">
            <w:pPr>
              <w:widowControl w:val="0"/>
              <w:spacing w:line="240" w:lineRule="exact"/>
              <w:jc w:val="center"/>
              <w:rPr>
                <w:rFonts w:eastAsia="楷体_GB2312"/>
                <w:color w:val="000000"/>
                <w:szCs w:val="21"/>
              </w:rPr>
            </w:pPr>
            <w:r>
              <w:rPr>
                <w:rFonts w:eastAsia="楷体_GB2312"/>
                <w:color w:val="000000"/>
                <w:szCs w:val="21"/>
              </w:rPr>
              <w:t>6.35%</w:t>
            </w:r>
          </w:p>
        </w:tc>
        <w:tc>
          <w:tcPr>
            <w:tcW w:w="0" w:type="auto"/>
            <w:tcBorders>
              <w:top w:val="nil"/>
              <w:left w:val="single" w:color="auto" w:sz="4" w:space="0"/>
              <w:bottom w:val="single" w:color="auto" w:sz="4" w:space="0"/>
              <w:right w:val="single" w:color="auto" w:sz="4" w:space="0"/>
            </w:tcBorders>
            <w:noWrap/>
            <w:vAlign w:val="center"/>
          </w:tcPr>
          <w:p w14:paraId="4162F9FE">
            <w:pPr>
              <w:widowControl w:val="0"/>
              <w:spacing w:line="240" w:lineRule="exact"/>
              <w:jc w:val="center"/>
              <w:rPr>
                <w:rFonts w:eastAsia="楷体_GB2312"/>
                <w:b/>
                <w:color w:val="000000"/>
                <w:szCs w:val="21"/>
              </w:rPr>
            </w:pPr>
            <w:r>
              <w:rPr>
                <w:rFonts w:eastAsia="楷体_GB2312"/>
                <w:b/>
                <w:color w:val="000000"/>
                <w:szCs w:val="21"/>
              </w:rPr>
              <w:t>170</w:t>
            </w:r>
          </w:p>
        </w:tc>
        <w:tc>
          <w:tcPr>
            <w:tcW w:w="0" w:type="auto"/>
            <w:tcBorders>
              <w:top w:val="nil"/>
              <w:left w:val="nil"/>
              <w:bottom w:val="single" w:color="auto" w:sz="8" w:space="0"/>
              <w:right w:val="single" w:color="auto" w:sz="8" w:space="0"/>
            </w:tcBorders>
            <w:noWrap/>
            <w:vAlign w:val="center"/>
          </w:tcPr>
          <w:p w14:paraId="71DEAA33">
            <w:pPr>
              <w:widowControl w:val="0"/>
              <w:spacing w:line="240" w:lineRule="exact"/>
              <w:jc w:val="center"/>
              <w:rPr>
                <w:rFonts w:eastAsia="楷体_GB2312"/>
                <w:color w:val="000000"/>
                <w:szCs w:val="21"/>
              </w:rPr>
            </w:pPr>
            <w:r>
              <w:rPr>
                <w:rFonts w:eastAsia="楷体_GB2312"/>
                <w:color w:val="000000"/>
                <w:szCs w:val="21"/>
              </w:rPr>
              <w:t>165</w:t>
            </w:r>
          </w:p>
        </w:tc>
        <w:tc>
          <w:tcPr>
            <w:tcW w:w="0" w:type="auto"/>
            <w:tcBorders>
              <w:top w:val="nil"/>
              <w:left w:val="nil"/>
              <w:bottom w:val="single" w:color="auto" w:sz="8" w:space="0"/>
              <w:right w:val="single" w:color="auto" w:sz="8" w:space="0"/>
            </w:tcBorders>
            <w:noWrap w:val="0"/>
            <w:vAlign w:val="center"/>
          </w:tcPr>
          <w:p w14:paraId="1894B9EB">
            <w:pPr>
              <w:widowControl w:val="0"/>
              <w:spacing w:line="240" w:lineRule="exact"/>
              <w:jc w:val="center"/>
              <w:rPr>
                <w:rFonts w:eastAsia="楷体_GB2312"/>
                <w:color w:val="000000"/>
                <w:szCs w:val="21"/>
              </w:rPr>
            </w:pPr>
            <w:r>
              <w:rPr>
                <w:rFonts w:eastAsia="楷体_GB2312"/>
                <w:color w:val="000000"/>
                <w:szCs w:val="21"/>
              </w:rPr>
              <w:t>3.03%</w:t>
            </w:r>
          </w:p>
        </w:tc>
      </w:tr>
      <w:tr w14:paraId="4D578438">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3FF812C1">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09A49DBA">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12AA52EC">
            <w:pPr>
              <w:widowControl w:val="0"/>
              <w:spacing w:line="240" w:lineRule="exact"/>
              <w:jc w:val="center"/>
              <w:rPr>
                <w:rFonts w:eastAsia="楷体_GB2312"/>
                <w:szCs w:val="21"/>
              </w:rPr>
            </w:pPr>
            <w:r>
              <w:rPr>
                <w:rFonts w:eastAsia="楷体_GB2312"/>
                <w:szCs w:val="21"/>
              </w:rPr>
              <w:t>2</w:t>
            </w:r>
          </w:p>
        </w:tc>
        <w:tc>
          <w:tcPr>
            <w:tcW w:w="0" w:type="auto"/>
            <w:tcBorders>
              <w:top w:val="nil"/>
              <w:left w:val="single" w:color="auto" w:sz="4" w:space="0"/>
              <w:bottom w:val="single" w:color="auto" w:sz="4" w:space="0"/>
              <w:right w:val="single" w:color="auto" w:sz="4" w:space="0"/>
            </w:tcBorders>
            <w:noWrap/>
            <w:vAlign w:val="center"/>
          </w:tcPr>
          <w:p w14:paraId="58CBA875">
            <w:pPr>
              <w:widowControl w:val="0"/>
              <w:spacing w:line="240" w:lineRule="exact"/>
              <w:jc w:val="center"/>
              <w:rPr>
                <w:rFonts w:eastAsia="楷体_GB2312"/>
                <w:b/>
                <w:color w:val="000000"/>
                <w:szCs w:val="21"/>
              </w:rPr>
            </w:pPr>
            <w:r>
              <w:rPr>
                <w:rFonts w:eastAsia="楷体_GB2312"/>
                <w:b/>
                <w:color w:val="000000"/>
                <w:szCs w:val="21"/>
              </w:rPr>
              <w:t>350</w:t>
            </w:r>
          </w:p>
        </w:tc>
        <w:tc>
          <w:tcPr>
            <w:tcW w:w="0" w:type="auto"/>
            <w:tcBorders>
              <w:top w:val="nil"/>
              <w:left w:val="nil"/>
              <w:bottom w:val="single" w:color="auto" w:sz="8" w:space="0"/>
              <w:right w:val="single" w:color="auto" w:sz="8" w:space="0"/>
            </w:tcBorders>
            <w:noWrap/>
            <w:vAlign w:val="center"/>
          </w:tcPr>
          <w:p w14:paraId="0AB4299F">
            <w:pPr>
              <w:widowControl w:val="0"/>
              <w:spacing w:line="240" w:lineRule="exact"/>
              <w:jc w:val="center"/>
              <w:rPr>
                <w:rFonts w:eastAsia="楷体_GB2312"/>
                <w:color w:val="000000"/>
                <w:szCs w:val="21"/>
              </w:rPr>
            </w:pPr>
            <w:r>
              <w:rPr>
                <w:rFonts w:eastAsia="楷体_GB2312"/>
                <w:color w:val="000000"/>
                <w:szCs w:val="21"/>
              </w:rPr>
              <w:t>345</w:t>
            </w:r>
          </w:p>
        </w:tc>
        <w:tc>
          <w:tcPr>
            <w:tcW w:w="0" w:type="auto"/>
            <w:tcBorders>
              <w:top w:val="nil"/>
              <w:left w:val="nil"/>
              <w:bottom w:val="single" w:color="auto" w:sz="8" w:space="0"/>
              <w:right w:val="single" w:color="auto" w:sz="8" w:space="0"/>
            </w:tcBorders>
            <w:noWrap w:val="0"/>
            <w:vAlign w:val="center"/>
          </w:tcPr>
          <w:p w14:paraId="2DA7337F">
            <w:pPr>
              <w:widowControl w:val="0"/>
              <w:spacing w:line="240" w:lineRule="exact"/>
              <w:jc w:val="center"/>
              <w:rPr>
                <w:rFonts w:eastAsia="楷体_GB2312"/>
                <w:color w:val="000000"/>
                <w:szCs w:val="21"/>
              </w:rPr>
            </w:pPr>
            <w:r>
              <w:rPr>
                <w:rFonts w:eastAsia="楷体_GB2312"/>
                <w:color w:val="000000"/>
                <w:szCs w:val="21"/>
              </w:rPr>
              <w:t>1.45%</w:t>
            </w:r>
          </w:p>
        </w:tc>
        <w:tc>
          <w:tcPr>
            <w:tcW w:w="0" w:type="auto"/>
            <w:tcBorders>
              <w:top w:val="nil"/>
              <w:left w:val="single" w:color="auto" w:sz="4" w:space="0"/>
              <w:bottom w:val="single" w:color="auto" w:sz="4" w:space="0"/>
              <w:right w:val="single" w:color="auto" w:sz="4" w:space="0"/>
            </w:tcBorders>
            <w:noWrap/>
            <w:vAlign w:val="center"/>
          </w:tcPr>
          <w:p w14:paraId="0490BAA7">
            <w:pPr>
              <w:widowControl w:val="0"/>
              <w:spacing w:line="240" w:lineRule="exact"/>
              <w:jc w:val="center"/>
              <w:rPr>
                <w:rFonts w:eastAsia="楷体_GB2312"/>
                <w:b/>
                <w:color w:val="000000"/>
                <w:szCs w:val="21"/>
              </w:rPr>
            </w:pPr>
            <w:r>
              <w:rPr>
                <w:rFonts w:eastAsia="楷体_GB2312"/>
                <w:b/>
                <w:color w:val="000000"/>
                <w:szCs w:val="21"/>
              </w:rPr>
              <w:t>255</w:t>
            </w:r>
          </w:p>
        </w:tc>
        <w:tc>
          <w:tcPr>
            <w:tcW w:w="0" w:type="auto"/>
            <w:tcBorders>
              <w:top w:val="nil"/>
              <w:left w:val="nil"/>
              <w:bottom w:val="single" w:color="auto" w:sz="8" w:space="0"/>
              <w:right w:val="single" w:color="auto" w:sz="8" w:space="0"/>
            </w:tcBorders>
            <w:noWrap/>
            <w:vAlign w:val="center"/>
          </w:tcPr>
          <w:p w14:paraId="523BE091">
            <w:pPr>
              <w:widowControl w:val="0"/>
              <w:spacing w:line="240" w:lineRule="exact"/>
              <w:jc w:val="center"/>
              <w:rPr>
                <w:rFonts w:eastAsia="楷体_GB2312"/>
                <w:color w:val="000000"/>
                <w:szCs w:val="21"/>
              </w:rPr>
            </w:pPr>
            <w:r>
              <w:rPr>
                <w:rFonts w:eastAsia="楷体_GB2312"/>
                <w:color w:val="000000"/>
                <w:szCs w:val="21"/>
              </w:rPr>
              <w:t>240</w:t>
            </w:r>
          </w:p>
        </w:tc>
        <w:tc>
          <w:tcPr>
            <w:tcW w:w="0" w:type="auto"/>
            <w:tcBorders>
              <w:top w:val="nil"/>
              <w:left w:val="nil"/>
              <w:bottom w:val="single" w:color="auto" w:sz="8" w:space="0"/>
              <w:right w:val="single" w:color="auto" w:sz="8" w:space="0"/>
            </w:tcBorders>
            <w:noWrap w:val="0"/>
            <w:vAlign w:val="center"/>
          </w:tcPr>
          <w:p w14:paraId="4829ECC2">
            <w:pPr>
              <w:widowControl w:val="0"/>
              <w:spacing w:line="240" w:lineRule="exact"/>
              <w:jc w:val="center"/>
              <w:rPr>
                <w:rFonts w:eastAsia="楷体_GB2312"/>
                <w:color w:val="000000"/>
                <w:szCs w:val="21"/>
              </w:rPr>
            </w:pPr>
            <w:r>
              <w:rPr>
                <w:rFonts w:eastAsia="楷体_GB2312"/>
                <w:color w:val="000000"/>
                <w:szCs w:val="21"/>
              </w:rPr>
              <w:t>6.25%</w:t>
            </w:r>
          </w:p>
        </w:tc>
        <w:tc>
          <w:tcPr>
            <w:tcW w:w="0" w:type="auto"/>
            <w:tcBorders>
              <w:top w:val="nil"/>
              <w:left w:val="single" w:color="auto" w:sz="4" w:space="0"/>
              <w:bottom w:val="single" w:color="auto" w:sz="4" w:space="0"/>
              <w:right w:val="single" w:color="auto" w:sz="4" w:space="0"/>
            </w:tcBorders>
            <w:noWrap/>
            <w:vAlign w:val="center"/>
          </w:tcPr>
          <w:p w14:paraId="3AD12023">
            <w:pPr>
              <w:widowControl w:val="0"/>
              <w:spacing w:line="240" w:lineRule="exact"/>
              <w:jc w:val="center"/>
              <w:rPr>
                <w:rFonts w:eastAsia="楷体_GB2312"/>
                <w:b/>
                <w:color w:val="000000"/>
                <w:szCs w:val="21"/>
              </w:rPr>
            </w:pPr>
            <w:r>
              <w:rPr>
                <w:rFonts w:eastAsia="楷体_GB2312"/>
                <w:b/>
                <w:color w:val="000000"/>
                <w:szCs w:val="21"/>
              </w:rPr>
              <w:t>155</w:t>
            </w:r>
          </w:p>
        </w:tc>
        <w:tc>
          <w:tcPr>
            <w:tcW w:w="0" w:type="auto"/>
            <w:tcBorders>
              <w:top w:val="nil"/>
              <w:left w:val="nil"/>
              <w:bottom w:val="single" w:color="auto" w:sz="8" w:space="0"/>
              <w:right w:val="single" w:color="auto" w:sz="8" w:space="0"/>
            </w:tcBorders>
            <w:noWrap/>
            <w:vAlign w:val="center"/>
          </w:tcPr>
          <w:p w14:paraId="6F30D8E9">
            <w:pPr>
              <w:widowControl w:val="0"/>
              <w:spacing w:line="240" w:lineRule="exact"/>
              <w:jc w:val="center"/>
              <w:rPr>
                <w:rFonts w:eastAsia="楷体_GB2312"/>
                <w:color w:val="000000"/>
                <w:szCs w:val="21"/>
              </w:rPr>
            </w:pPr>
            <w:r>
              <w:rPr>
                <w:rFonts w:eastAsia="楷体_GB2312"/>
                <w:color w:val="000000"/>
                <w:szCs w:val="21"/>
              </w:rPr>
              <w:t>150</w:t>
            </w:r>
          </w:p>
        </w:tc>
        <w:tc>
          <w:tcPr>
            <w:tcW w:w="0" w:type="auto"/>
            <w:tcBorders>
              <w:top w:val="nil"/>
              <w:left w:val="nil"/>
              <w:bottom w:val="single" w:color="auto" w:sz="8" w:space="0"/>
              <w:right w:val="single" w:color="auto" w:sz="8" w:space="0"/>
            </w:tcBorders>
            <w:noWrap w:val="0"/>
            <w:vAlign w:val="center"/>
          </w:tcPr>
          <w:p w14:paraId="706A898C">
            <w:pPr>
              <w:widowControl w:val="0"/>
              <w:spacing w:line="240" w:lineRule="exact"/>
              <w:jc w:val="center"/>
              <w:rPr>
                <w:rFonts w:eastAsia="楷体_GB2312"/>
                <w:color w:val="000000"/>
                <w:szCs w:val="21"/>
              </w:rPr>
            </w:pPr>
            <w:r>
              <w:rPr>
                <w:rFonts w:eastAsia="楷体_GB2312"/>
                <w:color w:val="000000"/>
                <w:szCs w:val="21"/>
              </w:rPr>
              <w:t>3.33%</w:t>
            </w:r>
          </w:p>
        </w:tc>
      </w:tr>
      <w:tr w14:paraId="11C9E0E3">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auto" w:sz="4" w:space="0"/>
              <w:right w:val="single" w:color="auto" w:sz="8" w:space="0"/>
            </w:tcBorders>
            <w:noWrap w:val="0"/>
            <w:vAlign w:val="center"/>
          </w:tcPr>
          <w:p w14:paraId="236D6DFC">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auto" w:sz="4" w:space="0"/>
              <w:right w:val="single" w:color="auto" w:sz="8" w:space="0"/>
            </w:tcBorders>
            <w:noWrap w:val="0"/>
            <w:vAlign w:val="center"/>
          </w:tcPr>
          <w:p w14:paraId="25C6DF97">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7CDAB8DF">
            <w:pPr>
              <w:widowControl w:val="0"/>
              <w:spacing w:line="240" w:lineRule="exact"/>
              <w:jc w:val="center"/>
              <w:rPr>
                <w:rFonts w:eastAsia="楷体_GB2312"/>
                <w:szCs w:val="21"/>
              </w:rPr>
            </w:pPr>
            <w:r>
              <w:rPr>
                <w:rFonts w:eastAsia="楷体_GB2312"/>
                <w:szCs w:val="21"/>
              </w:rPr>
              <w:t>3</w:t>
            </w:r>
          </w:p>
        </w:tc>
        <w:tc>
          <w:tcPr>
            <w:tcW w:w="0" w:type="auto"/>
            <w:tcBorders>
              <w:top w:val="nil"/>
              <w:left w:val="single" w:color="auto" w:sz="4" w:space="0"/>
              <w:bottom w:val="single" w:color="auto" w:sz="4" w:space="0"/>
              <w:right w:val="single" w:color="auto" w:sz="4" w:space="0"/>
            </w:tcBorders>
            <w:noWrap/>
            <w:vAlign w:val="center"/>
          </w:tcPr>
          <w:p w14:paraId="7233A7BA">
            <w:pPr>
              <w:widowControl w:val="0"/>
              <w:spacing w:line="240" w:lineRule="exact"/>
              <w:jc w:val="center"/>
              <w:rPr>
                <w:rFonts w:eastAsia="楷体_GB2312"/>
                <w:b/>
                <w:color w:val="000000"/>
                <w:szCs w:val="21"/>
              </w:rPr>
            </w:pPr>
            <w:r>
              <w:rPr>
                <w:rFonts w:eastAsia="楷体_GB2312"/>
                <w:b/>
                <w:color w:val="000000"/>
                <w:szCs w:val="21"/>
              </w:rPr>
              <w:t>270</w:t>
            </w:r>
          </w:p>
        </w:tc>
        <w:tc>
          <w:tcPr>
            <w:tcW w:w="0" w:type="auto"/>
            <w:tcBorders>
              <w:top w:val="nil"/>
              <w:left w:val="nil"/>
              <w:bottom w:val="single" w:color="auto" w:sz="8" w:space="0"/>
              <w:right w:val="single" w:color="auto" w:sz="8" w:space="0"/>
            </w:tcBorders>
            <w:noWrap/>
            <w:vAlign w:val="center"/>
          </w:tcPr>
          <w:p w14:paraId="62A496E2">
            <w:pPr>
              <w:widowControl w:val="0"/>
              <w:spacing w:line="240" w:lineRule="exact"/>
              <w:jc w:val="center"/>
              <w:rPr>
                <w:rFonts w:eastAsia="楷体_GB2312"/>
                <w:color w:val="000000"/>
                <w:szCs w:val="21"/>
              </w:rPr>
            </w:pPr>
            <w:r>
              <w:rPr>
                <w:rFonts w:eastAsia="楷体_GB2312"/>
                <w:color w:val="000000"/>
                <w:szCs w:val="21"/>
              </w:rPr>
              <w:t>259</w:t>
            </w:r>
          </w:p>
        </w:tc>
        <w:tc>
          <w:tcPr>
            <w:tcW w:w="0" w:type="auto"/>
            <w:tcBorders>
              <w:top w:val="nil"/>
              <w:left w:val="nil"/>
              <w:bottom w:val="single" w:color="auto" w:sz="8" w:space="0"/>
              <w:right w:val="single" w:color="auto" w:sz="8" w:space="0"/>
            </w:tcBorders>
            <w:noWrap w:val="0"/>
            <w:vAlign w:val="center"/>
          </w:tcPr>
          <w:p w14:paraId="6B1E3272">
            <w:pPr>
              <w:widowControl w:val="0"/>
              <w:spacing w:line="240" w:lineRule="exact"/>
              <w:jc w:val="center"/>
              <w:rPr>
                <w:rFonts w:eastAsia="楷体_GB2312"/>
                <w:color w:val="000000"/>
                <w:szCs w:val="21"/>
              </w:rPr>
            </w:pPr>
            <w:r>
              <w:rPr>
                <w:rFonts w:eastAsia="楷体_GB2312"/>
                <w:color w:val="000000"/>
                <w:szCs w:val="21"/>
              </w:rPr>
              <w:t>4.25%</w:t>
            </w:r>
          </w:p>
        </w:tc>
        <w:tc>
          <w:tcPr>
            <w:tcW w:w="0" w:type="auto"/>
            <w:tcBorders>
              <w:top w:val="nil"/>
              <w:left w:val="single" w:color="auto" w:sz="4" w:space="0"/>
              <w:bottom w:val="single" w:color="auto" w:sz="4" w:space="0"/>
              <w:right w:val="single" w:color="auto" w:sz="4" w:space="0"/>
            </w:tcBorders>
            <w:noWrap/>
            <w:vAlign w:val="center"/>
          </w:tcPr>
          <w:p w14:paraId="1C823BC7">
            <w:pPr>
              <w:widowControl w:val="0"/>
              <w:spacing w:line="240" w:lineRule="exact"/>
              <w:jc w:val="center"/>
              <w:rPr>
                <w:rFonts w:eastAsia="楷体_GB2312"/>
                <w:b/>
                <w:color w:val="000000"/>
                <w:szCs w:val="21"/>
              </w:rPr>
            </w:pPr>
            <w:r>
              <w:rPr>
                <w:rFonts w:eastAsia="楷体_GB2312"/>
                <w:b/>
                <w:color w:val="000000"/>
                <w:szCs w:val="21"/>
              </w:rPr>
              <w:t>195</w:t>
            </w:r>
          </w:p>
        </w:tc>
        <w:tc>
          <w:tcPr>
            <w:tcW w:w="0" w:type="auto"/>
            <w:tcBorders>
              <w:top w:val="nil"/>
              <w:left w:val="nil"/>
              <w:bottom w:val="single" w:color="auto" w:sz="8" w:space="0"/>
              <w:right w:val="single" w:color="auto" w:sz="8" w:space="0"/>
            </w:tcBorders>
            <w:noWrap/>
            <w:vAlign w:val="center"/>
          </w:tcPr>
          <w:p w14:paraId="3E30D889">
            <w:pPr>
              <w:widowControl w:val="0"/>
              <w:spacing w:line="240" w:lineRule="exact"/>
              <w:jc w:val="center"/>
              <w:rPr>
                <w:rFonts w:eastAsia="楷体_GB2312"/>
                <w:color w:val="000000"/>
                <w:szCs w:val="21"/>
              </w:rPr>
            </w:pPr>
            <w:r>
              <w:rPr>
                <w:rFonts w:eastAsia="楷体_GB2312"/>
                <w:color w:val="000000"/>
                <w:szCs w:val="21"/>
              </w:rPr>
              <w:t>165</w:t>
            </w:r>
          </w:p>
        </w:tc>
        <w:tc>
          <w:tcPr>
            <w:tcW w:w="0" w:type="auto"/>
            <w:tcBorders>
              <w:top w:val="nil"/>
              <w:left w:val="nil"/>
              <w:bottom w:val="single" w:color="auto" w:sz="8" w:space="0"/>
              <w:right w:val="single" w:color="auto" w:sz="8" w:space="0"/>
            </w:tcBorders>
            <w:noWrap w:val="0"/>
            <w:vAlign w:val="center"/>
          </w:tcPr>
          <w:p w14:paraId="239A4473">
            <w:pPr>
              <w:widowControl w:val="0"/>
              <w:spacing w:line="240" w:lineRule="exact"/>
              <w:jc w:val="center"/>
              <w:rPr>
                <w:rFonts w:eastAsia="楷体_GB2312"/>
                <w:color w:val="000000"/>
                <w:szCs w:val="21"/>
              </w:rPr>
            </w:pPr>
            <w:r>
              <w:rPr>
                <w:rFonts w:eastAsia="楷体_GB2312"/>
                <w:color w:val="000000"/>
                <w:szCs w:val="21"/>
              </w:rPr>
              <w:t>18.18%</w:t>
            </w:r>
          </w:p>
        </w:tc>
        <w:tc>
          <w:tcPr>
            <w:tcW w:w="0" w:type="auto"/>
            <w:tcBorders>
              <w:top w:val="nil"/>
              <w:left w:val="single" w:color="auto" w:sz="4" w:space="0"/>
              <w:bottom w:val="single" w:color="auto" w:sz="4" w:space="0"/>
              <w:right w:val="single" w:color="auto" w:sz="4" w:space="0"/>
            </w:tcBorders>
            <w:noWrap/>
            <w:vAlign w:val="center"/>
          </w:tcPr>
          <w:p w14:paraId="18F91455">
            <w:pPr>
              <w:widowControl w:val="0"/>
              <w:spacing w:line="240" w:lineRule="exact"/>
              <w:jc w:val="center"/>
              <w:rPr>
                <w:rFonts w:eastAsia="楷体_GB2312"/>
                <w:b/>
                <w:color w:val="000000"/>
                <w:szCs w:val="21"/>
              </w:rPr>
            </w:pPr>
            <w:r>
              <w:rPr>
                <w:rFonts w:eastAsia="楷体_GB2312"/>
                <w:b/>
                <w:color w:val="000000"/>
                <w:szCs w:val="21"/>
              </w:rPr>
              <w:t>144</w:t>
            </w:r>
          </w:p>
        </w:tc>
        <w:tc>
          <w:tcPr>
            <w:tcW w:w="0" w:type="auto"/>
            <w:tcBorders>
              <w:top w:val="nil"/>
              <w:left w:val="nil"/>
              <w:bottom w:val="single" w:color="auto" w:sz="8" w:space="0"/>
              <w:right w:val="single" w:color="auto" w:sz="8" w:space="0"/>
            </w:tcBorders>
            <w:noWrap/>
            <w:vAlign w:val="center"/>
          </w:tcPr>
          <w:p w14:paraId="476A4A74">
            <w:pPr>
              <w:widowControl w:val="0"/>
              <w:spacing w:line="240" w:lineRule="exact"/>
              <w:jc w:val="center"/>
              <w:rPr>
                <w:rFonts w:eastAsia="楷体_GB2312"/>
                <w:color w:val="000000"/>
                <w:szCs w:val="21"/>
              </w:rPr>
            </w:pPr>
            <w:r>
              <w:rPr>
                <w:rFonts w:eastAsia="楷体_GB2312"/>
                <w:color w:val="000000"/>
                <w:szCs w:val="21"/>
              </w:rPr>
              <w:t>144</w:t>
            </w:r>
          </w:p>
        </w:tc>
        <w:tc>
          <w:tcPr>
            <w:tcW w:w="0" w:type="auto"/>
            <w:tcBorders>
              <w:top w:val="nil"/>
              <w:left w:val="nil"/>
              <w:bottom w:val="single" w:color="auto" w:sz="8" w:space="0"/>
              <w:right w:val="single" w:color="auto" w:sz="8" w:space="0"/>
            </w:tcBorders>
            <w:noWrap w:val="0"/>
            <w:vAlign w:val="center"/>
          </w:tcPr>
          <w:p w14:paraId="1893699F">
            <w:pPr>
              <w:widowControl w:val="0"/>
              <w:spacing w:line="240" w:lineRule="exact"/>
              <w:jc w:val="center"/>
              <w:rPr>
                <w:rFonts w:eastAsia="楷体_GB2312"/>
                <w:color w:val="000000"/>
                <w:szCs w:val="21"/>
              </w:rPr>
            </w:pPr>
            <w:r>
              <w:rPr>
                <w:rFonts w:eastAsia="楷体_GB2312"/>
                <w:color w:val="000000"/>
                <w:szCs w:val="21"/>
              </w:rPr>
              <w:t>0.00%</w:t>
            </w:r>
          </w:p>
        </w:tc>
      </w:tr>
      <w:tr w14:paraId="2110AD9C">
        <w:tblPrEx>
          <w:tblCellMar>
            <w:top w:w="0" w:type="dxa"/>
            <w:left w:w="108" w:type="dxa"/>
            <w:bottom w:w="0" w:type="dxa"/>
            <w:right w:w="108" w:type="dxa"/>
          </w:tblCellMar>
        </w:tblPrEx>
        <w:trPr>
          <w:trHeight w:val="20" w:hRule="atLeast"/>
          <w:jc w:val="center"/>
        </w:trPr>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624998A0">
            <w:pPr>
              <w:widowControl w:val="0"/>
              <w:spacing w:line="240" w:lineRule="exact"/>
              <w:jc w:val="center"/>
              <w:rPr>
                <w:rFonts w:eastAsia="楷体_GB2312"/>
                <w:szCs w:val="21"/>
              </w:rPr>
            </w:pPr>
            <w:r>
              <w:rPr>
                <w:rFonts w:eastAsia="楷体_GB2312"/>
                <w:szCs w:val="21"/>
              </w:rPr>
              <w:t>20</w:t>
            </w:r>
          </w:p>
        </w:tc>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0615CA95">
            <w:pPr>
              <w:widowControl w:val="0"/>
              <w:spacing w:line="240" w:lineRule="exact"/>
              <w:jc w:val="center"/>
              <w:rPr>
                <w:rFonts w:eastAsia="楷体_GB2312"/>
                <w:color w:val="000000"/>
                <w:szCs w:val="21"/>
              </w:rPr>
            </w:pPr>
            <w:r>
              <w:rPr>
                <w:rFonts w:eastAsia="楷体_GB2312"/>
                <w:color w:val="000000"/>
                <w:szCs w:val="21"/>
              </w:rPr>
              <w:t>支河乡</w:t>
            </w:r>
          </w:p>
        </w:tc>
        <w:tc>
          <w:tcPr>
            <w:tcW w:w="0" w:type="auto"/>
            <w:tcBorders>
              <w:top w:val="nil"/>
              <w:left w:val="nil"/>
              <w:bottom w:val="single" w:color="auto" w:sz="8" w:space="0"/>
              <w:right w:val="single" w:color="auto" w:sz="8" w:space="0"/>
            </w:tcBorders>
            <w:noWrap w:val="0"/>
            <w:vAlign w:val="center"/>
          </w:tcPr>
          <w:p w14:paraId="6B230289">
            <w:pPr>
              <w:widowControl w:val="0"/>
              <w:spacing w:line="240" w:lineRule="exact"/>
              <w:jc w:val="center"/>
              <w:rPr>
                <w:rFonts w:eastAsia="楷体_GB2312"/>
                <w:szCs w:val="21"/>
              </w:rPr>
            </w:pPr>
            <w:r>
              <w:rPr>
                <w:rFonts w:eastAsia="楷体_GB2312"/>
                <w:szCs w:val="21"/>
              </w:rPr>
              <w:t>1</w:t>
            </w:r>
          </w:p>
        </w:tc>
        <w:tc>
          <w:tcPr>
            <w:tcW w:w="0" w:type="auto"/>
            <w:tcBorders>
              <w:top w:val="nil"/>
              <w:left w:val="single" w:color="auto" w:sz="4" w:space="0"/>
              <w:bottom w:val="single" w:color="auto" w:sz="4" w:space="0"/>
              <w:right w:val="single" w:color="auto" w:sz="4" w:space="0"/>
            </w:tcBorders>
            <w:noWrap/>
            <w:vAlign w:val="center"/>
          </w:tcPr>
          <w:p w14:paraId="160FB0A2">
            <w:pPr>
              <w:widowControl w:val="0"/>
              <w:spacing w:line="240" w:lineRule="exact"/>
              <w:jc w:val="center"/>
              <w:rPr>
                <w:rFonts w:eastAsia="楷体_GB2312"/>
                <w:b/>
                <w:color w:val="000000"/>
                <w:szCs w:val="21"/>
              </w:rPr>
            </w:pPr>
            <w:r>
              <w:rPr>
                <w:rFonts w:eastAsia="楷体_GB2312"/>
                <w:b/>
                <w:color w:val="000000"/>
                <w:szCs w:val="21"/>
              </w:rPr>
              <w:t>425</w:t>
            </w:r>
          </w:p>
        </w:tc>
        <w:tc>
          <w:tcPr>
            <w:tcW w:w="0" w:type="auto"/>
            <w:tcBorders>
              <w:top w:val="nil"/>
              <w:left w:val="nil"/>
              <w:bottom w:val="single" w:color="auto" w:sz="8" w:space="0"/>
              <w:right w:val="single" w:color="auto" w:sz="8" w:space="0"/>
            </w:tcBorders>
            <w:noWrap/>
            <w:vAlign w:val="center"/>
          </w:tcPr>
          <w:p w14:paraId="42BD03C0">
            <w:pPr>
              <w:widowControl w:val="0"/>
              <w:spacing w:line="240" w:lineRule="exact"/>
              <w:jc w:val="center"/>
              <w:rPr>
                <w:rFonts w:eastAsia="楷体_GB2312"/>
                <w:color w:val="000000"/>
                <w:szCs w:val="21"/>
              </w:rPr>
            </w:pPr>
            <w:r>
              <w:rPr>
                <w:rFonts w:eastAsia="楷体_GB2312"/>
                <w:color w:val="000000"/>
                <w:szCs w:val="21"/>
              </w:rPr>
              <w:t>422</w:t>
            </w:r>
          </w:p>
        </w:tc>
        <w:tc>
          <w:tcPr>
            <w:tcW w:w="0" w:type="auto"/>
            <w:tcBorders>
              <w:top w:val="nil"/>
              <w:left w:val="nil"/>
              <w:bottom w:val="single" w:color="auto" w:sz="8" w:space="0"/>
              <w:right w:val="single" w:color="auto" w:sz="8" w:space="0"/>
            </w:tcBorders>
            <w:noWrap w:val="0"/>
            <w:vAlign w:val="center"/>
          </w:tcPr>
          <w:p w14:paraId="029B92D0">
            <w:pPr>
              <w:widowControl w:val="0"/>
              <w:spacing w:line="240" w:lineRule="exact"/>
              <w:jc w:val="center"/>
              <w:rPr>
                <w:rFonts w:eastAsia="楷体_GB2312"/>
                <w:color w:val="000000"/>
                <w:szCs w:val="21"/>
              </w:rPr>
            </w:pPr>
            <w:r>
              <w:rPr>
                <w:rFonts w:eastAsia="楷体_GB2312"/>
                <w:color w:val="000000"/>
                <w:szCs w:val="21"/>
              </w:rPr>
              <w:t>0.71%</w:t>
            </w:r>
          </w:p>
        </w:tc>
        <w:tc>
          <w:tcPr>
            <w:tcW w:w="0" w:type="auto"/>
            <w:tcBorders>
              <w:top w:val="nil"/>
              <w:left w:val="single" w:color="auto" w:sz="4" w:space="0"/>
              <w:bottom w:val="single" w:color="auto" w:sz="4" w:space="0"/>
              <w:right w:val="single" w:color="auto" w:sz="4" w:space="0"/>
            </w:tcBorders>
            <w:noWrap/>
            <w:vAlign w:val="center"/>
          </w:tcPr>
          <w:p w14:paraId="71ACE416">
            <w:pPr>
              <w:widowControl w:val="0"/>
              <w:spacing w:line="240" w:lineRule="exact"/>
              <w:jc w:val="center"/>
              <w:rPr>
                <w:rFonts w:eastAsia="楷体_GB2312"/>
                <w:b/>
                <w:color w:val="000000"/>
                <w:szCs w:val="21"/>
              </w:rPr>
            </w:pPr>
            <w:r>
              <w:rPr>
                <w:rFonts w:eastAsia="楷体_GB2312"/>
                <w:b/>
                <w:color w:val="000000"/>
                <w:szCs w:val="21"/>
              </w:rPr>
              <w:t>315</w:t>
            </w:r>
          </w:p>
        </w:tc>
        <w:tc>
          <w:tcPr>
            <w:tcW w:w="0" w:type="auto"/>
            <w:tcBorders>
              <w:top w:val="nil"/>
              <w:left w:val="nil"/>
              <w:bottom w:val="single" w:color="auto" w:sz="8" w:space="0"/>
              <w:right w:val="single" w:color="auto" w:sz="8" w:space="0"/>
            </w:tcBorders>
            <w:noWrap/>
            <w:vAlign w:val="center"/>
          </w:tcPr>
          <w:p w14:paraId="7F3250D7">
            <w:pPr>
              <w:widowControl w:val="0"/>
              <w:spacing w:line="240" w:lineRule="exact"/>
              <w:jc w:val="center"/>
              <w:rPr>
                <w:rFonts w:eastAsia="楷体_GB2312"/>
                <w:color w:val="000000"/>
                <w:szCs w:val="21"/>
              </w:rPr>
            </w:pPr>
            <w:r>
              <w:rPr>
                <w:rFonts w:eastAsia="楷体_GB2312"/>
                <w:color w:val="000000"/>
                <w:szCs w:val="21"/>
              </w:rPr>
              <w:t>304</w:t>
            </w:r>
          </w:p>
        </w:tc>
        <w:tc>
          <w:tcPr>
            <w:tcW w:w="0" w:type="auto"/>
            <w:tcBorders>
              <w:top w:val="nil"/>
              <w:left w:val="nil"/>
              <w:bottom w:val="single" w:color="auto" w:sz="8" w:space="0"/>
              <w:right w:val="single" w:color="auto" w:sz="8" w:space="0"/>
            </w:tcBorders>
            <w:noWrap w:val="0"/>
            <w:vAlign w:val="center"/>
          </w:tcPr>
          <w:p w14:paraId="29B93B0D">
            <w:pPr>
              <w:widowControl w:val="0"/>
              <w:spacing w:line="240" w:lineRule="exact"/>
              <w:jc w:val="center"/>
              <w:rPr>
                <w:rFonts w:eastAsia="楷体_GB2312"/>
                <w:color w:val="000000"/>
                <w:szCs w:val="21"/>
              </w:rPr>
            </w:pPr>
            <w:r>
              <w:rPr>
                <w:rFonts w:eastAsia="楷体_GB2312"/>
                <w:color w:val="000000"/>
                <w:szCs w:val="21"/>
              </w:rPr>
              <w:t>3.62%</w:t>
            </w:r>
          </w:p>
        </w:tc>
        <w:tc>
          <w:tcPr>
            <w:tcW w:w="0" w:type="auto"/>
            <w:tcBorders>
              <w:top w:val="nil"/>
              <w:left w:val="single" w:color="auto" w:sz="4" w:space="0"/>
              <w:bottom w:val="single" w:color="auto" w:sz="4" w:space="0"/>
              <w:right w:val="single" w:color="auto" w:sz="4" w:space="0"/>
            </w:tcBorders>
            <w:noWrap/>
            <w:vAlign w:val="center"/>
          </w:tcPr>
          <w:p w14:paraId="75D076C2">
            <w:pPr>
              <w:widowControl w:val="0"/>
              <w:spacing w:line="240" w:lineRule="exact"/>
              <w:jc w:val="center"/>
              <w:rPr>
                <w:rFonts w:eastAsia="楷体_GB2312"/>
                <w:b/>
                <w:color w:val="000000"/>
                <w:szCs w:val="21"/>
              </w:rPr>
            </w:pPr>
            <w:r>
              <w:rPr>
                <w:rFonts w:eastAsia="楷体_GB2312"/>
                <w:b/>
                <w:color w:val="000000"/>
                <w:szCs w:val="21"/>
              </w:rPr>
              <w:t>170</w:t>
            </w:r>
          </w:p>
        </w:tc>
        <w:tc>
          <w:tcPr>
            <w:tcW w:w="0" w:type="auto"/>
            <w:tcBorders>
              <w:top w:val="nil"/>
              <w:left w:val="nil"/>
              <w:bottom w:val="single" w:color="auto" w:sz="8" w:space="0"/>
              <w:right w:val="single" w:color="auto" w:sz="8" w:space="0"/>
            </w:tcBorders>
            <w:noWrap/>
            <w:vAlign w:val="center"/>
          </w:tcPr>
          <w:p w14:paraId="16C3FE7C">
            <w:pPr>
              <w:widowControl w:val="0"/>
              <w:spacing w:line="240" w:lineRule="exact"/>
              <w:jc w:val="center"/>
              <w:rPr>
                <w:rFonts w:eastAsia="楷体_GB2312"/>
                <w:color w:val="000000"/>
                <w:szCs w:val="21"/>
              </w:rPr>
            </w:pPr>
            <w:r>
              <w:rPr>
                <w:rFonts w:eastAsia="楷体_GB2312"/>
                <w:color w:val="000000"/>
                <w:szCs w:val="21"/>
              </w:rPr>
              <w:t>165</w:t>
            </w:r>
          </w:p>
        </w:tc>
        <w:tc>
          <w:tcPr>
            <w:tcW w:w="0" w:type="auto"/>
            <w:tcBorders>
              <w:top w:val="nil"/>
              <w:left w:val="nil"/>
              <w:bottom w:val="single" w:color="auto" w:sz="8" w:space="0"/>
              <w:right w:val="single" w:color="auto" w:sz="8" w:space="0"/>
            </w:tcBorders>
            <w:noWrap w:val="0"/>
            <w:vAlign w:val="center"/>
          </w:tcPr>
          <w:p w14:paraId="5BFFF034">
            <w:pPr>
              <w:widowControl w:val="0"/>
              <w:spacing w:line="240" w:lineRule="exact"/>
              <w:jc w:val="center"/>
              <w:rPr>
                <w:rFonts w:eastAsia="楷体_GB2312"/>
                <w:color w:val="000000"/>
                <w:szCs w:val="21"/>
              </w:rPr>
            </w:pPr>
            <w:r>
              <w:rPr>
                <w:rFonts w:eastAsia="楷体_GB2312"/>
                <w:color w:val="000000"/>
                <w:szCs w:val="21"/>
              </w:rPr>
              <w:t>3.03%</w:t>
            </w:r>
          </w:p>
        </w:tc>
      </w:tr>
      <w:tr w14:paraId="4E789F00">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296FFED6">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578A527E">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18BAF631">
            <w:pPr>
              <w:widowControl w:val="0"/>
              <w:spacing w:line="240" w:lineRule="exact"/>
              <w:jc w:val="center"/>
              <w:rPr>
                <w:rFonts w:eastAsia="楷体_GB2312"/>
                <w:szCs w:val="21"/>
              </w:rPr>
            </w:pPr>
            <w:r>
              <w:rPr>
                <w:rFonts w:eastAsia="楷体_GB2312"/>
                <w:szCs w:val="21"/>
              </w:rPr>
              <w:t>2</w:t>
            </w:r>
          </w:p>
        </w:tc>
        <w:tc>
          <w:tcPr>
            <w:tcW w:w="0" w:type="auto"/>
            <w:tcBorders>
              <w:top w:val="nil"/>
              <w:left w:val="single" w:color="auto" w:sz="4" w:space="0"/>
              <w:bottom w:val="single" w:color="auto" w:sz="4" w:space="0"/>
              <w:right w:val="single" w:color="auto" w:sz="4" w:space="0"/>
            </w:tcBorders>
            <w:noWrap/>
            <w:vAlign w:val="center"/>
          </w:tcPr>
          <w:p w14:paraId="308DCA4F">
            <w:pPr>
              <w:widowControl w:val="0"/>
              <w:spacing w:line="240" w:lineRule="exact"/>
              <w:jc w:val="center"/>
              <w:rPr>
                <w:rFonts w:eastAsia="楷体_GB2312"/>
                <w:b/>
                <w:color w:val="000000"/>
                <w:szCs w:val="21"/>
              </w:rPr>
            </w:pPr>
            <w:r>
              <w:rPr>
                <w:rFonts w:eastAsia="楷体_GB2312"/>
                <w:b/>
                <w:color w:val="000000"/>
                <w:szCs w:val="21"/>
              </w:rPr>
              <w:t>330</w:t>
            </w:r>
          </w:p>
        </w:tc>
        <w:tc>
          <w:tcPr>
            <w:tcW w:w="0" w:type="auto"/>
            <w:tcBorders>
              <w:top w:val="nil"/>
              <w:left w:val="nil"/>
              <w:bottom w:val="single" w:color="auto" w:sz="8" w:space="0"/>
              <w:right w:val="single" w:color="auto" w:sz="8" w:space="0"/>
            </w:tcBorders>
            <w:noWrap/>
            <w:vAlign w:val="center"/>
          </w:tcPr>
          <w:p w14:paraId="160705A5">
            <w:pPr>
              <w:widowControl w:val="0"/>
              <w:spacing w:line="240" w:lineRule="exact"/>
              <w:jc w:val="center"/>
              <w:rPr>
                <w:rFonts w:eastAsia="楷体_GB2312"/>
                <w:color w:val="000000"/>
                <w:szCs w:val="21"/>
              </w:rPr>
            </w:pPr>
            <w:r>
              <w:rPr>
                <w:rFonts w:eastAsia="楷体_GB2312"/>
                <w:color w:val="000000"/>
                <w:szCs w:val="21"/>
              </w:rPr>
              <w:t>326</w:t>
            </w:r>
          </w:p>
        </w:tc>
        <w:tc>
          <w:tcPr>
            <w:tcW w:w="0" w:type="auto"/>
            <w:tcBorders>
              <w:top w:val="nil"/>
              <w:left w:val="nil"/>
              <w:bottom w:val="single" w:color="auto" w:sz="8" w:space="0"/>
              <w:right w:val="single" w:color="auto" w:sz="8" w:space="0"/>
            </w:tcBorders>
            <w:noWrap w:val="0"/>
            <w:vAlign w:val="center"/>
          </w:tcPr>
          <w:p w14:paraId="13E9CDBB">
            <w:pPr>
              <w:widowControl w:val="0"/>
              <w:spacing w:line="240" w:lineRule="exact"/>
              <w:jc w:val="center"/>
              <w:rPr>
                <w:rFonts w:eastAsia="楷体_GB2312"/>
                <w:color w:val="000000"/>
                <w:szCs w:val="21"/>
              </w:rPr>
            </w:pPr>
            <w:r>
              <w:rPr>
                <w:rFonts w:eastAsia="楷体_GB2312"/>
                <w:color w:val="000000"/>
                <w:szCs w:val="21"/>
              </w:rPr>
              <w:t>1.23%</w:t>
            </w:r>
          </w:p>
        </w:tc>
        <w:tc>
          <w:tcPr>
            <w:tcW w:w="0" w:type="auto"/>
            <w:tcBorders>
              <w:top w:val="nil"/>
              <w:left w:val="single" w:color="auto" w:sz="4" w:space="0"/>
              <w:bottom w:val="single" w:color="auto" w:sz="4" w:space="0"/>
              <w:right w:val="single" w:color="auto" w:sz="4" w:space="0"/>
            </w:tcBorders>
            <w:noWrap/>
            <w:vAlign w:val="center"/>
          </w:tcPr>
          <w:p w14:paraId="55076BE9">
            <w:pPr>
              <w:widowControl w:val="0"/>
              <w:spacing w:line="240" w:lineRule="exact"/>
              <w:jc w:val="center"/>
              <w:rPr>
                <w:rFonts w:eastAsia="楷体_GB2312"/>
                <w:b/>
                <w:color w:val="000000"/>
                <w:szCs w:val="21"/>
              </w:rPr>
            </w:pPr>
            <w:r>
              <w:rPr>
                <w:rFonts w:eastAsia="楷体_GB2312"/>
                <w:b/>
                <w:color w:val="000000"/>
                <w:szCs w:val="21"/>
              </w:rPr>
              <w:t>245</w:t>
            </w:r>
          </w:p>
        </w:tc>
        <w:tc>
          <w:tcPr>
            <w:tcW w:w="0" w:type="auto"/>
            <w:tcBorders>
              <w:top w:val="nil"/>
              <w:left w:val="nil"/>
              <w:bottom w:val="single" w:color="auto" w:sz="8" w:space="0"/>
              <w:right w:val="single" w:color="auto" w:sz="8" w:space="0"/>
            </w:tcBorders>
            <w:noWrap/>
            <w:vAlign w:val="center"/>
          </w:tcPr>
          <w:p w14:paraId="69B2D6CC">
            <w:pPr>
              <w:widowControl w:val="0"/>
              <w:spacing w:line="240" w:lineRule="exact"/>
              <w:jc w:val="center"/>
              <w:rPr>
                <w:rFonts w:eastAsia="楷体_GB2312"/>
                <w:color w:val="000000"/>
                <w:szCs w:val="21"/>
              </w:rPr>
            </w:pPr>
            <w:r>
              <w:rPr>
                <w:rFonts w:eastAsia="楷体_GB2312"/>
                <w:color w:val="000000"/>
                <w:szCs w:val="21"/>
              </w:rPr>
              <w:t>224</w:t>
            </w:r>
          </w:p>
        </w:tc>
        <w:tc>
          <w:tcPr>
            <w:tcW w:w="0" w:type="auto"/>
            <w:tcBorders>
              <w:top w:val="nil"/>
              <w:left w:val="nil"/>
              <w:bottom w:val="single" w:color="auto" w:sz="8" w:space="0"/>
              <w:right w:val="single" w:color="auto" w:sz="8" w:space="0"/>
            </w:tcBorders>
            <w:noWrap w:val="0"/>
            <w:vAlign w:val="center"/>
          </w:tcPr>
          <w:p w14:paraId="23EDE766">
            <w:pPr>
              <w:widowControl w:val="0"/>
              <w:spacing w:line="240" w:lineRule="exact"/>
              <w:jc w:val="center"/>
              <w:rPr>
                <w:rFonts w:eastAsia="楷体_GB2312"/>
                <w:color w:val="000000"/>
                <w:szCs w:val="21"/>
              </w:rPr>
            </w:pPr>
            <w:r>
              <w:rPr>
                <w:rFonts w:eastAsia="楷体_GB2312"/>
                <w:color w:val="000000"/>
                <w:szCs w:val="21"/>
              </w:rPr>
              <w:t>9.38%</w:t>
            </w:r>
          </w:p>
        </w:tc>
        <w:tc>
          <w:tcPr>
            <w:tcW w:w="0" w:type="auto"/>
            <w:tcBorders>
              <w:top w:val="nil"/>
              <w:left w:val="single" w:color="auto" w:sz="4" w:space="0"/>
              <w:bottom w:val="single" w:color="auto" w:sz="4" w:space="0"/>
              <w:right w:val="single" w:color="auto" w:sz="4" w:space="0"/>
            </w:tcBorders>
            <w:noWrap/>
            <w:vAlign w:val="center"/>
          </w:tcPr>
          <w:p w14:paraId="42ABE101">
            <w:pPr>
              <w:widowControl w:val="0"/>
              <w:spacing w:line="240" w:lineRule="exact"/>
              <w:jc w:val="center"/>
              <w:rPr>
                <w:rFonts w:eastAsia="楷体_GB2312"/>
                <w:b/>
                <w:color w:val="000000"/>
                <w:szCs w:val="21"/>
              </w:rPr>
            </w:pPr>
            <w:r>
              <w:rPr>
                <w:rFonts w:eastAsia="楷体_GB2312"/>
                <w:b/>
                <w:color w:val="000000"/>
                <w:szCs w:val="21"/>
              </w:rPr>
              <w:t>155</w:t>
            </w:r>
          </w:p>
        </w:tc>
        <w:tc>
          <w:tcPr>
            <w:tcW w:w="0" w:type="auto"/>
            <w:tcBorders>
              <w:top w:val="nil"/>
              <w:left w:val="nil"/>
              <w:bottom w:val="single" w:color="auto" w:sz="8" w:space="0"/>
              <w:right w:val="single" w:color="auto" w:sz="8" w:space="0"/>
            </w:tcBorders>
            <w:noWrap/>
            <w:vAlign w:val="center"/>
          </w:tcPr>
          <w:p w14:paraId="00DD77B3">
            <w:pPr>
              <w:widowControl w:val="0"/>
              <w:spacing w:line="240" w:lineRule="exact"/>
              <w:jc w:val="center"/>
              <w:rPr>
                <w:rFonts w:eastAsia="楷体_GB2312"/>
                <w:color w:val="000000"/>
                <w:szCs w:val="21"/>
              </w:rPr>
            </w:pPr>
            <w:r>
              <w:rPr>
                <w:rFonts w:eastAsia="楷体_GB2312"/>
                <w:color w:val="000000"/>
                <w:szCs w:val="21"/>
              </w:rPr>
              <w:t>150</w:t>
            </w:r>
          </w:p>
        </w:tc>
        <w:tc>
          <w:tcPr>
            <w:tcW w:w="0" w:type="auto"/>
            <w:tcBorders>
              <w:top w:val="nil"/>
              <w:left w:val="nil"/>
              <w:bottom w:val="single" w:color="auto" w:sz="8" w:space="0"/>
              <w:right w:val="single" w:color="auto" w:sz="8" w:space="0"/>
            </w:tcBorders>
            <w:noWrap w:val="0"/>
            <w:vAlign w:val="center"/>
          </w:tcPr>
          <w:p w14:paraId="2C288BED">
            <w:pPr>
              <w:widowControl w:val="0"/>
              <w:spacing w:line="240" w:lineRule="exact"/>
              <w:jc w:val="center"/>
              <w:rPr>
                <w:rFonts w:eastAsia="楷体_GB2312"/>
                <w:color w:val="000000"/>
                <w:szCs w:val="21"/>
              </w:rPr>
            </w:pPr>
            <w:r>
              <w:rPr>
                <w:rFonts w:eastAsia="楷体_GB2312"/>
                <w:color w:val="000000"/>
                <w:szCs w:val="21"/>
              </w:rPr>
              <w:t>3.33%</w:t>
            </w:r>
          </w:p>
        </w:tc>
      </w:tr>
      <w:tr w14:paraId="1E40D3D1">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auto" w:sz="4" w:space="0"/>
              <w:right w:val="single" w:color="auto" w:sz="8" w:space="0"/>
            </w:tcBorders>
            <w:noWrap w:val="0"/>
            <w:vAlign w:val="center"/>
          </w:tcPr>
          <w:p w14:paraId="5ECFCF0B">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auto" w:sz="4" w:space="0"/>
              <w:right w:val="single" w:color="auto" w:sz="8" w:space="0"/>
            </w:tcBorders>
            <w:noWrap w:val="0"/>
            <w:vAlign w:val="center"/>
          </w:tcPr>
          <w:p w14:paraId="552FCE0E">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77190927">
            <w:pPr>
              <w:widowControl w:val="0"/>
              <w:spacing w:line="240" w:lineRule="exact"/>
              <w:jc w:val="center"/>
              <w:rPr>
                <w:rFonts w:eastAsia="楷体_GB2312"/>
                <w:szCs w:val="21"/>
              </w:rPr>
            </w:pPr>
            <w:r>
              <w:rPr>
                <w:rFonts w:eastAsia="楷体_GB2312"/>
                <w:szCs w:val="21"/>
              </w:rPr>
              <w:t>3</w:t>
            </w:r>
          </w:p>
        </w:tc>
        <w:tc>
          <w:tcPr>
            <w:tcW w:w="0" w:type="auto"/>
            <w:tcBorders>
              <w:top w:val="nil"/>
              <w:left w:val="single" w:color="auto" w:sz="4" w:space="0"/>
              <w:bottom w:val="single" w:color="auto" w:sz="4" w:space="0"/>
              <w:right w:val="single" w:color="auto" w:sz="4" w:space="0"/>
            </w:tcBorders>
            <w:noWrap/>
            <w:vAlign w:val="center"/>
          </w:tcPr>
          <w:p w14:paraId="4C4F7AEF">
            <w:pPr>
              <w:widowControl w:val="0"/>
              <w:spacing w:line="240" w:lineRule="exact"/>
              <w:jc w:val="center"/>
              <w:rPr>
                <w:rFonts w:eastAsia="楷体_GB2312"/>
                <w:b/>
                <w:color w:val="000000"/>
                <w:szCs w:val="21"/>
              </w:rPr>
            </w:pPr>
            <w:r>
              <w:rPr>
                <w:rFonts w:eastAsia="楷体_GB2312"/>
                <w:b/>
                <w:color w:val="000000"/>
                <w:szCs w:val="21"/>
              </w:rPr>
              <w:t>255</w:t>
            </w:r>
          </w:p>
        </w:tc>
        <w:tc>
          <w:tcPr>
            <w:tcW w:w="0" w:type="auto"/>
            <w:tcBorders>
              <w:top w:val="nil"/>
              <w:left w:val="nil"/>
              <w:bottom w:val="single" w:color="auto" w:sz="8" w:space="0"/>
              <w:right w:val="single" w:color="auto" w:sz="8" w:space="0"/>
            </w:tcBorders>
            <w:noWrap/>
            <w:vAlign w:val="center"/>
          </w:tcPr>
          <w:p w14:paraId="1D2ACB64">
            <w:pPr>
              <w:widowControl w:val="0"/>
              <w:spacing w:line="240" w:lineRule="exact"/>
              <w:jc w:val="center"/>
              <w:rPr>
                <w:rFonts w:eastAsia="楷体_GB2312"/>
                <w:color w:val="000000"/>
                <w:szCs w:val="21"/>
              </w:rPr>
            </w:pPr>
            <w:r>
              <w:rPr>
                <w:rFonts w:eastAsia="楷体_GB2312"/>
                <w:color w:val="000000"/>
                <w:szCs w:val="21"/>
              </w:rPr>
              <w:t>232</w:t>
            </w:r>
          </w:p>
        </w:tc>
        <w:tc>
          <w:tcPr>
            <w:tcW w:w="0" w:type="auto"/>
            <w:tcBorders>
              <w:top w:val="nil"/>
              <w:left w:val="nil"/>
              <w:bottom w:val="single" w:color="auto" w:sz="8" w:space="0"/>
              <w:right w:val="single" w:color="auto" w:sz="8" w:space="0"/>
            </w:tcBorders>
            <w:noWrap w:val="0"/>
            <w:vAlign w:val="center"/>
          </w:tcPr>
          <w:p w14:paraId="5C5C5E35">
            <w:pPr>
              <w:widowControl w:val="0"/>
              <w:spacing w:line="240" w:lineRule="exact"/>
              <w:jc w:val="center"/>
              <w:rPr>
                <w:rFonts w:eastAsia="楷体_GB2312"/>
                <w:color w:val="000000"/>
                <w:szCs w:val="21"/>
              </w:rPr>
            </w:pPr>
            <w:r>
              <w:rPr>
                <w:rFonts w:eastAsia="楷体_GB2312"/>
                <w:color w:val="000000"/>
                <w:szCs w:val="21"/>
              </w:rPr>
              <w:t>9.91%</w:t>
            </w:r>
          </w:p>
        </w:tc>
        <w:tc>
          <w:tcPr>
            <w:tcW w:w="0" w:type="auto"/>
            <w:tcBorders>
              <w:top w:val="nil"/>
              <w:left w:val="single" w:color="auto" w:sz="4" w:space="0"/>
              <w:bottom w:val="single" w:color="auto" w:sz="4" w:space="0"/>
              <w:right w:val="single" w:color="auto" w:sz="4" w:space="0"/>
            </w:tcBorders>
            <w:noWrap/>
            <w:vAlign w:val="center"/>
          </w:tcPr>
          <w:p w14:paraId="4614BED5">
            <w:pPr>
              <w:widowControl w:val="0"/>
              <w:spacing w:line="240" w:lineRule="exact"/>
              <w:jc w:val="center"/>
              <w:rPr>
                <w:rFonts w:eastAsia="楷体_GB2312"/>
                <w:b/>
                <w:color w:val="000000"/>
                <w:szCs w:val="21"/>
              </w:rPr>
            </w:pPr>
            <w:r>
              <w:rPr>
                <w:rFonts w:eastAsia="楷体_GB2312"/>
                <w:b/>
                <w:color w:val="000000"/>
                <w:szCs w:val="21"/>
              </w:rPr>
              <w:t>190</w:t>
            </w:r>
          </w:p>
        </w:tc>
        <w:tc>
          <w:tcPr>
            <w:tcW w:w="0" w:type="auto"/>
            <w:tcBorders>
              <w:top w:val="nil"/>
              <w:left w:val="nil"/>
              <w:bottom w:val="single" w:color="auto" w:sz="8" w:space="0"/>
              <w:right w:val="single" w:color="auto" w:sz="8" w:space="0"/>
            </w:tcBorders>
            <w:noWrap/>
            <w:vAlign w:val="center"/>
          </w:tcPr>
          <w:p w14:paraId="460AD315">
            <w:pPr>
              <w:widowControl w:val="0"/>
              <w:spacing w:line="240" w:lineRule="exact"/>
              <w:jc w:val="center"/>
              <w:rPr>
                <w:rFonts w:eastAsia="楷体_GB2312"/>
                <w:color w:val="000000"/>
                <w:szCs w:val="21"/>
              </w:rPr>
            </w:pPr>
            <w:r>
              <w:rPr>
                <w:rFonts w:eastAsia="楷体_GB2312"/>
                <w:color w:val="000000"/>
                <w:szCs w:val="21"/>
              </w:rPr>
              <w:t>151</w:t>
            </w:r>
          </w:p>
        </w:tc>
        <w:tc>
          <w:tcPr>
            <w:tcW w:w="0" w:type="auto"/>
            <w:tcBorders>
              <w:top w:val="nil"/>
              <w:left w:val="nil"/>
              <w:bottom w:val="single" w:color="auto" w:sz="8" w:space="0"/>
              <w:right w:val="single" w:color="auto" w:sz="8" w:space="0"/>
            </w:tcBorders>
            <w:noWrap w:val="0"/>
            <w:vAlign w:val="center"/>
          </w:tcPr>
          <w:p w14:paraId="1F6957C8">
            <w:pPr>
              <w:widowControl w:val="0"/>
              <w:spacing w:line="240" w:lineRule="exact"/>
              <w:jc w:val="center"/>
              <w:rPr>
                <w:rFonts w:eastAsia="楷体_GB2312"/>
                <w:color w:val="000000"/>
                <w:szCs w:val="21"/>
              </w:rPr>
            </w:pPr>
            <w:r>
              <w:rPr>
                <w:rFonts w:eastAsia="楷体_GB2312"/>
                <w:color w:val="000000"/>
                <w:szCs w:val="21"/>
              </w:rPr>
              <w:t>25.83%</w:t>
            </w:r>
          </w:p>
        </w:tc>
        <w:tc>
          <w:tcPr>
            <w:tcW w:w="0" w:type="auto"/>
            <w:tcBorders>
              <w:top w:val="nil"/>
              <w:left w:val="single" w:color="auto" w:sz="4" w:space="0"/>
              <w:bottom w:val="single" w:color="auto" w:sz="4" w:space="0"/>
              <w:right w:val="single" w:color="auto" w:sz="4" w:space="0"/>
            </w:tcBorders>
            <w:noWrap/>
            <w:vAlign w:val="center"/>
          </w:tcPr>
          <w:p w14:paraId="31B50A88">
            <w:pPr>
              <w:widowControl w:val="0"/>
              <w:spacing w:line="240" w:lineRule="exact"/>
              <w:jc w:val="center"/>
              <w:rPr>
                <w:rFonts w:eastAsia="楷体_GB2312"/>
                <w:b/>
                <w:color w:val="000000"/>
                <w:szCs w:val="21"/>
              </w:rPr>
            </w:pPr>
            <w:r>
              <w:rPr>
                <w:rFonts w:eastAsia="楷体_GB2312"/>
                <w:b/>
                <w:color w:val="000000"/>
                <w:szCs w:val="21"/>
              </w:rPr>
              <w:t>144</w:t>
            </w:r>
          </w:p>
        </w:tc>
        <w:tc>
          <w:tcPr>
            <w:tcW w:w="0" w:type="auto"/>
            <w:tcBorders>
              <w:top w:val="nil"/>
              <w:left w:val="nil"/>
              <w:bottom w:val="single" w:color="auto" w:sz="8" w:space="0"/>
              <w:right w:val="single" w:color="auto" w:sz="8" w:space="0"/>
            </w:tcBorders>
            <w:noWrap/>
            <w:vAlign w:val="center"/>
          </w:tcPr>
          <w:p w14:paraId="760CDAB9">
            <w:pPr>
              <w:widowControl w:val="0"/>
              <w:spacing w:line="240" w:lineRule="exact"/>
              <w:jc w:val="center"/>
              <w:rPr>
                <w:rFonts w:eastAsia="楷体_GB2312"/>
                <w:color w:val="000000"/>
                <w:szCs w:val="21"/>
              </w:rPr>
            </w:pPr>
            <w:r>
              <w:rPr>
                <w:rFonts w:eastAsia="楷体_GB2312"/>
                <w:color w:val="000000"/>
                <w:szCs w:val="21"/>
              </w:rPr>
              <w:t>144</w:t>
            </w:r>
          </w:p>
        </w:tc>
        <w:tc>
          <w:tcPr>
            <w:tcW w:w="0" w:type="auto"/>
            <w:tcBorders>
              <w:top w:val="nil"/>
              <w:left w:val="nil"/>
              <w:bottom w:val="single" w:color="auto" w:sz="8" w:space="0"/>
              <w:right w:val="single" w:color="auto" w:sz="8" w:space="0"/>
            </w:tcBorders>
            <w:noWrap w:val="0"/>
            <w:vAlign w:val="center"/>
          </w:tcPr>
          <w:p w14:paraId="203715FD">
            <w:pPr>
              <w:widowControl w:val="0"/>
              <w:spacing w:line="240" w:lineRule="exact"/>
              <w:jc w:val="center"/>
              <w:rPr>
                <w:rFonts w:eastAsia="楷体_GB2312"/>
                <w:color w:val="000000"/>
                <w:szCs w:val="21"/>
              </w:rPr>
            </w:pPr>
            <w:r>
              <w:rPr>
                <w:rFonts w:eastAsia="楷体_GB2312"/>
                <w:color w:val="000000"/>
                <w:szCs w:val="21"/>
              </w:rPr>
              <w:t>0.00%</w:t>
            </w:r>
          </w:p>
        </w:tc>
      </w:tr>
      <w:tr w14:paraId="67132C94">
        <w:tblPrEx>
          <w:tblCellMar>
            <w:top w:w="0" w:type="dxa"/>
            <w:left w:w="108" w:type="dxa"/>
            <w:bottom w:w="0" w:type="dxa"/>
            <w:right w:w="108" w:type="dxa"/>
          </w:tblCellMar>
        </w:tblPrEx>
        <w:trPr>
          <w:trHeight w:val="20" w:hRule="atLeast"/>
          <w:jc w:val="center"/>
        </w:trPr>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37280DA3">
            <w:pPr>
              <w:widowControl w:val="0"/>
              <w:spacing w:line="240" w:lineRule="exact"/>
              <w:jc w:val="center"/>
              <w:rPr>
                <w:rFonts w:eastAsia="楷体_GB2312"/>
                <w:szCs w:val="21"/>
              </w:rPr>
            </w:pPr>
            <w:r>
              <w:rPr>
                <w:rFonts w:eastAsia="楷体_GB2312"/>
                <w:szCs w:val="21"/>
              </w:rPr>
              <w:t>21</w:t>
            </w:r>
          </w:p>
        </w:tc>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3F256D26">
            <w:pPr>
              <w:widowControl w:val="0"/>
              <w:spacing w:line="240" w:lineRule="exact"/>
              <w:jc w:val="center"/>
              <w:rPr>
                <w:rFonts w:eastAsia="楷体_GB2312"/>
                <w:color w:val="000000"/>
                <w:szCs w:val="21"/>
              </w:rPr>
            </w:pPr>
            <w:r>
              <w:rPr>
                <w:rFonts w:eastAsia="楷体_GB2312"/>
                <w:color w:val="000000"/>
                <w:szCs w:val="21"/>
              </w:rPr>
              <w:t>灰古镇</w:t>
            </w:r>
          </w:p>
        </w:tc>
        <w:tc>
          <w:tcPr>
            <w:tcW w:w="0" w:type="auto"/>
            <w:tcBorders>
              <w:top w:val="nil"/>
              <w:left w:val="nil"/>
              <w:bottom w:val="single" w:color="auto" w:sz="8" w:space="0"/>
              <w:right w:val="single" w:color="auto" w:sz="8" w:space="0"/>
            </w:tcBorders>
            <w:noWrap w:val="0"/>
            <w:vAlign w:val="center"/>
          </w:tcPr>
          <w:p w14:paraId="5D4C9B8A">
            <w:pPr>
              <w:widowControl w:val="0"/>
              <w:spacing w:line="240" w:lineRule="exact"/>
              <w:jc w:val="center"/>
              <w:rPr>
                <w:rFonts w:eastAsia="楷体_GB2312"/>
                <w:szCs w:val="21"/>
              </w:rPr>
            </w:pPr>
            <w:r>
              <w:rPr>
                <w:rFonts w:eastAsia="楷体_GB2312"/>
                <w:szCs w:val="21"/>
              </w:rPr>
              <w:t>1</w:t>
            </w:r>
          </w:p>
        </w:tc>
        <w:tc>
          <w:tcPr>
            <w:tcW w:w="0" w:type="auto"/>
            <w:tcBorders>
              <w:top w:val="nil"/>
              <w:left w:val="single" w:color="auto" w:sz="4" w:space="0"/>
              <w:bottom w:val="single" w:color="auto" w:sz="4" w:space="0"/>
              <w:right w:val="single" w:color="auto" w:sz="4" w:space="0"/>
            </w:tcBorders>
            <w:noWrap/>
            <w:vAlign w:val="center"/>
          </w:tcPr>
          <w:p w14:paraId="3B14D0A3">
            <w:pPr>
              <w:widowControl w:val="0"/>
              <w:spacing w:line="240" w:lineRule="exact"/>
              <w:jc w:val="center"/>
              <w:rPr>
                <w:rFonts w:eastAsia="楷体_GB2312"/>
                <w:b/>
                <w:color w:val="000000"/>
                <w:szCs w:val="21"/>
              </w:rPr>
            </w:pPr>
            <w:r>
              <w:rPr>
                <w:rFonts w:eastAsia="楷体_GB2312"/>
                <w:b/>
                <w:color w:val="000000"/>
                <w:szCs w:val="21"/>
              </w:rPr>
              <w:t>430</w:t>
            </w:r>
          </w:p>
        </w:tc>
        <w:tc>
          <w:tcPr>
            <w:tcW w:w="0" w:type="auto"/>
            <w:tcBorders>
              <w:top w:val="nil"/>
              <w:left w:val="nil"/>
              <w:bottom w:val="single" w:color="auto" w:sz="8" w:space="0"/>
              <w:right w:val="single" w:color="auto" w:sz="8" w:space="0"/>
            </w:tcBorders>
            <w:noWrap/>
            <w:vAlign w:val="center"/>
          </w:tcPr>
          <w:p w14:paraId="22057BDC">
            <w:pPr>
              <w:widowControl w:val="0"/>
              <w:spacing w:line="240" w:lineRule="exact"/>
              <w:jc w:val="center"/>
              <w:rPr>
                <w:rFonts w:eastAsia="楷体_GB2312"/>
                <w:color w:val="000000"/>
                <w:szCs w:val="21"/>
              </w:rPr>
            </w:pPr>
            <w:r>
              <w:rPr>
                <w:rFonts w:eastAsia="楷体_GB2312"/>
                <w:color w:val="000000"/>
                <w:szCs w:val="21"/>
              </w:rPr>
              <w:t>420</w:t>
            </w:r>
          </w:p>
        </w:tc>
        <w:tc>
          <w:tcPr>
            <w:tcW w:w="0" w:type="auto"/>
            <w:tcBorders>
              <w:top w:val="nil"/>
              <w:left w:val="nil"/>
              <w:bottom w:val="single" w:color="auto" w:sz="8" w:space="0"/>
              <w:right w:val="single" w:color="auto" w:sz="8" w:space="0"/>
            </w:tcBorders>
            <w:noWrap w:val="0"/>
            <w:vAlign w:val="center"/>
          </w:tcPr>
          <w:p w14:paraId="31412637">
            <w:pPr>
              <w:widowControl w:val="0"/>
              <w:spacing w:line="240" w:lineRule="exact"/>
              <w:jc w:val="center"/>
              <w:rPr>
                <w:rFonts w:eastAsia="楷体_GB2312"/>
                <w:color w:val="000000"/>
                <w:szCs w:val="21"/>
              </w:rPr>
            </w:pPr>
            <w:r>
              <w:rPr>
                <w:rFonts w:eastAsia="楷体_GB2312"/>
                <w:color w:val="000000"/>
                <w:szCs w:val="21"/>
              </w:rPr>
              <w:t>2.38%</w:t>
            </w:r>
          </w:p>
        </w:tc>
        <w:tc>
          <w:tcPr>
            <w:tcW w:w="0" w:type="auto"/>
            <w:tcBorders>
              <w:top w:val="nil"/>
              <w:left w:val="single" w:color="auto" w:sz="4" w:space="0"/>
              <w:bottom w:val="single" w:color="auto" w:sz="4" w:space="0"/>
              <w:right w:val="single" w:color="auto" w:sz="4" w:space="0"/>
            </w:tcBorders>
            <w:noWrap/>
            <w:vAlign w:val="center"/>
          </w:tcPr>
          <w:p w14:paraId="7780A928">
            <w:pPr>
              <w:widowControl w:val="0"/>
              <w:spacing w:line="240" w:lineRule="exact"/>
              <w:jc w:val="center"/>
              <w:rPr>
                <w:rFonts w:eastAsia="楷体_GB2312"/>
                <w:b/>
                <w:color w:val="000000"/>
                <w:szCs w:val="21"/>
              </w:rPr>
            </w:pPr>
            <w:r>
              <w:rPr>
                <w:rFonts w:eastAsia="楷体_GB2312"/>
                <w:b/>
                <w:color w:val="000000"/>
                <w:szCs w:val="21"/>
              </w:rPr>
              <w:t>320</w:t>
            </w:r>
          </w:p>
        </w:tc>
        <w:tc>
          <w:tcPr>
            <w:tcW w:w="0" w:type="auto"/>
            <w:tcBorders>
              <w:top w:val="nil"/>
              <w:left w:val="nil"/>
              <w:bottom w:val="single" w:color="auto" w:sz="8" w:space="0"/>
              <w:right w:val="single" w:color="auto" w:sz="8" w:space="0"/>
            </w:tcBorders>
            <w:noWrap/>
            <w:vAlign w:val="center"/>
          </w:tcPr>
          <w:p w14:paraId="3275C42A">
            <w:pPr>
              <w:widowControl w:val="0"/>
              <w:spacing w:line="240" w:lineRule="exact"/>
              <w:jc w:val="center"/>
              <w:rPr>
                <w:rFonts w:eastAsia="楷体_GB2312"/>
                <w:color w:val="000000"/>
                <w:szCs w:val="21"/>
              </w:rPr>
            </w:pPr>
            <w:r>
              <w:rPr>
                <w:rFonts w:eastAsia="楷体_GB2312"/>
                <w:color w:val="000000"/>
                <w:szCs w:val="21"/>
              </w:rPr>
              <w:t>301</w:t>
            </w:r>
          </w:p>
        </w:tc>
        <w:tc>
          <w:tcPr>
            <w:tcW w:w="0" w:type="auto"/>
            <w:tcBorders>
              <w:top w:val="nil"/>
              <w:left w:val="nil"/>
              <w:bottom w:val="single" w:color="auto" w:sz="8" w:space="0"/>
              <w:right w:val="single" w:color="auto" w:sz="8" w:space="0"/>
            </w:tcBorders>
            <w:noWrap w:val="0"/>
            <w:vAlign w:val="center"/>
          </w:tcPr>
          <w:p w14:paraId="7253BC4B">
            <w:pPr>
              <w:widowControl w:val="0"/>
              <w:spacing w:line="240" w:lineRule="exact"/>
              <w:jc w:val="center"/>
              <w:rPr>
                <w:rFonts w:eastAsia="楷体_GB2312"/>
                <w:color w:val="000000"/>
                <w:szCs w:val="21"/>
              </w:rPr>
            </w:pPr>
            <w:r>
              <w:rPr>
                <w:rFonts w:eastAsia="楷体_GB2312"/>
                <w:color w:val="000000"/>
                <w:szCs w:val="21"/>
              </w:rPr>
              <w:t>6.31%</w:t>
            </w:r>
          </w:p>
        </w:tc>
        <w:tc>
          <w:tcPr>
            <w:tcW w:w="0" w:type="auto"/>
            <w:tcBorders>
              <w:top w:val="nil"/>
              <w:left w:val="single" w:color="auto" w:sz="4" w:space="0"/>
              <w:bottom w:val="single" w:color="auto" w:sz="4" w:space="0"/>
              <w:right w:val="single" w:color="auto" w:sz="4" w:space="0"/>
            </w:tcBorders>
            <w:noWrap/>
            <w:vAlign w:val="center"/>
          </w:tcPr>
          <w:p w14:paraId="7B95A2CE">
            <w:pPr>
              <w:widowControl w:val="0"/>
              <w:spacing w:line="240" w:lineRule="exact"/>
              <w:jc w:val="center"/>
              <w:rPr>
                <w:rFonts w:eastAsia="楷体_GB2312"/>
                <w:b/>
                <w:color w:val="000000"/>
                <w:szCs w:val="21"/>
              </w:rPr>
            </w:pPr>
            <w:r>
              <w:rPr>
                <w:rFonts w:eastAsia="楷体_GB2312"/>
                <w:b/>
                <w:color w:val="000000"/>
                <w:szCs w:val="21"/>
              </w:rPr>
              <w:t>170</w:t>
            </w:r>
          </w:p>
        </w:tc>
        <w:tc>
          <w:tcPr>
            <w:tcW w:w="0" w:type="auto"/>
            <w:tcBorders>
              <w:top w:val="nil"/>
              <w:left w:val="nil"/>
              <w:bottom w:val="single" w:color="auto" w:sz="8" w:space="0"/>
              <w:right w:val="single" w:color="auto" w:sz="8" w:space="0"/>
            </w:tcBorders>
            <w:noWrap/>
            <w:vAlign w:val="center"/>
          </w:tcPr>
          <w:p w14:paraId="4C1D1089">
            <w:pPr>
              <w:widowControl w:val="0"/>
              <w:spacing w:line="240" w:lineRule="exact"/>
              <w:jc w:val="center"/>
              <w:rPr>
                <w:rFonts w:eastAsia="楷体_GB2312"/>
                <w:color w:val="000000"/>
                <w:szCs w:val="21"/>
              </w:rPr>
            </w:pPr>
            <w:r>
              <w:rPr>
                <w:rFonts w:eastAsia="楷体_GB2312"/>
                <w:color w:val="000000"/>
                <w:szCs w:val="21"/>
              </w:rPr>
              <w:t>165</w:t>
            </w:r>
          </w:p>
        </w:tc>
        <w:tc>
          <w:tcPr>
            <w:tcW w:w="0" w:type="auto"/>
            <w:tcBorders>
              <w:top w:val="nil"/>
              <w:left w:val="nil"/>
              <w:bottom w:val="single" w:color="auto" w:sz="8" w:space="0"/>
              <w:right w:val="single" w:color="auto" w:sz="8" w:space="0"/>
            </w:tcBorders>
            <w:noWrap w:val="0"/>
            <w:vAlign w:val="center"/>
          </w:tcPr>
          <w:p w14:paraId="3A595D9A">
            <w:pPr>
              <w:widowControl w:val="0"/>
              <w:spacing w:line="240" w:lineRule="exact"/>
              <w:jc w:val="center"/>
              <w:rPr>
                <w:rFonts w:eastAsia="楷体_GB2312"/>
                <w:color w:val="000000"/>
                <w:szCs w:val="21"/>
              </w:rPr>
            </w:pPr>
            <w:r>
              <w:rPr>
                <w:rFonts w:eastAsia="楷体_GB2312"/>
                <w:color w:val="000000"/>
                <w:szCs w:val="21"/>
              </w:rPr>
              <w:t>3.03%</w:t>
            </w:r>
          </w:p>
        </w:tc>
      </w:tr>
      <w:tr w14:paraId="05D067F3">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08981163">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6F6C2A65">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1A4E5060">
            <w:pPr>
              <w:widowControl w:val="0"/>
              <w:spacing w:line="240" w:lineRule="exact"/>
              <w:jc w:val="center"/>
              <w:rPr>
                <w:rFonts w:eastAsia="楷体_GB2312"/>
                <w:szCs w:val="21"/>
              </w:rPr>
            </w:pPr>
            <w:r>
              <w:rPr>
                <w:rFonts w:eastAsia="楷体_GB2312"/>
                <w:szCs w:val="21"/>
              </w:rPr>
              <w:t>2</w:t>
            </w:r>
          </w:p>
        </w:tc>
        <w:tc>
          <w:tcPr>
            <w:tcW w:w="0" w:type="auto"/>
            <w:tcBorders>
              <w:top w:val="nil"/>
              <w:left w:val="single" w:color="auto" w:sz="4" w:space="0"/>
              <w:bottom w:val="single" w:color="auto" w:sz="4" w:space="0"/>
              <w:right w:val="single" w:color="auto" w:sz="4" w:space="0"/>
            </w:tcBorders>
            <w:noWrap/>
            <w:vAlign w:val="center"/>
          </w:tcPr>
          <w:p w14:paraId="1E7930A6">
            <w:pPr>
              <w:widowControl w:val="0"/>
              <w:spacing w:line="240" w:lineRule="exact"/>
              <w:jc w:val="center"/>
              <w:rPr>
                <w:rFonts w:eastAsia="楷体_GB2312"/>
                <w:b/>
                <w:color w:val="000000"/>
                <w:szCs w:val="21"/>
              </w:rPr>
            </w:pPr>
            <w:r>
              <w:rPr>
                <w:rFonts w:eastAsia="楷体_GB2312"/>
                <w:b/>
                <w:color w:val="000000"/>
                <w:szCs w:val="21"/>
              </w:rPr>
              <w:t>350</w:t>
            </w:r>
          </w:p>
        </w:tc>
        <w:tc>
          <w:tcPr>
            <w:tcW w:w="0" w:type="auto"/>
            <w:tcBorders>
              <w:top w:val="nil"/>
              <w:left w:val="nil"/>
              <w:bottom w:val="single" w:color="auto" w:sz="8" w:space="0"/>
              <w:right w:val="single" w:color="auto" w:sz="8" w:space="0"/>
            </w:tcBorders>
            <w:noWrap/>
            <w:vAlign w:val="center"/>
          </w:tcPr>
          <w:p w14:paraId="1C109B05">
            <w:pPr>
              <w:widowControl w:val="0"/>
              <w:spacing w:line="240" w:lineRule="exact"/>
              <w:jc w:val="center"/>
              <w:rPr>
                <w:rFonts w:eastAsia="楷体_GB2312"/>
                <w:color w:val="000000"/>
                <w:szCs w:val="21"/>
              </w:rPr>
            </w:pPr>
            <w:r>
              <w:rPr>
                <w:rFonts w:eastAsia="楷体_GB2312"/>
                <w:color w:val="000000"/>
                <w:szCs w:val="21"/>
              </w:rPr>
              <w:t>330</w:t>
            </w:r>
          </w:p>
        </w:tc>
        <w:tc>
          <w:tcPr>
            <w:tcW w:w="0" w:type="auto"/>
            <w:tcBorders>
              <w:top w:val="nil"/>
              <w:left w:val="nil"/>
              <w:bottom w:val="single" w:color="auto" w:sz="8" w:space="0"/>
              <w:right w:val="single" w:color="auto" w:sz="8" w:space="0"/>
            </w:tcBorders>
            <w:noWrap w:val="0"/>
            <w:vAlign w:val="center"/>
          </w:tcPr>
          <w:p w14:paraId="5EC17D58">
            <w:pPr>
              <w:widowControl w:val="0"/>
              <w:spacing w:line="240" w:lineRule="exact"/>
              <w:jc w:val="center"/>
              <w:rPr>
                <w:rFonts w:eastAsia="楷体_GB2312"/>
                <w:color w:val="000000"/>
                <w:szCs w:val="21"/>
              </w:rPr>
            </w:pPr>
            <w:r>
              <w:rPr>
                <w:rFonts w:eastAsia="楷体_GB2312"/>
                <w:color w:val="000000"/>
                <w:szCs w:val="21"/>
              </w:rPr>
              <w:t>6.06%</w:t>
            </w:r>
          </w:p>
        </w:tc>
        <w:tc>
          <w:tcPr>
            <w:tcW w:w="0" w:type="auto"/>
            <w:tcBorders>
              <w:top w:val="nil"/>
              <w:left w:val="single" w:color="auto" w:sz="4" w:space="0"/>
              <w:bottom w:val="single" w:color="auto" w:sz="4" w:space="0"/>
              <w:right w:val="single" w:color="auto" w:sz="4" w:space="0"/>
            </w:tcBorders>
            <w:noWrap/>
            <w:vAlign w:val="center"/>
          </w:tcPr>
          <w:p w14:paraId="6C89A847">
            <w:pPr>
              <w:widowControl w:val="0"/>
              <w:spacing w:line="240" w:lineRule="exact"/>
              <w:jc w:val="center"/>
              <w:rPr>
                <w:rFonts w:eastAsia="楷体_GB2312"/>
                <w:b/>
                <w:color w:val="000000"/>
                <w:szCs w:val="21"/>
              </w:rPr>
            </w:pPr>
            <w:r>
              <w:rPr>
                <w:rFonts w:eastAsia="楷体_GB2312"/>
                <w:b/>
                <w:color w:val="000000"/>
                <w:szCs w:val="21"/>
              </w:rPr>
              <w:t>255</w:t>
            </w:r>
          </w:p>
        </w:tc>
        <w:tc>
          <w:tcPr>
            <w:tcW w:w="0" w:type="auto"/>
            <w:tcBorders>
              <w:top w:val="nil"/>
              <w:left w:val="nil"/>
              <w:bottom w:val="single" w:color="auto" w:sz="8" w:space="0"/>
              <w:right w:val="single" w:color="auto" w:sz="8" w:space="0"/>
            </w:tcBorders>
            <w:noWrap/>
            <w:vAlign w:val="center"/>
          </w:tcPr>
          <w:p w14:paraId="713D14E1">
            <w:pPr>
              <w:widowControl w:val="0"/>
              <w:spacing w:line="240" w:lineRule="exact"/>
              <w:jc w:val="center"/>
              <w:rPr>
                <w:rFonts w:eastAsia="楷体_GB2312"/>
                <w:color w:val="000000"/>
                <w:szCs w:val="21"/>
              </w:rPr>
            </w:pPr>
            <w:r>
              <w:rPr>
                <w:rFonts w:eastAsia="楷体_GB2312"/>
                <w:color w:val="000000"/>
                <w:szCs w:val="21"/>
              </w:rPr>
              <w:t>216</w:t>
            </w:r>
          </w:p>
        </w:tc>
        <w:tc>
          <w:tcPr>
            <w:tcW w:w="0" w:type="auto"/>
            <w:tcBorders>
              <w:top w:val="nil"/>
              <w:left w:val="nil"/>
              <w:bottom w:val="single" w:color="auto" w:sz="8" w:space="0"/>
              <w:right w:val="single" w:color="auto" w:sz="8" w:space="0"/>
            </w:tcBorders>
            <w:noWrap w:val="0"/>
            <w:vAlign w:val="center"/>
          </w:tcPr>
          <w:p w14:paraId="02AE7FCF">
            <w:pPr>
              <w:widowControl w:val="0"/>
              <w:spacing w:line="240" w:lineRule="exact"/>
              <w:jc w:val="center"/>
              <w:rPr>
                <w:rFonts w:eastAsia="楷体_GB2312"/>
                <w:color w:val="000000"/>
                <w:szCs w:val="21"/>
              </w:rPr>
            </w:pPr>
            <w:r>
              <w:rPr>
                <w:rFonts w:eastAsia="楷体_GB2312"/>
                <w:color w:val="000000"/>
                <w:szCs w:val="21"/>
              </w:rPr>
              <w:t>18.06%</w:t>
            </w:r>
          </w:p>
        </w:tc>
        <w:tc>
          <w:tcPr>
            <w:tcW w:w="0" w:type="auto"/>
            <w:tcBorders>
              <w:top w:val="nil"/>
              <w:left w:val="single" w:color="auto" w:sz="4" w:space="0"/>
              <w:bottom w:val="single" w:color="auto" w:sz="4" w:space="0"/>
              <w:right w:val="single" w:color="auto" w:sz="4" w:space="0"/>
            </w:tcBorders>
            <w:noWrap/>
            <w:vAlign w:val="center"/>
          </w:tcPr>
          <w:p w14:paraId="6ED9FFF7">
            <w:pPr>
              <w:widowControl w:val="0"/>
              <w:spacing w:line="240" w:lineRule="exact"/>
              <w:jc w:val="center"/>
              <w:rPr>
                <w:rFonts w:eastAsia="楷体_GB2312"/>
                <w:b/>
                <w:color w:val="000000"/>
                <w:szCs w:val="21"/>
              </w:rPr>
            </w:pPr>
            <w:r>
              <w:rPr>
                <w:rFonts w:eastAsia="楷体_GB2312"/>
                <w:b/>
                <w:color w:val="000000"/>
                <w:szCs w:val="21"/>
              </w:rPr>
              <w:t>155</w:t>
            </w:r>
          </w:p>
        </w:tc>
        <w:tc>
          <w:tcPr>
            <w:tcW w:w="0" w:type="auto"/>
            <w:tcBorders>
              <w:top w:val="nil"/>
              <w:left w:val="nil"/>
              <w:bottom w:val="single" w:color="auto" w:sz="8" w:space="0"/>
              <w:right w:val="single" w:color="auto" w:sz="8" w:space="0"/>
            </w:tcBorders>
            <w:noWrap/>
            <w:vAlign w:val="center"/>
          </w:tcPr>
          <w:p w14:paraId="1D7DE8A2">
            <w:pPr>
              <w:widowControl w:val="0"/>
              <w:spacing w:line="240" w:lineRule="exact"/>
              <w:jc w:val="center"/>
              <w:rPr>
                <w:rFonts w:eastAsia="楷体_GB2312"/>
                <w:color w:val="000000"/>
                <w:szCs w:val="21"/>
              </w:rPr>
            </w:pPr>
            <w:r>
              <w:rPr>
                <w:rFonts w:eastAsia="楷体_GB2312"/>
                <w:color w:val="000000"/>
                <w:szCs w:val="21"/>
              </w:rPr>
              <w:t>150</w:t>
            </w:r>
          </w:p>
        </w:tc>
        <w:tc>
          <w:tcPr>
            <w:tcW w:w="0" w:type="auto"/>
            <w:tcBorders>
              <w:top w:val="nil"/>
              <w:left w:val="nil"/>
              <w:bottom w:val="single" w:color="auto" w:sz="8" w:space="0"/>
              <w:right w:val="single" w:color="auto" w:sz="8" w:space="0"/>
            </w:tcBorders>
            <w:noWrap w:val="0"/>
            <w:vAlign w:val="center"/>
          </w:tcPr>
          <w:p w14:paraId="2BC1855D">
            <w:pPr>
              <w:widowControl w:val="0"/>
              <w:spacing w:line="240" w:lineRule="exact"/>
              <w:jc w:val="center"/>
              <w:rPr>
                <w:rFonts w:eastAsia="楷体_GB2312"/>
                <w:color w:val="000000"/>
                <w:szCs w:val="21"/>
              </w:rPr>
            </w:pPr>
            <w:r>
              <w:rPr>
                <w:rFonts w:eastAsia="楷体_GB2312"/>
                <w:color w:val="000000"/>
                <w:szCs w:val="21"/>
              </w:rPr>
              <w:t>3.33%</w:t>
            </w:r>
          </w:p>
        </w:tc>
      </w:tr>
      <w:tr w14:paraId="45AF72B4">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auto" w:sz="4" w:space="0"/>
              <w:right w:val="single" w:color="auto" w:sz="8" w:space="0"/>
            </w:tcBorders>
            <w:noWrap w:val="0"/>
            <w:vAlign w:val="center"/>
          </w:tcPr>
          <w:p w14:paraId="20E4F9CF">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auto" w:sz="4" w:space="0"/>
              <w:right w:val="single" w:color="auto" w:sz="8" w:space="0"/>
            </w:tcBorders>
            <w:noWrap w:val="0"/>
            <w:vAlign w:val="center"/>
          </w:tcPr>
          <w:p w14:paraId="3D1A09D5">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2FA0699D">
            <w:pPr>
              <w:widowControl w:val="0"/>
              <w:spacing w:line="240" w:lineRule="exact"/>
              <w:jc w:val="center"/>
              <w:rPr>
                <w:rFonts w:eastAsia="楷体_GB2312"/>
                <w:szCs w:val="21"/>
              </w:rPr>
            </w:pPr>
            <w:r>
              <w:rPr>
                <w:rFonts w:eastAsia="楷体_GB2312"/>
                <w:szCs w:val="21"/>
              </w:rPr>
              <w:t>3</w:t>
            </w:r>
          </w:p>
        </w:tc>
        <w:tc>
          <w:tcPr>
            <w:tcW w:w="0" w:type="auto"/>
            <w:tcBorders>
              <w:top w:val="nil"/>
              <w:left w:val="single" w:color="auto" w:sz="4" w:space="0"/>
              <w:bottom w:val="single" w:color="auto" w:sz="4" w:space="0"/>
              <w:right w:val="single" w:color="auto" w:sz="4" w:space="0"/>
            </w:tcBorders>
            <w:noWrap/>
            <w:vAlign w:val="center"/>
          </w:tcPr>
          <w:p w14:paraId="376CEC36">
            <w:pPr>
              <w:widowControl w:val="0"/>
              <w:spacing w:line="240" w:lineRule="exact"/>
              <w:jc w:val="center"/>
              <w:rPr>
                <w:rFonts w:eastAsia="楷体_GB2312"/>
                <w:b/>
                <w:color w:val="000000"/>
                <w:szCs w:val="21"/>
              </w:rPr>
            </w:pPr>
            <w:r>
              <w:rPr>
                <w:rFonts w:eastAsia="楷体_GB2312"/>
                <w:b/>
                <w:color w:val="000000"/>
                <w:szCs w:val="21"/>
              </w:rPr>
              <w:t>285</w:t>
            </w:r>
          </w:p>
        </w:tc>
        <w:tc>
          <w:tcPr>
            <w:tcW w:w="0" w:type="auto"/>
            <w:tcBorders>
              <w:top w:val="nil"/>
              <w:left w:val="nil"/>
              <w:bottom w:val="single" w:color="auto" w:sz="8" w:space="0"/>
              <w:right w:val="single" w:color="auto" w:sz="8" w:space="0"/>
            </w:tcBorders>
            <w:noWrap/>
            <w:vAlign w:val="center"/>
          </w:tcPr>
          <w:p w14:paraId="4ECB1F80">
            <w:pPr>
              <w:widowControl w:val="0"/>
              <w:spacing w:line="240" w:lineRule="exact"/>
              <w:jc w:val="center"/>
              <w:rPr>
                <w:rFonts w:eastAsia="楷体_GB2312"/>
                <w:color w:val="000000"/>
                <w:szCs w:val="21"/>
              </w:rPr>
            </w:pPr>
            <w:r>
              <w:rPr>
                <w:rFonts w:eastAsia="楷体_GB2312"/>
                <w:color w:val="000000"/>
                <w:szCs w:val="21"/>
              </w:rPr>
              <w:t>275</w:t>
            </w:r>
          </w:p>
        </w:tc>
        <w:tc>
          <w:tcPr>
            <w:tcW w:w="0" w:type="auto"/>
            <w:tcBorders>
              <w:top w:val="nil"/>
              <w:left w:val="nil"/>
              <w:bottom w:val="single" w:color="auto" w:sz="8" w:space="0"/>
              <w:right w:val="single" w:color="auto" w:sz="8" w:space="0"/>
            </w:tcBorders>
            <w:noWrap w:val="0"/>
            <w:vAlign w:val="center"/>
          </w:tcPr>
          <w:p w14:paraId="2881BE2F">
            <w:pPr>
              <w:widowControl w:val="0"/>
              <w:spacing w:line="240" w:lineRule="exact"/>
              <w:jc w:val="center"/>
              <w:rPr>
                <w:rFonts w:eastAsia="楷体_GB2312"/>
                <w:color w:val="000000"/>
                <w:szCs w:val="21"/>
              </w:rPr>
            </w:pPr>
            <w:r>
              <w:rPr>
                <w:rFonts w:eastAsia="楷体_GB2312"/>
                <w:color w:val="000000"/>
                <w:szCs w:val="21"/>
              </w:rPr>
              <w:t>3.64%</w:t>
            </w:r>
          </w:p>
        </w:tc>
        <w:tc>
          <w:tcPr>
            <w:tcW w:w="0" w:type="auto"/>
            <w:tcBorders>
              <w:top w:val="nil"/>
              <w:left w:val="single" w:color="auto" w:sz="4" w:space="0"/>
              <w:bottom w:val="single" w:color="auto" w:sz="4" w:space="0"/>
              <w:right w:val="single" w:color="auto" w:sz="4" w:space="0"/>
            </w:tcBorders>
            <w:noWrap/>
            <w:vAlign w:val="center"/>
          </w:tcPr>
          <w:p w14:paraId="48D6782C">
            <w:pPr>
              <w:widowControl w:val="0"/>
              <w:spacing w:line="240" w:lineRule="exact"/>
              <w:jc w:val="center"/>
              <w:rPr>
                <w:rFonts w:eastAsia="楷体_GB2312"/>
                <w:b/>
                <w:color w:val="000000"/>
                <w:szCs w:val="21"/>
              </w:rPr>
            </w:pPr>
            <w:r>
              <w:rPr>
                <w:rFonts w:eastAsia="楷体_GB2312"/>
                <w:b/>
                <w:color w:val="000000"/>
                <w:szCs w:val="21"/>
              </w:rPr>
              <w:t>200</w:t>
            </w:r>
          </w:p>
        </w:tc>
        <w:tc>
          <w:tcPr>
            <w:tcW w:w="0" w:type="auto"/>
            <w:tcBorders>
              <w:top w:val="nil"/>
              <w:left w:val="nil"/>
              <w:bottom w:val="single" w:color="auto" w:sz="8" w:space="0"/>
              <w:right w:val="single" w:color="auto" w:sz="8" w:space="0"/>
            </w:tcBorders>
            <w:noWrap/>
            <w:vAlign w:val="center"/>
          </w:tcPr>
          <w:p w14:paraId="008A4363">
            <w:pPr>
              <w:widowControl w:val="0"/>
              <w:spacing w:line="240" w:lineRule="exact"/>
              <w:jc w:val="center"/>
              <w:rPr>
                <w:rFonts w:eastAsia="楷体_GB2312"/>
                <w:color w:val="000000"/>
                <w:szCs w:val="21"/>
              </w:rPr>
            </w:pPr>
            <w:r>
              <w:rPr>
                <w:rFonts w:eastAsia="楷体_GB2312"/>
                <w:color w:val="000000"/>
                <w:szCs w:val="21"/>
              </w:rPr>
              <w:t>185</w:t>
            </w:r>
          </w:p>
        </w:tc>
        <w:tc>
          <w:tcPr>
            <w:tcW w:w="0" w:type="auto"/>
            <w:tcBorders>
              <w:top w:val="nil"/>
              <w:left w:val="nil"/>
              <w:bottom w:val="single" w:color="auto" w:sz="8" w:space="0"/>
              <w:right w:val="single" w:color="auto" w:sz="8" w:space="0"/>
            </w:tcBorders>
            <w:noWrap w:val="0"/>
            <w:vAlign w:val="center"/>
          </w:tcPr>
          <w:p w14:paraId="5A8FB9C6">
            <w:pPr>
              <w:widowControl w:val="0"/>
              <w:spacing w:line="240" w:lineRule="exact"/>
              <w:jc w:val="center"/>
              <w:rPr>
                <w:rFonts w:eastAsia="楷体_GB2312"/>
                <w:color w:val="000000"/>
                <w:szCs w:val="21"/>
              </w:rPr>
            </w:pPr>
            <w:r>
              <w:rPr>
                <w:rFonts w:eastAsia="楷体_GB2312"/>
                <w:color w:val="000000"/>
                <w:szCs w:val="21"/>
              </w:rPr>
              <w:t>8.11%</w:t>
            </w:r>
          </w:p>
        </w:tc>
        <w:tc>
          <w:tcPr>
            <w:tcW w:w="0" w:type="auto"/>
            <w:tcBorders>
              <w:top w:val="nil"/>
              <w:left w:val="single" w:color="auto" w:sz="4" w:space="0"/>
              <w:bottom w:val="single" w:color="auto" w:sz="4" w:space="0"/>
              <w:right w:val="single" w:color="auto" w:sz="4" w:space="0"/>
            </w:tcBorders>
            <w:noWrap/>
            <w:vAlign w:val="center"/>
          </w:tcPr>
          <w:p w14:paraId="17A882B4">
            <w:pPr>
              <w:widowControl w:val="0"/>
              <w:spacing w:line="240" w:lineRule="exact"/>
              <w:jc w:val="center"/>
              <w:rPr>
                <w:rFonts w:eastAsia="楷体_GB2312"/>
                <w:b/>
                <w:color w:val="000000"/>
                <w:szCs w:val="21"/>
              </w:rPr>
            </w:pPr>
            <w:r>
              <w:rPr>
                <w:rFonts w:eastAsia="楷体_GB2312"/>
                <w:b/>
                <w:color w:val="000000"/>
                <w:szCs w:val="21"/>
              </w:rPr>
              <w:t>144</w:t>
            </w:r>
          </w:p>
        </w:tc>
        <w:tc>
          <w:tcPr>
            <w:tcW w:w="0" w:type="auto"/>
            <w:tcBorders>
              <w:top w:val="nil"/>
              <w:left w:val="nil"/>
              <w:bottom w:val="single" w:color="auto" w:sz="8" w:space="0"/>
              <w:right w:val="single" w:color="auto" w:sz="8" w:space="0"/>
            </w:tcBorders>
            <w:noWrap/>
            <w:vAlign w:val="center"/>
          </w:tcPr>
          <w:p w14:paraId="76BEFA5D">
            <w:pPr>
              <w:widowControl w:val="0"/>
              <w:spacing w:line="240" w:lineRule="exact"/>
              <w:jc w:val="center"/>
              <w:rPr>
                <w:rFonts w:eastAsia="楷体_GB2312"/>
                <w:color w:val="000000"/>
                <w:szCs w:val="21"/>
              </w:rPr>
            </w:pPr>
            <w:r>
              <w:rPr>
                <w:rFonts w:eastAsia="楷体_GB2312"/>
                <w:color w:val="000000"/>
                <w:szCs w:val="21"/>
              </w:rPr>
              <w:t>144</w:t>
            </w:r>
          </w:p>
        </w:tc>
        <w:tc>
          <w:tcPr>
            <w:tcW w:w="0" w:type="auto"/>
            <w:tcBorders>
              <w:top w:val="nil"/>
              <w:left w:val="nil"/>
              <w:bottom w:val="single" w:color="auto" w:sz="8" w:space="0"/>
              <w:right w:val="single" w:color="auto" w:sz="8" w:space="0"/>
            </w:tcBorders>
            <w:noWrap w:val="0"/>
            <w:vAlign w:val="center"/>
          </w:tcPr>
          <w:p w14:paraId="44734E81">
            <w:pPr>
              <w:widowControl w:val="0"/>
              <w:spacing w:line="240" w:lineRule="exact"/>
              <w:jc w:val="center"/>
              <w:rPr>
                <w:rFonts w:eastAsia="楷体_GB2312"/>
                <w:color w:val="000000"/>
                <w:szCs w:val="21"/>
              </w:rPr>
            </w:pPr>
            <w:r>
              <w:rPr>
                <w:rFonts w:eastAsia="楷体_GB2312"/>
                <w:color w:val="000000"/>
                <w:szCs w:val="21"/>
              </w:rPr>
              <w:t>0.00%</w:t>
            </w:r>
          </w:p>
        </w:tc>
      </w:tr>
      <w:tr w14:paraId="62E57D7B">
        <w:tblPrEx>
          <w:tblCellMar>
            <w:top w:w="0" w:type="dxa"/>
            <w:left w:w="108" w:type="dxa"/>
            <w:bottom w:w="0" w:type="dxa"/>
            <w:right w:w="108" w:type="dxa"/>
          </w:tblCellMar>
        </w:tblPrEx>
        <w:trPr>
          <w:trHeight w:val="20" w:hRule="atLeast"/>
          <w:jc w:val="center"/>
        </w:trPr>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5364DDE7">
            <w:pPr>
              <w:widowControl w:val="0"/>
              <w:spacing w:line="240" w:lineRule="exact"/>
              <w:jc w:val="center"/>
              <w:rPr>
                <w:rFonts w:eastAsia="楷体_GB2312"/>
                <w:szCs w:val="21"/>
              </w:rPr>
            </w:pPr>
            <w:r>
              <w:rPr>
                <w:rFonts w:eastAsia="楷体_GB2312"/>
                <w:szCs w:val="21"/>
              </w:rPr>
              <w:t>22</w:t>
            </w:r>
          </w:p>
        </w:tc>
        <w:tc>
          <w:tcPr>
            <w:tcW w:w="0" w:type="auto"/>
            <w:vMerge w:val="restart"/>
            <w:tcBorders>
              <w:top w:val="single" w:color="auto" w:sz="4" w:space="0"/>
              <w:left w:val="single" w:color="auto" w:sz="8" w:space="0"/>
              <w:bottom w:val="single" w:color="000000" w:sz="8" w:space="0"/>
              <w:right w:val="single" w:color="auto" w:sz="8" w:space="0"/>
            </w:tcBorders>
            <w:noWrap w:val="0"/>
            <w:vAlign w:val="center"/>
          </w:tcPr>
          <w:p w14:paraId="705C1B15">
            <w:pPr>
              <w:widowControl w:val="0"/>
              <w:spacing w:line="240" w:lineRule="exact"/>
              <w:jc w:val="center"/>
              <w:rPr>
                <w:rFonts w:eastAsia="楷体_GB2312"/>
                <w:color w:val="000000"/>
                <w:szCs w:val="21"/>
              </w:rPr>
            </w:pPr>
            <w:r>
              <w:rPr>
                <w:rFonts w:eastAsia="楷体_GB2312"/>
                <w:color w:val="000000"/>
                <w:szCs w:val="21"/>
              </w:rPr>
              <w:t>桃沟乡</w:t>
            </w:r>
          </w:p>
        </w:tc>
        <w:tc>
          <w:tcPr>
            <w:tcW w:w="0" w:type="auto"/>
            <w:tcBorders>
              <w:top w:val="nil"/>
              <w:left w:val="nil"/>
              <w:bottom w:val="single" w:color="auto" w:sz="8" w:space="0"/>
              <w:right w:val="single" w:color="auto" w:sz="8" w:space="0"/>
            </w:tcBorders>
            <w:noWrap w:val="0"/>
            <w:vAlign w:val="center"/>
          </w:tcPr>
          <w:p w14:paraId="69491C31">
            <w:pPr>
              <w:widowControl w:val="0"/>
              <w:spacing w:line="240" w:lineRule="exact"/>
              <w:jc w:val="center"/>
              <w:rPr>
                <w:rFonts w:eastAsia="楷体_GB2312"/>
                <w:szCs w:val="21"/>
              </w:rPr>
            </w:pPr>
            <w:r>
              <w:rPr>
                <w:rFonts w:eastAsia="楷体_GB2312"/>
                <w:szCs w:val="21"/>
              </w:rPr>
              <w:t>1</w:t>
            </w:r>
          </w:p>
        </w:tc>
        <w:tc>
          <w:tcPr>
            <w:tcW w:w="0" w:type="auto"/>
            <w:tcBorders>
              <w:top w:val="nil"/>
              <w:left w:val="single" w:color="auto" w:sz="4" w:space="0"/>
              <w:bottom w:val="single" w:color="auto" w:sz="4" w:space="0"/>
              <w:right w:val="single" w:color="auto" w:sz="4" w:space="0"/>
            </w:tcBorders>
            <w:noWrap/>
            <w:vAlign w:val="center"/>
          </w:tcPr>
          <w:p w14:paraId="77BFA140">
            <w:pPr>
              <w:widowControl w:val="0"/>
              <w:spacing w:line="240" w:lineRule="exact"/>
              <w:jc w:val="center"/>
              <w:rPr>
                <w:rFonts w:eastAsia="楷体_GB2312"/>
                <w:b/>
                <w:color w:val="000000"/>
                <w:szCs w:val="21"/>
              </w:rPr>
            </w:pPr>
            <w:r>
              <w:rPr>
                <w:rFonts w:eastAsia="楷体_GB2312"/>
                <w:b/>
                <w:color w:val="000000"/>
                <w:szCs w:val="21"/>
              </w:rPr>
              <w:t>425</w:t>
            </w:r>
          </w:p>
        </w:tc>
        <w:tc>
          <w:tcPr>
            <w:tcW w:w="0" w:type="auto"/>
            <w:tcBorders>
              <w:top w:val="nil"/>
              <w:left w:val="nil"/>
              <w:bottom w:val="single" w:color="auto" w:sz="8" w:space="0"/>
              <w:right w:val="single" w:color="auto" w:sz="8" w:space="0"/>
            </w:tcBorders>
            <w:noWrap/>
            <w:vAlign w:val="center"/>
          </w:tcPr>
          <w:p w14:paraId="0008A131">
            <w:pPr>
              <w:widowControl w:val="0"/>
              <w:spacing w:line="240" w:lineRule="exact"/>
              <w:jc w:val="center"/>
              <w:rPr>
                <w:rFonts w:eastAsia="楷体_GB2312"/>
                <w:color w:val="000000"/>
                <w:szCs w:val="21"/>
              </w:rPr>
            </w:pPr>
            <w:r>
              <w:rPr>
                <w:rFonts w:eastAsia="楷体_GB2312"/>
                <w:color w:val="000000"/>
                <w:szCs w:val="21"/>
              </w:rPr>
              <w:t>416</w:t>
            </w:r>
          </w:p>
        </w:tc>
        <w:tc>
          <w:tcPr>
            <w:tcW w:w="0" w:type="auto"/>
            <w:tcBorders>
              <w:top w:val="nil"/>
              <w:left w:val="nil"/>
              <w:bottom w:val="single" w:color="auto" w:sz="8" w:space="0"/>
              <w:right w:val="single" w:color="auto" w:sz="8" w:space="0"/>
            </w:tcBorders>
            <w:noWrap w:val="0"/>
            <w:vAlign w:val="center"/>
          </w:tcPr>
          <w:p w14:paraId="3704DC9F">
            <w:pPr>
              <w:widowControl w:val="0"/>
              <w:spacing w:line="240" w:lineRule="exact"/>
              <w:jc w:val="center"/>
              <w:rPr>
                <w:rFonts w:eastAsia="楷体_GB2312"/>
                <w:color w:val="000000"/>
                <w:szCs w:val="21"/>
              </w:rPr>
            </w:pPr>
            <w:r>
              <w:rPr>
                <w:rFonts w:eastAsia="楷体_GB2312"/>
                <w:color w:val="000000"/>
                <w:szCs w:val="21"/>
              </w:rPr>
              <w:t>2.16%</w:t>
            </w:r>
          </w:p>
        </w:tc>
        <w:tc>
          <w:tcPr>
            <w:tcW w:w="0" w:type="auto"/>
            <w:tcBorders>
              <w:top w:val="nil"/>
              <w:left w:val="single" w:color="auto" w:sz="4" w:space="0"/>
              <w:bottom w:val="single" w:color="auto" w:sz="4" w:space="0"/>
              <w:right w:val="single" w:color="auto" w:sz="4" w:space="0"/>
            </w:tcBorders>
            <w:noWrap/>
            <w:vAlign w:val="center"/>
          </w:tcPr>
          <w:p w14:paraId="051AA7EC">
            <w:pPr>
              <w:widowControl w:val="0"/>
              <w:spacing w:line="240" w:lineRule="exact"/>
              <w:jc w:val="center"/>
              <w:rPr>
                <w:rFonts w:eastAsia="楷体_GB2312"/>
                <w:b/>
                <w:color w:val="000000"/>
                <w:szCs w:val="21"/>
              </w:rPr>
            </w:pPr>
            <w:r>
              <w:rPr>
                <w:rFonts w:eastAsia="楷体_GB2312"/>
                <w:b/>
                <w:color w:val="000000"/>
                <w:szCs w:val="21"/>
              </w:rPr>
              <w:t>310</w:t>
            </w:r>
          </w:p>
        </w:tc>
        <w:tc>
          <w:tcPr>
            <w:tcW w:w="0" w:type="auto"/>
            <w:tcBorders>
              <w:top w:val="nil"/>
              <w:left w:val="nil"/>
              <w:bottom w:val="single" w:color="auto" w:sz="8" w:space="0"/>
              <w:right w:val="single" w:color="auto" w:sz="8" w:space="0"/>
            </w:tcBorders>
            <w:noWrap/>
            <w:vAlign w:val="center"/>
          </w:tcPr>
          <w:p w14:paraId="7FD17E27">
            <w:pPr>
              <w:widowControl w:val="0"/>
              <w:spacing w:line="240" w:lineRule="exact"/>
              <w:jc w:val="center"/>
              <w:rPr>
                <w:rFonts w:eastAsia="楷体_GB2312"/>
                <w:color w:val="000000"/>
                <w:szCs w:val="21"/>
              </w:rPr>
            </w:pPr>
            <w:r>
              <w:rPr>
                <w:rFonts w:eastAsia="楷体_GB2312"/>
                <w:color w:val="000000"/>
                <w:szCs w:val="21"/>
              </w:rPr>
              <w:t>291</w:t>
            </w:r>
          </w:p>
        </w:tc>
        <w:tc>
          <w:tcPr>
            <w:tcW w:w="0" w:type="auto"/>
            <w:tcBorders>
              <w:top w:val="nil"/>
              <w:left w:val="nil"/>
              <w:bottom w:val="single" w:color="auto" w:sz="8" w:space="0"/>
              <w:right w:val="single" w:color="auto" w:sz="8" w:space="0"/>
            </w:tcBorders>
            <w:noWrap w:val="0"/>
            <w:vAlign w:val="center"/>
          </w:tcPr>
          <w:p w14:paraId="490E6FC7">
            <w:pPr>
              <w:widowControl w:val="0"/>
              <w:spacing w:line="240" w:lineRule="exact"/>
              <w:jc w:val="center"/>
              <w:rPr>
                <w:rFonts w:eastAsia="楷体_GB2312"/>
                <w:color w:val="000000"/>
                <w:szCs w:val="21"/>
              </w:rPr>
            </w:pPr>
            <w:r>
              <w:rPr>
                <w:rFonts w:eastAsia="楷体_GB2312"/>
                <w:color w:val="000000"/>
                <w:szCs w:val="21"/>
              </w:rPr>
              <w:t>6.53%</w:t>
            </w:r>
          </w:p>
        </w:tc>
        <w:tc>
          <w:tcPr>
            <w:tcW w:w="0" w:type="auto"/>
            <w:tcBorders>
              <w:top w:val="nil"/>
              <w:left w:val="single" w:color="auto" w:sz="4" w:space="0"/>
              <w:bottom w:val="single" w:color="auto" w:sz="4" w:space="0"/>
              <w:right w:val="single" w:color="auto" w:sz="4" w:space="0"/>
            </w:tcBorders>
            <w:noWrap/>
            <w:vAlign w:val="center"/>
          </w:tcPr>
          <w:p w14:paraId="65A72732">
            <w:pPr>
              <w:widowControl w:val="0"/>
              <w:spacing w:line="240" w:lineRule="exact"/>
              <w:jc w:val="center"/>
              <w:rPr>
                <w:rFonts w:eastAsia="楷体_GB2312"/>
                <w:b/>
                <w:color w:val="000000"/>
                <w:szCs w:val="21"/>
              </w:rPr>
            </w:pPr>
            <w:r>
              <w:rPr>
                <w:rFonts w:eastAsia="楷体_GB2312"/>
                <w:b/>
                <w:color w:val="000000"/>
                <w:szCs w:val="21"/>
              </w:rPr>
              <w:t>170</w:t>
            </w:r>
          </w:p>
        </w:tc>
        <w:tc>
          <w:tcPr>
            <w:tcW w:w="0" w:type="auto"/>
            <w:tcBorders>
              <w:top w:val="nil"/>
              <w:left w:val="nil"/>
              <w:bottom w:val="single" w:color="auto" w:sz="8" w:space="0"/>
              <w:right w:val="single" w:color="auto" w:sz="8" w:space="0"/>
            </w:tcBorders>
            <w:noWrap/>
            <w:vAlign w:val="center"/>
          </w:tcPr>
          <w:p w14:paraId="2821BF94">
            <w:pPr>
              <w:widowControl w:val="0"/>
              <w:spacing w:line="240" w:lineRule="exact"/>
              <w:jc w:val="center"/>
              <w:rPr>
                <w:rFonts w:eastAsia="楷体_GB2312"/>
                <w:color w:val="000000"/>
                <w:szCs w:val="21"/>
              </w:rPr>
            </w:pPr>
            <w:r>
              <w:rPr>
                <w:rFonts w:eastAsia="楷体_GB2312"/>
                <w:color w:val="000000"/>
                <w:szCs w:val="21"/>
              </w:rPr>
              <w:t>165</w:t>
            </w:r>
          </w:p>
        </w:tc>
        <w:tc>
          <w:tcPr>
            <w:tcW w:w="0" w:type="auto"/>
            <w:tcBorders>
              <w:top w:val="nil"/>
              <w:left w:val="nil"/>
              <w:bottom w:val="single" w:color="auto" w:sz="8" w:space="0"/>
              <w:right w:val="single" w:color="auto" w:sz="8" w:space="0"/>
            </w:tcBorders>
            <w:noWrap w:val="0"/>
            <w:vAlign w:val="center"/>
          </w:tcPr>
          <w:p w14:paraId="598AFB47">
            <w:pPr>
              <w:widowControl w:val="0"/>
              <w:spacing w:line="240" w:lineRule="exact"/>
              <w:jc w:val="center"/>
              <w:rPr>
                <w:rFonts w:eastAsia="楷体_GB2312"/>
                <w:color w:val="000000"/>
                <w:szCs w:val="21"/>
              </w:rPr>
            </w:pPr>
            <w:r>
              <w:rPr>
                <w:rFonts w:eastAsia="楷体_GB2312"/>
                <w:color w:val="000000"/>
                <w:szCs w:val="21"/>
              </w:rPr>
              <w:t>3.03%</w:t>
            </w:r>
          </w:p>
        </w:tc>
      </w:tr>
      <w:tr w14:paraId="512F28FE">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000000" w:sz="8" w:space="0"/>
              <w:right w:val="single" w:color="auto" w:sz="8" w:space="0"/>
            </w:tcBorders>
            <w:noWrap w:val="0"/>
            <w:vAlign w:val="center"/>
          </w:tcPr>
          <w:p w14:paraId="4C6DB928">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000000" w:sz="8" w:space="0"/>
              <w:right w:val="single" w:color="auto" w:sz="8" w:space="0"/>
            </w:tcBorders>
            <w:noWrap w:val="0"/>
            <w:vAlign w:val="center"/>
          </w:tcPr>
          <w:p w14:paraId="1435285C">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1E092C2C">
            <w:pPr>
              <w:widowControl w:val="0"/>
              <w:spacing w:line="240" w:lineRule="exact"/>
              <w:jc w:val="center"/>
              <w:rPr>
                <w:rFonts w:eastAsia="楷体_GB2312"/>
                <w:szCs w:val="21"/>
              </w:rPr>
            </w:pPr>
            <w:r>
              <w:rPr>
                <w:rFonts w:eastAsia="楷体_GB2312"/>
                <w:szCs w:val="21"/>
              </w:rPr>
              <w:t>2</w:t>
            </w:r>
          </w:p>
        </w:tc>
        <w:tc>
          <w:tcPr>
            <w:tcW w:w="0" w:type="auto"/>
            <w:tcBorders>
              <w:top w:val="nil"/>
              <w:left w:val="single" w:color="auto" w:sz="4" w:space="0"/>
              <w:bottom w:val="single" w:color="auto" w:sz="4" w:space="0"/>
              <w:right w:val="single" w:color="auto" w:sz="4" w:space="0"/>
            </w:tcBorders>
            <w:noWrap/>
            <w:vAlign w:val="center"/>
          </w:tcPr>
          <w:p w14:paraId="510805DF">
            <w:pPr>
              <w:widowControl w:val="0"/>
              <w:spacing w:line="240" w:lineRule="exact"/>
              <w:jc w:val="center"/>
              <w:rPr>
                <w:rFonts w:eastAsia="楷体_GB2312"/>
                <w:b/>
                <w:color w:val="000000"/>
                <w:szCs w:val="21"/>
              </w:rPr>
            </w:pPr>
            <w:r>
              <w:rPr>
                <w:rFonts w:eastAsia="楷体_GB2312"/>
                <w:b/>
                <w:color w:val="000000"/>
                <w:szCs w:val="21"/>
              </w:rPr>
              <w:t>335</w:t>
            </w:r>
          </w:p>
        </w:tc>
        <w:tc>
          <w:tcPr>
            <w:tcW w:w="0" w:type="auto"/>
            <w:tcBorders>
              <w:top w:val="nil"/>
              <w:left w:val="nil"/>
              <w:bottom w:val="single" w:color="auto" w:sz="8" w:space="0"/>
              <w:right w:val="single" w:color="auto" w:sz="8" w:space="0"/>
            </w:tcBorders>
            <w:noWrap/>
            <w:vAlign w:val="center"/>
          </w:tcPr>
          <w:p w14:paraId="0D016DE9">
            <w:pPr>
              <w:widowControl w:val="0"/>
              <w:spacing w:line="240" w:lineRule="exact"/>
              <w:jc w:val="center"/>
              <w:rPr>
                <w:rFonts w:eastAsia="楷体_GB2312"/>
                <w:color w:val="000000"/>
                <w:szCs w:val="21"/>
              </w:rPr>
            </w:pPr>
            <w:r>
              <w:rPr>
                <w:rFonts w:eastAsia="楷体_GB2312"/>
                <w:color w:val="000000"/>
                <w:szCs w:val="21"/>
              </w:rPr>
              <w:t>310</w:t>
            </w:r>
          </w:p>
        </w:tc>
        <w:tc>
          <w:tcPr>
            <w:tcW w:w="0" w:type="auto"/>
            <w:tcBorders>
              <w:top w:val="nil"/>
              <w:left w:val="nil"/>
              <w:bottom w:val="single" w:color="auto" w:sz="8" w:space="0"/>
              <w:right w:val="single" w:color="auto" w:sz="8" w:space="0"/>
            </w:tcBorders>
            <w:noWrap w:val="0"/>
            <w:vAlign w:val="center"/>
          </w:tcPr>
          <w:p w14:paraId="4C10E9C3">
            <w:pPr>
              <w:widowControl w:val="0"/>
              <w:spacing w:line="240" w:lineRule="exact"/>
              <w:jc w:val="center"/>
              <w:rPr>
                <w:rFonts w:eastAsia="楷体_GB2312"/>
                <w:color w:val="000000"/>
                <w:szCs w:val="21"/>
              </w:rPr>
            </w:pPr>
            <w:r>
              <w:rPr>
                <w:rFonts w:eastAsia="楷体_GB2312"/>
                <w:color w:val="000000"/>
                <w:szCs w:val="21"/>
              </w:rPr>
              <w:t>8.06%</w:t>
            </w:r>
          </w:p>
        </w:tc>
        <w:tc>
          <w:tcPr>
            <w:tcW w:w="0" w:type="auto"/>
            <w:tcBorders>
              <w:top w:val="nil"/>
              <w:left w:val="single" w:color="auto" w:sz="4" w:space="0"/>
              <w:bottom w:val="single" w:color="auto" w:sz="4" w:space="0"/>
              <w:right w:val="single" w:color="auto" w:sz="4" w:space="0"/>
            </w:tcBorders>
            <w:noWrap/>
            <w:vAlign w:val="center"/>
          </w:tcPr>
          <w:p w14:paraId="45EAE814">
            <w:pPr>
              <w:widowControl w:val="0"/>
              <w:spacing w:line="240" w:lineRule="exact"/>
              <w:jc w:val="center"/>
              <w:rPr>
                <w:rFonts w:eastAsia="楷体_GB2312"/>
                <w:b/>
                <w:color w:val="000000"/>
                <w:szCs w:val="21"/>
              </w:rPr>
            </w:pPr>
            <w:r>
              <w:rPr>
                <w:rFonts w:eastAsia="楷体_GB2312"/>
                <w:b/>
                <w:color w:val="000000"/>
                <w:szCs w:val="21"/>
              </w:rPr>
              <w:t>250</w:t>
            </w:r>
          </w:p>
        </w:tc>
        <w:tc>
          <w:tcPr>
            <w:tcW w:w="0" w:type="auto"/>
            <w:tcBorders>
              <w:top w:val="nil"/>
              <w:left w:val="nil"/>
              <w:bottom w:val="single" w:color="auto" w:sz="8" w:space="0"/>
              <w:right w:val="single" w:color="auto" w:sz="8" w:space="0"/>
            </w:tcBorders>
            <w:noWrap/>
            <w:vAlign w:val="center"/>
          </w:tcPr>
          <w:p w14:paraId="66C02B7B">
            <w:pPr>
              <w:widowControl w:val="0"/>
              <w:spacing w:line="240" w:lineRule="exact"/>
              <w:jc w:val="center"/>
              <w:rPr>
                <w:rFonts w:eastAsia="楷体_GB2312"/>
                <w:color w:val="000000"/>
                <w:szCs w:val="21"/>
              </w:rPr>
            </w:pPr>
            <w:r>
              <w:rPr>
                <w:rFonts w:eastAsia="楷体_GB2312"/>
                <w:color w:val="000000"/>
                <w:szCs w:val="21"/>
              </w:rPr>
              <w:t>201</w:t>
            </w:r>
          </w:p>
        </w:tc>
        <w:tc>
          <w:tcPr>
            <w:tcW w:w="0" w:type="auto"/>
            <w:tcBorders>
              <w:top w:val="nil"/>
              <w:left w:val="nil"/>
              <w:bottom w:val="single" w:color="auto" w:sz="8" w:space="0"/>
              <w:right w:val="single" w:color="auto" w:sz="8" w:space="0"/>
            </w:tcBorders>
            <w:noWrap w:val="0"/>
            <w:vAlign w:val="center"/>
          </w:tcPr>
          <w:p w14:paraId="2DDD0B65">
            <w:pPr>
              <w:widowControl w:val="0"/>
              <w:spacing w:line="240" w:lineRule="exact"/>
              <w:jc w:val="center"/>
              <w:rPr>
                <w:rFonts w:eastAsia="楷体_GB2312"/>
                <w:color w:val="000000"/>
                <w:szCs w:val="21"/>
              </w:rPr>
            </w:pPr>
            <w:r>
              <w:rPr>
                <w:rFonts w:eastAsia="楷体_GB2312"/>
                <w:color w:val="000000"/>
                <w:szCs w:val="21"/>
              </w:rPr>
              <w:t>24.38%</w:t>
            </w:r>
          </w:p>
        </w:tc>
        <w:tc>
          <w:tcPr>
            <w:tcW w:w="0" w:type="auto"/>
            <w:tcBorders>
              <w:top w:val="nil"/>
              <w:left w:val="single" w:color="auto" w:sz="4" w:space="0"/>
              <w:bottom w:val="single" w:color="auto" w:sz="4" w:space="0"/>
              <w:right w:val="single" w:color="auto" w:sz="4" w:space="0"/>
            </w:tcBorders>
            <w:noWrap/>
            <w:vAlign w:val="center"/>
          </w:tcPr>
          <w:p w14:paraId="72DDAEDE">
            <w:pPr>
              <w:widowControl w:val="0"/>
              <w:spacing w:line="240" w:lineRule="exact"/>
              <w:jc w:val="center"/>
              <w:rPr>
                <w:rFonts w:eastAsia="楷体_GB2312"/>
                <w:b/>
                <w:color w:val="000000"/>
                <w:szCs w:val="21"/>
              </w:rPr>
            </w:pPr>
            <w:r>
              <w:rPr>
                <w:rFonts w:eastAsia="楷体_GB2312"/>
                <w:b/>
                <w:color w:val="000000"/>
                <w:szCs w:val="21"/>
              </w:rPr>
              <w:t>155</w:t>
            </w:r>
          </w:p>
        </w:tc>
        <w:tc>
          <w:tcPr>
            <w:tcW w:w="0" w:type="auto"/>
            <w:tcBorders>
              <w:top w:val="nil"/>
              <w:left w:val="nil"/>
              <w:bottom w:val="single" w:color="auto" w:sz="8" w:space="0"/>
              <w:right w:val="single" w:color="auto" w:sz="8" w:space="0"/>
            </w:tcBorders>
            <w:noWrap/>
            <w:vAlign w:val="center"/>
          </w:tcPr>
          <w:p w14:paraId="23546A97">
            <w:pPr>
              <w:widowControl w:val="0"/>
              <w:spacing w:line="240" w:lineRule="exact"/>
              <w:jc w:val="center"/>
              <w:rPr>
                <w:rFonts w:eastAsia="楷体_GB2312"/>
                <w:color w:val="000000"/>
                <w:szCs w:val="21"/>
              </w:rPr>
            </w:pPr>
            <w:r>
              <w:rPr>
                <w:rFonts w:eastAsia="楷体_GB2312"/>
                <w:color w:val="000000"/>
                <w:szCs w:val="21"/>
              </w:rPr>
              <w:t>150</w:t>
            </w:r>
          </w:p>
        </w:tc>
        <w:tc>
          <w:tcPr>
            <w:tcW w:w="0" w:type="auto"/>
            <w:tcBorders>
              <w:top w:val="nil"/>
              <w:left w:val="nil"/>
              <w:bottom w:val="single" w:color="auto" w:sz="8" w:space="0"/>
              <w:right w:val="single" w:color="auto" w:sz="8" w:space="0"/>
            </w:tcBorders>
            <w:noWrap w:val="0"/>
            <w:vAlign w:val="center"/>
          </w:tcPr>
          <w:p w14:paraId="377B0BC3">
            <w:pPr>
              <w:widowControl w:val="0"/>
              <w:spacing w:line="240" w:lineRule="exact"/>
              <w:jc w:val="center"/>
              <w:rPr>
                <w:rFonts w:eastAsia="楷体_GB2312"/>
                <w:color w:val="000000"/>
                <w:szCs w:val="21"/>
              </w:rPr>
            </w:pPr>
            <w:r>
              <w:rPr>
                <w:rFonts w:eastAsia="楷体_GB2312"/>
                <w:color w:val="000000"/>
                <w:szCs w:val="21"/>
              </w:rPr>
              <w:t>3.33%</w:t>
            </w:r>
          </w:p>
        </w:tc>
      </w:tr>
      <w:tr w14:paraId="332235A4">
        <w:tblPrEx>
          <w:tblCellMar>
            <w:top w:w="0" w:type="dxa"/>
            <w:left w:w="108" w:type="dxa"/>
            <w:bottom w:w="0" w:type="dxa"/>
            <w:right w:w="108" w:type="dxa"/>
          </w:tblCellMar>
        </w:tblPrEx>
        <w:trPr>
          <w:trHeight w:val="20" w:hRule="atLeast"/>
          <w:jc w:val="center"/>
        </w:trPr>
        <w:tc>
          <w:tcPr>
            <w:tcW w:w="0" w:type="auto"/>
            <w:vMerge w:val="continue"/>
            <w:tcBorders>
              <w:top w:val="nil"/>
              <w:left w:val="single" w:color="auto" w:sz="8" w:space="0"/>
              <w:bottom w:val="single" w:color="auto" w:sz="4" w:space="0"/>
              <w:right w:val="single" w:color="auto" w:sz="8" w:space="0"/>
            </w:tcBorders>
            <w:noWrap w:val="0"/>
            <w:vAlign w:val="center"/>
          </w:tcPr>
          <w:p w14:paraId="00C6D15E">
            <w:pPr>
              <w:widowControl w:val="0"/>
              <w:spacing w:line="240" w:lineRule="exact"/>
              <w:jc w:val="center"/>
              <w:rPr>
                <w:rFonts w:eastAsia="楷体_GB2312"/>
                <w:szCs w:val="21"/>
              </w:rPr>
            </w:pPr>
          </w:p>
        </w:tc>
        <w:tc>
          <w:tcPr>
            <w:tcW w:w="0" w:type="auto"/>
            <w:vMerge w:val="continue"/>
            <w:tcBorders>
              <w:top w:val="nil"/>
              <w:left w:val="single" w:color="auto" w:sz="8" w:space="0"/>
              <w:bottom w:val="single" w:color="auto" w:sz="4" w:space="0"/>
              <w:right w:val="single" w:color="auto" w:sz="8" w:space="0"/>
            </w:tcBorders>
            <w:noWrap w:val="0"/>
            <w:vAlign w:val="center"/>
          </w:tcPr>
          <w:p w14:paraId="44B00712">
            <w:pPr>
              <w:widowControl w:val="0"/>
              <w:spacing w:line="240" w:lineRule="exact"/>
              <w:jc w:val="center"/>
              <w:rPr>
                <w:rFonts w:eastAsia="楷体_GB2312"/>
                <w:szCs w:val="21"/>
              </w:rPr>
            </w:pPr>
          </w:p>
        </w:tc>
        <w:tc>
          <w:tcPr>
            <w:tcW w:w="0" w:type="auto"/>
            <w:tcBorders>
              <w:top w:val="nil"/>
              <w:left w:val="nil"/>
              <w:bottom w:val="single" w:color="auto" w:sz="8" w:space="0"/>
              <w:right w:val="single" w:color="auto" w:sz="8" w:space="0"/>
            </w:tcBorders>
            <w:noWrap w:val="0"/>
            <w:vAlign w:val="center"/>
          </w:tcPr>
          <w:p w14:paraId="5EE8D72B">
            <w:pPr>
              <w:widowControl w:val="0"/>
              <w:spacing w:line="240" w:lineRule="exact"/>
              <w:jc w:val="center"/>
              <w:rPr>
                <w:rFonts w:eastAsia="楷体_GB2312"/>
                <w:szCs w:val="21"/>
              </w:rPr>
            </w:pPr>
            <w:r>
              <w:rPr>
                <w:rFonts w:eastAsia="楷体_GB2312"/>
                <w:szCs w:val="21"/>
              </w:rPr>
              <w:t>3</w:t>
            </w:r>
          </w:p>
        </w:tc>
        <w:tc>
          <w:tcPr>
            <w:tcW w:w="0" w:type="auto"/>
            <w:tcBorders>
              <w:top w:val="nil"/>
              <w:left w:val="single" w:color="auto" w:sz="4" w:space="0"/>
              <w:bottom w:val="single" w:color="auto" w:sz="4" w:space="0"/>
              <w:right w:val="single" w:color="auto" w:sz="4" w:space="0"/>
            </w:tcBorders>
            <w:noWrap/>
            <w:vAlign w:val="center"/>
          </w:tcPr>
          <w:p w14:paraId="275D3367">
            <w:pPr>
              <w:widowControl w:val="0"/>
              <w:spacing w:line="240" w:lineRule="exact"/>
              <w:jc w:val="center"/>
              <w:rPr>
                <w:rFonts w:eastAsia="楷体_GB2312"/>
                <w:b/>
                <w:color w:val="000000"/>
                <w:szCs w:val="21"/>
              </w:rPr>
            </w:pPr>
            <w:r>
              <w:rPr>
                <w:rFonts w:eastAsia="楷体_GB2312"/>
                <w:b/>
                <w:color w:val="000000"/>
                <w:szCs w:val="21"/>
              </w:rPr>
              <w:t>265</w:t>
            </w:r>
          </w:p>
        </w:tc>
        <w:tc>
          <w:tcPr>
            <w:tcW w:w="0" w:type="auto"/>
            <w:tcBorders>
              <w:top w:val="nil"/>
              <w:left w:val="nil"/>
              <w:bottom w:val="single" w:color="auto" w:sz="8" w:space="0"/>
              <w:right w:val="single" w:color="auto" w:sz="8" w:space="0"/>
            </w:tcBorders>
            <w:noWrap/>
            <w:vAlign w:val="center"/>
          </w:tcPr>
          <w:p w14:paraId="00BE1902">
            <w:pPr>
              <w:widowControl w:val="0"/>
              <w:spacing w:line="240" w:lineRule="exact"/>
              <w:jc w:val="center"/>
              <w:rPr>
                <w:rFonts w:eastAsia="楷体_GB2312"/>
                <w:color w:val="000000"/>
                <w:szCs w:val="21"/>
              </w:rPr>
            </w:pPr>
            <w:r>
              <w:rPr>
                <w:rFonts w:eastAsia="楷体_GB2312"/>
                <w:color w:val="000000"/>
                <w:szCs w:val="21"/>
              </w:rPr>
              <w:t>260</w:t>
            </w:r>
          </w:p>
        </w:tc>
        <w:tc>
          <w:tcPr>
            <w:tcW w:w="0" w:type="auto"/>
            <w:tcBorders>
              <w:top w:val="nil"/>
              <w:left w:val="nil"/>
              <w:bottom w:val="single" w:color="auto" w:sz="8" w:space="0"/>
              <w:right w:val="single" w:color="auto" w:sz="8" w:space="0"/>
            </w:tcBorders>
            <w:noWrap w:val="0"/>
            <w:vAlign w:val="center"/>
          </w:tcPr>
          <w:p w14:paraId="75C44A6D">
            <w:pPr>
              <w:widowControl w:val="0"/>
              <w:spacing w:line="240" w:lineRule="exact"/>
              <w:jc w:val="center"/>
              <w:rPr>
                <w:rFonts w:eastAsia="楷体_GB2312"/>
                <w:color w:val="000000"/>
                <w:szCs w:val="21"/>
              </w:rPr>
            </w:pPr>
            <w:r>
              <w:rPr>
                <w:rFonts w:eastAsia="楷体_GB2312"/>
                <w:color w:val="000000"/>
                <w:szCs w:val="21"/>
              </w:rPr>
              <w:t>1.92%</w:t>
            </w:r>
          </w:p>
        </w:tc>
        <w:tc>
          <w:tcPr>
            <w:tcW w:w="0" w:type="auto"/>
            <w:tcBorders>
              <w:top w:val="nil"/>
              <w:left w:val="single" w:color="auto" w:sz="4" w:space="0"/>
              <w:bottom w:val="single" w:color="auto" w:sz="4" w:space="0"/>
              <w:right w:val="single" w:color="auto" w:sz="4" w:space="0"/>
            </w:tcBorders>
            <w:noWrap/>
            <w:vAlign w:val="center"/>
          </w:tcPr>
          <w:p w14:paraId="27075D81">
            <w:pPr>
              <w:widowControl w:val="0"/>
              <w:spacing w:line="240" w:lineRule="exact"/>
              <w:jc w:val="center"/>
              <w:rPr>
                <w:rFonts w:eastAsia="楷体_GB2312"/>
                <w:b/>
                <w:color w:val="000000"/>
                <w:szCs w:val="21"/>
              </w:rPr>
            </w:pPr>
            <w:r>
              <w:rPr>
                <w:rFonts w:eastAsia="楷体_GB2312"/>
                <w:b/>
                <w:color w:val="000000"/>
                <w:szCs w:val="21"/>
              </w:rPr>
              <w:t>200</w:t>
            </w:r>
          </w:p>
        </w:tc>
        <w:tc>
          <w:tcPr>
            <w:tcW w:w="0" w:type="auto"/>
            <w:tcBorders>
              <w:top w:val="nil"/>
              <w:left w:val="nil"/>
              <w:bottom w:val="single" w:color="auto" w:sz="8" w:space="0"/>
              <w:right w:val="single" w:color="auto" w:sz="8" w:space="0"/>
            </w:tcBorders>
            <w:noWrap/>
            <w:vAlign w:val="center"/>
          </w:tcPr>
          <w:p w14:paraId="65B03161">
            <w:pPr>
              <w:widowControl w:val="0"/>
              <w:spacing w:line="240" w:lineRule="exact"/>
              <w:jc w:val="center"/>
              <w:rPr>
                <w:rFonts w:eastAsia="楷体_GB2312"/>
                <w:color w:val="000000"/>
                <w:szCs w:val="21"/>
              </w:rPr>
            </w:pPr>
            <w:r>
              <w:rPr>
                <w:rFonts w:eastAsia="楷体_GB2312"/>
                <w:color w:val="000000"/>
                <w:szCs w:val="21"/>
              </w:rPr>
              <w:t>185</w:t>
            </w:r>
          </w:p>
        </w:tc>
        <w:tc>
          <w:tcPr>
            <w:tcW w:w="0" w:type="auto"/>
            <w:tcBorders>
              <w:top w:val="nil"/>
              <w:left w:val="nil"/>
              <w:bottom w:val="single" w:color="auto" w:sz="8" w:space="0"/>
              <w:right w:val="single" w:color="auto" w:sz="8" w:space="0"/>
            </w:tcBorders>
            <w:noWrap w:val="0"/>
            <w:vAlign w:val="center"/>
          </w:tcPr>
          <w:p w14:paraId="351649FC">
            <w:pPr>
              <w:widowControl w:val="0"/>
              <w:spacing w:line="240" w:lineRule="exact"/>
              <w:jc w:val="center"/>
              <w:rPr>
                <w:rFonts w:eastAsia="楷体_GB2312"/>
                <w:color w:val="000000"/>
                <w:szCs w:val="21"/>
              </w:rPr>
            </w:pPr>
            <w:r>
              <w:rPr>
                <w:rFonts w:eastAsia="楷体_GB2312"/>
                <w:color w:val="000000"/>
                <w:szCs w:val="21"/>
              </w:rPr>
              <w:t>8.11%</w:t>
            </w:r>
          </w:p>
        </w:tc>
        <w:tc>
          <w:tcPr>
            <w:tcW w:w="0" w:type="auto"/>
            <w:tcBorders>
              <w:top w:val="nil"/>
              <w:left w:val="single" w:color="auto" w:sz="4" w:space="0"/>
              <w:bottom w:val="single" w:color="auto" w:sz="4" w:space="0"/>
              <w:right w:val="single" w:color="auto" w:sz="4" w:space="0"/>
            </w:tcBorders>
            <w:noWrap/>
            <w:vAlign w:val="center"/>
          </w:tcPr>
          <w:p w14:paraId="0B909982">
            <w:pPr>
              <w:widowControl w:val="0"/>
              <w:spacing w:line="240" w:lineRule="exact"/>
              <w:jc w:val="center"/>
              <w:rPr>
                <w:rFonts w:eastAsia="楷体_GB2312"/>
                <w:b/>
                <w:color w:val="000000"/>
                <w:szCs w:val="21"/>
              </w:rPr>
            </w:pPr>
            <w:r>
              <w:rPr>
                <w:rFonts w:eastAsia="楷体_GB2312"/>
                <w:b/>
                <w:color w:val="000000"/>
                <w:szCs w:val="21"/>
              </w:rPr>
              <w:t>144</w:t>
            </w:r>
          </w:p>
        </w:tc>
        <w:tc>
          <w:tcPr>
            <w:tcW w:w="0" w:type="auto"/>
            <w:tcBorders>
              <w:top w:val="nil"/>
              <w:left w:val="nil"/>
              <w:bottom w:val="single" w:color="auto" w:sz="8" w:space="0"/>
              <w:right w:val="single" w:color="auto" w:sz="8" w:space="0"/>
            </w:tcBorders>
            <w:noWrap/>
            <w:vAlign w:val="center"/>
          </w:tcPr>
          <w:p w14:paraId="1111A944">
            <w:pPr>
              <w:widowControl w:val="0"/>
              <w:spacing w:line="240" w:lineRule="exact"/>
              <w:jc w:val="center"/>
              <w:rPr>
                <w:rFonts w:eastAsia="楷体_GB2312"/>
                <w:color w:val="000000"/>
                <w:szCs w:val="21"/>
              </w:rPr>
            </w:pPr>
            <w:r>
              <w:rPr>
                <w:rFonts w:eastAsia="楷体_GB2312"/>
                <w:color w:val="000000"/>
                <w:szCs w:val="21"/>
              </w:rPr>
              <w:t>144</w:t>
            </w:r>
          </w:p>
        </w:tc>
        <w:tc>
          <w:tcPr>
            <w:tcW w:w="0" w:type="auto"/>
            <w:tcBorders>
              <w:top w:val="nil"/>
              <w:left w:val="nil"/>
              <w:bottom w:val="single" w:color="auto" w:sz="8" w:space="0"/>
              <w:right w:val="single" w:color="auto" w:sz="8" w:space="0"/>
            </w:tcBorders>
            <w:noWrap w:val="0"/>
            <w:vAlign w:val="center"/>
          </w:tcPr>
          <w:p w14:paraId="25A2C211">
            <w:pPr>
              <w:widowControl w:val="0"/>
              <w:spacing w:line="240" w:lineRule="exact"/>
              <w:jc w:val="center"/>
              <w:rPr>
                <w:rFonts w:eastAsia="楷体_GB2312"/>
                <w:color w:val="000000"/>
                <w:szCs w:val="21"/>
              </w:rPr>
            </w:pPr>
            <w:r>
              <w:rPr>
                <w:rFonts w:eastAsia="楷体_GB2312"/>
                <w:color w:val="000000"/>
                <w:szCs w:val="21"/>
              </w:rPr>
              <w:t>0.00%</w:t>
            </w:r>
          </w:p>
        </w:tc>
      </w:tr>
      <w:tr w14:paraId="500CC03F">
        <w:tblPrEx>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8" w:space="0"/>
              <w:bottom w:val="single" w:color="000000" w:sz="8" w:space="0"/>
              <w:right w:val="single" w:color="auto" w:sz="8" w:space="0"/>
            </w:tcBorders>
            <w:noWrap w:val="0"/>
            <w:vAlign w:val="center"/>
          </w:tcPr>
          <w:p w14:paraId="74C475F6">
            <w:pPr>
              <w:widowControl w:val="0"/>
              <w:spacing w:line="240" w:lineRule="exact"/>
              <w:jc w:val="center"/>
              <w:rPr>
                <w:rFonts w:eastAsia="楷体_GB2312"/>
                <w:szCs w:val="21"/>
              </w:rPr>
            </w:pPr>
            <w:r>
              <w:rPr>
                <w:rFonts w:eastAsia="楷体_GB2312"/>
                <w:szCs w:val="21"/>
              </w:rPr>
              <w:t>23</w:t>
            </w:r>
          </w:p>
        </w:tc>
        <w:tc>
          <w:tcPr>
            <w:tcW w:w="0" w:type="auto"/>
            <w:tcBorders>
              <w:top w:val="single" w:color="auto" w:sz="4" w:space="0"/>
              <w:left w:val="single" w:color="auto" w:sz="8" w:space="0"/>
              <w:bottom w:val="single" w:color="000000" w:sz="8" w:space="0"/>
              <w:right w:val="single" w:color="auto" w:sz="8" w:space="0"/>
            </w:tcBorders>
            <w:noWrap w:val="0"/>
            <w:vAlign w:val="center"/>
          </w:tcPr>
          <w:p w14:paraId="41882D3C">
            <w:pPr>
              <w:widowControl w:val="0"/>
              <w:spacing w:line="240" w:lineRule="exact"/>
              <w:jc w:val="center"/>
              <w:rPr>
                <w:rFonts w:eastAsia="楷体_GB2312"/>
                <w:color w:val="000000"/>
                <w:szCs w:val="21"/>
              </w:rPr>
            </w:pPr>
            <w:r>
              <w:rPr>
                <w:rFonts w:eastAsia="楷体_GB2312"/>
                <w:color w:val="000000"/>
                <w:szCs w:val="21"/>
              </w:rPr>
              <w:t>曹村开发区</w:t>
            </w:r>
          </w:p>
        </w:tc>
        <w:tc>
          <w:tcPr>
            <w:tcW w:w="0" w:type="auto"/>
            <w:tcBorders>
              <w:top w:val="nil"/>
              <w:left w:val="nil"/>
              <w:bottom w:val="single" w:color="auto" w:sz="8" w:space="0"/>
              <w:right w:val="single" w:color="auto" w:sz="8" w:space="0"/>
            </w:tcBorders>
            <w:noWrap w:val="0"/>
            <w:vAlign w:val="center"/>
          </w:tcPr>
          <w:p w14:paraId="0BA6CF89">
            <w:pPr>
              <w:widowControl w:val="0"/>
              <w:spacing w:line="240" w:lineRule="exact"/>
              <w:jc w:val="center"/>
              <w:rPr>
                <w:rFonts w:eastAsia="楷体_GB2312"/>
                <w:szCs w:val="21"/>
              </w:rPr>
            </w:pPr>
            <w:r>
              <w:rPr>
                <w:rFonts w:eastAsia="楷体_GB2312"/>
                <w:szCs w:val="21"/>
              </w:rPr>
              <w:t>/</w:t>
            </w:r>
          </w:p>
        </w:tc>
        <w:tc>
          <w:tcPr>
            <w:tcW w:w="0" w:type="auto"/>
            <w:tcBorders>
              <w:top w:val="nil"/>
              <w:left w:val="single" w:color="auto" w:sz="4" w:space="0"/>
              <w:bottom w:val="single" w:color="auto" w:sz="4" w:space="0"/>
              <w:right w:val="single" w:color="auto" w:sz="4" w:space="0"/>
            </w:tcBorders>
            <w:noWrap/>
            <w:vAlign w:val="center"/>
          </w:tcPr>
          <w:p w14:paraId="0380DF5C">
            <w:pPr>
              <w:widowControl w:val="0"/>
              <w:spacing w:line="240" w:lineRule="exact"/>
              <w:jc w:val="center"/>
              <w:rPr>
                <w:rFonts w:eastAsia="楷体_GB2312"/>
                <w:b/>
                <w:color w:val="000000"/>
                <w:szCs w:val="21"/>
              </w:rPr>
            </w:pPr>
            <w:r>
              <w:rPr>
                <w:rFonts w:eastAsia="楷体_GB2312"/>
                <w:b/>
                <w:color w:val="000000"/>
                <w:szCs w:val="21"/>
              </w:rPr>
              <w:t>460</w:t>
            </w:r>
          </w:p>
        </w:tc>
        <w:tc>
          <w:tcPr>
            <w:tcW w:w="0" w:type="auto"/>
            <w:tcBorders>
              <w:top w:val="nil"/>
              <w:left w:val="nil"/>
              <w:bottom w:val="single" w:color="auto" w:sz="8" w:space="0"/>
              <w:right w:val="single" w:color="auto" w:sz="8" w:space="0"/>
            </w:tcBorders>
            <w:noWrap/>
            <w:vAlign w:val="center"/>
          </w:tcPr>
          <w:p w14:paraId="6963879F">
            <w:pPr>
              <w:widowControl w:val="0"/>
              <w:spacing w:line="240" w:lineRule="exact"/>
              <w:jc w:val="center"/>
              <w:rPr>
                <w:rFonts w:eastAsia="楷体_GB2312"/>
                <w:color w:val="000000"/>
                <w:szCs w:val="21"/>
              </w:rPr>
            </w:pPr>
            <w:r>
              <w:rPr>
                <w:rFonts w:eastAsia="楷体_GB2312"/>
                <w:color w:val="000000"/>
                <w:szCs w:val="21"/>
              </w:rPr>
              <w:t>355</w:t>
            </w:r>
          </w:p>
        </w:tc>
        <w:tc>
          <w:tcPr>
            <w:tcW w:w="0" w:type="auto"/>
            <w:tcBorders>
              <w:top w:val="nil"/>
              <w:left w:val="nil"/>
              <w:bottom w:val="single" w:color="auto" w:sz="8" w:space="0"/>
              <w:right w:val="single" w:color="auto" w:sz="8" w:space="0"/>
            </w:tcBorders>
            <w:noWrap w:val="0"/>
            <w:vAlign w:val="center"/>
          </w:tcPr>
          <w:p w14:paraId="52C32610">
            <w:pPr>
              <w:widowControl w:val="0"/>
              <w:spacing w:line="240" w:lineRule="exact"/>
              <w:jc w:val="center"/>
              <w:rPr>
                <w:rFonts w:eastAsia="楷体_GB2312"/>
                <w:color w:val="000000"/>
                <w:szCs w:val="21"/>
              </w:rPr>
            </w:pPr>
            <w:r>
              <w:rPr>
                <w:rFonts w:eastAsia="楷体_GB2312"/>
                <w:color w:val="000000"/>
                <w:szCs w:val="21"/>
              </w:rPr>
              <w:t>29.58%</w:t>
            </w:r>
          </w:p>
        </w:tc>
        <w:tc>
          <w:tcPr>
            <w:tcW w:w="0" w:type="auto"/>
            <w:tcBorders>
              <w:top w:val="nil"/>
              <w:left w:val="single" w:color="auto" w:sz="4" w:space="0"/>
              <w:bottom w:val="single" w:color="auto" w:sz="4" w:space="0"/>
              <w:right w:val="single" w:color="auto" w:sz="4" w:space="0"/>
            </w:tcBorders>
            <w:noWrap/>
            <w:vAlign w:val="center"/>
          </w:tcPr>
          <w:p w14:paraId="600A4ADB">
            <w:pPr>
              <w:widowControl w:val="0"/>
              <w:spacing w:line="240" w:lineRule="exact"/>
              <w:jc w:val="center"/>
              <w:rPr>
                <w:rFonts w:eastAsia="楷体_GB2312"/>
                <w:b/>
                <w:color w:val="000000"/>
                <w:szCs w:val="21"/>
              </w:rPr>
            </w:pPr>
            <w:r>
              <w:rPr>
                <w:rFonts w:eastAsia="楷体_GB2312"/>
                <w:b/>
                <w:color w:val="000000"/>
                <w:szCs w:val="21"/>
              </w:rPr>
              <w:t>295</w:t>
            </w:r>
          </w:p>
        </w:tc>
        <w:tc>
          <w:tcPr>
            <w:tcW w:w="0" w:type="auto"/>
            <w:tcBorders>
              <w:top w:val="nil"/>
              <w:left w:val="nil"/>
              <w:bottom w:val="single" w:color="auto" w:sz="8" w:space="0"/>
              <w:right w:val="single" w:color="auto" w:sz="8" w:space="0"/>
            </w:tcBorders>
            <w:noWrap/>
            <w:vAlign w:val="center"/>
          </w:tcPr>
          <w:p w14:paraId="57B55251">
            <w:pPr>
              <w:widowControl w:val="0"/>
              <w:spacing w:line="240" w:lineRule="exact"/>
              <w:jc w:val="center"/>
              <w:rPr>
                <w:rFonts w:eastAsia="楷体_GB2312"/>
                <w:color w:val="000000"/>
                <w:szCs w:val="21"/>
              </w:rPr>
            </w:pPr>
            <w:r>
              <w:rPr>
                <w:rFonts w:eastAsia="楷体_GB2312"/>
                <w:color w:val="000000"/>
                <w:szCs w:val="21"/>
              </w:rPr>
              <w:t>228</w:t>
            </w:r>
          </w:p>
        </w:tc>
        <w:tc>
          <w:tcPr>
            <w:tcW w:w="0" w:type="auto"/>
            <w:tcBorders>
              <w:top w:val="nil"/>
              <w:left w:val="nil"/>
              <w:bottom w:val="single" w:color="auto" w:sz="8" w:space="0"/>
              <w:right w:val="single" w:color="auto" w:sz="8" w:space="0"/>
            </w:tcBorders>
            <w:noWrap w:val="0"/>
            <w:vAlign w:val="center"/>
          </w:tcPr>
          <w:p w14:paraId="14E6323B">
            <w:pPr>
              <w:widowControl w:val="0"/>
              <w:spacing w:line="240" w:lineRule="exact"/>
              <w:jc w:val="center"/>
              <w:rPr>
                <w:rFonts w:eastAsia="楷体_GB2312"/>
                <w:color w:val="000000"/>
                <w:szCs w:val="21"/>
              </w:rPr>
            </w:pPr>
            <w:r>
              <w:rPr>
                <w:rFonts w:eastAsia="楷体_GB2312"/>
                <w:color w:val="000000"/>
                <w:szCs w:val="21"/>
              </w:rPr>
              <w:t>29.39%</w:t>
            </w:r>
          </w:p>
        </w:tc>
        <w:tc>
          <w:tcPr>
            <w:tcW w:w="0" w:type="auto"/>
            <w:tcBorders>
              <w:top w:val="nil"/>
              <w:left w:val="single" w:color="auto" w:sz="4" w:space="0"/>
              <w:bottom w:val="single" w:color="auto" w:sz="4" w:space="0"/>
              <w:right w:val="single" w:color="auto" w:sz="4" w:space="0"/>
            </w:tcBorders>
            <w:noWrap/>
            <w:vAlign w:val="center"/>
          </w:tcPr>
          <w:p w14:paraId="4D7A395A">
            <w:pPr>
              <w:widowControl w:val="0"/>
              <w:spacing w:line="240" w:lineRule="exact"/>
              <w:jc w:val="center"/>
              <w:rPr>
                <w:rFonts w:eastAsia="楷体_GB2312"/>
                <w:b/>
                <w:color w:val="000000"/>
                <w:szCs w:val="21"/>
              </w:rPr>
            </w:pPr>
            <w:r>
              <w:rPr>
                <w:rFonts w:eastAsia="楷体_GB2312"/>
                <w:b/>
                <w:color w:val="000000"/>
                <w:szCs w:val="21"/>
              </w:rPr>
              <w:t>155</w:t>
            </w:r>
          </w:p>
        </w:tc>
        <w:tc>
          <w:tcPr>
            <w:tcW w:w="0" w:type="auto"/>
            <w:tcBorders>
              <w:top w:val="nil"/>
              <w:left w:val="nil"/>
              <w:bottom w:val="single" w:color="auto" w:sz="8" w:space="0"/>
              <w:right w:val="single" w:color="auto" w:sz="8" w:space="0"/>
            </w:tcBorders>
            <w:noWrap/>
            <w:vAlign w:val="center"/>
          </w:tcPr>
          <w:p w14:paraId="3446DEC6">
            <w:pPr>
              <w:widowControl w:val="0"/>
              <w:spacing w:line="240" w:lineRule="exact"/>
              <w:jc w:val="center"/>
              <w:rPr>
                <w:rFonts w:eastAsia="楷体_GB2312"/>
                <w:color w:val="000000"/>
                <w:szCs w:val="21"/>
              </w:rPr>
            </w:pPr>
            <w:r>
              <w:rPr>
                <w:rFonts w:eastAsia="楷体_GB2312"/>
                <w:color w:val="000000"/>
                <w:szCs w:val="21"/>
              </w:rPr>
              <w:t>150</w:t>
            </w:r>
          </w:p>
        </w:tc>
        <w:tc>
          <w:tcPr>
            <w:tcW w:w="0" w:type="auto"/>
            <w:tcBorders>
              <w:top w:val="nil"/>
              <w:left w:val="nil"/>
              <w:bottom w:val="single" w:color="auto" w:sz="8" w:space="0"/>
              <w:right w:val="single" w:color="auto" w:sz="8" w:space="0"/>
            </w:tcBorders>
            <w:noWrap w:val="0"/>
            <w:vAlign w:val="center"/>
          </w:tcPr>
          <w:p w14:paraId="74536C98">
            <w:pPr>
              <w:widowControl w:val="0"/>
              <w:spacing w:line="240" w:lineRule="exact"/>
              <w:jc w:val="center"/>
              <w:rPr>
                <w:rFonts w:eastAsia="楷体_GB2312"/>
                <w:color w:val="000000"/>
                <w:szCs w:val="21"/>
              </w:rPr>
            </w:pPr>
            <w:r>
              <w:rPr>
                <w:rFonts w:eastAsia="楷体_GB2312"/>
                <w:color w:val="000000"/>
                <w:szCs w:val="21"/>
              </w:rPr>
              <w:t>3.33%</w:t>
            </w:r>
          </w:p>
        </w:tc>
      </w:tr>
    </w:tbl>
    <w:p w14:paraId="0B322AF4">
      <w:pPr>
        <w:widowControl w:val="0"/>
        <w:jc w:val="both"/>
        <w:rPr>
          <w:rFonts w:eastAsia="仿宋_GB2312"/>
          <w:sz w:val="32"/>
          <w:szCs w:val="32"/>
        </w:rPr>
      </w:pPr>
    </w:p>
    <w:p w14:paraId="2DA67798">
      <w:pPr>
        <w:widowControl w:val="0"/>
        <w:jc w:val="both"/>
        <w:rPr>
          <w:rFonts w:eastAsia="仿宋_GB2312"/>
          <w:sz w:val="32"/>
          <w:szCs w:val="32"/>
        </w:rPr>
        <w:sectPr>
          <w:pgSz w:w="16838" w:h="11906" w:orient="landscape"/>
          <w:pgMar w:top="1644" w:right="1758" w:bottom="1474" w:left="1474" w:header="1134" w:footer="992" w:gutter="0"/>
          <w:cols w:space="720" w:num="1"/>
          <w:docGrid w:linePitch="312" w:charSpace="0"/>
        </w:sectPr>
      </w:pPr>
    </w:p>
    <w:p w14:paraId="144F735C">
      <w:pPr>
        <w:pStyle w:val="4"/>
        <w:numPr>
          <w:ilvl w:val="0"/>
          <w:numId w:val="0"/>
        </w:numPr>
        <w:spacing w:line="240" w:lineRule="auto"/>
        <w:jc w:val="center"/>
        <w:rPr>
          <w:rFonts w:eastAsia="仿宋_GB2312"/>
          <w:bCs w:val="0"/>
        </w:rPr>
      </w:pPr>
      <w:bookmarkStart w:id="102" w:name="_Toc62563704"/>
      <w:r>
        <w:rPr>
          <w:rFonts w:eastAsia="仿宋_GB2312"/>
          <w:bCs w:val="0"/>
        </w:rPr>
        <w:t>第三节  乡镇间基准地价水平分析</w:t>
      </w:r>
      <w:bookmarkEnd w:id="102"/>
    </w:p>
    <w:p w14:paraId="36EBA8C9">
      <w:pPr>
        <w:pStyle w:val="20"/>
        <w:spacing w:before="120" w:beforeLines="50" w:line="480" w:lineRule="exact"/>
        <w:rPr>
          <w:rFonts w:ascii="Times New Roman" w:hAnsi="Times New Roman" w:cs="Times New Roman"/>
          <w:b/>
          <w:sz w:val="28"/>
        </w:rPr>
      </w:pPr>
      <w:bookmarkStart w:id="103" w:name="OLE_LINK28"/>
      <w:bookmarkStart w:id="104" w:name="OLE_LINK29"/>
      <w:r>
        <w:rPr>
          <w:rFonts w:ascii="Times New Roman" w:hAnsi="Times New Roman" w:cs="Times New Roman"/>
          <w:b/>
          <w:sz w:val="28"/>
        </w:rPr>
        <w:t>一、基准地价与经济水平对比分析</w:t>
      </w:r>
    </w:p>
    <w:bookmarkEnd w:id="103"/>
    <w:bookmarkEnd w:id="104"/>
    <w:p w14:paraId="0634D411">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基准地价水平的高低与社会经济也具有一定的关联性。我们从2019年</w:t>
      </w:r>
      <w:r>
        <w:rPr>
          <w:rFonts w:hint="eastAsia" w:ascii="楷体" w:hAnsi="楷体" w:eastAsia="楷体" w:cs="宋体"/>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各乡镇政府工作报告及相关统计年鉴中选取了2019年各乡镇</w:t>
      </w:r>
      <w:r>
        <w:rPr>
          <w:rFonts w:hint="eastAsia" w:ascii="Times New Roman" w:hAnsi="Times New Roman" w:eastAsia="楷体_GB2312" w:cs="Times New Roman"/>
          <w:sz w:val="28"/>
        </w:rPr>
        <w:t>招商引资、固定资产投资、工业总产值</w:t>
      </w:r>
      <w:r>
        <w:rPr>
          <w:rFonts w:ascii="Times New Roman" w:hAnsi="Times New Roman" w:eastAsia="楷体_GB2312" w:cs="Times New Roman"/>
          <w:sz w:val="28"/>
        </w:rPr>
        <w:t>数据作为相关经济统计指标，横向对比分析</w:t>
      </w:r>
      <w:r>
        <w:rPr>
          <w:rFonts w:hint="eastAsia" w:ascii="楷体" w:hAnsi="楷体" w:eastAsia="楷体" w:cs="宋体"/>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各乡镇的总体地价水平。具体见下表：</w:t>
      </w:r>
    </w:p>
    <w:p w14:paraId="786661FD">
      <w:pPr>
        <w:widowControl w:val="0"/>
        <w:spacing w:line="480" w:lineRule="exact"/>
        <w:jc w:val="center"/>
        <w:rPr>
          <w:rFonts w:eastAsia="黑体"/>
          <w:sz w:val="28"/>
          <w:szCs w:val="21"/>
        </w:rPr>
      </w:pPr>
      <w:r>
        <w:rPr>
          <w:rFonts w:eastAsia="黑体"/>
          <w:sz w:val="28"/>
          <w:szCs w:val="21"/>
        </w:rPr>
        <w:t>表2-8-5　埇桥区各乡镇主要经济指标一览表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6"/>
        <w:gridCol w:w="1136"/>
        <w:gridCol w:w="2040"/>
        <w:gridCol w:w="2493"/>
        <w:gridCol w:w="2267"/>
      </w:tblGrid>
      <w:tr w14:paraId="63D8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noWrap w:val="0"/>
            <w:vAlign w:val="center"/>
          </w:tcPr>
          <w:p w14:paraId="66E43E13">
            <w:pPr>
              <w:spacing w:line="300" w:lineRule="exact"/>
              <w:jc w:val="center"/>
              <w:rPr>
                <w:rFonts w:eastAsia="楷体_GB2312"/>
                <w:szCs w:val="21"/>
              </w:rPr>
            </w:pPr>
            <w:bookmarkStart w:id="105" w:name="_Hlk423506976"/>
            <w:r>
              <w:rPr>
                <w:rFonts w:eastAsia="楷体_GB2312"/>
                <w:szCs w:val="21"/>
              </w:rPr>
              <w:t>乡镇编号</w:t>
            </w:r>
          </w:p>
        </w:tc>
        <w:tc>
          <w:tcPr>
            <w:tcW w:w="0" w:type="auto"/>
            <w:noWrap w:val="0"/>
            <w:vAlign w:val="center"/>
          </w:tcPr>
          <w:p w14:paraId="75A80F33">
            <w:pPr>
              <w:spacing w:line="300" w:lineRule="exact"/>
              <w:jc w:val="center"/>
              <w:rPr>
                <w:rFonts w:eastAsia="楷体_GB2312"/>
                <w:szCs w:val="21"/>
              </w:rPr>
            </w:pPr>
            <w:r>
              <w:rPr>
                <w:rFonts w:eastAsia="楷体_GB2312"/>
                <w:szCs w:val="21"/>
              </w:rPr>
              <w:t>乡镇名称</w:t>
            </w:r>
          </w:p>
        </w:tc>
        <w:tc>
          <w:tcPr>
            <w:tcW w:w="0" w:type="auto"/>
            <w:noWrap w:val="0"/>
            <w:vAlign w:val="center"/>
          </w:tcPr>
          <w:p w14:paraId="52C21E02">
            <w:pPr>
              <w:spacing w:line="300" w:lineRule="exact"/>
              <w:jc w:val="center"/>
              <w:rPr>
                <w:rFonts w:eastAsia="楷体_GB2312"/>
                <w:szCs w:val="21"/>
              </w:rPr>
            </w:pPr>
            <w:r>
              <w:rPr>
                <w:rFonts w:eastAsia="楷体_GB2312"/>
                <w:szCs w:val="21"/>
              </w:rPr>
              <w:t>招商引资（亿元）</w:t>
            </w:r>
          </w:p>
        </w:tc>
        <w:tc>
          <w:tcPr>
            <w:tcW w:w="0" w:type="auto"/>
            <w:noWrap w:val="0"/>
            <w:vAlign w:val="center"/>
          </w:tcPr>
          <w:p w14:paraId="59DC738B">
            <w:pPr>
              <w:spacing w:line="300" w:lineRule="exact"/>
              <w:jc w:val="center"/>
              <w:rPr>
                <w:rFonts w:eastAsia="楷体_GB2312"/>
                <w:szCs w:val="21"/>
              </w:rPr>
            </w:pPr>
            <w:r>
              <w:rPr>
                <w:rFonts w:eastAsia="楷体_GB2312"/>
                <w:szCs w:val="21"/>
              </w:rPr>
              <w:t>固定资产投资（亿元）</w:t>
            </w:r>
          </w:p>
        </w:tc>
        <w:tc>
          <w:tcPr>
            <w:tcW w:w="0" w:type="auto"/>
            <w:noWrap w:val="0"/>
            <w:vAlign w:val="center"/>
          </w:tcPr>
          <w:p w14:paraId="6CC84349">
            <w:pPr>
              <w:spacing w:line="300" w:lineRule="exact"/>
              <w:jc w:val="center"/>
              <w:rPr>
                <w:rFonts w:eastAsia="楷体_GB2312"/>
                <w:szCs w:val="21"/>
              </w:rPr>
            </w:pPr>
            <w:r>
              <w:rPr>
                <w:rFonts w:eastAsia="楷体_GB2312"/>
                <w:szCs w:val="21"/>
              </w:rPr>
              <w:t>工业</w:t>
            </w:r>
            <w:r>
              <w:rPr>
                <w:rFonts w:hint="eastAsia" w:eastAsia="楷体_GB2312"/>
                <w:szCs w:val="21"/>
              </w:rPr>
              <w:t>总产值</w:t>
            </w:r>
            <w:r>
              <w:rPr>
                <w:rFonts w:eastAsia="楷体_GB2312"/>
                <w:szCs w:val="21"/>
              </w:rPr>
              <w:t>（亿元）</w:t>
            </w:r>
          </w:p>
        </w:tc>
      </w:tr>
      <w:tr w14:paraId="75CE8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blHeader/>
          <w:jc w:val="center"/>
        </w:trPr>
        <w:tc>
          <w:tcPr>
            <w:tcW w:w="0" w:type="auto"/>
            <w:noWrap w:val="0"/>
            <w:vAlign w:val="center"/>
          </w:tcPr>
          <w:p w14:paraId="4113C2CD">
            <w:pPr>
              <w:jc w:val="center"/>
              <w:rPr>
                <w:rFonts w:eastAsia="楷体_GB2312"/>
                <w:kern w:val="0"/>
                <w:szCs w:val="21"/>
              </w:rPr>
            </w:pPr>
            <w:r>
              <w:rPr>
                <w:rFonts w:eastAsia="楷体_GB2312"/>
                <w:kern w:val="0"/>
                <w:szCs w:val="21"/>
              </w:rPr>
              <w:t>1</w:t>
            </w:r>
          </w:p>
        </w:tc>
        <w:tc>
          <w:tcPr>
            <w:tcW w:w="0" w:type="auto"/>
            <w:noWrap w:val="0"/>
            <w:vAlign w:val="center"/>
          </w:tcPr>
          <w:p w14:paraId="43B28DD1">
            <w:pPr>
              <w:pStyle w:val="20"/>
              <w:jc w:val="center"/>
              <w:rPr>
                <w:rFonts w:ascii="Times New Roman" w:hAnsi="Times New Roman" w:eastAsia="楷体_GB2312" w:cs="Times New Roman"/>
              </w:rPr>
            </w:pPr>
            <w:r>
              <w:rPr>
                <w:rFonts w:ascii="Times New Roman" w:hAnsi="Times New Roman" w:eastAsia="楷体_GB2312" w:cs="Times New Roman"/>
              </w:rPr>
              <w:t>符离镇</w:t>
            </w:r>
          </w:p>
        </w:tc>
        <w:tc>
          <w:tcPr>
            <w:tcW w:w="0" w:type="auto"/>
            <w:noWrap w:val="0"/>
            <w:vAlign w:val="center"/>
          </w:tcPr>
          <w:p w14:paraId="14EEDDA6">
            <w:pPr>
              <w:spacing w:line="300" w:lineRule="exact"/>
              <w:jc w:val="center"/>
              <w:rPr>
                <w:rFonts w:eastAsia="楷体_GB2312"/>
                <w:szCs w:val="21"/>
              </w:rPr>
            </w:pPr>
            <w:r>
              <w:rPr>
                <w:rFonts w:eastAsia="楷体_GB2312"/>
                <w:szCs w:val="21"/>
              </w:rPr>
              <w:t>8.20</w:t>
            </w:r>
          </w:p>
        </w:tc>
        <w:tc>
          <w:tcPr>
            <w:tcW w:w="0" w:type="auto"/>
            <w:noWrap w:val="0"/>
            <w:vAlign w:val="center"/>
          </w:tcPr>
          <w:p w14:paraId="37589E52">
            <w:pPr>
              <w:spacing w:line="300" w:lineRule="exact"/>
              <w:jc w:val="center"/>
              <w:rPr>
                <w:rFonts w:eastAsia="楷体_GB2312"/>
                <w:szCs w:val="21"/>
              </w:rPr>
            </w:pPr>
            <w:r>
              <w:rPr>
                <w:rFonts w:eastAsia="楷体_GB2312"/>
                <w:szCs w:val="21"/>
              </w:rPr>
              <w:t>6.76</w:t>
            </w:r>
          </w:p>
        </w:tc>
        <w:tc>
          <w:tcPr>
            <w:tcW w:w="0" w:type="auto"/>
            <w:noWrap w:val="0"/>
            <w:vAlign w:val="center"/>
          </w:tcPr>
          <w:p w14:paraId="4B862AEA">
            <w:pPr>
              <w:spacing w:line="300" w:lineRule="exact"/>
              <w:jc w:val="center"/>
              <w:rPr>
                <w:rFonts w:eastAsia="楷体_GB2312"/>
                <w:szCs w:val="21"/>
              </w:rPr>
            </w:pPr>
            <w:r>
              <w:rPr>
                <w:rFonts w:eastAsia="楷体_GB2312"/>
                <w:szCs w:val="21"/>
              </w:rPr>
              <w:t>90.79</w:t>
            </w:r>
          </w:p>
        </w:tc>
      </w:tr>
      <w:tr w14:paraId="794C2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noWrap w:val="0"/>
            <w:vAlign w:val="center"/>
          </w:tcPr>
          <w:p w14:paraId="5EBED67D">
            <w:pPr>
              <w:jc w:val="center"/>
              <w:rPr>
                <w:rFonts w:eastAsia="楷体_GB2312"/>
                <w:kern w:val="0"/>
                <w:szCs w:val="21"/>
              </w:rPr>
            </w:pPr>
            <w:r>
              <w:rPr>
                <w:rFonts w:eastAsia="楷体_GB2312"/>
                <w:kern w:val="0"/>
                <w:szCs w:val="21"/>
              </w:rPr>
              <w:t>2</w:t>
            </w:r>
          </w:p>
        </w:tc>
        <w:tc>
          <w:tcPr>
            <w:tcW w:w="0" w:type="auto"/>
            <w:noWrap w:val="0"/>
            <w:vAlign w:val="center"/>
          </w:tcPr>
          <w:p w14:paraId="3603D36B">
            <w:pPr>
              <w:pStyle w:val="20"/>
              <w:jc w:val="center"/>
              <w:rPr>
                <w:rFonts w:ascii="Times New Roman" w:hAnsi="Times New Roman" w:eastAsia="楷体_GB2312" w:cs="Times New Roman"/>
              </w:rPr>
            </w:pPr>
            <w:r>
              <w:rPr>
                <w:rFonts w:ascii="Times New Roman" w:hAnsi="Times New Roman" w:eastAsia="楷体_GB2312" w:cs="Times New Roman"/>
              </w:rPr>
              <w:t>朱仙庄镇</w:t>
            </w:r>
          </w:p>
        </w:tc>
        <w:tc>
          <w:tcPr>
            <w:tcW w:w="0" w:type="auto"/>
            <w:noWrap w:val="0"/>
            <w:vAlign w:val="center"/>
          </w:tcPr>
          <w:p w14:paraId="3C874CD5">
            <w:pPr>
              <w:spacing w:line="300" w:lineRule="exact"/>
              <w:jc w:val="center"/>
              <w:rPr>
                <w:rFonts w:eastAsia="楷体_GB2312"/>
                <w:szCs w:val="21"/>
              </w:rPr>
            </w:pPr>
            <w:r>
              <w:rPr>
                <w:rFonts w:hint="eastAsia" w:eastAsia="楷体_GB2312"/>
                <w:szCs w:val="21"/>
              </w:rPr>
              <w:t>7.63</w:t>
            </w:r>
          </w:p>
        </w:tc>
        <w:tc>
          <w:tcPr>
            <w:tcW w:w="0" w:type="auto"/>
            <w:noWrap w:val="0"/>
            <w:vAlign w:val="center"/>
          </w:tcPr>
          <w:p w14:paraId="47F7B1CB">
            <w:pPr>
              <w:spacing w:line="300" w:lineRule="exact"/>
              <w:jc w:val="center"/>
              <w:rPr>
                <w:rFonts w:eastAsia="楷体_GB2312"/>
                <w:szCs w:val="21"/>
              </w:rPr>
            </w:pPr>
            <w:r>
              <w:rPr>
                <w:rFonts w:hint="eastAsia" w:eastAsia="楷体_GB2312"/>
                <w:szCs w:val="21"/>
              </w:rPr>
              <w:t>5.1</w:t>
            </w:r>
          </w:p>
        </w:tc>
        <w:tc>
          <w:tcPr>
            <w:tcW w:w="0" w:type="auto"/>
            <w:noWrap w:val="0"/>
            <w:vAlign w:val="center"/>
          </w:tcPr>
          <w:p w14:paraId="0F3523EE">
            <w:pPr>
              <w:spacing w:line="300" w:lineRule="exact"/>
              <w:jc w:val="center"/>
              <w:rPr>
                <w:rFonts w:eastAsia="楷体_GB2312"/>
                <w:szCs w:val="21"/>
              </w:rPr>
            </w:pPr>
            <w:r>
              <w:rPr>
                <w:rFonts w:hint="eastAsia" w:eastAsia="楷体_GB2312"/>
                <w:szCs w:val="21"/>
              </w:rPr>
              <w:t>84.7</w:t>
            </w:r>
          </w:p>
        </w:tc>
      </w:tr>
      <w:tr w14:paraId="49612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noWrap w:val="0"/>
            <w:vAlign w:val="center"/>
          </w:tcPr>
          <w:p w14:paraId="324E4975">
            <w:pPr>
              <w:jc w:val="center"/>
              <w:rPr>
                <w:rFonts w:eastAsia="楷体_GB2312"/>
                <w:kern w:val="0"/>
                <w:szCs w:val="21"/>
              </w:rPr>
            </w:pPr>
            <w:r>
              <w:rPr>
                <w:rFonts w:eastAsia="楷体_GB2312"/>
                <w:kern w:val="0"/>
                <w:szCs w:val="21"/>
              </w:rPr>
              <w:t>3</w:t>
            </w:r>
          </w:p>
        </w:tc>
        <w:tc>
          <w:tcPr>
            <w:tcW w:w="0" w:type="auto"/>
            <w:noWrap w:val="0"/>
            <w:vAlign w:val="center"/>
          </w:tcPr>
          <w:p w14:paraId="484BC411">
            <w:pPr>
              <w:pStyle w:val="20"/>
              <w:jc w:val="center"/>
              <w:rPr>
                <w:rFonts w:ascii="Times New Roman" w:hAnsi="Times New Roman" w:eastAsia="楷体_GB2312" w:cs="Times New Roman"/>
              </w:rPr>
            </w:pPr>
            <w:r>
              <w:rPr>
                <w:rFonts w:ascii="Times New Roman" w:hAnsi="Times New Roman" w:eastAsia="楷体_GB2312" w:cs="Times New Roman"/>
              </w:rPr>
              <w:t>蕲县镇</w:t>
            </w:r>
          </w:p>
        </w:tc>
        <w:tc>
          <w:tcPr>
            <w:tcW w:w="0" w:type="auto"/>
            <w:noWrap w:val="0"/>
            <w:vAlign w:val="center"/>
          </w:tcPr>
          <w:p w14:paraId="393D1387">
            <w:pPr>
              <w:spacing w:line="300" w:lineRule="exact"/>
              <w:jc w:val="center"/>
              <w:rPr>
                <w:rFonts w:eastAsia="楷体_GB2312"/>
                <w:szCs w:val="21"/>
              </w:rPr>
            </w:pPr>
            <w:r>
              <w:rPr>
                <w:rFonts w:hint="eastAsia" w:eastAsia="楷体_GB2312"/>
                <w:szCs w:val="21"/>
              </w:rPr>
              <w:t>6.7</w:t>
            </w:r>
          </w:p>
        </w:tc>
        <w:tc>
          <w:tcPr>
            <w:tcW w:w="0" w:type="auto"/>
            <w:noWrap w:val="0"/>
            <w:vAlign w:val="center"/>
          </w:tcPr>
          <w:p w14:paraId="52CE9A29">
            <w:pPr>
              <w:spacing w:line="300" w:lineRule="exact"/>
              <w:jc w:val="center"/>
              <w:rPr>
                <w:rFonts w:eastAsia="楷体_GB2312"/>
                <w:szCs w:val="21"/>
              </w:rPr>
            </w:pPr>
            <w:r>
              <w:rPr>
                <w:rFonts w:hint="eastAsia" w:eastAsia="楷体_GB2312"/>
                <w:szCs w:val="21"/>
              </w:rPr>
              <w:t>4.31</w:t>
            </w:r>
          </w:p>
        </w:tc>
        <w:tc>
          <w:tcPr>
            <w:tcW w:w="0" w:type="auto"/>
            <w:noWrap w:val="0"/>
            <w:vAlign w:val="center"/>
          </w:tcPr>
          <w:p w14:paraId="05B82AF0">
            <w:pPr>
              <w:spacing w:line="300" w:lineRule="exact"/>
              <w:jc w:val="center"/>
              <w:rPr>
                <w:rFonts w:eastAsia="楷体_GB2312"/>
                <w:szCs w:val="21"/>
              </w:rPr>
            </w:pPr>
            <w:r>
              <w:rPr>
                <w:rFonts w:hint="eastAsia" w:eastAsia="楷体_GB2312"/>
                <w:szCs w:val="21"/>
              </w:rPr>
              <w:t>22.1</w:t>
            </w:r>
          </w:p>
        </w:tc>
      </w:tr>
      <w:tr w14:paraId="6FCD7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noWrap w:val="0"/>
            <w:vAlign w:val="center"/>
          </w:tcPr>
          <w:p w14:paraId="706A37C8">
            <w:pPr>
              <w:jc w:val="center"/>
              <w:rPr>
                <w:rFonts w:eastAsia="楷体_GB2312"/>
                <w:kern w:val="0"/>
                <w:szCs w:val="21"/>
              </w:rPr>
            </w:pPr>
            <w:r>
              <w:rPr>
                <w:rFonts w:eastAsia="楷体_GB2312"/>
                <w:kern w:val="0"/>
                <w:szCs w:val="21"/>
              </w:rPr>
              <w:t>4</w:t>
            </w:r>
          </w:p>
        </w:tc>
        <w:tc>
          <w:tcPr>
            <w:tcW w:w="0" w:type="auto"/>
            <w:noWrap w:val="0"/>
            <w:vAlign w:val="center"/>
          </w:tcPr>
          <w:p w14:paraId="63E04185">
            <w:pPr>
              <w:pStyle w:val="20"/>
              <w:jc w:val="center"/>
              <w:rPr>
                <w:rFonts w:ascii="Times New Roman" w:hAnsi="Times New Roman" w:eastAsia="楷体_GB2312" w:cs="Times New Roman"/>
              </w:rPr>
            </w:pPr>
            <w:r>
              <w:rPr>
                <w:rFonts w:ascii="Times New Roman" w:hAnsi="Times New Roman" w:eastAsia="楷体_GB2312" w:cs="Times New Roman"/>
              </w:rPr>
              <w:t>芦岭镇</w:t>
            </w:r>
          </w:p>
        </w:tc>
        <w:tc>
          <w:tcPr>
            <w:tcW w:w="0" w:type="auto"/>
            <w:noWrap w:val="0"/>
            <w:vAlign w:val="center"/>
          </w:tcPr>
          <w:p w14:paraId="4B77A1DC">
            <w:pPr>
              <w:spacing w:line="300" w:lineRule="exact"/>
              <w:jc w:val="center"/>
              <w:rPr>
                <w:rFonts w:eastAsia="楷体_GB2312"/>
                <w:szCs w:val="21"/>
              </w:rPr>
            </w:pPr>
          </w:p>
        </w:tc>
        <w:tc>
          <w:tcPr>
            <w:tcW w:w="0" w:type="auto"/>
            <w:noWrap w:val="0"/>
            <w:vAlign w:val="center"/>
          </w:tcPr>
          <w:p w14:paraId="3D6C1709">
            <w:pPr>
              <w:spacing w:line="300" w:lineRule="exact"/>
              <w:jc w:val="center"/>
              <w:rPr>
                <w:rFonts w:eastAsia="楷体_GB2312"/>
                <w:szCs w:val="21"/>
              </w:rPr>
            </w:pPr>
          </w:p>
        </w:tc>
        <w:tc>
          <w:tcPr>
            <w:tcW w:w="0" w:type="auto"/>
            <w:noWrap w:val="0"/>
            <w:vAlign w:val="center"/>
          </w:tcPr>
          <w:p w14:paraId="5202E10D">
            <w:pPr>
              <w:spacing w:line="300" w:lineRule="exact"/>
              <w:jc w:val="center"/>
              <w:rPr>
                <w:rFonts w:eastAsia="楷体_GB2312"/>
                <w:szCs w:val="21"/>
              </w:rPr>
            </w:pPr>
            <w:r>
              <w:rPr>
                <w:rFonts w:hint="eastAsia" w:eastAsia="楷体_GB2312"/>
                <w:szCs w:val="21"/>
              </w:rPr>
              <w:t>1.27</w:t>
            </w:r>
          </w:p>
        </w:tc>
      </w:tr>
      <w:tr w14:paraId="32E6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noWrap w:val="0"/>
            <w:vAlign w:val="center"/>
          </w:tcPr>
          <w:p w14:paraId="2694BC18">
            <w:pPr>
              <w:jc w:val="center"/>
              <w:rPr>
                <w:rFonts w:eastAsia="楷体_GB2312"/>
                <w:kern w:val="0"/>
                <w:szCs w:val="21"/>
              </w:rPr>
            </w:pPr>
            <w:r>
              <w:rPr>
                <w:rFonts w:eastAsia="楷体_GB2312"/>
                <w:kern w:val="0"/>
                <w:szCs w:val="21"/>
              </w:rPr>
              <w:t>5</w:t>
            </w:r>
          </w:p>
        </w:tc>
        <w:tc>
          <w:tcPr>
            <w:tcW w:w="0" w:type="auto"/>
            <w:noWrap w:val="0"/>
            <w:vAlign w:val="center"/>
          </w:tcPr>
          <w:p w14:paraId="6BFEEA4E">
            <w:pPr>
              <w:pStyle w:val="20"/>
              <w:jc w:val="center"/>
              <w:rPr>
                <w:rFonts w:ascii="Times New Roman" w:hAnsi="Times New Roman" w:eastAsia="楷体_GB2312" w:cs="Times New Roman"/>
              </w:rPr>
            </w:pPr>
            <w:r>
              <w:rPr>
                <w:rFonts w:ascii="Times New Roman" w:hAnsi="Times New Roman" w:eastAsia="楷体_GB2312" w:cs="Times New Roman"/>
              </w:rPr>
              <w:t>大店镇</w:t>
            </w:r>
          </w:p>
        </w:tc>
        <w:tc>
          <w:tcPr>
            <w:tcW w:w="0" w:type="auto"/>
            <w:noWrap w:val="0"/>
            <w:vAlign w:val="center"/>
          </w:tcPr>
          <w:p w14:paraId="06687AEF">
            <w:pPr>
              <w:spacing w:line="300" w:lineRule="exact"/>
              <w:jc w:val="center"/>
              <w:rPr>
                <w:rFonts w:eastAsia="楷体_GB2312"/>
                <w:szCs w:val="21"/>
              </w:rPr>
            </w:pPr>
            <w:r>
              <w:rPr>
                <w:rFonts w:hint="eastAsia" w:eastAsia="楷体_GB2312"/>
                <w:szCs w:val="21"/>
              </w:rPr>
              <w:t>2</w:t>
            </w:r>
          </w:p>
        </w:tc>
        <w:tc>
          <w:tcPr>
            <w:tcW w:w="0" w:type="auto"/>
            <w:noWrap w:val="0"/>
            <w:vAlign w:val="center"/>
          </w:tcPr>
          <w:p w14:paraId="0E2F6B36">
            <w:pPr>
              <w:spacing w:line="300" w:lineRule="exact"/>
              <w:jc w:val="center"/>
              <w:rPr>
                <w:rFonts w:eastAsia="楷体_GB2312"/>
                <w:szCs w:val="21"/>
              </w:rPr>
            </w:pPr>
            <w:r>
              <w:rPr>
                <w:rFonts w:hint="eastAsia" w:eastAsia="楷体_GB2312"/>
                <w:szCs w:val="21"/>
              </w:rPr>
              <w:t>4.8</w:t>
            </w:r>
          </w:p>
        </w:tc>
        <w:tc>
          <w:tcPr>
            <w:tcW w:w="0" w:type="auto"/>
            <w:noWrap w:val="0"/>
            <w:vAlign w:val="center"/>
          </w:tcPr>
          <w:p w14:paraId="1E75B11B">
            <w:pPr>
              <w:spacing w:line="300" w:lineRule="exact"/>
              <w:jc w:val="center"/>
              <w:rPr>
                <w:rFonts w:eastAsia="楷体_GB2312"/>
                <w:szCs w:val="21"/>
              </w:rPr>
            </w:pPr>
            <w:r>
              <w:rPr>
                <w:rFonts w:hint="eastAsia" w:eastAsia="楷体_GB2312"/>
                <w:szCs w:val="21"/>
              </w:rPr>
              <w:t>5.5</w:t>
            </w:r>
          </w:p>
        </w:tc>
      </w:tr>
      <w:tr w14:paraId="77465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noWrap w:val="0"/>
            <w:vAlign w:val="center"/>
          </w:tcPr>
          <w:p w14:paraId="433C842F">
            <w:pPr>
              <w:jc w:val="center"/>
              <w:rPr>
                <w:rFonts w:eastAsia="楷体_GB2312"/>
                <w:kern w:val="0"/>
                <w:szCs w:val="21"/>
              </w:rPr>
            </w:pPr>
            <w:r>
              <w:rPr>
                <w:rFonts w:eastAsia="楷体_GB2312"/>
                <w:kern w:val="0"/>
                <w:szCs w:val="21"/>
              </w:rPr>
              <w:t>6</w:t>
            </w:r>
          </w:p>
        </w:tc>
        <w:tc>
          <w:tcPr>
            <w:tcW w:w="0" w:type="auto"/>
            <w:noWrap w:val="0"/>
            <w:vAlign w:val="center"/>
          </w:tcPr>
          <w:p w14:paraId="4A4BE986">
            <w:pPr>
              <w:pStyle w:val="20"/>
              <w:jc w:val="center"/>
              <w:rPr>
                <w:rFonts w:ascii="Times New Roman" w:hAnsi="Times New Roman" w:eastAsia="楷体_GB2312" w:cs="Times New Roman"/>
              </w:rPr>
            </w:pPr>
            <w:r>
              <w:rPr>
                <w:rFonts w:ascii="Times New Roman" w:hAnsi="Times New Roman" w:eastAsia="楷体_GB2312" w:cs="Times New Roman"/>
              </w:rPr>
              <w:t>栏杆镇</w:t>
            </w:r>
          </w:p>
        </w:tc>
        <w:tc>
          <w:tcPr>
            <w:tcW w:w="0" w:type="auto"/>
            <w:noWrap w:val="0"/>
            <w:vAlign w:val="center"/>
          </w:tcPr>
          <w:p w14:paraId="01B958E4">
            <w:pPr>
              <w:spacing w:line="300" w:lineRule="exact"/>
              <w:jc w:val="center"/>
              <w:rPr>
                <w:rFonts w:eastAsia="楷体_GB2312"/>
                <w:szCs w:val="21"/>
              </w:rPr>
            </w:pPr>
            <w:r>
              <w:rPr>
                <w:rFonts w:hint="eastAsia" w:eastAsia="楷体_GB2312"/>
                <w:szCs w:val="21"/>
              </w:rPr>
              <w:t>0.91</w:t>
            </w:r>
          </w:p>
        </w:tc>
        <w:tc>
          <w:tcPr>
            <w:tcW w:w="0" w:type="auto"/>
            <w:noWrap w:val="0"/>
            <w:vAlign w:val="center"/>
          </w:tcPr>
          <w:p w14:paraId="2F627556">
            <w:pPr>
              <w:spacing w:line="300" w:lineRule="exact"/>
              <w:jc w:val="center"/>
              <w:rPr>
                <w:rFonts w:eastAsia="楷体_GB2312"/>
                <w:szCs w:val="21"/>
              </w:rPr>
            </w:pPr>
            <w:r>
              <w:rPr>
                <w:rFonts w:hint="eastAsia" w:eastAsia="楷体_GB2312"/>
                <w:szCs w:val="21"/>
              </w:rPr>
              <w:t>0.30</w:t>
            </w:r>
          </w:p>
        </w:tc>
        <w:tc>
          <w:tcPr>
            <w:tcW w:w="0" w:type="auto"/>
            <w:noWrap w:val="0"/>
            <w:vAlign w:val="center"/>
          </w:tcPr>
          <w:p w14:paraId="42E469B1">
            <w:pPr>
              <w:spacing w:line="300" w:lineRule="exact"/>
              <w:jc w:val="center"/>
              <w:rPr>
                <w:rFonts w:eastAsia="楷体_GB2312"/>
                <w:szCs w:val="21"/>
              </w:rPr>
            </w:pPr>
            <w:r>
              <w:rPr>
                <w:rFonts w:hint="eastAsia" w:eastAsia="楷体_GB2312"/>
                <w:szCs w:val="21"/>
              </w:rPr>
              <w:t>2.2</w:t>
            </w:r>
          </w:p>
        </w:tc>
      </w:tr>
      <w:tr w14:paraId="54DFB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noWrap w:val="0"/>
            <w:vAlign w:val="center"/>
          </w:tcPr>
          <w:p w14:paraId="4BBDF890">
            <w:pPr>
              <w:jc w:val="center"/>
              <w:rPr>
                <w:rFonts w:eastAsia="楷体_GB2312"/>
                <w:kern w:val="0"/>
                <w:szCs w:val="21"/>
              </w:rPr>
            </w:pPr>
            <w:r>
              <w:rPr>
                <w:rFonts w:eastAsia="楷体_GB2312"/>
                <w:kern w:val="0"/>
                <w:szCs w:val="21"/>
              </w:rPr>
              <w:t>7</w:t>
            </w:r>
          </w:p>
        </w:tc>
        <w:tc>
          <w:tcPr>
            <w:tcW w:w="0" w:type="auto"/>
            <w:noWrap w:val="0"/>
            <w:vAlign w:val="center"/>
          </w:tcPr>
          <w:p w14:paraId="2D3FFE3F">
            <w:pPr>
              <w:pStyle w:val="20"/>
              <w:jc w:val="center"/>
              <w:rPr>
                <w:rFonts w:ascii="Times New Roman" w:hAnsi="Times New Roman" w:eastAsia="楷体_GB2312" w:cs="Times New Roman"/>
              </w:rPr>
            </w:pPr>
            <w:r>
              <w:rPr>
                <w:rFonts w:ascii="Times New Roman" w:hAnsi="Times New Roman" w:eastAsia="楷体_GB2312" w:cs="Times New Roman"/>
              </w:rPr>
              <w:t>时村镇</w:t>
            </w:r>
          </w:p>
        </w:tc>
        <w:tc>
          <w:tcPr>
            <w:tcW w:w="0" w:type="auto"/>
            <w:noWrap w:val="0"/>
            <w:vAlign w:val="center"/>
          </w:tcPr>
          <w:p w14:paraId="2960AFE8">
            <w:pPr>
              <w:spacing w:line="300" w:lineRule="exact"/>
              <w:jc w:val="center"/>
              <w:rPr>
                <w:rFonts w:eastAsia="楷体_GB2312"/>
                <w:szCs w:val="21"/>
              </w:rPr>
            </w:pPr>
            <w:r>
              <w:rPr>
                <w:rFonts w:hint="eastAsia" w:eastAsia="楷体_GB2312"/>
                <w:szCs w:val="21"/>
              </w:rPr>
              <w:t>12.5</w:t>
            </w:r>
          </w:p>
        </w:tc>
        <w:tc>
          <w:tcPr>
            <w:tcW w:w="0" w:type="auto"/>
            <w:noWrap w:val="0"/>
            <w:vAlign w:val="center"/>
          </w:tcPr>
          <w:p w14:paraId="590399E5">
            <w:pPr>
              <w:spacing w:line="300" w:lineRule="exact"/>
              <w:jc w:val="center"/>
              <w:rPr>
                <w:rFonts w:eastAsia="楷体_GB2312"/>
                <w:szCs w:val="21"/>
              </w:rPr>
            </w:pPr>
            <w:r>
              <w:rPr>
                <w:rFonts w:hint="eastAsia" w:eastAsia="楷体_GB2312"/>
                <w:szCs w:val="21"/>
              </w:rPr>
              <w:t>2.66</w:t>
            </w:r>
          </w:p>
        </w:tc>
        <w:tc>
          <w:tcPr>
            <w:tcW w:w="0" w:type="auto"/>
            <w:noWrap w:val="0"/>
            <w:vAlign w:val="center"/>
          </w:tcPr>
          <w:p w14:paraId="67611FB5">
            <w:pPr>
              <w:spacing w:line="300" w:lineRule="exact"/>
              <w:jc w:val="center"/>
              <w:rPr>
                <w:rFonts w:eastAsia="楷体_GB2312"/>
                <w:szCs w:val="21"/>
              </w:rPr>
            </w:pPr>
            <w:r>
              <w:rPr>
                <w:rFonts w:hint="eastAsia" w:eastAsia="楷体_GB2312"/>
                <w:szCs w:val="21"/>
              </w:rPr>
              <w:t>2.22</w:t>
            </w:r>
          </w:p>
        </w:tc>
      </w:tr>
      <w:tr w14:paraId="6E165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noWrap w:val="0"/>
            <w:vAlign w:val="center"/>
          </w:tcPr>
          <w:p w14:paraId="1B94D96C">
            <w:pPr>
              <w:jc w:val="center"/>
              <w:rPr>
                <w:rFonts w:eastAsia="楷体_GB2312"/>
                <w:kern w:val="0"/>
                <w:szCs w:val="21"/>
              </w:rPr>
            </w:pPr>
            <w:r>
              <w:rPr>
                <w:rFonts w:eastAsia="楷体_GB2312"/>
                <w:kern w:val="0"/>
                <w:szCs w:val="21"/>
              </w:rPr>
              <w:t>8</w:t>
            </w:r>
          </w:p>
        </w:tc>
        <w:tc>
          <w:tcPr>
            <w:tcW w:w="0" w:type="auto"/>
            <w:noWrap w:val="0"/>
            <w:vAlign w:val="center"/>
          </w:tcPr>
          <w:p w14:paraId="350CEBC0">
            <w:pPr>
              <w:pStyle w:val="20"/>
              <w:jc w:val="center"/>
              <w:rPr>
                <w:rFonts w:ascii="Times New Roman" w:hAnsi="Times New Roman" w:eastAsia="楷体_GB2312" w:cs="Times New Roman"/>
              </w:rPr>
            </w:pPr>
            <w:r>
              <w:rPr>
                <w:rFonts w:ascii="Times New Roman" w:hAnsi="Times New Roman" w:eastAsia="楷体_GB2312" w:cs="Times New Roman"/>
              </w:rPr>
              <w:t>夹沟镇</w:t>
            </w:r>
          </w:p>
        </w:tc>
        <w:tc>
          <w:tcPr>
            <w:tcW w:w="0" w:type="auto"/>
            <w:noWrap w:val="0"/>
            <w:vAlign w:val="center"/>
          </w:tcPr>
          <w:p w14:paraId="135F47C9">
            <w:pPr>
              <w:spacing w:line="300" w:lineRule="exact"/>
              <w:jc w:val="center"/>
              <w:rPr>
                <w:rFonts w:eastAsia="楷体_GB2312"/>
                <w:szCs w:val="21"/>
              </w:rPr>
            </w:pPr>
          </w:p>
        </w:tc>
        <w:tc>
          <w:tcPr>
            <w:tcW w:w="0" w:type="auto"/>
            <w:noWrap w:val="0"/>
            <w:vAlign w:val="center"/>
          </w:tcPr>
          <w:p w14:paraId="274951E2">
            <w:pPr>
              <w:spacing w:line="300" w:lineRule="exact"/>
              <w:jc w:val="center"/>
              <w:rPr>
                <w:rFonts w:eastAsia="楷体_GB2312"/>
                <w:szCs w:val="21"/>
              </w:rPr>
            </w:pPr>
            <w:r>
              <w:rPr>
                <w:rFonts w:hint="eastAsia" w:eastAsia="楷体_GB2312"/>
                <w:szCs w:val="21"/>
              </w:rPr>
              <w:t>1.41</w:t>
            </w:r>
          </w:p>
        </w:tc>
        <w:tc>
          <w:tcPr>
            <w:tcW w:w="0" w:type="auto"/>
            <w:noWrap w:val="0"/>
            <w:vAlign w:val="center"/>
          </w:tcPr>
          <w:p w14:paraId="6EA63D60">
            <w:pPr>
              <w:spacing w:line="300" w:lineRule="exact"/>
              <w:jc w:val="center"/>
              <w:rPr>
                <w:rFonts w:eastAsia="楷体_GB2312"/>
                <w:szCs w:val="21"/>
              </w:rPr>
            </w:pPr>
            <w:r>
              <w:rPr>
                <w:rFonts w:hint="eastAsia" w:eastAsia="楷体_GB2312"/>
                <w:szCs w:val="21"/>
              </w:rPr>
              <w:t>8.69</w:t>
            </w:r>
          </w:p>
        </w:tc>
      </w:tr>
      <w:tr w14:paraId="0F71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noWrap w:val="0"/>
            <w:vAlign w:val="center"/>
          </w:tcPr>
          <w:p w14:paraId="6DDA6A92">
            <w:pPr>
              <w:jc w:val="center"/>
              <w:rPr>
                <w:rFonts w:eastAsia="楷体_GB2312"/>
                <w:kern w:val="0"/>
                <w:szCs w:val="21"/>
              </w:rPr>
            </w:pPr>
            <w:r>
              <w:rPr>
                <w:rFonts w:eastAsia="楷体_GB2312"/>
                <w:kern w:val="0"/>
                <w:szCs w:val="21"/>
              </w:rPr>
              <w:t>9</w:t>
            </w:r>
          </w:p>
        </w:tc>
        <w:tc>
          <w:tcPr>
            <w:tcW w:w="0" w:type="auto"/>
            <w:noWrap w:val="0"/>
            <w:vAlign w:val="center"/>
          </w:tcPr>
          <w:p w14:paraId="76654C48">
            <w:pPr>
              <w:pStyle w:val="20"/>
              <w:jc w:val="center"/>
              <w:rPr>
                <w:rFonts w:ascii="Times New Roman" w:hAnsi="Times New Roman" w:eastAsia="楷体_GB2312" w:cs="Times New Roman"/>
              </w:rPr>
            </w:pPr>
            <w:r>
              <w:rPr>
                <w:rFonts w:ascii="Times New Roman" w:hAnsi="Times New Roman" w:eastAsia="楷体_GB2312" w:cs="Times New Roman"/>
              </w:rPr>
              <w:t>西二铺乡</w:t>
            </w:r>
          </w:p>
        </w:tc>
        <w:tc>
          <w:tcPr>
            <w:tcW w:w="0" w:type="auto"/>
            <w:noWrap w:val="0"/>
            <w:vAlign w:val="center"/>
          </w:tcPr>
          <w:p w14:paraId="2DDA1091">
            <w:pPr>
              <w:spacing w:line="300" w:lineRule="exact"/>
              <w:jc w:val="center"/>
              <w:rPr>
                <w:rFonts w:eastAsia="楷体_GB2312"/>
                <w:szCs w:val="21"/>
              </w:rPr>
            </w:pPr>
            <w:r>
              <w:rPr>
                <w:rFonts w:hint="eastAsia" w:eastAsia="楷体_GB2312"/>
                <w:szCs w:val="21"/>
              </w:rPr>
              <w:t>3</w:t>
            </w:r>
          </w:p>
        </w:tc>
        <w:tc>
          <w:tcPr>
            <w:tcW w:w="0" w:type="auto"/>
            <w:noWrap w:val="0"/>
            <w:vAlign w:val="center"/>
          </w:tcPr>
          <w:p w14:paraId="2A269B34">
            <w:pPr>
              <w:spacing w:line="300" w:lineRule="exact"/>
              <w:jc w:val="center"/>
              <w:rPr>
                <w:rFonts w:eastAsia="楷体_GB2312"/>
                <w:szCs w:val="21"/>
              </w:rPr>
            </w:pPr>
          </w:p>
        </w:tc>
        <w:tc>
          <w:tcPr>
            <w:tcW w:w="0" w:type="auto"/>
            <w:noWrap w:val="0"/>
            <w:vAlign w:val="center"/>
          </w:tcPr>
          <w:p w14:paraId="4A37CA34">
            <w:pPr>
              <w:spacing w:line="300" w:lineRule="exact"/>
              <w:jc w:val="center"/>
              <w:rPr>
                <w:rFonts w:eastAsia="楷体_GB2312"/>
                <w:szCs w:val="21"/>
              </w:rPr>
            </w:pPr>
            <w:r>
              <w:rPr>
                <w:rFonts w:hint="eastAsia" w:eastAsia="楷体_GB2312"/>
                <w:szCs w:val="21"/>
              </w:rPr>
              <w:t>4.43</w:t>
            </w:r>
          </w:p>
        </w:tc>
      </w:tr>
      <w:tr w14:paraId="1CDE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noWrap w:val="0"/>
            <w:vAlign w:val="center"/>
          </w:tcPr>
          <w:p w14:paraId="12DE38F0">
            <w:pPr>
              <w:jc w:val="center"/>
              <w:rPr>
                <w:rFonts w:eastAsia="楷体_GB2312"/>
                <w:kern w:val="0"/>
                <w:szCs w:val="21"/>
              </w:rPr>
            </w:pPr>
            <w:r>
              <w:rPr>
                <w:rFonts w:eastAsia="楷体_GB2312"/>
                <w:kern w:val="0"/>
                <w:szCs w:val="21"/>
              </w:rPr>
              <w:t>10</w:t>
            </w:r>
          </w:p>
        </w:tc>
        <w:tc>
          <w:tcPr>
            <w:tcW w:w="0" w:type="auto"/>
            <w:noWrap w:val="0"/>
            <w:vAlign w:val="center"/>
          </w:tcPr>
          <w:p w14:paraId="2374C400">
            <w:pPr>
              <w:pStyle w:val="20"/>
              <w:jc w:val="center"/>
              <w:rPr>
                <w:rFonts w:ascii="Times New Roman" w:hAnsi="Times New Roman" w:eastAsia="楷体_GB2312" w:cs="Times New Roman"/>
              </w:rPr>
            </w:pPr>
            <w:r>
              <w:rPr>
                <w:rFonts w:ascii="Times New Roman" w:hAnsi="Times New Roman" w:eastAsia="楷体_GB2312" w:cs="Times New Roman"/>
              </w:rPr>
              <w:t>桃园镇</w:t>
            </w:r>
          </w:p>
        </w:tc>
        <w:tc>
          <w:tcPr>
            <w:tcW w:w="0" w:type="auto"/>
            <w:noWrap w:val="0"/>
            <w:vAlign w:val="center"/>
          </w:tcPr>
          <w:p w14:paraId="2A82D4A3">
            <w:pPr>
              <w:spacing w:line="300" w:lineRule="exact"/>
              <w:jc w:val="center"/>
              <w:rPr>
                <w:rFonts w:eastAsia="楷体_GB2312"/>
                <w:szCs w:val="21"/>
              </w:rPr>
            </w:pPr>
          </w:p>
        </w:tc>
        <w:tc>
          <w:tcPr>
            <w:tcW w:w="0" w:type="auto"/>
            <w:noWrap w:val="0"/>
            <w:vAlign w:val="center"/>
          </w:tcPr>
          <w:p w14:paraId="56EF8000">
            <w:pPr>
              <w:spacing w:line="300" w:lineRule="exact"/>
              <w:jc w:val="center"/>
              <w:rPr>
                <w:rFonts w:eastAsia="楷体_GB2312"/>
                <w:szCs w:val="21"/>
              </w:rPr>
            </w:pPr>
          </w:p>
        </w:tc>
        <w:tc>
          <w:tcPr>
            <w:tcW w:w="0" w:type="auto"/>
            <w:noWrap w:val="0"/>
            <w:vAlign w:val="center"/>
          </w:tcPr>
          <w:p w14:paraId="71AADA16">
            <w:pPr>
              <w:spacing w:line="300" w:lineRule="exact"/>
              <w:jc w:val="center"/>
              <w:rPr>
                <w:rFonts w:eastAsia="楷体_GB2312"/>
                <w:szCs w:val="21"/>
              </w:rPr>
            </w:pPr>
            <w:r>
              <w:rPr>
                <w:rFonts w:hint="eastAsia" w:eastAsia="楷体_GB2312"/>
                <w:szCs w:val="21"/>
              </w:rPr>
              <w:t>6.32</w:t>
            </w:r>
          </w:p>
        </w:tc>
      </w:tr>
      <w:tr w14:paraId="7A96E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noWrap w:val="0"/>
            <w:vAlign w:val="center"/>
          </w:tcPr>
          <w:p w14:paraId="3A99A391">
            <w:pPr>
              <w:jc w:val="center"/>
              <w:rPr>
                <w:rFonts w:eastAsia="楷体_GB2312"/>
                <w:kern w:val="0"/>
                <w:szCs w:val="21"/>
              </w:rPr>
            </w:pPr>
            <w:r>
              <w:rPr>
                <w:rFonts w:eastAsia="楷体_GB2312"/>
                <w:kern w:val="0"/>
                <w:szCs w:val="21"/>
              </w:rPr>
              <w:t>11</w:t>
            </w:r>
          </w:p>
        </w:tc>
        <w:tc>
          <w:tcPr>
            <w:tcW w:w="0" w:type="auto"/>
            <w:noWrap w:val="0"/>
            <w:vAlign w:val="center"/>
          </w:tcPr>
          <w:p w14:paraId="799F6694">
            <w:pPr>
              <w:pStyle w:val="20"/>
              <w:jc w:val="center"/>
              <w:rPr>
                <w:rFonts w:ascii="Times New Roman" w:hAnsi="Times New Roman" w:eastAsia="楷体_GB2312" w:cs="Times New Roman"/>
              </w:rPr>
            </w:pPr>
            <w:r>
              <w:rPr>
                <w:rFonts w:ascii="Times New Roman" w:hAnsi="Times New Roman" w:eastAsia="楷体_GB2312" w:cs="Times New Roman"/>
              </w:rPr>
              <w:t>曹村镇</w:t>
            </w:r>
          </w:p>
        </w:tc>
        <w:tc>
          <w:tcPr>
            <w:tcW w:w="0" w:type="auto"/>
            <w:noWrap w:val="0"/>
            <w:vAlign w:val="center"/>
          </w:tcPr>
          <w:p w14:paraId="3F00DFE2">
            <w:pPr>
              <w:spacing w:line="300" w:lineRule="exact"/>
              <w:jc w:val="center"/>
              <w:rPr>
                <w:rFonts w:eastAsia="楷体_GB2312"/>
                <w:szCs w:val="21"/>
              </w:rPr>
            </w:pPr>
            <w:r>
              <w:rPr>
                <w:rFonts w:hint="eastAsia" w:eastAsia="楷体_GB2312"/>
                <w:szCs w:val="21"/>
              </w:rPr>
              <w:t>3.01</w:t>
            </w:r>
          </w:p>
        </w:tc>
        <w:tc>
          <w:tcPr>
            <w:tcW w:w="0" w:type="auto"/>
            <w:noWrap w:val="0"/>
            <w:vAlign w:val="center"/>
          </w:tcPr>
          <w:p w14:paraId="4604D1D0">
            <w:pPr>
              <w:spacing w:line="300" w:lineRule="exact"/>
              <w:jc w:val="center"/>
              <w:rPr>
                <w:rFonts w:eastAsia="楷体_GB2312"/>
                <w:szCs w:val="21"/>
              </w:rPr>
            </w:pPr>
          </w:p>
        </w:tc>
        <w:tc>
          <w:tcPr>
            <w:tcW w:w="0" w:type="auto"/>
            <w:noWrap w:val="0"/>
            <w:vAlign w:val="center"/>
          </w:tcPr>
          <w:p w14:paraId="4E826A09">
            <w:pPr>
              <w:spacing w:line="300" w:lineRule="exact"/>
              <w:jc w:val="center"/>
              <w:rPr>
                <w:rFonts w:eastAsia="楷体_GB2312"/>
                <w:szCs w:val="21"/>
              </w:rPr>
            </w:pPr>
            <w:r>
              <w:rPr>
                <w:rFonts w:hint="eastAsia" w:eastAsia="楷体_GB2312"/>
                <w:szCs w:val="21"/>
              </w:rPr>
              <w:t>26.12</w:t>
            </w:r>
          </w:p>
        </w:tc>
      </w:tr>
      <w:tr w14:paraId="662D3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noWrap w:val="0"/>
            <w:vAlign w:val="center"/>
          </w:tcPr>
          <w:p w14:paraId="0949F86D">
            <w:pPr>
              <w:jc w:val="center"/>
              <w:rPr>
                <w:rFonts w:eastAsia="楷体_GB2312"/>
                <w:kern w:val="0"/>
                <w:szCs w:val="21"/>
              </w:rPr>
            </w:pPr>
            <w:r>
              <w:rPr>
                <w:rFonts w:eastAsia="楷体_GB2312"/>
                <w:kern w:val="0"/>
                <w:szCs w:val="21"/>
              </w:rPr>
              <w:t>12</w:t>
            </w:r>
          </w:p>
        </w:tc>
        <w:tc>
          <w:tcPr>
            <w:tcW w:w="0" w:type="auto"/>
            <w:noWrap w:val="0"/>
            <w:vAlign w:val="center"/>
          </w:tcPr>
          <w:p w14:paraId="48CB3BBD">
            <w:pPr>
              <w:pStyle w:val="20"/>
              <w:jc w:val="center"/>
              <w:rPr>
                <w:rFonts w:ascii="Times New Roman" w:hAnsi="Times New Roman" w:eastAsia="楷体_GB2312" w:cs="Times New Roman"/>
              </w:rPr>
            </w:pPr>
            <w:r>
              <w:rPr>
                <w:rFonts w:ascii="Times New Roman" w:hAnsi="Times New Roman" w:eastAsia="楷体_GB2312" w:cs="Times New Roman"/>
              </w:rPr>
              <w:t>大营镇</w:t>
            </w:r>
          </w:p>
        </w:tc>
        <w:tc>
          <w:tcPr>
            <w:tcW w:w="0" w:type="auto"/>
            <w:noWrap w:val="0"/>
            <w:vAlign w:val="center"/>
          </w:tcPr>
          <w:p w14:paraId="4DFE8D79">
            <w:pPr>
              <w:spacing w:line="300" w:lineRule="exact"/>
              <w:jc w:val="center"/>
              <w:rPr>
                <w:rFonts w:eastAsia="楷体_GB2312"/>
                <w:szCs w:val="21"/>
              </w:rPr>
            </w:pPr>
            <w:r>
              <w:rPr>
                <w:rFonts w:hint="eastAsia" w:eastAsia="楷体_GB2312"/>
                <w:szCs w:val="21"/>
              </w:rPr>
              <w:t>0.53</w:t>
            </w:r>
          </w:p>
        </w:tc>
        <w:tc>
          <w:tcPr>
            <w:tcW w:w="0" w:type="auto"/>
            <w:noWrap w:val="0"/>
            <w:vAlign w:val="center"/>
          </w:tcPr>
          <w:p w14:paraId="4C96F52F">
            <w:pPr>
              <w:spacing w:line="300" w:lineRule="exact"/>
              <w:jc w:val="center"/>
              <w:rPr>
                <w:rFonts w:eastAsia="楷体_GB2312"/>
                <w:szCs w:val="21"/>
              </w:rPr>
            </w:pPr>
            <w:r>
              <w:rPr>
                <w:rFonts w:hint="eastAsia" w:eastAsia="楷体_GB2312"/>
                <w:szCs w:val="21"/>
              </w:rPr>
              <w:t>2.75</w:t>
            </w:r>
          </w:p>
        </w:tc>
        <w:tc>
          <w:tcPr>
            <w:tcW w:w="0" w:type="auto"/>
            <w:noWrap w:val="0"/>
            <w:vAlign w:val="center"/>
          </w:tcPr>
          <w:p w14:paraId="4BDD0769">
            <w:pPr>
              <w:spacing w:line="300" w:lineRule="exact"/>
              <w:jc w:val="center"/>
              <w:rPr>
                <w:rFonts w:eastAsia="楷体_GB2312"/>
                <w:szCs w:val="21"/>
              </w:rPr>
            </w:pPr>
            <w:r>
              <w:rPr>
                <w:rFonts w:hint="eastAsia" w:eastAsia="楷体_GB2312"/>
                <w:szCs w:val="21"/>
              </w:rPr>
              <w:t>2.55</w:t>
            </w:r>
          </w:p>
        </w:tc>
      </w:tr>
      <w:tr w14:paraId="2DFE9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noWrap w:val="0"/>
            <w:vAlign w:val="center"/>
          </w:tcPr>
          <w:p w14:paraId="5144BEFD">
            <w:pPr>
              <w:jc w:val="center"/>
              <w:rPr>
                <w:rFonts w:eastAsia="楷体_GB2312"/>
                <w:kern w:val="0"/>
                <w:szCs w:val="21"/>
              </w:rPr>
            </w:pPr>
            <w:r>
              <w:rPr>
                <w:rFonts w:eastAsia="楷体_GB2312"/>
                <w:kern w:val="0"/>
                <w:szCs w:val="21"/>
              </w:rPr>
              <w:t>13</w:t>
            </w:r>
          </w:p>
        </w:tc>
        <w:tc>
          <w:tcPr>
            <w:tcW w:w="0" w:type="auto"/>
            <w:noWrap w:val="0"/>
            <w:vAlign w:val="center"/>
          </w:tcPr>
          <w:p w14:paraId="00C01988">
            <w:pPr>
              <w:pStyle w:val="20"/>
              <w:jc w:val="center"/>
              <w:rPr>
                <w:rFonts w:ascii="Times New Roman" w:hAnsi="Times New Roman" w:eastAsia="楷体_GB2312" w:cs="Times New Roman"/>
              </w:rPr>
            </w:pPr>
            <w:r>
              <w:rPr>
                <w:rFonts w:ascii="Times New Roman" w:hAnsi="Times New Roman" w:eastAsia="楷体_GB2312" w:cs="Times New Roman"/>
              </w:rPr>
              <w:t>褚兰镇</w:t>
            </w:r>
          </w:p>
        </w:tc>
        <w:tc>
          <w:tcPr>
            <w:tcW w:w="0" w:type="auto"/>
            <w:noWrap w:val="0"/>
            <w:vAlign w:val="center"/>
          </w:tcPr>
          <w:p w14:paraId="2C45CE94">
            <w:pPr>
              <w:spacing w:line="300" w:lineRule="exact"/>
              <w:jc w:val="center"/>
              <w:rPr>
                <w:rFonts w:eastAsia="楷体_GB2312"/>
                <w:szCs w:val="21"/>
              </w:rPr>
            </w:pPr>
          </w:p>
        </w:tc>
        <w:tc>
          <w:tcPr>
            <w:tcW w:w="0" w:type="auto"/>
            <w:noWrap w:val="0"/>
            <w:vAlign w:val="center"/>
          </w:tcPr>
          <w:p w14:paraId="3EC62C87">
            <w:pPr>
              <w:spacing w:line="300" w:lineRule="exact"/>
              <w:jc w:val="center"/>
              <w:rPr>
                <w:rFonts w:eastAsia="楷体_GB2312"/>
                <w:szCs w:val="21"/>
              </w:rPr>
            </w:pPr>
            <w:r>
              <w:rPr>
                <w:rFonts w:hint="eastAsia" w:eastAsia="楷体_GB2312"/>
                <w:szCs w:val="21"/>
              </w:rPr>
              <w:t>3.05</w:t>
            </w:r>
          </w:p>
        </w:tc>
        <w:tc>
          <w:tcPr>
            <w:tcW w:w="0" w:type="auto"/>
            <w:noWrap w:val="0"/>
            <w:vAlign w:val="center"/>
          </w:tcPr>
          <w:p w14:paraId="0A033674">
            <w:pPr>
              <w:spacing w:line="300" w:lineRule="exact"/>
              <w:jc w:val="center"/>
              <w:rPr>
                <w:rFonts w:eastAsia="楷体_GB2312"/>
                <w:szCs w:val="21"/>
              </w:rPr>
            </w:pPr>
          </w:p>
        </w:tc>
      </w:tr>
      <w:tr w14:paraId="040EC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noWrap w:val="0"/>
            <w:vAlign w:val="center"/>
          </w:tcPr>
          <w:p w14:paraId="0670297A">
            <w:pPr>
              <w:jc w:val="center"/>
              <w:rPr>
                <w:rFonts w:eastAsia="楷体_GB2312"/>
                <w:kern w:val="0"/>
                <w:szCs w:val="21"/>
              </w:rPr>
            </w:pPr>
            <w:r>
              <w:rPr>
                <w:rFonts w:eastAsia="楷体_GB2312"/>
                <w:kern w:val="0"/>
                <w:szCs w:val="21"/>
              </w:rPr>
              <w:t>14</w:t>
            </w:r>
          </w:p>
        </w:tc>
        <w:tc>
          <w:tcPr>
            <w:tcW w:w="0" w:type="auto"/>
            <w:noWrap w:val="0"/>
            <w:vAlign w:val="center"/>
          </w:tcPr>
          <w:p w14:paraId="7A5CF6ED">
            <w:pPr>
              <w:pStyle w:val="20"/>
              <w:jc w:val="center"/>
              <w:rPr>
                <w:rFonts w:ascii="Times New Roman" w:hAnsi="Times New Roman" w:eastAsia="楷体_GB2312" w:cs="Times New Roman"/>
              </w:rPr>
            </w:pPr>
            <w:r>
              <w:rPr>
                <w:rFonts w:ascii="Times New Roman" w:hAnsi="Times New Roman" w:eastAsia="楷体_GB2312" w:cs="Times New Roman"/>
              </w:rPr>
              <w:t>顺河镇</w:t>
            </w:r>
          </w:p>
        </w:tc>
        <w:tc>
          <w:tcPr>
            <w:tcW w:w="0" w:type="auto"/>
            <w:noWrap w:val="0"/>
            <w:vAlign w:val="center"/>
          </w:tcPr>
          <w:p w14:paraId="197293DF">
            <w:pPr>
              <w:spacing w:line="300" w:lineRule="exact"/>
              <w:jc w:val="center"/>
              <w:rPr>
                <w:rFonts w:eastAsia="楷体_GB2312"/>
                <w:szCs w:val="21"/>
              </w:rPr>
            </w:pPr>
            <w:r>
              <w:rPr>
                <w:rFonts w:hint="eastAsia" w:eastAsia="楷体_GB2312"/>
                <w:szCs w:val="21"/>
              </w:rPr>
              <w:t>2</w:t>
            </w:r>
          </w:p>
        </w:tc>
        <w:tc>
          <w:tcPr>
            <w:tcW w:w="0" w:type="auto"/>
            <w:noWrap w:val="0"/>
            <w:vAlign w:val="center"/>
          </w:tcPr>
          <w:p w14:paraId="108653CE">
            <w:pPr>
              <w:spacing w:line="300" w:lineRule="exact"/>
              <w:jc w:val="center"/>
              <w:rPr>
                <w:rFonts w:eastAsia="楷体_GB2312"/>
                <w:szCs w:val="21"/>
              </w:rPr>
            </w:pPr>
            <w:r>
              <w:rPr>
                <w:rFonts w:hint="eastAsia" w:eastAsia="楷体_GB2312"/>
                <w:szCs w:val="21"/>
              </w:rPr>
              <w:t>3.5</w:t>
            </w:r>
          </w:p>
        </w:tc>
        <w:tc>
          <w:tcPr>
            <w:tcW w:w="0" w:type="auto"/>
            <w:noWrap w:val="0"/>
            <w:vAlign w:val="center"/>
          </w:tcPr>
          <w:p w14:paraId="0088752F">
            <w:pPr>
              <w:spacing w:line="300" w:lineRule="exact"/>
              <w:jc w:val="center"/>
              <w:rPr>
                <w:rFonts w:eastAsia="楷体_GB2312"/>
                <w:szCs w:val="21"/>
              </w:rPr>
            </w:pPr>
            <w:r>
              <w:rPr>
                <w:rFonts w:hint="eastAsia" w:eastAsia="楷体_GB2312"/>
                <w:szCs w:val="21"/>
              </w:rPr>
              <w:t>45</w:t>
            </w:r>
          </w:p>
        </w:tc>
      </w:tr>
      <w:tr w14:paraId="08B6A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noWrap w:val="0"/>
            <w:vAlign w:val="center"/>
          </w:tcPr>
          <w:p w14:paraId="269D609E">
            <w:pPr>
              <w:jc w:val="center"/>
              <w:rPr>
                <w:rFonts w:eastAsia="楷体_GB2312"/>
                <w:kern w:val="0"/>
                <w:szCs w:val="21"/>
              </w:rPr>
            </w:pPr>
            <w:r>
              <w:rPr>
                <w:rFonts w:eastAsia="楷体_GB2312"/>
                <w:kern w:val="0"/>
                <w:szCs w:val="21"/>
              </w:rPr>
              <w:t>15</w:t>
            </w:r>
          </w:p>
        </w:tc>
        <w:tc>
          <w:tcPr>
            <w:tcW w:w="0" w:type="auto"/>
            <w:noWrap w:val="0"/>
            <w:vAlign w:val="center"/>
          </w:tcPr>
          <w:p w14:paraId="7298DD8E">
            <w:pPr>
              <w:pStyle w:val="20"/>
              <w:jc w:val="center"/>
              <w:rPr>
                <w:rFonts w:ascii="Times New Roman" w:hAnsi="Times New Roman" w:eastAsia="楷体_GB2312" w:cs="Times New Roman"/>
              </w:rPr>
            </w:pPr>
            <w:r>
              <w:rPr>
                <w:rFonts w:ascii="Times New Roman" w:hAnsi="Times New Roman" w:eastAsia="楷体_GB2312" w:cs="Times New Roman"/>
              </w:rPr>
              <w:t>杨庄镇</w:t>
            </w:r>
          </w:p>
        </w:tc>
        <w:tc>
          <w:tcPr>
            <w:tcW w:w="0" w:type="auto"/>
            <w:noWrap w:val="0"/>
            <w:vAlign w:val="center"/>
          </w:tcPr>
          <w:p w14:paraId="56B98F64">
            <w:pPr>
              <w:spacing w:line="300" w:lineRule="exact"/>
              <w:jc w:val="center"/>
              <w:rPr>
                <w:rFonts w:eastAsia="楷体_GB2312"/>
                <w:szCs w:val="21"/>
              </w:rPr>
            </w:pPr>
            <w:r>
              <w:rPr>
                <w:rFonts w:hint="eastAsia" w:eastAsia="楷体_GB2312"/>
                <w:szCs w:val="21"/>
              </w:rPr>
              <w:t>2.1</w:t>
            </w:r>
          </w:p>
        </w:tc>
        <w:tc>
          <w:tcPr>
            <w:tcW w:w="0" w:type="auto"/>
            <w:noWrap w:val="0"/>
            <w:vAlign w:val="center"/>
          </w:tcPr>
          <w:p w14:paraId="113CC5A3">
            <w:pPr>
              <w:spacing w:line="300" w:lineRule="exact"/>
              <w:jc w:val="center"/>
              <w:rPr>
                <w:rFonts w:eastAsia="楷体_GB2312"/>
                <w:szCs w:val="21"/>
              </w:rPr>
            </w:pPr>
            <w:r>
              <w:rPr>
                <w:rFonts w:hint="eastAsia" w:eastAsia="楷体_GB2312"/>
                <w:szCs w:val="21"/>
              </w:rPr>
              <w:t>1.5</w:t>
            </w:r>
          </w:p>
        </w:tc>
        <w:tc>
          <w:tcPr>
            <w:tcW w:w="0" w:type="auto"/>
            <w:noWrap w:val="0"/>
            <w:vAlign w:val="center"/>
          </w:tcPr>
          <w:p w14:paraId="7E6E33AF">
            <w:pPr>
              <w:spacing w:line="300" w:lineRule="exact"/>
              <w:jc w:val="center"/>
              <w:rPr>
                <w:rFonts w:eastAsia="楷体_GB2312"/>
                <w:szCs w:val="21"/>
              </w:rPr>
            </w:pPr>
            <w:r>
              <w:rPr>
                <w:rFonts w:hint="eastAsia" w:eastAsia="楷体_GB2312"/>
                <w:szCs w:val="21"/>
              </w:rPr>
              <w:t>16</w:t>
            </w:r>
          </w:p>
        </w:tc>
      </w:tr>
      <w:tr w14:paraId="752B8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noWrap w:val="0"/>
            <w:vAlign w:val="center"/>
          </w:tcPr>
          <w:p w14:paraId="5BCA95E5">
            <w:pPr>
              <w:jc w:val="center"/>
              <w:rPr>
                <w:rFonts w:eastAsia="楷体_GB2312"/>
                <w:kern w:val="0"/>
                <w:szCs w:val="21"/>
              </w:rPr>
            </w:pPr>
            <w:r>
              <w:rPr>
                <w:rFonts w:eastAsia="楷体_GB2312"/>
                <w:kern w:val="0"/>
                <w:szCs w:val="21"/>
              </w:rPr>
              <w:t>16</w:t>
            </w:r>
          </w:p>
        </w:tc>
        <w:tc>
          <w:tcPr>
            <w:tcW w:w="0" w:type="auto"/>
            <w:noWrap w:val="0"/>
            <w:vAlign w:val="center"/>
          </w:tcPr>
          <w:p w14:paraId="72A3A662">
            <w:pPr>
              <w:pStyle w:val="20"/>
              <w:jc w:val="center"/>
              <w:rPr>
                <w:rFonts w:ascii="Times New Roman" w:hAnsi="Times New Roman" w:eastAsia="楷体_GB2312" w:cs="Times New Roman"/>
              </w:rPr>
            </w:pPr>
            <w:r>
              <w:rPr>
                <w:rFonts w:ascii="Times New Roman" w:hAnsi="Times New Roman" w:eastAsia="楷体_GB2312" w:cs="Times New Roman"/>
              </w:rPr>
              <w:t>永镇乡</w:t>
            </w:r>
          </w:p>
        </w:tc>
        <w:tc>
          <w:tcPr>
            <w:tcW w:w="0" w:type="auto"/>
            <w:noWrap w:val="0"/>
            <w:vAlign w:val="center"/>
          </w:tcPr>
          <w:p w14:paraId="7C681611">
            <w:pPr>
              <w:spacing w:line="300" w:lineRule="exact"/>
              <w:jc w:val="center"/>
              <w:rPr>
                <w:rFonts w:eastAsia="楷体_GB2312"/>
                <w:szCs w:val="21"/>
              </w:rPr>
            </w:pPr>
          </w:p>
        </w:tc>
        <w:tc>
          <w:tcPr>
            <w:tcW w:w="0" w:type="auto"/>
            <w:noWrap w:val="0"/>
            <w:vAlign w:val="center"/>
          </w:tcPr>
          <w:p w14:paraId="51F98195">
            <w:pPr>
              <w:spacing w:line="300" w:lineRule="exact"/>
              <w:jc w:val="center"/>
              <w:rPr>
                <w:rFonts w:eastAsia="楷体_GB2312"/>
                <w:szCs w:val="21"/>
              </w:rPr>
            </w:pPr>
            <w:r>
              <w:rPr>
                <w:rFonts w:hint="eastAsia" w:eastAsia="楷体_GB2312"/>
                <w:szCs w:val="21"/>
              </w:rPr>
              <w:t>0.38</w:t>
            </w:r>
          </w:p>
        </w:tc>
        <w:tc>
          <w:tcPr>
            <w:tcW w:w="0" w:type="auto"/>
            <w:noWrap w:val="0"/>
            <w:vAlign w:val="center"/>
          </w:tcPr>
          <w:p w14:paraId="72E930B6">
            <w:pPr>
              <w:spacing w:line="300" w:lineRule="exact"/>
              <w:jc w:val="center"/>
              <w:rPr>
                <w:rFonts w:eastAsia="楷体_GB2312"/>
                <w:szCs w:val="21"/>
              </w:rPr>
            </w:pPr>
            <w:r>
              <w:rPr>
                <w:rFonts w:hint="eastAsia" w:eastAsia="楷体_GB2312"/>
                <w:szCs w:val="21"/>
              </w:rPr>
              <w:t>0.22</w:t>
            </w:r>
          </w:p>
        </w:tc>
      </w:tr>
      <w:tr w14:paraId="7C2C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noWrap w:val="0"/>
            <w:vAlign w:val="center"/>
          </w:tcPr>
          <w:p w14:paraId="3DEA3F48">
            <w:pPr>
              <w:jc w:val="center"/>
              <w:rPr>
                <w:rFonts w:eastAsia="楷体_GB2312"/>
                <w:kern w:val="0"/>
                <w:szCs w:val="21"/>
              </w:rPr>
            </w:pPr>
            <w:r>
              <w:rPr>
                <w:rFonts w:eastAsia="楷体_GB2312"/>
                <w:kern w:val="0"/>
                <w:szCs w:val="21"/>
              </w:rPr>
              <w:t>17</w:t>
            </w:r>
          </w:p>
        </w:tc>
        <w:tc>
          <w:tcPr>
            <w:tcW w:w="0" w:type="auto"/>
            <w:noWrap w:val="0"/>
            <w:vAlign w:val="center"/>
          </w:tcPr>
          <w:p w14:paraId="2A43B025">
            <w:pPr>
              <w:pStyle w:val="20"/>
              <w:jc w:val="center"/>
              <w:rPr>
                <w:rFonts w:ascii="Times New Roman" w:hAnsi="Times New Roman" w:eastAsia="楷体_GB2312" w:cs="Times New Roman"/>
              </w:rPr>
            </w:pPr>
            <w:r>
              <w:rPr>
                <w:rFonts w:ascii="Times New Roman" w:hAnsi="Times New Roman" w:eastAsia="楷体_GB2312" w:cs="Times New Roman"/>
              </w:rPr>
              <w:t>解集镇</w:t>
            </w:r>
          </w:p>
        </w:tc>
        <w:tc>
          <w:tcPr>
            <w:tcW w:w="0" w:type="auto"/>
            <w:noWrap w:val="0"/>
            <w:vAlign w:val="center"/>
          </w:tcPr>
          <w:p w14:paraId="09FB7E6C">
            <w:pPr>
              <w:spacing w:line="300" w:lineRule="exact"/>
              <w:jc w:val="center"/>
              <w:rPr>
                <w:rFonts w:eastAsia="楷体_GB2312"/>
                <w:szCs w:val="21"/>
              </w:rPr>
            </w:pPr>
          </w:p>
        </w:tc>
        <w:tc>
          <w:tcPr>
            <w:tcW w:w="0" w:type="auto"/>
            <w:noWrap w:val="0"/>
            <w:vAlign w:val="center"/>
          </w:tcPr>
          <w:p w14:paraId="205EC258">
            <w:pPr>
              <w:spacing w:line="300" w:lineRule="exact"/>
              <w:jc w:val="center"/>
              <w:rPr>
                <w:rFonts w:eastAsia="楷体_GB2312"/>
                <w:szCs w:val="21"/>
              </w:rPr>
            </w:pPr>
          </w:p>
        </w:tc>
        <w:tc>
          <w:tcPr>
            <w:tcW w:w="0" w:type="auto"/>
            <w:noWrap w:val="0"/>
            <w:vAlign w:val="center"/>
          </w:tcPr>
          <w:p w14:paraId="0A04D3E0">
            <w:pPr>
              <w:spacing w:line="300" w:lineRule="exact"/>
              <w:jc w:val="center"/>
              <w:rPr>
                <w:rFonts w:eastAsia="楷体_GB2312"/>
                <w:szCs w:val="21"/>
              </w:rPr>
            </w:pPr>
          </w:p>
        </w:tc>
      </w:tr>
      <w:tr w14:paraId="311E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noWrap w:val="0"/>
            <w:vAlign w:val="center"/>
          </w:tcPr>
          <w:p w14:paraId="01E80081">
            <w:pPr>
              <w:jc w:val="center"/>
              <w:rPr>
                <w:rFonts w:eastAsia="楷体_GB2312"/>
                <w:kern w:val="0"/>
                <w:szCs w:val="21"/>
              </w:rPr>
            </w:pPr>
            <w:r>
              <w:rPr>
                <w:rFonts w:eastAsia="楷体_GB2312"/>
                <w:kern w:val="0"/>
                <w:szCs w:val="21"/>
              </w:rPr>
              <w:t>18</w:t>
            </w:r>
          </w:p>
        </w:tc>
        <w:tc>
          <w:tcPr>
            <w:tcW w:w="0" w:type="auto"/>
            <w:noWrap w:val="0"/>
            <w:vAlign w:val="center"/>
          </w:tcPr>
          <w:p w14:paraId="63626718">
            <w:pPr>
              <w:pStyle w:val="20"/>
              <w:jc w:val="center"/>
              <w:rPr>
                <w:rFonts w:ascii="Times New Roman" w:hAnsi="Times New Roman" w:eastAsia="楷体_GB2312" w:cs="Times New Roman"/>
              </w:rPr>
            </w:pPr>
            <w:r>
              <w:rPr>
                <w:rFonts w:ascii="Times New Roman" w:hAnsi="Times New Roman" w:eastAsia="楷体_GB2312" w:cs="Times New Roman"/>
              </w:rPr>
              <w:t>大泽乡镇</w:t>
            </w:r>
          </w:p>
        </w:tc>
        <w:tc>
          <w:tcPr>
            <w:tcW w:w="0" w:type="auto"/>
            <w:noWrap w:val="0"/>
            <w:vAlign w:val="center"/>
          </w:tcPr>
          <w:p w14:paraId="4A547696">
            <w:pPr>
              <w:spacing w:line="300" w:lineRule="exact"/>
              <w:jc w:val="center"/>
              <w:rPr>
                <w:rFonts w:eastAsia="楷体_GB2312"/>
                <w:szCs w:val="21"/>
              </w:rPr>
            </w:pPr>
            <w:r>
              <w:rPr>
                <w:rFonts w:hint="eastAsia" w:eastAsia="楷体_GB2312"/>
                <w:szCs w:val="21"/>
              </w:rPr>
              <w:t>7.4</w:t>
            </w:r>
          </w:p>
        </w:tc>
        <w:tc>
          <w:tcPr>
            <w:tcW w:w="0" w:type="auto"/>
            <w:noWrap w:val="0"/>
            <w:vAlign w:val="center"/>
          </w:tcPr>
          <w:p w14:paraId="7D1CCFD4">
            <w:pPr>
              <w:spacing w:line="300" w:lineRule="exact"/>
              <w:jc w:val="center"/>
              <w:rPr>
                <w:rFonts w:eastAsia="楷体_GB2312"/>
                <w:szCs w:val="21"/>
              </w:rPr>
            </w:pPr>
            <w:r>
              <w:rPr>
                <w:rFonts w:hint="eastAsia" w:eastAsia="楷体_GB2312"/>
                <w:szCs w:val="21"/>
              </w:rPr>
              <w:t>3.85</w:t>
            </w:r>
          </w:p>
        </w:tc>
        <w:tc>
          <w:tcPr>
            <w:tcW w:w="0" w:type="auto"/>
            <w:noWrap w:val="0"/>
            <w:vAlign w:val="center"/>
          </w:tcPr>
          <w:p w14:paraId="75CFD489">
            <w:pPr>
              <w:spacing w:line="300" w:lineRule="exact"/>
              <w:jc w:val="center"/>
              <w:rPr>
                <w:rFonts w:eastAsia="楷体_GB2312"/>
                <w:szCs w:val="21"/>
              </w:rPr>
            </w:pPr>
            <w:r>
              <w:rPr>
                <w:rFonts w:hint="eastAsia" w:eastAsia="楷体_GB2312"/>
                <w:szCs w:val="21"/>
              </w:rPr>
              <w:t>8.56</w:t>
            </w:r>
          </w:p>
        </w:tc>
      </w:tr>
      <w:tr w14:paraId="1F744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noWrap w:val="0"/>
            <w:vAlign w:val="center"/>
          </w:tcPr>
          <w:p w14:paraId="134CED82">
            <w:pPr>
              <w:jc w:val="center"/>
              <w:rPr>
                <w:rFonts w:eastAsia="楷体_GB2312"/>
                <w:kern w:val="0"/>
                <w:szCs w:val="21"/>
              </w:rPr>
            </w:pPr>
            <w:r>
              <w:rPr>
                <w:rFonts w:eastAsia="楷体_GB2312"/>
                <w:kern w:val="0"/>
                <w:szCs w:val="21"/>
              </w:rPr>
              <w:t>19</w:t>
            </w:r>
          </w:p>
        </w:tc>
        <w:tc>
          <w:tcPr>
            <w:tcW w:w="0" w:type="auto"/>
            <w:noWrap w:val="0"/>
            <w:vAlign w:val="center"/>
          </w:tcPr>
          <w:p w14:paraId="24AC0F78">
            <w:pPr>
              <w:pStyle w:val="20"/>
              <w:jc w:val="center"/>
              <w:rPr>
                <w:rFonts w:ascii="Times New Roman" w:hAnsi="Times New Roman" w:eastAsia="楷体_GB2312" w:cs="Times New Roman"/>
              </w:rPr>
            </w:pPr>
            <w:r>
              <w:rPr>
                <w:rFonts w:ascii="Times New Roman" w:hAnsi="Times New Roman" w:eastAsia="楷体_GB2312" w:cs="Times New Roman"/>
              </w:rPr>
              <w:t>永安镇</w:t>
            </w:r>
          </w:p>
        </w:tc>
        <w:tc>
          <w:tcPr>
            <w:tcW w:w="0" w:type="auto"/>
            <w:noWrap w:val="0"/>
            <w:vAlign w:val="center"/>
          </w:tcPr>
          <w:p w14:paraId="6C2F8054">
            <w:pPr>
              <w:spacing w:line="300" w:lineRule="exact"/>
              <w:jc w:val="center"/>
              <w:rPr>
                <w:rFonts w:eastAsia="楷体_GB2312"/>
                <w:szCs w:val="21"/>
              </w:rPr>
            </w:pPr>
          </w:p>
        </w:tc>
        <w:tc>
          <w:tcPr>
            <w:tcW w:w="0" w:type="auto"/>
            <w:noWrap w:val="0"/>
            <w:vAlign w:val="center"/>
          </w:tcPr>
          <w:p w14:paraId="527E4523">
            <w:pPr>
              <w:spacing w:line="300" w:lineRule="exact"/>
              <w:jc w:val="center"/>
              <w:rPr>
                <w:rFonts w:eastAsia="楷体_GB2312"/>
                <w:szCs w:val="21"/>
              </w:rPr>
            </w:pPr>
            <w:r>
              <w:rPr>
                <w:rFonts w:hint="eastAsia" w:eastAsia="楷体_GB2312"/>
                <w:szCs w:val="21"/>
              </w:rPr>
              <w:t>2.87</w:t>
            </w:r>
          </w:p>
        </w:tc>
        <w:tc>
          <w:tcPr>
            <w:tcW w:w="0" w:type="auto"/>
            <w:noWrap w:val="0"/>
            <w:vAlign w:val="center"/>
          </w:tcPr>
          <w:p w14:paraId="7199E1B1">
            <w:pPr>
              <w:spacing w:line="300" w:lineRule="exact"/>
              <w:jc w:val="center"/>
              <w:rPr>
                <w:rFonts w:eastAsia="楷体_GB2312"/>
                <w:szCs w:val="21"/>
              </w:rPr>
            </w:pPr>
            <w:r>
              <w:rPr>
                <w:rFonts w:hint="eastAsia" w:eastAsia="楷体_GB2312"/>
                <w:szCs w:val="21"/>
              </w:rPr>
              <w:t>1.27</w:t>
            </w:r>
          </w:p>
        </w:tc>
      </w:tr>
      <w:tr w14:paraId="23FEE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noWrap w:val="0"/>
            <w:vAlign w:val="center"/>
          </w:tcPr>
          <w:p w14:paraId="75D75B6B">
            <w:pPr>
              <w:jc w:val="center"/>
              <w:rPr>
                <w:rFonts w:eastAsia="楷体_GB2312"/>
                <w:kern w:val="0"/>
                <w:szCs w:val="21"/>
              </w:rPr>
            </w:pPr>
            <w:r>
              <w:rPr>
                <w:rFonts w:eastAsia="楷体_GB2312"/>
                <w:kern w:val="0"/>
                <w:szCs w:val="21"/>
              </w:rPr>
              <w:t>20</w:t>
            </w:r>
          </w:p>
        </w:tc>
        <w:tc>
          <w:tcPr>
            <w:tcW w:w="0" w:type="auto"/>
            <w:noWrap w:val="0"/>
            <w:vAlign w:val="center"/>
          </w:tcPr>
          <w:p w14:paraId="3175E3C8">
            <w:pPr>
              <w:pStyle w:val="20"/>
              <w:jc w:val="center"/>
              <w:rPr>
                <w:rFonts w:ascii="Times New Roman" w:hAnsi="Times New Roman" w:eastAsia="楷体_GB2312" w:cs="Times New Roman"/>
              </w:rPr>
            </w:pPr>
            <w:r>
              <w:rPr>
                <w:rFonts w:ascii="Times New Roman" w:hAnsi="Times New Roman" w:eastAsia="楷体_GB2312" w:cs="Times New Roman"/>
              </w:rPr>
              <w:t>支河乡</w:t>
            </w:r>
          </w:p>
        </w:tc>
        <w:tc>
          <w:tcPr>
            <w:tcW w:w="0" w:type="auto"/>
            <w:noWrap w:val="0"/>
            <w:vAlign w:val="center"/>
          </w:tcPr>
          <w:p w14:paraId="59B1C114">
            <w:pPr>
              <w:spacing w:line="300" w:lineRule="exact"/>
              <w:jc w:val="center"/>
              <w:rPr>
                <w:rFonts w:eastAsia="楷体_GB2312"/>
                <w:szCs w:val="21"/>
              </w:rPr>
            </w:pPr>
            <w:r>
              <w:rPr>
                <w:rFonts w:hint="eastAsia" w:eastAsia="楷体_GB2312"/>
                <w:szCs w:val="21"/>
              </w:rPr>
              <w:t>1.3</w:t>
            </w:r>
          </w:p>
        </w:tc>
        <w:tc>
          <w:tcPr>
            <w:tcW w:w="0" w:type="auto"/>
            <w:noWrap w:val="0"/>
            <w:vAlign w:val="center"/>
          </w:tcPr>
          <w:p w14:paraId="272D3B3B">
            <w:pPr>
              <w:spacing w:line="300" w:lineRule="exact"/>
              <w:jc w:val="center"/>
              <w:rPr>
                <w:rFonts w:eastAsia="楷体_GB2312"/>
                <w:szCs w:val="21"/>
              </w:rPr>
            </w:pPr>
            <w:r>
              <w:rPr>
                <w:rFonts w:hint="eastAsia" w:eastAsia="楷体_GB2312"/>
                <w:szCs w:val="21"/>
              </w:rPr>
              <w:t>1.3</w:t>
            </w:r>
          </w:p>
        </w:tc>
        <w:tc>
          <w:tcPr>
            <w:tcW w:w="0" w:type="auto"/>
            <w:noWrap w:val="0"/>
            <w:vAlign w:val="center"/>
          </w:tcPr>
          <w:p w14:paraId="71C2CBA1">
            <w:pPr>
              <w:spacing w:line="300" w:lineRule="exact"/>
              <w:jc w:val="center"/>
              <w:rPr>
                <w:rFonts w:eastAsia="楷体_GB2312"/>
                <w:szCs w:val="21"/>
              </w:rPr>
            </w:pPr>
            <w:r>
              <w:rPr>
                <w:rFonts w:hint="eastAsia" w:eastAsia="楷体_GB2312"/>
                <w:szCs w:val="21"/>
              </w:rPr>
              <w:t>12.7</w:t>
            </w:r>
          </w:p>
        </w:tc>
      </w:tr>
      <w:tr w14:paraId="7E98C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noWrap w:val="0"/>
            <w:vAlign w:val="center"/>
          </w:tcPr>
          <w:p w14:paraId="7DEBA955">
            <w:pPr>
              <w:jc w:val="center"/>
              <w:rPr>
                <w:rFonts w:eastAsia="楷体_GB2312"/>
                <w:kern w:val="0"/>
                <w:szCs w:val="21"/>
              </w:rPr>
            </w:pPr>
            <w:r>
              <w:rPr>
                <w:rFonts w:eastAsia="楷体_GB2312"/>
                <w:kern w:val="0"/>
                <w:szCs w:val="21"/>
              </w:rPr>
              <w:t>21</w:t>
            </w:r>
          </w:p>
        </w:tc>
        <w:tc>
          <w:tcPr>
            <w:tcW w:w="0" w:type="auto"/>
            <w:noWrap w:val="0"/>
            <w:vAlign w:val="center"/>
          </w:tcPr>
          <w:p w14:paraId="565AC729">
            <w:pPr>
              <w:pStyle w:val="20"/>
              <w:jc w:val="center"/>
              <w:rPr>
                <w:rFonts w:ascii="Times New Roman" w:hAnsi="Times New Roman" w:eastAsia="楷体_GB2312" w:cs="Times New Roman"/>
              </w:rPr>
            </w:pPr>
            <w:r>
              <w:rPr>
                <w:rFonts w:ascii="Times New Roman" w:hAnsi="Times New Roman" w:eastAsia="楷体_GB2312" w:cs="Times New Roman"/>
              </w:rPr>
              <w:t>灰古镇</w:t>
            </w:r>
          </w:p>
        </w:tc>
        <w:tc>
          <w:tcPr>
            <w:tcW w:w="0" w:type="auto"/>
            <w:noWrap w:val="0"/>
            <w:vAlign w:val="center"/>
          </w:tcPr>
          <w:p w14:paraId="572BB109">
            <w:pPr>
              <w:spacing w:line="300" w:lineRule="exact"/>
              <w:jc w:val="center"/>
              <w:rPr>
                <w:rFonts w:eastAsia="楷体_GB2312"/>
                <w:szCs w:val="21"/>
              </w:rPr>
            </w:pPr>
          </w:p>
        </w:tc>
        <w:tc>
          <w:tcPr>
            <w:tcW w:w="0" w:type="auto"/>
            <w:noWrap w:val="0"/>
            <w:vAlign w:val="center"/>
          </w:tcPr>
          <w:p w14:paraId="5D7660EC">
            <w:pPr>
              <w:spacing w:line="300" w:lineRule="exact"/>
              <w:jc w:val="center"/>
              <w:rPr>
                <w:rFonts w:eastAsia="楷体_GB2312"/>
                <w:szCs w:val="21"/>
              </w:rPr>
            </w:pPr>
            <w:r>
              <w:rPr>
                <w:rFonts w:hint="eastAsia" w:eastAsia="楷体_GB2312"/>
                <w:szCs w:val="21"/>
              </w:rPr>
              <w:t>6.92</w:t>
            </w:r>
          </w:p>
        </w:tc>
        <w:tc>
          <w:tcPr>
            <w:tcW w:w="0" w:type="auto"/>
            <w:noWrap w:val="0"/>
            <w:vAlign w:val="center"/>
          </w:tcPr>
          <w:p w14:paraId="25D98CDF">
            <w:pPr>
              <w:spacing w:line="300" w:lineRule="exact"/>
              <w:jc w:val="center"/>
              <w:rPr>
                <w:rFonts w:eastAsia="楷体_GB2312"/>
                <w:szCs w:val="21"/>
              </w:rPr>
            </w:pPr>
            <w:r>
              <w:rPr>
                <w:rFonts w:hint="eastAsia" w:eastAsia="楷体_GB2312"/>
                <w:szCs w:val="21"/>
              </w:rPr>
              <w:t>3.99</w:t>
            </w:r>
          </w:p>
        </w:tc>
      </w:tr>
      <w:tr w14:paraId="434D1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0" w:type="auto"/>
            <w:noWrap w:val="0"/>
            <w:vAlign w:val="center"/>
          </w:tcPr>
          <w:p w14:paraId="4557EB69">
            <w:pPr>
              <w:jc w:val="center"/>
              <w:rPr>
                <w:rFonts w:eastAsia="楷体_GB2312"/>
                <w:kern w:val="0"/>
                <w:szCs w:val="21"/>
              </w:rPr>
            </w:pPr>
            <w:r>
              <w:rPr>
                <w:rFonts w:eastAsia="楷体_GB2312"/>
                <w:kern w:val="0"/>
                <w:szCs w:val="21"/>
              </w:rPr>
              <w:t>22</w:t>
            </w:r>
          </w:p>
        </w:tc>
        <w:tc>
          <w:tcPr>
            <w:tcW w:w="0" w:type="auto"/>
            <w:noWrap w:val="0"/>
            <w:vAlign w:val="center"/>
          </w:tcPr>
          <w:p w14:paraId="66A1D354">
            <w:pPr>
              <w:pStyle w:val="20"/>
              <w:jc w:val="center"/>
              <w:rPr>
                <w:rFonts w:ascii="Times New Roman" w:hAnsi="Times New Roman" w:eastAsia="楷体_GB2312" w:cs="Times New Roman"/>
              </w:rPr>
            </w:pPr>
            <w:r>
              <w:rPr>
                <w:rFonts w:ascii="Times New Roman" w:hAnsi="Times New Roman" w:eastAsia="楷体_GB2312" w:cs="Times New Roman"/>
              </w:rPr>
              <w:t>桃沟乡</w:t>
            </w:r>
          </w:p>
        </w:tc>
        <w:tc>
          <w:tcPr>
            <w:tcW w:w="0" w:type="auto"/>
            <w:noWrap w:val="0"/>
            <w:vAlign w:val="center"/>
          </w:tcPr>
          <w:p w14:paraId="5D8130A5">
            <w:pPr>
              <w:spacing w:line="300" w:lineRule="exact"/>
              <w:jc w:val="center"/>
              <w:rPr>
                <w:rFonts w:eastAsia="楷体_GB2312"/>
                <w:szCs w:val="21"/>
              </w:rPr>
            </w:pPr>
            <w:r>
              <w:rPr>
                <w:rFonts w:hint="eastAsia" w:eastAsia="楷体_GB2312"/>
                <w:szCs w:val="21"/>
              </w:rPr>
              <w:t>1.93</w:t>
            </w:r>
          </w:p>
        </w:tc>
        <w:tc>
          <w:tcPr>
            <w:tcW w:w="0" w:type="auto"/>
            <w:noWrap w:val="0"/>
            <w:vAlign w:val="center"/>
          </w:tcPr>
          <w:p w14:paraId="4729AF3F">
            <w:pPr>
              <w:spacing w:line="300" w:lineRule="exact"/>
              <w:jc w:val="center"/>
              <w:rPr>
                <w:rFonts w:eastAsia="楷体_GB2312"/>
                <w:szCs w:val="21"/>
              </w:rPr>
            </w:pPr>
            <w:r>
              <w:rPr>
                <w:rFonts w:hint="eastAsia" w:eastAsia="楷体_GB2312"/>
                <w:szCs w:val="21"/>
              </w:rPr>
              <w:t>0.73</w:t>
            </w:r>
          </w:p>
        </w:tc>
        <w:tc>
          <w:tcPr>
            <w:tcW w:w="0" w:type="auto"/>
            <w:noWrap w:val="0"/>
            <w:vAlign w:val="center"/>
          </w:tcPr>
          <w:p w14:paraId="7366F646">
            <w:pPr>
              <w:spacing w:line="300" w:lineRule="exact"/>
              <w:jc w:val="center"/>
              <w:rPr>
                <w:rFonts w:eastAsia="楷体_GB2312"/>
                <w:szCs w:val="21"/>
              </w:rPr>
            </w:pPr>
            <w:r>
              <w:rPr>
                <w:rFonts w:hint="eastAsia" w:eastAsia="楷体_GB2312"/>
                <w:szCs w:val="21"/>
              </w:rPr>
              <w:t>1.88</w:t>
            </w:r>
          </w:p>
        </w:tc>
      </w:tr>
      <w:bookmarkEnd w:id="105"/>
    </w:tbl>
    <w:p w14:paraId="1D791C20">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为了更清楚的表现各乡镇间指标差异，我们对上述数据分别采用柱状图法表示，具体图2-8-1。</w:t>
      </w:r>
    </w:p>
    <w:p w14:paraId="283A334C">
      <w:pPr>
        <w:widowControl w:val="0"/>
        <w:jc w:val="both"/>
      </w:pPr>
      <w:r>
        <w:drawing>
          <wp:inline distT="0" distB="0" distL="114300" distR="114300">
            <wp:extent cx="5400040" cy="2594610"/>
            <wp:effectExtent l="0" t="0" r="10160" b="15240"/>
            <wp:docPr id="6" name="图片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17"/>
                    <pic:cNvPicPr>
                      <a:picLocks noChangeAspect="1"/>
                    </pic:cNvPicPr>
                  </pic:nvPicPr>
                  <pic:blipFill>
                    <a:blip r:embed="rId355"/>
                    <a:stretch>
                      <a:fillRect/>
                    </a:stretch>
                  </pic:blipFill>
                  <pic:spPr>
                    <a:xfrm>
                      <a:off x="0" y="0"/>
                      <a:ext cx="5400040" cy="2594610"/>
                    </a:xfrm>
                    <a:prstGeom prst="rect">
                      <a:avLst/>
                    </a:prstGeom>
                    <a:noFill/>
                    <a:ln>
                      <a:noFill/>
                    </a:ln>
                  </pic:spPr>
                </pic:pic>
              </a:graphicData>
            </a:graphic>
          </wp:inline>
        </w:drawing>
      </w:r>
    </w:p>
    <w:p w14:paraId="3EE1DA93">
      <w:pPr>
        <w:widowControl w:val="0"/>
        <w:jc w:val="both"/>
        <w:rPr>
          <w:szCs w:val="21"/>
        </w:rPr>
      </w:pPr>
      <w:r>
        <w:drawing>
          <wp:inline distT="0" distB="0" distL="114300" distR="114300">
            <wp:extent cx="5400040" cy="2594610"/>
            <wp:effectExtent l="0" t="0" r="10160" b="15240"/>
            <wp:docPr id="5" name="图片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18"/>
                    <pic:cNvPicPr>
                      <a:picLocks noChangeAspect="1"/>
                    </pic:cNvPicPr>
                  </pic:nvPicPr>
                  <pic:blipFill>
                    <a:blip r:embed="rId356"/>
                    <a:stretch>
                      <a:fillRect/>
                    </a:stretch>
                  </pic:blipFill>
                  <pic:spPr>
                    <a:xfrm>
                      <a:off x="0" y="0"/>
                      <a:ext cx="5400040" cy="2594610"/>
                    </a:xfrm>
                    <a:prstGeom prst="rect">
                      <a:avLst/>
                    </a:prstGeom>
                    <a:noFill/>
                    <a:ln>
                      <a:noFill/>
                    </a:ln>
                  </pic:spPr>
                </pic:pic>
              </a:graphicData>
            </a:graphic>
          </wp:inline>
        </w:drawing>
      </w:r>
    </w:p>
    <w:p w14:paraId="28FE4157">
      <w:pPr>
        <w:widowControl w:val="0"/>
        <w:jc w:val="both"/>
        <w:rPr>
          <w:szCs w:val="21"/>
        </w:rPr>
      </w:pPr>
      <w:r>
        <w:rPr>
          <w:szCs w:val="21"/>
        </w:rPr>
        <w:drawing>
          <wp:inline distT="0" distB="0" distL="114300" distR="114300">
            <wp:extent cx="5400040" cy="2594610"/>
            <wp:effectExtent l="0" t="0" r="10160" b="15240"/>
            <wp:docPr id="4" name="图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20"/>
                    <pic:cNvPicPr>
                      <a:picLocks noChangeAspect="1"/>
                    </pic:cNvPicPr>
                  </pic:nvPicPr>
                  <pic:blipFill>
                    <a:blip r:embed="rId357"/>
                    <a:stretch>
                      <a:fillRect/>
                    </a:stretch>
                  </pic:blipFill>
                  <pic:spPr>
                    <a:xfrm>
                      <a:off x="0" y="0"/>
                      <a:ext cx="5400040" cy="2594610"/>
                    </a:xfrm>
                    <a:prstGeom prst="rect">
                      <a:avLst/>
                    </a:prstGeom>
                    <a:noFill/>
                    <a:ln>
                      <a:noFill/>
                    </a:ln>
                  </pic:spPr>
                </pic:pic>
              </a:graphicData>
            </a:graphic>
          </wp:inline>
        </w:drawing>
      </w:r>
    </w:p>
    <w:p w14:paraId="58ED2D08">
      <w:pPr>
        <w:widowControl w:val="0"/>
        <w:spacing w:line="360" w:lineRule="auto"/>
        <w:jc w:val="center"/>
        <w:rPr>
          <w:rFonts w:eastAsia="仿宋_GB2312"/>
          <w:sz w:val="28"/>
          <w:szCs w:val="21"/>
        </w:rPr>
      </w:pPr>
      <w:r>
        <w:rPr>
          <w:rFonts w:eastAsia="黑体"/>
          <w:sz w:val="28"/>
          <w:szCs w:val="21"/>
        </w:rPr>
        <w:t>图2-8-1  埇桥区各乡镇主要经济指标柱状图</w:t>
      </w:r>
    </w:p>
    <w:p w14:paraId="6F36339F">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为方便对比，我们选取各乡镇一级地商服、住宅、工矿仓储用地基准地价制作图标显示各乡镇地价水平差异，见表和图。</w:t>
      </w:r>
    </w:p>
    <w:p w14:paraId="78109022">
      <w:pPr>
        <w:widowControl w:val="0"/>
        <w:spacing w:line="480" w:lineRule="exact"/>
        <w:ind w:firstLine="562"/>
        <w:jc w:val="center"/>
        <w:rPr>
          <w:rFonts w:eastAsia="黑体"/>
          <w:sz w:val="28"/>
          <w:szCs w:val="21"/>
        </w:rPr>
      </w:pPr>
      <w:r>
        <w:rPr>
          <w:rFonts w:eastAsia="黑体"/>
          <w:sz w:val="28"/>
          <w:szCs w:val="21"/>
        </w:rPr>
        <w:t>表2-8-6  埇桥区各乡镇镇区级别基准地价表</w:t>
      </w:r>
    </w:p>
    <w:tbl>
      <w:tblPr>
        <w:tblStyle w:val="38"/>
        <w:tblW w:w="907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15"/>
        <w:gridCol w:w="1516"/>
        <w:gridCol w:w="1889"/>
        <w:gridCol w:w="1889"/>
        <w:gridCol w:w="2263"/>
      </w:tblGrid>
      <w:tr w14:paraId="7645FBD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dxa"/>
            <w:noWrap w:val="0"/>
            <w:vAlign w:val="center"/>
          </w:tcPr>
          <w:p w14:paraId="104F2C17">
            <w:pPr>
              <w:spacing w:line="300" w:lineRule="exact"/>
              <w:jc w:val="center"/>
              <w:rPr>
                <w:rFonts w:eastAsia="楷体_GB2312"/>
                <w:szCs w:val="21"/>
              </w:rPr>
            </w:pPr>
            <w:r>
              <w:rPr>
                <w:rFonts w:eastAsia="楷体_GB2312"/>
                <w:szCs w:val="21"/>
              </w:rPr>
              <w:t>编号</w:t>
            </w:r>
          </w:p>
        </w:tc>
        <w:tc>
          <w:tcPr>
            <w:tcW w:w="0" w:type="dxa"/>
            <w:noWrap w:val="0"/>
            <w:vAlign w:val="center"/>
          </w:tcPr>
          <w:p w14:paraId="7FE58470">
            <w:pPr>
              <w:spacing w:line="300" w:lineRule="exact"/>
              <w:jc w:val="center"/>
              <w:rPr>
                <w:rFonts w:eastAsia="楷体_GB2312"/>
                <w:szCs w:val="21"/>
              </w:rPr>
            </w:pPr>
            <w:r>
              <w:rPr>
                <w:rFonts w:eastAsia="楷体_GB2312"/>
                <w:szCs w:val="21"/>
              </w:rPr>
              <w:t>乡镇名称</w:t>
            </w:r>
          </w:p>
        </w:tc>
        <w:tc>
          <w:tcPr>
            <w:tcW w:w="0" w:type="dxa"/>
            <w:noWrap w:val="0"/>
            <w:vAlign w:val="center"/>
          </w:tcPr>
          <w:p w14:paraId="46D15536">
            <w:pPr>
              <w:spacing w:line="300" w:lineRule="exact"/>
              <w:ind w:right="-107" w:rightChars="-51"/>
              <w:jc w:val="center"/>
              <w:rPr>
                <w:rFonts w:eastAsia="楷体_GB2312"/>
                <w:szCs w:val="21"/>
              </w:rPr>
            </w:pPr>
            <w:r>
              <w:rPr>
                <w:rFonts w:eastAsia="楷体_GB2312"/>
                <w:szCs w:val="21"/>
              </w:rPr>
              <w:t>商服用地一级基准地价</w:t>
            </w:r>
            <w:r>
              <w:rPr>
                <w:rFonts w:hint="eastAsia" w:eastAsia="楷体_GB2312"/>
                <w:szCs w:val="21"/>
              </w:rPr>
              <w:t>（元/平方米）</w:t>
            </w:r>
          </w:p>
        </w:tc>
        <w:tc>
          <w:tcPr>
            <w:tcW w:w="0" w:type="dxa"/>
            <w:noWrap w:val="0"/>
            <w:vAlign w:val="center"/>
          </w:tcPr>
          <w:p w14:paraId="0F19E487">
            <w:pPr>
              <w:spacing w:line="300" w:lineRule="exact"/>
              <w:ind w:right="-107" w:rightChars="-51"/>
              <w:jc w:val="center"/>
              <w:rPr>
                <w:rFonts w:eastAsia="楷体_GB2312"/>
                <w:szCs w:val="21"/>
              </w:rPr>
            </w:pPr>
            <w:r>
              <w:rPr>
                <w:rFonts w:eastAsia="楷体_GB2312"/>
                <w:szCs w:val="21"/>
              </w:rPr>
              <w:t>住宅用地一级基准地价</w:t>
            </w:r>
            <w:r>
              <w:rPr>
                <w:rFonts w:hint="eastAsia" w:eastAsia="楷体_GB2312"/>
                <w:szCs w:val="21"/>
              </w:rPr>
              <w:t>（元/平方米）</w:t>
            </w:r>
          </w:p>
        </w:tc>
        <w:tc>
          <w:tcPr>
            <w:tcW w:w="0" w:type="dxa"/>
            <w:noWrap w:val="0"/>
            <w:vAlign w:val="center"/>
          </w:tcPr>
          <w:p w14:paraId="62225774">
            <w:pPr>
              <w:spacing w:line="300" w:lineRule="exact"/>
              <w:jc w:val="center"/>
              <w:rPr>
                <w:rFonts w:eastAsia="楷体_GB2312"/>
                <w:szCs w:val="21"/>
              </w:rPr>
            </w:pPr>
            <w:r>
              <w:rPr>
                <w:rFonts w:eastAsia="楷体_GB2312"/>
                <w:szCs w:val="21"/>
              </w:rPr>
              <w:t>工矿仓储用地一级基准地价</w:t>
            </w:r>
            <w:r>
              <w:rPr>
                <w:rFonts w:hint="eastAsia" w:eastAsia="楷体_GB2312"/>
                <w:szCs w:val="21"/>
              </w:rPr>
              <w:t>（元/平方米）</w:t>
            </w:r>
          </w:p>
        </w:tc>
      </w:tr>
      <w:tr w14:paraId="4795AB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dxa"/>
            <w:noWrap w:val="0"/>
            <w:vAlign w:val="center"/>
          </w:tcPr>
          <w:p w14:paraId="2C1AFB3F">
            <w:pPr>
              <w:jc w:val="center"/>
              <w:rPr>
                <w:rFonts w:eastAsia="楷体_GB2312"/>
                <w:kern w:val="0"/>
                <w:szCs w:val="21"/>
              </w:rPr>
            </w:pPr>
            <w:r>
              <w:rPr>
                <w:rFonts w:eastAsia="楷体_GB2312"/>
                <w:kern w:val="0"/>
                <w:szCs w:val="21"/>
              </w:rPr>
              <w:t>1</w:t>
            </w:r>
          </w:p>
        </w:tc>
        <w:tc>
          <w:tcPr>
            <w:tcW w:w="0" w:type="dxa"/>
            <w:noWrap w:val="0"/>
            <w:vAlign w:val="center"/>
          </w:tcPr>
          <w:p w14:paraId="61B0F0F5">
            <w:pPr>
              <w:pStyle w:val="20"/>
              <w:jc w:val="center"/>
              <w:rPr>
                <w:rFonts w:ascii="Times New Roman" w:hAnsi="Times New Roman" w:eastAsia="楷体_GB2312" w:cs="Times New Roman"/>
              </w:rPr>
            </w:pPr>
            <w:r>
              <w:rPr>
                <w:rFonts w:ascii="Times New Roman" w:hAnsi="Times New Roman" w:eastAsia="楷体_GB2312" w:cs="Times New Roman"/>
              </w:rPr>
              <w:t>符离镇</w:t>
            </w:r>
          </w:p>
        </w:tc>
        <w:tc>
          <w:tcPr>
            <w:tcW w:w="0" w:type="dxa"/>
            <w:noWrap w:val="0"/>
            <w:vAlign w:val="center"/>
          </w:tcPr>
          <w:p w14:paraId="51BD65C4">
            <w:pPr>
              <w:jc w:val="center"/>
              <w:rPr>
                <w:color w:val="000000"/>
                <w:szCs w:val="21"/>
              </w:rPr>
            </w:pPr>
            <w:r>
              <w:rPr>
                <w:color w:val="000000"/>
                <w:szCs w:val="21"/>
              </w:rPr>
              <w:t>620</w:t>
            </w:r>
          </w:p>
        </w:tc>
        <w:tc>
          <w:tcPr>
            <w:tcW w:w="0" w:type="dxa"/>
            <w:noWrap w:val="0"/>
            <w:vAlign w:val="center"/>
          </w:tcPr>
          <w:p w14:paraId="63E1B475">
            <w:pPr>
              <w:jc w:val="center"/>
              <w:rPr>
                <w:color w:val="000000"/>
                <w:szCs w:val="21"/>
              </w:rPr>
            </w:pPr>
            <w:r>
              <w:rPr>
                <w:color w:val="000000"/>
                <w:szCs w:val="21"/>
              </w:rPr>
              <w:t>470</w:t>
            </w:r>
          </w:p>
        </w:tc>
        <w:tc>
          <w:tcPr>
            <w:tcW w:w="0" w:type="dxa"/>
            <w:tcBorders>
              <w:right w:val="single" w:color="auto" w:sz="4" w:space="0"/>
            </w:tcBorders>
            <w:noWrap w:val="0"/>
            <w:vAlign w:val="center"/>
          </w:tcPr>
          <w:p w14:paraId="03E18F08">
            <w:pPr>
              <w:jc w:val="center"/>
              <w:rPr>
                <w:color w:val="000000"/>
                <w:szCs w:val="21"/>
              </w:rPr>
            </w:pPr>
            <w:r>
              <w:rPr>
                <w:color w:val="000000"/>
                <w:szCs w:val="21"/>
              </w:rPr>
              <w:t>230</w:t>
            </w:r>
          </w:p>
        </w:tc>
      </w:tr>
      <w:tr w14:paraId="7B5ECD6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dxa"/>
            <w:noWrap w:val="0"/>
            <w:vAlign w:val="center"/>
          </w:tcPr>
          <w:p w14:paraId="2935776F">
            <w:pPr>
              <w:jc w:val="center"/>
              <w:rPr>
                <w:rFonts w:eastAsia="楷体_GB2312"/>
                <w:kern w:val="0"/>
                <w:szCs w:val="21"/>
              </w:rPr>
            </w:pPr>
            <w:r>
              <w:rPr>
                <w:rFonts w:eastAsia="楷体_GB2312"/>
                <w:kern w:val="0"/>
                <w:szCs w:val="21"/>
              </w:rPr>
              <w:t>2</w:t>
            </w:r>
          </w:p>
        </w:tc>
        <w:tc>
          <w:tcPr>
            <w:tcW w:w="0" w:type="dxa"/>
            <w:noWrap w:val="0"/>
            <w:vAlign w:val="center"/>
          </w:tcPr>
          <w:p w14:paraId="63C6169E">
            <w:pPr>
              <w:pStyle w:val="20"/>
              <w:jc w:val="center"/>
              <w:rPr>
                <w:rFonts w:ascii="Times New Roman" w:hAnsi="Times New Roman" w:eastAsia="楷体_GB2312" w:cs="Times New Roman"/>
              </w:rPr>
            </w:pPr>
            <w:r>
              <w:rPr>
                <w:rFonts w:ascii="Times New Roman" w:hAnsi="Times New Roman" w:eastAsia="楷体_GB2312" w:cs="Times New Roman"/>
              </w:rPr>
              <w:t>朱仙庄镇</w:t>
            </w:r>
          </w:p>
        </w:tc>
        <w:tc>
          <w:tcPr>
            <w:tcW w:w="0" w:type="dxa"/>
            <w:noWrap w:val="0"/>
            <w:vAlign w:val="center"/>
          </w:tcPr>
          <w:p w14:paraId="082837F4">
            <w:pPr>
              <w:jc w:val="center"/>
              <w:rPr>
                <w:color w:val="000000"/>
                <w:szCs w:val="21"/>
              </w:rPr>
            </w:pPr>
            <w:r>
              <w:rPr>
                <w:color w:val="000000"/>
                <w:szCs w:val="21"/>
              </w:rPr>
              <w:t>595</w:t>
            </w:r>
          </w:p>
        </w:tc>
        <w:tc>
          <w:tcPr>
            <w:tcW w:w="0" w:type="dxa"/>
            <w:noWrap w:val="0"/>
            <w:vAlign w:val="center"/>
          </w:tcPr>
          <w:p w14:paraId="68B1A3B3">
            <w:pPr>
              <w:jc w:val="center"/>
              <w:rPr>
                <w:color w:val="000000"/>
                <w:szCs w:val="21"/>
              </w:rPr>
            </w:pPr>
            <w:r>
              <w:rPr>
                <w:color w:val="000000"/>
                <w:szCs w:val="21"/>
              </w:rPr>
              <w:t>450</w:t>
            </w:r>
          </w:p>
        </w:tc>
        <w:tc>
          <w:tcPr>
            <w:tcW w:w="0" w:type="dxa"/>
            <w:tcBorders>
              <w:right w:val="single" w:color="auto" w:sz="4" w:space="0"/>
            </w:tcBorders>
            <w:noWrap w:val="0"/>
            <w:vAlign w:val="center"/>
          </w:tcPr>
          <w:p w14:paraId="1DFD17B4">
            <w:pPr>
              <w:jc w:val="center"/>
              <w:rPr>
                <w:color w:val="000000"/>
                <w:szCs w:val="21"/>
              </w:rPr>
            </w:pPr>
            <w:r>
              <w:rPr>
                <w:color w:val="000000"/>
                <w:szCs w:val="21"/>
              </w:rPr>
              <w:t>200</w:t>
            </w:r>
          </w:p>
        </w:tc>
      </w:tr>
      <w:tr w14:paraId="33B699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dxa"/>
            <w:noWrap w:val="0"/>
            <w:vAlign w:val="center"/>
          </w:tcPr>
          <w:p w14:paraId="6ABBE35E">
            <w:pPr>
              <w:jc w:val="center"/>
              <w:rPr>
                <w:rFonts w:eastAsia="楷体_GB2312"/>
                <w:kern w:val="0"/>
                <w:szCs w:val="21"/>
              </w:rPr>
            </w:pPr>
            <w:r>
              <w:rPr>
                <w:rFonts w:eastAsia="楷体_GB2312"/>
                <w:kern w:val="0"/>
                <w:szCs w:val="21"/>
              </w:rPr>
              <w:t>3</w:t>
            </w:r>
          </w:p>
        </w:tc>
        <w:tc>
          <w:tcPr>
            <w:tcW w:w="0" w:type="dxa"/>
            <w:noWrap w:val="0"/>
            <w:vAlign w:val="center"/>
          </w:tcPr>
          <w:p w14:paraId="3762DA15">
            <w:pPr>
              <w:pStyle w:val="20"/>
              <w:jc w:val="center"/>
              <w:rPr>
                <w:rFonts w:ascii="Times New Roman" w:hAnsi="Times New Roman" w:eastAsia="楷体_GB2312" w:cs="Times New Roman"/>
              </w:rPr>
            </w:pPr>
            <w:r>
              <w:rPr>
                <w:rFonts w:ascii="Times New Roman" w:hAnsi="Times New Roman" w:eastAsia="楷体_GB2312" w:cs="Times New Roman"/>
              </w:rPr>
              <w:t>蕲县镇</w:t>
            </w:r>
          </w:p>
        </w:tc>
        <w:tc>
          <w:tcPr>
            <w:tcW w:w="0" w:type="dxa"/>
            <w:noWrap w:val="0"/>
            <w:vAlign w:val="center"/>
          </w:tcPr>
          <w:p w14:paraId="5EE09F11">
            <w:pPr>
              <w:jc w:val="center"/>
              <w:rPr>
                <w:color w:val="000000"/>
                <w:szCs w:val="21"/>
              </w:rPr>
            </w:pPr>
            <w:r>
              <w:rPr>
                <w:color w:val="000000"/>
                <w:szCs w:val="21"/>
              </w:rPr>
              <w:t>580</w:t>
            </w:r>
          </w:p>
        </w:tc>
        <w:tc>
          <w:tcPr>
            <w:tcW w:w="0" w:type="dxa"/>
            <w:noWrap w:val="0"/>
            <w:vAlign w:val="center"/>
          </w:tcPr>
          <w:p w14:paraId="7EA689C6">
            <w:pPr>
              <w:jc w:val="center"/>
              <w:rPr>
                <w:color w:val="000000"/>
                <w:szCs w:val="21"/>
              </w:rPr>
            </w:pPr>
            <w:r>
              <w:rPr>
                <w:color w:val="000000"/>
                <w:szCs w:val="21"/>
              </w:rPr>
              <w:t>430</w:t>
            </w:r>
          </w:p>
        </w:tc>
        <w:tc>
          <w:tcPr>
            <w:tcW w:w="0" w:type="dxa"/>
            <w:tcBorders>
              <w:right w:val="single" w:color="auto" w:sz="4" w:space="0"/>
            </w:tcBorders>
            <w:noWrap w:val="0"/>
            <w:vAlign w:val="center"/>
          </w:tcPr>
          <w:p w14:paraId="414F193E">
            <w:pPr>
              <w:jc w:val="center"/>
              <w:rPr>
                <w:color w:val="000000"/>
                <w:szCs w:val="21"/>
              </w:rPr>
            </w:pPr>
            <w:r>
              <w:rPr>
                <w:color w:val="000000"/>
                <w:szCs w:val="21"/>
              </w:rPr>
              <w:t>200</w:t>
            </w:r>
          </w:p>
        </w:tc>
      </w:tr>
      <w:tr w14:paraId="54A932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dxa"/>
            <w:noWrap w:val="0"/>
            <w:vAlign w:val="center"/>
          </w:tcPr>
          <w:p w14:paraId="0A8B5E85">
            <w:pPr>
              <w:jc w:val="center"/>
              <w:rPr>
                <w:rFonts w:eastAsia="楷体_GB2312"/>
                <w:kern w:val="0"/>
                <w:szCs w:val="21"/>
              </w:rPr>
            </w:pPr>
            <w:r>
              <w:rPr>
                <w:rFonts w:eastAsia="楷体_GB2312"/>
                <w:kern w:val="0"/>
                <w:szCs w:val="21"/>
              </w:rPr>
              <w:t>4</w:t>
            </w:r>
          </w:p>
        </w:tc>
        <w:tc>
          <w:tcPr>
            <w:tcW w:w="0" w:type="dxa"/>
            <w:noWrap w:val="0"/>
            <w:vAlign w:val="center"/>
          </w:tcPr>
          <w:p w14:paraId="3374F9BA">
            <w:pPr>
              <w:pStyle w:val="20"/>
              <w:jc w:val="center"/>
              <w:rPr>
                <w:rFonts w:ascii="Times New Roman" w:hAnsi="Times New Roman" w:eastAsia="楷体_GB2312" w:cs="Times New Roman"/>
              </w:rPr>
            </w:pPr>
            <w:r>
              <w:rPr>
                <w:rFonts w:ascii="Times New Roman" w:hAnsi="Times New Roman" w:eastAsia="楷体_GB2312" w:cs="Times New Roman"/>
              </w:rPr>
              <w:t>芦岭镇</w:t>
            </w:r>
          </w:p>
        </w:tc>
        <w:tc>
          <w:tcPr>
            <w:tcW w:w="0" w:type="dxa"/>
            <w:noWrap w:val="0"/>
            <w:vAlign w:val="center"/>
          </w:tcPr>
          <w:p w14:paraId="1C0D3119">
            <w:pPr>
              <w:jc w:val="center"/>
              <w:rPr>
                <w:color w:val="000000"/>
                <w:szCs w:val="21"/>
              </w:rPr>
            </w:pPr>
            <w:r>
              <w:rPr>
                <w:color w:val="000000"/>
                <w:szCs w:val="21"/>
              </w:rPr>
              <w:t>555</w:t>
            </w:r>
          </w:p>
        </w:tc>
        <w:tc>
          <w:tcPr>
            <w:tcW w:w="0" w:type="dxa"/>
            <w:noWrap w:val="0"/>
            <w:vAlign w:val="center"/>
          </w:tcPr>
          <w:p w14:paraId="2ACB0121">
            <w:pPr>
              <w:jc w:val="center"/>
              <w:rPr>
                <w:color w:val="000000"/>
                <w:szCs w:val="21"/>
              </w:rPr>
            </w:pPr>
            <w:r>
              <w:rPr>
                <w:color w:val="000000"/>
                <w:szCs w:val="21"/>
              </w:rPr>
              <w:t>410</w:t>
            </w:r>
          </w:p>
        </w:tc>
        <w:tc>
          <w:tcPr>
            <w:tcW w:w="0" w:type="dxa"/>
            <w:tcBorders>
              <w:right w:val="single" w:color="auto" w:sz="4" w:space="0"/>
            </w:tcBorders>
            <w:noWrap w:val="0"/>
            <w:vAlign w:val="center"/>
          </w:tcPr>
          <w:p w14:paraId="594DE785">
            <w:pPr>
              <w:jc w:val="center"/>
              <w:rPr>
                <w:color w:val="000000"/>
                <w:szCs w:val="21"/>
              </w:rPr>
            </w:pPr>
            <w:r>
              <w:rPr>
                <w:color w:val="000000"/>
                <w:szCs w:val="21"/>
              </w:rPr>
              <w:t>200</w:t>
            </w:r>
          </w:p>
        </w:tc>
      </w:tr>
      <w:tr w14:paraId="6B5333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dxa"/>
            <w:noWrap w:val="0"/>
            <w:vAlign w:val="center"/>
          </w:tcPr>
          <w:p w14:paraId="1E8A9610">
            <w:pPr>
              <w:jc w:val="center"/>
              <w:rPr>
                <w:rFonts w:eastAsia="楷体_GB2312"/>
                <w:kern w:val="0"/>
                <w:szCs w:val="21"/>
              </w:rPr>
            </w:pPr>
            <w:r>
              <w:rPr>
                <w:rFonts w:eastAsia="楷体_GB2312"/>
                <w:kern w:val="0"/>
                <w:szCs w:val="21"/>
              </w:rPr>
              <w:t>5</w:t>
            </w:r>
          </w:p>
        </w:tc>
        <w:tc>
          <w:tcPr>
            <w:tcW w:w="0" w:type="dxa"/>
            <w:noWrap w:val="0"/>
            <w:vAlign w:val="center"/>
          </w:tcPr>
          <w:p w14:paraId="3A317740">
            <w:pPr>
              <w:pStyle w:val="20"/>
              <w:jc w:val="center"/>
              <w:rPr>
                <w:rFonts w:ascii="Times New Roman" w:hAnsi="Times New Roman" w:eastAsia="楷体_GB2312" w:cs="Times New Roman"/>
              </w:rPr>
            </w:pPr>
            <w:r>
              <w:rPr>
                <w:rFonts w:ascii="Times New Roman" w:hAnsi="Times New Roman" w:eastAsia="楷体_GB2312" w:cs="Times New Roman"/>
              </w:rPr>
              <w:t>大店镇</w:t>
            </w:r>
          </w:p>
        </w:tc>
        <w:tc>
          <w:tcPr>
            <w:tcW w:w="0" w:type="dxa"/>
            <w:noWrap w:val="0"/>
            <w:vAlign w:val="center"/>
          </w:tcPr>
          <w:p w14:paraId="46E14989">
            <w:pPr>
              <w:jc w:val="center"/>
              <w:rPr>
                <w:color w:val="000000"/>
                <w:szCs w:val="21"/>
              </w:rPr>
            </w:pPr>
            <w:r>
              <w:rPr>
                <w:color w:val="000000"/>
                <w:szCs w:val="21"/>
              </w:rPr>
              <w:t>535</w:t>
            </w:r>
          </w:p>
        </w:tc>
        <w:tc>
          <w:tcPr>
            <w:tcW w:w="0" w:type="dxa"/>
            <w:noWrap w:val="0"/>
            <w:vAlign w:val="center"/>
          </w:tcPr>
          <w:p w14:paraId="092B5474">
            <w:pPr>
              <w:jc w:val="center"/>
              <w:rPr>
                <w:color w:val="000000"/>
                <w:szCs w:val="21"/>
              </w:rPr>
            </w:pPr>
            <w:r>
              <w:rPr>
                <w:color w:val="000000"/>
                <w:szCs w:val="21"/>
              </w:rPr>
              <w:t>400</w:t>
            </w:r>
          </w:p>
        </w:tc>
        <w:tc>
          <w:tcPr>
            <w:tcW w:w="0" w:type="dxa"/>
            <w:tcBorders>
              <w:right w:val="single" w:color="auto" w:sz="4" w:space="0"/>
            </w:tcBorders>
            <w:noWrap w:val="0"/>
            <w:vAlign w:val="center"/>
          </w:tcPr>
          <w:p w14:paraId="171ACB83">
            <w:pPr>
              <w:jc w:val="center"/>
              <w:rPr>
                <w:color w:val="000000"/>
                <w:szCs w:val="21"/>
              </w:rPr>
            </w:pPr>
            <w:r>
              <w:rPr>
                <w:color w:val="000000"/>
                <w:szCs w:val="21"/>
              </w:rPr>
              <w:t>170</w:t>
            </w:r>
          </w:p>
        </w:tc>
      </w:tr>
      <w:tr w14:paraId="79B445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dxa"/>
            <w:noWrap w:val="0"/>
            <w:vAlign w:val="center"/>
          </w:tcPr>
          <w:p w14:paraId="0C9282C2">
            <w:pPr>
              <w:jc w:val="center"/>
              <w:rPr>
                <w:rFonts w:eastAsia="楷体_GB2312"/>
                <w:kern w:val="0"/>
                <w:szCs w:val="21"/>
              </w:rPr>
            </w:pPr>
            <w:r>
              <w:rPr>
                <w:rFonts w:eastAsia="楷体_GB2312"/>
                <w:kern w:val="0"/>
                <w:szCs w:val="21"/>
              </w:rPr>
              <w:t>6</w:t>
            </w:r>
          </w:p>
        </w:tc>
        <w:tc>
          <w:tcPr>
            <w:tcW w:w="0" w:type="dxa"/>
            <w:noWrap w:val="0"/>
            <w:vAlign w:val="center"/>
          </w:tcPr>
          <w:p w14:paraId="7B2853FC">
            <w:pPr>
              <w:pStyle w:val="20"/>
              <w:jc w:val="center"/>
              <w:rPr>
                <w:rFonts w:ascii="Times New Roman" w:hAnsi="Times New Roman" w:eastAsia="楷体_GB2312" w:cs="Times New Roman"/>
              </w:rPr>
            </w:pPr>
            <w:r>
              <w:rPr>
                <w:rFonts w:ascii="Times New Roman" w:hAnsi="Times New Roman" w:eastAsia="楷体_GB2312" w:cs="Times New Roman"/>
              </w:rPr>
              <w:t>栏杆镇</w:t>
            </w:r>
          </w:p>
        </w:tc>
        <w:tc>
          <w:tcPr>
            <w:tcW w:w="0" w:type="dxa"/>
            <w:noWrap w:val="0"/>
            <w:vAlign w:val="center"/>
          </w:tcPr>
          <w:p w14:paraId="61ABE6E6">
            <w:pPr>
              <w:jc w:val="center"/>
              <w:rPr>
                <w:color w:val="000000"/>
                <w:szCs w:val="21"/>
              </w:rPr>
            </w:pPr>
            <w:r>
              <w:rPr>
                <w:color w:val="000000"/>
                <w:szCs w:val="21"/>
              </w:rPr>
              <w:t>520</w:t>
            </w:r>
          </w:p>
        </w:tc>
        <w:tc>
          <w:tcPr>
            <w:tcW w:w="0" w:type="dxa"/>
            <w:noWrap w:val="0"/>
            <w:vAlign w:val="center"/>
          </w:tcPr>
          <w:p w14:paraId="7527B10B">
            <w:pPr>
              <w:jc w:val="center"/>
              <w:rPr>
                <w:color w:val="000000"/>
                <w:szCs w:val="21"/>
              </w:rPr>
            </w:pPr>
            <w:r>
              <w:rPr>
                <w:color w:val="000000"/>
                <w:szCs w:val="21"/>
              </w:rPr>
              <w:t>395</w:t>
            </w:r>
          </w:p>
        </w:tc>
        <w:tc>
          <w:tcPr>
            <w:tcW w:w="0" w:type="dxa"/>
            <w:tcBorders>
              <w:right w:val="single" w:color="auto" w:sz="4" w:space="0"/>
            </w:tcBorders>
            <w:noWrap w:val="0"/>
            <w:vAlign w:val="center"/>
          </w:tcPr>
          <w:p w14:paraId="5A227666">
            <w:pPr>
              <w:jc w:val="center"/>
              <w:rPr>
                <w:color w:val="000000"/>
                <w:szCs w:val="21"/>
              </w:rPr>
            </w:pPr>
            <w:r>
              <w:rPr>
                <w:color w:val="000000"/>
                <w:szCs w:val="21"/>
              </w:rPr>
              <w:t>200</w:t>
            </w:r>
          </w:p>
        </w:tc>
      </w:tr>
      <w:tr w14:paraId="503400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dxa"/>
            <w:noWrap w:val="0"/>
            <w:vAlign w:val="center"/>
          </w:tcPr>
          <w:p w14:paraId="0D297E41">
            <w:pPr>
              <w:jc w:val="center"/>
              <w:rPr>
                <w:rFonts w:eastAsia="楷体_GB2312"/>
                <w:kern w:val="0"/>
                <w:szCs w:val="21"/>
              </w:rPr>
            </w:pPr>
            <w:r>
              <w:rPr>
                <w:rFonts w:eastAsia="楷体_GB2312"/>
                <w:kern w:val="0"/>
                <w:szCs w:val="21"/>
              </w:rPr>
              <w:t>7</w:t>
            </w:r>
          </w:p>
        </w:tc>
        <w:tc>
          <w:tcPr>
            <w:tcW w:w="0" w:type="dxa"/>
            <w:noWrap w:val="0"/>
            <w:vAlign w:val="center"/>
          </w:tcPr>
          <w:p w14:paraId="3A533DC9">
            <w:pPr>
              <w:pStyle w:val="20"/>
              <w:jc w:val="center"/>
              <w:rPr>
                <w:rFonts w:ascii="Times New Roman" w:hAnsi="Times New Roman" w:eastAsia="楷体_GB2312" w:cs="Times New Roman"/>
              </w:rPr>
            </w:pPr>
            <w:r>
              <w:rPr>
                <w:rFonts w:ascii="Times New Roman" w:hAnsi="Times New Roman" w:eastAsia="楷体_GB2312" w:cs="Times New Roman"/>
              </w:rPr>
              <w:t>时村镇</w:t>
            </w:r>
          </w:p>
        </w:tc>
        <w:tc>
          <w:tcPr>
            <w:tcW w:w="0" w:type="dxa"/>
            <w:noWrap w:val="0"/>
            <w:vAlign w:val="center"/>
          </w:tcPr>
          <w:p w14:paraId="2093B102">
            <w:pPr>
              <w:jc w:val="center"/>
              <w:rPr>
                <w:color w:val="000000"/>
                <w:szCs w:val="21"/>
              </w:rPr>
            </w:pPr>
            <w:r>
              <w:rPr>
                <w:color w:val="000000"/>
                <w:szCs w:val="21"/>
              </w:rPr>
              <w:t>515</w:t>
            </w:r>
          </w:p>
        </w:tc>
        <w:tc>
          <w:tcPr>
            <w:tcW w:w="0" w:type="dxa"/>
            <w:noWrap w:val="0"/>
            <w:vAlign w:val="center"/>
          </w:tcPr>
          <w:p w14:paraId="5A5FA98B">
            <w:pPr>
              <w:jc w:val="center"/>
              <w:rPr>
                <w:color w:val="000000"/>
                <w:szCs w:val="21"/>
              </w:rPr>
            </w:pPr>
            <w:r>
              <w:rPr>
                <w:color w:val="000000"/>
                <w:szCs w:val="21"/>
              </w:rPr>
              <w:t>390</w:t>
            </w:r>
          </w:p>
        </w:tc>
        <w:tc>
          <w:tcPr>
            <w:tcW w:w="0" w:type="dxa"/>
            <w:tcBorders>
              <w:right w:val="single" w:color="auto" w:sz="4" w:space="0"/>
            </w:tcBorders>
            <w:noWrap w:val="0"/>
            <w:vAlign w:val="center"/>
          </w:tcPr>
          <w:p w14:paraId="08EE41DA">
            <w:pPr>
              <w:jc w:val="center"/>
              <w:rPr>
                <w:color w:val="000000"/>
                <w:szCs w:val="21"/>
              </w:rPr>
            </w:pPr>
            <w:r>
              <w:rPr>
                <w:color w:val="000000"/>
                <w:szCs w:val="21"/>
              </w:rPr>
              <w:t>200</w:t>
            </w:r>
          </w:p>
        </w:tc>
      </w:tr>
      <w:tr w14:paraId="4F7A43E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dxa"/>
            <w:noWrap w:val="0"/>
            <w:vAlign w:val="center"/>
          </w:tcPr>
          <w:p w14:paraId="5D519F4F">
            <w:pPr>
              <w:jc w:val="center"/>
              <w:rPr>
                <w:rFonts w:eastAsia="楷体_GB2312"/>
                <w:kern w:val="0"/>
                <w:szCs w:val="21"/>
              </w:rPr>
            </w:pPr>
            <w:r>
              <w:rPr>
                <w:rFonts w:eastAsia="楷体_GB2312"/>
                <w:kern w:val="0"/>
                <w:szCs w:val="21"/>
              </w:rPr>
              <w:t>8</w:t>
            </w:r>
          </w:p>
        </w:tc>
        <w:tc>
          <w:tcPr>
            <w:tcW w:w="0" w:type="dxa"/>
            <w:noWrap w:val="0"/>
            <w:vAlign w:val="center"/>
          </w:tcPr>
          <w:p w14:paraId="6FD44EA8">
            <w:pPr>
              <w:pStyle w:val="20"/>
              <w:jc w:val="center"/>
              <w:rPr>
                <w:rFonts w:ascii="Times New Roman" w:hAnsi="Times New Roman" w:eastAsia="楷体_GB2312" w:cs="Times New Roman"/>
              </w:rPr>
            </w:pPr>
            <w:r>
              <w:rPr>
                <w:rFonts w:ascii="Times New Roman" w:hAnsi="Times New Roman" w:eastAsia="楷体_GB2312" w:cs="Times New Roman"/>
              </w:rPr>
              <w:t>夹沟镇</w:t>
            </w:r>
          </w:p>
        </w:tc>
        <w:tc>
          <w:tcPr>
            <w:tcW w:w="0" w:type="dxa"/>
            <w:noWrap w:val="0"/>
            <w:vAlign w:val="center"/>
          </w:tcPr>
          <w:p w14:paraId="6D6E0470">
            <w:pPr>
              <w:jc w:val="center"/>
              <w:rPr>
                <w:color w:val="000000"/>
                <w:szCs w:val="21"/>
              </w:rPr>
            </w:pPr>
            <w:r>
              <w:rPr>
                <w:color w:val="000000"/>
                <w:szCs w:val="21"/>
              </w:rPr>
              <w:t>505</w:t>
            </w:r>
          </w:p>
        </w:tc>
        <w:tc>
          <w:tcPr>
            <w:tcW w:w="0" w:type="dxa"/>
            <w:noWrap w:val="0"/>
            <w:vAlign w:val="center"/>
          </w:tcPr>
          <w:p w14:paraId="22E33AA1">
            <w:pPr>
              <w:jc w:val="center"/>
              <w:rPr>
                <w:color w:val="000000"/>
                <w:szCs w:val="21"/>
              </w:rPr>
            </w:pPr>
            <w:r>
              <w:rPr>
                <w:color w:val="000000"/>
                <w:szCs w:val="21"/>
              </w:rPr>
              <w:t>380</w:t>
            </w:r>
          </w:p>
        </w:tc>
        <w:tc>
          <w:tcPr>
            <w:tcW w:w="0" w:type="dxa"/>
            <w:tcBorders>
              <w:right w:val="single" w:color="auto" w:sz="4" w:space="0"/>
            </w:tcBorders>
            <w:noWrap w:val="0"/>
            <w:vAlign w:val="center"/>
          </w:tcPr>
          <w:p w14:paraId="267815DE">
            <w:pPr>
              <w:jc w:val="center"/>
              <w:rPr>
                <w:color w:val="000000"/>
                <w:szCs w:val="21"/>
              </w:rPr>
            </w:pPr>
            <w:r>
              <w:rPr>
                <w:color w:val="000000"/>
                <w:szCs w:val="21"/>
              </w:rPr>
              <w:t>170</w:t>
            </w:r>
          </w:p>
        </w:tc>
      </w:tr>
      <w:tr w14:paraId="1860FE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dxa"/>
            <w:noWrap w:val="0"/>
            <w:vAlign w:val="center"/>
          </w:tcPr>
          <w:p w14:paraId="6BE64E66">
            <w:pPr>
              <w:jc w:val="center"/>
              <w:rPr>
                <w:rFonts w:eastAsia="楷体_GB2312"/>
                <w:kern w:val="0"/>
                <w:szCs w:val="21"/>
              </w:rPr>
            </w:pPr>
            <w:r>
              <w:rPr>
                <w:rFonts w:eastAsia="楷体_GB2312"/>
                <w:kern w:val="0"/>
                <w:szCs w:val="21"/>
              </w:rPr>
              <w:t>9</w:t>
            </w:r>
          </w:p>
        </w:tc>
        <w:tc>
          <w:tcPr>
            <w:tcW w:w="0" w:type="dxa"/>
            <w:noWrap w:val="0"/>
            <w:vAlign w:val="center"/>
          </w:tcPr>
          <w:p w14:paraId="2E26C128">
            <w:pPr>
              <w:pStyle w:val="20"/>
              <w:jc w:val="center"/>
              <w:rPr>
                <w:rFonts w:ascii="Times New Roman" w:hAnsi="Times New Roman" w:eastAsia="楷体_GB2312" w:cs="Times New Roman"/>
              </w:rPr>
            </w:pPr>
            <w:r>
              <w:rPr>
                <w:rFonts w:ascii="Times New Roman" w:hAnsi="Times New Roman" w:eastAsia="楷体_GB2312" w:cs="Times New Roman"/>
              </w:rPr>
              <w:t>西二铺乡</w:t>
            </w:r>
          </w:p>
        </w:tc>
        <w:tc>
          <w:tcPr>
            <w:tcW w:w="0" w:type="dxa"/>
            <w:noWrap w:val="0"/>
            <w:vAlign w:val="center"/>
          </w:tcPr>
          <w:p w14:paraId="70811F79">
            <w:pPr>
              <w:jc w:val="center"/>
              <w:rPr>
                <w:color w:val="000000"/>
                <w:szCs w:val="21"/>
              </w:rPr>
            </w:pPr>
            <w:r>
              <w:rPr>
                <w:color w:val="000000"/>
                <w:szCs w:val="21"/>
              </w:rPr>
              <w:t>500</w:t>
            </w:r>
          </w:p>
        </w:tc>
        <w:tc>
          <w:tcPr>
            <w:tcW w:w="0" w:type="dxa"/>
            <w:noWrap w:val="0"/>
            <w:vAlign w:val="center"/>
          </w:tcPr>
          <w:p w14:paraId="7D56198E">
            <w:pPr>
              <w:jc w:val="center"/>
              <w:rPr>
                <w:color w:val="000000"/>
                <w:szCs w:val="21"/>
              </w:rPr>
            </w:pPr>
            <w:r>
              <w:rPr>
                <w:color w:val="000000"/>
                <w:szCs w:val="21"/>
              </w:rPr>
              <w:t>375</w:t>
            </w:r>
          </w:p>
        </w:tc>
        <w:tc>
          <w:tcPr>
            <w:tcW w:w="0" w:type="dxa"/>
            <w:tcBorders>
              <w:right w:val="single" w:color="auto" w:sz="4" w:space="0"/>
            </w:tcBorders>
            <w:noWrap w:val="0"/>
            <w:vAlign w:val="center"/>
          </w:tcPr>
          <w:p w14:paraId="3B09A348">
            <w:pPr>
              <w:jc w:val="center"/>
              <w:rPr>
                <w:color w:val="000000"/>
                <w:szCs w:val="21"/>
              </w:rPr>
            </w:pPr>
            <w:r>
              <w:rPr>
                <w:color w:val="000000"/>
                <w:szCs w:val="21"/>
              </w:rPr>
              <w:t>170</w:t>
            </w:r>
          </w:p>
        </w:tc>
      </w:tr>
      <w:tr w14:paraId="32B16F1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dxa"/>
            <w:noWrap w:val="0"/>
            <w:vAlign w:val="center"/>
          </w:tcPr>
          <w:p w14:paraId="6839171F">
            <w:pPr>
              <w:jc w:val="center"/>
              <w:rPr>
                <w:rFonts w:eastAsia="楷体_GB2312"/>
                <w:kern w:val="0"/>
                <w:szCs w:val="21"/>
              </w:rPr>
            </w:pPr>
            <w:r>
              <w:rPr>
                <w:rFonts w:eastAsia="楷体_GB2312"/>
                <w:kern w:val="0"/>
                <w:szCs w:val="21"/>
              </w:rPr>
              <w:t>10</w:t>
            </w:r>
          </w:p>
        </w:tc>
        <w:tc>
          <w:tcPr>
            <w:tcW w:w="0" w:type="dxa"/>
            <w:noWrap w:val="0"/>
            <w:vAlign w:val="center"/>
          </w:tcPr>
          <w:p w14:paraId="70C57D7A">
            <w:pPr>
              <w:pStyle w:val="20"/>
              <w:jc w:val="center"/>
              <w:rPr>
                <w:rFonts w:ascii="Times New Roman" w:hAnsi="Times New Roman" w:eastAsia="楷体_GB2312" w:cs="Times New Roman"/>
              </w:rPr>
            </w:pPr>
            <w:r>
              <w:rPr>
                <w:rFonts w:ascii="Times New Roman" w:hAnsi="Times New Roman" w:eastAsia="楷体_GB2312" w:cs="Times New Roman"/>
              </w:rPr>
              <w:t>桃园镇</w:t>
            </w:r>
          </w:p>
        </w:tc>
        <w:tc>
          <w:tcPr>
            <w:tcW w:w="0" w:type="dxa"/>
            <w:noWrap w:val="0"/>
            <w:vAlign w:val="center"/>
          </w:tcPr>
          <w:p w14:paraId="218E53D8">
            <w:pPr>
              <w:jc w:val="center"/>
              <w:rPr>
                <w:color w:val="000000"/>
                <w:szCs w:val="21"/>
              </w:rPr>
            </w:pPr>
            <w:r>
              <w:rPr>
                <w:color w:val="000000"/>
                <w:szCs w:val="21"/>
              </w:rPr>
              <w:t>490</w:t>
            </w:r>
          </w:p>
        </w:tc>
        <w:tc>
          <w:tcPr>
            <w:tcW w:w="0" w:type="dxa"/>
            <w:noWrap w:val="0"/>
            <w:vAlign w:val="center"/>
          </w:tcPr>
          <w:p w14:paraId="342E1182">
            <w:pPr>
              <w:jc w:val="center"/>
              <w:rPr>
                <w:color w:val="000000"/>
                <w:szCs w:val="21"/>
              </w:rPr>
            </w:pPr>
            <w:r>
              <w:rPr>
                <w:color w:val="000000"/>
                <w:szCs w:val="21"/>
              </w:rPr>
              <w:t>365</w:t>
            </w:r>
          </w:p>
        </w:tc>
        <w:tc>
          <w:tcPr>
            <w:tcW w:w="0" w:type="dxa"/>
            <w:tcBorders>
              <w:right w:val="single" w:color="auto" w:sz="4" w:space="0"/>
            </w:tcBorders>
            <w:noWrap w:val="0"/>
            <w:vAlign w:val="center"/>
          </w:tcPr>
          <w:p w14:paraId="68F9112B">
            <w:pPr>
              <w:jc w:val="center"/>
              <w:rPr>
                <w:color w:val="000000"/>
                <w:szCs w:val="21"/>
              </w:rPr>
            </w:pPr>
            <w:r>
              <w:rPr>
                <w:color w:val="000000"/>
                <w:szCs w:val="21"/>
              </w:rPr>
              <w:t>170</w:t>
            </w:r>
          </w:p>
        </w:tc>
      </w:tr>
      <w:tr w14:paraId="16EE478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dxa"/>
            <w:noWrap w:val="0"/>
            <w:vAlign w:val="center"/>
          </w:tcPr>
          <w:p w14:paraId="3FAA7D6B">
            <w:pPr>
              <w:jc w:val="center"/>
              <w:rPr>
                <w:rFonts w:eastAsia="楷体_GB2312"/>
                <w:kern w:val="0"/>
                <w:szCs w:val="21"/>
              </w:rPr>
            </w:pPr>
            <w:r>
              <w:rPr>
                <w:rFonts w:eastAsia="楷体_GB2312"/>
                <w:kern w:val="0"/>
                <w:szCs w:val="21"/>
              </w:rPr>
              <w:t>11</w:t>
            </w:r>
          </w:p>
        </w:tc>
        <w:tc>
          <w:tcPr>
            <w:tcW w:w="0" w:type="dxa"/>
            <w:noWrap w:val="0"/>
            <w:vAlign w:val="center"/>
          </w:tcPr>
          <w:p w14:paraId="08EBD9BE">
            <w:pPr>
              <w:pStyle w:val="20"/>
              <w:jc w:val="center"/>
              <w:rPr>
                <w:rFonts w:ascii="Times New Roman" w:hAnsi="Times New Roman" w:eastAsia="楷体_GB2312" w:cs="Times New Roman"/>
              </w:rPr>
            </w:pPr>
            <w:r>
              <w:rPr>
                <w:rFonts w:ascii="Times New Roman" w:hAnsi="Times New Roman" w:eastAsia="楷体_GB2312" w:cs="Times New Roman"/>
              </w:rPr>
              <w:t>曹村镇</w:t>
            </w:r>
          </w:p>
        </w:tc>
        <w:tc>
          <w:tcPr>
            <w:tcW w:w="0" w:type="dxa"/>
            <w:noWrap w:val="0"/>
            <w:vAlign w:val="center"/>
          </w:tcPr>
          <w:p w14:paraId="372D5786">
            <w:pPr>
              <w:jc w:val="center"/>
              <w:rPr>
                <w:color w:val="000000"/>
                <w:szCs w:val="21"/>
              </w:rPr>
            </w:pPr>
            <w:r>
              <w:rPr>
                <w:color w:val="000000"/>
                <w:szCs w:val="21"/>
              </w:rPr>
              <w:t>485</w:t>
            </w:r>
          </w:p>
        </w:tc>
        <w:tc>
          <w:tcPr>
            <w:tcW w:w="0" w:type="dxa"/>
            <w:noWrap w:val="0"/>
            <w:vAlign w:val="center"/>
          </w:tcPr>
          <w:p w14:paraId="4288AB00">
            <w:pPr>
              <w:jc w:val="center"/>
              <w:rPr>
                <w:color w:val="000000"/>
                <w:szCs w:val="21"/>
              </w:rPr>
            </w:pPr>
            <w:r>
              <w:rPr>
                <w:color w:val="000000"/>
                <w:szCs w:val="21"/>
              </w:rPr>
              <w:t>360</w:t>
            </w:r>
          </w:p>
        </w:tc>
        <w:tc>
          <w:tcPr>
            <w:tcW w:w="0" w:type="dxa"/>
            <w:tcBorders>
              <w:right w:val="single" w:color="auto" w:sz="4" w:space="0"/>
            </w:tcBorders>
            <w:noWrap w:val="0"/>
            <w:vAlign w:val="center"/>
          </w:tcPr>
          <w:p w14:paraId="137D1FF0">
            <w:pPr>
              <w:jc w:val="center"/>
              <w:rPr>
                <w:color w:val="000000"/>
                <w:szCs w:val="21"/>
              </w:rPr>
            </w:pPr>
            <w:r>
              <w:rPr>
                <w:color w:val="000000"/>
                <w:szCs w:val="21"/>
              </w:rPr>
              <w:t>170</w:t>
            </w:r>
          </w:p>
        </w:tc>
      </w:tr>
      <w:tr w14:paraId="3A284B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dxa"/>
            <w:noWrap w:val="0"/>
            <w:vAlign w:val="center"/>
          </w:tcPr>
          <w:p w14:paraId="1A0AC2B0">
            <w:pPr>
              <w:jc w:val="center"/>
              <w:rPr>
                <w:rFonts w:eastAsia="楷体_GB2312"/>
                <w:kern w:val="0"/>
                <w:szCs w:val="21"/>
              </w:rPr>
            </w:pPr>
            <w:r>
              <w:rPr>
                <w:rFonts w:eastAsia="楷体_GB2312"/>
                <w:kern w:val="0"/>
                <w:szCs w:val="21"/>
              </w:rPr>
              <w:t>12</w:t>
            </w:r>
          </w:p>
        </w:tc>
        <w:tc>
          <w:tcPr>
            <w:tcW w:w="0" w:type="dxa"/>
            <w:noWrap w:val="0"/>
            <w:vAlign w:val="center"/>
          </w:tcPr>
          <w:p w14:paraId="1B7C8C68">
            <w:pPr>
              <w:pStyle w:val="20"/>
              <w:jc w:val="center"/>
              <w:rPr>
                <w:rFonts w:ascii="Times New Roman" w:hAnsi="Times New Roman" w:eastAsia="楷体_GB2312" w:cs="Times New Roman"/>
              </w:rPr>
            </w:pPr>
            <w:r>
              <w:rPr>
                <w:rFonts w:ascii="Times New Roman" w:hAnsi="Times New Roman" w:eastAsia="楷体_GB2312" w:cs="Times New Roman"/>
              </w:rPr>
              <w:t>大营镇</w:t>
            </w:r>
          </w:p>
        </w:tc>
        <w:tc>
          <w:tcPr>
            <w:tcW w:w="0" w:type="dxa"/>
            <w:noWrap w:val="0"/>
            <w:vAlign w:val="center"/>
          </w:tcPr>
          <w:p w14:paraId="7404F15B">
            <w:pPr>
              <w:jc w:val="center"/>
              <w:rPr>
                <w:color w:val="000000"/>
                <w:szCs w:val="21"/>
              </w:rPr>
            </w:pPr>
            <w:r>
              <w:rPr>
                <w:color w:val="000000"/>
                <w:szCs w:val="21"/>
              </w:rPr>
              <w:t>480</w:t>
            </w:r>
          </w:p>
        </w:tc>
        <w:tc>
          <w:tcPr>
            <w:tcW w:w="0" w:type="dxa"/>
            <w:noWrap w:val="0"/>
            <w:vAlign w:val="center"/>
          </w:tcPr>
          <w:p w14:paraId="5DF9A8CB">
            <w:pPr>
              <w:jc w:val="center"/>
              <w:rPr>
                <w:color w:val="000000"/>
                <w:szCs w:val="21"/>
              </w:rPr>
            </w:pPr>
            <w:r>
              <w:rPr>
                <w:color w:val="000000"/>
                <w:szCs w:val="21"/>
              </w:rPr>
              <w:t>355</w:t>
            </w:r>
          </w:p>
        </w:tc>
        <w:tc>
          <w:tcPr>
            <w:tcW w:w="0" w:type="dxa"/>
            <w:tcBorders>
              <w:right w:val="single" w:color="auto" w:sz="4" w:space="0"/>
            </w:tcBorders>
            <w:noWrap w:val="0"/>
            <w:vAlign w:val="center"/>
          </w:tcPr>
          <w:p w14:paraId="6F5FBC1D">
            <w:pPr>
              <w:jc w:val="center"/>
              <w:rPr>
                <w:color w:val="000000"/>
                <w:szCs w:val="21"/>
              </w:rPr>
            </w:pPr>
            <w:r>
              <w:rPr>
                <w:color w:val="000000"/>
                <w:szCs w:val="21"/>
              </w:rPr>
              <w:t>170</w:t>
            </w:r>
          </w:p>
        </w:tc>
      </w:tr>
      <w:tr w14:paraId="5C3E53B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dxa"/>
            <w:noWrap w:val="0"/>
            <w:vAlign w:val="center"/>
          </w:tcPr>
          <w:p w14:paraId="637A7395">
            <w:pPr>
              <w:jc w:val="center"/>
              <w:rPr>
                <w:rFonts w:eastAsia="楷体_GB2312"/>
                <w:kern w:val="0"/>
                <w:szCs w:val="21"/>
              </w:rPr>
            </w:pPr>
            <w:r>
              <w:rPr>
                <w:rFonts w:eastAsia="楷体_GB2312"/>
                <w:kern w:val="0"/>
                <w:szCs w:val="21"/>
              </w:rPr>
              <w:t>13</w:t>
            </w:r>
          </w:p>
        </w:tc>
        <w:tc>
          <w:tcPr>
            <w:tcW w:w="0" w:type="dxa"/>
            <w:noWrap w:val="0"/>
            <w:vAlign w:val="center"/>
          </w:tcPr>
          <w:p w14:paraId="1FA73A5D">
            <w:pPr>
              <w:pStyle w:val="20"/>
              <w:jc w:val="center"/>
              <w:rPr>
                <w:rFonts w:ascii="Times New Roman" w:hAnsi="Times New Roman" w:eastAsia="楷体_GB2312" w:cs="Times New Roman"/>
              </w:rPr>
            </w:pPr>
            <w:r>
              <w:rPr>
                <w:rFonts w:ascii="Times New Roman" w:hAnsi="Times New Roman" w:eastAsia="楷体_GB2312" w:cs="Times New Roman"/>
              </w:rPr>
              <w:t>褚兰镇</w:t>
            </w:r>
          </w:p>
        </w:tc>
        <w:tc>
          <w:tcPr>
            <w:tcW w:w="0" w:type="dxa"/>
            <w:noWrap w:val="0"/>
            <w:vAlign w:val="center"/>
          </w:tcPr>
          <w:p w14:paraId="7D0EB113">
            <w:pPr>
              <w:jc w:val="center"/>
              <w:rPr>
                <w:color w:val="000000"/>
                <w:szCs w:val="21"/>
              </w:rPr>
            </w:pPr>
            <w:r>
              <w:rPr>
                <w:color w:val="000000"/>
                <w:szCs w:val="21"/>
              </w:rPr>
              <w:t>475</w:t>
            </w:r>
          </w:p>
        </w:tc>
        <w:tc>
          <w:tcPr>
            <w:tcW w:w="0" w:type="dxa"/>
            <w:noWrap w:val="0"/>
            <w:vAlign w:val="center"/>
          </w:tcPr>
          <w:p w14:paraId="19DF507C">
            <w:pPr>
              <w:jc w:val="center"/>
              <w:rPr>
                <w:color w:val="000000"/>
                <w:szCs w:val="21"/>
              </w:rPr>
            </w:pPr>
            <w:r>
              <w:rPr>
                <w:color w:val="000000"/>
                <w:szCs w:val="21"/>
              </w:rPr>
              <w:t>350</w:t>
            </w:r>
          </w:p>
        </w:tc>
        <w:tc>
          <w:tcPr>
            <w:tcW w:w="0" w:type="dxa"/>
            <w:tcBorders>
              <w:right w:val="single" w:color="auto" w:sz="4" w:space="0"/>
            </w:tcBorders>
            <w:noWrap w:val="0"/>
            <w:vAlign w:val="center"/>
          </w:tcPr>
          <w:p w14:paraId="27991519">
            <w:pPr>
              <w:jc w:val="center"/>
              <w:rPr>
                <w:color w:val="000000"/>
                <w:szCs w:val="21"/>
              </w:rPr>
            </w:pPr>
            <w:r>
              <w:rPr>
                <w:color w:val="000000"/>
                <w:szCs w:val="21"/>
              </w:rPr>
              <w:t>170</w:t>
            </w:r>
          </w:p>
        </w:tc>
      </w:tr>
      <w:tr w14:paraId="0648ABE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dxa"/>
            <w:noWrap w:val="0"/>
            <w:vAlign w:val="center"/>
          </w:tcPr>
          <w:p w14:paraId="43790FDC">
            <w:pPr>
              <w:jc w:val="center"/>
              <w:rPr>
                <w:rFonts w:eastAsia="楷体_GB2312"/>
                <w:kern w:val="0"/>
                <w:szCs w:val="21"/>
              </w:rPr>
            </w:pPr>
            <w:r>
              <w:rPr>
                <w:rFonts w:eastAsia="楷体_GB2312"/>
                <w:kern w:val="0"/>
                <w:szCs w:val="21"/>
              </w:rPr>
              <w:t>14</w:t>
            </w:r>
          </w:p>
        </w:tc>
        <w:tc>
          <w:tcPr>
            <w:tcW w:w="0" w:type="dxa"/>
            <w:noWrap w:val="0"/>
            <w:vAlign w:val="center"/>
          </w:tcPr>
          <w:p w14:paraId="6709F424">
            <w:pPr>
              <w:pStyle w:val="20"/>
              <w:jc w:val="center"/>
              <w:rPr>
                <w:rFonts w:ascii="Times New Roman" w:hAnsi="Times New Roman" w:eastAsia="楷体_GB2312" w:cs="Times New Roman"/>
              </w:rPr>
            </w:pPr>
            <w:r>
              <w:rPr>
                <w:rFonts w:ascii="Times New Roman" w:hAnsi="Times New Roman" w:eastAsia="楷体_GB2312" w:cs="Times New Roman"/>
              </w:rPr>
              <w:t>顺河镇</w:t>
            </w:r>
          </w:p>
        </w:tc>
        <w:tc>
          <w:tcPr>
            <w:tcW w:w="0" w:type="dxa"/>
            <w:noWrap w:val="0"/>
            <w:vAlign w:val="center"/>
          </w:tcPr>
          <w:p w14:paraId="61D35D94">
            <w:pPr>
              <w:jc w:val="center"/>
              <w:rPr>
                <w:color w:val="000000"/>
                <w:szCs w:val="21"/>
              </w:rPr>
            </w:pPr>
            <w:r>
              <w:rPr>
                <w:color w:val="000000"/>
                <w:szCs w:val="21"/>
              </w:rPr>
              <w:t>470</w:t>
            </w:r>
          </w:p>
        </w:tc>
        <w:tc>
          <w:tcPr>
            <w:tcW w:w="0" w:type="dxa"/>
            <w:noWrap w:val="0"/>
            <w:vAlign w:val="center"/>
          </w:tcPr>
          <w:p w14:paraId="4CC45A30">
            <w:pPr>
              <w:jc w:val="center"/>
              <w:rPr>
                <w:color w:val="000000"/>
                <w:szCs w:val="21"/>
              </w:rPr>
            </w:pPr>
            <w:r>
              <w:rPr>
                <w:color w:val="000000"/>
                <w:szCs w:val="21"/>
              </w:rPr>
              <w:t>340</w:t>
            </w:r>
          </w:p>
        </w:tc>
        <w:tc>
          <w:tcPr>
            <w:tcW w:w="0" w:type="dxa"/>
            <w:tcBorders>
              <w:right w:val="single" w:color="auto" w:sz="4" w:space="0"/>
            </w:tcBorders>
            <w:noWrap w:val="0"/>
            <w:vAlign w:val="center"/>
          </w:tcPr>
          <w:p w14:paraId="182FCE36">
            <w:pPr>
              <w:jc w:val="center"/>
              <w:rPr>
                <w:color w:val="000000"/>
                <w:szCs w:val="21"/>
              </w:rPr>
            </w:pPr>
            <w:r>
              <w:rPr>
                <w:color w:val="000000"/>
                <w:szCs w:val="21"/>
              </w:rPr>
              <w:t>170</w:t>
            </w:r>
          </w:p>
        </w:tc>
      </w:tr>
      <w:tr w14:paraId="41605EA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dxa"/>
            <w:noWrap w:val="0"/>
            <w:vAlign w:val="center"/>
          </w:tcPr>
          <w:p w14:paraId="0DD7C2C3">
            <w:pPr>
              <w:jc w:val="center"/>
              <w:rPr>
                <w:rFonts w:eastAsia="楷体_GB2312"/>
                <w:kern w:val="0"/>
                <w:szCs w:val="21"/>
              </w:rPr>
            </w:pPr>
            <w:r>
              <w:rPr>
                <w:rFonts w:eastAsia="楷体_GB2312"/>
                <w:kern w:val="0"/>
                <w:szCs w:val="21"/>
              </w:rPr>
              <w:t>15</w:t>
            </w:r>
          </w:p>
        </w:tc>
        <w:tc>
          <w:tcPr>
            <w:tcW w:w="0" w:type="dxa"/>
            <w:noWrap w:val="0"/>
            <w:vAlign w:val="center"/>
          </w:tcPr>
          <w:p w14:paraId="35254130">
            <w:pPr>
              <w:pStyle w:val="20"/>
              <w:jc w:val="center"/>
              <w:rPr>
                <w:rFonts w:ascii="Times New Roman" w:hAnsi="Times New Roman" w:eastAsia="楷体_GB2312" w:cs="Times New Roman"/>
              </w:rPr>
            </w:pPr>
            <w:r>
              <w:rPr>
                <w:rFonts w:ascii="Times New Roman" w:hAnsi="Times New Roman" w:eastAsia="楷体_GB2312" w:cs="Times New Roman"/>
              </w:rPr>
              <w:t>杨庄镇</w:t>
            </w:r>
          </w:p>
        </w:tc>
        <w:tc>
          <w:tcPr>
            <w:tcW w:w="0" w:type="dxa"/>
            <w:noWrap w:val="0"/>
            <w:vAlign w:val="center"/>
          </w:tcPr>
          <w:p w14:paraId="3A67AB17">
            <w:pPr>
              <w:jc w:val="center"/>
              <w:rPr>
                <w:color w:val="000000"/>
                <w:szCs w:val="21"/>
              </w:rPr>
            </w:pPr>
            <w:r>
              <w:rPr>
                <w:color w:val="000000"/>
                <w:szCs w:val="21"/>
              </w:rPr>
              <w:t>455</w:t>
            </w:r>
          </w:p>
        </w:tc>
        <w:tc>
          <w:tcPr>
            <w:tcW w:w="0" w:type="dxa"/>
            <w:noWrap w:val="0"/>
            <w:vAlign w:val="center"/>
          </w:tcPr>
          <w:p w14:paraId="3E8BED2D">
            <w:pPr>
              <w:jc w:val="center"/>
              <w:rPr>
                <w:color w:val="000000"/>
                <w:szCs w:val="21"/>
              </w:rPr>
            </w:pPr>
            <w:r>
              <w:rPr>
                <w:color w:val="000000"/>
                <w:szCs w:val="21"/>
              </w:rPr>
              <w:t>340</w:t>
            </w:r>
          </w:p>
        </w:tc>
        <w:tc>
          <w:tcPr>
            <w:tcW w:w="0" w:type="dxa"/>
            <w:tcBorders>
              <w:right w:val="single" w:color="auto" w:sz="4" w:space="0"/>
            </w:tcBorders>
            <w:noWrap w:val="0"/>
            <w:vAlign w:val="center"/>
          </w:tcPr>
          <w:p w14:paraId="0080BAFE">
            <w:pPr>
              <w:jc w:val="center"/>
              <w:rPr>
                <w:color w:val="000000"/>
                <w:szCs w:val="21"/>
              </w:rPr>
            </w:pPr>
            <w:r>
              <w:rPr>
                <w:color w:val="000000"/>
                <w:szCs w:val="21"/>
              </w:rPr>
              <w:t>170</w:t>
            </w:r>
          </w:p>
        </w:tc>
      </w:tr>
      <w:tr w14:paraId="42790B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dxa"/>
            <w:noWrap w:val="0"/>
            <w:vAlign w:val="center"/>
          </w:tcPr>
          <w:p w14:paraId="00BADB0B">
            <w:pPr>
              <w:jc w:val="center"/>
              <w:rPr>
                <w:rFonts w:eastAsia="楷体_GB2312"/>
                <w:kern w:val="0"/>
                <w:szCs w:val="21"/>
              </w:rPr>
            </w:pPr>
            <w:r>
              <w:rPr>
                <w:rFonts w:eastAsia="楷体_GB2312"/>
                <w:kern w:val="0"/>
                <w:szCs w:val="21"/>
              </w:rPr>
              <w:t>16</w:t>
            </w:r>
          </w:p>
        </w:tc>
        <w:tc>
          <w:tcPr>
            <w:tcW w:w="0" w:type="dxa"/>
            <w:noWrap w:val="0"/>
            <w:vAlign w:val="center"/>
          </w:tcPr>
          <w:p w14:paraId="1703E539">
            <w:pPr>
              <w:pStyle w:val="20"/>
              <w:jc w:val="center"/>
              <w:rPr>
                <w:rFonts w:ascii="Times New Roman" w:hAnsi="Times New Roman" w:eastAsia="楷体_GB2312" w:cs="Times New Roman"/>
              </w:rPr>
            </w:pPr>
            <w:r>
              <w:rPr>
                <w:rFonts w:ascii="Times New Roman" w:hAnsi="Times New Roman" w:eastAsia="楷体_GB2312" w:cs="Times New Roman"/>
              </w:rPr>
              <w:t>永镇乡</w:t>
            </w:r>
          </w:p>
        </w:tc>
        <w:tc>
          <w:tcPr>
            <w:tcW w:w="0" w:type="dxa"/>
            <w:noWrap w:val="0"/>
            <w:vAlign w:val="center"/>
          </w:tcPr>
          <w:p w14:paraId="16133D9D">
            <w:pPr>
              <w:jc w:val="center"/>
              <w:rPr>
                <w:color w:val="000000"/>
                <w:szCs w:val="21"/>
              </w:rPr>
            </w:pPr>
            <w:r>
              <w:rPr>
                <w:color w:val="000000"/>
                <w:szCs w:val="21"/>
              </w:rPr>
              <w:t>450</w:t>
            </w:r>
          </w:p>
        </w:tc>
        <w:tc>
          <w:tcPr>
            <w:tcW w:w="0" w:type="dxa"/>
            <w:noWrap w:val="0"/>
            <w:vAlign w:val="center"/>
          </w:tcPr>
          <w:p w14:paraId="51B6466C">
            <w:pPr>
              <w:jc w:val="center"/>
              <w:rPr>
                <w:color w:val="000000"/>
                <w:szCs w:val="21"/>
              </w:rPr>
            </w:pPr>
            <w:r>
              <w:rPr>
                <w:color w:val="000000"/>
                <w:szCs w:val="21"/>
              </w:rPr>
              <w:t>330</w:t>
            </w:r>
          </w:p>
        </w:tc>
        <w:tc>
          <w:tcPr>
            <w:tcW w:w="0" w:type="dxa"/>
            <w:tcBorders>
              <w:right w:val="single" w:color="auto" w:sz="4" w:space="0"/>
            </w:tcBorders>
            <w:noWrap w:val="0"/>
            <w:vAlign w:val="center"/>
          </w:tcPr>
          <w:p w14:paraId="66B2B241">
            <w:pPr>
              <w:jc w:val="center"/>
              <w:rPr>
                <w:color w:val="000000"/>
                <w:szCs w:val="21"/>
              </w:rPr>
            </w:pPr>
            <w:r>
              <w:rPr>
                <w:color w:val="000000"/>
                <w:szCs w:val="21"/>
              </w:rPr>
              <w:t>170</w:t>
            </w:r>
          </w:p>
        </w:tc>
      </w:tr>
      <w:tr w14:paraId="1060DD0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dxa"/>
            <w:noWrap w:val="0"/>
            <w:vAlign w:val="center"/>
          </w:tcPr>
          <w:p w14:paraId="07B2AF3D">
            <w:pPr>
              <w:jc w:val="center"/>
              <w:rPr>
                <w:rFonts w:eastAsia="楷体_GB2312"/>
                <w:kern w:val="0"/>
                <w:szCs w:val="21"/>
              </w:rPr>
            </w:pPr>
            <w:r>
              <w:rPr>
                <w:rFonts w:eastAsia="楷体_GB2312"/>
                <w:kern w:val="0"/>
                <w:szCs w:val="21"/>
              </w:rPr>
              <w:t>17</w:t>
            </w:r>
          </w:p>
        </w:tc>
        <w:tc>
          <w:tcPr>
            <w:tcW w:w="0" w:type="dxa"/>
            <w:noWrap w:val="0"/>
            <w:vAlign w:val="center"/>
          </w:tcPr>
          <w:p w14:paraId="16E5758B">
            <w:pPr>
              <w:pStyle w:val="20"/>
              <w:jc w:val="center"/>
              <w:rPr>
                <w:rFonts w:ascii="Times New Roman" w:hAnsi="Times New Roman" w:eastAsia="楷体_GB2312" w:cs="Times New Roman"/>
              </w:rPr>
            </w:pPr>
            <w:r>
              <w:rPr>
                <w:rFonts w:ascii="Times New Roman" w:hAnsi="Times New Roman" w:eastAsia="楷体_GB2312" w:cs="Times New Roman"/>
              </w:rPr>
              <w:t>解集镇</w:t>
            </w:r>
          </w:p>
        </w:tc>
        <w:tc>
          <w:tcPr>
            <w:tcW w:w="0" w:type="dxa"/>
            <w:noWrap w:val="0"/>
            <w:vAlign w:val="center"/>
          </w:tcPr>
          <w:p w14:paraId="79DE9427">
            <w:pPr>
              <w:jc w:val="center"/>
              <w:rPr>
                <w:color w:val="000000"/>
                <w:szCs w:val="21"/>
              </w:rPr>
            </w:pPr>
            <w:r>
              <w:rPr>
                <w:color w:val="000000"/>
                <w:szCs w:val="21"/>
              </w:rPr>
              <w:t>435</w:t>
            </w:r>
          </w:p>
        </w:tc>
        <w:tc>
          <w:tcPr>
            <w:tcW w:w="0" w:type="dxa"/>
            <w:noWrap w:val="0"/>
            <w:vAlign w:val="center"/>
          </w:tcPr>
          <w:p w14:paraId="40EAD4E4">
            <w:pPr>
              <w:jc w:val="center"/>
              <w:rPr>
                <w:color w:val="000000"/>
                <w:szCs w:val="21"/>
              </w:rPr>
            </w:pPr>
            <w:r>
              <w:rPr>
                <w:color w:val="000000"/>
                <w:szCs w:val="21"/>
              </w:rPr>
              <w:t>335</w:t>
            </w:r>
          </w:p>
        </w:tc>
        <w:tc>
          <w:tcPr>
            <w:tcW w:w="0" w:type="dxa"/>
            <w:tcBorders>
              <w:right w:val="single" w:color="auto" w:sz="4" w:space="0"/>
            </w:tcBorders>
            <w:noWrap w:val="0"/>
            <w:vAlign w:val="center"/>
          </w:tcPr>
          <w:p w14:paraId="341CF3C2">
            <w:pPr>
              <w:jc w:val="center"/>
              <w:rPr>
                <w:color w:val="000000"/>
                <w:szCs w:val="21"/>
              </w:rPr>
            </w:pPr>
            <w:r>
              <w:rPr>
                <w:color w:val="000000"/>
                <w:szCs w:val="21"/>
              </w:rPr>
              <w:t>170</w:t>
            </w:r>
          </w:p>
        </w:tc>
      </w:tr>
      <w:tr w14:paraId="4E3505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dxa"/>
            <w:noWrap w:val="0"/>
            <w:vAlign w:val="center"/>
          </w:tcPr>
          <w:p w14:paraId="4B5D5491">
            <w:pPr>
              <w:jc w:val="center"/>
              <w:rPr>
                <w:rFonts w:eastAsia="楷体_GB2312"/>
                <w:kern w:val="0"/>
                <w:szCs w:val="21"/>
              </w:rPr>
            </w:pPr>
            <w:r>
              <w:rPr>
                <w:rFonts w:eastAsia="楷体_GB2312"/>
                <w:kern w:val="0"/>
                <w:szCs w:val="21"/>
              </w:rPr>
              <w:t>18</w:t>
            </w:r>
          </w:p>
        </w:tc>
        <w:tc>
          <w:tcPr>
            <w:tcW w:w="0" w:type="dxa"/>
            <w:noWrap w:val="0"/>
            <w:vAlign w:val="center"/>
          </w:tcPr>
          <w:p w14:paraId="46B1C812">
            <w:pPr>
              <w:pStyle w:val="20"/>
              <w:jc w:val="center"/>
              <w:rPr>
                <w:rFonts w:ascii="Times New Roman" w:hAnsi="Times New Roman" w:eastAsia="楷体_GB2312" w:cs="Times New Roman"/>
              </w:rPr>
            </w:pPr>
            <w:r>
              <w:rPr>
                <w:rFonts w:ascii="Times New Roman" w:hAnsi="Times New Roman" w:eastAsia="楷体_GB2312" w:cs="Times New Roman"/>
              </w:rPr>
              <w:t>大泽乡镇</w:t>
            </w:r>
          </w:p>
        </w:tc>
        <w:tc>
          <w:tcPr>
            <w:tcW w:w="0" w:type="dxa"/>
            <w:noWrap w:val="0"/>
            <w:vAlign w:val="center"/>
          </w:tcPr>
          <w:p w14:paraId="2FDDAD56">
            <w:pPr>
              <w:jc w:val="center"/>
              <w:rPr>
                <w:color w:val="000000"/>
                <w:szCs w:val="21"/>
              </w:rPr>
            </w:pPr>
            <w:r>
              <w:rPr>
                <w:color w:val="000000"/>
                <w:szCs w:val="21"/>
              </w:rPr>
              <w:t>435</w:t>
            </w:r>
          </w:p>
        </w:tc>
        <w:tc>
          <w:tcPr>
            <w:tcW w:w="0" w:type="dxa"/>
            <w:noWrap w:val="0"/>
            <w:vAlign w:val="center"/>
          </w:tcPr>
          <w:p w14:paraId="1456AD2A">
            <w:pPr>
              <w:jc w:val="center"/>
              <w:rPr>
                <w:color w:val="000000"/>
                <w:szCs w:val="21"/>
              </w:rPr>
            </w:pPr>
            <w:r>
              <w:rPr>
                <w:color w:val="000000"/>
                <w:szCs w:val="21"/>
              </w:rPr>
              <w:t>320</w:t>
            </w:r>
          </w:p>
        </w:tc>
        <w:tc>
          <w:tcPr>
            <w:tcW w:w="0" w:type="dxa"/>
            <w:tcBorders>
              <w:right w:val="single" w:color="auto" w:sz="4" w:space="0"/>
            </w:tcBorders>
            <w:noWrap w:val="0"/>
            <w:vAlign w:val="center"/>
          </w:tcPr>
          <w:p w14:paraId="242FE3F8">
            <w:pPr>
              <w:jc w:val="center"/>
              <w:rPr>
                <w:color w:val="000000"/>
                <w:szCs w:val="21"/>
              </w:rPr>
            </w:pPr>
            <w:r>
              <w:rPr>
                <w:color w:val="000000"/>
                <w:szCs w:val="21"/>
              </w:rPr>
              <w:t>170</w:t>
            </w:r>
          </w:p>
        </w:tc>
      </w:tr>
      <w:tr w14:paraId="648A48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dxa"/>
            <w:noWrap w:val="0"/>
            <w:vAlign w:val="center"/>
          </w:tcPr>
          <w:p w14:paraId="5CCD08A9">
            <w:pPr>
              <w:jc w:val="center"/>
              <w:rPr>
                <w:rFonts w:eastAsia="楷体_GB2312"/>
                <w:kern w:val="0"/>
                <w:szCs w:val="21"/>
              </w:rPr>
            </w:pPr>
            <w:r>
              <w:rPr>
                <w:rFonts w:eastAsia="楷体_GB2312"/>
                <w:kern w:val="0"/>
                <w:szCs w:val="21"/>
              </w:rPr>
              <w:t>19</w:t>
            </w:r>
          </w:p>
        </w:tc>
        <w:tc>
          <w:tcPr>
            <w:tcW w:w="0" w:type="dxa"/>
            <w:noWrap w:val="0"/>
            <w:vAlign w:val="center"/>
          </w:tcPr>
          <w:p w14:paraId="3484157D">
            <w:pPr>
              <w:pStyle w:val="20"/>
              <w:jc w:val="center"/>
              <w:rPr>
                <w:rFonts w:ascii="Times New Roman" w:hAnsi="Times New Roman" w:eastAsia="楷体_GB2312" w:cs="Times New Roman"/>
              </w:rPr>
            </w:pPr>
            <w:r>
              <w:rPr>
                <w:rFonts w:ascii="Times New Roman" w:hAnsi="Times New Roman" w:eastAsia="楷体_GB2312" w:cs="Times New Roman"/>
              </w:rPr>
              <w:t>永安镇</w:t>
            </w:r>
          </w:p>
        </w:tc>
        <w:tc>
          <w:tcPr>
            <w:tcW w:w="0" w:type="dxa"/>
            <w:noWrap w:val="0"/>
            <w:vAlign w:val="center"/>
          </w:tcPr>
          <w:p w14:paraId="28E72E15">
            <w:pPr>
              <w:jc w:val="center"/>
              <w:rPr>
                <w:color w:val="000000"/>
                <w:szCs w:val="21"/>
              </w:rPr>
            </w:pPr>
            <w:r>
              <w:rPr>
                <w:color w:val="000000"/>
                <w:szCs w:val="21"/>
              </w:rPr>
              <w:t>435</w:t>
            </w:r>
          </w:p>
        </w:tc>
        <w:tc>
          <w:tcPr>
            <w:tcW w:w="0" w:type="dxa"/>
            <w:noWrap w:val="0"/>
            <w:vAlign w:val="center"/>
          </w:tcPr>
          <w:p w14:paraId="6AB50250">
            <w:pPr>
              <w:jc w:val="center"/>
              <w:rPr>
                <w:color w:val="000000"/>
                <w:szCs w:val="21"/>
              </w:rPr>
            </w:pPr>
            <w:r>
              <w:rPr>
                <w:color w:val="000000"/>
                <w:szCs w:val="21"/>
              </w:rPr>
              <w:t>335</w:t>
            </w:r>
          </w:p>
        </w:tc>
        <w:tc>
          <w:tcPr>
            <w:tcW w:w="0" w:type="dxa"/>
            <w:tcBorders>
              <w:right w:val="single" w:color="auto" w:sz="4" w:space="0"/>
            </w:tcBorders>
            <w:noWrap w:val="0"/>
            <w:vAlign w:val="center"/>
          </w:tcPr>
          <w:p w14:paraId="4A12178F">
            <w:pPr>
              <w:jc w:val="center"/>
              <w:rPr>
                <w:color w:val="000000"/>
                <w:szCs w:val="21"/>
              </w:rPr>
            </w:pPr>
            <w:r>
              <w:rPr>
                <w:color w:val="000000"/>
                <w:szCs w:val="21"/>
              </w:rPr>
              <w:t>170</w:t>
            </w:r>
          </w:p>
        </w:tc>
      </w:tr>
      <w:tr w14:paraId="715EBF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dxa"/>
            <w:noWrap w:val="0"/>
            <w:vAlign w:val="center"/>
          </w:tcPr>
          <w:p w14:paraId="455454F8">
            <w:pPr>
              <w:jc w:val="center"/>
              <w:rPr>
                <w:rFonts w:eastAsia="楷体_GB2312"/>
                <w:kern w:val="0"/>
                <w:szCs w:val="21"/>
              </w:rPr>
            </w:pPr>
            <w:r>
              <w:rPr>
                <w:rFonts w:eastAsia="楷体_GB2312"/>
                <w:kern w:val="0"/>
                <w:szCs w:val="21"/>
              </w:rPr>
              <w:t>20</w:t>
            </w:r>
          </w:p>
        </w:tc>
        <w:tc>
          <w:tcPr>
            <w:tcW w:w="0" w:type="dxa"/>
            <w:noWrap w:val="0"/>
            <w:vAlign w:val="center"/>
          </w:tcPr>
          <w:p w14:paraId="0E7429E0">
            <w:pPr>
              <w:pStyle w:val="20"/>
              <w:jc w:val="center"/>
              <w:rPr>
                <w:rFonts w:ascii="Times New Roman" w:hAnsi="Times New Roman" w:eastAsia="楷体_GB2312" w:cs="Times New Roman"/>
              </w:rPr>
            </w:pPr>
            <w:r>
              <w:rPr>
                <w:rFonts w:ascii="Times New Roman" w:hAnsi="Times New Roman" w:eastAsia="楷体_GB2312" w:cs="Times New Roman"/>
              </w:rPr>
              <w:t>支河乡</w:t>
            </w:r>
          </w:p>
        </w:tc>
        <w:tc>
          <w:tcPr>
            <w:tcW w:w="0" w:type="dxa"/>
            <w:noWrap w:val="0"/>
            <w:vAlign w:val="center"/>
          </w:tcPr>
          <w:p w14:paraId="25ABD04D">
            <w:pPr>
              <w:jc w:val="center"/>
              <w:rPr>
                <w:color w:val="000000"/>
                <w:szCs w:val="21"/>
              </w:rPr>
            </w:pPr>
            <w:r>
              <w:rPr>
                <w:color w:val="000000"/>
                <w:szCs w:val="21"/>
              </w:rPr>
              <w:t>425</w:t>
            </w:r>
          </w:p>
        </w:tc>
        <w:tc>
          <w:tcPr>
            <w:tcW w:w="0" w:type="dxa"/>
            <w:noWrap w:val="0"/>
            <w:vAlign w:val="center"/>
          </w:tcPr>
          <w:p w14:paraId="37039B0E">
            <w:pPr>
              <w:jc w:val="center"/>
              <w:rPr>
                <w:color w:val="000000"/>
                <w:szCs w:val="21"/>
              </w:rPr>
            </w:pPr>
            <w:r>
              <w:rPr>
                <w:color w:val="000000"/>
                <w:szCs w:val="21"/>
              </w:rPr>
              <w:t>315</w:t>
            </w:r>
          </w:p>
        </w:tc>
        <w:tc>
          <w:tcPr>
            <w:tcW w:w="0" w:type="dxa"/>
            <w:tcBorders>
              <w:right w:val="single" w:color="auto" w:sz="4" w:space="0"/>
            </w:tcBorders>
            <w:noWrap w:val="0"/>
            <w:vAlign w:val="center"/>
          </w:tcPr>
          <w:p w14:paraId="18BF7C2D">
            <w:pPr>
              <w:jc w:val="center"/>
              <w:rPr>
                <w:color w:val="000000"/>
                <w:szCs w:val="21"/>
              </w:rPr>
            </w:pPr>
            <w:r>
              <w:rPr>
                <w:color w:val="000000"/>
                <w:szCs w:val="21"/>
              </w:rPr>
              <w:t>170</w:t>
            </w:r>
          </w:p>
        </w:tc>
      </w:tr>
      <w:tr w14:paraId="1976C0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dxa"/>
            <w:noWrap w:val="0"/>
            <w:vAlign w:val="center"/>
          </w:tcPr>
          <w:p w14:paraId="2A9E0BDD">
            <w:pPr>
              <w:jc w:val="center"/>
              <w:rPr>
                <w:rFonts w:eastAsia="楷体_GB2312"/>
                <w:kern w:val="0"/>
                <w:szCs w:val="21"/>
              </w:rPr>
            </w:pPr>
            <w:r>
              <w:rPr>
                <w:rFonts w:eastAsia="楷体_GB2312"/>
                <w:kern w:val="0"/>
                <w:szCs w:val="21"/>
              </w:rPr>
              <w:t>21</w:t>
            </w:r>
          </w:p>
        </w:tc>
        <w:tc>
          <w:tcPr>
            <w:tcW w:w="0" w:type="dxa"/>
            <w:noWrap w:val="0"/>
            <w:vAlign w:val="center"/>
          </w:tcPr>
          <w:p w14:paraId="6F22A9B7">
            <w:pPr>
              <w:pStyle w:val="20"/>
              <w:jc w:val="center"/>
              <w:rPr>
                <w:rFonts w:ascii="Times New Roman" w:hAnsi="Times New Roman" w:eastAsia="楷体_GB2312" w:cs="Times New Roman"/>
              </w:rPr>
            </w:pPr>
            <w:r>
              <w:rPr>
                <w:rFonts w:ascii="Times New Roman" w:hAnsi="Times New Roman" w:eastAsia="楷体_GB2312" w:cs="Times New Roman"/>
              </w:rPr>
              <w:t>灰古镇</w:t>
            </w:r>
          </w:p>
        </w:tc>
        <w:tc>
          <w:tcPr>
            <w:tcW w:w="0" w:type="dxa"/>
            <w:noWrap w:val="0"/>
            <w:vAlign w:val="center"/>
          </w:tcPr>
          <w:p w14:paraId="6C0DAED6">
            <w:pPr>
              <w:jc w:val="center"/>
              <w:rPr>
                <w:color w:val="000000"/>
                <w:szCs w:val="21"/>
              </w:rPr>
            </w:pPr>
            <w:r>
              <w:rPr>
                <w:color w:val="000000"/>
                <w:szCs w:val="21"/>
              </w:rPr>
              <w:t>430</w:t>
            </w:r>
          </w:p>
        </w:tc>
        <w:tc>
          <w:tcPr>
            <w:tcW w:w="0" w:type="dxa"/>
            <w:noWrap w:val="0"/>
            <w:vAlign w:val="center"/>
          </w:tcPr>
          <w:p w14:paraId="72E7122E">
            <w:pPr>
              <w:jc w:val="center"/>
              <w:rPr>
                <w:color w:val="000000"/>
                <w:szCs w:val="21"/>
              </w:rPr>
            </w:pPr>
            <w:r>
              <w:rPr>
                <w:color w:val="000000"/>
                <w:szCs w:val="21"/>
              </w:rPr>
              <w:t>320</w:t>
            </w:r>
          </w:p>
        </w:tc>
        <w:tc>
          <w:tcPr>
            <w:tcW w:w="0" w:type="dxa"/>
            <w:tcBorders>
              <w:right w:val="single" w:color="auto" w:sz="4" w:space="0"/>
            </w:tcBorders>
            <w:noWrap w:val="0"/>
            <w:vAlign w:val="center"/>
          </w:tcPr>
          <w:p w14:paraId="33BBD44A">
            <w:pPr>
              <w:jc w:val="center"/>
              <w:rPr>
                <w:color w:val="000000"/>
                <w:szCs w:val="21"/>
              </w:rPr>
            </w:pPr>
            <w:r>
              <w:rPr>
                <w:color w:val="000000"/>
                <w:szCs w:val="21"/>
              </w:rPr>
              <w:t>170</w:t>
            </w:r>
          </w:p>
        </w:tc>
      </w:tr>
      <w:tr w14:paraId="7740DD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dxa"/>
            <w:noWrap w:val="0"/>
            <w:vAlign w:val="center"/>
          </w:tcPr>
          <w:p w14:paraId="1FFEB256">
            <w:pPr>
              <w:jc w:val="center"/>
              <w:rPr>
                <w:rFonts w:eastAsia="楷体_GB2312"/>
                <w:kern w:val="0"/>
                <w:szCs w:val="21"/>
              </w:rPr>
            </w:pPr>
            <w:r>
              <w:rPr>
                <w:rFonts w:eastAsia="楷体_GB2312"/>
                <w:kern w:val="0"/>
                <w:szCs w:val="21"/>
              </w:rPr>
              <w:t>22</w:t>
            </w:r>
          </w:p>
        </w:tc>
        <w:tc>
          <w:tcPr>
            <w:tcW w:w="0" w:type="dxa"/>
            <w:noWrap w:val="0"/>
            <w:vAlign w:val="center"/>
          </w:tcPr>
          <w:p w14:paraId="64C34A47">
            <w:pPr>
              <w:pStyle w:val="20"/>
              <w:jc w:val="center"/>
              <w:rPr>
                <w:rFonts w:ascii="Times New Roman" w:hAnsi="Times New Roman" w:eastAsia="楷体_GB2312" w:cs="Times New Roman"/>
              </w:rPr>
            </w:pPr>
            <w:r>
              <w:rPr>
                <w:rFonts w:ascii="Times New Roman" w:hAnsi="Times New Roman" w:eastAsia="楷体_GB2312" w:cs="Times New Roman"/>
              </w:rPr>
              <w:t>桃沟乡</w:t>
            </w:r>
          </w:p>
        </w:tc>
        <w:tc>
          <w:tcPr>
            <w:tcW w:w="0" w:type="dxa"/>
            <w:noWrap w:val="0"/>
            <w:vAlign w:val="center"/>
          </w:tcPr>
          <w:p w14:paraId="351F4C97">
            <w:pPr>
              <w:jc w:val="center"/>
              <w:rPr>
                <w:color w:val="000000"/>
                <w:szCs w:val="21"/>
              </w:rPr>
            </w:pPr>
            <w:r>
              <w:rPr>
                <w:color w:val="000000"/>
                <w:szCs w:val="21"/>
              </w:rPr>
              <w:t>425</w:t>
            </w:r>
          </w:p>
        </w:tc>
        <w:tc>
          <w:tcPr>
            <w:tcW w:w="0" w:type="dxa"/>
            <w:noWrap w:val="0"/>
            <w:vAlign w:val="center"/>
          </w:tcPr>
          <w:p w14:paraId="73B23462">
            <w:pPr>
              <w:jc w:val="center"/>
              <w:rPr>
                <w:color w:val="000000"/>
                <w:szCs w:val="21"/>
              </w:rPr>
            </w:pPr>
            <w:r>
              <w:rPr>
                <w:color w:val="000000"/>
                <w:szCs w:val="21"/>
              </w:rPr>
              <w:t>310</w:t>
            </w:r>
          </w:p>
        </w:tc>
        <w:tc>
          <w:tcPr>
            <w:tcW w:w="0" w:type="dxa"/>
            <w:tcBorders>
              <w:right w:val="single" w:color="auto" w:sz="4" w:space="0"/>
            </w:tcBorders>
            <w:noWrap w:val="0"/>
            <w:vAlign w:val="center"/>
          </w:tcPr>
          <w:p w14:paraId="12E56922">
            <w:pPr>
              <w:jc w:val="center"/>
              <w:rPr>
                <w:color w:val="000000"/>
                <w:szCs w:val="21"/>
              </w:rPr>
            </w:pPr>
            <w:r>
              <w:rPr>
                <w:color w:val="000000"/>
                <w:szCs w:val="21"/>
              </w:rPr>
              <w:t>170</w:t>
            </w:r>
          </w:p>
        </w:tc>
      </w:tr>
    </w:tbl>
    <w:p w14:paraId="45F8A661">
      <w:pPr>
        <w:widowControl w:val="0"/>
        <w:jc w:val="both"/>
        <w:rPr>
          <w:szCs w:val="21"/>
        </w:rPr>
      </w:pPr>
    </w:p>
    <w:p w14:paraId="3819D771">
      <w:pPr>
        <w:widowControl w:val="0"/>
        <w:jc w:val="center"/>
      </w:pPr>
    </w:p>
    <w:p w14:paraId="13FB3676">
      <w:pPr>
        <w:widowControl w:val="0"/>
        <w:jc w:val="center"/>
      </w:pPr>
      <w:r>
        <w:drawing>
          <wp:inline distT="0" distB="0" distL="114300" distR="114300">
            <wp:extent cx="5400040" cy="2593975"/>
            <wp:effectExtent l="0" t="0" r="10160" b="15875"/>
            <wp:docPr id="3" name="图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21"/>
                    <pic:cNvPicPr>
                      <a:picLocks noChangeAspect="1"/>
                    </pic:cNvPicPr>
                  </pic:nvPicPr>
                  <pic:blipFill>
                    <a:blip r:embed="rId358"/>
                    <a:stretch>
                      <a:fillRect/>
                    </a:stretch>
                  </pic:blipFill>
                  <pic:spPr>
                    <a:xfrm>
                      <a:off x="0" y="0"/>
                      <a:ext cx="5400040" cy="2593975"/>
                    </a:xfrm>
                    <a:prstGeom prst="rect">
                      <a:avLst/>
                    </a:prstGeom>
                    <a:noFill/>
                    <a:ln>
                      <a:noFill/>
                    </a:ln>
                  </pic:spPr>
                </pic:pic>
              </a:graphicData>
            </a:graphic>
          </wp:inline>
        </w:drawing>
      </w:r>
    </w:p>
    <w:p w14:paraId="38556427">
      <w:pPr>
        <w:widowControl w:val="0"/>
        <w:jc w:val="center"/>
        <w:rPr>
          <w:szCs w:val="21"/>
        </w:rPr>
      </w:pPr>
      <w:r>
        <w:rPr>
          <w:szCs w:val="21"/>
        </w:rPr>
        <w:drawing>
          <wp:inline distT="0" distB="0" distL="114300" distR="114300">
            <wp:extent cx="5400040" cy="2593975"/>
            <wp:effectExtent l="0" t="0" r="10160" b="15875"/>
            <wp:docPr id="2" name="图片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22"/>
                    <pic:cNvPicPr>
                      <a:picLocks noChangeAspect="1"/>
                    </pic:cNvPicPr>
                  </pic:nvPicPr>
                  <pic:blipFill>
                    <a:blip r:embed="rId359"/>
                    <a:stretch>
                      <a:fillRect/>
                    </a:stretch>
                  </pic:blipFill>
                  <pic:spPr>
                    <a:xfrm>
                      <a:off x="0" y="0"/>
                      <a:ext cx="5400040" cy="2593975"/>
                    </a:xfrm>
                    <a:prstGeom prst="rect">
                      <a:avLst/>
                    </a:prstGeom>
                    <a:noFill/>
                    <a:ln>
                      <a:noFill/>
                    </a:ln>
                  </pic:spPr>
                </pic:pic>
              </a:graphicData>
            </a:graphic>
          </wp:inline>
        </w:drawing>
      </w:r>
    </w:p>
    <w:p w14:paraId="4DAEAF7B">
      <w:pPr>
        <w:widowControl w:val="0"/>
        <w:jc w:val="center"/>
        <w:rPr>
          <w:szCs w:val="21"/>
        </w:rPr>
      </w:pPr>
      <w:r>
        <w:rPr>
          <w:szCs w:val="21"/>
        </w:rPr>
        <w:drawing>
          <wp:inline distT="0" distB="0" distL="114300" distR="114300">
            <wp:extent cx="5400040" cy="2593975"/>
            <wp:effectExtent l="0" t="0" r="10160" b="15875"/>
            <wp:docPr id="1" name="图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23"/>
                    <pic:cNvPicPr>
                      <a:picLocks noChangeAspect="1"/>
                    </pic:cNvPicPr>
                  </pic:nvPicPr>
                  <pic:blipFill>
                    <a:blip r:embed="rId360"/>
                    <a:stretch>
                      <a:fillRect/>
                    </a:stretch>
                  </pic:blipFill>
                  <pic:spPr>
                    <a:xfrm>
                      <a:off x="0" y="0"/>
                      <a:ext cx="5400040" cy="2593975"/>
                    </a:xfrm>
                    <a:prstGeom prst="rect">
                      <a:avLst/>
                    </a:prstGeom>
                    <a:noFill/>
                    <a:ln>
                      <a:noFill/>
                    </a:ln>
                  </pic:spPr>
                </pic:pic>
              </a:graphicData>
            </a:graphic>
          </wp:inline>
        </w:drawing>
      </w:r>
    </w:p>
    <w:p w14:paraId="2653F5FA">
      <w:pPr>
        <w:widowControl w:val="0"/>
        <w:spacing w:line="480" w:lineRule="exact"/>
        <w:jc w:val="center"/>
        <w:rPr>
          <w:rFonts w:eastAsia="黑体"/>
          <w:sz w:val="28"/>
          <w:szCs w:val="21"/>
        </w:rPr>
      </w:pPr>
      <w:r>
        <w:rPr>
          <w:rFonts w:eastAsia="黑体"/>
          <w:sz w:val="28"/>
          <w:szCs w:val="21"/>
        </w:rPr>
        <w:t>图2-8-2  埇桥区各乡镇镇区一级地各用途基准地价柱状图</w:t>
      </w:r>
    </w:p>
    <w:p w14:paraId="213F949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对比商服用地</w:t>
      </w:r>
      <w:r>
        <w:rPr>
          <w:rFonts w:hint="eastAsia" w:ascii="Times New Roman" w:hAnsi="Times New Roman" w:eastAsia="楷体_GB2312" w:cs="Times New Roman"/>
          <w:sz w:val="28"/>
        </w:rPr>
        <w:t>、</w:t>
      </w:r>
      <w:r>
        <w:rPr>
          <w:rFonts w:ascii="Times New Roman" w:hAnsi="Times New Roman" w:eastAsia="楷体_GB2312" w:cs="Times New Roman"/>
          <w:sz w:val="28"/>
        </w:rPr>
        <w:t>住宅用地</w:t>
      </w:r>
      <w:r>
        <w:rPr>
          <w:rFonts w:hint="eastAsia" w:ascii="Times New Roman" w:hAnsi="Times New Roman" w:eastAsia="楷体_GB2312" w:cs="Times New Roman"/>
          <w:sz w:val="28"/>
        </w:rPr>
        <w:t>、</w:t>
      </w:r>
      <w:r>
        <w:rPr>
          <w:rFonts w:ascii="Times New Roman" w:hAnsi="Times New Roman" w:eastAsia="楷体_GB2312" w:cs="Times New Roman"/>
          <w:sz w:val="28"/>
        </w:rPr>
        <w:t>工矿仓储用地基准地价与</w:t>
      </w:r>
      <w:r>
        <w:rPr>
          <w:rFonts w:hint="eastAsia" w:ascii="Times New Roman" w:hAnsi="Times New Roman" w:eastAsia="楷体_GB2312" w:cs="Times New Roman"/>
          <w:sz w:val="28"/>
        </w:rPr>
        <w:t>招商引资、固定资产投资、工业总产值，</w:t>
      </w:r>
      <w:r>
        <w:rPr>
          <w:rFonts w:ascii="Times New Roman" w:hAnsi="Times New Roman" w:eastAsia="楷体_GB2312" w:cs="Times New Roman"/>
          <w:sz w:val="28"/>
        </w:rPr>
        <w:t>在各乡镇的高低水平可以发现，</w:t>
      </w:r>
      <w:r>
        <w:rPr>
          <w:rFonts w:hint="eastAsia" w:ascii="楷体" w:hAnsi="楷体" w:eastAsia="楷体" w:cs="宋体"/>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各乡镇基准地价与以上经济数据有一定的相关性，但不完全相同。这是因为基准地价除了受以上经济指标的影响外，还受其他许多因素影响，如</w:t>
      </w:r>
      <w:r>
        <w:rPr>
          <w:rFonts w:hint="eastAsia" w:ascii="楷体" w:hAnsi="楷体" w:eastAsia="楷体" w:cs="宋体"/>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各乡镇基准地价的高低受交通区位的影响比较明显。</w:t>
      </w:r>
    </w:p>
    <w:p w14:paraId="2E223539">
      <w:pPr>
        <w:pStyle w:val="17"/>
        <w:rPr>
          <w:rFonts w:eastAsia="楷体_GB2312"/>
        </w:rPr>
      </w:pPr>
    </w:p>
    <w:p w14:paraId="77DD904B">
      <w:pPr>
        <w:pStyle w:val="4"/>
        <w:numPr>
          <w:ilvl w:val="0"/>
          <w:numId w:val="0"/>
        </w:numPr>
        <w:spacing w:line="240" w:lineRule="auto"/>
        <w:jc w:val="center"/>
        <w:rPr>
          <w:rFonts w:eastAsia="仿宋_GB2312"/>
          <w:bCs w:val="0"/>
        </w:rPr>
      </w:pPr>
      <w:bookmarkStart w:id="106" w:name="_Toc62563705"/>
      <w:bookmarkStart w:id="107" w:name="_Toc303174154"/>
      <w:bookmarkStart w:id="108" w:name="_Toc388541542"/>
      <w:bookmarkStart w:id="109" w:name="_Toc357081610"/>
      <w:bookmarkStart w:id="110" w:name="_Toc374545627"/>
      <w:r>
        <w:rPr>
          <w:rFonts w:eastAsia="仿宋_GB2312"/>
          <w:bCs w:val="0"/>
        </w:rPr>
        <w:t>第三节  房地产相关政策对基准地价的影响分析</w:t>
      </w:r>
      <w:bookmarkEnd w:id="106"/>
      <w:bookmarkEnd w:id="107"/>
      <w:bookmarkEnd w:id="108"/>
      <w:bookmarkEnd w:id="109"/>
      <w:bookmarkEnd w:id="110"/>
    </w:p>
    <w:p w14:paraId="6C31605E">
      <w:pPr>
        <w:widowControl w:val="0"/>
        <w:spacing w:line="480" w:lineRule="exact"/>
        <w:ind w:firstLine="560" w:firstLineChars="200"/>
        <w:jc w:val="both"/>
        <w:rPr>
          <w:rFonts w:eastAsia="楷体_GB2312"/>
          <w:sz w:val="28"/>
          <w:szCs w:val="21"/>
        </w:rPr>
      </w:pPr>
      <w:bookmarkStart w:id="111" w:name="_Toc388541543"/>
      <w:bookmarkStart w:id="112" w:name="_Toc361304149"/>
      <w:r>
        <w:rPr>
          <w:rFonts w:eastAsia="楷体_GB2312"/>
          <w:sz w:val="28"/>
          <w:szCs w:val="21"/>
        </w:rPr>
        <w:t>近几年是全国房地产投资不断升温的时期，为了保证房地产业的健康、有序、平稳发展，同时也为了保障人民生活，维护社会稳定，国家不断出台相关政策对房地产业的发展进行调整。</w:t>
      </w:r>
    </w:p>
    <w:p w14:paraId="64672CF4">
      <w:pPr>
        <w:pStyle w:val="20"/>
        <w:spacing w:line="480" w:lineRule="exact"/>
        <w:rPr>
          <w:rFonts w:ascii="Times New Roman" w:hAnsi="Times New Roman" w:cs="Times New Roman"/>
          <w:b/>
          <w:sz w:val="28"/>
        </w:rPr>
      </w:pPr>
      <w:r>
        <w:rPr>
          <w:rFonts w:ascii="Times New Roman" w:hAnsi="Times New Roman" w:cs="Times New Roman"/>
          <w:b/>
          <w:sz w:val="28"/>
        </w:rPr>
        <w:t>一、2016年相关政策调整及对地价的影响</w:t>
      </w:r>
    </w:p>
    <w:p w14:paraId="5915A7A3">
      <w:pPr>
        <w:widowControl w:val="0"/>
        <w:spacing w:line="480" w:lineRule="exact"/>
        <w:ind w:firstLine="560" w:firstLineChars="200"/>
        <w:jc w:val="both"/>
        <w:rPr>
          <w:rFonts w:eastAsia="楷体_GB2312"/>
          <w:sz w:val="28"/>
          <w:szCs w:val="21"/>
        </w:rPr>
      </w:pPr>
      <w:r>
        <w:rPr>
          <w:rFonts w:eastAsia="楷体_GB2312"/>
          <w:sz w:val="28"/>
          <w:szCs w:val="21"/>
        </w:rPr>
        <w:t>2016年共有25个地级市和多个县级市出台了房地产调整收紧政策。各地调控措施涉及限购、限贷、限价、增加供给、监管等多个层面。从需求端来看，通过限购抑制非理性购房需求、通过限贷制约部分非刚需群体的资金来源。从供应端来看，通过增加土地及住房供应缓解供需矛盾、通过调节土地出让方式来控制地价过快上涨。</w:t>
      </w:r>
    </w:p>
    <w:p w14:paraId="612F3C6D">
      <w:pPr>
        <w:widowControl w:val="0"/>
        <w:spacing w:line="480" w:lineRule="exact"/>
        <w:ind w:firstLine="560" w:firstLineChars="200"/>
        <w:jc w:val="both"/>
        <w:rPr>
          <w:rFonts w:eastAsia="楷体_GB2312"/>
          <w:sz w:val="28"/>
          <w:szCs w:val="21"/>
        </w:rPr>
      </w:pPr>
      <w:r>
        <w:rPr>
          <w:rFonts w:eastAsia="楷体_GB2312"/>
          <w:sz w:val="28"/>
          <w:szCs w:val="21"/>
        </w:rPr>
        <w:t>2016年全国大部分省市开始落实去库存措施，通过调节供需两端改善市场环境，供应端实施差别化的供地政策、优化供应规模和结构、推进货币化安置、推动房地产功能转型等措施；需求端通过加大信贷财税优惠力度、鼓励农民工购房等措施进行刺激。</w:t>
      </w:r>
    </w:p>
    <w:p w14:paraId="6689E581">
      <w:pPr>
        <w:pStyle w:val="20"/>
        <w:widowControl w:val="0"/>
        <w:spacing w:line="480" w:lineRule="exact"/>
        <w:jc w:val="both"/>
        <w:rPr>
          <w:rFonts w:ascii="Times New Roman" w:hAnsi="Times New Roman" w:cs="Times New Roman"/>
          <w:b/>
          <w:sz w:val="28"/>
        </w:rPr>
      </w:pPr>
      <w:r>
        <w:rPr>
          <w:rFonts w:ascii="Times New Roman" w:hAnsi="Times New Roman" w:cs="Times New Roman"/>
          <w:b/>
          <w:sz w:val="28"/>
        </w:rPr>
        <w:t>二、2017年相关政策调整及对地价的影响</w:t>
      </w:r>
    </w:p>
    <w:p w14:paraId="3FC2AFB9">
      <w:pPr>
        <w:widowControl w:val="0"/>
        <w:spacing w:line="480" w:lineRule="exact"/>
        <w:ind w:firstLine="560" w:firstLineChars="200"/>
        <w:jc w:val="both"/>
        <w:rPr>
          <w:rFonts w:eastAsia="楷体_GB2312"/>
          <w:sz w:val="28"/>
          <w:szCs w:val="21"/>
        </w:rPr>
      </w:pPr>
      <w:r>
        <w:rPr>
          <w:rFonts w:eastAsia="楷体_GB2312"/>
          <w:sz w:val="28"/>
          <w:szCs w:val="21"/>
        </w:rPr>
        <w:t>2017年，随着商品房销售的逐步加速下行，商品房库存将再次进入积累阶段，房地产投资将面临较大下行压力。2017年中央经济工作会议指出，要坚持“房子是用来住的，不是用来炒的”定位，建立房地产平稳健康发展的长效机制，控制房地产市场的金融风险，未来房价不能再重复过快上涨的覆辙。因此，房地产调控政策将更加注重“因城施策”，除合肥因房价涨幅过快，防控资产泡沫等风险出台限贷限购政策之外，省内其他地市房地产政策仍将以宽松为主，重点解决房地产库存过多问题。同时考虑到房地产开发企业资金总体较为宽裕、低利率环境仍然存在以及土地成本约束等因素，房地产价格总体将平稳增长。</w:t>
      </w:r>
    </w:p>
    <w:p w14:paraId="174B132C">
      <w:pPr>
        <w:pStyle w:val="20"/>
        <w:widowControl w:val="0"/>
        <w:spacing w:line="480" w:lineRule="exact"/>
        <w:jc w:val="both"/>
        <w:rPr>
          <w:rFonts w:ascii="Times New Roman" w:hAnsi="Times New Roman" w:cs="Times New Roman"/>
          <w:b/>
          <w:sz w:val="28"/>
        </w:rPr>
      </w:pPr>
      <w:r>
        <w:rPr>
          <w:rFonts w:ascii="Times New Roman" w:hAnsi="Times New Roman" w:cs="Times New Roman"/>
          <w:b/>
          <w:sz w:val="28"/>
        </w:rPr>
        <w:t>三、2018年相关政策调整及对地价的影响</w:t>
      </w:r>
    </w:p>
    <w:p w14:paraId="72FE0728">
      <w:pPr>
        <w:widowControl w:val="0"/>
        <w:spacing w:line="480" w:lineRule="exact"/>
        <w:ind w:firstLine="560" w:firstLineChars="200"/>
        <w:jc w:val="both"/>
        <w:rPr>
          <w:rFonts w:eastAsia="楷体_GB2312"/>
          <w:sz w:val="28"/>
          <w:szCs w:val="21"/>
        </w:rPr>
      </w:pPr>
      <w:r>
        <w:rPr>
          <w:rFonts w:eastAsia="楷体_GB2312"/>
          <w:sz w:val="28"/>
          <w:szCs w:val="21"/>
        </w:rPr>
        <w:t>2018年，房地产政策在“房子是用来住的，不是用来炒的”基调下继续构建长短结合的制度体系。中央层面，注重深化基础性关键制度改革，强化金融监管和风险防控，加快住房租赁体系建设，保障居民合理自住需求；地方层面，深入推进住房制度改革，优化住房和土地供应结构,完善居民基本住房制度体系，加快建立健全长效机制。</w:t>
      </w:r>
    </w:p>
    <w:p w14:paraId="28C444E1">
      <w:pPr>
        <w:widowControl w:val="0"/>
        <w:spacing w:line="480" w:lineRule="exact"/>
        <w:ind w:firstLine="560" w:firstLineChars="200"/>
        <w:jc w:val="both"/>
        <w:rPr>
          <w:rFonts w:eastAsia="楷体_GB2312"/>
          <w:sz w:val="28"/>
          <w:szCs w:val="21"/>
        </w:rPr>
      </w:pPr>
      <w:r>
        <w:rPr>
          <w:rFonts w:eastAsia="楷体_GB2312"/>
          <w:sz w:val="28"/>
          <w:szCs w:val="21"/>
        </w:rPr>
        <w:t>各地均坚持政策限制，重在维稳市场，从市场上看基本达到调控目标，房地产市场已经褪去前几年的火爆场面逐渐回归理性。2018年全国限购政策大致分为7类：限价、限购、限售、限贷、限商、限企、限地，总结一个字就是“限”，下面小编就带各位简单了解一下2018年房地产的限字当头。</w:t>
      </w:r>
    </w:p>
    <w:p w14:paraId="012BAD51">
      <w:pPr>
        <w:pStyle w:val="20"/>
        <w:widowControl w:val="0"/>
        <w:spacing w:line="480" w:lineRule="exact"/>
        <w:jc w:val="both"/>
        <w:rPr>
          <w:rFonts w:ascii="Times New Roman" w:hAnsi="Times New Roman" w:cs="Times New Roman"/>
          <w:b/>
          <w:sz w:val="28"/>
        </w:rPr>
      </w:pPr>
      <w:r>
        <w:rPr>
          <w:rFonts w:ascii="Times New Roman" w:hAnsi="Times New Roman" w:cs="Times New Roman"/>
          <w:b/>
          <w:sz w:val="28"/>
        </w:rPr>
        <w:t>四、2019年相关政策调整及对地价的影响</w:t>
      </w:r>
    </w:p>
    <w:p w14:paraId="280ADA6D">
      <w:pPr>
        <w:widowControl w:val="0"/>
        <w:spacing w:line="480" w:lineRule="exact"/>
        <w:ind w:firstLine="560" w:firstLineChars="200"/>
        <w:jc w:val="both"/>
        <w:rPr>
          <w:rFonts w:eastAsia="楷体_GB2312"/>
          <w:sz w:val="28"/>
          <w:szCs w:val="21"/>
        </w:rPr>
      </w:pPr>
      <w:r>
        <w:rPr>
          <w:rFonts w:eastAsia="楷体_GB2312"/>
          <w:sz w:val="28"/>
          <w:szCs w:val="21"/>
        </w:rPr>
        <w:t>长期坚持房住不炒定位，全面落实因城施策。进入2019年，中央重申坚持房住不炒，并明确提出不将房地产作为短期刺激经济的手段，全面落实因城施策。全国住房和城乡建设工作会也强调2020年要着力稳地价稳房价稳预期，长期坚持房子是用来住的、不是用来炒的定位，不把房地产作为短期刺激经济的手段，继续稳妥实施房地产市场平稳健康发展长效机制方案，着力建立和完善房地产调控的体制机制。</w:t>
      </w:r>
    </w:p>
    <w:p w14:paraId="13190CD7">
      <w:pPr>
        <w:widowControl w:val="0"/>
        <w:spacing w:line="480" w:lineRule="exact"/>
        <w:ind w:firstLine="560" w:firstLineChars="200"/>
        <w:jc w:val="both"/>
        <w:rPr>
          <w:rFonts w:eastAsia="楷体_GB2312"/>
          <w:sz w:val="28"/>
          <w:szCs w:val="21"/>
        </w:rPr>
      </w:pPr>
      <w:r>
        <w:rPr>
          <w:rFonts w:eastAsia="楷体_GB2312"/>
          <w:sz w:val="28"/>
          <w:szCs w:val="21"/>
        </w:rPr>
        <w:t>长效机制由“建立完善”转向“稳妥实施”。2019年中央强调要加快完善住房保障体系和住房市场体系，稳妥实施房地产市场平稳健康发展长效机制的工作方案。严控地方政府隐性债务。自2018年以来，中央持续规范棚户区改造融资行为，有序推进试点发行地方政府棚户区改造专项债券工作，坚决遏制地方政府隐性债务增量。</w:t>
      </w:r>
    </w:p>
    <w:p w14:paraId="2A326DD7">
      <w:pPr>
        <w:pStyle w:val="20"/>
        <w:widowControl w:val="0"/>
        <w:spacing w:line="480" w:lineRule="exact"/>
        <w:jc w:val="both"/>
        <w:rPr>
          <w:rFonts w:ascii="Times New Roman" w:hAnsi="Times New Roman" w:cs="Times New Roman"/>
          <w:b/>
          <w:sz w:val="28"/>
        </w:rPr>
      </w:pPr>
      <w:r>
        <w:rPr>
          <w:rFonts w:ascii="Times New Roman" w:hAnsi="Times New Roman" w:cs="Times New Roman"/>
          <w:b/>
          <w:sz w:val="28"/>
        </w:rPr>
        <w:t>五、房地产政策对埇桥区乡镇地价的影响</w:t>
      </w:r>
    </w:p>
    <w:p w14:paraId="7BBFE8CA">
      <w:pPr>
        <w:widowControl w:val="0"/>
        <w:spacing w:line="480" w:lineRule="exact"/>
        <w:ind w:firstLine="560" w:firstLineChars="200"/>
        <w:jc w:val="both"/>
        <w:rPr>
          <w:rFonts w:eastAsia="楷体_GB2312"/>
          <w:sz w:val="28"/>
          <w:szCs w:val="21"/>
        </w:rPr>
      </w:pPr>
      <w:r>
        <w:rPr>
          <w:rFonts w:hint="eastAsia" w:ascii="楷体" w:hAnsi="楷体" w:eastAsia="楷体" w:cs="宋体"/>
          <w:sz w:val="28"/>
          <w:szCs w:val="21"/>
        </w:rPr>
        <w:t>埇埇</w:t>
      </w:r>
      <w:r>
        <w:rPr>
          <w:rFonts w:hint="eastAsia" w:ascii="楷体_GB2312" w:hAnsi="楷体_GB2312" w:eastAsia="楷体_GB2312" w:cs="楷体_GB2312"/>
          <w:sz w:val="28"/>
          <w:szCs w:val="21"/>
        </w:rPr>
        <w:t>桥区</w:t>
      </w:r>
      <w:r>
        <w:rPr>
          <w:rFonts w:hint="eastAsia" w:eastAsia="楷体_GB2312"/>
          <w:sz w:val="28"/>
          <w:szCs w:val="21"/>
        </w:rPr>
        <w:t>乡镇</w:t>
      </w:r>
      <w:r>
        <w:rPr>
          <w:rFonts w:eastAsia="楷体_GB2312"/>
          <w:sz w:val="28"/>
          <w:szCs w:val="21"/>
        </w:rPr>
        <w:t>2019年度</w:t>
      </w:r>
      <w:r>
        <w:rPr>
          <w:rFonts w:hint="eastAsia" w:eastAsia="楷体_GB2312"/>
          <w:sz w:val="28"/>
          <w:szCs w:val="21"/>
        </w:rPr>
        <w:t>零售商业</w:t>
      </w:r>
      <w:r>
        <w:rPr>
          <w:rFonts w:eastAsia="楷体_GB2312"/>
          <w:sz w:val="28"/>
          <w:szCs w:val="21"/>
        </w:rPr>
        <w:t>用地供应</w:t>
      </w:r>
      <w:r>
        <w:rPr>
          <w:rFonts w:hint="eastAsia" w:eastAsia="楷体_GB2312"/>
          <w:sz w:val="28"/>
          <w:szCs w:val="21"/>
        </w:rPr>
        <w:t>1</w:t>
      </w:r>
      <w:r>
        <w:rPr>
          <w:rFonts w:eastAsia="楷体_GB2312"/>
          <w:sz w:val="28"/>
          <w:szCs w:val="21"/>
        </w:rPr>
        <w:t>宗，共计</w:t>
      </w:r>
      <w:r>
        <w:rPr>
          <w:rFonts w:hint="eastAsia" w:eastAsia="楷体_GB2312"/>
          <w:sz w:val="28"/>
          <w:szCs w:val="21"/>
        </w:rPr>
        <w:t>1000</w:t>
      </w:r>
      <w:r>
        <w:rPr>
          <w:rFonts w:eastAsia="楷体_GB2312"/>
          <w:sz w:val="28"/>
          <w:szCs w:val="21"/>
        </w:rPr>
        <w:t>平方米。工业项目用地供应</w:t>
      </w:r>
      <w:r>
        <w:rPr>
          <w:rFonts w:hint="eastAsia" w:eastAsia="楷体_GB2312"/>
          <w:sz w:val="28"/>
          <w:szCs w:val="21"/>
        </w:rPr>
        <w:t>13</w:t>
      </w:r>
      <w:r>
        <w:rPr>
          <w:rFonts w:eastAsia="楷体_GB2312"/>
          <w:sz w:val="28"/>
          <w:szCs w:val="21"/>
        </w:rPr>
        <w:t>宗，共计</w:t>
      </w:r>
      <w:r>
        <w:rPr>
          <w:rFonts w:hint="eastAsia" w:eastAsia="楷体_GB2312"/>
          <w:sz w:val="28"/>
          <w:szCs w:val="21"/>
        </w:rPr>
        <w:t>356733</w:t>
      </w:r>
      <w:r>
        <w:rPr>
          <w:rFonts w:eastAsia="楷体_GB2312"/>
          <w:sz w:val="28"/>
          <w:szCs w:val="21"/>
        </w:rPr>
        <w:t>平方米。公共管理和公共服务项目用地</w:t>
      </w:r>
      <w:r>
        <w:rPr>
          <w:rFonts w:hint="eastAsia" w:eastAsia="楷体_GB2312"/>
          <w:sz w:val="28"/>
          <w:szCs w:val="21"/>
        </w:rPr>
        <w:t>4</w:t>
      </w:r>
      <w:r>
        <w:rPr>
          <w:rFonts w:eastAsia="楷体_GB2312"/>
          <w:sz w:val="28"/>
          <w:szCs w:val="21"/>
        </w:rPr>
        <w:t>宗，共计</w:t>
      </w:r>
      <w:r>
        <w:rPr>
          <w:rFonts w:hint="eastAsia" w:eastAsia="楷体_GB2312"/>
          <w:sz w:val="28"/>
          <w:szCs w:val="21"/>
        </w:rPr>
        <w:t>25952</w:t>
      </w:r>
      <w:r>
        <w:rPr>
          <w:rFonts w:eastAsia="楷体_GB2312"/>
          <w:sz w:val="28"/>
          <w:szCs w:val="21"/>
        </w:rPr>
        <w:t>平方米。</w:t>
      </w:r>
    </w:p>
    <w:p w14:paraId="16DF8E93">
      <w:pPr>
        <w:widowControl w:val="0"/>
        <w:spacing w:line="480" w:lineRule="exact"/>
        <w:ind w:firstLine="560" w:firstLineChars="200"/>
        <w:jc w:val="both"/>
        <w:rPr>
          <w:rFonts w:eastAsia="楷体_GB2312"/>
          <w:sz w:val="28"/>
          <w:szCs w:val="21"/>
        </w:rPr>
      </w:pPr>
      <w:r>
        <w:rPr>
          <w:rFonts w:eastAsia="楷体_GB2312"/>
          <w:sz w:val="28"/>
          <w:szCs w:val="21"/>
        </w:rPr>
        <w:t>乡镇由于受到地理环境和区位的影响，且由于近几天</w:t>
      </w:r>
      <w:r>
        <w:rPr>
          <w:rFonts w:hint="eastAsia" w:ascii="楷体" w:hAnsi="楷体" w:eastAsia="楷体" w:cs="宋体"/>
          <w:sz w:val="28"/>
          <w:szCs w:val="21"/>
        </w:rPr>
        <w:t>埇</w:t>
      </w:r>
      <w:r>
        <w:rPr>
          <w:rFonts w:hint="eastAsia" w:ascii="楷体_GB2312" w:hAnsi="楷体_GB2312" w:eastAsia="楷体_GB2312" w:cs="楷体_GB2312"/>
          <w:sz w:val="28"/>
          <w:szCs w:val="21"/>
        </w:rPr>
        <w:t>桥区</w:t>
      </w:r>
      <w:r>
        <w:rPr>
          <w:rFonts w:eastAsia="楷体_GB2312"/>
          <w:sz w:val="28"/>
          <w:szCs w:val="21"/>
        </w:rPr>
        <w:t>乡镇人口流失严重，房地产市场需求低，且商品开发企业入驻率低。因此房地产政策对</w:t>
      </w:r>
      <w:r>
        <w:rPr>
          <w:rFonts w:hint="eastAsia" w:ascii="楷体" w:hAnsi="楷体" w:eastAsia="楷体" w:cs="宋体"/>
          <w:sz w:val="28"/>
          <w:szCs w:val="21"/>
        </w:rPr>
        <w:t>埇</w:t>
      </w:r>
      <w:r>
        <w:rPr>
          <w:rFonts w:hint="eastAsia" w:ascii="楷体_GB2312" w:hAnsi="楷体_GB2312" w:eastAsia="楷体_GB2312" w:cs="楷体_GB2312"/>
          <w:sz w:val="28"/>
          <w:szCs w:val="21"/>
        </w:rPr>
        <w:t>桥区</w:t>
      </w:r>
      <w:r>
        <w:rPr>
          <w:rFonts w:eastAsia="楷体_GB2312"/>
          <w:sz w:val="28"/>
          <w:szCs w:val="21"/>
        </w:rPr>
        <w:t>乡镇地价的影响不大。</w:t>
      </w:r>
    </w:p>
    <w:p w14:paraId="5285F7E4">
      <w:pPr>
        <w:pStyle w:val="20"/>
        <w:spacing w:line="480" w:lineRule="exact"/>
        <w:ind w:firstLine="560" w:firstLineChars="200"/>
        <w:rPr>
          <w:rFonts w:ascii="Times New Roman" w:hAnsi="Times New Roman" w:eastAsia="楷体_GB2312" w:cs="Times New Roman"/>
          <w:sz w:val="28"/>
        </w:rPr>
      </w:pPr>
    </w:p>
    <w:p w14:paraId="43DD2C64">
      <w:pPr>
        <w:pStyle w:val="4"/>
        <w:numPr>
          <w:ilvl w:val="0"/>
          <w:numId w:val="0"/>
        </w:numPr>
        <w:spacing w:line="240" w:lineRule="auto"/>
        <w:jc w:val="center"/>
        <w:rPr>
          <w:rFonts w:eastAsia="仿宋_GB2312"/>
          <w:bCs w:val="0"/>
        </w:rPr>
      </w:pPr>
      <w:bookmarkStart w:id="113" w:name="_Toc62563706"/>
      <w:r>
        <w:rPr>
          <w:rFonts w:eastAsia="仿宋_GB2312"/>
          <w:bCs w:val="0"/>
        </w:rPr>
        <w:br w:type="page"/>
      </w:r>
      <w:r>
        <w:rPr>
          <w:rFonts w:eastAsia="仿宋_GB2312"/>
          <w:bCs w:val="0"/>
        </w:rPr>
        <w:t>第四节  分用途基准地价水平分析</w:t>
      </w:r>
      <w:bookmarkEnd w:id="111"/>
      <w:bookmarkEnd w:id="112"/>
      <w:bookmarkEnd w:id="113"/>
    </w:p>
    <w:p w14:paraId="2B692401">
      <w:pPr>
        <w:pStyle w:val="20"/>
        <w:widowControl w:val="0"/>
        <w:spacing w:line="480" w:lineRule="exact"/>
        <w:jc w:val="both"/>
        <w:rPr>
          <w:rFonts w:ascii="Times New Roman" w:hAnsi="Times New Roman" w:cs="Times New Roman"/>
          <w:b/>
          <w:sz w:val="28"/>
        </w:rPr>
      </w:pPr>
      <w:r>
        <w:rPr>
          <w:rFonts w:ascii="Times New Roman" w:hAnsi="Times New Roman" w:cs="Times New Roman"/>
          <w:b/>
          <w:sz w:val="28"/>
        </w:rPr>
        <w:t>一、商服用地基准地价水平分析</w:t>
      </w:r>
    </w:p>
    <w:p w14:paraId="5D8308A8">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各乡镇商服用地一级地基准地价变化幅度在</w:t>
      </w:r>
      <w:r>
        <w:rPr>
          <w:rFonts w:hint="eastAsia" w:ascii="Times New Roman" w:hAnsi="Times New Roman" w:eastAsia="楷体_GB2312" w:cs="Times New Roman"/>
          <w:sz w:val="28"/>
        </w:rPr>
        <w:t>425-620</w:t>
      </w:r>
      <w:r>
        <w:rPr>
          <w:rFonts w:ascii="Times New Roman" w:hAnsi="Times New Roman" w:eastAsia="楷体_GB2312" w:cs="Times New Roman"/>
          <w:sz w:val="28"/>
        </w:rPr>
        <w:t>元/平方米之间，二级地基准地价变化幅度在</w:t>
      </w:r>
      <w:r>
        <w:rPr>
          <w:rFonts w:hint="eastAsia" w:ascii="Times New Roman" w:hAnsi="Times New Roman" w:eastAsia="楷体_GB2312" w:cs="Times New Roman"/>
          <w:sz w:val="28"/>
        </w:rPr>
        <w:t>330-510</w:t>
      </w:r>
      <w:r>
        <w:rPr>
          <w:rFonts w:ascii="Times New Roman" w:hAnsi="Times New Roman" w:eastAsia="楷体_GB2312" w:cs="Times New Roman"/>
          <w:sz w:val="28"/>
        </w:rPr>
        <w:t>元/平方米之间，三级地基准地价变化幅度在</w:t>
      </w:r>
      <w:r>
        <w:rPr>
          <w:rFonts w:hint="eastAsia" w:ascii="Times New Roman" w:hAnsi="Times New Roman" w:eastAsia="楷体_GB2312" w:cs="Times New Roman"/>
          <w:sz w:val="28"/>
        </w:rPr>
        <w:t>255</w:t>
      </w:r>
      <w:r>
        <w:rPr>
          <w:rFonts w:ascii="Times New Roman" w:hAnsi="Times New Roman" w:eastAsia="楷体_GB2312" w:cs="Times New Roman"/>
          <w:sz w:val="28"/>
        </w:rPr>
        <w:t>-42</w:t>
      </w:r>
      <w:r>
        <w:rPr>
          <w:rFonts w:hint="eastAsia" w:ascii="Times New Roman" w:hAnsi="Times New Roman" w:eastAsia="楷体_GB2312" w:cs="Times New Roman"/>
          <w:sz w:val="28"/>
        </w:rPr>
        <w:t>5</w:t>
      </w:r>
      <w:r>
        <w:rPr>
          <w:rFonts w:ascii="Times New Roman" w:hAnsi="Times New Roman" w:eastAsia="楷体_GB2312" w:cs="Times New Roman"/>
          <w:sz w:val="28"/>
        </w:rPr>
        <w:t>元/平方米之间。在商服、住宅、工矿仓储三种用地类型中，商服地价水平最高，各乡镇间级别地价变化幅度最大，随着土地级别降低，各乡镇间级别地价变化幅度减小。</w:t>
      </w:r>
    </w:p>
    <w:p w14:paraId="475A1BCD">
      <w:pPr>
        <w:pStyle w:val="20"/>
        <w:widowControl w:val="0"/>
        <w:spacing w:line="480" w:lineRule="exact"/>
        <w:jc w:val="both"/>
        <w:rPr>
          <w:rFonts w:ascii="Times New Roman" w:hAnsi="Times New Roman" w:cs="Times New Roman"/>
          <w:b/>
          <w:sz w:val="28"/>
        </w:rPr>
      </w:pPr>
      <w:r>
        <w:rPr>
          <w:rFonts w:ascii="Times New Roman" w:hAnsi="Times New Roman" w:cs="Times New Roman"/>
          <w:b/>
          <w:sz w:val="28"/>
        </w:rPr>
        <w:t>二、住宅用地基准地价水平分析</w:t>
      </w:r>
    </w:p>
    <w:p w14:paraId="791D0BB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各乡镇住宅用地一级地基准地价幅度在</w:t>
      </w:r>
      <w:r>
        <w:rPr>
          <w:rFonts w:hint="eastAsia" w:ascii="Times New Roman" w:hAnsi="Times New Roman" w:eastAsia="楷体_GB2312" w:cs="Times New Roman"/>
          <w:sz w:val="28"/>
        </w:rPr>
        <w:t>315-470</w:t>
      </w:r>
      <w:r>
        <w:rPr>
          <w:rFonts w:ascii="Times New Roman" w:hAnsi="Times New Roman" w:eastAsia="楷体_GB2312" w:cs="Times New Roman"/>
          <w:sz w:val="28"/>
        </w:rPr>
        <w:t>元/平方米之间，二级地基准地价变化幅度在</w:t>
      </w:r>
      <w:r>
        <w:rPr>
          <w:rFonts w:hint="eastAsia" w:ascii="Times New Roman" w:hAnsi="Times New Roman" w:eastAsia="楷体_GB2312" w:cs="Times New Roman"/>
          <w:sz w:val="28"/>
        </w:rPr>
        <w:t>245-370</w:t>
      </w:r>
      <w:r>
        <w:rPr>
          <w:rFonts w:ascii="Times New Roman" w:hAnsi="Times New Roman" w:eastAsia="楷体_GB2312" w:cs="Times New Roman"/>
          <w:sz w:val="28"/>
        </w:rPr>
        <w:t>元/平方米之间，三级地基准地价变化幅度在</w:t>
      </w:r>
      <w:r>
        <w:rPr>
          <w:rFonts w:hint="eastAsia" w:ascii="Times New Roman" w:hAnsi="Times New Roman" w:eastAsia="楷体_GB2312" w:cs="Times New Roman"/>
          <w:sz w:val="28"/>
        </w:rPr>
        <w:t>190-290</w:t>
      </w:r>
      <w:r>
        <w:rPr>
          <w:rFonts w:ascii="Times New Roman" w:hAnsi="Times New Roman" w:eastAsia="楷体_GB2312" w:cs="Times New Roman"/>
          <w:sz w:val="28"/>
        </w:rPr>
        <w:t>元/平方米之间。其地价水平低于商服用地而高于工矿仓储用地。随着土地级别的降低，住宅用地基准地价与商服用地基准地价之间的差距减小，其原因在于：商服用地对土地区位条件最为敏感，随着土地级别的降低，其土地收益迅速降低，而住宅用地对土地区位条件的敏感度与商服用地相比则相对稍弱。</w:t>
      </w:r>
    </w:p>
    <w:p w14:paraId="7FABC8A4">
      <w:pPr>
        <w:pStyle w:val="20"/>
        <w:widowControl w:val="0"/>
        <w:spacing w:line="480" w:lineRule="exact"/>
        <w:jc w:val="both"/>
        <w:rPr>
          <w:rFonts w:ascii="Times New Roman" w:hAnsi="Times New Roman" w:cs="Times New Roman"/>
          <w:b/>
          <w:sz w:val="28"/>
        </w:rPr>
      </w:pPr>
      <w:r>
        <w:rPr>
          <w:rFonts w:ascii="Times New Roman" w:hAnsi="Times New Roman" w:cs="Times New Roman"/>
          <w:b/>
          <w:sz w:val="28"/>
        </w:rPr>
        <w:t>三、工矿仓储用地基准地价水平分析</w:t>
      </w:r>
    </w:p>
    <w:p w14:paraId="5FD3A281">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各乡镇工矿仓储用地一级地基准地价均为</w:t>
      </w:r>
      <w:r>
        <w:rPr>
          <w:rFonts w:hint="eastAsia" w:ascii="Times New Roman" w:hAnsi="Times New Roman" w:eastAsia="楷体_GB2312" w:cs="Times New Roman"/>
          <w:sz w:val="28"/>
        </w:rPr>
        <w:t>170-230</w:t>
      </w:r>
      <w:r>
        <w:rPr>
          <w:rFonts w:ascii="Times New Roman" w:hAnsi="Times New Roman" w:eastAsia="楷体_GB2312" w:cs="Times New Roman"/>
          <w:sz w:val="28"/>
        </w:rPr>
        <w:t>元/平方米, 二级地基准地价均为</w:t>
      </w:r>
      <w:r>
        <w:rPr>
          <w:rFonts w:hint="eastAsia" w:ascii="Times New Roman" w:hAnsi="Times New Roman" w:eastAsia="楷体_GB2312" w:cs="Times New Roman"/>
          <w:sz w:val="28"/>
        </w:rPr>
        <w:t>155-185</w:t>
      </w:r>
      <w:r>
        <w:rPr>
          <w:rFonts w:ascii="Times New Roman" w:hAnsi="Times New Roman" w:eastAsia="楷体_GB2312" w:cs="Times New Roman"/>
          <w:sz w:val="28"/>
        </w:rPr>
        <w:t>元/平方米之间，三级地基准地价为</w:t>
      </w:r>
      <w:r>
        <w:rPr>
          <w:rFonts w:hint="eastAsia" w:ascii="Times New Roman" w:hAnsi="Times New Roman" w:eastAsia="楷体_GB2312" w:cs="Times New Roman"/>
          <w:sz w:val="28"/>
        </w:rPr>
        <w:t>144</w:t>
      </w:r>
      <w:r>
        <w:rPr>
          <w:rFonts w:ascii="Times New Roman" w:hAnsi="Times New Roman" w:eastAsia="楷体_GB2312" w:cs="Times New Roman"/>
          <w:sz w:val="28"/>
        </w:rPr>
        <w:t>元/平方米之间。在几种用地类型中工矿仓储用地基准地价水平最低，变化幅度亦最小。</w:t>
      </w:r>
    </w:p>
    <w:p w14:paraId="5BBE6E2C">
      <w:pPr>
        <w:pStyle w:val="20"/>
        <w:widowControl w:val="0"/>
        <w:spacing w:line="480" w:lineRule="exact"/>
        <w:jc w:val="both"/>
        <w:rPr>
          <w:rFonts w:ascii="Times New Roman" w:hAnsi="Times New Roman" w:cs="Times New Roman"/>
          <w:b/>
          <w:sz w:val="28"/>
        </w:rPr>
      </w:pPr>
      <w:r>
        <w:rPr>
          <w:rFonts w:ascii="Times New Roman" w:hAnsi="Times New Roman" w:cs="Times New Roman"/>
          <w:b/>
          <w:sz w:val="28"/>
        </w:rPr>
        <w:t>四、公共管理与公共服务用地基准地价水平分析</w:t>
      </w:r>
    </w:p>
    <w:p w14:paraId="46F460F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各乡镇公共管理与公共服务用地一级地基准地价幅度在</w:t>
      </w:r>
      <w:r>
        <w:rPr>
          <w:rFonts w:hint="eastAsia" w:ascii="Times New Roman" w:hAnsi="Times New Roman" w:eastAsia="楷体_GB2312" w:cs="Times New Roman"/>
          <w:sz w:val="28"/>
        </w:rPr>
        <w:t>225-440</w:t>
      </w:r>
      <w:r>
        <w:rPr>
          <w:rFonts w:ascii="Times New Roman" w:hAnsi="Times New Roman" w:eastAsia="楷体_GB2312" w:cs="Times New Roman"/>
          <w:sz w:val="28"/>
        </w:rPr>
        <w:t>元/平方米之间, 二级地基准地价幅度在</w:t>
      </w:r>
      <w:r>
        <w:rPr>
          <w:rFonts w:hint="eastAsia" w:ascii="Times New Roman" w:hAnsi="Times New Roman" w:eastAsia="楷体_GB2312" w:cs="Times New Roman"/>
          <w:sz w:val="28"/>
        </w:rPr>
        <w:t>195-350</w:t>
      </w:r>
      <w:r>
        <w:rPr>
          <w:rFonts w:ascii="Times New Roman" w:hAnsi="Times New Roman" w:eastAsia="楷体_GB2312" w:cs="Times New Roman"/>
          <w:sz w:val="28"/>
        </w:rPr>
        <w:t>元/平方米之间，三级地基准地价涨幅在</w:t>
      </w:r>
      <w:r>
        <w:rPr>
          <w:rFonts w:hint="eastAsia" w:ascii="Times New Roman" w:hAnsi="Times New Roman" w:eastAsia="楷体_GB2312" w:cs="Times New Roman"/>
          <w:sz w:val="28"/>
        </w:rPr>
        <w:t>155-270</w:t>
      </w:r>
      <w:r>
        <w:rPr>
          <w:rFonts w:ascii="Times New Roman" w:hAnsi="Times New Roman" w:eastAsia="楷体_GB2312" w:cs="Times New Roman"/>
          <w:sz w:val="28"/>
        </w:rPr>
        <w:t>元/平方米之间。其地价水平低于住宅用地而高于工矿仓储用地,其原因在于：公共管理与公共服务用地主要为服务性质用地，其土地收益和区位敏感度低于住宅用地。</w:t>
      </w:r>
    </w:p>
    <w:p w14:paraId="61F672E9">
      <w:pPr>
        <w:spacing w:line="440" w:lineRule="exact"/>
        <w:jc w:val="center"/>
        <w:rPr>
          <w:rFonts w:eastAsia="楷体_GB2312"/>
          <w:sz w:val="32"/>
          <w:szCs w:val="21"/>
        </w:rPr>
      </w:pPr>
    </w:p>
    <w:p w14:paraId="373C0F42">
      <w:pPr>
        <w:spacing w:line="440" w:lineRule="exact"/>
        <w:jc w:val="center"/>
        <w:rPr>
          <w:rFonts w:eastAsia="楷体_GB2312"/>
          <w:sz w:val="32"/>
          <w:szCs w:val="21"/>
        </w:rPr>
        <w:sectPr>
          <w:pgSz w:w="11906" w:h="16838"/>
          <w:pgMar w:top="1758" w:right="1474" w:bottom="1474" w:left="1644" w:header="1134" w:footer="992" w:gutter="0"/>
          <w:cols w:space="720" w:num="1"/>
          <w:docGrid w:linePitch="312" w:charSpace="0"/>
        </w:sectPr>
      </w:pPr>
    </w:p>
    <w:p w14:paraId="32375067">
      <w:pPr>
        <w:pStyle w:val="3"/>
        <w:spacing w:line="240" w:lineRule="auto"/>
        <w:jc w:val="center"/>
        <w:rPr>
          <w:rFonts w:ascii="Times New Roman" w:hAnsi="Times New Roman"/>
          <w:sz w:val="36"/>
          <w:szCs w:val="24"/>
          <w:shd w:val="clear" w:color="auto" w:fill="FFFFFF"/>
        </w:rPr>
      </w:pPr>
      <w:bookmarkStart w:id="114" w:name="_Toc62563707"/>
      <w:r>
        <w:rPr>
          <w:rFonts w:ascii="Times New Roman" w:hAnsi="Times New Roman" w:eastAsia="宋体"/>
          <w:bCs w:val="0"/>
          <w:sz w:val="36"/>
        </w:rPr>
        <w:t>第九章  基准地价修正体系的建立</w:t>
      </w:r>
      <w:bookmarkEnd w:id="114"/>
    </w:p>
    <w:p w14:paraId="0F452A9D">
      <w:pPr>
        <w:widowControl w:val="0"/>
        <w:spacing w:line="460" w:lineRule="exact"/>
        <w:ind w:firstLine="560" w:firstLineChars="200"/>
        <w:jc w:val="both"/>
        <w:rPr>
          <w:rFonts w:eastAsia="楷体_GB2312"/>
          <w:sz w:val="28"/>
          <w:szCs w:val="21"/>
        </w:rPr>
      </w:pPr>
      <w:r>
        <w:rPr>
          <w:rFonts w:eastAsia="楷体_GB2312"/>
          <w:sz w:val="28"/>
          <w:szCs w:val="21"/>
        </w:rPr>
        <w:t>基准地价是特定区域（土地级别或区段）内某一用途众多宗地在特定条件下的平均地价，它对反映土地市场地价水平、宏观控制地价、引导土地资产流动等，具有很大作用。但是，自然资源管理部门和其他一些部门、机构，为更好地满足地价管理、土地市场管理和土地资产管理的需要，仅掌握基准地价仍是不够的，还需要掌握具体宗地的价格。因此，在确定基准地价的基础上，建立由基准地价评估宗地地价的修正体系是一项必不可少的工作。</w:t>
      </w:r>
    </w:p>
    <w:p w14:paraId="2FBDF6BA">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基准地价修正体系是采用替代原理，建立基准地价、宗地地价及其影响因素之间的相关关系，编制出的基准地价在不同因素条件下修正为宗地地价的系数体系，以便能在宗地条件调查的基础上，按对应的修正系数，快速、高效、及时地评估出宗地地价。基准地价修正系数体系由级别基准地价修正系数表与因素指标说明表组成。本次工作按照用地类型和基准地价性质，建立了</w:t>
      </w:r>
      <w:r>
        <w:rPr>
          <w:rFonts w:hint="eastAsia" w:ascii="楷体" w:hAnsi="楷体" w:eastAsia="楷体" w:cs="宋体"/>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乡镇基准地价修正体系。</w:t>
      </w:r>
    </w:p>
    <w:p w14:paraId="4C5795F7">
      <w:pPr>
        <w:pStyle w:val="20"/>
        <w:spacing w:line="480" w:lineRule="exact"/>
        <w:ind w:firstLine="560" w:firstLineChars="200"/>
        <w:rPr>
          <w:rFonts w:ascii="Times New Roman" w:hAnsi="Times New Roman" w:eastAsia="楷体_GB2312" w:cs="Times New Roman"/>
          <w:sz w:val="28"/>
        </w:rPr>
      </w:pPr>
    </w:p>
    <w:p w14:paraId="59E24B12">
      <w:pPr>
        <w:pStyle w:val="4"/>
        <w:numPr>
          <w:ilvl w:val="0"/>
          <w:numId w:val="0"/>
        </w:numPr>
        <w:spacing w:line="240" w:lineRule="auto"/>
        <w:jc w:val="center"/>
        <w:rPr>
          <w:rFonts w:eastAsia="仿宋_GB2312"/>
          <w:bCs w:val="0"/>
        </w:rPr>
      </w:pPr>
      <w:bookmarkStart w:id="115" w:name="_Toc62563708"/>
      <w:r>
        <w:rPr>
          <w:rFonts w:eastAsia="仿宋_GB2312"/>
          <w:bCs w:val="0"/>
        </w:rPr>
        <w:t>第一节  基准地价修正体系的建立</w:t>
      </w:r>
      <w:bookmarkEnd w:id="115"/>
    </w:p>
    <w:p w14:paraId="2B6FC61E">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基准地价修正体系是采用替代原理，建立基准地价、宗地地价及其影响因素之间的相关关系，编制出的基准地价在不同因素条件下修正为宗地地价的系数体系，以便能在宗地条件调查的基础上，按对应的修正系数，快速、高效、及时地评估出宗地地价。基准地价修正系数体系由级别基准地价修正系数表与因素指标说明表组成。本次工作按照用地类型和基准地价性质，建立了</w:t>
      </w:r>
      <w:r>
        <w:rPr>
          <w:rFonts w:hint="eastAsia" w:ascii="楷体" w:hAnsi="楷体" w:eastAsia="楷体" w:cs="宋体"/>
          <w:sz w:val="28"/>
        </w:rPr>
        <w:t>埇</w:t>
      </w:r>
      <w:r>
        <w:rPr>
          <w:rFonts w:hint="eastAsia" w:ascii="楷体_GB2312" w:hAnsi="楷体_GB2312" w:eastAsia="楷体_GB2312" w:cs="楷体_GB2312"/>
          <w:sz w:val="28"/>
        </w:rPr>
        <w:t>桥区</w:t>
      </w:r>
      <w:r>
        <w:rPr>
          <w:rFonts w:ascii="Times New Roman" w:hAnsi="Times New Roman" w:eastAsia="楷体_GB2312" w:cs="Times New Roman"/>
          <w:sz w:val="28"/>
        </w:rPr>
        <w:t>各乡镇镇区基准地价修正体系。</w:t>
      </w:r>
    </w:p>
    <w:p w14:paraId="085B1E5A">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一、基准地价修正因素的确定</w:t>
      </w:r>
    </w:p>
    <w:p w14:paraId="0FC7552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影响宗地地价的因素包括一般因素、区域因素和个别因素。由于一般因素对城镇的总体地价水平产生影响，对城镇中各个宗地的地价水平影响差异不大，故在编制镇区内级别基准地价修正系数表时主要考虑区域因素和个别因素对宗地地价的影响，为了突出某些对城镇土地有重要影响的因素因子，同时为了成果更加方便在以后地价评估中使用，针对商服、住宅、工矿仓储、公共管理与公共服务用地用地的影响因素分别进行了筛选、剔除、合并。</w:t>
      </w:r>
    </w:p>
    <w:p w14:paraId="1003BB75">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1、商服用地的影响因素</w:t>
      </w:r>
    </w:p>
    <w:p w14:paraId="6B603429">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区域因素：包括商服繁华程度、交通状况、基础设施状况、城镇规划限制、环境质量状况和其他区域因素状况等。</w:t>
      </w:r>
    </w:p>
    <w:p w14:paraId="51DC3A40">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个别因素：包括</w:t>
      </w:r>
      <w:r>
        <w:rPr>
          <w:rFonts w:hint="eastAsia" w:ascii="Times New Roman" w:hAnsi="Times New Roman" w:eastAsia="楷体_GB2312" w:cs="Times New Roman"/>
          <w:sz w:val="28"/>
        </w:rPr>
        <w:t>距商服中心距离、宗地地基状况、宗地形状、宗地面积、宗地利用状况、临街状况、宗地基础设施状况、距对外交通设施距离、相邻土地利用状况、土地规划限制、地上建筑物状况、其他个别因素状况</w:t>
      </w:r>
      <w:r>
        <w:rPr>
          <w:rFonts w:ascii="Times New Roman" w:hAnsi="Times New Roman" w:eastAsia="楷体_GB2312" w:cs="Times New Roman"/>
          <w:sz w:val="28"/>
        </w:rPr>
        <w:t>等。</w:t>
      </w:r>
    </w:p>
    <w:p w14:paraId="554A8CF6">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2、住宅用地的影响因素</w:t>
      </w:r>
    </w:p>
    <w:p w14:paraId="79BC6FDB">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区域因素：包括自然条件、交通状况、基础设施状况、公用设施条件、城镇规划限制、环境质量状况、景观条件状况和其他区域因素状况等。</w:t>
      </w:r>
    </w:p>
    <w:p w14:paraId="0557318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个别因素：包括</w:t>
      </w:r>
      <w:bookmarkStart w:id="116" w:name="OLE_LINK22"/>
      <w:r>
        <w:rPr>
          <w:rFonts w:hint="eastAsia" w:ascii="Times New Roman" w:hAnsi="Times New Roman" w:eastAsia="楷体_GB2312" w:cs="Times New Roman"/>
          <w:sz w:val="28"/>
        </w:rPr>
        <w:t>宗地自然条件、宗地形状、宗地面积、宗地日照、通风、干湿状况、临街状况、土地规划限制、宗地基础设施状况、地上建筑物状况、距商服中心距离、距对外交通设施距离、接近公用设施程度、相邻土地利用状况、其他个别因素状况</w:t>
      </w:r>
      <w:r>
        <w:rPr>
          <w:rFonts w:ascii="Times New Roman" w:hAnsi="Times New Roman" w:eastAsia="楷体_GB2312" w:cs="Times New Roman"/>
          <w:sz w:val="28"/>
        </w:rPr>
        <w:t>等。</w:t>
      </w:r>
      <w:bookmarkEnd w:id="116"/>
    </w:p>
    <w:p w14:paraId="29DFFB40">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3、工矿仓储用地的影响因素</w:t>
      </w:r>
    </w:p>
    <w:p w14:paraId="17D0BB26">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区域因素：包括交通状况、基础设施条件、环境质量状况、自然条件、产业聚集及配套状况、城镇规划限制和其他区域因素状况等。</w:t>
      </w:r>
    </w:p>
    <w:p w14:paraId="521E5195">
      <w:pPr>
        <w:pStyle w:val="20"/>
        <w:spacing w:line="480" w:lineRule="exact"/>
        <w:ind w:firstLine="607" w:firstLineChars="217"/>
        <w:rPr>
          <w:rFonts w:ascii="Times New Roman" w:hAnsi="Times New Roman" w:eastAsia="楷体_GB2312" w:cs="Times New Roman"/>
          <w:sz w:val="28"/>
        </w:rPr>
      </w:pPr>
      <w:r>
        <w:rPr>
          <w:rFonts w:ascii="Times New Roman" w:hAnsi="Times New Roman" w:eastAsia="楷体_GB2312" w:cs="Times New Roman"/>
          <w:sz w:val="28"/>
        </w:rPr>
        <w:t>个别因素：包括</w:t>
      </w:r>
      <w:r>
        <w:rPr>
          <w:rFonts w:hint="eastAsia" w:ascii="Times New Roman" w:hAnsi="Times New Roman" w:eastAsia="楷体_GB2312" w:cs="Times New Roman"/>
          <w:sz w:val="28"/>
        </w:rPr>
        <w:t>宗地位置、宗地地基状况、宗地形状、宗地面积、临街状况、宗地基础设施状况、宗地利用状况、土地规划限制、距对外交通设施距离、其他个别因素状况</w:t>
      </w:r>
      <w:r>
        <w:rPr>
          <w:rFonts w:ascii="Times New Roman" w:hAnsi="Times New Roman" w:eastAsia="楷体_GB2312" w:cs="Times New Roman"/>
          <w:sz w:val="28"/>
        </w:rPr>
        <w:t>等。</w:t>
      </w:r>
    </w:p>
    <w:p w14:paraId="3826663B">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4、公共管理与公共服务用地的影响因素</w:t>
      </w:r>
    </w:p>
    <w:p w14:paraId="2C230BD4">
      <w:pPr>
        <w:pStyle w:val="20"/>
        <w:widowControl w:val="0"/>
        <w:spacing w:line="480" w:lineRule="exact"/>
        <w:ind w:firstLine="607" w:firstLineChars="217"/>
        <w:rPr>
          <w:rFonts w:ascii="Times New Roman" w:hAnsi="Times New Roman" w:eastAsia="楷体_GB2312" w:cs="Times New Roman"/>
          <w:sz w:val="28"/>
        </w:rPr>
      </w:pPr>
      <w:r>
        <w:rPr>
          <w:rFonts w:ascii="Times New Roman" w:hAnsi="Times New Roman" w:eastAsia="楷体_GB2312" w:cs="Times New Roman"/>
          <w:sz w:val="28"/>
        </w:rPr>
        <w:t>区域因素：包括区域在镇区的位置、商服繁华程度居住人口密度交通状况、基础设施</w:t>
      </w:r>
      <w:r>
        <w:rPr>
          <w:rFonts w:hint="eastAsia" w:ascii="Times New Roman" w:hAnsi="Times New Roman" w:eastAsia="楷体_GB2312" w:cs="Times New Roman"/>
          <w:sz w:val="28"/>
        </w:rPr>
        <w:t>状况</w:t>
      </w:r>
      <w:r>
        <w:rPr>
          <w:rFonts w:ascii="Times New Roman" w:hAnsi="Times New Roman" w:eastAsia="楷体_GB2312" w:cs="Times New Roman"/>
          <w:sz w:val="28"/>
        </w:rPr>
        <w:t>、公用设施条件、城镇规划限制、环境质量状况、景观条件因素和其他区域因素状况等。</w:t>
      </w:r>
    </w:p>
    <w:p w14:paraId="64E0C23E">
      <w:pPr>
        <w:pStyle w:val="20"/>
        <w:spacing w:line="480" w:lineRule="exact"/>
        <w:ind w:firstLine="607" w:firstLineChars="217"/>
        <w:rPr>
          <w:rFonts w:ascii="Times New Roman" w:hAnsi="Times New Roman" w:eastAsia="楷体_GB2312" w:cs="Times New Roman"/>
          <w:sz w:val="28"/>
        </w:rPr>
      </w:pPr>
      <w:r>
        <w:rPr>
          <w:rFonts w:ascii="Times New Roman" w:hAnsi="Times New Roman" w:eastAsia="楷体_GB2312" w:cs="Times New Roman"/>
          <w:sz w:val="28"/>
        </w:rPr>
        <w:t>个别因素：包括宗地面积、宗地形状、临街状况、</w:t>
      </w:r>
      <w:r>
        <w:rPr>
          <w:rFonts w:hint="eastAsia" w:ascii="Times New Roman" w:hAnsi="Times New Roman" w:eastAsia="楷体_GB2312" w:cs="Times New Roman"/>
          <w:sz w:val="28"/>
        </w:rPr>
        <w:t>土地</w:t>
      </w:r>
      <w:r>
        <w:rPr>
          <w:rFonts w:ascii="Times New Roman" w:hAnsi="Times New Roman" w:eastAsia="楷体_GB2312" w:cs="Times New Roman"/>
          <w:sz w:val="28"/>
        </w:rPr>
        <w:t>规划限制、宗地基础设施状况、地上建筑物状况、距商服中心距离、距对外交通设施距离、接近公用设施程度、相邻土地利用状况和其他个别因素状况等。</w:t>
      </w:r>
    </w:p>
    <w:p w14:paraId="5B145C14">
      <w:pPr>
        <w:pStyle w:val="20"/>
        <w:spacing w:before="120" w:beforeLines="50" w:line="480" w:lineRule="exact"/>
        <w:rPr>
          <w:rFonts w:ascii="Times New Roman" w:hAnsi="Times New Roman" w:cs="Times New Roman"/>
          <w:b/>
          <w:sz w:val="28"/>
        </w:rPr>
      </w:pPr>
      <w:r>
        <w:rPr>
          <w:rFonts w:ascii="Times New Roman" w:hAnsi="Times New Roman" w:cs="Times New Roman"/>
          <w:b/>
          <w:sz w:val="28"/>
        </w:rPr>
        <w:t>二、级别基准地价评估宗地地价影响因素权重确定</w:t>
      </w:r>
    </w:p>
    <w:p w14:paraId="57A9149A">
      <w:pPr>
        <w:pStyle w:val="20"/>
        <w:spacing w:line="480" w:lineRule="exact"/>
        <w:ind w:firstLine="607" w:firstLineChars="217"/>
        <w:rPr>
          <w:rFonts w:ascii="Times New Roman" w:hAnsi="Times New Roman" w:eastAsia="楷体_GB2312" w:cs="Times New Roman"/>
          <w:sz w:val="28"/>
        </w:rPr>
      </w:pPr>
      <w:r>
        <w:rPr>
          <w:rFonts w:ascii="Times New Roman" w:hAnsi="Times New Roman" w:eastAsia="楷体_GB2312" w:cs="Times New Roman"/>
          <w:sz w:val="28"/>
        </w:rPr>
        <w:t>根据各乡镇具体情况，采用特尔菲法，综合确定商服、住宅、工矿仓储、公共管理与公共服务四类用地地价影响因素及其权重，将各类型区域因素和个别因素总分值定为100，则打分结果见表2-9-1至表2-9-8。</w:t>
      </w:r>
    </w:p>
    <w:p w14:paraId="0C8B5E03">
      <w:pPr>
        <w:pStyle w:val="20"/>
        <w:spacing w:line="480" w:lineRule="exact"/>
        <w:jc w:val="center"/>
        <w:rPr>
          <w:rFonts w:ascii="Times New Roman" w:hAnsi="Times New Roman" w:eastAsia="黑体" w:cs="Times New Roman"/>
          <w:sz w:val="28"/>
        </w:rPr>
      </w:pPr>
      <w:r>
        <w:rPr>
          <w:rFonts w:ascii="Times New Roman" w:hAnsi="Times New Roman" w:eastAsia="黑体" w:cs="Times New Roman"/>
          <w:sz w:val="28"/>
        </w:rPr>
        <w:t>表2-9-1  埇桥区</w:t>
      </w:r>
      <w:r>
        <w:rPr>
          <w:rFonts w:ascii="Times New Roman" w:hAnsi="Times New Roman" w:eastAsia="黑体" w:cs="Times New Roman"/>
          <w:sz w:val="28"/>
          <w:szCs w:val="20"/>
        </w:rPr>
        <w:t>符离镇、大泽乡镇、曹村镇</w:t>
      </w:r>
      <w:r>
        <w:rPr>
          <w:rFonts w:ascii="Times New Roman" w:hAnsi="Times New Roman" w:eastAsia="黑体" w:cs="Times New Roman"/>
          <w:sz w:val="28"/>
        </w:rPr>
        <w:t>商服用地宗地地价</w:t>
      </w:r>
    </w:p>
    <w:p w14:paraId="2067A5B9">
      <w:pPr>
        <w:pStyle w:val="20"/>
        <w:spacing w:line="480" w:lineRule="exact"/>
        <w:jc w:val="center"/>
        <w:rPr>
          <w:rFonts w:ascii="Times New Roman" w:hAnsi="Times New Roman" w:eastAsia="黑体" w:cs="Times New Roman"/>
          <w:sz w:val="28"/>
        </w:rPr>
      </w:pPr>
      <w:r>
        <w:rPr>
          <w:rFonts w:ascii="Times New Roman" w:hAnsi="Times New Roman" w:eastAsia="黑体" w:cs="Times New Roman"/>
          <w:sz w:val="28"/>
        </w:rPr>
        <w:t>影响因素权重表</w:t>
      </w:r>
    </w:p>
    <w:tbl>
      <w:tblPr>
        <w:tblStyle w:val="38"/>
        <w:tblW w:w="9072" w:type="dxa"/>
        <w:jc w:val="center"/>
        <w:tblLayout w:type="autofit"/>
        <w:tblCellMar>
          <w:top w:w="0" w:type="dxa"/>
          <w:left w:w="108" w:type="dxa"/>
          <w:bottom w:w="0" w:type="dxa"/>
          <w:right w:w="108" w:type="dxa"/>
        </w:tblCellMar>
      </w:tblPr>
      <w:tblGrid>
        <w:gridCol w:w="1689"/>
        <w:gridCol w:w="1689"/>
        <w:gridCol w:w="1689"/>
        <w:gridCol w:w="1689"/>
        <w:gridCol w:w="2316"/>
      </w:tblGrid>
      <w:tr w14:paraId="623F1629">
        <w:tblPrEx>
          <w:tblCellMar>
            <w:top w:w="0" w:type="dxa"/>
            <w:left w:w="108" w:type="dxa"/>
            <w:bottom w:w="0" w:type="dxa"/>
            <w:right w:w="108" w:type="dxa"/>
          </w:tblCellMar>
        </w:tblPrEx>
        <w:trPr>
          <w:trHeight w:val="20" w:hRule="atLeast"/>
          <w:jc w:val="center"/>
        </w:trPr>
        <w:tc>
          <w:tcPr>
            <w:tcW w:w="0" w:type="dxa"/>
            <w:gridSpan w:val="4"/>
            <w:tcBorders>
              <w:top w:val="single" w:color="auto" w:sz="4" w:space="0"/>
              <w:left w:val="single" w:color="auto" w:sz="4" w:space="0"/>
              <w:bottom w:val="single" w:color="auto" w:sz="4" w:space="0"/>
              <w:right w:val="single" w:color="auto" w:sz="4" w:space="0"/>
            </w:tcBorders>
            <w:noWrap/>
            <w:vAlign w:val="center"/>
          </w:tcPr>
          <w:p w14:paraId="13FDE857">
            <w:pPr>
              <w:spacing w:line="0" w:lineRule="atLeast"/>
              <w:jc w:val="center"/>
              <w:rPr>
                <w:rFonts w:eastAsia="楷体_GB2312"/>
                <w:szCs w:val="21"/>
              </w:rPr>
            </w:pPr>
            <w:r>
              <w:rPr>
                <w:rFonts w:eastAsia="楷体_GB2312"/>
                <w:szCs w:val="21"/>
              </w:rPr>
              <w:t>影响因素</w:t>
            </w:r>
          </w:p>
        </w:tc>
        <w:tc>
          <w:tcPr>
            <w:tcW w:w="0" w:type="dxa"/>
            <w:tcBorders>
              <w:top w:val="single" w:color="auto" w:sz="4" w:space="0"/>
              <w:left w:val="single" w:color="auto" w:sz="4" w:space="0"/>
              <w:bottom w:val="single" w:color="auto" w:sz="4" w:space="0"/>
              <w:right w:val="single" w:color="auto" w:sz="4" w:space="0"/>
            </w:tcBorders>
            <w:noWrap/>
            <w:vAlign w:val="center"/>
          </w:tcPr>
          <w:p w14:paraId="7CF34E9A">
            <w:pPr>
              <w:spacing w:line="0" w:lineRule="atLeast"/>
              <w:jc w:val="center"/>
              <w:rPr>
                <w:rFonts w:eastAsia="楷体_GB2312"/>
                <w:szCs w:val="21"/>
              </w:rPr>
            </w:pPr>
            <w:r>
              <w:rPr>
                <w:rFonts w:eastAsia="楷体_GB2312"/>
                <w:szCs w:val="21"/>
              </w:rPr>
              <w:t>权重</w:t>
            </w:r>
          </w:p>
        </w:tc>
      </w:tr>
      <w:tr w14:paraId="7D8D7707">
        <w:tblPrEx>
          <w:tblCellMar>
            <w:top w:w="0" w:type="dxa"/>
            <w:left w:w="108" w:type="dxa"/>
            <w:bottom w:w="0" w:type="dxa"/>
            <w:right w:w="108" w:type="dxa"/>
          </w:tblCellMar>
        </w:tblPrEx>
        <w:trPr>
          <w:trHeight w:val="20" w:hRule="atLeast"/>
          <w:jc w:val="center"/>
        </w:trPr>
        <w:tc>
          <w:tcPr>
            <w:tcW w:w="0" w:type="dxa"/>
            <w:vMerge w:val="restart"/>
            <w:tcBorders>
              <w:top w:val="single" w:color="auto" w:sz="4" w:space="0"/>
              <w:left w:val="single" w:color="auto" w:sz="4" w:space="0"/>
              <w:bottom w:val="single" w:color="auto" w:sz="4" w:space="0"/>
              <w:right w:val="single" w:color="auto" w:sz="4" w:space="0"/>
            </w:tcBorders>
            <w:noWrap w:val="0"/>
            <w:vAlign w:val="center"/>
          </w:tcPr>
          <w:p w14:paraId="6641E916">
            <w:pPr>
              <w:spacing w:line="0" w:lineRule="atLeast"/>
              <w:jc w:val="center"/>
              <w:rPr>
                <w:rFonts w:eastAsia="楷体_GB2312"/>
                <w:szCs w:val="21"/>
              </w:rPr>
            </w:pPr>
            <w:r>
              <w:rPr>
                <w:rFonts w:eastAsia="楷体_GB2312"/>
                <w:szCs w:val="21"/>
              </w:rPr>
              <w:t>区</w:t>
            </w:r>
          </w:p>
          <w:p w14:paraId="36045C82">
            <w:pPr>
              <w:spacing w:line="0" w:lineRule="atLeast"/>
              <w:jc w:val="center"/>
              <w:rPr>
                <w:rFonts w:eastAsia="楷体_GB2312"/>
                <w:szCs w:val="21"/>
              </w:rPr>
            </w:pPr>
            <w:r>
              <w:rPr>
                <w:rFonts w:eastAsia="楷体_GB2312"/>
                <w:szCs w:val="21"/>
              </w:rPr>
              <w:t>域</w:t>
            </w:r>
          </w:p>
          <w:p w14:paraId="7B2DE6A0">
            <w:pPr>
              <w:spacing w:line="0" w:lineRule="atLeast"/>
              <w:jc w:val="center"/>
              <w:rPr>
                <w:rFonts w:eastAsia="楷体_GB2312"/>
                <w:szCs w:val="21"/>
              </w:rPr>
            </w:pPr>
            <w:r>
              <w:rPr>
                <w:rFonts w:eastAsia="楷体_GB2312"/>
                <w:szCs w:val="21"/>
              </w:rPr>
              <w:t>因</w:t>
            </w:r>
          </w:p>
          <w:p w14:paraId="4D3AFE8A">
            <w:pPr>
              <w:spacing w:line="0" w:lineRule="atLeast"/>
              <w:jc w:val="center"/>
              <w:rPr>
                <w:rFonts w:eastAsia="楷体_GB2312"/>
                <w:szCs w:val="21"/>
              </w:rPr>
            </w:pPr>
            <w:r>
              <w:rPr>
                <w:rFonts w:eastAsia="楷体_GB2312"/>
                <w:szCs w:val="21"/>
              </w:rPr>
              <w:t>素</w:t>
            </w:r>
          </w:p>
        </w:tc>
        <w:tc>
          <w:tcPr>
            <w:tcW w:w="0" w:type="dxa"/>
            <w:gridSpan w:val="3"/>
            <w:tcBorders>
              <w:top w:val="single" w:color="auto" w:sz="4" w:space="0"/>
              <w:left w:val="single" w:color="auto" w:sz="4" w:space="0"/>
              <w:bottom w:val="single" w:color="auto" w:sz="4" w:space="0"/>
              <w:right w:val="single" w:color="auto" w:sz="4" w:space="0"/>
            </w:tcBorders>
            <w:noWrap/>
            <w:vAlign w:val="center"/>
          </w:tcPr>
          <w:p w14:paraId="3B779025">
            <w:pPr>
              <w:spacing w:line="0" w:lineRule="atLeast"/>
              <w:jc w:val="center"/>
              <w:rPr>
                <w:rFonts w:eastAsia="楷体_GB2312"/>
                <w:szCs w:val="21"/>
              </w:rPr>
            </w:pPr>
            <w:r>
              <w:rPr>
                <w:rFonts w:eastAsia="楷体_GB2312"/>
                <w:szCs w:val="21"/>
              </w:rPr>
              <w:t>商服繁华程度</w:t>
            </w:r>
          </w:p>
        </w:tc>
        <w:tc>
          <w:tcPr>
            <w:tcW w:w="0" w:type="dxa"/>
            <w:tcBorders>
              <w:top w:val="single" w:color="auto" w:sz="4" w:space="0"/>
              <w:left w:val="single" w:color="auto" w:sz="4" w:space="0"/>
              <w:bottom w:val="single" w:color="auto" w:sz="4" w:space="0"/>
              <w:right w:val="single" w:color="auto" w:sz="4" w:space="0"/>
            </w:tcBorders>
            <w:noWrap/>
            <w:vAlign w:val="center"/>
          </w:tcPr>
          <w:p w14:paraId="331687BA">
            <w:pPr>
              <w:spacing w:line="0" w:lineRule="atLeast"/>
              <w:jc w:val="center"/>
              <w:rPr>
                <w:rFonts w:eastAsia="楷体_GB2312"/>
                <w:szCs w:val="21"/>
              </w:rPr>
            </w:pPr>
            <w:r>
              <w:rPr>
                <w:rFonts w:eastAsia="楷体_GB2312"/>
                <w:szCs w:val="21"/>
              </w:rPr>
              <w:t>9.25</w:t>
            </w:r>
          </w:p>
        </w:tc>
      </w:tr>
      <w:tr w14:paraId="2394FFFB">
        <w:tblPrEx>
          <w:tblCellMar>
            <w:top w:w="0" w:type="dxa"/>
            <w:left w:w="108" w:type="dxa"/>
            <w:bottom w:w="0" w:type="dxa"/>
            <w:right w:w="108" w:type="dxa"/>
          </w:tblCellMar>
        </w:tblPrEx>
        <w:trPr>
          <w:trHeight w:val="20" w:hRule="atLeast"/>
          <w:jc w:val="center"/>
        </w:trPr>
        <w:tc>
          <w:tcPr>
            <w:tcW w:w="0" w:type="dxa"/>
            <w:vMerge w:val="continue"/>
            <w:tcBorders>
              <w:top w:val="single" w:color="auto" w:sz="4" w:space="0"/>
              <w:left w:val="single" w:color="auto" w:sz="4" w:space="0"/>
              <w:bottom w:val="single" w:color="auto" w:sz="4" w:space="0"/>
              <w:right w:val="single" w:color="auto" w:sz="4" w:space="0"/>
            </w:tcBorders>
            <w:noWrap w:val="0"/>
            <w:vAlign w:val="center"/>
          </w:tcPr>
          <w:p w14:paraId="7C58BE6A">
            <w:pPr>
              <w:spacing w:line="0" w:lineRule="atLeast"/>
              <w:jc w:val="center"/>
              <w:rPr>
                <w:rFonts w:eastAsia="楷体_GB2312"/>
                <w:szCs w:val="21"/>
              </w:rPr>
            </w:pPr>
          </w:p>
        </w:tc>
        <w:tc>
          <w:tcPr>
            <w:tcW w:w="0" w:type="dxa"/>
            <w:vMerge w:val="restart"/>
            <w:tcBorders>
              <w:top w:val="single" w:color="auto" w:sz="4" w:space="0"/>
              <w:left w:val="single" w:color="auto" w:sz="4" w:space="0"/>
              <w:bottom w:val="single" w:color="auto" w:sz="4" w:space="0"/>
              <w:right w:val="single" w:color="auto" w:sz="4" w:space="0"/>
            </w:tcBorders>
            <w:noWrap/>
            <w:vAlign w:val="center"/>
          </w:tcPr>
          <w:p w14:paraId="2E79B48E">
            <w:pPr>
              <w:spacing w:line="0" w:lineRule="atLeast"/>
              <w:jc w:val="center"/>
              <w:rPr>
                <w:rFonts w:eastAsia="楷体_GB2312"/>
                <w:szCs w:val="21"/>
              </w:rPr>
            </w:pPr>
            <w:r>
              <w:rPr>
                <w:rFonts w:eastAsia="楷体_GB2312"/>
                <w:szCs w:val="21"/>
              </w:rPr>
              <w:t>交通状况</w:t>
            </w:r>
          </w:p>
        </w:tc>
        <w:tc>
          <w:tcPr>
            <w:tcW w:w="0" w:type="dxa"/>
            <w:vMerge w:val="restart"/>
            <w:tcBorders>
              <w:top w:val="single" w:color="auto" w:sz="4" w:space="0"/>
              <w:left w:val="single" w:color="auto" w:sz="4" w:space="0"/>
              <w:bottom w:val="single" w:color="auto" w:sz="4" w:space="0"/>
              <w:right w:val="single" w:color="auto" w:sz="4" w:space="0"/>
            </w:tcBorders>
            <w:noWrap/>
            <w:vAlign w:val="center"/>
          </w:tcPr>
          <w:p w14:paraId="09C24851">
            <w:pPr>
              <w:spacing w:line="0" w:lineRule="atLeast"/>
              <w:jc w:val="center"/>
              <w:rPr>
                <w:rFonts w:eastAsia="楷体_GB2312"/>
                <w:szCs w:val="21"/>
              </w:rPr>
            </w:pPr>
            <w:r>
              <w:rPr>
                <w:rFonts w:eastAsia="楷体_GB2312"/>
                <w:szCs w:val="21"/>
              </w:rPr>
              <w:t>道路状况</w:t>
            </w:r>
          </w:p>
        </w:tc>
        <w:tc>
          <w:tcPr>
            <w:tcW w:w="0" w:type="dxa"/>
            <w:tcBorders>
              <w:top w:val="single" w:color="auto" w:sz="4" w:space="0"/>
              <w:left w:val="nil"/>
              <w:bottom w:val="single" w:color="auto" w:sz="4" w:space="0"/>
              <w:right w:val="single" w:color="auto" w:sz="4" w:space="0"/>
            </w:tcBorders>
            <w:noWrap/>
            <w:vAlign w:val="center"/>
          </w:tcPr>
          <w:p w14:paraId="2D298F69">
            <w:pPr>
              <w:spacing w:line="0" w:lineRule="atLeast"/>
              <w:jc w:val="center"/>
              <w:rPr>
                <w:rFonts w:eastAsia="楷体_GB2312"/>
                <w:szCs w:val="21"/>
              </w:rPr>
            </w:pPr>
            <w:r>
              <w:rPr>
                <w:rFonts w:eastAsia="楷体_GB2312"/>
                <w:szCs w:val="21"/>
              </w:rPr>
              <w:t>道路类型</w:t>
            </w:r>
          </w:p>
        </w:tc>
        <w:tc>
          <w:tcPr>
            <w:tcW w:w="0" w:type="dxa"/>
            <w:tcBorders>
              <w:top w:val="single" w:color="auto" w:sz="4" w:space="0"/>
              <w:left w:val="nil"/>
              <w:bottom w:val="single" w:color="auto" w:sz="4" w:space="0"/>
              <w:right w:val="single" w:color="auto" w:sz="4" w:space="0"/>
            </w:tcBorders>
            <w:noWrap/>
            <w:vAlign w:val="center"/>
          </w:tcPr>
          <w:p w14:paraId="4B0FAA23">
            <w:pPr>
              <w:spacing w:line="0" w:lineRule="atLeast"/>
              <w:jc w:val="center"/>
              <w:rPr>
                <w:rFonts w:eastAsia="楷体_GB2312"/>
                <w:szCs w:val="21"/>
              </w:rPr>
            </w:pPr>
            <w:r>
              <w:rPr>
                <w:rFonts w:eastAsia="楷体_GB2312"/>
                <w:szCs w:val="21"/>
              </w:rPr>
              <w:t>4.71</w:t>
            </w:r>
          </w:p>
        </w:tc>
      </w:tr>
      <w:tr w14:paraId="32BD3B45">
        <w:tblPrEx>
          <w:tblCellMar>
            <w:top w:w="0" w:type="dxa"/>
            <w:left w:w="108" w:type="dxa"/>
            <w:bottom w:w="0" w:type="dxa"/>
            <w:right w:w="108" w:type="dxa"/>
          </w:tblCellMar>
        </w:tblPrEx>
        <w:trPr>
          <w:trHeight w:val="20" w:hRule="atLeast"/>
          <w:jc w:val="center"/>
        </w:trPr>
        <w:tc>
          <w:tcPr>
            <w:tcW w:w="0" w:type="dxa"/>
            <w:vMerge w:val="continue"/>
            <w:tcBorders>
              <w:top w:val="single" w:color="auto" w:sz="4" w:space="0"/>
              <w:left w:val="single" w:color="auto" w:sz="4" w:space="0"/>
              <w:bottom w:val="single" w:color="auto" w:sz="4" w:space="0"/>
              <w:right w:val="single" w:color="auto" w:sz="4" w:space="0"/>
            </w:tcBorders>
            <w:noWrap w:val="0"/>
            <w:vAlign w:val="center"/>
          </w:tcPr>
          <w:p w14:paraId="0AF78C47">
            <w:pPr>
              <w:spacing w:line="0" w:lineRule="atLeast"/>
              <w:jc w:val="center"/>
              <w:rPr>
                <w:rFonts w:eastAsia="楷体_GB2312"/>
                <w:szCs w:val="21"/>
              </w:rPr>
            </w:pPr>
          </w:p>
        </w:tc>
        <w:tc>
          <w:tcPr>
            <w:tcW w:w="0" w:type="dxa"/>
            <w:vMerge w:val="continue"/>
            <w:tcBorders>
              <w:top w:val="single" w:color="auto" w:sz="4" w:space="0"/>
              <w:left w:val="single" w:color="auto" w:sz="4" w:space="0"/>
              <w:bottom w:val="single" w:color="auto" w:sz="4" w:space="0"/>
              <w:right w:val="single" w:color="auto" w:sz="4" w:space="0"/>
            </w:tcBorders>
            <w:noWrap w:val="0"/>
            <w:vAlign w:val="center"/>
          </w:tcPr>
          <w:p w14:paraId="2FF56878">
            <w:pPr>
              <w:spacing w:line="0" w:lineRule="atLeast"/>
              <w:jc w:val="center"/>
              <w:rPr>
                <w:rFonts w:eastAsia="楷体_GB2312"/>
                <w:szCs w:val="21"/>
              </w:rPr>
            </w:pPr>
          </w:p>
        </w:tc>
        <w:tc>
          <w:tcPr>
            <w:tcW w:w="0" w:type="dxa"/>
            <w:vMerge w:val="continue"/>
            <w:tcBorders>
              <w:top w:val="single" w:color="auto" w:sz="4" w:space="0"/>
              <w:left w:val="single" w:color="auto" w:sz="4" w:space="0"/>
              <w:bottom w:val="single" w:color="auto" w:sz="4" w:space="0"/>
              <w:right w:val="single" w:color="auto" w:sz="4" w:space="0"/>
            </w:tcBorders>
            <w:noWrap w:val="0"/>
            <w:vAlign w:val="center"/>
          </w:tcPr>
          <w:p w14:paraId="7C68E559">
            <w:pPr>
              <w:spacing w:line="0" w:lineRule="atLeast"/>
              <w:jc w:val="center"/>
              <w:rPr>
                <w:rFonts w:eastAsia="楷体_GB2312"/>
                <w:szCs w:val="21"/>
              </w:rPr>
            </w:pPr>
          </w:p>
        </w:tc>
        <w:tc>
          <w:tcPr>
            <w:tcW w:w="0" w:type="dxa"/>
            <w:tcBorders>
              <w:top w:val="single" w:color="auto" w:sz="4" w:space="0"/>
              <w:left w:val="nil"/>
              <w:bottom w:val="single" w:color="auto" w:sz="4" w:space="0"/>
              <w:right w:val="single" w:color="auto" w:sz="4" w:space="0"/>
            </w:tcBorders>
            <w:noWrap/>
            <w:vAlign w:val="center"/>
          </w:tcPr>
          <w:p w14:paraId="475D641D">
            <w:pPr>
              <w:spacing w:line="0" w:lineRule="atLeast"/>
              <w:jc w:val="center"/>
              <w:rPr>
                <w:rFonts w:eastAsia="楷体_GB2312"/>
                <w:szCs w:val="21"/>
              </w:rPr>
            </w:pPr>
            <w:r>
              <w:rPr>
                <w:rFonts w:eastAsia="楷体_GB2312"/>
                <w:szCs w:val="21"/>
              </w:rPr>
              <w:t>道路等级</w:t>
            </w:r>
          </w:p>
        </w:tc>
        <w:tc>
          <w:tcPr>
            <w:tcW w:w="0" w:type="dxa"/>
            <w:tcBorders>
              <w:top w:val="single" w:color="auto" w:sz="4" w:space="0"/>
              <w:left w:val="nil"/>
              <w:bottom w:val="single" w:color="auto" w:sz="4" w:space="0"/>
              <w:right w:val="single" w:color="auto" w:sz="4" w:space="0"/>
            </w:tcBorders>
            <w:noWrap/>
            <w:vAlign w:val="center"/>
          </w:tcPr>
          <w:p w14:paraId="098E64DC">
            <w:pPr>
              <w:spacing w:line="0" w:lineRule="atLeast"/>
              <w:jc w:val="center"/>
              <w:rPr>
                <w:rFonts w:eastAsia="楷体_GB2312"/>
                <w:szCs w:val="21"/>
              </w:rPr>
            </w:pPr>
            <w:r>
              <w:rPr>
                <w:rFonts w:eastAsia="楷体_GB2312"/>
                <w:szCs w:val="21"/>
              </w:rPr>
              <w:t>4.57</w:t>
            </w:r>
          </w:p>
        </w:tc>
      </w:tr>
      <w:tr w14:paraId="7236B66C">
        <w:tblPrEx>
          <w:tblCellMar>
            <w:top w:w="0" w:type="dxa"/>
            <w:left w:w="108" w:type="dxa"/>
            <w:bottom w:w="0" w:type="dxa"/>
            <w:right w:w="108" w:type="dxa"/>
          </w:tblCellMar>
        </w:tblPrEx>
        <w:trPr>
          <w:trHeight w:val="20" w:hRule="atLeast"/>
          <w:jc w:val="center"/>
        </w:trPr>
        <w:tc>
          <w:tcPr>
            <w:tcW w:w="0" w:type="dxa"/>
            <w:vMerge w:val="continue"/>
            <w:tcBorders>
              <w:top w:val="single" w:color="auto" w:sz="4" w:space="0"/>
              <w:left w:val="single" w:color="auto" w:sz="4" w:space="0"/>
              <w:bottom w:val="single" w:color="auto" w:sz="4" w:space="0"/>
              <w:right w:val="single" w:color="auto" w:sz="4" w:space="0"/>
            </w:tcBorders>
            <w:noWrap w:val="0"/>
            <w:vAlign w:val="center"/>
          </w:tcPr>
          <w:p w14:paraId="15384C68">
            <w:pPr>
              <w:spacing w:line="0" w:lineRule="atLeast"/>
              <w:jc w:val="center"/>
              <w:rPr>
                <w:rFonts w:eastAsia="楷体_GB2312"/>
                <w:szCs w:val="21"/>
              </w:rPr>
            </w:pPr>
          </w:p>
        </w:tc>
        <w:tc>
          <w:tcPr>
            <w:tcW w:w="0" w:type="dxa"/>
            <w:vMerge w:val="continue"/>
            <w:tcBorders>
              <w:top w:val="single" w:color="auto" w:sz="4" w:space="0"/>
              <w:left w:val="single" w:color="auto" w:sz="4" w:space="0"/>
              <w:bottom w:val="single" w:color="auto" w:sz="4" w:space="0"/>
              <w:right w:val="single" w:color="auto" w:sz="4" w:space="0"/>
            </w:tcBorders>
            <w:noWrap w:val="0"/>
            <w:vAlign w:val="center"/>
          </w:tcPr>
          <w:p w14:paraId="47842D7A">
            <w:pPr>
              <w:spacing w:line="0" w:lineRule="atLeast"/>
              <w:jc w:val="center"/>
              <w:rPr>
                <w:rFonts w:eastAsia="楷体_GB2312"/>
                <w:szCs w:val="21"/>
              </w:rPr>
            </w:pPr>
          </w:p>
        </w:tc>
        <w:tc>
          <w:tcPr>
            <w:tcW w:w="0" w:type="dxa"/>
            <w:gridSpan w:val="2"/>
            <w:tcBorders>
              <w:top w:val="single" w:color="auto" w:sz="4" w:space="0"/>
              <w:left w:val="nil"/>
              <w:bottom w:val="single" w:color="auto" w:sz="4" w:space="0"/>
              <w:right w:val="single" w:color="auto" w:sz="4" w:space="0"/>
            </w:tcBorders>
            <w:noWrap/>
            <w:vAlign w:val="center"/>
          </w:tcPr>
          <w:p w14:paraId="775534F4">
            <w:pPr>
              <w:spacing w:line="0" w:lineRule="atLeast"/>
              <w:jc w:val="center"/>
              <w:rPr>
                <w:rFonts w:eastAsia="楷体_GB2312"/>
                <w:szCs w:val="21"/>
              </w:rPr>
            </w:pPr>
            <w:r>
              <w:rPr>
                <w:rFonts w:eastAsia="楷体_GB2312"/>
                <w:szCs w:val="21"/>
              </w:rPr>
              <w:t>交通便捷程度</w:t>
            </w:r>
          </w:p>
        </w:tc>
        <w:tc>
          <w:tcPr>
            <w:tcW w:w="0" w:type="dxa"/>
            <w:tcBorders>
              <w:top w:val="single" w:color="auto" w:sz="4" w:space="0"/>
              <w:left w:val="nil"/>
              <w:bottom w:val="single" w:color="auto" w:sz="4" w:space="0"/>
              <w:right w:val="single" w:color="auto" w:sz="4" w:space="0"/>
            </w:tcBorders>
            <w:noWrap/>
            <w:vAlign w:val="center"/>
          </w:tcPr>
          <w:p w14:paraId="36A894A3">
            <w:pPr>
              <w:spacing w:line="0" w:lineRule="atLeast"/>
              <w:jc w:val="center"/>
              <w:rPr>
                <w:rFonts w:eastAsia="楷体_GB2312"/>
                <w:szCs w:val="21"/>
              </w:rPr>
            </w:pPr>
            <w:r>
              <w:rPr>
                <w:rFonts w:eastAsia="楷体_GB2312"/>
                <w:szCs w:val="21"/>
              </w:rPr>
              <w:t>6.21</w:t>
            </w:r>
          </w:p>
        </w:tc>
      </w:tr>
      <w:tr w14:paraId="2ED6FF35">
        <w:tblPrEx>
          <w:tblCellMar>
            <w:top w:w="0" w:type="dxa"/>
            <w:left w:w="108" w:type="dxa"/>
            <w:bottom w:w="0" w:type="dxa"/>
            <w:right w:w="108" w:type="dxa"/>
          </w:tblCellMar>
        </w:tblPrEx>
        <w:trPr>
          <w:trHeight w:val="20" w:hRule="atLeast"/>
          <w:jc w:val="center"/>
        </w:trPr>
        <w:tc>
          <w:tcPr>
            <w:tcW w:w="0" w:type="dxa"/>
            <w:vMerge w:val="continue"/>
            <w:tcBorders>
              <w:top w:val="single" w:color="auto" w:sz="4" w:space="0"/>
              <w:left w:val="single" w:color="auto" w:sz="4" w:space="0"/>
              <w:bottom w:val="single" w:color="auto" w:sz="4" w:space="0"/>
              <w:right w:val="single" w:color="auto" w:sz="4" w:space="0"/>
            </w:tcBorders>
            <w:noWrap w:val="0"/>
            <w:vAlign w:val="center"/>
          </w:tcPr>
          <w:p w14:paraId="0D8B2D91">
            <w:pPr>
              <w:spacing w:line="0" w:lineRule="atLeast"/>
              <w:jc w:val="center"/>
              <w:rPr>
                <w:rFonts w:eastAsia="楷体_GB2312"/>
                <w:szCs w:val="21"/>
              </w:rPr>
            </w:pPr>
          </w:p>
        </w:tc>
        <w:tc>
          <w:tcPr>
            <w:tcW w:w="0" w:type="dxa"/>
            <w:gridSpan w:val="3"/>
            <w:tcBorders>
              <w:top w:val="single" w:color="auto" w:sz="4" w:space="0"/>
              <w:left w:val="single" w:color="auto" w:sz="4" w:space="0"/>
              <w:bottom w:val="single" w:color="auto" w:sz="4" w:space="0"/>
              <w:right w:val="single" w:color="auto" w:sz="4" w:space="0"/>
            </w:tcBorders>
            <w:noWrap/>
            <w:vAlign w:val="center"/>
          </w:tcPr>
          <w:p w14:paraId="32E4A852">
            <w:pPr>
              <w:spacing w:line="0" w:lineRule="atLeast"/>
              <w:jc w:val="center"/>
              <w:rPr>
                <w:rFonts w:eastAsia="楷体_GB2312"/>
                <w:szCs w:val="21"/>
              </w:rPr>
            </w:pPr>
            <w:r>
              <w:rPr>
                <w:rFonts w:eastAsia="楷体_GB2312"/>
                <w:szCs w:val="21"/>
              </w:rPr>
              <w:t>基础设施状况</w:t>
            </w:r>
          </w:p>
        </w:tc>
        <w:tc>
          <w:tcPr>
            <w:tcW w:w="0" w:type="dxa"/>
            <w:tcBorders>
              <w:top w:val="single" w:color="auto" w:sz="4" w:space="0"/>
              <w:left w:val="single" w:color="auto" w:sz="4" w:space="0"/>
              <w:bottom w:val="single" w:color="auto" w:sz="4" w:space="0"/>
              <w:right w:val="single" w:color="auto" w:sz="4" w:space="0"/>
            </w:tcBorders>
            <w:noWrap/>
            <w:vAlign w:val="center"/>
          </w:tcPr>
          <w:p w14:paraId="3F731A9F">
            <w:pPr>
              <w:spacing w:line="0" w:lineRule="atLeast"/>
              <w:jc w:val="center"/>
              <w:rPr>
                <w:rFonts w:eastAsia="楷体_GB2312"/>
                <w:szCs w:val="21"/>
              </w:rPr>
            </w:pPr>
            <w:r>
              <w:rPr>
                <w:rFonts w:eastAsia="楷体_GB2312"/>
                <w:szCs w:val="21"/>
              </w:rPr>
              <w:t>5.85</w:t>
            </w:r>
          </w:p>
        </w:tc>
      </w:tr>
      <w:tr w14:paraId="23E6F2ED">
        <w:tblPrEx>
          <w:tblCellMar>
            <w:top w:w="0" w:type="dxa"/>
            <w:left w:w="108" w:type="dxa"/>
            <w:bottom w:w="0" w:type="dxa"/>
            <w:right w:w="108" w:type="dxa"/>
          </w:tblCellMar>
        </w:tblPrEx>
        <w:trPr>
          <w:trHeight w:val="20" w:hRule="atLeast"/>
          <w:jc w:val="center"/>
        </w:trPr>
        <w:tc>
          <w:tcPr>
            <w:tcW w:w="0" w:type="dxa"/>
            <w:vMerge w:val="continue"/>
            <w:tcBorders>
              <w:top w:val="single" w:color="auto" w:sz="4" w:space="0"/>
              <w:left w:val="single" w:color="auto" w:sz="4" w:space="0"/>
              <w:bottom w:val="single" w:color="auto" w:sz="4" w:space="0"/>
              <w:right w:val="single" w:color="auto" w:sz="4" w:space="0"/>
            </w:tcBorders>
            <w:noWrap w:val="0"/>
            <w:vAlign w:val="center"/>
          </w:tcPr>
          <w:p w14:paraId="47CEDAD1">
            <w:pPr>
              <w:spacing w:line="0" w:lineRule="atLeast"/>
              <w:jc w:val="center"/>
              <w:rPr>
                <w:rFonts w:eastAsia="楷体_GB2312"/>
                <w:szCs w:val="21"/>
              </w:rPr>
            </w:pPr>
          </w:p>
        </w:tc>
        <w:tc>
          <w:tcPr>
            <w:tcW w:w="0" w:type="dxa"/>
            <w:gridSpan w:val="3"/>
            <w:tcBorders>
              <w:top w:val="single" w:color="auto" w:sz="4" w:space="0"/>
              <w:left w:val="single" w:color="auto" w:sz="4" w:space="0"/>
              <w:bottom w:val="single" w:color="auto" w:sz="4" w:space="0"/>
              <w:right w:val="single" w:color="auto" w:sz="4" w:space="0"/>
            </w:tcBorders>
            <w:noWrap/>
            <w:vAlign w:val="center"/>
          </w:tcPr>
          <w:p w14:paraId="7F719813">
            <w:pPr>
              <w:spacing w:line="0" w:lineRule="atLeast"/>
              <w:jc w:val="center"/>
              <w:rPr>
                <w:rFonts w:eastAsia="楷体_GB2312"/>
                <w:szCs w:val="21"/>
              </w:rPr>
            </w:pPr>
            <w:r>
              <w:rPr>
                <w:rFonts w:eastAsia="楷体_GB2312"/>
                <w:szCs w:val="21"/>
              </w:rPr>
              <w:t>城镇规划限制</w:t>
            </w:r>
          </w:p>
        </w:tc>
        <w:tc>
          <w:tcPr>
            <w:tcW w:w="0" w:type="dxa"/>
            <w:tcBorders>
              <w:top w:val="single" w:color="auto" w:sz="4" w:space="0"/>
              <w:left w:val="single" w:color="auto" w:sz="4" w:space="0"/>
              <w:bottom w:val="single" w:color="auto" w:sz="4" w:space="0"/>
              <w:right w:val="single" w:color="auto" w:sz="4" w:space="0"/>
            </w:tcBorders>
            <w:noWrap/>
            <w:vAlign w:val="center"/>
          </w:tcPr>
          <w:p w14:paraId="1078F341">
            <w:pPr>
              <w:spacing w:line="0" w:lineRule="atLeast"/>
              <w:jc w:val="center"/>
              <w:rPr>
                <w:rFonts w:eastAsia="楷体_GB2312"/>
                <w:szCs w:val="21"/>
              </w:rPr>
            </w:pPr>
            <w:r>
              <w:rPr>
                <w:rFonts w:eastAsia="楷体_GB2312"/>
                <w:szCs w:val="21"/>
              </w:rPr>
              <w:t>5.22</w:t>
            </w:r>
          </w:p>
        </w:tc>
      </w:tr>
      <w:tr w14:paraId="207B202F">
        <w:tblPrEx>
          <w:tblCellMar>
            <w:top w:w="0" w:type="dxa"/>
            <w:left w:w="108" w:type="dxa"/>
            <w:bottom w:w="0" w:type="dxa"/>
            <w:right w:w="108" w:type="dxa"/>
          </w:tblCellMar>
        </w:tblPrEx>
        <w:trPr>
          <w:trHeight w:val="20" w:hRule="atLeast"/>
          <w:jc w:val="center"/>
        </w:trPr>
        <w:tc>
          <w:tcPr>
            <w:tcW w:w="0" w:type="dxa"/>
            <w:vMerge w:val="continue"/>
            <w:tcBorders>
              <w:top w:val="single" w:color="auto" w:sz="4" w:space="0"/>
              <w:left w:val="single" w:color="auto" w:sz="4" w:space="0"/>
              <w:bottom w:val="single" w:color="auto" w:sz="4" w:space="0"/>
              <w:right w:val="single" w:color="auto" w:sz="4" w:space="0"/>
            </w:tcBorders>
            <w:noWrap w:val="0"/>
            <w:vAlign w:val="center"/>
          </w:tcPr>
          <w:p w14:paraId="6442513B">
            <w:pPr>
              <w:spacing w:line="0" w:lineRule="atLeast"/>
              <w:jc w:val="center"/>
              <w:rPr>
                <w:rFonts w:eastAsia="楷体_GB2312"/>
                <w:szCs w:val="21"/>
              </w:rPr>
            </w:pPr>
          </w:p>
        </w:tc>
        <w:tc>
          <w:tcPr>
            <w:tcW w:w="0" w:type="dxa"/>
            <w:gridSpan w:val="3"/>
            <w:tcBorders>
              <w:top w:val="single" w:color="auto" w:sz="4" w:space="0"/>
              <w:left w:val="single" w:color="auto" w:sz="4" w:space="0"/>
              <w:bottom w:val="single" w:color="auto" w:sz="4" w:space="0"/>
              <w:right w:val="single" w:color="auto" w:sz="4" w:space="0"/>
            </w:tcBorders>
            <w:noWrap/>
            <w:vAlign w:val="center"/>
          </w:tcPr>
          <w:p w14:paraId="213D0DD7">
            <w:pPr>
              <w:spacing w:line="0" w:lineRule="atLeast"/>
              <w:jc w:val="center"/>
              <w:rPr>
                <w:rFonts w:eastAsia="楷体_GB2312"/>
                <w:szCs w:val="21"/>
              </w:rPr>
            </w:pPr>
            <w:r>
              <w:rPr>
                <w:rFonts w:eastAsia="楷体_GB2312"/>
                <w:szCs w:val="21"/>
              </w:rPr>
              <w:t>环境质量状况</w:t>
            </w:r>
          </w:p>
        </w:tc>
        <w:tc>
          <w:tcPr>
            <w:tcW w:w="0" w:type="dxa"/>
            <w:tcBorders>
              <w:top w:val="single" w:color="auto" w:sz="4" w:space="0"/>
              <w:left w:val="single" w:color="auto" w:sz="4" w:space="0"/>
              <w:bottom w:val="single" w:color="auto" w:sz="4" w:space="0"/>
              <w:right w:val="single" w:color="auto" w:sz="4" w:space="0"/>
            </w:tcBorders>
            <w:noWrap/>
            <w:vAlign w:val="center"/>
          </w:tcPr>
          <w:p w14:paraId="17B71003">
            <w:pPr>
              <w:spacing w:line="0" w:lineRule="atLeast"/>
              <w:jc w:val="center"/>
              <w:rPr>
                <w:rFonts w:eastAsia="楷体_GB2312"/>
                <w:szCs w:val="21"/>
              </w:rPr>
            </w:pPr>
            <w:r>
              <w:rPr>
                <w:rFonts w:eastAsia="楷体_GB2312"/>
                <w:szCs w:val="21"/>
              </w:rPr>
              <w:t>6.19</w:t>
            </w:r>
          </w:p>
        </w:tc>
      </w:tr>
      <w:tr w14:paraId="5D6707D6">
        <w:tblPrEx>
          <w:tblCellMar>
            <w:top w:w="0" w:type="dxa"/>
            <w:left w:w="108" w:type="dxa"/>
            <w:bottom w:w="0" w:type="dxa"/>
            <w:right w:w="108" w:type="dxa"/>
          </w:tblCellMar>
        </w:tblPrEx>
        <w:trPr>
          <w:trHeight w:val="20" w:hRule="atLeast"/>
          <w:jc w:val="center"/>
        </w:trPr>
        <w:tc>
          <w:tcPr>
            <w:tcW w:w="0" w:type="dxa"/>
            <w:vMerge w:val="continue"/>
            <w:tcBorders>
              <w:top w:val="single" w:color="auto" w:sz="4" w:space="0"/>
              <w:left w:val="single" w:color="auto" w:sz="4" w:space="0"/>
              <w:bottom w:val="single" w:color="auto" w:sz="4" w:space="0"/>
              <w:right w:val="single" w:color="auto" w:sz="4" w:space="0"/>
            </w:tcBorders>
            <w:noWrap w:val="0"/>
            <w:vAlign w:val="center"/>
          </w:tcPr>
          <w:p w14:paraId="67076B96">
            <w:pPr>
              <w:spacing w:line="0" w:lineRule="atLeast"/>
              <w:jc w:val="center"/>
              <w:rPr>
                <w:rFonts w:eastAsia="楷体_GB2312"/>
                <w:szCs w:val="21"/>
              </w:rPr>
            </w:pPr>
          </w:p>
        </w:tc>
        <w:tc>
          <w:tcPr>
            <w:tcW w:w="0" w:type="dxa"/>
            <w:gridSpan w:val="3"/>
            <w:tcBorders>
              <w:top w:val="single" w:color="auto" w:sz="4" w:space="0"/>
              <w:left w:val="nil"/>
              <w:bottom w:val="single" w:color="auto" w:sz="4" w:space="0"/>
              <w:right w:val="single" w:color="auto" w:sz="4" w:space="0"/>
            </w:tcBorders>
            <w:noWrap/>
            <w:vAlign w:val="center"/>
          </w:tcPr>
          <w:p w14:paraId="26B4BAF2">
            <w:pPr>
              <w:spacing w:line="0" w:lineRule="atLeast"/>
              <w:jc w:val="center"/>
              <w:rPr>
                <w:rFonts w:eastAsia="楷体_GB2312"/>
                <w:szCs w:val="21"/>
              </w:rPr>
            </w:pPr>
            <w:r>
              <w:rPr>
                <w:rFonts w:eastAsia="楷体_GB2312"/>
                <w:szCs w:val="21"/>
              </w:rPr>
              <w:t>其他区域因素状况</w:t>
            </w:r>
          </w:p>
        </w:tc>
        <w:tc>
          <w:tcPr>
            <w:tcW w:w="0" w:type="dxa"/>
            <w:tcBorders>
              <w:top w:val="single" w:color="auto" w:sz="4" w:space="0"/>
              <w:left w:val="nil"/>
              <w:bottom w:val="single" w:color="auto" w:sz="4" w:space="0"/>
              <w:right w:val="single" w:color="auto" w:sz="4" w:space="0"/>
            </w:tcBorders>
            <w:noWrap/>
            <w:vAlign w:val="center"/>
          </w:tcPr>
          <w:p w14:paraId="5C1B96CB">
            <w:pPr>
              <w:spacing w:line="0" w:lineRule="atLeast"/>
              <w:jc w:val="center"/>
              <w:rPr>
                <w:rFonts w:eastAsia="楷体_GB2312"/>
                <w:szCs w:val="21"/>
              </w:rPr>
            </w:pPr>
            <w:r>
              <w:rPr>
                <w:rFonts w:eastAsia="楷体_GB2312"/>
                <w:szCs w:val="21"/>
              </w:rPr>
              <w:t>3.55</w:t>
            </w:r>
          </w:p>
        </w:tc>
      </w:tr>
      <w:tr w14:paraId="7C2C5E02">
        <w:tblPrEx>
          <w:tblCellMar>
            <w:top w:w="0" w:type="dxa"/>
            <w:left w:w="108" w:type="dxa"/>
            <w:bottom w:w="0" w:type="dxa"/>
            <w:right w:w="108" w:type="dxa"/>
          </w:tblCellMar>
        </w:tblPrEx>
        <w:trPr>
          <w:trHeight w:val="20" w:hRule="atLeast"/>
          <w:jc w:val="center"/>
        </w:trPr>
        <w:tc>
          <w:tcPr>
            <w:tcW w:w="0" w:type="dxa"/>
            <w:vMerge w:val="restart"/>
            <w:tcBorders>
              <w:top w:val="single" w:color="auto" w:sz="4" w:space="0"/>
              <w:left w:val="single" w:color="auto" w:sz="4" w:space="0"/>
              <w:right w:val="single" w:color="auto" w:sz="4" w:space="0"/>
            </w:tcBorders>
            <w:noWrap w:val="0"/>
            <w:vAlign w:val="center"/>
          </w:tcPr>
          <w:p w14:paraId="08542BA9">
            <w:pPr>
              <w:spacing w:line="0" w:lineRule="atLeast"/>
              <w:jc w:val="center"/>
              <w:rPr>
                <w:rFonts w:eastAsia="楷体_GB2312"/>
                <w:szCs w:val="21"/>
              </w:rPr>
            </w:pPr>
            <w:r>
              <w:rPr>
                <w:rFonts w:eastAsia="楷体_GB2312"/>
                <w:szCs w:val="21"/>
              </w:rPr>
              <w:t>个</w:t>
            </w:r>
          </w:p>
          <w:p w14:paraId="18CE1088">
            <w:pPr>
              <w:spacing w:line="0" w:lineRule="atLeast"/>
              <w:jc w:val="center"/>
              <w:rPr>
                <w:rFonts w:eastAsia="楷体_GB2312"/>
                <w:szCs w:val="21"/>
              </w:rPr>
            </w:pPr>
            <w:r>
              <w:rPr>
                <w:rFonts w:eastAsia="楷体_GB2312"/>
                <w:szCs w:val="21"/>
              </w:rPr>
              <w:t>别</w:t>
            </w:r>
          </w:p>
          <w:p w14:paraId="40C7944A">
            <w:pPr>
              <w:spacing w:line="0" w:lineRule="atLeast"/>
              <w:jc w:val="center"/>
              <w:rPr>
                <w:rFonts w:eastAsia="楷体_GB2312"/>
                <w:szCs w:val="21"/>
              </w:rPr>
            </w:pPr>
            <w:r>
              <w:rPr>
                <w:rFonts w:eastAsia="楷体_GB2312"/>
                <w:szCs w:val="21"/>
              </w:rPr>
              <w:t>因</w:t>
            </w:r>
          </w:p>
          <w:p w14:paraId="7B6F6C89">
            <w:pPr>
              <w:spacing w:line="0" w:lineRule="atLeast"/>
              <w:jc w:val="center"/>
              <w:rPr>
                <w:rFonts w:eastAsia="楷体_GB2312"/>
                <w:szCs w:val="21"/>
              </w:rPr>
            </w:pPr>
            <w:r>
              <w:rPr>
                <w:rFonts w:eastAsia="楷体_GB2312"/>
                <w:szCs w:val="21"/>
              </w:rPr>
              <w:t>素</w:t>
            </w:r>
          </w:p>
        </w:tc>
        <w:tc>
          <w:tcPr>
            <w:tcW w:w="0" w:type="dxa"/>
            <w:gridSpan w:val="3"/>
            <w:tcBorders>
              <w:top w:val="single" w:color="auto" w:sz="4" w:space="0"/>
              <w:left w:val="nil"/>
              <w:bottom w:val="single" w:color="auto" w:sz="4" w:space="0"/>
              <w:right w:val="single" w:color="auto" w:sz="4" w:space="0"/>
            </w:tcBorders>
            <w:noWrap/>
            <w:vAlign w:val="center"/>
          </w:tcPr>
          <w:p w14:paraId="4EDD9641">
            <w:pPr>
              <w:spacing w:line="0" w:lineRule="atLeast"/>
              <w:jc w:val="center"/>
              <w:rPr>
                <w:rFonts w:eastAsia="楷体_GB2312"/>
                <w:szCs w:val="21"/>
              </w:rPr>
            </w:pPr>
            <w:r>
              <w:rPr>
                <w:rFonts w:eastAsia="楷体_GB2312"/>
                <w:szCs w:val="21"/>
              </w:rPr>
              <w:t>距商服中心距离</w:t>
            </w:r>
          </w:p>
        </w:tc>
        <w:tc>
          <w:tcPr>
            <w:tcW w:w="0" w:type="dxa"/>
            <w:tcBorders>
              <w:top w:val="single" w:color="auto" w:sz="4" w:space="0"/>
              <w:left w:val="nil"/>
              <w:bottom w:val="single" w:color="auto" w:sz="4" w:space="0"/>
              <w:right w:val="single" w:color="auto" w:sz="4" w:space="0"/>
            </w:tcBorders>
            <w:noWrap/>
            <w:vAlign w:val="center"/>
          </w:tcPr>
          <w:p w14:paraId="13598D99">
            <w:pPr>
              <w:spacing w:line="0" w:lineRule="atLeast"/>
              <w:jc w:val="center"/>
              <w:rPr>
                <w:rFonts w:eastAsia="楷体_GB2312"/>
                <w:szCs w:val="21"/>
              </w:rPr>
            </w:pPr>
            <w:r>
              <w:rPr>
                <w:rFonts w:eastAsia="楷体_GB2312"/>
                <w:szCs w:val="21"/>
              </w:rPr>
              <w:t>5.38</w:t>
            </w:r>
          </w:p>
        </w:tc>
      </w:tr>
      <w:tr w14:paraId="3422F86A">
        <w:tblPrEx>
          <w:tblCellMar>
            <w:top w:w="0" w:type="dxa"/>
            <w:left w:w="108" w:type="dxa"/>
            <w:bottom w:w="0" w:type="dxa"/>
            <w:right w:w="108" w:type="dxa"/>
          </w:tblCellMar>
        </w:tblPrEx>
        <w:trPr>
          <w:trHeight w:val="20" w:hRule="atLeast"/>
          <w:jc w:val="center"/>
        </w:trPr>
        <w:tc>
          <w:tcPr>
            <w:tcW w:w="0" w:type="dxa"/>
            <w:vMerge w:val="continue"/>
            <w:tcBorders>
              <w:left w:val="single" w:color="auto" w:sz="4" w:space="0"/>
              <w:right w:val="single" w:color="auto" w:sz="4" w:space="0"/>
            </w:tcBorders>
            <w:noWrap w:val="0"/>
            <w:vAlign w:val="center"/>
          </w:tcPr>
          <w:p w14:paraId="133D58C0">
            <w:pPr>
              <w:spacing w:line="0" w:lineRule="atLeast"/>
              <w:jc w:val="center"/>
              <w:rPr>
                <w:rFonts w:eastAsia="楷体_GB2312"/>
                <w:szCs w:val="21"/>
              </w:rPr>
            </w:pPr>
          </w:p>
        </w:tc>
        <w:tc>
          <w:tcPr>
            <w:tcW w:w="0" w:type="dxa"/>
            <w:gridSpan w:val="3"/>
            <w:tcBorders>
              <w:top w:val="single" w:color="auto" w:sz="4" w:space="0"/>
              <w:left w:val="nil"/>
              <w:bottom w:val="single" w:color="auto" w:sz="4" w:space="0"/>
              <w:right w:val="single" w:color="auto" w:sz="4" w:space="0"/>
            </w:tcBorders>
            <w:noWrap/>
            <w:vAlign w:val="center"/>
          </w:tcPr>
          <w:p w14:paraId="124D03FA">
            <w:pPr>
              <w:spacing w:line="0" w:lineRule="atLeast"/>
              <w:jc w:val="center"/>
              <w:rPr>
                <w:rFonts w:eastAsia="楷体_GB2312"/>
                <w:szCs w:val="21"/>
              </w:rPr>
            </w:pPr>
            <w:r>
              <w:rPr>
                <w:rFonts w:eastAsia="楷体_GB2312"/>
                <w:szCs w:val="21"/>
              </w:rPr>
              <w:t>宗地地基状况</w:t>
            </w:r>
          </w:p>
        </w:tc>
        <w:tc>
          <w:tcPr>
            <w:tcW w:w="0" w:type="dxa"/>
            <w:tcBorders>
              <w:top w:val="single" w:color="auto" w:sz="4" w:space="0"/>
              <w:left w:val="nil"/>
              <w:bottom w:val="single" w:color="auto" w:sz="4" w:space="0"/>
              <w:right w:val="single" w:color="auto" w:sz="4" w:space="0"/>
            </w:tcBorders>
            <w:noWrap/>
            <w:vAlign w:val="center"/>
          </w:tcPr>
          <w:p w14:paraId="58CDD89B">
            <w:pPr>
              <w:spacing w:line="0" w:lineRule="atLeast"/>
              <w:jc w:val="center"/>
              <w:rPr>
                <w:rFonts w:eastAsia="楷体_GB2312"/>
                <w:szCs w:val="21"/>
              </w:rPr>
            </w:pPr>
            <w:r>
              <w:rPr>
                <w:rFonts w:eastAsia="楷体_GB2312"/>
                <w:szCs w:val="21"/>
              </w:rPr>
              <w:t>3.92</w:t>
            </w:r>
          </w:p>
        </w:tc>
      </w:tr>
      <w:tr w14:paraId="78B576AA">
        <w:tblPrEx>
          <w:tblCellMar>
            <w:top w:w="0" w:type="dxa"/>
            <w:left w:w="108" w:type="dxa"/>
            <w:bottom w:w="0" w:type="dxa"/>
            <w:right w:w="108" w:type="dxa"/>
          </w:tblCellMar>
        </w:tblPrEx>
        <w:trPr>
          <w:trHeight w:val="20" w:hRule="atLeast"/>
          <w:jc w:val="center"/>
        </w:trPr>
        <w:tc>
          <w:tcPr>
            <w:tcW w:w="0" w:type="dxa"/>
            <w:vMerge w:val="continue"/>
            <w:tcBorders>
              <w:left w:val="single" w:color="auto" w:sz="4" w:space="0"/>
              <w:right w:val="single" w:color="auto" w:sz="4" w:space="0"/>
            </w:tcBorders>
            <w:noWrap w:val="0"/>
            <w:vAlign w:val="center"/>
          </w:tcPr>
          <w:p w14:paraId="2F9B5996">
            <w:pPr>
              <w:spacing w:line="0" w:lineRule="atLeast"/>
              <w:jc w:val="center"/>
              <w:rPr>
                <w:rFonts w:eastAsia="楷体_GB2312"/>
                <w:szCs w:val="21"/>
              </w:rPr>
            </w:pPr>
          </w:p>
        </w:tc>
        <w:tc>
          <w:tcPr>
            <w:tcW w:w="0" w:type="dxa"/>
            <w:gridSpan w:val="3"/>
            <w:tcBorders>
              <w:top w:val="single" w:color="auto" w:sz="4" w:space="0"/>
              <w:left w:val="single" w:color="auto" w:sz="4" w:space="0"/>
              <w:bottom w:val="single" w:color="auto" w:sz="4" w:space="0"/>
              <w:right w:val="single" w:color="auto" w:sz="4" w:space="0"/>
            </w:tcBorders>
            <w:noWrap/>
            <w:vAlign w:val="center"/>
          </w:tcPr>
          <w:p w14:paraId="37657DE0">
            <w:pPr>
              <w:spacing w:line="0" w:lineRule="atLeast"/>
              <w:jc w:val="center"/>
              <w:rPr>
                <w:rFonts w:eastAsia="楷体_GB2312"/>
                <w:szCs w:val="21"/>
              </w:rPr>
            </w:pPr>
            <w:r>
              <w:rPr>
                <w:rFonts w:eastAsia="楷体_GB2312"/>
                <w:szCs w:val="21"/>
              </w:rPr>
              <w:t>宗地形状</w:t>
            </w:r>
          </w:p>
        </w:tc>
        <w:tc>
          <w:tcPr>
            <w:tcW w:w="0" w:type="dxa"/>
            <w:tcBorders>
              <w:top w:val="single" w:color="auto" w:sz="4" w:space="0"/>
              <w:left w:val="single" w:color="auto" w:sz="4" w:space="0"/>
              <w:bottom w:val="single" w:color="auto" w:sz="4" w:space="0"/>
              <w:right w:val="single" w:color="auto" w:sz="4" w:space="0"/>
            </w:tcBorders>
            <w:noWrap/>
            <w:vAlign w:val="center"/>
          </w:tcPr>
          <w:p w14:paraId="0B452CCF">
            <w:pPr>
              <w:spacing w:line="0" w:lineRule="atLeast"/>
              <w:jc w:val="center"/>
              <w:rPr>
                <w:rFonts w:eastAsia="楷体_GB2312"/>
                <w:szCs w:val="21"/>
              </w:rPr>
            </w:pPr>
            <w:r>
              <w:rPr>
                <w:rFonts w:eastAsia="楷体_GB2312"/>
                <w:szCs w:val="21"/>
              </w:rPr>
              <w:t>3.62</w:t>
            </w:r>
          </w:p>
        </w:tc>
      </w:tr>
      <w:tr w14:paraId="7065E912">
        <w:tblPrEx>
          <w:tblCellMar>
            <w:top w:w="0" w:type="dxa"/>
            <w:left w:w="108" w:type="dxa"/>
            <w:bottom w:w="0" w:type="dxa"/>
            <w:right w:w="108" w:type="dxa"/>
          </w:tblCellMar>
        </w:tblPrEx>
        <w:trPr>
          <w:trHeight w:val="20" w:hRule="atLeast"/>
          <w:jc w:val="center"/>
        </w:trPr>
        <w:tc>
          <w:tcPr>
            <w:tcW w:w="0" w:type="dxa"/>
            <w:vMerge w:val="continue"/>
            <w:tcBorders>
              <w:left w:val="single" w:color="auto" w:sz="4" w:space="0"/>
              <w:right w:val="single" w:color="auto" w:sz="4" w:space="0"/>
            </w:tcBorders>
            <w:noWrap w:val="0"/>
            <w:vAlign w:val="center"/>
          </w:tcPr>
          <w:p w14:paraId="63FFC341">
            <w:pPr>
              <w:spacing w:line="0" w:lineRule="atLeast"/>
              <w:jc w:val="center"/>
              <w:rPr>
                <w:rFonts w:eastAsia="楷体_GB2312"/>
                <w:szCs w:val="21"/>
              </w:rPr>
            </w:pPr>
          </w:p>
        </w:tc>
        <w:tc>
          <w:tcPr>
            <w:tcW w:w="0" w:type="dxa"/>
            <w:gridSpan w:val="3"/>
            <w:tcBorders>
              <w:top w:val="single" w:color="auto" w:sz="4" w:space="0"/>
              <w:left w:val="nil"/>
              <w:bottom w:val="single" w:color="auto" w:sz="4" w:space="0"/>
              <w:right w:val="single" w:color="auto" w:sz="4" w:space="0"/>
            </w:tcBorders>
            <w:noWrap/>
            <w:vAlign w:val="center"/>
          </w:tcPr>
          <w:p w14:paraId="42D32C5E">
            <w:pPr>
              <w:spacing w:line="0" w:lineRule="atLeast"/>
              <w:jc w:val="center"/>
              <w:rPr>
                <w:rFonts w:eastAsia="楷体_GB2312"/>
                <w:szCs w:val="21"/>
              </w:rPr>
            </w:pPr>
            <w:r>
              <w:rPr>
                <w:rFonts w:eastAsia="楷体_GB2312"/>
                <w:szCs w:val="21"/>
              </w:rPr>
              <w:t>宗地面积</w:t>
            </w:r>
          </w:p>
        </w:tc>
        <w:tc>
          <w:tcPr>
            <w:tcW w:w="0" w:type="dxa"/>
            <w:tcBorders>
              <w:top w:val="single" w:color="auto" w:sz="4" w:space="0"/>
              <w:left w:val="nil"/>
              <w:bottom w:val="single" w:color="auto" w:sz="4" w:space="0"/>
              <w:right w:val="single" w:color="auto" w:sz="4" w:space="0"/>
            </w:tcBorders>
            <w:noWrap/>
            <w:vAlign w:val="center"/>
          </w:tcPr>
          <w:p w14:paraId="1899D46C">
            <w:pPr>
              <w:spacing w:line="0" w:lineRule="atLeast"/>
              <w:jc w:val="center"/>
              <w:rPr>
                <w:rFonts w:eastAsia="楷体_GB2312"/>
                <w:szCs w:val="21"/>
              </w:rPr>
            </w:pPr>
            <w:r>
              <w:rPr>
                <w:rFonts w:eastAsia="楷体_GB2312"/>
                <w:szCs w:val="21"/>
              </w:rPr>
              <w:t>3.81</w:t>
            </w:r>
          </w:p>
        </w:tc>
      </w:tr>
      <w:tr w14:paraId="195944CB">
        <w:tblPrEx>
          <w:tblCellMar>
            <w:top w:w="0" w:type="dxa"/>
            <w:left w:w="108" w:type="dxa"/>
            <w:bottom w:w="0" w:type="dxa"/>
            <w:right w:w="108" w:type="dxa"/>
          </w:tblCellMar>
        </w:tblPrEx>
        <w:trPr>
          <w:trHeight w:val="20" w:hRule="atLeast"/>
          <w:jc w:val="center"/>
        </w:trPr>
        <w:tc>
          <w:tcPr>
            <w:tcW w:w="0" w:type="dxa"/>
            <w:vMerge w:val="continue"/>
            <w:tcBorders>
              <w:left w:val="single" w:color="auto" w:sz="4" w:space="0"/>
              <w:right w:val="single" w:color="auto" w:sz="4" w:space="0"/>
            </w:tcBorders>
            <w:noWrap w:val="0"/>
            <w:vAlign w:val="center"/>
          </w:tcPr>
          <w:p w14:paraId="10F653CE">
            <w:pPr>
              <w:spacing w:line="0" w:lineRule="atLeast"/>
              <w:jc w:val="center"/>
              <w:rPr>
                <w:rFonts w:eastAsia="楷体_GB2312"/>
                <w:szCs w:val="21"/>
              </w:rPr>
            </w:pPr>
          </w:p>
        </w:tc>
        <w:tc>
          <w:tcPr>
            <w:tcW w:w="0" w:type="dxa"/>
            <w:gridSpan w:val="3"/>
            <w:tcBorders>
              <w:top w:val="single" w:color="auto" w:sz="4" w:space="0"/>
              <w:left w:val="nil"/>
              <w:bottom w:val="single" w:color="auto" w:sz="4" w:space="0"/>
              <w:right w:val="single" w:color="auto" w:sz="4" w:space="0"/>
            </w:tcBorders>
            <w:noWrap/>
            <w:vAlign w:val="center"/>
          </w:tcPr>
          <w:p w14:paraId="1835751B">
            <w:pPr>
              <w:spacing w:line="0" w:lineRule="atLeast"/>
              <w:jc w:val="center"/>
              <w:rPr>
                <w:rFonts w:eastAsia="楷体_GB2312"/>
                <w:szCs w:val="21"/>
              </w:rPr>
            </w:pPr>
            <w:r>
              <w:rPr>
                <w:rFonts w:eastAsia="楷体_GB2312"/>
                <w:szCs w:val="21"/>
              </w:rPr>
              <w:t>宗地利用状况</w:t>
            </w:r>
          </w:p>
        </w:tc>
        <w:tc>
          <w:tcPr>
            <w:tcW w:w="0" w:type="dxa"/>
            <w:tcBorders>
              <w:top w:val="single" w:color="auto" w:sz="4" w:space="0"/>
              <w:left w:val="nil"/>
              <w:bottom w:val="single" w:color="auto" w:sz="4" w:space="0"/>
              <w:right w:val="single" w:color="auto" w:sz="4" w:space="0"/>
            </w:tcBorders>
            <w:noWrap/>
            <w:vAlign w:val="center"/>
          </w:tcPr>
          <w:p w14:paraId="092519A0">
            <w:pPr>
              <w:spacing w:line="0" w:lineRule="atLeast"/>
              <w:jc w:val="center"/>
              <w:rPr>
                <w:rFonts w:eastAsia="楷体_GB2312"/>
                <w:szCs w:val="21"/>
              </w:rPr>
            </w:pPr>
            <w:r>
              <w:rPr>
                <w:rFonts w:eastAsia="楷体_GB2312"/>
                <w:szCs w:val="21"/>
              </w:rPr>
              <w:t>3.08</w:t>
            </w:r>
          </w:p>
        </w:tc>
      </w:tr>
      <w:tr w14:paraId="3BB1B338">
        <w:tblPrEx>
          <w:tblCellMar>
            <w:top w:w="0" w:type="dxa"/>
            <w:left w:w="108" w:type="dxa"/>
            <w:bottom w:w="0" w:type="dxa"/>
            <w:right w:w="108" w:type="dxa"/>
          </w:tblCellMar>
        </w:tblPrEx>
        <w:trPr>
          <w:trHeight w:val="20" w:hRule="atLeast"/>
          <w:jc w:val="center"/>
        </w:trPr>
        <w:tc>
          <w:tcPr>
            <w:tcW w:w="0" w:type="dxa"/>
            <w:vMerge w:val="continue"/>
            <w:tcBorders>
              <w:left w:val="single" w:color="auto" w:sz="4" w:space="0"/>
              <w:right w:val="single" w:color="auto" w:sz="4" w:space="0"/>
            </w:tcBorders>
            <w:noWrap w:val="0"/>
            <w:vAlign w:val="center"/>
          </w:tcPr>
          <w:p w14:paraId="58EB58F0">
            <w:pPr>
              <w:spacing w:line="0" w:lineRule="atLeast"/>
              <w:jc w:val="center"/>
              <w:rPr>
                <w:rFonts w:eastAsia="楷体_GB2312"/>
                <w:szCs w:val="21"/>
              </w:rPr>
            </w:pPr>
          </w:p>
        </w:tc>
        <w:tc>
          <w:tcPr>
            <w:tcW w:w="0" w:type="dxa"/>
            <w:vMerge w:val="restart"/>
            <w:tcBorders>
              <w:top w:val="single" w:color="auto" w:sz="4" w:space="0"/>
              <w:left w:val="single" w:color="auto" w:sz="4" w:space="0"/>
              <w:bottom w:val="single" w:color="auto" w:sz="4" w:space="0"/>
              <w:right w:val="single" w:color="auto" w:sz="4" w:space="0"/>
            </w:tcBorders>
            <w:noWrap/>
            <w:vAlign w:val="center"/>
          </w:tcPr>
          <w:p w14:paraId="694AB99E">
            <w:pPr>
              <w:spacing w:line="0" w:lineRule="atLeast"/>
              <w:jc w:val="center"/>
              <w:rPr>
                <w:rFonts w:eastAsia="楷体_GB2312"/>
                <w:szCs w:val="21"/>
              </w:rPr>
            </w:pPr>
            <w:r>
              <w:rPr>
                <w:rFonts w:eastAsia="楷体_GB2312"/>
                <w:szCs w:val="21"/>
              </w:rPr>
              <w:t>临街状况</w:t>
            </w:r>
          </w:p>
        </w:tc>
        <w:tc>
          <w:tcPr>
            <w:tcW w:w="0" w:type="dxa"/>
            <w:gridSpan w:val="2"/>
            <w:tcBorders>
              <w:top w:val="single" w:color="auto" w:sz="4" w:space="0"/>
              <w:left w:val="single" w:color="auto" w:sz="4" w:space="0"/>
              <w:bottom w:val="single" w:color="auto" w:sz="4" w:space="0"/>
              <w:right w:val="single" w:color="auto" w:sz="4" w:space="0"/>
            </w:tcBorders>
            <w:noWrap/>
            <w:vAlign w:val="center"/>
          </w:tcPr>
          <w:p w14:paraId="5A205FD7">
            <w:pPr>
              <w:spacing w:line="0" w:lineRule="atLeast"/>
              <w:jc w:val="center"/>
              <w:rPr>
                <w:rFonts w:eastAsia="楷体_GB2312"/>
                <w:szCs w:val="21"/>
              </w:rPr>
            </w:pPr>
            <w:r>
              <w:rPr>
                <w:rFonts w:eastAsia="楷体_GB2312"/>
                <w:szCs w:val="21"/>
              </w:rPr>
              <w:t>所临街道类型</w:t>
            </w:r>
          </w:p>
        </w:tc>
        <w:tc>
          <w:tcPr>
            <w:tcW w:w="0" w:type="dxa"/>
            <w:tcBorders>
              <w:top w:val="single" w:color="auto" w:sz="4" w:space="0"/>
              <w:left w:val="single" w:color="auto" w:sz="4" w:space="0"/>
              <w:bottom w:val="single" w:color="auto" w:sz="4" w:space="0"/>
              <w:right w:val="single" w:color="auto" w:sz="4" w:space="0"/>
            </w:tcBorders>
            <w:noWrap/>
            <w:vAlign w:val="center"/>
          </w:tcPr>
          <w:p w14:paraId="3C43E8BF">
            <w:pPr>
              <w:jc w:val="center"/>
              <w:rPr>
                <w:rFonts w:eastAsia="楷体_GB2312"/>
                <w:szCs w:val="21"/>
              </w:rPr>
            </w:pPr>
            <w:r>
              <w:rPr>
                <w:rFonts w:eastAsia="楷体_GB2312"/>
                <w:szCs w:val="21"/>
              </w:rPr>
              <w:t>3.34</w:t>
            </w:r>
          </w:p>
        </w:tc>
      </w:tr>
      <w:tr w14:paraId="7C6FE0EB">
        <w:tblPrEx>
          <w:tblCellMar>
            <w:top w:w="0" w:type="dxa"/>
            <w:left w:w="108" w:type="dxa"/>
            <w:bottom w:w="0" w:type="dxa"/>
            <w:right w:w="108" w:type="dxa"/>
          </w:tblCellMar>
        </w:tblPrEx>
        <w:trPr>
          <w:trHeight w:val="20" w:hRule="atLeast"/>
          <w:jc w:val="center"/>
        </w:trPr>
        <w:tc>
          <w:tcPr>
            <w:tcW w:w="0" w:type="dxa"/>
            <w:vMerge w:val="continue"/>
            <w:tcBorders>
              <w:left w:val="single" w:color="auto" w:sz="4" w:space="0"/>
              <w:right w:val="single" w:color="auto" w:sz="4" w:space="0"/>
            </w:tcBorders>
            <w:noWrap w:val="0"/>
            <w:vAlign w:val="center"/>
          </w:tcPr>
          <w:p w14:paraId="58460D24">
            <w:pPr>
              <w:spacing w:line="0" w:lineRule="atLeast"/>
              <w:jc w:val="center"/>
              <w:rPr>
                <w:rFonts w:eastAsia="楷体_GB2312"/>
                <w:szCs w:val="21"/>
              </w:rPr>
            </w:pPr>
          </w:p>
        </w:tc>
        <w:tc>
          <w:tcPr>
            <w:tcW w:w="0" w:type="dxa"/>
            <w:vMerge w:val="continue"/>
            <w:tcBorders>
              <w:top w:val="single" w:color="auto" w:sz="4" w:space="0"/>
              <w:left w:val="single" w:color="auto" w:sz="4" w:space="0"/>
              <w:bottom w:val="single" w:color="auto" w:sz="4" w:space="0"/>
              <w:right w:val="single" w:color="auto" w:sz="4" w:space="0"/>
            </w:tcBorders>
            <w:noWrap w:val="0"/>
            <w:vAlign w:val="center"/>
          </w:tcPr>
          <w:p w14:paraId="4D39901F">
            <w:pPr>
              <w:spacing w:line="0" w:lineRule="atLeast"/>
              <w:jc w:val="center"/>
              <w:rPr>
                <w:rFonts w:eastAsia="楷体_GB2312"/>
                <w:szCs w:val="21"/>
              </w:rPr>
            </w:pPr>
          </w:p>
        </w:tc>
        <w:tc>
          <w:tcPr>
            <w:tcW w:w="0" w:type="dxa"/>
            <w:gridSpan w:val="2"/>
            <w:tcBorders>
              <w:top w:val="single" w:color="auto" w:sz="4" w:space="0"/>
              <w:left w:val="single" w:color="auto" w:sz="4" w:space="0"/>
              <w:bottom w:val="single" w:color="auto" w:sz="4" w:space="0"/>
              <w:right w:val="single" w:color="auto" w:sz="4" w:space="0"/>
            </w:tcBorders>
            <w:noWrap/>
            <w:vAlign w:val="center"/>
          </w:tcPr>
          <w:p w14:paraId="495FC94E">
            <w:pPr>
              <w:spacing w:line="0" w:lineRule="atLeast"/>
              <w:jc w:val="center"/>
              <w:rPr>
                <w:rFonts w:eastAsia="楷体_GB2312"/>
                <w:szCs w:val="21"/>
              </w:rPr>
            </w:pPr>
            <w:r>
              <w:rPr>
                <w:rFonts w:eastAsia="楷体_GB2312"/>
                <w:szCs w:val="21"/>
              </w:rPr>
              <w:t>宽深比</w:t>
            </w:r>
          </w:p>
        </w:tc>
        <w:tc>
          <w:tcPr>
            <w:tcW w:w="0" w:type="dxa"/>
            <w:tcBorders>
              <w:top w:val="single" w:color="auto" w:sz="4" w:space="0"/>
              <w:left w:val="single" w:color="auto" w:sz="4" w:space="0"/>
              <w:bottom w:val="single" w:color="auto" w:sz="4" w:space="0"/>
              <w:right w:val="single" w:color="auto" w:sz="4" w:space="0"/>
            </w:tcBorders>
            <w:noWrap/>
            <w:vAlign w:val="center"/>
          </w:tcPr>
          <w:p w14:paraId="7408F578">
            <w:pPr>
              <w:jc w:val="center"/>
              <w:rPr>
                <w:rFonts w:eastAsia="楷体_GB2312"/>
                <w:szCs w:val="21"/>
              </w:rPr>
            </w:pPr>
            <w:r>
              <w:rPr>
                <w:rFonts w:eastAsia="楷体_GB2312"/>
                <w:szCs w:val="21"/>
              </w:rPr>
              <w:t>3.71</w:t>
            </w:r>
          </w:p>
        </w:tc>
      </w:tr>
      <w:tr w14:paraId="589BA74F">
        <w:tblPrEx>
          <w:tblCellMar>
            <w:top w:w="0" w:type="dxa"/>
            <w:left w:w="108" w:type="dxa"/>
            <w:bottom w:w="0" w:type="dxa"/>
            <w:right w:w="108" w:type="dxa"/>
          </w:tblCellMar>
        </w:tblPrEx>
        <w:trPr>
          <w:trHeight w:val="20" w:hRule="atLeast"/>
          <w:jc w:val="center"/>
        </w:trPr>
        <w:tc>
          <w:tcPr>
            <w:tcW w:w="0" w:type="dxa"/>
            <w:vMerge w:val="continue"/>
            <w:tcBorders>
              <w:left w:val="single" w:color="auto" w:sz="4" w:space="0"/>
              <w:right w:val="single" w:color="auto" w:sz="4" w:space="0"/>
            </w:tcBorders>
            <w:noWrap w:val="0"/>
            <w:vAlign w:val="center"/>
          </w:tcPr>
          <w:p w14:paraId="18DF00E2">
            <w:pPr>
              <w:spacing w:line="0" w:lineRule="atLeast"/>
              <w:jc w:val="center"/>
              <w:rPr>
                <w:rFonts w:eastAsia="楷体_GB2312"/>
                <w:szCs w:val="21"/>
              </w:rPr>
            </w:pPr>
          </w:p>
        </w:tc>
        <w:tc>
          <w:tcPr>
            <w:tcW w:w="0" w:type="dxa"/>
            <w:vMerge w:val="continue"/>
            <w:tcBorders>
              <w:top w:val="single" w:color="auto" w:sz="4" w:space="0"/>
              <w:left w:val="single" w:color="auto" w:sz="4" w:space="0"/>
              <w:bottom w:val="single" w:color="auto" w:sz="4" w:space="0"/>
              <w:right w:val="single" w:color="auto" w:sz="4" w:space="0"/>
            </w:tcBorders>
            <w:noWrap w:val="0"/>
            <w:vAlign w:val="center"/>
          </w:tcPr>
          <w:p w14:paraId="79034D7D">
            <w:pPr>
              <w:spacing w:line="0" w:lineRule="atLeast"/>
              <w:jc w:val="center"/>
              <w:rPr>
                <w:rFonts w:eastAsia="楷体_GB2312"/>
                <w:szCs w:val="21"/>
              </w:rPr>
            </w:pPr>
          </w:p>
        </w:tc>
        <w:tc>
          <w:tcPr>
            <w:tcW w:w="0" w:type="dxa"/>
            <w:gridSpan w:val="2"/>
            <w:tcBorders>
              <w:top w:val="single" w:color="auto" w:sz="4" w:space="0"/>
              <w:left w:val="single" w:color="auto" w:sz="4" w:space="0"/>
              <w:bottom w:val="single" w:color="auto" w:sz="4" w:space="0"/>
              <w:right w:val="single" w:color="auto" w:sz="4" w:space="0"/>
            </w:tcBorders>
            <w:noWrap/>
            <w:vAlign w:val="center"/>
          </w:tcPr>
          <w:p w14:paraId="381BFD11">
            <w:pPr>
              <w:spacing w:line="0" w:lineRule="atLeast"/>
              <w:jc w:val="center"/>
              <w:rPr>
                <w:rFonts w:eastAsia="楷体_GB2312"/>
                <w:szCs w:val="21"/>
              </w:rPr>
            </w:pPr>
            <w:r>
              <w:rPr>
                <w:rFonts w:eastAsia="楷体_GB2312"/>
                <w:szCs w:val="21"/>
              </w:rPr>
              <w:t>几面临街</w:t>
            </w:r>
          </w:p>
        </w:tc>
        <w:tc>
          <w:tcPr>
            <w:tcW w:w="0" w:type="dxa"/>
            <w:tcBorders>
              <w:top w:val="single" w:color="auto" w:sz="4" w:space="0"/>
              <w:left w:val="single" w:color="auto" w:sz="4" w:space="0"/>
              <w:bottom w:val="single" w:color="auto" w:sz="4" w:space="0"/>
              <w:right w:val="single" w:color="auto" w:sz="4" w:space="0"/>
            </w:tcBorders>
            <w:noWrap/>
            <w:vAlign w:val="center"/>
          </w:tcPr>
          <w:p w14:paraId="71066963">
            <w:pPr>
              <w:jc w:val="center"/>
              <w:rPr>
                <w:rFonts w:eastAsia="楷体_GB2312"/>
                <w:szCs w:val="21"/>
              </w:rPr>
            </w:pPr>
            <w:r>
              <w:rPr>
                <w:rFonts w:eastAsia="楷体_GB2312"/>
                <w:szCs w:val="21"/>
              </w:rPr>
              <w:t>4.38</w:t>
            </w:r>
          </w:p>
        </w:tc>
      </w:tr>
      <w:tr w14:paraId="22BB396C">
        <w:tblPrEx>
          <w:tblCellMar>
            <w:top w:w="0" w:type="dxa"/>
            <w:left w:w="108" w:type="dxa"/>
            <w:bottom w:w="0" w:type="dxa"/>
            <w:right w:w="108" w:type="dxa"/>
          </w:tblCellMar>
        </w:tblPrEx>
        <w:trPr>
          <w:trHeight w:val="20" w:hRule="atLeast"/>
          <w:jc w:val="center"/>
        </w:trPr>
        <w:tc>
          <w:tcPr>
            <w:tcW w:w="0" w:type="dxa"/>
            <w:vMerge w:val="continue"/>
            <w:tcBorders>
              <w:left w:val="single" w:color="auto" w:sz="4" w:space="0"/>
              <w:right w:val="single" w:color="auto" w:sz="4" w:space="0"/>
            </w:tcBorders>
            <w:noWrap w:val="0"/>
            <w:vAlign w:val="center"/>
          </w:tcPr>
          <w:p w14:paraId="40E240ED">
            <w:pPr>
              <w:spacing w:line="0" w:lineRule="atLeast"/>
              <w:jc w:val="center"/>
              <w:rPr>
                <w:rFonts w:eastAsia="楷体_GB2312"/>
                <w:szCs w:val="21"/>
              </w:rPr>
            </w:pPr>
          </w:p>
        </w:tc>
        <w:tc>
          <w:tcPr>
            <w:tcW w:w="0" w:type="dxa"/>
            <w:gridSpan w:val="3"/>
            <w:tcBorders>
              <w:top w:val="single" w:color="auto" w:sz="4" w:space="0"/>
              <w:left w:val="nil"/>
              <w:bottom w:val="single" w:color="auto" w:sz="4" w:space="0"/>
              <w:right w:val="single" w:color="auto" w:sz="4" w:space="0"/>
            </w:tcBorders>
            <w:noWrap/>
            <w:vAlign w:val="center"/>
          </w:tcPr>
          <w:p w14:paraId="620BDF0F">
            <w:pPr>
              <w:spacing w:line="0" w:lineRule="atLeast"/>
              <w:jc w:val="center"/>
              <w:rPr>
                <w:rFonts w:eastAsia="楷体_GB2312"/>
                <w:szCs w:val="21"/>
              </w:rPr>
            </w:pPr>
            <w:r>
              <w:rPr>
                <w:rFonts w:eastAsia="楷体_GB2312"/>
                <w:szCs w:val="21"/>
              </w:rPr>
              <w:t>宗地基础设施状况</w:t>
            </w:r>
          </w:p>
        </w:tc>
        <w:tc>
          <w:tcPr>
            <w:tcW w:w="0" w:type="dxa"/>
            <w:tcBorders>
              <w:top w:val="single" w:color="auto" w:sz="4" w:space="0"/>
              <w:left w:val="nil"/>
              <w:bottom w:val="single" w:color="auto" w:sz="4" w:space="0"/>
              <w:right w:val="single" w:color="auto" w:sz="4" w:space="0"/>
            </w:tcBorders>
            <w:noWrap/>
            <w:vAlign w:val="center"/>
          </w:tcPr>
          <w:p w14:paraId="4F9AD4A2">
            <w:pPr>
              <w:jc w:val="center"/>
              <w:rPr>
                <w:rFonts w:eastAsia="楷体_GB2312"/>
                <w:szCs w:val="21"/>
              </w:rPr>
            </w:pPr>
            <w:r>
              <w:rPr>
                <w:rFonts w:eastAsia="楷体_GB2312"/>
                <w:szCs w:val="21"/>
              </w:rPr>
              <w:t>4.02</w:t>
            </w:r>
          </w:p>
        </w:tc>
      </w:tr>
      <w:tr w14:paraId="4D895705">
        <w:tblPrEx>
          <w:tblCellMar>
            <w:top w:w="0" w:type="dxa"/>
            <w:left w:w="108" w:type="dxa"/>
            <w:bottom w:w="0" w:type="dxa"/>
            <w:right w:w="108" w:type="dxa"/>
          </w:tblCellMar>
        </w:tblPrEx>
        <w:trPr>
          <w:trHeight w:val="20" w:hRule="atLeast"/>
          <w:jc w:val="center"/>
        </w:trPr>
        <w:tc>
          <w:tcPr>
            <w:tcW w:w="0" w:type="dxa"/>
            <w:vMerge w:val="continue"/>
            <w:tcBorders>
              <w:left w:val="single" w:color="auto" w:sz="4" w:space="0"/>
              <w:right w:val="single" w:color="auto" w:sz="4" w:space="0"/>
            </w:tcBorders>
            <w:noWrap w:val="0"/>
            <w:vAlign w:val="center"/>
          </w:tcPr>
          <w:p w14:paraId="139EF0FE">
            <w:pPr>
              <w:spacing w:line="0" w:lineRule="atLeast"/>
              <w:jc w:val="center"/>
              <w:rPr>
                <w:rFonts w:eastAsia="楷体_GB2312"/>
                <w:szCs w:val="21"/>
              </w:rPr>
            </w:pPr>
          </w:p>
        </w:tc>
        <w:tc>
          <w:tcPr>
            <w:tcW w:w="0" w:type="dxa"/>
            <w:gridSpan w:val="3"/>
            <w:tcBorders>
              <w:top w:val="single" w:color="auto" w:sz="4" w:space="0"/>
              <w:left w:val="single" w:color="auto" w:sz="4" w:space="0"/>
              <w:bottom w:val="single" w:color="auto" w:sz="4" w:space="0"/>
              <w:right w:val="single" w:color="auto" w:sz="4" w:space="0"/>
            </w:tcBorders>
            <w:noWrap/>
            <w:vAlign w:val="center"/>
          </w:tcPr>
          <w:p w14:paraId="6664F245">
            <w:pPr>
              <w:spacing w:line="0" w:lineRule="atLeast"/>
              <w:jc w:val="center"/>
              <w:rPr>
                <w:rFonts w:eastAsia="楷体_GB2312"/>
                <w:szCs w:val="21"/>
              </w:rPr>
            </w:pPr>
            <w:r>
              <w:rPr>
                <w:rFonts w:eastAsia="楷体_GB2312"/>
                <w:szCs w:val="21"/>
              </w:rPr>
              <w:t>距对外交通设施距离</w:t>
            </w:r>
          </w:p>
        </w:tc>
        <w:tc>
          <w:tcPr>
            <w:tcW w:w="0" w:type="dxa"/>
            <w:tcBorders>
              <w:top w:val="single" w:color="auto" w:sz="4" w:space="0"/>
              <w:left w:val="single" w:color="auto" w:sz="4" w:space="0"/>
              <w:bottom w:val="single" w:color="auto" w:sz="4" w:space="0"/>
              <w:right w:val="single" w:color="auto" w:sz="4" w:space="0"/>
            </w:tcBorders>
            <w:noWrap/>
            <w:vAlign w:val="center"/>
          </w:tcPr>
          <w:p w14:paraId="20A240FD">
            <w:pPr>
              <w:jc w:val="center"/>
              <w:rPr>
                <w:rFonts w:eastAsia="楷体_GB2312"/>
                <w:szCs w:val="21"/>
              </w:rPr>
            </w:pPr>
            <w:r>
              <w:rPr>
                <w:rFonts w:eastAsia="楷体_GB2312"/>
                <w:szCs w:val="21"/>
              </w:rPr>
              <w:t>4.52</w:t>
            </w:r>
          </w:p>
        </w:tc>
      </w:tr>
      <w:tr w14:paraId="646BABF7">
        <w:tblPrEx>
          <w:tblCellMar>
            <w:top w:w="0" w:type="dxa"/>
            <w:left w:w="108" w:type="dxa"/>
            <w:bottom w:w="0" w:type="dxa"/>
            <w:right w:w="108" w:type="dxa"/>
          </w:tblCellMar>
        </w:tblPrEx>
        <w:trPr>
          <w:trHeight w:val="20" w:hRule="atLeast"/>
          <w:jc w:val="center"/>
        </w:trPr>
        <w:tc>
          <w:tcPr>
            <w:tcW w:w="0" w:type="dxa"/>
            <w:vMerge w:val="continue"/>
            <w:tcBorders>
              <w:left w:val="single" w:color="auto" w:sz="4" w:space="0"/>
              <w:right w:val="single" w:color="auto" w:sz="4" w:space="0"/>
            </w:tcBorders>
            <w:noWrap w:val="0"/>
            <w:vAlign w:val="center"/>
          </w:tcPr>
          <w:p w14:paraId="264E013C">
            <w:pPr>
              <w:spacing w:line="0" w:lineRule="atLeast"/>
              <w:jc w:val="center"/>
              <w:rPr>
                <w:rFonts w:eastAsia="楷体_GB2312"/>
                <w:szCs w:val="21"/>
              </w:rPr>
            </w:pPr>
          </w:p>
        </w:tc>
        <w:tc>
          <w:tcPr>
            <w:tcW w:w="0" w:type="dxa"/>
            <w:gridSpan w:val="3"/>
            <w:tcBorders>
              <w:top w:val="single" w:color="auto" w:sz="4" w:space="0"/>
              <w:left w:val="nil"/>
              <w:bottom w:val="single" w:color="auto" w:sz="4" w:space="0"/>
              <w:right w:val="single" w:color="auto" w:sz="4" w:space="0"/>
            </w:tcBorders>
            <w:noWrap/>
            <w:vAlign w:val="center"/>
          </w:tcPr>
          <w:p w14:paraId="387B17C8">
            <w:pPr>
              <w:spacing w:line="0" w:lineRule="atLeast"/>
              <w:jc w:val="center"/>
              <w:rPr>
                <w:rFonts w:eastAsia="楷体_GB2312"/>
                <w:szCs w:val="21"/>
              </w:rPr>
            </w:pPr>
            <w:r>
              <w:rPr>
                <w:rFonts w:eastAsia="楷体_GB2312"/>
                <w:szCs w:val="21"/>
              </w:rPr>
              <w:t>相邻土地利用状况</w:t>
            </w:r>
          </w:p>
        </w:tc>
        <w:tc>
          <w:tcPr>
            <w:tcW w:w="0" w:type="dxa"/>
            <w:tcBorders>
              <w:top w:val="single" w:color="auto" w:sz="4" w:space="0"/>
              <w:left w:val="nil"/>
              <w:bottom w:val="single" w:color="auto" w:sz="4" w:space="0"/>
              <w:right w:val="single" w:color="auto" w:sz="4" w:space="0"/>
            </w:tcBorders>
            <w:noWrap/>
            <w:vAlign w:val="center"/>
          </w:tcPr>
          <w:p w14:paraId="7432D70F">
            <w:pPr>
              <w:jc w:val="center"/>
              <w:rPr>
                <w:rFonts w:eastAsia="楷体_GB2312"/>
                <w:szCs w:val="21"/>
              </w:rPr>
            </w:pPr>
            <w:r>
              <w:rPr>
                <w:rFonts w:eastAsia="楷体_GB2312"/>
                <w:szCs w:val="21"/>
              </w:rPr>
              <w:t>3.75</w:t>
            </w:r>
          </w:p>
        </w:tc>
      </w:tr>
      <w:tr w14:paraId="10464999">
        <w:tblPrEx>
          <w:tblCellMar>
            <w:top w:w="0" w:type="dxa"/>
            <w:left w:w="108" w:type="dxa"/>
            <w:bottom w:w="0" w:type="dxa"/>
            <w:right w:w="108" w:type="dxa"/>
          </w:tblCellMar>
        </w:tblPrEx>
        <w:trPr>
          <w:trHeight w:val="20" w:hRule="atLeast"/>
          <w:jc w:val="center"/>
        </w:trPr>
        <w:tc>
          <w:tcPr>
            <w:tcW w:w="0" w:type="dxa"/>
            <w:vMerge w:val="continue"/>
            <w:tcBorders>
              <w:left w:val="single" w:color="auto" w:sz="4" w:space="0"/>
              <w:right w:val="single" w:color="auto" w:sz="4" w:space="0"/>
            </w:tcBorders>
            <w:noWrap w:val="0"/>
            <w:vAlign w:val="center"/>
          </w:tcPr>
          <w:p w14:paraId="12F22C96">
            <w:pPr>
              <w:spacing w:line="0" w:lineRule="atLeast"/>
              <w:jc w:val="center"/>
              <w:rPr>
                <w:rFonts w:eastAsia="楷体_GB2312"/>
                <w:szCs w:val="21"/>
              </w:rPr>
            </w:pPr>
          </w:p>
        </w:tc>
        <w:tc>
          <w:tcPr>
            <w:tcW w:w="0" w:type="dxa"/>
            <w:gridSpan w:val="3"/>
            <w:tcBorders>
              <w:top w:val="single" w:color="auto" w:sz="4" w:space="0"/>
              <w:left w:val="nil"/>
              <w:bottom w:val="single" w:color="auto" w:sz="4" w:space="0"/>
              <w:right w:val="single" w:color="auto" w:sz="4" w:space="0"/>
            </w:tcBorders>
            <w:noWrap/>
            <w:vAlign w:val="center"/>
          </w:tcPr>
          <w:p w14:paraId="51F81616">
            <w:pPr>
              <w:spacing w:line="0" w:lineRule="atLeast"/>
              <w:jc w:val="center"/>
              <w:rPr>
                <w:rFonts w:eastAsia="楷体_GB2312"/>
                <w:szCs w:val="21"/>
              </w:rPr>
            </w:pPr>
            <w:r>
              <w:rPr>
                <w:rFonts w:eastAsia="楷体_GB2312"/>
                <w:szCs w:val="21"/>
              </w:rPr>
              <w:t>土地规划限制</w:t>
            </w:r>
          </w:p>
        </w:tc>
        <w:tc>
          <w:tcPr>
            <w:tcW w:w="0" w:type="dxa"/>
            <w:tcBorders>
              <w:top w:val="single" w:color="auto" w:sz="4" w:space="0"/>
              <w:left w:val="nil"/>
              <w:bottom w:val="single" w:color="auto" w:sz="4" w:space="0"/>
              <w:right w:val="single" w:color="auto" w:sz="4" w:space="0"/>
            </w:tcBorders>
            <w:noWrap/>
            <w:vAlign w:val="center"/>
          </w:tcPr>
          <w:p w14:paraId="6504C8BA">
            <w:pPr>
              <w:jc w:val="center"/>
              <w:rPr>
                <w:rFonts w:eastAsia="楷体_GB2312"/>
                <w:szCs w:val="21"/>
              </w:rPr>
            </w:pPr>
            <w:r>
              <w:rPr>
                <w:rFonts w:eastAsia="楷体_GB2312"/>
                <w:szCs w:val="21"/>
              </w:rPr>
              <w:t>4.05</w:t>
            </w:r>
          </w:p>
        </w:tc>
      </w:tr>
      <w:tr w14:paraId="557C3C01">
        <w:tblPrEx>
          <w:tblCellMar>
            <w:top w:w="0" w:type="dxa"/>
            <w:left w:w="108" w:type="dxa"/>
            <w:bottom w:w="0" w:type="dxa"/>
            <w:right w:w="108" w:type="dxa"/>
          </w:tblCellMar>
        </w:tblPrEx>
        <w:trPr>
          <w:trHeight w:val="20" w:hRule="atLeast"/>
          <w:jc w:val="center"/>
        </w:trPr>
        <w:tc>
          <w:tcPr>
            <w:tcW w:w="0" w:type="dxa"/>
            <w:vMerge w:val="continue"/>
            <w:tcBorders>
              <w:left w:val="single" w:color="auto" w:sz="4" w:space="0"/>
              <w:right w:val="single" w:color="auto" w:sz="4" w:space="0"/>
            </w:tcBorders>
            <w:noWrap w:val="0"/>
            <w:vAlign w:val="center"/>
          </w:tcPr>
          <w:p w14:paraId="533E0E30">
            <w:pPr>
              <w:spacing w:line="0" w:lineRule="atLeast"/>
              <w:jc w:val="center"/>
              <w:rPr>
                <w:rFonts w:eastAsia="楷体_GB2312"/>
                <w:szCs w:val="21"/>
              </w:rPr>
            </w:pPr>
          </w:p>
        </w:tc>
        <w:tc>
          <w:tcPr>
            <w:tcW w:w="0" w:type="dxa"/>
            <w:gridSpan w:val="3"/>
            <w:tcBorders>
              <w:top w:val="single" w:color="auto" w:sz="4" w:space="0"/>
              <w:left w:val="nil"/>
              <w:bottom w:val="single" w:color="auto" w:sz="4" w:space="0"/>
              <w:right w:val="single" w:color="auto" w:sz="4" w:space="0"/>
            </w:tcBorders>
            <w:noWrap/>
            <w:vAlign w:val="center"/>
          </w:tcPr>
          <w:p w14:paraId="17B3B9D9">
            <w:pPr>
              <w:spacing w:line="0" w:lineRule="atLeast"/>
              <w:jc w:val="center"/>
              <w:rPr>
                <w:rFonts w:eastAsia="楷体_GB2312"/>
                <w:szCs w:val="21"/>
              </w:rPr>
            </w:pPr>
            <w:r>
              <w:rPr>
                <w:rFonts w:eastAsia="楷体_GB2312"/>
                <w:szCs w:val="21"/>
              </w:rPr>
              <w:t>地上建筑物状况</w:t>
            </w:r>
          </w:p>
        </w:tc>
        <w:tc>
          <w:tcPr>
            <w:tcW w:w="0" w:type="dxa"/>
            <w:tcBorders>
              <w:top w:val="single" w:color="auto" w:sz="4" w:space="0"/>
              <w:left w:val="nil"/>
              <w:bottom w:val="single" w:color="auto" w:sz="4" w:space="0"/>
              <w:right w:val="single" w:color="auto" w:sz="4" w:space="0"/>
            </w:tcBorders>
            <w:noWrap/>
            <w:vAlign w:val="center"/>
          </w:tcPr>
          <w:p w14:paraId="49647E91">
            <w:pPr>
              <w:jc w:val="center"/>
              <w:rPr>
                <w:rFonts w:eastAsia="楷体_GB2312"/>
                <w:szCs w:val="21"/>
              </w:rPr>
            </w:pPr>
            <w:r>
              <w:rPr>
                <w:rFonts w:eastAsia="楷体_GB2312"/>
                <w:szCs w:val="21"/>
              </w:rPr>
              <w:t>3.76</w:t>
            </w:r>
          </w:p>
        </w:tc>
      </w:tr>
      <w:tr w14:paraId="3F2F8FAF">
        <w:tblPrEx>
          <w:tblCellMar>
            <w:top w:w="0" w:type="dxa"/>
            <w:left w:w="108" w:type="dxa"/>
            <w:bottom w:w="0" w:type="dxa"/>
            <w:right w:w="108" w:type="dxa"/>
          </w:tblCellMar>
        </w:tblPrEx>
        <w:trPr>
          <w:trHeight w:val="20" w:hRule="atLeast"/>
          <w:jc w:val="center"/>
        </w:trPr>
        <w:tc>
          <w:tcPr>
            <w:tcW w:w="0" w:type="dxa"/>
            <w:vMerge w:val="continue"/>
            <w:tcBorders>
              <w:left w:val="single" w:color="auto" w:sz="4" w:space="0"/>
              <w:bottom w:val="single" w:color="auto" w:sz="4" w:space="0"/>
              <w:right w:val="single" w:color="auto" w:sz="4" w:space="0"/>
            </w:tcBorders>
            <w:noWrap w:val="0"/>
            <w:vAlign w:val="center"/>
          </w:tcPr>
          <w:p w14:paraId="34E2332E">
            <w:pPr>
              <w:spacing w:line="0" w:lineRule="atLeast"/>
              <w:jc w:val="center"/>
              <w:rPr>
                <w:rFonts w:eastAsia="楷体_GB2312"/>
                <w:szCs w:val="21"/>
              </w:rPr>
            </w:pPr>
          </w:p>
        </w:tc>
        <w:tc>
          <w:tcPr>
            <w:tcW w:w="0" w:type="dxa"/>
            <w:gridSpan w:val="3"/>
            <w:tcBorders>
              <w:top w:val="single" w:color="auto" w:sz="4" w:space="0"/>
              <w:left w:val="nil"/>
              <w:bottom w:val="single" w:color="auto" w:sz="4" w:space="0"/>
              <w:right w:val="single" w:color="auto" w:sz="4" w:space="0"/>
            </w:tcBorders>
            <w:noWrap/>
            <w:vAlign w:val="center"/>
          </w:tcPr>
          <w:p w14:paraId="436B09C6">
            <w:pPr>
              <w:spacing w:line="0" w:lineRule="atLeast"/>
              <w:jc w:val="center"/>
              <w:rPr>
                <w:rFonts w:eastAsia="楷体_GB2312"/>
                <w:szCs w:val="21"/>
              </w:rPr>
            </w:pPr>
            <w:r>
              <w:rPr>
                <w:rFonts w:eastAsia="楷体_GB2312"/>
                <w:szCs w:val="21"/>
              </w:rPr>
              <w:t>其他个别因素状况</w:t>
            </w:r>
          </w:p>
        </w:tc>
        <w:tc>
          <w:tcPr>
            <w:tcW w:w="0" w:type="dxa"/>
            <w:tcBorders>
              <w:top w:val="single" w:color="auto" w:sz="4" w:space="0"/>
              <w:left w:val="nil"/>
              <w:bottom w:val="single" w:color="auto" w:sz="4" w:space="0"/>
              <w:right w:val="single" w:color="auto" w:sz="4" w:space="0"/>
            </w:tcBorders>
            <w:noWrap/>
            <w:vAlign w:val="center"/>
          </w:tcPr>
          <w:p w14:paraId="21AEF282">
            <w:pPr>
              <w:jc w:val="center"/>
              <w:rPr>
                <w:rFonts w:eastAsia="楷体_GB2312"/>
                <w:szCs w:val="21"/>
              </w:rPr>
            </w:pPr>
            <w:r>
              <w:rPr>
                <w:rFonts w:eastAsia="楷体_GB2312"/>
                <w:szCs w:val="21"/>
              </w:rPr>
              <w:t>3.11</w:t>
            </w:r>
          </w:p>
        </w:tc>
      </w:tr>
      <w:tr w14:paraId="58ECA715">
        <w:tblPrEx>
          <w:tblCellMar>
            <w:top w:w="0" w:type="dxa"/>
            <w:left w:w="108" w:type="dxa"/>
            <w:bottom w:w="0" w:type="dxa"/>
            <w:right w:w="108" w:type="dxa"/>
          </w:tblCellMar>
        </w:tblPrEx>
        <w:trPr>
          <w:trHeight w:val="20" w:hRule="atLeast"/>
          <w:jc w:val="center"/>
        </w:trPr>
        <w:tc>
          <w:tcPr>
            <w:tcW w:w="0" w:type="dxa"/>
            <w:gridSpan w:val="4"/>
            <w:tcBorders>
              <w:top w:val="single" w:color="auto" w:sz="4" w:space="0"/>
              <w:left w:val="single" w:color="auto" w:sz="4" w:space="0"/>
              <w:bottom w:val="single" w:color="auto" w:sz="4" w:space="0"/>
              <w:right w:val="single" w:color="auto" w:sz="4" w:space="0"/>
            </w:tcBorders>
            <w:noWrap/>
            <w:vAlign w:val="center"/>
          </w:tcPr>
          <w:p w14:paraId="10C5860B">
            <w:pPr>
              <w:spacing w:line="0" w:lineRule="atLeast"/>
              <w:jc w:val="center"/>
              <w:rPr>
                <w:rFonts w:eastAsia="楷体_GB2312"/>
                <w:szCs w:val="21"/>
              </w:rPr>
            </w:pPr>
            <w:r>
              <w:rPr>
                <w:rFonts w:eastAsia="楷体_GB2312"/>
                <w:szCs w:val="21"/>
              </w:rPr>
              <w:t>合  计</w:t>
            </w:r>
          </w:p>
        </w:tc>
        <w:tc>
          <w:tcPr>
            <w:tcW w:w="0" w:type="dxa"/>
            <w:tcBorders>
              <w:top w:val="single" w:color="auto" w:sz="4" w:space="0"/>
              <w:left w:val="single" w:color="auto" w:sz="4" w:space="0"/>
              <w:bottom w:val="single" w:color="auto" w:sz="4" w:space="0"/>
              <w:right w:val="single" w:color="auto" w:sz="4" w:space="0"/>
            </w:tcBorders>
            <w:noWrap/>
            <w:vAlign w:val="center"/>
          </w:tcPr>
          <w:p w14:paraId="2279DD9A">
            <w:pPr>
              <w:spacing w:line="0" w:lineRule="atLeast"/>
              <w:jc w:val="center"/>
              <w:rPr>
                <w:rFonts w:eastAsia="楷体_GB2312"/>
                <w:szCs w:val="21"/>
              </w:rPr>
            </w:pPr>
            <w:r>
              <w:rPr>
                <w:rFonts w:eastAsia="楷体_GB2312"/>
                <w:szCs w:val="21"/>
              </w:rPr>
              <w:fldChar w:fldCharType="begin"/>
            </w:r>
            <w:r>
              <w:rPr>
                <w:rFonts w:eastAsia="楷体_GB2312"/>
                <w:szCs w:val="21"/>
              </w:rPr>
              <w:instrText xml:space="preserve"> =SUM(ABOVE) </w:instrText>
            </w:r>
            <w:r>
              <w:rPr>
                <w:rFonts w:eastAsia="楷体_GB2312"/>
                <w:szCs w:val="21"/>
              </w:rPr>
              <w:fldChar w:fldCharType="separate"/>
            </w:r>
            <w:r>
              <w:rPr>
                <w:rFonts w:eastAsia="楷体_GB2312"/>
                <w:szCs w:val="21"/>
              </w:rPr>
              <w:t>100</w:t>
            </w:r>
            <w:r>
              <w:rPr>
                <w:rFonts w:eastAsia="楷体_GB2312"/>
                <w:szCs w:val="21"/>
              </w:rPr>
              <w:fldChar w:fldCharType="end"/>
            </w:r>
          </w:p>
        </w:tc>
      </w:tr>
    </w:tbl>
    <w:p w14:paraId="4385886A">
      <w:pPr>
        <w:pStyle w:val="20"/>
        <w:spacing w:before="120" w:beforeLines="50" w:after="120" w:afterLines="50" w:line="480" w:lineRule="exact"/>
        <w:jc w:val="center"/>
        <w:rPr>
          <w:rFonts w:ascii="Times New Roman" w:hAnsi="Times New Roman" w:eastAsia="楷体_GB2312" w:cs="Times New Roman"/>
          <w:b/>
          <w:sz w:val="28"/>
        </w:rPr>
      </w:pPr>
    </w:p>
    <w:p w14:paraId="6516C0A0">
      <w:pPr>
        <w:pStyle w:val="20"/>
        <w:spacing w:line="480" w:lineRule="exact"/>
        <w:jc w:val="center"/>
        <w:rPr>
          <w:rFonts w:ascii="Times New Roman" w:hAnsi="Times New Roman" w:eastAsia="黑体" w:cs="Times New Roman"/>
          <w:sz w:val="28"/>
        </w:rPr>
      </w:pPr>
      <w:r>
        <w:rPr>
          <w:rFonts w:ascii="Times New Roman" w:hAnsi="Times New Roman" w:eastAsia="楷体_GB2312" w:cs="Times New Roman"/>
          <w:b/>
          <w:sz w:val="28"/>
        </w:rPr>
        <w:br w:type="page"/>
      </w:r>
      <w:r>
        <w:rPr>
          <w:rFonts w:ascii="Times New Roman" w:hAnsi="Times New Roman" w:eastAsia="黑体" w:cs="Times New Roman"/>
          <w:sz w:val="28"/>
        </w:rPr>
        <w:t>表2-9-2  埇桥区</w:t>
      </w:r>
      <w:r>
        <w:rPr>
          <w:rFonts w:ascii="Times New Roman" w:hAnsi="Times New Roman" w:eastAsia="黑体" w:cs="Times New Roman"/>
          <w:sz w:val="28"/>
          <w:szCs w:val="20"/>
        </w:rPr>
        <w:t>符离镇、大泽乡镇、曹村镇</w:t>
      </w:r>
      <w:r>
        <w:rPr>
          <w:rFonts w:ascii="Times New Roman" w:hAnsi="Times New Roman" w:eastAsia="黑体" w:cs="Times New Roman"/>
          <w:sz w:val="28"/>
        </w:rPr>
        <w:t>住宅用地宗地地价</w:t>
      </w:r>
    </w:p>
    <w:p w14:paraId="6BF00501">
      <w:pPr>
        <w:pStyle w:val="20"/>
        <w:spacing w:line="480" w:lineRule="exact"/>
        <w:jc w:val="center"/>
        <w:rPr>
          <w:rFonts w:ascii="Times New Roman" w:hAnsi="Times New Roman" w:eastAsia="黑体" w:cs="Times New Roman"/>
          <w:sz w:val="28"/>
        </w:rPr>
      </w:pPr>
      <w:r>
        <w:rPr>
          <w:rFonts w:ascii="Times New Roman" w:hAnsi="Times New Roman" w:eastAsia="黑体" w:cs="Times New Roman"/>
          <w:sz w:val="28"/>
        </w:rPr>
        <w:t>影响因素权重表</w:t>
      </w:r>
    </w:p>
    <w:tbl>
      <w:tblPr>
        <w:tblStyle w:val="38"/>
        <w:tblW w:w="9072" w:type="dxa"/>
        <w:jc w:val="center"/>
        <w:tblLayout w:type="autofit"/>
        <w:tblCellMar>
          <w:top w:w="0" w:type="dxa"/>
          <w:left w:w="108" w:type="dxa"/>
          <w:bottom w:w="0" w:type="dxa"/>
          <w:right w:w="108" w:type="dxa"/>
        </w:tblCellMar>
      </w:tblPr>
      <w:tblGrid>
        <w:gridCol w:w="1134"/>
        <w:gridCol w:w="1349"/>
        <w:gridCol w:w="1620"/>
        <w:gridCol w:w="1800"/>
        <w:gridCol w:w="3169"/>
      </w:tblGrid>
      <w:tr w14:paraId="232381A7">
        <w:tblPrEx>
          <w:tblCellMar>
            <w:top w:w="0" w:type="dxa"/>
            <w:left w:w="108" w:type="dxa"/>
            <w:bottom w:w="0" w:type="dxa"/>
            <w:right w:w="108" w:type="dxa"/>
          </w:tblCellMar>
        </w:tblPrEx>
        <w:trPr>
          <w:trHeight w:val="425" w:hRule="atLeast"/>
          <w:jc w:val="center"/>
        </w:trPr>
        <w:tc>
          <w:tcPr>
            <w:tcW w:w="5903" w:type="dxa"/>
            <w:gridSpan w:val="4"/>
            <w:tcBorders>
              <w:top w:val="single" w:color="auto" w:sz="8" w:space="0"/>
              <w:left w:val="single" w:color="auto" w:sz="8" w:space="0"/>
              <w:bottom w:val="single" w:color="auto" w:sz="8" w:space="0"/>
              <w:right w:val="single" w:color="auto" w:sz="8" w:space="0"/>
            </w:tcBorders>
            <w:noWrap/>
            <w:vAlign w:val="center"/>
          </w:tcPr>
          <w:p w14:paraId="119E8B5F">
            <w:pPr>
              <w:spacing w:line="0" w:lineRule="atLeast"/>
              <w:jc w:val="center"/>
              <w:rPr>
                <w:rFonts w:eastAsia="楷体_GB2312"/>
                <w:szCs w:val="21"/>
              </w:rPr>
            </w:pPr>
            <w:r>
              <w:rPr>
                <w:rFonts w:eastAsia="楷体_GB2312"/>
                <w:szCs w:val="21"/>
              </w:rPr>
              <w:t>影响因素</w:t>
            </w:r>
          </w:p>
        </w:tc>
        <w:tc>
          <w:tcPr>
            <w:tcW w:w="3169" w:type="dxa"/>
            <w:tcBorders>
              <w:top w:val="single" w:color="auto" w:sz="8" w:space="0"/>
              <w:left w:val="single" w:color="auto" w:sz="8" w:space="0"/>
              <w:bottom w:val="single" w:color="auto" w:sz="8" w:space="0"/>
              <w:right w:val="single" w:color="auto" w:sz="8" w:space="0"/>
            </w:tcBorders>
            <w:noWrap/>
            <w:vAlign w:val="center"/>
          </w:tcPr>
          <w:p w14:paraId="53684555">
            <w:pPr>
              <w:spacing w:line="0" w:lineRule="atLeast"/>
              <w:jc w:val="center"/>
              <w:rPr>
                <w:rFonts w:eastAsia="楷体_GB2312"/>
                <w:szCs w:val="21"/>
              </w:rPr>
            </w:pPr>
            <w:r>
              <w:rPr>
                <w:rFonts w:eastAsia="楷体_GB2312"/>
                <w:szCs w:val="21"/>
              </w:rPr>
              <w:t>权重</w:t>
            </w:r>
          </w:p>
        </w:tc>
      </w:tr>
      <w:tr w14:paraId="75499480">
        <w:tblPrEx>
          <w:tblCellMar>
            <w:top w:w="0" w:type="dxa"/>
            <w:left w:w="108" w:type="dxa"/>
            <w:bottom w:w="0" w:type="dxa"/>
            <w:right w:w="108" w:type="dxa"/>
          </w:tblCellMar>
        </w:tblPrEx>
        <w:trPr>
          <w:trHeight w:val="425" w:hRule="atLeast"/>
          <w:jc w:val="center"/>
        </w:trPr>
        <w:tc>
          <w:tcPr>
            <w:tcW w:w="1134" w:type="dxa"/>
            <w:vMerge w:val="restart"/>
            <w:tcBorders>
              <w:top w:val="single" w:color="auto" w:sz="8" w:space="0"/>
              <w:left w:val="single" w:color="auto" w:sz="8" w:space="0"/>
              <w:bottom w:val="single" w:color="auto" w:sz="8" w:space="0"/>
              <w:right w:val="single" w:color="auto" w:sz="8" w:space="0"/>
            </w:tcBorders>
            <w:noWrap/>
            <w:vAlign w:val="center"/>
          </w:tcPr>
          <w:p w14:paraId="1690A443">
            <w:pPr>
              <w:spacing w:line="0" w:lineRule="atLeast"/>
              <w:jc w:val="center"/>
              <w:rPr>
                <w:rFonts w:eastAsia="楷体_GB2312"/>
                <w:szCs w:val="21"/>
              </w:rPr>
            </w:pPr>
            <w:bookmarkStart w:id="117" w:name="OLE_LINK12" w:colFirst="2" w:colLast="2"/>
            <w:bookmarkStart w:id="118" w:name="OLE_LINK13" w:colFirst="2" w:colLast="2"/>
            <w:bookmarkStart w:id="119" w:name="_Hlk421175962"/>
            <w:r>
              <w:rPr>
                <w:rFonts w:eastAsia="楷体_GB2312"/>
                <w:szCs w:val="21"/>
              </w:rPr>
              <w:t>区</w:t>
            </w:r>
          </w:p>
          <w:p w14:paraId="7456122A">
            <w:pPr>
              <w:spacing w:line="0" w:lineRule="atLeast"/>
              <w:jc w:val="center"/>
              <w:rPr>
                <w:rFonts w:eastAsia="楷体_GB2312"/>
                <w:szCs w:val="21"/>
              </w:rPr>
            </w:pPr>
            <w:r>
              <w:rPr>
                <w:rFonts w:eastAsia="楷体_GB2312"/>
                <w:szCs w:val="21"/>
              </w:rPr>
              <w:t>域</w:t>
            </w:r>
          </w:p>
          <w:p w14:paraId="12604BAD">
            <w:pPr>
              <w:spacing w:line="0" w:lineRule="atLeast"/>
              <w:jc w:val="center"/>
              <w:rPr>
                <w:rFonts w:eastAsia="楷体_GB2312"/>
                <w:szCs w:val="21"/>
              </w:rPr>
            </w:pPr>
            <w:r>
              <w:rPr>
                <w:rFonts w:eastAsia="楷体_GB2312"/>
                <w:szCs w:val="21"/>
              </w:rPr>
              <w:t>因</w:t>
            </w:r>
          </w:p>
          <w:p w14:paraId="3999D884">
            <w:pPr>
              <w:spacing w:line="0" w:lineRule="atLeast"/>
              <w:jc w:val="center"/>
              <w:rPr>
                <w:rFonts w:eastAsia="楷体_GB2312"/>
                <w:szCs w:val="21"/>
              </w:rPr>
            </w:pPr>
            <w:r>
              <w:rPr>
                <w:rFonts w:eastAsia="楷体_GB2312"/>
                <w:szCs w:val="21"/>
              </w:rPr>
              <w:t>素</w:t>
            </w: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2428C332">
            <w:pPr>
              <w:spacing w:line="0" w:lineRule="atLeast"/>
              <w:jc w:val="center"/>
              <w:rPr>
                <w:rFonts w:eastAsia="楷体_GB2312"/>
                <w:szCs w:val="21"/>
              </w:rPr>
            </w:pPr>
            <w:r>
              <w:rPr>
                <w:rFonts w:eastAsia="楷体_GB2312"/>
                <w:szCs w:val="21"/>
              </w:rPr>
              <w:t>自然条件</w:t>
            </w:r>
          </w:p>
        </w:tc>
        <w:tc>
          <w:tcPr>
            <w:tcW w:w="3169" w:type="dxa"/>
            <w:tcBorders>
              <w:top w:val="single" w:color="auto" w:sz="8" w:space="0"/>
              <w:left w:val="single" w:color="auto" w:sz="8" w:space="0"/>
              <w:bottom w:val="single" w:color="auto" w:sz="8" w:space="0"/>
              <w:right w:val="single" w:color="auto" w:sz="8" w:space="0"/>
            </w:tcBorders>
            <w:noWrap/>
            <w:vAlign w:val="center"/>
          </w:tcPr>
          <w:p w14:paraId="0984F2BD">
            <w:pPr>
              <w:spacing w:line="0" w:lineRule="atLeast"/>
              <w:jc w:val="center"/>
              <w:rPr>
                <w:rFonts w:eastAsia="楷体_GB2312"/>
                <w:szCs w:val="21"/>
              </w:rPr>
            </w:pPr>
            <w:r>
              <w:rPr>
                <w:rFonts w:eastAsia="楷体_GB2312"/>
                <w:szCs w:val="21"/>
              </w:rPr>
              <w:t>5.65</w:t>
            </w:r>
          </w:p>
        </w:tc>
      </w:tr>
      <w:tr w14:paraId="16F2BE4C">
        <w:tblPrEx>
          <w:tblCellMar>
            <w:top w:w="0" w:type="dxa"/>
            <w:left w:w="108" w:type="dxa"/>
            <w:bottom w:w="0" w:type="dxa"/>
            <w:right w:w="108" w:type="dxa"/>
          </w:tblCellMar>
        </w:tblPrEx>
        <w:trPr>
          <w:trHeight w:val="425" w:hRule="atLeast"/>
          <w:jc w:val="center"/>
        </w:trPr>
        <w:tc>
          <w:tcPr>
            <w:tcW w:w="1134" w:type="dxa"/>
            <w:vMerge w:val="continue"/>
            <w:tcBorders>
              <w:top w:val="single" w:color="auto" w:sz="8" w:space="0"/>
              <w:left w:val="single" w:color="auto" w:sz="8" w:space="0"/>
              <w:bottom w:val="single" w:color="auto" w:sz="8" w:space="0"/>
              <w:right w:val="single" w:color="auto" w:sz="8" w:space="0"/>
            </w:tcBorders>
            <w:noWrap w:val="0"/>
            <w:vAlign w:val="center"/>
          </w:tcPr>
          <w:p w14:paraId="6A9E11FE">
            <w:pPr>
              <w:spacing w:line="0" w:lineRule="atLeast"/>
              <w:jc w:val="center"/>
              <w:rPr>
                <w:rFonts w:eastAsia="楷体_GB2312"/>
                <w:szCs w:val="21"/>
              </w:rPr>
            </w:pPr>
          </w:p>
        </w:tc>
        <w:tc>
          <w:tcPr>
            <w:tcW w:w="1349" w:type="dxa"/>
            <w:vMerge w:val="restart"/>
            <w:tcBorders>
              <w:top w:val="single" w:color="auto" w:sz="8" w:space="0"/>
              <w:left w:val="single" w:color="auto" w:sz="8" w:space="0"/>
              <w:bottom w:val="single" w:color="auto" w:sz="8" w:space="0"/>
              <w:right w:val="single" w:color="auto" w:sz="8" w:space="0"/>
            </w:tcBorders>
            <w:noWrap/>
            <w:vAlign w:val="center"/>
          </w:tcPr>
          <w:p w14:paraId="3C6CB9F2">
            <w:pPr>
              <w:spacing w:line="0" w:lineRule="atLeast"/>
              <w:jc w:val="center"/>
              <w:rPr>
                <w:rFonts w:eastAsia="楷体_GB2312"/>
                <w:szCs w:val="21"/>
              </w:rPr>
            </w:pPr>
            <w:r>
              <w:rPr>
                <w:rFonts w:eastAsia="楷体_GB2312"/>
                <w:szCs w:val="21"/>
              </w:rPr>
              <w:t>交通状况</w:t>
            </w:r>
          </w:p>
        </w:tc>
        <w:tc>
          <w:tcPr>
            <w:tcW w:w="1620" w:type="dxa"/>
            <w:vMerge w:val="restart"/>
            <w:tcBorders>
              <w:top w:val="single" w:color="auto" w:sz="8" w:space="0"/>
              <w:left w:val="single" w:color="auto" w:sz="8" w:space="0"/>
              <w:bottom w:val="single" w:color="auto" w:sz="8" w:space="0"/>
              <w:right w:val="single" w:color="auto" w:sz="8" w:space="0"/>
            </w:tcBorders>
            <w:noWrap/>
            <w:vAlign w:val="center"/>
          </w:tcPr>
          <w:p w14:paraId="4C74878B">
            <w:pPr>
              <w:spacing w:line="0" w:lineRule="atLeast"/>
              <w:jc w:val="center"/>
              <w:rPr>
                <w:rFonts w:eastAsia="楷体_GB2312"/>
                <w:szCs w:val="21"/>
              </w:rPr>
            </w:pPr>
            <w:r>
              <w:rPr>
                <w:rFonts w:eastAsia="楷体_GB2312"/>
                <w:szCs w:val="21"/>
              </w:rPr>
              <w:t>道路状况</w:t>
            </w:r>
          </w:p>
        </w:tc>
        <w:tc>
          <w:tcPr>
            <w:tcW w:w="1800" w:type="dxa"/>
            <w:tcBorders>
              <w:top w:val="single" w:color="auto" w:sz="8" w:space="0"/>
              <w:left w:val="single" w:color="auto" w:sz="8" w:space="0"/>
              <w:bottom w:val="single" w:color="auto" w:sz="8" w:space="0"/>
              <w:right w:val="single" w:color="auto" w:sz="8" w:space="0"/>
            </w:tcBorders>
            <w:noWrap/>
            <w:vAlign w:val="center"/>
          </w:tcPr>
          <w:p w14:paraId="57C066B7">
            <w:pPr>
              <w:spacing w:line="0" w:lineRule="atLeast"/>
              <w:jc w:val="center"/>
              <w:rPr>
                <w:rFonts w:eastAsia="楷体_GB2312"/>
                <w:szCs w:val="21"/>
              </w:rPr>
            </w:pPr>
            <w:r>
              <w:rPr>
                <w:rFonts w:eastAsia="楷体_GB2312"/>
                <w:szCs w:val="21"/>
              </w:rPr>
              <w:t>道路类型</w:t>
            </w:r>
          </w:p>
        </w:tc>
        <w:tc>
          <w:tcPr>
            <w:tcW w:w="3169" w:type="dxa"/>
            <w:tcBorders>
              <w:top w:val="single" w:color="auto" w:sz="8" w:space="0"/>
              <w:left w:val="single" w:color="auto" w:sz="8" w:space="0"/>
              <w:bottom w:val="single" w:color="auto" w:sz="8" w:space="0"/>
              <w:right w:val="single" w:color="auto" w:sz="8" w:space="0"/>
            </w:tcBorders>
            <w:noWrap/>
            <w:vAlign w:val="center"/>
          </w:tcPr>
          <w:p w14:paraId="4AE5BFD3">
            <w:pPr>
              <w:jc w:val="center"/>
              <w:rPr>
                <w:rFonts w:eastAsia="楷体_GB2312"/>
                <w:szCs w:val="21"/>
              </w:rPr>
            </w:pPr>
            <w:r>
              <w:rPr>
                <w:rFonts w:eastAsia="楷体_GB2312"/>
                <w:szCs w:val="21"/>
              </w:rPr>
              <w:t>4.55</w:t>
            </w:r>
          </w:p>
        </w:tc>
      </w:tr>
      <w:tr w14:paraId="3AE1803F">
        <w:tblPrEx>
          <w:tblCellMar>
            <w:top w:w="0" w:type="dxa"/>
            <w:left w:w="108" w:type="dxa"/>
            <w:bottom w:w="0" w:type="dxa"/>
            <w:right w:w="108" w:type="dxa"/>
          </w:tblCellMar>
        </w:tblPrEx>
        <w:trPr>
          <w:trHeight w:val="425" w:hRule="atLeast"/>
          <w:jc w:val="center"/>
        </w:trPr>
        <w:tc>
          <w:tcPr>
            <w:tcW w:w="1134" w:type="dxa"/>
            <w:vMerge w:val="continue"/>
            <w:tcBorders>
              <w:top w:val="single" w:color="auto" w:sz="8" w:space="0"/>
              <w:left w:val="single" w:color="auto" w:sz="8" w:space="0"/>
              <w:bottom w:val="single" w:color="auto" w:sz="8" w:space="0"/>
              <w:right w:val="single" w:color="auto" w:sz="8" w:space="0"/>
            </w:tcBorders>
            <w:noWrap w:val="0"/>
            <w:vAlign w:val="center"/>
          </w:tcPr>
          <w:p w14:paraId="5B2B4A62">
            <w:pPr>
              <w:spacing w:line="0" w:lineRule="atLeast"/>
              <w:jc w:val="center"/>
              <w:rPr>
                <w:rFonts w:eastAsia="楷体_GB2312"/>
                <w:szCs w:val="21"/>
              </w:rPr>
            </w:pPr>
          </w:p>
        </w:tc>
        <w:tc>
          <w:tcPr>
            <w:tcW w:w="1349" w:type="dxa"/>
            <w:vMerge w:val="continue"/>
            <w:tcBorders>
              <w:top w:val="single" w:color="auto" w:sz="8" w:space="0"/>
              <w:left w:val="single" w:color="auto" w:sz="8" w:space="0"/>
              <w:bottom w:val="single" w:color="auto" w:sz="8" w:space="0"/>
              <w:right w:val="single" w:color="auto" w:sz="8" w:space="0"/>
            </w:tcBorders>
            <w:noWrap/>
            <w:vAlign w:val="center"/>
          </w:tcPr>
          <w:p w14:paraId="3864D127">
            <w:pPr>
              <w:spacing w:line="0" w:lineRule="atLeast"/>
              <w:jc w:val="center"/>
              <w:rPr>
                <w:rFonts w:eastAsia="楷体_GB2312"/>
                <w:szCs w:val="21"/>
              </w:rPr>
            </w:pPr>
          </w:p>
        </w:tc>
        <w:tc>
          <w:tcPr>
            <w:tcW w:w="1620" w:type="dxa"/>
            <w:vMerge w:val="continue"/>
            <w:tcBorders>
              <w:top w:val="single" w:color="auto" w:sz="8" w:space="0"/>
              <w:left w:val="single" w:color="auto" w:sz="8" w:space="0"/>
              <w:bottom w:val="single" w:color="auto" w:sz="8" w:space="0"/>
              <w:right w:val="single" w:color="auto" w:sz="8" w:space="0"/>
            </w:tcBorders>
            <w:noWrap w:val="0"/>
            <w:vAlign w:val="center"/>
          </w:tcPr>
          <w:p w14:paraId="07A265A1">
            <w:pPr>
              <w:spacing w:line="0" w:lineRule="atLeast"/>
              <w:jc w:val="center"/>
              <w:rPr>
                <w:rFonts w:eastAsia="楷体_GB2312"/>
                <w:szCs w:val="21"/>
              </w:rPr>
            </w:pPr>
          </w:p>
        </w:tc>
        <w:tc>
          <w:tcPr>
            <w:tcW w:w="1800" w:type="dxa"/>
            <w:tcBorders>
              <w:top w:val="single" w:color="auto" w:sz="8" w:space="0"/>
              <w:left w:val="single" w:color="auto" w:sz="8" w:space="0"/>
              <w:bottom w:val="single" w:color="auto" w:sz="8" w:space="0"/>
              <w:right w:val="single" w:color="auto" w:sz="8" w:space="0"/>
            </w:tcBorders>
            <w:noWrap/>
            <w:vAlign w:val="center"/>
          </w:tcPr>
          <w:p w14:paraId="6AA43F88">
            <w:pPr>
              <w:spacing w:line="0" w:lineRule="atLeast"/>
              <w:jc w:val="center"/>
              <w:rPr>
                <w:rFonts w:eastAsia="楷体_GB2312"/>
                <w:szCs w:val="21"/>
              </w:rPr>
            </w:pPr>
            <w:r>
              <w:rPr>
                <w:rFonts w:eastAsia="楷体_GB2312"/>
                <w:szCs w:val="21"/>
              </w:rPr>
              <w:t>道路等级</w:t>
            </w:r>
          </w:p>
        </w:tc>
        <w:tc>
          <w:tcPr>
            <w:tcW w:w="3169" w:type="dxa"/>
            <w:tcBorders>
              <w:top w:val="single" w:color="auto" w:sz="8" w:space="0"/>
              <w:left w:val="single" w:color="auto" w:sz="8" w:space="0"/>
              <w:bottom w:val="single" w:color="auto" w:sz="8" w:space="0"/>
              <w:right w:val="single" w:color="auto" w:sz="8" w:space="0"/>
            </w:tcBorders>
            <w:noWrap/>
            <w:vAlign w:val="center"/>
          </w:tcPr>
          <w:p w14:paraId="0E2AC7C7">
            <w:pPr>
              <w:jc w:val="center"/>
              <w:rPr>
                <w:rFonts w:eastAsia="楷体_GB2312"/>
                <w:szCs w:val="21"/>
              </w:rPr>
            </w:pPr>
            <w:r>
              <w:rPr>
                <w:rFonts w:eastAsia="楷体_GB2312"/>
                <w:szCs w:val="21"/>
              </w:rPr>
              <w:t>4.05</w:t>
            </w:r>
          </w:p>
        </w:tc>
      </w:tr>
      <w:tr w14:paraId="6933C90B">
        <w:tblPrEx>
          <w:tblCellMar>
            <w:top w:w="0" w:type="dxa"/>
            <w:left w:w="108" w:type="dxa"/>
            <w:bottom w:w="0" w:type="dxa"/>
            <w:right w:w="108" w:type="dxa"/>
          </w:tblCellMar>
        </w:tblPrEx>
        <w:trPr>
          <w:trHeight w:val="425" w:hRule="atLeast"/>
          <w:jc w:val="center"/>
        </w:trPr>
        <w:tc>
          <w:tcPr>
            <w:tcW w:w="1134" w:type="dxa"/>
            <w:vMerge w:val="continue"/>
            <w:tcBorders>
              <w:top w:val="single" w:color="auto" w:sz="8" w:space="0"/>
              <w:left w:val="single" w:color="auto" w:sz="8" w:space="0"/>
              <w:bottom w:val="single" w:color="auto" w:sz="8" w:space="0"/>
              <w:right w:val="single" w:color="auto" w:sz="8" w:space="0"/>
            </w:tcBorders>
            <w:noWrap w:val="0"/>
            <w:vAlign w:val="center"/>
          </w:tcPr>
          <w:p w14:paraId="2C40FADD">
            <w:pPr>
              <w:spacing w:line="0" w:lineRule="atLeast"/>
              <w:jc w:val="center"/>
              <w:rPr>
                <w:rFonts w:eastAsia="楷体_GB2312"/>
                <w:szCs w:val="21"/>
              </w:rPr>
            </w:pPr>
          </w:p>
        </w:tc>
        <w:tc>
          <w:tcPr>
            <w:tcW w:w="1349" w:type="dxa"/>
            <w:vMerge w:val="continue"/>
            <w:tcBorders>
              <w:top w:val="single" w:color="auto" w:sz="8" w:space="0"/>
              <w:left w:val="single" w:color="auto" w:sz="8" w:space="0"/>
              <w:bottom w:val="single" w:color="auto" w:sz="8" w:space="0"/>
              <w:right w:val="single" w:color="auto" w:sz="8" w:space="0"/>
            </w:tcBorders>
            <w:noWrap/>
            <w:vAlign w:val="center"/>
          </w:tcPr>
          <w:p w14:paraId="73706E44">
            <w:pPr>
              <w:spacing w:line="0" w:lineRule="atLeast"/>
              <w:jc w:val="center"/>
              <w:rPr>
                <w:rFonts w:eastAsia="楷体_GB2312"/>
                <w:szCs w:val="21"/>
              </w:rPr>
            </w:pPr>
          </w:p>
        </w:tc>
        <w:tc>
          <w:tcPr>
            <w:tcW w:w="3420" w:type="dxa"/>
            <w:gridSpan w:val="2"/>
            <w:tcBorders>
              <w:top w:val="single" w:color="auto" w:sz="8" w:space="0"/>
              <w:left w:val="single" w:color="auto" w:sz="8" w:space="0"/>
              <w:bottom w:val="single" w:color="auto" w:sz="8" w:space="0"/>
              <w:right w:val="single" w:color="auto" w:sz="8" w:space="0"/>
            </w:tcBorders>
            <w:noWrap/>
            <w:vAlign w:val="center"/>
          </w:tcPr>
          <w:p w14:paraId="5D7CBB6C">
            <w:pPr>
              <w:spacing w:line="0" w:lineRule="atLeast"/>
              <w:jc w:val="center"/>
              <w:rPr>
                <w:rFonts w:eastAsia="楷体_GB2312"/>
                <w:szCs w:val="21"/>
              </w:rPr>
            </w:pPr>
            <w:r>
              <w:rPr>
                <w:rFonts w:eastAsia="楷体_GB2312"/>
                <w:szCs w:val="21"/>
              </w:rPr>
              <w:t>交通便捷程度</w:t>
            </w:r>
          </w:p>
        </w:tc>
        <w:tc>
          <w:tcPr>
            <w:tcW w:w="3169" w:type="dxa"/>
            <w:tcBorders>
              <w:top w:val="single" w:color="auto" w:sz="8" w:space="0"/>
              <w:left w:val="single" w:color="auto" w:sz="8" w:space="0"/>
              <w:bottom w:val="single" w:color="auto" w:sz="8" w:space="0"/>
              <w:right w:val="single" w:color="auto" w:sz="8" w:space="0"/>
            </w:tcBorders>
            <w:noWrap/>
            <w:vAlign w:val="center"/>
          </w:tcPr>
          <w:p w14:paraId="199E3574">
            <w:pPr>
              <w:jc w:val="center"/>
              <w:rPr>
                <w:rFonts w:eastAsia="楷体_GB2312"/>
                <w:szCs w:val="21"/>
              </w:rPr>
            </w:pPr>
            <w:r>
              <w:rPr>
                <w:rFonts w:eastAsia="楷体_GB2312"/>
                <w:szCs w:val="21"/>
              </w:rPr>
              <w:t>5.02</w:t>
            </w:r>
          </w:p>
        </w:tc>
      </w:tr>
      <w:bookmarkEnd w:id="117"/>
      <w:bookmarkEnd w:id="118"/>
      <w:bookmarkEnd w:id="119"/>
      <w:tr w14:paraId="5070D8B8">
        <w:tblPrEx>
          <w:tblCellMar>
            <w:top w:w="0" w:type="dxa"/>
            <w:left w:w="108" w:type="dxa"/>
            <w:bottom w:w="0" w:type="dxa"/>
            <w:right w:w="108" w:type="dxa"/>
          </w:tblCellMar>
        </w:tblPrEx>
        <w:trPr>
          <w:trHeight w:val="425" w:hRule="atLeast"/>
          <w:jc w:val="center"/>
        </w:trPr>
        <w:tc>
          <w:tcPr>
            <w:tcW w:w="1134" w:type="dxa"/>
            <w:vMerge w:val="continue"/>
            <w:tcBorders>
              <w:top w:val="single" w:color="auto" w:sz="8" w:space="0"/>
              <w:left w:val="single" w:color="auto" w:sz="8" w:space="0"/>
              <w:bottom w:val="single" w:color="auto" w:sz="8" w:space="0"/>
              <w:right w:val="single" w:color="auto" w:sz="8" w:space="0"/>
            </w:tcBorders>
            <w:noWrap w:val="0"/>
            <w:vAlign w:val="center"/>
          </w:tcPr>
          <w:p w14:paraId="239B2F4C">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143344D7">
            <w:pPr>
              <w:spacing w:line="0" w:lineRule="atLeast"/>
              <w:jc w:val="center"/>
              <w:rPr>
                <w:rFonts w:eastAsia="楷体_GB2312"/>
                <w:szCs w:val="21"/>
              </w:rPr>
            </w:pPr>
            <w:r>
              <w:rPr>
                <w:rFonts w:eastAsia="楷体_GB2312"/>
                <w:szCs w:val="21"/>
              </w:rPr>
              <w:t>基础设施状况</w:t>
            </w:r>
          </w:p>
        </w:tc>
        <w:tc>
          <w:tcPr>
            <w:tcW w:w="3169" w:type="dxa"/>
            <w:tcBorders>
              <w:top w:val="single" w:color="auto" w:sz="8" w:space="0"/>
              <w:left w:val="single" w:color="auto" w:sz="8" w:space="0"/>
              <w:bottom w:val="single" w:color="auto" w:sz="8" w:space="0"/>
              <w:right w:val="single" w:color="auto" w:sz="8" w:space="0"/>
            </w:tcBorders>
            <w:noWrap/>
            <w:vAlign w:val="center"/>
          </w:tcPr>
          <w:p w14:paraId="37DBC3BF">
            <w:pPr>
              <w:jc w:val="center"/>
              <w:rPr>
                <w:rFonts w:eastAsia="楷体_GB2312"/>
                <w:szCs w:val="21"/>
              </w:rPr>
            </w:pPr>
            <w:r>
              <w:rPr>
                <w:rFonts w:eastAsia="楷体_GB2312"/>
                <w:szCs w:val="21"/>
              </w:rPr>
              <w:t>5.72</w:t>
            </w:r>
          </w:p>
        </w:tc>
      </w:tr>
      <w:tr w14:paraId="69B3AE35">
        <w:tblPrEx>
          <w:tblCellMar>
            <w:top w:w="0" w:type="dxa"/>
            <w:left w:w="108" w:type="dxa"/>
            <w:bottom w:w="0" w:type="dxa"/>
            <w:right w:w="108" w:type="dxa"/>
          </w:tblCellMar>
        </w:tblPrEx>
        <w:trPr>
          <w:trHeight w:val="425" w:hRule="atLeast"/>
          <w:jc w:val="center"/>
        </w:trPr>
        <w:tc>
          <w:tcPr>
            <w:tcW w:w="1134" w:type="dxa"/>
            <w:vMerge w:val="continue"/>
            <w:tcBorders>
              <w:top w:val="single" w:color="auto" w:sz="8" w:space="0"/>
              <w:left w:val="single" w:color="auto" w:sz="8" w:space="0"/>
              <w:bottom w:val="single" w:color="auto" w:sz="8" w:space="0"/>
              <w:right w:val="single" w:color="auto" w:sz="8" w:space="0"/>
            </w:tcBorders>
            <w:noWrap w:val="0"/>
            <w:vAlign w:val="center"/>
          </w:tcPr>
          <w:p w14:paraId="70F6B931">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3139F829">
            <w:pPr>
              <w:spacing w:line="0" w:lineRule="atLeast"/>
              <w:jc w:val="center"/>
              <w:rPr>
                <w:rFonts w:eastAsia="楷体_GB2312"/>
                <w:szCs w:val="21"/>
              </w:rPr>
            </w:pPr>
            <w:r>
              <w:rPr>
                <w:rFonts w:eastAsia="楷体_GB2312"/>
                <w:szCs w:val="21"/>
              </w:rPr>
              <w:t>公用设施条件</w:t>
            </w:r>
          </w:p>
        </w:tc>
        <w:tc>
          <w:tcPr>
            <w:tcW w:w="3169" w:type="dxa"/>
            <w:tcBorders>
              <w:top w:val="single" w:color="auto" w:sz="8" w:space="0"/>
              <w:left w:val="single" w:color="auto" w:sz="8" w:space="0"/>
              <w:bottom w:val="single" w:color="auto" w:sz="8" w:space="0"/>
              <w:right w:val="single" w:color="auto" w:sz="8" w:space="0"/>
            </w:tcBorders>
            <w:noWrap/>
            <w:vAlign w:val="center"/>
          </w:tcPr>
          <w:p w14:paraId="57D46475">
            <w:pPr>
              <w:jc w:val="center"/>
              <w:rPr>
                <w:rFonts w:eastAsia="楷体_GB2312"/>
                <w:szCs w:val="21"/>
              </w:rPr>
            </w:pPr>
            <w:r>
              <w:rPr>
                <w:rFonts w:eastAsia="楷体_GB2312"/>
                <w:szCs w:val="21"/>
              </w:rPr>
              <w:t>5.34</w:t>
            </w:r>
          </w:p>
        </w:tc>
      </w:tr>
      <w:tr w14:paraId="63459AD5">
        <w:tblPrEx>
          <w:tblCellMar>
            <w:top w:w="0" w:type="dxa"/>
            <w:left w:w="108" w:type="dxa"/>
            <w:bottom w:w="0" w:type="dxa"/>
            <w:right w:w="108" w:type="dxa"/>
          </w:tblCellMar>
        </w:tblPrEx>
        <w:trPr>
          <w:trHeight w:val="425" w:hRule="atLeast"/>
          <w:jc w:val="center"/>
        </w:trPr>
        <w:tc>
          <w:tcPr>
            <w:tcW w:w="1134" w:type="dxa"/>
            <w:vMerge w:val="continue"/>
            <w:tcBorders>
              <w:top w:val="single" w:color="auto" w:sz="8" w:space="0"/>
              <w:left w:val="single" w:color="auto" w:sz="8" w:space="0"/>
              <w:bottom w:val="single" w:color="auto" w:sz="8" w:space="0"/>
              <w:right w:val="single" w:color="auto" w:sz="8" w:space="0"/>
            </w:tcBorders>
            <w:noWrap w:val="0"/>
            <w:vAlign w:val="center"/>
          </w:tcPr>
          <w:p w14:paraId="632DDEA5">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228F27D5">
            <w:pPr>
              <w:spacing w:line="0" w:lineRule="atLeast"/>
              <w:jc w:val="center"/>
              <w:rPr>
                <w:rFonts w:eastAsia="楷体_GB2312"/>
                <w:szCs w:val="21"/>
              </w:rPr>
            </w:pPr>
            <w:r>
              <w:rPr>
                <w:rFonts w:eastAsia="楷体_GB2312"/>
                <w:szCs w:val="21"/>
              </w:rPr>
              <w:t>城镇规划限制</w:t>
            </w:r>
          </w:p>
        </w:tc>
        <w:tc>
          <w:tcPr>
            <w:tcW w:w="3169" w:type="dxa"/>
            <w:tcBorders>
              <w:top w:val="single" w:color="auto" w:sz="8" w:space="0"/>
              <w:left w:val="single" w:color="auto" w:sz="8" w:space="0"/>
              <w:bottom w:val="single" w:color="auto" w:sz="8" w:space="0"/>
              <w:right w:val="single" w:color="auto" w:sz="8" w:space="0"/>
            </w:tcBorders>
            <w:noWrap/>
            <w:vAlign w:val="center"/>
          </w:tcPr>
          <w:p w14:paraId="18F37D02">
            <w:pPr>
              <w:jc w:val="center"/>
              <w:rPr>
                <w:rFonts w:eastAsia="楷体_GB2312"/>
                <w:szCs w:val="21"/>
              </w:rPr>
            </w:pPr>
            <w:r>
              <w:rPr>
                <w:rFonts w:eastAsia="楷体_GB2312"/>
                <w:szCs w:val="21"/>
              </w:rPr>
              <w:t>4.38</w:t>
            </w:r>
          </w:p>
        </w:tc>
      </w:tr>
      <w:tr w14:paraId="545B3D6F">
        <w:tblPrEx>
          <w:tblCellMar>
            <w:top w:w="0" w:type="dxa"/>
            <w:left w:w="108" w:type="dxa"/>
            <w:bottom w:w="0" w:type="dxa"/>
            <w:right w:w="108" w:type="dxa"/>
          </w:tblCellMar>
        </w:tblPrEx>
        <w:trPr>
          <w:trHeight w:val="425" w:hRule="atLeast"/>
          <w:jc w:val="center"/>
        </w:trPr>
        <w:tc>
          <w:tcPr>
            <w:tcW w:w="1134" w:type="dxa"/>
            <w:vMerge w:val="continue"/>
            <w:tcBorders>
              <w:top w:val="single" w:color="auto" w:sz="8" w:space="0"/>
              <w:left w:val="single" w:color="auto" w:sz="8" w:space="0"/>
              <w:bottom w:val="single" w:color="auto" w:sz="8" w:space="0"/>
              <w:right w:val="single" w:color="auto" w:sz="8" w:space="0"/>
            </w:tcBorders>
            <w:noWrap w:val="0"/>
            <w:vAlign w:val="center"/>
          </w:tcPr>
          <w:p w14:paraId="63BAD1D9">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197936D1">
            <w:pPr>
              <w:spacing w:line="0" w:lineRule="atLeast"/>
              <w:jc w:val="center"/>
              <w:rPr>
                <w:rFonts w:eastAsia="楷体_GB2312"/>
                <w:szCs w:val="21"/>
              </w:rPr>
            </w:pPr>
            <w:r>
              <w:rPr>
                <w:rFonts w:eastAsia="楷体_GB2312"/>
                <w:szCs w:val="21"/>
              </w:rPr>
              <w:t>环境质量状况</w:t>
            </w:r>
          </w:p>
        </w:tc>
        <w:tc>
          <w:tcPr>
            <w:tcW w:w="3169" w:type="dxa"/>
            <w:tcBorders>
              <w:top w:val="single" w:color="auto" w:sz="8" w:space="0"/>
              <w:left w:val="single" w:color="auto" w:sz="8" w:space="0"/>
              <w:bottom w:val="single" w:color="auto" w:sz="8" w:space="0"/>
              <w:right w:val="single" w:color="auto" w:sz="8" w:space="0"/>
            </w:tcBorders>
            <w:noWrap/>
            <w:vAlign w:val="center"/>
          </w:tcPr>
          <w:p w14:paraId="186BBC53">
            <w:pPr>
              <w:jc w:val="center"/>
              <w:rPr>
                <w:rFonts w:eastAsia="楷体_GB2312"/>
                <w:szCs w:val="21"/>
              </w:rPr>
            </w:pPr>
            <w:r>
              <w:rPr>
                <w:rFonts w:eastAsia="楷体_GB2312"/>
                <w:szCs w:val="21"/>
              </w:rPr>
              <w:t>4.52</w:t>
            </w:r>
          </w:p>
        </w:tc>
      </w:tr>
      <w:tr w14:paraId="0087E909">
        <w:tblPrEx>
          <w:tblCellMar>
            <w:top w:w="0" w:type="dxa"/>
            <w:left w:w="108" w:type="dxa"/>
            <w:bottom w:w="0" w:type="dxa"/>
            <w:right w:w="108" w:type="dxa"/>
          </w:tblCellMar>
        </w:tblPrEx>
        <w:trPr>
          <w:trHeight w:val="425" w:hRule="atLeast"/>
          <w:jc w:val="center"/>
        </w:trPr>
        <w:tc>
          <w:tcPr>
            <w:tcW w:w="1134" w:type="dxa"/>
            <w:vMerge w:val="continue"/>
            <w:tcBorders>
              <w:top w:val="single" w:color="auto" w:sz="8" w:space="0"/>
              <w:left w:val="single" w:color="auto" w:sz="8" w:space="0"/>
              <w:bottom w:val="single" w:color="auto" w:sz="8" w:space="0"/>
              <w:right w:val="single" w:color="auto" w:sz="8" w:space="0"/>
            </w:tcBorders>
            <w:noWrap w:val="0"/>
            <w:vAlign w:val="center"/>
          </w:tcPr>
          <w:p w14:paraId="39D98BF8">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4805531D">
            <w:pPr>
              <w:spacing w:line="0" w:lineRule="atLeast"/>
              <w:jc w:val="center"/>
              <w:rPr>
                <w:rFonts w:eastAsia="楷体_GB2312"/>
                <w:szCs w:val="21"/>
              </w:rPr>
            </w:pPr>
            <w:r>
              <w:rPr>
                <w:rFonts w:eastAsia="楷体_GB2312"/>
                <w:szCs w:val="21"/>
              </w:rPr>
              <w:t>景观条件状况</w:t>
            </w:r>
          </w:p>
        </w:tc>
        <w:tc>
          <w:tcPr>
            <w:tcW w:w="3169" w:type="dxa"/>
            <w:tcBorders>
              <w:top w:val="single" w:color="auto" w:sz="8" w:space="0"/>
              <w:left w:val="single" w:color="auto" w:sz="8" w:space="0"/>
              <w:bottom w:val="single" w:color="auto" w:sz="8" w:space="0"/>
              <w:right w:val="single" w:color="auto" w:sz="8" w:space="0"/>
            </w:tcBorders>
            <w:noWrap/>
            <w:vAlign w:val="center"/>
          </w:tcPr>
          <w:p w14:paraId="0EB87F09">
            <w:pPr>
              <w:jc w:val="center"/>
              <w:rPr>
                <w:rFonts w:eastAsia="楷体_GB2312"/>
                <w:szCs w:val="21"/>
              </w:rPr>
            </w:pPr>
            <w:r>
              <w:rPr>
                <w:rFonts w:eastAsia="楷体_GB2312"/>
                <w:szCs w:val="21"/>
              </w:rPr>
              <w:t>4.15</w:t>
            </w:r>
          </w:p>
        </w:tc>
      </w:tr>
      <w:tr w14:paraId="67FEB5E4">
        <w:tblPrEx>
          <w:tblCellMar>
            <w:top w:w="0" w:type="dxa"/>
            <w:left w:w="108" w:type="dxa"/>
            <w:bottom w:w="0" w:type="dxa"/>
            <w:right w:w="108" w:type="dxa"/>
          </w:tblCellMar>
        </w:tblPrEx>
        <w:trPr>
          <w:trHeight w:val="425" w:hRule="atLeast"/>
          <w:jc w:val="center"/>
        </w:trPr>
        <w:tc>
          <w:tcPr>
            <w:tcW w:w="1134" w:type="dxa"/>
            <w:vMerge w:val="continue"/>
            <w:tcBorders>
              <w:top w:val="single" w:color="auto" w:sz="8" w:space="0"/>
              <w:left w:val="single" w:color="auto" w:sz="8" w:space="0"/>
              <w:bottom w:val="single" w:color="auto" w:sz="8" w:space="0"/>
              <w:right w:val="single" w:color="auto" w:sz="8" w:space="0"/>
            </w:tcBorders>
            <w:noWrap w:val="0"/>
            <w:vAlign w:val="center"/>
          </w:tcPr>
          <w:p w14:paraId="0A759BB3">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07640C23">
            <w:pPr>
              <w:spacing w:line="0" w:lineRule="atLeast"/>
              <w:jc w:val="center"/>
              <w:rPr>
                <w:rFonts w:eastAsia="楷体_GB2312"/>
                <w:szCs w:val="21"/>
              </w:rPr>
            </w:pPr>
            <w:r>
              <w:rPr>
                <w:rFonts w:eastAsia="楷体_GB2312"/>
                <w:szCs w:val="21"/>
              </w:rPr>
              <w:t>其他区域因素状况</w:t>
            </w:r>
          </w:p>
        </w:tc>
        <w:tc>
          <w:tcPr>
            <w:tcW w:w="3169" w:type="dxa"/>
            <w:tcBorders>
              <w:top w:val="single" w:color="auto" w:sz="8" w:space="0"/>
              <w:left w:val="single" w:color="auto" w:sz="8" w:space="0"/>
              <w:bottom w:val="single" w:color="auto" w:sz="8" w:space="0"/>
              <w:right w:val="single" w:color="auto" w:sz="8" w:space="0"/>
            </w:tcBorders>
            <w:noWrap/>
            <w:vAlign w:val="center"/>
          </w:tcPr>
          <w:p w14:paraId="5881C708">
            <w:pPr>
              <w:jc w:val="center"/>
              <w:rPr>
                <w:rFonts w:eastAsia="楷体_GB2312"/>
                <w:szCs w:val="21"/>
              </w:rPr>
            </w:pPr>
            <w:r>
              <w:rPr>
                <w:rFonts w:eastAsia="楷体_GB2312"/>
                <w:szCs w:val="21"/>
              </w:rPr>
              <w:t>2.84</w:t>
            </w:r>
          </w:p>
        </w:tc>
      </w:tr>
      <w:tr w14:paraId="220E35B5">
        <w:tblPrEx>
          <w:tblCellMar>
            <w:top w:w="0" w:type="dxa"/>
            <w:left w:w="108" w:type="dxa"/>
            <w:bottom w:w="0" w:type="dxa"/>
            <w:right w:w="108" w:type="dxa"/>
          </w:tblCellMar>
        </w:tblPrEx>
        <w:trPr>
          <w:trHeight w:val="425" w:hRule="atLeast"/>
          <w:jc w:val="center"/>
        </w:trPr>
        <w:tc>
          <w:tcPr>
            <w:tcW w:w="1134" w:type="dxa"/>
            <w:vMerge w:val="restart"/>
            <w:tcBorders>
              <w:top w:val="single" w:color="auto" w:sz="8" w:space="0"/>
              <w:left w:val="single" w:color="auto" w:sz="8" w:space="0"/>
              <w:right w:val="single" w:color="auto" w:sz="8" w:space="0"/>
            </w:tcBorders>
            <w:noWrap/>
            <w:vAlign w:val="center"/>
          </w:tcPr>
          <w:p w14:paraId="15B53FF4">
            <w:pPr>
              <w:spacing w:line="0" w:lineRule="atLeast"/>
              <w:jc w:val="center"/>
              <w:rPr>
                <w:rFonts w:eastAsia="楷体_GB2312"/>
                <w:szCs w:val="21"/>
              </w:rPr>
            </w:pPr>
            <w:bookmarkStart w:id="120" w:name="OLE_LINK1"/>
            <w:r>
              <w:rPr>
                <w:rFonts w:eastAsia="楷体_GB2312"/>
                <w:szCs w:val="21"/>
              </w:rPr>
              <w:t>个</w:t>
            </w:r>
          </w:p>
          <w:p w14:paraId="0FF6C7B3">
            <w:pPr>
              <w:spacing w:line="0" w:lineRule="atLeast"/>
              <w:jc w:val="center"/>
              <w:rPr>
                <w:rFonts w:eastAsia="楷体_GB2312"/>
                <w:szCs w:val="21"/>
              </w:rPr>
            </w:pPr>
            <w:r>
              <w:rPr>
                <w:rFonts w:eastAsia="楷体_GB2312"/>
                <w:szCs w:val="21"/>
              </w:rPr>
              <w:t>别</w:t>
            </w:r>
          </w:p>
          <w:p w14:paraId="5E0CC233">
            <w:pPr>
              <w:spacing w:line="0" w:lineRule="atLeast"/>
              <w:jc w:val="center"/>
              <w:rPr>
                <w:rFonts w:eastAsia="楷体_GB2312"/>
                <w:szCs w:val="21"/>
              </w:rPr>
            </w:pPr>
            <w:r>
              <w:rPr>
                <w:rFonts w:eastAsia="楷体_GB2312"/>
                <w:szCs w:val="21"/>
              </w:rPr>
              <w:t>因</w:t>
            </w:r>
          </w:p>
          <w:p w14:paraId="796ABFCF">
            <w:pPr>
              <w:spacing w:line="0" w:lineRule="atLeast"/>
              <w:jc w:val="center"/>
              <w:rPr>
                <w:rFonts w:eastAsia="楷体_GB2312"/>
                <w:szCs w:val="21"/>
              </w:rPr>
            </w:pPr>
            <w:r>
              <w:rPr>
                <w:rFonts w:eastAsia="楷体_GB2312"/>
                <w:szCs w:val="21"/>
              </w:rPr>
              <w:t>素</w:t>
            </w:r>
          </w:p>
          <w:bookmarkEnd w:id="120"/>
          <w:p w14:paraId="3D616CA9">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61A779EA">
            <w:pPr>
              <w:spacing w:line="0" w:lineRule="atLeast"/>
              <w:jc w:val="center"/>
              <w:rPr>
                <w:rFonts w:eastAsia="楷体_GB2312"/>
                <w:szCs w:val="21"/>
              </w:rPr>
            </w:pPr>
            <w:r>
              <w:rPr>
                <w:rFonts w:eastAsia="楷体_GB2312"/>
                <w:szCs w:val="21"/>
              </w:rPr>
              <w:t>宗地自然条件</w:t>
            </w:r>
          </w:p>
        </w:tc>
        <w:tc>
          <w:tcPr>
            <w:tcW w:w="3169" w:type="dxa"/>
            <w:tcBorders>
              <w:top w:val="single" w:color="auto" w:sz="8" w:space="0"/>
              <w:left w:val="single" w:color="auto" w:sz="8" w:space="0"/>
              <w:bottom w:val="single" w:color="auto" w:sz="8" w:space="0"/>
              <w:right w:val="single" w:color="auto" w:sz="8" w:space="0"/>
            </w:tcBorders>
            <w:noWrap/>
            <w:vAlign w:val="center"/>
          </w:tcPr>
          <w:p w14:paraId="4941DA26">
            <w:pPr>
              <w:jc w:val="center"/>
              <w:rPr>
                <w:rFonts w:eastAsia="楷体_GB2312"/>
                <w:szCs w:val="21"/>
              </w:rPr>
            </w:pPr>
            <w:r>
              <w:rPr>
                <w:rFonts w:eastAsia="楷体_GB2312"/>
                <w:szCs w:val="21"/>
              </w:rPr>
              <w:t>3.85</w:t>
            </w:r>
          </w:p>
        </w:tc>
      </w:tr>
      <w:tr w14:paraId="1488CC51">
        <w:tblPrEx>
          <w:tblCellMar>
            <w:top w:w="0" w:type="dxa"/>
            <w:left w:w="108" w:type="dxa"/>
            <w:bottom w:w="0" w:type="dxa"/>
            <w:right w:w="108" w:type="dxa"/>
          </w:tblCellMar>
        </w:tblPrEx>
        <w:trPr>
          <w:trHeight w:val="425" w:hRule="atLeast"/>
          <w:jc w:val="center"/>
        </w:trPr>
        <w:tc>
          <w:tcPr>
            <w:tcW w:w="1134" w:type="dxa"/>
            <w:vMerge w:val="continue"/>
            <w:tcBorders>
              <w:top w:val="single" w:color="auto" w:sz="8" w:space="0"/>
              <w:left w:val="single" w:color="auto" w:sz="8" w:space="0"/>
              <w:right w:val="single" w:color="auto" w:sz="8" w:space="0"/>
            </w:tcBorders>
            <w:noWrap/>
            <w:vAlign w:val="center"/>
          </w:tcPr>
          <w:p w14:paraId="203D479C">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05773541">
            <w:pPr>
              <w:spacing w:line="0" w:lineRule="atLeast"/>
              <w:jc w:val="center"/>
              <w:rPr>
                <w:rFonts w:eastAsia="楷体_GB2312"/>
                <w:szCs w:val="21"/>
              </w:rPr>
            </w:pPr>
            <w:r>
              <w:rPr>
                <w:rFonts w:eastAsia="楷体_GB2312"/>
                <w:szCs w:val="21"/>
              </w:rPr>
              <w:t>宗地形状</w:t>
            </w:r>
          </w:p>
        </w:tc>
        <w:tc>
          <w:tcPr>
            <w:tcW w:w="3169" w:type="dxa"/>
            <w:tcBorders>
              <w:top w:val="single" w:color="auto" w:sz="8" w:space="0"/>
              <w:left w:val="single" w:color="auto" w:sz="8" w:space="0"/>
              <w:bottom w:val="single" w:color="auto" w:sz="8" w:space="0"/>
              <w:right w:val="single" w:color="auto" w:sz="8" w:space="0"/>
            </w:tcBorders>
            <w:noWrap/>
            <w:vAlign w:val="center"/>
          </w:tcPr>
          <w:p w14:paraId="043F7945">
            <w:pPr>
              <w:jc w:val="center"/>
              <w:rPr>
                <w:rFonts w:eastAsia="楷体_GB2312"/>
                <w:szCs w:val="21"/>
              </w:rPr>
            </w:pPr>
            <w:r>
              <w:rPr>
                <w:rFonts w:eastAsia="楷体_GB2312"/>
                <w:szCs w:val="21"/>
              </w:rPr>
              <w:t>3.28</w:t>
            </w:r>
          </w:p>
        </w:tc>
      </w:tr>
      <w:tr w14:paraId="47E8247C">
        <w:tblPrEx>
          <w:tblCellMar>
            <w:top w:w="0" w:type="dxa"/>
            <w:left w:w="108" w:type="dxa"/>
            <w:bottom w:w="0" w:type="dxa"/>
            <w:right w:w="108" w:type="dxa"/>
          </w:tblCellMar>
        </w:tblPrEx>
        <w:trPr>
          <w:trHeight w:val="425" w:hRule="atLeast"/>
          <w:jc w:val="center"/>
        </w:trPr>
        <w:tc>
          <w:tcPr>
            <w:tcW w:w="1134" w:type="dxa"/>
            <w:vMerge w:val="continue"/>
            <w:tcBorders>
              <w:left w:val="single" w:color="auto" w:sz="8" w:space="0"/>
              <w:right w:val="single" w:color="auto" w:sz="8" w:space="0"/>
            </w:tcBorders>
            <w:noWrap/>
            <w:vAlign w:val="center"/>
          </w:tcPr>
          <w:p w14:paraId="77192940">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45E3A414">
            <w:pPr>
              <w:spacing w:line="0" w:lineRule="atLeast"/>
              <w:jc w:val="center"/>
              <w:rPr>
                <w:rFonts w:eastAsia="楷体_GB2312"/>
                <w:szCs w:val="21"/>
              </w:rPr>
            </w:pPr>
            <w:r>
              <w:rPr>
                <w:rFonts w:eastAsia="楷体_GB2312"/>
                <w:szCs w:val="21"/>
              </w:rPr>
              <w:t>宗地面积</w:t>
            </w:r>
          </w:p>
        </w:tc>
        <w:tc>
          <w:tcPr>
            <w:tcW w:w="3169" w:type="dxa"/>
            <w:tcBorders>
              <w:top w:val="single" w:color="auto" w:sz="8" w:space="0"/>
              <w:left w:val="single" w:color="auto" w:sz="8" w:space="0"/>
              <w:bottom w:val="single" w:color="auto" w:sz="8" w:space="0"/>
              <w:right w:val="single" w:color="auto" w:sz="8" w:space="0"/>
            </w:tcBorders>
            <w:noWrap/>
            <w:vAlign w:val="center"/>
          </w:tcPr>
          <w:p w14:paraId="50E61E92">
            <w:pPr>
              <w:jc w:val="center"/>
              <w:rPr>
                <w:rFonts w:eastAsia="楷体_GB2312"/>
                <w:szCs w:val="21"/>
              </w:rPr>
            </w:pPr>
            <w:r>
              <w:rPr>
                <w:rFonts w:eastAsia="楷体_GB2312"/>
                <w:szCs w:val="21"/>
              </w:rPr>
              <w:t>3.45</w:t>
            </w:r>
          </w:p>
        </w:tc>
      </w:tr>
      <w:tr w14:paraId="01786B1F">
        <w:tblPrEx>
          <w:tblCellMar>
            <w:top w:w="0" w:type="dxa"/>
            <w:left w:w="108" w:type="dxa"/>
            <w:bottom w:w="0" w:type="dxa"/>
            <w:right w:w="108" w:type="dxa"/>
          </w:tblCellMar>
        </w:tblPrEx>
        <w:trPr>
          <w:trHeight w:val="425" w:hRule="atLeast"/>
          <w:jc w:val="center"/>
        </w:trPr>
        <w:tc>
          <w:tcPr>
            <w:tcW w:w="1134" w:type="dxa"/>
            <w:vMerge w:val="continue"/>
            <w:tcBorders>
              <w:left w:val="single" w:color="auto" w:sz="8" w:space="0"/>
              <w:right w:val="single" w:color="auto" w:sz="8" w:space="0"/>
            </w:tcBorders>
            <w:noWrap/>
            <w:vAlign w:val="center"/>
          </w:tcPr>
          <w:p w14:paraId="046005A8">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6F953EA0">
            <w:pPr>
              <w:spacing w:line="0" w:lineRule="atLeast"/>
              <w:jc w:val="center"/>
              <w:rPr>
                <w:rFonts w:eastAsia="楷体_GB2312"/>
                <w:szCs w:val="21"/>
              </w:rPr>
            </w:pPr>
            <w:r>
              <w:rPr>
                <w:rFonts w:eastAsia="楷体_GB2312"/>
                <w:szCs w:val="21"/>
              </w:rPr>
              <w:t>宗地日照、通风、干湿状况</w:t>
            </w:r>
          </w:p>
        </w:tc>
        <w:tc>
          <w:tcPr>
            <w:tcW w:w="3169" w:type="dxa"/>
            <w:tcBorders>
              <w:top w:val="single" w:color="auto" w:sz="8" w:space="0"/>
              <w:left w:val="single" w:color="auto" w:sz="8" w:space="0"/>
              <w:bottom w:val="single" w:color="auto" w:sz="8" w:space="0"/>
              <w:right w:val="single" w:color="auto" w:sz="8" w:space="0"/>
            </w:tcBorders>
            <w:noWrap/>
            <w:vAlign w:val="center"/>
          </w:tcPr>
          <w:p w14:paraId="0A371216">
            <w:pPr>
              <w:jc w:val="center"/>
              <w:rPr>
                <w:rFonts w:eastAsia="楷体_GB2312"/>
                <w:szCs w:val="21"/>
              </w:rPr>
            </w:pPr>
            <w:r>
              <w:rPr>
                <w:rFonts w:eastAsia="楷体_GB2312"/>
                <w:szCs w:val="21"/>
              </w:rPr>
              <w:t>3.96</w:t>
            </w:r>
          </w:p>
        </w:tc>
      </w:tr>
      <w:tr w14:paraId="743FC22C">
        <w:tblPrEx>
          <w:tblCellMar>
            <w:top w:w="0" w:type="dxa"/>
            <w:left w:w="108" w:type="dxa"/>
            <w:bottom w:w="0" w:type="dxa"/>
            <w:right w:w="108" w:type="dxa"/>
          </w:tblCellMar>
        </w:tblPrEx>
        <w:trPr>
          <w:trHeight w:val="425" w:hRule="atLeast"/>
          <w:jc w:val="center"/>
        </w:trPr>
        <w:tc>
          <w:tcPr>
            <w:tcW w:w="1134" w:type="dxa"/>
            <w:vMerge w:val="continue"/>
            <w:tcBorders>
              <w:left w:val="single" w:color="auto" w:sz="8" w:space="0"/>
              <w:right w:val="single" w:color="auto" w:sz="8" w:space="0"/>
            </w:tcBorders>
            <w:noWrap/>
            <w:vAlign w:val="center"/>
          </w:tcPr>
          <w:p w14:paraId="7F06437C">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1532E85E">
            <w:pPr>
              <w:spacing w:line="0" w:lineRule="atLeast"/>
              <w:jc w:val="center"/>
              <w:rPr>
                <w:rFonts w:eastAsia="楷体_GB2312"/>
                <w:szCs w:val="21"/>
              </w:rPr>
            </w:pPr>
            <w:r>
              <w:rPr>
                <w:rFonts w:eastAsia="楷体_GB2312"/>
                <w:szCs w:val="21"/>
              </w:rPr>
              <w:t>临街状况</w:t>
            </w:r>
          </w:p>
        </w:tc>
        <w:tc>
          <w:tcPr>
            <w:tcW w:w="3169" w:type="dxa"/>
            <w:tcBorders>
              <w:top w:val="single" w:color="auto" w:sz="8" w:space="0"/>
              <w:left w:val="single" w:color="auto" w:sz="8" w:space="0"/>
              <w:bottom w:val="single" w:color="auto" w:sz="8" w:space="0"/>
              <w:right w:val="single" w:color="auto" w:sz="8" w:space="0"/>
            </w:tcBorders>
            <w:noWrap/>
            <w:vAlign w:val="center"/>
          </w:tcPr>
          <w:p w14:paraId="4A86ECC2">
            <w:pPr>
              <w:jc w:val="center"/>
              <w:rPr>
                <w:rFonts w:eastAsia="楷体_GB2312"/>
                <w:szCs w:val="21"/>
              </w:rPr>
            </w:pPr>
            <w:r>
              <w:rPr>
                <w:rFonts w:eastAsia="楷体_GB2312"/>
                <w:szCs w:val="21"/>
              </w:rPr>
              <w:t>4.61</w:t>
            </w:r>
          </w:p>
        </w:tc>
      </w:tr>
      <w:tr w14:paraId="459D89F1">
        <w:tblPrEx>
          <w:tblCellMar>
            <w:top w:w="0" w:type="dxa"/>
            <w:left w:w="108" w:type="dxa"/>
            <w:bottom w:w="0" w:type="dxa"/>
            <w:right w:w="108" w:type="dxa"/>
          </w:tblCellMar>
        </w:tblPrEx>
        <w:trPr>
          <w:trHeight w:val="425" w:hRule="atLeast"/>
          <w:jc w:val="center"/>
        </w:trPr>
        <w:tc>
          <w:tcPr>
            <w:tcW w:w="1134" w:type="dxa"/>
            <w:vMerge w:val="continue"/>
            <w:tcBorders>
              <w:left w:val="single" w:color="auto" w:sz="8" w:space="0"/>
              <w:right w:val="single" w:color="auto" w:sz="8" w:space="0"/>
            </w:tcBorders>
            <w:noWrap/>
            <w:vAlign w:val="center"/>
          </w:tcPr>
          <w:p w14:paraId="3A37F6A1">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18007902">
            <w:pPr>
              <w:spacing w:line="0" w:lineRule="atLeast"/>
              <w:jc w:val="center"/>
              <w:rPr>
                <w:rFonts w:eastAsia="楷体_GB2312"/>
                <w:szCs w:val="21"/>
              </w:rPr>
            </w:pPr>
            <w:r>
              <w:rPr>
                <w:rFonts w:eastAsia="楷体_GB2312"/>
                <w:szCs w:val="21"/>
              </w:rPr>
              <w:t>土地规划限制</w:t>
            </w:r>
          </w:p>
        </w:tc>
        <w:tc>
          <w:tcPr>
            <w:tcW w:w="3169" w:type="dxa"/>
            <w:tcBorders>
              <w:top w:val="single" w:color="auto" w:sz="8" w:space="0"/>
              <w:left w:val="single" w:color="auto" w:sz="8" w:space="0"/>
              <w:bottom w:val="single" w:color="auto" w:sz="8" w:space="0"/>
              <w:right w:val="single" w:color="auto" w:sz="8" w:space="0"/>
            </w:tcBorders>
            <w:noWrap/>
            <w:vAlign w:val="center"/>
          </w:tcPr>
          <w:p w14:paraId="4EE59F64">
            <w:pPr>
              <w:jc w:val="center"/>
              <w:rPr>
                <w:rFonts w:eastAsia="楷体_GB2312"/>
                <w:szCs w:val="21"/>
              </w:rPr>
            </w:pPr>
            <w:r>
              <w:rPr>
                <w:rFonts w:eastAsia="楷体_GB2312"/>
                <w:szCs w:val="21"/>
              </w:rPr>
              <w:t>4.16</w:t>
            </w:r>
          </w:p>
        </w:tc>
      </w:tr>
      <w:tr w14:paraId="577E5899">
        <w:tblPrEx>
          <w:tblCellMar>
            <w:top w:w="0" w:type="dxa"/>
            <w:left w:w="108" w:type="dxa"/>
            <w:bottom w:w="0" w:type="dxa"/>
            <w:right w:w="108" w:type="dxa"/>
          </w:tblCellMar>
        </w:tblPrEx>
        <w:trPr>
          <w:trHeight w:val="425" w:hRule="atLeast"/>
          <w:jc w:val="center"/>
        </w:trPr>
        <w:tc>
          <w:tcPr>
            <w:tcW w:w="1134" w:type="dxa"/>
            <w:vMerge w:val="continue"/>
            <w:tcBorders>
              <w:left w:val="single" w:color="auto" w:sz="8" w:space="0"/>
              <w:right w:val="single" w:color="auto" w:sz="8" w:space="0"/>
            </w:tcBorders>
            <w:noWrap/>
            <w:vAlign w:val="center"/>
          </w:tcPr>
          <w:p w14:paraId="07400B7B">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579E136C">
            <w:pPr>
              <w:spacing w:line="0" w:lineRule="atLeast"/>
              <w:jc w:val="center"/>
              <w:rPr>
                <w:rFonts w:eastAsia="楷体_GB2312"/>
                <w:szCs w:val="21"/>
              </w:rPr>
            </w:pPr>
            <w:r>
              <w:rPr>
                <w:rFonts w:eastAsia="楷体_GB2312"/>
                <w:szCs w:val="21"/>
              </w:rPr>
              <w:t>宗地基础设施状况</w:t>
            </w:r>
          </w:p>
        </w:tc>
        <w:tc>
          <w:tcPr>
            <w:tcW w:w="3169" w:type="dxa"/>
            <w:tcBorders>
              <w:top w:val="single" w:color="auto" w:sz="8" w:space="0"/>
              <w:left w:val="single" w:color="auto" w:sz="8" w:space="0"/>
              <w:bottom w:val="single" w:color="auto" w:sz="8" w:space="0"/>
              <w:right w:val="single" w:color="auto" w:sz="8" w:space="0"/>
            </w:tcBorders>
            <w:noWrap/>
            <w:vAlign w:val="center"/>
          </w:tcPr>
          <w:p w14:paraId="67994F76">
            <w:pPr>
              <w:jc w:val="center"/>
              <w:rPr>
                <w:rFonts w:eastAsia="楷体_GB2312"/>
                <w:szCs w:val="21"/>
              </w:rPr>
            </w:pPr>
            <w:r>
              <w:rPr>
                <w:rFonts w:eastAsia="楷体_GB2312"/>
                <w:szCs w:val="21"/>
              </w:rPr>
              <w:t>5.05</w:t>
            </w:r>
          </w:p>
        </w:tc>
      </w:tr>
      <w:tr w14:paraId="1C80EE24">
        <w:tblPrEx>
          <w:tblCellMar>
            <w:top w:w="0" w:type="dxa"/>
            <w:left w:w="108" w:type="dxa"/>
            <w:bottom w:w="0" w:type="dxa"/>
            <w:right w:w="108" w:type="dxa"/>
          </w:tblCellMar>
        </w:tblPrEx>
        <w:trPr>
          <w:trHeight w:val="425" w:hRule="atLeast"/>
          <w:jc w:val="center"/>
        </w:trPr>
        <w:tc>
          <w:tcPr>
            <w:tcW w:w="1134" w:type="dxa"/>
            <w:vMerge w:val="continue"/>
            <w:tcBorders>
              <w:left w:val="single" w:color="auto" w:sz="8" w:space="0"/>
              <w:right w:val="single" w:color="auto" w:sz="8" w:space="0"/>
            </w:tcBorders>
            <w:noWrap/>
            <w:vAlign w:val="center"/>
          </w:tcPr>
          <w:p w14:paraId="72880BA6">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7BC34C23">
            <w:pPr>
              <w:spacing w:line="0" w:lineRule="atLeast"/>
              <w:jc w:val="center"/>
              <w:rPr>
                <w:rFonts w:eastAsia="楷体_GB2312"/>
                <w:szCs w:val="21"/>
              </w:rPr>
            </w:pPr>
            <w:r>
              <w:rPr>
                <w:rFonts w:eastAsia="楷体_GB2312"/>
                <w:szCs w:val="21"/>
              </w:rPr>
              <w:t>地上建筑物状况</w:t>
            </w:r>
          </w:p>
        </w:tc>
        <w:tc>
          <w:tcPr>
            <w:tcW w:w="3169" w:type="dxa"/>
            <w:tcBorders>
              <w:top w:val="single" w:color="auto" w:sz="8" w:space="0"/>
              <w:left w:val="single" w:color="auto" w:sz="8" w:space="0"/>
              <w:bottom w:val="single" w:color="auto" w:sz="8" w:space="0"/>
              <w:right w:val="single" w:color="auto" w:sz="8" w:space="0"/>
            </w:tcBorders>
            <w:noWrap/>
            <w:vAlign w:val="center"/>
          </w:tcPr>
          <w:p w14:paraId="4815F462">
            <w:pPr>
              <w:jc w:val="center"/>
              <w:rPr>
                <w:rFonts w:eastAsia="楷体_GB2312"/>
                <w:szCs w:val="21"/>
              </w:rPr>
            </w:pPr>
            <w:r>
              <w:rPr>
                <w:rFonts w:eastAsia="楷体_GB2312"/>
                <w:szCs w:val="21"/>
              </w:rPr>
              <w:t>3.89</w:t>
            </w:r>
          </w:p>
        </w:tc>
      </w:tr>
      <w:tr w14:paraId="6DFD90CC">
        <w:tblPrEx>
          <w:tblCellMar>
            <w:top w:w="0" w:type="dxa"/>
            <w:left w:w="108" w:type="dxa"/>
            <w:bottom w:w="0" w:type="dxa"/>
            <w:right w:w="108" w:type="dxa"/>
          </w:tblCellMar>
        </w:tblPrEx>
        <w:trPr>
          <w:trHeight w:val="425" w:hRule="atLeast"/>
          <w:jc w:val="center"/>
        </w:trPr>
        <w:tc>
          <w:tcPr>
            <w:tcW w:w="1134" w:type="dxa"/>
            <w:vMerge w:val="continue"/>
            <w:tcBorders>
              <w:left w:val="single" w:color="auto" w:sz="8" w:space="0"/>
              <w:right w:val="single" w:color="auto" w:sz="8" w:space="0"/>
            </w:tcBorders>
            <w:noWrap/>
            <w:vAlign w:val="center"/>
          </w:tcPr>
          <w:p w14:paraId="29DE2AD4">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64DC6DDC">
            <w:pPr>
              <w:spacing w:line="0" w:lineRule="atLeast"/>
              <w:jc w:val="center"/>
              <w:rPr>
                <w:rFonts w:eastAsia="楷体_GB2312"/>
                <w:szCs w:val="21"/>
              </w:rPr>
            </w:pPr>
            <w:r>
              <w:rPr>
                <w:rFonts w:eastAsia="楷体_GB2312"/>
                <w:szCs w:val="21"/>
              </w:rPr>
              <w:t>距商服中心距离</w:t>
            </w:r>
          </w:p>
        </w:tc>
        <w:tc>
          <w:tcPr>
            <w:tcW w:w="3169" w:type="dxa"/>
            <w:tcBorders>
              <w:top w:val="single" w:color="auto" w:sz="8" w:space="0"/>
              <w:left w:val="single" w:color="auto" w:sz="8" w:space="0"/>
              <w:bottom w:val="single" w:color="auto" w:sz="8" w:space="0"/>
              <w:right w:val="single" w:color="auto" w:sz="8" w:space="0"/>
            </w:tcBorders>
            <w:noWrap/>
            <w:vAlign w:val="center"/>
          </w:tcPr>
          <w:p w14:paraId="3FB01E6D">
            <w:pPr>
              <w:jc w:val="center"/>
              <w:rPr>
                <w:rFonts w:eastAsia="楷体_GB2312"/>
                <w:szCs w:val="21"/>
              </w:rPr>
            </w:pPr>
            <w:r>
              <w:rPr>
                <w:rFonts w:eastAsia="楷体_GB2312"/>
                <w:szCs w:val="21"/>
              </w:rPr>
              <w:t>5.29</w:t>
            </w:r>
          </w:p>
        </w:tc>
      </w:tr>
      <w:tr w14:paraId="61F178D4">
        <w:tblPrEx>
          <w:tblCellMar>
            <w:top w:w="0" w:type="dxa"/>
            <w:left w:w="108" w:type="dxa"/>
            <w:bottom w:w="0" w:type="dxa"/>
            <w:right w:w="108" w:type="dxa"/>
          </w:tblCellMar>
        </w:tblPrEx>
        <w:trPr>
          <w:trHeight w:val="425" w:hRule="atLeast"/>
          <w:jc w:val="center"/>
        </w:trPr>
        <w:tc>
          <w:tcPr>
            <w:tcW w:w="1134" w:type="dxa"/>
            <w:vMerge w:val="continue"/>
            <w:tcBorders>
              <w:left w:val="single" w:color="auto" w:sz="8" w:space="0"/>
              <w:right w:val="single" w:color="auto" w:sz="8" w:space="0"/>
            </w:tcBorders>
            <w:noWrap/>
            <w:vAlign w:val="center"/>
          </w:tcPr>
          <w:p w14:paraId="7C4EA0E8">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109824CB">
            <w:pPr>
              <w:spacing w:line="0" w:lineRule="atLeast"/>
              <w:jc w:val="center"/>
              <w:rPr>
                <w:rFonts w:eastAsia="楷体_GB2312"/>
                <w:szCs w:val="21"/>
              </w:rPr>
            </w:pPr>
            <w:r>
              <w:rPr>
                <w:rFonts w:eastAsia="楷体_GB2312"/>
                <w:szCs w:val="21"/>
              </w:rPr>
              <w:t>距对外交通设施距离</w:t>
            </w:r>
          </w:p>
        </w:tc>
        <w:tc>
          <w:tcPr>
            <w:tcW w:w="3169" w:type="dxa"/>
            <w:tcBorders>
              <w:top w:val="single" w:color="auto" w:sz="8" w:space="0"/>
              <w:left w:val="single" w:color="auto" w:sz="8" w:space="0"/>
              <w:bottom w:val="single" w:color="auto" w:sz="8" w:space="0"/>
              <w:right w:val="single" w:color="auto" w:sz="8" w:space="0"/>
            </w:tcBorders>
            <w:noWrap/>
            <w:vAlign w:val="center"/>
          </w:tcPr>
          <w:p w14:paraId="77FCE715">
            <w:pPr>
              <w:jc w:val="center"/>
              <w:rPr>
                <w:rFonts w:eastAsia="楷体_GB2312"/>
                <w:szCs w:val="21"/>
              </w:rPr>
            </w:pPr>
            <w:r>
              <w:rPr>
                <w:rFonts w:eastAsia="楷体_GB2312"/>
                <w:szCs w:val="21"/>
              </w:rPr>
              <w:t>5.21</w:t>
            </w:r>
          </w:p>
        </w:tc>
      </w:tr>
      <w:tr w14:paraId="27517ED7">
        <w:tblPrEx>
          <w:tblCellMar>
            <w:top w:w="0" w:type="dxa"/>
            <w:left w:w="108" w:type="dxa"/>
            <w:bottom w:w="0" w:type="dxa"/>
            <w:right w:w="108" w:type="dxa"/>
          </w:tblCellMar>
        </w:tblPrEx>
        <w:trPr>
          <w:trHeight w:val="425" w:hRule="atLeast"/>
          <w:jc w:val="center"/>
        </w:trPr>
        <w:tc>
          <w:tcPr>
            <w:tcW w:w="1134" w:type="dxa"/>
            <w:vMerge w:val="continue"/>
            <w:tcBorders>
              <w:left w:val="single" w:color="auto" w:sz="8" w:space="0"/>
              <w:right w:val="single" w:color="auto" w:sz="8" w:space="0"/>
            </w:tcBorders>
            <w:noWrap/>
            <w:vAlign w:val="center"/>
          </w:tcPr>
          <w:p w14:paraId="048009B7">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4C3E9424">
            <w:pPr>
              <w:spacing w:line="0" w:lineRule="atLeast"/>
              <w:jc w:val="center"/>
              <w:rPr>
                <w:rFonts w:eastAsia="楷体_GB2312"/>
                <w:szCs w:val="21"/>
              </w:rPr>
            </w:pPr>
            <w:r>
              <w:rPr>
                <w:rFonts w:eastAsia="楷体_GB2312"/>
                <w:szCs w:val="21"/>
              </w:rPr>
              <w:t>接近公用设施程度</w:t>
            </w:r>
          </w:p>
        </w:tc>
        <w:tc>
          <w:tcPr>
            <w:tcW w:w="3169" w:type="dxa"/>
            <w:tcBorders>
              <w:top w:val="single" w:color="auto" w:sz="8" w:space="0"/>
              <w:left w:val="single" w:color="auto" w:sz="8" w:space="0"/>
              <w:bottom w:val="single" w:color="auto" w:sz="8" w:space="0"/>
              <w:right w:val="single" w:color="auto" w:sz="8" w:space="0"/>
            </w:tcBorders>
            <w:noWrap/>
            <w:vAlign w:val="center"/>
          </w:tcPr>
          <w:p w14:paraId="28BA8887">
            <w:pPr>
              <w:jc w:val="center"/>
              <w:rPr>
                <w:rFonts w:eastAsia="楷体_GB2312"/>
                <w:szCs w:val="21"/>
              </w:rPr>
            </w:pPr>
            <w:r>
              <w:rPr>
                <w:rFonts w:eastAsia="楷体_GB2312"/>
                <w:szCs w:val="21"/>
              </w:rPr>
              <w:t>4.16</w:t>
            </w:r>
          </w:p>
        </w:tc>
      </w:tr>
      <w:tr w14:paraId="3559F977">
        <w:tblPrEx>
          <w:tblCellMar>
            <w:top w:w="0" w:type="dxa"/>
            <w:left w:w="108" w:type="dxa"/>
            <w:bottom w:w="0" w:type="dxa"/>
            <w:right w:w="108" w:type="dxa"/>
          </w:tblCellMar>
        </w:tblPrEx>
        <w:trPr>
          <w:trHeight w:val="425" w:hRule="atLeast"/>
          <w:jc w:val="center"/>
        </w:trPr>
        <w:tc>
          <w:tcPr>
            <w:tcW w:w="1134" w:type="dxa"/>
            <w:vMerge w:val="continue"/>
            <w:tcBorders>
              <w:left w:val="single" w:color="auto" w:sz="8" w:space="0"/>
              <w:right w:val="single" w:color="auto" w:sz="8" w:space="0"/>
            </w:tcBorders>
            <w:noWrap/>
            <w:vAlign w:val="center"/>
          </w:tcPr>
          <w:p w14:paraId="5AEA5A1F">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6F67F79A">
            <w:pPr>
              <w:spacing w:line="0" w:lineRule="atLeast"/>
              <w:jc w:val="center"/>
              <w:rPr>
                <w:rFonts w:eastAsia="楷体_GB2312"/>
                <w:szCs w:val="21"/>
              </w:rPr>
            </w:pPr>
            <w:r>
              <w:rPr>
                <w:rFonts w:eastAsia="楷体_GB2312"/>
                <w:szCs w:val="21"/>
              </w:rPr>
              <w:t>相邻土地利用状况</w:t>
            </w:r>
          </w:p>
        </w:tc>
        <w:tc>
          <w:tcPr>
            <w:tcW w:w="3169" w:type="dxa"/>
            <w:tcBorders>
              <w:top w:val="single" w:color="auto" w:sz="8" w:space="0"/>
              <w:left w:val="single" w:color="auto" w:sz="8" w:space="0"/>
              <w:bottom w:val="single" w:color="auto" w:sz="8" w:space="0"/>
              <w:right w:val="single" w:color="auto" w:sz="8" w:space="0"/>
            </w:tcBorders>
            <w:noWrap/>
            <w:vAlign w:val="center"/>
          </w:tcPr>
          <w:p w14:paraId="419605AF">
            <w:pPr>
              <w:jc w:val="center"/>
              <w:rPr>
                <w:rFonts w:eastAsia="楷体_GB2312"/>
                <w:szCs w:val="21"/>
              </w:rPr>
            </w:pPr>
            <w:r>
              <w:rPr>
                <w:rFonts w:eastAsia="楷体_GB2312"/>
                <w:szCs w:val="21"/>
              </w:rPr>
              <w:t>3.72</w:t>
            </w:r>
          </w:p>
        </w:tc>
      </w:tr>
      <w:tr w14:paraId="2D6FB5BC">
        <w:tblPrEx>
          <w:tblCellMar>
            <w:top w:w="0" w:type="dxa"/>
            <w:left w:w="108" w:type="dxa"/>
            <w:bottom w:w="0" w:type="dxa"/>
            <w:right w:w="108" w:type="dxa"/>
          </w:tblCellMar>
        </w:tblPrEx>
        <w:trPr>
          <w:trHeight w:val="425" w:hRule="atLeast"/>
          <w:jc w:val="center"/>
        </w:trPr>
        <w:tc>
          <w:tcPr>
            <w:tcW w:w="1134" w:type="dxa"/>
            <w:vMerge w:val="continue"/>
            <w:tcBorders>
              <w:left w:val="single" w:color="auto" w:sz="8" w:space="0"/>
              <w:bottom w:val="single" w:color="auto" w:sz="8" w:space="0"/>
              <w:right w:val="single" w:color="auto" w:sz="8" w:space="0"/>
            </w:tcBorders>
            <w:noWrap/>
            <w:vAlign w:val="center"/>
          </w:tcPr>
          <w:p w14:paraId="320CE6BE">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40159B05">
            <w:pPr>
              <w:spacing w:line="0" w:lineRule="atLeast"/>
              <w:jc w:val="center"/>
              <w:rPr>
                <w:rFonts w:eastAsia="楷体_GB2312"/>
                <w:szCs w:val="21"/>
              </w:rPr>
            </w:pPr>
            <w:r>
              <w:rPr>
                <w:rFonts w:eastAsia="楷体_GB2312"/>
                <w:szCs w:val="21"/>
              </w:rPr>
              <w:t>其他个别因素状况</w:t>
            </w:r>
          </w:p>
        </w:tc>
        <w:tc>
          <w:tcPr>
            <w:tcW w:w="3169" w:type="dxa"/>
            <w:tcBorders>
              <w:top w:val="single" w:color="auto" w:sz="8" w:space="0"/>
              <w:left w:val="single" w:color="auto" w:sz="8" w:space="0"/>
              <w:bottom w:val="single" w:color="auto" w:sz="8" w:space="0"/>
              <w:right w:val="single" w:color="auto" w:sz="8" w:space="0"/>
            </w:tcBorders>
            <w:noWrap/>
            <w:vAlign w:val="center"/>
          </w:tcPr>
          <w:p w14:paraId="2DE4A1F9">
            <w:pPr>
              <w:jc w:val="center"/>
              <w:rPr>
                <w:rFonts w:eastAsia="楷体_GB2312"/>
                <w:szCs w:val="21"/>
              </w:rPr>
            </w:pPr>
            <w:r>
              <w:rPr>
                <w:rFonts w:eastAsia="楷体_GB2312"/>
                <w:szCs w:val="21"/>
              </w:rPr>
              <w:t>3.15</w:t>
            </w:r>
          </w:p>
        </w:tc>
      </w:tr>
      <w:tr w14:paraId="337975A4">
        <w:tblPrEx>
          <w:tblCellMar>
            <w:top w:w="0" w:type="dxa"/>
            <w:left w:w="108" w:type="dxa"/>
            <w:bottom w:w="0" w:type="dxa"/>
            <w:right w:w="108" w:type="dxa"/>
          </w:tblCellMar>
        </w:tblPrEx>
        <w:trPr>
          <w:trHeight w:val="425" w:hRule="atLeast"/>
          <w:jc w:val="center"/>
        </w:trPr>
        <w:tc>
          <w:tcPr>
            <w:tcW w:w="5903" w:type="dxa"/>
            <w:gridSpan w:val="4"/>
            <w:tcBorders>
              <w:top w:val="single" w:color="auto" w:sz="8" w:space="0"/>
              <w:left w:val="single" w:color="auto" w:sz="8" w:space="0"/>
              <w:bottom w:val="single" w:color="auto" w:sz="8" w:space="0"/>
              <w:right w:val="single" w:color="auto" w:sz="8" w:space="0"/>
            </w:tcBorders>
            <w:noWrap/>
            <w:vAlign w:val="center"/>
          </w:tcPr>
          <w:p w14:paraId="335602A6">
            <w:pPr>
              <w:spacing w:line="0" w:lineRule="atLeast"/>
              <w:jc w:val="center"/>
              <w:rPr>
                <w:rFonts w:eastAsia="楷体_GB2312"/>
                <w:szCs w:val="21"/>
              </w:rPr>
            </w:pPr>
            <w:r>
              <w:rPr>
                <w:rFonts w:eastAsia="楷体_GB2312"/>
                <w:szCs w:val="21"/>
              </w:rPr>
              <w:t>合   计</w:t>
            </w:r>
          </w:p>
        </w:tc>
        <w:tc>
          <w:tcPr>
            <w:tcW w:w="3169" w:type="dxa"/>
            <w:tcBorders>
              <w:top w:val="single" w:color="auto" w:sz="8" w:space="0"/>
              <w:left w:val="single" w:color="auto" w:sz="8" w:space="0"/>
              <w:bottom w:val="single" w:color="auto" w:sz="8" w:space="0"/>
              <w:right w:val="single" w:color="auto" w:sz="8" w:space="0"/>
            </w:tcBorders>
            <w:noWrap/>
            <w:vAlign w:val="center"/>
          </w:tcPr>
          <w:p w14:paraId="1666A944">
            <w:pPr>
              <w:spacing w:line="0" w:lineRule="atLeast"/>
              <w:jc w:val="center"/>
              <w:rPr>
                <w:rFonts w:eastAsia="楷体_GB2312"/>
                <w:szCs w:val="21"/>
              </w:rPr>
            </w:pPr>
            <w:r>
              <w:rPr>
                <w:rFonts w:eastAsia="楷体_GB2312"/>
                <w:szCs w:val="21"/>
              </w:rPr>
              <w:fldChar w:fldCharType="begin"/>
            </w:r>
            <w:r>
              <w:rPr>
                <w:rFonts w:eastAsia="楷体_GB2312"/>
                <w:szCs w:val="21"/>
              </w:rPr>
              <w:instrText xml:space="preserve"> =SUM(ABOVE) </w:instrText>
            </w:r>
            <w:r>
              <w:rPr>
                <w:rFonts w:eastAsia="楷体_GB2312"/>
                <w:szCs w:val="21"/>
              </w:rPr>
              <w:fldChar w:fldCharType="separate"/>
            </w:r>
            <w:r>
              <w:rPr>
                <w:rFonts w:eastAsia="楷体_GB2312"/>
                <w:szCs w:val="21"/>
              </w:rPr>
              <w:t>100</w:t>
            </w:r>
            <w:r>
              <w:rPr>
                <w:rFonts w:eastAsia="楷体_GB2312"/>
                <w:szCs w:val="21"/>
              </w:rPr>
              <w:fldChar w:fldCharType="end"/>
            </w:r>
          </w:p>
        </w:tc>
      </w:tr>
    </w:tbl>
    <w:p w14:paraId="18C8DF4E">
      <w:pPr>
        <w:pStyle w:val="20"/>
        <w:spacing w:line="480" w:lineRule="exact"/>
        <w:jc w:val="center"/>
        <w:rPr>
          <w:rFonts w:ascii="Times New Roman" w:hAnsi="Times New Roman" w:eastAsia="黑体" w:cs="Times New Roman"/>
          <w:sz w:val="28"/>
        </w:rPr>
      </w:pPr>
      <w:r>
        <w:rPr>
          <w:rFonts w:ascii="Times New Roman" w:hAnsi="Times New Roman" w:eastAsia="楷体_GB2312" w:cs="Times New Roman"/>
          <w:b/>
          <w:sz w:val="28"/>
        </w:rPr>
        <w:br w:type="page"/>
      </w:r>
      <w:r>
        <w:rPr>
          <w:rFonts w:ascii="Times New Roman" w:hAnsi="Times New Roman" w:eastAsia="黑体" w:cs="Times New Roman"/>
          <w:sz w:val="28"/>
        </w:rPr>
        <w:t>表2-9-3  埇桥区</w:t>
      </w:r>
      <w:r>
        <w:rPr>
          <w:rFonts w:ascii="Times New Roman" w:hAnsi="Times New Roman" w:eastAsia="黑体" w:cs="Times New Roman"/>
          <w:sz w:val="28"/>
          <w:szCs w:val="20"/>
        </w:rPr>
        <w:t>符离镇、大泽乡镇、曹村镇</w:t>
      </w:r>
      <w:r>
        <w:rPr>
          <w:rFonts w:ascii="Times New Roman" w:hAnsi="Times New Roman" w:eastAsia="黑体" w:cs="Times New Roman"/>
          <w:sz w:val="28"/>
        </w:rPr>
        <w:t>工矿仓储用地宗地地价</w:t>
      </w:r>
    </w:p>
    <w:p w14:paraId="5F792709">
      <w:pPr>
        <w:pStyle w:val="20"/>
        <w:spacing w:line="480" w:lineRule="exact"/>
        <w:jc w:val="center"/>
        <w:rPr>
          <w:rFonts w:ascii="Times New Roman" w:hAnsi="Times New Roman" w:eastAsia="黑体" w:cs="Times New Roman"/>
          <w:sz w:val="28"/>
        </w:rPr>
      </w:pPr>
      <w:r>
        <w:rPr>
          <w:rFonts w:ascii="Times New Roman" w:hAnsi="Times New Roman" w:eastAsia="黑体" w:cs="Times New Roman"/>
          <w:sz w:val="28"/>
        </w:rPr>
        <w:t>影响因素权重表</w:t>
      </w:r>
    </w:p>
    <w:tbl>
      <w:tblPr>
        <w:tblStyle w:val="38"/>
        <w:tblW w:w="907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239"/>
        <w:gridCol w:w="1244"/>
        <w:gridCol w:w="1620"/>
        <w:gridCol w:w="1800"/>
        <w:gridCol w:w="3169"/>
      </w:tblGrid>
      <w:tr w14:paraId="4FA86BF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903" w:type="dxa"/>
            <w:gridSpan w:val="4"/>
            <w:noWrap/>
            <w:vAlign w:val="center"/>
          </w:tcPr>
          <w:p w14:paraId="3D2DBA1B">
            <w:pPr>
              <w:rPr>
                <w:rFonts w:eastAsia="楷体_GB2312"/>
                <w:szCs w:val="21"/>
              </w:rPr>
            </w:pPr>
            <w:r>
              <w:rPr>
                <w:rFonts w:eastAsia="楷体_GB2312"/>
                <w:szCs w:val="21"/>
              </w:rPr>
              <w:t xml:space="preserve">                     影响因素</w:t>
            </w:r>
          </w:p>
        </w:tc>
        <w:tc>
          <w:tcPr>
            <w:tcW w:w="3169" w:type="dxa"/>
            <w:noWrap/>
            <w:vAlign w:val="center"/>
          </w:tcPr>
          <w:p w14:paraId="216DE256">
            <w:pPr>
              <w:jc w:val="center"/>
              <w:rPr>
                <w:rFonts w:eastAsia="楷体_GB2312"/>
                <w:szCs w:val="21"/>
              </w:rPr>
            </w:pPr>
            <w:r>
              <w:rPr>
                <w:rFonts w:eastAsia="楷体_GB2312"/>
                <w:szCs w:val="21"/>
              </w:rPr>
              <w:t>权重</w:t>
            </w:r>
          </w:p>
        </w:tc>
      </w:tr>
      <w:tr w14:paraId="76A8AE5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restart"/>
            <w:noWrap/>
            <w:vAlign w:val="center"/>
          </w:tcPr>
          <w:p w14:paraId="246B5C41">
            <w:pPr>
              <w:spacing w:line="0" w:lineRule="atLeast"/>
              <w:jc w:val="center"/>
              <w:rPr>
                <w:rFonts w:eastAsia="楷体_GB2312"/>
                <w:szCs w:val="21"/>
              </w:rPr>
            </w:pPr>
            <w:r>
              <w:rPr>
                <w:rFonts w:eastAsia="楷体_GB2312"/>
                <w:szCs w:val="21"/>
              </w:rPr>
              <w:t>区</w:t>
            </w:r>
          </w:p>
          <w:p w14:paraId="07E2688D">
            <w:pPr>
              <w:spacing w:line="0" w:lineRule="atLeast"/>
              <w:jc w:val="center"/>
              <w:rPr>
                <w:rFonts w:eastAsia="楷体_GB2312"/>
                <w:szCs w:val="21"/>
              </w:rPr>
            </w:pPr>
            <w:r>
              <w:rPr>
                <w:rFonts w:eastAsia="楷体_GB2312"/>
                <w:szCs w:val="21"/>
              </w:rPr>
              <w:t>域</w:t>
            </w:r>
          </w:p>
          <w:p w14:paraId="4E2FBF99">
            <w:pPr>
              <w:spacing w:line="0" w:lineRule="atLeast"/>
              <w:jc w:val="center"/>
              <w:rPr>
                <w:rFonts w:eastAsia="楷体_GB2312"/>
                <w:szCs w:val="21"/>
              </w:rPr>
            </w:pPr>
            <w:r>
              <w:rPr>
                <w:rFonts w:eastAsia="楷体_GB2312"/>
                <w:szCs w:val="21"/>
              </w:rPr>
              <w:t>因</w:t>
            </w:r>
          </w:p>
          <w:p w14:paraId="0DF268A9">
            <w:pPr>
              <w:spacing w:line="0" w:lineRule="atLeast"/>
              <w:jc w:val="center"/>
              <w:rPr>
                <w:rFonts w:eastAsia="楷体_GB2312"/>
                <w:szCs w:val="21"/>
              </w:rPr>
            </w:pPr>
            <w:r>
              <w:rPr>
                <w:rFonts w:eastAsia="楷体_GB2312"/>
                <w:szCs w:val="21"/>
              </w:rPr>
              <w:t>素</w:t>
            </w:r>
          </w:p>
        </w:tc>
        <w:tc>
          <w:tcPr>
            <w:tcW w:w="1244" w:type="dxa"/>
            <w:vMerge w:val="restart"/>
            <w:noWrap/>
            <w:vAlign w:val="center"/>
          </w:tcPr>
          <w:p w14:paraId="64669414">
            <w:pPr>
              <w:spacing w:line="0" w:lineRule="atLeast"/>
              <w:jc w:val="center"/>
              <w:rPr>
                <w:rFonts w:eastAsia="楷体_GB2312"/>
                <w:szCs w:val="21"/>
              </w:rPr>
            </w:pPr>
            <w:r>
              <w:rPr>
                <w:rFonts w:eastAsia="楷体_GB2312"/>
                <w:szCs w:val="21"/>
              </w:rPr>
              <w:t>交通状况</w:t>
            </w:r>
          </w:p>
        </w:tc>
        <w:tc>
          <w:tcPr>
            <w:tcW w:w="1620" w:type="dxa"/>
            <w:vMerge w:val="restart"/>
            <w:noWrap/>
            <w:vAlign w:val="center"/>
          </w:tcPr>
          <w:p w14:paraId="3137EBE0">
            <w:pPr>
              <w:spacing w:line="0" w:lineRule="atLeast"/>
              <w:jc w:val="center"/>
              <w:rPr>
                <w:rFonts w:eastAsia="楷体_GB2312"/>
                <w:szCs w:val="21"/>
              </w:rPr>
            </w:pPr>
            <w:r>
              <w:rPr>
                <w:rFonts w:eastAsia="楷体_GB2312"/>
                <w:szCs w:val="21"/>
              </w:rPr>
              <w:t>道路状况</w:t>
            </w:r>
          </w:p>
        </w:tc>
        <w:tc>
          <w:tcPr>
            <w:tcW w:w="1800" w:type="dxa"/>
            <w:noWrap/>
            <w:vAlign w:val="center"/>
          </w:tcPr>
          <w:p w14:paraId="06404F37">
            <w:pPr>
              <w:spacing w:line="0" w:lineRule="atLeast"/>
              <w:jc w:val="center"/>
              <w:rPr>
                <w:rFonts w:eastAsia="楷体_GB2312"/>
                <w:szCs w:val="21"/>
              </w:rPr>
            </w:pPr>
            <w:r>
              <w:rPr>
                <w:rFonts w:eastAsia="楷体_GB2312"/>
                <w:szCs w:val="21"/>
              </w:rPr>
              <w:t>道路类型</w:t>
            </w:r>
          </w:p>
        </w:tc>
        <w:tc>
          <w:tcPr>
            <w:tcW w:w="3169" w:type="dxa"/>
            <w:noWrap/>
            <w:vAlign w:val="center"/>
          </w:tcPr>
          <w:p w14:paraId="56F11989">
            <w:pPr>
              <w:spacing w:line="0" w:lineRule="atLeast"/>
              <w:jc w:val="center"/>
              <w:rPr>
                <w:rFonts w:eastAsia="楷体_GB2312"/>
                <w:szCs w:val="21"/>
              </w:rPr>
            </w:pPr>
            <w:r>
              <w:rPr>
                <w:rFonts w:eastAsia="楷体_GB2312"/>
                <w:szCs w:val="21"/>
              </w:rPr>
              <w:t>5.75</w:t>
            </w:r>
          </w:p>
        </w:tc>
      </w:tr>
      <w:tr w14:paraId="5DA6EEB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0"/>
            <w:vAlign w:val="center"/>
          </w:tcPr>
          <w:p w14:paraId="3C090202">
            <w:pPr>
              <w:spacing w:line="0" w:lineRule="atLeast"/>
              <w:jc w:val="center"/>
              <w:rPr>
                <w:rFonts w:eastAsia="楷体_GB2312"/>
                <w:szCs w:val="21"/>
              </w:rPr>
            </w:pPr>
          </w:p>
        </w:tc>
        <w:tc>
          <w:tcPr>
            <w:tcW w:w="1244" w:type="dxa"/>
            <w:vMerge w:val="continue"/>
            <w:noWrap w:val="0"/>
            <w:vAlign w:val="center"/>
          </w:tcPr>
          <w:p w14:paraId="71685F18">
            <w:pPr>
              <w:spacing w:line="0" w:lineRule="atLeast"/>
              <w:jc w:val="center"/>
              <w:rPr>
                <w:rFonts w:eastAsia="楷体_GB2312"/>
                <w:szCs w:val="21"/>
              </w:rPr>
            </w:pPr>
          </w:p>
        </w:tc>
        <w:tc>
          <w:tcPr>
            <w:tcW w:w="1620" w:type="dxa"/>
            <w:vMerge w:val="continue"/>
            <w:noWrap w:val="0"/>
            <w:vAlign w:val="center"/>
          </w:tcPr>
          <w:p w14:paraId="073B8501">
            <w:pPr>
              <w:spacing w:line="0" w:lineRule="atLeast"/>
              <w:jc w:val="center"/>
              <w:rPr>
                <w:rFonts w:eastAsia="楷体_GB2312"/>
                <w:szCs w:val="21"/>
              </w:rPr>
            </w:pPr>
          </w:p>
        </w:tc>
        <w:tc>
          <w:tcPr>
            <w:tcW w:w="1800" w:type="dxa"/>
            <w:noWrap/>
            <w:vAlign w:val="center"/>
          </w:tcPr>
          <w:p w14:paraId="0397C6F0">
            <w:pPr>
              <w:spacing w:line="0" w:lineRule="atLeast"/>
              <w:jc w:val="center"/>
              <w:rPr>
                <w:rFonts w:eastAsia="楷体_GB2312"/>
                <w:szCs w:val="21"/>
              </w:rPr>
            </w:pPr>
            <w:r>
              <w:rPr>
                <w:rFonts w:eastAsia="楷体_GB2312"/>
                <w:szCs w:val="21"/>
              </w:rPr>
              <w:t>道路等级</w:t>
            </w:r>
          </w:p>
        </w:tc>
        <w:tc>
          <w:tcPr>
            <w:tcW w:w="3169" w:type="dxa"/>
            <w:noWrap/>
            <w:vAlign w:val="center"/>
          </w:tcPr>
          <w:p w14:paraId="17F99BB9">
            <w:pPr>
              <w:spacing w:line="0" w:lineRule="atLeast"/>
              <w:jc w:val="center"/>
              <w:rPr>
                <w:rFonts w:eastAsia="楷体_GB2312"/>
                <w:szCs w:val="21"/>
              </w:rPr>
            </w:pPr>
            <w:r>
              <w:rPr>
                <w:rFonts w:eastAsia="楷体_GB2312"/>
                <w:szCs w:val="21"/>
              </w:rPr>
              <w:t>5.68</w:t>
            </w:r>
          </w:p>
        </w:tc>
      </w:tr>
      <w:tr w14:paraId="2AE6BAF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0"/>
            <w:vAlign w:val="center"/>
          </w:tcPr>
          <w:p w14:paraId="20353E27">
            <w:pPr>
              <w:spacing w:line="0" w:lineRule="atLeast"/>
              <w:jc w:val="center"/>
              <w:rPr>
                <w:rFonts w:eastAsia="楷体_GB2312"/>
                <w:szCs w:val="21"/>
              </w:rPr>
            </w:pPr>
          </w:p>
        </w:tc>
        <w:tc>
          <w:tcPr>
            <w:tcW w:w="1244" w:type="dxa"/>
            <w:vMerge w:val="continue"/>
            <w:noWrap w:val="0"/>
            <w:vAlign w:val="center"/>
          </w:tcPr>
          <w:p w14:paraId="07A56C29">
            <w:pPr>
              <w:spacing w:line="0" w:lineRule="atLeast"/>
              <w:jc w:val="center"/>
              <w:rPr>
                <w:rFonts w:eastAsia="楷体_GB2312"/>
                <w:szCs w:val="21"/>
              </w:rPr>
            </w:pPr>
          </w:p>
        </w:tc>
        <w:tc>
          <w:tcPr>
            <w:tcW w:w="3420" w:type="dxa"/>
            <w:gridSpan w:val="2"/>
            <w:noWrap/>
            <w:vAlign w:val="center"/>
          </w:tcPr>
          <w:p w14:paraId="558D1C52">
            <w:pPr>
              <w:spacing w:line="0" w:lineRule="atLeast"/>
              <w:jc w:val="center"/>
              <w:rPr>
                <w:rFonts w:eastAsia="楷体_GB2312"/>
                <w:szCs w:val="21"/>
              </w:rPr>
            </w:pPr>
            <w:r>
              <w:rPr>
                <w:rFonts w:eastAsia="楷体_GB2312"/>
                <w:szCs w:val="21"/>
              </w:rPr>
              <w:t>交通便捷程度</w:t>
            </w:r>
          </w:p>
        </w:tc>
        <w:tc>
          <w:tcPr>
            <w:tcW w:w="3169" w:type="dxa"/>
            <w:noWrap/>
            <w:vAlign w:val="center"/>
          </w:tcPr>
          <w:p w14:paraId="46E32489">
            <w:pPr>
              <w:spacing w:line="0" w:lineRule="atLeast"/>
              <w:jc w:val="center"/>
              <w:rPr>
                <w:rFonts w:eastAsia="楷体_GB2312"/>
                <w:szCs w:val="21"/>
              </w:rPr>
            </w:pPr>
            <w:r>
              <w:rPr>
                <w:rFonts w:eastAsia="楷体_GB2312"/>
                <w:szCs w:val="21"/>
              </w:rPr>
              <w:t>8.15</w:t>
            </w:r>
          </w:p>
        </w:tc>
      </w:tr>
      <w:tr w14:paraId="7D0DC99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0"/>
            <w:vAlign w:val="center"/>
          </w:tcPr>
          <w:p w14:paraId="12795565">
            <w:pPr>
              <w:spacing w:line="0" w:lineRule="atLeast"/>
              <w:jc w:val="center"/>
              <w:rPr>
                <w:rFonts w:eastAsia="楷体_GB2312"/>
                <w:szCs w:val="21"/>
              </w:rPr>
            </w:pPr>
          </w:p>
        </w:tc>
        <w:tc>
          <w:tcPr>
            <w:tcW w:w="4664" w:type="dxa"/>
            <w:gridSpan w:val="3"/>
            <w:noWrap/>
            <w:vAlign w:val="center"/>
          </w:tcPr>
          <w:p w14:paraId="7A7B8E22">
            <w:pPr>
              <w:spacing w:line="0" w:lineRule="atLeast"/>
              <w:jc w:val="center"/>
              <w:rPr>
                <w:rFonts w:eastAsia="楷体_GB2312"/>
                <w:szCs w:val="21"/>
              </w:rPr>
            </w:pPr>
            <w:r>
              <w:rPr>
                <w:rFonts w:eastAsia="楷体_GB2312"/>
                <w:szCs w:val="21"/>
              </w:rPr>
              <w:t>基础设施状况</w:t>
            </w:r>
          </w:p>
        </w:tc>
        <w:tc>
          <w:tcPr>
            <w:tcW w:w="3169" w:type="dxa"/>
            <w:noWrap/>
            <w:vAlign w:val="center"/>
          </w:tcPr>
          <w:p w14:paraId="7371D304">
            <w:pPr>
              <w:jc w:val="center"/>
              <w:rPr>
                <w:rFonts w:eastAsia="楷体_GB2312"/>
                <w:szCs w:val="21"/>
              </w:rPr>
            </w:pPr>
            <w:r>
              <w:rPr>
                <w:rFonts w:eastAsia="楷体_GB2312"/>
                <w:szCs w:val="21"/>
              </w:rPr>
              <w:t>6.45</w:t>
            </w:r>
          </w:p>
        </w:tc>
      </w:tr>
      <w:tr w14:paraId="00CDFDD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0"/>
            <w:vAlign w:val="center"/>
          </w:tcPr>
          <w:p w14:paraId="4095D08B">
            <w:pPr>
              <w:spacing w:line="0" w:lineRule="atLeast"/>
              <w:jc w:val="center"/>
              <w:rPr>
                <w:rFonts w:eastAsia="楷体_GB2312"/>
                <w:szCs w:val="21"/>
              </w:rPr>
            </w:pPr>
          </w:p>
        </w:tc>
        <w:tc>
          <w:tcPr>
            <w:tcW w:w="4664" w:type="dxa"/>
            <w:gridSpan w:val="3"/>
            <w:noWrap/>
            <w:vAlign w:val="center"/>
          </w:tcPr>
          <w:p w14:paraId="315C664B">
            <w:pPr>
              <w:spacing w:line="0" w:lineRule="atLeast"/>
              <w:jc w:val="center"/>
              <w:rPr>
                <w:rFonts w:eastAsia="楷体_GB2312"/>
                <w:szCs w:val="21"/>
              </w:rPr>
            </w:pPr>
            <w:r>
              <w:rPr>
                <w:rFonts w:eastAsia="楷体_GB2312"/>
                <w:szCs w:val="21"/>
              </w:rPr>
              <w:t>环境质量状况</w:t>
            </w:r>
          </w:p>
        </w:tc>
        <w:tc>
          <w:tcPr>
            <w:tcW w:w="3169" w:type="dxa"/>
            <w:noWrap/>
            <w:vAlign w:val="center"/>
          </w:tcPr>
          <w:p w14:paraId="74F36E37">
            <w:pPr>
              <w:jc w:val="center"/>
              <w:rPr>
                <w:rFonts w:eastAsia="楷体_GB2312"/>
                <w:szCs w:val="21"/>
              </w:rPr>
            </w:pPr>
            <w:r>
              <w:rPr>
                <w:rFonts w:eastAsia="楷体_GB2312"/>
                <w:szCs w:val="21"/>
              </w:rPr>
              <w:t>5.26</w:t>
            </w:r>
          </w:p>
        </w:tc>
      </w:tr>
      <w:tr w14:paraId="44111A8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0"/>
            <w:vAlign w:val="center"/>
          </w:tcPr>
          <w:p w14:paraId="513684F5">
            <w:pPr>
              <w:spacing w:line="0" w:lineRule="atLeast"/>
              <w:jc w:val="center"/>
              <w:rPr>
                <w:rFonts w:eastAsia="楷体_GB2312"/>
                <w:szCs w:val="21"/>
              </w:rPr>
            </w:pPr>
          </w:p>
        </w:tc>
        <w:tc>
          <w:tcPr>
            <w:tcW w:w="4664" w:type="dxa"/>
            <w:gridSpan w:val="3"/>
            <w:noWrap/>
            <w:vAlign w:val="center"/>
          </w:tcPr>
          <w:p w14:paraId="77A00081">
            <w:pPr>
              <w:spacing w:line="0" w:lineRule="atLeast"/>
              <w:jc w:val="center"/>
              <w:rPr>
                <w:rFonts w:eastAsia="楷体_GB2312"/>
                <w:szCs w:val="21"/>
              </w:rPr>
            </w:pPr>
            <w:r>
              <w:rPr>
                <w:rFonts w:eastAsia="楷体_GB2312"/>
                <w:szCs w:val="21"/>
              </w:rPr>
              <w:t>自然条件</w:t>
            </w:r>
          </w:p>
        </w:tc>
        <w:tc>
          <w:tcPr>
            <w:tcW w:w="3169" w:type="dxa"/>
            <w:noWrap/>
            <w:vAlign w:val="center"/>
          </w:tcPr>
          <w:p w14:paraId="4674296C">
            <w:pPr>
              <w:jc w:val="center"/>
              <w:rPr>
                <w:rFonts w:eastAsia="楷体_GB2312"/>
                <w:szCs w:val="21"/>
              </w:rPr>
            </w:pPr>
            <w:r>
              <w:rPr>
                <w:rFonts w:eastAsia="楷体_GB2312"/>
                <w:szCs w:val="21"/>
              </w:rPr>
              <w:t>5.32</w:t>
            </w:r>
          </w:p>
        </w:tc>
      </w:tr>
      <w:tr w14:paraId="13EA4D3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0"/>
            <w:vAlign w:val="center"/>
          </w:tcPr>
          <w:p w14:paraId="3782B619">
            <w:pPr>
              <w:spacing w:line="0" w:lineRule="atLeast"/>
              <w:jc w:val="center"/>
              <w:rPr>
                <w:rFonts w:eastAsia="楷体_GB2312"/>
                <w:szCs w:val="21"/>
              </w:rPr>
            </w:pPr>
          </w:p>
        </w:tc>
        <w:tc>
          <w:tcPr>
            <w:tcW w:w="4664" w:type="dxa"/>
            <w:gridSpan w:val="3"/>
            <w:noWrap/>
            <w:vAlign w:val="center"/>
          </w:tcPr>
          <w:p w14:paraId="459E5ED4">
            <w:pPr>
              <w:spacing w:line="0" w:lineRule="atLeast"/>
              <w:jc w:val="center"/>
              <w:rPr>
                <w:rFonts w:eastAsia="楷体_GB2312"/>
                <w:szCs w:val="21"/>
              </w:rPr>
            </w:pPr>
            <w:r>
              <w:rPr>
                <w:rFonts w:eastAsia="楷体_GB2312"/>
                <w:szCs w:val="21"/>
              </w:rPr>
              <w:t>产业集聚及配套状况</w:t>
            </w:r>
          </w:p>
        </w:tc>
        <w:tc>
          <w:tcPr>
            <w:tcW w:w="3169" w:type="dxa"/>
            <w:noWrap/>
            <w:vAlign w:val="center"/>
          </w:tcPr>
          <w:p w14:paraId="7FB9E1F3">
            <w:pPr>
              <w:jc w:val="center"/>
              <w:rPr>
                <w:rFonts w:eastAsia="楷体_GB2312"/>
                <w:szCs w:val="21"/>
              </w:rPr>
            </w:pPr>
            <w:r>
              <w:rPr>
                <w:rFonts w:eastAsia="楷体_GB2312"/>
                <w:szCs w:val="21"/>
              </w:rPr>
              <w:t>8.15</w:t>
            </w:r>
          </w:p>
        </w:tc>
      </w:tr>
      <w:tr w14:paraId="5431C17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0"/>
            <w:vAlign w:val="center"/>
          </w:tcPr>
          <w:p w14:paraId="37BE7B60">
            <w:pPr>
              <w:spacing w:line="0" w:lineRule="atLeast"/>
              <w:jc w:val="center"/>
              <w:rPr>
                <w:rFonts w:eastAsia="楷体_GB2312"/>
                <w:szCs w:val="21"/>
              </w:rPr>
            </w:pPr>
          </w:p>
        </w:tc>
        <w:tc>
          <w:tcPr>
            <w:tcW w:w="4664" w:type="dxa"/>
            <w:gridSpan w:val="3"/>
            <w:noWrap/>
            <w:vAlign w:val="center"/>
          </w:tcPr>
          <w:p w14:paraId="04CEC655">
            <w:pPr>
              <w:spacing w:line="0" w:lineRule="atLeast"/>
              <w:jc w:val="center"/>
              <w:rPr>
                <w:rFonts w:eastAsia="楷体_GB2312"/>
                <w:szCs w:val="21"/>
              </w:rPr>
            </w:pPr>
            <w:r>
              <w:rPr>
                <w:rFonts w:eastAsia="楷体_GB2312"/>
                <w:szCs w:val="21"/>
              </w:rPr>
              <w:t>城镇规划限制</w:t>
            </w:r>
          </w:p>
        </w:tc>
        <w:tc>
          <w:tcPr>
            <w:tcW w:w="3169" w:type="dxa"/>
            <w:noWrap/>
            <w:vAlign w:val="center"/>
          </w:tcPr>
          <w:p w14:paraId="0647A9C3">
            <w:pPr>
              <w:jc w:val="center"/>
              <w:rPr>
                <w:rFonts w:eastAsia="楷体_GB2312"/>
                <w:szCs w:val="21"/>
              </w:rPr>
            </w:pPr>
            <w:r>
              <w:rPr>
                <w:rFonts w:eastAsia="楷体_GB2312"/>
                <w:szCs w:val="21"/>
              </w:rPr>
              <w:t>4.28</w:t>
            </w:r>
          </w:p>
        </w:tc>
      </w:tr>
      <w:tr w14:paraId="76F6B2F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0"/>
            <w:vAlign w:val="center"/>
          </w:tcPr>
          <w:p w14:paraId="280A1659">
            <w:pPr>
              <w:spacing w:line="0" w:lineRule="atLeast"/>
              <w:jc w:val="center"/>
              <w:rPr>
                <w:rFonts w:eastAsia="楷体_GB2312"/>
                <w:szCs w:val="21"/>
              </w:rPr>
            </w:pPr>
          </w:p>
        </w:tc>
        <w:tc>
          <w:tcPr>
            <w:tcW w:w="4664" w:type="dxa"/>
            <w:gridSpan w:val="3"/>
            <w:noWrap/>
            <w:vAlign w:val="center"/>
          </w:tcPr>
          <w:p w14:paraId="038594B0">
            <w:pPr>
              <w:spacing w:line="0" w:lineRule="atLeast"/>
              <w:jc w:val="center"/>
              <w:rPr>
                <w:rFonts w:eastAsia="楷体_GB2312"/>
                <w:szCs w:val="21"/>
              </w:rPr>
            </w:pPr>
            <w:r>
              <w:rPr>
                <w:rFonts w:eastAsia="楷体_GB2312"/>
                <w:szCs w:val="21"/>
              </w:rPr>
              <w:t>其他区域因素状况</w:t>
            </w:r>
          </w:p>
        </w:tc>
        <w:tc>
          <w:tcPr>
            <w:tcW w:w="3169" w:type="dxa"/>
            <w:noWrap/>
            <w:vAlign w:val="center"/>
          </w:tcPr>
          <w:p w14:paraId="0348D482">
            <w:pPr>
              <w:jc w:val="center"/>
              <w:rPr>
                <w:rFonts w:eastAsia="楷体_GB2312"/>
                <w:szCs w:val="21"/>
              </w:rPr>
            </w:pPr>
            <w:r>
              <w:rPr>
                <w:rFonts w:eastAsia="楷体_GB2312"/>
                <w:szCs w:val="21"/>
              </w:rPr>
              <w:t>3.29</w:t>
            </w:r>
          </w:p>
        </w:tc>
      </w:tr>
      <w:tr w14:paraId="27EB8DE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restart"/>
            <w:noWrap/>
            <w:vAlign w:val="center"/>
          </w:tcPr>
          <w:p w14:paraId="435E58F0">
            <w:pPr>
              <w:spacing w:line="0" w:lineRule="atLeast"/>
              <w:jc w:val="center"/>
              <w:rPr>
                <w:rFonts w:eastAsia="楷体_GB2312"/>
                <w:szCs w:val="21"/>
              </w:rPr>
            </w:pPr>
            <w:r>
              <w:rPr>
                <w:rFonts w:eastAsia="楷体_GB2312"/>
                <w:szCs w:val="21"/>
              </w:rPr>
              <w:t>个</w:t>
            </w:r>
          </w:p>
          <w:p w14:paraId="58A9E02B">
            <w:pPr>
              <w:spacing w:line="0" w:lineRule="atLeast"/>
              <w:jc w:val="center"/>
              <w:rPr>
                <w:rFonts w:eastAsia="楷体_GB2312"/>
                <w:szCs w:val="21"/>
              </w:rPr>
            </w:pPr>
            <w:r>
              <w:rPr>
                <w:rFonts w:eastAsia="楷体_GB2312"/>
                <w:szCs w:val="21"/>
              </w:rPr>
              <w:t>别</w:t>
            </w:r>
          </w:p>
          <w:p w14:paraId="148644D6">
            <w:pPr>
              <w:spacing w:line="0" w:lineRule="atLeast"/>
              <w:jc w:val="center"/>
              <w:rPr>
                <w:rFonts w:eastAsia="楷体_GB2312"/>
                <w:szCs w:val="21"/>
              </w:rPr>
            </w:pPr>
            <w:r>
              <w:rPr>
                <w:rFonts w:eastAsia="楷体_GB2312"/>
                <w:szCs w:val="21"/>
              </w:rPr>
              <w:t>因</w:t>
            </w:r>
          </w:p>
          <w:p w14:paraId="1B37AC79">
            <w:pPr>
              <w:spacing w:line="0" w:lineRule="atLeast"/>
              <w:jc w:val="center"/>
              <w:rPr>
                <w:rFonts w:eastAsia="楷体_GB2312"/>
                <w:szCs w:val="21"/>
              </w:rPr>
            </w:pPr>
            <w:r>
              <w:rPr>
                <w:rFonts w:eastAsia="楷体_GB2312"/>
                <w:szCs w:val="21"/>
              </w:rPr>
              <w:t>素</w:t>
            </w:r>
          </w:p>
          <w:p w14:paraId="6653E054">
            <w:pPr>
              <w:spacing w:line="0" w:lineRule="atLeast"/>
              <w:jc w:val="center"/>
              <w:rPr>
                <w:rFonts w:eastAsia="楷体_GB2312"/>
                <w:szCs w:val="21"/>
              </w:rPr>
            </w:pPr>
          </w:p>
        </w:tc>
        <w:tc>
          <w:tcPr>
            <w:tcW w:w="4664" w:type="dxa"/>
            <w:gridSpan w:val="3"/>
            <w:noWrap/>
            <w:vAlign w:val="center"/>
          </w:tcPr>
          <w:p w14:paraId="182835E8">
            <w:pPr>
              <w:spacing w:line="0" w:lineRule="atLeast"/>
              <w:jc w:val="center"/>
              <w:rPr>
                <w:rFonts w:eastAsia="楷体_GB2312"/>
                <w:szCs w:val="21"/>
              </w:rPr>
            </w:pPr>
            <w:r>
              <w:rPr>
                <w:rFonts w:eastAsia="楷体_GB2312"/>
                <w:szCs w:val="21"/>
              </w:rPr>
              <w:t>宗地位置</w:t>
            </w:r>
          </w:p>
        </w:tc>
        <w:tc>
          <w:tcPr>
            <w:tcW w:w="3169" w:type="dxa"/>
            <w:noWrap/>
            <w:vAlign w:val="center"/>
          </w:tcPr>
          <w:p w14:paraId="351A523C">
            <w:pPr>
              <w:jc w:val="center"/>
              <w:rPr>
                <w:rFonts w:eastAsia="楷体_GB2312"/>
                <w:szCs w:val="21"/>
              </w:rPr>
            </w:pPr>
            <w:r>
              <w:rPr>
                <w:rFonts w:eastAsia="楷体_GB2312"/>
                <w:szCs w:val="21"/>
              </w:rPr>
              <w:t>4.88</w:t>
            </w:r>
          </w:p>
        </w:tc>
      </w:tr>
      <w:tr w14:paraId="546C024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ign w:val="center"/>
          </w:tcPr>
          <w:p w14:paraId="37568EE1">
            <w:pPr>
              <w:spacing w:line="0" w:lineRule="atLeast"/>
              <w:jc w:val="center"/>
              <w:rPr>
                <w:rFonts w:eastAsia="楷体_GB2312"/>
                <w:szCs w:val="21"/>
              </w:rPr>
            </w:pPr>
          </w:p>
        </w:tc>
        <w:tc>
          <w:tcPr>
            <w:tcW w:w="4664" w:type="dxa"/>
            <w:gridSpan w:val="3"/>
            <w:noWrap/>
            <w:vAlign w:val="center"/>
          </w:tcPr>
          <w:p w14:paraId="52BC139A">
            <w:pPr>
              <w:spacing w:line="0" w:lineRule="atLeast"/>
              <w:jc w:val="center"/>
              <w:rPr>
                <w:rFonts w:eastAsia="楷体_GB2312"/>
                <w:szCs w:val="21"/>
              </w:rPr>
            </w:pPr>
            <w:r>
              <w:rPr>
                <w:rFonts w:eastAsia="楷体_GB2312"/>
                <w:szCs w:val="21"/>
              </w:rPr>
              <w:t>宗地地基状况</w:t>
            </w:r>
          </w:p>
        </w:tc>
        <w:tc>
          <w:tcPr>
            <w:tcW w:w="3169" w:type="dxa"/>
            <w:noWrap/>
            <w:vAlign w:val="center"/>
          </w:tcPr>
          <w:p w14:paraId="32402124">
            <w:pPr>
              <w:jc w:val="center"/>
              <w:rPr>
                <w:rFonts w:eastAsia="楷体_GB2312"/>
                <w:szCs w:val="21"/>
              </w:rPr>
            </w:pPr>
            <w:r>
              <w:rPr>
                <w:rFonts w:eastAsia="楷体_GB2312"/>
                <w:szCs w:val="21"/>
              </w:rPr>
              <w:t>4.65</w:t>
            </w:r>
          </w:p>
        </w:tc>
      </w:tr>
      <w:tr w14:paraId="29E533C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ign w:val="center"/>
          </w:tcPr>
          <w:p w14:paraId="0ABE3CE5">
            <w:pPr>
              <w:spacing w:line="0" w:lineRule="atLeast"/>
              <w:jc w:val="center"/>
              <w:rPr>
                <w:rFonts w:eastAsia="楷体_GB2312"/>
                <w:szCs w:val="21"/>
              </w:rPr>
            </w:pPr>
          </w:p>
        </w:tc>
        <w:tc>
          <w:tcPr>
            <w:tcW w:w="4664" w:type="dxa"/>
            <w:gridSpan w:val="3"/>
            <w:noWrap/>
            <w:vAlign w:val="center"/>
          </w:tcPr>
          <w:p w14:paraId="705F3A7A">
            <w:pPr>
              <w:spacing w:line="0" w:lineRule="atLeast"/>
              <w:jc w:val="center"/>
              <w:rPr>
                <w:rFonts w:eastAsia="楷体_GB2312"/>
                <w:szCs w:val="21"/>
              </w:rPr>
            </w:pPr>
            <w:r>
              <w:rPr>
                <w:rFonts w:eastAsia="楷体_GB2312"/>
                <w:szCs w:val="21"/>
              </w:rPr>
              <w:t>宗地形状</w:t>
            </w:r>
          </w:p>
        </w:tc>
        <w:tc>
          <w:tcPr>
            <w:tcW w:w="3169" w:type="dxa"/>
            <w:noWrap/>
            <w:vAlign w:val="center"/>
          </w:tcPr>
          <w:p w14:paraId="4C085563">
            <w:pPr>
              <w:jc w:val="center"/>
              <w:rPr>
                <w:rFonts w:eastAsia="楷体_GB2312"/>
                <w:szCs w:val="21"/>
              </w:rPr>
            </w:pPr>
            <w:r>
              <w:rPr>
                <w:rFonts w:eastAsia="楷体_GB2312"/>
                <w:szCs w:val="21"/>
              </w:rPr>
              <w:t>4.12</w:t>
            </w:r>
          </w:p>
        </w:tc>
      </w:tr>
      <w:tr w14:paraId="34F65E0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ign w:val="center"/>
          </w:tcPr>
          <w:p w14:paraId="4332D3D9">
            <w:pPr>
              <w:spacing w:line="0" w:lineRule="atLeast"/>
              <w:jc w:val="center"/>
              <w:rPr>
                <w:rFonts w:eastAsia="楷体_GB2312"/>
                <w:szCs w:val="21"/>
              </w:rPr>
            </w:pPr>
          </w:p>
        </w:tc>
        <w:tc>
          <w:tcPr>
            <w:tcW w:w="4664" w:type="dxa"/>
            <w:gridSpan w:val="3"/>
            <w:noWrap/>
            <w:vAlign w:val="center"/>
          </w:tcPr>
          <w:p w14:paraId="4B634512">
            <w:pPr>
              <w:spacing w:line="0" w:lineRule="atLeast"/>
              <w:jc w:val="center"/>
              <w:rPr>
                <w:rFonts w:eastAsia="楷体_GB2312"/>
                <w:szCs w:val="21"/>
              </w:rPr>
            </w:pPr>
            <w:r>
              <w:rPr>
                <w:rFonts w:eastAsia="楷体_GB2312"/>
                <w:szCs w:val="21"/>
              </w:rPr>
              <w:t>宗地面积</w:t>
            </w:r>
          </w:p>
        </w:tc>
        <w:tc>
          <w:tcPr>
            <w:tcW w:w="3169" w:type="dxa"/>
            <w:noWrap/>
            <w:vAlign w:val="center"/>
          </w:tcPr>
          <w:p w14:paraId="20397534">
            <w:pPr>
              <w:jc w:val="center"/>
              <w:rPr>
                <w:rFonts w:eastAsia="楷体_GB2312"/>
                <w:szCs w:val="21"/>
              </w:rPr>
            </w:pPr>
            <w:r>
              <w:rPr>
                <w:rFonts w:eastAsia="楷体_GB2312"/>
                <w:szCs w:val="21"/>
              </w:rPr>
              <w:t>4.24</w:t>
            </w:r>
          </w:p>
        </w:tc>
      </w:tr>
      <w:tr w14:paraId="353A44A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ign w:val="center"/>
          </w:tcPr>
          <w:p w14:paraId="1AC68616">
            <w:pPr>
              <w:spacing w:line="0" w:lineRule="atLeast"/>
              <w:jc w:val="center"/>
              <w:rPr>
                <w:rFonts w:eastAsia="楷体_GB2312"/>
                <w:szCs w:val="21"/>
              </w:rPr>
            </w:pPr>
          </w:p>
        </w:tc>
        <w:tc>
          <w:tcPr>
            <w:tcW w:w="4664" w:type="dxa"/>
            <w:gridSpan w:val="3"/>
            <w:noWrap/>
            <w:vAlign w:val="center"/>
          </w:tcPr>
          <w:p w14:paraId="287C71DC">
            <w:pPr>
              <w:spacing w:line="0" w:lineRule="atLeast"/>
              <w:jc w:val="center"/>
              <w:rPr>
                <w:rFonts w:eastAsia="楷体_GB2312"/>
                <w:szCs w:val="21"/>
              </w:rPr>
            </w:pPr>
            <w:r>
              <w:rPr>
                <w:rFonts w:eastAsia="楷体_GB2312"/>
                <w:szCs w:val="21"/>
              </w:rPr>
              <w:t>临街状况</w:t>
            </w:r>
          </w:p>
        </w:tc>
        <w:tc>
          <w:tcPr>
            <w:tcW w:w="3169" w:type="dxa"/>
            <w:noWrap/>
            <w:vAlign w:val="center"/>
          </w:tcPr>
          <w:p w14:paraId="3E0B4EDD">
            <w:pPr>
              <w:jc w:val="center"/>
              <w:rPr>
                <w:rFonts w:eastAsia="楷体_GB2312"/>
                <w:szCs w:val="21"/>
              </w:rPr>
            </w:pPr>
            <w:r>
              <w:rPr>
                <w:rFonts w:eastAsia="楷体_GB2312"/>
                <w:szCs w:val="21"/>
              </w:rPr>
              <w:t>5.72</w:t>
            </w:r>
          </w:p>
        </w:tc>
      </w:tr>
      <w:tr w14:paraId="78E8C29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ign w:val="center"/>
          </w:tcPr>
          <w:p w14:paraId="6EC0FC6E">
            <w:pPr>
              <w:spacing w:line="0" w:lineRule="atLeast"/>
              <w:jc w:val="center"/>
              <w:rPr>
                <w:rFonts w:eastAsia="楷体_GB2312"/>
                <w:szCs w:val="21"/>
              </w:rPr>
            </w:pPr>
          </w:p>
        </w:tc>
        <w:tc>
          <w:tcPr>
            <w:tcW w:w="4664" w:type="dxa"/>
            <w:gridSpan w:val="3"/>
            <w:noWrap/>
            <w:vAlign w:val="center"/>
          </w:tcPr>
          <w:p w14:paraId="032CCD89">
            <w:pPr>
              <w:spacing w:line="0" w:lineRule="atLeast"/>
              <w:jc w:val="center"/>
              <w:rPr>
                <w:rFonts w:eastAsia="楷体_GB2312"/>
                <w:szCs w:val="21"/>
              </w:rPr>
            </w:pPr>
            <w:r>
              <w:rPr>
                <w:rFonts w:eastAsia="楷体_GB2312"/>
                <w:szCs w:val="21"/>
              </w:rPr>
              <w:t>宗地基础设施状况</w:t>
            </w:r>
          </w:p>
        </w:tc>
        <w:tc>
          <w:tcPr>
            <w:tcW w:w="3169" w:type="dxa"/>
            <w:noWrap/>
            <w:vAlign w:val="center"/>
          </w:tcPr>
          <w:p w14:paraId="298E74E2">
            <w:pPr>
              <w:jc w:val="center"/>
              <w:rPr>
                <w:rFonts w:eastAsia="楷体_GB2312"/>
                <w:szCs w:val="21"/>
              </w:rPr>
            </w:pPr>
            <w:r>
              <w:rPr>
                <w:rFonts w:eastAsia="楷体_GB2312"/>
                <w:szCs w:val="21"/>
              </w:rPr>
              <w:t>5.42</w:t>
            </w:r>
          </w:p>
        </w:tc>
      </w:tr>
      <w:tr w14:paraId="496B20F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ign w:val="center"/>
          </w:tcPr>
          <w:p w14:paraId="17171972">
            <w:pPr>
              <w:spacing w:line="0" w:lineRule="atLeast"/>
              <w:jc w:val="center"/>
              <w:rPr>
                <w:rFonts w:eastAsia="楷体_GB2312"/>
                <w:szCs w:val="21"/>
              </w:rPr>
            </w:pPr>
          </w:p>
        </w:tc>
        <w:tc>
          <w:tcPr>
            <w:tcW w:w="4664" w:type="dxa"/>
            <w:gridSpan w:val="3"/>
            <w:noWrap/>
            <w:vAlign w:val="center"/>
          </w:tcPr>
          <w:p w14:paraId="14F93984">
            <w:pPr>
              <w:spacing w:line="0" w:lineRule="atLeast"/>
              <w:jc w:val="center"/>
              <w:rPr>
                <w:rFonts w:eastAsia="楷体_GB2312"/>
                <w:szCs w:val="21"/>
              </w:rPr>
            </w:pPr>
            <w:r>
              <w:rPr>
                <w:rFonts w:eastAsia="楷体_GB2312"/>
                <w:szCs w:val="21"/>
              </w:rPr>
              <w:t>宗地利用状况</w:t>
            </w:r>
          </w:p>
        </w:tc>
        <w:tc>
          <w:tcPr>
            <w:tcW w:w="3169" w:type="dxa"/>
            <w:noWrap/>
            <w:vAlign w:val="center"/>
          </w:tcPr>
          <w:p w14:paraId="65D23843">
            <w:pPr>
              <w:jc w:val="center"/>
              <w:rPr>
                <w:rFonts w:eastAsia="楷体_GB2312"/>
                <w:szCs w:val="21"/>
              </w:rPr>
            </w:pPr>
            <w:r>
              <w:rPr>
                <w:rFonts w:eastAsia="楷体_GB2312"/>
                <w:szCs w:val="21"/>
              </w:rPr>
              <w:t>4.85</w:t>
            </w:r>
          </w:p>
        </w:tc>
      </w:tr>
      <w:tr w14:paraId="442F0EA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ign w:val="center"/>
          </w:tcPr>
          <w:p w14:paraId="07D059AB">
            <w:pPr>
              <w:spacing w:line="0" w:lineRule="atLeast"/>
              <w:jc w:val="center"/>
              <w:rPr>
                <w:rFonts w:eastAsia="楷体_GB2312"/>
                <w:szCs w:val="21"/>
              </w:rPr>
            </w:pPr>
          </w:p>
        </w:tc>
        <w:tc>
          <w:tcPr>
            <w:tcW w:w="4664" w:type="dxa"/>
            <w:gridSpan w:val="3"/>
            <w:noWrap/>
            <w:vAlign w:val="center"/>
          </w:tcPr>
          <w:p w14:paraId="1CA35926">
            <w:pPr>
              <w:spacing w:line="0" w:lineRule="atLeast"/>
              <w:jc w:val="center"/>
              <w:rPr>
                <w:rFonts w:eastAsia="楷体_GB2312"/>
                <w:szCs w:val="21"/>
              </w:rPr>
            </w:pPr>
            <w:r>
              <w:rPr>
                <w:rFonts w:eastAsia="楷体_GB2312"/>
                <w:szCs w:val="21"/>
              </w:rPr>
              <w:t>土地规划限制</w:t>
            </w:r>
          </w:p>
        </w:tc>
        <w:tc>
          <w:tcPr>
            <w:tcW w:w="3169" w:type="dxa"/>
            <w:noWrap/>
            <w:vAlign w:val="center"/>
          </w:tcPr>
          <w:p w14:paraId="47BF9364">
            <w:pPr>
              <w:jc w:val="center"/>
              <w:rPr>
                <w:rFonts w:eastAsia="楷体_GB2312"/>
                <w:szCs w:val="21"/>
              </w:rPr>
            </w:pPr>
            <w:r>
              <w:rPr>
                <w:rFonts w:eastAsia="楷体_GB2312"/>
                <w:szCs w:val="21"/>
              </w:rPr>
              <w:t>4.52</w:t>
            </w:r>
          </w:p>
        </w:tc>
      </w:tr>
      <w:tr w14:paraId="7CC2AD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ign w:val="center"/>
          </w:tcPr>
          <w:p w14:paraId="05C5A36F">
            <w:pPr>
              <w:spacing w:line="0" w:lineRule="atLeast"/>
              <w:jc w:val="center"/>
              <w:rPr>
                <w:rFonts w:eastAsia="楷体_GB2312"/>
                <w:szCs w:val="21"/>
              </w:rPr>
            </w:pPr>
          </w:p>
        </w:tc>
        <w:tc>
          <w:tcPr>
            <w:tcW w:w="4664" w:type="dxa"/>
            <w:gridSpan w:val="3"/>
            <w:noWrap w:val="0"/>
            <w:vAlign w:val="center"/>
          </w:tcPr>
          <w:p w14:paraId="1E63DFE0">
            <w:pPr>
              <w:spacing w:line="0" w:lineRule="atLeast"/>
              <w:jc w:val="center"/>
              <w:rPr>
                <w:rFonts w:eastAsia="楷体_GB2312"/>
                <w:szCs w:val="21"/>
              </w:rPr>
            </w:pPr>
            <w:r>
              <w:rPr>
                <w:rFonts w:eastAsia="楷体_GB2312"/>
                <w:szCs w:val="21"/>
              </w:rPr>
              <w:t>距对外交通设施距离</w:t>
            </w:r>
          </w:p>
        </w:tc>
        <w:tc>
          <w:tcPr>
            <w:tcW w:w="3169" w:type="dxa"/>
            <w:noWrap/>
            <w:vAlign w:val="center"/>
          </w:tcPr>
          <w:p w14:paraId="6FDF9A19">
            <w:pPr>
              <w:jc w:val="center"/>
              <w:rPr>
                <w:rFonts w:eastAsia="楷体_GB2312"/>
                <w:szCs w:val="21"/>
              </w:rPr>
            </w:pPr>
            <w:r>
              <w:rPr>
                <w:rFonts w:eastAsia="楷体_GB2312"/>
                <w:szCs w:val="21"/>
              </w:rPr>
              <w:t>6.02</w:t>
            </w:r>
          </w:p>
        </w:tc>
      </w:tr>
      <w:tr w14:paraId="14ACBB8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ign w:val="center"/>
          </w:tcPr>
          <w:p w14:paraId="7505D51A">
            <w:pPr>
              <w:spacing w:line="0" w:lineRule="atLeast"/>
              <w:jc w:val="center"/>
              <w:rPr>
                <w:rFonts w:eastAsia="楷体_GB2312"/>
                <w:szCs w:val="21"/>
              </w:rPr>
            </w:pPr>
          </w:p>
        </w:tc>
        <w:tc>
          <w:tcPr>
            <w:tcW w:w="4664" w:type="dxa"/>
            <w:gridSpan w:val="3"/>
            <w:noWrap/>
            <w:vAlign w:val="center"/>
          </w:tcPr>
          <w:p w14:paraId="21B69EF7">
            <w:pPr>
              <w:spacing w:line="0" w:lineRule="atLeast"/>
              <w:jc w:val="center"/>
              <w:rPr>
                <w:rFonts w:eastAsia="楷体_GB2312"/>
                <w:szCs w:val="21"/>
              </w:rPr>
            </w:pPr>
            <w:r>
              <w:rPr>
                <w:rFonts w:eastAsia="楷体_GB2312"/>
                <w:szCs w:val="21"/>
              </w:rPr>
              <w:t>其他个别因素状况</w:t>
            </w:r>
          </w:p>
        </w:tc>
        <w:tc>
          <w:tcPr>
            <w:tcW w:w="3169" w:type="dxa"/>
            <w:noWrap/>
            <w:vAlign w:val="center"/>
          </w:tcPr>
          <w:p w14:paraId="6231F945">
            <w:pPr>
              <w:jc w:val="center"/>
              <w:rPr>
                <w:rFonts w:eastAsia="楷体_GB2312"/>
                <w:szCs w:val="21"/>
              </w:rPr>
            </w:pPr>
            <w:r>
              <w:rPr>
                <w:rFonts w:eastAsia="楷体_GB2312"/>
                <w:szCs w:val="21"/>
              </w:rPr>
              <w:t>3.25</w:t>
            </w:r>
          </w:p>
        </w:tc>
      </w:tr>
      <w:tr w14:paraId="14892F9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903" w:type="dxa"/>
            <w:gridSpan w:val="4"/>
            <w:noWrap/>
            <w:vAlign w:val="center"/>
          </w:tcPr>
          <w:p w14:paraId="325ED9E0">
            <w:pPr>
              <w:spacing w:line="0" w:lineRule="atLeast"/>
              <w:jc w:val="center"/>
              <w:rPr>
                <w:rFonts w:eastAsia="楷体_GB2312"/>
                <w:szCs w:val="21"/>
              </w:rPr>
            </w:pPr>
            <w:r>
              <w:rPr>
                <w:rFonts w:eastAsia="楷体_GB2312"/>
                <w:szCs w:val="21"/>
              </w:rPr>
              <w:t>合   计</w:t>
            </w:r>
          </w:p>
        </w:tc>
        <w:tc>
          <w:tcPr>
            <w:tcW w:w="3169" w:type="dxa"/>
            <w:noWrap/>
            <w:vAlign w:val="center"/>
          </w:tcPr>
          <w:p w14:paraId="3CC261B9">
            <w:pPr>
              <w:spacing w:line="0" w:lineRule="atLeast"/>
              <w:jc w:val="center"/>
              <w:rPr>
                <w:rFonts w:eastAsia="楷体_GB2312"/>
                <w:szCs w:val="21"/>
              </w:rPr>
            </w:pPr>
            <w:r>
              <w:rPr>
                <w:rFonts w:eastAsia="楷体_GB2312"/>
                <w:szCs w:val="21"/>
              </w:rPr>
              <w:fldChar w:fldCharType="begin"/>
            </w:r>
            <w:r>
              <w:rPr>
                <w:rFonts w:eastAsia="楷体_GB2312"/>
                <w:szCs w:val="21"/>
              </w:rPr>
              <w:instrText xml:space="preserve"> =SUM(ABOVE) </w:instrText>
            </w:r>
            <w:r>
              <w:rPr>
                <w:rFonts w:eastAsia="楷体_GB2312"/>
                <w:szCs w:val="21"/>
              </w:rPr>
              <w:fldChar w:fldCharType="separate"/>
            </w:r>
            <w:r>
              <w:rPr>
                <w:rFonts w:eastAsia="楷体_GB2312"/>
                <w:szCs w:val="21"/>
              </w:rPr>
              <w:t>100</w:t>
            </w:r>
            <w:r>
              <w:rPr>
                <w:rFonts w:eastAsia="楷体_GB2312"/>
                <w:szCs w:val="21"/>
              </w:rPr>
              <w:fldChar w:fldCharType="end"/>
            </w:r>
          </w:p>
        </w:tc>
      </w:tr>
    </w:tbl>
    <w:p w14:paraId="6F04F080">
      <w:pPr>
        <w:pStyle w:val="20"/>
        <w:spacing w:before="120" w:beforeLines="50" w:line="480" w:lineRule="exact"/>
        <w:jc w:val="center"/>
        <w:rPr>
          <w:rFonts w:ascii="Times New Roman" w:hAnsi="Times New Roman" w:eastAsia="黑体" w:cs="Times New Roman"/>
          <w:sz w:val="28"/>
        </w:rPr>
      </w:pPr>
    </w:p>
    <w:p w14:paraId="48528247">
      <w:pPr>
        <w:pStyle w:val="20"/>
        <w:spacing w:line="480" w:lineRule="exact"/>
        <w:jc w:val="center"/>
        <w:rPr>
          <w:rFonts w:ascii="Times New Roman" w:hAnsi="Times New Roman" w:eastAsia="黑体" w:cs="Times New Roman"/>
          <w:sz w:val="28"/>
        </w:rPr>
      </w:pPr>
      <w:r>
        <w:rPr>
          <w:rFonts w:ascii="Times New Roman" w:hAnsi="Times New Roman" w:eastAsia="黑体" w:cs="Times New Roman"/>
          <w:sz w:val="28"/>
        </w:rPr>
        <w:br w:type="page"/>
      </w:r>
      <w:r>
        <w:rPr>
          <w:rFonts w:ascii="Times New Roman" w:hAnsi="Times New Roman" w:eastAsia="黑体" w:cs="Times New Roman"/>
          <w:sz w:val="28"/>
        </w:rPr>
        <w:t>表2-9-4  埇桥区</w:t>
      </w:r>
      <w:r>
        <w:rPr>
          <w:rFonts w:ascii="Times New Roman" w:hAnsi="Times New Roman" w:eastAsia="黑体" w:cs="Times New Roman"/>
          <w:sz w:val="28"/>
          <w:szCs w:val="20"/>
        </w:rPr>
        <w:t>符离镇、大泽乡镇、曹村镇</w:t>
      </w:r>
      <w:r>
        <w:rPr>
          <w:rFonts w:ascii="Times New Roman" w:hAnsi="Times New Roman" w:eastAsia="黑体" w:cs="Times New Roman"/>
          <w:sz w:val="28"/>
        </w:rPr>
        <w:t>公共管理与公共服务用地宗地地价影响因素权重表</w:t>
      </w:r>
    </w:p>
    <w:tbl>
      <w:tblPr>
        <w:tblStyle w:val="38"/>
        <w:tblW w:w="9072" w:type="dxa"/>
        <w:tblInd w:w="93" w:type="dxa"/>
        <w:tblLayout w:type="autofit"/>
        <w:tblCellMar>
          <w:top w:w="0" w:type="dxa"/>
          <w:left w:w="108" w:type="dxa"/>
          <w:bottom w:w="0" w:type="dxa"/>
          <w:right w:w="108" w:type="dxa"/>
        </w:tblCellMar>
      </w:tblPr>
      <w:tblGrid>
        <w:gridCol w:w="1008"/>
        <w:gridCol w:w="1417"/>
        <w:gridCol w:w="1418"/>
        <w:gridCol w:w="1984"/>
        <w:gridCol w:w="3245"/>
      </w:tblGrid>
      <w:tr w14:paraId="4543501F">
        <w:tblPrEx>
          <w:tblCellMar>
            <w:top w:w="0" w:type="dxa"/>
            <w:left w:w="108" w:type="dxa"/>
            <w:bottom w:w="0" w:type="dxa"/>
            <w:right w:w="108" w:type="dxa"/>
          </w:tblCellMar>
        </w:tblPrEx>
        <w:trPr>
          <w:trHeight w:val="454" w:hRule="exact"/>
        </w:trPr>
        <w:tc>
          <w:tcPr>
            <w:tcW w:w="5827" w:type="dxa"/>
            <w:gridSpan w:val="4"/>
            <w:tcBorders>
              <w:top w:val="single" w:color="auto" w:sz="4" w:space="0"/>
              <w:left w:val="single" w:color="auto" w:sz="4" w:space="0"/>
              <w:bottom w:val="single" w:color="auto" w:sz="4" w:space="0"/>
              <w:right w:val="single" w:color="auto" w:sz="4" w:space="0"/>
            </w:tcBorders>
            <w:noWrap/>
            <w:vAlign w:val="center"/>
          </w:tcPr>
          <w:p w14:paraId="59CDA99F">
            <w:pPr>
              <w:spacing w:line="0" w:lineRule="atLeast"/>
              <w:jc w:val="center"/>
              <w:rPr>
                <w:rFonts w:eastAsia="楷体_GB2312"/>
                <w:szCs w:val="21"/>
              </w:rPr>
            </w:pPr>
            <w:r>
              <w:rPr>
                <w:rFonts w:eastAsia="楷体_GB2312"/>
                <w:szCs w:val="21"/>
              </w:rPr>
              <w:t>影响因素</w:t>
            </w:r>
          </w:p>
        </w:tc>
        <w:tc>
          <w:tcPr>
            <w:tcW w:w="3245" w:type="dxa"/>
            <w:tcBorders>
              <w:top w:val="single" w:color="auto" w:sz="4" w:space="0"/>
              <w:left w:val="single" w:color="auto" w:sz="4" w:space="0"/>
              <w:bottom w:val="single" w:color="auto" w:sz="4" w:space="0"/>
              <w:right w:val="single" w:color="auto" w:sz="4" w:space="0"/>
            </w:tcBorders>
            <w:noWrap w:val="0"/>
            <w:vAlign w:val="center"/>
          </w:tcPr>
          <w:p w14:paraId="4EEFF2FB">
            <w:pPr>
              <w:spacing w:line="0" w:lineRule="atLeast"/>
              <w:jc w:val="center"/>
              <w:rPr>
                <w:rFonts w:eastAsia="楷体_GB2312"/>
                <w:szCs w:val="21"/>
              </w:rPr>
            </w:pPr>
            <w:r>
              <w:rPr>
                <w:rFonts w:eastAsia="楷体_GB2312"/>
                <w:szCs w:val="21"/>
              </w:rPr>
              <w:t>权重</w:t>
            </w:r>
          </w:p>
        </w:tc>
      </w:tr>
      <w:tr w14:paraId="0AC77352">
        <w:tblPrEx>
          <w:tblCellMar>
            <w:top w:w="0" w:type="dxa"/>
            <w:left w:w="108" w:type="dxa"/>
            <w:bottom w:w="0" w:type="dxa"/>
            <w:right w:w="108" w:type="dxa"/>
          </w:tblCellMar>
        </w:tblPrEx>
        <w:trPr>
          <w:trHeight w:val="454" w:hRule="exact"/>
        </w:trPr>
        <w:tc>
          <w:tcPr>
            <w:tcW w:w="1008" w:type="dxa"/>
            <w:vMerge w:val="restart"/>
            <w:tcBorders>
              <w:top w:val="nil"/>
              <w:left w:val="single" w:color="auto" w:sz="4" w:space="0"/>
              <w:bottom w:val="single" w:color="auto" w:sz="4" w:space="0"/>
              <w:right w:val="single" w:color="auto" w:sz="4" w:space="0"/>
            </w:tcBorders>
            <w:noWrap/>
            <w:vAlign w:val="center"/>
          </w:tcPr>
          <w:p w14:paraId="6F99A036">
            <w:pPr>
              <w:spacing w:line="0" w:lineRule="atLeast"/>
              <w:jc w:val="center"/>
              <w:rPr>
                <w:rFonts w:eastAsia="楷体_GB2312"/>
                <w:szCs w:val="21"/>
              </w:rPr>
            </w:pPr>
            <w:r>
              <w:rPr>
                <w:rFonts w:eastAsia="楷体_GB2312"/>
                <w:szCs w:val="21"/>
              </w:rPr>
              <w:t>区</w:t>
            </w:r>
          </w:p>
          <w:p w14:paraId="44634DFC">
            <w:pPr>
              <w:spacing w:line="0" w:lineRule="atLeast"/>
              <w:jc w:val="center"/>
              <w:rPr>
                <w:rFonts w:eastAsia="楷体_GB2312"/>
                <w:szCs w:val="21"/>
              </w:rPr>
            </w:pPr>
            <w:r>
              <w:rPr>
                <w:rFonts w:eastAsia="楷体_GB2312"/>
                <w:szCs w:val="21"/>
              </w:rPr>
              <w:t>域</w:t>
            </w:r>
          </w:p>
          <w:p w14:paraId="3E950C59">
            <w:pPr>
              <w:spacing w:line="0" w:lineRule="atLeast"/>
              <w:jc w:val="center"/>
              <w:rPr>
                <w:rFonts w:eastAsia="楷体_GB2312"/>
                <w:szCs w:val="21"/>
              </w:rPr>
            </w:pPr>
            <w:r>
              <w:rPr>
                <w:rFonts w:eastAsia="楷体_GB2312"/>
                <w:szCs w:val="21"/>
              </w:rPr>
              <w:t>因</w:t>
            </w:r>
          </w:p>
          <w:p w14:paraId="6C5D68F6">
            <w:pPr>
              <w:spacing w:line="0" w:lineRule="atLeast"/>
              <w:jc w:val="center"/>
              <w:rPr>
                <w:rFonts w:eastAsia="楷体_GB2312"/>
                <w:szCs w:val="21"/>
              </w:rPr>
            </w:pPr>
            <w:r>
              <w:rPr>
                <w:rFonts w:eastAsia="楷体_GB2312"/>
                <w:szCs w:val="21"/>
              </w:rPr>
              <w:t>素</w:t>
            </w:r>
          </w:p>
        </w:tc>
        <w:tc>
          <w:tcPr>
            <w:tcW w:w="4819" w:type="dxa"/>
            <w:gridSpan w:val="3"/>
            <w:tcBorders>
              <w:top w:val="single" w:color="auto" w:sz="4" w:space="0"/>
              <w:left w:val="nil"/>
              <w:bottom w:val="single" w:color="auto" w:sz="4" w:space="0"/>
              <w:right w:val="single" w:color="auto" w:sz="4" w:space="0"/>
            </w:tcBorders>
            <w:noWrap/>
            <w:vAlign w:val="center"/>
          </w:tcPr>
          <w:p w14:paraId="194370EF">
            <w:pPr>
              <w:spacing w:line="0" w:lineRule="atLeast"/>
              <w:jc w:val="center"/>
              <w:rPr>
                <w:rFonts w:eastAsia="楷体_GB2312"/>
                <w:szCs w:val="21"/>
              </w:rPr>
            </w:pPr>
            <w:r>
              <w:rPr>
                <w:rFonts w:eastAsia="楷体_GB2312"/>
                <w:szCs w:val="21"/>
              </w:rPr>
              <w:t>区域在镇区中的位置</w:t>
            </w:r>
          </w:p>
        </w:tc>
        <w:tc>
          <w:tcPr>
            <w:tcW w:w="3245" w:type="dxa"/>
            <w:tcBorders>
              <w:top w:val="single" w:color="auto" w:sz="4" w:space="0"/>
              <w:left w:val="nil"/>
              <w:bottom w:val="single" w:color="auto" w:sz="4" w:space="0"/>
              <w:right w:val="single" w:color="auto" w:sz="4" w:space="0"/>
            </w:tcBorders>
            <w:noWrap w:val="0"/>
            <w:vAlign w:val="center"/>
          </w:tcPr>
          <w:p w14:paraId="153E125E">
            <w:pPr>
              <w:jc w:val="center"/>
              <w:rPr>
                <w:rFonts w:eastAsia="楷体_GB2312"/>
                <w:szCs w:val="21"/>
              </w:rPr>
            </w:pPr>
            <w:r>
              <w:rPr>
                <w:rFonts w:eastAsia="楷体_GB2312"/>
                <w:szCs w:val="21"/>
              </w:rPr>
              <w:t>5.95</w:t>
            </w:r>
          </w:p>
        </w:tc>
      </w:tr>
      <w:tr w14:paraId="11901FD7">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1205A964">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59A1B6C5">
            <w:pPr>
              <w:spacing w:line="0" w:lineRule="atLeast"/>
              <w:jc w:val="center"/>
              <w:rPr>
                <w:rFonts w:eastAsia="楷体_GB2312"/>
                <w:szCs w:val="21"/>
              </w:rPr>
            </w:pPr>
            <w:r>
              <w:rPr>
                <w:rFonts w:eastAsia="楷体_GB2312"/>
                <w:szCs w:val="21"/>
              </w:rPr>
              <w:t>商服繁华程度</w:t>
            </w:r>
          </w:p>
        </w:tc>
        <w:tc>
          <w:tcPr>
            <w:tcW w:w="3245" w:type="dxa"/>
            <w:tcBorders>
              <w:top w:val="single" w:color="auto" w:sz="4" w:space="0"/>
              <w:left w:val="nil"/>
              <w:bottom w:val="single" w:color="auto" w:sz="4" w:space="0"/>
              <w:right w:val="single" w:color="auto" w:sz="4" w:space="0"/>
            </w:tcBorders>
            <w:noWrap w:val="0"/>
            <w:vAlign w:val="center"/>
          </w:tcPr>
          <w:p w14:paraId="0C6E614F">
            <w:pPr>
              <w:jc w:val="center"/>
              <w:rPr>
                <w:rFonts w:eastAsia="楷体_GB2312"/>
                <w:szCs w:val="21"/>
              </w:rPr>
            </w:pPr>
            <w:r>
              <w:rPr>
                <w:rFonts w:eastAsia="楷体_GB2312"/>
                <w:szCs w:val="21"/>
              </w:rPr>
              <w:t>5.41</w:t>
            </w:r>
          </w:p>
        </w:tc>
      </w:tr>
      <w:tr w14:paraId="72941773">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3E62F3EC">
            <w:pPr>
              <w:spacing w:line="0" w:lineRule="atLeast"/>
              <w:jc w:val="center"/>
              <w:rPr>
                <w:rFonts w:eastAsia="楷体_GB2312"/>
                <w:szCs w:val="21"/>
              </w:rPr>
            </w:pPr>
          </w:p>
        </w:tc>
        <w:tc>
          <w:tcPr>
            <w:tcW w:w="1417" w:type="dxa"/>
            <w:vMerge w:val="restart"/>
            <w:tcBorders>
              <w:top w:val="nil"/>
              <w:left w:val="single" w:color="auto" w:sz="4" w:space="0"/>
              <w:bottom w:val="single" w:color="auto" w:sz="4" w:space="0"/>
              <w:right w:val="single" w:color="auto" w:sz="4" w:space="0"/>
            </w:tcBorders>
            <w:noWrap/>
            <w:vAlign w:val="center"/>
          </w:tcPr>
          <w:p w14:paraId="607E5671">
            <w:pPr>
              <w:spacing w:line="0" w:lineRule="atLeast"/>
              <w:jc w:val="center"/>
              <w:rPr>
                <w:rFonts w:eastAsia="楷体_GB2312"/>
                <w:szCs w:val="21"/>
              </w:rPr>
            </w:pPr>
            <w:r>
              <w:rPr>
                <w:rFonts w:eastAsia="楷体_GB2312"/>
                <w:szCs w:val="21"/>
              </w:rPr>
              <w:t>交通状况</w:t>
            </w:r>
          </w:p>
        </w:tc>
        <w:tc>
          <w:tcPr>
            <w:tcW w:w="1418" w:type="dxa"/>
            <w:vMerge w:val="restart"/>
            <w:tcBorders>
              <w:top w:val="nil"/>
              <w:left w:val="single" w:color="auto" w:sz="4" w:space="0"/>
              <w:bottom w:val="single" w:color="auto" w:sz="4" w:space="0"/>
              <w:right w:val="single" w:color="auto" w:sz="4" w:space="0"/>
            </w:tcBorders>
            <w:noWrap/>
            <w:vAlign w:val="center"/>
          </w:tcPr>
          <w:p w14:paraId="2744B1EE">
            <w:pPr>
              <w:spacing w:line="0" w:lineRule="atLeast"/>
              <w:jc w:val="center"/>
              <w:rPr>
                <w:rFonts w:eastAsia="楷体_GB2312"/>
                <w:szCs w:val="21"/>
              </w:rPr>
            </w:pPr>
            <w:r>
              <w:rPr>
                <w:rFonts w:eastAsia="楷体_GB2312"/>
                <w:szCs w:val="21"/>
              </w:rPr>
              <w:t>道路状况</w:t>
            </w:r>
          </w:p>
        </w:tc>
        <w:tc>
          <w:tcPr>
            <w:tcW w:w="1984" w:type="dxa"/>
            <w:tcBorders>
              <w:top w:val="nil"/>
              <w:left w:val="nil"/>
              <w:bottom w:val="single" w:color="auto" w:sz="4" w:space="0"/>
              <w:right w:val="single" w:color="auto" w:sz="4" w:space="0"/>
            </w:tcBorders>
            <w:noWrap/>
            <w:vAlign w:val="center"/>
          </w:tcPr>
          <w:p w14:paraId="219339E5">
            <w:pPr>
              <w:spacing w:line="0" w:lineRule="atLeast"/>
              <w:jc w:val="center"/>
              <w:rPr>
                <w:rFonts w:eastAsia="楷体_GB2312"/>
                <w:szCs w:val="21"/>
              </w:rPr>
            </w:pPr>
            <w:r>
              <w:rPr>
                <w:rFonts w:eastAsia="楷体_GB2312"/>
                <w:szCs w:val="21"/>
              </w:rPr>
              <w:t>道路类型</w:t>
            </w:r>
          </w:p>
        </w:tc>
        <w:tc>
          <w:tcPr>
            <w:tcW w:w="3245" w:type="dxa"/>
            <w:tcBorders>
              <w:top w:val="nil"/>
              <w:left w:val="nil"/>
              <w:bottom w:val="single" w:color="auto" w:sz="4" w:space="0"/>
              <w:right w:val="single" w:color="auto" w:sz="4" w:space="0"/>
            </w:tcBorders>
            <w:noWrap w:val="0"/>
            <w:vAlign w:val="center"/>
          </w:tcPr>
          <w:p w14:paraId="394208E0">
            <w:pPr>
              <w:jc w:val="center"/>
              <w:rPr>
                <w:rFonts w:eastAsia="楷体_GB2312"/>
                <w:szCs w:val="21"/>
              </w:rPr>
            </w:pPr>
            <w:r>
              <w:rPr>
                <w:rFonts w:eastAsia="楷体_GB2312"/>
                <w:szCs w:val="21"/>
              </w:rPr>
              <w:t>4.85</w:t>
            </w:r>
          </w:p>
        </w:tc>
      </w:tr>
      <w:tr w14:paraId="4111AB24">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040FB02A">
            <w:pPr>
              <w:spacing w:line="0" w:lineRule="atLeast"/>
              <w:jc w:val="center"/>
              <w:rPr>
                <w:rFonts w:eastAsia="楷体_GB2312"/>
                <w:szCs w:val="21"/>
              </w:rPr>
            </w:pPr>
          </w:p>
        </w:tc>
        <w:tc>
          <w:tcPr>
            <w:tcW w:w="1417" w:type="dxa"/>
            <w:vMerge w:val="continue"/>
            <w:tcBorders>
              <w:top w:val="nil"/>
              <w:left w:val="single" w:color="auto" w:sz="4" w:space="0"/>
              <w:bottom w:val="single" w:color="auto" w:sz="4" w:space="0"/>
              <w:right w:val="single" w:color="auto" w:sz="4" w:space="0"/>
            </w:tcBorders>
            <w:noWrap w:val="0"/>
            <w:vAlign w:val="center"/>
          </w:tcPr>
          <w:p w14:paraId="6BC36C94">
            <w:pPr>
              <w:spacing w:line="0" w:lineRule="atLeast"/>
              <w:jc w:val="center"/>
              <w:rPr>
                <w:rFonts w:eastAsia="楷体_GB2312"/>
                <w:szCs w:val="21"/>
              </w:rPr>
            </w:pPr>
          </w:p>
        </w:tc>
        <w:tc>
          <w:tcPr>
            <w:tcW w:w="1418" w:type="dxa"/>
            <w:vMerge w:val="continue"/>
            <w:tcBorders>
              <w:top w:val="nil"/>
              <w:left w:val="single" w:color="auto" w:sz="4" w:space="0"/>
              <w:bottom w:val="single" w:color="auto" w:sz="4" w:space="0"/>
              <w:right w:val="single" w:color="auto" w:sz="4" w:space="0"/>
            </w:tcBorders>
            <w:noWrap w:val="0"/>
            <w:vAlign w:val="center"/>
          </w:tcPr>
          <w:p w14:paraId="2F839A18">
            <w:pPr>
              <w:spacing w:line="0" w:lineRule="atLeast"/>
              <w:jc w:val="center"/>
              <w:rPr>
                <w:rFonts w:eastAsia="楷体_GB2312"/>
                <w:szCs w:val="21"/>
              </w:rPr>
            </w:pPr>
          </w:p>
        </w:tc>
        <w:tc>
          <w:tcPr>
            <w:tcW w:w="1984" w:type="dxa"/>
            <w:tcBorders>
              <w:top w:val="nil"/>
              <w:left w:val="nil"/>
              <w:bottom w:val="single" w:color="auto" w:sz="4" w:space="0"/>
              <w:right w:val="single" w:color="auto" w:sz="4" w:space="0"/>
            </w:tcBorders>
            <w:noWrap/>
            <w:vAlign w:val="center"/>
          </w:tcPr>
          <w:p w14:paraId="7BD578DE">
            <w:pPr>
              <w:spacing w:line="0" w:lineRule="atLeast"/>
              <w:jc w:val="center"/>
              <w:rPr>
                <w:rFonts w:eastAsia="楷体_GB2312"/>
                <w:szCs w:val="21"/>
              </w:rPr>
            </w:pPr>
            <w:r>
              <w:rPr>
                <w:rFonts w:eastAsia="楷体_GB2312"/>
                <w:szCs w:val="21"/>
              </w:rPr>
              <w:t>道路等级</w:t>
            </w:r>
          </w:p>
        </w:tc>
        <w:tc>
          <w:tcPr>
            <w:tcW w:w="3245" w:type="dxa"/>
            <w:tcBorders>
              <w:top w:val="nil"/>
              <w:left w:val="nil"/>
              <w:bottom w:val="single" w:color="auto" w:sz="4" w:space="0"/>
              <w:right w:val="single" w:color="auto" w:sz="4" w:space="0"/>
            </w:tcBorders>
            <w:noWrap w:val="0"/>
            <w:vAlign w:val="center"/>
          </w:tcPr>
          <w:p w14:paraId="27A8827A">
            <w:pPr>
              <w:jc w:val="center"/>
              <w:rPr>
                <w:rFonts w:eastAsia="楷体_GB2312"/>
                <w:szCs w:val="21"/>
              </w:rPr>
            </w:pPr>
            <w:r>
              <w:rPr>
                <w:rFonts w:eastAsia="楷体_GB2312"/>
                <w:szCs w:val="21"/>
              </w:rPr>
              <w:t>4.52</w:t>
            </w:r>
          </w:p>
        </w:tc>
      </w:tr>
      <w:tr w14:paraId="6CF09970">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3658B24A">
            <w:pPr>
              <w:spacing w:line="0" w:lineRule="atLeast"/>
              <w:jc w:val="center"/>
              <w:rPr>
                <w:rFonts w:eastAsia="楷体_GB2312"/>
                <w:szCs w:val="21"/>
              </w:rPr>
            </w:pPr>
          </w:p>
        </w:tc>
        <w:tc>
          <w:tcPr>
            <w:tcW w:w="1417" w:type="dxa"/>
            <w:vMerge w:val="continue"/>
            <w:tcBorders>
              <w:top w:val="nil"/>
              <w:left w:val="single" w:color="auto" w:sz="4" w:space="0"/>
              <w:bottom w:val="single" w:color="auto" w:sz="4" w:space="0"/>
              <w:right w:val="single" w:color="auto" w:sz="4" w:space="0"/>
            </w:tcBorders>
            <w:noWrap w:val="0"/>
            <w:vAlign w:val="center"/>
          </w:tcPr>
          <w:p w14:paraId="3A54CA12">
            <w:pPr>
              <w:spacing w:line="0" w:lineRule="atLeast"/>
              <w:jc w:val="center"/>
              <w:rPr>
                <w:rFonts w:eastAsia="楷体_GB2312"/>
                <w:szCs w:val="21"/>
              </w:rPr>
            </w:pPr>
          </w:p>
        </w:tc>
        <w:tc>
          <w:tcPr>
            <w:tcW w:w="3402" w:type="dxa"/>
            <w:gridSpan w:val="2"/>
            <w:tcBorders>
              <w:top w:val="single" w:color="auto" w:sz="4" w:space="0"/>
              <w:left w:val="nil"/>
              <w:bottom w:val="single" w:color="auto" w:sz="4" w:space="0"/>
              <w:right w:val="single" w:color="auto" w:sz="4" w:space="0"/>
            </w:tcBorders>
            <w:noWrap/>
            <w:vAlign w:val="center"/>
          </w:tcPr>
          <w:p w14:paraId="0D113F15">
            <w:pPr>
              <w:spacing w:line="0" w:lineRule="atLeast"/>
              <w:jc w:val="center"/>
              <w:rPr>
                <w:rFonts w:eastAsia="楷体_GB2312"/>
                <w:szCs w:val="21"/>
              </w:rPr>
            </w:pPr>
            <w:r>
              <w:rPr>
                <w:rFonts w:eastAsia="楷体_GB2312"/>
                <w:szCs w:val="21"/>
              </w:rPr>
              <w:t>交通便捷程度</w:t>
            </w:r>
          </w:p>
        </w:tc>
        <w:tc>
          <w:tcPr>
            <w:tcW w:w="3245" w:type="dxa"/>
            <w:tcBorders>
              <w:top w:val="single" w:color="auto" w:sz="4" w:space="0"/>
              <w:left w:val="nil"/>
              <w:bottom w:val="single" w:color="auto" w:sz="4" w:space="0"/>
              <w:right w:val="single" w:color="auto" w:sz="4" w:space="0"/>
            </w:tcBorders>
            <w:noWrap w:val="0"/>
            <w:vAlign w:val="center"/>
          </w:tcPr>
          <w:p w14:paraId="45291D9B">
            <w:pPr>
              <w:spacing w:line="0" w:lineRule="atLeast"/>
              <w:jc w:val="center"/>
              <w:rPr>
                <w:rFonts w:eastAsia="楷体_GB2312"/>
                <w:szCs w:val="21"/>
              </w:rPr>
            </w:pPr>
            <w:r>
              <w:rPr>
                <w:rFonts w:eastAsia="楷体_GB2312"/>
                <w:szCs w:val="21"/>
              </w:rPr>
              <w:t>5.15</w:t>
            </w:r>
          </w:p>
        </w:tc>
      </w:tr>
      <w:tr w14:paraId="33806C89">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06E0F736">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053B933F">
            <w:pPr>
              <w:spacing w:line="0" w:lineRule="atLeast"/>
              <w:jc w:val="center"/>
              <w:rPr>
                <w:rFonts w:eastAsia="楷体_GB2312"/>
                <w:szCs w:val="21"/>
              </w:rPr>
            </w:pPr>
            <w:r>
              <w:rPr>
                <w:rFonts w:eastAsia="楷体_GB2312"/>
                <w:szCs w:val="21"/>
              </w:rPr>
              <w:t>基础设施状况</w:t>
            </w:r>
          </w:p>
        </w:tc>
        <w:tc>
          <w:tcPr>
            <w:tcW w:w="3245" w:type="dxa"/>
            <w:tcBorders>
              <w:top w:val="single" w:color="auto" w:sz="4" w:space="0"/>
              <w:left w:val="nil"/>
              <w:bottom w:val="single" w:color="auto" w:sz="4" w:space="0"/>
              <w:right w:val="single" w:color="auto" w:sz="4" w:space="0"/>
            </w:tcBorders>
            <w:noWrap w:val="0"/>
            <w:vAlign w:val="center"/>
          </w:tcPr>
          <w:p w14:paraId="4A1D363D">
            <w:pPr>
              <w:jc w:val="center"/>
              <w:rPr>
                <w:rFonts w:eastAsia="楷体_GB2312"/>
                <w:szCs w:val="21"/>
              </w:rPr>
            </w:pPr>
            <w:r>
              <w:rPr>
                <w:rFonts w:eastAsia="楷体_GB2312"/>
                <w:szCs w:val="21"/>
              </w:rPr>
              <w:t>5.45</w:t>
            </w:r>
          </w:p>
        </w:tc>
      </w:tr>
      <w:tr w14:paraId="4330EC1B">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448BDC3F">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12C8F004">
            <w:pPr>
              <w:spacing w:line="0" w:lineRule="atLeast"/>
              <w:jc w:val="center"/>
              <w:rPr>
                <w:rFonts w:eastAsia="楷体_GB2312"/>
                <w:szCs w:val="21"/>
              </w:rPr>
            </w:pPr>
            <w:r>
              <w:rPr>
                <w:rFonts w:eastAsia="楷体_GB2312"/>
                <w:szCs w:val="21"/>
              </w:rPr>
              <w:t>公用设施条件</w:t>
            </w:r>
          </w:p>
        </w:tc>
        <w:tc>
          <w:tcPr>
            <w:tcW w:w="3245" w:type="dxa"/>
            <w:tcBorders>
              <w:top w:val="single" w:color="auto" w:sz="4" w:space="0"/>
              <w:left w:val="nil"/>
              <w:bottom w:val="single" w:color="auto" w:sz="4" w:space="0"/>
              <w:right w:val="single" w:color="auto" w:sz="4" w:space="0"/>
            </w:tcBorders>
            <w:noWrap w:val="0"/>
            <w:vAlign w:val="center"/>
          </w:tcPr>
          <w:p w14:paraId="5F609B84">
            <w:pPr>
              <w:jc w:val="center"/>
              <w:rPr>
                <w:rFonts w:eastAsia="楷体_GB2312"/>
                <w:szCs w:val="21"/>
              </w:rPr>
            </w:pPr>
            <w:r>
              <w:rPr>
                <w:rFonts w:eastAsia="楷体_GB2312"/>
                <w:szCs w:val="21"/>
              </w:rPr>
              <w:t>6.03</w:t>
            </w:r>
          </w:p>
        </w:tc>
      </w:tr>
      <w:tr w14:paraId="00BD9A7B">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5A203317">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58F940DF">
            <w:pPr>
              <w:spacing w:line="0" w:lineRule="atLeast"/>
              <w:jc w:val="center"/>
              <w:rPr>
                <w:rFonts w:eastAsia="楷体_GB2312"/>
                <w:szCs w:val="21"/>
              </w:rPr>
            </w:pPr>
            <w:r>
              <w:rPr>
                <w:rFonts w:eastAsia="楷体_GB2312"/>
                <w:szCs w:val="21"/>
              </w:rPr>
              <w:t>城镇规划限制</w:t>
            </w:r>
          </w:p>
        </w:tc>
        <w:tc>
          <w:tcPr>
            <w:tcW w:w="3245" w:type="dxa"/>
            <w:tcBorders>
              <w:top w:val="single" w:color="auto" w:sz="4" w:space="0"/>
              <w:left w:val="nil"/>
              <w:bottom w:val="single" w:color="auto" w:sz="4" w:space="0"/>
              <w:right w:val="single" w:color="auto" w:sz="4" w:space="0"/>
            </w:tcBorders>
            <w:noWrap w:val="0"/>
            <w:vAlign w:val="center"/>
          </w:tcPr>
          <w:p w14:paraId="6649F874">
            <w:pPr>
              <w:jc w:val="center"/>
              <w:rPr>
                <w:rFonts w:eastAsia="楷体_GB2312"/>
                <w:szCs w:val="21"/>
              </w:rPr>
            </w:pPr>
            <w:r>
              <w:rPr>
                <w:rFonts w:eastAsia="楷体_GB2312"/>
                <w:szCs w:val="21"/>
              </w:rPr>
              <w:t>5.11</w:t>
            </w:r>
          </w:p>
        </w:tc>
      </w:tr>
      <w:tr w14:paraId="57A1E762">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2DFE23F2">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186A995F">
            <w:pPr>
              <w:spacing w:line="0" w:lineRule="atLeast"/>
              <w:jc w:val="center"/>
              <w:rPr>
                <w:rFonts w:eastAsia="楷体_GB2312"/>
                <w:szCs w:val="21"/>
              </w:rPr>
            </w:pPr>
            <w:r>
              <w:rPr>
                <w:rFonts w:eastAsia="楷体_GB2312"/>
                <w:szCs w:val="21"/>
              </w:rPr>
              <w:t>环境质量状况</w:t>
            </w:r>
          </w:p>
        </w:tc>
        <w:tc>
          <w:tcPr>
            <w:tcW w:w="3245" w:type="dxa"/>
            <w:tcBorders>
              <w:top w:val="single" w:color="auto" w:sz="4" w:space="0"/>
              <w:left w:val="nil"/>
              <w:bottom w:val="single" w:color="auto" w:sz="4" w:space="0"/>
              <w:right w:val="single" w:color="auto" w:sz="4" w:space="0"/>
            </w:tcBorders>
            <w:noWrap w:val="0"/>
            <w:vAlign w:val="center"/>
          </w:tcPr>
          <w:p w14:paraId="2A2E43B8">
            <w:pPr>
              <w:jc w:val="center"/>
              <w:rPr>
                <w:rFonts w:eastAsia="楷体_GB2312"/>
                <w:szCs w:val="21"/>
              </w:rPr>
            </w:pPr>
            <w:r>
              <w:rPr>
                <w:rFonts w:eastAsia="楷体_GB2312"/>
                <w:szCs w:val="21"/>
              </w:rPr>
              <w:t>6.08</w:t>
            </w:r>
          </w:p>
        </w:tc>
      </w:tr>
      <w:tr w14:paraId="556DA2F8">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0A16F7E4">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7BE4FD7A">
            <w:pPr>
              <w:spacing w:line="0" w:lineRule="atLeast"/>
              <w:jc w:val="center"/>
              <w:rPr>
                <w:rFonts w:eastAsia="楷体_GB2312"/>
                <w:szCs w:val="21"/>
              </w:rPr>
            </w:pPr>
            <w:r>
              <w:rPr>
                <w:rFonts w:eastAsia="楷体_GB2312"/>
                <w:szCs w:val="21"/>
              </w:rPr>
              <w:t>景观条件因素</w:t>
            </w:r>
          </w:p>
        </w:tc>
        <w:tc>
          <w:tcPr>
            <w:tcW w:w="3245" w:type="dxa"/>
            <w:tcBorders>
              <w:top w:val="single" w:color="auto" w:sz="4" w:space="0"/>
              <w:left w:val="nil"/>
              <w:bottom w:val="single" w:color="auto" w:sz="4" w:space="0"/>
              <w:right w:val="single" w:color="auto" w:sz="4" w:space="0"/>
            </w:tcBorders>
            <w:noWrap w:val="0"/>
            <w:vAlign w:val="center"/>
          </w:tcPr>
          <w:p w14:paraId="1DFAF620">
            <w:pPr>
              <w:jc w:val="center"/>
              <w:rPr>
                <w:rFonts w:eastAsia="楷体_GB2312"/>
                <w:szCs w:val="21"/>
              </w:rPr>
            </w:pPr>
            <w:r>
              <w:rPr>
                <w:rFonts w:eastAsia="楷体_GB2312"/>
                <w:szCs w:val="21"/>
              </w:rPr>
              <w:t>5.82</w:t>
            </w:r>
          </w:p>
        </w:tc>
      </w:tr>
      <w:tr w14:paraId="33D745BA">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67E6FE88">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496B0E8B">
            <w:pPr>
              <w:spacing w:line="0" w:lineRule="atLeast"/>
              <w:jc w:val="center"/>
              <w:rPr>
                <w:rFonts w:eastAsia="楷体_GB2312"/>
                <w:szCs w:val="21"/>
              </w:rPr>
            </w:pPr>
            <w:r>
              <w:rPr>
                <w:rFonts w:eastAsia="楷体_GB2312"/>
                <w:szCs w:val="21"/>
              </w:rPr>
              <w:t>其他区域因素状况</w:t>
            </w:r>
          </w:p>
        </w:tc>
        <w:tc>
          <w:tcPr>
            <w:tcW w:w="3245" w:type="dxa"/>
            <w:tcBorders>
              <w:top w:val="single" w:color="auto" w:sz="4" w:space="0"/>
              <w:left w:val="nil"/>
              <w:bottom w:val="single" w:color="auto" w:sz="4" w:space="0"/>
              <w:right w:val="single" w:color="auto" w:sz="4" w:space="0"/>
            </w:tcBorders>
            <w:noWrap w:val="0"/>
            <w:vAlign w:val="center"/>
          </w:tcPr>
          <w:p w14:paraId="4D7B6B8E">
            <w:pPr>
              <w:jc w:val="center"/>
              <w:rPr>
                <w:rFonts w:eastAsia="楷体_GB2312"/>
                <w:szCs w:val="21"/>
              </w:rPr>
            </w:pPr>
            <w:r>
              <w:rPr>
                <w:rFonts w:eastAsia="楷体_GB2312"/>
                <w:szCs w:val="21"/>
              </w:rPr>
              <w:t>3.01</w:t>
            </w:r>
          </w:p>
        </w:tc>
      </w:tr>
      <w:tr w14:paraId="1EE8D9FB">
        <w:tblPrEx>
          <w:tblCellMar>
            <w:top w:w="0" w:type="dxa"/>
            <w:left w:w="108" w:type="dxa"/>
            <w:bottom w:w="0" w:type="dxa"/>
            <w:right w:w="108" w:type="dxa"/>
          </w:tblCellMar>
        </w:tblPrEx>
        <w:trPr>
          <w:trHeight w:val="454" w:hRule="exact"/>
        </w:trPr>
        <w:tc>
          <w:tcPr>
            <w:tcW w:w="1008" w:type="dxa"/>
            <w:vMerge w:val="restart"/>
            <w:tcBorders>
              <w:top w:val="nil"/>
              <w:left w:val="single" w:color="auto" w:sz="4" w:space="0"/>
              <w:bottom w:val="single" w:color="auto" w:sz="4" w:space="0"/>
              <w:right w:val="single" w:color="auto" w:sz="4" w:space="0"/>
            </w:tcBorders>
            <w:noWrap/>
            <w:vAlign w:val="center"/>
          </w:tcPr>
          <w:p w14:paraId="74856541">
            <w:pPr>
              <w:spacing w:line="0" w:lineRule="atLeast"/>
              <w:jc w:val="center"/>
              <w:rPr>
                <w:rFonts w:eastAsia="楷体_GB2312"/>
                <w:szCs w:val="21"/>
              </w:rPr>
            </w:pPr>
            <w:r>
              <w:rPr>
                <w:rFonts w:eastAsia="楷体_GB2312"/>
                <w:szCs w:val="21"/>
              </w:rPr>
              <w:t>个</w:t>
            </w:r>
          </w:p>
          <w:p w14:paraId="70C0DD58">
            <w:pPr>
              <w:spacing w:line="0" w:lineRule="atLeast"/>
              <w:jc w:val="center"/>
              <w:rPr>
                <w:rFonts w:eastAsia="楷体_GB2312"/>
                <w:szCs w:val="21"/>
              </w:rPr>
            </w:pPr>
            <w:r>
              <w:rPr>
                <w:rFonts w:eastAsia="楷体_GB2312"/>
                <w:szCs w:val="21"/>
              </w:rPr>
              <w:t>别</w:t>
            </w:r>
          </w:p>
          <w:p w14:paraId="055BEC4B">
            <w:pPr>
              <w:spacing w:line="0" w:lineRule="atLeast"/>
              <w:jc w:val="center"/>
              <w:rPr>
                <w:rFonts w:eastAsia="楷体_GB2312"/>
                <w:szCs w:val="21"/>
              </w:rPr>
            </w:pPr>
            <w:r>
              <w:rPr>
                <w:rFonts w:eastAsia="楷体_GB2312"/>
                <w:szCs w:val="21"/>
              </w:rPr>
              <w:t>因</w:t>
            </w:r>
          </w:p>
          <w:p w14:paraId="268CBC3F">
            <w:pPr>
              <w:spacing w:line="0" w:lineRule="atLeast"/>
              <w:jc w:val="center"/>
              <w:rPr>
                <w:rFonts w:eastAsia="楷体_GB2312"/>
                <w:szCs w:val="21"/>
              </w:rPr>
            </w:pPr>
            <w:r>
              <w:rPr>
                <w:rFonts w:eastAsia="楷体_GB2312"/>
                <w:szCs w:val="21"/>
              </w:rPr>
              <w:t>素</w:t>
            </w:r>
          </w:p>
        </w:tc>
        <w:tc>
          <w:tcPr>
            <w:tcW w:w="4819" w:type="dxa"/>
            <w:gridSpan w:val="3"/>
            <w:tcBorders>
              <w:top w:val="single" w:color="auto" w:sz="4" w:space="0"/>
              <w:left w:val="nil"/>
              <w:bottom w:val="single" w:color="auto" w:sz="4" w:space="0"/>
              <w:right w:val="single" w:color="auto" w:sz="4" w:space="0"/>
            </w:tcBorders>
            <w:noWrap/>
            <w:vAlign w:val="center"/>
          </w:tcPr>
          <w:p w14:paraId="00222061">
            <w:pPr>
              <w:spacing w:line="0" w:lineRule="atLeast"/>
              <w:jc w:val="center"/>
              <w:rPr>
                <w:rFonts w:eastAsia="楷体_GB2312"/>
                <w:szCs w:val="21"/>
              </w:rPr>
            </w:pPr>
            <w:r>
              <w:rPr>
                <w:rFonts w:eastAsia="楷体_GB2312"/>
                <w:szCs w:val="21"/>
              </w:rPr>
              <w:t>宗地形状</w:t>
            </w:r>
          </w:p>
        </w:tc>
        <w:tc>
          <w:tcPr>
            <w:tcW w:w="3245" w:type="dxa"/>
            <w:tcBorders>
              <w:top w:val="single" w:color="auto" w:sz="4" w:space="0"/>
              <w:left w:val="nil"/>
              <w:bottom w:val="single" w:color="auto" w:sz="4" w:space="0"/>
              <w:right w:val="single" w:color="auto" w:sz="4" w:space="0"/>
            </w:tcBorders>
            <w:noWrap w:val="0"/>
            <w:vAlign w:val="center"/>
          </w:tcPr>
          <w:p w14:paraId="69069C54">
            <w:pPr>
              <w:jc w:val="center"/>
              <w:rPr>
                <w:rFonts w:eastAsia="楷体_GB2312"/>
                <w:szCs w:val="21"/>
              </w:rPr>
            </w:pPr>
            <w:r>
              <w:rPr>
                <w:rFonts w:eastAsia="楷体_GB2312"/>
                <w:szCs w:val="21"/>
              </w:rPr>
              <w:t>3.42</w:t>
            </w:r>
          </w:p>
        </w:tc>
      </w:tr>
      <w:tr w14:paraId="680EBBA2">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1FF58985">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04EA4540">
            <w:pPr>
              <w:spacing w:line="0" w:lineRule="atLeast"/>
              <w:jc w:val="center"/>
              <w:rPr>
                <w:rFonts w:eastAsia="楷体_GB2312"/>
                <w:szCs w:val="21"/>
              </w:rPr>
            </w:pPr>
            <w:r>
              <w:rPr>
                <w:rFonts w:eastAsia="楷体_GB2312"/>
                <w:szCs w:val="21"/>
              </w:rPr>
              <w:t>宗地面积</w:t>
            </w:r>
          </w:p>
        </w:tc>
        <w:tc>
          <w:tcPr>
            <w:tcW w:w="3245" w:type="dxa"/>
            <w:tcBorders>
              <w:top w:val="single" w:color="auto" w:sz="4" w:space="0"/>
              <w:left w:val="nil"/>
              <w:bottom w:val="single" w:color="auto" w:sz="4" w:space="0"/>
              <w:right w:val="single" w:color="auto" w:sz="4" w:space="0"/>
            </w:tcBorders>
            <w:noWrap w:val="0"/>
            <w:vAlign w:val="center"/>
          </w:tcPr>
          <w:p w14:paraId="0992E09F">
            <w:pPr>
              <w:jc w:val="center"/>
              <w:rPr>
                <w:rFonts w:eastAsia="楷体_GB2312"/>
                <w:szCs w:val="21"/>
              </w:rPr>
            </w:pPr>
            <w:r>
              <w:rPr>
                <w:rFonts w:eastAsia="楷体_GB2312"/>
                <w:szCs w:val="21"/>
              </w:rPr>
              <w:t>3.01</w:t>
            </w:r>
          </w:p>
        </w:tc>
      </w:tr>
      <w:tr w14:paraId="6707B0C5">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78FEAEE7">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7CF0C3E8">
            <w:pPr>
              <w:spacing w:line="0" w:lineRule="atLeast"/>
              <w:jc w:val="center"/>
              <w:rPr>
                <w:rFonts w:eastAsia="楷体_GB2312"/>
                <w:szCs w:val="21"/>
              </w:rPr>
            </w:pPr>
            <w:r>
              <w:rPr>
                <w:rFonts w:eastAsia="楷体_GB2312"/>
                <w:szCs w:val="21"/>
              </w:rPr>
              <w:t>临街状况</w:t>
            </w:r>
          </w:p>
        </w:tc>
        <w:tc>
          <w:tcPr>
            <w:tcW w:w="3245" w:type="dxa"/>
            <w:tcBorders>
              <w:top w:val="single" w:color="auto" w:sz="4" w:space="0"/>
              <w:left w:val="nil"/>
              <w:bottom w:val="single" w:color="auto" w:sz="4" w:space="0"/>
              <w:right w:val="single" w:color="auto" w:sz="4" w:space="0"/>
            </w:tcBorders>
            <w:noWrap w:val="0"/>
            <w:vAlign w:val="center"/>
          </w:tcPr>
          <w:p w14:paraId="1D650349">
            <w:pPr>
              <w:jc w:val="center"/>
              <w:rPr>
                <w:rFonts w:eastAsia="楷体_GB2312"/>
                <w:szCs w:val="21"/>
              </w:rPr>
            </w:pPr>
            <w:r>
              <w:rPr>
                <w:rFonts w:eastAsia="楷体_GB2312"/>
                <w:szCs w:val="21"/>
              </w:rPr>
              <w:t>3.11</w:t>
            </w:r>
          </w:p>
        </w:tc>
      </w:tr>
      <w:tr w14:paraId="35BE67AB">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0770FAF5">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2FD68866">
            <w:pPr>
              <w:spacing w:line="0" w:lineRule="atLeast"/>
              <w:jc w:val="center"/>
              <w:rPr>
                <w:rFonts w:eastAsia="楷体_GB2312"/>
                <w:szCs w:val="21"/>
              </w:rPr>
            </w:pPr>
            <w:r>
              <w:rPr>
                <w:rFonts w:eastAsia="楷体_GB2312"/>
                <w:szCs w:val="21"/>
              </w:rPr>
              <w:t>土地规划限制</w:t>
            </w:r>
          </w:p>
        </w:tc>
        <w:tc>
          <w:tcPr>
            <w:tcW w:w="3245" w:type="dxa"/>
            <w:tcBorders>
              <w:top w:val="single" w:color="auto" w:sz="4" w:space="0"/>
              <w:left w:val="nil"/>
              <w:bottom w:val="single" w:color="auto" w:sz="4" w:space="0"/>
              <w:right w:val="single" w:color="auto" w:sz="4" w:space="0"/>
            </w:tcBorders>
            <w:noWrap w:val="0"/>
            <w:vAlign w:val="center"/>
          </w:tcPr>
          <w:p w14:paraId="748696B3">
            <w:pPr>
              <w:jc w:val="center"/>
              <w:rPr>
                <w:rFonts w:eastAsia="楷体_GB2312"/>
                <w:szCs w:val="21"/>
              </w:rPr>
            </w:pPr>
            <w:r>
              <w:rPr>
                <w:rFonts w:eastAsia="楷体_GB2312"/>
                <w:szCs w:val="21"/>
              </w:rPr>
              <w:t>4.32</w:t>
            </w:r>
          </w:p>
        </w:tc>
      </w:tr>
      <w:tr w14:paraId="402EF752">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10CF6003">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204ACBD7">
            <w:pPr>
              <w:spacing w:line="0" w:lineRule="atLeast"/>
              <w:jc w:val="center"/>
              <w:rPr>
                <w:rFonts w:eastAsia="楷体_GB2312"/>
                <w:szCs w:val="21"/>
              </w:rPr>
            </w:pPr>
            <w:r>
              <w:rPr>
                <w:rFonts w:eastAsia="楷体_GB2312"/>
                <w:szCs w:val="21"/>
              </w:rPr>
              <w:t>宗地基础设施状况</w:t>
            </w:r>
          </w:p>
        </w:tc>
        <w:tc>
          <w:tcPr>
            <w:tcW w:w="3245" w:type="dxa"/>
            <w:tcBorders>
              <w:top w:val="single" w:color="auto" w:sz="4" w:space="0"/>
              <w:left w:val="nil"/>
              <w:bottom w:val="single" w:color="auto" w:sz="4" w:space="0"/>
              <w:right w:val="single" w:color="auto" w:sz="4" w:space="0"/>
            </w:tcBorders>
            <w:noWrap w:val="0"/>
            <w:vAlign w:val="center"/>
          </w:tcPr>
          <w:p w14:paraId="49EBE849">
            <w:pPr>
              <w:jc w:val="center"/>
              <w:rPr>
                <w:rFonts w:eastAsia="楷体_GB2312"/>
                <w:szCs w:val="21"/>
              </w:rPr>
            </w:pPr>
            <w:r>
              <w:rPr>
                <w:rFonts w:eastAsia="楷体_GB2312"/>
                <w:szCs w:val="21"/>
              </w:rPr>
              <w:t>5.19</w:t>
            </w:r>
          </w:p>
        </w:tc>
      </w:tr>
      <w:tr w14:paraId="7BAF64F9">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36A78AE9">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2C9FAEE0">
            <w:pPr>
              <w:spacing w:line="0" w:lineRule="atLeast"/>
              <w:jc w:val="center"/>
              <w:rPr>
                <w:rFonts w:eastAsia="楷体_GB2312"/>
                <w:szCs w:val="21"/>
              </w:rPr>
            </w:pPr>
            <w:r>
              <w:rPr>
                <w:rFonts w:eastAsia="楷体_GB2312"/>
                <w:szCs w:val="21"/>
              </w:rPr>
              <w:t>地上建筑物状况</w:t>
            </w:r>
          </w:p>
        </w:tc>
        <w:tc>
          <w:tcPr>
            <w:tcW w:w="3245" w:type="dxa"/>
            <w:tcBorders>
              <w:top w:val="single" w:color="auto" w:sz="4" w:space="0"/>
              <w:left w:val="nil"/>
              <w:bottom w:val="single" w:color="auto" w:sz="4" w:space="0"/>
              <w:right w:val="single" w:color="auto" w:sz="4" w:space="0"/>
            </w:tcBorders>
            <w:noWrap w:val="0"/>
            <w:vAlign w:val="center"/>
          </w:tcPr>
          <w:p w14:paraId="4342BD31">
            <w:pPr>
              <w:jc w:val="center"/>
              <w:rPr>
                <w:rFonts w:eastAsia="楷体_GB2312"/>
                <w:szCs w:val="21"/>
              </w:rPr>
            </w:pPr>
            <w:r>
              <w:rPr>
                <w:rFonts w:eastAsia="楷体_GB2312"/>
                <w:szCs w:val="21"/>
              </w:rPr>
              <w:t>3.23</w:t>
            </w:r>
          </w:p>
        </w:tc>
      </w:tr>
      <w:tr w14:paraId="20C4E592">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2D77EF62">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0DF380B2">
            <w:pPr>
              <w:spacing w:line="0" w:lineRule="atLeast"/>
              <w:jc w:val="center"/>
              <w:rPr>
                <w:rFonts w:eastAsia="楷体_GB2312"/>
                <w:szCs w:val="21"/>
              </w:rPr>
            </w:pPr>
            <w:r>
              <w:rPr>
                <w:rFonts w:eastAsia="楷体_GB2312"/>
                <w:szCs w:val="21"/>
              </w:rPr>
              <w:t>距商服中心距离</w:t>
            </w:r>
          </w:p>
        </w:tc>
        <w:tc>
          <w:tcPr>
            <w:tcW w:w="3245" w:type="dxa"/>
            <w:tcBorders>
              <w:top w:val="single" w:color="auto" w:sz="4" w:space="0"/>
              <w:left w:val="nil"/>
              <w:bottom w:val="single" w:color="auto" w:sz="4" w:space="0"/>
              <w:right w:val="single" w:color="auto" w:sz="4" w:space="0"/>
            </w:tcBorders>
            <w:noWrap w:val="0"/>
            <w:vAlign w:val="center"/>
          </w:tcPr>
          <w:p w14:paraId="7DBDAD12">
            <w:pPr>
              <w:jc w:val="center"/>
              <w:rPr>
                <w:rFonts w:eastAsia="楷体_GB2312"/>
                <w:szCs w:val="21"/>
              </w:rPr>
            </w:pPr>
            <w:r>
              <w:rPr>
                <w:rFonts w:eastAsia="楷体_GB2312"/>
                <w:szCs w:val="21"/>
              </w:rPr>
              <w:t>4.05</w:t>
            </w:r>
          </w:p>
        </w:tc>
      </w:tr>
      <w:tr w14:paraId="5004095F">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7913A30A">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0"/>
            <w:vAlign w:val="center"/>
          </w:tcPr>
          <w:p w14:paraId="02347DF0">
            <w:pPr>
              <w:spacing w:line="0" w:lineRule="atLeast"/>
              <w:jc w:val="center"/>
              <w:rPr>
                <w:rFonts w:eastAsia="楷体_GB2312"/>
                <w:szCs w:val="21"/>
              </w:rPr>
            </w:pPr>
            <w:r>
              <w:rPr>
                <w:rFonts w:eastAsia="楷体_GB2312"/>
                <w:szCs w:val="21"/>
              </w:rPr>
              <w:t>距对外交通设施距离</w:t>
            </w:r>
          </w:p>
        </w:tc>
        <w:tc>
          <w:tcPr>
            <w:tcW w:w="3245" w:type="dxa"/>
            <w:tcBorders>
              <w:top w:val="single" w:color="auto" w:sz="4" w:space="0"/>
              <w:left w:val="nil"/>
              <w:bottom w:val="single" w:color="auto" w:sz="4" w:space="0"/>
              <w:right w:val="single" w:color="auto" w:sz="4" w:space="0"/>
            </w:tcBorders>
            <w:noWrap w:val="0"/>
            <w:vAlign w:val="center"/>
          </w:tcPr>
          <w:p w14:paraId="5652CF9D">
            <w:pPr>
              <w:jc w:val="center"/>
              <w:rPr>
                <w:rFonts w:eastAsia="楷体_GB2312"/>
                <w:szCs w:val="21"/>
              </w:rPr>
            </w:pPr>
            <w:r>
              <w:rPr>
                <w:rFonts w:eastAsia="楷体_GB2312"/>
                <w:szCs w:val="21"/>
              </w:rPr>
              <w:t>4.52</w:t>
            </w:r>
          </w:p>
        </w:tc>
      </w:tr>
      <w:tr w14:paraId="76EA74BC">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0E0D3B04">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000000" w:sz="4" w:space="0"/>
            </w:tcBorders>
            <w:noWrap/>
            <w:vAlign w:val="center"/>
          </w:tcPr>
          <w:p w14:paraId="43F31A6D">
            <w:pPr>
              <w:spacing w:line="0" w:lineRule="atLeast"/>
              <w:jc w:val="center"/>
              <w:rPr>
                <w:rFonts w:eastAsia="楷体_GB2312"/>
                <w:szCs w:val="21"/>
              </w:rPr>
            </w:pPr>
            <w:r>
              <w:rPr>
                <w:rFonts w:eastAsia="楷体_GB2312"/>
                <w:szCs w:val="21"/>
              </w:rPr>
              <w:t>接近公用设施程度</w:t>
            </w:r>
          </w:p>
        </w:tc>
        <w:tc>
          <w:tcPr>
            <w:tcW w:w="3245" w:type="dxa"/>
            <w:tcBorders>
              <w:top w:val="single" w:color="auto" w:sz="4" w:space="0"/>
              <w:left w:val="nil"/>
              <w:bottom w:val="single" w:color="auto" w:sz="4" w:space="0"/>
              <w:right w:val="single" w:color="000000" w:sz="4" w:space="0"/>
            </w:tcBorders>
            <w:noWrap w:val="0"/>
            <w:vAlign w:val="center"/>
          </w:tcPr>
          <w:p w14:paraId="7F6D57E3">
            <w:pPr>
              <w:jc w:val="center"/>
              <w:rPr>
                <w:rFonts w:eastAsia="楷体_GB2312"/>
                <w:szCs w:val="21"/>
              </w:rPr>
            </w:pPr>
            <w:r>
              <w:rPr>
                <w:rFonts w:eastAsia="楷体_GB2312"/>
                <w:szCs w:val="21"/>
              </w:rPr>
              <w:t>5.71</w:t>
            </w:r>
          </w:p>
        </w:tc>
      </w:tr>
      <w:tr w14:paraId="733635A8">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3656AF5D">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30D4B90C">
            <w:pPr>
              <w:spacing w:line="0" w:lineRule="atLeast"/>
              <w:jc w:val="center"/>
              <w:rPr>
                <w:rFonts w:eastAsia="楷体_GB2312"/>
                <w:szCs w:val="21"/>
              </w:rPr>
            </w:pPr>
            <w:r>
              <w:rPr>
                <w:rFonts w:eastAsia="楷体_GB2312"/>
                <w:szCs w:val="21"/>
              </w:rPr>
              <w:t>相邻土地利用状况</w:t>
            </w:r>
          </w:p>
        </w:tc>
        <w:tc>
          <w:tcPr>
            <w:tcW w:w="3245" w:type="dxa"/>
            <w:tcBorders>
              <w:top w:val="single" w:color="auto" w:sz="4" w:space="0"/>
              <w:left w:val="nil"/>
              <w:bottom w:val="single" w:color="auto" w:sz="4" w:space="0"/>
              <w:right w:val="single" w:color="auto" w:sz="4" w:space="0"/>
            </w:tcBorders>
            <w:noWrap w:val="0"/>
            <w:vAlign w:val="center"/>
          </w:tcPr>
          <w:p w14:paraId="1C4DCBE2">
            <w:pPr>
              <w:jc w:val="center"/>
              <w:rPr>
                <w:rFonts w:eastAsia="楷体_GB2312"/>
                <w:szCs w:val="21"/>
              </w:rPr>
            </w:pPr>
            <w:r>
              <w:rPr>
                <w:rFonts w:eastAsia="楷体_GB2312"/>
                <w:szCs w:val="21"/>
              </w:rPr>
              <w:t>3.21</w:t>
            </w:r>
          </w:p>
        </w:tc>
      </w:tr>
      <w:tr w14:paraId="0F5D7A8B">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01AAF779">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65BF80F7">
            <w:pPr>
              <w:spacing w:line="0" w:lineRule="atLeast"/>
              <w:jc w:val="center"/>
              <w:rPr>
                <w:rFonts w:eastAsia="楷体_GB2312"/>
                <w:szCs w:val="21"/>
              </w:rPr>
            </w:pPr>
            <w:r>
              <w:rPr>
                <w:rFonts w:eastAsia="楷体_GB2312"/>
                <w:szCs w:val="21"/>
              </w:rPr>
              <w:t>其他个别因素状况</w:t>
            </w:r>
          </w:p>
        </w:tc>
        <w:tc>
          <w:tcPr>
            <w:tcW w:w="3245" w:type="dxa"/>
            <w:tcBorders>
              <w:top w:val="single" w:color="auto" w:sz="4" w:space="0"/>
              <w:left w:val="nil"/>
              <w:bottom w:val="single" w:color="auto" w:sz="4" w:space="0"/>
              <w:right w:val="single" w:color="auto" w:sz="4" w:space="0"/>
            </w:tcBorders>
            <w:noWrap w:val="0"/>
            <w:vAlign w:val="center"/>
          </w:tcPr>
          <w:p w14:paraId="6D2EC3A2">
            <w:pPr>
              <w:jc w:val="center"/>
              <w:rPr>
                <w:rFonts w:eastAsia="楷体_GB2312"/>
                <w:szCs w:val="21"/>
              </w:rPr>
            </w:pPr>
            <w:r>
              <w:rPr>
                <w:rFonts w:eastAsia="楷体_GB2312"/>
                <w:szCs w:val="21"/>
              </w:rPr>
              <w:t>2.85</w:t>
            </w:r>
          </w:p>
        </w:tc>
      </w:tr>
      <w:tr w14:paraId="34F3F659">
        <w:tblPrEx>
          <w:tblCellMar>
            <w:top w:w="0" w:type="dxa"/>
            <w:left w:w="108" w:type="dxa"/>
            <w:bottom w:w="0" w:type="dxa"/>
            <w:right w:w="108" w:type="dxa"/>
          </w:tblCellMar>
        </w:tblPrEx>
        <w:trPr>
          <w:trHeight w:val="454" w:hRule="exact"/>
        </w:trPr>
        <w:tc>
          <w:tcPr>
            <w:tcW w:w="5827" w:type="dxa"/>
            <w:gridSpan w:val="4"/>
            <w:tcBorders>
              <w:top w:val="single" w:color="auto" w:sz="4" w:space="0"/>
              <w:left w:val="single" w:color="auto" w:sz="4" w:space="0"/>
              <w:bottom w:val="single" w:color="auto" w:sz="4" w:space="0"/>
              <w:right w:val="single" w:color="auto" w:sz="4" w:space="0"/>
            </w:tcBorders>
            <w:noWrap w:val="0"/>
            <w:vAlign w:val="center"/>
          </w:tcPr>
          <w:p w14:paraId="5D946978">
            <w:pPr>
              <w:spacing w:line="0" w:lineRule="atLeast"/>
              <w:jc w:val="center"/>
              <w:rPr>
                <w:rFonts w:eastAsia="楷体_GB2312"/>
                <w:szCs w:val="21"/>
              </w:rPr>
            </w:pPr>
            <w:r>
              <w:rPr>
                <w:rFonts w:eastAsia="楷体_GB2312"/>
                <w:szCs w:val="21"/>
              </w:rPr>
              <w:t>合   计</w:t>
            </w:r>
          </w:p>
        </w:tc>
        <w:tc>
          <w:tcPr>
            <w:tcW w:w="3245" w:type="dxa"/>
            <w:tcBorders>
              <w:top w:val="single" w:color="auto" w:sz="4" w:space="0"/>
              <w:left w:val="nil"/>
              <w:bottom w:val="single" w:color="auto" w:sz="4" w:space="0"/>
              <w:right w:val="single" w:color="auto" w:sz="4" w:space="0"/>
            </w:tcBorders>
            <w:noWrap w:val="0"/>
            <w:vAlign w:val="center"/>
          </w:tcPr>
          <w:p w14:paraId="7FF7536C">
            <w:pPr>
              <w:spacing w:line="0" w:lineRule="atLeast"/>
              <w:jc w:val="center"/>
              <w:rPr>
                <w:rFonts w:eastAsia="楷体_GB2312"/>
                <w:szCs w:val="21"/>
              </w:rPr>
            </w:pPr>
            <w:r>
              <w:rPr>
                <w:rFonts w:eastAsia="楷体_GB2312"/>
                <w:szCs w:val="21"/>
              </w:rPr>
              <w:fldChar w:fldCharType="begin"/>
            </w:r>
            <w:r>
              <w:rPr>
                <w:rFonts w:eastAsia="楷体_GB2312"/>
                <w:szCs w:val="21"/>
              </w:rPr>
              <w:instrText xml:space="preserve"> =SUM(ABOVE) </w:instrText>
            </w:r>
            <w:r>
              <w:rPr>
                <w:rFonts w:eastAsia="楷体_GB2312"/>
                <w:szCs w:val="21"/>
              </w:rPr>
              <w:fldChar w:fldCharType="separate"/>
            </w:r>
            <w:r>
              <w:rPr>
                <w:rFonts w:eastAsia="楷体_GB2312"/>
                <w:szCs w:val="21"/>
              </w:rPr>
              <w:t>100</w:t>
            </w:r>
            <w:r>
              <w:rPr>
                <w:rFonts w:eastAsia="楷体_GB2312"/>
                <w:szCs w:val="21"/>
              </w:rPr>
              <w:fldChar w:fldCharType="end"/>
            </w:r>
          </w:p>
        </w:tc>
      </w:tr>
    </w:tbl>
    <w:p w14:paraId="68681891">
      <w:pPr>
        <w:pStyle w:val="20"/>
        <w:spacing w:before="120" w:beforeLines="50" w:line="480" w:lineRule="exact"/>
        <w:jc w:val="center"/>
        <w:rPr>
          <w:rFonts w:ascii="Times New Roman" w:hAnsi="Times New Roman" w:eastAsia="黑体" w:cs="Times New Roman"/>
          <w:sz w:val="28"/>
        </w:rPr>
      </w:pPr>
    </w:p>
    <w:p w14:paraId="43375B28">
      <w:pPr>
        <w:pStyle w:val="20"/>
        <w:spacing w:before="120" w:beforeLines="50" w:line="480" w:lineRule="exact"/>
        <w:jc w:val="center"/>
        <w:rPr>
          <w:rFonts w:ascii="Times New Roman" w:hAnsi="Times New Roman" w:eastAsia="黑体" w:cs="Times New Roman"/>
          <w:sz w:val="28"/>
        </w:rPr>
      </w:pPr>
    </w:p>
    <w:p w14:paraId="49BA5F10">
      <w:pPr>
        <w:pStyle w:val="20"/>
        <w:spacing w:line="480" w:lineRule="exact"/>
        <w:jc w:val="center"/>
        <w:rPr>
          <w:rFonts w:ascii="Times New Roman" w:hAnsi="Times New Roman" w:eastAsia="黑体" w:cs="Times New Roman"/>
          <w:sz w:val="28"/>
        </w:rPr>
      </w:pPr>
      <w:r>
        <w:rPr>
          <w:rFonts w:ascii="Times New Roman" w:hAnsi="Times New Roman" w:eastAsia="黑体" w:cs="Times New Roman"/>
          <w:sz w:val="28"/>
        </w:rPr>
        <w:t>表2-9-5  埇桥区</w:t>
      </w:r>
      <w:r>
        <w:rPr>
          <w:rFonts w:ascii="Times New Roman" w:hAnsi="Times New Roman" w:eastAsia="黑体" w:cs="Times New Roman"/>
          <w:sz w:val="28"/>
          <w:szCs w:val="20"/>
        </w:rPr>
        <w:t>朱仙庄镇等19个乡镇</w:t>
      </w:r>
      <w:r>
        <w:rPr>
          <w:rFonts w:ascii="Times New Roman" w:hAnsi="Times New Roman" w:eastAsia="黑体" w:cs="Times New Roman"/>
          <w:sz w:val="28"/>
        </w:rPr>
        <w:t>镇区商服用地宗地地价影响因素权重表</w:t>
      </w:r>
    </w:p>
    <w:tbl>
      <w:tblPr>
        <w:tblStyle w:val="38"/>
        <w:tblW w:w="9072" w:type="dxa"/>
        <w:jc w:val="center"/>
        <w:tblLayout w:type="autofit"/>
        <w:tblCellMar>
          <w:top w:w="0" w:type="dxa"/>
          <w:left w:w="108" w:type="dxa"/>
          <w:bottom w:w="0" w:type="dxa"/>
          <w:right w:w="108" w:type="dxa"/>
        </w:tblCellMar>
      </w:tblPr>
      <w:tblGrid>
        <w:gridCol w:w="1134"/>
        <w:gridCol w:w="1349"/>
        <w:gridCol w:w="1440"/>
        <w:gridCol w:w="1980"/>
        <w:gridCol w:w="3169"/>
      </w:tblGrid>
      <w:tr w14:paraId="44A02BD1">
        <w:tblPrEx>
          <w:tblCellMar>
            <w:top w:w="0" w:type="dxa"/>
            <w:left w:w="108" w:type="dxa"/>
            <w:bottom w:w="0" w:type="dxa"/>
            <w:right w:w="108" w:type="dxa"/>
          </w:tblCellMar>
        </w:tblPrEx>
        <w:trPr>
          <w:trHeight w:val="454" w:hRule="atLeast"/>
          <w:jc w:val="center"/>
        </w:trPr>
        <w:tc>
          <w:tcPr>
            <w:tcW w:w="5903" w:type="dxa"/>
            <w:gridSpan w:val="4"/>
            <w:tcBorders>
              <w:top w:val="single" w:color="auto" w:sz="4" w:space="0"/>
              <w:left w:val="single" w:color="auto" w:sz="4" w:space="0"/>
              <w:bottom w:val="single" w:color="auto" w:sz="4" w:space="0"/>
              <w:right w:val="single" w:color="auto" w:sz="4" w:space="0"/>
            </w:tcBorders>
            <w:noWrap/>
            <w:vAlign w:val="center"/>
          </w:tcPr>
          <w:p w14:paraId="09E74C85">
            <w:pPr>
              <w:spacing w:line="0" w:lineRule="atLeast"/>
              <w:jc w:val="center"/>
              <w:rPr>
                <w:rFonts w:eastAsia="楷体_GB2312"/>
                <w:szCs w:val="21"/>
              </w:rPr>
            </w:pPr>
            <w:r>
              <w:rPr>
                <w:rFonts w:eastAsia="楷体_GB2312"/>
                <w:szCs w:val="21"/>
              </w:rPr>
              <w:t>影响因素</w:t>
            </w:r>
          </w:p>
        </w:tc>
        <w:tc>
          <w:tcPr>
            <w:tcW w:w="3169" w:type="dxa"/>
            <w:tcBorders>
              <w:top w:val="single" w:color="auto" w:sz="4" w:space="0"/>
              <w:left w:val="single" w:color="auto" w:sz="4" w:space="0"/>
              <w:bottom w:val="single" w:color="auto" w:sz="4" w:space="0"/>
              <w:right w:val="single" w:color="auto" w:sz="4" w:space="0"/>
            </w:tcBorders>
            <w:noWrap/>
            <w:vAlign w:val="center"/>
          </w:tcPr>
          <w:p w14:paraId="4CF6A437">
            <w:pPr>
              <w:spacing w:line="0" w:lineRule="atLeast"/>
              <w:jc w:val="center"/>
              <w:rPr>
                <w:rFonts w:eastAsia="楷体_GB2312"/>
                <w:szCs w:val="21"/>
              </w:rPr>
            </w:pPr>
            <w:r>
              <w:rPr>
                <w:rFonts w:eastAsia="楷体_GB2312"/>
                <w:szCs w:val="21"/>
              </w:rPr>
              <w:t>权重</w:t>
            </w:r>
          </w:p>
        </w:tc>
      </w:tr>
      <w:tr w14:paraId="49159E59">
        <w:tblPrEx>
          <w:tblCellMar>
            <w:top w:w="0" w:type="dxa"/>
            <w:left w:w="108" w:type="dxa"/>
            <w:bottom w:w="0" w:type="dxa"/>
            <w:right w:w="108" w:type="dxa"/>
          </w:tblCellMar>
        </w:tblPrEx>
        <w:trPr>
          <w:trHeight w:val="454" w:hRule="atLeast"/>
          <w:jc w:val="center"/>
        </w:trPr>
        <w:tc>
          <w:tcPr>
            <w:tcW w:w="1134" w:type="dxa"/>
            <w:vMerge w:val="restart"/>
            <w:tcBorders>
              <w:top w:val="single" w:color="auto" w:sz="4" w:space="0"/>
              <w:left w:val="single" w:color="auto" w:sz="4" w:space="0"/>
              <w:bottom w:val="single" w:color="auto" w:sz="4" w:space="0"/>
              <w:right w:val="single" w:color="auto" w:sz="4" w:space="0"/>
            </w:tcBorders>
            <w:noWrap w:val="0"/>
            <w:vAlign w:val="center"/>
          </w:tcPr>
          <w:p w14:paraId="22C62E9D">
            <w:pPr>
              <w:spacing w:line="0" w:lineRule="atLeast"/>
              <w:jc w:val="center"/>
              <w:rPr>
                <w:rFonts w:eastAsia="楷体_GB2312"/>
                <w:szCs w:val="21"/>
              </w:rPr>
            </w:pPr>
            <w:r>
              <w:rPr>
                <w:rFonts w:eastAsia="楷体_GB2312"/>
                <w:szCs w:val="21"/>
              </w:rPr>
              <w:t>区</w:t>
            </w:r>
          </w:p>
          <w:p w14:paraId="572639DD">
            <w:pPr>
              <w:spacing w:line="0" w:lineRule="atLeast"/>
              <w:jc w:val="center"/>
              <w:rPr>
                <w:rFonts w:eastAsia="楷体_GB2312"/>
                <w:szCs w:val="21"/>
              </w:rPr>
            </w:pPr>
            <w:r>
              <w:rPr>
                <w:rFonts w:eastAsia="楷体_GB2312"/>
                <w:szCs w:val="21"/>
              </w:rPr>
              <w:t>域</w:t>
            </w:r>
          </w:p>
          <w:p w14:paraId="2E1CC040">
            <w:pPr>
              <w:spacing w:line="0" w:lineRule="atLeast"/>
              <w:jc w:val="center"/>
              <w:rPr>
                <w:rFonts w:eastAsia="楷体_GB2312"/>
                <w:szCs w:val="21"/>
              </w:rPr>
            </w:pPr>
            <w:r>
              <w:rPr>
                <w:rFonts w:eastAsia="楷体_GB2312"/>
                <w:szCs w:val="21"/>
              </w:rPr>
              <w:t>因</w:t>
            </w:r>
          </w:p>
          <w:p w14:paraId="021912B2">
            <w:pPr>
              <w:spacing w:line="0" w:lineRule="atLeast"/>
              <w:jc w:val="center"/>
              <w:rPr>
                <w:rFonts w:eastAsia="楷体_GB2312"/>
                <w:szCs w:val="21"/>
              </w:rPr>
            </w:pPr>
            <w:r>
              <w:rPr>
                <w:rFonts w:eastAsia="楷体_GB2312"/>
                <w:szCs w:val="21"/>
              </w:rPr>
              <w:t>素</w:t>
            </w:r>
          </w:p>
        </w:tc>
        <w:tc>
          <w:tcPr>
            <w:tcW w:w="4769" w:type="dxa"/>
            <w:gridSpan w:val="3"/>
            <w:tcBorders>
              <w:top w:val="single" w:color="auto" w:sz="4" w:space="0"/>
              <w:left w:val="single" w:color="auto" w:sz="4" w:space="0"/>
              <w:bottom w:val="single" w:color="auto" w:sz="4" w:space="0"/>
              <w:right w:val="single" w:color="auto" w:sz="4" w:space="0"/>
            </w:tcBorders>
            <w:noWrap/>
            <w:vAlign w:val="center"/>
          </w:tcPr>
          <w:p w14:paraId="0CD2E330">
            <w:pPr>
              <w:spacing w:line="0" w:lineRule="atLeast"/>
              <w:jc w:val="center"/>
              <w:rPr>
                <w:rFonts w:eastAsia="楷体_GB2312"/>
                <w:szCs w:val="21"/>
              </w:rPr>
            </w:pPr>
            <w:r>
              <w:rPr>
                <w:rFonts w:eastAsia="楷体_GB2312"/>
                <w:szCs w:val="21"/>
              </w:rPr>
              <w:t>商服繁华程度</w:t>
            </w:r>
          </w:p>
        </w:tc>
        <w:tc>
          <w:tcPr>
            <w:tcW w:w="3169" w:type="dxa"/>
            <w:tcBorders>
              <w:top w:val="single" w:color="auto" w:sz="4" w:space="0"/>
              <w:left w:val="single" w:color="auto" w:sz="4" w:space="0"/>
              <w:bottom w:val="single" w:color="auto" w:sz="4" w:space="0"/>
              <w:right w:val="single" w:color="auto" w:sz="4" w:space="0"/>
            </w:tcBorders>
            <w:noWrap/>
            <w:vAlign w:val="center"/>
          </w:tcPr>
          <w:p w14:paraId="3CA6A939">
            <w:pPr>
              <w:spacing w:line="0" w:lineRule="atLeast"/>
              <w:jc w:val="center"/>
              <w:rPr>
                <w:rFonts w:eastAsia="楷体_GB2312"/>
                <w:szCs w:val="21"/>
              </w:rPr>
            </w:pPr>
            <w:r>
              <w:rPr>
                <w:rFonts w:eastAsia="楷体_GB2312"/>
                <w:szCs w:val="21"/>
              </w:rPr>
              <w:t>8.84</w:t>
            </w:r>
          </w:p>
        </w:tc>
      </w:tr>
      <w:tr w14:paraId="0C839E00">
        <w:tblPrEx>
          <w:tblCellMar>
            <w:top w:w="0" w:type="dxa"/>
            <w:left w:w="108" w:type="dxa"/>
            <w:bottom w:w="0" w:type="dxa"/>
            <w:right w:w="108" w:type="dxa"/>
          </w:tblCellMar>
        </w:tblPrEx>
        <w:trPr>
          <w:trHeight w:val="454" w:hRule="atLeast"/>
          <w:jc w:val="center"/>
        </w:trPr>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6C11B12D">
            <w:pPr>
              <w:spacing w:line="0" w:lineRule="atLeast"/>
              <w:jc w:val="center"/>
              <w:rPr>
                <w:rFonts w:eastAsia="楷体_GB2312"/>
                <w:szCs w:val="21"/>
              </w:rPr>
            </w:pPr>
          </w:p>
        </w:tc>
        <w:tc>
          <w:tcPr>
            <w:tcW w:w="1349" w:type="dxa"/>
            <w:vMerge w:val="restart"/>
            <w:tcBorders>
              <w:top w:val="single" w:color="auto" w:sz="4" w:space="0"/>
              <w:left w:val="single" w:color="auto" w:sz="4" w:space="0"/>
              <w:bottom w:val="single" w:color="auto" w:sz="4" w:space="0"/>
              <w:right w:val="single" w:color="auto" w:sz="4" w:space="0"/>
            </w:tcBorders>
            <w:noWrap/>
            <w:vAlign w:val="center"/>
          </w:tcPr>
          <w:p w14:paraId="027D50C2">
            <w:pPr>
              <w:spacing w:line="0" w:lineRule="atLeast"/>
              <w:jc w:val="center"/>
              <w:rPr>
                <w:rFonts w:eastAsia="楷体_GB2312"/>
                <w:szCs w:val="21"/>
              </w:rPr>
            </w:pPr>
            <w:r>
              <w:rPr>
                <w:rFonts w:eastAsia="楷体_GB2312"/>
                <w:szCs w:val="21"/>
              </w:rPr>
              <w:t>交通状况</w:t>
            </w:r>
          </w:p>
        </w:tc>
        <w:tc>
          <w:tcPr>
            <w:tcW w:w="1440" w:type="dxa"/>
            <w:vMerge w:val="restart"/>
            <w:tcBorders>
              <w:top w:val="single" w:color="auto" w:sz="4" w:space="0"/>
              <w:left w:val="single" w:color="auto" w:sz="4" w:space="0"/>
              <w:bottom w:val="single" w:color="auto" w:sz="4" w:space="0"/>
              <w:right w:val="single" w:color="auto" w:sz="4" w:space="0"/>
            </w:tcBorders>
            <w:noWrap/>
            <w:vAlign w:val="center"/>
          </w:tcPr>
          <w:p w14:paraId="700B3E59">
            <w:pPr>
              <w:spacing w:line="0" w:lineRule="atLeast"/>
              <w:jc w:val="center"/>
              <w:rPr>
                <w:rFonts w:eastAsia="楷体_GB2312"/>
                <w:szCs w:val="21"/>
              </w:rPr>
            </w:pPr>
            <w:r>
              <w:rPr>
                <w:rFonts w:eastAsia="楷体_GB2312"/>
                <w:szCs w:val="21"/>
              </w:rPr>
              <w:t>道路状况</w:t>
            </w:r>
          </w:p>
        </w:tc>
        <w:tc>
          <w:tcPr>
            <w:tcW w:w="1980" w:type="dxa"/>
            <w:tcBorders>
              <w:top w:val="single" w:color="auto" w:sz="4" w:space="0"/>
              <w:left w:val="nil"/>
              <w:bottom w:val="single" w:color="auto" w:sz="4" w:space="0"/>
              <w:right w:val="single" w:color="auto" w:sz="4" w:space="0"/>
            </w:tcBorders>
            <w:noWrap/>
            <w:vAlign w:val="center"/>
          </w:tcPr>
          <w:p w14:paraId="7756A996">
            <w:pPr>
              <w:spacing w:line="0" w:lineRule="atLeast"/>
              <w:jc w:val="center"/>
              <w:rPr>
                <w:rFonts w:eastAsia="楷体_GB2312"/>
                <w:szCs w:val="21"/>
              </w:rPr>
            </w:pPr>
            <w:r>
              <w:rPr>
                <w:rFonts w:eastAsia="楷体_GB2312"/>
                <w:szCs w:val="21"/>
              </w:rPr>
              <w:t>道路类型</w:t>
            </w:r>
          </w:p>
        </w:tc>
        <w:tc>
          <w:tcPr>
            <w:tcW w:w="3169" w:type="dxa"/>
            <w:tcBorders>
              <w:top w:val="single" w:color="auto" w:sz="4" w:space="0"/>
              <w:left w:val="nil"/>
              <w:bottom w:val="single" w:color="auto" w:sz="4" w:space="0"/>
              <w:right w:val="single" w:color="auto" w:sz="4" w:space="0"/>
            </w:tcBorders>
            <w:noWrap/>
            <w:vAlign w:val="center"/>
          </w:tcPr>
          <w:p w14:paraId="079DA9D8">
            <w:pPr>
              <w:jc w:val="center"/>
              <w:rPr>
                <w:rFonts w:eastAsia="楷体_GB2312"/>
                <w:szCs w:val="21"/>
              </w:rPr>
            </w:pPr>
            <w:r>
              <w:rPr>
                <w:rFonts w:eastAsia="楷体_GB2312"/>
                <w:szCs w:val="21"/>
              </w:rPr>
              <w:t>4.65</w:t>
            </w:r>
          </w:p>
        </w:tc>
      </w:tr>
      <w:tr w14:paraId="028C43FC">
        <w:tblPrEx>
          <w:tblCellMar>
            <w:top w:w="0" w:type="dxa"/>
            <w:left w:w="108" w:type="dxa"/>
            <w:bottom w:w="0" w:type="dxa"/>
            <w:right w:w="108" w:type="dxa"/>
          </w:tblCellMar>
        </w:tblPrEx>
        <w:trPr>
          <w:trHeight w:val="454" w:hRule="atLeast"/>
          <w:jc w:val="center"/>
        </w:trPr>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2B14B3A4">
            <w:pPr>
              <w:spacing w:line="0" w:lineRule="atLeast"/>
              <w:jc w:val="center"/>
              <w:rPr>
                <w:rFonts w:eastAsia="楷体_GB2312"/>
                <w:szCs w:val="21"/>
              </w:rPr>
            </w:pPr>
          </w:p>
        </w:tc>
        <w:tc>
          <w:tcPr>
            <w:tcW w:w="1349" w:type="dxa"/>
            <w:vMerge w:val="continue"/>
            <w:tcBorders>
              <w:top w:val="single" w:color="auto" w:sz="4" w:space="0"/>
              <w:left w:val="single" w:color="auto" w:sz="4" w:space="0"/>
              <w:bottom w:val="single" w:color="auto" w:sz="4" w:space="0"/>
              <w:right w:val="single" w:color="auto" w:sz="4" w:space="0"/>
            </w:tcBorders>
            <w:noWrap w:val="0"/>
            <w:vAlign w:val="center"/>
          </w:tcPr>
          <w:p w14:paraId="5D9610AA">
            <w:pPr>
              <w:spacing w:line="0" w:lineRule="atLeast"/>
              <w:jc w:val="center"/>
              <w:rPr>
                <w:rFonts w:eastAsia="楷体_GB2312"/>
                <w:szCs w:val="21"/>
              </w:rPr>
            </w:pPr>
          </w:p>
        </w:tc>
        <w:tc>
          <w:tcPr>
            <w:tcW w:w="1440" w:type="dxa"/>
            <w:vMerge w:val="continue"/>
            <w:tcBorders>
              <w:top w:val="single" w:color="auto" w:sz="4" w:space="0"/>
              <w:left w:val="single" w:color="auto" w:sz="4" w:space="0"/>
              <w:bottom w:val="single" w:color="auto" w:sz="4" w:space="0"/>
              <w:right w:val="single" w:color="auto" w:sz="4" w:space="0"/>
            </w:tcBorders>
            <w:noWrap w:val="0"/>
            <w:vAlign w:val="center"/>
          </w:tcPr>
          <w:p w14:paraId="574C8557">
            <w:pPr>
              <w:spacing w:line="0" w:lineRule="atLeast"/>
              <w:jc w:val="center"/>
              <w:rPr>
                <w:rFonts w:eastAsia="楷体_GB2312"/>
                <w:szCs w:val="21"/>
              </w:rPr>
            </w:pPr>
          </w:p>
        </w:tc>
        <w:tc>
          <w:tcPr>
            <w:tcW w:w="1980" w:type="dxa"/>
            <w:tcBorders>
              <w:top w:val="single" w:color="auto" w:sz="4" w:space="0"/>
              <w:left w:val="nil"/>
              <w:bottom w:val="single" w:color="auto" w:sz="4" w:space="0"/>
              <w:right w:val="single" w:color="auto" w:sz="4" w:space="0"/>
            </w:tcBorders>
            <w:noWrap/>
            <w:vAlign w:val="center"/>
          </w:tcPr>
          <w:p w14:paraId="3EB03A4D">
            <w:pPr>
              <w:spacing w:line="0" w:lineRule="atLeast"/>
              <w:jc w:val="center"/>
              <w:rPr>
                <w:rFonts w:eastAsia="楷体_GB2312"/>
                <w:szCs w:val="21"/>
              </w:rPr>
            </w:pPr>
            <w:r>
              <w:rPr>
                <w:rFonts w:eastAsia="楷体_GB2312"/>
                <w:szCs w:val="21"/>
              </w:rPr>
              <w:t>道路等级</w:t>
            </w:r>
          </w:p>
        </w:tc>
        <w:tc>
          <w:tcPr>
            <w:tcW w:w="3169" w:type="dxa"/>
            <w:tcBorders>
              <w:top w:val="single" w:color="auto" w:sz="4" w:space="0"/>
              <w:left w:val="nil"/>
              <w:bottom w:val="single" w:color="auto" w:sz="4" w:space="0"/>
              <w:right w:val="single" w:color="auto" w:sz="4" w:space="0"/>
            </w:tcBorders>
            <w:noWrap/>
            <w:vAlign w:val="center"/>
          </w:tcPr>
          <w:p w14:paraId="1EF073B7">
            <w:pPr>
              <w:jc w:val="center"/>
              <w:rPr>
                <w:rFonts w:eastAsia="楷体_GB2312"/>
                <w:szCs w:val="21"/>
              </w:rPr>
            </w:pPr>
            <w:r>
              <w:rPr>
                <w:rFonts w:eastAsia="楷体_GB2312"/>
                <w:szCs w:val="21"/>
              </w:rPr>
              <w:t>4.62</w:t>
            </w:r>
          </w:p>
        </w:tc>
      </w:tr>
      <w:tr w14:paraId="01C76DCD">
        <w:tblPrEx>
          <w:tblCellMar>
            <w:top w:w="0" w:type="dxa"/>
            <w:left w:w="108" w:type="dxa"/>
            <w:bottom w:w="0" w:type="dxa"/>
            <w:right w:w="108" w:type="dxa"/>
          </w:tblCellMar>
        </w:tblPrEx>
        <w:trPr>
          <w:trHeight w:val="454" w:hRule="atLeast"/>
          <w:jc w:val="center"/>
        </w:trPr>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688C3300">
            <w:pPr>
              <w:spacing w:line="0" w:lineRule="atLeast"/>
              <w:jc w:val="center"/>
              <w:rPr>
                <w:rFonts w:eastAsia="楷体_GB2312"/>
                <w:szCs w:val="21"/>
              </w:rPr>
            </w:pPr>
          </w:p>
        </w:tc>
        <w:tc>
          <w:tcPr>
            <w:tcW w:w="1349" w:type="dxa"/>
            <w:vMerge w:val="continue"/>
            <w:tcBorders>
              <w:top w:val="single" w:color="auto" w:sz="4" w:space="0"/>
              <w:left w:val="single" w:color="auto" w:sz="4" w:space="0"/>
              <w:bottom w:val="single" w:color="auto" w:sz="4" w:space="0"/>
              <w:right w:val="single" w:color="auto" w:sz="4" w:space="0"/>
            </w:tcBorders>
            <w:noWrap w:val="0"/>
            <w:vAlign w:val="center"/>
          </w:tcPr>
          <w:p w14:paraId="0DABDDB5">
            <w:pPr>
              <w:spacing w:line="0" w:lineRule="atLeast"/>
              <w:jc w:val="center"/>
              <w:rPr>
                <w:rFonts w:eastAsia="楷体_GB2312"/>
                <w:szCs w:val="21"/>
              </w:rPr>
            </w:pPr>
          </w:p>
        </w:tc>
        <w:tc>
          <w:tcPr>
            <w:tcW w:w="3420" w:type="dxa"/>
            <w:gridSpan w:val="2"/>
            <w:tcBorders>
              <w:top w:val="single" w:color="auto" w:sz="4" w:space="0"/>
              <w:left w:val="nil"/>
              <w:bottom w:val="single" w:color="auto" w:sz="4" w:space="0"/>
              <w:right w:val="single" w:color="auto" w:sz="4" w:space="0"/>
            </w:tcBorders>
            <w:noWrap/>
            <w:vAlign w:val="center"/>
          </w:tcPr>
          <w:p w14:paraId="540846A2">
            <w:pPr>
              <w:spacing w:line="0" w:lineRule="atLeast"/>
              <w:jc w:val="center"/>
              <w:rPr>
                <w:rFonts w:eastAsia="楷体_GB2312"/>
                <w:szCs w:val="21"/>
              </w:rPr>
            </w:pPr>
            <w:r>
              <w:rPr>
                <w:rFonts w:eastAsia="楷体_GB2312"/>
                <w:szCs w:val="21"/>
              </w:rPr>
              <w:t>交通便捷程度</w:t>
            </w:r>
          </w:p>
        </w:tc>
        <w:tc>
          <w:tcPr>
            <w:tcW w:w="3169" w:type="dxa"/>
            <w:tcBorders>
              <w:top w:val="single" w:color="auto" w:sz="4" w:space="0"/>
              <w:left w:val="nil"/>
              <w:bottom w:val="single" w:color="auto" w:sz="4" w:space="0"/>
              <w:right w:val="single" w:color="auto" w:sz="4" w:space="0"/>
            </w:tcBorders>
            <w:noWrap/>
            <w:vAlign w:val="center"/>
          </w:tcPr>
          <w:p w14:paraId="70A196C2">
            <w:pPr>
              <w:spacing w:line="0" w:lineRule="atLeast"/>
              <w:jc w:val="center"/>
              <w:rPr>
                <w:rFonts w:eastAsia="楷体_GB2312"/>
                <w:szCs w:val="21"/>
              </w:rPr>
            </w:pPr>
            <w:r>
              <w:rPr>
                <w:rFonts w:eastAsia="楷体_GB2312"/>
                <w:szCs w:val="21"/>
              </w:rPr>
              <w:t>6.25</w:t>
            </w:r>
          </w:p>
        </w:tc>
      </w:tr>
      <w:tr w14:paraId="2644C7CB">
        <w:tblPrEx>
          <w:tblCellMar>
            <w:top w:w="0" w:type="dxa"/>
            <w:left w:w="108" w:type="dxa"/>
            <w:bottom w:w="0" w:type="dxa"/>
            <w:right w:w="108" w:type="dxa"/>
          </w:tblCellMar>
        </w:tblPrEx>
        <w:trPr>
          <w:trHeight w:val="454" w:hRule="atLeast"/>
          <w:jc w:val="center"/>
        </w:trPr>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435832A3">
            <w:pPr>
              <w:spacing w:line="0" w:lineRule="atLeast"/>
              <w:jc w:val="center"/>
              <w:rPr>
                <w:rFonts w:eastAsia="楷体_GB2312"/>
                <w:szCs w:val="21"/>
              </w:rPr>
            </w:pPr>
          </w:p>
        </w:tc>
        <w:tc>
          <w:tcPr>
            <w:tcW w:w="4769" w:type="dxa"/>
            <w:gridSpan w:val="3"/>
            <w:tcBorders>
              <w:top w:val="single" w:color="auto" w:sz="4" w:space="0"/>
              <w:left w:val="single" w:color="auto" w:sz="4" w:space="0"/>
              <w:bottom w:val="single" w:color="auto" w:sz="4" w:space="0"/>
              <w:right w:val="single" w:color="auto" w:sz="4" w:space="0"/>
            </w:tcBorders>
            <w:noWrap/>
            <w:vAlign w:val="center"/>
          </w:tcPr>
          <w:p w14:paraId="2E9634DC">
            <w:pPr>
              <w:spacing w:line="0" w:lineRule="atLeast"/>
              <w:jc w:val="center"/>
              <w:rPr>
                <w:rFonts w:eastAsia="楷体_GB2312"/>
                <w:szCs w:val="21"/>
              </w:rPr>
            </w:pPr>
            <w:r>
              <w:rPr>
                <w:rFonts w:eastAsia="楷体_GB2312"/>
                <w:szCs w:val="21"/>
              </w:rPr>
              <w:t>基础设施状况</w:t>
            </w:r>
          </w:p>
        </w:tc>
        <w:tc>
          <w:tcPr>
            <w:tcW w:w="3169" w:type="dxa"/>
            <w:tcBorders>
              <w:top w:val="single" w:color="auto" w:sz="4" w:space="0"/>
              <w:left w:val="single" w:color="auto" w:sz="4" w:space="0"/>
              <w:bottom w:val="single" w:color="auto" w:sz="4" w:space="0"/>
              <w:right w:val="single" w:color="auto" w:sz="4" w:space="0"/>
            </w:tcBorders>
            <w:noWrap/>
            <w:vAlign w:val="center"/>
          </w:tcPr>
          <w:p w14:paraId="699233F5">
            <w:pPr>
              <w:jc w:val="center"/>
              <w:rPr>
                <w:rFonts w:eastAsia="楷体_GB2312"/>
                <w:szCs w:val="21"/>
              </w:rPr>
            </w:pPr>
            <w:r>
              <w:rPr>
                <w:rFonts w:eastAsia="楷体_GB2312"/>
                <w:szCs w:val="21"/>
              </w:rPr>
              <w:t>6.08</w:t>
            </w:r>
          </w:p>
        </w:tc>
      </w:tr>
      <w:tr w14:paraId="047617C0">
        <w:tblPrEx>
          <w:tblCellMar>
            <w:top w:w="0" w:type="dxa"/>
            <w:left w:w="108" w:type="dxa"/>
            <w:bottom w:w="0" w:type="dxa"/>
            <w:right w:w="108" w:type="dxa"/>
          </w:tblCellMar>
        </w:tblPrEx>
        <w:trPr>
          <w:trHeight w:val="454" w:hRule="atLeast"/>
          <w:jc w:val="center"/>
        </w:trPr>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7E25C9ED">
            <w:pPr>
              <w:spacing w:line="0" w:lineRule="atLeast"/>
              <w:jc w:val="center"/>
              <w:rPr>
                <w:rFonts w:eastAsia="楷体_GB2312"/>
                <w:szCs w:val="21"/>
              </w:rPr>
            </w:pPr>
          </w:p>
        </w:tc>
        <w:tc>
          <w:tcPr>
            <w:tcW w:w="4769" w:type="dxa"/>
            <w:gridSpan w:val="3"/>
            <w:tcBorders>
              <w:top w:val="single" w:color="auto" w:sz="4" w:space="0"/>
              <w:left w:val="single" w:color="auto" w:sz="4" w:space="0"/>
              <w:bottom w:val="single" w:color="auto" w:sz="4" w:space="0"/>
              <w:right w:val="single" w:color="auto" w:sz="4" w:space="0"/>
            </w:tcBorders>
            <w:noWrap/>
            <w:vAlign w:val="center"/>
          </w:tcPr>
          <w:p w14:paraId="065F6ED9">
            <w:pPr>
              <w:spacing w:line="0" w:lineRule="atLeast"/>
              <w:jc w:val="center"/>
              <w:rPr>
                <w:rFonts w:eastAsia="楷体_GB2312"/>
                <w:szCs w:val="21"/>
              </w:rPr>
            </w:pPr>
            <w:r>
              <w:rPr>
                <w:rFonts w:eastAsia="楷体_GB2312"/>
                <w:szCs w:val="21"/>
              </w:rPr>
              <w:t>城镇规划限制</w:t>
            </w:r>
          </w:p>
        </w:tc>
        <w:tc>
          <w:tcPr>
            <w:tcW w:w="3169" w:type="dxa"/>
            <w:tcBorders>
              <w:top w:val="single" w:color="auto" w:sz="4" w:space="0"/>
              <w:left w:val="single" w:color="auto" w:sz="4" w:space="0"/>
              <w:bottom w:val="single" w:color="auto" w:sz="4" w:space="0"/>
              <w:right w:val="single" w:color="auto" w:sz="4" w:space="0"/>
            </w:tcBorders>
            <w:noWrap/>
            <w:vAlign w:val="center"/>
          </w:tcPr>
          <w:p w14:paraId="50E21876">
            <w:pPr>
              <w:jc w:val="center"/>
              <w:rPr>
                <w:rFonts w:eastAsia="楷体_GB2312"/>
                <w:szCs w:val="21"/>
              </w:rPr>
            </w:pPr>
            <w:r>
              <w:rPr>
                <w:rFonts w:eastAsia="楷体_GB2312"/>
                <w:szCs w:val="21"/>
              </w:rPr>
              <w:t>5.23</w:t>
            </w:r>
          </w:p>
        </w:tc>
      </w:tr>
      <w:tr w14:paraId="6F082943">
        <w:tblPrEx>
          <w:tblCellMar>
            <w:top w:w="0" w:type="dxa"/>
            <w:left w:w="108" w:type="dxa"/>
            <w:bottom w:w="0" w:type="dxa"/>
            <w:right w:w="108" w:type="dxa"/>
          </w:tblCellMar>
        </w:tblPrEx>
        <w:trPr>
          <w:trHeight w:val="454" w:hRule="atLeast"/>
          <w:jc w:val="center"/>
        </w:trPr>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62DDE2CE">
            <w:pPr>
              <w:spacing w:line="0" w:lineRule="atLeast"/>
              <w:jc w:val="center"/>
              <w:rPr>
                <w:rFonts w:eastAsia="楷体_GB2312"/>
                <w:szCs w:val="21"/>
              </w:rPr>
            </w:pPr>
          </w:p>
        </w:tc>
        <w:tc>
          <w:tcPr>
            <w:tcW w:w="4769" w:type="dxa"/>
            <w:gridSpan w:val="3"/>
            <w:tcBorders>
              <w:top w:val="single" w:color="auto" w:sz="4" w:space="0"/>
              <w:left w:val="single" w:color="auto" w:sz="4" w:space="0"/>
              <w:bottom w:val="single" w:color="auto" w:sz="4" w:space="0"/>
              <w:right w:val="single" w:color="auto" w:sz="4" w:space="0"/>
            </w:tcBorders>
            <w:noWrap/>
            <w:vAlign w:val="center"/>
          </w:tcPr>
          <w:p w14:paraId="6BA635C9">
            <w:pPr>
              <w:spacing w:line="0" w:lineRule="atLeast"/>
              <w:jc w:val="center"/>
              <w:rPr>
                <w:rFonts w:eastAsia="楷体_GB2312"/>
                <w:szCs w:val="21"/>
              </w:rPr>
            </w:pPr>
            <w:r>
              <w:rPr>
                <w:rFonts w:eastAsia="楷体_GB2312"/>
                <w:szCs w:val="21"/>
              </w:rPr>
              <w:t>环境质量状况</w:t>
            </w:r>
          </w:p>
        </w:tc>
        <w:tc>
          <w:tcPr>
            <w:tcW w:w="3169" w:type="dxa"/>
            <w:tcBorders>
              <w:top w:val="single" w:color="auto" w:sz="4" w:space="0"/>
              <w:left w:val="single" w:color="auto" w:sz="4" w:space="0"/>
              <w:bottom w:val="single" w:color="auto" w:sz="4" w:space="0"/>
              <w:right w:val="single" w:color="auto" w:sz="4" w:space="0"/>
            </w:tcBorders>
            <w:noWrap/>
            <w:vAlign w:val="center"/>
          </w:tcPr>
          <w:p w14:paraId="79F112C9">
            <w:pPr>
              <w:jc w:val="center"/>
              <w:rPr>
                <w:rFonts w:eastAsia="楷体_GB2312"/>
                <w:szCs w:val="21"/>
              </w:rPr>
            </w:pPr>
            <w:r>
              <w:rPr>
                <w:rFonts w:eastAsia="楷体_GB2312"/>
                <w:szCs w:val="21"/>
              </w:rPr>
              <w:t>6.21</w:t>
            </w:r>
          </w:p>
        </w:tc>
      </w:tr>
      <w:tr w14:paraId="489C9D62">
        <w:tblPrEx>
          <w:tblCellMar>
            <w:top w:w="0" w:type="dxa"/>
            <w:left w:w="108" w:type="dxa"/>
            <w:bottom w:w="0" w:type="dxa"/>
            <w:right w:w="108" w:type="dxa"/>
          </w:tblCellMar>
        </w:tblPrEx>
        <w:trPr>
          <w:trHeight w:val="454" w:hRule="atLeast"/>
          <w:jc w:val="center"/>
        </w:trPr>
        <w:tc>
          <w:tcPr>
            <w:tcW w:w="1134" w:type="dxa"/>
            <w:vMerge w:val="continue"/>
            <w:tcBorders>
              <w:top w:val="single" w:color="auto" w:sz="4" w:space="0"/>
              <w:left w:val="single" w:color="auto" w:sz="4" w:space="0"/>
              <w:bottom w:val="single" w:color="auto" w:sz="4" w:space="0"/>
              <w:right w:val="single" w:color="auto" w:sz="4" w:space="0"/>
            </w:tcBorders>
            <w:noWrap w:val="0"/>
            <w:vAlign w:val="center"/>
          </w:tcPr>
          <w:p w14:paraId="25C8BAF9">
            <w:pPr>
              <w:spacing w:line="0" w:lineRule="atLeast"/>
              <w:jc w:val="center"/>
              <w:rPr>
                <w:rFonts w:eastAsia="楷体_GB2312"/>
                <w:szCs w:val="21"/>
              </w:rPr>
            </w:pPr>
          </w:p>
        </w:tc>
        <w:tc>
          <w:tcPr>
            <w:tcW w:w="4769" w:type="dxa"/>
            <w:gridSpan w:val="3"/>
            <w:tcBorders>
              <w:top w:val="single" w:color="auto" w:sz="4" w:space="0"/>
              <w:left w:val="nil"/>
              <w:bottom w:val="single" w:color="auto" w:sz="4" w:space="0"/>
              <w:right w:val="single" w:color="auto" w:sz="4" w:space="0"/>
            </w:tcBorders>
            <w:noWrap/>
            <w:vAlign w:val="center"/>
          </w:tcPr>
          <w:p w14:paraId="39A11A75">
            <w:pPr>
              <w:spacing w:line="0" w:lineRule="atLeast"/>
              <w:jc w:val="center"/>
              <w:rPr>
                <w:rFonts w:eastAsia="楷体_GB2312"/>
                <w:szCs w:val="21"/>
              </w:rPr>
            </w:pPr>
            <w:r>
              <w:rPr>
                <w:rFonts w:eastAsia="楷体_GB2312"/>
                <w:szCs w:val="21"/>
              </w:rPr>
              <w:t>其他区域因素状况</w:t>
            </w:r>
          </w:p>
        </w:tc>
        <w:tc>
          <w:tcPr>
            <w:tcW w:w="3169" w:type="dxa"/>
            <w:tcBorders>
              <w:top w:val="single" w:color="auto" w:sz="4" w:space="0"/>
              <w:left w:val="nil"/>
              <w:bottom w:val="single" w:color="auto" w:sz="4" w:space="0"/>
              <w:right w:val="single" w:color="auto" w:sz="4" w:space="0"/>
            </w:tcBorders>
            <w:noWrap/>
            <w:vAlign w:val="center"/>
          </w:tcPr>
          <w:p w14:paraId="17129524">
            <w:pPr>
              <w:jc w:val="center"/>
              <w:rPr>
                <w:rFonts w:eastAsia="楷体_GB2312"/>
                <w:szCs w:val="21"/>
              </w:rPr>
            </w:pPr>
            <w:r>
              <w:rPr>
                <w:rFonts w:eastAsia="楷体_GB2312"/>
                <w:szCs w:val="21"/>
              </w:rPr>
              <w:t>3.52</w:t>
            </w:r>
          </w:p>
        </w:tc>
      </w:tr>
      <w:tr w14:paraId="487415F2">
        <w:tblPrEx>
          <w:tblCellMar>
            <w:top w:w="0" w:type="dxa"/>
            <w:left w:w="108" w:type="dxa"/>
            <w:bottom w:w="0" w:type="dxa"/>
            <w:right w:w="108" w:type="dxa"/>
          </w:tblCellMar>
        </w:tblPrEx>
        <w:trPr>
          <w:trHeight w:val="454" w:hRule="atLeast"/>
          <w:jc w:val="center"/>
        </w:trPr>
        <w:tc>
          <w:tcPr>
            <w:tcW w:w="1134" w:type="dxa"/>
            <w:vMerge w:val="restart"/>
            <w:tcBorders>
              <w:top w:val="single" w:color="auto" w:sz="4" w:space="0"/>
              <w:left w:val="single" w:color="auto" w:sz="4" w:space="0"/>
              <w:right w:val="single" w:color="auto" w:sz="4" w:space="0"/>
            </w:tcBorders>
            <w:noWrap w:val="0"/>
            <w:vAlign w:val="center"/>
          </w:tcPr>
          <w:p w14:paraId="7F01187D">
            <w:pPr>
              <w:spacing w:line="0" w:lineRule="atLeast"/>
              <w:jc w:val="center"/>
              <w:rPr>
                <w:rFonts w:eastAsia="楷体_GB2312"/>
                <w:szCs w:val="21"/>
              </w:rPr>
            </w:pPr>
            <w:r>
              <w:rPr>
                <w:rFonts w:eastAsia="楷体_GB2312"/>
                <w:szCs w:val="21"/>
              </w:rPr>
              <w:t>个</w:t>
            </w:r>
          </w:p>
          <w:p w14:paraId="4AA55F86">
            <w:pPr>
              <w:spacing w:line="0" w:lineRule="atLeast"/>
              <w:jc w:val="center"/>
              <w:rPr>
                <w:rFonts w:eastAsia="楷体_GB2312"/>
                <w:szCs w:val="21"/>
              </w:rPr>
            </w:pPr>
            <w:r>
              <w:rPr>
                <w:rFonts w:eastAsia="楷体_GB2312"/>
                <w:szCs w:val="21"/>
              </w:rPr>
              <w:t>别</w:t>
            </w:r>
          </w:p>
          <w:p w14:paraId="59874DE4">
            <w:pPr>
              <w:spacing w:line="0" w:lineRule="atLeast"/>
              <w:jc w:val="center"/>
              <w:rPr>
                <w:rFonts w:eastAsia="楷体_GB2312"/>
                <w:szCs w:val="21"/>
              </w:rPr>
            </w:pPr>
            <w:r>
              <w:rPr>
                <w:rFonts w:eastAsia="楷体_GB2312"/>
                <w:szCs w:val="21"/>
              </w:rPr>
              <w:t>因</w:t>
            </w:r>
          </w:p>
          <w:p w14:paraId="2FD8CE4A">
            <w:pPr>
              <w:spacing w:line="0" w:lineRule="atLeast"/>
              <w:jc w:val="center"/>
              <w:rPr>
                <w:rFonts w:eastAsia="楷体_GB2312"/>
                <w:szCs w:val="21"/>
              </w:rPr>
            </w:pPr>
            <w:r>
              <w:rPr>
                <w:rFonts w:eastAsia="楷体_GB2312"/>
                <w:szCs w:val="21"/>
              </w:rPr>
              <w:t>素</w:t>
            </w:r>
          </w:p>
        </w:tc>
        <w:tc>
          <w:tcPr>
            <w:tcW w:w="4769" w:type="dxa"/>
            <w:gridSpan w:val="3"/>
            <w:tcBorders>
              <w:top w:val="single" w:color="auto" w:sz="4" w:space="0"/>
              <w:left w:val="nil"/>
              <w:bottom w:val="single" w:color="auto" w:sz="4" w:space="0"/>
              <w:right w:val="single" w:color="auto" w:sz="4" w:space="0"/>
            </w:tcBorders>
            <w:noWrap/>
            <w:vAlign w:val="center"/>
          </w:tcPr>
          <w:p w14:paraId="56976E7C">
            <w:pPr>
              <w:spacing w:line="0" w:lineRule="atLeast"/>
              <w:jc w:val="center"/>
              <w:rPr>
                <w:rFonts w:eastAsia="楷体_GB2312"/>
                <w:szCs w:val="21"/>
              </w:rPr>
            </w:pPr>
            <w:r>
              <w:rPr>
                <w:rFonts w:eastAsia="楷体_GB2312"/>
                <w:szCs w:val="21"/>
              </w:rPr>
              <w:t>距商服中心距离</w:t>
            </w:r>
          </w:p>
        </w:tc>
        <w:tc>
          <w:tcPr>
            <w:tcW w:w="3169" w:type="dxa"/>
            <w:tcBorders>
              <w:top w:val="single" w:color="auto" w:sz="4" w:space="0"/>
              <w:left w:val="nil"/>
              <w:bottom w:val="single" w:color="auto" w:sz="4" w:space="0"/>
              <w:right w:val="single" w:color="auto" w:sz="4" w:space="0"/>
            </w:tcBorders>
            <w:noWrap/>
            <w:vAlign w:val="center"/>
          </w:tcPr>
          <w:p w14:paraId="15F383CF">
            <w:pPr>
              <w:jc w:val="center"/>
              <w:rPr>
                <w:rFonts w:eastAsia="楷体_GB2312"/>
                <w:szCs w:val="21"/>
              </w:rPr>
            </w:pPr>
            <w:r>
              <w:rPr>
                <w:rFonts w:eastAsia="楷体_GB2312"/>
                <w:szCs w:val="21"/>
              </w:rPr>
              <w:t>5.32</w:t>
            </w:r>
          </w:p>
        </w:tc>
      </w:tr>
      <w:tr w14:paraId="07677C19">
        <w:tblPrEx>
          <w:tblCellMar>
            <w:top w:w="0" w:type="dxa"/>
            <w:left w:w="108" w:type="dxa"/>
            <w:bottom w:w="0" w:type="dxa"/>
            <w:right w:w="108" w:type="dxa"/>
          </w:tblCellMar>
        </w:tblPrEx>
        <w:trPr>
          <w:trHeight w:val="454" w:hRule="atLeast"/>
          <w:jc w:val="center"/>
        </w:trPr>
        <w:tc>
          <w:tcPr>
            <w:tcW w:w="1134" w:type="dxa"/>
            <w:vMerge w:val="continue"/>
            <w:tcBorders>
              <w:left w:val="single" w:color="auto" w:sz="4" w:space="0"/>
              <w:right w:val="single" w:color="auto" w:sz="4" w:space="0"/>
            </w:tcBorders>
            <w:noWrap w:val="0"/>
            <w:vAlign w:val="center"/>
          </w:tcPr>
          <w:p w14:paraId="70BA6339">
            <w:pPr>
              <w:spacing w:line="0" w:lineRule="atLeast"/>
              <w:jc w:val="center"/>
              <w:rPr>
                <w:rFonts w:eastAsia="楷体_GB2312"/>
                <w:szCs w:val="21"/>
              </w:rPr>
            </w:pPr>
          </w:p>
        </w:tc>
        <w:tc>
          <w:tcPr>
            <w:tcW w:w="4769" w:type="dxa"/>
            <w:gridSpan w:val="3"/>
            <w:tcBorders>
              <w:top w:val="single" w:color="auto" w:sz="4" w:space="0"/>
              <w:left w:val="nil"/>
              <w:bottom w:val="single" w:color="auto" w:sz="4" w:space="0"/>
              <w:right w:val="single" w:color="auto" w:sz="4" w:space="0"/>
            </w:tcBorders>
            <w:noWrap/>
            <w:vAlign w:val="center"/>
          </w:tcPr>
          <w:p w14:paraId="5456CD4F">
            <w:pPr>
              <w:spacing w:line="0" w:lineRule="atLeast"/>
              <w:jc w:val="center"/>
              <w:rPr>
                <w:rFonts w:eastAsia="楷体_GB2312"/>
                <w:szCs w:val="21"/>
              </w:rPr>
            </w:pPr>
            <w:r>
              <w:rPr>
                <w:rFonts w:eastAsia="楷体_GB2312"/>
                <w:szCs w:val="21"/>
              </w:rPr>
              <w:t>宗地地基状况</w:t>
            </w:r>
          </w:p>
        </w:tc>
        <w:tc>
          <w:tcPr>
            <w:tcW w:w="3169" w:type="dxa"/>
            <w:tcBorders>
              <w:top w:val="single" w:color="auto" w:sz="4" w:space="0"/>
              <w:left w:val="nil"/>
              <w:bottom w:val="single" w:color="auto" w:sz="4" w:space="0"/>
              <w:right w:val="single" w:color="auto" w:sz="4" w:space="0"/>
            </w:tcBorders>
            <w:noWrap/>
            <w:vAlign w:val="center"/>
          </w:tcPr>
          <w:p w14:paraId="33117123">
            <w:pPr>
              <w:jc w:val="center"/>
              <w:rPr>
                <w:rFonts w:eastAsia="楷体_GB2312"/>
                <w:szCs w:val="21"/>
              </w:rPr>
            </w:pPr>
            <w:r>
              <w:rPr>
                <w:rFonts w:eastAsia="楷体_GB2312"/>
                <w:szCs w:val="21"/>
              </w:rPr>
              <w:t>3.96</w:t>
            </w:r>
          </w:p>
        </w:tc>
      </w:tr>
      <w:tr w14:paraId="01D2B051">
        <w:tblPrEx>
          <w:tblCellMar>
            <w:top w:w="0" w:type="dxa"/>
            <w:left w:w="108" w:type="dxa"/>
            <w:bottom w:w="0" w:type="dxa"/>
            <w:right w:w="108" w:type="dxa"/>
          </w:tblCellMar>
        </w:tblPrEx>
        <w:trPr>
          <w:trHeight w:val="454" w:hRule="atLeast"/>
          <w:jc w:val="center"/>
        </w:trPr>
        <w:tc>
          <w:tcPr>
            <w:tcW w:w="1134" w:type="dxa"/>
            <w:vMerge w:val="continue"/>
            <w:tcBorders>
              <w:left w:val="single" w:color="auto" w:sz="4" w:space="0"/>
              <w:right w:val="single" w:color="auto" w:sz="4" w:space="0"/>
            </w:tcBorders>
            <w:noWrap w:val="0"/>
            <w:vAlign w:val="center"/>
          </w:tcPr>
          <w:p w14:paraId="33C39D20">
            <w:pPr>
              <w:spacing w:line="0" w:lineRule="atLeast"/>
              <w:jc w:val="center"/>
              <w:rPr>
                <w:rFonts w:eastAsia="楷体_GB2312"/>
                <w:szCs w:val="21"/>
              </w:rPr>
            </w:pPr>
          </w:p>
        </w:tc>
        <w:tc>
          <w:tcPr>
            <w:tcW w:w="4769" w:type="dxa"/>
            <w:gridSpan w:val="3"/>
            <w:tcBorders>
              <w:top w:val="single" w:color="auto" w:sz="4" w:space="0"/>
              <w:left w:val="single" w:color="auto" w:sz="4" w:space="0"/>
              <w:bottom w:val="single" w:color="auto" w:sz="4" w:space="0"/>
              <w:right w:val="single" w:color="auto" w:sz="4" w:space="0"/>
            </w:tcBorders>
            <w:noWrap/>
            <w:vAlign w:val="center"/>
          </w:tcPr>
          <w:p w14:paraId="190B7F8E">
            <w:pPr>
              <w:spacing w:line="0" w:lineRule="atLeast"/>
              <w:jc w:val="center"/>
              <w:rPr>
                <w:rFonts w:eastAsia="楷体_GB2312"/>
                <w:szCs w:val="21"/>
              </w:rPr>
            </w:pPr>
            <w:r>
              <w:rPr>
                <w:rFonts w:eastAsia="楷体_GB2312"/>
                <w:szCs w:val="21"/>
              </w:rPr>
              <w:t>宗地形状</w:t>
            </w:r>
          </w:p>
        </w:tc>
        <w:tc>
          <w:tcPr>
            <w:tcW w:w="3169" w:type="dxa"/>
            <w:tcBorders>
              <w:top w:val="single" w:color="auto" w:sz="4" w:space="0"/>
              <w:left w:val="single" w:color="auto" w:sz="4" w:space="0"/>
              <w:bottom w:val="single" w:color="auto" w:sz="4" w:space="0"/>
              <w:right w:val="single" w:color="auto" w:sz="4" w:space="0"/>
            </w:tcBorders>
            <w:noWrap/>
            <w:vAlign w:val="center"/>
          </w:tcPr>
          <w:p w14:paraId="67C2B797">
            <w:pPr>
              <w:jc w:val="center"/>
              <w:rPr>
                <w:rFonts w:eastAsia="楷体_GB2312"/>
                <w:szCs w:val="21"/>
              </w:rPr>
            </w:pPr>
            <w:r>
              <w:rPr>
                <w:rFonts w:eastAsia="楷体_GB2312"/>
                <w:szCs w:val="21"/>
              </w:rPr>
              <w:t>3.64</w:t>
            </w:r>
          </w:p>
        </w:tc>
      </w:tr>
      <w:tr w14:paraId="2EA437A1">
        <w:tblPrEx>
          <w:tblCellMar>
            <w:top w:w="0" w:type="dxa"/>
            <w:left w:w="108" w:type="dxa"/>
            <w:bottom w:w="0" w:type="dxa"/>
            <w:right w:w="108" w:type="dxa"/>
          </w:tblCellMar>
        </w:tblPrEx>
        <w:trPr>
          <w:trHeight w:val="454" w:hRule="atLeast"/>
          <w:jc w:val="center"/>
        </w:trPr>
        <w:tc>
          <w:tcPr>
            <w:tcW w:w="1134" w:type="dxa"/>
            <w:vMerge w:val="continue"/>
            <w:tcBorders>
              <w:left w:val="single" w:color="auto" w:sz="4" w:space="0"/>
              <w:right w:val="single" w:color="auto" w:sz="4" w:space="0"/>
            </w:tcBorders>
            <w:noWrap w:val="0"/>
            <w:vAlign w:val="center"/>
          </w:tcPr>
          <w:p w14:paraId="2B69D36B">
            <w:pPr>
              <w:spacing w:line="0" w:lineRule="atLeast"/>
              <w:jc w:val="center"/>
              <w:rPr>
                <w:rFonts w:eastAsia="楷体_GB2312"/>
                <w:szCs w:val="21"/>
              </w:rPr>
            </w:pPr>
          </w:p>
        </w:tc>
        <w:tc>
          <w:tcPr>
            <w:tcW w:w="4769" w:type="dxa"/>
            <w:gridSpan w:val="3"/>
            <w:tcBorders>
              <w:top w:val="single" w:color="auto" w:sz="4" w:space="0"/>
              <w:left w:val="nil"/>
              <w:bottom w:val="single" w:color="auto" w:sz="4" w:space="0"/>
              <w:right w:val="single" w:color="auto" w:sz="4" w:space="0"/>
            </w:tcBorders>
            <w:noWrap/>
            <w:vAlign w:val="center"/>
          </w:tcPr>
          <w:p w14:paraId="69A022E1">
            <w:pPr>
              <w:spacing w:line="0" w:lineRule="atLeast"/>
              <w:jc w:val="center"/>
              <w:rPr>
                <w:rFonts w:eastAsia="楷体_GB2312"/>
                <w:szCs w:val="21"/>
              </w:rPr>
            </w:pPr>
            <w:r>
              <w:rPr>
                <w:rFonts w:eastAsia="楷体_GB2312"/>
                <w:szCs w:val="21"/>
              </w:rPr>
              <w:t>宗地面积</w:t>
            </w:r>
          </w:p>
        </w:tc>
        <w:tc>
          <w:tcPr>
            <w:tcW w:w="3169" w:type="dxa"/>
            <w:tcBorders>
              <w:top w:val="single" w:color="auto" w:sz="4" w:space="0"/>
              <w:left w:val="nil"/>
              <w:bottom w:val="single" w:color="auto" w:sz="4" w:space="0"/>
              <w:right w:val="single" w:color="auto" w:sz="4" w:space="0"/>
            </w:tcBorders>
            <w:noWrap/>
            <w:vAlign w:val="center"/>
          </w:tcPr>
          <w:p w14:paraId="7ECF5B2B">
            <w:pPr>
              <w:jc w:val="center"/>
              <w:rPr>
                <w:rFonts w:eastAsia="楷体_GB2312"/>
                <w:szCs w:val="21"/>
              </w:rPr>
            </w:pPr>
            <w:r>
              <w:rPr>
                <w:rFonts w:eastAsia="楷体_GB2312"/>
                <w:szCs w:val="21"/>
              </w:rPr>
              <w:t>3.84</w:t>
            </w:r>
          </w:p>
        </w:tc>
      </w:tr>
      <w:tr w14:paraId="250322A5">
        <w:tblPrEx>
          <w:tblCellMar>
            <w:top w:w="0" w:type="dxa"/>
            <w:left w:w="108" w:type="dxa"/>
            <w:bottom w:w="0" w:type="dxa"/>
            <w:right w:w="108" w:type="dxa"/>
          </w:tblCellMar>
        </w:tblPrEx>
        <w:trPr>
          <w:trHeight w:val="454" w:hRule="atLeast"/>
          <w:jc w:val="center"/>
        </w:trPr>
        <w:tc>
          <w:tcPr>
            <w:tcW w:w="1134" w:type="dxa"/>
            <w:vMerge w:val="continue"/>
            <w:tcBorders>
              <w:left w:val="single" w:color="auto" w:sz="4" w:space="0"/>
              <w:right w:val="single" w:color="auto" w:sz="4" w:space="0"/>
            </w:tcBorders>
            <w:noWrap w:val="0"/>
            <w:vAlign w:val="center"/>
          </w:tcPr>
          <w:p w14:paraId="22A4C5F9">
            <w:pPr>
              <w:spacing w:line="0" w:lineRule="atLeast"/>
              <w:jc w:val="center"/>
              <w:rPr>
                <w:rFonts w:eastAsia="楷体_GB2312"/>
                <w:szCs w:val="21"/>
              </w:rPr>
            </w:pPr>
          </w:p>
        </w:tc>
        <w:tc>
          <w:tcPr>
            <w:tcW w:w="4769" w:type="dxa"/>
            <w:gridSpan w:val="3"/>
            <w:tcBorders>
              <w:top w:val="single" w:color="auto" w:sz="4" w:space="0"/>
              <w:left w:val="nil"/>
              <w:bottom w:val="single" w:color="auto" w:sz="4" w:space="0"/>
              <w:right w:val="single" w:color="auto" w:sz="4" w:space="0"/>
            </w:tcBorders>
            <w:noWrap/>
            <w:vAlign w:val="center"/>
          </w:tcPr>
          <w:p w14:paraId="14151C30">
            <w:pPr>
              <w:spacing w:line="0" w:lineRule="atLeast"/>
              <w:jc w:val="center"/>
              <w:rPr>
                <w:rFonts w:eastAsia="楷体_GB2312"/>
                <w:szCs w:val="21"/>
              </w:rPr>
            </w:pPr>
            <w:r>
              <w:rPr>
                <w:rFonts w:eastAsia="楷体_GB2312"/>
                <w:szCs w:val="21"/>
              </w:rPr>
              <w:t>宗地利用状况</w:t>
            </w:r>
          </w:p>
        </w:tc>
        <w:tc>
          <w:tcPr>
            <w:tcW w:w="3169" w:type="dxa"/>
            <w:tcBorders>
              <w:top w:val="single" w:color="auto" w:sz="4" w:space="0"/>
              <w:left w:val="nil"/>
              <w:bottom w:val="single" w:color="auto" w:sz="4" w:space="0"/>
              <w:right w:val="single" w:color="auto" w:sz="4" w:space="0"/>
            </w:tcBorders>
            <w:noWrap/>
            <w:vAlign w:val="center"/>
          </w:tcPr>
          <w:p w14:paraId="2F605753">
            <w:pPr>
              <w:jc w:val="center"/>
              <w:rPr>
                <w:rFonts w:eastAsia="楷体_GB2312"/>
                <w:szCs w:val="21"/>
              </w:rPr>
            </w:pPr>
            <w:r>
              <w:rPr>
                <w:rFonts w:eastAsia="楷体_GB2312"/>
                <w:szCs w:val="21"/>
              </w:rPr>
              <w:t>3.11</w:t>
            </w:r>
          </w:p>
        </w:tc>
      </w:tr>
      <w:tr w14:paraId="4FFA1BFC">
        <w:tblPrEx>
          <w:tblCellMar>
            <w:top w:w="0" w:type="dxa"/>
            <w:left w:w="108" w:type="dxa"/>
            <w:bottom w:w="0" w:type="dxa"/>
            <w:right w:w="108" w:type="dxa"/>
          </w:tblCellMar>
        </w:tblPrEx>
        <w:trPr>
          <w:trHeight w:val="454" w:hRule="atLeast"/>
          <w:jc w:val="center"/>
        </w:trPr>
        <w:tc>
          <w:tcPr>
            <w:tcW w:w="1134" w:type="dxa"/>
            <w:vMerge w:val="continue"/>
            <w:tcBorders>
              <w:left w:val="single" w:color="auto" w:sz="4" w:space="0"/>
              <w:right w:val="single" w:color="auto" w:sz="4" w:space="0"/>
            </w:tcBorders>
            <w:noWrap w:val="0"/>
            <w:vAlign w:val="center"/>
          </w:tcPr>
          <w:p w14:paraId="74A1EA4D">
            <w:pPr>
              <w:spacing w:line="0" w:lineRule="atLeast"/>
              <w:jc w:val="center"/>
              <w:rPr>
                <w:rFonts w:eastAsia="楷体_GB2312"/>
                <w:szCs w:val="21"/>
              </w:rPr>
            </w:pPr>
          </w:p>
        </w:tc>
        <w:tc>
          <w:tcPr>
            <w:tcW w:w="1349" w:type="dxa"/>
            <w:vMerge w:val="restart"/>
            <w:tcBorders>
              <w:top w:val="single" w:color="auto" w:sz="4" w:space="0"/>
              <w:left w:val="single" w:color="auto" w:sz="4" w:space="0"/>
              <w:bottom w:val="single" w:color="auto" w:sz="4" w:space="0"/>
              <w:right w:val="single" w:color="auto" w:sz="4" w:space="0"/>
            </w:tcBorders>
            <w:noWrap/>
            <w:vAlign w:val="center"/>
          </w:tcPr>
          <w:p w14:paraId="16706FA2">
            <w:pPr>
              <w:spacing w:line="0" w:lineRule="atLeast"/>
              <w:jc w:val="center"/>
              <w:rPr>
                <w:rFonts w:eastAsia="楷体_GB2312"/>
                <w:szCs w:val="21"/>
              </w:rPr>
            </w:pPr>
            <w:r>
              <w:rPr>
                <w:rFonts w:eastAsia="楷体_GB2312"/>
                <w:szCs w:val="21"/>
              </w:rPr>
              <w:t>临街状况</w:t>
            </w:r>
          </w:p>
        </w:tc>
        <w:tc>
          <w:tcPr>
            <w:tcW w:w="3420" w:type="dxa"/>
            <w:gridSpan w:val="2"/>
            <w:tcBorders>
              <w:top w:val="single" w:color="auto" w:sz="4" w:space="0"/>
              <w:left w:val="single" w:color="auto" w:sz="4" w:space="0"/>
              <w:bottom w:val="single" w:color="auto" w:sz="4" w:space="0"/>
              <w:right w:val="single" w:color="auto" w:sz="4" w:space="0"/>
            </w:tcBorders>
            <w:noWrap/>
            <w:vAlign w:val="center"/>
          </w:tcPr>
          <w:p w14:paraId="3FBA1A29">
            <w:pPr>
              <w:spacing w:line="0" w:lineRule="atLeast"/>
              <w:jc w:val="center"/>
              <w:rPr>
                <w:rFonts w:eastAsia="楷体_GB2312"/>
                <w:szCs w:val="21"/>
              </w:rPr>
            </w:pPr>
            <w:r>
              <w:rPr>
                <w:rFonts w:eastAsia="楷体_GB2312"/>
                <w:szCs w:val="21"/>
              </w:rPr>
              <w:t>所临街道类型</w:t>
            </w:r>
          </w:p>
        </w:tc>
        <w:tc>
          <w:tcPr>
            <w:tcW w:w="3169" w:type="dxa"/>
            <w:tcBorders>
              <w:top w:val="single" w:color="auto" w:sz="4" w:space="0"/>
              <w:left w:val="single" w:color="auto" w:sz="4" w:space="0"/>
              <w:bottom w:val="single" w:color="auto" w:sz="4" w:space="0"/>
              <w:right w:val="single" w:color="auto" w:sz="4" w:space="0"/>
            </w:tcBorders>
            <w:noWrap/>
            <w:vAlign w:val="center"/>
          </w:tcPr>
          <w:p w14:paraId="69A01AE6">
            <w:pPr>
              <w:jc w:val="center"/>
              <w:rPr>
                <w:rFonts w:eastAsia="楷体_GB2312"/>
                <w:szCs w:val="21"/>
              </w:rPr>
            </w:pPr>
            <w:r>
              <w:rPr>
                <w:rFonts w:eastAsia="楷体_GB2312"/>
                <w:szCs w:val="21"/>
              </w:rPr>
              <w:t>3.34</w:t>
            </w:r>
          </w:p>
        </w:tc>
      </w:tr>
      <w:tr w14:paraId="3072B4E9">
        <w:tblPrEx>
          <w:tblCellMar>
            <w:top w:w="0" w:type="dxa"/>
            <w:left w:w="108" w:type="dxa"/>
            <w:bottom w:w="0" w:type="dxa"/>
            <w:right w:w="108" w:type="dxa"/>
          </w:tblCellMar>
        </w:tblPrEx>
        <w:trPr>
          <w:trHeight w:val="454" w:hRule="atLeast"/>
          <w:jc w:val="center"/>
        </w:trPr>
        <w:tc>
          <w:tcPr>
            <w:tcW w:w="1134" w:type="dxa"/>
            <w:vMerge w:val="continue"/>
            <w:tcBorders>
              <w:left w:val="single" w:color="auto" w:sz="4" w:space="0"/>
              <w:right w:val="single" w:color="auto" w:sz="4" w:space="0"/>
            </w:tcBorders>
            <w:noWrap w:val="0"/>
            <w:vAlign w:val="center"/>
          </w:tcPr>
          <w:p w14:paraId="35B92FAC">
            <w:pPr>
              <w:spacing w:line="0" w:lineRule="atLeast"/>
              <w:jc w:val="center"/>
              <w:rPr>
                <w:rFonts w:eastAsia="楷体_GB2312"/>
                <w:szCs w:val="21"/>
              </w:rPr>
            </w:pPr>
          </w:p>
        </w:tc>
        <w:tc>
          <w:tcPr>
            <w:tcW w:w="1349" w:type="dxa"/>
            <w:vMerge w:val="continue"/>
            <w:tcBorders>
              <w:top w:val="single" w:color="auto" w:sz="4" w:space="0"/>
              <w:left w:val="single" w:color="auto" w:sz="4" w:space="0"/>
              <w:bottom w:val="single" w:color="auto" w:sz="4" w:space="0"/>
              <w:right w:val="single" w:color="auto" w:sz="4" w:space="0"/>
            </w:tcBorders>
            <w:noWrap w:val="0"/>
            <w:vAlign w:val="center"/>
          </w:tcPr>
          <w:p w14:paraId="3FDF461A">
            <w:pPr>
              <w:spacing w:line="0" w:lineRule="atLeast"/>
              <w:jc w:val="center"/>
              <w:rPr>
                <w:rFonts w:eastAsia="楷体_GB2312"/>
                <w:szCs w:val="21"/>
              </w:rPr>
            </w:pPr>
          </w:p>
        </w:tc>
        <w:tc>
          <w:tcPr>
            <w:tcW w:w="3420" w:type="dxa"/>
            <w:gridSpan w:val="2"/>
            <w:tcBorders>
              <w:top w:val="single" w:color="auto" w:sz="4" w:space="0"/>
              <w:left w:val="single" w:color="auto" w:sz="4" w:space="0"/>
              <w:bottom w:val="single" w:color="auto" w:sz="4" w:space="0"/>
              <w:right w:val="single" w:color="auto" w:sz="4" w:space="0"/>
            </w:tcBorders>
            <w:noWrap/>
            <w:vAlign w:val="center"/>
          </w:tcPr>
          <w:p w14:paraId="73BBDEAA">
            <w:pPr>
              <w:spacing w:line="0" w:lineRule="atLeast"/>
              <w:jc w:val="center"/>
              <w:rPr>
                <w:rFonts w:eastAsia="楷体_GB2312"/>
                <w:szCs w:val="21"/>
              </w:rPr>
            </w:pPr>
            <w:r>
              <w:rPr>
                <w:rFonts w:eastAsia="楷体_GB2312"/>
                <w:szCs w:val="21"/>
              </w:rPr>
              <w:t>宽深比</w:t>
            </w:r>
          </w:p>
        </w:tc>
        <w:tc>
          <w:tcPr>
            <w:tcW w:w="3169" w:type="dxa"/>
            <w:tcBorders>
              <w:top w:val="single" w:color="auto" w:sz="4" w:space="0"/>
              <w:left w:val="single" w:color="auto" w:sz="4" w:space="0"/>
              <w:bottom w:val="single" w:color="auto" w:sz="4" w:space="0"/>
              <w:right w:val="single" w:color="auto" w:sz="4" w:space="0"/>
            </w:tcBorders>
            <w:noWrap/>
            <w:vAlign w:val="center"/>
          </w:tcPr>
          <w:p w14:paraId="03B0F4F2">
            <w:pPr>
              <w:jc w:val="center"/>
              <w:rPr>
                <w:rFonts w:eastAsia="楷体_GB2312"/>
                <w:szCs w:val="21"/>
              </w:rPr>
            </w:pPr>
            <w:r>
              <w:rPr>
                <w:rFonts w:eastAsia="楷体_GB2312"/>
                <w:szCs w:val="21"/>
              </w:rPr>
              <w:t>3.71</w:t>
            </w:r>
          </w:p>
        </w:tc>
      </w:tr>
      <w:tr w14:paraId="27F0ACF7">
        <w:tblPrEx>
          <w:tblCellMar>
            <w:top w:w="0" w:type="dxa"/>
            <w:left w:w="108" w:type="dxa"/>
            <w:bottom w:w="0" w:type="dxa"/>
            <w:right w:w="108" w:type="dxa"/>
          </w:tblCellMar>
        </w:tblPrEx>
        <w:trPr>
          <w:trHeight w:val="454" w:hRule="atLeast"/>
          <w:jc w:val="center"/>
        </w:trPr>
        <w:tc>
          <w:tcPr>
            <w:tcW w:w="1134" w:type="dxa"/>
            <w:vMerge w:val="continue"/>
            <w:tcBorders>
              <w:left w:val="single" w:color="auto" w:sz="4" w:space="0"/>
              <w:right w:val="single" w:color="auto" w:sz="4" w:space="0"/>
            </w:tcBorders>
            <w:noWrap w:val="0"/>
            <w:vAlign w:val="center"/>
          </w:tcPr>
          <w:p w14:paraId="75AA53B1">
            <w:pPr>
              <w:spacing w:line="0" w:lineRule="atLeast"/>
              <w:jc w:val="center"/>
              <w:rPr>
                <w:rFonts w:eastAsia="楷体_GB2312"/>
                <w:szCs w:val="21"/>
              </w:rPr>
            </w:pPr>
          </w:p>
        </w:tc>
        <w:tc>
          <w:tcPr>
            <w:tcW w:w="1349" w:type="dxa"/>
            <w:vMerge w:val="continue"/>
            <w:tcBorders>
              <w:top w:val="single" w:color="auto" w:sz="4" w:space="0"/>
              <w:left w:val="single" w:color="auto" w:sz="4" w:space="0"/>
              <w:bottom w:val="single" w:color="auto" w:sz="4" w:space="0"/>
              <w:right w:val="single" w:color="auto" w:sz="4" w:space="0"/>
            </w:tcBorders>
            <w:noWrap w:val="0"/>
            <w:vAlign w:val="center"/>
          </w:tcPr>
          <w:p w14:paraId="5E7ECC39">
            <w:pPr>
              <w:spacing w:line="0" w:lineRule="atLeast"/>
              <w:jc w:val="center"/>
              <w:rPr>
                <w:rFonts w:eastAsia="楷体_GB2312"/>
                <w:szCs w:val="21"/>
              </w:rPr>
            </w:pPr>
          </w:p>
        </w:tc>
        <w:tc>
          <w:tcPr>
            <w:tcW w:w="3420" w:type="dxa"/>
            <w:gridSpan w:val="2"/>
            <w:tcBorders>
              <w:top w:val="single" w:color="auto" w:sz="4" w:space="0"/>
              <w:left w:val="single" w:color="auto" w:sz="4" w:space="0"/>
              <w:bottom w:val="single" w:color="auto" w:sz="4" w:space="0"/>
              <w:right w:val="single" w:color="auto" w:sz="4" w:space="0"/>
            </w:tcBorders>
            <w:noWrap/>
            <w:vAlign w:val="center"/>
          </w:tcPr>
          <w:p w14:paraId="3ED1231F">
            <w:pPr>
              <w:spacing w:line="0" w:lineRule="atLeast"/>
              <w:jc w:val="center"/>
              <w:rPr>
                <w:rFonts w:eastAsia="楷体_GB2312"/>
                <w:szCs w:val="21"/>
              </w:rPr>
            </w:pPr>
            <w:r>
              <w:rPr>
                <w:rFonts w:eastAsia="楷体_GB2312"/>
                <w:szCs w:val="21"/>
              </w:rPr>
              <w:t>几面临街</w:t>
            </w:r>
          </w:p>
        </w:tc>
        <w:tc>
          <w:tcPr>
            <w:tcW w:w="3169" w:type="dxa"/>
            <w:tcBorders>
              <w:top w:val="single" w:color="auto" w:sz="4" w:space="0"/>
              <w:left w:val="single" w:color="auto" w:sz="4" w:space="0"/>
              <w:bottom w:val="single" w:color="auto" w:sz="4" w:space="0"/>
              <w:right w:val="single" w:color="auto" w:sz="4" w:space="0"/>
            </w:tcBorders>
            <w:noWrap/>
            <w:vAlign w:val="center"/>
          </w:tcPr>
          <w:p w14:paraId="2B754E17">
            <w:pPr>
              <w:jc w:val="center"/>
              <w:rPr>
                <w:rFonts w:eastAsia="楷体_GB2312"/>
                <w:szCs w:val="21"/>
              </w:rPr>
            </w:pPr>
            <w:r>
              <w:rPr>
                <w:rFonts w:eastAsia="楷体_GB2312"/>
                <w:szCs w:val="21"/>
              </w:rPr>
              <w:t>4.38</w:t>
            </w:r>
          </w:p>
        </w:tc>
      </w:tr>
      <w:tr w14:paraId="1162EA3D">
        <w:tblPrEx>
          <w:tblCellMar>
            <w:top w:w="0" w:type="dxa"/>
            <w:left w:w="108" w:type="dxa"/>
            <w:bottom w:w="0" w:type="dxa"/>
            <w:right w:w="108" w:type="dxa"/>
          </w:tblCellMar>
        </w:tblPrEx>
        <w:trPr>
          <w:trHeight w:val="454" w:hRule="atLeast"/>
          <w:jc w:val="center"/>
        </w:trPr>
        <w:tc>
          <w:tcPr>
            <w:tcW w:w="1134" w:type="dxa"/>
            <w:vMerge w:val="continue"/>
            <w:tcBorders>
              <w:left w:val="single" w:color="auto" w:sz="4" w:space="0"/>
              <w:right w:val="single" w:color="auto" w:sz="4" w:space="0"/>
            </w:tcBorders>
            <w:noWrap w:val="0"/>
            <w:vAlign w:val="center"/>
          </w:tcPr>
          <w:p w14:paraId="27403395">
            <w:pPr>
              <w:spacing w:line="0" w:lineRule="atLeast"/>
              <w:jc w:val="center"/>
              <w:rPr>
                <w:rFonts w:eastAsia="楷体_GB2312"/>
                <w:szCs w:val="21"/>
              </w:rPr>
            </w:pPr>
          </w:p>
        </w:tc>
        <w:tc>
          <w:tcPr>
            <w:tcW w:w="4769" w:type="dxa"/>
            <w:gridSpan w:val="3"/>
            <w:tcBorders>
              <w:top w:val="single" w:color="auto" w:sz="4" w:space="0"/>
              <w:left w:val="nil"/>
              <w:bottom w:val="single" w:color="auto" w:sz="4" w:space="0"/>
              <w:right w:val="single" w:color="auto" w:sz="4" w:space="0"/>
            </w:tcBorders>
            <w:noWrap/>
            <w:vAlign w:val="center"/>
          </w:tcPr>
          <w:p w14:paraId="24EF25AC">
            <w:pPr>
              <w:spacing w:line="0" w:lineRule="atLeast"/>
              <w:jc w:val="center"/>
              <w:rPr>
                <w:rFonts w:eastAsia="楷体_GB2312"/>
                <w:szCs w:val="21"/>
              </w:rPr>
            </w:pPr>
            <w:r>
              <w:rPr>
                <w:rFonts w:eastAsia="楷体_GB2312"/>
                <w:szCs w:val="21"/>
              </w:rPr>
              <w:t>宗地基础设施状况</w:t>
            </w:r>
          </w:p>
        </w:tc>
        <w:tc>
          <w:tcPr>
            <w:tcW w:w="3169" w:type="dxa"/>
            <w:tcBorders>
              <w:top w:val="single" w:color="auto" w:sz="4" w:space="0"/>
              <w:left w:val="nil"/>
              <w:bottom w:val="single" w:color="auto" w:sz="4" w:space="0"/>
              <w:right w:val="single" w:color="auto" w:sz="4" w:space="0"/>
            </w:tcBorders>
            <w:noWrap/>
            <w:vAlign w:val="center"/>
          </w:tcPr>
          <w:p w14:paraId="34274557">
            <w:pPr>
              <w:jc w:val="center"/>
              <w:rPr>
                <w:rFonts w:eastAsia="楷体_GB2312"/>
                <w:szCs w:val="21"/>
              </w:rPr>
            </w:pPr>
            <w:r>
              <w:rPr>
                <w:rFonts w:eastAsia="楷体_GB2312"/>
                <w:szCs w:val="21"/>
              </w:rPr>
              <w:t>4.09</w:t>
            </w:r>
          </w:p>
        </w:tc>
      </w:tr>
      <w:tr w14:paraId="7E8A4863">
        <w:tblPrEx>
          <w:tblCellMar>
            <w:top w:w="0" w:type="dxa"/>
            <w:left w:w="108" w:type="dxa"/>
            <w:bottom w:w="0" w:type="dxa"/>
            <w:right w:w="108" w:type="dxa"/>
          </w:tblCellMar>
        </w:tblPrEx>
        <w:trPr>
          <w:trHeight w:val="454" w:hRule="atLeast"/>
          <w:jc w:val="center"/>
        </w:trPr>
        <w:tc>
          <w:tcPr>
            <w:tcW w:w="1134" w:type="dxa"/>
            <w:vMerge w:val="continue"/>
            <w:tcBorders>
              <w:left w:val="single" w:color="auto" w:sz="4" w:space="0"/>
              <w:right w:val="single" w:color="auto" w:sz="4" w:space="0"/>
            </w:tcBorders>
            <w:noWrap w:val="0"/>
            <w:vAlign w:val="center"/>
          </w:tcPr>
          <w:p w14:paraId="3E47D211">
            <w:pPr>
              <w:spacing w:line="0" w:lineRule="atLeast"/>
              <w:jc w:val="center"/>
              <w:rPr>
                <w:rFonts w:eastAsia="楷体_GB2312"/>
                <w:szCs w:val="21"/>
              </w:rPr>
            </w:pPr>
          </w:p>
        </w:tc>
        <w:tc>
          <w:tcPr>
            <w:tcW w:w="4769" w:type="dxa"/>
            <w:gridSpan w:val="3"/>
            <w:tcBorders>
              <w:top w:val="single" w:color="auto" w:sz="4" w:space="0"/>
              <w:left w:val="single" w:color="auto" w:sz="4" w:space="0"/>
              <w:bottom w:val="single" w:color="auto" w:sz="4" w:space="0"/>
              <w:right w:val="single" w:color="auto" w:sz="4" w:space="0"/>
            </w:tcBorders>
            <w:noWrap/>
            <w:vAlign w:val="center"/>
          </w:tcPr>
          <w:p w14:paraId="6E30A3FF">
            <w:pPr>
              <w:spacing w:line="0" w:lineRule="atLeast"/>
              <w:jc w:val="center"/>
              <w:rPr>
                <w:rFonts w:eastAsia="楷体_GB2312"/>
                <w:szCs w:val="21"/>
              </w:rPr>
            </w:pPr>
            <w:r>
              <w:rPr>
                <w:rFonts w:eastAsia="楷体_GB2312"/>
                <w:szCs w:val="21"/>
              </w:rPr>
              <w:t>距对外交通设施距离</w:t>
            </w:r>
          </w:p>
        </w:tc>
        <w:tc>
          <w:tcPr>
            <w:tcW w:w="3169" w:type="dxa"/>
            <w:tcBorders>
              <w:top w:val="single" w:color="auto" w:sz="4" w:space="0"/>
              <w:left w:val="single" w:color="auto" w:sz="4" w:space="0"/>
              <w:bottom w:val="single" w:color="auto" w:sz="4" w:space="0"/>
              <w:right w:val="single" w:color="auto" w:sz="4" w:space="0"/>
            </w:tcBorders>
            <w:noWrap/>
            <w:vAlign w:val="center"/>
          </w:tcPr>
          <w:p w14:paraId="326A911F">
            <w:pPr>
              <w:jc w:val="center"/>
              <w:rPr>
                <w:rFonts w:eastAsia="楷体_GB2312"/>
                <w:szCs w:val="21"/>
              </w:rPr>
            </w:pPr>
            <w:r>
              <w:rPr>
                <w:rFonts w:eastAsia="楷体_GB2312"/>
                <w:szCs w:val="21"/>
              </w:rPr>
              <w:t>4.53</w:t>
            </w:r>
          </w:p>
        </w:tc>
      </w:tr>
      <w:tr w14:paraId="0BA579DD">
        <w:tblPrEx>
          <w:tblCellMar>
            <w:top w:w="0" w:type="dxa"/>
            <w:left w:w="108" w:type="dxa"/>
            <w:bottom w:w="0" w:type="dxa"/>
            <w:right w:w="108" w:type="dxa"/>
          </w:tblCellMar>
        </w:tblPrEx>
        <w:trPr>
          <w:trHeight w:val="454" w:hRule="atLeast"/>
          <w:jc w:val="center"/>
        </w:trPr>
        <w:tc>
          <w:tcPr>
            <w:tcW w:w="1134" w:type="dxa"/>
            <w:vMerge w:val="continue"/>
            <w:tcBorders>
              <w:left w:val="single" w:color="auto" w:sz="4" w:space="0"/>
              <w:right w:val="single" w:color="auto" w:sz="4" w:space="0"/>
            </w:tcBorders>
            <w:noWrap w:val="0"/>
            <w:vAlign w:val="center"/>
          </w:tcPr>
          <w:p w14:paraId="78920F22">
            <w:pPr>
              <w:spacing w:line="0" w:lineRule="atLeast"/>
              <w:jc w:val="center"/>
              <w:rPr>
                <w:rFonts w:eastAsia="楷体_GB2312"/>
                <w:szCs w:val="21"/>
              </w:rPr>
            </w:pPr>
          </w:p>
        </w:tc>
        <w:tc>
          <w:tcPr>
            <w:tcW w:w="4769" w:type="dxa"/>
            <w:gridSpan w:val="3"/>
            <w:tcBorders>
              <w:top w:val="single" w:color="auto" w:sz="4" w:space="0"/>
              <w:left w:val="nil"/>
              <w:bottom w:val="single" w:color="auto" w:sz="4" w:space="0"/>
              <w:right w:val="single" w:color="auto" w:sz="4" w:space="0"/>
            </w:tcBorders>
            <w:noWrap/>
            <w:vAlign w:val="center"/>
          </w:tcPr>
          <w:p w14:paraId="127D1DF5">
            <w:pPr>
              <w:spacing w:line="0" w:lineRule="atLeast"/>
              <w:jc w:val="center"/>
              <w:rPr>
                <w:rFonts w:eastAsia="楷体_GB2312"/>
                <w:szCs w:val="21"/>
              </w:rPr>
            </w:pPr>
            <w:r>
              <w:rPr>
                <w:rFonts w:eastAsia="楷体_GB2312"/>
                <w:szCs w:val="21"/>
              </w:rPr>
              <w:t>相邻土地利用状况</w:t>
            </w:r>
          </w:p>
        </w:tc>
        <w:tc>
          <w:tcPr>
            <w:tcW w:w="3169" w:type="dxa"/>
            <w:tcBorders>
              <w:top w:val="single" w:color="auto" w:sz="4" w:space="0"/>
              <w:left w:val="nil"/>
              <w:bottom w:val="single" w:color="auto" w:sz="4" w:space="0"/>
              <w:right w:val="single" w:color="auto" w:sz="4" w:space="0"/>
            </w:tcBorders>
            <w:noWrap/>
            <w:vAlign w:val="center"/>
          </w:tcPr>
          <w:p w14:paraId="71DCFE3C">
            <w:pPr>
              <w:jc w:val="center"/>
              <w:rPr>
                <w:rFonts w:eastAsia="楷体_GB2312"/>
                <w:szCs w:val="21"/>
              </w:rPr>
            </w:pPr>
            <w:r>
              <w:rPr>
                <w:rFonts w:eastAsia="楷体_GB2312"/>
                <w:szCs w:val="21"/>
              </w:rPr>
              <w:t>3.74</w:t>
            </w:r>
          </w:p>
        </w:tc>
      </w:tr>
      <w:tr w14:paraId="2486D4BA">
        <w:tblPrEx>
          <w:tblCellMar>
            <w:top w:w="0" w:type="dxa"/>
            <w:left w:w="108" w:type="dxa"/>
            <w:bottom w:w="0" w:type="dxa"/>
            <w:right w:w="108" w:type="dxa"/>
          </w:tblCellMar>
        </w:tblPrEx>
        <w:trPr>
          <w:trHeight w:val="454" w:hRule="atLeast"/>
          <w:jc w:val="center"/>
        </w:trPr>
        <w:tc>
          <w:tcPr>
            <w:tcW w:w="1134" w:type="dxa"/>
            <w:vMerge w:val="continue"/>
            <w:tcBorders>
              <w:left w:val="single" w:color="auto" w:sz="4" w:space="0"/>
              <w:right w:val="single" w:color="auto" w:sz="4" w:space="0"/>
            </w:tcBorders>
            <w:noWrap w:val="0"/>
            <w:vAlign w:val="center"/>
          </w:tcPr>
          <w:p w14:paraId="41CCC0DA">
            <w:pPr>
              <w:spacing w:line="0" w:lineRule="atLeast"/>
              <w:jc w:val="center"/>
              <w:rPr>
                <w:rFonts w:eastAsia="楷体_GB2312"/>
                <w:szCs w:val="21"/>
              </w:rPr>
            </w:pPr>
          </w:p>
        </w:tc>
        <w:tc>
          <w:tcPr>
            <w:tcW w:w="4769" w:type="dxa"/>
            <w:gridSpan w:val="3"/>
            <w:tcBorders>
              <w:top w:val="single" w:color="auto" w:sz="4" w:space="0"/>
              <w:left w:val="nil"/>
              <w:bottom w:val="single" w:color="auto" w:sz="4" w:space="0"/>
              <w:right w:val="single" w:color="auto" w:sz="4" w:space="0"/>
            </w:tcBorders>
            <w:noWrap/>
            <w:vAlign w:val="center"/>
          </w:tcPr>
          <w:p w14:paraId="15919897">
            <w:pPr>
              <w:spacing w:line="0" w:lineRule="atLeast"/>
              <w:jc w:val="center"/>
              <w:rPr>
                <w:rFonts w:eastAsia="楷体_GB2312"/>
                <w:szCs w:val="21"/>
              </w:rPr>
            </w:pPr>
            <w:r>
              <w:rPr>
                <w:rFonts w:eastAsia="楷体_GB2312"/>
                <w:szCs w:val="21"/>
              </w:rPr>
              <w:t>规划限制</w:t>
            </w:r>
          </w:p>
        </w:tc>
        <w:tc>
          <w:tcPr>
            <w:tcW w:w="3169" w:type="dxa"/>
            <w:tcBorders>
              <w:top w:val="single" w:color="auto" w:sz="4" w:space="0"/>
              <w:left w:val="nil"/>
              <w:bottom w:val="single" w:color="auto" w:sz="4" w:space="0"/>
              <w:right w:val="single" w:color="auto" w:sz="4" w:space="0"/>
            </w:tcBorders>
            <w:noWrap/>
            <w:vAlign w:val="center"/>
          </w:tcPr>
          <w:p w14:paraId="1CA2566C">
            <w:pPr>
              <w:jc w:val="center"/>
              <w:rPr>
                <w:rFonts w:eastAsia="楷体_GB2312"/>
                <w:szCs w:val="21"/>
              </w:rPr>
            </w:pPr>
            <w:r>
              <w:rPr>
                <w:rFonts w:eastAsia="楷体_GB2312"/>
                <w:szCs w:val="21"/>
              </w:rPr>
              <w:t>4.04</w:t>
            </w:r>
          </w:p>
        </w:tc>
      </w:tr>
      <w:tr w14:paraId="1DEC74FE">
        <w:tblPrEx>
          <w:tblCellMar>
            <w:top w:w="0" w:type="dxa"/>
            <w:left w:w="108" w:type="dxa"/>
            <w:bottom w:w="0" w:type="dxa"/>
            <w:right w:w="108" w:type="dxa"/>
          </w:tblCellMar>
        </w:tblPrEx>
        <w:trPr>
          <w:trHeight w:val="454" w:hRule="atLeast"/>
          <w:jc w:val="center"/>
        </w:trPr>
        <w:tc>
          <w:tcPr>
            <w:tcW w:w="1134" w:type="dxa"/>
            <w:vMerge w:val="continue"/>
            <w:tcBorders>
              <w:left w:val="single" w:color="auto" w:sz="4" w:space="0"/>
              <w:right w:val="single" w:color="auto" w:sz="4" w:space="0"/>
            </w:tcBorders>
            <w:noWrap w:val="0"/>
            <w:vAlign w:val="center"/>
          </w:tcPr>
          <w:p w14:paraId="430B5016">
            <w:pPr>
              <w:spacing w:line="0" w:lineRule="atLeast"/>
              <w:jc w:val="center"/>
              <w:rPr>
                <w:rFonts w:eastAsia="楷体_GB2312"/>
                <w:szCs w:val="21"/>
              </w:rPr>
            </w:pPr>
          </w:p>
        </w:tc>
        <w:tc>
          <w:tcPr>
            <w:tcW w:w="4769" w:type="dxa"/>
            <w:gridSpan w:val="3"/>
            <w:tcBorders>
              <w:top w:val="single" w:color="auto" w:sz="4" w:space="0"/>
              <w:left w:val="nil"/>
              <w:bottom w:val="single" w:color="auto" w:sz="4" w:space="0"/>
              <w:right w:val="single" w:color="auto" w:sz="4" w:space="0"/>
            </w:tcBorders>
            <w:noWrap/>
            <w:vAlign w:val="center"/>
          </w:tcPr>
          <w:p w14:paraId="60529BC1">
            <w:pPr>
              <w:spacing w:line="0" w:lineRule="atLeast"/>
              <w:jc w:val="center"/>
              <w:rPr>
                <w:rFonts w:eastAsia="楷体_GB2312"/>
                <w:szCs w:val="21"/>
              </w:rPr>
            </w:pPr>
            <w:r>
              <w:rPr>
                <w:rFonts w:eastAsia="楷体_GB2312"/>
                <w:szCs w:val="21"/>
              </w:rPr>
              <w:t>地上建筑物状况</w:t>
            </w:r>
          </w:p>
        </w:tc>
        <w:tc>
          <w:tcPr>
            <w:tcW w:w="3169" w:type="dxa"/>
            <w:tcBorders>
              <w:top w:val="single" w:color="auto" w:sz="4" w:space="0"/>
              <w:left w:val="nil"/>
              <w:bottom w:val="single" w:color="auto" w:sz="4" w:space="0"/>
              <w:right w:val="single" w:color="auto" w:sz="4" w:space="0"/>
            </w:tcBorders>
            <w:noWrap/>
            <w:vAlign w:val="center"/>
          </w:tcPr>
          <w:p w14:paraId="22960D04">
            <w:pPr>
              <w:jc w:val="center"/>
              <w:rPr>
                <w:rFonts w:eastAsia="楷体_GB2312"/>
                <w:szCs w:val="21"/>
              </w:rPr>
            </w:pPr>
            <w:r>
              <w:rPr>
                <w:rFonts w:eastAsia="楷体_GB2312"/>
                <w:szCs w:val="21"/>
              </w:rPr>
              <w:t>3.78</w:t>
            </w:r>
          </w:p>
        </w:tc>
      </w:tr>
      <w:tr w14:paraId="1DB2C499">
        <w:tblPrEx>
          <w:tblCellMar>
            <w:top w:w="0" w:type="dxa"/>
            <w:left w:w="108" w:type="dxa"/>
            <w:bottom w:w="0" w:type="dxa"/>
            <w:right w:w="108" w:type="dxa"/>
          </w:tblCellMar>
        </w:tblPrEx>
        <w:trPr>
          <w:trHeight w:val="454" w:hRule="atLeast"/>
          <w:jc w:val="center"/>
        </w:trPr>
        <w:tc>
          <w:tcPr>
            <w:tcW w:w="1134" w:type="dxa"/>
            <w:vMerge w:val="continue"/>
            <w:tcBorders>
              <w:left w:val="single" w:color="auto" w:sz="4" w:space="0"/>
              <w:bottom w:val="single" w:color="auto" w:sz="4" w:space="0"/>
              <w:right w:val="single" w:color="auto" w:sz="4" w:space="0"/>
            </w:tcBorders>
            <w:noWrap w:val="0"/>
            <w:vAlign w:val="center"/>
          </w:tcPr>
          <w:p w14:paraId="6CF7C90C">
            <w:pPr>
              <w:spacing w:line="0" w:lineRule="atLeast"/>
              <w:jc w:val="center"/>
              <w:rPr>
                <w:rFonts w:eastAsia="楷体_GB2312"/>
                <w:szCs w:val="21"/>
              </w:rPr>
            </w:pPr>
          </w:p>
        </w:tc>
        <w:tc>
          <w:tcPr>
            <w:tcW w:w="4769" w:type="dxa"/>
            <w:gridSpan w:val="3"/>
            <w:tcBorders>
              <w:top w:val="single" w:color="auto" w:sz="4" w:space="0"/>
              <w:left w:val="nil"/>
              <w:bottom w:val="single" w:color="auto" w:sz="4" w:space="0"/>
              <w:right w:val="single" w:color="auto" w:sz="4" w:space="0"/>
            </w:tcBorders>
            <w:noWrap/>
            <w:vAlign w:val="center"/>
          </w:tcPr>
          <w:p w14:paraId="6A999F55">
            <w:pPr>
              <w:spacing w:line="0" w:lineRule="atLeast"/>
              <w:jc w:val="center"/>
              <w:rPr>
                <w:rFonts w:eastAsia="楷体_GB2312"/>
                <w:szCs w:val="21"/>
              </w:rPr>
            </w:pPr>
            <w:r>
              <w:rPr>
                <w:rFonts w:eastAsia="楷体_GB2312"/>
                <w:szCs w:val="21"/>
              </w:rPr>
              <w:t>其他个别因素状况</w:t>
            </w:r>
          </w:p>
        </w:tc>
        <w:tc>
          <w:tcPr>
            <w:tcW w:w="3169" w:type="dxa"/>
            <w:tcBorders>
              <w:top w:val="single" w:color="auto" w:sz="4" w:space="0"/>
              <w:left w:val="nil"/>
              <w:bottom w:val="single" w:color="auto" w:sz="4" w:space="0"/>
              <w:right w:val="single" w:color="auto" w:sz="4" w:space="0"/>
            </w:tcBorders>
            <w:noWrap/>
            <w:vAlign w:val="center"/>
          </w:tcPr>
          <w:p w14:paraId="58759F78">
            <w:pPr>
              <w:jc w:val="center"/>
              <w:rPr>
                <w:rFonts w:eastAsia="楷体_GB2312"/>
                <w:szCs w:val="21"/>
              </w:rPr>
            </w:pPr>
            <w:r>
              <w:rPr>
                <w:rFonts w:eastAsia="楷体_GB2312"/>
                <w:szCs w:val="21"/>
              </w:rPr>
              <w:t>3.12</w:t>
            </w:r>
          </w:p>
        </w:tc>
      </w:tr>
      <w:tr w14:paraId="7D5AFFFB">
        <w:tblPrEx>
          <w:tblCellMar>
            <w:top w:w="0" w:type="dxa"/>
            <w:left w:w="108" w:type="dxa"/>
            <w:bottom w:w="0" w:type="dxa"/>
            <w:right w:w="108" w:type="dxa"/>
          </w:tblCellMar>
        </w:tblPrEx>
        <w:trPr>
          <w:trHeight w:val="454" w:hRule="atLeast"/>
          <w:jc w:val="center"/>
        </w:trPr>
        <w:tc>
          <w:tcPr>
            <w:tcW w:w="5903" w:type="dxa"/>
            <w:gridSpan w:val="4"/>
            <w:tcBorders>
              <w:top w:val="single" w:color="auto" w:sz="4" w:space="0"/>
              <w:left w:val="single" w:color="auto" w:sz="4" w:space="0"/>
              <w:bottom w:val="single" w:color="auto" w:sz="4" w:space="0"/>
              <w:right w:val="single" w:color="auto" w:sz="4" w:space="0"/>
            </w:tcBorders>
            <w:noWrap/>
            <w:vAlign w:val="center"/>
          </w:tcPr>
          <w:p w14:paraId="63DEA295">
            <w:pPr>
              <w:spacing w:line="0" w:lineRule="atLeast"/>
              <w:jc w:val="center"/>
              <w:rPr>
                <w:rFonts w:eastAsia="楷体_GB2312"/>
                <w:szCs w:val="21"/>
              </w:rPr>
            </w:pPr>
            <w:r>
              <w:rPr>
                <w:rFonts w:eastAsia="楷体_GB2312"/>
                <w:szCs w:val="21"/>
              </w:rPr>
              <w:t>合  计</w:t>
            </w:r>
          </w:p>
        </w:tc>
        <w:tc>
          <w:tcPr>
            <w:tcW w:w="3169" w:type="dxa"/>
            <w:tcBorders>
              <w:top w:val="single" w:color="auto" w:sz="4" w:space="0"/>
              <w:left w:val="single" w:color="auto" w:sz="4" w:space="0"/>
              <w:bottom w:val="single" w:color="auto" w:sz="4" w:space="0"/>
              <w:right w:val="single" w:color="auto" w:sz="4" w:space="0"/>
            </w:tcBorders>
            <w:noWrap/>
            <w:vAlign w:val="center"/>
          </w:tcPr>
          <w:p w14:paraId="7DDBA856">
            <w:pPr>
              <w:spacing w:line="0" w:lineRule="atLeast"/>
              <w:jc w:val="center"/>
              <w:rPr>
                <w:rFonts w:eastAsia="楷体_GB2312"/>
                <w:szCs w:val="21"/>
              </w:rPr>
            </w:pPr>
            <w:r>
              <w:rPr>
                <w:rFonts w:eastAsia="楷体_GB2312"/>
                <w:szCs w:val="21"/>
              </w:rPr>
              <w:fldChar w:fldCharType="begin"/>
            </w:r>
            <w:r>
              <w:rPr>
                <w:rFonts w:eastAsia="楷体_GB2312"/>
                <w:szCs w:val="21"/>
              </w:rPr>
              <w:instrText xml:space="preserve"> =SUM(ABOVE) </w:instrText>
            </w:r>
            <w:r>
              <w:rPr>
                <w:rFonts w:eastAsia="楷体_GB2312"/>
                <w:szCs w:val="21"/>
              </w:rPr>
              <w:fldChar w:fldCharType="separate"/>
            </w:r>
            <w:r>
              <w:rPr>
                <w:rFonts w:eastAsia="楷体_GB2312"/>
                <w:szCs w:val="21"/>
              </w:rPr>
              <w:t>100</w:t>
            </w:r>
            <w:r>
              <w:rPr>
                <w:rFonts w:eastAsia="楷体_GB2312"/>
                <w:szCs w:val="21"/>
              </w:rPr>
              <w:fldChar w:fldCharType="end"/>
            </w:r>
          </w:p>
        </w:tc>
      </w:tr>
    </w:tbl>
    <w:p w14:paraId="5BE35BC2">
      <w:pPr>
        <w:pStyle w:val="20"/>
        <w:spacing w:before="120" w:beforeLines="50" w:after="120" w:afterLines="50" w:line="480" w:lineRule="exact"/>
        <w:jc w:val="center"/>
        <w:rPr>
          <w:rFonts w:ascii="Times New Roman" w:hAnsi="Times New Roman" w:eastAsia="楷体_GB2312" w:cs="Times New Roman"/>
          <w:b/>
          <w:sz w:val="28"/>
        </w:rPr>
      </w:pPr>
    </w:p>
    <w:p w14:paraId="334B9537">
      <w:pPr>
        <w:pStyle w:val="20"/>
        <w:spacing w:line="480" w:lineRule="exact"/>
        <w:jc w:val="center"/>
        <w:rPr>
          <w:rFonts w:ascii="Times New Roman" w:hAnsi="Times New Roman" w:eastAsia="黑体" w:cs="Times New Roman"/>
          <w:sz w:val="28"/>
        </w:rPr>
      </w:pPr>
      <w:r>
        <w:rPr>
          <w:rFonts w:ascii="Times New Roman" w:hAnsi="Times New Roman" w:eastAsia="楷体_GB2312" w:cs="Times New Roman"/>
          <w:b/>
          <w:sz w:val="28"/>
        </w:rPr>
        <w:br w:type="page"/>
      </w:r>
      <w:r>
        <w:rPr>
          <w:rFonts w:ascii="Times New Roman" w:hAnsi="Times New Roman" w:eastAsia="黑体" w:cs="Times New Roman"/>
          <w:sz w:val="28"/>
        </w:rPr>
        <w:t>表2-9-6  埇桥区</w:t>
      </w:r>
      <w:r>
        <w:rPr>
          <w:rFonts w:ascii="Times New Roman" w:hAnsi="Times New Roman" w:eastAsia="黑体" w:cs="Times New Roman"/>
          <w:sz w:val="28"/>
          <w:szCs w:val="20"/>
        </w:rPr>
        <w:t>朱仙庄镇等19个乡镇</w:t>
      </w:r>
      <w:r>
        <w:rPr>
          <w:rFonts w:ascii="Times New Roman" w:hAnsi="Times New Roman" w:eastAsia="黑体" w:cs="Times New Roman"/>
          <w:sz w:val="28"/>
        </w:rPr>
        <w:t>镇区住宅用地宗地地价影响因素权重表</w:t>
      </w:r>
    </w:p>
    <w:tbl>
      <w:tblPr>
        <w:tblStyle w:val="38"/>
        <w:tblW w:w="9072" w:type="dxa"/>
        <w:jc w:val="center"/>
        <w:tblLayout w:type="autofit"/>
        <w:tblCellMar>
          <w:top w:w="0" w:type="dxa"/>
          <w:left w:w="108" w:type="dxa"/>
          <w:bottom w:w="0" w:type="dxa"/>
          <w:right w:w="108" w:type="dxa"/>
        </w:tblCellMar>
      </w:tblPr>
      <w:tblGrid>
        <w:gridCol w:w="1134"/>
        <w:gridCol w:w="1349"/>
        <w:gridCol w:w="1620"/>
        <w:gridCol w:w="1800"/>
        <w:gridCol w:w="3169"/>
      </w:tblGrid>
      <w:tr w14:paraId="34FAC80D">
        <w:tblPrEx>
          <w:tblCellMar>
            <w:top w:w="0" w:type="dxa"/>
            <w:left w:w="108" w:type="dxa"/>
            <w:bottom w:w="0" w:type="dxa"/>
            <w:right w:w="108" w:type="dxa"/>
          </w:tblCellMar>
        </w:tblPrEx>
        <w:trPr>
          <w:trHeight w:val="425" w:hRule="atLeast"/>
          <w:jc w:val="center"/>
        </w:trPr>
        <w:tc>
          <w:tcPr>
            <w:tcW w:w="5903" w:type="dxa"/>
            <w:gridSpan w:val="4"/>
            <w:tcBorders>
              <w:top w:val="single" w:color="auto" w:sz="8" w:space="0"/>
              <w:left w:val="single" w:color="auto" w:sz="8" w:space="0"/>
              <w:bottom w:val="single" w:color="auto" w:sz="8" w:space="0"/>
              <w:right w:val="single" w:color="auto" w:sz="8" w:space="0"/>
            </w:tcBorders>
            <w:noWrap/>
            <w:vAlign w:val="center"/>
          </w:tcPr>
          <w:p w14:paraId="26AF98E0">
            <w:pPr>
              <w:spacing w:line="0" w:lineRule="atLeast"/>
              <w:jc w:val="center"/>
              <w:rPr>
                <w:rFonts w:eastAsia="楷体_GB2312"/>
                <w:szCs w:val="21"/>
              </w:rPr>
            </w:pPr>
            <w:r>
              <w:rPr>
                <w:rFonts w:eastAsia="楷体_GB2312"/>
                <w:szCs w:val="21"/>
              </w:rPr>
              <w:t>影响因素</w:t>
            </w:r>
          </w:p>
        </w:tc>
        <w:tc>
          <w:tcPr>
            <w:tcW w:w="3169" w:type="dxa"/>
            <w:tcBorders>
              <w:top w:val="single" w:color="auto" w:sz="8" w:space="0"/>
              <w:left w:val="single" w:color="auto" w:sz="8" w:space="0"/>
              <w:bottom w:val="single" w:color="auto" w:sz="8" w:space="0"/>
              <w:right w:val="single" w:color="auto" w:sz="8" w:space="0"/>
            </w:tcBorders>
            <w:noWrap/>
            <w:vAlign w:val="center"/>
          </w:tcPr>
          <w:p w14:paraId="4171A1ED">
            <w:pPr>
              <w:spacing w:line="0" w:lineRule="atLeast"/>
              <w:jc w:val="center"/>
              <w:rPr>
                <w:rFonts w:eastAsia="楷体_GB2312"/>
                <w:szCs w:val="21"/>
              </w:rPr>
            </w:pPr>
            <w:r>
              <w:rPr>
                <w:rFonts w:eastAsia="楷体_GB2312"/>
                <w:szCs w:val="21"/>
              </w:rPr>
              <w:t>权重</w:t>
            </w:r>
          </w:p>
        </w:tc>
      </w:tr>
      <w:tr w14:paraId="5102EEDC">
        <w:tblPrEx>
          <w:tblCellMar>
            <w:top w:w="0" w:type="dxa"/>
            <w:left w:w="108" w:type="dxa"/>
            <w:bottom w:w="0" w:type="dxa"/>
            <w:right w:w="108" w:type="dxa"/>
          </w:tblCellMar>
        </w:tblPrEx>
        <w:trPr>
          <w:trHeight w:val="425" w:hRule="atLeast"/>
          <w:jc w:val="center"/>
        </w:trPr>
        <w:tc>
          <w:tcPr>
            <w:tcW w:w="1134" w:type="dxa"/>
            <w:vMerge w:val="restart"/>
            <w:tcBorders>
              <w:top w:val="single" w:color="auto" w:sz="8" w:space="0"/>
              <w:left w:val="single" w:color="auto" w:sz="8" w:space="0"/>
              <w:bottom w:val="single" w:color="auto" w:sz="8" w:space="0"/>
              <w:right w:val="single" w:color="auto" w:sz="8" w:space="0"/>
            </w:tcBorders>
            <w:noWrap/>
            <w:vAlign w:val="center"/>
          </w:tcPr>
          <w:p w14:paraId="0CC2DF55">
            <w:pPr>
              <w:spacing w:line="0" w:lineRule="atLeast"/>
              <w:jc w:val="center"/>
              <w:rPr>
                <w:rFonts w:eastAsia="楷体_GB2312"/>
                <w:szCs w:val="21"/>
              </w:rPr>
            </w:pPr>
            <w:r>
              <w:rPr>
                <w:rFonts w:eastAsia="楷体_GB2312"/>
                <w:szCs w:val="21"/>
              </w:rPr>
              <w:t>区</w:t>
            </w:r>
          </w:p>
          <w:p w14:paraId="54024ED9">
            <w:pPr>
              <w:spacing w:line="0" w:lineRule="atLeast"/>
              <w:jc w:val="center"/>
              <w:rPr>
                <w:rFonts w:eastAsia="楷体_GB2312"/>
                <w:szCs w:val="21"/>
              </w:rPr>
            </w:pPr>
            <w:r>
              <w:rPr>
                <w:rFonts w:eastAsia="楷体_GB2312"/>
                <w:szCs w:val="21"/>
              </w:rPr>
              <w:t>域</w:t>
            </w:r>
          </w:p>
          <w:p w14:paraId="1006A1CF">
            <w:pPr>
              <w:spacing w:line="0" w:lineRule="atLeast"/>
              <w:jc w:val="center"/>
              <w:rPr>
                <w:rFonts w:eastAsia="楷体_GB2312"/>
                <w:szCs w:val="21"/>
              </w:rPr>
            </w:pPr>
            <w:r>
              <w:rPr>
                <w:rFonts w:eastAsia="楷体_GB2312"/>
                <w:szCs w:val="21"/>
              </w:rPr>
              <w:t>因</w:t>
            </w:r>
          </w:p>
          <w:p w14:paraId="6B6CC3FB">
            <w:pPr>
              <w:spacing w:line="0" w:lineRule="atLeast"/>
              <w:jc w:val="center"/>
              <w:rPr>
                <w:rFonts w:eastAsia="楷体_GB2312"/>
                <w:szCs w:val="21"/>
              </w:rPr>
            </w:pPr>
            <w:r>
              <w:rPr>
                <w:rFonts w:eastAsia="楷体_GB2312"/>
                <w:szCs w:val="21"/>
              </w:rPr>
              <w:t>素</w:t>
            </w: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3DF07876">
            <w:pPr>
              <w:spacing w:line="0" w:lineRule="atLeast"/>
              <w:jc w:val="center"/>
              <w:rPr>
                <w:rFonts w:eastAsia="楷体_GB2312"/>
                <w:szCs w:val="21"/>
              </w:rPr>
            </w:pPr>
            <w:r>
              <w:rPr>
                <w:rFonts w:eastAsia="楷体_GB2312"/>
                <w:szCs w:val="21"/>
              </w:rPr>
              <w:t>自然条件</w:t>
            </w:r>
          </w:p>
        </w:tc>
        <w:tc>
          <w:tcPr>
            <w:tcW w:w="3169" w:type="dxa"/>
            <w:tcBorders>
              <w:top w:val="single" w:color="auto" w:sz="8" w:space="0"/>
              <w:left w:val="single" w:color="auto" w:sz="8" w:space="0"/>
              <w:bottom w:val="single" w:color="auto" w:sz="8" w:space="0"/>
              <w:right w:val="single" w:color="auto" w:sz="8" w:space="0"/>
            </w:tcBorders>
            <w:noWrap/>
            <w:vAlign w:val="center"/>
          </w:tcPr>
          <w:p w14:paraId="6EE37C6D">
            <w:pPr>
              <w:spacing w:line="0" w:lineRule="atLeast"/>
              <w:jc w:val="center"/>
              <w:rPr>
                <w:rFonts w:eastAsia="楷体_GB2312"/>
                <w:szCs w:val="21"/>
              </w:rPr>
            </w:pPr>
            <w:r>
              <w:rPr>
                <w:rFonts w:eastAsia="楷体_GB2312"/>
                <w:szCs w:val="21"/>
              </w:rPr>
              <w:t>5.67</w:t>
            </w:r>
          </w:p>
        </w:tc>
      </w:tr>
      <w:tr w14:paraId="006511F7">
        <w:tblPrEx>
          <w:tblCellMar>
            <w:top w:w="0" w:type="dxa"/>
            <w:left w:w="108" w:type="dxa"/>
            <w:bottom w:w="0" w:type="dxa"/>
            <w:right w:w="108" w:type="dxa"/>
          </w:tblCellMar>
        </w:tblPrEx>
        <w:trPr>
          <w:trHeight w:val="425" w:hRule="atLeast"/>
          <w:jc w:val="center"/>
        </w:trPr>
        <w:tc>
          <w:tcPr>
            <w:tcW w:w="1134" w:type="dxa"/>
            <w:vMerge w:val="continue"/>
            <w:tcBorders>
              <w:top w:val="single" w:color="auto" w:sz="8" w:space="0"/>
              <w:left w:val="single" w:color="auto" w:sz="8" w:space="0"/>
              <w:bottom w:val="single" w:color="auto" w:sz="8" w:space="0"/>
              <w:right w:val="single" w:color="auto" w:sz="8" w:space="0"/>
            </w:tcBorders>
            <w:noWrap w:val="0"/>
            <w:vAlign w:val="center"/>
          </w:tcPr>
          <w:p w14:paraId="57CA1F0F">
            <w:pPr>
              <w:spacing w:line="0" w:lineRule="atLeast"/>
              <w:jc w:val="center"/>
              <w:rPr>
                <w:rFonts w:eastAsia="楷体_GB2312"/>
                <w:szCs w:val="21"/>
              </w:rPr>
            </w:pPr>
          </w:p>
        </w:tc>
        <w:tc>
          <w:tcPr>
            <w:tcW w:w="1349" w:type="dxa"/>
            <w:vMerge w:val="restart"/>
            <w:tcBorders>
              <w:top w:val="single" w:color="auto" w:sz="8" w:space="0"/>
              <w:left w:val="single" w:color="auto" w:sz="8" w:space="0"/>
              <w:bottom w:val="single" w:color="auto" w:sz="8" w:space="0"/>
              <w:right w:val="single" w:color="auto" w:sz="8" w:space="0"/>
            </w:tcBorders>
            <w:noWrap/>
            <w:vAlign w:val="center"/>
          </w:tcPr>
          <w:p w14:paraId="369AEEAA">
            <w:pPr>
              <w:spacing w:line="0" w:lineRule="atLeast"/>
              <w:jc w:val="center"/>
              <w:rPr>
                <w:rFonts w:eastAsia="楷体_GB2312"/>
                <w:szCs w:val="21"/>
              </w:rPr>
            </w:pPr>
            <w:r>
              <w:rPr>
                <w:rFonts w:eastAsia="楷体_GB2312"/>
                <w:szCs w:val="21"/>
              </w:rPr>
              <w:t>交通状况</w:t>
            </w:r>
          </w:p>
        </w:tc>
        <w:tc>
          <w:tcPr>
            <w:tcW w:w="1620" w:type="dxa"/>
            <w:vMerge w:val="restart"/>
            <w:tcBorders>
              <w:top w:val="single" w:color="auto" w:sz="8" w:space="0"/>
              <w:left w:val="single" w:color="auto" w:sz="8" w:space="0"/>
              <w:bottom w:val="single" w:color="auto" w:sz="8" w:space="0"/>
              <w:right w:val="single" w:color="auto" w:sz="8" w:space="0"/>
            </w:tcBorders>
            <w:noWrap/>
            <w:vAlign w:val="center"/>
          </w:tcPr>
          <w:p w14:paraId="0070243A">
            <w:pPr>
              <w:spacing w:line="0" w:lineRule="atLeast"/>
              <w:jc w:val="center"/>
              <w:rPr>
                <w:rFonts w:eastAsia="楷体_GB2312"/>
                <w:szCs w:val="21"/>
              </w:rPr>
            </w:pPr>
            <w:r>
              <w:rPr>
                <w:rFonts w:eastAsia="楷体_GB2312"/>
                <w:szCs w:val="21"/>
              </w:rPr>
              <w:t>道路状况</w:t>
            </w:r>
          </w:p>
        </w:tc>
        <w:tc>
          <w:tcPr>
            <w:tcW w:w="1800" w:type="dxa"/>
            <w:tcBorders>
              <w:top w:val="single" w:color="auto" w:sz="8" w:space="0"/>
              <w:left w:val="single" w:color="auto" w:sz="8" w:space="0"/>
              <w:bottom w:val="single" w:color="auto" w:sz="8" w:space="0"/>
              <w:right w:val="single" w:color="auto" w:sz="8" w:space="0"/>
            </w:tcBorders>
            <w:noWrap/>
            <w:vAlign w:val="center"/>
          </w:tcPr>
          <w:p w14:paraId="7320A014">
            <w:pPr>
              <w:spacing w:line="0" w:lineRule="atLeast"/>
              <w:jc w:val="center"/>
              <w:rPr>
                <w:rFonts w:eastAsia="楷体_GB2312"/>
                <w:szCs w:val="21"/>
              </w:rPr>
            </w:pPr>
            <w:r>
              <w:rPr>
                <w:rFonts w:eastAsia="楷体_GB2312"/>
                <w:szCs w:val="21"/>
              </w:rPr>
              <w:t>道路类型</w:t>
            </w:r>
          </w:p>
        </w:tc>
        <w:tc>
          <w:tcPr>
            <w:tcW w:w="3169" w:type="dxa"/>
            <w:tcBorders>
              <w:top w:val="single" w:color="auto" w:sz="8" w:space="0"/>
              <w:left w:val="single" w:color="auto" w:sz="8" w:space="0"/>
              <w:bottom w:val="single" w:color="auto" w:sz="8" w:space="0"/>
              <w:right w:val="single" w:color="auto" w:sz="8" w:space="0"/>
            </w:tcBorders>
            <w:noWrap/>
            <w:vAlign w:val="center"/>
          </w:tcPr>
          <w:p w14:paraId="780B37A3">
            <w:pPr>
              <w:jc w:val="center"/>
              <w:rPr>
                <w:rFonts w:eastAsia="楷体_GB2312"/>
                <w:szCs w:val="21"/>
              </w:rPr>
            </w:pPr>
            <w:r>
              <w:rPr>
                <w:rFonts w:eastAsia="楷体_GB2312"/>
                <w:szCs w:val="21"/>
              </w:rPr>
              <w:t>4.51</w:t>
            </w:r>
          </w:p>
        </w:tc>
      </w:tr>
      <w:tr w14:paraId="5623E85C">
        <w:tblPrEx>
          <w:tblCellMar>
            <w:top w:w="0" w:type="dxa"/>
            <w:left w:w="108" w:type="dxa"/>
            <w:bottom w:w="0" w:type="dxa"/>
            <w:right w:w="108" w:type="dxa"/>
          </w:tblCellMar>
        </w:tblPrEx>
        <w:trPr>
          <w:trHeight w:val="425" w:hRule="atLeast"/>
          <w:jc w:val="center"/>
        </w:trPr>
        <w:tc>
          <w:tcPr>
            <w:tcW w:w="1134" w:type="dxa"/>
            <w:vMerge w:val="continue"/>
            <w:tcBorders>
              <w:top w:val="single" w:color="auto" w:sz="8" w:space="0"/>
              <w:left w:val="single" w:color="auto" w:sz="8" w:space="0"/>
              <w:bottom w:val="single" w:color="auto" w:sz="8" w:space="0"/>
              <w:right w:val="single" w:color="auto" w:sz="8" w:space="0"/>
            </w:tcBorders>
            <w:noWrap w:val="0"/>
            <w:vAlign w:val="center"/>
          </w:tcPr>
          <w:p w14:paraId="3202319E">
            <w:pPr>
              <w:spacing w:line="0" w:lineRule="atLeast"/>
              <w:jc w:val="center"/>
              <w:rPr>
                <w:rFonts w:eastAsia="楷体_GB2312"/>
                <w:szCs w:val="21"/>
              </w:rPr>
            </w:pPr>
          </w:p>
        </w:tc>
        <w:tc>
          <w:tcPr>
            <w:tcW w:w="1349" w:type="dxa"/>
            <w:vMerge w:val="continue"/>
            <w:tcBorders>
              <w:top w:val="single" w:color="auto" w:sz="8" w:space="0"/>
              <w:left w:val="single" w:color="auto" w:sz="8" w:space="0"/>
              <w:bottom w:val="single" w:color="auto" w:sz="8" w:space="0"/>
              <w:right w:val="single" w:color="auto" w:sz="8" w:space="0"/>
            </w:tcBorders>
            <w:noWrap/>
            <w:vAlign w:val="center"/>
          </w:tcPr>
          <w:p w14:paraId="1A035895">
            <w:pPr>
              <w:spacing w:line="0" w:lineRule="atLeast"/>
              <w:jc w:val="center"/>
              <w:rPr>
                <w:rFonts w:eastAsia="楷体_GB2312"/>
                <w:szCs w:val="21"/>
              </w:rPr>
            </w:pPr>
          </w:p>
        </w:tc>
        <w:tc>
          <w:tcPr>
            <w:tcW w:w="1620" w:type="dxa"/>
            <w:vMerge w:val="continue"/>
            <w:tcBorders>
              <w:top w:val="single" w:color="auto" w:sz="8" w:space="0"/>
              <w:left w:val="single" w:color="auto" w:sz="8" w:space="0"/>
              <w:bottom w:val="single" w:color="auto" w:sz="8" w:space="0"/>
              <w:right w:val="single" w:color="auto" w:sz="8" w:space="0"/>
            </w:tcBorders>
            <w:noWrap w:val="0"/>
            <w:vAlign w:val="center"/>
          </w:tcPr>
          <w:p w14:paraId="4A37E5F3">
            <w:pPr>
              <w:spacing w:line="0" w:lineRule="atLeast"/>
              <w:jc w:val="center"/>
              <w:rPr>
                <w:rFonts w:eastAsia="楷体_GB2312"/>
                <w:szCs w:val="21"/>
              </w:rPr>
            </w:pPr>
          </w:p>
        </w:tc>
        <w:tc>
          <w:tcPr>
            <w:tcW w:w="1800" w:type="dxa"/>
            <w:tcBorders>
              <w:top w:val="single" w:color="auto" w:sz="8" w:space="0"/>
              <w:left w:val="single" w:color="auto" w:sz="8" w:space="0"/>
              <w:bottom w:val="single" w:color="auto" w:sz="8" w:space="0"/>
              <w:right w:val="single" w:color="auto" w:sz="8" w:space="0"/>
            </w:tcBorders>
            <w:noWrap/>
            <w:vAlign w:val="center"/>
          </w:tcPr>
          <w:p w14:paraId="0B5BA580">
            <w:pPr>
              <w:spacing w:line="0" w:lineRule="atLeast"/>
              <w:jc w:val="center"/>
              <w:rPr>
                <w:rFonts w:eastAsia="楷体_GB2312"/>
                <w:szCs w:val="21"/>
              </w:rPr>
            </w:pPr>
            <w:r>
              <w:rPr>
                <w:rFonts w:eastAsia="楷体_GB2312"/>
                <w:szCs w:val="21"/>
              </w:rPr>
              <w:t>道路等级</w:t>
            </w:r>
          </w:p>
        </w:tc>
        <w:tc>
          <w:tcPr>
            <w:tcW w:w="3169" w:type="dxa"/>
            <w:tcBorders>
              <w:top w:val="single" w:color="auto" w:sz="8" w:space="0"/>
              <w:left w:val="single" w:color="auto" w:sz="8" w:space="0"/>
              <w:bottom w:val="single" w:color="auto" w:sz="8" w:space="0"/>
              <w:right w:val="single" w:color="auto" w:sz="8" w:space="0"/>
            </w:tcBorders>
            <w:noWrap/>
            <w:vAlign w:val="center"/>
          </w:tcPr>
          <w:p w14:paraId="792D014D">
            <w:pPr>
              <w:jc w:val="center"/>
              <w:rPr>
                <w:rFonts w:eastAsia="楷体_GB2312"/>
                <w:szCs w:val="21"/>
              </w:rPr>
            </w:pPr>
            <w:r>
              <w:rPr>
                <w:rFonts w:eastAsia="楷体_GB2312"/>
                <w:szCs w:val="21"/>
              </w:rPr>
              <w:t>4.12</w:t>
            </w:r>
          </w:p>
        </w:tc>
      </w:tr>
      <w:tr w14:paraId="6566D4D3">
        <w:tblPrEx>
          <w:tblCellMar>
            <w:top w:w="0" w:type="dxa"/>
            <w:left w:w="108" w:type="dxa"/>
            <w:bottom w:w="0" w:type="dxa"/>
            <w:right w:w="108" w:type="dxa"/>
          </w:tblCellMar>
        </w:tblPrEx>
        <w:trPr>
          <w:trHeight w:val="425" w:hRule="atLeast"/>
          <w:jc w:val="center"/>
        </w:trPr>
        <w:tc>
          <w:tcPr>
            <w:tcW w:w="1134" w:type="dxa"/>
            <w:vMerge w:val="continue"/>
            <w:tcBorders>
              <w:top w:val="single" w:color="auto" w:sz="8" w:space="0"/>
              <w:left w:val="single" w:color="auto" w:sz="8" w:space="0"/>
              <w:bottom w:val="single" w:color="auto" w:sz="8" w:space="0"/>
              <w:right w:val="single" w:color="auto" w:sz="8" w:space="0"/>
            </w:tcBorders>
            <w:noWrap w:val="0"/>
            <w:vAlign w:val="center"/>
          </w:tcPr>
          <w:p w14:paraId="76C51C15">
            <w:pPr>
              <w:spacing w:line="0" w:lineRule="atLeast"/>
              <w:jc w:val="center"/>
              <w:rPr>
                <w:rFonts w:eastAsia="楷体_GB2312"/>
                <w:szCs w:val="21"/>
              </w:rPr>
            </w:pPr>
          </w:p>
        </w:tc>
        <w:tc>
          <w:tcPr>
            <w:tcW w:w="1349" w:type="dxa"/>
            <w:vMerge w:val="continue"/>
            <w:tcBorders>
              <w:top w:val="single" w:color="auto" w:sz="8" w:space="0"/>
              <w:left w:val="single" w:color="auto" w:sz="8" w:space="0"/>
              <w:bottom w:val="single" w:color="auto" w:sz="8" w:space="0"/>
              <w:right w:val="single" w:color="auto" w:sz="8" w:space="0"/>
            </w:tcBorders>
            <w:noWrap/>
            <w:vAlign w:val="center"/>
          </w:tcPr>
          <w:p w14:paraId="557E148C">
            <w:pPr>
              <w:spacing w:line="0" w:lineRule="atLeast"/>
              <w:jc w:val="center"/>
              <w:rPr>
                <w:rFonts w:eastAsia="楷体_GB2312"/>
                <w:szCs w:val="21"/>
              </w:rPr>
            </w:pPr>
          </w:p>
        </w:tc>
        <w:tc>
          <w:tcPr>
            <w:tcW w:w="3420" w:type="dxa"/>
            <w:gridSpan w:val="2"/>
            <w:tcBorders>
              <w:top w:val="single" w:color="auto" w:sz="8" w:space="0"/>
              <w:left w:val="single" w:color="auto" w:sz="8" w:space="0"/>
              <w:bottom w:val="single" w:color="auto" w:sz="8" w:space="0"/>
              <w:right w:val="single" w:color="auto" w:sz="8" w:space="0"/>
            </w:tcBorders>
            <w:noWrap/>
            <w:vAlign w:val="center"/>
          </w:tcPr>
          <w:p w14:paraId="46170E89">
            <w:pPr>
              <w:spacing w:line="0" w:lineRule="atLeast"/>
              <w:jc w:val="center"/>
              <w:rPr>
                <w:rFonts w:eastAsia="楷体_GB2312"/>
                <w:szCs w:val="21"/>
              </w:rPr>
            </w:pPr>
            <w:r>
              <w:rPr>
                <w:rFonts w:eastAsia="楷体_GB2312"/>
                <w:szCs w:val="21"/>
              </w:rPr>
              <w:t>交通便捷程度</w:t>
            </w:r>
          </w:p>
        </w:tc>
        <w:tc>
          <w:tcPr>
            <w:tcW w:w="3169" w:type="dxa"/>
            <w:tcBorders>
              <w:top w:val="single" w:color="auto" w:sz="8" w:space="0"/>
              <w:left w:val="single" w:color="auto" w:sz="8" w:space="0"/>
              <w:bottom w:val="single" w:color="auto" w:sz="8" w:space="0"/>
              <w:right w:val="single" w:color="auto" w:sz="8" w:space="0"/>
            </w:tcBorders>
            <w:noWrap/>
            <w:vAlign w:val="center"/>
          </w:tcPr>
          <w:p w14:paraId="07666F81">
            <w:pPr>
              <w:jc w:val="center"/>
              <w:rPr>
                <w:rFonts w:eastAsia="楷体_GB2312"/>
                <w:szCs w:val="21"/>
              </w:rPr>
            </w:pPr>
            <w:r>
              <w:rPr>
                <w:rFonts w:eastAsia="楷体_GB2312"/>
                <w:szCs w:val="21"/>
              </w:rPr>
              <w:t>5.03</w:t>
            </w:r>
          </w:p>
        </w:tc>
      </w:tr>
      <w:tr w14:paraId="472D864C">
        <w:tblPrEx>
          <w:tblCellMar>
            <w:top w:w="0" w:type="dxa"/>
            <w:left w:w="108" w:type="dxa"/>
            <w:bottom w:w="0" w:type="dxa"/>
            <w:right w:w="108" w:type="dxa"/>
          </w:tblCellMar>
        </w:tblPrEx>
        <w:trPr>
          <w:trHeight w:val="425" w:hRule="atLeast"/>
          <w:jc w:val="center"/>
        </w:trPr>
        <w:tc>
          <w:tcPr>
            <w:tcW w:w="1134" w:type="dxa"/>
            <w:vMerge w:val="continue"/>
            <w:tcBorders>
              <w:top w:val="single" w:color="auto" w:sz="8" w:space="0"/>
              <w:left w:val="single" w:color="auto" w:sz="8" w:space="0"/>
              <w:bottom w:val="single" w:color="auto" w:sz="8" w:space="0"/>
              <w:right w:val="single" w:color="auto" w:sz="8" w:space="0"/>
            </w:tcBorders>
            <w:noWrap w:val="0"/>
            <w:vAlign w:val="center"/>
          </w:tcPr>
          <w:p w14:paraId="47CBAA56">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43DE9167">
            <w:pPr>
              <w:spacing w:line="0" w:lineRule="atLeast"/>
              <w:jc w:val="center"/>
              <w:rPr>
                <w:rFonts w:eastAsia="楷体_GB2312"/>
                <w:szCs w:val="21"/>
              </w:rPr>
            </w:pPr>
            <w:r>
              <w:rPr>
                <w:rFonts w:eastAsia="楷体_GB2312"/>
                <w:szCs w:val="21"/>
              </w:rPr>
              <w:t>基础设施状况</w:t>
            </w:r>
          </w:p>
        </w:tc>
        <w:tc>
          <w:tcPr>
            <w:tcW w:w="3169" w:type="dxa"/>
            <w:tcBorders>
              <w:top w:val="single" w:color="auto" w:sz="8" w:space="0"/>
              <w:left w:val="single" w:color="auto" w:sz="8" w:space="0"/>
              <w:bottom w:val="single" w:color="auto" w:sz="8" w:space="0"/>
              <w:right w:val="single" w:color="auto" w:sz="8" w:space="0"/>
            </w:tcBorders>
            <w:noWrap/>
            <w:vAlign w:val="center"/>
          </w:tcPr>
          <w:p w14:paraId="7E4A3BA0">
            <w:pPr>
              <w:jc w:val="center"/>
              <w:rPr>
                <w:rFonts w:eastAsia="楷体_GB2312"/>
                <w:szCs w:val="21"/>
              </w:rPr>
            </w:pPr>
            <w:r>
              <w:rPr>
                <w:rFonts w:eastAsia="楷体_GB2312"/>
                <w:szCs w:val="21"/>
              </w:rPr>
              <w:t>5.78</w:t>
            </w:r>
          </w:p>
        </w:tc>
      </w:tr>
      <w:tr w14:paraId="327A3CB6">
        <w:tblPrEx>
          <w:tblCellMar>
            <w:top w:w="0" w:type="dxa"/>
            <w:left w:w="108" w:type="dxa"/>
            <w:bottom w:w="0" w:type="dxa"/>
            <w:right w:w="108" w:type="dxa"/>
          </w:tblCellMar>
        </w:tblPrEx>
        <w:trPr>
          <w:trHeight w:val="425" w:hRule="atLeast"/>
          <w:jc w:val="center"/>
        </w:trPr>
        <w:tc>
          <w:tcPr>
            <w:tcW w:w="1134" w:type="dxa"/>
            <w:vMerge w:val="continue"/>
            <w:tcBorders>
              <w:top w:val="single" w:color="auto" w:sz="8" w:space="0"/>
              <w:left w:val="single" w:color="auto" w:sz="8" w:space="0"/>
              <w:bottom w:val="single" w:color="auto" w:sz="8" w:space="0"/>
              <w:right w:val="single" w:color="auto" w:sz="8" w:space="0"/>
            </w:tcBorders>
            <w:noWrap w:val="0"/>
            <w:vAlign w:val="center"/>
          </w:tcPr>
          <w:p w14:paraId="2DE937A7">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2EBDCA1D">
            <w:pPr>
              <w:spacing w:line="0" w:lineRule="atLeast"/>
              <w:jc w:val="center"/>
              <w:rPr>
                <w:rFonts w:eastAsia="楷体_GB2312"/>
                <w:szCs w:val="21"/>
              </w:rPr>
            </w:pPr>
            <w:r>
              <w:rPr>
                <w:rFonts w:eastAsia="楷体_GB2312"/>
                <w:szCs w:val="21"/>
              </w:rPr>
              <w:t>公用设施条件</w:t>
            </w:r>
          </w:p>
        </w:tc>
        <w:tc>
          <w:tcPr>
            <w:tcW w:w="3169" w:type="dxa"/>
            <w:tcBorders>
              <w:top w:val="single" w:color="auto" w:sz="8" w:space="0"/>
              <w:left w:val="single" w:color="auto" w:sz="8" w:space="0"/>
              <w:bottom w:val="single" w:color="auto" w:sz="8" w:space="0"/>
              <w:right w:val="single" w:color="auto" w:sz="8" w:space="0"/>
            </w:tcBorders>
            <w:noWrap/>
            <w:vAlign w:val="center"/>
          </w:tcPr>
          <w:p w14:paraId="5BB2D738">
            <w:pPr>
              <w:jc w:val="center"/>
              <w:rPr>
                <w:rFonts w:eastAsia="楷体_GB2312"/>
                <w:szCs w:val="21"/>
              </w:rPr>
            </w:pPr>
            <w:r>
              <w:rPr>
                <w:rFonts w:eastAsia="楷体_GB2312"/>
                <w:szCs w:val="21"/>
              </w:rPr>
              <w:t>5.41</w:t>
            </w:r>
          </w:p>
        </w:tc>
      </w:tr>
      <w:tr w14:paraId="06B8354E">
        <w:tblPrEx>
          <w:tblCellMar>
            <w:top w:w="0" w:type="dxa"/>
            <w:left w:w="108" w:type="dxa"/>
            <w:bottom w:w="0" w:type="dxa"/>
            <w:right w:w="108" w:type="dxa"/>
          </w:tblCellMar>
        </w:tblPrEx>
        <w:trPr>
          <w:trHeight w:val="425" w:hRule="atLeast"/>
          <w:jc w:val="center"/>
        </w:trPr>
        <w:tc>
          <w:tcPr>
            <w:tcW w:w="1134" w:type="dxa"/>
            <w:vMerge w:val="continue"/>
            <w:tcBorders>
              <w:top w:val="single" w:color="auto" w:sz="8" w:space="0"/>
              <w:left w:val="single" w:color="auto" w:sz="8" w:space="0"/>
              <w:bottom w:val="single" w:color="auto" w:sz="8" w:space="0"/>
              <w:right w:val="single" w:color="auto" w:sz="8" w:space="0"/>
            </w:tcBorders>
            <w:noWrap w:val="0"/>
            <w:vAlign w:val="center"/>
          </w:tcPr>
          <w:p w14:paraId="49E15269">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48E2F12C">
            <w:pPr>
              <w:spacing w:line="0" w:lineRule="atLeast"/>
              <w:jc w:val="center"/>
              <w:rPr>
                <w:rFonts w:eastAsia="楷体_GB2312"/>
                <w:szCs w:val="21"/>
              </w:rPr>
            </w:pPr>
            <w:r>
              <w:rPr>
                <w:rFonts w:eastAsia="楷体_GB2312"/>
                <w:szCs w:val="21"/>
              </w:rPr>
              <w:t>城镇规划限制</w:t>
            </w:r>
          </w:p>
        </w:tc>
        <w:tc>
          <w:tcPr>
            <w:tcW w:w="3169" w:type="dxa"/>
            <w:tcBorders>
              <w:top w:val="single" w:color="auto" w:sz="8" w:space="0"/>
              <w:left w:val="single" w:color="auto" w:sz="8" w:space="0"/>
              <w:bottom w:val="single" w:color="auto" w:sz="8" w:space="0"/>
              <w:right w:val="single" w:color="auto" w:sz="8" w:space="0"/>
            </w:tcBorders>
            <w:noWrap/>
            <w:vAlign w:val="center"/>
          </w:tcPr>
          <w:p w14:paraId="7B74EC63">
            <w:pPr>
              <w:jc w:val="center"/>
              <w:rPr>
                <w:rFonts w:eastAsia="楷体_GB2312"/>
                <w:szCs w:val="21"/>
              </w:rPr>
            </w:pPr>
            <w:r>
              <w:rPr>
                <w:rFonts w:eastAsia="楷体_GB2312"/>
                <w:szCs w:val="21"/>
              </w:rPr>
              <w:t>4.39</w:t>
            </w:r>
          </w:p>
        </w:tc>
      </w:tr>
      <w:tr w14:paraId="05F55CB7">
        <w:tblPrEx>
          <w:tblCellMar>
            <w:top w:w="0" w:type="dxa"/>
            <w:left w:w="108" w:type="dxa"/>
            <w:bottom w:w="0" w:type="dxa"/>
            <w:right w:w="108" w:type="dxa"/>
          </w:tblCellMar>
        </w:tblPrEx>
        <w:trPr>
          <w:trHeight w:val="425" w:hRule="atLeast"/>
          <w:jc w:val="center"/>
        </w:trPr>
        <w:tc>
          <w:tcPr>
            <w:tcW w:w="1134" w:type="dxa"/>
            <w:vMerge w:val="continue"/>
            <w:tcBorders>
              <w:top w:val="single" w:color="auto" w:sz="8" w:space="0"/>
              <w:left w:val="single" w:color="auto" w:sz="8" w:space="0"/>
              <w:bottom w:val="single" w:color="auto" w:sz="8" w:space="0"/>
              <w:right w:val="single" w:color="auto" w:sz="8" w:space="0"/>
            </w:tcBorders>
            <w:noWrap w:val="0"/>
            <w:vAlign w:val="center"/>
          </w:tcPr>
          <w:p w14:paraId="41C56749">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4E702985">
            <w:pPr>
              <w:spacing w:line="0" w:lineRule="atLeast"/>
              <w:jc w:val="center"/>
              <w:rPr>
                <w:rFonts w:eastAsia="楷体_GB2312"/>
                <w:szCs w:val="21"/>
              </w:rPr>
            </w:pPr>
            <w:r>
              <w:rPr>
                <w:rFonts w:eastAsia="楷体_GB2312"/>
                <w:szCs w:val="21"/>
              </w:rPr>
              <w:t>环境质量状况</w:t>
            </w:r>
          </w:p>
        </w:tc>
        <w:tc>
          <w:tcPr>
            <w:tcW w:w="3169" w:type="dxa"/>
            <w:tcBorders>
              <w:top w:val="single" w:color="auto" w:sz="8" w:space="0"/>
              <w:left w:val="single" w:color="auto" w:sz="8" w:space="0"/>
              <w:bottom w:val="single" w:color="auto" w:sz="8" w:space="0"/>
              <w:right w:val="single" w:color="auto" w:sz="8" w:space="0"/>
            </w:tcBorders>
            <w:noWrap/>
            <w:vAlign w:val="center"/>
          </w:tcPr>
          <w:p w14:paraId="0DBE79E9">
            <w:pPr>
              <w:jc w:val="center"/>
              <w:rPr>
                <w:rFonts w:eastAsia="楷体_GB2312"/>
                <w:szCs w:val="21"/>
              </w:rPr>
            </w:pPr>
            <w:r>
              <w:rPr>
                <w:rFonts w:eastAsia="楷体_GB2312"/>
                <w:szCs w:val="21"/>
              </w:rPr>
              <w:t>4.51</w:t>
            </w:r>
          </w:p>
        </w:tc>
      </w:tr>
      <w:tr w14:paraId="5E86BD9D">
        <w:tblPrEx>
          <w:tblCellMar>
            <w:top w:w="0" w:type="dxa"/>
            <w:left w:w="108" w:type="dxa"/>
            <w:bottom w:w="0" w:type="dxa"/>
            <w:right w:w="108" w:type="dxa"/>
          </w:tblCellMar>
        </w:tblPrEx>
        <w:trPr>
          <w:trHeight w:val="425" w:hRule="atLeast"/>
          <w:jc w:val="center"/>
        </w:trPr>
        <w:tc>
          <w:tcPr>
            <w:tcW w:w="1134" w:type="dxa"/>
            <w:vMerge w:val="continue"/>
            <w:tcBorders>
              <w:top w:val="single" w:color="auto" w:sz="8" w:space="0"/>
              <w:left w:val="single" w:color="auto" w:sz="8" w:space="0"/>
              <w:bottom w:val="single" w:color="auto" w:sz="8" w:space="0"/>
              <w:right w:val="single" w:color="auto" w:sz="8" w:space="0"/>
            </w:tcBorders>
            <w:noWrap w:val="0"/>
            <w:vAlign w:val="center"/>
          </w:tcPr>
          <w:p w14:paraId="70450BEE">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4D47E4FB">
            <w:pPr>
              <w:spacing w:line="0" w:lineRule="atLeast"/>
              <w:jc w:val="center"/>
              <w:rPr>
                <w:rFonts w:eastAsia="楷体_GB2312"/>
                <w:szCs w:val="21"/>
              </w:rPr>
            </w:pPr>
            <w:r>
              <w:rPr>
                <w:rFonts w:eastAsia="楷体_GB2312"/>
                <w:szCs w:val="21"/>
              </w:rPr>
              <w:t>景观条件状况</w:t>
            </w:r>
          </w:p>
        </w:tc>
        <w:tc>
          <w:tcPr>
            <w:tcW w:w="3169" w:type="dxa"/>
            <w:tcBorders>
              <w:top w:val="single" w:color="auto" w:sz="8" w:space="0"/>
              <w:left w:val="single" w:color="auto" w:sz="8" w:space="0"/>
              <w:bottom w:val="single" w:color="auto" w:sz="8" w:space="0"/>
              <w:right w:val="single" w:color="auto" w:sz="8" w:space="0"/>
            </w:tcBorders>
            <w:noWrap/>
            <w:vAlign w:val="center"/>
          </w:tcPr>
          <w:p w14:paraId="2CC59BEC">
            <w:pPr>
              <w:jc w:val="center"/>
              <w:rPr>
                <w:rFonts w:eastAsia="楷体_GB2312"/>
                <w:szCs w:val="21"/>
              </w:rPr>
            </w:pPr>
            <w:r>
              <w:rPr>
                <w:rFonts w:eastAsia="楷体_GB2312"/>
                <w:szCs w:val="21"/>
              </w:rPr>
              <w:t>4.16</w:t>
            </w:r>
          </w:p>
        </w:tc>
      </w:tr>
      <w:tr w14:paraId="49D906CD">
        <w:tblPrEx>
          <w:tblCellMar>
            <w:top w:w="0" w:type="dxa"/>
            <w:left w:w="108" w:type="dxa"/>
            <w:bottom w:w="0" w:type="dxa"/>
            <w:right w:w="108" w:type="dxa"/>
          </w:tblCellMar>
        </w:tblPrEx>
        <w:trPr>
          <w:trHeight w:val="425" w:hRule="atLeast"/>
          <w:jc w:val="center"/>
        </w:trPr>
        <w:tc>
          <w:tcPr>
            <w:tcW w:w="1134" w:type="dxa"/>
            <w:vMerge w:val="continue"/>
            <w:tcBorders>
              <w:top w:val="single" w:color="auto" w:sz="8" w:space="0"/>
              <w:left w:val="single" w:color="auto" w:sz="8" w:space="0"/>
              <w:bottom w:val="single" w:color="auto" w:sz="8" w:space="0"/>
              <w:right w:val="single" w:color="auto" w:sz="8" w:space="0"/>
            </w:tcBorders>
            <w:noWrap w:val="0"/>
            <w:vAlign w:val="center"/>
          </w:tcPr>
          <w:p w14:paraId="154D41BA">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520EAACD">
            <w:pPr>
              <w:spacing w:line="0" w:lineRule="atLeast"/>
              <w:jc w:val="center"/>
              <w:rPr>
                <w:rFonts w:eastAsia="楷体_GB2312"/>
                <w:szCs w:val="21"/>
              </w:rPr>
            </w:pPr>
            <w:r>
              <w:rPr>
                <w:rFonts w:eastAsia="楷体_GB2312"/>
                <w:szCs w:val="21"/>
              </w:rPr>
              <w:t>其他区域因素状况</w:t>
            </w:r>
          </w:p>
        </w:tc>
        <w:tc>
          <w:tcPr>
            <w:tcW w:w="3169" w:type="dxa"/>
            <w:tcBorders>
              <w:top w:val="single" w:color="auto" w:sz="8" w:space="0"/>
              <w:left w:val="single" w:color="auto" w:sz="8" w:space="0"/>
              <w:bottom w:val="single" w:color="auto" w:sz="8" w:space="0"/>
              <w:right w:val="single" w:color="auto" w:sz="8" w:space="0"/>
            </w:tcBorders>
            <w:noWrap/>
            <w:vAlign w:val="center"/>
          </w:tcPr>
          <w:p w14:paraId="48C6054D">
            <w:pPr>
              <w:jc w:val="center"/>
              <w:rPr>
                <w:rFonts w:eastAsia="楷体_GB2312"/>
                <w:szCs w:val="21"/>
              </w:rPr>
            </w:pPr>
            <w:r>
              <w:rPr>
                <w:rFonts w:eastAsia="楷体_GB2312"/>
                <w:szCs w:val="21"/>
              </w:rPr>
              <w:t>2.79</w:t>
            </w:r>
          </w:p>
        </w:tc>
      </w:tr>
      <w:tr w14:paraId="13B8B258">
        <w:tblPrEx>
          <w:tblCellMar>
            <w:top w:w="0" w:type="dxa"/>
            <w:left w:w="108" w:type="dxa"/>
            <w:bottom w:w="0" w:type="dxa"/>
            <w:right w:w="108" w:type="dxa"/>
          </w:tblCellMar>
        </w:tblPrEx>
        <w:trPr>
          <w:trHeight w:val="425" w:hRule="atLeast"/>
          <w:jc w:val="center"/>
        </w:trPr>
        <w:tc>
          <w:tcPr>
            <w:tcW w:w="1134" w:type="dxa"/>
            <w:vMerge w:val="restart"/>
            <w:tcBorders>
              <w:top w:val="single" w:color="auto" w:sz="8" w:space="0"/>
              <w:left w:val="single" w:color="auto" w:sz="8" w:space="0"/>
              <w:right w:val="single" w:color="auto" w:sz="8" w:space="0"/>
            </w:tcBorders>
            <w:noWrap/>
            <w:vAlign w:val="center"/>
          </w:tcPr>
          <w:p w14:paraId="16105D68">
            <w:pPr>
              <w:spacing w:line="0" w:lineRule="atLeast"/>
              <w:jc w:val="center"/>
              <w:rPr>
                <w:rFonts w:eastAsia="楷体_GB2312"/>
                <w:szCs w:val="21"/>
              </w:rPr>
            </w:pPr>
            <w:r>
              <w:rPr>
                <w:rFonts w:eastAsia="楷体_GB2312"/>
                <w:szCs w:val="21"/>
              </w:rPr>
              <w:t>个</w:t>
            </w:r>
          </w:p>
          <w:p w14:paraId="5800218A">
            <w:pPr>
              <w:spacing w:line="0" w:lineRule="atLeast"/>
              <w:jc w:val="center"/>
              <w:rPr>
                <w:rFonts w:eastAsia="楷体_GB2312"/>
                <w:szCs w:val="21"/>
              </w:rPr>
            </w:pPr>
            <w:r>
              <w:rPr>
                <w:rFonts w:eastAsia="楷体_GB2312"/>
                <w:szCs w:val="21"/>
              </w:rPr>
              <w:t>别</w:t>
            </w:r>
          </w:p>
          <w:p w14:paraId="2264891D">
            <w:pPr>
              <w:spacing w:line="0" w:lineRule="atLeast"/>
              <w:jc w:val="center"/>
              <w:rPr>
                <w:rFonts w:eastAsia="楷体_GB2312"/>
                <w:szCs w:val="21"/>
              </w:rPr>
            </w:pPr>
            <w:r>
              <w:rPr>
                <w:rFonts w:eastAsia="楷体_GB2312"/>
                <w:szCs w:val="21"/>
              </w:rPr>
              <w:t>因</w:t>
            </w:r>
          </w:p>
          <w:p w14:paraId="6C66FC32">
            <w:pPr>
              <w:spacing w:line="0" w:lineRule="atLeast"/>
              <w:jc w:val="center"/>
              <w:rPr>
                <w:rFonts w:eastAsia="楷体_GB2312"/>
                <w:szCs w:val="21"/>
              </w:rPr>
            </w:pPr>
            <w:r>
              <w:rPr>
                <w:rFonts w:eastAsia="楷体_GB2312"/>
                <w:szCs w:val="21"/>
              </w:rPr>
              <w:t>素</w:t>
            </w:r>
          </w:p>
          <w:p w14:paraId="6D17DD69">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2A82E874">
            <w:pPr>
              <w:spacing w:line="0" w:lineRule="atLeast"/>
              <w:jc w:val="center"/>
              <w:rPr>
                <w:rFonts w:eastAsia="楷体_GB2312"/>
                <w:szCs w:val="21"/>
              </w:rPr>
            </w:pPr>
            <w:r>
              <w:rPr>
                <w:rFonts w:eastAsia="楷体_GB2312"/>
                <w:szCs w:val="21"/>
              </w:rPr>
              <w:t>宗地自然条件</w:t>
            </w:r>
          </w:p>
        </w:tc>
        <w:tc>
          <w:tcPr>
            <w:tcW w:w="3169" w:type="dxa"/>
            <w:tcBorders>
              <w:top w:val="single" w:color="auto" w:sz="8" w:space="0"/>
              <w:left w:val="single" w:color="auto" w:sz="8" w:space="0"/>
              <w:bottom w:val="single" w:color="auto" w:sz="8" w:space="0"/>
              <w:right w:val="single" w:color="auto" w:sz="8" w:space="0"/>
            </w:tcBorders>
            <w:noWrap/>
            <w:vAlign w:val="center"/>
          </w:tcPr>
          <w:p w14:paraId="143C43F1">
            <w:pPr>
              <w:jc w:val="center"/>
              <w:rPr>
                <w:rFonts w:eastAsia="楷体_GB2312"/>
                <w:szCs w:val="21"/>
              </w:rPr>
            </w:pPr>
            <w:r>
              <w:rPr>
                <w:rFonts w:eastAsia="楷体_GB2312"/>
                <w:szCs w:val="21"/>
              </w:rPr>
              <w:t>3.86</w:t>
            </w:r>
          </w:p>
        </w:tc>
      </w:tr>
      <w:tr w14:paraId="3D06682E">
        <w:tblPrEx>
          <w:tblCellMar>
            <w:top w:w="0" w:type="dxa"/>
            <w:left w:w="108" w:type="dxa"/>
            <w:bottom w:w="0" w:type="dxa"/>
            <w:right w:w="108" w:type="dxa"/>
          </w:tblCellMar>
        </w:tblPrEx>
        <w:trPr>
          <w:trHeight w:val="425" w:hRule="atLeast"/>
          <w:jc w:val="center"/>
        </w:trPr>
        <w:tc>
          <w:tcPr>
            <w:tcW w:w="1134" w:type="dxa"/>
            <w:vMerge w:val="continue"/>
            <w:tcBorders>
              <w:top w:val="single" w:color="auto" w:sz="8" w:space="0"/>
              <w:left w:val="single" w:color="auto" w:sz="8" w:space="0"/>
              <w:right w:val="single" w:color="auto" w:sz="8" w:space="0"/>
            </w:tcBorders>
            <w:noWrap/>
            <w:vAlign w:val="center"/>
          </w:tcPr>
          <w:p w14:paraId="6C12150B">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72C2A65F">
            <w:pPr>
              <w:spacing w:line="0" w:lineRule="atLeast"/>
              <w:jc w:val="center"/>
              <w:rPr>
                <w:rFonts w:eastAsia="楷体_GB2312"/>
                <w:szCs w:val="21"/>
              </w:rPr>
            </w:pPr>
            <w:r>
              <w:rPr>
                <w:rFonts w:eastAsia="楷体_GB2312"/>
                <w:szCs w:val="21"/>
              </w:rPr>
              <w:t>宗地形状</w:t>
            </w:r>
          </w:p>
        </w:tc>
        <w:tc>
          <w:tcPr>
            <w:tcW w:w="3169" w:type="dxa"/>
            <w:tcBorders>
              <w:top w:val="single" w:color="auto" w:sz="8" w:space="0"/>
              <w:left w:val="single" w:color="auto" w:sz="8" w:space="0"/>
              <w:bottom w:val="single" w:color="auto" w:sz="8" w:space="0"/>
              <w:right w:val="single" w:color="auto" w:sz="8" w:space="0"/>
            </w:tcBorders>
            <w:noWrap/>
            <w:vAlign w:val="center"/>
          </w:tcPr>
          <w:p w14:paraId="4387E645">
            <w:pPr>
              <w:jc w:val="center"/>
              <w:rPr>
                <w:rFonts w:eastAsia="楷体_GB2312"/>
                <w:szCs w:val="21"/>
              </w:rPr>
            </w:pPr>
            <w:r>
              <w:rPr>
                <w:rFonts w:eastAsia="楷体_GB2312"/>
                <w:szCs w:val="21"/>
              </w:rPr>
              <w:t>3.25</w:t>
            </w:r>
          </w:p>
        </w:tc>
      </w:tr>
      <w:tr w14:paraId="3C59C443">
        <w:tblPrEx>
          <w:tblCellMar>
            <w:top w:w="0" w:type="dxa"/>
            <w:left w:w="108" w:type="dxa"/>
            <w:bottom w:w="0" w:type="dxa"/>
            <w:right w:w="108" w:type="dxa"/>
          </w:tblCellMar>
        </w:tblPrEx>
        <w:trPr>
          <w:trHeight w:val="425" w:hRule="atLeast"/>
          <w:jc w:val="center"/>
        </w:trPr>
        <w:tc>
          <w:tcPr>
            <w:tcW w:w="1134" w:type="dxa"/>
            <w:vMerge w:val="continue"/>
            <w:tcBorders>
              <w:left w:val="single" w:color="auto" w:sz="8" w:space="0"/>
              <w:right w:val="single" w:color="auto" w:sz="8" w:space="0"/>
            </w:tcBorders>
            <w:noWrap/>
            <w:vAlign w:val="center"/>
          </w:tcPr>
          <w:p w14:paraId="6D8B40FD">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2473EA56">
            <w:pPr>
              <w:spacing w:line="0" w:lineRule="atLeast"/>
              <w:jc w:val="center"/>
              <w:rPr>
                <w:rFonts w:eastAsia="楷体_GB2312"/>
                <w:szCs w:val="21"/>
              </w:rPr>
            </w:pPr>
            <w:r>
              <w:rPr>
                <w:rFonts w:eastAsia="楷体_GB2312"/>
                <w:szCs w:val="21"/>
              </w:rPr>
              <w:t>宗地面积</w:t>
            </w:r>
          </w:p>
        </w:tc>
        <w:tc>
          <w:tcPr>
            <w:tcW w:w="3169" w:type="dxa"/>
            <w:tcBorders>
              <w:top w:val="single" w:color="auto" w:sz="8" w:space="0"/>
              <w:left w:val="single" w:color="auto" w:sz="8" w:space="0"/>
              <w:bottom w:val="single" w:color="auto" w:sz="8" w:space="0"/>
              <w:right w:val="single" w:color="auto" w:sz="8" w:space="0"/>
            </w:tcBorders>
            <w:noWrap/>
            <w:vAlign w:val="center"/>
          </w:tcPr>
          <w:p w14:paraId="123C8EBA">
            <w:pPr>
              <w:jc w:val="center"/>
              <w:rPr>
                <w:rFonts w:eastAsia="楷体_GB2312"/>
                <w:szCs w:val="21"/>
              </w:rPr>
            </w:pPr>
            <w:r>
              <w:rPr>
                <w:rFonts w:eastAsia="楷体_GB2312"/>
                <w:szCs w:val="21"/>
              </w:rPr>
              <w:t>3.43</w:t>
            </w:r>
          </w:p>
        </w:tc>
      </w:tr>
      <w:tr w14:paraId="33D27034">
        <w:tblPrEx>
          <w:tblCellMar>
            <w:top w:w="0" w:type="dxa"/>
            <w:left w:w="108" w:type="dxa"/>
            <w:bottom w:w="0" w:type="dxa"/>
            <w:right w:w="108" w:type="dxa"/>
          </w:tblCellMar>
        </w:tblPrEx>
        <w:trPr>
          <w:trHeight w:val="425" w:hRule="atLeast"/>
          <w:jc w:val="center"/>
        </w:trPr>
        <w:tc>
          <w:tcPr>
            <w:tcW w:w="1134" w:type="dxa"/>
            <w:vMerge w:val="continue"/>
            <w:tcBorders>
              <w:left w:val="single" w:color="auto" w:sz="8" w:space="0"/>
              <w:right w:val="single" w:color="auto" w:sz="8" w:space="0"/>
            </w:tcBorders>
            <w:noWrap/>
            <w:vAlign w:val="center"/>
          </w:tcPr>
          <w:p w14:paraId="544C2E4C">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2BBF0C0D">
            <w:pPr>
              <w:spacing w:line="0" w:lineRule="atLeast"/>
              <w:jc w:val="center"/>
              <w:rPr>
                <w:rFonts w:eastAsia="楷体_GB2312"/>
                <w:szCs w:val="21"/>
              </w:rPr>
            </w:pPr>
            <w:r>
              <w:rPr>
                <w:rFonts w:eastAsia="楷体_GB2312"/>
                <w:szCs w:val="21"/>
              </w:rPr>
              <w:t>宗地日照、通风、干湿状况</w:t>
            </w:r>
          </w:p>
        </w:tc>
        <w:tc>
          <w:tcPr>
            <w:tcW w:w="3169" w:type="dxa"/>
            <w:tcBorders>
              <w:top w:val="single" w:color="auto" w:sz="8" w:space="0"/>
              <w:left w:val="single" w:color="auto" w:sz="8" w:space="0"/>
              <w:bottom w:val="single" w:color="auto" w:sz="8" w:space="0"/>
              <w:right w:val="single" w:color="auto" w:sz="8" w:space="0"/>
            </w:tcBorders>
            <w:noWrap/>
            <w:vAlign w:val="center"/>
          </w:tcPr>
          <w:p w14:paraId="4D9D7F2C">
            <w:pPr>
              <w:jc w:val="center"/>
              <w:rPr>
                <w:rFonts w:eastAsia="楷体_GB2312"/>
                <w:szCs w:val="21"/>
              </w:rPr>
            </w:pPr>
            <w:r>
              <w:rPr>
                <w:rFonts w:eastAsia="楷体_GB2312"/>
                <w:szCs w:val="21"/>
              </w:rPr>
              <w:t>3.96</w:t>
            </w:r>
          </w:p>
        </w:tc>
      </w:tr>
      <w:tr w14:paraId="58DE7A1B">
        <w:tblPrEx>
          <w:tblCellMar>
            <w:top w:w="0" w:type="dxa"/>
            <w:left w:w="108" w:type="dxa"/>
            <w:bottom w:w="0" w:type="dxa"/>
            <w:right w:w="108" w:type="dxa"/>
          </w:tblCellMar>
        </w:tblPrEx>
        <w:trPr>
          <w:trHeight w:val="425" w:hRule="atLeast"/>
          <w:jc w:val="center"/>
        </w:trPr>
        <w:tc>
          <w:tcPr>
            <w:tcW w:w="1134" w:type="dxa"/>
            <w:vMerge w:val="continue"/>
            <w:tcBorders>
              <w:left w:val="single" w:color="auto" w:sz="8" w:space="0"/>
              <w:right w:val="single" w:color="auto" w:sz="8" w:space="0"/>
            </w:tcBorders>
            <w:noWrap/>
            <w:vAlign w:val="center"/>
          </w:tcPr>
          <w:p w14:paraId="6AEDE96E">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370F1000">
            <w:pPr>
              <w:spacing w:line="0" w:lineRule="atLeast"/>
              <w:jc w:val="center"/>
              <w:rPr>
                <w:rFonts w:eastAsia="楷体_GB2312"/>
                <w:szCs w:val="21"/>
              </w:rPr>
            </w:pPr>
            <w:r>
              <w:rPr>
                <w:rFonts w:eastAsia="楷体_GB2312"/>
                <w:szCs w:val="21"/>
              </w:rPr>
              <w:t>临街状况</w:t>
            </w:r>
          </w:p>
        </w:tc>
        <w:tc>
          <w:tcPr>
            <w:tcW w:w="3169" w:type="dxa"/>
            <w:tcBorders>
              <w:top w:val="single" w:color="auto" w:sz="8" w:space="0"/>
              <w:left w:val="single" w:color="auto" w:sz="8" w:space="0"/>
              <w:bottom w:val="single" w:color="auto" w:sz="8" w:space="0"/>
              <w:right w:val="single" w:color="auto" w:sz="8" w:space="0"/>
            </w:tcBorders>
            <w:noWrap/>
            <w:vAlign w:val="center"/>
          </w:tcPr>
          <w:p w14:paraId="0497BFB3">
            <w:pPr>
              <w:jc w:val="center"/>
              <w:rPr>
                <w:rFonts w:eastAsia="楷体_GB2312"/>
                <w:szCs w:val="21"/>
              </w:rPr>
            </w:pPr>
            <w:r>
              <w:rPr>
                <w:rFonts w:eastAsia="楷体_GB2312"/>
                <w:szCs w:val="21"/>
              </w:rPr>
              <w:t>4.57</w:t>
            </w:r>
          </w:p>
        </w:tc>
      </w:tr>
      <w:tr w14:paraId="0070E114">
        <w:tblPrEx>
          <w:tblCellMar>
            <w:top w:w="0" w:type="dxa"/>
            <w:left w:w="108" w:type="dxa"/>
            <w:bottom w:w="0" w:type="dxa"/>
            <w:right w:w="108" w:type="dxa"/>
          </w:tblCellMar>
        </w:tblPrEx>
        <w:trPr>
          <w:trHeight w:val="425" w:hRule="atLeast"/>
          <w:jc w:val="center"/>
        </w:trPr>
        <w:tc>
          <w:tcPr>
            <w:tcW w:w="1134" w:type="dxa"/>
            <w:vMerge w:val="continue"/>
            <w:tcBorders>
              <w:left w:val="single" w:color="auto" w:sz="8" w:space="0"/>
              <w:right w:val="single" w:color="auto" w:sz="8" w:space="0"/>
            </w:tcBorders>
            <w:noWrap/>
            <w:vAlign w:val="center"/>
          </w:tcPr>
          <w:p w14:paraId="395A9E22">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28CE81B9">
            <w:pPr>
              <w:spacing w:line="0" w:lineRule="atLeast"/>
              <w:jc w:val="center"/>
              <w:rPr>
                <w:rFonts w:eastAsia="楷体_GB2312"/>
                <w:szCs w:val="21"/>
              </w:rPr>
            </w:pPr>
            <w:r>
              <w:rPr>
                <w:rFonts w:eastAsia="楷体_GB2312"/>
                <w:szCs w:val="21"/>
              </w:rPr>
              <w:t>规划限制</w:t>
            </w:r>
          </w:p>
        </w:tc>
        <w:tc>
          <w:tcPr>
            <w:tcW w:w="3169" w:type="dxa"/>
            <w:tcBorders>
              <w:top w:val="single" w:color="auto" w:sz="8" w:space="0"/>
              <w:left w:val="single" w:color="auto" w:sz="8" w:space="0"/>
              <w:bottom w:val="single" w:color="auto" w:sz="8" w:space="0"/>
              <w:right w:val="single" w:color="auto" w:sz="8" w:space="0"/>
            </w:tcBorders>
            <w:noWrap/>
            <w:vAlign w:val="center"/>
          </w:tcPr>
          <w:p w14:paraId="45CD0C9A">
            <w:pPr>
              <w:jc w:val="center"/>
              <w:rPr>
                <w:rFonts w:eastAsia="楷体_GB2312"/>
                <w:szCs w:val="21"/>
              </w:rPr>
            </w:pPr>
            <w:r>
              <w:rPr>
                <w:rFonts w:eastAsia="楷体_GB2312"/>
                <w:szCs w:val="21"/>
              </w:rPr>
              <w:t>4.15</w:t>
            </w:r>
          </w:p>
        </w:tc>
      </w:tr>
      <w:tr w14:paraId="70545992">
        <w:tblPrEx>
          <w:tblCellMar>
            <w:top w:w="0" w:type="dxa"/>
            <w:left w:w="108" w:type="dxa"/>
            <w:bottom w:w="0" w:type="dxa"/>
            <w:right w:w="108" w:type="dxa"/>
          </w:tblCellMar>
        </w:tblPrEx>
        <w:trPr>
          <w:trHeight w:val="425" w:hRule="atLeast"/>
          <w:jc w:val="center"/>
        </w:trPr>
        <w:tc>
          <w:tcPr>
            <w:tcW w:w="1134" w:type="dxa"/>
            <w:vMerge w:val="continue"/>
            <w:tcBorders>
              <w:left w:val="single" w:color="auto" w:sz="8" w:space="0"/>
              <w:right w:val="single" w:color="auto" w:sz="8" w:space="0"/>
            </w:tcBorders>
            <w:noWrap/>
            <w:vAlign w:val="center"/>
          </w:tcPr>
          <w:p w14:paraId="7BBA8DFA">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12ED9844">
            <w:pPr>
              <w:spacing w:line="0" w:lineRule="atLeast"/>
              <w:jc w:val="center"/>
              <w:rPr>
                <w:rFonts w:eastAsia="楷体_GB2312"/>
                <w:szCs w:val="21"/>
              </w:rPr>
            </w:pPr>
            <w:r>
              <w:rPr>
                <w:rFonts w:eastAsia="楷体_GB2312"/>
                <w:szCs w:val="21"/>
              </w:rPr>
              <w:t>宗地基础设施状况</w:t>
            </w:r>
          </w:p>
        </w:tc>
        <w:tc>
          <w:tcPr>
            <w:tcW w:w="3169" w:type="dxa"/>
            <w:tcBorders>
              <w:top w:val="single" w:color="auto" w:sz="8" w:space="0"/>
              <w:left w:val="single" w:color="auto" w:sz="8" w:space="0"/>
              <w:bottom w:val="single" w:color="auto" w:sz="8" w:space="0"/>
              <w:right w:val="single" w:color="auto" w:sz="8" w:space="0"/>
            </w:tcBorders>
            <w:noWrap/>
            <w:vAlign w:val="center"/>
          </w:tcPr>
          <w:p w14:paraId="6269744F">
            <w:pPr>
              <w:jc w:val="center"/>
              <w:rPr>
                <w:rFonts w:eastAsia="楷体_GB2312"/>
                <w:szCs w:val="21"/>
              </w:rPr>
            </w:pPr>
            <w:r>
              <w:rPr>
                <w:rFonts w:eastAsia="楷体_GB2312"/>
                <w:szCs w:val="21"/>
              </w:rPr>
              <w:t>5.03</w:t>
            </w:r>
          </w:p>
        </w:tc>
      </w:tr>
      <w:tr w14:paraId="0B8353A7">
        <w:tblPrEx>
          <w:tblCellMar>
            <w:top w:w="0" w:type="dxa"/>
            <w:left w:w="108" w:type="dxa"/>
            <w:bottom w:w="0" w:type="dxa"/>
            <w:right w:w="108" w:type="dxa"/>
          </w:tblCellMar>
        </w:tblPrEx>
        <w:trPr>
          <w:trHeight w:val="425" w:hRule="atLeast"/>
          <w:jc w:val="center"/>
        </w:trPr>
        <w:tc>
          <w:tcPr>
            <w:tcW w:w="1134" w:type="dxa"/>
            <w:vMerge w:val="continue"/>
            <w:tcBorders>
              <w:left w:val="single" w:color="auto" w:sz="8" w:space="0"/>
              <w:right w:val="single" w:color="auto" w:sz="8" w:space="0"/>
            </w:tcBorders>
            <w:noWrap/>
            <w:vAlign w:val="center"/>
          </w:tcPr>
          <w:p w14:paraId="2A8FA56C">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27B06132">
            <w:pPr>
              <w:spacing w:line="0" w:lineRule="atLeast"/>
              <w:jc w:val="center"/>
              <w:rPr>
                <w:rFonts w:eastAsia="楷体_GB2312"/>
                <w:szCs w:val="21"/>
              </w:rPr>
            </w:pPr>
            <w:r>
              <w:rPr>
                <w:rFonts w:eastAsia="楷体_GB2312"/>
                <w:szCs w:val="21"/>
              </w:rPr>
              <w:t>地上建筑物状况</w:t>
            </w:r>
          </w:p>
        </w:tc>
        <w:tc>
          <w:tcPr>
            <w:tcW w:w="3169" w:type="dxa"/>
            <w:tcBorders>
              <w:top w:val="single" w:color="auto" w:sz="8" w:space="0"/>
              <w:left w:val="single" w:color="auto" w:sz="8" w:space="0"/>
              <w:bottom w:val="single" w:color="auto" w:sz="8" w:space="0"/>
              <w:right w:val="single" w:color="auto" w:sz="8" w:space="0"/>
            </w:tcBorders>
            <w:noWrap/>
            <w:vAlign w:val="center"/>
          </w:tcPr>
          <w:p w14:paraId="2A09CDE8">
            <w:pPr>
              <w:jc w:val="center"/>
              <w:rPr>
                <w:rFonts w:eastAsia="楷体_GB2312"/>
                <w:szCs w:val="21"/>
              </w:rPr>
            </w:pPr>
            <w:r>
              <w:rPr>
                <w:rFonts w:eastAsia="楷体_GB2312"/>
                <w:szCs w:val="21"/>
              </w:rPr>
              <w:t>3.89</w:t>
            </w:r>
          </w:p>
        </w:tc>
      </w:tr>
      <w:tr w14:paraId="409CFE40">
        <w:tblPrEx>
          <w:tblCellMar>
            <w:top w:w="0" w:type="dxa"/>
            <w:left w:w="108" w:type="dxa"/>
            <w:bottom w:w="0" w:type="dxa"/>
            <w:right w:w="108" w:type="dxa"/>
          </w:tblCellMar>
        </w:tblPrEx>
        <w:trPr>
          <w:trHeight w:val="425" w:hRule="atLeast"/>
          <w:jc w:val="center"/>
        </w:trPr>
        <w:tc>
          <w:tcPr>
            <w:tcW w:w="1134" w:type="dxa"/>
            <w:vMerge w:val="continue"/>
            <w:tcBorders>
              <w:left w:val="single" w:color="auto" w:sz="8" w:space="0"/>
              <w:right w:val="single" w:color="auto" w:sz="8" w:space="0"/>
            </w:tcBorders>
            <w:noWrap/>
            <w:vAlign w:val="center"/>
          </w:tcPr>
          <w:p w14:paraId="304D7100">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6A711DA4">
            <w:pPr>
              <w:spacing w:line="0" w:lineRule="atLeast"/>
              <w:jc w:val="center"/>
              <w:rPr>
                <w:rFonts w:eastAsia="楷体_GB2312"/>
                <w:szCs w:val="21"/>
              </w:rPr>
            </w:pPr>
            <w:r>
              <w:rPr>
                <w:rFonts w:eastAsia="楷体_GB2312"/>
                <w:szCs w:val="21"/>
              </w:rPr>
              <w:t>距商服中心距离</w:t>
            </w:r>
          </w:p>
        </w:tc>
        <w:tc>
          <w:tcPr>
            <w:tcW w:w="3169" w:type="dxa"/>
            <w:tcBorders>
              <w:top w:val="single" w:color="auto" w:sz="8" w:space="0"/>
              <w:left w:val="single" w:color="auto" w:sz="8" w:space="0"/>
              <w:bottom w:val="single" w:color="auto" w:sz="8" w:space="0"/>
              <w:right w:val="single" w:color="auto" w:sz="8" w:space="0"/>
            </w:tcBorders>
            <w:noWrap/>
            <w:vAlign w:val="center"/>
          </w:tcPr>
          <w:p w14:paraId="6D2C1432">
            <w:pPr>
              <w:jc w:val="center"/>
              <w:rPr>
                <w:rFonts w:eastAsia="楷体_GB2312"/>
                <w:szCs w:val="21"/>
              </w:rPr>
            </w:pPr>
            <w:r>
              <w:rPr>
                <w:rFonts w:eastAsia="楷体_GB2312"/>
                <w:szCs w:val="21"/>
              </w:rPr>
              <w:t>5.27</w:t>
            </w:r>
          </w:p>
        </w:tc>
      </w:tr>
      <w:tr w14:paraId="69728133">
        <w:tblPrEx>
          <w:tblCellMar>
            <w:top w:w="0" w:type="dxa"/>
            <w:left w:w="108" w:type="dxa"/>
            <w:bottom w:w="0" w:type="dxa"/>
            <w:right w:w="108" w:type="dxa"/>
          </w:tblCellMar>
        </w:tblPrEx>
        <w:trPr>
          <w:trHeight w:val="425" w:hRule="atLeast"/>
          <w:jc w:val="center"/>
        </w:trPr>
        <w:tc>
          <w:tcPr>
            <w:tcW w:w="1134" w:type="dxa"/>
            <w:vMerge w:val="continue"/>
            <w:tcBorders>
              <w:left w:val="single" w:color="auto" w:sz="8" w:space="0"/>
              <w:right w:val="single" w:color="auto" w:sz="8" w:space="0"/>
            </w:tcBorders>
            <w:noWrap/>
            <w:vAlign w:val="center"/>
          </w:tcPr>
          <w:p w14:paraId="4C7CEFF6">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3D028497">
            <w:pPr>
              <w:spacing w:line="0" w:lineRule="atLeast"/>
              <w:jc w:val="center"/>
              <w:rPr>
                <w:rFonts w:eastAsia="楷体_GB2312"/>
                <w:szCs w:val="21"/>
              </w:rPr>
            </w:pPr>
            <w:r>
              <w:rPr>
                <w:rFonts w:eastAsia="楷体_GB2312"/>
                <w:szCs w:val="21"/>
              </w:rPr>
              <w:t>距对外交通设施距离</w:t>
            </w:r>
          </w:p>
        </w:tc>
        <w:tc>
          <w:tcPr>
            <w:tcW w:w="3169" w:type="dxa"/>
            <w:tcBorders>
              <w:top w:val="single" w:color="auto" w:sz="8" w:space="0"/>
              <w:left w:val="single" w:color="auto" w:sz="8" w:space="0"/>
              <w:bottom w:val="single" w:color="auto" w:sz="8" w:space="0"/>
              <w:right w:val="single" w:color="auto" w:sz="8" w:space="0"/>
            </w:tcBorders>
            <w:noWrap/>
            <w:vAlign w:val="center"/>
          </w:tcPr>
          <w:p w14:paraId="394A2620">
            <w:pPr>
              <w:jc w:val="center"/>
              <w:rPr>
                <w:rFonts w:eastAsia="楷体_GB2312"/>
                <w:szCs w:val="21"/>
              </w:rPr>
            </w:pPr>
            <w:r>
              <w:rPr>
                <w:rFonts w:eastAsia="楷体_GB2312"/>
                <w:szCs w:val="21"/>
              </w:rPr>
              <w:t>5.19</w:t>
            </w:r>
          </w:p>
        </w:tc>
      </w:tr>
      <w:tr w14:paraId="006A1DDB">
        <w:tblPrEx>
          <w:tblCellMar>
            <w:top w:w="0" w:type="dxa"/>
            <w:left w:w="108" w:type="dxa"/>
            <w:bottom w:w="0" w:type="dxa"/>
            <w:right w:w="108" w:type="dxa"/>
          </w:tblCellMar>
        </w:tblPrEx>
        <w:trPr>
          <w:trHeight w:val="425" w:hRule="atLeast"/>
          <w:jc w:val="center"/>
        </w:trPr>
        <w:tc>
          <w:tcPr>
            <w:tcW w:w="1134" w:type="dxa"/>
            <w:vMerge w:val="continue"/>
            <w:tcBorders>
              <w:left w:val="single" w:color="auto" w:sz="8" w:space="0"/>
              <w:right w:val="single" w:color="auto" w:sz="8" w:space="0"/>
            </w:tcBorders>
            <w:noWrap/>
            <w:vAlign w:val="center"/>
          </w:tcPr>
          <w:p w14:paraId="6DB288A2">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4874AB3A">
            <w:pPr>
              <w:spacing w:line="0" w:lineRule="atLeast"/>
              <w:jc w:val="center"/>
              <w:rPr>
                <w:rFonts w:eastAsia="楷体_GB2312"/>
                <w:szCs w:val="21"/>
              </w:rPr>
            </w:pPr>
            <w:r>
              <w:rPr>
                <w:rFonts w:eastAsia="楷体_GB2312"/>
                <w:szCs w:val="21"/>
              </w:rPr>
              <w:t>接近公用设施程度</w:t>
            </w:r>
          </w:p>
        </w:tc>
        <w:tc>
          <w:tcPr>
            <w:tcW w:w="3169" w:type="dxa"/>
            <w:tcBorders>
              <w:top w:val="single" w:color="auto" w:sz="8" w:space="0"/>
              <w:left w:val="single" w:color="auto" w:sz="8" w:space="0"/>
              <w:bottom w:val="single" w:color="auto" w:sz="8" w:space="0"/>
              <w:right w:val="single" w:color="auto" w:sz="8" w:space="0"/>
            </w:tcBorders>
            <w:noWrap/>
            <w:vAlign w:val="center"/>
          </w:tcPr>
          <w:p w14:paraId="4E392F3E">
            <w:pPr>
              <w:jc w:val="center"/>
              <w:rPr>
                <w:rFonts w:eastAsia="楷体_GB2312"/>
                <w:szCs w:val="21"/>
              </w:rPr>
            </w:pPr>
            <w:r>
              <w:rPr>
                <w:rFonts w:eastAsia="楷体_GB2312"/>
                <w:szCs w:val="21"/>
              </w:rPr>
              <w:t>4.16</w:t>
            </w:r>
          </w:p>
        </w:tc>
      </w:tr>
      <w:tr w14:paraId="38D51D62">
        <w:tblPrEx>
          <w:tblCellMar>
            <w:top w:w="0" w:type="dxa"/>
            <w:left w:w="108" w:type="dxa"/>
            <w:bottom w:w="0" w:type="dxa"/>
            <w:right w:w="108" w:type="dxa"/>
          </w:tblCellMar>
        </w:tblPrEx>
        <w:trPr>
          <w:trHeight w:val="425" w:hRule="atLeast"/>
          <w:jc w:val="center"/>
        </w:trPr>
        <w:tc>
          <w:tcPr>
            <w:tcW w:w="1134" w:type="dxa"/>
            <w:vMerge w:val="continue"/>
            <w:tcBorders>
              <w:left w:val="single" w:color="auto" w:sz="8" w:space="0"/>
              <w:right w:val="single" w:color="auto" w:sz="8" w:space="0"/>
            </w:tcBorders>
            <w:noWrap/>
            <w:vAlign w:val="center"/>
          </w:tcPr>
          <w:p w14:paraId="233A0192">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64E37D23">
            <w:pPr>
              <w:spacing w:line="0" w:lineRule="atLeast"/>
              <w:jc w:val="center"/>
              <w:rPr>
                <w:rFonts w:eastAsia="楷体_GB2312"/>
                <w:szCs w:val="21"/>
              </w:rPr>
            </w:pPr>
            <w:r>
              <w:rPr>
                <w:rFonts w:eastAsia="楷体_GB2312"/>
                <w:szCs w:val="21"/>
              </w:rPr>
              <w:t>相邻土地利用状况</w:t>
            </w:r>
          </w:p>
        </w:tc>
        <w:tc>
          <w:tcPr>
            <w:tcW w:w="3169" w:type="dxa"/>
            <w:tcBorders>
              <w:top w:val="single" w:color="auto" w:sz="8" w:space="0"/>
              <w:left w:val="single" w:color="auto" w:sz="8" w:space="0"/>
              <w:bottom w:val="single" w:color="auto" w:sz="8" w:space="0"/>
              <w:right w:val="single" w:color="auto" w:sz="8" w:space="0"/>
            </w:tcBorders>
            <w:noWrap/>
            <w:vAlign w:val="center"/>
          </w:tcPr>
          <w:p w14:paraId="1025D419">
            <w:pPr>
              <w:jc w:val="center"/>
              <w:rPr>
                <w:rFonts w:eastAsia="楷体_GB2312"/>
                <w:szCs w:val="21"/>
              </w:rPr>
            </w:pPr>
            <w:r>
              <w:rPr>
                <w:rFonts w:eastAsia="楷体_GB2312"/>
                <w:szCs w:val="21"/>
              </w:rPr>
              <w:t>3.72</w:t>
            </w:r>
          </w:p>
        </w:tc>
      </w:tr>
      <w:tr w14:paraId="03FFA0C8">
        <w:tblPrEx>
          <w:tblCellMar>
            <w:top w:w="0" w:type="dxa"/>
            <w:left w:w="108" w:type="dxa"/>
            <w:bottom w:w="0" w:type="dxa"/>
            <w:right w:w="108" w:type="dxa"/>
          </w:tblCellMar>
        </w:tblPrEx>
        <w:trPr>
          <w:trHeight w:val="425" w:hRule="atLeast"/>
          <w:jc w:val="center"/>
        </w:trPr>
        <w:tc>
          <w:tcPr>
            <w:tcW w:w="1134" w:type="dxa"/>
            <w:vMerge w:val="continue"/>
            <w:tcBorders>
              <w:left w:val="single" w:color="auto" w:sz="8" w:space="0"/>
              <w:bottom w:val="single" w:color="auto" w:sz="8" w:space="0"/>
              <w:right w:val="single" w:color="auto" w:sz="8" w:space="0"/>
            </w:tcBorders>
            <w:noWrap/>
            <w:vAlign w:val="center"/>
          </w:tcPr>
          <w:p w14:paraId="2D9FF141">
            <w:pPr>
              <w:spacing w:line="0" w:lineRule="atLeast"/>
              <w:jc w:val="center"/>
              <w:rPr>
                <w:rFonts w:eastAsia="楷体_GB2312"/>
                <w:szCs w:val="21"/>
              </w:rPr>
            </w:pPr>
          </w:p>
        </w:tc>
        <w:tc>
          <w:tcPr>
            <w:tcW w:w="4769" w:type="dxa"/>
            <w:gridSpan w:val="3"/>
            <w:tcBorders>
              <w:top w:val="single" w:color="auto" w:sz="8" w:space="0"/>
              <w:left w:val="single" w:color="auto" w:sz="8" w:space="0"/>
              <w:bottom w:val="single" w:color="auto" w:sz="8" w:space="0"/>
              <w:right w:val="single" w:color="auto" w:sz="8" w:space="0"/>
            </w:tcBorders>
            <w:noWrap/>
            <w:vAlign w:val="center"/>
          </w:tcPr>
          <w:p w14:paraId="312186A7">
            <w:pPr>
              <w:spacing w:line="0" w:lineRule="atLeast"/>
              <w:jc w:val="center"/>
              <w:rPr>
                <w:rFonts w:eastAsia="楷体_GB2312"/>
                <w:szCs w:val="21"/>
              </w:rPr>
            </w:pPr>
            <w:r>
              <w:rPr>
                <w:rFonts w:eastAsia="楷体_GB2312"/>
                <w:szCs w:val="21"/>
              </w:rPr>
              <w:t>其他个别因素状况</w:t>
            </w:r>
          </w:p>
        </w:tc>
        <w:tc>
          <w:tcPr>
            <w:tcW w:w="3169" w:type="dxa"/>
            <w:tcBorders>
              <w:top w:val="single" w:color="auto" w:sz="8" w:space="0"/>
              <w:left w:val="single" w:color="auto" w:sz="8" w:space="0"/>
              <w:bottom w:val="single" w:color="auto" w:sz="8" w:space="0"/>
              <w:right w:val="single" w:color="auto" w:sz="8" w:space="0"/>
            </w:tcBorders>
            <w:noWrap/>
            <w:vAlign w:val="center"/>
          </w:tcPr>
          <w:p w14:paraId="1F0D0F33">
            <w:pPr>
              <w:jc w:val="center"/>
              <w:rPr>
                <w:rFonts w:eastAsia="楷体_GB2312"/>
                <w:szCs w:val="21"/>
              </w:rPr>
            </w:pPr>
            <w:r>
              <w:rPr>
                <w:rFonts w:eastAsia="楷体_GB2312"/>
                <w:szCs w:val="21"/>
              </w:rPr>
              <w:t>3.15</w:t>
            </w:r>
          </w:p>
        </w:tc>
      </w:tr>
      <w:tr w14:paraId="70B00D0C">
        <w:tblPrEx>
          <w:tblCellMar>
            <w:top w:w="0" w:type="dxa"/>
            <w:left w:w="108" w:type="dxa"/>
            <w:bottom w:w="0" w:type="dxa"/>
            <w:right w:w="108" w:type="dxa"/>
          </w:tblCellMar>
        </w:tblPrEx>
        <w:trPr>
          <w:trHeight w:val="425" w:hRule="atLeast"/>
          <w:jc w:val="center"/>
        </w:trPr>
        <w:tc>
          <w:tcPr>
            <w:tcW w:w="5903" w:type="dxa"/>
            <w:gridSpan w:val="4"/>
            <w:tcBorders>
              <w:top w:val="single" w:color="auto" w:sz="8" w:space="0"/>
              <w:left w:val="single" w:color="auto" w:sz="8" w:space="0"/>
              <w:bottom w:val="single" w:color="auto" w:sz="8" w:space="0"/>
              <w:right w:val="single" w:color="auto" w:sz="8" w:space="0"/>
            </w:tcBorders>
            <w:noWrap/>
            <w:vAlign w:val="center"/>
          </w:tcPr>
          <w:p w14:paraId="3F925411">
            <w:pPr>
              <w:spacing w:line="0" w:lineRule="atLeast"/>
              <w:jc w:val="center"/>
              <w:rPr>
                <w:rFonts w:eastAsia="楷体_GB2312"/>
                <w:szCs w:val="21"/>
              </w:rPr>
            </w:pPr>
            <w:r>
              <w:rPr>
                <w:rFonts w:eastAsia="楷体_GB2312"/>
                <w:szCs w:val="21"/>
              </w:rPr>
              <w:t>合   计</w:t>
            </w:r>
          </w:p>
        </w:tc>
        <w:tc>
          <w:tcPr>
            <w:tcW w:w="3169" w:type="dxa"/>
            <w:tcBorders>
              <w:top w:val="single" w:color="auto" w:sz="8" w:space="0"/>
              <w:left w:val="single" w:color="auto" w:sz="8" w:space="0"/>
              <w:bottom w:val="single" w:color="auto" w:sz="8" w:space="0"/>
              <w:right w:val="single" w:color="auto" w:sz="8" w:space="0"/>
            </w:tcBorders>
            <w:noWrap/>
            <w:vAlign w:val="center"/>
          </w:tcPr>
          <w:p w14:paraId="37A7D61D">
            <w:pPr>
              <w:spacing w:line="0" w:lineRule="atLeast"/>
              <w:jc w:val="center"/>
              <w:rPr>
                <w:rFonts w:eastAsia="楷体_GB2312"/>
                <w:szCs w:val="21"/>
              </w:rPr>
            </w:pPr>
            <w:r>
              <w:rPr>
                <w:rFonts w:eastAsia="楷体_GB2312"/>
                <w:szCs w:val="21"/>
              </w:rPr>
              <w:fldChar w:fldCharType="begin"/>
            </w:r>
            <w:r>
              <w:rPr>
                <w:rFonts w:eastAsia="楷体_GB2312"/>
                <w:szCs w:val="21"/>
              </w:rPr>
              <w:instrText xml:space="preserve"> =SUM(ABOVE) </w:instrText>
            </w:r>
            <w:r>
              <w:rPr>
                <w:rFonts w:eastAsia="楷体_GB2312"/>
                <w:szCs w:val="21"/>
              </w:rPr>
              <w:fldChar w:fldCharType="separate"/>
            </w:r>
            <w:r>
              <w:rPr>
                <w:rFonts w:eastAsia="楷体_GB2312"/>
                <w:szCs w:val="21"/>
              </w:rPr>
              <w:t>100</w:t>
            </w:r>
            <w:r>
              <w:rPr>
                <w:rFonts w:eastAsia="楷体_GB2312"/>
                <w:szCs w:val="21"/>
              </w:rPr>
              <w:fldChar w:fldCharType="end"/>
            </w:r>
          </w:p>
        </w:tc>
      </w:tr>
    </w:tbl>
    <w:p w14:paraId="6D1C952A">
      <w:pPr>
        <w:pStyle w:val="20"/>
        <w:spacing w:line="480" w:lineRule="exact"/>
        <w:jc w:val="center"/>
        <w:rPr>
          <w:rFonts w:ascii="Times New Roman" w:hAnsi="Times New Roman" w:eastAsia="黑体" w:cs="Times New Roman"/>
          <w:sz w:val="28"/>
        </w:rPr>
      </w:pPr>
      <w:r>
        <w:rPr>
          <w:rFonts w:ascii="Times New Roman" w:hAnsi="Times New Roman" w:eastAsia="楷体_GB2312" w:cs="Times New Roman"/>
          <w:b/>
          <w:sz w:val="28"/>
        </w:rPr>
        <w:br w:type="page"/>
      </w:r>
      <w:r>
        <w:rPr>
          <w:rFonts w:ascii="Times New Roman" w:hAnsi="Times New Roman" w:eastAsia="黑体" w:cs="Times New Roman"/>
          <w:sz w:val="28"/>
        </w:rPr>
        <w:t>表2-9-7  埇桥区</w:t>
      </w:r>
      <w:r>
        <w:rPr>
          <w:rFonts w:ascii="Times New Roman" w:hAnsi="Times New Roman" w:eastAsia="黑体" w:cs="Times New Roman"/>
          <w:sz w:val="28"/>
          <w:szCs w:val="20"/>
        </w:rPr>
        <w:t>朱仙庄镇等19个乡镇</w:t>
      </w:r>
      <w:r>
        <w:rPr>
          <w:rFonts w:ascii="Times New Roman" w:hAnsi="Times New Roman" w:eastAsia="黑体" w:cs="Times New Roman"/>
          <w:sz w:val="28"/>
        </w:rPr>
        <w:t>镇区工矿仓储用地宗地地价影响因素权重表</w:t>
      </w:r>
    </w:p>
    <w:tbl>
      <w:tblPr>
        <w:tblStyle w:val="38"/>
        <w:tblW w:w="907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239"/>
        <w:gridCol w:w="1244"/>
        <w:gridCol w:w="1620"/>
        <w:gridCol w:w="1800"/>
        <w:gridCol w:w="3169"/>
      </w:tblGrid>
      <w:tr w14:paraId="68F1E72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903" w:type="dxa"/>
            <w:gridSpan w:val="4"/>
            <w:noWrap/>
            <w:vAlign w:val="center"/>
          </w:tcPr>
          <w:p w14:paraId="1D5E7D2F">
            <w:pPr>
              <w:rPr>
                <w:rFonts w:eastAsia="楷体_GB2312"/>
                <w:szCs w:val="21"/>
              </w:rPr>
            </w:pPr>
            <w:r>
              <w:rPr>
                <w:rFonts w:eastAsia="楷体_GB2312"/>
                <w:szCs w:val="21"/>
              </w:rPr>
              <w:t xml:space="preserve">                     影响因素</w:t>
            </w:r>
          </w:p>
        </w:tc>
        <w:tc>
          <w:tcPr>
            <w:tcW w:w="3169" w:type="dxa"/>
            <w:noWrap/>
            <w:vAlign w:val="center"/>
          </w:tcPr>
          <w:p w14:paraId="5F6736DA">
            <w:pPr>
              <w:jc w:val="center"/>
              <w:rPr>
                <w:rFonts w:eastAsia="楷体_GB2312"/>
                <w:szCs w:val="21"/>
              </w:rPr>
            </w:pPr>
            <w:r>
              <w:rPr>
                <w:rFonts w:eastAsia="楷体_GB2312"/>
                <w:szCs w:val="21"/>
              </w:rPr>
              <w:t>权重</w:t>
            </w:r>
          </w:p>
        </w:tc>
      </w:tr>
      <w:tr w14:paraId="7EA4891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restart"/>
            <w:noWrap/>
            <w:vAlign w:val="center"/>
          </w:tcPr>
          <w:p w14:paraId="41C2BF8B">
            <w:pPr>
              <w:spacing w:line="0" w:lineRule="atLeast"/>
              <w:jc w:val="center"/>
              <w:rPr>
                <w:rFonts w:eastAsia="楷体_GB2312"/>
                <w:szCs w:val="21"/>
              </w:rPr>
            </w:pPr>
            <w:r>
              <w:rPr>
                <w:rFonts w:eastAsia="楷体_GB2312"/>
                <w:szCs w:val="21"/>
              </w:rPr>
              <w:t>区</w:t>
            </w:r>
          </w:p>
          <w:p w14:paraId="28D54E20">
            <w:pPr>
              <w:spacing w:line="0" w:lineRule="atLeast"/>
              <w:jc w:val="center"/>
              <w:rPr>
                <w:rFonts w:eastAsia="楷体_GB2312"/>
                <w:szCs w:val="21"/>
              </w:rPr>
            </w:pPr>
            <w:r>
              <w:rPr>
                <w:rFonts w:eastAsia="楷体_GB2312"/>
                <w:szCs w:val="21"/>
              </w:rPr>
              <w:t>域</w:t>
            </w:r>
          </w:p>
          <w:p w14:paraId="44882B30">
            <w:pPr>
              <w:spacing w:line="0" w:lineRule="atLeast"/>
              <w:jc w:val="center"/>
              <w:rPr>
                <w:rFonts w:eastAsia="楷体_GB2312"/>
                <w:szCs w:val="21"/>
              </w:rPr>
            </w:pPr>
            <w:r>
              <w:rPr>
                <w:rFonts w:eastAsia="楷体_GB2312"/>
                <w:szCs w:val="21"/>
              </w:rPr>
              <w:t>因</w:t>
            </w:r>
          </w:p>
          <w:p w14:paraId="24116056">
            <w:pPr>
              <w:spacing w:line="0" w:lineRule="atLeast"/>
              <w:jc w:val="center"/>
              <w:rPr>
                <w:rFonts w:eastAsia="楷体_GB2312"/>
                <w:szCs w:val="21"/>
              </w:rPr>
            </w:pPr>
            <w:r>
              <w:rPr>
                <w:rFonts w:eastAsia="楷体_GB2312"/>
                <w:szCs w:val="21"/>
              </w:rPr>
              <w:t>素</w:t>
            </w:r>
          </w:p>
        </w:tc>
        <w:tc>
          <w:tcPr>
            <w:tcW w:w="1244" w:type="dxa"/>
            <w:vMerge w:val="restart"/>
            <w:noWrap/>
            <w:vAlign w:val="center"/>
          </w:tcPr>
          <w:p w14:paraId="65CA4B96">
            <w:pPr>
              <w:spacing w:line="0" w:lineRule="atLeast"/>
              <w:jc w:val="center"/>
              <w:rPr>
                <w:rFonts w:eastAsia="楷体_GB2312"/>
                <w:szCs w:val="21"/>
              </w:rPr>
            </w:pPr>
            <w:r>
              <w:rPr>
                <w:rFonts w:eastAsia="楷体_GB2312"/>
                <w:szCs w:val="21"/>
              </w:rPr>
              <w:t>交通状况</w:t>
            </w:r>
          </w:p>
        </w:tc>
        <w:tc>
          <w:tcPr>
            <w:tcW w:w="1620" w:type="dxa"/>
            <w:vMerge w:val="restart"/>
            <w:noWrap/>
            <w:vAlign w:val="center"/>
          </w:tcPr>
          <w:p w14:paraId="307EEDAC">
            <w:pPr>
              <w:spacing w:line="0" w:lineRule="atLeast"/>
              <w:jc w:val="center"/>
              <w:rPr>
                <w:rFonts w:eastAsia="楷体_GB2312"/>
                <w:szCs w:val="21"/>
              </w:rPr>
            </w:pPr>
            <w:r>
              <w:rPr>
                <w:rFonts w:eastAsia="楷体_GB2312"/>
                <w:szCs w:val="21"/>
              </w:rPr>
              <w:t>道路状况</w:t>
            </w:r>
          </w:p>
        </w:tc>
        <w:tc>
          <w:tcPr>
            <w:tcW w:w="1800" w:type="dxa"/>
            <w:noWrap/>
            <w:vAlign w:val="center"/>
          </w:tcPr>
          <w:p w14:paraId="0153C7B8">
            <w:pPr>
              <w:spacing w:line="0" w:lineRule="atLeast"/>
              <w:jc w:val="center"/>
              <w:rPr>
                <w:rFonts w:eastAsia="楷体_GB2312"/>
                <w:szCs w:val="21"/>
              </w:rPr>
            </w:pPr>
            <w:r>
              <w:rPr>
                <w:rFonts w:eastAsia="楷体_GB2312"/>
                <w:szCs w:val="21"/>
              </w:rPr>
              <w:t>道路类型</w:t>
            </w:r>
          </w:p>
        </w:tc>
        <w:tc>
          <w:tcPr>
            <w:tcW w:w="3169" w:type="dxa"/>
            <w:noWrap/>
            <w:vAlign w:val="center"/>
          </w:tcPr>
          <w:p w14:paraId="47D24CF4">
            <w:pPr>
              <w:jc w:val="center"/>
              <w:rPr>
                <w:rFonts w:eastAsia="楷体_GB2312"/>
                <w:szCs w:val="21"/>
              </w:rPr>
            </w:pPr>
            <w:r>
              <w:rPr>
                <w:rFonts w:eastAsia="楷体_GB2312"/>
                <w:szCs w:val="21"/>
              </w:rPr>
              <w:t>5.75</w:t>
            </w:r>
          </w:p>
        </w:tc>
      </w:tr>
      <w:tr w14:paraId="2B10816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0"/>
            <w:vAlign w:val="center"/>
          </w:tcPr>
          <w:p w14:paraId="64E81973">
            <w:pPr>
              <w:spacing w:line="0" w:lineRule="atLeast"/>
              <w:jc w:val="center"/>
              <w:rPr>
                <w:rFonts w:eastAsia="楷体_GB2312"/>
                <w:szCs w:val="21"/>
              </w:rPr>
            </w:pPr>
          </w:p>
        </w:tc>
        <w:tc>
          <w:tcPr>
            <w:tcW w:w="1244" w:type="dxa"/>
            <w:vMerge w:val="continue"/>
            <w:noWrap w:val="0"/>
            <w:vAlign w:val="center"/>
          </w:tcPr>
          <w:p w14:paraId="338E24DF">
            <w:pPr>
              <w:spacing w:line="0" w:lineRule="atLeast"/>
              <w:jc w:val="center"/>
              <w:rPr>
                <w:rFonts w:eastAsia="楷体_GB2312"/>
                <w:szCs w:val="21"/>
              </w:rPr>
            </w:pPr>
          </w:p>
        </w:tc>
        <w:tc>
          <w:tcPr>
            <w:tcW w:w="1620" w:type="dxa"/>
            <w:vMerge w:val="continue"/>
            <w:noWrap w:val="0"/>
            <w:vAlign w:val="center"/>
          </w:tcPr>
          <w:p w14:paraId="0EEAF5F0">
            <w:pPr>
              <w:spacing w:line="0" w:lineRule="atLeast"/>
              <w:jc w:val="center"/>
              <w:rPr>
                <w:rFonts w:eastAsia="楷体_GB2312"/>
                <w:szCs w:val="21"/>
              </w:rPr>
            </w:pPr>
          </w:p>
        </w:tc>
        <w:tc>
          <w:tcPr>
            <w:tcW w:w="1800" w:type="dxa"/>
            <w:noWrap/>
            <w:vAlign w:val="center"/>
          </w:tcPr>
          <w:p w14:paraId="7416DD15">
            <w:pPr>
              <w:spacing w:line="0" w:lineRule="atLeast"/>
              <w:jc w:val="center"/>
              <w:rPr>
                <w:rFonts w:eastAsia="楷体_GB2312"/>
                <w:szCs w:val="21"/>
              </w:rPr>
            </w:pPr>
            <w:r>
              <w:rPr>
                <w:rFonts w:eastAsia="楷体_GB2312"/>
                <w:szCs w:val="21"/>
              </w:rPr>
              <w:t>道路等级</w:t>
            </w:r>
          </w:p>
        </w:tc>
        <w:tc>
          <w:tcPr>
            <w:tcW w:w="3169" w:type="dxa"/>
            <w:noWrap/>
            <w:vAlign w:val="center"/>
          </w:tcPr>
          <w:p w14:paraId="27C4FF2C">
            <w:pPr>
              <w:jc w:val="center"/>
              <w:rPr>
                <w:rFonts w:eastAsia="楷体_GB2312"/>
                <w:szCs w:val="21"/>
              </w:rPr>
            </w:pPr>
            <w:r>
              <w:rPr>
                <w:rFonts w:eastAsia="楷体_GB2312"/>
                <w:szCs w:val="21"/>
              </w:rPr>
              <w:t>5.68</w:t>
            </w:r>
          </w:p>
        </w:tc>
      </w:tr>
      <w:tr w14:paraId="13D236B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0"/>
            <w:vAlign w:val="center"/>
          </w:tcPr>
          <w:p w14:paraId="0853FFED">
            <w:pPr>
              <w:spacing w:line="0" w:lineRule="atLeast"/>
              <w:jc w:val="center"/>
              <w:rPr>
                <w:rFonts w:eastAsia="楷体_GB2312"/>
                <w:szCs w:val="21"/>
              </w:rPr>
            </w:pPr>
          </w:p>
        </w:tc>
        <w:tc>
          <w:tcPr>
            <w:tcW w:w="1244" w:type="dxa"/>
            <w:vMerge w:val="continue"/>
            <w:noWrap w:val="0"/>
            <w:vAlign w:val="center"/>
          </w:tcPr>
          <w:p w14:paraId="2BBD158C">
            <w:pPr>
              <w:spacing w:line="0" w:lineRule="atLeast"/>
              <w:jc w:val="center"/>
              <w:rPr>
                <w:rFonts w:eastAsia="楷体_GB2312"/>
                <w:szCs w:val="21"/>
              </w:rPr>
            </w:pPr>
          </w:p>
        </w:tc>
        <w:tc>
          <w:tcPr>
            <w:tcW w:w="3420" w:type="dxa"/>
            <w:gridSpan w:val="2"/>
            <w:noWrap/>
            <w:vAlign w:val="center"/>
          </w:tcPr>
          <w:p w14:paraId="2B24463B">
            <w:pPr>
              <w:spacing w:line="0" w:lineRule="atLeast"/>
              <w:jc w:val="center"/>
              <w:rPr>
                <w:rFonts w:eastAsia="楷体_GB2312"/>
                <w:szCs w:val="21"/>
              </w:rPr>
            </w:pPr>
            <w:r>
              <w:rPr>
                <w:rFonts w:eastAsia="楷体_GB2312"/>
                <w:szCs w:val="21"/>
              </w:rPr>
              <w:t>交通便捷程度</w:t>
            </w:r>
          </w:p>
        </w:tc>
        <w:tc>
          <w:tcPr>
            <w:tcW w:w="3169" w:type="dxa"/>
            <w:noWrap/>
            <w:vAlign w:val="center"/>
          </w:tcPr>
          <w:p w14:paraId="312C5051">
            <w:pPr>
              <w:spacing w:line="0" w:lineRule="atLeast"/>
              <w:jc w:val="center"/>
              <w:rPr>
                <w:rFonts w:eastAsia="楷体_GB2312"/>
                <w:szCs w:val="21"/>
              </w:rPr>
            </w:pPr>
            <w:r>
              <w:rPr>
                <w:rFonts w:eastAsia="楷体_GB2312"/>
                <w:szCs w:val="21"/>
              </w:rPr>
              <w:t>8.15</w:t>
            </w:r>
          </w:p>
        </w:tc>
      </w:tr>
      <w:tr w14:paraId="4955DD8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0"/>
            <w:vAlign w:val="center"/>
          </w:tcPr>
          <w:p w14:paraId="27FBA737">
            <w:pPr>
              <w:spacing w:line="0" w:lineRule="atLeast"/>
              <w:jc w:val="center"/>
              <w:rPr>
                <w:rFonts w:eastAsia="楷体_GB2312"/>
                <w:szCs w:val="21"/>
              </w:rPr>
            </w:pPr>
          </w:p>
        </w:tc>
        <w:tc>
          <w:tcPr>
            <w:tcW w:w="4664" w:type="dxa"/>
            <w:gridSpan w:val="3"/>
            <w:noWrap/>
            <w:vAlign w:val="center"/>
          </w:tcPr>
          <w:p w14:paraId="7C2EF4A9">
            <w:pPr>
              <w:spacing w:line="0" w:lineRule="atLeast"/>
              <w:jc w:val="center"/>
              <w:rPr>
                <w:rFonts w:eastAsia="楷体_GB2312"/>
                <w:szCs w:val="21"/>
              </w:rPr>
            </w:pPr>
            <w:r>
              <w:rPr>
                <w:rFonts w:eastAsia="楷体_GB2312"/>
                <w:szCs w:val="21"/>
              </w:rPr>
              <w:t>基础设施状况</w:t>
            </w:r>
          </w:p>
        </w:tc>
        <w:tc>
          <w:tcPr>
            <w:tcW w:w="3169" w:type="dxa"/>
            <w:noWrap/>
            <w:vAlign w:val="center"/>
          </w:tcPr>
          <w:p w14:paraId="512BAED8">
            <w:pPr>
              <w:jc w:val="center"/>
              <w:rPr>
                <w:rFonts w:eastAsia="楷体_GB2312"/>
                <w:szCs w:val="21"/>
              </w:rPr>
            </w:pPr>
            <w:r>
              <w:rPr>
                <w:rFonts w:eastAsia="楷体_GB2312"/>
                <w:szCs w:val="21"/>
              </w:rPr>
              <w:t>6.45</w:t>
            </w:r>
          </w:p>
        </w:tc>
      </w:tr>
      <w:tr w14:paraId="679895D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0"/>
            <w:vAlign w:val="center"/>
          </w:tcPr>
          <w:p w14:paraId="5DCF4E0B">
            <w:pPr>
              <w:spacing w:line="0" w:lineRule="atLeast"/>
              <w:jc w:val="center"/>
              <w:rPr>
                <w:rFonts w:eastAsia="楷体_GB2312"/>
                <w:szCs w:val="21"/>
              </w:rPr>
            </w:pPr>
          </w:p>
        </w:tc>
        <w:tc>
          <w:tcPr>
            <w:tcW w:w="4664" w:type="dxa"/>
            <w:gridSpan w:val="3"/>
            <w:noWrap/>
            <w:vAlign w:val="center"/>
          </w:tcPr>
          <w:p w14:paraId="2D82D441">
            <w:pPr>
              <w:spacing w:line="0" w:lineRule="atLeast"/>
              <w:jc w:val="center"/>
              <w:rPr>
                <w:rFonts w:eastAsia="楷体_GB2312"/>
                <w:szCs w:val="21"/>
              </w:rPr>
            </w:pPr>
            <w:r>
              <w:rPr>
                <w:rFonts w:eastAsia="楷体_GB2312"/>
                <w:szCs w:val="21"/>
              </w:rPr>
              <w:t>环境质量状况</w:t>
            </w:r>
          </w:p>
        </w:tc>
        <w:tc>
          <w:tcPr>
            <w:tcW w:w="3169" w:type="dxa"/>
            <w:noWrap/>
            <w:vAlign w:val="center"/>
          </w:tcPr>
          <w:p w14:paraId="774DC99D">
            <w:pPr>
              <w:jc w:val="center"/>
              <w:rPr>
                <w:rFonts w:eastAsia="楷体_GB2312"/>
                <w:szCs w:val="21"/>
              </w:rPr>
            </w:pPr>
            <w:r>
              <w:rPr>
                <w:rFonts w:eastAsia="楷体_GB2312"/>
                <w:szCs w:val="21"/>
              </w:rPr>
              <w:t>5.26</w:t>
            </w:r>
          </w:p>
        </w:tc>
      </w:tr>
      <w:tr w14:paraId="3F4304E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0"/>
            <w:vAlign w:val="center"/>
          </w:tcPr>
          <w:p w14:paraId="49DBE6C6">
            <w:pPr>
              <w:spacing w:line="0" w:lineRule="atLeast"/>
              <w:jc w:val="center"/>
              <w:rPr>
                <w:rFonts w:eastAsia="楷体_GB2312"/>
                <w:szCs w:val="21"/>
              </w:rPr>
            </w:pPr>
          </w:p>
        </w:tc>
        <w:tc>
          <w:tcPr>
            <w:tcW w:w="4664" w:type="dxa"/>
            <w:gridSpan w:val="3"/>
            <w:noWrap/>
            <w:vAlign w:val="center"/>
          </w:tcPr>
          <w:p w14:paraId="1E0BB12C">
            <w:pPr>
              <w:spacing w:line="0" w:lineRule="atLeast"/>
              <w:jc w:val="center"/>
              <w:rPr>
                <w:rFonts w:eastAsia="楷体_GB2312"/>
                <w:szCs w:val="21"/>
              </w:rPr>
            </w:pPr>
            <w:r>
              <w:rPr>
                <w:rFonts w:eastAsia="楷体_GB2312"/>
                <w:szCs w:val="21"/>
              </w:rPr>
              <w:t>自然条件</w:t>
            </w:r>
          </w:p>
        </w:tc>
        <w:tc>
          <w:tcPr>
            <w:tcW w:w="3169" w:type="dxa"/>
            <w:noWrap/>
            <w:vAlign w:val="center"/>
          </w:tcPr>
          <w:p w14:paraId="4CB890C0">
            <w:pPr>
              <w:jc w:val="center"/>
              <w:rPr>
                <w:rFonts w:eastAsia="楷体_GB2312"/>
                <w:szCs w:val="21"/>
              </w:rPr>
            </w:pPr>
            <w:r>
              <w:rPr>
                <w:rFonts w:eastAsia="楷体_GB2312"/>
                <w:szCs w:val="21"/>
              </w:rPr>
              <w:t>5.32</w:t>
            </w:r>
          </w:p>
        </w:tc>
      </w:tr>
      <w:tr w14:paraId="068BB03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0"/>
            <w:vAlign w:val="center"/>
          </w:tcPr>
          <w:p w14:paraId="7DAE76AE">
            <w:pPr>
              <w:spacing w:line="0" w:lineRule="atLeast"/>
              <w:jc w:val="center"/>
              <w:rPr>
                <w:rFonts w:eastAsia="楷体_GB2312"/>
                <w:szCs w:val="21"/>
              </w:rPr>
            </w:pPr>
          </w:p>
        </w:tc>
        <w:tc>
          <w:tcPr>
            <w:tcW w:w="4664" w:type="dxa"/>
            <w:gridSpan w:val="3"/>
            <w:noWrap/>
            <w:vAlign w:val="center"/>
          </w:tcPr>
          <w:p w14:paraId="7C48B1E3">
            <w:pPr>
              <w:spacing w:line="0" w:lineRule="atLeast"/>
              <w:jc w:val="center"/>
              <w:rPr>
                <w:rFonts w:eastAsia="楷体_GB2312"/>
                <w:szCs w:val="21"/>
              </w:rPr>
            </w:pPr>
            <w:r>
              <w:rPr>
                <w:rFonts w:eastAsia="楷体_GB2312"/>
                <w:szCs w:val="21"/>
              </w:rPr>
              <w:t>产业集聚及配套状况</w:t>
            </w:r>
          </w:p>
        </w:tc>
        <w:tc>
          <w:tcPr>
            <w:tcW w:w="3169" w:type="dxa"/>
            <w:noWrap/>
            <w:vAlign w:val="center"/>
          </w:tcPr>
          <w:p w14:paraId="1C468FFE">
            <w:pPr>
              <w:jc w:val="center"/>
              <w:rPr>
                <w:rFonts w:eastAsia="楷体_GB2312"/>
                <w:szCs w:val="21"/>
              </w:rPr>
            </w:pPr>
            <w:r>
              <w:rPr>
                <w:rFonts w:eastAsia="楷体_GB2312"/>
                <w:szCs w:val="21"/>
              </w:rPr>
              <w:t>8.15</w:t>
            </w:r>
          </w:p>
        </w:tc>
      </w:tr>
      <w:tr w14:paraId="18A463B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0"/>
            <w:vAlign w:val="center"/>
          </w:tcPr>
          <w:p w14:paraId="1D0D3EEA">
            <w:pPr>
              <w:spacing w:line="0" w:lineRule="atLeast"/>
              <w:jc w:val="center"/>
              <w:rPr>
                <w:rFonts w:eastAsia="楷体_GB2312"/>
                <w:szCs w:val="21"/>
              </w:rPr>
            </w:pPr>
          </w:p>
        </w:tc>
        <w:tc>
          <w:tcPr>
            <w:tcW w:w="4664" w:type="dxa"/>
            <w:gridSpan w:val="3"/>
            <w:noWrap/>
            <w:vAlign w:val="center"/>
          </w:tcPr>
          <w:p w14:paraId="59DC3769">
            <w:pPr>
              <w:spacing w:line="0" w:lineRule="atLeast"/>
              <w:jc w:val="center"/>
              <w:rPr>
                <w:rFonts w:eastAsia="楷体_GB2312"/>
                <w:szCs w:val="21"/>
              </w:rPr>
            </w:pPr>
            <w:r>
              <w:rPr>
                <w:rFonts w:eastAsia="楷体_GB2312"/>
                <w:szCs w:val="21"/>
              </w:rPr>
              <w:t>城镇规划限制</w:t>
            </w:r>
          </w:p>
        </w:tc>
        <w:tc>
          <w:tcPr>
            <w:tcW w:w="3169" w:type="dxa"/>
            <w:noWrap/>
            <w:vAlign w:val="center"/>
          </w:tcPr>
          <w:p w14:paraId="0B3B1297">
            <w:pPr>
              <w:jc w:val="center"/>
              <w:rPr>
                <w:rFonts w:eastAsia="楷体_GB2312"/>
                <w:szCs w:val="21"/>
              </w:rPr>
            </w:pPr>
            <w:r>
              <w:rPr>
                <w:rFonts w:eastAsia="楷体_GB2312"/>
                <w:szCs w:val="21"/>
              </w:rPr>
              <w:t>4.28</w:t>
            </w:r>
          </w:p>
        </w:tc>
      </w:tr>
      <w:tr w14:paraId="5527BC1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0"/>
            <w:vAlign w:val="center"/>
          </w:tcPr>
          <w:p w14:paraId="6757E841">
            <w:pPr>
              <w:spacing w:line="0" w:lineRule="atLeast"/>
              <w:jc w:val="center"/>
              <w:rPr>
                <w:rFonts w:eastAsia="楷体_GB2312"/>
                <w:szCs w:val="21"/>
              </w:rPr>
            </w:pPr>
          </w:p>
        </w:tc>
        <w:tc>
          <w:tcPr>
            <w:tcW w:w="4664" w:type="dxa"/>
            <w:gridSpan w:val="3"/>
            <w:noWrap/>
            <w:vAlign w:val="center"/>
          </w:tcPr>
          <w:p w14:paraId="18538A6D">
            <w:pPr>
              <w:spacing w:line="0" w:lineRule="atLeast"/>
              <w:jc w:val="center"/>
              <w:rPr>
                <w:rFonts w:eastAsia="楷体_GB2312"/>
                <w:szCs w:val="21"/>
              </w:rPr>
            </w:pPr>
            <w:r>
              <w:rPr>
                <w:rFonts w:eastAsia="楷体_GB2312"/>
                <w:szCs w:val="21"/>
              </w:rPr>
              <w:t>其他区域因素状况</w:t>
            </w:r>
          </w:p>
        </w:tc>
        <w:tc>
          <w:tcPr>
            <w:tcW w:w="3169" w:type="dxa"/>
            <w:noWrap/>
            <w:vAlign w:val="center"/>
          </w:tcPr>
          <w:p w14:paraId="4EFCA49E">
            <w:pPr>
              <w:jc w:val="center"/>
              <w:rPr>
                <w:rFonts w:eastAsia="楷体_GB2312"/>
                <w:szCs w:val="21"/>
              </w:rPr>
            </w:pPr>
            <w:r>
              <w:rPr>
                <w:rFonts w:eastAsia="楷体_GB2312"/>
                <w:szCs w:val="21"/>
              </w:rPr>
              <w:t>3.29</w:t>
            </w:r>
          </w:p>
        </w:tc>
      </w:tr>
      <w:tr w14:paraId="79FC303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restart"/>
            <w:noWrap/>
            <w:vAlign w:val="center"/>
          </w:tcPr>
          <w:p w14:paraId="747EC442">
            <w:pPr>
              <w:spacing w:line="0" w:lineRule="atLeast"/>
              <w:jc w:val="center"/>
              <w:rPr>
                <w:rFonts w:eastAsia="楷体_GB2312"/>
                <w:szCs w:val="21"/>
              </w:rPr>
            </w:pPr>
            <w:r>
              <w:rPr>
                <w:rFonts w:eastAsia="楷体_GB2312"/>
                <w:szCs w:val="21"/>
              </w:rPr>
              <w:t>个</w:t>
            </w:r>
          </w:p>
          <w:p w14:paraId="5F7C1863">
            <w:pPr>
              <w:spacing w:line="0" w:lineRule="atLeast"/>
              <w:jc w:val="center"/>
              <w:rPr>
                <w:rFonts w:eastAsia="楷体_GB2312"/>
                <w:szCs w:val="21"/>
              </w:rPr>
            </w:pPr>
            <w:r>
              <w:rPr>
                <w:rFonts w:eastAsia="楷体_GB2312"/>
                <w:szCs w:val="21"/>
              </w:rPr>
              <w:t>别</w:t>
            </w:r>
          </w:p>
          <w:p w14:paraId="4D1957E3">
            <w:pPr>
              <w:spacing w:line="0" w:lineRule="atLeast"/>
              <w:jc w:val="center"/>
              <w:rPr>
                <w:rFonts w:eastAsia="楷体_GB2312"/>
                <w:szCs w:val="21"/>
              </w:rPr>
            </w:pPr>
            <w:r>
              <w:rPr>
                <w:rFonts w:eastAsia="楷体_GB2312"/>
                <w:szCs w:val="21"/>
              </w:rPr>
              <w:t>因</w:t>
            </w:r>
          </w:p>
          <w:p w14:paraId="5DBC87F8">
            <w:pPr>
              <w:spacing w:line="0" w:lineRule="atLeast"/>
              <w:jc w:val="center"/>
              <w:rPr>
                <w:rFonts w:eastAsia="楷体_GB2312"/>
                <w:szCs w:val="21"/>
              </w:rPr>
            </w:pPr>
            <w:r>
              <w:rPr>
                <w:rFonts w:eastAsia="楷体_GB2312"/>
                <w:szCs w:val="21"/>
              </w:rPr>
              <w:t>素</w:t>
            </w:r>
          </w:p>
          <w:p w14:paraId="07D4D841">
            <w:pPr>
              <w:spacing w:line="0" w:lineRule="atLeast"/>
              <w:jc w:val="center"/>
              <w:rPr>
                <w:rFonts w:eastAsia="楷体_GB2312"/>
                <w:szCs w:val="21"/>
              </w:rPr>
            </w:pPr>
          </w:p>
        </w:tc>
        <w:tc>
          <w:tcPr>
            <w:tcW w:w="4664" w:type="dxa"/>
            <w:gridSpan w:val="3"/>
            <w:noWrap/>
            <w:vAlign w:val="center"/>
          </w:tcPr>
          <w:p w14:paraId="2C75B38A">
            <w:pPr>
              <w:spacing w:line="0" w:lineRule="atLeast"/>
              <w:jc w:val="center"/>
              <w:rPr>
                <w:rFonts w:eastAsia="楷体_GB2312"/>
                <w:szCs w:val="21"/>
              </w:rPr>
            </w:pPr>
            <w:r>
              <w:rPr>
                <w:rFonts w:eastAsia="楷体_GB2312"/>
                <w:szCs w:val="21"/>
              </w:rPr>
              <w:t>宗地位置</w:t>
            </w:r>
          </w:p>
        </w:tc>
        <w:tc>
          <w:tcPr>
            <w:tcW w:w="3169" w:type="dxa"/>
            <w:noWrap/>
            <w:vAlign w:val="center"/>
          </w:tcPr>
          <w:p w14:paraId="64E6DDDB">
            <w:pPr>
              <w:jc w:val="center"/>
              <w:rPr>
                <w:rFonts w:eastAsia="楷体_GB2312"/>
                <w:szCs w:val="21"/>
              </w:rPr>
            </w:pPr>
            <w:r>
              <w:rPr>
                <w:rFonts w:eastAsia="楷体_GB2312"/>
                <w:szCs w:val="21"/>
              </w:rPr>
              <w:t>4.88</w:t>
            </w:r>
          </w:p>
        </w:tc>
      </w:tr>
      <w:tr w14:paraId="6EF779B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ign w:val="center"/>
          </w:tcPr>
          <w:p w14:paraId="6014D8F1">
            <w:pPr>
              <w:spacing w:line="0" w:lineRule="atLeast"/>
              <w:jc w:val="center"/>
              <w:rPr>
                <w:rFonts w:eastAsia="楷体_GB2312"/>
                <w:szCs w:val="21"/>
              </w:rPr>
            </w:pPr>
          </w:p>
        </w:tc>
        <w:tc>
          <w:tcPr>
            <w:tcW w:w="4664" w:type="dxa"/>
            <w:gridSpan w:val="3"/>
            <w:noWrap/>
            <w:vAlign w:val="center"/>
          </w:tcPr>
          <w:p w14:paraId="245559C4">
            <w:pPr>
              <w:spacing w:line="0" w:lineRule="atLeast"/>
              <w:jc w:val="center"/>
              <w:rPr>
                <w:rFonts w:eastAsia="楷体_GB2312"/>
                <w:szCs w:val="21"/>
              </w:rPr>
            </w:pPr>
            <w:r>
              <w:rPr>
                <w:rFonts w:eastAsia="楷体_GB2312"/>
                <w:szCs w:val="21"/>
              </w:rPr>
              <w:t>宗地地基状况</w:t>
            </w:r>
          </w:p>
        </w:tc>
        <w:tc>
          <w:tcPr>
            <w:tcW w:w="3169" w:type="dxa"/>
            <w:noWrap/>
            <w:vAlign w:val="center"/>
          </w:tcPr>
          <w:p w14:paraId="2BB75429">
            <w:pPr>
              <w:jc w:val="center"/>
              <w:rPr>
                <w:rFonts w:eastAsia="楷体_GB2312"/>
                <w:szCs w:val="21"/>
              </w:rPr>
            </w:pPr>
            <w:r>
              <w:rPr>
                <w:rFonts w:eastAsia="楷体_GB2312"/>
                <w:szCs w:val="21"/>
              </w:rPr>
              <w:t>4.65</w:t>
            </w:r>
          </w:p>
        </w:tc>
      </w:tr>
      <w:tr w14:paraId="72AC010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ign w:val="center"/>
          </w:tcPr>
          <w:p w14:paraId="3F816C54">
            <w:pPr>
              <w:spacing w:line="0" w:lineRule="atLeast"/>
              <w:jc w:val="center"/>
              <w:rPr>
                <w:rFonts w:eastAsia="楷体_GB2312"/>
                <w:szCs w:val="21"/>
              </w:rPr>
            </w:pPr>
          </w:p>
        </w:tc>
        <w:tc>
          <w:tcPr>
            <w:tcW w:w="4664" w:type="dxa"/>
            <w:gridSpan w:val="3"/>
            <w:noWrap/>
            <w:vAlign w:val="center"/>
          </w:tcPr>
          <w:p w14:paraId="38B50169">
            <w:pPr>
              <w:spacing w:line="0" w:lineRule="atLeast"/>
              <w:jc w:val="center"/>
              <w:rPr>
                <w:rFonts w:eastAsia="楷体_GB2312"/>
                <w:szCs w:val="21"/>
              </w:rPr>
            </w:pPr>
            <w:r>
              <w:rPr>
                <w:rFonts w:eastAsia="楷体_GB2312"/>
                <w:szCs w:val="21"/>
              </w:rPr>
              <w:t>宗地形状</w:t>
            </w:r>
          </w:p>
        </w:tc>
        <w:tc>
          <w:tcPr>
            <w:tcW w:w="3169" w:type="dxa"/>
            <w:noWrap/>
            <w:vAlign w:val="center"/>
          </w:tcPr>
          <w:p w14:paraId="61B8E0FD">
            <w:pPr>
              <w:jc w:val="center"/>
              <w:rPr>
                <w:rFonts w:eastAsia="楷体_GB2312"/>
                <w:szCs w:val="21"/>
              </w:rPr>
            </w:pPr>
            <w:r>
              <w:rPr>
                <w:rFonts w:eastAsia="楷体_GB2312"/>
                <w:szCs w:val="21"/>
              </w:rPr>
              <w:t>4.12</w:t>
            </w:r>
          </w:p>
        </w:tc>
      </w:tr>
      <w:tr w14:paraId="3AC80A7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ign w:val="center"/>
          </w:tcPr>
          <w:p w14:paraId="359EE886">
            <w:pPr>
              <w:spacing w:line="0" w:lineRule="atLeast"/>
              <w:jc w:val="center"/>
              <w:rPr>
                <w:rFonts w:eastAsia="楷体_GB2312"/>
                <w:szCs w:val="21"/>
              </w:rPr>
            </w:pPr>
          </w:p>
        </w:tc>
        <w:tc>
          <w:tcPr>
            <w:tcW w:w="4664" w:type="dxa"/>
            <w:gridSpan w:val="3"/>
            <w:noWrap/>
            <w:vAlign w:val="center"/>
          </w:tcPr>
          <w:p w14:paraId="5851F509">
            <w:pPr>
              <w:spacing w:line="0" w:lineRule="atLeast"/>
              <w:jc w:val="center"/>
              <w:rPr>
                <w:rFonts w:eastAsia="楷体_GB2312"/>
                <w:szCs w:val="21"/>
              </w:rPr>
            </w:pPr>
            <w:r>
              <w:rPr>
                <w:rFonts w:eastAsia="楷体_GB2312"/>
                <w:szCs w:val="21"/>
              </w:rPr>
              <w:t>宗地面积</w:t>
            </w:r>
          </w:p>
        </w:tc>
        <w:tc>
          <w:tcPr>
            <w:tcW w:w="3169" w:type="dxa"/>
            <w:noWrap/>
            <w:vAlign w:val="center"/>
          </w:tcPr>
          <w:p w14:paraId="328AF299">
            <w:pPr>
              <w:jc w:val="center"/>
              <w:rPr>
                <w:rFonts w:eastAsia="楷体_GB2312"/>
                <w:szCs w:val="21"/>
              </w:rPr>
            </w:pPr>
            <w:r>
              <w:rPr>
                <w:rFonts w:eastAsia="楷体_GB2312"/>
                <w:szCs w:val="21"/>
              </w:rPr>
              <w:t>4.24</w:t>
            </w:r>
          </w:p>
        </w:tc>
      </w:tr>
      <w:tr w14:paraId="1753F74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ign w:val="center"/>
          </w:tcPr>
          <w:p w14:paraId="6E5CA663">
            <w:pPr>
              <w:spacing w:line="0" w:lineRule="atLeast"/>
              <w:jc w:val="center"/>
              <w:rPr>
                <w:rFonts w:eastAsia="楷体_GB2312"/>
                <w:szCs w:val="21"/>
              </w:rPr>
            </w:pPr>
          </w:p>
        </w:tc>
        <w:tc>
          <w:tcPr>
            <w:tcW w:w="4664" w:type="dxa"/>
            <w:gridSpan w:val="3"/>
            <w:noWrap/>
            <w:vAlign w:val="center"/>
          </w:tcPr>
          <w:p w14:paraId="0BA7EA5C">
            <w:pPr>
              <w:spacing w:line="0" w:lineRule="atLeast"/>
              <w:jc w:val="center"/>
              <w:rPr>
                <w:rFonts w:eastAsia="楷体_GB2312"/>
                <w:szCs w:val="21"/>
              </w:rPr>
            </w:pPr>
            <w:r>
              <w:rPr>
                <w:rFonts w:eastAsia="楷体_GB2312"/>
                <w:szCs w:val="21"/>
              </w:rPr>
              <w:t>临街状况</w:t>
            </w:r>
          </w:p>
        </w:tc>
        <w:tc>
          <w:tcPr>
            <w:tcW w:w="3169" w:type="dxa"/>
            <w:noWrap/>
            <w:vAlign w:val="center"/>
          </w:tcPr>
          <w:p w14:paraId="54E5EA8A">
            <w:pPr>
              <w:jc w:val="center"/>
              <w:rPr>
                <w:rFonts w:eastAsia="楷体_GB2312"/>
                <w:szCs w:val="21"/>
              </w:rPr>
            </w:pPr>
            <w:r>
              <w:rPr>
                <w:rFonts w:eastAsia="楷体_GB2312"/>
                <w:szCs w:val="21"/>
              </w:rPr>
              <w:t>5.72</w:t>
            </w:r>
          </w:p>
        </w:tc>
      </w:tr>
      <w:tr w14:paraId="250F4D4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ign w:val="center"/>
          </w:tcPr>
          <w:p w14:paraId="2CA93DC2">
            <w:pPr>
              <w:spacing w:line="0" w:lineRule="atLeast"/>
              <w:jc w:val="center"/>
              <w:rPr>
                <w:rFonts w:eastAsia="楷体_GB2312"/>
                <w:szCs w:val="21"/>
              </w:rPr>
            </w:pPr>
          </w:p>
        </w:tc>
        <w:tc>
          <w:tcPr>
            <w:tcW w:w="4664" w:type="dxa"/>
            <w:gridSpan w:val="3"/>
            <w:noWrap/>
            <w:vAlign w:val="center"/>
          </w:tcPr>
          <w:p w14:paraId="1EEBF29F">
            <w:pPr>
              <w:spacing w:line="0" w:lineRule="atLeast"/>
              <w:jc w:val="center"/>
              <w:rPr>
                <w:rFonts w:eastAsia="楷体_GB2312"/>
                <w:szCs w:val="21"/>
              </w:rPr>
            </w:pPr>
            <w:r>
              <w:rPr>
                <w:rFonts w:eastAsia="楷体_GB2312"/>
                <w:szCs w:val="21"/>
              </w:rPr>
              <w:t>宗地基础设施状况</w:t>
            </w:r>
          </w:p>
        </w:tc>
        <w:tc>
          <w:tcPr>
            <w:tcW w:w="3169" w:type="dxa"/>
            <w:noWrap/>
            <w:vAlign w:val="center"/>
          </w:tcPr>
          <w:p w14:paraId="32B63C65">
            <w:pPr>
              <w:jc w:val="center"/>
              <w:rPr>
                <w:rFonts w:eastAsia="楷体_GB2312"/>
                <w:szCs w:val="21"/>
              </w:rPr>
            </w:pPr>
            <w:r>
              <w:rPr>
                <w:rFonts w:eastAsia="楷体_GB2312"/>
                <w:szCs w:val="21"/>
              </w:rPr>
              <w:t>5.42</w:t>
            </w:r>
          </w:p>
        </w:tc>
      </w:tr>
      <w:tr w14:paraId="4DAAC5B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ign w:val="center"/>
          </w:tcPr>
          <w:p w14:paraId="346983EC">
            <w:pPr>
              <w:spacing w:line="0" w:lineRule="atLeast"/>
              <w:jc w:val="center"/>
              <w:rPr>
                <w:rFonts w:eastAsia="楷体_GB2312"/>
                <w:szCs w:val="21"/>
              </w:rPr>
            </w:pPr>
          </w:p>
        </w:tc>
        <w:tc>
          <w:tcPr>
            <w:tcW w:w="4664" w:type="dxa"/>
            <w:gridSpan w:val="3"/>
            <w:noWrap/>
            <w:vAlign w:val="center"/>
          </w:tcPr>
          <w:p w14:paraId="20B74640">
            <w:pPr>
              <w:spacing w:line="0" w:lineRule="atLeast"/>
              <w:jc w:val="center"/>
              <w:rPr>
                <w:rFonts w:eastAsia="楷体_GB2312"/>
                <w:szCs w:val="21"/>
              </w:rPr>
            </w:pPr>
            <w:r>
              <w:rPr>
                <w:rFonts w:eastAsia="楷体_GB2312"/>
                <w:szCs w:val="21"/>
              </w:rPr>
              <w:t>宗地利用状况</w:t>
            </w:r>
          </w:p>
        </w:tc>
        <w:tc>
          <w:tcPr>
            <w:tcW w:w="3169" w:type="dxa"/>
            <w:noWrap/>
            <w:vAlign w:val="center"/>
          </w:tcPr>
          <w:p w14:paraId="4EB1CDD0">
            <w:pPr>
              <w:jc w:val="center"/>
              <w:rPr>
                <w:rFonts w:eastAsia="楷体_GB2312"/>
                <w:szCs w:val="21"/>
              </w:rPr>
            </w:pPr>
            <w:r>
              <w:rPr>
                <w:rFonts w:eastAsia="楷体_GB2312"/>
                <w:szCs w:val="21"/>
              </w:rPr>
              <w:t>4.85</w:t>
            </w:r>
          </w:p>
        </w:tc>
      </w:tr>
      <w:tr w14:paraId="22AE644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ign w:val="center"/>
          </w:tcPr>
          <w:p w14:paraId="4C4C53C6">
            <w:pPr>
              <w:spacing w:line="0" w:lineRule="atLeast"/>
              <w:jc w:val="center"/>
              <w:rPr>
                <w:rFonts w:eastAsia="楷体_GB2312"/>
                <w:szCs w:val="21"/>
              </w:rPr>
            </w:pPr>
          </w:p>
        </w:tc>
        <w:tc>
          <w:tcPr>
            <w:tcW w:w="4664" w:type="dxa"/>
            <w:gridSpan w:val="3"/>
            <w:noWrap/>
            <w:vAlign w:val="center"/>
          </w:tcPr>
          <w:p w14:paraId="4485006E">
            <w:pPr>
              <w:spacing w:line="0" w:lineRule="atLeast"/>
              <w:jc w:val="center"/>
              <w:rPr>
                <w:rFonts w:eastAsia="楷体_GB2312"/>
                <w:szCs w:val="21"/>
              </w:rPr>
            </w:pPr>
            <w:r>
              <w:rPr>
                <w:rFonts w:eastAsia="楷体_GB2312"/>
                <w:szCs w:val="21"/>
              </w:rPr>
              <w:t>规划限制</w:t>
            </w:r>
          </w:p>
        </w:tc>
        <w:tc>
          <w:tcPr>
            <w:tcW w:w="3169" w:type="dxa"/>
            <w:noWrap/>
            <w:vAlign w:val="center"/>
          </w:tcPr>
          <w:p w14:paraId="235A286E">
            <w:pPr>
              <w:jc w:val="center"/>
              <w:rPr>
                <w:rFonts w:eastAsia="楷体_GB2312"/>
                <w:szCs w:val="21"/>
              </w:rPr>
            </w:pPr>
            <w:r>
              <w:rPr>
                <w:rFonts w:eastAsia="楷体_GB2312"/>
                <w:szCs w:val="21"/>
              </w:rPr>
              <w:t>4.52</w:t>
            </w:r>
          </w:p>
        </w:tc>
      </w:tr>
      <w:tr w14:paraId="05376E2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ign w:val="center"/>
          </w:tcPr>
          <w:p w14:paraId="3F9BE9D1">
            <w:pPr>
              <w:spacing w:line="0" w:lineRule="atLeast"/>
              <w:jc w:val="center"/>
              <w:rPr>
                <w:rFonts w:eastAsia="楷体_GB2312"/>
                <w:szCs w:val="21"/>
              </w:rPr>
            </w:pPr>
          </w:p>
        </w:tc>
        <w:tc>
          <w:tcPr>
            <w:tcW w:w="4664" w:type="dxa"/>
            <w:gridSpan w:val="3"/>
            <w:noWrap w:val="0"/>
            <w:vAlign w:val="center"/>
          </w:tcPr>
          <w:p w14:paraId="2257ABBE">
            <w:pPr>
              <w:spacing w:line="0" w:lineRule="atLeast"/>
              <w:jc w:val="center"/>
              <w:rPr>
                <w:rFonts w:eastAsia="楷体_GB2312"/>
                <w:szCs w:val="21"/>
              </w:rPr>
            </w:pPr>
            <w:r>
              <w:rPr>
                <w:rFonts w:eastAsia="楷体_GB2312"/>
                <w:szCs w:val="21"/>
              </w:rPr>
              <w:t>距对外交通设施距离</w:t>
            </w:r>
          </w:p>
        </w:tc>
        <w:tc>
          <w:tcPr>
            <w:tcW w:w="3169" w:type="dxa"/>
            <w:noWrap/>
            <w:vAlign w:val="center"/>
          </w:tcPr>
          <w:p w14:paraId="6A64A87D">
            <w:pPr>
              <w:jc w:val="center"/>
              <w:rPr>
                <w:rFonts w:eastAsia="楷体_GB2312"/>
                <w:szCs w:val="21"/>
              </w:rPr>
            </w:pPr>
            <w:r>
              <w:rPr>
                <w:rFonts w:eastAsia="楷体_GB2312"/>
                <w:szCs w:val="21"/>
              </w:rPr>
              <w:t>6.02</w:t>
            </w:r>
          </w:p>
        </w:tc>
      </w:tr>
      <w:tr w14:paraId="4A4D88E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239" w:type="dxa"/>
            <w:vMerge w:val="continue"/>
            <w:noWrap/>
            <w:vAlign w:val="center"/>
          </w:tcPr>
          <w:p w14:paraId="1E260677">
            <w:pPr>
              <w:spacing w:line="0" w:lineRule="atLeast"/>
              <w:jc w:val="center"/>
              <w:rPr>
                <w:rFonts w:eastAsia="楷体_GB2312"/>
                <w:szCs w:val="21"/>
              </w:rPr>
            </w:pPr>
          </w:p>
        </w:tc>
        <w:tc>
          <w:tcPr>
            <w:tcW w:w="4664" w:type="dxa"/>
            <w:gridSpan w:val="3"/>
            <w:noWrap/>
            <w:vAlign w:val="center"/>
          </w:tcPr>
          <w:p w14:paraId="48F1EDB1">
            <w:pPr>
              <w:spacing w:line="0" w:lineRule="atLeast"/>
              <w:jc w:val="center"/>
              <w:rPr>
                <w:rFonts w:eastAsia="楷体_GB2312"/>
                <w:szCs w:val="21"/>
              </w:rPr>
            </w:pPr>
            <w:r>
              <w:rPr>
                <w:rFonts w:eastAsia="楷体_GB2312"/>
                <w:szCs w:val="21"/>
              </w:rPr>
              <w:t>其他个别因素状况</w:t>
            </w:r>
          </w:p>
        </w:tc>
        <w:tc>
          <w:tcPr>
            <w:tcW w:w="3169" w:type="dxa"/>
            <w:noWrap/>
            <w:vAlign w:val="center"/>
          </w:tcPr>
          <w:p w14:paraId="03D07F1F">
            <w:pPr>
              <w:jc w:val="center"/>
              <w:rPr>
                <w:rFonts w:eastAsia="楷体_GB2312"/>
                <w:szCs w:val="21"/>
              </w:rPr>
            </w:pPr>
            <w:r>
              <w:rPr>
                <w:rFonts w:eastAsia="楷体_GB2312"/>
                <w:szCs w:val="21"/>
              </w:rPr>
              <w:t>3.25</w:t>
            </w:r>
          </w:p>
        </w:tc>
      </w:tr>
      <w:tr w14:paraId="6D7B59D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5903" w:type="dxa"/>
            <w:gridSpan w:val="4"/>
            <w:noWrap/>
            <w:vAlign w:val="center"/>
          </w:tcPr>
          <w:p w14:paraId="295F25AB">
            <w:pPr>
              <w:spacing w:line="0" w:lineRule="atLeast"/>
              <w:jc w:val="center"/>
              <w:rPr>
                <w:rFonts w:eastAsia="楷体_GB2312"/>
                <w:szCs w:val="21"/>
              </w:rPr>
            </w:pPr>
            <w:r>
              <w:rPr>
                <w:rFonts w:eastAsia="楷体_GB2312"/>
                <w:szCs w:val="21"/>
              </w:rPr>
              <w:t>合   计</w:t>
            </w:r>
          </w:p>
        </w:tc>
        <w:tc>
          <w:tcPr>
            <w:tcW w:w="3169" w:type="dxa"/>
            <w:noWrap/>
            <w:vAlign w:val="center"/>
          </w:tcPr>
          <w:p w14:paraId="77E7CA39">
            <w:pPr>
              <w:spacing w:line="0" w:lineRule="atLeast"/>
              <w:jc w:val="center"/>
              <w:rPr>
                <w:rFonts w:eastAsia="楷体_GB2312"/>
                <w:szCs w:val="21"/>
              </w:rPr>
            </w:pPr>
            <w:r>
              <w:rPr>
                <w:rFonts w:eastAsia="楷体_GB2312"/>
                <w:szCs w:val="21"/>
              </w:rPr>
              <w:fldChar w:fldCharType="begin"/>
            </w:r>
            <w:r>
              <w:rPr>
                <w:rFonts w:eastAsia="楷体_GB2312"/>
                <w:szCs w:val="21"/>
              </w:rPr>
              <w:instrText xml:space="preserve"> =SUM(ABOVE) </w:instrText>
            </w:r>
            <w:r>
              <w:rPr>
                <w:rFonts w:eastAsia="楷体_GB2312"/>
                <w:szCs w:val="21"/>
              </w:rPr>
              <w:fldChar w:fldCharType="separate"/>
            </w:r>
            <w:r>
              <w:rPr>
                <w:rFonts w:eastAsia="楷体_GB2312"/>
                <w:szCs w:val="21"/>
              </w:rPr>
              <w:t>100</w:t>
            </w:r>
            <w:r>
              <w:rPr>
                <w:rFonts w:eastAsia="楷体_GB2312"/>
                <w:szCs w:val="21"/>
              </w:rPr>
              <w:fldChar w:fldCharType="end"/>
            </w:r>
          </w:p>
        </w:tc>
      </w:tr>
    </w:tbl>
    <w:p w14:paraId="28D5EE09">
      <w:pPr>
        <w:pStyle w:val="20"/>
        <w:spacing w:before="120" w:beforeLines="50" w:line="480" w:lineRule="exact"/>
        <w:rPr>
          <w:rFonts w:ascii="Times New Roman" w:hAnsi="Times New Roman" w:eastAsia="黑体" w:cs="Times New Roman"/>
          <w:sz w:val="28"/>
        </w:rPr>
      </w:pPr>
    </w:p>
    <w:p w14:paraId="5CABC66B">
      <w:pPr>
        <w:pStyle w:val="20"/>
        <w:spacing w:before="120" w:beforeLines="50" w:line="480" w:lineRule="exact"/>
        <w:jc w:val="center"/>
        <w:rPr>
          <w:rFonts w:ascii="Times New Roman" w:hAnsi="Times New Roman" w:eastAsia="黑体" w:cs="Times New Roman"/>
          <w:sz w:val="28"/>
        </w:rPr>
      </w:pPr>
    </w:p>
    <w:p w14:paraId="7DE095F7">
      <w:pPr>
        <w:pStyle w:val="20"/>
        <w:spacing w:before="120" w:beforeLines="50" w:line="480" w:lineRule="exact"/>
        <w:jc w:val="center"/>
        <w:rPr>
          <w:rFonts w:ascii="Times New Roman" w:hAnsi="Times New Roman" w:eastAsia="黑体" w:cs="Times New Roman"/>
          <w:sz w:val="28"/>
        </w:rPr>
      </w:pPr>
    </w:p>
    <w:p w14:paraId="1F0F6A84">
      <w:pPr>
        <w:pStyle w:val="20"/>
        <w:spacing w:before="120" w:beforeLines="50" w:line="480" w:lineRule="exact"/>
        <w:jc w:val="center"/>
        <w:rPr>
          <w:rFonts w:ascii="Times New Roman" w:hAnsi="Times New Roman" w:eastAsia="黑体" w:cs="Times New Roman"/>
          <w:sz w:val="28"/>
        </w:rPr>
      </w:pPr>
    </w:p>
    <w:p w14:paraId="7F083C7B">
      <w:pPr>
        <w:pStyle w:val="20"/>
        <w:spacing w:before="120" w:beforeLines="50" w:line="480" w:lineRule="exact"/>
        <w:jc w:val="center"/>
        <w:rPr>
          <w:rFonts w:ascii="Times New Roman" w:hAnsi="Times New Roman" w:eastAsia="黑体" w:cs="Times New Roman"/>
          <w:sz w:val="28"/>
        </w:rPr>
        <w:sectPr>
          <w:pgSz w:w="11906" w:h="16838"/>
          <w:pgMar w:top="1758" w:right="1474" w:bottom="1474" w:left="1644" w:header="1134" w:footer="992" w:gutter="0"/>
          <w:cols w:space="720" w:num="1"/>
          <w:docGrid w:linePitch="312" w:charSpace="0"/>
        </w:sectPr>
      </w:pPr>
    </w:p>
    <w:p w14:paraId="11704670">
      <w:pPr>
        <w:pStyle w:val="20"/>
        <w:spacing w:line="480" w:lineRule="exact"/>
        <w:jc w:val="center"/>
        <w:rPr>
          <w:rFonts w:ascii="Times New Roman" w:hAnsi="Times New Roman" w:eastAsia="黑体" w:cs="Times New Roman"/>
          <w:sz w:val="28"/>
        </w:rPr>
      </w:pPr>
      <w:r>
        <w:rPr>
          <w:rFonts w:ascii="Times New Roman" w:hAnsi="Times New Roman" w:eastAsia="黑体" w:cs="Times New Roman"/>
          <w:sz w:val="28"/>
        </w:rPr>
        <w:t>表2-9-8  埇桥区</w:t>
      </w:r>
      <w:r>
        <w:rPr>
          <w:rFonts w:ascii="Times New Roman" w:hAnsi="Times New Roman" w:eastAsia="黑体" w:cs="Times New Roman"/>
          <w:sz w:val="28"/>
          <w:szCs w:val="20"/>
        </w:rPr>
        <w:t>朱仙庄镇等19个乡镇</w:t>
      </w:r>
      <w:r>
        <w:rPr>
          <w:rFonts w:ascii="Times New Roman" w:hAnsi="Times New Roman" w:eastAsia="黑体" w:cs="Times New Roman"/>
          <w:sz w:val="28"/>
        </w:rPr>
        <w:t>镇区公共管理与公共服务用地宗地地价影响因素权重表</w:t>
      </w:r>
    </w:p>
    <w:tbl>
      <w:tblPr>
        <w:tblStyle w:val="38"/>
        <w:tblW w:w="9072" w:type="dxa"/>
        <w:tblInd w:w="93" w:type="dxa"/>
        <w:tblLayout w:type="autofit"/>
        <w:tblCellMar>
          <w:top w:w="0" w:type="dxa"/>
          <w:left w:w="108" w:type="dxa"/>
          <w:bottom w:w="0" w:type="dxa"/>
          <w:right w:w="108" w:type="dxa"/>
        </w:tblCellMar>
      </w:tblPr>
      <w:tblGrid>
        <w:gridCol w:w="1008"/>
        <w:gridCol w:w="1417"/>
        <w:gridCol w:w="1418"/>
        <w:gridCol w:w="1984"/>
        <w:gridCol w:w="3245"/>
      </w:tblGrid>
      <w:tr w14:paraId="5913E285">
        <w:tblPrEx>
          <w:tblCellMar>
            <w:top w:w="0" w:type="dxa"/>
            <w:left w:w="108" w:type="dxa"/>
            <w:bottom w:w="0" w:type="dxa"/>
            <w:right w:w="108" w:type="dxa"/>
          </w:tblCellMar>
        </w:tblPrEx>
        <w:trPr>
          <w:trHeight w:val="454" w:hRule="exact"/>
        </w:trPr>
        <w:tc>
          <w:tcPr>
            <w:tcW w:w="5827" w:type="dxa"/>
            <w:gridSpan w:val="4"/>
            <w:tcBorders>
              <w:top w:val="single" w:color="auto" w:sz="4" w:space="0"/>
              <w:left w:val="single" w:color="auto" w:sz="4" w:space="0"/>
              <w:bottom w:val="single" w:color="auto" w:sz="4" w:space="0"/>
              <w:right w:val="single" w:color="auto" w:sz="4" w:space="0"/>
            </w:tcBorders>
            <w:noWrap/>
            <w:vAlign w:val="center"/>
          </w:tcPr>
          <w:p w14:paraId="520007E8">
            <w:pPr>
              <w:spacing w:line="0" w:lineRule="atLeast"/>
              <w:jc w:val="center"/>
              <w:rPr>
                <w:rFonts w:eastAsia="楷体_GB2312"/>
                <w:szCs w:val="21"/>
              </w:rPr>
            </w:pPr>
            <w:r>
              <w:rPr>
                <w:rFonts w:eastAsia="楷体_GB2312"/>
                <w:szCs w:val="21"/>
              </w:rPr>
              <w:t>影响因素</w:t>
            </w:r>
          </w:p>
        </w:tc>
        <w:tc>
          <w:tcPr>
            <w:tcW w:w="3245" w:type="dxa"/>
            <w:tcBorders>
              <w:top w:val="single" w:color="auto" w:sz="4" w:space="0"/>
              <w:left w:val="single" w:color="auto" w:sz="4" w:space="0"/>
              <w:bottom w:val="single" w:color="auto" w:sz="4" w:space="0"/>
              <w:right w:val="single" w:color="auto" w:sz="4" w:space="0"/>
            </w:tcBorders>
            <w:noWrap w:val="0"/>
            <w:vAlign w:val="center"/>
          </w:tcPr>
          <w:p w14:paraId="55A49011">
            <w:pPr>
              <w:spacing w:line="0" w:lineRule="atLeast"/>
              <w:jc w:val="center"/>
              <w:rPr>
                <w:rFonts w:eastAsia="楷体_GB2312"/>
                <w:szCs w:val="21"/>
              </w:rPr>
            </w:pPr>
            <w:r>
              <w:rPr>
                <w:rFonts w:eastAsia="楷体_GB2312"/>
                <w:szCs w:val="21"/>
              </w:rPr>
              <w:t>权重</w:t>
            </w:r>
          </w:p>
        </w:tc>
      </w:tr>
      <w:tr w14:paraId="2E1BDD3C">
        <w:tblPrEx>
          <w:tblCellMar>
            <w:top w:w="0" w:type="dxa"/>
            <w:left w:w="108" w:type="dxa"/>
            <w:bottom w:w="0" w:type="dxa"/>
            <w:right w:w="108" w:type="dxa"/>
          </w:tblCellMar>
        </w:tblPrEx>
        <w:trPr>
          <w:trHeight w:val="454" w:hRule="exact"/>
        </w:trPr>
        <w:tc>
          <w:tcPr>
            <w:tcW w:w="1008" w:type="dxa"/>
            <w:vMerge w:val="restart"/>
            <w:tcBorders>
              <w:top w:val="nil"/>
              <w:left w:val="single" w:color="auto" w:sz="4" w:space="0"/>
              <w:bottom w:val="single" w:color="auto" w:sz="4" w:space="0"/>
              <w:right w:val="single" w:color="auto" w:sz="4" w:space="0"/>
            </w:tcBorders>
            <w:noWrap/>
            <w:vAlign w:val="center"/>
          </w:tcPr>
          <w:p w14:paraId="03824848">
            <w:pPr>
              <w:spacing w:line="0" w:lineRule="atLeast"/>
              <w:jc w:val="center"/>
              <w:rPr>
                <w:rFonts w:eastAsia="楷体_GB2312"/>
                <w:szCs w:val="21"/>
              </w:rPr>
            </w:pPr>
            <w:r>
              <w:rPr>
                <w:rFonts w:eastAsia="楷体_GB2312"/>
                <w:szCs w:val="21"/>
              </w:rPr>
              <w:t>区</w:t>
            </w:r>
          </w:p>
          <w:p w14:paraId="4E438E0E">
            <w:pPr>
              <w:spacing w:line="0" w:lineRule="atLeast"/>
              <w:jc w:val="center"/>
              <w:rPr>
                <w:rFonts w:eastAsia="楷体_GB2312"/>
                <w:szCs w:val="21"/>
              </w:rPr>
            </w:pPr>
            <w:r>
              <w:rPr>
                <w:rFonts w:eastAsia="楷体_GB2312"/>
                <w:szCs w:val="21"/>
              </w:rPr>
              <w:t>域</w:t>
            </w:r>
          </w:p>
          <w:p w14:paraId="01A3E269">
            <w:pPr>
              <w:spacing w:line="0" w:lineRule="atLeast"/>
              <w:jc w:val="center"/>
              <w:rPr>
                <w:rFonts w:eastAsia="楷体_GB2312"/>
                <w:szCs w:val="21"/>
              </w:rPr>
            </w:pPr>
            <w:r>
              <w:rPr>
                <w:rFonts w:eastAsia="楷体_GB2312"/>
                <w:szCs w:val="21"/>
              </w:rPr>
              <w:t>因</w:t>
            </w:r>
          </w:p>
          <w:p w14:paraId="00346DEF">
            <w:pPr>
              <w:spacing w:line="0" w:lineRule="atLeast"/>
              <w:jc w:val="center"/>
              <w:rPr>
                <w:rFonts w:eastAsia="楷体_GB2312"/>
                <w:szCs w:val="21"/>
              </w:rPr>
            </w:pPr>
            <w:r>
              <w:rPr>
                <w:rFonts w:eastAsia="楷体_GB2312"/>
                <w:szCs w:val="21"/>
              </w:rPr>
              <w:t>素</w:t>
            </w:r>
          </w:p>
        </w:tc>
        <w:tc>
          <w:tcPr>
            <w:tcW w:w="4819" w:type="dxa"/>
            <w:gridSpan w:val="3"/>
            <w:tcBorders>
              <w:top w:val="single" w:color="auto" w:sz="4" w:space="0"/>
              <w:left w:val="nil"/>
              <w:bottom w:val="single" w:color="auto" w:sz="4" w:space="0"/>
              <w:right w:val="single" w:color="auto" w:sz="4" w:space="0"/>
            </w:tcBorders>
            <w:noWrap/>
            <w:vAlign w:val="center"/>
          </w:tcPr>
          <w:p w14:paraId="726C35C8">
            <w:pPr>
              <w:spacing w:line="0" w:lineRule="atLeast"/>
              <w:jc w:val="center"/>
              <w:rPr>
                <w:rFonts w:eastAsia="楷体_GB2312"/>
                <w:szCs w:val="21"/>
              </w:rPr>
            </w:pPr>
            <w:r>
              <w:rPr>
                <w:rFonts w:eastAsia="楷体_GB2312"/>
                <w:szCs w:val="21"/>
              </w:rPr>
              <w:t>区域在镇区中的位置</w:t>
            </w:r>
          </w:p>
        </w:tc>
        <w:tc>
          <w:tcPr>
            <w:tcW w:w="3245" w:type="dxa"/>
            <w:tcBorders>
              <w:top w:val="single" w:color="auto" w:sz="4" w:space="0"/>
              <w:left w:val="nil"/>
              <w:bottom w:val="single" w:color="auto" w:sz="4" w:space="0"/>
              <w:right w:val="single" w:color="auto" w:sz="4" w:space="0"/>
            </w:tcBorders>
            <w:noWrap w:val="0"/>
            <w:vAlign w:val="center"/>
          </w:tcPr>
          <w:p w14:paraId="30AEF49F">
            <w:pPr>
              <w:jc w:val="center"/>
              <w:rPr>
                <w:rFonts w:eastAsia="楷体_GB2312"/>
                <w:szCs w:val="21"/>
              </w:rPr>
            </w:pPr>
            <w:r>
              <w:rPr>
                <w:rFonts w:eastAsia="楷体_GB2312"/>
                <w:szCs w:val="21"/>
              </w:rPr>
              <w:t>5.92</w:t>
            </w:r>
          </w:p>
        </w:tc>
      </w:tr>
      <w:tr w14:paraId="64713D3E">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5CBF33B9">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7D8BB753">
            <w:pPr>
              <w:spacing w:line="0" w:lineRule="atLeast"/>
              <w:jc w:val="center"/>
              <w:rPr>
                <w:rFonts w:eastAsia="楷体_GB2312"/>
                <w:szCs w:val="21"/>
              </w:rPr>
            </w:pPr>
            <w:r>
              <w:rPr>
                <w:rFonts w:eastAsia="楷体_GB2312"/>
                <w:szCs w:val="21"/>
              </w:rPr>
              <w:t>商服繁华程度</w:t>
            </w:r>
          </w:p>
        </w:tc>
        <w:tc>
          <w:tcPr>
            <w:tcW w:w="3245" w:type="dxa"/>
            <w:tcBorders>
              <w:top w:val="single" w:color="auto" w:sz="4" w:space="0"/>
              <w:left w:val="nil"/>
              <w:bottom w:val="single" w:color="auto" w:sz="4" w:space="0"/>
              <w:right w:val="single" w:color="auto" w:sz="4" w:space="0"/>
            </w:tcBorders>
            <w:noWrap w:val="0"/>
            <w:vAlign w:val="center"/>
          </w:tcPr>
          <w:p w14:paraId="4F33D636">
            <w:pPr>
              <w:jc w:val="center"/>
              <w:rPr>
                <w:rFonts w:eastAsia="楷体_GB2312"/>
                <w:szCs w:val="21"/>
              </w:rPr>
            </w:pPr>
            <w:r>
              <w:rPr>
                <w:rFonts w:eastAsia="楷体_GB2312"/>
                <w:szCs w:val="21"/>
              </w:rPr>
              <w:t>5.51</w:t>
            </w:r>
          </w:p>
        </w:tc>
      </w:tr>
      <w:tr w14:paraId="523F5878">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7BC508BD">
            <w:pPr>
              <w:spacing w:line="0" w:lineRule="atLeast"/>
              <w:jc w:val="center"/>
              <w:rPr>
                <w:rFonts w:eastAsia="楷体_GB2312"/>
                <w:szCs w:val="21"/>
              </w:rPr>
            </w:pPr>
          </w:p>
        </w:tc>
        <w:tc>
          <w:tcPr>
            <w:tcW w:w="1417" w:type="dxa"/>
            <w:vMerge w:val="restart"/>
            <w:tcBorders>
              <w:top w:val="nil"/>
              <w:left w:val="single" w:color="auto" w:sz="4" w:space="0"/>
              <w:bottom w:val="single" w:color="auto" w:sz="4" w:space="0"/>
              <w:right w:val="single" w:color="auto" w:sz="4" w:space="0"/>
            </w:tcBorders>
            <w:noWrap/>
            <w:vAlign w:val="center"/>
          </w:tcPr>
          <w:p w14:paraId="6E45AC70">
            <w:pPr>
              <w:spacing w:line="0" w:lineRule="atLeast"/>
              <w:jc w:val="center"/>
              <w:rPr>
                <w:rFonts w:eastAsia="楷体_GB2312"/>
                <w:szCs w:val="21"/>
              </w:rPr>
            </w:pPr>
            <w:r>
              <w:rPr>
                <w:rFonts w:eastAsia="楷体_GB2312"/>
                <w:szCs w:val="21"/>
              </w:rPr>
              <w:t>交通状况</w:t>
            </w:r>
          </w:p>
        </w:tc>
        <w:tc>
          <w:tcPr>
            <w:tcW w:w="1418" w:type="dxa"/>
            <w:vMerge w:val="restart"/>
            <w:tcBorders>
              <w:top w:val="nil"/>
              <w:left w:val="single" w:color="auto" w:sz="4" w:space="0"/>
              <w:bottom w:val="single" w:color="auto" w:sz="4" w:space="0"/>
              <w:right w:val="single" w:color="auto" w:sz="4" w:space="0"/>
            </w:tcBorders>
            <w:noWrap/>
            <w:vAlign w:val="center"/>
          </w:tcPr>
          <w:p w14:paraId="279E7169">
            <w:pPr>
              <w:spacing w:line="0" w:lineRule="atLeast"/>
              <w:jc w:val="center"/>
              <w:rPr>
                <w:rFonts w:eastAsia="楷体_GB2312"/>
                <w:szCs w:val="21"/>
              </w:rPr>
            </w:pPr>
            <w:r>
              <w:rPr>
                <w:rFonts w:eastAsia="楷体_GB2312"/>
                <w:szCs w:val="21"/>
              </w:rPr>
              <w:t>道路状况</w:t>
            </w:r>
          </w:p>
        </w:tc>
        <w:tc>
          <w:tcPr>
            <w:tcW w:w="1984" w:type="dxa"/>
            <w:tcBorders>
              <w:top w:val="nil"/>
              <w:left w:val="nil"/>
              <w:bottom w:val="single" w:color="auto" w:sz="4" w:space="0"/>
              <w:right w:val="single" w:color="auto" w:sz="4" w:space="0"/>
            </w:tcBorders>
            <w:noWrap/>
            <w:vAlign w:val="center"/>
          </w:tcPr>
          <w:p w14:paraId="71CC954A">
            <w:pPr>
              <w:spacing w:line="0" w:lineRule="atLeast"/>
              <w:jc w:val="center"/>
              <w:rPr>
                <w:rFonts w:eastAsia="楷体_GB2312"/>
                <w:szCs w:val="21"/>
              </w:rPr>
            </w:pPr>
            <w:r>
              <w:rPr>
                <w:rFonts w:eastAsia="楷体_GB2312"/>
                <w:szCs w:val="21"/>
              </w:rPr>
              <w:t>道路类型</w:t>
            </w:r>
          </w:p>
        </w:tc>
        <w:tc>
          <w:tcPr>
            <w:tcW w:w="3245" w:type="dxa"/>
            <w:tcBorders>
              <w:top w:val="nil"/>
              <w:left w:val="nil"/>
              <w:bottom w:val="single" w:color="auto" w:sz="4" w:space="0"/>
              <w:right w:val="single" w:color="auto" w:sz="4" w:space="0"/>
            </w:tcBorders>
            <w:noWrap w:val="0"/>
            <w:vAlign w:val="center"/>
          </w:tcPr>
          <w:p w14:paraId="7998042D">
            <w:pPr>
              <w:jc w:val="center"/>
              <w:rPr>
                <w:rFonts w:eastAsia="楷体_GB2312"/>
                <w:szCs w:val="21"/>
              </w:rPr>
            </w:pPr>
            <w:r>
              <w:rPr>
                <w:rFonts w:eastAsia="楷体_GB2312"/>
                <w:szCs w:val="21"/>
              </w:rPr>
              <w:t>4.83</w:t>
            </w:r>
          </w:p>
        </w:tc>
      </w:tr>
      <w:tr w14:paraId="32D3BB52">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6B67CF42">
            <w:pPr>
              <w:spacing w:line="0" w:lineRule="atLeast"/>
              <w:jc w:val="center"/>
              <w:rPr>
                <w:rFonts w:eastAsia="楷体_GB2312"/>
                <w:szCs w:val="21"/>
              </w:rPr>
            </w:pPr>
          </w:p>
        </w:tc>
        <w:tc>
          <w:tcPr>
            <w:tcW w:w="1417" w:type="dxa"/>
            <w:vMerge w:val="continue"/>
            <w:tcBorders>
              <w:top w:val="nil"/>
              <w:left w:val="single" w:color="auto" w:sz="4" w:space="0"/>
              <w:bottom w:val="single" w:color="auto" w:sz="4" w:space="0"/>
              <w:right w:val="single" w:color="auto" w:sz="4" w:space="0"/>
            </w:tcBorders>
            <w:noWrap w:val="0"/>
            <w:vAlign w:val="center"/>
          </w:tcPr>
          <w:p w14:paraId="161C0C45">
            <w:pPr>
              <w:spacing w:line="0" w:lineRule="atLeast"/>
              <w:jc w:val="center"/>
              <w:rPr>
                <w:rFonts w:eastAsia="楷体_GB2312"/>
                <w:szCs w:val="21"/>
              </w:rPr>
            </w:pPr>
          </w:p>
        </w:tc>
        <w:tc>
          <w:tcPr>
            <w:tcW w:w="1418" w:type="dxa"/>
            <w:vMerge w:val="continue"/>
            <w:tcBorders>
              <w:top w:val="nil"/>
              <w:left w:val="single" w:color="auto" w:sz="4" w:space="0"/>
              <w:bottom w:val="single" w:color="auto" w:sz="4" w:space="0"/>
              <w:right w:val="single" w:color="auto" w:sz="4" w:space="0"/>
            </w:tcBorders>
            <w:noWrap w:val="0"/>
            <w:vAlign w:val="center"/>
          </w:tcPr>
          <w:p w14:paraId="368418FC">
            <w:pPr>
              <w:spacing w:line="0" w:lineRule="atLeast"/>
              <w:jc w:val="center"/>
              <w:rPr>
                <w:rFonts w:eastAsia="楷体_GB2312"/>
                <w:szCs w:val="21"/>
              </w:rPr>
            </w:pPr>
          </w:p>
        </w:tc>
        <w:tc>
          <w:tcPr>
            <w:tcW w:w="1984" w:type="dxa"/>
            <w:tcBorders>
              <w:top w:val="nil"/>
              <w:left w:val="nil"/>
              <w:bottom w:val="single" w:color="auto" w:sz="4" w:space="0"/>
              <w:right w:val="single" w:color="auto" w:sz="4" w:space="0"/>
            </w:tcBorders>
            <w:noWrap/>
            <w:vAlign w:val="center"/>
          </w:tcPr>
          <w:p w14:paraId="0126A619">
            <w:pPr>
              <w:spacing w:line="0" w:lineRule="atLeast"/>
              <w:jc w:val="center"/>
              <w:rPr>
                <w:rFonts w:eastAsia="楷体_GB2312"/>
                <w:szCs w:val="21"/>
              </w:rPr>
            </w:pPr>
            <w:r>
              <w:rPr>
                <w:rFonts w:eastAsia="楷体_GB2312"/>
                <w:szCs w:val="21"/>
              </w:rPr>
              <w:t>道路等级</w:t>
            </w:r>
          </w:p>
        </w:tc>
        <w:tc>
          <w:tcPr>
            <w:tcW w:w="3245" w:type="dxa"/>
            <w:tcBorders>
              <w:top w:val="nil"/>
              <w:left w:val="nil"/>
              <w:bottom w:val="single" w:color="auto" w:sz="4" w:space="0"/>
              <w:right w:val="single" w:color="auto" w:sz="4" w:space="0"/>
            </w:tcBorders>
            <w:noWrap w:val="0"/>
            <w:vAlign w:val="center"/>
          </w:tcPr>
          <w:p w14:paraId="3E73680A">
            <w:pPr>
              <w:jc w:val="center"/>
              <w:rPr>
                <w:rFonts w:eastAsia="楷体_GB2312"/>
                <w:szCs w:val="21"/>
              </w:rPr>
            </w:pPr>
            <w:r>
              <w:rPr>
                <w:rFonts w:eastAsia="楷体_GB2312"/>
                <w:szCs w:val="21"/>
              </w:rPr>
              <w:t>4.53</w:t>
            </w:r>
          </w:p>
        </w:tc>
      </w:tr>
      <w:tr w14:paraId="52003198">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4DFED9A0">
            <w:pPr>
              <w:spacing w:line="0" w:lineRule="atLeast"/>
              <w:jc w:val="center"/>
              <w:rPr>
                <w:rFonts w:eastAsia="楷体_GB2312"/>
                <w:szCs w:val="21"/>
              </w:rPr>
            </w:pPr>
          </w:p>
        </w:tc>
        <w:tc>
          <w:tcPr>
            <w:tcW w:w="1417" w:type="dxa"/>
            <w:vMerge w:val="continue"/>
            <w:tcBorders>
              <w:top w:val="nil"/>
              <w:left w:val="single" w:color="auto" w:sz="4" w:space="0"/>
              <w:bottom w:val="single" w:color="auto" w:sz="4" w:space="0"/>
              <w:right w:val="single" w:color="auto" w:sz="4" w:space="0"/>
            </w:tcBorders>
            <w:noWrap w:val="0"/>
            <w:vAlign w:val="center"/>
          </w:tcPr>
          <w:p w14:paraId="3985F3AD">
            <w:pPr>
              <w:spacing w:line="0" w:lineRule="atLeast"/>
              <w:jc w:val="center"/>
              <w:rPr>
                <w:rFonts w:eastAsia="楷体_GB2312"/>
                <w:szCs w:val="21"/>
              </w:rPr>
            </w:pPr>
          </w:p>
        </w:tc>
        <w:tc>
          <w:tcPr>
            <w:tcW w:w="3402" w:type="dxa"/>
            <w:gridSpan w:val="2"/>
            <w:tcBorders>
              <w:top w:val="single" w:color="auto" w:sz="4" w:space="0"/>
              <w:left w:val="nil"/>
              <w:bottom w:val="single" w:color="auto" w:sz="4" w:space="0"/>
              <w:right w:val="single" w:color="auto" w:sz="4" w:space="0"/>
            </w:tcBorders>
            <w:noWrap/>
            <w:vAlign w:val="center"/>
          </w:tcPr>
          <w:p w14:paraId="3B990F8C">
            <w:pPr>
              <w:spacing w:line="0" w:lineRule="atLeast"/>
              <w:jc w:val="center"/>
              <w:rPr>
                <w:rFonts w:eastAsia="楷体_GB2312"/>
                <w:szCs w:val="21"/>
              </w:rPr>
            </w:pPr>
            <w:r>
              <w:rPr>
                <w:rFonts w:eastAsia="楷体_GB2312"/>
                <w:szCs w:val="21"/>
              </w:rPr>
              <w:t>交通便捷程度</w:t>
            </w:r>
          </w:p>
        </w:tc>
        <w:tc>
          <w:tcPr>
            <w:tcW w:w="3245" w:type="dxa"/>
            <w:tcBorders>
              <w:top w:val="single" w:color="auto" w:sz="4" w:space="0"/>
              <w:left w:val="nil"/>
              <w:bottom w:val="single" w:color="auto" w:sz="4" w:space="0"/>
              <w:right w:val="single" w:color="auto" w:sz="4" w:space="0"/>
            </w:tcBorders>
            <w:noWrap w:val="0"/>
            <w:vAlign w:val="center"/>
          </w:tcPr>
          <w:p w14:paraId="565C277E">
            <w:pPr>
              <w:spacing w:line="0" w:lineRule="atLeast"/>
              <w:jc w:val="center"/>
              <w:rPr>
                <w:rFonts w:eastAsia="楷体_GB2312"/>
                <w:szCs w:val="21"/>
              </w:rPr>
            </w:pPr>
            <w:r>
              <w:rPr>
                <w:rFonts w:eastAsia="楷体_GB2312"/>
                <w:szCs w:val="21"/>
              </w:rPr>
              <w:t>5.17</w:t>
            </w:r>
          </w:p>
        </w:tc>
      </w:tr>
      <w:tr w14:paraId="5AE473A9">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5CB87E29">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46BC23CB">
            <w:pPr>
              <w:spacing w:line="0" w:lineRule="atLeast"/>
              <w:jc w:val="center"/>
              <w:rPr>
                <w:rFonts w:eastAsia="楷体_GB2312"/>
                <w:szCs w:val="21"/>
              </w:rPr>
            </w:pPr>
            <w:r>
              <w:rPr>
                <w:rFonts w:eastAsia="楷体_GB2312"/>
                <w:szCs w:val="21"/>
              </w:rPr>
              <w:t>基础设施状况</w:t>
            </w:r>
          </w:p>
        </w:tc>
        <w:tc>
          <w:tcPr>
            <w:tcW w:w="3245" w:type="dxa"/>
            <w:tcBorders>
              <w:top w:val="single" w:color="auto" w:sz="4" w:space="0"/>
              <w:left w:val="nil"/>
              <w:bottom w:val="single" w:color="auto" w:sz="4" w:space="0"/>
              <w:right w:val="single" w:color="auto" w:sz="4" w:space="0"/>
            </w:tcBorders>
            <w:noWrap w:val="0"/>
            <w:vAlign w:val="center"/>
          </w:tcPr>
          <w:p w14:paraId="70330B32">
            <w:pPr>
              <w:jc w:val="center"/>
              <w:rPr>
                <w:rFonts w:eastAsia="楷体_GB2312"/>
                <w:szCs w:val="21"/>
              </w:rPr>
            </w:pPr>
            <w:r>
              <w:rPr>
                <w:rFonts w:eastAsia="楷体_GB2312"/>
                <w:szCs w:val="21"/>
              </w:rPr>
              <w:t>5.41</w:t>
            </w:r>
          </w:p>
        </w:tc>
      </w:tr>
      <w:tr w14:paraId="648C6788">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279B07CD">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3471E33F">
            <w:pPr>
              <w:spacing w:line="0" w:lineRule="atLeast"/>
              <w:jc w:val="center"/>
              <w:rPr>
                <w:rFonts w:eastAsia="楷体_GB2312"/>
                <w:szCs w:val="21"/>
              </w:rPr>
            </w:pPr>
            <w:r>
              <w:rPr>
                <w:rFonts w:eastAsia="楷体_GB2312"/>
                <w:szCs w:val="21"/>
              </w:rPr>
              <w:t>公用设施条件</w:t>
            </w:r>
          </w:p>
        </w:tc>
        <w:tc>
          <w:tcPr>
            <w:tcW w:w="3245" w:type="dxa"/>
            <w:tcBorders>
              <w:top w:val="single" w:color="auto" w:sz="4" w:space="0"/>
              <w:left w:val="nil"/>
              <w:bottom w:val="single" w:color="auto" w:sz="4" w:space="0"/>
              <w:right w:val="single" w:color="auto" w:sz="4" w:space="0"/>
            </w:tcBorders>
            <w:noWrap w:val="0"/>
            <w:vAlign w:val="center"/>
          </w:tcPr>
          <w:p w14:paraId="4EAE07E1">
            <w:pPr>
              <w:jc w:val="center"/>
              <w:rPr>
                <w:rFonts w:eastAsia="楷体_GB2312"/>
                <w:szCs w:val="21"/>
              </w:rPr>
            </w:pPr>
            <w:r>
              <w:rPr>
                <w:rFonts w:eastAsia="楷体_GB2312"/>
                <w:szCs w:val="21"/>
              </w:rPr>
              <w:t>5.94</w:t>
            </w:r>
          </w:p>
        </w:tc>
      </w:tr>
      <w:tr w14:paraId="68964954">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4481CCCC">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39A3840E">
            <w:pPr>
              <w:spacing w:line="0" w:lineRule="atLeast"/>
              <w:jc w:val="center"/>
              <w:rPr>
                <w:rFonts w:eastAsia="楷体_GB2312"/>
                <w:szCs w:val="21"/>
              </w:rPr>
            </w:pPr>
            <w:r>
              <w:rPr>
                <w:rFonts w:eastAsia="楷体_GB2312"/>
                <w:szCs w:val="21"/>
              </w:rPr>
              <w:t>城镇规划限制</w:t>
            </w:r>
          </w:p>
        </w:tc>
        <w:tc>
          <w:tcPr>
            <w:tcW w:w="3245" w:type="dxa"/>
            <w:tcBorders>
              <w:top w:val="single" w:color="auto" w:sz="4" w:space="0"/>
              <w:left w:val="nil"/>
              <w:bottom w:val="single" w:color="auto" w:sz="4" w:space="0"/>
              <w:right w:val="single" w:color="auto" w:sz="4" w:space="0"/>
            </w:tcBorders>
            <w:noWrap w:val="0"/>
            <w:vAlign w:val="center"/>
          </w:tcPr>
          <w:p w14:paraId="55759796">
            <w:pPr>
              <w:jc w:val="center"/>
              <w:rPr>
                <w:rFonts w:eastAsia="楷体_GB2312"/>
                <w:szCs w:val="21"/>
              </w:rPr>
            </w:pPr>
            <w:r>
              <w:rPr>
                <w:rFonts w:eastAsia="楷体_GB2312"/>
                <w:szCs w:val="21"/>
              </w:rPr>
              <w:t>5.09</w:t>
            </w:r>
          </w:p>
        </w:tc>
      </w:tr>
      <w:tr w14:paraId="578A4729">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57D348D7">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42A683A2">
            <w:pPr>
              <w:spacing w:line="0" w:lineRule="atLeast"/>
              <w:jc w:val="center"/>
              <w:rPr>
                <w:rFonts w:eastAsia="楷体_GB2312"/>
                <w:szCs w:val="21"/>
              </w:rPr>
            </w:pPr>
            <w:r>
              <w:rPr>
                <w:rFonts w:eastAsia="楷体_GB2312"/>
                <w:szCs w:val="21"/>
              </w:rPr>
              <w:t>环境质量状况</w:t>
            </w:r>
          </w:p>
        </w:tc>
        <w:tc>
          <w:tcPr>
            <w:tcW w:w="3245" w:type="dxa"/>
            <w:tcBorders>
              <w:top w:val="single" w:color="auto" w:sz="4" w:space="0"/>
              <w:left w:val="nil"/>
              <w:bottom w:val="single" w:color="auto" w:sz="4" w:space="0"/>
              <w:right w:val="single" w:color="auto" w:sz="4" w:space="0"/>
            </w:tcBorders>
            <w:noWrap w:val="0"/>
            <w:vAlign w:val="center"/>
          </w:tcPr>
          <w:p w14:paraId="17DBB13B">
            <w:pPr>
              <w:jc w:val="center"/>
              <w:rPr>
                <w:rFonts w:eastAsia="楷体_GB2312"/>
                <w:szCs w:val="21"/>
              </w:rPr>
            </w:pPr>
            <w:r>
              <w:rPr>
                <w:rFonts w:eastAsia="楷体_GB2312"/>
                <w:szCs w:val="21"/>
              </w:rPr>
              <w:t>6.12</w:t>
            </w:r>
          </w:p>
        </w:tc>
      </w:tr>
      <w:tr w14:paraId="2E71C577">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53ACE834">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39963548">
            <w:pPr>
              <w:spacing w:line="0" w:lineRule="atLeast"/>
              <w:jc w:val="center"/>
              <w:rPr>
                <w:rFonts w:eastAsia="楷体_GB2312"/>
                <w:szCs w:val="21"/>
              </w:rPr>
            </w:pPr>
            <w:r>
              <w:rPr>
                <w:rFonts w:eastAsia="楷体_GB2312"/>
                <w:szCs w:val="21"/>
              </w:rPr>
              <w:t>景观条件因素</w:t>
            </w:r>
          </w:p>
        </w:tc>
        <w:tc>
          <w:tcPr>
            <w:tcW w:w="3245" w:type="dxa"/>
            <w:tcBorders>
              <w:top w:val="single" w:color="auto" w:sz="4" w:space="0"/>
              <w:left w:val="nil"/>
              <w:bottom w:val="single" w:color="auto" w:sz="4" w:space="0"/>
              <w:right w:val="single" w:color="auto" w:sz="4" w:space="0"/>
            </w:tcBorders>
            <w:noWrap w:val="0"/>
            <w:vAlign w:val="center"/>
          </w:tcPr>
          <w:p w14:paraId="575141E9">
            <w:pPr>
              <w:jc w:val="center"/>
              <w:rPr>
                <w:rFonts w:eastAsia="楷体_GB2312"/>
                <w:szCs w:val="21"/>
              </w:rPr>
            </w:pPr>
            <w:r>
              <w:rPr>
                <w:rFonts w:eastAsia="楷体_GB2312"/>
                <w:szCs w:val="21"/>
              </w:rPr>
              <w:t>5.86</w:t>
            </w:r>
          </w:p>
        </w:tc>
      </w:tr>
      <w:tr w14:paraId="1F1DD933">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7D8E02F4">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37FD7D91">
            <w:pPr>
              <w:spacing w:line="0" w:lineRule="atLeast"/>
              <w:jc w:val="center"/>
              <w:rPr>
                <w:rFonts w:eastAsia="楷体_GB2312"/>
                <w:szCs w:val="21"/>
              </w:rPr>
            </w:pPr>
            <w:r>
              <w:rPr>
                <w:rFonts w:eastAsia="楷体_GB2312"/>
                <w:szCs w:val="21"/>
              </w:rPr>
              <w:t>其他区域因素状况</w:t>
            </w:r>
          </w:p>
        </w:tc>
        <w:tc>
          <w:tcPr>
            <w:tcW w:w="3245" w:type="dxa"/>
            <w:tcBorders>
              <w:top w:val="single" w:color="auto" w:sz="4" w:space="0"/>
              <w:left w:val="nil"/>
              <w:bottom w:val="single" w:color="auto" w:sz="4" w:space="0"/>
              <w:right w:val="single" w:color="auto" w:sz="4" w:space="0"/>
            </w:tcBorders>
            <w:noWrap w:val="0"/>
            <w:vAlign w:val="center"/>
          </w:tcPr>
          <w:p w14:paraId="20E0A552">
            <w:pPr>
              <w:jc w:val="center"/>
              <w:rPr>
                <w:rFonts w:eastAsia="楷体_GB2312"/>
                <w:szCs w:val="21"/>
              </w:rPr>
            </w:pPr>
            <w:r>
              <w:rPr>
                <w:rFonts w:eastAsia="楷体_GB2312"/>
                <w:szCs w:val="21"/>
              </w:rPr>
              <w:t>2.94</w:t>
            </w:r>
          </w:p>
        </w:tc>
      </w:tr>
      <w:tr w14:paraId="1F59F537">
        <w:tblPrEx>
          <w:tblCellMar>
            <w:top w:w="0" w:type="dxa"/>
            <w:left w:w="108" w:type="dxa"/>
            <w:bottom w:w="0" w:type="dxa"/>
            <w:right w:w="108" w:type="dxa"/>
          </w:tblCellMar>
        </w:tblPrEx>
        <w:trPr>
          <w:trHeight w:val="454" w:hRule="exact"/>
        </w:trPr>
        <w:tc>
          <w:tcPr>
            <w:tcW w:w="1008" w:type="dxa"/>
            <w:vMerge w:val="restart"/>
            <w:tcBorders>
              <w:top w:val="nil"/>
              <w:left w:val="single" w:color="auto" w:sz="4" w:space="0"/>
              <w:bottom w:val="single" w:color="auto" w:sz="4" w:space="0"/>
              <w:right w:val="single" w:color="auto" w:sz="4" w:space="0"/>
            </w:tcBorders>
            <w:noWrap/>
            <w:vAlign w:val="center"/>
          </w:tcPr>
          <w:p w14:paraId="13E4FF4B">
            <w:pPr>
              <w:spacing w:line="0" w:lineRule="atLeast"/>
              <w:jc w:val="center"/>
              <w:rPr>
                <w:rFonts w:eastAsia="楷体_GB2312"/>
                <w:szCs w:val="21"/>
              </w:rPr>
            </w:pPr>
            <w:r>
              <w:rPr>
                <w:rFonts w:eastAsia="楷体_GB2312"/>
                <w:szCs w:val="21"/>
              </w:rPr>
              <w:t>个</w:t>
            </w:r>
          </w:p>
          <w:p w14:paraId="3659892A">
            <w:pPr>
              <w:spacing w:line="0" w:lineRule="atLeast"/>
              <w:jc w:val="center"/>
              <w:rPr>
                <w:rFonts w:eastAsia="楷体_GB2312"/>
                <w:szCs w:val="21"/>
              </w:rPr>
            </w:pPr>
            <w:r>
              <w:rPr>
                <w:rFonts w:eastAsia="楷体_GB2312"/>
                <w:szCs w:val="21"/>
              </w:rPr>
              <w:t>别</w:t>
            </w:r>
          </w:p>
          <w:p w14:paraId="6473526B">
            <w:pPr>
              <w:spacing w:line="0" w:lineRule="atLeast"/>
              <w:jc w:val="center"/>
              <w:rPr>
                <w:rFonts w:eastAsia="楷体_GB2312"/>
                <w:szCs w:val="21"/>
              </w:rPr>
            </w:pPr>
            <w:r>
              <w:rPr>
                <w:rFonts w:eastAsia="楷体_GB2312"/>
                <w:szCs w:val="21"/>
              </w:rPr>
              <w:t>因</w:t>
            </w:r>
          </w:p>
          <w:p w14:paraId="2978867D">
            <w:pPr>
              <w:spacing w:line="0" w:lineRule="atLeast"/>
              <w:jc w:val="center"/>
              <w:rPr>
                <w:rFonts w:eastAsia="楷体_GB2312"/>
                <w:szCs w:val="21"/>
              </w:rPr>
            </w:pPr>
            <w:r>
              <w:rPr>
                <w:rFonts w:eastAsia="楷体_GB2312"/>
                <w:szCs w:val="21"/>
              </w:rPr>
              <w:t>素</w:t>
            </w:r>
          </w:p>
        </w:tc>
        <w:tc>
          <w:tcPr>
            <w:tcW w:w="4819" w:type="dxa"/>
            <w:gridSpan w:val="3"/>
            <w:tcBorders>
              <w:top w:val="single" w:color="auto" w:sz="4" w:space="0"/>
              <w:left w:val="nil"/>
              <w:bottom w:val="single" w:color="auto" w:sz="4" w:space="0"/>
              <w:right w:val="single" w:color="auto" w:sz="4" w:space="0"/>
            </w:tcBorders>
            <w:noWrap/>
            <w:vAlign w:val="center"/>
          </w:tcPr>
          <w:p w14:paraId="156778BC">
            <w:pPr>
              <w:spacing w:line="0" w:lineRule="atLeast"/>
              <w:jc w:val="center"/>
              <w:rPr>
                <w:rFonts w:eastAsia="楷体_GB2312"/>
                <w:szCs w:val="21"/>
              </w:rPr>
            </w:pPr>
            <w:r>
              <w:rPr>
                <w:rFonts w:eastAsia="楷体_GB2312"/>
                <w:szCs w:val="21"/>
              </w:rPr>
              <w:t>宗地形状</w:t>
            </w:r>
          </w:p>
        </w:tc>
        <w:tc>
          <w:tcPr>
            <w:tcW w:w="3245" w:type="dxa"/>
            <w:tcBorders>
              <w:top w:val="single" w:color="auto" w:sz="4" w:space="0"/>
              <w:left w:val="nil"/>
              <w:bottom w:val="single" w:color="auto" w:sz="4" w:space="0"/>
              <w:right w:val="single" w:color="auto" w:sz="4" w:space="0"/>
            </w:tcBorders>
            <w:noWrap w:val="0"/>
            <w:vAlign w:val="center"/>
          </w:tcPr>
          <w:p w14:paraId="5653971D">
            <w:pPr>
              <w:jc w:val="center"/>
              <w:rPr>
                <w:rFonts w:eastAsia="楷体_GB2312"/>
                <w:szCs w:val="21"/>
              </w:rPr>
            </w:pPr>
            <w:r>
              <w:rPr>
                <w:rFonts w:eastAsia="楷体_GB2312"/>
                <w:szCs w:val="21"/>
              </w:rPr>
              <w:t>3.43</w:t>
            </w:r>
          </w:p>
        </w:tc>
      </w:tr>
      <w:tr w14:paraId="312CD034">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48A7B3CB">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061EA4CB">
            <w:pPr>
              <w:spacing w:line="0" w:lineRule="atLeast"/>
              <w:jc w:val="center"/>
              <w:rPr>
                <w:rFonts w:eastAsia="楷体_GB2312"/>
                <w:szCs w:val="21"/>
              </w:rPr>
            </w:pPr>
            <w:r>
              <w:rPr>
                <w:rFonts w:eastAsia="楷体_GB2312"/>
                <w:szCs w:val="21"/>
              </w:rPr>
              <w:t>宗地面积</w:t>
            </w:r>
          </w:p>
        </w:tc>
        <w:tc>
          <w:tcPr>
            <w:tcW w:w="3245" w:type="dxa"/>
            <w:tcBorders>
              <w:top w:val="single" w:color="auto" w:sz="4" w:space="0"/>
              <w:left w:val="nil"/>
              <w:bottom w:val="single" w:color="auto" w:sz="4" w:space="0"/>
              <w:right w:val="single" w:color="auto" w:sz="4" w:space="0"/>
            </w:tcBorders>
            <w:noWrap w:val="0"/>
            <w:vAlign w:val="center"/>
          </w:tcPr>
          <w:p w14:paraId="66B02422">
            <w:pPr>
              <w:jc w:val="center"/>
              <w:rPr>
                <w:rFonts w:eastAsia="楷体_GB2312"/>
                <w:szCs w:val="21"/>
              </w:rPr>
            </w:pPr>
            <w:r>
              <w:rPr>
                <w:rFonts w:eastAsia="楷体_GB2312"/>
                <w:szCs w:val="21"/>
              </w:rPr>
              <w:t>3.01</w:t>
            </w:r>
          </w:p>
        </w:tc>
      </w:tr>
      <w:tr w14:paraId="6CD29D10">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518FE212">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165C26C7">
            <w:pPr>
              <w:spacing w:line="0" w:lineRule="atLeast"/>
              <w:jc w:val="center"/>
              <w:rPr>
                <w:rFonts w:eastAsia="楷体_GB2312"/>
                <w:szCs w:val="21"/>
              </w:rPr>
            </w:pPr>
            <w:r>
              <w:rPr>
                <w:rFonts w:eastAsia="楷体_GB2312"/>
                <w:szCs w:val="21"/>
              </w:rPr>
              <w:t>临街状况</w:t>
            </w:r>
          </w:p>
        </w:tc>
        <w:tc>
          <w:tcPr>
            <w:tcW w:w="3245" w:type="dxa"/>
            <w:tcBorders>
              <w:top w:val="single" w:color="auto" w:sz="4" w:space="0"/>
              <w:left w:val="nil"/>
              <w:bottom w:val="single" w:color="auto" w:sz="4" w:space="0"/>
              <w:right w:val="single" w:color="auto" w:sz="4" w:space="0"/>
            </w:tcBorders>
            <w:noWrap w:val="0"/>
            <w:vAlign w:val="center"/>
          </w:tcPr>
          <w:p w14:paraId="5E139DFA">
            <w:pPr>
              <w:jc w:val="center"/>
              <w:rPr>
                <w:rFonts w:eastAsia="楷体_GB2312"/>
                <w:szCs w:val="21"/>
              </w:rPr>
            </w:pPr>
            <w:r>
              <w:rPr>
                <w:rFonts w:eastAsia="楷体_GB2312"/>
                <w:szCs w:val="21"/>
              </w:rPr>
              <w:t>3.13</w:t>
            </w:r>
          </w:p>
        </w:tc>
      </w:tr>
      <w:tr w14:paraId="73CFA5D4">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565E98A1">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3E97CBAE">
            <w:pPr>
              <w:spacing w:line="0" w:lineRule="atLeast"/>
              <w:jc w:val="center"/>
              <w:rPr>
                <w:rFonts w:eastAsia="楷体_GB2312"/>
                <w:szCs w:val="21"/>
              </w:rPr>
            </w:pPr>
            <w:r>
              <w:rPr>
                <w:rFonts w:eastAsia="楷体_GB2312"/>
                <w:szCs w:val="21"/>
              </w:rPr>
              <w:t>规划限制</w:t>
            </w:r>
          </w:p>
        </w:tc>
        <w:tc>
          <w:tcPr>
            <w:tcW w:w="3245" w:type="dxa"/>
            <w:tcBorders>
              <w:top w:val="single" w:color="auto" w:sz="4" w:space="0"/>
              <w:left w:val="nil"/>
              <w:bottom w:val="single" w:color="auto" w:sz="4" w:space="0"/>
              <w:right w:val="single" w:color="auto" w:sz="4" w:space="0"/>
            </w:tcBorders>
            <w:noWrap w:val="0"/>
            <w:vAlign w:val="center"/>
          </w:tcPr>
          <w:p w14:paraId="6DD7ADF8">
            <w:pPr>
              <w:jc w:val="center"/>
              <w:rPr>
                <w:rFonts w:eastAsia="楷体_GB2312"/>
                <w:szCs w:val="21"/>
              </w:rPr>
            </w:pPr>
            <w:r>
              <w:rPr>
                <w:rFonts w:eastAsia="楷体_GB2312"/>
                <w:szCs w:val="21"/>
              </w:rPr>
              <w:t>4.32</w:t>
            </w:r>
          </w:p>
        </w:tc>
      </w:tr>
      <w:tr w14:paraId="689D0D34">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0E8A88C0">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2CF8C1E8">
            <w:pPr>
              <w:spacing w:line="0" w:lineRule="atLeast"/>
              <w:jc w:val="center"/>
              <w:rPr>
                <w:rFonts w:eastAsia="楷体_GB2312"/>
                <w:szCs w:val="21"/>
              </w:rPr>
            </w:pPr>
            <w:r>
              <w:rPr>
                <w:rFonts w:eastAsia="楷体_GB2312"/>
                <w:szCs w:val="21"/>
              </w:rPr>
              <w:t>宗地基础设施状况</w:t>
            </w:r>
          </w:p>
        </w:tc>
        <w:tc>
          <w:tcPr>
            <w:tcW w:w="3245" w:type="dxa"/>
            <w:tcBorders>
              <w:top w:val="single" w:color="auto" w:sz="4" w:space="0"/>
              <w:left w:val="nil"/>
              <w:bottom w:val="single" w:color="auto" w:sz="4" w:space="0"/>
              <w:right w:val="single" w:color="auto" w:sz="4" w:space="0"/>
            </w:tcBorders>
            <w:noWrap w:val="0"/>
            <w:vAlign w:val="center"/>
          </w:tcPr>
          <w:p w14:paraId="7FD1D156">
            <w:pPr>
              <w:jc w:val="center"/>
              <w:rPr>
                <w:rFonts w:eastAsia="楷体_GB2312"/>
                <w:szCs w:val="21"/>
              </w:rPr>
            </w:pPr>
            <w:r>
              <w:rPr>
                <w:rFonts w:eastAsia="楷体_GB2312"/>
                <w:szCs w:val="21"/>
              </w:rPr>
              <w:t>5.21</w:t>
            </w:r>
          </w:p>
        </w:tc>
      </w:tr>
      <w:tr w14:paraId="67A9C52B">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51FDA18B">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0004C7D8">
            <w:pPr>
              <w:spacing w:line="0" w:lineRule="atLeast"/>
              <w:jc w:val="center"/>
              <w:rPr>
                <w:rFonts w:eastAsia="楷体_GB2312"/>
                <w:szCs w:val="21"/>
              </w:rPr>
            </w:pPr>
            <w:r>
              <w:rPr>
                <w:rFonts w:eastAsia="楷体_GB2312"/>
                <w:szCs w:val="21"/>
              </w:rPr>
              <w:t>地上建筑物状况</w:t>
            </w:r>
          </w:p>
        </w:tc>
        <w:tc>
          <w:tcPr>
            <w:tcW w:w="3245" w:type="dxa"/>
            <w:tcBorders>
              <w:top w:val="single" w:color="auto" w:sz="4" w:space="0"/>
              <w:left w:val="nil"/>
              <w:bottom w:val="single" w:color="auto" w:sz="4" w:space="0"/>
              <w:right w:val="single" w:color="auto" w:sz="4" w:space="0"/>
            </w:tcBorders>
            <w:noWrap w:val="0"/>
            <w:vAlign w:val="center"/>
          </w:tcPr>
          <w:p w14:paraId="6FF2518B">
            <w:pPr>
              <w:jc w:val="center"/>
              <w:rPr>
                <w:rFonts w:eastAsia="楷体_GB2312"/>
                <w:szCs w:val="21"/>
              </w:rPr>
            </w:pPr>
            <w:r>
              <w:rPr>
                <w:rFonts w:eastAsia="楷体_GB2312"/>
                <w:szCs w:val="21"/>
              </w:rPr>
              <w:t>3.21</w:t>
            </w:r>
          </w:p>
        </w:tc>
      </w:tr>
      <w:tr w14:paraId="35AEA6AD">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1EB392D3">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3AE3233C">
            <w:pPr>
              <w:spacing w:line="0" w:lineRule="atLeast"/>
              <w:jc w:val="center"/>
              <w:rPr>
                <w:rFonts w:eastAsia="楷体_GB2312"/>
                <w:szCs w:val="21"/>
              </w:rPr>
            </w:pPr>
            <w:r>
              <w:rPr>
                <w:rFonts w:eastAsia="楷体_GB2312"/>
                <w:szCs w:val="21"/>
              </w:rPr>
              <w:t>距商服中心距离</w:t>
            </w:r>
          </w:p>
        </w:tc>
        <w:tc>
          <w:tcPr>
            <w:tcW w:w="3245" w:type="dxa"/>
            <w:tcBorders>
              <w:top w:val="single" w:color="auto" w:sz="4" w:space="0"/>
              <w:left w:val="nil"/>
              <w:bottom w:val="single" w:color="auto" w:sz="4" w:space="0"/>
              <w:right w:val="single" w:color="auto" w:sz="4" w:space="0"/>
            </w:tcBorders>
            <w:noWrap w:val="0"/>
            <w:vAlign w:val="center"/>
          </w:tcPr>
          <w:p w14:paraId="00EF0877">
            <w:pPr>
              <w:jc w:val="center"/>
              <w:rPr>
                <w:rFonts w:eastAsia="楷体_GB2312"/>
                <w:szCs w:val="21"/>
              </w:rPr>
            </w:pPr>
            <w:r>
              <w:rPr>
                <w:rFonts w:eastAsia="楷体_GB2312"/>
                <w:szCs w:val="21"/>
              </w:rPr>
              <w:t>4.06</w:t>
            </w:r>
          </w:p>
        </w:tc>
      </w:tr>
      <w:tr w14:paraId="23B06AD7">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6699C7E5">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0"/>
            <w:vAlign w:val="center"/>
          </w:tcPr>
          <w:p w14:paraId="0ECF36B8">
            <w:pPr>
              <w:spacing w:line="0" w:lineRule="atLeast"/>
              <w:jc w:val="center"/>
              <w:rPr>
                <w:rFonts w:eastAsia="楷体_GB2312"/>
                <w:szCs w:val="21"/>
              </w:rPr>
            </w:pPr>
            <w:r>
              <w:rPr>
                <w:rFonts w:eastAsia="楷体_GB2312"/>
                <w:szCs w:val="21"/>
              </w:rPr>
              <w:t>距对外交通设施距离</w:t>
            </w:r>
          </w:p>
        </w:tc>
        <w:tc>
          <w:tcPr>
            <w:tcW w:w="3245" w:type="dxa"/>
            <w:tcBorders>
              <w:top w:val="single" w:color="auto" w:sz="4" w:space="0"/>
              <w:left w:val="nil"/>
              <w:bottom w:val="single" w:color="auto" w:sz="4" w:space="0"/>
              <w:right w:val="single" w:color="auto" w:sz="4" w:space="0"/>
            </w:tcBorders>
            <w:noWrap w:val="0"/>
            <w:vAlign w:val="center"/>
          </w:tcPr>
          <w:p w14:paraId="6E6C5AB3">
            <w:pPr>
              <w:jc w:val="center"/>
              <w:rPr>
                <w:rFonts w:eastAsia="楷体_GB2312"/>
                <w:szCs w:val="21"/>
              </w:rPr>
            </w:pPr>
            <w:r>
              <w:rPr>
                <w:rFonts w:eastAsia="楷体_GB2312"/>
                <w:szCs w:val="21"/>
              </w:rPr>
              <w:t>4.48</w:t>
            </w:r>
          </w:p>
        </w:tc>
      </w:tr>
      <w:tr w14:paraId="0A3FE24C">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58003F01">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000000" w:sz="4" w:space="0"/>
            </w:tcBorders>
            <w:noWrap/>
            <w:vAlign w:val="center"/>
          </w:tcPr>
          <w:p w14:paraId="0D5CDE4D">
            <w:pPr>
              <w:spacing w:line="0" w:lineRule="atLeast"/>
              <w:jc w:val="center"/>
              <w:rPr>
                <w:rFonts w:eastAsia="楷体_GB2312"/>
                <w:szCs w:val="21"/>
              </w:rPr>
            </w:pPr>
            <w:r>
              <w:rPr>
                <w:rFonts w:eastAsia="楷体_GB2312"/>
                <w:szCs w:val="21"/>
              </w:rPr>
              <w:t>接近公用设施程度</w:t>
            </w:r>
          </w:p>
        </w:tc>
        <w:tc>
          <w:tcPr>
            <w:tcW w:w="3245" w:type="dxa"/>
            <w:tcBorders>
              <w:top w:val="single" w:color="auto" w:sz="4" w:space="0"/>
              <w:left w:val="nil"/>
              <w:bottom w:val="single" w:color="auto" w:sz="4" w:space="0"/>
              <w:right w:val="single" w:color="000000" w:sz="4" w:space="0"/>
            </w:tcBorders>
            <w:noWrap w:val="0"/>
            <w:vAlign w:val="center"/>
          </w:tcPr>
          <w:p w14:paraId="4838FE50">
            <w:pPr>
              <w:jc w:val="center"/>
              <w:rPr>
                <w:rFonts w:eastAsia="楷体_GB2312"/>
                <w:szCs w:val="21"/>
              </w:rPr>
            </w:pPr>
            <w:r>
              <w:rPr>
                <w:rFonts w:eastAsia="楷体_GB2312"/>
                <w:szCs w:val="21"/>
              </w:rPr>
              <w:t>5.75</w:t>
            </w:r>
          </w:p>
        </w:tc>
      </w:tr>
      <w:tr w14:paraId="6724647A">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4545773C">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3B91DCC6">
            <w:pPr>
              <w:spacing w:line="0" w:lineRule="atLeast"/>
              <w:jc w:val="center"/>
              <w:rPr>
                <w:rFonts w:eastAsia="楷体_GB2312"/>
                <w:szCs w:val="21"/>
              </w:rPr>
            </w:pPr>
            <w:r>
              <w:rPr>
                <w:rFonts w:eastAsia="楷体_GB2312"/>
                <w:szCs w:val="21"/>
              </w:rPr>
              <w:t>相邻土地利用状况</w:t>
            </w:r>
          </w:p>
        </w:tc>
        <w:tc>
          <w:tcPr>
            <w:tcW w:w="3245" w:type="dxa"/>
            <w:tcBorders>
              <w:top w:val="single" w:color="auto" w:sz="4" w:space="0"/>
              <w:left w:val="nil"/>
              <w:bottom w:val="single" w:color="auto" w:sz="4" w:space="0"/>
              <w:right w:val="single" w:color="auto" w:sz="4" w:space="0"/>
            </w:tcBorders>
            <w:noWrap w:val="0"/>
            <w:vAlign w:val="center"/>
          </w:tcPr>
          <w:p w14:paraId="45380621">
            <w:pPr>
              <w:jc w:val="center"/>
              <w:rPr>
                <w:rFonts w:eastAsia="楷体_GB2312"/>
                <w:szCs w:val="21"/>
              </w:rPr>
            </w:pPr>
            <w:r>
              <w:rPr>
                <w:rFonts w:eastAsia="楷体_GB2312"/>
                <w:szCs w:val="21"/>
              </w:rPr>
              <w:t>3.23</w:t>
            </w:r>
          </w:p>
        </w:tc>
      </w:tr>
      <w:tr w14:paraId="6F7B0A81">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01559155">
            <w:pPr>
              <w:spacing w:line="0" w:lineRule="atLeast"/>
              <w:jc w:val="center"/>
              <w:rPr>
                <w:rFonts w:eastAsia="楷体_GB2312"/>
                <w:szCs w:val="21"/>
              </w:rPr>
            </w:pPr>
          </w:p>
        </w:tc>
        <w:tc>
          <w:tcPr>
            <w:tcW w:w="4819" w:type="dxa"/>
            <w:gridSpan w:val="3"/>
            <w:tcBorders>
              <w:top w:val="single" w:color="auto" w:sz="4" w:space="0"/>
              <w:left w:val="nil"/>
              <w:bottom w:val="single" w:color="auto" w:sz="4" w:space="0"/>
              <w:right w:val="single" w:color="auto" w:sz="4" w:space="0"/>
            </w:tcBorders>
            <w:noWrap/>
            <w:vAlign w:val="center"/>
          </w:tcPr>
          <w:p w14:paraId="1A8C28EF">
            <w:pPr>
              <w:spacing w:line="0" w:lineRule="atLeast"/>
              <w:jc w:val="center"/>
              <w:rPr>
                <w:rFonts w:eastAsia="楷体_GB2312"/>
                <w:szCs w:val="21"/>
              </w:rPr>
            </w:pPr>
            <w:r>
              <w:rPr>
                <w:rFonts w:eastAsia="楷体_GB2312"/>
                <w:szCs w:val="21"/>
              </w:rPr>
              <w:t>其他个别因素状况</w:t>
            </w:r>
          </w:p>
        </w:tc>
        <w:tc>
          <w:tcPr>
            <w:tcW w:w="3245" w:type="dxa"/>
            <w:tcBorders>
              <w:top w:val="single" w:color="auto" w:sz="4" w:space="0"/>
              <w:left w:val="nil"/>
              <w:bottom w:val="single" w:color="auto" w:sz="4" w:space="0"/>
              <w:right w:val="single" w:color="auto" w:sz="4" w:space="0"/>
            </w:tcBorders>
            <w:noWrap w:val="0"/>
            <w:vAlign w:val="center"/>
          </w:tcPr>
          <w:p w14:paraId="1ED086A7">
            <w:pPr>
              <w:jc w:val="center"/>
              <w:rPr>
                <w:rFonts w:eastAsia="楷体_GB2312"/>
                <w:szCs w:val="21"/>
              </w:rPr>
            </w:pPr>
            <w:r>
              <w:rPr>
                <w:rFonts w:eastAsia="楷体_GB2312"/>
                <w:szCs w:val="21"/>
              </w:rPr>
              <w:t>2.85</w:t>
            </w:r>
          </w:p>
        </w:tc>
      </w:tr>
      <w:tr w14:paraId="11E5175B">
        <w:tblPrEx>
          <w:tblCellMar>
            <w:top w:w="0" w:type="dxa"/>
            <w:left w:w="108" w:type="dxa"/>
            <w:bottom w:w="0" w:type="dxa"/>
            <w:right w:w="108" w:type="dxa"/>
          </w:tblCellMar>
        </w:tblPrEx>
        <w:trPr>
          <w:trHeight w:val="454" w:hRule="exact"/>
        </w:trPr>
        <w:tc>
          <w:tcPr>
            <w:tcW w:w="5827" w:type="dxa"/>
            <w:gridSpan w:val="4"/>
            <w:tcBorders>
              <w:top w:val="single" w:color="auto" w:sz="4" w:space="0"/>
              <w:left w:val="single" w:color="auto" w:sz="4" w:space="0"/>
              <w:bottom w:val="single" w:color="auto" w:sz="4" w:space="0"/>
              <w:right w:val="single" w:color="auto" w:sz="4" w:space="0"/>
            </w:tcBorders>
            <w:noWrap w:val="0"/>
            <w:vAlign w:val="center"/>
          </w:tcPr>
          <w:p w14:paraId="03F665C5">
            <w:pPr>
              <w:spacing w:line="0" w:lineRule="atLeast"/>
              <w:jc w:val="center"/>
              <w:rPr>
                <w:rFonts w:eastAsia="楷体_GB2312"/>
                <w:szCs w:val="21"/>
              </w:rPr>
            </w:pPr>
            <w:r>
              <w:rPr>
                <w:rFonts w:eastAsia="楷体_GB2312"/>
                <w:szCs w:val="21"/>
              </w:rPr>
              <w:t>合   计</w:t>
            </w:r>
          </w:p>
        </w:tc>
        <w:tc>
          <w:tcPr>
            <w:tcW w:w="3245" w:type="dxa"/>
            <w:tcBorders>
              <w:top w:val="single" w:color="auto" w:sz="4" w:space="0"/>
              <w:left w:val="nil"/>
              <w:bottom w:val="single" w:color="auto" w:sz="4" w:space="0"/>
              <w:right w:val="single" w:color="auto" w:sz="4" w:space="0"/>
            </w:tcBorders>
            <w:noWrap w:val="0"/>
            <w:vAlign w:val="center"/>
          </w:tcPr>
          <w:p w14:paraId="74B2BE0C">
            <w:pPr>
              <w:spacing w:line="0" w:lineRule="atLeast"/>
              <w:jc w:val="center"/>
              <w:rPr>
                <w:rFonts w:eastAsia="楷体_GB2312"/>
                <w:szCs w:val="21"/>
              </w:rPr>
            </w:pPr>
            <w:r>
              <w:rPr>
                <w:rFonts w:eastAsia="楷体_GB2312"/>
                <w:szCs w:val="21"/>
              </w:rPr>
              <w:fldChar w:fldCharType="begin"/>
            </w:r>
            <w:r>
              <w:rPr>
                <w:rFonts w:eastAsia="楷体_GB2312"/>
                <w:szCs w:val="21"/>
              </w:rPr>
              <w:instrText xml:space="preserve"> =SUM(ABOVE) </w:instrText>
            </w:r>
            <w:r>
              <w:rPr>
                <w:rFonts w:eastAsia="楷体_GB2312"/>
                <w:szCs w:val="21"/>
              </w:rPr>
              <w:fldChar w:fldCharType="separate"/>
            </w:r>
            <w:r>
              <w:rPr>
                <w:rFonts w:eastAsia="楷体_GB2312"/>
                <w:szCs w:val="21"/>
              </w:rPr>
              <w:t>100</w:t>
            </w:r>
            <w:r>
              <w:rPr>
                <w:rFonts w:eastAsia="楷体_GB2312"/>
                <w:szCs w:val="21"/>
              </w:rPr>
              <w:fldChar w:fldCharType="end"/>
            </w:r>
          </w:p>
        </w:tc>
      </w:tr>
    </w:tbl>
    <w:p w14:paraId="19D9A882">
      <w:pPr>
        <w:pStyle w:val="20"/>
        <w:spacing w:before="120" w:beforeLines="50" w:line="480" w:lineRule="exact"/>
        <w:rPr>
          <w:rFonts w:ascii="Times New Roman" w:hAnsi="Times New Roman" w:cs="Times New Roman"/>
          <w:b/>
          <w:sz w:val="28"/>
        </w:rPr>
      </w:pPr>
    </w:p>
    <w:p w14:paraId="1B51575F">
      <w:pPr>
        <w:spacing w:before="120" w:beforeLines="50" w:line="480" w:lineRule="exact"/>
        <w:jc w:val="center"/>
        <w:rPr>
          <w:rFonts w:eastAsia="黑体"/>
          <w:sz w:val="28"/>
          <w:szCs w:val="21"/>
        </w:rPr>
      </w:pPr>
      <w:r>
        <w:rPr>
          <w:b/>
          <w:sz w:val="28"/>
        </w:rPr>
        <w:br w:type="page"/>
      </w:r>
      <w:r>
        <w:rPr>
          <w:rFonts w:eastAsia="黑体"/>
          <w:sz w:val="28"/>
          <w:szCs w:val="21"/>
        </w:rPr>
        <w:t xml:space="preserve">表2-9-9  </w:t>
      </w:r>
      <w:r>
        <w:rPr>
          <w:rFonts w:eastAsia="黑体"/>
          <w:sz w:val="28"/>
        </w:rPr>
        <w:t>埇桥区</w:t>
      </w:r>
      <w:r>
        <w:rPr>
          <w:rFonts w:hint="eastAsia" w:eastAsia="黑体"/>
          <w:sz w:val="28"/>
        </w:rPr>
        <w:t>曹村开发区、家具产业园区、农业示范园区</w:t>
      </w:r>
      <w:r>
        <w:rPr>
          <w:rFonts w:hint="eastAsia" w:eastAsia="黑体"/>
          <w:sz w:val="28"/>
          <w:szCs w:val="21"/>
        </w:rPr>
        <w:t>区域</w:t>
      </w:r>
      <w:r>
        <w:rPr>
          <w:rFonts w:eastAsia="黑体"/>
          <w:sz w:val="28"/>
          <w:szCs w:val="21"/>
        </w:rPr>
        <w:t>宗地地价影响因素权重表</w:t>
      </w:r>
    </w:p>
    <w:tbl>
      <w:tblPr>
        <w:tblStyle w:val="38"/>
        <w:tblW w:w="9072" w:type="dxa"/>
        <w:tblInd w:w="93" w:type="dxa"/>
        <w:tblLayout w:type="autofit"/>
        <w:tblCellMar>
          <w:top w:w="0" w:type="dxa"/>
          <w:left w:w="108" w:type="dxa"/>
          <w:bottom w:w="0" w:type="dxa"/>
          <w:right w:w="108" w:type="dxa"/>
        </w:tblCellMar>
      </w:tblPr>
      <w:tblGrid>
        <w:gridCol w:w="1008"/>
        <w:gridCol w:w="4819"/>
        <w:gridCol w:w="3245"/>
      </w:tblGrid>
      <w:tr w14:paraId="0E7A5B5A">
        <w:tblPrEx>
          <w:tblCellMar>
            <w:top w:w="0" w:type="dxa"/>
            <w:left w:w="108" w:type="dxa"/>
            <w:bottom w:w="0" w:type="dxa"/>
            <w:right w:w="108" w:type="dxa"/>
          </w:tblCellMar>
        </w:tblPrEx>
        <w:trPr>
          <w:trHeight w:val="454" w:hRule="exact"/>
        </w:trPr>
        <w:tc>
          <w:tcPr>
            <w:tcW w:w="5827" w:type="dxa"/>
            <w:gridSpan w:val="2"/>
            <w:tcBorders>
              <w:top w:val="single" w:color="auto" w:sz="4" w:space="0"/>
              <w:left w:val="single" w:color="auto" w:sz="4" w:space="0"/>
              <w:bottom w:val="single" w:color="auto" w:sz="4" w:space="0"/>
              <w:right w:val="single" w:color="auto" w:sz="4" w:space="0"/>
            </w:tcBorders>
            <w:noWrap/>
            <w:vAlign w:val="center"/>
          </w:tcPr>
          <w:p w14:paraId="052C74D0">
            <w:pPr>
              <w:spacing w:line="0" w:lineRule="atLeast"/>
              <w:jc w:val="center"/>
              <w:rPr>
                <w:rFonts w:eastAsia="楷体_GB2312"/>
                <w:szCs w:val="21"/>
              </w:rPr>
            </w:pPr>
            <w:r>
              <w:rPr>
                <w:rFonts w:eastAsia="楷体_GB2312"/>
                <w:szCs w:val="21"/>
              </w:rPr>
              <w:t>影响因素</w:t>
            </w:r>
          </w:p>
        </w:tc>
        <w:tc>
          <w:tcPr>
            <w:tcW w:w="3245" w:type="dxa"/>
            <w:tcBorders>
              <w:top w:val="single" w:color="auto" w:sz="4" w:space="0"/>
              <w:left w:val="single" w:color="auto" w:sz="4" w:space="0"/>
              <w:bottom w:val="single" w:color="auto" w:sz="4" w:space="0"/>
              <w:right w:val="single" w:color="auto" w:sz="4" w:space="0"/>
            </w:tcBorders>
            <w:noWrap w:val="0"/>
            <w:vAlign w:val="center"/>
          </w:tcPr>
          <w:p w14:paraId="507FF104">
            <w:pPr>
              <w:spacing w:line="0" w:lineRule="atLeast"/>
              <w:jc w:val="center"/>
              <w:rPr>
                <w:rFonts w:eastAsia="楷体_GB2312"/>
                <w:szCs w:val="21"/>
              </w:rPr>
            </w:pPr>
            <w:r>
              <w:rPr>
                <w:rFonts w:eastAsia="楷体_GB2312"/>
                <w:szCs w:val="21"/>
              </w:rPr>
              <w:t>权重</w:t>
            </w:r>
          </w:p>
        </w:tc>
      </w:tr>
      <w:tr w14:paraId="229EB28A">
        <w:tblPrEx>
          <w:tblCellMar>
            <w:top w:w="0" w:type="dxa"/>
            <w:left w:w="108" w:type="dxa"/>
            <w:bottom w:w="0" w:type="dxa"/>
            <w:right w:w="108" w:type="dxa"/>
          </w:tblCellMar>
        </w:tblPrEx>
        <w:trPr>
          <w:trHeight w:val="454" w:hRule="exact"/>
        </w:trPr>
        <w:tc>
          <w:tcPr>
            <w:tcW w:w="1008" w:type="dxa"/>
            <w:vMerge w:val="restart"/>
            <w:tcBorders>
              <w:top w:val="nil"/>
              <w:left w:val="single" w:color="auto" w:sz="4" w:space="0"/>
              <w:bottom w:val="single" w:color="auto" w:sz="4" w:space="0"/>
              <w:right w:val="single" w:color="auto" w:sz="4" w:space="0"/>
            </w:tcBorders>
            <w:noWrap/>
            <w:vAlign w:val="center"/>
          </w:tcPr>
          <w:p w14:paraId="61684E99">
            <w:pPr>
              <w:spacing w:line="0" w:lineRule="atLeast"/>
              <w:jc w:val="center"/>
              <w:rPr>
                <w:rFonts w:eastAsia="楷体_GB2312"/>
                <w:szCs w:val="21"/>
              </w:rPr>
            </w:pPr>
            <w:r>
              <w:rPr>
                <w:rFonts w:eastAsia="楷体_GB2312"/>
                <w:szCs w:val="21"/>
              </w:rPr>
              <w:t>区</w:t>
            </w:r>
          </w:p>
          <w:p w14:paraId="7486C6A4">
            <w:pPr>
              <w:spacing w:line="0" w:lineRule="atLeast"/>
              <w:jc w:val="center"/>
              <w:rPr>
                <w:rFonts w:eastAsia="楷体_GB2312"/>
                <w:szCs w:val="21"/>
              </w:rPr>
            </w:pPr>
            <w:r>
              <w:rPr>
                <w:rFonts w:eastAsia="楷体_GB2312"/>
                <w:szCs w:val="21"/>
              </w:rPr>
              <w:t>域</w:t>
            </w:r>
          </w:p>
          <w:p w14:paraId="476ECCA6">
            <w:pPr>
              <w:spacing w:line="0" w:lineRule="atLeast"/>
              <w:jc w:val="center"/>
              <w:rPr>
                <w:rFonts w:eastAsia="楷体_GB2312"/>
                <w:szCs w:val="21"/>
              </w:rPr>
            </w:pPr>
            <w:r>
              <w:rPr>
                <w:rFonts w:eastAsia="楷体_GB2312"/>
                <w:szCs w:val="21"/>
              </w:rPr>
              <w:t>因</w:t>
            </w:r>
          </w:p>
          <w:p w14:paraId="544F41D3">
            <w:pPr>
              <w:spacing w:line="0" w:lineRule="atLeast"/>
              <w:jc w:val="center"/>
              <w:rPr>
                <w:rFonts w:eastAsia="楷体_GB2312"/>
                <w:szCs w:val="21"/>
              </w:rPr>
            </w:pPr>
            <w:r>
              <w:rPr>
                <w:rFonts w:eastAsia="楷体_GB2312"/>
                <w:szCs w:val="21"/>
              </w:rPr>
              <w:t>素</w:t>
            </w:r>
          </w:p>
        </w:tc>
        <w:tc>
          <w:tcPr>
            <w:tcW w:w="4819" w:type="dxa"/>
            <w:tcBorders>
              <w:top w:val="single" w:color="auto" w:sz="4" w:space="0"/>
              <w:left w:val="nil"/>
              <w:bottom w:val="single" w:color="auto" w:sz="4" w:space="0"/>
              <w:right w:val="single" w:color="auto" w:sz="4" w:space="0"/>
            </w:tcBorders>
            <w:noWrap/>
            <w:vAlign w:val="center"/>
          </w:tcPr>
          <w:p w14:paraId="094FE553">
            <w:pPr>
              <w:jc w:val="center"/>
              <w:rPr>
                <w:rFonts w:eastAsia="楷体_GB2312"/>
                <w:szCs w:val="21"/>
              </w:rPr>
            </w:pPr>
            <w:r>
              <w:rPr>
                <w:rFonts w:eastAsia="楷体_GB2312"/>
                <w:szCs w:val="21"/>
              </w:rPr>
              <w:t>自然条件</w:t>
            </w:r>
          </w:p>
        </w:tc>
        <w:tc>
          <w:tcPr>
            <w:tcW w:w="3245" w:type="dxa"/>
            <w:tcBorders>
              <w:top w:val="single" w:color="auto" w:sz="4" w:space="0"/>
              <w:left w:val="nil"/>
              <w:bottom w:val="single" w:color="auto" w:sz="4" w:space="0"/>
              <w:right w:val="single" w:color="auto" w:sz="4" w:space="0"/>
            </w:tcBorders>
            <w:noWrap w:val="0"/>
            <w:vAlign w:val="center"/>
          </w:tcPr>
          <w:p w14:paraId="4C7496F8">
            <w:pPr>
              <w:spacing w:line="0" w:lineRule="atLeast"/>
              <w:jc w:val="center"/>
              <w:rPr>
                <w:rFonts w:eastAsia="楷体_GB2312"/>
                <w:szCs w:val="21"/>
              </w:rPr>
            </w:pPr>
            <w:r>
              <w:rPr>
                <w:rFonts w:hint="eastAsia" w:eastAsia="楷体_GB2312"/>
                <w:szCs w:val="21"/>
              </w:rPr>
              <w:t>7.56</w:t>
            </w:r>
          </w:p>
        </w:tc>
      </w:tr>
      <w:tr w14:paraId="34926CDB">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2F933D17">
            <w:pPr>
              <w:spacing w:line="0" w:lineRule="atLeast"/>
              <w:jc w:val="center"/>
              <w:rPr>
                <w:rFonts w:eastAsia="楷体_GB2312"/>
                <w:szCs w:val="21"/>
              </w:rPr>
            </w:pPr>
          </w:p>
        </w:tc>
        <w:tc>
          <w:tcPr>
            <w:tcW w:w="4819" w:type="dxa"/>
            <w:tcBorders>
              <w:top w:val="single" w:color="auto" w:sz="4" w:space="0"/>
              <w:left w:val="nil"/>
              <w:bottom w:val="single" w:color="auto" w:sz="4" w:space="0"/>
              <w:right w:val="single" w:color="auto" w:sz="4" w:space="0"/>
            </w:tcBorders>
            <w:noWrap/>
            <w:vAlign w:val="center"/>
          </w:tcPr>
          <w:p w14:paraId="2B4976F9">
            <w:pPr>
              <w:jc w:val="center"/>
              <w:rPr>
                <w:rFonts w:eastAsia="楷体_GB2312"/>
                <w:szCs w:val="21"/>
              </w:rPr>
            </w:pPr>
            <w:r>
              <w:rPr>
                <w:rFonts w:eastAsia="楷体_GB2312"/>
                <w:szCs w:val="21"/>
              </w:rPr>
              <w:t>交通便捷程度</w:t>
            </w:r>
          </w:p>
        </w:tc>
        <w:tc>
          <w:tcPr>
            <w:tcW w:w="3245" w:type="dxa"/>
            <w:tcBorders>
              <w:top w:val="single" w:color="auto" w:sz="4" w:space="0"/>
              <w:left w:val="nil"/>
              <w:bottom w:val="single" w:color="auto" w:sz="4" w:space="0"/>
              <w:right w:val="single" w:color="auto" w:sz="4" w:space="0"/>
            </w:tcBorders>
            <w:noWrap w:val="0"/>
            <w:vAlign w:val="center"/>
          </w:tcPr>
          <w:p w14:paraId="14BA4647">
            <w:pPr>
              <w:spacing w:line="0" w:lineRule="atLeast"/>
              <w:jc w:val="center"/>
              <w:rPr>
                <w:rFonts w:eastAsia="楷体_GB2312"/>
                <w:szCs w:val="21"/>
              </w:rPr>
            </w:pPr>
            <w:r>
              <w:rPr>
                <w:rFonts w:hint="eastAsia" w:eastAsia="楷体_GB2312"/>
                <w:szCs w:val="21"/>
              </w:rPr>
              <w:t>6.83</w:t>
            </w:r>
          </w:p>
        </w:tc>
      </w:tr>
      <w:tr w14:paraId="0A4F6DE6">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1D03B061">
            <w:pPr>
              <w:spacing w:line="0" w:lineRule="atLeast"/>
              <w:jc w:val="center"/>
              <w:rPr>
                <w:rFonts w:eastAsia="楷体_GB2312"/>
                <w:szCs w:val="21"/>
              </w:rPr>
            </w:pPr>
          </w:p>
        </w:tc>
        <w:tc>
          <w:tcPr>
            <w:tcW w:w="4819" w:type="dxa"/>
            <w:tcBorders>
              <w:top w:val="single" w:color="auto" w:sz="4" w:space="0"/>
              <w:left w:val="nil"/>
              <w:bottom w:val="single" w:color="auto" w:sz="4" w:space="0"/>
              <w:right w:val="single" w:color="auto" w:sz="4" w:space="0"/>
            </w:tcBorders>
            <w:noWrap/>
            <w:vAlign w:val="center"/>
          </w:tcPr>
          <w:p w14:paraId="0301A2EB">
            <w:pPr>
              <w:jc w:val="center"/>
              <w:rPr>
                <w:rFonts w:eastAsia="楷体_GB2312"/>
                <w:szCs w:val="21"/>
              </w:rPr>
            </w:pPr>
            <w:r>
              <w:rPr>
                <w:rFonts w:eastAsia="楷体_GB2312"/>
                <w:szCs w:val="21"/>
              </w:rPr>
              <w:t>基础设施状况</w:t>
            </w:r>
          </w:p>
        </w:tc>
        <w:tc>
          <w:tcPr>
            <w:tcW w:w="3245" w:type="dxa"/>
            <w:tcBorders>
              <w:top w:val="single" w:color="auto" w:sz="4" w:space="0"/>
              <w:left w:val="nil"/>
              <w:bottom w:val="single" w:color="auto" w:sz="4" w:space="0"/>
              <w:right w:val="single" w:color="auto" w:sz="4" w:space="0"/>
            </w:tcBorders>
            <w:noWrap w:val="0"/>
            <w:vAlign w:val="center"/>
          </w:tcPr>
          <w:p w14:paraId="3B3DA275">
            <w:pPr>
              <w:spacing w:line="0" w:lineRule="atLeast"/>
              <w:jc w:val="center"/>
              <w:rPr>
                <w:rFonts w:eastAsia="楷体_GB2312"/>
                <w:szCs w:val="21"/>
              </w:rPr>
            </w:pPr>
            <w:r>
              <w:rPr>
                <w:rFonts w:hint="eastAsia" w:eastAsia="楷体_GB2312"/>
                <w:szCs w:val="21"/>
              </w:rPr>
              <w:t>8.43</w:t>
            </w:r>
          </w:p>
        </w:tc>
      </w:tr>
      <w:tr w14:paraId="34C68874">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3F2D5788">
            <w:pPr>
              <w:spacing w:line="0" w:lineRule="atLeast"/>
              <w:jc w:val="center"/>
              <w:rPr>
                <w:rFonts w:eastAsia="楷体_GB2312"/>
                <w:szCs w:val="21"/>
              </w:rPr>
            </w:pPr>
          </w:p>
        </w:tc>
        <w:tc>
          <w:tcPr>
            <w:tcW w:w="4819" w:type="dxa"/>
            <w:tcBorders>
              <w:top w:val="single" w:color="auto" w:sz="4" w:space="0"/>
              <w:left w:val="nil"/>
              <w:bottom w:val="single" w:color="auto" w:sz="4" w:space="0"/>
              <w:right w:val="single" w:color="auto" w:sz="4" w:space="0"/>
            </w:tcBorders>
            <w:noWrap/>
            <w:vAlign w:val="center"/>
          </w:tcPr>
          <w:p w14:paraId="596266BB">
            <w:pPr>
              <w:jc w:val="center"/>
              <w:rPr>
                <w:rFonts w:eastAsia="楷体_GB2312"/>
                <w:szCs w:val="21"/>
              </w:rPr>
            </w:pPr>
            <w:r>
              <w:rPr>
                <w:rFonts w:eastAsia="楷体_GB2312"/>
                <w:szCs w:val="21"/>
              </w:rPr>
              <w:t>城镇规划限制</w:t>
            </w:r>
          </w:p>
        </w:tc>
        <w:tc>
          <w:tcPr>
            <w:tcW w:w="3245" w:type="dxa"/>
            <w:tcBorders>
              <w:top w:val="single" w:color="auto" w:sz="4" w:space="0"/>
              <w:left w:val="nil"/>
              <w:bottom w:val="single" w:color="auto" w:sz="4" w:space="0"/>
              <w:right w:val="single" w:color="auto" w:sz="4" w:space="0"/>
            </w:tcBorders>
            <w:noWrap w:val="0"/>
            <w:vAlign w:val="center"/>
          </w:tcPr>
          <w:p w14:paraId="4FA30931">
            <w:pPr>
              <w:spacing w:line="0" w:lineRule="atLeast"/>
              <w:jc w:val="center"/>
              <w:rPr>
                <w:rFonts w:eastAsia="楷体_GB2312"/>
                <w:szCs w:val="21"/>
              </w:rPr>
            </w:pPr>
            <w:r>
              <w:rPr>
                <w:rFonts w:hint="eastAsia" w:eastAsia="楷体_GB2312"/>
                <w:szCs w:val="21"/>
              </w:rPr>
              <w:t>6.69</w:t>
            </w:r>
          </w:p>
        </w:tc>
      </w:tr>
      <w:tr w14:paraId="0AAF4626">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4DEB2A10">
            <w:pPr>
              <w:spacing w:line="0" w:lineRule="atLeast"/>
              <w:jc w:val="center"/>
              <w:rPr>
                <w:rFonts w:eastAsia="楷体_GB2312"/>
                <w:szCs w:val="21"/>
              </w:rPr>
            </w:pPr>
          </w:p>
        </w:tc>
        <w:tc>
          <w:tcPr>
            <w:tcW w:w="4819" w:type="dxa"/>
            <w:tcBorders>
              <w:top w:val="single" w:color="auto" w:sz="4" w:space="0"/>
              <w:left w:val="nil"/>
              <w:bottom w:val="single" w:color="auto" w:sz="4" w:space="0"/>
              <w:right w:val="single" w:color="auto" w:sz="4" w:space="0"/>
            </w:tcBorders>
            <w:noWrap/>
            <w:vAlign w:val="center"/>
          </w:tcPr>
          <w:p w14:paraId="776CA2FB">
            <w:pPr>
              <w:jc w:val="center"/>
              <w:rPr>
                <w:rFonts w:eastAsia="楷体_GB2312"/>
                <w:szCs w:val="21"/>
              </w:rPr>
            </w:pPr>
            <w:r>
              <w:rPr>
                <w:rFonts w:eastAsia="楷体_GB2312"/>
                <w:szCs w:val="21"/>
              </w:rPr>
              <w:t>环境质量状况</w:t>
            </w:r>
          </w:p>
        </w:tc>
        <w:tc>
          <w:tcPr>
            <w:tcW w:w="3245" w:type="dxa"/>
            <w:tcBorders>
              <w:top w:val="single" w:color="auto" w:sz="4" w:space="0"/>
              <w:left w:val="nil"/>
              <w:bottom w:val="single" w:color="auto" w:sz="4" w:space="0"/>
              <w:right w:val="single" w:color="auto" w:sz="4" w:space="0"/>
            </w:tcBorders>
            <w:noWrap w:val="0"/>
            <w:vAlign w:val="center"/>
          </w:tcPr>
          <w:p w14:paraId="27EA2B8B">
            <w:pPr>
              <w:spacing w:line="0" w:lineRule="atLeast"/>
              <w:jc w:val="center"/>
              <w:rPr>
                <w:rFonts w:eastAsia="楷体_GB2312"/>
                <w:szCs w:val="21"/>
              </w:rPr>
            </w:pPr>
            <w:r>
              <w:rPr>
                <w:rFonts w:hint="eastAsia" w:eastAsia="楷体_GB2312"/>
                <w:szCs w:val="21"/>
              </w:rPr>
              <w:t>9.66</w:t>
            </w:r>
          </w:p>
        </w:tc>
      </w:tr>
      <w:tr w14:paraId="12824D93">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04A9679F">
            <w:pPr>
              <w:spacing w:line="0" w:lineRule="atLeast"/>
              <w:jc w:val="center"/>
              <w:rPr>
                <w:rFonts w:eastAsia="楷体_GB2312"/>
                <w:szCs w:val="21"/>
              </w:rPr>
            </w:pPr>
          </w:p>
        </w:tc>
        <w:tc>
          <w:tcPr>
            <w:tcW w:w="4819" w:type="dxa"/>
            <w:tcBorders>
              <w:top w:val="single" w:color="auto" w:sz="4" w:space="0"/>
              <w:left w:val="nil"/>
              <w:bottom w:val="single" w:color="auto" w:sz="4" w:space="0"/>
              <w:right w:val="single" w:color="auto" w:sz="4" w:space="0"/>
            </w:tcBorders>
            <w:noWrap/>
            <w:vAlign w:val="center"/>
          </w:tcPr>
          <w:p w14:paraId="40436A2B">
            <w:pPr>
              <w:jc w:val="center"/>
              <w:rPr>
                <w:rFonts w:eastAsia="楷体_GB2312"/>
                <w:szCs w:val="21"/>
              </w:rPr>
            </w:pPr>
            <w:r>
              <w:rPr>
                <w:rFonts w:eastAsia="楷体_GB2312"/>
                <w:szCs w:val="21"/>
              </w:rPr>
              <w:t>景观条件因素</w:t>
            </w:r>
          </w:p>
        </w:tc>
        <w:tc>
          <w:tcPr>
            <w:tcW w:w="3245" w:type="dxa"/>
            <w:tcBorders>
              <w:top w:val="single" w:color="auto" w:sz="4" w:space="0"/>
              <w:left w:val="nil"/>
              <w:bottom w:val="single" w:color="auto" w:sz="4" w:space="0"/>
              <w:right w:val="single" w:color="auto" w:sz="4" w:space="0"/>
            </w:tcBorders>
            <w:noWrap w:val="0"/>
            <w:vAlign w:val="center"/>
          </w:tcPr>
          <w:p w14:paraId="06E88D26">
            <w:pPr>
              <w:spacing w:line="0" w:lineRule="atLeast"/>
              <w:jc w:val="center"/>
              <w:rPr>
                <w:rFonts w:eastAsia="楷体_GB2312"/>
                <w:szCs w:val="21"/>
              </w:rPr>
            </w:pPr>
            <w:r>
              <w:rPr>
                <w:rFonts w:hint="eastAsia" w:eastAsia="楷体_GB2312"/>
                <w:szCs w:val="21"/>
              </w:rPr>
              <w:t>10.26</w:t>
            </w:r>
          </w:p>
        </w:tc>
      </w:tr>
      <w:tr w14:paraId="29286E53">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4A92BBBE">
            <w:pPr>
              <w:spacing w:line="0" w:lineRule="atLeast"/>
              <w:jc w:val="center"/>
              <w:rPr>
                <w:rFonts w:eastAsia="楷体_GB2312"/>
                <w:szCs w:val="21"/>
              </w:rPr>
            </w:pPr>
          </w:p>
        </w:tc>
        <w:tc>
          <w:tcPr>
            <w:tcW w:w="4819" w:type="dxa"/>
            <w:tcBorders>
              <w:top w:val="single" w:color="auto" w:sz="4" w:space="0"/>
              <w:left w:val="nil"/>
              <w:bottom w:val="single" w:color="auto" w:sz="4" w:space="0"/>
              <w:right w:val="single" w:color="auto" w:sz="4" w:space="0"/>
            </w:tcBorders>
            <w:noWrap/>
            <w:vAlign w:val="center"/>
          </w:tcPr>
          <w:p w14:paraId="3422E231">
            <w:pPr>
              <w:jc w:val="center"/>
              <w:rPr>
                <w:rFonts w:eastAsia="楷体_GB2312"/>
                <w:szCs w:val="21"/>
              </w:rPr>
            </w:pPr>
            <w:r>
              <w:rPr>
                <w:rFonts w:eastAsia="楷体_GB2312"/>
                <w:szCs w:val="21"/>
              </w:rPr>
              <w:t>其他区域因素状况</w:t>
            </w:r>
          </w:p>
        </w:tc>
        <w:tc>
          <w:tcPr>
            <w:tcW w:w="3245" w:type="dxa"/>
            <w:tcBorders>
              <w:top w:val="single" w:color="auto" w:sz="4" w:space="0"/>
              <w:left w:val="nil"/>
              <w:bottom w:val="single" w:color="auto" w:sz="4" w:space="0"/>
              <w:right w:val="single" w:color="auto" w:sz="4" w:space="0"/>
            </w:tcBorders>
            <w:noWrap w:val="0"/>
            <w:vAlign w:val="center"/>
          </w:tcPr>
          <w:p w14:paraId="7C62C4EC">
            <w:pPr>
              <w:spacing w:line="0" w:lineRule="atLeast"/>
              <w:jc w:val="center"/>
              <w:rPr>
                <w:rFonts w:eastAsia="楷体_GB2312"/>
                <w:szCs w:val="21"/>
              </w:rPr>
            </w:pPr>
            <w:r>
              <w:rPr>
                <w:rFonts w:hint="eastAsia" w:eastAsia="楷体_GB2312"/>
                <w:szCs w:val="21"/>
              </w:rPr>
              <w:t>5.68</w:t>
            </w:r>
          </w:p>
        </w:tc>
      </w:tr>
      <w:tr w14:paraId="7D9B9247">
        <w:tblPrEx>
          <w:tblCellMar>
            <w:top w:w="0" w:type="dxa"/>
            <w:left w:w="108" w:type="dxa"/>
            <w:bottom w:w="0" w:type="dxa"/>
            <w:right w:w="108" w:type="dxa"/>
          </w:tblCellMar>
        </w:tblPrEx>
        <w:trPr>
          <w:trHeight w:val="454" w:hRule="exact"/>
        </w:trPr>
        <w:tc>
          <w:tcPr>
            <w:tcW w:w="1008" w:type="dxa"/>
            <w:vMerge w:val="restart"/>
            <w:tcBorders>
              <w:top w:val="nil"/>
              <w:left w:val="single" w:color="auto" w:sz="4" w:space="0"/>
              <w:bottom w:val="single" w:color="auto" w:sz="4" w:space="0"/>
              <w:right w:val="single" w:color="auto" w:sz="4" w:space="0"/>
            </w:tcBorders>
            <w:noWrap/>
            <w:vAlign w:val="center"/>
          </w:tcPr>
          <w:p w14:paraId="64187DCA">
            <w:pPr>
              <w:spacing w:line="0" w:lineRule="atLeast"/>
              <w:jc w:val="center"/>
              <w:rPr>
                <w:rFonts w:eastAsia="楷体_GB2312"/>
                <w:szCs w:val="21"/>
              </w:rPr>
            </w:pPr>
            <w:r>
              <w:rPr>
                <w:rFonts w:eastAsia="楷体_GB2312"/>
                <w:szCs w:val="21"/>
              </w:rPr>
              <w:t>个</w:t>
            </w:r>
          </w:p>
          <w:p w14:paraId="6D3142C4">
            <w:pPr>
              <w:spacing w:line="0" w:lineRule="atLeast"/>
              <w:jc w:val="center"/>
              <w:rPr>
                <w:rFonts w:eastAsia="楷体_GB2312"/>
                <w:szCs w:val="21"/>
              </w:rPr>
            </w:pPr>
            <w:r>
              <w:rPr>
                <w:rFonts w:eastAsia="楷体_GB2312"/>
                <w:szCs w:val="21"/>
              </w:rPr>
              <w:t>别</w:t>
            </w:r>
          </w:p>
          <w:p w14:paraId="6C011C94">
            <w:pPr>
              <w:spacing w:line="0" w:lineRule="atLeast"/>
              <w:jc w:val="center"/>
              <w:rPr>
                <w:rFonts w:eastAsia="楷体_GB2312"/>
                <w:szCs w:val="21"/>
              </w:rPr>
            </w:pPr>
            <w:r>
              <w:rPr>
                <w:rFonts w:eastAsia="楷体_GB2312"/>
                <w:szCs w:val="21"/>
              </w:rPr>
              <w:t>因</w:t>
            </w:r>
          </w:p>
          <w:p w14:paraId="17CF9B78">
            <w:pPr>
              <w:spacing w:line="0" w:lineRule="atLeast"/>
              <w:jc w:val="center"/>
              <w:rPr>
                <w:rFonts w:eastAsia="楷体_GB2312"/>
                <w:szCs w:val="21"/>
              </w:rPr>
            </w:pPr>
            <w:r>
              <w:rPr>
                <w:rFonts w:eastAsia="楷体_GB2312"/>
                <w:szCs w:val="21"/>
              </w:rPr>
              <w:t>素</w:t>
            </w:r>
          </w:p>
        </w:tc>
        <w:tc>
          <w:tcPr>
            <w:tcW w:w="4819" w:type="dxa"/>
            <w:tcBorders>
              <w:top w:val="single" w:color="auto" w:sz="4" w:space="0"/>
              <w:left w:val="nil"/>
              <w:bottom w:val="single" w:color="auto" w:sz="4" w:space="0"/>
              <w:right w:val="single" w:color="auto" w:sz="4" w:space="0"/>
            </w:tcBorders>
            <w:noWrap/>
            <w:vAlign w:val="center"/>
          </w:tcPr>
          <w:p w14:paraId="7E5FA70C">
            <w:pPr>
              <w:jc w:val="center"/>
              <w:rPr>
                <w:rFonts w:eastAsia="楷体_GB2312"/>
                <w:szCs w:val="21"/>
              </w:rPr>
            </w:pPr>
            <w:r>
              <w:rPr>
                <w:rFonts w:eastAsia="楷体_GB2312"/>
                <w:szCs w:val="21"/>
              </w:rPr>
              <w:t>宗地自然条件</w:t>
            </w:r>
          </w:p>
        </w:tc>
        <w:tc>
          <w:tcPr>
            <w:tcW w:w="3245" w:type="dxa"/>
            <w:tcBorders>
              <w:top w:val="single" w:color="auto" w:sz="4" w:space="0"/>
              <w:left w:val="nil"/>
              <w:bottom w:val="single" w:color="auto" w:sz="4" w:space="0"/>
              <w:right w:val="single" w:color="auto" w:sz="4" w:space="0"/>
            </w:tcBorders>
            <w:noWrap w:val="0"/>
            <w:vAlign w:val="center"/>
          </w:tcPr>
          <w:p w14:paraId="4BE50800">
            <w:pPr>
              <w:spacing w:line="0" w:lineRule="atLeast"/>
              <w:jc w:val="center"/>
              <w:rPr>
                <w:rFonts w:eastAsia="楷体_GB2312"/>
                <w:szCs w:val="21"/>
              </w:rPr>
            </w:pPr>
            <w:r>
              <w:rPr>
                <w:rFonts w:hint="eastAsia" w:eastAsia="楷体_GB2312"/>
                <w:szCs w:val="21"/>
              </w:rPr>
              <w:t>5.62</w:t>
            </w:r>
          </w:p>
        </w:tc>
      </w:tr>
      <w:tr w14:paraId="60AB1283">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7CA2B211">
            <w:pPr>
              <w:spacing w:line="0" w:lineRule="atLeast"/>
              <w:jc w:val="center"/>
              <w:rPr>
                <w:rFonts w:eastAsia="楷体_GB2312"/>
                <w:szCs w:val="21"/>
              </w:rPr>
            </w:pPr>
          </w:p>
        </w:tc>
        <w:tc>
          <w:tcPr>
            <w:tcW w:w="4819" w:type="dxa"/>
            <w:tcBorders>
              <w:top w:val="single" w:color="auto" w:sz="4" w:space="0"/>
              <w:left w:val="nil"/>
              <w:bottom w:val="single" w:color="auto" w:sz="4" w:space="0"/>
              <w:right w:val="single" w:color="auto" w:sz="4" w:space="0"/>
            </w:tcBorders>
            <w:noWrap/>
            <w:vAlign w:val="center"/>
          </w:tcPr>
          <w:p w14:paraId="189E817F">
            <w:pPr>
              <w:jc w:val="center"/>
              <w:rPr>
                <w:rFonts w:eastAsia="楷体_GB2312"/>
                <w:szCs w:val="21"/>
              </w:rPr>
            </w:pPr>
            <w:r>
              <w:rPr>
                <w:rFonts w:eastAsia="楷体_GB2312"/>
                <w:szCs w:val="21"/>
              </w:rPr>
              <w:t>宗地面积</w:t>
            </w:r>
          </w:p>
        </w:tc>
        <w:tc>
          <w:tcPr>
            <w:tcW w:w="3245" w:type="dxa"/>
            <w:tcBorders>
              <w:top w:val="single" w:color="auto" w:sz="4" w:space="0"/>
              <w:left w:val="nil"/>
              <w:bottom w:val="single" w:color="auto" w:sz="4" w:space="0"/>
              <w:right w:val="single" w:color="auto" w:sz="4" w:space="0"/>
            </w:tcBorders>
            <w:noWrap w:val="0"/>
            <w:vAlign w:val="center"/>
          </w:tcPr>
          <w:p w14:paraId="5BE93793">
            <w:pPr>
              <w:spacing w:line="0" w:lineRule="atLeast"/>
              <w:jc w:val="center"/>
              <w:rPr>
                <w:rFonts w:eastAsia="楷体_GB2312"/>
                <w:szCs w:val="21"/>
              </w:rPr>
            </w:pPr>
            <w:r>
              <w:rPr>
                <w:rFonts w:hint="eastAsia" w:eastAsia="楷体_GB2312"/>
                <w:szCs w:val="21"/>
              </w:rPr>
              <w:t>4.96</w:t>
            </w:r>
          </w:p>
        </w:tc>
      </w:tr>
      <w:tr w14:paraId="1AB301CF">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35F79D0F">
            <w:pPr>
              <w:spacing w:line="0" w:lineRule="atLeast"/>
              <w:jc w:val="center"/>
              <w:rPr>
                <w:rFonts w:eastAsia="楷体_GB2312"/>
                <w:szCs w:val="21"/>
              </w:rPr>
            </w:pPr>
          </w:p>
        </w:tc>
        <w:tc>
          <w:tcPr>
            <w:tcW w:w="4819" w:type="dxa"/>
            <w:tcBorders>
              <w:top w:val="single" w:color="auto" w:sz="4" w:space="0"/>
              <w:left w:val="nil"/>
              <w:bottom w:val="single" w:color="auto" w:sz="4" w:space="0"/>
              <w:right w:val="single" w:color="auto" w:sz="4" w:space="0"/>
            </w:tcBorders>
            <w:noWrap/>
            <w:vAlign w:val="center"/>
          </w:tcPr>
          <w:p w14:paraId="15E94A01">
            <w:pPr>
              <w:jc w:val="center"/>
              <w:rPr>
                <w:rFonts w:eastAsia="楷体_GB2312"/>
                <w:szCs w:val="21"/>
              </w:rPr>
            </w:pPr>
            <w:r>
              <w:rPr>
                <w:rFonts w:eastAsia="楷体_GB2312"/>
                <w:szCs w:val="21"/>
              </w:rPr>
              <w:t>宗地形状</w:t>
            </w:r>
          </w:p>
        </w:tc>
        <w:tc>
          <w:tcPr>
            <w:tcW w:w="3245" w:type="dxa"/>
            <w:tcBorders>
              <w:top w:val="single" w:color="auto" w:sz="4" w:space="0"/>
              <w:left w:val="nil"/>
              <w:bottom w:val="single" w:color="auto" w:sz="4" w:space="0"/>
              <w:right w:val="single" w:color="auto" w:sz="4" w:space="0"/>
            </w:tcBorders>
            <w:noWrap w:val="0"/>
            <w:vAlign w:val="center"/>
          </w:tcPr>
          <w:p w14:paraId="5D861578">
            <w:pPr>
              <w:spacing w:line="0" w:lineRule="atLeast"/>
              <w:jc w:val="center"/>
              <w:rPr>
                <w:rFonts w:eastAsia="楷体_GB2312"/>
                <w:szCs w:val="21"/>
              </w:rPr>
            </w:pPr>
            <w:r>
              <w:rPr>
                <w:rFonts w:hint="eastAsia" w:eastAsia="楷体_GB2312"/>
                <w:szCs w:val="21"/>
              </w:rPr>
              <w:t>4.59</w:t>
            </w:r>
          </w:p>
        </w:tc>
      </w:tr>
      <w:tr w14:paraId="45BA13D7">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43FF1B36">
            <w:pPr>
              <w:spacing w:line="0" w:lineRule="atLeast"/>
              <w:jc w:val="center"/>
              <w:rPr>
                <w:rFonts w:eastAsia="楷体_GB2312"/>
                <w:szCs w:val="21"/>
              </w:rPr>
            </w:pPr>
          </w:p>
        </w:tc>
        <w:tc>
          <w:tcPr>
            <w:tcW w:w="4819" w:type="dxa"/>
            <w:tcBorders>
              <w:top w:val="single" w:color="auto" w:sz="4" w:space="0"/>
              <w:left w:val="nil"/>
              <w:bottom w:val="single" w:color="auto" w:sz="4" w:space="0"/>
              <w:right w:val="single" w:color="auto" w:sz="4" w:space="0"/>
            </w:tcBorders>
            <w:noWrap/>
            <w:vAlign w:val="center"/>
          </w:tcPr>
          <w:p w14:paraId="76CB4736">
            <w:pPr>
              <w:jc w:val="center"/>
              <w:rPr>
                <w:rFonts w:eastAsia="楷体_GB2312"/>
                <w:szCs w:val="21"/>
              </w:rPr>
            </w:pPr>
            <w:r>
              <w:rPr>
                <w:rFonts w:eastAsia="楷体_GB2312"/>
                <w:szCs w:val="21"/>
              </w:rPr>
              <w:t>宗地日照、通风、干湿状况</w:t>
            </w:r>
          </w:p>
        </w:tc>
        <w:tc>
          <w:tcPr>
            <w:tcW w:w="3245" w:type="dxa"/>
            <w:tcBorders>
              <w:top w:val="single" w:color="auto" w:sz="4" w:space="0"/>
              <w:left w:val="nil"/>
              <w:bottom w:val="single" w:color="auto" w:sz="4" w:space="0"/>
              <w:right w:val="single" w:color="auto" w:sz="4" w:space="0"/>
            </w:tcBorders>
            <w:noWrap w:val="0"/>
            <w:vAlign w:val="center"/>
          </w:tcPr>
          <w:p w14:paraId="26CC09C3">
            <w:pPr>
              <w:spacing w:line="0" w:lineRule="atLeast"/>
              <w:jc w:val="center"/>
              <w:rPr>
                <w:rFonts w:eastAsia="楷体_GB2312"/>
                <w:szCs w:val="21"/>
              </w:rPr>
            </w:pPr>
            <w:r>
              <w:rPr>
                <w:rFonts w:hint="eastAsia" w:eastAsia="楷体_GB2312"/>
                <w:szCs w:val="21"/>
              </w:rPr>
              <w:t>5.39</w:t>
            </w:r>
          </w:p>
        </w:tc>
      </w:tr>
      <w:tr w14:paraId="114CB198">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7B1CE6F8">
            <w:pPr>
              <w:spacing w:line="0" w:lineRule="atLeast"/>
              <w:jc w:val="center"/>
              <w:rPr>
                <w:rFonts w:eastAsia="楷体_GB2312"/>
                <w:szCs w:val="21"/>
              </w:rPr>
            </w:pPr>
          </w:p>
        </w:tc>
        <w:tc>
          <w:tcPr>
            <w:tcW w:w="4819" w:type="dxa"/>
            <w:tcBorders>
              <w:top w:val="single" w:color="auto" w:sz="4" w:space="0"/>
              <w:left w:val="nil"/>
              <w:bottom w:val="single" w:color="auto" w:sz="4" w:space="0"/>
              <w:right w:val="single" w:color="auto" w:sz="4" w:space="0"/>
            </w:tcBorders>
            <w:noWrap/>
            <w:vAlign w:val="center"/>
          </w:tcPr>
          <w:p w14:paraId="45E5E9A9">
            <w:pPr>
              <w:jc w:val="center"/>
              <w:rPr>
                <w:rFonts w:eastAsia="楷体_GB2312"/>
                <w:szCs w:val="21"/>
              </w:rPr>
            </w:pPr>
            <w:r>
              <w:rPr>
                <w:rFonts w:eastAsia="楷体_GB2312"/>
                <w:szCs w:val="21"/>
              </w:rPr>
              <w:t>规划限制</w:t>
            </w:r>
          </w:p>
        </w:tc>
        <w:tc>
          <w:tcPr>
            <w:tcW w:w="3245" w:type="dxa"/>
            <w:tcBorders>
              <w:top w:val="single" w:color="auto" w:sz="4" w:space="0"/>
              <w:left w:val="nil"/>
              <w:bottom w:val="single" w:color="auto" w:sz="4" w:space="0"/>
              <w:right w:val="single" w:color="auto" w:sz="4" w:space="0"/>
            </w:tcBorders>
            <w:noWrap w:val="0"/>
            <w:vAlign w:val="center"/>
          </w:tcPr>
          <w:p w14:paraId="04AF376F">
            <w:pPr>
              <w:spacing w:line="0" w:lineRule="atLeast"/>
              <w:jc w:val="center"/>
              <w:rPr>
                <w:rFonts w:eastAsia="楷体_GB2312"/>
                <w:szCs w:val="21"/>
              </w:rPr>
            </w:pPr>
            <w:r>
              <w:rPr>
                <w:rFonts w:hint="eastAsia" w:eastAsia="楷体_GB2312"/>
                <w:szCs w:val="21"/>
              </w:rPr>
              <w:t>6.18</w:t>
            </w:r>
          </w:p>
        </w:tc>
      </w:tr>
      <w:tr w14:paraId="44937779">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0F0F3EA9">
            <w:pPr>
              <w:spacing w:line="0" w:lineRule="atLeast"/>
              <w:jc w:val="center"/>
              <w:rPr>
                <w:rFonts w:eastAsia="楷体_GB2312"/>
                <w:szCs w:val="21"/>
              </w:rPr>
            </w:pPr>
          </w:p>
        </w:tc>
        <w:tc>
          <w:tcPr>
            <w:tcW w:w="4819" w:type="dxa"/>
            <w:tcBorders>
              <w:top w:val="single" w:color="auto" w:sz="4" w:space="0"/>
              <w:left w:val="nil"/>
              <w:bottom w:val="single" w:color="auto" w:sz="4" w:space="0"/>
              <w:right w:val="single" w:color="auto" w:sz="4" w:space="0"/>
            </w:tcBorders>
            <w:noWrap/>
            <w:vAlign w:val="center"/>
          </w:tcPr>
          <w:p w14:paraId="0C22A436">
            <w:pPr>
              <w:jc w:val="center"/>
              <w:rPr>
                <w:rFonts w:eastAsia="楷体_GB2312"/>
                <w:szCs w:val="21"/>
              </w:rPr>
            </w:pPr>
            <w:r>
              <w:rPr>
                <w:rFonts w:eastAsia="楷体_GB2312"/>
                <w:szCs w:val="21"/>
              </w:rPr>
              <w:t>宗地基础设施状况</w:t>
            </w:r>
          </w:p>
        </w:tc>
        <w:tc>
          <w:tcPr>
            <w:tcW w:w="3245" w:type="dxa"/>
            <w:tcBorders>
              <w:top w:val="single" w:color="auto" w:sz="4" w:space="0"/>
              <w:left w:val="nil"/>
              <w:bottom w:val="single" w:color="auto" w:sz="4" w:space="0"/>
              <w:right w:val="single" w:color="auto" w:sz="4" w:space="0"/>
            </w:tcBorders>
            <w:noWrap w:val="0"/>
            <w:vAlign w:val="center"/>
          </w:tcPr>
          <w:p w14:paraId="1768C676">
            <w:pPr>
              <w:spacing w:line="0" w:lineRule="atLeast"/>
              <w:jc w:val="center"/>
              <w:rPr>
                <w:rFonts w:eastAsia="楷体_GB2312"/>
                <w:szCs w:val="21"/>
              </w:rPr>
            </w:pPr>
            <w:r>
              <w:rPr>
                <w:rFonts w:hint="eastAsia" w:eastAsia="楷体_GB2312"/>
                <w:szCs w:val="21"/>
              </w:rPr>
              <w:t>6.86</w:t>
            </w:r>
          </w:p>
        </w:tc>
      </w:tr>
      <w:tr w14:paraId="75A54A95">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74D15460">
            <w:pPr>
              <w:spacing w:line="0" w:lineRule="atLeast"/>
              <w:jc w:val="center"/>
              <w:rPr>
                <w:rFonts w:eastAsia="楷体_GB2312"/>
                <w:szCs w:val="21"/>
              </w:rPr>
            </w:pPr>
          </w:p>
        </w:tc>
        <w:tc>
          <w:tcPr>
            <w:tcW w:w="4819" w:type="dxa"/>
            <w:tcBorders>
              <w:top w:val="single" w:color="auto" w:sz="4" w:space="0"/>
              <w:left w:val="nil"/>
              <w:bottom w:val="single" w:color="auto" w:sz="4" w:space="0"/>
              <w:right w:val="single" w:color="auto" w:sz="4" w:space="0"/>
            </w:tcBorders>
            <w:noWrap/>
            <w:vAlign w:val="center"/>
          </w:tcPr>
          <w:p w14:paraId="140D1C67">
            <w:pPr>
              <w:jc w:val="center"/>
              <w:rPr>
                <w:rFonts w:eastAsia="楷体_GB2312"/>
                <w:szCs w:val="21"/>
              </w:rPr>
            </w:pPr>
            <w:r>
              <w:rPr>
                <w:rFonts w:eastAsia="楷体_GB2312"/>
                <w:szCs w:val="21"/>
              </w:rPr>
              <w:t>地上建筑物状况</w:t>
            </w:r>
          </w:p>
        </w:tc>
        <w:tc>
          <w:tcPr>
            <w:tcW w:w="3245" w:type="dxa"/>
            <w:tcBorders>
              <w:top w:val="single" w:color="auto" w:sz="4" w:space="0"/>
              <w:left w:val="nil"/>
              <w:bottom w:val="single" w:color="auto" w:sz="4" w:space="0"/>
              <w:right w:val="single" w:color="auto" w:sz="4" w:space="0"/>
            </w:tcBorders>
            <w:noWrap w:val="0"/>
            <w:vAlign w:val="center"/>
          </w:tcPr>
          <w:p w14:paraId="544B7ACD">
            <w:pPr>
              <w:spacing w:line="0" w:lineRule="atLeast"/>
              <w:jc w:val="center"/>
              <w:rPr>
                <w:rFonts w:eastAsia="楷体_GB2312"/>
                <w:szCs w:val="21"/>
              </w:rPr>
            </w:pPr>
            <w:r>
              <w:rPr>
                <w:rFonts w:hint="eastAsia" w:eastAsia="楷体_GB2312"/>
                <w:szCs w:val="21"/>
              </w:rPr>
              <w:t>7.22</w:t>
            </w:r>
          </w:p>
        </w:tc>
      </w:tr>
      <w:tr w14:paraId="6ED082BC">
        <w:tblPrEx>
          <w:tblCellMar>
            <w:top w:w="0" w:type="dxa"/>
            <w:left w:w="108" w:type="dxa"/>
            <w:bottom w:w="0" w:type="dxa"/>
            <w:right w:w="108" w:type="dxa"/>
          </w:tblCellMar>
        </w:tblPrEx>
        <w:trPr>
          <w:trHeight w:val="454" w:hRule="exact"/>
        </w:trPr>
        <w:tc>
          <w:tcPr>
            <w:tcW w:w="1008" w:type="dxa"/>
            <w:vMerge w:val="continue"/>
            <w:tcBorders>
              <w:top w:val="nil"/>
              <w:left w:val="single" w:color="auto" w:sz="4" w:space="0"/>
              <w:bottom w:val="single" w:color="auto" w:sz="4" w:space="0"/>
              <w:right w:val="single" w:color="auto" w:sz="4" w:space="0"/>
            </w:tcBorders>
            <w:noWrap w:val="0"/>
            <w:vAlign w:val="center"/>
          </w:tcPr>
          <w:p w14:paraId="245397FC">
            <w:pPr>
              <w:spacing w:line="0" w:lineRule="atLeast"/>
              <w:jc w:val="center"/>
              <w:rPr>
                <w:rFonts w:eastAsia="楷体_GB2312"/>
                <w:szCs w:val="21"/>
              </w:rPr>
            </w:pPr>
          </w:p>
        </w:tc>
        <w:tc>
          <w:tcPr>
            <w:tcW w:w="4819" w:type="dxa"/>
            <w:tcBorders>
              <w:top w:val="single" w:color="auto" w:sz="4" w:space="0"/>
              <w:left w:val="nil"/>
              <w:bottom w:val="single" w:color="auto" w:sz="4" w:space="0"/>
              <w:right w:val="single" w:color="000000" w:sz="4" w:space="0"/>
            </w:tcBorders>
            <w:noWrap/>
            <w:vAlign w:val="center"/>
          </w:tcPr>
          <w:p w14:paraId="35ED3F9D">
            <w:pPr>
              <w:jc w:val="center"/>
              <w:rPr>
                <w:rFonts w:eastAsia="楷体_GB2312"/>
                <w:szCs w:val="21"/>
              </w:rPr>
            </w:pPr>
            <w:r>
              <w:rPr>
                <w:rFonts w:eastAsia="楷体_GB2312"/>
                <w:szCs w:val="21"/>
              </w:rPr>
              <w:t>其他个别因素状况</w:t>
            </w:r>
          </w:p>
        </w:tc>
        <w:tc>
          <w:tcPr>
            <w:tcW w:w="3245" w:type="dxa"/>
            <w:tcBorders>
              <w:top w:val="single" w:color="auto" w:sz="4" w:space="0"/>
              <w:left w:val="nil"/>
              <w:bottom w:val="single" w:color="auto" w:sz="4" w:space="0"/>
              <w:right w:val="single" w:color="000000" w:sz="4" w:space="0"/>
            </w:tcBorders>
            <w:noWrap w:val="0"/>
            <w:vAlign w:val="center"/>
          </w:tcPr>
          <w:p w14:paraId="0AE30539">
            <w:pPr>
              <w:spacing w:line="0" w:lineRule="atLeast"/>
              <w:jc w:val="center"/>
              <w:rPr>
                <w:rFonts w:eastAsia="楷体_GB2312"/>
                <w:szCs w:val="21"/>
              </w:rPr>
            </w:pPr>
            <w:r>
              <w:rPr>
                <w:rFonts w:hint="eastAsia" w:eastAsia="楷体_GB2312"/>
                <w:szCs w:val="21"/>
              </w:rPr>
              <w:t>4.07</w:t>
            </w:r>
          </w:p>
        </w:tc>
      </w:tr>
      <w:tr w14:paraId="4F1C3F19">
        <w:tblPrEx>
          <w:tblCellMar>
            <w:top w:w="0" w:type="dxa"/>
            <w:left w:w="108" w:type="dxa"/>
            <w:bottom w:w="0" w:type="dxa"/>
            <w:right w:w="108" w:type="dxa"/>
          </w:tblCellMar>
        </w:tblPrEx>
        <w:trPr>
          <w:trHeight w:val="454" w:hRule="exact"/>
        </w:trPr>
        <w:tc>
          <w:tcPr>
            <w:tcW w:w="5827" w:type="dxa"/>
            <w:gridSpan w:val="2"/>
            <w:tcBorders>
              <w:top w:val="single" w:color="auto" w:sz="4" w:space="0"/>
              <w:left w:val="single" w:color="auto" w:sz="4" w:space="0"/>
              <w:bottom w:val="single" w:color="auto" w:sz="4" w:space="0"/>
              <w:right w:val="single" w:color="auto" w:sz="4" w:space="0"/>
            </w:tcBorders>
            <w:noWrap w:val="0"/>
            <w:vAlign w:val="center"/>
          </w:tcPr>
          <w:p w14:paraId="0416F284">
            <w:pPr>
              <w:spacing w:line="0" w:lineRule="atLeast"/>
              <w:jc w:val="center"/>
              <w:rPr>
                <w:rFonts w:eastAsia="楷体_GB2312"/>
                <w:szCs w:val="21"/>
              </w:rPr>
            </w:pPr>
            <w:r>
              <w:rPr>
                <w:rFonts w:eastAsia="楷体_GB2312"/>
                <w:szCs w:val="21"/>
              </w:rPr>
              <w:t>合   计</w:t>
            </w:r>
          </w:p>
        </w:tc>
        <w:tc>
          <w:tcPr>
            <w:tcW w:w="3245" w:type="dxa"/>
            <w:tcBorders>
              <w:top w:val="single" w:color="auto" w:sz="4" w:space="0"/>
              <w:left w:val="nil"/>
              <w:bottom w:val="single" w:color="auto" w:sz="4" w:space="0"/>
              <w:right w:val="single" w:color="auto" w:sz="4" w:space="0"/>
            </w:tcBorders>
            <w:noWrap w:val="0"/>
            <w:vAlign w:val="center"/>
          </w:tcPr>
          <w:p w14:paraId="0E46B182">
            <w:pPr>
              <w:spacing w:line="0" w:lineRule="atLeast"/>
              <w:jc w:val="center"/>
              <w:rPr>
                <w:rFonts w:eastAsia="楷体_GB2312"/>
                <w:szCs w:val="21"/>
              </w:rPr>
            </w:pPr>
            <w:r>
              <w:rPr>
                <w:rFonts w:eastAsia="楷体_GB2312"/>
                <w:szCs w:val="21"/>
              </w:rPr>
              <w:t>100</w:t>
            </w:r>
          </w:p>
        </w:tc>
      </w:tr>
    </w:tbl>
    <w:p w14:paraId="5DCEF025">
      <w:pPr>
        <w:pStyle w:val="20"/>
        <w:spacing w:before="120" w:beforeLines="50" w:line="480" w:lineRule="exact"/>
        <w:rPr>
          <w:rFonts w:ascii="Times New Roman" w:hAnsi="Times New Roman" w:cs="Times New Roman"/>
          <w:b/>
          <w:sz w:val="28"/>
        </w:rPr>
      </w:pPr>
    </w:p>
    <w:p w14:paraId="7D6753CC">
      <w:pPr>
        <w:pStyle w:val="20"/>
        <w:spacing w:before="120" w:beforeLines="50" w:line="480" w:lineRule="exact"/>
        <w:rPr>
          <w:rFonts w:ascii="Times New Roman" w:hAnsi="Times New Roman" w:cs="Times New Roman"/>
          <w:b/>
          <w:sz w:val="28"/>
        </w:rPr>
      </w:pPr>
      <w:r>
        <w:rPr>
          <w:rFonts w:ascii="Times New Roman" w:hAnsi="Times New Roman" w:cs="Times New Roman"/>
          <w:b/>
          <w:sz w:val="28"/>
        </w:rPr>
        <w:br w:type="page"/>
      </w:r>
      <w:r>
        <w:rPr>
          <w:rFonts w:ascii="Times New Roman" w:hAnsi="Times New Roman" w:cs="Times New Roman"/>
          <w:b/>
          <w:sz w:val="28"/>
        </w:rPr>
        <w:t>三、因素影响地价修正幅度计算</w:t>
      </w:r>
    </w:p>
    <w:p w14:paraId="607926E9">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1、以各类用途的镇区级别基准地价的上限、下限，与基准地价的平均值相减，再除以基准地价平均值，得到上调或下调幅度的最高值。</w:t>
      </w:r>
    </w:p>
    <w:p w14:paraId="6CDFE26B">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上调幅度的计算公式为：</w:t>
      </w:r>
    </w:p>
    <w:p w14:paraId="1A41C312">
      <w:pPr>
        <w:pStyle w:val="20"/>
        <w:spacing w:before="240" w:beforeLines="100" w:after="240" w:afterLines="100" w:line="480" w:lineRule="exact"/>
        <w:ind w:firstLine="560" w:firstLineChars="200"/>
        <w:jc w:val="center"/>
        <w:rPr>
          <w:rFonts w:ascii="Times New Roman" w:hAnsi="Times New Roman" w:eastAsia="楷体_GB2312" w:cs="Times New Roman"/>
          <w:sz w:val="28"/>
        </w:rPr>
      </w:pPr>
      <w:r>
        <w:rPr>
          <w:rFonts w:ascii="Times New Roman" w:hAnsi="Times New Roman" w:eastAsia="楷体_GB2312" w:cs="Times New Roman"/>
          <w:sz w:val="28"/>
        </w:rPr>
        <w:t>F</w:t>
      </w:r>
      <w:r>
        <w:rPr>
          <w:rFonts w:ascii="Times New Roman" w:hAnsi="Times New Roman" w:eastAsia="楷体_GB2312" w:cs="Times New Roman"/>
          <w:sz w:val="28"/>
          <w:vertAlign w:val="subscript"/>
        </w:rPr>
        <w:t>1</w:t>
      </w:r>
      <w:r>
        <w:rPr>
          <w:rFonts w:ascii="Times New Roman" w:hAnsi="Times New Roman" w:eastAsia="楷体_GB2312" w:cs="Times New Roman"/>
          <w:sz w:val="28"/>
        </w:rPr>
        <w:t>=</w:t>
      </w:r>
      <w:r>
        <w:rPr>
          <w:rFonts w:ascii="Times New Roman" w:hAnsi="Times New Roman" w:eastAsia="楷体_GB2312" w:cs="Times New Roman"/>
          <w:position w:val="-30"/>
          <w:sz w:val="28"/>
        </w:rPr>
        <w:object>
          <v:shape id="_x0000_i1213" o:spt="75" type="#_x0000_t75" style="height:35pt;width:56pt;" o:ole="t" fillcolor="#6D6D6D" filled="f" stroked="f" coordsize="21600,21600">
            <v:path/>
            <v:fill on="f" alignshape="1" focussize="0,0"/>
            <v:stroke on="f"/>
            <v:imagedata r:id="rId362" o:title=""/>
            <o:lock v:ext="edit" aspectratio="t"/>
            <w10:wrap type="none"/>
            <w10:anchorlock/>
          </v:shape>
          <o:OLEObject Type="Embed" ProgID="Equation.3" ShapeID="_x0000_i1213" DrawAspect="Content" ObjectID="_1468075913" r:id="rId361">
            <o:LockedField>false</o:LockedField>
          </o:OLEObject>
        </w:object>
      </w:r>
      <w:r>
        <w:rPr>
          <w:rFonts w:ascii="Times New Roman" w:hAnsi="Times New Roman" w:eastAsia="楷体_GB2312" w:cs="Times New Roman"/>
          <w:sz w:val="28"/>
        </w:rPr>
        <w:t>×100%</w:t>
      </w:r>
    </w:p>
    <w:p w14:paraId="2473EE25">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下调幅度的计算公式为：</w:t>
      </w:r>
    </w:p>
    <w:p w14:paraId="39CC575E">
      <w:pPr>
        <w:pStyle w:val="20"/>
        <w:spacing w:before="240" w:beforeLines="100" w:after="240" w:afterLines="100" w:line="480" w:lineRule="exact"/>
        <w:ind w:firstLine="560" w:firstLineChars="200"/>
        <w:jc w:val="center"/>
        <w:rPr>
          <w:rFonts w:ascii="Times New Roman" w:hAnsi="Times New Roman" w:eastAsia="楷体_GB2312" w:cs="Times New Roman"/>
          <w:sz w:val="28"/>
        </w:rPr>
      </w:pPr>
      <w:r>
        <w:rPr>
          <w:rFonts w:ascii="Times New Roman" w:hAnsi="Times New Roman" w:eastAsia="楷体_GB2312" w:cs="Times New Roman"/>
          <w:sz w:val="28"/>
        </w:rPr>
        <w:t>F</w:t>
      </w:r>
      <w:r>
        <w:rPr>
          <w:rFonts w:ascii="Times New Roman" w:hAnsi="Times New Roman" w:eastAsia="楷体_GB2312" w:cs="Times New Roman"/>
          <w:sz w:val="28"/>
          <w:vertAlign w:val="subscript"/>
        </w:rPr>
        <w:t>2</w:t>
      </w:r>
      <w:r>
        <w:rPr>
          <w:rFonts w:ascii="Times New Roman" w:hAnsi="Times New Roman" w:eastAsia="楷体_GB2312" w:cs="Times New Roman"/>
          <w:sz w:val="28"/>
        </w:rPr>
        <w:t>=</w:t>
      </w:r>
      <w:r>
        <w:rPr>
          <w:rFonts w:ascii="Times New Roman" w:hAnsi="Times New Roman" w:eastAsia="楷体_GB2312" w:cs="Times New Roman"/>
          <w:position w:val="-30"/>
          <w:sz w:val="28"/>
        </w:rPr>
        <w:object>
          <v:shape id="_x0000_i1214" o:spt="75" type="#_x0000_t75" style="height:35pt;width:55pt;" o:ole="t" fillcolor="#6D6D6D" filled="f" stroked="f" coordsize="21600,21600">
            <v:path/>
            <v:fill on="f" alignshape="1" focussize="0,0"/>
            <v:stroke on="f"/>
            <v:imagedata r:id="rId364" o:title=""/>
            <o:lock v:ext="edit" aspectratio="t"/>
            <w10:wrap type="none"/>
            <w10:anchorlock/>
          </v:shape>
          <o:OLEObject Type="Embed" ProgID="Equation.3" ShapeID="_x0000_i1214" DrawAspect="Content" ObjectID="_1468075914" r:id="rId363">
            <o:LockedField>false</o:LockedField>
          </o:OLEObject>
        </w:object>
      </w:r>
      <w:r>
        <w:rPr>
          <w:rFonts w:ascii="Times New Roman" w:hAnsi="Times New Roman" w:eastAsia="楷体_GB2312" w:cs="Times New Roman"/>
          <w:sz w:val="28"/>
        </w:rPr>
        <w:t>×100%</w:t>
      </w:r>
    </w:p>
    <w:p w14:paraId="6641E56E">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式中：F</w:t>
      </w:r>
      <w:r>
        <w:rPr>
          <w:rFonts w:ascii="Times New Roman" w:hAnsi="Times New Roman" w:eastAsia="楷体_GB2312" w:cs="Times New Roman"/>
          <w:sz w:val="28"/>
          <w:vertAlign w:val="subscript"/>
        </w:rPr>
        <w:t>1</w:t>
      </w:r>
      <w:r>
        <w:rPr>
          <w:rFonts w:ascii="Times New Roman" w:hAnsi="Times New Roman" w:eastAsia="楷体_GB2312" w:cs="Times New Roman"/>
          <w:sz w:val="28"/>
        </w:rPr>
        <w:t>—基准地价上调最大幅度；</w:t>
      </w:r>
    </w:p>
    <w:p w14:paraId="1BC7F0C6">
      <w:pPr>
        <w:pStyle w:val="20"/>
        <w:spacing w:line="480" w:lineRule="exact"/>
        <w:ind w:firstLine="1400" w:firstLineChars="500"/>
        <w:rPr>
          <w:rFonts w:ascii="Times New Roman" w:hAnsi="Times New Roman" w:eastAsia="楷体_GB2312" w:cs="Times New Roman"/>
          <w:sz w:val="28"/>
        </w:rPr>
      </w:pPr>
      <w:r>
        <w:rPr>
          <w:rFonts w:ascii="Times New Roman" w:hAnsi="Times New Roman" w:eastAsia="楷体_GB2312" w:cs="Times New Roman"/>
          <w:sz w:val="28"/>
        </w:rPr>
        <w:t>F</w:t>
      </w:r>
      <w:r>
        <w:rPr>
          <w:rFonts w:ascii="Times New Roman" w:hAnsi="Times New Roman" w:eastAsia="楷体_GB2312" w:cs="Times New Roman"/>
          <w:sz w:val="28"/>
          <w:vertAlign w:val="subscript"/>
        </w:rPr>
        <w:t>2</w:t>
      </w:r>
      <w:r>
        <w:rPr>
          <w:rFonts w:ascii="Times New Roman" w:hAnsi="Times New Roman" w:eastAsia="楷体_GB2312" w:cs="Times New Roman"/>
          <w:sz w:val="28"/>
        </w:rPr>
        <w:t>—基准地价下调最大幅度；</w:t>
      </w:r>
    </w:p>
    <w:p w14:paraId="7692CA8E">
      <w:pPr>
        <w:pStyle w:val="20"/>
        <w:spacing w:line="480" w:lineRule="exact"/>
        <w:ind w:firstLine="1400" w:firstLineChars="500"/>
        <w:rPr>
          <w:rFonts w:ascii="Times New Roman" w:hAnsi="Times New Roman" w:eastAsia="楷体_GB2312" w:cs="Times New Roman"/>
          <w:sz w:val="28"/>
        </w:rPr>
      </w:pPr>
      <w:r>
        <w:rPr>
          <w:rFonts w:ascii="Times New Roman" w:hAnsi="Times New Roman" w:eastAsia="楷体_GB2312" w:cs="Times New Roman"/>
          <w:sz w:val="28"/>
        </w:rPr>
        <w:t>F</w:t>
      </w:r>
      <w:r>
        <w:rPr>
          <w:rFonts w:ascii="Times New Roman" w:hAnsi="Times New Roman" w:eastAsia="楷体_GB2312" w:cs="Times New Roman"/>
          <w:sz w:val="28"/>
          <w:vertAlign w:val="subscript"/>
        </w:rPr>
        <w:t>eb</w:t>
      </w:r>
      <w:r>
        <w:rPr>
          <w:rFonts w:ascii="Times New Roman" w:hAnsi="Times New Roman" w:eastAsia="楷体_GB2312" w:cs="Times New Roman"/>
          <w:sz w:val="28"/>
        </w:rPr>
        <w:t>—基准地价平均值；</w:t>
      </w:r>
    </w:p>
    <w:p w14:paraId="6C27133B">
      <w:pPr>
        <w:pStyle w:val="20"/>
        <w:spacing w:line="480" w:lineRule="exact"/>
        <w:ind w:firstLine="1400" w:firstLineChars="500"/>
        <w:rPr>
          <w:rFonts w:ascii="Times New Roman" w:hAnsi="Times New Roman" w:eastAsia="楷体_GB2312" w:cs="Times New Roman"/>
          <w:sz w:val="28"/>
        </w:rPr>
      </w:pPr>
      <w:r>
        <w:rPr>
          <w:rFonts w:ascii="Times New Roman" w:hAnsi="Times New Roman" w:eastAsia="楷体_GB2312" w:cs="Times New Roman"/>
          <w:sz w:val="28"/>
        </w:rPr>
        <w:t>F</w:t>
      </w:r>
      <w:r>
        <w:rPr>
          <w:rFonts w:ascii="Times New Roman" w:hAnsi="Times New Roman" w:eastAsia="楷体_GB2312" w:cs="Times New Roman"/>
          <w:sz w:val="28"/>
          <w:vertAlign w:val="subscript"/>
        </w:rPr>
        <w:t>nh</w:t>
      </w:r>
      <w:r>
        <w:rPr>
          <w:rFonts w:ascii="Times New Roman" w:hAnsi="Times New Roman" w:eastAsia="楷体_GB2312" w:cs="Times New Roman"/>
          <w:sz w:val="28"/>
        </w:rPr>
        <w:t>—基准地价变幅高限；</w:t>
      </w:r>
    </w:p>
    <w:p w14:paraId="0200C323">
      <w:pPr>
        <w:pStyle w:val="20"/>
        <w:spacing w:line="480" w:lineRule="exact"/>
        <w:ind w:firstLine="1400" w:firstLineChars="500"/>
        <w:rPr>
          <w:rFonts w:ascii="Times New Roman" w:hAnsi="Times New Roman" w:eastAsia="楷体_GB2312" w:cs="Times New Roman"/>
          <w:sz w:val="28"/>
        </w:rPr>
      </w:pPr>
      <w:r>
        <w:rPr>
          <w:rFonts w:ascii="Times New Roman" w:hAnsi="Times New Roman" w:eastAsia="楷体_GB2312" w:cs="Times New Roman"/>
          <w:sz w:val="28"/>
        </w:rPr>
        <w:t>F</w:t>
      </w:r>
      <w:r>
        <w:rPr>
          <w:rFonts w:ascii="Times New Roman" w:hAnsi="Times New Roman" w:eastAsia="楷体_GB2312" w:cs="Times New Roman"/>
          <w:sz w:val="28"/>
          <w:vertAlign w:val="subscript"/>
        </w:rPr>
        <w:t>nl</w:t>
      </w:r>
      <w:r>
        <w:rPr>
          <w:rFonts w:ascii="Times New Roman" w:hAnsi="Times New Roman" w:eastAsia="楷体_GB2312" w:cs="Times New Roman"/>
          <w:sz w:val="28"/>
        </w:rPr>
        <w:t>—基准地价变幅低限。</w:t>
      </w:r>
    </w:p>
    <w:p w14:paraId="0100F0B9">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2、以各影响因素的权重值乘上调或下调幅度最高值可得因素的修正幅度，计算公式如下：</w:t>
      </w:r>
    </w:p>
    <w:p w14:paraId="5F68E4BC">
      <w:pPr>
        <w:pStyle w:val="20"/>
        <w:spacing w:line="480" w:lineRule="exact"/>
        <w:ind w:firstLine="560" w:firstLineChars="200"/>
        <w:jc w:val="center"/>
        <w:rPr>
          <w:rFonts w:ascii="Times New Roman" w:hAnsi="Times New Roman" w:eastAsia="楷体_GB2312" w:cs="Times New Roman"/>
          <w:sz w:val="28"/>
        </w:rPr>
      </w:pPr>
      <w:r>
        <w:rPr>
          <w:rFonts w:ascii="Times New Roman" w:hAnsi="Times New Roman" w:eastAsia="楷体_GB2312" w:cs="Times New Roman"/>
          <w:sz w:val="28"/>
        </w:rPr>
        <w:t>F</w:t>
      </w:r>
      <w:r>
        <w:rPr>
          <w:rFonts w:ascii="Times New Roman" w:hAnsi="Times New Roman" w:eastAsia="楷体_GB2312" w:cs="Times New Roman"/>
          <w:sz w:val="28"/>
          <w:vertAlign w:val="subscript"/>
        </w:rPr>
        <w:t>1i</w:t>
      </w:r>
      <w:r>
        <w:rPr>
          <w:rFonts w:ascii="Times New Roman" w:hAnsi="Times New Roman" w:eastAsia="楷体_GB2312" w:cs="Times New Roman"/>
          <w:sz w:val="28"/>
        </w:rPr>
        <w:t>=F</w:t>
      </w:r>
      <w:r>
        <w:rPr>
          <w:rFonts w:ascii="Times New Roman" w:hAnsi="Times New Roman" w:eastAsia="楷体_GB2312" w:cs="Times New Roman"/>
          <w:sz w:val="28"/>
          <w:vertAlign w:val="subscript"/>
        </w:rPr>
        <w:t>1</w:t>
      </w:r>
      <w:r>
        <w:rPr>
          <w:rFonts w:ascii="Times New Roman" w:hAnsi="Times New Roman" w:eastAsia="楷体_GB2312" w:cs="Times New Roman"/>
          <w:sz w:val="28"/>
        </w:rPr>
        <w:t>W</w:t>
      </w:r>
      <w:r>
        <w:rPr>
          <w:rFonts w:ascii="Times New Roman" w:hAnsi="Times New Roman" w:eastAsia="楷体_GB2312" w:cs="Times New Roman"/>
          <w:sz w:val="28"/>
          <w:vertAlign w:val="subscript"/>
        </w:rPr>
        <w:t>i</w:t>
      </w:r>
    </w:p>
    <w:p w14:paraId="3DE8AF88">
      <w:pPr>
        <w:pStyle w:val="20"/>
        <w:spacing w:line="480" w:lineRule="exact"/>
        <w:ind w:firstLine="560" w:firstLineChars="200"/>
        <w:jc w:val="center"/>
        <w:rPr>
          <w:rFonts w:ascii="Times New Roman" w:hAnsi="Times New Roman" w:eastAsia="楷体_GB2312" w:cs="Times New Roman"/>
          <w:sz w:val="28"/>
        </w:rPr>
      </w:pPr>
      <w:r>
        <w:rPr>
          <w:rFonts w:ascii="Times New Roman" w:hAnsi="Times New Roman" w:eastAsia="楷体_GB2312" w:cs="Times New Roman"/>
          <w:sz w:val="28"/>
        </w:rPr>
        <w:t>F</w:t>
      </w:r>
      <w:r>
        <w:rPr>
          <w:rFonts w:ascii="Times New Roman" w:hAnsi="Times New Roman" w:eastAsia="楷体_GB2312" w:cs="Times New Roman"/>
          <w:sz w:val="28"/>
          <w:vertAlign w:val="subscript"/>
        </w:rPr>
        <w:t>2i</w:t>
      </w:r>
      <w:r>
        <w:rPr>
          <w:rFonts w:ascii="Times New Roman" w:hAnsi="Times New Roman" w:eastAsia="楷体_GB2312" w:cs="Times New Roman"/>
          <w:sz w:val="28"/>
        </w:rPr>
        <w:t>=F</w:t>
      </w:r>
      <w:r>
        <w:rPr>
          <w:rFonts w:ascii="Times New Roman" w:hAnsi="Times New Roman" w:eastAsia="楷体_GB2312" w:cs="Times New Roman"/>
          <w:sz w:val="28"/>
          <w:vertAlign w:val="subscript"/>
        </w:rPr>
        <w:t>2</w:t>
      </w:r>
      <w:r>
        <w:rPr>
          <w:rFonts w:ascii="Times New Roman" w:hAnsi="Times New Roman" w:eastAsia="楷体_GB2312" w:cs="Times New Roman"/>
          <w:sz w:val="28"/>
        </w:rPr>
        <w:t>W</w:t>
      </w:r>
      <w:r>
        <w:rPr>
          <w:rFonts w:ascii="Times New Roman" w:hAnsi="Times New Roman" w:eastAsia="楷体_GB2312" w:cs="Times New Roman"/>
          <w:sz w:val="28"/>
          <w:vertAlign w:val="subscript"/>
        </w:rPr>
        <w:t>i</w:t>
      </w:r>
    </w:p>
    <w:p w14:paraId="30FD166D">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式中：F</w:t>
      </w:r>
      <w:r>
        <w:rPr>
          <w:rFonts w:ascii="Times New Roman" w:hAnsi="Times New Roman" w:eastAsia="楷体_GB2312" w:cs="Times New Roman"/>
          <w:sz w:val="28"/>
          <w:vertAlign w:val="subscript"/>
        </w:rPr>
        <w:t>1i</w:t>
      </w:r>
      <w:r>
        <w:rPr>
          <w:rFonts w:ascii="Times New Roman" w:hAnsi="Times New Roman" w:eastAsia="楷体_GB2312" w:cs="Times New Roman"/>
          <w:sz w:val="28"/>
        </w:rPr>
        <w:t>—某影响因素的上调幅度；</w:t>
      </w:r>
    </w:p>
    <w:p w14:paraId="542D80CF">
      <w:pPr>
        <w:pStyle w:val="20"/>
        <w:spacing w:line="480" w:lineRule="exact"/>
        <w:ind w:firstLine="1400" w:firstLineChars="500"/>
        <w:rPr>
          <w:rFonts w:ascii="Times New Roman" w:hAnsi="Times New Roman" w:eastAsia="楷体_GB2312" w:cs="Times New Roman"/>
          <w:sz w:val="28"/>
        </w:rPr>
      </w:pPr>
      <w:r>
        <w:rPr>
          <w:rFonts w:ascii="Times New Roman" w:hAnsi="Times New Roman" w:eastAsia="楷体_GB2312" w:cs="Times New Roman"/>
          <w:sz w:val="28"/>
        </w:rPr>
        <w:t>F</w:t>
      </w:r>
      <w:r>
        <w:rPr>
          <w:rFonts w:ascii="Times New Roman" w:hAnsi="Times New Roman" w:eastAsia="楷体_GB2312" w:cs="Times New Roman"/>
          <w:sz w:val="28"/>
          <w:vertAlign w:val="subscript"/>
        </w:rPr>
        <w:t>2i</w:t>
      </w:r>
      <w:r>
        <w:rPr>
          <w:rFonts w:ascii="Times New Roman" w:hAnsi="Times New Roman" w:eastAsia="楷体_GB2312" w:cs="Times New Roman"/>
          <w:sz w:val="28"/>
        </w:rPr>
        <w:t>—某影响因素的下调幅度；</w:t>
      </w:r>
    </w:p>
    <w:p w14:paraId="75918324">
      <w:pPr>
        <w:pStyle w:val="20"/>
        <w:spacing w:line="480" w:lineRule="exact"/>
        <w:ind w:firstLine="1400" w:firstLineChars="500"/>
        <w:rPr>
          <w:rFonts w:ascii="Times New Roman" w:hAnsi="Times New Roman" w:eastAsia="楷体_GB2312" w:cs="Times New Roman"/>
          <w:sz w:val="28"/>
        </w:rPr>
      </w:pPr>
      <w:r>
        <w:rPr>
          <w:rFonts w:ascii="Times New Roman" w:hAnsi="Times New Roman" w:eastAsia="楷体_GB2312" w:cs="Times New Roman"/>
          <w:sz w:val="28"/>
        </w:rPr>
        <w:t>W</w:t>
      </w:r>
      <w:r>
        <w:rPr>
          <w:rFonts w:ascii="Times New Roman" w:hAnsi="Times New Roman" w:eastAsia="楷体_GB2312" w:cs="Times New Roman"/>
          <w:sz w:val="28"/>
          <w:vertAlign w:val="subscript"/>
        </w:rPr>
        <w:t>i</w:t>
      </w:r>
      <w:r>
        <w:rPr>
          <w:rFonts w:ascii="Times New Roman" w:hAnsi="Times New Roman" w:eastAsia="楷体_GB2312" w:cs="Times New Roman"/>
          <w:sz w:val="28"/>
        </w:rPr>
        <w:t>—某影响因素的权重值。</w:t>
      </w:r>
    </w:p>
    <w:p w14:paraId="4F44787C">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3、修正系数表及其说明表编制</w:t>
      </w:r>
    </w:p>
    <w:p w14:paraId="6A33996C">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（1）以基准地价为一般水平，其修正系数为零，以某因素上调幅度F</w:t>
      </w:r>
      <w:r>
        <w:rPr>
          <w:rFonts w:ascii="Times New Roman" w:hAnsi="Times New Roman" w:eastAsia="楷体_GB2312" w:cs="Times New Roman"/>
          <w:sz w:val="28"/>
          <w:vertAlign w:val="subscript"/>
        </w:rPr>
        <w:t>1i</w:t>
      </w:r>
      <w:r>
        <w:rPr>
          <w:rFonts w:ascii="Times New Roman" w:hAnsi="Times New Roman" w:eastAsia="楷体_GB2312" w:cs="Times New Roman"/>
          <w:sz w:val="28"/>
        </w:rPr>
        <w:t>为优级水平的修正系数，在一般水平和优级水平之间，内插条件较优的修正系数，取F</w:t>
      </w:r>
      <w:r>
        <w:rPr>
          <w:rFonts w:ascii="Times New Roman" w:hAnsi="Times New Roman" w:eastAsia="楷体_GB2312" w:cs="Times New Roman"/>
          <w:sz w:val="28"/>
          <w:vertAlign w:val="subscript"/>
        </w:rPr>
        <w:t>li</w:t>
      </w:r>
      <w:r>
        <w:rPr>
          <w:rFonts w:ascii="Times New Roman" w:hAnsi="Times New Roman" w:eastAsia="楷体_GB2312" w:cs="Times New Roman"/>
          <w:sz w:val="28"/>
        </w:rPr>
        <w:t>/2，同时，以某因素下调幅度F</w:t>
      </w:r>
      <w:r>
        <w:rPr>
          <w:rFonts w:ascii="Times New Roman" w:hAnsi="Times New Roman" w:eastAsia="楷体_GB2312" w:cs="Times New Roman"/>
          <w:sz w:val="28"/>
          <w:vertAlign w:val="subscript"/>
        </w:rPr>
        <w:t>2i</w:t>
      </w:r>
      <w:r>
        <w:rPr>
          <w:rFonts w:ascii="Times New Roman" w:hAnsi="Times New Roman" w:eastAsia="楷体_GB2312" w:cs="Times New Roman"/>
          <w:sz w:val="28"/>
        </w:rPr>
        <w:t>为劣级水平的修正系数，在一般水平与劣级水平之间，内插条件较劣的修正系数，取F</w:t>
      </w:r>
      <w:r>
        <w:rPr>
          <w:rFonts w:ascii="Times New Roman" w:hAnsi="Times New Roman" w:eastAsia="楷体_GB2312" w:cs="Times New Roman"/>
          <w:sz w:val="28"/>
          <w:vertAlign w:val="subscript"/>
        </w:rPr>
        <w:t>2i</w:t>
      </w:r>
      <w:r>
        <w:rPr>
          <w:rFonts w:ascii="Times New Roman" w:hAnsi="Times New Roman" w:eastAsia="楷体_GB2312" w:cs="Times New Roman"/>
          <w:sz w:val="28"/>
        </w:rPr>
        <w:t>/2。按优、较优、一般、较劣、劣编制各类用途宗地地价修正系数表。</w:t>
      </w:r>
    </w:p>
    <w:p w14:paraId="233D82E0">
      <w:pPr>
        <w:pStyle w:val="20"/>
        <w:spacing w:line="480" w:lineRule="exact"/>
        <w:ind w:firstLine="552" w:firstLineChars="200"/>
        <w:rPr>
          <w:rFonts w:ascii="Times New Roman" w:hAnsi="Times New Roman" w:eastAsia="楷体_GB2312" w:cs="Times New Roman"/>
          <w:spacing w:val="-2"/>
          <w:sz w:val="28"/>
        </w:rPr>
      </w:pPr>
      <w:r>
        <w:rPr>
          <w:rFonts w:ascii="Times New Roman" w:hAnsi="Times New Roman" w:eastAsia="楷体_GB2312" w:cs="Times New Roman"/>
          <w:spacing w:val="-2"/>
          <w:sz w:val="28"/>
        </w:rPr>
        <w:t>（2）分析各乡镇区各级别土地利用状况及各类用地特征，根据上述选择的宗地地价影响因素，确定镇区各级别各因素的优、较优、一般、较劣、劣的分级指标，编制修正系数说明表。并选择一些典型估价样点对之进行验证调整。</w:t>
      </w:r>
    </w:p>
    <w:p w14:paraId="3B0932A3">
      <w:pPr>
        <w:pStyle w:val="20"/>
        <w:spacing w:line="480" w:lineRule="exact"/>
        <w:ind w:firstLine="562" w:firstLineChars="200"/>
        <w:rPr>
          <w:rFonts w:ascii="Times New Roman" w:hAnsi="Times New Roman" w:eastAsia="楷体_GB2312" w:cs="Times New Roman"/>
          <w:b/>
          <w:sz w:val="28"/>
        </w:rPr>
      </w:pPr>
      <w:r>
        <w:rPr>
          <w:rFonts w:ascii="Times New Roman" w:hAnsi="Times New Roman" w:eastAsia="楷体_GB2312" w:cs="Times New Roman"/>
          <w:b/>
          <w:sz w:val="28"/>
        </w:rPr>
        <w:t>4、宗地地价计算</w:t>
      </w:r>
    </w:p>
    <w:p w14:paraId="1475BBBC">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按修正系数表所列因素调查待估宗地的实际情况，根据调查宗地的因素状况，由修正系数说明表确定各因素的等级水平，在修正系数表中查取相应的修正系数，并按下式计算宗地地价。</w:t>
      </w:r>
    </w:p>
    <w:p w14:paraId="70D3F6EE">
      <w:pPr>
        <w:pStyle w:val="20"/>
        <w:spacing w:line="480" w:lineRule="exact"/>
        <w:ind w:firstLine="560" w:firstLineChars="200"/>
        <w:jc w:val="center"/>
        <w:rPr>
          <w:rFonts w:ascii="Times New Roman" w:hAnsi="Times New Roman" w:eastAsia="楷体_GB2312" w:cs="Times New Roman"/>
          <w:sz w:val="28"/>
        </w:rPr>
      </w:pPr>
      <w:r>
        <w:rPr>
          <w:rFonts w:ascii="Times New Roman" w:hAnsi="Times New Roman" w:eastAsia="楷体_GB2312" w:cs="Times New Roman"/>
          <w:sz w:val="28"/>
        </w:rPr>
        <w:t>P</w:t>
      </w:r>
      <w:r>
        <w:rPr>
          <w:rFonts w:ascii="Times New Roman" w:hAnsi="Times New Roman" w:eastAsia="楷体_GB2312" w:cs="Times New Roman"/>
          <w:sz w:val="28"/>
          <w:vertAlign w:val="subscript"/>
        </w:rPr>
        <w:t>es</w:t>
      </w:r>
      <w:r>
        <w:rPr>
          <w:rFonts w:ascii="Times New Roman" w:hAnsi="Times New Roman" w:eastAsia="楷体_GB2312" w:cs="Times New Roman"/>
          <w:sz w:val="28"/>
        </w:rPr>
        <w:t>=P</w:t>
      </w:r>
      <w:r>
        <w:rPr>
          <w:rFonts w:ascii="Times New Roman" w:hAnsi="Times New Roman" w:eastAsia="楷体_GB2312" w:cs="Times New Roman"/>
          <w:sz w:val="28"/>
          <w:vertAlign w:val="subscript"/>
        </w:rPr>
        <w:t>eb</w:t>
      </w:r>
      <w:r>
        <w:rPr>
          <w:rFonts w:ascii="Times New Roman" w:hAnsi="Times New Roman" w:eastAsia="楷体_GB2312" w:cs="Times New Roman"/>
          <w:sz w:val="28"/>
        </w:rPr>
        <w:t>(1+</w:t>
      </w:r>
      <w:r>
        <w:rPr>
          <w:rFonts w:ascii="Times New Roman" w:hAnsi="Times New Roman" w:eastAsia="楷体_GB2312" w:cs="Times New Roman"/>
          <w:position w:val="-28"/>
          <w:sz w:val="28"/>
        </w:rPr>
        <w:object>
          <v:shape id="_x0000_i1215" o:spt="75" type="#_x0000_t75" style="height:34pt;width:27pt;" o:ole="t" fillcolor="#6D6D6D" filled="f" stroked="f" coordsize="21600,21600">
            <v:path/>
            <v:fill on="f" alignshape="1" focussize="0,0"/>
            <v:stroke on="f"/>
            <v:imagedata r:id="rId366" o:title=""/>
            <o:lock v:ext="edit" aspectratio="t"/>
            <w10:wrap type="none"/>
            <w10:anchorlock/>
          </v:shape>
          <o:OLEObject Type="Embed" ProgID="Equation.3" ShapeID="_x0000_i1215" DrawAspect="Content" ObjectID="_1468075915" r:id="rId365">
            <o:LockedField>false</o:LockedField>
          </o:OLEObject>
        </w:object>
      </w:r>
      <w:r>
        <w:rPr>
          <w:rFonts w:ascii="Times New Roman" w:hAnsi="Times New Roman" w:eastAsia="楷体_GB2312" w:cs="Times New Roman"/>
          <w:sz w:val="28"/>
        </w:rPr>
        <w:t>)</w:t>
      </w:r>
    </w:p>
    <w:p w14:paraId="226718A2">
      <w:pPr>
        <w:pStyle w:val="20"/>
        <w:spacing w:line="480" w:lineRule="exact"/>
        <w:ind w:firstLine="560" w:firstLineChars="200"/>
        <w:rPr>
          <w:rFonts w:ascii="Times New Roman" w:hAnsi="Times New Roman" w:eastAsia="楷体_GB2312" w:cs="Times New Roman"/>
          <w:sz w:val="28"/>
        </w:rPr>
      </w:pPr>
      <w:r>
        <w:rPr>
          <w:rFonts w:ascii="Times New Roman" w:hAnsi="Times New Roman" w:eastAsia="楷体_GB2312" w:cs="Times New Roman"/>
          <w:sz w:val="28"/>
        </w:rPr>
        <w:t>式中：P</w:t>
      </w:r>
      <w:r>
        <w:rPr>
          <w:rFonts w:ascii="Times New Roman" w:hAnsi="Times New Roman" w:eastAsia="楷体_GB2312" w:cs="Times New Roman"/>
          <w:sz w:val="28"/>
          <w:vertAlign w:val="subscript"/>
        </w:rPr>
        <w:t>es</w:t>
      </w:r>
      <w:r>
        <w:rPr>
          <w:rFonts w:ascii="Times New Roman" w:hAnsi="Times New Roman" w:eastAsia="楷体_GB2312" w:cs="Times New Roman"/>
          <w:sz w:val="28"/>
        </w:rPr>
        <w:t>—待估宗地地价；</w:t>
      </w:r>
    </w:p>
    <w:p w14:paraId="1C227BE9">
      <w:pPr>
        <w:pStyle w:val="20"/>
        <w:spacing w:line="480" w:lineRule="exact"/>
        <w:ind w:firstLine="1400" w:firstLineChars="500"/>
        <w:rPr>
          <w:rFonts w:ascii="Times New Roman" w:hAnsi="Times New Roman" w:eastAsia="楷体_GB2312" w:cs="Times New Roman"/>
          <w:sz w:val="28"/>
        </w:rPr>
      </w:pPr>
      <w:r>
        <w:rPr>
          <w:rFonts w:ascii="Times New Roman" w:hAnsi="Times New Roman" w:eastAsia="楷体_GB2312" w:cs="Times New Roman"/>
          <w:sz w:val="28"/>
        </w:rPr>
        <w:t>P</w:t>
      </w:r>
      <w:r>
        <w:rPr>
          <w:rFonts w:ascii="Times New Roman" w:hAnsi="Times New Roman" w:eastAsia="楷体_GB2312" w:cs="Times New Roman"/>
          <w:sz w:val="28"/>
          <w:vertAlign w:val="subscript"/>
        </w:rPr>
        <w:t>eb</w:t>
      </w:r>
      <w:r>
        <w:rPr>
          <w:rFonts w:ascii="Times New Roman" w:hAnsi="Times New Roman" w:eastAsia="楷体_GB2312" w:cs="Times New Roman"/>
          <w:sz w:val="28"/>
        </w:rPr>
        <w:t>—宗地所在镇区的基准地价；</w:t>
      </w:r>
    </w:p>
    <w:p w14:paraId="2D7CDF53">
      <w:pPr>
        <w:pStyle w:val="20"/>
        <w:spacing w:line="480" w:lineRule="exact"/>
        <w:ind w:firstLine="1400" w:firstLineChars="500"/>
        <w:rPr>
          <w:rFonts w:ascii="Times New Roman" w:hAnsi="Times New Roman" w:eastAsia="楷体_GB2312" w:cs="Times New Roman"/>
          <w:sz w:val="28"/>
        </w:rPr>
      </w:pPr>
      <w:r>
        <w:rPr>
          <w:rFonts w:ascii="Times New Roman" w:hAnsi="Times New Roman" w:eastAsia="楷体_GB2312" w:cs="Times New Roman"/>
          <w:sz w:val="28"/>
        </w:rPr>
        <w:t>r</w:t>
      </w:r>
      <w:r>
        <w:rPr>
          <w:rFonts w:ascii="Times New Roman" w:hAnsi="Times New Roman" w:eastAsia="楷体_GB2312" w:cs="Times New Roman"/>
          <w:sz w:val="28"/>
          <w:vertAlign w:val="subscript"/>
        </w:rPr>
        <w:t>i</w:t>
      </w:r>
      <w:r>
        <w:rPr>
          <w:rFonts w:ascii="Times New Roman" w:hAnsi="Times New Roman" w:eastAsia="楷体_GB2312" w:cs="Times New Roman"/>
          <w:sz w:val="28"/>
        </w:rPr>
        <w:t>—各因素的修正系数；</w:t>
      </w:r>
    </w:p>
    <w:p w14:paraId="44CE43FC">
      <w:pPr>
        <w:spacing w:line="480" w:lineRule="exact"/>
        <w:ind w:firstLine="1400" w:firstLineChars="500"/>
        <w:rPr>
          <w:rFonts w:eastAsia="楷体_GB2312"/>
          <w:sz w:val="28"/>
        </w:rPr>
      </w:pPr>
      <w:r>
        <w:rPr>
          <w:rFonts w:eastAsia="楷体_GB2312"/>
          <w:sz w:val="28"/>
        </w:rPr>
        <w:t>n—影响因素个数。</w:t>
      </w:r>
    </w:p>
    <w:p w14:paraId="6541A5DD">
      <w:pPr>
        <w:spacing w:line="480" w:lineRule="exact"/>
        <w:ind w:firstLine="1600" w:firstLineChars="500"/>
        <w:rPr>
          <w:rFonts w:eastAsia="楷体_GB2312"/>
          <w:sz w:val="32"/>
          <w:szCs w:val="21"/>
        </w:rPr>
      </w:pPr>
    </w:p>
    <w:p w14:paraId="251126CB">
      <w:pPr>
        <w:pStyle w:val="4"/>
        <w:numPr>
          <w:ilvl w:val="0"/>
          <w:numId w:val="0"/>
        </w:numPr>
        <w:spacing w:line="240" w:lineRule="auto"/>
        <w:jc w:val="center"/>
        <w:rPr>
          <w:rFonts w:eastAsia="仿宋_GB2312"/>
          <w:bCs w:val="0"/>
        </w:rPr>
      </w:pPr>
      <w:bookmarkStart w:id="121" w:name="_Toc62563709"/>
      <w:r>
        <w:rPr>
          <w:rFonts w:eastAsia="仿宋_GB2312"/>
          <w:bCs w:val="0"/>
        </w:rPr>
        <w:t>第二节  其他修正体系的建立</w:t>
      </w:r>
      <w:bookmarkEnd w:id="121"/>
    </w:p>
    <w:p w14:paraId="41F25D85">
      <w:pPr>
        <w:widowControl w:val="0"/>
        <w:spacing w:line="480" w:lineRule="exact"/>
        <w:ind w:firstLine="560" w:firstLineChars="200"/>
        <w:jc w:val="both"/>
        <w:rPr>
          <w:rFonts w:eastAsia="楷体_GB2312"/>
          <w:sz w:val="28"/>
          <w:szCs w:val="21"/>
        </w:rPr>
      </w:pPr>
      <w:r>
        <w:rPr>
          <w:rFonts w:eastAsia="楷体_GB2312"/>
          <w:sz w:val="28"/>
          <w:szCs w:val="21"/>
        </w:rPr>
        <w:t>基准地价评估宗地地价的过程中除了对前述的区域因素和个别因素进行修正外，还需进行容积率修正。</w:t>
      </w:r>
    </w:p>
    <w:p w14:paraId="74B84E85">
      <w:pPr>
        <w:widowControl w:val="0"/>
        <w:spacing w:line="480" w:lineRule="exact"/>
        <w:ind w:firstLine="560" w:firstLineChars="200"/>
        <w:jc w:val="both"/>
        <w:rPr>
          <w:rFonts w:eastAsia="楷体_GB2312"/>
          <w:sz w:val="28"/>
          <w:szCs w:val="21"/>
        </w:rPr>
        <w:sectPr>
          <w:pgSz w:w="11906" w:h="16838"/>
          <w:pgMar w:top="1758" w:right="1474" w:bottom="1474" w:left="1644" w:header="1134" w:footer="992" w:gutter="0"/>
          <w:cols w:space="720" w:num="1"/>
          <w:docGrid w:linePitch="312" w:charSpace="0"/>
        </w:sectPr>
      </w:pPr>
      <w:r>
        <w:rPr>
          <w:rFonts w:eastAsia="楷体_GB2312"/>
          <w:sz w:val="28"/>
          <w:szCs w:val="21"/>
        </w:rPr>
        <w:t>基准地价对应的容积率是该用途土地在该级别或区段内的平均容积率，但是各具体宗地的容积率与平均容积率并不一致，同时容积率的差异对地价的影响又极大，而在编制因素修正系数表时难以将容积率变化对地价的影响考虑进去，因此单独编制了容积率修正系数表（详见本篇第二章第四节）。</w:t>
      </w:r>
    </w:p>
    <w:p w14:paraId="7D15BFA1">
      <w:pPr>
        <w:pStyle w:val="3"/>
        <w:spacing w:line="240" w:lineRule="auto"/>
        <w:jc w:val="center"/>
        <w:rPr>
          <w:rFonts w:ascii="Times New Roman" w:hAnsi="Times New Roman"/>
          <w:sz w:val="36"/>
          <w:szCs w:val="24"/>
          <w:shd w:val="clear" w:color="auto" w:fill="FFFFFF"/>
        </w:rPr>
      </w:pPr>
      <w:bookmarkStart w:id="122" w:name="_Toc62563710"/>
      <w:r>
        <w:rPr>
          <w:rFonts w:ascii="Times New Roman" w:hAnsi="Times New Roman" w:eastAsia="宋体"/>
          <w:bCs w:val="0"/>
          <w:sz w:val="36"/>
        </w:rPr>
        <w:t>第十章  成果应用建议</w:t>
      </w:r>
      <w:bookmarkEnd w:id="122"/>
    </w:p>
    <w:p w14:paraId="5443046D">
      <w:pPr>
        <w:pStyle w:val="4"/>
        <w:numPr>
          <w:ilvl w:val="0"/>
          <w:numId w:val="0"/>
        </w:numPr>
        <w:spacing w:line="240" w:lineRule="auto"/>
        <w:jc w:val="center"/>
        <w:rPr>
          <w:rFonts w:eastAsia="仿宋_GB2312"/>
          <w:bCs w:val="0"/>
        </w:rPr>
      </w:pPr>
      <w:bookmarkStart w:id="123" w:name="_Toc25588299"/>
      <w:bookmarkStart w:id="124" w:name="_Toc62483981"/>
      <w:bookmarkStart w:id="125" w:name="_Toc62563711"/>
      <w:r>
        <w:rPr>
          <w:rFonts w:eastAsia="仿宋_GB2312"/>
          <w:bCs w:val="0"/>
        </w:rPr>
        <w:t>第一节  成果说明</w:t>
      </w:r>
      <w:bookmarkEnd w:id="123"/>
      <w:bookmarkEnd w:id="124"/>
      <w:bookmarkEnd w:id="125"/>
    </w:p>
    <w:p w14:paraId="1B920E6E">
      <w:pPr>
        <w:widowControl w:val="0"/>
        <w:spacing w:line="480" w:lineRule="exact"/>
        <w:ind w:firstLine="555"/>
        <w:jc w:val="both"/>
        <w:rPr>
          <w:rFonts w:eastAsia="楷体_GB2312"/>
          <w:sz w:val="28"/>
        </w:rPr>
      </w:pPr>
      <w:r>
        <w:rPr>
          <w:rFonts w:hint="eastAsia" w:ascii="楷体" w:hAnsi="楷体" w:eastAsia="楷体" w:cs="宋体"/>
          <w:sz w:val="28"/>
          <w:szCs w:val="21"/>
        </w:rPr>
        <w:t>埇</w:t>
      </w:r>
      <w:r>
        <w:rPr>
          <w:rFonts w:hint="eastAsia" w:ascii="楷体_GB2312" w:hAnsi="楷体_GB2312" w:eastAsia="楷体_GB2312" w:cs="楷体_GB2312"/>
          <w:sz w:val="28"/>
        </w:rPr>
        <w:t>桥区</w:t>
      </w:r>
      <w:r>
        <w:rPr>
          <w:rFonts w:eastAsia="楷体_GB2312"/>
          <w:sz w:val="28"/>
        </w:rPr>
        <w:t>乡镇土地定级与基准地价更新工作所完成的成果主要包括两个方面，即土地定级成果和基准地价评估成果。</w:t>
      </w:r>
    </w:p>
    <w:p w14:paraId="1F4DFD3A">
      <w:pPr>
        <w:widowControl w:val="0"/>
        <w:spacing w:before="120" w:beforeLines="50" w:after="120" w:afterLines="50" w:line="480" w:lineRule="exact"/>
        <w:ind w:firstLine="562" w:firstLineChars="200"/>
        <w:jc w:val="both"/>
        <w:rPr>
          <w:b/>
          <w:sz w:val="28"/>
          <w:szCs w:val="21"/>
        </w:rPr>
      </w:pPr>
      <w:r>
        <w:rPr>
          <w:b/>
          <w:sz w:val="28"/>
          <w:szCs w:val="21"/>
        </w:rPr>
        <w:t>一、土地定级成果</w:t>
      </w:r>
    </w:p>
    <w:p w14:paraId="50E18BC5">
      <w:pPr>
        <w:widowControl w:val="0"/>
        <w:spacing w:line="480" w:lineRule="exact"/>
        <w:ind w:firstLine="555"/>
        <w:jc w:val="both"/>
        <w:rPr>
          <w:rFonts w:eastAsia="楷体_GB2312"/>
          <w:sz w:val="28"/>
        </w:rPr>
      </w:pPr>
      <w:r>
        <w:rPr>
          <w:rFonts w:eastAsia="楷体_GB2312"/>
          <w:sz w:val="28"/>
        </w:rPr>
        <w:t>本次工作对</w:t>
      </w:r>
      <w:r>
        <w:rPr>
          <w:rFonts w:hint="eastAsia" w:ascii="楷体" w:hAnsi="楷体" w:eastAsia="楷体" w:cs="宋体"/>
          <w:sz w:val="28"/>
          <w:szCs w:val="21"/>
        </w:rPr>
        <w:t>埇</w:t>
      </w:r>
      <w:r>
        <w:rPr>
          <w:rFonts w:hint="eastAsia" w:ascii="楷体_GB2312" w:hAnsi="楷体_GB2312" w:eastAsia="楷体_GB2312" w:cs="楷体_GB2312"/>
          <w:sz w:val="28"/>
        </w:rPr>
        <w:t>桥区</w:t>
      </w:r>
      <w:r>
        <w:rPr>
          <w:rFonts w:eastAsia="楷体_GB2312"/>
          <w:sz w:val="28"/>
        </w:rPr>
        <w:t>乡镇土地进行了综合定级，形成的土地定级成果有：</w:t>
      </w:r>
    </w:p>
    <w:p w14:paraId="6665842B">
      <w:pPr>
        <w:widowControl w:val="0"/>
        <w:spacing w:line="480" w:lineRule="exact"/>
        <w:ind w:firstLine="555"/>
        <w:jc w:val="both"/>
        <w:rPr>
          <w:rFonts w:eastAsia="楷体_GB2312"/>
          <w:sz w:val="28"/>
        </w:rPr>
      </w:pPr>
      <w:r>
        <w:rPr>
          <w:rFonts w:eastAsia="楷体_GB2312"/>
          <w:sz w:val="28"/>
        </w:rPr>
        <w:t>1、各乡镇综合土地级别图；</w:t>
      </w:r>
    </w:p>
    <w:p w14:paraId="763A0633">
      <w:pPr>
        <w:widowControl w:val="0"/>
        <w:spacing w:line="480" w:lineRule="exact"/>
        <w:ind w:firstLine="555"/>
        <w:jc w:val="both"/>
        <w:rPr>
          <w:rFonts w:eastAsia="楷体_GB2312"/>
          <w:sz w:val="28"/>
        </w:rPr>
      </w:pPr>
      <w:r>
        <w:rPr>
          <w:rFonts w:eastAsia="楷体_GB2312"/>
          <w:sz w:val="28"/>
        </w:rPr>
        <w:t>2、土地定级因素作用分值图、综合作用总分图；</w:t>
      </w:r>
    </w:p>
    <w:p w14:paraId="5AC1D202">
      <w:pPr>
        <w:widowControl w:val="0"/>
        <w:spacing w:line="480" w:lineRule="exact"/>
        <w:ind w:firstLine="555"/>
        <w:jc w:val="both"/>
        <w:rPr>
          <w:rFonts w:eastAsia="楷体_GB2312"/>
          <w:sz w:val="28"/>
        </w:rPr>
      </w:pPr>
      <w:r>
        <w:rPr>
          <w:rFonts w:eastAsia="楷体_GB2312"/>
          <w:sz w:val="28"/>
        </w:rPr>
        <w:t>3、土地级别与总分对照表；</w:t>
      </w:r>
    </w:p>
    <w:p w14:paraId="4E91F1E2">
      <w:pPr>
        <w:widowControl w:val="0"/>
        <w:spacing w:line="480" w:lineRule="exact"/>
        <w:ind w:firstLine="555"/>
        <w:jc w:val="both"/>
        <w:rPr>
          <w:rFonts w:eastAsia="楷体_GB2312"/>
          <w:sz w:val="28"/>
        </w:rPr>
      </w:pPr>
      <w:r>
        <w:rPr>
          <w:rFonts w:eastAsia="楷体_GB2312"/>
          <w:sz w:val="28"/>
        </w:rPr>
        <w:t>4、土地级别级图斑面积量算表与统计表；</w:t>
      </w:r>
    </w:p>
    <w:p w14:paraId="7919C683">
      <w:pPr>
        <w:widowControl w:val="0"/>
        <w:spacing w:line="480" w:lineRule="exact"/>
        <w:ind w:firstLine="555"/>
        <w:jc w:val="both"/>
        <w:rPr>
          <w:rFonts w:eastAsia="楷体_GB2312"/>
          <w:sz w:val="28"/>
        </w:rPr>
      </w:pPr>
      <w:r>
        <w:rPr>
          <w:rFonts w:eastAsia="楷体_GB2312"/>
          <w:sz w:val="28"/>
        </w:rPr>
        <w:t>5、土地定级技术报告。</w:t>
      </w:r>
    </w:p>
    <w:p w14:paraId="521DD2D6">
      <w:pPr>
        <w:widowControl w:val="0"/>
        <w:spacing w:before="120" w:beforeLines="50" w:after="120" w:afterLines="50" w:line="480" w:lineRule="exact"/>
        <w:ind w:firstLine="562" w:firstLineChars="200"/>
        <w:jc w:val="both"/>
        <w:rPr>
          <w:b/>
          <w:sz w:val="28"/>
          <w:szCs w:val="21"/>
        </w:rPr>
      </w:pPr>
      <w:r>
        <w:rPr>
          <w:b/>
          <w:sz w:val="28"/>
          <w:szCs w:val="21"/>
        </w:rPr>
        <w:t>二、基准地价评估成果</w:t>
      </w:r>
    </w:p>
    <w:p w14:paraId="42D0E8AC">
      <w:pPr>
        <w:widowControl w:val="0"/>
        <w:spacing w:line="480" w:lineRule="exact"/>
        <w:ind w:firstLine="555"/>
        <w:jc w:val="both"/>
        <w:rPr>
          <w:rFonts w:eastAsia="楷体_GB2312"/>
          <w:sz w:val="28"/>
        </w:rPr>
      </w:pPr>
      <w:r>
        <w:rPr>
          <w:rFonts w:eastAsia="楷体_GB2312"/>
          <w:sz w:val="28"/>
        </w:rPr>
        <w:t>1、</w:t>
      </w:r>
      <w:r>
        <w:rPr>
          <w:rFonts w:hint="eastAsia" w:ascii="楷体" w:hAnsi="楷体" w:eastAsia="楷体" w:cs="宋体"/>
          <w:sz w:val="28"/>
          <w:szCs w:val="21"/>
        </w:rPr>
        <w:t>埇</w:t>
      </w:r>
      <w:r>
        <w:rPr>
          <w:rFonts w:hint="eastAsia" w:ascii="楷体_GB2312" w:hAnsi="楷体_GB2312" w:eastAsia="楷体_GB2312" w:cs="楷体_GB2312"/>
          <w:sz w:val="28"/>
        </w:rPr>
        <w:t>桥区</w:t>
      </w:r>
      <w:r>
        <w:rPr>
          <w:rFonts w:eastAsia="楷体_GB2312"/>
          <w:sz w:val="28"/>
        </w:rPr>
        <w:t>各乡镇商服用地、住宅用地、工矿仓储用地、公共管理与公共服务用地基准地价；</w:t>
      </w:r>
    </w:p>
    <w:p w14:paraId="4F06A645">
      <w:pPr>
        <w:widowControl w:val="0"/>
        <w:spacing w:line="480" w:lineRule="exact"/>
        <w:ind w:firstLine="555"/>
        <w:jc w:val="both"/>
        <w:rPr>
          <w:rFonts w:eastAsia="楷体_GB2312"/>
          <w:sz w:val="28"/>
        </w:rPr>
      </w:pPr>
      <w:r>
        <w:rPr>
          <w:rFonts w:eastAsia="楷体_GB2312"/>
          <w:sz w:val="28"/>
        </w:rPr>
        <w:t>2、级别基准地价更新宗地地价修正系数表；</w:t>
      </w:r>
    </w:p>
    <w:p w14:paraId="10C9949C">
      <w:pPr>
        <w:widowControl w:val="0"/>
        <w:spacing w:line="480" w:lineRule="exact"/>
        <w:ind w:firstLine="555"/>
        <w:jc w:val="both"/>
        <w:rPr>
          <w:rFonts w:eastAsia="楷体_GB2312"/>
          <w:sz w:val="28"/>
        </w:rPr>
      </w:pPr>
      <w:r>
        <w:rPr>
          <w:rFonts w:eastAsia="楷体_GB2312"/>
          <w:sz w:val="28"/>
        </w:rPr>
        <w:t>3、</w:t>
      </w:r>
      <w:r>
        <w:rPr>
          <w:rFonts w:hint="eastAsia" w:ascii="楷体" w:hAnsi="楷体" w:eastAsia="楷体" w:cs="宋体"/>
          <w:sz w:val="28"/>
        </w:rPr>
        <w:t>埇</w:t>
      </w:r>
      <w:r>
        <w:rPr>
          <w:rFonts w:hint="eastAsia" w:ascii="楷体_GB2312" w:hAnsi="楷体_GB2312" w:eastAsia="楷体_GB2312" w:cs="楷体_GB2312"/>
          <w:sz w:val="28"/>
        </w:rPr>
        <w:t>桥区</w:t>
      </w:r>
      <w:r>
        <w:rPr>
          <w:rFonts w:eastAsia="楷体_GB2312"/>
          <w:sz w:val="28"/>
        </w:rPr>
        <w:t>各商服用地、住宅用地、工矿仓储用地、公共管理与公共服务用地基准地价图；</w:t>
      </w:r>
    </w:p>
    <w:p w14:paraId="5F0C2257">
      <w:pPr>
        <w:widowControl w:val="0"/>
        <w:spacing w:line="480" w:lineRule="exact"/>
        <w:ind w:firstLine="555"/>
        <w:jc w:val="both"/>
        <w:rPr>
          <w:rFonts w:eastAsia="楷体_GB2312"/>
          <w:sz w:val="28"/>
        </w:rPr>
      </w:pPr>
      <w:r>
        <w:rPr>
          <w:rFonts w:eastAsia="楷体_GB2312"/>
          <w:sz w:val="28"/>
        </w:rPr>
        <w:t>4、基准地价更新工作报告与技术报告。</w:t>
      </w:r>
    </w:p>
    <w:p w14:paraId="404935C7">
      <w:pPr>
        <w:widowControl w:val="0"/>
        <w:spacing w:line="480" w:lineRule="exact"/>
        <w:ind w:firstLine="555"/>
        <w:jc w:val="both"/>
        <w:rPr>
          <w:rFonts w:eastAsia="仿宋_GB2312"/>
          <w:sz w:val="28"/>
        </w:rPr>
      </w:pPr>
    </w:p>
    <w:p w14:paraId="355D9335">
      <w:pPr>
        <w:pStyle w:val="4"/>
        <w:numPr>
          <w:ilvl w:val="0"/>
          <w:numId w:val="0"/>
        </w:numPr>
        <w:spacing w:line="240" w:lineRule="auto"/>
        <w:jc w:val="center"/>
        <w:rPr>
          <w:rFonts w:eastAsia="仿宋_GB2312"/>
          <w:bCs w:val="0"/>
        </w:rPr>
      </w:pPr>
      <w:bookmarkStart w:id="126" w:name="_Toc25588300"/>
      <w:bookmarkStart w:id="127" w:name="_Toc62483982"/>
      <w:bookmarkStart w:id="128" w:name="_Toc62563712"/>
      <w:r>
        <w:rPr>
          <w:rFonts w:eastAsia="仿宋_GB2312"/>
          <w:bCs w:val="0"/>
        </w:rPr>
        <w:t>第二节  成果应用范围</w:t>
      </w:r>
      <w:bookmarkEnd w:id="126"/>
      <w:bookmarkEnd w:id="127"/>
      <w:bookmarkEnd w:id="128"/>
    </w:p>
    <w:p w14:paraId="57476E52">
      <w:pPr>
        <w:widowControl w:val="0"/>
        <w:spacing w:line="480" w:lineRule="exact"/>
        <w:ind w:firstLine="555"/>
        <w:jc w:val="both"/>
        <w:rPr>
          <w:rFonts w:eastAsia="楷体_GB2312"/>
          <w:sz w:val="28"/>
        </w:rPr>
      </w:pPr>
      <w:r>
        <w:rPr>
          <w:rFonts w:eastAsia="楷体_GB2312"/>
          <w:sz w:val="28"/>
        </w:rPr>
        <w:t>本次工作成果为</w:t>
      </w:r>
      <w:r>
        <w:rPr>
          <w:rFonts w:hint="eastAsia" w:ascii="楷体" w:hAnsi="楷体" w:eastAsia="楷体" w:cs="宋体"/>
          <w:sz w:val="28"/>
          <w:szCs w:val="21"/>
        </w:rPr>
        <w:t>埇</w:t>
      </w:r>
      <w:r>
        <w:rPr>
          <w:rFonts w:hint="eastAsia" w:ascii="楷体_GB2312" w:hAnsi="楷体_GB2312" w:eastAsia="楷体_GB2312" w:cs="楷体_GB2312"/>
          <w:sz w:val="28"/>
        </w:rPr>
        <w:t>桥区</w:t>
      </w:r>
      <w:r>
        <w:rPr>
          <w:rFonts w:eastAsia="楷体_GB2312"/>
          <w:sz w:val="28"/>
        </w:rPr>
        <w:t>深化土地使用制度改革，培育、规范、调控土地市场，优化土地利用结构，科学合理地配置土地资产提供了丰富、详尽、现实的基础资料。其应用范围有以下几方面：</w:t>
      </w:r>
    </w:p>
    <w:p w14:paraId="4CD46693">
      <w:pPr>
        <w:widowControl w:val="0"/>
        <w:spacing w:before="120" w:beforeLines="50" w:after="120" w:afterLines="50" w:line="480" w:lineRule="exact"/>
        <w:ind w:firstLine="562" w:firstLineChars="200"/>
        <w:jc w:val="both"/>
        <w:rPr>
          <w:b/>
          <w:sz w:val="28"/>
          <w:szCs w:val="21"/>
        </w:rPr>
      </w:pPr>
      <w:r>
        <w:rPr>
          <w:b/>
          <w:sz w:val="28"/>
          <w:szCs w:val="21"/>
        </w:rPr>
        <w:t>一、宏观调控土地市场、指导地产交易</w:t>
      </w:r>
    </w:p>
    <w:p w14:paraId="6E8DC0D4">
      <w:pPr>
        <w:widowControl w:val="0"/>
        <w:spacing w:line="480" w:lineRule="exact"/>
        <w:ind w:firstLine="560" w:firstLineChars="200"/>
        <w:jc w:val="both"/>
        <w:rPr>
          <w:rFonts w:eastAsia="楷体_GB2312"/>
          <w:sz w:val="28"/>
          <w:szCs w:val="21"/>
        </w:rPr>
      </w:pPr>
      <w:r>
        <w:rPr>
          <w:rFonts w:eastAsia="楷体_GB2312"/>
          <w:sz w:val="28"/>
          <w:szCs w:val="21"/>
        </w:rPr>
        <w:t>由于土地市场的特殊性和土地管理现行政策的局限性，目前土地交易市场尚处于一个待完善、待规范的状态。主要表现在：政府对土地使用权的转让实行优先购买权没有合理的价格标准。在建立了基准地价及宗地地价修正体系以后，政府管理部门可利用基准地价及宗地地价修正体系迅速快捷地把握地价的大致水平，指导交易活动，规范交易行为。这对于制订合理的地价政策、建立正常有序的地产市场将起积极作用。</w:t>
      </w:r>
    </w:p>
    <w:p w14:paraId="071A1CE1">
      <w:pPr>
        <w:widowControl w:val="0"/>
        <w:spacing w:before="120" w:beforeLines="50" w:after="120" w:afterLines="50" w:line="480" w:lineRule="exact"/>
        <w:ind w:firstLine="562" w:firstLineChars="200"/>
        <w:jc w:val="both"/>
        <w:rPr>
          <w:b/>
          <w:sz w:val="28"/>
          <w:szCs w:val="21"/>
        </w:rPr>
      </w:pPr>
      <w:r>
        <w:rPr>
          <w:b/>
          <w:sz w:val="28"/>
          <w:szCs w:val="21"/>
        </w:rPr>
        <w:t>二、运用经济杠杆管理土地</w:t>
      </w:r>
    </w:p>
    <w:p w14:paraId="6BCFB33E">
      <w:pPr>
        <w:widowControl w:val="0"/>
        <w:spacing w:line="480" w:lineRule="exact"/>
        <w:ind w:firstLine="560" w:firstLineChars="200"/>
        <w:jc w:val="both"/>
        <w:rPr>
          <w:rFonts w:eastAsia="楷体_GB2312"/>
          <w:sz w:val="28"/>
          <w:szCs w:val="21"/>
        </w:rPr>
      </w:pPr>
      <w:r>
        <w:rPr>
          <w:rFonts w:eastAsia="楷体_GB2312"/>
          <w:sz w:val="28"/>
          <w:szCs w:val="21"/>
        </w:rPr>
        <w:t>随着土地使用制度改革的不断发展，</w:t>
      </w:r>
      <w:r>
        <w:rPr>
          <w:rFonts w:hint="eastAsia" w:ascii="楷体" w:hAnsi="楷体" w:eastAsia="楷体" w:cs="宋体"/>
          <w:sz w:val="28"/>
          <w:szCs w:val="21"/>
        </w:rPr>
        <w:t>埇</w:t>
      </w:r>
      <w:r>
        <w:rPr>
          <w:rFonts w:hint="eastAsia" w:ascii="楷体_GB2312" w:hAnsi="楷体_GB2312" w:eastAsia="楷体_GB2312" w:cs="楷体_GB2312"/>
          <w:sz w:val="28"/>
          <w:szCs w:val="21"/>
        </w:rPr>
        <w:t>桥区</w:t>
      </w:r>
      <w:r>
        <w:rPr>
          <w:rFonts w:eastAsia="楷体_GB2312"/>
          <w:sz w:val="28"/>
          <w:szCs w:val="21"/>
        </w:rPr>
        <w:t>土地的出让、转让、出租、入股、抵押等土地经济活动将日益频繁。通过土地级别的评定，基准地价、标定地价的评估，能为土地一级市场的土地出让、土地二级市场出租等土地交易活动计算土地价格或租金提供基础资料和参考依据，能使经济手段管理土地的多项措施得以落实，更有效地管理土地市场。一方面保证政府从土地资产上取得足够的收益，进一步扩大城市基础设施投资，改善投资环境；另一方面也使得开发商得到土地投资的合理回报，做到有利可图。基准地价及宗地地价修正体系的建立能使政府根据土地不同区位、使用性质和供求状况等因素，确定土地出让的基础价格。这一价格比以往凭经验估计更具有科学性，易于被国内外投资者接受。另外，在土地出让过程中，还可以以基准地价为依据，按不同行业的产业政策，实行不同的地价政策。这对城市经济的协调均衡发展起着较大的推动作用。</w:t>
      </w:r>
    </w:p>
    <w:p w14:paraId="2E43D8CC">
      <w:pPr>
        <w:widowControl w:val="0"/>
        <w:spacing w:before="120" w:beforeLines="50" w:after="120" w:afterLines="50" w:line="480" w:lineRule="exact"/>
        <w:ind w:firstLine="562" w:firstLineChars="200"/>
        <w:jc w:val="both"/>
        <w:rPr>
          <w:b/>
          <w:sz w:val="28"/>
          <w:szCs w:val="21"/>
        </w:rPr>
      </w:pPr>
      <w:r>
        <w:rPr>
          <w:b/>
          <w:sz w:val="28"/>
          <w:szCs w:val="21"/>
        </w:rPr>
        <w:t>三、合理确定土地税费标准</w:t>
      </w:r>
    </w:p>
    <w:p w14:paraId="7759319F">
      <w:pPr>
        <w:widowControl w:val="0"/>
        <w:spacing w:line="480" w:lineRule="exact"/>
        <w:ind w:firstLine="555"/>
        <w:jc w:val="both"/>
        <w:rPr>
          <w:rFonts w:eastAsia="楷体_GB2312"/>
          <w:sz w:val="28"/>
        </w:rPr>
      </w:pPr>
      <w:r>
        <w:rPr>
          <w:rFonts w:eastAsia="楷体_GB2312"/>
          <w:sz w:val="28"/>
        </w:rPr>
        <w:t>《中华人民共和国城镇土地使用税暂行条例》、《中华人民共和国土地增值税暂行条例》对征收土地税费作出规定。其中，土地使用税费按土地等级征收，增值税一般按两次转移地价之差值计收。另外，根据现有政策规定，在土地使用权转移过程中需交纳的与土地价格有关的税费有：（1）划拨土地使用权转移需补交的出让金；（2）土地交易的契税。根据国外经验，地产税都是从价征税，目前由于缺乏价格标准，尚未达到这一步，土地使用税征收税额偏低，且不能体现出土地收益级差，远不能达到利用税收这一经济杠杆调节土地利用和级差收益的目的。因此，科学、合理、公开的基准地价可为科学征收土地税费等提供依据。</w:t>
      </w:r>
    </w:p>
    <w:p w14:paraId="44F1ECA5">
      <w:pPr>
        <w:widowControl w:val="0"/>
        <w:spacing w:before="120" w:beforeLines="50" w:after="120" w:afterLines="50" w:line="480" w:lineRule="exact"/>
        <w:ind w:firstLine="562" w:firstLineChars="200"/>
        <w:jc w:val="both"/>
        <w:rPr>
          <w:b/>
          <w:sz w:val="28"/>
          <w:szCs w:val="21"/>
        </w:rPr>
      </w:pPr>
      <w:r>
        <w:rPr>
          <w:b/>
          <w:sz w:val="28"/>
          <w:szCs w:val="21"/>
        </w:rPr>
        <w:t>四、为显化企业土地资产提供依据</w:t>
      </w:r>
    </w:p>
    <w:p w14:paraId="12E72072">
      <w:pPr>
        <w:widowControl w:val="0"/>
        <w:spacing w:line="480" w:lineRule="exact"/>
        <w:ind w:firstLine="555"/>
        <w:jc w:val="both"/>
        <w:rPr>
          <w:rFonts w:eastAsia="楷体_GB2312"/>
          <w:sz w:val="28"/>
        </w:rPr>
      </w:pPr>
      <w:r>
        <w:rPr>
          <w:rFonts w:eastAsia="楷体_GB2312"/>
          <w:sz w:val="28"/>
        </w:rPr>
        <w:t>目前大多数企业帐面资产中包括的土地资产部分，有些仅是当时的征地费，不能反映土地资产的现值。为正确反映企业中土地资产的现值，正确衡量企业经营管理水平和发挥土地资产效益，有必要按基准地价对企业土地资产进行显化。特别是当前企业改制过程中，企业兼并、租赁、拍卖、合资过程中，一般都涉及土地使用权的转让、出租、抵押、作价出资等土地资产处置方式，依据基准地价和宗地地价修正体系显化具体宗地的土地资产量是十分必要的。</w:t>
      </w:r>
    </w:p>
    <w:p w14:paraId="08435066">
      <w:pPr>
        <w:widowControl w:val="0"/>
        <w:spacing w:before="120" w:beforeLines="50" w:after="120" w:afterLines="50" w:line="480" w:lineRule="exact"/>
        <w:ind w:firstLine="562" w:firstLineChars="200"/>
        <w:jc w:val="both"/>
        <w:rPr>
          <w:b/>
          <w:sz w:val="28"/>
          <w:szCs w:val="21"/>
        </w:rPr>
      </w:pPr>
      <w:r>
        <w:rPr>
          <w:b/>
          <w:sz w:val="28"/>
          <w:szCs w:val="21"/>
        </w:rPr>
        <w:t>五、为合理配置土地资产、优化土地利用结构提供依据</w:t>
      </w:r>
    </w:p>
    <w:p w14:paraId="266463B0">
      <w:pPr>
        <w:widowControl w:val="0"/>
        <w:spacing w:line="480" w:lineRule="exact"/>
        <w:ind w:firstLine="555"/>
        <w:jc w:val="both"/>
        <w:rPr>
          <w:rFonts w:eastAsia="楷体_GB2312"/>
          <w:sz w:val="28"/>
        </w:rPr>
      </w:pPr>
      <w:r>
        <w:rPr>
          <w:rFonts w:eastAsia="楷体_GB2312"/>
          <w:sz w:val="28"/>
        </w:rPr>
        <w:t>在基准地价和宗地地价修正体系建立后，政府可利用地价的经济杠杆作用，合理配置土地资产，优化土地利用结构，促进城市土地市场健康、有序地发展。投资者和土地使用者能及时了解不同地段、不同用途的地价水平和变动趋势，从而根据自身需要和支付地租的能力调整土地利用方式，以达到城市土地合理利用和流转。</w:t>
      </w:r>
    </w:p>
    <w:p w14:paraId="170760C6">
      <w:pPr>
        <w:widowControl w:val="0"/>
        <w:spacing w:before="120" w:beforeLines="50" w:after="120" w:afterLines="50" w:line="480" w:lineRule="exact"/>
        <w:ind w:firstLine="562" w:firstLineChars="200"/>
        <w:jc w:val="both"/>
        <w:rPr>
          <w:b/>
          <w:sz w:val="28"/>
          <w:szCs w:val="21"/>
        </w:rPr>
      </w:pPr>
      <w:r>
        <w:rPr>
          <w:b/>
          <w:sz w:val="28"/>
          <w:szCs w:val="21"/>
        </w:rPr>
        <w:t>六、促使土地资产管理的完善</w:t>
      </w:r>
    </w:p>
    <w:p w14:paraId="08E8BD6D">
      <w:pPr>
        <w:widowControl w:val="0"/>
        <w:spacing w:line="480" w:lineRule="exact"/>
        <w:ind w:firstLine="560" w:firstLineChars="200"/>
        <w:jc w:val="both"/>
        <w:rPr>
          <w:rFonts w:eastAsia="楷体_GB2312"/>
          <w:sz w:val="28"/>
          <w:szCs w:val="21"/>
        </w:rPr>
      </w:pPr>
      <w:r>
        <w:rPr>
          <w:rFonts w:eastAsia="楷体_GB2312"/>
          <w:sz w:val="28"/>
          <w:szCs w:val="21"/>
        </w:rPr>
        <w:t>城市土地除了数量以外，质量和级别也是土地的基本特征，而且是土地资产的重要量度标志，必须在地籍资料中反映出来，同时地籍资料中反映的土地质量和级别，必须是土地质量的综合反映，并且要求在城市中或一定区域范围内具有可比性。通过评定土地级别和评估基准地价，可以进一步完善土地资产管理。</w:t>
      </w:r>
    </w:p>
    <w:p w14:paraId="35A872C3">
      <w:pPr>
        <w:widowControl w:val="0"/>
        <w:spacing w:before="120" w:beforeLines="50" w:after="120" w:afterLines="50" w:line="480" w:lineRule="exact"/>
        <w:ind w:firstLine="562" w:firstLineChars="200"/>
        <w:jc w:val="both"/>
        <w:rPr>
          <w:b/>
          <w:sz w:val="28"/>
          <w:szCs w:val="21"/>
        </w:rPr>
      </w:pPr>
      <w:r>
        <w:rPr>
          <w:b/>
          <w:sz w:val="28"/>
          <w:szCs w:val="21"/>
        </w:rPr>
        <w:t>七、利用基准地价评估确定宗地地价</w:t>
      </w:r>
    </w:p>
    <w:p w14:paraId="22DD8827">
      <w:pPr>
        <w:widowControl w:val="0"/>
        <w:spacing w:line="480" w:lineRule="exact"/>
        <w:ind w:firstLine="555"/>
        <w:jc w:val="both"/>
        <w:rPr>
          <w:rFonts w:eastAsia="楷体_GB2312"/>
          <w:sz w:val="28"/>
        </w:rPr>
      </w:pPr>
      <w:r>
        <w:rPr>
          <w:rFonts w:eastAsia="楷体_GB2312"/>
          <w:sz w:val="28"/>
        </w:rPr>
        <w:t>宗地地价的确定有以下一些作用：</w:t>
      </w:r>
    </w:p>
    <w:p w14:paraId="395D1959">
      <w:pPr>
        <w:widowControl w:val="0"/>
        <w:spacing w:line="480" w:lineRule="exact"/>
        <w:ind w:firstLine="555"/>
        <w:jc w:val="both"/>
        <w:rPr>
          <w:rFonts w:eastAsia="楷体_GB2312"/>
          <w:sz w:val="28"/>
        </w:rPr>
      </w:pPr>
      <w:r>
        <w:rPr>
          <w:rFonts w:eastAsia="楷体_GB2312"/>
          <w:sz w:val="28"/>
        </w:rPr>
        <w:t>1、确定出让或收回土地价格的依据</w:t>
      </w:r>
    </w:p>
    <w:p w14:paraId="4EBF0AD8">
      <w:pPr>
        <w:widowControl w:val="0"/>
        <w:spacing w:line="480" w:lineRule="exact"/>
        <w:ind w:firstLine="560" w:firstLineChars="200"/>
        <w:jc w:val="both"/>
        <w:rPr>
          <w:rFonts w:eastAsia="楷体_GB2312"/>
          <w:sz w:val="28"/>
          <w:szCs w:val="21"/>
        </w:rPr>
      </w:pPr>
      <w:r>
        <w:rPr>
          <w:rFonts w:eastAsia="楷体_GB2312"/>
          <w:sz w:val="28"/>
          <w:szCs w:val="21"/>
        </w:rPr>
        <w:t>宗地地价是土地市场在一般供求规律上的地价。而在出让土地中，由于对不同项目和投资者的考虑，政府可以采取不同的价格进行出让，而宗地地价可作为衡量土地出让金征收标准之一，此外，国家依法收回土地也需要确定合理的宗地地价标准。</w:t>
      </w:r>
    </w:p>
    <w:p w14:paraId="244FFA90">
      <w:pPr>
        <w:widowControl w:val="0"/>
        <w:spacing w:line="480" w:lineRule="exact"/>
        <w:ind w:firstLine="555"/>
        <w:jc w:val="both"/>
        <w:rPr>
          <w:rFonts w:eastAsia="楷体_GB2312"/>
          <w:sz w:val="28"/>
        </w:rPr>
      </w:pPr>
      <w:r>
        <w:rPr>
          <w:rFonts w:eastAsia="楷体_GB2312"/>
          <w:sz w:val="28"/>
        </w:rPr>
        <w:t>2、优先购买权的衡量标准</w:t>
      </w:r>
    </w:p>
    <w:p w14:paraId="2416811B">
      <w:pPr>
        <w:widowControl w:val="0"/>
        <w:spacing w:line="480" w:lineRule="exact"/>
        <w:ind w:firstLine="555"/>
        <w:jc w:val="both"/>
        <w:rPr>
          <w:rFonts w:eastAsia="楷体_GB2312"/>
          <w:sz w:val="28"/>
        </w:rPr>
      </w:pPr>
      <w:r>
        <w:rPr>
          <w:rFonts w:eastAsia="楷体_GB2312"/>
          <w:sz w:val="28"/>
        </w:rPr>
        <w:t>为增加政府管理土地市场的透明度，使土地使用者能够按市场规律进行交易并向政府申报交易价，支付相应的税费，对一些明显低于市场价的交易活动，政府可以采取优先购买权收回土地，以有效防止瞒价等行为对土地市场的不良影响，而宗地地价是决定实现优先购买的衡量标准。</w:t>
      </w:r>
    </w:p>
    <w:p w14:paraId="2B76B3B3">
      <w:pPr>
        <w:widowControl w:val="0"/>
        <w:spacing w:line="480" w:lineRule="exact"/>
        <w:ind w:firstLine="555"/>
        <w:jc w:val="both"/>
        <w:rPr>
          <w:rFonts w:eastAsia="楷体_GB2312"/>
          <w:sz w:val="28"/>
        </w:rPr>
      </w:pPr>
      <w:r>
        <w:rPr>
          <w:rFonts w:eastAsia="楷体_GB2312"/>
          <w:sz w:val="28"/>
        </w:rPr>
        <w:t>3、司法仲裁中涉及的土地评估的依据</w:t>
      </w:r>
    </w:p>
    <w:p w14:paraId="5381B0B7">
      <w:pPr>
        <w:widowControl w:val="0"/>
        <w:spacing w:line="480" w:lineRule="exact"/>
        <w:ind w:firstLine="555"/>
        <w:jc w:val="both"/>
        <w:rPr>
          <w:rFonts w:eastAsia="楷体_GB2312"/>
          <w:sz w:val="28"/>
        </w:rPr>
      </w:pPr>
      <w:r>
        <w:rPr>
          <w:rFonts w:eastAsia="楷体_GB2312"/>
          <w:sz w:val="28"/>
        </w:rPr>
        <w:t>在司法机关涉及的债务或其他纠纷，必须需要确定宗地地价水平。</w:t>
      </w:r>
    </w:p>
    <w:p w14:paraId="2CD4C6CF">
      <w:pPr>
        <w:widowControl w:val="0"/>
        <w:spacing w:before="120" w:beforeLines="50" w:after="120" w:afterLines="50" w:line="480" w:lineRule="exact"/>
        <w:ind w:firstLine="562" w:firstLineChars="200"/>
        <w:jc w:val="both"/>
        <w:rPr>
          <w:b/>
          <w:sz w:val="28"/>
          <w:szCs w:val="21"/>
        </w:rPr>
      </w:pPr>
      <w:bookmarkStart w:id="129" w:name="_Toc323293547"/>
      <w:r>
        <w:rPr>
          <w:b/>
          <w:sz w:val="28"/>
          <w:szCs w:val="21"/>
        </w:rPr>
        <w:t>八、为出让土地最低价标准提供依据</w:t>
      </w:r>
      <w:bookmarkEnd w:id="129"/>
    </w:p>
    <w:p w14:paraId="21DADC6C">
      <w:pPr>
        <w:widowControl w:val="0"/>
        <w:spacing w:line="480" w:lineRule="exact"/>
        <w:ind w:firstLine="555"/>
        <w:jc w:val="both"/>
        <w:rPr>
          <w:rFonts w:eastAsia="楷体_GB2312"/>
          <w:sz w:val="28"/>
        </w:rPr>
      </w:pPr>
      <w:r>
        <w:rPr>
          <w:rFonts w:eastAsia="楷体_GB2312"/>
          <w:sz w:val="28"/>
        </w:rPr>
        <w:t>根据《协议出让国有土地使用权规定》（国土资源部21号令）：“出让最低价，不得低于新增建设用地的土地有偿使用费，征地（拆迁）补偿费用以及按照国家规定应当缴纳的有关税费之和，有基准地价的地区，协议出让最低价不得低于地块所在级别基准地价的70%。”、原国土资源部《关于加强房地产用地供应和监管有关问题的通知》（国土资发〔2010〕34号）：“严格规范土地出让底价。各地应按规定及时更新基准地价并向社会公布。招标、拍卖、挂牌和协议出让底价应当依据土地估价结果、供地政策和土地市场行情等，集体决策，综合确定。土地出让最低价不得低于出让地块所在地级别基准地价的70%，竞买保证金不得低于出让最低价的20%。”及原安徽省国土资源厅《安徽省国土资源厅关于尽快完成城镇土地分等定级及基准地价更新调整工作的通知》（皖国土资函〔2014〕849号）：“土地出让底价不得低于出让地块所在地基准地价的70%，竞买保证金不得低于出让底价的20%。”因此，本次基准地价评估成果为政府确定协议出让土地最低价、制定土地出让底价标准提供了重要参考依据。</w:t>
      </w:r>
    </w:p>
    <w:p w14:paraId="1A0D4BF1">
      <w:pPr>
        <w:widowControl w:val="0"/>
        <w:spacing w:before="120" w:beforeLines="50" w:after="120" w:afterLines="50" w:line="480" w:lineRule="exact"/>
        <w:ind w:firstLine="562" w:firstLineChars="200"/>
        <w:jc w:val="both"/>
        <w:rPr>
          <w:b/>
          <w:sz w:val="28"/>
          <w:szCs w:val="21"/>
        </w:rPr>
      </w:pPr>
      <w:r>
        <w:rPr>
          <w:b/>
          <w:sz w:val="28"/>
          <w:szCs w:val="21"/>
        </w:rPr>
        <w:t>九、公共服务领域ppp项目用地提供地价依据</w:t>
      </w:r>
    </w:p>
    <w:p w14:paraId="7BA4C952">
      <w:pPr>
        <w:widowControl w:val="0"/>
        <w:spacing w:line="480" w:lineRule="exact"/>
        <w:ind w:firstLine="555"/>
        <w:jc w:val="both"/>
        <w:rPr>
          <w:rFonts w:eastAsia="楷体_GB2312"/>
          <w:sz w:val="28"/>
        </w:rPr>
      </w:pPr>
      <w:r>
        <w:rPr>
          <w:rFonts w:eastAsia="楷体_GB2312"/>
          <w:sz w:val="28"/>
        </w:rPr>
        <w:t>根据《安徽省国土资源厅关于保障公共服务领域政府和社会资本合作模式项目用地的意见》（皖国土资函〔2016〕216号）规定：“凡符合国土资源部《划拨用地目录》的PPP项目，可按划拨方式供地，也可按有关规定实行有偿使用。营利性和准经营性PPP项目用地，应当按国家规定以出让、租赁、作价出资入股等有偿方式供应。采取作价出资入股方式的，按国家规定执行。”本轮基准地价体系中的公共管理与公共服务用地地价则为部分PPP项目用地的出让、租赁、作价出资入股提供了地价依据。</w:t>
      </w:r>
    </w:p>
    <w:p w14:paraId="4F14553F">
      <w:pPr>
        <w:widowControl w:val="0"/>
        <w:spacing w:line="480" w:lineRule="exact"/>
        <w:ind w:firstLine="555"/>
        <w:jc w:val="both"/>
        <w:rPr>
          <w:rFonts w:eastAsia="楷体_GB2312"/>
          <w:sz w:val="28"/>
        </w:rPr>
      </w:pPr>
    </w:p>
    <w:p w14:paraId="6ECF49C5">
      <w:pPr>
        <w:pStyle w:val="4"/>
        <w:numPr>
          <w:ilvl w:val="0"/>
          <w:numId w:val="0"/>
        </w:numPr>
        <w:spacing w:line="240" w:lineRule="auto"/>
        <w:jc w:val="center"/>
        <w:rPr>
          <w:rFonts w:eastAsia="仿宋_GB2312"/>
          <w:bCs w:val="0"/>
        </w:rPr>
      </w:pPr>
      <w:bookmarkStart w:id="130" w:name="_Toc25588301"/>
      <w:bookmarkStart w:id="131" w:name="_Toc62483983"/>
      <w:bookmarkStart w:id="132" w:name="_Toc62563713"/>
      <w:r>
        <w:rPr>
          <w:rFonts w:eastAsia="仿宋_GB2312"/>
          <w:bCs w:val="0"/>
        </w:rPr>
        <w:t>第三节  成果应用说明</w:t>
      </w:r>
      <w:bookmarkEnd w:id="130"/>
      <w:bookmarkEnd w:id="131"/>
      <w:bookmarkEnd w:id="132"/>
    </w:p>
    <w:p w14:paraId="7223953D">
      <w:pPr>
        <w:widowControl w:val="0"/>
        <w:spacing w:before="120" w:beforeLines="50" w:after="120" w:afterLines="50" w:line="480" w:lineRule="exact"/>
        <w:ind w:firstLine="562" w:firstLineChars="200"/>
        <w:jc w:val="both"/>
        <w:rPr>
          <w:b/>
          <w:sz w:val="28"/>
          <w:szCs w:val="21"/>
        </w:rPr>
      </w:pPr>
      <w:r>
        <w:rPr>
          <w:b/>
          <w:sz w:val="28"/>
          <w:szCs w:val="21"/>
        </w:rPr>
        <w:t>一、土地定级成果的应用说明</w:t>
      </w:r>
    </w:p>
    <w:p w14:paraId="7B866A94">
      <w:pPr>
        <w:widowControl w:val="0"/>
        <w:spacing w:line="480" w:lineRule="exact"/>
        <w:ind w:firstLine="555"/>
        <w:jc w:val="both"/>
        <w:rPr>
          <w:rFonts w:eastAsia="楷体_GB2312"/>
          <w:sz w:val="28"/>
        </w:rPr>
      </w:pPr>
      <w:r>
        <w:rPr>
          <w:rFonts w:eastAsia="楷体_GB2312"/>
          <w:sz w:val="28"/>
        </w:rPr>
        <w:t>土地定级成果由</w:t>
      </w:r>
      <w:r>
        <w:rPr>
          <w:rFonts w:hint="eastAsia" w:ascii="楷体" w:hAnsi="楷体" w:eastAsia="楷体" w:cs="宋体"/>
          <w:sz w:val="28"/>
          <w:szCs w:val="21"/>
        </w:rPr>
        <w:t>埇</w:t>
      </w:r>
      <w:r>
        <w:rPr>
          <w:rFonts w:hint="eastAsia" w:ascii="楷体_GB2312" w:hAnsi="楷体_GB2312" w:eastAsia="楷体_GB2312" w:cs="楷体_GB2312"/>
          <w:sz w:val="28"/>
        </w:rPr>
        <w:t>桥区</w:t>
      </w:r>
      <w:r>
        <w:rPr>
          <w:rFonts w:eastAsia="楷体_GB2312"/>
          <w:sz w:val="28"/>
        </w:rPr>
        <w:t>综合级别图、分用途土地级别图以及相关作用指数构成。它们在宗地评估和调整用地结构方面有着现实的应用意义。</w:t>
      </w:r>
    </w:p>
    <w:p w14:paraId="219D6B3A">
      <w:pPr>
        <w:widowControl w:val="0"/>
        <w:spacing w:line="480" w:lineRule="exact"/>
        <w:ind w:firstLine="555"/>
        <w:jc w:val="both"/>
        <w:rPr>
          <w:rFonts w:eastAsia="楷体_GB2312"/>
          <w:sz w:val="28"/>
        </w:rPr>
      </w:pPr>
      <w:r>
        <w:rPr>
          <w:rFonts w:eastAsia="楷体_GB2312"/>
          <w:sz w:val="28"/>
        </w:rPr>
        <w:t>1、土地级别评定成果的应用：综合级别是土地质量综合评定的成果，分用途土地级别是针对特定用途的土地质量综合评定的成果，它们在优化城镇土地利用结构，促使各类土地达到最佳经济收益状态有着特殊的意义。在进行城市总体规划调整过程中可充分考虑土地级别的空间分布现状。</w:t>
      </w:r>
    </w:p>
    <w:p w14:paraId="1297D2B4">
      <w:pPr>
        <w:widowControl w:val="0"/>
        <w:spacing w:line="480" w:lineRule="exact"/>
        <w:ind w:firstLine="555"/>
        <w:jc w:val="both"/>
        <w:rPr>
          <w:rFonts w:eastAsia="楷体_GB2312"/>
          <w:sz w:val="28"/>
        </w:rPr>
      </w:pPr>
      <w:r>
        <w:rPr>
          <w:rFonts w:eastAsia="楷体_GB2312"/>
          <w:sz w:val="28"/>
        </w:rPr>
        <w:t>2、成果应用时效性：土地定级是依据现状为主的原则，即土地级别综合反映了调查区内部现状条件下土地质量的空间差异。随着城市的发展，商服业进一步集聚与繁华，基础设施进一步完善，土地定级专项因素评价和综合评价的成果需随之变化。因而，土地定级成果应随城市的发展而进行调整变更，以适应城市日益发展变化的新情况。</w:t>
      </w:r>
    </w:p>
    <w:p w14:paraId="073BA491">
      <w:pPr>
        <w:widowControl w:val="0"/>
        <w:spacing w:line="480" w:lineRule="exact"/>
        <w:ind w:firstLine="560" w:firstLineChars="200"/>
        <w:jc w:val="both"/>
        <w:rPr>
          <w:rFonts w:eastAsia="楷体_GB2312"/>
          <w:sz w:val="28"/>
          <w:szCs w:val="21"/>
        </w:rPr>
      </w:pPr>
      <w:r>
        <w:rPr>
          <w:rFonts w:eastAsia="楷体_GB2312"/>
          <w:sz w:val="28"/>
          <w:szCs w:val="21"/>
        </w:rPr>
        <w:t>3、土地定级工作数据库的应用：该系统是实现土地定级资料（表格和图件）输入、各因素因子作用分值表编制、各因素因子作用分值计算与制图、土地级别划分与理论验证的技术系统，利用本系统可实现土地定级成果的动态管理与更新。因此，要保持土地定级成果的现势性，关键在于及时收集与更新原始土地定级资料。</w:t>
      </w:r>
    </w:p>
    <w:p w14:paraId="2F661E92">
      <w:pPr>
        <w:widowControl w:val="0"/>
        <w:spacing w:before="120" w:beforeLines="50" w:after="120" w:afterLines="50" w:line="480" w:lineRule="exact"/>
        <w:ind w:firstLine="562" w:firstLineChars="200"/>
        <w:jc w:val="both"/>
        <w:rPr>
          <w:b/>
          <w:sz w:val="28"/>
          <w:szCs w:val="21"/>
        </w:rPr>
      </w:pPr>
      <w:r>
        <w:rPr>
          <w:b/>
          <w:sz w:val="28"/>
          <w:szCs w:val="21"/>
        </w:rPr>
        <w:t>二、土地估价成果的应用说明</w:t>
      </w:r>
    </w:p>
    <w:p w14:paraId="1578FBFA">
      <w:pPr>
        <w:widowControl w:val="0"/>
        <w:spacing w:line="480" w:lineRule="exact"/>
        <w:ind w:firstLine="555"/>
        <w:jc w:val="both"/>
        <w:rPr>
          <w:rFonts w:eastAsia="楷体_GB2312"/>
          <w:sz w:val="28"/>
        </w:rPr>
      </w:pPr>
      <w:r>
        <w:rPr>
          <w:rFonts w:eastAsia="楷体_GB2312"/>
          <w:b/>
          <w:sz w:val="28"/>
        </w:rPr>
        <w:t>1、基准地价的说明</w:t>
      </w:r>
    </w:p>
    <w:p w14:paraId="419CC795">
      <w:pPr>
        <w:widowControl w:val="0"/>
        <w:spacing w:line="480" w:lineRule="exact"/>
        <w:ind w:firstLine="555"/>
        <w:jc w:val="both"/>
        <w:rPr>
          <w:rFonts w:eastAsia="楷体_GB2312"/>
          <w:sz w:val="28"/>
        </w:rPr>
      </w:pPr>
      <w:r>
        <w:rPr>
          <w:rFonts w:eastAsia="楷体_GB2312"/>
          <w:sz w:val="28"/>
        </w:rPr>
        <w:t>本次评估的基准地价是指在目前土地开发现状条件为设定土地开发条件的前提下，各级别、各区段土地使用权法定最高出让年期的平均价格。土地取得费、宗地红线外土地开发费和宗地红线内土地平整费、利息、利润和土地增值收益的平均标准已在基准地价中得到体现。基准地价的显著特点就是反映城市内不同区域土地收益的平均水平，并将一定期限土地使用价值以货币形式反映出来，从而为土地使用权的合理出让、出租、转让或作价出资以及政府管理和调控地价提供指导依据。基准地价并不代表每宗地的具体价格，而代表了某一区域（土地级别或地价区段）平均地价，它显示了不同级别、不同地价区段的一般价格水平。在宗地地价评估过程中，可采用基准地价系数修正法进行评估，为此专门建立了宗地地价的修正体系。</w:t>
      </w:r>
    </w:p>
    <w:p w14:paraId="65402A0E">
      <w:pPr>
        <w:widowControl w:val="0"/>
        <w:spacing w:line="480" w:lineRule="exact"/>
        <w:ind w:firstLine="555"/>
        <w:jc w:val="both"/>
        <w:rPr>
          <w:rFonts w:eastAsia="楷体_GB2312"/>
          <w:sz w:val="28"/>
        </w:rPr>
      </w:pPr>
      <w:r>
        <w:rPr>
          <w:rFonts w:eastAsia="楷体_GB2312"/>
          <w:b/>
          <w:sz w:val="28"/>
        </w:rPr>
        <w:t>2、应用基准地价和宗地地价修正体系成果的说明</w:t>
      </w:r>
    </w:p>
    <w:p w14:paraId="0134EDB2">
      <w:pPr>
        <w:widowControl w:val="0"/>
        <w:spacing w:line="480" w:lineRule="exact"/>
        <w:ind w:firstLine="555"/>
        <w:jc w:val="both"/>
        <w:rPr>
          <w:rFonts w:eastAsia="楷体_GB2312"/>
          <w:sz w:val="28"/>
        </w:rPr>
      </w:pPr>
      <w:r>
        <w:rPr>
          <w:rFonts w:eastAsia="楷体_GB2312"/>
          <w:sz w:val="28"/>
        </w:rPr>
        <w:t>基准地价包括了商服、住宅、工矿仓储用地级别基准地价，宗地地价修正体系也包括了商服、住宅、工矿仓储用地级别基准地价评估宗地地价修正体系，各类基准地价的差异较大，修正方法和系数也不同，故在进行宗地地价修正时，应选择合理的基准地价和宗地地价修正体系。</w:t>
      </w:r>
    </w:p>
    <w:p w14:paraId="134A77A7">
      <w:pPr>
        <w:widowControl w:val="0"/>
        <w:spacing w:line="480" w:lineRule="exact"/>
        <w:ind w:firstLine="555"/>
        <w:jc w:val="both"/>
        <w:rPr>
          <w:rFonts w:eastAsia="楷体_GB2312"/>
          <w:sz w:val="28"/>
        </w:rPr>
      </w:pPr>
      <w:r>
        <w:rPr>
          <w:rFonts w:eastAsia="楷体_GB2312"/>
          <w:b/>
          <w:sz w:val="28"/>
        </w:rPr>
        <w:t>3、成果应用时效性说明</w:t>
      </w:r>
    </w:p>
    <w:p w14:paraId="07E151B8">
      <w:pPr>
        <w:widowControl w:val="0"/>
        <w:spacing w:line="480" w:lineRule="exact"/>
        <w:ind w:firstLine="560" w:firstLineChars="200"/>
        <w:jc w:val="both"/>
        <w:rPr>
          <w:rFonts w:eastAsia="楷体_GB2312"/>
          <w:sz w:val="28"/>
          <w:szCs w:val="21"/>
        </w:rPr>
      </w:pPr>
      <w:r>
        <w:rPr>
          <w:rFonts w:eastAsia="楷体_GB2312"/>
          <w:sz w:val="28"/>
          <w:szCs w:val="21"/>
        </w:rPr>
        <w:t>土地估价是依据土地市场现状和近三年商服、工矿仓储企业用地效益状况为基础评估的。由于基准地价受到土地供需关系（如土地利用规划、土地供应计划）、经济发展水平、地价指数等多方面影响。基准地价评估成果动态变化比土地定级成果变化快，因此，基准地价应根据土地市场状况及时调整。</w:t>
      </w:r>
    </w:p>
    <w:p w14:paraId="3C61A12E">
      <w:pPr>
        <w:widowControl w:val="0"/>
        <w:spacing w:before="120" w:beforeLines="50" w:after="120" w:afterLines="50" w:line="480" w:lineRule="exact"/>
        <w:ind w:firstLine="562" w:firstLineChars="200"/>
        <w:jc w:val="both"/>
        <w:rPr>
          <w:b/>
          <w:sz w:val="28"/>
          <w:szCs w:val="21"/>
        </w:rPr>
      </w:pPr>
      <w:r>
        <w:rPr>
          <w:b/>
          <w:sz w:val="28"/>
          <w:szCs w:val="21"/>
        </w:rPr>
        <w:t>三、基准地价修正体系应用</w:t>
      </w:r>
    </w:p>
    <w:p w14:paraId="72CAF27B">
      <w:pPr>
        <w:widowControl w:val="0"/>
        <w:spacing w:line="480" w:lineRule="exact"/>
        <w:ind w:firstLine="555"/>
        <w:jc w:val="both"/>
        <w:rPr>
          <w:rFonts w:eastAsia="楷体_GB2312"/>
          <w:sz w:val="28"/>
        </w:rPr>
      </w:pPr>
      <w:r>
        <w:rPr>
          <w:rFonts w:eastAsia="楷体_GB2312"/>
          <w:sz w:val="28"/>
        </w:rPr>
        <w:t>基准地价系数修正法，是利用城镇基准地价和基准地价修正系数表和指标说明表等成果，按照替代原则，就待估宗地的区域条件和个别条件与其所处区域的平均条件相比较，并对照修正系数表和指标说明表，选取相应的修正系数对基准地价进行修正，从而求取待估宗地价格的方法。其主要流程如下：</w:t>
      </w:r>
    </w:p>
    <w:p w14:paraId="0A4314D2">
      <w:pPr>
        <w:widowControl w:val="0"/>
        <w:spacing w:line="480" w:lineRule="exact"/>
        <w:ind w:firstLine="555"/>
        <w:jc w:val="both"/>
        <w:rPr>
          <w:rFonts w:eastAsia="楷体_GB2312"/>
          <w:sz w:val="28"/>
        </w:rPr>
      </w:pPr>
      <w:r>
        <w:rPr>
          <w:rFonts w:eastAsia="楷体_GB2312"/>
          <w:sz w:val="28"/>
        </w:rPr>
        <w:t>1、收集、整理土地定级估价成果资料</w:t>
      </w:r>
    </w:p>
    <w:p w14:paraId="0F2EF039">
      <w:pPr>
        <w:widowControl w:val="0"/>
        <w:spacing w:line="480" w:lineRule="exact"/>
        <w:ind w:firstLine="555"/>
        <w:jc w:val="both"/>
        <w:rPr>
          <w:rFonts w:eastAsia="楷体_GB2312"/>
          <w:sz w:val="28"/>
        </w:rPr>
      </w:pPr>
      <w:r>
        <w:rPr>
          <w:rFonts w:eastAsia="楷体_GB2312"/>
          <w:sz w:val="28"/>
        </w:rPr>
        <w:t>资料主要包括：土地级别图（表）、基准地价图（表）、基准地价修正系数表和相应的因素条件说明表。</w:t>
      </w:r>
    </w:p>
    <w:p w14:paraId="163AFC8A">
      <w:pPr>
        <w:widowControl w:val="0"/>
        <w:spacing w:line="480" w:lineRule="exact"/>
        <w:ind w:firstLine="555"/>
        <w:jc w:val="both"/>
        <w:rPr>
          <w:rFonts w:eastAsia="楷体_GB2312"/>
          <w:sz w:val="28"/>
        </w:rPr>
      </w:pPr>
      <w:r>
        <w:rPr>
          <w:rFonts w:eastAsia="楷体_GB2312"/>
          <w:sz w:val="28"/>
        </w:rPr>
        <w:t>2、确定待估宗地所处的土地级别或均质地域</w:t>
      </w:r>
    </w:p>
    <w:p w14:paraId="00F2167C">
      <w:pPr>
        <w:widowControl w:val="0"/>
        <w:spacing w:line="480" w:lineRule="exact"/>
        <w:ind w:firstLine="555"/>
        <w:jc w:val="both"/>
        <w:rPr>
          <w:rFonts w:eastAsia="楷体_GB2312"/>
          <w:sz w:val="28"/>
        </w:rPr>
      </w:pPr>
      <w:r>
        <w:rPr>
          <w:rFonts w:eastAsia="楷体_GB2312"/>
          <w:sz w:val="28"/>
        </w:rPr>
        <w:t>确定待估宗地所在的土地级别或均质地域，得到该级别所对应的基准地价，选择相应的基准地价修正系数表和因素条件说明表。</w:t>
      </w:r>
    </w:p>
    <w:p w14:paraId="61C513D1">
      <w:pPr>
        <w:widowControl w:val="0"/>
        <w:spacing w:line="480" w:lineRule="exact"/>
        <w:ind w:firstLine="555"/>
        <w:jc w:val="both"/>
        <w:rPr>
          <w:rFonts w:eastAsia="楷体_GB2312"/>
          <w:sz w:val="28"/>
        </w:rPr>
      </w:pPr>
      <w:r>
        <w:rPr>
          <w:rFonts w:eastAsia="楷体_GB2312"/>
          <w:sz w:val="28"/>
        </w:rPr>
        <w:t>3、调查宗地地价影响因素的指标条件</w:t>
      </w:r>
    </w:p>
    <w:p w14:paraId="0749A3DF">
      <w:pPr>
        <w:widowControl w:val="0"/>
        <w:spacing w:line="480" w:lineRule="exact"/>
        <w:ind w:firstLine="555"/>
        <w:jc w:val="both"/>
        <w:rPr>
          <w:rFonts w:eastAsia="楷体_GB2312"/>
          <w:sz w:val="28"/>
        </w:rPr>
      </w:pPr>
      <w:r>
        <w:rPr>
          <w:rFonts w:eastAsia="楷体_GB2312"/>
          <w:sz w:val="28"/>
        </w:rPr>
        <w:t>通过实地调查和图上量算，获取影响宗地地价的区域因素指标及包括容积率水平、使用年期等在内的个别因素指标。</w:t>
      </w:r>
    </w:p>
    <w:p w14:paraId="7BF3A201">
      <w:pPr>
        <w:widowControl w:val="0"/>
        <w:spacing w:line="480" w:lineRule="exact"/>
        <w:ind w:firstLine="555"/>
        <w:jc w:val="both"/>
        <w:rPr>
          <w:rFonts w:eastAsia="楷体_GB2312"/>
          <w:sz w:val="28"/>
        </w:rPr>
      </w:pPr>
      <w:r>
        <w:rPr>
          <w:rFonts w:eastAsia="楷体_GB2312"/>
          <w:sz w:val="28"/>
        </w:rPr>
        <w:t>4、确定修正系数</w:t>
      </w:r>
    </w:p>
    <w:p w14:paraId="76DDCBC9">
      <w:pPr>
        <w:widowControl w:val="0"/>
        <w:spacing w:line="480" w:lineRule="exact"/>
        <w:ind w:firstLine="555"/>
        <w:jc w:val="both"/>
        <w:rPr>
          <w:rFonts w:eastAsia="楷体_GB2312"/>
          <w:sz w:val="28"/>
        </w:rPr>
      </w:pPr>
      <w:r>
        <w:rPr>
          <w:rFonts w:eastAsia="楷体_GB2312"/>
          <w:sz w:val="28"/>
        </w:rPr>
        <w:t>将宗地的各项因素指标条件与相应的修正因素条件说明表进行比较，确定待估宗地对应各项修正因素的优劣状况，再查找修正系数表确定宗地各项修正因素应修正的比率，即因素修正系数。</w:t>
      </w:r>
    </w:p>
    <w:p w14:paraId="17204590">
      <w:pPr>
        <w:widowControl w:val="0"/>
        <w:spacing w:line="480" w:lineRule="exact"/>
        <w:ind w:firstLine="555"/>
        <w:jc w:val="both"/>
        <w:rPr>
          <w:rFonts w:eastAsia="楷体_GB2312"/>
          <w:sz w:val="28"/>
        </w:rPr>
      </w:pPr>
      <w:r>
        <w:rPr>
          <w:rFonts w:eastAsia="楷体_GB2312"/>
          <w:sz w:val="28"/>
        </w:rPr>
        <w:t>5、计算宗地地价</w:t>
      </w:r>
    </w:p>
    <w:p w14:paraId="0E13F688">
      <w:pPr>
        <w:widowControl w:val="0"/>
        <w:spacing w:line="480" w:lineRule="exact"/>
        <w:ind w:firstLine="555"/>
        <w:jc w:val="both"/>
        <w:rPr>
          <w:rFonts w:eastAsia="楷体_GB2312"/>
          <w:sz w:val="28"/>
        </w:rPr>
      </w:pPr>
      <w:r>
        <w:rPr>
          <w:rFonts w:eastAsia="楷体_GB2312"/>
          <w:sz w:val="28"/>
        </w:rPr>
        <w:t>利用如下公式计算宗地地价：</w:t>
      </w:r>
    </w:p>
    <w:p w14:paraId="6C2D6C70">
      <w:pPr>
        <w:widowControl w:val="0"/>
        <w:spacing w:line="480" w:lineRule="exact"/>
        <w:ind w:firstLine="555"/>
        <w:jc w:val="both"/>
        <w:rPr>
          <w:rFonts w:eastAsia="楷体_GB2312"/>
          <w:sz w:val="28"/>
        </w:rPr>
      </w:pPr>
      <w:r>
        <w:rPr>
          <w:rFonts w:eastAsia="楷体_GB2312"/>
          <w:sz w:val="28"/>
        </w:rPr>
        <w:pict>
          <v:shape id="Object 884" o:spid="_x0000_s1908" o:spt="75" type="#_x0000_t75" style="position:absolute;left:0pt;margin-left:63.25pt;margin-top:10.8pt;height:15.05pt;width:170.55pt;z-index:251664384;mso-width-relative:page;mso-height-relative:page;" o:ole="t" filled="f" o:preferrelative="t" stroked="f" coordsize="21600,21600">
            <v:path/>
            <v:fill on="f" focussize="0,0"/>
            <v:stroke on="f"/>
            <v:imagedata r:id="rId368" o:title=""/>
            <o:lock v:ext="edit" aspectratio="t"/>
          </v:shape>
          <o:OLEObject Type="Embed" ProgID="Equations" ShapeID="Object 884" DrawAspect="Content" ObjectID="_1468075916" r:id="rId367">
            <o:LockedField>false</o:LockedField>
          </o:OLEObject>
        </w:pict>
      </w:r>
    </w:p>
    <w:p w14:paraId="54C0AD42">
      <w:pPr>
        <w:widowControl w:val="0"/>
        <w:spacing w:line="480" w:lineRule="exact"/>
        <w:ind w:firstLine="555"/>
        <w:jc w:val="both"/>
        <w:rPr>
          <w:rFonts w:eastAsia="楷体_GB2312"/>
          <w:sz w:val="28"/>
        </w:rPr>
      </w:pPr>
      <w:r>
        <w:rPr>
          <w:rFonts w:eastAsia="楷体_GB2312"/>
          <w:sz w:val="28"/>
        </w:rPr>
        <w:t>式中：</w:t>
      </w:r>
      <w:r>
        <w:rPr>
          <w:position w:val="-4"/>
        </w:rPr>
        <w:drawing>
          <wp:inline distT="0" distB="0" distL="114300" distR="114300">
            <wp:extent cx="152400" cy="165100"/>
            <wp:effectExtent l="0" t="0" r="0" b="4445"/>
            <wp:docPr id="108"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91"/>
                    <pic:cNvPicPr>
                      <a:picLocks noChangeAspect="1"/>
                    </pic:cNvPicPr>
                  </pic:nvPicPr>
                  <pic:blipFill>
                    <a:blip r:embed="rId369"/>
                    <a:stretch>
                      <a:fillRect/>
                    </a:stretch>
                  </pic:blipFill>
                  <pic:spPr>
                    <a:xfrm>
                      <a:off x="0" y="0"/>
                      <a:ext cx="152400" cy="165100"/>
                    </a:xfrm>
                    <a:prstGeom prst="rect">
                      <a:avLst/>
                    </a:prstGeom>
                    <a:noFill/>
                    <a:ln>
                      <a:noFill/>
                    </a:ln>
                  </pic:spPr>
                </pic:pic>
              </a:graphicData>
            </a:graphic>
          </wp:inline>
        </w:drawing>
      </w:r>
      <w:r>
        <w:rPr>
          <w:rFonts w:eastAsia="楷体_GB2312"/>
          <w:sz w:val="28"/>
        </w:rPr>
        <w:t>—待估宗地地价</w:t>
      </w:r>
    </w:p>
    <w:p w14:paraId="396F6D27">
      <w:pPr>
        <w:widowControl w:val="0"/>
        <w:spacing w:line="480" w:lineRule="exact"/>
        <w:ind w:firstLine="555"/>
        <w:jc w:val="both"/>
        <w:rPr>
          <w:rFonts w:eastAsia="楷体_GB2312"/>
          <w:sz w:val="28"/>
        </w:rPr>
      </w:pPr>
      <w:r>
        <w:rPr>
          <w:rFonts w:eastAsia="楷体_GB2312"/>
          <w:sz w:val="28"/>
        </w:rPr>
        <w:t xml:space="preserve">      </w:t>
      </w:r>
      <w:r>
        <w:rPr>
          <w:position w:val="-12"/>
        </w:rPr>
        <w:drawing>
          <wp:inline distT="0" distB="0" distL="114300" distR="114300">
            <wp:extent cx="203200" cy="228600"/>
            <wp:effectExtent l="0" t="0" r="5715" b="0"/>
            <wp:docPr id="109"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92"/>
                    <pic:cNvPicPr>
                      <a:picLocks noChangeAspect="1"/>
                    </pic:cNvPicPr>
                  </pic:nvPicPr>
                  <pic:blipFill>
                    <a:blip r:embed="rId370"/>
                    <a:stretch>
                      <a:fillRect/>
                    </a:stretch>
                  </pic:blipFill>
                  <pic:spPr>
                    <a:xfrm>
                      <a:off x="0" y="0"/>
                      <a:ext cx="203200" cy="228600"/>
                    </a:xfrm>
                    <a:prstGeom prst="rect">
                      <a:avLst/>
                    </a:prstGeom>
                    <a:noFill/>
                    <a:ln>
                      <a:noFill/>
                    </a:ln>
                  </pic:spPr>
                </pic:pic>
              </a:graphicData>
            </a:graphic>
          </wp:inline>
        </w:drawing>
      </w:r>
      <w:r>
        <w:rPr>
          <w:rFonts w:eastAsia="楷体_GB2312"/>
          <w:sz w:val="28"/>
        </w:rPr>
        <w:t>—某用途、某级别（均值区域）的基准地价</w:t>
      </w:r>
    </w:p>
    <w:p w14:paraId="29DF0DC1">
      <w:pPr>
        <w:widowControl w:val="0"/>
        <w:spacing w:line="480" w:lineRule="exact"/>
        <w:ind w:firstLine="555"/>
        <w:jc w:val="both"/>
        <w:rPr>
          <w:rFonts w:eastAsia="楷体_GB2312"/>
          <w:sz w:val="28"/>
        </w:rPr>
      </w:pPr>
      <w:r>
        <w:rPr>
          <w:rFonts w:eastAsia="楷体_GB2312"/>
          <w:sz w:val="28"/>
        </w:rPr>
        <w:t xml:space="preserve">      </w:t>
      </w:r>
      <w:r>
        <w:rPr>
          <w:position w:val="-14"/>
        </w:rPr>
        <w:drawing>
          <wp:inline distT="0" distB="0" distL="114300" distR="114300">
            <wp:extent cx="393700" cy="254000"/>
            <wp:effectExtent l="0" t="0" r="0" b="13970"/>
            <wp:docPr id="110"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93"/>
                    <pic:cNvPicPr>
                      <a:picLocks noChangeAspect="1"/>
                    </pic:cNvPicPr>
                  </pic:nvPicPr>
                  <pic:blipFill>
                    <a:blip r:embed="rId371"/>
                    <a:stretch>
                      <a:fillRect/>
                    </a:stretch>
                  </pic:blipFill>
                  <pic:spPr>
                    <a:xfrm>
                      <a:off x="0" y="0"/>
                      <a:ext cx="393700" cy="254000"/>
                    </a:xfrm>
                    <a:prstGeom prst="rect">
                      <a:avLst/>
                    </a:prstGeom>
                    <a:noFill/>
                    <a:ln>
                      <a:noFill/>
                    </a:ln>
                  </pic:spPr>
                </pic:pic>
              </a:graphicData>
            </a:graphic>
          </wp:inline>
        </w:drawing>
      </w:r>
      <w:r>
        <w:rPr>
          <w:rFonts w:eastAsia="楷体_GB2312"/>
          <w:sz w:val="28"/>
        </w:rPr>
        <w:t>—宗地地价修正系数</w:t>
      </w:r>
    </w:p>
    <w:p w14:paraId="6EE67CB9">
      <w:pPr>
        <w:widowControl w:val="0"/>
        <w:spacing w:line="480" w:lineRule="exact"/>
        <w:ind w:firstLine="555"/>
        <w:jc w:val="both"/>
        <w:rPr>
          <w:rFonts w:eastAsia="楷体_GB2312"/>
          <w:sz w:val="28"/>
        </w:rPr>
      </w:pPr>
      <w:r>
        <w:rPr>
          <w:rFonts w:eastAsia="楷体_GB2312"/>
          <w:sz w:val="28"/>
        </w:rPr>
        <w:t xml:space="preserve">       </w:t>
      </w:r>
      <w:r>
        <w:rPr>
          <w:position w:val="-14"/>
        </w:rPr>
        <w:drawing>
          <wp:inline distT="0" distB="0" distL="114300" distR="114300">
            <wp:extent cx="215900" cy="241300"/>
            <wp:effectExtent l="0" t="0" r="12700" b="5080"/>
            <wp:docPr id="111"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94"/>
                    <pic:cNvPicPr>
                      <a:picLocks noChangeAspect="1"/>
                    </pic:cNvPicPr>
                  </pic:nvPicPr>
                  <pic:blipFill>
                    <a:blip r:embed="rId372"/>
                    <a:stretch>
                      <a:fillRect/>
                    </a:stretch>
                  </pic:blipFill>
                  <pic:spPr>
                    <a:xfrm>
                      <a:off x="0" y="0"/>
                      <a:ext cx="215900" cy="241300"/>
                    </a:xfrm>
                    <a:prstGeom prst="rect">
                      <a:avLst/>
                    </a:prstGeom>
                    <a:noFill/>
                    <a:ln>
                      <a:noFill/>
                    </a:ln>
                  </pic:spPr>
                </pic:pic>
              </a:graphicData>
            </a:graphic>
          </wp:inline>
        </w:drawing>
      </w:r>
      <w:r>
        <w:rPr>
          <w:rFonts w:eastAsia="楷体_GB2312"/>
          <w:sz w:val="28"/>
        </w:rPr>
        <w:t>—估价期日、容积率、土地使用年期等其他修正系数</w:t>
      </w:r>
    </w:p>
    <w:p w14:paraId="25BF084B">
      <w:pPr>
        <w:widowControl w:val="0"/>
        <w:spacing w:line="480" w:lineRule="exact"/>
        <w:ind w:firstLine="1386" w:firstLineChars="660"/>
        <w:jc w:val="both"/>
        <w:rPr>
          <w:rFonts w:eastAsia="楷体_GB2312"/>
          <w:sz w:val="28"/>
        </w:rPr>
      </w:pPr>
      <w:r>
        <w:rPr>
          <w:position w:val="-4"/>
        </w:rPr>
        <w:drawing>
          <wp:inline distT="0" distB="0" distL="114300" distR="114300">
            <wp:extent cx="165100" cy="165100"/>
            <wp:effectExtent l="0" t="0" r="6350" b="4445"/>
            <wp:docPr id="112"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95"/>
                    <pic:cNvPicPr>
                      <a:picLocks noChangeAspect="1"/>
                    </pic:cNvPicPr>
                  </pic:nvPicPr>
                  <pic:blipFill>
                    <a:blip r:embed="rId373"/>
                    <a:stretch>
                      <a:fillRect/>
                    </a:stretch>
                  </pic:blipFill>
                  <pic:spPr>
                    <a:xfrm>
                      <a:off x="0" y="0"/>
                      <a:ext cx="165100" cy="165100"/>
                    </a:xfrm>
                    <a:prstGeom prst="rect">
                      <a:avLst/>
                    </a:prstGeom>
                    <a:noFill/>
                    <a:ln>
                      <a:noFill/>
                    </a:ln>
                  </pic:spPr>
                </pic:pic>
              </a:graphicData>
            </a:graphic>
          </wp:inline>
        </w:drawing>
      </w:r>
      <w:r>
        <w:rPr>
          <w:rFonts w:eastAsia="楷体_GB2312"/>
          <w:sz w:val="28"/>
        </w:rPr>
        <w:t>—土地开发程度修正值</w:t>
      </w:r>
    </w:p>
    <w:p w14:paraId="7AD129DE">
      <w:pPr>
        <w:widowControl w:val="0"/>
        <w:spacing w:line="480" w:lineRule="exact"/>
        <w:ind w:firstLine="555"/>
        <w:jc w:val="both"/>
        <w:rPr>
          <w:rFonts w:eastAsia="楷体_GB2312"/>
          <w:sz w:val="28"/>
        </w:rPr>
      </w:pPr>
      <w:r>
        <w:rPr>
          <w:rFonts w:eastAsia="楷体_GB2312"/>
          <w:sz w:val="28"/>
        </w:rPr>
        <w:t xml:space="preserve">  </w:t>
      </w:r>
    </w:p>
    <w:p w14:paraId="72E347F9">
      <w:pPr>
        <w:pStyle w:val="4"/>
        <w:numPr>
          <w:ilvl w:val="0"/>
          <w:numId w:val="0"/>
        </w:numPr>
        <w:spacing w:line="240" w:lineRule="auto"/>
        <w:jc w:val="center"/>
        <w:rPr>
          <w:rFonts w:eastAsia="仿宋_GB2312"/>
          <w:bCs w:val="0"/>
        </w:rPr>
      </w:pPr>
      <w:bookmarkStart w:id="133" w:name="_Toc25588302"/>
      <w:bookmarkStart w:id="134" w:name="_Toc62483984"/>
      <w:bookmarkStart w:id="135" w:name="_Toc62563714"/>
      <w:r>
        <w:rPr>
          <w:rFonts w:eastAsia="仿宋_GB2312"/>
          <w:bCs w:val="0"/>
        </w:rPr>
        <w:t>第四节  成果应用建议</w:t>
      </w:r>
      <w:bookmarkEnd w:id="133"/>
      <w:bookmarkEnd w:id="134"/>
      <w:bookmarkEnd w:id="135"/>
    </w:p>
    <w:p w14:paraId="49357CD0">
      <w:pPr>
        <w:widowControl w:val="0"/>
        <w:spacing w:line="480" w:lineRule="exact"/>
        <w:ind w:firstLine="560" w:firstLineChars="200"/>
        <w:jc w:val="both"/>
        <w:rPr>
          <w:rFonts w:eastAsia="楷体_GB2312"/>
          <w:sz w:val="28"/>
          <w:szCs w:val="28"/>
        </w:rPr>
      </w:pPr>
      <w:r>
        <w:rPr>
          <w:rFonts w:eastAsia="楷体_GB2312"/>
          <w:sz w:val="28"/>
          <w:szCs w:val="28"/>
        </w:rPr>
        <w:t>为了更有效地利用本次工作成果，强化国有土地资产管理，培育发展土地市场，高度垄断一级市场，搞活、调控二级市场，针对</w:t>
      </w:r>
      <w:r>
        <w:rPr>
          <w:rFonts w:hint="eastAsia" w:ascii="楷体" w:hAnsi="楷体" w:eastAsia="楷体" w:cs="宋体"/>
          <w:sz w:val="28"/>
          <w:szCs w:val="21"/>
        </w:rPr>
        <w:t>埇</w:t>
      </w:r>
      <w:r>
        <w:rPr>
          <w:rFonts w:hint="eastAsia" w:ascii="楷体_GB2312" w:hAnsi="楷体_GB2312" w:eastAsia="楷体_GB2312" w:cs="楷体_GB2312"/>
          <w:sz w:val="28"/>
          <w:szCs w:val="28"/>
        </w:rPr>
        <w:t>桥区</w:t>
      </w:r>
      <w:r>
        <w:rPr>
          <w:rFonts w:eastAsia="楷体_GB2312"/>
          <w:sz w:val="28"/>
          <w:szCs w:val="28"/>
        </w:rPr>
        <w:t>的实际情况，对成果应用提出如下建议。</w:t>
      </w:r>
    </w:p>
    <w:p w14:paraId="1B3DF15A">
      <w:pPr>
        <w:widowControl w:val="0"/>
        <w:spacing w:before="120" w:beforeLines="50" w:after="120" w:afterLines="50" w:line="480" w:lineRule="exact"/>
        <w:ind w:firstLine="562" w:firstLineChars="200"/>
        <w:jc w:val="both"/>
        <w:rPr>
          <w:b/>
          <w:sz w:val="28"/>
          <w:szCs w:val="21"/>
        </w:rPr>
      </w:pPr>
      <w:r>
        <w:rPr>
          <w:b/>
          <w:sz w:val="28"/>
          <w:szCs w:val="21"/>
        </w:rPr>
        <w:t>一、土地定级成果应用建议</w:t>
      </w:r>
    </w:p>
    <w:p w14:paraId="64402AEE">
      <w:pPr>
        <w:widowControl w:val="0"/>
        <w:spacing w:line="480" w:lineRule="exact"/>
        <w:ind w:firstLine="555"/>
        <w:jc w:val="both"/>
        <w:rPr>
          <w:rFonts w:eastAsia="楷体_GB2312"/>
          <w:sz w:val="28"/>
        </w:rPr>
      </w:pPr>
      <w:r>
        <w:rPr>
          <w:rFonts w:eastAsia="楷体_GB2312"/>
          <w:b/>
          <w:sz w:val="28"/>
        </w:rPr>
        <w:t>1、优化土地利用结构、合理配置土地资产、最大限度地发挥土地的利用效益</w:t>
      </w:r>
    </w:p>
    <w:p w14:paraId="5405A6E2">
      <w:pPr>
        <w:widowControl w:val="0"/>
        <w:spacing w:line="480" w:lineRule="exact"/>
        <w:ind w:firstLine="555"/>
        <w:jc w:val="both"/>
        <w:rPr>
          <w:rFonts w:eastAsia="楷体_GB2312"/>
          <w:sz w:val="28"/>
        </w:rPr>
      </w:pPr>
      <w:r>
        <w:rPr>
          <w:rFonts w:eastAsia="楷体_GB2312"/>
          <w:sz w:val="28"/>
        </w:rPr>
        <w:t>城市土地是城市经过长期发展、长期投资的一种具有永久增值的巨大财富，是城市组织生产、安排居民生活必不可少的物质基础，是政府优化产业结构、合理布局用地结构的巨额资产。当前在转换企业经营机制，推进股份制企业发展过程中，城市土地资产有着特别重要的作用和意义。因此，以土地作为资本，在融资、优化土地利用结构，合理配置土地资产时应充分依据土地定级成果。根据本次确定的土地级别、基准地价状况，对调查区土地利用提出下列建议：</w:t>
      </w:r>
    </w:p>
    <w:p w14:paraId="1BB39626">
      <w:pPr>
        <w:widowControl w:val="0"/>
        <w:spacing w:line="480" w:lineRule="exact"/>
        <w:ind w:firstLine="555"/>
        <w:jc w:val="both"/>
        <w:rPr>
          <w:rFonts w:eastAsia="楷体_GB2312"/>
          <w:sz w:val="28"/>
        </w:rPr>
      </w:pPr>
      <w:r>
        <w:rPr>
          <w:rFonts w:eastAsia="楷体_GB2312"/>
          <w:sz w:val="28"/>
        </w:rPr>
        <w:t>（1）在商服、住宅土地级别高级别土地内应主要安排商住用地，不再安排行政事业单位用地。对于现有的占地面积较大的行政事业单位，有条件的要尽量搬迁；对于现有工矿仓储企业，也应尽量转变用地性质，大力发展第三产业。低级别土地应以住宅、工矿仓储、行政、科教文用地为主。</w:t>
      </w:r>
    </w:p>
    <w:p w14:paraId="7A53813A">
      <w:pPr>
        <w:widowControl w:val="0"/>
        <w:spacing w:line="480" w:lineRule="exact"/>
        <w:ind w:firstLine="555"/>
        <w:jc w:val="both"/>
        <w:rPr>
          <w:rFonts w:eastAsia="楷体_GB2312"/>
          <w:sz w:val="28"/>
        </w:rPr>
      </w:pPr>
      <w:r>
        <w:rPr>
          <w:rFonts w:eastAsia="楷体_GB2312"/>
          <w:sz w:val="28"/>
        </w:rPr>
        <w:t>（2）商服用地是各种用地类型中用地效益最高的用地类型，其土地级别的分布趋势与商服定级土地级别一致，因此在商服用地土地级别的高级别内应多安排商服用地，除了沿街地带外，非沿街区域亦可安排商服用地；在低级别内，除了沿街地带安排商服用地外，非沿街部分尽量安排住宅、工矿仓储、行政、科教文体用地。</w:t>
      </w:r>
    </w:p>
    <w:p w14:paraId="27B5FE5A">
      <w:pPr>
        <w:widowControl w:val="0"/>
        <w:spacing w:line="480" w:lineRule="exact"/>
        <w:ind w:firstLine="555"/>
        <w:jc w:val="both"/>
        <w:rPr>
          <w:rFonts w:eastAsia="楷体_GB2312"/>
          <w:sz w:val="28"/>
        </w:rPr>
      </w:pPr>
      <w:r>
        <w:rPr>
          <w:rFonts w:eastAsia="楷体_GB2312"/>
          <w:sz w:val="28"/>
        </w:rPr>
        <w:t>（3）住宅用地的用地效益低于商服用地而高于工矿仓储用地，其土地级别的分布趋势与住宅用地土地级别相似，因此，在高级别内适于商服用地的土地应尽量作商服用地，对于不适宜作商服用地的土地，应尽量布置高层或小高层高档公寓住宅，在低级别内环境好适于居住的区域布层建筑密度较小、绿地率较高的多层住宅小区或别墅区。</w:t>
      </w:r>
    </w:p>
    <w:p w14:paraId="5F48199A">
      <w:pPr>
        <w:widowControl w:val="0"/>
        <w:spacing w:line="480" w:lineRule="exact"/>
        <w:ind w:firstLine="555"/>
        <w:jc w:val="both"/>
        <w:rPr>
          <w:rFonts w:eastAsia="楷体_GB2312"/>
          <w:sz w:val="28"/>
        </w:rPr>
      </w:pPr>
      <w:r>
        <w:rPr>
          <w:rFonts w:eastAsia="楷体_GB2312"/>
          <w:sz w:val="28"/>
        </w:rPr>
        <w:t>（4）工矿仓储用地土地级别评定时选定的定级因素与综合定级、商服用地定级和住宅用地定级有较大差距，评定的土地级别与综合土地级别、商服用地土地级别、住宅用地土地级别的分布趋势差异较大，有时甚至相反。因此应尽量将工矿仓储用地集中到商服用地级别和住宅用地级别低而工矿仓储用地级别高的区域内，商服用地和住宅用地级别高而工矿仓储用地级别低的区域内工矿仓储用地应尽量让位于商服用地和住宅用地，这样有利于提高土地利用效益。</w:t>
      </w:r>
    </w:p>
    <w:p w14:paraId="2734714C">
      <w:pPr>
        <w:widowControl w:val="0"/>
        <w:spacing w:line="480" w:lineRule="exact"/>
        <w:ind w:firstLine="555"/>
        <w:jc w:val="both"/>
        <w:rPr>
          <w:rFonts w:eastAsia="楷体_GB2312"/>
          <w:sz w:val="28"/>
        </w:rPr>
      </w:pPr>
      <w:r>
        <w:rPr>
          <w:rFonts w:eastAsia="楷体_GB2312"/>
          <w:sz w:val="28"/>
        </w:rPr>
        <w:t>（4）公共管理与公共服务用地是根据城市发展进程及规划要求进行合理配置的，与其他用地存在相互依存、相互影响。其土地级别分布趋势与工矿仓储用地土地级别相似，因此尽量将公共管理与公共服务用地集中到商服、住宅用地级别较低区域。这样有利于提高土地利用效益。</w:t>
      </w:r>
    </w:p>
    <w:p w14:paraId="28A749B0">
      <w:pPr>
        <w:widowControl w:val="0"/>
        <w:spacing w:line="480" w:lineRule="exact"/>
        <w:ind w:firstLine="555"/>
        <w:jc w:val="both"/>
        <w:rPr>
          <w:rFonts w:eastAsia="楷体_GB2312"/>
          <w:b/>
          <w:sz w:val="28"/>
        </w:rPr>
      </w:pPr>
      <w:r>
        <w:rPr>
          <w:rFonts w:eastAsia="楷体_GB2312"/>
          <w:b/>
          <w:sz w:val="28"/>
        </w:rPr>
        <w:t>2、及时更新土地定级成果</w:t>
      </w:r>
    </w:p>
    <w:p w14:paraId="501E9AC7">
      <w:pPr>
        <w:widowControl w:val="0"/>
        <w:spacing w:line="480" w:lineRule="exact"/>
        <w:ind w:firstLine="560" w:firstLineChars="200"/>
        <w:jc w:val="both"/>
        <w:rPr>
          <w:rFonts w:eastAsia="楷体_GB2312"/>
          <w:sz w:val="28"/>
          <w:szCs w:val="21"/>
        </w:rPr>
      </w:pPr>
      <w:r>
        <w:rPr>
          <w:rFonts w:eastAsia="楷体_GB2312"/>
          <w:sz w:val="28"/>
          <w:szCs w:val="21"/>
        </w:rPr>
        <w:t>为了使</w:t>
      </w:r>
      <w:r>
        <w:rPr>
          <w:rFonts w:hint="eastAsia" w:ascii="楷体" w:hAnsi="楷体" w:eastAsia="楷体" w:cs="宋体"/>
          <w:sz w:val="28"/>
          <w:szCs w:val="21"/>
        </w:rPr>
        <w:t>埇</w:t>
      </w:r>
      <w:r>
        <w:rPr>
          <w:rFonts w:hint="eastAsia" w:ascii="楷体_GB2312" w:hAnsi="楷体_GB2312" w:eastAsia="楷体_GB2312" w:cs="楷体_GB2312"/>
          <w:sz w:val="28"/>
          <w:szCs w:val="21"/>
        </w:rPr>
        <w:t>桥区</w:t>
      </w:r>
      <w:r>
        <w:rPr>
          <w:rFonts w:eastAsia="楷体_GB2312"/>
          <w:sz w:val="28"/>
          <w:szCs w:val="21"/>
        </w:rPr>
        <w:t>土地定级成果符合客观实际，保持成果的现势性，在影响</w:t>
      </w:r>
      <w:r>
        <w:rPr>
          <w:rFonts w:hint="eastAsia" w:ascii="楷体" w:hAnsi="楷体" w:eastAsia="楷体" w:cs="宋体"/>
          <w:sz w:val="28"/>
          <w:szCs w:val="21"/>
        </w:rPr>
        <w:t>埇</w:t>
      </w:r>
      <w:r>
        <w:rPr>
          <w:rFonts w:hint="eastAsia" w:ascii="楷体_GB2312" w:hAnsi="楷体_GB2312" w:eastAsia="楷体_GB2312" w:cs="楷体_GB2312"/>
          <w:sz w:val="28"/>
          <w:szCs w:val="21"/>
        </w:rPr>
        <w:t>桥区</w:t>
      </w:r>
      <w:r>
        <w:rPr>
          <w:rFonts w:eastAsia="楷体_GB2312"/>
          <w:sz w:val="28"/>
          <w:szCs w:val="21"/>
        </w:rPr>
        <w:t>内部土地质量的各种因素发生变化而造成差异后，必须对土地级别进行及时更新。更新时，在地域上，应先进行局部更新，然后进行全部更新；在周期上局部更新的周期应比全部更新的周期短，对土地区位反映敏感的用地类型的土地级别更新周期应比对土地区位反映不够敏感的用地类型的土地级别更新的周期短。</w:t>
      </w:r>
    </w:p>
    <w:p w14:paraId="0FAE5D4A">
      <w:pPr>
        <w:widowControl w:val="0"/>
        <w:spacing w:before="120" w:beforeLines="50" w:after="120" w:afterLines="50" w:line="480" w:lineRule="exact"/>
        <w:ind w:firstLine="562" w:firstLineChars="200"/>
        <w:jc w:val="both"/>
        <w:rPr>
          <w:b/>
          <w:sz w:val="28"/>
          <w:szCs w:val="21"/>
        </w:rPr>
      </w:pPr>
      <w:r>
        <w:rPr>
          <w:b/>
          <w:sz w:val="28"/>
          <w:szCs w:val="21"/>
        </w:rPr>
        <w:t>二、土地估价成果应用</w:t>
      </w:r>
    </w:p>
    <w:p w14:paraId="37FB8EE9">
      <w:pPr>
        <w:widowControl w:val="0"/>
        <w:spacing w:line="480" w:lineRule="exact"/>
        <w:ind w:firstLine="555"/>
        <w:jc w:val="both"/>
        <w:rPr>
          <w:rFonts w:eastAsia="楷体_GB2312"/>
          <w:b/>
          <w:sz w:val="28"/>
        </w:rPr>
      </w:pPr>
      <w:r>
        <w:rPr>
          <w:rFonts w:eastAsia="楷体_GB2312"/>
          <w:b/>
          <w:sz w:val="28"/>
        </w:rPr>
        <w:t>1、向社会公布土地级别和基准地价</w:t>
      </w:r>
    </w:p>
    <w:p w14:paraId="21512F58">
      <w:pPr>
        <w:widowControl w:val="0"/>
        <w:spacing w:line="480" w:lineRule="exact"/>
        <w:ind w:firstLine="555"/>
        <w:jc w:val="both"/>
        <w:rPr>
          <w:rFonts w:eastAsia="楷体_GB2312"/>
          <w:sz w:val="28"/>
        </w:rPr>
      </w:pPr>
      <w:r>
        <w:rPr>
          <w:rFonts w:eastAsia="楷体_GB2312"/>
          <w:sz w:val="28"/>
        </w:rPr>
        <w:t>公布地价是许多地价管理完善国家的通行制度，加强土地价格的透明度，有利于土地交易市场的规范化。公布土地级别和基准地价可使投资者了解土地质量和地价水平，选择合理的投资方向和地点；同时，可以增强政府办事透明度，发挥政府对地价的调控和指导作用。</w:t>
      </w:r>
    </w:p>
    <w:p w14:paraId="6D53ADA4">
      <w:pPr>
        <w:widowControl w:val="0"/>
        <w:spacing w:line="480" w:lineRule="exact"/>
        <w:ind w:firstLine="555"/>
        <w:jc w:val="both"/>
        <w:rPr>
          <w:rFonts w:eastAsia="楷体_GB2312"/>
          <w:sz w:val="28"/>
        </w:rPr>
      </w:pPr>
      <w:r>
        <w:rPr>
          <w:rFonts w:eastAsia="楷体_GB2312"/>
          <w:sz w:val="28"/>
        </w:rPr>
        <w:t>基准地价是不同区段、不同级别、不同用途土地的平均价格。公布基准地价不影响土地使用权出让的决策，因为出让底价更多是依据宗地地价，即按基准地价及宗地地价修正体系才能准确计算出来。</w:t>
      </w:r>
    </w:p>
    <w:p w14:paraId="0791301C">
      <w:pPr>
        <w:widowControl w:val="0"/>
        <w:spacing w:line="480" w:lineRule="exact"/>
        <w:ind w:firstLine="555"/>
        <w:jc w:val="both"/>
        <w:rPr>
          <w:rFonts w:eastAsia="楷体_GB2312"/>
          <w:sz w:val="28"/>
        </w:rPr>
      </w:pPr>
      <w:r>
        <w:rPr>
          <w:rFonts w:eastAsia="楷体_GB2312"/>
          <w:sz w:val="28"/>
        </w:rPr>
        <w:t>建议以土地级别图和基准地价图的形式向社会公布土地级别和基准地价。</w:t>
      </w:r>
    </w:p>
    <w:p w14:paraId="275651C8">
      <w:pPr>
        <w:widowControl w:val="0"/>
        <w:spacing w:line="480" w:lineRule="exact"/>
        <w:ind w:firstLine="555"/>
        <w:jc w:val="both"/>
        <w:rPr>
          <w:rFonts w:eastAsia="楷体_GB2312"/>
          <w:sz w:val="28"/>
        </w:rPr>
      </w:pPr>
      <w:r>
        <w:rPr>
          <w:rFonts w:eastAsia="楷体_GB2312"/>
          <w:sz w:val="28"/>
        </w:rPr>
        <w:t>本次工作中评估出的基准地价属于评估价格，它是</w:t>
      </w:r>
      <w:r>
        <w:rPr>
          <w:rFonts w:hint="eastAsia" w:ascii="楷体" w:hAnsi="楷体" w:eastAsia="楷体" w:cs="宋体"/>
          <w:sz w:val="28"/>
          <w:szCs w:val="21"/>
        </w:rPr>
        <w:t>埇</w:t>
      </w:r>
      <w:r>
        <w:rPr>
          <w:rFonts w:hint="eastAsia" w:ascii="楷体_GB2312" w:hAnsi="楷体_GB2312" w:eastAsia="楷体_GB2312" w:cs="楷体_GB2312"/>
          <w:sz w:val="28"/>
        </w:rPr>
        <w:t>桥区</w:t>
      </w:r>
      <w:r>
        <w:rPr>
          <w:rFonts w:eastAsia="楷体_GB2312"/>
          <w:sz w:val="28"/>
        </w:rPr>
        <w:t>各级别各类用地使用价值的真实反映。但是公布基准地价时，必须考虑到土地市场情况和</w:t>
      </w:r>
      <w:r>
        <w:rPr>
          <w:rFonts w:hint="eastAsia" w:ascii="楷体" w:hAnsi="楷体" w:eastAsia="楷体" w:cs="宋体"/>
          <w:sz w:val="28"/>
          <w:szCs w:val="21"/>
        </w:rPr>
        <w:t>埇</w:t>
      </w:r>
      <w:r>
        <w:rPr>
          <w:rFonts w:hint="eastAsia" w:ascii="楷体_GB2312" w:hAnsi="楷体_GB2312" w:eastAsia="楷体_GB2312" w:cs="楷体_GB2312"/>
          <w:sz w:val="28"/>
        </w:rPr>
        <w:t>桥区</w:t>
      </w:r>
      <w:r>
        <w:rPr>
          <w:rFonts w:eastAsia="楷体_GB2312"/>
          <w:sz w:val="28"/>
        </w:rPr>
        <w:t>的地价管理政策，可高于或低于评估价格。以后视地产市场情况调整，逐步接近评估价格。</w:t>
      </w:r>
    </w:p>
    <w:p w14:paraId="769E00DD">
      <w:pPr>
        <w:widowControl w:val="0"/>
        <w:spacing w:line="480" w:lineRule="exact"/>
        <w:ind w:firstLine="555"/>
        <w:jc w:val="both"/>
        <w:rPr>
          <w:rFonts w:eastAsia="楷体_GB2312"/>
          <w:b/>
          <w:sz w:val="28"/>
        </w:rPr>
      </w:pPr>
      <w:r>
        <w:rPr>
          <w:rFonts w:eastAsia="楷体_GB2312"/>
          <w:b/>
          <w:sz w:val="28"/>
        </w:rPr>
        <w:t>2、制订并出台地价管理政策</w:t>
      </w:r>
    </w:p>
    <w:p w14:paraId="55E7F96F">
      <w:pPr>
        <w:widowControl w:val="0"/>
        <w:spacing w:line="480" w:lineRule="exact"/>
        <w:ind w:firstLine="555"/>
        <w:jc w:val="both"/>
        <w:rPr>
          <w:rFonts w:eastAsia="楷体_GB2312"/>
          <w:sz w:val="28"/>
        </w:rPr>
      </w:pPr>
      <w:r>
        <w:rPr>
          <w:rFonts w:eastAsia="楷体_GB2312"/>
          <w:sz w:val="28"/>
        </w:rPr>
        <w:t>政府按照“宏观管严、微观搞活”的原则，高度垄断一级地产市场(土地使用权出让)，放开搞活二、三级地产市场（土地使用权转让、出租和抵押等交易行为），制订合理的地价管理政策，建议制订地价政策时应包括下列内容：</w:t>
      </w:r>
    </w:p>
    <w:p w14:paraId="3A28E7B1">
      <w:pPr>
        <w:widowControl w:val="0"/>
        <w:spacing w:line="480" w:lineRule="exact"/>
        <w:ind w:firstLine="555"/>
        <w:jc w:val="both"/>
        <w:rPr>
          <w:rFonts w:eastAsia="楷体_GB2312"/>
          <w:sz w:val="28"/>
        </w:rPr>
      </w:pPr>
      <w:r>
        <w:rPr>
          <w:rFonts w:eastAsia="楷体_GB2312"/>
          <w:sz w:val="28"/>
        </w:rPr>
        <w:t>（1）地价体系、地价评估程序、地价评估方法、地价评估的法律责任；</w:t>
      </w:r>
    </w:p>
    <w:p w14:paraId="4F3350E6">
      <w:pPr>
        <w:widowControl w:val="0"/>
        <w:spacing w:line="480" w:lineRule="exact"/>
        <w:ind w:firstLine="555"/>
        <w:jc w:val="both"/>
        <w:rPr>
          <w:rFonts w:eastAsia="楷体_GB2312"/>
          <w:sz w:val="28"/>
        </w:rPr>
      </w:pPr>
      <w:r>
        <w:rPr>
          <w:rFonts w:eastAsia="楷体_GB2312"/>
          <w:sz w:val="28"/>
        </w:rPr>
        <w:t>（2）土地级别和基准地价公布周期；</w:t>
      </w:r>
    </w:p>
    <w:p w14:paraId="70B9B2DD">
      <w:pPr>
        <w:widowControl w:val="0"/>
        <w:spacing w:line="480" w:lineRule="exact"/>
        <w:ind w:firstLine="555"/>
        <w:jc w:val="both"/>
        <w:rPr>
          <w:rFonts w:eastAsia="楷体_GB2312"/>
          <w:sz w:val="28"/>
        </w:rPr>
      </w:pPr>
      <w:r>
        <w:rPr>
          <w:rFonts w:eastAsia="楷体_GB2312"/>
          <w:sz w:val="28"/>
        </w:rPr>
        <w:t>（3）政府实施优先购买权的条件，增值税费的收取标准；</w:t>
      </w:r>
    </w:p>
    <w:p w14:paraId="21F276EC">
      <w:pPr>
        <w:widowControl w:val="0"/>
        <w:spacing w:line="480" w:lineRule="exact"/>
        <w:ind w:left="552" w:leftChars="263"/>
        <w:jc w:val="both"/>
        <w:rPr>
          <w:rFonts w:eastAsia="楷体_GB2312"/>
          <w:sz w:val="28"/>
        </w:rPr>
      </w:pPr>
      <w:r>
        <w:rPr>
          <w:rFonts w:eastAsia="楷体_GB2312"/>
          <w:sz w:val="28"/>
        </w:rPr>
        <w:t>（4）标定地价和市场交易价登记制度；</w:t>
      </w:r>
      <w:r>
        <w:rPr>
          <w:rFonts w:eastAsia="楷体_GB2312"/>
          <w:sz w:val="28"/>
        </w:rPr>
        <w:cr/>
      </w:r>
      <w:r>
        <w:rPr>
          <w:rFonts w:eastAsia="楷体_GB2312"/>
          <w:sz w:val="28"/>
        </w:rPr>
        <w:t>（5）控制地价暴涨或暴跌的措施；</w:t>
      </w:r>
    </w:p>
    <w:p w14:paraId="043CC48B">
      <w:pPr>
        <w:widowControl w:val="0"/>
        <w:spacing w:line="480" w:lineRule="exact"/>
        <w:ind w:firstLine="555"/>
        <w:jc w:val="both"/>
        <w:rPr>
          <w:rFonts w:eastAsia="楷体_GB2312"/>
          <w:sz w:val="28"/>
        </w:rPr>
      </w:pPr>
      <w:r>
        <w:rPr>
          <w:rFonts w:eastAsia="楷体_GB2312"/>
          <w:sz w:val="28"/>
        </w:rPr>
        <w:t>（6）抵押贷款时抵押总值与标定地价的关系和标准；</w:t>
      </w:r>
    </w:p>
    <w:p w14:paraId="3CBEC344">
      <w:pPr>
        <w:widowControl w:val="0"/>
        <w:spacing w:line="480" w:lineRule="exact"/>
        <w:ind w:firstLine="555"/>
        <w:jc w:val="both"/>
        <w:rPr>
          <w:rFonts w:eastAsia="楷体_GB2312"/>
          <w:sz w:val="28"/>
        </w:rPr>
      </w:pPr>
      <w:r>
        <w:rPr>
          <w:rFonts w:eastAsia="楷体_GB2312"/>
          <w:sz w:val="28"/>
        </w:rPr>
        <w:t>（7）采取优惠出让地价的条件和划拨土地使用权土地资产注入企业资产的办法；</w:t>
      </w:r>
    </w:p>
    <w:p w14:paraId="32ACC861">
      <w:pPr>
        <w:widowControl w:val="0"/>
        <w:spacing w:line="480" w:lineRule="exact"/>
        <w:ind w:firstLine="555"/>
        <w:jc w:val="both"/>
        <w:rPr>
          <w:rFonts w:eastAsia="楷体_GB2312"/>
          <w:sz w:val="28"/>
        </w:rPr>
      </w:pPr>
      <w:r>
        <w:rPr>
          <w:rFonts w:eastAsia="楷体_GB2312"/>
          <w:sz w:val="28"/>
        </w:rPr>
        <w:t>（8）土地使用权出让金、转让增值税费等土地收入的收取办法和使用规定。</w:t>
      </w:r>
    </w:p>
    <w:p w14:paraId="2198AF8C">
      <w:pPr>
        <w:widowControl w:val="0"/>
        <w:spacing w:line="480" w:lineRule="exact"/>
        <w:ind w:firstLine="555"/>
        <w:jc w:val="both"/>
        <w:rPr>
          <w:rFonts w:eastAsia="楷体_GB2312"/>
          <w:b/>
          <w:sz w:val="28"/>
        </w:rPr>
      </w:pPr>
      <w:r>
        <w:rPr>
          <w:rFonts w:eastAsia="楷体_GB2312"/>
          <w:b/>
          <w:sz w:val="28"/>
        </w:rPr>
        <w:t>3、正确应用宗地地价修正体系</w:t>
      </w:r>
    </w:p>
    <w:p w14:paraId="2FBBB511">
      <w:pPr>
        <w:widowControl w:val="0"/>
        <w:spacing w:line="480" w:lineRule="exact"/>
        <w:ind w:firstLine="555"/>
        <w:jc w:val="both"/>
        <w:rPr>
          <w:rFonts w:eastAsia="楷体_GB2312"/>
          <w:sz w:val="28"/>
        </w:rPr>
      </w:pPr>
      <w:r>
        <w:rPr>
          <w:rFonts w:eastAsia="楷体_GB2312"/>
          <w:sz w:val="28"/>
        </w:rPr>
        <w:t>（1）对于商服用途宗地，采用商服用地（零售商业用地、娱乐用地、其他商服用地、商务金融用地、餐饮用地、旅馆用地、批发市场用地）的级别基准地价和宗地地价修正系数表、修正系数说明表，在级别基准地价的基础上修正。</w:t>
      </w:r>
    </w:p>
    <w:p w14:paraId="18870FA7">
      <w:pPr>
        <w:widowControl w:val="0"/>
        <w:spacing w:line="480" w:lineRule="exact"/>
        <w:ind w:firstLine="555"/>
        <w:jc w:val="both"/>
        <w:rPr>
          <w:rFonts w:eastAsia="楷体_GB2312"/>
          <w:sz w:val="28"/>
        </w:rPr>
      </w:pPr>
      <w:r>
        <w:rPr>
          <w:rFonts w:eastAsia="楷体_GB2312"/>
          <w:sz w:val="28"/>
        </w:rPr>
        <w:t>（2）对于住宅用途宗地，采用住宅用地级别基准地价和宗地地价修正系数表、修正系数说明表，在级别基准地价的基础上修正。</w:t>
      </w:r>
    </w:p>
    <w:p w14:paraId="499B1F86">
      <w:pPr>
        <w:widowControl w:val="0"/>
        <w:spacing w:line="480" w:lineRule="exact"/>
        <w:ind w:firstLine="555"/>
        <w:jc w:val="both"/>
        <w:rPr>
          <w:rFonts w:eastAsia="楷体_GB2312"/>
          <w:sz w:val="28"/>
        </w:rPr>
      </w:pPr>
      <w:r>
        <w:rPr>
          <w:rFonts w:eastAsia="楷体_GB2312"/>
          <w:sz w:val="28"/>
        </w:rPr>
        <w:t>（3）对于工矿仓储用途宗地，采用工矿仓储用地级别基准地价和宗地地价修正系数表、修正系数说明表，在级别基准地价的基础上修正。</w:t>
      </w:r>
    </w:p>
    <w:p w14:paraId="1F24F7D7">
      <w:pPr>
        <w:widowControl w:val="0"/>
        <w:spacing w:line="480" w:lineRule="exact"/>
        <w:ind w:firstLine="555"/>
        <w:jc w:val="both"/>
        <w:rPr>
          <w:rFonts w:eastAsia="楷体_GB2312"/>
          <w:sz w:val="28"/>
        </w:rPr>
      </w:pPr>
      <w:r>
        <w:rPr>
          <w:rFonts w:eastAsia="楷体_GB2312"/>
          <w:sz w:val="28"/>
        </w:rPr>
        <w:t>（4）对于公共管理与公共服务用途宗地，采用公共管理与公共服务用地（文化设施用地、体育用地、教育用地、医疗卫生用地、新闻出版用地、科研用地、社会福利用地、公用设施用地）级别基准地价和宗地地价修正系数表、修正系数说明表，在级别基准地价的基础上修正。</w:t>
      </w:r>
    </w:p>
    <w:p w14:paraId="2E5DC53E">
      <w:pPr>
        <w:widowControl w:val="0"/>
        <w:spacing w:line="480" w:lineRule="exact"/>
        <w:ind w:firstLine="555"/>
        <w:jc w:val="both"/>
        <w:rPr>
          <w:rFonts w:eastAsia="楷体_GB2312"/>
          <w:b/>
          <w:sz w:val="28"/>
        </w:rPr>
      </w:pPr>
      <w:r>
        <w:rPr>
          <w:rFonts w:eastAsia="楷体_GB2312"/>
          <w:b/>
          <w:sz w:val="28"/>
        </w:rPr>
        <w:t>4、正确区分基准地价在不同地段的作用</w:t>
      </w:r>
    </w:p>
    <w:p w14:paraId="5A13D83B">
      <w:pPr>
        <w:widowControl w:val="0"/>
        <w:spacing w:line="480" w:lineRule="exact"/>
        <w:ind w:firstLine="555"/>
        <w:jc w:val="both"/>
        <w:rPr>
          <w:rFonts w:eastAsia="楷体_GB2312"/>
          <w:sz w:val="28"/>
        </w:rPr>
      </w:pPr>
      <w:r>
        <w:rPr>
          <w:rFonts w:eastAsia="楷体_GB2312"/>
          <w:sz w:val="28"/>
        </w:rPr>
        <w:t>（1）对于已完成旧城或新近开发的地段，基准地价主要作用在于它是制订补缴出让金、土地作价入股的标准。</w:t>
      </w:r>
    </w:p>
    <w:p w14:paraId="57D37464">
      <w:pPr>
        <w:widowControl w:val="0"/>
        <w:spacing w:line="480" w:lineRule="exact"/>
        <w:ind w:firstLine="555"/>
        <w:jc w:val="both"/>
        <w:rPr>
          <w:rFonts w:eastAsia="楷体_GB2312"/>
          <w:sz w:val="28"/>
        </w:rPr>
      </w:pPr>
      <w:r>
        <w:rPr>
          <w:rFonts w:eastAsia="楷体_GB2312"/>
          <w:sz w:val="28"/>
        </w:rPr>
        <w:t>（2）对即将进行旧城改造或开发的地段，基准地价的主要作用在于它是制订交易底价的标准。在这些地段，应根据基准地价，制订出合理的交易底价，尽量通过招标、拍卖方式进行交易。</w:t>
      </w:r>
    </w:p>
    <w:p w14:paraId="73D1D085">
      <w:pPr>
        <w:widowControl w:val="0"/>
        <w:spacing w:line="480" w:lineRule="exact"/>
        <w:ind w:firstLine="555"/>
        <w:jc w:val="both"/>
        <w:rPr>
          <w:rFonts w:eastAsia="楷体_GB2312"/>
          <w:b/>
          <w:sz w:val="28"/>
        </w:rPr>
      </w:pPr>
      <w:r>
        <w:rPr>
          <w:rFonts w:eastAsia="楷体_GB2312"/>
          <w:b/>
          <w:sz w:val="28"/>
        </w:rPr>
        <w:t>5、依据土地估价成果进行土地资产评估</w:t>
      </w:r>
    </w:p>
    <w:p w14:paraId="2AA7DDBC">
      <w:pPr>
        <w:widowControl w:val="0"/>
        <w:spacing w:line="480" w:lineRule="exact"/>
        <w:ind w:firstLine="560" w:firstLineChars="200"/>
        <w:jc w:val="both"/>
        <w:rPr>
          <w:rFonts w:eastAsia="仿宋_GB2312"/>
          <w:sz w:val="28"/>
        </w:rPr>
      </w:pPr>
      <w:r>
        <w:rPr>
          <w:rFonts w:eastAsia="楷体_GB2312"/>
          <w:sz w:val="28"/>
          <w:szCs w:val="21"/>
        </w:rPr>
        <w:t>随着经济体制改革的不断深入，社会主义市场经济的发展，中外合资、合作、股份经营等多种经济形式的涌现，以及承包、租赁等多种经营方式的兴起，土地资产作为重要的生产要素，以各种形式在企业和不同所有制性质的经济组织之间流动、组合，这已成为正常的经济活动，因此，土地资产评估成了一项必不可少的工作。这次土地估价确定出的基准地价和评估宗地地价的修正系数为土地资产的评估提供了根据和方便。因此，有关部门在开展土地资产评估工作中，可应用这次土地估价的成果，提高土地资产评估的质量，加快土地资产评估的速度。</w:t>
      </w:r>
    </w:p>
    <w:sectPr>
      <w:pgSz w:w="11906" w:h="16838"/>
      <w:pgMar w:top="1758" w:right="1474" w:bottom="1474" w:left="1644" w:header="1134"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华文中宋">
    <w:panose1 w:val="02010600040101010101"/>
    <w:charset w:val="86"/>
    <w:family w:val="auto"/>
    <w:pitch w:val="default"/>
    <w:sig w:usb0="00000287" w:usb1="080F0000" w:usb2="00000000" w:usb3="00000000" w:csb0="0004009F" w:csb1="DFD70000"/>
  </w:font>
  <w:font w:name="宋体-18030">
    <w:altName w:val="宋体"/>
    <w:panose1 w:val="02010609060101010101"/>
    <w:charset w:val="86"/>
    <w:family w:val="modern"/>
    <w:pitch w:val="default"/>
    <w:sig w:usb0="00000000" w:usb1="00000000" w:usb2="0000001E" w:usb3="00000000" w:csb0="003C0041" w:csb1="00000000"/>
  </w:font>
  <w:font w:name="Cambria">
    <w:panose1 w:val="02040503050406030204"/>
    <w:charset w:val="00"/>
    <w:family w:val="roman"/>
    <w:pitch w:val="default"/>
    <w:sig w:usb0="E00002FF" w:usb1="400004FF" w:usb2="00000000" w:usb3="00000000" w:csb0="2000019F" w:csb1="00000000"/>
  </w:font>
  <w:font w:name="华文新魏">
    <w:panose1 w:val="02010800040101010101"/>
    <w:charset w:val="86"/>
    <w:family w:val="auto"/>
    <w:pitch w:val="default"/>
    <w:sig w:usb0="00000001" w:usb1="080F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5F393">
    <w:pPr>
      <w:pStyle w:val="25"/>
      <w:framePr w:wrap="around" w:vAnchor="text" w:hAnchor="margin" w:xAlign="center" w:y="1"/>
      <w:rPr>
        <w:rStyle w:val="42"/>
      </w:rPr>
    </w:pPr>
    <w:r>
      <w:fldChar w:fldCharType="begin"/>
    </w:r>
    <w:r>
      <w:rPr>
        <w:rStyle w:val="42"/>
      </w:rPr>
      <w:instrText xml:space="preserve">PAGE  </w:instrText>
    </w:r>
    <w:r>
      <w:fldChar w:fldCharType="separate"/>
    </w:r>
    <w:r>
      <w:rPr>
        <w:rStyle w:val="42"/>
      </w:rPr>
      <w:t>2</w:t>
    </w:r>
    <w:r>
      <w:fldChar w:fldCharType="end"/>
    </w:r>
  </w:p>
  <w:p w14:paraId="67151B06">
    <w:pPr>
      <w:pStyle w:val="25"/>
      <w:ind w:right="36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2424C">
    <w:pPr>
      <w:pStyle w:val="25"/>
      <w:framePr w:wrap="around" w:vAnchor="text" w:hAnchor="margin" w:xAlign="center" w:y="1"/>
      <w:rPr>
        <w:rStyle w:val="42"/>
      </w:rPr>
    </w:pPr>
    <w:r>
      <w:fldChar w:fldCharType="begin"/>
    </w:r>
    <w:r>
      <w:rPr>
        <w:rStyle w:val="42"/>
      </w:rPr>
      <w:instrText xml:space="preserve">PAGE  </w:instrText>
    </w:r>
    <w:r>
      <w:fldChar w:fldCharType="end"/>
    </w:r>
  </w:p>
  <w:p w14:paraId="661F7D85">
    <w:pPr>
      <w:pStyle w:val="2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9CFA4">
    <w:pPr>
      <w:pStyle w:val="25"/>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69378">
    <w:pPr>
      <w:pStyle w:val="25"/>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42FFA">
    <w:pPr>
      <w:pStyle w:val="25"/>
      <w:jc w:val="center"/>
      <w:rPr>
        <w:rFonts w:hint="eastAsia"/>
      </w:rPr>
    </w:pPr>
    <w:r>
      <w:fldChar w:fldCharType="begin"/>
    </w:r>
    <w:r>
      <w:instrText xml:space="preserve">PAGE   \* MERGEFORMAT</w:instrText>
    </w:r>
    <w:r>
      <w:fldChar w:fldCharType="separate"/>
    </w:r>
    <w:r>
      <w:rPr>
        <w:lang w:val="zh-CN"/>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873B2">
    <w:pPr>
      <w:pStyle w:val="25"/>
      <w:framePr w:wrap="around" w:vAnchor="text" w:hAnchor="margin" w:xAlign="center" w:y="1"/>
      <w:rPr>
        <w:rStyle w:val="42"/>
      </w:rPr>
    </w:pPr>
    <w:r>
      <w:fldChar w:fldCharType="begin"/>
    </w:r>
    <w:r>
      <w:rPr>
        <w:rStyle w:val="42"/>
      </w:rPr>
      <w:instrText xml:space="preserve">PAGE  </w:instrText>
    </w:r>
    <w:r>
      <w:fldChar w:fldCharType="separate"/>
    </w:r>
    <w:r>
      <w:rPr>
        <w:rStyle w:val="42"/>
      </w:rPr>
      <w:t>251</w:t>
    </w:r>
    <w:r>
      <w:fldChar w:fldCharType="end"/>
    </w:r>
  </w:p>
  <w:p w14:paraId="28C20EFB">
    <w:pPr>
      <w:pStyle w:val="25"/>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FF106B"/>
    <w:multiLevelType w:val="multilevel"/>
    <w:tmpl w:val="19FF106B"/>
    <w:lvl w:ilvl="0" w:tentative="0">
      <w:start w:val="1"/>
      <w:numFmt w:val="chineseCountingThousand"/>
      <w:suff w:val="nothing"/>
      <w:lvlText w:val="第%1章"/>
      <w:lvlJc w:val="left"/>
      <w:pPr>
        <w:ind w:left="0" w:firstLine="0"/>
      </w:pPr>
      <w:rPr>
        <w:rFonts w:hint="default" w:ascii="Times New Roman" w:hAnsi="Times New Roman" w:eastAsia="宋体"/>
        <w:b w:val="0"/>
        <w:i w:val="0"/>
        <w:sz w:val="36"/>
      </w:rPr>
    </w:lvl>
    <w:lvl w:ilvl="1" w:tentative="0">
      <w:start w:val="1"/>
      <w:numFmt w:val="chineseCountingThousand"/>
      <w:suff w:val="nothing"/>
      <w:lvlText w:val="第%2节"/>
      <w:lvlJc w:val="left"/>
      <w:pPr>
        <w:ind w:left="0" w:firstLine="0"/>
      </w:pPr>
      <w:rPr>
        <w:rFonts w:hint="default" w:ascii="Times New Roman" w:hAnsi="Times New Roman" w:eastAsia="楷体_GB2312"/>
        <w:b w:val="0"/>
        <w:i w:val="0"/>
        <w:sz w:val="32"/>
      </w:rPr>
    </w:lvl>
    <w:lvl w:ilvl="2" w:tentative="0">
      <w:start w:val="1"/>
      <w:numFmt w:val="chineseCountingThousand"/>
      <w:pStyle w:val="4"/>
      <w:suff w:val="nothing"/>
      <w:lvlText w:val="%3"/>
      <w:lvlJc w:val="left"/>
      <w:pPr>
        <w:ind w:left="0" w:firstLine="0"/>
      </w:pPr>
      <w:rPr>
        <w:rFonts w:hint="eastAsia" w:eastAsia="黑体"/>
        <w:b w:val="0"/>
        <w:i w:val="0"/>
        <w:sz w:val="28"/>
      </w:rPr>
    </w:lvl>
    <w:lvl w:ilvl="3" w:tentative="0">
      <w:start w:val="1"/>
      <w:numFmt w:val="none"/>
      <w:suff w:val="nothing"/>
      <w:lvlText w:val=""/>
      <w:lvlJc w:val="left"/>
      <w:pPr>
        <w:ind w:left="0" w:firstLine="0"/>
      </w:pPr>
      <w:rPr>
        <w:rFonts w:hint="eastAsia"/>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2:;?]}¨·ˇˉ―‖’”…∶、。〃々〉》」』】〕〗！＂＇），．：；？］｀｜｝～￠"/>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364"/>
    <w:rsid w:val="0000009C"/>
    <w:rsid w:val="000003D3"/>
    <w:rsid w:val="00000634"/>
    <w:rsid w:val="00000A57"/>
    <w:rsid w:val="00000ECD"/>
    <w:rsid w:val="00000F52"/>
    <w:rsid w:val="00001036"/>
    <w:rsid w:val="00001DC9"/>
    <w:rsid w:val="00002228"/>
    <w:rsid w:val="00002379"/>
    <w:rsid w:val="000029C0"/>
    <w:rsid w:val="000029ED"/>
    <w:rsid w:val="00002DE4"/>
    <w:rsid w:val="00002F3E"/>
    <w:rsid w:val="00003C32"/>
    <w:rsid w:val="000045D7"/>
    <w:rsid w:val="00004765"/>
    <w:rsid w:val="00005222"/>
    <w:rsid w:val="00005374"/>
    <w:rsid w:val="000053B2"/>
    <w:rsid w:val="00005438"/>
    <w:rsid w:val="00005461"/>
    <w:rsid w:val="00005769"/>
    <w:rsid w:val="0000580F"/>
    <w:rsid w:val="00005895"/>
    <w:rsid w:val="00005AD7"/>
    <w:rsid w:val="00005C9E"/>
    <w:rsid w:val="00005E12"/>
    <w:rsid w:val="000064A7"/>
    <w:rsid w:val="0000653F"/>
    <w:rsid w:val="000065CC"/>
    <w:rsid w:val="00006674"/>
    <w:rsid w:val="00006D13"/>
    <w:rsid w:val="00006F2F"/>
    <w:rsid w:val="000074B9"/>
    <w:rsid w:val="0000795D"/>
    <w:rsid w:val="00007CF8"/>
    <w:rsid w:val="000107E8"/>
    <w:rsid w:val="00010B15"/>
    <w:rsid w:val="0001105A"/>
    <w:rsid w:val="000110F3"/>
    <w:rsid w:val="00011859"/>
    <w:rsid w:val="000119A0"/>
    <w:rsid w:val="00011A15"/>
    <w:rsid w:val="00011AB0"/>
    <w:rsid w:val="00011DD5"/>
    <w:rsid w:val="00012267"/>
    <w:rsid w:val="00012520"/>
    <w:rsid w:val="00012AB3"/>
    <w:rsid w:val="00012D5C"/>
    <w:rsid w:val="00013A12"/>
    <w:rsid w:val="00013A21"/>
    <w:rsid w:val="00013A76"/>
    <w:rsid w:val="00013EC9"/>
    <w:rsid w:val="00014282"/>
    <w:rsid w:val="000144A6"/>
    <w:rsid w:val="0001478C"/>
    <w:rsid w:val="00014A34"/>
    <w:rsid w:val="00014ADE"/>
    <w:rsid w:val="00014C57"/>
    <w:rsid w:val="00015045"/>
    <w:rsid w:val="000169D3"/>
    <w:rsid w:val="00016B6C"/>
    <w:rsid w:val="00017193"/>
    <w:rsid w:val="000173A8"/>
    <w:rsid w:val="00017403"/>
    <w:rsid w:val="00017658"/>
    <w:rsid w:val="0001768E"/>
    <w:rsid w:val="00017C76"/>
    <w:rsid w:val="00017D6B"/>
    <w:rsid w:val="00020547"/>
    <w:rsid w:val="00020A10"/>
    <w:rsid w:val="00020EB4"/>
    <w:rsid w:val="0002157B"/>
    <w:rsid w:val="00021C0F"/>
    <w:rsid w:val="000221E7"/>
    <w:rsid w:val="00022337"/>
    <w:rsid w:val="000227FB"/>
    <w:rsid w:val="00022F97"/>
    <w:rsid w:val="000232DE"/>
    <w:rsid w:val="00023706"/>
    <w:rsid w:val="00024526"/>
    <w:rsid w:val="000245B0"/>
    <w:rsid w:val="00024985"/>
    <w:rsid w:val="00024AD6"/>
    <w:rsid w:val="00024E7E"/>
    <w:rsid w:val="00024FA4"/>
    <w:rsid w:val="00025336"/>
    <w:rsid w:val="00025528"/>
    <w:rsid w:val="00025773"/>
    <w:rsid w:val="00026D7D"/>
    <w:rsid w:val="00026DA1"/>
    <w:rsid w:val="00026FF3"/>
    <w:rsid w:val="00027B39"/>
    <w:rsid w:val="00027D63"/>
    <w:rsid w:val="00027E35"/>
    <w:rsid w:val="00027EDB"/>
    <w:rsid w:val="00030720"/>
    <w:rsid w:val="0003127C"/>
    <w:rsid w:val="00031583"/>
    <w:rsid w:val="000317B7"/>
    <w:rsid w:val="00032119"/>
    <w:rsid w:val="00032150"/>
    <w:rsid w:val="0003252F"/>
    <w:rsid w:val="00032EB0"/>
    <w:rsid w:val="000331EE"/>
    <w:rsid w:val="000332CD"/>
    <w:rsid w:val="000336CB"/>
    <w:rsid w:val="000350CF"/>
    <w:rsid w:val="00035394"/>
    <w:rsid w:val="0003551A"/>
    <w:rsid w:val="00035886"/>
    <w:rsid w:val="00035AD3"/>
    <w:rsid w:val="00035C5A"/>
    <w:rsid w:val="00035FEB"/>
    <w:rsid w:val="00036448"/>
    <w:rsid w:val="000364F5"/>
    <w:rsid w:val="00036554"/>
    <w:rsid w:val="000365F3"/>
    <w:rsid w:val="00036C0D"/>
    <w:rsid w:val="00037559"/>
    <w:rsid w:val="000377B1"/>
    <w:rsid w:val="00037D71"/>
    <w:rsid w:val="0004047A"/>
    <w:rsid w:val="0004060A"/>
    <w:rsid w:val="00040761"/>
    <w:rsid w:val="00040DF2"/>
    <w:rsid w:val="00040FCC"/>
    <w:rsid w:val="0004151F"/>
    <w:rsid w:val="00041737"/>
    <w:rsid w:val="00041ED5"/>
    <w:rsid w:val="00042309"/>
    <w:rsid w:val="000423A4"/>
    <w:rsid w:val="000432AC"/>
    <w:rsid w:val="000438B2"/>
    <w:rsid w:val="00043DA8"/>
    <w:rsid w:val="00043E6F"/>
    <w:rsid w:val="00043EF8"/>
    <w:rsid w:val="00044031"/>
    <w:rsid w:val="000446F0"/>
    <w:rsid w:val="0004484C"/>
    <w:rsid w:val="00044BC5"/>
    <w:rsid w:val="00044BD2"/>
    <w:rsid w:val="000450E8"/>
    <w:rsid w:val="00045123"/>
    <w:rsid w:val="000452A4"/>
    <w:rsid w:val="0004531D"/>
    <w:rsid w:val="00045399"/>
    <w:rsid w:val="0004559D"/>
    <w:rsid w:val="000455A0"/>
    <w:rsid w:val="000459EA"/>
    <w:rsid w:val="00045DD3"/>
    <w:rsid w:val="0004659C"/>
    <w:rsid w:val="000476AA"/>
    <w:rsid w:val="0004794A"/>
    <w:rsid w:val="000479B0"/>
    <w:rsid w:val="00047B94"/>
    <w:rsid w:val="00047D8B"/>
    <w:rsid w:val="000504B6"/>
    <w:rsid w:val="000504EB"/>
    <w:rsid w:val="00050623"/>
    <w:rsid w:val="00050F36"/>
    <w:rsid w:val="000510D2"/>
    <w:rsid w:val="0005115B"/>
    <w:rsid w:val="0005122E"/>
    <w:rsid w:val="00051483"/>
    <w:rsid w:val="00051B68"/>
    <w:rsid w:val="00051CED"/>
    <w:rsid w:val="0005269D"/>
    <w:rsid w:val="000528C1"/>
    <w:rsid w:val="00052E96"/>
    <w:rsid w:val="00053127"/>
    <w:rsid w:val="00053A80"/>
    <w:rsid w:val="00053EC5"/>
    <w:rsid w:val="00054243"/>
    <w:rsid w:val="00054257"/>
    <w:rsid w:val="000542D4"/>
    <w:rsid w:val="00054319"/>
    <w:rsid w:val="00054A6B"/>
    <w:rsid w:val="00054BD6"/>
    <w:rsid w:val="00054E4E"/>
    <w:rsid w:val="00055286"/>
    <w:rsid w:val="00055986"/>
    <w:rsid w:val="00055C02"/>
    <w:rsid w:val="000560E0"/>
    <w:rsid w:val="00056649"/>
    <w:rsid w:val="00056A6F"/>
    <w:rsid w:val="00056B77"/>
    <w:rsid w:val="00056C2F"/>
    <w:rsid w:val="00060015"/>
    <w:rsid w:val="0006038A"/>
    <w:rsid w:val="0006052F"/>
    <w:rsid w:val="00060588"/>
    <w:rsid w:val="00060592"/>
    <w:rsid w:val="00060619"/>
    <w:rsid w:val="0006079B"/>
    <w:rsid w:val="00060CE8"/>
    <w:rsid w:val="0006139F"/>
    <w:rsid w:val="0006152A"/>
    <w:rsid w:val="00061C4B"/>
    <w:rsid w:val="00061EEE"/>
    <w:rsid w:val="00062AE7"/>
    <w:rsid w:val="00063843"/>
    <w:rsid w:val="00063A4A"/>
    <w:rsid w:val="0006418D"/>
    <w:rsid w:val="000657B1"/>
    <w:rsid w:val="000659A4"/>
    <w:rsid w:val="00065DB2"/>
    <w:rsid w:val="00066DC6"/>
    <w:rsid w:val="000671F5"/>
    <w:rsid w:val="0006752D"/>
    <w:rsid w:val="00067770"/>
    <w:rsid w:val="00067820"/>
    <w:rsid w:val="00067981"/>
    <w:rsid w:val="00067AB8"/>
    <w:rsid w:val="00067CBF"/>
    <w:rsid w:val="00070854"/>
    <w:rsid w:val="00070CD0"/>
    <w:rsid w:val="00070CE3"/>
    <w:rsid w:val="00070E16"/>
    <w:rsid w:val="00071224"/>
    <w:rsid w:val="00071606"/>
    <w:rsid w:val="0007165B"/>
    <w:rsid w:val="00071724"/>
    <w:rsid w:val="00071938"/>
    <w:rsid w:val="00071974"/>
    <w:rsid w:val="00071A73"/>
    <w:rsid w:val="00071BE5"/>
    <w:rsid w:val="00071E65"/>
    <w:rsid w:val="00072023"/>
    <w:rsid w:val="000728CC"/>
    <w:rsid w:val="00072F89"/>
    <w:rsid w:val="000737D0"/>
    <w:rsid w:val="000738FC"/>
    <w:rsid w:val="00073CF3"/>
    <w:rsid w:val="00073FE7"/>
    <w:rsid w:val="00074281"/>
    <w:rsid w:val="000743BA"/>
    <w:rsid w:val="00074F17"/>
    <w:rsid w:val="0007519B"/>
    <w:rsid w:val="000759D7"/>
    <w:rsid w:val="00075C4A"/>
    <w:rsid w:val="00075C7F"/>
    <w:rsid w:val="00075D7F"/>
    <w:rsid w:val="00075EEC"/>
    <w:rsid w:val="00076665"/>
    <w:rsid w:val="000766BC"/>
    <w:rsid w:val="00076EE4"/>
    <w:rsid w:val="00077202"/>
    <w:rsid w:val="000777DD"/>
    <w:rsid w:val="0007786A"/>
    <w:rsid w:val="00077C57"/>
    <w:rsid w:val="00077E18"/>
    <w:rsid w:val="00077E5F"/>
    <w:rsid w:val="00077F86"/>
    <w:rsid w:val="00080020"/>
    <w:rsid w:val="0008070F"/>
    <w:rsid w:val="00080AAC"/>
    <w:rsid w:val="00080C7E"/>
    <w:rsid w:val="00080C8C"/>
    <w:rsid w:val="00081298"/>
    <w:rsid w:val="00081309"/>
    <w:rsid w:val="00081726"/>
    <w:rsid w:val="00081796"/>
    <w:rsid w:val="000817BC"/>
    <w:rsid w:val="00081D09"/>
    <w:rsid w:val="0008292E"/>
    <w:rsid w:val="00083033"/>
    <w:rsid w:val="0008350A"/>
    <w:rsid w:val="00083C68"/>
    <w:rsid w:val="000843F6"/>
    <w:rsid w:val="0008580B"/>
    <w:rsid w:val="00085853"/>
    <w:rsid w:val="00085B2A"/>
    <w:rsid w:val="00086041"/>
    <w:rsid w:val="0008606A"/>
    <w:rsid w:val="00086459"/>
    <w:rsid w:val="00086483"/>
    <w:rsid w:val="000868EF"/>
    <w:rsid w:val="000869E7"/>
    <w:rsid w:val="00086A04"/>
    <w:rsid w:val="00086A59"/>
    <w:rsid w:val="00086CE5"/>
    <w:rsid w:val="00086D84"/>
    <w:rsid w:val="00086DFF"/>
    <w:rsid w:val="0008784B"/>
    <w:rsid w:val="00087A4F"/>
    <w:rsid w:val="00087D13"/>
    <w:rsid w:val="0009043F"/>
    <w:rsid w:val="000904B7"/>
    <w:rsid w:val="000907AF"/>
    <w:rsid w:val="00090985"/>
    <w:rsid w:val="000918E1"/>
    <w:rsid w:val="00091AD1"/>
    <w:rsid w:val="000924CA"/>
    <w:rsid w:val="0009251E"/>
    <w:rsid w:val="00092796"/>
    <w:rsid w:val="000928E3"/>
    <w:rsid w:val="00092C4F"/>
    <w:rsid w:val="0009323A"/>
    <w:rsid w:val="00093853"/>
    <w:rsid w:val="00093CD0"/>
    <w:rsid w:val="0009400B"/>
    <w:rsid w:val="00094077"/>
    <w:rsid w:val="00094844"/>
    <w:rsid w:val="00094925"/>
    <w:rsid w:val="0009522B"/>
    <w:rsid w:val="00095533"/>
    <w:rsid w:val="00095C63"/>
    <w:rsid w:val="00096249"/>
    <w:rsid w:val="00096815"/>
    <w:rsid w:val="000968A5"/>
    <w:rsid w:val="00096973"/>
    <w:rsid w:val="00096BFF"/>
    <w:rsid w:val="00096F7A"/>
    <w:rsid w:val="00096FE2"/>
    <w:rsid w:val="0009702E"/>
    <w:rsid w:val="0009731E"/>
    <w:rsid w:val="00097550"/>
    <w:rsid w:val="000975FC"/>
    <w:rsid w:val="0009763C"/>
    <w:rsid w:val="0009770E"/>
    <w:rsid w:val="000A00A7"/>
    <w:rsid w:val="000A039C"/>
    <w:rsid w:val="000A04BB"/>
    <w:rsid w:val="000A0615"/>
    <w:rsid w:val="000A08EB"/>
    <w:rsid w:val="000A0C3B"/>
    <w:rsid w:val="000A1B33"/>
    <w:rsid w:val="000A1DC3"/>
    <w:rsid w:val="000A26A8"/>
    <w:rsid w:val="000A26F2"/>
    <w:rsid w:val="000A2DB9"/>
    <w:rsid w:val="000A3BBA"/>
    <w:rsid w:val="000A442A"/>
    <w:rsid w:val="000A45B3"/>
    <w:rsid w:val="000A4C1B"/>
    <w:rsid w:val="000A5188"/>
    <w:rsid w:val="000A555D"/>
    <w:rsid w:val="000A65E3"/>
    <w:rsid w:val="000A6D15"/>
    <w:rsid w:val="000A77B0"/>
    <w:rsid w:val="000B0069"/>
    <w:rsid w:val="000B0629"/>
    <w:rsid w:val="000B069E"/>
    <w:rsid w:val="000B08F0"/>
    <w:rsid w:val="000B0EA0"/>
    <w:rsid w:val="000B1360"/>
    <w:rsid w:val="000B1D24"/>
    <w:rsid w:val="000B2610"/>
    <w:rsid w:val="000B326D"/>
    <w:rsid w:val="000B37C2"/>
    <w:rsid w:val="000B392B"/>
    <w:rsid w:val="000B4844"/>
    <w:rsid w:val="000B4A1E"/>
    <w:rsid w:val="000B4B78"/>
    <w:rsid w:val="000B4FC8"/>
    <w:rsid w:val="000B5006"/>
    <w:rsid w:val="000B5860"/>
    <w:rsid w:val="000B5A22"/>
    <w:rsid w:val="000B5C8B"/>
    <w:rsid w:val="000B5CA1"/>
    <w:rsid w:val="000B6071"/>
    <w:rsid w:val="000B63D0"/>
    <w:rsid w:val="000B678C"/>
    <w:rsid w:val="000B6B8E"/>
    <w:rsid w:val="000B6D68"/>
    <w:rsid w:val="000B6F7D"/>
    <w:rsid w:val="000B7262"/>
    <w:rsid w:val="000B72BF"/>
    <w:rsid w:val="000C0199"/>
    <w:rsid w:val="000C03A2"/>
    <w:rsid w:val="000C0549"/>
    <w:rsid w:val="000C054C"/>
    <w:rsid w:val="000C0A21"/>
    <w:rsid w:val="000C0BA7"/>
    <w:rsid w:val="000C0BBD"/>
    <w:rsid w:val="000C0C46"/>
    <w:rsid w:val="000C13FF"/>
    <w:rsid w:val="000C195A"/>
    <w:rsid w:val="000C1977"/>
    <w:rsid w:val="000C1A4F"/>
    <w:rsid w:val="000C237C"/>
    <w:rsid w:val="000C30E2"/>
    <w:rsid w:val="000C3213"/>
    <w:rsid w:val="000C3379"/>
    <w:rsid w:val="000C3449"/>
    <w:rsid w:val="000C36D3"/>
    <w:rsid w:val="000C38FC"/>
    <w:rsid w:val="000C3DB5"/>
    <w:rsid w:val="000C3FF9"/>
    <w:rsid w:val="000C4275"/>
    <w:rsid w:val="000C432C"/>
    <w:rsid w:val="000C53B3"/>
    <w:rsid w:val="000C5B79"/>
    <w:rsid w:val="000C6C5B"/>
    <w:rsid w:val="000C7544"/>
    <w:rsid w:val="000C79D7"/>
    <w:rsid w:val="000C7EF8"/>
    <w:rsid w:val="000D0097"/>
    <w:rsid w:val="000D03B6"/>
    <w:rsid w:val="000D0659"/>
    <w:rsid w:val="000D0740"/>
    <w:rsid w:val="000D084F"/>
    <w:rsid w:val="000D0B24"/>
    <w:rsid w:val="000D1AED"/>
    <w:rsid w:val="000D1CB1"/>
    <w:rsid w:val="000D21EB"/>
    <w:rsid w:val="000D2337"/>
    <w:rsid w:val="000D2576"/>
    <w:rsid w:val="000D36A4"/>
    <w:rsid w:val="000D3BDD"/>
    <w:rsid w:val="000D3CD5"/>
    <w:rsid w:val="000D3E8B"/>
    <w:rsid w:val="000D475C"/>
    <w:rsid w:val="000D4E62"/>
    <w:rsid w:val="000D4E89"/>
    <w:rsid w:val="000D51FE"/>
    <w:rsid w:val="000D525C"/>
    <w:rsid w:val="000D554A"/>
    <w:rsid w:val="000D5B15"/>
    <w:rsid w:val="000D5FA9"/>
    <w:rsid w:val="000D6A50"/>
    <w:rsid w:val="000D6FB6"/>
    <w:rsid w:val="000D716B"/>
    <w:rsid w:val="000D717F"/>
    <w:rsid w:val="000D7217"/>
    <w:rsid w:val="000D7785"/>
    <w:rsid w:val="000D7D05"/>
    <w:rsid w:val="000D7D20"/>
    <w:rsid w:val="000E0101"/>
    <w:rsid w:val="000E0226"/>
    <w:rsid w:val="000E02E3"/>
    <w:rsid w:val="000E0CE6"/>
    <w:rsid w:val="000E0CFD"/>
    <w:rsid w:val="000E0D1B"/>
    <w:rsid w:val="000E0DCB"/>
    <w:rsid w:val="000E110E"/>
    <w:rsid w:val="000E135A"/>
    <w:rsid w:val="000E144E"/>
    <w:rsid w:val="000E171C"/>
    <w:rsid w:val="000E1771"/>
    <w:rsid w:val="000E1B5B"/>
    <w:rsid w:val="000E1C1D"/>
    <w:rsid w:val="000E328B"/>
    <w:rsid w:val="000E3298"/>
    <w:rsid w:val="000E343B"/>
    <w:rsid w:val="000E425E"/>
    <w:rsid w:val="000E4623"/>
    <w:rsid w:val="000E5015"/>
    <w:rsid w:val="000E57D4"/>
    <w:rsid w:val="000E5FA6"/>
    <w:rsid w:val="000E65F0"/>
    <w:rsid w:val="000E7A75"/>
    <w:rsid w:val="000E7C8E"/>
    <w:rsid w:val="000F0124"/>
    <w:rsid w:val="000F030F"/>
    <w:rsid w:val="000F0549"/>
    <w:rsid w:val="000F0BE7"/>
    <w:rsid w:val="000F0DA7"/>
    <w:rsid w:val="000F12FA"/>
    <w:rsid w:val="000F152D"/>
    <w:rsid w:val="000F1618"/>
    <w:rsid w:val="000F1BF4"/>
    <w:rsid w:val="000F1C31"/>
    <w:rsid w:val="000F1DED"/>
    <w:rsid w:val="000F1E44"/>
    <w:rsid w:val="000F28D6"/>
    <w:rsid w:val="000F2BE1"/>
    <w:rsid w:val="000F35CA"/>
    <w:rsid w:val="000F39A1"/>
    <w:rsid w:val="000F3A2A"/>
    <w:rsid w:val="000F3E12"/>
    <w:rsid w:val="000F439D"/>
    <w:rsid w:val="000F4935"/>
    <w:rsid w:val="000F49F2"/>
    <w:rsid w:val="000F4DC5"/>
    <w:rsid w:val="000F57E1"/>
    <w:rsid w:val="000F5845"/>
    <w:rsid w:val="000F5AA9"/>
    <w:rsid w:val="000F5C97"/>
    <w:rsid w:val="000F5D54"/>
    <w:rsid w:val="000F5DA7"/>
    <w:rsid w:val="000F6221"/>
    <w:rsid w:val="000F6284"/>
    <w:rsid w:val="000F65F9"/>
    <w:rsid w:val="000F69E5"/>
    <w:rsid w:val="000F6A70"/>
    <w:rsid w:val="000F6D06"/>
    <w:rsid w:val="000F6FFE"/>
    <w:rsid w:val="000F700C"/>
    <w:rsid w:val="000F707C"/>
    <w:rsid w:val="000F735A"/>
    <w:rsid w:val="000F7483"/>
    <w:rsid w:val="000F74F1"/>
    <w:rsid w:val="001000CE"/>
    <w:rsid w:val="00100303"/>
    <w:rsid w:val="00100647"/>
    <w:rsid w:val="001006AA"/>
    <w:rsid w:val="00100796"/>
    <w:rsid w:val="001008C3"/>
    <w:rsid w:val="0010109F"/>
    <w:rsid w:val="001010AC"/>
    <w:rsid w:val="00101391"/>
    <w:rsid w:val="001014E1"/>
    <w:rsid w:val="00101516"/>
    <w:rsid w:val="001018A6"/>
    <w:rsid w:val="001019DA"/>
    <w:rsid w:val="00101B55"/>
    <w:rsid w:val="00102754"/>
    <w:rsid w:val="00102A70"/>
    <w:rsid w:val="00102BAC"/>
    <w:rsid w:val="00102EC2"/>
    <w:rsid w:val="00103070"/>
    <w:rsid w:val="0010314F"/>
    <w:rsid w:val="001038A9"/>
    <w:rsid w:val="001041D0"/>
    <w:rsid w:val="00104700"/>
    <w:rsid w:val="001049F5"/>
    <w:rsid w:val="00104B30"/>
    <w:rsid w:val="00104BFA"/>
    <w:rsid w:val="00104FB7"/>
    <w:rsid w:val="00105B1C"/>
    <w:rsid w:val="001061A2"/>
    <w:rsid w:val="00106B33"/>
    <w:rsid w:val="00106B34"/>
    <w:rsid w:val="00106F49"/>
    <w:rsid w:val="0010702D"/>
    <w:rsid w:val="0010715F"/>
    <w:rsid w:val="001076C2"/>
    <w:rsid w:val="00107910"/>
    <w:rsid w:val="00107B59"/>
    <w:rsid w:val="00107E03"/>
    <w:rsid w:val="00110184"/>
    <w:rsid w:val="0011059A"/>
    <w:rsid w:val="0011061B"/>
    <w:rsid w:val="0011085F"/>
    <w:rsid w:val="00110A23"/>
    <w:rsid w:val="00110E7A"/>
    <w:rsid w:val="0011147C"/>
    <w:rsid w:val="00111B24"/>
    <w:rsid w:val="001121F6"/>
    <w:rsid w:val="00112245"/>
    <w:rsid w:val="00112AAB"/>
    <w:rsid w:val="00112AC1"/>
    <w:rsid w:val="00112BCC"/>
    <w:rsid w:val="001131F5"/>
    <w:rsid w:val="00113849"/>
    <w:rsid w:val="00113F45"/>
    <w:rsid w:val="00114A42"/>
    <w:rsid w:val="00114A5E"/>
    <w:rsid w:val="00114D76"/>
    <w:rsid w:val="001150A4"/>
    <w:rsid w:val="0011578A"/>
    <w:rsid w:val="00115D4B"/>
    <w:rsid w:val="00115FC1"/>
    <w:rsid w:val="00116A34"/>
    <w:rsid w:val="00116B39"/>
    <w:rsid w:val="00116C28"/>
    <w:rsid w:val="00117685"/>
    <w:rsid w:val="001179A5"/>
    <w:rsid w:val="00120143"/>
    <w:rsid w:val="00120768"/>
    <w:rsid w:val="00120808"/>
    <w:rsid w:val="00120B91"/>
    <w:rsid w:val="00120EE8"/>
    <w:rsid w:val="001214E4"/>
    <w:rsid w:val="00121630"/>
    <w:rsid w:val="00121BDE"/>
    <w:rsid w:val="00121D14"/>
    <w:rsid w:val="00121E87"/>
    <w:rsid w:val="00122072"/>
    <w:rsid w:val="00122424"/>
    <w:rsid w:val="001229E7"/>
    <w:rsid w:val="00122BB2"/>
    <w:rsid w:val="00122F71"/>
    <w:rsid w:val="001233AD"/>
    <w:rsid w:val="001238B9"/>
    <w:rsid w:val="001238D9"/>
    <w:rsid w:val="001239FF"/>
    <w:rsid w:val="00123ADC"/>
    <w:rsid w:val="00123DC3"/>
    <w:rsid w:val="00124634"/>
    <w:rsid w:val="0012488F"/>
    <w:rsid w:val="00124AA4"/>
    <w:rsid w:val="00124C91"/>
    <w:rsid w:val="001250A9"/>
    <w:rsid w:val="0012519A"/>
    <w:rsid w:val="0012535F"/>
    <w:rsid w:val="00125518"/>
    <w:rsid w:val="00125678"/>
    <w:rsid w:val="00125A29"/>
    <w:rsid w:val="00125A7D"/>
    <w:rsid w:val="001262E1"/>
    <w:rsid w:val="001274C6"/>
    <w:rsid w:val="00127581"/>
    <w:rsid w:val="0012765F"/>
    <w:rsid w:val="0012777F"/>
    <w:rsid w:val="00127C24"/>
    <w:rsid w:val="001302D5"/>
    <w:rsid w:val="001306CB"/>
    <w:rsid w:val="001307BD"/>
    <w:rsid w:val="001308D7"/>
    <w:rsid w:val="00131E6F"/>
    <w:rsid w:val="00132012"/>
    <w:rsid w:val="00132491"/>
    <w:rsid w:val="0013277B"/>
    <w:rsid w:val="00133182"/>
    <w:rsid w:val="001332CB"/>
    <w:rsid w:val="001336DB"/>
    <w:rsid w:val="00133E36"/>
    <w:rsid w:val="001348A3"/>
    <w:rsid w:val="00134953"/>
    <w:rsid w:val="00134BAC"/>
    <w:rsid w:val="00134DC7"/>
    <w:rsid w:val="00134F63"/>
    <w:rsid w:val="0013563A"/>
    <w:rsid w:val="001357D4"/>
    <w:rsid w:val="00135909"/>
    <w:rsid w:val="00136BD5"/>
    <w:rsid w:val="001377F8"/>
    <w:rsid w:val="001378F5"/>
    <w:rsid w:val="00137AE0"/>
    <w:rsid w:val="0014065C"/>
    <w:rsid w:val="00140667"/>
    <w:rsid w:val="001409DB"/>
    <w:rsid w:val="001420C3"/>
    <w:rsid w:val="001429F8"/>
    <w:rsid w:val="001432F4"/>
    <w:rsid w:val="00143320"/>
    <w:rsid w:val="001434ED"/>
    <w:rsid w:val="00143939"/>
    <w:rsid w:val="00143F97"/>
    <w:rsid w:val="001444E3"/>
    <w:rsid w:val="00144868"/>
    <w:rsid w:val="00144D29"/>
    <w:rsid w:val="0014517E"/>
    <w:rsid w:val="001453F5"/>
    <w:rsid w:val="00145617"/>
    <w:rsid w:val="00145749"/>
    <w:rsid w:val="00145A8C"/>
    <w:rsid w:val="00145B00"/>
    <w:rsid w:val="00147EA9"/>
    <w:rsid w:val="00150125"/>
    <w:rsid w:val="001501D1"/>
    <w:rsid w:val="001505BC"/>
    <w:rsid w:val="00150D86"/>
    <w:rsid w:val="0015135A"/>
    <w:rsid w:val="00151B2B"/>
    <w:rsid w:val="001524D7"/>
    <w:rsid w:val="00152A6F"/>
    <w:rsid w:val="00152B18"/>
    <w:rsid w:val="00152CD3"/>
    <w:rsid w:val="00152E39"/>
    <w:rsid w:val="0015376E"/>
    <w:rsid w:val="0015379E"/>
    <w:rsid w:val="001538E6"/>
    <w:rsid w:val="00153B38"/>
    <w:rsid w:val="00154194"/>
    <w:rsid w:val="0015461C"/>
    <w:rsid w:val="001548F7"/>
    <w:rsid w:val="00154EAC"/>
    <w:rsid w:val="0015574C"/>
    <w:rsid w:val="001557F5"/>
    <w:rsid w:val="00155A14"/>
    <w:rsid w:val="00155D2A"/>
    <w:rsid w:val="00156075"/>
    <w:rsid w:val="001561D2"/>
    <w:rsid w:val="001563CB"/>
    <w:rsid w:val="00156B07"/>
    <w:rsid w:val="00156D1F"/>
    <w:rsid w:val="001570CA"/>
    <w:rsid w:val="00157137"/>
    <w:rsid w:val="00157240"/>
    <w:rsid w:val="001576DC"/>
    <w:rsid w:val="00160071"/>
    <w:rsid w:val="0016086A"/>
    <w:rsid w:val="00160C44"/>
    <w:rsid w:val="00161070"/>
    <w:rsid w:val="00161837"/>
    <w:rsid w:val="00161E37"/>
    <w:rsid w:val="001626A7"/>
    <w:rsid w:val="00162C46"/>
    <w:rsid w:val="001638AC"/>
    <w:rsid w:val="00163A47"/>
    <w:rsid w:val="00163B74"/>
    <w:rsid w:val="00163F69"/>
    <w:rsid w:val="00163FAE"/>
    <w:rsid w:val="00163FF2"/>
    <w:rsid w:val="0016420A"/>
    <w:rsid w:val="00164519"/>
    <w:rsid w:val="00164B6A"/>
    <w:rsid w:val="00165805"/>
    <w:rsid w:val="00165BDE"/>
    <w:rsid w:val="00165FC7"/>
    <w:rsid w:val="001660A2"/>
    <w:rsid w:val="0016614A"/>
    <w:rsid w:val="0016625F"/>
    <w:rsid w:val="001662F3"/>
    <w:rsid w:val="00166A3F"/>
    <w:rsid w:val="00166A70"/>
    <w:rsid w:val="00166C0B"/>
    <w:rsid w:val="00166C27"/>
    <w:rsid w:val="0016703A"/>
    <w:rsid w:val="0016707F"/>
    <w:rsid w:val="001677FE"/>
    <w:rsid w:val="0016783F"/>
    <w:rsid w:val="001679C9"/>
    <w:rsid w:val="00167C31"/>
    <w:rsid w:val="00170284"/>
    <w:rsid w:val="001702C4"/>
    <w:rsid w:val="00171D37"/>
    <w:rsid w:val="0017225A"/>
    <w:rsid w:val="001728AC"/>
    <w:rsid w:val="00172BE7"/>
    <w:rsid w:val="00172D83"/>
    <w:rsid w:val="0017330F"/>
    <w:rsid w:val="00173661"/>
    <w:rsid w:val="001736A3"/>
    <w:rsid w:val="00173753"/>
    <w:rsid w:val="00173BA2"/>
    <w:rsid w:val="001742F2"/>
    <w:rsid w:val="00174362"/>
    <w:rsid w:val="00174768"/>
    <w:rsid w:val="00175553"/>
    <w:rsid w:val="001756FC"/>
    <w:rsid w:val="00175A43"/>
    <w:rsid w:val="00175AC3"/>
    <w:rsid w:val="00175C49"/>
    <w:rsid w:val="00175DE9"/>
    <w:rsid w:val="0017646B"/>
    <w:rsid w:val="00176852"/>
    <w:rsid w:val="001768BE"/>
    <w:rsid w:val="00176C5B"/>
    <w:rsid w:val="00176D44"/>
    <w:rsid w:val="00177136"/>
    <w:rsid w:val="00177508"/>
    <w:rsid w:val="0017788B"/>
    <w:rsid w:val="00177AAE"/>
    <w:rsid w:val="00177C62"/>
    <w:rsid w:val="001805D4"/>
    <w:rsid w:val="00180631"/>
    <w:rsid w:val="001807F6"/>
    <w:rsid w:val="001809C2"/>
    <w:rsid w:val="00180FBB"/>
    <w:rsid w:val="001818A7"/>
    <w:rsid w:val="00181DA3"/>
    <w:rsid w:val="00182985"/>
    <w:rsid w:val="00182EC4"/>
    <w:rsid w:val="00183076"/>
    <w:rsid w:val="001831E0"/>
    <w:rsid w:val="001838FA"/>
    <w:rsid w:val="00183ADE"/>
    <w:rsid w:val="00183DCE"/>
    <w:rsid w:val="001841D6"/>
    <w:rsid w:val="001842C5"/>
    <w:rsid w:val="00184392"/>
    <w:rsid w:val="00184624"/>
    <w:rsid w:val="0018465F"/>
    <w:rsid w:val="00184EE7"/>
    <w:rsid w:val="00184F30"/>
    <w:rsid w:val="00184FC5"/>
    <w:rsid w:val="00185251"/>
    <w:rsid w:val="0018558A"/>
    <w:rsid w:val="00185596"/>
    <w:rsid w:val="00185D87"/>
    <w:rsid w:val="00185F65"/>
    <w:rsid w:val="001860E1"/>
    <w:rsid w:val="0018684C"/>
    <w:rsid w:val="00186F83"/>
    <w:rsid w:val="00187875"/>
    <w:rsid w:val="00187E33"/>
    <w:rsid w:val="001903C3"/>
    <w:rsid w:val="00190DFC"/>
    <w:rsid w:val="001910B5"/>
    <w:rsid w:val="00191866"/>
    <w:rsid w:val="00191A28"/>
    <w:rsid w:val="00191C1A"/>
    <w:rsid w:val="00191FB4"/>
    <w:rsid w:val="0019207D"/>
    <w:rsid w:val="0019293D"/>
    <w:rsid w:val="00192A3D"/>
    <w:rsid w:val="00192B19"/>
    <w:rsid w:val="00193497"/>
    <w:rsid w:val="001938FD"/>
    <w:rsid w:val="00193B6C"/>
    <w:rsid w:val="00193FAC"/>
    <w:rsid w:val="00194C7D"/>
    <w:rsid w:val="00194D3D"/>
    <w:rsid w:val="00194E04"/>
    <w:rsid w:val="00195150"/>
    <w:rsid w:val="00195419"/>
    <w:rsid w:val="00195A8F"/>
    <w:rsid w:val="00196D24"/>
    <w:rsid w:val="00196E58"/>
    <w:rsid w:val="00197225"/>
    <w:rsid w:val="00197395"/>
    <w:rsid w:val="00197841"/>
    <w:rsid w:val="0019798B"/>
    <w:rsid w:val="00197C7F"/>
    <w:rsid w:val="00197F3C"/>
    <w:rsid w:val="001A034D"/>
    <w:rsid w:val="001A057F"/>
    <w:rsid w:val="001A0837"/>
    <w:rsid w:val="001A0E6F"/>
    <w:rsid w:val="001A1178"/>
    <w:rsid w:val="001A189C"/>
    <w:rsid w:val="001A1B92"/>
    <w:rsid w:val="001A1BD5"/>
    <w:rsid w:val="001A1D30"/>
    <w:rsid w:val="001A202F"/>
    <w:rsid w:val="001A22DF"/>
    <w:rsid w:val="001A27F2"/>
    <w:rsid w:val="001A2A01"/>
    <w:rsid w:val="001A2A91"/>
    <w:rsid w:val="001A2CF8"/>
    <w:rsid w:val="001A3495"/>
    <w:rsid w:val="001A3769"/>
    <w:rsid w:val="001A3B0C"/>
    <w:rsid w:val="001A464B"/>
    <w:rsid w:val="001A4935"/>
    <w:rsid w:val="001A51B3"/>
    <w:rsid w:val="001A5239"/>
    <w:rsid w:val="001A54B7"/>
    <w:rsid w:val="001A5519"/>
    <w:rsid w:val="001A594E"/>
    <w:rsid w:val="001A5A88"/>
    <w:rsid w:val="001A5ACC"/>
    <w:rsid w:val="001A5DEB"/>
    <w:rsid w:val="001A5F9B"/>
    <w:rsid w:val="001A5F9E"/>
    <w:rsid w:val="001A6E3A"/>
    <w:rsid w:val="001A70A0"/>
    <w:rsid w:val="001A73BB"/>
    <w:rsid w:val="001A74DA"/>
    <w:rsid w:val="001A7B33"/>
    <w:rsid w:val="001A7E53"/>
    <w:rsid w:val="001B02BC"/>
    <w:rsid w:val="001B072C"/>
    <w:rsid w:val="001B126B"/>
    <w:rsid w:val="001B154E"/>
    <w:rsid w:val="001B1D64"/>
    <w:rsid w:val="001B4333"/>
    <w:rsid w:val="001B51D9"/>
    <w:rsid w:val="001B52B4"/>
    <w:rsid w:val="001B54D3"/>
    <w:rsid w:val="001B5ABB"/>
    <w:rsid w:val="001B5D0A"/>
    <w:rsid w:val="001B5DC8"/>
    <w:rsid w:val="001B5F1D"/>
    <w:rsid w:val="001B61CC"/>
    <w:rsid w:val="001B620A"/>
    <w:rsid w:val="001B6339"/>
    <w:rsid w:val="001B671F"/>
    <w:rsid w:val="001B73CD"/>
    <w:rsid w:val="001B755C"/>
    <w:rsid w:val="001B78B5"/>
    <w:rsid w:val="001B7942"/>
    <w:rsid w:val="001B7E1C"/>
    <w:rsid w:val="001C00E6"/>
    <w:rsid w:val="001C0794"/>
    <w:rsid w:val="001C0CA9"/>
    <w:rsid w:val="001C0EA4"/>
    <w:rsid w:val="001C18BE"/>
    <w:rsid w:val="001C191F"/>
    <w:rsid w:val="001C1CA9"/>
    <w:rsid w:val="001C2185"/>
    <w:rsid w:val="001C23FE"/>
    <w:rsid w:val="001C2538"/>
    <w:rsid w:val="001C28FE"/>
    <w:rsid w:val="001C29A3"/>
    <w:rsid w:val="001C29B8"/>
    <w:rsid w:val="001C2CC5"/>
    <w:rsid w:val="001C2F1D"/>
    <w:rsid w:val="001C34BA"/>
    <w:rsid w:val="001C37AF"/>
    <w:rsid w:val="001C3A7F"/>
    <w:rsid w:val="001C3BDE"/>
    <w:rsid w:val="001C3E53"/>
    <w:rsid w:val="001C40D6"/>
    <w:rsid w:val="001C526C"/>
    <w:rsid w:val="001C52CF"/>
    <w:rsid w:val="001C57CA"/>
    <w:rsid w:val="001C6206"/>
    <w:rsid w:val="001C6426"/>
    <w:rsid w:val="001C6441"/>
    <w:rsid w:val="001C67FA"/>
    <w:rsid w:val="001C6E21"/>
    <w:rsid w:val="001C7A94"/>
    <w:rsid w:val="001D0049"/>
    <w:rsid w:val="001D033F"/>
    <w:rsid w:val="001D0420"/>
    <w:rsid w:val="001D07C5"/>
    <w:rsid w:val="001D0859"/>
    <w:rsid w:val="001D0A38"/>
    <w:rsid w:val="001D1166"/>
    <w:rsid w:val="001D13E1"/>
    <w:rsid w:val="001D1723"/>
    <w:rsid w:val="001D2317"/>
    <w:rsid w:val="001D23FD"/>
    <w:rsid w:val="001D298B"/>
    <w:rsid w:val="001D35CD"/>
    <w:rsid w:val="001D36B2"/>
    <w:rsid w:val="001D37B4"/>
    <w:rsid w:val="001D418B"/>
    <w:rsid w:val="001D41BE"/>
    <w:rsid w:val="001D42E1"/>
    <w:rsid w:val="001D461C"/>
    <w:rsid w:val="001D4ADD"/>
    <w:rsid w:val="001D4C04"/>
    <w:rsid w:val="001D51C4"/>
    <w:rsid w:val="001D52CC"/>
    <w:rsid w:val="001D54A2"/>
    <w:rsid w:val="001D6096"/>
    <w:rsid w:val="001D6342"/>
    <w:rsid w:val="001D66E3"/>
    <w:rsid w:val="001D67DE"/>
    <w:rsid w:val="001D6A87"/>
    <w:rsid w:val="001D7B9D"/>
    <w:rsid w:val="001D7F77"/>
    <w:rsid w:val="001E0843"/>
    <w:rsid w:val="001E0A0B"/>
    <w:rsid w:val="001E0CFB"/>
    <w:rsid w:val="001E0D01"/>
    <w:rsid w:val="001E0D33"/>
    <w:rsid w:val="001E1B53"/>
    <w:rsid w:val="001E2068"/>
    <w:rsid w:val="001E20B0"/>
    <w:rsid w:val="001E2114"/>
    <w:rsid w:val="001E215A"/>
    <w:rsid w:val="001E2C19"/>
    <w:rsid w:val="001E2D18"/>
    <w:rsid w:val="001E32D1"/>
    <w:rsid w:val="001E348E"/>
    <w:rsid w:val="001E38B7"/>
    <w:rsid w:val="001E38DC"/>
    <w:rsid w:val="001E3AE0"/>
    <w:rsid w:val="001E406D"/>
    <w:rsid w:val="001E4209"/>
    <w:rsid w:val="001E43AF"/>
    <w:rsid w:val="001E43C6"/>
    <w:rsid w:val="001E4603"/>
    <w:rsid w:val="001E488D"/>
    <w:rsid w:val="001E4E05"/>
    <w:rsid w:val="001E5809"/>
    <w:rsid w:val="001E59CC"/>
    <w:rsid w:val="001E5D5B"/>
    <w:rsid w:val="001E5E40"/>
    <w:rsid w:val="001E63E6"/>
    <w:rsid w:val="001E6764"/>
    <w:rsid w:val="001E6865"/>
    <w:rsid w:val="001E6AC4"/>
    <w:rsid w:val="001E6AEA"/>
    <w:rsid w:val="001E6F2F"/>
    <w:rsid w:val="001E6F92"/>
    <w:rsid w:val="001E6F93"/>
    <w:rsid w:val="001E72DD"/>
    <w:rsid w:val="001E7428"/>
    <w:rsid w:val="001E7966"/>
    <w:rsid w:val="001F02B4"/>
    <w:rsid w:val="001F055D"/>
    <w:rsid w:val="001F068B"/>
    <w:rsid w:val="001F0D25"/>
    <w:rsid w:val="001F1ADD"/>
    <w:rsid w:val="001F293C"/>
    <w:rsid w:val="001F2A24"/>
    <w:rsid w:val="001F2FE4"/>
    <w:rsid w:val="001F3063"/>
    <w:rsid w:val="001F344D"/>
    <w:rsid w:val="001F43E1"/>
    <w:rsid w:val="001F477C"/>
    <w:rsid w:val="001F47BB"/>
    <w:rsid w:val="001F4875"/>
    <w:rsid w:val="001F4A42"/>
    <w:rsid w:val="001F4CFD"/>
    <w:rsid w:val="001F4FAF"/>
    <w:rsid w:val="001F5286"/>
    <w:rsid w:val="001F5A03"/>
    <w:rsid w:val="001F5BAB"/>
    <w:rsid w:val="001F5D29"/>
    <w:rsid w:val="001F5F5B"/>
    <w:rsid w:val="001F5F8F"/>
    <w:rsid w:val="001F5FFE"/>
    <w:rsid w:val="001F6227"/>
    <w:rsid w:val="001F62CA"/>
    <w:rsid w:val="001F705E"/>
    <w:rsid w:val="001F7485"/>
    <w:rsid w:val="001F7600"/>
    <w:rsid w:val="001F7868"/>
    <w:rsid w:val="001F7F9C"/>
    <w:rsid w:val="002001D5"/>
    <w:rsid w:val="00200BCD"/>
    <w:rsid w:val="002013C7"/>
    <w:rsid w:val="0020158A"/>
    <w:rsid w:val="002015A8"/>
    <w:rsid w:val="0020168C"/>
    <w:rsid w:val="00201755"/>
    <w:rsid w:val="00201B33"/>
    <w:rsid w:val="00201B85"/>
    <w:rsid w:val="00201BB6"/>
    <w:rsid w:val="00201D0D"/>
    <w:rsid w:val="0020383B"/>
    <w:rsid w:val="00203A40"/>
    <w:rsid w:val="00203F6B"/>
    <w:rsid w:val="002045A2"/>
    <w:rsid w:val="002045D4"/>
    <w:rsid w:val="00204BFA"/>
    <w:rsid w:val="00205751"/>
    <w:rsid w:val="002059AA"/>
    <w:rsid w:val="00205B0E"/>
    <w:rsid w:val="002067A8"/>
    <w:rsid w:val="00206AD9"/>
    <w:rsid w:val="00206AE3"/>
    <w:rsid w:val="00206F67"/>
    <w:rsid w:val="00207262"/>
    <w:rsid w:val="002073B5"/>
    <w:rsid w:val="002076F7"/>
    <w:rsid w:val="00207F8C"/>
    <w:rsid w:val="0021032B"/>
    <w:rsid w:val="00210755"/>
    <w:rsid w:val="002108F9"/>
    <w:rsid w:val="00210945"/>
    <w:rsid w:val="00210C95"/>
    <w:rsid w:val="002110B5"/>
    <w:rsid w:val="002115B7"/>
    <w:rsid w:val="00212108"/>
    <w:rsid w:val="002128C7"/>
    <w:rsid w:val="00212A70"/>
    <w:rsid w:val="00212F8A"/>
    <w:rsid w:val="00213357"/>
    <w:rsid w:val="00213422"/>
    <w:rsid w:val="00213ADE"/>
    <w:rsid w:val="00213B6A"/>
    <w:rsid w:val="00213DF5"/>
    <w:rsid w:val="00214142"/>
    <w:rsid w:val="0021473D"/>
    <w:rsid w:val="002147AD"/>
    <w:rsid w:val="00214E67"/>
    <w:rsid w:val="00214ED7"/>
    <w:rsid w:val="00215054"/>
    <w:rsid w:val="00215109"/>
    <w:rsid w:val="00215DDF"/>
    <w:rsid w:val="00216245"/>
    <w:rsid w:val="00216249"/>
    <w:rsid w:val="00216576"/>
    <w:rsid w:val="0021688F"/>
    <w:rsid w:val="0021695C"/>
    <w:rsid w:val="0021739E"/>
    <w:rsid w:val="0021759F"/>
    <w:rsid w:val="00217C1D"/>
    <w:rsid w:val="00220407"/>
    <w:rsid w:val="00220BC2"/>
    <w:rsid w:val="00220BEA"/>
    <w:rsid w:val="002211FD"/>
    <w:rsid w:val="002213E1"/>
    <w:rsid w:val="00222961"/>
    <w:rsid w:val="0022350F"/>
    <w:rsid w:val="00223817"/>
    <w:rsid w:val="00223B64"/>
    <w:rsid w:val="00223BE2"/>
    <w:rsid w:val="002240C9"/>
    <w:rsid w:val="00224162"/>
    <w:rsid w:val="00224305"/>
    <w:rsid w:val="00224352"/>
    <w:rsid w:val="00224F32"/>
    <w:rsid w:val="0022543B"/>
    <w:rsid w:val="0022568D"/>
    <w:rsid w:val="00225CED"/>
    <w:rsid w:val="00225E73"/>
    <w:rsid w:val="002262AE"/>
    <w:rsid w:val="00226347"/>
    <w:rsid w:val="0022640C"/>
    <w:rsid w:val="0022691A"/>
    <w:rsid w:val="0022699C"/>
    <w:rsid w:val="00226EA0"/>
    <w:rsid w:val="002272E9"/>
    <w:rsid w:val="0022741B"/>
    <w:rsid w:val="0022794C"/>
    <w:rsid w:val="00227E6D"/>
    <w:rsid w:val="002305B7"/>
    <w:rsid w:val="0023068E"/>
    <w:rsid w:val="002307E4"/>
    <w:rsid w:val="002308E0"/>
    <w:rsid w:val="002309DE"/>
    <w:rsid w:val="0023119A"/>
    <w:rsid w:val="00231349"/>
    <w:rsid w:val="002319CB"/>
    <w:rsid w:val="00231D2F"/>
    <w:rsid w:val="00231F8C"/>
    <w:rsid w:val="00232B8F"/>
    <w:rsid w:val="00232B90"/>
    <w:rsid w:val="00232BDE"/>
    <w:rsid w:val="00233420"/>
    <w:rsid w:val="002336A3"/>
    <w:rsid w:val="00233725"/>
    <w:rsid w:val="00233E15"/>
    <w:rsid w:val="00233F71"/>
    <w:rsid w:val="00233FF4"/>
    <w:rsid w:val="002341A6"/>
    <w:rsid w:val="002341DA"/>
    <w:rsid w:val="0023453F"/>
    <w:rsid w:val="00234954"/>
    <w:rsid w:val="00234B71"/>
    <w:rsid w:val="00234E94"/>
    <w:rsid w:val="002351E6"/>
    <w:rsid w:val="002352E0"/>
    <w:rsid w:val="0023560F"/>
    <w:rsid w:val="00235870"/>
    <w:rsid w:val="002364A4"/>
    <w:rsid w:val="00236B98"/>
    <w:rsid w:val="00236DD9"/>
    <w:rsid w:val="00236ECE"/>
    <w:rsid w:val="00236F59"/>
    <w:rsid w:val="00237328"/>
    <w:rsid w:val="0023738D"/>
    <w:rsid w:val="00237B14"/>
    <w:rsid w:val="0024049A"/>
    <w:rsid w:val="00240BFE"/>
    <w:rsid w:val="00240EB6"/>
    <w:rsid w:val="0024110B"/>
    <w:rsid w:val="002416C6"/>
    <w:rsid w:val="00241B2B"/>
    <w:rsid w:val="002421D0"/>
    <w:rsid w:val="0024237B"/>
    <w:rsid w:val="00242532"/>
    <w:rsid w:val="0024263E"/>
    <w:rsid w:val="00242C4E"/>
    <w:rsid w:val="002432A7"/>
    <w:rsid w:val="00243817"/>
    <w:rsid w:val="00243CC6"/>
    <w:rsid w:val="00243FD5"/>
    <w:rsid w:val="002442E0"/>
    <w:rsid w:val="00244540"/>
    <w:rsid w:val="00244BFC"/>
    <w:rsid w:val="00244FF7"/>
    <w:rsid w:val="002450A1"/>
    <w:rsid w:val="002450F7"/>
    <w:rsid w:val="0024536C"/>
    <w:rsid w:val="0024594F"/>
    <w:rsid w:val="002461D7"/>
    <w:rsid w:val="002462C3"/>
    <w:rsid w:val="00246A2B"/>
    <w:rsid w:val="00246C16"/>
    <w:rsid w:val="0024710D"/>
    <w:rsid w:val="00247C62"/>
    <w:rsid w:val="0025006C"/>
    <w:rsid w:val="00250BF7"/>
    <w:rsid w:val="00250D45"/>
    <w:rsid w:val="00250E80"/>
    <w:rsid w:val="002512CF"/>
    <w:rsid w:val="0025139B"/>
    <w:rsid w:val="002513FC"/>
    <w:rsid w:val="002526FE"/>
    <w:rsid w:val="0025276F"/>
    <w:rsid w:val="00253009"/>
    <w:rsid w:val="00253184"/>
    <w:rsid w:val="002531C3"/>
    <w:rsid w:val="002531E1"/>
    <w:rsid w:val="00254898"/>
    <w:rsid w:val="00254D6A"/>
    <w:rsid w:val="00254EC9"/>
    <w:rsid w:val="00255082"/>
    <w:rsid w:val="002554A8"/>
    <w:rsid w:val="002556A1"/>
    <w:rsid w:val="00256127"/>
    <w:rsid w:val="00256561"/>
    <w:rsid w:val="0025670E"/>
    <w:rsid w:val="00256E4B"/>
    <w:rsid w:val="002572D6"/>
    <w:rsid w:val="00257848"/>
    <w:rsid w:val="00257E70"/>
    <w:rsid w:val="0026023B"/>
    <w:rsid w:val="00260CA4"/>
    <w:rsid w:val="00260E12"/>
    <w:rsid w:val="002616BD"/>
    <w:rsid w:val="00262331"/>
    <w:rsid w:val="0026299B"/>
    <w:rsid w:val="00262AAC"/>
    <w:rsid w:val="00262E23"/>
    <w:rsid w:val="00263092"/>
    <w:rsid w:val="0026313F"/>
    <w:rsid w:val="00263BF8"/>
    <w:rsid w:val="00263E2E"/>
    <w:rsid w:val="00264095"/>
    <w:rsid w:val="002641D6"/>
    <w:rsid w:val="00264DF2"/>
    <w:rsid w:val="00264ED1"/>
    <w:rsid w:val="002652BB"/>
    <w:rsid w:val="0026530E"/>
    <w:rsid w:val="00265835"/>
    <w:rsid w:val="00265EA6"/>
    <w:rsid w:val="0026653E"/>
    <w:rsid w:val="00266936"/>
    <w:rsid w:val="00266F97"/>
    <w:rsid w:val="0026750A"/>
    <w:rsid w:val="00267995"/>
    <w:rsid w:val="00267A0B"/>
    <w:rsid w:val="00267E34"/>
    <w:rsid w:val="00270780"/>
    <w:rsid w:val="002712EA"/>
    <w:rsid w:val="002713F1"/>
    <w:rsid w:val="00271841"/>
    <w:rsid w:val="0027243A"/>
    <w:rsid w:val="002724DE"/>
    <w:rsid w:val="00272A11"/>
    <w:rsid w:val="00273188"/>
    <w:rsid w:val="0027327C"/>
    <w:rsid w:val="00273613"/>
    <w:rsid w:val="00273950"/>
    <w:rsid w:val="00273B49"/>
    <w:rsid w:val="00273D84"/>
    <w:rsid w:val="0027468C"/>
    <w:rsid w:val="00274754"/>
    <w:rsid w:val="002749F8"/>
    <w:rsid w:val="002754E1"/>
    <w:rsid w:val="00275641"/>
    <w:rsid w:val="0027566D"/>
    <w:rsid w:val="002756C8"/>
    <w:rsid w:val="002757A2"/>
    <w:rsid w:val="0027584B"/>
    <w:rsid w:val="002759F9"/>
    <w:rsid w:val="00275ECD"/>
    <w:rsid w:val="002764A2"/>
    <w:rsid w:val="002764CB"/>
    <w:rsid w:val="002771AD"/>
    <w:rsid w:val="0027736B"/>
    <w:rsid w:val="0027742F"/>
    <w:rsid w:val="00277567"/>
    <w:rsid w:val="002776DE"/>
    <w:rsid w:val="00277A4A"/>
    <w:rsid w:val="00277AF9"/>
    <w:rsid w:val="002802A5"/>
    <w:rsid w:val="00280607"/>
    <w:rsid w:val="00280B35"/>
    <w:rsid w:val="00281207"/>
    <w:rsid w:val="0028172F"/>
    <w:rsid w:val="00281F03"/>
    <w:rsid w:val="0028219F"/>
    <w:rsid w:val="00282205"/>
    <w:rsid w:val="0028246B"/>
    <w:rsid w:val="00282505"/>
    <w:rsid w:val="0028279B"/>
    <w:rsid w:val="002827F9"/>
    <w:rsid w:val="002829F1"/>
    <w:rsid w:val="00283315"/>
    <w:rsid w:val="0028419C"/>
    <w:rsid w:val="002842E6"/>
    <w:rsid w:val="00284397"/>
    <w:rsid w:val="00285045"/>
    <w:rsid w:val="00285204"/>
    <w:rsid w:val="00285258"/>
    <w:rsid w:val="002852A9"/>
    <w:rsid w:val="002856EC"/>
    <w:rsid w:val="00285726"/>
    <w:rsid w:val="00285FF2"/>
    <w:rsid w:val="00286131"/>
    <w:rsid w:val="00286336"/>
    <w:rsid w:val="002867F1"/>
    <w:rsid w:val="00286991"/>
    <w:rsid w:val="00286BE8"/>
    <w:rsid w:val="00286E30"/>
    <w:rsid w:val="00286E95"/>
    <w:rsid w:val="00286E96"/>
    <w:rsid w:val="002871A7"/>
    <w:rsid w:val="00287202"/>
    <w:rsid w:val="00287374"/>
    <w:rsid w:val="00287F21"/>
    <w:rsid w:val="002909A2"/>
    <w:rsid w:val="00290F88"/>
    <w:rsid w:val="002911A1"/>
    <w:rsid w:val="002913C7"/>
    <w:rsid w:val="0029190C"/>
    <w:rsid w:val="00291D1A"/>
    <w:rsid w:val="00291D48"/>
    <w:rsid w:val="002925D9"/>
    <w:rsid w:val="002926D5"/>
    <w:rsid w:val="002927DD"/>
    <w:rsid w:val="00293256"/>
    <w:rsid w:val="002939B8"/>
    <w:rsid w:val="002945CE"/>
    <w:rsid w:val="00294AE8"/>
    <w:rsid w:val="00295F3A"/>
    <w:rsid w:val="00295F68"/>
    <w:rsid w:val="002960B6"/>
    <w:rsid w:val="00296BB8"/>
    <w:rsid w:val="00296C3B"/>
    <w:rsid w:val="0029753C"/>
    <w:rsid w:val="002975D9"/>
    <w:rsid w:val="002977AF"/>
    <w:rsid w:val="00297CC7"/>
    <w:rsid w:val="002A08B2"/>
    <w:rsid w:val="002A08B9"/>
    <w:rsid w:val="002A0B29"/>
    <w:rsid w:val="002A0E73"/>
    <w:rsid w:val="002A0F27"/>
    <w:rsid w:val="002A11A5"/>
    <w:rsid w:val="002A1434"/>
    <w:rsid w:val="002A149C"/>
    <w:rsid w:val="002A162C"/>
    <w:rsid w:val="002A1BC8"/>
    <w:rsid w:val="002A2063"/>
    <w:rsid w:val="002A2280"/>
    <w:rsid w:val="002A22CF"/>
    <w:rsid w:val="002A2558"/>
    <w:rsid w:val="002A28DF"/>
    <w:rsid w:val="002A2E5F"/>
    <w:rsid w:val="002A3021"/>
    <w:rsid w:val="002A3379"/>
    <w:rsid w:val="002A3455"/>
    <w:rsid w:val="002A357A"/>
    <w:rsid w:val="002A3F14"/>
    <w:rsid w:val="002A423A"/>
    <w:rsid w:val="002A4A90"/>
    <w:rsid w:val="002A4BCA"/>
    <w:rsid w:val="002A4CA5"/>
    <w:rsid w:val="002A4CB5"/>
    <w:rsid w:val="002A5787"/>
    <w:rsid w:val="002A5AE3"/>
    <w:rsid w:val="002A5B69"/>
    <w:rsid w:val="002A5BD9"/>
    <w:rsid w:val="002A5ED6"/>
    <w:rsid w:val="002A67A2"/>
    <w:rsid w:val="002A6C84"/>
    <w:rsid w:val="002A6FF4"/>
    <w:rsid w:val="002A7453"/>
    <w:rsid w:val="002A7524"/>
    <w:rsid w:val="002A7616"/>
    <w:rsid w:val="002A7759"/>
    <w:rsid w:val="002A7C7F"/>
    <w:rsid w:val="002A7CF6"/>
    <w:rsid w:val="002A7E2B"/>
    <w:rsid w:val="002A7ECE"/>
    <w:rsid w:val="002B0064"/>
    <w:rsid w:val="002B02FB"/>
    <w:rsid w:val="002B0816"/>
    <w:rsid w:val="002B0928"/>
    <w:rsid w:val="002B0C99"/>
    <w:rsid w:val="002B1047"/>
    <w:rsid w:val="002B16B9"/>
    <w:rsid w:val="002B22C1"/>
    <w:rsid w:val="002B2408"/>
    <w:rsid w:val="002B242E"/>
    <w:rsid w:val="002B2719"/>
    <w:rsid w:val="002B2D5A"/>
    <w:rsid w:val="002B39C8"/>
    <w:rsid w:val="002B3BAC"/>
    <w:rsid w:val="002B3DA6"/>
    <w:rsid w:val="002B450A"/>
    <w:rsid w:val="002B463B"/>
    <w:rsid w:val="002B4ADA"/>
    <w:rsid w:val="002B4C18"/>
    <w:rsid w:val="002B51B6"/>
    <w:rsid w:val="002B5256"/>
    <w:rsid w:val="002B52EF"/>
    <w:rsid w:val="002B5729"/>
    <w:rsid w:val="002B57D5"/>
    <w:rsid w:val="002B583C"/>
    <w:rsid w:val="002B59CE"/>
    <w:rsid w:val="002B5EC0"/>
    <w:rsid w:val="002B5FA8"/>
    <w:rsid w:val="002B5FFF"/>
    <w:rsid w:val="002B66B8"/>
    <w:rsid w:val="002B6ABB"/>
    <w:rsid w:val="002B6B1D"/>
    <w:rsid w:val="002B6C0E"/>
    <w:rsid w:val="002B6D14"/>
    <w:rsid w:val="002B6D36"/>
    <w:rsid w:val="002C0601"/>
    <w:rsid w:val="002C1183"/>
    <w:rsid w:val="002C12EC"/>
    <w:rsid w:val="002C1A63"/>
    <w:rsid w:val="002C215B"/>
    <w:rsid w:val="002C28E7"/>
    <w:rsid w:val="002C2BE1"/>
    <w:rsid w:val="002C2BE2"/>
    <w:rsid w:val="002C2BEC"/>
    <w:rsid w:val="002C2E4C"/>
    <w:rsid w:val="002C3426"/>
    <w:rsid w:val="002C3B8A"/>
    <w:rsid w:val="002C3CA3"/>
    <w:rsid w:val="002C3CD7"/>
    <w:rsid w:val="002C3D5C"/>
    <w:rsid w:val="002C3EF1"/>
    <w:rsid w:val="002C4106"/>
    <w:rsid w:val="002C45DD"/>
    <w:rsid w:val="002C47CE"/>
    <w:rsid w:val="002C5222"/>
    <w:rsid w:val="002C5E54"/>
    <w:rsid w:val="002C6AC2"/>
    <w:rsid w:val="002C6C4B"/>
    <w:rsid w:val="002C6D18"/>
    <w:rsid w:val="002C6D64"/>
    <w:rsid w:val="002C71C3"/>
    <w:rsid w:val="002C75A0"/>
    <w:rsid w:val="002C7854"/>
    <w:rsid w:val="002C7886"/>
    <w:rsid w:val="002C7BE4"/>
    <w:rsid w:val="002C7BE8"/>
    <w:rsid w:val="002C7C68"/>
    <w:rsid w:val="002C7EFB"/>
    <w:rsid w:val="002C7F21"/>
    <w:rsid w:val="002D0B89"/>
    <w:rsid w:val="002D0BDD"/>
    <w:rsid w:val="002D0CC0"/>
    <w:rsid w:val="002D122D"/>
    <w:rsid w:val="002D137B"/>
    <w:rsid w:val="002D1A76"/>
    <w:rsid w:val="002D1AFC"/>
    <w:rsid w:val="002D242C"/>
    <w:rsid w:val="002D272B"/>
    <w:rsid w:val="002D2731"/>
    <w:rsid w:val="002D2C3A"/>
    <w:rsid w:val="002D2DFC"/>
    <w:rsid w:val="002D2E9A"/>
    <w:rsid w:val="002D313E"/>
    <w:rsid w:val="002D346C"/>
    <w:rsid w:val="002D38FB"/>
    <w:rsid w:val="002D3FAA"/>
    <w:rsid w:val="002D4028"/>
    <w:rsid w:val="002D44FB"/>
    <w:rsid w:val="002D48FF"/>
    <w:rsid w:val="002D4C8D"/>
    <w:rsid w:val="002D4D18"/>
    <w:rsid w:val="002D4D80"/>
    <w:rsid w:val="002D4F2E"/>
    <w:rsid w:val="002D56F7"/>
    <w:rsid w:val="002D6883"/>
    <w:rsid w:val="002D69B5"/>
    <w:rsid w:val="002D6E9A"/>
    <w:rsid w:val="002D6F31"/>
    <w:rsid w:val="002D75D3"/>
    <w:rsid w:val="002D7B5B"/>
    <w:rsid w:val="002D7D2C"/>
    <w:rsid w:val="002E043D"/>
    <w:rsid w:val="002E0877"/>
    <w:rsid w:val="002E091D"/>
    <w:rsid w:val="002E0ADE"/>
    <w:rsid w:val="002E0B6E"/>
    <w:rsid w:val="002E0CD3"/>
    <w:rsid w:val="002E0D51"/>
    <w:rsid w:val="002E0E7A"/>
    <w:rsid w:val="002E2362"/>
    <w:rsid w:val="002E2419"/>
    <w:rsid w:val="002E2CC6"/>
    <w:rsid w:val="002E35A7"/>
    <w:rsid w:val="002E3B41"/>
    <w:rsid w:val="002E3B4A"/>
    <w:rsid w:val="002E3C9A"/>
    <w:rsid w:val="002E3F30"/>
    <w:rsid w:val="002E4C13"/>
    <w:rsid w:val="002E4CED"/>
    <w:rsid w:val="002E50B2"/>
    <w:rsid w:val="002E550B"/>
    <w:rsid w:val="002E5581"/>
    <w:rsid w:val="002E5780"/>
    <w:rsid w:val="002E58DD"/>
    <w:rsid w:val="002E59AF"/>
    <w:rsid w:val="002E5C5B"/>
    <w:rsid w:val="002E64CF"/>
    <w:rsid w:val="002E66BF"/>
    <w:rsid w:val="002E680B"/>
    <w:rsid w:val="002E699E"/>
    <w:rsid w:val="002E69B7"/>
    <w:rsid w:val="002E69E4"/>
    <w:rsid w:val="002E6C81"/>
    <w:rsid w:val="002E6DFE"/>
    <w:rsid w:val="002E6EC2"/>
    <w:rsid w:val="002E70D2"/>
    <w:rsid w:val="002E72AF"/>
    <w:rsid w:val="002E77EF"/>
    <w:rsid w:val="002E7885"/>
    <w:rsid w:val="002E7A37"/>
    <w:rsid w:val="002E7DFC"/>
    <w:rsid w:val="002F0624"/>
    <w:rsid w:val="002F06DD"/>
    <w:rsid w:val="002F07CD"/>
    <w:rsid w:val="002F094F"/>
    <w:rsid w:val="002F0E44"/>
    <w:rsid w:val="002F0F69"/>
    <w:rsid w:val="002F11D6"/>
    <w:rsid w:val="002F15D4"/>
    <w:rsid w:val="002F17DB"/>
    <w:rsid w:val="002F2201"/>
    <w:rsid w:val="002F2454"/>
    <w:rsid w:val="002F2720"/>
    <w:rsid w:val="002F2B55"/>
    <w:rsid w:val="002F2B9D"/>
    <w:rsid w:val="002F2E8D"/>
    <w:rsid w:val="002F2F0E"/>
    <w:rsid w:val="002F2FA6"/>
    <w:rsid w:val="002F3009"/>
    <w:rsid w:val="002F3460"/>
    <w:rsid w:val="002F34FE"/>
    <w:rsid w:val="002F39C4"/>
    <w:rsid w:val="002F3A92"/>
    <w:rsid w:val="002F3ACE"/>
    <w:rsid w:val="002F3C14"/>
    <w:rsid w:val="002F3C64"/>
    <w:rsid w:val="002F4A30"/>
    <w:rsid w:val="002F4CF7"/>
    <w:rsid w:val="002F4DF3"/>
    <w:rsid w:val="002F4E56"/>
    <w:rsid w:val="002F50BA"/>
    <w:rsid w:val="002F51AC"/>
    <w:rsid w:val="002F521A"/>
    <w:rsid w:val="002F5A0C"/>
    <w:rsid w:val="002F650B"/>
    <w:rsid w:val="002F6D78"/>
    <w:rsid w:val="002F73DF"/>
    <w:rsid w:val="002F7468"/>
    <w:rsid w:val="002F7A97"/>
    <w:rsid w:val="002F7BCC"/>
    <w:rsid w:val="002F7C62"/>
    <w:rsid w:val="002F7E84"/>
    <w:rsid w:val="003000E0"/>
    <w:rsid w:val="003007A7"/>
    <w:rsid w:val="00301201"/>
    <w:rsid w:val="00301810"/>
    <w:rsid w:val="00301E13"/>
    <w:rsid w:val="00301F4F"/>
    <w:rsid w:val="003020B6"/>
    <w:rsid w:val="0030291F"/>
    <w:rsid w:val="00302CD8"/>
    <w:rsid w:val="00302E37"/>
    <w:rsid w:val="00303530"/>
    <w:rsid w:val="00303820"/>
    <w:rsid w:val="00303FDF"/>
    <w:rsid w:val="003041C8"/>
    <w:rsid w:val="00304551"/>
    <w:rsid w:val="00304960"/>
    <w:rsid w:val="00305D4F"/>
    <w:rsid w:val="00305F2A"/>
    <w:rsid w:val="003061DD"/>
    <w:rsid w:val="00306542"/>
    <w:rsid w:val="0030694F"/>
    <w:rsid w:val="00306B89"/>
    <w:rsid w:val="00307293"/>
    <w:rsid w:val="00307748"/>
    <w:rsid w:val="003100E9"/>
    <w:rsid w:val="0031022D"/>
    <w:rsid w:val="0031072B"/>
    <w:rsid w:val="00310B63"/>
    <w:rsid w:val="00310D66"/>
    <w:rsid w:val="00310E38"/>
    <w:rsid w:val="00310F55"/>
    <w:rsid w:val="003112DB"/>
    <w:rsid w:val="00311394"/>
    <w:rsid w:val="003115CD"/>
    <w:rsid w:val="003115E6"/>
    <w:rsid w:val="0031168E"/>
    <w:rsid w:val="003127D5"/>
    <w:rsid w:val="00312A31"/>
    <w:rsid w:val="00313D99"/>
    <w:rsid w:val="0031526D"/>
    <w:rsid w:val="00315372"/>
    <w:rsid w:val="00315428"/>
    <w:rsid w:val="00315710"/>
    <w:rsid w:val="00315916"/>
    <w:rsid w:val="003160CF"/>
    <w:rsid w:val="00316473"/>
    <w:rsid w:val="00316708"/>
    <w:rsid w:val="003169B4"/>
    <w:rsid w:val="00316C29"/>
    <w:rsid w:val="00316E3A"/>
    <w:rsid w:val="00316FBD"/>
    <w:rsid w:val="003172CE"/>
    <w:rsid w:val="003175D6"/>
    <w:rsid w:val="003176AB"/>
    <w:rsid w:val="003202F3"/>
    <w:rsid w:val="003203FB"/>
    <w:rsid w:val="0032068C"/>
    <w:rsid w:val="00320A01"/>
    <w:rsid w:val="00320AA7"/>
    <w:rsid w:val="00320DC2"/>
    <w:rsid w:val="00320E70"/>
    <w:rsid w:val="00321507"/>
    <w:rsid w:val="00321F84"/>
    <w:rsid w:val="00322426"/>
    <w:rsid w:val="0032285E"/>
    <w:rsid w:val="00322AE9"/>
    <w:rsid w:val="00322C1F"/>
    <w:rsid w:val="00322FA9"/>
    <w:rsid w:val="00323391"/>
    <w:rsid w:val="003233CD"/>
    <w:rsid w:val="003235B9"/>
    <w:rsid w:val="00323F42"/>
    <w:rsid w:val="00324303"/>
    <w:rsid w:val="00324361"/>
    <w:rsid w:val="00324491"/>
    <w:rsid w:val="00324B86"/>
    <w:rsid w:val="00324CB6"/>
    <w:rsid w:val="00324DE6"/>
    <w:rsid w:val="003255E9"/>
    <w:rsid w:val="003257B3"/>
    <w:rsid w:val="00325A66"/>
    <w:rsid w:val="00325D88"/>
    <w:rsid w:val="00326BB1"/>
    <w:rsid w:val="00326CB8"/>
    <w:rsid w:val="00326E17"/>
    <w:rsid w:val="00326EED"/>
    <w:rsid w:val="00326F35"/>
    <w:rsid w:val="0032701B"/>
    <w:rsid w:val="0032744C"/>
    <w:rsid w:val="00327855"/>
    <w:rsid w:val="003304A9"/>
    <w:rsid w:val="003308BE"/>
    <w:rsid w:val="00330AD2"/>
    <w:rsid w:val="00330E5E"/>
    <w:rsid w:val="00330FCD"/>
    <w:rsid w:val="00331338"/>
    <w:rsid w:val="00331B29"/>
    <w:rsid w:val="00331CEE"/>
    <w:rsid w:val="00332016"/>
    <w:rsid w:val="00332458"/>
    <w:rsid w:val="00332FAA"/>
    <w:rsid w:val="00333057"/>
    <w:rsid w:val="00333168"/>
    <w:rsid w:val="003332DA"/>
    <w:rsid w:val="003332F1"/>
    <w:rsid w:val="003335A2"/>
    <w:rsid w:val="0033365A"/>
    <w:rsid w:val="00333C4B"/>
    <w:rsid w:val="003341BF"/>
    <w:rsid w:val="003341DF"/>
    <w:rsid w:val="00334235"/>
    <w:rsid w:val="003343AC"/>
    <w:rsid w:val="00334998"/>
    <w:rsid w:val="003349E5"/>
    <w:rsid w:val="00334AA5"/>
    <w:rsid w:val="00334ECA"/>
    <w:rsid w:val="003350A9"/>
    <w:rsid w:val="00335334"/>
    <w:rsid w:val="00336484"/>
    <w:rsid w:val="00336490"/>
    <w:rsid w:val="00336AD5"/>
    <w:rsid w:val="00336D01"/>
    <w:rsid w:val="00336EED"/>
    <w:rsid w:val="00337198"/>
    <w:rsid w:val="003375D2"/>
    <w:rsid w:val="0033777A"/>
    <w:rsid w:val="003379E3"/>
    <w:rsid w:val="00340ABB"/>
    <w:rsid w:val="0034138D"/>
    <w:rsid w:val="003413AE"/>
    <w:rsid w:val="003414D4"/>
    <w:rsid w:val="00341DC3"/>
    <w:rsid w:val="0034243F"/>
    <w:rsid w:val="00342A15"/>
    <w:rsid w:val="0034317D"/>
    <w:rsid w:val="00343F68"/>
    <w:rsid w:val="003441E2"/>
    <w:rsid w:val="00344E29"/>
    <w:rsid w:val="0034549E"/>
    <w:rsid w:val="00345B99"/>
    <w:rsid w:val="0034675C"/>
    <w:rsid w:val="003468F7"/>
    <w:rsid w:val="00346FDA"/>
    <w:rsid w:val="00346FDE"/>
    <w:rsid w:val="00347170"/>
    <w:rsid w:val="00347260"/>
    <w:rsid w:val="003472E4"/>
    <w:rsid w:val="003474AF"/>
    <w:rsid w:val="00347AF4"/>
    <w:rsid w:val="00347B21"/>
    <w:rsid w:val="00347C04"/>
    <w:rsid w:val="0035082E"/>
    <w:rsid w:val="00350D74"/>
    <w:rsid w:val="00351369"/>
    <w:rsid w:val="003515AD"/>
    <w:rsid w:val="00351E6A"/>
    <w:rsid w:val="00351FEC"/>
    <w:rsid w:val="0035202B"/>
    <w:rsid w:val="0035250D"/>
    <w:rsid w:val="00352610"/>
    <w:rsid w:val="003527A4"/>
    <w:rsid w:val="00352DF1"/>
    <w:rsid w:val="00352F8C"/>
    <w:rsid w:val="003530F5"/>
    <w:rsid w:val="003534E0"/>
    <w:rsid w:val="0035358A"/>
    <w:rsid w:val="00353604"/>
    <w:rsid w:val="00353789"/>
    <w:rsid w:val="0035390A"/>
    <w:rsid w:val="00353B38"/>
    <w:rsid w:val="00353F7F"/>
    <w:rsid w:val="003546D2"/>
    <w:rsid w:val="00354AEF"/>
    <w:rsid w:val="00354D89"/>
    <w:rsid w:val="0035501C"/>
    <w:rsid w:val="00355314"/>
    <w:rsid w:val="003553F5"/>
    <w:rsid w:val="0035589F"/>
    <w:rsid w:val="00355B62"/>
    <w:rsid w:val="00356580"/>
    <w:rsid w:val="003565E2"/>
    <w:rsid w:val="00356D1F"/>
    <w:rsid w:val="00356D5E"/>
    <w:rsid w:val="00356DF8"/>
    <w:rsid w:val="00357721"/>
    <w:rsid w:val="00357BD6"/>
    <w:rsid w:val="00360BC3"/>
    <w:rsid w:val="00361646"/>
    <w:rsid w:val="00361A7A"/>
    <w:rsid w:val="00361DB9"/>
    <w:rsid w:val="00361F0B"/>
    <w:rsid w:val="00363280"/>
    <w:rsid w:val="0036342F"/>
    <w:rsid w:val="0036376A"/>
    <w:rsid w:val="003638C7"/>
    <w:rsid w:val="00363999"/>
    <w:rsid w:val="00364259"/>
    <w:rsid w:val="00364318"/>
    <w:rsid w:val="00364417"/>
    <w:rsid w:val="00364442"/>
    <w:rsid w:val="003646AA"/>
    <w:rsid w:val="00364A67"/>
    <w:rsid w:val="00365174"/>
    <w:rsid w:val="00365E86"/>
    <w:rsid w:val="00366521"/>
    <w:rsid w:val="00366902"/>
    <w:rsid w:val="00366AB0"/>
    <w:rsid w:val="00366D64"/>
    <w:rsid w:val="00366DD8"/>
    <w:rsid w:val="0036721C"/>
    <w:rsid w:val="00367277"/>
    <w:rsid w:val="00367AC3"/>
    <w:rsid w:val="00367DBD"/>
    <w:rsid w:val="003704CA"/>
    <w:rsid w:val="003708A0"/>
    <w:rsid w:val="00370A1C"/>
    <w:rsid w:val="003714AD"/>
    <w:rsid w:val="003716CD"/>
    <w:rsid w:val="0037184B"/>
    <w:rsid w:val="00371C8D"/>
    <w:rsid w:val="00371D9A"/>
    <w:rsid w:val="00372167"/>
    <w:rsid w:val="003724F3"/>
    <w:rsid w:val="00372590"/>
    <w:rsid w:val="003725B2"/>
    <w:rsid w:val="003730E5"/>
    <w:rsid w:val="003731EE"/>
    <w:rsid w:val="00373603"/>
    <w:rsid w:val="00373981"/>
    <w:rsid w:val="00374832"/>
    <w:rsid w:val="00374948"/>
    <w:rsid w:val="00374F20"/>
    <w:rsid w:val="00375754"/>
    <w:rsid w:val="00375843"/>
    <w:rsid w:val="0037629D"/>
    <w:rsid w:val="0037689E"/>
    <w:rsid w:val="00376A70"/>
    <w:rsid w:val="00376A7C"/>
    <w:rsid w:val="00377C9F"/>
    <w:rsid w:val="00377EAA"/>
    <w:rsid w:val="00380174"/>
    <w:rsid w:val="00380770"/>
    <w:rsid w:val="00380868"/>
    <w:rsid w:val="00380B91"/>
    <w:rsid w:val="00380C87"/>
    <w:rsid w:val="00380CCE"/>
    <w:rsid w:val="00380DFD"/>
    <w:rsid w:val="0038125C"/>
    <w:rsid w:val="00381535"/>
    <w:rsid w:val="003817C6"/>
    <w:rsid w:val="0038217A"/>
    <w:rsid w:val="003827CB"/>
    <w:rsid w:val="00383A6D"/>
    <w:rsid w:val="00383A7A"/>
    <w:rsid w:val="00383D60"/>
    <w:rsid w:val="00384240"/>
    <w:rsid w:val="00384504"/>
    <w:rsid w:val="00384983"/>
    <w:rsid w:val="00384BA7"/>
    <w:rsid w:val="00384E3D"/>
    <w:rsid w:val="00384FA9"/>
    <w:rsid w:val="003852EC"/>
    <w:rsid w:val="00385AC5"/>
    <w:rsid w:val="00385B4E"/>
    <w:rsid w:val="0038606D"/>
    <w:rsid w:val="003862C1"/>
    <w:rsid w:val="0038635F"/>
    <w:rsid w:val="0038649C"/>
    <w:rsid w:val="00386532"/>
    <w:rsid w:val="0038660E"/>
    <w:rsid w:val="00386910"/>
    <w:rsid w:val="00386A81"/>
    <w:rsid w:val="00386B47"/>
    <w:rsid w:val="00386BAC"/>
    <w:rsid w:val="00386F1E"/>
    <w:rsid w:val="0038720C"/>
    <w:rsid w:val="00387863"/>
    <w:rsid w:val="00387A4B"/>
    <w:rsid w:val="00387B8D"/>
    <w:rsid w:val="00390B04"/>
    <w:rsid w:val="00390D48"/>
    <w:rsid w:val="0039132F"/>
    <w:rsid w:val="00391A37"/>
    <w:rsid w:val="00391E0C"/>
    <w:rsid w:val="003924FF"/>
    <w:rsid w:val="00392796"/>
    <w:rsid w:val="00392C2D"/>
    <w:rsid w:val="00392DF9"/>
    <w:rsid w:val="003937ED"/>
    <w:rsid w:val="00393CDE"/>
    <w:rsid w:val="00393D17"/>
    <w:rsid w:val="00394098"/>
    <w:rsid w:val="0039447A"/>
    <w:rsid w:val="00394D6C"/>
    <w:rsid w:val="003952FF"/>
    <w:rsid w:val="003959DD"/>
    <w:rsid w:val="00395AF4"/>
    <w:rsid w:val="00395BDD"/>
    <w:rsid w:val="003965E1"/>
    <w:rsid w:val="00396622"/>
    <w:rsid w:val="003967E7"/>
    <w:rsid w:val="003968AC"/>
    <w:rsid w:val="00396C4E"/>
    <w:rsid w:val="00396CD5"/>
    <w:rsid w:val="0039701C"/>
    <w:rsid w:val="0039711C"/>
    <w:rsid w:val="00397795"/>
    <w:rsid w:val="00397B0E"/>
    <w:rsid w:val="00397EAE"/>
    <w:rsid w:val="00397F24"/>
    <w:rsid w:val="003A0737"/>
    <w:rsid w:val="003A0D39"/>
    <w:rsid w:val="003A1A14"/>
    <w:rsid w:val="003A1D73"/>
    <w:rsid w:val="003A2731"/>
    <w:rsid w:val="003A3333"/>
    <w:rsid w:val="003A343A"/>
    <w:rsid w:val="003A3D64"/>
    <w:rsid w:val="003A3E07"/>
    <w:rsid w:val="003A3E5C"/>
    <w:rsid w:val="003A3EDD"/>
    <w:rsid w:val="003A4278"/>
    <w:rsid w:val="003A433C"/>
    <w:rsid w:val="003A46D2"/>
    <w:rsid w:val="003A49D4"/>
    <w:rsid w:val="003A55ED"/>
    <w:rsid w:val="003A5C87"/>
    <w:rsid w:val="003A5E1F"/>
    <w:rsid w:val="003A5E47"/>
    <w:rsid w:val="003A6013"/>
    <w:rsid w:val="003A65BF"/>
    <w:rsid w:val="003A6AE9"/>
    <w:rsid w:val="003A6CA4"/>
    <w:rsid w:val="003A6F76"/>
    <w:rsid w:val="003A7DAB"/>
    <w:rsid w:val="003B0218"/>
    <w:rsid w:val="003B030E"/>
    <w:rsid w:val="003B0491"/>
    <w:rsid w:val="003B0AA1"/>
    <w:rsid w:val="003B0E0C"/>
    <w:rsid w:val="003B0FCE"/>
    <w:rsid w:val="003B131B"/>
    <w:rsid w:val="003B1333"/>
    <w:rsid w:val="003B1537"/>
    <w:rsid w:val="003B18AA"/>
    <w:rsid w:val="003B1A95"/>
    <w:rsid w:val="003B1CB7"/>
    <w:rsid w:val="003B2012"/>
    <w:rsid w:val="003B2881"/>
    <w:rsid w:val="003B2A75"/>
    <w:rsid w:val="003B2BAD"/>
    <w:rsid w:val="003B2EC2"/>
    <w:rsid w:val="003B2FBB"/>
    <w:rsid w:val="003B32DB"/>
    <w:rsid w:val="003B3474"/>
    <w:rsid w:val="003B3965"/>
    <w:rsid w:val="003B3B4D"/>
    <w:rsid w:val="003B3BCD"/>
    <w:rsid w:val="003B41BE"/>
    <w:rsid w:val="003B452E"/>
    <w:rsid w:val="003B47A7"/>
    <w:rsid w:val="003B48BD"/>
    <w:rsid w:val="003B4F6F"/>
    <w:rsid w:val="003B57DA"/>
    <w:rsid w:val="003B58CB"/>
    <w:rsid w:val="003B5D20"/>
    <w:rsid w:val="003B62EE"/>
    <w:rsid w:val="003B6773"/>
    <w:rsid w:val="003B7113"/>
    <w:rsid w:val="003B7328"/>
    <w:rsid w:val="003B7922"/>
    <w:rsid w:val="003B799A"/>
    <w:rsid w:val="003B7A57"/>
    <w:rsid w:val="003B7C53"/>
    <w:rsid w:val="003C00D2"/>
    <w:rsid w:val="003C0C36"/>
    <w:rsid w:val="003C10A3"/>
    <w:rsid w:val="003C1E8D"/>
    <w:rsid w:val="003C213C"/>
    <w:rsid w:val="003C25C7"/>
    <w:rsid w:val="003C292B"/>
    <w:rsid w:val="003C2C96"/>
    <w:rsid w:val="003C2D2F"/>
    <w:rsid w:val="003C373C"/>
    <w:rsid w:val="003C3C8C"/>
    <w:rsid w:val="003C4154"/>
    <w:rsid w:val="003C4438"/>
    <w:rsid w:val="003C46F9"/>
    <w:rsid w:val="003C48D9"/>
    <w:rsid w:val="003C4986"/>
    <w:rsid w:val="003C5055"/>
    <w:rsid w:val="003C520B"/>
    <w:rsid w:val="003C5C1D"/>
    <w:rsid w:val="003C5CCB"/>
    <w:rsid w:val="003C628D"/>
    <w:rsid w:val="003C62B7"/>
    <w:rsid w:val="003C71E7"/>
    <w:rsid w:val="003C7E1A"/>
    <w:rsid w:val="003C7E78"/>
    <w:rsid w:val="003D0197"/>
    <w:rsid w:val="003D024F"/>
    <w:rsid w:val="003D080A"/>
    <w:rsid w:val="003D0DBC"/>
    <w:rsid w:val="003D10E6"/>
    <w:rsid w:val="003D1270"/>
    <w:rsid w:val="003D131D"/>
    <w:rsid w:val="003D1931"/>
    <w:rsid w:val="003D1B68"/>
    <w:rsid w:val="003D28A6"/>
    <w:rsid w:val="003D2A32"/>
    <w:rsid w:val="003D2C87"/>
    <w:rsid w:val="003D3194"/>
    <w:rsid w:val="003D33BF"/>
    <w:rsid w:val="003D3479"/>
    <w:rsid w:val="003D347C"/>
    <w:rsid w:val="003D3623"/>
    <w:rsid w:val="003D3754"/>
    <w:rsid w:val="003D380E"/>
    <w:rsid w:val="003D3854"/>
    <w:rsid w:val="003D3DC4"/>
    <w:rsid w:val="003D42E7"/>
    <w:rsid w:val="003D4488"/>
    <w:rsid w:val="003D4584"/>
    <w:rsid w:val="003D4C53"/>
    <w:rsid w:val="003D4EE9"/>
    <w:rsid w:val="003D52B9"/>
    <w:rsid w:val="003D536A"/>
    <w:rsid w:val="003D53AF"/>
    <w:rsid w:val="003D53F1"/>
    <w:rsid w:val="003D5707"/>
    <w:rsid w:val="003D767A"/>
    <w:rsid w:val="003D7709"/>
    <w:rsid w:val="003D7778"/>
    <w:rsid w:val="003D7B5A"/>
    <w:rsid w:val="003D7B82"/>
    <w:rsid w:val="003E014D"/>
    <w:rsid w:val="003E0716"/>
    <w:rsid w:val="003E17E7"/>
    <w:rsid w:val="003E18D4"/>
    <w:rsid w:val="003E25BD"/>
    <w:rsid w:val="003E2818"/>
    <w:rsid w:val="003E284A"/>
    <w:rsid w:val="003E38FA"/>
    <w:rsid w:val="003E40A2"/>
    <w:rsid w:val="003E41B2"/>
    <w:rsid w:val="003E41BB"/>
    <w:rsid w:val="003E4642"/>
    <w:rsid w:val="003E4A42"/>
    <w:rsid w:val="003E5464"/>
    <w:rsid w:val="003E56AB"/>
    <w:rsid w:val="003E5797"/>
    <w:rsid w:val="003E5C96"/>
    <w:rsid w:val="003E5DCE"/>
    <w:rsid w:val="003E62E2"/>
    <w:rsid w:val="003E64DB"/>
    <w:rsid w:val="003E6501"/>
    <w:rsid w:val="003E6C15"/>
    <w:rsid w:val="003E7554"/>
    <w:rsid w:val="003E75A7"/>
    <w:rsid w:val="003E766C"/>
    <w:rsid w:val="003E7A70"/>
    <w:rsid w:val="003F00F1"/>
    <w:rsid w:val="003F073E"/>
    <w:rsid w:val="003F083E"/>
    <w:rsid w:val="003F0AD9"/>
    <w:rsid w:val="003F0BEC"/>
    <w:rsid w:val="003F10C5"/>
    <w:rsid w:val="003F1492"/>
    <w:rsid w:val="003F16B3"/>
    <w:rsid w:val="003F1B92"/>
    <w:rsid w:val="003F1C5E"/>
    <w:rsid w:val="003F265E"/>
    <w:rsid w:val="003F283D"/>
    <w:rsid w:val="003F2CF1"/>
    <w:rsid w:val="003F2EB4"/>
    <w:rsid w:val="003F306A"/>
    <w:rsid w:val="003F31C8"/>
    <w:rsid w:val="003F32C6"/>
    <w:rsid w:val="003F34A3"/>
    <w:rsid w:val="003F3731"/>
    <w:rsid w:val="003F4014"/>
    <w:rsid w:val="003F4588"/>
    <w:rsid w:val="003F4B71"/>
    <w:rsid w:val="003F4EAC"/>
    <w:rsid w:val="003F4EC1"/>
    <w:rsid w:val="003F4EF0"/>
    <w:rsid w:val="003F4FDA"/>
    <w:rsid w:val="003F507D"/>
    <w:rsid w:val="003F54A5"/>
    <w:rsid w:val="003F54D0"/>
    <w:rsid w:val="003F5B47"/>
    <w:rsid w:val="003F5B4B"/>
    <w:rsid w:val="003F5CFC"/>
    <w:rsid w:val="003F604F"/>
    <w:rsid w:val="003F60A7"/>
    <w:rsid w:val="003F70B7"/>
    <w:rsid w:val="003F713F"/>
    <w:rsid w:val="003F7BB6"/>
    <w:rsid w:val="003F7DED"/>
    <w:rsid w:val="003F7E88"/>
    <w:rsid w:val="003F7FFE"/>
    <w:rsid w:val="00400083"/>
    <w:rsid w:val="00400417"/>
    <w:rsid w:val="0040069E"/>
    <w:rsid w:val="00400864"/>
    <w:rsid w:val="00400AD5"/>
    <w:rsid w:val="00400C70"/>
    <w:rsid w:val="0040110F"/>
    <w:rsid w:val="00401360"/>
    <w:rsid w:val="004014F3"/>
    <w:rsid w:val="004016B4"/>
    <w:rsid w:val="00401C28"/>
    <w:rsid w:val="00402048"/>
    <w:rsid w:val="00402DE2"/>
    <w:rsid w:val="00403378"/>
    <w:rsid w:val="00403559"/>
    <w:rsid w:val="00404925"/>
    <w:rsid w:val="00404B22"/>
    <w:rsid w:val="00404B43"/>
    <w:rsid w:val="00404B47"/>
    <w:rsid w:val="004059CE"/>
    <w:rsid w:val="00405AB2"/>
    <w:rsid w:val="00406082"/>
    <w:rsid w:val="00406420"/>
    <w:rsid w:val="00406CD3"/>
    <w:rsid w:val="0040718E"/>
    <w:rsid w:val="00407A19"/>
    <w:rsid w:val="00407FD7"/>
    <w:rsid w:val="00410610"/>
    <w:rsid w:val="00410C04"/>
    <w:rsid w:val="00411131"/>
    <w:rsid w:val="004112CD"/>
    <w:rsid w:val="00411AF7"/>
    <w:rsid w:val="00411C28"/>
    <w:rsid w:val="00411DA5"/>
    <w:rsid w:val="00412862"/>
    <w:rsid w:val="0041322C"/>
    <w:rsid w:val="00413FF2"/>
    <w:rsid w:val="00414B1D"/>
    <w:rsid w:val="004150FC"/>
    <w:rsid w:val="00415298"/>
    <w:rsid w:val="0041596E"/>
    <w:rsid w:val="00415CBA"/>
    <w:rsid w:val="00416535"/>
    <w:rsid w:val="0041666D"/>
    <w:rsid w:val="00416C81"/>
    <w:rsid w:val="00416EB6"/>
    <w:rsid w:val="00417389"/>
    <w:rsid w:val="00417D19"/>
    <w:rsid w:val="004200E2"/>
    <w:rsid w:val="0042050B"/>
    <w:rsid w:val="00420B7E"/>
    <w:rsid w:val="00420F9C"/>
    <w:rsid w:val="004216C1"/>
    <w:rsid w:val="00421F73"/>
    <w:rsid w:val="00422213"/>
    <w:rsid w:val="00422836"/>
    <w:rsid w:val="00422C63"/>
    <w:rsid w:val="00422FD2"/>
    <w:rsid w:val="00423263"/>
    <w:rsid w:val="004235B0"/>
    <w:rsid w:val="0042386E"/>
    <w:rsid w:val="004248F1"/>
    <w:rsid w:val="00424AFE"/>
    <w:rsid w:val="004250A4"/>
    <w:rsid w:val="00425246"/>
    <w:rsid w:val="00425363"/>
    <w:rsid w:val="00425431"/>
    <w:rsid w:val="0042564B"/>
    <w:rsid w:val="004257DB"/>
    <w:rsid w:val="004258D1"/>
    <w:rsid w:val="00425FE6"/>
    <w:rsid w:val="004265BB"/>
    <w:rsid w:val="00426706"/>
    <w:rsid w:val="004267C0"/>
    <w:rsid w:val="0042724F"/>
    <w:rsid w:val="00427622"/>
    <w:rsid w:val="0043045A"/>
    <w:rsid w:val="0043050E"/>
    <w:rsid w:val="00430572"/>
    <w:rsid w:val="004307C4"/>
    <w:rsid w:val="00430C60"/>
    <w:rsid w:val="00431050"/>
    <w:rsid w:val="004313EA"/>
    <w:rsid w:val="00431608"/>
    <w:rsid w:val="00431797"/>
    <w:rsid w:val="004319F5"/>
    <w:rsid w:val="00431C9A"/>
    <w:rsid w:val="00431D1B"/>
    <w:rsid w:val="00431F07"/>
    <w:rsid w:val="004320AC"/>
    <w:rsid w:val="0043237D"/>
    <w:rsid w:val="00432AC2"/>
    <w:rsid w:val="00432C62"/>
    <w:rsid w:val="00433417"/>
    <w:rsid w:val="00433E0F"/>
    <w:rsid w:val="00433F61"/>
    <w:rsid w:val="0043405E"/>
    <w:rsid w:val="00434108"/>
    <w:rsid w:val="00434350"/>
    <w:rsid w:val="00434470"/>
    <w:rsid w:val="0043477D"/>
    <w:rsid w:val="00434A31"/>
    <w:rsid w:val="004353F3"/>
    <w:rsid w:val="00435454"/>
    <w:rsid w:val="004355A3"/>
    <w:rsid w:val="00435E63"/>
    <w:rsid w:val="00435F2F"/>
    <w:rsid w:val="0043606C"/>
    <w:rsid w:val="0043622B"/>
    <w:rsid w:val="004362FB"/>
    <w:rsid w:val="004364FA"/>
    <w:rsid w:val="00436B4D"/>
    <w:rsid w:val="00436E45"/>
    <w:rsid w:val="00436F09"/>
    <w:rsid w:val="00437E49"/>
    <w:rsid w:val="00440129"/>
    <w:rsid w:val="004401F9"/>
    <w:rsid w:val="00440294"/>
    <w:rsid w:val="00440367"/>
    <w:rsid w:val="004403BB"/>
    <w:rsid w:val="0044043C"/>
    <w:rsid w:val="00440A30"/>
    <w:rsid w:val="00440BA1"/>
    <w:rsid w:val="00441099"/>
    <w:rsid w:val="0044267A"/>
    <w:rsid w:val="00442BFF"/>
    <w:rsid w:val="00442D39"/>
    <w:rsid w:val="00443049"/>
    <w:rsid w:val="004431D8"/>
    <w:rsid w:val="0044334A"/>
    <w:rsid w:val="00443353"/>
    <w:rsid w:val="00443582"/>
    <w:rsid w:val="00443CF5"/>
    <w:rsid w:val="00443FCE"/>
    <w:rsid w:val="00444588"/>
    <w:rsid w:val="004447BC"/>
    <w:rsid w:val="00444AF9"/>
    <w:rsid w:val="00444BFD"/>
    <w:rsid w:val="00444D10"/>
    <w:rsid w:val="00444D5C"/>
    <w:rsid w:val="00444D71"/>
    <w:rsid w:val="00444F5F"/>
    <w:rsid w:val="00445013"/>
    <w:rsid w:val="00445603"/>
    <w:rsid w:val="004458A2"/>
    <w:rsid w:val="00445BFB"/>
    <w:rsid w:val="00445D8D"/>
    <w:rsid w:val="00446037"/>
    <w:rsid w:val="004462C1"/>
    <w:rsid w:val="004464E8"/>
    <w:rsid w:val="00446701"/>
    <w:rsid w:val="00446BBE"/>
    <w:rsid w:val="004470CC"/>
    <w:rsid w:val="0044746C"/>
    <w:rsid w:val="004477A6"/>
    <w:rsid w:val="00447830"/>
    <w:rsid w:val="004479F7"/>
    <w:rsid w:val="00447E54"/>
    <w:rsid w:val="004501AD"/>
    <w:rsid w:val="004502CC"/>
    <w:rsid w:val="004507A9"/>
    <w:rsid w:val="00450A1C"/>
    <w:rsid w:val="00450A4F"/>
    <w:rsid w:val="00450E3A"/>
    <w:rsid w:val="00450E69"/>
    <w:rsid w:val="004512F6"/>
    <w:rsid w:val="0045142D"/>
    <w:rsid w:val="00451FDB"/>
    <w:rsid w:val="00451FE0"/>
    <w:rsid w:val="004520EE"/>
    <w:rsid w:val="004524A7"/>
    <w:rsid w:val="004526DE"/>
    <w:rsid w:val="004526FB"/>
    <w:rsid w:val="00452790"/>
    <w:rsid w:val="0045294E"/>
    <w:rsid w:val="004529BE"/>
    <w:rsid w:val="00452B05"/>
    <w:rsid w:val="00452E85"/>
    <w:rsid w:val="004540A2"/>
    <w:rsid w:val="00454502"/>
    <w:rsid w:val="00454D15"/>
    <w:rsid w:val="00454F45"/>
    <w:rsid w:val="00454F4B"/>
    <w:rsid w:val="00455652"/>
    <w:rsid w:val="00455D92"/>
    <w:rsid w:val="00456429"/>
    <w:rsid w:val="00456B62"/>
    <w:rsid w:val="004576BF"/>
    <w:rsid w:val="004577BE"/>
    <w:rsid w:val="00457FA8"/>
    <w:rsid w:val="00460656"/>
    <w:rsid w:val="00461071"/>
    <w:rsid w:val="0046207C"/>
    <w:rsid w:val="0046230A"/>
    <w:rsid w:val="004623BC"/>
    <w:rsid w:val="004625E0"/>
    <w:rsid w:val="00462BB8"/>
    <w:rsid w:val="00462C0A"/>
    <w:rsid w:val="00463311"/>
    <w:rsid w:val="00463579"/>
    <w:rsid w:val="00463637"/>
    <w:rsid w:val="00463AA6"/>
    <w:rsid w:val="00463B52"/>
    <w:rsid w:val="00463E5A"/>
    <w:rsid w:val="004640D6"/>
    <w:rsid w:val="00464308"/>
    <w:rsid w:val="00464385"/>
    <w:rsid w:val="00464571"/>
    <w:rsid w:val="004648E0"/>
    <w:rsid w:val="00464DF2"/>
    <w:rsid w:val="0046577D"/>
    <w:rsid w:val="00465967"/>
    <w:rsid w:val="0046599C"/>
    <w:rsid w:val="00465B21"/>
    <w:rsid w:val="00466753"/>
    <w:rsid w:val="00466804"/>
    <w:rsid w:val="0046687A"/>
    <w:rsid w:val="004668B2"/>
    <w:rsid w:val="0046698B"/>
    <w:rsid w:val="004669A5"/>
    <w:rsid w:val="00466C23"/>
    <w:rsid w:val="00466D08"/>
    <w:rsid w:val="004671DF"/>
    <w:rsid w:val="0046746F"/>
    <w:rsid w:val="004679CA"/>
    <w:rsid w:val="00467E38"/>
    <w:rsid w:val="00467E57"/>
    <w:rsid w:val="0047056B"/>
    <w:rsid w:val="00470CEF"/>
    <w:rsid w:val="0047107C"/>
    <w:rsid w:val="0047121D"/>
    <w:rsid w:val="004718E3"/>
    <w:rsid w:val="0047190E"/>
    <w:rsid w:val="00471AC4"/>
    <w:rsid w:val="0047245C"/>
    <w:rsid w:val="00472B8F"/>
    <w:rsid w:val="0047307F"/>
    <w:rsid w:val="0047319E"/>
    <w:rsid w:val="004734AD"/>
    <w:rsid w:val="00473B5D"/>
    <w:rsid w:val="00473F9E"/>
    <w:rsid w:val="004741A8"/>
    <w:rsid w:val="0047420F"/>
    <w:rsid w:val="00474221"/>
    <w:rsid w:val="0047461F"/>
    <w:rsid w:val="0047464D"/>
    <w:rsid w:val="00474840"/>
    <w:rsid w:val="00474E43"/>
    <w:rsid w:val="004755FF"/>
    <w:rsid w:val="00475869"/>
    <w:rsid w:val="004758F0"/>
    <w:rsid w:val="00475A2B"/>
    <w:rsid w:val="004764DC"/>
    <w:rsid w:val="00476C62"/>
    <w:rsid w:val="00476E0C"/>
    <w:rsid w:val="004771EB"/>
    <w:rsid w:val="00477ABB"/>
    <w:rsid w:val="00477D53"/>
    <w:rsid w:val="00480012"/>
    <w:rsid w:val="00480351"/>
    <w:rsid w:val="004805A6"/>
    <w:rsid w:val="004805EB"/>
    <w:rsid w:val="00480746"/>
    <w:rsid w:val="004807D6"/>
    <w:rsid w:val="00480915"/>
    <w:rsid w:val="00480F35"/>
    <w:rsid w:val="00480F59"/>
    <w:rsid w:val="00481404"/>
    <w:rsid w:val="00481539"/>
    <w:rsid w:val="00481700"/>
    <w:rsid w:val="00481AAA"/>
    <w:rsid w:val="00481B36"/>
    <w:rsid w:val="00482156"/>
    <w:rsid w:val="00482688"/>
    <w:rsid w:val="00482D24"/>
    <w:rsid w:val="00482D26"/>
    <w:rsid w:val="004835E0"/>
    <w:rsid w:val="004838D3"/>
    <w:rsid w:val="00483CD4"/>
    <w:rsid w:val="00484188"/>
    <w:rsid w:val="0048432E"/>
    <w:rsid w:val="0048511C"/>
    <w:rsid w:val="00485486"/>
    <w:rsid w:val="004857A5"/>
    <w:rsid w:val="004857DD"/>
    <w:rsid w:val="004857E1"/>
    <w:rsid w:val="00485BB7"/>
    <w:rsid w:val="00485D25"/>
    <w:rsid w:val="004869C4"/>
    <w:rsid w:val="00486D36"/>
    <w:rsid w:val="00487674"/>
    <w:rsid w:val="00487AA6"/>
    <w:rsid w:val="00487AB7"/>
    <w:rsid w:val="00487C6F"/>
    <w:rsid w:val="004905BE"/>
    <w:rsid w:val="00490832"/>
    <w:rsid w:val="00491765"/>
    <w:rsid w:val="00491E20"/>
    <w:rsid w:val="004920E6"/>
    <w:rsid w:val="0049274C"/>
    <w:rsid w:val="00492BA9"/>
    <w:rsid w:val="00492F7E"/>
    <w:rsid w:val="00493843"/>
    <w:rsid w:val="00493C96"/>
    <w:rsid w:val="00494245"/>
    <w:rsid w:val="00494820"/>
    <w:rsid w:val="00495A83"/>
    <w:rsid w:val="00495ADE"/>
    <w:rsid w:val="00495D04"/>
    <w:rsid w:val="004964DC"/>
    <w:rsid w:val="00496647"/>
    <w:rsid w:val="00496684"/>
    <w:rsid w:val="00496A71"/>
    <w:rsid w:val="004976B5"/>
    <w:rsid w:val="00497EA8"/>
    <w:rsid w:val="004A074B"/>
    <w:rsid w:val="004A07AE"/>
    <w:rsid w:val="004A0A82"/>
    <w:rsid w:val="004A0C6D"/>
    <w:rsid w:val="004A0D2E"/>
    <w:rsid w:val="004A1519"/>
    <w:rsid w:val="004A17B9"/>
    <w:rsid w:val="004A1BD8"/>
    <w:rsid w:val="004A237D"/>
    <w:rsid w:val="004A2ABD"/>
    <w:rsid w:val="004A2BA1"/>
    <w:rsid w:val="004A2C86"/>
    <w:rsid w:val="004A2D3B"/>
    <w:rsid w:val="004A2EFF"/>
    <w:rsid w:val="004A3379"/>
    <w:rsid w:val="004A33D9"/>
    <w:rsid w:val="004A36D6"/>
    <w:rsid w:val="004A4314"/>
    <w:rsid w:val="004A50EB"/>
    <w:rsid w:val="004A513C"/>
    <w:rsid w:val="004A5676"/>
    <w:rsid w:val="004A56D1"/>
    <w:rsid w:val="004A6554"/>
    <w:rsid w:val="004A6621"/>
    <w:rsid w:val="004A6C02"/>
    <w:rsid w:val="004A6C18"/>
    <w:rsid w:val="004A6D23"/>
    <w:rsid w:val="004A73DE"/>
    <w:rsid w:val="004A77AC"/>
    <w:rsid w:val="004A79B9"/>
    <w:rsid w:val="004A7D2E"/>
    <w:rsid w:val="004A7D3B"/>
    <w:rsid w:val="004A7E88"/>
    <w:rsid w:val="004B04CA"/>
    <w:rsid w:val="004B06CB"/>
    <w:rsid w:val="004B0795"/>
    <w:rsid w:val="004B0B7F"/>
    <w:rsid w:val="004B0E8C"/>
    <w:rsid w:val="004B121B"/>
    <w:rsid w:val="004B155C"/>
    <w:rsid w:val="004B1B60"/>
    <w:rsid w:val="004B245E"/>
    <w:rsid w:val="004B286E"/>
    <w:rsid w:val="004B2F42"/>
    <w:rsid w:val="004B3282"/>
    <w:rsid w:val="004B38FA"/>
    <w:rsid w:val="004B3D25"/>
    <w:rsid w:val="004B4B89"/>
    <w:rsid w:val="004B4BB5"/>
    <w:rsid w:val="004B51D5"/>
    <w:rsid w:val="004B5719"/>
    <w:rsid w:val="004B60C9"/>
    <w:rsid w:val="004B6141"/>
    <w:rsid w:val="004B664A"/>
    <w:rsid w:val="004B6F10"/>
    <w:rsid w:val="004B6F48"/>
    <w:rsid w:val="004B7051"/>
    <w:rsid w:val="004B7509"/>
    <w:rsid w:val="004B7778"/>
    <w:rsid w:val="004B7943"/>
    <w:rsid w:val="004B7964"/>
    <w:rsid w:val="004B7972"/>
    <w:rsid w:val="004B79E6"/>
    <w:rsid w:val="004B7B24"/>
    <w:rsid w:val="004B7B28"/>
    <w:rsid w:val="004B7B4F"/>
    <w:rsid w:val="004B7F1E"/>
    <w:rsid w:val="004C0031"/>
    <w:rsid w:val="004C02AD"/>
    <w:rsid w:val="004C0492"/>
    <w:rsid w:val="004C090A"/>
    <w:rsid w:val="004C0CEC"/>
    <w:rsid w:val="004C0D7D"/>
    <w:rsid w:val="004C1F5D"/>
    <w:rsid w:val="004C22F1"/>
    <w:rsid w:val="004C3BE4"/>
    <w:rsid w:val="004C4C4A"/>
    <w:rsid w:val="004C5168"/>
    <w:rsid w:val="004C56E6"/>
    <w:rsid w:val="004C5872"/>
    <w:rsid w:val="004C5898"/>
    <w:rsid w:val="004C5990"/>
    <w:rsid w:val="004C5DBF"/>
    <w:rsid w:val="004C604C"/>
    <w:rsid w:val="004C6675"/>
    <w:rsid w:val="004C6A51"/>
    <w:rsid w:val="004C6B92"/>
    <w:rsid w:val="004C6C36"/>
    <w:rsid w:val="004C6E0F"/>
    <w:rsid w:val="004C6EBC"/>
    <w:rsid w:val="004C6F0C"/>
    <w:rsid w:val="004C6F32"/>
    <w:rsid w:val="004C73EE"/>
    <w:rsid w:val="004C745F"/>
    <w:rsid w:val="004C757D"/>
    <w:rsid w:val="004C777D"/>
    <w:rsid w:val="004C7934"/>
    <w:rsid w:val="004C79D4"/>
    <w:rsid w:val="004D03B7"/>
    <w:rsid w:val="004D0605"/>
    <w:rsid w:val="004D0732"/>
    <w:rsid w:val="004D0910"/>
    <w:rsid w:val="004D1845"/>
    <w:rsid w:val="004D1AFE"/>
    <w:rsid w:val="004D2145"/>
    <w:rsid w:val="004D2BB9"/>
    <w:rsid w:val="004D3421"/>
    <w:rsid w:val="004D392B"/>
    <w:rsid w:val="004D3A67"/>
    <w:rsid w:val="004D403B"/>
    <w:rsid w:val="004D449E"/>
    <w:rsid w:val="004D46CE"/>
    <w:rsid w:val="004D46F1"/>
    <w:rsid w:val="004D4BCB"/>
    <w:rsid w:val="004D4FC7"/>
    <w:rsid w:val="004D58B3"/>
    <w:rsid w:val="004D6AE4"/>
    <w:rsid w:val="004D750B"/>
    <w:rsid w:val="004D7602"/>
    <w:rsid w:val="004D7FAB"/>
    <w:rsid w:val="004E0A6F"/>
    <w:rsid w:val="004E14F8"/>
    <w:rsid w:val="004E19FC"/>
    <w:rsid w:val="004E1AD9"/>
    <w:rsid w:val="004E1EF2"/>
    <w:rsid w:val="004E20CC"/>
    <w:rsid w:val="004E23B2"/>
    <w:rsid w:val="004E2682"/>
    <w:rsid w:val="004E2D19"/>
    <w:rsid w:val="004E2EFF"/>
    <w:rsid w:val="004E30A8"/>
    <w:rsid w:val="004E30AC"/>
    <w:rsid w:val="004E346D"/>
    <w:rsid w:val="004E3B76"/>
    <w:rsid w:val="004E400A"/>
    <w:rsid w:val="004E4188"/>
    <w:rsid w:val="004E5206"/>
    <w:rsid w:val="004E576A"/>
    <w:rsid w:val="004E5C06"/>
    <w:rsid w:val="004E5CD6"/>
    <w:rsid w:val="004E619B"/>
    <w:rsid w:val="004E62DB"/>
    <w:rsid w:val="004E663E"/>
    <w:rsid w:val="004E6ACD"/>
    <w:rsid w:val="004E7412"/>
    <w:rsid w:val="004E7A4D"/>
    <w:rsid w:val="004F08E3"/>
    <w:rsid w:val="004F09F3"/>
    <w:rsid w:val="004F0B78"/>
    <w:rsid w:val="004F0C3B"/>
    <w:rsid w:val="004F0E7E"/>
    <w:rsid w:val="004F1086"/>
    <w:rsid w:val="004F12F5"/>
    <w:rsid w:val="004F1382"/>
    <w:rsid w:val="004F24F2"/>
    <w:rsid w:val="004F2618"/>
    <w:rsid w:val="004F2F0C"/>
    <w:rsid w:val="004F2F1F"/>
    <w:rsid w:val="004F3496"/>
    <w:rsid w:val="004F4595"/>
    <w:rsid w:val="004F46E8"/>
    <w:rsid w:val="004F46FD"/>
    <w:rsid w:val="004F4E5C"/>
    <w:rsid w:val="004F5510"/>
    <w:rsid w:val="004F562E"/>
    <w:rsid w:val="004F5751"/>
    <w:rsid w:val="004F5CAC"/>
    <w:rsid w:val="004F623D"/>
    <w:rsid w:val="004F6889"/>
    <w:rsid w:val="004F6B1D"/>
    <w:rsid w:val="004F6DDE"/>
    <w:rsid w:val="004F6E71"/>
    <w:rsid w:val="004F7342"/>
    <w:rsid w:val="004F7721"/>
    <w:rsid w:val="004F7C5A"/>
    <w:rsid w:val="0050066D"/>
    <w:rsid w:val="0050080B"/>
    <w:rsid w:val="00500845"/>
    <w:rsid w:val="00500AD8"/>
    <w:rsid w:val="00500D92"/>
    <w:rsid w:val="005013A7"/>
    <w:rsid w:val="0050150A"/>
    <w:rsid w:val="0050160A"/>
    <w:rsid w:val="00501A73"/>
    <w:rsid w:val="00501BB9"/>
    <w:rsid w:val="00501D34"/>
    <w:rsid w:val="00501FC6"/>
    <w:rsid w:val="005029DF"/>
    <w:rsid w:val="0050329A"/>
    <w:rsid w:val="005033D9"/>
    <w:rsid w:val="005038C2"/>
    <w:rsid w:val="00503902"/>
    <w:rsid w:val="00503988"/>
    <w:rsid w:val="00503A03"/>
    <w:rsid w:val="00503BC2"/>
    <w:rsid w:val="005042A0"/>
    <w:rsid w:val="00504AA6"/>
    <w:rsid w:val="00504D0C"/>
    <w:rsid w:val="00504D29"/>
    <w:rsid w:val="00504D93"/>
    <w:rsid w:val="0050512F"/>
    <w:rsid w:val="00505607"/>
    <w:rsid w:val="00505A0D"/>
    <w:rsid w:val="00505FC6"/>
    <w:rsid w:val="00506118"/>
    <w:rsid w:val="00506138"/>
    <w:rsid w:val="00506454"/>
    <w:rsid w:val="0050651F"/>
    <w:rsid w:val="0050677D"/>
    <w:rsid w:val="00506F79"/>
    <w:rsid w:val="0050737A"/>
    <w:rsid w:val="00507D72"/>
    <w:rsid w:val="00510342"/>
    <w:rsid w:val="00510961"/>
    <w:rsid w:val="00510BBD"/>
    <w:rsid w:val="0051109F"/>
    <w:rsid w:val="005118EC"/>
    <w:rsid w:val="00511F16"/>
    <w:rsid w:val="005120B9"/>
    <w:rsid w:val="0051232C"/>
    <w:rsid w:val="005124B4"/>
    <w:rsid w:val="00512717"/>
    <w:rsid w:val="00512999"/>
    <w:rsid w:val="00512BDA"/>
    <w:rsid w:val="00512CA8"/>
    <w:rsid w:val="00512CAD"/>
    <w:rsid w:val="00512CF6"/>
    <w:rsid w:val="00512E6C"/>
    <w:rsid w:val="00513017"/>
    <w:rsid w:val="005130E5"/>
    <w:rsid w:val="00513875"/>
    <w:rsid w:val="00513A42"/>
    <w:rsid w:val="0051410E"/>
    <w:rsid w:val="005143FD"/>
    <w:rsid w:val="005147BC"/>
    <w:rsid w:val="005148E1"/>
    <w:rsid w:val="00514A28"/>
    <w:rsid w:val="00514A8D"/>
    <w:rsid w:val="00514F90"/>
    <w:rsid w:val="00515143"/>
    <w:rsid w:val="005156AC"/>
    <w:rsid w:val="005156E3"/>
    <w:rsid w:val="00515818"/>
    <w:rsid w:val="005158C5"/>
    <w:rsid w:val="00515F2C"/>
    <w:rsid w:val="00515F4E"/>
    <w:rsid w:val="00516B9E"/>
    <w:rsid w:val="00516CE0"/>
    <w:rsid w:val="00517235"/>
    <w:rsid w:val="00517C1E"/>
    <w:rsid w:val="005201DD"/>
    <w:rsid w:val="005205C1"/>
    <w:rsid w:val="00520D55"/>
    <w:rsid w:val="00520E1C"/>
    <w:rsid w:val="00520EA8"/>
    <w:rsid w:val="00520FC2"/>
    <w:rsid w:val="005212EF"/>
    <w:rsid w:val="0052131F"/>
    <w:rsid w:val="0052135D"/>
    <w:rsid w:val="0052165B"/>
    <w:rsid w:val="00521794"/>
    <w:rsid w:val="00521A62"/>
    <w:rsid w:val="005221E4"/>
    <w:rsid w:val="00522653"/>
    <w:rsid w:val="00522681"/>
    <w:rsid w:val="00522DD5"/>
    <w:rsid w:val="00523081"/>
    <w:rsid w:val="005233EC"/>
    <w:rsid w:val="00523534"/>
    <w:rsid w:val="0052374B"/>
    <w:rsid w:val="005240FF"/>
    <w:rsid w:val="00524235"/>
    <w:rsid w:val="005244CB"/>
    <w:rsid w:val="00524655"/>
    <w:rsid w:val="005249F6"/>
    <w:rsid w:val="00524E7A"/>
    <w:rsid w:val="00524F2D"/>
    <w:rsid w:val="00525099"/>
    <w:rsid w:val="005255BB"/>
    <w:rsid w:val="00526159"/>
    <w:rsid w:val="005269FC"/>
    <w:rsid w:val="00526AD9"/>
    <w:rsid w:val="005274BB"/>
    <w:rsid w:val="005277C0"/>
    <w:rsid w:val="00527B76"/>
    <w:rsid w:val="00527C8B"/>
    <w:rsid w:val="005303A3"/>
    <w:rsid w:val="00530C80"/>
    <w:rsid w:val="005311FC"/>
    <w:rsid w:val="005314AE"/>
    <w:rsid w:val="00531654"/>
    <w:rsid w:val="00531AE1"/>
    <w:rsid w:val="00532372"/>
    <w:rsid w:val="005326C9"/>
    <w:rsid w:val="005327C0"/>
    <w:rsid w:val="0053292E"/>
    <w:rsid w:val="005329DD"/>
    <w:rsid w:val="00532D1A"/>
    <w:rsid w:val="00533557"/>
    <w:rsid w:val="0053355E"/>
    <w:rsid w:val="0053367F"/>
    <w:rsid w:val="00533B61"/>
    <w:rsid w:val="005342B1"/>
    <w:rsid w:val="005351F5"/>
    <w:rsid w:val="0053616C"/>
    <w:rsid w:val="00536336"/>
    <w:rsid w:val="00536B21"/>
    <w:rsid w:val="00536CFF"/>
    <w:rsid w:val="00536F05"/>
    <w:rsid w:val="005371D5"/>
    <w:rsid w:val="00537213"/>
    <w:rsid w:val="0053739E"/>
    <w:rsid w:val="005376E8"/>
    <w:rsid w:val="00537A5A"/>
    <w:rsid w:val="00537CD0"/>
    <w:rsid w:val="00540096"/>
    <w:rsid w:val="005401A6"/>
    <w:rsid w:val="005401DF"/>
    <w:rsid w:val="00540DC0"/>
    <w:rsid w:val="00540F07"/>
    <w:rsid w:val="00540FB2"/>
    <w:rsid w:val="00541000"/>
    <w:rsid w:val="00541400"/>
    <w:rsid w:val="00541672"/>
    <w:rsid w:val="005418E8"/>
    <w:rsid w:val="00541D86"/>
    <w:rsid w:val="00541E4C"/>
    <w:rsid w:val="005421BC"/>
    <w:rsid w:val="00543528"/>
    <w:rsid w:val="00543C07"/>
    <w:rsid w:val="00543E37"/>
    <w:rsid w:val="00543EAD"/>
    <w:rsid w:val="0054442F"/>
    <w:rsid w:val="005445DF"/>
    <w:rsid w:val="00544651"/>
    <w:rsid w:val="005446E6"/>
    <w:rsid w:val="00544B78"/>
    <w:rsid w:val="00544D9D"/>
    <w:rsid w:val="00544F23"/>
    <w:rsid w:val="00545015"/>
    <w:rsid w:val="00545A6B"/>
    <w:rsid w:val="00545BDC"/>
    <w:rsid w:val="00545EC4"/>
    <w:rsid w:val="00545EE7"/>
    <w:rsid w:val="0054658B"/>
    <w:rsid w:val="005466E4"/>
    <w:rsid w:val="00546863"/>
    <w:rsid w:val="00546C58"/>
    <w:rsid w:val="00547205"/>
    <w:rsid w:val="0054724A"/>
    <w:rsid w:val="0054793E"/>
    <w:rsid w:val="00547962"/>
    <w:rsid w:val="00547C05"/>
    <w:rsid w:val="00547E27"/>
    <w:rsid w:val="00547E67"/>
    <w:rsid w:val="00547F3A"/>
    <w:rsid w:val="00550042"/>
    <w:rsid w:val="00550336"/>
    <w:rsid w:val="00550A41"/>
    <w:rsid w:val="00550CA9"/>
    <w:rsid w:val="005514CF"/>
    <w:rsid w:val="00552255"/>
    <w:rsid w:val="005522A4"/>
    <w:rsid w:val="00552C37"/>
    <w:rsid w:val="00553B5A"/>
    <w:rsid w:val="00553CB3"/>
    <w:rsid w:val="0055412A"/>
    <w:rsid w:val="005546BA"/>
    <w:rsid w:val="00554734"/>
    <w:rsid w:val="0055486D"/>
    <w:rsid w:val="00554CEA"/>
    <w:rsid w:val="0055503D"/>
    <w:rsid w:val="00555141"/>
    <w:rsid w:val="00555152"/>
    <w:rsid w:val="00555872"/>
    <w:rsid w:val="00555A02"/>
    <w:rsid w:val="005562E5"/>
    <w:rsid w:val="005566FD"/>
    <w:rsid w:val="00556B67"/>
    <w:rsid w:val="00557428"/>
    <w:rsid w:val="0055798A"/>
    <w:rsid w:val="00557D56"/>
    <w:rsid w:val="00557F81"/>
    <w:rsid w:val="005603D7"/>
    <w:rsid w:val="0056041F"/>
    <w:rsid w:val="00560607"/>
    <w:rsid w:val="005613B5"/>
    <w:rsid w:val="005616C0"/>
    <w:rsid w:val="00561714"/>
    <w:rsid w:val="005618AF"/>
    <w:rsid w:val="005618EB"/>
    <w:rsid w:val="00562012"/>
    <w:rsid w:val="00562454"/>
    <w:rsid w:val="00562ABA"/>
    <w:rsid w:val="00563353"/>
    <w:rsid w:val="005635EF"/>
    <w:rsid w:val="00563B7C"/>
    <w:rsid w:val="005653EB"/>
    <w:rsid w:val="00565443"/>
    <w:rsid w:val="00565BDD"/>
    <w:rsid w:val="00565C31"/>
    <w:rsid w:val="00565CA4"/>
    <w:rsid w:val="00565D2A"/>
    <w:rsid w:val="00565E4D"/>
    <w:rsid w:val="00566BDB"/>
    <w:rsid w:val="00566C9C"/>
    <w:rsid w:val="00567102"/>
    <w:rsid w:val="005671B0"/>
    <w:rsid w:val="00567217"/>
    <w:rsid w:val="00567C73"/>
    <w:rsid w:val="0057023B"/>
    <w:rsid w:val="00570900"/>
    <w:rsid w:val="005709AC"/>
    <w:rsid w:val="00570B52"/>
    <w:rsid w:val="00570CD3"/>
    <w:rsid w:val="005714F0"/>
    <w:rsid w:val="005715C9"/>
    <w:rsid w:val="0057222C"/>
    <w:rsid w:val="005725CB"/>
    <w:rsid w:val="00572BC6"/>
    <w:rsid w:val="00572DCB"/>
    <w:rsid w:val="00573067"/>
    <w:rsid w:val="005733AE"/>
    <w:rsid w:val="00573414"/>
    <w:rsid w:val="00573563"/>
    <w:rsid w:val="005737C2"/>
    <w:rsid w:val="005739DA"/>
    <w:rsid w:val="00574455"/>
    <w:rsid w:val="00574536"/>
    <w:rsid w:val="00574570"/>
    <w:rsid w:val="005745E4"/>
    <w:rsid w:val="00574AD9"/>
    <w:rsid w:val="00574B0B"/>
    <w:rsid w:val="00574BE0"/>
    <w:rsid w:val="00574C2C"/>
    <w:rsid w:val="005755C4"/>
    <w:rsid w:val="00575745"/>
    <w:rsid w:val="00575B85"/>
    <w:rsid w:val="00575CC1"/>
    <w:rsid w:val="00575D63"/>
    <w:rsid w:val="00575EB8"/>
    <w:rsid w:val="00576018"/>
    <w:rsid w:val="00576416"/>
    <w:rsid w:val="00576450"/>
    <w:rsid w:val="00576B18"/>
    <w:rsid w:val="0057744B"/>
    <w:rsid w:val="00577670"/>
    <w:rsid w:val="00577F66"/>
    <w:rsid w:val="0058022F"/>
    <w:rsid w:val="005805B7"/>
    <w:rsid w:val="005805C3"/>
    <w:rsid w:val="0058069A"/>
    <w:rsid w:val="0058077D"/>
    <w:rsid w:val="00580992"/>
    <w:rsid w:val="00581167"/>
    <w:rsid w:val="00581287"/>
    <w:rsid w:val="00581618"/>
    <w:rsid w:val="00581770"/>
    <w:rsid w:val="00581C84"/>
    <w:rsid w:val="005820FE"/>
    <w:rsid w:val="005822A5"/>
    <w:rsid w:val="0058256D"/>
    <w:rsid w:val="00582F34"/>
    <w:rsid w:val="005833BF"/>
    <w:rsid w:val="00583403"/>
    <w:rsid w:val="0058383E"/>
    <w:rsid w:val="00584060"/>
    <w:rsid w:val="00584242"/>
    <w:rsid w:val="0058456D"/>
    <w:rsid w:val="00584571"/>
    <w:rsid w:val="00584824"/>
    <w:rsid w:val="00584900"/>
    <w:rsid w:val="00584CFC"/>
    <w:rsid w:val="00584EE0"/>
    <w:rsid w:val="00584FFA"/>
    <w:rsid w:val="005852EA"/>
    <w:rsid w:val="00585719"/>
    <w:rsid w:val="00585CC5"/>
    <w:rsid w:val="00586030"/>
    <w:rsid w:val="00586284"/>
    <w:rsid w:val="0058631E"/>
    <w:rsid w:val="00586CA9"/>
    <w:rsid w:val="00586E78"/>
    <w:rsid w:val="0058766E"/>
    <w:rsid w:val="00587A6F"/>
    <w:rsid w:val="00587D6C"/>
    <w:rsid w:val="005901B3"/>
    <w:rsid w:val="00590575"/>
    <w:rsid w:val="00590851"/>
    <w:rsid w:val="00590D8E"/>
    <w:rsid w:val="00590DE7"/>
    <w:rsid w:val="00590FAA"/>
    <w:rsid w:val="00591372"/>
    <w:rsid w:val="0059197D"/>
    <w:rsid w:val="0059197E"/>
    <w:rsid w:val="00591A6E"/>
    <w:rsid w:val="00591DB0"/>
    <w:rsid w:val="00591E7B"/>
    <w:rsid w:val="00592081"/>
    <w:rsid w:val="005923DE"/>
    <w:rsid w:val="00592BE1"/>
    <w:rsid w:val="00592DE7"/>
    <w:rsid w:val="00592EC7"/>
    <w:rsid w:val="00592F19"/>
    <w:rsid w:val="0059348F"/>
    <w:rsid w:val="00593535"/>
    <w:rsid w:val="00594FBD"/>
    <w:rsid w:val="005954A0"/>
    <w:rsid w:val="005955D9"/>
    <w:rsid w:val="00595655"/>
    <w:rsid w:val="00595AC9"/>
    <w:rsid w:val="00596AEF"/>
    <w:rsid w:val="00597147"/>
    <w:rsid w:val="00597821"/>
    <w:rsid w:val="00597ABF"/>
    <w:rsid w:val="005A009E"/>
    <w:rsid w:val="005A11D6"/>
    <w:rsid w:val="005A123E"/>
    <w:rsid w:val="005A1E1E"/>
    <w:rsid w:val="005A1FC9"/>
    <w:rsid w:val="005A2525"/>
    <w:rsid w:val="005A26AE"/>
    <w:rsid w:val="005A27EB"/>
    <w:rsid w:val="005A2F43"/>
    <w:rsid w:val="005A3473"/>
    <w:rsid w:val="005A3B24"/>
    <w:rsid w:val="005A3B4D"/>
    <w:rsid w:val="005A40AC"/>
    <w:rsid w:val="005A4466"/>
    <w:rsid w:val="005A456A"/>
    <w:rsid w:val="005A47BA"/>
    <w:rsid w:val="005A48DD"/>
    <w:rsid w:val="005A49CF"/>
    <w:rsid w:val="005A4AAE"/>
    <w:rsid w:val="005A4ABD"/>
    <w:rsid w:val="005A4B1A"/>
    <w:rsid w:val="005A5C87"/>
    <w:rsid w:val="005A5E5F"/>
    <w:rsid w:val="005A63AD"/>
    <w:rsid w:val="005A64C8"/>
    <w:rsid w:val="005A6669"/>
    <w:rsid w:val="005A67EC"/>
    <w:rsid w:val="005A6DFD"/>
    <w:rsid w:val="005A6ED5"/>
    <w:rsid w:val="005A6ED9"/>
    <w:rsid w:val="005A73F8"/>
    <w:rsid w:val="005B0708"/>
    <w:rsid w:val="005B07ED"/>
    <w:rsid w:val="005B0B8C"/>
    <w:rsid w:val="005B0C3E"/>
    <w:rsid w:val="005B104F"/>
    <w:rsid w:val="005B1470"/>
    <w:rsid w:val="005B18E0"/>
    <w:rsid w:val="005B1F1F"/>
    <w:rsid w:val="005B2364"/>
    <w:rsid w:val="005B25D0"/>
    <w:rsid w:val="005B278C"/>
    <w:rsid w:val="005B2BFF"/>
    <w:rsid w:val="005B2CC6"/>
    <w:rsid w:val="005B3089"/>
    <w:rsid w:val="005B37A6"/>
    <w:rsid w:val="005B38D8"/>
    <w:rsid w:val="005B3BCA"/>
    <w:rsid w:val="005B4AB6"/>
    <w:rsid w:val="005B4C9B"/>
    <w:rsid w:val="005B4E9D"/>
    <w:rsid w:val="005B55B0"/>
    <w:rsid w:val="005B5A42"/>
    <w:rsid w:val="005B5F0E"/>
    <w:rsid w:val="005B5FAB"/>
    <w:rsid w:val="005B6C51"/>
    <w:rsid w:val="005B6E33"/>
    <w:rsid w:val="005B6EBC"/>
    <w:rsid w:val="005B6F9E"/>
    <w:rsid w:val="005B75E6"/>
    <w:rsid w:val="005B792A"/>
    <w:rsid w:val="005B7BFF"/>
    <w:rsid w:val="005B7CA7"/>
    <w:rsid w:val="005C0230"/>
    <w:rsid w:val="005C0C82"/>
    <w:rsid w:val="005C0DF5"/>
    <w:rsid w:val="005C1439"/>
    <w:rsid w:val="005C148A"/>
    <w:rsid w:val="005C1DC5"/>
    <w:rsid w:val="005C2054"/>
    <w:rsid w:val="005C2599"/>
    <w:rsid w:val="005C26B1"/>
    <w:rsid w:val="005C2DC0"/>
    <w:rsid w:val="005C3017"/>
    <w:rsid w:val="005C312C"/>
    <w:rsid w:val="005C3308"/>
    <w:rsid w:val="005C3343"/>
    <w:rsid w:val="005C3394"/>
    <w:rsid w:val="005C3520"/>
    <w:rsid w:val="005C4BAF"/>
    <w:rsid w:val="005C4F3A"/>
    <w:rsid w:val="005C5CF8"/>
    <w:rsid w:val="005C5F72"/>
    <w:rsid w:val="005C6185"/>
    <w:rsid w:val="005C61A5"/>
    <w:rsid w:val="005C6406"/>
    <w:rsid w:val="005C6654"/>
    <w:rsid w:val="005C694C"/>
    <w:rsid w:val="005C69AF"/>
    <w:rsid w:val="005C6CE4"/>
    <w:rsid w:val="005C7153"/>
    <w:rsid w:val="005C72C4"/>
    <w:rsid w:val="005C745C"/>
    <w:rsid w:val="005C7588"/>
    <w:rsid w:val="005C7CE9"/>
    <w:rsid w:val="005C7EF4"/>
    <w:rsid w:val="005C7F6B"/>
    <w:rsid w:val="005D01D7"/>
    <w:rsid w:val="005D039B"/>
    <w:rsid w:val="005D05C0"/>
    <w:rsid w:val="005D116E"/>
    <w:rsid w:val="005D1246"/>
    <w:rsid w:val="005D147E"/>
    <w:rsid w:val="005D15F0"/>
    <w:rsid w:val="005D1765"/>
    <w:rsid w:val="005D1AFE"/>
    <w:rsid w:val="005D1C5B"/>
    <w:rsid w:val="005D225F"/>
    <w:rsid w:val="005D274F"/>
    <w:rsid w:val="005D2B57"/>
    <w:rsid w:val="005D2C59"/>
    <w:rsid w:val="005D2EBB"/>
    <w:rsid w:val="005D312D"/>
    <w:rsid w:val="005D3950"/>
    <w:rsid w:val="005D44A5"/>
    <w:rsid w:val="005D456B"/>
    <w:rsid w:val="005D4C6C"/>
    <w:rsid w:val="005D5456"/>
    <w:rsid w:val="005D5DA4"/>
    <w:rsid w:val="005D5E9E"/>
    <w:rsid w:val="005D5F3E"/>
    <w:rsid w:val="005D6051"/>
    <w:rsid w:val="005D61E3"/>
    <w:rsid w:val="005D7D8A"/>
    <w:rsid w:val="005E0356"/>
    <w:rsid w:val="005E03FE"/>
    <w:rsid w:val="005E07DF"/>
    <w:rsid w:val="005E0B97"/>
    <w:rsid w:val="005E1162"/>
    <w:rsid w:val="005E16BD"/>
    <w:rsid w:val="005E1D88"/>
    <w:rsid w:val="005E1DC8"/>
    <w:rsid w:val="005E1E84"/>
    <w:rsid w:val="005E2865"/>
    <w:rsid w:val="005E2E1B"/>
    <w:rsid w:val="005E32B9"/>
    <w:rsid w:val="005E3AAB"/>
    <w:rsid w:val="005E41B3"/>
    <w:rsid w:val="005E444B"/>
    <w:rsid w:val="005E44A0"/>
    <w:rsid w:val="005E5018"/>
    <w:rsid w:val="005E516F"/>
    <w:rsid w:val="005E5DC2"/>
    <w:rsid w:val="005E6BA0"/>
    <w:rsid w:val="005E6DF0"/>
    <w:rsid w:val="005E6F64"/>
    <w:rsid w:val="005E7380"/>
    <w:rsid w:val="005E7AEC"/>
    <w:rsid w:val="005F00AC"/>
    <w:rsid w:val="005F0498"/>
    <w:rsid w:val="005F0EF1"/>
    <w:rsid w:val="005F12CC"/>
    <w:rsid w:val="005F1735"/>
    <w:rsid w:val="005F1767"/>
    <w:rsid w:val="005F1917"/>
    <w:rsid w:val="005F196B"/>
    <w:rsid w:val="005F1A6F"/>
    <w:rsid w:val="005F1AE4"/>
    <w:rsid w:val="005F1C8D"/>
    <w:rsid w:val="005F2D70"/>
    <w:rsid w:val="005F2FAE"/>
    <w:rsid w:val="005F364F"/>
    <w:rsid w:val="005F3A25"/>
    <w:rsid w:val="005F3E19"/>
    <w:rsid w:val="005F44FB"/>
    <w:rsid w:val="005F4843"/>
    <w:rsid w:val="005F5A9C"/>
    <w:rsid w:val="005F621C"/>
    <w:rsid w:val="005F6462"/>
    <w:rsid w:val="005F6A6B"/>
    <w:rsid w:val="005F70A6"/>
    <w:rsid w:val="005F718C"/>
    <w:rsid w:val="005F77FD"/>
    <w:rsid w:val="005F78F8"/>
    <w:rsid w:val="005F79F1"/>
    <w:rsid w:val="005F7AFB"/>
    <w:rsid w:val="005F7F44"/>
    <w:rsid w:val="00600345"/>
    <w:rsid w:val="00600B51"/>
    <w:rsid w:val="00601209"/>
    <w:rsid w:val="00601566"/>
    <w:rsid w:val="00601993"/>
    <w:rsid w:val="00601C24"/>
    <w:rsid w:val="00601C31"/>
    <w:rsid w:val="006023A5"/>
    <w:rsid w:val="00602701"/>
    <w:rsid w:val="00602D65"/>
    <w:rsid w:val="00602F6A"/>
    <w:rsid w:val="006031E4"/>
    <w:rsid w:val="00603276"/>
    <w:rsid w:val="00603384"/>
    <w:rsid w:val="00603535"/>
    <w:rsid w:val="00603BFE"/>
    <w:rsid w:val="006041B4"/>
    <w:rsid w:val="00604257"/>
    <w:rsid w:val="006048C1"/>
    <w:rsid w:val="00604B09"/>
    <w:rsid w:val="00605350"/>
    <w:rsid w:val="006055E2"/>
    <w:rsid w:val="006059F9"/>
    <w:rsid w:val="00605A8D"/>
    <w:rsid w:val="00606110"/>
    <w:rsid w:val="006063BA"/>
    <w:rsid w:val="00606F86"/>
    <w:rsid w:val="00606FE0"/>
    <w:rsid w:val="00607B45"/>
    <w:rsid w:val="00607BC0"/>
    <w:rsid w:val="00607E6E"/>
    <w:rsid w:val="0061096B"/>
    <w:rsid w:val="00610A88"/>
    <w:rsid w:val="00610ABF"/>
    <w:rsid w:val="00610B25"/>
    <w:rsid w:val="00610C15"/>
    <w:rsid w:val="00610D1E"/>
    <w:rsid w:val="00611D10"/>
    <w:rsid w:val="0061253D"/>
    <w:rsid w:val="006125C9"/>
    <w:rsid w:val="006126DA"/>
    <w:rsid w:val="006127EC"/>
    <w:rsid w:val="00612A9B"/>
    <w:rsid w:val="00613314"/>
    <w:rsid w:val="006143E9"/>
    <w:rsid w:val="0061476C"/>
    <w:rsid w:val="00614954"/>
    <w:rsid w:val="00614E86"/>
    <w:rsid w:val="00615318"/>
    <w:rsid w:val="006158EF"/>
    <w:rsid w:val="00615EE2"/>
    <w:rsid w:val="00615F05"/>
    <w:rsid w:val="0061642F"/>
    <w:rsid w:val="00616452"/>
    <w:rsid w:val="00616568"/>
    <w:rsid w:val="006165C3"/>
    <w:rsid w:val="0061680A"/>
    <w:rsid w:val="0061682D"/>
    <w:rsid w:val="0061683C"/>
    <w:rsid w:val="00616E68"/>
    <w:rsid w:val="00616EF6"/>
    <w:rsid w:val="006171DF"/>
    <w:rsid w:val="006175B3"/>
    <w:rsid w:val="0061765B"/>
    <w:rsid w:val="006178AC"/>
    <w:rsid w:val="00617B2A"/>
    <w:rsid w:val="00617DF6"/>
    <w:rsid w:val="00617E69"/>
    <w:rsid w:val="00617E85"/>
    <w:rsid w:val="006208D1"/>
    <w:rsid w:val="00620906"/>
    <w:rsid w:val="00620A15"/>
    <w:rsid w:val="00620C7F"/>
    <w:rsid w:val="006210E5"/>
    <w:rsid w:val="0062120C"/>
    <w:rsid w:val="00621870"/>
    <w:rsid w:val="006219C7"/>
    <w:rsid w:val="00621B18"/>
    <w:rsid w:val="00621FF1"/>
    <w:rsid w:val="006223AD"/>
    <w:rsid w:val="00622A33"/>
    <w:rsid w:val="00622ED9"/>
    <w:rsid w:val="00623026"/>
    <w:rsid w:val="00623C41"/>
    <w:rsid w:val="00623E12"/>
    <w:rsid w:val="00624297"/>
    <w:rsid w:val="006246E6"/>
    <w:rsid w:val="0062477A"/>
    <w:rsid w:val="00624E04"/>
    <w:rsid w:val="00624F67"/>
    <w:rsid w:val="006256C1"/>
    <w:rsid w:val="00625B80"/>
    <w:rsid w:val="00625DE2"/>
    <w:rsid w:val="00625F79"/>
    <w:rsid w:val="0062622D"/>
    <w:rsid w:val="006263ED"/>
    <w:rsid w:val="006269F4"/>
    <w:rsid w:val="0062724B"/>
    <w:rsid w:val="006278E7"/>
    <w:rsid w:val="00627A56"/>
    <w:rsid w:val="00630298"/>
    <w:rsid w:val="00630DFB"/>
    <w:rsid w:val="00631001"/>
    <w:rsid w:val="0063148E"/>
    <w:rsid w:val="00631867"/>
    <w:rsid w:val="00631B25"/>
    <w:rsid w:val="00631B63"/>
    <w:rsid w:val="00631FE6"/>
    <w:rsid w:val="006322FD"/>
    <w:rsid w:val="0063253C"/>
    <w:rsid w:val="0063287A"/>
    <w:rsid w:val="00632896"/>
    <w:rsid w:val="00633151"/>
    <w:rsid w:val="00633701"/>
    <w:rsid w:val="00633815"/>
    <w:rsid w:val="0063457E"/>
    <w:rsid w:val="006347E4"/>
    <w:rsid w:val="00634816"/>
    <w:rsid w:val="00634C96"/>
    <w:rsid w:val="00634EB0"/>
    <w:rsid w:val="00634FAD"/>
    <w:rsid w:val="00634FE1"/>
    <w:rsid w:val="006354E4"/>
    <w:rsid w:val="0063557A"/>
    <w:rsid w:val="00635E28"/>
    <w:rsid w:val="0063697B"/>
    <w:rsid w:val="006372CF"/>
    <w:rsid w:val="006379CE"/>
    <w:rsid w:val="00637BF7"/>
    <w:rsid w:val="0064013B"/>
    <w:rsid w:val="006405E6"/>
    <w:rsid w:val="006409FB"/>
    <w:rsid w:val="00640A03"/>
    <w:rsid w:val="00640CB4"/>
    <w:rsid w:val="00640D7E"/>
    <w:rsid w:val="00641226"/>
    <w:rsid w:val="0064197C"/>
    <w:rsid w:val="00641E83"/>
    <w:rsid w:val="0064206D"/>
    <w:rsid w:val="00642278"/>
    <w:rsid w:val="0064349A"/>
    <w:rsid w:val="006438CE"/>
    <w:rsid w:val="00644361"/>
    <w:rsid w:val="0064455A"/>
    <w:rsid w:val="00644E48"/>
    <w:rsid w:val="006450B4"/>
    <w:rsid w:val="006452B3"/>
    <w:rsid w:val="006452C1"/>
    <w:rsid w:val="00645418"/>
    <w:rsid w:val="00645717"/>
    <w:rsid w:val="006457F4"/>
    <w:rsid w:val="00645885"/>
    <w:rsid w:val="00645C1B"/>
    <w:rsid w:val="00645CD7"/>
    <w:rsid w:val="00645D8C"/>
    <w:rsid w:val="00646483"/>
    <w:rsid w:val="00646AAD"/>
    <w:rsid w:val="00646E8A"/>
    <w:rsid w:val="00647285"/>
    <w:rsid w:val="0064770E"/>
    <w:rsid w:val="006477FA"/>
    <w:rsid w:val="00647862"/>
    <w:rsid w:val="00647924"/>
    <w:rsid w:val="00650343"/>
    <w:rsid w:val="00650847"/>
    <w:rsid w:val="00651085"/>
    <w:rsid w:val="006511CD"/>
    <w:rsid w:val="006514CB"/>
    <w:rsid w:val="00651D90"/>
    <w:rsid w:val="00651E19"/>
    <w:rsid w:val="006520CC"/>
    <w:rsid w:val="006521C8"/>
    <w:rsid w:val="00652634"/>
    <w:rsid w:val="00652DA7"/>
    <w:rsid w:val="00652E41"/>
    <w:rsid w:val="00653CC8"/>
    <w:rsid w:val="006542EE"/>
    <w:rsid w:val="00654540"/>
    <w:rsid w:val="006549C8"/>
    <w:rsid w:val="00655487"/>
    <w:rsid w:val="00655B5F"/>
    <w:rsid w:val="00655E1A"/>
    <w:rsid w:val="0065612B"/>
    <w:rsid w:val="006569A2"/>
    <w:rsid w:val="006569C8"/>
    <w:rsid w:val="00656D53"/>
    <w:rsid w:val="00657402"/>
    <w:rsid w:val="0066005B"/>
    <w:rsid w:val="00660190"/>
    <w:rsid w:val="00660A29"/>
    <w:rsid w:val="006613A1"/>
    <w:rsid w:val="00661BC3"/>
    <w:rsid w:val="00662643"/>
    <w:rsid w:val="00662700"/>
    <w:rsid w:val="00662DFF"/>
    <w:rsid w:val="00662EB4"/>
    <w:rsid w:val="006632F2"/>
    <w:rsid w:val="0066389C"/>
    <w:rsid w:val="00663971"/>
    <w:rsid w:val="0066442E"/>
    <w:rsid w:val="00664554"/>
    <w:rsid w:val="00664971"/>
    <w:rsid w:val="00664D74"/>
    <w:rsid w:val="00665017"/>
    <w:rsid w:val="00665C62"/>
    <w:rsid w:val="00666422"/>
    <w:rsid w:val="00666738"/>
    <w:rsid w:val="006667DD"/>
    <w:rsid w:val="00666F49"/>
    <w:rsid w:val="00666F90"/>
    <w:rsid w:val="006673B8"/>
    <w:rsid w:val="006674F2"/>
    <w:rsid w:val="006676D9"/>
    <w:rsid w:val="00667C6F"/>
    <w:rsid w:val="00667CA0"/>
    <w:rsid w:val="00670391"/>
    <w:rsid w:val="00670A8C"/>
    <w:rsid w:val="006710D7"/>
    <w:rsid w:val="00671E33"/>
    <w:rsid w:val="0067261A"/>
    <w:rsid w:val="006726AF"/>
    <w:rsid w:val="0067271C"/>
    <w:rsid w:val="00672BE3"/>
    <w:rsid w:val="006732E2"/>
    <w:rsid w:val="006738F7"/>
    <w:rsid w:val="00673B00"/>
    <w:rsid w:val="00673BBA"/>
    <w:rsid w:val="00673C8A"/>
    <w:rsid w:val="0067442E"/>
    <w:rsid w:val="006747C6"/>
    <w:rsid w:val="00674A57"/>
    <w:rsid w:val="00674BE0"/>
    <w:rsid w:val="00675136"/>
    <w:rsid w:val="00675777"/>
    <w:rsid w:val="0067621A"/>
    <w:rsid w:val="00676768"/>
    <w:rsid w:val="006767BA"/>
    <w:rsid w:val="0067763A"/>
    <w:rsid w:val="0067786C"/>
    <w:rsid w:val="006778C5"/>
    <w:rsid w:val="00677BFC"/>
    <w:rsid w:val="0068031A"/>
    <w:rsid w:val="0068059F"/>
    <w:rsid w:val="0068064D"/>
    <w:rsid w:val="0068072E"/>
    <w:rsid w:val="00680A0A"/>
    <w:rsid w:val="00680FC1"/>
    <w:rsid w:val="0068102E"/>
    <w:rsid w:val="006817A3"/>
    <w:rsid w:val="0068189D"/>
    <w:rsid w:val="006818AC"/>
    <w:rsid w:val="00681A3A"/>
    <w:rsid w:val="00681A48"/>
    <w:rsid w:val="00681B72"/>
    <w:rsid w:val="006820C2"/>
    <w:rsid w:val="00682841"/>
    <w:rsid w:val="00682CC0"/>
    <w:rsid w:val="00682CC7"/>
    <w:rsid w:val="006838D5"/>
    <w:rsid w:val="00684115"/>
    <w:rsid w:val="0068426F"/>
    <w:rsid w:val="006844B6"/>
    <w:rsid w:val="00685793"/>
    <w:rsid w:val="0068597B"/>
    <w:rsid w:val="00685DFC"/>
    <w:rsid w:val="006862A2"/>
    <w:rsid w:val="00686488"/>
    <w:rsid w:val="00686871"/>
    <w:rsid w:val="00687B63"/>
    <w:rsid w:val="00687C70"/>
    <w:rsid w:val="00687FF5"/>
    <w:rsid w:val="006902F9"/>
    <w:rsid w:val="006906E7"/>
    <w:rsid w:val="00690710"/>
    <w:rsid w:val="00690735"/>
    <w:rsid w:val="00690B08"/>
    <w:rsid w:val="00690D94"/>
    <w:rsid w:val="0069113E"/>
    <w:rsid w:val="00691297"/>
    <w:rsid w:val="0069146F"/>
    <w:rsid w:val="0069177F"/>
    <w:rsid w:val="00691A98"/>
    <w:rsid w:val="00691F7F"/>
    <w:rsid w:val="00691FE3"/>
    <w:rsid w:val="006921A1"/>
    <w:rsid w:val="00692859"/>
    <w:rsid w:val="006929DF"/>
    <w:rsid w:val="00692E58"/>
    <w:rsid w:val="006939D0"/>
    <w:rsid w:val="0069404D"/>
    <w:rsid w:val="006941A0"/>
    <w:rsid w:val="00694631"/>
    <w:rsid w:val="00694701"/>
    <w:rsid w:val="0069480A"/>
    <w:rsid w:val="006948E0"/>
    <w:rsid w:val="0069494A"/>
    <w:rsid w:val="0069548E"/>
    <w:rsid w:val="00695724"/>
    <w:rsid w:val="00695DA2"/>
    <w:rsid w:val="006961BF"/>
    <w:rsid w:val="00696950"/>
    <w:rsid w:val="00696CBC"/>
    <w:rsid w:val="00697286"/>
    <w:rsid w:val="00697302"/>
    <w:rsid w:val="00697430"/>
    <w:rsid w:val="00697798"/>
    <w:rsid w:val="006A06E9"/>
    <w:rsid w:val="006A0F05"/>
    <w:rsid w:val="006A10F0"/>
    <w:rsid w:val="006A1885"/>
    <w:rsid w:val="006A1B71"/>
    <w:rsid w:val="006A1C5E"/>
    <w:rsid w:val="006A1EC2"/>
    <w:rsid w:val="006A1F9A"/>
    <w:rsid w:val="006A2519"/>
    <w:rsid w:val="006A2555"/>
    <w:rsid w:val="006A2617"/>
    <w:rsid w:val="006A2724"/>
    <w:rsid w:val="006A2CD6"/>
    <w:rsid w:val="006A34B5"/>
    <w:rsid w:val="006A3DC6"/>
    <w:rsid w:val="006A4122"/>
    <w:rsid w:val="006A519F"/>
    <w:rsid w:val="006A54D3"/>
    <w:rsid w:val="006A5B29"/>
    <w:rsid w:val="006A5C65"/>
    <w:rsid w:val="006A6CE9"/>
    <w:rsid w:val="006A76C9"/>
    <w:rsid w:val="006A797E"/>
    <w:rsid w:val="006B000B"/>
    <w:rsid w:val="006B0096"/>
    <w:rsid w:val="006B021B"/>
    <w:rsid w:val="006B0395"/>
    <w:rsid w:val="006B04D6"/>
    <w:rsid w:val="006B0535"/>
    <w:rsid w:val="006B0758"/>
    <w:rsid w:val="006B090E"/>
    <w:rsid w:val="006B09F5"/>
    <w:rsid w:val="006B0A4D"/>
    <w:rsid w:val="006B0F37"/>
    <w:rsid w:val="006B1AD3"/>
    <w:rsid w:val="006B236C"/>
    <w:rsid w:val="006B26FA"/>
    <w:rsid w:val="006B276B"/>
    <w:rsid w:val="006B2C49"/>
    <w:rsid w:val="006B2D10"/>
    <w:rsid w:val="006B2E4C"/>
    <w:rsid w:val="006B32C5"/>
    <w:rsid w:val="006B3616"/>
    <w:rsid w:val="006B3C04"/>
    <w:rsid w:val="006B4837"/>
    <w:rsid w:val="006B4C72"/>
    <w:rsid w:val="006B5D96"/>
    <w:rsid w:val="006B6AAE"/>
    <w:rsid w:val="006B6D09"/>
    <w:rsid w:val="006B6EFA"/>
    <w:rsid w:val="006B6FF2"/>
    <w:rsid w:val="006B70BE"/>
    <w:rsid w:val="006B792B"/>
    <w:rsid w:val="006B79E7"/>
    <w:rsid w:val="006B7DDA"/>
    <w:rsid w:val="006B7E09"/>
    <w:rsid w:val="006C018A"/>
    <w:rsid w:val="006C0245"/>
    <w:rsid w:val="006C086E"/>
    <w:rsid w:val="006C0BE9"/>
    <w:rsid w:val="006C0BF9"/>
    <w:rsid w:val="006C12DA"/>
    <w:rsid w:val="006C13FA"/>
    <w:rsid w:val="006C187B"/>
    <w:rsid w:val="006C19C6"/>
    <w:rsid w:val="006C1BD1"/>
    <w:rsid w:val="006C1C4B"/>
    <w:rsid w:val="006C1CAE"/>
    <w:rsid w:val="006C1E31"/>
    <w:rsid w:val="006C2139"/>
    <w:rsid w:val="006C275D"/>
    <w:rsid w:val="006C27C0"/>
    <w:rsid w:val="006C2C6D"/>
    <w:rsid w:val="006C2FC8"/>
    <w:rsid w:val="006C3349"/>
    <w:rsid w:val="006C36B4"/>
    <w:rsid w:val="006C41EF"/>
    <w:rsid w:val="006C4682"/>
    <w:rsid w:val="006C4FA5"/>
    <w:rsid w:val="006C4FF6"/>
    <w:rsid w:val="006C548E"/>
    <w:rsid w:val="006C55C1"/>
    <w:rsid w:val="006C5E53"/>
    <w:rsid w:val="006C61FD"/>
    <w:rsid w:val="006C656E"/>
    <w:rsid w:val="006C6A1F"/>
    <w:rsid w:val="006C6B55"/>
    <w:rsid w:val="006C6DC1"/>
    <w:rsid w:val="006C6FCC"/>
    <w:rsid w:val="006C7C35"/>
    <w:rsid w:val="006D00B3"/>
    <w:rsid w:val="006D0B1F"/>
    <w:rsid w:val="006D0C2B"/>
    <w:rsid w:val="006D0D9D"/>
    <w:rsid w:val="006D1257"/>
    <w:rsid w:val="006D186D"/>
    <w:rsid w:val="006D1A92"/>
    <w:rsid w:val="006D1EDF"/>
    <w:rsid w:val="006D27B6"/>
    <w:rsid w:val="006D2FB9"/>
    <w:rsid w:val="006D3168"/>
    <w:rsid w:val="006D344E"/>
    <w:rsid w:val="006D3768"/>
    <w:rsid w:val="006D3A6A"/>
    <w:rsid w:val="006D3CF8"/>
    <w:rsid w:val="006D402B"/>
    <w:rsid w:val="006D44A9"/>
    <w:rsid w:val="006D4656"/>
    <w:rsid w:val="006D4AA9"/>
    <w:rsid w:val="006D4B14"/>
    <w:rsid w:val="006D51E7"/>
    <w:rsid w:val="006D575B"/>
    <w:rsid w:val="006D5772"/>
    <w:rsid w:val="006D5A1F"/>
    <w:rsid w:val="006D627C"/>
    <w:rsid w:val="006D6762"/>
    <w:rsid w:val="006D7150"/>
    <w:rsid w:val="006D7169"/>
    <w:rsid w:val="006D7EA3"/>
    <w:rsid w:val="006E00E7"/>
    <w:rsid w:val="006E00FB"/>
    <w:rsid w:val="006E0254"/>
    <w:rsid w:val="006E02F8"/>
    <w:rsid w:val="006E083D"/>
    <w:rsid w:val="006E0B24"/>
    <w:rsid w:val="006E0DF4"/>
    <w:rsid w:val="006E171F"/>
    <w:rsid w:val="006E1881"/>
    <w:rsid w:val="006E1D8A"/>
    <w:rsid w:val="006E1DE7"/>
    <w:rsid w:val="006E2162"/>
    <w:rsid w:val="006E2392"/>
    <w:rsid w:val="006E26BE"/>
    <w:rsid w:val="006E2787"/>
    <w:rsid w:val="006E2A45"/>
    <w:rsid w:val="006E2A5B"/>
    <w:rsid w:val="006E3126"/>
    <w:rsid w:val="006E33EB"/>
    <w:rsid w:val="006E3F2B"/>
    <w:rsid w:val="006E41CD"/>
    <w:rsid w:val="006E4BA3"/>
    <w:rsid w:val="006E5150"/>
    <w:rsid w:val="006E5966"/>
    <w:rsid w:val="006E5ADD"/>
    <w:rsid w:val="006E6082"/>
    <w:rsid w:val="006E60CF"/>
    <w:rsid w:val="006E6555"/>
    <w:rsid w:val="006E677A"/>
    <w:rsid w:val="006E6CC4"/>
    <w:rsid w:val="006E6D6B"/>
    <w:rsid w:val="006E7349"/>
    <w:rsid w:val="006E78A4"/>
    <w:rsid w:val="006E7BA1"/>
    <w:rsid w:val="006E7BC7"/>
    <w:rsid w:val="006E7ED1"/>
    <w:rsid w:val="006E7F67"/>
    <w:rsid w:val="006F0583"/>
    <w:rsid w:val="006F070C"/>
    <w:rsid w:val="006F09C9"/>
    <w:rsid w:val="006F09DB"/>
    <w:rsid w:val="006F0C09"/>
    <w:rsid w:val="006F0CCF"/>
    <w:rsid w:val="006F116E"/>
    <w:rsid w:val="006F11C1"/>
    <w:rsid w:val="006F15A9"/>
    <w:rsid w:val="006F2094"/>
    <w:rsid w:val="006F2785"/>
    <w:rsid w:val="006F290E"/>
    <w:rsid w:val="006F330D"/>
    <w:rsid w:val="006F3442"/>
    <w:rsid w:val="006F3994"/>
    <w:rsid w:val="006F3E6B"/>
    <w:rsid w:val="006F3FFE"/>
    <w:rsid w:val="006F44EE"/>
    <w:rsid w:val="006F4617"/>
    <w:rsid w:val="006F46DE"/>
    <w:rsid w:val="006F4806"/>
    <w:rsid w:val="006F4AC6"/>
    <w:rsid w:val="006F4B51"/>
    <w:rsid w:val="006F52BE"/>
    <w:rsid w:val="006F530A"/>
    <w:rsid w:val="006F533C"/>
    <w:rsid w:val="006F56B6"/>
    <w:rsid w:val="006F57CA"/>
    <w:rsid w:val="006F5BE7"/>
    <w:rsid w:val="006F5DE8"/>
    <w:rsid w:val="006F63F2"/>
    <w:rsid w:val="006F699E"/>
    <w:rsid w:val="006F6AFA"/>
    <w:rsid w:val="006F6FA4"/>
    <w:rsid w:val="006F735D"/>
    <w:rsid w:val="006F7682"/>
    <w:rsid w:val="0070019C"/>
    <w:rsid w:val="00700525"/>
    <w:rsid w:val="00700738"/>
    <w:rsid w:val="00700A7B"/>
    <w:rsid w:val="007010C1"/>
    <w:rsid w:val="007010F7"/>
    <w:rsid w:val="0070148A"/>
    <w:rsid w:val="00701985"/>
    <w:rsid w:val="00701DFB"/>
    <w:rsid w:val="0070219F"/>
    <w:rsid w:val="00702383"/>
    <w:rsid w:val="0070239D"/>
    <w:rsid w:val="00702642"/>
    <w:rsid w:val="007031E6"/>
    <w:rsid w:val="00703A37"/>
    <w:rsid w:val="00704453"/>
    <w:rsid w:val="007047A1"/>
    <w:rsid w:val="00704D4E"/>
    <w:rsid w:val="00704E5F"/>
    <w:rsid w:val="0070597E"/>
    <w:rsid w:val="00705B48"/>
    <w:rsid w:val="00705C83"/>
    <w:rsid w:val="00705F2E"/>
    <w:rsid w:val="00706946"/>
    <w:rsid w:val="00706A83"/>
    <w:rsid w:val="00707441"/>
    <w:rsid w:val="0070781B"/>
    <w:rsid w:val="00707852"/>
    <w:rsid w:val="00707E5B"/>
    <w:rsid w:val="0071066F"/>
    <w:rsid w:val="007109E6"/>
    <w:rsid w:val="00710C81"/>
    <w:rsid w:val="00710CC6"/>
    <w:rsid w:val="00710F88"/>
    <w:rsid w:val="0071125B"/>
    <w:rsid w:val="00711403"/>
    <w:rsid w:val="00711453"/>
    <w:rsid w:val="007116B0"/>
    <w:rsid w:val="00711D4B"/>
    <w:rsid w:val="00711FF3"/>
    <w:rsid w:val="0071255F"/>
    <w:rsid w:val="007125B3"/>
    <w:rsid w:val="00712D6E"/>
    <w:rsid w:val="00712D83"/>
    <w:rsid w:val="00713666"/>
    <w:rsid w:val="00713873"/>
    <w:rsid w:val="00713985"/>
    <w:rsid w:val="00713F36"/>
    <w:rsid w:val="00714740"/>
    <w:rsid w:val="0071474D"/>
    <w:rsid w:val="0071475A"/>
    <w:rsid w:val="007147AF"/>
    <w:rsid w:val="0071488F"/>
    <w:rsid w:val="007149E5"/>
    <w:rsid w:val="00714D4A"/>
    <w:rsid w:val="00715A89"/>
    <w:rsid w:val="00716024"/>
    <w:rsid w:val="00716052"/>
    <w:rsid w:val="00716A90"/>
    <w:rsid w:val="00716BCD"/>
    <w:rsid w:val="0071780B"/>
    <w:rsid w:val="00720146"/>
    <w:rsid w:val="0072014D"/>
    <w:rsid w:val="00720477"/>
    <w:rsid w:val="00720AFA"/>
    <w:rsid w:val="00721241"/>
    <w:rsid w:val="0072141B"/>
    <w:rsid w:val="00721DA4"/>
    <w:rsid w:val="00722120"/>
    <w:rsid w:val="00722BBE"/>
    <w:rsid w:val="00722DE9"/>
    <w:rsid w:val="00722E66"/>
    <w:rsid w:val="007233BA"/>
    <w:rsid w:val="00723B7B"/>
    <w:rsid w:val="007246D3"/>
    <w:rsid w:val="00724DF5"/>
    <w:rsid w:val="00724EF7"/>
    <w:rsid w:val="00725995"/>
    <w:rsid w:val="00725F5D"/>
    <w:rsid w:val="0072613B"/>
    <w:rsid w:val="0072613C"/>
    <w:rsid w:val="00726561"/>
    <w:rsid w:val="00727194"/>
    <w:rsid w:val="007276B4"/>
    <w:rsid w:val="007278A8"/>
    <w:rsid w:val="00727976"/>
    <w:rsid w:val="00727A68"/>
    <w:rsid w:val="00727D2B"/>
    <w:rsid w:val="007303AA"/>
    <w:rsid w:val="00730A2F"/>
    <w:rsid w:val="00730A72"/>
    <w:rsid w:val="00730C61"/>
    <w:rsid w:val="00731A23"/>
    <w:rsid w:val="00731A6C"/>
    <w:rsid w:val="007320C4"/>
    <w:rsid w:val="007332AE"/>
    <w:rsid w:val="007332B1"/>
    <w:rsid w:val="00733720"/>
    <w:rsid w:val="00734343"/>
    <w:rsid w:val="00734624"/>
    <w:rsid w:val="007353D8"/>
    <w:rsid w:val="00735A3D"/>
    <w:rsid w:val="007363D1"/>
    <w:rsid w:val="007363DE"/>
    <w:rsid w:val="0073657D"/>
    <w:rsid w:val="007368C6"/>
    <w:rsid w:val="00736912"/>
    <w:rsid w:val="00736917"/>
    <w:rsid w:val="00736CFB"/>
    <w:rsid w:val="00736F2A"/>
    <w:rsid w:val="00736FA6"/>
    <w:rsid w:val="0073726D"/>
    <w:rsid w:val="007376B2"/>
    <w:rsid w:val="007378A8"/>
    <w:rsid w:val="00737E95"/>
    <w:rsid w:val="0074056B"/>
    <w:rsid w:val="0074094A"/>
    <w:rsid w:val="00740D23"/>
    <w:rsid w:val="00741528"/>
    <w:rsid w:val="007416D8"/>
    <w:rsid w:val="007426B2"/>
    <w:rsid w:val="00742F5C"/>
    <w:rsid w:val="00743837"/>
    <w:rsid w:val="0074392B"/>
    <w:rsid w:val="00743A4F"/>
    <w:rsid w:val="00743D86"/>
    <w:rsid w:val="00744111"/>
    <w:rsid w:val="0074516E"/>
    <w:rsid w:val="007452D5"/>
    <w:rsid w:val="007464A5"/>
    <w:rsid w:val="0074656D"/>
    <w:rsid w:val="00746CBF"/>
    <w:rsid w:val="007470C4"/>
    <w:rsid w:val="007470FB"/>
    <w:rsid w:val="007478E2"/>
    <w:rsid w:val="007479C5"/>
    <w:rsid w:val="00747D89"/>
    <w:rsid w:val="00747E04"/>
    <w:rsid w:val="007502A8"/>
    <w:rsid w:val="0075032C"/>
    <w:rsid w:val="0075035C"/>
    <w:rsid w:val="00750D71"/>
    <w:rsid w:val="00750E11"/>
    <w:rsid w:val="00751CA4"/>
    <w:rsid w:val="00751E2D"/>
    <w:rsid w:val="00751E64"/>
    <w:rsid w:val="00752022"/>
    <w:rsid w:val="00752265"/>
    <w:rsid w:val="0075229E"/>
    <w:rsid w:val="00752C92"/>
    <w:rsid w:val="00752CD9"/>
    <w:rsid w:val="00753A8D"/>
    <w:rsid w:val="00753AD9"/>
    <w:rsid w:val="00753C14"/>
    <w:rsid w:val="00753C7D"/>
    <w:rsid w:val="00753CDC"/>
    <w:rsid w:val="00754026"/>
    <w:rsid w:val="00754A8C"/>
    <w:rsid w:val="00754F0E"/>
    <w:rsid w:val="00755523"/>
    <w:rsid w:val="00755A82"/>
    <w:rsid w:val="00755B85"/>
    <w:rsid w:val="00755DDB"/>
    <w:rsid w:val="00755DE5"/>
    <w:rsid w:val="00755F56"/>
    <w:rsid w:val="007564CD"/>
    <w:rsid w:val="007572C8"/>
    <w:rsid w:val="0075776D"/>
    <w:rsid w:val="00757A37"/>
    <w:rsid w:val="007606F6"/>
    <w:rsid w:val="00760FBB"/>
    <w:rsid w:val="0076125F"/>
    <w:rsid w:val="00761879"/>
    <w:rsid w:val="00761B96"/>
    <w:rsid w:val="00762469"/>
    <w:rsid w:val="007624F4"/>
    <w:rsid w:val="00762E5A"/>
    <w:rsid w:val="00762EF6"/>
    <w:rsid w:val="00763008"/>
    <w:rsid w:val="00763190"/>
    <w:rsid w:val="00763C75"/>
    <w:rsid w:val="00763D32"/>
    <w:rsid w:val="00763FE6"/>
    <w:rsid w:val="007645CB"/>
    <w:rsid w:val="00764EBA"/>
    <w:rsid w:val="00765158"/>
    <w:rsid w:val="007651CF"/>
    <w:rsid w:val="0076549F"/>
    <w:rsid w:val="00765847"/>
    <w:rsid w:val="00765AC3"/>
    <w:rsid w:val="00765B84"/>
    <w:rsid w:val="007660C5"/>
    <w:rsid w:val="007667F7"/>
    <w:rsid w:val="007668EC"/>
    <w:rsid w:val="00766D9F"/>
    <w:rsid w:val="007670EB"/>
    <w:rsid w:val="00767142"/>
    <w:rsid w:val="007671C3"/>
    <w:rsid w:val="00767597"/>
    <w:rsid w:val="00767E87"/>
    <w:rsid w:val="00770004"/>
    <w:rsid w:val="00770022"/>
    <w:rsid w:val="0077070A"/>
    <w:rsid w:val="00770D76"/>
    <w:rsid w:val="00770DFC"/>
    <w:rsid w:val="00770FD5"/>
    <w:rsid w:val="007712AD"/>
    <w:rsid w:val="0077198E"/>
    <w:rsid w:val="00771B39"/>
    <w:rsid w:val="00772B19"/>
    <w:rsid w:val="00772E54"/>
    <w:rsid w:val="00772F14"/>
    <w:rsid w:val="007732A5"/>
    <w:rsid w:val="0077348D"/>
    <w:rsid w:val="00773731"/>
    <w:rsid w:val="00773811"/>
    <w:rsid w:val="00773A0E"/>
    <w:rsid w:val="00773A43"/>
    <w:rsid w:val="00773ECF"/>
    <w:rsid w:val="00774540"/>
    <w:rsid w:val="00774641"/>
    <w:rsid w:val="00774DF9"/>
    <w:rsid w:val="00774E51"/>
    <w:rsid w:val="0077576A"/>
    <w:rsid w:val="00775BBF"/>
    <w:rsid w:val="00775D88"/>
    <w:rsid w:val="00775FD1"/>
    <w:rsid w:val="0077758B"/>
    <w:rsid w:val="00777942"/>
    <w:rsid w:val="00777A3F"/>
    <w:rsid w:val="00777D98"/>
    <w:rsid w:val="00780421"/>
    <w:rsid w:val="0078084C"/>
    <w:rsid w:val="00780D10"/>
    <w:rsid w:val="007810E6"/>
    <w:rsid w:val="0078117C"/>
    <w:rsid w:val="0078272F"/>
    <w:rsid w:val="007827DF"/>
    <w:rsid w:val="007828AE"/>
    <w:rsid w:val="00782B43"/>
    <w:rsid w:val="00782EAC"/>
    <w:rsid w:val="0078348C"/>
    <w:rsid w:val="00783565"/>
    <w:rsid w:val="00783781"/>
    <w:rsid w:val="0078596D"/>
    <w:rsid w:val="0078616B"/>
    <w:rsid w:val="00786308"/>
    <w:rsid w:val="007863F0"/>
    <w:rsid w:val="007863FC"/>
    <w:rsid w:val="007867A4"/>
    <w:rsid w:val="00786FD1"/>
    <w:rsid w:val="0078738F"/>
    <w:rsid w:val="00787428"/>
    <w:rsid w:val="007875EE"/>
    <w:rsid w:val="00787A72"/>
    <w:rsid w:val="00787B75"/>
    <w:rsid w:val="00787E76"/>
    <w:rsid w:val="007900DB"/>
    <w:rsid w:val="00790314"/>
    <w:rsid w:val="00790BB5"/>
    <w:rsid w:val="00790E63"/>
    <w:rsid w:val="007912E6"/>
    <w:rsid w:val="0079166B"/>
    <w:rsid w:val="00792450"/>
    <w:rsid w:val="0079248B"/>
    <w:rsid w:val="00792C03"/>
    <w:rsid w:val="00792D72"/>
    <w:rsid w:val="00793537"/>
    <w:rsid w:val="0079382F"/>
    <w:rsid w:val="0079393B"/>
    <w:rsid w:val="00793945"/>
    <w:rsid w:val="00793A8E"/>
    <w:rsid w:val="00793B78"/>
    <w:rsid w:val="007940FA"/>
    <w:rsid w:val="007943D2"/>
    <w:rsid w:val="00794501"/>
    <w:rsid w:val="00794F97"/>
    <w:rsid w:val="007957CE"/>
    <w:rsid w:val="00795940"/>
    <w:rsid w:val="00795B77"/>
    <w:rsid w:val="00795F60"/>
    <w:rsid w:val="0079615B"/>
    <w:rsid w:val="0079642E"/>
    <w:rsid w:val="00796693"/>
    <w:rsid w:val="00796F90"/>
    <w:rsid w:val="007970C7"/>
    <w:rsid w:val="00797472"/>
    <w:rsid w:val="00797563"/>
    <w:rsid w:val="0079785D"/>
    <w:rsid w:val="007A1232"/>
    <w:rsid w:val="007A131D"/>
    <w:rsid w:val="007A143D"/>
    <w:rsid w:val="007A1457"/>
    <w:rsid w:val="007A145A"/>
    <w:rsid w:val="007A2101"/>
    <w:rsid w:val="007A2541"/>
    <w:rsid w:val="007A278B"/>
    <w:rsid w:val="007A27C4"/>
    <w:rsid w:val="007A2C1C"/>
    <w:rsid w:val="007A3135"/>
    <w:rsid w:val="007A3563"/>
    <w:rsid w:val="007A3575"/>
    <w:rsid w:val="007A37A1"/>
    <w:rsid w:val="007A3D94"/>
    <w:rsid w:val="007A3F24"/>
    <w:rsid w:val="007A4188"/>
    <w:rsid w:val="007A43BA"/>
    <w:rsid w:val="007A49BB"/>
    <w:rsid w:val="007A4FCF"/>
    <w:rsid w:val="007A501F"/>
    <w:rsid w:val="007A5110"/>
    <w:rsid w:val="007A5779"/>
    <w:rsid w:val="007A5A7D"/>
    <w:rsid w:val="007A6A0A"/>
    <w:rsid w:val="007A6AC6"/>
    <w:rsid w:val="007A7575"/>
    <w:rsid w:val="007A7611"/>
    <w:rsid w:val="007A7766"/>
    <w:rsid w:val="007A7821"/>
    <w:rsid w:val="007A7DCB"/>
    <w:rsid w:val="007A7F0C"/>
    <w:rsid w:val="007B0D1C"/>
    <w:rsid w:val="007B1052"/>
    <w:rsid w:val="007B1697"/>
    <w:rsid w:val="007B1787"/>
    <w:rsid w:val="007B18C1"/>
    <w:rsid w:val="007B1C12"/>
    <w:rsid w:val="007B2372"/>
    <w:rsid w:val="007B2CF0"/>
    <w:rsid w:val="007B33EC"/>
    <w:rsid w:val="007B364E"/>
    <w:rsid w:val="007B394D"/>
    <w:rsid w:val="007B469B"/>
    <w:rsid w:val="007B46B0"/>
    <w:rsid w:val="007B475F"/>
    <w:rsid w:val="007B4DA8"/>
    <w:rsid w:val="007B4E57"/>
    <w:rsid w:val="007B54DE"/>
    <w:rsid w:val="007B55C1"/>
    <w:rsid w:val="007B58D6"/>
    <w:rsid w:val="007B5944"/>
    <w:rsid w:val="007B5D5A"/>
    <w:rsid w:val="007B7460"/>
    <w:rsid w:val="007B751E"/>
    <w:rsid w:val="007B7620"/>
    <w:rsid w:val="007B7635"/>
    <w:rsid w:val="007B77CA"/>
    <w:rsid w:val="007B77E4"/>
    <w:rsid w:val="007B7BDA"/>
    <w:rsid w:val="007B7BF4"/>
    <w:rsid w:val="007B7C83"/>
    <w:rsid w:val="007B7D17"/>
    <w:rsid w:val="007C0CFC"/>
    <w:rsid w:val="007C0E91"/>
    <w:rsid w:val="007C14CF"/>
    <w:rsid w:val="007C163A"/>
    <w:rsid w:val="007C1805"/>
    <w:rsid w:val="007C257B"/>
    <w:rsid w:val="007C27EA"/>
    <w:rsid w:val="007C2A47"/>
    <w:rsid w:val="007C2ADD"/>
    <w:rsid w:val="007C32B0"/>
    <w:rsid w:val="007C33D6"/>
    <w:rsid w:val="007C3871"/>
    <w:rsid w:val="007C47C2"/>
    <w:rsid w:val="007C48F7"/>
    <w:rsid w:val="007C4B6A"/>
    <w:rsid w:val="007C4DC3"/>
    <w:rsid w:val="007C4F36"/>
    <w:rsid w:val="007C5431"/>
    <w:rsid w:val="007C57A3"/>
    <w:rsid w:val="007C624C"/>
    <w:rsid w:val="007C6A3B"/>
    <w:rsid w:val="007C6ACF"/>
    <w:rsid w:val="007C6C29"/>
    <w:rsid w:val="007C72F8"/>
    <w:rsid w:val="007C7973"/>
    <w:rsid w:val="007D0123"/>
    <w:rsid w:val="007D0A1A"/>
    <w:rsid w:val="007D0D55"/>
    <w:rsid w:val="007D0F3D"/>
    <w:rsid w:val="007D1528"/>
    <w:rsid w:val="007D1AE7"/>
    <w:rsid w:val="007D21DB"/>
    <w:rsid w:val="007D23E2"/>
    <w:rsid w:val="007D2670"/>
    <w:rsid w:val="007D372F"/>
    <w:rsid w:val="007D3846"/>
    <w:rsid w:val="007D39AB"/>
    <w:rsid w:val="007D3E1D"/>
    <w:rsid w:val="007D480C"/>
    <w:rsid w:val="007D48BA"/>
    <w:rsid w:val="007D4A40"/>
    <w:rsid w:val="007D4A42"/>
    <w:rsid w:val="007D4EFF"/>
    <w:rsid w:val="007D5468"/>
    <w:rsid w:val="007D54B3"/>
    <w:rsid w:val="007D5636"/>
    <w:rsid w:val="007D5B97"/>
    <w:rsid w:val="007D6092"/>
    <w:rsid w:val="007D61D4"/>
    <w:rsid w:val="007D662F"/>
    <w:rsid w:val="007D66D7"/>
    <w:rsid w:val="007D6C5D"/>
    <w:rsid w:val="007D7168"/>
    <w:rsid w:val="007E0519"/>
    <w:rsid w:val="007E053F"/>
    <w:rsid w:val="007E0CEA"/>
    <w:rsid w:val="007E0D29"/>
    <w:rsid w:val="007E0E05"/>
    <w:rsid w:val="007E0FFD"/>
    <w:rsid w:val="007E1606"/>
    <w:rsid w:val="007E1BA0"/>
    <w:rsid w:val="007E1D96"/>
    <w:rsid w:val="007E2120"/>
    <w:rsid w:val="007E21C8"/>
    <w:rsid w:val="007E23A8"/>
    <w:rsid w:val="007E2451"/>
    <w:rsid w:val="007E3777"/>
    <w:rsid w:val="007E38D1"/>
    <w:rsid w:val="007E3C0A"/>
    <w:rsid w:val="007E49B1"/>
    <w:rsid w:val="007E4C09"/>
    <w:rsid w:val="007E4F60"/>
    <w:rsid w:val="007E5449"/>
    <w:rsid w:val="007E5B52"/>
    <w:rsid w:val="007E69EB"/>
    <w:rsid w:val="007E6E01"/>
    <w:rsid w:val="007E70D5"/>
    <w:rsid w:val="007E70D9"/>
    <w:rsid w:val="007E7232"/>
    <w:rsid w:val="007E72B0"/>
    <w:rsid w:val="007E741D"/>
    <w:rsid w:val="007F0034"/>
    <w:rsid w:val="007F0684"/>
    <w:rsid w:val="007F0837"/>
    <w:rsid w:val="007F0E4F"/>
    <w:rsid w:val="007F130D"/>
    <w:rsid w:val="007F1503"/>
    <w:rsid w:val="007F18C8"/>
    <w:rsid w:val="007F209F"/>
    <w:rsid w:val="007F228E"/>
    <w:rsid w:val="007F2429"/>
    <w:rsid w:val="007F2727"/>
    <w:rsid w:val="007F2912"/>
    <w:rsid w:val="007F29F7"/>
    <w:rsid w:val="007F2CF0"/>
    <w:rsid w:val="007F324F"/>
    <w:rsid w:val="007F3489"/>
    <w:rsid w:val="007F3758"/>
    <w:rsid w:val="007F3BDE"/>
    <w:rsid w:val="007F3C06"/>
    <w:rsid w:val="007F4B00"/>
    <w:rsid w:val="007F4B4B"/>
    <w:rsid w:val="007F4E98"/>
    <w:rsid w:val="007F5503"/>
    <w:rsid w:val="007F5B14"/>
    <w:rsid w:val="007F5C3C"/>
    <w:rsid w:val="007F5D39"/>
    <w:rsid w:val="007F6241"/>
    <w:rsid w:val="007F7298"/>
    <w:rsid w:val="007F77B5"/>
    <w:rsid w:val="007F7B3C"/>
    <w:rsid w:val="007F7C7F"/>
    <w:rsid w:val="007F7D4B"/>
    <w:rsid w:val="008002C7"/>
    <w:rsid w:val="008002F8"/>
    <w:rsid w:val="00800A68"/>
    <w:rsid w:val="0080146F"/>
    <w:rsid w:val="00801490"/>
    <w:rsid w:val="00801548"/>
    <w:rsid w:val="00801872"/>
    <w:rsid w:val="0080266A"/>
    <w:rsid w:val="00802A56"/>
    <w:rsid w:val="00802AD1"/>
    <w:rsid w:val="00803286"/>
    <w:rsid w:val="00803A71"/>
    <w:rsid w:val="00803AE4"/>
    <w:rsid w:val="00803FB6"/>
    <w:rsid w:val="00804262"/>
    <w:rsid w:val="008047B5"/>
    <w:rsid w:val="00804B51"/>
    <w:rsid w:val="00804D6C"/>
    <w:rsid w:val="00804E95"/>
    <w:rsid w:val="00804EDB"/>
    <w:rsid w:val="00804F58"/>
    <w:rsid w:val="00804F8B"/>
    <w:rsid w:val="008056B4"/>
    <w:rsid w:val="00805848"/>
    <w:rsid w:val="008059DB"/>
    <w:rsid w:val="00805F06"/>
    <w:rsid w:val="00806419"/>
    <w:rsid w:val="00806861"/>
    <w:rsid w:val="00806ECC"/>
    <w:rsid w:val="008076FB"/>
    <w:rsid w:val="00807721"/>
    <w:rsid w:val="00807751"/>
    <w:rsid w:val="00807918"/>
    <w:rsid w:val="00807BB5"/>
    <w:rsid w:val="00807BC0"/>
    <w:rsid w:val="00807ED9"/>
    <w:rsid w:val="00810120"/>
    <w:rsid w:val="00811010"/>
    <w:rsid w:val="008110D3"/>
    <w:rsid w:val="008112FF"/>
    <w:rsid w:val="00811421"/>
    <w:rsid w:val="00811479"/>
    <w:rsid w:val="0081176F"/>
    <w:rsid w:val="00811F05"/>
    <w:rsid w:val="00812595"/>
    <w:rsid w:val="00812658"/>
    <w:rsid w:val="00812A99"/>
    <w:rsid w:val="00812FD5"/>
    <w:rsid w:val="00813DF4"/>
    <w:rsid w:val="00814744"/>
    <w:rsid w:val="00814B79"/>
    <w:rsid w:val="008154AB"/>
    <w:rsid w:val="0081645A"/>
    <w:rsid w:val="00816AE8"/>
    <w:rsid w:val="00816D8C"/>
    <w:rsid w:val="00817446"/>
    <w:rsid w:val="00817578"/>
    <w:rsid w:val="008200D6"/>
    <w:rsid w:val="00820155"/>
    <w:rsid w:val="00820219"/>
    <w:rsid w:val="00820430"/>
    <w:rsid w:val="008204FB"/>
    <w:rsid w:val="00820A73"/>
    <w:rsid w:val="00820B6C"/>
    <w:rsid w:val="00820E20"/>
    <w:rsid w:val="00821034"/>
    <w:rsid w:val="00821488"/>
    <w:rsid w:val="00821913"/>
    <w:rsid w:val="008219D9"/>
    <w:rsid w:val="008220F0"/>
    <w:rsid w:val="008221E1"/>
    <w:rsid w:val="00822B40"/>
    <w:rsid w:val="00823081"/>
    <w:rsid w:val="0082324F"/>
    <w:rsid w:val="008232CD"/>
    <w:rsid w:val="008233DD"/>
    <w:rsid w:val="00823E11"/>
    <w:rsid w:val="00824046"/>
    <w:rsid w:val="008241DD"/>
    <w:rsid w:val="008241E3"/>
    <w:rsid w:val="0082428B"/>
    <w:rsid w:val="008243C8"/>
    <w:rsid w:val="00824657"/>
    <w:rsid w:val="0082474A"/>
    <w:rsid w:val="00824783"/>
    <w:rsid w:val="00824E9B"/>
    <w:rsid w:val="00825106"/>
    <w:rsid w:val="00825468"/>
    <w:rsid w:val="00825604"/>
    <w:rsid w:val="008258D0"/>
    <w:rsid w:val="008259FA"/>
    <w:rsid w:val="00825A70"/>
    <w:rsid w:val="00825AF6"/>
    <w:rsid w:val="008261F4"/>
    <w:rsid w:val="00826629"/>
    <w:rsid w:val="00826A9F"/>
    <w:rsid w:val="00826D05"/>
    <w:rsid w:val="00826F9D"/>
    <w:rsid w:val="00827892"/>
    <w:rsid w:val="0082798A"/>
    <w:rsid w:val="00827B03"/>
    <w:rsid w:val="00827CE3"/>
    <w:rsid w:val="00827D75"/>
    <w:rsid w:val="00827DC1"/>
    <w:rsid w:val="00827F6E"/>
    <w:rsid w:val="00830313"/>
    <w:rsid w:val="00830439"/>
    <w:rsid w:val="0083056F"/>
    <w:rsid w:val="00830EBC"/>
    <w:rsid w:val="00831041"/>
    <w:rsid w:val="008311AA"/>
    <w:rsid w:val="00831690"/>
    <w:rsid w:val="00831E1B"/>
    <w:rsid w:val="0083266E"/>
    <w:rsid w:val="00832A28"/>
    <w:rsid w:val="00832DF9"/>
    <w:rsid w:val="008331A9"/>
    <w:rsid w:val="00833450"/>
    <w:rsid w:val="008334A8"/>
    <w:rsid w:val="0083386C"/>
    <w:rsid w:val="00833AB5"/>
    <w:rsid w:val="00833BFE"/>
    <w:rsid w:val="008341B7"/>
    <w:rsid w:val="00834307"/>
    <w:rsid w:val="00834904"/>
    <w:rsid w:val="00834BFF"/>
    <w:rsid w:val="00834C55"/>
    <w:rsid w:val="00834ECB"/>
    <w:rsid w:val="00835682"/>
    <w:rsid w:val="008357F3"/>
    <w:rsid w:val="00835DE9"/>
    <w:rsid w:val="00835E94"/>
    <w:rsid w:val="0083610A"/>
    <w:rsid w:val="00836E94"/>
    <w:rsid w:val="00836F7A"/>
    <w:rsid w:val="00837368"/>
    <w:rsid w:val="0083762D"/>
    <w:rsid w:val="00837807"/>
    <w:rsid w:val="00837C95"/>
    <w:rsid w:val="00837F4A"/>
    <w:rsid w:val="0084038F"/>
    <w:rsid w:val="0084058B"/>
    <w:rsid w:val="008416E5"/>
    <w:rsid w:val="00841AB6"/>
    <w:rsid w:val="00841C92"/>
    <w:rsid w:val="00842182"/>
    <w:rsid w:val="008425A2"/>
    <w:rsid w:val="00842D47"/>
    <w:rsid w:val="00842EE0"/>
    <w:rsid w:val="00842F17"/>
    <w:rsid w:val="00843362"/>
    <w:rsid w:val="00843B3B"/>
    <w:rsid w:val="00843B40"/>
    <w:rsid w:val="00844664"/>
    <w:rsid w:val="00844A20"/>
    <w:rsid w:val="00844BC9"/>
    <w:rsid w:val="00844D06"/>
    <w:rsid w:val="00845A00"/>
    <w:rsid w:val="00845A47"/>
    <w:rsid w:val="00845B63"/>
    <w:rsid w:val="00845CEE"/>
    <w:rsid w:val="00845E33"/>
    <w:rsid w:val="0084612D"/>
    <w:rsid w:val="0084698A"/>
    <w:rsid w:val="00846C7C"/>
    <w:rsid w:val="00847542"/>
    <w:rsid w:val="00847636"/>
    <w:rsid w:val="00847DA8"/>
    <w:rsid w:val="0085000B"/>
    <w:rsid w:val="00850290"/>
    <w:rsid w:val="00850298"/>
    <w:rsid w:val="0085078A"/>
    <w:rsid w:val="00851C5C"/>
    <w:rsid w:val="008522C2"/>
    <w:rsid w:val="008525AA"/>
    <w:rsid w:val="0085364A"/>
    <w:rsid w:val="00853DF8"/>
    <w:rsid w:val="00853FA2"/>
    <w:rsid w:val="008544B4"/>
    <w:rsid w:val="00854762"/>
    <w:rsid w:val="00854A6B"/>
    <w:rsid w:val="00855280"/>
    <w:rsid w:val="008553D5"/>
    <w:rsid w:val="008556B4"/>
    <w:rsid w:val="00855B84"/>
    <w:rsid w:val="008564D4"/>
    <w:rsid w:val="00856E0D"/>
    <w:rsid w:val="00857107"/>
    <w:rsid w:val="00857796"/>
    <w:rsid w:val="00857F52"/>
    <w:rsid w:val="00857FD1"/>
    <w:rsid w:val="00860003"/>
    <w:rsid w:val="00861481"/>
    <w:rsid w:val="008615F0"/>
    <w:rsid w:val="00861626"/>
    <w:rsid w:val="008616A5"/>
    <w:rsid w:val="008616F6"/>
    <w:rsid w:val="00861FA0"/>
    <w:rsid w:val="00862151"/>
    <w:rsid w:val="00862A41"/>
    <w:rsid w:val="00862B30"/>
    <w:rsid w:val="00862F13"/>
    <w:rsid w:val="00862FB5"/>
    <w:rsid w:val="00863BF0"/>
    <w:rsid w:val="0086408B"/>
    <w:rsid w:val="008641AC"/>
    <w:rsid w:val="008643EC"/>
    <w:rsid w:val="008646D4"/>
    <w:rsid w:val="008648B7"/>
    <w:rsid w:val="008649DF"/>
    <w:rsid w:val="00864A74"/>
    <w:rsid w:val="0086551C"/>
    <w:rsid w:val="00865E8C"/>
    <w:rsid w:val="0086613E"/>
    <w:rsid w:val="00866399"/>
    <w:rsid w:val="008663C5"/>
    <w:rsid w:val="00866454"/>
    <w:rsid w:val="00866921"/>
    <w:rsid w:val="00866BC7"/>
    <w:rsid w:val="00866DE9"/>
    <w:rsid w:val="00867157"/>
    <w:rsid w:val="00867497"/>
    <w:rsid w:val="00867915"/>
    <w:rsid w:val="008704F9"/>
    <w:rsid w:val="008709F4"/>
    <w:rsid w:val="00870C8E"/>
    <w:rsid w:val="00871229"/>
    <w:rsid w:val="00872040"/>
    <w:rsid w:val="008722BB"/>
    <w:rsid w:val="0087298E"/>
    <w:rsid w:val="008732AA"/>
    <w:rsid w:val="00873311"/>
    <w:rsid w:val="00873CD9"/>
    <w:rsid w:val="00874421"/>
    <w:rsid w:val="00874459"/>
    <w:rsid w:val="00874538"/>
    <w:rsid w:val="00874630"/>
    <w:rsid w:val="00875602"/>
    <w:rsid w:val="008757ED"/>
    <w:rsid w:val="0087627A"/>
    <w:rsid w:val="00876762"/>
    <w:rsid w:val="008773AD"/>
    <w:rsid w:val="0087756E"/>
    <w:rsid w:val="0087769B"/>
    <w:rsid w:val="00877C28"/>
    <w:rsid w:val="00877DD2"/>
    <w:rsid w:val="00880C95"/>
    <w:rsid w:val="008811A4"/>
    <w:rsid w:val="008811B5"/>
    <w:rsid w:val="0088146D"/>
    <w:rsid w:val="00881553"/>
    <w:rsid w:val="00881D9E"/>
    <w:rsid w:val="00881DCA"/>
    <w:rsid w:val="008821E1"/>
    <w:rsid w:val="008825BD"/>
    <w:rsid w:val="0088264A"/>
    <w:rsid w:val="008828A6"/>
    <w:rsid w:val="008829C7"/>
    <w:rsid w:val="0088405F"/>
    <w:rsid w:val="00884230"/>
    <w:rsid w:val="00884772"/>
    <w:rsid w:val="00884B62"/>
    <w:rsid w:val="00884BA9"/>
    <w:rsid w:val="00884D36"/>
    <w:rsid w:val="00884DE4"/>
    <w:rsid w:val="00885986"/>
    <w:rsid w:val="00886197"/>
    <w:rsid w:val="008863E2"/>
    <w:rsid w:val="008871D2"/>
    <w:rsid w:val="008873CA"/>
    <w:rsid w:val="00887528"/>
    <w:rsid w:val="008878D8"/>
    <w:rsid w:val="008906E0"/>
    <w:rsid w:val="0089084D"/>
    <w:rsid w:val="00890A64"/>
    <w:rsid w:val="00890FB7"/>
    <w:rsid w:val="00891038"/>
    <w:rsid w:val="008913A5"/>
    <w:rsid w:val="0089209D"/>
    <w:rsid w:val="00892771"/>
    <w:rsid w:val="00892CD4"/>
    <w:rsid w:val="0089372E"/>
    <w:rsid w:val="0089373D"/>
    <w:rsid w:val="00893A8D"/>
    <w:rsid w:val="00893C19"/>
    <w:rsid w:val="00893EDC"/>
    <w:rsid w:val="008943D9"/>
    <w:rsid w:val="008949F9"/>
    <w:rsid w:val="00895280"/>
    <w:rsid w:val="00895710"/>
    <w:rsid w:val="00895955"/>
    <w:rsid w:val="00895C57"/>
    <w:rsid w:val="00896045"/>
    <w:rsid w:val="008961BA"/>
    <w:rsid w:val="00896BF9"/>
    <w:rsid w:val="00896CB5"/>
    <w:rsid w:val="00896E8C"/>
    <w:rsid w:val="00896F98"/>
    <w:rsid w:val="00897685"/>
    <w:rsid w:val="00897821"/>
    <w:rsid w:val="00897CA3"/>
    <w:rsid w:val="00897DE1"/>
    <w:rsid w:val="008A00F0"/>
    <w:rsid w:val="008A08C0"/>
    <w:rsid w:val="008A099F"/>
    <w:rsid w:val="008A09AF"/>
    <w:rsid w:val="008A0A48"/>
    <w:rsid w:val="008A1146"/>
    <w:rsid w:val="008A14EA"/>
    <w:rsid w:val="008A1A08"/>
    <w:rsid w:val="008A1CEF"/>
    <w:rsid w:val="008A21CA"/>
    <w:rsid w:val="008A287E"/>
    <w:rsid w:val="008A2B68"/>
    <w:rsid w:val="008A2E1A"/>
    <w:rsid w:val="008A2FCD"/>
    <w:rsid w:val="008A32A3"/>
    <w:rsid w:val="008A3559"/>
    <w:rsid w:val="008A3641"/>
    <w:rsid w:val="008A3CC3"/>
    <w:rsid w:val="008A3F99"/>
    <w:rsid w:val="008A4361"/>
    <w:rsid w:val="008A457F"/>
    <w:rsid w:val="008A4845"/>
    <w:rsid w:val="008A4B41"/>
    <w:rsid w:val="008A58FF"/>
    <w:rsid w:val="008A5CC3"/>
    <w:rsid w:val="008A6323"/>
    <w:rsid w:val="008A65B8"/>
    <w:rsid w:val="008A6728"/>
    <w:rsid w:val="008A6836"/>
    <w:rsid w:val="008A6B8B"/>
    <w:rsid w:val="008A6E0D"/>
    <w:rsid w:val="008A70D2"/>
    <w:rsid w:val="008A72B0"/>
    <w:rsid w:val="008A7309"/>
    <w:rsid w:val="008A76CD"/>
    <w:rsid w:val="008A77FD"/>
    <w:rsid w:val="008B010A"/>
    <w:rsid w:val="008B09B2"/>
    <w:rsid w:val="008B0A59"/>
    <w:rsid w:val="008B15F0"/>
    <w:rsid w:val="008B16BB"/>
    <w:rsid w:val="008B16BD"/>
    <w:rsid w:val="008B1E52"/>
    <w:rsid w:val="008B226F"/>
    <w:rsid w:val="008B2307"/>
    <w:rsid w:val="008B2433"/>
    <w:rsid w:val="008B2607"/>
    <w:rsid w:val="008B2A6A"/>
    <w:rsid w:val="008B35F7"/>
    <w:rsid w:val="008B3B35"/>
    <w:rsid w:val="008B459B"/>
    <w:rsid w:val="008B4619"/>
    <w:rsid w:val="008B46C0"/>
    <w:rsid w:val="008B4893"/>
    <w:rsid w:val="008B49D6"/>
    <w:rsid w:val="008B4F3A"/>
    <w:rsid w:val="008B5072"/>
    <w:rsid w:val="008B520C"/>
    <w:rsid w:val="008B5225"/>
    <w:rsid w:val="008B542F"/>
    <w:rsid w:val="008B5B7D"/>
    <w:rsid w:val="008B5C74"/>
    <w:rsid w:val="008B5E3F"/>
    <w:rsid w:val="008B6494"/>
    <w:rsid w:val="008B6812"/>
    <w:rsid w:val="008B7304"/>
    <w:rsid w:val="008B7420"/>
    <w:rsid w:val="008B74C1"/>
    <w:rsid w:val="008B7768"/>
    <w:rsid w:val="008B781D"/>
    <w:rsid w:val="008B7BA8"/>
    <w:rsid w:val="008C00D2"/>
    <w:rsid w:val="008C0372"/>
    <w:rsid w:val="008C0426"/>
    <w:rsid w:val="008C0712"/>
    <w:rsid w:val="008C1501"/>
    <w:rsid w:val="008C1A24"/>
    <w:rsid w:val="008C1F95"/>
    <w:rsid w:val="008C24F9"/>
    <w:rsid w:val="008C25D0"/>
    <w:rsid w:val="008C3024"/>
    <w:rsid w:val="008C30AA"/>
    <w:rsid w:val="008C3AEA"/>
    <w:rsid w:val="008C424A"/>
    <w:rsid w:val="008C445D"/>
    <w:rsid w:val="008C47BB"/>
    <w:rsid w:val="008C4AE6"/>
    <w:rsid w:val="008C4F98"/>
    <w:rsid w:val="008C5090"/>
    <w:rsid w:val="008C521A"/>
    <w:rsid w:val="008C5B34"/>
    <w:rsid w:val="008C62F1"/>
    <w:rsid w:val="008C6718"/>
    <w:rsid w:val="008C6931"/>
    <w:rsid w:val="008C6B6B"/>
    <w:rsid w:val="008C6DAD"/>
    <w:rsid w:val="008C702A"/>
    <w:rsid w:val="008C73E7"/>
    <w:rsid w:val="008C7657"/>
    <w:rsid w:val="008C7AA8"/>
    <w:rsid w:val="008C7AC4"/>
    <w:rsid w:val="008C7E0C"/>
    <w:rsid w:val="008D0ABD"/>
    <w:rsid w:val="008D149F"/>
    <w:rsid w:val="008D1C0D"/>
    <w:rsid w:val="008D231A"/>
    <w:rsid w:val="008D2866"/>
    <w:rsid w:val="008D2AB3"/>
    <w:rsid w:val="008D2BC7"/>
    <w:rsid w:val="008D2D2F"/>
    <w:rsid w:val="008D2EC4"/>
    <w:rsid w:val="008D315A"/>
    <w:rsid w:val="008D315F"/>
    <w:rsid w:val="008D35AF"/>
    <w:rsid w:val="008D3E46"/>
    <w:rsid w:val="008D4193"/>
    <w:rsid w:val="008D426C"/>
    <w:rsid w:val="008D4387"/>
    <w:rsid w:val="008D48A3"/>
    <w:rsid w:val="008D4AD7"/>
    <w:rsid w:val="008D4B61"/>
    <w:rsid w:val="008D4BD3"/>
    <w:rsid w:val="008D540F"/>
    <w:rsid w:val="008D5A15"/>
    <w:rsid w:val="008D5C14"/>
    <w:rsid w:val="008D5FE0"/>
    <w:rsid w:val="008D6778"/>
    <w:rsid w:val="008D6DB4"/>
    <w:rsid w:val="008D7027"/>
    <w:rsid w:val="008D709C"/>
    <w:rsid w:val="008D765C"/>
    <w:rsid w:val="008D792B"/>
    <w:rsid w:val="008D7F3B"/>
    <w:rsid w:val="008E022A"/>
    <w:rsid w:val="008E08E2"/>
    <w:rsid w:val="008E09BB"/>
    <w:rsid w:val="008E0A08"/>
    <w:rsid w:val="008E0A30"/>
    <w:rsid w:val="008E0AC2"/>
    <w:rsid w:val="008E1194"/>
    <w:rsid w:val="008E1843"/>
    <w:rsid w:val="008E1C26"/>
    <w:rsid w:val="008E22E6"/>
    <w:rsid w:val="008E2400"/>
    <w:rsid w:val="008E2728"/>
    <w:rsid w:val="008E27B1"/>
    <w:rsid w:val="008E2959"/>
    <w:rsid w:val="008E2B3F"/>
    <w:rsid w:val="008E31F0"/>
    <w:rsid w:val="008E37D5"/>
    <w:rsid w:val="008E4747"/>
    <w:rsid w:val="008E4EB6"/>
    <w:rsid w:val="008E52D6"/>
    <w:rsid w:val="008E5442"/>
    <w:rsid w:val="008E5665"/>
    <w:rsid w:val="008E573F"/>
    <w:rsid w:val="008E5F43"/>
    <w:rsid w:val="008E62AE"/>
    <w:rsid w:val="008E6427"/>
    <w:rsid w:val="008E64BC"/>
    <w:rsid w:val="008E682A"/>
    <w:rsid w:val="008E71EB"/>
    <w:rsid w:val="008E738B"/>
    <w:rsid w:val="008E7855"/>
    <w:rsid w:val="008E7859"/>
    <w:rsid w:val="008E7ADD"/>
    <w:rsid w:val="008F03B5"/>
    <w:rsid w:val="008F06DC"/>
    <w:rsid w:val="008F0830"/>
    <w:rsid w:val="008F08F6"/>
    <w:rsid w:val="008F0A5F"/>
    <w:rsid w:val="008F13C1"/>
    <w:rsid w:val="008F1888"/>
    <w:rsid w:val="008F1FC6"/>
    <w:rsid w:val="008F2A44"/>
    <w:rsid w:val="008F30F8"/>
    <w:rsid w:val="008F3272"/>
    <w:rsid w:val="008F359A"/>
    <w:rsid w:val="008F35A8"/>
    <w:rsid w:val="008F3BC0"/>
    <w:rsid w:val="008F3D97"/>
    <w:rsid w:val="008F3E6F"/>
    <w:rsid w:val="008F41E2"/>
    <w:rsid w:val="008F429B"/>
    <w:rsid w:val="008F4342"/>
    <w:rsid w:val="008F453A"/>
    <w:rsid w:val="008F4BD6"/>
    <w:rsid w:val="008F4C99"/>
    <w:rsid w:val="008F4E08"/>
    <w:rsid w:val="008F4F2E"/>
    <w:rsid w:val="008F52B1"/>
    <w:rsid w:val="008F5388"/>
    <w:rsid w:val="008F55FF"/>
    <w:rsid w:val="008F59CF"/>
    <w:rsid w:val="008F5C44"/>
    <w:rsid w:val="008F6B59"/>
    <w:rsid w:val="008F6DBD"/>
    <w:rsid w:val="008F6FA3"/>
    <w:rsid w:val="008F70CE"/>
    <w:rsid w:val="008F7C3D"/>
    <w:rsid w:val="008F7E0B"/>
    <w:rsid w:val="00900DB8"/>
    <w:rsid w:val="009010E1"/>
    <w:rsid w:val="0090223E"/>
    <w:rsid w:val="009024AC"/>
    <w:rsid w:val="009025ED"/>
    <w:rsid w:val="00902ECF"/>
    <w:rsid w:val="00903411"/>
    <w:rsid w:val="00903D6E"/>
    <w:rsid w:val="00904444"/>
    <w:rsid w:val="0090458C"/>
    <w:rsid w:val="009046D3"/>
    <w:rsid w:val="00904841"/>
    <w:rsid w:val="00904994"/>
    <w:rsid w:val="009049EB"/>
    <w:rsid w:val="00904E6B"/>
    <w:rsid w:val="009052FB"/>
    <w:rsid w:val="00905375"/>
    <w:rsid w:val="00905560"/>
    <w:rsid w:val="00905A80"/>
    <w:rsid w:val="00905B27"/>
    <w:rsid w:val="00906453"/>
    <w:rsid w:val="009064F6"/>
    <w:rsid w:val="009065CA"/>
    <w:rsid w:val="009069B0"/>
    <w:rsid w:val="00906A3B"/>
    <w:rsid w:val="009073B0"/>
    <w:rsid w:val="00907839"/>
    <w:rsid w:val="00910518"/>
    <w:rsid w:val="009109F6"/>
    <w:rsid w:val="00910E10"/>
    <w:rsid w:val="00911515"/>
    <w:rsid w:val="00912073"/>
    <w:rsid w:val="00912163"/>
    <w:rsid w:val="00912431"/>
    <w:rsid w:val="00912538"/>
    <w:rsid w:val="009127B5"/>
    <w:rsid w:val="00912AD1"/>
    <w:rsid w:val="00912DAC"/>
    <w:rsid w:val="009131F7"/>
    <w:rsid w:val="0091342C"/>
    <w:rsid w:val="009136DC"/>
    <w:rsid w:val="009138A3"/>
    <w:rsid w:val="00913B23"/>
    <w:rsid w:val="00913E9F"/>
    <w:rsid w:val="009152C9"/>
    <w:rsid w:val="0091599C"/>
    <w:rsid w:val="00915DC0"/>
    <w:rsid w:val="00915F41"/>
    <w:rsid w:val="00915FBB"/>
    <w:rsid w:val="00915FDA"/>
    <w:rsid w:val="00916D7F"/>
    <w:rsid w:val="00916EF4"/>
    <w:rsid w:val="009170C1"/>
    <w:rsid w:val="00917157"/>
    <w:rsid w:val="00917244"/>
    <w:rsid w:val="009173DB"/>
    <w:rsid w:val="009175CC"/>
    <w:rsid w:val="00917B8C"/>
    <w:rsid w:val="009215F5"/>
    <w:rsid w:val="0092163F"/>
    <w:rsid w:val="00921717"/>
    <w:rsid w:val="0092188E"/>
    <w:rsid w:val="00921A32"/>
    <w:rsid w:val="00921AB1"/>
    <w:rsid w:val="00921C3E"/>
    <w:rsid w:val="0092265E"/>
    <w:rsid w:val="00922B11"/>
    <w:rsid w:val="00922D6C"/>
    <w:rsid w:val="00923BE5"/>
    <w:rsid w:val="0092443D"/>
    <w:rsid w:val="00924771"/>
    <w:rsid w:val="00924CF7"/>
    <w:rsid w:val="009252C2"/>
    <w:rsid w:val="00925386"/>
    <w:rsid w:val="00925406"/>
    <w:rsid w:val="00925773"/>
    <w:rsid w:val="009258AA"/>
    <w:rsid w:val="00925A5F"/>
    <w:rsid w:val="00925CD8"/>
    <w:rsid w:val="00926226"/>
    <w:rsid w:val="009265C2"/>
    <w:rsid w:val="009267B4"/>
    <w:rsid w:val="00926F09"/>
    <w:rsid w:val="0092720D"/>
    <w:rsid w:val="00927380"/>
    <w:rsid w:val="009275AA"/>
    <w:rsid w:val="0092786B"/>
    <w:rsid w:val="00927DA3"/>
    <w:rsid w:val="00927F83"/>
    <w:rsid w:val="009302D3"/>
    <w:rsid w:val="009302E1"/>
    <w:rsid w:val="009307F5"/>
    <w:rsid w:val="00930858"/>
    <w:rsid w:val="009314DF"/>
    <w:rsid w:val="00931E14"/>
    <w:rsid w:val="00932176"/>
    <w:rsid w:val="009326E7"/>
    <w:rsid w:val="0093289C"/>
    <w:rsid w:val="00932FC5"/>
    <w:rsid w:val="0093323D"/>
    <w:rsid w:val="0093369C"/>
    <w:rsid w:val="009338F4"/>
    <w:rsid w:val="00933F95"/>
    <w:rsid w:val="009345B5"/>
    <w:rsid w:val="00935131"/>
    <w:rsid w:val="00935E5E"/>
    <w:rsid w:val="00936188"/>
    <w:rsid w:val="00936565"/>
    <w:rsid w:val="0093688E"/>
    <w:rsid w:val="00936BE5"/>
    <w:rsid w:val="00936DB2"/>
    <w:rsid w:val="00937244"/>
    <w:rsid w:val="009373BA"/>
    <w:rsid w:val="00937835"/>
    <w:rsid w:val="00937873"/>
    <w:rsid w:val="00937F24"/>
    <w:rsid w:val="0094028C"/>
    <w:rsid w:val="00940787"/>
    <w:rsid w:val="009408A5"/>
    <w:rsid w:val="00940DAF"/>
    <w:rsid w:val="0094106A"/>
    <w:rsid w:val="00941837"/>
    <w:rsid w:val="00941B6A"/>
    <w:rsid w:val="00943336"/>
    <w:rsid w:val="00943383"/>
    <w:rsid w:val="00943C38"/>
    <w:rsid w:val="009441F4"/>
    <w:rsid w:val="00944376"/>
    <w:rsid w:val="00944561"/>
    <w:rsid w:val="00944B52"/>
    <w:rsid w:val="00944F17"/>
    <w:rsid w:val="00945237"/>
    <w:rsid w:val="009456CD"/>
    <w:rsid w:val="00946468"/>
    <w:rsid w:val="0094656D"/>
    <w:rsid w:val="00946678"/>
    <w:rsid w:val="009467F0"/>
    <w:rsid w:val="009477D3"/>
    <w:rsid w:val="00950548"/>
    <w:rsid w:val="009506CF"/>
    <w:rsid w:val="00950A38"/>
    <w:rsid w:val="00951430"/>
    <w:rsid w:val="0095152B"/>
    <w:rsid w:val="00951988"/>
    <w:rsid w:val="00951DF9"/>
    <w:rsid w:val="00951E84"/>
    <w:rsid w:val="009520E7"/>
    <w:rsid w:val="00952672"/>
    <w:rsid w:val="00953118"/>
    <w:rsid w:val="009534DD"/>
    <w:rsid w:val="00953994"/>
    <w:rsid w:val="00954085"/>
    <w:rsid w:val="009542EB"/>
    <w:rsid w:val="0095439F"/>
    <w:rsid w:val="009543BD"/>
    <w:rsid w:val="0095482C"/>
    <w:rsid w:val="00954DEB"/>
    <w:rsid w:val="00955886"/>
    <w:rsid w:val="009558B0"/>
    <w:rsid w:val="009565FA"/>
    <w:rsid w:val="00956C80"/>
    <w:rsid w:val="00956E55"/>
    <w:rsid w:val="00956FC1"/>
    <w:rsid w:val="00957547"/>
    <w:rsid w:val="00957896"/>
    <w:rsid w:val="00957CA5"/>
    <w:rsid w:val="00960041"/>
    <w:rsid w:val="00960056"/>
    <w:rsid w:val="0096038E"/>
    <w:rsid w:val="00960715"/>
    <w:rsid w:val="009610FC"/>
    <w:rsid w:val="00961574"/>
    <w:rsid w:val="0096172B"/>
    <w:rsid w:val="009619DF"/>
    <w:rsid w:val="00962116"/>
    <w:rsid w:val="00962323"/>
    <w:rsid w:val="00962592"/>
    <w:rsid w:val="009631D4"/>
    <w:rsid w:val="0096353F"/>
    <w:rsid w:val="00963A52"/>
    <w:rsid w:val="00963C0B"/>
    <w:rsid w:val="009644B4"/>
    <w:rsid w:val="00964536"/>
    <w:rsid w:val="009647FF"/>
    <w:rsid w:val="0096508D"/>
    <w:rsid w:val="009651A5"/>
    <w:rsid w:val="00965A53"/>
    <w:rsid w:val="00965B0B"/>
    <w:rsid w:val="00966328"/>
    <w:rsid w:val="0096638E"/>
    <w:rsid w:val="00966729"/>
    <w:rsid w:val="009669FA"/>
    <w:rsid w:val="00966F33"/>
    <w:rsid w:val="009670A8"/>
    <w:rsid w:val="009672BD"/>
    <w:rsid w:val="00967510"/>
    <w:rsid w:val="00967753"/>
    <w:rsid w:val="00967FB0"/>
    <w:rsid w:val="0097045A"/>
    <w:rsid w:val="00970936"/>
    <w:rsid w:val="00970C26"/>
    <w:rsid w:val="00970C32"/>
    <w:rsid w:val="00970D60"/>
    <w:rsid w:val="00970F6A"/>
    <w:rsid w:val="0097102B"/>
    <w:rsid w:val="00971641"/>
    <w:rsid w:val="0097167F"/>
    <w:rsid w:val="00971706"/>
    <w:rsid w:val="00971BFC"/>
    <w:rsid w:val="00971CA7"/>
    <w:rsid w:val="009724DA"/>
    <w:rsid w:val="00972CBD"/>
    <w:rsid w:val="00972CC1"/>
    <w:rsid w:val="00973495"/>
    <w:rsid w:val="00973577"/>
    <w:rsid w:val="009735C7"/>
    <w:rsid w:val="00973E8E"/>
    <w:rsid w:val="00974940"/>
    <w:rsid w:val="009749AE"/>
    <w:rsid w:val="00974F78"/>
    <w:rsid w:val="0097554B"/>
    <w:rsid w:val="009756C0"/>
    <w:rsid w:val="0097591C"/>
    <w:rsid w:val="00975FDC"/>
    <w:rsid w:val="0097696E"/>
    <w:rsid w:val="0097698B"/>
    <w:rsid w:val="00976EEC"/>
    <w:rsid w:val="009772FE"/>
    <w:rsid w:val="00977AA9"/>
    <w:rsid w:val="00977DE2"/>
    <w:rsid w:val="00980EE4"/>
    <w:rsid w:val="00981386"/>
    <w:rsid w:val="00981598"/>
    <w:rsid w:val="00981BFB"/>
    <w:rsid w:val="00982195"/>
    <w:rsid w:val="00982BDA"/>
    <w:rsid w:val="00983232"/>
    <w:rsid w:val="0098342F"/>
    <w:rsid w:val="009845BE"/>
    <w:rsid w:val="00984676"/>
    <w:rsid w:val="00984990"/>
    <w:rsid w:val="009850E4"/>
    <w:rsid w:val="0098516A"/>
    <w:rsid w:val="009852C0"/>
    <w:rsid w:val="009853BA"/>
    <w:rsid w:val="009855E3"/>
    <w:rsid w:val="0098595D"/>
    <w:rsid w:val="00985962"/>
    <w:rsid w:val="00985DFD"/>
    <w:rsid w:val="009863A6"/>
    <w:rsid w:val="009864E8"/>
    <w:rsid w:val="00986CF1"/>
    <w:rsid w:val="00986DB9"/>
    <w:rsid w:val="009879F7"/>
    <w:rsid w:val="0099012B"/>
    <w:rsid w:val="009909CA"/>
    <w:rsid w:val="009909CF"/>
    <w:rsid w:val="00990B57"/>
    <w:rsid w:val="00991050"/>
    <w:rsid w:val="009914A1"/>
    <w:rsid w:val="0099176B"/>
    <w:rsid w:val="00991832"/>
    <w:rsid w:val="00991B14"/>
    <w:rsid w:val="00991D77"/>
    <w:rsid w:val="00991E53"/>
    <w:rsid w:val="0099203C"/>
    <w:rsid w:val="009931ED"/>
    <w:rsid w:val="009939BF"/>
    <w:rsid w:val="00993B57"/>
    <w:rsid w:val="00993C91"/>
    <w:rsid w:val="00993D05"/>
    <w:rsid w:val="00993E2E"/>
    <w:rsid w:val="00994195"/>
    <w:rsid w:val="009945CF"/>
    <w:rsid w:val="00994663"/>
    <w:rsid w:val="009948F6"/>
    <w:rsid w:val="00994A24"/>
    <w:rsid w:val="00995A2A"/>
    <w:rsid w:val="00995C20"/>
    <w:rsid w:val="00995DCA"/>
    <w:rsid w:val="00996011"/>
    <w:rsid w:val="00996C4B"/>
    <w:rsid w:val="00996C72"/>
    <w:rsid w:val="00996FE5"/>
    <w:rsid w:val="009972A7"/>
    <w:rsid w:val="0099792D"/>
    <w:rsid w:val="009A016C"/>
    <w:rsid w:val="009A05D5"/>
    <w:rsid w:val="009A0765"/>
    <w:rsid w:val="009A0BBA"/>
    <w:rsid w:val="009A0BE0"/>
    <w:rsid w:val="009A0FAE"/>
    <w:rsid w:val="009A0FCA"/>
    <w:rsid w:val="009A10A3"/>
    <w:rsid w:val="009A14C6"/>
    <w:rsid w:val="009A15C0"/>
    <w:rsid w:val="009A1E68"/>
    <w:rsid w:val="009A1EB9"/>
    <w:rsid w:val="009A25D1"/>
    <w:rsid w:val="009A2740"/>
    <w:rsid w:val="009A3194"/>
    <w:rsid w:val="009A3D6D"/>
    <w:rsid w:val="009A3F28"/>
    <w:rsid w:val="009A426F"/>
    <w:rsid w:val="009A4355"/>
    <w:rsid w:val="009A44B9"/>
    <w:rsid w:val="009A4692"/>
    <w:rsid w:val="009A53E1"/>
    <w:rsid w:val="009A5890"/>
    <w:rsid w:val="009A5994"/>
    <w:rsid w:val="009A5B03"/>
    <w:rsid w:val="009A5BB9"/>
    <w:rsid w:val="009A5C3F"/>
    <w:rsid w:val="009A5C47"/>
    <w:rsid w:val="009A5DC6"/>
    <w:rsid w:val="009A6259"/>
    <w:rsid w:val="009A63A5"/>
    <w:rsid w:val="009A6BF1"/>
    <w:rsid w:val="009A710D"/>
    <w:rsid w:val="009A790C"/>
    <w:rsid w:val="009A7936"/>
    <w:rsid w:val="009A798F"/>
    <w:rsid w:val="009A7AE9"/>
    <w:rsid w:val="009A7D6E"/>
    <w:rsid w:val="009B02B9"/>
    <w:rsid w:val="009B07B5"/>
    <w:rsid w:val="009B0D65"/>
    <w:rsid w:val="009B0FA6"/>
    <w:rsid w:val="009B1593"/>
    <w:rsid w:val="009B1680"/>
    <w:rsid w:val="009B21D7"/>
    <w:rsid w:val="009B286B"/>
    <w:rsid w:val="009B2B37"/>
    <w:rsid w:val="009B3351"/>
    <w:rsid w:val="009B338E"/>
    <w:rsid w:val="009B341F"/>
    <w:rsid w:val="009B3F83"/>
    <w:rsid w:val="009B44D0"/>
    <w:rsid w:val="009B4545"/>
    <w:rsid w:val="009B49FC"/>
    <w:rsid w:val="009B4B6F"/>
    <w:rsid w:val="009B526F"/>
    <w:rsid w:val="009B534B"/>
    <w:rsid w:val="009B5E03"/>
    <w:rsid w:val="009B6095"/>
    <w:rsid w:val="009B6376"/>
    <w:rsid w:val="009B67E7"/>
    <w:rsid w:val="009B7033"/>
    <w:rsid w:val="009B75DA"/>
    <w:rsid w:val="009B7831"/>
    <w:rsid w:val="009B7A6A"/>
    <w:rsid w:val="009C00BB"/>
    <w:rsid w:val="009C0576"/>
    <w:rsid w:val="009C0591"/>
    <w:rsid w:val="009C1214"/>
    <w:rsid w:val="009C135C"/>
    <w:rsid w:val="009C13E4"/>
    <w:rsid w:val="009C150E"/>
    <w:rsid w:val="009C18EF"/>
    <w:rsid w:val="009C21A5"/>
    <w:rsid w:val="009C2527"/>
    <w:rsid w:val="009C2C0E"/>
    <w:rsid w:val="009C2F56"/>
    <w:rsid w:val="009C34A6"/>
    <w:rsid w:val="009C3E96"/>
    <w:rsid w:val="009C3EBA"/>
    <w:rsid w:val="009C3EC9"/>
    <w:rsid w:val="009C4467"/>
    <w:rsid w:val="009C4E16"/>
    <w:rsid w:val="009C4F93"/>
    <w:rsid w:val="009C5619"/>
    <w:rsid w:val="009C57D7"/>
    <w:rsid w:val="009C5A7B"/>
    <w:rsid w:val="009C5E94"/>
    <w:rsid w:val="009C61E5"/>
    <w:rsid w:val="009C6405"/>
    <w:rsid w:val="009C68D6"/>
    <w:rsid w:val="009C69DC"/>
    <w:rsid w:val="009C6FC2"/>
    <w:rsid w:val="009C723C"/>
    <w:rsid w:val="009C7839"/>
    <w:rsid w:val="009C78EE"/>
    <w:rsid w:val="009C79AB"/>
    <w:rsid w:val="009C7A6D"/>
    <w:rsid w:val="009D01A4"/>
    <w:rsid w:val="009D0545"/>
    <w:rsid w:val="009D07D4"/>
    <w:rsid w:val="009D0CCE"/>
    <w:rsid w:val="009D1A62"/>
    <w:rsid w:val="009D2017"/>
    <w:rsid w:val="009D20EA"/>
    <w:rsid w:val="009D2158"/>
    <w:rsid w:val="009D282C"/>
    <w:rsid w:val="009D2F12"/>
    <w:rsid w:val="009D33A1"/>
    <w:rsid w:val="009D3E88"/>
    <w:rsid w:val="009D42C3"/>
    <w:rsid w:val="009D4341"/>
    <w:rsid w:val="009D45F5"/>
    <w:rsid w:val="009D4875"/>
    <w:rsid w:val="009D4952"/>
    <w:rsid w:val="009D5455"/>
    <w:rsid w:val="009D55C0"/>
    <w:rsid w:val="009D57BE"/>
    <w:rsid w:val="009D61AF"/>
    <w:rsid w:val="009D6461"/>
    <w:rsid w:val="009D6B5F"/>
    <w:rsid w:val="009D6DE9"/>
    <w:rsid w:val="009D7468"/>
    <w:rsid w:val="009D76FC"/>
    <w:rsid w:val="009D79B9"/>
    <w:rsid w:val="009E010B"/>
    <w:rsid w:val="009E099C"/>
    <w:rsid w:val="009E0AB6"/>
    <w:rsid w:val="009E10EC"/>
    <w:rsid w:val="009E1ACD"/>
    <w:rsid w:val="009E2460"/>
    <w:rsid w:val="009E247E"/>
    <w:rsid w:val="009E29E6"/>
    <w:rsid w:val="009E393E"/>
    <w:rsid w:val="009E3B78"/>
    <w:rsid w:val="009E3C8C"/>
    <w:rsid w:val="009E3D03"/>
    <w:rsid w:val="009E3EA4"/>
    <w:rsid w:val="009E4253"/>
    <w:rsid w:val="009E42D8"/>
    <w:rsid w:val="009E475D"/>
    <w:rsid w:val="009E481F"/>
    <w:rsid w:val="009E48AE"/>
    <w:rsid w:val="009E4CA3"/>
    <w:rsid w:val="009E4E27"/>
    <w:rsid w:val="009E5101"/>
    <w:rsid w:val="009E512F"/>
    <w:rsid w:val="009E563A"/>
    <w:rsid w:val="009E58AE"/>
    <w:rsid w:val="009E5A91"/>
    <w:rsid w:val="009E5B80"/>
    <w:rsid w:val="009E5E06"/>
    <w:rsid w:val="009E5F91"/>
    <w:rsid w:val="009E6356"/>
    <w:rsid w:val="009E6405"/>
    <w:rsid w:val="009E64F0"/>
    <w:rsid w:val="009E655C"/>
    <w:rsid w:val="009E688E"/>
    <w:rsid w:val="009E6A33"/>
    <w:rsid w:val="009E7735"/>
    <w:rsid w:val="009F0162"/>
    <w:rsid w:val="009F04EA"/>
    <w:rsid w:val="009F05A3"/>
    <w:rsid w:val="009F0795"/>
    <w:rsid w:val="009F07CC"/>
    <w:rsid w:val="009F0EEC"/>
    <w:rsid w:val="009F16D1"/>
    <w:rsid w:val="009F1FCB"/>
    <w:rsid w:val="009F2326"/>
    <w:rsid w:val="009F2A1B"/>
    <w:rsid w:val="009F2C65"/>
    <w:rsid w:val="009F2E1D"/>
    <w:rsid w:val="009F2E55"/>
    <w:rsid w:val="009F2F0C"/>
    <w:rsid w:val="009F33AF"/>
    <w:rsid w:val="009F37C1"/>
    <w:rsid w:val="009F41D5"/>
    <w:rsid w:val="009F4757"/>
    <w:rsid w:val="009F563E"/>
    <w:rsid w:val="009F5C21"/>
    <w:rsid w:val="009F5E96"/>
    <w:rsid w:val="009F63A0"/>
    <w:rsid w:val="009F6B1F"/>
    <w:rsid w:val="009F6B97"/>
    <w:rsid w:val="009F6D58"/>
    <w:rsid w:val="009F75E2"/>
    <w:rsid w:val="009F7CBF"/>
    <w:rsid w:val="009F7E2B"/>
    <w:rsid w:val="00A00A63"/>
    <w:rsid w:val="00A00D0B"/>
    <w:rsid w:val="00A0181B"/>
    <w:rsid w:val="00A01893"/>
    <w:rsid w:val="00A0198B"/>
    <w:rsid w:val="00A01BF2"/>
    <w:rsid w:val="00A02137"/>
    <w:rsid w:val="00A02773"/>
    <w:rsid w:val="00A0280E"/>
    <w:rsid w:val="00A0360B"/>
    <w:rsid w:val="00A040CC"/>
    <w:rsid w:val="00A04530"/>
    <w:rsid w:val="00A0480B"/>
    <w:rsid w:val="00A052F7"/>
    <w:rsid w:val="00A05A4D"/>
    <w:rsid w:val="00A06251"/>
    <w:rsid w:val="00A064E5"/>
    <w:rsid w:val="00A068BF"/>
    <w:rsid w:val="00A06CDC"/>
    <w:rsid w:val="00A06E01"/>
    <w:rsid w:val="00A06E6C"/>
    <w:rsid w:val="00A06F9D"/>
    <w:rsid w:val="00A07039"/>
    <w:rsid w:val="00A07120"/>
    <w:rsid w:val="00A075BC"/>
    <w:rsid w:val="00A07797"/>
    <w:rsid w:val="00A07BB4"/>
    <w:rsid w:val="00A07CD7"/>
    <w:rsid w:val="00A102D6"/>
    <w:rsid w:val="00A106FB"/>
    <w:rsid w:val="00A10843"/>
    <w:rsid w:val="00A112F7"/>
    <w:rsid w:val="00A117AD"/>
    <w:rsid w:val="00A11DFA"/>
    <w:rsid w:val="00A1215C"/>
    <w:rsid w:val="00A1289E"/>
    <w:rsid w:val="00A12AB6"/>
    <w:rsid w:val="00A1380B"/>
    <w:rsid w:val="00A138AC"/>
    <w:rsid w:val="00A13D55"/>
    <w:rsid w:val="00A1436A"/>
    <w:rsid w:val="00A150A7"/>
    <w:rsid w:val="00A153FD"/>
    <w:rsid w:val="00A15B14"/>
    <w:rsid w:val="00A15F8C"/>
    <w:rsid w:val="00A16277"/>
    <w:rsid w:val="00A16362"/>
    <w:rsid w:val="00A168F7"/>
    <w:rsid w:val="00A16BCC"/>
    <w:rsid w:val="00A16D11"/>
    <w:rsid w:val="00A16D6A"/>
    <w:rsid w:val="00A1718A"/>
    <w:rsid w:val="00A176CB"/>
    <w:rsid w:val="00A178E9"/>
    <w:rsid w:val="00A17E05"/>
    <w:rsid w:val="00A2017F"/>
    <w:rsid w:val="00A20A6B"/>
    <w:rsid w:val="00A20E20"/>
    <w:rsid w:val="00A214F4"/>
    <w:rsid w:val="00A21960"/>
    <w:rsid w:val="00A221F5"/>
    <w:rsid w:val="00A22212"/>
    <w:rsid w:val="00A22E67"/>
    <w:rsid w:val="00A24500"/>
    <w:rsid w:val="00A24744"/>
    <w:rsid w:val="00A25475"/>
    <w:rsid w:val="00A25C0B"/>
    <w:rsid w:val="00A2603A"/>
    <w:rsid w:val="00A264C1"/>
    <w:rsid w:val="00A26E76"/>
    <w:rsid w:val="00A2729F"/>
    <w:rsid w:val="00A273EF"/>
    <w:rsid w:val="00A27404"/>
    <w:rsid w:val="00A27B12"/>
    <w:rsid w:val="00A27BA3"/>
    <w:rsid w:val="00A27F69"/>
    <w:rsid w:val="00A302E2"/>
    <w:rsid w:val="00A30372"/>
    <w:rsid w:val="00A3043F"/>
    <w:rsid w:val="00A3049E"/>
    <w:rsid w:val="00A30766"/>
    <w:rsid w:val="00A3089F"/>
    <w:rsid w:val="00A316F4"/>
    <w:rsid w:val="00A319C5"/>
    <w:rsid w:val="00A32C56"/>
    <w:rsid w:val="00A333E9"/>
    <w:rsid w:val="00A334B9"/>
    <w:rsid w:val="00A339B2"/>
    <w:rsid w:val="00A33AE9"/>
    <w:rsid w:val="00A33D0E"/>
    <w:rsid w:val="00A33E08"/>
    <w:rsid w:val="00A348BE"/>
    <w:rsid w:val="00A350DF"/>
    <w:rsid w:val="00A35490"/>
    <w:rsid w:val="00A35ADB"/>
    <w:rsid w:val="00A35F0D"/>
    <w:rsid w:val="00A36175"/>
    <w:rsid w:val="00A36279"/>
    <w:rsid w:val="00A362FB"/>
    <w:rsid w:val="00A3639E"/>
    <w:rsid w:val="00A36473"/>
    <w:rsid w:val="00A367C8"/>
    <w:rsid w:val="00A36924"/>
    <w:rsid w:val="00A36946"/>
    <w:rsid w:val="00A36E71"/>
    <w:rsid w:val="00A36E8A"/>
    <w:rsid w:val="00A36EFD"/>
    <w:rsid w:val="00A377B9"/>
    <w:rsid w:val="00A37AC5"/>
    <w:rsid w:val="00A37AF1"/>
    <w:rsid w:val="00A37E35"/>
    <w:rsid w:val="00A37F85"/>
    <w:rsid w:val="00A40D15"/>
    <w:rsid w:val="00A41D80"/>
    <w:rsid w:val="00A41EAC"/>
    <w:rsid w:val="00A42005"/>
    <w:rsid w:val="00A425AD"/>
    <w:rsid w:val="00A425B0"/>
    <w:rsid w:val="00A42851"/>
    <w:rsid w:val="00A429DA"/>
    <w:rsid w:val="00A42C02"/>
    <w:rsid w:val="00A43005"/>
    <w:rsid w:val="00A4304F"/>
    <w:rsid w:val="00A43571"/>
    <w:rsid w:val="00A435B0"/>
    <w:rsid w:val="00A4360D"/>
    <w:rsid w:val="00A43836"/>
    <w:rsid w:val="00A44434"/>
    <w:rsid w:val="00A44BF9"/>
    <w:rsid w:val="00A451C7"/>
    <w:rsid w:val="00A45573"/>
    <w:rsid w:val="00A4582A"/>
    <w:rsid w:val="00A459E6"/>
    <w:rsid w:val="00A45D43"/>
    <w:rsid w:val="00A46466"/>
    <w:rsid w:val="00A464FC"/>
    <w:rsid w:val="00A467AD"/>
    <w:rsid w:val="00A46868"/>
    <w:rsid w:val="00A46AC7"/>
    <w:rsid w:val="00A46BE6"/>
    <w:rsid w:val="00A46D53"/>
    <w:rsid w:val="00A46DD5"/>
    <w:rsid w:val="00A47149"/>
    <w:rsid w:val="00A478DD"/>
    <w:rsid w:val="00A506FD"/>
    <w:rsid w:val="00A50AC1"/>
    <w:rsid w:val="00A50CE3"/>
    <w:rsid w:val="00A51444"/>
    <w:rsid w:val="00A5242E"/>
    <w:rsid w:val="00A524B9"/>
    <w:rsid w:val="00A525E8"/>
    <w:rsid w:val="00A52853"/>
    <w:rsid w:val="00A52D4B"/>
    <w:rsid w:val="00A52DF1"/>
    <w:rsid w:val="00A5327B"/>
    <w:rsid w:val="00A5350F"/>
    <w:rsid w:val="00A53684"/>
    <w:rsid w:val="00A53AB1"/>
    <w:rsid w:val="00A53C70"/>
    <w:rsid w:val="00A54196"/>
    <w:rsid w:val="00A5483C"/>
    <w:rsid w:val="00A54A13"/>
    <w:rsid w:val="00A55009"/>
    <w:rsid w:val="00A55648"/>
    <w:rsid w:val="00A556EC"/>
    <w:rsid w:val="00A56252"/>
    <w:rsid w:val="00A573F7"/>
    <w:rsid w:val="00A573FF"/>
    <w:rsid w:val="00A60992"/>
    <w:rsid w:val="00A61543"/>
    <w:rsid w:val="00A61585"/>
    <w:rsid w:val="00A61DA8"/>
    <w:rsid w:val="00A61DD6"/>
    <w:rsid w:val="00A62E5B"/>
    <w:rsid w:val="00A6302C"/>
    <w:rsid w:val="00A6304B"/>
    <w:rsid w:val="00A63862"/>
    <w:rsid w:val="00A63957"/>
    <w:rsid w:val="00A63E3F"/>
    <w:rsid w:val="00A645C7"/>
    <w:rsid w:val="00A6626B"/>
    <w:rsid w:val="00A66644"/>
    <w:rsid w:val="00A66771"/>
    <w:rsid w:val="00A6686A"/>
    <w:rsid w:val="00A6691C"/>
    <w:rsid w:val="00A66EAA"/>
    <w:rsid w:val="00A6776B"/>
    <w:rsid w:val="00A67A8F"/>
    <w:rsid w:val="00A67E25"/>
    <w:rsid w:val="00A70213"/>
    <w:rsid w:val="00A715A5"/>
    <w:rsid w:val="00A71B50"/>
    <w:rsid w:val="00A71B79"/>
    <w:rsid w:val="00A71C5F"/>
    <w:rsid w:val="00A71F58"/>
    <w:rsid w:val="00A7203D"/>
    <w:rsid w:val="00A72C78"/>
    <w:rsid w:val="00A7316F"/>
    <w:rsid w:val="00A73967"/>
    <w:rsid w:val="00A73B51"/>
    <w:rsid w:val="00A73BA0"/>
    <w:rsid w:val="00A741E5"/>
    <w:rsid w:val="00A7432F"/>
    <w:rsid w:val="00A74595"/>
    <w:rsid w:val="00A74629"/>
    <w:rsid w:val="00A74EA4"/>
    <w:rsid w:val="00A75037"/>
    <w:rsid w:val="00A7531B"/>
    <w:rsid w:val="00A755B2"/>
    <w:rsid w:val="00A755D4"/>
    <w:rsid w:val="00A7607D"/>
    <w:rsid w:val="00A7629D"/>
    <w:rsid w:val="00A76344"/>
    <w:rsid w:val="00A769A3"/>
    <w:rsid w:val="00A77063"/>
    <w:rsid w:val="00A7716A"/>
    <w:rsid w:val="00A774F9"/>
    <w:rsid w:val="00A77517"/>
    <w:rsid w:val="00A778D4"/>
    <w:rsid w:val="00A778E9"/>
    <w:rsid w:val="00A77FE2"/>
    <w:rsid w:val="00A802C2"/>
    <w:rsid w:val="00A807A5"/>
    <w:rsid w:val="00A8093D"/>
    <w:rsid w:val="00A80A24"/>
    <w:rsid w:val="00A80A8A"/>
    <w:rsid w:val="00A80B1A"/>
    <w:rsid w:val="00A80ECB"/>
    <w:rsid w:val="00A81212"/>
    <w:rsid w:val="00A81244"/>
    <w:rsid w:val="00A81E1A"/>
    <w:rsid w:val="00A82062"/>
    <w:rsid w:val="00A8231F"/>
    <w:rsid w:val="00A828CF"/>
    <w:rsid w:val="00A828DB"/>
    <w:rsid w:val="00A82ABF"/>
    <w:rsid w:val="00A82C8A"/>
    <w:rsid w:val="00A82EBF"/>
    <w:rsid w:val="00A82FB9"/>
    <w:rsid w:val="00A83054"/>
    <w:rsid w:val="00A831DF"/>
    <w:rsid w:val="00A834B7"/>
    <w:rsid w:val="00A834F4"/>
    <w:rsid w:val="00A83A4F"/>
    <w:rsid w:val="00A83E41"/>
    <w:rsid w:val="00A84101"/>
    <w:rsid w:val="00A84515"/>
    <w:rsid w:val="00A8452C"/>
    <w:rsid w:val="00A848FE"/>
    <w:rsid w:val="00A84AD7"/>
    <w:rsid w:val="00A84F5E"/>
    <w:rsid w:val="00A85010"/>
    <w:rsid w:val="00A850B2"/>
    <w:rsid w:val="00A85268"/>
    <w:rsid w:val="00A85E2C"/>
    <w:rsid w:val="00A85ED6"/>
    <w:rsid w:val="00A86758"/>
    <w:rsid w:val="00A86835"/>
    <w:rsid w:val="00A86B21"/>
    <w:rsid w:val="00A86E80"/>
    <w:rsid w:val="00A871CF"/>
    <w:rsid w:val="00A87505"/>
    <w:rsid w:val="00A878EB"/>
    <w:rsid w:val="00A9003C"/>
    <w:rsid w:val="00A905B9"/>
    <w:rsid w:val="00A908FB"/>
    <w:rsid w:val="00A91042"/>
    <w:rsid w:val="00A91816"/>
    <w:rsid w:val="00A91829"/>
    <w:rsid w:val="00A91B10"/>
    <w:rsid w:val="00A91B17"/>
    <w:rsid w:val="00A92397"/>
    <w:rsid w:val="00A9273E"/>
    <w:rsid w:val="00A92A25"/>
    <w:rsid w:val="00A92BAF"/>
    <w:rsid w:val="00A92D78"/>
    <w:rsid w:val="00A92F0F"/>
    <w:rsid w:val="00A9377B"/>
    <w:rsid w:val="00A93996"/>
    <w:rsid w:val="00A940BB"/>
    <w:rsid w:val="00A941C0"/>
    <w:rsid w:val="00A94254"/>
    <w:rsid w:val="00A94881"/>
    <w:rsid w:val="00A94984"/>
    <w:rsid w:val="00A94B6D"/>
    <w:rsid w:val="00A94F46"/>
    <w:rsid w:val="00A95287"/>
    <w:rsid w:val="00A95540"/>
    <w:rsid w:val="00A9566F"/>
    <w:rsid w:val="00A95CBE"/>
    <w:rsid w:val="00A95EE6"/>
    <w:rsid w:val="00A9641A"/>
    <w:rsid w:val="00A9648C"/>
    <w:rsid w:val="00A966F6"/>
    <w:rsid w:val="00A971C2"/>
    <w:rsid w:val="00A97249"/>
    <w:rsid w:val="00A975F6"/>
    <w:rsid w:val="00AA06E1"/>
    <w:rsid w:val="00AA0B9B"/>
    <w:rsid w:val="00AA16EA"/>
    <w:rsid w:val="00AA1755"/>
    <w:rsid w:val="00AA1D78"/>
    <w:rsid w:val="00AA1EDD"/>
    <w:rsid w:val="00AA1FEF"/>
    <w:rsid w:val="00AA2253"/>
    <w:rsid w:val="00AA25DC"/>
    <w:rsid w:val="00AA290C"/>
    <w:rsid w:val="00AA2D91"/>
    <w:rsid w:val="00AA3516"/>
    <w:rsid w:val="00AA4051"/>
    <w:rsid w:val="00AA41B3"/>
    <w:rsid w:val="00AA4DFB"/>
    <w:rsid w:val="00AA55CB"/>
    <w:rsid w:val="00AA56D6"/>
    <w:rsid w:val="00AA5914"/>
    <w:rsid w:val="00AA5D1A"/>
    <w:rsid w:val="00AA5D64"/>
    <w:rsid w:val="00AA602E"/>
    <w:rsid w:val="00AA6CEA"/>
    <w:rsid w:val="00AA71B0"/>
    <w:rsid w:val="00AA7564"/>
    <w:rsid w:val="00AA76B1"/>
    <w:rsid w:val="00AA79E5"/>
    <w:rsid w:val="00AA7B43"/>
    <w:rsid w:val="00AB05B9"/>
    <w:rsid w:val="00AB0FF8"/>
    <w:rsid w:val="00AB10FC"/>
    <w:rsid w:val="00AB1997"/>
    <w:rsid w:val="00AB1D57"/>
    <w:rsid w:val="00AB1EA1"/>
    <w:rsid w:val="00AB24AC"/>
    <w:rsid w:val="00AB25FC"/>
    <w:rsid w:val="00AB29F3"/>
    <w:rsid w:val="00AB2A88"/>
    <w:rsid w:val="00AB33CB"/>
    <w:rsid w:val="00AB3F3D"/>
    <w:rsid w:val="00AB426C"/>
    <w:rsid w:val="00AB4717"/>
    <w:rsid w:val="00AB4ACF"/>
    <w:rsid w:val="00AB4E0C"/>
    <w:rsid w:val="00AB4F75"/>
    <w:rsid w:val="00AB5426"/>
    <w:rsid w:val="00AB5464"/>
    <w:rsid w:val="00AB5B47"/>
    <w:rsid w:val="00AB5D95"/>
    <w:rsid w:val="00AB672F"/>
    <w:rsid w:val="00AB7169"/>
    <w:rsid w:val="00AB728B"/>
    <w:rsid w:val="00AB729C"/>
    <w:rsid w:val="00AB796D"/>
    <w:rsid w:val="00AB7D85"/>
    <w:rsid w:val="00AB7FFE"/>
    <w:rsid w:val="00AC0146"/>
    <w:rsid w:val="00AC08F6"/>
    <w:rsid w:val="00AC0B14"/>
    <w:rsid w:val="00AC10A6"/>
    <w:rsid w:val="00AC10D6"/>
    <w:rsid w:val="00AC1392"/>
    <w:rsid w:val="00AC1670"/>
    <w:rsid w:val="00AC16B8"/>
    <w:rsid w:val="00AC1D41"/>
    <w:rsid w:val="00AC31C5"/>
    <w:rsid w:val="00AC34BC"/>
    <w:rsid w:val="00AC377C"/>
    <w:rsid w:val="00AC3F3F"/>
    <w:rsid w:val="00AC46F7"/>
    <w:rsid w:val="00AC4766"/>
    <w:rsid w:val="00AC4863"/>
    <w:rsid w:val="00AC4D89"/>
    <w:rsid w:val="00AC4E43"/>
    <w:rsid w:val="00AC4E83"/>
    <w:rsid w:val="00AC52E1"/>
    <w:rsid w:val="00AC5A57"/>
    <w:rsid w:val="00AC5B06"/>
    <w:rsid w:val="00AC65E9"/>
    <w:rsid w:val="00AC66B2"/>
    <w:rsid w:val="00AC69F6"/>
    <w:rsid w:val="00AC6DEA"/>
    <w:rsid w:val="00AD0035"/>
    <w:rsid w:val="00AD00C4"/>
    <w:rsid w:val="00AD0679"/>
    <w:rsid w:val="00AD0705"/>
    <w:rsid w:val="00AD10DD"/>
    <w:rsid w:val="00AD14B2"/>
    <w:rsid w:val="00AD19EE"/>
    <w:rsid w:val="00AD21A5"/>
    <w:rsid w:val="00AD2788"/>
    <w:rsid w:val="00AD2AAF"/>
    <w:rsid w:val="00AD2E49"/>
    <w:rsid w:val="00AD35C5"/>
    <w:rsid w:val="00AD3666"/>
    <w:rsid w:val="00AD3A58"/>
    <w:rsid w:val="00AD42FB"/>
    <w:rsid w:val="00AD4326"/>
    <w:rsid w:val="00AD434A"/>
    <w:rsid w:val="00AD4856"/>
    <w:rsid w:val="00AD4BA8"/>
    <w:rsid w:val="00AD5163"/>
    <w:rsid w:val="00AD55B1"/>
    <w:rsid w:val="00AD5C88"/>
    <w:rsid w:val="00AD5CA4"/>
    <w:rsid w:val="00AD6187"/>
    <w:rsid w:val="00AD623E"/>
    <w:rsid w:val="00AD6396"/>
    <w:rsid w:val="00AD69FC"/>
    <w:rsid w:val="00AD6E9C"/>
    <w:rsid w:val="00AD771E"/>
    <w:rsid w:val="00AD780F"/>
    <w:rsid w:val="00AD7954"/>
    <w:rsid w:val="00AE0582"/>
    <w:rsid w:val="00AE0AE3"/>
    <w:rsid w:val="00AE0BF3"/>
    <w:rsid w:val="00AE0C74"/>
    <w:rsid w:val="00AE102F"/>
    <w:rsid w:val="00AE133B"/>
    <w:rsid w:val="00AE15BA"/>
    <w:rsid w:val="00AE3058"/>
    <w:rsid w:val="00AE3562"/>
    <w:rsid w:val="00AE35D7"/>
    <w:rsid w:val="00AE381E"/>
    <w:rsid w:val="00AE3909"/>
    <w:rsid w:val="00AE393F"/>
    <w:rsid w:val="00AE3A25"/>
    <w:rsid w:val="00AE3B68"/>
    <w:rsid w:val="00AE3EE9"/>
    <w:rsid w:val="00AE41C3"/>
    <w:rsid w:val="00AE42E0"/>
    <w:rsid w:val="00AE4A58"/>
    <w:rsid w:val="00AE4AA3"/>
    <w:rsid w:val="00AE5009"/>
    <w:rsid w:val="00AE52BA"/>
    <w:rsid w:val="00AE52E3"/>
    <w:rsid w:val="00AE620F"/>
    <w:rsid w:val="00AE621F"/>
    <w:rsid w:val="00AE644A"/>
    <w:rsid w:val="00AE6C0D"/>
    <w:rsid w:val="00AE6CD4"/>
    <w:rsid w:val="00AE6F38"/>
    <w:rsid w:val="00AE71C0"/>
    <w:rsid w:val="00AE72D3"/>
    <w:rsid w:val="00AE7336"/>
    <w:rsid w:val="00AE7805"/>
    <w:rsid w:val="00AE78FC"/>
    <w:rsid w:val="00AE7D3A"/>
    <w:rsid w:val="00AF02A7"/>
    <w:rsid w:val="00AF055E"/>
    <w:rsid w:val="00AF09AE"/>
    <w:rsid w:val="00AF0A07"/>
    <w:rsid w:val="00AF0A11"/>
    <w:rsid w:val="00AF1923"/>
    <w:rsid w:val="00AF20BD"/>
    <w:rsid w:val="00AF2426"/>
    <w:rsid w:val="00AF2541"/>
    <w:rsid w:val="00AF2699"/>
    <w:rsid w:val="00AF305F"/>
    <w:rsid w:val="00AF3214"/>
    <w:rsid w:val="00AF3637"/>
    <w:rsid w:val="00AF37AC"/>
    <w:rsid w:val="00AF3982"/>
    <w:rsid w:val="00AF4537"/>
    <w:rsid w:val="00AF4A37"/>
    <w:rsid w:val="00AF4B28"/>
    <w:rsid w:val="00AF4B41"/>
    <w:rsid w:val="00AF4CDB"/>
    <w:rsid w:val="00AF50CA"/>
    <w:rsid w:val="00AF53FA"/>
    <w:rsid w:val="00AF53FB"/>
    <w:rsid w:val="00AF54DF"/>
    <w:rsid w:val="00AF569D"/>
    <w:rsid w:val="00AF5CEF"/>
    <w:rsid w:val="00AF60D7"/>
    <w:rsid w:val="00AF6282"/>
    <w:rsid w:val="00AF62BD"/>
    <w:rsid w:val="00AF6C1D"/>
    <w:rsid w:val="00AF77E2"/>
    <w:rsid w:val="00AF79A4"/>
    <w:rsid w:val="00AF7EEE"/>
    <w:rsid w:val="00AF7FD8"/>
    <w:rsid w:val="00B00227"/>
    <w:rsid w:val="00B004EB"/>
    <w:rsid w:val="00B00509"/>
    <w:rsid w:val="00B0051C"/>
    <w:rsid w:val="00B01038"/>
    <w:rsid w:val="00B012CB"/>
    <w:rsid w:val="00B0146F"/>
    <w:rsid w:val="00B01C12"/>
    <w:rsid w:val="00B01ED1"/>
    <w:rsid w:val="00B023E3"/>
    <w:rsid w:val="00B0263E"/>
    <w:rsid w:val="00B027AE"/>
    <w:rsid w:val="00B02A93"/>
    <w:rsid w:val="00B02DF7"/>
    <w:rsid w:val="00B02F7D"/>
    <w:rsid w:val="00B02FBB"/>
    <w:rsid w:val="00B03583"/>
    <w:rsid w:val="00B03742"/>
    <w:rsid w:val="00B0412B"/>
    <w:rsid w:val="00B042EB"/>
    <w:rsid w:val="00B04712"/>
    <w:rsid w:val="00B0474E"/>
    <w:rsid w:val="00B04AF3"/>
    <w:rsid w:val="00B04BC8"/>
    <w:rsid w:val="00B04E2A"/>
    <w:rsid w:val="00B0525F"/>
    <w:rsid w:val="00B0533F"/>
    <w:rsid w:val="00B0545D"/>
    <w:rsid w:val="00B0591A"/>
    <w:rsid w:val="00B05920"/>
    <w:rsid w:val="00B059B8"/>
    <w:rsid w:val="00B05EAE"/>
    <w:rsid w:val="00B066B1"/>
    <w:rsid w:val="00B073FC"/>
    <w:rsid w:val="00B1001C"/>
    <w:rsid w:val="00B1032F"/>
    <w:rsid w:val="00B1034D"/>
    <w:rsid w:val="00B1060F"/>
    <w:rsid w:val="00B10930"/>
    <w:rsid w:val="00B10C41"/>
    <w:rsid w:val="00B10FAD"/>
    <w:rsid w:val="00B11148"/>
    <w:rsid w:val="00B1168B"/>
    <w:rsid w:val="00B11BAE"/>
    <w:rsid w:val="00B11CCC"/>
    <w:rsid w:val="00B11D53"/>
    <w:rsid w:val="00B11DB1"/>
    <w:rsid w:val="00B12083"/>
    <w:rsid w:val="00B120A3"/>
    <w:rsid w:val="00B1236A"/>
    <w:rsid w:val="00B124C0"/>
    <w:rsid w:val="00B12AEB"/>
    <w:rsid w:val="00B131C3"/>
    <w:rsid w:val="00B13785"/>
    <w:rsid w:val="00B13B3F"/>
    <w:rsid w:val="00B13DAD"/>
    <w:rsid w:val="00B14318"/>
    <w:rsid w:val="00B14590"/>
    <w:rsid w:val="00B149A5"/>
    <w:rsid w:val="00B15237"/>
    <w:rsid w:val="00B1546D"/>
    <w:rsid w:val="00B1578A"/>
    <w:rsid w:val="00B15A37"/>
    <w:rsid w:val="00B15ED6"/>
    <w:rsid w:val="00B16091"/>
    <w:rsid w:val="00B1694C"/>
    <w:rsid w:val="00B16FDC"/>
    <w:rsid w:val="00B171A8"/>
    <w:rsid w:val="00B1734A"/>
    <w:rsid w:val="00B1782D"/>
    <w:rsid w:val="00B1789E"/>
    <w:rsid w:val="00B17D0B"/>
    <w:rsid w:val="00B17DA6"/>
    <w:rsid w:val="00B2075F"/>
    <w:rsid w:val="00B20A12"/>
    <w:rsid w:val="00B20F1C"/>
    <w:rsid w:val="00B21281"/>
    <w:rsid w:val="00B214C5"/>
    <w:rsid w:val="00B21EB4"/>
    <w:rsid w:val="00B22928"/>
    <w:rsid w:val="00B22AB0"/>
    <w:rsid w:val="00B22D4F"/>
    <w:rsid w:val="00B23177"/>
    <w:rsid w:val="00B2325F"/>
    <w:rsid w:val="00B2379C"/>
    <w:rsid w:val="00B23A1D"/>
    <w:rsid w:val="00B23C1D"/>
    <w:rsid w:val="00B24038"/>
    <w:rsid w:val="00B242E3"/>
    <w:rsid w:val="00B24332"/>
    <w:rsid w:val="00B24493"/>
    <w:rsid w:val="00B248BE"/>
    <w:rsid w:val="00B24AEB"/>
    <w:rsid w:val="00B24DEE"/>
    <w:rsid w:val="00B25547"/>
    <w:rsid w:val="00B25898"/>
    <w:rsid w:val="00B25BE1"/>
    <w:rsid w:val="00B25F0A"/>
    <w:rsid w:val="00B25F25"/>
    <w:rsid w:val="00B261CE"/>
    <w:rsid w:val="00B2626E"/>
    <w:rsid w:val="00B26BE6"/>
    <w:rsid w:val="00B26D9A"/>
    <w:rsid w:val="00B2719E"/>
    <w:rsid w:val="00B27565"/>
    <w:rsid w:val="00B27873"/>
    <w:rsid w:val="00B30CA1"/>
    <w:rsid w:val="00B3153F"/>
    <w:rsid w:val="00B317D2"/>
    <w:rsid w:val="00B32488"/>
    <w:rsid w:val="00B32DE1"/>
    <w:rsid w:val="00B330B9"/>
    <w:rsid w:val="00B330FD"/>
    <w:rsid w:val="00B33860"/>
    <w:rsid w:val="00B33E55"/>
    <w:rsid w:val="00B33F4D"/>
    <w:rsid w:val="00B34286"/>
    <w:rsid w:val="00B34352"/>
    <w:rsid w:val="00B34C86"/>
    <w:rsid w:val="00B34CC0"/>
    <w:rsid w:val="00B35395"/>
    <w:rsid w:val="00B355AD"/>
    <w:rsid w:val="00B35A05"/>
    <w:rsid w:val="00B35B5F"/>
    <w:rsid w:val="00B35C28"/>
    <w:rsid w:val="00B35E7D"/>
    <w:rsid w:val="00B36A8F"/>
    <w:rsid w:val="00B3750A"/>
    <w:rsid w:val="00B3779A"/>
    <w:rsid w:val="00B40322"/>
    <w:rsid w:val="00B40CD9"/>
    <w:rsid w:val="00B40DCB"/>
    <w:rsid w:val="00B40F39"/>
    <w:rsid w:val="00B4169E"/>
    <w:rsid w:val="00B427EB"/>
    <w:rsid w:val="00B42A16"/>
    <w:rsid w:val="00B42BAF"/>
    <w:rsid w:val="00B4362D"/>
    <w:rsid w:val="00B44008"/>
    <w:rsid w:val="00B44699"/>
    <w:rsid w:val="00B44934"/>
    <w:rsid w:val="00B451C2"/>
    <w:rsid w:val="00B45C01"/>
    <w:rsid w:val="00B462DD"/>
    <w:rsid w:val="00B4636E"/>
    <w:rsid w:val="00B46444"/>
    <w:rsid w:val="00B466A1"/>
    <w:rsid w:val="00B46944"/>
    <w:rsid w:val="00B46ABA"/>
    <w:rsid w:val="00B46C0D"/>
    <w:rsid w:val="00B4771E"/>
    <w:rsid w:val="00B479E9"/>
    <w:rsid w:val="00B47B22"/>
    <w:rsid w:val="00B47C92"/>
    <w:rsid w:val="00B47E1F"/>
    <w:rsid w:val="00B47F77"/>
    <w:rsid w:val="00B503EC"/>
    <w:rsid w:val="00B505B0"/>
    <w:rsid w:val="00B50825"/>
    <w:rsid w:val="00B513DD"/>
    <w:rsid w:val="00B5181A"/>
    <w:rsid w:val="00B525E6"/>
    <w:rsid w:val="00B53048"/>
    <w:rsid w:val="00B535CC"/>
    <w:rsid w:val="00B53EB3"/>
    <w:rsid w:val="00B54966"/>
    <w:rsid w:val="00B55DB8"/>
    <w:rsid w:val="00B567DC"/>
    <w:rsid w:val="00B56A09"/>
    <w:rsid w:val="00B56A33"/>
    <w:rsid w:val="00B56DE3"/>
    <w:rsid w:val="00B57094"/>
    <w:rsid w:val="00B573DC"/>
    <w:rsid w:val="00B57A11"/>
    <w:rsid w:val="00B57BA7"/>
    <w:rsid w:val="00B57C62"/>
    <w:rsid w:val="00B600C6"/>
    <w:rsid w:val="00B60563"/>
    <w:rsid w:val="00B60705"/>
    <w:rsid w:val="00B61028"/>
    <w:rsid w:val="00B618DE"/>
    <w:rsid w:val="00B61C2C"/>
    <w:rsid w:val="00B61CB6"/>
    <w:rsid w:val="00B62AC2"/>
    <w:rsid w:val="00B636B8"/>
    <w:rsid w:val="00B64188"/>
    <w:rsid w:val="00B64452"/>
    <w:rsid w:val="00B64FB4"/>
    <w:rsid w:val="00B6517C"/>
    <w:rsid w:val="00B653D6"/>
    <w:rsid w:val="00B6572C"/>
    <w:rsid w:val="00B65982"/>
    <w:rsid w:val="00B659EE"/>
    <w:rsid w:val="00B659F5"/>
    <w:rsid w:val="00B65A08"/>
    <w:rsid w:val="00B66646"/>
    <w:rsid w:val="00B66788"/>
    <w:rsid w:val="00B66861"/>
    <w:rsid w:val="00B66BA9"/>
    <w:rsid w:val="00B67473"/>
    <w:rsid w:val="00B676A4"/>
    <w:rsid w:val="00B677DC"/>
    <w:rsid w:val="00B67D3D"/>
    <w:rsid w:val="00B67D74"/>
    <w:rsid w:val="00B67FC3"/>
    <w:rsid w:val="00B700CE"/>
    <w:rsid w:val="00B705E3"/>
    <w:rsid w:val="00B70B52"/>
    <w:rsid w:val="00B71192"/>
    <w:rsid w:val="00B71454"/>
    <w:rsid w:val="00B71CD3"/>
    <w:rsid w:val="00B71D89"/>
    <w:rsid w:val="00B726F4"/>
    <w:rsid w:val="00B72B36"/>
    <w:rsid w:val="00B72D9A"/>
    <w:rsid w:val="00B73194"/>
    <w:rsid w:val="00B731F9"/>
    <w:rsid w:val="00B7351E"/>
    <w:rsid w:val="00B73937"/>
    <w:rsid w:val="00B73B5A"/>
    <w:rsid w:val="00B73CDD"/>
    <w:rsid w:val="00B73F07"/>
    <w:rsid w:val="00B74AE3"/>
    <w:rsid w:val="00B75372"/>
    <w:rsid w:val="00B759E6"/>
    <w:rsid w:val="00B75B44"/>
    <w:rsid w:val="00B76115"/>
    <w:rsid w:val="00B76255"/>
    <w:rsid w:val="00B76649"/>
    <w:rsid w:val="00B767E0"/>
    <w:rsid w:val="00B767EA"/>
    <w:rsid w:val="00B7701F"/>
    <w:rsid w:val="00B77AFC"/>
    <w:rsid w:val="00B77B6C"/>
    <w:rsid w:val="00B77C23"/>
    <w:rsid w:val="00B806A0"/>
    <w:rsid w:val="00B80708"/>
    <w:rsid w:val="00B80B97"/>
    <w:rsid w:val="00B80CA8"/>
    <w:rsid w:val="00B812E3"/>
    <w:rsid w:val="00B81AFE"/>
    <w:rsid w:val="00B81D50"/>
    <w:rsid w:val="00B81DDC"/>
    <w:rsid w:val="00B81DEF"/>
    <w:rsid w:val="00B81FBA"/>
    <w:rsid w:val="00B825A6"/>
    <w:rsid w:val="00B82740"/>
    <w:rsid w:val="00B82BD1"/>
    <w:rsid w:val="00B8378C"/>
    <w:rsid w:val="00B84082"/>
    <w:rsid w:val="00B8463E"/>
    <w:rsid w:val="00B847F8"/>
    <w:rsid w:val="00B849BB"/>
    <w:rsid w:val="00B84AB0"/>
    <w:rsid w:val="00B84E6F"/>
    <w:rsid w:val="00B851CD"/>
    <w:rsid w:val="00B8597D"/>
    <w:rsid w:val="00B85CD8"/>
    <w:rsid w:val="00B8666D"/>
    <w:rsid w:val="00B868E6"/>
    <w:rsid w:val="00B86B62"/>
    <w:rsid w:val="00B86D09"/>
    <w:rsid w:val="00B86DFE"/>
    <w:rsid w:val="00B873CC"/>
    <w:rsid w:val="00B9009E"/>
    <w:rsid w:val="00B902DF"/>
    <w:rsid w:val="00B9056D"/>
    <w:rsid w:val="00B907AC"/>
    <w:rsid w:val="00B90D33"/>
    <w:rsid w:val="00B92377"/>
    <w:rsid w:val="00B92422"/>
    <w:rsid w:val="00B9253E"/>
    <w:rsid w:val="00B9269F"/>
    <w:rsid w:val="00B928B1"/>
    <w:rsid w:val="00B92E99"/>
    <w:rsid w:val="00B92E9F"/>
    <w:rsid w:val="00B930F5"/>
    <w:rsid w:val="00B935F9"/>
    <w:rsid w:val="00B93648"/>
    <w:rsid w:val="00B93BB0"/>
    <w:rsid w:val="00B94604"/>
    <w:rsid w:val="00B94637"/>
    <w:rsid w:val="00B94659"/>
    <w:rsid w:val="00B94716"/>
    <w:rsid w:val="00B94B1B"/>
    <w:rsid w:val="00B957FF"/>
    <w:rsid w:val="00B95AB8"/>
    <w:rsid w:val="00B95C9B"/>
    <w:rsid w:val="00B95E6C"/>
    <w:rsid w:val="00B966C4"/>
    <w:rsid w:val="00B967FF"/>
    <w:rsid w:val="00B969ED"/>
    <w:rsid w:val="00B96D68"/>
    <w:rsid w:val="00B97177"/>
    <w:rsid w:val="00B97631"/>
    <w:rsid w:val="00B978AA"/>
    <w:rsid w:val="00B97C11"/>
    <w:rsid w:val="00BA0020"/>
    <w:rsid w:val="00BA042F"/>
    <w:rsid w:val="00BA0E77"/>
    <w:rsid w:val="00BA145A"/>
    <w:rsid w:val="00BA153E"/>
    <w:rsid w:val="00BA1781"/>
    <w:rsid w:val="00BA1C85"/>
    <w:rsid w:val="00BA2475"/>
    <w:rsid w:val="00BA27BC"/>
    <w:rsid w:val="00BA2E24"/>
    <w:rsid w:val="00BA4474"/>
    <w:rsid w:val="00BA465A"/>
    <w:rsid w:val="00BA4E5E"/>
    <w:rsid w:val="00BA507E"/>
    <w:rsid w:val="00BA5477"/>
    <w:rsid w:val="00BA5AA2"/>
    <w:rsid w:val="00BA62AC"/>
    <w:rsid w:val="00BA6F29"/>
    <w:rsid w:val="00BA73F2"/>
    <w:rsid w:val="00BA755C"/>
    <w:rsid w:val="00BA7884"/>
    <w:rsid w:val="00BA7E69"/>
    <w:rsid w:val="00BB0245"/>
    <w:rsid w:val="00BB0DA5"/>
    <w:rsid w:val="00BB0E7E"/>
    <w:rsid w:val="00BB138F"/>
    <w:rsid w:val="00BB13CF"/>
    <w:rsid w:val="00BB1A84"/>
    <w:rsid w:val="00BB1FF3"/>
    <w:rsid w:val="00BB2042"/>
    <w:rsid w:val="00BB271A"/>
    <w:rsid w:val="00BB2ABC"/>
    <w:rsid w:val="00BB2FEF"/>
    <w:rsid w:val="00BB3483"/>
    <w:rsid w:val="00BB3585"/>
    <w:rsid w:val="00BB3587"/>
    <w:rsid w:val="00BB40EE"/>
    <w:rsid w:val="00BB4198"/>
    <w:rsid w:val="00BB437D"/>
    <w:rsid w:val="00BB454F"/>
    <w:rsid w:val="00BB4556"/>
    <w:rsid w:val="00BB4AED"/>
    <w:rsid w:val="00BB4D20"/>
    <w:rsid w:val="00BB4DF7"/>
    <w:rsid w:val="00BB529D"/>
    <w:rsid w:val="00BB5547"/>
    <w:rsid w:val="00BB5741"/>
    <w:rsid w:val="00BB5FA5"/>
    <w:rsid w:val="00BB60B0"/>
    <w:rsid w:val="00BB6733"/>
    <w:rsid w:val="00BB6D17"/>
    <w:rsid w:val="00BB74D7"/>
    <w:rsid w:val="00BB7648"/>
    <w:rsid w:val="00BB7791"/>
    <w:rsid w:val="00BB7953"/>
    <w:rsid w:val="00BB7FDE"/>
    <w:rsid w:val="00BC015B"/>
    <w:rsid w:val="00BC0290"/>
    <w:rsid w:val="00BC06C0"/>
    <w:rsid w:val="00BC0A08"/>
    <w:rsid w:val="00BC0FC4"/>
    <w:rsid w:val="00BC1333"/>
    <w:rsid w:val="00BC1356"/>
    <w:rsid w:val="00BC17FF"/>
    <w:rsid w:val="00BC1925"/>
    <w:rsid w:val="00BC20DC"/>
    <w:rsid w:val="00BC2368"/>
    <w:rsid w:val="00BC2564"/>
    <w:rsid w:val="00BC294D"/>
    <w:rsid w:val="00BC3386"/>
    <w:rsid w:val="00BC348F"/>
    <w:rsid w:val="00BC34E3"/>
    <w:rsid w:val="00BC36A8"/>
    <w:rsid w:val="00BC36EF"/>
    <w:rsid w:val="00BC3D8E"/>
    <w:rsid w:val="00BC3E3C"/>
    <w:rsid w:val="00BC44C5"/>
    <w:rsid w:val="00BC4515"/>
    <w:rsid w:val="00BC45B8"/>
    <w:rsid w:val="00BC48F5"/>
    <w:rsid w:val="00BC4E23"/>
    <w:rsid w:val="00BC4F41"/>
    <w:rsid w:val="00BC5206"/>
    <w:rsid w:val="00BC5F51"/>
    <w:rsid w:val="00BC6058"/>
    <w:rsid w:val="00BC60AF"/>
    <w:rsid w:val="00BC7193"/>
    <w:rsid w:val="00BC72DA"/>
    <w:rsid w:val="00BC731B"/>
    <w:rsid w:val="00BC7834"/>
    <w:rsid w:val="00BD01F6"/>
    <w:rsid w:val="00BD034E"/>
    <w:rsid w:val="00BD07F2"/>
    <w:rsid w:val="00BD0B0D"/>
    <w:rsid w:val="00BD0BCB"/>
    <w:rsid w:val="00BD0C48"/>
    <w:rsid w:val="00BD0DC7"/>
    <w:rsid w:val="00BD1034"/>
    <w:rsid w:val="00BD114E"/>
    <w:rsid w:val="00BD130E"/>
    <w:rsid w:val="00BD19A9"/>
    <w:rsid w:val="00BD233E"/>
    <w:rsid w:val="00BD27C6"/>
    <w:rsid w:val="00BD28AC"/>
    <w:rsid w:val="00BD2B8E"/>
    <w:rsid w:val="00BD2D13"/>
    <w:rsid w:val="00BD2D1C"/>
    <w:rsid w:val="00BD3B25"/>
    <w:rsid w:val="00BD3C5E"/>
    <w:rsid w:val="00BD3D0A"/>
    <w:rsid w:val="00BD3D46"/>
    <w:rsid w:val="00BD4762"/>
    <w:rsid w:val="00BD4D90"/>
    <w:rsid w:val="00BD525C"/>
    <w:rsid w:val="00BD5B01"/>
    <w:rsid w:val="00BD5FAA"/>
    <w:rsid w:val="00BD607B"/>
    <w:rsid w:val="00BD651F"/>
    <w:rsid w:val="00BD68C0"/>
    <w:rsid w:val="00BD7096"/>
    <w:rsid w:val="00BD710E"/>
    <w:rsid w:val="00BD7417"/>
    <w:rsid w:val="00BD7550"/>
    <w:rsid w:val="00BD772F"/>
    <w:rsid w:val="00BD7812"/>
    <w:rsid w:val="00BD79AD"/>
    <w:rsid w:val="00BD7BA2"/>
    <w:rsid w:val="00BE07D8"/>
    <w:rsid w:val="00BE08E6"/>
    <w:rsid w:val="00BE096F"/>
    <w:rsid w:val="00BE101C"/>
    <w:rsid w:val="00BE17D1"/>
    <w:rsid w:val="00BE1866"/>
    <w:rsid w:val="00BE23DC"/>
    <w:rsid w:val="00BE2A13"/>
    <w:rsid w:val="00BE2B7F"/>
    <w:rsid w:val="00BE2B99"/>
    <w:rsid w:val="00BE374D"/>
    <w:rsid w:val="00BE3DE6"/>
    <w:rsid w:val="00BE3E2A"/>
    <w:rsid w:val="00BE3E96"/>
    <w:rsid w:val="00BE405B"/>
    <w:rsid w:val="00BE4619"/>
    <w:rsid w:val="00BE5096"/>
    <w:rsid w:val="00BE5882"/>
    <w:rsid w:val="00BE5EA1"/>
    <w:rsid w:val="00BE6A92"/>
    <w:rsid w:val="00BE6F9D"/>
    <w:rsid w:val="00BE77A9"/>
    <w:rsid w:val="00BE79E4"/>
    <w:rsid w:val="00BE7B4B"/>
    <w:rsid w:val="00BF01F3"/>
    <w:rsid w:val="00BF151C"/>
    <w:rsid w:val="00BF165E"/>
    <w:rsid w:val="00BF2264"/>
    <w:rsid w:val="00BF2595"/>
    <w:rsid w:val="00BF2894"/>
    <w:rsid w:val="00BF2B9F"/>
    <w:rsid w:val="00BF2F8D"/>
    <w:rsid w:val="00BF321A"/>
    <w:rsid w:val="00BF3ACA"/>
    <w:rsid w:val="00BF4063"/>
    <w:rsid w:val="00BF43F6"/>
    <w:rsid w:val="00BF4D6B"/>
    <w:rsid w:val="00BF5662"/>
    <w:rsid w:val="00BF56FC"/>
    <w:rsid w:val="00BF5ACD"/>
    <w:rsid w:val="00BF63C0"/>
    <w:rsid w:val="00BF6491"/>
    <w:rsid w:val="00BF655D"/>
    <w:rsid w:val="00BF69D1"/>
    <w:rsid w:val="00BF6B3D"/>
    <w:rsid w:val="00BF7169"/>
    <w:rsid w:val="00BF7291"/>
    <w:rsid w:val="00BF738F"/>
    <w:rsid w:val="00BF75CA"/>
    <w:rsid w:val="00BF7B50"/>
    <w:rsid w:val="00C008DF"/>
    <w:rsid w:val="00C008FB"/>
    <w:rsid w:val="00C00C06"/>
    <w:rsid w:val="00C00D33"/>
    <w:rsid w:val="00C01C7B"/>
    <w:rsid w:val="00C01D13"/>
    <w:rsid w:val="00C0207E"/>
    <w:rsid w:val="00C02F80"/>
    <w:rsid w:val="00C040B1"/>
    <w:rsid w:val="00C041AB"/>
    <w:rsid w:val="00C044FB"/>
    <w:rsid w:val="00C04536"/>
    <w:rsid w:val="00C0485D"/>
    <w:rsid w:val="00C049E1"/>
    <w:rsid w:val="00C04BA4"/>
    <w:rsid w:val="00C052F9"/>
    <w:rsid w:val="00C05338"/>
    <w:rsid w:val="00C058DF"/>
    <w:rsid w:val="00C0661E"/>
    <w:rsid w:val="00C06BF4"/>
    <w:rsid w:val="00C06F07"/>
    <w:rsid w:val="00C06F4A"/>
    <w:rsid w:val="00C0750E"/>
    <w:rsid w:val="00C078A9"/>
    <w:rsid w:val="00C0799E"/>
    <w:rsid w:val="00C07AE8"/>
    <w:rsid w:val="00C10134"/>
    <w:rsid w:val="00C102BD"/>
    <w:rsid w:val="00C105E3"/>
    <w:rsid w:val="00C10607"/>
    <w:rsid w:val="00C10756"/>
    <w:rsid w:val="00C10952"/>
    <w:rsid w:val="00C10B8D"/>
    <w:rsid w:val="00C10C83"/>
    <w:rsid w:val="00C11D19"/>
    <w:rsid w:val="00C11DA5"/>
    <w:rsid w:val="00C122A8"/>
    <w:rsid w:val="00C1278A"/>
    <w:rsid w:val="00C12870"/>
    <w:rsid w:val="00C1297B"/>
    <w:rsid w:val="00C12AE8"/>
    <w:rsid w:val="00C12C0B"/>
    <w:rsid w:val="00C12E62"/>
    <w:rsid w:val="00C1325D"/>
    <w:rsid w:val="00C13813"/>
    <w:rsid w:val="00C13BC7"/>
    <w:rsid w:val="00C13C4C"/>
    <w:rsid w:val="00C13D39"/>
    <w:rsid w:val="00C14016"/>
    <w:rsid w:val="00C1426F"/>
    <w:rsid w:val="00C14641"/>
    <w:rsid w:val="00C14929"/>
    <w:rsid w:val="00C1546C"/>
    <w:rsid w:val="00C15810"/>
    <w:rsid w:val="00C159E4"/>
    <w:rsid w:val="00C15CB0"/>
    <w:rsid w:val="00C16171"/>
    <w:rsid w:val="00C16C7C"/>
    <w:rsid w:val="00C16D26"/>
    <w:rsid w:val="00C16EC7"/>
    <w:rsid w:val="00C17109"/>
    <w:rsid w:val="00C1790E"/>
    <w:rsid w:val="00C201BD"/>
    <w:rsid w:val="00C202F0"/>
    <w:rsid w:val="00C20609"/>
    <w:rsid w:val="00C20AE6"/>
    <w:rsid w:val="00C20E0F"/>
    <w:rsid w:val="00C2134F"/>
    <w:rsid w:val="00C21463"/>
    <w:rsid w:val="00C21807"/>
    <w:rsid w:val="00C2223C"/>
    <w:rsid w:val="00C225D8"/>
    <w:rsid w:val="00C229C9"/>
    <w:rsid w:val="00C231A9"/>
    <w:rsid w:val="00C23ECD"/>
    <w:rsid w:val="00C242C6"/>
    <w:rsid w:val="00C242F7"/>
    <w:rsid w:val="00C244C3"/>
    <w:rsid w:val="00C24517"/>
    <w:rsid w:val="00C246BF"/>
    <w:rsid w:val="00C24765"/>
    <w:rsid w:val="00C24A68"/>
    <w:rsid w:val="00C25420"/>
    <w:rsid w:val="00C25430"/>
    <w:rsid w:val="00C25BB1"/>
    <w:rsid w:val="00C25ED7"/>
    <w:rsid w:val="00C25EDE"/>
    <w:rsid w:val="00C2603E"/>
    <w:rsid w:val="00C2621F"/>
    <w:rsid w:val="00C26600"/>
    <w:rsid w:val="00C26A0C"/>
    <w:rsid w:val="00C26A41"/>
    <w:rsid w:val="00C26EDD"/>
    <w:rsid w:val="00C26FA7"/>
    <w:rsid w:val="00C278F2"/>
    <w:rsid w:val="00C27F00"/>
    <w:rsid w:val="00C30477"/>
    <w:rsid w:val="00C30DC6"/>
    <w:rsid w:val="00C3162A"/>
    <w:rsid w:val="00C326BF"/>
    <w:rsid w:val="00C328D7"/>
    <w:rsid w:val="00C32D36"/>
    <w:rsid w:val="00C32FCB"/>
    <w:rsid w:val="00C33017"/>
    <w:rsid w:val="00C3306B"/>
    <w:rsid w:val="00C33210"/>
    <w:rsid w:val="00C3352F"/>
    <w:rsid w:val="00C3364B"/>
    <w:rsid w:val="00C336D0"/>
    <w:rsid w:val="00C338A9"/>
    <w:rsid w:val="00C33A19"/>
    <w:rsid w:val="00C3439A"/>
    <w:rsid w:val="00C34636"/>
    <w:rsid w:val="00C35650"/>
    <w:rsid w:val="00C3618F"/>
    <w:rsid w:val="00C36BF2"/>
    <w:rsid w:val="00C37969"/>
    <w:rsid w:val="00C37BC7"/>
    <w:rsid w:val="00C37CA7"/>
    <w:rsid w:val="00C37EF7"/>
    <w:rsid w:val="00C40D37"/>
    <w:rsid w:val="00C4156B"/>
    <w:rsid w:val="00C417FA"/>
    <w:rsid w:val="00C41ADB"/>
    <w:rsid w:val="00C41E51"/>
    <w:rsid w:val="00C4206B"/>
    <w:rsid w:val="00C42285"/>
    <w:rsid w:val="00C4240E"/>
    <w:rsid w:val="00C42D2A"/>
    <w:rsid w:val="00C42F61"/>
    <w:rsid w:val="00C431C4"/>
    <w:rsid w:val="00C432C1"/>
    <w:rsid w:val="00C43491"/>
    <w:rsid w:val="00C4351D"/>
    <w:rsid w:val="00C438EF"/>
    <w:rsid w:val="00C43BD8"/>
    <w:rsid w:val="00C43C11"/>
    <w:rsid w:val="00C4437C"/>
    <w:rsid w:val="00C443CB"/>
    <w:rsid w:val="00C44FA2"/>
    <w:rsid w:val="00C4590E"/>
    <w:rsid w:val="00C45B1B"/>
    <w:rsid w:val="00C45E01"/>
    <w:rsid w:val="00C46506"/>
    <w:rsid w:val="00C46C70"/>
    <w:rsid w:val="00C46E93"/>
    <w:rsid w:val="00C47197"/>
    <w:rsid w:val="00C47556"/>
    <w:rsid w:val="00C475A9"/>
    <w:rsid w:val="00C47880"/>
    <w:rsid w:val="00C47D2B"/>
    <w:rsid w:val="00C50748"/>
    <w:rsid w:val="00C5077D"/>
    <w:rsid w:val="00C509A9"/>
    <w:rsid w:val="00C51895"/>
    <w:rsid w:val="00C51E83"/>
    <w:rsid w:val="00C5265F"/>
    <w:rsid w:val="00C528B1"/>
    <w:rsid w:val="00C52A23"/>
    <w:rsid w:val="00C5396E"/>
    <w:rsid w:val="00C53B36"/>
    <w:rsid w:val="00C53E26"/>
    <w:rsid w:val="00C54744"/>
    <w:rsid w:val="00C54847"/>
    <w:rsid w:val="00C54B5D"/>
    <w:rsid w:val="00C54C81"/>
    <w:rsid w:val="00C54D7B"/>
    <w:rsid w:val="00C54F2E"/>
    <w:rsid w:val="00C55357"/>
    <w:rsid w:val="00C55384"/>
    <w:rsid w:val="00C557EB"/>
    <w:rsid w:val="00C55B53"/>
    <w:rsid w:val="00C561B5"/>
    <w:rsid w:val="00C566CE"/>
    <w:rsid w:val="00C57212"/>
    <w:rsid w:val="00C5768A"/>
    <w:rsid w:val="00C57907"/>
    <w:rsid w:val="00C57AE1"/>
    <w:rsid w:val="00C57C5B"/>
    <w:rsid w:val="00C60419"/>
    <w:rsid w:val="00C6042C"/>
    <w:rsid w:val="00C6063D"/>
    <w:rsid w:val="00C60790"/>
    <w:rsid w:val="00C60AC3"/>
    <w:rsid w:val="00C60AD2"/>
    <w:rsid w:val="00C6192C"/>
    <w:rsid w:val="00C6244E"/>
    <w:rsid w:val="00C62499"/>
    <w:rsid w:val="00C62515"/>
    <w:rsid w:val="00C62690"/>
    <w:rsid w:val="00C62760"/>
    <w:rsid w:val="00C62B15"/>
    <w:rsid w:val="00C64223"/>
    <w:rsid w:val="00C6448C"/>
    <w:rsid w:val="00C64595"/>
    <w:rsid w:val="00C645FC"/>
    <w:rsid w:val="00C652DD"/>
    <w:rsid w:val="00C657D1"/>
    <w:rsid w:val="00C65C08"/>
    <w:rsid w:val="00C65C4C"/>
    <w:rsid w:val="00C65C8B"/>
    <w:rsid w:val="00C65D76"/>
    <w:rsid w:val="00C65ED9"/>
    <w:rsid w:val="00C65F2A"/>
    <w:rsid w:val="00C6660A"/>
    <w:rsid w:val="00C6687A"/>
    <w:rsid w:val="00C6688C"/>
    <w:rsid w:val="00C66A4D"/>
    <w:rsid w:val="00C66BFB"/>
    <w:rsid w:val="00C66E51"/>
    <w:rsid w:val="00C6702E"/>
    <w:rsid w:val="00C6717C"/>
    <w:rsid w:val="00C6763D"/>
    <w:rsid w:val="00C676ED"/>
    <w:rsid w:val="00C67B7D"/>
    <w:rsid w:val="00C67BB8"/>
    <w:rsid w:val="00C67D9B"/>
    <w:rsid w:val="00C67EEA"/>
    <w:rsid w:val="00C70075"/>
    <w:rsid w:val="00C70548"/>
    <w:rsid w:val="00C7063A"/>
    <w:rsid w:val="00C706C2"/>
    <w:rsid w:val="00C709D9"/>
    <w:rsid w:val="00C70A24"/>
    <w:rsid w:val="00C70EDE"/>
    <w:rsid w:val="00C71069"/>
    <w:rsid w:val="00C711C0"/>
    <w:rsid w:val="00C717DB"/>
    <w:rsid w:val="00C71B76"/>
    <w:rsid w:val="00C72496"/>
    <w:rsid w:val="00C728E6"/>
    <w:rsid w:val="00C72F73"/>
    <w:rsid w:val="00C73725"/>
    <w:rsid w:val="00C73827"/>
    <w:rsid w:val="00C73B14"/>
    <w:rsid w:val="00C73C2C"/>
    <w:rsid w:val="00C73E82"/>
    <w:rsid w:val="00C74598"/>
    <w:rsid w:val="00C74C7A"/>
    <w:rsid w:val="00C74D0B"/>
    <w:rsid w:val="00C75A8A"/>
    <w:rsid w:val="00C75FD4"/>
    <w:rsid w:val="00C76080"/>
    <w:rsid w:val="00C76148"/>
    <w:rsid w:val="00C7638C"/>
    <w:rsid w:val="00C765E2"/>
    <w:rsid w:val="00C7692B"/>
    <w:rsid w:val="00C7698A"/>
    <w:rsid w:val="00C77341"/>
    <w:rsid w:val="00C776AF"/>
    <w:rsid w:val="00C77755"/>
    <w:rsid w:val="00C77848"/>
    <w:rsid w:val="00C77E9B"/>
    <w:rsid w:val="00C8022D"/>
    <w:rsid w:val="00C8099A"/>
    <w:rsid w:val="00C80E89"/>
    <w:rsid w:val="00C80F68"/>
    <w:rsid w:val="00C8124C"/>
    <w:rsid w:val="00C8133A"/>
    <w:rsid w:val="00C8155B"/>
    <w:rsid w:val="00C8156D"/>
    <w:rsid w:val="00C8227C"/>
    <w:rsid w:val="00C82DE3"/>
    <w:rsid w:val="00C82F8E"/>
    <w:rsid w:val="00C84798"/>
    <w:rsid w:val="00C84F55"/>
    <w:rsid w:val="00C84FA2"/>
    <w:rsid w:val="00C850CA"/>
    <w:rsid w:val="00C850EF"/>
    <w:rsid w:val="00C85114"/>
    <w:rsid w:val="00C852CF"/>
    <w:rsid w:val="00C854DA"/>
    <w:rsid w:val="00C8562B"/>
    <w:rsid w:val="00C85A67"/>
    <w:rsid w:val="00C85E0B"/>
    <w:rsid w:val="00C85F1E"/>
    <w:rsid w:val="00C86322"/>
    <w:rsid w:val="00C86A18"/>
    <w:rsid w:val="00C87005"/>
    <w:rsid w:val="00C87645"/>
    <w:rsid w:val="00C87D5B"/>
    <w:rsid w:val="00C87E58"/>
    <w:rsid w:val="00C90C80"/>
    <w:rsid w:val="00C90EC1"/>
    <w:rsid w:val="00C911F8"/>
    <w:rsid w:val="00C91218"/>
    <w:rsid w:val="00C914C8"/>
    <w:rsid w:val="00C91884"/>
    <w:rsid w:val="00C919A1"/>
    <w:rsid w:val="00C919B4"/>
    <w:rsid w:val="00C919BB"/>
    <w:rsid w:val="00C91ADD"/>
    <w:rsid w:val="00C91D64"/>
    <w:rsid w:val="00C91E60"/>
    <w:rsid w:val="00C925D9"/>
    <w:rsid w:val="00C9289D"/>
    <w:rsid w:val="00C92E5C"/>
    <w:rsid w:val="00C92ECF"/>
    <w:rsid w:val="00C93703"/>
    <w:rsid w:val="00C9378F"/>
    <w:rsid w:val="00C93A15"/>
    <w:rsid w:val="00C93A3F"/>
    <w:rsid w:val="00C93DE4"/>
    <w:rsid w:val="00C94048"/>
    <w:rsid w:val="00C940E5"/>
    <w:rsid w:val="00C94A5D"/>
    <w:rsid w:val="00C94B10"/>
    <w:rsid w:val="00C94CB7"/>
    <w:rsid w:val="00C95068"/>
    <w:rsid w:val="00C950EB"/>
    <w:rsid w:val="00C95C39"/>
    <w:rsid w:val="00C96076"/>
    <w:rsid w:val="00C962CC"/>
    <w:rsid w:val="00C96D6D"/>
    <w:rsid w:val="00C96F4A"/>
    <w:rsid w:val="00C9722F"/>
    <w:rsid w:val="00C9736B"/>
    <w:rsid w:val="00C973EE"/>
    <w:rsid w:val="00C977CE"/>
    <w:rsid w:val="00C97CB7"/>
    <w:rsid w:val="00C97EDB"/>
    <w:rsid w:val="00CA023F"/>
    <w:rsid w:val="00CA041D"/>
    <w:rsid w:val="00CA04C3"/>
    <w:rsid w:val="00CA05CF"/>
    <w:rsid w:val="00CA094D"/>
    <w:rsid w:val="00CA120E"/>
    <w:rsid w:val="00CA1225"/>
    <w:rsid w:val="00CA178D"/>
    <w:rsid w:val="00CA257B"/>
    <w:rsid w:val="00CA2736"/>
    <w:rsid w:val="00CA27C2"/>
    <w:rsid w:val="00CA2BC2"/>
    <w:rsid w:val="00CA3361"/>
    <w:rsid w:val="00CA3A78"/>
    <w:rsid w:val="00CA3ABC"/>
    <w:rsid w:val="00CA3E4C"/>
    <w:rsid w:val="00CA41D5"/>
    <w:rsid w:val="00CA5578"/>
    <w:rsid w:val="00CA55D1"/>
    <w:rsid w:val="00CA5AC1"/>
    <w:rsid w:val="00CA5B58"/>
    <w:rsid w:val="00CA64BF"/>
    <w:rsid w:val="00CA670D"/>
    <w:rsid w:val="00CA6F0C"/>
    <w:rsid w:val="00CA71E1"/>
    <w:rsid w:val="00CA74B9"/>
    <w:rsid w:val="00CA7D99"/>
    <w:rsid w:val="00CA7E6F"/>
    <w:rsid w:val="00CA7FCB"/>
    <w:rsid w:val="00CB0049"/>
    <w:rsid w:val="00CB05F0"/>
    <w:rsid w:val="00CB09D7"/>
    <w:rsid w:val="00CB0AEB"/>
    <w:rsid w:val="00CB0BA8"/>
    <w:rsid w:val="00CB0BB9"/>
    <w:rsid w:val="00CB0E81"/>
    <w:rsid w:val="00CB1484"/>
    <w:rsid w:val="00CB1589"/>
    <w:rsid w:val="00CB1886"/>
    <w:rsid w:val="00CB1DD2"/>
    <w:rsid w:val="00CB1EC5"/>
    <w:rsid w:val="00CB287B"/>
    <w:rsid w:val="00CB2909"/>
    <w:rsid w:val="00CB34D7"/>
    <w:rsid w:val="00CB3954"/>
    <w:rsid w:val="00CB3D27"/>
    <w:rsid w:val="00CB4357"/>
    <w:rsid w:val="00CB49BF"/>
    <w:rsid w:val="00CB51C8"/>
    <w:rsid w:val="00CB51E6"/>
    <w:rsid w:val="00CB571E"/>
    <w:rsid w:val="00CB5B0D"/>
    <w:rsid w:val="00CB5E8C"/>
    <w:rsid w:val="00CB6B41"/>
    <w:rsid w:val="00CB6C72"/>
    <w:rsid w:val="00CB742C"/>
    <w:rsid w:val="00CB7759"/>
    <w:rsid w:val="00CB77DB"/>
    <w:rsid w:val="00CB7C02"/>
    <w:rsid w:val="00CC01BE"/>
    <w:rsid w:val="00CC0C49"/>
    <w:rsid w:val="00CC0DB9"/>
    <w:rsid w:val="00CC0F76"/>
    <w:rsid w:val="00CC131A"/>
    <w:rsid w:val="00CC15B6"/>
    <w:rsid w:val="00CC181F"/>
    <w:rsid w:val="00CC1A4D"/>
    <w:rsid w:val="00CC20E9"/>
    <w:rsid w:val="00CC252C"/>
    <w:rsid w:val="00CC2B9F"/>
    <w:rsid w:val="00CC2E54"/>
    <w:rsid w:val="00CC2F44"/>
    <w:rsid w:val="00CC3098"/>
    <w:rsid w:val="00CC30F3"/>
    <w:rsid w:val="00CC3550"/>
    <w:rsid w:val="00CC3844"/>
    <w:rsid w:val="00CC3C6A"/>
    <w:rsid w:val="00CC3CA1"/>
    <w:rsid w:val="00CC48ED"/>
    <w:rsid w:val="00CC4BBF"/>
    <w:rsid w:val="00CC4D7D"/>
    <w:rsid w:val="00CC57DB"/>
    <w:rsid w:val="00CC5ED4"/>
    <w:rsid w:val="00CC61D5"/>
    <w:rsid w:val="00CC62AA"/>
    <w:rsid w:val="00CC67DF"/>
    <w:rsid w:val="00CC6C52"/>
    <w:rsid w:val="00CC7329"/>
    <w:rsid w:val="00CC7679"/>
    <w:rsid w:val="00CC7906"/>
    <w:rsid w:val="00CC7AC1"/>
    <w:rsid w:val="00CC7C3A"/>
    <w:rsid w:val="00CC7FB0"/>
    <w:rsid w:val="00CD11DB"/>
    <w:rsid w:val="00CD1821"/>
    <w:rsid w:val="00CD1FA1"/>
    <w:rsid w:val="00CD23BD"/>
    <w:rsid w:val="00CD328A"/>
    <w:rsid w:val="00CD33DF"/>
    <w:rsid w:val="00CD3631"/>
    <w:rsid w:val="00CD3CFB"/>
    <w:rsid w:val="00CD3D1B"/>
    <w:rsid w:val="00CD3D41"/>
    <w:rsid w:val="00CD3ED4"/>
    <w:rsid w:val="00CD4295"/>
    <w:rsid w:val="00CD453F"/>
    <w:rsid w:val="00CD45DF"/>
    <w:rsid w:val="00CD4CCF"/>
    <w:rsid w:val="00CD4F9F"/>
    <w:rsid w:val="00CD539D"/>
    <w:rsid w:val="00CD5820"/>
    <w:rsid w:val="00CD62A0"/>
    <w:rsid w:val="00CD6483"/>
    <w:rsid w:val="00CD67B9"/>
    <w:rsid w:val="00CD6998"/>
    <w:rsid w:val="00CD6DD0"/>
    <w:rsid w:val="00CD6E95"/>
    <w:rsid w:val="00CD7137"/>
    <w:rsid w:val="00CD71D8"/>
    <w:rsid w:val="00CD72FF"/>
    <w:rsid w:val="00CD73BA"/>
    <w:rsid w:val="00CD75E0"/>
    <w:rsid w:val="00CD7B82"/>
    <w:rsid w:val="00CD7DB3"/>
    <w:rsid w:val="00CD7E99"/>
    <w:rsid w:val="00CD7F47"/>
    <w:rsid w:val="00CE1BEA"/>
    <w:rsid w:val="00CE2344"/>
    <w:rsid w:val="00CE26B2"/>
    <w:rsid w:val="00CE35A8"/>
    <w:rsid w:val="00CE3B35"/>
    <w:rsid w:val="00CE3B7D"/>
    <w:rsid w:val="00CE3FF0"/>
    <w:rsid w:val="00CE5C06"/>
    <w:rsid w:val="00CE5E7B"/>
    <w:rsid w:val="00CE5F30"/>
    <w:rsid w:val="00CE6295"/>
    <w:rsid w:val="00CE67DD"/>
    <w:rsid w:val="00CE6973"/>
    <w:rsid w:val="00CE6D11"/>
    <w:rsid w:val="00CE71D5"/>
    <w:rsid w:val="00CE731F"/>
    <w:rsid w:val="00CE752A"/>
    <w:rsid w:val="00CE77AC"/>
    <w:rsid w:val="00CE7918"/>
    <w:rsid w:val="00CE7964"/>
    <w:rsid w:val="00CE7C5D"/>
    <w:rsid w:val="00CE7F06"/>
    <w:rsid w:val="00CF0330"/>
    <w:rsid w:val="00CF039A"/>
    <w:rsid w:val="00CF03B2"/>
    <w:rsid w:val="00CF0565"/>
    <w:rsid w:val="00CF0A9D"/>
    <w:rsid w:val="00CF1113"/>
    <w:rsid w:val="00CF1291"/>
    <w:rsid w:val="00CF15D7"/>
    <w:rsid w:val="00CF1755"/>
    <w:rsid w:val="00CF178B"/>
    <w:rsid w:val="00CF1791"/>
    <w:rsid w:val="00CF1E96"/>
    <w:rsid w:val="00CF21F5"/>
    <w:rsid w:val="00CF2331"/>
    <w:rsid w:val="00CF2A23"/>
    <w:rsid w:val="00CF2A8A"/>
    <w:rsid w:val="00CF2B5D"/>
    <w:rsid w:val="00CF2CA1"/>
    <w:rsid w:val="00CF2CAF"/>
    <w:rsid w:val="00CF2D3B"/>
    <w:rsid w:val="00CF381B"/>
    <w:rsid w:val="00CF39CA"/>
    <w:rsid w:val="00CF3CB6"/>
    <w:rsid w:val="00CF471C"/>
    <w:rsid w:val="00CF4722"/>
    <w:rsid w:val="00CF4961"/>
    <w:rsid w:val="00CF4984"/>
    <w:rsid w:val="00CF4DCD"/>
    <w:rsid w:val="00CF50A2"/>
    <w:rsid w:val="00CF5423"/>
    <w:rsid w:val="00CF6319"/>
    <w:rsid w:val="00CF6626"/>
    <w:rsid w:val="00CF671F"/>
    <w:rsid w:val="00CF6881"/>
    <w:rsid w:val="00CF6FE6"/>
    <w:rsid w:val="00CF711A"/>
    <w:rsid w:val="00CF7421"/>
    <w:rsid w:val="00CF752E"/>
    <w:rsid w:val="00CF7591"/>
    <w:rsid w:val="00CF7692"/>
    <w:rsid w:val="00CF76A7"/>
    <w:rsid w:val="00D009CB"/>
    <w:rsid w:val="00D00A24"/>
    <w:rsid w:val="00D00B5D"/>
    <w:rsid w:val="00D00E6E"/>
    <w:rsid w:val="00D018BB"/>
    <w:rsid w:val="00D019C6"/>
    <w:rsid w:val="00D01C13"/>
    <w:rsid w:val="00D0272D"/>
    <w:rsid w:val="00D02D60"/>
    <w:rsid w:val="00D02FF2"/>
    <w:rsid w:val="00D038B3"/>
    <w:rsid w:val="00D0396B"/>
    <w:rsid w:val="00D03EB7"/>
    <w:rsid w:val="00D03F79"/>
    <w:rsid w:val="00D0459B"/>
    <w:rsid w:val="00D04A46"/>
    <w:rsid w:val="00D04BC3"/>
    <w:rsid w:val="00D04BC9"/>
    <w:rsid w:val="00D04BCD"/>
    <w:rsid w:val="00D04E16"/>
    <w:rsid w:val="00D0532C"/>
    <w:rsid w:val="00D05429"/>
    <w:rsid w:val="00D05543"/>
    <w:rsid w:val="00D055B0"/>
    <w:rsid w:val="00D055F0"/>
    <w:rsid w:val="00D05BC4"/>
    <w:rsid w:val="00D05C4F"/>
    <w:rsid w:val="00D0656E"/>
    <w:rsid w:val="00D0672D"/>
    <w:rsid w:val="00D0690A"/>
    <w:rsid w:val="00D06B4A"/>
    <w:rsid w:val="00D06D11"/>
    <w:rsid w:val="00D06ECA"/>
    <w:rsid w:val="00D073E5"/>
    <w:rsid w:val="00D075F2"/>
    <w:rsid w:val="00D076DA"/>
    <w:rsid w:val="00D0794E"/>
    <w:rsid w:val="00D108FF"/>
    <w:rsid w:val="00D10950"/>
    <w:rsid w:val="00D10B26"/>
    <w:rsid w:val="00D10C39"/>
    <w:rsid w:val="00D1159B"/>
    <w:rsid w:val="00D115EB"/>
    <w:rsid w:val="00D117AB"/>
    <w:rsid w:val="00D120DF"/>
    <w:rsid w:val="00D12415"/>
    <w:rsid w:val="00D12B3A"/>
    <w:rsid w:val="00D1337C"/>
    <w:rsid w:val="00D13598"/>
    <w:rsid w:val="00D1408E"/>
    <w:rsid w:val="00D14234"/>
    <w:rsid w:val="00D14369"/>
    <w:rsid w:val="00D144E8"/>
    <w:rsid w:val="00D14676"/>
    <w:rsid w:val="00D146B0"/>
    <w:rsid w:val="00D1491B"/>
    <w:rsid w:val="00D14A51"/>
    <w:rsid w:val="00D14C46"/>
    <w:rsid w:val="00D14D7C"/>
    <w:rsid w:val="00D151A7"/>
    <w:rsid w:val="00D159A4"/>
    <w:rsid w:val="00D15CA8"/>
    <w:rsid w:val="00D15E15"/>
    <w:rsid w:val="00D167C5"/>
    <w:rsid w:val="00D1681E"/>
    <w:rsid w:val="00D16C88"/>
    <w:rsid w:val="00D16D43"/>
    <w:rsid w:val="00D17B3C"/>
    <w:rsid w:val="00D17DBF"/>
    <w:rsid w:val="00D2016D"/>
    <w:rsid w:val="00D20C26"/>
    <w:rsid w:val="00D2115C"/>
    <w:rsid w:val="00D212E7"/>
    <w:rsid w:val="00D2155A"/>
    <w:rsid w:val="00D21F99"/>
    <w:rsid w:val="00D2239A"/>
    <w:rsid w:val="00D230F9"/>
    <w:rsid w:val="00D231C8"/>
    <w:rsid w:val="00D23ADF"/>
    <w:rsid w:val="00D24241"/>
    <w:rsid w:val="00D247AE"/>
    <w:rsid w:val="00D24C2C"/>
    <w:rsid w:val="00D24D13"/>
    <w:rsid w:val="00D2534E"/>
    <w:rsid w:val="00D254AF"/>
    <w:rsid w:val="00D25630"/>
    <w:rsid w:val="00D25A59"/>
    <w:rsid w:val="00D25FC2"/>
    <w:rsid w:val="00D26426"/>
    <w:rsid w:val="00D26DF6"/>
    <w:rsid w:val="00D2769E"/>
    <w:rsid w:val="00D27C13"/>
    <w:rsid w:val="00D3043E"/>
    <w:rsid w:val="00D30C6A"/>
    <w:rsid w:val="00D318E3"/>
    <w:rsid w:val="00D31A1B"/>
    <w:rsid w:val="00D31A7D"/>
    <w:rsid w:val="00D31B99"/>
    <w:rsid w:val="00D31C0B"/>
    <w:rsid w:val="00D31CBD"/>
    <w:rsid w:val="00D31F28"/>
    <w:rsid w:val="00D32072"/>
    <w:rsid w:val="00D3250B"/>
    <w:rsid w:val="00D32562"/>
    <w:rsid w:val="00D32716"/>
    <w:rsid w:val="00D32A1F"/>
    <w:rsid w:val="00D32EA5"/>
    <w:rsid w:val="00D32F59"/>
    <w:rsid w:val="00D33226"/>
    <w:rsid w:val="00D33586"/>
    <w:rsid w:val="00D335E5"/>
    <w:rsid w:val="00D3364B"/>
    <w:rsid w:val="00D33690"/>
    <w:rsid w:val="00D33B00"/>
    <w:rsid w:val="00D33BE0"/>
    <w:rsid w:val="00D342A8"/>
    <w:rsid w:val="00D3460A"/>
    <w:rsid w:val="00D34FB3"/>
    <w:rsid w:val="00D352BE"/>
    <w:rsid w:val="00D35A5A"/>
    <w:rsid w:val="00D360AB"/>
    <w:rsid w:val="00D36315"/>
    <w:rsid w:val="00D363E0"/>
    <w:rsid w:val="00D36492"/>
    <w:rsid w:val="00D36613"/>
    <w:rsid w:val="00D366E8"/>
    <w:rsid w:val="00D36DCE"/>
    <w:rsid w:val="00D37268"/>
    <w:rsid w:val="00D406F6"/>
    <w:rsid w:val="00D408CF"/>
    <w:rsid w:val="00D40AED"/>
    <w:rsid w:val="00D40C94"/>
    <w:rsid w:val="00D40EA2"/>
    <w:rsid w:val="00D410E4"/>
    <w:rsid w:val="00D41EFC"/>
    <w:rsid w:val="00D4215E"/>
    <w:rsid w:val="00D421FB"/>
    <w:rsid w:val="00D4258E"/>
    <w:rsid w:val="00D429DA"/>
    <w:rsid w:val="00D42ACF"/>
    <w:rsid w:val="00D42B75"/>
    <w:rsid w:val="00D43695"/>
    <w:rsid w:val="00D43702"/>
    <w:rsid w:val="00D43704"/>
    <w:rsid w:val="00D43BA9"/>
    <w:rsid w:val="00D43D72"/>
    <w:rsid w:val="00D44302"/>
    <w:rsid w:val="00D4464A"/>
    <w:rsid w:val="00D44782"/>
    <w:rsid w:val="00D4529E"/>
    <w:rsid w:val="00D45308"/>
    <w:rsid w:val="00D45436"/>
    <w:rsid w:val="00D45A1C"/>
    <w:rsid w:val="00D45AA8"/>
    <w:rsid w:val="00D45AB3"/>
    <w:rsid w:val="00D45C4E"/>
    <w:rsid w:val="00D46832"/>
    <w:rsid w:val="00D46C1F"/>
    <w:rsid w:val="00D46DE8"/>
    <w:rsid w:val="00D4722F"/>
    <w:rsid w:val="00D472C5"/>
    <w:rsid w:val="00D474B9"/>
    <w:rsid w:val="00D47983"/>
    <w:rsid w:val="00D47D99"/>
    <w:rsid w:val="00D50AF0"/>
    <w:rsid w:val="00D51199"/>
    <w:rsid w:val="00D512AC"/>
    <w:rsid w:val="00D51957"/>
    <w:rsid w:val="00D51BCF"/>
    <w:rsid w:val="00D51BEF"/>
    <w:rsid w:val="00D5217B"/>
    <w:rsid w:val="00D5231F"/>
    <w:rsid w:val="00D5263F"/>
    <w:rsid w:val="00D52D0B"/>
    <w:rsid w:val="00D52DAF"/>
    <w:rsid w:val="00D53519"/>
    <w:rsid w:val="00D5356E"/>
    <w:rsid w:val="00D5455F"/>
    <w:rsid w:val="00D55449"/>
    <w:rsid w:val="00D55539"/>
    <w:rsid w:val="00D55A0C"/>
    <w:rsid w:val="00D55C08"/>
    <w:rsid w:val="00D55FDA"/>
    <w:rsid w:val="00D561E2"/>
    <w:rsid w:val="00D56280"/>
    <w:rsid w:val="00D56FD0"/>
    <w:rsid w:val="00D57778"/>
    <w:rsid w:val="00D577C3"/>
    <w:rsid w:val="00D57BD6"/>
    <w:rsid w:val="00D6008F"/>
    <w:rsid w:val="00D60318"/>
    <w:rsid w:val="00D605A9"/>
    <w:rsid w:val="00D60C69"/>
    <w:rsid w:val="00D60EC3"/>
    <w:rsid w:val="00D620CB"/>
    <w:rsid w:val="00D620D9"/>
    <w:rsid w:val="00D629E9"/>
    <w:rsid w:val="00D62C77"/>
    <w:rsid w:val="00D636FF"/>
    <w:rsid w:val="00D63B4A"/>
    <w:rsid w:val="00D6404F"/>
    <w:rsid w:val="00D640C1"/>
    <w:rsid w:val="00D6495D"/>
    <w:rsid w:val="00D64DF9"/>
    <w:rsid w:val="00D64F02"/>
    <w:rsid w:val="00D65050"/>
    <w:rsid w:val="00D656CA"/>
    <w:rsid w:val="00D658BE"/>
    <w:rsid w:val="00D65941"/>
    <w:rsid w:val="00D65B87"/>
    <w:rsid w:val="00D6618D"/>
    <w:rsid w:val="00D66275"/>
    <w:rsid w:val="00D669B9"/>
    <w:rsid w:val="00D66D75"/>
    <w:rsid w:val="00D66D9B"/>
    <w:rsid w:val="00D66F04"/>
    <w:rsid w:val="00D67BD0"/>
    <w:rsid w:val="00D67CA2"/>
    <w:rsid w:val="00D67EDB"/>
    <w:rsid w:val="00D70166"/>
    <w:rsid w:val="00D70202"/>
    <w:rsid w:val="00D7025C"/>
    <w:rsid w:val="00D702DC"/>
    <w:rsid w:val="00D705CD"/>
    <w:rsid w:val="00D709AA"/>
    <w:rsid w:val="00D71484"/>
    <w:rsid w:val="00D71876"/>
    <w:rsid w:val="00D7200A"/>
    <w:rsid w:val="00D7238C"/>
    <w:rsid w:val="00D72462"/>
    <w:rsid w:val="00D727E5"/>
    <w:rsid w:val="00D72B09"/>
    <w:rsid w:val="00D72B20"/>
    <w:rsid w:val="00D72B2B"/>
    <w:rsid w:val="00D72D09"/>
    <w:rsid w:val="00D72F5A"/>
    <w:rsid w:val="00D73058"/>
    <w:rsid w:val="00D73523"/>
    <w:rsid w:val="00D73742"/>
    <w:rsid w:val="00D73A9C"/>
    <w:rsid w:val="00D73AC4"/>
    <w:rsid w:val="00D7409F"/>
    <w:rsid w:val="00D745A6"/>
    <w:rsid w:val="00D748E3"/>
    <w:rsid w:val="00D749DB"/>
    <w:rsid w:val="00D74DDB"/>
    <w:rsid w:val="00D7549C"/>
    <w:rsid w:val="00D75715"/>
    <w:rsid w:val="00D76044"/>
    <w:rsid w:val="00D7613B"/>
    <w:rsid w:val="00D76F3B"/>
    <w:rsid w:val="00D7740E"/>
    <w:rsid w:val="00D77957"/>
    <w:rsid w:val="00D804EA"/>
    <w:rsid w:val="00D80E34"/>
    <w:rsid w:val="00D8140D"/>
    <w:rsid w:val="00D81A88"/>
    <w:rsid w:val="00D81E47"/>
    <w:rsid w:val="00D8204E"/>
    <w:rsid w:val="00D82152"/>
    <w:rsid w:val="00D829EA"/>
    <w:rsid w:val="00D82E76"/>
    <w:rsid w:val="00D82E83"/>
    <w:rsid w:val="00D83720"/>
    <w:rsid w:val="00D8379E"/>
    <w:rsid w:val="00D83917"/>
    <w:rsid w:val="00D83B27"/>
    <w:rsid w:val="00D83E13"/>
    <w:rsid w:val="00D83F23"/>
    <w:rsid w:val="00D8469E"/>
    <w:rsid w:val="00D84864"/>
    <w:rsid w:val="00D852F8"/>
    <w:rsid w:val="00D85A74"/>
    <w:rsid w:val="00D85C74"/>
    <w:rsid w:val="00D86200"/>
    <w:rsid w:val="00D86241"/>
    <w:rsid w:val="00D86483"/>
    <w:rsid w:val="00D86BF6"/>
    <w:rsid w:val="00D9011A"/>
    <w:rsid w:val="00D90D87"/>
    <w:rsid w:val="00D9118D"/>
    <w:rsid w:val="00D91E38"/>
    <w:rsid w:val="00D92346"/>
    <w:rsid w:val="00D9260F"/>
    <w:rsid w:val="00D9307B"/>
    <w:rsid w:val="00D93283"/>
    <w:rsid w:val="00D93434"/>
    <w:rsid w:val="00D93515"/>
    <w:rsid w:val="00D93DD6"/>
    <w:rsid w:val="00D94630"/>
    <w:rsid w:val="00D94D65"/>
    <w:rsid w:val="00D95470"/>
    <w:rsid w:val="00D95BC9"/>
    <w:rsid w:val="00D95F9C"/>
    <w:rsid w:val="00D96781"/>
    <w:rsid w:val="00D9699E"/>
    <w:rsid w:val="00D96C54"/>
    <w:rsid w:val="00D96DBD"/>
    <w:rsid w:val="00D96E9C"/>
    <w:rsid w:val="00D973B0"/>
    <w:rsid w:val="00D97563"/>
    <w:rsid w:val="00D9792C"/>
    <w:rsid w:val="00D97998"/>
    <w:rsid w:val="00D97BBD"/>
    <w:rsid w:val="00D97DCB"/>
    <w:rsid w:val="00D97DD0"/>
    <w:rsid w:val="00DA007D"/>
    <w:rsid w:val="00DA05E0"/>
    <w:rsid w:val="00DA0AD5"/>
    <w:rsid w:val="00DA0C14"/>
    <w:rsid w:val="00DA0C16"/>
    <w:rsid w:val="00DA0C33"/>
    <w:rsid w:val="00DA1174"/>
    <w:rsid w:val="00DA241F"/>
    <w:rsid w:val="00DA2AE6"/>
    <w:rsid w:val="00DA2D44"/>
    <w:rsid w:val="00DA2E7C"/>
    <w:rsid w:val="00DA2F0E"/>
    <w:rsid w:val="00DA3166"/>
    <w:rsid w:val="00DA32BD"/>
    <w:rsid w:val="00DA3312"/>
    <w:rsid w:val="00DA383D"/>
    <w:rsid w:val="00DA3E9E"/>
    <w:rsid w:val="00DA43EE"/>
    <w:rsid w:val="00DA4999"/>
    <w:rsid w:val="00DA5038"/>
    <w:rsid w:val="00DA532A"/>
    <w:rsid w:val="00DA5A97"/>
    <w:rsid w:val="00DA5B0D"/>
    <w:rsid w:val="00DA6155"/>
    <w:rsid w:val="00DA668B"/>
    <w:rsid w:val="00DA6743"/>
    <w:rsid w:val="00DA6DFC"/>
    <w:rsid w:val="00DA6E85"/>
    <w:rsid w:val="00DA6EAA"/>
    <w:rsid w:val="00DA7B40"/>
    <w:rsid w:val="00DA7CB1"/>
    <w:rsid w:val="00DA7D3A"/>
    <w:rsid w:val="00DB033E"/>
    <w:rsid w:val="00DB0A3B"/>
    <w:rsid w:val="00DB0AA5"/>
    <w:rsid w:val="00DB0BDA"/>
    <w:rsid w:val="00DB0DD1"/>
    <w:rsid w:val="00DB1115"/>
    <w:rsid w:val="00DB1520"/>
    <w:rsid w:val="00DB1648"/>
    <w:rsid w:val="00DB1BE2"/>
    <w:rsid w:val="00DB1E3F"/>
    <w:rsid w:val="00DB1E82"/>
    <w:rsid w:val="00DB21BB"/>
    <w:rsid w:val="00DB2754"/>
    <w:rsid w:val="00DB28FF"/>
    <w:rsid w:val="00DB3BA5"/>
    <w:rsid w:val="00DB40DF"/>
    <w:rsid w:val="00DB41FA"/>
    <w:rsid w:val="00DB4E1E"/>
    <w:rsid w:val="00DB4EEF"/>
    <w:rsid w:val="00DB5074"/>
    <w:rsid w:val="00DB52E1"/>
    <w:rsid w:val="00DB5641"/>
    <w:rsid w:val="00DB580C"/>
    <w:rsid w:val="00DB58B4"/>
    <w:rsid w:val="00DB5B39"/>
    <w:rsid w:val="00DB620E"/>
    <w:rsid w:val="00DB6256"/>
    <w:rsid w:val="00DB6401"/>
    <w:rsid w:val="00DB6E83"/>
    <w:rsid w:val="00DB6F55"/>
    <w:rsid w:val="00DB70E6"/>
    <w:rsid w:val="00DB73D9"/>
    <w:rsid w:val="00DB74EF"/>
    <w:rsid w:val="00DB769B"/>
    <w:rsid w:val="00DC0B43"/>
    <w:rsid w:val="00DC0C9E"/>
    <w:rsid w:val="00DC1D4E"/>
    <w:rsid w:val="00DC1DA5"/>
    <w:rsid w:val="00DC22F6"/>
    <w:rsid w:val="00DC2D92"/>
    <w:rsid w:val="00DC350E"/>
    <w:rsid w:val="00DC4392"/>
    <w:rsid w:val="00DC4437"/>
    <w:rsid w:val="00DC4491"/>
    <w:rsid w:val="00DC456B"/>
    <w:rsid w:val="00DC5534"/>
    <w:rsid w:val="00DC60B9"/>
    <w:rsid w:val="00DC615E"/>
    <w:rsid w:val="00DC622B"/>
    <w:rsid w:val="00DC62C6"/>
    <w:rsid w:val="00DC654A"/>
    <w:rsid w:val="00DC68CE"/>
    <w:rsid w:val="00DC6B6B"/>
    <w:rsid w:val="00DC6B74"/>
    <w:rsid w:val="00DC6FC5"/>
    <w:rsid w:val="00DC707A"/>
    <w:rsid w:val="00DC727A"/>
    <w:rsid w:val="00DC7619"/>
    <w:rsid w:val="00DC766D"/>
    <w:rsid w:val="00DC7A07"/>
    <w:rsid w:val="00DC7BA0"/>
    <w:rsid w:val="00DC7BE4"/>
    <w:rsid w:val="00DC7D38"/>
    <w:rsid w:val="00DC7EED"/>
    <w:rsid w:val="00DD0226"/>
    <w:rsid w:val="00DD0439"/>
    <w:rsid w:val="00DD09C9"/>
    <w:rsid w:val="00DD0E89"/>
    <w:rsid w:val="00DD1611"/>
    <w:rsid w:val="00DD2422"/>
    <w:rsid w:val="00DD252C"/>
    <w:rsid w:val="00DD2611"/>
    <w:rsid w:val="00DD2D94"/>
    <w:rsid w:val="00DD2E8E"/>
    <w:rsid w:val="00DD2FF8"/>
    <w:rsid w:val="00DD30B6"/>
    <w:rsid w:val="00DD3382"/>
    <w:rsid w:val="00DD398F"/>
    <w:rsid w:val="00DD3F97"/>
    <w:rsid w:val="00DD46C9"/>
    <w:rsid w:val="00DD473B"/>
    <w:rsid w:val="00DD4C06"/>
    <w:rsid w:val="00DD4C25"/>
    <w:rsid w:val="00DD4FE4"/>
    <w:rsid w:val="00DD51DD"/>
    <w:rsid w:val="00DD5268"/>
    <w:rsid w:val="00DD54F1"/>
    <w:rsid w:val="00DD552C"/>
    <w:rsid w:val="00DD5750"/>
    <w:rsid w:val="00DD5A82"/>
    <w:rsid w:val="00DD5E46"/>
    <w:rsid w:val="00DD6570"/>
    <w:rsid w:val="00DD6A92"/>
    <w:rsid w:val="00DD6ADC"/>
    <w:rsid w:val="00DD6CD0"/>
    <w:rsid w:val="00DD6EE9"/>
    <w:rsid w:val="00DD738C"/>
    <w:rsid w:val="00DD746C"/>
    <w:rsid w:val="00DD795B"/>
    <w:rsid w:val="00DD7E32"/>
    <w:rsid w:val="00DE03B6"/>
    <w:rsid w:val="00DE042B"/>
    <w:rsid w:val="00DE05AA"/>
    <w:rsid w:val="00DE0779"/>
    <w:rsid w:val="00DE0803"/>
    <w:rsid w:val="00DE1614"/>
    <w:rsid w:val="00DE1A2A"/>
    <w:rsid w:val="00DE1CDA"/>
    <w:rsid w:val="00DE1D4C"/>
    <w:rsid w:val="00DE2039"/>
    <w:rsid w:val="00DE2554"/>
    <w:rsid w:val="00DE2A9F"/>
    <w:rsid w:val="00DE2B91"/>
    <w:rsid w:val="00DE2E05"/>
    <w:rsid w:val="00DE30D4"/>
    <w:rsid w:val="00DE33E8"/>
    <w:rsid w:val="00DE3808"/>
    <w:rsid w:val="00DE3820"/>
    <w:rsid w:val="00DE3E2C"/>
    <w:rsid w:val="00DE3E9F"/>
    <w:rsid w:val="00DE541C"/>
    <w:rsid w:val="00DE5704"/>
    <w:rsid w:val="00DE58BF"/>
    <w:rsid w:val="00DE5A93"/>
    <w:rsid w:val="00DE5F25"/>
    <w:rsid w:val="00DE64BB"/>
    <w:rsid w:val="00DE6CF4"/>
    <w:rsid w:val="00DE6ECE"/>
    <w:rsid w:val="00DE6FE3"/>
    <w:rsid w:val="00DE707E"/>
    <w:rsid w:val="00DE7400"/>
    <w:rsid w:val="00DE7605"/>
    <w:rsid w:val="00DE7986"/>
    <w:rsid w:val="00DE7E31"/>
    <w:rsid w:val="00DF0106"/>
    <w:rsid w:val="00DF022A"/>
    <w:rsid w:val="00DF0255"/>
    <w:rsid w:val="00DF12A9"/>
    <w:rsid w:val="00DF15B3"/>
    <w:rsid w:val="00DF17F8"/>
    <w:rsid w:val="00DF1C61"/>
    <w:rsid w:val="00DF2197"/>
    <w:rsid w:val="00DF2375"/>
    <w:rsid w:val="00DF28C3"/>
    <w:rsid w:val="00DF3115"/>
    <w:rsid w:val="00DF3ABC"/>
    <w:rsid w:val="00DF3ED7"/>
    <w:rsid w:val="00DF4453"/>
    <w:rsid w:val="00DF4460"/>
    <w:rsid w:val="00DF501E"/>
    <w:rsid w:val="00DF60BE"/>
    <w:rsid w:val="00DF62EF"/>
    <w:rsid w:val="00DF67AE"/>
    <w:rsid w:val="00DF6F37"/>
    <w:rsid w:val="00DF7ADE"/>
    <w:rsid w:val="00DF7E97"/>
    <w:rsid w:val="00E001F4"/>
    <w:rsid w:val="00E00674"/>
    <w:rsid w:val="00E00D08"/>
    <w:rsid w:val="00E0172B"/>
    <w:rsid w:val="00E01771"/>
    <w:rsid w:val="00E02907"/>
    <w:rsid w:val="00E03297"/>
    <w:rsid w:val="00E03904"/>
    <w:rsid w:val="00E0396B"/>
    <w:rsid w:val="00E048E0"/>
    <w:rsid w:val="00E04DFB"/>
    <w:rsid w:val="00E0538B"/>
    <w:rsid w:val="00E05FF5"/>
    <w:rsid w:val="00E068CD"/>
    <w:rsid w:val="00E068D0"/>
    <w:rsid w:val="00E069FC"/>
    <w:rsid w:val="00E06C61"/>
    <w:rsid w:val="00E07486"/>
    <w:rsid w:val="00E07B93"/>
    <w:rsid w:val="00E07FA1"/>
    <w:rsid w:val="00E07FA6"/>
    <w:rsid w:val="00E10189"/>
    <w:rsid w:val="00E10283"/>
    <w:rsid w:val="00E1035A"/>
    <w:rsid w:val="00E10637"/>
    <w:rsid w:val="00E1118F"/>
    <w:rsid w:val="00E11473"/>
    <w:rsid w:val="00E11617"/>
    <w:rsid w:val="00E11B7F"/>
    <w:rsid w:val="00E11CB2"/>
    <w:rsid w:val="00E1205A"/>
    <w:rsid w:val="00E12A7D"/>
    <w:rsid w:val="00E12CAF"/>
    <w:rsid w:val="00E13E8C"/>
    <w:rsid w:val="00E14AEA"/>
    <w:rsid w:val="00E14FBA"/>
    <w:rsid w:val="00E15D75"/>
    <w:rsid w:val="00E15D80"/>
    <w:rsid w:val="00E15DDD"/>
    <w:rsid w:val="00E15E55"/>
    <w:rsid w:val="00E16201"/>
    <w:rsid w:val="00E1641D"/>
    <w:rsid w:val="00E16696"/>
    <w:rsid w:val="00E17A3C"/>
    <w:rsid w:val="00E17C30"/>
    <w:rsid w:val="00E200E3"/>
    <w:rsid w:val="00E20886"/>
    <w:rsid w:val="00E20C84"/>
    <w:rsid w:val="00E20E4B"/>
    <w:rsid w:val="00E21045"/>
    <w:rsid w:val="00E219D6"/>
    <w:rsid w:val="00E21CA4"/>
    <w:rsid w:val="00E22EF9"/>
    <w:rsid w:val="00E23A2D"/>
    <w:rsid w:val="00E23CDF"/>
    <w:rsid w:val="00E242E7"/>
    <w:rsid w:val="00E24335"/>
    <w:rsid w:val="00E24B07"/>
    <w:rsid w:val="00E24F14"/>
    <w:rsid w:val="00E25049"/>
    <w:rsid w:val="00E251C1"/>
    <w:rsid w:val="00E25794"/>
    <w:rsid w:val="00E25CF8"/>
    <w:rsid w:val="00E25D52"/>
    <w:rsid w:val="00E2784C"/>
    <w:rsid w:val="00E279D5"/>
    <w:rsid w:val="00E301A6"/>
    <w:rsid w:val="00E3049B"/>
    <w:rsid w:val="00E30B83"/>
    <w:rsid w:val="00E30E5A"/>
    <w:rsid w:val="00E31661"/>
    <w:rsid w:val="00E3211C"/>
    <w:rsid w:val="00E32711"/>
    <w:rsid w:val="00E32789"/>
    <w:rsid w:val="00E328E4"/>
    <w:rsid w:val="00E32E5B"/>
    <w:rsid w:val="00E33024"/>
    <w:rsid w:val="00E33054"/>
    <w:rsid w:val="00E3316A"/>
    <w:rsid w:val="00E33729"/>
    <w:rsid w:val="00E33F88"/>
    <w:rsid w:val="00E3411F"/>
    <w:rsid w:val="00E341AA"/>
    <w:rsid w:val="00E34791"/>
    <w:rsid w:val="00E350D5"/>
    <w:rsid w:val="00E35CF3"/>
    <w:rsid w:val="00E35F47"/>
    <w:rsid w:val="00E36654"/>
    <w:rsid w:val="00E36DA7"/>
    <w:rsid w:val="00E37240"/>
    <w:rsid w:val="00E3743B"/>
    <w:rsid w:val="00E37712"/>
    <w:rsid w:val="00E37B30"/>
    <w:rsid w:val="00E37D38"/>
    <w:rsid w:val="00E37DEC"/>
    <w:rsid w:val="00E40019"/>
    <w:rsid w:val="00E403AA"/>
    <w:rsid w:val="00E40AE3"/>
    <w:rsid w:val="00E40C40"/>
    <w:rsid w:val="00E4122A"/>
    <w:rsid w:val="00E41400"/>
    <w:rsid w:val="00E41698"/>
    <w:rsid w:val="00E41A6B"/>
    <w:rsid w:val="00E41BA5"/>
    <w:rsid w:val="00E41E71"/>
    <w:rsid w:val="00E41EFF"/>
    <w:rsid w:val="00E42447"/>
    <w:rsid w:val="00E424A4"/>
    <w:rsid w:val="00E42794"/>
    <w:rsid w:val="00E427C7"/>
    <w:rsid w:val="00E427F0"/>
    <w:rsid w:val="00E42BCD"/>
    <w:rsid w:val="00E42CA8"/>
    <w:rsid w:val="00E42E09"/>
    <w:rsid w:val="00E4339A"/>
    <w:rsid w:val="00E43400"/>
    <w:rsid w:val="00E435B7"/>
    <w:rsid w:val="00E43851"/>
    <w:rsid w:val="00E43CA2"/>
    <w:rsid w:val="00E442F1"/>
    <w:rsid w:val="00E44586"/>
    <w:rsid w:val="00E44D3E"/>
    <w:rsid w:val="00E44E39"/>
    <w:rsid w:val="00E452F0"/>
    <w:rsid w:val="00E4530C"/>
    <w:rsid w:val="00E4546A"/>
    <w:rsid w:val="00E45E53"/>
    <w:rsid w:val="00E463C4"/>
    <w:rsid w:val="00E4669D"/>
    <w:rsid w:val="00E4708C"/>
    <w:rsid w:val="00E47214"/>
    <w:rsid w:val="00E47338"/>
    <w:rsid w:val="00E477E7"/>
    <w:rsid w:val="00E47FC0"/>
    <w:rsid w:val="00E501DF"/>
    <w:rsid w:val="00E502E5"/>
    <w:rsid w:val="00E50440"/>
    <w:rsid w:val="00E50CB2"/>
    <w:rsid w:val="00E50F59"/>
    <w:rsid w:val="00E512B6"/>
    <w:rsid w:val="00E5184D"/>
    <w:rsid w:val="00E51F5C"/>
    <w:rsid w:val="00E52C24"/>
    <w:rsid w:val="00E52CF5"/>
    <w:rsid w:val="00E52E0C"/>
    <w:rsid w:val="00E52E7E"/>
    <w:rsid w:val="00E5304E"/>
    <w:rsid w:val="00E5314E"/>
    <w:rsid w:val="00E532EE"/>
    <w:rsid w:val="00E53347"/>
    <w:rsid w:val="00E53E77"/>
    <w:rsid w:val="00E53FAD"/>
    <w:rsid w:val="00E53FB6"/>
    <w:rsid w:val="00E540E9"/>
    <w:rsid w:val="00E54211"/>
    <w:rsid w:val="00E544A0"/>
    <w:rsid w:val="00E54780"/>
    <w:rsid w:val="00E547EB"/>
    <w:rsid w:val="00E54C81"/>
    <w:rsid w:val="00E54C8D"/>
    <w:rsid w:val="00E555FA"/>
    <w:rsid w:val="00E55673"/>
    <w:rsid w:val="00E55C68"/>
    <w:rsid w:val="00E55C97"/>
    <w:rsid w:val="00E55F73"/>
    <w:rsid w:val="00E5632D"/>
    <w:rsid w:val="00E56689"/>
    <w:rsid w:val="00E56694"/>
    <w:rsid w:val="00E56A8D"/>
    <w:rsid w:val="00E570DD"/>
    <w:rsid w:val="00E5758B"/>
    <w:rsid w:val="00E57DD9"/>
    <w:rsid w:val="00E57FF6"/>
    <w:rsid w:val="00E60B88"/>
    <w:rsid w:val="00E60E61"/>
    <w:rsid w:val="00E6107A"/>
    <w:rsid w:val="00E614FE"/>
    <w:rsid w:val="00E61583"/>
    <w:rsid w:val="00E62395"/>
    <w:rsid w:val="00E62442"/>
    <w:rsid w:val="00E62C16"/>
    <w:rsid w:val="00E6359C"/>
    <w:rsid w:val="00E63818"/>
    <w:rsid w:val="00E63F1D"/>
    <w:rsid w:val="00E6452B"/>
    <w:rsid w:val="00E6484A"/>
    <w:rsid w:val="00E6497B"/>
    <w:rsid w:val="00E64FF5"/>
    <w:rsid w:val="00E659AE"/>
    <w:rsid w:val="00E65FC2"/>
    <w:rsid w:val="00E6600C"/>
    <w:rsid w:val="00E665F8"/>
    <w:rsid w:val="00E66B29"/>
    <w:rsid w:val="00E66C05"/>
    <w:rsid w:val="00E66F22"/>
    <w:rsid w:val="00E67683"/>
    <w:rsid w:val="00E67B90"/>
    <w:rsid w:val="00E67B93"/>
    <w:rsid w:val="00E701F2"/>
    <w:rsid w:val="00E70456"/>
    <w:rsid w:val="00E7055A"/>
    <w:rsid w:val="00E7103E"/>
    <w:rsid w:val="00E714C2"/>
    <w:rsid w:val="00E71EB3"/>
    <w:rsid w:val="00E71FEA"/>
    <w:rsid w:val="00E7212E"/>
    <w:rsid w:val="00E7237E"/>
    <w:rsid w:val="00E727C4"/>
    <w:rsid w:val="00E727D9"/>
    <w:rsid w:val="00E72BC2"/>
    <w:rsid w:val="00E7318D"/>
    <w:rsid w:val="00E733F7"/>
    <w:rsid w:val="00E737AC"/>
    <w:rsid w:val="00E7380B"/>
    <w:rsid w:val="00E7401D"/>
    <w:rsid w:val="00E7462E"/>
    <w:rsid w:val="00E746D0"/>
    <w:rsid w:val="00E748E8"/>
    <w:rsid w:val="00E74A8B"/>
    <w:rsid w:val="00E74AED"/>
    <w:rsid w:val="00E74B0A"/>
    <w:rsid w:val="00E74C0F"/>
    <w:rsid w:val="00E751BB"/>
    <w:rsid w:val="00E75763"/>
    <w:rsid w:val="00E7597F"/>
    <w:rsid w:val="00E75B25"/>
    <w:rsid w:val="00E75CFF"/>
    <w:rsid w:val="00E76256"/>
    <w:rsid w:val="00E76600"/>
    <w:rsid w:val="00E7660D"/>
    <w:rsid w:val="00E76D29"/>
    <w:rsid w:val="00E76F24"/>
    <w:rsid w:val="00E773EB"/>
    <w:rsid w:val="00E77413"/>
    <w:rsid w:val="00E77D15"/>
    <w:rsid w:val="00E77E21"/>
    <w:rsid w:val="00E807F8"/>
    <w:rsid w:val="00E80A12"/>
    <w:rsid w:val="00E80CD8"/>
    <w:rsid w:val="00E8124C"/>
    <w:rsid w:val="00E8178A"/>
    <w:rsid w:val="00E819CD"/>
    <w:rsid w:val="00E82155"/>
    <w:rsid w:val="00E824E5"/>
    <w:rsid w:val="00E82A61"/>
    <w:rsid w:val="00E83205"/>
    <w:rsid w:val="00E832F9"/>
    <w:rsid w:val="00E83693"/>
    <w:rsid w:val="00E836D7"/>
    <w:rsid w:val="00E83A16"/>
    <w:rsid w:val="00E83B49"/>
    <w:rsid w:val="00E83E14"/>
    <w:rsid w:val="00E84CB5"/>
    <w:rsid w:val="00E8580A"/>
    <w:rsid w:val="00E86223"/>
    <w:rsid w:val="00E865C1"/>
    <w:rsid w:val="00E870AE"/>
    <w:rsid w:val="00E878F9"/>
    <w:rsid w:val="00E87DBC"/>
    <w:rsid w:val="00E87ED2"/>
    <w:rsid w:val="00E90891"/>
    <w:rsid w:val="00E908C6"/>
    <w:rsid w:val="00E90A73"/>
    <w:rsid w:val="00E90D39"/>
    <w:rsid w:val="00E91E6F"/>
    <w:rsid w:val="00E9236A"/>
    <w:rsid w:val="00E925AE"/>
    <w:rsid w:val="00E9327C"/>
    <w:rsid w:val="00E93D9B"/>
    <w:rsid w:val="00E941BC"/>
    <w:rsid w:val="00E9444B"/>
    <w:rsid w:val="00E945D3"/>
    <w:rsid w:val="00E94655"/>
    <w:rsid w:val="00E94D06"/>
    <w:rsid w:val="00E94EAE"/>
    <w:rsid w:val="00E94F2E"/>
    <w:rsid w:val="00E95443"/>
    <w:rsid w:val="00E958A6"/>
    <w:rsid w:val="00E958EA"/>
    <w:rsid w:val="00E96651"/>
    <w:rsid w:val="00E968F1"/>
    <w:rsid w:val="00E96C48"/>
    <w:rsid w:val="00E96CC9"/>
    <w:rsid w:val="00E96D78"/>
    <w:rsid w:val="00E96EA2"/>
    <w:rsid w:val="00E971CC"/>
    <w:rsid w:val="00EA0147"/>
    <w:rsid w:val="00EA0E77"/>
    <w:rsid w:val="00EA0E96"/>
    <w:rsid w:val="00EA0F4B"/>
    <w:rsid w:val="00EA13FA"/>
    <w:rsid w:val="00EA17F9"/>
    <w:rsid w:val="00EA1AF5"/>
    <w:rsid w:val="00EA1B7E"/>
    <w:rsid w:val="00EA1CF3"/>
    <w:rsid w:val="00EA201A"/>
    <w:rsid w:val="00EA23A5"/>
    <w:rsid w:val="00EA2773"/>
    <w:rsid w:val="00EA27D7"/>
    <w:rsid w:val="00EA2825"/>
    <w:rsid w:val="00EA2D97"/>
    <w:rsid w:val="00EA3220"/>
    <w:rsid w:val="00EA3417"/>
    <w:rsid w:val="00EA37FC"/>
    <w:rsid w:val="00EA3C32"/>
    <w:rsid w:val="00EA3C97"/>
    <w:rsid w:val="00EA3E1C"/>
    <w:rsid w:val="00EA5544"/>
    <w:rsid w:val="00EA5700"/>
    <w:rsid w:val="00EA5773"/>
    <w:rsid w:val="00EA6715"/>
    <w:rsid w:val="00EA694F"/>
    <w:rsid w:val="00EA6AE1"/>
    <w:rsid w:val="00EA6EED"/>
    <w:rsid w:val="00EA769A"/>
    <w:rsid w:val="00EA7717"/>
    <w:rsid w:val="00EA77AD"/>
    <w:rsid w:val="00EA79F3"/>
    <w:rsid w:val="00EB05C4"/>
    <w:rsid w:val="00EB0995"/>
    <w:rsid w:val="00EB0B04"/>
    <w:rsid w:val="00EB0F0A"/>
    <w:rsid w:val="00EB1042"/>
    <w:rsid w:val="00EB1A5B"/>
    <w:rsid w:val="00EB2727"/>
    <w:rsid w:val="00EB336A"/>
    <w:rsid w:val="00EB364C"/>
    <w:rsid w:val="00EB36E5"/>
    <w:rsid w:val="00EB37A1"/>
    <w:rsid w:val="00EB3846"/>
    <w:rsid w:val="00EB3F15"/>
    <w:rsid w:val="00EB3FEC"/>
    <w:rsid w:val="00EB4202"/>
    <w:rsid w:val="00EB460A"/>
    <w:rsid w:val="00EB464E"/>
    <w:rsid w:val="00EB49A2"/>
    <w:rsid w:val="00EB49DF"/>
    <w:rsid w:val="00EB4B5D"/>
    <w:rsid w:val="00EB4FDB"/>
    <w:rsid w:val="00EB507C"/>
    <w:rsid w:val="00EB536D"/>
    <w:rsid w:val="00EB5522"/>
    <w:rsid w:val="00EB59D9"/>
    <w:rsid w:val="00EB5CB7"/>
    <w:rsid w:val="00EB6349"/>
    <w:rsid w:val="00EB63DA"/>
    <w:rsid w:val="00EB70E3"/>
    <w:rsid w:val="00EB78E6"/>
    <w:rsid w:val="00EB7C5E"/>
    <w:rsid w:val="00EB7DF1"/>
    <w:rsid w:val="00EB7E5F"/>
    <w:rsid w:val="00EB7E61"/>
    <w:rsid w:val="00EC0A9C"/>
    <w:rsid w:val="00EC0AF2"/>
    <w:rsid w:val="00EC1132"/>
    <w:rsid w:val="00EC1DB4"/>
    <w:rsid w:val="00EC1FB3"/>
    <w:rsid w:val="00EC20AB"/>
    <w:rsid w:val="00EC23CB"/>
    <w:rsid w:val="00EC25C2"/>
    <w:rsid w:val="00EC27FA"/>
    <w:rsid w:val="00EC28BA"/>
    <w:rsid w:val="00EC2EA4"/>
    <w:rsid w:val="00EC3501"/>
    <w:rsid w:val="00EC3603"/>
    <w:rsid w:val="00EC3A30"/>
    <w:rsid w:val="00EC3AA8"/>
    <w:rsid w:val="00EC4117"/>
    <w:rsid w:val="00EC47C0"/>
    <w:rsid w:val="00EC47F8"/>
    <w:rsid w:val="00EC4D13"/>
    <w:rsid w:val="00EC4D40"/>
    <w:rsid w:val="00EC50DC"/>
    <w:rsid w:val="00EC5304"/>
    <w:rsid w:val="00EC5A31"/>
    <w:rsid w:val="00EC5A67"/>
    <w:rsid w:val="00EC5D77"/>
    <w:rsid w:val="00EC5DAC"/>
    <w:rsid w:val="00EC5DEE"/>
    <w:rsid w:val="00EC6514"/>
    <w:rsid w:val="00EC68BB"/>
    <w:rsid w:val="00EC6C29"/>
    <w:rsid w:val="00ED02E2"/>
    <w:rsid w:val="00ED07DB"/>
    <w:rsid w:val="00ED0900"/>
    <w:rsid w:val="00ED0D8A"/>
    <w:rsid w:val="00ED0E65"/>
    <w:rsid w:val="00ED0F12"/>
    <w:rsid w:val="00ED18E4"/>
    <w:rsid w:val="00ED1FBB"/>
    <w:rsid w:val="00ED2092"/>
    <w:rsid w:val="00ED2212"/>
    <w:rsid w:val="00ED2374"/>
    <w:rsid w:val="00ED2850"/>
    <w:rsid w:val="00ED2C76"/>
    <w:rsid w:val="00ED2FA1"/>
    <w:rsid w:val="00ED3409"/>
    <w:rsid w:val="00ED4744"/>
    <w:rsid w:val="00ED4AF2"/>
    <w:rsid w:val="00ED4B38"/>
    <w:rsid w:val="00ED514F"/>
    <w:rsid w:val="00ED551D"/>
    <w:rsid w:val="00ED5FF3"/>
    <w:rsid w:val="00ED690E"/>
    <w:rsid w:val="00ED6AB0"/>
    <w:rsid w:val="00ED6E3E"/>
    <w:rsid w:val="00ED75CF"/>
    <w:rsid w:val="00EE0462"/>
    <w:rsid w:val="00EE0543"/>
    <w:rsid w:val="00EE05FF"/>
    <w:rsid w:val="00EE067F"/>
    <w:rsid w:val="00EE0A11"/>
    <w:rsid w:val="00EE1D68"/>
    <w:rsid w:val="00EE201F"/>
    <w:rsid w:val="00EE21B0"/>
    <w:rsid w:val="00EE21B1"/>
    <w:rsid w:val="00EE220D"/>
    <w:rsid w:val="00EE2584"/>
    <w:rsid w:val="00EE2900"/>
    <w:rsid w:val="00EE2A3C"/>
    <w:rsid w:val="00EE2F43"/>
    <w:rsid w:val="00EE33DF"/>
    <w:rsid w:val="00EE3422"/>
    <w:rsid w:val="00EE393F"/>
    <w:rsid w:val="00EE3983"/>
    <w:rsid w:val="00EE4290"/>
    <w:rsid w:val="00EE46A9"/>
    <w:rsid w:val="00EE476C"/>
    <w:rsid w:val="00EE4829"/>
    <w:rsid w:val="00EE4FBD"/>
    <w:rsid w:val="00EE5130"/>
    <w:rsid w:val="00EE58E4"/>
    <w:rsid w:val="00EE5A7D"/>
    <w:rsid w:val="00EE5FC7"/>
    <w:rsid w:val="00EE631B"/>
    <w:rsid w:val="00EE645A"/>
    <w:rsid w:val="00EE67E3"/>
    <w:rsid w:val="00EE6AD2"/>
    <w:rsid w:val="00EE6ECE"/>
    <w:rsid w:val="00EE7569"/>
    <w:rsid w:val="00EE7D7F"/>
    <w:rsid w:val="00EF03AF"/>
    <w:rsid w:val="00EF0481"/>
    <w:rsid w:val="00EF0702"/>
    <w:rsid w:val="00EF07F8"/>
    <w:rsid w:val="00EF09EA"/>
    <w:rsid w:val="00EF0A54"/>
    <w:rsid w:val="00EF0F34"/>
    <w:rsid w:val="00EF138C"/>
    <w:rsid w:val="00EF19DA"/>
    <w:rsid w:val="00EF1AEE"/>
    <w:rsid w:val="00EF1E53"/>
    <w:rsid w:val="00EF219E"/>
    <w:rsid w:val="00EF3AFE"/>
    <w:rsid w:val="00EF3F4A"/>
    <w:rsid w:val="00EF406B"/>
    <w:rsid w:val="00EF412A"/>
    <w:rsid w:val="00EF41C9"/>
    <w:rsid w:val="00EF4290"/>
    <w:rsid w:val="00EF4A2F"/>
    <w:rsid w:val="00EF4AC1"/>
    <w:rsid w:val="00EF5521"/>
    <w:rsid w:val="00EF59A2"/>
    <w:rsid w:val="00EF5C14"/>
    <w:rsid w:val="00EF6604"/>
    <w:rsid w:val="00EF6711"/>
    <w:rsid w:val="00EF673F"/>
    <w:rsid w:val="00EF7019"/>
    <w:rsid w:val="00EF720C"/>
    <w:rsid w:val="00EF7303"/>
    <w:rsid w:val="00EF7330"/>
    <w:rsid w:val="00EF761A"/>
    <w:rsid w:val="00EF7803"/>
    <w:rsid w:val="00EF7999"/>
    <w:rsid w:val="00F0004E"/>
    <w:rsid w:val="00F002A8"/>
    <w:rsid w:val="00F0051C"/>
    <w:rsid w:val="00F0065A"/>
    <w:rsid w:val="00F0066E"/>
    <w:rsid w:val="00F01656"/>
    <w:rsid w:val="00F01ADD"/>
    <w:rsid w:val="00F01B12"/>
    <w:rsid w:val="00F01B51"/>
    <w:rsid w:val="00F01FD8"/>
    <w:rsid w:val="00F025F3"/>
    <w:rsid w:val="00F027BB"/>
    <w:rsid w:val="00F02D02"/>
    <w:rsid w:val="00F03148"/>
    <w:rsid w:val="00F03701"/>
    <w:rsid w:val="00F03A2B"/>
    <w:rsid w:val="00F03AF9"/>
    <w:rsid w:val="00F03F64"/>
    <w:rsid w:val="00F0417F"/>
    <w:rsid w:val="00F04431"/>
    <w:rsid w:val="00F0512F"/>
    <w:rsid w:val="00F056F8"/>
    <w:rsid w:val="00F0585E"/>
    <w:rsid w:val="00F05C10"/>
    <w:rsid w:val="00F05CD9"/>
    <w:rsid w:val="00F05E1B"/>
    <w:rsid w:val="00F05E56"/>
    <w:rsid w:val="00F0626D"/>
    <w:rsid w:val="00F0635A"/>
    <w:rsid w:val="00F067A1"/>
    <w:rsid w:val="00F06840"/>
    <w:rsid w:val="00F06886"/>
    <w:rsid w:val="00F06978"/>
    <w:rsid w:val="00F06FE7"/>
    <w:rsid w:val="00F0787B"/>
    <w:rsid w:val="00F1043A"/>
    <w:rsid w:val="00F106A2"/>
    <w:rsid w:val="00F10DCD"/>
    <w:rsid w:val="00F11165"/>
    <w:rsid w:val="00F11177"/>
    <w:rsid w:val="00F11197"/>
    <w:rsid w:val="00F113CA"/>
    <w:rsid w:val="00F114FD"/>
    <w:rsid w:val="00F11ED3"/>
    <w:rsid w:val="00F1258F"/>
    <w:rsid w:val="00F13CB9"/>
    <w:rsid w:val="00F146B1"/>
    <w:rsid w:val="00F14704"/>
    <w:rsid w:val="00F14EC7"/>
    <w:rsid w:val="00F1532F"/>
    <w:rsid w:val="00F1673F"/>
    <w:rsid w:val="00F1685A"/>
    <w:rsid w:val="00F16B20"/>
    <w:rsid w:val="00F16CF9"/>
    <w:rsid w:val="00F16E66"/>
    <w:rsid w:val="00F170BA"/>
    <w:rsid w:val="00F1720B"/>
    <w:rsid w:val="00F175A4"/>
    <w:rsid w:val="00F179B7"/>
    <w:rsid w:val="00F17B50"/>
    <w:rsid w:val="00F17B59"/>
    <w:rsid w:val="00F17F18"/>
    <w:rsid w:val="00F2046E"/>
    <w:rsid w:val="00F20C1A"/>
    <w:rsid w:val="00F20CAD"/>
    <w:rsid w:val="00F20E8A"/>
    <w:rsid w:val="00F21320"/>
    <w:rsid w:val="00F219C1"/>
    <w:rsid w:val="00F219E9"/>
    <w:rsid w:val="00F21D4B"/>
    <w:rsid w:val="00F21FEE"/>
    <w:rsid w:val="00F2218F"/>
    <w:rsid w:val="00F22365"/>
    <w:rsid w:val="00F223AD"/>
    <w:rsid w:val="00F2250E"/>
    <w:rsid w:val="00F225D9"/>
    <w:rsid w:val="00F22C60"/>
    <w:rsid w:val="00F22C89"/>
    <w:rsid w:val="00F22D90"/>
    <w:rsid w:val="00F2337E"/>
    <w:rsid w:val="00F235CF"/>
    <w:rsid w:val="00F238FE"/>
    <w:rsid w:val="00F240C2"/>
    <w:rsid w:val="00F2443C"/>
    <w:rsid w:val="00F2491C"/>
    <w:rsid w:val="00F24FCC"/>
    <w:rsid w:val="00F255B7"/>
    <w:rsid w:val="00F256A9"/>
    <w:rsid w:val="00F25B7F"/>
    <w:rsid w:val="00F25F1A"/>
    <w:rsid w:val="00F260AD"/>
    <w:rsid w:val="00F26FF1"/>
    <w:rsid w:val="00F27B25"/>
    <w:rsid w:val="00F3047B"/>
    <w:rsid w:val="00F30485"/>
    <w:rsid w:val="00F3090D"/>
    <w:rsid w:val="00F30B44"/>
    <w:rsid w:val="00F30DEC"/>
    <w:rsid w:val="00F30E32"/>
    <w:rsid w:val="00F30F68"/>
    <w:rsid w:val="00F31091"/>
    <w:rsid w:val="00F311B4"/>
    <w:rsid w:val="00F3182C"/>
    <w:rsid w:val="00F3208D"/>
    <w:rsid w:val="00F322C1"/>
    <w:rsid w:val="00F32412"/>
    <w:rsid w:val="00F32CD1"/>
    <w:rsid w:val="00F32F0F"/>
    <w:rsid w:val="00F33088"/>
    <w:rsid w:val="00F33138"/>
    <w:rsid w:val="00F3321A"/>
    <w:rsid w:val="00F3341A"/>
    <w:rsid w:val="00F335E7"/>
    <w:rsid w:val="00F33AD9"/>
    <w:rsid w:val="00F33DB0"/>
    <w:rsid w:val="00F3463F"/>
    <w:rsid w:val="00F34891"/>
    <w:rsid w:val="00F348C3"/>
    <w:rsid w:val="00F34987"/>
    <w:rsid w:val="00F34D09"/>
    <w:rsid w:val="00F35A41"/>
    <w:rsid w:val="00F36D9A"/>
    <w:rsid w:val="00F37264"/>
    <w:rsid w:val="00F374E7"/>
    <w:rsid w:val="00F37C61"/>
    <w:rsid w:val="00F407CB"/>
    <w:rsid w:val="00F4129B"/>
    <w:rsid w:val="00F413B9"/>
    <w:rsid w:val="00F426C7"/>
    <w:rsid w:val="00F42A45"/>
    <w:rsid w:val="00F42E39"/>
    <w:rsid w:val="00F439B6"/>
    <w:rsid w:val="00F443A3"/>
    <w:rsid w:val="00F445BC"/>
    <w:rsid w:val="00F446D0"/>
    <w:rsid w:val="00F44882"/>
    <w:rsid w:val="00F44BFD"/>
    <w:rsid w:val="00F44ED0"/>
    <w:rsid w:val="00F453EF"/>
    <w:rsid w:val="00F459F8"/>
    <w:rsid w:val="00F45A1B"/>
    <w:rsid w:val="00F45FA0"/>
    <w:rsid w:val="00F4627E"/>
    <w:rsid w:val="00F4663B"/>
    <w:rsid w:val="00F466A7"/>
    <w:rsid w:val="00F4693B"/>
    <w:rsid w:val="00F47260"/>
    <w:rsid w:val="00F4730A"/>
    <w:rsid w:val="00F474FE"/>
    <w:rsid w:val="00F47C8F"/>
    <w:rsid w:val="00F47CE0"/>
    <w:rsid w:val="00F47DB4"/>
    <w:rsid w:val="00F47DCE"/>
    <w:rsid w:val="00F47E87"/>
    <w:rsid w:val="00F5007F"/>
    <w:rsid w:val="00F50634"/>
    <w:rsid w:val="00F50B4D"/>
    <w:rsid w:val="00F5143A"/>
    <w:rsid w:val="00F514A8"/>
    <w:rsid w:val="00F51989"/>
    <w:rsid w:val="00F51C05"/>
    <w:rsid w:val="00F51C69"/>
    <w:rsid w:val="00F52AC1"/>
    <w:rsid w:val="00F52C74"/>
    <w:rsid w:val="00F53168"/>
    <w:rsid w:val="00F5331B"/>
    <w:rsid w:val="00F5368B"/>
    <w:rsid w:val="00F53EA1"/>
    <w:rsid w:val="00F54118"/>
    <w:rsid w:val="00F54692"/>
    <w:rsid w:val="00F546EC"/>
    <w:rsid w:val="00F549F2"/>
    <w:rsid w:val="00F54BFE"/>
    <w:rsid w:val="00F551C6"/>
    <w:rsid w:val="00F553CD"/>
    <w:rsid w:val="00F55643"/>
    <w:rsid w:val="00F5610E"/>
    <w:rsid w:val="00F562AD"/>
    <w:rsid w:val="00F567B1"/>
    <w:rsid w:val="00F57523"/>
    <w:rsid w:val="00F57552"/>
    <w:rsid w:val="00F57843"/>
    <w:rsid w:val="00F57FF1"/>
    <w:rsid w:val="00F60A37"/>
    <w:rsid w:val="00F6115B"/>
    <w:rsid w:val="00F61581"/>
    <w:rsid w:val="00F61608"/>
    <w:rsid w:val="00F61728"/>
    <w:rsid w:val="00F61CE6"/>
    <w:rsid w:val="00F61F69"/>
    <w:rsid w:val="00F6213A"/>
    <w:rsid w:val="00F622A6"/>
    <w:rsid w:val="00F62781"/>
    <w:rsid w:val="00F62F70"/>
    <w:rsid w:val="00F63240"/>
    <w:rsid w:val="00F646B4"/>
    <w:rsid w:val="00F646DF"/>
    <w:rsid w:val="00F64952"/>
    <w:rsid w:val="00F64A5A"/>
    <w:rsid w:val="00F650D8"/>
    <w:rsid w:val="00F652A3"/>
    <w:rsid w:val="00F652A9"/>
    <w:rsid w:val="00F65642"/>
    <w:rsid w:val="00F65725"/>
    <w:rsid w:val="00F65BEA"/>
    <w:rsid w:val="00F66078"/>
    <w:rsid w:val="00F66365"/>
    <w:rsid w:val="00F6644D"/>
    <w:rsid w:val="00F6693A"/>
    <w:rsid w:val="00F66D16"/>
    <w:rsid w:val="00F66F09"/>
    <w:rsid w:val="00F67258"/>
    <w:rsid w:val="00F67699"/>
    <w:rsid w:val="00F67E56"/>
    <w:rsid w:val="00F700AE"/>
    <w:rsid w:val="00F7010B"/>
    <w:rsid w:val="00F705FC"/>
    <w:rsid w:val="00F706A5"/>
    <w:rsid w:val="00F70B84"/>
    <w:rsid w:val="00F70C6E"/>
    <w:rsid w:val="00F70EE9"/>
    <w:rsid w:val="00F7128A"/>
    <w:rsid w:val="00F71812"/>
    <w:rsid w:val="00F718E9"/>
    <w:rsid w:val="00F72116"/>
    <w:rsid w:val="00F72141"/>
    <w:rsid w:val="00F7217A"/>
    <w:rsid w:val="00F72537"/>
    <w:rsid w:val="00F72929"/>
    <w:rsid w:val="00F72C8D"/>
    <w:rsid w:val="00F72DC9"/>
    <w:rsid w:val="00F72FE2"/>
    <w:rsid w:val="00F73491"/>
    <w:rsid w:val="00F739B3"/>
    <w:rsid w:val="00F73AA2"/>
    <w:rsid w:val="00F73E33"/>
    <w:rsid w:val="00F74167"/>
    <w:rsid w:val="00F74292"/>
    <w:rsid w:val="00F74724"/>
    <w:rsid w:val="00F74BC3"/>
    <w:rsid w:val="00F74CBD"/>
    <w:rsid w:val="00F74E95"/>
    <w:rsid w:val="00F74F9A"/>
    <w:rsid w:val="00F74FEF"/>
    <w:rsid w:val="00F752D6"/>
    <w:rsid w:val="00F759B4"/>
    <w:rsid w:val="00F75B6A"/>
    <w:rsid w:val="00F75D2F"/>
    <w:rsid w:val="00F76B57"/>
    <w:rsid w:val="00F77165"/>
    <w:rsid w:val="00F77E33"/>
    <w:rsid w:val="00F808EE"/>
    <w:rsid w:val="00F80967"/>
    <w:rsid w:val="00F815C8"/>
    <w:rsid w:val="00F81616"/>
    <w:rsid w:val="00F818D4"/>
    <w:rsid w:val="00F82242"/>
    <w:rsid w:val="00F82316"/>
    <w:rsid w:val="00F82328"/>
    <w:rsid w:val="00F82356"/>
    <w:rsid w:val="00F825A9"/>
    <w:rsid w:val="00F825DF"/>
    <w:rsid w:val="00F829E4"/>
    <w:rsid w:val="00F82BCD"/>
    <w:rsid w:val="00F83024"/>
    <w:rsid w:val="00F831C4"/>
    <w:rsid w:val="00F83561"/>
    <w:rsid w:val="00F83F09"/>
    <w:rsid w:val="00F83F4D"/>
    <w:rsid w:val="00F84022"/>
    <w:rsid w:val="00F84036"/>
    <w:rsid w:val="00F843BE"/>
    <w:rsid w:val="00F844D8"/>
    <w:rsid w:val="00F84839"/>
    <w:rsid w:val="00F85660"/>
    <w:rsid w:val="00F85B19"/>
    <w:rsid w:val="00F8644C"/>
    <w:rsid w:val="00F86FF0"/>
    <w:rsid w:val="00F87C03"/>
    <w:rsid w:val="00F87C9E"/>
    <w:rsid w:val="00F87DAC"/>
    <w:rsid w:val="00F87DC9"/>
    <w:rsid w:val="00F87FE9"/>
    <w:rsid w:val="00F902D7"/>
    <w:rsid w:val="00F902E2"/>
    <w:rsid w:val="00F90311"/>
    <w:rsid w:val="00F9071C"/>
    <w:rsid w:val="00F90E9A"/>
    <w:rsid w:val="00F91877"/>
    <w:rsid w:val="00F9208B"/>
    <w:rsid w:val="00F92139"/>
    <w:rsid w:val="00F92170"/>
    <w:rsid w:val="00F92D0A"/>
    <w:rsid w:val="00F92D42"/>
    <w:rsid w:val="00F939B5"/>
    <w:rsid w:val="00F93D62"/>
    <w:rsid w:val="00F93F4C"/>
    <w:rsid w:val="00F94089"/>
    <w:rsid w:val="00F94983"/>
    <w:rsid w:val="00F94E0F"/>
    <w:rsid w:val="00F952DD"/>
    <w:rsid w:val="00F95353"/>
    <w:rsid w:val="00F95672"/>
    <w:rsid w:val="00F959D4"/>
    <w:rsid w:val="00F95E80"/>
    <w:rsid w:val="00F9600D"/>
    <w:rsid w:val="00F9609D"/>
    <w:rsid w:val="00F96183"/>
    <w:rsid w:val="00F96E33"/>
    <w:rsid w:val="00F970DE"/>
    <w:rsid w:val="00F977D2"/>
    <w:rsid w:val="00F97EE4"/>
    <w:rsid w:val="00FA053A"/>
    <w:rsid w:val="00FA0666"/>
    <w:rsid w:val="00FA0BF7"/>
    <w:rsid w:val="00FA0C16"/>
    <w:rsid w:val="00FA19B8"/>
    <w:rsid w:val="00FA1AE9"/>
    <w:rsid w:val="00FA1F2A"/>
    <w:rsid w:val="00FA1FE2"/>
    <w:rsid w:val="00FA20DF"/>
    <w:rsid w:val="00FA2653"/>
    <w:rsid w:val="00FA2686"/>
    <w:rsid w:val="00FA2899"/>
    <w:rsid w:val="00FA2E7B"/>
    <w:rsid w:val="00FA2F9B"/>
    <w:rsid w:val="00FA30FD"/>
    <w:rsid w:val="00FA361B"/>
    <w:rsid w:val="00FA39C2"/>
    <w:rsid w:val="00FA3A8F"/>
    <w:rsid w:val="00FA3CFE"/>
    <w:rsid w:val="00FA3FE4"/>
    <w:rsid w:val="00FA4D22"/>
    <w:rsid w:val="00FA4D45"/>
    <w:rsid w:val="00FA505E"/>
    <w:rsid w:val="00FA5168"/>
    <w:rsid w:val="00FA526F"/>
    <w:rsid w:val="00FA5B4D"/>
    <w:rsid w:val="00FA5FA1"/>
    <w:rsid w:val="00FA6460"/>
    <w:rsid w:val="00FA6C4F"/>
    <w:rsid w:val="00FA712E"/>
    <w:rsid w:val="00FA7A22"/>
    <w:rsid w:val="00FA7E3C"/>
    <w:rsid w:val="00FB0A1C"/>
    <w:rsid w:val="00FB0A55"/>
    <w:rsid w:val="00FB0E61"/>
    <w:rsid w:val="00FB0F8E"/>
    <w:rsid w:val="00FB171A"/>
    <w:rsid w:val="00FB1A0D"/>
    <w:rsid w:val="00FB1BDB"/>
    <w:rsid w:val="00FB2414"/>
    <w:rsid w:val="00FB2C97"/>
    <w:rsid w:val="00FB339C"/>
    <w:rsid w:val="00FB33EF"/>
    <w:rsid w:val="00FB3596"/>
    <w:rsid w:val="00FB360D"/>
    <w:rsid w:val="00FB38EE"/>
    <w:rsid w:val="00FB3E55"/>
    <w:rsid w:val="00FB3F68"/>
    <w:rsid w:val="00FB4D18"/>
    <w:rsid w:val="00FB4D7C"/>
    <w:rsid w:val="00FB4D9E"/>
    <w:rsid w:val="00FB4E24"/>
    <w:rsid w:val="00FB4F66"/>
    <w:rsid w:val="00FB59C0"/>
    <w:rsid w:val="00FB5AFA"/>
    <w:rsid w:val="00FB5B93"/>
    <w:rsid w:val="00FB6101"/>
    <w:rsid w:val="00FB6173"/>
    <w:rsid w:val="00FB667A"/>
    <w:rsid w:val="00FB66ED"/>
    <w:rsid w:val="00FB6825"/>
    <w:rsid w:val="00FB68A8"/>
    <w:rsid w:val="00FB6956"/>
    <w:rsid w:val="00FB6A26"/>
    <w:rsid w:val="00FB6ADA"/>
    <w:rsid w:val="00FB6C1D"/>
    <w:rsid w:val="00FB6FEE"/>
    <w:rsid w:val="00FB7102"/>
    <w:rsid w:val="00FB73EA"/>
    <w:rsid w:val="00FB778A"/>
    <w:rsid w:val="00FB7C00"/>
    <w:rsid w:val="00FB7DC5"/>
    <w:rsid w:val="00FB7DD9"/>
    <w:rsid w:val="00FB7E0F"/>
    <w:rsid w:val="00FC0229"/>
    <w:rsid w:val="00FC05E4"/>
    <w:rsid w:val="00FC0FB4"/>
    <w:rsid w:val="00FC12E6"/>
    <w:rsid w:val="00FC1537"/>
    <w:rsid w:val="00FC15AA"/>
    <w:rsid w:val="00FC1809"/>
    <w:rsid w:val="00FC1873"/>
    <w:rsid w:val="00FC1A0E"/>
    <w:rsid w:val="00FC269E"/>
    <w:rsid w:val="00FC2A07"/>
    <w:rsid w:val="00FC2DF9"/>
    <w:rsid w:val="00FC3EB4"/>
    <w:rsid w:val="00FC4062"/>
    <w:rsid w:val="00FC414A"/>
    <w:rsid w:val="00FC454B"/>
    <w:rsid w:val="00FC4694"/>
    <w:rsid w:val="00FC4F24"/>
    <w:rsid w:val="00FC5089"/>
    <w:rsid w:val="00FC509B"/>
    <w:rsid w:val="00FC526B"/>
    <w:rsid w:val="00FC5D2A"/>
    <w:rsid w:val="00FC60AA"/>
    <w:rsid w:val="00FC6415"/>
    <w:rsid w:val="00FC649A"/>
    <w:rsid w:val="00FC664B"/>
    <w:rsid w:val="00FC672E"/>
    <w:rsid w:val="00FC6CE9"/>
    <w:rsid w:val="00FC6EF4"/>
    <w:rsid w:val="00FC7CF0"/>
    <w:rsid w:val="00FC7E95"/>
    <w:rsid w:val="00FD0067"/>
    <w:rsid w:val="00FD02A1"/>
    <w:rsid w:val="00FD0C10"/>
    <w:rsid w:val="00FD1A1D"/>
    <w:rsid w:val="00FD1AA3"/>
    <w:rsid w:val="00FD1CDD"/>
    <w:rsid w:val="00FD24F4"/>
    <w:rsid w:val="00FD3434"/>
    <w:rsid w:val="00FD3790"/>
    <w:rsid w:val="00FD382B"/>
    <w:rsid w:val="00FD3BBC"/>
    <w:rsid w:val="00FD3FFB"/>
    <w:rsid w:val="00FD4279"/>
    <w:rsid w:val="00FD4518"/>
    <w:rsid w:val="00FD4ECF"/>
    <w:rsid w:val="00FD5411"/>
    <w:rsid w:val="00FD556A"/>
    <w:rsid w:val="00FD579D"/>
    <w:rsid w:val="00FD57EE"/>
    <w:rsid w:val="00FD5A18"/>
    <w:rsid w:val="00FD5C22"/>
    <w:rsid w:val="00FD6E94"/>
    <w:rsid w:val="00FD6F3E"/>
    <w:rsid w:val="00FD76A2"/>
    <w:rsid w:val="00FD79AC"/>
    <w:rsid w:val="00FD7A0F"/>
    <w:rsid w:val="00FD7AFF"/>
    <w:rsid w:val="00FD7B34"/>
    <w:rsid w:val="00FD7BD4"/>
    <w:rsid w:val="00FD7CC0"/>
    <w:rsid w:val="00FE055F"/>
    <w:rsid w:val="00FE06C7"/>
    <w:rsid w:val="00FE072C"/>
    <w:rsid w:val="00FE07BD"/>
    <w:rsid w:val="00FE07E8"/>
    <w:rsid w:val="00FE0878"/>
    <w:rsid w:val="00FE1066"/>
    <w:rsid w:val="00FE113E"/>
    <w:rsid w:val="00FE1150"/>
    <w:rsid w:val="00FE1609"/>
    <w:rsid w:val="00FE1880"/>
    <w:rsid w:val="00FE18BF"/>
    <w:rsid w:val="00FE1AD0"/>
    <w:rsid w:val="00FE1E73"/>
    <w:rsid w:val="00FE227D"/>
    <w:rsid w:val="00FE285C"/>
    <w:rsid w:val="00FE2879"/>
    <w:rsid w:val="00FE3562"/>
    <w:rsid w:val="00FE362C"/>
    <w:rsid w:val="00FE39C8"/>
    <w:rsid w:val="00FE4766"/>
    <w:rsid w:val="00FE546D"/>
    <w:rsid w:val="00FE5798"/>
    <w:rsid w:val="00FE5950"/>
    <w:rsid w:val="00FE5AD5"/>
    <w:rsid w:val="00FE739C"/>
    <w:rsid w:val="00FE74D8"/>
    <w:rsid w:val="00FE7D46"/>
    <w:rsid w:val="00FE7EF1"/>
    <w:rsid w:val="00FF033F"/>
    <w:rsid w:val="00FF0AE4"/>
    <w:rsid w:val="00FF11A7"/>
    <w:rsid w:val="00FF16ED"/>
    <w:rsid w:val="00FF1B47"/>
    <w:rsid w:val="00FF288F"/>
    <w:rsid w:val="00FF2969"/>
    <w:rsid w:val="00FF3102"/>
    <w:rsid w:val="00FF37C7"/>
    <w:rsid w:val="00FF38D9"/>
    <w:rsid w:val="00FF3E5C"/>
    <w:rsid w:val="00FF43AA"/>
    <w:rsid w:val="00FF4BC9"/>
    <w:rsid w:val="00FF4DA8"/>
    <w:rsid w:val="00FF50D1"/>
    <w:rsid w:val="00FF56BF"/>
    <w:rsid w:val="00FF60B1"/>
    <w:rsid w:val="00FF6239"/>
    <w:rsid w:val="00FF6254"/>
    <w:rsid w:val="00FF636D"/>
    <w:rsid w:val="00FF64AE"/>
    <w:rsid w:val="00FF681E"/>
    <w:rsid w:val="00FF7C01"/>
    <w:rsid w:val="00FF7E54"/>
    <w:rsid w:val="00FF7F11"/>
    <w:rsid w:val="10D91646"/>
    <w:rsid w:val="137F4AEF"/>
    <w:rsid w:val="530C38C5"/>
    <w:rsid w:val="56A90FB1"/>
    <w:rsid w:val="6E40519F"/>
    <w:rsid w:val="7B58317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qFormat="1" w:unhideWhenUsed="0" w:uiPriority="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kern w:val="2"/>
      <w:sz w:val="21"/>
      <w:szCs w:val="24"/>
      <w:lang w:val="en-US" w:eastAsia="zh-CN" w:bidi="ar-SA"/>
    </w:rPr>
  </w:style>
  <w:style w:type="paragraph" w:styleId="2">
    <w:name w:val="heading 1"/>
    <w:basedOn w:val="1"/>
    <w:next w:val="1"/>
    <w:link w:val="4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8"/>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paragraph" w:styleId="10">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40">
    <w:name w:val="Default Paragraph Font"/>
    <w:semiHidden/>
    <w:qFormat/>
    <w:uiPriority w:val="0"/>
  </w:style>
  <w:style w:type="table" w:default="1" w:styleId="38">
    <w:name w:val="Normal Table"/>
    <w:semiHidden/>
    <w:qFormat/>
    <w:uiPriority w:val="0"/>
    <w:tblPr>
      <w:tblCellMar>
        <w:top w:w="0" w:type="dxa"/>
        <w:left w:w="108" w:type="dxa"/>
        <w:bottom w:w="0" w:type="dxa"/>
        <w:right w:w="108" w:type="dxa"/>
      </w:tblCellMar>
    </w:tblPr>
  </w:style>
  <w:style w:type="paragraph" w:styleId="11">
    <w:name w:val="toc 7"/>
    <w:basedOn w:val="1"/>
    <w:next w:val="1"/>
    <w:semiHidden/>
    <w:qFormat/>
    <w:uiPriority w:val="0"/>
    <w:pPr>
      <w:ind w:left="1260"/>
      <w:jc w:val="left"/>
    </w:pPr>
    <w:rPr>
      <w:szCs w:val="21"/>
    </w:rPr>
  </w:style>
  <w:style w:type="paragraph" w:styleId="12">
    <w:name w:val="Normal Indent"/>
    <w:basedOn w:val="1"/>
    <w:qFormat/>
    <w:uiPriority w:val="0"/>
    <w:pPr>
      <w:ind w:firstLine="420" w:firstLineChars="200"/>
    </w:pPr>
  </w:style>
  <w:style w:type="paragraph" w:styleId="13">
    <w:name w:val="Document Map"/>
    <w:basedOn w:val="1"/>
    <w:semiHidden/>
    <w:qFormat/>
    <w:uiPriority w:val="0"/>
    <w:pPr>
      <w:shd w:val="clear" w:color="auto" w:fill="000080"/>
    </w:pPr>
  </w:style>
  <w:style w:type="paragraph" w:styleId="14">
    <w:name w:val="annotation text"/>
    <w:basedOn w:val="1"/>
    <w:link w:val="49"/>
    <w:qFormat/>
    <w:uiPriority w:val="0"/>
  </w:style>
  <w:style w:type="paragraph" w:styleId="15">
    <w:name w:val="Body Text 3"/>
    <w:basedOn w:val="1"/>
    <w:qFormat/>
    <w:uiPriority w:val="0"/>
    <w:pPr>
      <w:spacing w:after="120"/>
    </w:pPr>
    <w:rPr>
      <w:sz w:val="16"/>
      <w:szCs w:val="16"/>
    </w:rPr>
  </w:style>
  <w:style w:type="paragraph" w:styleId="16">
    <w:name w:val="Body Text"/>
    <w:basedOn w:val="1"/>
    <w:qFormat/>
    <w:uiPriority w:val="0"/>
    <w:rPr>
      <w:sz w:val="28"/>
    </w:rPr>
  </w:style>
  <w:style w:type="paragraph" w:styleId="17">
    <w:name w:val="Body Text Indent"/>
    <w:basedOn w:val="1"/>
    <w:link w:val="50"/>
    <w:qFormat/>
    <w:uiPriority w:val="0"/>
    <w:pPr>
      <w:spacing w:line="480" w:lineRule="exact"/>
      <w:ind w:firstLine="560" w:firstLineChars="200"/>
    </w:pPr>
    <w:rPr>
      <w:rFonts w:eastAsia="仿宋_GB2312"/>
      <w:sz w:val="28"/>
    </w:rPr>
  </w:style>
  <w:style w:type="paragraph" w:styleId="18">
    <w:name w:val="toc 5"/>
    <w:basedOn w:val="1"/>
    <w:next w:val="1"/>
    <w:semiHidden/>
    <w:qFormat/>
    <w:uiPriority w:val="0"/>
    <w:pPr>
      <w:ind w:left="840"/>
      <w:jc w:val="left"/>
    </w:pPr>
    <w:rPr>
      <w:szCs w:val="21"/>
    </w:rPr>
  </w:style>
  <w:style w:type="paragraph" w:styleId="19">
    <w:name w:val="toc 3"/>
    <w:basedOn w:val="1"/>
    <w:next w:val="1"/>
    <w:qFormat/>
    <w:uiPriority w:val="39"/>
    <w:pPr>
      <w:tabs>
        <w:tab w:val="right" w:leader="dot" w:pos="9060"/>
      </w:tabs>
      <w:spacing w:line="480" w:lineRule="exact"/>
      <w:ind w:left="420"/>
      <w:jc w:val="both"/>
    </w:pPr>
    <w:rPr>
      <w:rFonts w:ascii="仿宋_GB2312" w:eastAsia="楷体_GB2312"/>
      <w:iCs/>
      <w:sz w:val="28"/>
      <w:szCs w:val="28"/>
    </w:rPr>
  </w:style>
  <w:style w:type="paragraph" w:styleId="20">
    <w:name w:val="Plain Text"/>
    <w:basedOn w:val="1"/>
    <w:link w:val="51"/>
    <w:qFormat/>
    <w:uiPriority w:val="0"/>
    <w:rPr>
      <w:rFonts w:ascii="宋体" w:hAnsi="Courier New" w:cs="Courier New"/>
      <w:szCs w:val="21"/>
    </w:rPr>
  </w:style>
  <w:style w:type="paragraph" w:styleId="21">
    <w:name w:val="toc 8"/>
    <w:basedOn w:val="1"/>
    <w:next w:val="1"/>
    <w:semiHidden/>
    <w:qFormat/>
    <w:uiPriority w:val="0"/>
    <w:pPr>
      <w:ind w:left="1470"/>
      <w:jc w:val="left"/>
    </w:pPr>
    <w:rPr>
      <w:szCs w:val="21"/>
    </w:rPr>
  </w:style>
  <w:style w:type="paragraph" w:styleId="22">
    <w:name w:val="Date"/>
    <w:basedOn w:val="1"/>
    <w:next w:val="1"/>
    <w:qFormat/>
    <w:uiPriority w:val="0"/>
    <w:pPr>
      <w:ind w:left="100" w:leftChars="2500"/>
    </w:pPr>
    <w:rPr>
      <w:rFonts w:eastAsia="仿宋_GB2312"/>
      <w:sz w:val="28"/>
      <w:szCs w:val="21"/>
    </w:rPr>
  </w:style>
  <w:style w:type="paragraph" w:styleId="23">
    <w:name w:val="Body Text Indent 2"/>
    <w:basedOn w:val="1"/>
    <w:link w:val="52"/>
    <w:qFormat/>
    <w:uiPriority w:val="0"/>
    <w:pPr>
      <w:spacing w:before="50" w:line="480" w:lineRule="exact"/>
      <w:ind w:firstLine="560" w:firstLineChars="200"/>
    </w:pPr>
    <w:rPr>
      <w:rFonts w:eastAsia="仿宋_GB2312"/>
      <w:color w:val="FF6600"/>
      <w:sz w:val="28"/>
    </w:rPr>
  </w:style>
  <w:style w:type="paragraph" w:styleId="24">
    <w:name w:val="Balloon Text"/>
    <w:basedOn w:val="1"/>
    <w:link w:val="53"/>
    <w:qFormat/>
    <w:uiPriority w:val="0"/>
    <w:rPr>
      <w:sz w:val="18"/>
      <w:szCs w:val="18"/>
    </w:rPr>
  </w:style>
  <w:style w:type="paragraph" w:styleId="25">
    <w:name w:val="footer"/>
    <w:basedOn w:val="1"/>
    <w:link w:val="54"/>
    <w:qFormat/>
    <w:uiPriority w:val="99"/>
    <w:pPr>
      <w:tabs>
        <w:tab w:val="center" w:pos="4153"/>
        <w:tab w:val="right" w:pos="8306"/>
      </w:tabs>
      <w:snapToGrid w:val="0"/>
      <w:jc w:val="left"/>
    </w:pPr>
    <w:rPr>
      <w:sz w:val="18"/>
      <w:szCs w:val="18"/>
    </w:rPr>
  </w:style>
  <w:style w:type="paragraph" w:styleId="2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pPr>
      <w:ind w:firstLine="177" w:firstLineChars="49"/>
      <w:jc w:val="both"/>
    </w:pPr>
    <w:rPr>
      <w:rFonts w:ascii="黑体" w:hAnsi="宋体" w:eastAsia="黑体"/>
      <w:b/>
      <w:bCs/>
      <w:caps/>
      <w:sz w:val="36"/>
      <w:szCs w:val="36"/>
    </w:rPr>
  </w:style>
  <w:style w:type="paragraph" w:styleId="28">
    <w:name w:val="toc 4"/>
    <w:basedOn w:val="1"/>
    <w:next w:val="1"/>
    <w:semiHidden/>
    <w:qFormat/>
    <w:uiPriority w:val="0"/>
    <w:pPr>
      <w:ind w:left="630"/>
      <w:jc w:val="left"/>
    </w:pPr>
    <w:rPr>
      <w:szCs w:val="21"/>
    </w:rPr>
  </w:style>
  <w:style w:type="paragraph" w:styleId="29">
    <w:name w:val="toc 6"/>
    <w:basedOn w:val="1"/>
    <w:next w:val="1"/>
    <w:semiHidden/>
    <w:qFormat/>
    <w:uiPriority w:val="0"/>
    <w:pPr>
      <w:ind w:left="1050"/>
      <w:jc w:val="left"/>
    </w:pPr>
    <w:rPr>
      <w:szCs w:val="21"/>
    </w:rPr>
  </w:style>
  <w:style w:type="paragraph" w:styleId="30">
    <w:name w:val="Body Text Indent 3"/>
    <w:basedOn w:val="1"/>
    <w:qFormat/>
    <w:uiPriority w:val="0"/>
    <w:pPr>
      <w:spacing w:after="120"/>
      <w:ind w:left="420" w:leftChars="200"/>
    </w:pPr>
    <w:rPr>
      <w:sz w:val="16"/>
      <w:szCs w:val="16"/>
    </w:rPr>
  </w:style>
  <w:style w:type="paragraph" w:styleId="31">
    <w:name w:val="table of figures"/>
    <w:basedOn w:val="1"/>
    <w:next w:val="1"/>
    <w:semiHidden/>
    <w:qFormat/>
    <w:uiPriority w:val="0"/>
    <w:pPr>
      <w:ind w:left="840" w:leftChars="200" w:hanging="420" w:hangingChars="200"/>
    </w:pPr>
  </w:style>
  <w:style w:type="paragraph" w:styleId="32">
    <w:name w:val="toc 2"/>
    <w:basedOn w:val="1"/>
    <w:next w:val="1"/>
    <w:qFormat/>
    <w:uiPriority w:val="39"/>
    <w:pPr>
      <w:ind w:left="210"/>
      <w:jc w:val="both"/>
    </w:pPr>
    <w:rPr>
      <w:rFonts w:ascii="黑体" w:hAnsi="黑体" w:eastAsia="黑体"/>
      <w:b/>
      <w:smallCaps/>
      <w:sz w:val="30"/>
      <w:szCs w:val="30"/>
    </w:rPr>
  </w:style>
  <w:style w:type="paragraph" w:styleId="33">
    <w:name w:val="toc 9"/>
    <w:basedOn w:val="1"/>
    <w:next w:val="1"/>
    <w:semiHidden/>
    <w:qFormat/>
    <w:uiPriority w:val="0"/>
    <w:pPr>
      <w:ind w:left="1680"/>
      <w:jc w:val="left"/>
    </w:pPr>
    <w:rPr>
      <w:szCs w:val="21"/>
    </w:rPr>
  </w:style>
  <w:style w:type="paragraph" w:styleId="34">
    <w:name w:val="Body Text 2"/>
    <w:basedOn w:val="1"/>
    <w:qFormat/>
    <w:uiPriority w:val="0"/>
    <w:pPr>
      <w:spacing w:after="120" w:line="480" w:lineRule="auto"/>
    </w:pPr>
  </w:style>
  <w:style w:type="paragraph" w:styleId="3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6">
    <w:name w:val="Title"/>
    <w:basedOn w:val="1"/>
    <w:qFormat/>
    <w:uiPriority w:val="0"/>
    <w:pPr>
      <w:tabs>
        <w:tab w:val="left" w:pos="3255"/>
      </w:tabs>
      <w:jc w:val="center"/>
      <w:outlineLvl w:val="0"/>
    </w:pPr>
    <w:rPr>
      <w:rFonts w:ascii="仿宋_GB2312" w:cs="Arial"/>
      <w:bCs/>
      <w:color w:val="000000"/>
      <w:sz w:val="24"/>
    </w:rPr>
  </w:style>
  <w:style w:type="paragraph" w:styleId="37">
    <w:name w:val="annotation subject"/>
    <w:basedOn w:val="14"/>
    <w:next w:val="14"/>
    <w:link w:val="55"/>
    <w:qFormat/>
    <w:uiPriority w:val="0"/>
    <w:rPr>
      <w:b/>
      <w:bCs/>
    </w:rPr>
  </w:style>
  <w:style w:type="table" w:styleId="39">
    <w:name w:val="Table Grid"/>
    <w:basedOn w:val="3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1">
    <w:name w:val="Strong"/>
    <w:qFormat/>
    <w:uiPriority w:val="0"/>
    <w:rPr>
      <w:b/>
      <w:bCs/>
    </w:rPr>
  </w:style>
  <w:style w:type="character" w:styleId="42">
    <w:name w:val="page number"/>
    <w:basedOn w:val="40"/>
    <w:qFormat/>
    <w:uiPriority w:val="0"/>
  </w:style>
  <w:style w:type="character" w:styleId="43">
    <w:name w:val="FollowedHyperlink"/>
    <w:qFormat/>
    <w:uiPriority w:val="99"/>
    <w:rPr>
      <w:color w:val="800080"/>
      <w:u w:val="single"/>
    </w:rPr>
  </w:style>
  <w:style w:type="character" w:styleId="44">
    <w:name w:val="Emphasis"/>
    <w:qFormat/>
    <w:uiPriority w:val="0"/>
    <w:rPr>
      <w:i/>
      <w:iCs/>
    </w:rPr>
  </w:style>
  <w:style w:type="character" w:styleId="45">
    <w:name w:val="Hyperlink"/>
    <w:qFormat/>
    <w:uiPriority w:val="99"/>
    <w:rPr>
      <w:color w:val="0000FF"/>
      <w:u w:val="single"/>
    </w:rPr>
  </w:style>
  <w:style w:type="character" w:styleId="46">
    <w:name w:val="annotation reference"/>
    <w:qFormat/>
    <w:uiPriority w:val="0"/>
    <w:rPr>
      <w:sz w:val="21"/>
      <w:szCs w:val="21"/>
    </w:rPr>
  </w:style>
  <w:style w:type="character" w:customStyle="1" w:styleId="47">
    <w:name w:val="标题 1 Char"/>
    <w:link w:val="2"/>
    <w:qFormat/>
    <w:uiPriority w:val="0"/>
    <w:rPr>
      <w:b/>
      <w:bCs/>
      <w:kern w:val="44"/>
      <w:sz w:val="44"/>
      <w:szCs w:val="44"/>
    </w:rPr>
  </w:style>
  <w:style w:type="character" w:customStyle="1" w:styleId="48">
    <w:name w:val="标题 2 Char"/>
    <w:link w:val="3"/>
    <w:qFormat/>
    <w:uiPriority w:val="0"/>
    <w:rPr>
      <w:rFonts w:ascii="Arial" w:hAnsi="Arial" w:eastAsia="黑体"/>
      <w:b/>
      <w:bCs/>
      <w:kern w:val="2"/>
      <w:sz w:val="32"/>
      <w:szCs w:val="32"/>
    </w:rPr>
  </w:style>
  <w:style w:type="character" w:customStyle="1" w:styleId="49">
    <w:name w:val="批注文字 Char"/>
    <w:link w:val="14"/>
    <w:qFormat/>
    <w:uiPriority w:val="0"/>
    <w:rPr>
      <w:kern w:val="2"/>
      <w:sz w:val="21"/>
      <w:szCs w:val="24"/>
    </w:rPr>
  </w:style>
  <w:style w:type="character" w:customStyle="1" w:styleId="50">
    <w:name w:val="正文文本缩进 Char"/>
    <w:link w:val="17"/>
    <w:qFormat/>
    <w:uiPriority w:val="0"/>
    <w:rPr>
      <w:rFonts w:eastAsia="仿宋_GB2312"/>
      <w:kern w:val="2"/>
      <w:sz w:val="28"/>
      <w:szCs w:val="24"/>
    </w:rPr>
  </w:style>
  <w:style w:type="character" w:customStyle="1" w:styleId="51">
    <w:name w:val="纯文本 Char"/>
    <w:link w:val="20"/>
    <w:qFormat/>
    <w:uiPriority w:val="0"/>
    <w:rPr>
      <w:rFonts w:ascii="宋体" w:hAnsi="Courier New" w:eastAsia="宋体" w:cs="Courier New"/>
      <w:kern w:val="2"/>
      <w:sz w:val="21"/>
      <w:szCs w:val="21"/>
      <w:lang w:val="en-US" w:eastAsia="zh-CN" w:bidi="ar-SA"/>
    </w:rPr>
  </w:style>
  <w:style w:type="character" w:customStyle="1" w:styleId="52">
    <w:name w:val="正文文本缩进 2 Char"/>
    <w:link w:val="23"/>
    <w:qFormat/>
    <w:uiPriority w:val="0"/>
    <w:rPr>
      <w:rFonts w:eastAsia="仿宋_GB2312"/>
      <w:color w:val="FF6600"/>
      <w:kern w:val="2"/>
      <w:sz w:val="28"/>
      <w:szCs w:val="24"/>
      <w:lang w:val="en-US" w:eastAsia="zh-CN" w:bidi="ar-SA"/>
    </w:rPr>
  </w:style>
  <w:style w:type="character" w:customStyle="1" w:styleId="53">
    <w:name w:val="批注框文本 Char"/>
    <w:link w:val="24"/>
    <w:qFormat/>
    <w:uiPriority w:val="0"/>
    <w:rPr>
      <w:kern w:val="2"/>
      <w:sz w:val="18"/>
      <w:szCs w:val="18"/>
    </w:rPr>
  </w:style>
  <w:style w:type="character" w:customStyle="1" w:styleId="54">
    <w:name w:val="页脚 Char"/>
    <w:link w:val="25"/>
    <w:qFormat/>
    <w:uiPriority w:val="99"/>
    <w:rPr>
      <w:kern w:val="2"/>
      <w:sz w:val="18"/>
      <w:szCs w:val="18"/>
    </w:rPr>
  </w:style>
  <w:style w:type="character" w:customStyle="1" w:styleId="55">
    <w:name w:val="批注主题 Char"/>
    <w:link w:val="37"/>
    <w:qFormat/>
    <w:uiPriority w:val="0"/>
    <w:rPr>
      <w:b/>
      <w:bCs/>
      <w:kern w:val="2"/>
      <w:sz w:val="21"/>
      <w:szCs w:val="24"/>
    </w:rPr>
  </w:style>
  <w:style w:type="character" w:customStyle="1" w:styleId="56">
    <w:name w:val="普通文字3 Char"/>
    <w:qFormat/>
    <w:uiPriority w:val="0"/>
    <w:rPr>
      <w:rFonts w:ascii="宋体" w:hAnsi="Courier New" w:eastAsia="宋体" w:cs="Courier New"/>
      <w:kern w:val="2"/>
      <w:sz w:val="21"/>
      <w:szCs w:val="21"/>
      <w:lang w:val="en-US" w:eastAsia="zh-CN" w:bidi="ar-SA"/>
    </w:rPr>
  </w:style>
  <w:style w:type="character" w:customStyle="1" w:styleId="57">
    <w:name w:val="正文Report Char"/>
    <w:qFormat/>
    <w:uiPriority w:val="0"/>
    <w:rPr>
      <w:rFonts w:eastAsia="宋体"/>
      <w:kern w:val="2"/>
      <w:sz w:val="24"/>
      <w:szCs w:val="24"/>
      <w:lang w:val="en-US" w:eastAsia="zh-CN" w:bidi="ar-SA"/>
    </w:rPr>
  </w:style>
  <w:style w:type="character" w:customStyle="1" w:styleId="58">
    <w:name w:val="apple-converted-space"/>
    <w:basedOn w:val="40"/>
    <w:qFormat/>
    <w:uiPriority w:val="0"/>
  </w:style>
  <w:style w:type="character" w:customStyle="1" w:styleId="59">
    <w:name w:val="df1"/>
    <w:basedOn w:val="40"/>
    <w:qFormat/>
    <w:uiPriority w:val="0"/>
  </w:style>
  <w:style w:type="character" w:customStyle="1" w:styleId="60">
    <w:name w:val="unnamed1"/>
    <w:basedOn w:val="40"/>
    <w:qFormat/>
    <w:uiPriority w:val="0"/>
  </w:style>
  <w:style w:type="character" w:customStyle="1" w:styleId="61">
    <w:name w:val="标题 3 Char Char Char Char"/>
    <w:qFormat/>
    <w:uiPriority w:val="0"/>
    <w:rPr>
      <w:rFonts w:eastAsia="宋体"/>
      <w:b/>
      <w:bCs/>
      <w:kern w:val="2"/>
      <w:sz w:val="32"/>
      <w:szCs w:val="32"/>
      <w:lang w:val="en-US" w:eastAsia="zh-CN" w:bidi="ar-SA"/>
    </w:rPr>
  </w:style>
  <w:style w:type="character" w:customStyle="1" w:styleId="62">
    <w:name w:val="正文 1 Char"/>
    <w:link w:val="63"/>
    <w:qFormat/>
    <w:uiPriority w:val="0"/>
    <w:rPr>
      <w:rFonts w:eastAsia="宋体"/>
      <w:kern w:val="2"/>
      <w:sz w:val="24"/>
      <w:szCs w:val="24"/>
      <w:lang w:val="en-US" w:eastAsia="zh-CN" w:bidi="ar-SA"/>
    </w:rPr>
  </w:style>
  <w:style w:type="paragraph" w:customStyle="1" w:styleId="63">
    <w:name w:val="正文 1"/>
    <w:basedOn w:val="1"/>
    <w:link w:val="62"/>
    <w:qFormat/>
    <w:uiPriority w:val="0"/>
    <w:pPr>
      <w:spacing w:line="400" w:lineRule="atLeast"/>
      <w:ind w:firstLine="510"/>
    </w:pPr>
    <w:rPr>
      <w:sz w:val="24"/>
    </w:rPr>
  </w:style>
  <w:style w:type="character" w:customStyle="1" w:styleId="64">
    <w:name w:val="t_tag"/>
    <w:basedOn w:val="40"/>
    <w:qFormat/>
    <w:uiPriority w:val="0"/>
  </w:style>
  <w:style w:type="paragraph" w:customStyle="1" w:styleId="65">
    <w:name w:val="xl66"/>
    <w:basedOn w:val="1"/>
    <w:qFormat/>
    <w:uiPriority w:val="0"/>
    <w:pPr>
      <w:widowControl/>
      <w:pBdr>
        <w:left w:val="single" w:color="auto" w:sz="4" w:space="0"/>
        <w:right w:val="single" w:color="auto" w:sz="4" w:space="0"/>
      </w:pBdr>
      <w:shd w:val="clear" w:color="auto" w:fill="CCFFCC"/>
      <w:spacing w:before="100" w:beforeAutospacing="1" w:after="100" w:afterAutospacing="1"/>
      <w:jc w:val="center"/>
    </w:pPr>
    <w:rPr>
      <w:kern w:val="0"/>
      <w:szCs w:val="21"/>
    </w:rPr>
  </w:style>
  <w:style w:type="paragraph" w:customStyle="1" w:styleId="66">
    <w:name w:val="xl37"/>
    <w:basedOn w:val="1"/>
    <w:qFormat/>
    <w:uiPriority w:val="0"/>
    <w:pPr>
      <w:widowControl/>
      <w:pBdr>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kern w:val="0"/>
      <w:szCs w:val="21"/>
    </w:rPr>
  </w:style>
  <w:style w:type="paragraph" w:customStyle="1" w:styleId="67">
    <w:name w:val="xl74"/>
    <w:basedOn w:val="1"/>
    <w:qFormat/>
    <w:uiPriority w:val="0"/>
    <w:pPr>
      <w:widowControl/>
      <w:pBdr>
        <w:top w:val="single" w:color="auto" w:sz="4" w:space="0"/>
        <w:left w:val="single" w:color="auto" w:sz="4" w:space="0"/>
        <w:right w:val="single" w:color="auto" w:sz="4" w:space="0"/>
      </w:pBdr>
      <w:shd w:val="clear" w:color="auto" w:fill="00FF00"/>
      <w:spacing w:before="100" w:beforeAutospacing="1" w:after="100" w:afterAutospacing="1"/>
      <w:jc w:val="center"/>
    </w:pPr>
    <w:rPr>
      <w:kern w:val="0"/>
      <w:szCs w:val="21"/>
    </w:rPr>
  </w:style>
  <w:style w:type="paragraph" w:customStyle="1" w:styleId="68">
    <w:name w:val="xl46"/>
    <w:basedOn w:val="1"/>
    <w:qFormat/>
    <w:uiPriority w:val="0"/>
    <w:pPr>
      <w:widowControl/>
      <w:pBdr>
        <w:left w:val="single" w:color="C0C0C0" w:sz="4" w:space="0"/>
        <w:bottom w:val="single" w:color="000000" w:sz="4" w:space="0"/>
        <w:right w:val="single" w:color="C0C0C0" w:sz="4" w:space="0"/>
      </w:pBdr>
      <w:shd w:val="clear" w:color="auto" w:fill="FFFFFF"/>
      <w:spacing w:before="100" w:beforeAutospacing="1" w:after="100" w:afterAutospacing="1"/>
      <w:jc w:val="center"/>
      <w:textAlignment w:val="top"/>
    </w:pPr>
    <w:rPr>
      <w:kern w:val="0"/>
      <w:szCs w:val="21"/>
    </w:rPr>
  </w:style>
  <w:style w:type="paragraph" w:customStyle="1" w:styleId="69">
    <w:name w:val="2"/>
    <w:basedOn w:val="1"/>
    <w:next w:val="20"/>
    <w:qFormat/>
    <w:uiPriority w:val="0"/>
    <w:rPr>
      <w:rFonts w:ascii="宋体" w:hAnsi="Courier New" w:cs="Courier New"/>
      <w:szCs w:val="21"/>
    </w:rPr>
  </w:style>
  <w:style w:type="paragraph" w:customStyle="1" w:styleId="70">
    <w:name w:val="xl58"/>
    <w:basedOn w:val="1"/>
    <w:qFormat/>
    <w:uiPriority w:val="0"/>
    <w:pPr>
      <w:widowControl/>
      <w:pBdr>
        <w:left w:val="single" w:color="auto" w:sz="4" w:space="0"/>
        <w:bottom w:val="single" w:color="auto" w:sz="4" w:space="0"/>
        <w:right w:val="single" w:color="auto" w:sz="4" w:space="0"/>
      </w:pBdr>
      <w:shd w:val="clear" w:color="auto" w:fill="FF00FF"/>
      <w:spacing w:before="100" w:beforeAutospacing="1" w:after="100" w:afterAutospacing="1"/>
      <w:jc w:val="center"/>
    </w:pPr>
    <w:rPr>
      <w:rFonts w:hint="eastAsia" w:ascii="仿宋_GB2312" w:hAnsi="Arial Unicode MS" w:eastAsia="仿宋_GB2312"/>
      <w:kern w:val="0"/>
      <w:szCs w:val="21"/>
    </w:rPr>
  </w:style>
  <w:style w:type="paragraph" w:customStyle="1" w:styleId="71">
    <w:name w:val="xl25"/>
    <w:basedOn w:val="1"/>
    <w:qFormat/>
    <w:uiPriority w:val="0"/>
    <w:pPr>
      <w:widowControl/>
      <w:pBdr>
        <w:top w:val="single" w:color="auto" w:sz="4" w:space="0"/>
        <w:bottom w:val="single" w:color="auto" w:sz="4" w:space="0"/>
        <w:right w:val="single" w:color="auto" w:sz="4" w:space="0"/>
      </w:pBdr>
      <w:spacing w:before="100" w:beforeAutospacing="1" w:after="100" w:afterAutospacing="1"/>
      <w:textAlignment w:val="top"/>
    </w:pPr>
    <w:rPr>
      <w:rFonts w:eastAsia="Arial Unicode MS"/>
      <w:kern w:val="0"/>
      <w:szCs w:val="21"/>
    </w:rPr>
  </w:style>
  <w:style w:type="paragraph" w:customStyle="1" w:styleId="72">
    <w:name w:val="xl82"/>
    <w:basedOn w:val="1"/>
    <w:qFormat/>
    <w:uiPriority w:val="0"/>
    <w:pPr>
      <w:widowControl/>
      <w:pBdr>
        <w:top w:val="single" w:color="auto" w:sz="4" w:space="0"/>
        <w:left w:val="single" w:color="auto" w:sz="4" w:space="0"/>
        <w:right w:val="single" w:color="auto" w:sz="4" w:space="0"/>
      </w:pBdr>
      <w:shd w:val="clear" w:color="auto" w:fill="CCFFCC"/>
      <w:spacing w:before="100" w:beforeAutospacing="1" w:after="100" w:afterAutospacing="1"/>
      <w:jc w:val="center"/>
    </w:pPr>
    <w:rPr>
      <w:rFonts w:ascii="Arial Unicode MS" w:hAnsi="Arial Unicode MS"/>
      <w:kern w:val="0"/>
      <w:szCs w:val="21"/>
    </w:rPr>
  </w:style>
  <w:style w:type="paragraph" w:customStyle="1" w:styleId="73">
    <w:name w:val="xl50"/>
    <w:basedOn w:val="1"/>
    <w:qFormat/>
    <w:uiPriority w:val="0"/>
    <w:pPr>
      <w:widowControl/>
      <w:pBdr>
        <w:bottom w:val="single" w:color="auto" w:sz="4" w:space="0"/>
        <w:right w:val="single" w:color="auto" w:sz="4" w:space="0"/>
      </w:pBdr>
      <w:shd w:val="clear" w:color="auto" w:fill="FF00FF"/>
      <w:spacing w:before="100" w:beforeAutospacing="1" w:after="100" w:afterAutospacing="1"/>
      <w:jc w:val="center"/>
      <w:textAlignment w:val="center"/>
    </w:pPr>
    <w:rPr>
      <w:rFonts w:hint="eastAsia" w:ascii="仿宋_GB2312" w:hAnsi="Arial Unicode MS" w:eastAsia="仿宋_GB2312"/>
      <w:kern w:val="0"/>
      <w:szCs w:val="21"/>
    </w:rPr>
  </w:style>
  <w:style w:type="paragraph" w:customStyle="1" w:styleId="74">
    <w:name w:val="xl70"/>
    <w:basedOn w:val="1"/>
    <w:qFormat/>
    <w:uiPriority w:val="0"/>
    <w:pPr>
      <w:widowControl/>
      <w:pBdr>
        <w:left w:val="single" w:color="auto" w:sz="4" w:space="0"/>
        <w:bottom w:val="single" w:color="auto" w:sz="4" w:space="0"/>
        <w:right w:val="single" w:color="auto" w:sz="4" w:space="0"/>
      </w:pBdr>
      <w:shd w:val="clear" w:color="auto" w:fill="CCFFCC"/>
      <w:spacing w:before="100" w:beforeAutospacing="1" w:after="100" w:afterAutospacing="1"/>
      <w:jc w:val="center"/>
    </w:pPr>
    <w:rPr>
      <w:rFonts w:hint="eastAsia" w:ascii="仿宋_GB2312" w:hAnsi="Arial Unicode MS" w:eastAsia="仿宋_GB2312"/>
      <w:kern w:val="0"/>
      <w:szCs w:val="21"/>
    </w:rPr>
  </w:style>
  <w:style w:type="paragraph" w:customStyle="1" w:styleId="75">
    <w:name w:val="xl54"/>
    <w:basedOn w:val="1"/>
    <w:qFormat/>
    <w:uiPriority w:val="0"/>
    <w:pPr>
      <w:widowControl/>
      <w:pBdr>
        <w:bottom w:val="single" w:color="auto" w:sz="4" w:space="0"/>
        <w:right w:val="single" w:color="auto" w:sz="4" w:space="0"/>
      </w:pBdr>
      <w:shd w:val="clear" w:color="auto" w:fill="FFFF00"/>
      <w:spacing w:before="100" w:beforeAutospacing="1" w:after="100" w:afterAutospacing="1"/>
      <w:jc w:val="center"/>
      <w:textAlignment w:val="center"/>
    </w:pPr>
    <w:rPr>
      <w:rFonts w:hint="eastAsia" w:ascii="仿宋_GB2312" w:hAnsi="Arial Unicode MS" w:eastAsia="仿宋_GB2312"/>
      <w:kern w:val="0"/>
      <w:szCs w:val="21"/>
    </w:rPr>
  </w:style>
  <w:style w:type="paragraph" w:customStyle="1" w:styleId="76">
    <w:name w:val="xl78"/>
    <w:basedOn w:val="1"/>
    <w:qFormat/>
    <w:uiPriority w:val="0"/>
    <w:pPr>
      <w:widowControl/>
      <w:pBdr>
        <w:left w:val="single" w:color="auto" w:sz="4" w:space="0"/>
        <w:right w:val="single" w:color="auto" w:sz="4" w:space="0"/>
      </w:pBdr>
      <w:shd w:val="clear" w:color="auto" w:fill="FF6600"/>
      <w:spacing w:before="100" w:beforeAutospacing="1" w:after="100" w:afterAutospacing="1"/>
      <w:jc w:val="center"/>
    </w:pPr>
    <w:rPr>
      <w:rFonts w:hint="eastAsia" w:ascii="仿宋_GB2312" w:hAnsi="Arial Unicode MS" w:eastAsia="仿宋_GB2312"/>
      <w:kern w:val="0"/>
      <w:szCs w:val="21"/>
    </w:rPr>
  </w:style>
  <w:style w:type="paragraph" w:customStyle="1" w:styleId="77">
    <w:name w:val="xl45"/>
    <w:basedOn w:val="1"/>
    <w:qFormat/>
    <w:uiPriority w:val="0"/>
    <w:pPr>
      <w:widowControl/>
      <w:pBdr>
        <w:left w:val="single" w:color="auto" w:sz="4" w:space="0"/>
        <w:right w:val="single" w:color="auto" w:sz="4" w:space="0"/>
      </w:pBdr>
      <w:shd w:val="clear" w:color="auto" w:fill="C0C0C0"/>
      <w:spacing w:before="100" w:beforeAutospacing="1" w:after="100" w:afterAutospacing="1"/>
      <w:jc w:val="center"/>
      <w:textAlignment w:val="center"/>
    </w:pPr>
    <w:rPr>
      <w:rFonts w:hint="eastAsia" w:ascii="仿宋_GB2312" w:hAnsi="Arial Unicode MS" w:eastAsia="仿宋_GB2312"/>
      <w:color w:val="FF0000"/>
      <w:kern w:val="0"/>
      <w:szCs w:val="21"/>
    </w:rPr>
  </w:style>
  <w:style w:type="paragraph" w:customStyle="1" w:styleId="78">
    <w:name w:val="xl35"/>
    <w:basedOn w:val="1"/>
    <w:qFormat/>
    <w:uiPriority w:val="0"/>
    <w:pPr>
      <w:widowControl/>
      <w:pBdr>
        <w:top w:val="single" w:color="auto" w:sz="4" w:space="0"/>
        <w:left w:val="single" w:color="auto" w:sz="4" w:space="0"/>
        <w:right w:val="single" w:color="auto" w:sz="4" w:space="0"/>
      </w:pBdr>
      <w:shd w:val="clear" w:color="auto" w:fill="CCFFCC"/>
      <w:spacing w:before="100" w:beforeAutospacing="1" w:after="100" w:afterAutospacing="1"/>
      <w:jc w:val="center"/>
      <w:textAlignment w:val="center"/>
    </w:pPr>
    <w:rPr>
      <w:kern w:val="0"/>
      <w:szCs w:val="21"/>
    </w:rPr>
  </w:style>
  <w:style w:type="paragraph" w:customStyle="1" w:styleId="79">
    <w:name w:val="xl33"/>
    <w:basedOn w:val="1"/>
    <w:qFormat/>
    <w:uiPriority w:val="0"/>
    <w:pPr>
      <w:widowControl/>
      <w:pBdr>
        <w:left w:val="single" w:color="auto" w:sz="4" w:space="0"/>
        <w:right w:val="single" w:color="auto" w:sz="4" w:space="0"/>
      </w:pBdr>
      <w:shd w:val="clear" w:color="auto" w:fill="FFFF99"/>
      <w:spacing w:before="100" w:beforeAutospacing="1" w:after="100" w:afterAutospacing="1"/>
      <w:jc w:val="center"/>
      <w:textAlignment w:val="center"/>
    </w:pPr>
    <w:rPr>
      <w:kern w:val="0"/>
      <w:szCs w:val="21"/>
    </w:rPr>
  </w:style>
  <w:style w:type="paragraph" w:customStyle="1" w:styleId="80">
    <w:name w:val="样式2"/>
    <w:basedOn w:val="20"/>
    <w:qFormat/>
    <w:uiPriority w:val="0"/>
    <w:pPr>
      <w:spacing w:line="440" w:lineRule="exact"/>
      <w:jc w:val="center"/>
    </w:pPr>
    <w:rPr>
      <w:rFonts w:ascii="Times New Roman" w:hAnsi="Times New Roman"/>
      <w:b/>
      <w:bCs/>
      <w:sz w:val="36"/>
    </w:rPr>
  </w:style>
  <w:style w:type="paragraph" w:customStyle="1" w:styleId="81">
    <w:name w:val="xl53"/>
    <w:basedOn w:val="1"/>
    <w:qFormat/>
    <w:uiPriority w:val="0"/>
    <w:pPr>
      <w:widowControl/>
      <w:pBdr>
        <w:left w:val="single" w:color="auto" w:sz="4" w:space="0"/>
        <w:bottom w:val="single" w:color="auto" w:sz="4" w:space="0"/>
        <w:right w:val="single" w:color="auto" w:sz="4" w:space="0"/>
      </w:pBdr>
      <w:shd w:val="clear" w:color="auto" w:fill="FFFF00"/>
      <w:spacing w:before="100" w:beforeAutospacing="1" w:after="100" w:afterAutospacing="1"/>
      <w:jc w:val="center"/>
      <w:textAlignment w:val="center"/>
    </w:pPr>
    <w:rPr>
      <w:rFonts w:hint="eastAsia" w:ascii="仿宋_GB2312" w:hAnsi="Arial Unicode MS" w:eastAsia="仿宋_GB2312"/>
      <w:kern w:val="0"/>
      <w:szCs w:val="21"/>
    </w:rPr>
  </w:style>
  <w:style w:type="paragraph" w:customStyle="1" w:styleId="82">
    <w:name w:val="xl31"/>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center"/>
      <w:textAlignment w:val="center"/>
    </w:pPr>
    <w:rPr>
      <w:rFonts w:hint="eastAsia" w:ascii="仿宋_GB2312" w:hAnsi="Arial Unicode MS" w:eastAsia="仿宋_GB2312"/>
      <w:kern w:val="0"/>
      <w:szCs w:val="21"/>
    </w:rPr>
  </w:style>
  <w:style w:type="paragraph" w:customStyle="1" w:styleId="83">
    <w:name w:val="xl69"/>
    <w:basedOn w:val="1"/>
    <w:qFormat/>
    <w:uiPriority w:val="0"/>
    <w:pPr>
      <w:widowControl/>
      <w:pBdr>
        <w:left w:val="single" w:color="auto" w:sz="4" w:space="0"/>
        <w:right w:val="single" w:color="auto" w:sz="4" w:space="0"/>
      </w:pBdr>
      <w:shd w:val="clear" w:color="auto" w:fill="CCFFCC"/>
      <w:spacing w:before="100" w:beforeAutospacing="1" w:after="100" w:afterAutospacing="1"/>
      <w:jc w:val="center"/>
    </w:pPr>
    <w:rPr>
      <w:rFonts w:hint="eastAsia" w:ascii="仿宋_GB2312" w:hAnsi="Arial Unicode MS" w:eastAsia="仿宋_GB2312"/>
      <w:kern w:val="0"/>
      <w:szCs w:val="21"/>
    </w:rPr>
  </w:style>
  <w:style w:type="paragraph" w:customStyle="1" w:styleId="84">
    <w:name w:val="xl22"/>
    <w:basedOn w:val="1"/>
    <w:qFormat/>
    <w:uiPriority w:val="0"/>
    <w:pPr>
      <w:widowControl/>
      <w:pBdr>
        <w:bottom w:val="single" w:color="auto" w:sz="4" w:space="0"/>
        <w:right w:val="single" w:color="auto" w:sz="4" w:space="0"/>
      </w:pBdr>
      <w:spacing w:before="100" w:beforeAutospacing="1" w:after="100" w:afterAutospacing="1"/>
      <w:jc w:val="center"/>
      <w:textAlignment w:val="top"/>
    </w:pPr>
    <w:rPr>
      <w:kern w:val="0"/>
      <w:sz w:val="26"/>
      <w:szCs w:val="26"/>
    </w:rPr>
  </w:style>
  <w:style w:type="paragraph" w:customStyle="1" w:styleId="85">
    <w:name w:val=" Char Char Char Char Char1 Char Char Char Char"/>
    <w:basedOn w:val="1"/>
    <w:qFormat/>
    <w:uiPriority w:val="0"/>
    <w:rPr>
      <w:rFonts w:ascii="Tahoma" w:hAnsi="Tahoma"/>
      <w:sz w:val="24"/>
      <w:szCs w:val="20"/>
    </w:rPr>
  </w:style>
  <w:style w:type="paragraph" w:customStyle="1" w:styleId="86">
    <w:name w:val="xl65"/>
    <w:basedOn w:val="1"/>
    <w:qFormat/>
    <w:uiPriority w:val="0"/>
    <w:pPr>
      <w:widowControl/>
      <w:pBdr>
        <w:top w:val="single" w:color="auto" w:sz="4" w:space="0"/>
        <w:left w:val="single" w:color="auto" w:sz="4" w:space="0"/>
        <w:right w:val="single" w:color="auto" w:sz="4" w:space="0"/>
      </w:pBdr>
      <w:shd w:val="clear" w:color="auto" w:fill="CCFFCC"/>
      <w:spacing w:before="100" w:beforeAutospacing="1" w:after="100" w:afterAutospacing="1"/>
      <w:jc w:val="center"/>
    </w:pPr>
    <w:rPr>
      <w:kern w:val="0"/>
      <w:szCs w:val="21"/>
    </w:rPr>
  </w:style>
  <w:style w:type="paragraph" w:customStyle="1" w:styleId="87">
    <w:name w:val="xl28"/>
    <w:basedOn w:val="1"/>
    <w:qFormat/>
    <w:uiPriority w:val="0"/>
    <w:pPr>
      <w:widowControl/>
      <w:pBdr>
        <w:top w:val="single" w:color="auto" w:sz="4" w:space="0"/>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rFonts w:hint="eastAsia" w:ascii="仿宋_GB2312" w:hAnsi="Arial Unicode MS" w:eastAsia="仿宋_GB2312"/>
      <w:color w:val="808000"/>
      <w:kern w:val="0"/>
      <w:szCs w:val="21"/>
    </w:rPr>
  </w:style>
  <w:style w:type="paragraph" w:customStyle="1" w:styleId="88">
    <w:name w:val="xl30"/>
    <w:basedOn w:val="1"/>
    <w:qFormat/>
    <w:uiPriority w:val="0"/>
    <w:pPr>
      <w:widowControl/>
      <w:pBdr>
        <w:bottom w:val="single" w:color="000000" w:sz="4" w:space="0"/>
        <w:right w:val="single" w:color="000000" w:sz="4" w:space="0"/>
      </w:pBdr>
      <w:spacing w:before="100" w:beforeAutospacing="1" w:after="100" w:afterAutospacing="1"/>
      <w:jc w:val="center"/>
      <w:textAlignment w:val="top"/>
    </w:pPr>
    <w:rPr>
      <w:rFonts w:hint="eastAsia" w:ascii="仿宋_GB2312" w:hAnsi="Arial Unicode MS" w:eastAsia="仿宋_GB2312"/>
      <w:kern w:val="0"/>
      <w:szCs w:val="21"/>
    </w:rPr>
  </w:style>
  <w:style w:type="paragraph" w:customStyle="1" w:styleId="89">
    <w:name w:val="样式1"/>
    <w:basedOn w:val="32"/>
    <w:qFormat/>
    <w:uiPriority w:val="0"/>
    <w:pPr>
      <w:tabs>
        <w:tab w:val="right" w:leader="dot" w:pos="8778"/>
      </w:tabs>
      <w:spacing w:line="480" w:lineRule="exact"/>
      <w:jc w:val="center"/>
    </w:pPr>
    <w:rPr>
      <w:rFonts w:eastAsia="楷体_GB2312"/>
      <w:sz w:val="32"/>
    </w:rPr>
  </w:style>
  <w:style w:type="paragraph" w:customStyle="1" w:styleId="90">
    <w:name w:val=" Char Char Char Char Char1 Char Char Char"/>
    <w:basedOn w:val="1"/>
    <w:qFormat/>
    <w:uiPriority w:val="0"/>
    <w:rPr>
      <w:rFonts w:ascii="Tahoma" w:hAnsi="Tahoma"/>
      <w:sz w:val="24"/>
      <w:szCs w:val="20"/>
    </w:rPr>
  </w:style>
  <w:style w:type="paragraph" w:customStyle="1" w:styleId="91">
    <w:name w:val="xl64"/>
    <w:basedOn w:val="1"/>
    <w:qFormat/>
    <w:uiPriority w:val="0"/>
    <w:pPr>
      <w:widowControl/>
      <w:pBdr>
        <w:left w:val="single" w:color="auto" w:sz="4" w:space="0"/>
        <w:bottom w:val="single" w:color="auto" w:sz="4" w:space="0"/>
        <w:right w:val="single" w:color="auto" w:sz="4" w:space="0"/>
      </w:pBdr>
      <w:shd w:val="clear" w:color="auto" w:fill="FFFF00"/>
      <w:spacing w:before="100" w:beforeAutospacing="1" w:after="100" w:afterAutospacing="1"/>
      <w:jc w:val="center"/>
    </w:pPr>
    <w:rPr>
      <w:kern w:val="0"/>
      <w:szCs w:val="21"/>
    </w:rPr>
  </w:style>
  <w:style w:type="paragraph" w:customStyle="1" w:styleId="92">
    <w:name w:val="xl36"/>
    <w:basedOn w:val="1"/>
    <w:qFormat/>
    <w:uiPriority w:val="0"/>
    <w:pPr>
      <w:widowControl/>
      <w:pBdr>
        <w:left w:val="single" w:color="auto" w:sz="4" w:space="0"/>
        <w:right w:val="single" w:color="auto" w:sz="4" w:space="0"/>
      </w:pBdr>
      <w:shd w:val="clear" w:color="auto" w:fill="CCFFCC"/>
      <w:spacing w:before="100" w:beforeAutospacing="1" w:after="100" w:afterAutospacing="1"/>
      <w:jc w:val="center"/>
      <w:textAlignment w:val="center"/>
    </w:pPr>
    <w:rPr>
      <w:kern w:val="0"/>
      <w:szCs w:val="21"/>
    </w:rPr>
  </w:style>
  <w:style w:type="paragraph" w:customStyle="1" w:styleId="93">
    <w:name w:val="xl72"/>
    <w:basedOn w:val="1"/>
    <w:qFormat/>
    <w:uiPriority w:val="0"/>
    <w:pPr>
      <w:widowControl/>
      <w:pBdr>
        <w:left w:val="single" w:color="auto" w:sz="4" w:space="0"/>
        <w:right w:val="single" w:color="auto" w:sz="4" w:space="0"/>
      </w:pBdr>
      <w:shd w:val="clear" w:color="auto" w:fill="00FF00"/>
      <w:spacing w:before="100" w:beforeAutospacing="1" w:after="100" w:afterAutospacing="1"/>
      <w:jc w:val="center"/>
    </w:pPr>
    <w:rPr>
      <w:rFonts w:hint="eastAsia" w:ascii="仿宋_GB2312" w:hAnsi="Arial Unicode MS" w:eastAsia="仿宋_GB2312"/>
      <w:kern w:val="0"/>
      <w:szCs w:val="21"/>
    </w:rPr>
  </w:style>
  <w:style w:type="paragraph" w:customStyle="1" w:styleId="94">
    <w:name w:val="简单回函地址"/>
    <w:basedOn w:val="1"/>
    <w:qFormat/>
    <w:uiPriority w:val="0"/>
  </w:style>
  <w:style w:type="paragraph" w:customStyle="1" w:styleId="95">
    <w:name w:val="xl56"/>
    <w:basedOn w:val="1"/>
    <w:qFormat/>
    <w:uiPriority w:val="0"/>
    <w:pPr>
      <w:widowControl/>
      <w:pBdr>
        <w:top w:val="single" w:color="auto" w:sz="4" w:space="0"/>
        <w:left w:val="single" w:color="auto" w:sz="4" w:space="0"/>
        <w:right w:val="single" w:color="auto" w:sz="4" w:space="0"/>
      </w:pBdr>
      <w:shd w:val="clear" w:color="auto" w:fill="FF00FF"/>
      <w:spacing w:before="100" w:beforeAutospacing="1" w:after="100" w:afterAutospacing="1"/>
      <w:jc w:val="center"/>
    </w:pPr>
    <w:rPr>
      <w:kern w:val="0"/>
      <w:szCs w:val="21"/>
    </w:rPr>
  </w:style>
  <w:style w:type="paragraph" w:customStyle="1" w:styleId="96">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kern w:val="0"/>
      <w:szCs w:val="21"/>
    </w:rPr>
  </w:style>
  <w:style w:type="paragraph" w:customStyle="1" w:styleId="97">
    <w:name w:val="5"/>
    <w:basedOn w:val="1"/>
    <w:next w:val="15"/>
    <w:qFormat/>
    <w:uiPriority w:val="0"/>
    <w:pPr>
      <w:spacing w:line="0" w:lineRule="atLeast"/>
      <w:jc w:val="center"/>
    </w:pPr>
    <w:rPr>
      <w:rFonts w:eastAsia="仿宋_GB2312"/>
    </w:rPr>
  </w:style>
  <w:style w:type="paragraph" w:customStyle="1" w:styleId="98">
    <w:name w:val="目录标题"/>
    <w:basedOn w:val="1"/>
    <w:next w:val="1"/>
    <w:qFormat/>
    <w:uiPriority w:val="0"/>
    <w:pPr>
      <w:widowControl/>
      <w:spacing w:before="566" w:after="544" w:line="566" w:lineRule="atLeast"/>
      <w:ind w:firstLine="419"/>
      <w:jc w:val="center"/>
      <w:textAlignment w:val="baseline"/>
    </w:pPr>
    <w:rPr>
      <w:rFonts w:ascii="Arial" w:eastAsia="黑体"/>
      <w:color w:val="000000"/>
      <w:spacing w:val="566"/>
      <w:kern w:val="0"/>
      <w:sz w:val="54"/>
      <w:szCs w:val="20"/>
      <w:u w:val="none" w:color="000000"/>
    </w:rPr>
  </w:style>
  <w:style w:type="paragraph" w:customStyle="1" w:styleId="99">
    <w:name w:val="xl60"/>
    <w:basedOn w:val="1"/>
    <w:qFormat/>
    <w:uiPriority w:val="0"/>
    <w:pPr>
      <w:widowControl/>
      <w:pBdr>
        <w:left w:val="single" w:color="auto" w:sz="4" w:space="0"/>
        <w:right w:val="single" w:color="auto" w:sz="4" w:space="0"/>
      </w:pBdr>
      <w:shd w:val="clear" w:color="auto" w:fill="FFFF00"/>
      <w:spacing w:before="100" w:beforeAutospacing="1" w:after="100" w:afterAutospacing="1"/>
      <w:jc w:val="center"/>
    </w:pPr>
    <w:rPr>
      <w:rFonts w:hint="eastAsia" w:ascii="仿宋_GB2312" w:hAnsi="Arial Unicode MS" w:eastAsia="仿宋_GB2312"/>
      <w:kern w:val="0"/>
      <w:szCs w:val="21"/>
    </w:rPr>
  </w:style>
  <w:style w:type="paragraph" w:customStyle="1" w:styleId="100">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top"/>
    </w:pPr>
    <w:rPr>
      <w:rFonts w:eastAsia="Arial Unicode MS"/>
      <w:kern w:val="0"/>
      <w:szCs w:val="21"/>
    </w:rPr>
  </w:style>
  <w:style w:type="paragraph" w:customStyle="1" w:styleId="101">
    <w:name w:val="xl34"/>
    <w:basedOn w:val="1"/>
    <w:qFormat/>
    <w:uiPriority w:val="0"/>
    <w:pPr>
      <w:widowControl/>
      <w:pBdr>
        <w:left w:val="single" w:color="auto" w:sz="4" w:space="0"/>
        <w:bottom w:val="single" w:color="auto" w:sz="4" w:space="0"/>
        <w:right w:val="single" w:color="auto" w:sz="4" w:space="0"/>
      </w:pBdr>
      <w:shd w:val="clear" w:color="auto" w:fill="FFFF99"/>
      <w:spacing w:before="100" w:beforeAutospacing="1" w:after="100" w:afterAutospacing="1"/>
      <w:jc w:val="center"/>
      <w:textAlignment w:val="center"/>
    </w:pPr>
    <w:rPr>
      <w:kern w:val="0"/>
      <w:szCs w:val="21"/>
    </w:rPr>
  </w:style>
  <w:style w:type="paragraph" w:customStyle="1" w:styleId="102">
    <w:name w:val="xl55"/>
    <w:basedOn w:val="1"/>
    <w:qFormat/>
    <w:uiPriority w:val="0"/>
    <w:pPr>
      <w:widowControl/>
      <w:pBdr>
        <w:bottom w:val="single" w:color="auto" w:sz="4" w:space="0"/>
        <w:right w:val="single" w:color="auto" w:sz="4" w:space="0"/>
      </w:pBdr>
      <w:shd w:val="clear" w:color="auto" w:fill="FFFF00"/>
      <w:spacing w:before="100" w:beforeAutospacing="1" w:after="100" w:afterAutospacing="1"/>
      <w:jc w:val="center"/>
      <w:textAlignment w:val="center"/>
    </w:pPr>
    <w:rPr>
      <w:rFonts w:hint="eastAsia" w:ascii="仿宋_GB2312" w:hAnsi="Arial Unicode MS" w:eastAsia="仿宋_GB2312"/>
      <w:color w:val="FF0000"/>
      <w:kern w:val="0"/>
      <w:szCs w:val="21"/>
    </w:rPr>
  </w:style>
  <w:style w:type="paragraph" w:customStyle="1" w:styleId="103">
    <w:name w:val="xl32"/>
    <w:basedOn w:val="1"/>
    <w:qFormat/>
    <w:uiPriority w:val="0"/>
    <w:pPr>
      <w:widowControl/>
      <w:pBdr>
        <w:top w:val="single" w:color="auto" w:sz="4" w:space="0"/>
        <w:left w:val="single" w:color="auto" w:sz="4" w:space="0"/>
        <w:right w:val="single" w:color="auto" w:sz="4" w:space="0"/>
      </w:pBdr>
      <w:shd w:val="clear" w:color="auto" w:fill="FFFF99"/>
      <w:spacing w:before="100" w:beforeAutospacing="1" w:after="100" w:afterAutospacing="1"/>
      <w:jc w:val="center"/>
      <w:textAlignment w:val="center"/>
    </w:pPr>
    <w:rPr>
      <w:kern w:val="0"/>
      <w:szCs w:val="21"/>
    </w:rPr>
  </w:style>
  <w:style w:type="paragraph" w:customStyle="1" w:styleId="104">
    <w:name w:val="xl83"/>
    <w:basedOn w:val="1"/>
    <w:qFormat/>
    <w:uiPriority w:val="0"/>
    <w:pPr>
      <w:widowControl/>
      <w:pBdr>
        <w:left w:val="single" w:color="auto" w:sz="4" w:space="0"/>
        <w:bottom w:val="single" w:color="auto" w:sz="4" w:space="0"/>
        <w:right w:val="single" w:color="auto" w:sz="4" w:space="0"/>
      </w:pBdr>
      <w:shd w:val="clear" w:color="auto" w:fill="CCFFCC"/>
      <w:spacing w:before="100" w:beforeAutospacing="1" w:after="100" w:afterAutospacing="1"/>
      <w:jc w:val="center"/>
    </w:pPr>
    <w:rPr>
      <w:rFonts w:ascii="Arial Unicode MS" w:hAnsi="Arial Unicode MS"/>
      <w:kern w:val="0"/>
      <w:szCs w:val="21"/>
    </w:rPr>
  </w:style>
  <w:style w:type="paragraph" w:customStyle="1" w:styleId="105">
    <w:name w:val="xl51"/>
    <w:basedOn w:val="1"/>
    <w:qFormat/>
    <w:uiPriority w:val="0"/>
    <w:pPr>
      <w:widowControl/>
      <w:pBdr>
        <w:top w:val="single" w:color="auto" w:sz="4" w:space="0"/>
        <w:bottom w:val="single" w:color="auto" w:sz="4" w:space="0"/>
        <w:right w:val="single" w:color="auto" w:sz="4" w:space="0"/>
      </w:pBdr>
      <w:shd w:val="clear" w:color="auto" w:fill="CC99FF"/>
      <w:spacing w:before="100" w:beforeAutospacing="1" w:after="100" w:afterAutospacing="1"/>
      <w:jc w:val="center"/>
      <w:textAlignment w:val="center"/>
    </w:pPr>
    <w:rPr>
      <w:rFonts w:hint="eastAsia" w:ascii="仿宋_GB2312" w:hAnsi="Arial Unicode MS" w:eastAsia="仿宋_GB2312"/>
      <w:color w:val="FF0000"/>
      <w:kern w:val="0"/>
      <w:szCs w:val="21"/>
    </w:rPr>
  </w:style>
  <w:style w:type="paragraph" w:customStyle="1" w:styleId="106">
    <w:name w:val="xl29"/>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center"/>
      <w:textAlignment w:val="center"/>
    </w:pPr>
    <w:rPr>
      <w:rFonts w:hint="eastAsia" w:ascii="仿宋_GB2312" w:hAnsi="Arial Unicode MS" w:eastAsia="仿宋_GB2312"/>
      <w:color w:val="FF0000"/>
      <w:kern w:val="0"/>
      <w:szCs w:val="21"/>
    </w:rPr>
  </w:style>
  <w:style w:type="paragraph" w:customStyle="1" w:styleId="107">
    <w:name w:val="xl71"/>
    <w:basedOn w:val="1"/>
    <w:qFormat/>
    <w:uiPriority w:val="0"/>
    <w:pPr>
      <w:widowControl/>
      <w:pBdr>
        <w:top w:val="single" w:color="auto" w:sz="4" w:space="0"/>
        <w:left w:val="single" w:color="auto" w:sz="4" w:space="0"/>
        <w:right w:val="single" w:color="auto" w:sz="4" w:space="0"/>
      </w:pBdr>
      <w:shd w:val="clear" w:color="auto" w:fill="00FF00"/>
      <w:spacing w:before="100" w:beforeAutospacing="1" w:after="100" w:afterAutospacing="1"/>
      <w:jc w:val="center"/>
    </w:pPr>
    <w:rPr>
      <w:rFonts w:hint="eastAsia" w:ascii="仿宋_GB2312" w:hAnsi="Arial Unicode MS" w:eastAsia="仿宋_GB2312"/>
      <w:kern w:val="0"/>
      <w:szCs w:val="21"/>
    </w:rPr>
  </w:style>
  <w:style w:type="paragraph" w:customStyle="1" w:styleId="108">
    <w:name w:val=" Char Char"/>
    <w:basedOn w:val="1"/>
    <w:qFormat/>
    <w:uiPriority w:val="0"/>
    <w:rPr>
      <w:rFonts w:ascii="Tahoma" w:hAnsi="Tahoma"/>
      <w:sz w:val="24"/>
      <w:szCs w:val="20"/>
    </w:rPr>
  </w:style>
  <w:style w:type="paragraph" w:customStyle="1" w:styleId="109">
    <w:name w:val="xl63"/>
    <w:basedOn w:val="1"/>
    <w:qFormat/>
    <w:uiPriority w:val="0"/>
    <w:pPr>
      <w:widowControl/>
      <w:pBdr>
        <w:left w:val="single" w:color="auto" w:sz="4" w:space="0"/>
        <w:right w:val="single" w:color="auto" w:sz="4" w:space="0"/>
      </w:pBdr>
      <w:shd w:val="clear" w:color="auto" w:fill="FFFF00"/>
      <w:spacing w:before="100" w:beforeAutospacing="1" w:after="100" w:afterAutospacing="1"/>
      <w:jc w:val="center"/>
    </w:pPr>
    <w:rPr>
      <w:kern w:val="0"/>
      <w:szCs w:val="21"/>
    </w:rPr>
  </w:style>
  <w:style w:type="paragraph" w:customStyle="1" w:styleId="110">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11">
    <w:name w:val=" Char Char Char Char Char Char Char Char Char Char Char Char Char Char"/>
    <w:basedOn w:val="1"/>
    <w:qFormat/>
    <w:uiPriority w:val="0"/>
    <w:rPr>
      <w:rFonts w:ascii="Tahoma" w:hAnsi="Tahoma"/>
      <w:sz w:val="24"/>
      <w:szCs w:val="20"/>
    </w:rPr>
  </w:style>
  <w:style w:type="paragraph" w:customStyle="1" w:styleId="112">
    <w:name w:val="xl27"/>
    <w:basedOn w:val="1"/>
    <w:qFormat/>
    <w:uiPriority w:val="0"/>
    <w:pPr>
      <w:widowControl/>
      <w:pBdr>
        <w:bottom w:val="single" w:color="auto" w:sz="4" w:space="0"/>
        <w:right w:val="single" w:color="auto" w:sz="4" w:space="0"/>
      </w:pBdr>
      <w:spacing w:before="100" w:beforeAutospacing="1" w:after="100" w:afterAutospacing="1"/>
      <w:textAlignment w:val="top"/>
    </w:pPr>
    <w:rPr>
      <w:rFonts w:eastAsia="Arial Unicode MS"/>
      <w:kern w:val="0"/>
      <w:szCs w:val="21"/>
    </w:rPr>
  </w:style>
  <w:style w:type="paragraph" w:customStyle="1" w:styleId="113">
    <w:name w:val="xl68"/>
    <w:basedOn w:val="1"/>
    <w:qFormat/>
    <w:uiPriority w:val="0"/>
    <w:pPr>
      <w:widowControl/>
      <w:pBdr>
        <w:top w:val="single" w:color="auto" w:sz="4" w:space="0"/>
        <w:left w:val="single" w:color="auto" w:sz="4" w:space="0"/>
        <w:right w:val="single" w:color="auto" w:sz="4" w:space="0"/>
      </w:pBdr>
      <w:shd w:val="clear" w:color="auto" w:fill="CCFFCC"/>
      <w:spacing w:before="100" w:beforeAutospacing="1" w:after="100" w:afterAutospacing="1"/>
      <w:jc w:val="center"/>
    </w:pPr>
    <w:rPr>
      <w:rFonts w:hint="eastAsia" w:ascii="仿宋_GB2312" w:hAnsi="Arial Unicode MS" w:eastAsia="仿宋_GB2312"/>
      <w:kern w:val="0"/>
      <w:szCs w:val="21"/>
    </w:rPr>
  </w:style>
  <w:style w:type="paragraph" w:customStyle="1" w:styleId="114">
    <w:name w:val="xl38"/>
    <w:basedOn w:val="1"/>
    <w:qFormat/>
    <w:uiPriority w:val="0"/>
    <w:pPr>
      <w:widowControl/>
      <w:pBdr>
        <w:top w:val="single" w:color="auto" w:sz="4" w:space="0"/>
        <w:left w:val="single" w:color="auto" w:sz="4" w:space="0"/>
        <w:right w:val="single" w:color="auto" w:sz="4" w:space="0"/>
      </w:pBdr>
      <w:shd w:val="clear" w:color="auto" w:fill="FFFF99"/>
      <w:spacing w:before="100" w:beforeAutospacing="1" w:after="100" w:afterAutospacing="1"/>
      <w:jc w:val="center"/>
      <w:textAlignment w:val="center"/>
    </w:pPr>
    <w:rPr>
      <w:rFonts w:hint="eastAsia" w:ascii="仿宋_GB2312" w:hAnsi="Arial Unicode MS" w:eastAsia="仿宋_GB2312"/>
      <w:color w:val="FF0000"/>
      <w:kern w:val="0"/>
      <w:szCs w:val="21"/>
    </w:rPr>
  </w:style>
  <w:style w:type="paragraph" w:customStyle="1" w:styleId="115">
    <w:name w:val="xl39"/>
    <w:basedOn w:val="1"/>
    <w:qFormat/>
    <w:uiPriority w:val="0"/>
    <w:pPr>
      <w:widowControl/>
      <w:pBdr>
        <w:left w:val="single" w:color="auto" w:sz="4" w:space="0"/>
        <w:right w:val="single" w:color="auto" w:sz="4" w:space="0"/>
      </w:pBdr>
      <w:shd w:val="clear" w:color="auto" w:fill="FFFF99"/>
      <w:spacing w:before="100" w:beforeAutospacing="1" w:after="100" w:afterAutospacing="1"/>
      <w:jc w:val="center"/>
      <w:textAlignment w:val="center"/>
    </w:pPr>
    <w:rPr>
      <w:rFonts w:hint="eastAsia" w:ascii="仿宋_GB2312" w:hAnsi="Arial Unicode MS" w:eastAsia="仿宋_GB2312"/>
      <w:color w:val="FF0000"/>
      <w:kern w:val="0"/>
      <w:szCs w:val="21"/>
    </w:rPr>
  </w:style>
  <w:style w:type="paragraph" w:customStyle="1" w:styleId="116">
    <w:name w:val="xl40"/>
    <w:basedOn w:val="1"/>
    <w:qFormat/>
    <w:uiPriority w:val="0"/>
    <w:pPr>
      <w:widowControl/>
      <w:pBdr>
        <w:left w:val="single" w:color="auto" w:sz="4" w:space="0"/>
        <w:bottom w:val="single" w:color="auto" w:sz="4" w:space="0"/>
        <w:right w:val="single" w:color="auto" w:sz="4" w:space="0"/>
      </w:pBdr>
      <w:shd w:val="clear" w:color="auto" w:fill="FFFF99"/>
      <w:spacing w:before="100" w:beforeAutospacing="1" w:after="100" w:afterAutospacing="1"/>
      <w:jc w:val="center"/>
      <w:textAlignment w:val="center"/>
    </w:pPr>
    <w:rPr>
      <w:rFonts w:hint="eastAsia" w:ascii="仿宋_GB2312" w:hAnsi="Arial Unicode MS" w:eastAsia="仿宋_GB2312"/>
      <w:color w:val="FF0000"/>
      <w:kern w:val="0"/>
      <w:szCs w:val="21"/>
    </w:rPr>
  </w:style>
  <w:style w:type="paragraph" w:customStyle="1" w:styleId="117">
    <w:name w:val="xl41"/>
    <w:basedOn w:val="1"/>
    <w:qFormat/>
    <w:uiPriority w:val="0"/>
    <w:pPr>
      <w:widowControl/>
      <w:pBdr>
        <w:top w:val="single" w:color="auto" w:sz="4" w:space="0"/>
        <w:left w:val="single" w:color="auto" w:sz="4" w:space="0"/>
        <w:right w:val="single" w:color="auto" w:sz="4" w:space="0"/>
      </w:pBdr>
      <w:shd w:val="clear" w:color="auto" w:fill="FFFF99"/>
      <w:spacing w:before="100" w:beforeAutospacing="1" w:after="100" w:afterAutospacing="1"/>
      <w:jc w:val="center"/>
      <w:textAlignment w:val="center"/>
    </w:pPr>
    <w:rPr>
      <w:color w:val="FF0000"/>
      <w:kern w:val="0"/>
      <w:szCs w:val="21"/>
    </w:rPr>
  </w:style>
  <w:style w:type="paragraph" w:customStyle="1" w:styleId="118">
    <w:name w:val="xl77"/>
    <w:basedOn w:val="1"/>
    <w:qFormat/>
    <w:uiPriority w:val="0"/>
    <w:pPr>
      <w:widowControl/>
      <w:pBdr>
        <w:top w:val="single" w:color="auto" w:sz="4" w:space="0"/>
        <w:left w:val="single" w:color="auto" w:sz="4" w:space="0"/>
        <w:right w:val="single" w:color="auto" w:sz="4" w:space="0"/>
      </w:pBdr>
      <w:shd w:val="clear" w:color="auto" w:fill="FF6600"/>
      <w:spacing w:before="100" w:beforeAutospacing="1" w:after="100" w:afterAutospacing="1"/>
      <w:jc w:val="center"/>
    </w:pPr>
    <w:rPr>
      <w:rFonts w:hint="eastAsia" w:ascii="仿宋_GB2312" w:hAnsi="Arial Unicode MS" w:eastAsia="仿宋_GB2312"/>
      <w:kern w:val="0"/>
      <w:szCs w:val="21"/>
    </w:rPr>
  </w:style>
  <w:style w:type="paragraph" w:customStyle="1" w:styleId="119">
    <w:name w:val="xl42"/>
    <w:basedOn w:val="1"/>
    <w:qFormat/>
    <w:uiPriority w:val="0"/>
    <w:pPr>
      <w:widowControl/>
      <w:pBdr>
        <w:left w:val="single" w:color="auto" w:sz="4" w:space="0"/>
        <w:right w:val="single" w:color="auto" w:sz="4" w:space="0"/>
      </w:pBdr>
      <w:shd w:val="clear" w:color="auto" w:fill="FFFF99"/>
      <w:spacing w:before="100" w:beforeAutospacing="1" w:after="100" w:afterAutospacing="1"/>
      <w:jc w:val="center"/>
      <w:textAlignment w:val="center"/>
    </w:pPr>
    <w:rPr>
      <w:color w:val="FF0000"/>
      <w:kern w:val="0"/>
      <w:szCs w:val="21"/>
    </w:rPr>
  </w:style>
  <w:style w:type="paragraph" w:customStyle="1" w:styleId="120">
    <w:name w:val="xl79"/>
    <w:basedOn w:val="1"/>
    <w:qFormat/>
    <w:uiPriority w:val="0"/>
    <w:pPr>
      <w:widowControl/>
      <w:pBdr>
        <w:left w:val="single" w:color="auto" w:sz="4" w:space="0"/>
        <w:bottom w:val="single" w:color="auto" w:sz="4" w:space="0"/>
        <w:right w:val="single" w:color="auto" w:sz="4" w:space="0"/>
      </w:pBdr>
      <w:shd w:val="clear" w:color="auto" w:fill="FF6600"/>
      <w:spacing w:before="100" w:beforeAutospacing="1" w:after="100" w:afterAutospacing="1"/>
      <w:jc w:val="center"/>
    </w:pPr>
    <w:rPr>
      <w:rFonts w:hint="eastAsia" w:ascii="仿宋_GB2312" w:hAnsi="Arial Unicode MS" w:eastAsia="仿宋_GB2312"/>
      <w:kern w:val="0"/>
      <w:szCs w:val="21"/>
    </w:rPr>
  </w:style>
  <w:style w:type="paragraph" w:customStyle="1" w:styleId="121">
    <w:name w:val="xl47"/>
    <w:basedOn w:val="1"/>
    <w:qFormat/>
    <w:uiPriority w:val="0"/>
    <w:pPr>
      <w:widowControl/>
      <w:pBdr>
        <w:bottom w:val="single" w:color="auto" w:sz="4" w:space="0"/>
        <w:right w:val="single" w:color="auto" w:sz="4" w:space="0"/>
      </w:pBdr>
      <w:shd w:val="clear" w:color="auto" w:fill="00FF00"/>
      <w:spacing w:before="100" w:beforeAutospacing="1" w:after="100" w:afterAutospacing="1"/>
      <w:jc w:val="center"/>
      <w:textAlignment w:val="center"/>
    </w:pPr>
    <w:rPr>
      <w:rFonts w:hint="eastAsia" w:ascii="仿宋_GB2312" w:hAnsi="Arial Unicode MS" w:eastAsia="仿宋_GB2312"/>
      <w:color w:val="FF0000"/>
      <w:kern w:val="0"/>
      <w:szCs w:val="21"/>
    </w:rPr>
  </w:style>
  <w:style w:type="paragraph" w:customStyle="1" w:styleId="122">
    <w:name w:val="xl43"/>
    <w:basedOn w:val="1"/>
    <w:qFormat/>
    <w:uiPriority w:val="0"/>
    <w:pPr>
      <w:widowControl/>
      <w:pBdr>
        <w:left w:val="single" w:color="auto" w:sz="4" w:space="0"/>
        <w:bottom w:val="single" w:color="auto" w:sz="4" w:space="0"/>
        <w:right w:val="single" w:color="auto" w:sz="4" w:space="0"/>
      </w:pBdr>
      <w:shd w:val="clear" w:color="auto" w:fill="FFFF99"/>
      <w:spacing w:before="100" w:beforeAutospacing="1" w:after="100" w:afterAutospacing="1"/>
      <w:jc w:val="center"/>
      <w:textAlignment w:val="center"/>
    </w:pPr>
    <w:rPr>
      <w:color w:val="FF0000"/>
      <w:kern w:val="0"/>
      <w:szCs w:val="21"/>
    </w:rPr>
  </w:style>
  <w:style w:type="paragraph" w:customStyle="1" w:styleId="123">
    <w:name w:val="xl81"/>
    <w:basedOn w:val="1"/>
    <w:qFormat/>
    <w:uiPriority w:val="0"/>
    <w:pPr>
      <w:widowControl/>
      <w:pBdr>
        <w:top w:val="single" w:color="auto" w:sz="4" w:space="0"/>
        <w:bottom w:val="single" w:color="auto" w:sz="4" w:space="0"/>
        <w:right w:val="single" w:color="auto" w:sz="4" w:space="0"/>
      </w:pBdr>
      <w:shd w:val="clear" w:color="auto" w:fill="CCFFCC"/>
      <w:spacing w:before="100" w:beforeAutospacing="1" w:after="100" w:afterAutospacing="1"/>
      <w:jc w:val="center"/>
    </w:pPr>
    <w:rPr>
      <w:rFonts w:hint="eastAsia" w:ascii="仿宋_GB2312" w:hAnsi="Arial Unicode MS" w:eastAsia="仿宋_GB2312"/>
      <w:kern w:val="0"/>
      <w:szCs w:val="21"/>
    </w:rPr>
  </w:style>
  <w:style w:type="paragraph" w:customStyle="1" w:styleId="124">
    <w:name w:val="xl49"/>
    <w:basedOn w:val="1"/>
    <w:qFormat/>
    <w:uiPriority w:val="0"/>
    <w:pPr>
      <w:widowControl/>
      <w:pBdr>
        <w:left w:val="single" w:color="auto" w:sz="4" w:space="0"/>
        <w:bottom w:val="single" w:color="auto" w:sz="4" w:space="0"/>
        <w:right w:val="single" w:color="auto" w:sz="4" w:space="0"/>
      </w:pBdr>
      <w:shd w:val="clear" w:color="auto" w:fill="FF00FF"/>
      <w:spacing w:before="100" w:beforeAutospacing="1" w:after="100" w:afterAutospacing="1"/>
      <w:jc w:val="center"/>
      <w:textAlignment w:val="center"/>
    </w:pPr>
    <w:rPr>
      <w:rFonts w:hint="eastAsia" w:ascii="仿宋_GB2312" w:hAnsi="Arial Unicode MS" w:eastAsia="仿宋_GB2312"/>
      <w:kern w:val="0"/>
      <w:szCs w:val="21"/>
    </w:rPr>
  </w:style>
  <w:style w:type="paragraph" w:customStyle="1" w:styleId="125">
    <w:name w:val="xl44"/>
    <w:basedOn w:val="1"/>
    <w:qFormat/>
    <w:uiPriority w:val="0"/>
    <w:pPr>
      <w:widowControl/>
      <w:pBdr>
        <w:top w:val="single" w:color="auto" w:sz="4" w:space="0"/>
        <w:left w:val="single" w:color="auto" w:sz="4" w:space="0"/>
        <w:right w:val="single" w:color="auto" w:sz="4" w:space="0"/>
      </w:pBdr>
      <w:shd w:val="clear" w:color="auto" w:fill="C0C0C0"/>
      <w:spacing w:before="100" w:beforeAutospacing="1" w:after="100" w:afterAutospacing="1"/>
      <w:jc w:val="center"/>
      <w:textAlignment w:val="center"/>
    </w:pPr>
    <w:rPr>
      <w:rFonts w:hint="eastAsia" w:ascii="仿宋_GB2312" w:hAnsi="Arial Unicode MS" w:eastAsia="仿宋_GB2312"/>
      <w:color w:val="FF0000"/>
      <w:kern w:val="0"/>
      <w:szCs w:val="21"/>
    </w:rPr>
  </w:style>
  <w:style w:type="paragraph" w:customStyle="1" w:styleId="126">
    <w:name w:val="xl80"/>
    <w:basedOn w:val="1"/>
    <w:qFormat/>
    <w:uiPriority w:val="0"/>
    <w:pPr>
      <w:widowControl/>
      <w:pBdr>
        <w:top w:val="single" w:color="auto" w:sz="4" w:space="0"/>
        <w:left w:val="single" w:color="auto" w:sz="4" w:space="0"/>
        <w:bottom w:val="single" w:color="auto" w:sz="4" w:space="0"/>
      </w:pBdr>
      <w:shd w:val="clear" w:color="auto" w:fill="CCFFCC"/>
      <w:spacing w:before="100" w:beforeAutospacing="1" w:after="100" w:afterAutospacing="1"/>
      <w:jc w:val="center"/>
    </w:pPr>
    <w:rPr>
      <w:rFonts w:hint="eastAsia" w:ascii="仿宋_GB2312" w:hAnsi="Arial Unicode MS" w:eastAsia="仿宋_GB2312"/>
      <w:kern w:val="0"/>
      <w:szCs w:val="21"/>
    </w:rPr>
  </w:style>
  <w:style w:type="paragraph" w:customStyle="1" w:styleId="127">
    <w:name w:val="xl48"/>
    <w:basedOn w:val="1"/>
    <w:qFormat/>
    <w:uiPriority w:val="0"/>
    <w:pPr>
      <w:widowControl/>
      <w:pBdr>
        <w:left w:val="single" w:color="auto" w:sz="4" w:space="0"/>
        <w:bottom w:val="single" w:color="auto" w:sz="4" w:space="0"/>
        <w:right w:val="single" w:color="auto" w:sz="4" w:space="0"/>
      </w:pBdr>
      <w:shd w:val="clear" w:color="auto" w:fill="CCFFCC"/>
      <w:spacing w:before="100" w:beforeAutospacing="1" w:after="100" w:afterAutospacing="1"/>
      <w:jc w:val="center"/>
      <w:textAlignment w:val="center"/>
    </w:pPr>
    <w:rPr>
      <w:rFonts w:hint="eastAsia" w:ascii="仿宋_GB2312" w:hAnsi="Arial Unicode MS" w:eastAsia="仿宋_GB2312"/>
      <w:kern w:val="0"/>
      <w:szCs w:val="21"/>
    </w:rPr>
  </w:style>
  <w:style w:type="paragraph" w:customStyle="1" w:styleId="128">
    <w:name w:val="xl52"/>
    <w:basedOn w:val="1"/>
    <w:qFormat/>
    <w:uiPriority w:val="0"/>
    <w:pPr>
      <w:widowControl/>
      <w:pBdr>
        <w:bottom w:val="single" w:color="auto" w:sz="4" w:space="0"/>
        <w:right w:val="single" w:color="auto" w:sz="4" w:space="0"/>
      </w:pBdr>
      <w:shd w:val="clear" w:color="auto" w:fill="CC99FF"/>
      <w:spacing w:before="100" w:beforeAutospacing="1" w:after="100" w:afterAutospacing="1"/>
      <w:jc w:val="center"/>
      <w:textAlignment w:val="center"/>
    </w:pPr>
    <w:rPr>
      <w:rFonts w:hint="eastAsia" w:ascii="仿宋_GB2312" w:hAnsi="Arial Unicode MS" w:eastAsia="仿宋_GB2312"/>
      <w:color w:val="FF0000"/>
      <w:kern w:val="0"/>
      <w:szCs w:val="21"/>
    </w:rPr>
  </w:style>
  <w:style w:type="paragraph" w:customStyle="1" w:styleId="129">
    <w:name w:val="3"/>
    <w:basedOn w:val="1"/>
    <w:next w:val="20"/>
    <w:qFormat/>
    <w:uiPriority w:val="0"/>
    <w:rPr>
      <w:rFonts w:ascii="宋体" w:hAnsi="Courier New" w:cs="Courier New"/>
      <w:szCs w:val="21"/>
    </w:rPr>
  </w:style>
  <w:style w:type="paragraph" w:customStyle="1" w:styleId="130">
    <w:name w:val="xl57"/>
    <w:basedOn w:val="1"/>
    <w:qFormat/>
    <w:uiPriority w:val="0"/>
    <w:pPr>
      <w:widowControl/>
      <w:pBdr>
        <w:left w:val="single" w:color="auto" w:sz="4" w:space="0"/>
        <w:right w:val="single" w:color="auto" w:sz="4" w:space="0"/>
      </w:pBdr>
      <w:shd w:val="clear" w:color="auto" w:fill="FF00FF"/>
      <w:spacing w:before="100" w:beforeAutospacing="1" w:after="100" w:afterAutospacing="1"/>
      <w:jc w:val="center"/>
    </w:pPr>
    <w:rPr>
      <w:kern w:val="0"/>
      <w:szCs w:val="21"/>
    </w:rPr>
  </w:style>
  <w:style w:type="paragraph" w:customStyle="1" w:styleId="131">
    <w:name w:val="1"/>
    <w:basedOn w:val="1"/>
    <w:next w:val="20"/>
    <w:qFormat/>
    <w:uiPriority w:val="0"/>
    <w:rPr>
      <w:rFonts w:ascii="宋体" w:hAnsi="Courier New" w:cs="Courier New"/>
      <w:szCs w:val="21"/>
    </w:rPr>
  </w:style>
  <w:style w:type="paragraph" w:customStyle="1" w:styleId="132">
    <w:name w:val="xl59"/>
    <w:basedOn w:val="1"/>
    <w:qFormat/>
    <w:uiPriority w:val="0"/>
    <w:pPr>
      <w:widowControl/>
      <w:pBdr>
        <w:top w:val="single" w:color="auto" w:sz="4" w:space="0"/>
        <w:left w:val="single" w:color="auto" w:sz="4" w:space="0"/>
        <w:right w:val="single" w:color="auto" w:sz="4" w:space="0"/>
      </w:pBdr>
      <w:shd w:val="clear" w:color="auto" w:fill="FFFF00"/>
      <w:spacing w:before="100" w:beforeAutospacing="1" w:after="100" w:afterAutospacing="1"/>
      <w:jc w:val="center"/>
    </w:pPr>
    <w:rPr>
      <w:rFonts w:hint="eastAsia" w:ascii="仿宋_GB2312" w:hAnsi="Arial Unicode MS" w:eastAsia="仿宋_GB2312"/>
      <w:kern w:val="0"/>
      <w:szCs w:val="21"/>
    </w:rPr>
  </w:style>
  <w:style w:type="paragraph" w:customStyle="1" w:styleId="133">
    <w:name w:val="正文表格"/>
    <w:basedOn w:val="1"/>
    <w:qFormat/>
    <w:uiPriority w:val="0"/>
    <w:pPr>
      <w:spacing w:before="100" w:beforeLines="100" w:line="380" w:lineRule="exact"/>
      <w:ind w:right="17"/>
      <w:jc w:val="center"/>
    </w:pPr>
    <w:rPr>
      <w:rFonts w:ascii="仿宋_GB2312" w:eastAsia="仿宋_GB2312"/>
      <w:b/>
      <w:sz w:val="28"/>
    </w:rPr>
  </w:style>
  <w:style w:type="paragraph" w:customStyle="1" w:styleId="134">
    <w:name w:val="xl61"/>
    <w:basedOn w:val="1"/>
    <w:qFormat/>
    <w:uiPriority w:val="0"/>
    <w:pPr>
      <w:widowControl/>
      <w:pBdr>
        <w:left w:val="single" w:color="auto" w:sz="4" w:space="0"/>
        <w:bottom w:val="single" w:color="auto" w:sz="4" w:space="0"/>
        <w:right w:val="single" w:color="auto" w:sz="4" w:space="0"/>
      </w:pBdr>
      <w:shd w:val="clear" w:color="auto" w:fill="FFFF00"/>
      <w:spacing w:before="100" w:beforeAutospacing="1" w:after="100" w:afterAutospacing="1"/>
      <w:jc w:val="center"/>
    </w:pPr>
    <w:rPr>
      <w:rFonts w:hint="eastAsia" w:ascii="仿宋_GB2312" w:hAnsi="Arial Unicode MS" w:eastAsia="仿宋_GB2312"/>
      <w:kern w:val="0"/>
      <w:szCs w:val="21"/>
    </w:rPr>
  </w:style>
  <w:style w:type="paragraph" w:customStyle="1" w:styleId="135">
    <w:name w:val=" Char Char Char Char Char Char Char Char Char Char Char Char1"/>
    <w:basedOn w:val="1"/>
    <w:qFormat/>
    <w:uiPriority w:val="0"/>
    <w:rPr>
      <w:rFonts w:ascii="Tahoma" w:hAnsi="Tahoma"/>
      <w:sz w:val="24"/>
      <w:szCs w:val="20"/>
    </w:rPr>
  </w:style>
  <w:style w:type="paragraph" w:customStyle="1" w:styleId="136">
    <w:name w:val="xl62"/>
    <w:basedOn w:val="1"/>
    <w:qFormat/>
    <w:uiPriority w:val="0"/>
    <w:pPr>
      <w:widowControl/>
      <w:pBdr>
        <w:top w:val="single" w:color="auto" w:sz="4" w:space="0"/>
        <w:left w:val="single" w:color="auto" w:sz="4" w:space="0"/>
        <w:right w:val="single" w:color="auto" w:sz="4" w:space="0"/>
      </w:pBdr>
      <w:shd w:val="clear" w:color="auto" w:fill="FFFF00"/>
      <w:spacing w:before="100" w:beforeAutospacing="1" w:after="100" w:afterAutospacing="1"/>
      <w:jc w:val="center"/>
    </w:pPr>
    <w:rPr>
      <w:kern w:val="0"/>
      <w:szCs w:val="21"/>
    </w:rPr>
  </w:style>
  <w:style w:type="paragraph" w:customStyle="1" w:styleId="137">
    <w:name w:val="xl67"/>
    <w:basedOn w:val="1"/>
    <w:qFormat/>
    <w:uiPriority w:val="0"/>
    <w:pPr>
      <w:widowControl/>
      <w:pBdr>
        <w:left w:val="single" w:color="auto" w:sz="4" w:space="0"/>
        <w:bottom w:val="single" w:color="auto" w:sz="4" w:space="0"/>
        <w:right w:val="single" w:color="auto" w:sz="4" w:space="0"/>
      </w:pBdr>
      <w:shd w:val="clear" w:color="auto" w:fill="CCFFCC"/>
      <w:spacing w:before="100" w:beforeAutospacing="1" w:after="100" w:afterAutospacing="1"/>
      <w:jc w:val="center"/>
    </w:pPr>
    <w:rPr>
      <w:kern w:val="0"/>
      <w:szCs w:val="21"/>
    </w:rPr>
  </w:style>
  <w:style w:type="paragraph" w:customStyle="1" w:styleId="138">
    <w:name w:val="xl73"/>
    <w:basedOn w:val="1"/>
    <w:qFormat/>
    <w:uiPriority w:val="0"/>
    <w:pPr>
      <w:widowControl/>
      <w:pBdr>
        <w:left w:val="single" w:color="auto" w:sz="4" w:space="0"/>
        <w:bottom w:val="single" w:color="auto" w:sz="4" w:space="0"/>
        <w:right w:val="single" w:color="auto" w:sz="4" w:space="0"/>
      </w:pBdr>
      <w:shd w:val="clear" w:color="auto" w:fill="00FF00"/>
      <w:spacing w:before="100" w:beforeAutospacing="1" w:after="100" w:afterAutospacing="1"/>
      <w:jc w:val="center"/>
    </w:pPr>
    <w:rPr>
      <w:rFonts w:hint="eastAsia" w:ascii="仿宋_GB2312" w:hAnsi="Arial Unicode MS" w:eastAsia="仿宋_GB2312"/>
      <w:kern w:val="0"/>
      <w:szCs w:val="21"/>
    </w:rPr>
  </w:style>
  <w:style w:type="paragraph" w:customStyle="1" w:styleId="139">
    <w:name w:val="xl75"/>
    <w:basedOn w:val="1"/>
    <w:qFormat/>
    <w:uiPriority w:val="0"/>
    <w:pPr>
      <w:widowControl/>
      <w:pBdr>
        <w:left w:val="single" w:color="auto" w:sz="4" w:space="0"/>
        <w:right w:val="single" w:color="auto" w:sz="4" w:space="0"/>
      </w:pBdr>
      <w:shd w:val="clear" w:color="auto" w:fill="00FF00"/>
      <w:spacing w:before="100" w:beforeAutospacing="1" w:after="100" w:afterAutospacing="1"/>
      <w:jc w:val="center"/>
    </w:pPr>
    <w:rPr>
      <w:kern w:val="0"/>
      <w:szCs w:val="21"/>
    </w:rPr>
  </w:style>
  <w:style w:type="paragraph" w:customStyle="1" w:styleId="140">
    <w:name w:val="xl76"/>
    <w:basedOn w:val="1"/>
    <w:qFormat/>
    <w:uiPriority w:val="0"/>
    <w:pPr>
      <w:widowControl/>
      <w:pBdr>
        <w:left w:val="single" w:color="auto" w:sz="4" w:space="0"/>
        <w:bottom w:val="single" w:color="auto" w:sz="4" w:space="0"/>
        <w:right w:val="single" w:color="auto" w:sz="4" w:space="0"/>
      </w:pBdr>
      <w:shd w:val="clear" w:color="auto" w:fill="00FF00"/>
      <w:spacing w:before="100" w:beforeAutospacing="1" w:after="100" w:afterAutospacing="1"/>
      <w:jc w:val="center"/>
    </w:pPr>
    <w:rPr>
      <w:kern w:val="0"/>
      <w:szCs w:val="21"/>
    </w:rPr>
  </w:style>
  <w:style w:type="paragraph" w:customStyle="1" w:styleId="141">
    <w:name w:val=" Char Char Char Char Char1 Char Char Char Char Char Char2 Char Char Char"/>
    <w:basedOn w:val="1"/>
    <w:qFormat/>
    <w:uiPriority w:val="0"/>
    <w:rPr>
      <w:rFonts w:ascii="Tahoma" w:hAnsi="Tahoma"/>
      <w:sz w:val="24"/>
      <w:szCs w:val="20"/>
    </w:rPr>
  </w:style>
  <w:style w:type="paragraph" w:customStyle="1" w:styleId="142">
    <w:name w:val=" Char"/>
    <w:basedOn w:val="1"/>
    <w:qFormat/>
    <w:uiPriority w:val="0"/>
  </w:style>
  <w:style w:type="paragraph" w:customStyle="1" w:styleId="143">
    <w:name w:val=" Char Char Char Char Char Char Char Char Char Char Char Char1 Char Char Char1"/>
    <w:basedOn w:val="1"/>
    <w:qFormat/>
    <w:uiPriority w:val="0"/>
    <w:rPr>
      <w:rFonts w:ascii="Tahoma" w:hAnsi="Tahoma"/>
      <w:sz w:val="24"/>
      <w:szCs w:val="20"/>
    </w:rPr>
  </w:style>
  <w:style w:type="paragraph" w:customStyle="1" w:styleId="144">
    <w:name w:val=" Char Char Char Char Char Char Char Char Char Char Char Char1 Char Char Char1 Char Char Char Char Char Char"/>
    <w:basedOn w:val="1"/>
    <w:qFormat/>
    <w:uiPriority w:val="0"/>
    <w:rPr>
      <w:rFonts w:ascii="Tahoma" w:hAnsi="Tahoma"/>
      <w:spacing w:val="10"/>
      <w:sz w:val="24"/>
      <w:szCs w:val="20"/>
    </w:rPr>
  </w:style>
  <w:style w:type="paragraph" w:customStyle="1" w:styleId="145">
    <w:name w:val="表格"/>
    <w:next w:val="1"/>
    <w:qFormat/>
    <w:uiPriority w:val="0"/>
    <w:pPr>
      <w:jc w:val="center"/>
    </w:pPr>
    <w:rPr>
      <w:rFonts w:ascii="宋体" w:hAnsi="宋体" w:eastAsia="宋体" w:cs="Times New Roman"/>
      <w:sz w:val="21"/>
      <w:szCs w:val="21"/>
      <w:lang w:val="en-US" w:eastAsia="zh-CN" w:bidi="ar-SA"/>
    </w:rPr>
  </w:style>
  <w:style w:type="paragraph" w:customStyle="1" w:styleId="146">
    <w:name w:val=" Char Char Char Char Char1 Char"/>
    <w:basedOn w:val="1"/>
    <w:qFormat/>
    <w:uiPriority w:val="0"/>
    <w:rPr>
      <w:rFonts w:ascii="Tahoma" w:hAnsi="Tahoma"/>
      <w:sz w:val="24"/>
      <w:szCs w:val="20"/>
    </w:rPr>
  </w:style>
  <w:style w:type="paragraph" w:customStyle="1" w:styleId="147">
    <w:name w:val=" Char Char Char Char Char1 Char Char Char2 Char Char Char"/>
    <w:basedOn w:val="1"/>
    <w:qFormat/>
    <w:uiPriority w:val="0"/>
    <w:rPr>
      <w:rFonts w:ascii="Tahoma" w:hAnsi="Tahoma"/>
      <w:sz w:val="24"/>
      <w:szCs w:val="20"/>
    </w:rPr>
  </w:style>
  <w:style w:type="paragraph" w:customStyle="1" w:styleId="148">
    <w:name w:val="Char Char Char Char Char Char Char Char Char Char Char Char1 Char Char Char Char Char Char Char Char Char Char Char Char Char Char Char Char Char Char Char Char Char Char Char"/>
    <w:basedOn w:val="1"/>
    <w:qFormat/>
    <w:uiPriority w:val="0"/>
    <w:rPr>
      <w:rFonts w:ascii="Tahoma" w:hAnsi="Tahoma"/>
      <w:sz w:val="24"/>
      <w:szCs w:val="20"/>
    </w:rPr>
  </w:style>
  <w:style w:type="paragraph" w:customStyle="1" w:styleId="149">
    <w:name w:val=" Char Char Char Char Char Char Char Char Char Char Char Char1 Char"/>
    <w:basedOn w:val="1"/>
    <w:qFormat/>
    <w:uiPriority w:val="0"/>
    <w:rPr>
      <w:rFonts w:ascii="Tahoma" w:hAnsi="Tahoma"/>
      <w:sz w:val="24"/>
      <w:szCs w:val="20"/>
    </w:rPr>
  </w:style>
  <w:style w:type="paragraph" w:customStyle="1" w:styleId="150">
    <w:name w:val="4"/>
    <w:basedOn w:val="1"/>
    <w:next w:val="15"/>
    <w:qFormat/>
    <w:uiPriority w:val="0"/>
    <w:pPr>
      <w:spacing w:line="0" w:lineRule="atLeast"/>
      <w:jc w:val="center"/>
    </w:pPr>
    <w:rPr>
      <w:rFonts w:eastAsia="仿宋_GB2312"/>
    </w:rPr>
  </w:style>
  <w:style w:type="paragraph" w:customStyle="1" w:styleId="151">
    <w:name w:val=" Char Char Char Char Char Char Char Char Char Char Char Char1 Char Char Char1 Char Char Char"/>
    <w:basedOn w:val="1"/>
    <w:qFormat/>
    <w:uiPriority w:val="0"/>
    <w:rPr>
      <w:rFonts w:ascii="Tahoma" w:hAnsi="Tahoma"/>
      <w:sz w:val="24"/>
      <w:szCs w:val="20"/>
    </w:rPr>
  </w:style>
  <w:style w:type="paragraph" w:customStyle="1" w:styleId="152">
    <w:name w:val=" Char Char Char Char Char Char Char Char Char Char Char Char1 Char Char Char1 Char Char Char Char"/>
    <w:basedOn w:val="1"/>
    <w:qFormat/>
    <w:uiPriority w:val="0"/>
    <w:rPr>
      <w:rFonts w:ascii="Tahoma" w:hAnsi="Tahoma"/>
      <w:sz w:val="24"/>
      <w:szCs w:val="20"/>
    </w:rPr>
  </w:style>
  <w:style w:type="paragraph" w:customStyle="1" w:styleId="153">
    <w:name w:val=" Char Char Char Char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154">
    <w:name w:val=" Char Char Char Char Char Char Char Char Char Char Char Char1 Char Char Char Char Char Char"/>
    <w:basedOn w:val="1"/>
    <w:qFormat/>
    <w:uiPriority w:val="0"/>
    <w:rPr>
      <w:rFonts w:ascii="Tahoma" w:hAnsi="Tahoma"/>
      <w:sz w:val="24"/>
      <w:szCs w:val="20"/>
    </w:rPr>
  </w:style>
  <w:style w:type="paragraph" w:customStyle="1" w:styleId="155">
    <w:name w:val=" Char Char Char Char Char Char1 Char Char Char Char Char Char Char Char Char Char Char Char Char Char Char Char Char Char"/>
    <w:basedOn w:val="1"/>
    <w:qFormat/>
    <w:uiPriority w:val="0"/>
    <w:rPr>
      <w:rFonts w:ascii="Tahoma" w:hAnsi="Tahoma"/>
      <w:sz w:val="24"/>
      <w:szCs w:val="20"/>
    </w:rPr>
  </w:style>
  <w:style w:type="paragraph" w:customStyle="1" w:styleId="156">
    <w:name w:val=" Char Char Char Char Char1 Char Char Char Char Char Char Char Char Char Char Char Char Char Char Char Char"/>
    <w:basedOn w:val="1"/>
    <w:qFormat/>
    <w:uiPriority w:val="0"/>
    <w:rPr>
      <w:rFonts w:ascii="Tahoma" w:hAnsi="Tahoma"/>
      <w:sz w:val="24"/>
      <w:szCs w:val="20"/>
    </w:rPr>
  </w:style>
  <w:style w:type="paragraph" w:customStyle="1" w:styleId="157">
    <w:name w:val=" Char Char Char Char Char1 Char Char Char Char Char Char2 Char"/>
    <w:basedOn w:val="1"/>
    <w:qFormat/>
    <w:uiPriority w:val="0"/>
    <w:rPr>
      <w:rFonts w:ascii="Tahoma" w:hAnsi="Tahoma"/>
      <w:sz w:val="24"/>
      <w:szCs w:val="20"/>
    </w:rPr>
  </w:style>
  <w:style w:type="paragraph" w:customStyle="1" w:styleId="158">
    <w:name w:val="Char Char Char Char Char Char Char Char Char Char Char Char1 Char Char Char Char Char Char Char Char Char"/>
    <w:basedOn w:val="1"/>
    <w:qFormat/>
    <w:uiPriority w:val="0"/>
    <w:rPr>
      <w:rFonts w:ascii="Tahoma" w:hAnsi="Tahoma"/>
      <w:sz w:val="24"/>
      <w:szCs w:val="20"/>
    </w:rPr>
  </w:style>
  <w:style w:type="paragraph" w:customStyle="1" w:styleId="159">
    <w:name w:val="普通(Web)1"/>
    <w:basedOn w:val="1"/>
    <w:qFormat/>
    <w:uiPriority w:val="0"/>
    <w:pPr>
      <w:widowControl/>
      <w:spacing w:before="225" w:after="225" w:line="432" w:lineRule="auto"/>
      <w:ind w:firstLine="480"/>
      <w:jc w:val="left"/>
    </w:pPr>
    <w:rPr>
      <w:rFonts w:ascii="宋体" w:hAnsi="宋体" w:cs="宋体"/>
      <w:color w:val="000000"/>
      <w:kern w:val="0"/>
      <w:szCs w:val="21"/>
    </w:rPr>
  </w:style>
  <w:style w:type="paragraph" w:customStyle="1" w:styleId="160">
    <w:name w:val="样式 仿宋_GB2312 (符号) 宋体 加粗 首行缩进:  2 字符"/>
    <w:basedOn w:val="1"/>
    <w:qFormat/>
    <w:uiPriority w:val="0"/>
    <w:pPr>
      <w:spacing w:before="120" w:line="400" w:lineRule="exact"/>
      <w:ind w:firstLine="200" w:firstLineChars="200"/>
    </w:pPr>
    <w:rPr>
      <w:rFonts w:ascii="仿宋_GB2312" w:hAnsi="宋体" w:eastAsia="黑体"/>
      <w:bCs/>
      <w:sz w:val="24"/>
      <w:szCs w:val="20"/>
    </w:rPr>
  </w:style>
  <w:style w:type="paragraph" w:customStyle="1" w:styleId="161">
    <w:name w:val=" Char Char Char Char Char Char Char Char Char Char Char Char"/>
    <w:basedOn w:val="1"/>
    <w:qFormat/>
    <w:uiPriority w:val="0"/>
    <w:pPr>
      <w:snapToGrid w:val="0"/>
      <w:spacing w:line="360" w:lineRule="auto"/>
      <w:ind w:firstLine="200" w:firstLineChars="200"/>
    </w:pPr>
    <w:rPr>
      <w:rFonts w:eastAsia="仿宋_GB2312"/>
      <w:sz w:val="24"/>
    </w:rPr>
  </w:style>
  <w:style w:type="paragraph" w:customStyle="1" w:styleId="162">
    <w:name w:val="样式 标题 2 + 左侧:  0.85 厘米 首行缩进:  2 字符"/>
    <w:basedOn w:val="3"/>
    <w:qFormat/>
    <w:uiPriority w:val="0"/>
    <w:pPr>
      <w:numPr>
        <w:ilvl w:val="0"/>
        <w:numId w:val="0"/>
      </w:numPr>
      <w:spacing w:line="415" w:lineRule="auto"/>
      <w:ind w:firstLine="200" w:firstLineChars="200"/>
      <w:jc w:val="center"/>
    </w:pPr>
    <w:rPr>
      <w:rFonts w:eastAsia="宋体"/>
      <w:szCs w:val="20"/>
    </w:rPr>
  </w:style>
  <w:style w:type="paragraph" w:customStyle="1" w:styleId="163">
    <w:name w:val="reader-word-layer reader-word-s1-12"/>
    <w:basedOn w:val="1"/>
    <w:qFormat/>
    <w:uiPriority w:val="0"/>
    <w:pPr>
      <w:widowControl/>
      <w:spacing w:before="100" w:beforeAutospacing="1" w:after="100" w:afterAutospacing="1"/>
      <w:jc w:val="left"/>
    </w:pPr>
    <w:rPr>
      <w:rFonts w:ascii="宋体" w:hAnsi="宋体" w:cs="宋体"/>
      <w:kern w:val="0"/>
      <w:sz w:val="24"/>
    </w:rPr>
  </w:style>
  <w:style w:type="paragraph" w:customStyle="1" w:styleId="164">
    <w:name w:val=" Char Char Char Char Char1 Char Char Char Char Char Char1 Char Char Char1 Char"/>
    <w:basedOn w:val="1"/>
    <w:qFormat/>
    <w:uiPriority w:val="0"/>
    <w:rPr>
      <w:rFonts w:ascii="Tahoma" w:hAnsi="Tahoma"/>
      <w:sz w:val="24"/>
      <w:szCs w:val="20"/>
    </w:rPr>
  </w:style>
  <w:style w:type="paragraph" w:customStyle="1" w:styleId="165">
    <w:name w:val="reader-word-layer reader-word-s1-1"/>
    <w:basedOn w:val="1"/>
    <w:qFormat/>
    <w:uiPriority w:val="0"/>
    <w:pPr>
      <w:widowControl/>
      <w:spacing w:before="100" w:beforeAutospacing="1" w:after="100" w:afterAutospacing="1"/>
      <w:jc w:val="left"/>
    </w:pPr>
    <w:rPr>
      <w:rFonts w:ascii="宋体" w:hAnsi="宋体" w:cs="宋体"/>
      <w:kern w:val="0"/>
      <w:sz w:val="24"/>
    </w:rPr>
  </w:style>
  <w:style w:type="paragraph" w:customStyle="1" w:styleId="166">
    <w:name w:val="xl23"/>
    <w:basedOn w:val="1"/>
    <w:qFormat/>
    <w:uiPriority w:val="0"/>
    <w:pPr>
      <w:widowControl/>
      <w:spacing w:before="100" w:beforeAutospacing="1" w:after="100" w:afterAutospacing="1"/>
      <w:jc w:val="right"/>
    </w:pPr>
    <w:rPr>
      <w:rFonts w:ascii="宋体" w:hAnsi="宋体"/>
      <w:color w:val="000000"/>
      <w:kern w:val="0"/>
      <w:sz w:val="18"/>
      <w:szCs w:val="18"/>
    </w:rPr>
  </w:style>
  <w:style w:type="paragraph" w:customStyle="1" w:styleId="167">
    <w:name w:val=" Char Char Char Char Char"/>
    <w:basedOn w:val="1"/>
    <w:qFormat/>
    <w:uiPriority w:val="0"/>
    <w:rPr>
      <w:rFonts w:ascii="Tahoma" w:hAnsi="Tahoma"/>
      <w:sz w:val="24"/>
      <w:szCs w:val="20"/>
    </w:rPr>
  </w:style>
  <w:style w:type="paragraph" w:customStyle="1" w:styleId="168">
    <w:name w:val="内江"/>
    <w:basedOn w:val="12"/>
    <w:qFormat/>
    <w:uiPriority w:val="0"/>
    <w:pPr>
      <w:ind w:firstLine="640"/>
    </w:pPr>
    <w:rPr>
      <w:sz w:val="32"/>
      <w:szCs w:val="32"/>
    </w:rPr>
  </w:style>
  <w:style w:type="paragraph" w:customStyle="1" w:styleId="169">
    <w:name w:val=" Char Char Char Char Char Char2 Char Char Char Char Char Char"/>
    <w:basedOn w:val="1"/>
    <w:qFormat/>
    <w:uiPriority w:val="0"/>
    <w:rPr>
      <w:rFonts w:ascii="Tahoma" w:hAnsi="Tahoma"/>
      <w:sz w:val="24"/>
      <w:szCs w:val="20"/>
    </w:rPr>
  </w:style>
  <w:style w:type="paragraph" w:customStyle="1" w:styleId="170">
    <w:name w:val="表格正文"/>
    <w:basedOn w:val="34"/>
    <w:qFormat/>
    <w:uiPriority w:val="0"/>
    <w:pPr>
      <w:numPr>
        <w:ilvl w:val="0"/>
        <w:numId w:val="0"/>
      </w:numPr>
      <w:adjustRightInd w:val="0"/>
      <w:snapToGrid w:val="0"/>
      <w:spacing w:after="0" w:line="240" w:lineRule="auto"/>
      <w:ind w:right="136"/>
      <w:jc w:val="center"/>
    </w:pPr>
    <w:rPr>
      <w:rFonts w:ascii="仿宋_GB2312" w:eastAsia="仿宋_GB2312"/>
      <w:spacing w:val="10"/>
      <w:szCs w:val="18"/>
    </w:rPr>
  </w:style>
  <w:style w:type="paragraph" w:customStyle="1" w:styleId="171">
    <w:name w:val=" Char Char Char Char Char1 Char Char Char Char Char Char Char Char Char Char Char Char Char Char Char Char Char Char Char Char Char Char"/>
    <w:basedOn w:val="1"/>
    <w:qFormat/>
    <w:uiPriority w:val="0"/>
    <w:pPr>
      <w:widowControl w:val="0"/>
      <w:jc w:val="both"/>
    </w:pPr>
    <w:rPr>
      <w:rFonts w:ascii="Tahoma" w:hAnsi="Tahoma"/>
      <w:sz w:val="24"/>
      <w:szCs w:val="20"/>
    </w:rPr>
  </w:style>
  <w:style w:type="paragraph" w:customStyle="1" w:styleId="172">
    <w:name w:val="表格正文 + (符号) +仿宋"/>
    <w:basedOn w:val="170"/>
    <w:qFormat/>
    <w:uiPriority w:val="0"/>
    <w:rPr>
      <w:rFonts w:hAnsi="华文中宋" w:cs="宋体-18030"/>
      <w:bCs/>
      <w:spacing w:val="0"/>
      <w:szCs w:val="21"/>
    </w:rPr>
  </w:style>
  <w:style w:type="paragraph" w:customStyle="1" w:styleId="173">
    <w:name w:val=" Char Char Char Char Char1 Char Char Char Char Char Char"/>
    <w:basedOn w:val="1"/>
    <w:qFormat/>
    <w:uiPriority w:val="0"/>
    <w:rPr>
      <w:rFonts w:ascii="Tahoma" w:hAnsi="Tahoma"/>
      <w:sz w:val="24"/>
      <w:szCs w:val="20"/>
    </w:rPr>
  </w:style>
  <w:style w:type="paragraph" w:customStyle="1" w:styleId="174">
    <w:name w:val=" Char Char Char Char Char Char Char Char Char Char Char Char Char Char Char Char Char Char Char Char Char"/>
    <w:basedOn w:val="1"/>
    <w:qFormat/>
    <w:uiPriority w:val="0"/>
    <w:rPr>
      <w:rFonts w:ascii="Tahoma" w:hAnsi="Tahoma"/>
      <w:sz w:val="24"/>
      <w:szCs w:val="20"/>
    </w:rPr>
  </w:style>
  <w:style w:type="paragraph" w:customStyle="1" w:styleId="175">
    <w:name w:val=" Char Char Char Char Char Char Char Char Char Char Char Char Char Char Char Char Char Char Char Char Char Char Char Char"/>
    <w:basedOn w:val="1"/>
    <w:qFormat/>
    <w:uiPriority w:val="0"/>
    <w:rPr>
      <w:rFonts w:ascii="Tahoma" w:hAnsi="Tahoma"/>
      <w:sz w:val="24"/>
      <w:szCs w:val="20"/>
    </w:rPr>
  </w:style>
  <w:style w:type="paragraph" w:customStyle="1" w:styleId="176">
    <w:name w:val=" Char Char Char Char Char1"/>
    <w:basedOn w:val="1"/>
    <w:qFormat/>
    <w:uiPriority w:val="0"/>
    <w:rPr>
      <w:rFonts w:ascii="Tahoma" w:hAnsi="Tahoma"/>
      <w:sz w:val="24"/>
      <w:szCs w:val="20"/>
    </w:rPr>
  </w:style>
  <w:style w:type="paragraph" w:customStyle="1" w:styleId="177">
    <w:name w:val=" Char Char Char Char Char1 Char Char Char Char Char Char1 Char Char Char"/>
    <w:basedOn w:val="1"/>
    <w:qFormat/>
    <w:uiPriority w:val="0"/>
    <w:rPr>
      <w:rFonts w:ascii="Tahoma" w:hAnsi="Tahoma"/>
      <w:sz w:val="24"/>
      <w:szCs w:val="20"/>
    </w:rPr>
  </w:style>
  <w:style w:type="paragraph" w:customStyle="1" w:styleId="178">
    <w:name w:val=" Char Char Char Char Char1 Char Char Char Char Char Char1 Char"/>
    <w:basedOn w:val="1"/>
    <w:qFormat/>
    <w:uiPriority w:val="0"/>
    <w:rPr>
      <w:rFonts w:ascii="Tahoma" w:hAnsi="Tahoma"/>
      <w:sz w:val="24"/>
      <w:szCs w:val="20"/>
    </w:rPr>
  </w:style>
  <w:style w:type="paragraph" w:customStyle="1" w:styleId="179">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180">
    <w:name w:val="6-正文"/>
    <w:basedOn w:val="1"/>
    <w:qFormat/>
    <w:uiPriority w:val="0"/>
    <w:pPr>
      <w:spacing w:before="156" w:after="156" w:line="360" w:lineRule="auto"/>
      <w:ind w:firstLine="480" w:firstLineChars="200"/>
    </w:pPr>
    <w:rPr>
      <w:rFonts w:ascii="宋体" w:hAnsi="宋体"/>
      <w:sz w:val="24"/>
      <w:szCs w:val="20"/>
    </w:rPr>
  </w:style>
  <w:style w:type="paragraph" w:customStyle="1" w:styleId="181">
    <w:name w:val=" Char Char Char"/>
    <w:basedOn w:val="1"/>
    <w:qFormat/>
    <w:uiPriority w:val="0"/>
    <w:rPr>
      <w:rFonts w:ascii="Tahoma" w:hAnsi="Tahoma"/>
      <w:sz w:val="24"/>
      <w:szCs w:val="20"/>
    </w:rPr>
  </w:style>
  <w:style w:type="paragraph" w:customStyle="1" w:styleId="18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83">
    <w:name w:val="Char Char Char Char Char Char Char Char Char Char Char Char1 Char"/>
    <w:basedOn w:val="1"/>
    <w:qFormat/>
    <w:uiPriority w:val="0"/>
    <w:rPr>
      <w:rFonts w:ascii="Tahoma" w:hAnsi="Tahoma" w:cs="Tahoma"/>
      <w:sz w:val="24"/>
    </w:rPr>
  </w:style>
  <w:style w:type="paragraph" w:customStyle="1" w:styleId="184">
    <w:name w:val=" Char Char Char Char Char1 Char Char Char2"/>
    <w:basedOn w:val="1"/>
    <w:qFormat/>
    <w:uiPriority w:val="0"/>
    <w:rPr>
      <w:rFonts w:ascii="Tahoma" w:hAnsi="Tahoma"/>
      <w:sz w:val="24"/>
      <w:szCs w:val="20"/>
    </w:rPr>
  </w:style>
  <w:style w:type="paragraph" w:customStyle="1" w:styleId="185">
    <w:name w:val="样式 宋体 小四"/>
    <w:basedOn w:val="1"/>
    <w:qFormat/>
    <w:uiPriority w:val="0"/>
    <w:pPr>
      <w:ind w:firstLine="120" w:firstLineChars="50"/>
    </w:pPr>
    <w:rPr>
      <w:rFonts w:ascii="宋体" w:hAnsi="宋体"/>
      <w:sz w:val="24"/>
      <w:szCs w:val="20"/>
    </w:rPr>
  </w:style>
  <w:style w:type="paragraph" w:customStyle="1" w:styleId="186">
    <w:name w:val="正文1"/>
    <w:basedOn w:val="1"/>
    <w:qFormat/>
    <w:uiPriority w:val="0"/>
    <w:pPr>
      <w:widowControl/>
      <w:pBdr>
        <w:top w:val="single" w:color="FD9801" w:sz="2" w:space="6"/>
        <w:left w:val="single" w:color="FD9801" w:sz="2" w:space="6"/>
        <w:bottom w:val="single" w:color="FD9801" w:sz="2" w:space="6"/>
        <w:right w:val="single" w:color="FD9801" w:sz="2" w:space="6"/>
      </w:pBdr>
      <w:spacing w:line="408" w:lineRule="auto"/>
      <w:jc w:val="left"/>
    </w:pPr>
    <w:rPr>
      <w:rFonts w:ascii="宋体" w:hAnsi="宋体" w:cs="宋体"/>
      <w:color w:val="333333"/>
      <w:kern w:val="0"/>
      <w:szCs w:val="21"/>
    </w:rPr>
  </w:style>
  <w:style w:type="paragraph" w:customStyle="1" w:styleId="187">
    <w:name w:val=" Char1 Char Char Char Char Char Char"/>
    <w:basedOn w:val="1"/>
    <w:qFormat/>
    <w:uiPriority w:val="0"/>
    <w:pPr>
      <w:spacing w:line="360" w:lineRule="auto"/>
      <w:ind w:firstLine="200" w:firstLineChars="200"/>
    </w:pPr>
    <w:rPr>
      <w:rFonts w:ascii="宋体" w:hAnsi="宋体" w:cs="宋体"/>
      <w:sz w:val="24"/>
    </w:rPr>
  </w:style>
  <w:style w:type="paragraph" w:customStyle="1" w:styleId="18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189">
    <w:name w:val=" Char Char Char Char Char1 Char Char Char Char Char Char Char Char Char Char"/>
    <w:basedOn w:val="1"/>
    <w:qFormat/>
    <w:uiPriority w:val="0"/>
    <w:pPr>
      <w:widowControl w:val="0"/>
      <w:jc w:val="both"/>
    </w:pPr>
    <w:rPr>
      <w:rFonts w:ascii="Tahoma" w:hAnsi="Tahoma"/>
      <w:sz w:val="24"/>
      <w:szCs w:val="20"/>
    </w:rPr>
  </w:style>
  <w:style w:type="table" w:customStyle="1" w:styleId="190">
    <w:name w:val="网格型1"/>
    <w:basedOn w:val="38"/>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1">
    <w:name w:val="_Style 190"/>
    <w:basedOn w:val="2"/>
    <w:next w:val="1"/>
    <w:unhideWhenUsed/>
    <w:qFormat/>
    <w:uiPriority w:val="39"/>
    <w:pPr>
      <w:spacing w:before="480" w:after="0" w:line="276" w:lineRule="auto"/>
      <w:outlineLvl w:val="9"/>
    </w:pPr>
    <w:rPr>
      <w:rFonts w:ascii="Cambria" w:hAnsi="Cambria" w:eastAsia="宋体" w:cs="Times New Roman"/>
      <w:color w:val="365F91"/>
      <w:kern w:val="0"/>
      <w:sz w:val="28"/>
      <w:szCs w:val="28"/>
    </w:rPr>
  </w:style>
  <w:style w:type="paragraph" w:customStyle="1" w:styleId="192">
    <w:name w:val=" Char Char Char Char Char1 Char Char Char1 Char"/>
    <w:basedOn w:val="1"/>
    <w:qFormat/>
    <w:uiPriority w:val="0"/>
    <w:pPr>
      <w:widowControl w:val="0"/>
      <w:jc w:val="both"/>
    </w:pPr>
    <w:rPr>
      <w:rFonts w:ascii="Tahoma" w:hAnsi="Tahoma"/>
      <w:sz w:val="24"/>
      <w:szCs w:val="20"/>
    </w:rPr>
  </w:style>
  <w:style w:type="paragraph" w:customStyle="1" w:styleId="193">
    <w:name w:val=" Char Char Char Char Char1 Char Char Char Char Char Char Char"/>
    <w:basedOn w:val="1"/>
    <w:qFormat/>
    <w:uiPriority w:val="0"/>
    <w:pPr>
      <w:widowControl w:val="0"/>
      <w:jc w:val="both"/>
    </w:pPr>
    <w:rPr>
      <w:rFonts w:ascii="Tahoma" w:hAnsi="Tahoma"/>
      <w:sz w:val="24"/>
      <w:szCs w:val="20"/>
    </w:rPr>
  </w:style>
  <w:style w:type="paragraph" w:customStyle="1" w:styleId="194">
    <w:name w:val=" Char Char Char Char Char1 Char Char Char2 Char"/>
    <w:basedOn w:val="1"/>
    <w:qFormat/>
    <w:uiPriority w:val="0"/>
    <w:pPr>
      <w:widowControl w:val="0"/>
      <w:jc w:val="both"/>
    </w:pPr>
    <w:rPr>
      <w:rFonts w:ascii="Tahoma" w:hAnsi="Tahoma"/>
      <w:sz w:val="24"/>
      <w:szCs w:val="20"/>
    </w:rPr>
  </w:style>
  <w:style w:type="paragraph" w:customStyle="1" w:styleId="195">
    <w:name w:val="p0"/>
    <w:basedOn w:val="1"/>
    <w:qFormat/>
    <w:uiPriority w:val="0"/>
    <w:pPr>
      <w:spacing w:before="100" w:beforeAutospacing="1" w:after="100" w:afterAutospacing="1"/>
    </w:pPr>
    <w:rPr>
      <w:rFonts w:ascii="宋体" w:hAnsi="宋体" w:cs="宋体"/>
      <w:kern w:val="0"/>
      <w:sz w:val="24"/>
    </w:rPr>
  </w:style>
  <w:style w:type="paragraph" w:customStyle="1" w:styleId="196">
    <w:name w:val=" Char Char Char Char Char1 Char Char Char Char Char Char Char Char Char"/>
    <w:basedOn w:val="1"/>
    <w:qFormat/>
    <w:uiPriority w:val="0"/>
    <w:pPr>
      <w:widowControl w:val="0"/>
      <w:jc w:val="both"/>
    </w:pPr>
    <w:rPr>
      <w:rFonts w:ascii="Tahoma" w:hAnsi="Tahoma"/>
      <w:sz w:val="24"/>
      <w:szCs w:val="20"/>
    </w:rPr>
  </w:style>
  <w:style w:type="paragraph" w:customStyle="1" w:styleId="197">
    <w:name w:val=" Char Char Char Char Char Char"/>
    <w:basedOn w:val="1"/>
    <w:qFormat/>
    <w:uiPriority w:val="0"/>
    <w:pPr>
      <w:widowControl w:val="0"/>
      <w:jc w:val="both"/>
    </w:pPr>
    <w:rPr>
      <w:rFonts w:ascii="Tahoma" w:hAnsi="Tahoma"/>
      <w:sz w:val="24"/>
      <w:szCs w:val="20"/>
    </w:rPr>
  </w:style>
  <w:style w:type="paragraph" w:customStyle="1" w:styleId="198">
    <w:name w:val=" Char Char Char Char Char Char Char Char Char Char Char1 Char Char Char Char"/>
    <w:basedOn w:val="1"/>
    <w:qFormat/>
    <w:uiPriority w:val="0"/>
    <w:pPr>
      <w:widowControl w:val="0"/>
      <w:jc w:val="both"/>
    </w:pPr>
    <w:rPr>
      <w:rFonts w:ascii="Tahoma" w:hAnsi="Tahoma"/>
      <w:sz w:val="24"/>
      <w:szCs w:val="20"/>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2.bin"/><Relationship Id="rId98" Type="http://schemas.openxmlformats.org/officeDocument/2006/relationships/oleObject" Target="embeddings/oleObject41.bin"/><Relationship Id="rId97" Type="http://schemas.openxmlformats.org/officeDocument/2006/relationships/oleObject" Target="embeddings/oleObject40.bin"/><Relationship Id="rId96" Type="http://schemas.openxmlformats.org/officeDocument/2006/relationships/oleObject" Target="embeddings/oleObject39.bin"/><Relationship Id="rId95" Type="http://schemas.openxmlformats.org/officeDocument/2006/relationships/oleObject" Target="embeddings/oleObject38.bin"/><Relationship Id="rId94" Type="http://schemas.openxmlformats.org/officeDocument/2006/relationships/oleObject" Target="embeddings/oleObject37.bin"/><Relationship Id="rId93" Type="http://schemas.openxmlformats.org/officeDocument/2006/relationships/oleObject" Target="embeddings/oleObject36.bin"/><Relationship Id="rId92" Type="http://schemas.openxmlformats.org/officeDocument/2006/relationships/oleObject" Target="embeddings/oleObject35.bin"/><Relationship Id="rId91" Type="http://schemas.openxmlformats.org/officeDocument/2006/relationships/oleObject" Target="embeddings/oleObject34.bin"/><Relationship Id="rId90" Type="http://schemas.openxmlformats.org/officeDocument/2006/relationships/oleObject" Target="embeddings/oleObject33.bin"/><Relationship Id="rId9" Type="http://schemas.openxmlformats.org/officeDocument/2006/relationships/theme" Target="theme/theme1.xml"/><Relationship Id="rId89" Type="http://schemas.openxmlformats.org/officeDocument/2006/relationships/oleObject" Target="embeddings/oleObject32.bin"/><Relationship Id="rId88" Type="http://schemas.openxmlformats.org/officeDocument/2006/relationships/oleObject" Target="embeddings/oleObject31.bin"/><Relationship Id="rId87" Type="http://schemas.openxmlformats.org/officeDocument/2006/relationships/image" Target="media/image48.wmf"/><Relationship Id="rId86" Type="http://schemas.openxmlformats.org/officeDocument/2006/relationships/oleObject" Target="embeddings/oleObject30.bin"/><Relationship Id="rId85" Type="http://schemas.openxmlformats.org/officeDocument/2006/relationships/image" Target="media/image47.wmf"/><Relationship Id="rId84" Type="http://schemas.openxmlformats.org/officeDocument/2006/relationships/oleObject" Target="embeddings/oleObject29.bin"/><Relationship Id="rId83" Type="http://schemas.openxmlformats.org/officeDocument/2006/relationships/image" Target="media/image46.wmf"/><Relationship Id="rId82" Type="http://schemas.openxmlformats.org/officeDocument/2006/relationships/oleObject" Target="embeddings/oleObject28.bin"/><Relationship Id="rId81" Type="http://schemas.openxmlformats.org/officeDocument/2006/relationships/image" Target="media/image45.wmf"/><Relationship Id="rId80" Type="http://schemas.openxmlformats.org/officeDocument/2006/relationships/oleObject" Target="embeddings/oleObject27.bin"/><Relationship Id="rId8" Type="http://schemas.openxmlformats.org/officeDocument/2006/relationships/footer" Target="footer6.xml"/><Relationship Id="rId79" Type="http://schemas.openxmlformats.org/officeDocument/2006/relationships/image" Target="media/image44.wmf"/><Relationship Id="rId78" Type="http://schemas.openxmlformats.org/officeDocument/2006/relationships/oleObject" Target="embeddings/oleObject26.bin"/><Relationship Id="rId77" Type="http://schemas.openxmlformats.org/officeDocument/2006/relationships/image" Target="media/image43.wmf"/><Relationship Id="rId76" Type="http://schemas.openxmlformats.org/officeDocument/2006/relationships/oleObject" Target="embeddings/oleObject25.bin"/><Relationship Id="rId75" Type="http://schemas.openxmlformats.org/officeDocument/2006/relationships/image" Target="media/image42.wmf"/><Relationship Id="rId74" Type="http://schemas.openxmlformats.org/officeDocument/2006/relationships/oleObject" Target="embeddings/oleObject24.bin"/><Relationship Id="rId73" Type="http://schemas.openxmlformats.org/officeDocument/2006/relationships/oleObject" Target="embeddings/oleObject23.bin"/><Relationship Id="rId72" Type="http://schemas.openxmlformats.org/officeDocument/2006/relationships/oleObject" Target="embeddings/oleObject22.bin"/><Relationship Id="rId71" Type="http://schemas.openxmlformats.org/officeDocument/2006/relationships/oleObject" Target="embeddings/oleObject21.bin"/><Relationship Id="rId70" Type="http://schemas.openxmlformats.org/officeDocument/2006/relationships/oleObject" Target="embeddings/oleObject20.bin"/><Relationship Id="rId7" Type="http://schemas.openxmlformats.org/officeDocument/2006/relationships/footer" Target="footer5.xml"/><Relationship Id="rId69" Type="http://schemas.openxmlformats.org/officeDocument/2006/relationships/oleObject" Target="embeddings/oleObject19.bin"/><Relationship Id="rId68" Type="http://schemas.openxmlformats.org/officeDocument/2006/relationships/oleObject" Target="embeddings/oleObject18.bin"/><Relationship Id="rId67" Type="http://schemas.openxmlformats.org/officeDocument/2006/relationships/oleObject" Target="embeddings/oleObject17.bin"/><Relationship Id="rId66" Type="http://schemas.openxmlformats.org/officeDocument/2006/relationships/image" Target="media/image41.wmf"/><Relationship Id="rId65" Type="http://schemas.openxmlformats.org/officeDocument/2006/relationships/oleObject" Target="embeddings/oleObject16.bin"/><Relationship Id="rId64" Type="http://schemas.openxmlformats.org/officeDocument/2006/relationships/image" Target="media/image40.wmf"/><Relationship Id="rId63" Type="http://schemas.openxmlformats.org/officeDocument/2006/relationships/oleObject" Target="embeddings/oleObject15.bin"/><Relationship Id="rId62" Type="http://schemas.openxmlformats.org/officeDocument/2006/relationships/image" Target="media/image39.wmf"/><Relationship Id="rId61" Type="http://schemas.openxmlformats.org/officeDocument/2006/relationships/oleObject" Target="embeddings/oleObject14.bin"/><Relationship Id="rId60" Type="http://schemas.openxmlformats.org/officeDocument/2006/relationships/image" Target="media/image38.wmf"/><Relationship Id="rId6" Type="http://schemas.openxmlformats.org/officeDocument/2006/relationships/footer" Target="footer4.xml"/><Relationship Id="rId59" Type="http://schemas.openxmlformats.org/officeDocument/2006/relationships/oleObject" Target="embeddings/oleObject13.bin"/><Relationship Id="rId58" Type="http://schemas.openxmlformats.org/officeDocument/2006/relationships/image" Target="media/image37.wmf"/><Relationship Id="rId57" Type="http://schemas.openxmlformats.org/officeDocument/2006/relationships/oleObject" Target="embeddings/oleObject12.bin"/><Relationship Id="rId56" Type="http://schemas.openxmlformats.org/officeDocument/2006/relationships/image" Target="media/image36.wmf"/><Relationship Id="rId55" Type="http://schemas.openxmlformats.org/officeDocument/2006/relationships/oleObject" Target="embeddings/oleObject11.bin"/><Relationship Id="rId54" Type="http://schemas.openxmlformats.org/officeDocument/2006/relationships/image" Target="media/image35.wmf"/><Relationship Id="rId53" Type="http://schemas.openxmlformats.org/officeDocument/2006/relationships/oleObject" Target="embeddings/oleObject10.bin"/><Relationship Id="rId52" Type="http://schemas.openxmlformats.org/officeDocument/2006/relationships/image" Target="media/image34.wmf"/><Relationship Id="rId51" Type="http://schemas.openxmlformats.org/officeDocument/2006/relationships/oleObject" Target="embeddings/oleObject9.bin"/><Relationship Id="rId50" Type="http://schemas.openxmlformats.org/officeDocument/2006/relationships/image" Target="media/image33.wmf"/><Relationship Id="rId5" Type="http://schemas.openxmlformats.org/officeDocument/2006/relationships/footer" Target="footer3.xml"/><Relationship Id="rId49" Type="http://schemas.openxmlformats.org/officeDocument/2006/relationships/oleObject" Target="embeddings/oleObject8.bin"/><Relationship Id="rId48" Type="http://schemas.openxmlformats.org/officeDocument/2006/relationships/image" Target="media/image32.wmf"/><Relationship Id="rId47" Type="http://schemas.openxmlformats.org/officeDocument/2006/relationships/oleObject" Target="embeddings/oleObject7.bin"/><Relationship Id="rId46" Type="http://schemas.openxmlformats.org/officeDocument/2006/relationships/image" Target="media/image31.wmf"/><Relationship Id="rId45" Type="http://schemas.openxmlformats.org/officeDocument/2006/relationships/oleObject" Target="embeddings/oleObject6.bin"/><Relationship Id="rId44" Type="http://schemas.openxmlformats.org/officeDocument/2006/relationships/image" Target="media/image30.emf"/><Relationship Id="rId43" Type="http://schemas.openxmlformats.org/officeDocument/2006/relationships/oleObject" Target="embeddings/oleObject5.bin"/><Relationship Id="rId42" Type="http://schemas.openxmlformats.org/officeDocument/2006/relationships/image" Target="media/image29.emf"/><Relationship Id="rId41" Type="http://schemas.openxmlformats.org/officeDocument/2006/relationships/oleObject" Target="embeddings/oleObject4.bin"/><Relationship Id="rId40" Type="http://schemas.openxmlformats.org/officeDocument/2006/relationships/image" Target="media/image28.wmf"/><Relationship Id="rId4" Type="http://schemas.openxmlformats.org/officeDocument/2006/relationships/footer" Target="footer2.xml"/><Relationship Id="rId39" Type="http://schemas.openxmlformats.org/officeDocument/2006/relationships/oleObject" Target="embeddings/oleObject3.bin"/><Relationship Id="rId38" Type="http://schemas.openxmlformats.org/officeDocument/2006/relationships/image" Target="media/image27.wmf"/><Relationship Id="rId376" Type="http://schemas.openxmlformats.org/officeDocument/2006/relationships/fontTable" Target="fontTable.xml"/><Relationship Id="rId375" Type="http://schemas.openxmlformats.org/officeDocument/2006/relationships/numbering" Target="numbering.xml"/><Relationship Id="rId374" Type="http://schemas.openxmlformats.org/officeDocument/2006/relationships/customXml" Target="../customXml/item1.xml"/><Relationship Id="rId373" Type="http://schemas.openxmlformats.org/officeDocument/2006/relationships/image" Target="media/image172.wmf"/><Relationship Id="rId372" Type="http://schemas.openxmlformats.org/officeDocument/2006/relationships/image" Target="media/image171.wmf"/><Relationship Id="rId371" Type="http://schemas.openxmlformats.org/officeDocument/2006/relationships/image" Target="media/image170.wmf"/><Relationship Id="rId370" Type="http://schemas.openxmlformats.org/officeDocument/2006/relationships/image" Target="media/image169.wmf"/><Relationship Id="rId37" Type="http://schemas.openxmlformats.org/officeDocument/2006/relationships/oleObject" Target="embeddings/oleObject2.bin"/><Relationship Id="rId369" Type="http://schemas.openxmlformats.org/officeDocument/2006/relationships/image" Target="media/image168.wmf"/><Relationship Id="rId368" Type="http://schemas.openxmlformats.org/officeDocument/2006/relationships/image" Target="media/image167.wmf"/><Relationship Id="rId367" Type="http://schemas.openxmlformats.org/officeDocument/2006/relationships/oleObject" Target="embeddings/oleObject192.bin"/><Relationship Id="rId366" Type="http://schemas.openxmlformats.org/officeDocument/2006/relationships/image" Target="media/image166.wmf"/><Relationship Id="rId365" Type="http://schemas.openxmlformats.org/officeDocument/2006/relationships/oleObject" Target="embeddings/oleObject191.bin"/><Relationship Id="rId364" Type="http://schemas.openxmlformats.org/officeDocument/2006/relationships/image" Target="media/image165.wmf"/><Relationship Id="rId363" Type="http://schemas.openxmlformats.org/officeDocument/2006/relationships/oleObject" Target="embeddings/oleObject190.bin"/><Relationship Id="rId362" Type="http://schemas.openxmlformats.org/officeDocument/2006/relationships/image" Target="media/image164.wmf"/><Relationship Id="rId361" Type="http://schemas.openxmlformats.org/officeDocument/2006/relationships/oleObject" Target="embeddings/oleObject189.bin"/><Relationship Id="rId360" Type="http://schemas.openxmlformats.org/officeDocument/2006/relationships/image" Target="media/image163.png"/><Relationship Id="rId36" Type="http://schemas.openxmlformats.org/officeDocument/2006/relationships/image" Target="media/image26.wmf"/><Relationship Id="rId359" Type="http://schemas.openxmlformats.org/officeDocument/2006/relationships/image" Target="media/image162.png"/><Relationship Id="rId358" Type="http://schemas.openxmlformats.org/officeDocument/2006/relationships/image" Target="media/image161.png"/><Relationship Id="rId357" Type="http://schemas.openxmlformats.org/officeDocument/2006/relationships/image" Target="media/image160.png"/><Relationship Id="rId356" Type="http://schemas.openxmlformats.org/officeDocument/2006/relationships/image" Target="media/image159.png"/><Relationship Id="rId355" Type="http://schemas.openxmlformats.org/officeDocument/2006/relationships/image" Target="media/image158.png"/><Relationship Id="rId354" Type="http://schemas.openxmlformats.org/officeDocument/2006/relationships/image" Target="media/image157.png"/><Relationship Id="rId353" Type="http://schemas.openxmlformats.org/officeDocument/2006/relationships/image" Target="media/image156.wmf"/><Relationship Id="rId352" Type="http://schemas.openxmlformats.org/officeDocument/2006/relationships/oleObject" Target="embeddings/oleObject188.bin"/><Relationship Id="rId351" Type="http://schemas.openxmlformats.org/officeDocument/2006/relationships/image" Target="media/image155.wmf"/><Relationship Id="rId350" Type="http://schemas.openxmlformats.org/officeDocument/2006/relationships/oleObject" Target="embeddings/oleObject187.bin"/><Relationship Id="rId35" Type="http://schemas.openxmlformats.org/officeDocument/2006/relationships/oleObject" Target="embeddings/oleObject1.bin"/><Relationship Id="rId349" Type="http://schemas.openxmlformats.org/officeDocument/2006/relationships/image" Target="media/image154.wmf"/><Relationship Id="rId348" Type="http://schemas.openxmlformats.org/officeDocument/2006/relationships/oleObject" Target="embeddings/oleObject186.bin"/><Relationship Id="rId347" Type="http://schemas.openxmlformats.org/officeDocument/2006/relationships/image" Target="media/image153.wmf"/><Relationship Id="rId346" Type="http://schemas.openxmlformats.org/officeDocument/2006/relationships/oleObject" Target="embeddings/oleObject185.bin"/><Relationship Id="rId345" Type="http://schemas.openxmlformats.org/officeDocument/2006/relationships/image" Target="media/image152.png"/><Relationship Id="rId344" Type="http://schemas.openxmlformats.org/officeDocument/2006/relationships/oleObject" Target="embeddings/oleObject184.bin"/><Relationship Id="rId343" Type="http://schemas.openxmlformats.org/officeDocument/2006/relationships/oleObject" Target="embeddings/oleObject183.bin"/><Relationship Id="rId342" Type="http://schemas.openxmlformats.org/officeDocument/2006/relationships/oleObject" Target="embeddings/oleObject182.bin"/><Relationship Id="rId341" Type="http://schemas.openxmlformats.org/officeDocument/2006/relationships/oleObject" Target="embeddings/oleObject181.bin"/><Relationship Id="rId340" Type="http://schemas.openxmlformats.org/officeDocument/2006/relationships/oleObject" Target="embeddings/oleObject180.bin"/><Relationship Id="rId34" Type="http://schemas.openxmlformats.org/officeDocument/2006/relationships/image" Target="media/image25.jpeg"/><Relationship Id="rId339" Type="http://schemas.openxmlformats.org/officeDocument/2006/relationships/oleObject" Target="embeddings/oleObject179.bin"/><Relationship Id="rId338" Type="http://schemas.openxmlformats.org/officeDocument/2006/relationships/oleObject" Target="embeddings/oleObject178.bin"/><Relationship Id="rId337" Type="http://schemas.openxmlformats.org/officeDocument/2006/relationships/oleObject" Target="embeddings/oleObject177.bin"/><Relationship Id="rId336" Type="http://schemas.openxmlformats.org/officeDocument/2006/relationships/oleObject" Target="embeddings/oleObject176.bin"/><Relationship Id="rId335" Type="http://schemas.openxmlformats.org/officeDocument/2006/relationships/oleObject" Target="embeddings/oleObject175.bin"/><Relationship Id="rId334" Type="http://schemas.openxmlformats.org/officeDocument/2006/relationships/oleObject" Target="embeddings/oleObject174.bin"/><Relationship Id="rId333" Type="http://schemas.openxmlformats.org/officeDocument/2006/relationships/oleObject" Target="embeddings/oleObject173.bin"/><Relationship Id="rId332" Type="http://schemas.openxmlformats.org/officeDocument/2006/relationships/oleObject" Target="embeddings/oleObject172.bin"/><Relationship Id="rId331" Type="http://schemas.openxmlformats.org/officeDocument/2006/relationships/oleObject" Target="embeddings/oleObject171.bin"/><Relationship Id="rId330" Type="http://schemas.openxmlformats.org/officeDocument/2006/relationships/oleObject" Target="embeddings/oleObject170.bin"/><Relationship Id="rId33" Type="http://schemas.openxmlformats.org/officeDocument/2006/relationships/image" Target="media/image24.jpeg"/><Relationship Id="rId329" Type="http://schemas.openxmlformats.org/officeDocument/2006/relationships/oleObject" Target="embeddings/oleObject169.bin"/><Relationship Id="rId328" Type="http://schemas.openxmlformats.org/officeDocument/2006/relationships/oleObject" Target="embeddings/oleObject168.bin"/><Relationship Id="rId327" Type="http://schemas.openxmlformats.org/officeDocument/2006/relationships/oleObject" Target="embeddings/oleObject167.bin"/><Relationship Id="rId326" Type="http://schemas.openxmlformats.org/officeDocument/2006/relationships/oleObject" Target="embeddings/oleObject166.bin"/><Relationship Id="rId325" Type="http://schemas.openxmlformats.org/officeDocument/2006/relationships/oleObject" Target="embeddings/oleObject165.bin"/><Relationship Id="rId324" Type="http://schemas.openxmlformats.org/officeDocument/2006/relationships/oleObject" Target="embeddings/oleObject164.bin"/><Relationship Id="rId323" Type="http://schemas.openxmlformats.org/officeDocument/2006/relationships/oleObject" Target="embeddings/oleObject163.bin"/><Relationship Id="rId322" Type="http://schemas.openxmlformats.org/officeDocument/2006/relationships/oleObject" Target="embeddings/oleObject162.bin"/><Relationship Id="rId321" Type="http://schemas.openxmlformats.org/officeDocument/2006/relationships/oleObject" Target="embeddings/oleObject161.bin"/><Relationship Id="rId320" Type="http://schemas.openxmlformats.org/officeDocument/2006/relationships/oleObject" Target="embeddings/oleObject160.bin"/><Relationship Id="rId32" Type="http://schemas.openxmlformats.org/officeDocument/2006/relationships/image" Target="media/image23.jpeg"/><Relationship Id="rId319" Type="http://schemas.openxmlformats.org/officeDocument/2006/relationships/oleObject" Target="embeddings/oleObject159.bin"/><Relationship Id="rId318" Type="http://schemas.openxmlformats.org/officeDocument/2006/relationships/oleObject" Target="embeddings/oleObject158.bin"/><Relationship Id="rId317" Type="http://schemas.openxmlformats.org/officeDocument/2006/relationships/oleObject" Target="embeddings/oleObject157.bin"/><Relationship Id="rId316" Type="http://schemas.openxmlformats.org/officeDocument/2006/relationships/oleObject" Target="embeddings/oleObject156.bin"/><Relationship Id="rId315" Type="http://schemas.openxmlformats.org/officeDocument/2006/relationships/oleObject" Target="embeddings/oleObject155.bin"/><Relationship Id="rId314" Type="http://schemas.openxmlformats.org/officeDocument/2006/relationships/oleObject" Target="embeddings/oleObject154.bin"/><Relationship Id="rId313" Type="http://schemas.openxmlformats.org/officeDocument/2006/relationships/oleObject" Target="embeddings/oleObject153.bin"/><Relationship Id="rId312" Type="http://schemas.openxmlformats.org/officeDocument/2006/relationships/oleObject" Target="embeddings/oleObject152.bin"/><Relationship Id="rId311" Type="http://schemas.openxmlformats.org/officeDocument/2006/relationships/oleObject" Target="embeddings/oleObject151.bin"/><Relationship Id="rId310" Type="http://schemas.openxmlformats.org/officeDocument/2006/relationships/oleObject" Target="embeddings/oleObject150.bin"/><Relationship Id="rId31" Type="http://schemas.openxmlformats.org/officeDocument/2006/relationships/image" Target="media/image22.jpeg"/><Relationship Id="rId309" Type="http://schemas.openxmlformats.org/officeDocument/2006/relationships/oleObject" Target="embeddings/oleObject149.bin"/><Relationship Id="rId308" Type="http://schemas.openxmlformats.org/officeDocument/2006/relationships/oleObject" Target="embeddings/oleObject148.bin"/><Relationship Id="rId307" Type="http://schemas.openxmlformats.org/officeDocument/2006/relationships/oleObject" Target="embeddings/oleObject147.bin"/><Relationship Id="rId306" Type="http://schemas.openxmlformats.org/officeDocument/2006/relationships/oleObject" Target="embeddings/oleObject146.bin"/><Relationship Id="rId305" Type="http://schemas.openxmlformats.org/officeDocument/2006/relationships/oleObject" Target="embeddings/oleObject145.bin"/><Relationship Id="rId304" Type="http://schemas.openxmlformats.org/officeDocument/2006/relationships/oleObject" Target="embeddings/oleObject144.bin"/><Relationship Id="rId303" Type="http://schemas.openxmlformats.org/officeDocument/2006/relationships/oleObject" Target="embeddings/oleObject143.bin"/><Relationship Id="rId302" Type="http://schemas.openxmlformats.org/officeDocument/2006/relationships/oleObject" Target="embeddings/oleObject142.bin"/><Relationship Id="rId301" Type="http://schemas.openxmlformats.org/officeDocument/2006/relationships/oleObject" Target="embeddings/oleObject141.bin"/><Relationship Id="rId300" Type="http://schemas.openxmlformats.org/officeDocument/2006/relationships/oleObject" Target="embeddings/oleObject140.bin"/><Relationship Id="rId30" Type="http://schemas.openxmlformats.org/officeDocument/2006/relationships/image" Target="media/image21.jpeg"/><Relationship Id="rId3" Type="http://schemas.openxmlformats.org/officeDocument/2006/relationships/footer" Target="footer1.xml"/><Relationship Id="rId299" Type="http://schemas.openxmlformats.org/officeDocument/2006/relationships/oleObject" Target="embeddings/oleObject139.bin"/><Relationship Id="rId298" Type="http://schemas.openxmlformats.org/officeDocument/2006/relationships/oleObject" Target="embeddings/oleObject138.bin"/><Relationship Id="rId297" Type="http://schemas.openxmlformats.org/officeDocument/2006/relationships/oleObject" Target="embeddings/oleObject137.bin"/><Relationship Id="rId296" Type="http://schemas.openxmlformats.org/officeDocument/2006/relationships/oleObject" Target="embeddings/oleObject136.bin"/><Relationship Id="rId295" Type="http://schemas.openxmlformats.org/officeDocument/2006/relationships/oleObject" Target="embeddings/oleObject135.bin"/><Relationship Id="rId294" Type="http://schemas.openxmlformats.org/officeDocument/2006/relationships/oleObject" Target="embeddings/oleObject134.bin"/><Relationship Id="rId293" Type="http://schemas.openxmlformats.org/officeDocument/2006/relationships/oleObject" Target="embeddings/oleObject133.bin"/><Relationship Id="rId292" Type="http://schemas.openxmlformats.org/officeDocument/2006/relationships/oleObject" Target="embeddings/oleObject132.bin"/><Relationship Id="rId291" Type="http://schemas.openxmlformats.org/officeDocument/2006/relationships/oleObject" Target="embeddings/oleObject131.bin"/><Relationship Id="rId290" Type="http://schemas.openxmlformats.org/officeDocument/2006/relationships/oleObject" Target="embeddings/oleObject130.bin"/><Relationship Id="rId29" Type="http://schemas.openxmlformats.org/officeDocument/2006/relationships/image" Target="media/image20.jpeg"/><Relationship Id="rId289" Type="http://schemas.openxmlformats.org/officeDocument/2006/relationships/oleObject" Target="embeddings/oleObject129.bin"/><Relationship Id="rId288" Type="http://schemas.openxmlformats.org/officeDocument/2006/relationships/oleObject" Target="embeddings/oleObject128.bin"/><Relationship Id="rId287" Type="http://schemas.openxmlformats.org/officeDocument/2006/relationships/oleObject" Target="embeddings/oleObject127.bin"/><Relationship Id="rId286" Type="http://schemas.openxmlformats.org/officeDocument/2006/relationships/oleObject" Target="embeddings/oleObject126.bin"/><Relationship Id="rId285" Type="http://schemas.openxmlformats.org/officeDocument/2006/relationships/oleObject" Target="embeddings/oleObject125.bin"/><Relationship Id="rId284" Type="http://schemas.openxmlformats.org/officeDocument/2006/relationships/oleObject" Target="embeddings/oleObject124.bin"/><Relationship Id="rId283" Type="http://schemas.openxmlformats.org/officeDocument/2006/relationships/oleObject" Target="embeddings/oleObject123.bin"/><Relationship Id="rId282" Type="http://schemas.openxmlformats.org/officeDocument/2006/relationships/oleObject" Target="embeddings/oleObject122.bin"/><Relationship Id="rId281" Type="http://schemas.openxmlformats.org/officeDocument/2006/relationships/oleObject" Target="embeddings/oleObject121.bin"/><Relationship Id="rId280" Type="http://schemas.openxmlformats.org/officeDocument/2006/relationships/oleObject" Target="embeddings/oleObject120.bin"/><Relationship Id="rId28" Type="http://schemas.openxmlformats.org/officeDocument/2006/relationships/image" Target="media/image19.jpeg"/><Relationship Id="rId279" Type="http://schemas.openxmlformats.org/officeDocument/2006/relationships/oleObject" Target="embeddings/oleObject119.bin"/><Relationship Id="rId278" Type="http://schemas.openxmlformats.org/officeDocument/2006/relationships/oleObject" Target="embeddings/oleObject118.bin"/><Relationship Id="rId277" Type="http://schemas.openxmlformats.org/officeDocument/2006/relationships/image" Target="media/image151.wmf"/><Relationship Id="rId276" Type="http://schemas.openxmlformats.org/officeDocument/2006/relationships/oleObject" Target="embeddings/oleObject117.bin"/><Relationship Id="rId275" Type="http://schemas.openxmlformats.org/officeDocument/2006/relationships/image" Target="media/image150.wmf"/><Relationship Id="rId274" Type="http://schemas.openxmlformats.org/officeDocument/2006/relationships/oleObject" Target="embeddings/oleObject116.bin"/><Relationship Id="rId273" Type="http://schemas.openxmlformats.org/officeDocument/2006/relationships/image" Target="media/image149.wmf"/><Relationship Id="rId272" Type="http://schemas.openxmlformats.org/officeDocument/2006/relationships/oleObject" Target="embeddings/oleObject115.bin"/><Relationship Id="rId271" Type="http://schemas.openxmlformats.org/officeDocument/2006/relationships/image" Target="media/image148.wmf"/><Relationship Id="rId270" Type="http://schemas.openxmlformats.org/officeDocument/2006/relationships/oleObject" Target="embeddings/oleObject114.bin"/><Relationship Id="rId27" Type="http://schemas.openxmlformats.org/officeDocument/2006/relationships/image" Target="media/image18.jpeg"/><Relationship Id="rId269" Type="http://schemas.openxmlformats.org/officeDocument/2006/relationships/image" Target="media/image147.wmf"/><Relationship Id="rId268" Type="http://schemas.openxmlformats.org/officeDocument/2006/relationships/oleObject" Target="embeddings/oleObject113.bin"/><Relationship Id="rId267" Type="http://schemas.openxmlformats.org/officeDocument/2006/relationships/image" Target="media/image146.wmf"/><Relationship Id="rId266" Type="http://schemas.openxmlformats.org/officeDocument/2006/relationships/oleObject" Target="embeddings/oleObject112.bin"/><Relationship Id="rId265" Type="http://schemas.openxmlformats.org/officeDocument/2006/relationships/image" Target="media/image145.wmf"/><Relationship Id="rId264" Type="http://schemas.openxmlformats.org/officeDocument/2006/relationships/oleObject" Target="embeddings/oleObject111.bin"/><Relationship Id="rId263" Type="http://schemas.openxmlformats.org/officeDocument/2006/relationships/image" Target="media/image144.wmf"/><Relationship Id="rId262" Type="http://schemas.openxmlformats.org/officeDocument/2006/relationships/oleObject" Target="embeddings/oleObject110.bin"/><Relationship Id="rId261" Type="http://schemas.openxmlformats.org/officeDocument/2006/relationships/image" Target="media/image143.wmf"/><Relationship Id="rId260" Type="http://schemas.openxmlformats.org/officeDocument/2006/relationships/oleObject" Target="embeddings/oleObject109.bin"/><Relationship Id="rId26" Type="http://schemas.openxmlformats.org/officeDocument/2006/relationships/image" Target="media/image17.jpeg"/><Relationship Id="rId259" Type="http://schemas.openxmlformats.org/officeDocument/2006/relationships/image" Target="media/image142.wmf"/><Relationship Id="rId258" Type="http://schemas.openxmlformats.org/officeDocument/2006/relationships/oleObject" Target="embeddings/oleObject108.bin"/><Relationship Id="rId257" Type="http://schemas.openxmlformats.org/officeDocument/2006/relationships/image" Target="media/image141.wmf"/><Relationship Id="rId256" Type="http://schemas.openxmlformats.org/officeDocument/2006/relationships/oleObject" Target="embeddings/oleObject107.bin"/><Relationship Id="rId255" Type="http://schemas.openxmlformats.org/officeDocument/2006/relationships/oleObject" Target="embeddings/oleObject106.bin"/><Relationship Id="rId254" Type="http://schemas.openxmlformats.org/officeDocument/2006/relationships/image" Target="media/image140.wmf"/><Relationship Id="rId253" Type="http://schemas.openxmlformats.org/officeDocument/2006/relationships/oleObject" Target="embeddings/oleObject105.bin"/><Relationship Id="rId252" Type="http://schemas.openxmlformats.org/officeDocument/2006/relationships/image" Target="media/image139.wmf"/><Relationship Id="rId251" Type="http://schemas.openxmlformats.org/officeDocument/2006/relationships/oleObject" Target="embeddings/oleObject104.bin"/><Relationship Id="rId250" Type="http://schemas.openxmlformats.org/officeDocument/2006/relationships/image" Target="media/image138.wmf"/><Relationship Id="rId25" Type="http://schemas.openxmlformats.org/officeDocument/2006/relationships/image" Target="media/image16.jpeg"/><Relationship Id="rId249" Type="http://schemas.openxmlformats.org/officeDocument/2006/relationships/oleObject" Target="embeddings/oleObject103.bin"/><Relationship Id="rId248" Type="http://schemas.openxmlformats.org/officeDocument/2006/relationships/image" Target="media/image137.wmf"/><Relationship Id="rId247" Type="http://schemas.openxmlformats.org/officeDocument/2006/relationships/oleObject" Target="embeddings/oleObject102.bin"/><Relationship Id="rId246" Type="http://schemas.openxmlformats.org/officeDocument/2006/relationships/image" Target="media/image136.wmf"/><Relationship Id="rId245" Type="http://schemas.openxmlformats.org/officeDocument/2006/relationships/oleObject" Target="embeddings/oleObject101.bin"/><Relationship Id="rId244" Type="http://schemas.openxmlformats.org/officeDocument/2006/relationships/image" Target="media/image135.wmf"/><Relationship Id="rId243" Type="http://schemas.openxmlformats.org/officeDocument/2006/relationships/oleObject" Target="embeddings/oleObject100.bin"/><Relationship Id="rId242" Type="http://schemas.openxmlformats.org/officeDocument/2006/relationships/image" Target="media/image134.wmf"/><Relationship Id="rId241" Type="http://schemas.openxmlformats.org/officeDocument/2006/relationships/oleObject" Target="embeddings/oleObject99.bin"/><Relationship Id="rId240" Type="http://schemas.openxmlformats.org/officeDocument/2006/relationships/oleObject" Target="embeddings/oleObject98.bin"/><Relationship Id="rId24" Type="http://schemas.openxmlformats.org/officeDocument/2006/relationships/image" Target="media/image15.jpeg"/><Relationship Id="rId239" Type="http://schemas.openxmlformats.org/officeDocument/2006/relationships/image" Target="media/image133.wmf"/><Relationship Id="rId238" Type="http://schemas.openxmlformats.org/officeDocument/2006/relationships/oleObject" Target="embeddings/oleObject97.bin"/><Relationship Id="rId237" Type="http://schemas.openxmlformats.org/officeDocument/2006/relationships/image" Target="media/image132.wmf"/><Relationship Id="rId236" Type="http://schemas.openxmlformats.org/officeDocument/2006/relationships/oleObject" Target="embeddings/oleObject96.bin"/><Relationship Id="rId235" Type="http://schemas.openxmlformats.org/officeDocument/2006/relationships/image" Target="media/image131.wmf"/><Relationship Id="rId234" Type="http://schemas.openxmlformats.org/officeDocument/2006/relationships/image" Target="media/image130.jpeg"/><Relationship Id="rId233" Type="http://schemas.openxmlformats.org/officeDocument/2006/relationships/image" Target="media/image129.jpeg"/><Relationship Id="rId232" Type="http://schemas.openxmlformats.org/officeDocument/2006/relationships/image" Target="media/image128.jpeg"/><Relationship Id="rId231" Type="http://schemas.openxmlformats.org/officeDocument/2006/relationships/image" Target="media/image127.jpeg"/><Relationship Id="rId230" Type="http://schemas.openxmlformats.org/officeDocument/2006/relationships/image" Target="media/image126.jpeg"/><Relationship Id="rId23" Type="http://schemas.openxmlformats.org/officeDocument/2006/relationships/image" Target="media/image14.jpeg"/><Relationship Id="rId229" Type="http://schemas.openxmlformats.org/officeDocument/2006/relationships/image" Target="media/image125.jpeg"/><Relationship Id="rId228" Type="http://schemas.openxmlformats.org/officeDocument/2006/relationships/image" Target="media/image124.jpeg"/><Relationship Id="rId227" Type="http://schemas.openxmlformats.org/officeDocument/2006/relationships/image" Target="media/image123.jpeg"/><Relationship Id="rId226" Type="http://schemas.openxmlformats.org/officeDocument/2006/relationships/image" Target="media/image122.jpeg"/><Relationship Id="rId225" Type="http://schemas.openxmlformats.org/officeDocument/2006/relationships/image" Target="media/image121.jpeg"/><Relationship Id="rId224" Type="http://schemas.openxmlformats.org/officeDocument/2006/relationships/image" Target="media/image120.jpeg"/><Relationship Id="rId223" Type="http://schemas.openxmlformats.org/officeDocument/2006/relationships/image" Target="media/image119.jpeg"/><Relationship Id="rId222" Type="http://schemas.openxmlformats.org/officeDocument/2006/relationships/image" Target="media/image118.jpeg"/><Relationship Id="rId221" Type="http://schemas.openxmlformats.org/officeDocument/2006/relationships/image" Target="media/image117.jpeg"/><Relationship Id="rId220" Type="http://schemas.openxmlformats.org/officeDocument/2006/relationships/image" Target="media/image116.jpeg"/><Relationship Id="rId22" Type="http://schemas.openxmlformats.org/officeDocument/2006/relationships/image" Target="media/image13.jpeg"/><Relationship Id="rId219" Type="http://schemas.openxmlformats.org/officeDocument/2006/relationships/image" Target="media/image115.jpeg"/><Relationship Id="rId218" Type="http://schemas.openxmlformats.org/officeDocument/2006/relationships/image" Target="media/image114.jpeg"/><Relationship Id="rId217" Type="http://schemas.openxmlformats.org/officeDocument/2006/relationships/image" Target="media/image113.jpeg"/><Relationship Id="rId216" Type="http://schemas.openxmlformats.org/officeDocument/2006/relationships/image" Target="media/image112.jpeg"/><Relationship Id="rId215" Type="http://schemas.openxmlformats.org/officeDocument/2006/relationships/image" Target="media/image111.jpeg"/><Relationship Id="rId214" Type="http://schemas.openxmlformats.org/officeDocument/2006/relationships/image" Target="media/image110.jpeg"/><Relationship Id="rId213" Type="http://schemas.openxmlformats.org/officeDocument/2006/relationships/image" Target="media/image109.jpeg"/><Relationship Id="rId212" Type="http://schemas.openxmlformats.org/officeDocument/2006/relationships/image" Target="media/image108.jpeg"/><Relationship Id="rId211" Type="http://schemas.openxmlformats.org/officeDocument/2006/relationships/image" Target="media/image107.jpeg"/><Relationship Id="rId210" Type="http://schemas.openxmlformats.org/officeDocument/2006/relationships/image" Target="media/image106.jpeg"/><Relationship Id="rId21" Type="http://schemas.openxmlformats.org/officeDocument/2006/relationships/image" Target="media/image12.jpeg"/><Relationship Id="rId209" Type="http://schemas.openxmlformats.org/officeDocument/2006/relationships/image" Target="media/image105.jpeg"/><Relationship Id="rId208" Type="http://schemas.openxmlformats.org/officeDocument/2006/relationships/image" Target="media/image104.jpeg"/><Relationship Id="rId207" Type="http://schemas.openxmlformats.org/officeDocument/2006/relationships/image" Target="media/image103.jpeg"/><Relationship Id="rId206" Type="http://schemas.openxmlformats.org/officeDocument/2006/relationships/image" Target="media/image102.jpeg"/><Relationship Id="rId205" Type="http://schemas.openxmlformats.org/officeDocument/2006/relationships/image" Target="media/image101.jpeg"/><Relationship Id="rId204" Type="http://schemas.openxmlformats.org/officeDocument/2006/relationships/image" Target="media/image100.jpeg"/><Relationship Id="rId203" Type="http://schemas.openxmlformats.org/officeDocument/2006/relationships/image" Target="media/image99.jpeg"/><Relationship Id="rId202" Type="http://schemas.openxmlformats.org/officeDocument/2006/relationships/image" Target="media/image98.jpeg"/><Relationship Id="rId201" Type="http://schemas.openxmlformats.org/officeDocument/2006/relationships/image" Target="media/image97.jpeg"/><Relationship Id="rId200" Type="http://schemas.openxmlformats.org/officeDocument/2006/relationships/image" Target="media/image96.jpeg"/><Relationship Id="rId20" Type="http://schemas.openxmlformats.org/officeDocument/2006/relationships/image" Target="media/image11.jpeg"/><Relationship Id="rId2" Type="http://schemas.openxmlformats.org/officeDocument/2006/relationships/settings" Target="settings.xml"/><Relationship Id="rId199" Type="http://schemas.openxmlformats.org/officeDocument/2006/relationships/image" Target="media/image95.jpeg"/><Relationship Id="rId198" Type="http://schemas.openxmlformats.org/officeDocument/2006/relationships/image" Target="media/image94.jpeg"/><Relationship Id="rId197" Type="http://schemas.openxmlformats.org/officeDocument/2006/relationships/image" Target="media/image93.jpeg"/><Relationship Id="rId196" Type="http://schemas.openxmlformats.org/officeDocument/2006/relationships/image" Target="media/image92.jpeg"/><Relationship Id="rId195" Type="http://schemas.openxmlformats.org/officeDocument/2006/relationships/image" Target="media/image91.jpeg"/><Relationship Id="rId194" Type="http://schemas.openxmlformats.org/officeDocument/2006/relationships/image" Target="media/image90.jpeg"/><Relationship Id="rId193" Type="http://schemas.openxmlformats.org/officeDocument/2006/relationships/image" Target="media/image89.jpeg"/><Relationship Id="rId192" Type="http://schemas.openxmlformats.org/officeDocument/2006/relationships/image" Target="media/image88.jpeg"/><Relationship Id="rId191" Type="http://schemas.openxmlformats.org/officeDocument/2006/relationships/image" Target="media/image87.jpeg"/><Relationship Id="rId190" Type="http://schemas.openxmlformats.org/officeDocument/2006/relationships/image" Target="media/image86.wmf"/><Relationship Id="rId19" Type="http://schemas.openxmlformats.org/officeDocument/2006/relationships/image" Target="media/image10.jpeg"/><Relationship Id="rId189" Type="http://schemas.openxmlformats.org/officeDocument/2006/relationships/oleObject" Target="embeddings/oleObject95.bin"/><Relationship Id="rId188" Type="http://schemas.openxmlformats.org/officeDocument/2006/relationships/image" Target="media/image85.wmf"/><Relationship Id="rId187" Type="http://schemas.openxmlformats.org/officeDocument/2006/relationships/oleObject" Target="embeddings/oleObject94.bin"/><Relationship Id="rId186" Type="http://schemas.openxmlformats.org/officeDocument/2006/relationships/oleObject" Target="embeddings/oleObject93.bin"/><Relationship Id="rId185" Type="http://schemas.openxmlformats.org/officeDocument/2006/relationships/image" Target="media/image84.wmf"/><Relationship Id="rId184" Type="http://schemas.openxmlformats.org/officeDocument/2006/relationships/oleObject" Target="embeddings/oleObject92.bin"/><Relationship Id="rId183" Type="http://schemas.openxmlformats.org/officeDocument/2006/relationships/image" Target="media/image83.wmf"/><Relationship Id="rId182" Type="http://schemas.openxmlformats.org/officeDocument/2006/relationships/oleObject" Target="embeddings/oleObject91.bin"/><Relationship Id="rId181" Type="http://schemas.openxmlformats.org/officeDocument/2006/relationships/image" Target="media/image82.wmf"/><Relationship Id="rId180" Type="http://schemas.openxmlformats.org/officeDocument/2006/relationships/oleObject" Target="embeddings/oleObject90.bin"/><Relationship Id="rId18" Type="http://schemas.openxmlformats.org/officeDocument/2006/relationships/image" Target="media/image9.jpeg"/><Relationship Id="rId179" Type="http://schemas.openxmlformats.org/officeDocument/2006/relationships/image" Target="media/image81.wmf"/><Relationship Id="rId178" Type="http://schemas.openxmlformats.org/officeDocument/2006/relationships/oleObject" Target="embeddings/oleObject89.bin"/><Relationship Id="rId177" Type="http://schemas.openxmlformats.org/officeDocument/2006/relationships/image" Target="media/image80.wmf"/><Relationship Id="rId176" Type="http://schemas.openxmlformats.org/officeDocument/2006/relationships/oleObject" Target="embeddings/oleObject88.bin"/><Relationship Id="rId175" Type="http://schemas.openxmlformats.org/officeDocument/2006/relationships/image" Target="media/image79.wmf"/><Relationship Id="rId174" Type="http://schemas.openxmlformats.org/officeDocument/2006/relationships/oleObject" Target="embeddings/oleObject87.bin"/><Relationship Id="rId173" Type="http://schemas.openxmlformats.org/officeDocument/2006/relationships/image" Target="media/image78.wmf"/><Relationship Id="rId172" Type="http://schemas.openxmlformats.org/officeDocument/2006/relationships/oleObject" Target="embeddings/oleObject86.bin"/><Relationship Id="rId171" Type="http://schemas.openxmlformats.org/officeDocument/2006/relationships/image" Target="media/image77.wmf"/><Relationship Id="rId170" Type="http://schemas.openxmlformats.org/officeDocument/2006/relationships/oleObject" Target="embeddings/oleObject85.bin"/><Relationship Id="rId17" Type="http://schemas.openxmlformats.org/officeDocument/2006/relationships/image" Target="media/image8.jpeg"/><Relationship Id="rId169" Type="http://schemas.openxmlformats.org/officeDocument/2006/relationships/image" Target="media/image76.wmf"/><Relationship Id="rId168" Type="http://schemas.openxmlformats.org/officeDocument/2006/relationships/oleObject" Target="embeddings/oleObject84.bin"/><Relationship Id="rId167" Type="http://schemas.openxmlformats.org/officeDocument/2006/relationships/image" Target="media/image75.wmf"/><Relationship Id="rId166" Type="http://schemas.openxmlformats.org/officeDocument/2006/relationships/oleObject" Target="embeddings/oleObject83.bin"/><Relationship Id="rId165" Type="http://schemas.openxmlformats.org/officeDocument/2006/relationships/image" Target="media/image74.wmf"/><Relationship Id="rId164" Type="http://schemas.openxmlformats.org/officeDocument/2006/relationships/oleObject" Target="embeddings/oleObject82.bin"/><Relationship Id="rId163" Type="http://schemas.openxmlformats.org/officeDocument/2006/relationships/image" Target="media/image73.wmf"/><Relationship Id="rId162" Type="http://schemas.openxmlformats.org/officeDocument/2006/relationships/oleObject" Target="embeddings/oleObject81.bin"/><Relationship Id="rId161" Type="http://schemas.openxmlformats.org/officeDocument/2006/relationships/image" Target="media/image72.wmf"/><Relationship Id="rId160" Type="http://schemas.openxmlformats.org/officeDocument/2006/relationships/oleObject" Target="embeddings/oleObject80.bin"/><Relationship Id="rId16" Type="http://schemas.openxmlformats.org/officeDocument/2006/relationships/image" Target="media/image7.jpeg"/><Relationship Id="rId159" Type="http://schemas.openxmlformats.org/officeDocument/2006/relationships/image" Target="media/image71.wmf"/><Relationship Id="rId158" Type="http://schemas.openxmlformats.org/officeDocument/2006/relationships/oleObject" Target="embeddings/oleObject79.bin"/><Relationship Id="rId157" Type="http://schemas.openxmlformats.org/officeDocument/2006/relationships/image" Target="media/image70.wmf"/><Relationship Id="rId156" Type="http://schemas.openxmlformats.org/officeDocument/2006/relationships/oleObject" Target="embeddings/oleObject78.bin"/><Relationship Id="rId155" Type="http://schemas.openxmlformats.org/officeDocument/2006/relationships/image" Target="media/image69.wmf"/><Relationship Id="rId154" Type="http://schemas.openxmlformats.org/officeDocument/2006/relationships/oleObject" Target="embeddings/oleObject77.bin"/><Relationship Id="rId153" Type="http://schemas.openxmlformats.org/officeDocument/2006/relationships/image" Target="media/image68.wmf"/><Relationship Id="rId152" Type="http://schemas.openxmlformats.org/officeDocument/2006/relationships/oleObject" Target="embeddings/oleObject76.bin"/><Relationship Id="rId151" Type="http://schemas.openxmlformats.org/officeDocument/2006/relationships/image" Target="media/image67.wmf"/><Relationship Id="rId150" Type="http://schemas.openxmlformats.org/officeDocument/2006/relationships/oleObject" Target="embeddings/oleObject75.bin"/><Relationship Id="rId15" Type="http://schemas.openxmlformats.org/officeDocument/2006/relationships/image" Target="media/image6.jpeg"/><Relationship Id="rId149" Type="http://schemas.openxmlformats.org/officeDocument/2006/relationships/image" Target="media/image66.wmf"/><Relationship Id="rId148" Type="http://schemas.openxmlformats.org/officeDocument/2006/relationships/oleObject" Target="embeddings/oleObject74.bin"/><Relationship Id="rId147" Type="http://schemas.openxmlformats.org/officeDocument/2006/relationships/image" Target="media/image65.wmf"/><Relationship Id="rId146" Type="http://schemas.openxmlformats.org/officeDocument/2006/relationships/oleObject" Target="embeddings/oleObject73.bin"/><Relationship Id="rId145" Type="http://schemas.openxmlformats.org/officeDocument/2006/relationships/image" Target="media/image64.wmf"/><Relationship Id="rId144" Type="http://schemas.openxmlformats.org/officeDocument/2006/relationships/oleObject" Target="embeddings/oleObject72.bin"/><Relationship Id="rId143" Type="http://schemas.openxmlformats.org/officeDocument/2006/relationships/image" Target="media/image63.wmf"/><Relationship Id="rId142" Type="http://schemas.openxmlformats.org/officeDocument/2006/relationships/oleObject" Target="embeddings/oleObject71.bin"/><Relationship Id="rId141" Type="http://schemas.openxmlformats.org/officeDocument/2006/relationships/image" Target="media/image62.wmf"/><Relationship Id="rId140" Type="http://schemas.openxmlformats.org/officeDocument/2006/relationships/oleObject" Target="embeddings/oleObject70.bin"/><Relationship Id="rId14" Type="http://schemas.openxmlformats.org/officeDocument/2006/relationships/image" Target="media/image5.jpeg"/><Relationship Id="rId139" Type="http://schemas.openxmlformats.org/officeDocument/2006/relationships/oleObject" Target="embeddings/oleObject69.bin"/><Relationship Id="rId138" Type="http://schemas.openxmlformats.org/officeDocument/2006/relationships/oleObject" Target="embeddings/oleObject68.bin"/><Relationship Id="rId137" Type="http://schemas.openxmlformats.org/officeDocument/2006/relationships/oleObject" Target="embeddings/oleObject67.bin"/><Relationship Id="rId136" Type="http://schemas.openxmlformats.org/officeDocument/2006/relationships/oleObject" Target="embeddings/oleObject66.bin"/><Relationship Id="rId135" Type="http://schemas.openxmlformats.org/officeDocument/2006/relationships/image" Target="media/image61.wmf"/><Relationship Id="rId134" Type="http://schemas.openxmlformats.org/officeDocument/2006/relationships/oleObject" Target="embeddings/oleObject65.bin"/><Relationship Id="rId133" Type="http://schemas.openxmlformats.org/officeDocument/2006/relationships/image" Target="media/image60.wmf"/><Relationship Id="rId132" Type="http://schemas.openxmlformats.org/officeDocument/2006/relationships/oleObject" Target="embeddings/oleObject64.bin"/><Relationship Id="rId131" Type="http://schemas.openxmlformats.org/officeDocument/2006/relationships/image" Target="media/image59.wmf"/><Relationship Id="rId130" Type="http://schemas.openxmlformats.org/officeDocument/2006/relationships/oleObject" Target="embeddings/oleObject63.bin"/><Relationship Id="rId13" Type="http://schemas.openxmlformats.org/officeDocument/2006/relationships/image" Target="media/image4.jpeg"/><Relationship Id="rId129" Type="http://schemas.openxmlformats.org/officeDocument/2006/relationships/oleObject" Target="embeddings/oleObject62.bin"/><Relationship Id="rId128" Type="http://schemas.openxmlformats.org/officeDocument/2006/relationships/oleObject" Target="embeddings/oleObject61.bin"/><Relationship Id="rId127" Type="http://schemas.openxmlformats.org/officeDocument/2006/relationships/image" Target="media/image58.wmf"/><Relationship Id="rId126" Type="http://schemas.openxmlformats.org/officeDocument/2006/relationships/oleObject" Target="embeddings/oleObject60.bin"/><Relationship Id="rId125" Type="http://schemas.openxmlformats.org/officeDocument/2006/relationships/image" Target="media/image57.wmf"/><Relationship Id="rId124" Type="http://schemas.openxmlformats.org/officeDocument/2006/relationships/oleObject" Target="embeddings/oleObject59.bin"/><Relationship Id="rId123" Type="http://schemas.openxmlformats.org/officeDocument/2006/relationships/image" Target="media/image56.wmf"/><Relationship Id="rId122" Type="http://schemas.openxmlformats.org/officeDocument/2006/relationships/oleObject" Target="embeddings/oleObject58.bin"/><Relationship Id="rId121" Type="http://schemas.openxmlformats.org/officeDocument/2006/relationships/image" Target="media/image55.wmf"/><Relationship Id="rId120" Type="http://schemas.openxmlformats.org/officeDocument/2006/relationships/oleObject" Target="embeddings/oleObject57.bin"/><Relationship Id="rId12" Type="http://schemas.openxmlformats.org/officeDocument/2006/relationships/image" Target="media/image3.jpeg"/><Relationship Id="rId119" Type="http://schemas.openxmlformats.org/officeDocument/2006/relationships/image" Target="media/image54.wmf"/><Relationship Id="rId118" Type="http://schemas.openxmlformats.org/officeDocument/2006/relationships/oleObject" Target="embeddings/oleObject56.bin"/><Relationship Id="rId117" Type="http://schemas.openxmlformats.org/officeDocument/2006/relationships/oleObject" Target="embeddings/oleObject55.bin"/><Relationship Id="rId116" Type="http://schemas.openxmlformats.org/officeDocument/2006/relationships/oleObject" Target="embeddings/oleObject54.bin"/><Relationship Id="rId115" Type="http://schemas.openxmlformats.org/officeDocument/2006/relationships/oleObject" Target="embeddings/oleObject53.bin"/><Relationship Id="rId114" Type="http://schemas.openxmlformats.org/officeDocument/2006/relationships/oleObject" Target="embeddings/oleObject52.bin"/><Relationship Id="rId113" Type="http://schemas.openxmlformats.org/officeDocument/2006/relationships/oleObject" Target="embeddings/oleObject51.bin"/><Relationship Id="rId112" Type="http://schemas.openxmlformats.org/officeDocument/2006/relationships/image" Target="media/image53.wmf"/><Relationship Id="rId111" Type="http://schemas.openxmlformats.org/officeDocument/2006/relationships/oleObject" Target="embeddings/oleObject50.bin"/><Relationship Id="rId110" Type="http://schemas.openxmlformats.org/officeDocument/2006/relationships/image" Target="media/image52.wmf"/><Relationship Id="rId11" Type="http://schemas.openxmlformats.org/officeDocument/2006/relationships/image" Target="media/image2.jpeg"/><Relationship Id="rId109" Type="http://schemas.openxmlformats.org/officeDocument/2006/relationships/oleObject" Target="embeddings/oleObject49.bin"/><Relationship Id="rId108" Type="http://schemas.openxmlformats.org/officeDocument/2006/relationships/image" Target="media/image51.wmf"/><Relationship Id="rId107" Type="http://schemas.openxmlformats.org/officeDocument/2006/relationships/oleObject" Target="embeddings/oleObject48.bin"/><Relationship Id="rId106" Type="http://schemas.openxmlformats.org/officeDocument/2006/relationships/image" Target="media/image50.wmf"/><Relationship Id="rId105" Type="http://schemas.openxmlformats.org/officeDocument/2006/relationships/oleObject" Target="embeddings/oleObject47.bin"/><Relationship Id="rId104" Type="http://schemas.openxmlformats.org/officeDocument/2006/relationships/image" Target="media/image49.wmf"/><Relationship Id="rId103" Type="http://schemas.openxmlformats.org/officeDocument/2006/relationships/oleObject" Target="embeddings/oleObject46.bin"/><Relationship Id="rId102" Type="http://schemas.openxmlformats.org/officeDocument/2006/relationships/oleObject" Target="embeddings/oleObject45.bin"/><Relationship Id="rId101" Type="http://schemas.openxmlformats.org/officeDocument/2006/relationships/oleObject" Target="embeddings/oleObject44.bin"/><Relationship Id="rId100" Type="http://schemas.openxmlformats.org/officeDocument/2006/relationships/oleObject" Target="embeddings/oleObject43.bin"/><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90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260</Pages>
  <Words>6193</Words>
  <Characters>7081</Characters>
  <Lines>1362</Lines>
  <Paragraphs>383</Paragraphs>
  <TotalTime>5</TotalTime>
  <ScaleCrop>false</ScaleCrop>
  <LinksUpToDate>false</LinksUpToDate>
  <CharactersWithSpaces>7348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2016-09-18T05:50:00Z</dcterms:created>
  <dc:creator>安徽博源</dc:creator>
  <cp:lastModifiedBy>哇</cp:lastModifiedBy>
  <cp:lastPrinted>2021-01-19T02:09:00Z</cp:lastPrinted>
  <dcterms:modified xsi:type="dcterms:W3CDTF">2025-12-02T01:25:55Z</dcterms:modified>
  <dc:title>技术报告</dc:title>
  <cp:revision>182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commondata">
    <vt:lpwstr>eyJoZGlkIjoiYjJmM2Q4YTUzZGZjNmE4NTNlZGU0MzlhYmIyMzE4NmUifQ==</vt:lpwstr>
  </property>
  <property fmtid="{D5CDD505-2E9C-101B-9397-08002B2CF9AE}" pid="4" name="ICV">
    <vt:lpwstr>732402167D8345029A45FCD0D4C7B7FB_13</vt:lpwstr>
  </property>
  <property fmtid="{D5CDD505-2E9C-101B-9397-08002B2CF9AE}" pid="5" name="KSOTemplateDocerSaveRecord">
    <vt:lpwstr>eyJoZGlkIjoiY2MxZDVhYTY4YzhjMzlkZDM5YTY4MWRlYjdhMWY5ZGUiLCJ1c2VySWQiOiIyNTY0OTk1OTYifQ==</vt:lpwstr>
  </property>
</Properties>
</file>